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BCF78" w14:textId="2DD8E660" w:rsidR="005324BB" w:rsidRPr="00081AD4" w:rsidRDefault="005324BB" w:rsidP="005324BB">
      <w:pPr>
        <w:tabs>
          <w:tab w:val="left" w:pos="5580"/>
          <w:tab w:val="left" w:pos="9498"/>
        </w:tabs>
        <w:ind w:left="-2347" w:right="-569" w:firstLine="7592"/>
        <w:rPr>
          <w:color w:val="000000" w:themeColor="text1"/>
        </w:rPr>
      </w:pPr>
      <w:r w:rsidRPr="00081AD4">
        <w:rPr>
          <w:color w:val="000000" w:themeColor="text1"/>
        </w:rPr>
        <w:t xml:space="preserve">Приложение № </w:t>
      </w:r>
      <w:r w:rsidR="00F5550D">
        <w:rPr>
          <w:color w:val="000000" w:themeColor="text1"/>
        </w:rPr>
        <w:t>1</w:t>
      </w:r>
      <w:r>
        <w:rPr>
          <w:color w:val="000000" w:themeColor="text1"/>
        </w:rPr>
        <w:t xml:space="preserve"> к протоколу</w:t>
      </w:r>
      <w:r w:rsidRPr="00081AD4">
        <w:rPr>
          <w:color w:val="000000" w:themeColor="text1"/>
        </w:rPr>
        <w:t xml:space="preserve"> № </w:t>
      </w:r>
      <w:r>
        <w:rPr>
          <w:color w:val="000000" w:themeColor="text1"/>
        </w:rPr>
        <w:t>88</w:t>
      </w:r>
    </w:p>
    <w:p w14:paraId="5802EE95" w14:textId="77777777" w:rsidR="005324BB" w:rsidRPr="00081AD4" w:rsidRDefault="005324BB" w:rsidP="005324BB">
      <w:pPr>
        <w:tabs>
          <w:tab w:val="left" w:pos="5580"/>
          <w:tab w:val="left" w:pos="9498"/>
        </w:tabs>
        <w:ind w:left="-2347" w:right="-569" w:firstLine="7592"/>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0387A89E" w14:textId="77777777" w:rsidR="005324BB" w:rsidRPr="00081AD4" w:rsidRDefault="005324BB" w:rsidP="005324BB">
      <w:pPr>
        <w:tabs>
          <w:tab w:val="left" w:pos="5580"/>
          <w:tab w:val="left" w:pos="9498"/>
        </w:tabs>
        <w:ind w:left="-2347" w:right="-569" w:firstLine="7592"/>
        <w:rPr>
          <w:color w:val="000000" w:themeColor="text1"/>
        </w:rPr>
      </w:pPr>
      <w:r w:rsidRPr="00081AD4">
        <w:rPr>
          <w:color w:val="000000" w:themeColor="text1"/>
        </w:rPr>
        <w:t>энергетической комиссии</w:t>
      </w:r>
    </w:p>
    <w:p w14:paraId="065C6AC0" w14:textId="77777777" w:rsidR="005324BB" w:rsidRDefault="005324BB" w:rsidP="005324BB">
      <w:pPr>
        <w:tabs>
          <w:tab w:val="left" w:pos="5580"/>
          <w:tab w:val="left" w:pos="9498"/>
        </w:tabs>
        <w:ind w:left="-2347" w:right="-569" w:firstLine="7592"/>
        <w:rPr>
          <w:color w:val="000000" w:themeColor="text1"/>
        </w:rPr>
      </w:pPr>
      <w:r w:rsidRPr="00081AD4">
        <w:rPr>
          <w:color w:val="000000" w:themeColor="text1"/>
        </w:rPr>
        <w:t xml:space="preserve">Кузбасса от </w:t>
      </w:r>
      <w:r>
        <w:rPr>
          <w:color w:val="000000" w:themeColor="text1"/>
        </w:rPr>
        <w:t>23</w:t>
      </w:r>
      <w:r w:rsidRPr="00081AD4">
        <w:rPr>
          <w:color w:val="000000" w:themeColor="text1"/>
        </w:rPr>
        <w:t>.</w:t>
      </w:r>
      <w:r>
        <w:rPr>
          <w:color w:val="000000" w:themeColor="text1"/>
        </w:rPr>
        <w:t>12</w:t>
      </w:r>
      <w:r w:rsidRPr="00081AD4">
        <w:rPr>
          <w:color w:val="000000" w:themeColor="text1"/>
        </w:rPr>
        <w:t>.202</w:t>
      </w:r>
      <w:r>
        <w:rPr>
          <w:color w:val="000000" w:themeColor="text1"/>
        </w:rPr>
        <w:t>1</w:t>
      </w:r>
    </w:p>
    <w:p w14:paraId="529AB259" w14:textId="77777777" w:rsidR="00B35B3E" w:rsidRDefault="00B35B3E" w:rsidP="00B35B3E">
      <w:pPr>
        <w:tabs>
          <w:tab w:val="left" w:pos="5580"/>
          <w:tab w:val="left" w:pos="9498"/>
        </w:tabs>
        <w:ind w:left="-2347" w:right="-569" w:firstLine="7592"/>
        <w:rPr>
          <w:color w:val="000000" w:themeColor="text1"/>
        </w:rPr>
      </w:pPr>
    </w:p>
    <w:p w14:paraId="4110B99B" w14:textId="77777777" w:rsidR="00B35B3E" w:rsidRPr="00B35B3E" w:rsidRDefault="00B35B3E" w:rsidP="00B35B3E">
      <w:pPr>
        <w:spacing w:after="120"/>
        <w:jc w:val="center"/>
        <w:rPr>
          <w:b/>
          <w:bCs/>
          <w:sz w:val="28"/>
          <w:szCs w:val="28"/>
        </w:rPr>
      </w:pPr>
      <w:r w:rsidRPr="00B35B3E">
        <w:rPr>
          <w:b/>
          <w:bCs/>
          <w:sz w:val="28"/>
          <w:szCs w:val="28"/>
        </w:rPr>
        <w:t>Тарифы</w:t>
      </w:r>
      <w:r w:rsidRPr="00B35B3E">
        <w:rPr>
          <w:b/>
          <w:bCs/>
          <w:sz w:val="28"/>
          <w:szCs w:val="28"/>
        </w:rPr>
        <w:br/>
        <w:t>на электрическую энергию для населения и приравненных к нему</w:t>
      </w:r>
      <w:r w:rsidRPr="00B35B3E">
        <w:rPr>
          <w:b/>
          <w:bCs/>
          <w:sz w:val="28"/>
          <w:szCs w:val="28"/>
        </w:rPr>
        <w:br/>
        <w:t>категорий потребителей Кемеровской области - Кузбасса на 2022 год</w:t>
      </w:r>
    </w:p>
    <w:p w14:paraId="39AD3AD6" w14:textId="77777777" w:rsidR="00B35B3E" w:rsidRPr="00B35B3E" w:rsidRDefault="00B35B3E" w:rsidP="00B35B3E">
      <w:pPr>
        <w:ind w:firstLine="708"/>
      </w:pPr>
    </w:p>
    <w:tbl>
      <w:tblPr>
        <w:tblW w:w="9493" w:type="dxa"/>
        <w:tblInd w:w="-147" w:type="dxa"/>
        <w:tblLayout w:type="fixed"/>
        <w:tblCellMar>
          <w:top w:w="102" w:type="dxa"/>
          <w:left w:w="62" w:type="dxa"/>
          <w:bottom w:w="102" w:type="dxa"/>
          <w:right w:w="62" w:type="dxa"/>
        </w:tblCellMar>
        <w:tblLook w:val="0000" w:firstRow="0" w:lastRow="0" w:firstColumn="0" w:lastColumn="0" w:noHBand="0" w:noVBand="0"/>
      </w:tblPr>
      <w:tblGrid>
        <w:gridCol w:w="737"/>
        <w:gridCol w:w="5075"/>
        <w:gridCol w:w="1843"/>
        <w:gridCol w:w="1838"/>
      </w:tblGrid>
      <w:tr w:rsidR="00B35B3E" w:rsidRPr="00B35B3E" w14:paraId="0D70AF75" w14:textId="77777777" w:rsidTr="00CA5588">
        <w:tc>
          <w:tcPr>
            <w:tcW w:w="737" w:type="dxa"/>
            <w:vMerge w:val="restart"/>
            <w:tcBorders>
              <w:top w:val="single" w:sz="4" w:space="0" w:color="auto"/>
              <w:left w:val="single" w:sz="4" w:space="0" w:color="auto"/>
              <w:bottom w:val="single" w:sz="4" w:space="0" w:color="auto"/>
              <w:right w:val="single" w:sz="4" w:space="0" w:color="auto"/>
            </w:tcBorders>
            <w:vAlign w:val="center"/>
          </w:tcPr>
          <w:p w14:paraId="45B7012E" w14:textId="77777777" w:rsidR="00B35B3E" w:rsidRPr="00B35B3E" w:rsidRDefault="00B35B3E" w:rsidP="00B35B3E">
            <w:pPr>
              <w:autoSpaceDE w:val="0"/>
              <w:autoSpaceDN w:val="0"/>
              <w:adjustRightInd w:val="0"/>
              <w:ind w:left="-215"/>
              <w:jc w:val="center"/>
              <w:rPr>
                <w:rFonts w:eastAsia="Calibri"/>
                <w:lang w:eastAsia="en-US"/>
              </w:rPr>
            </w:pPr>
            <w:r w:rsidRPr="00B35B3E">
              <w:rPr>
                <w:rFonts w:eastAsia="Calibri"/>
                <w:lang w:eastAsia="en-US"/>
              </w:rPr>
              <w:t>№</w:t>
            </w:r>
          </w:p>
          <w:p w14:paraId="18B50899" w14:textId="77777777" w:rsidR="00B35B3E" w:rsidRPr="00B35B3E" w:rsidRDefault="00B35B3E" w:rsidP="00B35B3E">
            <w:pPr>
              <w:autoSpaceDE w:val="0"/>
              <w:autoSpaceDN w:val="0"/>
              <w:adjustRightInd w:val="0"/>
              <w:ind w:left="-215"/>
              <w:jc w:val="center"/>
              <w:rPr>
                <w:rFonts w:eastAsia="Calibri"/>
                <w:lang w:eastAsia="en-US"/>
              </w:rPr>
            </w:pPr>
            <w:r w:rsidRPr="00B35B3E">
              <w:rPr>
                <w:rFonts w:eastAsia="Calibri"/>
                <w:lang w:eastAsia="en-US"/>
              </w:rPr>
              <w:t>п/п</w:t>
            </w:r>
          </w:p>
        </w:tc>
        <w:tc>
          <w:tcPr>
            <w:tcW w:w="5075" w:type="dxa"/>
            <w:vMerge w:val="restart"/>
            <w:tcBorders>
              <w:top w:val="single" w:sz="4" w:space="0" w:color="auto"/>
              <w:left w:val="single" w:sz="4" w:space="0" w:color="auto"/>
              <w:bottom w:val="single" w:sz="4" w:space="0" w:color="auto"/>
              <w:right w:val="single" w:sz="4" w:space="0" w:color="auto"/>
            </w:tcBorders>
            <w:vAlign w:val="center"/>
          </w:tcPr>
          <w:p w14:paraId="7417829C"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Категории потребителей с разбивкой по ставкам и дифференциацией по зонам суток</w:t>
            </w:r>
          </w:p>
        </w:tc>
        <w:tc>
          <w:tcPr>
            <w:tcW w:w="3681" w:type="dxa"/>
            <w:gridSpan w:val="2"/>
            <w:tcBorders>
              <w:top w:val="single" w:sz="4" w:space="0" w:color="auto"/>
              <w:left w:val="single" w:sz="4" w:space="0" w:color="auto"/>
              <w:bottom w:val="single" w:sz="4" w:space="0" w:color="auto"/>
              <w:right w:val="single" w:sz="4" w:space="0" w:color="auto"/>
            </w:tcBorders>
            <w:vAlign w:val="center"/>
          </w:tcPr>
          <w:p w14:paraId="44FAA13E"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Цена (тариф), руб./кВт·ч</w:t>
            </w:r>
          </w:p>
          <w:p w14:paraId="5E08AA0D"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(с учетом НДС)</w:t>
            </w:r>
          </w:p>
        </w:tc>
      </w:tr>
      <w:tr w:rsidR="00B35B3E" w:rsidRPr="00B35B3E" w14:paraId="147E6C66" w14:textId="77777777" w:rsidTr="00CA5588">
        <w:tc>
          <w:tcPr>
            <w:tcW w:w="737" w:type="dxa"/>
            <w:vMerge/>
            <w:tcBorders>
              <w:top w:val="single" w:sz="4" w:space="0" w:color="auto"/>
              <w:left w:val="single" w:sz="4" w:space="0" w:color="auto"/>
              <w:bottom w:val="single" w:sz="4" w:space="0" w:color="auto"/>
              <w:right w:val="single" w:sz="4" w:space="0" w:color="auto"/>
            </w:tcBorders>
            <w:vAlign w:val="center"/>
          </w:tcPr>
          <w:p w14:paraId="3707E336" w14:textId="77777777" w:rsidR="00B35B3E" w:rsidRPr="00B35B3E" w:rsidRDefault="00B35B3E" w:rsidP="00B35B3E">
            <w:pPr>
              <w:autoSpaceDE w:val="0"/>
              <w:autoSpaceDN w:val="0"/>
              <w:adjustRightInd w:val="0"/>
              <w:jc w:val="center"/>
              <w:rPr>
                <w:rFonts w:eastAsia="Calibri"/>
                <w:lang w:eastAsia="en-US"/>
              </w:rPr>
            </w:pPr>
          </w:p>
        </w:tc>
        <w:tc>
          <w:tcPr>
            <w:tcW w:w="5075" w:type="dxa"/>
            <w:vMerge/>
            <w:tcBorders>
              <w:top w:val="single" w:sz="4" w:space="0" w:color="auto"/>
              <w:left w:val="single" w:sz="4" w:space="0" w:color="auto"/>
              <w:bottom w:val="single" w:sz="4" w:space="0" w:color="auto"/>
              <w:right w:val="single" w:sz="4" w:space="0" w:color="auto"/>
            </w:tcBorders>
            <w:vAlign w:val="center"/>
          </w:tcPr>
          <w:p w14:paraId="44A461F0" w14:textId="77777777" w:rsidR="00B35B3E" w:rsidRPr="00B35B3E" w:rsidRDefault="00B35B3E" w:rsidP="00B35B3E">
            <w:pPr>
              <w:autoSpaceDE w:val="0"/>
              <w:autoSpaceDN w:val="0"/>
              <w:adjustRightInd w:val="0"/>
              <w:jc w:val="center"/>
              <w:rPr>
                <w:rFonts w:eastAsia="Calibri"/>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714E0D6D"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I полугодие</w:t>
            </w:r>
          </w:p>
        </w:tc>
        <w:tc>
          <w:tcPr>
            <w:tcW w:w="1838" w:type="dxa"/>
            <w:tcBorders>
              <w:top w:val="single" w:sz="4" w:space="0" w:color="auto"/>
              <w:left w:val="single" w:sz="4" w:space="0" w:color="auto"/>
              <w:bottom w:val="single" w:sz="4" w:space="0" w:color="auto"/>
              <w:right w:val="single" w:sz="4" w:space="0" w:color="auto"/>
            </w:tcBorders>
            <w:vAlign w:val="center"/>
          </w:tcPr>
          <w:p w14:paraId="5A65F540"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II полугодие</w:t>
            </w:r>
          </w:p>
        </w:tc>
      </w:tr>
      <w:tr w:rsidR="00B35B3E" w:rsidRPr="00B35B3E" w14:paraId="167A9B69" w14:textId="77777777" w:rsidTr="00CA5588">
        <w:tc>
          <w:tcPr>
            <w:tcW w:w="737" w:type="dxa"/>
            <w:tcBorders>
              <w:top w:val="single" w:sz="4" w:space="0" w:color="auto"/>
              <w:left w:val="single" w:sz="4" w:space="0" w:color="auto"/>
              <w:bottom w:val="single" w:sz="4" w:space="0" w:color="auto"/>
              <w:right w:val="single" w:sz="4" w:space="0" w:color="auto"/>
            </w:tcBorders>
          </w:tcPr>
          <w:p w14:paraId="511137DB" w14:textId="77777777" w:rsidR="00B35B3E" w:rsidRPr="00B35B3E" w:rsidRDefault="00B35B3E" w:rsidP="00B35B3E">
            <w:pPr>
              <w:autoSpaceDE w:val="0"/>
              <w:autoSpaceDN w:val="0"/>
              <w:adjustRightInd w:val="0"/>
              <w:jc w:val="center"/>
              <w:rPr>
                <w:rFonts w:eastAsia="Calibri"/>
                <w:lang w:eastAsia="en-US"/>
              </w:rPr>
            </w:pPr>
            <w:bookmarkStart w:id="0" w:name="_Hlk90467856"/>
            <w:r w:rsidRPr="00B35B3E">
              <w:rPr>
                <w:rFonts w:eastAsia="Calibri"/>
                <w:lang w:eastAsia="en-US"/>
              </w:rPr>
              <w:t>1</w:t>
            </w:r>
          </w:p>
        </w:tc>
        <w:tc>
          <w:tcPr>
            <w:tcW w:w="5075" w:type="dxa"/>
            <w:tcBorders>
              <w:top w:val="single" w:sz="4" w:space="0" w:color="auto"/>
              <w:left w:val="single" w:sz="4" w:space="0" w:color="auto"/>
              <w:bottom w:val="single" w:sz="4" w:space="0" w:color="auto"/>
              <w:right w:val="single" w:sz="4" w:space="0" w:color="auto"/>
            </w:tcBorders>
          </w:tcPr>
          <w:p w14:paraId="1C98AC3F"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2</w:t>
            </w:r>
          </w:p>
        </w:tc>
        <w:tc>
          <w:tcPr>
            <w:tcW w:w="1843" w:type="dxa"/>
            <w:tcBorders>
              <w:top w:val="single" w:sz="4" w:space="0" w:color="auto"/>
              <w:left w:val="single" w:sz="4" w:space="0" w:color="auto"/>
              <w:bottom w:val="single" w:sz="4" w:space="0" w:color="auto"/>
              <w:right w:val="single" w:sz="4" w:space="0" w:color="auto"/>
            </w:tcBorders>
          </w:tcPr>
          <w:p w14:paraId="28149EA4"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3</w:t>
            </w:r>
          </w:p>
        </w:tc>
        <w:tc>
          <w:tcPr>
            <w:tcW w:w="1838" w:type="dxa"/>
            <w:tcBorders>
              <w:top w:val="single" w:sz="4" w:space="0" w:color="auto"/>
              <w:left w:val="single" w:sz="4" w:space="0" w:color="auto"/>
              <w:bottom w:val="single" w:sz="4" w:space="0" w:color="auto"/>
              <w:right w:val="single" w:sz="4" w:space="0" w:color="auto"/>
            </w:tcBorders>
          </w:tcPr>
          <w:p w14:paraId="3A16C46F"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4</w:t>
            </w:r>
          </w:p>
        </w:tc>
      </w:tr>
      <w:bookmarkEnd w:id="0"/>
      <w:tr w:rsidR="00B35B3E" w:rsidRPr="00B35B3E" w14:paraId="4B94DB74" w14:textId="77777777" w:rsidTr="00CA5588">
        <w:tc>
          <w:tcPr>
            <w:tcW w:w="737" w:type="dxa"/>
            <w:tcBorders>
              <w:top w:val="single" w:sz="4" w:space="0" w:color="auto"/>
              <w:left w:val="single" w:sz="4" w:space="0" w:color="auto"/>
              <w:bottom w:val="single" w:sz="4" w:space="0" w:color="auto"/>
              <w:right w:val="single" w:sz="4" w:space="0" w:color="auto"/>
            </w:tcBorders>
          </w:tcPr>
          <w:p w14:paraId="78A8D0C0"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1</w:t>
            </w:r>
          </w:p>
        </w:tc>
        <w:tc>
          <w:tcPr>
            <w:tcW w:w="8756" w:type="dxa"/>
            <w:gridSpan w:val="3"/>
            <w:tcBorders>
              <w:top w:val="single" w:sz="4" w:space="0" w:color="auto"/>
              <w:left w:val="single" w:sz="4" w:space="0" w:color="auto"/>
              <w:bottom w:val="single" w:sz="4" w:space="0" w:color="auto"/>
              <w:right w:val="single" w:sz="4" w:space="0" w:color="auto"/>
            </w:tcBorders>
          </w:tcPr>
          <w:p w14:paraId="7F5D4C22"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Население и приравненные к нему, за исключением населения и потребителей, указанных в строках 2 - 5:</w:t>
            </w:r>
          </w:p>
          <w:p w14:paraId="393EB441"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3595FDDA"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56385EAC"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r w:rsidR="00B35B3E" w:rsidRPr="00B35B3E" w14:paraId="37CC3776" w14:textId="77777777" w:rsidTr="00CA5588">
        <w:tc>
          <w:tcPr>
            <w:tcW w:w="737" w:type="dxa"/>
            <w:tcBorders>
              <w:top w:val="single" w:sz="4" w:space="0" w:color="auto"/>
              <w:left w:val="single" w:sz="4" w:space="0" w:color="auto"/>
              <w:bottom w:val="single" w:sz="4" w:space="0" w:color="auto"/>
              <w:right w:val="single" w:sz="4" w:space="0" w:color="auto"/>
            </w:tcBorders>
          </w:tcPr>
          <w:p w14:paraId="28B3CB5B"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1.1</w:t>
            </w:r>
          </w:p>
        </w:tc>
        <w:tc>
          <w:tcPr>
            <w:tcW w:w="5075" w:type="dxa"/>
            <w:tcBorders>
              <w:top w:val="single" w:sz="4" w:space="0" w:color="auto"/>
              <w:left w:val="single" w:sz="4" w:space="0" w:color="auto"/>
              <w:bottom w:val="single" w:sz="4" w:space="0" w:color="auto"/>
              <w:right w:val="single" w:sz="4" w:space="0" w:color="auto"/>
            </w:tcBorders>
          </w:tcPr>
          <w:p w14:paraId="148D3036"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Одноставочный тариф</w:t>
            </w:r>
          </w:p>
        </w:tc>
        <w:tc>
          <w:tcPr>
            <w:tcW w:w="1843" w:type="dxa"/>
            <w:tcBorders>
              <w:top w:val="single" w:sz="4" w:space="0" w:color="auto"/>
              <w:left w:val="single" w:sz="4" w:space="0" w:color="auto"/>
              <w:bottom w:val="single" w:sz="4" w:space="0" w:color="auto"/>
              <w:right w:val="single" w:sz="4" w:space="0" w:color="auto"/>
            </w:tcBorders>
          </w:tcPr>
          <w:p w14:paraId="077F4C68" w14:textId="77777777" w:rsidR="00B35B3E" w:rsidRPr="00B35B3E" w:rsidRDefault="00B35B3E" w:rsidP="00B35B3E">
            <w:pPr>
              <w:autoSpaceDE w:val="0"/>
              <w:autoSpaceDN w:val="0"/>
              <w:adjustRightInd w:val="0"/>
              <w:jc w:val="center"/>
              <w:outlineLvl w:val="0"/>
              <w:rPr>
                <w:rFonts w:eastAsia="Calibri"/>
                <w:lang w:eastAsia="en-US"/>
              </w:rPr>
            </w:pPr>
            <w:r w:rsidRPr="00B35B3E">
              <w:rPr>
                <w:rFonts w:eastAsia="Calibri"/>
                <w:lang w:eastAsia="en-US"/>
              </w:rPr>
              <w:t>3,77</w:t>
            </w:r>
          </w:p>
        </w:tc>
        <w:tc>
          <w:tcPr>
            <w:tcW w:w="1838" w:type="dxa"/>
            <w:tcBorders>
              <w:top w:val="single" w:sz="4" w:space="0" w:color="auto"/>
              <w:left w:val="single" w:sz="4" w:space="0" w:color="auto"/>
              <w:bottom w:val="single" w:sz="4" w:space="0" w:color="auto"/>
              <w:right w:val="single" w:sz="4" w:space="0" w:color="auto"/>
            </w:tcBorders>
          </w:tcPr>
          <w:p w14:paraId="39A2DB84"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3,96</w:t>
            </w:r>
          </w:p>
        </w:tc>
      </w:tr>
      <w:tr w:rsidR="00B35B3E" w:rsidRPr="00B35B3E" w14:paraId="5421A99C" w14:textId="77777777" w:rsidTr="00CA5588">
        <w:tc>
          <w:tcPr>
            <w:tcW w:w="737" w:type="dxa"/>
            <w:vMerge w:val="restart"/>
            <w:tcBorders>
              <w:top w:val="single" w:sz="4" w:space="0" w:color="auto"/>
              <w:left w:val="single" w:sz="4" w:space="0" w:color="auto"/>
              <w:bottom w:val="single" w:sz="4" w:space="0" w:color="auto"/>
              <w:right w:val="single" w:sz="4" w:space="0" w:color="auto"/>
            </w:tcBorders>
          </w:tcPr>
          <w:p w14:paraId="307881E9"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1.2</w:t>
            </w:r>
          </w:p>
        </w:tc>
        <w:tc>
          <w:tcPr>
            <w:tcW w:w="8756" w:type="dxa"/>
            <w:gridSpan w:val="3"/>
            <w:tcBorders>
              <w:top w:val="single" w:sz="4" w:space="0" w:color="auto"/>
              <w:left w:val="single" w:sz="4" w:space="0" w:color="auto"/>
              <w:bottom w:val="single" w:sz="4" w:space="0" w:color="auto"/>
              <w:right w:val="single" w:sz="4" w:space="0" w:color="auto"/>
            </w:tcBorders>
          </w:tcPr>
          <w:p w14:paraId="1A1C8B88" w14:textId="77777777" w:rsidR="00B35B3E" w:rsidRPr="00B35B3E" w:rsidRDefault="00B35B3E" w:rsidP="00B35B3E">
            <w:pPr>
              <w:autoSpaceDE w:val="0"/>
              <w:autoSpaceDN w:val="0"/>
              <w:adjustRightInd w:val="0"/>
              <w:rPr>
                <w:rFonts w:eastAsia="Calibri"/>
                <w:lang w:eastAsia="en-US"/>
              </w:rPr>
            </w:pPr>
            <w:r w:rsidRPr="00B35B3E">
              <w:rPr>
                <w:rFonts w:eastAsia="Calibri"/>
                <w:lang w:eastAsia="en-US"/>
              </w:rPr>
              <w:t>Одноставочный тариф, дифференцированный по двум зонам суток</w:t>
            </w:r>
          </w:p>
        </w:tc>
      </w:tr>
      <w:tr w:rsidR="00B35B3E" w:rsidRPr="00B35B3E" w14:paraId="527FA02C" w14:textId="77777777" w:rsidTr="00CA5588">
        <w:tc>
          <w:tcPr>
            <w:tcW w:w="737" w:type="dxa"/>
            <w:vMerge/>
            <w:tcBorders>
              <w:top w:val="single" w:sz="4" w:space="0" w:color="auto"/>
              <w:left w:val="single" w:sz="4" w:space="0" w:color="auto"/>
              <w:bottom w:val="single" w:sz="4" w:space="0" w:color="auto"/>
              <w:right w:val="single" w:sz="4" w:space="0" w:color="auto"/>
            </w:tcBorders>
          </w:tcPr>
          <w:p w14:paraId="2A74B145" w14:textId="77777777" w:rsidR="00B35B3E" w:rsidRPr="00B35B3E" w:rsidRDefault="00B35B3E" w:rsidP="00B35B3E">
            <w:pPr>
              <w:autoSpaceDE w:val="0"/>
              <w:autoSpaceDN w:val="0"/>
              <w:adjustRightInd w:val="0"/>
              <w:jc w:val="center"/>
              <w:rPr>
                <w:rFonts w:eastAsia="Calibri"/>
                <w:lang w:eastAsia="en-US"/>
              </w:rPr>
            </w:pPr>
          </w:p>
        </w:tc>
        <w:tc>
          <w:tcPr>
            <w:tcW w:w="5075" w:type="dxa"/>
            <w:tcBorders>
              <w:top w:val="single" w:sz="4" w:space="0" w:color="auto"/>
              <w:left w:val="single" w:sz="4" w:space="0" w:color="auto"/>
              <w:bottom w:val="single" w:sz="4" w:space="0" w:color="auto"/>
              <w:right w:val="single" w:sz="4" w:space="0" w:color="auto"/>
            </w:tcBorders>
          </w:tcPr>
          <w:p w14:paraId="59C1779C"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Дневная зона (пиковая и полупиковая)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E1689D0" w14:textId="77777777" w:rsidR="00B35B3E" w:rsidRPr="00B35B3E" w:rsidRDefault="00B35B3E" w:rsidP="00B35B3E">
            <w:pPr>
              <w:autoSpaceDE w:val="0"/>
              <w:autoSpaceDN w:val="0"/>
              <w:adjustRightInd w:val="0"/>
              <w:jc w:val="center"/>
              <w:outlineLvl w:val="0"/>
              <w:rPr>
                <w:rFonts w:eastAsia="Calibri"/>
                <w:lang w:eastAsia="en-US"/>
              </w:rPr>
            </w:pPr>
            <w:r w:rsidRPr="00B35B3E">
              <w:rPr>
                <w:rFonts w:eastAsia="Calibri"/>
                <w:lang w:eastAsia="en-US"/>
              </w:rPr>
              <w:t>4,34</w:t>
            </w:r>
          </w:p>
        </w:tc>
        <w:tc>
          <w:tcPr>
            <w:tcW w:w="1838" w:type="dxa"/>
            <w:tcBorders>
              <w:top w:val="single" w:sz="4" w:space="0" w:color="auto"/>
              <w:left w:val="nil"/>
              <w:bottom w:val="single" w:sz="4" w:space="0" w:color="auto"/>
              <w:right w:val="single" w:sz="4" w:space="0" w:color="auto"/>
            </w:tcBorders>
            <w:shd w:val="clear" w:color="auto" w:fill="auto"/>
            <w:vAlign w:val="center"/>
          </w:tcPr>
          <w:p w14:paraId="71B1F136" w14:textId="77777777" w:rsidR="00B35B3E" w:rsidRPr="00B35B3E" w:rsidRDefault="00B35B3E" w:rsidP="00B35B3E">
            <w:pPr>
              <w:autoSpaceDE w:val="0"/>
              <w:autoSpaceDN w:val="0"/>
              <w:adjustRightInd w:val="0"/>
              <w:jc w:val="center"/>
              <w:outlineLvl w:val="0"/>
              <w:rPr>
                <w:rFonts w:eastAsia="Calibri"/>
                <w:lang w:eastAsia="en-US"/>
              </w:rPr>
            </w:pPr>
            <w:r w:rsidRPr="00B35B3E">
              <w:rPr>
                <w:rFonts w:eastAsia="Calibri"/>
                <w:lang w:eastAsia="en-US"/>
              </w:rPr>
              <w:t>4,55</w:t>
            </w:r>
          </w:p>
        </w:tc>
      </w:tr>
      <w:tr w:rsidR="00B35B3E" w:rsidRPr="00B35B3E" w14:paraId="512A66BD" w14:textId="77777777" w:rsidTr="00CA5588">
        <w:tc>
          <w:tcPr>
            <w:tcW w:w="737" w:type="dxa"/>
            <w:vMerge/>
            <w:tcBorders>
              <w:top w:val="single" w:sz="4" w:space="0" w:color="auto"/>
              <w:left w:val="single" w:sz="4" w:space="0" w:color="auto"/>
              <w:bottom w:val="single" w:sz="4" w:space="0" w:color="auto"/>
              <w:right w:val="single" w:sz="4" w:space="0" w:color="auto"/>
            </w:tcBorders>
          </w:tcPr>
          <w:p w14:paraId="0530A60F" w14:textId="77777777" w:rsidR="00B35B3E" w:rsidRPr="00B35B3E" w:rsidRDefault="00B35B3E" w:rsidP="00B35B3E">
            <w:pPr>
              <w:autoSpaceDE w:val="0"/>
              <w:autoSpaceDN w:val="0"/>
              <w:adjustRightInd w:val="0"/>
              <w:jc w:val="center"/>
              <w:rPr>
                <w:rFonts w:eastAsia="Calibri"/>
                <w:lang w:eastAsia="en-US"/>
              </w:rPr>
            </w:pPr>
          </w:p>
        </w:tc>
        <w:tc>
          <w:tcPr>
            <w:tcW w:w="5075" w:type="dxa"/>
            <w:tcBorders>
              <w:top w:val="single" w:sz="4" w:space="0" w:color="auto"/>
              <w:left w:val="single" w:sz="4" w:space="0" w:color="auto"/>
              <w:bottom w:val="single" w:sz="4" w:space="0" w:color="auto"/>
              <w:right w:val="single" w:sz="4" w:space="0" w:color="auto"/>
            </w:tcBorders>
          </w:tcPr>
          <w:p w14:paraId="365F3A68"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Ночная зона</w:t>
            </w:r>
          </w:p>
        </w:tc>
        <w:tc>
          <w:tcPr>
            <w:tcW w:w="1843" w:type="dxa"/>
            <w:tcBorders>
              <w:top w:val="nil"/>
              <w:left w:val="single" w:sz="4" w:space="0" w:color="auto"/>
              <w:bottom w:val="single" w:sz="4" w:space="0" w:color="auto"/>
              <w:right w:val="single" w:sz="4" w:space="0" w:color="auto"/>
            </w:tcBorders>
            <w:shd w:val="clear" w:color="auto" w:fill="auto"/>
            <w:vAlign w:val="center"/>
          </w:tcPr>
          <w:p w14:paraId="7E508104" w14:textId="77777777" w:rsidR="00B35B3E" w:rsidRPr="00B35B3E" w:rsidRDefault="00B35B3E" w:rsidP="00B35B3E">
            <w:pPr>
              <w:autoSpaceDE w:val="0"/>
              <w:autoSpaceDN w:val="0"/>
              <w:adjustRightInd w:val="0"/>
              <w:jc w:val="center"/>
              <w:outlineLvl w:val="0"/>
              <w:rPr>
                <w:rFonts w:eastAsia="Calibri"/>
                <w:lang w:eastAsia="en-US"/>
              </w:rPr>
            </w:pPr>
            <w:r w:rsidRPr="00B35B3E">
              <w:rPr>
                <w:rFonts w:eastAsia="Calibri"/>
                <w:lang w:eastAsia="en-US"/>
              </w:rPr>
              <w:t>2,45</w:t>
            </w:r>
          </w:p>
        </w:tc>
        <w:tc>
          <w:tcPr>
            <w:tcW w:w="1838" w:type="dxa"/>
            <w:tcBorders>
              <w:top w:val="nil"/>
              <w:left w:val="nil"/>
              <w:bottom w:val="single" w:sz="4" w:space="0" w:color="auto"/>
              <w:right w:val="single" w:sz="4" w:space="0" w:color="auto"/>
            </w:tcBorders>
            <w:shd w:val="clear" w:color="auto" w:fill="auto"/>
            <w:vAlign w:val="center"/>
          </w:tcPr>
          <w:p w14:paraId="71728377" w14:textId="77777777" w:rsidR="00B35B3E" w:rsidRPr="00B35B3E" w:rsidRDefault="00B35B3E" w:rsidP="00B35B3E">
            <w:pPr>
              <w:autoSpaceDE w:val="0"/>
              <w:autoSpaceDN w:val="0"/>
              <w:adjustRightInd w:val="0"/>
              <w:jc w:val="center"/>
              <w:outlineLvl w:val="0"/>
              <w:rPr>
                <w:rFonts w:eastAsia="Calibri"/>
                <w:lang w:eastAsia="en-US"/>
              </w:rPr>
            </w:pPr>
            <w:r w:rsidRPr="00B35B3E">
              <w:rPr>
                <w:rFonts w:eastAsia="Calibri"/>
                <w:lang w:eastAsia="en-US"/>
              </w:rPr>
              <w:t>2,57</w:t>
            </w:r>
          </w:p>
        </w:tc>
      </w:tr>
    </w:tbl>
    <w:p w14:paraId="62B439E6" w14:textId="77777777" w:rsidR="00B35B3E" w:rsidRPr="00B35B3E" w:rsidRDefault="00B35B3E" w:rsidP="00B35B3E">
      <w:pPr>
        <w:autoSpaceDE w:val="0"/>
        <w:autoSpaceDN w:val="0"/>
        <w:adjustRightInd w:val="0"/>
        <w:rPr>
          <w:rFonts w:eastAsia="Calibri"/>
          <w:lang w:eastAsia="en-US"/>
        </w:rPr>
        <w:sectPr w:rsidR="00B35B3E" w:rsidRPr="00B35B3E">
          <w:footerReference w:type="default" r:id="rId8"/>
          <w:pgSz w:w="11906" w:h="16838"/>
          <w:pgMar w:top="1134" w:right="850" w:bottom="1134" w:left="1701" w:header="708" w:footer="708" w:gutter="0"/>
          <w:cols w:space="708"/>
          <w:docGrid w:linePitch="360"/>
        </w:sectPr>
      </w:pPr>
    </w:p>
    <w:tbl>
      <w:tblPr>
        <w:tblW w:w="9493" w:type="dxa"/>
        <w:tblInd w:w="-147" w:type="dxa"/>
        <w:tblLayout w:type="fixed"/>
        <w:tblCellMar>
          <w:top w:w="102" w:type="dxa"/>
          <w:left w:w="62" w:type="dxa"/>
          <w:bottom w:w="102" w:type="dxa"/>
          <w:right w:w="62" w:type="dxa"/>
        </w:tblCellMar>
        <w:tblLook w:val="0000" w:firstRow="0" w:lastRow="0" w:firstColumn="0" w:lastColumn="0" w:noHBand="0" w:noVBand="0"/>
      </w:tblPr>
      <w:tblGrid>
        <w:gridCol w:w="737"/>
        <w:gridCol w:w="5075"/>
        <w:gridCol w:w="1843"/>
        <w:gridCol w:w="1838"/>
      </w:tblGrid>
      <w:tr w:rsidR="00B35B3E" w:rsidRPr="00B35B3E" w14:paraId="18FA0641" w14:textId="77777777" w:rsidTr="00CA5588">
        <w:trPr>
          <w:tblHeader/>
        </w:trPr>
        <w:tc>
          <w:tcPr>
            <w:tcW w:w="737" w:type="dxa"/>
            <w:tcBorders>
              <w:top w:val="single" w:sz="4" w:space="0" w:color="auto"/>
              <w:left w:val="single" w:sz="4" w:space="0" w:color="auto"/>
              <w:bottom w:val="single" w:sz="4" w:space="0" w:color="auto"/>
              <w:right w:val="single" w:sz="4" w:space="0" w:color="auto"/>
            </w:tcBorders>
          </w:tcPr>
          <w:p w14:paraId="371E1335"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lastRenderedPageBreak/>
              <w:t>1</w:t>
            </w:r>
          </w:p>
        </w:tc>
        <w:tc>
          <w:tcPr>
            <w:tcW w:w="5075" w:type="dxa"/>
            <w:tcBorders>
              <w:top w:val="single" w:sz="4" w:space="0" w:color="auto"/>
              <w:left w:val="single" w:sz="4" w:space="0" w:color="auto"/>
              <w:bottom w:val="single" w:sz="4" w:space="0" w:color="auto"/>
              <w:right w:val="single" w:sz="4" w:space="0" w:color="auto"/>
            </w:tcBorders>
          </w:tcPr>
          <w:p w14:paraId="17D3AC40"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2</w:t>
            </w:r>
          </w:p>
        </w:tc>
        <w:tc>
          <w:tcPr>
            <w:tcW w:w="1843" w:type="dxa"/>
            <w:tcBorders>
              <w:top w:val="single" w:sz="4" w:space="0" w:color="auto"/>
              <w:left w:val="single" w:sz="4" w:space="0" w:color="auto"/>
              <w:bottom w:val="single" w:sz="4" w:space="0" w:color="auto"/>
              <w:right w:val="single" w:sz="4" w:space="0" w:color="auto"/>
            </w:tcBorders>
          </w:tcPr>
          <w:p w14:paraId="2E83DE7B"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3</w:t>
            </w:r>
          </w:p>
        </w:tc>
        <w:tc>
          <w:tcPr>
            <w:tcW w:w="1838" w:type="dxa"/>
            <w:tcBorders>
              <w:top w:val="single" w:sz="4" w:space="0" w:color="auto"/>
              <w:left w:val="single" w:sz="4" w:space="0" w:color="auto"/>
              <w:bottom w:val="single" w:sz="4" w:space="0" w:color="auto"/>
              <w:right w:val="single" w:sz="4" w:space="0" w:color="auto"/>
            </w:tcBorders>
          </w:tcPr>
          <w:p w14:paraId="13FAD640"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4</w:t>
            </w:r>
          </w:p>
        </w:tc>
      </w:tr>
      <w:tr w:rsidR="00B35B3E" w:rsidRPr="00B35B3E" w14:paraId="2658608B" w14:textId="77777777" w:rsidTr="00CA5588">
        <w:tc>
          <w:tcPr>
            <w:tcW w:w="737" w:type="dxa"/>
            <w:vMerge w:val="restart"/>
            <w:tcBorders>
              <w:top w:val="single" w:sz="4" w:space="0" w:color="auto"/>
              <w:left w:val="single" w:sz="4" w:space="0" w:color="auto"/>
              <w:bottom w:val="single" w:sz="4" w:space="0" w:color="auto"/>
              <w:right w:val="single" w:sz="4" w:space="0" w:color="auto"/>
            </w:tcBorders>
          </w:tcPr>
          <w:p w14:paraId="4ACEBD82"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1.3</w:t>
            </w:r>
          </w:p>
        </w:tc>
        <w:tc>
          <w:tcPr>
            <w:tcW w:w="8756" w:type="dxa"/>
            <w:gridSpan w:val="3"/>
            <w:tcBorders>
              <w:top w:val="single" w:sz="4" w:space="0" w:color="auto"/>
              <w:left w:val="single" w:sz="4" w:space="0" w:color="auto"/>
              <w:bottom w:val="single" w:sz="4" w:space="0" w:color="auto"/>
              <w:right w:val="single" w:sz="4" w:space="0" w:color="auto"/>
            </w:tcBorders>
          </w:tcPr>
          <w:p w14:paraId="78491285" w14:textId="77777777" w:rsidR="00B35B3E" w:rsidRPr="00B35B3E" w:rsidRDefault="00B35B3E" w:rsidP="00B35B3E">
            <w:pPr>
              <w:autoSpaceDE w:val="0"/>
              <w:autoSpaceDN w:val="0"/>
              <w:adjustRightInd w:val="0"/>
              <w:rPr>
                <w:rFonts w:eastAsia="Calibri"/>
                <w:lang w:eastAsia="en-US"/>
              </w:rPr>
            </w:pPr>
            <w:r w:rsidRPr="00B35B3E">
              <w:rPr>
                <w:rFonts w:eastAsia="Calibri"/>
                <w:lang w:eastAsia="en-US"/>
              </w:rPr>
              <w:t>Одноставочный тариф, дифференцированный по трем зонам суток</w:t>
            </w:r>
          </w:p>
        </w:tc>
      </w:tr>
      <w:tr w:rsidR="00B35B3E" w:rsidRPr="00B35B3E" w14:paraId="0BFB4951" w14:textId="77777777" w:rsidTr="00CA5588">
        <w:tc>
          <w:tcPr>
            <w:tcW w:w="737" w:type="dxa"/>
            <w:vMerge/>
            <w:tcBorders>
              <w:top w:val="single" w:sz="4" w:space="0" w:color="auto"/>
              <w:left w:val="single" w:sz="4" w:space="0" w:color="auto"/>
              <w:bottom w:val="single" w:sz="4" w:space="0" w:color="auto"/>
              <w:right w:val="single" w:sz="4" w:space="0" w:color="auto"/>
            </w:tcBorders>
          </w:tcPr>
          <w:p w14:paraId="277C8173" w14:textId="77777777" w:rsidR="00B35B3E" w:rsidRPr="00B35B3E" w:rsidRDefault="00B35B3E" w:rsidP="00B35B3E">
            <w:pPr>
              <w:autoSpaceDE w:val="0"/>
              <w:autoSpaceDN w:val="0"/>
              <w:adjustRightInd w:val="0"/>
              <w:jc w:val="center"/>
              <w:rPr>
                <w:rFonts w:eastAsia="Calibri"/>
                <w:lang w:eastAsia="en-US"/>
              </w:rPr>
            </w:pPr>
          </w:p>
        </w:tc>
        <w:tc>
          <w:tcPr>
            <w:tcW w:w="5075" w:type="dxa"/>
            <w:tcBorders>
              <w:top w:val="single" w:sz="4" w:space="0" w:color="auto"/>
              <w:left w:val="single" w:sz="4" w:space="0" w:color="auto"/>
              <w:bottom w:val="single" w:sz="4" w:space="0" w:color="auto"/>
              <w:right w:val="single" w:sz="4" w:space="0" w:color="auto"/>
            </w:tcBorders>
          </w:tcPr>
          <w:p w14:paraId="6E7EE128"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Пиковая зона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490A735" w14:textId="77777777" w:rsidR="00B35B3E" w:rsidRPr="00B35B3E" w:rsidRDefault="00B35B3E" w:rsidP="00B35B3E">
            <w:pPr>
              <w:autoSpaceDE w:val="0"/>
              <w:autoSpaceDN w:val="0"/>
              <w:adjustRightInd w:val="0"/>
              <w:jc w:val="center"/>
              <w:outlineLvl w:val="0"/>
              <w:rPr>
                <w:rFonts w:eastAsia="Calibri"/>
                <w:lang w:eastAsia="en-US"/>
              </w:rPr>
            </w:pPr>
            <w:r w:rsidRPr="00B35B3E">
              <w:rPr>
                <w:rFonts w:eastAsia="Calibri"/>
                <w:lang w:eastAsia="en-US"/>
              </w:rPr>
              <w:t>4,72</w:t>
            </w:r>
          </w:p>
        </w:tc>
        <w:tc>
          <w:tcPr>
            <w:tcW w:w="1838" w:type="dxa"/>
            <w:tcBorders>
              <w:top w:val="single" w:sz="4" w:space="0" w:color="auto"/>
              <w:left w:val="nil"/>
              <w:bottom w:val="single" w:sz="4" w:space="0" w:color="auto"/>
              <w:right w:val="single" w:sz="4" w:space="0" w:color="auto"/>
            </w:tcBorders>
            <w:shd w:val="clear" w:color="auto" w:fill="auto"/>
            <w:vAlign w:val="center"/>
          </w:tcPr>
          <w:p w14:paraId="0C6B507B" w14:textId="77777777" w:rsidR="00B35B3E" w:rsidRPr="00B35B3E" w:rsidRDefault="00B35B3E" w:rsidP="00B35B3E">
            <w:pPr>
              <w:autoSpaceDE w:val="0"/>
              <w:autoSpaceDN w:val="0"/>
              <w:adjustRightInd w:val="0"/>
              <w:jc w:val="center"/>
              <w:outlineLvl w:val="0"/>
              <w:rPr>
                <w:rFonts w:eastAsia="Calibri"/>
                <w:lang w:eastAsia="en-US"/>
              </w:rPr>
            </w:pPr>
            <w:r w:rsidRPr="00B35B3E">
              <w:rPr>
                <w:rFonts w:eastAsia="Calibri"/>
                <w:lang w:eastAsia="en-US"/>
              </w:rPr>
              <w:t>4,96</w:t>
            </w:r>
          </w:p>
        </w:tc>
      </w:tr>
      <w:tr w:rsidR="00B35B3E" w:rsidRPr="00B35B3E" w14:paraId="520C430D" w14:textId="77777777" w:rsidTr="00CA5588">
        <w:tc>
          <w:tcPr>
            <w:tcW w:w="737" w:type="dxa"/>
            <w:vMerge/>
            <w:tcBorders>
              <w:top w:val="single" w:sz="4" w:space="0" w:color="auto"/>
              <w:left w:val="single" w:sz="4" w:space="0" w:color="auto"/>
              <w:bottom w:val="single" w:sz="4" w:space="0" w:color="auto"/>
              <w:right w:val="single" w:sz="4" w:space="0" w:color="auto"/>
            </w:tcBorders>
          </w:tcPr>
          <w:p w14:paraId="4238589B" w14:textId="77777777" w:rsidR="00B35B3E" w:rsidRPr="00B35B3E" w:rsidRDefault="00B35B3E" w:rsidP="00B35B3E">
            <w:pPr>
              <w:autoSpaceDE w:val="0"/>
              <w:autoSpaceDN w:val="0"/>
              <w:adjustRightInd w:val="0"/>
              <w:jc w:val="center"/>
              <w:rPr>
                <w:rFonts w:eastAsia="Calibri"/>
                <w:lang w:eastAsia="en-US"/>
              </w:rPr>
            </w:pPr>
          </w:p>
        </w:tc>
        <w:tc>
          <w:tcPr>
            <w:tcW w:w="5075" w:type="dxa"/>
            <w:tcBorders>
              <w:top w:val="single" w:sz="4" w:space="0" w:color="auto"/>
              <w:left w:val="single" w:sz="4" w:space="0" w:color="auto"/>
              <w:bottom w:val="single" w:sz="4" w:space="0" w:color="auto"/>
              <w:right w:val="single" w:sz="4" w:space="0" w:color="auto"/>
            </w:tcBorders>
          </w:tcPr>
          <w:p w14:paraId="06AC0449"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Полупиковая зона</w:t>
            </w:r>
          </w:p>
        </w:tc>
        <w:tc>
          <w:tcPr>
            <w:tcW w:w="1843" w:type="dxa"/>
            <w:tcBorders>
              <w:top w:val="nil"/>
              <w:left w:val="single" w:sz="4" w:space="0" w:color="auto"/>
              <w:bottom w:val="single" w:sz="4" w:space="0" w:color="auto"/>
              <w:right w:val="single" w:sz="4" w:space="0" w:color="auto"/>
            </w:tcBorders>
            <w:shd w:val="clear" w:color="auto" w:fill="auto"/>
            <w:vAlign w:val="center"/>
          </w:tcPr>
          <w:p w14:paraId="102D0D0F" w14:textId="77777777" w:rsidR="00B35B3E" w:rsidRPr="00B35B3E" w:rsidRDefault="00B35B3E" w:rsidP="00B35B3E">
            <w:pPr>
              <w:autoSpaceDE w:val="0"/>
              <w:autoSpaceDN w:val="0"/>
              <w:adjustRightInd w:val="0"/>
              <w:jc w:val="center"/>
              <w:outlineLvl w:val="0"/>
              <w:rPr>
                <w:rFonts w:eastAsia="Calibri"/>
                <w:lang w:eastAsia="en-US"/>
              </w:rPr>
            </w:pPr>
            <w:r w:rsidRPr="00B35B3E">
              <w:rPr>
                <w:rFonts w:eastAsia="Calibri"/>
                <w:lang w:eastAsia="en-US"/>
              </w:rPr>
              <w:t>3,77</w:t>
            </w:r>
          </w:p>
        </w:tc>
        <w:tc>
          <w:tcPr>
            <w:tcW w:w="1838" w:type="dxa"/>
            <w:tcBorders>
              <w:top w:val="nil"/>
              <w:left w:val="nil"/>
              <w:bottom w:val="single" w:sz="4" w:space="0" w:color="auto"/>
              <w:right w:val="single" w:sz="4" w:space="0" w:color="auto"/>
            </w:tcBorders>
            <w:shd w:val="clear" w:color="auto" w:fill="auto"/>
            <w:vAlign w:val="center"/>
          </w:tcPr>
          <w:p w14:paraId="2B5AB631" w14:textId="77777777" w:rsidR="00B35B3E" w:rsidRPr="00B35B3E" w:rsidRDefault="00B35B3E" w:rsidP="00B35B3E">
            <w:pPr>
              <w:autoSpaceDE w:val="0"/>
              <w:autoSpaceDN w:val="0"/>
              <w:adjustRightInd w:val="0"/>
              <w:jc w:val="center"/>
              <w:outlineLvl w:val="0"/>
              <w:rPr>
                <w:rFonts w:eastAsia="Calibri"/>
                <w:lang w:eastAsia="en-US"/>
              </w:rPr>
            </w:pPr>
            <w:r w:rsidRPr="00B35B3E">
              <w:rPr>
                <w:rFonts w:eastAsia="Calibri"/>
                <w:lang w:eastAsia="en-US"/>
              </w:rPr>
              <w:t>3,96</w:t>
            </w:r>
          </w:p>
        </w:tc>
      </w:tr>
      <w:tr w:rsidR="00B35B3E" w:rsidRPr="00B35B3E" w14:paraId="1F9A378E" w14:textId="77777777" w:rsidTr="00CA5588">
        <w:tc>
          <w:tcPr>
            <w:tcW w:w="737" w:type="dxa"/>
            <w:vMerge/>
            <w:tcBorders>
              <w:top w:val="single" w:sz="4" w:space="0" w:color="auto"/>
              <w:left w:val="single" w:sz="4" w:space="0" w:color="auto"/>
              <w:bottom w:val="single" w:sz="4" w:space="0" w:color="auto"/>
              <w:right w:val="single" w:sz="4" w:space="0" w:color="auto"/>
            </w:tcBorders>
          </w:tcPr>
          <w:p w14:paraId="3B752DFA" w14:textId="77777777" w:rsidR="00B35B3E" w:rsidRPr="00B35B3E" w:rsidRDefault="00B35B3E" w:rsidP="00B35B3E">
            <w:pPr>
              <w:autoSpaceDE w:val="0"/>
              <w:autoSpaceDN w:val="0"/>
              <w:adjustRightInd w:val="0"/>
              <w:jc w:val="center"/>
              <w:rPr>
                <w:rFonts w:eastAsia="Calibri"/>
                <w:lang w:eastAsia="en-US"/>
              </w:rPr>
            </w:pPr>
          </w:p>
        </w:tc>
        <w:tc>
          <w:tcPr>
            <w:tcW w:w="5075" w:type="dxa"/>
            <w:tcBorders>
              <w:top w:val="single" w:sz="4" w:space="0" w:color="auto"/>
              <w:left w:val="single" w:sz="4" w:space="0" w:color="auto"/>
              <w:bottom w:val="single" w:sz="4" w:space="0" w:color="auto"/>
              <w:right w:val="single" w:sz="4" w:space="0" w:color="auto"/>
            </w:tcBorders>
          </w:tcPr>
          <w:p w14:paraId="1971AB03"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Ночная зона</w:t>
            </w:r>
          </w:p>
        </w:tc>
        <w:tc>
          <w:tcPr>
            <w:tcW w:w="1843" w:type="dxa"/>
            <w:tcBorders>
              <w:top w:val="nil"/>
              <w:left w:val="single" w:sz="4" w:space="0" w:color="auto"/>
              <w:bottom w:val="single" w:sz="4" w:space="0" w:color="auto"/>
              <w:right w:val="single" w:sz="4" w:space="0" w:color="auto"/>
            </w:tcBorders>
            <w:shd w:val="clear" w:color="auto" w:fill="auto"/>
            <w:vAlign w:val="center"/>
          </w:tcPr>
          <w:p w14:paraId="38BA47BD" w14:textId="77777777" w:rsidR="00B35B3E" w:rsidRPr="00B35B3E" w:rsidRDefault="00B35B3E" w:rsidP="00B35B3E">
            <w:pPr>
              <w:autoSpaceDE w:val="0"/>
              <w:autoSpaceDN w:val="0"/>
              <w:adjustRightInd w:val="0"/>
              <w:jc w:val="center"/>
              <w:outlineLvl w:val="0"/>
              <w:rPr>
                <w:rFonts w:eastAsia="Calibri"/>
                <w:lang w:eastAsia="en-US"/>
              </w:rPr>
            </w:pPr>
            <w:r w:rsidRPr="00B35B3E">
              <w:rPr>
                <w:rFonts w:eastAsia="Calibri"/>
                <w:lang w:eastAsia="en-US"/>
              </w:rPr>
              <w:t>2,45</w:t>
            </w:r>
          </w:p>
        </w:tc>
        <w:tc>
          <w:tcPr>
            <w:tcW w:w="1838" w:type="dxa"/>
            <w:tcBorders>
              <w:top w:val="nil"/>
              <w:left w:val="nil"/>
              <w:bottom w:val="single" w:sz="4" w:space="0" w:color="auto"/>
              <w:right w:val="single" w:sz="4" w:space="0" w:color="auto"/>
            </w:tcBorders>
            <w:shd w:val="clear" w:color="auto" w:fill="auto"/>
            <w:vAlign w:val="center"/>
          </w:tcPr>
          <w:p w14:paraId="5D5EF999" w14:textId="77777777" w:rsidR="00B35B3E" w:rsidRPr="00B35B3E" w:rsidRDefault="00B35B3E" w:rsidP="00B35B3E">
            <w:pPr>
              <w:autoSpaceDE w:val="0"/>
              <w:autoSpaceDN w:val="0"/>
              <w:adjustRightInd w:val="0"/>
              <w:jc w:val="center"/>
              <w:outlineLvl w:val="0"/>
              <w:rPr>
                <w:rFonts w:eastAsia="Calibri"/>
                <w:lang w:eastAsia="en-US"/>
              </w:rPr>
            </w:pPr>
            <w:r w:rsidRPr="00B35B3E">
              <w:rPr>
                <w:rFonts w:eastAsia="Calibri"/>
                <w:lang w:eastAsia="en-US"/>
              </w:rPr>
              <w:t>2,57</w:t>
            </w:r>
          </w:p>
        </w:tc>
      </w:tr>
      <w:tr w:rsidR="00B35B3E" w:rsidRPr="00B35B3E" w14:paraId="46D7A47E" w14:textId="77777777" w:rsidTr="00CA5588">
        <w:tc>
          <w:tcPr>
            <w:tcW w:w="737" w:type="dxa"/>
            <w:tcBorders>
              <w:top w:val="single" w:sz="4" w:space="0" w:color="auto"/>
              <w:left w:val="single" w:sz="4" w:space="0" w:color="auto"/>
              <w:bottom w:val="single" w:sz="4" w:space="0" w:color="auto"/>
              <w:right w:val="single" w:sz="4" w:space="0" w:color="auto"/>
            </w:tcBorders>
          </w:tcPr>
          <w:p w14:paraId="7A51F54F"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2</w:t>
            </w:r>
          </w:p>
        </w:tc>
        <w:tc>
          <w:tcPr>
            <w:tcW w:w="8756" w:type="dxa"/>
            <w:gridSpan w:val="3"/>
            <w:tcBorders>
              <w:top w:val="single" w:sz="4" w:space="0" w:color="auto"/>
              <w:left w:val="single" w:sz="4" w:space="0" w:color="auto"/>
              <w:bottom w:val="single" w:sz="4" w:space="0" w:color="auto"/>
              <w:right w:val="single" w:sz="4" w:space="0" w:color="auto"/>
            </w:tcBorders>
          </w:tcPr>
          <w:p w14:paraId="353CD6C7"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Население, проживающее в городских населенных пунктах в домах, оборудованных стационарными электроплитами и электроотопительными установками, и приравненные к нему:</w:t>
            </w:r>
          </w:p>
          <w:p w14:paraId="7A086C87"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303867E3"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7EF63837"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r w:rsidR="00B35B3E" w:rsidRPr="00B35B3E" w14:paraId="59BC1C62" w14:textId="77777777" w:rsidTr="00CA5588">
        <w:tc>
          <w:tcPr>
            <w:tcW w:w="737" w:type="dxa"/>
            <w:tcBorders>
              <w:top w:val="single" w:sz="4" w:space="0" w:color="auto"/>
              <w:left w:val="single" w:sz="4" w:space="0" w:color="auto"/>
              <w:bottom w:val="single" w:sz="4" w:space="0" w:color="auto"/>
              <w:right w:val="single" w:sz="4" w:space="0" w:color="auto"/>
            </w:tcBorders>
          </w:tcPr>
          <w:p w14:paraId="59CE6232"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2.1</w:t>
            </w:r>
          </w:p>
        </w:tc>
        <w:tc>
          <w:tcPr>
            <w:tcW w:w="5075" w:type="dxa"/>
            <w:tcBorders>
              <w:top w:val="single" w:sz="4" w:space="0" w:color="auto"/>
              <w:left w:val="single" w:sz="4" w:space="0" w:color="auto"/>
              <w:bottom w:val="single" w:sz="4" w:space="0" w:color="auto"/>
              <w:right w:val="single" w:sz="4" w:space="0" w:color="auto"/>
            </w:tcBorders>
          </w:tcPr>
          <w:p w14:paraId="5D99EBA2" w14:textId="77777777" w:rsidR="00B35B3E" w:rsidRPr="00B35B3E" w:rsidRDefault="00B35B3E" w:rsidP="00B35B3E">
            <w:pPr>
              <w:autoSpaceDE w:val="0"/>
              <w:autoSpaceDN w:val="0"/>
              <w:adjustRightInd w:val="0"/>
              <w:rPr>
                <w:rFonts w:eastAsia="Calibri"/>
                <w:lang w:eastAsia="en-US"/>
              </w:rPr>
            </w:pPr>
            <w:r w:rsidRPr="00B35B3E">
              <w:rPr>
                <w:rFonts w:eastAsia="Calibri"/>
                <w:lang w:eastAsia="en-US"/>
              </w:rPr>
              <w:t>Одноставочный тариф</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4F18D06" w14:textId="77777777" w:rsidR="00B35B3E" w:rsidRPr="00B35B3E" w:rsidRDefault="00B35B3E" w:rsidP="00B35B3E">
            <w:pPr>
              <w:autoSpaceDE w:val="0"/>
              <w:autoSpaceDN w:val="0"/>
              <w:adjustRightInd w:val="0"/>
              <w:jc w:val="center"/>
              <w:outlineLvl w:val="0"/>
              <w:rPr>
                <w:rFonts w:eastAsia="Calibri"/>
                <w:lang w:eastAsia="en-US"/>
              </w:rPr>
            </w:pPr>
            <w:r w:rsidRPr="00B35B3E">
              <w:rPr>
                <w:rFonts w:eastAsia="Calibri"/>
                <w:lang w:eastAsia="en-US"/>
              </w:rPr>
              <w:t>2,64</w:t>
            </w:r>
          </w:p>
        </w:tc>
        <w:tc>
          <w:tcPr>
            <w:tcW w:w="1838" w:type="dxa"/>
            <w:tcBorders>
              <w:top w:val="single" w:sz="4" w:space="0" w:color="auto"/>
              <w:left w:val="nil"/>
              <w:bottom w:val="single" w:sz="4" w:space="0" w:color="auto"/>
              <w:right w:val="single" w:sz="4" w:space="0" w:color="auto"/>
            </w:tcBorders>
            <w:shd w:val="clear" w:color="auto" w:fill="auto"/>
            <w:vAlign w:val="center"/>
          </w:tcPr>
          <w:p w14:paraId="71BC23F3" w14:textId="77777777" w:rsidR="00B35B3E" w:rsidRPr="00B35B3E" w:rsidRDefault="00B35B3E" w:rsidP="00B35B3E">
            <w:pPr>
              <w:autoSpaceDE w:val="0"/>
              <w:autoSpaceDN w:val="0"/>
              <w:adjustRightInd w:val="0"/>
              <w:jc w:val="center"/>
              <w:outlineLvl w:val="0"/>
              <w:rPr>
                <w:rFonts w:eastAsia="Calibri"/>
                <w:lang w:eastAsia="en-US"/>
              </w:rPr>
            </w:pPr>
            <w:r w:rsidRPr="00B35B3E">
              <w:rPr>
                <w:rFonts w:eastAsia="Calibri"/>
                <w:lang w:eastAsia="en-US"/>
              </w:rPr>
              <w:t>2,77</w:t>
            </w:r>
          </w:p>
        </w:tc>
      </w:tr>
      <w:tr w:rsidR="00B35B3E" w:rsidRPr="00B35B3E" w14:paraId="7B64171A" w14:textId="77777777" w:rsidTr="00CA5588">
        <w:tc>
          <w:tcPr>
            <w:tcW w:w="737" w:type="dxa"/>
            <w:vMerge w:val="restart"/>
            <w:tcBorders>
              <w:top w:val="single" w:sz="4" w:space="0" w:color="auto"/>
              <w:left w:val="single" w:sz="4" w:space="0" w:color="auto"/>
              <w:bottom w:val="single" w:sz="4" w:space="0" w:color="auto"/>
              <w:right w:val="single" w:sz="4" w:space="0" w:color="auto"/>
            </w:tcBorders>
          </w:tcPr>
          <w:p w14:paraId="2099C63A"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2.2</w:t>
            </w:r>
          </w:p>
        </w:tc>
        <w:tc>
          <w:tcPr>
            <w:tcW w:w="8756" w:type="dxa"/>
            <w:gridSpan w:val="3"/>
            <w:tcBorders>
              <w:top w:val="single" w:sz="4" w:space="0" w:color="auto"/>
              <w:left w:val="single" w:sz="4" w:space="0" w:color="auto"/>
              <w:bottom w:val="single" w:sz="4" w:space="0" w:color="auto"/>
              <w:right w:val="single" w:sz="4" w:space="0" w:color="auto"/>
            </w:tcBorders>
          </w:tcPr>
          <w:p w14:paraId="465664C1" w14:textId="77777777" w:rsidR="00B35B3E" w:rsidRPr="00B35B3E" w:rsidRDefault="00B35B3E" w:rsidP="00B35B3E">
            <w:pPr>
              <w:autoSpaceDE w:val="0"/>
              <w:autoSpaceDN w:val="0"/>
              <w:adjustRightInd w:val="0"/>
              <w:rPr>
                <w:rFonts w:eastAsia="Calibri"/>
                <w:lang w:eastAsia="en-US"/>
              </w:rPr>
            </w:pPr>
            <w:r w:rsidRPr="00B35B3E">
              <w:rPr>
                <w:rFonts w:eastAsia="Calibri"/>
                <w:lang w:eastAsia="en-US"/>
              </w:rPr>
              <w:t>Одноставочный тариф, дифференцированный по двум зонам суток</w:t>
            </w:r>
          </w:p>
        </w:tc>
      </w:tr>
      <w:tr w:rsidR="00B35B3E" w:rsidRPr="00B35B3E" w14:paraId="74C13D73" w14:textId="77777777" w:rsidTr="00CA5588">
        <w:tc>
          <w:tcPr>
            <w:tcW w:w="737" w:type="dxa"/>
            <w:vMerge/>
            <w:tcBorders>
              <w:top w:val="single" w:sz="4" w:space="0" w:color="auto"/>
              <w:left w:val="single" w:sz="4" w:space="0" w:color="auto"/>
              <w:bottom w:val="single" w:sz="4" w:space="0" w:color="auto"/>
              <w:right w:val="single" w:sz="4" w:space="0" w:color="auto"/>
            </w:tcBorders>
          </w:tcPr>
          <w:p w14:paraId="49D73C3A" w14:textId="77777777" w:rsidR="00B35B3E" w:rsidRPr="00B35B3E" w:rsidRDefault="00B35B3E" w:rsidP="00B35B3E">
            <w:pPr>
              <w:autoSpaceDE w:val="0"/>
              <w:autoSpaceDN w:val="0"/>
              <w:adjustRightInd w:val="0"/>
              <w:jc w:val="center"/>
              <w:rPr>
                <w:rFonts w:eastAsia="Calibri"/>
                <w:lang w:eastAsia="en-US"/>
              </w:rPr>
            </w:pPr>
          </w:p>
        </w:tc>
        <w:tc>
          <w:tcPr>
            <w:tcW w:w="5075" w:type="dxa"/>
            <w:tcBorders>
              <w:top w:val="single" w:sz="4" w:space="0" w:color="auto"/>
              <w:left w:val="single" w:sz="4" w:space="0" w:color="auto"/>
              <w:bottom w:val="single" w:sz="4" w:space="0" w:color="auto"/>
              <w:right w:val="single" w:sz="4" w:space="0" w:color="auto"/>
            </w:tcBorders>
          </w:tcPr>
          <w:p w14:paraId="612E599B"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Дневная зона (пиковая и полупиковая)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A3075A9" w14:textId="77777777" w:rsidR="00B35B3E" w:rsidRPr="00B35B3E" w:rsidRDefault="00B35B3E" w:rsidP="00B35B3E">
            <w:pPr>
              <w:autoSpaceDE w:val="0"/>
              <w:autoSpaceDN w:val="0"/>
              <w:adjustRightInd w:val="0"/>
              <w:jc w:val="center"/>
              <w:outlineLvl w:val="0"/>
              <w:rPr>
                <w:rFonts w:eastAsia="Calibri"/>
                <w:lang w:eastAsia="en-US"/>
              </w:rPr>
            </w:pPr>
            <w:r w:rsidRPr="00B35B3E">
              <w:rPr>
                <w:rFonts w:eastAsia="Calibri"/>
                <w:lang w:eastAsia="en-US"/>
              </w:rPr>
              <w:t>3,04</w:t>
            </w:r>
          </w:p>
        </w:tc>
        <w:tc>
          <w:tcPr>
            <w:tcW w:w="1838" w:type="dxa"/>
            <w:tcBorders>
              <w:top w:val="single" w:sz="4" w:space="0" w:color="auto"/>
              <w:left w:val="nil"/>
              <w:bottom w:val="single" w:sz="4" w:space="0" w:color="auto"/>
              <w:right w:val="single" w:sz="4" w:space="0" w:color="auto"/>
            </w:tcBorders>
            <w:shd w:val="clear" w:color="auto" w:fill="auto"/>
            <w:vAlign w:val="center"/>
          </w:tcPr>
          <w:p w14:paraId="401EB2E1" w14:textId="77777777" w:rsidR="00B35B3E" w:rsidRPr="00B35B3E" w:rsidRDefault="00B35B3E" w:rsidP="00B35B3E">
            <w:pPr>
              <w:autoSpaceDE w:val="0"/>
              <w:autoSpaceDN w:val="0"/>
              <w:adjustRightInd w:val="0"/>
              <w:jc w:val="center"/>
              <w:outlineLvl w:val="0"/>
              <w:rPr>
                <w:rFonts w:eastAsia="Calibri"/>
                <w:lang w:eastAsia="en-US"/>
              </w:rPr>
            </w:pPr>
            <w:r w:rsidRPr="00B35B3E">
              <w:rPr>
                <w:rFonts w:eastAsia="Calibri"/>
                <w:lang w:eastAsia="en-US"/>
              </w:rPr>
              <w:t>3,19</w:t>
            </w:r>
          </w:p>
        </w:tc>
      </w:tr>
      <w:tr w:rsidR="00B35B3E" w:rsidRPr="00B35B3E" w14:paraId="03E1A5F7" w14:textId="77777777" w:rsidTr="00CA5588">
        <w:tc>
          <w:tcPr>
            <w:tcW w:w="737" w:type="dxa"/>
            <w:vMerge/>
            <w:tcBorders>
              <w:top w:val="single" w:sz="4" w:space="0" w:color="auto"/>
              <w:left w:val="single" w:sz="4" w:space="0" w:color="auto"/>
              <w:bottom w:val="single" w:sz="4" w:space="0" w:color="auto"/>
              <w:right w:val="single" w:sz="4" w:space="0" w:color="auto"/>
            </w:tcBorders>
          </w:tcPr>
          <w:p w14:paraId="345F4B35" w14:textId="77777777" w:rsidR="00B35B3E" w:rsidRPr="00B35B3E" w:rsidRDefault="00B35B3E" w:rsidP="00B35B3E">
            <w:pPr>
              <w:autoSpaceDE w:val="0"/>
              <w:autoSpaceDN w:val="0"/>
              <w:adjustRightInd w:val="0"/>
              <w:jc w:val="center"/>
              <w:rPr>
                <w:rFonts w:eastAsia="Calibri"/>
                <w:lang w:eastAsia="en-US"/>
              </w:rPr>
            </w:pPr>
          </w:p>
        </w:tc>
        <w:tc>
          <w:tcPr>
            <w:tcW w:w="5075" w:type="dxa"/>
            <w:tcBorders>
              <w:top w:val="single" w:sz="4" w:space="0" w:color="auto"/>
              <w:left w:val="single" w:sz="4" w:space="0" w:color="auto"/>
              <w:bottom w:val="single" w:sz="4" w:space="0" w:color="auto"/>
              <w:right w:val="single" w:sz="4" w:space="0" w:color="auto"/>
            </w:tcBorders>
          </w:tcPr>
          <w:p w14:paraId="46D4EF6B"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Ночная зона</w:t>
            </w:r>
          </w:p>
        </w:tc>
        <w:tc>
          <w:tcPr>
            <w:tcW w:w="1843" w:type="dxa"/>
            <w:tcBorders>
              <w:top w:val="nil"/>
              <w:left w:val="single" w:sz="4" w:space="0" w:color="auto"/>
              <w:bottom w:val="single" w:sz="4" w:space="0" w:color="auto"/>
              <w:right w:val="single" w:sz="4" w:space="0" w:color="auto"/>
            </w:tcBorders>
            <w:shd w:val="clear" w:color="auto" w:fill="auto"/>
            <w:vAlign w:val="center"/>
          </w:tcPr>
          <w:p w14:paraId="71F1BA6E" w14:textId="77777777" w:rsidR="00B35B3E" w:rsidRPr="00B35B3E" w:rsidRDefault="00B35B3E" w:rsidP="00B35B3E">
            <w:pPr>
              <w:autoSpaceDE w:val="0"/>
              <w:autoSpaceDN w:val="0"/>
              <w:adjustRightInd w:val="0"/>
              <w:jc w:val="center"/>
              <w:outlineLvl w:val="0"/>
              <w:rPr>
                <w:rFonts w:eastAsia="Calibri"/>
                <w:lang w:eastAsia="en-US"/>
              </w:rPr>
            </w:pPr>
            <w:r w:rsidRPr="00B35B3E">
              <w:rPr>
                <w:rFonts w:eastAsia="Calibri"/>
                <w:lang w:eastAsia="en-US"/>
              </w:rPr>
              <w:t>1,72</w:t>
            </w:r>
          </w:p>
        </w:tc>
        <w:tc>
          <w:tcPr>
            <w:tcW w:w="1838" w:type="dxa"/>
            <w:tcBorders>
              <w:top w:val="nil"/>
              <w:left w:val="nil"/>
              <w:bottom w:val="single" w:sz="4" w:space="0" w:color="auto"/>
              <w:right w:val="single" w:sz="4" w:space="0" w:color="auto"/>
            </w:tcBorders>
            <w:shd w:val="clear" w:color="auto" w:fill="auto"/>
            <w:vAlign w:val="center"/>
          </w:tcPr>
          <w:p w14:paraId="6189F0A4" w14:textId="77777777" w:rsidR="00B35B3E" w:rsidRPr="00B35B3E" w:rsidRDefault="00B35B3E" w:rsidP="00B35B3E">
            <w:pPr>
              <w:autoSpaceDE w:val="0"/>
              <w:autoSpaceDN w:val="0"/>
              <w:adjustRightInd w:val="0"/>
              <w:jc w:val="center"/>
              <w:outlineLvl w:val="0"/>
              <w:rPr>
                <w:rFonts w:eastAsia="Calibri"/>
                <w:lang w:eastAsia="en-US"/>
              </w:rPr>
            </w:pPr>
            <w:r w:rsidRPr="00B35B3E">
              <w:rPr>
                <w:rFonts w:eastAsia="Calibri"/>
                <w:lang w:eastAsia="en-US"/>
              </w:rPr>
              <w:t>1,81</w:t>
            </w:r>
          </w:p>
        </w:tc>
      </w:tr>
      <w:tr w:rsidR="00B35B3E" w:rsidRPr="00B35B3E" w14:paraId="67BD9DCE" w14:textId="77777777" w:rsidTr="00CA5588">
        <w:tc>
          <w:tcPr>
            <w:tcW w:w="737" w:type="dxa"/>
            <w:vMerge w:val="restart"/>
            <w:tcBorders>
              <w:top w:val="single" w:sz="4" w:space="0" w:color="auto"/>
              <w:left w:val="single" w:sz="4" w:space="0" w:color="auto"/>
              <w:bottom w:val="single" w:sz="4" w:space="0" w:color="auto"/>
              <w:right w:val="single" w:sz="4" w:space="0" w:color="auto"/>
            </w:tcBorders>
          </w:tcPr>
          <w:p w14:paraId="02A894CE"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2.3</w:t>
            </w:r>
          </w:p>
        </w:tc>
        <w:tc>
          <w:tcPr>
            <w:tcW w:w="8756" w:type="dxa"/>
            <w:gridSpan w:val="3"/>
            <w:tcBorders>
              <w:top w:val="single" w:sz="4" w:space="0" w:color="auto"/>
              <w:left w:val="single" w:sz="4" w:space="0" w:color="auto"/>
              <w:bottom w:val="single" w:sz="4" w:space="0" w:color="auto"/>
              <w:right w:val="single" w:sz="4" w:space="0" w:color="auto"/>
            </w:tcBorders>
          </w:tcPr>
          <w:p w14:paraId="18614C6D" w14:textId="77777777" w:rsidR="00B35B3E" w:rsidRPr="00B35B3E" w:rsidRDefault="00B35B3E" w:rsidP="00B35B3E">
            <w:pPr>
              <w:autoSpaceDE w:val="0"/>
              <w:autoSpaceDN w:val="0"/>
              <w:adjustRightInd w:val="0"/>
              <w:rPr>
                <w:rFonts w:eastAsia="Calibri"/>
                <w:lang w:eastAsia="en-US"/>
              </w:rPr>
            </w:pPr>
            <w:r w:rsidRPr="00B35B3E">
              <w:rPr>
                <w:rFonts w:eastAsia="Calibri"/>
                <w:lang w:eastAsia="en-US"/>
              </w:rPr>
              <w:t>Одноставочный тариф, дифференцированный по трем зонам суток</w:t>
            </w:r>
          </w:p>
        </w:tc>
      </w:tr>
      <w:tr w:rsidR="00B35B3E" w:rsidRPr="00B35B3E" w14:paraId="257B11FE" w14:textId="77777777" w:rsidTr="00CA5588">
        <w:tc>
          <w:tcPr>
            <w:tcW w:w="737" w:type="dxa"/>
            <w:vMerge/>
            <w:tcBorders>
              <w:top w:val="single" w:sz="4" w:space="0" w:color="auto"/>
              <w:left w:val="single" w:sz="4" w:space="0" w:color="auto"/>
              <w:bottom w:val="single" w:sz="4" w:space="0" w:color="auto"/>
              <w:right w:val="single" w:sz="4" w:space="0" w:color="auto"/>
            </w:tcBorders>
          </w:tcPr>
          <w:p w14:paraId="705BDF1F" w14:textId="77777777" w:rsidR="00B35B3E" w:rsidRPr="00B35B3E" w:rsidRDefault="00B35B3E" w:rsidP="00B35B3E">
            <w:pPr>
              <w:autoSpaceDE w:val="0"/>
              <w:autoSpaceDN w:val="0"/>
              <w:adjustRightInd w:val="0"/>
              <w:jc w:val="center"/>
              <w:rPr>
                <w:rFonts w:eastAsia="Calibri"/>
                <w:lang w:eastAsia="en-US"/>
              </w:rPr>
            </w:pPr>
          </w:p>
        </w:tc>
        <w:tc>
          <w:tcPr>
            <w:tcW w:w="5075" w:type="dxa"/>
            <w:tcBorders>
              <w:top w:val="single" w:sz="4" w:space="0" w:color="auto"/>
              <w:left w:val="single" w:sz="4" w:space="0" w:color="auto"/>
              <w:bottom w:val="single" w:sz="4" w:space="0" w:color="auto"/>
              <w:right w:val="single" w:sz="4" w:space="0" w:color="auto"/>
            </w:tcBorders>
          </w:tcPr>
          <w:p w14:paraId="0F8B88B3"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Пиковая зона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707E5CF" w14:textId="77777777" w:rsidR="00B35B3E" w:rsidRPr="00B35B3E" w:rsidRDefault="00B35B3E" w:rsidP="00B35B3E">
            <w:pPr>
              <w:autoSpaceDE w:val="0"/>
              <w:autoSpaceDN w:val="0"/>
              <w:adjustRightInd w:val="0"/>
              <w:jc w:val="center"/>
              <w:outlineLvl w:val="0"/>
              <w:rPr>
                <w:rFonts w:eastAsia="Calibri"/>
                <w:lang w:eastAsia="en-US"/>
              </w:rPr>
            </w:pPr>
            <w:r w:rsidRPr="00B35B3E">
              <w:rPr>
                <w:rFonts w:eastAsia="Calibri"/>
                <w:lang w:eastAsia="en-US"/>
              </w:rPr>
              <w:t>3,30</w:t>
            </w:r>
          </w:p>
        </w:tc>
        <w:tc>
          <w:tcPr>
            <w:tcW w:w="1838" w:type="dxa"/>
            <w:tcBorders>
              <w:top w:val="single" w:sz="4" w:space="0" w:color="auto"/>
              <w:left w:val="nil"/>
              <w:bottom w:val="single" w:sz="4" w:space="0" w:color="auto"/>
              <w:right w:val="single" w:sz="4" w:space="0" w:color="auto"/>
            </w:tcBorders>
            <w:shd w:val="clear" w:color="auto" w:fill="auto"/>
            <w:vAlign w:val="center"/>
          </w:tcPr>
          <w:p w14:paraId="05082B8A" w14:textId="77777777" w:rsidR="00B35B3E" w:rsidRPr="00B35B3E" w:rsidRDefault="00B35B3E" w:rsidP="00B35B3E">
            <w:pPr>
              <w:autoSpaceDE w:val="0"/>
              <w:autoSpaceDN w:val="0"/>
              <w:adjustRightInd w:val="0"/>
              <w:jc w:val="center"/>
              <w:outlineLvl w:val="0"/>
              <w:rPr>
                <w:rFonts w:eastAsia="Calibri"/>
                <w:lang w:eastAsia="en-US"/>
              </w:rPr>
            </w:pPr>
            <w:r w:rsidRPr="00B35B3E">
              <w:rPr>
                <w:rFonts w:eastAsia="Calibri"/>
                <w:lang w:eastAsia="en-US"/>
              </w:rPr>
              <w:t>3,47</w:t>
            </w:r>
          </w:p>
        </w:tc>
      </w:tr>
      <w:tr w:rsidR="00B35B3E" w:rsidRPr="00B35B3E" w14:paraId="75A938B0" w14:textId="77777777" w:rsidTr="00CA5588">
        <w:tc>
          <w:tcPr>
            <w:tcW w:w="737" w:type="dxa"/>
            <w:vMerge/>
            <w:tcBorders>
              <w:top w:val="single" w:sz="4" w:space="0" w:color="auto"/>
              <w:left w:val="single" w:sz="4" w:space="0" w:color="auto"/>
              <w:bottom w:val="single" w:sz="4" w:space="0" w:color="auto"/>
              <w:right w:val="single" w:sz="4" w:space="0" w:color="auto"/>
            </w:tcBorders>
          </w:tcPr>
          <w:p w14:paraId="7D6E1456" w14:textId="77777777" w:rsidR="00B35B3E" w:rsidRPr="00B35B3E" w:rsidRDefault="00B35B3E" w:rsidP="00B35B3E">
            <w:pPr>
              <w:autoSpaceDE w:val="0"/>
              <w:autoSpaceDN w:val="0"/>
              <w:adjustRightInd w:val="0"/>
              <w:jc w:val="center"/>
              <w:rPr>
                <w:rFonts w:eastAsia="Calibri"/>
                <w:lang w:eastAsia="en-US"/>
              </w:rPr>
            </w:pPr>
          </w:p>
        </w:tc>
        <w:tc>
          <w:tcPr>
            <w:tcW w:w="5075" w:type="dxa"/>
            <w:tcBorders>
              <w:top w:val="single" w:sz="4" w:space="0" w:color="auto"/>
              <w:left w:val="single" w:sz="4" w:space="0" w:color="auto"/>
              <w:bottom w:val="single" w:sz="4" w:space="0" w:color="auto"/>
              <w:right w:val="single" w:sz="4" w:space="0" w:color="auto"/>
            </w:tcBorders>
          </w:tcPr>
          <w:p w14:paraId="030F29FF"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Полупиковая зона</w:t>
            </w:r>
          </w:p>
        </w:tc>
        <w:tc>
          <w:tcPr>
            <w:tcW w:w="1843" w:type="dxa"/>
            <w:tcBorders>
              <w:top w:val="nil"/>
              <w:left w:val="single" w:sz="4" w:space="0" w:color="auto"/>
              <w:bottom w:val="single" w:sz="4" w:space="0" w:color="auto"/>
              <w:right w:val="single" w:sz="4" w:space="0" w:color="auto"/>
            </w:tcBorders>
            <w:shd w:val="clear" w:color="auto" w:fill="auto"/>
            <w:vAlign w:val="center"/>
          </w:tcPr>
          <w:p w14:paraId="77CACDC3" w14:textId="77777777" w:rsidR="00B35B3E" w:rsidRPr="00B35B3E" w:rsidRDefault="00B35B3E" w:rsidP="00B35B3E">
            <w:pPr>
              <w:autoSpaceDE w:val="0"/>
              <w:autoSpaceDN w:val="0"/>
              <w:adjustRightInd w:val="0"/>
              <w:jc w:val="center"/>
              <w:outlineLvl w:val="0"/>
              <w:rPr>
                <w:rFonts w:eastAsia="Calibri"/>
                <w:lang w:eastAsia="en-US"/>
              </w:rPr>
            </w:pPr>
            <w:r w:rsidRPr="00B35B3E">
              <w:rPr>
                <w:rFonts w:eastAsia="Calibri"/>
                <w:lang w:eastAsia="en-US"/>
              </w:rPr>
              <w:t>2,64</w:t>
            </w:r>
          </w:p>
        </w:tc>
        <w:tc>
          <w:tcPr>
            <w:tcW w:w="1838" w:type="dxa"/>
            <w:tcBorders>
              <w:top w:val="nil"/>
              <w:left w:val="nil"/>
              <w:bottom w:val="single" w:sz="4" w:space="0" w:color="auto"/>
              <w:right w:val="single" w:sz="4" w:space="0" w:color="auto"/>
            </w:tcBorders>
            <w:shd w:val="clear" w:color="auto" w:fill="auto"/>
            <w:vAlign w:val="center"/>
          </w:tcPr>
          <w:p w14:paraId="3A449F8A" w14:textId="77777777" w:rsidR="00B35B3E" w:rsidRPr="00B35B3E" w:rsidRDefault="00B35B3E" w:rsidP="00B35B3E">
            <w:pPr>
              <w:autoSpaceDE w:val="0"/>
              <w:autoSpaceDN w:val="0"/>
              <w:adjustRightInd w:val="0"/>
              <w:jc w:val="center"/>
              <w:outlineLvl w:val="0"/>
              <w:rPr>
                <w:rFonts w:eastAsia="Calibri"/>
                <w:lang w:eastAsia="en-US"/>
              </w:rPr>
            </w:pPr>
            <w:r w:rsidRPr="00B35B3E">
              <w:rPr>
                <w:rFonts w:eastAsia="Calibri"/>
                <w:lang w:eastAsia="en-US"/>
              </w:rPr>
              <w:t>2,77</w:t>
            </w:r>
          </w:p>
        </w:tc>
      </w:tr>
      <w:tr w:rsidR="00B35B3E" w:rsidRPr="00B35B3E" w14:paraId="3FCA7EA6" w14:textId="77777777" w:rsidTr="00CA5588">
        <w:tc>
          <w:tcPr>
            <w:tcW w:w="737" w:type="dxa"/>
            <w:vMerge/>
            <w:tcBorders>
              <w:top w:val="single" w:sz="4" w:space="0" w:color="auto"/>
              <w:left w:val="single" w:sz="4" w:space="0" w:color="auto"/>
              <w:bottom w:val="single" w:sz="4" w:space="0" w:color="auto"/>
              <w:right w:val="single" w:sz="4" w:space="0" w:color="auto"/>
            </w:tcBorders>
          </w:tcPr>
          <w:p w14:paraId="77F0A3AE" w14:textId="77777777" w:rsidR="00B35B3E" w:rsidRPr="00B35B3E" w:rsidRDefault="00B35B3E" w:rsidP="00B35B3E">
            <w:pPr>
              <w:autoSpaceDE w:val="0"/>
              <w:autoSpaceDN w:val="0"/>
              <w:adjustRightInd w:val="0"/>
              <w:jc w:val="center"/>
              <w:rPr>
                <w:rFonts w:eastAsia="Calibri"/>
                <w:lang w:eastAsia="en-US"/>
              </w:rPr>
            </w:pPr>
          </w:p>
        </w:tc>
        <w:tc>
          <w:tcPr>
            <w:tcW w:w="5075" w:type="dxa"/>
            <w:tcBorders>
              <w:top w:val="single" w:sz="4" w:space="0" w:color="auto"/>
              <w:left w:val="single" w:sz="4" w:space="0" w:color="auto"/>
              <w:bottom w:val="single" w:sz="4" w:space="0" w:color="auto"/>
              <w:right w:val="single" w:sz="4" w:space="0" w:color="auto"/>
            </w:tcBorders>
          </w:tcPr>
          <w:p w14:paraId="65C45234"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Ночная зона</w:t>
            </w:r>
          </w:p>
        </w:tc>
        <w:tc>
          <w:tcPr>
            <w:tcW w:w="1843" w:type="dxa"/>
            <w:tcBorders>
              <w:top w:val="nil"/>
              <w:left w:val="single" w:sz="4" w:space="0" w:color="auto"/>
              <w:bottom w:val="single" w:sz="4" w:space="0" w:color="auto"/>
              <w:right w:val="single" w:sz="4" w:space="0" w:color="auto"/>
            </w:tcBorders>
            <w:shd w:val="clear" w:color="auto" w:fill="auto"/>
            <w:vAlign w:val="center"/>
          </w:tcPr>
          <w:p w14:paraId="379288CE" w14:textId="77777777" w:rsidR="00B35B3E" w:rsidRPr="00B35B3E" w:rsidRDefault="00B35B3E" w:rsidP="00B35B3E">
            <w:pPr>
              <w:autoSpaceDE w:val="0"/>
              <w:autoSpaceDN w:val="0"/>
              <w:adjustRightInd w:val="0"/>
              <w:jc w:val="center"/>
              <w:outlineLvl w:val="0"/>
              <w:rPr>
                <w:rFonts w:eastAsia="Calibri"/>
                <w:lang w:eastAsia="en-US"/>
              </w:rPr>
            </w:pPr>
            <w:r w:rsidRPr="00B35B3E">
              <w:rPr>
                <w:rFonts w:eastAsia="Calibri"/>
                <w:lang w:eastAsia="en-US"/>
              </w:rPr>
              <w:t>1,72</w:t>
            </w:r>
          </w:p>
        </w:tc>
        <w:tc>
          <w:tcPr>
            <w:tcW w:w="1838" w:type="dxa"/>
            <w:tcBorders>
              <w:top w:val="nil"/>
              <w:left w:val="nil"/>
              <w:bottom w:val="single" w:sz="4" w:space="0" w:color="auto"/>
              <w:right w:val="single" w:sz="4" w:space="0" w:color="auto"/>
            </w:tcBorders>
            <w:shd w:val="clear" w:color="auto" w:fill="auto"/>
            <w:vAlign w:val="center"/>
          </w:tcPr>
          <w:p w14:paraId="0B97209B" w14:textId="77777777" w:rsidR="00B35B3E" w:rsidRPr="00B35B3E" w:rsidRDefault="00B35B3E" w:rsidP="00B35B3E">
            <w:pPr>
              <w:autoSpaceDE w:val="0"/>
              <w:autoSpaceDN w:val="0"/>
              <w:adjustRightInd w:val="0"/>
              <w:jc w:val="center"/>
              <w:outlineLvl w:val="0"/>
              <w:rPr>
                <w:rFonts w:eastAsia="Calibri"/>
                <w:lang w:eastAsia="en-US"/>
              </w:rPr>
            </w:pPr>
            <w:r w:rsidRPr="00B35B3E">
              <w:rPr>
                <w:rFonts w:eastAsia="Calibri"/>
                <w:lang w:eastAsia="en-US"/>
              </w:rPr>
              <w:t>1,81</w:t>
            </w:r>
          </w:p>
        </w:tc>
      </w:tr>
      <w:tr w:rsidR="00B35B3E" w:rsidRPr="00B35B3E" w14:paraId="30DBA8C1" w14:textId="77777777" w:rsidTr="00CA5588">
        <w:tc>
          <w:tcPr>
            <w:tcW w:w="737" w:type="dxa"/>
            <w:tcBorders>
              <w:top w:val="single" w:sz="4" w:space="0" w:color="auto"/>
              <w:left w:val="single" w:sz="4" w:space="0" w:color="auto"/>
              <w:bottom w:val="single" w:sz="4" w:space="0" w:color="auto"/>
              <w:right w:val="single" w:sz="4" w:space="0" w:color="auto"/>
            </w:tcBorders>
          </w:tcPr>
          <w:p w14:paraId="566983D0"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3</w:t>
            </w:r>
          </w:p>
        </w:tc>
        <w:tc>
          <w:tcPr>
            <w:tcW w:w="8756" w:type="dxa"/>
            <w:gridSpan w:val="3"/>
            <w:tcBorders>
              <w:top w:val="single" w:sz="4" w:space="0" w:color="auto"/>
              <w:left w:val="single" w:sz="4" w:space="0" w:color="auto"/>
              <w:bottom w:val="single" w:sz="4" w:space="0" w:color="auto"/>
              <w:right w:val="single" w:sz="4" w:space="0" w:color="auto"/>
            </w:tcBorders>
          </w:tcPr>
          <w:p w14:paraId="28F2B6C7"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Население, проживающее в городских населенных пунктах в домах, оборудованных стационарными электроплитами и не оборудованных электроотопительными установками, и приравненные к нему:</w:t>
            </w:r>
          </w:p>
          <w:p w14:paraId="025ABF92"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lastRenderedPageBreak/>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6E73FE41"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72EE08FC"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r w:rsidR="00B35B3E" w:rsidRPr="00B35B3E" w14:paraId="7A8E2CA5" w14:textId="77777777" w:rsidTr="00CA5588">
        <w:tc>
          <w:tcPr>
            <w:tcW w:w="737" w:type="dxa"/>
            <w:tcBorders>
              <w:top w:val="single" w:sz="4" w:space="0" w:color="auto"/>
              <w:left w:val="single" w:sz="4" w:space="0" w:color="auto"/>
              <w:bottom w:val="single" w:sz="4" w:space="0" w:color="auto"/>
              <w:right w:val="single" w:sz="4" w:space="0" w:color="auto"/>
            </w:tcBorders>
          </w:tcPr>
          <w:p w14:paraId="75E5BBAB"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lastRenderedPageBreak/>
              <w:t>3.1</w:t>
            </w:r>
          </w:p>
        </w:tc>
        <w:tc>
          <w:tcPr>
            <w:tcW w:w="5075" w:type="dxa"/>
            <w:tcBorders>
              <w:top w:val="single" w:sz="4" w:space="0" w:color="auto"/>
              <w:left w:val="single" w:sz="4" w:space="0" w:color="auto"/>
              <w:bottom w:val="single" w:sz="4" w:space="0" w:color="auto"/>
              <w:right w:val="single" w:sz="4" w:space="0" w:color="auto"/>
            </w:tcBorders>
          </w:tcPr>
          <w:p w14:paraId="095D7ADF" w14:textId="77777777" w:rsidR="00B35B3E" w:rsidRPr="00B35B3E" w:rsidRDefault="00B35B3E" w:rsidP="00B35B3E">
            <w:pPr>
              <w:autoSpaceDE w:val="0"/>
              <w:autoSpaceDN w:val="0"/>
              <w:adjustRightInd w:val="0"/>
              <w:rPr>
                <w:rFonts w:eastAsia="Calibri"/>
                <w:lang w:eastAsia="en-US"/>
              </w:rPr>
            </w:pPr>
            <w:r w:rsidRPr="00B35B3E">
              <w:rPr>
                <w:rFonts w:eastAsia="Calibri"/>
                <w:lang w:eastAsia="en-US"/>
              </w:rPr>
              <w:t>Одноставочный тариф</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23F7847"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2,64</w:t>
            </w:r>
          </w:p>
        </w:tc>
        <w:tc>
          <w:tcPr>
            <w:tcW w:w="1838" w:type="dxa"/>
            <w:tcBorders>
              <w:top w:val="single" w:sz="4" w:space="0" w:color="auto"/>
              <w:left w:val="nil"/>
              <w:bottom w:val="single" w:sz="4" w:space="0" w:color="auto"/>
              <w:right w:val="single" w:sz="4" w:space="0" w:color="auto"/>
            </w:tcBorders>
            <w:shd w:val="clear" w:color="auto" w:fill="auto"/>
            <w:vAlign w:val="center"/>
          </w:tcPr>
          <w:p w14:paraId="37F62FA2"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2,77</w:t>
            </w:r>
          </w:p>
        </w:tc>
      </w:tr>
      <w:tr w:rsidR="00B35B3E" w:rsidRPr="00B35B3E" w14:paraId="04341300" w14:textId="77777777" w:rsidTr="00CA5588">
        <w:tc>
          <w:tcPr>
            <w:tcW w:w="737" w:type="dxa"/>
            <w:vMerge w:val="restart"/>
            <w:tcBorders>
              <w:top w:val="single" w:sz="4" w:space="0" w:color="auto"/>
              <w:left w:val="single" w:sz="4" w:space="0" w:color="auto"/>
              <w:bottom w:val="single" w:sz="4" w:space="0" w:color="auto"/>
              <w:right w:val="single" w:sz="4" w:space="0" w:color="auto"/>
            </w:tcBorders>
          </w:tcPr>
          <w:p w14:paraId="3B53AB21"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3.2</w:t>
            </w:r>
          </w:p>
        </w:tc>
        <w:tc>
          <w:tcPr>
            <w:tcW w:w="8756" w:type="dxa"/>
            <w:gridSpan w:val="3"/>
            <w:tcBorders>
              <w:top w:val="single" w:sz="4" w:space="0" w:color="auto"/>
              <w:left w:val="single" w:sz="4" w:space="0" w:color="auto"/>
              <w:bottom w:val="single" w:sz="4" w:space="0" w:color="auto"/>
              <w:right w:val="single" w:sz="4" w:space="0" w:color="auto"/>
            </w:tcBorders>
          </w:tcPr>
          <w:p w14:paraId="13D8EE21" w14:textId="77777777" w:rsidR="00B35B3E" w:rsidRPr="00B35B3E" w:rsidRDefault="00B35B3E" w:rsidP="00B35B3E">
            <w:pPr>
              <w:autoSpaceDE w:val="0"/>
              <w:autoSpaceDN w:val="0"/>
              <w:adjustRightInd w:val="0"/>
              <w:rPr>
                <w:rFonts w:eastAsia="Calibri"/>
                <w:lang w:eastAsia="en-US"/>
              </w:rPr>
            </w:pPr>
            <w:r w:rsidRPr="00B35B3E">
              <w:rPr>
                <w:rFonts w:eastAsia="Calibri"/>
                <w:lang w:eastAsia="en-US"/>
              </w:rPr>
              <w:t>Одноставочный тариф, дифференцированный по двум зонам суток</w:t>
            </w:r>
          </w:p>
        </w:tc>
      </w:tr>
      <w:tr w:rsidR="00B35B3E" w:rsidRPr="00B35B3E" w14:paraId="72833DBE" w14:textId="77777777" w:rsidTr="00CA5588">
        <w:tc>
          <w:tcPr>
            <w:tcW w:w="737" w:type="dxa"/>
            <w:vMerge/>
            <w:tcBorders>
              <w:top w:val="single" w:sz="4" w:space="0" w:color="auto"/>
              <w:left w:val="single" w:sz="4" w:space="0" w:color="auto"/>
              <w:bottom w:val="single" w:sz="4" w:space="0" w:color="auto"/>
              <w:right w:val="single" w:sz="4" w:space="0" w:color="auto"/>
            </w:tcBorders>
          </w:tcPr>
          <w:p w14:paraId="5CC9A484" w14:textId="77777777" w:rsidR="00B35B3E" w:rsidRPr="00B35B3E" w:rsidRDefault="00B35B3E" w:rsidP="00B35B3E">
            <w:pPr>
              <w:autoSpaceDE w:val="0"/>
              <w:autoSpaceDN w:val="0"/>
              <w:adjustRightInd w:val="0"/>
              <w:jc w:val="center"/>
              <w:rPr>
                <w:rFonts w:eastAsia="Calibri"/>
                <w:lang w:eastAsia="en-US"/>
              </w:rPr>
            </w:pPr>
          </w:p>
        </w:tc>
        <w:tc>
          <w:tcPr>
            <w:tcW w:w="5075" w:type="dxa"/>
            <w:tcBorders>
              <w:top w:val="single" w:sz="4" w:space="0" w:color="auto"/>
              <w:left w:val="single" w:sz="4" w:space="0" w:color="auto"/>
              <w:bottom w:val="single" w:sz="4" w:space="0" w:color="auto"/>
              <w:right w:val="single" w:sz="4" w:space="0" w:color="auto"/>
            </w:tcBorders>
          </w:tcPr>
          <w:p w14:paraId="3EB93AAA"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Дневная зона (пиковая и полупиковая)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30C5603"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3,04</w:t>
            </w:r>
          </w:p>
        </w:tc>
        <w:tc>
          <w:tcPr>
            <w:tcW w:w="1838" w:type="dxa"/>
            <w:tcBorders>
              <w:top w:val="single" w:sz="4" w:space="0" w:color="auto"/>
              <w:left w:val="nil"/>
              <w:bottom w:val="single" w:sz="4" w:space="0" w:color="auto"/>
              <w:right w:val="single" w:sz="4" w:space="0" w:color="auto"/>
            </w:tcBorders>
            <w:shd w:val="clear" w:color="auto" w:fill="auto"/>
            <w:vAlign w:val="center"/>
          </w:tcPr>
          <w:p w14:paraId="6B4C8B27"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3,19</w:t>
            </w:r>
          </w:p>
        </w:tc>
      </w:tr>
      <w:tr w:rsidR="00B35B3E" w:rsidRPr="00B35B3E" w14:paraId="27FF6186" w14:textId="77777777" w:rsidTr="00CA5588">
        <w:tc>
          <w:tcPr>
            <w:tcW w:w="737" w:type="dxa"/>
            <w:vMerge/>
            <w:tcBorders>
              <w:top w:val="single" w:sz="4" w:space="0" w:color="auto"/>
              <w:left w:val="single" w:sz="4" w:space="0" w:color="auto"/>
              <w:bottom w:val="single" w:sz="4" w:space="0" w:color="auto"/>
              <w:right w:val="single" w:sz="4" w:space="0" w:color="auto"/>
            </w:tcBorders>
          </w:tcPr>
          <w:p w14:paraId="2FE4957D" w14:textId="77777777" w:rsidR="00B35B3E" w:rsidRPr="00B35B3E" w:rsidRDefault="00B35B3E" w:rsidP="00B35B3E">
            <w:pPr>
              <w:autoSpaceDE w:val="0"/>
              <w:autoSpaceDN w:val="0"/>
              <w:adjustRightInd w:val="0"/>
              <w:jc w:val="center"/>
              <w:rPr>
                <w:rFonts w:eastAsia="Calibri"/>
                <w:lang w:eastAsia="en-US"/>
              </w:rPr>
            </w:pPr>
          </w:p>
        </w:tc>
        <w:tc>
          <w:tcPr>
            <w:tcW w:w="5075" w:type="dxa"/>
            <w:tcBorders>
              <w:top w:val="single" w:sz="4" w:space="0" w:color="auto"/>
              <w:left w:val="single" w:sz="4" w:space="0" w:color="auto"/>
              <w:bottom w:val="single" w:sz="4" w:space="0" w:color="auto"/>
              <w:right w:val="single" w:sz="4" w:space="0" w:color="auto"/>
            </w:tcBorders>
          </w:tcPr>
          <w:p w14:paraId="6F47B2CD"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Ночная зона</w:t>
            </w:r>
          </w:p>
        </w:tc>
        <w:tc>
          <w:tcPr>
            <w:tcW w:w="1843" w:type="dxa"/>
            <w:tcBorders>
              <w:top w:val="nil"/>
              <w:left w:val="single" w:sz="4" w:space="0" w:color="auto"/>
              <w:bottom w:val="single" w:sz="4" w:space="0" w:color="auto"/>
              <w:right w:val="single" w:sz="4" w:space="0" w:color="auto"/>
            </w:tcBorders>
            <w:shd w:val="clear" w:color="auto" w:fill="auto"/>
            <w:vAlign w:val="center"/>
          </w:tcPr>
          <w:p w14:paraId="2CA34CDF"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1,72</w:t>
            </w:r>
          </w:p>
        </w:tc>
        <w:tc>
          <w:tcPr>
            <w:tcW w:w="1838" w:type="dxa"/>
            <w:tcBorders>
              <w:top w:val="nil"/>
              <w:left w:val="nil"/>
              <w:bottom w:val="single" w:sz="4" w:space="0" w:color="auto"/>
              <w:right w:val="single" w:sz="4" w:space="0" w:color="auto"/>
            </w:tcBorders>
            <w:shd w:val="clear" w:color="auto" w:fill="auto"/>
            <w:vAlign w:val="center"/>
          </w:tcPr>
          <w:p w14:paraId="0FC8DE28"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1,81</w:t>
            </w:r>
          </w:p>
        </w:tc>
      </w:tr>
      <w:tr w:rsidR="00B35B3E" w:rsidRPr="00B35B3E" w14:paraId="5F6D4D64" w14:textId="77777777" w:rsidTr="00CA5588">
        <w:tc>
          <w:tcPr>
            <w:tcW w:w="737" w:type="dxa"/>
            <w:vMerge w:val="restart"/>
            <w:tcBorders>
              <w:top w:val="single" w:sz="4" w:space="0" w:color="auto"/>
              <w:left w:val="single" w:sz="4" w:space="0" w:color="auto"/>
              <w:bottom w:val="single" w:sz="4" w:space="0" w:color="auto"/>
              <w:right w:val="single" w:sz="4" w:space="0" w:color="auto"/>
            </w:tcBorders>
          </w:tcPr>
          <w:p w14:paraId="0B4D25FA"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3.3</w:t>
            </w:r>
          </w:p>
        </w:tc>
        <w:tc>
          <w:tcPr>
            <w:tcW w:w="8756" w:type="dxa"/>
            <w:gridSpan w:val="3"/>
            <w:tcBorders>
              <w:top w:val="single" w:sz="4" w:space="0" w:color="auto"/>
              <w:left w:val="single" w:sz="4" w:space="0" w:color="auto"/>
              <w:bottom w:val="single" w:sz="4" w:space="0" w:color="auto"/>
              <w:right w:val="single" w:sz="4" w:space="0" w:color="auto"/>
            </w:tcBorders>
          </w:tcPr>
          <w:p w14:paraId="29B6A88F" w14:textId="77777777" w:rsidR="00B35B3E" w:rsidRPr="00B35B3E" w:rsidRDefault="00B35B3E" w:rsidP="00B35B3E">
            <w:pPr>
              <w:autoSpaceDE w:val="0"/>
              <w:autoSpaceDN w:val="0"/>
              <w:adjustRightInd w:val="0"/>
              <w:rPr>
                <w:rFonts w:eastAsia="Calibri"/>
                <w:lang w:eastAsia="en-US"/>
              </w:rPr>
            </w:pPr>
            <w:r w:rsidRPr="00B35B3E">
              <w:rPr>
                <w:rFonts w:eastAsia="Calibri"/>
                <w:lang w:eastAsia="en-US"/>
              </w:rPr>
              <w:t>Одноставочный тариф, дифференцированный по трем зонам суток</w:t>
            </w:r>
          </w:p>
        </w:tc>
      </w:tr>
      <w:tr w:rsidR="00B35B3E" w:rsidRPr="00B35B3E" w14:paraId="62F137E5" w14:textId="77777777" w:rsidTr="00CA5588">
        <w:tc>
          <w:tcPr>
            <w:tcW w:w="737" w:type="dxa"/>
            <w:vMerge/>
            <w:tcBorders>
              <w:top w:val="single" w:sz="4" w:space="0" w:color="auto"/>
              <w:left w:val="single" w:sz="4" w:space="0" w:color="auto"/>
              <w:bottom w:val="single" w:sz="4" w:space="0" w:color="auto"/>
              <w:right w:val="single" w:sz="4" w:space="0" w:color="auto"/>
            </w:tcBorders>
          </w:tcPr>
          <w:p w14:paraId="7F3ECE31" w14:textId="77777777" w:rsidR="00B35B3E" w:rsidRPr="00B35B3E" w:rsidRDefault="00B35B3E" w:rsidP="00B35B3E">
            <w:pPr>
              <w:autoSpaceDE w:val="0"/>
              <w:autoSpaceDN w:val="0"/>
              <w:adjustRightInd w:val="0"/>
              <w:jc w:val="center"/>
              <w:rPr>
                <w:rFonts w:eastAsia="Calibri"/>
                <w:lang w:eastAsia="en-US"/>
              </w:rPr>
            </w:pPr>
          </w:p>
        </w:tc>
        <w:tc>
          <w:tcPr>
            <w:tcW w:w="5075" w:type="dxa"/>
            <w:tcBorders>
              <w:top w:val="single" w:sz="4" w:space="0" w:color="auto"/>
              <w:left w:val="single" w:sz="4" w:space="0" w:color="auto"/>
              <w:bottom w:val="single" w:sz="4" w:space="0" w:color="auto"/>
              <w:right w:val="single" w:sz="4" w:space="0" w:color="auto"/>
            </w:tcBorders>
          </w:tcPr>
          <w:p w14:paraId="277917FA"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Пиковая зона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B999421"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3,30</w:t>
            </w:r>
          </w:p>
        </w:tc>
        <w:tc>
          <w:tcPr>
            <w:tcW w:w="1838" w:type="dxa"/>
            <w:tcBorders>
              <w:top w:val="single" w:sz="4" w:space="0" w:color="auto"/>
              <w:left w:val="nil"/>
              <w:bottom w:val="single" w:sz="4" w:space="0" w:color="auto"/>
              <w:right w:val="single" w:sz="4" w:space="0" w:color="auto"/>
            </w:tcBorders>
            <w:shd w:val="clear" w:color="auto" w:fill="auto"/>
            <w:vAlign w:val="center"/>
          </w:tcPr>
          <w:p w14:paraId="7DD4ACAC"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3,47</w:t>
            </w:r>
          </w:p>
        </w:tc>
      </w:tr>
      <w:tr w:rsidR="00B35B3E" w:rsidRPr="00B35B3E" w14:paraId="746B26C8" w14:textId="77777777" w:rsidTr="00CA5588">
        <w:tc>
          <w:tcPr>
            <w:tcW w:w="737" w:type="dxa"/>
            <w:vMerge/>
            <w:tcBorders>
              <w:top w:val="single" w:sz="4" w:space="0" w:color="auto"/>
              <w:left w:val="single" w:sz="4" w:space="0" w:color="auto"/>
              <w:bottom w:val="single" w:sz="4" w:space="0" w:color="auto"/>
              <w:right w:val="single" w:sz="4" w:space="0" w:color="auto"/>
            </w:tcBorders>
          </w:tcPr>
          <w:p w14:paraId="5AFA3E4E" w14:textId="77777777" w:rsidR="00B35B3E" w:rsidRPr="00B35B3E" w:rsidRDefault="00B35B3E" w:rsidP="00B35B3E">
            <w:pPr>
              <w:autoSpaceDE w:val="0"/>
              <w:autoSpaceDN w:val="0"/>
              <w:adjustRightInd w:val="0"/>
              <w:jc w:val="center"/>
              <w:rPr>
                <w:rFonts w:eastAsia="Calibri"/>
                <w:lang w:eastAsia="en-US"/>
              </w:rPr>
            </w:pPr>
          </w:p>
        </w:tc>
        <w:tc>
          <w:tcPr>
            <w:tcW w:w="5075" w:type="dxa"/>
            <w:tcBorders>
              <w:top w:val="single" w:sz="4" w:space="0" w:color="auto"/>
              <w:left w:val="single" w:sz="4" w:space="0" w:color="auto"/>
              <w:bottom w:val="single" w:sz="4" w:space="0" w:color="auto"/>
              <w:right w:val="single" w:sz="4" w:space="0" w:color="auto"/>
            </w:tcBorders>
          </w:tcPr>
          <w:p w14:paraId="4D3528AD"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Полупиковая зона</w:t>
            </w:r>
          </w:p>
        </w:tc>
        <w:tc>
          <w:tcPr>
            <w:tcW w:w="1843" w:type="dxa"/>
            <w:tcBorders>
              <w:top w:val="nil"/>
              <w:left w:val="single" w:sz="4" w:space="0" w:color="auto"/>
              <w:bottom w:val="single" w:sz="4" w:space="0" w:color="auto"/>
              <w:right w:val="single" w:sz="4" w:space="0" w:color="auto"/>
            </w:tcBorders>
            <w:shd w:val="clear" w:color="auto" w:fill="auto"/>
            <w:vAlign w:val="center"/>
          </w:tcPr>
          <w:p w14:paraId="0B6655BC"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2,64</w:t>
            </w:r>
          </w:p>
        </w:tc>
        <w:tc>
          <w:tcPr>
            <w:tcW w:w="1838" w:type="dxa"/>
            <w:tcBorders>
              <w:top w:val="nil"/>
              <w:left w:val="nil"/>
              <w:bottom w:val="single" w:sz="4" w:space="0" w:color="auto"/>
              <w:right w:val="single" w:sz="4" w:space="0" w:color="auto"/>
            </w:tcBorders>
            <w:shd w:val="clear" w:color="auto" w:fill="auto"/>
            <w:vAlign w:val="center"/>
          </w:tcPr>
          <w:p w14:paraId="6FF3BB73"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2,77</w:t>
            </w:r>
          </w:p>
        </w:tc>
      </w:tr>
      <w:tr w:rsidR="00B35B3E" w:rsidRPr="00B35B3E" w14:paraId="7D4B982F" w14:textId="77777777" w:rsidTr="00CA5588">
        <w:tc>
          <w:tcPr>
            <w:tcW w:w="737" w:type="dxa"/>
            <w:vMerge/>
            <w:tcBorders>
              <w:top w:val="single" w:sz="4" w:space="0" w:color="auto"/>
              <w:left w:val="single" w:sz="4" w:space="0" w:color="auto"/>
              <w:bottom w:val="single" w:sz="4" w:space="0" w:color="auto"/>
              <w:right w:val="single" w:sz="4" w:space="0" w:color="auto"/>
            </w:tcBorders>
          </w:tcPr>
          <w:p w14:paraId="4DBBB82C" w14:textId="77777777" w:rsidR="00B35B3E" w:rsidRPr="00B35B3E" w:rsidRDefault="00B35B3E" w:rsidP="00B35B3E">
            <w:pPr>
              <w:autoSpaceDE w:val="0"/>
              <w:autoSpaceDN w:val="0"/>
              <w:adjustRightInd w:val="0"/>
              <w:jc w:val="center"/>
              <w:rPr>
                <w:rFonts w:eastAsia="Calibri"/>
                <w:lang w:eastAsia="en-US"/>
              </w:rPr>
            </w:pPr>
          </w:p>
        </w:tc>
        <w:tc>
          <w:tcPr>
            <w:tcW w:w="5075" w:type="dxa"/>
            <w:tcBorders>
              <w:top w:val="single" w:sz="4" w:space="0" w:color="auto"/>
              <w:left w:val="single" w:sz="4" w:space="0" w:color="auto"/>
              <w:bottom w:val="single" w:sz="4" w:space="0" w:color="auto"/>
              <w:right w:val="single" w:sz="4" w:space="0" w:color="auto"/>
            </w:tcBorders>
          </w:tcPr>
          <w:p w14:paraId="35955104"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Ночная зона</w:t>
            </w:r>
          </w:p>
        </w:tc>
        <w:tc>
          <w:tcPr>
            <w:tcW w:w="1843" w:type="dxa"/>
            <w:tcBorders>
              <w:top w:val="nil"/>
              <w:left w:val="single" w:sz="4" w:space="0" w:color="auto"/>
              <w:bottom w:val="single" w:sz="4" w:space="0" w:color="auto"/>
              <w:right w:val="single" w:sz="4" w:space="0" w:color="auto"/>
            </w:tcBorders>
            <w:shd w:val="clear" w:color="auto" w:fill="auto"/>
            <w:vAlign w:val="center"/>
          </w:tcPr>
          <w:p w14:paraId="3C51E8E9"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1,72</w:t>
            </w:r>
          </w:p>
        </w:tc>
        <w:tc>
          <w:tcPr>
            <w:tcW w:w="1838" w:type="dxa"/>
            <w:tcBorders>
              <w:top w:val="nil"/>
              <w:left w:val="nil"/>
              <w:bottom w:val="single" w:sz="4" w:space="0" w:color="auto"/>
              <w:right w:val="single" w:sz="4" w:space="0" w:color="auto"/>
            </w:tcBorders>
            <w:shd w:val="clear" w:color="auto" w:fill="auto"/>
            <w:vAlign w:val="center"/>
          </w:tcPr>
          <w:p w14:paraId="2D61000C"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1,81</w:t>
            </w:r>
          </w:p>
        </w:tc>
      </w:tr>
      <w:tr w:rsidR="00B35B3E" w:rsidRPr="00B35B3E" w14:paraId="7BEEF9EC" w14:textId="77777777" w:rsidTr="00CA5588">
        <w:tc>
          <w:tcPr>
            <w:tcW w:w="737" w:type="dxa"/>
            <w:tcBorders>
              <w:top w:val="single" w:sz="4" w:space="0" w:color="auto"/>
              <w:left w:val="single" w:sz="4" w:space="0" w:color="auto"/>
              <w:bottom w:val="single" w:sz="4" w:space="0" w:color="auto"/>
              <w:right w:val="single" w:sz="4" w:space="0" w:color="auto"/>
            </w:tcBorders>
          </w:tcPr>
          <w:p w14:paraId="581A3C62"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4</w:t>
            </w:r>
          </w:p>
        </w:tc>
        <w:tc>
          <w:tcPr>
            <w:tcW w:w="8756" w:type="dxa"/>
            <w:gridSpan w:val="3"/>
            <w:tcBorders>
              <w:top w:val="single" w:sz="4" w:space="0" w:color="auto"/>
              <w:left w:val="single" w:sz="4" w:space="0" w:color="auto"/>
              <w:bottom w:val="single" w:sz="4" w:space="0" w:color="auto"/>
              <w:right w:val="single" w:sz="4" w:space="0" w:color="auto"/>
            </w:tcBorders>
          </w:tcPr>
          <w:p w14:paraId="018B5871"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Население, проживающее в городских населенных пунктах в домах, оборудованных электроотопительными установками и не оборудованных стационарными электроплитами, и приравненные к нему:</w:t>
            </w:r>
          </w:p>
          <w:p w14:paraId="59CC9C8C"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199E9B3A"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74B5C261"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r w:rsidR="00B35B3E" w:rsidRPr="00B35B3E" w14:paraId="40883FC7" w14:textId="77777777" w:rsidTr="00CA5588">
        <w:tc>
          <w:tcPr>
            <w:tcW w:w="737" w:type="dxa"/>
            <w:tcBorders>
              <w:top w:val="single" w:sz="4" w:space="0" w:color="auto"/>
              <w:left w:val="single" w:sz="4" w:space="0" w:color="auto"/>
              <w:bottom w:val="single" w:sz="4" w:space="0" w:color="auto"/>
              <w:right w:val="single" w:sz="4" w:space="0" w:color="auto"/>
            </w:tcBorders>
          </w:tcPr>
          <w:p w14:paraId="19F6C826"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4.1</w:t>
            </w:r>
          </w:p>
        </w:tc>
        <w:tc>
          <w:tcPr>
            <w:tcW w:w="5075" w:type="dxa"/>
            <w:tcBorders>
              <w:top w:val="single" w:sz="4" w:space="0" w:color="auto"/>
              <w:left w:val="single" w:sz="4" w:space="0" w:color="auto"/>
              <w:bottom w:val="single" w:sz="4" w:space="0" w:color="auto"/>
              <w:right w:val="single" w:sz="4" w:space="0" w:color="auto"/>
            </w:tcBorders>
          </w:tcPr>
          <w:p w14:paraId="2B69258F" w14:textId="77777777" w:rsidR="00B35B3E" w:rsidRPr="00B35B3E" w:rsidRDefault="00B35B3E" w:rsidP="00B35B3E">
            <w:pPr>
              <w:autoSpaceDE w:val="0"/>
              <w:autoSpaceDN w:val="0"/>
              <w:adjustRightInd w:val="0"/>
              <w:rPr>
                <w:rFonts w:eastAsia="Calibri"/>
                <w:lang w:eastAsia="en-US"/>
              </w:rPr>
            </w:pPr>
            <w:r w:rsidRPr="00B35B3E">
              <w:rPr>
                <w:rFonts w:eastAsia="Calibri"/>
                <w:lang w:eastAsia="en-US"/>
              </w:rPr>
              <w:t>Одноставочный тариф</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BD2AAEC"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2,64</w:t>
            </w:r>
          </w:p>
        </w:tc>
        <w:tc>
          <w:tcPr>
            <w:tcW w:w="1838" w:type="dxa"/>
            <w:tcBorders>
              <w:top w:val="single" w:sz="4" w:space="0" w:color="auto"/>
              <w:left w:val="nil"/>
              <w:bottom w:val="single" w:sz="4" w:space="0" w:color="auto"/>
              <w:right w:val="single" w:sz="4" w:space="0" w:color="auto"/>
            </w:tcBorders>
            <w:shd w:val="clear" w:color="auto" w:fill="auto"/>
            <w:vAlign w:val="center"/>
          </w:tcPr>
          <w:p w14:paraId="5BF426FB"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2,77</w:t>
            </w:r>
          </w:p>
        </w:tc>
      </w:tr>
      <w:tr w:rsidR="00B35B3E" w:rsidRPr="00B35B3E" w14:paraId="53D75686" w14:textId="77777777" w:rsidTr="00CA5588">
        <w:tc>
          <w:tcPr>
            <w:tcW w:w="737" w:type="dxa"/>
            <w:vMerge w:val="restart"/>
            <w:tcBorders>
              <w:top w:val="single" w:sz="4" w:space="0" w:color="auto"/>
              <w:left w:val="single" w:sz="4" w:space="0" w:color="auto"/>
              <w:bottom w:val="single" w:sz="4" w:space="0" w:color="auto"/>
              <w:right w:val="single" w:sz="4" w:space="0" w:color="auto"/>
            </w:tcBorders>
          </w:tcPr>
          <w:p w14:paraId="460391E7"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4.2</w:t>
            </w:r>
          </w:p>
        </w:tc>
        <w:tc>
          <w:tcPr>
            <w:tcW w:w="8756" w:type="dxa"/>
            <w:gridSpan w:val="3"/>
            <w:tcBorders>
              <w:top w:val="single" w:sz="4" w:space="0" w:color="auto"/>
              <w:left w:val="single" w:sz="4" w:space="0" w:color="auto"/>
              <w:bottom w:val="single" w:sz="4" w:space="0" w:color="auto"/>
              <w:right w:val="single" w:sz="4" w:space="0" w:color="auto"/>
            </w:tcBorders>
          </w:tcPr>
          <w:p w14:paraId="1201383E" w14:textId="77777777" w:rsidR="00B35B3E" w:rsidRPr="00B35B3E" w:rsidRDefault="00B35B3E" w:rsidP="00B35B3E">
            <w:pPr>
              <w:autoSpaceDE w:val="0"/>
              <w:autoSpaceDN w:val="0"/>
              <w:adjustRightInd w:val="0"/>
              <w:rPr>
                <w:rFonts w:eastAsia="Calibri"/>
                <w:lang w:eastAsia="en-US"/>
              </w:rPr>
            </w:pPr>
            <w:r w:rsidRPr="00B35B3E">
              <w:rPr>
                <w:rFonts w:eastAsia="Calibri"/>
                <w:lang w:eastAsia="en-US"/>
              </w:rPr>
              <w:t>Одноставочный тариф, дифференцированный по двум зонам суток</w:t>
            </w:r>
          </w:p>
        </w:tc>
      </w:tr>
      <w:tr w:rsidR="00B35B3E" w:rsidRPr="00B35B3E" w14:paraId="0DAA675A" w14:textId="77777777" w:rsidTr="00CA5588">
        <w:tc>
          <w:tcPr>
            <w:tcW w:w="737" w:type="dxa"/>
            <w:vMerge/>
            <w:tcBorders>
              <w:top w:val="single" w:sz="4" w:space="0" w:color="auto"/>
              <w:left w:val="single" w:sz="4" w:space="0" w:color="auto"/>
              <w:bottom w:val="single" w:sz="4" w:space="0" w:color="auto"/>
              <w:right w:val="single" w:sz="4" w:space="0" w:color="auto"/>
            </w:tcBorders>
          </w:tcPr>
          <w:p w14:paraId="071F2EC5" w14:textId="77777777" w:rsidR="00B35B3E" w:rsidRPr="00B35B3E" w:rsidRDefault="00B35B3E" w:rsidP="00B35B3E">
            <w:pPr>
              <w:autoSpaceDE w:val="0"/>
              <w:autoSpaceDN w:val="0"/>
              <w:adjustRightInd w:val="0"/>
              <w:jc w:val="center"/>
              <w:rPr>
                <w:rFonts w:eastAsia="Calibri"/>
                <w:lang w:eastAsia="en-US"/>
              </w:rPr>
            </w:pPr>
          </w:p>
        </w:tc>
        <w:tc>
          <w:tcPr>
            <w:tcW w:w="5075" w:type="dxa"/>
            <w:tcBorders>
              <w:top w:val="single" w:sz="4" w:space="0" w:color="auto"/>
              <w:left w:val="single" w:sz="4" w:space="0" w:color="auto"/>
              <w:bottom w:val="single" w:sz="4" w:space="0" w:color="auto"/>
              <w:right w:val="single" w:sz="4" w:space="0" w:color="auto"/>
            </w:tcBorders>
          </w:tcPr>
          <w:p w14:paraId="5251F81C"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Дневная зона (пиковая и полупиковая)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DA81B05"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3,04</w:t>
            </w:r>
          </w:p>
        </w:tc>
        <w:tc>
          <w:tcPr>
            <w:tcW w:w="1838" w:type="dxa"/>
            <w:tcBorders>
              <w:top w:val="single" w:sz="4" w:space="0" w:color="auto"/>
              <w:left w:val="nil"/>
              <w:bottom w:val="single" w:sz="4" w:space="0" w:color="auto"/>
              <w:right w:val="single" w:sz="4" w:space="0" w:color="auto"/>
            </w:tcBorders>
            <w:shd w:val="clear" w:color="auto" w:fill="auto"/>
            <w:vAlign w:val="center"/>
          </w:tcPr>
          <w:p w14:paraId="25216848"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3,19</w:t>
            </w:r>
          </w:p>
        </w:tc>
      </w:tr>
      <w:tr w:rsidR="00B35B3E" w:rsidRPr="00B35B3E" w14:paraId="48FEFFE1" w14:textId="77777777" w:rsidTr="00CA5588">
        <w:tc>
          <w:tcPr>
            <w:tcW w:w="737" w:type="dxa"/>
            <w:vMerge/>
            <w:tcBorders>
              <w:top w:val="single" w:sz="4" w:space="0" w:color="auto"/>
              <w:left w:val="single" w:sz="4" w:space="0" w:color="auto"/>
              <w:bottom w:val="single" w:sz="4" w:space="0" w:color="auto"/>
              <w:right w:val="single" w:sz="4" w:space="0" w:color="auto"/>
            </w:tcBorders>
          </w:tcPr>
          <w:p w14:paraId="5D4BAF53" w14:textId="77777777" w:rsidR="00B35B3E" w:rsidRPr="00B35B3E" w:rsidRDefault="00B35B3E" w:rsidP="00B35B3E">
            <w:pPr>
              <w:autoSpaceDE w:val="0"/>
              <w:autoSpaceDN w:val="0"/>
              <w:adjustRightInd w:val="0"/>
              <w:jc w:val="center"/>
              <w:rPr>
                <w:rFonts w:eastAsia="Calibri"/>
                <w:lang w:eastAsia="en-US"/>
              </w:rPr>
            </w:pPr>
          </w:p>
        </w:tc>
        <w:tc>
          <w:tcPr>
            <w:tcW w:w="5075" w:type="dxa"/>
            <w:tcBorders>
              <w:top w:val="single" w:sz="4" w:space="0" w:color="auto"/>
              <w:left w:val="single" w:sz="4" w:space="0" w:color="auto"/>
              <w:bottom w:val="single" w:sz="4" w:space="0" w:color="auto"/>
              <w:right w:val="single" w:sz="4" w:space="0" w:color="auto"/>
            </w:tcBorders>
          </w:tcPr>
          <w:p w14:paraId="3B91F5DE"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Ночная зона</w:t>
            </w:r>
          </w:p>
        </w:tc>
        <w:tc>
          <w:tcPr>
            <w:tcW w:w="1843" w:type="dxa"/>
            <w:tcBorders>
              <w:top w:val="nil"/>
              <w:left w:val="single" w:sz="4" w:space="0" w:color="auto"/>
              <w:bottom w:val="single" w:sz="4" w:space="0" w:color="auto"/>
              <w:right w:val="single" w:sz="4" w:space="0" w:color="auto"/>
            </w:tcBorders>
            <w:shd w:val="clear" w:color="auto" w:fill="auto"/>
            <w:vAlign w:val="center"/>
          </w:tcPr>
          <w:p w14:paraId="69922302"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1,72</w:t>
            </w:r>
          </w:p>
        </w:tc>
        <w:tc>
          <w:tcPr>
            <w:tcW w:w="1838" w:type="dxa"/>
            <w:tcBorders>
              <w:top w:val="nil"/>
              <w:left w:val="nil"/>
              <w:bottom w:val="single" w:sz="4" w:space="0" w:color="auto"/>
              <w:right w:val="single" w:sz="4" w:space="0" w:color="auto"/>
            </w:tcBorders>
            <w:shd w:val="clear" w:color="auto" w:fill="auto"/>
            <w:vAlign w:val="center"/>
          </w:tcPr>
          <w:p w14:paraId="2655EA01"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1,81</w:t>
            </w:r>
          </w:p>
        </w:tc>
      </w:tr>
      <w:tr w:rsidR="00B35B3E" w:rsidRPr="00B35B3E" w14:paraId="577F307B" w14:textId="77777777" w:rsidTr="00CA5588">
        <w:tc>
          <w:tcPr>
            <w:tcW w:w="737" w:type="dxa"/>
            <w:vMerge w:val="restart"/>
            <w:tcBorders>
              <w:top w:val="single" w:sz="4" w:space="0" w:color="auto"/>
              <w:left w:val="single" w:sz="4" w:space="0" w:color="auto"/>
              <w:bottom w:val="single" w:sz="4" w:space="0" w:color="auto"/>
              <w:right w:val="single" w:sz="4" w:space="0" w:color="auto"/>
            </w:tcBorders>
          </w:tcPr>
          <w:p w14:paraId="79AB3A92"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4.3</w:t>
            </w:r>
          </w:p>
        </w:tc>
        <w:tc>
          <w:tcPr>
            <w:tcW w:w="8756" w:type="dxa"/>
            <w:gridSpan w:val="3"/>
            <w:tcBorders>
              <w:top w:val="single" w:sz="4" w:space="0" w:color="auto"/>
              <w:left w:val="single" w:sz="4" w:space="0" w:color="auto"/>
              <w:bottom w:val="single" w:sz="4" w:space="0" w:color="auto"/>
              <w:right w:val="single" w:sz="4" w:space="0" w:color="auto"/>
            </w:tcBorders>
          </w:tcPr>
          <w:p w14:paraId="38F2D918" w14:textId="77777777" w:rsidR="00B35B3E" w:rsidRPr="00B35B3E" w:rsidRDefault="00B35B3E" w:rsidP="00B35B3E">
            <w:pPr>
              <w:autoSpaceDE w:val="0"/>
              <w:autoSpaceDN w:val="0"/>
              <w:adjustRightInd w:val="0"/>
              <w:rPr>
                <w:rFonts w:eastAsia="Calibri"/>
                <w:lang w:eastAsia="en-US"/>
              </w:rPr>
            </w:pPr>
            <w:r w:rsidRPr="00B35B3E">
              <w:rPr>
                <w:rFonts w:eastAsia="Calibri"/>
                <w:lang w:eastAsia="en-US"/>
              </w:rPr>
              <w:t>Одноставочный тариф, дифференцированный по трем зонам суток</w:t>
            </w:r>
          </w:p>
        </w:tc>
      </w:tr>
      <w:tr w:rsidR="00B35B3E" w:rsidRPr="00B35B3E" w14:paraId="2DE7D036" w14:textId="77777777" w:rsidTr="00CA5588">
        <w:tc>
          <w:tcPr>
            <w:tcW w:w="737" w:type="dxa"/>
            <w:vMerge/>
            <w:tcBorders>
              <w:top w:val="single" w:sz="4" w:space="0" w:color="auto"/>
              <w:left w:val="single" w:sz="4" w:space="0" w:color="auto"/>
              <w:bottom w:val="single" w:sz="4" w:space="0" w:color="auto"/>
              <w:right w:val="single" w:sz="4" w:space="0" w:color="auto"/>
            </w:tcBorders>
          </w:tcPr>
          <w:p w14:paraId="4573B274" w14:textId="77777777" w:rsidR="00B35B3E" w:rsidRPr="00B35B3E" w:rsidRDefault="00B35B3E" w:rsidP="00B35B3E">
            <w:pPr>
              <w:autoSpaceDE w:val="0"/>
              <w:autoSpaceDN w:val="0"/>
              <w:adjustRightInd w:val="0"/>
              <w:jc w:val="center"/>
              <w:rPr>
                <w:rFonts w:eastAsia="Calibri"/>
                <w:lang w:eastAsia="en-US"/>
              </w:rPr>
            </w:pPr>
          </w:p>
        </w:tc>
        <w:tc>
          <w:tcPr>
            <w:tcW w:w="5075" w:type="dxa"/>
            <w:tcBorders>
              <w:top w:val="single" w:sz="4" w:space="0" w:color="auto"/>
              <w:left w:val="single" w:sz="4" w:space="0" w:color="auto"/>
              <w:bottom w:val="single" w:sz="4" w:space="0" w:color="auto"/>
              <w:right w:val="single" w:sz="4" w:space="0" w:color="auto"/>
            </w:tcBorders>
          </w:tcPr>
          <w:p w14:paraId="0291E8D5"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Пиковая зона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29DDAF1"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3,30</w:t>
            </w:r>
          </w:p>
        </w:tc>
        <w:tc>
          <w:tcPr>
            <w:tcW w:w="1838" w:type="dxa"/>
            <w:tcBorders>
              <w:top w:val="single" w:sz="4" w:space="0" w:color="auto"/>
              <w:left w:val="nil"/>
              <w:bottom w:val="single" w:sz="4" w:space="0" w:color="auto"/>
              <w:right w:val="single" w:sz="4" w:space="0" w:color="auto"/>
            </w:tcBorders>
            <w:shd w:val="clear" w:color="auto" w:fill="auto"/>
            <w:vAlign w:val="center"/>
          </w:tcPr>
          <w:p w14:paraId="6CE525CB"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3,47</w:t>
            </w:r>
          </w:p>
        </w:tc>
      </w:tr>
      <w:tr w:rsidR="00B35B3E" w:rsidRPr="00B35B3E" w14:paraId="762B3F1C" w14:textId="77777777" w:rsidTr="00CA5588">
        <w:tc>
          <w:tcPr>
            <w:tcW w:w="737" w:type="dxa"/>
            <w:vMerge/>
            <w:tcBorders>
              <w:top w:val="single" w:sz="4" w:space="0" w:color="auto"/>
              <w:left w:val="single" w:sz="4" w:space="0" w:color="auto"/>
              <w:bottom w:val="single" w:sz="4" w:space="0" w:color="auto"/>
              <w:right w:val="single" w:sz="4" w:space="0" w:color="auto"/>
            </w:tcBorders>
          </w:tcPr>
          <w:p w14:paraId="312B7E03" w14:textId="77777777" w:rsidR="00B35B3E" w:rsidRPr="00B35B3E" w:rsidRDefault="00B35B3E" w:rsidP="00B35B3E">
            <w:pPr>
              <w:autoSpaceDE w:val="0"/>
              <w:autoSpaceDN w:val="0"/>
              <w:adjustRightInd w:val="0"/>
              <w:jc w:val="center"/>
              <w:rPr>
                <w:rFonts w:eastAsia="Calibri"/>
                <w:lang w:eastAsia="en-US"/>
              </w:rPr>
            </w:pPr>
          </w:p>
        </w:tc>
        <w:tc>
          <w:tcPr>
            <w:tcW w:w="5075" w:type="dxa"/>
            <w:tcBorders>
              <w:top w:val="single" w:sz="4" w:space="0" w:color="auto"/>
              <w:left w:val="single" w:sz="4" w:space="0" w:color="auto"/>
              <w:bottom w:val="single" w:sz="4" w:space="0" w:color="auto"/>
              <w:right w:val="single" w:sz="4" w:space="0" w:color="auto"/>
            </w:tcBorders>
          </w:tcPr>
          <w:p w14:paraId="6C8DFD1F"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Полупиковая зона</w:t>
            </w:r>
          </w:p>
        </w:tc>
        <w:tc>
          <w:tcPr>
            <w:tcW w:w="1843" w:type="dxa"/>
            <w:tcBorders>
              <w:top w:val="nil"/>
              <w:left w:val="single" w:sz="4" w:space="0" w:color="auto"/>
              <w:bottom w:val="single" w:sz="4" w:space="0" w:color="auto"/>
              <w:right w:val="single" w:sz="4" w:space="0" w:color="auto"/>
            </w:tcBorders>
            <w:shd w:val="clear" w:color="auto" w:fill="auto"/>
            <w:vAlign w:val="center"/>
          </w:tcPr>
          <w:p w14:paraId="1E348BC5"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2,64</w:t>
            </w:r>
          </w:p>
        </w:tc>
        <w:tc>
          <w:tcPr>
            <w:tcW w:w="1838" w:type="dxa"/>
            <w:tcBorders>
              <w:top w:val="nil"/>
              <w:left w:val="nil"/>
              <w:bottom w:val="single" w:sz="4" w:space="0" w:color="auto"/>
              <w:right w:val="single" w:sz="4" w:space="0" w:color="auto"/>
            </w:tcBorders>
            <w:shd w:val="clear" w:color="auto" w:fill="auto"/>
            <w:vAlign w:val="center"/>
          </w:tcPr>
          <w:p w14:paraId="60E2C1A2"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2,77</w:t>
            </w:r>
          </w:p>
        </w:tc>
      </w:tr>
      <w:tr w:rsidR="00B35B3E" w:rsidRPr="00B35B3E" w14:paraId="3529BF2F" w14:textId="77777777" w:rsidTr="00CA5588">
        <w:tc>
          <w:tcPr>
            <w:tcW w:w="737" w:type="dxa"/>
            <w:vMerge/>
            <w:tcBorders>
              <w:top w:val="single" w:sz="4" w:space="0" w:color="auto"/>
              <w:left w:val="single" w:sz="4" w:space="0" w:color="auto"/>
              <w:bottom w:val="single" w:sz="4" w:space="0" w:color="auto"/>
              <w:right w:val="single" w:sz="4" w:space="0" w:color="auto"/>
            </w:tcBorders>
          </w:tcPr>
          <w:p w14:paraId="74211E83" w14:textId="77777777" w:rsidR="00B35B3E" w:rsidRPr="00B35B3E" w:rsidRDefault="00B35B3E" w:rsidP="00B35B3E">
            <w:pPr>
              <w:autoSpaceDE w:val="0"/>
              <w:autoSpaceDN w:val="0"/>
              <w:adjustRightInd w:val="0"/>
              <w:jc w:val="center"/>
              <w:rPr>
                <w:rFonts w:eastAsia="Calibri"/>
                <w:lang w:eastAsia="en-US"/>
              </w:rPr>
            </w:pPr>
          </w:p>
        </w:tc>
        <w:tc>
          <w:tcPr>
            <w:tcW w:w="5075" w:type="dxa"/>
            <w:tcBorders>
              <w:top w:val="single" w:sz="4" w:space="0" w:color="auto"/>
              <w:left w:val="single" w:sz="4" w:space="0" w:color="auto"/>
              <w:bottom w:val="single" w:sz="4" w:space="0" w:color="auto"/>
              <w:right w:val="single" w:sz="4" w:space="0" w:color="auto"/>
            </w:tcBorders>
          </w:tcPr>
          <w:p w14:paraId="359C85D8"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Ночная зона</w:t>
            </w:r>
          </w:p>
        </w:tc>
        <w:tc>
          <w:tcPr>
            <w:tcW w:w="1843" w:type="dxa"/>
            <w:tcBorders>
              <w:top w:val="nil"/>
              <w:left w:val="single" w:sz="4" w:space="0" w:color="auto"/>
              <w:bottom w:val="single" w:sz="4" w:space="0" w:color="auto"/>
              <w:right w:val="single" w:sz="4" w:space="0" w:color="auto"/>
            </w:tcBorders>
            <w:shd w:val="clear" w:color="auto" w:fill="auto"/>
            <w:vAlign w:val="center"/>
          </w:tcPr>
          <w:p w14:paraId="50C78BDB"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1,72</w:t>
            </w:r>
          </w:p>
        </w:tc>
        <w:tc>
          <w:tcPr>
            <w:tcW w:w="1838" w:type="dxa"/>
            <w:tcBorders>
              <w:top w:val="nil"/>
              <w:left w:val="nil"/>
              <w:bottom w:val="single" w:sz="4" w:space="0" w:color="auto"/>
              <w:right w:val="single" w:sz="4" w:space="0" w:color="auto"/>
            </w:tcBorders>
            <w:shd w:val="clear" w:color="auto" w:fill="auto"/>
            <w:vAlign w:val="center"/>
          </w:tcPr>
          <w:p w14:paraId="124D28FA"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1,81</w:t>
            </w:r>
          </w:p>
        </w:tc>
      </w:tr>
      <w:tr w:rsidR="00B35B3E" w:rsidRPr="00B35B3E" w14:paraId="21304C3C" w14:textId="77777777" w:rsidTr="00CA5588">
        <w:tc>
          <w:tcPr>
            <w:tcW w:w="737" w:type="dxa"/>
            <w:tcBorders>
              <w:top w:val="single" w:sz="4" w:space="0" w:color="auto"/>
              <w:left w:val="single" w:sz="4" w:space="0" w:color="auto"/>
              <w:bottom w:val="single" w:sz="4" w:space="0" w:color="auto"/>
              <w:right w:val="single" w:sz="4" w:space="0" w:color="auto"/>
            </w:tcBorders>
          </w:tcPr>
          <w:p w14:paraId="1D98490A"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5</w:t>
            </w:r>
          </w:p>
        </w:tc>
        <w:tc>
          <w:tcPr>
            <w:tcW w:w="8756" w:type="dxa"/>
            <w:gridSpan w:val="3"/>
            <w:tcBorders>
              <w:top w:val="single" w:sz="4" w:space="0" w:color="auto"/>
              <w:left w:val="single" w:sz="4" w:space="0" w:color="auto"/>
              <w:bottom w:val="single" w:sz="4" w:space="0" w:color="auto"/>
              <w:right w:val="single" w:sz="4" w:space="0" w:color="auto"/>
            </w:tcBorders>
          </w:tcPr>
          <w:p w14:paraId="7636CBBD"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Население, проживающее в сельских населенных пунктах, и приравненные к нему:</w:t>
            </w:r>
          </w:p>
          <w:p w14:paraId="2F32F9F6"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51AC2636"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5442C945"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r w:rsidR="00B35B3E" w:rsidRPr="00B35B3E" w14:paraId="514E1EE8" w14:textId="77777777" w:rsidTr="00CA5588">
        <w:tc>
          <w:tcPr>
            <w:tcW w:w="737" w:type="dxa"/>
            <w:tcBorders>
              <w:top w:val="single" w:sz="4" w:space="0" w:color="auto"/>
              <w:left w:val="single" w:sz="4" w:space="0" w:color="auto"/>
              <w:bottom w:val="single" w:sz="4" w:space="0" w:color="auto"/>
              <w:right w:val="single" w:sz="4" w:space="0" w:color="auto"/>
            </w:tcBorders>
          </w:tcPr>
          <w:p w14:paraId="54E9706A"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5.1</w:t>
            </w:r>
          </w:p>
        </w:tc>
        <w:tc>
          <w:tcPr>
            <w:tcW w:w="5075" w:type="dxa"/>
            <w:tcBorders>
              <w:top w:val="single" w:sz="4" w:space="0" w:color="auto"/>
              <w:left w:val="single" w:sz="4" w:space="0" w:color="auto"/>
              <w:bottom w:val="single" w:sz="4" w:space="0" w:color="auto"/>
              <w:right w:val="single" w:sz="4" w:space="0" w:color="auto"/>
            </w:tcBorders>
          </w:tcPr>
          <w:p w14:paraId="1A8A6B73" w14:textId="77777777" w:rsidR="00B35B3E" w:rsidRPr="00B35B3E" w:rsidRDefault="00B35B3E" w:rsidP="00B35B3E">
            <w:pPr>
              <w:autoSpaceDE w:val="0"/>
              <w:autoSpaceDN w:val="0"/>
              <w:adjustRightInd w:val="0"/>
              <w:rPr>
                <w:rFonts w:eastAsia="Calibri"/>
                <w:lang w:eastAsia="en-US"/>
              </w:rPr>
            </w:pPr>
            <w:r w:rsidRPr="00B35B3E">
              <w:rPr>
                <w:rFonts w:eastAsia="Calibri"/>
                <w:lang w:eastAsia="en-US"/>
              </w:rPr>
              <w:t>Одноставочный тариф</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B48E58E"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2,64</w:t>
            </w:r>
          </w:p>
        </w:tc>
        <w:tc>
          <w:tcPr>
            <w:tcW w:w="1838" w:type="dxa"/>
            <w:tcBorders>
              <w:top w:val="single" w:sz="4" w:space="0" w:color="auto"/>
              <w:left w:val="nil"/>
              <w:bottom w:val="single" w:sz="4" w:space="0" w:color="auto"/>
              <w:right w:val="single" w:sz="4" w:space="0" w:color="auto"/>
            </w:tcBorders>
            <w:shd w:val="clear" w:color="auto" w:fill="auto"/>
            <w:vAlign w:val="center"/>
          </w:tcPr>
          <w:p w14:paraId="469B5D11"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2,77</w:t>
            </w:r>
          </w:p>
        </w:tc>
      </w:tr>
      <w:tr w:rsidR="00B35B3E" w:rsidRPr="00B35B3E" w14:paraId="2CA3EB16" w14:textId="77777777" w:rsidTr="00CA5588">
        <w:tc>
          <w:tcPr>
            <w:tcW w:w="737" w:type="dxa"/>
            <w:vMerge w:val="restart"/>
            <w:tcBorders>
              <w:top w:val="single" w:sz="4" w:space="0" w:color="auto"/>
              <w:left w:val="single" w:sz="4" w:space="0" w:color="auto"/>
              <w:bottom w:val="single" w:sz="4" w:space="0" w:color="auto"/>
              <w:right w:val="single" w:sz="4" w:space="0" w:color="auto"/>
            </w:tcBorders>
          </w:tcPr>
          <w:p w14:paraId="3D0479EE"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5.2</w:t>
            </w:r>
          </w:p>
        </w:tc>
        <w:tc>
          <w:tcPr>
            <w:tcW w:w="8756" w:type="dxa"/>
            <w:gridSpan w:val="3"/>
            <w:tcBorders>
              <w:top w:val="single" w:sz="4" w:space="0" w:color="auto"/>
              <w:left w:val="single" w:sz="4" w:space="0" w:color="auto"/>
              <w:bottom w:val="single" w:sz="4" w:space="0" w:color="auto"/>
              <w:right w:val="single" w:sz="4" w:space="0" w:color="auto"/>
            </w:tcBorders>
          </w:tcPr>
          <w:p w14:paraId="6FC67C85" w14:textId="77777777" w:rsidR="00B35B3E" w:rsidRPr="00B35B3E" w:rsidRDefault="00B35B3E" w:rsidP="00B35B3E">
            <w:pPr>
              <w:autoSpaceDE w:val="0"/>
              <w:autoSpaceDN w:val="0"/>
              <w:adjustRightInd w:val="0"/>
              <w:rPr>
                <w:rFonts w:eastAsia="Calibri"/>
                <w:lang w:eastAsia="en-US"/>
              </w:rPr>
            </w:pPr>
            <w:r w:rsidRPr="00B35B3E">
              <w:rPr>
                <w:rFonts w:eastAsia="Calibri"/>
                <w:lang w:eastAsia="en-US"/>
              </w:rPr>
              <w:t>Одноставочный тариф, дифференцированный по двум зонам суток</w:t>
            </w:r>
          </w:p>
        </w:tc>
      </w:tr>
      <w:tr w:rsidR="00B35B3E" w:rsidRPr="00B35B3E" w14:paraId="6CE18EC6" w14:textId="77777777" w:rsidTr="00CA5588">
        <w:tc>
          <w:tcPr>
            <w:tcW w:w="737" w:type="dxa"/>
            <w:vMerge/>
            <w:tcBorders>
              <w:top w:val="single" w:sz="4" w:space="0" w:color="auto"/>
              <w:left w:val="single" w:sz="4" w:space="0" w:color="auto"/>
              <w:bottom w:val="single" w:sz="4" w:space="0" w:color="auto"/>
              <w:right w:val="single" w:sz="4" w:space="0" w:color="auto"/>
            </w:tcBorders>
          </w:tcPr>
          <w:p w14:paraId="277E6CB5" w14:textId="77777777" w:rsidR="00B35B3E" w:rsidRPr="00B35B3E" w:rsidRDefault="00B35B3E" w:rsidP="00B35B3E">
            <w:pPr>
              <w:autoSpaceDE w:val="0"/>
              <w:autoSpaceDN w:val="0"/>
              <w:adjustRightInd w:val="0"/>
              <w:jc w:val="center"/>
              <w:rPr>
                <w:rFonts w:eastAsia="Calibri"/>
                <w:lang w:eastAsia="en-US"/>
              </w:rPr>
            </w:pPr>
          </w:p>
        </w:tc>
        <w:tc>
          <w:tcPr>
            <w:tcW w:w="5075" w:type="dxa"/>
            <w:tcBorders>
              <w:top w:val="single" w:sz="4" w:space="0" w:color="auto"/>
              <w:left w:val="single" w:sz="4" w:space="0" w:color="auto"/>
              <w:bottom w:val="single" w:sz="4" w:space="0" w:color="auto"/>
              <w:right w:val="single" w:sz="4" w:space="0" w:color="auto"/>
            </w:tcBorders>
          </w:tcPr>
          <w:p w14:paraId="381D1AB2"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Дневная зона (пиковая и полупиковая)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F95E851"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3,04</w:t>
            </w:r>
          </w:p>
        </w:tc>
        <w:tc>
          <w:tcPr>
            <w:tcW w:w="1838" w:type="dxa"/>
            <w:tcBorders>
              <w:top w:val="single" w:sz="4" w:space="0" w:color="auto"/>
              <w:left w:val="nil"/>
              <w:bottom w:val="single" w:sz="4" w:space="0" w:color="auto"/>
              <w:right w:val="single" w:sz="4" w:space="0" w:color="auto"/>
            </w:tcBorders>
            <w:shd w:val="clear" w:color="auto" w:fill="auto"/>
            <w:vAlign w:val="center"/>
          </w:tcPr>
          <w:p w14:paraId="44FE5A78"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3,19</w:t>
            </w:r>
          </w:p>
        </w:tc>
      </w:tr>
      <w:tr w:rsidR="00B35B3E" w:rsidRPr="00B35B3E" w14:paraId="3D337799" w14:textId="77777777" w:rsidTr="00CA5588">
        <w:tc>
          <w:tcPr>
            <w:tcW w:w="737" w:type="dxa"/>
            <w:vMerge/>
            <w:tcBorders>
              <w:top w:val="single" w:sz="4" w:space="0" w:color="auto"/>
              <w:left w:val="single" w:sz="4" w:space="0" w:color="auto"/>
              <w:bottom w:val="single" w:sz="4" w:space="0" w:color="auto"/>
              <w:right w:val="single" w:sz="4" w:space="0" w:color="auto"/>
            </w:tcBorders>
          </w:tcPr>
          <w:p w14:paraId="242F3253" w14:textId="77777777" w:rsidR="00B35B3E" w:rsidRPr="00B35B3E" w:rsidRDefault="00B35B3E" w:rsidP="00B35B3E">
            <w:pPr>
              <w:autoSpaceDE w:val="0"/>
              <w:autoSpaceDN w:val="0"/>
              <w:adjustRightInd w:val="0"/>
              <w:jc w:val="center"/>
              <w:rPr>
                <w:rFonts w:eastAsia="Calibri"/>
                <w:lang w:eastAsia="en-US"/>
              </w:rPr>
            </w:pPr>
          </w:p>
        </w:tc>
        <w:tc>
          <w:tcPr>
            <w:tcW w:w="5075" w:type="dxa"/>
            <w:tcBorders>
              <w:top w:val="single" w:sz="4" w:space="0" w:color="auto"/>
              <w:left w:val="single" w:sz="4" w:space="0" w:color="auto"/>
              <w:bottom w:val="single" w:sz="4" w:space="0" w:color="auto"/>
              <w:right w:val="single" w:sz="4" w:space="0" w:color="auto"/>
            </w:tcBorders>
          </w:tcPr>
          <w:p w14:paraId="41AA5F50"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Ночная зона</w:t>
            </w:r>
          </w:p>
        </w:tc>
        <w:tc>
          <w:tcPr>
            <w:tcW w:w="1843" w:type="dxa"/>
            <w:tcBorders>
              <w:top w:val="nil"/>
              <w:left w:val="single" w:sz="4" w:space="0" w:color="auto"/>
              <w:bottom w:val="single" w:sz="4" w:space="0" w:color="auto"/>
              <w:right w:val="single" w:sz="4" w:space="0" w:color="auto"/>
            </w:tcBorders>
            <w:shd w:val="clear" w:color="auto" w:fill="auto"/>
            <w:vAlign w:val="center"/>
          </w:tcPr>
          <w:p w14:paraId="40174CA4"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1,72</w:t>
            </w:r>
          </w:p>
        </w:tc>
        <w:tc>
          <w:tcPr>
            <w:tcW w:w="1838" w:type="dxa"/>
            <w:tcBorders>
              <w:top w:val="nil"/>
              <w:left w:val="nil"/>
              <w:bottom w:val="single" w:sz="4" w:space="0" w:color="auto"/>
              <w:right w:val="single" w:sz="4" w:space="0" w:color="auto"/>
            </w:tcBorders>
            <w:shd w:val="clear" w:color="auto" w:fill="auto"/>
            <w:vAlign w:val="center"/>
          </w:tcPr>
          <w:p w14:paraId="58E3FB7B"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1,81</w:t>
            </w:r>
          </w:p>
        </w:tc>
      </w:tr>
      <w:tr w:rsidR="00B35B3E" w:rsidRPr="00B35B3E" w14:paraId="0C4D9193" w14:textId="77777777" w:rsidTr="00CA5588">
        <w:tc>
          <w:tcPr>
            <w:tcW w:w="737" w:type="dxa"/>
            <w:vMerge w:val="restart"/>
            <w:tcBorders>
              <w:top w:val="single" w:sz="4" w:space="0" w:color="auto"/>
              <w:left w:val="single" w:sz="4" w:space="0" w:color="auto"/>
              <w:bottom w:val="single" w:sz="4" w:space="0" w:color="auto"/>
              <w:right w:val="single" w:sz="4" w:space="0" w:color="auto"/>
            </w:tcBorders>
          </w:tcPr>
          <w:p w14:paraId="7A800138"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5.3</w:t>
            </w:r>
          </w:p>
        </w:tc>
        <w:tc>
          <w:tcPr>
            <w:tcW w:w="8756" w:type="dxa"/>
            <w:gridSpan w:val="3"/>
            <w:tcBorders>
              <w:top w:val="single" w:sz="4" w:space="0" w:color="auto"/>
              <w:left w:val="single" w:sz="4" w:space="0" w:color="auto"/>
              <w:bottom w:val="single" w:sz="4" w:space="0" w:color="auto"/>
              <w:right w:val="single" w:sz="4" w:space="0" w:color="auto"/>
            </w:tcBorders>
          </w:tcPr>
          <w:p w14:paraId="1BBBBCFA" w14:textId="77777777" w:rsidR="00B35B3E" w:rsidRPr="00B35B3E" w:rsidRDefault="00B35B3E" w:rsidP="00B35B3E">
            <w:pPr>
              <w:autoSpaceDE w:val="0"/>
              <w:autoSpaceDN w:val="0"/>
              <w:adjustRightInd w:val="0"/>
              <w:rPr>
                <w:rFonts w:eastAsia="Calibri"/>
                <w:lang w:eastAsia="en-US"/>
              </w:rPr>
            </w:pPr>
            <w:r w:rsidRPr="00B35B3E">
              <w:rPr>
                <w:rFonts w:eastAsia="Calibri"/>
                <w:lang w:eastAsia="en-US"/>
              </w:rPr>
              <w:t>Одноставочный тариф, дифференцированный по трем зонам суток</w:t>
            </w:r>
          </w:p>
        </w:tc>
      </w:tr>
      <w:tr w:rsidR="00B35B3E" w:rsidRPr="00B35B3E" w14:paraId="49016B4F" w14:textId="77777777" w:rsidTr="00CA5588">
        <w:tc>
          <w:tcPr>
            <w:tcW w:w="737" w:type="dxa"/>
            <w:vMerge/>
            <w:tcBorders>
              <w:top w:val="single" w:sz="4" w:space="0" w:color="auto"/>
              <w:left w:val="single" w:sz="4" w:space="0" w:color="auto"/>
              <w:bottom w:val="single" w:sz="4" w:space="0" w:color="auto"/>
              <w:right w:val="single" w:sz="4" w:space="0" w:color="auto"/>
            </w:tcBorders>
          </w:tcPr>
          <w:p w14:paraId="16D66436" w14:textId="77777777" w:rsidR="00B35B3E" w:rsidRPr="00B35B3E" w:rsidRDefault="00B35B3E" w:rsidP="00B35B3E">
            <w:pPr>
              <w:autoSpaceDE w:val="0"/>
              <w:autoSpaceDN w:val="0"/>
              <w:adjustRightInd w:val="0"/>
              <w:jc w:val="center"/>
              <w:rPr>
                <w:rFonts w:eastAsia="Calibri"/>
                <w:lang w:eastAsia="en-US"/>
              </w:rPr>
            </w:pPr>
          </w:p>
        </w:tc>
        <w:tc>
          <w:tcPr>
            <w:tcW w:w="5075" w:type="dxa"/>
            <w:tcBorders>
              <w:top w:val="single" w:sz="4" w:space="0" w:color="auto"/>
              <w:left w:val="single" w:sz="4" w:space="0" w:color="auto"/>
              <w:bottom w:val="single" w:sz="4" w:space="0" w:color="auto"/>
              <w:right w:val="single" w:sz="4" w:space="0" w:color="auto"/>
            </w:tcBorders>
          </w:tcPr>
          <w:p w14:paraId="39CF1ABF"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Пиковая зона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941F4E4"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3,30</w:t>
            </w:r>
          </w:p>
        </w:tc>
        <w:tc>
          <w:tcPr>
            <w:tcW w:w="1838" w:type="dxa"/>
            <w:tcBorders>
              <w:top w:val="single" w:sz="4" w:space="0" w:color="auto"/>
              <w:left w:val="nil"/>
              <w:bottom w:val="single" w:sz="4" w:space="0" w:color="auto"/>
              <w:right w:val="single" w:sz="4" w:space="0" w:color="auto"/>
            </w:tcBorders>
            <w:shd w:val="clear" w:color="auto" w:fill="auto"/>
            <w:vAlign w:val="center"/>
          </w:tcPr>
          <w:p w14:paraId="525CB10F"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3,47</w:t>
            </w:r>
          </w:p>
        </w:tc>
      </w:tr>
      <w:tr w:rsidR="00B35B3E" w:rsidRPr="00B35B3E" w14:paraId="3DD58265" w14:textId="77777777" w:rsidTr="00CA5588">
        <w:tc>
          <w:tcPr>
            <w:tcW w:w="737" w:type="dxa"/>
            <w:vMerge/>
            <w:tcBorders>
              <w:top w:val="single" w:sz="4" w:space="0" w:color="auto"/>
              <w:left w:val="single" w:sz="4" w:space="0" w:color="auto"/>
              <w:bottom w:val="single" w:sz="4" w:space="0" w:color="auto"/>
              <w:right w:val="single" w:sz="4" w:space="0" w:color="auto"/>
            </w:tcBorders>
          </w:tcPr>
          <w:p w14:paraId="567E8DE4" w14:textId="77777777" w:rsidR="00B35B3E" w:rsidRPr="00B35B3E" w:rsidRDefault="00B35B3E" w:rsidP="00B35B3E">
            <w:pPr>
              <w:autoSpaceDE w:val="0"/>
              <w:autoSpaceDN w:val="0"/>
              <w:adjustRightInd w:val="0"/>
              <w:jc w:val="center"/>
              <w:rPr>
                <w:rFonts w:eastAsia="Calibri"/>
                <w:lang w:eastAsia="en-US"/>
              </w:rPr>
            </w:pPr>
          </w:p>
        </w:tc>
        <w:tc>
          <w:tcPr>
            <w:tcW w:w="5075" w:type="dxa"/>
            <w:tcBorders>
              <w:top w:val="single" w:sz="4" w:space="0" w:color="auto"/>
              <w:left w:val="single" w:sz="4" w:space="0" w:color="auto"/>
              <w:bottom w:val="single" w:sz="4" w:space="0" w:color="auto"/>
              <w:right w:val="single" w:sz="4" w:space="0" w:color="auto"/>
            </w:tcBorders>
          </w:tcPr>
          <w:p w14:paraId="501635A6"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Полупиковая зона</w:t>
            </w:r>
          </w:p>
        </w:tc>
        <w:tc>
          <w:tcPr>
            <w:tcW w:w="1843" w:type="dxa"/>
            <w:tcBorders>
              <w:top w:val="nil"/>
              <w:left w:val="single" w:sz="4" w:space="0" w:color="auto"/>
              <w:bottom w:val="single" w:sz="4" w:space="0" w:color="auto"/>
              <w:right w:val="single" w:sz="4" w:space="0" w:color="auto"/>
            </w:tcBorders>
            <w:shd w:val="clear" w:color="auto" w:fill="auto"/>
            <w:vAlign w:val="center"/>
          </w:tcPr>
          <w:p w14:paraId="7F1508A1"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2,64</w:t>
            </w:r>
          </w:p>
        </w:tc>
        <w:tc>
          <w:tcPr>
            <w:tcW w:w="1838" w:type="dxa"/>
            <w:tcBorders>
              <w:top w:val="nil"/>
              <w:left w:val="nil"/>
              <w:bottom w:val="single" w:sz="4" w:space="0" w:color="auto"/>
              <w:right w:val="single" w:sz="4" w:space="0" w:color="auto"/>
            </w:tcBorders>
            <w:shd w:val="clear" w:color="auto" w:fill="auto"/>
            <w:vAlign w:val="center"/>
          </w:tcPr>
          <w:p w14:paraId="64F8F4D5"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2,77</w:t>
            </w:r>
          </w:p>
        </w:tc>
      </w:tr>
      <w:tr w:rsidR="00B35B3E" w:rsidRPr="00B35B3E" w14:paraId="177B4E7D" w14:textId="77777777" w:rsidTr="00CA5588">
        <w:tc>
          <w:tcPr>
            <w:tcW w:w="737" w:type="dxa"/>
            <w:vMerge/>
            <w:tcBorders>
              <w:top w:val="single" w:sz="4" w:space="0" w:color="auto"/>
              <w:left w:val="single" w:sz="4" w:space="0" w:color="auto"/>
              <w:bottom w:val="single" w:sz="4" w:space="0" w:color="auto"/>
              <w:right w:val="single" w:sz="4" w:space="0" w:color="auto"/>
            </w:tcBorders>
          </w:tcPr>
          <w:p w14:paraId="42F82F90" w14:textId="77777777" w:rsidR="00B35B3E" w:rsidRPr="00B35B3E" w:rsidRDefault="00B35B3E" w:rsidP="00B35B3E">
            <w:pPr>
              <w:autoSpaceDE w:val="0"/>
              <w:autoSpaceDN w:val="0"/>
              <w:adjustRightInd w:val="0"/>
              <w:jc w:val="center"/>
              <w:rPr>
                <w:rFonts w:eastAsia="Calibri"/>
                <w:lang w:eastAsia="en-US"/>
              </w:rPr>
            </w:pPr>
          </w:p>
        </w:tc>
        <w:tc>
          <w:tcPr>
            <w:tcW w:w="5075" w:type="dxa"/>
            <w:tcBorders>
              <w:top w:val="single" w:sz="4" w:space="0" w:color="auto"/>
              <w:left w:val="single" w:sz="4" w:space="0" w:color="auto"/>
              <w:bottom w:val="single" w:sz="4" w:space="0" w:color="auto"/>
              <w:right w:val="single" w:sz="4" w:space="0" w:color="auto"/>
            </w:tcBorders>
          </w:tcPr>
          <w:p w14:paraId="46457D1B"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Ночная зона</w:t>
            </w:r>
          </w:p>
        </w:tc>
        <w:tc>
          <w:tcPr>
            <w:tcW w:w="1843" w:type="dxa"/>
            <w:tcBorders>
              <w:top w:val="nil"/>
              <w:left w:val="single" w:sz="4" w:space="0" w:color="auto"/>
              <w:bottom w:val="single" w:sz="4" w:space="0" w:color="auto"/>
              <w:right w:val="single" w:sz="4" w:space="0" w:color="auto"/>
            </w:tcBorders>
            <w:shd w:val="clear" w:color="auto" w:fill="auto"/>
            <w:vAlign w:val="center"/>
          </w:tcPr>
          <w:p w14:paraId="72DD4DD2"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1,72</w:t>
            </w:r>
          </w:p>
        </w:tc>
        <w:tc>
          <w:tcPr>
            <w:tcW w:w="1838" w:type="dxa"/>
            <w:tcBorders>
              <w:top w:val="nil"/>
              <w:left w:val="nil"/>
              <w:bottom w:val="single" w:sz="4" w:space="0" w:color="auto"/>
              <w:right w:val="single" w:sz="4" w:space="0" w:color="auto"/>
            </w:tcBorders>
            <w:shd w:val="clear" w:color="auto" w:fill="auto"/>
            <w:vAlign w:val="center"/>
          </w:tcPr>
          <w:p w14:paraId="2EFF6967"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1,81</w:t>
            </w:r>
          </w:p>
        </w:tc>
      </w:tr>
      <w:tr w:rsidR="00B35B3E" w:rsidRPr="00B35B3E" w14:paraId="3BBB1CFE" w14:textId="77777777" w:rsidTr="00CA5588">
        <w:tc>
          <w:tcPr>
            <w:tcW w:w="737" w:type="dxa"/>
            <w:tcBorders>
              <w:top w:val="single" w:sz="4" w:space="0" w:color="auto"/>
              <w:left w:val="single" w:sz="4" w:space="0" w:color="auto"/>
              <w:bottom w:val="single" w:sz="4" w:space="0" w:color="auto"/>
              <w:right w:val="single" w:sz="4" w:space="0" w:color="auto"/>
            </w:tcBorders>
          </w:tcPr>
          <w:p w14:paraId="707EE27B"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6</w:t>
            </w:r>
          </w:p>
        </w:tc>
        <w:tc>
          <w:tcPr>
            <w:tcW w:w="8756" w:type="dxa"/>
            <w:gridSpan w:val="3"/>
            <w:tcBorders>
              <w:top w:val="single" w:sz="4" w:space="0" w:color="auto"/>
              <w:left w:val="single" w:sz="4" w:space="0" w:color="auto"/>
              <w:bottom w:val="single" w:sz="4" w:space="0" w:color="auto"/>
              <w:right w:val="single" w:sz="4" w:space="0" w:color="auto"/>
            </w:tcBorders>
          </w:tcPr>
          <w:p w14:paraId="4EC3770D" w14:textId="77777777" w:rsidR="00B35B3E" w:rsidRPr="00B35B3E" w:rsidRDefault="00B35B3E" w:rsidP="00B35B3E">
            <w:pPr>
              <w:autoSpaceDE w:val="0"/>
              <w:autoSpaceDN w:val="0"/>
              <w:adjustRightInd w:val="0"/>
              <w:rPr>
                <w:rFonts w:eastAsia="Calibri"/>
                <w:lang w:eastAsia="en-US"/>
              </w:rPr>
            </w:pPr>
            <w:r w:rsidRPr="00B35B3E">
              <w:rPr>
                <w:rFonts w:eastAsia="Calibri"/>
                <w:lang w:eastAsia="en-US"/>
              </w:rPr>
              <w:t>Потребители, приравненные к населению:</w:t>
            </w:r>
          </w:p>
        </w:tc>
      </w:tr>
      <w:tr w:rsidR="00B35B3E" w:rsidRPr="00B35B3E" w14:paraId="1934344E" w14:textId="77777777" w:rsidTr="00CA5588">
        <w:tc>
          <w:tcPr>
            <w:tcW w:w="737" w:type="dxa"/>
            <w:tcBorders>
              <w:top w:val="single" w:sz="4" w:space="0" w:color="auto"/>
              <w:left w:val="single" w:sz="4" w:space="0" w:color="auto"/>
              <w:bottom w:val="single" w:sz="4" w:space="0" w:color="auto"/>
              <w:right w:val="single" w:sz="4" w:space="0" w:color="auto"/>
            </w:tcBorders>
          </w:tcPr>
          <w:p w14:paraId="14540C00"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6.1</w:t>
            </w:r>
          </w:p>
        </w:tc>
        <w:tc>
          <w:tcPr>
            <w:tcW w:w="8756" w:type="dxa"/>
            <w:gridSpan w:val="3"/>
            <w:tcBorders>
              <w:top w:val="single" w:sz="4" w:space="0" w:color="auto"/>
              <w:left w:val="single" w:sz="4" w:space="0" w:color="auto"/>
              <w:bottom w:val="single" w:sz="4" w:space="0" w:color="auto"/>
              <w:right w:val="single" w:sz="4" w:space="0" w:color="auto"/>
            </w:tcBorders>
          </w:tcPr>
          <w:p w14:paraId="775D19AA"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коммунально-бытового потребления населения в объемах фактического потребления электрической энергии населения и объемах электрической энергии, израсходованной на места общего пользования, за исключением:</w:t>
            </w:r>
          </w:p>
          <w:p w14:paraId="49AE7B67"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исполнителей коммунальных услуг (товариществ собственников жилья, жилищно-строительных, жилищных или иных специализированных потребительских кооперативов либо управляющих организаций), приобретающих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45C106F1"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наймодателей (или уполномоченных ими лиц), предоставляющих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приобретающих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tc>
      </w:tr>
      <w:tr w:rsidR="00B35B3E" w:rsidRPr="00B35B3E" w14:paraId="17007D44" w14:textId="77777777" w:rsidTr="00CA5588">
        <w:tc>
          <w:tcPr>
            <w:tcW w:w="737" w:type="dxa"/>
            <w:tcBorders>
              <w:top w:val="single" w:sz="4" w:space="0" w:color="auto"/>
              <w:left w:val="single" w:sz="4" w:space="0" w:color="auto"/>
              <w:bottom w:val="single" w:sz="4" w:space="0" w:color="auto"/>
              <w:right w:val="single" w:sz="4" w:space="0" w:color="auto"/>
            </w:tcBorders>
          </w:tcPr>
          <w:p w14:paraId="02C74545"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6.1.1</w:t>
            </w:r>
          </w:p>
        </w:tc>
        <w:tc>
          <w:tcPr>
            <w:tcW w:w="5075" w:type="dxa"/>
            <w:tcBorders>
              <w:top w:val="single" w:sz="4" w:space="0" w:color="auto"/>
              <w:left w:val="single" w:sz="4" w:space="0" w:color="auto"/>
              <w:bottom w:val="single" w:sz="4" w:space="0" w:color="auto"/>
              <w:right w:val="single" w:sz="4" w:space="0" w:color="auto"/>
            </w:tcBorders>
          </w:tcPr>
          <w:p w14:paraId="31B90CA2" w14:textId="77777777" w:rsidR="00B35B3E" w:rsidRPr="00B35B3E" w:rsidRDefault="00B35B3E" w:rsidP="00B35B3E">
            <w:pPr>
              <w:autoSpaceDE w:val="0"/>
              <w:autoSpaceDN w:val="0"/>
              <w:adjustRightInd w:val="0"/>
              <w:rPr>
                <w:rFonts w:eastAsia="Calibri"/>
                <w:lang w:eastAsia="en-US"/>
              </w:rPr>
            </w:pPr>
            <w:r w:rsidRPr="00B35B3E">
              <w:rPr>
                <w:rFonts w:eastAsia="Calibri"/>
                <w:lang w:eastAsia="en-US"/>
              </w:rPr>
              <w:t>Одноставочный тариф</w:t>
            </w:r>
          </w:p>
        </w:tc>
        <w:tc>
          <w:tcPr>
            <w:tcW w:w="1843" w:type="dxa"/>
            <w:tcBorders>
              <w:top w:val="single" w:sz="4" w:space="0" w:color="auto"/>
              <w:left w:val="single" w:sz="4" w:space="0" w:color="auto"/>
              <w:bottom w:val="single" w:sz="4" w:space="0" w:color="auto"/>
              <w:right w:val="single" w:sz="4" w:space="0" w:color="auto"/>
            </w:tcBorders>
          </w:tcPr>
          <w:p w14:paraId="23266EE9"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3,77</w:t>
            </w:r>
          </w:p>
        </w:tc>
        <w:tc>
          <w:tcPr>
            <w:tcW w:w="1838" w:type="dxa"/>
            <w:tcBorders>
              <w:top w:val="single" w:sz="4" w:space="0" w:color="auto"/>
              <w:left w:val="single" w:sz="4" w:space="0" w:color="auto"/>
              <w:bottom w:val="single" w:sz="4" w:space="0" w:color="auto"/>
              <w:right w:val="single" w:sz="4" w:space="0" w:color="auto"/>
            </w:tcBorders>
          </w:tcPr>
          <w:p w14:paraId="147992C6"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3,96</w:t>
            </w:r>
          </w:p>
        </w:tc>
      </w:tr>
      <w:tr w:rsidR="00B35B3E" w:rsidRPr="00B35B3E" w14:paraId="463F905D" w14:textId="77777777" w:rsidTr="00CA5588">
        <w:tc>
          <w:tcPr>
            <w:tcW w:w="737" w:type="dxa"/>
            <w:vMerge w:val="restart"/>
            <w:tcBorders>
              <w:top w:val="single" w:sz="4" w:space="0" w:color="auto"/>
              <w:left w:val="single" w:sz="4" w:space="0" w:color="auto"/>
              <w:bottom w:val="single" w:sz="4" w:space="0" w:color="auto"/>
              <w:right w:val="single" w:sz="4" w:space="0" w:color="auto"/>
            </w:tcBorders>
          </w:tcPr>
          <w:p w14:paraId="08D24A2F"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6.1.2</w:t>
            </w:r>
          </w:p>
        </w:tc>
        <w:tc>
          <w:tcPr>
            <w:tcW w:w="8756" w:type="dxa"/>
            <w:gridSpan w:val="3"/>
            <w:tcBorders>
              <w:top w:val="single" w:sz="4" w:space="0" w:color="auto"/>
              <w:left w:val="single" w:sz="4" w:space="0" w:color="auto"/>
              <w:bottom w:val="single" w:sz="4" w:space="0" w:color="auto"/>
              <w:right w:val="single" w:sz="4" w:space="0" w:color="auto"/>
            </w:tcBorders>
          </w:tcPr>
          <w:p w14:paraId="0674B48F" w14:textId="77777777" w:rsidR="00B35B3E" w:rsidRPr="00B35B3E" w:rsidRDefault="00B35B3E" w:rsidP="00B35B3E">
            <w:pPr>
              <w:autoSpaceDE w:val="0"/>
              <w:autoSpaceDN w:val="0"/>
              <w:adjustRightInd w:val="0"/>
              <w:rPr>
                <w:rFonts w:eastAsia="Calibri"/>
                <w:lang w:eastAsia="en-US"/>
              </w:rPr>
            </w:pPr>
            <w:r w:rsidRPr="00B35B3E">
              <w:rPr>
                <w:rFonts w:eastAsia="Calibri"/>
                <w:lang w:eastAsia="en-US"/>
              </w:rPr>
              <w:t>Одноставочный тариф, дифференцированный по двум зонам суток</w:t>
            </w:r>
          </w:p>
        </w:tc>
      </w:tr>
      <w:tr w:rsidR="00B35B3E" w:rsidRPr="00B35B3E" w14:paraId="33946EFF" w14:textId="77777777" w:rsidTr="00CA5588">
        <w:tc>
          <w:tcPr>
            <w:tcW w:w="737" w:type="dxa"/>
            <w:vMerge/>
            <w:tcBorders>
              <w:top w:val="single" w:sz="4" w:space="0" w:color="auto"/>
              <w:left w:val="single" w:sz="4" w:space="0" w:color="auto"/>
              <w:bottom w:val="single" w:sz="4" w:space="0" w:color="auto"/>
              <w:right w:val="single" w:sz="4" w:space="0" w:color="auto"/>
            </w:tcBorders>
          </w:tcPr>
          <w:p w14:paraId="0F922564" w14:textId="77777777" w:rsidR="00B35B3E" w:rsidRPr="00B35B3E" w:rsidRDefault="00B35B3E" w:rsidP="00B35B3E">
            <w:pPr>
              <w:autoSpaceDE w:val="0"/>
              <w:autoSpaceDN w:val="0"/>
              <w:adjustRightInd w:val="0"/>
              <w:jc w:val="center"/>
              <w:rPr>
                <w:rFonts w:eastAsia="Calibri"/>
                <w:lang w:eastAsia="en-US"/>
              </w:rPr>
            </w:pPr>
          </w:p>
        </w:tc>
        <w:tc>
          <w:tcPr>
            <w:tcW w:w="5075" w:type="dxa"/>
            <w:tcBorders>
              <w:top w:val="single" w:sz="4" w:space="0" w:color="auto"/>
              <w:left w:val="single" w:sz="4" w:space="0" w:color="auto"/>
              <w:bottom w:val="single" w:sz="4" w:space="0" w:color="auto"/>
              <w:right w:val="single" w:sz="4" w:space="0" w:color="auto"/>
            </w:tcBorders>
          </w:tcPr>
          <w:p w14:paraId="74B12C7D"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Дневная зона (пиковая и полупиковая)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C04BC55"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4,34</w:t>
            </w:r>
          </w:p>
        </w:tc>
        <w:tc>
          <w:tcPr>
            <w:tcW w:w="1838" w:type="dxa"/>
            <w:tcBorders>
              <w:top w:val="single" w:sz="4" w:space="0" w:color="auto"/>
              <w:left w:val="nil"/>
              <w:bottom w:val="single" w:sz="4" w:space="0" w:color="auto"/>
              <w:right w:val="single" w:sz="4" w:space="0" w:color="auto"/>
            </w:tcBorders>
            <w:shd w:val="clear" w:color="auto" w:fill="auto"/>
            <w:vAlign w:val="center"/>
          </w:tcPr>
          <w:p w14:paraId="6CB9EBB5"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4,55</w:t>
            </w:r>
          </w:p>
        </w:tc>
      </w:tr>
      <w:tr w:rsidR="00B35B3E" w:rsidRPr="00B35B3E" w14:paraId="7AC36D7C" w14:textId="77777777" w:rsidTr="00CA5588">
        <w:tc>
          <w:tcPr>
            <w:tcW w:w="737" w:type="dxa"/>
            <w:vMerge/>
            <w:tcBorders>
              <w:top w:val="single" w:sz="4" w:space="0" w:color="auto"/>
              <w:left w:val="single" w:sz="4" w:space="0" w:color="auto"/>
              <w:bottom w:val="single" w:sz="4" w:space="0" w:color="auto"/>
              <w:right w:val="single" w:sz="4" w:space="0" w:color="auto"/>
            </w:tcBorders>
          </w:tcPr>
          <w:p w14:paraId="60730A5F" w14:textId="77777777" w:rsidR="00B35B3E" w:rsidRPr="00B35B3E" w:rsidRDefault="00B35B3E" w:rsidP="00B35B3E">
            <w:pPr>
              <w:autoSpaceDE w:val="0"/>
              <w:autoSpaceDN w:val="0"/>
              <w:adjustRightInd w:val="0"/>
              <w:jc w:val="center"/>
              <w:rPr>
                <w:rFonts w:eastAsia="Calibri"/>
                <w:lang w:eastAsia="en-US"/>
              </w:rPr>
            </w:pPr>
          </w:p>
        </w:tc>
        <w:tc>
          <w:tcPr>
            <w:tcW w:w="5075" w:type="dxa"/>
            <w:tcBorders>
              <w:top w:val="single" w:sz="4" w:space="0" w:color="auto"/>
              <w:left w:val="single" w:sz="4" w:space="0" w:color="auto"/>
              <w:bottom w:val="single" w:sz="4" w:space="0" w:color="auto"/>
              <w:right w:val="single" w:sz="4" w:space="0" w:color="auto"/>
            </w:tcBorders>
          </w:tcPr>
          <w:p w14:paraId="3861C145"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Ночная зона</w:t>
            </w:r>
          </w:p>
        </w:tc>
        <w:tc>
          <w:tcPr>
            <w:tcW w:w="1843" w:type="dxa"/>
            <w:tcBorders>
              <w:top w:val="nil"/>
              <w:left w:val="single" w:sz="4" w:space="0" w:color="auto"/>
              <w:bottom w:val="single" w:sz="4" w:space="0" w:color="auto"/>
              <w:right w:val="single" w:sz="4" w:space="0" w:color="auto"/>
            </w:tcBorders>
            <w:shd w:val="clear" w:color="auto" w:fill="auto"/>
            <w:vAlign w:val="center"/>
          </w:tcPr>
          <w:p w14:paraId="194036FB"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2,45</w:t>
            </w:r>
          </w:p>
        </w:tc>
        <w:tc>
          <w:tcPr>
            <w:tcW w:w="1838" w:type="dxa"/>
            <w:tcBorders>
              <w:top w:val="nil"/>
              <w:left w:val="nil"/>
              <w:bottom w:val="single" w:sz="4" w:space="0" w:color="auto"/>
              <w:right w:val="single" w:sz="4" w:space="0" w:color="auto"/>
            </w:tcBorders>
            <w:shd w:val="clear" w:color="auto" w:fill="auto"/>
            <w:vAlign w:val="center"/>
          </w:tcPr>
          <w:p w14:paraId="4F89F687"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2,57</w:t>
            </w:r>
          </w:p>
        </w:tc>
      </w:tr>
      <w:tr w:rsidR="00B35B3E" w:rsidRPr="00B35B3E" w14:paraId="48943B28" w14:textId="77777777" w:rsidTr="00CA5588">
        <w:tc>
          <w:tcPr>
            <w:tcW w:w="737" w:type="dxa"/>
            <w:vMerge w:val="restart"/>
            <w:tcBorders>
              <w:top w:val="single" w:sz="4" w:space="0" w:color="auto"/>
              <w:left w:val="single" w:sz="4" w:space="0" w:color="auto"/>
              <w:bottom w:val="single" w:sz="4" w:space="0" w:color="auto"/>
              <w:right w:val="single" w:sz="4" w:space="0" w:color="auto"/>
            </w:tcBorders>
          </w:tcPr>
          <w:p w14:paraId="364C2316"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6.1.3</w:t>
            </w:r>
          </w:p>
        </w:tc>
        <w:tc>
          <w:tcPr>
            <w:tcW w:w="8756" w:type="dxa"/>
            <w:gridSpan w:val="3"/>
            <w:tcBorders>
              <w:top w:val="single" w:sz="4" w:space="0" w:color="auto"/>
              <w:left w:val="single" w:sz="4" w:space="0" w:color="auto"/>
              <w:bottom w:val="single" w:sz="4" w:space="0" w:color="auto"/>
              <w:right w:val="single" w:sz="4" w:space="0" w:color="auto"/>
            </w:tcBorders>
          </w:tcPr>
          <w:p w14:paraId="21EAD258" w14:textId="77777777" w:rsidR="00B35B3E" w:rsidRPr="00B35B3E" w:rsidRDefault="00B35B3E" w:rsidP="00B35B3E">
            <w:pPr>
              <w:autoSpaceDE w:val="0"/>
              <w:autoSpaceDN w:val="0"/>
              <w:adjustRightInd w:val="0"/>
              <w:rPr>
                <w:rFonts w:eastAsia="Calibri"/>
                <w:lang w:eastAsia="en-US"/>
              </w:rPr>
            </w:pPr>
            <w:r w:rsidRPr="00B35B3E">
              <w:rPr>
                <w:rFonts w:eastAsia="Calibri"/>
                <w:lang w:eastAsia="en-US"/>
              </w:rPr>
              <w:t>Одноставочный тариф, дифференцированный по трем зонам суток</w:t>
            </w:r>
          </w:p>
        </w:tc>
      </w:tr>
      <w:tr w:rsidR="00B35B3E" w:rsidRPr="00B35B3E" w14:paraId="767F936B" w14:textId="77777777" w:rsidTr="00CA5588">
        <w:tc>
          <w:tcPr>
            <w:tcW w:w="737" w:type="dxa"/>
            <w:vMerge/>
            <w:tcBorders>
              <w:top w:val="single" w:sz="4" w:space="0" w:color="auto"/>
              <w:left w:val="single" w:sz="4" w:space="0" w:color="auto"/>
              <w:bottom w:val="single" w:sz="4" w:space="0" w:color="auto"/>
              <w:right w:val="single" w:sz="4" w:space="0" w:color="auto"/>
            </w:tcBorders>
          </w:tcPr>
          <w:p w14:paraId="79AE486B" w14:textId="77777777" w:rsidR="00B35B3E" w:rsidRPr="00B35B3E" w:rsidRDefault="00B35B3E" w:rsidP="00B35B3E">
            <w:pPr>
              <w:autoSpaceDE w:val="0"/>
              <w:autoSpaceDN w:val="0"/>
              <w:adjustRightInd w:val="0"/>
              <w:jc w:val="center"/>
              <w:rPr>
                <w:rFonts w:eastAsia="Calibri"/>
                <w:lang w:eastAsia="en-US"/>
              </w:rPr>
            </w:pPr>
          </w:p>
        </w:tc>
        <w:tc>
          <w:tcPr>
            <w:tcW w:w="5075" w:type="dxa"/>
            <w:tcBorders>
              <w:top w:val="single" w:sz="4" w:space="0" w:color="auto"/>
              <w:left w:val="single" w:sz="4" w:space="0" w:color="auto"/>
              <w:bottom w:val="single" w:sz="4" w:space="0" w:color="auto"/>
              <w:right w:val="single" w:sz="4" w:space="0" w:color="auto"/>
            </w:tcBorders>
          </w:tcPr>
          <w:p w14:paraId="2E1D1760"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Пиковая зона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D1683EF"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4,72</w:t>
            </w:r>
          </w:p>
        </w:tc>
        <w:tc>
          <w:tcPr>
            <w:tcW w:w="1838" w:type="dxa"/>
            <w:tcBorders>
              <w:top w:val="single" w:sz="4" w:space="0" w:color="auto"/>
              <w:left w:val="nil"/>
              <w:bottom w:val="single" w:sz="4" w:space="0" w:color="auto"/>
              <w:right w:val="single" w:sz="4" w:space="0" w:color="auto"/>
            </w:tcBorders>
            <w:shd w:val="clear" w:color="auto" w:fill="auto"/>
            <w:vAlign w:val="center"/>
          </w:tcPr>
          <w:p w14:paraId="53D03B4B"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4,96</w:t>
            </w:r>
          </w:p>
        </w:tc>
      </w:tr>
      <w:tr w:rsidR="00B35B3E" w:rsidRPr="00B35B3E" w14:paraId="47F1C4B8" w14:textId="77777777" w:rsidTr="00CA5588">
        <w:tc>
          <w:tcPr>
            <w:tcW w:w="737" w:type="dxa"/>
            <w:vMerge/>
            <w:tcBorders>
              <w:top w:val="single" w:sz="4" w:space="0" w:color="auto"/>
              <w:left w:val="single" w:sz="4" w:space="0" w:color="auto"/>
              <w:bottom w:val="single" w:sz="4" w:space="0" w:color="auto"/>
              <w:right w:val="single" w:sz="4" w:space="0" w:color="auto"/>
            </w:tcBorders>
          </w:tcPr>
          <w:p w14:paraId="174774A6" w14:textId="77777777" w:rsidR="00B35B3E" w:rsidRPr="00B35B3E" w:rsidRDefault="00B35B3E" w:rsidP="00B35B3E">
            <w:pPr>
              <w:autoSpaceDE w:val="0"/>
              <w:autoSpaceDN w:val="0"/>
              <w:adjustRightInd w:val="0"/>
              <w:jc w:val="center"/>
              <w:rPr>
                <w:rFonts w:eastAsia="Calibri"/>
                <w:lang w:eastAsia="en-US"/>
              </w:rPr>
            </w:pPr>
          </w:p>
        </w:tc>
        <w:tc>
          <w:tcPr>
            <w:tcW w:w="5075" w:type="dxa"/>
            <w:tcBorders>
              <w:top w:val="single" w:sz="4" w:space="0" w:color="auto"/>
              <w:left w:val="single" w:sz="4" w:space="0" w:color="auto"/>
              <w:bottom w:val="single" w:sz="4" w:space="0" w:color="auto"/>
              <w:right w:val="single" w:sz="4" w:space="0" w:color="auto"/>
            </w:tcBorders>
          </w:tcPr>
          <w:p w14:paraId="2B52B2B0"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Полупиковая зона</w:t>
            </w:r>
          </w:p>
        </w:tc>
        <w:tc>
          <w:tcPr>
            <w:tcW w:w="1843" w:type="dxa"/>
            <w:tcBorders>
              <w:top w:val="nil"/>
              <w:left w:val="single" w:sz="4" w:space="0" w:color="auto"/>
              <w:bottom w:val="single" w:sz="4" w:space="0" w:color="auto"/>
              <w:right w:val="single" w:sz="4" w:space="0" w:color="auto"/>
            </w:tcBorders>
            <w:shd w:val="clear" w:color="auto" w:fill="auto"/>
            <w:vAlign w:val="center"/>
          </w:tcPr>
          <w:p w14:paraId="1E9DCE20"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3,77</w:t>
            </w:r>
          </w:p>
        </w:tc>
        <w:tc>
          <w:tcPr>
            <w:tcW w:w="1838" w:type="dxa"/>
            <w:tcBorders>
              <w:top w:val="nil"/>
              <w:left w:val="nil"/>
              <w:bottom w:val="single" w:sz="4" w:space="0" w:color="auto"/>
              <w:right w:val="single" w:sz="4" w:space="0" w:color="auto"/>
            </w:tcBorders>
            <w:shd w:val="clear" w:color="auto" w:fill="auto"/>
            <w:vAlign w:val="center"/>
          </w:tcPr>
          <w:p w14:paraId="26F96058"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3,96</w:t>
            </w:r>
          </w:p>
        </w:tc>
      </w:tr>
      <w:tr w:rsidR="00B35B3E" w:rsidRPr="00B35B3E" w14:paraId="1BFC0EF5" w14:textId="77777777" w:rsidTr="00CA5588">
        <w:tc>
          <w:tcPr>
            <w:tcW w:w="737" w:type="dxa"/>
            <w:vMerge/>
            <w:tcBorders>
              <w:top w:val="single" w:sz="4" w:space="0" w:color="auto"/>
              <w:left w:val="single" w:sz="4" w:space="0" w:color="auto"/>
              <w:bottom w:val="single" w:sz="4" w:space="0" w:color="auto"/>
              <w:right w:val="single" w:sz="4" w:space="0" w:color="auto"/>
            </w:tcBorders>
          </w:tcPr>
          <w:p w14:paraId="21149BE4" w14:textId="77777777" w:rsidR="00B35B3E" w:rsidRPr="00B35B3E" w:rsidRDefault="00B35B3E" w:rsidP="00B35B3E">
            <w:pPr>
              <w:autoSpaceDE w:val="0"/>
              <w:autoSpaceDN w:val="0"/>
              <w:adjustRightInd w:val="0"/>
              <w:jc w:val="center"/>
              <w:rPr>
                <w:rFonts w:eastAsia="Calibri"/>
                <w:lang w:eastAsia="en-US"/>
              </w:rPr>
            </w:pPr>
          </w:p>
        </w:tc>
        <w:tc>
          <w:tcPr>
            <w:tcW w:w="5075" w:type="dxa"/>
            <w:tcBorders>
              <w:top w:val="single" w:sz="4" w:space="0" w:color="auto"/>
              <w:left w:val="single" w:sz="4" w:space="0" w:color="auto"/>
              <w:bottom w:val="single" w:sz="4" w:space="0" w:color="auto"/>
              <w:right w:val="single" w:sz="4" w:space="0" w:color="auto"/>
            </w:tcBorders>
          </w:tcPr>
          <w:p w14:paraId="2EAD3386"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Ночная зона</w:t>
            </w:r>
          </w:p>
        </w:tc>
        <w:tc>
          <w:tcPr>
            <w:tcW w:w="1843" w:type="dxa"/>
            <w:tcBorders>
              <w:top w:val="nil"/>
              <w:left w:val="single" w:sz="4" w:space="0" w:color="auto"/>
              <w:bottom w:val="single" w:sz="4" w:space="0" w:color="auto"/>
              <w:right w:val="single" w:sz="4" w:space="0" w:color="auto"/>
            </w:tcBorders>
            <w:shd w:val="clear" w:color="auto" w:fill="auto"/>
            <w:vAlign w:val="center"/>
          </w:tcPr>
          <w:p w14:paraId="459E7046"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2,45</w:t>
            </w:r>
          </w:p>
        </w:tc>
        <w:tc>
          <w:tcPr>
            <w:tcW w:w="1838" w:type="dxa"/>
            <w:tcBorders>
              <w:top w:val="nil"/>
              <w:left w:val="nil"/>
              <w:bottom w:val="single" w:sz="4" w:space="0" w:color="auto"/>
              <w:right w:val="single" w:sz="4" w:space="0" w:color="auto"/>
            </w:tcBorders>
            <w:shd w:val="clear" w:color="auto" w:fill="auto"/>
            <w:vAlign w:val="center"/>
          </w:tcPr>
          <w:p w14:paraId="6A460A0A"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2,57</w:t>
            </w:r>
          </w:p>
        </w:tc>
      </w:tr>
      <w:tr w:rsidR="00B35B3E" w:rsidRPr="00B35B3E" w14:paraId="08CC21B0" w14:textId="77777777" w:rsidTr="00CA5588">
        <w:tc>
          <w:tcPr>
            <w:tcW w:w="737" w:type="dxa"/>
            <w:tcBorders>
              <w:top w:val="single" w:sz="4" w:space="0" w:color="auto"/>
              <w:left w:val="single" w:sz="4" w:space="0" w:color="auto"/>
              <w:bottom w:val="single" w:sz="4" w:space="0" w:color="auto"/>
              <w:right w:val="single" w:sz="4" w:space="0" w:color="auto"/>
            </w:tcBorders>
          </w:tcPr>
          <w:p w14:paraId="2FD68101"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6.2</w:t>
            </w:r>
          </w:p>
        </w:tc>
        <w:tc>
          <w:tcPr>
            <w:tcW w:w="8756" w:type="dxa"/>
            <w:gridSpan w:val="3"/>
            <w:tcBorders>
              <w:top w:val="single" w:sz="4" w:space="0" w:color="auto"/>
              <w:left w:val="single" w:sz="4" w:space="0" w:color="auto"/>
              <w:bottom w:val="single" w:sz="4" w:space="0" w:color="auto"/>
              <w:right w:val="single" w:sz="4" w:space="0" w:color="auto"/>
            </w:tcBorders>
          </w:tcPr>
          <w:p w14:paraId="531FDF73"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Садоводческие некоммерческие товарищества и огороднические некоммерческие товарищества.</w:t>
            </w:r>
          </w:p>
        </w:tc>
      </w:tr>
      <w:tr w:rsidR="00B35B3E" w:rsidRPr="00B35B3E" w14:paraId="761F46D3" w14:textId="77777777" w:rsidTr="00CA5588">
        <w:tc>
          <w:tcPr>
            <w:tcW w:w="737" w:type="dxa"/>
            <w:tcBorders>
              <w:top w:val="single" w:sz="4" w:space="0" w:color="auto"/>
              <w:left w:val="single" w:sz="4" w:space="0" w:color="auto"/>
              <w:bottom w:val="single" w:sz="4" w:space="0" w:color="auto"/>
              <w:right w:val="single" w:sz="4" w:space="0" w:color="auto"/>
            </w:tcBorders>
          </w:tcPr>
          <w:p w14:paraId="1A35076D"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6.2.1</w:t>
            </w:r>
          </w:p>
        </w:tc>
        <w:tc>
          <w:tcPr>
            <w:tcW w:w="5075" w:type="dxa"/>
            <w:tcBorders>
              <w:top w:val="single" w:sz="4" w:space="0" w:color="auto"/>
              <w:left w:val="single" w:sz="4" w:space="0" w:color="auto"/>
              <w:bottom w:val="single" w:sz="4" w:space="0" w:color="auto"/>
              <w:right w:val="single" w:sz="4" w:space="0" w:color="auto"/>
            </w:tcBorders>
          </w:tcPr>
          <w:p w14:paraId="7F6A93B2" w14:textId="77777777" w:rsidR="00B35B3E" w:rsidRPr="00B35B3E" w:rsidRDefault="00B35B3E" w:rsidP="00B35B3E">
            <w:pPr>
              <w:autoSpaceDE w:val="0"/>
              <w:autoSpaceDN w:val="0"/>
              <w:adjustRightInd w:val="0"/>
              <w:rPr>
                <w:rFonts w:eastAsia="Calibri"/>
                <w:lang w:eastAsia="en-US"/>
              </w:rPr>
            </w:pPr>
            <w:r w:rsidRPr="00B35B3E">
              <w:rPr>
                <w:rFonts w:eastAsia="Calibri"/>
                <w:lang w:eastAsia="en-US"/>
              </w:rPr>
              <w:t>Одноставочный тариф</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B10F39"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2,64</w:t>
            </w:r>
          </w:p>
        </w:tc>
        <w:tc>
          <w:tcPr>
            <w:tcW w:w="1838" w:type="dxa"/>
            <w:tcBorders>
              <w:top w:val="single" w:sz="4" w:space="0" w:color="auto"/>
              <w:left w:val="nil"/>
              <w:bottom w:val="single" w:sz="4" w:space="0" w:color="auto"/>
              <w:right w:val="single" w:sz="4" w:space="0" w:color="auto"/>
            </w:tcBorders>
            <w:shd w:val="clear" w:color="auto" w:fill="auto"/>
            <w:vAlign w:val="center"/>
          </w:tcPr>
          <w:p w14:paraId="41A1C56A"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2,77</w:t>
            </w:r>
          </w:p>
        </w:tc>
      </w:tr>
      <w:tr w:rsidR="00B35B3E" w:rsidRPr="00B35B3E" w14:paraId="66A5E491" w14:textId="77777777" w:rsidTr="00CA5588">
        <w:tc>
          <w:tcPr>
            <w:tcW w:w="737" w:type="dxa"/>
            <w:vMerge w:val="restart"/>
            <w:tcBorders>
              <w:top w:val="single" w:sz="4" w:space="0" w:color="auto"/>
              <w:left w:val="single" w:sz="4" w:space="0" w:color="auto"/>
              <w:bottom w:val="single" w:sz="4" w:space="0" w:color="auto"/>
              <w:right w:val="single" w:sz="4" w:space="0" w:color="auto"/>
            </w:tcBorders>
          </w:tcPr>
          <w:p w14:paraId="28ED0C42"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6.2.2</w:t>
            </w:r>
          </w:p>
        </w:tc>
        <w:tc>
          <w:tcPr>
            <w:tcW w:w="8756" w:type="dxa"/>
            <w:gridSpan w:val="3"/>
            <w:tcBorders>
              <w:top w:val="single" w:sz="4" w:space="0" w:color="auto"/>
              <w:left w:val="single" w:sz="4" w:space="0" w:color="auto"/>
              <w:bottom w:val="single" w:sz="4" w:space="0" w:color="auto"/>
              <w:right w:val="single" w:sz="4" w:space="0" w:color="auto"/>
            </w:tcBorders>
          </w:tcPr>
          <w:p w14:paraId="28FC0057" w14:textId="77777777" w:rsidR="00B35B3E" w:rsidRPr="00B35B3E" w:rsidRDefault="00B35B3E" w:rsidP="00B35B3E">
            <w:pPr>
              <w:autoSpaceDE w:val="0"/>
              <w:autoSpaceDN w:val="0"/>
              <w:adjustRightInd w:val="0"/>
              <w:rPr>
                <w:rFonts w:eastAsia="Calibri"/>
                <w:lang w:eastAsia="en-US"/>
              </w:rPr>
            </w:pPr>
            <w:r w:rsidRPr="00B35B3E">
              <w:rPr>
                <w:rFonts w:eastAsia="Calibri"/>
                <w:lang w:eastAsia="en-US"/>
              </w:rPr>
              <w:t>Одноставочный тариф, дифференцированный по двум зонам суток</w:t>
            </w:r>
          </w:p>
        </w:tc>
      </w:tr>
      <w:tr w:rsidR="00B35B3E" w:rsidRPr="00B35B3E" w14:paraId="7F712949" w14:textId="77777777" w:rsidTr="00CA5588">
        <w:tc>
          <w:tcPr>
            <w:tcW w:w="737" w:type="dxa"/>
            <w:vMerge/>
            <w:tcBorders>
              <w:top w:val="single" w:sz="4" w:space="0" w:color="auto"/>
              <w:left w:val="single" w:sz="4" w:space="0" w:color="auto"/>
              <w:bottom w:val="single" w:sz="4" w:space="0" w:color="auto"/>
              <w:right w:val="single" w:sz="4" w:space="0" w:color="auto"/>
            </w:tcBorders>
          </w:tcPr>
          <w:p w14:paraId="053E7C26" w14:textId="77777777" w:rsidR="00B35B3E" w:rsidRPr="00B35B3E" w:rsidRDefault="00B35B3E" w:rsidP="00B35B3E">
            <w:pPr>
              <w:autoSpaceDE w:val="0"/>
              <w:autoSpaceDN w:val="0"/>
              <w:adjustRightInd w:val="0"/>
              <w:jc w:val="center"/>
              <w:rPr>
                <w:rFonts w:eastAsia="Calibri"/>
                <w:lang w:eastAsia="en-US"/>
              </w:rPr>
            </w:pPr>
          </w:p>
        </w:tc>
        <w:tc>
          <w:tcPr>
            <w:tcW w:w="5075" w:type="dxa"/>
            <w:tcBorders>
              <w:top w:val="single" w:sz="4" w:space="0" w:color="auto"/>
              <w:left w:val="single" w:sz="4" w:space="0" w:color="auto"/>
              <w:bottom w:val="single" w:sz="4" w:space="0" w:color="auto"/>
              <w:right w:val="single" w:sz="4" w:space="0" w:color="auto"/>
            </w:tcBorders>
          </w:tcPr>
          <w:p w14:paraId="492D7FBE"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Дневная зона (пиковая и полупиковая)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18A6FDE"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3,04</w:t>
            </w:r>
          </w:p>
        </w:tc>
        <w:tc>
          <w:tcPr>
            <w:tcW w:w="1838" w:type="dxa"/>
            <w:tcBorders>
              <w:top w:val="single" w:sz="4" w:space="0" w:color="auto"/>
              <w:left w:val="nil"/>
              <w:bottom w:val="single" w:sz="4" w:space="0" w:color="auto"/>
              <w:right w:val="single" w:sz="4" w:space="0" w:color="auto"/>
            </w:tcBorders>
            <w:shd w:val="clear" w:color="auto" w:fill="auto"/>
            <w:vAlign w:val="center"/>
          </w:tcPr>
          <w:p w14:paraId="66F27B4D"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3,19</w:t>
            </w:r>
          </w:p>
        </w:tc>
      </w:tr>
      <w:tr w:rsidR="00B35B3E" w:rsidRPr="00B35B3E" w14:paraId="5AAA27E7" w14:textId="77777777" w:rsidTr="00CA5588">
        <w:tc>
          <w:tcPr>
            <w:tcW w:w="737" w:type="dxa"/>
            <w:vMerge/>
            <w:tcBorders>
              <w:top w:val="single" w:sz="4" w:space="0" w:color="auto"/>
              <w:left w:val="single" w:sz="4" w:space="0" w:color="auto"/>
              <w:bottom w:val="single" w:sz="4" w:space="0" w:color="auto"/>
              <w:right w:val="single" w:sz="4" w:space="0" w:color="auto"/>
            </w:tcBorders>
          </w:tcPr>
          <w:p w14:paraId="3349E070" w14:textId="77777777" w:rsidR="00B35B3E" w:rsidRPr="00B35B3E" w:rsidRDefault="00B35B3E" w:rsidP="00B35B3E">
            <w:pPr>
              <w:autoSpaceDE w:val="0"/>
              <w:autoSpaceDN w:val="0"/>
              <w:adjustRightInd w:val="0"/>
              <w:jc w:val="center"/>
              <w:rPr>
                <w:rFonts w:eastAsia="Calibri"/>
                <w:lang w:eastAsia="en-US"/>
              </w:rPr>
            </w:pPr>
          </w:p>
        </w:tc>
        <w:tc>
          <w:tcPr>
            <w:tcW w:w="5075" w:type="dxa"/>
            <w:tcBorders>
              <w:top w:val="single" w:sz="4" w:space="0" w:color="auto"/>
              <w:left w:val="single" w:sz="4" w:space="0" w:color="auto"/>
              <w:bottom w:val="single" w:sz="4" w:space="0" w:color="auto"/>
              <w:right w:val="single" w:sz="4" w:space="0" w:color="auto"/>
            </w:tcBorders>
          </w:tcPr>
          <w:p w14:paraId="3433F989"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Ночная зона</w:t>
            </w:r>
          </w:p>
        </w:tc>
        <w:tc>
          <w:tcPr>
            <w:tcW w:w="1843" w:type="dxa"/>
            <w:tcBorders>
              <w:top w:val="nil"/>
              <w:left w:val="single" w:sz="4" w:space="0" w:color="auto"/>
              <w:bottom w:val="single" w:sz="4" w:space="0" w:color="auto"/>
              <w:right w:val="single" w:sz="4" w:space="0" w:color="auto"/>
            </w:tcBorders>
            <w:shd w:val="clear" w:color="auto" w:fill="auto"/>
            <w:vAlign w:val="center"/>
          </w:tcPr>
          <w:p w14:paraId="48F8D63C"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1,72</w:t>
            </w:r>
          </w:p>
        </w:tc>
        <w:tc>
          <w:tcPr>
            <w:tcW w:w="1838" w:type="dxa"/>
            <w:tcBorders>
              <w:top w:val="nil"/>
              <w:left w:val="nil"/>
              <w:bottom w:val="single" w:sz="4" w:space="0" w:color="auto"/>
              <w:right w:val="single" w:sz="4" w:space="0" w:color="auto"/>
            </w:tcBorders>
            <w:shd w:val="clear" w:color="auto" w:fill="auto"/>
            <w:vAlign w:val="center"/>
          </w:tcPr>
          <w:p w14:paraId="0D3F90FE"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1,81</w:t>
            </w:r>
          </w:p>
        </w:tc>
      </w:tr>
      <w:tr w:rsidR="00B35B3E" w:rsidRPr="00B35B3E" w14:paraId="395DE4E5" w14:textId="77777777" w:rsidTr="00CA5588">
        <w:tc>
          <w:tcPr>
            <w:tcW w:w="737" w:type="dxa"/>
            <w:vMerge w:val="restart"/>
            <w:tcBorders>
              <w:top w:val="single" w:sz="4" w:space="0" w:color="auto"/>
              <w:left w:val="single" w:sz="4" w:space="0" w:color="auto"/>
              <w:bottom w:val="single" w:sz="4" w:space="0" w:color="auto"/>
              <w:right w:val="single" w:sz="4" w:space="0" w:color="auto"/>
            </w:tcBorders>
          </w:tcPr>
          <w:p w14:paraId="4CC9BBA2"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6.2.3</w:t>
            </w:r>
          </w:p>
        </w:tc>
        <w:tc>
          <w:tcPr>
            <w:tcW w:w="8756" w:type="dxa"/>
            <w:gridSpan w:val="3"/>
            <w:tcBorders>
              <w:top w:val="single" w:sz="4" w:space="0" w:color="auto"/>
              <w:left w:val="single" w:sz="4" w:space="0" w:color="auto"/>
              <w:bottom w:val="single" w:sz="4" w:space="0" w:color="auto"/>
              <w:right w:val="single" w:sz="4" w:space="0" w:color="auto"/>
            </w:tcBorders>
          </w:tcPr>
          <w:p w14:paraId="72301336" w14:textId="77777777" w:rsidR="00B35B3E" w:rsidRPr="00B35B3E" w:rsidRDefault="00B35B3E" w:rsidP="00B35B3E">
            <w:pPr>
              <w:autoSpaceDE w:val="0"/>
              <w:autoSpaceDN w:val="0"/>
              <w:adjustRightInd w:val="0"/>
              <w:rPr>
                <w:rFonts w:eastAsia="Calibri"/>
                <w:lang w:eastAsia="en-US"/>
              </w:rPr>
            </w:pPr>
            <w:r w:rsidRPr="00B35B3E">
              <w:rPr>
                <w:rFonts w:eastAsia="Calibri"/>
                <w:lang w:eastAsia="en-US"/>
              </w:rPr>
              <w:t>Одноставочный тариф, дифференцированный по трем зонам суток</w:t>
            </w:r>
          </w:p>
        </w:tc>
      </w:tr>
      <w:tr w:rsidR="00B35B3E" w:rsidRPr="00B35B3E" w14:paraId="31AC5F08" w14:textId="77777777" w:rsidTr="00CA5588">
        <w:tc>
          <w:tcPr>
            <w:tcW w:w="737" w:type="dxa"/>
            <w:vMerge/>
            <w:tcBorders>
              <w:top w:val="single" w:sz="4" w:space="0" w:color="auto"/>
              <w:left w:val="single" w:sz="4" w:space="0" w:color="auto"/>
              <w:bottom w:val="single" w:sz="4" w:space="0" w:color="auto"/>
              <w:right w:val="single" w:sz="4" w:space="0" w:color="auto"/>
            </w:tcBorders>
          </w:tcPr>
          <w:p w14:paraId="6222FCC8" w14:textId="77777777" w:rsidR="00B35B3E" w:rsidRPr="00B35B3E" w:rsidRDefault="00B35B3E" w:rsidP="00B35B3E">
            <w:pPr>
              <w:autoSpaceDE w:val="0"/>
              <w:autoSpaceDN w:val="0"/>
              <w:adjustRightInd w:val="0"/>
              <w:jc w:val="center"/>
              <w:rPr>
                <w:rFonts w:eastAsia="Calibri"/>
                <w:lang w:eastAsia="en-US"/>
              </w:rPr>
            </w:pPr>
          </w:p>
        </w:tc>
        <w:tc>
          <w:tcPr>
            <w:tcW w:w="5075" w:type="dxa"/>
            <w:tcBorders>
              <w:top w:val="single" w:sz="4" w:space="0" w:color="auto"/>
              <w:left w:val="single" w:sz="4" w:space="0" w:color="auto"/>
              <w:bottom w:val="single" w:sz="4" w:space="0" w:color="auto"/>
              <w:right w:val="single" w:sz="4" w:space="0" w:color="auto"/>
            </w:tcBorders>
          </w:tcPr>
          <w:p w14:paraId="73486B74"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Пиковая зона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C4F4970"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3,30</w:t>
            </w:r>
          </w:p>
        </w:tc>
        <w:tc>
          <w:tcPr>
            <w:tcW w:w="1838" w:type="dxa"/>
            <w:tcBorders>
              <w:top w:val="single" w:sz="4" w:space="0" w:color="auto"/>
              <w:left w:val="nil"/>
              <w:bottom w:val="single" w:sz="4" w:space="0" w:color="auto"/>
              <w:right w:val="single" w:sz="4" w:space="0" w:color="auto"/>
            </w:tcBorders>
            <w:shd w:val="clear" w:color="auto" w:fill="auto"/>
            <w:vAlign w:val="center"/>
          </w:tcPr>
          <w:p w14:paraId="48C110C0"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3,47</w:t>
            </w:r>
          </w:p>
        </w:tc>
      </w:tr>
      <w:tr w:rsidR="00B35B3E" w:rsidRPr="00B35B3E" w14:paraId="2B4C657A" w14:textId="77777777" w:rsidTr="00CA5588">
        <w:tc>
          <w:tcPr>
            <w:tcW w:w="737" w:type="dxa"/>
            <w:vMerge/>
            <w:tcBorders>
              <w:top w:val="single" w:sz="4" w:space="0" w:color="auto"/>
              <w:left w:val="single" w:sz="4" w:space="0" w:color="auto"/>
              <w:bottom w:val="single" w:sz="4" w:space="0" w:color="auto"/>
              <w:right w:val="single" w:sz="4" w:space="0" w:color="auto"/>
            </w:tcBorders>
          </w:tcPr>
          <w:p w14:paraId="3CC6821C" w14:textId="77777777" w:rsidR="00B35B3E" w:rsidRPr="00B35B3E" w:rsidRDefault="00B35B3E" w:rsidP="00B35B3E">
            <w:pPr>
              <w:autoSpaceDE w:val="0"/>
              <w:autoSpaceDN w:val="0"/>
              <w:adjustRightInd w:val="0"/>
              <w:jc w:val="center"/>
              <w:rPr>
                <w:rFonts w:eastAsia="Calibri"/>
                <w:lang w:eastAsia="en-US"/>
              </w:rPr>
            </w:pPr>
          </w:p>
        </w:tc>
        <w:tc>
          <w:tcPr>
            <w:tcW w:w="5075" w:type="dxa"/>
            <w:tcBorders>
              <w:top w:val="single" w:sz="4" w:space="0" w:color="auto"/>
              <w:left w:val="single" w:sz="4" w:space="0" w:color="auto"/>
              <w:bottom w:val="single" w:sz="4" w:space="0" w:color="auto"/>
              <w:right w:val="single" w:sz="4" w:space="0" w:color="auto"/>
            </w:tcBorders>
          </w:tcPr>
          <w:p w14:paraId="267A3B99"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Полупиковая зона</w:t>
            </w:r>
          </w:p>
        </w:tc>
        <w:tc>
          <w:tcPr>
            <w:tcW w:w="1843" w:type="dxa"/>
            <w:tcBorders>
              <w:top w:val="nil"/>
              <w:left w:val="single" w:sz="4" w:space="0" w:color="auto"/>
              <w:bottom w:val="single" w:sz="4" w:space="0" w:color="auto"/>
              <w:right w:val="single" w:sz="4" w:space="0" w:color="auto"/>
            </w:tcBorders>
            <w:shd w:val="clear" w:color="auto" w:fill="auto"/>
            <w:vAlign w:val="center"/>
          </w:tcPr>
          <w:p w14:paraId="3A4D24BD"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2,64</w:t>
            </w:r>
          </w:p>
        </w:tc>
        <w:tc>
          <w:tcPr>
            <w:tcW w:w="1838" w:type="dxa"/>
            <w:tcBorders>
              <w:top w:val="nil"/>
              <w:left w:val="nil"/>
              <w:bottom w:val="single" w:sz="4" w:space="0" w:color="auto"/>
              <w:right w:val="single" w:sz="4" w:space="0" w:color="auto"/>
            </w:tcBorders>
            <w:shd w:val="clear" w:color="auto" w:fill="auto"/>
            <w:vAlign w:val="center"/>
          </w:tcPr>
          <w:p w14:paraId="3C873D6D"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2,77</w:t>
            </w:r>
          </w:p>
        </w:tc>
      </w:tr>
      <w:tr w:rsidR="00B35B3E" w:rsidRPr="00B35B3E" w14:paraId="459D8E6A" w14:textId="77777777" w:rsidTr="00CA5588">
        <w:tc>
          <w:tcPr>
            <w:tcW w:w="737" w:type="dxa"/>
            <w:vMerge/>
            <w:tcBorders>
              <w:top w:val="single" w:sz="4" w:space="0" w:color="auto"/>
              <w:left w:val="single" w:sz="4" w:space="0" w:color="auto"/>
              <w:bottom w:val="single" w:sz="4" w:space="0" w:color="auto"/>
              <w:right w:val="single" w:sz="4" w:space="0" w:color="auto"/>
            </w:tcBorders>
          </w:tcPr>
          <w:p w14:paraId="2CDDBBDC" w14:textId="77777777" w:rsidR="00B35B3E" w:rsidRPr="00B35B3E" w:rsidRDefault="00B35B3E" w:rsidP="00B35B3E">
            <w:pPr>
              <w:autoSpaceDE w:val="0"/>
              <w:autoSpaceDN w:val="0"/>
              <w:adjustRightInd w:val="0"/>
              <w:jc w:val="center"/>
              <w:rPr>
                <w:rFonts w:eastAsia="Calibri"/>
                <w:lang w:eastAsia="en-US"/>
              </w:rPr>
            </w:pPr>
          </w:p>
        </w:tc>
        <w:tc>
          <w:tcPr>
            <w:tcW w:w="5075" w:type="dxa"/>
            <w:tcBorders>
              <w:top w:val="single" w:sz="4" w:space="0" w:color="auto"/>
              <w:left w:val="single" w:sz="4" w:space="0" w:color="auto"/>
              <w:bottom w:val="single" w:sz="4" w:space="0" w:color="auto"/>
              <w:right w:val="single" w:sz="4" w:space="0" w:color="auto"/>
            </w:tcBorders>
          </w:tcPr>
          <w:p w14:paraId="517CA5C9"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Ночная зона</w:t>
            </w:r>
          </w:p>
        </w:tc>
        <w:tc>
          <w:tcPr>
            <w:tcW w:w="1843" w:type="dxa"/>
            <w:tcBorders>
              <w:top w:val="nil"/>
              <w:left w:val="single" w:sz="4" w:space="0" w:color="auto"/>
              <w:bottom w:val="single" w:sz="4" w:space="0" w:color="auto"/>
              <w:right w:val="single" w:sz="4" w:space="0" w:color="auto"/>
            </w:tcBorders>
            <w:shd w:val="clear" w:color="auto" w:fill="auto"/>
            <w:vAlign w:val="center"/>
          </w:tcPr>
          <w:p w14:paraId="35F0F912"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1,72</w:t>
            </w:r>
          </w:p>
        </w:tc>
        <w:tc>
          <w:tcPr>
            <w:tcW w:w="1838" w:type="dxa"/>
            <w:tcBorders>
              <w:top w:val="nil"/>
              <w:left w:val="nil"/>
              <w:bottom w:val="single" w:sz="4" w:space="0" w:color="auto"/>
              <w:right w:val="single" w:sz="4" w:space="0" w:color="auto"/>
            </w:tcBorders>
            <w:shd w:val="clear" w:color="auto" w:fill="auto"/>
            <w:vAlign w:val="center"/>
          </w:tcPr>
          <w:p w14:paraId="788FF456"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1,81</w:t>
            </w:r>
          </w:p>
        </w:tc>
      </w:tr>
      <w:tr w:rsidR="00B35B3E" w:rsidRPr="00B35B3E" w14:paraId="71C113AE" w14:textId="77777777" w:rsidTr="00CA5588">
        <w:tc>
          <w:tcPr>
            <w:tcW w:w="737" w:type="dxa"/>
            <w:tcBorders>
              <w:top w:val="single" w:sz="4" w:space="0" w:color="auto"/>
              <w:left w:val="single" w:sz="4" w:space="0" w:color="auto"/>
              <w:bottom w:val="single" w:sz="4" w:space="0" w:color="auto"/>
              <w:right w:val="single" w:sz="4" w:space="0" w:color="auto"/>
            </w:tcBorders>
          </w:tcPr>
          <w:p w14:paraId="486D460F"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6.3</w:t>
            </w:r>
          </w:p>
        </w:tc>
        <w:tc>
          <w:tcPr>
            <w:tcW w:w="8756" w:type="dxa"/>
            <w:gridSpan w:val="3"/>
            <w:tcBorders>
              <w:top w:val="single" w:sz="4" w:space="0" w:color="auto"/>
              <w:left w:val="single" w:sz="4" w:space="0" w:color="auto"/>
              <w:bottom w:val="single" w:sz="4" w:space="0" w:color="auto"/>
              <w:right w:val="single" w:sz="4" w:space="0" w:color="auto"/>
            </w:tcBorders>
          </w:tcPr>
          <w:p w14:paraId="23258737"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Юридические лица, приобретающие электрическую энергию (мощность) в целях потребления осужденными в помещениях для их содержания при условии наличия раздельного учета электрической энергии для указанных помещений</w:t>
            </w:r>
          </w:p>
        </w:tc>
      </w:tr>
      <w:tr w:rsidR="00B35B3E" w:rsidRPr="00B35B3E" w14:paraId="5EC69E51" w14:textId="77777777" w:rsidTr="00CA5588">
        <w:tc>
          <w:tcPr>
            <w:tcW w:w="737" w:type="dxa"/>
            <w:tcBorders>
              <w:top w:val="single" w:sz="4" w:space="0" w:color="auto"/>
              <w:left w:val="single" w:sz="4" w:space="0" w:color="auto"/>
              <w:bottom w:val="single" w:sz="4" w:space="0" w:color="auto"/>
              <w:right w:val="single" w:sz="4" w:space="0" w:color="auto"/>
            </w:tcBorders>
          </w:tcPr>
          <w:p w14:paraId="171CFE16"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6.3.1</w:t>
            </w:r>
          </w:p>
        </w:tc>
        <w:tc>
          <w:tcPr>
            <w:tcW w:w="5075" w:type="dxa"/>
            <w:tcBorders>
              <w:top w:val="single" w:sz="4" w:space="0" w:color="auto"/>
              <w:left w:val="single" w:sz="4" w:space="0" w:color="auto"/>
              <w:bottom w:val="single" w:sz="4" w:space="0" w:color="auto"/>
              <w:right w:val="single" w:sz="4" w:space="0" w:color="auto"/>
            </w:tcBorders>
          </w:tcPr>
          <w:p w14:paraId="4E4C5FD8" w14:textId="77777777" w:rsidR="00B35B3E" w:rsidRPr="00B35B3E" w:rsidRDefault="00B35B3E" w:rsidP="00B35B3E">
            <w:pPr>
              <w:autoSpaceDE w:val="0"/>
              <w:autoSpaceDN w:val="0"/>
              <w:adjustRightInd w:val="0"/>
              <w:rPr>
                <w:rFonts w:eastAsia="Calibri"/>
                <w:lang w:eastAsia="en-US"/>
              </w:rPr>
            </w:pPr>
            <w:r w:rsidRPr="00B35B3E">
              <w:rPr>
                <w:rFonts w:eastAsia="Calibri"/>
                <w:lang w:eastAsia="en-US"/>
              </w:rPr>
              <w:t>Одноставочный тариф</w:t>
            </w:r>
          </w:p>
        </w:tc>
        <w:tc>
          <w:tcPr>
            <w:tcW w:w="1843" w:type="dxa"/>
            <w:tcBorders>
              <w:top w:val="single" w:sz="4" w:space="0" w:color="auto"/>
              <w:left w:val="single" w:sz="4" w:space="0" w:color="auto"/>
              <w:bottom w:val="single" w:sz="4" w:space="0" w:color="auto"/>
              <w:right w:val="single" w:sz="4" w:space="0" w:color="auto"/>
            </w:tcBorders>
          </w:tcPr>
          <w:p w14:paraId="6305B0BE"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3,77</w:t>
            </w:r>
          </w:p>
        </w:tc>
        <w:tc>
          <w:tcPr>
            <w:tcW w:w="1838" w:type="dxa"/>
            <w:tcBorders>
              <w:top w:val="single" w:sz="4" w:space="0" w:color="auto"/>
              <w:left w:val="single" w:sz="4" w:space="0" w:color="auto"/>
              <w:bottom w:val="single" w:sz="4" w:space="0" w:color="auto"/>
              <w:right w:val="single" w:sz="4" w:space="0" w:color="auto"/>
            </w:tcBorders>
          </w:tcPr>
          <w:p w14:paraId="6C5A499B"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3,96</w:t>
            </w:r>
          </w:p>
        </w:tc>
      </w:tr>
      <w:tr w:rsidR="00B35B3E" w:rsidRPr="00B35B3E" w14:paraId="3D978755" w14:textId="77777777" w:rsidTr="00CA5588">
        <w:tc>
          <w:tcPr>
            <w:tcW w:w="737" w:type="dxa"/>
            <w:vMerge w:val="restart"/>
            <w:tcBorders>
              <w:top w:val="single" w:sz="4" w:space="0" w:color="auto"/>
              <w:left w:val="single" w:sz="4" w:space="0" w:color="auto"/>
              <w:bottom w:val="single" w:sz="4" w:space="0" w:color="auto"/>
              <w:right w:val="single" w:sz="4" w:space="0" w:color="auto"/>
            </w:tcBorders>
          </w:tcPr>
          <w:p w14:paraId="04B46F8F"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6.3.2</w:t>
            </w:r>
          </w:p>
        </w:tc>
        <w:tc>
          <w:tcPr>
            <w:tcW w:w="8756" w:type="dxa"/>
            <w:gridSpan w:val="3"/>
            <w:tcBorders>
              <w:top w:val="single" w:sz="4" w:space="0" w:color="auto"/>
              <w:left w:val="single" w:sz="4" w:space="0" w:color="auto"/>
              <w:bottom w:val="single" w:sz="4" w:space="0" w:color="auto"/>
              <w:right w:val="single" w:sz="4" w:space="0" w:color="auto"/>
            </w:tcBorders>
          </w:tcPr>
          <w:p w14:paraId="1928642B" w14:textId="77777777" w:rsidR="00B35B3E" w:rsidRPr="00B35B3E" w:rsidRDefault="00B35B3E" w:rsidP="00B35B3E">
            <w:pPr>
              <w:autoSpaceDE w:val="0"/>
              <w:autoSpaceDN w:val="0"/>
              <w:adjustRightInd w:val="0"/>
              <w:rPr>
                <w:rFonts w:eastAsia="Calibri"/>
                <w:lang w:eastAsia="en-US"/>
              </w:rPr>
            </w:pPr>
            <w:r w:rsidRPr="00B35B3E">
              <w:rPr>
                <w:rFonts w:eastAsia="Calibri"/>
                <w:lang w:eastAsia="en-US"/>
              </w:rPr>
              <w:t>Одноставочный тариф, дифференцированный по двум зонам суток</w:t>
            </w:r>
          </w:p>
        </w:tc>
      </w:tr>
      <w:tr w:rsidR="00B35B3E" w:rsidRPr="00B35B3E" w14:paraId="71AF7F43" w14:textId="77777777" w:rsidTr="00CA5588">
        <w:tc>
          <w:tcPr>
            <w:tcW w:w="737" w:type="dxa"/>
            <w:vMerge/>
            <w:tcBorders>
              <w:top w:val="single" w:sz="4" w:space="0" w:color="auto"/>
              <w:left w:val="single" w:sz="4" w:space="0" w:color="auto"/>
              <w:bottom w:val="single" w:sz="4" w:space="0" w:color="auto"/>
              <w:right w:val="single" w:sz="4" w:space="0" w:color="auto"/>
            </w:tcBorders>
          </w:tcPr>
          <w:p w14:paraId="792FAD2E" w14:textId="77777777" w:rsidR="00B35B3E" w:rsidRPr="00B35B3E" w:rsidRDefault="00B35B3E" w:rsidP="00B35B3E">
            <w:pPr>
              <w:autoSpaceDE w:val="0"/>
              <w:autoSpaceDN w:val="0"/>
              <w:adjustRightInd w:val="0"/>
              <w:jc w:val="center"/>
              <w:rPr>
                <w:rFonts w:eastAsia="Calibri"/>
                <w:lang w:eastAsia="en-US"/>
              </w:rPr>
            </w:pPr>
          </w:p>
        </w:tc>
        <w:tc>
          <w:tcPr>
            <w:tcW w:w="5075" w:type="dxa"/>
            <w:tcBorders>
              <w:top w:val="single" w:sz="4" w:space="0" w:color="auto"/>
              <w:left w:val="single" w:sz="4" w:space="0" w:color="auto"/>
              <w:bottom w:val="single" w:sz="4" w:space="0" w:color="auto"/>
              <w:right w:val="single" w:sz="4" w:space="0" w:color="auto"/>
            </w:tcBorders>
          </w:tcPr>
          <w:p w14:paraId="3513ADBB"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Дневная зона (пиковая и полупиковая)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EFCA7B0"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4,34</w:t>
            </w:r>
          </w:p>
        </w:tc>
        <w:tc>
          <w:tcPr>
            <w:tcW w:w="1838" w:type="dxa"/>
            <w:tcBorders>
              <w:top w:val="single" w:sz="4" w:space="0" w:color="auto"/>
              <w:left w:val="nil"/>
              <w:bottom w:val="single" w:sz="4" w:space="0" w:color="auto"/>
              <w:right w:val="single" w:sz="4" w:space="0" w:color="auto"/>
            </w:tcBorders>
            <w:shd w:val="clear" w:color="auto" w:fill="auto"/>
            <w:vAlign w:val="center"/>
          </w:tcPr>
          <w:p w14:paraId="4DB9F316"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4,55</w:t>
            </w:r>
          </w:p>
        </w:tc>
      </w:tr>
      <w:tr w:rsidR="00B35B3E" w:rsidRPr="00B35B3E" w14:paraId="7F03B703" w14:textId="77777777" w:rsidTr="00CA5588">
        <w:tc>
          <w:tcPr>
            <w:tcW w:w="737" w:type="dxa"/>
            <w:vMerge/>
            <w:tcBorders>
              <w:top w:val="single" w:sz="4" w:space="0" w:color="auto"/>
              <w:left w:val="single" w:sz="4" w:space="0" w:color="auto"/>
              <w:bottom w:val="single" w:sz="4" w:space="0" w:color="auto"/>
              <w:right w:val="single" w:sz="4" w:space="0" w:color="auto"/>
            </w:tcBorders>
          </w:tcPr>
          <w:p w14:paraId="74B2193C" w14:textId="77777777" w:rsidR="00B35B3E" w:rsidRPr="00B35B3E" w:rsidRDefault="00B35B3E" w:rsidP="00B35B3E">
            <w:pPr>
              <w:autoSpaceDE w:val="0"/>
              <w:autoSpaceDN w:val="0"/>
              <w:adjustRightInd w:val="0"/>
              <w:jc w:val="center"/>
              <w:rPr>
                <w:rFonts w:eastAsia="Calibri"/>
                <w:lang w:eastAsia="en-US"/>
              </w:rPr>
            </w:pPr>
          </w:p>
        </w:tc>
        <w:tc>
          <w:tcPr>
            <w:tcW w:w="5075" w:type="dxa"/>
            <w:tcBorders>
              <w:top w:val="single" w:sz="4" w:space="0" w:color="auto"/>
              <w:left w:val="single" w:sz="4" w:space="0" w:color="auto"/>
              <w:bottom w:val="single" w:sz="4" w:space="0" w:color="auto"/>
              <w:right w:val="single" w:sz="4" w:space="0" w:color="auto"/>
            </w:tcBorders>
          </w:tcPr>
          <w:p w14:paraId="6F7F0236"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Ночная зона</w:t>
            </w:r>
          </w:p>
        </w:tc>
        <w:tc>
          <w:tcPr>
            <w:tcW w:w="1843" w:type="dxa"/>
            <w:tcBorders>
              <w:top w:val="nil"/>
              <w:left w:val="single" w:sz="4" w:space="0" w:color="auto"/>
              <w:bottom w:val="single" w:sz="4" w:space="0" w:color="auto"/>
              <w:right w:val="single" w:sz="4" w:space="0" w:color="auto"/>
            </w:tcBorders>
            <w:shd w:val="clear" w:color="auto" w:fill="auto"/>
            <w:vAlign w:val="center"/>
          </w:tcPr>
          <w:p w14:paraId="7684D5B6"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2,45</w:t>
            </w:r>
          </w:p>
        </w:tc>
        <w:tc>
          <w:tcPr>
            <w:tcW w:w="1838" w:type="dxa"/>
            <w:tcBorders>
              <w:top w:val="nil"/>
              <w:left w:val="nil"/>
              <w:bottom w:val="single" w:sz="4" w:space="0" w:color="auto"/>
              <w:right w:val="single" w:sz="4" w:space="0" w:color="auto"/>
            </w:tcBorders>
            <w:shd w:val="clear" w:color="auto" w:fill="auto"/>
            <w:vAlign w:val="center"/>
          </w:tcPr>
          <w:p w14:paraId="6107B04F"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2,57</w:t>
            </w:r>
          </w:p>
        </w:tc>
      </w:tr>
      <w:tr w:rsidR="00B35B3E" w:rsidRPr="00B35B3E" w14:paraId="4DDCEADE" w14:textId="77777777" w:rsidTr="00CA5588">
        <w:tc>
          <w:tcPr>
            <w:tcW w:w="737" w:type="dxa"/>
            <w:vMerge w:val="restart"/>
            <w:tcBorders>
              <w:top w:val="single" w:sz="4" w:space="0" w:color="auto"/>
              <w:left w:val="single" w:sz="4" w:space="0" w:color="auto"/>
              <w:bottom w:val="single" w:sz="4" w:space="0" w:color="auto"/>
              <w:right w:val="single" w:sz="4" w:space="0" w:color="auto"/>
            </w:tcBorders>
          </w:tcPr>
          <w:p w14:paraId="4C90F902"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6.3.3</w:t>
            </w:r>
          </w:p>
        </w:tc>
        <w:tc>
          <w:tcPr>
            <w:tcW w:w="8756" w:type="dxa"/>
            <w:gridSpan w:val="3"/>
            <w:tcBorders>
              <w:top w:val="single" w:sz="4" w:space="0" w:color="auto"/>
              <w:left w:val="single" w:sz="4" w:space="0" w:color="auto"/>
              <w:bottom w:val="single" w:sz="4" w:space="0" w:color="auto"/>
              <w:right w:val="single" w:sz="4" w:space="0" w:color="auto"/>
            </w:tcBorders>
          </w:tcPr>
          <w:p w14:paraId="70AD9292" w14:textId="77777777" w:rsidR="00B35B3E" w:rsidRPr="00B35B3E" w:rsidRDefault="00B35B3E" w:rsidP="00B35B3E">
            <w:pPr>
              <w:autoSpaceDE w:val="0"/>
              <w:autoSpaceDN w:val="0"/>
              <w:adjustRightInd w:val="0"/>
              <w:rPr>
                <w:rFonts w:eastAsia="Calibri"/>
                <w:lang w:eastAsia="en-US"/>
              </w:rPr>
            </w:pPr>
            <w:r w:rsidRPr="00B35B3E">
              <w:rPr>
                <w:rFonts w:eastAsia="Calibri"/>
                <w:lang w:eastAsia="en-US"/>
              </w:rPr>
              <w:t>Одноставочный тариф, дифференцированный по трем зонам суток</w:t>
            </w:r>
          </w:p>
        </w:tc>
      </w:tr>
      <w:tr w:rsidR="00B35B3E" w:rsidRPr="00B35B3E" w14:paraId="7509A59B" w14:textId="77777777" w:rsidTr="00CA5588">
        <w:tc>
          <w:tcPr>
            <w:tcW w:w="737" w:type="dxa"/>
            <w:vMerge/>
            <w:tcBorders>
              <w:top w:val="single" w:sz="4" w:space="0" w:color="auto"/>
              <w:left w:val="single" w:sz="4" w:space="0" w:color="auto"/>
              <w:bottom w:val="single" w:sz="4" w:space="0" w:color="auto"/>
              <w:right w:val="single" w:sz="4" w:space="0" w:color="auto"/>
            </w:tcBorders>
          </w:tcPr>
          <w:p w14:paraId="2F2B1BFE" w14:textId="77777777" w:rsidR="00B35B3E" w:rsidRPr="00B35B3E" w:rsidRDefault="00B35B3E" w:rsidP="00B35B3E">
            <w:pPr>
              <w:autoSpaceDE w:val="0"/>
              <w:autoSpaceDN w:val="0"/>
              <w:adjustRightInd w:val="0"/>
              <w:jc w:val="center"/>
              <w:rPr>
                <w:rFonts w:eastAsia="Calibri"/>
                <w:lang w:eastAsia="en-US"/>
              </w:rPr>
            </w:pPr>
          </w:p>
        </w:tc>
        <w:tc>
          <w:tcPr>
            <w:tcW w:w="5075" w:type="dxa"/>
            <w:tcBorders>
              <w:top w:val="single" w:sz="4" w:space="0" w:color="auto"/>
              <w:left w:val="single" w:sz="4" w:space="0" w:color="auto"/>
              <w:bottom w:val="single" w:sz="4" w:space="0" w:color="auto"/>
              <w:right w:val="single" w:sz="4" w:space="0" w:color="auto"/>
            </w:tcBorders>
          </w:tcPr>
          <w:p w14:paraId="23DDB4D8"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Пиковая зона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B6F8695"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4,72</w:t>
            </w:r>
          </w:p>
        </w:tc>
        <w:tc>
          <w:tcPr>
            <w:tcW w:w="1838" w:type="dxa"/>
            <w:tcBorders>
              <w:top w:val="single" w:sz="4" w:space="0" w:color="auto"/>
              <w:left w:val="nil"/>
              <w:bottom w:val="single" w:sz="4" w:space="0" w:color="auto"/>
              <w:right w:val="single" w:sz="4" w:space="0" w:color="auto"/>
            </w:tcBorders>
            <w:shd w:val="clear" w:color="auto" w:fill="auto"/>
            <w:vAlign w:val="center"/>
          </w:tcPr>
          <w:p w14:paraId="508AB9E0"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4,96</w:t>
            </w:r>
          </w:p>
        </w:tc>
      </w:tr>
      <w:tr w:rsidR="00B35B3E" w:rsidRPr="00B35B3E" w14:paraId="08B0DD56" w14:textId="77777777" w:rsidTr="00CA5588">
        <w:tc>
          <w:tcPr>
            <w:tcW w:w="737" w:type="dxa"/>
            <w:vMerge/>
            <w:tcBorders>
              <w:top w:val="single" w:sz="4" w:space="0" w:color="auto"/>
              <w:left w:val="single" w:sz="4" w:space="0" w:color="auto"/>
              <w:bottom w:val="single" w:sz="4" w:space="0" w:color="auto"/>
              <w:right w:val="single" w:sz="4" w:space="0" w:color="auto"/>
            </w:tcBorders>
          </w:tcPr>
          <w:p w14:paraId="0E232658" w14:textId="77777777" w:rsidR="00B35B3E" w:rsidRPr="00B35B3E" w:rsidRDefault="00B35B3E" w:rsidP="00B35B3E">
            <w:pPr>
              <w:autoSpaceDE w:val="0"/>
              <w:autoSpaceDN w:val="0"/>
              <w:adjustRightInd w:val="0"/>
              <w:jc w:val="center"/>
              <w:rPr>
                <w:rFonts w:eastAsia="Calibri"/>
                <w:lang w:eastAsia="en-US"/>
              </w:rPr>
            </w:pPr>
          </w:p>
        </w:tc>
        <w:tc>
          <w:tcPr>
            <w:tcW w:w="5075" w:type="dxa"/>
            <w:tcBorders>
              <w:top w:val="single" w:sz="4" w:space="0" w:color="auto"/>
              <w:left w:val="single" w:sz="4" w:space="0" w:color="auto"/>
              <w:bottom w:val="single" w:sz="4" w:space="0" w:color="auto"/>
              <w:right w:val="single" w:sz="4" w:space="0" w:color="auto"/>
            </w:tcBorders>
          </w:tcPr>
          <w:p w14:paraId="7582BB55"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Полупиковая зона</w:t>
            </w:r>
          </w:p>
        </w:tc>
        <w:tc>
          <w:tcPr>
            <w:tcW w:w="1843" w:type="dxa"/>
            <w:tcBorders>
              <w:top w:val="nil"/>
              <w:left w:val="single" w:sz="4" w:space="0" w:color="auto"/>
              <w:bottom w:val="single" w:sz="4" w:space="0" w:color="auto"/>
              <w:right w:val="single" w:sz="4" w:space="0" w:color="auto"/>
            </w:tcBorders>
            <w:shd w:val="clear" w:color="auto" w:fill="auto"/>
            <w:vAlign w:val="center"/>
          </w:tcPr>
          <w:p w14:paraId="3359A304"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3,77</w:t>
            </w:r>
          </w:p>
        </w:tc>
        <w:tc>
          <w:tcPr>
            <w:tcW w:w="1838" w:type="dxa"/>
            <w:tcBorders>
              <w:top w:val="nil"/>
              <w:left w:val="nil"/>
              <w:bottom w:val="single" w:sz="4" w:space="0" w:color="auto"/>
              <w:right w:val="single" w:sz="4" w:space="0" w:color="auto"/>
            </w:tcBorders>
            <w:shd w:val="clear" w:color="auto" w:fill="auto"/>
            <w:vAlign w:val="center"/>
          </w:tcPr>
          <w:p w14:paraId="10CFA31A"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3,96</w:t>
            </w:r>
          </w:p>
        </w:tc>
      </w:tr>
      <w:tr w:rsidR="00B35B3E" w:rsidRPr="00B35B3E" w14:paraId="1FA68ABF" w14:textId="77777777" w:rsidTr="00CA5588">
        <w:tc>
          <w:tcPr>
            <w:tcW w:w="737" w:type="dxa"/>
            <w:vMerge/>
            <w:tcBorders>
              <w:top w:val="single" w:sz="4" w:space="0" w:color="auto"/>
              <w:left w:val="single" w:sz="4" w:space="0" w:color="auto"/>
              <w:bottom w:val="single" w:sz="4" w:space="0" w:color="auto"/>
              <w:right w:val="single" w:sz="4" w:space="0" w:color="auto"/>
            </w:tcBorders>
          </w:tcPr>
          <w:p w14:paraId="0427EB43" w14:textId="77777777" w:rsidR="00B35B3E" w:rsidRPr="00B35B3E" w:rsidRDefault="00B35B3E" w:rsidP="00B35B3E">
            <w:pPr>
              <w:autoSpaceDE w:val="0"/>
              <w:autoSpaceDN w:val="0"/>
              <w:adjustRightInd w:val="0"/>
              <w:jc w:val="center"/>
              <w:rPr>
                <w:rFonts w:eastAsia="Calibri"/>
                <w:lang w:eastAsia="en-US"/>
              </w:rPr>
            </w:pPr>
          </w:p>
        </w:tc>
        <w:tc>
          <w:tcPr>
            <w:tcW w:w="5075" w:type="dxa"/>
            <w:tcBorders>
              <w:top w:val="single" w:sz="4" w:space="0" w:color="auto"/>
              <w:left w:val="single" w:sz="4" w:space="0" w:color="auto"/>
              <w:bottom w:val="single" w:sz="4" w:space="0" w:color="auto"/>
              <w:right w:val="single" w:sz="4" w:space="0" w:color="auto"/>
            </w:tcBorders>
          </w:tcPr>
          <w:p w14:paraId="0A79139A"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Ночная зона</w:t>
            </w:r>
          </w:p>
        </w:tc>
        <w:tc>
          <w:tcPr>
            <w:tcW w:w="1843" w:type="dxa"/>
            <w:tcBorders>
              <w:top w:val="nil"/>
              <w:left w:val="single" w:sz="4" w:space="0" w:color="auto"/>
              <w:bottom w:val="single" w:sz="4" w:space="0" w:color="auto"/>
              <w:right w:val="single" w:sz="4" w:space="0" w:color="auto"/>
            </w:tcBorders>
            <w:shd w:val="clear" w:color="auto" w:fill="auto"/>
            <w:vAlign w:val="center"/>
          </w:tcPr>
          <w:p w14:paraId="61F1BF81"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2,45</w:t>
            </w:r>
          </w:p>
        </w:tc>
        <w:tc>
          <w:tcPr>
            <w:tcW w:w="1838" w:type="dxa"/>
            <w:tcBorders>
              <w:top w:val="nil"/>
              <w:left w:val="nil"/>
              <w:bottom w:val="single" w:sz="4" w:space="0" w:color="auto"/>
              <w:right w:val="single" w:sz="4" w:space="0" w:color="auto"/>
            </w:tcBorders>
            <w:shd w:val="clear" w:color="auto" w:fill="auto"/>
            <w:vAlign w:val="center"/>
          </w:tcPr>
          <w:p w14:paraId="124C996C"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2,57</w:t>
            </w:r>
          </w:p>
        </w:tc>
      </w:tr>
      <w:tr w:rsidR="00B35B3E" w:rsidRPr="00B35B3E" w14:paraId="7AAD55A7" w14:textId="77777777" w:rsidTr="00CA5588">
        <w:tc>
          <w:tcPr>
            <w:tcW w:w="737" w:type="dxa"/>
            <w:tcBorders>
              <w:top w:val="single" w:sz="4" w:space="0" w:color="auto"/>
              <w:left w:val="single" w:sz="4" w:space="0" w:color="auto"/>
              <w:bottom w:val="single" w:sz="4" w:space="0" w:color="auto"/>
              <w:right w:val="single" w:sz="4" w:space="0" w:color="auto"/>
            </w:tcBorders>
          </w:tcPr>
          <w:p w14:paraId="532571F0"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6.4</w:t>
            </w:r>
          </w:p>
        </w:tc>
        <w:tc>
          <w:tcPr>
            <w:tcW w:w="8756" w:type="dxa"/>
            <w:gridSpan w:val="3"/>
            <w:tcBorders>
              <w:top w:val="single" w:sz="4" w:space="0" w:color="auto"/>
              <w:left w:val="single" w:sz="4" w:space="0" w:color="auto"/>
              <w:bottom w:val="single" w:sz="4" w:space="0" w:color="auto"/>
              <w:right w:val="single" w:sz="4" w:space="0" w:color="auto"/>
            </w:tcBorders>
          </w:tcPr>
          <w:p w14:paraId="5E90F900"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Содержащиеся за счет прихожан религиозные организации.</w:t>
            </w:r>
          </w:p>
        </w:tc>
      </w:tr>
      <w:tr w:rsidR="00B35B3E" w:rsidRPr="00B35B3E" w14:paraId="227BEEBD" w14:textId="77777777" w:rsidTr="00CA5588">
        <w:tc>
          <w:tcPr>
            <w:tcW w:w="737" w:type="dxa"/>
            <w:tcBorders>
              <w:top w:val="single" w:sz="4" w:space="0" w:color="auto"/>
              <w:left w:val="single" w:sz="4" w:space="0" w:color="auto"/>
              <w:bottom w:val="single" w:sz="4" w:space="0" w:color="auto"/>
              <w:right w:val="single" w:sz="4" w:space="0" w:color="auto"/>
            </w:tcBorders>
          </w:tcPr>
          <w:p w14:paraId="66BBF402"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6.4.1</w:t>
            </w:r>
          </w:p>
        </w:tc>
        <w:tc>
          <w:tcPr>
            <w:tcW w:w="5075" w:type="dxa"/>
            <w:tcBorders>
              <w:top w:val="single" w:sz="4" w:space="0" w:color="auto"/>
              <w:left w:val="single" w:sz="4" w:space="0" w:color="auto"/>
              <w:bottom w:val="single" w:sz="4" w:space="0" w:color="auto"/>
              <w:right w:val="single" w:sz="4" w:space="0" w:color="auto"/>
            </w:tcBorders>
          </w:tcPr>
          <w:p w14:paraId="538CD2CF" w14:textId="77777777" w:rsidR="00B35B3E" w:rsidRPr="00B35B3E" w:rsidRDefault="00B35B3E" w:rsidP="00B35B3E">
            <w:pPr>
              <w:autoSpaceDE w:val="0"/>
              <w:autoSpaceDN w:val="0"/>
              <w:adjustRightInd w:val="0"/>
              <w:rPr>
                <w:rFonts w:eastAsia="Calibri"/>
                <w:lang w:eastAsia="en-US"/>
              </w:rPr>
            </w:pPr>
            <w:r w:rsidRPr="00B35B3E">
              <w:rPr>
                <w:rFonts w:eastAsia="Calibri"/>
                <w:lang w:eastAsia="en-US"/>
              </w:rPr>
              <w:t>Одноставочный тариф</w:t>
            </w:r>
          </w:p>
        </w:tc>
        <w:tc>
          <w:tcPr>
            <w:tcW w:w="1843" w:type="dxa"/>
            <w:tcBorders>
              <w:top w:val="single" w:sz="4" w:space="0" w:color="auto"/>
              <w:left w:val="single" w:sz="4" w:space="0" w:color="auto"/>
              <w:bottom w:val="single" w:sz="4" w:space="0" w:color="auto"/>
              <w:right w:val="single" w:sz="4" w:space="0" w:color="auto"/>
            </w:tcBorders>
          </w:tcPr>
          <w:p w14:paraId="5C80201F"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3,77</w:t>
            </w:r>
          </w:p>
        </w:tc>
        <w:tc>
          <w:tcPr>
            <w:tcW w:w="1838" w:type="dxa"/>
            <w:tcBorders>
              <w:top w:val="single" w:sz="4" w:space="0" w:color="auto"/>
              <w:left w:val="single" w:sz="4" w:space="0" w:color="auto"/>
              <w:bottom w:val="single" w:sz="4" w:space="0" w:color="auto"/>
              <w:right w:val="single" w:sz="4" w:space="0" w:color="auto"/>
            </w:tcBorders>
          </w:tcPr>
          <w:p w14:paraId="3A5D25B2"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3,96</w:t>
            </w:r>
          </w:p>
        </w:tc>
      </w:tr>
      <w:tr w:rsidR="00B35B3E" w:rsidRPr="00B35B3E" w14:paraId="65683165" w14:textId="77777777" w:rsidTr="00CA5588">
        <w:tc>
          <w:tcPr>
            <w:tcW w:w="737" w:type="dxa"/>
            <w:vMerge w:val="restart"/>
            <w:tcBorders>
              <w:top w:val="single" w:sz="4" w:space="0" w:color="auto"/>
              <w:left w:val="single" w:sz="4" w:space="0" w:color="auto"/>
              <w:bottom w:val="single" w:sz="4" w:space="0" w:color="auto"/>
              <w:right w:val="single" w:sz="4" w:space="0" w:color="auto"/>
            </w:tcBorders>
          </w:tcPr>
          <w:p w14:paraId="078290AC"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6.4.2</w:t>
            </w:r>
          </w:p>
        </w:tc>
        <w:tc>
          <w:tcPr>
            <w:tcW w:w="8756" w:type="dxa"/>
            <w:gridSpan w:val="3"/>
            <w:tcBorders>
              <w:top w:val="single" w:sz="4" w:space="0" w:color="auto"/>
              <w:left w:val="single" w:sz="4" w:space="0" w:color="auto"/>
              <w:bottom w:val="single" w:sz="4" w:space="0" w:color="auto"/>
              <w:right w:val="single" w:sz="4" w:space="0" w:color="auto"/>
            </w:tcBorders>
          </w:tcPr>
          <w:p w14:paraId="36F4B8F4" w14:textId="77777777" w:rsidR="00B35B3E" w:rsidRPr="00B35B3E" w:rsidRDefault="00B35B3E" w:rsidP="00B35B3E">
            <w:pPr>
              <w:autoSpaceDE w:val="0"/>
              <w:autoSpaceDN w:val="0"/>
              <w:adjustRightInd w:val="0"/>
              <w:rPr>
                <w:rFonts w:eastAsia="Calibri"/>
                <w:lang w:eastAsia="en-US"/>
              </w:rPr>
            </w:pPr>
            <w:r w:rsidRPr="00B35B3E">
              <w:rPr>
                <w:rFonts w:eastAsia="Calibri"/>
                <w:lang w:eastAsia="en-US"/>
              </w:rPr>
              <w:t>Одноставочный тариф, дифференцированный по двум зонам суток</w:t>
            </w:r>
          </w:p>
        </w:tc>
      </w:tr>
      <w:tr w:rsidR="00B35B3E" w:rsidRPr="00B35B3E" w14:paraId="3F3A3E35" w14:textId="77777777" w:rsidTr="00CA5588">
        <w:tc>
          <w:tcPr>
            <w:tcW w:w="737" w:type="dxa"/>
            <w:vMerge/>
            <w:tcBorders>
              <w:top w:val="single" w:sz="4" w:space="0" w:color="auto"/>
              <w:left w:val="single" w:sz="4" w:space="0" w:color="auto"/>
              <w:bottom w:val="single" w:sz="4" w:space="0" w:color="auto"/>
              <w:right w:val="single" w:sz="4" w:space="0" w:color="auto"/>
            </w:tcBorders>
          </w:tcPr>
          <w:p w14:paraId="693BD7D7" w14:textId="77777777" w:rsidR="00B35B3E" w:rsidRPr="00B35B3E" w:rsidRDefault="00B35B3E" w:rsidP="00B35B3E">
            <w:pPr>
              <w:autoSpaceDE w:val="0"/>
              <w:autoSpaceDN w:val="0"/>
              <w:adjustRightInd w:val="0"/>
              <w:jc w:val="center"/>
              <w:rPr>
                <w:rFonts w:eastAsia="Calibri"/>
                <w:lang w:eastAsia="en-US"/>
              </w:rPr>
            </w:pPr>
          </w:p>
        </w:tc>
        <w:tc>
          <w:tcPr>
            <w:tcW w:w="5075" w:type="dxa"/>
            <w:tcBorders>
              <w:top w:val="single" w:sz="4" w:space="0" w:color="auto"/>
              <w:left w:val="single" w:sz="4" w:space="0" w:color="auto"/>
              <w:bottom w:val="single" w:sz="4" w:space="0" w:color="auto"/>
              <w:right w:val="single" w:sz="4" w:space="0" w:color="auto"/>
            </w:tcBorders>
          </w:tcPr>
          <w:p w14:paraId="37D43F61"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Дневная зона (пиковая и полупиковая)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49031C5"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4,34</w:t>
            </w:r>
          </w:p>
        </w:tc>
        <w:tc>
          <w:tcPr>
            <w:tcW w:w="1838" w:type="dxa"/>
            <w:tcBorders>
              <w:top w:val="single" w:sz="4" w:space="0" w:color="auto"/>
              <w:left w:val="nil"/>
              <w:bottom w:val="single" w:sz="4" w:space="0" w:color="auto"/>
              <w:right w:val="single" w:sz="4" w:space="0" w:color="auto"/>
            </w:tcBorders>
            <w:shd w:val="clear" w:color="auto" w:fill="auto"/>
            <w:vAlign w:val="center"/>
          </w:tcPr>
          <w:p w14:paraId="0AD241FD"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4,55</w:t>
            </w:r>
          </w:p>
        </w:tc>
      </w:tr>
      <w:tr w:rsidR="00B35B3E" w:rsidRPr="00B35B3E" w14:paraId="67D0EAD4" w14:textId="77777777" w:rsidTr="00CA5588">
        <w:tc>
          <w:tcPr>
            <w:tcW w:w="737" w:type="dxa"/>
            <w:vMerge/>
            <w:tcBorders>
              <w:top w:val="single" w:sz="4" w:space="0" w:color="auto"/>
              <w:left w:val="single" w:sz="4" w:space="0" w:color="auto"/>
              <w:bottom w:val="single" w:sz="4" w:space="0" w:color="auto"/>
              <w:right w:val="single" w:sz="4" w:space="0" w:color="auto"/>
            </w:tcBorders>
          </w:tcPr>
          <w:p w14:paraId="3871530B" w14:textId="77777777" w:rsidR="00B35B3E" w:rsidRPr="00B35B3E" w:rsidRDefault="00B35B3E" w:rsidP="00B35B3E">
            <w:pPr>
              <w:autoSpaceDE w:val="0"/>
              <w:autoSpaceDN w:val="0"/>
              <w:adjustRightInd w:val="0"/>
              <w:jc w:val="center"/>
              <w:rPr>
                <w:rFonts w:eastAsia="Calibri"/>
                <w:lang w:eastAsia="en-US"/>
              </w:rPr>
            </w:pPr>
          </w:p>
        </w:tc>
        <w:tc>
          <w:tcPr>
            <w:tcW w:w="5075" w:type="dxa"/>
            <w:tcBorders>
              <w:top w:val="single" w:sz="4" w:space="0" w:color="auto"/>
              <w:left w:val="single" w:sz="4" w:space="0" w:color="auto"/>
              <w:bottom w:val="single" w:sz="4" w:space="0" w:color="auto"/>
              <w:right w:val="single" w:sz="4" w:space="0" w:color="auto"/>
            </w:tcBorders>
          </w:tcPr>
          <w:p w14:paraId="6E8B9407"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Ночная зона</w:t>
            </w:r>
          </w:p>
        </w:tc>
        <w:tc>
          <w:tcPr>
            <w:tcW w:w="1843" w:type="dxa"/>
            <w:tcBorders>
              <w:top w:val="nil"/>
              <w:left w:val="single" w:sz="4" w:space="0" w:color="auto"/>
              <w:bottom w:val="single" w:sz="4" w:space="0" w:color="auto"/>
              <w:right w:val="single" w:sz="4" w:space="0" w:color="auto"/>
            </w:tcBorders>
            <w:shd w:val="clear" w:color="auto" w:fill="auto"/>
            <w:vAlign w:val="center"/>
          </w:tcPr>
          <w:p w14:paraId="7BBAB1DF"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2,45</w:t>
            </w:r>
          </w:p>
        </w:tc>
        <w:tc>
          <w:tcPr>
            <w:tcW w:w="1838" w:type="dxa"/>
            <w:tcBorders>
              <w:top w:val="nil"/>
              <w:left w:val="nil"/>
              <w:bottom w:val="single" w:sz="4" w:space="0" w:color="auto"/>
              <w:right w:val="single" w:sz="4" w:space="0" w:color="auto"/>
            </w:tcBorders>
            <w:shd w:val="clear" w:color="auto" w:fill="auto"/>
            <w:vAlign w:val="center"/>
          </w:tcPr>
          <w:p w14:paraId="4446B66A"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2,57</w:t>
            </w:r>
          </w:p>
        </w:tc>
      </w:tr>
      <w:tr w:rsidR="00B35B3E" w:rsidRPr="00B35B3E" w14:paraId="00C6F3F4" w14:textId="77777777" w:rsidTr="00CA5588">
        <w:tc>
          <w:tcPr>
            <w:tcW w:w="737" w:type="dxa"/>
            <w:vMerge w:val="restart"/>
            <w:tcBorders>
              <w:top w:val="single" w:sz="4" w:space="0" w:color="auto"/>
              <w:left w:val="single" w:sz="4" w:space="0" w:color="auto"/>
              <w:bottom w:val="single" w:sz="4" w:space="0" w:color="auto"/>
              <w:right w:val="single" w:sz="4" w:space="0" w:color="auto"/>
            </w:tcBorders>
          </w:tcPr>
          <w:p w14:paraId="54CDBD8D"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6.4.3</w:t>
            </w:r>
          </w:p>
        </w:tc>
        <w:tc>
          <w:tcPr>
            <w:tcW w:w="8756" w:type="dxa"/>
            <w:gridSpan w:val="3"/>
            <w:tcBorders>
              <w:top w:val="single" w:sz="4" w:space="0" w:color="auto"/>
              <w:left w:val="single" w:sz="4" w:space="0" w:color="auto"/>
              <w:bottom w:val="single" w:sz="4" w:space="0" w:color="auto"/>
              <w:right w:val="single" w:sz="4" w:space="0" w:color="auto"/>
            </w:tcBorders>
          </w:tcPr>
          <w:p w14:paraId="73EDB1B2" w14:textId="77777777" w:rsidR="00B35B3E" w:rsidRPr="00B35B3E" w:rsidRDefault="00B35B3E" w:rsidP="00B35B3E">
            <w:pPr>
              <w:autoSpaceDE w:val="0"/>
              <w:autoSpaceDN w:val="0"/>
              <w:adjustRightInd w:val="0"/>
              <w:rPr>
                <w:rFonts w:eastAsia="Calibri"/>
                <w:lang w:eastAsia="en-US"/>
              </w:rPr>
            </w:pPr>
            <w:r w:rsidRPr="00B35B3E">
              <w:rPr>
                <w:rFonts w:eastAsia="Calibri"/>
                <w:lang w:eastAsia="en-US"/>
              </w:rPr>
              <w:t>Одноставочный тариф, дифференцированный по трем зонам суток</w:t>
            </w:r>
          </w:p>
        </w:tc>
      </w:tr>
      <w:tr w:rsidR="00B35B3E" w:rsidRPr="00B35B3E" w14:paraId="66C15D14" w14:textId="77777777" w:rsidTr="00CA5588">
        <w:tc>
          <w:tcPr>
            <w:tcW w:w="737" w:type="dxa"/>
            <w:vMerge/>
            <w:tcBorders>
              <w:top w:val="single" w:sz="4" w:space="0" w:color="auto"/>
              <w:left w:val="single" w:sz="4" w:space="0" w:color="auto"/>
              <w:bottom w:val="single" w:sz="4" w:space="0" w:color="auto"/>
              <w:right w:val="single" w:sz="4" w:space="0" w:color="auto"/>
            </w:tcBorders>
          </w:tcPr>
          <w:p w14:paraId="6B897589" w14:textId="77777777" w:rsidR="00B35B3E" w:rsidRPr="00B35B3E" w:rsidRDefault="00B35B3E" w:rsidP="00B35B3E">
            <w:pPr>
              <w:autoSpaceDE w:val="0"/>
              <w:autoSpaceDN w:val="0"/>
              <w:adjustRightInd w:val="0"/>
              <w:jc w:val="center"/>
              <w:rPr>
                <w:rFonts w:eastAsia="Calibri"/>
                <w:lang w:eastAsia="en-US"/>
              </w:rPr>
            </w:pPr>
          </w:p>
        </w:tc>
        <w:tc>
          <w:tcPr>
            <w:tcW w:w="5075" w:type="dxa"/>
            <w:tcBorders>
              <w:top w:val="single" w:sz="4" w:space="0" w:color="auto"/>
              <w:left w:val="single" w:sz="4" w:space="0" w:color="auto"/>
              <w:bottom w:val="single" w:sz="4" w:space="0" w:color="auto"/>
              <w:right w:val="single" w:sz="4" w:space="0" w:color="auto"/>
            </w:tcBorders>
          </w:tcPr>
          <w:p w14:paraId="136EF4D2"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Пиковая зона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2B2D875"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4,72</w:t>
            </w:r>
          </w:p>
        </w:tc>
        <w:tc>
          <w:tcPr>
            <w:tcW w:w="1838" w:type="dxa"/>
            <w:tcBorders>
              <w:top w:val="single" w:sz="4" w:space="0" w:color="auto"/>
              <w:left w:val="nil"/>
              <w:bottom w:val="single" w:sz="4" w:space="0" w:color="auto"/>
              <w:right w:val="single" w:sz="4" w:space="0" w:color="auto"/>
            </w:tcBorders>
            <w:shd w:val="clear" w:color="auto" w:fill="auto"/>
            <w:vAlign w:val="center"/>
          </w:tcPr>
          <w:p w14:paraId="4226D4E0"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4,96</w:t>
            </w:r>
          </w:p>
        </w:tc>
      </w:tr>
      <w:tr w:rsidR="00B35B3E" w:rsidRPr="00B35B3E" w14:paraId="29D30F91" w14:textId="77777777" w:rsidTr="00CA5588">
        <w:tc>
          <w:tcPr>
            <w:tcW w:w="737" w:type="dxa"/>
            <w:vMerge/>
            <w:tcBorders>
              <w:top w:val="single" w:sz="4" w:space="0" w:color="auto"/>
              <w:left w:val="single" w:sz="4" w:space="0" w:color="auto"/>
              <w:bottom w:val="single" w:sz="4" w:space="0" w:color="auto"/>
              <w:right w:val="single" w:sz="4" w:space="0" w:color="auto"/>
            </w:tcBorders>
          </w:tcPr>
          <w:p w14:paraId="231CC1F4" w14:textId="77777777" w:rsidR="00B35B3E" w:rsidRPr="00B35B3E" w:rsidRDefault="00B35B3E" w:rsidP="00B35B3E">
            <w:pPr>
              <w:autoSpaceDE w:val="0"/>
              <w:autoSpaceDN w:val="0"/>
              <w:adjustRightInd w:val="0"/>
              <w:jc w:val="center"/>
              <w:rPr>
                <w:rFonts w:eastAsia="Calibri"/>
                <w:lang w:eastAsia="en-US"/>
              </w:rPr>
            </w:pPr>
          </w:p>
        </w:tc>
        <w:tc>
          <w:tcPr>
            <w:tcW w:w="5075" w:type="dxa"/>
            <w:tcBorders>
              <w:top w:val="single" w:sz="4" w:space="0" w:color="auto"/>
              <w:left w:val="single" w:sz="4" w:space="0" w:color="auto"/>
              <w:bottom w:val="single" w:sz="4" w:space="0" w:color="auto"/>
              <w:right w:val="single" w:sz="4" w:space="0" w:color="auto"/>
            </w:tcBorders>
          </w:tcPr>
          <w:p w14:paraId="21496085"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Полупиковая зона</w:t>
            </w:r>
          </w:p>
        </w:tc>
        <w:tc>
          <w:tcPr>
            <w:tcW w:w="1843" w:type="dxa"/>
            <w:tcBorders>
              <w:top w:val="nil"/>
              <w:left w:val="single" w:sz="4" w:space="0" w:color="auto"/>
              <w:bottom w:val="single" w:sz="4" w:space="0" w:color="auto"/>
              <w:right w:val="single" w:sz="4" w:space="0" w:color="auto"/>
            </w:tcBorders>
            <w:shd w:val="clear" w:color="auto" w:fill="auto"/>
            <w:vAlign w:val="center"/>
          </w:tcPr>
          <w:p w14:paraId="17088E9C"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3,77</w:t>
            </w:r>
          </w:p>
        </w:tc>
        <w:tc>
          <w:tcPr>
            <w:tcW w:w="1838" w:type="dxa"/>
            <w:tcBorders>
              <w:top w:val="nil"/>
              <w:left w:val="nil"/>
              <w:bottom w:val="single" w:sz="4" w:space="0" w:color="auto"/>
              <w:right w:val="single" w:sz="4" w:space="0" w:color="auto"/>
            </w:tcBorders>
            <w:shd w:val="clear" w:color="auto" w:fill="auto"/>
            <w:vAlign w:val="center"/>
          </w:tcPr>
          <w:p w14:paraId="3E53A44E"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3,96</w:t>
            </w:r>
          </w:p>
        </w:tc>
      </w:tr>
      <w:tr w:rsidR="00B35B3E" w:rsidRPr="00B35B3E" w14:paraId="69ABD9C7" w14:textId="77777777" w:rsidTr="00CA5588">
        <w:tc>
          <w:tcPr>
            <w:tcW w:w="737" w:type="dxa"/>
            <w:vMerge/>
            <w:tcBorders>
              <w:top w:val="single" w:sz="4" w:space="0" w:color="auto"/>
              <w:left w:val="single" w:sz="4" w:space="0" w:color="auto"/>
              <w:bottom w:val="single" w:sz="4" w:space="0" w:color="auto"/>
              <w:right w:val="single" w:sz="4" w:space="0" w:color="auto"/>
            </w:tcBorders>
          </w:tcPr>
          <w:p w14:paraId="2108EF3E" w14:textId="77777777" w:rsidR="00B35B3E" w:rsidRPr="00B35B3E" w:rsidRDefault="00B35B3E" w:rsidP="00B35B3E">
            <w:pPr>
              <w:autoSpaceDE w:val="0"/>
              <w:autoSpaceDN w:val="0"/>
              <w:adjustRightInd w:val="0"/>
              <w:jc w:val="center"/>
              <w:rPr>
                <w:rFonts w:eastAsia="Calibri"/>
                <w:lang w:eastAsia="en-US"/>
              </w:rPr>
            </w:pPr>
          </w:p>
        </w:tc>
        <w:tc>
          <w:tcPr>
            <w:tcW w:w="5075" w:type="dxa"/>
            <w:tcBorders>
              <w:top w:val="single" w:sz="4" w:space="0" w:color="auto"/>
              <w:left w:val="single" w:sz="4" w:space="0" w:color="auto"/>
              <w:bottom w:val="single" w:sz="4" w:space="0" w:color="auto"/>
              <w:right w:val="single" w:sz="4" w:space="0" w:color="auto"/>
            </w:tcBorders>
          </w:tcPr>
          <w:p w14:paraId="6ECECE86"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Ночная зона</w:t>
            </w:r>
          </w:p>
        </w:tc>
        <w:tc>
          <w:tcPr>
            <w:tcW w:w="1843" w:type="dxa"/>
            <w:tcBorders>
              <w:top w:val="nil"/>
              <w:left w:val="single" w:sz="4" w:space="0" w:color="auto"/>
              <w:bottom w:val="single" w:sz="4" w:space="0" w:color="auto"/>
              <w:right w:val="single" w:sz="4" w:space="0" w:color="auto"/>
            </w:tcBorders>
            <w:shd w:val="clear" w:color="auto" w:fill="auto"/>
            <w:vAlign w:val="center"/>
          </w:tcPr>
          <w:p w14:paraId="0ED5E2F1"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2,45</w:t>
            </w:r>
          </w:p>
        </w:tc>
        <w:tc>
          <w:tcPr>
            <w:tcW w:w="1838" w:type="dxa"/>
            <w:tcBorders>
              <w:top w:val="nil"/>
              <w:left w:val="nil"/>
              <w:bottom w:val="single" w:sz="4" w:space="0" w:color="auto"/>
              <w:right w:val="single" w:sz="4" w:space="0" w:color="auto"/>
            </w:tcBorders>
            <w:shd w:val="clear" w:color="auto" w:fill="auto"/>
            <w:vAlign w:val="center"/>
          </w:tcPr>
          <w:p w14:paraId="3E6FFF8F"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2,57</w:t>
            </w:r>
          </w:p>
        </w:tc>
      </w:tr>
      <w:tr w:rsidR="00B35B3E" w:rsidRPr="00B35B3E" w14:paraId="45C98385" w14:textId="77777777" w:rsidTr="00CA5588">
        <w:tc>
          <w:tcPr>
            <w:tcW w:w="737" w:type="dxa"/>
            <w:tcBorders>
              <w:top w:val="single" w:sz="4" w:space="0" w:color="auto"/>
              <w:left w:val="single" w:sz="4" w:space="0" w:color="auto"/>
              <w:bottom w:val="single" w:sz="4" w:space="0" w:color="auto"/>
              <w:right w:val="single" w:sz="4" w:space="0" w:color="auto"/>
            </w:tcBorders>
          </w:tcPr>
          <w:p w14:paraId="00CE966A"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6.5</w:t>
            </w:r>
          </w:p>
        </w:tc>
        <w:tc>
          <w:tcPr>
            <w:tcW w:w="8756" w:type="dxa"/>
            <w:gridSpan w:val="3"/>
            <w:tcBorders>
              <w:top w:val="single" w:sz="4" w:space="0" w:color="auto"/>
              <w:left w:val="single" w:sz="4" w:space="0" w:color="auto"/>
              <w:bottom w:val="single" w:sz="4" w:space="0" w:color="auto"/>
              <w:right w:val="single" w:sz="4" w:space="0" w:color="auto"/>
            </w:tcBorders>
          </w:tcPr>
          <w:p w14:paraId="106D224C"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населению категориям потребителей в объемах фактического потребления населения и приравненных к нему категорий потребителей, и объемах электроэнергии, израсходованной на места общего пользования в целях потребления на коммунально-бытовые нужды граждан и не используемой для осуществления коммерческой (профессиональной) деятельности</w:t>
            </w:r>
          </w:p>
        </w:tc>
      </w:tr>
      <w:tr w:rsidR="00B35B3E" w:rsidRPr="00B35B3E" w14:paraId="24E91466" w14:textId="77777777" w:rsidTr="00CA5588">
        <w:tc>
          <w:tcPr>
            <w:tcW w:w="737" w:type="dxa"/>
            <w:tcBorders>
              <w:top w:val="single" w:sz="4" w:space="0" w:color="auto"/>
              <w:left w:val="single" w:sz="4" w:space="0" w:color="auto"/>
              <w:bottom w:val="single" w:sz="4" w:space="0" w:color="auto"/>
              <w:right w:val="single" w:sz="4" w:space="0" w:color="auto"/>
            </w:tcBorders>
          </w:tcPr>
          <w:p w14:paraId="5EC7565A"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6.5.1</w:t>
            </w:r>
          </w:p>
        </w:tc>
        <w:tc>
          <w:tcPr>
            <w:tcW w:w="5075" w:type="dxa"/>
            <w:tcBorders>
              <w:top w:val="single" w:sz="4" w:space="0" w:color="auto"/>
              <w:left w:val="single" w:sz="4" w:space="0" w:color="auto"/>
              <w:bottom w:val="single" w:sz="4" w:space="0" w:color="auto"/>
              <w:right w:val="single" w:sz="4" w:space="0" w:color="auto"/>
            </w:tcBorders>
          </w:tcPr>
          <w:p w14:paraId="2048925D" w14:textId="77777777" w:rsidR="00B35B3E" w:rsidRPr="00B35B3E" w:rsidRDefault="00B35B3E" w:rsidP="00B35B3E">
            <w:pPr>
              <w:autoSpaceDE w:val="0"/>
              <w:autoSpaceDN w:val="0"/>
              <w:adjustRightInd w:val="0"/>
              <w:rPr>
                <w:rFonts w:eastAsia="Calibri"/>
                <w:lang w:eastAsia="en-US"/>
              </w:rPr>
            </w:pPr>
            <w:r w:rsidRPr="00B35B3E">
              <w:rPr>
                <w:rFonts w:eastAsia="Calibri"/>
                <w:lang w:eastAsia="en-US"/>
              </w:rPr>
              <w:t>Одноставочный тариф</w:t>
            </w:r>
          </w:p>
        </w:tc>
        <w:tc>
          <w:tcPr>
            <w:tcW w:w="1843" w:type="dxa"/>
            <w:tcBorders>
              <w:top w:val="single" w:sz="4" w:space="0" w:color="auto"/>
              <w:left w:val="single" w:sz="4" w:space="0" w:color="auto"/>
              <w:bottom w:val="single" w:sz="4" w:space="0" w:color="auto"/>
              <w:right w:val="single" w:sz="4" w:space="0" w:color="auto"/>
            </w:tcBorders>
          </w:tcPr>
          <w:p w14:paraId="1B23C132"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3,77</w:t>
            </w:r>
          </w:p>
        </w:tc>
        <w:tc>
          <w:tcPr>
            <w:tcW w:w="1838" w:type="dxa"/>
            <w:tcBorders>
              <w:top w:val="single" w:sz="4" w:space="0" w:color="auto"/>
              <w:left w:val="single" w:sz="4" w:space="0" w:color="auto"/>
              <w:bottom w:val="single" w:sz="4" w:space="0" w:color="auto"/>
              <w:right w:val="single" w:sz="4" w:space="0" w:color="auto"/>
            </w:tcBorders>
          </w:tcPr>
          <w:p w14:paraId="45B7529C"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3,96</w:t>
            </w:r>
          </w:p>
        </w:tc>
      </w:tr>
      <w:tr w:rsidR="00B35B3E" w:rsidRPr="00B35B3E" w14:paraId="316C1525" w14:textId="77777777" w:rsidTr="00CA5588">
        <w:tc>
          <w:tcPr>
            <w:tcW w:w="737" w:type="dxa"/>
            <w:vMerge w:val="restart"/>
            <w:tcBorders>
              <w:top w:val="single" w:sz="4" w:space="0" w:color="auto"/>
              <w:left w:val="single" w:sz="4" w:space="0" w:color="auto"/>
              <w:bottom w:val="single" w:sz="4" w:space="0" w:color="auto"/>
              <w:right w:val="single" w:sz="4" w:space="0" w:color="auto"/>
            </w:tcBorders>
          </w:tcPr>
          <w:p w14:paraId="1CC04BD9"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6.5.2</w:t>
            </w:r>
          </w:p>
        </w:tc>
        <w:tc>
          <w:tcPr>
            <w:tcW w:w="8756" w:type="dxa"/>
            <w:gridSpan w:val="3"/>
            <w:tcBorders>
              <w:top w:val="single" w:sz="4" w:space="0" w:color="auto"/>
              <w:left w:val="single" w:sz="4" w:space="0" w:color="auto"/>
              <w:bottom w:val="single" w:sz="4" w:space="0" w:color="auto"/>
              <w:right w:val="single" w:sz="4" w:space="0" w:color="auto"/>
            </w:tcBorders>
          </w:tcPr>
          <w:p w14:paraId="182A7F8D" w14:textId="77777777" w:rsidR="00B35B3E" w:rsidRPr="00B35B3E" w:rsidRDefault="00B35B3E" w:rsidP="00B35B3E">
            <w:pPr>
              <w:autoSpaceDE w:val="0"/>
              <w:autoSpaceDN w:val="0"/>
              <w:adjustRightInd w:val="0"/>
              <w:rPr>
                <w:rFonts w:eastAsia="Calibri"/>
                <w:lang w:eastAsia="en-US"/>
              </w:rPr>
            </w:pPr>
            <w:r w:rsidRPr="00B35B3E">
              <w:rPr>
                <w:rFonts w:eastAsia="Calibri"/>
                <w:lang w:eastAsia="en-US"/>
              </w:rPr>
              <w:t>Одноставочный тариф, дифференцированный по двум зонам суток</w:t>
            </w:r>
          </w:p>
        </w:tc>
      </w:tr>
      <w:tr w:rsidR="00B35B3E" w:rsidRPr="00B35B3E" w14:paraId="5BE14FD2" w14:textId="77777777" w:rsidTr="00CA5588">
        <w:tc>
          <w:tcPr>
            <w:tcW w:w="737" w:type="dxa"/>
            <w:vMerge/>
            <w:tcBorders>
              <w:top w:val="single" w:sz="4" w:space="0" w:color="auto"/>
              <w:left w:val="single" w:sz="4" w:space="0" w:color="auto"/>
              <w:bottom w:val="single" w:sz="4" w:space="0" w:color="auto"/>
              <w:right w:val="single" w:sz="4" w:space="0" w:color="auto"/>
            </w:tcBorders>
          </w:tcPr>
          <w:p w14:paraId="1A740CE0" w14:textId="77777777" w:rsidR="00B35B3E" w:rsidRPr="00B35B3E" w:rsidRDefault="00B35B3E" w:rsidP="00B35B3E">
            <w:pPr>
              <w:autoSpaceDE w:val="0"/>
              <w:autoSpaceDN w:val="0"/>
              <w:adjustRightInd w:val="0"/>
              <w:jc w:val="center"/>
              <w:rPr>
                <w:rFonts w:eastAsia="Calibri"/>
                <w:lang w:eastAsia="en-US"/>
              </w:rPr>
            </w:pPr>
          </w:p>
        </w:tc>
        <w:tc>
          <w:tcPr>
            <w:tcW w:w="5075" w:type="dxa"/>
            <w:tcBorders>
              <w:top w:val="single" w:sz="4" w:space="0" w:color="auto"/>
              <w:left w:val="single" w:sz="4" w:space="0" w:color="auto"/>
              <w:bottom w:val="single" w:sz="4" w:space="0" w:color="auto"/>
              <w:right w:val="single" w:sz="4" w:space="0" w:color="auto"/>
            </w:tcBorders>
          </w:tcPr>
          <w:p w14:paraId="711EBE72"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Дневная зона (пиковая и полупиковая)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37D09C9"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4,34</w:t>
            </w:r>
          </w:p>
        </w:tc>
        <w:tc>
          <w:tcPr>
            <w:tcW w:w="1838" w:type="dxa"/>
            <w:tcBorders>
              <w:top w:val="single" w:sz="4" w:space="0" w:color="auto"/>
              <w:left w:val="nil"/>
              <w:bottom w:val="single" w:sz="4" w:space="0" w:color="auto"/>
              <w:right w:val="single" w:sz="4" w:space="0" w:color="auto"/>
            </w:tcBorders>
            <w:shd w:val="clear" w:color="auto" w:fill="auto"/>
            <w:vAlign w:val="center"/>
          </w:tcPr>
          <w:p w14:paraId="2EED2CED"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4,55</w:t>
            </w:r>
          </w:p>
        </w:tc>
      </w:tr>
      <w:tr w:rsidR="00B35B3E" w:rsidRPr="00B35B3E" w14:paraId="2ACAE37A" w14:textId="77777777" w:rsidTr="00CA5588">
        <w:tc>
          <w:tcPr>
            <w:tcW w:w="737" w:type="dxa"/>
            <w:vMerge/>
            <w:tcBorders>
              <w:top w:val="single" w:sz="4" w:space="0" w:color="auto"/>
              <w:left w:val="single" w:sz="4" w:space="0" w:color="auto"/>
              <w:bottom w:val="single" w:sz="4" w:space="0" w:color="auto"/>
              <w:right w:val="single" w:sz="4" w:space="0" w:color="auto"/>
            </w:tcBorders>
          </w:tcPr>
          <w:p w14:paraId="6DC00F51" w14:textId="77777777" w:rsidR="00B35B3E" w:rsidRPr="00B35B3E" w:rsidRDefault="00B35B3E" w:rsidP="00B35B3E">
            <w:pPr>
              <w:autoSpaceDE w:val="0"/>
              <w:autoSpaceDN w:val="0"/>
              <w:adjustRightInd w:val="0"/>
              <w:jc w:val="center"/>
              <w:rPr>
                <w:rFonts w:eastAsia="Calibri"/>
                <w:lang w:eastAsia="en-US"/>
              </w:rPr>
            </w:pPr>
          </w:p>
        </w:tc>
        <w:tc>
          <w:tcPr>
            <w:tcW w:w="5075" w:type="dxa"/>
            <w:tcBorders>
              <w:top w:val="single" w:sz="4" w:space="0" w:color="auto"/>
              <w:left w:val="single" w:sz="4" w:space="0" w:color="auto"/>
              <w:bottom w:val="single" w:sz="4" w:space="0" w:color="auto"/>
              <w:right w:val="single" w:sz="4" w:space="0" w:color="auto"/>
            </w:tcBorders>
          </w:tcPr>
          <w:p w14:paraId="7C188312"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Ночная зона</w:t>
            </w:r>
          </w:p>
        </w:tc>
        <w:tc>
          <w:tcPr>
            <w:tcW w:w="1843" w:type="dxa"/>
            <w:tcBorders>
              <w:top w:val="nil"/>
              <w:left w:val="single" w:sz="4" w:space="0" w:color="auto"/>
              <w:bottom w:val="single" w:sz="4" w:space="0" w:color="auto"/>
              <w:right w:val="single" w:sz="4" w:space="0" w:color="auto"/>
            </w:tcBorders>
            <w:shd w:val="clear" w:color="auto" w:fill="auto"/>
            <w:vAlign w:val="center"/>
          </w:tcPr>
          <w:p w14:paraId="53693210"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2,45</w:t>
            </w:r>
          </w:p>
        </w:tc>
        <w:tc>
          <w:tcPr>
            <w:tcW w:w="1838" w:type="dxa"/>
            <w:tcBorders>
              <w:top w:val="nil"/>
              <w:left w:val="nil"/>
              <w:bottom w:val="single" w:sz="4" w:space="0" w:color="auto"/>
              <w:right w:val="single" w:sz="4" w:space="0" w:color="auto"/>
            </w:tcBorders>
            <w:shd w:val="clear" w:color="auto" w:fill="auto"/>
            <w:vAlign w:val="center"/>
          </w:tcPr>
          <w:p w14:paraId="05B278A4"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2,57</w:t>
            </w:r>
          </w:p>
        </w:tc>
      </w:tr>
      <w:tr w:rsidR="00B35B3E" w:rsidRPr="00B35B3E" w14:paraId="6D8702D6" w14:textId="77777777" w:rsidTr="00CA5588">
        <w:tc>
          <w:tcPr>
            <w:tcW w:w="737" w:type="dxa"/>
            <w:vMerge w:val="restart"/>
            <w:tcBorders>
              <w:top w:val="single" w:sz="4" w:space="0" w:color="auto"/>
              <w:left w:val="single" w:sz="4" w:space="0" w:color="auto"/>
              <w:bottom w:val="single" w:sz="4" w:space="0" w:color="auto"/>
              <w:right w:val="single" w:sz="4" w:space="0" w:color="auto"/>
            </w:tcBorders>
          </w:tcPr>
          <w:p w14:paraId="44858621"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6.5.3</w:t>
            </w:r>
          </w:p>
        </w:tc>
        <w:tc>
          <w:tcPr>
            <w:tcW w:w="8756" w:type="dxa"/>
            <w:gridSpan w:val="3"/>
            <w:tcBorders>
              <w:top w:val="single" w:sz="4" w:space="0" w:color="auto"/>
              <w:left w:val="single" w:sz="4" w:space="0" w:color="auto"/>
              <w:bottom w:val="single" w:sz="4" w:space="0" w:color="auto"/>
              <w:right w:val="single" w:sz="4" w:space="0" w:color="auto"/>
            </w:tcBorders>
          </w:tcPr>
          <w:p w14:paraId="51776C6A" w14:textId="77777777" w:rsidR="00B35B3E" w:rsidRPr="00B35B3E" w:rsidRDefault="00B35B3E" w:rsidP="00B35B3E">
            <w:pPr>
              <w:autoSpaceDE w:val="0"/>
              <w:autoSpaceDN w:val="0"/>
              <w:adjustRightInd w:val="0"/>
              <w:rPr>
                <w:rFonts w:eastAsia="Calibri"/>
                <w:lang w:eastAsia="en-US"/>
              </w:rPr>
            </w:pPr>
            <w:r w:rsidRPr="00B35B3E">
              <w:rPr>
                <w:rFonts w:eastAsia="Calibri"/>
                <w:lang w:eastAsia="en-US"/>
              </w:rPr>
              <w:t>Одноставочный тариф, дифференцированный по трем зонам суток</w:t>
            </w:r>
          </w:p>
        </w:tc>
      </w:tr>
      <w:tr w:rsidR="00B35B3E" w:rsidRPr="00B35B3E" w14:paraId="53FADC99" w14:textId="77777777" w:rsidTr="00CA5588">
        <w:tc>
          <w:tcPr>
            <w:tcW w:w="737" w:type="dxa"/>
            <w:vMerge/>
            <w:tcBorders>
              <w:top w:val="single" w:sz="4" w:space="0" w:color="auto"/>
              <w:left w:val="single" w:sz="4" w:space="0" w:color="auto"/>
              <w:bottom w:val="single" w:sz="4" w:space="0" w:color="auto"/>
              <w:right w:val="single" w:sz="4" w:space="0" w:color="auto"/>
            </w:tcBorders>
          </w:tcPr>
          <w:p w14:paraId="6F84ADE5" w14:textId="77777777" w:rsidR="00B35B3E" w:rsidRPr="00B35B3E" w:rsidRDefault="00B35B3E" w:rsidP="00B35B3E">
            <w:pPr>
              <w:autoSpaceDE w:val="0"/>
              <w:autoSpaceDN w:val="0"/>
              <w:adjustRightInd w:val="0"/>
              <w:jc w:val="center"/>
              <w:rPr>
                <w:rFonts w:eastAsia="Calibri"/>
                <w:lang w:eastAsia="en-US"/>
              </w:rPr>
            </w:pPr>
          </w:p>
        </w:tc>
        <w:tc>
          <w:tcPr>
            <w:tcW w:w="5075" w:type="dxa"/>
            <w:tcBorders>
              <w:top w:val="single" w:sz="4" w:space="0" w:color="auto"/>
              <w:left w:val="single" w:sz="4" w:space="0" w:color="auto"/>
              <w:bottom w:val="single" w:sz="4" w:space="0" w:color="auto"/>
              <w:right w:val="single" w:sz="4" w:space="0" w:color="auto"/>
            </w:tcBorders>
          </w:tcPr>
          <w:p w14:paraId="50102898"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Пиковая зона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6F2398B"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4,72</w:t>
            </w:r>
          </w:p>
        </w:tc>
        <w:tc>
          <w:tcPr>
            <w:tcW w:w="1838" w:type="dxa"/>
            <w:tcBorders>
              <w:top w:val="single" w:sz="4" w:space="0" w:color="auto"/>
              <w:left w:val="nil"/>
              <w:bottom w:val="single" w:sz="4" w:space="0" w:color="auto"/>
              <w:right w:val="single" w:sz="4" w:space="0" w:color="auto"/>
            </w:tcBorders>
            <w:shd w:val="clear" w:color="auto" w:fill="auto"/>
            <w:vAlign w:val="center"/>
          </w:tcPr>
          <w:p w14:paraId="659659AB"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4,96</w:t>
            </w:r>
          </w:p>
        </w:tc>
      </w:tr>
      <w:tr w:rsidR="00B35B3E" w:rsidRPr="00B35B3E" w14:paraId="6671C7B8" w14:textId="77777777" w:rsidTr="00CA5588">
        <w:tc>
          <w:tcPr>
            <w:tcW w:w="737" w:type="dxa"/>
            <w:vMerge/>
            <w:tcBorders>
              <w:top w:val="single" w:sz="4" w:space="0" w:color="auto"/>
              <w:left w:val="single" w:sz="4" w:space="0" w:color="auto"/>
              <w:bottom w:val="single" w:sz="4" w:space="0" w:color="auto"/>
              <w:right w:val="single" w:sz="4" w:space="0" w:color="auto"/>
            </w:tcBorders>
          </w:tcPr>
          <w:p w14:paraId="59EDAD80" w14:textId="77777777" w:rsidR="00B35B3E" w:rsidRPr="00B35B3E" w:rsidRDefault="00B35B3E" w:rsidP="00B35B3E">
            <w:pPr>
              <w:autoSpaceDE w:val="0"/>
              <w:autoSpaceDN w:val="0"/>
              <w:adjustRightInd w:val="0"/>
              <w:jc w:val="center"/>
              <w:rPr>
                <w:rFonts w:eastAsia="Calibri"/>
                <w:lang w:eastAsia="en-US"/>
              </w:rPr>
            </w:pPr>
          </w:p>
        </w:tc>
        <w:tc>
          <w:tcPr>
            <w:tcW w:w="5075" w:type="dxa"/>
            <w:tcBorders>
              <w:top w:val="single" w:sz="4" w:space="0" w:color="auto"/>
              <w:left w:val="single" w:sz="4" w:space="0" w:color="auto"/>
              <w:bottom w:val="single" w:sz="4" w:space="0" w:color="auto"/>
              <w:right w:val="single" w:sz="4" w:space="0" w:color="auto"/>
            </w:tcBorders>
          </w:tcPr>
          <w:p w14:paraId="0E25F220"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Полупиковая зона</w:t>
            </w:r>
          </w:p>
        </w:tc>
        <w:tc>
          <w:tcPr>
            <w:tcW w:w="1843" w:type="dxa"/>
            <w:tcBorders>
              <w:top w:val="nil"/>
              <w:left w:val="single" w:sz="4" w:space="0" w:color="auto"/>
              <w:bottom w:val="single" w:sz="4" w:space="0" w:color="auto"/>
              <w:right w:val="single" w:sz="4" w:space="0" w:color="auto"/>
            </w:tcBorders>
            <w:shd w:val="clear" w:color="auto" w:fill="auto"/>
            <w:vAlign w:val="center"/>
          </w:tcPr>
          <w:p w14:paraId="60C67B4E"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3,77</w:t>
            </w:r>
          </w:p>
        </w:tc>
        <w:tc>
          <w:tcPr>
            <w:tcW w:w="1838" w:type="dxa"/>
            <w:tcBorders>
              <w:top w:val="nil"/>
              <w:left w:val="nil"/>
              <w:bottom w:val="single" w:sz="4" w:space="0" w:color="auto"/>
              <w:right w:val="single" w:sz="4" w:space="0" w:color="auto"/>
            </w:tcBorders>
            <w:shd w:val="clear" w:color="auto" w:fill="auto"/>
            <w:vAlign w:val="center"/>
          </w:tcPr>
          <w:p w14:paraId="39755CB1"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3,96</w:t>
            </w:r>
          </w:p>
        </w:tc>
      </w:tr>
      <w:tr w:rsidR="00B35B3E" w:rsidRPr="00B35B3E" w14:paraId="7B86F6D9" w14:textId="77777777" w:rsidTr="00CA5588">
        <w:tc>
          <w:tcPr>
            <w:tcW w:w="737" w:type="dxa"/>
            <w:vMerge/>
            <w:tcBorders>
              <w:top w:val="single" w:sz="4" w:space="0" w:color="auto"/>
              <w:left w:val="single" w:sz="4" w:space="0" w:color="auto"/>
              <w:bottom w:val="single" w:sz="4" w:space="0" w:color="auto"/>
              <w:right w:val="single" w:sz="4" w:space="0" w:color="auto"/>
            </w:tcBorders>
          </w:tcPr>
          <w:p w14:paraId="3607BA62" w14:textId="77777777" w:rsidR="00B35B3E" w:rsidRPr="00B35B3E" w:rsidRDefault="00B35B3E" w:rsidP="00B35B3E">
            <w:pPr>
              <w:autoSpaceDE w:val="0"/>
              <w:autoSpaceDN w:val="0"/>
              <w:adjustRightInd w:val="0"/>
              <w:jc w:val="center"/>
              <w:rPr>
                <w:rFonts w:eastAsia="Calibri"/>
                <w:lang w:eastAsia="en-US"/>
              </w:rPr>
            </w:pPr>
          </w:p>
        </w:tc>
        <w:tc>
          <w:tcPr>
            <w:tcW w:w="5075" w:type="dxa"/>
            <w:tcBorders>
              <w:top w:val="single" w:sz="4" w:space="0" w:color="auto"/>
              <w:left w:val="single" w:sz="4" w:space="0" w:color="auto"/>
              <w:bottom w:val="single" w:sz="4" w:space="0" w:color="auto"/>
              <w:right w:val="single" w:sz="4" w:space="0" w:color="auto"/>
            </w:tcBorders>
          </w:tcPr>
          <w:p w14:paraId="61860197"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Ночная зона</w:t>
            </w:r>
          </w:p>
        </w:tc>
        <w:tc>
          <w:tcPr>
            <w:tcW w:w="1843" w:type="dxa"/>
            <w:tcBorders>
              <w:top w:val="nil"/>
              <w:left w:val="single" w:sz="4" w:space="0" w:color="auto"/>
              <w:bottom w:val="single" w:sz="4" w:space="0" w:color="auto"/>
              <w:right w:val="single" w:sz="4" w:space="0" w:color="auto"/>
            </w:tcBorders>
            <w:shd w:val="clear" w:color="auto" w:fill="auto"/>
            <w:vAlign w:val="center"/>
          </w:tcPr>
          <w:p w14:paraId="6CF7DC56"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2,45</w:t>
            </w:r>
          </w:p>
        </w:tc>
        <w:tc>
          <w:tcPr>
            <w:tcW w:w="1838" w:type="dxa"/>
            <w:tcBorders>
              <w:top w:val="nil"/>
              <w:left w:val="nil"/>
              <w:bottom w:val="single" w:sz="4" w:space="0" w:color="auto"/>
              <w:right w:val="single" w:sz="4" w:space="0" w:color="auto"/>
            </w:tcBorders>
            <w:shd w:val="clear" w:color="auto" w:fill="auto"/>
            <w:vAlign w:val="center"/>
          </w:tcPr>
          <w:p w14:paraId="7BCCD150"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2,57</w:t>
            </w:r>
          </w:p>
        </w:tc>
      </w:tr>
      <w:tr w:rsidR="00B35B3E" w:rsidRPr="00B35B3E" w14:paraId="575AFC4C" w14:textId="77777777" w:rsidTr="00CA5588">
        <w:tc>
          <w:tcPr>
            <w:tcW w:w="737" w:type="dxa"/>
            <w:tcBorders>
              <w:top w:val="single" w:sz="4" w:space="0" w:color="auto"/>
              <w:left w:val="single" w:sz="4" w:space="0" w:color="auto"/>
              <w:bottom w:val="single" w:sz="4" w:space="0" w:color="auto"/>
              <w:right w:val="single" w:sz="4" w:space="0" w:color="auto"/>
            </w:tcBorders>
          </w:tcPr>
          <w:p w14:paraId="03B8EEBA"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6.6</w:t>
            </w:r>
          </w:p>
        </w:tc>
        <w:tc>
          <w:tcPr>
            <w:tcW w:w="8756" w:type="dxa"/>
            <w:gridSpan w:val="3"/>
            <w:tcBorders>
              <w:top w:val="single" w:sz="4" w:space="0" w:color="auto"/>
              <w:left w:val="single" w:sz="4" w:space="0" w:color="auto"/>
              <w:bottom w:val="single" w:sz="4" w:space="0" w:color="auto"/>
              <w:right w:val="single" w:sz="4" w:space="0" w:color="auto"/>
            </w:tcBorders>
          </w:tcPr>
          <w:p w14:paraId="68AB0DD7"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Объединения граждан, приобретающих электрическую энергию (мощность) для использования в принадлежащих им хозяйственных постройках (погреба, сараи).</w:t>
            </w:r>
          </w:p>
          <w:p w14:paraId="053EDAC2"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Некоммерческие объединения граждан (гаражно-строительные, гаражные кооперативы), приобретающие электрическую энергию (мощность) в целях потребления на коммунально-бытовые нужды и не используемую для осуществления коммерческой деятельности</w:t>
            </w:r>
          </w:p>
        </w:tc>
      </w:tr>
      <w:tr w:rsidR="00B35B3E" w:rsidRPr="00B35B3E" w14:paraId="6DADDA77" w14:textId="77777777" w:rsidTr="00CA5588">
        <w:tc>
          <w:tcPr>
            <w:tcW w:w="737" w:type="dxa"/>
            <w:tcBorders>
              <w:top w:val="single" w:sz="4" w:space="0" w:color="auto"/>
              <w:left w:val="single" w:sz="4" w:space="0" w:color="auto"/>
              <w:bottom w:val="single" w:sz="4" w:space="0" w:color="auto"/>
              <w:right w:val="single" w:sz="4" w:space="0" w:color="auto"/>
            </w:tcBorders>
          </w:tcPr>
          <w:p w14:paraId="588DD5CF"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6.6.1</w:t>
            </w:r>
          </w:p>
        </w:tc>
        <w:tc>
          <w:tcPr>
            <w:tcW w:w="5075" w:type="dxa"/>
            <w:tcBorders>
              <w:top w:val="single" w:sz="4" w:space="0" w:color="auto"/>
              <w:left w:val="single" w:sz="4" w:space="0" w:color="auto"/>
              <w:bottom w:val="single" w:sz="4" w:space="0" w:color="auto"/>
              <w:right w:val="single" w:sz="4" w:space="0" w:color="auto"/>
            </w:tcBorders>
          </w:tcPr>
          <w:p w14:paraId="54505D1C" w14:textId="77777777" w:rsidR="00B35B3E" w:rsidRPr="00B35B3E" w:rsidRDefault="00B35B3E" w:rsidP="00B35B3E">
            <w:pPr>
              <w:autoSpaceDE w:val="0"/>
              <w:autoSpaceDN w:val="0"/>
              <w:adjustRightInd w:val="0"/>
              <w:rPr>
                <w:rFonts w:eastAsia="Calibri"/>
                <w:lang w:eastAsia="en-US"/>
              </w:rPr>
            </w:pPr>
            <w:r w:rsidRPr="00B35B3E">
              <w:rPr>
                <w:rFonts w:eastAsia="Calibri"/>
                <w:lang w:eastAsia="en-US"/>
              </w:rPr>
              <w:t>Одноставочный тариф</w:t>
            </w:r>
          </w:p>
        </w:tc>
        <w:tc>
          <w:tcPr>
            <w:tcW w:w="1843" w:type="dxa"/>
            <w:tcBorders>
              <w:top w:val="single" w:sz="4" w:space="0" w:color="auto"/>
              <w:left w:val="single" w:sz="4" w:space="0" w:color="auto"/>
              <w:bottom w:val="single" w:sz="4" w:space="0" w:color="auto"/>
              <w:right w:val="single" w:sz="4" w:space="0" w:color="auto"/>
            </w:tcBorders>
          </w:tcPr>
          <w:p w14:paraId="2A10DF21"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3,77</w:t>
            </w:r>
          </w:p>
        </w:tc>
        <w:tc>
          <w:tcPr>
            <w:tcW w:w="1838" w:type="dxa"/>
            <w:tcBorders>
              <w:top w:val="single" w:sz="4" w:space="0" w:color="auto"/>
              <w:left w:val="single" w:sz="4" w:space="0" w:color="auto"/>
              <w:bottom w:val="single" w:sz="4" w:space="0" w:color="auto"/>
              <w:right w:val="single" w:sz="4" w:space="0" w:color="auto"/>
            </w:tcBorders>
          </w:tcPr>
          <w:p w14:paraId="644CB44D"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3,96</w:t>
            </w:r>
          </w:p>
        </w:tc>
      </w:tr>
      <w:tr w:rsidR="00B35B3E" w:rsidRPr="00B35B3E" w14:paraId="64598505" w14:textId="77777777" w:rsidTr="00CA5588">
        <w:tc>
          <w:tcPr>
            <w:tcW w:w="737" w:type="dxa"/>
            <w:vMerge w:val="restart"/>
            <w:tcBorders>
              <w:top w:val="single" w:sz="4" w:space="0" w:color="auto"/>
              <w:left w:val="single" w:sz="4" w:space="0" w:color="auto"/>
              <w:bottom w:val="single" w:sz="4" w:space="0" w:color="auto"/>
              <w:right w:val="single" w:sz="4" w:space="0" w:color="auto"/>
            </w:tcBorders>
          </w:tcPr>
          <w:p w14:paraId="41A30808"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6.6.2</w:t>
            </w:r>
          </w:p>
        </w:tc>
        <w:tc>
          <w:tcPr>
            <w:tcW w:w="8756" w:type="dxa"/>
            <w:gridSpan w:val="3"/>
            <w:tcBorders>
              <w:top w:val="single" w:sz="4" w:space="0" w:color="auto"/>
              <w:left w:val="single" w:sz="4" w:space="0" w:color="auto"/>
              <w:bottom w:val="single" w:sz="4" w:space="0" w:color="auto"/>
              <w:right w:val="single" w:sz="4" w:space="0" w:color="auto"/>
            </w:tcBorders>
          </w:tcPr>
          <w:p w14:paraId="2677FE0A" w14:textId="77777777" w:rsidR="00B35B3E" w:rsidRPr="00B35B3E" w:rsidRDefault="00B35B3E" w:rsidP="00B35B3E">
            <w:pPr>
              <w:autoSpaceDE w:val="0"/>
              <w:autoSpaceDN w:val="0"/>
              <w:adjustRightInd w:val="0"/>
              <w:rPr>
                <w:rFonts w:eastAsia="Calibri"/>
                <w:lang w:eastAsia="en-US"/>
              </w:rPr>
            </w:pPr>
            <w:r w:rsidRPr="00B35B3E">
              <w:rPr>
                <w:rFonts w:eastAsia="Calibri"/>
                <w:lang w:eastAsia="en-US"/>
              </w:rPr>
              <w:t>Одноставочный тариф, дифференцированный по двум зонам суток</w:t>
            </w:r>
          </w:p>
        </w:tc>
      </w:tr>
      <w:tr w:rsidR="00B35B3E" w:rsidRPr="00B35B3E" w14:paraId="5DAD320D" w14:textId="77777777" w:rsidTr="00CA5588">
        <w:tc>
          <w:tcPr>
            <w:tcW w:w="737" w:type="dxa"/>
            <w:vMerge/>
            <w:tcBorders>
              <w:top w:val="single" w:sz="4" w:space="0" w:color="auto"/>
              <w:left w:val="single" w:sz="4" w:space="0" w:color="auto"/>
              <w:bottom w:val="single" w:sz="4" w:space="0" w:color="auto"/>
              <w:right w:val="single" w:sz="4" w:space="0" w:color="auto"/>
            </w:tcBorders>
          </w:tcPr>
          <w:p w14:paraId="59510448" w14:textId="77777777" w:rsidR="00B35B3E" w:rsidRPr="00B35B3E" w:rsidRDefault="00B35B3E" w:rsidP="00B35B3E">
            <w:pPr>
              <w:autoSpaceDE w:val="0"/>
              <w:autoSpaceDN w:val="0"/>
              <w:adjustRightInd w:val="0"/>
              <w:jc w:val="center"/>
              <w:rPr>
                <w:rFonts w:eastAsia="Calibri"/>
                <w:lang w:eastAsia="en-US"/>
              </w:rPr>
            </w:pPr>
          </w:p>
        </w:tc>
        <w:tc>
          <w:tcPr>
            <w:tcW w:w="5075" w:type="dxa"/>
            <w:tcBorders>
              <w:top w:val="single" w:sz="4" w:space="0" w:color="auto"/>
              <w:left w:val="single" w:sz="4" w:space="0" w:color="auto"/>
              <w:bottom w:val="single" w:sz="4" w:space="0" w:color="auto"/>
              <w:right w:val="single" w:sz="4" w:space="0" w:color="auto"/>
            </w:tcBorders>
          </w:tcPr>
          <w:p w14:paraId="141E147A"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Дневная зона (пиковая и полупиковая)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1044963"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4,34</w:t>
            </w:r>
          </w:p>
        </w:tc>
        <w:tc>
          <w:tcPr>
            <w:tcW w:w="1838" w:type="dxa"/>
            <w:tcBorders>
              <w:top w:val="single" w:sz="4" w:space="0" w:color="auto"/>
              <w:left w:val="nil"/>
              <w:bottom w:val="single" w:sz="4" w:space="0" w:color="auto"/>
              <w:right w:val="single" w:sz="4" w:space="0" w:color="auto"/>
            </w:tcBorders>
            <w:shd w:val="clear" w:color="auto" w:fill="auto"/>
            <w:vAlign w:val="center"/>
          </w:tcPr>
          <w:p w14:paraId="7C803639"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4,55</w:t>
            </w:r>
          </w:p>
        </w:tc>
      </w:tr>
      <w:tr w:rsidR="00B35B3E" w:rsidRPr="00B35B3E" w14:paraId="3F70AAAB" w14:textId="77777777" w:rsidTr="00CA5588">
        <w:tc>
          <w:tcPr>
            <w:tcW w:w="737" w:type="dxa"/>
            <w:vMerge/>
            <w:tcBorders>
              <w:top w:val="single" w:sz="4" w:space="0" w:color="auto"/>
              <w:left w:val="single" w:sz="4" w:space="0" w:color="auto"/>
              <w:bottom w:val="single" w:sz="4" w:space="0" w:color="auto"/>
              <w:right w:val="single" w:sz="4" w:space="0" w:color="auto"/>
            </w:tcBorders>
          </w:tcPr>
          <w:p w14:paraId="5865F49D" w14:textId="77777777" w:rsidR="00B35B3E" w:rsidRPr="00B35B3E" w:rsidRDefault="00B35B3E" w:rsidP="00B35B3E">
            <w:pPr>
              <w:autoSpaceDE w:val="0"/>
              <w:autoSpaceDN w:val="0"/>
              <w:adjustRightInd w:val="0"/>
              <w:jc w:val="center"/>
              <w:rPr>
                <w:rFonts w:eastAsia="Calibri"/>
                <w:lang w:eastAsia="en-US"/>
              </w:rPr>
            </w:pPr>
          </w:p>
        </w:tc>
        <w:tc>
          <w:tcPr>
            <w:tcW w:w="5075" w:type="dxa"/>
            <w:tcBorders>
              <w:top w:val="single" w:sz="4" w:space="0" w:color="auto"/>
              <w:left w:val="single" w:sz="4" w:space="0" w:color="auto"/>
              <w:bottom w:val="single" w:sz="4" w:space="0" w:color="auto"/>
              <w:right w:val="single" w:sz="4" w:space="0" w:color="auto"/>
            </w:tcBorders>
          </w:tcPr>
          <w:p w14:paraId="5A660758"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Ночная зона</w:t>
            </w:r>
          </w:p>
        </w:tc>
        <w:tc>
          <w:tcPr>
            <w:tcW w:w="1843" w:type="dxa"/>
            <w:tcBorders>
              <w:top w:val="nil"/>
              <w:left w:val="single" w:sz="4" w:space="0" w:color="auto"/>
              <w:bottom w:val="single" w:sz="4" w:space="0" w:color="auto"/>
              <w:right w:val="single" w:sz="4" w:space="0" w:color="auto"/>
            </w:tcBorders>
            <w:shd w:val="clear" w:color="auto" w:fill="auto"/>
            <w:vAlign w:val="center"/>
          </w:tcPr>
          <w:p w14:paraId="1734B2C8"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2,45</w:t>
            </w:r>
          </w:p>
        </w:tc>
        <w:tc>
          <w:tcPr>
            <w:tcW w:w="1838" w:type="dxa"/>
            <w:tcBorders>
              <w:top w:val="nil"/>
              <w:left w:val="nil"/>
              <w:bottom w:val="single" w:sz="4" w:space="0" w:color="auto"/>
              <w:right w:val="single" w:sz="4" w:space="0" w:color="auto"/>
            </w:tcBorders>
            <w:shd w:val="clear" w:color="auto" w:fill="auto"/>
            <w:vAlign w:val="center"/>
          </w:tcPr>
          <w:p w14:paraId="5BBB6724"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2,57</w:t>
            </w:r>
          </w:p>
        </w:tc>
      </w:tr>
      <w:tr w:rsidR="00B35B3E" w:rsidRPr="00B35B3E" w14:paraId="49CC4738" w14:textId="77777777" w:rsidTr="00CA5588">
        <w:tc>
          <w:tcPr>
            <w:tcW w:w="737" w:type="dxa"/>
            <w:vMerge w:val="restart"/>
            <w:tcBorders>
              <w:top w:val="single" w:sz="4" w:space="0" w:color="auto"/>
              <w:left w:val="single" w:sz="4" w:space="0" w:color="auto"/>
              <w:bottom w:val="single" w:sz="4" w:space="0" w:color="auto"/>
              <w:right w:val="single" w:sz="4" w:space="0" w:color="auto"/>
            </w:tcBorders>
          </w:tcPr>
          <w:p w14:paraId="60502CBF"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6.6.3</w:t>
            </w:r>
          </w:p>
        </w:tc>
        <w:tc>
          <w:tcPr>
            <w:tcW w:w="8756" w:type="dxa"/>
            <w:gridSpan w:val="3"/>
            <w:tcBorders>
              <w:top w:val="single" w:sz="4" w:space="0" w:color="auto"/>
              <w:left w:val="single" w:sz="4" w:space="0" w:color="auto"/>
              <w:bottom w:val="single" w:sz="4" w:space="0" w:color="auto"/>
              <w:right w:val="single" w:sz="4" w:space="0" w:color="auto"/>
            </w:tcBorders>
          </w:tcPr>
          <w:p w14:paraId="7ED1984A" w14:textId="77777777" w:rsidR="00B35B3E" w:rsidRPr="00B35B3E" w:rsidRDefault="00B35B3E" w:rsidP="00B35B3E">
            <w:pPr>
              <w:autoSpaceDE w:val="0"/>
              <w:autoSpaceDN w:val="0"/>
              <w:adjustRightInd w:val="0"/>
              <w:rPr>
                <w:rFonts w:eastAsia="Calibri"/>
                <w:lang w:eastAsia="en-US"/>
              </w:rPr>
            </w:pPr>
            <w:r w:rsidRPr="00B35B3E">
              <w:rPr>
                <w:rFonts w:eastAsia="Calibri"/>
                <w:lang w:eastAsia="en-US"/>
              </w:rPr>
              <w:t>Одноставочный тариф, дифференцированный по трем зонам суток</w:t>
            </w:r>
          </w:p>
        </w:tc>
      </w:tr>
      <w:tr w:rsidR="00B35B3E" w:rsidRPr="00B35B3E" w14:paraId="6BD991EE" w14:textId="77777777" w:rsidTr="00CA5588">
        <w:tc>
          <w:tcPr>
            <w:tcW w:w="737" w:type="dxa"/>
            <w:vMerge/>
            <w:tcBorders>
              <w:top w:val="single" w:sz="4" w:space="0" w:color="auto"/>
              <w:left w:val="single" w:sz="4" w:space="0" w:color="auto"/>
              <w:bottom w:val="single" w:sz="4" w:space="0" w:color="auto"/>
              <w:right w:val="single" w:sz="4" w:space="0" w:color="auto"/>
            </w:tcBorders>
          </w:tcPr>
          <w:p w14:paraId="3CD4FE65" w14:textId="77777777" w:rsidR="00B35B3E" w:rsidRPr="00B35B3E" w:rsidRDefault="00B35B3E" w:rsidP="00B35B3E">
            <w:pPr>
              <w:autoSpaceDE w:val="0"/>
              <w:autoSpaceDN w:val="0"/>
              <w:adjustRightInd w:val="0"/>
              <w:jc w:val="center"/>
              <w:rPr>
                <w:rFonts w:eastAsia="Calibri"/>
                <w:lang w:eastAsia="en-US"/>
              </w:rPr>
            </w:pPr>
          </w:p>
        </w:tc>
        <w:tc>
          <w:tcPr>
            <w:tcW w:w="5075" w:type="dxa"/>
            <w:tcBorders>
              <w:top w:val="single" w:sz="4" w:space="0" w:color="auto"/>
              <w:left w:val="single" w:sz="4" w:space="0" w:color="auto"/>
              <w:bottom w:val="single" w:sz="4" w:space="0" w:color="auto"/>
              <w:right w:val="single" w:sz="4" w:space="0" w:color="auto"/>
            </w:tcBorders>
          </w:tcPr>
          <w:p w14:paraId="5230345E"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Пиковая зона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E55E586"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4,72</w:t>
            </w:r>
          </w:p>
        </w:tc>
        <w:tc>
          <w:tcPr>
            <w:tcW w:w="1838" w:type="dxa"/>
            <w:tcBorders>
              <w:top w:val="single" w:sz="4" w:space="0" w:color="auto"/>
              <w:left w:val="nil"/>
              <w:bottom w:val="single" w:sz="4" w:space="0" w:color="auto"/>
              <w:right w:val="single" w:sz="4" w:space="0" w:color="auto"/>
            </w:tcBorders>
            <w:shd w:val="clear" w:color="auto" w:fill="auto"/>
            <w:vAlign w:val="center"/>
          </w:tcPr>
          <w:p w14:paraId="60530451"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4,96</w:t>
            </w:r>
          </w:p>
        </w:tc>
      </w:tr>
      <w:tr w:rsidR="00B35B3E" w:rsidRPr="00B35B3E" w14:paraId="79D254A5" w14:textId="77777777" w:rsidTr="00CA5588">
        <w:tc>
          <w:tcPr>
            <w:tcW w:w="737" w:type="dxa"/>
            <w:vMerge/>
            <w:tcBorders>
              <w:top w:val="single" w:sz="4" w:space="0" w:color="auto"/>
              <w:left w:val="single" w:sz="4" w:space="0" w:color="auto"/>
              <w:bottom w:val="single" w:sz="4" w:space="0" w:color="auto"/>
              <w:right w:val="single" w:sz="4" w:space="0" w:color="auto"/>
            </w:tcBorders>
          </w:tcPr>
          <w:p w14:paraId="14C056FE" w14:textId="77777777" w:rsidR="00B35B3E" w:rsidRPr="00B35B3E" w:rsidRDefault="00B35B3E" w:rsidP="00B35B3E">
            <w:pPr>
              <w:autoSpaceDE w:val="0"/>
              <w:autoSpaceDN w:val="0"/>
              <w:adjustRightInd w:val="0"/>
              <w:jc w:val="center"/>
              <w:rPr>
                <w:rFonts w:eastAsia="Calibri"/>
                <w:lang w:eastAsia="en-US"/>
              </w:rPr>
            </w:pPr>
          </w:p>
        </w:tc>
        <w:tc>
          <w:tcPr>
            <w:tcW w:w="5075" w:type="dxa"/>
            <w:tcBorders>
              <w:top w:val="single" w:sz="4" w:space="0" w:color="auto"/>
              <w:left w:val="single" w:sz="4" w:space="0" w:color="auto"/>
              <w:bottom w:val="single" w:sz="4" w:space="0" w:color="auto"/>
              <w:right w:val="single" w:sz="4" w:space="0" w:color="auto"/>
            </w:tcBorders>
          </w:tcPr>
          <w:p w14:paraId="31D607BF"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Полупиковая зона</w:t>
            </w:r>
          </w:p>
        </w:tc>
        <w:tc>
          <w:tcPr>
            <w:tcW w:w="1843" w:type="dxa"/>
            <w:tcBorders>
              <w:top w:val="nil"/>
              <w:left w:val="single" w:sz="4" w:space="0" w:color="auto"/>
              <w:bottom w:val="single" w:sz="4" w:space="0" w:color="auto"/>
              <w:right w:val="single" w:sz="4" w:space="0" w:color="auto"/>
            </w:tcBorders>
            <w:shd w:val="clear" w:color="auto" w:fill="auto"/>
            <w:vAlign w:val="center"/>
          </w:tcPr>
          <w:p w14:paraId="7AF3EA13"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3,77</w:t>
            </w:r>
          </w:p>
        </w:tc>
        <w:tc>
          <w:tcPr>
            <w:tcW w:w="1838" w:type="dxa"/>
            <w:tcBorders>
              <w:top w:val="nil"/>
              <w:left w:val="nil"/>
              <w:bottom w:val="single" w:sz="4" w:space="0" w:color="auto"/>
              <w:right w:val="single" w:sz="4" w:space="0" w:color="auto"/>
            </w:tcBorders>
            <w:shd w:val="clear" w:color="auto" w:fill="auto"/>
            <w:vAlign w:val="center"/>
          </w:tcPr>
          <w:p w14:paraId="7A67C3E0"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3,96</w:t>
            </w:r>
          </w:p>
        </w:tc>
      </w:tr>
      <w:tr w:rsidR="00B35B3E" w:rsidRPr="00B35B3E" w14:paraId="2237187B" w14:textId="77777777" w:rsidTr="00CA5588">
        <w:tc>
          <w:tcPr>
            <w:tcW w:w="737" w:type="dxa"/>
            <w:vMerge/>
            <w:tcBorders>
              <w:top w:val="single" w:sz="4" w:space="0" w:color="auto"/>
              <w:left w:val="single" w:sz="4" w:space="0" w:color="auto"/>
              <w:bottom w:val="single" w:sz="4" w:space="0" w:color="auto"/>
              <w:right w:val="single" w:sz="4" w:space="0" w:color="auto"/>
            </w:tcBorders>
          </w:tcPr>
          <w:p w14:paraId="150629EB" w14:textId="77777777" w:rsidR="00B35B3E" w:rsidRPr="00B35B3E" w:rsidRDefault="00B35B3E" w:rsidP="00B35B3E">
            <w:pPr>
              <w:autoSpaceDE w:val="0"/>
              <w:autoSpaceDN w:val="0"/>
              <w:adjustRightInd w:val="0"/>
              <w:jc w:val="center"/>
              <w:rPr>
                <w:rFonts w:eastAsia="Calibri"/>
                <w:lang w:eastAsia="en-US"/>
              </w:rPr>
            </w:pPr>
          </w:p>
        </w:tc>
        <w:tc>
          <w:tcPr>
            <w:tcW w:w="5075" w:type="dxa"/>
            <w:tcBorders>
              <w:top w:val="single" w:sz="4" w:space="0" w:color="auto"/>
              <w:left w:val="single" w:sz="4" w:space="0" w:color="auto"/>
              <w:bottom w:val="single" w:sz="4" w:space="0" w:color="auto"/>
              <w:right w:val="single" w:sz="4" w:space="0" w:color="auto"/>
            </w:tcBorders>
          </w:tcPr>
          <w:p w14:paraId="2882C61C"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Ночная зона</w:t>
            </w:r>
          </w:p>
        </w:tc>
        <w:tc>
          <w:tcPr>
            <w:tcW w:w="1843" w:type="dxa"/>
            <w:tcBorders>
              <w:top w:val="nil"/>
              <w:left w:val="single" w:sz="4" w:space="0" w:color="auto"/>
              <w:bottom w:val="single" w:sz="4" w:space="0" w:color="auto"/>
              <w:right w:val="single" w:sz="4" w:space="0" w:color="auto"/>
            </w:tcBorders>
            <w:shd w:val="clear" w:color="auto" w:fill="auto"/>
            <w:vAlign w:val="center"/>
          </w:tcPr>
          <w:p w14:paraId="3BF6DA51"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2,45</w:t>
            </w:r>
          </w:p>
        </w:tc>
        <w:tc>
          <w:tcPr>
            <w:tcW w:w="1838" w:type="dxa"/>
            <w:tcBorders>
              <w:top w:val="nil"/>
              <w:left w:val="nil"/>
              <w:bottom w:val="single" w:sz="4" w:space="0" w:color="auto"/>
              <w:right w:val="single" w:sz="4" w:space="0" w:color="auto"/>
            </w:tcBorders>
            <w:shd w:val="clear" w:color="auto" w:fill="auto"/>
            <w:vAlign w:val="center"/>
          </w:tcPr>
          <w:p w14:paraId="08222D78"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2,57</w:t>
            </w:r>
          </w:p>
        </w:tc>
      </w:tr>
    </w:tbl>
    <w:p w14:paraId="36B2EFE4" w14:textId="77777777" w:rsidR="00B35B3E" w:rsidRPr="00B35B3E" w:rsidRDefault="00B35B3E" w:rsidP="00B35B3E">
      <w:pPr>
        <w:ind w:firstLine="708"/>
      </w:pPr>
    </w:p>
    <w:p w14:paraId="09A9C311" w14:textId="77777777" w:rsidR="00B35B3E" w:rsidRPr="00B35B3E" w:rsidRDefault="00B35B3E" w:rsidP="00B35B3E">
      <w:pPr>
        <w:ind w:firstLine="708"/>
        <w:rPr>
          <w:sz w:val="28"/>
          <w:szCs w:val="28"/>
        </w:rPr>
      </w:pPr>
      <w:r w:rsidRPr="00B35B3E">
        <w:rPr>
          <w:sz w:val="28"/>
          <w:szCs w:val="28"/>
        </w:rPr>
        <w:t>Примечание:</w:t>
      </w:r>
    </w:p>
    <w:p w14:paraId="50AD105B" w14:textId="77777777" w:rsidR="00B35B3E" w:rsidRPr="00B35B3E" w:rsidRDefault="00B35B3E" w:rsidP="00B35B3E">
      <w:pPr>
        <w:ind w:firstLine="708"/>
        <w:jc w:val="both"/>
        <w:rPr>
          <w:sz w:val="28"/>
          <w:szCs w:val="28"/>
        </w:rPr>
      </w:pPr>
      <w:r w:rsidRPr="00B35B3E">
        <w:rPr>
          <w:sz w:val="28"/>
          <w:szCs w:val="28"/>
        </w:rPr>
        <w:t>1. Балансовые показатели планового объема полезного отпуска электрической энергии, используемые при расчете тарифов на электрическую энергию для населения и приравненных к нему категорий потребителей Кемеровской области-Кузбасса на 2022 год приведены в Таблице 1.</w:t>
      </w:r>
    </w:p>
    <w:p w14:paraId="1A596135" w14:textId="77777777" w:rsidR="00B35B3E" w:rsidRPr="00B35B3E" w:rsidRDefault="00B35B3E" w:rsidP="00B35B3E">
      <w:pPr>
        <w:ind w:firstLine="708"/>
        <w:jc w:val="both"/>
      </w:pPr>
      <w:r w:rsidRPr="00B35B3E">
        <w:rPr>
          <w:sz w:val="28"/>
          <w:szCs w:val="28"/>
        </w:rPr>
        <w:t>2. Примененные понижающие коэффициенты при установлении тарифов на электрическую энергию для населения и приравненных к нему</w:t>
      </w:r>
      <w:r w:rsidRPr="00B35B3E">
        <w:rPr>
          <w:sz w:val="28"/>
          <w:szCs w:val="28"/>
        </w:rPr>
        <w:br/>
        <w:t>категорий потребителей Кемеровской области - Кузбасса на 2022 год приведены в Таблице 2</w:t>
      </w:r>
      <w:r w:rsidRPr="00B35B3E">
        <w:t>.</w:t>
      </w:r>
    </w:p>
    <w:p w14:paraId="71F2E22D" w14:textId="77777777" w:rsidR="00B35B3E" w:rsidRPr="00B35B3E" w:rsidRDefault="00B35B3E" w:rsidP="00B35B3E">
      <w:pPr>
        <w:spacing w:after="160" w:line="259" w:lineRule="auto"/>
        <w:rPr>
          <w:rFonts w:ascii="Calibri" w:eastAsia="Calibri" w:hAnsi="Calibri"/>
          <w:sz w:val="22"/>
          <w:szCs w:val="22"/>
          <w:lang w:eastAsia="en-US"/>
        </w:rPr>
        <w:sectPr w:rsidR="00B35B3E" w:rsidRPr="00B35B3E">
          <w:pgSz w:w="11906" w:h="16838"/>
          <w:pgMar w:top="1134" w:right="850" w:bottom="1134" w:left="1701" w:header="708" w:footer="708" w:gutter="0"/>
          <w:cols w:space="708"/>
          <w:docGrid w:linePitch="360"/>
        </w:sectPr>
      </w:pPr>
    </w:p>
    <w:p w14:paraId="0DDBD3D5" w14:textId="77777777" w:rsidR="00B35B3E" w:rsidRPr="00B35B3E" w:rsidRDefault="00B35B3E" w:rsidP="00B35B3E">
      <w:pPr>
        <w:autoSpaceDE w:val="0"/>
        <w:autoSpaceDN w:val="0"/>
        <w:adjustRightInd w:val="0"/>
        <w:jc w:val="right"/>
        <w:outlineLvl w:val="0"/>
        <w:rPr>
          <w:rFonts w:eastAsia="Calibri"/>
          <w:sz w:val="28"/>
          <w:szCs w:val="28"/>
          <w:lang w:eastAsia="en-US"/>
        </w:rPr>
      </w:pPr>
      <w:r w:rsidRPr="00B35B3E">
        <w:rPr>
          <w:rFonts w:eastAsia="Calibri"/>
          <w:sz w:val="28"/>
          <w:szCs w:val="28"/>
          <w:lang w:eastAsia="en-US"/>
        </w:rPr>
        <w:t>Таблица 1</w:t>
      </w:r>
    </w:p>
    <w:p w14:paraId="455A530B" w14:textId="77777777" w:rsidR="00B35B3E" w:rsidRPr="00B35B3E" w:rsidRDefault="00B35B3E" w:rsidP="00B35B3E">
      <w:pPr>
        <w:autoSpaceDE w:val="0"/>
        <w:autoSpaceDN w:val="0"/>
        <w:adjustRightInd w:val="0"/>
        <w:jc w:val="center"/>
        <w:rPr>
          <w:rFonts w:eastAsia="Calibri"/>
          <w:sz w:val="28"/>
          <w:szCs w:val="28"/>
          <w:lang w:eastAsia="en-US"/>
        </w:rPr>
      </w:pPr>
    </w:p>
    <w:p w14:paraId="35309D78" w14:textId="77777777" w:rsidR="00B35B3E" w:rsidRPr="00B35B3E" w:rsidRDefault="00B35B3E" w:rsidP="00B35B3E">
      <w:pPr>
        <w:autoSpaceDE w:val="0"/>
        <w:autoSpaceDN w:val="0"/>
        <w:adjustRightInd w:val="0"/>
        <w:jc w:val="center"/>
        <w:rPr>
          <w:rFonts w:eastAsia="Calibri"/>
          <w:sz w:val="28"/>
          <w:szCs w:val="28"/>
          <w:lang w:eastAsia="en-US"/>
        </w:rPr>
      </w:pPr>
      <w:r w:rsidRPr="00B35B3E">
        <w:rPr>
          <w:rFonts w:eastAsia="Calibri"/>
          <w:sz w:val="28"/>
          <w:szCs w:val="28"/>
          <w:lang w:eastAsia="en-US"/>
        </w:rPr>
        <w:t>Балансовые показатели планового объема полезного</w:t>
      </w:r>
    </w:p>
    <w:p w14:paraId="2515E195" w14:textId="77777777" w:rsidR="00B35B3E" w:rsidRPr="00B35B3E" w:rsidRDefault="00B35B3E" w:rsidP="00B35B3E">
      <w:pPr>
        <w:autoSpaceDE w:val="0"/>
        <w:autoSpaceDN w:val="0"/>
        <w:adjustRightInd w:val="0"/>
        <w:jc w:val="center"/>
        <w:rPr>
          <w:rFonts w:eastAsia="Calibri"/>
          <w:sz w:val="28"/>
          <w:szCs w:val="28"/>
          <w:lang w:eastAsia="en-US"/>
        </w:rPr>
      </w:pPr>
      <w:r w:rsidRPr="00B35B3E">
        <w:rPr>
          <w:rFonts w:eastAsia="Calibri"/>
          <w:sz w:val="28"/>
          <w:szCs w:val="28"/>
          <w:lang w:eastAsia="en-US"/>
        </w:rPr>
        <w:t>отпуска электрической энергии, используемые при расчете цен</w:t>
      </w:r>
    </w:p>
    <w:p w14:paraId="537BD490" w14:textId="77777777" w:rsidR="00B35B3E" w:rsidRPr="00B35B3E" w:rsidRDefault="00B35B3E" w:rsidP="00B35B3E">
      <w:pPr>
        <w:autoSpaceDE w:val="0"/>
        <w:autoSpaceDN w:val="0"/>
        <w:adjustRightInd w:val="0"/>
        <w:jc w:val="center"/>
        <w:rPr>
          <w:rFonts w:eastAsia="Calibri"/>
          <w:sz w:val="28"/>
          <w:szCs w:val="28"/>
          <w:lang w:eastAsia="en-US"/>
        </w:rPr>
      </w:pPr>
      <w:r w:rsidRPr="00B35B3E">
        <w:rPr>
          <w:rFonts w:eastAsia="Calibri"/>
          <w:sz w:val="28"/>
          <w:szCs w:val="28"/>
          <w:lang w:eastAsia="en-US"/>
        </w:rPr>
        <w:t>(тарифов) на электрическую энергию для населения</w:t>
      </w:r>
    </w:p>
    <w:p w14:paraId="5096846F" w14:textId="77777777" w:rsidR="00B35B3E" w:rsidRPr="00B35B3E" w:rsidRDefault="00B35B3E" w:rsidP="00B35B3E">
      <w:pPr>
        <w:autoSpaceDE w:val="0"/>
        <w:autoSpaceDN w:val="0"/>
        <w:adjustRightInd w:val="0"/>
        <w:jc w:val="center"/>
        <w:rPr>
          <w:rFonts w:eastAsia="Calibri"/>
          <w:sz w:val="28"/>
          <w:szCs w:val="28"/>
          <w:lang w:eastAsia="en-US"/>
        </w:rPr>
      </w:pPr>
      <w:r w:rsidRPr="00B35B3E">
        <w:rPr>
          <w:rFonts w:eastAsia="Calibri"/>
          <w:sz w:val="28"/>
          <w:szCs w:val="28"/>
          <w:lang w:eastAsia="en-US"/>
        </w:rPr>
        <w:t>и приравненных к нему категорий потребителей</w:t>
      </w:r>
    </w:p>
    <w:p w14:paraId="39637449" w14:textId="77777777" w:rsidR="00B35B3E" w:rsidRPr="00B35B3E" w:rsidRDefault="00B35B3E" w:rsidP="00B35B3E">
      <w:pPr>
        <w:autoSpaceDE w:val="0"/>
        <w:autoSpaceDN w:val="0"/>
        <w:adjustRightInd w:val="0"/>
        <w:jc w:val="center"/>
        <w:rPr>
          <w:sz w:val="28"/>
          <w:szCs w:val="20"/>
        </w:rPr>
      </w:pPr>
      <w:r w:rsidRPr="00B35B3E">
        <w:rPr>
          <w:sz w:val="28"/>
          <w:szCs w:val="20"/>
        </w:rPr>
        <w:t>Кемеровской области - Кузбасса на 2022 год</w:t>
      </w:r>
    </w:p>
    <w:p w14:paraId="3770E5D1" w14:textId="77777777" w:rsidR="00B35B3E" w:rsidRPr="00B35B3E" w:rsidRDefault="00B35B3E" w:rsidP="00B35B3E">
      <w:pPr>
        <w:autoSpaceDE w:val="0"/>
        <w:autoSpaceDN w:val="0"/>
        <w:adjustRightInd w:val="0"/>
        <w:jc w:val="center"/>
        <w:rPr>
          <w:rFonts w:eastAsia="Calibri"/>
          <w:sz w:val="16"/>
          <w:szCs w:val="16"/>
          <w:lang w:eastAsia="en-US"/>
        </w:rPr>
      </w:pP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510"/>
        <w:gridCol w:w="5669"/>
        <w:gridCol w:w="1754"/>
        <w:gridCol w:w="1701"/>
      </w:tblGrid>
      <w:tr w:rsidR="00B35B3E" w:rsidRPr="00B35B3E" w14:paraId="794E0F34" w14:textId="77777777" w:rsidTr="00CA5588">
        <w:tc>
          <w:tcPr>
            <w:tcW w:w="510" w:type="dxa"/>
            <w:vMerge w:val="restart"/>
            <w:tcBorders>
              <w:top w:val="single" w:sz="4" w:space="0" w:color="auto"/>
              <w:left w:val="single" w:sz="4" w:space="0" w:color="auto"/>
              <w:bottom w:val="single" w:sz="4" w:space="0" w:color="auto"/>
              <w:right w:val="single" w:sz="4" w:space="0" w:color="auto"/>
            </w:tcBorders>
            <w:vAlign w:val="center"/>
          </w:tcPr>
          <w:p w14:paraId="012D5FD7"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 п/п</w:t>
            </w:r>
          </w:p>
        </w:tc>
        <w:tc>
          <w:tcPr>
            <w:tcW w:w="5669" w:type="dxa"/>
            <w:vMerge w:val="restart"/>
            <w:tcBorders>
              <w:top w:val="single" w:sz="4" w:space="0" w:color="auto"/>
              <w:left w:val="single" w:sz="4" w:space="0" w:color="auto"/>
              <w:bottom w:val="single" w:sz="4" w:space="0" w:color="auto"/>
              <w:right w:val="single" w:sz="4" w:space="0" w:color="auto"/>
            </w:tcBorders>
            <w:vAlign w:val="center"/>
          </w:tcPr>
          <w:p w14:paraId="44C27793"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Категории потребителей</w:t>
            </w:r>
          </w:p>
        </w:tc>
        <w:tc>
          <w:tcPr>
            <w:tcW w:w="3455" w:type="dxa"/>
            <w:gridSpan w:val="2"/>
            <w:tcBorders>
              <w:top w:val="single" w:sz="4" w:space="0" w:color="auto"/>
              <w:left w:val="single" w:sz="4" w:space="0" w:color="auto"/>
              <w:bottom w:val="single" w:sz="4" w:space="0" w:color="auto"/>
              <w:right w:val="single" w:sz="4" w:space="0" w:color="auto"/>
            </w:tcBorders>
            <w:vAlign w:val="center"/>
          </w:tcPr>
          <w:p w14:paraId="73720C48"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Плановый объем полезного отпуска электрической энергии, млн. кВт·ч</w:t>
            </w:r>
          </w:p>
        </w:tc>
      </w:tr>
      <w:tr w:rsidR="00B35B3E" w:rsidRPr="00B35B3E" w14:paraId="2A884507" w14:textId="77777777" w:rsidTr="00CA5588">
        <w:tc>
          <w:tcPr>
            <w:tcW w:w="510" w:type="dxa"/>
            <w:vMerge/>
            <w:tcBorders>
              <w:top w:val="single" w:sz="4" w:space="0" w:color="auto"/>
              <w:left w:val="single" w:sz="4" w:space="0" w:color="auto"/>
              <w:bottom w:val="single" w:sz="4" w:space="0" w:color="auto"/>
              <w:right w:val="single" w:sz="4" w:space="0" w:color="auto"/>
            </w:tcBorders>
            <w:vAlign w:val="center"/>
          </w:tcPr>
          <w:p w14:paraId="42AA3135" w14:textId="77777777" w:rsidR="00B35B3E" w:rsidRPr="00B35B3E" w:rsidRDefault="00B35B3E" w:rsidP="00B35B3E">
            <w:pPr>
              <w:autoSpaceDE w:val="0"/>
              <w:autoSpaceDN w:val="0"/>
              <w:adjustRightInd w:val="0"/>
              <w:jc w:val="center"/>
              <w:rPr>
                <w:rFonts w:eastAsia="Calibri"/>
                <w:lang w:eastAsia="en-US"/>
              </w:rPr>
            </w:pPr>
          </w:p>
        </w:tc>
        <w:tc>
          <w:tcPr>
            <w:tcW w:w="5669" w:type="dxa"/>
            <w:vMerge/>
            <w:tcBorders>
              <w:top w:val="single" w:sz="4" w:space="0" w:color="auto"/>
              <w:left w:val="single" w:sz="4" w:space="0" w:color="auto"/>
              <w:bottom w:val="single" w:sz="4" w:space="0" w:color="auto"/>
              <w:right w:val="single" w:sz="4" w:space="0" w:color="auto"/>
            </w:tcBorders>
            <w:vAlign w:val="center"/>
          </w:tcPr>
          <w:p w14:paraId="162E86B6" w14:textId="77777777" w:rsidR="00B35B3E" w:rsidRPr="00B35B3E" w:rsidRDefault="00B35B3E" w:rsidP="00B35B3E">
            <w:pPr>
              <w:autoSpaceDE w:val="0"/>
              <w:autoSpaceDN w:val="0"/>
              <w:adjustRightInd w:val="0"/>
              <w:jc w:val="center"/>
              <w:rPr>
                <w:rFonts w:eastAsia="Calibri"/>
                <w:lang w:eastAsia="en-US"/>
              </w:rPr>
            </w:pPr>
          </w:p>
        </w:tc>
        <w:tc>
          <w:tcPr>
            <w:tcW w:w="1754" w:type="dxa"/>
            <w:tcBorders>
              <w:top w:val="single" w:sz="4" w:space="0" w:color="auto"/>
              <w:left w:val="single" w:sz="4" w:space="0" w:color="auto"/>
              <w:bottom w:val="single" w:sz="4" w:space="0" w:color="auto"/>
              <w:right w:val="single" w:sz="4" w:space="0" w:color="auto"/>
            </w:tcBorders>
            <w:vAlign w:val="center"/>
          </w:tcPr>
          <w:p w14:paraId="11F2C066"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I полугодие</w:t>
            </w:r>
          </w:p>
        </w:tc>
        <w:tc>
          <w:tcPr>
            <w:tcW w:w="1701" w:type="dxa"/>
            <w:tcBorders>
              <w:top w:val="single" w:sz="4" w:space="0" w:color="auto"/>
              <w:left w:val="single" w:sz="4" w:space="0" w:color="auto"/>
              <w:bottom w:val="single" w:sz="4" w:space="0" w:color="auto"/>
              <w:right w:val="single" w:sz="4" w:space="0" w:color="auto"/>
            </w:tcBorders>
            <w:vAlign w:val="center"/>
          </w:tcPr>
          <w:p w14:paraId="28CBB916"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II полугодие</w:t>
            </w:r>
          </w:p>
        </w:tc>
      </w:tr>
      <w:tr w:rsidR="00B35B3E" w:rsidRPr="00B35B3E" w14:paraId="65D74A4A" w14:textId="77777777" w:rsidTr="00CA5588">
        <w:tc>
          <w:tcPr>
            <w:tcW w:w="510" w:type="dxa"/>
            <w:tcBorders>
              <w:top w:val="single" w:sz="4" w:space="0" w:color="auto"/>
              <w:left w:val="single" w:sz="4" w:space="0" w:color="auto"/>
              <w:bottom w:val="single" w:sz="4" w:space="0" w:color="auto"/>
              <w:right w:val="single" w:sz="4" w:space="0" w:color="auto"/>
            </w:tcBorders>
            <w:vAlign w:val="center"/>
          </w:tcPr>
          <w:p w14:paraId="48CCF4AF"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1</w:t>
            </w:r>
          </w:p>
        </w:tc>
        <w:tc>
          <w:tcPr>
            <w:tcW w:w="5669" w:type="dxa"/>
            <w:tcBorders>
              <w:top w:val="single" w:sz="4" w:space="0" w:color="auto"/>
              <w:left w:val="single" w:sz="4" w:space="0" w:color="auto"/>
              <w:bottom w:val="single" w:sz="4" w:space="0" w:color="auto"/>
              <w:right w:val="single" w:sz="4" w:space="0" w:color="auto"/>
            </w:tcBorders>
            <w:vAlign w:val="center"/>
          </w:tcPr>
          <w:p w14:paraId="79D3C0ED"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2</w:t>
            </w:r>
          </w:p>
        </w:tc>
        <w:tc>
          <w:tcPr>
            <w:tcW w:w="1754" w:type="dxa"/>
            <w:tcBorders>
              <w:top w:val="single" w:sz="4" w:space="0" w:color="auto"/>
              <w:left w:val="single" w:sz="4" w:space="0" w:color="auto"/>
              <w:bottom w:val="single" w:sz="4" w:space="0" w:color="auto"/>
              <w:right w:val="single" w:sz="4" w:space="0" w:color="auto"/>
            </w:tcBorders>
            <w:vAlign w:val="center"/>
          </w:tcPr>
          <w:p w14:paraId="4B9D3EC1"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3</w:t>
            </w:r>
          </w:p>
        </w:tc>
        <w:tc>
          <w:tcPr>
            <w:tcW w:w="1701" w:type="dxa"/>
            <w:tcBorders>
              <w:top w:val="single" w:sz="4" w:space="0" w:color="auto"/>
              <w:left w:val="single" w:sz="4" w:space="0" w:color="auto"/>
              <w:bottom w:val="single" w:sz="4" w:space="0" w:color="auto"/>
              <w:right w:val="single" w:sz="4" w:space="0" w:color="auto"/>
            </w:tcBorders>
            <w:vAlign w:val="center"/>
          </w:tcPr>
          <w:p w14:paraId="6A7D594A"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4</w:t>
            </w:r>
          </w:p>
        </w:tc>
      </w:tr>
      <w:tr w:rsidR="00B35B3E" w:rsidRPr="00B35B3E" w14:paraId="0FB57785" w14:textId="77777777" w:rsidTr="00CA5588">
        <w:tc>
          <w:tcPr>
            <w:tcW w:w="510" w:type="dxa"/>
            <w:tcBorders>
              <w:top w:val="single" w:sz="4" w:space="0" w:color="auto"/>
              <w:left w:val="single" w:sz="4" w:space="0" w:color="auto"/>
              <w:bottom w:val="single" w:sz="4" w:space="0" w:color="auto"/>
              <w:right w:val="single" w:sz="4" w:space="0" w:color="auto"/>
            </w:tcBorders>
          </w:tcPr>
          <w:p w14:paraId="0F49F3FE"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1</w:t>
            </w:r>
          </w:p>
        </w:tc>
        <w:tc>
          <w:tcPr>
            <w:tcW w:w="5669" w:type="dxa"/>
            <w:tcBorders>
              <w:top w:val="single" w:sz="4" w:space="0" w:color="auto"/>
              <w:left w:val="single" w:sz="4" w:space="0" w:color="auto"/>
              <w:bottom w:val="single" w:sz="4" w:space="0" w:color="auto"/>
              <w:right w:val="single" w:sz="4" w:space="0" w:color="auto"/>
            </w:tcBorders>
          </w:tcPr>
          <w:p w14:paraId="23221B76"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Население и приравненные к нему, за исключением населения и потребителей, указанных в строках 2 - 5:</w:t>
            </w:r>
          </w:p>
          <w:p w14:paraId="6E843C94"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6214FB3D"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59F74E91"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c>
          <w:tcPr>
            <w:tcW w:w="1754" w:type="dxa"/>
            <w:tcBorders>
              <w:top w:val="single" w:sz="4" w:space="0" w:color="auto"/>
              <w:left w:val="single" w:sz="4" w:space="0" w:color="auto"/>
              <w:bottom w:val="single" w:sz="4" w:space="0" w:color="auto"/>
              <w:right w:val="single" w:sz="4" w:space="0" w:color="auto"/>
            </w:tcBorders>
            <w:vAlign w:val="center"/>
          </w:tcPr>
          <w:p w14:paraId="7F8DF0BB"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55,9888</w:t>
            </w:r>
          </w:p>
        </w:tc>
        <w:tc>
          <w:tcPr>
            <w:tcW w:w="1701" w:type="dxa"/>
            <w:tcBorders>
              <w:top w:val="single" w:sz="4" w:space="0" w:color="auto"/>
              <w:left w:val="single" w:sz="4" w:space="0" w:color="auto"/>
              <w:bottom w:val="single" w:sz="4" w:space="0" w:color="auto"/>
              <w:right w:val="single" w:sz="4" w:space="0" w:color="auto"/>
            </w:tcBorders>
            <w:vAlign w:val="center"/>
          </w:tcPr>
          <w:p w14:paraId="035930E5"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49,6342</w:t>
            </w:r>
          </w:p>
        </w:tc>
      </w:tr>
    </w:tbl>
    <w:p w14:paraId="3FB6D0E1" w14:textId="77777777" w:rsidR="00B35B3E" w:rsidRPr="00B35B3E" w:rsidRDefault="00B35B3E" w:rsidP="00B35B3E">
      <w:pPr>
        <w:autoSpaceDE w:val="0"/>
        <w:autoSpaceDN w:val="0"/>
        <w:adjustRightInd w:val="0"/>
        <w:rPr>
          <w:rFonts w:eastAsia="Calibri"/>
          <w:lang w:eastAsia="en-US"/>
        </w:rPr>
        <w:sectPr w:rsidR="00B35B3E" w:rsidRPr="00B35B3E" w:rsidSect="00CA5588">
          <w:pgSz w:w="11906" w:h="16838"/>
          <w:pgMar w:top="1134" w:right="850" w:bottom="851" w:left="1560" w:header="708" w:footer="708" w:gutter="0"/>
          <w:cols w:space="708"/>
          <w:docGrid w:linePitch="360"/>
        </w:sectPr>
      </w:pP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510"/>
        <w:gridCol w:w="5669"/>
        <w:gridCol w:w="1754"/>
        <w:gridCol w:w="1701"/>
      </w:tblGrid>
      <w:tr w:rsidR="00B35B3E" w:rsidRPr="00B35B3E" w14:paraId="4941E2D0" w14:textId="77777777" w:rsidTr="00CA5588">
        <w:trPr>
          <w:tblHeader/>
        </w:trPr>
        <w:tc>
          <w:tcPr>
            <w:tcW w:w="510" w:type="dxa"/>
            <w:tcBorders>
              <w:top w:val="single" w:sz="4" w:space="0" w:color="auto"/>
              <w:left w:val="single" w:sz="4" w:space="0" w:color="auto"/>
              <w:bottom w:val="single" w:sz="4" w:space="0" w:color="auto"/>
              <w:right w:val="single" w:sz="4" w:space="0" w:color="auto"/>
            </w:tcBorders>
          </w:tcPr>
          <w:p w14:paraId="63781DFB"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1</w:t>
            </w:r>
          </w:p>
        </w:tc>
        <w:tc>
          <w:tcPr>
            <w:tcW w:w="5669" w:type="dxa"/>
            <w:tcBorders>
              <w:top w:val="single" w:sz="4" w:space="0" w:color="auto"/>
              <w:left w:val="single" w:sz="4" w:space="0" w:color="auto"/>
              <w:bottom w:val="single" w:sz="4" w:space="0" w:color="auto"/>
              <w:right w:val="single" w:sz="4" w:space="0" w:color="auto"/>
            </w:tcBorders>
          </w:tcPr>
          <w:p w14:paraId="122302A6" w14:textId="77777777" w:rsidR="00B35B3E" w:rsidRPr="00B35B3E" w:rsidRDefault="00B35B3E" w:rsidP="00B35B3E">
            <w:pPr>
              <w:autoSpaceDE w:val="0"/>
              <w:autoSpaceDN w:val="0"/>
              <w:adjustRightInd w:val="0"/>
              <w:ind w:firstLine="283"/>
              <w:jc w:val="center"/>
              <w:rPr>
                <w:rFonts w:eastAsia="Calibri"/>
                <w:lang w:eastAsia="en-US"/>
              </w:rPr>
            </w:pPr>
            <w:r w:rsidRPr="00B35B3E">
              <w:rPr>
                <w:rFonts w:eastAsia="Calibri"/>
                <w:lang w:eastAsia="en-US"/>
              </w:rPr>
              <w:t>2</w:t>
            </w:r>
          </w:p>
        </w:tc>
        <w:tc>
          <w:tcPr>
            <w:tcW w:w="1754" w:type="dxa"/>
            <w:tcBorders>
              <w:top w:val="single" w:sz="4" w:space="0" w:color="auto"/>
              <w:left w:val="single" w:sz="4" w:space="0" w:color="auto"/>
              <w:bottom w:val="single" w:sz="4" w:space="0" w:color="auto"/>
              <w:right w:val="single" w:sz="4" w:space="0" w:color="auto"/>
            </w:tcBorders>
          </w:tcPr>
          <w:p w14:paraId="64295353"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3</w:t>
            </w:r>
          </w:p>
        </w:tc>
        <w:tc>
          <w:tcPr>
            <w:tcW w:w="1701" w:type="dxa"/>
            <w:tcBorders>
              <w:top w:val="single" w:sz="4" w:space="0" w:color="auto"/>
              <w:left w:val="single" w:sz="4" w:space="0" w:color="auto"/>
              <w:bottom w:val="single" w:sz="4" w:space="0" w:color="auto"/>
              <w:right w:val="single" w:sz="4" w:space="0" w:color="auto"/>
            </w:tcBorders>
          </w:tcPr>
          <w:p w14:paraId="206E79C3"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4</w:t>
            </w:r>
          </w:p>
        </w:tc>
      </w:tr>
      <w:tr w:rsidR="00B35B3E" w:rsidRPr="00B35B3E" w14:paraId="1F36723D" w14:textId="77777777" w:rsidTr="00CA5588">
        <w:tc>
          <w:tcPr>
            <w:tcW w:w="510" w:type="dxa"/>
            <w:tcBorders>
              <w:top w:val="single" w:sz="4" w:space="0" w:color="auto"/>
              <w:left w:val="single" w:sz="4" w:space="0" w:color="auto"/>
              <w:bottom w:val="single" w:sz="4" w:space="0" w:color="auto"/>
              <w:right w:val="single" w:sz="4" w:space="0" w:color="auto"/>
            </w:tcBorders>
          </w:tcPr>
          <w:p w14:paraId="7FA72F82"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2</w:t>
            </w:r>
          </w:p>
        </w:tc>
        <w:tc>
          <w:tcPr>
            <w:tcW w:w="5669" w:type="dxa"/>
            <w:tcBorders>
              <w:top w:val="single" w:sz="4" w:space="0" w:color="auto"/>
              <w:left w:val="single" w:sz="4" w:space="0" w:color="auto"/>
              <w:bottom w:val="single" w:sz="4" w:space="0" w:color="auto"/>
              <w:right w:val="single" w:sz="4" w:space="0" w:color="auto"/>
            </w:tcBorders>
          </w:tcPr>
          <w:p w14:paraId="4BD68849"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Население, проживающее в городских населенных пунктах в домах, оборудованных стационарными электроплитами и электроотопительными установками, и приравненные к нему:</w:t>
            </w:r>
          </w:p>
          <w:p w14:paraId="00372E51"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5FF88C13"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5D22AD03"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c>
          <w:tcPr>
            <w:tcW w:w="1754" w:type="dxa"/>
            <w:tcBorders>
              <w:top w:val="single" w:sz="4" w:space="0" w:color="auto"/>
              <w:left w:val="single" w:sz="4" w:space="0" w:color="auto"/>
              <w:bottom w:val="single" w:sz="4" w:space="0" w:color="auto"/>
              <w:right w:val="single" w:sz="4" w:space="0" w:color="auto"/>
            </w:tcBorders>
            <w:vAlign w:val="center"/>
          </w:tcPr>
          <w:p w14:paraId="16543AD6"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8,5902</w:t>
            </w:r>
          </w:p>
        </w:tc>
        <w:tc>
          <w:tcPr>
            <w:tcW w:w="1701" w:type="dxa"/>
            <w:tcBorders>
              <w:top w:val="single" w:sz="4" w:space="0" w:color="auto"/>
              <w:left w:val="single" w:sz="4" w:space="0" w:color="auto"/>
              <w:bottom w:val="single" w:sz="4" w:space="0" w:color="auto"/>
              <w:right w:val="single" w:sz="4" w:space="0" w:color="auto"/>
            </w:tcBorders>
            <w:vAlign w:val="center"/>
          </w:tcPr>
          <w:p w14:paraId="3861E90D"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8,2545</w:t>
            </w:r>
          </w:p>
        </w:tc>
      </w:tr>
      <w:tr w:rsidR="00B35B3E" w:rsidRPr="00B35B3E" w14:paraId="4F5AEBD0" w14:textId="77777777" w:rsidTr="00CA5588">
        <w:tc>
          <w:tcPr>
            <w:tcW w:w="510" w:type="dxa"/>
            <w:tcBorders>
              <w:top w:val="single" w:sz="4" w:space="0" w:color="auto"/>
              <w:left w:val="single" w:sz="4" w:space="0" w:color="auto"/>
              <w:bottom w:val="single" w:sz="4" w:space="0" w:color="auto"/>
              <w:right w:val="single" w:sz="4" w:space="0" w:color="auto"/>
            </w:tcBorders>
          </w:tcPr>
          <w:p w14:paraId="06C951D3"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3</w:t>
            </w:r>
          </w:p>
        </w:tc>
        <w:tc>
          <w:tcPr>
            <w:tcW w:w="5669" w:type="dxa"/>
            <w:tcBorders>
              <w:top w:val="single" w:sz="4" w:space="0" w:color="auto"/>
              <w:left w:val="single" w:sz="4" w:space="0" w:color="auto"/>
              <w:bottom w:val="single" w:sz="4" w:space="0" w:color="auto"/>
              <w:right w:val="single" w:sz="4" w:space="0" w:color="auto"/>
            </w:tcBorders>
          </w:tcPr>
          <w:p w14:paraId="7454BFF3"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Население, проживающее в городских населенных пунктах в домах, оборудованных стационарными электроплитами и не оборудованных электроотопительными установками, и приравненные к нему:</w:t>
            </w:r>
          </w:p>
          <w:p w14:paraId="7254C53C"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391F87A8"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09A4116D"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c>
          <w:tcPr>
            <w:tcW w:w="1754" w:type="dxa"/>
            <w:tcBorders>
              <w:top w:val="single" w:sz="4" w:space="0" w:color="auto"/>
              <w:left w:val="single" w:sz="4" w:space="0" w:color="auto"/>
              <w:bottom w:val="single" w:sz="4" w:space="0" w:color="auto"/>
              <w:right w:val="single" w:sz="4" w:space="0" w:color="auto"/>
            </w:tcBorders>
            <w:vAlign w:val="center"/>
          </w:tcPr>
          <w:p w14:paraId="763D2A75" w14:textId="77777777" w:rsidR="00B35B3E" w:rsidRPr="00B35B3E" w:rsidRDefault="00B35B3E" w:rsidP="00B35B3E">
            <w:pPr>
              <w:autoSpaceDE w:val="0"/>
              <w:autoSpaceDN w:val="0"/>
              <w:adjustRightInd w:val="0"/>
              <w:jc w:val="center"/>
              <w:rPr>
                <w:rFonts w:eastAsia="Calibri"/>
                <w:lang w:eastAsia="en-US"/>
              </w:rPr>
            </w:pPr>
            <w:r w:rsidRPr="00B35B3E">
              <w:rPr>
                <w:sz w:val="22"/>
                <w:szCs w:val="22"/>
              </w:rPr>
              <w:t>1 206,5452</w:t>
            </w:r>
          </w:p>
        </w:tc>
        <w:tc>
          <w:tcPr>
            <w:tcW w:w="1701" w:type="dxa"/>
            <w:tcBorders>
              <w:top w:val="single" w:sz="4" w:space="0" w:color="auto"/>
              <w:left w:val="single" w:sz="4" w:space="0" w:color="auto"/>
              <w:bottom w:val="single" w:sz="4" w:space="0" w:color="auto"/>
              <w:right w:val="single" w:sz="4" w:space="0" w:color="auto"/>
            </w:tcBorders>
            <w:vAlign w:val="center"/>
          </w:tcPr>
          <w:p w14:paraId="2392BC9F" w14:textId="77777777" w:rsidR="00B35B3E" w:rsidRPr="00B35B3E" w:rsidRDefault="00B35B3E" w:rsidP="00B35B3E">
            <w:pPr>
              <w:autoSpaceDE w:val="0"/>
              <w:autoSpaceDN w:val="0"/>
              <w:adjustRightInd w:val="0"/>
              <w:jc w:val="center"/>
              <w:rPr>
                <w:rFonts w:eastAsia="Calibri"/>
                <w:lang w:eastAsia="en-US"/>
              </w:rPr>
            </w:pPr>
            <w:r w:rsidRPr="00B35B3E">
              <w:rPr>
                <w:sz w:val="22"/>
                <w:szCs w:val="22"/>
              </w:rPr>
              <w:t>1 152,5415</w:t>
            </w:r>
          </w:p>
        </w:tc>
      </w:tr>
      <w:tr w:rsidR="00B35B3E" w:rsidRPr="00B35B3E" w14:paraId="4B06C662" w14:textId="77777777" w:rsidTr="00CA5588">
        <w:tc>
          <w:tcPr>
            <w:tcW w:w="510" w:type="dxa"/>
            <w:tcBorders>
              <w:top w:val="single" w:sz="4" w:space="0" w:color="auto"/>
              <w:left w:val="single" w:sz="4" w:space="0" w:color="auto"/>
              <w:bottom w:val="single" w:sz="4" w:space="0" w:color="auto"/>
              <w:right w:val="single" w:sz="4" w:space="0" w:color="auto"/>
            </w:tcBorders>
          </w:tcPr>
          <w:p w14:paraId="6E157269"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4</w:t>
            </w:r>
          </w:p>
        </w:tc>
        <w:tc>
          <w:tcPr>
            <w:tcW w:w="5669" w:type="dxa"/>
            <w:tcBorders>
              <w:top w:val="single" w:sz="4" w:space="0" w:color="auto"/>
              <w:left w:val="single" w:sz="4" w:space="0" w:color="auto"/>
              <w:bottom w:val="single" w:sz="4" w:space="0" w:color="auto"/>
              <w:right w:val="single" w:sz="4" w:space="0" w:color="auto"/>
            </w:tcBorders>
          </w:tcPr>
          <w:p w14:paraId="47D31CE8"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Население, проживающее в городских населенных пунктах в домах, оборудованных электроотопительными установками и не оборудованных стационарными электроплитами, и приравненные к нему:</w:t>
            </w:r>
          </w:p>
          <w:p w14:paraId="0908C661"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30AF1F67"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495473AE"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c>
          <w:tcPr>
            <w:tcW w:w="1754" w:type="dxa"/>
            <w:tcBorders>
              <w:top w:val="single" w:sz="4" w:space="0" w:color="auto"/>
              <w:left w:val="single" w:sz="4" w:space="0" w:color="auto"/>
              <w:bottom w:val="single" w:sz="4" w:space="0" w:color="auto"/>
              <w:right w:val="single" w:sz="4" w:space="0" w:color="auto"/>
            </w:tcBorders>
            <w:vAlign w:val="center"/>
          </w:tcPr>
          <w:p w14:paraId="47E6BC11" w14:textId="77777777" w:rsidR="00B35B3E" w:rsidRPr="00B35B3E" w:rsidRDefault="00B35B3E" w:rsidP="00B35B3E">
            <w:pPr>
              <w:autoSpaceDE w:val="0"/>
              <w:autoSpaceDN w:val="0"/>
              <w:adjustRightInd w:val="0"/>
              <w:jc w:val="center"/>
              <w:rPr>
                <w:rFonts w:eastAsia="Calibri"/>
                <w:lang w:eastAsia="en-US"/>
              </w:rPr>
            </w:pPr>
            <w:r w:rsidRPr="00B35B3E">
              <w:rPr>
                <w:sz w:val="22"/>
                <w:szCs w:val="22"/>
              </w:rPr>
              <w:t>0,3359</w:t>
            </w:r>
          </w:p>
        </w:tc>
        <w:tc>
          <w:tcPr>
            <w:tcW w:w="1701" w:type="dxa"/>
            <w:tcBorders>
              <w:top w:val="single" w:sz="4" w:space="0" w:color="auto"/>
              <w:left w:val="single" w:sz="4" w:space="0" w:color="auto"/>
              <w:bottom w:val="single" w:sz="4" w:space="0" w:color="auto"/>
              <w:right w:val="single" w:sz="4" w:space="0" w:color="auto"/>
            </w:tcBorders>
            <w:vAlign w:val="center"/>
          </w:tcPr>
          <w:p w14:paraId="79C9BA8E" w14:textId="77777777" w:rsidR="00B35B3E" w:rsidRPr="00B35B3E" w:rsidRDefault="00B35B3E" w:rsidP="00B35B3E">
            <w:pPr>
              <w:autoSpaceDE w:val="0"/>
              <w:autoSpaceDN w:val="0"/>
              <w:adjustRightInd w:val="0"/>
              <w:jc w:val="center"/>
              <w:rPr>
                <w:rFonts w:eastAsia="Calibri"/>
                <w:lang w:eastAsia="en-US"/>
              </w:rPr>
            </w:pPr>
            <w:r w:rsidRPr="00B35B3E">
              <w:rPr>
                <w:sz w:val="22"/>
                <w:szCs w:val="22"/>
              </w:rPr>
              <w:t>0,3228</w:t>
            </w:r>
          </w:p>
        </w:tc>
      </w:tr>
      <w:tr w:rsidR="00B35B3E" w:rsidRPr="00B35B3E" w14:paraId="5AA2F896" w14:textId="77777777" w:rsidTr="00CA5588">
        <w:tc>
          <w:tcPr>
            <w:tcW w:w="510" w:type="dxa"/>
            <w:tcBorders>
              <w:top w:val="single" w:sz="4" w:space="0" w:color="auto"/>
              <w:left w:val="single" w:sz="4" w:space="0" w:color="auto"/>
              <w:bottom w:val="single" w:sz="4" w:space="0" w:color="auto"/>
              <w:right w:val="single" w:sz="4" w:space="0" w:color="auto"/>
            </w:tcBorders>
          </w:tcPr>
          <w:p w14:paraId="5DF56D8C"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5</w:t>
            </w:r>
          </w:p>
        </w:tc>
        <w:tc>
          <w:tcPr>
            <w:tcW w:w="5669" w:type="dxa"/>
            <w:tcBorders>
              <w:top w:val="single" w:sz="4" w:space="0" w:color="auto"/>
              <w:left w:val="single" w:sz="4" w:space="0" w:color="auto"/>
              <w:bottom w:val="single" w:sz="4" w:space="0" w:color="auto"/>
              <w:right w:val="single" w:sz="4" w:space="0" w:color="auto"/>
            </w:tcBorders>
          </w:tcPr>
          <w:p w14:paraId="2B788CCC"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Население, проживающее в сельских населенных пунктах и приравненные к нему:</w:t>
            </w:r>
          </w:p>
          <w:p w14:paraId="4ABE2807"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7C127E0A"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6C7A3C3E"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c>
          <w:tcPr>
            <w:tcW w:w="1754" w:type="dxa"/>
            <w:tcBorders>
              <w:top w:val="single" w:sz="4" w:space="0" w:color="auto"/>
              <w:left w:val="single" w:sz="4" w:space="0" w:color="auto"/>
              <w:bottom w:val="single" w:sz="4" w:space="0" w:color="auto"/>
              <w:right w:val="single" w:sz="4" w:space="0" w:color="auto"/>
            </w:tcBorders>
            <w:vAlign w:val="center"/>
          </w:tcPr>
          <w:p w14:paraId="2866050B"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243,5630</w:t>
            </w:r>
          </w:p>
        </w:tc>
        <w:tc>
          <w:tcPr>
            <w:tcW w:w="1701" w:type="dxa"/>
            <w:tcBorders>
              <w:top w:val="single" w:sz="4" w:space="0" w:color="auto"/>
              <w:left w:val="single" w:sz="4" w:space="0" w:color="auto"/>
              <w:bottom w:val="single" w:sz="4" w:space="0" w:color="auto"/>
              <w:right w:val="single" w:sz="4" w:space="0" w:color="auto"/>
            </w:tcBorders>
            <w:vAlign w:val="center"/>
          </w:tcPr>
          <w:p w14:paraId="6CDC4DD6"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214,2031</w:t>
            </w:r>
          </w:p>
        </w:tc>
      </w:tr>
      <w:tr w:rsidR="00B35B3E" w:rsidRPr="00B35B3E" w14:paraId="283675B5" w14:textId="77777777" w:rsidTr="00CA5588">
        <w:tc>
          <w:tcPr>
            <w:tcW w:w="510" w:type="dxa"/>
            <w:tcBorders>
              <w:top w:val="single" w:sz="4" w:space="0" w:color="auto"/>
              <w:left w:val="single" w:sz="4" w:space="0" w:color="auto"/>
              <w:bottom w:val="single" w:sz="4" w:space="0" w:color="auto"/>
              <w:right w:val="single" w:sz="4" w:space="0" w:color="auto"/>
            </w:tcBorders>
          </w:tcPr>
          <w:p w14:paraId="3927776C"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6</w:t>
            </w:r>
          </w:p>
        </w:tc>
        <w:tc>
          <w:tcPr>
            <w:tcW w:w="5669" w:type="dxa"/>
            <w:tcBorders>
              <w:top w:val="single" w:sz="4" w:space="0" w:color="auto"/>
              <w:left w:val="single" w:sz="4" w:space="0" w:color="auto"/>
              <w:bottom w:val="single" w:sz="4" w:space="0" w:color="auto"/>
              <w:right w:val="single" w:sz="4" w:space="0" w:color="auto"/>
            </w:tcBorders>
          </w:tcPr>
          <w:p w14:paraId="3A1D3769" w14:textId="77777777" w:rsidR="00B35B3E" w:rsidRPr="00B35B3E" w:rsidRDefault="00B35B3E" w:rsidP="00B35B3E">
            <w:pPr>
              <w:autoSpaceDE w:val="0"/>
              <w:autoSpaceDN w:val="0"/>
              <w:adjustRightInd w:val="0"/>
              <w:rPr>
                <w:rFonts w:eastAsia="Calibri"/>
                <w:lang w:eastAsia="en-US"/>
              </w:rPr>
            </w:pPr>
            <w:r w:rsidRPr="00B35B3E">
              <w:rPr>
                <w:rFonts w:eastAsia="Calibri"/>
                <w:lang w:eastAsia="en-US"/>
              </w:rPr>
              <w:t>Потребители, приравненные к населению:</w:t>
            </w:r>
          </w:p>
        </w:tc>
        <w:tc>
          <w:tcPr>
            <w:tcW w:w="1754" w:type="dxa"/>
            <w:tcBorders>
              <w:top w:val="single" w:sz="4" w:space="0" w:color="auto"/>
              <w:left w:val="single" w:sz="4" w:space="0" w:color="auto"/>
              <w:bottom w:val="single" w:sz="4" w:space="0" w:color="auto"/>
              <w:right w:val="single" w:sz="4" w:space="0" w:color="auto"/>
            </w:tcBorders>
            <w:vAlign w:val="center"/>
          </w:tcPr>
          <w:p w14:paraId="0DE3946F"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71,3322</w:t>
            </w:r>
          </w:p>
        </w:tc>
        <w:tc>
          <w:tcPr>
            <w:tcW w:w="1701" w:type="dxa"/>
            <w:tcBorders>
              <w:top w:val="single" w:sz="4" w:space="0" w:color="auto"/>
              <w:left w:val="single" w:sz="4" w:space="0" w:color="auto"/>
              <w:bottom w:val="single" w:sz="4" w:space="0" w:color="auto"/>
              <w:right w:val="single" w:sz="4" w:space="0" w:color="auto"/>
            </w:tcBorders>
            <w:vAlign w:val="center"/>
          </w:tcPr>
          <w:p w14:paraId="6EC21F44"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75,6885</w:t>
            </w:r>
          </w:p>
        </w:tc>
      </w:tr>
      <w:tr w:rsidR="00B35B3E" w:rsidRPr="00B35B3E" w14:paraId="18058DF4" w14:textId="77777777" w:rsidTr="00CA5588">
        <w:tc>
          <w:tcPr>
            <w:tcW w:w="510" w:type="dxa"/>
            <w:tcBorders>
              <w:top w:val="single" w:sz="4" w:space="0" w:color="auto"/>
              <w:left w:val="single" w:sz="4" w:space="0" w:color="auto"/>
              <w:bottom w:val="single" w:sz="4" w:space="0" w:color="auto"/>
              <w:right w:val="single" w:sz="4" w:space="0" w:color="auto"/>
            </w:tcBorders>
          </w:tcPr>
          <w:p w14:paraId="4C4E59EC"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6.1</w:t>
            </w:r>
          </w:p>
        </w:tc>
        <w:tc>
          <w:tcPr>
            <w:tcW w:w="5669" w:type="dxa"/>
            <w:tcBorders>
              <w:top w:val="single" w:sz="4" w:space="0" w:color="auto"/>
              <w:left w:val="single" w:sz="4" w:space="0" w:color="auto"/>
              <w:bottom w:val="single" w:sz="4" w:space="0" w:color="auto"/>
              <w:right w:val="single" w:sz="4" w:space="0" w:color="auto"/>
            </w:tcBorders>
          </w:tcPr>
          <w:p w14:paraId="74DCA346"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коммунально-бытового потребления населения в объемах фактического потребления электрической энергии населения и объемах электрической энергии, израсходованной на места общего пользования, за исключением:</w:t>
            </w:r>
          </w:p>
          <w:p w14:paraId="4F70ADE3"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исполнителей коммунальных услуг (товариществ собственников жилья, жилищно-строительных, жилищных или иных специализированных потребительских кооперативов либо управляющих организаций), приобретающих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30CBC83D"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наймодателей (или уполномоченных ими лиц), предоставляющих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приобретающих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tc>
        <w:tc>
          <w:tcPr>
            <w:tcW w:w="1754" w:type="dxa"/>
            <w:tcBorders>
              <w:top w:val="single" w:sz="4" w:space="0" w:color="auto"/>
              <w:left w:val="single" w:sz="4" w:space="0" w:color="auto"/>
              <w:bottom w:val="single" w:sz="4" w:space="0" w:color="auto"/>
              <w:right w:val="single" w:sz="4" w:space="0" w:color="auto"/>
            </w:tcBorders>
            <w:vAlign w:val="center"/>
          </w:tcPr>
          <w:p w14:paraId="14CD9FC8"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0,0000</w:t>
            </w:r>
          </w:p>
        </w:tc>
        <w:tc>
          <w:tcPr>
            <w:tcW w:w="1701" w:type="dxa"/>
            <w:tcBorders>
              <w:top w:val="single" w:sz="4" w:space="0" w:color="auto"/>
              <w:left w:val="single" w:sz="4" w:space="0" w:color="auto"/>
              <w:bottom w:val="single" w:sz="4" w:space="0" w:color="auto"/>
              <w:right w:val="single" w:sz="4" w:space="0" w:color="auto"/>
            </w:tcBorders>
            <w:vAlign w:val="center"/>
          </w:tcPr>
          <w:p w14:paraId="2F778A68"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0,0000</w:t>
            </w:r>
          </w:p>
        </w:tc>
      </w:tr>
      <w:tr w:rsidR="00B35B3E" w:rsidRPr="00B35B3E" w14:paraId="2EF69AA9" w14:textId="77777777" w:rsidTr="00CA5588">
        <w:tc>
          <w:tcPr>
            <w:tcW w:w="510" w:type="dxa"/>
            <w:tcBorders>
              <w:top w:val="single" w:sz="4" w:space="0" w:color="auto"/>
              <w:left w:val="single" w:sz="4" w:space="0" w:color="auto"/>
              <w:bottom w:val="single" w:sz="4" w:space="0" w:color="auto"/>
              <w:right w:val="single" w:sz="4" w:space="0" w:color="auto"/>
            </w:tcBorders>
          </w:tcPr>
          <w:p w14:paraId="282378C6"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6.2</w:t>
            </w:r>
          </w:p>
        </w:tc>
        <w:tc>
          <w:tcPr>
            <w:tcW w:w="5669" w:type="dxa"/>
            <w:tcBorders>
              <w:top w:val="single" w:sz="4" w:space="0" w:color="auto"/>
              <w:left w:val="single" w:sz="4" w:space="0" w:color="auto"/>
              <w:bottom w:val="single" w:sz="4" w:space="0" w:color="auto"/>
              <w:right w:val="single" w:sz="4" w:space="0" w:color="auto"/>
            </w:tcBorders>
          </w:tcPr>
          <w:p w14:paraId="73DD0111"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Садоводческие некоммерческие товарищества и огороднические некоммерческие товарищества</w:t>
            </w:r>
          </w:p>
        </w:tc>
        <w:tc>
          <w:tcPr>
            <w:tcW w:w="1754" w:type="dxa"/>
            <w:tcBorders>
              <w:top w:val="single" w:sz="4" w:space="0" w:color="auto"/>
              <w:left w:val="single" w:sz="4" w:space="0" w:color="auto"/>
              <w:bottom w:val="single" w:sz="4" w:space="0" w:color="auto"/>
              <w:right w:val="single" w:sz="4" w:space="0" w:color="auto"/>
            </w:tcBorders>
            <w:vAlign w:val="center"/>
          </w:tcPr>
          <w:p w14:paraId="007EF1C6"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34,9694</w:t>
            </w:r>
          </w:p>
        </w:tc>
        <w:tc>
          <w:tcPr>
            <w:tcW w:w="1701" w:type="dxa"/>
            <w:tcBorders>
              <w:top w:val="single" w:sz="4" w:space="0" w:color="auto"/>
              <w:left w:val="single" w:sz="4" w:space="0" w:color="auto"/>
              <w:bottom w:val="single" w:sz="4" w:space="0" w:color="auto"/>
              <w:right w:val="single" w:sz="4" w:space="0" w:color="auto"/>
            </w:tcBorders>
            <w:vAlign w:val="center"/>
          </w:tcPr>
          <w:p w14:paraId="210DF181"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35,9574</w:t>
            </w:r>
          </w:p>
        </w:tc>
      </w:tr>
      <w:tr w:rsidR="00B35B3E" w:rsidRPr="00B35B3E" w14:paraId="5C1C9719" w14:textId="77777777" w:rsidTr="00CA5588">
        <w:tc>
          <w:tcPr>
            <w:tcW w:w="510" w:type="dxa"/>
            <w:tcBorders>
              <w:top w:val="single" w:sz="4" w:space="0" w:color="auto"/>
              <w:left w:val="single" w:sz="4" w:space="0" w:color="auto"/>
              <w:bottom w:val="single" w:sz="4" w:space="0" w:color="auto"/>
              <w:right w:val="single" w:sz="4" w:space="0" w:color="auto"/>
            </w:tcBorders>
          </w:tcPr>
          <w:p w14:paraId="45981E99"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6.3</w:t>
            </w:r>
          </w:p>
        </w:tc>
        <w:tc>
          <w:tcPr>
            <w:tcW w:w="5669" w:type="dxa"/>
            <w:tcBorders>
              <w:top w:val="single" w:sz="4" w:space="0" w:color="auto"/>
              <w:left w:val="single" w:sz="4" w:space="0" w:color="auto"/>
              <w:bottom w:val="single" w:sz="4" w:space="0" w:color="auto"/>
              <w:right w:val="single" w:sz="4" w:space="0" w:color="auto"/>
            </w:tcBorders>
          </w:tcPr>
          <w:p w14:paraId="77DAA391"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Юридические лица, приобретающие электрическую энергию (мощность) в целях потребления осужденными в помещениях для их содержания при условии наличия раздельного учета электрической энергии для указанных помещений</w:t>
            </w:r>
          </w:p>
        </w:tc>
        <w:tc>
          <w:tcPr>
            <w:tcW w:w="1754" w:type="dxa"/>
            <w:tcBorders>
              <w:top w:val="single" w:sz="4" w:space="0" w:color="auto"/>
              <w:left w:val="single" w:sz="4" w:space="0" w:color="auto"/>
              <w:bottom w:val="single" w:sz="4" w:space="0" w:color="auto"/>
              <w:right w:val="single" w:sz="4" w:space="0" w:color="auto"/>
            </w:tcBorders>
            <w:vAlign w:val="center"/>
          </w:tcPr>
          <w:p w14:paraId="19C1DAE1"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3,5769</w:t>
            </w:r>
          </w:p>
        </w:tc>
        <w:tc>
          <w:tcPr>
            <w:tcW w:w="1701" w:type="dxa"/>
            <w:tcBorders>
              <w:top w:val="single" w:sz="4" w:space="0" w:color="auto"/>
              <w:left w:val="single" w:sz="4" w:space="0" w:color="auto"/>
              <w:bottom w:val="single" w:sz="4" w:space="0" w:color="auto"/>
              <w:right w:val="single" w:sz="4" w:space="0" w:color="auto"/>
            </w:tcBorders>
            <w:vAlign w:val="center"/>
          </w:tcPr>
          <w:p w14:paraId="3CF69E1D"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3,4731</w:t>
            </w:r>
          </w:p>
        </w:tc>
      </w:tr>
      <w:tr w:rsidR="00B35B3E" w:rsidRPr="00B35B3E" w14:paraId="46312B79" w14:textId="77777777" w:rsidTr="00CA5588">
        <w:tc>
          <w:tcPr>
            <w:tcW w:w="510" w:type="dxa"/>
            <w:tcBorders>
              <w:top w:val="single" w:sz="4" w:space="0" w:color="auto"/>
              <w:left w:val="single" w:sz="4" w:space="0" w:color="auto"/>
              <w:bottom w:val="single" w:sz="4" w:space="0" w:color="auto"/>
              <w:right w:val="single" w:sz="4" w:space="0" w:color="auto"/>
            </w:tcBorders>
          </w:tcPr>
          <w:p w14:paraId="4FDD8EBF"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6.4</w:t>
            </w:r>
          </w:p>
        </w:tc>
        <w:tc>
          <w:tcPr>
            <w:tcW w:w="5669" w:type="dxa"/>
            <w:tcBorders>
              <w:top w:val="single" w:sz="4" w:space="0" w:color="auto"/>
              <w:left w:val="single" w:sz="4" w:space="0" w:color="auto"/>
              <w:bottom w:val="single" w:sz="4" w:space="0" w:color="auto"/>
              <w:right w:val="single" w:sz="4" w:space="0" w:color="auto"/>
            </w:tcBorders>
          </w:tcPr>
          <w:p w14:paraId="01BA081D"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Содержащиеся за счет прихожан религиозные организации</w:t>
            </w:r>
          </w:p>
        </w:tc>
        <w:tc>
          <w:tcPr>
            <w:tcW w:w="1754" w:type="dxa"/>
            <w:tcBorders>
              <w:top w:val="single" w:sz="4" w:space="0" w:color="auto"/>
              <w:left w:val="single" w:sz="4" w:space="0" w:color="auto"/>
              <w:bottom w:val="single" w:sz="4" w:space="0" w:color="auto"/>
              <w:right w:val="single" w:sz="4" w:space="0" w:color="auto"/>
            </w:tcBorders>
            <w:vAlign w:val="center"/>
          </w:tcPr>
          <w:p w14:paraId="58D5E207"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2,8374</w:t>
            </w:r>
          </w:p>
        </w:tc>
        <w:tc>
          <w:tcPr>
            <w:tcW w:w="1701" w:type="dxa"/>
            <w:tcBorders>
              <w:top w:val="single" w:sz="4" w:space="0" w:color="auto"/>
              <w:left w:val="single" w:sz="4" w:space="0" w:color="auto"/>
              <w:bottom w:val="single" w:sz="4" w:space="0" w:color="auto"/>
              <w:right w:val="single" w:sz="4" w:space="0" w:color="auto"/>
            </w:tcBorders>
            <w:vAlign w:val="center"/>
          </w:tcPr>
          <w:p w14:paraId="204D07CE"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2,2074</w:t>
            </w:r>
          </w:p>
        </w:tc>
      </w:tr>
      <w:tr w:rsidR="00B35B3E" w:rsidRPr="00B35B3E" w14:paraId="1A3A3D63" w14:textId="77777777" w:rsidTr="00CA5588">
        <w:tc>
          <w:tcPr>
            <w:tcW w:w="510" w:type="dxa"/>
            <w:tcBorders>
              <w:top w:val="single" w:sz="4" w:space="0" w:color="auto"/>
              <w:left w:val="single" w:sz="4" w:space="0" w:color="auto"/>
              <w:bottom w:val="single" w:sz="4" w:space="0" w:color="auto"/>
              <w:right w:val="single" w:sz="4" w:space="0" w:color="auto"/>
            </w:tcBorders>
          </w:tcPr>
          <w:p w14:paraId="675D9F4A"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6.5</w:t>
            </w:r>
          </w:p>
        </w:tc>
        <w:tc>
          <w:tcPr>
            <w:tcW w:w="5669" w:type="dxa"/>
            <w:tcBorders>
              <w:top w:val="single" w:sz="4" w:space="0" w:color="auto"/>
              <w:left w:val="single" w:sz="4" w:space="0" w:color="auto"/>
              <w:bottom w:val="single" w:sz="4" w:space="0" w:color="auto"/>
              <w:right w:val="single" w:sz="4" w:space="0" w:color="auto"/>
            </w:tcBorders>
          </w:tcPr>
          <w:p w14:paraId="0DB4CE06"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населению категориям потребителей в объемах фактического потребления населения и приравненных к нему категорий потребителей, и объемах электроэнергии, израсходованной на места общего пользования в целях потребления на коммунально-бытовые нужды граждан и не используемой для осуществления коммерческой (профессиональной) деятельности</w:t>
            </w:r>
          </w:p>
        </w:tc>
        <w:tc>
          <w:tcPr>
            <w:tcW w:w="1754" w:type="dxa"/>
            <w:tcBorders>
              <w:top w:val="single" w:sz="4" w:space="0" w:color="auto"/>
              <w:left w:val="single" w:sz="4" w:space="0" w:color="auto"/>
              <w:bottom w:val="single" w:sz="4" w:space="0" w:color="auto"/>
              <w:right w:val="single" w:sz="4" w:space="0" w:color="auto"/>
            </w:tcBorders>
            <w:vAlign w:val="center"/>
          </w:tcPr>
          <w:p w14:paraId="6C50847C"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8,8993</w:t>
            </w:r>
          </w:p>
        </w:tc>
        <w:tc>
          <w:tcPr>
            <w:tcW w:w="1701" w:type="dxa"/>
            <w:tcBorders>
              <w:top w:val="single" w:sz="4" w:space="0" w:color="auto"/>
              <w:left w:val="single" w:sz="4" w:space="0" w:color="auto"/>
              <w:bottom w:val="single" w:sz="4" w:space="0" w:color="auto"/>
              <w:right w:val="single" w:sz="4" w:space="0" w:color="auto"/>
            </w:tcBorders>
            <w:vAlign w:val="center"/>
          </w:tcPr>
          <w:p w14:paraId="67F76DC0"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15,8523</w:t>
            </w:r>
          </w:p>
        </w:tc>
      </w:tr>
      <w:tr w:rsidR="00B35B3E" w:rsidRPr="00B35B3E" w14:paraId="092048E1" w14:textId="77777777" w:rsidTr="00CA5588">
        <w:tc>
          <w:tcPr>
            <w:tcW w:w="510" w:type="dxa"/>
            <w:tcBorders>
              <w:top w:val="single" w:sz="4" w:space="0" w:color="auto"/>
              <w:left w:val="single" w:sz="4" w:space="0" w:color="auto"/>
              <w:bottom w:val="single" w:sz="4" w:space="0" w:color="auto"/>
              <w:right w:val="single" w:sz="4" w:space="0" w:color="auto"/>
            </w:tcBorders>
          </w:tcPr>
          <w:p w14:paraId="4751C240"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6.6</w:t>
            </w:r>
          </w:p>
        </w:tc>
        <w:tc>
          <w:tcPr>
            <w:tcW w:w="5669" w:type="dxa"/>
            <w:tcBorders>
              <w:top w:val="single" w:sz="4" w:space="0" w:color="auto"/>
              <w:left w:val="single" w:sz="4" w:space="0" w:color="auto"/>
              <w:bottom w:val="single" w:sz="4" w:space="0" w:color="auto"/>
              <w:right w:val="single" w:sz="4" w:space="0" w:color="auto"/>
            </w:tcBorders>
          </w:tcPr>
          <w:p w14:paraId="2695EF70"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Объединения граждан, приобретающих электрическую энергию (мощность) для использования в принадлежащих им хозяйственных постройках (погреба, сараи).</w:t>
            </w:r>
          </w:p>
          <w:p w14:paraId="610F5B86"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Некоммерческие объединения граждан (гаражно-строительные, гаражные кооперативы), приобретающие электрическую энергию (мощность) в целях потребления на коммунально-бытовые нужды и не используемую для осуществления коммерческой деятельности</w:t>
            </w:r>
          </w:p>
        </w:tc>
        <w:tc>
          <w:tcPr>
            <w:tcW w:w="1754" w:type="dxa"/>
            <w:tcBorders>
              <w:top w:val="single" w:sz="4" w:space="0" w:color="auto"/>
              <w:left w:val="single" w:sz="4" w:space="0" w:color="auto"/>
              <w:bottom w:val="single" w:sz="4" w:space="0" w:color="auto"/>
              <w:right w:val="single" w:sz="4" w:space="0" w:color="auto"/>
            </w:tcBorders>
            <w:vAlign w:val="center"/>
          </w:tcPr>
          <w:p w14:paraId="25371A98"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21,0492</w:t>
            </w:r>
          </w:p>
        </w:tc>
        <w:tc>
          <w:tcPr>
            <w:tcW w:w="1701" w:type="dxa"/>
            <w:tcBorders>
              <w:top w:val="single" w:sz="4" w:space="0" w:color="auto"/>
              <w:left w:val="single" w:sz="4" w:space="0" w:color="auto"/>
              <w:bottom w:val="single" w:sz="4" w:space="0" w:color="auto"/>
              <w:right w:val="single" w:sz="4" w:space="0" w:color="auto"/>
            </w:tcBorders>
            <w:vAlign w:val="center"/>
          </w:tcPr>
          <w:p w14:paraId="4E03F6CF"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18,1983</w:t>
            </w:r>
          </w:p>
        </w:tc>
      </w:tr>
    </w:tbl>
    <w:p w14:paraId="3698A5DF" w14:textId="77777777" w:rsidR="00B35B3E" w:rsidRPr="00B35B3E" w:rsidRDefault="00B35B3E" w:rsidP="00B35B3E">
      <w:pPr>
        <w:autoSpaceDE w:val="0"/>
        <w:autoSpaceDN w:val="0"/>
        <w:adjustRightInd w:val="0"/>
        <w:jc w:val="both"/>
        <w:rPr>
          <w:rFonts w:ascii="Calibri" w:eastAsia="Calibri" w:hAnsi="Calibri" w:cs="Calibri"/>
          <w:sz w:val="22"/>
          <w:szCs w:val="22"/>
          <w:lang w:eastAsia="en-US"/>
        </w:rPr>
      </w:pPr>
    </w:p>
    <w:p w14:paraId="19203674" w14:textId="77777777" w:rsidR="00B35B3E" w:rsidRPr="00B35B3E" w:rsidRDefault="00B35B3E" w:rsidP="00B35B3E">
      <w:pPr>
        <w:autoSpaceDE w:val="0"/>
        <w:autoSpaceDN w:val="0"/>
        <w:adjustRightInd w:val="0"/>
        <w:jc w:val="right"/>
        <w:outlineLvl w:val="0"/>
        <w:rPr>
          <w:rFonts w:ascii="Calibri" w:eastAsia="Calibri" w:hAnsi="Calibri" w:cs="Calibri"/>
          <w:sz w:val="22"/>
          <w:szCs w:val="22"/>
          <w:lang w:eastAsia="en-US"/>
        </w:rPr>
        <w:sectPr w:rsidR="00B35B3E" w:rsidRPr="00B35B3E" w:rsidSect="00CA5588">
          <w:pgSz w:w="11906" w:h="16838"/>
          <w:pgMar w:top="1134" w:right="850" w:bottom="851" w:left="1560" w:header="708" w:footer="708" w:gutter="0"/>
          <w:cols w:space="708"/>
          <w:docGrid w:linePitch="360"/>
        </w:sectPr>
      </w:pPr>
    </w:p>
    <w:p w14:paraId="03D5BCD6" w14:textId="77777777" w:rsidR="00B35B3E" w:rsidRPr="00B35B3E" w:rsidRDefault="00B35B3E" w:rsidP="00B35B3E">
      <w:pPr>
        <w:autoSpaceDE w:val="0"/>
        <w:autoSpaceDN w:val="0"/>
        <w:adjustRightInd w:val="0"/>
        <w:jc w:val="right"/>
        <w:outlineLvl w:val="0"/>
        <w:rPr>
          <w:rFonts w:eastAsia="Calibri"/>
          <w:sz w:val="28"/>
          <w:szCs w:val="28"/>
          <w:lang w:eastAsia="en-US"/>
        </w:rPr>
      </w:pPr>
      <w:r w:rsidRPr="00B35B3E">
        <w:rPr>
          <w:rFonts w:eastAsia="Calibri"/>
          <w:sz w:val="28"/>
          <w:szCs w:val="28"/>
          <w:lang w:eastAsia="en-US"/>
        </w:rPr>
        <w:t>Таблица 2</w:t>
      </w:r>
    </w:p>
    <w:p w14:paraId="39BA162A" w14:textId="77777777" w:rsidR="00B35B3E" w:rsidRPr="00B35B3E" w:rsidRDefault="00B35B3E" w:rsidP="00B35B3E">
      <w:pPr>
        <w:jc w:val="center"/>
        <w:rPr>
          <w:b/>
          <w:sz w:val="28"/>
          <w:szCs w:val="28"/>
        </w:rPr>
      </w:pPr>
    </w:p>
    <w:p w14:paraId="32F11A7B" w14:textId="77777777" w:rsidR="00B35B3E" w:rsidRPr="00B35B3E" w:rsidRDefault="00B35B3E" w:rsidP="00B35B3E">
      <w:pPr>
        <w:spacing w:after="120"/>
        <w:jc w:val="center"/>
        <w:rPr>
          <w:b/>
          <w:sz w:val="28"/>
          <w:szCs w:val="28"/>
        </w:rPr>
      </w:pPr>
      <w:r w:rsidRPr="00B35B3E">
        <w:rPr>
          <w:b/>
          <w:sz w:val="28"/>
          <w:szCs w:val="28"/>
        </w:rPr>
        <w:t>Примененные понижающие коэффициенты при установлении тарифов на электрическую энергию для населения и приравненных к нему</w:t>
      </w:r>
      <w:r w:rsidRPr="00B35B3E">
        <w:rPr>
          <w:b/>
          <w:sz w:val="28"/>
          <w:szCs w:val="28"/>
        </w:rPr>
        <w:br/>
        <w:t>категорий потребителей Кемеровской области - Кузбасса на 2022 год</w:t>
      </w:r>
    </w:p>
    <w:tbl>
      <w:tblPr>
        <w:tblW w:w="9640" w:type="dxa"/>
        <w:tblInd w:w="-147" w:type="dxa"/>
        <w:tblLayout w:type="fixed"/>
        <w:tblCellMar>
          <w:top w:w="102" w:type="dxa"/>
          <w:left w:w="62" w:type="dxa"/>
          <w:bottom w:w="102" w:type="dxa"/>
          <w:right w:w="62" w:type="dxa"/>
        </w:tblCellMar>
        <w:tblLook w:val="0000" w:firstRow="0" w:lastRow="0" w:firstColumn="0" w:lastColumn="0" w:noHBand="0" w:noVBand="0"/>
      </w:tblPr>
      <w:tblGrid>
        <w:gridCol w:w="510"/>
        <w:gridCol w:w="5669"/>
        <w:gridCol w:w="1760"/>
        <w:gridCol w:w="1701"/>
      </w:tblGrid>
      <w:tr w:rsidR="00B35B3E" w:rsidRPr="00B35B3E" w14:paraId="09B045C1" w14:textId="77777777" w:rsidTr="00CA5588">
        <w:tc>
          <w:tcPr>
            <w:tcW w:w="510" w:type="dxa"/>
            <w:vMerge w:val="restart"/>
            <w:tcBorders>
              <w:top w:val="single" w:sz="4" w:space="0" w:color="auto"/>
              <w:left w:val="single" w:sz="4" w:space="0" w:color="auto"/>
              <w:bottom w:val="single" w:sz="4" w:space="0" w:color="auto"/>
              <w:right w:val="single" w:sz="4" w:space="0" w:color="auto"/>
            </w:tcBorders>
            <w:vAlign w:val="center"/>
          </w:tcPr>
          <w:p w14:paraId="6691B6A0"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 п/п</w:t>
            </w:r>
          </w:p>
        </w:tc>
        <w:tc>
          <w:tcPr>
            <w:tcW w:w="5669" w:type="dxa"/>
            <w:vMerge w:val="restart"/>
            <w:tcBorders>
              <w:top w:val="single" w:sz="4" w:space="0" w:color="auto"/>
              <w:left w:val="single" w:sz="4" w:space="0" w:color="auto"/>
              <w:bottom w:val="single" w:sz="4" w:space="0" w:color="auto"/>
              <w:right w:val="single" w:sz="4" w:space="0" w:color="auto"/>
            </w:tcBorders>
            <w:vAlign w:val="center"/>
          </w:tcPr>
          <w:p w14:paraId="7F17FF13"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Категории потребителей</w:t>
            </w:r>
          </w:p>
        </w:tc>
        <w:tc>
          <w:tcPr>
            <w:tcW w:w="3461" w:type="dxa"/>
            <w:gridSpan w:val="2"/>
            <w:tcBorders>
              <w:top w:val="single" w:sz="4" w:space="0" w:color="auto"/>
              <w:left w:val="single" w:sz="4" w:space="0" w:color="auto"/>
              <w:bottom w:val="single" w:sz="4" w:space="0" w:color="auto"/>
              <w:right w:val="single" w:sz="4" w:space="0" w:color="auto"/>
            </w:tcBorders>
            <w:vAlign w:val="center"/>
          </w:tcPr>
          <w:p w14:paraId="56A16BC5"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Примененный понижающий коэффициент при установлении цен (тарифов) на электрическую энергию (мощность)</w:t>
            </w:r>
          </w:p>
        </w:tc>
      </w:tr>
      <w:tr w:rsidR="00B35B3E" w:rsidRPr="00B35B3E" w14:paraId="4D2FB81E" w14:textId="77777777" w:rsidTr="00CA5588">
        <w:tc>
          <w:tcPr>
            <w:tcW w:w="510" w:type="dxa"/>
            <w:vMerge/>
            <w:tcBorders>
              <w:top w:val="single" w:sz="4" w:space="0" w:color="auto"/>
              <w:left w:val="single" w:sz="4" w:space="0" w:color="auto"/>
              <w:bottom w:val="single" w:sz="4" w:space="0" w:color="auto"/>
              <w:right w:val="single" w:sz="4" w:space="0" w:color="auto"/>
            </w:tcBorders>
            <w:vAlign w:val="center"/>
          </w:tcPr>
          <w:p w14:paraId="4A70A0C7" w14:textId="77777777" w:rsidR="00B35B3E" w:rsidRPr="00B35B3E" w:rsidRDefault="00B35B3E" w:rsidP="00B35B3E">
            <w:pPr>
              <w:autoSpaceDE w:val="0"/>
              <w:autoSpaceDN w:val="0"/>
              <w:adjustRightInd w:val="0"/>
              <w:jc w:val="center"/>
              <w:rPr>
                <w:rFonts w:eastAsia="Calibri"/>
                <w:lang w:eastAsia="en-US"/>
              </w:rPr>
            </w:pPr>
          </w:p>
        </w:tc>
        <w:tc>
          <w:tcPr>
            <w:tcW w:w="5669" w:type="dxa"/>
            <w:vMerge/>
            <w:tcBorders>
              <w:top w:val="single" w:sz="4" w:space="0" w:color="auto"/>
              <w:left w:val="single" w:sz="4" w:space="0" w:color="auto"/>
              <w:bottom w:val="single" w:sz="4" w:space="0" w:color="auto"/>
              <w:right w:val="single" w:sz="4" w:space="0" w:color="auto"/>
            </w:tcBorders>
            <w:vAlign w:val="center"/>
          </w:tcPr>
          <w:p w14:paraId="5DD4DDD0" w14:textId="77777777" w:rsidR="00B35B3E" w:rsidRPr="00B35B3E" w:rsidRDefault="00B35B3E" w:rsidP="00B35B3E">
            <w:pPr>
              <w:autoSpaceDE w:val="0"/>
              <w:autoSpaceDN w:val="0"/>
              <w:adjustRightInd w:val="0"/>
              <w:jc w:val="center"/>
              <w:rPr>
                <w:rFonts w:eastAsia="Calibri"/>
                <w:lang w:eastAsia="en-US"/>
              </w:rPr>
            </w:pPr>
          </w:p>
        </w:tc>
        <w:tc>
          <w:tcPr>
            <w:tcW w:w="1760" w:type="dxa"/>
            <w:tcBorders>
              <w:top w:val="single" w:sz="4" w:space="0" w:color="auto"/>
              <w:left w:val="single" w:sz="4" w:space="0" w:color="auto"/>
              <w:bottom w:val="single" w:sz="4" w:space="0" w:color="auto"/>
              <w:right w:val="single" w:sz="4" w:space="0" w:color="auto"/>
            </w:tcBorders>
            <w:vAlign w:val="center"/>
          </w:tcPr>
          <w:p w14:paraId="4A4E6781"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I полугодие</w:t>
            </w:r>
          </w:p>
        </w:tc>
        <w:tc>
          <w:tcPr>
            <w:tcW w:w="1701" w:type="dxa"/>
            <w:tcBorders>
              <w:top w:val="single" w:sz="4" w:space="0" w:color="auto"/>
              <w:left w:val="single" w:sz="4" w:space="0" w:color="auto"/>
              <w:bottom w:val="single" w:sz="4" w:space="0" w:color="auto"/>
              <w:right w:val="single" w:sz="4" w:space="0" w:color="auto"/>
            </w:tcBorders>
            <w:vAlign w:val="center"/>
          </w:tcPr>
          <w:p w14:paraId="3CE58BC4"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II полугодие</w:t>
            </w:r>
          </w:p>
        </w:tc>
      </w:tr>
      <w:tr w:rsidR="00B35B3E" w:rsidRPr="00B35B3E" w14:paraId="0891AE19" w14:textId="77777777" w:rsidTr="00CA5588">
        <w:tc>
          <w:tcPr>
            <w:tcW w:w="510" w:type="dxa"/>
            <w:tcBorders>
              <w:top w:val="single" w:sz="4" w:space="0" w:color="auto"/>
              <w:left w:val="single" w:sz="4" w:space="0" w:color="auto"/>
              <w:bottom w:val="single" w:sz="4" w:space="0" w:color="auto"/>
              <w:right w:val="single" w:sz="4" w:space="0" w:color="auto"/>
            </w:tcBorders>
            <w:vAlign w:val="center"/>
          </w:tcPr>
          <w:p w14:paraId="3AB72F8A" w14:textId="77777777" w:rsidR="00B35B3E" w:rsidRPr="00B35B3E" w:rsidRDefault="00B35B3E" w:rsidP="00B35B3E">
            <w:pPr>
              <w:autoSpaceDE w:val="0"/>
              <w:autoSpaceDN w:val="0"/>
              <w:adjustRightInd w:val="0"/>
              <w:jc w:val="center"/>
              <w:rPr>
                <w:rFonts w:eastAsia="Calibri"/>
                <w:lang w:eastAsia="en-US"/>
              </w:rPr>
            </w:pPr>
            <w:bookmarkStart w:id="1" w:name="_Hlk90461131"/>
            <w:r w:rsidRPr="00B35B3E">
              <w:rPr>
                <w:rFonts w:eastAsia="Calibri"/>
                <w:lang w:eastAsia="en-US"/>
              </w:rPr>
              <w:t>1</w:t>
            </w:r>
          </w:p>
        </w:tc>
        <w:tc>
          <w:tcPr>
            <w:tcW w:w="5669" w:type="dxa"/>
            <w:tcBorders>
              <w:top w:val="single" w:sz="4" w:space="0" w:color="auto"/>
              <w:left w:val="single" w:sz="4" w:space="0" w:color="auto"/>
              <w:bottom w:val="single" w:sz="4" w:space="0" w:color="auto"/>
              <w:right w:val="single" w:sz="4" w:space="0" w:color="auto"/>
            </w:tcBorders>
            <w:vAlign w:val="center"/>
          </w:tcPr>
          <w:p w14:paraId="20A79667"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2</w:t>
            </w:r>
          </w:p>
        </w:tc>
        <w:tc>
          <w:tcPr>
            <w:tcW w:w="1760" w:type="dxa"/>
            <w:tcBorders>
              <w:top w:val="single" w:sz="4" w:space="0" w:color="auto"/>
              <w:left w:val="single" w:sz="4" w:space="0" w:color="auto"/>
              <w:bottom w:val="single" w:sz="4" w:space="0" w:color="auto"/>
              <w:right w:val="single" w:sz="4" w:space="0" w:color="auto"/>
            </w:tcBorders>
            <w:vAlign w:val="center"/>
          </w:tcPr>
          <w:p w14:paraId="5841BC04"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3</w:t>
            </w:r>
          </w:p>
        </w:tc>
        <w:tc>
          <w:tcPr>
            <w:tcW w:w="1701" w:type="dxa"/>
            <w:tcBorders>
              <w:top w:val="single" w:sz="4" w:space="0" w:color="auto"/>
              <w:left w:val="single" w:sz="4" w:space="0" w:color="auto"/>
              <w:bottom w:val="single" w:sz="4" w:space="0" w:color="auto"/>
              <w:right w:val="single" w:sz="4" w:space="0" w:color="auto"/>
            </w:tcBorders>
            <w:vAlign w:val="center"/>
          </w:tcPr>
          <w:p w14:paraId="6CD6D40B"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4</w:t>
            </w:r>
          </w:p>
        </w:tc>
      </w:tr>
      <w:bookmarkEnd w:id="1"/>
      <w:tr w:rsidR="00B35B3E" w:rsidRPr="00B35B3E" w14:paraId="568C0847" w14:textId="77777777" w:rsidTr="00CA5588">
        <w:tc>
          <w:tcPr>
            <w:tcW w:w="510" w:type="dxa"/>
            <w:tcBorders>
              <w:top w:val="single" w:sz="4" w:space="0" w:color="auto"/>
              <w:left w:val="single" w:sz="4" w:space="0" w:color="auto"/>
              <w:bottom w:val="single" w:sz="4" w:space="0" w:color="auto"/>
              <w:right w:val="single" w:sz="4" w:space="0" w:color="auto"/>
            </w:tcBorders>
          </w:tcPr>
          <w:p w14:paraId="57D0B18C"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1</w:t>
            </w:r>
          </w:p>
        </w:tc>
        <w:tc>
          <w:tcPr>
            <w:tcW w:w="5669" w:type="dxa"/>
            <w:tcBorders>
              <w:top w:val="single" w:sz="4" w:space="0" w:color="auto"/>
              <w:left w:val="single" w:sz="4" w:space="0" w:color="auto"/>
              <w:bottom w:val="single" w:sz="4" w:space="0" w:color="auto"/>
              <w:right w:val="single" w:sz="4" w:space="0" w:color="auto"/>
            </w:tcBorders>
          </w:tcPr>
          <w:p w14:paraId="7C383819" w14:textId="77777777" w:rsidR="00B35B3E" w:rsidRPr="00B35B3E" w:rsidRDefault="00B35B3E" w:rsidP="00B35B3E">
            <w:pPr>
              <w:autoSpaceDE w:val="0"/>
              <w:autoSpaceDN w:val="0"/>
              <w:adjustRightInd w:val="0"/>
              <w:ind w:firstLine="283"/>
              <w:jc w:val="both"/>
              <w:rPr>
                <w:rFonts w:eastAsia="Calibri"/>
                <w:lang w:eastAsia="en-US"/>
              </w:rPr>
            </w:pPr>
            <w:bookmarkStart w:id="2" w:name="_Hlk90541755"/>
            <w:r w:rsidRPr="00B35B3E">
              <w:rPr>
                <w:rFonts w:eastAsia="Calibri"/>
                <w:lang w:eastAsia="en-US"/>
              </w:rPr>
              <w:t>Население, проживающее в городских населенных пунктах в домах, оборудованных стационарными электроплитами и электроотопительными установками, и приравненные к нему</w:t>
            </w:r>
            <w:bookmarkEnd w:id="2"/>
            <w:r w:rsidRPr="00B35B3E">
              <w:rPr>
                <w:rFonts w:eastAsia="Calibri"/>
                <w:lang w:eastAsia="en-US"/>
              </w:rPr>
              <w:t>:</w:t>
            </w:r>
          </w:p>
          <w:p w14:paraId="13CD1B09"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3E92D6CD"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22474899"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c>
          <w:tcPr>
            <w:tcW w:w="1760" w:type="dxa"/>
            <w:tcBorders>
              <w:top w:val="single" w:sz="4" w:space="0" w:color="auto"/>
              <w:left w:val="single" w:sz="4" w:space="0" w:color="auto"/>
              <w:bottom w:val="single" w:sz="4" w:space="0" w:color="auto"/>
              <w:right w:val="single" w:sz="4" w:space="0" w:color="auto"/>
            </w:tcBorders>
            <w:vAlign w:val="center"/>
          </w:tcPr>
          <w:p w14:paraId="23B8CC0F"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0,7</w:t>
            </w:r>
          </w:p>
        </w:tc>
        <w:tc>
          <w:tcPr>
            <w:tcW w:w="1701" w:type="dxa"/>
            <w:tcBorders>
              <w:top w:val="single" w:sz="4" w:space="0" w:color="auto"/>
              <w:left w:val="single" w:sz="4" w:space="0" w:color="auto"/>
              <w:bottom w:val="single" w:sz="4" w:space="0" w:color="auto"/>
              <w:right w:val="single" w:sz="4" w:space="0" w:color="auto"/>
            </w:tcBorders>
            <w:vAlign w:val="center"/>
          </w:tcPr>
          <w:p w14:paraId="037910F4"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0,7</w:t>
            </w:r>
          </w:p>
        </w:tc>
      </w:tr>
    </w:tbl>
    <w:p w14:paraId="55266901" w14:textId="77777777" w:rsidR="00B35B3E" w:rsidRPr="00B35B3E" w:rsidRDefault="00B35B3E" w:rsidP="00B35B3E">
      <w:pPr>
        <w:autoSpaceDE w:val="0"/>
        <w:autoSpaceDN w:val="0"/>
        <w:adjustRightInd w:val="0"/>
        <w:jc w:val="center"/>
        <w:rPr>
          <w:rFonts w:eastAsia="Calibri"/>
          <w:lang w:eastAsia="en-US"/>
        </w:rPr>
        <w:sectPr w:rsidR="00B35B3E" w:rsidRPr="00B35B3E" w:rsidSect="00CA5588">
          <w:pgSz w:w="11906" w:h="16838"/>
          <w:pgMar w:top="1134" w:right="850" w:bottom="709" w:left="1701" w:header="708" w:footer="708" w:gutter="0"/>
          <w:cols w:space="708"/>
          <w:docGrid w:linePitch="360"/>
        </w:sectPr>
      </w:pPr>
    </w:p>
    <w:tbl>
      <w:tblPr>
        <w:tblW w:w="9640" w:type="dxa"/>
        <w:tblInd w:w="-147" w:type="dxa"/>
        <w:tblLayout w:type="fixed"/>
        <w:tblCellMar>
          <w:top w:w="102" w:type="dxa"/>
          <w:left w:w="62" w:type="dxa"/>
          <w:bottom w:w="102" w:type="dxa"/>
          <w:right w:w="62" w:type="dxa"/>
        </w:tblCellMar>
        <w:tblLook w:val="0000" w:firstRow="0" w:lastRow="0" w:firstColumn="0" w:lastColumn="0" w:noHBand="0" w:noVBand="0"/>
      </w:tblPr>
      <w:tblGrid>
        <w:gridCol w:w="510"/>
        <w:gridCol w:w="5669"/>
        <w:gridCol w:w="1760"/>
        <w:gridCol w:w="1701"/>
      </w:tblGrid>
      <w:tr w:rsidR="00B35B3E" w:rsidRPr="00B35B3E" w14:paraId="54A0C6C5" w14:textId="77777777" w:rsidTr="00CA5588">
        <w:trPr>
          <w:tblHeader/>
        </w:trPr>
        <w:tc>
          <w:tcPr>
            <w:tcW w:w="510" w:type="dxa"/>
            <w:tcBorders>
              <w:top w:val="single" w:sz="4" w:space="0" w:color="auto"/>
              <w:left w:val="single" w:sz="4" w:space="0" w:color="auto"/>
              <w:bottom w:val="single" w:sz="4" w:space="0" w:color="auto"/>
              <w:right w:val="single" w:sz="4" w:space="0" w:color="auto"/>
            </w:tcBorders>
            <w:vAlign w:val="center"/>
          </w:tcPr>
          <w:p w14:paraId="3D9723B4"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1</w:t>
            </w:r>
          </w:p>
        </w:tc>
        <w:tc>
          <w:tcPr>
            <w:tcW w:w="5669" w:type="dxa"/>
            <w:tcBorders>
              <w:top w:val="single" w:sz="4" w:space="0" w:color="auto"/>
              <w:left w:val="single" w:sz="4" w:space="0" w:color="auto"/>
              <w:bottom w:val="single" w:sz="4" w:space="0" w:color="auto"/>
              <w:right w:val="single" w:sz="4" w:space="0" w:color="auto"/>
            </w:tcBorders>
            <w:vAlign w:val="center"/>
          </w:tcPr>
          <w:p w14:paraId="6A419026"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2</w:t>
            </w:r>
          </w:p>
        </w:tc>
        <w:tc>
          <w:tcPr>
            <w:tcW w:w="1760" w:type="dxa"/>
            <w:tcBorders>
              <w:top w:val="single" w:sz="4" w:space="0" w:color="auto"/>
              <w:left w:val="single" w:sz="4" w:space="0" w:color="auto"/>
              <w:bottom w:val="single" w:sz="4" w:space="0" w:color="auto"/>
              <w:right w:val="single" w:sz="4" w:space="0" w:color="auto"/>
            </w:tcBorders>
            <w:vAlign w:val="center"/>
          </w:tcPr>
          <w:p w14:paraId="7043E0E3"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3</w:t>
            </w:r>
          </w:p>
        </w:tc>
        <w:tc>
          <w:tcPr>
            <w:tcW w:w="1701" w:type="dxa"/>
            <w:tcBorders>
              <w:top w:val="single" w:sz="4" w:space="0" w:color="auto"/>
              <w:left w:val="single" w:sz="4" w:space="0" w:color="auto"/>
              <w:bottom w:val="single" w:sz="4" w:space="0" w:color="auto"/>
              <w:right w:val="single" w:sz="4" w:space="0" w:color="auto"/>
            </w:tcBorders>
            <w:vAlign w:val="center"/>
          </w:tcPr>
          <w:p w14:paraId="7717518F"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4</w:t>
            </w:r>
          </w:p>
        </w:tc>
      </w:tr>
      <w:tr w:rsidR="00B35B3E" w:rsidRPr="00B35B3E" w14:paraId="320803DE" w14:textId="77777777" w:rsidTr="00CA5588">
        <w:tc>
          <w:tcPr>
            <w:tcW w:w="510" w:type="dxa"/>
            <w:tcBorders>
              <w:top w:val="single" w:sz="4" w:space="0" w:color="auto"/>
              <w:left w:val="single" w:sz="4" w:space="0" w:color="auto"/>
              <w:bottom w:val="single" w:sz="4" w:space="0" w:color="auto"/>
              <w:right w:val="single" w:sz="4" w:space="0" w:color="auto"/>
            </w:tcBorders>
          </w:tcPr>
          <w:p w14:paraId="36F65C18"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2</w:t>
            </w:r>
          </w:p>
        </w:tc>
        <w:tc>
          <w:tcPr>
            <w:tcW w:w="5669" w:type="dxa"/>
            <w:tcBorders>
              <w:top w:val="single" w:sz="4" w:space="0" w:color="auto"/>
              <w:left w:val="single" w:sz="4" w:space="0" w:color="auto"/>
              <w:bottom w:val="single" w:sz="4" w:space="0" w:color="auto"/>
              <w:right w:val="single" w:sz="4" w:space="0" w:color="auto"/>
            </w:tcBorders>
          </w:tcPr>
          <w:p w14:paraId="2437C71B"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 xml:space="preserve">Население, проживающее в городских населенных пунктах </w:t>
            </w:r>
            <w:bookmarkStart w:id="3" w:name="_Hlk90541787"/>
            <w:r w:rsidRPr="00B35B3E">
              <w:rPr>
                <w:rFonts w:eastAsia="Calibri"/>
                <w:lang w:eastAsia="en-US"/>
              </w:rPr>
              <w:t>в домах, оборудованных стационарными электроплитами и не оборудованных электроотопительными установками, и приравненные к нему:</w:t>
            </w:r>
          </w:p>
          <w:bookmarkEnd w:id="3"/>
          <w:p w14:paraId="0ADE2E1B"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089B6661"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4CB33CED"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c>
          <w:tcPr>
            <w:tcW w:w="1760" w:type="dxa"/>
            <w:tcBorders>
              <w:top w:val="single" w:sz="4" w:space="0" w:color="auto"/>
              <w:left w:val="single" w:sz="4" w:space="0" w:color="auto"/>
              <w:bottom w:val="single" w:sz="4" w:space="0" w:color="auto"/>
              <w:right w:val="single" w:sz="4" w:space="0" w:color="auto"/>
            </w:tcBorders>
            <w:vAlign w:val="center"/>
          </w:tcPr>
          <w:p w14:paraId="133537F4"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0,7</w:t>
            </w:r>
          </w:p>
        </w:tc>
        <w:tc>
          <w:tcPr>
            <w:tcW w:w="1701" w:type="dxa"/>
            <w:tcBorders>
              <w:top w:val="single" w:sz="4" w:space="0" w:color="auto"/>
              <w:left w:val="single" w:sz="4" w:space="0" w:color="auto"/>
              <w:bottom w:val="single" w:sz="4" w:space="0" w:color="auto"/>
              <w:right w:val="single" w:sz="4" w:space="0" w:color="auto"/>
            </w:tcBorders>
            <w:vAlign w:val="center"/>
          </w:tcPr>
          <w:p w14:paraId="7BB035AC"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0,7</w:t>
            </w:r>
          </w:p>
        </w:tc>
      </w:tr>
      <w:tr w:rsidR="00B35B3E" w:rsidRPr="00B35B3E" w14:paraId="5E0ED83C" w14:textId="77777777" w:rsidTr="00CA5588">
        <w:tc>
          <w:tcPr>
            <w:tcW w:w="510" w:type="dxa"/>
            <w:tcBorders>
              <w:top w:val="single" w:sz="4" w:space="0" w:color="auto"/>
              <w:left w:val="single" w:sz="4" w:space="0" w:color="auto"/>
              <w:bottom w:val="single" w:sz="4" w:space="0" w:color="auto"/>
              <w:right w:val="single" w:sz="4" w:space="0" w:color="auto"/>
            </w:tcBorders>
          </w:tcPr>
          <w:p w14:paraId="78892334"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3</w:t>
            </w:r>
          </w:p>
        </w:tc>
        <w:tc>
          <w:tcPr>
            <w:tcW w:w="5669" w:type="dxa"/>
            <w:tcBorders>
              <w:top w:val="single" w:sz="4" w:space="0" w:color="auto"/>
              <w:left w:val="single" w:sz="4" w:space="0" w:color="auto"/>
              <w:bottom w:val="single" w:sz="4" w:space="0" w:color="auto"/>
              <w:right w:val="single" w:sz="4" w:space="0" w:color="auto"/>
            </w:tcBorders>
          </w:tcPr>
          <w:p w14:paraId="40186DA3"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 xml:space="preserve">Население, проживающее в городских населенных пунктах </w:t>
            </w:r>
            <w:bookmarkStart w:id="4" w:name="_Hlk90541802"/>
            <w:r w:rsidRPr="00B35B3E">
              <w:rPr>
                <w:rFonts w:eastAsia="Calibri"/>
                <w:lang w:eastAsia="en-US"/>
              </w:rPr>
              <w:t>в домах, оборудованных электроотопительными установками и не оборудованных стационарными электроплитами</w:t>
            </w:r>
            <w:bookmarkEnd w:id="4"/>
            <w:r w:rsidRPr="00B35B3E">
              <w:rPr>
                <w:rFonts w:eastAsia="Calibri"/>
                <w:lang w:eastAsia="en-US"/>
              </w:rPr>
              <w:t>, и приравненные к нему:</w:t>
            </w:r>
          </w:p>
          <w:p w14:paraId="0432E7DA"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2FF53D4F"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6E3DD27E"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c>
          <w:tcPr>
            <w:tcW w:w="1760" w:type="dxa"/>
            <w:tcBorders>
              <w:top w:val="single" w:sz="4" w:space="0" w:color="auto"/>
              <w:left w:val="single" w:sz="4" w:space="0" w:color="auto"/>
              <w:bottom w:val="single" w:sz="4" w:space="0" w:color="auto"/>
              <w:right w:val="single" w:sz="4" w:space="0" w:color="auto"/>
            </w:tcBorders>
            <w:vAlign w:val="center"/>
          </w:tcPr>
          <w:p w14:paraId="54C120F6"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0,7</w:t>
            </w:r>
          </w:p>
        </w:tc>
        <w:tc>
          <w:tcPr>
            <w:tcW w:w="1701" w:type="dxa"/>
            <w:tcBorders>
              <w:top w:val="single" w:sz="4" w:space="0" w:color="auto"/>
              <w:left w:val="single" w:sz="4" w:space="0" w:color="auto"/>
              <w:bottom w:val="single" w:sz="4" w:space="0" w:color="auto"/>
              <w:right w:val="single" w:sz="4" w:space="0" w:color="auto"/>
            </w:tcBorders>
            <w:vAlign w:val="center"/>
          </w:tcPr>
          <w:p w14:paraId="101A5A82"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0,7</w:t>
            </w:r>
          </w:p>
        </w:tc>
      </w:tr>
      <w:tr w:rsidR="00B35B3E" w:rsidRPr="00B35B3E" w14:paraId="532926E1" w14:textId="77777777" w:rsidTr="00CA5588">
        <w:tc>
          <w:tcPr>
            <w:tcW w:w="510" w:type="dxa"/>
            <w:tcBorders>
              <w:top w:val="single" w:sz="4" w:space="0" w:color="auto"/>
              <w:left w:val="single" w:sz="4" w:space="0" w:color="auto"/>
              <w:bottom w:val="single" w:sz="4" w:space="0" w:color="auto"/>
              <w:right w:val="single" w:sz="4" w:space="0" w:color="auto"/>
            </w:tcBorders>
          </w:tcPr>
          <w:p w14:paraId="7A8A59AC"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4</w:t>
            </w:r>
          </w:p>
        </w:tc>
        <w:tc>
          <w:tcPr>
            <w:tcW w:w="5669" w:type="dxa"/>
            <w:tcBorders>
              <w:top w:val="single" w:sz="4" w:space="0" w:color="auto"/>
              <w:left w:val="single" w:sz="4" w:space="0" w:color="auto"/>
              <w:bottom w:val="single" w:sz="4" w:space="0" w:color="auto"/>
              <w:right w:val="single" w:sz="4" w:space="0" w:color="auto"/>
            </w:tcBorders>
          </w:tcPr>
          <w:p w14:paraId="289F208F"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 xml:space="preserve">Население, </w:t>
            </w:r>
            <w:bookmarkStart w:id="5" w:name="_Hlk90541826"/>
            <w:r w:rsidRPr="00B35B3E">
              <w:rPr>
                <w:rFonts w:eastAsia="Calibri"/>
                <w:lang w:eastAsia="en-US"/>
              </w:rPr>
              <w:t>проживающее в сельских населенных пунктах</w:t>
            </w:r>
            <w:bookmarkEnd w:id="5"/>
            <w:r w:rsidRPr="00B35B3E">
              <w:rPr>
                <w:rFonts w:eastAsia="Calibri"/>
                <w:lang w:eastAsia="en-US"/>
              </w:rPr>
              <w:t xml:space="preserve"> и приравненные к нему:</w:t>
            </w:r>
          </w:p>
          <w:p w14:paraId="7BB0D833"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4A631CF4"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575AA35E"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c>
          <w:tcPr>
            <w:tcW w:w="1760" w:type="dxa"/>
            <w:tcBorders>
              <w:top w:val="single" w:sz="4" w:space="0" w:color="auto"/>
              <w:left w:val="single" w:sz="4" w:space="0" w:color="auto"/>
              <w:bottom w:val="single" w:sz="4" w:space="0" w:color="auto"/>
              <w:right w:val="single" w:sz="4" w:space="0" w:color="auto"/>
            </w:tcBorders>
            <w:vAlign w:val="center"/>
          </w:tcPr>
          <w:p w14:paraId="4B3A281C"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0,7</w:t>
            </w:r>
          </w:p>
        </w:tc>
        <w:tc>
          <w:tcPr>
            <w:tcW w:w="1701" w:type="dxa"/>
            <w:tcBorders>
              <w:top w:val="single" w:sz="4" w:space="0" w:color="auto"/>
              <w:left w:val="single" w:sz="4" w:space="0" w:color="auto"/>
              <w:bottom w:val="single" w:sz="4" w:space="0" w:color="auto"/>
              <w:right w:val="single" w:sz="4" w:space="0" w:color="auto"/>
            </w:tcBorders>
            <w:vAlign w:val="center"/>
          </w:tcPr>
          <w:p w14:paraId="1121A7A5"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0,7</w:t>
            </w:r>
          </w:p>
        </w:tc>
      </w:tr>
      <w:tr w:rsidR="00B35B3E" w:rsidRPr="00B35B3E" w14:paraId="3DB568CA" w14:textId="77777777" w:rsidTr="00CA5588">
        <w:tc>
          <w:tcPr>
            <w:tcW w:w="510" w:type="dxa"/>
            <w:tcBorders>
              <w:top w:val="single" w:sz="4" w:space="0" w:color="auto"/>
              <w:left w:val="single" w:sz="4" w:space="0" w:color="auto"/>
              <w:bottom w:val="single" w:sz="4" w:space="0" w:color="auto"/>
              <w:right w:val="single" w:sz="4" w:space="0" w:color="auto"/>
            </w:tcBorders>
          </w:tcPr>
          <w:p w14:paraId="6CC55995"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5</w:t>
            </w:r>
          </w:p>
        </w:tc>
        <w:tc>
          <w:tcPr>
            <w:tcW w:w="5669" w:type="dxa"/>
            <w:tcBorders>
              <w:top w:val="single" w:sz="4" w:space="0" w:color="auto"/>
              <w:left w:val="single" w:sz="4" w:space="0" w:color="auto"/>
              <w:bottom w:val="single" w:sz="4" w:space="0" w:color="auto"/>
              <w:right w:val="single" w:sz="4" w:space="0" w:color="auto"/>
            </w:tcBorders>
          </w:tcPr>
          <w:p w14:paraId="6A0A8CC8" w14:textId="77777777" w:rsidR="00B35B3E" w:rsidRPr="00B35B3E" w:rsidRDefault="00B35B3E" w:rsidP="00B35B3E">
            <w:pPr>
              <w:autoSpaceDE w:val="0"/>
              <w:autoSpaceDN w:val="0"/>
              <w:adjustRightInd w:val="0"/>
              <w:rPr>
                <w:rFonts w:eastAsia="Calibri"/>
                <w:lang w:eastAsia="en-US"/>
              </w:rPr>
            </w:pPr>
            <w:r w:rsidRPr="00B35B3E">
              <w:rPr>
                <w:rFonts w:eastAsia="Calibri"/>
                <w:lang w:eastAsia="en-US"/>
              </w:rPr>
              <w:t>Потребители, приравненные к населению:</w:t>
            </w:r>
          </w:p>
        </w:tc>
        <w:tc>
          <w:tcPr>
            <w:tcW w:w="1760" w:type="dxa"/>
            <w:tcBorders>
              <w:top w:val="single" w:sz="4" w:space="0" w:color="auto"/>
              <w:left w:val="single" w:sz="4" w:space="0" w:color="auto"/>
              <w:bottom w:val="single" w:sz="4" w:space="0" w:color="auto"/>
              <w:right w:val="single" w:sz="4" w:space="0" w:color="auto"/>
            </w:tcBorders>
          </w:tcPr>
          <w:p w14:paraId="31C7C4FA"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Х</w:t>
            </w:r>
          </w:p>
        </w:tc>
        <w:tc>
          <w:tcPr>
            <w:tcW w:w="1701" w:type="dxa"/>
            <w:tcBorders>
              <w:top w:val="single" w:sz="4" w:space="0" w:color="auto"/>
              <w:left w:val="single" w:sz="4" w:space="0" w:color="auto"/>
              <w:bottom w:val="single" w:sz="4" w:space="0" w:color="auto"/>
              <w:right w:val="single" w:sz="4" w:space="0" w:color="auto"/>
            </w:tcBorders>
          </w:tcPr>
          <w:p w14:paraId="57DC6902"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Х</w:t>
            </w:r>
          </w:p>
        </w:tc>
      </w:tr>
      <w:tr w:rsidR="00B35B3E" w:rsidRPr="00B35B3E" w14:paraId="3E2366AE" w14:textId="77777777" w:rsidTr="00CA5588">
        <w:tc>
          <w:tcPr>
            <w:tcW w:w="510" w:type="dxa"/>
            <w:tcBorders>
              <w:top w:val="single" w:sz="4" w:space="0" w:color="auto"/>
              <w:left w:val="single" w:sz="4" w:space="0" w:color="auto"/>
              <w:bottom w:val="single" w:sz="4" w:space="0" w:color="auto"/>
              <w:right w:val="single" w:sz="4" w:space="0" w:color="auto"/>
            </w:tcBorders>
          </w:tcPr>
          <w:p w14:paraId="7381D8E8"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5.1</w:t>
            </w:r>
          </w:p>
        </w:tc>
        <w:tc>
          <w:tcPr>
            <w:tcW w:w="5669" w:type="dxa"/>
            <w:tcBorders>
              <w:top w:val="single" w:sz="4" w:space="0" w:color="auto"/>
              <w:left w:val="single" w:sz="4" w:space="0" w:color="auto"/>
              <w:bottom w:val="single" w:sz="4" w:space="0" w:color="auto"/>
              <w:right w:val="single" w:sz="4" w:space="0" w:color="auto"/>
            </w:tcBorders>
          </w:tcPr>
          <w:p w14:paraId="576B4014"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коммунально-бытового потребления населения в объемах фактического потребления электрической энергии населения и объемах электрической энергии, израсходованной на места общего пользования, за исключением:</w:t>
            </w:r>
          </w:p>
          <w:p w14:paraId="48862C96"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исполнителей коммунальных услуг (товариществ собственников жилья, жилищно-строительных, жилищных или иных специализированных потребительских кооперативов либо управляющих организаций), приобретающих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5E6950DB"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наймодателей (или уполномоченных ими лиц), предоставляющих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приобретающих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tc>
        <w:tc>
          <w:tcPr>
            <w:tcW w:w="1760" w:type="dxa"/>
            <w:tcBorders>
              <w:top w:val="single" w:sz="4" w:space="0" w:color="auto"/>
              <w:left w:val="single" w:sz="4" w:space="0" w:color="auto"/>
              <w:bottom w:val="single" w:sz="4" w:space="0" w:color="auto"/>
              <w:right w:val="single" w:sz="4" w:space="0" w:color="auto"/>
            </w:tcBorders>
            <w:vAlign w:val="center"/>
          </w:tcPr>
          <w:p w14:paraId="094FBDA6"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1</w:t>
            </w:r>
          </w:p>
        </w:tc>
        <w:tc>
          <w:tcPr>
            <w:tcW w:w="1701" w:type="dxa"/>
            <w:tcBorders>
              <w:top w:val="single" w:sz="4" w:space="0" w:color="auto"/>
              <w:left w:val="single" w:sz="4" w:space="0" w:color="auto"/>
              <w:bottom w:val="single" w:sz="4" w:space="0" w:color="auto"/>
              <w:right w:val="single" w:sz="4" w:space="0" w:color="auto"/>
            </w:tcBorders>
            <w:vAlign w:val="center"/>
          </w:tcPr>
          <w:p w14:paraId="532B45D9"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1</w:t>
            </w:r>
          </w:p>
        </w:tc>
      </w:tr>
      <w:tr w:rsidR="00B35B3E" w:rsidRPr="00B35B3E" w14:paraId="7B6BB45A" w14:textId="77777777" w:rsidTr="00CA5588">
        <w:tc>
          <w:tcPr>
            <w:tcW w:w="510" w:type="dxa"/>
            <w:tcBorders>
              <w:top w:val="single" w:sz="4" w:space="0" w:color="auto"/>
              <w:left w:val="single" w:sz="4" w:space="0" w:color="auto"/>
              <w:bottom w:val="single" w:sz="4" w:space="0" w:color="auto"/>
              <w:right w:val="single" w:sz="4" w:space="0" w:color="auto"/>
            </w:tcBorders>
          </w:tcPr>
          <w:p w14:paraId="6F26FAAC"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5.2</w:t>
            </w:r>
          </w:p>
        </w:tc>
        <w:tc>
          <w:tcPr>
            <w:tcW w:w="5669" w:type="dxa"/>
            <w:tcBorders>
              <w:top w:val="single" w:sz="4" w:space="0" w:color="auto"/>
              <w:left w:val="single" w:sz="4" w:space="0" w:color="auto"/>
              <w:bottom w:val="single" w:sz="4" w:space="0" w:color="auto"/>
              <w:right w:val="single" w:sz="4" w:space="0" w:color="auto"/>
            </w:tcBorders>
          </w:tcPr>
          <w:p w14:paraId="456B940B" w14:textId="77777777" w:rsidR="00B35B3E" w:rsidRPr="00B35B3E" w:rsidRDefault="00B35B3E" w:rsidP="00B35B3E">
            <w:pPr>
              <w:autoSpaceDE w:val="0"/>
              <w:autoSpaceDN w:val="0"/>
              <w:adjustRightInd w:val="0"/>
              <w:ind w:firstLine="283"/>
              <w:jc w:val="both"/>
              <w:rPr>
                <w:rFonts w:eastAsia="Calibri"/>
                <w:lang w:eastAsia="en-US"/>
              </w:rPr>
            </w:pPr>
            <w:bookmarkStart w:id="6" w:name="_Hlk90541841"/>
            <w:r w:rsidRPr="00B35B3E">
              <w:rPr>
                <w:rFonts w:eastAsia="Calibri"/>
                <w:lang w:eastAsia="en-US"/>
              </w:rPr>
              <w:t>Садоводческие некоммерческие товарищества и огороднические некоммерческие товарищества</w:t>
            </w:r>
            <w:bookmarkEnd w:id="6"/>
          </w:p>
        </w:tc>
        <w:tc>
          <w:tcPr>
            <w:tcW w:w="1760" w:type="dxa"/>
            <w:tcBorders>
              <w:top w:val="single" w:sz="4" w:space="0" w:color="auto"/>
              <w:left w:val="single" w:sz="4" w:space="0" w:color="auto"/>
              <w:bottom w:val="single" w:sz="4" w:space="0" w:color="auto"/>
              <w:right w:val="single" w:sz="4" w:space="0" w:color="auto"/>
            </w:tcBorders>
            <w:vAlign w:val="center"/>
          </w:tcPr>
          <w:p w14:paraId="4B1B31B4"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0,7</w:t>
            </w:r>
          </w:p>
        </w:tc>
        <w:tc>
          <w:tcPr>
            <w:tcW w:w="1701" w:type="dxa"/>
            <w:tcBorders>
              <w:top w:val="single" w:sz="4" w:space="0" w:color="auto"/>
              <w:left w:val="single" w:sz="4" w:space="0" w:color="auto"/>
              <w:bottom w:val="single" w:sz="4" w:space="0" w:color="auto"/>
              <w:right w:val="single" w:sz="4" w:space="0" w:color="auto"/>
            </w:tcBorders>
            <w:vAlign w:val="center"/>
          </w:tcPr>
          <w:p w14:paraId="6D4E99B5"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0,7</w:t>
            </w:r>
          </w:p>
        </w:tc>
      </w:tr>
      <w:tr w:rsidR="00B35B3E" w:rsidRPr="00B35B3E" w14:paraId="217DE209" w14:textId="77777777" w:rsidTr="00CA5588">
        <w:tc>
          <w:tcPr>
            <w:tcW w:w="510" w:type="dxa"/>
            <w:tcBorders>
              <w:top w:val="single" w:sz="4" w:space="0" w:color="auto"/>
              <w:left w:val="single" w:sz="4" w:space="0" w:color="auto"/>
              <w:bottom w:val="single" w:sz="4" w:space="0" w:color="auto"/>
              <w:right w:val="single" w:sz="4" w:space="0" w:color="auto"/>
            </w:tcBorders>
          </w:tcPr>
          <w:p w14:paraId="6DF2EDC8"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5.3</w:t>
            </w:r>
          </w:p>
        </w:tc>
        <w:tc>
          <w:tcPr>
            <w:tcW w:w="5669" w:type="dxa"/>
            <w:tcBorders>
              <w:top w:val="single" w:sz="4" w:space="0" w:color="auto"/>
              <w:left w:val="single" w:sz="4" w:space="0" w:color="auto"/>
              <w:bottom w:val="single" w:sz="4" w:space="0" w:color="auto"/>
              <w:right w:val="single" w:sz="4" w:space="0" w:color="auto"/>
            </w:tcBorders>
          </w:tcPr>
          <w:p w14:paraId="1B99130F"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Юридические лица, приобретающие электрическую энергию (мощность) в целях потребления осужденными в помещениях для их содержания при условии наличия раздельного учета электрической энергии для указанных помещений</w:t>
            </w:r>
          </w:p>
        </w:tc>
        <w:tc>
          <w:tcPr>
            <w:tcW w:w="1760" w:type="dxa"/>
            <w:tcBorders>
              <w:top w:val="single" w:sz="4" w:space="0" w:color="auto"/>
              <w:left w:val="single" w:sz="4" w:space="0" w:color="auto"/>
              <w:bottom w:val="single" w:sz="4" w:space="0" w:color="auto"/>
              <w:right w:val="single" w:sz="4" w:space="0" w:color="auto"/>
            </w:tcBorders>
            <w:vAlign w:val="center"/>
          </w:tcPr>
          <w:p w14:paraId="5A7CF499"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1</w:t>
            </w:r>
          </w:p>
        </w:tc>
        <w:tc>
          <w:tcPr>
            <w:tcW w:w="1701" w:type="dxa"/>
            <w:tcBorders>
              <w:top w:val="single" w:sz="4" w:space="0" w:color="auto"/>
              <w:left w:val="single" w:sz="4" w:space="0" w:color="auto"/>
              <w:bottom w:val="single" w:sz="4" w:space="0" w:color="auto"/>
              <w:right w:val="single" w:sz="4" w:space="0" w:color="auto"/>
            </w:tcBorders>
            <w:vAlign w:val="center"/>
          </w:tcPr>
          <w:p w14:paraId="06C07CBC"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1</w:t>
            </w:r>
          </w:p>
        </w:tc>
      </w:tr>
      <w:tr w:rsidR="00B35B3E" w:rsidRPr="00B35B3E" w14:paraId="0901135E" w14:textId="77777777" w:rsidTr="00CA5588">
        <w:tc>
          <w:tcPr>
            <w:tcW w:w="510" w:type="dxa"/>
            <w:tcBorders>
              <w:top w:val="single" w:sz="4" w:space="0" w:color="auto"/>
              <w:left w:val="single" w:sz="4" w:space="0" w:color="auto"/>
              <w:bottom w:val="single" w:sz="4" w:space="0" w:color="auto"/>
              <w:right w:val="single" w:sz="4" w:space="0" w:color="auto"/>
            </w:tcBorders>
          </w:tcPr>
          <w:p w14:paraId="75552D69"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5.4</w:t>
            </w:r>
          </w:p>
        </w:tc>
        <w:tc>
          <w:tcPr>
            <w:tcW w:w="5669" w:type="dxa"/>
            <w:tcBorders>
              <w:top w:val="single" w:sz="4" w:space="0" w:color="auto"/>
              <w:left w:val="single" w:sz="4" w:space="0" w:color="auto"/>
              <w:bottom w:val="single" w:sz="4" w:space="0" w:color="auto"/>
              <w:right w:val="single" w:sz="4" w:space="0" w:color="auto"/>
            </w:tcBorders>
          </w:tcPr>
          <w:p w14:paraId="5FBC138C"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Содержащиеся за счет прихожан религиозные организации</w:t>
            </w:r>
          </w:p>
        </w:tc>
        <w:tc>
          <w:tcPr>
            <w:tcW w:w="1760" w:type="dxa"/>
            <w:tcBorders>
              <w:top w:val="single" w:sz="4" w:space="0" w:color="auto"/>
              <w:left w:val="single" w:sz="4" w:space="0" w:color="auto"/>
              <w:bottom w:val="single" w:sz="4" w:space="0" w:color="auto"/>
              <w:right w:val="single" w:sz="4" w:space="0" w:color="auto"/>
            </w:tcBorders>
            <w:vAlign w:val="center"/>
          </w:tcPr>
          <w:p w14:paraId="4D46CC2F"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1</w:t>
            </w:r>
          </w:p>
        </w:tc>
        <w:tc>
          <w:tcPr>
            <w:tcW w:w="1701" w:type="dxa"/>
            <w:tcBorders>
              <w:top w:val="single" w:sz="4" w:space="0" w:color="auto"/>
              <w:left w:val="single" w:sz="4" w:space="0" w:color="auto"/>
              <w:bottom w:val="single" w:sz="4" w:space="0" w:color="auto"/>
              <w:right w:val="single" w:sz="4" w:space="0" w:color="auto"/>
            </w:tcBorders>
            <w:vAlign w:val="center"/>
          </w:tcPr>
          <w:p w14:paraId="3013F740"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1</w:t>
            </w:r>
          </w:p>
        </w:tc>
      </w:tr>
      <w:tr w:rsidR="00B35B3E" w:rsidRPr="00B35B3E" w14:paraId="0AA82AEB" w14:textId="77777777" w:rsidTr="00CA5588">
        <w:tc>
          <w:tcPr>
            <w:tcW w:w="510" w:type="dxa"/>
            <w:tcBorders>
              <w:top w:val="single" w:sz="4" w:space="0" w:color="auto"/>
              <w:left w:val="single" w:sz="4" w:space="0" w:color="auto"/>
              <w:bottom w:val="single" w:sz="4" w:space="0" w:color="auto"/>
              <w:right w:val="single" w:sz="4" w:space="0" w:color="auto"/>
            </w:tcBorders>
          </w:tcPr>
          <w:p w14:paraId="0950AAB5"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5.5</w:t>
            </w:r>
          </w:p>
        </w:tc>
        <w:tc>
          <w:tcPr>
            <w:tcW w:w="5669" w:type="dxa"/>
            <w:tcBorders>
              <w:top w:val="single" w:sz="4" w:space="0" w:color="auto"/>
              <w:left w:val="single" w:sz="4" w:space="0" w:color="auto"/>
              <w:bottom w:val="single" w:sz="4" w:space="0" w:color="auto"/>
              <w:right w:val="single" w:sz="4" w:space="0" w:color="auto"/>
            </w:tcBorders>
          </w:tcPr>
          <w:p w14:paraId="76B1A603"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населению категориям потребителей в объемах фактического потребления населения и приравненных к нему категорий потребителей, и объемах электроэнергии, израсходованной на места общего пользования в целях потребления на коммунально-бытовые нужды граждан и не используемой для осуществления коммерческой (профессиональной) деятельности</w:t>
            </w:r>
          </w:p>
        </w:tc>
        <w:tc>
          <w:tcPr>
            <w:tcW w:w="1760" w:type="dxa"/>
            <w:tcBorders>
              <w:top w:val="single" w:sz="4" w:space="0" w:color="auto"/>
              <w:left w:val="single" w:sz="4" w:space="0" w:color="auto"/>
              <w:bottom w:val="single" w:sz="4" w:space="0" w:color="auto"/>
              <w:right w:val="single" w:sz="4" w:space="0" w:color="auto"/>
            </w:tcBorders>
            <w:vAlign w:val="center"/>
          </w:tcPr>
          <w:p w14:paraId="183AAD24"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1</w:t>
            </w:r>
          </w:p>
        </w:tc>
        <w:tc>
          <w:tcPr>
            <w:tcW w:w="1701" w:type="dxa"/>
            <w:tcBorders>
              <w:top w:val="single" w:sz="4" w:space="0" w:color="auto"/>
              <w:left w:val="single" w:sz="4" w:space="0" w:color="auto"/>
              <w:bottom w:val="single" w:sz="4" w:space="0" w:color="auto"/>
              <w:right w:val="single" w:sz="4" w:space="0" w:color="auto"/>
            </w:tcBorders>
            <w:vAlign w:val="center"/>
          </w:tcPr>
          <w:p w14:paraId="1E10EEDC"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1</w:t>
            </w:r>
          </w:p>
        </w:tc>
      </w:tr>
      <w:tr w:rsidR="00B35B3E" w:rsidRPr="00B35B3E" w14:paraId="70F0E8B6" w14:textId="77777777" w:rsidTr="00CA5588">
        <w:tc>
          <w:tcPr>
            <w:tcW w:w="510" w:type="dxa"/>
            <w:tcBorders>
              <w:top w:val="single" w:sz="4" w:space="0" w:color="auto"/>
              <w:left w:val="single" w:sz="4" w:space="0" w:color="auto"/>
              <w:bottom w:val="single" w:sz="4" w:space="0" w:color="auto"/>
              <w:right w:val="single" w:sz="4" w:space="0" w:color="auto"/>
            </w:tcBorders>
          </w:tcPr>
          <w:p w14:paraId="7083274D" w14:textId="77777777" w:rsidR="00B35B3E" w:rsidRPr="00B35B3E" w:rsidRDefault="00B35B3E" w:rsidP="00B35B3E">
            <w:pPr>
              <w:autoSpaceDE w:val="0"/>
              <w:autoSpaceDN w:val="0"/>
              <w:adjustRightInd w:val="0"/>
              <w:jc w:val="center"/>
              <w:rPr>
                <w:rFonts w:eastAsia="Calibri"/>
                <w:lang w:eastAsia="en-US"/>
              </w:rPr>
            </w:pPr>
            <w:r w:rsidRPr="00B35B3E">
              <w:rPr>
                <w:rFonts w:eastAsia="Calibri"/>
                <w:lang w:eastAsia="en-US"/>
              </w:rPr>
              <w:t>5.6</w:t>
            </w:r>
          </w:p>
        </w:tc>
        <w:tc>
          <w:tcPr>
            <w:tcW w:w="5669" w:type="dxa"/>
            <w:tcBorders>
              <w:top w:val="single" w:sz="4" w:space="0" w:color="auto"/>
              <w:left w:val="single" w:sz="4" w:space="0" w:color="auto"/>
              <w:bottom w:val="single" w:sz="4" w:space="0" w:color="auto"/>
              <w:right w:val="single" w:sz="4" w:space="0" w:color="auto"/>
            </w:tcBorders>
          </w:tcPr>
          <w:p w14:paraId="72879C12"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Объединения граждан, приобретающих электрическую энергию (мощность) для использования в принадлежащих им хозяйственных постройках (погреба, сараи).</w:t>
            </w:r>
          </w:p>
          <w:p w14:paraId="577B5C58" w14:textId="77777777" w:rsidR="00B35B3E" w:rsidRPr="00B35B3E" w:rsidRDefault="00B35B3E" w:rsidP="00B35B3E">
            <w:pPr>
              <w:autoSpaceDE w:val="0"/>
              <w:autoSpaceDN w:val="0"/>
              <w:adjustRightInd w:val="0"/>
              <w:ind w:firstLine="283"/>
              <w:jc w:val="both"/>
              <w:rPr>
                <w:rFonts w:eastAsia="Calibri"/>
                <w:lang w:eastAsia="en-US"/>
              </w:rPr>
            </w:pPr>
            <w:r w:rsidRPr="00B35B3E">
              <w:rPr>
                <w:rFonts w:eastAsia="Calibri"/>
                <w:lang w:eastAsia="en-US"/>
              </w:rPr>
              <w:t>Некоммерческие объединения граждан (гаражно-строительные, гаражные кооперативы), приобретающие электрическую энергию (мощность) в целях потребления на коммунально-бытовые нужды и не используемую для осуществления коммерческой деятельности</w:t>
            </w:r>
          </w:p>
        </w:tc>
        <w:tc>
          <w:tcPr>
            <w:tcW w:w="1760" w:type="dxa"/>
            <w:tcBorders>
              <w:top w:val="single" w:sz="4" w:space="0" w:color="auto"/>
              <w:bottom w:val="single" w:sz="4" w:space="0" w:color="auto"/>
              <w:right w:val="single" w:sz="4" w:space="0" w:color="auto"/>
            </w:tcBorders>
            <w:vAlign w:val="center"/>
          </w:tcPr>
          <w:p w14:paraId="329274E9" w14:textId="77777777" w:rsidR="00B35B3E" w:rsidRPr="00B35B3E" w:rsidRDefault="00B35B3E" w:rsidP="00B35B3E">
            <w:pPr>
              <w:autoSpaceDE w:val="0"/>
              <w:autoSpaceDN w:val="0"/>
              <w:adjustRightInd w:val="0"/>
              <w:ind w:firstLine="283"/>
              <w:jc w:val="center"/>
              <w:rPr>
                <w:rFonts w:eastAsia="Calibri"/>
                <w:lang w:eastAsia="en-US"/>
              </w:rPr>
            </w:pPr>
            <w:r w:rsidRPr="00B35B3E">
              <w:rPr>
                <w:rFonts w:eastAsia="Calibri"/>
                <w:lang w:eastAsia="en-US"/>
              </w:rPr>
              <w:t>1</w:t>
            </w:r>
          </w:p>
        </w:tc>
        <w:tc>
          <w:tcPr>
            <w:tcW w:w="1701" w:type="dxa"/>
            <w:tcBorders>
              <w:top w:val="single" w:sz="4" w:space="0" w:color="auto"/>
              <w:left w:val="single" w:sz="4" w:space="0" w:color="auto"/>
              <w:bottom w:val="single" w:sz="4" w:space="0" w:color="auto"/>
              <w:right w:val="single" w:sz="4" w:space="0" w:color="auto"/>
            </w:tcBorders>
            <w:vAlign w:val="center"/>
          </w:tcPr>
          <w:p w14:paraId="379BD96C" w14:textId="77777777" w:rsidR="00B35B3E" w:rsidRPr="00B35B3E" w:rsidRDefault="00B35B3E" w:rsidP="00B35B3E">
            <w:pPr>
              <w:autoSpaceDE w:val="0"/>
              <w:autoSpaceDN w:val="0"/>
              <w:adjustRightInd w:val="0"/>
              <w:ind w:firstLine="283"/>
              <w:jc w:val="center"/>
              <w:rPr>
                <w:rFonts w:eastAsia="Calibri"/>
                <w:lang w:eastAsia="en-US"/>
              </w:rPr>
            </w:pPr>
            <w:r w:rsidRPr="00B35B3E">
              <w:rPr>
                <w:rFonts w:eastAsia="Calibri"/>
                <w:lang w:eastAsia="en-US"/>
              </w:rPr>
              <w:t>1</w:t>
            </w:r>
          </w:p>
        </w:tc>
      </w:tr>
    </w:tbl>
    <w:p w14:paraId="651C7E35" w14:textId="77777777" w:rsidR="00B35B3E" w:rsidRPr="00B35B3E" w:rsidRDefault="00B35B3E" w:rsidP="00B35B3E">
      <w:pPr>
        <w:autoSpaceDE w:val="0"/>
        <w:autoSpaceDN w:val="0"/>
        <w:adjustRightInd w:val="0"/>
        <w:jc w:val="right"/>
        <w:outlineLvl w:val="0"/>
        <w:rPr>
          <w:rFonts w:ascii="Calibri" w:eastAsia="Calibri" w:hAnsi="Calibri" w:cs="Calibri"/>
          <w:sz w:val="22"/>
          <w:szCs w:val="22"/>
          <w:lang w:eastAsia="en-US"/>
        </w:rPr>
      </w:pPr>
    </w:p>
    <w:p w14:paraId="1122AD45" w14:textId="77777777" w:rsidR="00B35B3E" w:rsidRPr="00B35B3E" w:rsidRDefault="00B35B3E" w:rsidP="00B35B3E">
      <w:pPr>
        <w:spacing w:after="160" w:line="259" w:lineRule="auto"/>
        <w:rPr>
          <w:rFonts w:ascii="Calibri" w:eastAsia="Calibri" w:hAnsi="Calibri"/>
          <w:sz w:val="22"/>
          <w:szCs w:val="22"/>
          <w:lang w:eastAsia="en-US"/>
        </w:rPr>
      </w:pPr>
    </w:p>
    <w:p w14:paraId="346E7401" w14:textId="77777777" w:rsidR="00B35B3E" w:rsidRDefault="00B35B3E" w:rsidP="00B35B3E">
      <w:pPr>
        <w:tabs>
          <w:tab w:val="left" w:pos="5580"/>
          <w:tab w:val="left" w:pos="9498"/>
        </w:tabs>
        <w:ind w:right="-569"/>
        <w:rPr>
          <w:sz w:val="28"/>
          <w:szCs w:val="28"/>
        </w:rPr>
        <w:sectPr w:rsidR="00B35B3E" w:rsidSect="009F044D">
          <w:headerReference w:type="default" r:id="rId9"/>
          <w:headerReference w:type="first" r:id="rId10"/>
          <w:pgSz w:w="11906" w:h="16838"/>
          <w:pgMar w:top="709" w:right="851" w:bottom="851" w:left="1701" w:header="426" w:footer="407" w:gutter="0"/>
          <w:cols w:space="708"/>
          <w:titlePg/>
          <w:docGrid w:linePitch="360"/>
        </w:sectPr>
      </w:pPr>
    </w:p>
    <w:p w14:paraId="0C650842" w14:textId="78E5D7B5" w:rsidR="00B35B3E" w:rsidRPr="00081AD4" w:rsidRDefault="00B35B3E" w:rsidP="00F5550D">
      <w:pPr>
        <w:tabs>
          <w:tab w:val="left" w:pos="5580"/>
          <w:tab w:val="left" w:pos="9498"/>
        </w:tabs>
        <w:ind w:left="-3734" w:right="-569" w:firstLine="10397"/>
        <w:rPr>
          <w:color w:val="000000" w:themeColor="text1"/>
        </w:rPr>
      </w:pPr>
      <w:r w:rsidRPr="00081AD4">
        <w:rPr>
          <w:color w:val="000000" w:themeColor="text1"/>
        </w:rPr>
        <w:t xml:space="preserve">Приложение № </w:t>
      </w:r>
      <w:r>
        <w:rPr>
          <w:color w:val="000000" w:themeColor="text1"/>
        </w:rPr>
        <w:t>2 к протоколу</w:t>
      </w:r>
      <w:r w:rsidRPr="00081AD4">
        <w:rPr>
          <w:color w:val="000000" w:themeColor="text1"/>
        </w:rPr>
        <w:t xml:space="preserve"> № </w:t>
      </w:r>
      <w:r>
        <w:rPr>
          <w:color w:val="000000" w:themeColor="text1"/>
        </w:rPr>
        <w:t>88</w:t>
      </w:r>
    </w:p>
    <w:p w14:paraId="1AFA80CE" w14:textId="77777777" w:rsidR="00B35B3E" w:rsidRPr="00081AD4" w:rsidRDefault="00B35B3E" w:rsidP="00F5550D">
      <w:pPr>
        <w:tabs>
          <w:tab w:val="left" w:pos="5580"/>
          <w:tab w:val="left" w:pos="9498"/>
        </w:tabs>
        <w:ind w:left="-3734" w:right="-569" w:firstLine="10397"/>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172C147D" w14:textId="77777777" w:rsidR="00B35B3E" w:rsidRPr="00081AD4" w:rsidRDefault="00B35B3E" w:rsidP="00F5550D">
      <w:pPr>
        <w:tabs>
          <w:tab w:val="left" w:pos="5580"/>
          <w:tab w:val="left" w:pos="9498"/>
        </w:tabs>
        <w:ind w:left="-3734" w:right="-569" w:firstLine="10397"/>
        <w:rPr>
          <w:color w:val="000000" w:themeColor="text1"/>
        </w:rPr>
      </w:pPr>
      <w:r w:rsidRPr="00081AD4">
        <w:rPr>
          <w:color w:val="000000" w:themeColor="text1"/>
        </w:rPr>
        <w:t>энергетической комиссии</w:t>
      </w:r>
    </w:p>
    <w:p w14:paraId="111AB4FD" w14:textId="3A3D6D99" w:rsidR="00B35B3E" w:rsidRDefault="00B35B3E" w:rsidP="00F5550D">
      <w:pPr>
        <w:tabs>
          <w:tab w:val="left" w:pos="5580"/>
          <w:tab w:val="left" w:pos="9498"/>
        </w:tabs>
        <w:ind w:left="-3734" w:right="-569" w:firstLine="10397"/>
        <w:rPr>
          <w:color w:val="000000" w:themeColor="text1"/>
        </w:rPr>
      </w:pPr>
      <w:r w:rsidRPr="00081AD4">
        <w:rPr>
          <w:color w:val="000000" w:themeColor="text1"/>
        </w:rPr>
        <w:t xml:space="preserve">Кузбасса от </w:t>
      </w:r>
      <w:r>
        <w:rPr>
          <w:color w:val="000000" w:themeColor="text1"/>
        </w:rPr>
        <w:t>23</w:t>
      </w:r>
      <w:r w:rsidRPr="00081AD4">
        <w:rPr>
          <w:color w:val="000000" w:themeColor="text1"/>
        </w:rPr>
        <w:t>.</w:t>
      </w:r>
      <w:r>
        <w:rPr>
          <w:color w:val="000000" w:themeColor="text1"/>
        </w:rPr>
        <w:t>12</w:t>
      </w:r>
      <w:r w:rsidRPr="00081AD4">
        <w:rPr>
          <w:color w:val="000000" w:themeColor="text1"/>
        </w:rPr>
        <w:t>.202</w:t>
      </w:r>
      <w:r>
        <w:rPr>
          <w:color w:val="000000" w:themeColor="text1"/>
        </w:rPr>
        <w:t>1</w:t>
      </w:r>
    </w:p>
    <w:p w14:paraId="61A26AAF" w14:textId="77777777" w:rsidR="00F5550D" w:rsidRDefault="00F5550D" w:rsidP="00F5550D">
      <w:pPr>
        <w:tabs>
          <w:tab w:val="left" w:pos="5580"/>
          <w:tab w:val="left" w:pos="9498"/>
        </w:tabs>
        <w:ind w:left="-3734" w:right="-569" w:firstLine="10397"/>
        <w:rPr>
          <w:color w:val="000000" w:themeColor="text1"/>
        </w:rPr>
      </w:pPr>
    </w:p>
    <w:p w14:paraId="003B0889" w14:textId="77777777" w:rsidR="00F5550D" w:rsidRDefault="00F5550D" w:rsidP="00F5550D">
      <w:pPr>
        <w:jc w:val="center"/>
        <w:rPr>
          <w:b/>
          <w:bCs/>
          <w:color w:val="000000"/>
          <w:sz w:val="28"/>
          <w:szCs w:val="28"/>
        </w:rPr>
      </w:pPr>
      <w:r>
        <w:rPr>
          <w:b/>
          <w:bCs/>
          <w:color w:val="000000"/>
          <w:sz w:val="28"/>
          <w:szCs w:val="28"/>
        </w:rPr>
        <w:t>Необходимая валовая выручка ГП (ПАО «Кузбассэнергосбыт») на 2022 год</w:t>
      </w:r>
    </w:p>
    <w:tbl>
      <w:tblPr>
        <w:tblW w:w="5000" w:type="pct"/>
        <w:tblLook w:val="04A0" w:firstRow="1" w:lastRow="0" w:firstColumn="1" w:lastColumn="0" w:noHBand="0" w:noVBand="1"/>
      </w:tblPr>
      <w:tblGrid>
        <w:gridCol w:w="3210"/>
        <w:gridCol w:w="1478"/>
        <w:gridCol w:w="1478"/>
        <w:gridCol w:w="1346"/>
        <w:gridCol w:w="1346"/>
        <w:gridCol w:w="1478"/>
      </w:tblGrid>
      <w:tr w:rsidR="00F5550D" w:rsidRPr="003637DF" w14:paraId="50B90DCC" w14:textId="77777777" w:rsidTr="0099088D">
        <w:trPr>
          <w:trHeight w:val="1500"/>
          <w:tblHeader/>
        </w:trPr>
        <w:tc>
          <w:tcPr>
            <w:tcW w:w="15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C31275" w14:textId="77777777" w:rsidR="00F5550D" w:rsidRPr="003637DF" w:rsidRDefault="00F5550D" w:rsidP="0099088D">
            <w:pPr>
              <w:jc w:val="center"/>
              <w:rPr>
                <w:color w:val="000000"/>
                <w:sz w:val="16"/>
                <w:szCs w:val="16"/>
              </w:rPr>
            </w:pPr>
            <w:r w:rsidRPr="003637DF">
              <w:rPr>
                <w:color w:val="000000"/>
                <w:sz w:val="16"/>
                <w:szCs w:val="16"/>
              </w:rPr>
              <w:t>Показатель</w:t>
            </w:r>
          </w:p>
        </w:tc>
        <w:tc>
          <w:tcPr>
            <w:tcW w:w="715" w:type="pct"/>
            <w:tcBorders>
              <w:top w:val="single" w:sz="4" w:space="0" w:color="auto"/>
              <w:left w:val="nil"/>
              <w:bottom w:val="single" w:sz="4" w:space="0" w:color="auto"/>
              <w:right w:val="single" w:sz="4" w:space="0" w:color="auto"/>
            </w:tcBorders>
            <w:shd w:val="clear" w:color="auto" w:fill="auto"/>
            <w:vAlign w:val="center"/>
            <w:hideMark/>
          </w:tcPr>
          <w:p w14:paraId="1DA81688" w14:textId="77777777" w:rsidR="00F5550D" w:rsidRPr="003637DF" w:rsidRDefault="00F5550D" w:rsidP="0099088D">
            <w:pPr>
              <w:jc w:val="center"/>
              <w:rPr>
                <w:color w:val="000000"/>
                <w:sz w:val="16"/>
                <w:szCs w:val="16"/>
              </w:rPr>
            </w:pPr>
            <w:r w:rsidRPr="003637DF">
              <w:rPr>
                <w:color w:val="000000"/>
                <w:sz w:val="16"/>
                <w:szCs w:val="16"/>
              </w:rPr>
              <w:t>Население</w:t>
            </w:r>
          </w:p>
        </w:tc>
        <w:tc>
          <w:tcPr>
            <w:tcW w:w="715" w:type="pct"/>
            <w:tcBorders>
              <w:top w:val="single" w:sz="4" w:space="0" w:color="auto"/>
              <w:left w:val="nil"/>
              <w:bottom w:val="single" w:sz="4" w:space="0" w:color="auto"/>
              <w:right w:val="single" w:sz="4" w:space="0" w:color="auto"/>
            </w:tcBorders>
            <w:shd w:val="clear" w:color="auto" w:fill="auto"/>
            <w:vAlign w:val="center"/>
            <w:hideMark/>
          </w:tcPr>
          <w:p w14:paraId="54752337" w14:textId="77777777" w:rsidR="00F5550D" w:rsidRPr="003637DF" w:rsidRDefault="00F5550D" w:rsidP="0099088D">
            <w:pPr>
              <w:jc w:val="center"/>
              <w:rPr>
                <w:color w:val="000000"/>
                <w:sz w:val="16"/>
                <w:szCs w:val="16"/>
              </w:rPr>
            </w:pPr>
            <w:r w:rsidRPr="003637DF">
              <w:rPr>
                <w:color w:val="000000"/>
                <w:sz w:val="16"/>
                <w:szCs w:val="16"/>
              </w:rPr>
              <w:t>Прочие потребители менее 670 кВт</w:t>
            </w:r>
          </w:p>
        </w:tc>
        <w:tc>
          <w:tcPr>
            <w:tcW w:w="651" w:type="pct"/>
            <w:tcBorders>
              <w:top w:val="single" w:sz="4" w:space="0" w:color="auto"/>
              <w:left w:val="nil"/>
              <w:bottom w:val="single" w:sz="4" w:space="0" w:color="auto"/>
              <w:right w:val="single" w:sz="4" w:space="0" w:color="auto"/>
            </w:tcBorders>
            <w:shd w:val="clear" w:color="auto" w:fill="auto"/>
            <w:vAlign w:val="center"/>
            <w:hideMark/>
          </w:tcPr>
          <w:p w14:paraId="2CD4DD95" w14:textId="77777777" w:rsidR="00F5550D" w:rsidRPr="003637DF" w:rsidRDefault="00F5550D" w:rsidP="0099088D">
            <w:pPr>
              <w:jc w:val="center"/>
              <w:rPr>
                <w:color w:val="000000"/>
                <w:sz w:val="16"/>
                <w:szCs w:val="16"/>
              </w:rPr>
            </w:pPr>
            <w:r w:rsidRPr="003637DF">
              <w:rPr>
                <w:color w:val="000000"/>
                <w:sz w:val="16"/>
                <w:szCs w:val="16"/>
              </w:rPr>
              <w:t>Прочие потребители от 670 кВт до 10 МВт</w:t>
            </w:r>
          </w:p>
        </w:tc>
        <w:tc>
          <w:tcPr>
            <w:tcW w:w="651" w:type="pct"/>
            <w:tcBorders>
              <w:top w:val="single" w:sz="4" w:space="0" w:color="auto"/>
              <w:left w:val="nil"/>
              <w:bottom w:val="single" w:sz="4" w:space="0" w:color="auto"/>
              <w:right w:val="single" w:sz="4" w:space="0" w:color="auto"/>
            </w:tcBorders>
            <w:shd w:val="clear" w:color="auto" w:fill="auto"/>
            <w:vAlign w:val="center"/>
            <w:hideMark/>
          </w:tcPr>
          <w:p w14:paraId="7D45667B" w14:textId="77777777" w:rsidR="00F5550D" w:rsidRPr="003637DF" w:rsidRDefault="00F5550D" w:rsidP="0099088D">
            <w:pPr>
              <w:jc w:val="center"/>
              <w:rPr>
                <w:color w:val="000000"/>
                <w:sz w:val="16"/>
                <w:szCs w:val="16"/>
              </w:rPr>
            </w:pPr>
            <w:r w:rsidRPr="003637DF">
              <w:rPr>
                <w:color w:val="000000"/>
                <w:sz w:val="16"/>
                <w:szCs w:val="16"/>
              </w:rPr>
              <w:t>Прочие потребители не менее 10 МВт</w:t>
            </w:r>
          </w:p>
        </w:tc>
        <w:tc>
          <w:tcPr>
            <w:tcW w:w="715" w:type="pct"/>
            <w:tcBorders>
              <w:top w:val="single" w:sz="4" w:space="0" w:color="auto"/>
              <w:left w:val="nil"/>
              <w:bottom w:val="single" w:sz="4" w:space="0" w:color="auto"/>
              <w:right w:val="single" w:sz="4" w:space="0" w:color="auto"/>
            </w:tcBorders>
            <w:shd w:val="clear" w:color="auto" w:fill="auto"/>
            <w:vAlign w:val="center"/>
            <w:hideMark/>
          </w:tcPr>
          <w:p w14:paraId="6A797637" w14:textId="77777777" w:rsidR="00F5550D" w:rsidRPr="003637DF" w:rsidRDefault="00F5550D" w:rsidP="0099088D">
            <w:pPr>
              <w:jc w:val="center"/>
              <w:rPr>
                <w:color w:val="000000"/>
                <w:sz w:val="16"/>
                <w:szCs w:val="16"/>
              </w:rPr>
            </w:pPr>
            <w:r w:rsidRPr="003637DF">
              <w:rPr>
                <w:color w:val="000000"/>
                <w:sz w:val="16"/>
                <w:szCs w:val="16"/>
              </w:rPr>
              <w:t>Сетевые организации</w:t>
            </w:r>
          </w:p>
        </w:tc>
      </w:tr>
      <w:tr w:rsidR="00F5550D" w:rsidRPr="003637DF" w14:paraId="59D6B6EA" w14:textId="77777777" w:rsidTr="0099088D">
        <w:trPr>
          <w:trHeight w:val="375"/>
        </w:trPr>
        <w:tc>
          <w:tcPr>
            <w:tcW w:w="1553" w:type="pct"/>
            <w:tcBorders>
              <w:top w:val="nil"/>
              <w:left w:val="single" w:sz="4" w:space="0" w:color="auto"/>
              <w:bottom w:val="single" w:sz="4" w:space="0" w:color="auto"/>
              <w:right w:val="single" w:sz="4" w:space="0" w:color="auto"/>
            </w:tcBorders>
            <w:shd w:val="clear" w:color="auto" w:fill="auto"/>
            <w:noWrap/>
            <w:vAlign w:val="bottom"/>
            <w:hideMark/>
          </w:tcPr>
          <w:p w14:paraId="66532193" w14:textId="77777777" w:rsidR="00F5550D" w:rsidRPr="003637DF" w:rsidRDefault="00F5550D" w:rsidP="0099088D">
            <w:pPr>
              <w:rPr>
                <w:color w:val="000000"/>
                <w:sz w:val="16"/>
                <w:szCs w:val="16"/>
              </w:rPr>
            </w:pPr>
            <w:r w:rsidRPr="003637DF">
              <w:rPr>
                <w:color w:val="000000"/>
                <w:sz w:val="16"/>
                <w:szCs w:val="16"/>
              </w:rPr>
              <w:t>Эталонная выручка, руб.</w:t>
            </w:r>
          </w:p>
        </w:tc>
        <w:tc>
          <w:tcPr>
            <w:tcW w:w="715" w:type="pct"/>
            <w:tcBorders>
              <w:top w:val="nil"/>
              <w:left w:val="nil"/>
              <w:bottom w:val="single" w:sz="4" w:space="0" w:color="auto"/>
              <w:right w:val="single" w:sz="4" w:space="0" w:color="auto"/>
            </w:tcBorders>
            <w:shd w:val="clear" w:color="auto" w:fill="auto"/>
            <w:noWrap/>
            <w:vAlign w:val="bottom"/>
            <w:hideMark/>
          </w:tcPr>
          <w:p w14:paraId="1E3BF5C5" w14:textId="77777777" w:rsidR="00F5550D" w:rsidRPr="00BD29B0" w:rsidRDefault="00F5550D" w:rsidP="0099088D">
            <w:pPr>
              <w:jc w:val="right"/>
              <w:rPr>
                <w:sz w:val="16"/>
                <w:szCs w:val="16"/>
              </w:rPr>
            </w:pPr>
            <w:r w:rsidRPr="00BD29B0">
              <w:rPr>
                <w:sz w:val="16"/>
                <w:szCs w:val="16"/>
              </w:rPr>
              <w:t>1 687 436 419,77</w:t>
            </w:r>
          </w:p>
        </w:tc>
        <w:tc>
          <w:tcPr>
            <w:tcW w:w="715" w:type="pct"/>
            <w:tcBorders>
              <w:top w:val="nil"/>
              <w:left w:val="nil"/>
              <w:bottom w:val="single" w:sz="4" w:space="0" w:color="auto"/>
              <w:right w:val="single" w:sz="4" w:space="0" w:color="auto"/>
            </w:tcBorders>
            <w:shd w:val="clear" w:color="auto" w:fill="auto"/>
            <w:noWrap/>
            <w:vAlign w:val="bottom"/>
            <w:hideMark/>
          </w:tcPr>
          <w:p w14:paraId="7D505995" w14:textId="77777777" w:rsidR="00F5550D" w:rsidRPr="00BD29B0" w:rsidRDefault="00F5550D" w:rsidP="0099088D">
            <w:pPr>
              <w:jc w:val="right"/>
              <w:rPr>
                <w:sz w:val="16"/>
                <w:szCs w:val="16"/>
              </w:rPr>
            </w:pPr>
            <w:r w:rsidRPr="00BD29B0">
              <w:rPr>
                <w:sz w:val="16"/>
                <w:szCs w:val="16"/>
              </w:rPr>
              <w:t>1 085 168 495,41</w:t>
            </w:r>
          </w:p>
        </w:tc>
        <w:tc>
          <w:tcPr>
            <w:tcW w:w="651" w:type="pct"/>
            <w:tcBorders>
              <w:top w:val="nil"/>
              <w:left w:val="nil"/>
              <w:bottom w:val="single" w:sz="4" w:space="0" w:color="auto"/>
              <w:right w:val="single" w:sz="4" w:space="0" w:color="auto"/>
            </w:tcBorders>
            <w:shd w:val="clear" w:color="auto" w:fill="auto"/>
            <w:noWrap/>
            <w:vAlign w:val="bottom"/>
            <w:hideMark/>
          </w:tcPr>
          <w:p w14:paraId="0E89B33A" w14:textId="77777777" w:rsidR="00F5550D" w:rsidRPr="00BD29B0" w:rsidRDefault="00F5550D" w:rsidP="0099088D">
            <w:pPr>
              <w:jc w:val="right"/>
              <w:rPr>
                <w:sz w:val="16"/>
                <w:szCs w:val="16"/>
              </w:rPr>
            </w:pPr>
            <w:r w:rsidRPr="00BD29B0">
              <w:rPr>
                <w:sz w:val="16"/>
                <w:szCs w:val="16"/>
              </w:rPr>
              <w:t>193 313 879,62</w:t>
            </w:r>
          </w:p>
        </w:tc>
        <w:tc>
          <w:tcPr>
            <w:tcW w:w="651" w:type="pct"/>
            <w:tcBorders>
              <w:top w:val="nil"/>
              <w:left w:val="nil"/>
              <w:bottom w:val="single" w:sz="4" w:space="0" w:color="auto"/>
              <w:right w:val="single" w:sz="4" w:space="0" w:color="auto"/>
            </w:tcBorders>
            <w:shd w:val="clear" w:color="auto" w:fill="auto"/>
            <w:noWrap/>
            <w:vAlign w:val="bottom"/>
            <w:hideMark/>
          </w:tcPr>
          <w:p w14:paraId="53AD628E" w14:textId="77777777" w:rsidR="00F5550D" w:rsidRPr="00BD29B0" w:rsidRDefault="00F5550D" w:rsidP="0099088D">
            <w:pPr>
              <w:jc w:val="right"/>
              <w:rPr>
                <w:sz w:val="16"/>
                <w:szCs w:val="16"/>
              </w:rPr>
            </w:pPr>
            <w:r w:rsidRPr="00BD29B0">
              <w:rPr>
                <w:sz w:val="16"/>
                <w:szCs w:val="16"/>
              </w:rPr>
              <w:t>61 083 863,22</w:t>
            </w:r>
          </w:p>
        </w:tc>
        <w:tc>
          <w:tcPr>
            <w:tcW w:w="715" w:type="pct"/>
            <w:tcBorders>
              <w:top w:val="nil"/>
              <w:left w:val="nil"/>
              <w:bottom w:val="single" w:sz="4" w:space="0" w:color="auto"/>
              <w:right w:val="single" w:sz="4" w:space="0" w:color="auto"/>
            </w:tcBorders>
            <w:shd w:val="clear" w:color="auto" w:fill="auto"/>
            <w:noWrap/>
            <w:vAlign w:val="bottom"/>
            <w:hideMark/>
          </w:tcPr>
          <w:p w14:paraId="3DAABB0D" w14:textId="77777777" w:rsidR="00F5550D" w:rsidRPr="00BD29B0" w:rsidRDefault="00F5550D" w:rsidP="0099088D">
            <w:pPr>
              <w:jc w:val="right"/>
              <w:rPr>
                <w:sz w:val="16"/>
                <w:szCs w:val="16"/>
              </w:rPr>
            </w:pPr>
            <w:r w:rsidRPr="00BD29B0">
              <w:rPr>
                <w:sz w:val="16"/>
                <w:szCs w:val="16"/>
              </w:rPr>
              <w:t>214 784 034,42</w:t>
            </w:r>
          </w:p>
        </w:tc>
      </w:tr>
      <w:tr w:rsidR="00F5550D" w:rsidRPr="003637DF" w14:paraId="2D417F22" w14:textId="77777777" w:rsidTr="0099088D">
        <w:trPr>
          <w:trHeight w:val="375"/>
        </w:trPr>
        <w:tc>
          <w:tcPr>
            <w:tcW w:w="1553" w:type="pct"/>
            <w:tcBorders>
              <w:top w:val="nil"/>
              <w:left w:val="single" w:sz="4" w:space="0" w:color="auto"/>
              <w:bottom w:val="single" w:sz="4" w:space="0" w:color="auto"/>
              <w:right w:val="single" w:sz="4" w:space="0" w:color="auto"/>
            </w:tcBorders>
            <w:shd w:val="clear" w:color="auto" w:fill="auto"/>
            <w:noWrap/>
            <w:vAlign w:val="bottom"/>
            <w:hideMark/>
          </w:tcPr>
          <w:p w14:paraId="1D341D01" w14:textId="77777777" w:rsidR="00F5550D" w:rsidRPr="003637DF" w:rsidRDefault="00F5550D" w:rsidP="0099088D">
            <w:pPr>
              <w:rPr>
                <w:color w:val="000000"/>
                <w:sz w:val="16"/>
                <w:szCs w:val="16"/>
              </w:rPr>
            </w:pPr>
            <w:r w:rsidRPr="003637DF">
              <w:rPr>
                <w:color w:val="000000"/>
                <w:sz w:val="16"/>
                <w:szCs w:val="16"/>
              </w:rPr>
              <w:t>Неподконтрольные расходы, руб.</w:t>
            </w:r>
          </w:p>
        </w:tc>
        <w:tc>
          <w:tcPr>
            <w:tcW w:w="715" w:type="pct"/>
            <w:tcBorders>
              <w:top w:val="nil"/>
              <w:left w:val="nil"/>
              <w:bottom w:val="single" w:sz="4" w:space="0" w:color="auto"/>
              <w:right w:val="single" w:sz="4" w:space="0" w:color="auto"/>
            </w:tcBorders>
            <w:shd w:val="clear" w:color="auto" w:fill="auto"/>
            <w:noWrap/>
            <w:vAlign w:val="bottom"/>
            <w:hideMark/>
          </w:tcPr>
          <w:p w14:paraId="73497BB6" w14:textId="77777777" w:rsidR="00F5550D" w:rsidRPr="00BD29B0" w:rsidRDefault="00F5550D" w:rsidP="0099088D">
            <w:pPr>
              <w:jc w:val="right"/>
              <w:rPr>
                <w:sz w:val="16"/>
                <w:szCs w:val="16"/>
              </w:rPr>
            </w:pPr>
            <w:r w:rsidRPr="00BD29B0">
              <w:rPr>
                <w:sz w:val="16"/>
                <w:szCs w:val="16"/>
              </w:rPr>
              <w:t>128 668 349,14</w:t>
            </w:r>
          </w:p>
        </w:tc>
        <w:tc>
          <w:tcPr>
            <w:tcW w:w="715" w:type="pct"/>
            <w:tcBorders>
              <w:top w:val="nil"/>
              <w:left w:val="nil"/>
              <w:bottom w:val="single" w:sz="4" w:space="0" w:color="auto"/>
              <w:right w:val="single" w:sz="4" w:space="0" w:color="auto"/>
            </w:tcBorders>
            <w:shd w:val="clear" w:color="auto" w:fill="auto"/>
            <w:noWrap/>
            <w:vAlign w:val="bottom"/>
            <w:hideMark/>
          </w:tcPr>
          <w:p w14:paraId="651BF8D7" w14:textId="77777777" w:rsidR="00F5550D" w:rsidRPr="00BD29B0" w:rsidRDefault="00F5550D" w:rsidP="0099088D">
            <w:pPr>
              <w:jc w:val="right"/>
              <w:rPr>
                <w:sz w:val="16"/>
                <w:szCs w:val="16"/>
              </w:rPr>
            </w:pPr>
            <w:r w:rsidRPr="00BD29B0">
              <w:rPr>
                <w:sz w:val="16"/>
                <w:szCs w:val="16"/>
              </w:rPr>
              <w:t>90 044 249,30</w:t>
            </w:r>
          </w:p>
        </w:tc>
        <w:tc>
          <w:tcPr>
            <w:tcW w:w="651" w:type="pct"/>
            <w:tcBorders>
              <w:top w:val="nil"/>
              <w:left w:val="nil"/>
              <w:bottom w:val="single" w:sz="4" w:space="0" w:color="auto"/>
              <w:right w:val="single" w:sz="4" w:space="0" w:color="auto"/>
            </w:tcBorders>
            <w:shd w:val="clear" w:color="auto" w:fill="auto"/>
            <w:noWrap/>
            <w:vAlign w:val="bottom"/>
            <w:hideMark/>
          </w:tcPr>
          <w:p w14:paraId="7D263687" w14:textId="77777777" w:rsidR="00F5550D" w:rsidRPr="00BD29B0" w:rsidRDefault="00F5550D" w:rsidP="0099088D">
            <w:pPr>
              <w:jc w:val="right"/>
              <w:rPr>
                <w:sz w:val="16"/>
                <w:szCs w:val="16"/>
              </w:rPr>
            </w:pPr>
            <w:r w:rsidRPr="00BD29B0">
              <w:rPr>
                <w:sz w:val="16"/>
                <w:szCs w:val="16"/>
              </w:rPr>
              <w:t>52 393 750,45</w:t>
            </w:r>
          </w:p>
        </w:tc>
        <w:tc>
          <w:tcPr>
            <w:tcW w:w="651" w:type="pct"/>
            <w:tcBorders>
              <w:top w:val="nil"/>
              <w:left w:val="nil"/>
              <w:bottom w:val="single" w:sz="4" w:space="0" w:color="auto"/>
              <w:right w:val="single" w:sz="4" w:space="0" w:color="auto"/>
            </w:tcBorders>
            <w:shd w:val="clear" w:color="auto" w:fill="auto"/>
            <w:noWrap/>
            <w:vAlign w:val="bottom"/>
            <w:hideMark/>
          </w:tcPr>
          <w:p w14:paraId="3E06E4DC" w14:textId="77777777" w:rsidR="00F5550D" w:rsidRPr="00BD29B0" w:rsidRDefault="00F5550D" w:rsidP="0099088D">
            <w:pPr>
              <w:jc w:val="right"/>
              <w:rPr>
                <w:sz w:val="16"/>
                <w:szCs w:val="16"/>
              </w:rPr>
            </w:pPr>
            <w:r w:rsidRPr="00BD29B0">
              <w:rPr>
                <w:sz w:val="16"/>
                <w:szCs w:val="16"/>
              </w:rPr>
              <w:t>22 275 167,24</w:t>
            </w:r>
          </w:p>
        </w:tc>
        <w:tc>
          <w:tcPr>
            <w:tcW w:w="715" w:type="pct"/>
            <w:tcBorders>
              <w:top w:val="nil"/>
              <w:left w:val="nil"/>
              <w:bottom w:val="single" w:sz="4" w:space="0" w:color="auto"/>
              <w:right w:val="single" w:sz="4" w:space="0" w:color="auto"/>
            </w:tcBorders>
            <w:shd w:val="clear" w:color="auto" w:fill="auto"/>
            <w:noWrap/>
            <w:vAlign w:val="bottom"/>
            <w:hideMark/>
          </w:tcPr>
          <w:p w14:paraId="2986A3AA" w14:textId="77777777" w:rsidR="00F5550D" w:rsidRPr="00BD29B0" w:rsidRDefault="00F5550D" w:rsidP="0099088D">
            <w:pPr>
              <w:jc w:val="right"/>
              <w:rPr>
                <w:sz w:val="16"/>
                <w:szCs w:val="16"/>
              </w:rPr>
            </w:pPr>
            <w:r w:rsidRPr="00BD29B0">
              <w:rPr>
                <w:sz w:val="16"/>
                <w:szCs w:val="16"/>
              </w:rPr>
              <w:t>60 504 319,38</w:t>
            </w:r>
          </w:p>
        </w:tc>
      </w:tr>
      <w:tr w:rsidR="00F5550D" w:rsidRPr="003637DF" w14:paraId="3B3A4998" w14:textId="77777777" w:rsidTr="0099088D">
        <w:trPr>
          <w:trHeight w:val="1500"/>
        </w:trPr>
        <w:tc>
          <w:tcPr>
            <w:tcW w:w="1553" w:type="pct"/>
            <w:tcBorders>
              <w:top w:val="nil"/>
              <w:left w:val="single" w:sz="4" w:space="0" w:color="auto"/>
              <w:bottom w:val="single" w:sz="4" w:space="0" w:color="auto"/>
              <w:right w:val="single" w:sz="4" w:space="0" w:color="auto"/>
            </w:tcBorders>
            <w:shd w:val="clear" w:color="auto" w:fill="auto"/>
            <w:vAlign w:val="bottom"/>
            <w:hideMark/>
          </w:tcPr>
          <w:p w14:paraId="44B7150A" w14:textId="77777777" w:rsidR="00F5550D" w:rsidRPr="003637DF" w:rsidRDefault="00F5550D" w:rsidP="0099088D">
            <w:pPr>
              <w:rPr>
                <w:color w:val="000000"/>
                <w:sz w:val="16"/>
                <w:szCs w:val="16"/>
              </w:rPr>
            </w:pPr>
            <w:r w:rsidRPr="003637DF">
              <w:rPr>
                <w:color w:val="000000"/>
                <w:sz w:val="16"/>
                <w:szCs w:val="16"/>
              </w:rPr>
              <w:t>Недополученные ("+") или излишне полученные ("-") доходы от осуществления деятельности ГП в отношении населения за период, предшествующий базовому (i-2), руб.</w:t>
            </w:r>
          </w:p>
        </w:tc>
        <w:tc>
          <w:tcPr>
            <w:tcW w:w="715" w:type="pct"/>
            <w:tcBorders>
              <w:top w:val="nil"/>
              <w:left w:val="nil"/>
              <w:bottom w:val="single" w:sz="4" w:space="0" w:color="auto"/>
              <w:right w:val="single" w:sz="4" w:space="0" w:color="auto"/>
            </w:tcBorders>
            <w:shd w:val="clear" w:color="auto" w:fill="auto"/>
            <w:noWrap/>
            <w:vAlign w:val="bottom"/>
            <w:hideMark/>
          </w:tcPr>
          <w:p w14:paraId="3EAF0ABB" w14:textId="77777777" w:rsidR="00F5550D" w:rsidRPr="00BD29B0" w:rsidRDefault="00F5550D" w:rsidP="0099088D">
            <w:pPr>
              <w:jc w:val="right"/>
              <w:rPr>
                <w:sz w:val="16"/>
                <w:szCs w:val="16"/>
              </w:rPr>
            </w:pPr>
            <w:r w:rsidRPr="00BD29B0">
              <w:rPr>
                <w:sz w:val="16"/>
                <w:szCs w:val="16"/>
              </w:rPr>
              <w:t>224 970 826,18</w:t>
            </w:r>
          </w:p>
        </w:tc>
        <w:tc>
          <w:tcPr>
            <w:tcW w:w="715" w:type="pct"/>
            <w:tcBorders>
              <w:top w:val="nil"/>
              <w:left w:val="nil"/>
              <w:bottom w:val="single" w:sz="4" w:space="0" w:color="auto"/>
              <w:right w:val="single" w:sz="4" w:space="0" w:color="auto"/>
            </w:tcBorders>
            <w:shd w:val="clear" w:color="auto" w:fill="auto"/>
            <w:noWrap/>
            <w:vAlign w:val="bottom"/>
            <w:hideMark/>
          </w:tcPr>
          <w:p w14:paraId="5C3B8990" w14:textId="77777777" w:rsidR="00F5550D" w:rsidRPr="00BD29B0" w:rsidRDefault="00F5550D" w:rsidP="0099088D">
            <w:pPr>
              <w:jc w:val="right"/>
              <w:rPr>
                <w:sz w:val="16"/>
                <w:szCs w:val="16"/>
              </w:rPr>
            </w:pPr>
            <w:r w:rsidRPr="00BD29B0">
              <w:rPr>
                <w:sz w:val="16"/>
                <w:szCs w:val="16"/>
              </w:rPr>
              <w:t>-11 288 944,42</w:t>
            </w:r>
          </w:p>
        </w:tc>
        <w:tc>
          <w:tcPr>
            <w:tcW w:w="651" w:type="pct"/>
            <w:tcBorders>
              <w:top w:val="nil"/>
              <w:left w:val="nil"/>
              <w:bottom w:val="single" w:sz="4" w:space="0" w:color="auto"/>
              <w:right w:val="single" w:sz="4" w:space="0" w:color="auto"/>
            </w:tcBorders>
            <w:shd w:val="clear" w:color="auto" w:fill="auto"/>
            <w:noWrap/>
            <w:vAlign w:val="bottom"/>
            <w:hideMark/>
          </w:tcPr>
          <w:p w14:paraId="73194D26" w14:textId="77777777" w:rsidR="00F5550D" w:rsidRPr="00BD29B0" w:rsidRDefault="00F5550D" w:rsidP="0099088D">
            <w:pPr>
              <w:jc w:val="right"/>
              <w:rPr>
                <w:sz w:val="16"/>
                <w:szCs w:val="16"/>
              </w:rPr>
            </w:pPr>
            <w:r w:rsidRPr="00BD29B0">
              <w:rPr>
                <w:sz w:val="16"/>
                <w:szCs w:val="16"/>
              </w:rPr>
              <w:t>17 727 826,44</w:t>
            </w:r>
          </w:p>
        </w:tc>
        <w:tc>
          <w:tcPr>
            <w:tcW w:w="651" w:type="pct"/>
            <w:tcBorders>
              <w:top w:val="nil"/>
              <w:left w:val="nil"/>
              <w:bottom w:val="single" w:sz="4" w:space="0" w:color="auto"/>
              <w:right w:val="single" w:sz="4" w:space="0" w:color="auto"/>
            </w:tcBorders>
            <w:shd w:val="clear" w:color="auto" w:fill="auto"/>
            <w:noWrap/>
            <w:vAlign w:val="bottom"/>
            <w:hideMark/>
          </w:tcPr>
          <w:p w14:paraId="2CB1A3F7" w14:textId="77777777" w:rsidR="00F5550D" w:rsidRPr="00BD29B0" w:rsidRDefault="00F5550D" w:rsidP="0099088D">
            <w:pPr>
              <w:jc w:val="right"/>
              <w:rPr>
                <w:sz w:val="16"/>
                <w:szCs w:val="16"/>
              </w:rPr>
            </w:pPr>
            <w:r w:rsidRPr="00BD29B0">
              <w:rPr>
                <w:sz w:val="16"/>
                <w:szCs w:val="16"/>
              </w:rPr>
              <w:t>5 573 736,49</w:t>
            </w:r>
          </w:p>
        </w:tc>
        <w:tc>
          <w:tcPr>
            <w:tcW w:w="715" w:type="pct"/>
            <w:tcBorders>
              <w:top w:val="nil"/>
              <w:left w:val="nil"/>
              <w:bottom w:val="single" w:sz="4" w:space="0" w:color="auto"/>
              <w:right w:val="single" w:sz="4" w:space="0" w:color="auto"/>
            </w:tcBorders>
            <w:shd w:val="clear" w:color="auto" w:fill="auto"/>
            <w:noWrap/>
            <w:vAlign w:val="bottom"/>
            <w:hideMark/>
          </w:tcPr>
          <w:p w14:paraId="35EC09A2" w14:textId="77777777" w:rsidR="00F5550D" w:rsidRPr="00BD29B0" w:rsidRDefault="00F5550D" w:rsidP="0099088D">
            <w:pPr>
              <w:jc w:val="right"/>
              <w:rPr>
                <w:sz w:val="16"/>
                <w:szCs w:val="16"/>
              </w:rPr>
            </w:pPr>
            <w:r w:rsidRPr="00BD29B0">
              <w:rPr>
                <w:sz w:val="16"/>
                <w:szCs w:val="16"/>
              </w:rPr>
              <w:t>162 461 627,54</w:t>
            </w:r>
          </w:p>
        </w:tc>
      </w:tr>
      <w:tr w:rsidR="00F5550D" w:rsidRPr="003637DF" w14:paraId="78A8B5A1" w14:textId="77777777" w:rsidTr="0099088D">
        <w:trPr>
          <w:trHeight w:val="750"/>
        </w:trPr>
        <w:tc>
          <w:tcPr>
            <w:tcW w:w="1553" w:type="pct"/>
            <w:tcBorders>
              <w:top w:val="nil"/>
              <w:left w:val="single" w:sz="4" w:space="0" w:color="auto"/>
              <w:bottom w:val="single" w:sz="4" w:space="0" w:color="auto"/>
              <w:right w:val="single" w:sz="4" w:space="0" w:color="auto"/>
            </w:tcBorders>
            <w:shd w:val="clear" w:color="000000" w:fill="FFFFFF"/>
            <w:vAlign w:val="bottom"/>
            <w:hideMark/>
          </w:tcPr>
          <w:p w14:paraId="46261978" w14:textId="77777777" w:rsidR="00F5550D" w:rsidRPr="003637DF" w:rsidRDefault="00F5550D" w:rsidP="0099088D">
            <w:pPr>
              <w:rPr>
                <w:color w:val="000000"/>
                <w:sz w:val="16"/>
                <w:szCs w:val="16"/>
              </w:rPr>
            </w:pPr>
            <w:r w:rsidRPr="003637DF">
              <w:rPr>
                <w:color w:val="000000"/>
                <w:sz w:val="16"/>
                <w:szCs w:val="16"/>
              </w:rPr>
              <w:t>Выпадающие доходы ГП, связанные с установлением тарифов для населения</w:t>
            </w:r>
          </w:p>
        </w:tc>
        <w:tc>
          <w:tcPr>
            <w:tcW w:w="715" w:type="pct"/>
            <w:tcBorders>
              <w:top w:val="nil"/>
              <w:left w:val="nil"/>
              <w:bottom w:val="single" w:sz="4" w:space="0" w:color="auto"/>
              <w:right w:val="single" w:sz="4" w:space="0" w:color="auto"/>
            </w:tcBorders>
            <w:shd w:val="clear" w:color="000000" w:fill="FFFFFF"/>
            <w:noWrap/>
            <w:vAlign w:val="bottom"/>
            <w:hideMark/>
          </w:tcPr>
          <w:p w14:paraId="3EABF4D9" w14:textId="77777777" w:rsidR="00F5550D" w:rsidRPr="00BD29B0" w:rsidRDefault="00F5550D" w:rsidP="0099088D">
            <w:pPr>
              <w:jc w:val="right"/>
              <w:rPr>
                <w:sz w:val="16"/>
                <w:szCs w:val="16"/>
              </w:rPr>
            </w:pPr>
            <w:r w:rsidRPr="00BD29B0">
              <w:rPr>
                <w:sz w:val="16"/>
                <w:szCs w:val="16"/>
              </w:rPr>
              <w:t> </w:t>
            </w:r>
          </w:p>
        </w:tc>
        <w:tc>
          <w:tcPr>
            <w:tcW w:w="715" w:type="pct"/>
            <w:tcBorders>
              <w:top w:val="nil"/>
              <w:left w:val="nil"/>
              <w:bottom w:val="single" w:sz="4" w:space="0" w:color="auto"/>
              <w:right w:val="single" w:sz="4" w:space="0" w:color="auto"/>
            </w:tcBorders>
            <w:shd w:val="clear" w:color="000000" w:fill="FFFFFF"/>
            <w:noWrap/>
            <w:vAlign w:val="bottom"/>
            <w:hideMark/>
          </w:tcPr>
          <w:p w14:paraId="65DD0405" w14:textId="77777777" w:rsidR="00F5550D" w:rsidRPr="00BD29B0" w:rsidRDefault="00F5550D" w:rsidP="0099088D">
            <w:pPr>
              <w:jc w:val="right"/>
              <w:rPr>
                <w:sz w:val="16"/>
                <w:szCs w:val="16"/>
              </w:rPr>
            </w:pPr>
            <w:r w:rsidRPr="00BD29B0">
              <w:rPr>
                <w:sz w:val="16"/>
                <w:szCs w:val="16"/>
              </w:rPr>
              <w:t> </w:t>
            </w:r>
          </w:p>
        </w:tc>
        <w:tc>
          <w:tcPr>
            <w:tcW w:w="651" w:type="pct"/>
            <w:tcBorders>
              <w:top w:val="nil"/>
              <w:left w:val="nil"/>
              <w:bottom w:val="single" w:sz="4" w:space="0" w:color="auto"/>
              <w:right w:val="single" w:sz="4" w:space="0" w:color="auto"/>
            </w:tcBorders>
            <w:shd w:val="clear" w:color="000000" w:fill="FFFFFF"/>
            <w:noWrap/>
            <w:vAlign w:val="bottom"/>
            <w:hideMark/>
          </w:tcPr>
          <w:p w14:paraId="6AF00FD3" w14:textId="77777777" w:rsidR="00F5550D" w:rsidRPr="00BD29B0" w:rsidRDefault="00F5550D" w:rsidP="0099088D">
            <w:pPr>
              <w:jc w:val="right"/>
              <w:rPr>
                <w:sz w:val="16"/>
                <w:szCs w:val="16"/>
              </w:rPr>
            </w:pPr>
            <w:r w:rsidRPr="00BD29B0">
              <w:rPr>
                <w:sz w:val="16"/>
                <w:szCs w:val="16"/>
              </w:rPr>
              <w:t> </w:t>
            </w:r>
          </w:p>
        </w:tc>
        <w:tc>
          <w:tcPr>
            <w:tcW w:w="651" w:type="pct"/>
            <w:tcBorders>
              <w:top w:val="nil"/>
              <w:left w:val="nil"/>
              <w:bottom w:val="single" w:sz="4" w:space="0" w:color="auto"/>
              <w:right w:val="single" w:sz="4" w:space="0" w:color="auto"/>
            </w:tcBorders>
            <w:shd w:val="clear" w:color="000000" w:fill="FFFFFF"/>
            <w:noWrap/>
            <w:vAlign w:val="bottom"/>
            <w:hideMark/>
          </w:tcPr>
          <w:p w14:paraId="169C13F5" w14:textId="77777777" w:rsidR="00F5550D" w:rsidRPr="00BD29B0" w:rsidRDefault="00F5550D" w:rsidP="0099088D">
            <w:pPr>
              <w:jc w:val="right"/>
              <w:rPr>
                <w:sz w:val="16"/>
                <w:szCs w:val="16"/>
              </w:rPr>
            </w:pPr>
            <w:r w:rsidRPr="00BD29B0">
              <w:rPr>
                <w:sz w:val="16"/>
                <w:szCs w:val="16"/>
              </w:rPr>
              <w:t> </w:t>
            </w:r>
          </w:p>
        </w:tc>
        <w:tc>
          <w:tcPr>
            <w:tcW w:w="715" w:type="pct"/>
            <w:tcBorders>
              <w:top w:val="nil"/>
              <w:left w:val="nil"/>
              <w:bottom w:val="single" w:sz="4" w:space="0" w:color="auto"/>
              <w:right w:val="single" w:sz="4" w:space="0" w:color="auto"/>
            </w:tcBorders>
            <w:shd w:val="clear" w:color="000000" w:fill="FFFFFF"/>
            <w:noWrap/>
            <w:vAlign w:val="bottom"/>
            <w:hideMark/>
          </w:tcPr>
          <w:p w14:paraId="7CB64CAE" w14:textId="77777777" w:rsidR="00F5550D" w:rsidRPr="00BD29B0" w:rsidRDefault="00F5550D" w:rsidP="0099088D">
            <w:pPr>
              <w:jc w:val="right"/>
              <w:rPr>
                <w:sz w:val="16"/>
                <w:szCs w:val="16"/>
              </w:rPr>
            </w:pPr>
            <w:r w:rsidRPr="00BD29B0">
              <w:rPr>
                <w:sz w:val="16"/>
                <w:szCs w:val="16"/>
              </w:rPr>
              <w:t>635 794 717,37</w:t>
            </w:r>
          </w:p>
        </w:tc>
      </w:tr>
      <w:tr w:rsidR="00F5550D" w:rsidRPr="003637DF" w14:paraId="74BAC615" w14:textId="77777777" w:rsidTr="0099088D">
        <w:trPr>
          <w:trHeight w:val="750"/>
        </w:trPr>
        <w:tc>
          <w:tcPr>
            <w:tcW w:w="1553" w:type="pct"/>
            <w:tcBorders>
              <w:top w:val="nil"/>
              <w:left w:val="single" w:sz="4" w:space="0" w:color="auto"/>
              <w:bottom w:val="single" w:sz="4" w:space="0" w:color="auto"/>
              <w:right w:val="single" w:sz="4" w:space="0" w:color="auto"/>
            </w:tcBorders>
            <w:shd w:val="clear" w:color="auto" w:fill="auto"/>
            <w:vAlign w:val="bottom"/>
            <w:hideMark/>
          </w:tcPr>
          <w:p w14:paraId="7B4CDC98" w14:textId="77777777" w:rsidR="00F5550D" w:rsidRPr="004145A7" w:rsidRDefault="00F5550D" w:rsidP="0099088D">
            <w:pPr>
              <w:rPr>
                <w:b/>
                <w:color w:val="000000"/>
                <w:sz w:val="16"/>
                <w:szCs w:val="16"/>
              </w:rPr>
            </w:pPr>
            <w:r w:rsidRPr="004145A7">
              <w:rPr>
                <w:b/>
                <w:color w:val="000000"/>
                <w:sz w:val="16"/>
                <w:szCs w:val="16"/>
              </w:rPr>
              <w:t>Всего НВВ методом сравнения аналогов по долям, руб. (п.1*п.6+п.2+п.3+п.4)</w:t>
            </w:r>
          </w:p>
        </w:tc>
        <w:tc>
          <w:tcPr>
            <w:tcW w:w="715" w:type="pct"/>
            <w:tcBorders>
              <w:top w:val="nil"/>
              <w:left w:val="nil"/>
              <w:bottom w:val="single" w:sz="4" w:space="0" w:color="auto"/>
              <w:right w:val="single" w:sz="4" w:space="0" w:color="auto"/>
            </w:tcBorders>
            <w:shd w:val="clear" w:color="000000" w:fill="FFFFFF"/>
            <w:noWrap/>
            <w:vAlign w:val="bottom"/>
            <w:hideMark/>
          </w:tcPr>
          <w:p w14:paraId="4EB79DD7" w14:textId="77777777" w:rsidR="00F5550D" w:rsidRPr="004145A7" w:rsidRDefault="00F5550D" w:rsidP="0099088D">
            <w:pPr>
              <w:jc w:val="right"/>
              <w:rPr>
                <w:b/>
                <w:sz w:val="16"/>
                <w:szCs w:val="16"/>
              </w:rPr>
            </w:pPr>
            <w:r w:rsidRPr="004145A7">
              <w:rPr>
                <w:b/>
                <w:sz w:val="16"/>
                <w:szCs w:val="16"/>
              </w:rPr>
              <w:t>2 041 075 595,08</w:t>
            </w:r>
          </w:p>
        </w:tc>
        <w:tc>
          <w:tcPr>
            <w:tcW w:w="715" w:type="pct"/>
            <w:tcBorders>
              <w:top w:val="nil"/>
              <w:left w:val="nil"/>
              <w:bottom w:val="single" w:sz="4" w:space="0" w:color="auto"/>
              <w:right w:val="single" w:sz="4" w:space="0" w:color="auto"/>
            </w:tcBorders>
            <w:shd w:val="clear" w:color="000000" w:fill="FFFFFF"/>
            <w:noWrap/>
            <w:vAlign w:val="bottom"/>
            <w:hideMark/>
          </w:tcPr>
          <w:p w14:paraId="752F2D39" w14:textId="77777777" w:rsidR="00F5550D" w:rsidRPr="004145A7" w:rsidRDefault="00F5550D" w:rsidP="0099088D">
            <w:pPr>
              <w:jc w:val="right"/>
              <w:rPr>
                <w:b/>
                <w:sz w:val="16"/>
                <w:szCs w:val="16"/>
              </w:rPr>
            </w:pPr>
            <w:r w:rsidRPr="004145A7">
              <w:rPr>
                <w:b/>
                <w:sz w:val="16"/>
                <w:szCs w:val="16"/>
              </w:rPr>
              <w:t>1 163 923 800,29</w:t>
            </w:r>
          </w:p>
        </w:tc>
        <w:tc>
          <w:tcPr>
            <w:tcW w:w="651" w:type="pct"/>
            <w:tcBorders>
              <w:top w:val="nil"/>
              <w:left w:val="nil"/>
              <w:bottom w:val="single" w:sz="4" w:space="0" w:color="auto"/>
              <w:right w:val="single" w:sz="4" w:space="0" w:color="auto"/>
            </w:tcBorders>
            <w:shd w:val="clear" w:color="000000" w:fill="FFFFFF"/>
            <w:noWrap/>
            <w:vAlign w:val="bottom"/>
            <w:hideMark/>
          </w:tcPr>
          <w:p w14:paraId="2DE6E808" w14:textId="77777777" w:rsidR="00F5550D" w:rsidRPr="004145A7" w:rsidRDefault="00F5550D" w:rsidP="0099088D">
            <w:pPr>
              <w:jc w:val="right"/>
              <w:rPr>
                <w:b/>
                <w:sz w:val="16"/>
                <w:szCs w:val="16"/>
              </w:rPr>
            </w:pPr>
            <w:r w:rsidRPr="004145A7">
              <w:rPr>
                <w:b/>
                <w:sz w:val="16"/>
                <w:szCs w:val="16"/>
              </w:rPr>
              <w:t>263 435 456,52</w:t>
            </w:r>
          </w:p>
        </w:tc>
        <w:tc>
          <w:tcPr>
            <w:tcW w:w="651" w:type="pct"/>
            <w:tcBorders>
              <w:top w:val="nil"/>
              <w:left w:val="nil"/>
              <w:bottom w:val="single" w:sz="4" w:space="0" w:color="auto"/>
              <w:right w:val="single" w:sz="4" w:space="0" w:color="auto"/>
            </w:tcBorders>
            <w:shd w:val="clear" w:color="000000" w:fill="FFFFFF"/>
            <w:noWrap/>
            <w:vAlign w:val="bottom"/>
            <w:hideMark/>
          </w:tcPr>
          <w:p w14:paraId="0E604C5B" w14:textId="77777777" w:rsidR="00F5550D" w:rsidRPr="004145A7" w:rsidRDefault="00F5550D" w:rsidP="0099088D">
            <w:pPr>
              <w:jc w:val="right"/>
              <w:rPr>
                <w:b/>
                <w:sz w:val="16"/>
                <w:szCs w:val="16"/>
              </w:rPr>
            </w:pPr>
            <w:r w:rsidRPr="004145A7">
              <w:rPr>
                <w:b/>
                <w:sz w:val="16"/>
                <w:szCs w:val="16"/>
              </w:rPr>
              <w:t>88 932 766,94</w:t>
            </w:r>
          </w:p>
        </w:tc>
        <w:tc>
          <w:tcPr>
            <w:tcW w:w="715" w:type="pct"/>
            <w:tcBorders>
              <w:top w:val="nil"/>
              <w:left w:val="nil"/>
              <w:bottom w:val="single" w:sz="4" w:space="0" w:color="auto"/>
              <w:right w:val="single" w:sz="4" w:space="0" w:color="auto"/>
            </w:tcBorders>
            <w:shd w:val="clear" w:color="000000" w:fill="FFFFFF"/>
            <w:noWrap/>
            <w:vAlign w:val="bottom"/>
            <w:hideMark/>
          </w:tcPr>
          <w:p w14:paraId="1F5E038C" w14:textId="77777777" w:rsidR="00F5550D" w:rsidRPr="004145A7" w:rsidRDefault="00F5550D" w:rsidP="0099088D">
            <w:pPr>
              <w:jc w:val="right"/>
              <w:rPr>
                <w:b/>
                <w:sz w:val="16"/>
                <w:szCs w:val="16"/>
              </w:rPr>
            </w:pPr>
            <w:r w:rsidRPr="004145A7">
              <w:rPr>
                <w:b/>
                <w:sz w:val="16"/>
                <w:szCs w:val="16"/>
              </w:rPr>
              <w:t>1 073 544 698,72</w:t>
            </w:r>
          </w:p>
        </w:tc>
      </w:tr>
    </w:tbl>
    <w:p w14:paraId="3C4E049F" w14:textId="77777777" w:rsidR="00F5550D" w:rsidRDefault="00F5550D" w:rsidP="00F5550D"/>
    <w:p w14:paraId="178371D9" w14:textId="77777777" w:rsidR="00F5550D" w:rsidRDefault="00F5550D" w:rsidP="00F5550D">
      <w:pPr>
        <w:tabs>
          <w:tab w:val="left" w:pos="5580"/>
          <w:tab w:val="left" w:pos="9498"/>
        </w:tabs>
        <w:ind w:right="-569"/>
        <w:rPr>
          <w:color w:val="000000" w:themeColor="text1"/>
        </w:rPr>
        <w:sectPr w:rsidR="00F5550D" w:rsidSect="00F5550D">
          <w:pgSz w:w="11906" w:h="16838"/>
          <w:pgMar w:top="709" w:right="851" w:bottom="851" w:left="709" w:header="426" w:footer="407" w:gutter="0"/>
          <w:cols w:space="708"/>
          <w:titlePg/>
          <w:docGrid w:linePitch="360"/>
        </w:sectPr>
      </w:pPr>
    </w:p>
    <w:p w14:paraId="28B344EF" w14:textId="111D66F1" w:rsidR="00F5550D" w:rsidRPr="00081AD4" w:rsidRDefault="00F5550D" w:rsidP="00F5550D">
      <w:pPr>
        <w:tabs>
          <w:tab w:val="left" w:pos="5580"/>
          <w:tab w:val="left" w:pos="9498"/>
        </w:tabs>
        <w:ind w:left="-3734" w:right="-569" w:firstLine="10397"/>
        <w:rPr>
          <w:color w:val="000000" w:themeColor="text1"/>
        </w:rPr>
      </w:pPr>
      <w:r w:rsidRPr="00081AD4">
        <w:rPr>
          <w:color w:val="000000" w:themeColor="text1"/>
        </w:rPr>
        <w:t xml:space="preserve">Приложение № </w:t>
      </w:r>
      <w:r>
        <w:rPr>
          <w:color w:val="000000" w:themeColor="text1"/>
        </w:rPr>
        <w:t>3 к протоколу</w:t>
      </w:r>
      <w:r w:rsidRPr="00081AD4">
        <w:rPr>
          <w:color w:val="000000" w:themeColor="text1"/>
        </w:rPr>
        <w:t xml:space="preserve"> № </w:t>
      </w:r>
      <w:r>
        <w:rPr>
          <w:color w:val="000000" w:themeColor="text1"/>
        </w:rPr>
        <w:t>88</w:t>
      </w:r>
    </w:p>
    <w:p w14:paraId="00685A06" w14:textId="77777777" w:rsidR="00F5550D" w:rsidRPr="00081AD4" w:rsidRDefault="00F5550D" w:rsidP="00F5550D">
      <w:pPr>
        <w:tabs>
          <w:tab w:val="left" w:pos="5580"/>
          <w:tab w:val="left" w:pos="9498"/>
        </w:tabs>
        <w:ind w:left="-3734" w:right="-569" w:firstLine="10397"/>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3E523973" w14:textId="77777777" w:rsidR="00F5550D" w:rsidRPr="00081AD4" w:rsidRDefault="00F5550D" w:rsidP="00F5550D">
      <w:pPr>
        <w:tabs>
          <w:tab w:val="left" w:pos="5580"/>
          <w:tab w:val="left" w:pos="9498"/>
        </w:tabs>
        <w:ind w:left="-3734" w:right="-569" w:firstLine="10397"/>
        <w:rPr>
          <w:color w:val="000000" w:themeColor="text1"/>
        </w:rPr>
      </w:pPr>
      <w:r w:rsidRPr="00081AD4">
        <w:rPr>
          <w:color w:val="000000" w:themeColor="text1"/>
        </w:rPr>
        <w:t>энергетической комиссии</w:t>
      </w:r>
    </w:p>
    <w:p w14:paraId="7372BD21" w14:textId="77777777" w:rsidR="00F5550D" w:rsidRDefault="00F5550D" w:rsidP="00F5550D">
      <w:pPr>
        <w:tabs>
          <w:tab w:val="left" w:pos="5580"/>
          <w:tab w:val="left" w:pos="9498"/>
        </w:tabs>
        <w:ind w:left="-3734" w:right="-569" w:firstLine="10397"/>
        <w:rPr>
          <w:color w:val="000000" w:themeColor="text1"/>
        </w:rPr>
      </w:pPr>
      <w:r w:rsidRPr="00081AD4">
        <w:rPr>
          <w:color w:val="000000" w:themeColor="text1"/>
        </w:rPr>
        <w:t xml:space="preserve">Кузбасса от </w:t>
      </w:r>
      <w:r>
        <w:rPr>
          <w:color w:val="000000" w:themeColor="text1"/>
        </w:rPr>
        <w:t>23</w:t>
      </w:r>
      <w:r w:rsidRPr="00081AD4">
        <w:rPr>
          <w:color w:val="000000" w:themeColor="text1"/>
        </w:rPr>
        <w:t>.</w:t>
      </w:r>
      <w:r>
        <w:rPr>
          <w:color w:val="000000" w:themeColor="text1"/>
        </w:rPr>
        <w:t>12</w:t>
      </w:r>
      <w:r w:rsidRPr="00081AD4">
        <w:rPr>
          <w:color w:val="000000" w:themeColor="text1"/>
        </w:rPr>
        <w:t>.202</w:t>
      </w:r>
      <w:r>
        <w:rPr>
          <w:color w:val="000000" w:themeColor="text1"/>
        </w:rPr>
        <w:t>1</w:t>
      </w:r>
    </w:p>
    <w:p w14:paraId="13CE86BD" w14:textId="77777777" w:rsidR="00F5550D" w:rsidRDefault="00F5550D" w:rsidP="00F5550D">
      <w:pPr>
        <w:tabs>
          <w:tab w:val="left" w:pos="5580"/>
          <w:tab w:val="left" w:pos="9498"/>
        </w:tabs>
        <w:ind w:left="-3734" w:right="-569" w:firstLine="10397"/>
        <w:rPr>
          <w:color w:val="000000" w:themeColor="text1"/>
        </w:rPr>
      </w:pPr>
    </w:p>
    <w:p w14:paraId="47B39D0E" w14:textId="77777777" w:rsidR="00F5550D" w:rsidRPr="00084B5B" w:rsidRDefault="00F5550D" w:rsidP="00F5550D">
      <w:pPr>
        <w:jc w:val="center"/>
        <w:rPr>
          <w:b/>
          <w:bCs/>
          <w:color w:val="000000"/>
        </w:rPr>
      </w:pPr>
      <w:r w:rsidRPr="00084B5B">
        <w:rPr>
          <w:b/>
          <w:bCs/>
          <w:color w:val="000000"/>
        </w:rPr>
        <w:t xml:space="preserve">Необходимая валовая выручка ГП (ООО «Металлэнергофинанс») </w:t>
      </w:r>
    </w:p>
    <w:p w14:paraId="509D06F0" w14:textId="77777777" w:rsidR="00F5550D" w:rsidRPr="00084B5B" w:rsidRDefault="00F5550D" w:rsidP="00F5550D">
      <w:pPr>
        <w:jc w:val="center"/>
        <w:rPr>
          <w:b/>
          <w:bCs/>
          <w:color w:val="000000"/>
        </w:rPr>
      </w:pPr>
      <w:r w:rsidRPr="00084B5B">
        <w:rPr>
          <w:b/>
          <w:bCs/>
          <w:color w:val="000000"/>
        </w:rPr>
        <w:t>на 2022 год</w:t>
      </w:r>
    </w:p>
    <w:p w14:paraId="332011C2" w14:textId="77777777" w:rsidR="00F5550D" w:rsidRPr="00084B5B" w:rsidRDefault="00F5550D" w:rsidP="00F5550D">
      <w:pPr>
        <w:jc w:val="center"/>
        <w:rPr>
          <w:b/>
          <w:bCs/>
          <w:color w:val="000000"/>
        </w:rPr>
      </w:pPr>
    </w:p>
    <w:tbl>
      <w:tblPr>
        <w:tblW w:w="9634" w:type="dxa"/>
        <w:jc w:val="center"/>
        <w:tblLook w:val="04A0" w:firstRow="1" w:lastRow="0" w:firstColumn="1" w:lastColumn="0" w:noHBand="0" w:noVBand="1"/>
      </w:tblPr>
      <w:tblGrid>
        <w:gridCol w:w="2122"/>
        <w:gridCol w:w="1559"/>
        <w:gridCol w:w="1559"/>
        <w:gridCol w:w="1559"/>
        <w:gridCol w:w="1418"/>
        <w:gridCol w:w="1417"/>
      </w:tblGrid>
      <w:tr w:rsidR="00F5550D" w:rsidRPr="00084B5B" w14:paraId="61B2F820" w14:textId="77777777" w:rsidTr="00F5550D">
        <w:trPr>
          <w:trHeight w:val="1500"/>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5620E1" w14:textId="77777777" w:rsidR="00F5550D" w:rsidRPr="00084B5B" w:rsidRDefault="00F5550D" w:rsidP="0099088D">
            <w:pPr>
              <w:jc w:val="center"/>
              <w:rPr>
                <w:color w:val="000000"/>
                <w:sz w:val="20"/>
              </w:rPr>
            </w:pPr>
            <w:r w:rsidRPr="00084B5B">
              <w:rPr>
                <w:color w:val="000000"/>
                <w:sz w:val="20"/>
              </w:rPr>
              <w:t>Показатель</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3385D09" w14:textId="77777777" w:rsidR="00F5550D" w:rsidRPr="00084B5B" w:rsidRDefault="00F5550D" w:rsidP="0099088D">
            <w:pPr>
              <w:jc w:val="center"/>
              <w:rPr>
                <w:color w:val="000000"/>
                <w:sz w:val="20"/>
              </w:rPr>
            </w:pPr>
            <w:r w:rsidRPr="00084B5B">
              <w:rPr>
                <w:color w:val="000000"/>
                <w:sz w:val="20"/>
              </w:rPr>
              <w:t>Население</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4560182" w14:textId="77777777" w:rsidR="00F5550D" w:rsidRPr="00084B5B" w:rsidRDefault="00F5550D" w:rsidP="0099088D">
            <w:pPr>
              <w:jc w:val="center"/>
              <w:rPr>
                <w:color w:val="000000"/>
                <w:sz w:val="20"/>
              </w:rPr>
            </w:pPr>
            <w:r w:rsidRPr="00084B5B">
              <w:rPr>
                <w:color w:val="000000"/>
                <w:sz w:val="20"/>
              </w:rPr>
              <w:t>Прочие потребители менее 670 кВт</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2848688" w14:textId="77777777" w:rsidR="00F5550D" w:rsidRPr="00084B5B" w:rsidRDefault="00F5550D" w:rsidP="0099088D">
            <w:pPr>
              <w:jc w:val="center"/>
              <w:rPr>
                <w:color w:val="000000"/>
                <w:sz w:val="20"/>
              </w:rPr>
            </w:pPr>
            <w:r w:rsidRPr="00084B5B">
              <w:rPr>
                <w:color w:val="000000"/>
                <w:sz w:val="20"/>
              </w:rPr>
              <w:t>Прочие потребители от 670 кВт до 10 МВт</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129F2FC" w14:textId="77777777" w:rsidR="00F5550D" w:rsidRPr="00084B5B" w:rsidRDefault="00F5550D" w:rsidP="0099088D">
            <w:pPr>
              <w:jc w:val="center"/>
              <w:rPr>
                <w:color w:val="000000"/>
                <w:sz w:val="20"/>
              </w:rPr>
            </w:pPr>
            <w:r w:rsidRPr="00084B5B">
              <w:rPr>
                <w:color w:val="000000"/>
                <w:sz w:val="20"/>
              </w:rPr>
              <w:t>Прочие потребители не менее 10 МВт</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15B96BE" w14:textId="77777777" w:rsidR="00F5550D" w:rsidRPr="00084B5B" w:rsidRDefault="00F5550D" w:rsidP="0099088D">
            <w:pPr>
              <w:jc w:val="center"/>
              <w:rPr>
                <w:color w:val="000000"/>
                <w:sz w:val="20"/>
              </w:rPr>
            </w:pPr>
            <w:r w:rsidRPr="00084B5B">
              <w:rPr>
                <w:color w:val="000000"/>
                <w:sz w:val="20"/>
              </w:rPr>
              <w:t>Сетевые организации</w:t>
            </w:r>
          </w:p>
        </w:tc>
      </w:tr>
      <w:tr w:rsidR="00F5550D" w:rsidRPr="00084B5B" w14:paraId="020686AD" w14:textId="77777777" w:rsidTr="00F5550D">
        <w:trPr>
          <w:trHeight w:val="375"/>
          <w:jc w:val="center"/>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29E5BC44" w14:textId="77777777" w:rsidR="00F5550D" w:rsidRPr="00084B5B" w:rsidRDefault="00F5550D" w:rsidP="0099088D">
            <w:pPr>
              <w:rPr>
                <w:color w:val="000000"/>
                <w:sz w:val="20"/>
                <w:szCs w:val="20"/>
              </w:rPr>
            </w:pPr>
            <w:r w:rsidRPr="00084B5B">
              <w:rPr>
                <w:color w:val="000000"/>
                <w:sz w:val="20"/>
                <w:szCs w:val="20"/>
              </w:rPr>
              <w:t>Эталонная выручка, руб.</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7451F8" w14:textId="77777777" w:rsidR="00F5550D" w:rsidRPr="00084B5B" w:rsidRDefault="00F5550D" w:rsidP="0099088D">
            <w:pPr>
              <w:jc w:val="right"/>
              <w:rPr>
                <w:sz w:val="16"/>
                <w:szCs w:val="16"/>
              </w:rPr>
            </w:pPr>
            <w:r w:rsidRPr="00084B5B">
              <w:rPr>
                <w:sz w:val="16"/>
                <w:szCs w:val="16"/>
              </w:rPr>
              <w:t>78 295 015,71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2798C0F" w14:textId="77777777" w:rsidR="00F5550D" w:rsidRPr="00084B5B" w:rsidRDefault="00F5550D" w:rsidP="0099088D">
            <w:pPr>
              <w:jc w:val="right"/>
              <w:rPr>
                <w:sz w:val="16"/>
                <w:szCs w:val="16"/>
              </w:rPr>
            </w:pPr>
            <w:r w:rsidRPr="00084B5B">
              <w:rPr>
                <w:sz w:val="16"/>
                <w:szCs w:val="16"/>
              </w:rPr>
              <w:t>113 628 980,11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BFEE3C2" w14:textId="77777777" w:rsidR="00F5550D" w:rsidRPr="00084B5B" w:rsidRDefault="00F5550D" w:rsidP="0099088D">
            <w:pPr>
              <w:jc w:val="right"/>
              <w:rPr>
                <w:sz w:val="16"/>
                <w:szCs w:val="16"/>
              </w:rPr>
            </w:pPr>
            <w:r w:rsidRPr="00084B5B">
              <w:rPr>
                <w:sz w:val="16"/>
                <w:szCs w:val="16"/>
              </w:rPr>
              <w:t>13 234 179,90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6C7447D1" w14:textId="77777777" w:rsidR="00F5550D" w:rsidRPr="00084B5B" w:rsidRDefault="00F5550D" w:rsidP="0099088D">
            <w:pPr>
              <w:jc w:val="right"/>
              <w:rPr>
                <w:sz w:val="16"/>
                <w:szCs w:val="16"/>
              </w:rPr>
            </w:pPr>
            <w:r w:rsidRPr="00084B5B">
              <w:rPr>
                <w:sz w:val="16"/>
                <w:szCs w:val="16"/>
              </w:rPr>
              <w:t>96 843 425,62</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3F3FB8F" w14:textId="77777777" w:rsidR="00F5550D" w:rsidRPr="00084B5B" w:rsidRDefault="00F5550D" w:rsidP="0099088D">
            <w:pPr>
              <w:jc w:val="right"/>
              <w:rPr>
                <w:sz w:val="16"/>
                <w:szCs w:val="16"/>
              </w:rPr>
            </w:pPr>
            <w:r w:rsidRPr="00084B5B">
              <w:rPr>
                <w:sz w:val="16"/>
                <w:szCs w:val="16"/>
              </w:rPr>
              <w:t>10 674 861,79</w:t>
            </w:r>
          </w:p>
        </w:tc>
      </w:tr>
      <w:tr w:rsidR="00F5550D" w:rsidRPr="00084B5B" w14:paraId="5DFDBBF4" w14:textId="77777777" w:rsidTr="00F5550D">
        <w:trPr>
          <w:trHeight w:val="375"/>
          <w:jc w:val="center"/>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4F6959A3" w14:textId="77777777" w:rsidR="00F5550D" w:rsidRPr="00084B5B" w:rsidRDefault="00F5550D" w:rsidP="0099088D">
            <w:pPr>
              <w:rPr>
                <w:color w:val="000000"/>
                <w:sz w:val="20"/>
                <w:szCs w:val="20"/>
              </w:rPr>
            </w:pPr>
            <w:r w:rsidRPr="00084B5B">
              <w:rPr>
                <w:color w:val="000000"/>
                <w:sz w:val="20"/>
                <w:szCs w:val="20"/>
              </w:rPr>
              <w:t>Неподконтрольные расходы, руб.</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17A0A44D" w14:textId="77777777" w:rsidR="00F5550D" w:rsidRPr="00084B5B" w:rsidRDefault="00F5550D" w:rsidP="0099088D">
            <w:pPr>
              <w:jc w:val="right"/>
              <w:rPr>
                <w:sz w:val="16"/>
                <w:szCs w:val="16"/>
              </w:rPr>
            </w:pPr>
            <w:r w:rsidRPr="00084B5B">
              <w:rPr>
                <w:sz w:val="16"/>
                <w:szCs w:val="16"/>
              </w:rPr>
              <w:t>28 966 799,74</w:t>
            </w:r>
          </w:p>
        </w:tc>
        <w:tc>
          <w:tcPr>
            <w:tcW w:w="1559" w:type="dxa"/>
            <w:tcBorders>
              <w:top w:val="nil"/>
              <w:left w:val="nil"/>
              <w:bottom w:val="single" w:sz="4" w:space="0" w:color="auto"/>
              <w:right w:val="single" w:sz="4" w:space="0" w:color="auto"/>
            </w:tcBorders>
            <w:shd w:val="clear" w:color="auto" w:fill="auto"/>
            <w:noWrap/>
            <w:vAlign w:val="center"/>
            <w:hideMark/>
          </w:tcPr>
          <w:p w14:paraId="08CBDF8A" w14:textId="77777777" w:rsidR="00F5550D" w:rsidRPr="00084B5B" w:rsidRDefault="00F5550D" w:rsidP="0099088D">
            <w:pPr>
              <w:jc w:val="right"/>
              <w:rPr>
                <w:sz w:val="16"/>
                <w:szCs w:val="16"/>
              </w:rPr>
            </w:pPr>
            <w:r w:rsidRPr="00084B5B">
              <w:rPr>
                <w:sz w:val="16"/>
                <w:szCs w:val="16"/>
              </w:rPr>
              <w:t>65 189 684,28</w:t>
            </w:r>
          </w:p>
        </w:tc>
        <w:tc>
          <w:tcPr>
            <w:tcW w:w="1559" w:type="dxa"/>
            <w:tcBorders>
              <w:top w:val="nil"/>
              <w:left w:val="nil"/>
              <w:bottom w:val="single" w:sz="4" w:space="0" w:color="auto"/>
              <w:right w:val="single" w:sz="4" w:space="0" w:color="auto"/>
            </w:tcBorders>
            <w:shd w:val="clear" w:color="auto" w:fill="auto"/>
            <w:noWrap/>
            <w:vAlign w:val="center"/>
            <w:hideMark/>
          </w:tcPr>
          <w:p w14:paraId="104B6224" w14:textId="77777777" w:rsidR="00F5550D" w:rsidRPr="00084B5B" w:rsidRDefault="00F5550D" w:rsidP="0099088D">
            <w:pPr>
              <w:jc w:val="right"/>
              <w:rPr>
                <w:sz w:val="16"/>
                <w:szCs w:val="16"/>
              </w:rPr>
            </w:pPr>
            <w:r w:rsidRPr="00084B5B">
              <w:rPr>
                <w:sz w:val="16"/>
                <w:szCs w:val="16"/>
              </w:rPr>
              <w:t>4 556 063,12</w:t>
            </w:r>
          </w:p>
        </w:tc>
        <w:tc>
          <w:tcPr>
            <w:tcW w:w="1418" w:type="dxa"/>
            <w:tcBorders>
              <w:top w:val="nil"/>
              <w:left w:val="nil"/>
              <w:bottom w:val="single" w:sz="4" w:space="0" w:color="auto"/>
              <w:right w:val="single" w:sz="4" w:space="0" w:color="auto"/>
            </w:tcBorders>
            <w:shd w:val="clear" w:color="auto" w:fill="auto"/>
            <w:noWrap/>
            <w:vAlign w:val="center"/>
            <w:hideMark/>
          </w:tcPr>
          <w:p w14:paraId="3700AA9D" w14:textId="77777777" w:rsidR="00F5550D" w:rsidRPr="00084B5B" w:rsidRDefault="00F5550D" w:rsidP="0099088D">
            <w:pPr>
              <w:jc w:val="right"/>
              <w:rPr>
                <w:sz w:val="16"/>
                <w:szCs w:val="16"/>
              </w:rPr>
            </w:pPr>
            <w:r w:rsidRPr="00084B5B">
              <w:rPr>
                <w:sz w:val="16"/>
                <w:szCs w:val="16"/>
              </w:rPr>
              <w:t>3 908 939,96</w:t>
            </w:r>
          </w:p>
        </w:tc>
        <w:tc>
          <w:tcPr>
            <w:tcW w:w="1417" w:type="dxa"/>
            <w:tcBorders>
              <w:top w:val="nil"/>
              <w:left w:val="nil"/>
              <w:bottom w:val="single" w:sz="4" w:space="0" w:color="auto"/>
              <w:right w:val="single" w:sz="4" w:space="0" w:color="auto"/>
            </w:tcBorders>
            <w:shd w:val="clear" w:color="auto" w:fill="auto"/>
            <w:noWrap/>
            <w:vAlign w:val="center"/>
            <w:hideMark/>
          </w:tcPr>
          <w:p w14:paraId="2F9E10F8" w14:textId="77777777" w:rsidR="00F5550D" w:rsidRPr="00084B5B" w:rsidRDefault="00F5550D" w:rsidP="0099088D">
            <w:pPr>
              <w:jc w:val="right"/>
              <w:rPr>
                <w:sz w:val="16"/>
                <w:szCs w:val="16"/>
              </w:rPr>
            </w:pPr>
            <w:r w:rsidRPr="00084B5B">
              <w:rPr>
                <w:sz w:val="16"/>
                <w:szCs w:val="16"/>
              </w:rPr>
              <w:t>110 926,76</w:t>
            </w:r>
          </w:p>
        </w:tc>
      </w:tr>
      <w:tr w:rsidR="00F5550D" w:rsidRPr="00084B5B" w14:paraId="4F11299E" w14:textId="77777777" w:rsidTr="00F5550D">
        <w:trPr>
          <w:trHeight w:val="1875"/>
          <w:jc w:val="center"/>
        </w:trPr>
        <w:tc>
          <w:tcPr>
            <w:tcW w:w="2122" w:type="dxa"/>
            <w:tcBorders>
              <w:top w:val="nil"/>
              <w:left w:val="single" w:sz="4" w:space="0" w:color="auto"/>
              <w:bottom w:val="single" w:sz="4" w:space="0" w:color="auto"/>
              <w:right w:val="single" w:sz="4" w:space="0" w:color="auto"/>
            </w:tcBorders>
            <w:shd w:val="clear" w:color="auto" w:fill="auto"/>
            <w:vAlign w:val="bottom"/>
            <w:hideMark/>
          </w:tcPr>
          <w:p w14:paraId="6A2072E1" w14:textId="77777777" w:rsidR="00F5550D" w:rsidRPr="00084B5B" w:rsidRDefault="00F5550D" w:rsidP="0099088D">
            <w:pPr>
              <w:rPr>
                <w:color w:val="000000"/>
                <w:sz w:val="20"/>
                <w:szCs w:val="20"/>
              </w:rPr>
            </w:pPr>
            <w:r w:rsidRPr="00084B5B">
              <w:rPr>
                <w:color w:val="000000"/>
                <w:sz w:val="20"/>
                <w:szCs w:val="20"/>
              </w:rPr>
              <w:t>Недополученные ("+") или излишне полученные ("-") доходы от осуществления деятельности ГП в отношении населения за период, предшествующий базовому (i-2), руб.</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79E40983" w14:textId="77777777" w:rsidR="00F5550D" w:rsidRPr="00084B5B" w:rsidRDefault="00F5550D" w:rsidP="0099088D">
            <w:pPr>
              <w:jc w:val="right"/>
              <w:rPr>
                <w:sz w:val="16"/>
                <w:szCs w:val="16"/>
              </w:rPr>
            </w:pPr>
            <w:r w:rsidRPr="00084B5B">
              <w:rPr>
                <w:sz w:val="16"/>
                <w:szCs w:val="16"/>
              </w:rPr>
              <w:t>14 703 092,43</w:t>
            </w:r>
          </w:p>
        </w:tc>
        <w:tc>
          <w:tcPr>
            <w:tcW w:w="1559" w:type="dxa"/>
            <w:tcBorders>
              <w:top w:val="nil"/>
              <w:left w:val="nil"/>
              <w:bottom w:val="single" w:sz="4" w:space="0" w:color="auto"/>
              <w:right w:val="single" w:sz="4" w:space="0" w:color="auto"/>
            </w:tcBorders>
            <w:shd w:val="clear" w:color="auto" w:fill="auto"/>
            <w:noWrap/>
            <w:vAlign w:val="center"/>
            <w:hideMark/>
          </w:tcPr>
          <w:p w14:paraId="3C4DD662" w14:textId="77777777" w:rsidR="00F5550D" w:rsidRPr="00084B5B" w:rsidRDefault="00F5550D" w:rsidP="0099088D">
            <w:pPr>
              <w:jc w:val="right"/>
              <w:rPr>
                <w:sz w:val="16"/>
                <w:szCs w:val="16"/>
              </w:rPr>
            </w:pPr>
            <w:r w:rsidRPr="00084B5B">
              <w:rPr>
                <w:sz w:val="16"/>
                <w:szCs w:val="16"/>
              </w:rPr>
              <w:t>50 307 786,15</w:t>
            </w:r>
          </w:p>
        </w:tc>
        <w:tc>
          <w:tcPr>
            <w:tcW w:w="1559" w:type="dxa"/>
            <w:tcBorders>
              <w:top w:val="nil"/>
              <w:left w:val="nil"/>
              <w:bottom w:val="single" w:sz="4" w:space="0" w:color="auto"/>
              <w:right w:val="single" w:sz="4" w:space="0" w:color="auto"/>
            </w:tcBorders>
            <w:shd w:val="clear" w:color="auto" w:fill="auto"/>
            <w:noWrap/>
            <w:vAlign w:val="center"/>
            <w:hideMark/>
          </w:tcPr>
          <w:p w14:paraId="112647BE" w14:textId="77777777" w:rsidR="00F5550D" w:rsidRPr="00084B5B" w:rsidRDefault="00F5550D" w:rsidP="0099088D">
            <w:pPr>
              <w:jc w:val="right"/>
              <w:rPr>
                <w:sz w:val="16"/>
                <w:szCs w:val="16"/>
              </w:rPr>
            </w:pPr>
            <w:r w:rsidRPr="00084B5B">
              <w:rPr>
                <w:sz w:val="16"/>
                <w:szCs w:val="16"/>
              </w:rPr>
              <w:t>13 211 922,47</w:t>
            </w:r>
          </w:p>
        </w:tc>
        <w:tc>
          <w:tcPr>
            <w:tcW w:w="1418" w:type="dxa"/>
            <w:tcBorders>
              <w:top w:val="nil"/>
              <w:left w:val="nil"/>
              <w:bottom w:val="single" w:sz="4" w:space="0" w:color="auto"/>
              <w:right w:val="single" w:sz="4" w:space="0" w:color="auto"/>
            </w:tcBorders>
            <w:shd w:val="clear" w:color="auto" w:fill="auto"/>
            <w:noWrap/>
            <w:vAlign w:val="center"/>
            <w:hideMark/>
          </w:tcPr>
          <w:p w14:paraId="049B0B36" w14:textId="77777777" w:rsidR="00F5550D" w:rsidRPr="00084B5B" w:rsidRDefault="00F5550D" w:rsidP="0099088D">
            <w:pPr>
              <w:jc w:val="right"/>
              <w:rPr>
                <w:sz w:val="16"/>
                <w:szCs w:val="16"/>
              </w:rPr>
            </w:pPr>
            <w:r w:rsidRPr="00084B5B">
              <w:rPr>
                <w:sz w:val="16"/>
                <w:szCs w:val="16"/>
              </w:rPr>
              <w:t>-36 491 268,00</w:t>
            </w:r>
          </w:p>
        </w:tc>
        <w:tc>
          <w:tcPr>
            <w:tcW w:w="1417" w:type="dxa"/>
            <w:tcBorders>
              <w:top w:val="nil"/>
              <w:left w:val="nil"/>
              <w:bottom w:val="single" w:sz="4" w:space="0" w:color="auto"/>
              <w:right w:val="single" w:sz="4" w:space="0" w:color="auto"/>
            </w:tcBorders>
            <w:shd w:val="clear" w:color="auto" w:fill="auto"/>
            <w:noWrap/>
            <w:vAlign w:val="center"/>
            <w:hideMark/>
          </w:tcPr>
          <w:p w14:paraId="4B09B929" w14:textId="77777777" w:rsidR="00F5550D" w:rsidRPr="00084B5B" w:rsidRDefault="00F5550D" w:rsidP="0099088D">
            <w:pPr>
              <w:jc w:val="right"/>
              <w:rPr>
                <w:sz w:val="16"/>
                <w:szCs w:val="16"/>
              </w:rPr>
            </w:pPr>
            <w:r w:rsidRPr="00084B5B">
              <w:rPr>
                <w:sz w:val="16"/>
                <w:szCs w:val="16"/>
              </w:rPr>
              <w:t>89 789 276,09</w:t>
            </w:r>
          </w:p>
        </w:tc>
      </w:tr>
      <w:tr w:rsidR="00F5550D" w:rsidRPr="00084B5B" w14:paraId="0A0C3F36" w14:textId="77777777" w:rsidTr="00F5550D">
        <w:trPr>
          <w:trHeight w:val="375"/>
          <w:jc w:val="center"/>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6076766D" w14:textId="77777777" w:rsidR="00F5550D" w:rsidRPr="00084B5B" w:rsidRDefault="00F5550D" w:rsidP="0099088D">
            <w:pPr>
              <w:rPr>
                <w:color w:val="000000"/>
                <w:sz w:val="20"/>
                <w:szCs w:val="20"/>
              </w:rPr>
            </w:pPr>
            <w:r w:rsidRPr="00084B5B">
              <w:rPr>
                <w:color w:val="000000"/>
                <w:sz w:val="20"/>
                <w:szCs w:val="20"/>
              </w:rPr>
              <w:t xml:space="preserve">Всего НВВ, руб. </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3BAA203F" w14:textId="77777777" w:rsidR="00F5550D" w:rsidRPr="00084B5B" w:rsidRDefault="00F5550D" w:rsidP="0099088D">
            <w:pPr>
              <w:jc w:val="right"/>
              <w:rPr>
                <w:sz w:val="16"/>
                <w:szCs w:val="16"/>
              </w:rPr>
            </w:pPr>
            <w:r w:rsidRPr="00084B5B">
              <w:rPr>
                <w:sz w:val="16"/>
                <w:szCs w:val="16"/>
              </w:rPr>
              <w:t>121 964 907,88</w:t>
            </w:r>
          </w:p>
        </w:tc>
        <w:tc>
          <w:tcPr>
            <w:tcW w:w="1559" w:type="dxa"/>
            <w:tcBorders>
              <w:top w:val="nil"/>
              <w:left w:val="nil"/>
              <w:bottom w:val="single" w:sz="4" w:space="0" w:color="auto"/>
              <w:right w:val="single" w:sz="4" w:space="0" w:color="auto"/>
            </w:tcBorders>
            <w:shd w:val="clear" w:color="auto" w:fill="auto"/>
            <w:noWrap/>
            <w:vAlign w:val="center"/>
            <w:hideMark/>
          </w:tcPr>
          <w:p w14:paraId="08A3D2E7" w14:textId="77777777" w:rsidR="00F5550D" w:rsidRPr="00084B5B" w:rsidRDefault="00F5550D" w:rsidP="0099088D">
            <w:pPr>
              <w:jc w:val="right"/>
              <w:rPr>
                <w:sz w:val="16"/>
                <w:szCs w:val="16"/>
              </w:rPr>
            </w:pPr>
            <w:r w:rsidRPr="00084B5B">
              <w:rPr>
                <w:sz w:val="16"/>
                <w:szCs w:val="16"/>
              </w:rPr>
              <w:t>229 126 450,55</w:t>
            </w:r>
          </w:p>
        </w:tc>
        <w:tc>
          <w:tcPr>
            <w:tcW w:w="1559" w:type="dxa"/>
            <w:tcBorders>
              <w:top w:val="nil"/>
              <w:left w:val="nil"/>
              <w:bottom w:val="single" w:sz="4" w:space="0" w:color="auto"/>
              <w:right w:val="single" w:sz="4" w:space="0" w:color="auto"/>
            </w:tcBorders>
            <w:shd w:val="clear" w:color="auto" w:fill="auto"/>
            <w:noWrap/>
            <w:vAlign w:val="center"/>
            <w:hideMark/>
          </w:tcPr>
          <w:p w14:paraId="0FDE9C5F" w14:textId="77777777" w:rsidR="00F5550D" w:rsidRPr="00084B5B" w:rsidRDefault="00F5550D" w:rsidP="0099088D">
            <w:pPr>
              <w:jc w:val="right"/>
              <w:rPr>
                <w:sz w:val="16"/>
                <w:szCs w:val="16"/>
              </w:rPr>
            </w:pPr>
            <w:r w:rsidRPr="00084B5B">
              <w:rPr>
                <w:sz w:val="16"/>
                <w:szCs w:val="16"/>
              </w:rPr>
              <w:t>31 002 165,49</w:t>
            </w:r>
          </w:p>
        </w:tc>
        <w:tc>
          <w:tcPr>
            <w:tcW w:w="1418" w:type="dxa"/>
            <w:tcBorders>
              <w:top w:val="nil"/>
              <w:left w:val="nil"/>
              <w:bottom w:val="single" w:sz="4" w:space="0" w:color="auto"/>
              <w:right w:val="single" w:sz="4" w:space="0" w:color="auto"/>
            </w:tcBorders>
            <w:shd w:val="clear" w:color="auto" w:fill="auto"/>
            <w:noWrap/>
            <w:vAlign w:val="center"/>
            <w:hideMark/>
          </w:tcPr>
          <w:p w14:paraId="6A21A1AE" w14:textId="77777777" w:rsidR="00F5550D" w:rsidRPr="00084B5B" w:rsidRDefault="00F5550D" w:rsidP="0099088D">
            <w:pPr>
              <w:jc w:val="right"/>
              <w:rPr>
                <w:sz w:val="16"/>
                <w:szCs w:val="16"/>
              </w:rPr>
            </w:pPr>
            <w:r w:rsidRPr="00084B5B">
              <w:rPr>
                <w:sz w:val="16"/>
                <w:szCs w:val="16"/>
              </w:rPr>
              <w:t>64 261 097,58</w:t>
            </w:r>
          </w:p>
        </w:tc>
        <w:tc>
          <w:tcPr>
            <w:tcW w:w="1417" w:type="dxa"/>
            <w:tcBorders>
              <w:top w:val="nil"/>
              <w:left w:val="nil"/>
              <w:bottom w:val="single" w:sz="4" w:space="0" w:color="auto"/>
              <w:right w:val="single" w:sz="4" w:space="0" w:color="auto"/>
            </w:tcBorders>
            <w:shd w:val="clear" w:color="auto" w:fill="auto"/>
            <w:noWrap/>
            <w:vAlign w:val="center"/>
            <w:hideMark/>
          </w:tcPr>
          <w:p w14:paraId="274480C1" w14:textId="77777777" w:rsidR="00F5550D" w:rsidRPr="00084B5B" w:rsidRDefault="00F5550D" w:rsidP="0099088D">
            <w:pPr>
              <w:jc w:val="right"/>
              <w:rPr>
                <w:sz w:val="16"/>
                <w:szCs w:val="16"/>
              </w:rPr>
            </w:pPr>
            <w:r w:rsidRPr="00084B5B">
              <w:rPr>
                <w:sz w:val="16"/>
                <w:szCs w:val="16"/>
              </w:rPr>
              <w:t>100 575 064,64</w:t>
            </w:r>
          </w:p>
        </w:tc>
      </w:tr>
    </w:tbl>
    <w:p w14:paraId="12E1BEF4" w14:textId="77777777" w:rsidR="00F5550D" w:rsidRPr="00084B5B" w:rsidRDefault="00F5550D" w:rsidP="00F5550D">
      <w:pPr>
        <w:rPr>
          <w:rFonts w:ascii="Arial" w:hAnsi="Arial" w:cs="Arial"/>
          <w:b/>
          <w:bCs/>
          <w:color w:val="000000"/>
          <w:kern w:val="32"/>
        </w:rPr>
      </w:pPr>
    </w:p>
    <w:p w14:paraId="7967634A" w14:textId="77777777" w:rsidR="00F5550D" w:rsidRDefault="00F5550D" w:rsidP="00F5550D"/>
    <w:p w14:paraId="73BE8B87" w14:textId="6FFBA7CF" w:rsidR="00F5550D" w:rsidRDefault="00F5550D" w:rsidP="00F5550D">
      <w:pPr>
        <w:tabs>
          <w:tab w:val="left" w:pos="5580"/>
          <w:tab w:val="left" w:pos="9498"/>
        </w:tabs>
        <w:ind w:right="-569"/>
        <w:rPr>
          <w:color w:val="000000" w:themeColor="text1"/>
        </w:rPr>
      </w:pPr>
    </w:p>
    <w:p w14:paraId="2461B473" w14:textId="77777777" w:rsidR="00F5550D" w:rsidRDefault="00F5550D" w:rsidP="001E6CA3">
      <w:pPr>
        <w:tabs>
          <w:tab w:val="left" w:pos="5580"/>
          <w:tab w:val="left" w:pos="9498"/>
        </w:tabs>
        <w:ind w:left="-2347" w:right="-569" w:firstLine="13829"/>
        <w:rPr>
          <w:color w:val="000000" w:themeColor="text1"/>
        </w:rPr>
      </w:pPr>
    </w:p>
    <w:p w14:paraId="2408F461" w14:textId="77777777" w:rsidR="00F5550D" w:rsidRDefault="00F5550D" w:rsidP="001E6CA3">
      <w:pPr>
        <w:tabs>
          <w:tab w:val="left" w:pos="5580"/>
          <w:tab w:val="left" w:pos="9498"/>
        </w:tabs>
        <w:ind w:left="-2347" w:right="-569" w:firstLine="13829"/>
        <w:rPr>
          <w:color w:val="000000" w:themeColor="text1"/>
        </w:rPr>
        <w:sectPr w:rsidR="00F5550D" w:rsidSect="00F5550D">
          <w:pgSz w:w="11906" w:h="16838"/>
          <w:pgMar w:top="709" w:right="851" w:bottom="851" w:left="709" w:header="426" w:footer="407" w:gutter="0"/>
          <w:cols w:space="708"/>
          <w:titlePg/>
          <w:docGrid w:linePitch="360"/>
        </w:sectPr>
      </w:pPr>
    </w:p>
    <w:p w14:paraId="228CDCAE" w14:textId="50A2B421" w:rsidR="00F5550D" w:rsidRPr="00081AD4" w:rsidRDefault="00F5550D" w:rsidP="00F5550D">
      <w:pPr>
        <w:tabs>
          <w:tab w:val="left" w:pos="5580"/>
          <w:tab w:val="left" w:pos="9498"/>
        </w:tabs>
        <w:ind w:left="-2347" w:right="-569" w:firstLine="13829"/>
        <w:rPr>
          <w:color w:val="000000" w:themeColor="text1"/>
        </w:rPr>
      </w:pPr>
      <w:r w:rsidRPr="00081AD4">
        <w:rPr>
          <w:color w:val="000000" w:themeColor="text1"/>
        </w:rPr>
        <w:t xml:space="preserve">Приложение № </w:t>
      </w:r>
      <w:r>
        <w:rPr>
          <w:color w:val="000000" w:themeColor="text1"/>
        </w:rPr>
        <w:t>4 к протоколу</w:t>
      </w:r>
      <w:r w:rsidRPr="00081AD4">
        <w:rPr>
          <w:color w:val="000000" w:themeColor="text1"/>
        </w:rPr>
        <w:t xml:space="preserve"> № </w:t>
      </w:r>
      <w:r>
        <w:rPr>
          <w:color w:val="000000" w:themeColor="text1"/>
        </w:rPr>
        <w:t>88</w:t>
      </w:r>
    </w:p>
    <w:p w14:paraId="10FABDA1" w14:textId="77777777" w:rsidR="00F5550D" w:rsidRPr="00081AD4" w:rsidRDefault="00F5550D" w:rsidP="00F5550D">
      <w:pPr>
        <w:tabs>
          <w:tab w:val="left" w:pos="5580"/>
          <w:tab w:val="left" w:pos="9498"/>
        </w:tabs>
        <w:ind w:left="-2347" w:right="-569" w:firstLine="13829"/>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7E4988B9" w14:textId="77777777" w:rsidR="00F5550D" w:rsidRPr="00081AD4" w:rsidRDefault="00F5550D" w:rsidP="00F5550D">
      <w:pPr>
        <w:tabs>
          <w:tab w:val="left" w:pos="5580"/>
          <w:tab w:val="left" w:pos="9498"/>
        </w:tabs>
        <w:ind w:left="-2347" w:right="-569" w:firstLine="13829"/>
        <w:rPr>
          <w:color w:val="000000" w:themeColor="text1"/>
        </w:rPr>
      </w:pPr>
      <w:r w:rsidRPr="00081AD4">
        <w:rPr>
          <w:color w:val="000000" w:themeColor="text1"/>
        </w:rPr>
        <w:t>энергетической комиссии</w:t>
      </w:r>
    </w:p>
    <w:p w14:paraId="660F2D19" w14:textId="77777777" w:rsidR="00F5550D" w:rsidRDefault="00F5550D" w:rsidP="00F5550D">
      <w:pPr>
        <w:tabs>
          <w:tab w:val="left" w:pos="5580"/>
          <w:tab w:val="left" w:pos="9498"/>
        </w:tabs>
        <w:ind w:left="-2347" w:right="-569" w:firstLine="13829"/>
        <w:rPr>
          <w:color w:val="000000" w:themeColor="text1"/>
        </w:rPr>
      </w:pPr>
      <w:r w:rsidRPr="00081AD4">
        <w:rPr>
          <w:color w:val="000000" w:themeColor="text1"/>
        </w:rPr>
        <w:t xml:space="preserve">Кузбасса от </w:t>
      </w:r>
      <w:r>
        <w:rPr>
          <w:color w:val="000000" w:themeColor="text1"/>
        </w:rPr>
        <w:t>23</w:t>
      </w:r>
      <w:r w:rsidRPr="00081AD4">
        <w:rPr>
          <w:color w:val="000000" w:themeColor="text1"/>
        </w:rPr>
        <w:t>.</w:t>
      </w:r>
      <w:r>
        <w:rPr>
          <w:color w:val="000000" w:themeColor="text1"/>
        </w:rPr>
        <w:t>12</w:t>
      </w:r>
      <w:r w:rsidRPr="00081AD4">
        <w:rPr>
          <w:color w:val="000000" w:themeColor="text1"/>
        </w:rPr>
        <w:t>.202</w:t>
      </w:r>
      <w:r>
        <w:rPr>
          <w:color w:val="000000" w:themeColor="text1"/>
        </w:rPr>
        <w:t>1</w:t>
      </w:r>
    </w:p>
    <w:p w14:paraId="489DFC84" w14:textId="77777777" w:rsidR="00B35B3E" w:rsidRDefault="00B35B3E" w:rsidP="001E6CA3">
      <w:pPr>
        <w:tabs>
          <w:tab w:val="left" w:pos="5580"/>
          <w:tab w:val="left" w:pos="9498"/>
        </w:tabs>
        <w:ind w:left="-2347" w:right="-569" w:firstLine="13829"/>
        <w:rPr>
          <w:color w:val="000000" w:themeColor="text1"/>
        </w:rPr>
      </w:pPr>
    </w:p>
    <w:p w14:paraId="17AC71A0" w14:textId="77777777" w:rsidR="001E6CA3" w:rsidRPr="00CD0EE1" w:rsidRDefault="001E6CA3" w:rsidP="001E6CA3">
      <w:pPr>
        <w:jc w:val="right"/>
        <w:rPr>
          <w:b/>
        </w:rPr>
      </w:pPr>
    </w:p>
    <w:p w14:paraId="4D8FBC2C" w14:textId="77777777" w:rsidR="001E6CA3" w:rsidRDefault="001E6CA3" w:rsidP="001E6CA3">
      <w:pPr>
        <w:jc w:val="center"/>
        <w:rPr>
          <w:b/>
          <w:sz w:val="28"/>
          <w:szCs w:val="28"/>
        </w:rPr>
      </w:pPr>
      <w:r w:rsidRPr="00BA6C44">
        <w:rPr>
          <w:b/>
          <w:sz w:val="28"/>
          <w:szCs w:val="28"/>
        </w:rPr>
        <w:t xml:space="preserve">Сбытовые надбавки гарантирующих поставщиков электрической энергии, поставляющих </w:t>
      </w:r>
    </w:p>
    <w:p w14:paraId="1E32D4E7" w14:textId="77777777" w:rsidR="001E6CA3" w:rsidRPr="00CA612F" w:rsidRDefault="001E6CA3" w:rsidP="001E6CA3">
      <w:pPr>
        <w:jc w:val="center"/>
        <w:rPr>
          <w:b/>
          <w:sz w:val="28"/>
          <w:szCs w:val="28"/>
        </w:rPr>
      </w:pPr>
      <w:r w:rsidRPr="00BA6C44">
        <w:rPr>
          <w:b/>
          <w:sz w:val="28"/>
          <w:szCs w:val="28"/>
        </w:rPr>
        <w:t>электрическую энергию (мощность) на розничном рынке Кемеровской области</w:t>
      </w:r>
      <w:r w:rsidRPr="00E24645">
        <w:rPr>
          <w:b/>
          <w:sz w:val="28"/>
          <w:szCs w:val="28"/>
        </w:rPr>
        <w:t>-Кузбасса</w:t>
      </w:r>
      <w:r>
        <w:rPr>
          <w:b/>
          <w:sz w:val="28"/>
          <w:szCs w:val="28"/>
        </w:rPr>
        <w:t>, на 2022 год</w:t>
      </w:r>
    </w:p>
    <w:p w14:paraId="1F1E717F" w14:textId="77777777" w:rsidR="001E6CA3" w:rsidRDefault="001E6CA3" w:rsidP="001E6CA3">
      <w:pPr>
        <w:jc w:val="center"/>
        <w:rPr>
          <w:sz w:val="28"/>
          <w:szCs w:val="28"/>
        </w:rPr>
      </w:pPr>
      <w:r w:rsidRPr="00B73521">
        <w:rPr>
          <w:sz w:val="28"/>
          <w:szCs w:val="28"/>
        </w:rPr>
        <w:t>(тарифы указываются без НДС)</w:t>
      </w:r>
    </w:p>
    <w:p w14:paraId="6DF4C4DD" w14:textId="77777777" w:rsidR="001E6CA3" w:rsidRDefault="001E6CA3" w:rsidP="001E6CA3">
      <w:pPr>
        <w:jc w:val="center"/>
        <w:rPr>
          <w:sz w:val="28"/>
          <w:szCs w:val="28"/>
        </w:rPr>
      </w:pPr>
    </w:p>
    <w:p w14:paraId="6231472C" w14:textId="77777777" w:rsidR="001E6CA3" w:rsidRPr="00D821D5" w:rsidRDefault="001E6CA3" w:rsidP="001E6CA3">
      <w:pPr>
        <w:autoSpaceDE w:val="0"/>
        <w:autoSpaceDN w:val="0"/>
        <w:adjustRightInd w:val="0"/>
        <w:jc w:val="right"/>
        <w:rPr>
          <w:sz w:val="20"/>
          <w:szCs w:val="20"/>
        </w:rPr>
      </w:pPr>
      <w:r w:rsidRPr="00D821D5">
        <w:rPr>
          <w:sz w:val="20"/>
          <w:szCs w:val="20"/>
        </w:rPr>
        <w:t>руб./кВт</w:t>
      </w:r>
      <w:r>
        <w:rPr>
          <w:sz w:val="20"/>
          <w:szCs w:val="20"/>
        </w:rPr>
        <w:t>.</w:t>
      </w:r>
      <w:r w:rsidRPr="00D821D5">
        <w:rPr>
          <w:sz w:val="20"/>
          <w:szCs w:val="20"/>
        </w:rPr>
        <w:t>ч</w:t>
      </w: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0"/>
        <w:gridCol w:w="2658"/>
        <w:gridCol w:w="1114"/>
        <w:gridCol w:w="1114"/>
        <w:gridCol w:w="1103"/>
        <w:gridCol w:w="1103"/>
        <w:gridCol w:w="1199"/>
        <w:gridCol w:w="1199"/>
        <w:gridCol w:w="1199"/>
        <w:gridCol w:w="1199"/>
        <w:gridCol w:w="1199"/>
        <w:gridCol w:w="1199"/>
      </w:tblGrid>
      <w:tr w:rsidR="001E6CA3" w:rsidRPr="00761B59" w14:paraId="0009E909" w14:textId="77777777" w:rsidTr="0099088D">
        <w:tc>
          <w:tcPr>
            <w:tcW w:w="500" w:type="dxa"/>
            <w:vMerge w:val="restart"/>
            <w:shd w:val="clear" w:color="auto" w:fill="auto"/>
            <w:vAlign w:val="center"/>
          </w:tcPr>
          <w:p w14:paraId="17844A9D" w14:textId="77777777" w:rsidR="001E6CA3" w:rsidRPr="00363E89" w:rsidRDefault="001E6CA3" w:rsidP="0099088D">
            <w:pPr>
              <w:jc w:val="center"/>
              <w:rPr>
                <w:sz w:val="20"/>
                <w:szCs w:val="20"/>
              </w:rPr>
            </w:pPr>
            <w:r w:rsidRPr="00363E89">
              <w:rPr>
                <w:sz w:val="20"/>
                <w:szCs w:val="20"/>
              </w:rPr>
              <w:t>№ п/п</w:t>
            </w:r>
          </w:p>
        </w:tc>
        <w:tc>
          <w:tcPr>
            <w:tcW w:w="2658" w:type="dxa"/>
            <w:vMerge w:val="restart"/>
            <w:shd w:val="clear" w:color="auto" w:fill="auto"/>
            <w:vAlign w:val="center"/>
          </w:tcPr>
          <w:p w14:paraId="492F2487" w14:textId="77777777" w:rsidR="001E6CA3" w:rsidRPr="00761B59" w:rsidRDefault="001E6CA3" w:rsidP="0099088D">
            <w:pPr>
              <w:jc w:val="center"/>
            </w:pPr>
            <w:r w:rsidRPr="00761B59">
              <w:t>Наименование гарантирующего поставщика в Кемеровской области</w:t>
            </w:r>
          </w:p>
        </w:tc>
        <w:tc>
          <w:tcPr>
            <w:tcW w:w="11628" w:type="dxa"/>
            <w:gridSpan w:val="10"/>
            <w:shd w:val="clear" w:color="auto" w:fill="auto"/>
            <w:vAlign w:val="center"/>
          </w:tcPr>
          <w:p w14:paraId="3099316D" w14:textId="77777777" w:rsidR="001E6CA3" w:rsidRPr="00761B59" w:rsidRDefault="001E6CA3" w:rsidP="0099088D">
            <w:pPr>
              <w:jc w:val="center"/>
            </w:pPr>
            <w:r w:rsidRPr="00761B59">
              <w:t>Сбытовая надбавка</w:t>
            </w:r>
          </w:p>
        </w:tc>
      </w:tr>
      <w:tr w:rsidR="001E6CA3" w:rsidRPr="00761B59" w14:paraId="17698C14" w14:textId="77777777" w:rsidTr="0099088D">
        <w:tc>
          <w:tcPr>
            <w:tcW w:w="500" w:type="dxa"/>
            <w:vMerge/>
            <w:shd w:val="clear" w:color="auto" w:fill="auto"/>
            <w:vAlign w:val="center"/>
          </w:tcPr>
          <w:p w14:paraId="173DA7DC" w14:textId="77777777" w:rsidR="001E6CA3" w:rsidRPr="00761B59" w:rsidRDefault="001E6CA3" w:rsidP="0099088D">
            <w:pPr>
              <w:jc w:val="center"/>
            </w:pPr>
          </w:p>
        </w:tc>
        <w:tc>
          <w:tcPr>
            <w:tcW w:w="2658" w:type="dxa"/>
            <w:vMerge/>
            <w:shd w:val="clear" w:color="auto" w:fill="auto"/>
            <w:vAlign w:val="center"/>
          </w:tcPr>
          <w:p w14:paraId="335D4F22" w14:textId="77777777" w:rsidR="001E6CA3" w:rsidRPr="00761B59" w:rsidRDefault="001E6CA3" w:rsidP="0099088D">
            <w:pPr>
              <w:jc w:val="center"/>
            </w:pPr>
          </w:p>
        </w:tc>
        <w:tc>
          <w:tcPr>
            <w:tcW w:w="2228" w:type="dxa"/>
            <w:gridSpan w:val="2"/>
            <w:shd w:val="clear" w:color="auto" w:fill="auto"/>
            <w:vAlign w:val="center"/>
          </w:tcPr>
          <w:p w14:paraId="1DB192EE" w14:textId="77777777" w:rsidR="001E6CA3" w:rsidRPr="00761B59" w:rsidRDefault="001E6CA3" w:rsidP="0099088D">
            <w:pPr>
              <w:jc w:val="center"/>
            </w:pPr>
            <w:r w:rsidRPr="00761B59">
              <w:t>тарифная группа потребителей «население» и приравненные к нему категории потребителей</w:t>
            </w:r>
          </w:p>
        </w:tc>
        <w:tc>
          <w:tcPr>
            <w:tcW w:w="2206" w:type="dxa"/>
            <w:gridSpan w:val="2"/>
            <w:shd w:val="clear" w:color="auto" w:fill="auto"/>
            <w:vAlign w:val="center"/>
          </w:tcPr>
          <w:p w14:paraId="405E71FA" w14:textId="77777777" w:rsidR="001E6CA3" w:rsidRPr="00761B59" w:rsidRDefault="001E6CA3" w:rsidP="0099088D">
            <w:pPr>
              <w:jc w:val="center"/>
            </w:pPr>
            <w:r w:rsidRPr="00761B59">
              <w:t>тарифная группа потребителей «сетевые организации, покупающие электрическую энергию для компенсации потерь»</w:t>
            </w:r>
          </w:p>
        </w:tc>
        <w:tc>
          <w:tcPr>
            <w:tcW w:w="2398" w:type="dxa"/>
            <w:gridSpan w:val="2"/>
            <w:shd w:val="clear" w:color="auto" w:fill="auto"/>
            <w:vAlign w:val="center"/>
          </w:tcPr>
          <w:p w14:paraId="02476289" w14:textId="77777777" w:rsidR="001E6CA3" w:rsidRPr="00761B59" w:rsidRDefault="001E6CA3" w:rsidP="0099088D">
            <w:pPr>
              <w:jc w:val="center"/>
            </w:pPr>
            <w:r w:rsidRPr="00761B59">
              <w:t xml:space="preserve">прочие потребители - по подгруппе в зависимости от величины максимальной мощности принадлежащих им энергопринимающих устройств </w:t>
            </w:r>
            <w:r>
              <w:t xml:space="preserve">                    </w:t>
            </w:r>
            <w:r w:rsidRPr="00761B59">
              <w:t>менее 670 кВт</w:t>
            </w:r>
          </w:p>
        </w:tc>
        <w:tc>
          <w:tcPr>
            <w:tcW w:w="2398" w:type="dxa"/>
            <w:gridSpan w:val="2"/>
            <w:shd w:val="clear" w:color="auto" w:fill="auto"/>
            <w:vAlign w:val="center"/>
          </w:tcPr>
          <w:p w14:paraId="079BC5AA" w14:textId="77777777" w:rsidR="001E6CA3" w:rsidRPr="00761B59" w:rsidRDefault="001E6CA3" w:rsidP="0099088D">
            <w:pPr>
              <w:jc w:val="center"/>
            </w:pPr>
            <w:r w:rsidRPr="00761B59">
              <w:t xml:space="preserve">прочие потребители - по подгруппе в зависимости от величины максимальной мощности принадлежащих им энергопринимающих устройств </w:t>
            </w:r>
            <w:r>
              <w:t xml:space="preserve">                  </w:t>
            </w:r>
            <w:r w:rsidRPr="00761B59">
              <w:t>от 670 кВт до 10 МВт</w:t>
            </w:r>
          </w:p>
        </w:tc>
        <w:tc>
          <w:tcPr>
            <w:tcW w:w="2398" w:type="dxa"/>
            <w:gridSpan w:val="2"/>
            <w:shd w:val="clear" w:color="auto" w:fill="auto"/>
            <w:vAlign w:val="center"/>
          </w:tcPr>
          <w:p w14:paraId="7DFABE75" w14:textId="77777777" w:rsidR="001E6CA3" w:rsidRPr="00761B59" w:rsidRDefault="001E6CA3" w:rsidP="0099088D">
            <w:pPr>
              <w:jc w:val="center"/>
            </w:pPr>
            <w:r w:rsidRPr="00761B59">
              <w:t>прочие потребители - по подгруппе в зависимости от величины максимальной мощности принадлежащих им энергопринимающих устройств не менее 10 МВт</w:t>
            </w:r>
          </w:p>
        </w:tc>
      </w:tr>
      <w:tr w:rsidR="001E6CA3" w:rsidRPr="00761B59" w14:paraId="3B4471B8" w14:textId="77777777" w:rsidTr="0099088D">
        <w:tc>
          <w:tcPr>
            <w:tcW w:w="500" w:type="dxa"/>
            <w:vMerge/>
            <w:shd w:val="clear" w:color="auto" w:fill="auto"/>
          </w:tcPr>
          <w:p w14:paraId="472F9017" w14:textId="77777777" w:rsidR="001E6CA3" w:rsidRPr="00761B59" w:rsidRDefault="001E6CA3" w:rsidP="0099088D">
            <w:pPr>
              <w:jc w:val="center"/>
            </w:pPr>
          </w:p>
        </w:tc>
        <w:tc>
          <w:tcPr>
            <w:tcW w:w="2658" w:type="dxa"/>
            <w:vMerge/>
            <w:shd w:val="clear" w:color="auto" w:fill="auto"/>
          </w:tcPr>
          <w:p w14:paraId="06B79E5F" w14:textId="77777777" w:rsidR="001E6CA3" w:rsidRPr="00761B59" w:rsidRDefault="001E6CA3" w:rsidP="0099088D">
            <w:pPr>
              <w:jc w:val="center"/>
            </w:pPr>
          </w:p>
        </w:tc>
        <w:tc>
          <w:tcPr>
            <w:tcW w:w="1114" w:type="dxa"/>
            <w:shd w:val="clear" w:color="auto" w:fill="auto"/>
          </w:tcPr>
          <w:p w14:paraId="4D435816" w14:textId="77777777" w:rsidR="001E6CA3" w:rsidRPr="00363E89" w:rsidRDefault="001E6CA3" w:rsidP="0099088D">
            <w:pPr>
              <w:jc w:val="center"/>
              <w:rPr>
                <w:sz w:val="20"/>
                <w:szCs w:val="20"/>
              </w:rPr>
            </w:pPr>
            <w:r w:rsidRPr="00363E89">
              <w:rPr>
                <w:sz w:val="20"/>
                <w:szCs w:val="20"/>
                <w:lang w:val="en-US"/>
              </w:rPr>
              <w:t>I</w:t>
            </w:r>
            <w:r w:rsidRPr="00363E89">
              <w:rPr>
                <w:sz w:val="20"/>
                <w:szCs w:val="20"/>
              </w:rPr>
              <w:t xml:space="preserve"> полугодие</w:t>
            </w:r>
          </w:p>
        </w:tc>
        <w:tc>
          <w:tcPr>
            <w:tcW w:w="1114" w:type="dxa"/>
            <w:shd w:val="clear" w:color="auto" w:fill="auto"/>
          </w:tcPr>
          <w:p w14:paraId="2B9718F6" w14:textId="77777777" w:rsidR="001E6CA3" w:rsidRPr="00363E89" w:rsidRDefault="001E6CA3" w:rsidP="0099088D">
            <w:pPr>
              <w:jc w:val="center"/>
              <w:rPr>
                <w:sz w:val="20"/>
                <w:szCs w:val="20"/>
              </w:rPr>
            </w:pPr>
            <w:r w:rsidRPr="00363E89">
              <w:rPr>
                <w:sz w:val="20"/>
                <w:szCs w:val="20"/>
                <w:lang w:val="en-US"/>
              </w:rPr>
              <w:t>II</w:t>
            </w:r>
            <w:r w:rsidRPr="00363E89">
              <w:rPr>
                <w:sz w:val="20"/>
                <w:szCs w:val="20"/>
              </w:rPr>
              <w:t xml:space="preserve"> полугодие</w:t>
            </w:r>
          </w:p>
        </w:tc>
        <w:tc>
          <w:tcPr>
            <w:tcW w:w="1103" w:type="dxa"/>
            <w:shd w:val="clear" w:color="auto" w:fill="auto"/>
          </w:tcPr>
          <w:p w14:paraId="5EA56E75" w14:textId="77777777" w:rsidR="001E6CA3" w:rsidRPr="00363E89" w:rsidRDefault="001E6CA3" w:rsidP="0099088D">
            <w:pPr>
              <w:jc w:val="center"/>
              <w:rPr>
                <w:sz w:val="20"/>
                <w:szCs w:val="20"/>
              </w:rPr>
            </w:pPr>
            <w:r w:rsidRPr="00363E89">
              <w:rPr>
                <w:sz w:val="20"/>
                <w:szCs w:val="20"/>
                <w:lang w:val="en-US"/>
              </w:rPr>
              <w:t>I</w:t>
            </w:r>
            <w:r w:rsidRPr="00363E89">
              <w:rPr>
                <w:sz w:val="20"/>
                <w:szCs w:val="20"/>
              </w:rPr>
              <w:t xml:space="preserve"> полугодие</w:t>
            </w:r>
          </w:p>
        </w:tc>
        <w:tc>
          <w:tcPr>
            <w:tcW w:w="1103" w:type="dxa"/>
            <w:shd w:val="clear" w:color="auto" w:fill="auto"/>
          </w:tcPr>
          <w:p w14:paraId="0B8B5739" w14:textId="77777777" w:rsidR="001E6CA3" w:rsidRPr="00363E89" w:rsidRDefault="001E6CA3" w:rsidP="0099088D">
            <w:pPr>
              <w:jc w:val="center"/>
              <w:rPr>
                <w:sz w:val="20"/>
                <w:szCs w:val="20"/>
              </w:rPr>
            </w:pPr>
            <w:r w:rsidRPr="00363E89">
              <w:rPr>
                <w:sz w:val="20"/>
                <w:szCs w:val="20"/>
                <w:lang w:val="en-US"/>
              </w:rPr>
              <w:t>II</w:t>
            </w:r>
            <w:r w:rsidRPr="00363E89">
              <w:rPr>
                <w:sz w:val="20"/>
                <w:szCs w:val="20"/>
              </w:rPr>
              <w:t xml:space="preserve"> полугодие</w:t>
            </w:r>
          </w:p>
        </w:tc>
        <w:tc>
          <w:tcPr>
            <w:tcW w:w="1199" w:type="dxa"/>
            <w:shd w:val="clear" w:color="auto" w:fill="auto"/>
          </w:tcPr>
          <w:p w14:paraId="7B9DDB94" w14:textId="77777777" w:rsidR="001E6CA3" w:rsidRPr="00363E89" w:rsidRDefault="001E6CA3" w:rsidP="0099088D">
            <w:pPr>
              <w:jc w:val="center"/>
              <w:rPr>
                <w:sz w:val="20"/>
                <w:szCs w:val="20"/>
              </w:rPr>
            </w:pPr>
            <w:r w:rsidRPr="00363E89">
              <w:rPr>
                <w:sz w:val="20"/>
                <w:szCs w:val="20"/>
                <w:lang w:val="en-US"/>
              </w:rPr>
              <w:t>I</w:t>
            </w:r>
            <w:r w:rsidRPr="00363E89">
              <w:rPr>
                <w:sz w:val="20"/>
                <w:szCs w:val="20"/>
              </w:rPr>
              <w:t xml:space="preserve"> полугодие</w:t>
            </w:r>
          </w:p>
        </w:tc>
        <w:tc>
          <w:tcPr>
            <w:tcW w:w="1199" w:type="dxa"/>
            <w:shd w:val="clear" w:color="auto" w:fill="auto"/>
          </w:tcPr>
          <w:p w14:paraId="71FDAD9B" w14:textId="77777777" w:rsidR="001E6CA3" w:rsidRPr="00363E89" w:rsidRDefault="001E6CA3" w:rsidP="0099088D">
            <w:pPr>
              <w:jc w:val="center"/>
              <w:rPr>
                <w:sz w:val="20"/>
                <w:szCs w:val="20"/>
              </w:rPr>
            </w:pPr>
            <w:r w:rsidRPr="00363E89">
              <w:rPr>
                <w:sz w:val="20"/>
                <w:szCs w:val="20"/>
                <w:lang w:val="en-US"/>
              </w:rPr>
              <w:t>II</w:t>
            </w:r>
            <w:r w:rsidRPr="00363E89">
              <w:rPr>
                <w:sz w:val="20"/>
                <w:szCs w:val="20"/>
              </w:rPr>
              <w:t xml:space="preserve"> полугодие</w:t>
            </w:r>
          </w:p>
        </w:tc>
        <w:tc>
          <w:tcPr>
            <w:tcW w:w="1199" w:type="dxa"/>
            <w:shd w:val="clear" w:color="auto" w:fill="auto"/>
          </w:tcPr>
          <w:p w14:paraId="2BFA026E" w14:textId="77777777" w:rsidR="001E6CA3" w:rsidRPr="00363E89" w:rsidRDefault="001E6CA3" w:rsidP="0099088D">
            <w:pPr>
              <w:jc w:val="center"/>
              <w:rPr>
                <w:sz w:val="20"/>
                <w:szCs w:val="20"/>
              </w:rPr>
            </w:pPr>
            <w:r w:rsidRPr="00363E89">
              <w:rPr>
                <w:sz w:val="20"/>
                <w:szCs w:val="20"/>
                <w:lang w:val="en-US"/>
              </w:rPr>
              <w:t>I</w:t>
            </w:r>
            <w:r w:rsidRPr="00363E89">
              <w:rPr>
                <w:sz w:val="20"/>
                <w:szCs w:val="20"/>
              </w:rPr>
              <w:t xml:space="preserve"> полугодие</w:t>
            </w:r>
          </w:p>
        </w:tc>
        <w:tc>
          <w:tcPr>
            <w:tcW w:w="1199" w:type="dxa"/>
            <w:shd w:val="clear" w:color="auto" w:fill="auto"/>
          </w:tcPr>
          <w:p w14:paraId="313BF7D3" w14:textId="77777777" w:rsidR="001E6CA3" w:rsidRPr="00363E89" w:rsidRDefault="001E6CA3" w:rsidP="0099088D">
            <w:pPr>
              <w:jc w:val="center"/>
              <w:rPr>
                <w:sz w:val="20"/>
                <w:szCs w:val="20"/>
              </w:rPr>
            </w:pPr>
            <w:r w:rsidRPr="00363E89">
              <w:rPr>
                <w:sz w:val="20"/>
                <w:szCs w:val="20"/>
                <w:lang w:val="en-US"/>
              </w:rPr>
              <w:t>II</w:t>
            </w:r>
            <w:r w:rsidRPr="00363E89">
              <w:rPr>
                <w:sz w:val="20"/>
                <w:szCs w:val="20"/>
              </w:rPr>
              <w:t xml:space="preserve"> полугодие</w:t>
            </w:r>
          </w:p>
        </w:tc>
        <w:tc>
          <w:tcPr>
            <w:tcW w:w="1199" w:type="dxa"/>
            <w:shd w:val="clear" w:color="auto" w:fill="auto"/>
          </w:tcPr>
          <w:p w14:paraId="649F2687" w14:textId="77777777" w:rsidR="001E6CA3" w:rsidRPr="00363E89" w:rsidRDefault="001E6CA3" w:rsidP="0099088D">
            <w:pPr>
              <w:jc w:val="center"/>
              <w:rPr>
                <w:sz w:val="20"/>
                <w:szCs w:val="20"/>
              </w:rPr>
            </w:pPr>
            <w:r w:rsidRPr="00363E89">
              <w:rPr>
                <w:sz w:val="20"/>
                <w:szCs w:val="20"/>
                <w:lang w:val="en-US"/>
              </w:rPr>
              <w:t>I</w:t>
            </w:r>
            <w:r w:rsidRPr="00363E89">
              <w:rPr>
                <w:sz w:val="20"/>
                <w:szCs w:val="20"/>
              </w:rPr>
              <w:t xml:space="preserve"> полугодие</w:t>
            </w:r>
          </w:p>
        </w:tc>
        <w:tc>
          <w:tcPr>
            <w:tcW w:w="1199" w:type="dxa"/>
            <w:shd w:val="clear" w:color="auto" w:fill="auto"/>
          </w:tcPr>
          <w:p w14:paraId="4895F0D2" w14:textId="77777777" w:rsidR="001E6CA3" w:rsidRPr="00363E89" w:rsidRDefault="001E6CA3" w:rsidP="0099088D">
            <w:pPr>
              <w:jc w:val="center"/>
              <w:rPr>
                <w:sz w:val="20"/>
                <w:szCs w:val="20"/>
              </w:rPr>
            </w:pPr>
            <w:r w:rsidRPr="00363E89">
              <w:rPr>
                <w:sz w:val="20"/>
                <w:szCs w:val="20"/>
                <w:lang w:val="en-US"/>
              </w:rPr>
              <w:t>II</w:t>
            </w:r>
            <w:r w:rsidRPr="00363E89">
              <w:rPr>
                <w:sz w:val="20"/>
                <w:szCs w:val="20"/>
              </w:rPr>
              <w:t xml:space="preserve"> полугодие</w:t>
            </w:r>
          </w:p>
        </w:tc>
      </w:tr>
      <w:tr w:rsidR="001E6CA3" w:rsidRPr="00761B59" w14:paraId="5FC4FBB4" w14:textId="77777777" w:rsidTr="0099088D">
        <w:tc>
          <w:tcPr>
            <w:tcW w:w="500" w:type="dxa"/>
            <w:shd w:val="clear" w:color="auto" w:fill="auto"/>
          </w:tcPr>
          <w:p w14:paraId="4BCB79FB" w14:textId="77777777" w:rsidR="001E6CA3" w:rsidRPr="00761B59" w:rsidRDefault="001E6CA3" w:rsidP="0099088D">
            <w:pPr>
              <w:jc w:val="center"/>
            </w:pPr>
            <w:r w:rsidRPr="00761B59">
              <w:t>1</w:t>
            </w:r>
          </w:p>
        </w:tc>
        <w:tc>
          <w:tcPr>
            <w:tcW w:w="2658" w:type="dxa"/>
            <w:shd w:val="clear" w:color="auto" w:fill="auto"/>
          </w:tcPr>
          <w:p w14:paraId="58137FBA" w14:textId="77777777" w:rsidR="001E6CA3" w:rsidRPr="00761B59" w:rsidRDefault="001E6CA3" w:rsidP="0099088D">
            <w:pPr>
              <w:jc w:val="center"/>
            </w:pPr>
            <w:r w:rsidRPr="00761B59">
              <w:t>2</w:t>
            </w:r>
          </w:p>
        </w:tc>
        <w:tc>
          <w:tcPr>
            <w:tcW w:w="1114" w:type="dxa"/>
            <w:shd w:val="clear" w:color="auto" w:fill="auto"/>
          </w:tcPr>
          <w:p w14:paraId="7F17F1D6" w14:textId="77777777" w:rsidR="001E6CA3" w:rsidRPr="00761B59" w:rsidRDefault="001E6CA3" w:rsidP="0099088D">
            <w:pPr>
              <w:jc w:val="center"/>
            </w:pPr>
            <w:r w:rsidRPr="00761B59">
              <w:t>3</w:t>
            </w:r>
          </w:p>
        </w:tc>
        <w:tc>
          <w:tcPr>
            <w:tcW w:w="1114" w:type="dxa"/>
            <w:shd w:val="clear" w:color="auto" w:fill="auto"/>
          </w:tcPr>
          <w:p w14:paraId="54A594D4" w14:textId="77777777" w:rsidR="001E6CA3" w:rsidRPr="00761B59" w:rsidRDefault="001E6CA3" w:rsidP="0099088D">
            <w:pPr>
              <w:jc w:val="center"/>
            </w:pPr>
            <w:r w:rsidRPr="00761B59">
              <w:t>4</w:t>
            </w:r>
          </w:p>
        </w:tc>
        <w:tc>
          <w:tcPr>
            <w:tcW w:w="1103" w:type="dxa"/>
            <w:shd w:val="clear" w:color="auto" w:fill="auto"/>
          </w:tcPr>
          <w:p w14:paraId="6F4B6D0B" w14:textId="77777777" w:rsidR="001E6CA3" w:rsidRPr="00761B59" w:rsidRDefault="001E6CA3" w:rsidP="0099088D">
            <w:pPr>
              <w:jc w:val="center"/>
            </w:pPr>
            <w:r w:rsidRPr="00761B59">
              <w:t>5</w:t>
            </w:r>
          </w:p>
        </w:tc>
        <w:tc>
          <w:tcPr>
            <w:tcW w:w="1103" w:type="dxa"/>
            <w:shd w:val="clear" w:color="auto" w:fill="auto"/>
          </w:tcPr>
          <w:p w14:paraId="3BA32BA5" w14:textId="77777777" w:rsidR="001E6CA3" w:rsidRPr="00761B59" w:rsidRDefault="001E6CA3" w:rsidP="0099088D">
            <w:pPr>
              <w:jc w:val="center"/>
            </w:pPr>
            <w:r w:rsidRPr="00761B59">
              <w:t>6</w:t>
            </w:r>
          </w:p>
        </w:tc>
        <w:tc>
          <w:tcPr>
            <w:tcW w:w="1199" w:type="dxa"/>
            <w:shd w:val="clear" w:color="auto" w:fill="auto"/>
          </w:tcPr>
          <w:p w14:paraId="7DCE1B1A" w14:textId="77777777" w:rsidR="001E6CA3" w:rsidRPr="00761B59" w:rsidRDefault="001E6CA3" w:rsidP="0099088D">
            <w:pPr>
              <w:jc w:val="center"/>
            </w:pPr>
            <w:r w:rsidRPr="00761B59">
              <w:t>7</w:t>
            </w:r>
          </w:p>
        </w:tc>
        <w:tc>
          <w:tcPr>
            <w:tcW w:w="1199" w:type="dxa"/>
            <w:shd w:val="clear" w:color="auto" w:fill="auto"/>
          </w:tcPr>
          <w:p w14:paraId="66F29D31" w14:textId="77777777" w:rsidR="001E6CA3" w:rsidRPr="00761B59" w:rsidRDefault="001E6CA3" w:rsidP="0099088D">
            <w:pPr>
              <w:jc w:val="center"/>
            </w:pPr>
            <w:r w:rsidRPr="00761B59">
              <w:t>8</w:t>
            </w:r>
          </w:p>
        </w:tc>
        <w:tc>
          <w:tcPr>
            <w:tcW w:w="1199" w:type="dxa"/>
            <w:shd w:val="clear" w:color="auto" w:fill="auto"/>
          </w:tcPr>
          <w:p w14:paraId="04855E9C" w14:textId="77777777" w:rsidR="001E6CA3" w:rsidRPr="00761B59" w:rsidRDefault="001E6CA3" w:rsidP="0099088D">
            <w:pPr>
              <w:jc w:val="center"/>
            </w:pPr>
            <w:r w:rsidRPr="00761B59">
              <w:t>9</w:t>
            </w:r>
          </w:p>
        </w:tc>
        <w:tc>
          <w:tcPr>
            <w:tcW w:w="1199" w:type="dxa"/>
            <w:shd w:val="clear" w:color="auto" w:fill="auto"/>
          </w:tcPr>
          <w:p w14:paraId="0B8B392D" w14:textId="77777777" w:rsidR="001E6CA3" w:rsidRPr="00761B59" w:rsidRDefault="001E6CA3" w:rsidP="0099088D">
            <w:pPr>
              <w:jc w:val="center"/>
            </w:pPr>
            <w:r w:rsidRPr="00761B59">
              <w:t>10</w:t>
            </w:r>
          </w:p>
        </w:tc>
        <w:tc>
          <w:tcPr>
            <w:tcW w:w="1199" w:type="dxa"/>
            <w:shd w:val="clear" w:color="auto" w:fill="auto"/>
          </w:tcPr>
          <w:p w14:paraId="771D3728" w14:textId="77777777" w:rsidR="001E6CA3" w:rsidRPr="00761B59" w:rsidRDefault="001E6CA3" w:rsidP="0099088D">
            <w:pPr>
              <w:jc w:val="center"/>
            </w:pPr>
            <w:r w:rsidRPr="00761B59">
              <w:t>11</w:t>
            </w:r>
          </w:p>
        </w:tc>
        <w:tc>
          <w:tcPr>
            <w:tcW w:w="1199" w:type="dxa"/>
            <w:shd w:val="clear" w:color="auto" w:fill="auto"/>
          </w:tcPr>
          <w:p w14:paraId="36D9E222" w14:textId="77777777" w:rsidR="001E6CA3" w:rsidRPr="00761B59" w:rsidRDefault="001E6CA3" w:rsidP="0099088D">
            <w:pPr>
              <w:jc w:val="center"/>
            </w:pPr>
            <w:r w:rsidRPr="00761B59">
              <w:t>12</w:t>
            </w:r>
          </w:p>
        </w:tc>
      </w:tr>
      <w:tr w:rsidR="001E6CA3" w:rsidRPr="00761B59" w14:paraId="3AA9DE95" w14:textId="77777777" w:rsidTr="0099088D">
        <w:tc>
          <w:tcPr>
            <w:tcW w:w="500" w:type="dxa"/>
            <w:shd w:val="clear" w:color="auto" w:fill="auto"/>
            <w:vAlign w:val="center"/>
          </w:tcPr>
          <w:p w14:paraId="22F921ED" w14:textId="77777777" w:rsidR="001E6CA3" w:rsidRPr="00761B59" w:rsidRDefault="001E6CA3" w:rsidP="0099088D">
            <w:pPr>
              <w:jc w:val="center"/>
            </w:pPr>
            <w:r w:rsidRPr="00761B59">
              <w:t>1</w:t>
            </w:r>
          </w:p>
        </w:tc>
        <w:tc>
          <w:tcPr>
            <w:tcW w:w="2658" w:type="dxa"/>
            <w:shd w:val="clear" w:color="auto" w:fill="auto"/>
          </w:tcPr>
          <w:p w14:paraId="4A974C66" w14:textId="77777777" w:rsidR="001E6CA3" w:rsidRPr="00761B59" w:rsidRDefault="001E6CA3" w:rsidP="0099088D">
            <w:pPr>
              <w:autoSpaceDE w:val="0"/>
              <w:autoSpaceDN w:val="0"/>
              <w:adjustRightInd w:val="0"/>
            </w:pPr>
            <w:r w:rsidRPr="00761B59">
              <w:t xml:space="preserve">ПАО «Кузбассэнергосбыт»  </w:t>
            </w:r>
          </w:p>
          <w:p w14:paraId="295AD3F3" w14:textId="77777777" w:rsidR="001E6CA3" w:rsidRPr="00761B59" w:rsidRDefault="001E6CA3" w:rsidP="0099088D">
            <w:pPr>
              <w:autoSpaceDE w:val="0"/>
              <w:autoSpaceDN w:val="0"/>
              <w:adjustRightInd w:val="0"/>
            </w:pPr>
            <w:r w:rsidRPr="00761B59">
              <w:t>(ИНН 4205109214)</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bottom"/>
          </w:tcPr>
          <w:p w14:paraId="1C81E486" w14:textId="77777777" w:rsidR="001E6CA3" w:rsidRDefault="001E6CA3" w:rsidP="0099088D">
            <w:pPr>
              <w:jc w:val="center"/>
              <w:rPr>
                <w:color w:val="000000"/>
                <w:sz w:val="28"/>
                <w:szCs w:val="28"/>
              </w:rPr>
            </w:pPr>
            <w:r>
              <w:rPr>
                <w:color w:val="000000"/>
                <w:sz w:val="28"/>
                <w:szCs w:val="28"/>
              </w:rPr>
              <w:t>0,5548</w:t>
            </w:r>
          </w:p>
        </w:tc>
        <w:tc>
          <w:tcPr>
            <w:tcW w:w="1114" w:type="dxa"/>
            <w:tcBorders>
              <w:top w:val="single" w:sz="4" w:space="0" w:color="auto"/>
              <w:left w:val="nil"/>
              <w:bottom w:val="single" w:sz="4" w:space="0" w:color="auto"/>
              <w:right w:val="single" w:sz="4" w:space="0" w:color="auto"/>
            </w:tcBorders>
            <w:shd w:val="clear" w:color="auto" w:fill="auto"/>
            <w:vAlign w:val="bottom"/>
          </w:tcPr>
          <w:p w14:paraId="3E28BAF4" w14:textId="77777777" w:rsidR="001E6CA3" w:rsidRDefault="001E6CA3" w:rsidP="0099088D">
            <w:pPr>
              <w:jc w:val="center"/>
              <w:rPr>
                <w:sz w:val="28"/>
                <w:szCs w:val="28"/>
              </w:rPr>
            </w:pPr>
            <w:r>
              <w:rPr>
                <w:sz w:val="28"/>
                <w:szCs w:val="28"/>
              </w:rPr>
              <w:t>0,8049</w:t>
            </w:r>
          </w:p>
        </w:tc>
        <w:tc>
          <w:tcPr>
            <w:tcW w:w="1103" w:type="dxa"/>
            <w:tcBorders>
              <w:top w:val="nil"/>
              <w:left w:val="single" w:sz="4" w:space="0" w:color="auto"/>
              <w:bottom w:val="single" w:sz="4" w:space="0" w:color="auto"/>
              <w:right w:val="single" w:sz="4" w:space="0" w:color="auto"/>
            </w:tcBorders>
            <w:shd w:val="clear" w:color="auto" w:fill="auto"/>
            <w:vAlign w:val="bottom"/>
          </w:tcPr>
          <w:p w14:paraId="3B98E70D" w14:textId="77777777" w:rsidR="001E6CA3" w:rsidRDefault="001E6CA3" w:rsidP="0099088D">
            <w:pPr>
              <w:jc w:val="center"/>
              <w:rPr>
                <w:color w:val="000000"/>
                <w:sz w:val="28"/>
                <w:szCs w:val="28"/>
              </w:rPr>
            </w:pPr>
            <w:r>
              <w:rPr>
                <w:color w:val="000000"/>
                <w:sz w:val="28"/>
                <w:szCs w:val="28"/>
              </w:rPr>
              <w:t>0,4187</w:t>
            </w:r>
          </w:p>
        </w:tc>
        <w:tc>
          <w:tcPr>
            <w:tcW w:w="1103" w:type="dxa"/>
            <w:tcBorders>
              <w:top w:val="nil"/>
              <w:left w:val="nil"/>
              <w:bottom w:val="single" w:sz="4" w:space="0" w:color="auto"/>
              <w:right w:val="single" w:sz="4" w:space="0" w:color="auto"/>
            </w:tcBorders>
            <w:shd w:val="clear" w:color="auto" w:fill="auto"/>
            <w:vAlign w:val="bottom"/>
          </w:tcPr>
          <w:p w14:paraId="73E4B157" w14:textId="77777777" w:rsidR="001E6CA3" w:rsidRDefault="001E6CA3" w:rsidP="0099088D">
            <w:pPr>
              <w:jc w:val="center"/>
              <w:rPr>
                <w:sz w:val="28"/>
                <w:szCs w:val="28"/>
              </w:rPr>
            </w:pPr>
            <w:r>
              <w:rPr>
                <w:sz w:val="28"/>
                <w:szCs w:val="28"/>
              </w:rPr>
              <w:t>0,4187</w:t>
            </w:r>
          </w:p>
        </w:tc>
        <w:tc>
          <w:tcPr>
            <w:tcW w:w="1199" w:type="dxa"/>
            <w:tcBorders>
              <w:top w:val="nil"/>
              <w:left w:val="single" w:sz="4" w:space="0" w:color="auto"/>
              <w:bottom w:val="single" w:sz="4" w:space="0" w:color="auto"/>
              <w:right w:val="single" w:sz="4" w:space="0" w:color="auto"/>
            </w:tcBorders>
            <w:shd w:val="clear" w:color="auto" w:fill="auto"/>
            <w:vAlign w:val="bottom"/>
          </w:tcPr>
          <w:p w14:paraId="27744BB8" w14:textId="77777777" w:rsidR="001E6CA3" w:rsidRDefault="001E6CA3" w:rsidP="0099088D">
            <w:pPr>
              <w:jc w:val="center"/>
              <w:rPr>
                <w:color w:val="000000"/>
                <w:sz w:val="28"/>
                <w:szCs w:val="28"/>
              </w:rPr>
            </w:pPr>
            <w:r>
              <w:rPr>
                <w:color w:val="000000"/>
                <w:sz w:val="28"/>
                <w:szCs w:val="28"/>
              </w:rPr>
              <w:t>0,5090</w:t>
            </w:r>
          </w:p>
        </w:tc>
        <w:tc>
          <w:tcPr>
            <w:tcW w:w="1199" w:type="dxa"/>
            <w:tcBorders>
              <w:top w:val="nil"/>
              <w:left w:val="single" w:sz="4" w:space="0" w:color="auto"/>
              <w:bottom w:val="single" w:sz="4" w:space="0" w:color="auto"/>
              <w:right w:val="single" w:sz="4" w:space="0" w:color="auto"/>
            </w:tcBorders>
            <w:shd w:val="clear" w:color="auto" w:fill="auto"/>
            <w:vAlign w:val="bottom"/>
          </w:tcPr>
          <w:p w14:paraId="3389A816" w14:textId="77777777" w:rsidR="001E6CA3" w:rsidRDefault="001E6CA3" w:rsidP="0099088D">
            <w:pPr>
              <w:jc w:val="center"/>
              <w:rPr>
                <w:color w:val="000000"/>
                <w:sz w:val="28"/>
                <w:szCs w:val="28"/>
              </w:rPr>
            </w:pPr>
            <w:r>
              <w:rPr>
                <w:color w:val="000000"/>
                <w:sz w:val="28"/>
                <w:szCs w:val="28"/>
              </w:rPr>
              <w:t>0,5910</w:t>
            </w:r>
          </w:p>
        </w:tc>
        <w:tc>
          <w:tcPr>
            <w:tcW w:w="1199" w:type="dxa"/>
            <w:tcBorders>
              <w:top w:val="nil"/>
              <w:left w:val="single" w:sz="4" w:space="0" w:color="auto"/>
              <w:bottom w:val="single" w:sz="4" w:space="0" w:color="auto"/>
              <w:right w:val="single" w:sz="4" w:space="0" w:color="auto"/>
            </w:tcBorders>
            <w:shd w:val="clear" w:color="auto" w:fill="auto"/>
            <w:vAlign w:val="bottom"/>
          </w:tcPr>
          <w:p w14:paraId="43023074" w14:textId="77777777" w:rsidR="001E6CA3" w:rsidRDefault="001E6CA3" w:rsidP="0099088D">
            <w:pPr>
              <w:jc w:val="center"/>
              <w:rPr>
                <w:color w:val="000000"/>
                <w:sz w:val="28"/>
                <w:szCs w:val="28"/>
              </w:rPr>
            </w:pPr>
            <w:r>
              <w:rPr>
                <w:color w:val="000000"/>
                <w:sz w:val="28"/>
                <w:szCs w:val="28"/>
              </w:rPr>
              <w:t>0,2132</w:t>
            </w:r>
          </w:p>
        </w:tc>
        <w:tc>
          <w:tcPr>
            <w:tcW w:w="1199" w:type="dxa"/>
            <w:tcBorders>
              <w:top w:val="nil"/>
              <w:left w:val="nil"/>
              <w:bottom w:val="single" w:sz="4" w:space="0" w:color="auto"/>
              <w:right w:val="single" w:sz="4" w:space="0" w:color="auto"/>
            </w:tcBorders>
            <w:shd w:val="clear" w:color="auto" w:fill="auto"/>
            <w:vAlign w:val="bottom"/>
          </w:tcPr>
          <w:p w14:paraId="4609B186" w14:textId="77777777" w:rsidR="001E6CA3" w:rsidRDefault="001E6CA3" w:rsidP="0099088D">
            <w:pPr>
              <w:jc w:val="center"/>
              <w:rPr>
                <w:color w:val="000000"/>
                <w:sz w:val="28"/>
                <w:szCs w:val="28"/>
              </w:rPr>
            </w:pPr>
            <w:r>
              <w:rPr>
                <w:color w:val="000000"/>
                <w:sz w:val="28"/>
                <w:szCs w:val="28"/>
              </w:rPr>
              <w:t>0,2281</w:t>
            </w:r>
          </w:p>
        </w:tc>
        <w:tc>
          <w:tcPr>
            <w:tcW w:w="1199" w:type="dxa"/>
            <w:tcBorders>
              <w:top w:val="single" w:sz="4" w:space="0" w:color="auto"/>
              <w:left w:val="single" w:sz="4" w:space="0" w:color="auto"/>
              <w:bottom w:val="single" w:sz="4" w:space="0" w:color="auto"/>
              <w:right w:val="single" w:sz="4" w:space="0" w:color="auto"/>
            </w:tcBorders>
            <w:shd w:val="clear" w:color="auto" w:fill="auto"/>
            <w:vAlign w:val="bottom"/>
          </w:tcPr>
          <w:p w14:paraId="7CEC4448" w14:textId="77777777" w:rsidR="001E6CA3" w:rsidRDefault="001E6CA3" w:rsidP="0099088D">
            <w:pPr>
              <w:jc w:val="center"/>
              <w:rPr>
                <w:color w:val="000000"/>
                <w:sz w:val="28"/>
                <w:szCs w:val="28"/>
              </w:rPr>
            </w:pPr>
            <w:r>
              <w:rPr>
                <w:color w:val="000000"/>
                <w:sz w:val="28"/>
                <w:szCs w:val="28"/>
              </w:rPr>
              <w:t>0,1697</w:t>
            </w:r>
          </w:p>
        </w:tc>
        <w:tc>
          <w:tcPr>
            <w:tcW w:w="1199" w:type="dxa"/>
            <w:tcBorders>
              <w:top w:val="single" w:sz="4" w:space="0" w:color="auto"/>
              <w:left w:val="nil"/>
              <w:bottom w:val="single" w:sz="4" w:space="0" w:color="auto"/>
              <w:right w:val="single" w:sz="4" w:space="0" w:color="auto"/>
            </w:tcBorders>
            <w:shd w:val="clear" w:color="auto" w:fill="auto"/>
            <w:vAlign w:val="bottom"/>
          </w:tcPr>
          <w:p w14:paraId="0F047FDC" w14:textId="77777777" w:rsidR="001E6CA3" w:rsidRDefault="001E6CA3" w:rsidP="0099088D">
            <w:pPr>
              <w:jc w:val="center"/>
              <w:rPr>
                <w:color w:val="000000"/>
                <w:sz w:val="28"/>
                <w:szCs w:val="28"/>
              </w:rPr>
            </w:pPr>
            <w:r>
              <w:rPr>
                <w:color w:val="000000"/>
                <w:sz w:val="28"/>
                <w:szCs w:val="28"/>
              </w:rPr>
              <w:t>0,2281</w:t>
            </w:r>
          </w:p>
        </w:tc>
      </w:tr>
      <w:tr w:rsidR="001E6CA3" w:rsidRPr="00761B59" w14:paraId="264AF82E" w14:textId="77777777" w:rsidTr="0099088D">
        <w:tc>
          <w:tcPr>
            <w:tcW w:w="500" w:type="dxa"/>
            <w:shd w:val="clear" w:color="auto" w:fill="auto"/>
            <w:vAlign w:val="center"/>
          </w:tcPr>
          <w:p w14:paraId="21CCD4CB" w14:textId="77777777" w:rsidR="001E6CA3" w:rsidRPr="00761B59" w:rsidRDefault="001E6CA3" w:rsidP="0099088D">
            <w:pPr>
              <w:jc w:val="center"/>
            </w:pPr>
            <w:r w:rsidRPr="00761B59">
              <w:t>2</w:t>
            </w:r>
          </w:p>
        </w:tc>
        <w:tc>
          <w:tcPr>
            <w:tcW w:w="2658" w:type="dxa"/>
            <w:shd w:val="clear" w:color="auto" w:fill="auto"/>
          </w:tcPr>
          <w:p w14:paraId="4A0C4158" w14:textId="77777777" w:rsidR="001E6CA3" w:rsidRPr="00761B59" w:rsidRDefault="001E6CA3" w:rsidP="0099088D">
            <w:pPr>
              <w:autoSpaceDE w:val="0"/>
              <w:autoSpaceDN w:val="0"/>
              <w:adjustRightInd w:val="0"/>
            </w:pPr>
            <w:r w:rsidRPr="00761B59">
              <w:t>ООО «Металлэнергофинанс</w:t>
            </w:r>
            <w:r>
              <w:t>»</w:t>
            </w:r>
            <w:r w:rsidRPr="00761B59">
              <w:t xml:space="preserve"> </w:t>
            </w:r>
          </w:p>
          <w:p w14:paraId="53339F64" w14:textId="77777777" w:rsidR="001E6CA3" w:rsidRPr="00761B59" w:rsidRDefault="001E6CA3" w:rsidP="0099088D">
            <w:r w:rsidRPr="00761B59">
              <w:t>(ИНН 4217039402)</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bottom"/>
          </w:tcPr>
          <w:p w14:paraId="7E7691AC" w14:textId="77777777" w:rsidR="001E6CA3" w:rsidRDefault="001E6CA3" w:rsidP="0099088D">
            <w:pPr>
              <w:jc w:val="right"/>
              <w:rPr>
                <w:color w:val="000000"/>
                <w:sz w:val="28"/>
                <w:szCs w:val="28"/>
              </w:rPr>
            </w:pPr>
            <w:r>
              <w:rPr>
                <w:color w:val="000000"/>
                <w:sz w:val="28"/>
                <w:szCs w:val="28"/>
              </w:rPr>
              <w:t>1,0360</w:t>
            </w:r>
          </w:p>
        </w:tc>
        <w:tc>
          <w:tcPr>
            <w:tcW w:w="1114" w:type="dxa"/>
            <w:tcBorders>
              <w:top w:val="single" w:sz="4" w:space="0" w:color="auto"/>
              <w:left w:val="nil"/>
              <w:bottom w:val="single" w:sz="4" w:space="0" w:color="auto"/>
              <w:right w:val="single" w:sz="4" w:space="0" w:color="auto"/>
            </w:tcBorders>
            <w:shd w:val="clear" w:color="auto" w:fill="auto"/>
            <w:vAlign w:val="bottom"/>
          </w:tcPr>
          <w:p w14:paraId="25BF653A" w14:textId="77777777" w:rsidR="001E6CA3" w:rsidRDefault="001E6CA3" w:rsidP="0099088D">
            <w:pPr>
              <w:jc w:val="right"/>
              <w:rPr>
                <w:sz w:val="28"/>
                <w:szCs w:val="28"/>
              </w:rPr>
            </w:pPr>
            <w:r>
              <w:rPr>
                <w:sz w:val="28"/>
                <w:szCs w:val="28"/>
              </w:rPr>
              <w:t>1,1056</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bottom"/>
          </w:tcPr>
          <w:p w14:paraId="3A9B31B8" w14:textId="77777777" w:rsidR="001E6CA3" w:rsidRDefault="001E6CA3" w:rsidP="0099088D">
            <w:pPr>
              <w:jc w:val="right"/>
              <w:rPr>
                <w:color w:val="000000"/>
                <w:sz w:val="28"/>
                <w:szCs w:val="28"/>
              </w:rPr>
            </w:pPr>
            <w:r>
              <w:rPr>
                <w:color w:val="000000"/>
                <w:sz w:val="28"/>
                <w:szCs w:val="28"/>
              </w:rPr>
              <w:t>1,2953</w:t>
            </w:r>
          </w:p>
        </w:tc>
        <w:tc>
          <w:tcPr>
            <w:tcW w:w="1103" w:type="dxa"/>
            <w:tcBorders>
              <w:top w:val="single" w:sz="4" w:space="0" w:color="auto"/>
              <w:left w:val="nil"/>
              <w:bottom w:val="single" w:sz="4" w:space="0" w:color="auto"/>
              <w:right w:val="single" w:sz="4" w:space="0" w:color="auto"/>
            </w:tcBorders>
            <w:shd w:val="clear" w:color="auto" w:fill="auto"/>
            <w:vAlign w:val="bottom"/>
          </w:tcPr>
          <w:p w14:paraId="6ECF3CE7" w14:textId="77777777" w:rsidR="001E6CA3" w:rsidRDefault="001E6CA3" w:rsidP="0099088D">
            <w:pPr>
              <w:jc w:val="right"/>
              <w:rPr>
                <w:sz w:val="28"/>
                <w:szCs w:val="28"/>
              </w:rPr>
            </w:pPr>
            <w:r>
              <w:rPr>
                <w:sz w:val="28"/>
                <w:szCs w:val="28"/>
              </w:rPr>
              <w:t>2,9370</w:t>
            </w:r>
          </w:p>
        </w:tc>
        <w:tc>
          <w:tcPr>
            <w:tcW w:w="1199" w:type="dxa"/>
            <w:tcBorders>
              <w:top w:val="single" w:sz="4" w:space="0" w:color="auto"/>
              <w:left w:val="single" w:sz="4" w:space="0" w:color="auto"/>
              <w:bottom w:val="single" w:sz="4" w:space="0" w:color="auto"/>
              <w:right w:val="single" w:sz="4" w:space="0" w:color="auto"/>
            </w:tcBorders>
            <w:shd w:val="clear" w:color="auto" w:fill="auto"/>
            <w:vAlign w:val="bottom"/>
          </w:tcPr>
          <w:p w14:paraId="1F605AB0" w14:textId="77777777" w:rsidR="001E6CA3" w:rsidRDefault="001E6CA3" w:rsidP="0099088D">
            <w:pPr>
              <w:jc w:val="right"/>
              <w:rPr>
                <w:color w:val="000000"/>
                <w:sz w:val="28"/>
                <w:szCs w:val="28"/>
              </w:rPr>
            </w:pPr>
            <w:r>
              <w:rPr>
                <w:color w:val="000000"/>
                <w:sz w:val="28"/>
                <w:szCs w:val="28"/>
              </w:rPr>
              <w:t>0,4102</w:t>
            </w:r>
          </w:p>
        </w:tc>
        <w:tc>
          <w:tcPr>
            <w:tcW w:w="1199" w:type="dxa"/>
            <w:tcBorders>
              <w:top w:val="nil"/>
              <w:left w:val="nil"/>
              <w:bottom w:val="single" w:sz="4" w:space="0" w:color="auto"/>
              <w:right w:val="single" w:sz="4" w:space="0" w:color="auto"/>
            </w:tcBorders>
            <w:shd w:val="clear" w:color="auto" w:fill="auto"/>
            <w:vAlign w:val="bottom"/>
          </w:tcPr>
          <w:p w14:paraId="4E83D3A6" w14:textId="77777777" w:rsidR="001E6CA3" w:rsidRDefault="001E6CA3" w:rsidP="0099088D">
            <w:pPr>
              <w:jc w:val="right"/>
              <w:rPr>
                <w:color w:val="000000"/>
                <w:sz w:val="28"/>
                <w:szCs w:val="28"/>
              </w:rPr>
            </w:pPr>
            <w:r>
              <w:rPr>
                <w:color w:val="000000"/>
                <w:sz w:val="28"/>
                <w:szCs w:val="28"/>
              </w:rPr>
              <w:t>0,7105</w:t>
            </w:r>
          </w:p>
        </w:tc>
        <w:tc>
          <w:tcPr>
            <w:tcW w:w="1199" w:type="dxa"/>
            <w:tcBorders>
              <w:top w:val="single" w:sz="4" w:space="0" w:color="auto"/>
              <w:left w:val="single" w:sz="4" w:space="0" w:color="auto"/>
              <w:bottom w:val="single" w:sz="4" w:space="0" w:color="auto"/>
              <w:right w:val="single" w:sz="4" w:space="0" w:color="auto"/>
            </w:tcBorders>
            <w:shd w:val="clear" w:color="auto" w:fill="auto"/>
            <w:vAlign w:val="bottom"/>
          </w:tcPr>
          <w:p w14:paraId="325B6C9C" w14:textId="77777777" w:rsidR="001E6CA3" w:rsidRDefault="001E6CA3" w:rsidP="0099088D">
            <w:pPr>
              <w:jc w:val="right"/>
              <w:rPr>
                <w:color w:val="000000"/>
                <w:sz w:val="28"/>
                <w:szCs w:val="28"/>
              </w:rPr>
            </w:pPr>
            <w:r>
              <w:rPr>
                <w:color w:val="000000"/>
                <w:sz w:val="28"/>
                <w:szCs w:val="28"/>
              </w:rPr>
              <w:t>0,2235</w:t>
            </w:r>
          </w:p>
        </w:tc>
        <w:tc>
          <w:tcPr>
            <w:tcW w:w="1199" w:type="dxa"/>
            <w:tcBorders>
              <w:top w:val="single" w:sz="4" w:space="0" w:color="auto"/>
              <w:left w:val="nil"/>
              <w:bottom w:val="single" w:sz="4" w:space="0" w:color="auto"/>
              <w:right w:val="single" w:sz="4" w:space="0" w:color="auto"/>
            </w:tcBorders>
            <w:shd w:val="clear" w:color="auto" w:fill="auto"/>
            <w:vAlign w:val="bottom"/>
          </w:tcPr>
          <w:p w14:paraId="78626653" w14:textId="77777777" w:rsidR="001E6CA3" w:rsidRDefault="001E6CA3" w:rsidP="0099088D">
            <w:pPr>
              <w:jc w:val="right"/>
              <w:rPr>
                <w:color w:val="000000"/>
                <w:sz w:val="28"/>
                <w:szCs w:val="28"/>
              </w:rPr>
            </w:pPr>
            <w:r>
              <w:rPr>
                <w:color w:val="000000"/>
                <w:sz w:val="28"/>
                <w:szCs w:val="28"/>
              </w:rPr>
              <w:t>0,2861</w:t>
            </w:r>
          </w:p>
        </w:tc>
        <w:tc>
          <w:tcPr>
            <w:tcW w:w="1199" w:type="dxa"/>
            <w:tcBorders>
              <w:top w:val="single" w:sz="4" w:space="0" w:color="auto"/>
              <w:left w:val="single" w:sz="4" w:space="0" w:color="auto"/>
              <w:bottom w:val="single" w:sz="4" w:space="0" w:color="auto"/>
              <w:right w:val="single" w:sz="4" w:space="0" w:color="auto"/>
            </w:tcBorders>
            <w:shd w:val="clear" w:color="auto" w:fill="auto"/>
            <w:vAlign w:val="bottom"/>
          </w:tcPr>
          <w:p w14:paraId="71FC6D32" w14:textId="77777777" w:rsidR="001E6CA3" w:rsidRDefault="001E6CA3" w:rsidP="0099088D">
            <w:pPr>
              <w:jc w:val="right"/>
              <w:rPr>
                <w:color w:val="000000"/>
                <w:sz w:val="28"/>
                <w:szCs w:val="28"/>
              </w:rPr>
            </w:pPr>
            <w:r>
              <w:rPr>
                <w:color w:val="000000"/>
                <w:sz w:val="28"/>
                <w:szCs w:val="28"/>
              </w:rPr>
              <w:t>0,1367</w:t>
            </w:r>
          </w:p>
        </w:tc>
        <w:tc>
          <w:tcPr>
            <w:tcW w:w="1199" w:type="dxa"/>
            <w:tcBorders>
              <w:top w:val="single" w:sz="4" w:space="0" w:color="auto"/>
              <w:left w:val="nil"/>
              <w:bottom w:val="single" w:sz="4" w:space="0" w:color="auto"/>
              <w:right w:val="single" w:sz="4" w:space="0" w:color="auto"/>
            </w:tcBorders>
            <w:shd w:val="clear" w:color="auto" w:fill="auto"/>
            <w:vAlign w:val="bottom"/>
          </w:tcPr>
          <w:p w14:paraId="7BF5F87E" w14:textId="77777777" w:rsidR="001E6CA3" w:rsidRDefault="001E6CA3" w:rsidP="0099088D">
            <w:pPr>
              <w:jc w:val="right"/>
              <w:rPr>
                <w:color w:val="000000"/>
                <w:sz w:val="28"/>
                <w:szCs w:val="28"/>
              </w:rPr>
            </w:pPr>
            <w:r>
              <w:rPr>
                <w:color w:val="000000"/>
                <w:sz w:val="28"/>
                <w:szCs w:val="28"/>
              </w:rPr>
              <w:t>0,2368</w:t>
            </w:r>
          </w:p>
        </w:tc>
      </w:tr>
    </w:tbl>
    <w:p w14:paraId="7666CC2A" w14:textId="77777777" w:rsidR="001E6CA3" w:rsidRDefault="001E6CA3" w:rsidP="00B35B3E">
      <w:pPr>
        <w:tabs>
          <w:tab w:val="left" w:pos="5580"/>
          <w:tab w:val="left" w:pos="9498"/>
        </w:tabs>
        <w:ind w:right="-569"/>
        <w:rPr>
          <w:sz w:val="28"/>
          <w:szCs w:val="28"/>
        </w:rPr>
        <w:sectPr w:rsidR="001E6CA3" w:rsidSect="001E6CA3">
          <w:pgSz w:w="16838" w:h="11906" w:orient="landscape"/>
          <w:pgMar w:top="709" w:right="709" w:bottom="851" w:left="851" w:header="426" w:footer="407" w:gutter="0"/>
          <w:cols w:space="708"/>
          <w:titlePg/>
          <w:docGrid w:linePitch="360"/>
        </w:sectPr>
      </w:pPr>
    </w:p>
    <w:p w14:paraId="60B361EA" w14:textId="27D69C95" w:rsidR="001E6CA3" w:rsidRPr="00081AD4" w:rsidRDefault="001E6CA3" w:rsidP="001E6CA3">
      <w:pPr>
        <w:tabs>
          <w:tab w:val="left" w:pos="5580"/>
          <w:tab w:val="left" w:pos="9498"/>
        </w:tabs>
        <w:ind w:left="-3734" w:right="-569" w:firstLine="10255"/>
        <w:rPr>
          <w:color w:val="000000" w:themeColor="text1"/>
        </w:rPr>
      </w:pPr>
      <w:r w:rsidRPr="00081AD4">
        <w:rPr>
          <w:color w:val="000000" w:themeColor="text1"/>
        </w:rPr>
        <w:t xml:space="preserve">Приложение № </w:t>
      </w:r>
      <w:r w:rsidR="00A7450E">
        <w:rPr>
          <w:color w:val="000000" w:themeColor="text1"/>
        </w:rPr>
        <w:t>5</w:t>
      </w:r>
      <w:r>
        <w:rPr>
          <w:color w:val="000000" w:themeColor="text1"/>
        </w:rPr>
        <w:t xml:space="preserve"> к протоколу</w:t>
      </w:r>
      <w:r w:rsidRPr="00081AD4">
        <w:rPr>
          <w:color w:val="000000" w:themeColor="text1"/>
        </w:rPr>
        <w:t xml:space="preserve"> № </w:t>
      </w:r>
      <w:r>
        <w:rPr>
          <w:color w:val="000000" w:themeColor="text1"/>
        </w:rPr>
        <w:t>88</w:t>
      </w:r>
    </w:p>
    <w:p w14:paraId="5CC0352F" w14:textId="77777777" w:rsidR="001E6CA3" w:rsidRPr="00081AD4" w:rsidRDefault="001E6CA3" w:rsidP="001E6CA3">
      <w:pPr>
        <w:tabs>
          <w:tab w:val="left" w:pos="5580"/>
          <w:tab w:val="left" w:pos="9498"/>
        </w:tabs>
        <w:ind w:left="-3734" w:right="-569" w:firstLine="10255"/>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54C52A7C" w14:textId="77777777" w:rsidR="001E6CA3" w:rsidRPr="00081AD4" w:rsidRDefault="001E6CA3" w:rsidP="001E6CA3">
      <w:pPr>
        <w:tabs>
          <w:tab w:val="left" w:pos="5580"/>
          <w:tab w:val="left" w:pos="9498"/>
        </w:tabs>
        <w:ind w:left="-3734" w:right="-569" w:firstLine="10255"/>
        <w:rPr>
          <w:color w:val="000000" w:themeColor="text1"/>
        </w:rPr>
      </w:pPr>
      <w:r w:rsidRPr="00081AD4">
        <w:rPr>
          <w:color w:val="000000" w:themeColor="text1"/>
        </w:rPr>
        <w:t>энергетической комиссии</w:t>
      </w:r>
    </w:p>
    <w:p w14:paraId="2AFBABCB" w14:textId="77777777" w:rsidR="001E6CA3" w:rsidRDefault="001E6CA3" w:rsidP="001E6CA3">
      <w:pPr>
        <w:tabs>
          <w:tab w:val="left" w:pos="5580"/>
          <w:tab w:val="left" w:pos="9498"/>
        </w:tabs>
        <w:ind w:left="-3734" w:right="-569" w:firstLine="10255"/>
        <w:rPr>
          <w:color w:val="000000" w:themeColor="text1"/>
        </w:rPr>
      </w:pPr>
      <w:r w:rsidRPr="00081AD4">
        <w:rPr>
          <w:color w:val="000000" w:themeColor="text1"/>
        </w:rPr>
        <w:t xml:space="preserve">Кузбасса от </w:t>
      </w:r>
      <w:r>
        <w:rPr>
          <w:color w:val="000000" w:themeColor="text1"/>
        </w:rPr>
        <w:t>23</w:t>
      </w:r>
      <w:r w:rsidRPr="00081AD4">
        <w:rPr>
          <w:color w:val="000000" w:themeColor="text1"/>
        </w:rPr>
        <w:t>.</w:t>
      </w:r>
      <w:r>
        <w:rPr>
          <w:color w:val="000000" w:themeColor="text1"/>
        </w:rPr>
        <w:t>12</w:t>
      </w:r>
      <w:r w:rsidRPr="00081AD4">
        <w:rPr>
          <w:color w:val="000000" w:themeColor="text1"/>
        </w:rPr>
        <w:t>.202</w:t>
      </w:r>
      <w:r>
        <w:rPr>
          <w:color w:val="000000" w:themeColor="text1"/>
        </w:rPr>
        <w:t>1</w:t>
      </w:r>
    </w:p>
    <w:p w14:paraId="13FA4EEF" w14:textId="77777777" w:rsidR="001E6CA3" w:rsidRDefault="001E6CA3" w:rsidP="001E6CA3">
      <w:pPr>
        <w:tabs>
          <w:tab w:val="left" w:pos="5580"/>
          <w:tab w:val="left" w:pos="9498"/>
        </w:tabs>
        <w:ind w:left="-3734" w:right="-569" w:firstLine="10255"/>
        <w:rPr>
          <w:color w:val="000000" w:themeColor="text1"/>
        </w:rPr>
      </w:pPr>
    </w:p>
    <w:p w14:paraId="2B19C800" w14:textId="77777777" w:rsidR="008F3544" w:rsidRPr="000B6D07" w:rsidRDefault="008F3544" w:rsidP="008F3544">
      <w:pPr>
        <w:widowControl w:val="0"/>
        <w:jc w:val="center"/>
        <w:outlineLvl w:val="1"/>
        <w:rPr>
          <w:b/>
          <w:sz w:val="28"/>
          <w:szCs w:val="28"/>
        </w:rPr>
      </w:pPr>
      <w:r w:rsidRPr="000B6D07">
        <w:rPr>
          <w:b/>
          <w:sz w:val="28"/>
          <w:szCs w:val="28"/>
        </w:rPr>
        <w:t xml:space="preserve">Стандартизированные тарифные ставки </w:t>
      </w:r>
    </w:p>
    <w:p w14:paraId="171A6D3D" w14:textId="77777777" w:rsidR="008F3544" w:rsidRPr="000B6D07" w:rsidRDefault="008F3544" w:rsidP="008F3544">
      <w:pPr>
        <w:widowControl w:val="0"/>
        <w:jc w:val="center"/>
        <w:outlineLvl w:val="1"/>
        <w:rPr>
          <w:b/>
          <w:sz w:val="28"/>
          <w:szCs w:val="28"/>
        </w:rPr>
      </w:pPr>
      <w:r w:rsidRPr="000B6D07">
        <w:rPr>
          <w:b/>
          <w:sz w:val="28"/>
          <w:szCs w:val="28"/>
        </w:rPr>
        <w:t xml:space="preserve">для расчета платы за технологическое присоединение </w:t>
      </w:r>
    </w:p>
    <w:p w14:paraId="6BDD6A57" w14:textId="77777777" w:rsidR="008F3544" w:rsidRDefault="008F3544" w:rsidP="008F3544">
      <w:pPr>
        <w:widowControl w:val="0"/>
        <w:jc w:val="center"/>
        <w:outlineLvl w:val="1"/>
        <w:rPr>
          <w:b/>
          <w:sz w:val="28"/>
          <w:szCs w:val="28"/>
        </w:rPr>
      </w:pPr>
      <w:r w:rsidRPr="000B6D07">
        <w:rPr>
          <w:b/>
          <w:sz w:val="28"/>
          <w:szCs w:val="28"/>
        </w:rPr>
        <w:t>к электрическим сетям территориальных сетевых организаций Кемеровской области-Кузбасса на 202</w:t>
      </w:r>
      <w:r>
        <w:rPr>
          <w:b/>
          <w:sz w:val="28"/>
          <w:szCs w:val="28"/>
        </w:rPr>
        <w:t>2</w:t>
      </w:r>
      <w:r w:rsidRPr="000B6D07">
        <w:rPr>
          <w:b/>
          <w:sz w:val="28"/>
          <w:szCs w:val="28"/>
        </w:rPr>
        <w:t xml:space="preserve"> год </w:t>
      </w:r>
    </w:p>
    <w:p w14:paraId="284579C0" w14:textId="77777777" w:rsidR="008F3544" w:rsidRPr="000B6D07" w:rsidRDefault="008F3544" w:rsidP="008F3544">
      <w:pPr>
        <w:widowControl w:val="0"/>
        <w:jc w:val="center"/>
        <w:outlineLvl w:val="1"/>
        <w:rPr>
          <w:b/>
          <w:sz w:val="28"/>
          <w:szCs w:val="28"/>
        </w:rPr>
      </w:pPr>
      <w:r w:rsidRPr="000B6D07">
        <w:rPr>
          <w:b/>
          <w:sz w:val="28"/>
          <w:szCs w:val="28"/>
        </w:rPr>
        <w:t>(без учета НДС, в ценах 202</w:t>
      </w:r>
      <w:r>
        <w:rPr>
          <w:b/>
          <w:sz w:val="28"/>
          <w:szCs w:val="28"/>
        </w:rPr>
        <w:t>2</w:t>
      </w:r>
      <w:r w:rsidRPr="000B6D07">
        <w:rPr>
          <w:b/>
          <w:sz w:val="28"/>
          <w:szCs w:val="28"/>
        </w:rPr>
        <w:t xml:space="preserve"> года)</w:t>
      </w:r>
    </w:p>
    <w:p w14:paraId="0C5C9531" w14:textId="77777777" w:rsidR="008F3544" w:rsidRDefault="008F3544" w:rsidP="008F3544">
      <w:pPr>
        <w:widowControl w:val="0"/>
        <w:jc w:val="center"/>
        <w:outlineLvl w:val="1"/>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4"/>
        <w:gridCol w:w="1737"/>
        <w:gridCol w:w="2937"/>
        <w:gridCol w:w="1340"/>
        <w:gridCol w:w="1159"/>
        <w:gridCol w:w="1161"/>
      </w:tblGrid>
      <w:tr w:rsidR="008F3544" w:rsidRPr="00192507" w14:paraId="4127EE36" w14:textId="77777777" w:rsidTr="0099088D">
        <w:trPr>
          <w:trHeight w:val="300"/>
          <w:tblHeader/>
        </w:trPr>
        <w:tc>
          <w:tcPr>
            <w:tcW w:w="672" w:type="pct"/>
            <w:vMerge w:val="restart"/>
            <w:shd w:val="clear" w:color="auto" w:fill="auto"/>
            <w:vAlign w:val="center"/>
            <w:hideMark/>
          </w:tcPr>
          <w:p w14:paraId="56D4357E" w14:textId="77777777" w:rsidR="008F3544" w:rsidRPr="00192507" w:rsidRDefault="008F3544" w:rsidP="0099088D">
            <w:pPr>
              <w:jc w:val="center"/>
              <w:rPr>
                <w:color w:val="000000"/>
                <w:sz w:val="16"/>
                <w:szCs w:val="16"/>
              </w:rPr>
            </w:pPr>
            <w:bookmarkStart w:id="7" w:name="_Hlk90387869"/>
            <w:r w:rsidRPr="00615387">
              <w:rPr>
                <w:color w:val="000000"/>
                <w:sz w:val="16"/>
                <w:szCs w:val="16"/>
              </w:rPr>
              <w:t>Идентификатор ставки</w:t>
            </w:r>
          </w:p>
        </w:tc>
        <w:tc>
          <w:tcPr>
            <w:tcW w:w="902" w:type="pct"/>
            <w:vMerge w:val="restart"/>
            <w:shd w:val="clear" w:color="auto" w:fill="auto"/>
            <w:vAlign w:val="center"/>
            <w:hideMark/>
          </w:tcPr>
          <w:p w14:paraId="2615018F" w14:textId="77777777" w:rsidR="008F3544" w:rsidRPr="00192507" w:rsidRDefault="008F3544" w:rsidP="0099088D">
            <w:pPr>
              <w:jc w:val="center"/>
              <w:rPr>
                <w:color w:val="000000"/>
                <w:sz w:val="16"/>
                <w:szCs w:val="16"/>
              </w:rPr>
            </w:pPr>
            <w:r>
              <w:rPr>
                <w:color w:val="000000"/>
                <w:sz w:val="16"/>
                <w:szCs w:val="16"/>
              </w:rPr>
              <w:t>Обозначение</w:t>
            </w:r>
          </w:p>
        </w:tc>
        <w:tc>
          <w:tcPr>
            <w:tcW w:w="1525" w:type="pct"/>
            <w:vMerge w:val="restart"/>
            <w:shd w:val="clear" w:color="auto" w:fill="auto"/>
            <w:vAlign w:val="center"/>
            <w:hideMark/>
          </w:tcPr>
          <w:p w14:paraId="0EE99C2D" w14:textId="77777777" w:rsidR="008F3544" w:rsidRPr="00192507" w:rsidRDefault="008F3544" w:rsidP="0099088D">
            <w:pPr>
              <w:jc w:val="center"/>
              <w:rPr>
                <w:color w:val="000000"/>
                <w:sz w:val="16"/>
                <w:szCs w:val="16"/>
              </w:rPr>
            </w:pPr>
            <w:r w:rsidRPr="00192507">
              <w:rPr>
                <w:color w:val="000000"/>
                <w:sz w:val="16"/>
                <w:szCs w:val="16"/>
              </w:rPr>
              <w:t>Наименование</w:t>
            </w:r>
          </w:p>
        </w:tc>
        <w:tc>
          <w:tcPr>
            <w:tcW w:w="696" w:type="pct"/>
            <w:vMerge w:val="restart"/>
            <w:shd w:val="clear" w:color="auto" w:fill="auto"/>
            <w:vAlign w:val="center"/>
            <w:hideMark/>
          </w:tcPr>
          <w:p w14:paraId="331919EE" w14:textId="77777777" w:rsidR="008F3544" w:rsidRPr="00192507" w:rsidRDefault="008F3544" w:rsidP="0099088D">
            <w:pPr>
              <w:jc w:val="center"/>
              <w:rPr>
                <w:color w:val="000000"/>
                <w:sz w:val="16"/>
                <w:szCs w:val="16"/>
              </w:rPr>
            </w:pPr>
            <w:r w:rsidRPr="00192507">
              <w:rPr>
                <w:color w:val="000000"/>
                <w:sz w:val="16"/>
                <w:szCs w:val="16"/>
              </w:rPr>
              <w:t>Единица измерения</w:t>
            </w:r>
          </w:p>
        </w:tc>
        <w:tc>
          <w:tcPr>
            <w:tcW w:w="1205" w:type="pct"/>
            <w:gridSpan w:val="2"/>
            <w:shd w:val="clear" w:color="auto" w:fill="auto"/>
            <w:noWrap/>
            <w:vAlign w:val="center"/>
            <w:hideMark/>
          </w:tcPr>
          <w:p w14:paraId="6504800C" w14:textId="77777777" w:rsidR="008F3544" w:rsidRDefault="008F3544" w:rsidP="0099088D">
            <w:pPr>
              <w:jc w:val="center"/>
              <w:rPr>
                <w:color w:val="000000"/>
                <w:sz w:val="16"/>
                <w:szCs w:val="16"/>
              </w:rPr>
            </w:pPr>
            <w:r>
              <w:rPr>
                <w:color w:val="000000"/>
                <w:sz w:val="16"/>
                <w:szCs w:val="16"/>
              </w:rPr>
              <w:t>Размер</w:t>
            </w:r>
          </w:p>
          <w:p w14:paraId="78B13C39" w14:textId="77777777" w:rsidR="008F3544" w:rsidRDefault="008F3544" w:rsidP="0099088D">
            <w:pPr>
              <w:jc w:val="center"/>
              <w:rPr>
                <w:color w:val="000000"/>
                <w:sz w:val="16"/>
                <w:szCs w:val="16"/>
              </w:rPr>
            </w:pPr>
            <w:r>
              <w:rPr>
                <w:color w:val="000000"/>
                <w:sz w:val="16"/>
                <w:szCs w:val="16"/>
              </w:rPr>
              <w:t>стандартизированной</w:t>
            </w:r>
          </w:p>
          <w:p w14:paraId="42605E2D" w14:textId="77777777" w:rsidR="008F3544" w:rsidRDefault="008F3544" w:rsidP="0099088D">
            <w:pPr>
              <w:jc w:val="center"/>
              <w:rPr>
                <w:color w:val="000000"/>
                <w:sz w:val="16"/>
                <w:szCs w:val="16"/>
              </w:rPr>
            </w:pPr>
            <w:r>
              <w:rPr>
                <w:color w:val="000000"/>
                <w:sz w:val="16"/>
                <w:szCs w:val="16"/>
              </w:rPr>
              <w:t>тарифной с</w:t>
            </w:r>
            <w:r w:rsidRPr="00192507">
              <w:rPr>
                <w:color w:val="000000"/>
                <w:sz w:val="16"/>
                <w:szCs w:val="16"/>
              </w:rPr>
              <w:t>тавки</w:t>
            </w:r>
          </w:p>
          <w:p w14:paraId="0609CDC7" w14:textId="77777777" w:rsidR="008F3544" w:rsidRPr="00192507" w:rsidRDefault="008F3544" w:rsidP="0099088D">
            <w:pPr>
              <w:jc w:val="center"/>
              <w:rPr>
                <w:color w:val="000000"/>
                <w:sz w:val="16"/>
                <w:szCs w:val="16"/>
              </w:rPr>
            </w:pPr>
            <w:r w:rsidRPr="00192507">
              <w:rPr>
                <w:color w:val="000000"/>
                <w:sz w:val="16"/>
                <w:szCs w:val="16"/>
              </w:rPr>
              <w:t>на 2022 год</w:t>
            </w:r>
          </w:p>
        </w:tc>
      </w:tr>
      <w:tr w:rsidR="008F3544" w:rsidRPr="00192507" w14:paraId="2CCE9690" w14:textId="77777777" w:rsidTr="0099088D">
        <w:trPr>
          <w:trHeight w:val="1350"/>
          <w:tblHeader/>
        </w:trPr>
        <w:tc>
          <w:tcPr>
            <w:tcW w:w="672" w:type="pct"/>
            <w:vMerge/>
            <w:vAlign w:val="center"/>
            <w:hideMark/>
          </w:tcPr>
          <w:p w14:paraId="33EA59D2" w14:textId="77777777" w:rsidR="008F3544" w:rsidRPr="00192507" w:rsidRDefault="008F3544" w:rsidP="0099088D">
            <w:pPr>
              <w:rPr>
                <w:color w:val="000000"/>
                <w:sz w:val="16"/>
                <w:szCs w:val="16"/>
              </w:rPr>
            </w:pPr>
          </w:p>
        </w:tc>
        <w:tc>
          <w:tcPr>
            <w:tcW w:w="902" w:type="pct"/>
            <w:vMerge/>
            <w:shd w:val="clear" w:color="auto" w:fill="auto"/>
            <w:vAlign w:val="center"/>
            <w:hideMark/>
          </w:tcPr>
          <w:p w14:paraId="40849CB7" w14:textId="77777777" w:rsidR="008F3544" w:rsidRPr="00192507" w:rsidRDefault="008F3544" w:rsidP="0099088D">
            <w:pPr>
              <w:jc w:val="center"/>
              <w:rPr>
                <w:color w:val="000000"/>
                <w:sz w:val="16"/>
                <w:szCs w:val="16"/>
              </w:rPr>
            </w:pPr>
          </w:p>
        </w:tc>
        <w:tc>
          <w:tcPr>
            <w:tcW w:w="1525" w:type="pct"/>
            <w:vMerge/>
            <w:vAlign w:val="center"/>
            <w:hideMark/>
          </w:tcPr>
          <w:p w14:paraId="3A7CE0A3" w14:textId="77777777" w:rsidR="008F3544" w:rsidRPr="00192507" w:rsidRDefault="008F3544" w:rsidP="0099088D">
            <w:pPr>
              <w:rPr>
                <w:color w:val="000000"/>
                <w:sz w:val="16"/>
                <w:szCs w:val="16"/>
              </w:rPr>
            </w:pPr>
          </w:p>
        </w:tc>
        <w:tc>
          <w:tcPr>
            <w:tcW w:w="696" w:type="pct"/>
            <w:vMerge/>
            <w:vAlign w:val="center"/>
            <w:hideMark/>
          </w:tcPr>
          <w:p w14:paraId="63C2A3FB" w14:textId="77777777" w:rsidR="008F3544" w:rsidRPr="00192507" w:rsidRDefault="008F3544" w:rsidP="0099088D">
            <w:pPr>
              <w:rPr>
                <w:color w:val="000000"/>
                <w:sz w:val="16"/>
                <w:szCs w:val="16"/>
              </w:rPr>
            </w:pPr>
          </w:p>
        </w:tc>
        <w:tc>
          <w:tcPr>
            <w:tcW w:w="602" w:type="pct"/>
            <w:shd w:val="clear" w:color="auto" w:fill="auto"/>
            <w:vAlign w:val="center"/>
            <w:hideMark/>
          </w:tcPr>
          <w:p w14:paraId="3D19BB10" w14:textId="77777777" w:rsidR="008F3544" w:rsidRPr="00192507" w:rsidRDefault="008F3544" w:rsidP="0099088D">
            <w:pPr>
              <w:jc w:val="center"/>
              <w:rPr>
                <w:color w:val="000000"/>
                <w:sz w:val="16"/>
                <w:szCs w:val="16"/>
              </w:rPr>
            </w:pPr>
            <w:r w:rsidRPr="00192507">
              <w:rPr>
                <w:color w:val="000000"/>
                <w:sz w:val="16"/>
                <w:szCs w:val="16"/>
              </w:rPr>
              <w:t>Для территорий, относящихся к городским населенным пунктам</w:t>
            </w:r>
          </w:p>
        </w:tc>
        <w:tc>
          <w:tcPr>
            <w:tcW w:w="603" w:type="pct"/>
            <w:shd w:val="clear" w:color="auto" w:fill="auto"/>
            <w:vAlign w:val="center"/>
            <w:hideMark/>
          </w:tcPr>
          <w:p w14:paraId="1F2A175A" w14:textId="77777777" w:rsidR="008F3544" w:rsidRPr="00192507" w:rsidRDefault="008F3544" w:rsidP="0099088D">
            <w:pPr>
              <w:jc w:val="center"/>
              <w:rPr>
                <w:color w:val="000000"/>
                <w:sz w:val="16"/>
                <w:szCs w:val="16"/>
              </w:rPr>
            </w:pPr>
            <w:r w:rsidRPr="00192507">
              <w:rPr>
                <w:color w:val="000000"/>
                <w:sz w:val="16"/>
                <w:szCs w:val="16"/>
              </w:rPr>
              <w:t>Для территорий, не относящихся к городским населенным пунктам</w:t>
            </w:r>
          </w:p>
        </w:tc>
      </w:tr>
      <w:tr w:rsidR="008F3544" w:rsidRPr="00192507" w14:paraId="7722D853" w14:textId="77777777" w:rsidTr="0099088D">
        <w:trPr>
          <w:trHeight w:val="173"/>
          <w:tblHeader/>
        </w:trPr>
        <w:tc>
          <w:tcPr>
            <w:tcW w:w="672" w:type="pct"/>
            <w:vAlign w:val="center"/>
          </w:tcPr>
          <w:p w14:paraId="0C72D501" w14:textId="77777777" w:rsidR="008F3544" w:rsidRPr="00192507" w:rsidRDefault="008F3544" w:rsidP="0099088D">
            <w:pPr>
              <w:jc w:val="center"/>
              <w:rPr>
                <w:color w:val="000000"/>
                <w:sz w:val="16"/>
                <w:szCs w:val="16"/>
              </w:rPr>
            </w:pPr>
            <w:bookmarkStart w:id="8" w:name="_Hlk90567052"/>
            <w:r>
              <w:rPr>
                <w:color w:val="000000"/>
                <w:sz w:val="16"/>
                <w:szCs w:val="16"/>
              </w:rPr>
              <w:t>1</w:t>
            </w:r>
          </w:p>
        </w:tc>
        <w:tc>
          <w:tcPr>
            <w:tcW w:w="902" w:type="pct"/>
            <w:shd w:val="clear" w:color="auto" w:fill="auto"/>
            <w:vAlign w:val="center"/>
          </w:tcPr>
          <w:p w14:paraId="2C622DCE" w14:textId="77777777" w:rsidR="008F3544" w:rsidRPr="00192507" w:rsidRDefault="008F3544" w:rsidP="0099088D">
            <w:pPr>
              <w:jc w:val="center"/>
              <w:rPr>
                <w:color w:val="000000"/>
                <w:sz w:val="16"/>
                <w:szCs w:val="16"/>
              </w:rPr>
            </w:pPr>
            <w:r>
              <w:rPr>
                <w:color w:val="000000"/>
                <w:sz w:val="16"/>
                <w:szCs w:val="16"/>
              </w:rPr>
              <w:t>2</w:t>
            </w:r>
          </w:p>
        </w:tc>
        <w:tc>
          <w:tcPr>
            <w:tcW w:w="1525" w:type="pct"/>
            <w:vAlign w:val="center"/>
          </w:tcPr>
          <w:p w14:paraId="4D83F248" w14:textId="77777777" w:rsidR="008F3544" w:rsidRPr="00192507" w:rsidRDefault="008F3544" w:rsidP="0099088D">
            <w:pPr>
              <w:jc w:val="center"/>
              <w:rPr>
                <w:color w:val="000000"/>
                <w:sz w:val="16"/>
                <w:szCs w:val="16"/>
              </w:rPr>
            </w:pPr>
            <w:r>
              <w:rPr>
                <w:color w:val="000000"/>
                <w:sz w:val="16"/>
                <w:szCs w:val="16"/>
              </w:rPr>
              <w:t>3</w:t>
            </w:r>
          </w:p>
        </w:tc>
        <w:tc>
          <w:tcPr>
            <w:tcW w:w="696" w:type="pct"/>
            <w:vAlign w:val="center"/>
          </w:tcPr>
          <w:p w14:paraId="59F281B5" w14:textId="77777777" w:rsidR="008F3544" w:rsidRPr="00192507" w:rsidRDefault="008F3544" w:rsidP="0099088D">
            <w:pPr>
              <w:jc w:val="center"/>
              <w:rPr>
                <w:color w:val="000000"/>
                <w:sz w:val="16"/>
                <w:szCs w:val="16"/>
              </w:rPr>
            </w:pPr>
            <w:r>
              <w:rPr>
                <w:color w:val="000000"/>
                <w:sz w:val="16"/>
                <w:szCs w:val="16"/>
              </w:rPr>
              <w:t>4</w:t>
            </w:r>
          </w:p>
        </w:tc>
        <w:tc>
          <w:tcPr>
            <w:tcW w:w="602" w:type="pct"/>
            <w:shd w:val="clear" w:color="auto" w:fill="auto"/>
            <w:vAlign w:val="center"/>
          </w:tcPr>
          <w:p w14:paraId="4766D685" w14:textId="77777777" w:rsidR="008F3544" w:rsidRPr="00192507" w:rsidRDefault="008F3544" w:rsidP="0099088D">
            <w:pPr>
              <w:jc w:val="center"/>
              <w:rPr>
                <w:color w:val="000000"/>
                <w:sz w:val="16"/>
                <w:szCs w:val="16"/>
              </w:rPr>
            </w:pPr>
            <w:r>
              <w:rPr>
                <w:color w:val="000000"/>
                <w:sz w:val="16"/>
                <w:szCs w:val="16"/>
              </w:rPr>
              <w:t>5</w:t>
            </w:r>
          </w:p>
        </w:tc>
        <w:tc>
          <w:tcPr>
            <w:tcW w:w="603" w:type="pct"/>
            <w:shd w:val="clear" w:color="auto" w:fill="auto"/>
            <w:vAlign w:val="center"/>
          </w:tcPr>
          <w:p w14:paraId="4F407705" w14:textId="77777777" w:rsidR="008F3544" w:rsidRPr="00192507" w:rsidRDefault="008F3544" w:rsidP="0099088D">
            <w:pPr>
              <w:jc w:val="center"/>
              <w:rPr>
                <w:color w:val="000000"/>
                <w:sz w:val="16"/>
                <w:szCs w:val="16"/>
              </w:rPr>
            </w:pPr>
            <w:r>
              <w:rPr>
                <w:color w:val="000000"/>
                <w:sz w:val="16"/>
                <w:szCs w:val="16"/>
              </w:rPr>
              <w:t>6</w:t>
            </w:r>
          </w:p>
        </w:tc>
      </w:tr>
      <w:bookmarkEnd w:id="8"/>
      <w:tr w:rsidR="008F3544" w:rsidRPr="00192507" w14:paraId="41D1D353" w14:textId="77777777" w:rsidTr="0099088D">
        <w:trPr>
          <w:trHeight w:val="900"/>
        </w:trPr>
        <w:tc>
          <w:tcPr>
            <w:tcW w:w="672" w:type="pct"/>
            <w:vMerge w:val="restart"/>
            <w:shd w:val="clear" w:color="auto" w:fill="auto"/>
            <w:vAlign w:val="center"/>
          </w:tcPr>
          <w:p w14:paraId="0ED1DC5F" w14:textId="77777777" w:rsidR="008F3544" w:rsidRPr="00192507" w:rsidRDefault="008F3544" w:rsidP="0099088D">
            <w:pPr>
              <w:jc w:val="center"/>
              <w:rPr>
                <w:color w:val="000000"/>
                <w:sz w:val="16"/>
                <w:szCs w:val="16"/>
              </w:rPr>
            </w:pPr>
            <w:r>
              <w:rPr>
                <w:color w:val="000000"/>
                <w:sz w:val="16"/>
                <w:szCs w:val="16"/>
              </w:rPr>
              <w:t>1.</w:t>
            </w:r>
          </w:p>
        </w:tc>
        <w:tc>
          <w:tcPr>
            <w:tcW w:w="902" w:type="pct"/>
            <w:vMerge w:val="restart"/>
            <w:shd w:val="clear" w:color="auto" w:fill="auto"/>
            <w:vAlign w:val="center"/>
          </w:tcPr>
          <w:p w14:paraId="23FFD180" w14:textId="77777777" w:rsidR="008F3544" w:rsidRPr="00AF0880" w:rsidRDefault="008F3544" w:rsidP="0099088D">
            <w:pPr>
              <w:rPr>
                <w:color w:val="000000"/>
              </w:rPr>
            </w:pPr>
            <m:oMathPara>
              <m:oMathParaPr>
                <m:jc m:val="center"/>
              </m:oMathParaPr>
              <m:oMath>
                <m:sSubSup>
                  <m:sSubSupPr>
                    <m:ctrlPr>
                      <w:rPr>
                        <w:rFonts w:ascii="Cambria Math" w:hAnsi="Cambria Math"/>
                        <w:i/>
                        <w:color w:val="000000"/>
                      </w:rPr>
                    </m:ctrlPr>
                  </m:sSubSupPr>
                  <m:e>
                    <m:r>
                      <m:rPr>
                        <m:nor/>
                      </m:rPr>
                      <w:rPr>
                        <w:color w:val="000000"/>
                      </w:rPr>
                      <m:t>С</m:t>
                    </m:r>
                  </m:e>
                  <m:sub>
                    <m:r>
                      <m:rPr>
                        <m:nor/>
                      </m:rPr>
                      <w:rPr>
                        <w:color w:val="000000"/>
                      </w:rPr>
                      <m:t>1</m:t>
                    </m:r>
                  </m:sub>
                  <m:sup/>
                </m:sSubSup>
              </m:oMath>
            </m:oMathPara>
          </w:p>
        </w:tc>
        <w:tc>
          <w:tcPr>
            <w:tcW w:w="1525" w:type="pct"/>
            <w:shd w:val="clear" w:color="auto" w:fill="auto"/>
            <w:vAlign w:val="center"/>
          </w:tcPr>
          <w:p w14:paraId="2814DCB0" w14:textId="77777777" w:rsidR="008F3544" w:rsidRPr="00192507" w:rsidRDefault="008F3544" w:rsidP="0099088D">
            <w:pPr>
              <w:rPr>
                <w:color w:val="000000"/>
                <w:sz w:val="16"/>
                <w:szCs w:val="16"/>
              </w:rPr>
            </w:pPr>
            <w:r w:rsidRPr="005A2CF7">
              <w:rPr>
                <w:color w:val="000000"/>
                <w:sz w:val="16"/>
                <w:szCs w:val="16"/>
              </w:rPr>
              <w:t>стандартизированная тарифная ставка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на подготовку и выдачу сетевой организацией технических условий заявителю и проверку сетевой организацией выполнения технических условий заявителем</w:t>
            </w:r>
            <w:r>
              <w:rPr>
                <w:color w:val="000000"/>
                <w:sz w:val="16"/>
                <w:szCs w:val="16"/>
              </w:rPr>
              <w:t xml:space="preserve"> </w:t>
            </w:r>
            <w:r w:rsidRPr="006878F8">
              <w:rPr>
                <w:color w:val="000000"/>
                <w:sz w:val="16"/>
                <w:szCs w:val="16"/>
              </w:rPr>
              <w:t>для случаев присоединения энергопринимающих устройств потребителей, указанных в пунктах 12(1) и 14 Правил технологического присоединения, кроме случаев, если технологическое присоединение энергопринимающих устройств таких Заявителей осуществляется на уровне напряжения выше 0,4 кВ</w:t>
            </w:r>
            <w:r>
              <w:rPr>
                <w:color w:val="000000"/>
                <w:sz w:val="16"/>
                <w:szCs w:val="16"/>
              </w:rPr>
              <w:t xml:space="preserve"> (для постоянной и временной схемы электроснабжения)</w:t>
            </w:r>
          </w:p>
        </w:tc>
        <w:tc>
          <w:tcPr>
            <w:tcW w:w="696" w:type="pct"/>
            <w:shd w:val="clear" w:color="auto" w:fill="auto"/>
            <w:vAlign w:val="center"/>
          </w:tcPr>
          <w:p w14:paraId="436326D3" w14:textId="77777777" w:rsidR="008F3544" w:rsidRPr="006878F8" w:rsidRDefault="008F3544" w:rsidP="0099088D">
            <w:pPr>
              <w:jc w:val="center"/>
              <w:rPr>
                <w:color w:val="000000"/>
                <w:sz w:val="16"/>
                <w:szCs w:val="16"/>
              </w:rPr>
            </w:pPr>
            <w:r w:rsidRPr="006878F8">
              <w:rPr>
                <w:color w:val="000000"/>
                <w:sz w:val="16"/>
                <w:szCs w:val="16"/>
              </w:rPr>
              <w:t>рублей за одно присоединение</w:t>
            </w:r>
          </w:p>
        </w:tc>
        <w:tc>
          <w:tcPr>
            <w:tcW w:w="1205" w:type="pct"/>
            <w:gridSpan w:val="2"/>
            <w:shd w:val="clear" w:color="auto" w:fill="auto"/>
            <w:noWrap/>
            <w:vAlign w:val="center"/>
          </w:tcPr>
          <w:p w14:paraId="4DD55327" w14:textId="77777777" w:rsidR="008F3544" w:rsidRPr="006878F8" w:rsidRDefault="008F3544" w:rsidP="0099088D">
            <w:pPr>
              <w:jc w:val="center"/>
              <w:rPr>
                <w:color w:val="000000"/>
                <w:sz w:val="16"/>
                <w:szCs w:val="16"/>
              </w:rPr>
            </w:pPr>
            <w:r w:rsidRPr="006878F8">
              <w:rPr>
                <w:color w:val="000000"/>
                <w:sz w:val="16"/>
                <w:szCs w:val="16"/>
              </w:rPr>
              <w:t>10</w:t>
            </w:r>
            <w:r>
              <w:rPr>
                <w:color w:val="000000"/>
                <w:sz w:val="16"/>
                <w:szCs w:val="16"/>
              </w:rPr>
              <w:t xml:space="preserve"> 7</w:t>
            </w:r>
            <w:r w:rsidRPr="006878F8">
              <w:rPr>
                <w:color w:val="000000"/>
                <w:sz w:val="16"/>
                <w:szCs w:val="16"/>
              </w:rPr>
              <w:t>0</w:t>
            </w:r>
            <w:r>
              <w:rPr>
                <w:color w:val="000000"/>
                <w:sz w:val="16"/>
                <w:szCs w:val="16"/>
              </w:rPr>
              <w:t>0</w:t>
            </w:r>
          </w:p>
          <w:p w14:paraId="0BE3EB98" w14:textId="77777777" w:rsidR="008F3544" w:rsidRPr="00192507" w:rsidRDefault="008F3544" w:rsidP="0099088D">
            <w:pPr>
              <w:jc w:val="center"/>
              <w:rPr>
                <w:color w:val="000000"/>
                <w:sz w:val="16"/>
                <w:szCs w:val="16"/>
              </w:rPr>
            </w:pPr>
          </w:p>
        </w:tc>
      </w:tr>
      <w:tr w:rsidR="008F3544" w:rsidRPr="00192507" w14:paraId="2DC81D80" w14:textId="77777777" w:rsidTr="0099088D">
        <w:trPr>
          <w:trHeight w:val="900"/>
        </w:trPr>
        <w:tc>
          <w:tcPr>
            <w:tcW w:w="672" w:type="pct"/>
            <w:vMerge/>
            <w:shd w:val="clear" w:color="auto" w:fill="auto"/>
            <w:vAlign w:val="center"/>
          </w:tcPr>
          <w:p w14:paraId="29A4FE55" w14:textId="77777777" w:rsidR="008F3544" w:rsidRDefault="008F3544" w:rsidP="0099088D">
            <w:pPr>
              <w:jc w:val="center"/>
              <w:rPr>
                <w:color w:val="000000"/>
                <w:sz w:val="16"/>
                <w:szCs w:val="16"/>
              </w:rPr>
            </w:pPr>
          </w:p>
        </w:tc>
        <w:tc>
          <w:tcPr>
            <w:tcW w:w="902" w:type="pct"/>
            <w:vMerge/>
            <w:shd w:val="clear" w:color="auto" w:fill="auto"/>
            <w:vAlign w:val="center"/>
          </w:tcPr>
          <w:p w14:paraId="39BDBAED" w14:textId="77777777" w:rsidR="008F3544" w:rsidRDefault="008F3544" w:rsidP="0099088D">
            <w:pPr>
              <w:rPr>
                <w:color w:val="000000"/>
              </w:rPr>
            </w:pPr>
          </w:p>
        </w:tc>
        <w:tc>
          <w:tcPr>
            <w:tcW w:w="1525" w:type="pct"/>
            <w:shd w:val="clear" w:color="auto" w:fill="auto"/>
            <w:vAlign w:val="center"/>
          </w:tcPr>
          <w:p w14:paraId="3EB8EAD8" w14:textId="77777777" w:rsidR="008F3544" w:rsidRPr="005A2CF7" w:rsidRDefault="008F3544" w:rsidP="0099088D">
            <w:pPr>
              <w:rPr>
                <w:color w:val="000000"/>
                <w:sz w:val="16"/>
                <w:szCs w:val="16"/>
              </w:rPr>
            </w:pPr>
            <w:r w:rsidRPr="005A2CF7">
              <w:rPr>
                <w:color w:val="000000"/>
                <w:sz w:val="16"/>
                <w:szCs w:val="16"/>
              </w:rPr>
              <w:t>стандартизированная тарифная ставка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на подготовку и выдачу сетевой организацией технических условий заявителю и проверку сетевой организацией выполнения технических условий заявителем</w:t>
            </w:r>
            <w:r>
              <w:rPr>
                <w:color w:val="000000"/>
                <w:sz w:val="16"/>
                <w:szCs w:val="16"/>
              </w:rPr>
              <w:t xml:space="preserve"> </w:t>
            </w:r>
            <w:r w:rsidRPr="006878F8">
              <w:rPr>
                <w:color w:val="000000"/>
                <w:sz w:val="16"/>
                <w:szCs w:val="16"/>
              </w:rPr>
              <w:t>для случаев присоединения энергопринимающих устройств потребителей, не предусмотренных абзацем восьмым п. 24 Методических указаний 1135</w:t>
            </w:r>
            <w:r>
              <w:rPr>
                <w:color w:val="000000"/>
                <w:sz w:val="16"/>
                <w:szCs w:val="16"/>
              </w:rPr>
              <w:t xml:space="preserve"> (для постоянной и временной схемы электроснабжения)</w:t>
            </w:r>
          </w:p>
        </w:tc>
        <w:tc>
          <w:tcPr>
            <w:tcW w:w="696" w:type="pct"/>
            <w:shd w:val="clear" w:color="auto" w:fill="auto"/>
            <w:vAlign w:val="center"/>
          </w:tcPr>
          <w:p w14:paraId="571624A7" w14:textId="77777777" w:rsidR="008F3544" w:rsidRPr="006878F8" w:rsidRDefault="008F3544" w:rsidP="0099088D">
            <w:pPr>
              <w:jc w:val="center"/>
              <w:rPr>
                <w:color w:val="000000"/>
                <w:sz w:val="16"/>
                <w:szCs w:val="16"/>
              </w:rPr>
            </w:pPr>
            <w:r w:rsidRPr="006878F8">
              <w:rPr>
                <w:color w:val="000000"/>
                <w:sz w:val="16"/>
                <w:szCs w:val="16"/>
              </w:rPr>
              <w:t>рублей за одно присоединение</w:t>
            </w:r>
          </w:p>
        </w:tc>
        <w:tc>
          <w:tcPr>
            <w:tcW w:w="1205" w:type="pct"/>
            <w:gridSpan w:val="2"/>
            <w:shd w:val="clear" w:color="auto" w:fill="auto"/>
            <w:noWrap/>
            <w:vAlign w:val="center"/>
          </w:tcPr>
          <w:p w14:paraId="0788FFC0" w14:textId="77777777" w:rsidR="008F3544" w:rsidRPr="00192507" w:rsidRDefault="008F3544" w:rsidP="0099088D">
            <w:pPr>
              <w:jc w:val="center"/>
              <w:rPr>
                <w:color w:val="000000"/>
                <w:sz w:val="16"/>
                <w:szCs w:val="16"/>
              </w:rPr>
            </w:pPr>
            <w:r w:rsidRPr="006878F8">
              <w:rPr>
                <w:color w:val="000000"/>
                <w:sz w:val="16"/>
                <w:szCs w:val="16"/>
              </w:rPr>
              <w:t>12</w:t>
            </w:r>
            <w:r>
              <w:rPr>
                <w:color w:val="000000"/>
                <w:sz w:val="16"/>
                <w:szCs w:val="16"/>
              </w:rPr>
              <w:t xml:space="preserve"> </w:t>
            </w:r>
            <w:r w:rsidRPr="006878F8">
              <w:rPr>
                <w:color w:val="000000"/>
                <w:sz w:val="16"/>
                <w:szCs w:val="16"/>
              </w:rPr>
              <w:t>87</w:t>
            </w:r>
            <w:r>
              <w:rPr>
                <w:color w:val="000000"/>
                <w:sz w:val="16"/>
                <w:szCs w:val="16"/>
              </w:rPr>
              <w:t>0</w:t>
            </w:r>
          </w:p>
        </w:tc>
      </w:tr>
    </w:tbl>
    <w:p w14:paraId="71208C8A" w14:textId="77777777" w:rsidR="008F3544" w:rsidRDefault="008F3544" w:rsidP="008F3544">
      <w:pPr>
        <w:jc w:val="center"/>
        <w:rPr>
          <w:color w:val="000000"/>
          <w:sz w:val="16"/>
          <w:szCs w:val="16"/>
        </w:rPr>
        <w:sectPr w:rsidR="008F3544" w:rsidSect="0099088D">
          <w:pgSz w:w="11906" w:h="16838"/>
          <w:pgMar w:top="1134" w:right="850" w:bottom="1134" w:left="1418" w:header="708" w:footer="708" w:gutter="0"/>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3"/>
        <w:gridCol w:w="1763"/>
        <w:gridCol w:w="2980"/>
        <w:gridCol w:w="1360"/>
        <w:gridCol w:w="1176"/>
        <w:gridCol w:w="1178"/>
      </w:tblGrid>
      <w:tr w:rsidR="008F3544" w:rsidRPr="00192507" w14:paraId="15D73D48" w14:textId="77777777" w:rsidTr="0099088D">
        <w:trPr>
          <w:trHeight w:val="173"/>
          <w:tblHeader/>
        </w:trPr>
        <w:tc>
          <w:tcPr>
            <w:tcW w:w="672" w:type="pct"/>
            <w:vAlign w:val="center"/>
          </w:tcPr>
          <w:p w14:paraId="08BC908F" w14:textId="77777777" w:rsidR="008F3544" w:rsidRPr="00192507" w:rsidRDefault="008F3544" w:rsidP="0099088D">
            <w:pPr>
              <w:jc w:val="center"/>
              <w:rPr>
                <w:color w:val="000000"/>
                <w:sz w:val="16"/>
                <w:szCs w:val="16"/>
              </w:rPr>
            </w:pPr>
            <w:r>
              <w:rPr>
                <w:color w:val="000000"/>
                <w:sz w:val="16"/>
                <w:szCs w:val="16"/>
              </w:rPr>
              <w:t>1</w:t>
            </w:r>
          </w:p>
        </w:tc>
        <w:tc>
          <w:tcPr>
            <w:tcW w:w="902" w:type="pct"/>
            <w:shd w:val="clear" w:color="auto" w:fill="auto"/>
            <w:vAlign w:val="center"/>
          </w:tcPr>
          <w:p w14:paraId="45026C54" w14:textId="77777777" w:rsidR="008F3544" w:rsidRPr="00192507" w:rsidRDefault="008F3544" w:rsidP="0099088D">
            <w:pPr>
              <w:jc w:val="center"/>
              <w:rPr>
                <w:color w:val="000000"/>
                <w:sz w:val="16"/>
                <w:szCs w:val="16"/>
              </w:rPr>
            </w:pPr>
            <w:r>
              <w:rPr>
                <w:color w:val="000000"/>
                <w:sz w:val="16"/>
                <w:szCs w:val="16"/>
              </w:rPr>
              <w:t>2</w:t>
            </w:r>
          </w:p>
        </w:tc>
        <w:tc>
          <w:tcPr>
            <w:tcW w:w="1525" w:type="pct"/>
            <w:vAlign w:val="center"/>
          </w:tcPr>
          <w:p w14:paraId="0902BD11" w14:textId="77777777" w:rsidR="008F3544" w:rsidRPr="00192507" w:rsidRDefault="008F3544" w:rsidP="0099088D">
            <w:pPr>
              <w:jc w:val="center"/>
              <w:rPr>
                <w:color w:val="000000"/>
                <w:sz w:val="16"/>
                <w:szCs w:val="16"/>
              </w:rPr>
            </w:pPr>
            <w:r>
              <w:rPr>
                <w:color w:val="000000"/>
                <w:sz w:val="16"/>
                <w:szCs w:val="16"/>
              </w:rPr>
              <w:t>3</w:t>
            </w:r>
          </w:p>
        </w:tc>
        <w:tc>
          <w:tcPr>
            <w:tcW w:w="696" w:type="pct"/>
            <w:vAlign w:val="center"/>
          </w:tcPr>
          <w:p w14:paraId="491BF3E4" w14:textId="77777777" w:rsidR="008F3544" w:rsidRPr="00192507" w:rsidRDefault="008F3544" w:rsidP="0099088D">
            <w:pPr>
              <w:jc w:val="center"/>
              <w:rPr>
                <w:color w:val="000000"/>
                <w:sz w:val="16"/>
                <w:szCs w:val="16"/>
              </w:rPr>
            </w:pPr>
            <w:r>
              <w:rPr>
                <w:color w:val="000000"/>
                <w:sz w:val="16"/>
                <w:szCs w:val="16"/>
              </w:rPr>
              <w:t>4</w:t>
            </w:r>
          </w:p>
        </w:tc>
        <w:tc>
          <w:tcPr>
            <w:tcW w:w="602" w:type="pct"/>
            <w:shd w:val="clear" w:color="auto" w:fill="auto"/>
            <w:vAlign w:val="center"/>
          </w:tcPr>
          <w:p w14:paraId="50684CF1" w14:textId="77777777" w:rsidR="008F3544" w:rsidRPr="00192507" w:rsidRDefault="008F3544" w:rsidP="0099088D">
            <w:pPr>
              <w:jc w:val="center"/>
              <w:rPr>
                <w:color w:val="000000"/>
                <w:sz w:val="16"/>
                <w:szCs w:val="16"/>
              </w:rPr>
            </w:pPr>
            <w:r>
              <w:rPr>
                <w:color w:val="000000"/>
                <w:sz w:val="16"/>
                <w:szCs w:val="16"/>
              </w:rPr>
              <w:t>5</w:t>
            </w:r>
          </w:p>
        </w:tc>
        <w:tc>
          <w:tcPr>
            <w:tcW w:w="603" w:type="pct"/>
            <w:shd w:val="clear" w:color="auto" w:fill="auto"/>
            <w:vAlign w:val="center"/>
          </w:tcPr>
          <w:p w14:paraId="4C5C8E98" w14:textId="77777777" w:rsidR="008F3544" w:rsidRPr="00192507" w:rsidRDefault="008F3544" w:rsidP="0099088D">
            <w:pPr>
              <w:jc w:val="center"/>
              <w:rPr>
                <w:color w:val="000000"/>
                <w:sz w:val="16"/>
                <w:szCs w:val="16"/>
              </w:rPr>
            </w:pPr>
            <w:r>
              <w:rPr>
                <w:color w:val="000000"/>
                <w:sz w:val="16"/>
                <w:szCs w:val="16"/>
              </w:rPr>
              <w:t>6</w:t>
            </w:r>
          </w:p>
        </w:tc>
      </w:tr>
      <w:tr w:rsidR="008F3544" w:rsidRPr="00192507" w14:paraId="0F5F4F6D" w14:textId="77777777" w:rsidTr="0099088D">
        <w:trPr>
          <w:trHeight w:val="900"/>
        </w:trPr>
        <w:tc>
          <w:tcPr>
            <w:tcW w:w="672" w:type="pct"/>
            <w:shd w:val="clear" w:color="auto" w:fill="auto"/>
            <w:vAlign w:val="center"/>
          </w:tcPr>
          <w:p w14:paraId="7D56A162" w14:textId="77777777" w:rsidR="008F3544" w:rsidRPr="00192507" w:rsidRDefault="008F3544" w:rsidP="0099088D">
            <w:pPr>
              <w:jc w:val="center"/>
              <w:rPr>
                <w:color w:val="000000"/>
                <w:sz w:val="16"/>
                <w:szCs w:val="16"/>
              </w:rPr>
            </w:pPr>
            <w:r>
              <w:rPr>
                <w:color w:val="000000"/>
                <w:sz w:val="16"/>
                <w:szCs w:val="16"/>
              </w:rPr>
              <w:t>1.1.</w:t>
            </w:r>
          </w:p>
        </w:tc>
        <w:tc>
          <w:tcPr>
            <w:tcW w:w="902" w:type="pct"/>
            <w:shd w:val="clear" w:color="auto" w:fill="auto"/>
            <w:vAlign w:val="center"/>
          </w:tcPr>
          <w:p w14:paraId="7F7A2F93" w14:textId="77777777" w:rsidR="008F3544" w:rsidRDefault="008F3544" w:rsidP="0099088D">
            <w:pPr>
              <w:rPr>
                <w:color w:val="000000"/>
              </w:rPr>
            </w:pPr>
            <m:oMathPara>
              <m:oMath>
                <m:sSubSup>
                  <m:sSubSupPr>
                    <m:ctrlPr>
                      <w:rPr>
                        <w:rFonts w:ascii="Cambria Math" w:hAnsi="Cambria Math"/>
                        <w:i/>
                        <w:color w:val="000000"/>
                      </w:rPr>
                    </m:ctrlPr>
                  </m:sSubSupPr>
                  <m:e>
                    <m:r>
                      <m:rPr>
                        <m:nor/>
                      </m:rPr>
                      <w:rPr>
                        <w:color w:val="000000"/>
                      </w:rPr>
                      <m:t>С</m:t>
                    </m:r>
                  </m:e>
                  <m:sub>
                    <m:r>
                      <m:rPr>
                        <m:nor/>
                      </m:rPr>
                      <w:rPr>
                        <w:color w:val="000000"/>
                      </w:rPr>
                      <m:t>1.1.</m:t>
                    </m:r>
                  </m:sub>
                  <m:sup/>
                </m:sSubSup>
              </m:oMath>
            </m:oMathPara>
          </w:p>
        </w:tc>
        <w:tc>
          <w:tcPr>
            <w:tcW w:w="1525" w:type="pct"/>
            <w:shd w:val="clear" w:color="auto" w:fill="auto"/>
            <w:vAlign w:val="center"/>
          </w:tcPr>
          <w:p w14:paraId="0D8007BA" w14:textId="77777777" w:rsidR="008F3544" w:rsidRPr="00192507" w:rsidRDefault="008F3544" w:rsidP="0099088D">
            <w:pPr>
              <w:rPr>
                <w:color w:val="000000"/>
                <w:sz w:val="16"/>
                <w:szCs w:val="16"/>
              </w:rPr>
            </w:pPr>
            <w:r w:rsidRPr="005A2CF7">
              <w:rPr>
                <w:color w:val="000000"/>
                <w:sz w:val="16"/>
                <w:szCs w:val="16"/>
              </w:rPr>
              <w:t>стандартизированная тарифная ставка на покрытие расходов сетевой организации на подготовку и выдачу сетевой организацией технических условий заявителю</w:t>
            </w:r>
          </w:p>
        </w:tc>
        <w:tc>
          <w:tcPr>
            <w:tcW w:w="696" w:type="pct"/>
            <w:shd w:val="clear" w:color="auto" w:fill="auto"/>
            <w:vAlign w:val="center"/>
          </w:tcPr>
          <w:p w14:paraId="03B51EA6" w14:textId="77777777" w:rsidR="008F3544" w:rsidRPr="006878F8" w:rsidRDefault="008F3544" w:rsidP="0099088D">
            <w:pPr>
              <w:jc w:val="center"/>
              <w:rPr>
                <w:color w:val="000000"/>
                <w:sz w:val="16"/>
                <w:szCs w:val="16"/>
              </w:rPr>
            </w:pPr>
            <w:r w:rsidRPr="006878F8">
              <w:rPr>
                <w:color w:val="000000"/>
                <w:sz w:val="16"/>
                <w:szCs w:val="16"/>
              </w:rPr>
              <w:t>рублей за одно присоединение</w:t>
            </w:r>
          </w:p>
        </w:tc>
        <w:tc>
          <w:tcPr>
            <w:tcW w:w="1205" w:type="pct"/>
            <w:gridSpan w:val="2"/>
            <w:shd w:val="clear" w:color="auto" w:fill="auto"/>
            <w:noWrap/>
            <w:vAlign w:val="center"/>
          </w:tcPr>
          <w:p w14:paraId="566582FF" w14:textId="77777777" w:rsidR="008F3544" w:rsidRDefault="008F3544" w:rsidP="0099088D">
            <w:pPr>
              <w:jc w:val="center"/>
              <w:rPr>
                <w:color w:val="000000"/>
                <w:sz w:val="16"/>
                <w:szCs w:val="16"/>
              </w:rPr>
            </w:pPr>
            <w:r>
              <w:rPr>
                <w:color w:val="000000"/>
                <w:sz w:val="16"/>
                <w:szCs w:val="16"/>
              </w:rPr>
              <w:t>3 860</w:t>
            </w:r>
          </w:p>
        </w:tc>
      </w:tr>
      <w:tr w:rsidR="008F3544" w:rsidRPr="00192507" w14:paraId="3D5FF85B" w14:textId="77777777" w:rsidTr="0099088D">
        <w:trPr>
          <w:trHeight w:val="900"/>
        </w:trPr>
        <w:tc>
          <w:tcPr>
            <w:tcW w:w="672" w:type="pct"/>
            <w:shd w:val="clear" w:color="auto" w:fill="auto"/>
            <w:vAlign w:val="center"/>
          </w:tcPr>
          <w:p w14:paraId="5676B375" w14:textId="77777777" w:rsidR="008F3544" w:rsidRPr="00192507" w:rsidRDefault="008F3544" w:rsidP="0099088D">
            <w:pPr>
              <w:jc w:val="center"/>
              <w:rPr>
                <w:color w:val="000000"/>
                <w:sz w:val="16"/>
                <w:szCs w:val="16"/>
              </w:rPr>
            </w:pPr>
            <w:r>
              <w:rPr>
                <w:color w:val="000000"/>
                <w:sz w:val="16"/>
                <w:szCs w:val="16"/>
              </w:rPr>
              <w:t>1.2.1.</w:t>
            </w:r>
          </w:p>
        </w:tc>
        <w:tc>
          <w:tcPr>
            <w:tcW w:w="902" w:type="pct"/>
            <w:shd w:val="clear" w:color="auto" w:fill="auto"/>
            <w:vAlign w:val="center"/>
          </w:tcPr>
          <w:p w14:paraId="22CF6573" w14:textId="77777777" w:rsidR="008F3544" w:rsidRDefault="008F3544" w:rsidP="0099088D">
            <w:pPr>
              <w:rPr>
                <w:color w:val="000000"/>
              </w:rPr>
            </w:pPr>
            <m:oMathPara>
              <m:oMath>
                <m:sSubSup>
                  <m:sSubSupPr>
                    <m:ctrlPr>
                      <w:rPr>
                        <w:rFonts w:ascii="Cambria Math" w:hAnsi="Cambria Math"/>
                        <w:i/>
                        <w:color w:val="000000"/>
                      </w:rPr>
                    </m:ctrlPr>
                  </m:sSubSupPr>
                  <m:e>
                    <m:r>
                      <m:rPr>
                        <m:nor/>
                      </m:rPr>
                      <w:rPr>
                        <w:color w:val="000000"/>
                      </w:rPr>
                      <m:t>С</m:t>
                    </m:r>
                  </m:e>
                  <m:sub>
                    <m:r>
                      <m:rPr>
                        <m:nor/>
                      </m:rPr>
                      <w:rPr>
                        <w:color w:val="000000"/>
                      </w:rPr>
                      <m:t>1.2.1</m:t>
                    </m:r>
                  </m:sub>
                  <m:sup/>
                </m:sSubSup>
              </m:oMath>
            </m:oMathPara>
          </w:p>
        </w:tc>
        <w:tc>
          <w:tcPr>
            <w:tcW w:w="1525" w:type="pct"/>
            <w:shd w:val="clear" w:color="auto" w:fill="auto"/>
            <w:vAlign w:val="center"/>
          </w:tcPr>
          <w:p w14:paraId="0973AD5F" w14:textId="77777777" w:rsidR="008F3544" w:rsidRPr="00192507" w:rsidRDefault="008F3544" w:rsidP="0099088D">
            <w:pPr>
              <w:rPr>
                <w:color w:val="000000"/>
                <w:sz w:val="16"/>
                <w:szCs w:val="16"/>
              </w:rPr>
            </w:pPr>
            <w:r w:rsidRPr="005A2CF7">
              <w:rPr>
                <w:color w:val="000000"/>
                <w:sz w:val="16"/>
                <w:szCs w:val="16"/>
              </w:rPr>
              <w:t>стандартизированная тарифная ставка на покрытие расходов на проверку выполнения технических условий Заявителями, указанным</w:t>
            </w:r>
            <w:r>
              <w:rPr>
                <w:color w:val="000000"/>
                <w:sz w:val="16"/>
                <w:szCs w:val="16"/>
              </w:rPr>
              <w:t>и</w:t>
            </w:r>
            <w:r w:rsidRPr="005A2CF7">
              <w:rPr>
                <w:color w:val="000000"/>
                <w:sz w:val="16"/>
                <w:szCs w:val="16"/>
              </w:rPr>
              <w:t xml:space="preserve"> в абзаце восьмом пункта 24 Методических указаний по определению размера платы за технологическое присоединение к электрическим сетям</w:t>
            </w:r>
          </w:p>
        </w:tc>
        <w:tc>
          <w:tcPr>
            <w:tcW w:w="696" w:type="pct"/>
            <w:shd w:val="clear" w:color="auto" w:fill="auto"/>
            <w:vAlign w:val="center"/>
          </w:tcPr>
          <w:p w14:paraId="35CEB8A7" w14:textId="77777777" w:rsidR="008F3544" w:rsidRPr="006878F8" w:rsidRDefault="008F3544" w:rsidP="0099088D">
            <w:pPr>
              <w:jc w:val="center"/>
              <w:rPr>
                <w:color w:val="000000"/>
                <w:sz w:val="16"/>
                <w:szCs w:val="16"/>
              </w:rPr>
            </w:pPr>
            <w:r w:rsidRPr="006878F8">
              <w:rPr>
                <w:color w:val="000000"/>
                <w:sz w:val="16"/>
                <w:szCs w:val="16"/>
              </w:rPr>
              <w:t>рублей за одно присоединение</w:t>
            </w:r>
          </w:p>
        </w:tc>
        <w:tc>
          <w:tcPr>
            <w:tcW w:w="1205" w:type="pct"/>
            <w:gridSpan w:val="2"/>
            <w:shd w:val="clear" w:color="auto" w:fill="auto"/>
            <w:noWrap/>
            <w:vAlign w:val="center"/>
          </w:tcPr>
          <w:p w14:paraId="568EBFC6" w14:textId="77777777" w:rsidR="008F3544" w:rsidRDefault="008F3544" w:rsidP="0099088D">
            <w:pPr>
              <w:jc w:val="center"/>
              <w:rPr>
                <w:color w:val="000000"/>
                <w:sz w:val="16"/>
                <w:szCs w:val="16"/>
              </w:rPr>
            </w:pPr>
            <w:r>
              <w:rPr>
                <w:color w:val="000000"/>
                <w:sz w:val="16"/>
                <w:szCs w:val="16"/>
              </w:rPr>
              <w:t>6 840</w:t>
            </w:r>
          </w:p>
        </w:tc>
      </w:tr>
      <w:tr w:rsidR="008F3544" w:rsidRPr="00192507" w14:paraId="0285F39D" w14:textId="77777777" w:rsidTr="0099088D">
        <w:trPr>
          <w:trHeight w:val="900"/>
        </w:trPr>
        <w:tc>
          <w:tcPr>
            <w:tcW w:w="672" w:type="pct"/>
            <w:shd w:val="clear" w:color="auto" w:fill="auto"/>
            <w:vAlign w:val="center"/>
          </w:tcPr>
          <w:p w14:paraId="25C78457" w14:textId="77777777" w:rsidR="008F3544" w:rsidRPr="00192507" w:rsidRDefault="008F3544" w:rsidP="0099088D">
            <w:pPr>
              <w:jc w:val="center"/>
              <w:rPr>
                <w:color w:val="000000"/>
                <w:sz w:val="16"/>
                <w:szCs w:val="16"/>
              </w:rPr>
            </w:pPr>
            <w:r>
              <w:rPr>
                <w:color w:val="000000"/>
                <w:sz w:val="16"/>
                <w:szCs w:val="16"/>
              </w:rPr>
              <w:t>1.2.2.</w:t>
            </w:r>
          </w:p>
        </w:tc>
        <w:tc>
          <w:tcPr>
            <w:tcW w:w="902" w:type="pct"/>
            <w:shd w:val="clear" w:color="auto" w:fill="auto"/>
            <w:vAlign w:val="center"/>
          </w:tcPr>
          <w:p w14:paraId="722CC9CE" w14:textId="77777777" w:rsidR="008F3544" w:rsidRDefault="008F3544" w:rsidP="0099088D">
            <w:pPr>
              <w:rPr>
                <w:color w:val="000000"/>
              </w:rPr>
            </w:pPr>
            <m:oMathPara>
              <m:oMath>
                <m:sSubSup>
                  <m:sSubSupPr>
                    <m:ctrlPr>
                      <w:rPr>
                        <w:rFonts w:ascii="Cambria Math" w:hAnsi="Cambria Math"/>
                        <w:i/>
                        <w:color w:val="000000"/>
                      </w:rPr>
                    </m:ctrlPr>
                  </m:sSubSupPr>
                  <m:e>
                    <m:r>
                      <m:rPr>
                        <m:nor/>
                      </m:rPr>
                      <w:rPr>
                        <w:color w:val="000000"/>
                      </w:rPr>
                      <m:t>С</m:t>
                    </m:r>
                  </m:e>
                  <m:sub>
                    <m:r>
                      <m:rPr>
                        <m:nor/>
                      </m:rPr>
                      <w:rPr>
                        <w:color w:val="000000"/>
                      </w:rPr>
                      <m:t>1.2.2</m:t>
                    </m:r>
                  </m:sub>
                  <m:sup/>
                </m:sSubSup>
              </m:oMath>
            </m:oMathPara>
          </w:p>
        </w:tc>
        <w:tc>
          <w:tcPr>
            <w:tcW w:w="1525" w:type="pct"/>
            <w:shd w:val="clear" w:color="auto" w:fill="auto"/>
            <w:vAlign w:val="center"/>
          </w:tcPr>
          <w:p w14:paraId="3B46D9A0" w14:textId="77777777" w:rsidR="008F3544" w:rsidRPr="00192507" w:rsidRDefault="008F3544" w:rsidP="0099088D">
            <w:pPr>
              <w:rPr>
                <w:color w:val="000000"/>
                <w:sz w:val="16"/>
                <w:szCs w:val="16"/>
              </w:rPr>
            </w:pPr>
            <w:r w:rsidRPr="005A2CF7">
              <w:rPr>
                <w:color w:val="000000"/>
                <w:sz w:val="16"/>
                <w:szCs w:val="16"/>
              </w:rPr>
              <w:t>стандартизированная тарифная ставка на покрытие расходов на проверку выполнения технических условий Заявителями, указанными в абзаце девятом пункта 24 Методических указаний по определению размера платы за технологическое присоединение к электрическим сетям</w:t>
            </w:r>
          </w:p>
        </w:tc>
        <w:tc>
          <w:tcPr>
            <w:tcW w:w="696" w:type="pct"/>
            <w:shd w:val="clear" w:color="auto" w:fill="auto"/>
            <w:vAlign w:val="center"/>
          </w:tcPr>
          <w:p w14:paraId="28179748" w14:textId="77777777" w:rsidR="008F3544" w:rsidRPr="006878F8" w:rsidRDefault="008F3544" w:rsidP="0099088D">
            <w:pPr>
              <w:jc w:val="center"/>
              <w:rPr>
                <w:color w:val="000000"/>
                <w:sz w:val="16"/>
                <w:szCs w:val="16"/>
              </w:rPr>
            </w:pPr>
            <w:r w:rsidRPr="006878F8">
              <w:rPr>
                <w:color w:val="000000"/>
                <w:sz w:val="16"/>
                <w:szCs w:val="16"/>
              </w:rPr>
              <w:t>рублей за одно присоединение</w:t>
            </w:r>
          </w:p>
        </w:tc>
        <w:tc>
          <w:tcPr>
            <w:tcW w:w="1205" w:type="pct"/>
            <w:gridSpan w:val="2"/>
            <w:shd w:val="clear" w:color="auto" w:fill="auto"/>
            <w:noWrap/>
            <w:vAlign w:val="center"/>
          </w:tcPr>
          <w:p w14:paraId="2C137BED" w14:textId="77777777" w:rsidR="008F3544" w:rsidRDefault="008F3544" w:rsidP="0099088D">
            <w:pPr>
              <w:jc w:val="center"/>
              <w:rPr>
                <w:color w:val="000000"/>
                <w:sz w:val="16"/>
                <w:szCs w:val="16"/>
              </w:rPr>
            </w:pPr>
            <w:r>
              <w:rPr>
                <w:color w:val="000000"/>
                <w:sz w:val="16"/>
                <w:szCs w:val="16"/>
              </w:rPr>
              <w:t>9 010</w:t>
            </w:r>
          </w:p>
        </w:tc>
      </w:tr>
      <w:tr w:rsidR="008F3544" w:rsidRPr="00192507" w14:paraId="2D20233D" w14:textId="77777777" w:rsidTr="0099088D">
        <w:trPr>
          <w:trHeight w:val="900"/>
        </w:trPr>
        <w:tc>
          <w:tcPr>
            <w:tcW w:w="672" w:type="pct"/>
            <w:shd w:val="clear" w:color="auto" w:fill="auto"/>
            <w:vAlign w:val="center"/>
          </w:tcPr>
          <w:p w14:paraId="67DF9092" w14:textId="77777777" w:rsidR="008F3544" w:rsidRPr="00192507" w:rsidRDefault="008F3544" w:rsidP="0099088D">
            <w:pPr>
              <w:jc w:val="center"/>
              <w:rPr>
                <w:color w:val="000000"/>
                <w:sz w:val="16"/>
                <w:szCs w:val="16"/>
              </w:rPr>
            </w:pPr>
            <w:r w:rsidRPr="00192507">
              <w:rPr>
                <w:color w:val="000000"/>
                <w:sz w:val="16"/>
                <w:szCs w:val="16"/>
              </w:rPr>
              <w:t>2.1.1.3.2.1.</w:t>
            </w:r>
          </w:p>
        </w:tc>
        <w:tc>
          <w:tcPr>
            <w:tcW w:w="902" w:type="pct"/>
            <w:shd w:val="clear" w:color="auto" w:fill="auto"/>
            <w:vAlign w:val="center"/>
          </w:tcPr>
          <w:p w14:paraId="06BA1646" w14:textId="77777777" w:rsidR="008F3544" w:rsidRPr="008E6E8D" w:rsidRDefault="008F3544" w:rsidP="0099088D">
            <w:pPr>
              <w:rPr>
                <w:color w:val="000000"/>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2.1.1.3.2.1</m:t>
                    </m:r>
                    <m:r>
                      <m:rPr>
                        <m:nor/>
                      </m:rPr>
                      <w:rPr>
                        <w:rFonts w:ascii="Cambria Math"/>
                        <w:color w:val="000000"/>
                      </w:rPr>
                      <m:t>.</m:t>
                    </m:r>
                  </m:sub>
                  <m:sup>
                    <m:r>
                      <m:rPr>
                        <m:nor/>
                      </m:rPr>
                      <w:rPr>
                        <w:color w:val="000000"/>
                      </w:rPr>
                      <m:t>0,4 кВ и ниже</m:t>
                    </m:r>
                  </m:sup>
                </m:sSubSup>
              </m:oMath>
            </m:oMathPara>
          </w:p>
        </w:tc>
        <w:tc>
          <w:tcPr>
            <w:tcW w:w="1525" w:type="pct"/>
            <w:shd w:val="clear" w:color="auto" w:fill="auto"/>
            <w:vAlign w:val="center"/>
          </w:tcPr>
          <w:p w14:paraId="2BF52EC2" w14:textId="77777777" w:rsidR="008F3544" w:rsidRPr="00192507" w:rsidRDefault="008F3544" w:rsidP="0099088D">
            <w:pPr>
              <w:rPr>
                <w:color w:val="000000"/>
                <w:sz w:val="16"/>
                <w:szCs w:val="16"/>
              </w:rPr>
            </w:pPr>
            <w:r w:rsidRPr="00192507">
              <w:rPr>
                <w:color w:val="000000"/>
                <w:sz w:val="16"/>
                <w:szCs w:val="16"/>
              </w:rPr>
              <w:t>воздушные линии на деревянных опорах изолированным сталеалюминиевым проводом сечением от 50 до 100 квадратных мм включительно одноцепные</w:t>
            </w:r>
          </w:p>
        </w:tc>
        <w:tc>
          <w:tcPr>
            <w:tcW w:w="696" w:type="pct"/>
            <w:shd w:val="clear" w:color="auto" w:fill="auto"/>
            <w:vAlign w:val="center"/>
          </w:tcPr>
          <w:p w14:paraId="780F8C35" w14:textId="77777777" w:rsidR="008F3544" w:rsidRPr="00192507" w:rsidRDefault="008F3544" w:rsidP="0099088D">
            <w:pPr>
              <w:jc w:val="center"/>
              <w:rPr>
                <w:color w:val="000000"/>
                <w:sz w:val="16"/>
                <w:szCs w:val="16"/>
              </w:rPr>
            </w:pPr>
            <w:r w:rsidRPr="00192507">
              <w:rPr>
                <w:color w:val="000000"/>
                <w:sz w:val="16"/>
                <w:szCs w:val="16"/>
              </w:rPr>
              <w:t>рублей/км</w:t>
            </w:r>
          </w:p>
        </w:tc>
        <w:tc>
          <w:tcPr>
            <w:tcW w:w="602" w:type="pct"/>
            <w:shd w:val="clear" w:color="auto" w:fill="auto"/>
            <w:noWrap/>
            <w:vAlign w:val="center"/>
          </w:tcPr>
          <w:p w14:paraId="0782D541" w14:textId="77777777" w:rsidR="008F3544" w:rsidRPr="00192507" w:rsidRDefault="008F3544" w:rsidP="0099088D">
            <w:pPr>
              <w:jc w:val="center"/>
              <w:rPr>
                <w:color w:val="000000"/>
                <w:sz w:val="16"/>
                <w:szCs w:val="16"/>
              </w:rPr>
            </w:pPr>
            <w:r w:rsidRPr="00192507">
              <w:rPr>
                <w:color w:val="000000"/>
                <w:sz w:val="16"/>
                <w:szCs w:val="16"/>
              </w:rPr>
              <w:t>1 265 681,14</w:t>
            </w:r>
          </w:p>
        </w:tc>
        <w:tc>
          <w:tcPr>
            <w:tcW w:w="603" w:type="pct"/>
            <w:shd w:val="clear" w:color="auto" w:fill="auto"/>
            <w:noWrap/>
            <w:vAlign w:val="center"/>
          </w:tcPr>
          <w:p w14:paraId="413BC5CD" w14:textId="77777777" w:rsidR="008F3544" w:rsidRDefault="008F3544" w:rsidP="0099088D">
            <w:pPr>
              <w:jc w:val="center"/>
              <w:rPr>
                <w:color w:val="000000"/>
                <w:sz w:val="16"/>
                <w:szCs w:val="16"/>
              </w:rPr>
            </w:pPr>
            <w:r>
              <w:rPr>
                <w:color w:val="000000"/>
                <w:sz w:val="16"/>
                <w:szCs w:val="16"/>
              </w:rPr>
              <w:t>-</w:t>
            </w:r>
          </w:p>
        </w:tc>
      </w:tr>
      <w:tr w:rsidR="008F3544" w:rsidRPr="00192507" w14:paraId="28BB25FE" w14:textId="77777777" w:rsidTr="0099088D">
        <w:trPr>
          <w:trHeight w:val="465"/>
        </w:trPr>
        <w:tc>
          <w:tcPr>
            <w:tcW w:w="672" w:type="pct"/>
            <w:vMerge w:val="restart"/>
            <w:shd w:val="clear" w:color="auto" w:fill="auto"/>
            <w:vAlign w:val="center"/>
            <w:hideMark/>
          </w:tcPr>
          <w:p w14:paraId="44F4A5DD" w14:textId="77777777" w:rsidR="008F3544" w:rsidRPr="00192507" w:rsidRDefault="008F3544" w:rsidP="0099088D">
            <w:pPr>
              <w:jc w:val="center"/>
              <w:rPr>
                <w:color w:val="000000"/>
                <w:sz w:val="16"/>
                <w:szCs w:val="16"/>
              </w:rPr>
            </w:pPr>
            <w:r w:rsidRPr="00192507">
              <w:rPr>
                <w:color w:val="000000"/>
                <w:sz w:val="16"/>
                <w:szCs w:val="16"/>
              </w:rPr>
              <w:t>2.1.1.4.1.1.</w:t>
            </w:r>
          </w:p>
        </w:tc>
        <w:tc>
          <w:tcPr>
            <w:tcW w:w="902" w:type="pct"/>
            <w:shd w:val="clear" w:color="auto" w:fill="auto"/>
            <w:vAlign w:val="center"/>
          </w:tcPr>
          <w:p w14:paraId="788BECCB" w14:textId="77777777" w:rsidR="008F3544" w:rsidRPr="00192507"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2.1.1.4.1.1.</m:t>
                    </m:r>
                  </m:sub>
                  <m:sup>
                    <m:r>
                      <m:rPr>
                        <m:nor/>
                      </m:rPr>
                      <w:rPr>
                        <w:color w:val="000000"/>
                      </w:rPr>
                      <m:t>0,4 кВ и ниже</m:t>
                    </m:r>
                  </m:sup>
                </m:sSubSup>
              </m:oMath>
            </m:oMathPara>
          </w:p>
        </w:tc>
        <w:tc>
          <w:tcPr>
            <w:tcW w:w="1525" w:type="pct"/>
            <w:vMerge w:val="restart"/>
            <w:shd w:val="clear" w:color="auto" w:fill="auto"/>
            <w:vAlign w:val="center"/>
            <w:hideMark/>
          </w:tcPr>
          <w:p w14:paraId="2B081BF6" w14:textId="77777777" w:rsidR="008F3544" w:rsidRPr="00192507" w:rsidRDefault="008F3544" w:rsidP="0099088D">
            <w:pPr>
              <w:rPr>
                <w:color w:val="000000"/>
                <w:sz w:val="16"/>
                <w:szCs w:val="16"/>
              </w:rPr>
            </w:pPr>
            <w:r w:rsidRPr="00192507">
              <w:rPr>
                <w:color w:val="000000"/>
                <w:sz w:val="16"/>
                <w:szCs w:val="16"/>
              </w:rPr>
              <w:t>воздушные линии на деревянных опорах изолированным алюминиевым проводом сечением до 50 квадратных мм включительно одноцепные</w:t>
            </w:r>
          </w:p>
        </w:tc>
        <w:tc>
          <w:tcPr>
            <w:tcW w:w="696" w:type="pct"/>
            <w:vMerge w:val="restart"/>
            <w:shd w:val="clear" w:color="auto" w:fill="auto"/>
            <w:vAlign w:val="center"/>
            <w:hideMark/>
          </w:tcPr>
          <w:p w14:paraId="71257BB7" w14:textId="77777777" w:rsidR="008F3544" w:rsidRPr="00192507" w:rsidRDefault="008F3544" w:rsidP="0099088D">
            <w:pPr>
              <w:jc w:val="center"/>
              <w:rPr>
                <w:color w:val="000000"/>
                <w:sz w:val="16"/>
                <w:szCs w:val="16"/>
              </w:rPr>
            </w:pPr>
            <w:r w:rsidRPr="00192507">
              <w:rPr>
                <w:color w:val="000000"/>
                <w:sz w:val="16"/>
                <w:szCs w:val="16"/>
              </w:rPr>
              <w:t>рублей/км</w:t>
            </w:r>
          </w:p>
        </w:tc>
        <w:tc>
          <w:tcPr>
            <w:tcW w:w="602" w:type="pct"/>
            <w:shd w:val="clear" w:color="auto" w:fill="auto"/>
            <w:noWrap/>
            <w:vAlign w:val="center"/>
            <w:hideMark/>
          </w:tcPr>
          <w:p w14:paraId="46080308" w14:textId="77777777" w:rsidR="008F3544" w:rsidRPr="00192507" w:rsidRDefault="008F3544" w:rsidP="0099088D">
            <w:pPr>
              <w:jc w:val="center"/>
              <w:rPr>
                <w:color w:val="000000"/>
                <w:sz w:val="16"/>
                <w:szCs w:val="16"/>
              </w:rPr>
            </w:pPr>
            <w:r w:rsidRPr="00192507">
              <w:rPr>
                <w:color w:val="000000"/>
                <w:sz w:val="16"/>
                <w:szCs w:val="16"/>
              </w:rPr>
              <w:t>1 105 477,56</w:t>
            </w:r>
          </w:p>
        </w:tc>
        <w:tc>
          <w:tcPr>
            <w:tcW w:w="603" w:type="pct"/>
            <w:shd w:val="clear" w:color="auto" w:fill="auto"/>
            <w:noWrap/>
            <w:vAlign w:val="center"/>
            <w:hideMark/>
          </w:tcPr>
          <w:p w14:paraId="3C6924F2" w14:textId="77777777" w:rsidR="008F3544" w:rsidRPr="00192507" w:rsidRDefault="008F3544" w:rsidP="0099088D">
            <w:pPr>
              <w:jc w:val="center"/>
              <w:rPr>
                <w:color w:val="000000"/>
                <w:sz w:val="16"/>
                <w:szCs w:val="16"/>
              </w:rPr>
            </w:pPr>
            <w:r w:rsidRPr="00192507">
              <w:rPr>
                <w:color w:val="000000"/>
                <w:sz w:val="16"/>
                <w:szCs w:val="16"/>
              </w:rPr>
              <w:t>1 009 866,79</w:t>
            </w:r>
          </w:p>
        </w:tc>
      </w:tr>
      <w:tr w:rsidR="008F3544" w:rsidRPr="00192507" w14:paraId="3688C450" w14:textId="77777777" w:rsidTr="0099088D">
        <w:trPr>
          <w:trHeight w:val="465"/>
        </w:trPr>
        <w:tc>
          <w:tcPr>
            <w:tcW w:w="672" w:type="pct"/>
            <w:vMerge/>
            <w:shd w:val="clear" w:color="auto" w:fill="auto"/>
            <w:vAlign w:val="center"/>
            <w:hideMark/>
          </w:tcPr>
          <w:p w14:paraId="2EAD3F17" w14:textId="77777777" w:rsidR="008F3544" w:rsidRPr="00192507" w:rsidRDefault="008F3544" w:rsidP="0099088D">
            <w:pPr>
              <w:rPr>
                <w:color w:val="000000"/>
                <w:sz w:val="16"/>
                <w:szCs w:val="16"/>
              </w:rPr>
            </w:pPr>
          </w:p>
        </w:tc>
        <w:tc>
          <w:tcPr>
            <w:tcW w:w="902" w:type="pct"/>
            <w:shd w:val="clear" w:color="auto" w:fill="auto"/>
            <w:vAlign w:val="center"/>
          </w:tcPr>
          <w:p w14:paraId="475A2993" w14:textId="77777777" w:rsidR="008F3544" w:rsidRPr="00192507"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2.1.1.4.1.1.</m:t>
                    </m:r>
                  </m:sub>
                  <m:sup>
                    <m:r>
                      <m:rPr>
                        <m:nor/>
                      </m:rPr>
                      <w:rPr>
                        <w:color w:val="000000"/>
                      </w:rPr>
                      <m:t>1-20 кВ</m:t>
                    </m:r>
                  </m:sup>
                </m:sSubSup>
              </m:oMath>
            </m:oMathPara>
          </w:p>
        </w:tc>
        <w:tc>
          <w:tcPr>
            <w:tcW w:w="1525" w:type="pct"/>
            <w:vMerge/>
            <w:shd w:val="clear" w:color="auto" w:fill="auto"/>
            <w:vAlign w:val="center"/>
            <w:hideMark/>
          </w:tcPr>
          <w:p w14:paraId="68F9CC88" w14:textId="77777777" w:rsidR="008F3544" w:rsidRPr="00192507" w:rsidRDefault="008F3544" w:rsidP="0099088D">
            <w:pPr>
              <w:rPr>
                <w:color w:val="000000"/>
                <w:sz w:val="16"/>
                <w:szCs w:val="16"/>
              </w:rPr>
            </w:pPr>
          </w:p>
        </w:tc>
        <w:tc>
          <w:tcPr>
            <w:tcW w:w="696" w:type="pct"/>
            <w:vMerge/>
            <w:shd w:val="clear" w:color="auto" w:fill="auto"/>
            <w:vAlign w:val="center"/>
            <w:hideMark/>
          </w:tcPr>
          <w:p w14:paraId="52287F55" w14:textId="77777777" w:rsidR="008F3544" w:rsidRPr="00192507" w:rsidRDefault="008F3544" w:rsidP="0099088D">
            <w:pPr>
              <w:rPr>
                <w:color w:val="000000"/>
                <w:sz w:val="16"/>
                <w:szCs w:val="16"/>
              </w:rPr>
            </w:pPr>
          </w:p>
        </w:tc>
        <w:tc>
          <w:tcPr>
            <w:tcW w:w="602" w:type="pct"/>
            <w:shd w:val="clear" w:color="auto" w:fill="auto"/>
            <w:noWrap/>
            <w:vAlign w:val="center"/>
            <w:hideMark/>
          </w:tcPr>
          <w:p w14:paraId="76A9B85E" w14:textId="77777777" w:rsidR="008F3544" w:rsidRPr="00192507" w:rsidRDefault="008F3544" w:rsidP="0099088D">
            <w:pPr>
              <w:jc w:val="center"/>
              <w:rPr>
                <w:color w:val="000000"/>
                <w:sz w:val="16"/>
                <w:szCs w:val="16"/>
              </w:rPr>
            </w:pPr>
            <w:r w:rsidRPr="00192507">
              <w:rPr>
                <w:color w:val="000000"/>
                <w:sz w:val="16"/>
                <w:szCs w:val="16"/>
              </w:rPr>
              <w:t>1 570 776,83</w:t>
            </w:r>
          </w:p>
        </w:tc>
        <w:tc>
          <w:tcPr>
            <w:tcW w:w="603" w:type="pct"/>
            <w:shd w:val="clear" w:color="auto" w:fill="auto"/>
            <w:noWrap/>
            <w:vAlign w:val="center"/>
            <w:hideMark/>
          </w:tcPr>
          <w:p w14:paraId="6812DBD7" w14:textId="77777777" w:rsidR="008F3544" w:rsidRPr="00192507" w:rsidRDefault="008F3544" w:rsidP="0099088D">
            <w:pPr>
              <w:jc w:val="center"/>
              <w:rPr>
                <w:color w:val="000000"/>
                <w:sz w:val="16"/>
                <w:szCs w:val="16"/>
              </w:rPr>
            </w:pPr>
            <w:r w:rsidRPr="00192507">
              <w:rPr>
                <w:color w:val="000000"/>
                <w:sz w:val="16"/>
                <w:szCs w:val="16"/>
              </w:rPr>
              <w:t>1 415 476,17</w:t>
            </w:r>
          </w:p>
        </w:tc>
      </w:tr>
      <w:tr w:rsidR="008F3544" w:rsidRPr="00192507" w14:paraId="1CB6E2F8" w14:textId="77777777" w:rsidTr="0099088D">
        <w:trPr>
          <w:trHeight w:val="465"/>
        </w:trPr>
        <w:tc>
          <w:tcPr>
            <w:tcW w:w="672" w:type="pct"/>
            <w:vMerge w:val="restart"/>
            <w:shd w:val="clear" w:color="auto" w:fill="auto"/>
            <w:vAlign w:val="center"/>
            <w:hideMark/>
          </w:tcPr>
          <w:p w14:paraId="37DFF88B" w14:textId="77777777" w:rsidR="008F3544" w:rsidRPr="00192507" w:rsidRDefault="008F3544" w:rsidP="0099088D">
            <w:pPr>
              <w:jc w:val="center"/>
              <w:rPr>
                <w:color w:val="000000"/>
                <w:sz w:val="16"/>
                <w:szCs w:val="16"/>
              </w:rPr>
            </w:pPr>
            <w:r w:rsidRPr="00192507">
              <w:rPr>
                <w:color w:val="000000"/>
                <w:sz w:val="16"/>
                <w:szCs w:val="16"/>
              </w:rPr>
              <w:t>2.1.1.4.2.1.</w:t>
            </w:r>
          </w:p>
        </w:tc>
        <w:tc>
          <w:tcPr>
            <w:tcW w:w="902" w:type="pct"/>
            <w:shd w:val="clear" w:color="auto" w:fill="auto"/>
            <w:vAlign w:val="center"/>
          </w:tcPr>
          <w:p w14:paraId="264ED147" w14:textId="77777777" w:rsidR="008F3544" w:rsidRPr="00192507"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2.1.1.4.2.1.</m:t>
                    </m:r>
                  </m:sub>
                  <m:sup>
                    <m:r>
                      <m:rPr>
                        <m:nor/>
                      </m:rPr>
                      <w:rPr>
                        <w:color w:val="000000"/>
                      </w:rPr>
                      <m:t>0,4 кВ и ниже</m:t>
                    </m:r>
                  </m:sup>
                </m:sSubSup>
              </m:oMath>
            </m:oMathPara>
          </w:p>
        </w:tc>
        <w:tc>
          <w:tcPr>
            <w:tcW w:w="1525" w:type="pct"/>
            <w:vMerge w:val="restart"/>
            <w:shd w:val="clear" w:color="auto" w:fill="auto"/>
            <w:vAlign w:val="center"/>
            <w:hideMark/>
          </w:tcPr>
          <w:p w14:paraId="38BF5009" w14:textId="77777777" w:rsidR="008F3544" w:rsidRPr="00192507" w:rsidRDefault="008F3544" w:rsidP="0099088D">
            <w:pPr>
              <w:rPr>
                <w:color w:val="000000"/>
                <w:sz w:val="16"/>
                <w:szCs w:val="16"/>
              </w:rPr>
            </w:pPr>
            <w:r w:rsidRPr="00192507">
              <w:rPr>
                <w:color w:val="000000"/>
                <w:sz w:val="16"/>
                <w:szCs w:val="16"/>
              </w:rPr>
              <w:t>воздушные линии на деревянных опорах изолированным алюминиевым проводом сечением от 50 до 100 квадратных мм включительно одноцепные</w:t>
            </w:r>
          </w:p>
        </w:tc>
        <w:tc>
          <w:tcPr>
            <w:tcW w:w="696" w:type="pct"/>
            <w:vMerge w:val="restart"/>
            <w:shd w:val="clear" w:color="auto" w:fill="auto"/>
            <w:vAlign w:val="center"/>
            <w:hideMark/>
          </w:tcPr>
          <w:p w14:paraId="1E6E2870" w14:textId="77777777" w:rsidR="008F3544" w:rsidRPr="00192507" w:rsidRDefault="008F3544" w:rsidP="0099088D">
            <w:pPr>
              <w:jc w:val="center"/>
              <w:rPr>
                <w:color w:val="000000"/>
                <w:sz w:val="16"/>
                <w:szCs w:val="16"/>
              </w:rPr>
            </w:pPr>
            <w:r w:rsidRPr="00192507">
              <w:rPr>
                <w:color w:val="000000"/>
                <w:sz w:val="16"/>
                <w:szCs w:val="16"/>
              </w:rPr>
              <w:t>рублей/км</w:t>
            </w:r>
          </w:p>
        </w:tc>
        <w:tc>
          <w:tcPr>
            <w:tcW w:w="602" w:type="pct"/>
            <w:shd w:val="clear" w:color="auto" w:fill="auto"/>
            <w:noWrap/>
            <w:vAlign w:val="center"/>
            <w:hideMark/>
          </w:tcPr>
          <w:p w14:paraId="031208E3" w14:textId="77777777" w:rsidR="008F3544" w:rsidRPr="00192507" w:rsidRDefault="008F3544" w:rsidP="0099088D">
            <w:pPr>
              <w:jc w:val="center"/>
              <w:rPr>
                <w:color w:val="000000"/>
                <w:sz w:val="16"/>
                <w:szCs w:val="16"/>
              </w:rPr>
            </w:pPr>
            <w:r w:rsidRPr="00192507">
              <w:rPr>
                <w:color w:val="000000"/>
                <w:sz w:val="16"/>
                <w:szCs w:val="16"/>
              </w:rPr>
              <w:t>1 289 734,36</w:t>
            </w:r>
          </w:p>
        </w:tc>
        <w:tc>
          <w:tcPr>
            <w:tcW w:w="603" w:type="pct"/>
            <w:shd w:val="clear" w:color="auto" w:fill="auto"/>
            <w:noWrap/>
            <w:vAlign w:val="center"/>
            <w:hideMark/>
          </w:tcPr>
          <w:p w14:paraId="65EBA8C8" w14:textId="77777777" w:rsidR="008F3544" w:rsidRPr="00192507" w:rsidRDefault="008F3544" w:rsidP="0099088D">
            <w:pPr>
              <w:jc w:val="center"/>
              <w:rPr>
                <w:color w:val="000000"/>
                <w:sz w:val="16"/>
                <w:szCs w:val="16"/>
              </w:rPr>
            </w:pPr>
            <w:r w:rsidRPr="00192507">
              <w:rPr>
                <w:color w:val="000000"/>
                <w:sz w:val="16"/>
                <w:szCs w:val="16"/>
              </w:rPr>
              <w:t>1 245 194,06</w:t>
            </w:r>
          </w:p>
        </w:tc>
      </w:tr>
      <w:tr w:rsidR="008F3544" w:rsidRPr="00192507" w14:paraId="62F45850" w14:textId="77777777" w:rsidTr="0099088D">
        <w:trPr>
          <w:trHeight w:val="465"/>
        </w:trPr>
        <w:tc>
          <w:tcPr>
            <w:tcW w:w="672" w:type="pct"/>
            <w:vMerge/>
            <w:shd w:val="clear" w:color="auto" w:fill="auto"/>
            <w:vAlign w:val="center"/>
            <w:hideMark/>
          </w:tcPr>
          <w:p w14:paraId="2F2DF433" w14:textId="77777777" w:rsidR="008F3544" w:rsidRPr="00192507" w:rsidRDefault="008F3544" w:rsidP="0099088D">
            <w:pPr>
              <w:rPr>
                <w:color w:val="000000"/>
                <w:sz w:val="16"/>
                <w:szCs w:val="16"/>
              </w:rPr>
            </w:pPr>
          </w:p>
        </w:tc>
        <w:tc>
          <w:tcPr>
            <w:tcW w:w="902" w:type="pct"/>
            <w:shd w:val="clear" w:color="auto" w:fill="auto"/>
            <w:vAlign w:val="center"/>
          </w:tcPr>
          <w:p w14:paraId="10FE1389" w14:textId="77777777" w:rsidR="008F3544" w:rsidRPr="00192507"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2.1.1.4.2.1.</m:t>
                    </m:r>
                  </m:sub>
                  <m:sup>
                    <m:r>
                      <m:rPr>
                        <m:nor/>
                      </m:rPr>
                      <w:rPr>
                        <w:color w:val="000000"/>
                      </w:rPr>
                      <m:t>1-20 кВ</m:t>
                    </m:r>
                  </m:sup>
                </m:sSubSup>
              </m:oMath>
            </m:oMathPara>
          </w:p>
        </w:tc>
        <w:tc>
          <w:tcPr>
            <w:tcW w:w="1525" w:type="pct"/>
            <w:vMerge/>
            <w:shd w:val="clear" w:color="auto" w:fill="auto"/>
            <w:vAlign w:val="center"/>
            <w:hideMark/>
          </w:tcPr>
          <w:p w14:paraId="7E401B6C" w14:textId="77777777" w:rsidR="008F3544" w:rsidRPr="00192507" w:rsidRDefault="008F3544" w:rsidP="0099088D">
            <w:pPr>
              <w:rPr>
                <w:color w:val="000000"/>
                <w:sz w:val="16"/>
                <w:szCs w:val="16"/>
              </w:rPr>
            </w:pPr>
          </w:p>
        </w:tc>
        <w:tc>
          <w:tcPr>
            <w:tcW w:w="696" w:type="pct"/>
            <w:vMerge/>
            <w:shd w:val="clear" w:color="auto" w:fill="auto"/>
            <w:vAlign w:val="center"/>
            <w:hideMark/>
          </w:tcPr>
          <w:p w14:paraId="7C690853" w14:textId="77777777" w:rsidR="008F3544" w:rsidRPr="00192507" w:rsidRDefault="008F3544" w:rsidP="0099088D">
            <w:pPr>
              <w:rPr>
                <w:color w:val="000000"/>
                <w:sz w:val="16"/>
                <w:szCs w:val="16"/>
              </w:rPr>
            </w:pPr>
          </w:p>
        </w:tc>
        <w:tc>
          <w:tcPr>
            <w:tcW w:w="602" w:type="pct"/>
            <w:shd w:val="clear" w:color="auto" w:fill="auto"/>
            <w:noWrap/>
            <w:vAlign w:val="center"/>
            <w:hideMark/>
          </w:tcPr>
          <w:p w14:paraId="64714F5D" w14:textId="77777777" w:rsidR="008F3544" w:rsidRPr="00192507" w:rsidRDefault="008F3544" w:rsidP="0099088D">
            <w:pPr>
              <w:jc w:val="center"/>
              <w:rPr>
                <w:color w:val="000000"/>
                <w:sz w:val="16"/>
                <w:szCs w:val="16"/>
              </w:rPr>
            </w:pPr>
            <w:r>
              <w:rPr>
                <w:color w:val="000000"/>
                <w:sz w:val="16"/>
                <w:szCs w:val="16"/>
              </w:rPr>
              <w:t>-</w:t>
            </w:r>
          </w:p>
        </w:tc>
        <w:tc>
          <w:tcPr>
            <w:tcW w:w="603" w:type="pct"/>
            <w:shd w:val="clear" w:color="auto" w:fill="auto"/>
            <w:noWrap/>
            <w:vAlign w:val="center"/>
            <w:hideMark/>
          </w:tcPr>
          <w:p w14:paraId="69FE7C52" w14:textId="77777777" w:rsidR="008F3544" w:rsidRPr="00192507" w:rsidRDefault="008F3544" w:rsidP="0099088D">
            <w:pPr>
              <w:jc w:val="center"/>
              <w:rPr>
                <w:color w:val="000000"/>
                <w:sz w:val="16"/>
                <w:szCs w:val="16"/>
              </w:rPr>
            </w:pPr>
            <w:r w:rsidRPr="00192507">
              <w:rPr>
                <w:color w:val="000000"/>
                <w:sz w:val="16"/>
                <w:szCs w:val="16"/>
              </w:rPr>
              <w:t>1 480 285,63</w:t>
            </w:r>
          </w:p>
        </w:tc>
      </w:tr>
      <w:tr w:rsidR="008F3544" w:rsidRPr="00192507" w14:paraId="226A8DDC" w14:textId="77777777" w:rsidTr="0099088D">
        <w:trPr>
          <w:trHeight w:val="900"/>
        </w:trPr>
        <w:tc>
          <w:tcPr>
            <w:tcW w:w="672" w:type="pct"/>
            <w:shd w:val="clear" w:color="auto" w:fill="auto"/>
            <w:vAlign w:val="center"/>
            <w:hideMark/>
          </w:tcPr>
          <w:p w14:paraId="52ECDEEF" w14:textId="77777777" w:rsidR="008F3544" w:rsidRPr="00B77F75" w:rsidRDefault="008F3544" w:rsidP="0099088D">
            <w:pPr>
              <w:jc w:val="center"/>
              <w:rPr>
                <w:color w:val="000000"/>
                <w:sz w:val="16"/>
                <w:szCs w:val="16"/>
              </w:rPr>
            </w:pPr>
            <w:r w:rsidRPr="00B77F75">
              <w:rPr>
                <w:color w:val="000000"/>
                <w:sz w:val="16"/>
                <w:szCs w:val="16"/>
              </w:rPr>
              <w:t>2.1.2.4.1.1.</w:t>
            </w:r>
          </w:p>
        </w:tc>
        <w:tc>
          <w:tcPr>
            <w:tcW w:w="902" w:type="pct"/>
            <w:shd w:val="clear" w:color="auto" w:fill="auto"/>
            <w:vAlign w:val="center"/>
            <w:hideMark/>
          </w:tcPr>
          <w:p w14:paraId="643169EA" w14:textId="77777777" w:rsidR="008F3544" w:rsidRPr="00B77F75" w:rsidRDefault="008F3544" w:rsidP="0099088D">
            <w:pPr>
              <w:rPr>
                <w:color w:val="000000"/>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2.1.2</m:t>
                    </m:r>
                    <m:r>
                      <m:rPr>
                        <m:nor/>
                      </m:rPr>
                      <w:rPr>
                        <w:rFonts w:ascii="Cambria Math"/>
                        <w:color w:val="000000"/>
                      </w:rPr>
                      <m:t>.</m:t>
                    </m:r>
                    <m:r>
                      <m:rPr>
                        <m:nor/>
                      </m:rPr>
                      <w:rPr>
                        <w:color w:val="000000"/>
                      </w:rPr>
                      <m:t>4.1.1.</m:t>
                    </m:r>
                  </m:sub>
                  <m:sup>
                    <m:r>
                      <m:rPr>
                        <m:nor/>
                      </m:rPr>
                      <w:rPr>
                        <w:color w:val="000000"/>
                      </w:rPr>
                      <m:t>0,4 кВ и ниже</m:t>
                    </m:r>
                  </m:sup>
                </m:sSubSup>
              </m:oMath>
            </m:oMathPara>
          </w:p>
        </w:tc>
        <w:tc>
          <w:tcPr>
            <w:tcW w:w="1525" w:type="pct"/>
            <w:shd w:val="clear" w:color="auto" w:fill="auto"/>
            <w:vAlign w:val="center"/>
            <w:hideMark/>
          </w:tcPr>
          <w:p w14:paraId="56B90FD9" w14:textId="77777777" w:rsidR="008F3544" w:rsidRPr="00192507" w:rsidRDefault="008F3544" w:rsidP="0099088D">
            <w:pPr>
              <w:rPr>
                <w:color w:val="000000"/>
                <w:sz w:val="16"/>
                <w:szCs w:val="16"/>
              </w:rPr>
            </w:pPr>
            <w:r w:rsidRPr="00192507">
              <w:rPr>
                <w:color w:val="000000"/>
                <w:sz w:val="16"/>
                <w:szCs w:val="16"/>
              </w:rPr>
              <w:t>воздушные линии на деревянных опорах неизолированным алюминиевым проводом сечением до 50 квадратных мм включительно одноцепные</w:t>
            </w:r>
          </w:p>
        </w:tc>
        <w:tc>
          <w:tcPr>
            <w:tcW w:w="696" w:type="pct"/>
            <w:shd w:val="clear" w:color="auto" w:fill="auto"/>
            <w:vAlign w:val="center"/>
            <w:hideMark/>
          </w:tcPr>
          <w:p w14:paraId="14A1C982" w14:textId="77777777" w:rsidR="008F3544" w:rsidRPr="00192507" w:rsidRDefault="008F3544" w:rsidP="0099088D">
            <w:pPr>
              <w:jc w:val="center"/>
              <w:rPr>
                <w:color w:val="000000"/>
                <w:sz w:val="16"/>
                <w:szCs w:val="16"/>
              </w:rPr>
            </w:pPr>
            <w:r w:rsidRPr="00192507">
              <w:rPr>
                <w:color w:val="000000"/>
                <w:sz w:val="16"/>
                <w:szCs w:val="16"/>
              </w:rPr>
              <w:t>рублей/км</w:t>
            </w:r>
          </w:p>
        </w:tc>
        <w:tc>
          <w:tcPr>
            <w:tcW w:w="602" w:type="pct"/>
            <w:shd w:val="clear" w:color="auto" w:fill="auto"/>
            <w:noWrap/>
            <w:vAlign w:val="center"/>
            <w:hideMark/>
          </w:tcPr>
          <w:p w14:paraId="1DBC3341" w14:textId="77777777" w:rsidR="008F3544" w:rsidRPr="00192507" w:rsidRDefault="008F3544" w:rsidP="0099088D">
            <w:pPr>
              <w:jc w:val="center"/>
              <w:rPr>
                <w:color w:val="000000"/>
                <w:sz w:val="16"/>
                <w:szCs w:val="16"/>
              </w:rPr>
            </w:pPr>
            <w:r>
              <w:rPr>
                <w:color w:val="000000"/>
                <w:sz w:val="16"/>
                <w:szCs w:val="16"/>
              </w:rPr>
              <w:t>-</w:t>
            </w:r>
          </w:p>
        </w:tc>
        <w:tc>
          <w:tcPr>
            <w:tcW w:w="603" w:type="pct"/>
            <w:shd w:val="clear" w:color="auto" w:fill="auto"/>
            <w:noWrap/>
            <w:vAlign w:val="center"/>
            <w:hideMark/>
          </w:tcPr>
          <w:p w14:paraId="580712D6" w14:textId="77777777" w:rsidR="008F3544" w:rsidRPr="00192507" w:rsidRDefault="008F3544" w:rsidP="0099088D">
            <w:pPr>
              <w:jc w:val="center"/>
              <w:rPr>
                <w:color w:val="000000"/>
                <w:sz w:val="16"/>
                <w:szCs w:val="16"/>
              </w:rPr>
            </w:pPr>
            <w:r w:rsidRPr="00192507">
              <w:rPr>
                <w:color w:val="000000"/>
                <w:sz w:val="16"/>
                <w:szCs w:val="16"/>
              </w:rPr>
              <w:t>747 588,08</w:t>
            </w:r>
          </w:p>
        </w:tc>
      </w:tr>
      <w:tr w:rsidR="008F3544" w:rsidRPr="00192507" w14:paraId="34EC8015" w14:textId="77777777" w:rsidTr="0099088D">
        <w:trPr>
          <w:trHeight w:val="900"/>
        </w:trPr>
        <w:tc>
          <w:tcPr>
            <w:tcW w:w="672" w:type="pct"/>
            <w:shd w:val="clear" w:color="auto" w:fill="auto"/>
            <w:vAlign w:val="center"/>
            <w:hideMark/>
          </w:tcPr>
          <w:p w14:paraId="6CD0FCE6" w14:textId="77777777" w:rsidR="008F3544" w:rsidRPr="00192507" w:rsidRDefault="008F3544" w:rsidP="0099088D">
            <w:pPr>
              <w:jc w:val="center"/>
              <w:rPr>
                <w:color w:val="000000"/>
                <w:sz w:val="16"/>
                <w:szCs w:val="16"/>
              </w:rPr>
            </w:pPr>
            <w:r w:rsidRPr="00192507">
              <w:rPr>
                <w:color w:val="000000"/>
                <w:sz w:val="16"/>
                <w:szCs w:val="16"/>
              </w:rPr>
              <w:t>2.2.1.3.2.1.</w:t>
            </w:r>
          </w:p>
        </w:tc>
        <w:tc>
          <w:tcPr>
            <w:tcW w:w="902" w:type="pct"/>
            <w:shd w:val="clear" w:color="auto" w:fill="auto"/>
            <w:vAlign w:val="center"/>
            <w:hideMark/>
          </w:tcPr>
          <w:p w14:paraId="2882E470" w14:textId="77777777" w:rsidR="008F3544" w:rsidRPr="00C77DAC" w:rsidRDefault="008F3544" w:rsidP="0099088D">
            <w:pPr>
              <w:rPr>
                <w:color w:val="000000"/>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2.2.1.3.2.1.</m:t>
                    </m:r>
                  </m:sub>
                  <m:sup>
                    <m:r>
                      <m:rPr>
                        <m:nor/>
                      </m:rPr>
                      <w:rPr>
                        <w:color w:val="000000"/>
                      </w:rPr>
                      <m:t>0,4 кВ и ниже</m:t>
                    </m:r>
                  </m:sup>
                </m:sSubSup>
              </m:oMath>
            </m:oMathPara>
          </w:p>
        </w:tc>
        <w:tc>
          <w:tcPr>
            <w:tcW w:w="1525" w:type="pct"/>
            <w:shd w:val="clear" w:color="auto" w:fill="auto"/>
            <w:vAlign w:val="center"/>
            <w:hideMark/>
          </w:tcPr>
          <w:p w14:paraId="40827148" w14:textId="77777777" w:rsidR="008F3544" w:rsidRPr="00192507" w:rsidRDefault="008F3544" w:rsidP="0099088D">
            <w:pPr>
              <w:rPr>
                <w:color w:val="000000"/>
                <w:sz w:val="16"/>
                <w:szCs w:val="16"/>
              </w:rPr>
            </w:pPr>
            <w:r w:rsidRPr="00192507">
              <w:rPr>
                <w:color w:val="000000"/>
                <w:sz w:val="16"/>
                <w:szCs w:val="16"/>
              </w:rPr>
              <w:t>воздушные линии на металлических опорах изолированным сталеалюминиевым проводом сечением от 50 до 100 квадратных мм включительно одноцепные</w:t>
            </w:r>
          </w:p>
        </w:tc>
        <w:tc>
          <w:tcPr>
            <w:tcW w:w="696" w:type="pct"/>
            <w:shd w:val="clear" w:color="auto" w:fill="auto"/>
            <w:vAlign w:val="center"/>
            <w:hideMark/>
          </w:tcPr>
          <w:p w14:paraId="6740B3C4" w14:textId="77777777" w:rsidR="008F3544" w:rsidRPr="00192507" w:rsidRDefault="008F3544" w:rsidP="0099088D">
            <w:pPr>
              <w:jc w:val="center"/>
              <w:rPr>
                <w:color w:val="000000"/>
                <w:sz w:val="16"/>
                <w:szCs w:val="16"/>
              </w:rPr>
            </w:pPr>
            <w:r w:rsidRPr="00192507">
              <w:rPr>
                <w:color w:val="000000"/>
                <w:sz w:val="16"/>
                <w:szCs w:val="16"/>
              </w:rPr>
              <w:t>рублей/км</w:t>
            </w:r>
          </w:p>
        </w:tc>
        <w:tc>
          <w:tcPr>
            <w:tcW w:w="602" w:type="pct"/>
            <w:shd w:val="clear" w:color="auto" w:fill="auto"/>
            <w:noWrap/>
            <w:vAlign w:val="center"/>
            <w:hideMark/>
          </w:tcPr>
          <w:p w14:paraId="383D5386" w14:textId="77777777" w:rsidR="008F3544" w:rsidRPr="00192507" w:rsidRDefault="008F3544" w:rsidP="0099088D">
            <w:pPr>
              <w:jc w:val="center"/>
              <w:rPr>
                <w:color w:val="000000"/>
                <w:sz w:val="16"/>
                <w:szCs w:val="16"/>
              </w:rPr>
            </w:pPr>
            <w:r w:rsidRPr="00192507">
              <w:rPr>
                <w:color w:val="000000"/>
                <w:sz w:val="16"/>
                <w:szCs w:val="16"/>
              </w:rPr>
              <w:t>1 455 084,48</w:t>
            </w:r>
          </w:p>
        </w:tc>
        <w:tc>
          <w:tcPr>
            <w:tcW w:w="603" w:type="pct"/>
            <w:shd w:val="clear" w:color="auto" w:fill="auto"/>
            <w:noWrap/>
            <w:vAlign w:val="center"/>
            <w:hideMark/>
          </w:tcPr>
          <w:p w14:paraId="23BA160C" w14:textId="77777777" w:rsidR="008F3544" w:rsidRPr="00192507" w:rsidRDefault="008F3544" w:rsidP="0099088D">
            <w:pPr>
              <w:jc w:val="center"/>
              <w:rPr>
                <w:color w:val="000000"/>
                <w:sz w:val="16"/>
                <w:szCs w:val="16"/>
              </w:rPr>
            </w:pPr>
            <w:r>
              <w:rPr>
                <w:color w:val="000000"/>
                <w:sz w:val="16"/>
                <w:szCs w:val="16"/>
              </w:rPr>
              <w:t>-</w:t>
            </w:r>
          </w:p>
        </w:tc>
      </w:tr>
      <w:tr w:rsidR="008F3544" w:rsidRPr="00192507" w14:paraId="32F4B4F8" w14:textId="77777777" w:rsidTr="0099088D">
        <w:trPr>
          <w:trHeight w:val="900"/>
        </w:trPr>
        <w:tc>
          <w:tcPr>
            <w:tcW w:w="672" w:type="pct"/>
            <w:shd w:val="clear" w:color="auto" w:fill="auto"/>
            <w:vAlign w:val="center"/>
            <w:hideMark/>
          </w:tcPr>
          <w:p w14:paraId="6FFA8888" w14:textId="77777777" w:rsidR="008F3544" w:rsidRPr="00192507" w:rsidRDefault="008F3544" w:rsidP="0099088D">
            <w:pPr>
              <w:jc w:val="center"/>
              <w:rPr>
                <w:color w:val="000000"/>
                <w:sz w:val="16"/>
                <w:szCs w:val="16"/>
              </w:rPr>
            </w:pPr>
            <w:r w:rsidRPr="00192507">
              <w:rPr>
                <w:color w:val="000000"/>
                <w:sz w:val="16"/>
                <w:szCs w:val="16"/>
              </w:rPr>
              <w:t>2.2.1.4.1.1.</w:t>
            </w:r>
          </w:p>
        </w:tc>
        <w:tc>
          <w:tcPr>
            <w:tcW w:w="902" w:type="pct"/>
            <w:shd w:val="clear" w:color="auto" w:fill="auto"/>
            <w:vAlign w:val="center"/>
            <w:hideMark/>
          </w:tcPr>
          <w:p w14:paraId="7954C09D" w14:textId="77777777" w:rsidR="008F3544" w:rsidRPr="00435C32"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2.2.1.4.1.1.</m:t>
                    </m:r>
                  </m:sub>
                  <m:sup>
                    <m:r>
                      <m:rPr>
                        <m:nor/>
                      </m:rPr>
                      <w:rPr>
                        <w:color w:val="000000"/>
                      </w:rPr>
                      <m:t>0,4 кВ и ниже</m:t>
                    </m:r>
                  </m:sup>
                </m:sSubSup>
              </m:oMath>
            </m:oMathPara>
          </w:p>
        </w:tc>
        <w:tc>
          <w:tcPr>
            <w:tcW w:w="1525" w:type="pct"/>
            <w:shd w:val="clear" w:color="auto" w:fill="auto"/>
            <w:vAlign w:val="center"/>
            <w:hideMark/>
          </w:tcPr>
          <w:p w14:paraId="436E46F0" w14:textId="77777777" w:rsidR="008F3544" w:rsidRPr="00192507" w:rsidRDefault="008F3544" w:rsidP="0099088D">
            <w:pPr>
              <w:rPr>
                <w:color w:val="000000"/>
                <w:sz w:val="16"/>
                <w:szCs w:val="16"/>
              </w:rPr>
            </w:pPr>
            <w:r w:rsidRPr="00192507">
              <w:rPr>
                <w:color w:val="000000"/>
                <w:sz w:val="16"/>
                <w:szCs w:val="16"/>
              </w:rPr>
              <w:t>воздушные линии на металлических опорах изолированным алюминиевым проводом сечением до 50 квадратных мм включительно одноцепные</w:t>
            </w:r>
          </w:p>
        </w:tc>
        <w:tc>
          <w:tcPr>
            <w:tcW w:w="696" w:type="pct"/>
            <w:shd w:val="clear" w:color="auto" w:fill="auto"/>
            <w:vAlign w:val="center"/>
            <w:hideMark/>
          </w:tcPr>
          <w:p w14:paraId="78A4416C" w14:textId="77777777" w:rsidR="008F3544" w:rsidRPr="00192507" w:rsidRDefault="008F3544" w:rsidP="0099088D">
            <w:pPr>
              <w:jc w:val="center"/>
              <w:rPr>
                <w:color w:val="000000"/>
                <w:sz w:val="16"/>
                <w:szCs w:val="16"/>
              </w:rPr>
            </w:pPr>
            <w:r w:rsidRPr="00192507">
              <w:rPr>
                <w:color w:val="000000"/>
                <w:sz w:val="16"/>
                <w:szCs w:val="16"/>
              </w:rPr>
              <w:t>рублей/км</w:t>
            </w:r>
          </w:p>
        </w:tc>
        <w:tc>
          <w:tcPr>
            <w:tcW w:w="602" w:type="pct"/>
            <w:shd w:val="clear" w:color="auto" w:fill="auto"/>
            <w:noWrap/>
            <w:vAlign w:val="center"/>
            <w:hideMark/>
          </w:tcPr>
          <w:p w14:paraId="506EBD13" w14:textId="77777777" w:rsidR="008F3544" w:rsidRPr="00192507" w:rsidRDefault="008F3544" w:rsidP="0099088D">
            <w:pPr>
              <w:jc w:val="center"/>
              <w:rPr>
                <w:color w:val="000000"/>
                <w:sz w:val="16"/>
                <w:szCs w:val="16"/>
              </w:rPr>
            </w:pPr>
            <w:r w:rsidRPr="00192507">
              <w:rPr>
                <w:color w:val="000000"/>
                <w:sz w:val="16"/>
                <w:szCs w:val="16"/>
              </w:rPr>
              <w:t>1 161 824,96</w:t>
            </w:r>
          </w:p>
        </w:tc>
        <w:tc>
          <w:tcPr>
            <w:tcW w:w="603" w:type="pct"/>
            <w:shd w:val="clear" w:color="auto" w:fill="auto"/>
            <w:noWrap/>
            <w:vAlign w:val="center"/>
            <w:hideMark/>
          </w:tcPr>
          <w:p w14:paraId="43587105" w14:textId="77777777" w:rsidR="008F3544" w:rsidRPr="00192507" w:rsidRDefault="008F3544" w:rsidP="0099088D">
            <w:pPr>
              <w:jc w:val="center"/>
              <w:rPr>
                <w:color w:val="000000"/>
                <w:sz w:val="16"/>
                <w:szCs w:val="16"/>
              </w:rPr>
            </w:pPr>
            <w:r w:rsidRPr="00192507">
              <w:rPr>
                <w:color w:val="000000"/>
                <w:sz w:val="16"/>
                <w:szCs w:val="16"/>
              </w:rPr>
              <w:t>1 082 665,37</w:t>
            </w:r>
          </w:p>
        </w:tc>
      </w:tr>
      <w:tr w:rsidR="008F3544" w:rsidRPr="00192507" w14:paraId="4421B580" w14:textId="77777777" w:rsidTr="0099088D">
        <w:trPr>
          <w:trHeight w:val="900"/>
        </w:trPr>
        <w:tc>
          <w:tcPr>
            <w:tcW w:w="672" w:type="pct"/>
            <w:shd w:val="clear" w:color="auto" w:fill="auto"/>
            <w:vAlign w:val="center"/>
            <w:hideMark/>
          </w:tcPr>
          <w:p w14:paraId="70CF5400" w14:textId="77777777" w:rsidR="008F3544" w:rsidRPr="00192507" w:rsidRDefault="008F3544" w:rsidP="0099088D">
            <w:pPr>
              <w:jc w:val="center"/>
              <w:rPr>
                <w:color w:val="000000"/>
                <w:sz w:val="16"/>
                <w:szCs w:val="16"/>
              </w:rPr>
            </w:pPr>
            <w:r w:rsidRPr="00192507">
              <w:rPr>
                <w:color w:val="000000"/>
                <w:sz w:val="16"/>
                <w:szCs w:val="16"/>
              </w:rPr>
              <w:t>2.2.1.4.2.1.</w:t>
            </w:r>
          </w:p>
        </w:tc>
        <w:tc>
          <w:tcPr>
            <w:tcW w:w="902" w:type="pct"/>
            <w:shd w:val="clear" w:color="auto" w:fill="auto"/>
            <w:vAlign w:val="center"/>
            <w:hideMark/>
          </w:tcPr>
          <w:p w14:paraId="5CD66FE5" w14:textId="77777777" w:rsidR="008F3544" w:rsidRPr="00BF0CB9"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2.2.1.4.2.1.</m:t>
                    </m:r>
                  </m:sub>
                  <m:sup>
                    <m:r>
                      <m:rPr>
                        <m:nor/>
                      </m:rPr>
                      <w:rPr>
                        <w:color w:val="000000"/>
                      </w:rPr>
                      <m:t>1-20 кВ</m:t>
                    </m:r>
                  </m:sup>
                </m:sSubSup>
              </m:oMath>
            </m:oMathPara>
          </w:p>
        </w:tc>
        <w:tc>
          <w:tcPr>
            <w:tcW w:w="1525" w:type="pct"/>
            <w:shd w:val="clear" w:color="auto" w:fill="auto"/>
            <w:vAlign w:val="center"/>
            <w:hideMark/>
          </w:tcPr>
          <w:p w14:paraId="298F939D" w14:textId="77777777" w:rsidR="008F3544" w:rsidRPr="00192507" w:rsidRDefault="008F3544" w:rsidP="0099088D">
            <w:pPr>
              <w:rPr>
                <w:color w:val="000000"/>
                <w:sz w:val="16"/>
                <w:szCs w:val="16"/>
              </w:rPr>
            </w:pPr>
            <w:r w:rsidRPr="00192507">
              <w:rPr>
                <w:color w:val="000000"/>
                <w:sz w:val="16"/>
                <w:szCs w:val="16"/>
              </w:rPr>
              <w:t>воздушные линии на металлических опорах изолированным алюминиевым проводом сечением от 50 до 100 квадратных мм включительно одноцепные</w:t>
            </w:r>
          </w:p>
        </w:tc>
        <w:tc>
          <w:tcPr>
            <w:tcW w:w="696" w:type="pct"/>
            <w:shd w:val="clear" w:color="auto" w:fill="auto"/>
            <w:vAlign w:val="center"/>
            <w:hideMark/>
          </w:tcPr>
          <w:p w14:paraId="041EA556" w14:textId="77777777" w:rsidR="008F3544" w:rsidRPr="00192507" w:rsidRDefault="008F3544" w:rsidP="0099088D">
            <w:pPr>
              <w:jc w:val="center"/>
              <w:rPr>
                <w:color w:val="000000"/>
                <w:sz w:val="16"/>
                <w:szCs w:val="16"/>
              </w:rPr>
            </w:pPr>
            <w:r w:rsidRPr="00192507">
              <w:rPr>
                <w:color w:val="000000"/>
                <w:sz w:val="16"/>
                <w:szCs w:val="16"/>
              </w:rPr>
              <w:t>рублей/км</w:t>
            </w:r>
          </w:p>
        </w:tc>
        <w:tc>
          <w:tcPr>
            <w:tcW w:w="602" w:type="pct"/>
            <w:shd w:val="clear" w:color="auto" w:fill="auto"/>
            <w:noWrap/>
            <w:vAlign w:val="center"/>
            <w:hideMark/>
          </w:tcPr>
          <w:p w14:paraId="26B989AB" w14:textId="77777777" w:rsidR="008F3544" w:rsidRPr="00192507" w:rsidRDefault="008F3544" w:rsidP="0099088D">
            <w:pPr>
              <w:jc w:val="center"/>
              <w:rPr>
                <w:color w:val="000000"/>
                <w:sz w:val="16"/>
                <w:szCs w:val="16"/>
              </w:rPr>
            </w:pPr>
            <w:r>
              <w:rPr>
                <w:color w:val="000000"/>
                <w:sz w:val="16"/>
                <w:szCs w:val="16"/>
              </w:rPr>
              <w:t>-</w:t>
            </w:r>
          </w:p>
        </w:tc>
        <w:tc>
          <w:tcPr>
            <w:tcW w:w="603" w:type="pct"/>
            <w:shd w:val="clear" w:color="auto" w:fill="auto"/>
            <w:noWrap/>
            <w:vAlign w:val="center"/>
            <w:hideMark/>
          </w:tcPr>
          <w:p w14:paraId="36E32C27" w14:textId="77777777" w:rsidR="008F3544" w:rsidRPr="00192507" w:rsidRDefault="008F3544" w:rsidP="0099088D">
            <w:pPr>
              <w:jc w:val="center"/>
              <w:rPr>
                <w:color w:val="000000"/>
                <w:sz w:val="16"/>
                <w:szCs w:val="16"/>
              </w:rPr>
            </w:pPr>
            <w:r w:rsidRPr="00192507">
              <w:rPr>
                <w:color w:val="000000"/>
                <w:sz w:val="16"/>
                <w:szCs w:val="16"/>
              </w:rPr>
              <w:t>753 163,91</w:t>
            </w:r>
          </w:p>
        </w:tc>
      </w:tr>
      <w:tr w:rsidR="008F3544" w:rsidRPr="00192507" w14:paraId="7A859DE1" w14:textId="77777777" w:rsidTr="0099088D">
        <w:trPr>
          <w:trHeight w:val="900"/>
        </w:trPr>
        <w:tc>
          <w:tcPr>
            <w:tcW w:w="672" w:type="pct"/>
            <w:shd w:val="clear" w:color="auto" w:fill="auto"/>
            <w:vAlign w:val="center"/>
            <w:hideMark/>
          </w:tcPr>
          <w:p w14:paraId="5C3CC777" w14:textId="77777777" w:rsidR="008F3544" w:rsidRPr="00192507" w:rsidRDefault="008F3544" w:rsidP="0099088D">
            <w:pPr>
              <w:jc w:val="center"/>
              <w:rPr>
                <w:color w:val="000000"/>
                <w:sz w:val="16"/>
                <w:szCs w:val="16"/>
              </w:rPr>
            </w:pPr>
            <w:r w:rsidRPr="00192507">
              <w:rPr>
                <w:color w:val="000000"/>
                <w:sz w:val="16"/>
                <w:szCs w:val="16"/>
              </w:rPr>
              <w:t>2.2.2.3.2.1.</w:t>
            </w:r>
          </w:p>
        </w:tc>
        <w:tc>
          <w:tcPr>
            <w:tcW w:w="902" w:type="pct"/>
            <w:shd w:val="clear" w:color="auto" w:fill="auto"/>
            <w:vAlign w:val="center"/>
            <w:hideMark/>
          </w:tcPr>
          <w:p w14:paraId="22BD0383" w14:textId="77777777" w:rsidR="008F3544" w:rsidRPr="00C3420A"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2.2.2.3.2.1.</m:t>
                    </m:r>
                  </m:sub>
                  <m:sup>
                    <m:r>
                      <m:rPr>
                        <m:nor/>
                      </m:rPr>
                      <w:rPr>
                        <w:color w:val="000000"/>
                      </w:rPr>
                      <m:t>27,5-60 кВ</m:t>
                    </m:r>
                  </m:sup>
                </m:sSubSup>
              </m:oMath>
            </m:oMathPara>
          </w:p>
        </w:tc>
        <w:tc>
          <w:tcPr>
            <w:tcW w:w="1525" w:type="pct"/>
            <w:shd w:val="clear" w:color="auto" w:fill="auto"/>
            <w:vAlign w:val="center"/>
            <w:hideMark/>
          </w:tcPr>
          <w:p w14:paraId="483C85EA" w14:textId="77777777" w:rsidR="008F3544" w:rsidRPr="00192507" w:rsidRDefault="008F3544" w:rsidP="0099088D">
            <w:pPr>
              <w:rPr>
                <w:color w:val="000000"/>
                <w:sz w:val="16"/>
                <w:szCs w:val="16"/>
              </w:rPr>
            </w:pPr>
            <w:r w:rsidRPr="00192507">
              <w:rPr>
                <w:color w:val="000000"/>
                <w:sz w:val="16"/>
                <w:szCs w:val="16"/>
              </w:rPr>
              <w:t>воздушные линии на металлических опорах неизолированным сталеалюминиевым проводом сечением от 50 до 100 квадратных мм включительно одноцепные</w:t>
            </w:r>
          </w:p>
        </w:tc>
        <w:tc>
          <w:tcPr>
            <w:tcW w:w="696" w:type="pct"/>
            <w:shd w:val="clear" w:color="auto" w:fill="auto"/>
            <w:vAlign w:val="center"/>
            <w:hideMark/>
          </w:tcPr>
          <w:p w14:paraId="54EA4D3B" w14:textId="77777777" w:rsidR="008F3544" w:rsidRPr="00192507" w:rsidRDefault="008F3544" w:rsidP="0099088D">
            <w:pPr>
              <w:jc w:val="center"/>
              <w:rPr>
                <w:color w:val="000000"/>
                <w:sz w:val="16"/>
                <w:szCs w:val="16"/>
              </w:rPr>
            </w:pPr>
            <w:r w:rsidRPr="00192507">
              <w:rPr>
                <w:color w:val="000000"/>
                <w:sz w:val="16"/>
                <w:szCs w:val="16"/>
              </w:rPr>
              <w:t>рублей/км</w:t>
            </w:r>
          </w:p>
        </w:tc>
        <w:tc>
          <w:tcPr>
            <w:tcW w:w="602" w:type="pct"/>
            <w:shd w:val="clear" w:color="auto" w:fill="auto"/>
            <w:noWrap/>
            <w:vAlign w:val="center"/>
            <w:hideMark/>
          </w:tcPr>
          <w:p w14:paraId="3BA1A780" w14:textId="77777777" w:rsidR="008F3544" w:rsidRPr="00192507" w:rsidRDefault="008F3544" w:rsidP="0099088D">
            <w:pPr>
              <w:jc w:val="center"/>
              <w:rPr>
                <w:color w:val="000000"/>
                <w:sz w:val="16"/>
                <w:szCs w:val="16"/>
              </w:rPr>
            </w:pPr>
            <w:r w:rsidRPr="00192507">
              <w:rPr>
                <w:color w:val="000000"/>
                <w:sz w:val="16"/>
                <w:szCs w:val="16"/>
              </w:rPr>
              <w:t>6 956 399,66</w:t>
            </w:r>
          </w:p>
        </w:tc>
        <w:tc>
          <w:tcPr>
            <w:tcW w:w="603" w:type="pct"/>
            <w:shd w:val="clear" w:color="auto" w:fill="auto"/>
            <w:noWrap/>
            <w:vAlign w:val="center"/>
            <w:hideMark/>
          </w:tcPr>
          <w:p w14:paraId="43A3B5E3" w14:textId="77777777" w:rsidR="008F3544" w:rsidRPr="00192507" w:rsidRDefault="008F3544" w:rsidP="0099088D">
            <w:pPr>
              <w:jc w:val="center"/>
              <w:rPr>
                <w:color w:val="000000"/>
                <w:sz w:val="16"/>
                <w:szCs w:val="16"/>
              </w:rPr>
            </w:pPr>
            <w:r w:rsidRPr="00192507">
              <w:rPr>
                <w:color w:val="000000"/>
                <w:sz w:val="16"/>
                <w:szCs w:val="16"/>
              </w:rPr>
              <w:t>6 956 399,66</w:t>
            </w:r>
          </w:p>
        </w:tc>
      </w:tr>
      <w:tr w:rsidR="008F3544" w:rsidRPr="00192507" w14:paraId="04EC958B" w14:textId="77777777" w:rsidTr="0099088D">
        <w:trPr>
          <w:trHeight w:val="900"/>
        </w:trPr>
        <w:tc>
          <w:tcPr>
            <w:tcW w:w="672" w:type="pct"/>
            <w:shd w:val="clear" w:color="auto" w:fill="auto"/>
            <w:vAlign w:val="center"/>
            <w:hideMark/>
          </w:tcPr>
          <w:p w14:paraId="7306A776" w14:textId="77777777" w:rsidR="008F3544" w:rsidRPr="00192507" w:rsidRDefault="008F3544" w:rsidP="0099088D">
            <w:pPr>
              <w:jc w:val="center"/>
              <w:rPr>
                <w:color w:val="000000"/>
                <w:sz w:val="16"/>
                <w:szCs w:val="16"/>
              </w:rPr>
            </w:pPr>
            <w:r w:rsidRPr="00192507">
              <w:rPr>
                <w:color w:val="000000"/>
                <w:sz w:val="16"/>
                <w:szCs w:val="16"/>
              </w:rPr>
              <w:t>2.2.2.3.3.1.</w:t>
            </w:r>
          </w:p>
        </w:tc>
        <w:tc>
          <w:tcPr>
            <w:tcW w:w="902" w:type="pct"/>
            <w:shd w:val="clear" w:color="auto" w:fill="auto"/>
            <w:vAlign w:val="center"/>
            <w:hideMark/>
          </w:tcPr>
          <w:p w14:paraId="61535B44" w14:textId="77777777" w:rsidR="008F3544" w:rsidRPr="007C3CEC"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2.2.2.3.3.1.</m:t>
                    </m:r>
                  </m:sub>
                  <m:sup>
                    <m:r>
                      <m:rPr>
                        <m:nor/>
                      </m:rPr>
                      <w:rPr>
                        <w:color w:val="000000"/>
                      </w:rPr>
                      <m:t>110 кВ и выше</m:t>
                    </m:r>
                  </m:sup>
                </m:sSubSup>
              </m:oMath>
            </m:oMathPara>
          </w:p>
        </w:tc>
        <w:tc>
          <w:tcPr>
            <w:tcW w:w="1525" w:type="pct"/>
            <w:shd w:val="clear" w:color="auto" w:fill="auto"/>
            <w:vAlign w:val="center"/>
            <w:hideMark/>
          </w:tcPr>
          <w:p w14:paraId="55E13437" w14:textId="77777777" w:rsidR="008F3544" w:rsidRPr="00192507" w:rsidRDefault="008F3544" w:rsidP="0099088D">
            <w:pPr>
              <w:rPr>
                <w:color w:val="000000"/>
                <w:sz w:val="16"/>
                <w:szCs w:val="16"/>
              </w:rPr>
            </w:pPr>
            <w:r w:rsidRPr="00192507">
              <w:rPr>
                <w:color w:val="000000"/>
                <w:sz w:val="16"/>
                <w:szCs w:val="16"/>
              </w:rPr>
              <w:t>воздушные линии на металлических опорах неизолированным сталеалюминиевым проводом сечением от 100 до 200 квадратных мм включительно одноцепные</w:t>
            </w:r>
          </w:p>
        </w:tc>
        <w:tc>
          <w:tcPr>
            <w:tcW w:w="696" w:type="pct"/>
            <w:shd w:val="clear" w:color="auto" w:fill="auto"/>
            <w:vAlign w:val="center"/>
            <w:hideMark/>
          </w:tcPr>
          <w:p w14:paraId="3B9D0D21" w14:textId="77777777" w:rsidR="008F3544" w:rsidRPr="00192507" w:rsidRDefault="008F3544" w:rsidP="0099088D">
            <w:pPr>
              <w:jc w:val="center"/>
              <w:rPr>
                <w:color w:val="000000"/>
                <w:sz w:val="16"/>
                <w:szCs w:val="16"/>
              </w:rPr>
            </w:pPr>
            <w:r w:rsidRPr="00192507">
              <w:rPr>
                <w:color w:val="000000"/>
                <w:sz w:val="16"/>
                <w:szCs w:val="16"/>
              </w:rPr>
              <w:t>рублей/км</w:t>
            </w:r>
          </w:p>
        </w:tc>
        <w:tc>
          <w:tcPr>
            <w:tcW w:w="602" w:type="pct"/>
            <w:shd w:val="clear" w:color="auto" w:fill="auto"/>
            <w:noWrap/>
            <w:vAlign w:val="center"/>
            <w:hideMark/>
          </w:tcPr>
          <w:p w14:paraId="130D7B17" w14:textId="77777777" w:rsidR="008F3544" w:rsidRPr="00192507" w:rsidRDefault="008F3544" w:rsidP="0099088D">
            <w:pPr>
              <w:jc w:val="center"/>
              <w:rPr>
                <w:color w:val="000000"/>
                <w:sz w:val="16"/>
                <w:szCs w:val="16"/>
              </w:rPr>
            </w:pPr>
            <w:r w:rsidRPr="00192507">
              <w:rPr>
                <w:color w:val="000000"/>
                <w:sz w:val="16"/>
                <w:szCs w:val="16"/>
              </w:rPr>
              <w:t>11 424 171,87</w:t>
            </w:r>
          </w:p>
        </w:tc>
        <w:tc>
          <w:tcPr>
            <w:tcW w:w="603" w:type="pct"/>
            <w:shd w:val="clear" w:color="auto" w:fill="auto"/>
            <w:noWrap/>
            <w:vAlign w:val="center"/>
            <w:hideMark/>
          </w:tcPr>
          <w:p w14:paraId="0737DB81" w14:textId="77777777" w:rsidR="008F3544" w:rsidRPr="00192507" w:rsidRDefault="008F3544" w:rsidP="0099088D">
            <w:pPr>
              <w:jc w:val="center"/>
              <w:rPr>
                <w:color w:val="000000"/>
                <w:sz w:val="16"/>
                <w:szCs w:val="16"/>
              </w:rPr>
            </w:pPr>
            <w:r w:rsidRPr="00192507">
              <w:rPr>
                <w:color w:val="000000"/>
                <w:sz w:val="16"/>
                <w:szCs w:val="16"/>
              </w:rPr>
              <w:t>11 321 222,48</w:t>
            </w:r>
          </w:p>
        </w:tc>
      </w:tr>
      <w:tr w:rsidR="008F3544" w:rsidRPr="00192507" w14:paraId="499B4882" w14:textId="77777777" w:rsidTr="0099088D">
        <w:trPr>
          <w:trHeight w:val="1125"/>
        </w:trPr>
        <w:tc>
          <w:tcPr>
            <w:tcW w:w="672" w:type="pct"/>
            <w:shd w:val="clear" w:color="auto" w:fill="auto"/>
            <w:vAlign w:val="center"/>
            <w:hideMark/>
          </w:tcPr>
          <w:p w14:paraId="0331B963" w14:textId="77777777" w:rsidR="008F3544" w:rsidRPr="00192507" w:rsidRDefault="008F3544" w:rsidP="0099088D">
            <w:pPr>
              <w:jc w:val="center"/>
              <w:rPr>
                <w:color w:val="000000"/>
                <w:sz w:val="16"/>
                <w:szCs w:val="16"/>
              </w:rPr>
            </w:pPr>
            <w:r w:rsidRPr="00192507">
              <w:rPr>
                <w:color w:val="000000"/>
                <w:sz w:val="16"/>
                <w:szCs w:val="16"/>
              </w:rPr>
              <w:t>2.2.2.3.3.1.2.</w:t>
            </w:r>
          </w:p>
        </w:tc>
        <w:tc>
          <w:tcPr>
            <w:tcW w:w="902" w:type="pct"/>
            <w:shd w:val="clear" w:color="auto" w:fill="auto"/>
            <w:vAlign w:val="center"/>
            <w:hideMark/>
          </w:tcPr>
          <w:p w14:paraId="25A1ADCF" w14:textId="77777777" w:rsidR="008F3544" w:rsidRPr="00C3420A"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2.2.2.3.3.1.2.</m:t>
                    </m:r>
                  </m:sub>
                  <m:sup>
                    <m:r>
                      <m:rPr>
                        <m:nor/>
                      </m:rPr>
                      <w:rPr>
                        <w:color w:val="000000"/>
                      </w:rPr>
                      <m:t>27,5-60 кВ</m:t>
                    </m:r>
                  </m:sup>
                </m:sSubSup>
              </m:oMath>
            </m:oMathPara>
          </w:p>
        </w:tc>
        <w:tc>
          <w:tcPr>
            <w:tcW w:w="1525" w:type="pct"/>
            <w:shd w:val="clear" w:color="auto" w:fill="auto"/>
            <w:vAlign w:val="center"/>
            <w:hideMark/>
          </w:tcPr>
          <w:p w14:paraId="4695A36F" w14:textId="77777777" w:rsidR="008F3544" w:rsidRPr="00192507" w:rsidRDefault="008F3544" w:rsidP="0099088D">
            <w:pPr>
              <w:rPr>
                <w:color w:val="000000"/>
                <w:sz w:val="16"/>
                <w:szCs w:val="16"/>
              </w:rPr>
            </w:pPr>
            <w:r w:rsidRPr="00192507">
              <w:rPr>
                <w:color w:val="000000"/>
                <w:sz w:val="16"/>
                <w:szCs w:val="16"/>
              </w:rPr>
              <w:t>воздушные линии на многогранных металлических опорах неизолированным сталеалюминиевым проводом сечением от 100 до 200 квадратных мм включительно одноцепные</w:t>
            </w:r>
          </w:p>
        </w:tc>
        <w:tc>
          <w:tcPr>
            <w:tcW w:w="696" w:type="pct"/>
            <w:shd w:val="clear" w:color="auto" w:fill="auto"/>
            <w:vAlign w:val="center"/>
            <w:hideMark/>
          </w:tcPr>
          <w:p w14:paraId="75ABC3DF" w14:textId="77777777" w:rsidR="008F3544" w:rsidRPr="00192507" w:rsidRDefault="008F3544" w:rsidP="0099088D">
            <w:pPr>
              <w:jc w:val="center"/>
              <w:rPr>
                <w:color w:val="000000"/>
                <w:sz w:val="16"/>
                <w:szCs w:val="16"/>
              </w:rPr>
            </w:pPr>
            <w:r w:rsidRPr="00192507">
              <w:rPr>
                <w:color w:val="000000"/>
                <w:sz w:val="16"/>
                <w:szCs w:val="16"/>
              </w:rPr>
              <w:t>рублей/км</w:t>
            </w:r>
          </w:p>
        </w:tc>
        <w:tc>
          <w:tcPr>
            <w:tcW w:w="602" w:type="pct"/>
            <w:shd w:val="clear" w:color="auto" w:fill="auto"/>
            <w:noWrap/>
            <w:vAlign w:val="center"/>
            <w:hideMark/>
          </w:tcPr>
          <w:p w14:paraId="59862717" w14:textId="77777777" w:rsidR="008F3544" w:rsidRPr="00192507" w:rsidRDefault="008F3544" w:rsidP="0099088D">
            <w:pPr>
              <w:jc w:val="center"/>
              <w:rPr>
                <w:color w:val="000000"/>
                <w:sz w:val="16"/>
                <w:szCs w:val="16"/>
              </w:rPr>
            </w:pPr>
            <w:r>
              <w:rPr>
                <w:color w:val="000000"/>
                <w:sz w:val="16"/>
                <w:szCs w:val="16"/>
              </w:rPr>
              <w:t>-</w:t>
            </w:r>
          </w:p>
        </w:tc>
        <w:tc>
          <w:tcPr>
            <w:tcW w:w="603" w:type="pct"/>
            <w:shd w:val="clear" w:color="auto" w:fill="auto"/>
            <w:noWrap/>
            <w:vAlign w:val="center"/>
            <w:hideMark/>
          </w:tcPr>
          <w:p w14:paraId="0A96788C" w14:textId="77777777" w:rsidR="008F3544" w:rsidRPr="00192507" w:rsidRDefault="008F3544" w:rsidP="0099088D">
            <w:pPr>
              <w:jc w:val="center"/>
              <w:rPr>
                <w:color w:val="000000"/>
                <w:sz w:val="16"/>
                <w:szCs w:val="16"/>
              </w:rPr>
            </w:pPr>
            <w:r w:rsidRPr="00192507">
              <w:rPr>
                <w:color w:val="000000"/>
                <w:sz w:val="16"/>
                <w:szCs w:val="16"/>
              </w:rPr>
              <w:t>6 585 107,11</w:t>
            </w:r>
          </w:p>
        </w:tc>
      </w:tr>
      <w:tr w:rsidR="008F3544" w:rsidRPr="00192507" w14:paraId="402AF31A" w14:textId="77777777" w:rsidTr="0099088D">
        <w:trPr>
          <w:trHeight w:val="600"/>
        </w:trPr>
        <w:tc>
          <w:tcPr>
            <w:tcW w:w="672" w:type="pct"/>
            <w:vMerge w:val="restart"/>
            <w:shd w:val="clear" w:color="auto" w:fill="auto"/>
            <w:vAlign w:val="center"/>
            <w:hideMark/>
          </w:tcPr>
          <w:p w14:paraId="65397F29" w14:textId="77777777" w:rsidR="008F3544" w:rsidRPr="00192507" w:rsidRDefault="008F3544" w:rsidP="0099088D">
            <w:pPr>
              <w:jc w:val="center"/>
              <w:rPr>
                <w:color w:val="000000"/>
                <w:sz w:val="16"/>
                <w:szCs w:val="16"/>
              </w:rPr>
            </w:pPr>
            <w:r w:rsidRPr="00192507">
              <w:rPr>
                <w:color w:val="000000"/>
                <w:sz w:val="16"/>
                <w:szCs w:val="16"/>
              </w:rPr>
              <w:t>2.2.2.3.3.2.</w:t>
            </w:r>
          </w:p>
        </w:tc>
        <w:tc>
          <w:tcPr>
            <w:tcW w:w="902" w:type="pct"/>
            <w:shd w:val="clear" w:color="auto" w:fill="auto"/>
            <w:vAlign w:val="center"/>
            <w:hideMark/>
          </w:tcPr>
          <w:p w14:paraId="69D04339" w14:textId="77777777" w:rsidR="008F3544" w:rsidRPr="00C3420A"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2.2.2.3.3.2.</m:t>
                    </m:r>
                  </m:sub>
                  <m:sup>
                    <m:r>
                      <m:rPr>
                        <m:nor/>
                      </m:rPr>
                      <w:rPr>
                        <w:color w:val="000000"/>
                      </w:rPr>
                      <m:t>27,5-60 кВ</m:t>
                    </m:r>
                  </m:sup>
                </m:sSubSup>
              </m:oMath>
            </m:oMathPara>
          </w:p>
        </w:tc>
        <w:tc>
          <w:tcPr>
            <w:tcW w:w="1525" w:type="pct"/>
            <w:vMerge w:val="restart"/>
            <w:shd w:val="clear" w:color="auto" w:fill="auto"/>
            <w:vAlign w:val="center"/>
            <w:hideMark/>
          </w:tcPr>
          <w:p w14:paraId="75AFE128" w14:textId="77777777" w:rsidR="008F3544" w:rsidRPr="00192507" w:rsidRDefault="008F3544" w:rsidP="0099088D">
            <w:pPr>
              <w:rPr>
                <w:color w:val="000000"/>
                <w:sz w:val="16"/>
                <w:szCs w:val="16"/>
              </w:rPr>
            </w:pPr>
            <w:r w:rsidRPr="00192507">
              <w:rPr>
                <w:color w:val="000000"/>
                <w:sz w:val="16"/>
                <w:szCs w:val="16"/>
              </w:rPr>
              <w:t>воздушные линии на металлических опорах неизолированным сталеалюминиевым проводом сечением от 100 до 200 квадратных мм включительно двухцепные</w:t>
            </w:r>
          </w:p>
        </w:tc>
        <w:tc>
          <w:tcPr>
            <w:tcW w:w="696" w:type="pct"/>
            <w:vMerge w:val="restart"/>
            <w:shd w:val="clear" w:color="auto" w:fill="auto"/>
            <w:vAlign w:val="center"/>
            <w:hideMark/>
          </w:tcPr>
          <w:p w14:paraId="775DBA9B" w14:textId="77777777" w:rsidR="008F3544" w:rsidRPr="00192507" w:rsidRDefault="008F3544" w:rsidP="0099088D">
            <w:pPr>
              <w:jc w:val="center"/>
              <w:rPr>
                <w:color w:val="000000"/>
                <w:sz w:val="16"/>
                <w:szCs w:val="16"/>
              </w:rPr>
            </w:pPr>
            <w:r w:rsidRPr="00192507">
              <w:rPr>
                <w:color w:val="000000"/>
                <w:sz w:val="16"/>
                <w:szCs w:val="16"/>
              </w:rPr>
              <w:t>рублей/км</w:t>
            </w:r>
          </w:p>
        </w:tc>
        <w:tc>
          <w:tcPr>
            <w:tcW w:w="602" w:type="pct"/>
            <w:shd w:val="clear" w:color="auto" w:fill="auto"/>
            <w:noWrap/>
            <w:vAlign w:val="center"/>
            <w:hideMark/>
          </w:tcPr>
          <w:p w14:paraId="61CCCEE8" w14:textId="77777777" w:rsidR="008F3544" w:rsidRPr="00192507" w:rsidRDefault="008F3544" w:rsidP="0099088D">
            <w:pPr>
              <w:jc w:val="center"/>
              <w:rPr>
                <w:color w:val="000000"/>
                <w:sz w:val="16"/>
                <w:szCs w:val="16"/>
              </w:rPr>
            </w:pPr>
            <w:r w:rsidRPr="00192507">
              <w:rPr>
                <w:color w:val="000000"/>
                <w:sz w:val="16"/>
                <w:szCs w:val="16"/>
              </w:rPr>
              <w:t>11 120 651,23</w:t>
            </w:r>
          </w:p>
        </w:tc>
        <w:tc>
          <w:tcPr>
            <w:tcW w:w="603" w:type="pct"/>
            <w:shd w:val="clear" w:color="auto" w:fill="auto"/>
            <w:noWrap/>
            <w:vAlign w:val="center"/>
            <w:hideMark/>
          </w:tcPr>
          <w:p w14:paraId="092A8B34" w14:textId="77777777" w:rsidR="008F3544" w:rsidRPr="00192507" w:rsidRDefault="008F3544" w:rsidP="0099088D">
            <w:pPr>
              <w:jc w:val="center"/>
              <w:rPr>
                <w:color w:val="000000"/>
                <w:sz w:val="16"/>
                <w:szCs w:val="16"/>
              </w:rPr>
            </w:pPr>
            <w:r w:rsidRPr="00192507">
              <w:rPr>
                <w:color w:val="000000"/>
                <w:sz w:val="16"/>
                <w:szCs w:val="16"/>
              </w:rPr>
              <w:t>10 871 988,53</w:t>
            </w:r>
          </w:p>
        </w:tc>
      </w:tr>
      <w:tr w:rsidR="008F3544" w:rsidRPr="00192507" w14:paraId="73464D85" w14:textId="77777777" w:rsidTr="0099088D">
        <w:trPr>
          <w:trHeight w:val="600"/>
        </w:trPr>
        <w:tc>
          <w:tcPr>
            <w:tcW w:w="672" w:type="pct"/>
            <w:vMerge/>
            <w:shd w:val="clear" w:color="auto" w:fill="auto"/>
            <w:vAlign w:val="center"/>
            <w:hideMark/>
          </w:tcPr>
          <w:p w14:paraId="4ABD028A" w14:textId="77777777" w:rsidR="008F3544" w:rsidRPr="00192507" w:rsidRDefault="008F3544" w:rsidP="0099088D">
            <w:pPr>
              <w:rPr>
                <w:color w:val="000000"/>
                <w:sz w:val="16"/>
                <w:szCs w:val="16"/>
              </w:rPr>
            </w:pPr>
          </w:p>
        </w:tc>
        <w:tc>
          <w:tcPr>
            <w:tcW w:w="902" w:type="pct"/>
            <w:shd w:val="clear" w:color="auto" w:fill="auto"/>
            <w:vAlign w:val="center"/>
            <w:hideMark/>
          </w:tcPr>
          <w:p w14:paraId="501736A8" w14:textId="77777777" w:rsidR="008F3544" w:rsidRPr="00824EC1"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2.2.2.3.3.2.</m:t>
                    </m:r>
                  </m:sub>
                  <m:sup>
                    <m:r>
                      <m:rPr>
                        <m:nor/>
                      </m:rPr>
                      <w:rPr>
                        <w:color w:val="000000"/>
                      </w:rPr>
                      <m:t>110 кВ и выше</m:t>
                    </m:r>
                  </m:sup>
                </m:sSubSup>
              </m:oMath>
            </m:oMathPara>
          </w:p>
        </w:tc>
        <w:tc>
          <w:tcPr>
            <w:tcW w:w="1525" w:type="pct"/>
            <w:vMerge/>
            <w:shd w:val="clear" w:color="auto" w:fill="auto"/>
            <w:vAlign w:val="center"/>
            <w:hideMark/>
          </w:tcPr>
          <w:p w14:paraId="2598B2A9" w14:textId="77777777" w:rsidR="008F3544" w:rsidRPr="00192507" w:rsidRDefault="008F3544" w:rsidP="0099088D">
            <w:pPr>
              <w:rPr>
                <w:color w:val="000000"/>
                <w:sz w:val="16"/>
                <w:szCs w:val="16"/>
              </w:rPr>
            </w:pPr>
          </w:p>
        </w:tc>
        <w:tc>
          <w:tcPr>
            <w:tcW w:w="696" w:type="pct"/>
            <w:vMerge/>
            <w:shd w:val="clear" w:color="auto" w:fill="auto"/>
            <w:vAlign w:val="center"/>
            <w:hideMark/>
          </w:tcPr>
          <w:p w14:paraId="6E0AB8E3" w14:textId="77777777" w:rsidR="008F3544" w:rsidRPr="00192507" w:rsidRDefault="008F3544" w:rsidP="0099088D">
            <w:pPr>
              <w:rPr>
                <w:color w:val="000000"/>
                <w:sz w:val="16"/>
                <w:szCs w:val="16"/>
              </w:rPr>
            </w:pPr>
          </w:p>
        </w:tc>
        <w:tc>
          <w:tcPr>
            <w:tcW w:w="602" w:type="pct"/>
            <w:shd w:val="clear" w:color="auto" w:fill="auto"/>
            <w:noWrap/>
            <w:vAlign w:val="center"/>
            <w:hideMark/>
          </w:tcPr>
          <w:p w14:paraId="2C63BED9" w14:textId="77777777" w:rsidR="008F3544" w:rsidRPr="00192507" w:rsidRDefault="008F3544" w:rsidP="0099088D">
            <w:pPr>
              <w:jc w:val="center"/>
              <w:rPr>
                <w:color w:val="000000"/>
                <w:sz w:val="16"/>
                <w:szCs w:val="16"/>
              </w:rPr>
            </w:pPr>
            <w:r>
              <w:rPr>
                <w:color w:val="000000"/>
                <w:sz w:val="16"/>
                <w:szCs w:val="16"/>
              </w:rPr>
              <w:t>-</w:t>
            </w:r>
          </w:p>
        </w:tc>
        <w:tc>
          <w:tcPr>
            <w:tcW w:w="603" w:type="pct"/>
            <w:shd w:val="clear" w:color="auto" w:fill="auto"/>
            <w:noWrap/>
            <w:vAlign w:val="center"/>
            <w:hideMark/>
          </w:tcPr>
          <w:p w14:paraId="099D5158" w14:textId="77777777" w:rsidR="008F3544" w:rsidRPr="00192507" w:rsidRDefault="008F3544" w:rsidP="0099088D">
            <w:pPr>
              <w:jc w:val="center"/>
              <w:rPr>
                <w:color w:val="000000"/>
                <w:sz w:val="16"/>
                <w:szCs w:val="16"/>
              </w:rPr>
            </w:pPr>
            <w:r w:rsidRPr="00192507">
              <w:rPr>
                <w:color w:val="000000"/>
                <w:sz w:val="16"/>
                <w:szCs w:val="16"/>
              </w:rPr>
              <w:t>12 694 293,36</w:t>
            </w:r>
          </w:p>
        </w:tc>
      </w:tr>
      <w:tr w:rsidR="008F3544" w:rsidRPr="00192507" w14:paraId="5C2BB708" w14:textId="77777777" w:rsidTr="0099088D">
        <w:trPr>
          <w:trHeight w:val="900"/>
        </w:trPr>
        <w:tc>
          <w:tcPr>
            <w:tcW w:w="672" w:type="pct"/>
            <w:shd w:val="clear" w:color="auto" w:fill="auto"/>
            <w:vAlign w:val="center"/>
            <w:hideMark/>
          </w:tcPr>
          <w:p w14:paraId="6B18DC21" w14:textId="77777777" w:rsidR="008F3544" w:rsidRPr="00192507" w:rsidRDefault="008F3544" w:rsidP="0099088D">
            <w:pPr>
              <w:jc w:val="center"/>
              <w:rPr>
                <w:color w:val="000000"/>
                <w:sz w:val="16"/>
                <w:szCs w:val="16"/>
              </w:rPr>
            </w:pPr>
            <w:r w:rsidRPr="00192507">
              <w:rPr>
                <w:color w:val="000000"/>
                <w:sz w:val="16"/>
                <w:szCs w:val="16"/>
              </w:rPr>
              <w:t>2.2.2.3.4.1.</w:t>
            </w:r>
          </w:p>
        </w:tc>
        <w:tc>
          <w:tcPr>
            <w:tcW w:w="902" w:type="pct"/>
            <w:shd w:val="clear" w:color="auto" w:fill="auto"/>
            <w:vAlign w:val="center"/>
            <w:hideMark/>
          </w:tcPr>
          <w:p w14:paraId="33C1BEB9" w14:textId="77777777" w:rsidR="008F3544" w:rsidRPr="00824EC1"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2.2.2.3.4.1.</m:t>
                    </m:r>
                  </m:sub>
                  <m:sup>
                    <m:r>
                      <m:rPr>
                        <m:nor/>
                      </m:rPr>
                      <w:rPr>
                        <w:color w:val="000000"/>
                      </w:rPr>
                      <m:t>110 кВ и выше</m:t>
                    </m:r>
                  </m:sup>
                </m:sSubSup>
              </m:oMath>
            </m:oMathPara>
          </w:p>
        </w:tc>
        <w:tc>
          <w:tcPr>
            <w:tcW w:w="1525" w:type="pct"/>
            <w:shd w:val="clear" w:color="auto" w:fill="auto"/>
            <w:vAlign w:val="center"/>
            <w:hideMark/>
          </w:tcPr>
          <w:p w14:paraId="2ABE85DE" w14:textId="77777777" w:rsidR="008F3544" w:rsidRPr="00192507" w:rsidRDefault="008F3544" w:rsidP="0099088D">
            <w:pPr>
              <w:rPr>
                <w:color w:val="000000"/>
                <w:sz w:val="16"/>
                <w:szCs w:val="16"/>
              </w:rPr>
            </w:pPr>
            <w:r w:rsidRPr="00192507">
              <w:rPr>
                <w:color w:val="000000"/>
                <w:sz w:val="16"/>
                <w:szCs w:val="16"/>
              </w:rPr>
              <w:t>воздушные линии на металлических опорах неизолированным сталеалюминиевым проводом сечением от 200 до 500 квадратных мм включительно одноцепные</w:t>
            </w:r>
          </w:p>
        </w:tc>
        <w:tc>
          <w:tcPr>
            <w:tcW w:w="696" w:type="pct"/>
            <w:shd w:val="clear" w:color="auto" w:fill="auto"/>
            <w:vAlign w:val="center"/>
            <w:hideMark/>
          </w:tcPr>
          <w:p w14:paraId="6A225423" w14:textId="77777777" w:rsidR="008F3544" w:rsidRPr="00192507" w:rsidRDefault="008F3544" w:rsidP="0099088D">
            <w:pPr>
              <w:jc w:val="center"/>
              <w:rPr>
                <w:color w:val="000000"/>
                <w:sz w:val="16"/>
                <w:szCs w:val="16"/>
              </w:rPr>
            </w:pPr>
            <w:r w:rsidRPr="00192507">
              <w:rPr>
                <w:color w:val="000000"/>
                <w:sz w:val="16"/>
                <w:szCs w:val="16"/>
              </w:rPr>
              <w:t>рублей/км</w:t>
            </w:r>
          </w:p>
        </w:tc>
        <w:tc>
          <w:tcPr>
            <w:tcW w:w="602" w:type="pct"/>
            <w:shd w:val="clear" w:color="auto" w:fill="auto"/>
            <w:noWrap/>
            <w:vAlign w:val="center"/>
            <w:hideMark/>
          </w:tcPr>
          <w:p w14:paraId="4202AF49" w14:textId="77777777" w:rsidR="008F3544" w:rsidRPr="00192507" w:rsidRDefault="008F3544" w:rsidP="0099088D">
            <w:pPr>
              <w:jc w:val="center"/>
              <w:rPr>
                <w:color w:val="000000"/>
                <w:sz w:val="16"/>
                <w:szCs w:val="16"/>
              </w:rPr>
            </w:pPr>
            <w:r w:rsidRPr="00192507">
              <w:rPr>
                <w:color w:val="000000"/>
                <w:sz w:val="16"/>
                <w:szCs w:val="16"/>
              </w:rPr>
              <w:t>11 794 234,56</w:t>
            </w:r>
          </w:p>
        </w:tc>
        <w:tc>
          <w:tcPr>
            <w:tcW w:w="603" w:type="pct"/>
            <w:shd w:val="clear" w:color="auto" w:fill="auto"/>
            <w:noWrap/>
            <w:vAlign w:val="center"/>
            <w:hideMark/>
          </w:tcPr>
          <w:p w14:paraId="7C0B64EC" w14:textId="77777777" w:rsidR="008F3544" w:rsidRPr="00192507" w:rsidRDefault="008F3544" w:rsidP="0099088D">
            <w:pPr>
              <w:jc w:val="center"/>
              <w:rPr>
                <w:color w:val="000000"/>
                <w:sz w:val="16"/>
                <w:szCs w:val="16"/>
              </w:rPr>
            </w:pPr>
            <w:r w:rsidRPr="00192507">
              <w:rPr>
                <w:color w:val="000000"/>
                <w:sz w:val="16"/>
                <w:szCs w:val="16"/>
              </w:rPr>
              <w:t>11 588 335,79</w:t>
            </w:r>
          </w:p>
        </w:tc>
      </w:tr>
      <w:tr w:rsidR="008F3544" w:rsidRPr="00192507" w14:paraId="38B064F7" w14:textId="77777777" w:rsidTr="0099088D">
        <w:trPr>
          <w:trHeight w:val="600"/>
        </w:trPr>
        <w:tc>
          <w:tcPr>
            <w:tcW w:w="672" w:type="pct"/>
            <w:vMerge w:val="restart"/>
            <w:shd w:val="clear" w:color="auto" w:fill="auto"/>
            <w:vAlign w:val="center"/>
            <w:hideMark/>
          </w:tcPr>
          <w:p w14:paraId="14198D25" w14:textId="77777777" w:rsidR="008F3544" w:rsidRPr="00192507" w:rsidRDefault="008F3544" w:rsidP="0099088D">
            <w:pPr>
              <w:jc w:val="center"/>
              <w:rPr>
                <w:color w:val="000000"/>
                <w:sz w:val="16"/>
                <w:szCs w:val="16"/>
              </w:rPr>
            </w:pPr>
            <w:r w:rsidRPr="00192507">
              <w:rPr>
                <w:color w:val="000000"/>
                <w:sz w:val="16"/>
                <w:szCs w:val="16"/>
              </w:rPr>
              <w:t>2.2.2.3.4.2.</w:t>
            </w:r>
          </w:p>
        </w:tc>
        <w:tc>
          <w:tcPr>
            <w:tcW w:w="902" w:type="pct"/>
            <w:shd w:val="clear" w:color="auto" w:fill="auto"/>
            <w:vAlign w:val="center"/>
            <w:hideMark/>
          </w:tcPr>
          <w:p w14:paraId="334872C0" w14:textId="77777777" w:rsidR="008F3544" w:rsidRPr="00C3420A"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2.2.2.3.4.2.</m:t>
                    </m:r>
                  </m:sub>
                  <m:sup>
                    <m:r>
                      <m:rPr>
                        <m:nor/>
                      </m:rPr>
                      <w:rPr>
                        <w:color w:val="000000"/>
                      </w:rPr>
                      <m:t>27,5-60 кВ</m:t>
                    </m:r>
                  </m:sup>
                </m:sSubSup>
              </m:oMath>
            </m:oMathPara>
          </w:p>
        </w:tc>
        <w:tc>
          <w:tcPr>
            <w:tcW w:w="1525" w:type="pct"/>
            <w:vMerge w:val="restart"/>
            <w:shd w:val="clear" w:color="auto" w:fill="auto"/>
            <w:vAlign w:val="center"/>
            <w:hideMark/>
          </w:tcPr>
          <w:p w14:paraId="7D66ECF7" w14:textId="77777777" w:rsidR="008F3544" w:rsidRPr="00192507" w:rsidRDefault="008F3544" w:rsidP="0099088D">
            <w:pPr>
              <w:rPr>
                <w:color w:val="000000"/>
                <w:sz w:val="16"/>
                <w:szCs w:val="16"/>
              </w:rPr>
            </w:pPr>
            <w:r w:rsidRPr="00192507">
              <w:rPr>
                <w:color w:val="000000"/>
                <w:sz w:val="16"/>
                <w:szCs w:val="16"/>
              </w:rPr>
              <w:t>воздушные линии на металлических опорах неизолированным сталеалюминиевым проводом сечением от 200 до 500 квадратных мм включительно двухцепные</w:t>
            </w:r>
          </w:p>
        </w:tc>
        <w:tc>
          <w:tcPr>
            <w:tcW w:w="696" w:type="pct"/>
            <w:vMerge w:val="restart"/>
            <w:shd w:val="clear" w:color="auto" w:fill="auto"/>
            <w:vAlign w:val="center"/>
            <w:hideMark/>
          </w:tcPr>
          <w:p w14:paraId="709DA8ED" w14:textId="77777777" w:rsidR="008F3544" w:rsidRPr="00192507" w:rsidRDefault="008F3544" w:rsidP="0099088D">
            <w:pPr>
              <w:jc w:val="center"/>
              <w:rPr>
                <w:color w:val="000000"/>
                <w:sz w:val="16"/>
                <w:szCs w:val="16"/>
              </w:rPr>
            </w:pPr>
            <w:r w:rsidRPr="00192507">
              <w:rPr>
                <w:color w:val="000000"/>
                <w:sz w:val="16"/>
                <w:szCs w:val="16"/>
              </w:rPr>
              <w:t>рублей/км</w:t>
            </w:r>
          </w:p>
        </w:tc>
        <w:tc>
          <w:tcPr>
            <w:tcW w:w="602" w:type="pct"/>
            <w:shd w:val="clear" w:color="auto" w:fill="auto"/>
            <w:noWrap/>
            <w:vAlign w:val="center"/>
            <w:hideMark/>
          </w:tcPr>
          <w:p w14:paraId="6B668D32" w14:textId="77777777" w:rsidR="008F3544" w:rsidRPr="00192507" w:rsidRDefault="008F3544" w:rsidP="0099088D">
            <w:pPr>
              <w:jc w:val="center"/>
              <w:rPr>
                <w:color w:val="000000"/>
                <w:sz w:val="16"/>
                <w:szCs w:val="16"/>
              </w:rPr>
            </w:pPr>
            <w:r w:rsidRPr="00192507">
              <w:rPr>
                <w:color w:val="000000"/>
                <w:sz w:val="16"/>
                <w:szCs w:val="16"/>
              </w:rPr>
              <w:t>12 396 360,73</w:t>
            </w:r>
          </w:p>
        </w:tc>
        <w:tc>
          <w:tcPr>
            <w:tcW w:w="603" w:type="pct"/>
            <w:shd w:val="clear" w:color="auto" w:fill="auto"/>
            <w:noWrap/>
            <w:vAlign w:val="center"/>
            <w:hideMark/>
          </w:tcPr>
          <w:p w14:paraId="5843B62B" w14:textId="77777777" w:rsidR="008F3544" w:rsidRPr="00192507" w:rsidRDefault="008F3544" w:rsidP="0099088D">
            <w:pPr>
              <w:jc w:val="center"/>
              <w:rPr>
                <w:color w:val="000000"/>
                <w:sz w:val="16"/>
                <w:szCs w:val="16"/>
              </w:rPr>
            </w:pPr>
            <w:r w:rsidRPr="00192507">
              <w:rPr>
                <w:color w:val="000000"/>
                <w:sz w:val="16"/>
                <w:szCs w:val="16"/>
              </w:rPr>
              <w:t>12 396 360,73</w:t>
            </w:r>
          </w:p>
        </w:tc>
      </w:tr>
      <w:tr w:rsidR="008F3544" w:rsidRPr="00192507" w14:paraId="688E2096" w14:textId="77777777" w:rsidTr="0099088D">
        <w:trPr>
          <w:trHeight w:val="600"/>
        </w:trPr>
        <w:tc>
          <w:tcPr>
            <w:tcW w:w="672" w:type="pct"/>
            <w:vMerge/>
            <w:shd w:val="clear" w:color="auto" w:fill="auto"/>
            <w:vAlign w:val="center"/>
            <w:hideMark/>
          </w:tcPr>
          <w:p w14:paraId="621E2D4C" w14:textId="77777777" w:rsidR="008F3544" w:rsidRPr="00192507" w:rsidRDefault="008F3544" w:rsidP="0099088D">
            <w:pPr>
              <w:rPr>
                <w:color w:val="000000"/>
                <w:sz w:val="16"/>
                <w:szCs w:val="16"/>
              </w:rPr>
            </w:pPr>
          </w:p>
        </w:tc>
        <w:tc>
          <w:tcPr>
            <w:tcW w:w="902" w:type="pct"/>
            <w:shd w:val="clear" w:color="auto" w:fill="auto"/>
            <w:vAlign w:val="center"/>
            <w:hideMark/>
          </w:tcPr>
          <w:p w14:paraId="3ABCA715" w14:textId="77777777" w:rsidR="008F3544" w:rsidRPr="00824EC1"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2.2.2.3.4.2.</m:t>
                    </m:r>
                  </m:sub>
                  <m:sup>
                    <m:r>
                      <m:rPr>
                        <m:nor/>
                      </m:rPr>
                      <w:rPr>
                        <w:color w:val="000000"/>
                      </w:rPr>
                      <m:t>110 кВ и выше</m:t>
                    </m:r>
                  </m:sup>
                </m:sSubSup>
              </m:oMath>
            </m:oMathPara>
          </w:p>
        </w:tc>
        <w:tc>
          <w:tcPr>
            <w:tcW w:w="1525" w:type="pct"/>
            <w:vMerge/>
            <w:shd w:val="clear" w:color="auto" w:fill="auto"/>
            <w:vAlign w:val="center"/>
            <w:hideMark/>
          </w:tcPr>
          <w:p w14:paraId="7262AEBC" w14:textId="77777777" w:rsidR="008F3544" w:rsidRPr="00192507" w:rsidRDefault="008F3544" w:rsidP="0099088D">
            <w:pPr>
              <w:rPr>
                <w:color w:val="000000"/>
                <w:sz w:val="16"/>
                <w:szCs w:val="16"/>
              </w:rPr>
            </w:pPr>
          </w:p>
        </w:tc>
        <w:tc>
          <w:tcPr>
            <w:tcW w:w="696" w:type="pct"/>
            <w:vMerge/>
            <w:shd w:val="clear" w:color="auto" w:fill="auto"/>
            <w:vAlign w:val="center"/>
            <w:hideMark/>
          </w:tcPr>
          <w:p w14:paraId="4ED667E5" w14:textId="77777777" w:rsidR="008F3544" w:rsidRPr="00192507" w:rsidRDefault="008F3544" w:rsidP="0099088D">
            <w:pPr>
              <w:rPr>
                <w:color w:val="000000"/>
                <w:sz w:val="16"/>
                <w:szCs w:val="16"/>
              </w:rPr>
            </w:pPr>
          </w:p>
        </w:tc>
        <w:tc>
          <w:tcPr>
            <w:tcW w:w="602" w:type="pct"/>
            <w:shd w:val="clear" w:color="auto" w:fill="auto"/>
            <w:noWrap/>
            <w:vAlign w:val="center"/>
            <w:hideMark/>
          </w:tcPr>
          <w:p w14:paraId="125C90F0" w14:textId="77777777" w:rsidR="008F3544" w:rsidRPr="00192507" w:rsidRDefault="008F3544" w:rsidP="0099088D">
            <w:pPr>
              <w:jc w:val="center"/>
              <w:rPr>
                <w:color w:val="000000"/>
                <w:sz w:val="16"/>
                <w:szCs w:val="16"/>
              </w:rPr>
            </w:pPr>
            <w:r w:rsidRPr="00192507">
              <w:rPr>
                <w:color w:val="000000"/>
                <w:sz w:val="16"/>
                <w:szCs w:val="16"/>
              </w:rPr>
              <w:t>12 759 035,36</w:t>
            </w:r>
          </w:p>
        </w:tc>
        <w:tc>
          <w:tcPr>
            <w:tcW w:w="603" w:type="pct"/>
            <w:shd w:val="clear" w:color="auto" w:fill="auto"/>
            <w:noWrap/>
            <w:vAlign w:val="center"/>
            <w:hideMark/>
          </w:tcPr>
          <w:p w14:paraId="04310B60" w14:textId="77777777" w:rsidR="008F3544" w:rsidRPr="00192507" w:rsidRDefault="008F3544" w:rsidP="0099088D">
            <w:pPr>
              <w:jc w:val="center"/>
              <w:rPr>
                <w:color w:val="000000"/>
                <w:sz w:val="16"/>
                <w:szCs w:val="16"/>
              </w:rPr>
            </w:pPr>
            <w:r>
              <w:rPr>
                <w:color w:val="000000"/>
                <w:sz w:val="16"/>
                <w:szCs w:val="16"/>
              </w:rPr>
              <w:t>-</w:t>
            </w:r>
          </w:p>
        </w:tc>
      </w:tr>
      <w:tr w:rsidR="008F3544" w:rsidRPr="00192507" w14:paraId="585E0641" w14:textId="77777777" w:rsidTr="0099088D">
        <w:trPr>
          <w:trHeight w:val="900"/>
        </w:trPr>
        <w:tc>
          <w:tcPr>
            <w:tcW w:w="672" w:type="pct"/>
            <w:shd w:val="clear" w:color="auto" w:fill="auto"/>
            <w:vAlign w:val="center"/>
            <w:hideMark/>
          </w:tcPr>
          <w:p w14:paraId="2F851BF8" w14:textId="77777777" w:rsidR="008F3544" w:rsidRPr="00192507" w:rsidRDefault="008F3544" w:rsidP="0099088D">
            <w:pPr>
              <w:jc w:val="center"/>
              <w:rPr>
                <w:color w:val="000000"/>
                <w:sz w:val="16"/>
                <w:szCs w:val="16"/>
              </w:rPr>
            </w:pPr>
            <w:r w:rsidRPr="00192507">
              <w:rPr>
                <w:color w:val="000000"/>
                <w:sz w:val="16"/>
                <w:szCs w:val="16"/>
              </w:rPr>
              <w:t>2.2.2.4.1.1.</w:t>
            </w:r>
          </w:p>
        </w:tc>
        <w:tc>
          <w:tcPr>
            <w:tcW w:w="902" w:type="pct"/>
            <w:shd w:val="clear" w:color="auto" w:fill="auto"/>
            <w:vAlign w:val="center"/>
            <w:hideMark/>
          </w:tcPr>
          <w:p w14:paraId="208ECE24" w14:textId="77777777" w:rsidR="008F3544" w:rsidRPr="00824EC1"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2.2.2.4.1.1.</m:t>
                    </m:r>
                  </m:sub>
                  <m:sup>
                    <m:r>
                      <m:rPr>
                        <m:nor/>
                      </m:rPr>
                      <w:rPr>
                        <w:color w:val="000000"/>
                      </w:rPr>
                      <m:t>0,4 кВ и ниже</m:t>
                    </m:r>
                  </m:sup>
                </m:sSubSup>
              </m:oMath>
            </m:oMathPara>
          </w:p>
        </w:tc>
        <w:tc>
          <w:tcPr>
            <w:tcW w:w="1525" w:type="pct"/>
            <w:shd w:val="clear" w:color="auto" w:fill="auto"/>
            <w:vAlign w:val="center"/>
            <w:hideMark/>
          </w:tcPr>
          <w:p w14:paraId="2186F4C6" w14:textId="77777777" w:rsidR="008F3544" w:rsidRPr="00192507" w:rsidRDefault="008F3544" w:rsidP="0099088D">
            <w:pPr>
              <w:rPr>
                <w:color w:val="000000"/>
                <w:sz w:val="16"/>
                <w:szCs w:val="16"/>
              </w:rPr>
            </w:pPr>
            <w:r w:rsidRPr="00192507">
              <w:rPr>
                <w:color w:val="000000"/>
                <w:sz w:val="16"/>
                <w:szCs w:val="16"/>
              </w:rPr>
              <w:t>воздушные линии на металлических опорах неизолированным алюминиевым проводом сечением до 50 квадратных мм включительно одноцепные</w:t>
            </w:r>
          </w:p>
        </w:tc>
        <w:tc>
          <w:tcPr>
            <w:tcW w:w="696" w:type="pct"/>
            <w:shd w:val="clear" w:color="auto" w:fill="auto"/>
            <w:vAlign w:val="center"/>
            <w:hideMark/>
          </w:tcPr>
          <w:p w14:paraId="51692486" w14:textId="77777777" w:rsidR="008F3544" w:rsidRPr="00192507" w:rsidRDefault="008F3544" w:rsidP="0099088D">
            <w:pPr>
              <w:jc w:val="center"/>
              <w:rPr>
                <w:color w:val="000000"/>
                <w:sz w:val="16"/>
                <w:szCs w:val="16"/>
              </w:rPr>
            </w:pPr>
            <w:r w:rsidRPr="00192507">
              <w:rPr>
                <w:color w:val="000000"/>
                <w:sz w:val="16"/>
                <w:szCs w:val="16"/>
              </w:rPr>
              <w:t>рублей/км</w:t>
            </w:r>
          </w:p>
        </w:tc>
        <w:tc>
          <w:tcPr>
            <w:tcW w:w="602" w:type="pct"/>
            <w:shd w:val="clear" w:color="auto" w:fill="auto"/>
            <w:noWrap/>
            <w:vAlign w:val="center"/>
            <w:hideMark/>
          </w:tcPr>
          <w:p w14:paraId="49AB054A" w14:textId="77777777" w:rsidR="008F3544" w:rsidRPr="00192507" w:rsidRDefault="008F3544" w:rsidP="0099088D">
            <w:pPr>
              <w:jc w:val="center"/>
              <w:rPr>
                <w:color w:val="000000"/>
                <w:sz w:val="16"/>
                <w:szCs w:val="16"/>
              </w:rPr>
            </w:pPr>
            <w:r>
              <w:rPr>
                <w:color w:val="000000"/>
                <w:sz w:val="16"/>
                <w:szCs w:val="16"/>
              </w:rPr>
              <w:t>-</w:t>
            </w:r>
          </w:p>
        </w:tc>
        <w:tc>
          <w:tcPr>
            <w:tcW w:w="603" w:type="pct"/>
            <w:shd w:val="clear" w:color="auto" w:fill="auto"/>
            <w:noWrap/>
            <w:vAlign w:val="center"/>
            <w:hideMark/>
          </w:tcPr>
          <w:p w14:paraId="40F6D534" w14:textId="77777777" w:rsidR="008F3544" w:rsidRPr="00192507" w:rsidRDefault="008F3544" w:rsidP="0099088D">
            <w:pPr>
              <w:jc w:val="center"/>
              <w:rPr>
                <w:color w:val="000000"/>
                <w:sz w:val="16"/>
                <w:szCs w:val="16"/>
              </w:rPr>
            </w:pPr>
            <w:r w:rsidRPr="00192507">
              <w:rPr>
                <w:color w:val="000000"/>
                <w:sz w:val="16"/>
                <w:szCs w:val="16"/>
              </w:rPr>
              <w:t>1 143 466,60</w:t>
            </w:r>
          </w:p>
        </w:tc>
      </w:tr>
      <w:tr w:rsidR="008F3544" w:rsidRPr="00192507" w14:paraId="7B591534" w14:textId="77777777" w:rsidTr="0099088D">
        <w:trPr>
          <w:trHeight w:val="495"/>
        </w:trPr>
        <w:tc>
          <w:tcPr>
            <w:tcW w:w="672" w:type="pct"/>
            <w:vMerge w:val="restart"/>
            <w:shd w:val="clear" w:color="auto" w:fill="auto"/>
            <w:vAlign w:val="center"/>
            <w:hideMark/>
          </w:tcPr>
          <w:p w14:paraId="2A22C7B4" w14:textId="77777777" w:rsidR="008F3544" w:rsidRPr="00192507" w:rsidRDefault="008F3544" w:rsidP="0099088D">
            <w:pPr>
              <w:jc w:val="center"/>
              <w:rPr>
                <w:color w:val="000000"/>
                <w:sz w:val="16"/>
                <w:szCs w:val="16"/>
              </w:rPr>
            </w:pPr>
            <w:r w:rsidRPr="00192507">
              <w:rPr>
                <w:color w:val="000000"/>
                <w:sz w:val="16"/>
                <w:szCs w:val="16"/>
              </w:rPr>
              <w:t>2.3.1.3.1.1.</w:t>
            </w:r>
          </w:p>
        </w:tc>
        <w:tc>
          <w:tcPr>
            <w:tcW w:w="902" w:type="pct"/>
            <w:shd w:val="clear" w:color="auto" w:fill="auto"/>
            <w:vAlign w:val="center"/>
            <w:hideMark/>
          </w:tcPr>
          <w:p w14:paraId="135400F0" w14:textId="77777777" w:rsidR="008F3544" w:rsidRPr="00824EC1"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2.3.1.3.1.1.</m:t>
                    </m:r>
                  </m:sub>
                  <m:sup>
                    <m:r>
                      <m:rPr>
                        <m:nor/>
                      </m:rPr>
                      <w:rPr>
                        <w:color w:val="000000"/>
                      </w:rPr>
                      <m:t>0,4 кВ и ниже</m:t>
                    </m:r>
                  </m:sup>
                </m:sSubSup>
              </m:oMath>
            </m:oMathPara>
          </w:p>
        </w:tc>
        <w:tc>
          <w:tcPr>
            <w:tcW w:w="1525" w:type="pct"/>
            <w:vMerge w:val="restart"/>
            <w:shd w:val="clear" w:color="auto" w:fill="auto"/>
            <w:vAlign w:val="center"/>
            <w:hideMark/>
          </w:tcPr>
          <w:p w14:paraId="18B4A1AD" w14:textId="77777777" w:rsidR="008F3544" w:rsidRPr="00192507" w:rsidRDefault="008F3544" w:rsidP="0099088D">
            <w:pPr>
              <w:rPr>
                <w:color w:val="000000"/>
                <w:sz w:val="16"/>
                <w:szCs w:val="16"/>
              </w:rPr>
            </w:pPr>
            <w:r w:rsidRPr="00192507">
              <w:rPr>
                <w:color w:val="000000"/>
                <w:sz w:val="16"/>
                <w:szCs w:val="16"/>
              </w:rPr>
              <w:t>воздушные линии на железобетонных опорах изолированным сталеалюминиевым проводом сечением до 50 квадратных мм включительно одноцепные</w:t>
            </w:r>
          </w:p>
        </w:tc>
        <w:tc>
          <w:tcPr>
            <w:tcW w:w="696" w:type="pct"/>
            <w:vMerge w:val="restart"/>
            <w:shd w:val="clear" w:color="auto" w:fill="auto"/>
            <w:vAlign w:val="center"/>
            <w:hideMark/>
          </w:tcPr>
          <w:p w14:paraId="64AB1CF2" w14:textId="77777777" w:rsidR="008F3544" w:rsidRPr="00192507" w:rsidRDefault="008F3544" w:rsidP="0099088D">
            <w:pPr>
              <w:jc w:val="center"/>
              <w:rPr>
                <w:color w:val="000000"/>
                <w:sz w:val="16"/>
                <w:szCs w:val="16"/>
              </w:rPr>
            </w:pPr>
            <w:r w:rsidRPr="00192507">
              <w:rPr>
                <w:color w:val="000000"/>
                <w:sz w:val="16"/>
                <w:szCs w:val="16"/>
              </w:rPr>
              <w:t>рублей/км</w:t>
            </w:r>
          </w:p>
        </w:tc>
        <w:tc>
          <w:tcPr>
            <w:tcW w:w="602" w:type="pct"/>
            <w:shd w:val="clear" w:color="auto" w:fill="auto"/>
            <w:noWrap/>
            <w:vAlign w:val="center"/>
            <w:hideMark/>
          </w:tcPr>
          <w:p w14:paraId="13826B79" w14:textId="77777777" w:rsidR="008F3544" w:rsidRPr="00192507" w:rsidRDefault="008F3544" w:rsidP="0099088D">
            <w:pPr>
              <w:jc w:val="center"/>
              <w:rPr>
                <w:color w:val="000000"/>
                <w:sz w:val="16"/>
                <w:szCs w:val="16"/>
              </w:rPr>
            </w:pPr>
            <w:r w:rsidRPr="00192507">
              <w:rPr>
                <w:color w:val="000000"/>
                <w:sz w:val="16"/>
                <w:szCs w:val="16"/>
              </w:rPr>
              <w:t>1 071 240,91</w:t>
            </w:r>
          </w:p>
        </w:tc>
        <w:tc>
          <w:tcPr>
            <w:tcW w:w="603" w:type="pct"/>
            <w:shd w:val="clear" w:color="auto" w:fill="auto"/>
            <w:noWrap/>
            <w:vAlign w:val="center"/>
            <w:hideMark/>
          </w:tcPr>
          <w:p w14:paraId="0D61C898" w14:textId="77777777" w:rsidR="008F3544" w:rsidRPr="00192507" w:rsidRDefault="008F3544" w:rsidP="0099088D">
            <w:pPr>
              <w:jc w:val="center"/>
              <w:rPr>
                <w:color w:val="000000"/>
                <w:sz w:val="16"/>
                <w:szCs w:val="16"/>
              </w:rPr>
            </w:pPr>
            <w:r w:rsidRPr="00192507">
              <w:rPr>
                <w:color w:val="000000"/>
                <w:sz w:val="16"/>
                <w:szCs w:val="16"/>
              </w:rPr>
              <w:t>1 055 677,89</w:t>
            </w:r>
          </w:p>
        </w:tc>
      </w:tr>
      <w:tr w:rsidR="008F3544" w:rsidRPr="00192507" w14:paraId="2073AFE1" w14:textId="77777777" w:rsidTr="0099088D">
        <w:trPr>
          <w:trHeight w:val="495"/>
        </w:trPr>
        <w:tc>
          <w:tcPr>
            <w:tcW w:w="672" w:type="pct"/>
            <w:vMerge/>
            <w:shd w:val="clear" w:color="auto" w:fill="auto"/>
            <w:vAlign w:val="center"/>
            <w:hideMark/>
          </w:tcPr>
          <w:p w14:paraId="238F6F9E" w14:textId="77777777" w:rsidR="008F3544" w:rsidRPr="00192507" w:rsidRDefault="008F3544" w:rsidP="0099088D">
            <w:pPr>
              <w:rPr>
                <w:color w:val="000000"/>
                <w:sz w:val="16"/>
                <w:szCs w:val="16"/>
              </w:rPr>
            </w:pPr>
          </w:p>
        </w:tc>
        <w:tc>
          <w:tcPr>
            <w:tcW w:w="902" w:type="pct"/>
            <w:shd w:val="clear" w:color="auto" w:fill="auto"/>
            <w:vAlign w:val="center"/>
            <w:hideMark/>
          </w:tcPr>
          <w:p w14:paraId="50B9C076" w14:textId="77777777" w:rsidR="008F3544" w:rsidRPr="00824EC1"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2.3.1.3.1.1.</m:t>
                    </m:r>
                  </m:sub>
                  <m:sup>
                    <m:r>
                      <m:rPr>
                        <m:nor/>
                      </m:rPr>
                      <w:rPr>
                        <w:color w:val="000000"/>
                      </w:rPr>
                      <m:t>1-20 кВ</m:t>
                    </m:r>
                  </m:sup>
                </m:sSubSup>
              </m:oMath>
            </m:oMathPara>
          </w:p>
        </w:tc>
        <w:tc>
          <w:tcPr>
            <w:tcW w:w="1525" w:type="pct"/>
            <w:vMerge/>
            <w:shd w:val="clear" w:color="auto" w:fill="auto"/>
            <w:vAlign w:val="center"/>
            <w:hideMark/>
          </w:tcPr>
          <w:p w14:paraId="01195453" w14:textId="77777777" w:rsidR="008F3544" w:rsidRPr="00192507" w:rsidRDefault="008F3544" w:rsidP="0099088D">
            <w:pPr>
              <w:rPr>
                <w:color w:val="000000"/>
                <w:sz w:val="16"/>
                <w:szCs w:val="16"/>
              </w:rPr>
            </w:pPr>
          </w:p>
        </w:tc>
        <w:tc>
          <w:tcPr>
            <w:tcW w:w="696" w:type="pct"/>
            <w:vMerge/>
            <w:shd w:val="clear" w:color="auto" w:fill="auto"/>
            <w:vAlign w:val="center"/>
            <w:hideMark/>
          </w:tcPr>
          <w:p w14:paraId="43C4A561" w14:textId="77777777" w:rsidR="008F3544" w:rsidRPr="00192507" w:rsidRDefault="008F3544" w:rsidP="0099088D">
            <w:pPr>
              <w:rPr>
                <w:color w:val="000000"/>
                <w:sz w:val="16"/>
                <w:szCs w:val="16"/>
              </w:rPr>
            </w:pPr>
          </w:p>
        </w:tc>
        <w:tc>
          <w:tcPr>
            <w:tcW w:w="602" w:type="pct"/>
            <w:shd w:val="clear" w:color="auto" w:fill="auto"/>
            <w:noWrap/>
            <w:vAlign w:val="center"/>
            <w:hideMark/>
          </w:tcPr>
          <w:p w14:paraId="6A09610A" w14:textId="77777777" w:rsidR="008F3544" w:rsidRPr="00192507" w:rsidRDefault="008F3544" w:rsidP="0099088D">
            <w:pPr>
              <w:jc w:val="center"/>
              <w:rPr>
                <w:color w:val="000000"/>
                <w:sz w:val="16"/>
                <w:szCs w:val="16"/>
              </w:rPr>
            </w:pPr>
            <w:r w:rsidRPr="00192507">
              <w:rPr>
                <w:color w:val="000000"/>
                <w:sz w:val="16"/>
                <w:szCs w:val="16"/>
              </w:rPr>
              <w:t>1 754 966,93</w:t>
            </w:r>
          </w:p>
        </w:tc>
        <w:tc>
          <w:tcPr>
            <w:tcW w:w="603" w:type="pct"/>
            <w:shd w:val="clear" w:color="auto" w:fill="auto"/>
            <w:noWrap/>
            <w:vAlign w:val="center"/>
            <w:hideMark/>
          </w:tcPr>
          <w:p w14:paraId="04DCAA08" w14:textId="77777777" w:rsidR="008F3544" w:rsidRPr="00192507" w:rsidRDefault="008F3544" w:rsidP="0099088D">
            <w:pPr>
              <w:jc w:val="center"/>
              <w:rPr>
                <w:color w:val="000000"/>
                <w:sz w:val="16"/>
                <w:szCs w:val="16"/>
              </w:rPr>
            </w:pPr>
            <w:r w:rsidRPr="00192507">
              <w:rPr>
                <w:color w:val="000000"/>
                <w:sz w:val="16"/>
                <w:szCs w:val="16"/>
              </w:rPr>
              <w:t>1 431 005,43</w:t>
            </w:r>
          </w:p>
        </w:tc>
      </w:tr>
      <w:tr w:rsidR="008F3544" w:rsidRPr="00192507" w14:paraId="57C931CB" w14:textId="77777777" w:rsidTr="0099088D">
        <w:trPr>
          <w:trHeight w:val="900"/>
        </w:trPr>
        <w:tc>
          <w:tcPr>
            <w:tcW w:w="672" w:type="pct"/>
            <w:shd w:val="clear" w:color="auto" w:fill="auto"/>
            <w:vAlign w:val="center"/>
            <w:hideMark/>
          </w:tcPr>
          <w:p w14:paraId="112EFC58" w14:textId="77777777" w:rsidR="008F3544" w:rsidRPr="00192507" w:rsidRDefault="008F3544" w:rsidP="0099088D">
            <w:pPr>
              <w:jc w:val="center"/>
              <w:rPr>
                <w:color w:val="000000"/>
                <w:sz w:val="16"/>
                <w:szCs w:val="16"/>
              </w:rPr>
            </w:pPr>
            <w:r w:rsidRPr="00192507">
              <w:rPr>
                <w:color w:val="000000"/>
                <w:sz w:val="16"/>
                <w:szCs w:val="16"/>
              </w:rPr>
              <w:t>2.3.1.3.1.2.</w:t>
            </w:r>
          </w:p>
        </w:tc>
        <w:tc>
          <w:tcPr>
            <w:tcW w:w="902" w:type="pct"/>
            <w:shd w:val="clear" w:color="auto" w:fill="auto"/>
            <w:vAlign w:val="center"/>
            <w:hideMark/>
          </w:tcPr>
          <w:p w14:paraId="529378E2" w14:textId="77777777" w:rsidR="008F3544" w:rsidRPr="00AD10F6"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2.3.1.3.1.2.</m:t>
                    </m:r>
                  </m:sub>
                  <m:sup>
                    <m:r>
                      <m:rPr>
                        <m:nor/>
                      </m:rPr>
                      <w:rPr>
                        <w:color w:val="000000"/>
                      </w:rPr>
                      <m:t>0,4 кВ и ниже</m:t>
                    </m:r>
                  </m:sup>
                </m:sSubSup>
              </m:oMath>
            </m:oMathPara>
          </w:p>
        </w:tc>
        <w:tc>
          <w:tcPr>
            <w:tcW w:w="1525" w:type="pct"/>
            <w:shd w:val="clear" w:color="auto" w:fill="auto"/>
            <w:vAlign w:val="center"/>
            <w:hideMark/>
          </w:tcPr>
          <w:p w14:paraId="7E9169CA" w14:textId="77777777" w:rsidR="008F3544" w:rsidRPr="00192507" w:rsidRDefault="008F3544" w:rsidP="0099088D">
            <w:pPr>
              <w:rPr>
                <w:color w:val="000000"/>
                <w:sz w:val="16"/>
                <w:szCs w:val="16"/>
              </w:rPr>
            </w:pPr>
            <w:r w:rsidRPr="00192507">
              <w:rPr>
                <w:color w:val="000000"/>
                <w:sz w:val="16"/>
                <w:szCs w:val="16"/>
              </w:rPr>
              <w:t>воздушные линии на железобетонных опорах изолированным сталеалюминиевым проводом сечением до 50 квадратных мм включительно двухцепные</w:t>
            </w:r>
          </w:p>
        </w:tc>
        <w:tc>
          <w:tcPr>
            <w:tcW w:w="696" w:type="pct"/>
            <w:shd w:val="clear" w:color="auto" w:fill="auto"/>
            <w:vAlign w:val="center"/>
            <w:hideMark/>
          </w:tcPr>
          <w:p w14:paraId="2B94559B" w14:textId="77777777" w:rsidR="008F3544" w:rsidRPr="00192507" w:rsidRDefault="008F3544" w:rsidP="0099088D">
            <w:pPr>
              <w:jc w:val="center"/>
              <w:rPr>
                <w:color w:val="000000"/>
                <w:sz w:val="16"/>
                <w:szCs w:val="16"/>
              </w:rPr>
            </w:pPr>
            <w:r w:rsidRPr="00192507">
              <w:rPr>
                <w:color w:val="000000"/>
                <w:sz w:val="16"/>
                <w:szCs w:val="16"/>
              </w:rPr>
              <w:t>рублей/км</w:t>
            </w:r>
          </w:p>
        </w:tc>
        <w:tc>
          <w:tcPr>
            <w:tcW w:w="602" w:type="pct"/>
            <w:shd w:val="clear" w:color="auto" w:fill="auto"/>
            <w:noWrap/>
            <w:vAlign w:val="center"/>
            <w:hideMark/>
          </w:tcPr>
          <w:p w14:paraId="74A4F273" w14:textId="77777777" w:rsidR="008F3544" w:rsidRPr="00192507" w:rsidRDefault="008F3544" w:rsidP="0099088D">
            <w:pPr>
              <w:jc w:val="center"/>
              <w:rPr>
                <w:color w:val="000000"/>
                <w:sz w:val="16"/>
                <w:szCs w:val="16"/>
              </w:rPr>
            </w:pPr>
            <w:r w:rsidRPr="00192507">
              <w:rPr>
                <w:color w:val="000000"/>
                <w:sz w:val="16"/>
                <w:szCs w:val="16"/>
              </w:rPr>
              <w:t>1 543 413,53</w:t>
            </w:r>
          </w:p>
        </w:tc>
        <w:tc>
          <w:tcPr>
            <w:tcW w:w="603" w:type="pct"/>
            <w:shd w:val="clear" w:color="auto" w:fill="auto"/>
            <w:noWrap/>
            <w:vAlign w:val="center"/>
            <w:hideMark/>
          </w:tcPr>
          <w:p w14:paraId="76F60921" w14:textId="77777777" w:rsidR="008F3544" w:rsidRPr="00192507" w:rsidRDefault="008F3544" w:rsidP="0099088D">
            <w:pPr>
              <w:jc w:val="center"/>
              <w:rPr>
                <w:color w:val="000000"/>
                <w:sz w:val="16"/>
                <w:szCs w:val="16"/>
              </w:rPr>
            </w:pPr>
            <w:r>
              <w:rPr>
                <w:color w:val="000000"/>
                <w:sz w:val="16"/>
                <w:szCs w:val="16"/>
              </w:rPr>
              <w:t>-</w:t>
            </w:r>
          </w:p>
        </w:tc>
      </w:tr>
      <w:tr w:rsidR="008F3544" w:rsidRPr="00192507" w14:paraId="78F24151" w14:textId="77777777" w:rsidTr="0099088D">
        <w:trPr>
          <w:trHeight w:val="525"/>
        </w:trPr>
        <w:tc>
          <w:tcPr>
            <w:tcW w:w="672" w:type="pct"/>
            <w:vMerge w:val="restart"/>
            <w:shd w:val="clear" w:color="auto" w:fill="auto"/>
            <w:vAlign w:val="center"/>
            <w:hideMark/>
          </w:tcPr>
          <w:p w14:paraId="5C882DDC" w14:textId="77777777" w:rsidR="008F3544" w:rsidRPr="00192507" w:rsidRDefault="008F3544" w:rsidP="0099088D">
            <w:pPr>
              <w:jc w:val="center"/>
              <w:rPr>
                <w:color w:val="000000"/>
                <w:sz w:val="16"/>
                <w:szCs w:val="16"/>
              </w:rPr>
            </w:pPr>
            <w:r w:rsidRPr="00192507">
              <w:rPr>
                <w:color w:val="000000"/>
                <w:sz w:val="16"/>
                <w:szCs w:val="16"/>
              </w:rPr>
              <w:t>2.3.1.3.2.1.</w:t>
            </w:r>
          </w:p>
        </w:tc>
        <w:tc>
          <w:tcPr>
            <w:tcW w:w="902" w:type="pct"/>
            <w:shd w:val="clear" w:color="auto" w:fill="auto"/>
            <w:vAlign w:val="center"/>
            <w:hideMark/>
          </w:tcPr>
          <w:p w14:paraId="6F542716" w14:textId="77777777" w:rsidR="008F3544" w:rsidRPr="00FC1D51"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2.3.1.3.2.1.</m:t>
                    </m:r>
                  </m:sub>
                  <m:sup>
                    <m:r>
                      <m:rPr>
                        <m:nor/>
                      </m:rPr>
                      <w:rPr>
                        <w:color w:val="000000"/>
                      </w:rPr>
                      <m:t>0,4 кВ и ниже</m:t>
                    </m:r>
                  </m:sup>
                </m:sSubSup>
              </m:oMath>
            </m:oMathPara>
          </w:p>
        </w:tc>
        <w:tc>
          <w:tcPr>
            <w:tcW w:w="1525" w:type="pct"/>
            <w:vMerge w:val="restart"/>
            <w:shd w:val="clear" w:color="auto" w:fill="auto"/>
            <w:vAlign w:val="center"/>
            <w:hideMark/>
          </w:tcPr>
          <w:p w14:paraId="0A6C72DA" w14:textId="77777777" w:rsidR="008F3544" w:rsidRPr="00192507" w:rsidRDefault="008F3544" w:rsidP="0099088D">
            <w:pPr>
              <w:rPr>
                <w:color w:val="000000"/>
                <w:sz w:val="16"/>
                <w:szCs w:val="16"/>
              </w:rPr>
            </w:pPr>
            <w:r w:rsidRPr="00192507">
              <w:rPr>
                <w:color w:val="000000"/>
                <w:sz w:val="16"/>
                <w:szCs w:val="16"/>
              </w:rPr>
              <w:t>воздушные линии на железобетонных опорах изолированным сталеалюминиевым проводом сечением от 50 до 100 квадратных мм включительно одноцепные</w:t>
            </w:r>
          </w:p>
        </w:tc>
        <w:tc>
          <w:tcPr>
            <w:tcW w:w="696" w:type="pct"/>
            <w:vMerge w:val="restart"/>
            <w:shd w:val="clear" w:color="auto" w:fill="auto"/>
            <w:vAlign w:val="center"/>
            <w:hideMark/>
          </w:tcPr>
          <w:p w14:paraId="7D7ED269" w14:textId="77777777" w:rsidR="008F3544" w:rsidRPr="00192507" w:rsidRDefault="008F3544" w:rsidP="0099088D">
            <w:pPr>
              <w:jc w:val="center"/>
              <w:rPr>
                <w:color w:val="000000"/>
                <w:sz w:val="16"/>
                <w:szCs w:val="16"/>
              </w:rPr>
            </w:pPr>
            <w:r w:rsidRPr="00192507">
              <w:rPr>
                <w:color w:val="000000"/>
                <w:sz w:val="16"/>
                <w:szCs w:val="16"/>
              </w:rPr>
              <w:t>рублей/км</w:t>
            </w:r>
          </w:p>
        </w:tc>
        <w:tc>
          <w:tcPr>
            <w:tcW w:w="602" w:type="pct"/>
            <w:shd w:val="clear" w:color="auto" w:fill="auto"/>
            <w:noWrap/>
            <w:vAlign w:val="center"/>
            <w:hideMark/>
          </w:tcPr>
          <w:p w14:paraId="055AEF59" w14:textId="77777777" w:rsidR="008F3544" w:rsidRPr="00192507" w:rsidRDefault="008F3544" w:rsidP="0099088D">
            <w:pPr>
              <w:jc w:val="center"/>
              <w:rPr>
                <w:color w:val="000000"/>
                <w:sz w:val="16"/>
                <w:szCs w:val="16"/>
              </w:rPr>
            </w:pPr>
            <w:r w:rsidRPr="00192507">
              <w:rPr>
                <w:color w:val="000000"/>
                <w:sz w:val="16"/>
                <w:szCs w:val="16"/>
              </w:rPr>
              <w:t>1 155 276,81</w:t>
            </w:r>
          </w:p>
        </w:tc>
        <w:tc>
          <w:tcPr>
            <w:tcW w:w="603" w:type="pct"/>
            <w:shd w:val="clear" w:color="auto" w:fill="auto"/>
            <w:noWrap/>
            <w:vAlign w:val="center"/>
            <w:hideMark/>
          </w:tcPr>
          <w:p w14:paraId="0C9CDDB6" w14:textId="77777777" w:rsidR="008F3544" w:rsidRPr="00192507" w:rsidRDefault="008F3544" w:rsidP="0099088D">
            <w:pPr>
              <w:jc w:val="center"/>
              <w:rPr>
                <w:color w:val="000000"/>
                <w:sz w:val="16"/>
                <w:szCs w:val="16"/>
              </w:rPr>
            </w:pPr>
            <w:r w:rsidRPr="00192507">
              <w:rPr>
                <w:color w:val="000000"/>
                <w:sz w:val="16"/>
                <w:szCs w:val="16"/>
              </w:rPr>
              <w:t>1 155 197,09</w:t>
            </w:r>
          </w:p>
        </w:tc>
      </w:tr>
      <w:tr w:rsidR="008F3544" w:rsidRPr="00192507" w14:paraId="74A09250" w14:textId="77777777" w:rsidTr="0099088D">
        <w:trPr>
          <w:trHeight w:val="525"/>
        </w:trPr>
        <w:tc>
          <w:tcPr>
            <w:tcW w:w="672" w:type="pct"/>
            <w:vMerge/>
            <w:shd w:val="clear" w:color="auto" w:fill="auto"/>
            <w:vAlign w:val="center"/>
            <w:hideMark/>
          </w:tcPr>
          <w:p w14:paraId="00C0B518" w14:textId="77777777" w:rsidR="008F3544" w:rsidRPr="00192507" w:rsidRDefault="008F3544" w:rsidP="0099088D">
            <w:pPr>
              <w:rPr>
                <w:color w:val="000000"/>
                <w:sz w:val="16"/>
                <w:szCs w:val="16"/>
              </w:rPr>
            </w:pPr>
          </w:p>
        </w:tc>
        <w:tc>
          <w:tcPr>
            <w:tcW w:w="902" w:type="pct"/>
            <w:shd w:val="clear" w:color="auto" w:fill="auto"/>
            <w:vAlign w:val="center"/>
            <w:hideMark/>
          </w:tcPr>
          <w:p w14:paraId="7BF00626" w14:textId="77777777" w:rsidR="008F3544" w:rsidRPr="00FC1D51"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2.3.1.3.2.1.</m:t>
                    </m:r>
                  </m:sub>
                  <m:sup>
                    <m:r>
                      <m:rPr>
                        <m:nor/>
                      </m:rPr>
                      <w:rPr>
                        <w:color w:val="000000"/>
                      </w:rPr>
                      <m:t>1-20 кВ</m:t>
                    </m:r>
                  </m:sup>
                </m:sSubSup>
              </m:oMath>
            </m:oMathPara>
          </w:p>
        </w:tc>
        <w:tc>
          <w:tcPr>
            <w:tcW w:w="1525" w:type="pct"/>
            <w:vMerge/>
            <w:shd w:val="clear" w:color="auto" w:fill="auto"/>
            <w:vAlign w:val="center"/>
            <w:hideMark/>
          </w:tcPr>
          <w:p w14:paraId="4228D4FE" w14:textId="77777777" w:rsidR="008F3544" w:rsidRPr="00192507" w:rsidRDefault="008F3544" w:rsidP="0099088D">
            <w:pPr>
              <w:rPr>
                <w:color w:val="000000"/>
                <w:sz w:val="16"/>
                <w:szCs w:val="16"/>
              </w:rPr>
            </w:pPr>
          </w:p>
        </w:tc>
        <w:tc>
          <w:tcPr>
            <w:tcW w:w="696" w:type="pct"/>
            <w:vMerge/>
            <w:shd w:val="clear" w:color="auto" w:fill="auto"/>
            <w:vAlign w:val="center"/>
            <w:hideMark/>
          </w:tcPr>
          <w:p w14:paraId="337FFCF3" w14:textId="77777777" w:rsidR="008F3544" w:rsidRPr="00192507" w:rsidRDefault="008F3544" w:rsidP="0099088D">
            <w:pPr>
              <w:rPr>
                <w:color w:val="000000"/>
                <w:sz w:val="16"/>
                <w:szCs w:val="16"/>
              </w:rPr>
            </w:pPr>
          </w:p>
        </w:tc>
        <w:tc>
          <w:tcPr>
            <w:tcW w:w="602" w:type="pct"/>
            <w:shd w:val="clear" w:color="auto" w:fill="auto"/>
            <w:noWrap/>
            <w:vAlign w:val="center"/>
            <w:hideMark/>
          </w:tcPr>
          <w:p w14:paraId="5017C69A" w14:textId="77777777" w:rsidR="008F3544" w:rsidRPr="00192507" w:rsidRDefault="008F3544" w:rsidP="0099088D">
            <w:pPr>
              <w:jc w:val="center"/>
              <w:rPr>
                <w:color w:val="000000"/>
                <w:sz w:val="16"/>
                <w:szCs w:val="16"/>
              </w:rPr>
            </w:pPr>
            <w:r w:rsidRPr="00192507">
              <w:rPr>
                <w:color w:val="000000"/>
                <w:sz w:val="16"/>
                <w:szCs w:val="16"/>
              </w:rPr>
              <w:t>1 891 824,26</w:t>
            </w:r>
          </w:p>
        </w:tc>
        <w:tc>
          <w:tcPr>
            <w:tcW w:w="603" w:type="pct"/>
            <w:shd w:val="clear" w:color="auto" w:fill="auto"/>
            <w:noWrap/>
            <w:vAlign w:val="center"/>
            <w:hideMark/>
          </w:tcPr>
          <w:p w14:paraId="3B2AD0FF" w14:textId="77777777" w:rsidR="008F3544" w:rsidRPr="00192507" w:rsidRDefault="008F3544" w:rsidP="0099088D">
            <w:pPr>
              <w:jc w:val="center"/>
              <w:rPr>
                <w:color w:val="000000"/>
                <w:sz w:val="16"/>
                <w:szCs w:val="16"/>
              </w:rPr>
            </w:pPr>
            <w:r w:rsidRPr="00192507">
              <w:rPr>
                <w:color w:val="000000"/>
                <w:sz w:val="16"/>
                <w:szCs w:val="16"/>
              </w:rPr>
              <w:t>1 843 109,14</w:t>
            </w:r>
          </w:p>
        </w:tc>
      </w:tr>
      <w:tr w:rsidR="008F3544" w:rsidRPr="00192507" w14:paraId="217695DB" w14:textId="77777777" w:rsidTr="0099088D">
        <w:trPr>
          <w:trHeight w:val="900"/>
        </w:trPr>
        <w:tc>
          <w:tcPr>
            <w:tcW w:w="672" w:type="pct"/>
            <w:shd w:val="clear" w:color="auto" w:fill="auto"/>
            <w:vAlign w:val="center"/>
            <w:hideMark/>
          </w:tcPr>
          <w:p w14:paraId="4F19F26F" w14:textId="77777777" w:rsidR="008F3544" w:rsidRPr="00192507" w:rsidRDefault="008F3544" w:rsidP="0099088D">
            <w:pPr>
              <w:jc w:val="center"/>
              <w:rPr>
                <w:color w:val="000000"/>
                <w:sz w:val="16"/>
                <w:szCs w:val="16"/>
              </w:rPr>
            </w:pPr>
            <w:r w:rsidRPr="00192507">
              <w:rPr>
                <w:color w:val="000000"/>
                <w:sz w:val="16"/>
                <w:szCs w:val="16"/>
              </w:rPr>
              <w:t>2.3.1.3.2.2.</w:t>
            </w:r>
          </w:p>
        </w:tc>
        <w:tc>
          <w:tcPr>
            <w:tcW w:w="902" w:type="pct"/>
            <w:shd w:val="clear" w:color="auto" w:fill="auto"/>
            <w:vAlign w:val="center"/>
            <w:hideMark/>
          </w:tcPr>
          <w:p w14:paraId="31767167" w14:textId="77777777" w:rsidR="008F3544" w:rsidRPr="00FF56D9"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2.3.1.3.2.2.</m:t>
                    </m:r>
                  </m:sub>
                  <m:sup>
                    <m:r>
                      <m:rPr>
                        <m:nor/>
                      </m:rPr>
                      <w:rPr>
                        <w:color w:val="000000"/>
                      </w:rPr>
                      <m:t>1-20 кВ</m:t>
                    </m:r>
                  </m:sup>
                </m:sSubSup>
              </m:oMath>
            </m:oMathPara>
          </w:p>
        </w:tc>
        <w:tc>
          <w:tcPr>
            <w:tcW w:w="1525" w:type="pct"/>
            <w:shd w:val="clear" w:color="auto" w:fill="auto"/>
            <w:vAlign w:val="center"/>
            <w:hideMark/>
          </w:tcPr>
          <w:p w14:paraId="27E95788" w14:textId="77777777" w:rsidR="008F3544" w:rsidRPr="00192507" w:rsidRDefault="008F3544" w:rsidP="0099088D">
            <w:pPr>
              <w:rPr>
                <w:color w:val="000000"/>
                <w:sz w:val="16"/>
                <w:szCs w:val="16"/>
              </w:rPr>
            </w:pPr>
            <w:r w:rsidRPr="00192507">
              <w:rPr>
                <w:color w:val="000000"/>
                <w:sz w:val="16"/>
                <w:szCs w:val="16"/>
              </w:rPr>
              <w:t>воздушные линии на железобетонных опорах изолированным сталеалюминиевым проводом сечением от 50 до 100 квадратных мм включительно двухцепные</w:t>
            </w:r>
          </w:p>
        </w:tc>
        <w:tc>
          <w:tcPr>
            <w:tcW w:w="696" w:type="pct"/>
            <w:shd w:val="clear" w:color="auto" w:fill="auto"/>
            <w:vAlign w:val="center"/>
            <w:hideMark/>
          </w:tcPr>
          <w:p w14:paraId="3DCFD173" w14:textId="77777777" w:rsidR="008F3544" w:rsidRPr="00192507" w:rsidRDefault="008F3544" w:rsidP="0099088D">
            <w:pPr>
              <w:jc w:val="center"/>
              <w:rPr>
                <w:color w:val="000000"/>
                <w:sz w:val="16"/>
                <w:szCs w:val="16"/>
              </w:rPr>
            </w:pPr>
            <w:r w:rsidRPr="00192507">
              <w:rPr>
                <w:color w:val="000000"/>
                <w:sz w:val="16"/>
                <w:szCs w:val="16"/>
              </w:rPr>
              <w:t>рублей/км</w:t>
            </w:r>
          </w:p>
        </w:tc>
        <w:tc>
          <w:tcPr>
            <w:tcW w:w="602" w:type="pct"/>
            <w:shd w:val="clear" w:color="auto" w:fill="auto"/>
            <w:noWrap/>
            <w:vAlign w:val="center"/>
            <w:hideMark/>
          </w:tcPr>
          <w:p w14:paraId="68A308D5" w14:textId="77777777" w:rsidR="008F3544" w:rsidRPr="00192507" w:rsidRDefault="008F3544" w:rsidP="0099088D">
            <w:pPr>
              <w:jc w:val="center"/>
              <w:rPr>
                <w:color w:val="000000"/>
                <w:sz w:val="16"/>
                <w:szCs w:val="16"/>
              </w:rPr>
            </w:pPr>
            <w:r w:rsidRPr="00192507">
              <w:rPr>
                <w:color w:val="000000"/>
                <w:sz w:val="16"/>
                <w:szCs w:val="16"/>
              </w:rPr>
              <w:t>2 355 238,52</w:t>
            </w:r>
          </w:p>
        </w:tc>
        <w:tc>
          <w:tcPr>
            <w:tcW w:w="603" w:type="pct"/>
            <w:shd w:val="clear" w:color="auto" w:fill="auto"/>
            <w:noWrap/>
            <w:vAlign w:val="center"/>
            <w:hideMark/>
          </w:tcPr>
          <w:p w14:paraId="5196CE56" w14:textId="77777777" w:rsidR="008F3544" w:rsidRPr="00192507" w:rsidRDefault="008F3544" w:rsidP="0099088D">
            <w:pPr>
              <w:jc w:val="center"/>
              <w:rPr>
                <w:color w:val="000000"/>
                <w:sz w:val="16"/>
                <w:szCs w:val="16"/>
              </w:rPr>
            </w:pPr>
            <w:r w:rsidRPr="00192507">
              <w:rPr>
                <w:color w:val="000000"/>
                <w:sz w:val="16"/>
                <w:szCs w:val="16"/>
              </w:rPr>
              <w:t>2 355 238,52</w:t>
            </w:r>
          </w:p>
        </w:tc>
      </w:tr>
      <w:tr w:rsidR="008F3544" w:rsidRPr="00192507" w14:paraId="70D1CE49" w14:textId="77777777" w:rsidTr="0099088D">
        <w:trPr>
          <w:trHeight w:val="415"/>
        </w:trPr>
        <w:tc>
          <w:tcPr>
            <w:tcW w:w="672" w:type="pct"/>
            <w:vMerge w:val="restart"/>
            <w:shd w:val="clear" w:color="auto" w:fill="auto"/>
            <w:vAlign w:val="center"/>
            <w:hideMark/>
          </w:tcPr>
          <w:p w14:paraId="5D5FB984" w14:textId="77777777" w:rsidR="008F3544" w:rsidRPr="00192507" w:rsidRDefault="008F3544" w:rsidP="0099088D">
            <w:pPr>
              <w:jc w:val="center"/>
              <w:rPr>
                <w:color w:val="000000"/>
                <w:sz w:val="16"/>
                <w:szCs w:val="16"/>
              </w:rPr>
            </w:pPr>
            <w:r w:rsidRPr="00192507">
              <w:rPr>
                <w:color w:val="000000"/>
                <w:sz w:val="16"/>
                <w:szCs w:val="16"/>
              </w:rPr>
              <w:t>2.3.1.3.3.1.</w:t>
            </w:r>
          </w:p>
        </w:tc>
        <w:tc>
          <w:tcPr>
            <w:tcW w:w="902" w:type="pct"/>
            <w:shd w:val="clear" w:color="auto" w:fill="auto"/>
            <w:vAlign w:val="center"/>
            <w:hideMark/>
          </w:tcPr>
          <w:p w14:paraId="3C5CD751" w14:textId="77777777" w:rsidR="008F3544" w:rsidRPr="00FF56D9"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2.3.1.3.3.1.</m:t>
                    </m:r>
                  </m:sub>
                  <m:sup>
                    <m:r>
                      <m:rPr>
                        <m:nor/>
                      </m:rPr>
                      <w:rPr>
                        <w:color w:val="000000"/>
                      </w:rPr>
                      <m:t>0,4 кВ и ниже</m:t>
                    </m:r>
                  </m:sup>
                </m:sSubSup>
              </m:oMath>
            </m:oMathPara>
          </w:p>
        </w:tc>
        <w:tc>
          <w:tcPr>
            <w:tcW w:w="1525" w:type="pct"/>
            <w:vMerge w:val="restart"/>
            <w:shd w:val="clear" w:color="auto" w:fill="auto"/>
            <w:vAlign w:val="center"/>
            <w:hideMark/>
          </w:tcPr>
          <w:p w14:paraId="50BD1A83" w14:textId="77777777" w:rsidR="008F3544" w:rsidRPr="00192507" w:rsidRDefault="008F3544" w:rsidP="0099088D">
            <w:pPr>
              <w:rPr>
                <w:color w:val="000000"/>
                <w:sz w:val="16"/>
                <w:szCs w:val="16"/>
              </w:rPr>
            </w:pPr>
            <w:r w:rsidRPr="00192507">
              <w:rPr>
                <w:color w:val="000000"/>
                <w:sz w:val="16"/>
                <w:szCs w:val="16"/>
              </w:rPr>
              <w:t>воздушные линии на железобетонных опорах изолированным сталеалюминиевым проводом сечением от 100 до 200 квадратных мм включительно одноцепные</w:t>
            </w:r>
          </w:p>
        </w:tc>
        <w:tc>
          <w:tcPr>
            <w:tcW w:w="696" w:type="pct"/>
            <w:vMerge w:val="restart"/>
            <w:shd w:val="clear" w:color="auto" w:fill="auto"/>
            <w:vAlign w:val="center"/>
            <w:hideMark/>
          </w:tcPr>
          <w:p w14:paraId="01AEF680" w14:textId="77777777" w:rsidR="008F3544" w:rsidRPr="00192507" w:rsidRDefault="008F3544" w:rsidP="0099088D">
            <w:pPr>
              <w:jc w:val="center"/>
              <w:rPr>
                <w:color w:val="000000"/>
                <w:sz w:val="16"/>
                <w:szCs w:val="16"/>
              </w:rPr>
            </w:pPr>
            <w:r w:rsidRPr="00192507">
              <w:rPr>
                <w:color w:val="000000"/>
                <w:sz w:val="16"/>
                <w:szCs w:val="16"/>
              </w:rPr>
              <w:t>рублей/км</w:t>
            </w:r>
          </w:p>
        </w:tc>
        <w:tc>
          <w:tcPr>
            <w:tcW w:w="602" w:type="pct"/>
            <w:shd w:val="clear" w:color="auto" w:fill="auto"/>
            <w:noWrap/>
            <w:vAlign w:val="center"/>
            <w:hideMark/>
          </w:tcPr>
          <w:p w14:paraId="303336FC" w14:textId="77777777" w:rsidR="008F3544" w:rsidRPr="00192507" w:rsidRDefault="008F3544" w:rsidP="0099088D">
            <w:pPr>
              <w:jc w:val="center"/>
              <w:rPr>
                <w:color w:val="000000"/>
                <w:sz w:val="16"/>
                <w:szCs w:val="16"/>
              </w:rPr>
            </w:pPr>
            <w:r w:rsidRPr="00192507">
              <w:rPr>
                <w:color w:val="000000"/>
                <w:sz w:val="16"/>
                <w:szCs w:val="16"/>
              </w:rPr>
              <w:t>1 477 213,23</w:t>
            </w:r>
          </w:p>
        </w:tc>
        <w:tc>
          <w:tcPr>
            <w:tcW w:w="603" w:type="pct"/>
            <w:shd w:val="clear" w:color="auto" w:fill="auto"/>
            <w:noWrap/>
            <w:vAlign w:val="center"/>
            <w:hideMark/>
          </w:tcPr>
          <w:p w14:paraId="37D13B04" w14:textId="77777777" w:rsidR="008F3544" w:rsidRPr="00192507" w:rsidRDefault="008F3544" w:rsidP="0099088D">
            <w:pPr>
              <w:jc w:val="center"/>
              <w:rPr>
                <w:color w:val="000000"/>
                <w:sz w:val="16"/>
                <w:szCs w:val="16"/>
              </w:rPr>
            </w:pPr>
            <w:r>
              <w:rPr>
                <w:color w:val="000000"/>
                <w:sz w:val="16"/>
                <w:szCs w:val="16"/>
              </w:rPr>
              <w:t>-</w:t>
            </w:r>
          </w:p>
        </w:tc>
      </w:tr>
      <w:tr w:rsidR="008F3544" w:rsidRPr="00192507" w14:paraId="0789CB00" w14:textId="77777777" w:rsidTr="0099088D">
        <w:trPr>
          <w:trHeight w:val="421"/>
        </w:trPr>
        <w:tc>
          <w:tcPr>
            <w:tcW w:w="672" w:type="pct"/>
            <w:vMerge/>
            <w:shd w:val="clear" w:color="auto" w:fill="auto"/>
            <w:vAlign w:val="center"/>
            <w:hideMark/>
          </w:tcPr>
          <w:p w14:paraId="3BE3AB73" w14:textId="77777777" w:rsidR="008F3544" w:rsidRPr="00192507" w:rsidRDefault="008F3544" w:rsidP="0099088D">
            <w:pPr>
              <w:rPr>
                <w:color w:val="000000"/>
                <w:sz w:val="16"/>
                <w:szCs w:val="16"/>
              </w:rPr>
            </w:pPr>
          </w:p>
        </w:tc>
        <w:tc>
          <w:tcPr>
            <w:tcW w:w="902" w:type="pct"/>
            <w:shd w:val="clear" w:color="auto" w:fill="auto"/>
            <w:vAlign w:val="center"/>
            <w:hideMark/>
          </w:tcPr>
          <w:p w14:paraId="28352808" w14:textId="77777777" w:rsidR="008F3544" w:rsidRPr="00FF56D9"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2.3.1.3.3.1.</m:t>
                    </m:r>
                  </m:sub>
                  <m:sup>
                    <m:r>
                      <m:rPr>
                        <m:nor/>
                      </m:rPr>
                      <w:rPr>
                        <w:color w:val="000000"/>
                      </w:rPr>
                      <m:t>1-20 кВ</m:t>
                    </m:r>
                  </m:sup>
                </m:sSubSup>
              </m:oMath>
            </m:oMathPara>
          </w:p>
        </w:tc>
        <w:tc>
          <w:tcPr>
            <w:tcW w:w="1525" w:type="pct"/>
            <w:vMerge/>
            <w:shd w:val="clear" w:color="auto" w:fill="auto"/>
            <w:vAlign w:val="center"/>
            <w:hideMark/>
          </w:tcPr>
          <w:p w14:paraId="1A4D78CD" w14:textId="77777777" w:rsidR="008F3544" w:rsidRPr="00192507" w:rsidRDefault="008F3544" w:rsidP="0099088D">
            <w:pPr>
              <w:rPr>
                <w:color w:val="000000"/>
                <w:sz w:val="16"/>
                <w:szCs w:val="16"/>
              </w:rPr>
            </w:pPr>
          </w:p>
        </w:tc>
        <w:tc>
          <w:tcPr>
            <w:tcW w:w="696" w:type="pct"/>
            <w:vMerge/>
            <w:shd w:val="clear" w:color="auto" w:fill="auto"/>
            <w:vAlign w:val="center"/>
            <w:hideMark/>
          </w:tcPr>
          <w:p w14:paraId="2920054C" w14:textId="77777777" w:rsidR="008F3544" w:rsidRPr="00192507" w:rsidRDefault="008F3544" w:rsidP="0099088D">
            <w:pPr>
              <w:rPr>
                <w:color w:val="000000"/>
                <w:sz w:val="16"/>
                <w:szCs w:val="16"/>
              </w:rPr>
            </w:pPr>
          </w:p>
        </w:tc>
        <w:tc>
          <w:tcPr>
            <w:tcW w:w="602" w:type="pct"/>
            <w:shd w:val="clear" w:color="auto" w:fill="auto"/>
            <w:noWrap/>
            <w:vAlign w:val="center"/>
            <w:hideMark/>
          </w:tcPr>
          <w:p w14:paraId="4C78109F" w14:textId="77777777" w:rsidR="008F3544" w:rsidRPr="00192507" w:rsidRDefault="008F3544" w:rsidP="0099088D">
            <w:pPr>
              <w:jc w:val="center"/>
              <w:rPr>
                <w:color w:val="000000"/>
                <w:sz w:val="16"/>
                <w:szCs w:val="16"/>
              </w:rPr>
            </w:pPr>
            <w:r w:rsidRPr="00192507">
              <w:rPr>
                <w:color w:val="000000"/>
                <w:sz w:val="16"/>
                <w:szCs w:val="16"/>
              </w:rPr>
              <w:t>2 169 268,80</w:t>
            </w:r>
          </w:p>
        </w:tc>
        <w:tc>
          <w:tcPr>
            <w:tcW w:w="603" w:type="pct"/>
            <w:shd w:val="clear" w:color="auto" w:fill="auto"/>
            <w:noWrap/>
            <w:vAlign w:val="center"/>
            <w:hideMark/>
          </w:tcPr>
          <w:p w14:paraId="35227FB3" w14:textId="77777777" w:rsidR="008F3544" w:rsidRPr="00192507" w:rsidRDefault="008F3544" w:rsidP="0099088D">
            <w:pPr>
              <w:jc w:val="center"/>
              <w:rPr>
                <w:color w:val="000000"/>
                <w:sz w:val="16"/>
                <w:szCs w:val="16"/>
              </w:rPr>
            </w:pPr>
            <w:r w:rsidRPr="00192507">
              <w:rPr>
                <w:color w:val="000000"/>
                <w:sz w:val="16"/>
                <w:szCs w:val="16"/>
              </w:rPr>
              <w:t>2 169 268,80</w:t>
            </w:r>
          </w:p>
        </w:tc>
      </w:tr>
      <w:tr w:rsidR="008F3544" w:rsidRPr="00192507" w14:paraId="70B524D1" w14:textId="77777777" w:rsidTr="0099088D">
        <w:trPr>
          <w:trHeight w:val="413"/>
        </w:trPr>
        <w:tc>
          <w:tcPr>
            <w:tcW w:w="672" w:type="pct"/>
            <w:vMerge/>
            <w:shd w:val="clear" w:color="auto" w:fill="auto"/>
            <w:vAlign w:val="center"/>
            <w:hideMark/>
          </w:tcPr>
          <w:p w14:paraId="4C3D71BA" w14:textId="77777777" w:rsidR="008F3544" w:rsidRPr="00192507" w:rsidRDefault="008F3544" w:rsidP="0099088D">
            <w:pPr>
              <w:rPr>
                <w:color w:val="000000"/>
                <w:sz w:val="16"/>
                <w:szCs w:val="16"/>
              </w:rPr>
            </w:pPr>
          </w:p>
        </w:tc>
        <w:tc>
          <w:tcPr>
            <w:tcW w:w="902" w:type="pct"/>
            <w:shd w:val="clear" w:color="auto" w:fill="auto"/>
            <w:vAlign w:val="center"/>
            <w:hideMark/>
          </w:tcPr>
          <w:p w14:paraId="6C40C548" w14:textId="77777777" w:rsidR="008F3544" w:rsidRPr="00C3420A"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2.3.1.3.3.1.</m:t>
                    </m:r>
                  </m:sub>
                  <m:sup>
                    <m:r>
                      <m:rPr>
                        <m:nor/>
                      </m:rPr>
                      <w:rPr>
                        <w:color w:val="000000"/>
                      </w:rPr>
                      <m:t>27,5-60 кВ</m:t>
                    </m:r>
                  </m:sup>
                </m:sSubSup>
              </m:oMath>
            </m:oMathPara>
          </w:p>
        </w:tc>
        <w:tc>
          <w:tcPr>
            <w:tcW w:w="1525" w:type="pct"/>
            <w:vMerge/>
            <w:shd w:val="clear" w:color="auto" w:fill="auto"/>
            <w:vAlign w:val="center"/>
            <w:hideMark/>
          </w:tcPr>
          <w:p w14:paraId="0BDD5DC3" w14:textId="77777777" w:rsidR="008F3544" w:rsidRPr="00192507" w:rsidRDefault="008F3544" w:rsidP="0099088D">
            <w:pPr>
              <w:rPr>
                <w:color w:val="000000"/>
                <w:sz w:val="16"/>
                <w:szCs w:val="16"/>
              </w:rPr>
            </w:pPr>
          </w:p>
        </w:tc>
        <w:tc>
          <w:tcPr>
            <w:tcW w:w="696" w:type="pct"/>
            <w:vMerge/>
            <w:shd w:val="clear" w:color="auto" w:fill="auto"/>
            <w:vAlign w:val="center"/>
            <w:hideMark/>
          </w:tcPr>
          <w:p w14:paraId="4662A608" w14:textId="77777777" w:rsidR="008F3544" w:rsidRPr="00192507" w:rsidRDefault="008F3544" w:rsidP="0099088D">
            <w:pPr>
              <w:rPr>
                <w:color w:val="000000"/>
                <w:sz w:val="16"/>
                <w:szCs w:val="16"/>
              </w:rPr>
            </w:pPr>
          </w:p>
        </w:tc>
        <w:tc>
          <w:tcPr>
            <w:tcW w:w="602" w:type="pct"/>
            <w:shd w:val="clear" w:color="auto" w:fill="auto"/>
            <w:noWrap/>
            <w:vAlign w:val="center"/>
            <w:hideMark/>
          </w:tcPr>
          <w:p w14:paraId="5188507B" w14:textId="77777777" w:rsidR="008F3544" w:rsidRPr="00192507" w:rsidRDefault="008F3544" w:rsidP="0099088D">
            <w:pPr>
              <w:jc w:val="center"/>
              <w:rPr>
                <w:color w:val="000000"/>
                <w:sz w:val="16"/>
                <w:szCs w:val="16"/>
              </w:rPr>
            </w:pPr>
            <w:r w:rsidRPr="00192507">
              <w:rPr>
                <w:color w:val="000000"/>
                <w:sz w:val="16"/>
                <w:szCs w:val="16"/>
              </w:rPr>
              <w:t>7 604 880,75</w:t>
            </w:r>
          </w:p>
        </w:tc>
        <w:tc>
          <w:tcPr>
            <w:tcW w:w="603" w:type="pct"/>
            <w:shd w:val="clear" w:color="auto" w:fill="auto"/>
            <w:noWrap/>
            <w:vAlign w:val="center"/>
            <w:hideMark/>
          </w:tcPr>
          <w:p w14:paraId="758454C6" w14:textId="77777777" w:rsidR="008F3544" w:rsidRPr="00192507" w:rsidRDefault="008F3544" w:rsidP="0099088D">
            <w:pPr>
              <w:jc w:val="center"/>
              <w:rPr>
                <w:color w:val="000000"/>
                <w:sz w:val="16"/>
                <w:szCs w:val="16"/>
              </w:rPr>
            </w:pPr>
            <w:r>
              <w:rPr>
                <w:color w:val="000000"/>
                <w:sz w:val="16"/>
                <w:szCs w:val="16"/>
              </w:rPr>
              <w:t>-</w:t>
            </w:r>
          </w:p>
        </w:tc>
      </w:tr>
      <w:tr w:rsidR="008F3544" w:rsidRPr="00192507" w14:paraId="0E6FB916" w14:textId="77777777" w:rsidTr="0099088D">
        <w:trPr>
          <w:trHeight w:val="900"/>
        </w:trPr>
        <w:tc>
          <w:tcPr>
            <w:tcW w:w="672" w:type="pct"/>
            <w:shd w:val="clear" w:color="auto" w:fill="auto"/>
            <w:vAlign w:val="center"/>
            <w:hideMark/>
          </w:tcPr>
          <w:p w14:paraId="70524D8D" w14:textId="77777777" w:rsidR="008F3544" w:rsidRPr="00192507" w:rsidRDefault="008F3544" w:rsidP="0099088D">
            <w:pPr>
              <w:jc w:val="center"/>
              <w:rPr>
                <w:color w:val="000000"/>
                <w:sz w:val="16"/>
                <w:szCs w:val="16"/>
              </w:rPr>
            </w:pPr>
            <w:r w:rsidRPr="00192507">
              <w:rPr>
                <w:color w:val="000000"/>
                <w:sz w:val="16"/>
                <w:szCs w:val="16"/>
              </w:rPr>
              <w:t>2.3.1.3.3.2.</w:t>
            </w:r>
          </w:p>
        </w:tc>
        <w:tc>
          <w:tcPr>
            <w:tcW w:w="902" w:type="pct"/>
            <w:shd w:val="clear" w:color="auto" w:fill="auto"/>
            <w:vAlign w:val="center"/>
            <w:hideMark/>
          </w:tcPr>
          <w:p w14:paraId="2075FC28" w14:textId="77777777" w:rsidR="008F3544" w:rsidRPr="00C3420A"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2.3.1.3.3.2.</m:t>
                    </m:r>
                  </m:sub>
                  <m:sup>
                    <m:r>
                      <m:rPr>
                        <m:nor/>
                      </m:rPr>
                      <w:rPr>
                        <w:color w:val="000000"/>
                      </w:rPr>
                      <m:t>27,5-60 кВ</m:t>
                    </m:r>
                  </m:sup>
                </m:sSubSup>
              </m:oMath>
            </m:oMathPara>
          </w:p>
        </w:tc>
        <w:tc>
          <w:tcPr>
            <w:tcW w:w="1525" w:type="pct"/>
            <w:shd w:val="clear" w:color="auto" w:fill="auto"/>
            <w:vAlign w:val="center"/>
            <w:hideMark/>
          </w:tcPr>
          <w:p w14:paraId="69574D97" w14:textId="77777777" w:rsidR="008F3544" w:rsidRPr="00192507" w:rsidRDefault="008F3544" w:rsidP="0099088D">
            <w:pPr>
              <w:rPr>
                <w:color w:val="000000"/>
                <w:sz w:val="16"/>
                <w:szCs w:val="16"/>
              </w:rPr>
            </w:pPr>
            <w:r w:rsidRPr="00192507">
              <w:rPr>
                <w:color w:val="000000"/>
                <w:sz w:val="16"/>
                <w:szCs w:val="16"/>
              </w:rPr>
              <w:t>воздушные линии на железобетонных опорах изолированным сталеалюминиевым проводом сечением от 100 до 200 квадратных мм включительно двухцепные</w:t>
            </w:r>
          </w:p>
        </w:tc>
        <w:tc>
          <w:tcPr>
            <w:tcW w:w="696" w:type="pct"/>
            <w:shd w:val="clear" w:color="auto" w:fill="auto"/>
            <w:vAlign w:val="center"/>
            <w:hideMark/>
          </w:tcPr>
          <w:p w14:paraId="5548897F" w14:textId="77777777" w:rsidR="008F3544" w:rsidRPr="00192507" w:rsidRDefault="008F3544" w:rsidP="0099088D">
            <w:pPr>
              <w:jc w:val="center"/>
              <w:rPr>
                <w:color w:val="000000"/>
                <w:sz w:val="16"/>
                <w:szCs w:val="16"/>
              </w:rPr>
            </w:pPr>
            <w:r w:rsidRPr="00192507">
              <w:rPr>
                <w:color w:val="000000"/>
                <w:sz w:val="16"/>
                <w:szCs w:val="16"/>
              </w:rPr>
              <w:t>рублей/км</w:t>
            </w:r>
          </w:p>
        </w:tc>
        <w:tc>
          <w:tcPr>
            <w:tcW w:w="602" w:type="pct"/>
            <w:shd w:val="clear" w:color="auto" w:fill="auto"/>
            <w:noWrap/>
            <w:vAlign w:val="center"/>
            <w:hideMark/>
          </w:tcPr>
          <w:p w14:paraId="5ACFBFB3" w14:textId="77777777" w:rsidR="008F3544" w:rsidRPr="00192507" w:rsidRDefault="008F3544" w:rsidP="0099088D">
            <w:pPr>
              <w:jc w:val="center"/>
              <w:rPr>
                <w:color w:val="000000"/>
                <w:sz w:val="16"/>
                <w:szCs w:val="16"/>
              </w:rPr>
            </w:pPr>
            <w:r>
              <w:rPr>
                <w:color w:val="000000"/>
                <w:sz w:val="16"/>
                <w:szCs w:val="16"/>
              </w:rPr>
              <w:t>-</w:t>
            </w:r>
          </w:p>
        </w:tc>
        <w:tc>
          <w:tcPr>
            <w:tcW w:w="603" w:type="pct"/>
            <w:shd w:val="clear" w:color="auto" w:fill="auto"/>
            <w:noWrap/>
            <w:vAlign w:val="center"/>
            <w:hideMark/>
          </w:tcPr>
          <w:p w14:paraId="6EFA2BD0" w14:textId="77777777" w:rsidR="008F3544" w:rsidRPr="00192507" w:rsidRDefault="008F3544" w:rsidP="0099088D">
            <w:pPr>
              <w:jc w:val="center"/>
              <w:rPr>
                <w:color w:val="000000"/>
                <w:sz w:val="16"/>
                <w:szCs w:val="16"/>
              </w:rPr>
            </w:pPr>
            <w:r w:rsidRPr="00192507">
              <w:rPr>
                <w:color w:val="000000"/>
                <w:sz w:val="16"/>
                <w:szCs w:val="16"/>
              </w:rPr>
              <w:t>11 168 512,65</w:t>
            </w:r>
          </w:p>
        </w:tc>
      </w:tr>
      <w:tr w:rsidR="008F3544" w:rsidRPr="00192507" w14:paraId="24915087" w14:textId="77777777" w:rsidTr="0099088D">
        <w:trPr>
          <w:trHeight w:val="457"/>
        </w:trPr>
        <w:tc>
          <w:tcPr>
            <w:tcW w:w="672" w:type="pct"/>
            <w:vMerge w:val="restart"/>
            <w:shd w:val="clear" w:color="auto" w:fill="auto"/>
            <w:vAlign w:val="center"/>
            <w:hideMark/>
          </w:tcPr>
          <w:p w14:paraId="6F1C3178" w14:textId="77777777" w:rsidR="008F3544" w:rsidRPr="00192507" w:rsidRDefault="008F3544" w:rsidP="0099088D">
            <w:pPr>
              <w:jc w:val="center"/>
              <w:rPr>
                <w:color w:val="000000"/>
                <w:sz w:val="16"/>
                <w:szCs w:val="16"/>
              </w:rPr>
            </w:pPr>
            <w:r w:rsidRPr="00192507">
              <w:rPr>
                <w:color w:val="000000"/>
                <w:sz w:val="16"/>
                <w:szCs w:val="16"/>
              </w:rPr>
              <w:t>2.3.1.4.1.1.</w:t>
            </w:r>
          </w:p>
        </w:tc>
        <w:tc>
          <w:tcPr>
            <w:tcW w:w="902" w:type="pct"/>
            <w:shd w:val="clear" w:color="auto" w:fill="auto"/>
            <w:vAlign w:val="center"/>
            <w:hideMark/>
          </w:tcPr>
          <w:p w14:paraId="27A2B671" w14:textId="77777777" w:rsidR="008F3544" w:rsidRPr="00D41419"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2.3.1.4.1.1.</m:t>
                    </m:r>
                  </m:sub>
                  <m:sup>
                    <m:r>
                      <m:rPr>
                        <m:nor/>
                      </m:rPr>
                      <w:rPr>
                        <w:color w:val="000000"/>
                      </w:rPr>
                      <m:t>0,4 кВ и ниже</m:t>
                    </m:r>
                  </m:sup>
                </m:sSubSup>
              </m:oMath>
            </m:oMathPara>
          </w:p>
        </w:tc>
        <w:tc>
          <w:tcPr>
            <w:tcW w:w="1525" w:type="pct"/>
            <w:vMerge w:val="restart"/>
            <w:shd w:val="clear" w:color="auto" w:fill="auto"/>
            <w:vAlign w:val="center"/>
            <w:hideMark/>
          </w:tcPr>
          <w:p w14:paraId="283DCB9E" w14:textId="77777777" w:rsidR="008F3544" w:rsidRPr="00192507" w:rsidRDefault="008F3544" w:rsidP="0099088D">
            <w:pPr>
              <w:rPr>
                <w:color w:val="000000"/>
                <w:sz w:val="16"/>
                <w:szCs w:val="16"/>
              </w:rPr>
            </w:pPr>
            <w:r w:rsidRPr="00192507">
              <w:rPr>
                <w:color w:val="000000"/>
                <w:sz w:val="16"/>
                <w:szCs w:val="16"/>
              </w:rPr>
              <w:t>воздушные линии на железобетонных опорах изолированным алюминиевым проводом сечением до 50 квадратных мм включительно одноцепные</w:t>
            </w:r>
          </w:p>
        </w:tc>
        <w:tc>
          <w:tcPr>
            <w:tcW w:w="696" w:type="pct"/>
            <w:vMerge w:val="restart"/>
            <w:shd w:val="clear" w:color="auto" w:fill="auto"/>
            <w:vAlign w:val="center"/>
            <w:hideMark/>
          </w:tcPr>
          <w:p w14:paraId="65B93993" w14:textId="77777777" w:rsidR="008F3544" w:rsidRPr="00192507" w:rsidRDefault="008F3544" w:rsidP="0099088D">
            <w:pPr>
              <w:jc w:val="center"/>
              <w:rPr>
                <w:color w:val="000000"/>
                <w:sz w:val="16"/>
                <w:szCs w:val="16"/>
              </w:rPr>
            </w:pPr>
            <w:r w:rsidRPr="00192507">
              <w:rPr>
                <w:color w:val="000000"/>
                <w:sz w:val="16"/>
                <w:szCs w:val="16"/>
              </w:rPr>
              <w:t>рублей/км</w:t>
            </w:r>
          </w:p>
        </w:tc>
        <w:tc>
          <w:tcPr>
            <w:tcW w:w="602" w:type="pct"/>
            <w:shd w:val="clear" w:color="auto" w:fill="auto"/>
            <w:noWrap/>
            <w:vAlign w:val="center"/>
            <w:hideMark/>
          </w:tcPr>
          <w:p w14:paraId="0DE299B1" w14:textId="77777777" w:rsidR="008F3544" w:rsidRPr="00192507" w:rsidRDefault="008F3544" w:rsidP="0099088D">
            <w:pPr>
              <w:jc w:val="center"/>
              <w:rPr>
                <w:color w:val="000000"/>
                <w:sz w:val="16"/>
                <w:szCs w:val="16"/>
              </w:rPr>
            </w:pPr>
            <w:r w:rsidRPr="00192507">
              <w:rPr>
                <w:color w:val="000000"/>
                <w:sz w:val="16"/>
                <w:szCs w:val="16"/>
              </w:rPr>
              <w:t>1 374 858,83</w:t>
            </w:r>
          </w:p>
        </w:tc>
        <w:tc>
          <w:tcPr>
            <w:tcW w:w="603" w:type="pct"/>
            <w:shd w:val="clear" w:color="auto" w:fill="auto"/>
            <w:noWrap/>
            <w:vAlign w:val="center"/>
            <w:hideMark/>
          </w:tcPr>
          <w:p w14:paraId="492ED43F" w14:textId="77777777" w:rsidR="008F3544" w:rsidRPr="00192507" w:rsidRDefault="008F3544" w:rsidP="0099088D">
            <w:pPr>
              <w:jc w:val="center"/>
              <w:rPr>
                <w:color w:val="000000"/>
                <w:sz w:val="16"/>
                <w:szCs w:val="16"/>
              </w:rPr>
            </w:pPr>
            <w:r w:rsidRPr="00192507">
              <w:rPr>
                <w:color w:val="000000"/>
                <w:sz w:val="16"/>
                <w:szCs w:val="16"/>
              </w:rPr>
              <w:t>1 390 822,69</w:t>
            </w:r>
          </w:p>
        </w:tc>
      </w:tr>
      <w:tr w:rsidR="008F3544" w:rsidRPr="00192507" w14:paraId="6840162F" w14:textId="77777777" w:rsidTr="0099088D">
        <w:trPr>
          <w:trHeight w:val="457"/>
        </w:trPr>
        <w:tc>
          <w:tcPr>
            <w:tcW w:w="672" w:type="pct"/>
            <w:vMerge/>
            <w:shd w:val="clear" w:color="auto" w:fill="auto"/>
            <w:vAlign w:val="center"/>
            <w:hideMark/>
          </w:tcPr>
          <w:p w14:paraId="75CB0423" w14:textId="77777777" w:rsidR="008F3544" w:rsidRPr="00192507" w:rsidRDefault="008F3544" w:rsidP="0099088D">
            <w:pPr>
              <w:rPr>
                <w:color w:val="000000"/>
                <w:sz w:val="16"/>
                <w:szCs w:val="16"/>
              </w:rPr>
            </w:pPr>
          </w:p>
        </w:tc>
        <w:tc>
          <w:tcPr>
            <w:tcW w:w="902" w:type="pct"/>
            <w:shd w:val="clear" w:color="auto" w:fill="auto"/>
            <w:vAlign w:val="center"/>
            <w:hideMark/>
          </w:tcPr>
          <w:p w14:paraId="086A9C4B" w14:textId="77777777" w:rsidR="008F3544" w:rsidRPr="00D41419"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2.3.1.4.1.1.</m:t>
                    </m:r>
                  </m:sub>
                  <m:sup>
                    <m:r>
                      <m:rPr>
                        <m:nor/>
                      </m:rPr>
                      <w:rPr>
                        <w:color w:val="000000"/>
                      </w:rPr>
                      <m:t>1-20 кВ</m:t>
                    </m:r>
                  </m:sup>
                </m:sSubSup>
              </m:oMath>
            </m:oMathPara>
          </w:p>
        </w:tc>
        <w:tc>
          <w:tcPr>
            <w:tcW w:w="1525" w:type="pct"/>
            <w:vMerge/>
            <w:shd w:val="clear" w:color="auto" w:fill="auto"/>
            <w:vAlign w:val="center"/>
            <w:hideMark/>
          </w:tcPr>
          <w:p w14:paraId="7CFA9A2C" w14:textId="77777777" w:rsidR="008F3544" w:rsidRPr="00192507" w:rsidRDefault="008F3544" w:rsidP="0099088D">
            <w:pPr>
              <w:rPr>
                <w:color w:val="000000"/>
                <w:sz w:val="16"/>
                <w:szCs w:val="16"/>
              </w:rPr>
            </w:pPr>
          </w:p>
        </w:tc>
        <w:tc>
          <w:tcPr>
            <w:tcW w:w="696" w:type="pct"/>
            <w:vMerge/>
            <w:shd w:val="clear" w:color="auto" w:fill="auto"/>
            <w:vAlign w:val="center"/>
            <w:hideMark/>
          </w:tcPr>
          <w:p w14:paraId="34F97B47" w14:textId="77777777" w:rsidR="008F3544" w:rsidRPr="00192507" w:rsidRDefault="008F3544" w:rsidP="0099088D">
            <w:pPr>
              <w:rPr>
                <w:color w:val="000000"/>
                <w:sz w:val="16"/>
                <w:szCs w:val="16"/>
              </w:rPr>
            </w:pPr>
          </w:p>
        </w:tc>
        <w:tc>
          <w:tcPr>
            <w:tcW w:w="602" w:type="pct"/>
            <w:shd w:val="clear" w:color="auto" w:fill="auto"/>
            <w:noWrap/>
            <w:vAlign w:val="center"/>
            <w:hideMark/>
          </w:tcPr>
          <w:p w14:paraId="61FB1ED8" w14:textId="77777777" w:rsidR="008F3544" w:rsidRPr="00192507" w:rsidRDefault="008F3544" w:rsidP="0099088D">
            <w:pPr>
              <w:jc w:val="center"/>
              <w:rPr>
                <w:color w:val="000000"/>
                <w:sz w:val="16"/>
                <w:szCs w:val="16"/>
              </w:rPr>
            </w:pPr>
            <w:r w:rsidRPr="00192507">
              <w:rPr>
                <w:color w:val="000000"/>
                <w:sz w:val="16"/>
                <w:szCs w:val="16"/>
              </w:rPr>
              <w:t>1 976 246,51</w:t>
            </w:r>
          </w:p>
        </w:tc>
        <w:tc>
          <w:tcPr>
            <w:tcW w:w="603" w:type="pct"/>
            <w:shd w:val="clear" w:color="auto" w:fill="auto"/>
            <w:noWrap/>
            <w:vAlign w:val="center"/>
            <w:hideMark/>
          </w:tcPr>
          <w:p w14:paraId="79DB2C51" w14:textId="77777777" w:rsidR="008F3544" w:rsidRPr="00192507" w:rsidRDefault="008F3544" w:rsidP="0099088D">
            <w:pPr>
              <w:jc w:val="center"/>
              <w:rPr>
                <w:color w:val="000000"/>
                <w:sz w:val="16"/>
                <w:szCs w:val="16"/>
              </w:rPr>
            </w:pPr>
            <w:r w:rsidRPr="00192507">
              <w:rPr>
                <w:color w:val="000000"/>
                <w:sz w:val="16"/>
                <w:szCs w:val="16"/>
              </w:rPr>
              <w:t>1 913 982,92</w:t>
            </w:r>
          </w:p>
        </w:tc>
      </w:tr>
      <w:tr w:rsidR="008F3544" w:rsidRPr="00192507" w14:paraId="571F68A8" w14:textId="77777777" w:rsidTr="0099088D">
        <w:trPr>
          <w:trHeight w:val="457"/>
        </w:trPr>
        <w:tc>
          <w:tcPr>
            <w:tcW w:w="672" w:type="pct"/>
            <w:vMerge w:val="restart"/>
            <w:shd w:val="clear" w:color="auto" w:fill="auto"/>
            <w:vAlign w:val="center"/>
            <w:hideMark/>
          </w:tcPr>
          <w:p w14:paraId="7DA00587" w14:textId="77777777" w:rsidR="008F3544" w:rsidRPr="00192507" w:rsidRDefault="008F3544" w:rsidP="0099088D">
            <w:pPr>
              <w:jc w:val="center"/>
              <w:rPr>
                <w:color w:val="000000"/>
                <w:sz w:val="16"/>
                <w:szCs w:val="16"/>
              </w:rPr>
            </w:pPr>
            <w:r w:rsidRPr="00192507">
              <w:rPr>
                <w:color w:val="000000"/>
                <w:sz w:val="16"/>
                <w:szCs w:val="16"/>
              </w:rPr>
              <w:t>2.3.1.4.1.2.</w:t>
            </w:r>
          </w:p>
        </w:tc>
        <w:tc>
          <w:tcPr>
            <w:tcW w:w="902" w:type="pct"/>
            <w:shd w:val="clear" w:color="auto" w:fill="auto"/>
            <w:vAlign w:val="center"/>
            <w:hideMark/>
          </w:tcPr>
          <w:p w14:paraId="7F0100ED" w14:textId="77777777" w:rsidR="008F3544" w:rsidRPr="0003423F"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2.3.1.4.1.2.</m:t>
                    </m:r>
                  </m:sub>
                  <m:sup>
                    <m:r>
                      <m:rPr>
                        <m:nor/>
                      </m:rPr>
                      <w:rPr>
                        <w:color w:val="000000"/>
                      </w:rPr>
                      <m:t>0,4 кВ и ниже</m:t>
                    </m:r>
                  </m:sup>
                </m:sSubSup>
              </m:oMath>
            </m:oMathPara>
          </w:p>
        </w:tc>
        <w:tc>
          <w:tcPr>
            <w:tcW w:w="1525" w:type="pct"/>
            <w:vMerge w:val="restart"/>
            <w:shd w:val="clear" w:color="auto" w:fill="auto"/>
            <w:vAlign w:val="center"/>
            <w:hideMark/>
          </w:tcPr>
          <w:p w14:paraId="648D9216" w14:textId="77777777" w:rsidR="008F3544" w:rsidRPr="00192507" w:rsidRDefault="008F3544" w:rsidP="0099088D">
            <w:pPr>
              <w:rPr>
                <w:color w:val="000000"/>
                <w:sz w:val="16"/>
                <w:szCs w:val="16"/>
              </w:rPr>
            </w:pPr>
            <w:r w:rsidRPr="00192507">
              <w:rPr>
                <w:color w:val="000000"/>
                <w:sz w:val="16"/>
                <w:szCs w:val="16"/>
              </w:rPr>
              <w:t>воздушные линии на железобетонных опорах изолированным алюминиевым проводом сечением до 50 квадратных мм включительно двухцепные</w:t>
            </w:r>
          </w:p>
        </w:tc>
        <w:tc>
          <w:tcPr>
            <w:tcW w:w="696" w:type="pct"/>
            <w:vMerge w:val="restart"/>
            <w:shd w:val="clear" w:color="auto" w:fill="auto"/>
            <w:vAlign w:val="center"/>
            <w:hideMark/>
          </w:tcPr>
          <w:p w14:paraId="262A37ED" w14:textId="77777777" w:rsidR="008F3544" w:rsidRPr="00192507" w:rsidRDefault="008F3544" w:rsidP="0099088D">
            <w:pPr>
              <w:jc w:val="center"/>
              <w:rPr>
                <w:color w:val="000000"/>
                <w:sz w:val="16"/>
                <w:szCs w:val="16"/>
              </w:rPr>
            </w:pPr>
            <w:r w:rsidRPr="00192507">
              <w:rPr>
                <w:color w:val="000000"/>
                <w:sz w:val="16"/>
                <w:szCs w:val="16"/>
              </w:rPr>
              <w:t>рублей/км</w:t>
            </w:r>
          </w:p>
        </w:tc>
        <w:tc>
          <w:tcPr>
            <w:tcW w:w="602" w:type="pct"/>
            <w:shd w:val="clear" w:color="auto" w:fill="auto"/>
            <w:noWrap/>
            <w:vAlign w:val="center"/>
            <w:hideMark/>
          </w:tcPr>
          <w:p w14:paraId="3CB04216" w14:textId="77777777" w:rsidR="008F3544" w:rsidRPr="00192507" w:rsidRDefault="008F3544" w:rsidP="0099088D">
            <w:pPr>
              <w:jc w:val="center"/>
              <w:rPr>
                <w:color w:val="000000"/>
                <w:sz w:val="16"/>
                <w:szCs w:val="16"/>
              </w:rPr>
            </w:pPr>
            <w:r w:rsidRPr="00192507">
              <w:rPr>
                <w:color w:val="000000"/>
                <w:sz w:val="16"/>
                <w:szCs w:val="16"/>
              </w:rPr>
              <w:t>1 595 158,99</w:t>
            </w:r>
          </w:p>
        </w:tc>
        <w:tc>
          <w:tcPr>
            <w:tcW w:w="603" w:type="pct"/>
            <w:shd w:val="clear" w:color="auto" w:fill="auto"/>
            <w:noWrap/>
            <w:vAlign w:val="center"/>
            <w:hideMark/>
          </w:tcPr>
          <w:p w14:paraId="50E4084E" w14:textId="77777777" w:rsidR="008F3544" w:rsidRPr="00192507" w:rsidRDefault="008F3544" w:rsidP="0099088D">
            <w:pPr>
              <w:jc w:val="center"/>
              <w:rPr>
                <w:color w:val="000000"/>
                <w:sz w:val="16"/>
                <w:szCs w:val="16"/>
              </w:rPr>
            </w:pPr>
            <w:r w:rsidRPr="00192507">
              <w:rPr>
                <w:color w:val="000000"/>
                <w:sz w:val="16"/>
                <w:szCs w:val="16"/>
              </w:rPr>
              <w:t>1 278 876,19</w:t>
            </w:r>
          </w:p>
        </w:tc>
      </w:tr>
      <w:tr w:rsidR="008F3544" w:rsidRPr="00192507" w14:paraId="4FBB539A" w14:textId="77777777" w:rsidTr="0099088D">
        <w:trPr>
          <w:trHeight w:val="457"/>
        </w:trPr>
        <w:tc>
          <w:tcPr>
            <w:tcW w:w="672" w:type="pct"/>
            <w:vMerge/>
            <w:shd w:val="clear" w:color="auto" w:fill="auto"/>
            <w:vAlign w:val="center"/>
            <w:hideMark/>
          </w:tcPr>
          <w:p w14:paraId="6AFEEA71" w14:textId="77777777" w:rsidR="008F3544" w:rsidRPr="00192507" w:rsidRDefault="008F3544" w:rsidP="0099088D">
            <w:pPr>
              <w:rPr>
                <w:color w:val="000000"/>
                <w:sz w:val="16"/>
                <w:szCs w:val="16"/>
              </w:rPr>
            </w:pPr>
          </w:p>
        </w:tc>
        <w:tc>
          <w:tcPr>
            <w:tcW w:w="902" w:type="pct"/>
            <w:shd w:val="clear" w:color="auto" w:fill="auto"/>
            <w:vAlign w:val="center"/>
            <w:hideMark/>
          </w:tcPr>
          <w:p w14:paraId="5074E317" w14:textId="77777777" w:rsidR="008F3544" w:rsidRPr="0003423F"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2.3.1.4.1.2.</m:t>
                    </m:r>
                  </m:sub>
                  <m:sup>
                    <m:r>
                      <m:rPr>
                        <m:nor/>
                      </m:rPr>
                      <w:rPr>
                        <w:color w:val="000000"/>
                      </w:rPr>
                      <m:t>1-20 кВ</m:t>
                    </m:r>
                  </m:sup>
                </m:sSubSup>
              </m:oMath>
            </m:oMathPara>
          </w:p>
        </w:tc>
        <w:tc>
          <w:tcPr>
            <w:tcW w:w="1525" w:type="pct"/>
            <w:vMerge/>
            <w:shd w:val="clear" w:color="auto" w:fill="auto"/>
            <w:vAlign w:val="center"/>
            <w:hideMark/>
          </w:tcPr>
          <w:p w14:paraId="2F38D4E1" w14:textId="77777777" w:rsidR="008F3544" w:rsidRPr="00192507" w:rsidRDefault="008F3544" w:rsidP="0099088D">
            <w:pPr>
              <w:rPr>
                <w:color w:val="000000"/>
                <w:sz w:val="16"/>
                <w:szCs w:val="16"/>
              </w:rPr>
            </w:pPr>
          </w:p>
        </w:tc>
        <w:tc>
          <w:tcPr>
            <w:tcW w:w="696" w:type="pct"/>
            <w:vMerge/>
            <w:shd w:val="clear" w:color="auto" w:fill="auto"/>
            <w:vAlign w:val="center"/>
            <w:hideMark/>
          </w:tcPr>
          <w:p w14:paraId="324B8851" w14:textId="77777777" w:rsidR="008F3544" w:rsidRPr="00192507" w:rsidRDefault="008F3544" w:rsidP="0099088D">
            <w:pPr>
              <w:rPr>
                <w:color w:val="000000"/>
                <w:sz w:val="16"/>
                <w:szCs w:val="16"/>
              </w:rPr>
            </w:pPr>
          </w:p>
        </w:tc>
        <w:tc>
          <w:tcPr>
            <w:tcW w:w="602" w:type="pct"/>
            <w:shd w:val="clear" w:color="auto" w:fill="auto"/>
            <w:noWrap/>
            <w:vAlign w:val="center"/>
            <w:hideMark/>
          </w:tcPr>
          <w:p w14:paraId="16B95755" w14:textId="77777777" w:rsidR="008F3544" w:rsidRPr="00192507" w:rsidRDefault="008F3544" w:rsidP="0099088D">
            <w:pPr>
              <w:jc w:val="center"/>
              <w:rPr>
                <w:color w:val="000000"/>
                <w:sz w:val="16"/>
                <w:szCs w:val="16"/>
              </w:rPr>
            </w:pPr>
            <w:r w:rsidRPr="00192507">
              <w:rPr>
                <w:color w:val="000000"/>
                <w:sz w:val="16"/>
                <w:szCs w:val="16"/>
              </w:rPr>
              <w:t>2 160 378,94</w:t>
            </w:r>
          </w:p>
        </w:tc>
        <w:tc>
          <w:tcPr>
            <w:tcW w:w="603" w:type="pct"/>
            <w:shd w:val="clear" w:color="auto" w:fill="auto"/>
            <w:noWrap/>
            <w:vAlign w:val="center"/>
            <w:hideMark/>
          </w:tcPr>
          <w:p w14:paraId="5F580B6E" w14:textId="77777777" w:rsidR="008F3544" w:rsidRPr="00192507" w:rsidRDefault="008F3544" w:rsidP="0099088D">
            <w:pPr>
              <w:jc w:val="center"/>
              <w:rPr>
                <w:color w:val="000000"/>
                <w:sz w:val="16"/>
                <w:szCs w:val="16"/>
              </w:rPr>
            </w:pPr>
            <w:r>
              <w:rPr>
                <w:color w:val="000000"/>
                <w:sz w:val="16"/>
                <w:szCs w:val="16"/>
              </w:rPr>
              <w:t>-</w:t>
            </w:r>
          </w:p>
        </w:tc>
      </w:tr>
      <w:tr w:rsidR="008F3544" w:rsidRPr="00192507" w14:paraId="3DFE9674" w14:textId="77777777" w:rsidTr="0099088D">
        <w:trPr>
          <w:trHeight w:val="455"/>
        </w:trPr>
        <w:tc>
          <w:tcPr>
            <w:tcW w:w="672" w:type="pct"/>
            <w:vMerge w:val="restart"/>
            <w:shd w:val="clear" w:color="auto" w:fill="auto"/>
            <w:vAlign w:val="center"/>
            <w:hideMark/>
          </w:tcPr>
          <w:p w14:paraId="60831036" w14:textId="77777777" w:rsidR="008F3544" w:rsidRPr="00192507" w:rsidRDefault="008F3544" w:rsidP="0099088D">
            <w:pPr>
              <w:jc w:val="center"/>
              <w:rPr>
                <w:color w:val="000000"/>
                <w:sz w:val="16"/>
                <w:szCs w:val="16"/>
              </w:rPr>
            </w:pPr>
            <w:r w:rsidRPr="00192507">
              <w:rPr>
                <w:color w:val="000000"/>
                <w:sz w:val="16"/>
                <w:szCs w:val="16"/>
              </w:rPr>
              <w:t>2.3.1.4.2.1.</w:t>
            </w:r>
          </w:p>
        </w:tc>
        <w:tc>
          <w:tcPr>
            <w:tcW w:w="902" w:type="pct"/>
            <w:shd w:val="clear" w:color="auto" w:fill="auto"/>
            <w:vAlign w:val="center"/>
            <w:hideMark/>
          </w:tcPr>
          <w:p w14:paraId="1F11DC95" w14:textId="77777777" w:rsidR="008F3544" w:rsidRPr="0003423F"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2.3.1.4.2.1.</m:t>
                    </m:r>
                  </m:sub>
                  <m:sup>
                    <m:r>
                      <m:rPr>
                        <m:nor/>
                      </m:rPr>
                      <w:rPr>
                        <w:color w:val="000000"/>
                      </w:rPr>
                      <m:t>0,4 кВ и ниже</m:t>
                    </m:r>
                  </m:sup>
                </m:sSubSup>
              </m:oMath>
            </m:oMathPara>
          </w:p>
        </w:tc>
        <w:tc>
          <w:tcPr>
            <w:tcW w:w="1525" w:type="pct"/>
            <w:vMerge w:val="restart"/>
            <w:shd w:val="clear" w:color="auto" w:fill="auto"/>
            <w:vAlign w:val="center"/>
            <w:hideMark/>
          </w:tcPr>
          <w:p w14:paraId="0B48085D" w14:textId="77777777" w:rsidR="008F3544" w:rsidRPr="00192507" w:rsidRDefault="008F3544" w:rsidP="0099088D">
            <w:pPr>
              <w:rPr>
                <w:color w:val="000000"/>
                <w:sz w:val="16"/>
                <w:szCs w:val="16"/>
              </w:rPr>
            </w:pPr>
            <w:r w:rsidRPr="00192507">
              <w:rPr>
                <w:color w:val="000000"/>
                <w:sz w:val="16"/>
                <w:szCs w:val="16"/>
              </w:rPr>
              <w:t>воздушные линии на железобетонных опорах изолированным алюминиевым проводом сечением от 50 до 100 квадратных мм включительно одноцепные</w:t>
            </w:r>
          </w:p>
        </w:tc>
        <w:tc>
          <w:tcPr>
            <w:tcW w:w="696" w:type="pct"/>
            <w:vMerge w:val="restart"/>
            <w:shd w:val="clear" w:color="auto" w:fill="auto"/>
            <w:vAlign w:val="center"/>
            <w:hideMark/>
          </w:tcPr>
          <w:p w14:paraId="65758F28" w14:textId="77777777" w:rsidR="008F3544" w:rsidRPr="00192507" w:rsidRDefault="008F3544" w:rsidP="0099088D">
            <w:pPr>
              <w:jc w:val="center"/>
              <w:rPr>
                <w:color w:val="000000"/>
                <w:sz w:val="16"/>
                <w:szCs w:val="16"/>
              </w:rPr>
            </w:pPr>
            <w:r w:rsidRPr="00192507">
              <w:rPr>
                <w:color w:val="000000"/>
                <w:sz w:val="16"/>
                <w:szCs w:val="16"/>
              </w:rPr>
              <w:t>рублей/км</w:t>
            </w:r>
          </w:p>
        </w:tc>
        <w:tc>
          <w:tcPr>
            <w:tcW w:w="602" w:type="pct"/>
            <w:shd w:val="clear" w:color="auto" w:fill="auto"/>
            <w:noWrap/>
            <w:vAlign w:val="center"/>
            <w:hideMark/>
          </w:tcPr>
          <w:p w14:paraId="6A01D449" w14:textId="77777777" w:rsidR="008F3544" w:rsidRPr="00192507" w:rsidRDefault="008F3544" w:rsidP="0099088D">
            <w:pPr>
              <w:jc w:val="center"/>
              <w:rPr>
                <w:color w:val="000000"/>
                <w:sz w:val="16"/>
                <w:szCs w:val="16"/>
              </w:rPr>
            </w:pPr>
            <w:r w:rsidRPr="00192507">
              <w:rPr>
                <w:color w:val="000000"/>
                <w:sz w:val="16"/>
                <w:szCs w:val="16"/>
              </w:rPr>
              <w:t>1 449 717,96</w:t>
            </w:r>
          </w:p>
        </w:tc>
        <w:tc>
          <w:tcPr>
            <w:tcW w:w="603" w:type="pct"/>
            <w:shd w:val="clear" w:color="auto" w:fill="auto"/>
            <w:noWrap/>
            <w:vAlign w:val="center"/>
            <w:hideMark/>
          </w:tcPr>
          <w:p w14:paraId="6339DDCB" w14:textId="77777777" w:rsidR="008F3544" w:rsidRPr="00192507" w:rsidRDefault="008F3544" w:rsidP="0099088D">
            <w:pPr>
              <w:jc w:val="center"/>
              <w:rPr>
                <w:color w:val="000000"/>
                <w:sz w:val="16"/>
                <w:szCs w:val="16"/>
              </w:rPr>
            </w:pPr>
            <w:r w:rsidRPr="00192507">
              <w:rPr>
                <w:color w:val="000000"/>
                <w:sz w:val="16"/>
                <w:szCs w:val="16"/>
              </w:rPr>
              <w:t>1 427 806,26</w:t>
            </w:r>
          </w:p>
        </w:tc>
      </w:tr>
      <w:tr w:rsidR="008F3544" w:rsidRPr="00192507" w14:paraId="28CE1594" w14:textId="77777777" w:rsidTr="0099088D">
        <w:trPr>
          <w:trHeight w:val="455"/>
        </w:trPr>
        <w:tc>
          <w:tcPr>
            <w:tcW w:w="672" w:type="pct"/>
            <w:vMerge/>
            <w:shd w:val="clear" w:color="auto" w:fill="auto"/>
            <w:vAlign w:val="center"/>
            <w:hideMark/>
          </w:tcPr>
          <w:p w14:paraId="6ADEB495" w14:textId="77777777" w:rsidR="008F3544" w:rsidRPr="00192507" w:rsidRDefault="008F3544" w:rsidP="0099088D">
            <w:pPr>
              <w:rPr>
                <w:color w:val="000000"/>
                <w:sz w:val="16"/>
                <w:szCs w:val="16"/>
              </w:rPr>
            </w:pPr>
          </w:p>
        </w:tc>
        <w:tc>
          <w:tcPr>
            <w:tcW w:w="902" w:type="pct"/>
            <w:shd w:val="clear" w:color="auto" w:fill="auto"/>
            <w:vAlign w:val="center"/>
            <w:hideMark/>
          </w:tcPr>
          <w:p w14:paraId="7CC2AD2A" w14:textId="77777777" w:rsidR="008F3544" w:rsidRPr="0003423F"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2.3.1.4.2.1.</m:t>
                    </m:r>
                  </m:sub>
                  <m:sup>
                    <m:r>
                      <m:rPr>
                        <m:nor/>
                      </m:rPr>
                      <w:rPr>
                        <w:color w:val="000000"/>
                      </w:rPr>
                      <m:t>1-20 кВ</m:t>
                    </m:r>
                  </m:sup>
                </m:sSubSup>
              </m:oMath>
            </m:oMathPara>
          </w:p>
        </w:tc>
        <w:tc>
          <w:tcPr>
            <w:tcW w:w="1525" w:type="pct"/>
            <w:vMerge/>
            <w:shd w:val="clear" w:color="auto" w:fill="auto"/>
            <w:vAlign w:val="center"/>
            <w:hideMark/>
          </w:tcPr>
          <w:p w14:paraId="537A19F8" w14:textId="77777777" w:rsidR="008F3544" w:rsidRPr="00192507" w:rsidRDefault="008F3544" w:rsidP="0099088D">
            <w:pPr>
              <w:rPr>
                <w:color w:val="000000"/>
                <w:sz w:val="16"/>
                <w:szCs w:val="16"/>
              </w:rPr>
            </w:pPr>
          </w:p>
        </w:tc>
        <w:tc>
          <w:tcPr>
            <w:tcW w:w="696" w:type="pct"/>
            <w:vMerge/>
            <w:shd w:val="clear" w:color="auto" w:fill="auto"/>
            <w:vAlign w:val="center"/>
            <w:hideMark/>
          </w:tcPr>
          <w:p w14:paraId="0E4326B9" w14:textId="77777777" w:rsidR="008F3544" w:rsidRPr="00192507" w:rsidRDefault="008F3544" w:rsidP="0099088D">
            <w:pPr>
              <w:rPr>
                <w:color w:val="000000"/>
                <w:sz w:val="16"/>
                <w:szCs w:val="16"/>
              </w:rPr>
            </w:pPr>
          </w:p>
        </w:tc>
        <w:tc>
          <w:tcPr>
            <w:tcW w:w="602" w:type="pct"/>
            <w:shd w:val="clear" w:color="auto" w:fill="auto"/>
            <w:noWrap/>
            <w:vAlign w:val="center"/>
            <w:hideMark/>
          </w:tcPr>
          <w:p w14:paraId="413142B3" w14:textId="77777777" w:rsidR="008F3544" w:rsidRPr="00192507" w:rsidRDefault="008F3544" w:rsidP="0099088D">
            <w:pPr>
              <w:jc w:val="center"/>
              <w:rPr>
                <w:color w:val="000000"/>
                <w:sz w:val="16"/>
                <w:szCs w:val="16"/>
              </w:rPr>
            </w:pPr>
            <w:r w:rsidRPr="00192507">
              <w:rPr>
                <w:color w:val="000000"/>
                <w:sz w:val="16"/>
                <w:szCs w:val="16"/>
              </w:rPr>
              <w:t>1 981 746,16</w:t>
            </w:r>
          </w:p>
        </w:tc>
        <w:tc>
          <w:tcPr>
            <w:tcW w:w="603" w:type="pct"/>
            <w:shd w:val="clear" w:color="auto" w:fill="auto"/>
            <w:noWrap/>
            <w:vAlign w:val="center"/>
            <w:hideMark/>
          </w:tcPr>
          <w:p w14:paraId="19D8AF69" w14:textId="77777777" w:rsidR="008F3544" w:rsidRPr="00192507" w:rsidRDefault="008F3544" w:rsidP="0099088D">
            <w:pPr>
              <w:jc w:val="center"/>
              <w:rPr>
                <w:color w:val="000000"/>
                <w:sz w:val="16"/>
                <w:szCs w:val="16"/>
              </w:rPr>
            </w:pPr>
            <w:r w:rsidRPr="00192507">
              <w:rPr>
                <w:color w:val="000000"/>
                <w:sz w:val="16"/>
                <w:szCs w:val="16"/>
              </w:rPr>
              <w:t>1 976 246,51</w:t>
            </w:r>
          </w:p>
        </w:tc>
      </w:tr>
      <w:tr w:rsidR="008F3544" w:rsidRPr="00192507" w14:paraId="675DA130" w14:textId="77777777" w:rsidTr="0099088D">
        <w:trPr>
          <w:trHeight w:val="501"/>
        </w:trPr>
        <w:tc>
          <w:tcPr>
            <w:tcW w:w="672" w:type="pct"/>
            <w:vMerge w:val="restart"/>
            <w:shd w:val="clear" w:color="auto" w:fill="auto"/>
            <w:vAlign w:val="center"/>
            <w:hideMark/>
          </w:tcPr>
          <w:p w14:paraId="051E9EB8" w14:textId="77777777" w:rsidR="008F3544" w:rsidRPr="00192507" w:rsidRDefault="008F3544" w:rsidP="0099088D">
            <w:pPr>
              <w:jc w:val="center"/>
              <w:rPr>
                <w:color w:val="000000"/>
                <w:sz w:val="16"/>
                <w:szCs w:val="16"/>
              </w:rPr>
            </w:pPr>
            <w:r w:rsidRPr="00192507">
              <w:rPr>
                <w:color w:val="000000"/>
                <w:sz w:val="16"/>
                <w:szCs w:val="16"/>
              </w:rPr>
              <w:t>2.3.1.4.2.2.</w:t>
            </w:r>
          </w:p>
        </w:tc>
        <w:tc>
          <w:tcPr>
            <w:tcW w:w="902" w:type="pct"/>
            <w:shd w:val="clear" w:color="auto" w:fill="auto"/>
            <w:vAlign w:val="center"/>
            <w:hideMark/>
          </w:tcPr>
          <w:p w14:paraId="02BBA50E" w14:textId="77777777" w:rsidR="008F3544" w:rsidRPr="0030737B"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2.3.1.4.2.2.</m:t>
                    </m:r>
                  </m:sub>
                  <m:sup>
                    <m:r>
                      <m:rPr>
                        <m:nor/>
                      </m:rPr>
                      <w:rPr>
                        <w:color w:val="000000"/>
                      </w:rPr>
                      <m:t>0,4 кВ и ниже</m:t>
                    </m:r>
                  </m:sup>
                </m:sSubSup>
              </m:oMath>
            </m:oMathPara>
          </w:p>
        </w:tc>
        <w:tc>
          <w:tcPr>
            <w:tcW w:w="1525" w:type="pct"/>
            <w:vMerge w:val="restart"/>
            <w:shd w:val="clear" w:color="auto" w:fill="auto"/>
            <w:vAlign w:val="center"/>
            <w:hideMark/>
          </w:tcPr>
          <w:p w14:paraId="73B7C401" w14:textId="77777777" w:rsidR="008F3544" w:rsidRPr="00192507" w:rsidRDefault="008F3544" w:rsidP="0099088D">
            <w:pPr>
              <w:rPr>
                <w:color w:val="000000"/>
                <w:sz w:val="16"/>
                <w:szCs w:val="16"/>
              </w:rPr>
            </w:pPr>
            <w:r w:rsidRPr="00192507">
              <w:rPr>
                <w:color w:val="000000"/>
                <w:sz w:val="16"/>
                <w:szCs w:val="16"/>
              </w:rPr>
              <w:t>воздушные линии на железобетонных опорах изолированным алюминиевым проводом сечением от 50 до 100 квадратных мм включительно двухцепные</w:t>
            </w:r>
          </w:p>
        </w:tc>
        <w:tc>
          <w:tcPr>
            <w:tcW w:w="696" w:type="pct"/>
            <w:vMerge w:val="restart"/>
            <w:shd w:val="clear" w:color="auto" w:fill="auto"/>
            <w:vAlign w:val="center"/>
            <w:hideMark/>
          </w:tcPr>
          <w:p w14:paraId="6BE743DD" w14:textId="77777777" w:rsidR="008F3544" w:rsidRPr="00192507" w:rsidRDefault="008F3544" w:rsidP="0099088D">
            <w:pPr>
              <w:jc w:val="center"/>
              <w:rPr>
                <w:color w:val="000000"/>
                <w:sz w:val="16"/>
                <w:szCs w:val="16"/>
              </w:rPr>
            </w:pPr>
            <w:r w:rsidRPr="00192507">
              <w:rPr>
                <w:color w:val="000000"/>
                <w:sz w:val="16"/>
                <w:szCs w:val="16"/>
              </w:rPr>
              <w:t>рублей/км</w:t>
            </w:r>
          </w:p>
        </w:tc>
        <w:tc>
          <w:tcPr>
            <w:tcW w:w="602" w:type="pct"/>
            <w:shd w:val="clear" w:color="auto" w:fill="auto"/>
            <w:noWrap/>
            <w:vAlign w:val="center"/>
            <w:hideMark/>
          </w:tcPr>
          <w:p w14:paraId="22235C9D" w14:textId="77777777" w:rsidR="008F3544" w:rsidRPr="00192507" w:rsidRDefault="008F3544" w:rsidP="0099088D">
            <w:pPr>
              <w:jc w:val="center"/>
              <w:rPr>
                <w:color w:val="000000"/>
                <w:sz w:val="16"/>
                <w:szCs w:val="16"/>
              </w:rPr>
            </w:pPr>
            <w:r w:rsidRPr="00192507">
              <w:rPr>
                <w:color w:val="000000"/>
                <w:sz w:val="16"/>
                <w:szCs w:val="16"/>
              </w:rPr>
              <w:t>2 036 125,60</w:t>
            </w:r>
          </w:p>
        </w:tc>
        <w:tc>
          <w:tcPr>
            <w:tcW w:w="603" w:type="pct"/>
            <w:shd w:val="clear" w:color="auto" w:fill="auto"/>
            <w:noWrap/>
            <w:vAlign w:val="center"/>
            <w:hideMark/>
          </w:tcPr>
          <w:p w14:paraId="41A4B918" w14:textId="77777777" w:rsidR="008F3544" w:rsidRPr="00192507" w:rsidRDefault="008F3544" w:rsidP="0099088D">
            <w:pPr>
              <w:jc w:val="center"/>
              <w:rPr>
                <w:color w:val="000000"/>
                <w:sz w:val="16"/>
                <w:szCs w:val="16"/>
              </w:rPr>
            </w:pPr>
            <w:r w:rsidRPr="00192507">
              <w:rPr>
                <w:color w:val="000000"/>
                <w:sz w:val="16"/>
                <w:szCs w:val="16"/>
              </w:rPr>
              <w:t>2 018 288,58</w:t>
            </w:r>
          </w:p>
        </w:tc>
      </w:tr>
      <w:tr w:rsidR="008F3544" w:rsidRPr="00192507" w14:paraId="7D9FA2AB" w14:textId="77777777" w:rsidTr="0099088D">
        <w:trPr>
          <w:trHeight w:val="423"/>
        </w:trPr>
        <w:tc>
          <w:tcPr>
            <w:tcW w:w="672" w:type="pct"/>
            <w:vMerge/>
            <w:shd w:val="clear" w:color="auto" w:fill="auto"/>
            <w:vAlign w:val="center"/>
            <w:hideMark/>
          </w:tcPr>
          <w:p w14:paraId="0DFD959E" w14:textId="77777777" w:rsidR="008F3544" w:rsidRPr="00192507" w:rsidRDefault="008F3544" w:rsidP="0099088D">
            <w:pPr>
              <w:rPr>
                <w:color w:val="000000"/>
                <w:sz w:val="16"/>
                <w:szCs w:val="16"/>
              </w:rPr>
            </w:pPr>
          </w:p>
        </w:tc>
        <w:tc>
          <w:tcPr>
            <w:tcW w:w="902" w:type="pct"/>
            <w:shd w:val="clear" w:color="auto" w:fill="auto"/>
            <w:vAlign w:val="center"/>
            <w:hideMark/>
          </w:tcPr>
          <w:p w14:paraId="54618672" w14:textId="77777777" w:rsidR="008F3544" w:rsidRPr="0030737B"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2.3.1.4.2.2.</m:t>
                    </m:r>
                  </m:sub>
                  <m:sup>
                    <m:r>
                      <m:rPr>
                        <m:nor/>
                      </m:rPr>
                      <w:rPr>
                        <w:color w:val="000000"/>
                      </w:rPr>
                      <m:t>1-20 кВ</m:t>
                    </m:r>
                  </m:sup>
                </m:sSubSup>
              </m:oMath>
            </m:oMathPara>
          </w:p>
        </w:tc>
        <w:tc>
          <w:tcPr>
            <w:tcW w:w="1525" w:type="pct"/>
            <w:vMerge/>
            <w:shd w:val="clear" w:color="auto" w:fill="auto"/>
            <w:vAlign w:val="center"/>
            <w:hideMark/>
          </w:tcPr>
          <w:p w14:paraId="3C6F9829" w14:textId="77777777" w:rsidR="008F3544" w:rsidRPr="00192507" w:rsidRDefault="008F3544" w:rsidP="0099088D">
            <w:pPr>
              <w:rPr>
                <w:color w:val="000000"/>
                <w:sz w:val="16"/>
                <w:szCs w:val="16"/>
              </w:rPr>
            </w:pPr>
          </w:p>
        </w:tc>
        <w:tc>
          <w:tcPr>
            <w:tcW w:w="696" w:type="pct"/>
            <w:vMerge/>
            <w:shd w:val="clear" w:color="auto" w:fill="auto"/>
            <w:vAlign w:val="center"/>
            <w:hideMark/>
          </w:tcPr>
          <w:p w14:paraId="202D2115" w14:textId="77777777" w:rsidR="008F3544" w:rsidRPr="00192507" w:rsidRDefault="008F3544" w:rsidP="0099088D">
            <w:pPr>
              <w:rPr>
                <w:color w:val="000000"/>
                <w:sz w:val="16"/>
                <w:szCs w:val="16"/>
              </w:rPr>
            </w:pPr>
          </w:p>
        </w:tc>
        <w:tc>
          <w:tcPr>
            <w:tcW w:w="602" w:type="pct"/>
            <w:shd w:val="clear" w:color="auto" w:fill="auto"/>
            <w:noWrap/>
            <w:vAlign w:val="center"/>
            <w:hideMark/>
          </w:tcPr>
          <w:p w14:paraId="7E5AE157" w14:textId="77777777" w:rsidR="008F3544" w:rsidRPr="00192507" w:rsidRDefault="008F3544" w:rsidP="0099088D">
            <w:pPr>
              <w:jc w:val="center"/>
              <w:rPr>
                <w:color w:val="000000"/>
                <w:sz w:val="16"/>
                <w:szCs w:val="16"/>
              </w:rPr>
            </w:pPr>
            <w:r w:rsidRPr="00192507">
              <w:rPr>
                <w:color w:val="000000"/>
                <w:sz w:val="16"/>
                <w:szCs w:val="16"/>
              </w:rPr>
              <w:t>2 747 647,63</w:t>
            </w:r>
          </w:p>
        </w:tc>
        <w:tc>
          <w:tcPr>
            <w:tcW w:w="603" w:type="pct"/>
            <w:shd w:val="clear" w:color="auto" w:fill="auto"/>
            <w:noWrap/>
            <w:vAlign w:val="center"/>
            <w:hideMark/>
          </w:tcPr>
          <w:p w14:paraId="7F83C814" w14:textId="77777777" w:rsidR="008F3544" w:rsidRPr="00192507" w:rsidRDefault="008F3544" w:rsidP="0099088D">
            <w:pPr>
              <w:jc w:val="center"/>
              <w:rPr>
                <w:color w:val="000000"/>
                <w:sz w:val="16"/>
                <w:szCs w:val="16"/>
              </w:rPr>
            </w:pPr>
            <w:r w:rsidRPr="00192507">
              <w:rPr>
                <w:color w:val="000000"/>
                <w:sz w:val="16"/>
                <w:szCs w:val="16"/>
              </w:rPr>
              <w:t>2 290 140,83</w:t>
            </w:r>
          </w:p>
        </w:tc>
      </w:tr>
      <w:tr w:rsidR="008F3544" w:rsidRPr="00192507" w14:paraId="66E79199" w14:textId="77777777" w:rsidTr="0099088D">
        <w:trPr>
          <w:trHeight w:val="415"/>
        </w:trPr>
        <w:tc>
          <w:tcPr>
            <w:tcW w:w="672" w:type="pct"/>
            <w:vMerge/>
            <w:shd w:val="clear" w:color="auto" w:fill="auto"/>
            <w:vAlign w:val="center"/>
            <w:hideMark/>
          </w:tcPr>
          <w:p w14:paraId="7030809D" w14:textId="77777777" w:rsidR="008F3544" w:rsidRPr="00192507" w:rsidRDefault="008F3544" w:rsidP="0099088D">
            <w:pPr>
              <w:rPr>
                <w:color w:val="000000"/>
                <w:sz w:val="16"/>
                <w:szCs w:val="16"/>
              </w:rPr>
            </w:pPr>
          </w:p>
        </w:tc>
        <w:tc>
          <w:tcPr>
            <w:tcW w:w="902" w:type="pct"/>
            <w:shd w:val="clear" w:color="auto" w:fill="auto"/>
            <w:vAlign w:val="center"/>
            <w:hideMark/>
          </w:tcPr>
          <w:p w14:paraId="0FC3090A" w14:textId="77777777" w:rsidR="008F3544" w:rsidRPr="00C3420A"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2.3.1.4.2.2.</m:t>
                    </m:r>
                  </m:sub>
                  <m:sup>
                    <m:r>
                      <m:rPr>
                        <m:nor/>
                      </m:rPr>
                      <w:rPr>
                        <w:color w:val="000000"/>
                      </w:rPr>
                      <m:t>27,5-60 кВ</m:t>
                    </m:r>
                  </m:sup>
                </m:sSubSup>
              </m:oMath>
            </m:oMathPara>
          </w:p>
        </w:tc>
        <w:tc>
          <w:tcPr>
            <w:tcW w:w="1525" w:type="pct"/>
            <w:vMerge/>
            <w:shd w:val="clear" w:color="auto" w:fill="auto"/>
            <w:vAlign w:val="center"/>
            <w:hideMark/>
          </w:tcPr>
          <w:p w14:paraId="483E7DCE" w14:textId="77777777" w:rsidR="008F3544" w:rsidRPr="00192507" w:rsidRDefault="008F3544" w:rsidP="0099088D">
            <w:pPr>
              <w:rPr>
                <w:color w:val="000000"/>
                <w:sz w:val="16"/>
                <w:szCs w:val="16"/>
              </w:rPr>
            </w:pPr>
          </w:p>
        </w:tc>
        <w:tc>
          <w:tcPr>
            <w:tcW w:w="696" w:type="pct"/>
            <w:vMerge/>
            <w:shd w:val="clear" w:color="auto" w:fill="auto"/>
            <w:vAlign w:val="center"/>
            <w:hideMark/>
          </w:tcPr>
          <w:p w14:paraId="206D1204" w14:textId="77777777" w:rsidR="008F3544" w:rsidRPr="00192507" w:rsidRDefault="008F3544" w:rsidP="0099088D">
            <w:pPr>
              <w:rPr>
                <w:color w:val="000000"/>
                <w:sz w:val="16"/>
                <w:szCs w:val="16"/>
              </w:rPr>
            </w:pPr>
          </w:p>
        </w:tc>
        <w:tc>
          <w:tcPr>
            <w:tcW w:w="602" w:type="pct"/>
            <w:shd w:val="clear" w:color="auto" w:fill="auto"/>
            <w:noWrap/>
            <w:vAlign w:val="center"/>
            <w:hideMark/>
          </w:tcPr>
          <w:p w14:paraId="1358F68D" w14:textId="77777777" w:rsidR="008F3544" w:rsidRPr="00192507" w:rsidRDefault="008F3544" w:rsidP="0099088D">
            <w:pPr>
              <w:jc w:val="center"/>
              <w:rPr>
                <w:color w:val="000000"/>
                <w:sz w:val="16"/>
                <w:szCs w:val="16"/>
              </w:rPr>
            </w:pPr>
            <w:r w:rsidRPr="00192507">
              <w:rPr>
                <w:color w:val="000000"/>
                <w:sz w:val="16"/>
                <w:szCs w:val="16"/>
              </w:rPr>
              <w:t>9 405 087,39</w:t>
            </w:r>
          </w:p>
        </w:tc>
        <w:tc>
          <w:tcPr>
            <w:tcW w:w="603" w:type="pct"/>
            <w:shd w:val="clear" w:color="auto" w:fill="auto"/>
            <w:noWrap/>
            <w:vAlign w:val="center"/>
            <w:hideMark/>
          </w:tcPr>
          <w:p w14:paraId="56F7438E" w14:textId="77777777" w:rsidR="008F3544" w:rsidRPr="00192507" w:rsidRDefault="008F3544" w:rsidP="0099088D">
            <w:pPr>
              <w:jc w:val="center"/>
              <w:rPr>
                <w:color w:val="000000"/>
                <w:sz w:val="16"/>
                <w:szCs w:val="16"/>
              </w:rPr>
            </w:pPr>
            <w:r>
              <w:rPr>
                <w:color w:val="000000"/>
                <w:sz w:val="16"/>
                <w:szCs w:val="16"/>
              </w:rPr>
              <w:t>-</w:t>
            </w:r>
          </w:p>
        </w:tc>
      </w:tr>
      <w:tr w:rsidR="008F3544" w:rsidRPr="00192507" w14:paraId="692F6740" w14:textId="77777777" w:rsidTr="0099088D">
        <w:trPr>
          <w:trHeight w:val="510"/>
        </w:trPr>
        <w:tc>
          <w:tcPr>
            <w:tcW w:w="672" w:type="pct"/>
            <w:vMerge w:val="restart"/>
            <w:shd w:val="clear" w:color="auto" w:fill="auto"/>
            <w:vAlign w:val="center"/>
            <w:hideMark/>
          </w:tcPr>
          <w:p w14:paraId="5CC993D1" w14:textId="77777777" w:rsidR="008F3544" w:rsidRPr="00192507" w:rsidRDefault="008F3544" w:rsidP="0099088D">
            <w:pPr>
              <w:jc w:val="center"/>
              <w:rPr>
                <w:color w:val="000000"/>
                <w:sz w:val="16"/>
                <w:szCs w:val="16"/>
              </w:rPr>
            </w:pPr>
            <w:r w:rsidRPr="00192507">
              <w:rPr>
                <w:color w:val="000000"/>
                <w:sz w:val="16"/>
                <w:szCs w:val="16"/>
              </w:rPr>
              <w:t>2.3.1.4.3.1.</w:t>
            </w:r>
          </w:p>
        </w:tc>
        <w:tc>
          <w:tcPr>
            <w:tcW w:w="902" w:type="pct"/>
            <w:shd w:val="clear" w:color="auto" w:fill="auto"/>
            <w:vAlign w:val="center"/>
            <w:hideMark/>
          </w:tcPr>
          <w:p w14:paraId="3C388EB8" w14:textId="77777777" w:rsidR="008F3544" w:rsidRPr="00022C0B"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2.3.1.4.3.1.</m:t>
                    </m:r>
                  </m:sub>
                  <m:sup>
                    <m:r>
                      <m:rPr>
                        <m:nor/>
                      </m:rPr>
                      <w:rPr>
                        <w:color w:val="000000"/>
                      </w:rPr>
                      <m:t>0,4 кВ и ниже</m:t>
                    </m:r>
                  </m:sup>
                </m:sSubSup>
              </m:oMath>
            </m:oMathPara>
          </w:p>
        </w:tc>
        <w:tc>
          <w:tcPr>
            <w:tcW w:w="1525" w:type="pct"/>
            <w:vMerge w:val="restart"/>
            <w:shd w:val="clear" w:color="auto" w:fill="auto"/>
            <w:vAlign w:val="center"/>
            <w:hideMark/>
          </w:tcPr>
          <w:p w14:paraId="60C801DB" w14:textId="77777777" w:rsidR="008F3544" w:rsidRPr="00192507" w:rsidRDefault="008F3544" w:rsidP="0099088D">
            <w:pPr>
              <w:rPr>
                <w:color w:val="000000"/>
                <w:sz w:val="16"/>
                <w:szCs w:val="16"/>
              </w:rPr>
            </w:pPr>
            <w:r w:rsidRPr="00192507">
              <w:rPr>
                <w:color w:val="000000"/>
                <w:sz w:val="16"/>
                <w:szCs w:val="16"/>
              </w:rPr>
              <w:t>воздушные линии на железобетонных опорах изолированным алюминиевым проводом сечением от 100 до 200 квадратных мм включительно одноцепные</w:t>
            </w:r>
          </w:p>
        </w:tc>
        <w:tc>
          <w:tcPr>
            <w:tcW w:w="696" w:type="pct"/>
            <w:vMerge w:val="restart"/>
            <w:shd w:val="clear" w:color="auto" w:fill="auto"/>
            <w:vAlign w:val="center"/>
            <w:hideMark/>
          </w:tcPr>
          <w:p w14:paraId="73FC26AA" w14:textId="77777777" w:rsidR="008F3544" w:rsidRPr="00192507" w:rsidRDefault="008F3544" w:rsidP="0099088D">
            <w:pPr>
              <w:jc w:val="center"/>
              <w:rPr>
                <w:color w:val="000000"/>
                <w:sz w:val="16"/>
                <w:szCs w:val="16"/>
              </w:rPr>
            </w:pPr>
            <w:r w:rsidRPr="00192507">
              <w:rPr>
                <w:color w:val="000000"/>
                <w:sz w:val="16"/>
                <w:szCs w:val="16"/>
              </w:rPr>
              <w:t>рублей/км</w:t>
            </w:r>
          </w:p>
        </w:tc>
        <w:tc>
          <w:tcPr>
            <w:tcW w:w="602" w:type="pct"/>
            <w:shd w:val="clear" w:color="auto" w:fill="auto"/>
            <w:noWrap/>
            <w:vAlign w:val="center"/>
            <w:hideMark/>
          </w:tcPr>
          <w:p w14:paraId="2B644E7B" w14:textId="77777777" w:rsidR="008F3544" w:rsidRPr="00192507" w:rsidRDefault="008F3544" w:rsidP="0099088D">
            <w:pPr>
              <w:jc w:val="center"/>
              <w:rPr>
                <w:color w:val="000000"/>
                <w:sz w:val="16"/>
                <w:szCs w:val="16"/>
              </w:rPr>
            </w:pPr>
            <w:r w:rsidRPr="00192507">
              <w:rPr>
                <w:color w:val="000000"/>
                <w:sz w:val="16"/>
                <w:szCs w:val="16"/>
              </w:rPr>
              <w:t>1 730 920,79</w:t>
            </w:r>
          </w:p>
        </w:tc>
        <w:tc>
          <w:tcPr>
            <w:tcW w:w="603" w:type="pct"/>
            <w:shd w:val="clear" w:color="auto" w:fill="auto"/>
            <w:noWrap/>
            <w:vAlign w:val="center"/>
            <w:hideMark/>
          </w:tcPr>
          <w:p w14:paraId="42238EF0" w14:textId="77777777" w:rsidR="008F3544" w:rsidRPr="00192507" w:rsidRDefault="008F3544" w:rsidP="0099088D">
            <w:pPr>
              <w:jc w:val="center"/>
              <w:rPr>
                <w:color w:val="000000"/>
                <w:sz w:val="16"/>
                <w:szCs w:val="16"/>
              </w:rPr>
            </w:pPr>
            <w:r w:rsidRPr="00192507">
              <w:rPr>
                <w:color w:val="000000"/>
                <w:sz w:val="16"/>
                <w:szCs w:val="16"/>
              </w:rPr>
              <w:t>1 490 465,79</w:t>
            </w:r>
          </w:p>
        </w:tc>
      </w:tr>
      <w:tr w:rsidR="008F3544" w:rsidRPr="00192507" w14:paraId="1F4DD0C0" w14:textId="77777777" w:rsidTr="0099088D">
        <w:trPr>
          <w:trHeight w:val="510"/>
        </w:trPr>
        <w:tc>
          <w:tcPr>
            <w:tcW w:w="672" w:type="pct"/>
            <w:vMerge/>
            <w:shd w:val="clear" w:color="auto" w:fill="auto"/>
            <w:vAlign w:val="center"/>
            <w:hideMark/>
          </w:tcPr>
          <w:p w14:paraId="5A98E8D3" w14:textId="77777777" w:rsidR="008F3544" w:rsidRPr="00192507" w:rsidRDefault="008F3544" w:rsidP="0099088D">
            <w:pPr>
              <w:rPr>
                <w:color w:val="000000"/>
                <w:sz w:val="16"/>
                <w:szCs w:val="16"/>
              </w:rPr>
            </w:pPr>
          </w:p>
        </w:tc>
        <w:tc>
          <w:tcPr>
            <w:tcW w:w="902" w:type="pct"/>
            <w:shd w:val="clear" w:color="auto" w:fill="auto"/>
            <w:vAlign w:val="center"/>
            <w:hideMark/>
          </w:tcPr>
          <w:p w14:paraId="3728DA0B" w14:textId="77777777" w:rsidR="008F3544" w:rsidRPr="00022C0B"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2.3.1.4.3.1.</m:t>
                    </m:r>
                  </m:sub>
                  <m:sup>
                    <m:r>
                      <m:rPr>
                        <m:nor/>
                      </m:rPr>
                      <w:rPr>
                        <w:color w:val="000000"/>
                      </w:rPr>
                      <m:t>1-20 кВ</m:t>
                    </m:r>
                  </m:sup>
                </m:sSubSup>
              </m:oMath>
            </m:oMathPara>
          </w:p>
        </w:tc>
        <w:tc>
          <w:tcPr>
            <w:tcW w:w="1525" w:type="pct"/>
            <w:vMerge/>
            <w:shd w:val="clear" w:color="auto" w:fill="auto"/>
            <w:vAlign w:val="center"/>
            <w:hideMark/>
          </w:tcPr>
          <w:p w14:paraId="3541A759" w14:textId="77777777" w:rsidR="008F3544" w:rsidRPr="00192507" w:rsidRDefault="008F3544" w:rsidP="0099088D">
            <w:pPr>
              <w:rPr>
                <w:color w:val="000000"/>
                <w:sz w:val="16"/>
                <w:szCs w:val="16"/>
              </w:rPr>
            </w:pPr>
          </w:p>
        </w:tc>
        <w:tc>
          <w:tcPr>
            <w:tcW w:w="696" w:type="pct"/>
            <w:vMerge/>
            <w:shd w:val="clear" w:color="auto" w:fill="auto"/>
            <w:vAlign w:val="center"/>
            <w:hideMark/>
          </w:tcPr>
          <w:p w14:paraId="32BDC285" w14:textId="77777777" w:rsidR="008F3544" w:rsidRPr="00192507" w:rsidRDefault="008F3544" w:rsidP="0099088D">
            <w:pPr>
              <w:rPr>
                <w:color w:val="000000"/>
                <w:sz w:val="16"/>
                <w:szCs w:val="16"/>
              </w:rPr>
            </w:pPr>
          </w:p>
        </w:tc>
        <w:tc>
          <w:tcPr>
            <w:tcW w:w="602" w:type="pct"/>
            <w:shd w:val="clear" w:color="auto" w:fill="auto"/>
            <w:noWrap/>
            <w:vAlign w:val="center"/>
            <w:hideMark/>
          </w:tcPr>
          <w:p w14:paraId="34DC4335" w14:textId="77777777" w:rsidR="008F3544" w:rsidRPr="00192507" w:rsidRDefault="008F3544" w:rsidP="0099088D">
            <w:pPr>
              <w:jc w:val="center"/>
              <w:rPr>
                <w:color w:val="000000"/>
                <w:sz w:val="16"/>
                <w:szCs w:val="16"/>
              </w:rPr>
            </w:pPr>
            <w:r w:rsidRPr="00192507">
              <w:rPr>
                <w:color w:val="000000"/>
                <w:sz w:val="16"/>
                <w:szCs w:val="16"/>
              </w:rPr>
              <w:t>2 245 367,21</w:t>
            </w:r>
          </w:p>
        </w:tc>
        <w:tc>
          <w:tcPr>
            <w:tcW w:w="603" w:type="pct"/>
            <w:shd w:val="clear" w:color="auto" w:fill="auto"/>
            <w:noWrap/>
            <w:vAlign w:val="center"/>
            <w:hideMark/>
          </w:tcPr>
          <w:p w14:paraId="010B0866" w14:textId="77777777" w:rsidR="008F3544" w:rsidRPr="00192507" w:rsidRDefault="008F3544" w:rsidP="0099088D">
            <w:pPr>
              <w:jc w:val="center"/>
              <w:rPr>
                <w:color w:val="000000"/>
                <w:sz w:val="16"/>
                <w:szCs w:val="16"/>
              </w:rPr>
            </w:pPr>
            <w:r w:rsidRPr="00192507">
              <w:rPr>
                <w:color w:val="000000"/>
                <w:sz w:val="16"/>
                <w:szCs w:val="16"/>
              </w:rPr>
              <w:t>1 981 746,16</w:t>
            </w:r>
          </w:p>
        </w:tc>
      </w:tr>
      <w:tr w:rsidR="008F3544" w:rsidRPr="00192507" w14:paraId="405A870D" w14:textId="77777777" w:rsidTr="0099088D">
        <w:trPr>
          <w:trHeight w:val="465"/>
        </w:trPr>
        <w:tc>
          <w:tcPr>
            <w:tcW w:w="672" w:type="pct"/>
            <w:vMerge w:val="restart"/>
            <w:shd w:val="clear" w:color="auto" w:fill="auto"/>
            <w:vAlign w:val="center"/>
            <w:hideMark/>
          </w:tcPr>
          <w:p w14:paraId="074E293A" w14:textId="77777777" w:rsidR="008F3544" w:rsidRPr="00192507" w:rsidRDefault="008F3544" w:rsidP="0099088D">
            <w:pPr>
              <w:jc w:val="center"/>
              <w:rPr>
                <w:color w:val="000000"/>
                <w:sz w:val="16"/>
                <w:szCs w:val="16"/>
              </w:rPr>
            </w:pPr>
            <w:r w:rsidRPr="00192507">
              <w:rPr>
                <w:color w:val="000000"/>
                <w:sz w:val="16"/>
                <w:szCs w:val="16"/>
              </w:rPr>
              <w:t>2.3.1.4.3.2.</w:t>
            </w:r>
          </w:p>
        </w:tc>
        <w:tc>
          <w:tcPr>
            <w:tcW w:w="902" w:type="pct"/>
            <w:shd w:val="clear" w:color="auto" w:fill="auto"/>
            <w:vAlign w:val="center"/>
            <w:hideMark/>
          </w:tcPr>
          <w:p w14:paraId="5C903C05" w14:textId="77777777" w:rsidR="008F3544" w:rsidRPr="00F90583"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2.3.1.4.3.2.</m:t>
                    </m:r>
                  </m:sub>
                  <m:sup>
                    <m:r>
                      <m:rPr>
                        <m:nor/>
                      </m:rPr>
                      <w:rPr>
                        <w:color w:val="000000"/>
                      </w:rPr>
                      <m:t>0,4 кВ и ниже</m:t>
                    </m:r>
                  </m:sup>
                </m:sSubSup>
              </m:oMath>
            </m:oMathPara>
          </w:p>
        </w:tc>
        <w:tc>
          <w:tcPr>
            <w:tcW w:w="1525" w:type="pct"/>
            <w:vMerge w:val="restart"/>
            <w:shd w:val="clear" w:color="auto" w:fill="auto"/>
            <w:vAlign w:val="center"/>
            <w:hideMark/>
          </w:tcPr>
          <w:p w14:paraId="245B78E0" w14:textId="77777777" w:rsidR="008F3544" w:rsidRPr="00192507" w:rsidRDefault="008F3544" w:rsidP="0099088D">
            <w:pPr>
              <w:rPr>
                <w:color w:val="000000"/>
                <w:sz w:val="16"/>
                <w:szCs w:val="16"/>
              </w:rPr>
            </w:pPr>
            <w:r w:rsidRPr="00192507">
              <w:rPr>
                <w:color w:val="000000"/>
                <w:sz w:val="16"/>
                <w:szCs w:val="16"/>
              </w:rPr>
              <w:t>воздушные линии на железобетонных опорах изолированным алюминиевым проводом сечением от 100 до 200 квадратных мм включительно двухцепные</w:t>
            </w:r>
          </w:p>
        </w:tc>
        <w:tc>
          <w:tcPr>
            <w:tcW w:w="696" w:type="pct"/>
            <w:vMerge w:val="restart"/>
            <w:shd w:val="clear" w:color="auto" w:fill="auto"/>
            <w:vAlign w:val="center"/>
            <w:hideMark/>
          </w:tcPr>
          <w:p w14:paraId="6438FE7E" w14:textId="77777777" w:rsidR="008F3544" w:rsidRPr="00192507" w:rsidRDefault="008F3544" w:rsidP="0099088D">
            <w:pPr>
              <w:jc w:val="center"/>
              <w:rPr>
                <w:color w:val="000000"/>
                <w:sz w:val="16"/>
                <w:szCs w:val="16"/>
              </w:rPr>
            </w:pPr>
            <w:r w:rsidRPr="00192507">
              <w:rPr>
                <w:color w:val="000000"/>
                <w:sz w:val="16"/>
                <w:szCs w:val="16"/>
              </w:rPr>
              <w:t>рублей/км</w:t>
            </w:r>
          </w:p>
        </w:tc>
        <w:tc>
          <w:tcPr>
            <w:tcW w:w="602" w:type="pct"/>
            <w:shd w:val="clear" w:color="auto" w:fill="auto"/>
            <w:noWrap/>
            <w:vAlign w:val="center"/>
            <w:hideMark/>
          </w:tcPr>
          <w:p w14:paraId="79880ECC" w14:textId="77777777" w:rsidR="008F3544" w:rsidRPr="00192507" w:rsidRDefault="008F3544" w:rsidP="0099088D">
            <w:pPr>
              <w:jc w:val="center"/>
              <w:rPr>
                <w:color w:val="000000"/>
                <w:sz w:val="16"/>
                <w:szCs w:val="16"/>
              </w:rPr>
            </w:pPr>
            <w:r w:rsidRPr="00192507">
              <w:rPr>
                <w:color w:val="000000"/>
                <w:sz w:val="16"/>
                <w:szCs w:val="16"/>
              </w:rPr>
              <w:t>2 308 500,45</w:t>
            </w:r>
          </w:p>
        </w:tc>
        <w:tc>
          <w:tcPr>
            <w:tcW w:w="603" w:type="pct"/>
            <w:shd w:val="clear" w:color="auto" w:fill="auto"/>
            <w:noWrap/>
            <w:vAlign w:val="center"/>
            <w:hideMark/>
          </w:tcPr>
          <w:p w14:paraId="73AC9EF1" w14:textId="77777777" w:rsidR="008F3544" w:rsidRPr="00192507" w:rsidRDefault="008F3544" w:rsidP="0099088D">
            <w:pPr>
              <w:jc w:val="center"/>
              <w:rPr>
                <w:color w:val="000000"/>
                <w:sz w:val="16"/>
                <w:szCs w:val="16"/>
              </w:rPr>
            </w:pPr>
            <w:r>
              <w:rPr>
                <w:color w:val="000000"/>
                <w:sz w:val="16"/>
                <w:szCs w:val="16"/>
              </w:rPr>
              <w:t>-</w:t>
            </w:r>
          </w:p>
        </w:tc>
      </w:tr>
      <w:tr w:rsidR="008F3544" w:rsidRPr="00192507" w14:paraId="251A8688" w14:textId="77777777" w:rsidTr="0099088D">
        <w:trPr>
          <w:trHeight w:val="465"/>
        </w:trPr>
        <w:tc>
          <w:tcPr>
            <w:tcW w:w="672" w:type="pct"/>
            <w:vMerge/>
            <w:shd w:val="clear" w:color="auto" w:fill="auto"/>
            <w:vAlign w:val="center"/>
            <w:hideMark/>
          </w:tcPr>
          <w:p w14:paraId="6BFBCF2B" w14:textId="77777777" w:rsidR="008F3544" w:rsidRPr="00192507" w:rsidRDefault="008F3544" w:rsidP="0099088D">
            <w:pPr>
              <w:rPr>
                <w:color w:val="000000"/>
                <w:sz w:val="16"/>
                <w:szCs w:val="16"/>
              </w:rPr>
            </w:pPr>
          </w:p>
        </w:tc>
        <w:tc>
          <w:tcPr>
            <w:tcW w:w="902" w:type="pct"/>
            <w:shd w:val="clear" w:color="auto" w:fill="auto"/>
            <w:vAlign w:val="center"/>
            <w:hideMark/>
          </w:tcPr>
          <w:p w14:paraId="36478F78" w14:textId="77777777" w:rsidR="008F3544" w:rsidRPr="00F90583"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2.3.1.4.3.2.</m:t>
                    </m:r>
                  </m:sub>
                  <m:sup>
                    <m:r>
                      <m:rPr>
                        <m:nor/>
                      </m:rPr>
                      <w:rPr>
                        <w:color w:val="000000"/>
                      </w:rPr>
                      <m:t>1-20 кВ</m:t>
                    </m:r>
                  </m:sup>
                </m:sSubSup>
              </m:oMath>
            </m:oMathPara>
          </w:p>
        </w:tc>
        <w:tc>
          <w:tcPr>
            <w:tcW w:w="1525" w:type="pct"/>
            <w:vMerge/>
            <w:shd w:val="clear" w:color="auto" w:fill="auto"/>
            <w:vAlign w:val="center"/>
            <w:hideMark/>
          </w:tcPr>
          <w:p w14:paraId="7257C954" w14:textId="77777777" w:rsidR="008F3544" w:rsidRPr="00192507" w:rsidRDefault="008F3544" w:rsidP="0099088D">
            <w:pPr>
              <w:rPr>
                <w:color w:val="000000"/>
                <w:sz w:val="16"/>
                <w:szCs w:val="16"/>
              </w:rPr>
            </w:pPr>
          </w:p>
        </w:tc>
        <w:tc>
          <w:tcPr>
            <w:tcW w:w="696" w:type="pct"/>
            <w:vMerge/>
            <w:shd w:val="clear" w:color="auto" w:fill="auto"/>
            <w:vAlign w:val="center"/>
            <w:hideMark/>
          </w:tcPr>
          <w:p w14:paraId="2CD39A72" w14:textId="77777777" w:rsidR="008F3544" w:rsidRPr="00192507" w:rsidRDefault="008F3544" w:rsidP="0099088D">
            <w:pPr>
              <w:rPr>
                <w:color w:val="000000"/>
                <w:sz w:val="16"/>
                <w:szCs w:val="16"/>
              </w:rPr>
            </w:pPr>
          </w:p>
        </w:tc>
        <w:tc>
          <w:tcPr>
            <w:tcW w:w="602" w:type="pct"/>
            <w:shd w:val="clear" w:color="auto" w:fill="auto"/>
            <w:noWrap/>
            <w:vAlign w:val="center"/>
            <w:hideMark/>
          </w:tcPr>
          <w:p w14:paraId="4CD8D5DD" w14:textId="77777777" w:rsidR="008F3544" w:rsidRPr="00192507" w:rsidRDefault="008F3544" w:rsidP="0099088D">
            <w:pPr>
              <w:jc w:val="center"/>
              <w:rPr>
                <w:color w:val="000000"/>
                <w:sz w:val="16"/>
                <w:szCs w:val="16"/>
              </w:rPr>
            </w:pPr>
            <w:r w:rsidRPr="00192507">
              <w:rPr>
                <w:color w:val="000000"/>
                <w:sz w:val="16"/>
                <w:szCs w:val="16"/>
              </w:rPr>
              <w:t>3 429 117,99</w:t>
            </w:r>
          </w:p>
        </w:tc>
        <w:tc>
          <w:tcPr>
            <w:tcW w:w="603" w:type="pct"/>
            <w:shd w:val="clear" w:color="auto" w:fill="auto"/>
            <w:noWrap/>
            <w:vAlign w:val="center"/>
            <w:hideMark/>
          </w:tcPr>
          <w:p w14:paraId="35915FF2" w14:textId="77777777" w:rsidR="008F3544" w:rsidRPr="00192507" w:rsidRDefault="008F3544" w:rsidP="0099088D">
            <w:pPr>
              <w:jc w:val="center"/>
              <w:rPr>
                <w:color w:val="000000"/>
                <w:sz w:val="16"/>
                <w:szCs w:val="16"/>
              </w:rPr>
            </w:pPr>
            <w:r w:rsidRPr="00192507">
              <w:rPr>
                <w:color w:val="000000"/>
                <w:sz w:val="16"/>
                <w:szCs w:val="16"/>
              </w:rPr>
              <w:t>2 526 834,95</w:t>
            </w:r>
          </w:p>
        </w:tc>
      </w:tr>
      <w:tr w:rsidR="008F3544" w:rsidRPr="00192507" w14:paraId="46CC8127" w14:textId="77777777" w:rsidTr="0099088D">
        <w:trPr>
          <w:trHeight w:val="900"/>
        </w:trPr>
        <w:tc>
          <w:tcPr>
            <w:tcW w:w="672" w:type="pct"/>
            <w:shd w:val="clear" w:color="auto" w:fill="auto"/>
            <w:vAlign w:val="center"/>
            <w:hideMark/>
          </w:tcPr>
          <w:p w14:paraId="05A7CB0E" w14:textId="77777777" w:rsidR="008F3544" w:rsidRPr="00192507" w:rsidRDefault="008F3544" w:rsidP="0099088D">
            <w:pPr>
              <w:jc w:val="center"/>
              <w:rPr>
                <w:color w:val="000000"/>
                <w:sz w:val="16"/>
                <w:szCs w:val="16"/>
              </w:rPr>
            </w:pPr>
            <w:r w:rsidRPr="00192507">
              <w:rPr>
                <w:color w:val="000000"/>
                <w:sz w:val="16"/>
                <w:szCs w:val="16"/>
              </w:rPr>
              <w:t>2.3.2.3.1.1.</w:t>
            </w:r>
          </w:p>
        </w:tc>
        <w:tc>
          <w:tcPr>
            <w:tcW w:w="902" w:type="pct"/>
            <w:shd w:val="clear" w:color="auto" w:fill="auto"/>
            <w:vAlign w:val="center"/>
            <w:hideMark/>
          </w:tcPr>
          <w:p w14:paraId="11257BAE" w14:textId="77777777" w:rsidR="008F3544" w:rsidRPr="00F43C61"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2.3.2.3.1.1.</m:t>
                    </m:r>
                  </m:sub>
                  <m:sup>
                    <m:r>
                      <m:rPr>
                        <m:nor/>
                      </m:rPr>
                      <w:rPr>
                        <w:color w:val="000000"/>
                      </w:rPr>
                      <m:t>1-20 кВ</m:t>
                    </m:r>
                  </m:sup>
                </m:sSubSup>
              </m:oMath>
            </m:oMathPara>
          </w:p>
        </w:tc>
        <w:tc>
          <w:tcPr>
            <w:tcW w:w="1525" w:type="pct"/>
            <w:shd w:val="clear" w:color="auto" w:fill="auto"/>
            <w:vAlign w:val="center"/>
            <w:hideMark/>
          </w:tcPr>
          <w:p w14:paraId="66068066" w14:textId="77777777" w:rsidR="008F3544" w:rsidRPr="00192507" w:rsidRDefault="008F3544" w:rsidP="0099088D">
            <w:pPr>
              <w:rPr>
                <w:color w:val="000000"/>
                <w:sz w:val="16"/>
                <w:szCs w:val="16"/>
              </w:rPr>
            </w:pPr>
            <w:r w:rsidRPr="00192507">
              <w:rPr>
                <w:color w:val="000000"/>
                <w:sz w:val="16"/>
                <w:szCs w:val="16"/>
              </w:rPr>
              <w:t>воздушные линии на железобетонных опорах неизолированным сталеалюминиевым проводом сечением до 50 квадратных мм включительно одноцепные</w:t>
            </w:r>
          </w:p>
        </w:tc>
        <w:tc>
          <w:tcPr>
            <w:tcW w:w="696" w:type="pct"/>
            <w:shd w:val="clear" w:color="auto" w:fill="auto"/>
            <w:vAlign w:val="center"/>
            <w:hideMark/>
          </w:tcPr>
          <w:p w14:paraId="2278C01E" w14:textId="77777777" w:rsidR="008F3544" w:rsidRPr="00192507" w:rsidRDefault="008F3544" w:rsidP="0099088D">
            <w:pPr>
              <w:jc w:val="center"/>
              <w:rPr>
                <w:color w:val="000000"/>
                <w:sz w:val="16"/>
                <w:szCs w:val="16"/>
              </w:rPr>
            </w:pPr>
            <w:r w:rsidRPr="00192507">
              <w:rPr>
                <w:color w:val="000000"/>
                <w:sz w:val="16"/>
                <w:szCs w:val="16"/>
              </w:rPr>
              <w:t>рублей/км</w:t>
            </w:r>
          </w:p>
        </w:tc>
        <w:tc>
          <w:tcPr>
            <w:tcW w:w="602" w:type="pct"/>
            <w:shd w:val="clear" w:color="auto" w:fill="auto"/>
            <w:noWrap/>
            <w:vAlign w:val="center"/>
            <w:hideMark/>
          </w:tcPr>
          <w:p w14:paraId="0D6F0A6E" w14:textId="77777777" w:rsidR="008F3544" w:rsidRPr="00192507" w:rsidRDefault="008F3544" w:rsidP="0099088D">
            <w:pPr>
              <w:jc w:val="center"/>
              <w:rPr>
                <w:color w:val="000000"/>
                <w:sz w:val="16"/>
                <w:szCs w:val="16"/>
              </w:rPr>
            </w:pPr>
            <w:r w:rsidRPr="00192507">
              <w:rPr>
                <w:color w:val="000000"/>
                <w:sz w:val="16"/>
                <w:szCs w:val="16"/>
              </w:rPr>
              <w:t>1 391 154,51</w:t>
            </w:r>
          </w:p>
        </w:tc>
        <w:tc>
          <w:tcPr>
            <w:tcW w:w="603" w:type="pct"/>
            <w:shd w:val="clear" w:color="auto" w:fill="auto"/>
            <w:noWrap/>
            <w:vAlign w:val="center"/>
            <w:hideMark/>
          </w:tcPr>
          <w:p w14:paraId="77EFD508" w14:textId="77777777" w:rsidR="008F3544" w:rsidRPr="00192507" w:rsidRDefault="008F3544" w:rsidP="0099088D">
            <w:pPr>
              <w:jc w:val="center"/>
              <w:rPr>
                <w:color w:val="000000"/>
                <w:sz w:val="16"/>
                <w:szCs w:val="16"/>
              </w:rPr>
            </w:pPr>
            <w:r w:rsidRPr="00192507">
              <w:rPr>
                <w:color w:val="000000"/>
                <w:sz w:val="16"/>
                <w:szCs w:val="16"/>
              </w:rPr>
              <w:t>1 321 683,60</w:t>
            </w:r>
          </w:p>
        </w:tc>
      </w:tr>
      <w:tr w:rsidR="008F3544" w:rsidRPr="00192507" w14:paraId="1C18929E" w14:textId="77777777" w:rsidTr="0099088D">
        <w:trPr>
          <w:trHeight w:val="900"/>
        </w:trPr>
        <w:tc>
          <w:tcPr>
            <w:tcW w:w="672" w:type="pct"/>
            <w:shd w:val="clear" w:color="auto" w:fill="auto"/>
            <w:vAlign w:val="center"/>
            <w:hideMark/>
          </w:tcPr>
          <w:p w14:paraId="2E8388B7" w14:textId="77777777" w:rsidR="008F3544" w:rsidRPr="00192507" w:rsidRDefault="008F3544" w:rsidP="0099088D">
            <w:pPr>
              <w:jc w:val="center"/>
              <w:rPr>
                <w:color w:val="000000"/>
                <w:sz w:val="16"/>
                <w:szCs w:val="16"/>
              </w:rPr>
            </w:pPr>
            <w:r w:rsidRPr="00192507">
              <w:rPr>
                <w:color w:val="000000"/>
                <w:sz w:val="16"/>
                <w:szCs w:val="16"/>
              </w:rPr>
              <w:t>2.3.2.3.2.1.</w:t>
            </w:r>
          </w:p>
        </w:tc>
        <w:tc>
          <w:tcPr>
            <w:tcW w:w="902" w:type="pct"/>
            <w:shd w:val="clear" w:color="auto" w:fill="auto"/>
            <w:vAlign w:val="center"/>
            <w:hideMark/>
          </w:tcPr>
          <w:p w14:paraId="07209C44" w14:textId="77777777" w:rsidR="008F3544" w:rsidRPr="00F43C61"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2.3.2.3.2.1.</m:t>
                    </m:r>
                  </m:sub>
                  <m:sup>
                    <m:r>
                      <m:rPr>
                        <m:nor/>
                      </m:rPr>
                      <w:rPr>
                        <w:color w:val="000000"/>
                      </w:rPr>
                      <m:t>1-20 кВ</m:t>
                    </m:r>
                  </m:sup>
                </m:sSubSup>
              </m:oMath>
            </m:oMathPara>
          </w:p>
        </w:tc>
        <w:tc>
          <w:tcPr>
            <w:tcW w:w="1525" w:type="pct"/>
            <w:shd w:val="clear" w:color="auto" w:fill="auto"/>
            <w:vAlign w:val="center"/>
            <w:hideMark/>
          </w:tcPr>
          <w:p w14:paraId="091790A2" w14:textId="77777777" w:rsidR="008F3544" w:rsidRPr="00192507" w:rsidRDefault="008F3544" w:rsidP="0099088D">
            <w:pPr>
              <w:rPr>
                <w:color w:val="000000"/>
                <w:sz w:val="16"/>
                <w:szCs w:val="16"/>
              </w:rPr>
            </w:pPr>
            <w:r w:rsidRPr="00192507">
              <w:rPr>
                <w:color w:val="000000"/>
                <w:sz w:val="16"/>
                <w:szCs w:val="16"/>
              </w:rPr>
              <w:t>воздушные линии на железобетонных опорах неизолированным сталеалюминиевым проводом сечением от 50 до 100 квадратных мм включительно одноцепные</w:t>
            </w:r>
          </w:p>
        </w:tc>
        <w:tc>
          <w:tcPr>
            <w:tcW w:w="696" w:type="pct"/>
            <w:shd w:val="clear" w:color="auto" w:fill="auto"/>
            <w:vAlign w:val="center"/>
            <w:hideMark/>
          </w:tcPr>
          <w:p w14:paraId="6814459B" w14:textId="77777777" w:rsidR="008F3544" w:rsidRPr="00192507" w:rsidRDefault="008F3544" w:rsidP="0099088D">
            <w:pPr>
              <w:jc w:val="center"/>
              <w:rPr>
                <w:color w:val="000000"/>
                <w:sz w:val="16"/>
                <w:szCs w:val="16"/>
              </w:rPr>
            </w:pPr>
            <w:r w:rsidRPr="00192507">
              <w:rPr>
                <w:color w:val="000000"/>
                <w:sz w:val="16"/>
                <w:szCs w:val="16"/>
              </w:rPr>
              <w:t>рублей/км</w:t>
            </w:r>
          </w:p>
        </w:tc>
        <w:tc>
          <w:tcPr>
            <w:tcW w:w="602" w:type="pct"/>
            <w:shd w:val="clear" w:color="auto" w:fill="auto"/>
            <w:noWrap/>
            <w:vAlign w:val="center"/>
            <w:hideMark/>
          </w:tcPr>
          <w:p w14:paraId="6CBF3255" w14:textId="77777777" w:rsidR="008F3544" w:rsidRPr="00192507" w:rsidRDefault="008F3544" w:rsidP="0099088D">
            <w:pPr>
              <w:jc w:val="center"/>
              <w:rPr>
                <w:color w:val="000000"/>
                <w:sz w:val="16"/>
                <w:szCs w:val="16"/>
              </w:rPr>
            </w:pPr>
            <w:r w:rsidRPr="00192507">
              <w:rPr>
                <w:color w:val="000000"/>
                <w:sz w:val="16"/>
                <w:szCs w:val="16"/>
              </w:rPr>
              <w:t>1 467 855,86</w:t>
            </w:r>
          </w:p>
        </w:tc>
        <w:tc>
          <w:tcPr>
            <w:tcW w:w="603" w:type="pct"/>
            <w:shd w:val="clear" w:color="auto" w:fill="auto"/>
            <w:noWrap/>
            <w:vAlign w:val="center"/>
            <w:hideMark/>
          </w:tcPr>
          <w:p w14:paraId="7DFADDB6" w14:textId="77777777" w:rsidR="008F3544" w:rsidRPr="00192507" w:rsidRDefault="008F3544" w:rsidP="0099088D">
            <w:pPr>
              <w:jc w:val="center"/>
              <w:rPr>
                <w:color w:val="000000"/>
                <w:sz w:val="16"/>
                <w:szCs w:val="16"/>
              </w:rPr>
            </w:pPr>
            <w:r w:rsidRPr="00192507">
              <w:rPr>
                <w:color w:val="000000"/>
                <w:sz w:val="16"/>
                <w:szCs w:val="16"/>
              </w:rPr>
              <w:t>1 433 747,82</w:t>
            </w:r>
          </w:p>
        </w:tc>
      </w:tr>
      <w:tr w:rsidR="008F3544" w:rsidRPr="00192507" w14:paraId="26DD7FF7" w14:textId="77777777" w:rsidTr="0099088D">
        <w:trPr>
          <w:trHeight w:val="900"/>
        </w:trPr>
        <w:tc>
          <w:tcPr>
            <w:tcW w:w="672" w:type="pct"/>
            <w:shd w:val="clear" w:color="auto" w:fill="auto"/>
            <w:vAlign w:val="center"/>
            <w:hideMark/>
          </w:tcPr>
          <w:p w14:paraId="75BD88D8" w14:textId="77777777" w:rsidR="008F3544" w:rsidRPr="00192507" w:rsidRDefault="008F3544" w:rsidP="0099088D">
            <w:pPr>
              <w:jc w:val="center"/>
              <w:rPr>
                <w:color w:val="000000"/>
                <w:sz w:val="16"/>
                <w:szCs w:val="16"/>
              </w:rPr>
            </w:pPr>
            <w:r w:rsidRPr="00192507">
              <w:rPr>
                <w:color w:val="000000"/>
                <w:sz w:val="16"/>
                <w:szCs w:val="16"/>
              </w:rPr>
              <w:t>2.3.2.3.3.2.</w:t>
            </w:r>
          </w:p>
        </w:tc>
        <w:tc>
          <w:tcPr>
            <w:tcW w:w="902" w:type="pct"/>
            <w:shd w:val="clear" w:color="auto" w:fill="auto"/>
            <w:vAlign w:val="center"/>
            <w:hideMark/>
          </w:tcPr>
          <w:p w14:paraId="0337B152" w14:textId="77777777" w:rsidR="008F3544" w:rsidRPr="00C3420A"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2.3.2.3.3.2.</m:t>
                    </m:r>
                  </m:sub>
                  <m:sup>
                    <m:r>
                      <m:rPr>
                        <m:nor/>
                      </m:rPr>
                      <w:rPr>
                        <w:color w:val="000000"/>
                      </w:rPr>
                      <m:t>27,5-60 кВ</m:t>
                    </m:r>
                  </m:sup>
                </m:sSubSup>
              </m:oMath>
            </m:oMathPara>
          </w:p>
        </w:tc>
        <w:tc>
          <w:tcPr>
            <w:tcW w:w="1525" w:type="pct"/>
            <w:shd w:val="clear" w:color="auto" w:fill="auto"/>
            <w:vAlign w:val="center"/>
            <w:hideMark/>
          </w:tcPr>
          <w:p w14:paraId="0A9A4B2B" w14:textId="77777777" w:rsidR="008F3544" w:rsidRPr="00192507" w:rsidRDefault="008F3544" w:rsidP="0099088D">
            <w:pPr>
              <w:rPr>
                <w:color w:val="000000"/>
                <w:sz w:val="16"/>
                <w:szCs w:val="16"/>
              </w:rPr>
            </w:pPr>
            <w:r w:rsidRPr="00192507">
              <w:rPr>
                <w:color w:val="000000"/>
                <w:sz w:val="16"/>
                <w:szCs w:val="16"/>
              </w:rPr>
              <w:t>воздушные линии на железобетонных опорах неизолированным сталеалюминиевым проводом сечением от 100 до 200 квадратных мм включительно двухцепные</w:t>
            </w:r>
          </w:p>
        </w:tc>
        <w:tc>
          <w:tcPr>
            <w:tcW w:w="696" w:type="pct"/>
            <w:shd w:val="clear" w:color="auto" w:fill="auto"/>
            <w:vAlign w:val="center"/>
            <w:hideMark/>
          </w:tcPr>
          <w:p w14:paraId="5C4262D3" w14:textId="77777777" w:rsidR="008F3544" w:rsidRPr="00192507" w:rsidRDefault="008F3544" w:rsidP="0099088D">
            <w:pPr>
              <w:jc w:val="center"/>
              <w:rPr>
                <w:color w:val="000000"/>
                <w:sz w:val="16"/>
                <w:szCs w:val="16"/>
              </w:rPr>
            </w:pPr>
            <w:r w:rsidRPr="00192507">
              <w:rPr>
                <w:color w:val="000000"/>
                <w:sz w:val="16"/>
                <w:szCs w:val="16"/>
              </w:rPr>
              <w:t>рублей/км</w:t>
            </w:r>
          </w:p>
        </w:tc>
        <w:tc>
          <w:tcPr>
            <w:tcW w:w="602" w:type="pct"/>
            <w:shd w:val="clear" w:color="auto" w:fill="auto"/>
            <w:noWrap/>
            <w:vAlign w:val="center"/>
            <w:hideMark/>
          </w:tcPr>
          <w:p w14:paraId="79D61DF1" w14:textId="77777777" w:rsidR="008F3544" w:rsidRPr="00192507" w:rsidRDefault="008F3544" w:rsidP="0099088D">
            <w:pPr>
              <w:jc w:val="center"/>
              <w:rPr>
                <w:color w:val="000000"/>
                <w:sz w:val="16"/>
                <w:szCs w:val="16"/>
              </w:rPr>
            </w:pPr>
            <w:r w:rsidRPr="00192507">
              <w:rPr>
                <w:color w:val="000000"/>
                <w:sz w:val="16"/>
                <w:szCs w:val="16"/>
              </w:rPr>
              <w:t>11 225 476,21</w:t>
            </w:r>
          </w:p>
        </w:tc>
        <w:tc>
          <w:tcPr>
            <w:tcW w:w="603" w:type="pct"/>
            <w:shd w:val="clear" w:color="auto" w:fill="auto"/>
            <w:noWrap/>
            <w:vAlign w:val="center"/>
            <w:hideMark/>
          </w:tcPr>
          <w:p w14:paraId="2647ADA6" w14:textId="77777777" w:rsidR="008F3544" w:rsidRPr="00192507" w:rsidRDefault="008F3544" w:rsidP="0099088D">
            <w:pPr>
              <w:jc w:val="center"/>
              <w:rPr>
                <w:color w:val="000000"/>
                <w:sz w:val="16"/>
                <w:szCs w:val="16"/>
              </w:rPr>
            </w:pPr>
            <w:r w:rsidRPr="00192507">
              <w:rPr>
                <w:color w:val="000000"/>
                <w:sz w:val="16"/>
                <w:szCs w:val="16"/>
              </w:rPr>
              <w:t>11 168 512,65</w:t>
            </w:r>
          </w:p>
        </w:tc>
      </w:tr>
      <w:tr w:rsidR="008F3544" w:rsidRPr="00192507" w14:paraId="5A58BE20" w14:textId="77777777" w:rsidTr="0099088D">
        <w:trPr>
          <w:trHeight w:val="900"/>
        </w:trPr>
        <w:tc>
          <w:tcPr>
            <w:tcW w:w="672" w:type="pct"/>
            <w:shd w:val="clear" w:color="auto" w:fill="auto"/>
            <w:vAlign w:val="center"/>
            <w:hideMark/>
          </w:tcPr>
          <w:p w14:paraId="1A82E539" w14:textId="77777777" w:rsidR="008F3544" w:rsidRPr="00192507" w:rsidRDefault="008F3544" w:rsidP="0099088D">
            <w:pPr>
              <w:jc w:val="center"/>
              <w:rPr>
                <w:color w:val="000000"/>
                <w:sz w:val="16"/>
                <w:szCs w:val="16"/>
              </w:rPr>
            </w:pPr>
            <w:r w:rsidRPr="00192507">
              <w:rPr>
                <w:color w:val="000000"/>
                <w:sz w:val="16"/>
                <w:szCs w:val="16"/>
              </w:rPr>
              <w:t>2.3.2.4.1.1.</w:t>
            </w:r>
          </w:p>
        </w:tc>
        <w:tc>
          <w:tcPr>
            <w:tcW w:w="902" w:type="pct"/>
            <w:shd w:val="clear" w:color="auto" w:fill="auto"/>
            <w:vAlign w:val="center"/>
            <w:hideMark/>
          </w:tcPr>
          <w:p w14:paraId="2AA081EB" w14:textId="77777777" w:rsidR="008F3544" w:rsidRPr="00F43C61"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2.3.2.4.1.1.</m:t>
                    </m:r>
                  </m:sub>
                  <m:sup>
                    <m:r>
                      <m:rPr>
                        <m:nor/>
                      </m:rPr>
                      <w:rPr>
                        <w:color w:val="000000"/>
                      </w:rPr>
                      <m:t>0,4 кВ и ниже</m:t>
                    </m:r>
                  </m:sup>
                </m:sSubSup>
              </m:oMath>
            </m:oMathPara>
          </w:p>
        </w:tc>
        <w:tc>
          <w:tcPr>
            <w:tcW w:w="1525" w:type="pct"/>
            <w:shd w:val="clear" w:color="auto" w:fill="auto"/>
            <w:vAlign w:val="center"/>
            <w:hideMark/>
          </w:tcPr>
          <w:p w14:paraId="6AA4CF6A" w14:textId="77777777" w:rsidR="008F3544" w:rsidRPr="00192507" w:rsidRDefault="008F3544" w:rsidP="0099088D">
            <w:pPr>
              <w:rPr>
                <w:color w:val="000000"/>
                <w:sz w:val="16"/>
                <w:szCs w:val="16"/>
              </w:rPr>
            </w:pPr>
            <w:r w:rsidRPr="00192507">
              <w:rPr>
                <w:color w:val="000000"/>
                <w:sz w:val="16"/>
                <w:szCs w:val="16"/>
              </w:rPr>
              <w:t>воздушные линии на железобетонных опорах неизолированным алюминиевым проводом сечением до 50 квадратных мм включительно одноцепные</w:t>
            </w:r>
          </w:p>
        </w:tc>
        <w:tc>
          <w:tcPr>
            <w:tcW w:w="696" w:type="pct"/>
            <w:shd w:val="clear" w:color="auto" w:fill="auto"/>
            <w:vAlign w:val="center"/>
            <w:hideMark/>
          </w:tcPr>
          <w:p w14:paraId="4FB5F471" w14:textId="77777777" w:rsidR="008F3544" w:rsidRPr="00192507" w:rsidRDefault="008F3544" w:rsidP="0099088D">
            <w:pPr>
              <w:jc w:val="center"/>
              <w:rPr>
                <w:color w:val="000000"/>
                <w:sz w:val="16"/>
                <w:szCs w:val="16"/>
              </w:rPr>
            </w:pPr>
            <w:r w:rsidRPr="00192507">
              <w:rPr>
                <w:color w:val="000000"/>
                <w:sz w:val="16"/>
                <w:szCs w:val="16"/>
              </w:rPr>
              <w:t>рублей/км</w:t>
            </w:r>
          </w:p>
        </w:tc>
        <w:tc>
          <w:tcPr>
            <w:tcW w:w="602" w:type="pct"/>
            <w:shd w:val="clear" w:color="auto" w:fill="auto"/>
            <w:noWrap/>
            <w:vAlign w:val="center"/>
            <w:hideMark/>
          </w:tcPr>
          <w:p w14:paraId="126F7236" w14:textId="77777777" w:rsidR="008F3544" w:rsidRPr="00192507" w:rsidRDefault="008F3544" w:rsidP="0099088D">
            <w:pPr>
              <w:jc w:val="center"/>
              <w:rPr>
                <w:color w:val="000000"/>
                <w:sz w:val="16"/>
                <w:szCs w:val="16"/>
              </w:rPr>
            </w:pPr>
            <w:r>
              <w:rPr>
                <w:color w:val="000000"/>
                <w:sz w:val="16"/>
                <w:szCs w:val="16"/>
              </w:rPr>
              <w:t>-</w:t>
            </w:r>
          </w:p>
        </w:tc>
        <w:tc>
          <w:tcPr>
            <w:tcW w:w="603" w:type="pct"/>
            <w:shd w:val="clear" w:color="auto" w:fill="auto"/>
            <w:noWrap/>
            <w:vAlign w:val="center"/>
            <w:hideMark/>
          </w:tcPr>
          <w:p w14:paraId="587D4F51" w14:textId="77777777" w:rsidR="008F3544" w:rsidRPr="00192507" w:rsidRDefault="008F3544" w:rsidP="0099088D">
            <w:pPr>
              <w:jc w:val="center"/>
              <w:rPr>
                <w:color w:val="000000"/>
                <w:sz w:val="16"/>
                <w:szCs w:val="16"/>
              </w:rPr>
            </w:pPr>
            <w:r w:rsidRPr="00192507">
              <w:rPr>
                <w:color w:val="000000"/>
                <w:sz w:val="16"/>
                <w:szCs w:val="16"/>
              </w:rPr>
              <w:t>1 093 800,57</w:t>
            </w:r>
          </w:p>
        </w:tc>
      </w:tr>
      <w:tr w:rsidR="008F3544" w:rsidRPr="00192507" w14:paraId="65EF95C2" w14:textId="77777777" w:rsidTr="0099088D">
        <w:trPr>
          <w:trHeight w:val="510"/>
        </w:trPr>
        <w:tc>
          <w:tcPr>
            <w:tcW w:w="672" w:type="pct"/>
            <w:vMerge w:val="restart"/>
            <w:shd w:val="clear" w:color="auto" w:fill="auto"/>
            <w:vAlign w:val="center"/>
            <w:hideMark/>
          </w:tcPr>
          <w:p w14:paraId="1982BA74" w14:textId="77777777" w:rsidR="008F3544" w:rsidRPr="00192507" w:rsidRDefault="008F3544" w:rsidP="0099088D">
            <w:pPr>
              <w:jc w:val="center"/>
              <w:rPr>
                <w:color w:val="000000"/>
                <w:sz w:val="16"/>
                <w:szCs w:val="16"/>
              </w:rPr>
            </w:pPr>
            <w:r w:rsidRPr="00192507">
              <w:rPr>
                <w:color w:val="000000"/>
                <w:sz w:val="16"/>
                <w:szCs w:val="16"/>
              </w:rPr>
              <w:t>2.3.2.4.2.1.</w:t>
            </w:r>
          </w:p>
        </w:tc>
        <w:tc>
          <w:tcPr>
            <w:tcW w:w="902" w:type="pct"/>
            <w:shd w:val="clear" w:color="auto" w:fill="auto"/>
            <w:vAlign w:val="center"/>
            <w:hideMark/>
          </w:tcPr>
          <w:p w14:paraId="4737AC09" w14:textId="77777777" w:rsidR="008F3544" w:rsidRPr="00FC1278"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2.3.2.4.2.1.</m:t>
                    </m:r>
                  </m:sub>
                  <m:sup>
                    <m:r>
                      <m:rPr>
                        <m:nor/>
                      </m:rPr>
                      <w:rPr>
                        <w:color w:val="000000"/>
                      </w:rPr>
                      <m:t>0,4 кВ и ниже</m:t>
                    </m:r>
                  </m:sup>
                </m:sSubSup>
              </m:oMath>
            </m:oMathPara>
          </w:p>
        </w:tc>
        <w:tc>
          <w:tcPr>
            <w:tcW w:w="1525" w:type="pct"/>
            <w:vMerge w:val="restart"/>
            <w:shd w:val="clear" w:color="auto" w:fill="auto"/>
            <w:vAlign w:val="center"/>
            <w:hideMark/>
          </w:tcPr>
          <w:p w14:paraId="3DCFC271" w14:textId="77777777" w:rsidR="008F3544" w:rsidRPr="00192507" w:rsidRDefault="008F3544" w:rsidP="0099088D">
            <w:pPr>
              <w:rPr>
                <w:color w:val="000000"/>
                <w:sz w:val="16"/>
                <w:szCs w:val="16"/>
              </w:rPr>
            </w:pPr>
            <w:r w:rsidRPr="00192507">
              <w:rPr>
                <w:color w:val="000000"/>
                <w:sz w:val="16"/>
                <w:szCs w:val="16"/>
              </w:rPr>
              <w:t>воздушные линии на железобетонных опорах неизолированным алюминиевым проводом сечением от 50 до 100 квадратных мм включительно одноцепные</w:t>
            </w:r>
          </w:p>
        </w:tc>
        <w:tc>
          <w:tcPr>
            <w:tcW w:w="696" w:type="pct"/>
            <w:vMerge w:val="restart"/>
            <w:shd w:val="clear" w:color="auto" w:fill="auto"/>
            <w:vAlign w:val="center"/>
            <w:hideMark/>
          </w:tcPr>
          <w:p w14:paraId="6663357A" w14:textId="77777777" w:rsidR="008F3544" w:rsidRPr="00192507" w:rsidRDefault="008F3544" w:rsidP="0099088D">
            <w:pPr>
              <w:jc w:val="center"/>
              <w:rPr>
                <w:color w:val="000000"/>
                <w:sz w:val="16"/>
                <w:szCs w:val="16"/>
              </w:rPr>
            </w:pPr>
            <w:r w:rsidRPr="00192507">
              <w:rPr>
                <w:color w:val="000000"/>
                <w:sz w:val="16"/>
                <w:szCs w:val="16"/>
              </w:rPr>
              <w:t>рублей/км</w:t>
            </w:r>
          </w:p>
        </w:tc>
        <w:tc>
          <w:tcPr>
            <w:tcW w:w="602" w:type="pct"/>
            <w:shd w:val="clear" w:color="auto" w:fill="auto"/>
            <w:noWrap/>
            <w:vAlign w:val="center"/>
            <w:hideMark/>
          </w:tcPr>
          <w:p w14:paraId="07076DA7" w14:textId="77777777" w:rsidR="008F3544" w:rsidRPr="00192507" w:rsidRDefault="008F3544" w:rsidP="0099088D">
            <w:pPr>
              <w:jc w:val="center"/>
              <w:rPr>
                <w:color w:val="000000"/>
                <w:sz w:val="16"/>
                <w:szCs w:val="16"/>
              </w:rPr>
            </w:pPr>
            <w:r>
              <w:rPr>
                <w:color w:val="000000"/>
                <w:sz w:val="16"/>
                <w:szCs w:val="16"/>
              </w:rPr>
              <w:t>-</w:t>
            </w:r>
          </w:p>
        </w:tc>
        <w:tc>
          <w:tcPr>
            <w:tcW w:w="603" w:type="pct"/>
            <w:shd w:val="clear" w:color="auto" w:fill="auto"/>
            <w:noWrap/>
            <w:vAlign w:val="center"/>
            <w:hideMark/>
          </w:tcPr>
          <w:p w14:paraId="43065B76" w14:textId="77777777" w:rsidR="008F3544" w:rsidRPr="00192507" w:rsidRDefault="008F3544" w:rsidP="0099088D">
            <w:pPr>
              <w:jc w:val="center"/>
              <w:rPr>
                <w:color w:val="000000"/>
                <w:sz w:val="16"/>
                <w:szCs w:val="16"/>
              </w:rPr>
            </w:pPr>
            <w:r w:rsidRPr="00192507">
              <w:rPr>
                <w:color w:val="000000"/>
                <w:sz w:val="16"/>
                <w:szCs w:val="16"/>
              </w:rPr>
              <w:t>1 270 448,92</w:t>
            </w:r>
          </w:p>
        </w:tc>
      </w:tr>
      <w:tr w:rsidR="008F3544" w:rsidRPr="00192507" w14:paraId="5E50EA40" w14:textId="77777777" w:rsidTr="0099088D">
        <w:trPr>
          <w:trHeight w:val="510"/>
        </w:trPr>
        <w:tc>
          <w:tcPr>
            <w:tcW w:w="672" w:type="pct"/>
            <w:vMerge/>
            <w:shd w:val="clear" w:color="auto" w:fill="auto"/>
            <w:vAlign w:val="center"/>
            <w:hideMark/>
          </w:tcPr>
          <w:p w14:paraId="33510FCA" w14:textId="77777777" w:rsidR="008F3544" w:rsidRPr="00192507" w:rsidRDefault="008F3544" w:rsidP="0099088D">
            <w:pPr>
              <w:rPr>
                <w:color w:val="000000"/>
                <w:sz w:val="16"/>
                <w:szCs w:val="16"/>
              </w:rPr>
            </w:pPr>
          </w:p>
        </w:tc>
        <w:tc>
          <w:tcPr>
            <w:tcW w:w="902" w:type="pct"/>
            <w:shd w:val="clear" w:color="auto" w:fill="auto"/>
            <w:vAlign w:val="center"/>
            <w:hideMark/>
          </w:tcPr>
          <w:p w14:paraId="47D789D4" w14:textId="77777777" w:rsidR="008F3544" w:rsidRPr="00FC1278"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2.3.2.4.2.1.</m:t>
                    </m:r>
                  </m:sub>
                  <m:sup>
                    <m:r>
                      <m:rPr>
                        <m:nor/>
                      </m:rPr>
                      <w:rPr>
                        <w:color w:val="000000"/>
                      </w:rPr>
                      <m:t>1-20 кВ</m:t>
                    </m:r>
                  </m:sup>
                </m:sSubSup>
              </m:oMath>
            </m:oMathPara>
          </w:p>
        </w:tc>
        <w:tc>
          <w:tcPr>
            <w:tcW w:w="1525" w:type="pct"/>
            <w:vMerge/>
            <w:shd w:val="clear" w:color="auto" w:fill="auto"/>
            <w:vAlign w:val="center"/>
            <w:hideMark/>
          </w:tcPr>
          <w:p w14:paraId="32CF74DD" w14:textId="77777777" w:rsidR="008F3544" w:rsidRPr="00192507" w:rsidRDefault="008F3544" w:rsidP="0099088D">
            <w:pPr>
              <w:rPr>
                <w:color w:val="000000"/>
                <w:sz w:val="16"/>
                <w:szCs w:val="16"/>
              </w:rPr>
            </w:pPr>
          </w:p>
        </w:tc>
        <w:tc>
          <w:tcPr>
            <w:tcW w:w="696" w:type="pct"/>
            <w:vMerge/>
            <w:shd w:val="clear" w:color="auto" w:fill="auto"/>
            <w:vAlign w:val="center"/>
            <w:hideMark/>
          </w:tcPr>
          <w:p w14:paraId="5BC31CDF" w14:textId="77777777" w:rsidR="008F3544" w:rsidRPr="00192507" w:rsidRDefault="008F3544" w:rsidP="0099088D">
            <w:pPr>
              <w:rPr>
                <w:color w:val="000000"/>
                <w:sz w:val="16"/>
                <w:szCs w:val="16"/>
              </w:rPr>
            </w:pPr>
          </w:p>
        </w:tc>
        <w:tc>
          <w:tcPr>
            <w:tcW w:w="602" w:type="pct"/>
            <w:shd w:val="clear" w:color="auto" w:fill="auto"/>
            <w:noWrap/>
            <w:vAlign w:val="center"/>
            <w:hideMark/>
          </w:tcPr>
          <w:p w14:paraId="67378800" w14:textId="77777777" w:rsidR="008F3544" w:rsidRPr="00192507" w:rsidRDefault="008F3544" w:rsidP="0099088D">
            <w:pPr>
              <w:jc w:val="center"/>
              <w:rPr>
                <w:color w:val="000000"/>
                <w:sz w:val="16"/>
                <w:szCs w:val="16"/>
              </w:rPr>
            </w:pPr>
            <w:r>
              <w:rPr>
                <w:color w:val="000000"/>
                <w:sz w:val="16"/>
                <w:szCs w:val="16"/>
              </w:rPr>
              <w:t>-</w:t>
            </w:r>
          </w:p>
        </w:tc>
        <w:tc>
          <w:tcPr>
            <w:tcW w:w="603" w:type="pct"/>
            <w:shd w:val="clear" w:color="auto" w:fill="auto"/>
            <w:noWrap/>
            <w:vAlign w:val="center"/>
            <w:hideMark/>
          </w:tcPr>
          <w:p w14:paraId="586964E7" w14:textId="77777777" w:rsidR="008F3544" w:rsidRPr="00192507" w:rsidRDefault="008F3544" w:rsidP="0099088D">
            <w:pPr>
              <w:jc w:val="center"/>
              <w:rPr>
                <w:color w:val="000000"/>
                <w:sz w:val="16"/>
                <w:szCs w:val="16"/>
              </w:rPr>
            </w:pPr>
            <w:r w:rsidRPr="00192507">
              <w:rPr>
                <w:color w:val="000000"/>
                <w:sz w:val="16"/>
                <w:szCs w:val="16"/>
              </w:rPr>
              <w:t>1 462 771,16</w:t>
            </w:r>
          </w:p>
        </w:tc>
      </w:tr>
      <w:tr w:rsidR="008F3544" w:rsidRPr="00192507" w14:paraId="4E5DAE06" w14:textId="77777777" w:rsidTr="0099088D">
        <w:trPr>
          <w:trHeight w:val="547"/>
        </w:trPr>
        <w:tc>
          <w:tcPr>
            <w:tcW w:w="672" w:type="pct"/>
            <w:vMerge w:val="restart"/>
            <w:shd w:val="clear" w:color="auto" w:fill="auto"/>
            <w:vAlign w:val="center"/>
            <w:hideMark/>
          </w:tcPr>
          <w:p w14:paraId="61378E83" w14:textId="77777777" w:rsidR="008F3544" w:rsidRPr="00192507" w:rsidRDefault="008F3544" w:rsidP="0099088D">
            <w:pPr>
              <w:jc w:val="center"/>
              <w:rPr>
                <w:color w:val="000000"/>
                <w:sz w:val="16"/>
                <w:szCs w:val="16"/>
              </w:rPr>
            </w:pPr>
            <w:r w:rsidRPr="00192507">
              <w:rPr>
                <w:color w:val="000000"/>
                <w:sz w:val="16"/>
                <w:szCs w:val="16"/>
              </w:rPr>
              <w:t>3.1.1.1.1.1.</w:t>
            </w:r>
          </w:p>
        </w:tc>
        <w:tc>
          <w:tcPr>
            <w:tcW w:w="902" w:type="pct"/>
            <w:shd w:val="clear" w:color="auto" w:fill="auto"/>
            <w:vAlign w:val="center"/>
            <w:hideMark/>
          </w:tcPr>
          <w:p w14:paraId="2B631BB2" w14:textId="77777777" w:rsidR="008F3544" w:rsidRPr="00FC1278"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3.1.1.1.1.1.</m:t>
                    </m:r>
                  </m:sub>
                  <m:sup>
                    <m:r>
                      <m:rPr>
                        <m:nor/>
                      </m:rPr>
                      <w:rPr>
                        <w:color w:val="000000"/>
                      </w:rPr>
                      <m:t>0,4 кВ и ниже</m:t>
                    </m:r>
                  </m:sup>
                </m:sSubSup>
              </m:oMath>
            </m:oMathPara>
          </w:p>
        </w:tc>
        <w:tc>
          <w:tcPr>
            <w:tcW w:w="1525" w:type="pct"/>
            <w:vMerge w:val="restart"/>
            <w:shd w:val="clear" w:color="auto" w:fill="auto"/>
            <w:vAlign w:val="center"/>
            <w:hideMark/>
          </w:tcPr>
          <w:p w14:paraId="142A48EB" w14:textId="77777777" w:rsidR="008F3544" w:rsidRPr="00192507" w:rsidRDefault="008F3544" w:rsidP="0099088D">
            <w:pPr>
              <w:rPr>
                <w:color w:val="000000"/>
                <w:sz w:val="16"/>
                <w:szCs w:val="16"/>
              </w:rPr>
            </w:pPr>
            <w:r w:rsidRPr="00192507">
              <w:rPr>
                <w:color w:val="000000"/>
                <w:sz w:val="16"/>
                <w:szCs w:val="16"/>
              </w:rPr>
              <w:t>кабельные линии в траншеях одножильные с резиновой или пластмассовой изоляцией сечением провода до 50 квадратных мм включительно с одним кабелем в траншее</w:t>
            </w:r>
          </w:p>
        </w:tc>
        <w:tc>
          <w:tcPr>
            <w:tcW w:w="696" w:type="pct"/>
            <w:vMerge w:val="restart"/>
            <w:shd w:val="clear" w:color="auto" w:fill="auto"/>
            <w:vAlign w:val="center"/>
            <w:hideMark/>
          </w:tcPr>
          <w:p w14:paraId="353C1D43" w14:textId="77777777" w:rsidR="008F3544" w:rsidRPr="00192507" w:rsidRDefault="008F3544" w:rsidP="0099088D">
            <w:pPr>
              <w:jc w:val="center"/>
              <w:rPr>
                <w:color w:val="000000"/>
                <w:sz w:val="16"/>
                <w:szCs w:val="16"/>
              </w:rPr>
            </w:pPr>
            <w:r w:rsidRPr="00192507">
              <w:rPr>
                <w:color w:val="000000"/>
                <w:sz w:val="16"/>
                <w:szCs w:val="16"/>
              </w:rPr>
              <w:t>рублей/км</w:t>
            </w:r>
          </w:p>
        </w:tc>
        <w:tc>
          <w:tcPr>
            <w:tcW w:w="602" w:type="pct"/>
            <w:shd w:val="clear" w:color="auto" w:fill="auto"/>
            <w:noWrap/>
            <w:vAlign w:val="center"/>
            <w:hideMark/>
          </w:tcPr>
          <w:p w14:paraId="5E3B6E87" w14:textId="77777777" w:rsidR="008F3544" w:rsidRPr="00192507" w:rsidRDefault="008F3544" w:rsidP="0099088D">
            <w:pPr>
              <w:jc w:val="center"/>
              <w:rPr>
                <w:color w:val="000000"/>
                <w:sz w:val="16"/>
                <w:szCs w:val="16"/>
              </w:rPr>
            </w:pPr>
            <w:r w:rsidRPr="00192507">
              <w:rPr>
                <w:color w:val="000000"/>
                <w:sz w:val="16"/>
                <w:szCs w:val="16"/>
              </w:rPr>
              <w:t>1 962 414,42</w:t>
            </w:r>
          </w:p>
        </w:tc>
        <w:tc>
          <w:tcPr>
            <w:tcW w:w="603" w:type="pct"/>
            <w:shd w:val="clear" w:color="auto" w:fill="auto"/>
            <w:noWrap/>
            <w:vAlign w:val="center"/>
            <w:hideMark/>
          </w:tcPr>
          <w:p w14:paraId="290C0D0E" w14:textId="77777777" w:rsidR="008F3544" w:rsidRPr="00192507" w:rsidRDefault="008F3544" w:rsidP="0099088D">
            <w:pPr>
              <w:jc w:val="center"/>
              <w:rPr>
                <w:color w:val="000000"/>
                <w:sz w:val="16"/>
                <w:szCs w:val="16"/>
              </w:rPr>
            </w:pPr>
            <w:r>
              <w:rPr>
                <w:color w:val="000000"/>
                <w:sz w:val="16"/>
                <w:szCs w:val="16"/>
              </w:rPr>
              <w:t>-</w:t>
            </w:r>
          </w:p>
        </w:tc>
      </w:tr>
      <w:tr w:rsidR="008F3544" w:rsidRPr="00192507" w14:paraId="5AD17C44" w14:textId="77777777" w:rsidTr="0099088D">
        <w:trPr>
          <w:trHeight w:val="547"/>
        </w:trPr>
        <w:tc>
          <w:tcPr>
            <w:tcW w:w="672" w:type="pct"/>
            <w:vMerge/>
            <w:shd w:val="clear" w:color="auto" w:fill="auto"/>
            <w:vAlign w:val="center"/>
            <w:hideMark/>
          </w:tcPr>
          <w:p w14:paraId="7AE9F125" w14:textId="77777777" w:rsidR="008F3544" w:rsidRPr="00192507" w:rsidRDefault="008F3544" w:rsidP="0099088D">
            <w:pPr>
              <w:rPr>
                <w:color w:val="000000"/>
                <w:sz w:val="16"/>
                <w:szCs w:val="16"/>
              </w:rPr>
            </w:pPr>
          </w:p>
        </w:tc>
        <w:tc>
          <w:tcPr>
            <w:tcW w:w="902" w:type="pct"/>
            <w:shd w:val="clear" w:color="auto" w:fill="auto"/>
            <w:vAlign w:val="center"/>
            <w:hideMark/>
          </w:tcPr>
          <w:p w14:paraId="7BD517E4" w14:textId="77777777" w:rsidR="008F3544" w:rsidRPr="00451D92"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3.1.1.1.1.1.</m:t>
                    </m:r>
                  </m:sub>
                  <m:sup>
                    <m:r>
                      <m:rPr>
                        <m:nor/>
                      </m:rPr>
                      <w:rPr>
                        <w:color w:val="000000"/>
                      </w:rPr>
                      <m:t>1-10 кВ</m:t>
                    </m:r>
                  </m:sup>
                </m:sSubSup>
              </m:oMath>
            </m:oMathPara>
          </w:p>
        </w:tc>
        <w:tc>
          <w:tcPr>
            <w:tcW w:w="1525" w:type="pct"/>
            <w:vMerge/>
            <w:shd w:val="clear" w:color="auto" w:fill="auto"/>
            <w:vAlign w:val="center"/>
            <w:hideMark/>
          </w:tcPr>
          <w:p w14:paraId="390284FB" w14:textId="77777777" w:rsidR="008F3544" w:rsidRPr="00192507" w:rsidRDefault="008F3544" w:rsidP="0099088D">
            <w:pPr>
              <w:rPr>
                <w:color w:val="000000"/>
                <w:sz w:val="16"/>
                <w:szCs w:val="16"/>
              </w:rPr>
            </w:pPr>
          </w:p>
        </w:tc>
        <w:tc>
          <w:tcPr>
            <w:tcW w:w="696" w:type="pct"/>
            <w:vMerge/>
            <w:shd w:val="clear" w:color="auto" w:fill="auto"/>
            <w:vAlign w:val="center"/>
            <w:hideMark/>
          </w:tcPr>
          <w:p w14:paraId="30B47477" w14:textId="77777777" w:rsidR="008F3544" w:rsidRPr="00192507" w:rsidRDefault="008F3544" w:rsidP="0099088D">
            <w:pPr>
              <w:rPr>
                <w:color w:val="000000"/>
                <w:sz w:val="16"/>
                <w:szCs w:val="16"/>
              </w:rPr>
            </w:pPr>
          </w:p>
        </w:tc>
        <w:tc>
          <w:tcPr>
            <w:tcW w:w="602" w:type="pct"/>
            <w:shd w:val="clear" w:color="auto" w:fill="auto"/>
            <w:noWrap/>
            <w:vAlign w:val="center"/>
            <w:hideMark/>
          </w:tcPr>
          <w:p w14:paraId="15E4C68F" w14:textId="77777777" w:rsidR="008F3544" w:rsidRPr="00192507" w:rsidRDefault="008F3544" w:rsidP="0099088D">
            <w:pPr>
              <w:jc w:val="center"/>
              <w:rPr>
                <w:color w:val="000000"/>
                <w:sz w:val="16"/>
                <w:szCs w:val="16"/>
              </w:rPr>
            </w:pPr>
            <w:r w:rsidRPr="00192507">
              <w:rPr>
                <w:color w:val="000000"/>
                <w:sz w:val="16"/>
                <w:szCs w:val="16"/>
              </w:rPr>
              <w:t>2 314 413,01</w:t>
            </w:r>
          </w:p>
        </w:tc>
        <w:tc>
          <w:tcPr>
            <w:tcW w:w="603" w:type="pct"/>
            <w:shd w:val="clear" w:color="auto" w:fill="auto"/>
            <w:noWrap/>
            <w:vAlign w:val="center"/>
            <w:hideMark/>
          </w:tcPr>
          <w:p w14:paraId="04A220D0" w14:textId="77777777" w:rsidR="008F3544" w:rsidRPr="00192507" w:rsidRDefault="008F3544" w:rsidP="0099088D">
            <w:pPr>
              <w:jc w:val="center"/>
              <w:rPr>
                <w:color w:val="000000"/>
                <w:sz w:val="16"/>
                <w:szCs w:val="16"/>
              </w:rPr>
            </w:pPr>
            <w:r>
              <w:rPr>
                <w:color w:val="000000"/>
                <w:sz w:val="16"/>
                <w:szCs w:val="16"/>
              </w:rPr>
              <w:t>-</w:t>
            </w:r>
          </w:p>
        </w:tc>
      </w:tr>
      <w:tr w:rsidR="008F3544" w:rsidRPr="00192507" w14:paraId="159F64BA" w14:textId="77777777" w:rsidTr="0099088D">
        <w:trPr>
          <w:trHeight w:val="547"/>
        </w:trPr>
        <w:tc>
          <w:tcPr>
            <w:tcW w:w="672" w:type="pct"/>
            <w:vMerge w:val="restart"/>
            <w:shd w:val="clear" w:color="auto" w:fill="auto"/>
            <w:vAlign w:val="center"/>
            <w:hideMark/>
          </w:tcPr>
          <w:p w14:paraId="31991917" w14:textId="77777777" w:rsidR="008F3544" w:rsidRPr="00192507" w:rsidRDefault="008F3544" w:rsidP="0099088D">
            <w:pPr>
              <w:jc w:val="center"/>
              <w:rPr>
                <w:color w:val="000000"/>
                <w:sz w:val="16"/>
                <w:szCs w:val="16"/>
              </w:rPr>
            </w:pPr>
            <w:r w:rsidRPr="00192507">
              <w:rPr>
                <w:color w:val="000000"/>
                <w:sz w:val="16"/>
                <w:szCs w:val="16"/>
              </w:rPr>
              <w:t>3.1.1.1.2.1.</w:t>
            </w:r>
          </w:p>
        </w:tc>
        <w:tc>
          <w:tcPr>
            <w:tcW w:w="902" w:type="pct"/>
            <w:shd w:val="clear" w:color="auto" w:fill="auto"/>
            <w:vAlign w:val="center"/>
            <w:hideMark/>
          </w:tcPr>
          <w:p w14:paraId="59645FC5" w14:textId="77777777" w:rsidR="008F3544" w:rsidRPr="00FC1278"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3.1.1.1.2.1.</m:t>
                    </m:r>
                  </m:sub>
                  <m:sup>
                    <m:r>
                      <m:rPr>
                        <m:nor/>
                      </m:rPr>
                      <w:rPr>
                        <w:color w:val="000000"/>
                      </w:rPr>
                      <m:t>0,4 кВ и ниже</m:t>
                    </m:r>
                  </m:sup>
                </m:sSubSup>
              </m:oMath>
            </m:oMathPara>
          </w:p>
        </w:tc>
        <w:tc>
          <w:tcPr>
            <w:tcW w:w="1525" w:type="pct"/>
            <w:vMerge w:val="restart"/>
            <w:shd w:val="clear" w:color="auto" w:fill="auto"/>
            <w:vAlign w:val="center"/>
            <w:hideMark/>
          </w:tcPr>
          <w:p w14:paraId="7ABAEF4A" w14:textId="77777777" w:rsidR="008F3544" w:rsidRPr="00192507" w:rsidRDefault="008F3544" w:rsidP="0099088D">
            <w:pPr>
              <w:rPr>
                <w:color w:val="000000"/>
                <w:sz w:val="16"/>
                <w:szCs w:val="16"/>
              </w:rPr>
            </w:pPr>
            <w:r w:rsidRPr="00192507">
              <w:rPr>
                <w:color w:val="000000"/>
                <w:sz w:val="16"/>
                <w:szCs w:val="16"/>
              </w:rPr>
              <w:t>кабельные линии в траншеях одножильные с резиновой или пластмассовой изоляцией сечением провода от 50 до 100 квадратных мм включительно с одним кабелем в траншее</w:t>
            </w:r>
          </w:p>
        </w:tc>
        <w:tc>
          <w:tcPr>
            <w:tcW w:w="696" w:type="pct"/>
            <w:vMerge w:val="restart"/>
            <w:shd w:val="clear" w:color="auto" w:fill="auto"/>
            <w:vAlign w:val="center"/>
            <w:hideMark/>
          </w:tcPr>
          <w:p w14:paraId="707AEB35" w14:textId="77777777" w:rsidR="008F3544" w:rsidRPr="00192507" w:rsidRDefault="008F3544" w:rsidP="0099088D">
            <w:pPr>
              <w:jc w:val="center"/>
              <w:rPr>
                <w:color w:val="000000"/>
                <w:sz w:val="16"/>
                <w:szCs w:val="16"/>
              </w:rPr>
            </w:pPr>
            <w:r w:rsidRPr="00192507">
              <w:rPr>
                <w:color w:val="000000"/>
                <w:sz w:val="16"/>
                <w:szCs w:val="16"/>
              </w:rPr>
              <w:t>рублей/км</w:t>
            </w:r>
          </w:p>
        </w:tc>
        <w:tc>
          <w:tcPr>
            <w:tcW w:w="602" w:type="pct"/>
            <w:shd w:val="clear" w:color="auto" w:fill="auto"/>
            <w:noWrap/>
            <w:vAlign w:val="center"/>
            <w:hideMark/>
          </w:tcPr>
          <w:p w14:paraId="369E3DE0" w14:textId="77777777" w:rsidR="008F3544" w:rsidRPr="00192507" w:rsidRDefault="008F3544" w:rsidP="0099088D">
            <w:pPr>
              <w:jc w:val="center"/>
              <w:rPr>
                <w:color w:val="000000"/>
                <w:sz w:val="16"/>
                <w:szCs w:val="16"/>
              </w:rPr>
            </w:pPr>
            <w:r w:rsidRPr="00192507">
              <w:rPr>
                <w:color w:val="000000"/>
                <w:sz w:val="16"/>
                <w:szCs w:val="16"/>
              </w:rPr>
              <w:t>2 003 383,09</w:t>
            </w:r>
          </w:p>
        </w:tc>
        <w:tc>
          <w:tcPr>
            <w:tcW w:w="603" w:type="pct"/>
            <w:shd w:val="clear" w:color="auto" w:fill="auto"/>
            <w:noWrap/>
            <w:vAlign w:val="center"/>
            <w:hideMark/>
          </w:tcPr>
          <w:p w14:paraId="6FB88A52" w14:textId="77777777" w:rsidR="008F3544" w:rsidRPr="00192507" w:rsidRDefault="008F3544" w:rsidP="0099088D">
            <w:pPr>
              <w:jc w:val="center"/>
              <w:rPr>
                <w:color w:val="000000"/>
                <w:sz w:val="16"/>
                <w:szCs w:val="16"/>
              </w:rPr>
            </w:pPr>
            <w:r>
              <w:rPr>
                <w:color w:val="000000"/>
                <w:sz w:val="16"/>
                <w:szCs w:val="16"/>
              </w:rPr>
              <w:t>-</w:t>
            </w:r>
          </w:p>
        </w:tc>
      </w:tr>
      <w:tr w:rsidR="008F3544" w:rsidRPr="00192507" w14:paraId="0490662A" w14:textId="77777777" w:rsidTr="0099088D">
        <w:trPr>
          <w:trHeight w:val="547"/>
        </w:trPr>
        <w:tc>
          <w:tcPr>
            <w:tcW w:w="672" w:type="pct"/>
            <w:vMerge/>
            <w:shd w:val="clear" w:color="auto" w:fill="auto"/>
            <w:vAlign w:val="center"/>
            <w:hideMark/>
          </w:tcPr>
          <w:p w14:paraId="1EE7EDA4" w14:textId="77777777" w:rsidR="008F3544" w:rsidRPr="00192507" w:rsidRDefault="008F3544" w:rsidP="0099088D">
            <w:pPr>
              <w:rPr>
                <w:color w:val="000000"/>
                <w:sz w:val="16"/>
                <w:szCs w:val="16"/>
              </w:rPr>
            </w:pPr>
          </w:p>
        </w:tc>
        <w:tc>
          <w:tcPr>
            <w:tcW w:w="902" w:type="pct"/>
            <w:shd w:val="clear" w:color="auto" w:fill="auto"/>
            <w:vAlign w:val="center"/>
            <w:hideMark/>
          </w:tcPr>
          <w:p w14:paraId="42947DA7" w14:textId="77777777" w:rsidR="008F3544" w:rsidRPr="00FC1278"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3.1.1.1.2.1.</m:t>
                    </m:r>
                  </m:sub>
                  <m:sup>
                    <m:r>
                      <m:rPr>
                        <m:nor/>
                      </m:rPr>
                      <w:rPr>
                        <w:color w:val="000000"/>
                      </w:rPr>
                      <m:t>1-10 кВ</m:t>
                    </m:r>
                  </m:sup>
                </m:sSubSup>
              </m:oMath>
            </m:oMathPara>
          </w:p>
        </w:tc>
        <w:tc>
          <w:tcPr>
            <w:tcW w:w="1525" w:type="pct"/>
            <w:vMerge/>
            <w:shd w:val="clear" w:color="auto" w:fill="auto"/>
            <w:vAlign w:val="center"/>
            <w:hideMark/>
          </w:tcPr>
          <w:p w14:paraId="55A537AC" w14:textId="77777777" w:rsidR="008F3544" w:rsidRPr="00192507" w:rsidRDefault="008F3544" w:rsidP="0099088D">
            <w:pPr>
              <w:rPr>
                <w:color w:val="000000"/>
                <w:sz w:val="16"/>
                <w:szCs w:val="16"/>
              </w:rPr>
            </w:pPr>
          </w:p>
        </w:tc>
        <w:tc>
          <w:tcPr>
            <w:tcW w:w="696" w:type="pct"/>
            <w:vMerge/>
            <w:shd w:val="clear" w:color="auto" w:fill="auto"/>
            <w:vAlign w:val="center"/>
            <w:hideMark/>
          </w:tcPr>
          <w:p w14:paraId="3E55B0AE" w14:textId="77777777" w:rsidR="008F3544" w:rsidRPr="00192507" w:rsidRDefault="008F3544" w:rsidP="0099088D">
            <w:pPr>
              <w:rPr>
                <w:color w:val="000000"/>
                <w:sz w:val="16"/>
                <w:szCs w:val="16"/>
              </w:rPr>
            </w:pPr>
          </w:p>
        </w:tc>
        <w:tc>
          <w:tcPr>
            <w:tcW w:w="602" w:type="pct"/>
            <w:shd w:val="clear" w:color="auto" w:fill="auto"/>
            <w:noWrap/>
            <w:vAlign w:val="center"/>
            <w:hideMark/>
          </w:tcPr>
          <w:p w14:paraId="7867CBF7" w14:textId="77777777" w:rsidR="008F3544" w:rsidRPr="00192507" w:rsidRDefault="008F3544" w:rsidP="0099088D">
            <w:pPr>
              <w:jc w:val="center"/>
              <w:rPr>
                <w:color w:val="000000"/>
                <w:sz w:val="16"/>
                <w:szCs w:val="16"/>
              </w:rPr>
            </w:pPr>
            <w:r w:rsidRPr="00192507">
              <w:rPr>
                <w:color w:val="000000"/>
                <w:sz w:val="16"/>
                <w:szCs w:val="16"/>
              </w:rPr>
              <w:t>2 564 715,67</w:t>
            </w:r>
          </w:p>
        </w:tc>
        <w:tc>
          <w:tcPr>
            <w:tcW w:w="603" w:type="pct"/>
            <w:shd w:val="clear" w:color="auto" w:fill="auto"/>
            <w:noWrap/>
            <w:vAlign w:val="center"/>
            <w:hideMark/>
          </w:tcPr>
          <w:p w14:paraId="4108AAE2" w14:textId="77777777" w:rsidR="008F3544" w:rsidRPr="00192507" w:rsidRDefault="008F3544" w:rsidP="0099088D">
            <w:pPr>
              <w:jc w:val="center"/>
              <w:rPr>
                <w:color w:val="000000"/>
                <w:sz w:val="16"/>
                <w:szCs w:val="16"/>
              </w:rPr>
            </w:pPr>
            <w:r w:rsidRPr="00192507">
              <w:rPr>
                <w:color w:val="000000"/>
                <w:sz w:val="16"/>
                <w:szCs w:val="16"/>
              </w:rPr>
              <w:t>2 482 594,59</w:t>
            </w:r>
          </w:p>
        </w:tc>
      </w:tr>
      <w:tr w:rsidR="008F3544" w:rsidRPr="00192507" w14:paraId="78C6F937" w14:textId="77777777" w:rsidTr="0099088D">
        <w:trPr>
          <w:trHeight w:val="900"/>
        </w:trPr>
        <w:tc>
          <w:tcPr>
            <w:tcW w:w="672" w:type="pct"/>
            <w:shd w:val="clear" w:color="auto" w:fill="auto"/>
            <w:vAlign w:val="center"/>
            <w:hideMark/>
          </w:tcPr>
          <w:p w14:paraId="32AC065E" w14:textId="77777777" w:rsidR="008F3544" w:rsidRPr="00192507" w:rsidRDefault="008F3544" w:rsidP="0099088D">
            <w:pPr>
              <w:jc w:val="center"/>
              <w:rPr>
                <w:color w:val="000000"/>
                <w:sz w:val="16"/>
                <w:szCs w:val="16"/>
              </w:rPr>
            </w:pPr>
            <w:r w:rsidRPr="00192507">
              <w:rPr>
                <w:color w:val="000000"/>
                <w:sz w:val="16"/>
                <w:szCs w:val="16"/>
              </w:rPr>
              <w:t>3.1.1.1.2.2.</w:t>
            </w:r>
          </w:p>
        </w:tc>
        <w:tc>
          <w:tcPr>
            <w:tcW w:w="902" w:type="pct"/>
            <w:shd w:val="clear" w:color="auto" w:fill="auto"/>
            <w:vAlign w:val="center"/>
            <w:hideMark/>
          </w:tcPr>
          <w:p w14:paraId="0C7D04F7" w14:textId="77777777" w:rsidR="008F3544" w:rsidRPr="00FC1278"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3.1.1.1.2.2.</m:t>
                    </m:r>
                  </m:sub>
                  <m:sup>
                    <m:r>
                      <m:rPr>
                        <m:nor/>
                      </m:rPr>
                      <w:rPr>
                        <w:color w:val="000000"/>
                      </w:rPr>
                      <m:t>1-10 кВ</m:t>
                    </m:r>
                  </m:sup>
                </m:sSubSup>
              </m:oMath>
            </m:oMathPara>
          </w:p>
        </w:tc>
        <w:tc>
          <w:tcPr>
            <w:tcW w:w="1525" w:type="pct"/>
            <w:shd w:val="clear" w:color="auto" w:fill="auto"/>
            <w:vAlign w:val="center"/>
            <w:hideMark/>
          </w:tcPr>
          <w:p w14:paraId="33342FC7" w14:textId="77777777" w:rsidR="008F3544" w:rsidRPr="00192507" w:rsidRDefault="008F3544" w:rsidP="0099088D">
            <w:pPr>
              <w:rPr>
                <w:color w:val="000000"/>
                <w:sz w:val="16"/>
                <w:szCs w:val="16"/>
              </w:rPr>
            </w:pPr>
            <w:r w:rsidRPr="00192507">
              <w:rPr>
                <w:color w:val="000000"/>
                <w:sz w:val="16"/>
                <w:szCs w:val="16"/>
              </w:rPr>
              <w:t>кабельные линии в траншеях одножильные с резиновой или пластмассовой изоляцией сечением провода от 50 до 100 квадратных мм включительно с двумя кабелем в траншее</w:t>
            </w:r>
          </w:p>
        </w:tc>
        <w:tc>
          <w:tcPr>
            <w:tcW w:w="696" w:type="pct"/>
            <w:shd w:val="clear" w:color="auto" w:fill="auto"/>
            <w:vAlign w:val="center"/>
            <w:hideMark/>
          </w:tcPr>
          <w:p w14:paraId="7419BA09" w14:textId="77777777" w:rsidR="008F3544" w:rsidRPr="00192507" w:rsidRDefault="008F3544" w:rsidP="0099088D">
            <w:pPr>
              <w:jc w:val="center"/>
              <w:rPr>
                <w:color w:val="000000"/>
                <w:sz w:val="16"/>
                <w:szCs w:val="16"/>
              </w:rPr>
            </w:pPr>
            <w:r w:rsidRPr="00192507">
              <w:rPr>
                <w:color w:val="000000"/>
                <w:sz w:val="16"/>
                <w:szCs w:val="16"/>
              </w:rPr>
              <w:t>рублей/км</w:t>
            </w:r>
          </w:p>
        </w:tc>
        <w:tc>
          <w:tcPr>
            <w:tcW w:w="602" w:type="pct"/>
            <w:shd w:val="clear" w:color="auto" w:fill="auto"/>
            <w:noWrap/>
            <w:vAlign w:val="center"/>
            <w:hideMark/>
          </w:tcPr>
          <w:p w14:paraId="1A02D5D2" w14:textId="77777777" w:rsidR="008F3544" w:rsidRPr="00192507" w:rsidRDefault="008F3544" w:rsidP="0099088D">
            <w:pPr>
              <w:jc w:val="center"/>
              <w:rPr>
                <w:color w:val="000000"/>
                <w:sz w:val="16"/>
                <w:szCs w:val="16"/>
              </w:rPr>
            </w:pPr>
            <w:r w:rsidRPr="00192507">
              <w:rPr>
                <w:color w:val="000000"/>
                <w:sz w:val="16"/>
                <w:szCs w:val="16"/>
              </w:rPr>
              <w:t>4 416 221,36</w:t>
            </w:r>
          </w:p>
        </w:tc>
        <w:tc>
          <w:tcPr>
            <w:tcW w:w="603" w:type="pct"/>
            <w:shd w:val="clear" w:color="auto" w:fill="auto"/>
            <w:noWrap/>
            <w:vAlign w:val="center"/>
            <w:hideMark/>
          </w:tcPr>
          <w:p w14:paraId="79D19827" w14:textId="77777777" w:rsidR="008F3544" w:rsidRPr="00192507" w:rsidRDefault="008F3544" w:rsidP="0099088D">
            <w:pPr>
              <w:jc w:val="center"/>
              <w:rPr>
                <w:color w:val="000000"/>
                <w:sz w:val="16"/>
                <w:szCs w:val="16"/>
              </w:rPr>
            </w:pPr>
            <w:r w:rsidRPr="00192507">
              <w:rPr>
                <w:color w:val="000000"/>
                <w:sz w:val="16"/>
                <w:szCs w:val="16"/>
              </w:rPr>
              <w:t>3 233 334,37</w:t>
            </w:r>
          </w:p>
        </w:tc>
      </w:tr>
      <w:tr w:rsidR="008F3544" w:rsidRPr="00192507" w14:paraId="3B75E02D" w14:textId="77777777" w:rsidTr="0099088D">
        <w:trPr>
          <w:trHeight w:val="500"/>
        </w:trPr>
        <w:tc>
          <w:tcPr>
            <w:tcW w:w="672" w:type="pct"/>
            <w:vMerge w:val="restart"/>
            <w:shd w:val="clear" w:color="auto" w:fill="auto"/>
            <w:vAlign w:val="center"/>
            <w:hideMark/>
          </w:tcPr>
          <w:p w14:paraId="0453A64D" w14:textId="77777777" w:rsidR="008F3544" w:rsidRPr="00192507" w:rsidRDefault="008F3544" w:rsidP="0099088D">
            <w:pPr>
              <w:jc w:val="center"/>
              <w:rPr>
                <w:color w:val="000000"/>
                <w:sz w:val="16"/>
                <w:szCs w:val="16"/>
              </w:rPr>
            </w:pPr>
            <w:r w:rsidRPr="00192507">
              <w:rPr>
                <w:color w:val="000000"/>
                <w:sz w:val="16"/>
                <w:szCs w:val="16"/>
              </w:rPr>
              <w:t>3.1.1.1.3.1.</w:t>
            </w:r>
          </w:p>
        </w:tc>
        <w:tc>
          <w:tcPr>
            <w:tcW w:w="902" w:type="pct"/>
            <w:shd w:val="clear" w:color="auto" w:fill="auto"/>
            <w:vAlign w:val="center"/>
            <w:hideMark/>
          </w:tcPr>
          <w:p w14:paraId="181F7A11" w14:textId="77777777" w:rsidR="008F3544" w:rsidRPr="00FC1278"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3.1.1.1.3.1.</m:t>
                    </m:r>
                  </m:sub>
                  <m:sup>
                    <m:r>
                      <m:rPr>
                        <m:nor/>
                      </m:rPr>
                      <w:rPr>
                        <w:color w:val="000000"/>
                      </w:rPr>
                      <m:t>1-10 кВ</m:t>
                    </m:r>
                  </m:sup>
                </m:sSubSup>
              </m:oMath>
            </m:oMathPara>
          </w:p>
        </w:tc>
        <w:tc>
          <w:tcPr>
            <w:tcW w:w="1525" w:type="pct"/>
            <w:vMerge w:val="restart"/>
            <w:shd w:val="clear" w:color="auto" w:fill="auto"/>
            <w:vAlign w:val="center"/>
            <w:hideMark/>
          </w:tcPr>
          <w:p w14:paraId="0A9AAA75" w14:textId="77777777" w:rsidR="008F3544" w:rsidRPr="00192507" w:rsidRDefault="008F3544" w:rsidP="0099088D">
            <w:pPr>
              <w:rPr>
                <w:color w:val="000000"/>
                <w:sz w:val="16"/>
                <w:szCs w:val="16"/>
              </w:rPr>
            </w:pPr>
            <w:r w:rsidRPr="00192507">
              <w:rPr>
                <w:color w:val="000000"/>
                <w:sz w:val="16"/>
                <w:szCs w:val="16"/>
              </w:rPr>
              <w:t>кабельные линии в траншеях одножильные с резиновой или пластмассовой изоляцией сечением провода от 100 до 200 квадратных мм включительно с одним кабелем в траншее</w:t>
            </w:r>
          </w:p>
        </w:tc>
        <w:tc>
          <w:tcPr>
            <w:tcW w:w="696" w:type="pct"/>
            <w:vMerge w:val="restart"/>
            <w:shd w:val="clear" w:color="auto" w:fill="auto"/>
            <w:vAlign w:val="center"/>
            <w:hideMark/>
          </w:tcPr>
          <w:p w14:paraId="6A89FA88" w14:textId="77777777" w:rsidR="008F3544" w:rsidRPr="00192507" w:rsidRDefault="008F3544" w:rsidP="0099088D">
            <w:pPr>
              <w:jc w:val="center"/>
              <w:rPr>
                <w:color w:val="000000"/>
                <w:sz w:val="16"/>
                <w:szCs w:val="16"/>
              </w:rPr>
            </w:pPr>
            <w:r w:rsidRPr="00192507">
              <w:rPr>
                <w:color w:val="000000"/>
                <w:sz w:val="16"/>
                <w:szCs w:val="16"/>
              </w:rPr>
              <w:t>рублей/км</w:t>
            </w:r>
          </w:p>
        </w:tc>
        <w:tc>
          <w:tcPr>
            <w:tcW w:w="602" w:type="pct"/>
            <w:shd w:val="clear" w:color="auto" w:fill="auto"/>
            <w:noWrap/>
            <w:vAlign w:val="center"/>
            <w:hideMark/>
          </w:tcPr>
          <w:p w14:paraId="4A5D1DCE" w14:textId="77777777" w:rsidR="008F3544" w:rsidRPr="00192507" w:rsidRDefault="008F3544" w:rsidP="0099088D">
            <w:pPr>
              <w:jc w:val="center"/>
              <w:rPr>
                <w:color w:val="000000"/>
                <w:sz w:val="16"/>
                <w:szCs w:val="16"/>
              </w:rPr>
            </w:pPr>
            <w:r w:rsidRPr="00192507">
              <w:rPr>
                <w:color w:val="000000"/>
                <w:sz w:val="16"/>
                <w:szCs w:val="16"/>
              </w:rPr>
              <w:t>3 857 083,96</w:t>
            </w:r>
          </w:p>
        </w:tc>
        <w:tc>
          <w:tcPr>
            <w:tcW w:w="603" w:type="pct"/>
            <w:shd w:val="clear" w:color="auto" w:fill="auto"/>
            <w:noWrap/>
            <w:vAlign w:val="center"/>
            <w:hideMark/>
          </w:tcPr>
          <w:p w14:paraId="714D3EFA" w14:textId="77777777" w:rsidR="008F3544" w:rsidRPr="00192507" w:rsidRDefault="008F3544" w:rsidP="0099088D">
            <w:pPr>
              <w:jc w:val="center"/>
              <w:rPr>
                <w:color w:val="000000"/>
                <w:sz w:val="16"/>
                <w:szCs w:val="16"/>
              </w:rPr>
            </w:pPr>
            <w:r w:rsidRPr="00192507">
              <w:rPr>
                <w:color w:val="000000"/>
                <w:sz w:val="16"/>
                <w:szCs w:val="16"/>
              </w:rPr>
              <w:t>2 930 212,58</w:t>
            </w:r>
          </w:p>
        </w:tc>
      </w:tr>
      <w:tr w:rsidR="008F3544" w:rsidRPr="00192507" w14:paraId="304939D0" w14:textId="77777777" w:rsidTr="0099088D">
        <w:trPr>
          <w:trHeight w:val="500"/>
        </w:trPr>
        <w:tc>
          <w:tcPr>
            <w:tcW w:w="672" w:type="pct"/>
            <w:vMerge/>
            <w:shd w:val="clear" w:color="auto" w:fill="auto"/>
            <w:vAlign w:val="center"/>
            <w:hideMark/>
          </w:tcPr>
          <w:p w14:paraId="3425F2CB" w14:textId="77777777" w:rsidR="008F3544" w:rsidRPr="00192507" w:rsidRDefault="008F3544" w:rsidP="0099088D">
            <w:pPr>
              <w:rPr>
                <w:color w:val="000000"/>
                <w:sz w:val="16"/>
                <w:szCs w:val="16"/>
              </w:rPr>
            </w:pPr>
          </w:p>
        </w:tc>
        <w:tc>
          <w:tcPr>
            <w:tcW w:w="902" w:type="pct"/>
            <w:shd w:val="clear" w:color="auto" w:fill="auto"/>
            <w:vAlign w:val="center"/>
            <w:hideMark/>
          </w:tcPr>
          <w:p w14:paraId="2EE0246C" w14:textId="77777777" w:rsidR="008F3544" w:rsidRPr="00C3420A"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3.1.1.1.3.1.</m:t>
                    </m:r>
                  </m:sub>
                  <m:sup>
                    <m:r>
                      <m:rPr>
                        <m:nor/>
                      </m:rPr>
                      <w:rPr>
                        <w:color w:val="000000"/>
                      </w:rPr>
                      <m:t>27,5-60 кВ</m:t>
                    </m:r>
                  </m:sup>
                </m:sSubSup>
              </m:oMath>
            </m:oMathPara>
          </w:p>
        </w:tc>
        <w:tc>
          <w:tcPr>
            <w:tcW w:w="1525" w:type="pct"/>
            <w:vMerge/>
            <w:shd w:val="clear" w:color="auto" w:fill="auto"/>
            <w:vAlign w:val="center"/>
            <w:hideMark/>
          </w:tcPr>
          <w:p w14:paraId="67E2126E" w14:textId="77777777" w:rsidR="008F3544" w:rsidRPr="00192507" w:rsidRDefault="008F3544" w:rsidP="0099088D">
            <w:pPr>
              <w:rPr>
                <w:color w:val="000000"/>
                <w:sz w:val="16"/>
                <w:szCs w:val="16"/>
              </w:rPr>
            </w:pPr>
          </w:p>
        </w:tc>
        <w:tc>
          <w:tcPr>
            <w:tcW w:w="696" w:type="pct"/>
            <w:vMerge/>
            <w:shd w:val="clear" w:color="auto" w:fill="auto"/>
            <w:vAlign w:val="center"/>
            <w:hideMark/>
          </w:tcPr>
          <w:p w14:paraId="66EA05F0" w14:textId="77777777" w:rsidR="008F3544" w:rsidRPr="00192507" w:rsidRDefault="008F3544" w:rsidP="0099088D">
            <w:pPr>
              <w:rPr>
                <w:color w:val="000000"/>
                <w:sz w:val="16"/>
                <w:szCs w:val="16"/>
              </w:rPr>
            </w:pPr>
          </w:p>
        </w:tc>
        <w:tc>
          <w:tcPr>
            <w:tcW w:w="602" w:type="pct"/>
            <w:shd w:val="clear" w:color="auto" w:fill="auto"/>
            <w:noWrap/>
            <w:vAlign w:val="center"/>
            <w:hideMark/>
          </w:tcPr>
          <w:p w14:paraId="3AF2AB51" w14:textId="77777777" w:rsidR="008F3544" w:rsidRPr="00192507" w:rsidRDefault="008F3544" w:rsidP="0099088D">
            <w:pPr>
              <w:jc w:val="center"/>
              <w:rPr>
                <w:color w:val="000000"/>
                <w:sz w:val="16"/>
                <w:szCs w:val="16"/>
              </w:rPr>
            </w:pPr>
            <w:r w:rsidRPr="00192507">
              <w:rPr>
                <w:color w:val="000000"/>
                <w:sz w:val="16"/>
                <w:szCs w:val="16"/>
              </w:rPr>
              <w:t>7 226 311,05</w:t>
            </w:r>
          </w:p>
        </w:tc>
        <w:tc>
          <w:tcPr>
            <w:tcW w:w="603" w:type="pct"/>
            <w:shd w:val="clear" w:color="auto" w:fill="auto"/>
            <w:noWrap/>
            <w:vAlign w:val="center"/>
            <w:hideMark/>
          </w:tcPr>
          <w:p w14:paraId="0AA3282F" w14:textId="77777777" w:rsidR="008F3544" w:rsidRPr="00192507" w:rsidRDefault="008F3544" w:rsidP="0099088D">
            <w:pPr>
              <w:jc w:val="center"/>
              <w:rPr>
                <w:color w:val="000000"/>
                <w:sz w:val="16"/>
                <w:szCs w:val="16"/>
              </w:rPr>
            </w:pPr>
            <w:r>
              <w:rPr>
                <w:color w:val="000000"/>
                <w:sz w:val="16"/>
                <w:szCs w:val="16"/>
              </w:rPr>
              <w:t>-</w:t>
            </w:r>
          </w:p>
        </w:tc>
      </w:tr>
      <w:tr w:rsidR="008F3544" w:rsidRPr="00192507" w14:paraId="2E43815A" w14:textId="77777777" w:rsidTr="0099088D">
        <w:trPr>
          <w:trHeight w:val="500"/>
        </w:trPr>
        <w:tc>
          <w:tcPr>
            <w:tcW w:w="672" w:type="pct"/>
            <w:vMerge/>
            <w:shd w:val="clear" w:color="auto" w:fill="auto"/>
            <w:vAlign w:val="center"/>
            <w:hideMark/>
          </w:tcPr>
          <w:p w14:paraId="043BB6E2" w14:textId="77777777" w:rsidR="008F3544" w:rsidRPr="00192507" w:rsidRDefault="008F3544" w:rsidP="0099088D">
            <w:pPr>
              <w:rPr>
                <w:color w:val="000000"/>
                <w:sz w:val="16"/>
                <w:szCs w:val="16"/>
              </w:rPr>
            </w:pPr>
          </w:p>
        </w:tc>
        <w:tc>
          <w:tcPr>
            <w:tcW w:w="902" w:type="pct"/>
            <w:shd w:val="clear" w:color="auto" w:fill="auto"/>
            <w:vAlign w:val="center"/>
            <w:hideMark/>
          </w:tcPr>
          <w:p w14:paraId="01E3B92C" w14:textId="77777777" w:rsidR="008F3544" w:rsidRPr="005C6F98"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3.1.1.1.3.1.</m:t>
                    </m:r>
                  </m:sub>
                  <m:sup>
                    <m:r>
                      <m:rPr>
                        <m:nor/>
                      </m:rPr>
                      <w:rPr>
                        <w:color w:val="000000"/>
                      </w:rPr>
                      <m:t>110 кВ и выше</m:t>
                    </m:r>
                  </m:sup>
                </m:sSubSup>
              </m:oMath>
            </m:oMathPara>
          </w:p>
        </w:tc>
        <w:tc>
          <w:tcPr>
            <w:tcW w:w="1525" w:type="pct"/>
            <w:vMerge/>
            <w:shd w:val="clear" w:color="auto" w:fill="auto"/>
            <w:vAlign w:val="center"/>
            <w:hideMark/>
          </w:tcPr>
          <w:p w14:paraId="184381E3" w14:textId="77777777" w:rsidR="008F3544" w:rsidRPr="00192507" w:rsidRDefault="008F3544" w:rsidP="0099088D">
            <w:pPr>
              <w:rPr>
                <w:color w:val="000000"/>
                <w:sz w:val="16"/>
                <w:szCs w:val="16"/>
              </w:rPr>
            </w:pPr>
          </w:p>
        </w:tc>
        <w:tc>
          <w:tcPr>
            <w:tcW w:w="696" w:type="pct"/>
            <w:vMerge/>
            <w:shd w:val="clear" w:color="auto" w:fill="auto"/>
            <w:vAlign w:val="center"/>
            <w:hideMark/>
          </w:tcPr>
          <w:p w14:paraId="70DA9E15" w14:textId="77777777" w:rsidR="008F3544" w:rsidRPr="00192507" w:rsidRDefault="008F3544" w:rsidP="0099088D">
            <w:pPr>
              <w:rPr>
                <w:color w:val="000000"/>
                <w:sz w:val="16"/>
                <w:szCs w:val="16"/>
              </w:rPr>
            </w:pPr>
          </w:p>
        </w:tc>
        <w:tc>
          <w:tcPr>
            <w:tcW w:w="602" w:type="pct"/>
            <w:shd w:val="clear" w:color="auto" w:fill="auto"/>
            <w:noWrap/>
            <w:vAlign w:val="center"/>
            <w:hideMark/>
          </w:tcPr>
          <w:p w14:paraId="0DEF7A74" w14:textId="77777777" w:rsidR="008F3544" w:rsidRPr="00192507" w:rsidRDefault="008F3544" w:rsidP="0099088D">
            <w:pPr>
              <w:jc w:val="center"/>
              <w:rPr>
                <w:color w:val="000000"/>
                <w:sz w:val="16"/>
                <w:szCs w:val="16"/>
              </w:rPr>
            </w:pPr>
            <w:r w:rsidRPr="00192507">
              <w:rPr>
                <w:color w:val="000000"/>
                <w:sz w:val="16"/>
                <w:szCs w:val="16"/>
              </w:rPr>
              <w:t>21 866 540,71</w:t>
            </w:r>
          </w:p>
        </w:tc>
        <w:tc>
          <w:tcPr>
            <w:tcW w:w="603" w:type="pct"/>
            <w:shd w:val="clear" w:color="auto" w:fill="auto"/>
            <w:noWrap/>
            <w:vAlign w:val="center"/>
            <w:hideMark/>
          </w:tcPr>
          <w:p w14:paraId="37395A21" w14:textId="77777777" w:rsidR="008F3544" w:rsidRPr="00192507" w:rsidRDefault="008F3544" w:rsidP="0099088D">
            <w:pPr>
              <w:jc w:val="center"/>
              <w:rPr>
                <w:color w:val="000000"/>
                <w:sz w:val="16"/>
                <w:szCs w:val="16"/>
              </w:rPr>
            </w:pPr>
            <w:r>
              <w:rPr>
                <w:color w:val="000000"/>
                <w:sz w:val="16"/>
                <w:szCs w:val="16"/>
              </w:rPr>
              <w:t>-</w:t>
            </w:r>
          </w:p>
        </w:tc>
      </w:tr>
      <w:tr w:rsidR="008F3544" w:rsidRPr="00192507" w14:paraId="1F2EAB2F" w14:textId="77777777" w:rsidTr="0099088D">
        <w:trPr>
          <w:trHeight w:val="900"/>
        </w:trPr>
        <w:tc>
          <w:tcPr>
            <w:tcW w:w="672" w:type="pct"/>
            <w:shd w:val="clear" w:color="auto" w:fill="auto"/>
            <w:vAlign w:val="center"/>
            <w:hideMark/>
          </w:tcPr>
          <w:p w14:paraId="6EC6199B" w14:textId="77777777" w:rsidR="008F3544" w:rsidRPr="00192507" w:rsidRDefault="008F3544" w:rsidP="0099088D">
            <w:pPr>
              <w:jc w:val="center"/>
              <w:rPr>
                <w:color w:val="000000"/>
                <w:sz w:val="16"/>
                <w:szCs w:val="16"/>
              </w:rPr>
            </w:pPr>
            <w:r w:rsidRPr="00192507">
              <w:rPr>
                <w:color w:val="000000"/>
                <w:sz w:val="16"/>
                <w:szCs w:val="16"/>
              </w:rPr>
              <w:t>3.1.1.1.3.2.</w:t>
            </w:r>
          </w:p>
        </w:tc>
        <w:tc>
          <w:tcPr>
            <w:tcW w:w="902" w:type="pct"/>
            <w:shd w:val="clear" w:color="auto" w:fill="auto"/>
            <w:vAlign w:val="center"/>
            <w:hideMark/>
          </w:tcPr>
          <w:p w14:paraId="40D14D30" w14:textId="77777777" w:rsidR="008F3544" w:rsidRPr="00C3420A"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3.1.1.1.3.2.</m:t>
                    </m:r>
                  </m:sub>
                  <m:sup>
                    <m:r>
                      <m:rPr>
                        <m:nor/>
                      </m:rPr>
                      <w:rPr>
                        <w:color w:val="000000"/>
                      </w:rPr>
                      <m:t>27,5-60 кВ</m:t>
                    </m:r>
                  </m:sup>
                </m:sSubSup>
              </m:oMath>
            </m:oMathPara>
          </w:p>
        </w:tc>
        <w:tc>
          <w:tcPr>
            <w:tcW w:w="1525" w:type="pct"/>
            <w:shd w:val="clear" w:color="auto" w:fill="auto"/>
            <w:vAlign w:val="center"/>
            <w:hideMark/>
          </w:tcPr>
          <w:p w14:paraId="388B0A46" w14:textId="77777777" w:rsidR="008F3544" w:rsidRPr="00192507" w:rsidRDefault="008F3544" w:rsidP="0099088D">
            <w:pPr>
              <w:rPr>
                <w:color w:val="000000"/>
                <w:sz w:val="16"/>
                <w:szCs w:val="16"/>
              </w:rPr>
            </w:pPr>
            <w:r w:rsidRPr="00192507">
              <w:rPr>
                <w:color w:val="000000"/>
                <w:sz w:val="16"/>
                <w:szCs w:val="16"/>
              </w:rPr>
              <w:t>кабельные линии в траншеях одножильные с резиновой или пластмассовой изоляцией сечением провода от 100 до 200 квадратных мм включительно с двумя кабелем в траншее</w:t>
            </w:r>
          </w:p>
        </w:tc>
        <w:tc>
          <w:tcPr>
            <w:tcW w:w="696" w:type="pct"/>
            <w:shd w:val="clear" w:color="auto" w:fill="auto"/>
            <w:vAlign w:val="center"/>
            <w:hideMark/>
          </w:tcPr>
          <w:p w14:paraId="4915DF1E" w14:textId="77777777" w:rsidR="008F3544" w:rsidRPr="00192507" w:rsidRDefault="008F3544" w:rsidP="0099088D">
            <w:pPr>
              <w:jc w:val="center"/>
              <w:rPr>
                <w:color w:val="000000"/>
                <w:sz w:val="16"/>
                <w:szCs w:val="16"/>
              </w:rPr>
            </w:pPr>
            <w:r w:rsidRPr="00192507">
              <w:rPr>
                <w:color w:val="000000"/>
                <w:sz w:val="16"/>
                <w:szCs w:val="16"/>
              </w:rPr>
              <w:t>рублей/км</w:t>
            </w:r>
          </w:p>
        </w:tc>
        <w:tc>
          <w:tcPr>
            <w:tcW w:w="602" w:type="pct"/>
            <w:shd w:val="clear" w:color="auto" w:fill="auto"/>
            <w:noWrap/>
            <w:vAlign w:val="center"/>
            <w:hideMark/>
          </w:tcPr>
          <w:p w14:paraId="671D6ADF" w14:textId="77777777" w:rsidR="008F3544" w:rsidRPr="00192507" w:rsidRDefault="008F3544" w:rsidP="0099088D">
            <w:pPr>
              <w:jc w:val="center"/>
              <w:rPr>
                <w:color w:val="000000"/>
                <w:sz w:val="16"/>
                <w:szCs w:val="16"/>
              </w:rPr>
            </w:pPr>
            <w:r w:rsidRPr="00192507">
              <w:rPr>
                <w:color w:val="000000"/>
                <w:sz w:val="16"/>
                <w:szCs w:val="16"/>
              </w:rPr>
              <w:t>13 288 868,94</w:t>
            </w:r>
          </w:p>
        </w:tc>
        <w:tc>
          <w:tcPr>
            <w:tcW w:w="603" w:type="pct"/>
            <w:shd w:val="clear" w:color="auto" w:fill="auto"/>
            <w:noWrap/>
            <w:vAlign w:val="center"/>
            <w:hideMark/>
          </w:tcPr>
          <w:p w14:paraId="6E99D935" w14:textId="77777777" w:rsidR="008F3544" w:rsidRPr="00192507" w:rsidRDefault="008F3544" w:rsidP="0099088D">
            <w:pPr>
              <w:jc w:val="center"/>
              <w:rPr>
                <w:color w:val="000000"/>
                <w:sz w:val="16"/>
                <w:szCs w:val="16"/>
              </w:rPr>
            </w:pPr>
            <w:r>
              <w:rPr>
                <w:color w:val="000000"/>
                <w:sz w:val="16"/>
                <w:szCs w:val="16"/>
              </w:rPr>
              <w:t>-</w:t>
            </w:r>
          </w:p>
        </w:tc>
      </w:tr>
      <w:tr w:rsidR="008F3544" w:rsidRPr="00192507" w14:paraId="10525006" w14:textId="77777777" w:rsidTr="0099088D">
        <w:trPr>
          <w:trHeight w:val="500"/>
        </w:trPr>
        <w:tc>
          <w:tcPr>
            <w:tcW w:w="672" w:type="pct"/>
            <w:vMerge w:val="restart"/>
            <w:shd w:val="clear" w:color="auto" w:fill="auto"/>
            <w:vAlign w:val="center"/>
            <w:hideMark/>
          </w:tcPr>
          <w:p w14:paraId="5C69F753" w14:textId="77777777" w:rsidR="008F3544" w:rsidRPr="00192507" w:rsidRDefault="008F3544" w:rsidP="0099088D">
            <w:pPr>
              <w:jc w:val="center"/>
              <w:rPr>
                <w:color w:val="000000"/>
                <w:sz w:val="16"/>
                <w:szCs w:val="16"/>
              </w:rPr>
            </w:pPr>
            <w:r w:rsidRPr="00192507">
              <w:rPr>
                <w:color w:val="000000"/>
                <w:sz w:val="16"/>
                <w:szCs w:val="16"/>
              </w:rPr>
              <w:t>3.1.1.1.4.1.</w:t>
            </w:r>
          </w:p>
        </w:tc>
        <w:tc>
          <w:tcPr>
            <w:tcW w:w="902" w:type="pct"/>
            <w:shd w:val="clear" w:color="auto" w:fill="auto"/>
            <w:vAlign w:val="center"/>
            <w:hideMark/>
          </w:tcPr>
          <w:p w14:paraId="68420F67" w14:textId="77777777" w:rsidR="008F3544" w:rsidRPr="005C6F98"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3.1.1.1.4.1.</m:t>
                    </m:r>
                  </m:sub>
                  <m:sup>
                    <m:r>
                      <m:rPr>
                        <m:nor/>
                      </m:rPr>
                      <w:rPr>
                        <w:color w:val="000000"/>
                      </w:rPr>
                      <m:t>1-10 кВ</m:t>
                    </m:r>
                  </m:sup>
                </m:sSubSup>
              </m:oMath>
            </m:oMathPara>
          </w:p>
        </w:tc>
        <w:tc>
          <w:tcPr>
            <w:tcW w:w="1525" w:type="pct"/>
            <w:vMerge w:val="restart"/>
            <w:shd w:val="clear" w:color="auto" w:fill="auto"/>
            <w:vAlign w:val="center"/>
            <w:hideMark/>
          </w:tcPr>
          <w:p w14:paraId="4955E3F8" w14:textId="77777777" w:rsidR="008F3544" w:rsidRPr="00192507" w:rsidRDefault="008F3544" w:rsidP="0099088D">
            <w:pPr>
              <w:rPr>
                <w:color w:val="000000"/>
                <w:sz w:val="16"/>
                <w:szCs w:val="16"/>
              </w:rPr>
            </w:pPr>
            <w:r w:rsidRPr="00192507">
              <w:rPr>
                <w:color w:val="000000"/>
                <w:sz w:val="16"/>
                <w:szCs w:val="16"/>
              </w:rPr>
              <w:t>кабельные линии в траншеях одножильные с резиновой или пластмассовой изоляцией сечением провода от 200 до 250 квадратных мм включительно с одним кабелем в траншее</w:t>
            </w:r>
          </w:p>
        </w:tc>
        <w:tc>
          <w:tcPr>
            <w:tcW w:w="696" w:type="pct"/>
            <w:vMerge w:val="restart"/>
            <w:shd w:val="clear" w:color="auto" w:fill="auto"/>
            <w:vAlign w:val="center"/>
            <w:hideMark/>
          </w:tcPr>
          <w:p w14:paraId="7F177D1A" w14:textId="77777777" w:rsidR="008F3544" w:rsidRPr="00192507" w:rsidRDefault="008F3544" w:rsidP="0099088D">
            <w:pPr>
              <w:jc w:val="center"/>
              <w:rPr>
                <w:color w:val="000000"/>
                <w:sz w:val="16"/>
                <w:szCs w:val="16"/>
              </w:rPr>
            </w:pPr>
            <w:r w:rsidRPr="00192507">
              <w:rPr>
                <w:color w:val="000000"/>
                <w:sz w:val="16"/>
                <w:szCs w:val="16"/>
              </w:rPr>
              <w:t>рублей/км</w:t>
            </w:r>
          </w:p>
        </w:tc>
        <w:tc>
          <w:tcPr>
            <w:tcW w:w="602" w:type="pct"/>
            <w:shd w:val="clear" w:color="auto" w:fill="auto"/>
            <w:noWrap/>
            <w:vAlign w:val="center"/>
            <w:hideMark/>
          </w:tcPr>
          <w:p w14:paraId="432750BF" w14:textId="77777777" w:rsidR="008F3544" w:rsidRPr="00192507" w:rsidRDefault="008F3544" w:rsidP="0099088D">
            <w:pPr>
              <w:jc w:val="center"/>
              <w:rPr>
                <w:color w:val="000000"/>
                <w:sz w:val="16"/>
                <w:szCs w:val="16"/>
              </w:rPr>
            </w:pPr>
            <w:r w:rsidRPr="00192507">
              <w:rPr>
                <w:color w:val="000000"/>
                <w:sz w:val="16"/>
                <w:szCs w:val="16"/>
              </w:rPr>
              <w:t>3 931 833,93</w:t>
            </w:r>
          </w:p>
        </w:tc>
        <w:tc>
          <w:tcPr>
            <w:tcW w:w="603" w:type="pct"/>
            <w:shd w:val="clear" w:color="auto" w:fill="auto"/>
            <w:noWrap/>
            <w:vAlign w:val="center"/>
            <w:hideMark/>
          </w:tcPr>
          <w:p w14:paraId="5651846E" w14:textId="77777777" w:rsidR="008F3544" w:rsidRPr="00192507" w:rsidRDefault="008F3544" w:rsidP="0099088D">
            <w:pPr>
              <w:jc w:val="center"/>
              <w:rPr>
                <w:color w:val="000000"/>
                <w:sz w:val="16"/>
                <w:szCs w:val="16"/>
              </w:rPr>
            </w:pPr>
            <w:r w:rsidRPr="00192507">
              <w:rPr>
                <w:color w:val="000000"/>
                <w:sz w:val="16"/>
                <w:szCs w:val="16"/>
              </w:rPr>
              <w:t>3 857 511,42</w:t>
            </w:r>
          </w:p>
        </w:tc>
      </w:tr>
      <w:tr w:rsidR="008F3544" w:rsidRPr="00192507" w14:paraId="039862A0" w14:textId="77777777" w:rsidTr="0099088D">
        <w:trPr>
          <w:trHeight w:val="500"/>
        </w:trPr>
        <w:tc>
          <w:tcPr>
            <w:tcW w:w="672" w:type="pct"/>
            <w:vMerge/>
            <w:shd w:val="clear" w:color="auto" w:fill="auto"/>
            <w:vAlign w:val="center"/>
            <w:hideMark/>
          </w:tcPr>
          <w:p w14:paraId="40D4A469" w14:textId="77777777" w:rsidR="008F3544" w:rsidRPr="00192507" w:rsidRDefault="008F3544" w:rsidP="0099088D">
            <w:pPr>
              <w:rPr>
                <w:color w:val="000000"/>
                <w:sz w:val="16"/>
                <w:szCs w:val="16"/>
              </w:rPr>
            </w:pPr>
          </w:p>
        </w:tc>
        <w:tc>
          <w:tcPr>
            <w:tcW w:w="902" w:type="pct"/>
            <w:shd w:val="clear" w:color="auto" w:fill="auto"/>
            <w:vAlign w:val="center"/>
            <w:hideMark/>
          </w:tcPr>
          <w:p w14:paraId="38B42CC2" w14:textId="77777777" w:rsidR="008F3544" w:rsidRPr="00C3420A"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3.1.1.1.4.1.</m:t>
                    </m:r>
                  </m:sub>
                  <m:sup>
                    <m:r>
                      <m:rPr>
                        <m:nor/>
                      </m:rPr>
                      <w:rPr>
                        <w:color w:val="000000"/>
                      </w:rPr>
                      <m:t>27,5-60 кВ</m:t>
                    </m:r>
                  </m:sup>
                </m:sSubSup>
              </m:oMath>
            </m:oMathPara>
          </w:p>
        </w:tc>
        <w:tc>
          <w:tcPr>
            <w:tcW w:w="1525" w:type="pct"/>
            <w:vMerge/>
            <w:shd w:val="clear" w:color="auto" w:fill="auto"/>
            <w:vAlign w:val="center"/>
            <w:hideMark/>
          </w:tcPr>
          <w:p w14:paraId="7325D56E" w14:textId="77777777" w:rsidR="008F3544" w:rsidRPr="00192507" w:rsidRDefault="008F3544" w:rsidP="0099088D">
            <w:pPr>
              <w:rPr>
                <w:color w:val="000000"/>
                <w:sz w:val="16"/>
                <w:szCs w:val="16"/>
              </w:rPr>
            </w:pPr>
          </w:p>
        </w:tc>
        <w:tc>
          <w:tcPr>
            <w:tcW w:w="696" w:type="pct"/>
            <w:vMerge/>
            <w:shd w:val="clear" w:color="auto" w:fill="auto"/>
            <w:vAlign w:val="center"/>
            <w:hideMark/>
          </w:tcPr>
          <w:p w14:paraId="0D79DDB1" w14:textId="77777777" w:rsidR="008F3544" w:rsidRPr="00192507" w:rsidRDefault="008F3544" w:rsidP="0099088D">
            <w:pPr>
              <w:rPr>
                <w:color w:val="000000"/>
                <w:sz w:val="16"/>
                <w:szCs w:val="16"/>
              </w:rPr>
            </w:pPr>
          </w:p>
        </w:tc>
        <w:tc>
          <w:tcPr>
            <w:tcW w:w="602" w:type="pct"/>
            <w:shd w:val="clear" w:color="auto" w:fill="auto"/>
            <w:noWrap/>
            <w:vAlign w:val="center"/>
            <w:hideMark/>
          </w:tcPr>
          <w:p w14:paraId="173A852D" w14:textId="77777777" w:rsidR="008F3544" w:rsidRPr="00192507" w:rsidRDefault="008F3544" w:rsidP="0099088D">
            <w:pPr>
              <w:jc w:val="center"/>
              <w:rPr>
                <w:color w:val="000000"/>
                <w:sz w:val="16"/>
                <w:szCs w:val="16"/>
              </w:rPr>
            </w:pPr>
            <w:r w:rsidRPr="00192507">
              <w:rPr>
                <w:color w:val="000000"/>
                <w:sz w:val="16"/>
                <w:szCs w:val="16"/>
              </w:rPr>
              <w:t>8 960 826,01</w:t>
            </w:r>
          </w:p>
        </w:tc>
        <w:tc>
          <w:tcPr>
            <w:tcW w:w="603" w:type="pct"/>
            <w:shd w:val="clear" w:color="auto" w:fill="auto"/>
            <w:noWrap/>
            <w:vAlign w:val="center"/>
            <w:hideMark/>
          </w:tcPr>
          <w:p w14:paraId="3B13D9D4" w14:textId="77777777" w:rsidR="008F3544" w:rsidRPr="00192507" w:rsidRDefault="008F3544" w:rsidP="0099088D">
            <w:pPr>
              <w:jc w:val="center"/>
              <w:rPr>
                <w:color w:val="000000"/>
                <w:sz w:val="16"/>
                <w:szCs w:val="16"/>
              </w:rPr>
            </w:pPr>
            <w:r w:rsidRPr="00192507">
              <w:rPr>
                <w:color w:val="000000"/>
                <w:sz w:val="16"/>
                <w:szCs w:val="16"/>
              </w:rPr>
              <w:t>8 549 974,98</w:t>
            </w:r>
          </w:p>
        </w:tc>
      </w:tr>
      <w:tr w:rsidR="008F3544" w:rsidRPr="00192507" w14:paraId="419CE722" w14:textId="77777777" w:rsidTr="0099088D">
        <w:trPr>
          <w:trHeight w:val="500"/>
        </w:trPr>
        <w:tc>
          <w:tcPr>
            <w:tcW w:w="672" w:type="pct"/>
            <w:vMerge/>
            <w:shd w:val="clear" w:color="auto" w:fill="auto"/>
            <w:vAlign w:val="center"/>
            <w:hideMark/>
          </w:tcPr>
          <w:p w14:paraId="080C47FB" w14:textId="77777777" w:rsidR="008F3544" w:rsidRPr="00192507" w:rsidRDefault="008F3544" w:rsidP="0099088D">
            <w:pPr>
              <w:rPr>
                <w:color w:val="000000"/>
                <w:sz w:val="16"/>
                <w:szCs w:val="16"/>
              </w:rPr>
            </w:pPr>
          </w:p>
        </w:tc>
        <w:tc>
          <w:tcPr>
            <w:tcW w:w="902" w:type="pct"/>
            <w:shd w:val="clear" w:color="auto" w:fill="auto"/>
            <w:vAlign w:val="center"/>
            <w:hideMark/>
          </w:tcPr>
          <w:p w14:paraId="5A320FF8" w14:textId="77777777" w:rsidR="008F3544" w:rsidRPr="005C6F98"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3.1.1.1.4.1.</m:t>
                    </m:r>
                  </m:sub>
                  <m:sup>
                    <m:r>
                      <m:rPr>
                        <m:nor/>
                      </m:rPr>
                      <w:rPr>
                        <w:color w:val="000000"/>
                      </w:rPr>
                      <m:t>110 кВ и выше</m:t>
                    </m:r>
                  </m:sup>
                </m:sSubSup>
              </m:oMath>
            </m:oMathPara>
          </w:p>
        </w:tc>
        <w:tc>
          <w:tcPr>
            <w:tcW w:w="1525" w:type="pct"/>
            <w:vMerge/>
            <w:shd w:val="clear" w:color="auto" w:fill="auto"/>
            <w:vAlign w:val="center"/>
            <w:hideMark/>
          </w:tcPr>
          <w:p w14:paraId="4D9B883E" w14:textId="77777777" w:rsidR="008F3544" w:rsidRPr="00192507" w:rsidRDefault="008F3544" w:rsidP="0099088D">
            <w:pPr>
              <w:rPr>
                <w:color w:val="000000"/>
                <w:sz w:val="16"/>
                <w:szCs w:val="16"/>
              </w:rPr>
            </w:pPr>
          </w:p>
        </w:tc>
        <w:tc>
          <w:tcPr>
            <w:tcW w:w="696" w:type="pct"/>
            <w:vMerge/>
            <w:shd w:val="clear" w:color="auto" w:fill="auto"/>
            <w:vAlign w:val="center"/>
            <w:hideMark/>
          </w:tcPr>
          <w:p w14:paraId="62C6829F" w14:textId="77777777" w:rsidR="008F3544" w:rsidRPr="00192507" w:rsidRDefault="008F3544" w:rsidP="0099088D">
            <w:pPr>
              <w:rPr>
                <w:color w:val="000000"/>
                <w:sz w:val="16"/>
                <w:szCs w:val="16"/>
              </w:rPr>
            </w:pPr>
          </w:p>
        </w:tc>
        <w:tc>
          <w:tcPr>
            <w:tcW w:w="602" w:type="pct"/>
            <w:shd w:val="clear" w:color="auto" w:fill="auto"/>
            <w:noWrap/>
            <w:vAlign w:val="center"/>
            <w:hideMark/>
          </w:tcPr>
          <w:p w14:paraId="748DEE44" w14:textId="77777777" w:rsidR="008F3544" w:rsidRPr="00192507" w:rsidRDefault="008F3544" w:rsidP="0099088D">
            <w:pPr>
              <w:jc w:val="center"/>
              <w:rPr>
                <w:color w:val="000000"/>
                <w:sz w:val="16"/>
                <w:szCs w:val="16"/>
              </w:rPr>
            </w:pPr>
            <w:r w:rsidRPr="00192507">
              <w:rPr>
                <w:color w:val="000000"/>
                <w:sz w:val="16"/>
                <w:szCs w:val="16"/>
              </w:rPr>
              <w:t>23 745 181,27</w:t>
            </w:r>
          </w:p>
        </w:tc>
        <w:tc>
          <w:tcPr>
            <w:tcW w:w="603" w:type="pct"/>
            <w:shd w:val="clear" w:color="auto" w:fill="auto"/>
            <w:noWrap/>
            <w:vAlign w:val="center"/>
            <w:hideMark/>
          </w:tcPr>
          <w:p w14:paraId="03FAA51C" w14:textId="77777777" w:rsidR="008F3544" w:rsidRPr="00192507" w:rsidRDefault="008F3544" w:rsidP="0099088D">
            <w:pPr>
              <w:jc w:val="center"/>
              <w:rPr>
                <w:color w:val="000000"/>
                <w:sz w:val="16"/>
                <w:szCs w:val="16"/>
              </w:rPr>
            </w:pPr>
            <w:r>
              <w:rPr>
                <w:color w:val="000000"/>
                <w:sz w:val="16"/>
                <w:szCs w:val="16"/>
              </w:rPr>
              <w:t>-</w:t>
            </w:r>
          </w:p>
        </w:tc>
      </w:tr>
      <w:tr w:rsidR="008F3544" w:rsidRPr="00192507" w14:paraId="0C839E1C" w14:textId="77777777" w:rsidTr="0099088D">
        <w:trPr>
          <w:trHeight w:val="900"/>
        </w:trPr>
        <w:tc>
          <w:tcPr>
            <w:tcW w:w="672" w:type="pct"/>
            <w:shd w:val="clear" w:color="auto" w:fill="auto"/>
            <w:vAlign w:val="center"/>
            <w:hideMark/>
          </w:tcPr>
          <w:p w14:paraId="3B5BD387" w14:textId="77777777" w:rsidR="008F3544" w:rsidRPr="00192507" w:rsidRDefault="008F3544" w:rsidP="0099088D">
            <w:pPr>
              <w:jc w:val="center"/>
              <w:rPr>
                <w:color w:val="000000"/>
                <w:sz w:val="16"/>
                <w:szCs w:val="16"/>
              </w:rPr>
            </w:pPr>
            <w:r w:rsidRPr="00192507">
              <w:rPr>
                <w:color w:val="000000"/>
                <w:sz w:val="16"/>
                <w:szCs w:val="16"/>
              </w:rPr>
              <w:t>3.1.1.1.4.2.</w:t>
            </w:r>
          </w:p>
        </w:tc>
        <w:tc>
          <w:tcPr>
            <w:tcW w:w="902" w:type="pct"/>
            <w:shd w:val="clear" w:color="auto" w:fill="auto"/>
            <w:vAlign w:val="center"/>
            <w:hideMark/>
          </w:tcPr>
          <w:p w14:paraId="4CCEA328" w14:textId="77777777" w:rsidR="008F3544" w:rsidRPr="00451D92"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3.1.1.1.4.2.</m:t>
                    </m:r>
                  </m:sub>
                  <m:sup>
                    <m:r>
                      <m:rPr>
                        <m:nor/>
                      </m:rPr>
                      <w:rPr>
                        <w:color w:val="000000"/>
                      </w:rPr>
                      <m:t>27,5-60 кВ</m:t>
                    </m:r>
                  </m:sup>
                </m:sSubSup>
              </m:oMath>
            </m:oMathPara>
          </w:p>
        </w:tc>
        <w:tc>
          <w:tcPr>
            <w:tcW w:w="1525" w:type="pct"/>
            <w:shd w:val="clear" w:color="auto" w:fill="auto"/>
            <w:vAlign w:val="center"/>
            <w:hideMark/>
          </w:tcPr>
          <w:p w14:paraId="2E560974" w14:textId="77777777" w:rsidR="008F3544" w:rsidRPr="00192507" w:rsidRDefault="008F3544" w:rsidP="0099088D">
            <w:pPr>
              <w:rPr>
                <w:color w:val="000000"/>
                <w:sz w:val="16"/>
                <w:szCs w:val="16"/>
              </w:rPr>
            </w:pPr>
            <w:r w:rsidRPr="00192507">
              <w:rPr>
                <w:color w:val="000000"/>
                <w:sz w:val="16"/>
                <w:szCs w:val="16"/>
              </w:rPr>
              <w:t>кабельные линии в траншеях одножильные с резиновой или пластмассовой изоляцией сечением провода от 200 до 250 квадратных мм включительно с двумя кабелем в траншее</w:t>
            </w:r>
          </w:p>
        </w:tc>
        <w:tc>
          <w:tcPr>
            <w:tcW w:w="696" w:type="pct"/>
            <w:shd w:val="clear" w:color="auto" w:fill="auto"/>
            <w:vAlign w:val="center"/>
            <w:hideMark/>
          </w:tcPr>
          <w:p w14:paraId="35B56B67" w14:textId="77777777" w:rsidR="008F3544" w:rsidRPr="00192507" w:rsidRDefault="008F3544" w:rsidP="0099088D">
            <w:pPr>
              <w:jc w:val="center"/>
              <w:rPr>
                <w:color w:val="000000"/>
                <w:sz w:val="16"/>
                <w:szCs w:val="16"/>
              </w:rPr>
            </w:pPr>
            <w:r w:rsidRPr="00192507">
              <w:rPr>
                <w:color w:val="000000"/>
                <w:sz w:val="16"/>
                <w:szCs w:val="16"/>
              </w:rPr>
              <w:t>рублей/км</w:t>
            </w:r>
          </w:p>
        </w:tc>
        <w:tc>
          <w:tcPr>
            <w:tcW w:w="602" w:type="pct"/>
            <w:shd w:val="clear" w:color="auto" w:fill="auto"/>
            <w:noWrap/>
            <w:vAlign w:val="center"/>
            <w:hideMark/>
          </w:tcPr>
          <w:p w14:paraId="0BE6141B" w14:textId="77777777" w:rsidR="008F3544" w:rsidRPr="00192507" w:rsidRDefault="008F3544" w:rsidP="0099088D">
            <w:pPr>
              <w:jc w:val="center"/>
              <w:rPr>
                <w:color w:val="000000"/>
                <w:sz w:val="16"/>
                <w:szCs w:val="16"/>
              </w:rPr>
            </w:pPr>
            <w:r w:rsidRPr="00192507">
              <w:rPr>
                <w:color w:val="000000"/>
                <w:sz w:val="16"/>
                <w:szCs w:val="16"/>
              </w:rPr>
              <w:t>16 757 898,87</w:t>
            </w:r>
          </w:p>
        </w:tc>
        <w:tc>
          <w:tcPr>
            <w:tcW w:w="603" w:type="pct"/>
            <w:shd w:val="clear" w:color="auto" w:fill="auto"/>
            <w:noWrap/>
            <w:vAlign w:val="center"/>
            <w:hideMark/>
          </w:tcPr>
          <w:p w14:paraId="149E0071" w14:textId="77777777" w:rsidR="008F3544" w:rsidRPr="00192507" w:rsidRDefault="008F3544" w:rsidP="0099088D">
            <w:pPr>
              <w:jc w:val="center"/>
              <w:rPr>
                <w:color w:val="000000"/>
                <w:sz w:val="16"/>
                <w:szCs w:val="16"/>
              </w:rPr>
            </w:pPr>
            <w:r>
              <w:rPr>
                <w:color w:val="000000"/>
                <w:sz w:val="16"/>
                <w:szCs w:val="16"/>
              </w:rPr>
              <w:t>-</w:t>
            </w:r>
          </w:p>
        </w:tc>
      </w:tr>
      <w:tr w:rsidR="008F3544" w:rsidRPr="00192507" w14:paraId="15C75105" w14:textId="77777777" w:rsidTr="0099088D">
        <w:trPr>
          <w:trHeight w:val="465"/>
        </w:trPr>
        <w:tc>
          <w:tcPr>
            <w:tcW w:w="672" w:type="pct"/>
            <w:vMerge w:val="restart"/>
            <w:shd w:val="clear" w:color="auto" w:fill="auto"/>
            <w:vAlign w:val="center"/>
            <w:hideMark/>
          </w:tcPr>
          <w:p w14:paraId="30554E59" w14:textId="77777777" w:rsidR="008F3544" w:rsidRPr="00192507" w:rsidRDefault="008F3544" w:rsidP="0099088D">
            <w:pPr>
              <w:jc w:val="center"/>
              <w:rPr>
                <w:color w:val="000000"/>
                <w:sz w:val="16"/>
                <w:szCs w:val="16"/>
              </w:rPr>
            </w:pPr>
            <w:r w:rsidRPr="00192507">
              <w:rPr>
                <w:color w:val="000000"/>
                <w:sz w:val="16"/>
                <w:szCs w:val="16"/>
              </w:rPr>
              <w:t>3.1.2.1.1.1.</w:t>
            </w:r>
          </w:p>
        </w:tc>
        <w:tc>
          <w:tcPr>
            <w:tcW w:w="902" w:type="pct"/>
            <w:shd w:val="clear" w:color="auto" w:fill="auto"/>
            <w:vAlign w:val="center"/>
            <w:hideMark/>
          </w:tcPr>
          <w:p w14:paraId="53AB6C52" w14:textId="77777777" w:rsidR="008F3544" w:rsidRPr="005C6F98"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3.1.2.1.1.1.</m:t>
                    </m:r>
                  </m:sub>
                  <m:sup>
                    <m:r>
                      <m:rPr>
                        <m:nor/>
                      </m:rPr>
                      <w:rPr>
                        <w:color w:val="000000"/>
                      </w:rPr>
                      <m:t>0,4 кВ и ниже</m:t>
                    </m:r>
                  </m:sup>
                </m:sSubSup>
              </m:oMath>
            </m:oMathPara>
          </w:p>
        </w:tc>
        <w:tc>
          <w:tcPr>
            <w:tcW w:w="1525" w:type="pct"/>
            <w:vMerge w:val="restart"/>
            <w:shd w:val="clear" w:color="auto" w:fill="auto"/>
            <w:vAlign w:val="center"/>
            <w:hideMark/>
          </w:tcPr>
          <w:p w14:paraId="72676445" w14:textId="77777777" w:rsidR="008F3544" w:rsidRPr="00192507" w:rsidRDefault="008F3544" w:rsidP="0099088D">
            <w:pPr>
              <w:rPr>
                <w:color w:val="000000"/>
                <w:sz w:val="16"/>
                <w:szCs w:val="16"/>
              </w:rPr>
            </w:pPr>
            <w:r w:rsidRPr="00192507">
              <w:rPr>
                <w:color w:val="000000"/>
                <w:sz w:val="16"/>
                <w:szCs w:val="16"/>
              </w:rPr>
              <w:t>кабельные линии в траншеях многожильные с резиновой или пластмассовой изоляцией сечением провода до 50 квадратных мм включительно с одним кабелем в траншее</w:t>
            </w:r>
          </w:p>
        </w:tc>
        <w:tc>
          <w:tcPr>
            <w:tcW w:w="696" w:type="pct"/>
            <w:vMerge w:val="restart"/>
            <w:shd w:val="clear" w:color="auto" w:fill="auto"/>
            <w:vAlign w:val="center"/>
            <w:hideMark/>
          </w:tcPr>
          <w:p w14:paraId="037EAD25" w14:textId="77777777" w:rsidR="008F3544" w:rsidRPr="00192507" w:rsidRDefault="008F3544" w:rsidP="0099088D">
            <w:pPr>
              <w:jc w:val="center"/>
              <w:rPr>
                <w:color w:val="000000"/>
                <w:sz w:val="16"/>
                <w:szCs w:val="16"/>
              </w:rPr>
            </w:pPr>
            <w:r w:rsidRPr="00192507">
              <w:rPr>
                <w:color w:val="000000"/>
                <w:sz w:val="16"/>
                <w:szCs w:val="16"/>
              </w:rPr>
              <w:t>рублей/км</w:t>
            </w:r>
          </w:p>
        </w:tc>
        <w:tc>
          <w:tcPr>
            <w:tcW w:w="602" w:type="pct"/>
            <w:shd w:val="clear" w:color="auto" w:fill="auto"/>
            <w:noWrap/>
            <w:vAlign w:val="center"/>
            <w:hideMark/>
          </w:tcPr>
          <w:p w14:paraId="2DC52482" w14:textId="77777777" w:rsidR="008F3544" w:rsidRPr="00192507" w:rsidRDefault="008F3544" w:rsidP="0099088D">
            <w:pPr>
              <w:jc w:val="center"/>
              <w:rPr>
                <w:color w:val="000000"/>
                <w:sz w:val="16"/>
                <w:szCs w:val="16"/>
              </w:rPr>
            </w:pPr>
            <w:r w:rsidRPr="00192507">
              <w:rPr>
                <w:color w:val="000000"/>
                <w:sz w:val="16"/>
                <w:szCs w:val="16"/>
              </w:rPr>
              <w:t>2 190 146,22</w:t>
            </w:r>
          </w:p>
        </w:tc>
        <w:tc>
          <w:tcPr>
            <w:tcW w:w="603" w:type="pct"/>
            <w:shd w:val="clear" w:color="auto" w:fill="auto"/>
            <w:noWrap/>
            <w:vAlign w:val="center"/>
            <w:hideMark/>
          </w:tcPr>
          <w:p w14:paraId="7F164E50" w14:textId="77777777" w:rsidR="008F3544" w:rsidRPr="00192507" w:rsidRDefault="008F3544" w:rsidP="0099088D">
            <w:pPr>
              <w:jc w:val="center"/>
              <w:rPr>
                <w:color w:val="000000"/>
                <w:sz w:val="16"/>
                <w:szCs w:val="16"/>
              </w:rPr>
            </w:pPr>
            <w:r w:rsidRPr="00192507">
              <w:rPr>
                <w:color w:val="000000"/>
                <w:sz w:val="16"/>
                <w:szCs w:val="16"/>
              </w:rPr>
              <w:t>1 791 976,24</w:t>
            </w:r>
          </w:p>
        </w:tc>
      </w:tr>
      <w:tr w:rsidR="008F3544" w:rsidRPr="00192507" w14:paraId="5B3A7A72" w14:textId="77777777" w:rsidTr="0099088D">
        <w:trPr>
          <w:trHeight w:val="465"/>
        </w:trPr>
        <w:tc>
          <w:tcPr>
            <w:tcW w:w="672" w:type="pct"/>
            <w:vMerge/>
            <w:shd w:val="clear" w:color="auto" w:fill="auto"/>
            <w:vAlign w:val="center"/>
            <w:hideMark/>
          </w:tcPr>
          <w:p w14:paraId="1A7BED55" w14:textId="77777777" w:rsidR="008F3544" w:rsidRPr="00192507" w:rsidRDefault="008F3544" w:rsidP="0099088D">
            <w:pPr>
              <w:rPr>
                <w:color w:val="000000"/>
                <w:sz w:val="16"/>
                <w:szCs w:val="16"/>
              </w:rPr>
            </w:pPr>
          </w:p>
        </w:tc>
        <w:tc>
          <w:tcPr>
            <w:tcW w:w="902" w:type="pct"/>
            <w:shd w:val="clear" w:color="auto" w:fill="auto"/>
            <w:vAlign w:val="center"/>
            <w:hideMark/>
          </w:tcPr>
          <w:p w14:paraId="1F4C986B" w14:textId="77777777" w:rsidR="008F3544" w:rsidRPr="005C6F98"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3.1.2.1.1.1.</m:t>
                    </m:r>
                  </m:sub>
                  <m:sup>
                    <m:r>
                      <m:rPr>
                        <m:nor/>
                      </m:rPr>
                      <w:rPr>
                        <w:color w:val="000000"/>
                      </w:rPr>
                      <m:t>1-10 кВ</m:t>
                    </m:r>
                  </m:sup>
                </m:sSubSup>
              </m:oMath>
            </m:oMathPara>
          </w:p>
        </w:tc>
        <w:tc>
          <w:tcPr>
            <w:tcW w:w="1525" w:type="pct"/>
            <w:vMerge/>
            <w:shd w:val="clear" w:color="auto" w:fill="auto"/>
            <w:vAlign w:val="center"/>
            <w:hideMark/>
          </w:tcPr>
          <w:p w14:paraId="587FFFBC" w14:textId="77777777" w:rsidR="008F3544" w:rsidRPr="00192507" w:rsidRDefault="008F3544" w:rsidP="0099088D">
            <w:pPr>
              <w:rPr>
                <w:color w:val="000000"/>
                <w:sz w:val="16"/>
                <w:szCs w:val="16"/>
              </w:rPr>
            </w:pPr>
          </w:p>
        </w:tc>
        <w:tc>
          <w:tcPr>
            <w:tcW w:w="696" w:type="pct"/>
            <w:vMerge/>
            <w:shd w:val="clear" w:color="auto" w:fill="auto"/>
            <w:vAlign w:val="center"/>
            <w:hideMark/>
          </w:tcPr>
          <w:p w14:paraId="4182B859" w14:textId="77777777" w:rsidR="008F3544" w:rsidRPr="00192507" w:rsidRDefault="008F3544" w:rsidP="0099088D">
            <w:pPr>
              <w:rPr>
                <w:color w:val="000000"/>
                <w:sz w:val="16"/>
                <w:szCs w:val="16"/>
              </w:rPr>
            </w:pPr>
          </w:p>
        </w:tc>
        <w:tc>
          <w:tcPr>
            <w:tcW w:w="602" w:type="pct"/>
            <w:shd w:val="clear" w:color="auto" w:fill="auto"/>
            <w:noWrap/>
            <w:vAlign w:val="center"/>
            <w:hideMark/>
          </w:tcPr>
          <w:p w14:paraId="4EE6FB22" w14:textId="77777777" w:rsidR="008F3544" w:rsidRPr="00192507" w:rsidRDefault="008F3544" w:rsidP="0099088D">
            <w:pPr>
              <w:jc w:val="center"/>
              <w:rPr>
                <w:color w:val="000000"/>
                <w:sz w:val="16"/>
                <w:szCs w:val="16"/>
              </w:rPr>
            </w:pPr>
            <w:r w:rsidRPr="00192507">
              <w:rPr>
                <w:color w:val="000000"/>
                <w:sz w:val="16"/>
                <w:szCs w:val="16"/>
              </w:rPr>
              <w:t>2 384 641,30</w:t>
            </w:r>
          </w:p>
        </w:tc>
        <w:tc>
          <w:tcPr>
            <w:tcW w:w="603" w:type="pct"/>
            <w:shd w:val="clear" w:color="auto" w:fill="auto"/>
            <w:noWrap/>
            <w:vAlign w:val="center"/>
            <w:hideMark/>
          </w:tcPr>
          <w:p w14:paraId="0E3D282A" w14:textId="77777777" w:rsidR="008F3544" w:rsidRPr="00192507" w:rsidRDefault="008F3544" w:rsidP="0099088D">
            <w:pPr>
              <w:jc w:val="center"/>
              <w:rPr>
                <w:color w:val="000000"/>
                <w:sz w:val="16"/>
                <w:szCs w:val="16"/>
              </w:rPr>
            </w:pPr>
            <w:r w:rsidRPr="00192507">
              <w:rPr>
                <w:color w:val="000000"/>
                <w:sz w:val="16"/>
                <w:szCs w:val="16"/>
              </w:rPr>
              <w:t>2 358 571,53</w:t>
            </w:r>
          </w:p>
        </w:tc>
      </w:tr>
      <w:tr w:rsidR="008F3544" w:rsidRPr="00192507" w14:paraId="4FE74ECF" w14:textId="77777777" w:rsidTr="0099088D">
        <w:trPr>
          <w:trHeight w:val="547"/>
        </w:trPr>
        <w:tc>
          <w:tcPr>
            <w:tcW w:w="672" w:type="pct"/>
            <w:vMerge w:val="restart"/>
            <w:shd w:val="clear" w:color="auto" w:fill="auto"/>
            <w:vAlign w:val="center"/>
            <w:hideMark/>
          </w:tcPr>
          <w:p w14:paraId="6D78412D" w14:textId="77777777" w:rsidR="008F3544" w:rsidRPr="00192507" w:rsidRDefault="008F3544" w:rsidP="0099088D">
            <w:pPr>
              <w:jc w:val="center"/>
              <w:rPr>
                <w:color w:val="000000"/>
                <w:sz w:val="16"/>
                <w:szCs w:val="16"/>
              </w:rPr>
            </w:pPr>
            <w:r w:rsidRPr="00192507">
              <w:rPr>
                <w:color w:val="000000"/>
                <w:sz w:val="16"/>
                <w:szCs w:val="16"/>
              </w:rPr>
              <w:t>3.1.2.1.1.2.</w:t>
            </w:r>
          </w:p>
        </w:tc>
        <w:tc>
          <w:tcPr>
            <w:tcW w:w="902" w:type="pct"/>
            <w:shd w:val="clear" w:color="auto" w:fill="auto"/>
            <w:vAlign w:val="center"/>
            <w:hideMark/>
          </w:tcPr>
          <w:p w14:paraId="39694C6A" w14:textId="77777777" w:rsidR="008F3544" w:rsidRPr="003F2CCC"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3.1.2.1.1.2.</m:t>
                    </m:r>
                  </m:sub>
                  <m:sup>
                    <m:r>
                      <m:rPr>
                        <m:nor/>
                      </m:rPr>
                      <w:rPr>
                        <w:color w:val="000000"/>
                      </w:rPr>
                      <m:t>0,4 кВ и ниже</m:t>
                    </m:r>
                  </m:sup>
                </m:sSubSup>
              </m:oMath>
            </m:oMathPara>
          </w:p>
        </w:tc>
        <w:tc>
          <w:tcPr>
            <w:tcW w:w="1525" w:type="pct"/>
            <w:vMerge w:val="restart"/>
            <w:shd w:val="clear" w:color="auto" w:fill="auto"/>
            <w:vAlign w:val="center"/>
            <w:hideMark/>
          </w:tcPr>
          <w:p w14:paraId="17A55C19" w14:textId="77777777" w:rsidR="008F3544" w:rsidRPr="00192507" w:rsidRDefault="008F3544" w:rsidP="0099088D">
            <w:pPr>
              <w:rPr>
                <w:color w:val="000000"/>
                <w:sz w:val="16"/>
                <w:szCs w:val="16"/>
              </w:rPr>
            </w:pPr>
            <w:r w:rsidRPr="00192507">
              <w:rPr>
                <w:color w:val="000000"/>
                <w:sz w:val="16"/>
                <w:szCs w:val="16"/>
              </w:rPr>
              <w:t>кабельные линии в траншеях многожильные с резиновой или пластмассовой изоляцией сечением провода до 50 квадратных мм включительно с двумя кабелями в траншее</w:t>
            </w:r>
          </w:p>
        </w:tc>
        <w:tc>
          <w:tcPr>
            <w:tcW w:w="696" w:type="pct"/>
            <w:vMerge w:val="restart"/>
            <w:shd w:val="clear" w:color="auto" w:fill="auto"/>
            <w:vAlign w:val="center"/>
            <w:hideMark/>
          </w:tcPr>
          <w:p w14:paraId="3DCAD98A" w14:textId="77777777" w:rsidR="008F3544" w:rsidRPr="00192507" w:rsidRDefault="008F3544" w:rsidP="0099088D">
            <w:pPr>
              <w:jc w:val="center"/>
              <w:rPr>
                <w:color w:val="000000"/>
                <w:sz w:val="16"/>
                <w:szCs w:val="16"/>
              </w:rPr>
            </w:pPr>
            <w:r w:rsidRPr="00192507">
              <w:rPr>
                <w:color w:val="000000"/>
                <w:sz w:val="16"/>
                <w:szCs w:val="16"/>
              </w:rPr>
              <w:t>рублей/км</w:t>
            </w:r>
          </w:p>
        </w:tc>
        <w:tc>
          <w:tcPr>
            <w:tcW w:w="602" w:type="pct"/>
            <w:shd w:val="clear" w:color="auto" w:fill="auto"/>
            <w:noWrap/>
            <w:vAlign w:val="center"/>
            <w:hideMark/>
          </w:tcPr>
          <w:p w14:paraId="2A084E4A" w14:textId="77777777" w:rsidR="008F3544" w:rsidRPr="00192507" w:rsidRDefault="008F3544" w:rsidP="0099088D">
            <w:pPr>
              <w:jc w:val="center"/>
              <w:rPr>
                <w:color w:val="000000"/>
                <w:sz w:val="16"/>
                <w:szCs w:val="16"/>
              </w:rPr>
            </w:pPr>
            <w:r w:rsidRPr="00192507">
              <w:rPr>
                <w:color w:val="000000"/>
                <w:sz w:val="16"/>
                <w:szCs w:val="16"/>
              </w:rPr>
              <w:t>2 246 559,91</w:t>
            </w:r>
          </w:p>
        </w:tc>
        <w:tc>
          <w:tcPr>
            <w:tcW w:w="603" w:type="pct"/>
            <w:shd w:val="clear" w:color="auto" w:fill="auto"/>
            <w:noWrap/>
            <w:vAlign w:val="center"/>
            <w:hideMark/>
          </w:tcPr>
          <w:p w14:paraId="1BB0277B" w14:textId="77777777" w:rsidR="008F3544" w:rsidRPr="00192507" w:rsidRDefault="008F3544" w:rsidP="0099088D">
            <w:pPr>
              <w:jc w:val="center"/>
              <w:rPr>
                <w:color w:val="000000"/>
                <w:sz w:val="16"/>
                <w:szCs w:val="16"/>
              </w:rPr>
            </w:pPr>
            <w:r w:rsidRPr="00192507">
              <w:rPr>
                <w:color w:val="000000"/>
                <w:sz w:val="16"/>
                <w:szCs w:val="16"/>
              </w:rPr>
              <w:t>2 098 601,61</w:t>
            </w:r>
          </w:p>
        </w:tc>
      </w:tr>
      <w:tr w:rsidR="008F3544" w:rsidRPr="00192507" w14:paraId="6832DC72" w14:textId="77777777" w:rsidTr="0099088D">
        <w:trPr>
          <w:trHeight w:val="547"/>
        </w:trPr>
        <w:tc>
          <w:tcPr>
            <w:tcW w:w="672" w:type="pct"/>
            <w:vMerge/>
            <w:shd w:val="clear" w:color="auto" w:fill="auto"/>
            <w:vAlign w:val="center"/>
            <w:hideMark/>
          </w:tcPr>
          <w:p w14:paraId="77C72CB8" w14:textId="77777777" w:rsidR="008F3544" w:rsidRPr="00192507" w:rsidRDefault="008F3544" w:rsidP="0099088D">
            <w:pPr>
              <w:rPr>
                <w:color w:val="000000"/>
                <w:sz w:val="16"/>
                <w:szCs w:val="16"/>
              </w:rPr>
            </w:pPr>
          </w:p>
        </w:tc>
        <w:tc>
          <w:tcPr>
            <w:tcW w:w="902" w:type="pct"/>
            <w:shd w:val="clear" w:color="auto" w:fill="auto"/>
            <w:vAlign w:val="center"/>
            <w:hideMark/>
          </w:tcPr>
          <w:p w14:paraId="2F0B80A9" w14:textId="77777777" w:rsidR="008F3544" w:rsidRPr="003F2CCC"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3.1.2.1.1.2.</m:t>
                    </m:r>
                  </m:sub>
                  <m:sup>
                    <m:r>
                      <m:rPr>
                        <m:nor/>
                      </m:rPr>
                      <w:rPr>
                        <w:color w:val="000000"/>
                      </w:rPr>
                      <m:t>1-10 кВ</m:t>
                    </m:r>
                  </m:sup>
                </m:sSubSup>
              </m:oMath>
            </m:oMathPara>
          </w:p>
        </w:tc>
        <w:tc>
          <w:tcPr>
            <w:tcW w:w="1525" w:type="pct"/>
            <w:vMerge/>
            <w:shd w:val="clear" w:color="auto" w:fill="auto"/>
            <w:vAlign w:val="center"/>
            <w:hideMark/>
          </w:tcPr>
          <w:p w14:paraId="6753A9EF" w14:textId="77777777" w:rsidR="008F3544" w:rsidRPr="00192507" w:rsidRDefault="008F3544" w:rsidP="0099088D">
            <w:pPr>
              <w:rPr>
                <w:color w:val="000000"/>
                <w:sz w:val="16"/>
                <w:szCs w:val="16"/>
              </w:rPr>
            </w:pPr>
          </w:p>
        </w:tc>
        <w:tc>
          <w:tcPr>
            <w:tcW w:w="696" w:type="pct"/>
            <w:vMerge/>
            <w:shd w:val="clear" w:color="auto" w:fill="auto"/>
            <w:vAlign w:val="center"/>
            <w:hideMark/>
          </w:tcPr>
          <w:p w14:paraId="0FAB2E2A" w14:textId="77777777" w:rsidR="008F3544" w:rsidRPr="00192507" w:rsidRDefault="008F3544" w:rsidP="0099088D">
            <w:pPr>
              <w:rPr>
                <w:color w:val="000000"/>
                <w:sz w:val="16"/>
                <w:szCs w:val="16"/>
              </w:rPr>
            </w:pPr>
          </w:p>
        </w:tc>
        <w:tc>
          <w:tcPr>
            <w:tcW w:w="602" w:type="pct"/>
            <w:shd w:val="clear" w:color="auto" w:fill="auto"/>
            <w:noWrap/>
            <w:vAlign w:val="center"/>
            <w:hideMark/>
          </w:tcPr>
          <w:p w14:paraId="3516A9CC" w14:textId="77777777" w:rsidR="008F3544" w:rsidRPr="00192507" w:rsidRDefault="008F3544" w:rsidP="0099088D">
            <w:pPr>
              <w:jc w:val="center"/>
              <w:rPr>
                <w:color w:val="000000"/>
                <w:sz w:val="16"/>
                <w:szCs w:val="16"/>
              </w:rPr>
            </w:pPr>
            <w:r w:rsidRPr="00192507">
              <w:rPr>
                <w:color w:val="000000"/>
                <w:sz w:val="16"/>
                <w:szCs w:val="16"/>
              </w:rPr>
              <w:t>3 548 508,42</w:t>
            </w:r>
          </w:p>
        </w:tc>
        <w:tc>
          <w:tcPr>
            <w:tcW w:w="603" w:type="pct"/>
            <w:shd w:val="clear" w:color="auto" w:fill="auto"/>
            <w:noWrap/>
            <w:vAlign w:val="center"/>
            <w:hideMark/>
          </w:tcPr>
          <w:p w14:paraId="417CB4DA" w14:textId="77777777" w:rsidR="008F3544" w:rsidRPr="00192507" w:rsidRDefault="008F3544" w:rsidP="0099088D">
            <w:pPr>
              <w:jc w:val="center"/>
              <w:rPr>
                <w:color w:val="000000"/>
                <w:sz w:val="16"/>
                <w:szCs w:val="16"/>
              </w:rPr>
            </w:pPr>
            <w:r>
              <w:rPr>
                <w:color w:val="000000"/>
                <w:sz w:val="16"/>
                <w:szCs w:val="16"/>
              </w:rPr>
              <w:t>-</w:t>
            </w:r>
          </w:p>
        </w:tc>
      </w:tr>
      <w:tr w:rsidR="008F3544" w:rsidRPr="00192507" w14:paraId="204E9918" w14:textId="77777777" w:rsidTr="0099088D">
        <w:trPr>
          <w:trHeight w:val="547"/>
        </w:trPr>
        <w:tc>
          <w:tcPr>
            <w:tcW w:w="672" w:type="pct"/>
            <w:vMerge w:val="restart"/>
            <w:shd w:val="clear" w:color="auto" w:fill="auto"/>
            <w:vAlign w:val="center"/>
            <w:hideMark/>
          </w:tcPr>
          <w:p w14:paraId="023FE5AC" w14:textId="77777777" w:rsidR="008F3544" w:rsidRPr="00192507" w:rsidRDefault="008F3544" w:rsidP="0099088D">
            <w:pPr>
              <w:jc w:val="center"/>
              <w:rPr>
                <w:color w:val="000000"/>
                <w:sz w:val="16"/>
                <w:szCs w:val="16"/>
              </w:rPr>
            </w:pPr>
            <w:r w:rsidRPr="00192507">
              <w:rPr>
                <w:color w:val="000000"/>
                <w:sz w:val="16"/>
                <w:szCs w:val="16"/>
              </w:rPr>
              <w:t>3.1.2.1.2.1.</w:t>
            </w:r>
          </w:p>
        </w:tc>
        <w:tc>
          <w:tcPr>
            <w:tcW w:w="902" w:type="pct"/>
            <w:shd w:val="clear" w:color="auto" w:fill="auto"/>
            <w:vAlign w:val="center"/>
            <w:hideMark/>
          </w:tcPr>
          <w:p w14:paraId="685AAC4F" w14:textId="77777777" w:rsidR="008F3544" w:rsidRPr="003F2CCC"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3.1.2.1.2.1.</m:t>
                    </m:r>
                  </m:sub>
                  <m:sup>
                    <m:r>
                      <m:rPr>
                        <m:nor/>
                      </m:rPr>
                      <w:rPr>
                        <w:color w:val="000000"/>
                      </w:rPr>
                      <m:t>0,4 кВ и ниже</m:t>
                    </m:r>
                  </m:sup>
                </m:sSubSup>
              </m:oMath>
            </m:oMathPara>
          </w:p>
        </w:tc>
        <w:tc>
          <w:tcPr>
            <w:tcW w:w="1525" w:type="pct"/>
            <w:vMerge w:val="restart"/>
            <w:shd w:val="clear" w:color="auto" w:fill="auto"/>
            <w:vAlign w:val="center"/>
            <w:hideMark/>
          </w:tcPr>
          <w:p w14:paraId="79912EB6" w14:textId="77777777" w:rsidR="008F3544" w:rsidRPr="00192507" w:rsidRDefault="008F3544" w:rsidP="0099088D">
            <w:pPr>
              <w:rPr>
                <w:color w:val="000000"/>
                <w:sz w:val="16"/>
                <w:szCs w:val="16"/>
              </w:rPr>
            </w:pPr>
            <w:r w:rsidRPr="00192507">
              <w:rPr>
                <w:color w:val="000000"/>
                <w:sz w:val="16"/>
                <w:szCs w:val="16"/>
              </w:rPr>
              <w:t>кабельные линии в траншеях многожильные с резиновой или пластмассовой изоляцией сечением провода от 50 до 100 квадратных мм включительно с одним кабелем в траншее</w:t>
            </w:r>
          </w:p>
        </w:tc>
        <w:tc>
          <w:tcPr>
            <w:tcW w:w="696" w:type="pct"/>
            <w:vMerge w:val="restart"/>
            <w:shd w:val="clear" w:color="auto" w:fill="auto"/>
            <w:vAlign w:val="center"/>
            <w:hideMark/>
          </w:tcPr>
          <w:p w14:paraId="51B9EF0E" w14:textId="77777777" w:rsidR="008F3544" w:rsidRPr="00192507" w:rsidRDefault="008F3544" w:rsidP="0099088D">
            <w:pPr>
              <w:jc w:val="center"/>
              <w:rPr>
                <w:color w:val="000000"/>
                <w:sz w:val="16"/>
                <w:szCs w:val="16"/>
              </w:rPr>
            </w:pPr>
            <w:r w:rsidRPr="00192507">
              <w:rPr>
                <w:color w:val="000000"/>
                <w:sz w:val="16"/>
                <w:szCs w:val="16"/>
              </w:rPr>
              <w:t>рублей/км</w:t>
            </w:r>
          </w:p>
        </w:tc>
        <w:tc>
          <w:tcPr>
            <w:tcW w:w="602" w:type="pct"/>
            <w:shd w:val="clear" w:color="auto" w:fill="auto"/>
            <w:noWrap/>
            <w:vAlign w:val="center"/>
            <w:hideMark/>
          </w:tcPr>
          <w:p w14:paraId="6514DE80" w14:textId="77777777" w:rsidR="008F3544" w:rsidRPr="00192507" w:rsidRDefault="008F3544" w:rsidP="0099088D">
            <w:pPr>
              <w:jc w:val="center"/>
              <w:rPr>
                <w:color w:val="000000"/>
                <w:sz w:val="16"/>
                <w:szCs w:val="16"/>
              </w:rPr>
            </w:pPr>
            <w:r w:rsidRPr="00192507">
              <w:rPr>
                <w:color w:val="000000"/>
                <w:sz w:val="16"/>
                <w:szCs w:val="16"/>
              </w:rPr>
              <w:t>2 409 700,89</w:t>
            </w:r>
          </w:p>
        </w:tc>
        <w:tc>
          <w:tcPr>
            <w:tcW w:w="603" w:type="pct"/>
            <w:shd w:val="clear" w:color="auto" w:fill="auto"/>
            <w:noWrap/>
            <w:vAlign w:val="center"/>
            <w:hideMark/>
          </w:tcPr>
          <w:p w14:paraId="6CA8BC59" w14:textId="77777777" w:rsidR="008F3544" w:rsidRPr="00192507" w:rsidRDefault="008F3544" w:rsidP="0099088D">
            <w:pPr>
              <w:jc w:val="center"/>
              <w:rPr>
                <w:color w:val="000000"/>
                <w:sz w:val="16"/>
                <w:szCs w:val="16"/>
              </w:rPr>
            </w:pPr>
            <w:r w:rsidRPr="00192507">
              <w:rPr>
                <w:color w:val="000000"/>
                <w:sz w:val="16"/>
                <w:szCs w:val="16"/>
              </w:rPr>
              <w:t>1 971 153,87</w:t>
            </w:r>
          </w:p>
        </w:tc>
      </w:tr>
      <w:tr w:rsidR="008F3544" w:rsidRPr="00192507" w14:paraId="77ED9BBC" w14:textId="77777777" w:rsidTr="0099088D">
        <w:trPr>
          <w:trHeight w:val="547"/>
        </w:trPr>
        <w:tc>
          <w:tcPr>
            <w:tcW w:w="672" w:type="pct"/>
            <w:vMerge/>
            <w:shd w:val="clear" w:color="auto" w:fill="auto"/>
            <w:vAlign w:val="center"/>
            <w:hideMark/>
          </w:tcPr>
          <w:p w14:paraId="025403D1" w14:textId="77777777" w:rsidR="008F3544" w:rsidRPr="00192507" w:rsidRDefault="008F3544" w:rsidP="0099088D">
            <w:pPr>
              <w:rPr>
                <w:color w:val="000000"/>
                <w:sz w:val="16"/>
                <w:szCs w:val="16"/>
              </w:rPr>
            </w:pPr>
          </w:p>
        </w:tc>
        <w:tc>
          <w:tcPr>
            <w:tcW w:w="902" w:type="pct"/>
            <w:shd w:val="clear" w:color="auto" w:fill="auto"/>
            <w:vAlign w:val="center"/>
            <w:hideMark/>
          </w:tcPr>
          <w:p w14:paraId="6C231116" w14:textId="77777777" w:rsidR="008F3544" w:rsidRPr="003F2CCC"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3.1.2.1.2.1.</m:t>
                    </m:r>
                  </m:sub>
                  <m:sup>
                    <m:r>
                      <m:rPr>
                        <m:nor/>
                      </m:rPr>
                      <w:rPr>
                        <w:color w:val="000000"/>
                      </w:rPr>
                      <m:t>1-10 кВ</m:t>
                    </m:r>
                  </m:sup>
                </m:sSubSup>
              </m:oMath>
            </m:oMathPara>
          </w:p>
        </w:tc>
        <w:tc>
          <w:tcPr>
            <w:tcW w:w="1525" w:type="pct"/>
            <w:vMerge/>
            <w:shd w:val="clear" w:color="auto" w:fill="auto"/>
            <w:vAlign w:val="center"/>
            <w:hideMark/>
          </w:tcPr>
          <w:p w14:paraId="185360A0" w14:textId="77777777" w:rsidR="008F3544" w:rsidRPr="00192507" w:rsidRDefault="008F3544" w:rsidP="0099088D">
            <w:pPr>
              <w:rPr>
                <w:color w:val="000000"/>
                <w:sz w:val="16"/>
                <w:szCs w:val="16"/>
              </w:rPr>
            </w:pPr>
          </w:p>
        </w:tc>
        <w:tc>
          <w:tcPr>
            <w:tcW w:w="696" w:type="pct"/>
            <w:vMerge/>
            <w:shd w:val="clear" w:color="auto" w:fill="auto"/>
            <w:vAlign w:val="center"/>
            <w:hideMark/>
          </w:tcPr>
          <w:p w14:paraId="51AE8642" w14:textId="77777777" w:rsidR="008F3544" w:rsidRPr="00192507" w:rsidRDefault="008F3544" w:rsidP="0099088D">
            <w:pPr>
              <w:rPr>
                <w:color w:val="000000"/>
                <w:sz w:val="16"/>
                <w:szCs w:val="16"/>
              </w:rPr>
            </w:pPr>
          </w:p>
        </w:tc>
        <w:tc>
          <w:tcPr>
            <w:tcW w:w="602" w:type="pct"/>
            <w:shd w:val="clear" w:color="auto" w:fill="auto"/>
            <w:noWrap/>
            <w:vAlign w:val="center"/>
            <w:hideMark/>
          </w:tcPr>
          <w:p w14:paraId="2F616B4B" w14:textId="77777777" w:rsidR="008F3544" w:rsidRPr="00192507" w:rsidRDefault="008F3544" w:rsidP="0099088D">
            <w:pPr>
              <w:jc w:val="center"/>
              <w:rPr>
                <w:color w:val="000000"/>
                <w:sz w:val="16"/>
                <w:szCs w:val="16"/>
              </w:rPr>
            </w:pPr>
            <w:r w:rsidRPr="00192507">
              <w:rPr>
                <w:color w:val="000000"/>
                <w:sz w:val="16"/>
                <w:szCs w:val="16"/>
              </w:rPr>
              <w:t>3 131 613,61</w:t>
            </w:r>
          </w:p>
        </w:tc>
        <w:tc>
          <w:tcPr>
            <w:tcW w:w="603" w:type="pct"/>
            <w:shd w:val="clear" w:color="auto" w:fill="auto"/>
            <w:noWrap/>
            <w:vAlign w:val="center"/>
            <w:hideMark/>
          </w:tcPr>
          <w:p w14:paraId="475DE381" w14:textId="77777777" w:rsidR="008F3544" w:rsidRPr="00192507" w:rsidRDefault="008F3544" w:rsidP="0099088D">
            <w:pPr>
              <w:jc w:val="center"/>
              <w:rPr>
                <w:color w:val="000000"/>
                <w:sz w:val="16"/>
                <w:szCs w:val="16"/>
              </w:rPr>
            </w:pPr>
            <w:r w:rsidRPr="00192507">
              <w:rPr>
                <w:color w:val="000000"/>
                <w:sz w:val="16"/>
                <w:szCs w:val="16"/>
              </w:rPr>
              <w:t>2 365 320,97</w:t>
            </w:r>
          </w:p>
        </w:tc>
      </w:tr>
      <w:tr w:rsidR="008F3544" w:rsidRPr="00192507" w14:paraId="047394AE" w14:textId="77777777" w:rsidTr="0099088D">
        <w:trPr>
          <w:trHeight w:val="547"/>
        </w:trPr>
        <w:tc>
          <w:tcPr>
            <w:tcW w:w="672" w:type="pct"/>
            <w:vMerge w:val="restart"/>
            <w:shd w:val="clear" w:color="auto" w:fill="auto"/>
            <w:vAlign w:val="center"/>
            <w:hideMark/>
          </w:tcPr>
          <w:p w14:paraId="717C6D43" w14:textId="77777777" w:rsidR="008F3544" w:rsidRPr="00192507" w:rsidRDefault="008F3544" w:rsidP="0099088D">
            <w:pPr>
              <w:jc w:val="center"/>
              <w:rPr>
                <w:color w:val="000000"/>
                <w:sz w:val="16"/>
                <w:szCs w:val="16"/>
              </w:rPr>
            </w:pPr>
            <w:r w:rsidRPr="00192507">
              <w:rPr>
                <w:color w:val="000000"/>
                <w:sz w:val="16"/>
                <w:szCs w:val="16"/>
              </w:rPr>
              <w:t>3.1.2.1.2.2.</w:t>
            </w:r>
          </w:p>
        </w:tc>
        <w:tc>
          <w:tcPr>
            <w:tcW w:w="902" w:type="pct"/>
            <w:shd w:val="clear" w:color="auto" w:fill="auto"/>
            <w:vAlign w:val="center"/>
            <w:hideMark/>
          </w:tcPr>
          <w:p w14:paraId="4D7887D1" w14:textId="77777777" w:rsidR="008F3544" w:rsidRPr="003F2CCC"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3.1.2.1.2.2.</m:t>
                    </m:r>
                  </m:sub>
                  <m:sup>
                    <m:r>
                      <m:rPr>
                        <m:nor/>
                      </m:rPr>
                      <w:rPr>
                        <w:color w:val="000000"/>
                      </w:rPr>
                      <m:t>0,4 кВ и ниже</m:t>
                    </m:r>
                  </m:sup>
                </m:sSubSup>
              </m:oMath>
            </m:oMathPara>
          </w:p>
        </w:tc>
        <w:tc>
          <w:tcPr>
            <w:tcW w:w="1525" w:type="pct"/>
            <w:vMerge w:val="restart"/>
            <w:shd w:val="clear" w:color="auto" w:fill="auto"/>
            <w:vAlign w:val="center"/>
            <w:hideMark/>
          </w:tcPr>
          <w:p w14:paraId="23FF4D18" w14:textId="77777777" w:rsidR="008F3544" w:rsidRPr="00192507" w:rsidRDefault="008F3544" w:rsidP="0099088D">
            <w:pPr>
              <w:rPr>
                <w:color w:val="000000"/>
                <w:sz w:val="16"/>
                <w:szCs w:val="16"/>
              </w:rPr>
            </w:pPr>
            <w:r w:rsidRPr="00192507">
              <w:rPr>
                <w:color w:val="000000"/>
                <w:sz w:val="16"/>
                <w:szCs w:val="16"/>
              </w:rPr>
              <w:t>кабельные линии в траншеях многожильные с резиновой или пластмассовой изоляцией сечением провода от 50 до 100 квадратных мм включительно с двумя кабелями в траншее</w:t>
            </w:r>
          </w:p>
        </w:tc>
        <w:tc>
          <w:tcPr>
            <w:tcW w:w="696" w:type="pct"/>
            <w:vMerge w:val="restart"/>
            <w:shd w:val="clear" w:color="auto" w:fill="auto"/>
            <w:vAlign w:val="center"/>
            <w:hideMark/>
          </w:tcPr>
          <w:p w14:paraId="143D6857" w14:textId="77777777" w:rsidR="008F3544" w:rsidRPr="00192507" w:rsidRDefault="008F3544" w:rsidP="0099088D">
            <w:pPr>
              <w:jc w:val="center"/>
              <w:rPr>
                <w:color w:val="000000"/>
                <w:sz w:val="16"/>
                <w:szCs w:val="16"/>
              </w:rPr>
            </w:pPr>
            <w:r w:rsidRPr="00192507">
              <w:rPr>
                <w:color w:val="000000"/>
                <w:sz w:val="16"/>
                <w:szCs w:val="16"/>
              </w:rPr>
              <w:t>рублей/км</w:t>
            </w:r>
          </w:p>
        </w:tc>
        <w:tc>
          <w:tcPr>
            <w:tcW w:w="602" w:type="pct"/>
            <w:shd w:val="clear" w:color="auto" w:fill="auto"/>
            <w:noWrap/>
            <w:vAlign w:val="center"/>
            <w:hideMark/>
          </w:tcPr>
          <w:p w14:paraId="12D8842F" w14:textId="77777777" w:rsidR="008F3544" w:rsidRPr="00192507" w:rsidRDefault="008F3544" w:rsidP="0099088D">
            <w:pPr>
              <w:jc w:val="center"/>
              <w:rPr>
                <w:color w:val="000000"/>
                <w:sz w:val="16"/>
                <w:szCs w:val="16"/>
              </w:rPr>
            </w:pPr>
            <w:r w:rsidRPr="00192507">
              <w:rPr>
                <w:color w:val="000000"/>
                <w:sz w:val="16"/>
                <w:szCs w:val="16"/>
              </w:rPr>
              <w:t>3 087 695,76</w:t>
            </w:r>
          </w:p>
        </w:tc>
        <w:tc>
          <w:tcPr>
            <w:tcW w:w="603" w:type="pct"/>
            <w:shd w:val="clear" w:color="auto" w:fill="auto"/>
            <w:noWrap/>
            <w:vAlign w:val="center"/>
            <w:hideMark/>
          </w:tcPr>
          <w:p w14:paraId="1753C9DB" w14:textId="77777777" w:rsidR="008F3544" w:rsidRPr="00192507" w:rsidRDefault="008F3544" w:rsidP="0099088D">
            <w:pPr>
              <w:jc w:val="center"/>
              <w:rPr>
                <w:color w:val="000000"/>
                <w:sz w:val="16"/>
                <w:szCs w:val="16"/>
              </w:rPr>
            </w:pPr>
            <w:r w:rsidRPr="00192507">
              <w:rPr>
                <w:color w:val="000000"/>
                <w:sz w:val="16"/>
                <w:szCs w:val="16"/>
              </w:rPr>
              <w:t>2 846 645,49</w:t>
            </w:r>
          </w:p>
        </w:tc>
      </w:tr>
      <w:tr w:rsidR="008F3544" w:rsidRPr="00192507" w14:paraId="7DCDD2A0" w14:textId="77777777" w:rsidTr="0099088D">
        <w:trPr>
          <w:trHeight w:val="547"/>
        </w:trPr>
        <w:tc>
          <w:tcPr>
            <w:tcW w:w="672" w:type="pct"/>
            <w:vMerge/>
            <w:shd w:val="clear" w:color="auto" w:fill="auto"/>
            <w:vAlign w:val="center"/>
            <w:hideMark/>
          </w:tcPr>
          <w:p w14:paraId="611B7A93" w14:textId="77777777" w:rsidR="008F3544" w:rsidRPr="00192507" w:rsidRDefault="008F3544" w:rsidP="0099088D">
            <w:pPr>
              <w:rPr>
                <w:color w:val="000000"/>
                <w:sz w:val="16"/>
                <w:szCs w:val="16"/>
              </w:rPr>
            </w:pPr>
          </w:p>
        </w:tc>
        <w:tc>
          <w:tcPr>
            <w:tcW w:w="902" w:type="pct"/>
            <w:shd w:val="clear" w:color="auto" w:fill="auto"/>
            <w:vAlign w:val="center"/>
            <w:hideMark/>
          </w:tcPr>
          <w:p w14:paraId="763A4F69" w14:textId="77777777" w:rsidR="008F3544" w:rsidRPr="003F2CCC"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3.1.2.1.2.2.</m:t>
                    </m:r>
                  </m:sub>
                  <m:sup>
                    <m:r>
                      <m:rPr>
                        <m:nor/>
                      </m:rPr>
                      <w:rPr>
                        <w:color w:val="000000"/>
                      </w:rPr>
                      <m:t>1-10 кВ</m:t>
                    </m:r>
                  </m:sup>
                </m:sSubSup>
              </m:oMath>
            </m:oMathPara>
          </w:p>
        </w:tc>
        <w:tc>
          <w:tcPr>
            <w:tcW w:w="1525" w:type="pct"/>
            <w:vMerge/>
            <w:shd w:val="clear" w:color="auto" w:fill="auto"/>
            <w:vAlign w:val="center"/>
            <w:hideMark/>
          </w:tcPr>
          <w:p w14:paraId="36057292" w14:textId="77777777" w:rsidR="008F3544" w:rsidRPr="00192507" w:rsidRDefault="008F3544" w:rsidP="0099088D">
            <w:pPr>
              <w:rPr>
                <w:color w:val="000000"/>
                <w:sz w:val="16"/>
                <w:szCs w:val="16"/>
              </w:rPr>
            </w:pPr>
          </w:p>
        </w:tc>
        <w:tc>
          <w:tcPr>
            <w:tcW w:w="696" w:type="pct"/>
            <w:vMerge/>
            <w:shd w:val="clear" w:color="auto" w:fill="auto"/>
            <w:vAlign w:val="center"/>
            <w:hideMark/>
          </w:tcPr>
          <w:p w14:paraId="0A091599" w14:textId="77777777" w:rsidR="008F3544" w:rsidRPr="00192507" w:rsidRDefault="008F3544" w:rsidP="0099088D">
            <w:pPr>
              <w:rPr>
                <w:color w:val="000000"/>
                <w:sz w:val="16"/>
                <w:szCs w:val="16"/>
              </w:rPr>
            </w:pPr>
          </w:p>
        </w:tc>
        <w:tc>
          <w:tcPr>
            <w:tcW w:w="602" w:type="pct"/>
            <w:shd w:val="clear" w:color="auto" w:fill="auto"/>
            <w:noWrap/>
            <w:vAlign w:val="center"/>
            <w:hideMark/>
          </w:tcPr>
          <w:p w14:paraId="198E37CC" w14:textId="77777777" w:rsidR="008F3544" w:rsidRPr="00192507" w:rsidRDefault="008F3544" w:rsidP="0099088D">
            <w:pPr>
              <w:jc w:val="center"/>
              <w:rPr>
                <w:color w:val="000000"/>
                <w:sz w:val="16"/>
                <w:szCs w:val="16"/>
              </w:rPr>
            </w:pPr>
            <w:r w:rsidRPr="00192507">
              <w:rPr>
                <w:color w:val="000000"/>
                <w:sz w:val="16"/>
                <w:szCs w:val="16"/>
              </w:rPr>
              <w:t>4 203 999,49</w:t>
            </w:r>
          </w:p>
        </w:tc>
        <w:tc>
          <w:tcPr>
            <w:tcW w:w="603" w:type="pct"/>
            <w:shd w:val="clear" w:color="auto" w:fill="auto"/>
            <w:noWrap/>
            <w:vAlign w:val="center"/>
            <w:hideMark/>
          </w:tcPr>
          <w:p w14:paraId="7FFF3CD6" w14:textId="77777777" w:rsidR="008F3544" w:rsidRPr="00192507" w:rsidRDefault="008F3544" w:rsidP="0099088D">
            <w:pPr>
              <w:jc w:val="center"/>
              <w:rPr>
                <w:color w:val="000000"/>
                <w:sz w:val="16"/>
                <w:szCs w:val="16"/>
              </w:rPr>
            </w:pPr>
            <w:r w:rsidRPr="00192507">
              <w:rPr>
                <w:color w:val="000000"/>
                <w:sz w:val="16"/>
                <w:szCs w:val="16"/>
              </w:rPr>
              <w:t>3 315 487,93</w:t>
            </w:r>
          </w:p>
        </w:tc>
      </w:tr>
      <w:tr w:rsidR="008F3544" w:rsidRPr="00192507" w14:paraId="5EBEBDAA" w14:textId="77777777" w:rsidTr="0099088D">
        <w:trPr>
          <w:trHeight w:val="547"/>
        </w:trPr>
        <w:tc>
          <w:tcPr>
            <w:tcW w:w="672" w:type="pct"/>
            <w:vMerge w:val="restart"/>
            <w:shd w:val="clear" w:color="auto" w:fill="auto"/>
            <w:vAlign w:val="center"/>
            <w:hideMark/>
          </w:tcPr>
          <w:p w14:paraId="5C16521D" w14:textId="77777777" w:rsidR="008F3544" w:rsidRPr="00192507" w:rsidRDefault="008F3544" w:rsidP="0099088D">
            <w:pPr>
              <w:jc w:val="center"/>
              <w:rPr>
                <w:color w:val="000000"/>
                <w:sz w:val="16"/>
                <w:szCs w:val="16"/>
              </w:rPr>
            </w:pPr>
            <w:r w:rsidRPr="00192507">
              <w:rPr>
                <w:color w:val="000000"/>
                <w:sz w:val="16"/>
                <w:szCs w:val="16"/>
              </w:rPr>
              <w:t>3.1.2.1.3.1.</w:t>
            </w:r>
          </w:p>
        </w:tc>
        <w:tc>
          <w:tcPr>
            <w:tcW w:w="902" w:type="pct"/>
            <w:shd w:val="clear" w:color="auto" w:fill="auto"/>
            <w:vAlign w:val="center"/>
            <w:hideMark/>
          </w:tcPr>
          <w:p w14:paraId="5F590477" w14:textId="77777777" w:rsidR="008F3544" w:rsidRPr="003F2CCC"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3.1.2.1.3.1.</m:t>
                    </m:r>
                  </m:sub>
                  <m:sup>
                    <m:r>
                      <m:rPr>
                        <m:nor/>
                      </m:rPr>
                      <w:rPr>
                        <w:color w:val="000000"/>
                      </w:rPr>
                      <m:t>0,4 кВ и ниже</m:t>
                    </m:r>
                  </m:sup>
                </m:sSubSup>
              </m:oMath>
            </m:oMathPara>
          </w:p>
        </w:tc>
        <w:tc>
          <w:tcPr>
            <w:tcW w:w="1525" w:type="pct"/>
            <w:vMerge w:val="restart"/>
            <w:shd w:val="clear" w:color="auto" w:fill="auto"/>
            <w:vAlign w:val="center"/>
            <w:hideMark/>
          </w:tcPr>
          <w:p w14:paraId="750D3294" w14:textId="77777777" w:rsidR="008F3544" w:rsidRPr="00192507" w:rsidRDefault="008F3544" w:rsidP="0099088D">
            <w:pPr>
              <w:rPr>
                <w:color w:val="000000"/>
                <w:sz w:val="16"/>
                <w:szCs w:val="16"/>
              </w:rPr>
            </w:pPr>
            <w:r w:rsidRPr="00192507">
              <w:rPr>
                <w:color w:val="000000"/>
                <w:sz w:val="16"/>
                <w:szCs w:val="16"/>
              </w:rPr>
              <w:t>кабельные линии в траншеях многожильные с резиновой или пластмассовой изоляцией сечением провода от 100 до 200 квадратных мм включительно с одним кабелем в траншее</w:t>
            </w:r>
          </w:p>
        </w:tc>
        <w:tc>
          <w:tcPr>
            <w:tcW w:w="696" w:type="pct"/>
            <w:vMerge w:val="restart"/>
            <w:shd w:val="clear" w:color="auto" w:fill="auto"/>
            <w:vAlign w:val="center"/>
            <w:hideMark/>
          </w:tcPr>
          <w:p w14:paraId="165A4071" w14:textId="77777777" w:rsidR="008F3544" w:rsidRPr="00192507" w:rsidRDefault="008F3544" w:rsidP="0099088D">
            <w:pPr>
              <w:jc w:val="center"/>
              <w:rPr>
                <w:color w:val="000000"/>
                <w:sz w:val="16"/>
                <w:szCs w:val="16"/>
              </w:rPr>
            </w:pPr>
            <w:r w:rsidRPr="00192507">
              <w:rPr>
                <w:color w:val="000000"/>
                <w:sz w:val="16"/>
                <w:szCs w:val="16"/>
              </w:rPr>
              <w:t>рублей/км</w:t>
            </w:r>
          </w:p>
        </w:tc>
        <w:tc>
          <w:tcPr>
            <w:tcW w:w="602" w:type="pct"/>
            <w:shd w:val="clear" w:color="auto" w:fill="auto"/>
            <w:noWrap/>
            <w:vAlign w:val="center"/>
            <w:hideMark/>
          </w:tcPr>
          <w:p w14:paraId="1F66FF73" w14:textId="77777777" w:rsidR="008F3544" w:rsidRPr="00192507" w:rsidRDefault="008F3544" w:rsidP="0099088D">
            <w:pPr>
              <w:jc w:val="center"/>
              <w:rPr>
                <w:color w:val="000000"/>
                <w:sz w:val="16"/>
                <w:szCs w:val="16"/>
              </w:rPr>
            </w:pPr>
            <w:r w:rsidRPr="00192507">
              <w:rPr>
                <w:color w:val="000000"/>
                <w:sz w:val="16"/>
                <w:szCs w:val="16"/>
              </w:rPr>
              <w:t>2 685 224,18</w:t>
            </w:r>
          </w:p>
        </w:tc>
        <w:tc>
          <w:tcPr>
            <w:tcW w:w="603" w:type="pct"/>
            <w:shd w:val="clear" w:color="auto" w:fill="auto"/>
            <w:noWrap/>
            <w:vAlign w:val="center"/>
            <w:hideMark/>
          </w:tcPr>
          <w:p w14:paraId="4D62B4CB" w14:textId="77777777" w:rsidR="008F3544" w:rsidRPr="00192507" w:rsidRDefault="008F3544" w:rsidP="0099088D">
            <w:pPr>
              <w:jc w:val="center"/>
              <w:rPr>
                <w:color w:val="000000"/>
                <w:sz w:val="16"/>
                <w:szCs w:val="16"/>
              </w:rPr>
            </w:pPr>
            <w:r w:rsidRPr="00192507">
              <w:rPr>
                <w:color w:val="000000"/>
                <w:sz w:val="16"/>
                <w:szCs w:val="16"/>
              </w:rPr>
              <w:t>2 083 420,64</w:t>
            </w:r>
          </w:p>
        </w:tc>
      </w:tr>
      <w:tr w:rsidR="008F3544" w:rsidRPr="00192507" w14:paraId="5B52681A" w14:textId="77777777" w:rsidTr="0099088D">
        <w:trPr>
          <w:trHeight w:val="547"/>
        </w:trPr>
        <w:tc>
          <w:tcPr>
            <w:tcW w:w="672" w:type="pct"/>
            <w:vMerge/>
            <w:shd w:val="clear" w:color="auto" w:fill="auto"/>
            <w:vAlign w:val="center"/>
            <w:hideMark/>
          </w:tcPr>
          <w:p w14:paraId="567F0E81" w14:textId="77777777" w:rsidR="008F3544" w:rsidRPr="00192507" w:rsidRDefault="008F3544" w:rsidP="0099088D">
            <w:pPr>
              <w:rPr>
                <w:color w:val="000000"/>
                <w:sz w:val="16"/>
                <w:szCs w:val="16"/>
              </w:rPr>
            </w:pPr>
          </w:p>
        </w:tc>
        <w:tc>
          <w:tcPr>
            <w:tcW w:w="902" w:type="pct"/>
            <w:shd w:val="clear" w:color="auto" w:fill="auto"/>
            <w:vAlign w:val="center"/>
            <w:hideMark/>
          </w:tcPr>
          <w:p w14:paraId="635C4C58" w14:textId="77777777" w:rsidR="008F3544" w:rsidRPr="003F2CCC"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3.1.2.1.3.1.</m:t>
                    </m:r>
                  </m:sub>
                  <m:sup>
                    <m:r>
                      <m:rPr>
                        <m:nor/>
                      </m:rPr>
                      <w:rPr>
                        <w:color w:val="000000"/>
                      </w:rPr>
                      <m:t>1-10 кВ</m:t>
                    </m:r>
                  </m:sup>
                </m:sSubSup>
              </m:oMath>
            </m:oMathPara>
          </w:p>
        </w:tc>
        <w:tc>
          <w:tcPr>
            <w:tcW w:w="1525" w:type="pct"/>
            <w:vMerge/>
            <w:shd w:val="clear" w:color="auto" w:fill="auto"/>
            <w:vAlign w:val="center"/>
            <w:hideMark/>
          </w:tcPr>
          <w:p w14:paraId="66E9B1DF" w14:textId="77777777" w:rsidR="008F3544" w:rsidRPr="00192507" w:rsidRDefault="008F3544" w:rsidP="0099088D">
            <w:pPr>
              <w:rPr>
                <w:color w:val="000000"/>
                <w:sz w:val="16"/>
                <w:szCs w:val="16"/>
              </w:rPr>
            </w:pPr>
          </w:p>
        </w:tc>
        <w:tc>
          <w:tcPr>
            <w:tcW w:w="696" w:type="pct"/>
            <w:vMerge/>
            <w:shd w:val="clear" w:color="auto" w:fill="auto"/>
            <w:vAlign w:val="center"/>
            <w:hideMark/>
          </w:tcPr>
          <w:p w14:paraId="2E59930D" w14:textId="77777777" w:rsidR="008F3544" w:rsidRPr="00192507" w:rsidRDefault="008F3544" w:rsidP="0099088D">
            <w:pPr>
              <w:rPr>
                <w:color w:val="000000"/>
                <w:sz w:val="16"/>
                <w:szCs w:val="16"/>
              </w:rPr>
            </w:pPr>
          </w:p>
        </w:tc>
        <w:tc>
          <w:tcPr>
            <w:tcW w:w="602" w:type="pct"/>
            <w:shd w:val="clear" w:color="auto" w:fill="auto"/>
            <w:noWrap/>
            <w:vAlign w:val="center"/>
            <w:hideMark/>
          </w:tcPr>
          <w:p w14:paraId="3D6B27CC" w14:textId="77777777" w:rsidR="008F3544" w:rsidRPr="00192507" w:rsidRDefault="008F3544" w:rsidP="0099088D">
            <w:pPr>
              <w:jc w:val="center"/>
              <w:rPr>
                <w:color w:val="000000"/>
                <w:sz w:val="16"/>
                <w:szCs w:val="16"/>
              </w:rPr>
            </w:pPr>
            <w:r w:rsidRPr="00192507">
              <w:rPr>
                <w:color w:val="000000"/>
                <w:sz w:val="16"/>
                <w:szCs w:val="16"/>
              </w:rPr>
              <w:t>3 255 969,03</w:t>
            </w:r>
          </w:p>
        </w:tc>
        <w:tc>
          <w:tcPr>
            <w:tcW w:w="603" w:type="pct"/>
            <w:shd w:val="clear" w:color="auto" w:fill="auto"/>
            <w:noWrap/>
            <w:vAlign w:val="center"/>
            <w:hideMark/>
          </w:tcPr>
          <w:p w14:paraId="52E2A14A" w14:textId="77777777" w:rsidR="008F3544" w:rsidRPr="00192507" w:rsidRDefault="008F3544" w:rsidP="0099088D">
            <w:pPr>
              <w:jc w:val="center"/>
              <w:rPr>
                <w:color w:val="000000"/>
                <w:sz w:val="16"/>
                <w:szCs w:val="16"/>
              </w:rPr>
            </w:pPr>
            <w:r w:rsidRPr="00192507">
              <w:rPr>
                <w:color w:val="000000"/>
                <w:sz w:val="16"/>
                <w:szCs w:val="16"/>
              </w:rPr>
              <w:t>2 816 166,06</w:t>
            </w:r>
          </w:p>
        </w:tc>
      </w:tr>
      <w:tr w:rsidR="008F3544" w:rsidRPr="00192507" w14:paraId="47779B59" w14:textId="77777777" w:rsidTr="0099088D">
        <w:trPr>
          <w:trHeight w:val="547"/>
        </w:trPr>
        <w:tc>
          <w:tcPr>
            <w:tcW w:w="672" w:type="pct"/>
            <w:vMerge w:val="restart"/>
            <w:shd w:val="clear" w:color="auto" w:fill="auto"/>
            <w:vAlign w:val="center"/>
            <w:hideMark/>
          </w:tcPr>
          <w:p w14:paraId="03708D95" w14:textId="77777777" w:rsidR="008F3544" w:rsidRPr="00192507" w:rsidRDefault="008F3544" w:rsidP="0099088D">
            <w:pPr>
              <w:jc w:val="center"/>
              <w:rPr>
                <w:color w:val="000000"/>
                <w:sz w:val="16"/>
                <w:szCs w:val="16"/>
              </w:rPr>
            </w:pPr>
            <w:r w:rsidRPr="00192507">
              <w:rPr>
                <w:color w:val="000000"/>
                <w:sz w:val="16"/>
                <w:szCs w:val="16"/>
              </w:rPr>
              <w:t>3.1.2.1.3.2.</w:t>
            </w:r>
          </w:p>
        </w:tc>
        <w:tc>
          <w:tcPr>
            <w:tcW w:w="902" w:type="pct"/>
            <w:shd w:val="clear" w:color="auto" w:fill="auto"/>
            <w:vAlign w:val="center"/>
            <w:hideMark/>
          </w:tcPr>
          <w:p w14:paraId="0FF44255" w14:textId="77777777" w:rsidR="008F3544" w:rsidRPr="006B345F"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3.1.2.1.3.2.</m:t>
                    </m:r>
                  </m:sub>
                  <m:sup>
                    <m:r>
                      <m:rPr>
                        <m:nor/>
                      </m:rPr>
                      <w:rPr>
                        <w:color w:val="000000"/>
                      </w:rPr>
                      <m:t>0,4 кВ и ниже</m:t>
                    </m:r>
                  </m:sup>
                </m:sSubSup>
              </m:oMath>
            </m:oMathPara>
          </w:p>
        </w:tc>
        <w:tc>
          <w:tcPr>
            <w:tcW w:w="1525" w:type="pct"/>
            <w:vMerge w:val="restart"/>
            <w:shd w:val="clear" w:color="auto" w:fill="auto"/>
            <w:vAlign w:val="center"/>
            <w:hideMark/>
          </w:tcPr>
          <w:p w14:paraId="28A16902" w14:textId="77777777" w:rsidR="008F3544" w:rsidRPr="00192507" w:rsidRDefault="008F3544" w:rsidP="0099088D">
            <w:pPr>
              <w:rPr>
                <w:color w:val="000000"/>
                <w:sz w:val="16"/>
                <w:szCs w:val="16"/>
              </w:rPr>
            </w:pPr>
            <w:r w:rsidRPr="00192507">
              <w:rPr>
                <w:color w:val="000000"/>
                <w:sz w:val="16"/>
                <w:szCs w:val="16"/>
              </w:rPr>
              <w:t>кабельные линии в траншеях многожильные с резиновой или пластмассовой изоляцией сечением провода от 100 до 200 квадратных мм включительно с двумя кабелями в траншее</w:t>
            </w:r>
          </w:p>
        </w:tc>
        <w:tc>
          <w:tcPr>
            <w:tcW w:w="696" w:type="pct"/>
            <w:vMerge w:val="restart"/>
            <w:shd w:val="clear" w:color="auto" w:fill="auto"/>
            <w:vAlign w:val="center"/>
            <w:hideMark/>
          </w:tcPr>
          <w:p w14:paraId="5346390F" w14:textId="77777777" w:rsidR="008F3544" w:rsidRPr="00192507" w:rsidRDefault="008F3544" w:rsidP="0099088D">
            <w:pPr>
              <w:jc w:val="center"/>
              <w:rPr>
                <w:color w:val="000000"/>
                <w:sz w:val="16"/>
                <w:szCs w:val="16"/>
              </w:rPr>
            </w:pPr>
            <w:r w:rsidRPr="00192507">
              <w:rPr>
                <w:color w:val="000000"/>
                <w:sz w:val="16"/>
                <w:szCs w:val="16"/>
              </w:rPr>
              <w:t>рублей/км</w:t>
            </w:r>
          </w:p>
        </w:tc>
        <w:tc>
          <w:tcPr>
            <w:tcW w:w="602" w:type="pct"/>
            <w:shd w:val="clear" w:color="auto" w:fill="auto"/>
            <w:noWrap/>
            <w:vAlign w:val="center"/>
            <w:hideMark/>
          </w:tcPr>
          <w:p w14:paraId="4807CB4A" w14:textId="77777777" w:rsidR="008F3544" w:rsidRPr="00192507" w:rsidRDefault="008F3544" w:rsidP="0099088D">
            <w:pPr>
              <w:jc w:val="center"/>
              <w:rPr>
                <w:color w:val="000000"/>
                <w:sz w:val="16"/>
                <w:szCs w:val="16"/>
              </w:rPr>
            </w:pPr>
            <w:r w:rsidRPr="00192507">
              <w:rPr>
                <w:color w:val="000000"/>
                <w:sz w:val="16"/>
                <w:szCs w:val="16"/>
              </w:rPr>
              <w:t>3 712 078,52</w:t>
            </w:r>
          </w:p>
        </w:tc>
        <w:tc>
          <w:tcPr>
            <w:tcW w:w="603" w:type="pct"/>
            <w:shd w:val="clear" w:color="auto" w:fill="auto"/>
            <w:noWrap/>
            <w:vAlign w:val="center"/>
            <w:hideMark/>
          </w:tcPr>
          <w:p w14:paraId="6E0EC3BA" w14:textId="77777777" w:rsidR="008F3544" w:rsidRPr="00192507" w:rsidRDefault="008F3544" w:rsidP="0099088D">
            <w:pPr>
              <w:jc w:val="center"/>
              <w:rPr>
                <w:color w:val="000000"/>
                <w:sz w:val="16"/>
                <w:szCs w:val="16"/>
              </w:rPr>
            </w:pPr>
            <w:r w:rsidRPr="00192507">
              <w:rPr>
                <w:color w:val="000000"/>
                <w:sz w:val="16"/>
                <w:szCs w:val="16"/>
              </w:rPr>
              <w:t>3 694 879,23</w:t>
            </w:r>
          </w:p>
        </w:tc>
      </w:tr>
      <w:tr w:rsidR="008F3544" w:rsidRPr="00192507" w14:paraId="6BD7ABE4" w14:textId="77777777" w:rsidTr="0099088D">
        <w:trPr>
          <w:trHeight w:val="547"/>
        </w:trPr>
        <w:tc>
          <w:tcPr>
            <w:tcW w:w="672" w:type="pct"/>
            <w:vMerge/>
            <w:shd w:val="clear" w:color="auto" w:fill="auto"/>
            <w:vAlign w:val="center"/>
            <w:hideMark/>
          </w:tcPr>
          <w:p w14:paraId="528F8B02" w14:textId="77777777" w:rsidR="008F3544" w:rsidRPr="00192507" w:rsidRDefault="008F3544" w:rsidP="0099088D">
            <w:pPr>
              <w:rPr>
                <w:color w:val="000000"/>
                <w:sz w:val="16"/>
                <w:szCs w:val="16"/>
              </w:rPr>
            </w:pPr>
          </w:p>
        </w:tc>
        <w:tc>
          <w:tcPr>
            <w:tcW w:w="902" w:type="pct"/>
            <w:shd w:val="clear" w:color="auto" w:fill="auto"/>
            <w:vAlign w:val="center"/>
            <w:hideMark/>
          </w:tcPr>
          <w:p w14:paraId="67D4B838" w14:textId="77777777" w:rsidR="008F3544" w:rsidRPr="006B345F"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3.1.2.1.3.2.</m:t>
                    </m:r>
                  </m:sub>
                  <m:sup>
                    <m:r>
                      <m:rPr>
                        <m:nor/>
                      </m:rPr>
                      <w:rPr>
                        <w:color w:val="000000"/>
                      </w:rPr>
                      <m:t>1-10 кВ</m:t>
                    </m:r>
                  </m:sup>
                </m:sSubSup>
              </m:oMath>
            </m:oMathPara>
          </w:p>
        </w:tc>
        <w:tc>
          <w:tcPr>
            <w:tcW w:w="1525" w:type="pct"/>
            <w:vMerge/>
            <w:shd w:val="clear" w:color="auto" w:fill="auto"/>
            <w:vAlign w:val="center"/>
            <w:hideMark/>
          </w:tcPr>
          <w:p w14:paraId="66AC3D25" w14:textId="77777777" w:rsidR="008F3544" w:rsidRPr="00192507" w:rsidRDefault="008F3544" w:rsidP="0099088D">
            <w:pPr>
              <w:rPr>
                <w:color w:val="000000"/>
                <w:sz w:val="16"/>
                <w:szCs w:val="16"/>
              </w:rPr>
            </w:pPr>
          </w:p>
        </w:tc>
        <w:tc>
          <w:tcPr>
            <w:tcW w:w="696" w:type="pct"/>
            <w:vMerge/>
            <w:shd w:val="clear" w:color="auto" w:fill="auto"/>
            <w:vAlign w:val="center"/>
            <w:hideMark/>
          </w:tcPr>
          <w:p w14:paraId="78B2977E" w14:textId="77777777" w:rsidR="008F3544" w:rsidRPr="00192507" w:rsidRDefault="008F3544" w:rsidP="0099088D">
            <w:pPr>
              <w:rPr>
                <w:color w:val="000000"/>
                <w:sz w:val="16"/>
                <w:szCs w:val="16"/>
              </w:rPr>
            </w:pPr>
          </w:p>
        </w:tc>
        <w:tc>
          <w:tcPr>
            <w:tcW w:w="602" w:type="pct"/>
            <w:shd w:val="clear" w:color="auto" w:fill="auto"/>
            <w:noWrap/>
            <w:vAlign w:val="center"/>
            <w:hideMark/>
          </w:tcPr>
          <w:p w14:paraId="766AC1EB" w14:textId="77777777" w:rsidR="008F3544" w:rsidRPr="00192507" w:rsidRDefault="008F3544" w:rsidP="0099088D">
            <w:pPr>
              <w:jc w:val="center"/>
              <w:rPr>
                <w:color w:val="000000"/>
                <w:sz w:val="16"/>
                <w:szCs w:val="16"/>
              </w:rPr>
            </w:pPr>
            <w:r w:rsidRPr="00192507">
              <w:rPr>
                <w:color w:val="000000"/>
                <w:sz w:val="16"/>
                <w:szCs w:val="16"/>
              </w:rPr>
              <w:t>5 235 372,11</w:t>
            </w:r>
          </w:p>
        </w:tc>
        <w:tc>
          <w:tcPr>
            <w:tcW w:w="603" w:type="pct"/>
            <w:shd w:val="clear" w:color="auto" w:fill="auto"/>
            <w:noWrap/>
            <w:vAlign w:val="center"/>
            <w:hideMark/>
          </w:tcPr>
          <w:p w14:paraId="789E4C07" w14:textId="77777777" w:rsidR="008F3544" w:rsidRPr="00192507" w:rsidRDefault="008F3544" w:rsidP="0099088D">
            <w:pPr>
              <w:jc w:val="center"/>
              <w:rPr>
                <w:color w:val="000000"/>
                <w:sz w:val="16"/>
                <w:szCs w:val="16"/>
              </w:rPr>
            </w:pPr>
            <w:r w:rsidRPr="00192507">
              <w:rPr>
                <w:color w:val="000000"/>
                <w:sz w:val="16"/>
                <w:szCs w:val="16"/>
              </w:rPr>
              <w:t>3 844 298,92</w:t>
            </w:r>
          </w:p>
        </w:tc>
      </w:tr>
      <w:tr w:rsidR="008F3544" w:rsidRPr="00192507" w14:paraId="3887C1CC" w14:textId="77777777" w:rsidTr="0099088D">
        <w:trPr>
          <w:trHeight w:val="547"/>
        </w:trPr>
        <w:tc>
          <w:tcPr>
            <w:tcW w:w="672" w:type="pct"/>
            <w:vMerge w:val="restart"/>
            <w:shd w:val="clear" w:color="auto" w:fill="auto"/>
            <w:vAlign w:val="center"/>
            <w:hideMark/>
          </w:tcPr>
          <w:p w14:paraId="4BEA33B4" w14:textId="77777777" w:rsidR="008F3544" w:rsidRPr="00192507" w:rsidRDefault="008F3544" w:rsidP="0099088D">
            <w:pPr>
              <w:jc w:val="center"/>
              <w:rPr>
                <w:color w:val="000000"/>
                <w:sz w:val="16"/>
                <w:szCs w:val="16"/>
              </w:rPr>
            </w:pPr>
            <w:r w:rsidRPr="00192507">
              <w:rPr>
                <w:color w:val="000000"/>
                <w:sz w:val="16"/>
                <w:szCs w:val="16"/>
              </w:rPr>
              <w:t>3.1.2.1.3.4.</w:t>
            </w:r>
          </w:p>
        </w:tc>
        <w:tc>
          <w:tcPr>
            <w:tcW w:w="902" w:type="pct"/>
            <w:shd w:val="clear" w:color="auto" w:fill="auto"/>
            <w:vAlign w:val="center"/>
            <w:hideMark/>
          </w:tcPr>
          <w:p w14:paraId="72CE4D30" w14:textId="77777777" w:rsidR="008F3544" w:rsidRPr="006B345F"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3.1.2.1.3.4.</m:t>
                    </m:r>
                  </m:sub>
                  <m:sup>
                    <m:r>
                      <m:rPr>
                        <m:nor/>
                      </m:rPr>
                      <w:rPr>
                        <w:color w:val="000000"/>
                      </w:rPr>
                      <m:t>0,4 кВ и ниже</m:t>
                    </m:r>
                  </m:sup>
                </m:sSubSup>
              </m:oMath>
            </m:oMathPara>
          </w:p>
        </w:tc>
        <w:tc>
          <w:tcPr>
            <w:tcW w:w="1525" w:type="pct"/>
            <w:vMerge w:val="restart"/>
            <w:shd w:val="clear" w:color="auto" w:fill="auto"/>
            <w:vAlign w:val="center"/>
            <w:hideMark/>
          </w:tcPr>
          <w:p w14:paraId="6F74319B" w14:textId="77777777" w:rsidR="008F3544" w:rsidRPr="00192507" w:rsidRDefault="008F3544" w:rsidP="0099088D">
            <w:pPr>
              <w:rPr>
                <w:color w:val="000000"/>
                <w:sz w:val="16"/>
                <w:szCs w:val="16"/>
              </w:rPr>
            </w:pPr>
            <w:r w:rsidRPr="00192507">
              <w:rPr>
                <w:color w:val="000000"/>
                <w:sz w:val="16"/>
                <w:szCs w:val="16"/>
              </w:rPr>
              <w:t>кабельные линии в траншеях многожильные с резиновой или пластмассовой изоляцией сечением провода от 100 до 200 квадратных мм включительно с четырьмя кабелями в траншее</w:t>
            </w:r>
          </w:p>
        </w:tc>
        <w:tc>
          <w:tcPr>
            <w:tcW w:w="696" w:type="pct"/>
            <w:vMerge w:val="restart"/>
            <w:shd w:val="clear" w:color="auto" w:fill="auto"/>
            <w:vAlign w:val="center"/>
            <w:hideMark/>
          </w:tcPr>
          <w:p w14:paraId="579FFB39" w14:textId="77777777" w:rsidR="008F3544" w:rsidRPr="00192507" w:rsidRDefault="008F3544" w:rsidP="0099088D">
            <w:pPr>
              <w:jc w:val="center"/>
              <w:rPr>
                <w:color w:val="000000"/>
                <w:sz w:val="16"/>
                <w:szCs w:val="16"/>
              </w:rPr>
            </w:pPr>
            <w:r w:rsidRPr="00192507">
              <w:rPr>
                <w:color w:val="000000"/>
                <w:sz w:val="16"/>
                <w:szCs w:val="16"/>
              </w:rPr>
              <w:t>рублей/км</w:t>
            </w:r>
          </w:p>
        </w:tc>
        <w:tc>
          <w:tcPr>
            <w:tcW w:w="602" w:type="pct"/>
            <w:shd w:val="clear" w:color="auto" w:fill="auto"/>
            <w:noWrap/>
            <w:vAlign w:val="center"/>
            <w:hideMark/>
          </w:tcPr>
          <w:p w14:paraId="2F75938C" w14:textId="77777777" w:rsidR="008F3544" w:rsidRPr="00192507" w:rsidRDefault="008F3544" w:rsidP="0099088D">
            <w:pPr>
              <w:jc w:val="center"/>
              <w:rPr>
                <w:color w:val="000000"/>
                <w:sz w:val="16"/>
                <w:szCs w:val="16"/>
              </w:rPr>
            </w:pPr>
            <w:r w:rsidRPr="00192507">
              <w:rPr>
                <w:color w:val="000000"/>
                <w:sz w:val="16"/>
                <w:szCs w:val="16"/>
              </w:rPr>
              <w:t>4 233 348,74</w:t>
            </w:r>
          </w:p>
        </w:tc>
        <w:tc>
          <w:tcPr>
            <w:tcW w:w="603" w:type="pct"/>
            <w:shd w:val="clear" w:color="auto" w:fill="auto"/>
            <w:noWrap/>
            <w:vAlign w:val="center"/>
            <w:hideMark/>
          </w:tcPr>
          <w:p w14:paraId="4CAA3388" w14:textId="77777777" w:rsidR="008F3544" w:rsidRPr="00192507" w:rsidRDefault="008F3544" w:rsidP="0099088D">
            <w:pPr>
              <w:jc w:val="center"/>
              <w:rPr>
                <w:color w:val="000000"/>
                <w:sz w:val="16"/>
                <w:szCs w:val="16"/>
              </w:rPr>
            </w:pPr>
            <w:r>
              <w:rPr>
                <w:color w:val="000000"/>
                <w:sz w:val="16"/>
                <w:szCs w:val="16"/>
              </w:rPr>
              <w:t>-</w:t>
            </w:r>
          </w:p>
        </w:tc>
      </w:tr>
      <w:tr w:rsidR="008F3544" w:rsidRPr="00192507" w14:paraId="446CE9ED" w14:textId="77777777" w:rsidTr="0099088D">
        <w:trPr>
          <w:trHeight w:val="547"/>
        </w:trPr>
        <w:tc>
          <w:tcPr>
            <w:tcW w:w="672" w:type="pct"/>
            <w:vMerge/>
            <w:shd w:val="clear" w:color="auto" w:fill="auto"/>
            <w:vAlign w:val="center"/>
            <w:hideMark/>
          </w:tcPr>
          <w:p w14:paraId="4B227D56" w14:textId="77777777" w:rsidR="008F3544" w:rsidRPr="00192507" w:rsidRDefault="008F3544" w:rsidP="0099088D">
            <w:pPr>
              <w:rPr>
                <w:color w:val="000000"/>
                <w:sz w:val="16"/>
                <w:szCs w:val="16"/>
              </w:rPr>
            </w:pPr>
          </w:p>
        </w:tc>
        <w:tc>
          <w:tcPr>
            <w:tcW w:w="902" w:type="pct"/>
            <w:shd w:val="clear" w:color="auto" w:fill="auto"/>
            <w:vAlign w:val="center"/>
            <w:hideMark/>
          </w:tcPr>
          <w:p w14:paraId="052F1800" w14:textId="77777777" w:rsidR="008F3544" w:rsidRPr="006B345F"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3.1.2.1.3.4.</m:t>
                    </m:r>
                  </m:sub>
                  <m:sup>
                    <m:r>
                      <m:rPr>
                        <m:nor/>
                      </m:rPr>
                      <w:rPr>
                        <w:color w:val="000000"/>
                      </w:rPr>
                      <m:t>1-10 кВ</m:t>
                    </m:r>
                  </m:sup>
                </m:sSubSup>
              </m:oMath>
            </m:oMathPara>
          </w:p>
        </w:tc>
        <w:tc>
          <w:tcPr>
            <w:tcW w:w="1525" w:type="pct"/>
            <w:vMerge/>
            <w:shd w:val="clear" w:color="auto" w:fill="auto"/>
            <w:vAlign w:val="center"/>
            <w:hideMark/>
          </w:tcPr>
          <w:p w14:paraId="7AB85D9C" w14:textId="77777777" w:rsidR="008F3544" w:rsidRPr="00192507" w:rsidRDefault="008F3544" w:rsidP="0099088D">
            <w:pPr>
              <w:rPr>
                <w:color w:val="000000"/>
                <w:sz w:val="16"/>
                <w:szCs w:val="16"/>
              </w:rPr>
            </w:pPr>
          </w:p>
        </w:tc>
        <w:tc>
          <w:tcPr>
            <w:tcW w:w="696" w:type="pct"/>
            <w:vMerge/>
            <w:shd w:val="clear" w:color="auto" w:fill="auto"/>
            <w:vAlign w:val="center"/>
            <w:hideMark/>
          </w:tcPr>
          <w:p w14:paraId="0DEC30EC" w14:textId="77777777" w:rsidR="008F3544" w:rsidRPr="00192507" w:rsidRDefault="008F3544" w:rsidP="0099088D">
            <w:pPr>
              <w:rPr>
                <w:color w:val="000000"/>
                <w:sz w:val="16"/>
                <w:szCs w:val="16"/>
              </w:rPr>
            </w:pPr>
          </w:p>
        </w:tc>
        <w:tc>
          <w:tcPr>
            <w:tcW w:w="602" w:type="pct"/>
            <w:shd w:val="clear" w:color="auto" w:fill="auto"/>
            <w:noWrap/>
            <w:vAlign w:val="center"/>
            <w:hideMark/>
          </w:tcPr>
          <w:p w14:paraId="391D7BF7" w14:textId="77777777" w:rsidR="008F3544" w:rsidRPr="00192507" w:rsidRDefault="008F3544" w:rsidP="0099088D">
            <w:pPr>
              <w:jc w:val="center"/>
              <w:rPr>
                <w:color w:val="000000"/>
                <w:sz w:val="16"/>
                <w:szCs w:val="16"/>
              </w:rPr>
            </w:pPr>
            <w:r w:rsidRPr="00192507">
              <w:rPr>
                <w:color w:val="000000"/>
                <w:sz w:val="16"/>
                <w:szCs w:val="16"/>
              </w:rPr>
              <w:t>7 501 886,61</w:t>
            </w:r>
          </w:p>
        </w:tc>
        <w:tc>
          <w:tcPr>
            <w:tcW w:w="603" w:type="pct"/>
            <w:shd w:val="clear" w:color="auto" w:fill="auto"/>
            <w:noWrap/>
            <w:vAlign w:val="center"/>
            <w:hideMark/>
          </w:tcPr>
          <w:p w14:paraId="3B298F58" w14:textId="77777777" w:rsidR="008F3544" w:rsidRPr="00192507" w:rsidRDefault="008F3544" w:rsidP="0099088D">
            <w:pPr>
              <w:jc w:val="center"/>
              <w:rPr>
                <w:color w:val="000000"/>
                <w:sz w:val="16"/>
                <w:szCs w:val="16"/>
              </w:rPr>
            </w:pPr>
            <w:r>
              <w:rPr>
                <w:color w:val="000000"/>
                <w:sz w:val="16"/>
                <w:szCs w:val="16"/>
              </w:rPr>
              <w:t>-</w:t>
            </w:r>
          </w:p>
        </w:tc>
      </w:tr>
      <w:tr w:rsidR="008F3544" w:rsidRPr="00192507" w14:paraId="43F692C4" w14:textId="77777777" w:rsidTr="0099088D">
        <w:trPr>
          <w:trHeight w:val="547"/>
        </w:trPr>
        <w:tc>
          <w:tcPr>
            <w:tcW w:w="672" w:type="pct"/>
            <w:vMerge w:val="restart"/>
            <w:shd w:val="clear" w:color="auto" w:fill="auto"/>
            <w:vAlign w:val="center"/>
            <w:hideMark/>
          </w:tcPr>
          <w:p w14:paraId="21570377" w14:textId="77777777" w:rsidR="008F3544" w:rsidRPr="00192507" w:rsidRDefault="008F3544" w:rsidP="0099088D">
            <w:pPr>
              <w:jc w:val="center"/>
              <w:rPr>
                <w:color w:val="000000"/>
                <w:sz w:val="16"/>
                <w:szCs w:val="16"/>
              </w:rPr>
            </w:pPr>
            <w:r w:rsidRPr="00192507">
              <w:rPr>
                <w:color w:val="000000"/>
                <w:sz w:val="16"/>
                <w:szCs w:val="16"/>
              </w:rPr>
              <w:t>3.1.2.1.4.1.</w:t>
            </w:r>
          </w:p>
        </w:tc>
        <w:tc>
          <w:tcPr>
            <w:tcW w:w="902" w:type="pct"/>
            <w:shd w:val="clear" w:color="auto" w:fill="auto"/>
            <w:vAlign w:val="center"/>
            <w:hideMark/>
          </w:tcPr>
          <w:p w14:paraId="222CA1F5" w14:textId="77777777" w:rsidR="008F3544" w:rsidRPr="002057B1"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3.1.2.1.4.1.</m:t>
                    </m:r>
                  </m:sub>
                  <m:sup>
                    <m:r>
                      <m:rPr>
                        <m:nor/>
                      </m:rPr>
                      <w:rPr>
                        <w:color w:val="000000"/>
                      </w:rPr>
                      <m:t>0,4 кВ и ниже</m:t>
                    </m:r>
                  </m:sup>
                </m:sSubSup>
              </m:oMath>
            </m:oMathPara>
          </w:p>
        </w:tc>
        <w:tc>
          <w:tcPr>
            <w:tcW w:w="1525" w:type="pct"/>
            <w:vMerge w:val="restart"/>
            <w:shd w:val="clear" w:color="auto" w:fill="auto"/>
            <w:vAlign w:val="center"/>
            <w:hideMark/>
          </w:tcPr>
          <w:p w14:paraId="254DF08C" w14:textId="77777777" w:rsidR="008F3544" w:rsidRPr="00192507" w:rsidRDefault="008F3544" w:rsidP="0099088D">
            <w:pPr>
              <w:rPr>
                <w:color w:val="000000"/>
                <w:sz w:val="16"/>
                <w:szCs w:val="16"/>
              </w:rPr>
            </w:pPr>
            <w:r w:rsidRPr="00192507">
              <w:rPr>
                <w:color w:val="000000"/>
                <w:sz w:val="16"/>
                <w:szCs w:val="16"/>
              </w:rPr>
              <w:t>кабельные линии в траншеях многожильные с резиновой или пластмассовой изоляцией сечением провода от 200 до 250 квадратных мм включительно с одним кабелем в траншее</w:t>
            </w:r>
          </w:p>
        </w:tc>
        <w:tc>
          <w:tcPr>
            <w:tcW w:w="696" w:type="pct"/>
            <w:vMerge w:val="restart"/>
            <w:shd w:val="clear" w:color="auto" w:fill="auto"/>
            <w:vAlign w:val="center"/>
            <w:hideMark/>
          </w:tcPr>
          <w:p w14:paraId="3A11FBB5" w14:textId="77777777" w:rsidR="008F3544" w:rsidRPr="00192507" w:rsidRDefault="008F3544" w:rsidP="0099088D">
            <w:pPr>
              <w:jc w:val="center"/>
              <w:rPr>
                <w:color w:val="000000"/>
                <w:sz w:val="16"/>
                <w:szCs w:val="16"/>
              </w:rPr>
            </w:pPr>
            <w:r w:rsidRPr="00192507">
              <w:rPr>
                <w:color w:val="000000"/>
                <w:sz w:val="16"/>
                <w:szCs w:val="16"/>
              </w:rPr>
              <w:t>рублей/км</w:t>
            </w:r>
          </w:p>
        </w:tc>
        <w:tc>
          <w:tcPr>
            <w:tcW w:w="602" w:type="pct"/>
            <w:shd w:val="clear" w:color="auto" w:fill="auto"/>
            <w:noWrap/>
            <w:vAlign w:val="center"/>
            <w:hideMark/>
          </w:tcPr>
          <w:p w14:paraId="5EF22837" w14:textId="77777777" w:rsidR="008F3544" w:rsidRPr="00192507" w:rsidRDefault="008F3544" w:rsidP="0099088D">
            <w:pPr>
              <w:jc w:val="center"/>
              <w:rPr>
                <w:color w:val="000000"/>
                <w:sz w:val="16"/>
                <w:szCs w:val="16"/>
              </w:rPr>
            </w:pPr>
            <w:r w:rsidRPr="00192507">
              <w:rPr>
                <w:color w:val="000000"/>
                <w:sz w:val="16"/>
                <w:szCs w:val="16"/>
              </w:rPr>
              <w:t>3 102 804,29</w:t>
            </w:r>
          </w:p>
        </w:tc>
        <w:tc>
          <w:tcPr>
            <w:tcW w:w="603" w:type="pct"/>
            <w:shd w:val="clear" w:color="auto" w:fill="auto"/>
            <w:noWrap/>
            <w:vAlign w:val="center"/>
            <w:hideMark/>
          </w:tcPr>
          <w:p w14:paraId="0AFDC18A" w14:textId="77777777" w:rsidR="008F3544" w:rsidRPr="00192507" w:rsidRDefault="008F3544" w:rsidP="0099088D">
            <w:pPr>
              <w:jc w:val="center"/>
              <w:rPr>
                <w:color w:val="000000"/>
                <w:sz w:val="16"/>
                <w:szCs w:val="16"/>
              </w:rPr>
            </w:pPr>
            <w:r w:rsidRPr="00192507">
              <w:rPr>
                <w:color w:val="000000"/>
                <w:sz w:val="16"/>
                <w:szCs w:val="16"/>
              </w:rPr>
              <w:t>2 466 330,72</w:t>
            </w:r>
          </w:p>
        </w:tc>
      </w:tr>
      <w:tr w:rsidR="008F3544" w:rsidRPr="00192507" w14:paraId="27B37F83" w14:textId="77777777" w:rsidTr="0099088D">
        <w:trPr>
          <w:trHeight w:val="547"/>
        </w:trPr>
        <w:tc>
          <w:tcPr>
            <w:tcW w:w="672" w:type="pct"/>
            <w:vMerge/>
            <w:shd w:val="clear" w:color="auto" w:fill="auto"/>
            <w:vAlign w:val="center"/>
            <w:hideMark/>
          </w:tcPr>
          <w:p w14:paraId="6569358E" w14:textId="77777777" w:rsidR="008F3544" w:rsidRPr="00192507" w:rsidRDefault="008F3544" w:rsidP="0099088D">
            <w:pPr>
              <w:rPr>
                <w:color w:val="000000"/>
                <w:sz w:val="16"/>
                <w:szCs w:val="16"/>
              </w:rPr>
            </w:pPr>
          </w:p>
        </w:tc>
        <w:tc>
          <w:tcPr>
            <w:tcW w:w="902" w:type="pct"/>
            <w:shd w:val="clear" w:color="auto" w:fill="auto"/>
            <w:vAlign w:val="center"/>
            <w:hideMark/>
          </w:tcPr>
          <w:p w14:paraId="103865F3" w14:textId="77777777" w:rsidR="008F3544" w:rsidRPr="002057B1"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3.1.2.1.4.1.</m:t>
                    </m:r>
                  </m:sub>
                  <m:sup>
                    <m:r>
                      <m:rPr>
                        <m:nor/>
                      </m:rPr>
                      <w:rPr>
                        <w:color w:val="000000"/>
                      </w:rPr>
                      <m:t>1-10 кВ</m:t>
                    </m:r>
                  </m:sup>
                </m:sSubSup>
              </m:oMath>
            </m:oMathPara>
          </w:p>
        </w:tc>
        <w:tc>
          <w:tcPr>
            <w:tcW w:w="1525" w:type="pct"/>
            <w:vMerge/>
            <w:shd w:val="clear" w:color="auto" w:fill="auto"/>
            <w:vAlign w:val="center"/>
            <w:hideMark/>
          </w:tcPr>
          <w:p w14:paraId="5EABDB31" w14:textId="77777777" w:rsidR="008F3544" w:rsidRPr="00192507" w:rsidRDefault="008F3544" w:rsidP="0099088D">
            <w:pPr>
              <w:rPr>
                <w:color w:val="000000"/>
                <w:sz w:val="16"/>
                <w:szCs w:val="16"/>
              </w:rPr>
            </w:pPr>
          </w:p>
        </w:tc>
        <w:tc>
          <w:tcPr>
            <w:tcW w:w="696" w:type="pct"/>
            <w:vMerge/>
            <w:shd w:val="clear" w:color="auto" w:fill="auto"/>
            <w:vAlign w:val="center"/>
            <w:hideMark/>
          </w:tcPr>
          <w:p w14:paraId="0204BE52" w14:textId="77777777" w:rsidR="008F3544" w:rsidRPr="00192507" w:rsidRDefault="008F3544" w:rsidP="0099088D">
            <w:pPr>
              <w:rPr>
                <w:color w:val="000000"/>
                <w:sz w:val="16"/>
                <w:szCs w:val="16"/>
              </w:rPr>
            </w:pPr>
          </w:p>
        </w:tc>
        <w:tc>
          <w:tcPr>
            <w:tcW w:w="602" w:type="pct"/>
            <w:shd w:val="clear" w:color="auto" w:fill="auto"/>
            <w:noWrap/>
            <w:vAlign w:val="center"/>
            <w:hideMark/>
          </w:tcPr>
          <w:p w14:paraId="0B060943" w14:textId="77777777" w:rsidR="008F3544" w:rsidRPr="00192507" w:rsidRDefault="008F3544" w:rsidP="0099088D">
            <w:pPr>
              <w:jc w:val="center"/>
              <w:rPr>
                <w:color w:val="000000"/>
                <w:sz w:val="16"/>
                <w:szCs w:val="16"/>
              </w:rPr>
            </w:pPr>
            <w:r w:rsidRPr="00192507">
              <w:rPr>
                <w:color w:val="000000"/>
                <w:sz w:val="16"/>
                <w:szCs w:val="16"/>
              </w:rPr>
              <w:t>3 762 785,29</w:t>
            </w:r>
          </w:p>
        </w:tc>
        <w:tc>
          <w:tcPr>
            <w:tcW w:w="603" w:type="pct"/>
            <w:shd w:val="clear" w:color="auto" w:fill="auto"/>
            <w:noWrap/>
            <w:vAlign w:val="center"/>
            <w:hideMark/>
          </w:tcPr>
          <w:p w14:paraId="019E0F09" w14:textId="77777777" w:rsidR="008F3544" w:rsidRPr="00192507" w:rsidRDefault="008F3544" w:rsidP="0099088D">
            <w:pPr>
              <w:jc w:val="center"/>
              <w:rPr>
                <w:color w:val="000000"/>
                <w:sz w:val="16"/>
                <w:szCs w:val="16"/>
              </w:rPr>
            </w:pPr>
            <w:r w:rsidRPr="00192507">
              <w:rPr>
                <w:color w:val="000000"/>
                <w:sz w:val="16"/>
                <w:szCs w:val="16"/>
              </w:rPr>
              <w:t>3 311 913,41</w:t>
            </w:r>
          </w:p>
        </w:tc>
      </w:tr>
      <w:tr w:rsidR="008F3544" w:rsidRPr="00192507" w14:paraId="6CBC5B16" w14:textId="77777777" w:rsidTr="0099088D">
        <w:trPr>
          <w:trHeight w:val="547"/>
        </w:trPr>
        <w:tc>
          <w:tcPr>
            <w:tcW w:w="672" w:type="pct"/>
            <w:vMerge w:val="restart"/>
            <w:shd w:val="clear" w:color="auto" w:fill="auto"/>
            <w:vAlign w:val="center"/>
            <w:hideMark/>
          </w:tcPr>
          <w:p w14:paraId="2C2F9877" w14:textId="77777777" w:rsidR="008F3544" w:rsidRPr="00192507" w:rsidRDefault="008F3544" w:rsidP="0099088D">
            <w:pPr>
              <w:jc w:val="center"/>
              <w:rPr>
                <w:color w:val="000000"/>
                <w:sz w:val="16"/>
                <w:szCs w:val="16"/>
              </w:rPr>
            </w:pPr>
            <w:r w:rsidRPr="00192507">
              <w:rPr>
                <w:color w:val="000000"/>
                <w:sz w:val="16"/>
                <w:szCs w:val="16"/>
              </w:rPr>
              <w:t>3.1.2.1.4.2.</w:t>
            </w:r>
          </w:p>
        </w:tc>
        <w:tc>
          <w:tcPr>
            <w:tcW w:w="902" w:type="pct"/>
            <w:shd w:val="clear" w:color="auto" w:fill="auto"/>
            <w:vAlign w:val="center"/>
            <w:hideMark/>
          </w:tcPr>
          <w:p w14:paraId="38F8DD71" w14:textId="77777777" w:rsidR="008F3544" w:rsidRPr="006D089E"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3.1.2.1.4.2.</m:t>
                    </m:r>
                  </m:sub>
                  <m:sup>
                    <m:r>
                      <m:rPr>
                        <m:nor/>
                      </m:rPr>
                      <w:rPr>
                        <w:color w:val="000000"/>
                      </w:rPr>
                      <m:t>0,4 кВ и ниже</m:t>
                    </m:r>
                  </m:sup>
                </m:sSubSup>
              </m:oMath>
            </m:oMathPara>
          </w:p>
        </w:tc>
        <w:tc>
          <w:tcPr>
            <w:tcW w:w="1525" w:type="pct"/>
            <w:vMerge w:val="restart"/>
            <w:shd w:val="clear" w:color="auto" w:fill="auto"/>
            <w:vAlign w:val="center"/>
            <w:hideMark/>
          </w:tcPr>
          <w:p w14:paraId="3E540FD4" w14:textId="77777777" w:rsidR="008F3544" w:rsidRPr="00192507" w:rsidRDefault="008F3544" w:rsidP="0099088D">
            <w:pPr>
              <w:rPr>
                <w:color w:val="000000"/>
                <w:sz w:val="16"/>
                <w:szCs w:val="16"/>
              </w:rPr>
            </w:pPr>
            <w:r w:rsidRPr="00192507">
              <w:rPr>
                <w:color w:val="000000"/>
                <w:sz w:val="16"/>
                <w:szCs w:val="16"/>
              </w:rPr>
              <w:t>кабельные линии в траншеях многожильные с резиновой или пластмассовой изоляцией сечением провода от 200 до 250 квадратных мм включительно с двумя кабелями в траншее</w:t>
            </w:r>
          </w:p>
        </w:tc>
        <w:tc>
          <w:tcPr>
            <w:tcW w:w="696" w:type="pct"/>
            <w:vMerge w:val="restart"/>
            <w:shd w:val="clear" w:color="auto" w:fill="auto"/>
            <w:vAlign w:val="center"/>
            <w:hideMark/>
          </w:tcPr>
          <w:p w14:paraId="39F01D05" w14:textId="77777777" w:rsidR="008F3544" w:rsidRPr="00192507" w:rsidRDefault="008F3544" w:rsidP="0099088D">
            <w:pPr>
              <w:jc w:val="center"/>
              <w:rPr>
                <w:color w:val="000000"/>
                <w:sz w:val="16"/>
                <w:szCs w:val="16"/>
              </w:rPr>
            </w:pPr>
            <w:r w:rsidRPr="00192507">
              <w:rPr>
                <w:color w:val="000000"/>
                <w:sz w:val="16"/>
                <w:szCs w:val="16"/>
              </w:rPr>
              <w:t>рублей/км</w:t>
            </w:r>
          </w:p>
        </w:tc>
        <w:tc>
          <w:tcPr>
            <w:tcW w:w="602" w:type="pct"/>
            <w:shd w:val="clear" w:color="auto" w:fill="auto"/>
            <w:noWrap/>
            <w:vAlign w:val="center"/>
            <w:hideMark/>
          </w:tcPr>
          <w:p w14:paraId="4B961CF6" w14:textId="77777777" w:rsidR="008F3544" w:rsidRPr="00192507" w:rsidRDefault="008F3544" w:rsidP="0099088D">
            <w:pPr>
              <w:jc w:val="center"/>
              <w:rPr>
                <w:color w:val="000000"/>
                <w:sz w:val="16"/>
                <w:szCs w:val="16"/>
              </w:rPr>
            </w:pPr>
            <w:r w:rsidRPr="00192507">
              <w:rPr>
                <w:color w:val="000000"/>
                <w:sz w:val="16"/>
                <w:szCs w:val="16"/>
              </w:rPr>
              <w:t>3 819 712,13</w:t>
            </w:r>
          </w:p>
        </w:tc>
        <w:tc>
          <w:tcPr>
            <w:tcW w:w="603" w:type="pct"/>
            <w:shd w:val="clear" w:color="auto" w:fill="auto"/>
            <w:noWrap/>
            <w:vAlign w:val="center"/>
            <w:hideMark/>
          </w:tcPr>
          <w:p w14:paraId="58E1E288" w14:textId="77777777" w:rsidR="008F3544" w:rsidRPr="00192507" w:rsidRDefault="008F3544" w:rsidP="0099088D">
            <w:pPr>
              <w:jc w:val="center"/>
              <w:rPr>
                <w:color w:val="000000"/>
                <w:sz w:val="16"/>
                <w:szCs w:val="16"/>
              </w:rPr>
            </w:pPr>
            <w:r w:rsidRPr="00192507">
              <w:rPr>
                <w:color w:val="000000"/>
                <w:sz w:val="16"/>
                <w:szCs w:val="16"/>
              </w:rPr>
              <w:t>3 526 954,39</w:t>
            </w:r>
          </w:p>
        </w:tc>
      </w:tr>
      <w:tr w:rsidR="008F3544" w:rsidRPr="00192507" w14:paraId="78F84C93" w14:textId="77777777" w:rsidTr="0099088D">
        <w:trPr>
          <w:trHeight w:val="547"/>
        </w:trPr>
        <w:tc>
          <w:tcPr>
            <w:tcW w:w="672" w:type="pct"/>
            <w:vMerge/>
            <w:shd w:val="clear" w:color="auto" w:fill="auto"/>
            <w:vAlign w:val="center"/>
            <w:hideMark/>
          </w:tcPr>
          <w:p w14:paraId="10FF5979" w14:textId="77777777" w:rsidR="008F3544" w:rsidRPr="00192507" w:rsidRDefault="008F3544" w:rsidP="0099088D">
            <w:pPr>
              <w:rPr>
                <w:color w:val="000000"/>
                <w:sz w:val="16"/>
                <w:szCs w:val="16"/>
              </w:rPr>
            </w:pPr>
          </w:p>
        </w:tc>
        <w:tc>
          <w:tcPr>
            <w:tcW w:w="902" w:type="pct"/>
            <w:shd w:val="clear" w:color="auto" w:fill="auto"/>
            <w:vAlign w:val="center"/>
            <w:hideMark/>
          </w:tcPr>
          <w:p w14:paraId="2F1841D0" w14:textId="77777777" w:rsidR="008F3544" w:rsidRPr="006D089E"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3.1.2.1.4.2.</m:t>
                    </m:r>
                  </m:sub>
                  <m:sup>
                    <m:r>
                      <m:rPr>
                        <m:nor/>
                      </m:rPr>
                      <w:rPr>
                        <w:color w:val="000000"/>
                      </w:rPr>
                      <m:t>1-10 кВ</m:t>
                    </m:r>
                  </m:sup>
                </m:sSubSup>
              </m:oMath>
            </m:oMathPara>
          </w:p>
        </w:tc>
        <w:tc>
          <w:tcPr>
            <w:tcW w:w="1525" w:type="pct"/>
            <w:vMerge/>
            <w:shd w:val="clear" w:color="auto" w:fill="auto"/>
            <w:vAlign w:val="center"/>
            <w:hideMark/>
          </w:tcPr>
          <w:p w14:paraId="50A18DA5" w14:textId="77777777" w:rsidR="008F3544" w:rsidRPr="00192507" w:rsidRDefault="008F3544" w:rsidP="0099088D">
            <w:pPr>
              <w:rPr>
                <w:color w:val="000000"/>
                <w:sz w:val="16"/>
                <w:szCs w:val="16"/>
              </w:rPr>
            </w:pPr>
          </w:p>
        </w:tc>
        <w:tc>
          <w:tcPr>
            <w:tcW w:w="696" w:type="pct"/>
            <w:vMerge/>
            <w:shd w:val="clear" w:color="auto" w:fill="auto"/>
            <w:vAlign w:val="center"/>
            <w:hideMark/>
          </w:tcPr>
          <w:p w14:paraId="60C3DEE9" w14:textId="77777777" w:rsidR="008F3544" w:rsidRPr="00192507" w:rsidRDefault="008F3544" w:rsidP="0099088D">
            <w:pPr>
              <w:rPr>
                <w:color w:val="000000"/>
                <w:sz w:val="16"/>
                <w:szCs w:val="16"/>
              </w:rPr>
            </w:pPr>
          </w:p>
        </w:tc>
        <w:tc>
          <w:tcPr>
            <w:tcW w:w="602" w:type="pct"/>
            <w:shd w:val="clear" w:color="auto" w:fill="auto"/>
            <w:noWrap/>
            <w:vAlign w:val="center"/>
            <w:hideMark/>
          </w:tcPr>
          <w:p w14:paraId="554B8708" w14:textId="77777777" w:rsidR="008F3544" w:rsidRPr="00192507" w:rsidRDefault="008F3544" w:rsidP="0099088D">
            <w:pPr>
              <w:jc w:val="center"/>
              <w:rPr>
                <w:color w:val="000000"/>
                <w:sz w:val="16"/>
                <w:szCs w:val="16"/>
              </w:rPr>
            </w:pPr>
            <w:r w:rsidRPr="00192507">
              <w:rPr>
                <w:color w:val="000000"/>
                <w:sz w:val="16"/>
                <w:szCs w:val="16"/>
              </w:rPr>
              <w:t>5 476 807,44</w:t>
            </w:r>
          </w:p>
        </w:tc>
        <w:tc>
          <w:tcPr>
            <w:tcW w:w="603" w:type="pct"/>
            <w:shd w:val="clear" w:color="auto" w:fill="auto"/>
            <w:noWrap/>
            <w:vAlign w:val="center"/>
            <w:hideMark/>
          </w:tcPr>
          <w:p w14:paraId="4D881772" w14:textId="77777777" w:rsidR="008F3544" w:rsidRPr="00192507" w:rsidRDefault="008F3544" w:rsidP="0099088D">
            <w:pPr>
              <w:jc w:val="center"/>
              <w:rPr>
                <w:color w:val="000000"/>
                <w:sz w:val="16"/>
                <w:szCs w:val="16"/>
              </w:rPr>
            </w:pPr>
            <w:r w:rsidRPr="00192507">
              <w:rPr>
                <w:color w:val="000000"/>
                <w:sz w:val="16"/>
                <w:szCs w:val="16"/>
              </w:rPr>
              <w:t>4 314 390,14</w:t>
            </w:r>
          </w:p>
        </w:tc>
      </w:tr>
      <w:tr w:rsidR="008F3544" w:rsidRPr="00192507" w14:paraId="4E048756" w14:textId="77777777" w:rsidTr="0099088D">
        <w:trPr>
          <w:trHeight w:val="1125"/>
        </w:trPr>
        <w:tc>
          <w:tcPr>
            <w:tcW w:w="672" w:type="pct"/>
            <w:shd w:val="clear" w:color="auto" w:fill="auto"/>
            <w:vAlign w:val="center"/>
            <w:hideMark/>
          </w:tcPr>
          <w:p w14:paraId="689E8D46" w14:textId="77777777" w:rsidR="008F3544" w:rsidRPr="00192507" w:rsidRDefault="008F3544" w:rsidP="0099088D">
            <w:pPr>
              <w:jc w:val="center"/>
              <w:rPr>
                <w:color w:val="000000"/>
                <w:sz w:val="16"/>
                <w:szCs w:val="16"/>
              </w:rPr>
            </w:pPr>
            <w:r w:rsidRPr="00192507">
              <w:rPr>
                <w:color w:val="000000"/>
                <w:sz w:val="16"/>
                <w:szCs w:val="16"/>
              </w:rPr>
              <w:t>3.1.2.1.4.4.</w:t>
            </w:r>
          </w:p>
        </w:tc>
        <w:tc>
          <w:tcPr>
            <w:tcW w:w="902" w:type="pct"/>
            <w:shd w:val="clear" w:color="auto" w:fill="auto"/>
            <w:vAlign w:val="center"/>
            <w:hideMark/>
          </w:tcPr>
          <w:p w14:paraId="259EA999" w14:textId="77777777" w:rsidR="008F3544" w:rsidRPr="006D089E"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3.1.2.1.4.4.</m:t>
                    </m:r>
                  </m:sub>
                  <m:sup>
                    <m:r>
                      <m:rPr>
                        <m:nor/>
                      </m:rPr>
                      <w:rPr>
                        <w:color w:val="000000"/>
                      </w:rPr>
                      <m:t>0,4 кВ и ниже</m:t>
                    </m:r>
                  </m:sup>
                </m:sSubSup>
              </m:oMath>
            </m:oMathPara>
          </w:p>
        </w:tc>
        <w:tc>
          <w:tcPr>
            <w:tcW w:w="1525" w:type="pct"/>
            <w:shd w:val="clear" w:color="auto" w:fill="auto"/>
            <w:vAlign w:val="center"/>
            <w:hideMark/>
          </w:tcPr>
          <w:p w14:paraId="52DD0D06" w14:textId="77777777" w:rsidR="008F3544" w:rsidRPr="00192507" w:rsidRDefault="008F3544" w:rsidP="0099088D">
            <w:pPr>
              <w:rPr>
                <w:color w:val="000000"/>
                <w:sz w:val="16"/>
                <w:szCs w:val="16"/>
              </w:rPr>
            </w:pPr>
            <w:r w:rsidRPr="00192507">
              <w:rPr>
                <w:color w:val="000000"/>
                <w:sz w:val="16"/>
                <w:szCs w:val="16"/>
              </w:rPr>
              <w:t>кабельные линии в траншеях многожильные с резиновой или пластмассовой изоляцией сечением провода от 200 до 250 квадратных мм включительно с четырьмя кабелями в траншее</w:t>
            </w:r>
          </w:p>
        </w:tc>
        <w:tc>
          <w:tcPr>
            <w:tcW w:w="696" w:type="pct"/>
            <w:shd w:val="clear" w:color="auto" w:fill="auto"/>
            <w:vAlign w:val="center"/>
            <w:hideMark/>
          </w:tcPr>
          <w:p w14:paraId="05499319" w14:textId="77777777" w:rsidR="008F3544" w:rsidRPr="00192507" w:rsidRDefault="008F3544" w:rsidP="0099088D">
            <w:pPr>
              <w:jc w:val="center"/>
              <w:rPr>
                <w:color w:val="000000"/>
                <w:sz w:val="16"/>
                <w:szCs w:val="16"/>
              </w:rPr>
            </w:pPr>
            <w:r w:rsidRPr="00192507">
              <w:rPr>
                <w:color w:val="000000"/>
                <w:sz w:val="16"/>
                <w:szCs w:val="16"/>
              </w:rPr>
              <w:t>рублей/км</w:t>
            </w:r>
          </w:p>
        </w:tc>
        <w:tc>
          <w:tcPr>
            <w:tcW w:w="602" w:type="pct"/>
            <w:shd w:val="clear" w:color="auto" w:fill="auto"/>
            <w:noWrap/>
            <w:vAlign w:val="center"/>
            <w:hideMark/>
          </w:tcPr>
          <w:p w14:paraId="729CD97B" w14:textId="77777777" w:rsidR="008F3544" w:rsidRPr="00192507" w:rsidRDefault="008F3544" w:rsidP="0099088D">
            <w:pPr>
              <w:jc w:val="center"/>
              <w:rPr>
                <w:color w:val="000000"/>
                <w:sz w:val="16"/>
                <w:szCs w:val="16"/>
              </w:rPr>
            </w:pPr>
            <w:r w:rsidRPr="00192507">
              <w:rPr>
                <w:color w:val="000000"/>
                <w:sz w:val="16"/>
                <w:szCs w:val="16"/>
              </w:rPr>
              <w:t>5 968 381,34</w:t>
            </w:r>
          </w:p>
        </w:tc>
        <w:tc>
          <w:tcPr>
            <w:tcW w:w="603" w:type="pct"/>
            <w:shd w:val="clear" w:color="auto" w:fill="auto"/>
            <w:noWrap/>
            <w:vAlign w:val="center"/>
            <w:hideMark/>
          </w:tcPr>
          <w:p w14:paraId="065034C1" w14:textId="77777777" w:rsidR="008F3544" w:rsidRPr="00192507" w:rsidRDefault="008F3544" w:rsidP="0099088D">
            <w:pPr>
              <w:jc w:val="center"/>
              <w:rPr>
                <w:color w:val="000000"/>
                <w:sz w:val="16"/>
                <w:szCs w:val="16"/>
              </w:rPr>
            </w:pPr>
            <w:r>
              <w:rPr>
                <w:color w:val="000000"/>
                <w:sz w:val="16"/>
                <w:szCs w:val="16"/>
              </w:rPr>
              <w:t>-</w:t>
            </w:r>
          </w:p>
        </w:tc>
      </w:tr>
      <w:tr w:rsidR="008F3544" w:rsidRPr="00192507" w14:paraId="487A57F3" w14:textId="77777777" w:rsidTr="0099088D">
        <w:trPr>
          <w:trHeight w:val="900"/>
        </w:trPr>
        <w:tc>
          <w:tcPr>
            <w:tcW w:w="672" w:type="pct"/>
            <w:shd w:val="clear" w:color="auto" w:fill="auto"/>
            <w:vAlign w:val="center"/>
            <w:hideMark/>
          </w:tcPr>
          <w:p w14:paraId="1EC8C310" w14:textId="77777777" w:rsidR="008F3544" w:rsidRPr="00192507" w:rsidRDefault="008F3544" w:rsidP="0099088D">
            <w:pPr>
              <w:jc w:val="center"/>
              <w:rPr>
                <w:color w:val="000000"/>
                <w:sz w:val="16"/>
                <w:szCs w:val="16"/>
              </w:rPr>
            </w:pPr>
            <w:r w:rsidRPr="00192507">
              <w:rPr>
                <w:color w:val="000000"/>
                <w:sz w:val="16"/>
                <w:szCs w:val="16"/>
              </w:rPr>
              <w:t>3.1.2.1.5.1.</w:t>
            </w:r>
          </w:p>
        </w:tc>
        <w:tc>
          <w:tcPr>
            <w:tcW w:w="902" w:type="pct"/>
            <w:shd w:val="clear" w:color="auto" w:fill="auto"/>
            <w:vAlign w:val="center"/>
            <w:hideMark/>
          </w:tcPr>
          <w:p w14:paraId="16F007F8" w14:textId="77777777" w:rsidR="008F3544" w:rsidRPr="00524066"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3.1.2.1.5.1.</m:t>
                    </m:r>
                  </m:sub>
                  <m:sup>
                    <m:r>
                      <m:rPr>
                        <m:nor/>
                      </m:rPr>
                      <w:rPr>
                        <w:color w:val="000000"/>
                      </w:rPr>
                      <m:t>0,4 кВ и ниже</m:t>
                    </m:r>
                  </m:sup>
                </m:sSubSup>
              </m:oMath>
            </m:oMathPara>
          </w:p>
        </w:tc>
        <w:tc>
          <w:tcPr>
            <w:tcW w:w="1525" w:type="pct"/>
            <w:shd w:val="clear" w:color="auto" w:fill="auto"/>
            <w:vAlign w:val="center"/>
            <w:hideMark/>
          </w:tcPr>
          <w:p w14:paraId="116E6FB1" w14:textId="77777777" w:rsidR="008F3544" w:rsidRPr="00192507" w:rsidRDefault="008F3544" w:rsidP="0099088D">
            <w:pPr>
              <w:rPr>
                <w:color w:val="000000"/>
                <w:sz w:val="16"/>
                <w:szCs w:val="16"/>
              </w:rPr>
            </w:pPr>
            <w:r w:rsidRPr="00192507">
              <w:rPr>
                <w:color w:val="000000"/>
                <w:sz w:val="16"/>
                <w:szCs w:val="16"/>
              </w:rPr>
              <w:t>кабельные линии в траншеях многожильные с резиновой или пластмассовой изоляцией сечением провода от 250 до 300 квадратных мм включительно с одним кабелем в траншее</w:t>
            </w:r>
          </w:p>
        </w:tc>
        <w:tc>
          <w:tcPr>
            <w:tcW w:w="696" w:type="pct"/>
            <w:shd w:val="clear" w:color="auto" w:fill="auto"/>
            <w:vAlign w:val="center"/>
            <w:hideMark/>
          </w:tcPr>
          <w:p w14:paraId="54BF8E6D" w14:textId="77777777" w:rsidR="008F3544" w:rsidRPr="00192507" w:rsidRDefault="008F3544" w:rsidP="0099088D">
            <w:pPr>
              <w:jc w:val="center"/>
              <w:rPr>
                <w:color w:val="000000"/>
                <w:sz w:val="16"/>
                <w:szCs w:val="16"/>
              </w:rPr>
            </w:pPr>
            <w:r w:rsidRPr="00192507">
              <w:rPr>
                <w:color w:val="000000"/>
                <w:sz w:val="16"/>
                <w:szCs w:val="16"/>
              </w:rPr>
              <w:t>рублей/км</w:t>
            </w:r>
          </w:p>
        </w:tc>
        <w:tc>
          <w:tcPr>
            <w:tcW w:w="602" w:type="pct"/>
            <w:shd w:val="clear" w:color="auto" w:fill="auto"/>
            <w:noWrap/>
            <w:vAlign w:val="center"/>
            <w:hideMark/>
          </w:tcPr>
          <w:p w14:paraId="53C7BD1E" w14:textId="77777777" w:rsidR="008F3544" w:rsidRPr="00192507" w:rsidRDefault="008F3544" w:rsidP="0099088D">
            <w:pPr>
              <w:jc w:val="center"/>
              <w:rPr>
                <w:color w:val="000000"/>
                <w:sz w:val="16"/>
                <w:szCs w:val="16"/>
              </w:rPr>
            </w:pPr>
            <w:r w:rsidRPr="00192507">
              <w:rPr>
                <w:color w:val="000000"/>
                <w:sz w:val="16"/>
                <w:szCs w:val="16"/>
              </w:rPr>
              <w:t>3 142 307,86</w:t>
            </w:r>
          </w:p>
        </w:tc>
        <w:tc>
          <w:tcPr>
            <w:tcW w:w="603" w:type="pct"/>
            <w:shd w:val="clear" w:color="auto" w:fill="auto"/>
            <w:noWrap/>
            <w:vAlign w:val="center"/>
            <w:hideMark/>
          </w:tcPr>
          <w:p w14:paraId="30AF19B7" w14:textId="77777777" w:rsidR="008F3544" w:rsidRPr="00192507" w:rsidRDefault="008F3544" w:rsidP="0099088D">
            <w:pPr>
              <w:jc w:val="center"/>
              <w:rPr>
                <w:color w:val="000000"/>
                <w:sz w:val="16"/>
                <w:szCs w:val="16"/>
              </w:rPr>
            </w:pPr>
            <w:r>
              <w:rPr>
                <w:color w:val="000000"/>
                <w:sz w:val="16"/>
                <w:szCs w:val="16"/>
              </w:rPr>
              <w:t>-</w:t>
            </w:r>
          </w:p>
        </w:tc>
      </w:tr>
      <w:tr w:rsidR="008F3544" w:rsidRPr="00192507" w14:paraId="2AB2E3DF" w14:textId="77777777" w:rsidTr="0099088D">
        <w:trPr>
          <w:trHeight w:val="900"/>
        </w:trPr>
        <w:tc>
          <w:tcPr>
            <w:tcW w:w="672" w:type="pct"/>
            <w:shd w:val="clear" w:color="auto" w:fill="auto"/>
            <w:vAlign w:val="center"/>
            <w:hideMark/>
          </w:tcPr>
          <w:p w14:paraId="188CD049" w14:textId="77777777" w:rsidR="008F3544" w:rsidRPr="00192507" w:rsidRDefault="008F3544" w:rsidP="0099088D">
            <w:pPr>
              <w:jc w:val="center"/>
              <w:rPr>
                <w:color w:val="000000"/>
                <w:sz w:val="16"/>
                <w:szCs w:val="16"/>
              </w:rPr>
            </w:pPr>
            <w:r w:rsidRPr="00192507">
              <w:rPr>
                <w:color w:val="000000"/>
                <w:sz w:val="16"/>
                <w:szCs w:val="16"/>
              </w:rPr>
              <w:t>3.1.2.2.1.1.</w:t>
            </w:r>
          </w:p>
        </w:tc>
        <w:tc>
          <w:tcPr>
            <w:tcW w:w="902" w:type="pct"/>
            <w:shd w:val="clear" w:color="auto" w:fill="auto"/>
            <w:vAlign w:val="center"/>
            <w:hideMark/>
          </w:tcPr>
          <w:p w14:paraId="6D1F2D2D" w14:textId="77777777" w:rsidR="008F3544" w:rsidRPr="00524066"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3.1.2.2.1.1.</m:t>
                    </m:r>
                  </m:sub>
                  <m:sup>
                    <m:r>
                      <m:rPr>
                        <m:nor/>
                      </m:rPr>
                      <w:rPr>
                        <w:color w:val="000000"/>
                      </w:rPr>
                      <m:t>0,4 кВ и ниже</m:t>
                    </m:r>
                  </m:sup>
                </m:sSubSup>
              </m:oMath>
            </m:oMathPara>
          </w:p>
        </w:tc>
        <w:tc>
          <w:tcPr>
            <w:tcW w:w="1525" w:type="pct"/>
            <w:shd w:val="clear" w:color="auto" w:fill="auto"/>
            <w:vAlign w:val="center"/>
            <w:hideMark/>
          </w:tcPr>
          <w:p w14:paraId="6014FB13" w14:textId="77777777" w:rsidR="008F3544" w:rsidRPr="00192507" w:rsidRDefault="008F3544" w:rsidP="0099088D">
            <w:pPr>
              <w:rPr>
                <w:color w:val="000000"/>
                <w:sz w:val="16"/>
                <w:szCs w:val="16"/>
              </w:rPr>
            </w:pPr>
            <w:r w:rsidRPr="00192507">
              <w:rPr>
                <w:color w:val="000000"/>
                <w:sz w:val="16"/>
                <w:szCs w:val="16"/>
              </w:rPr>
              <w:t>кабельные линии в траншеях многожильные с бумажной изоляцией сечением провода до 50 квадратных мм включительно с одним кабелем в траншее</w:t>
            </w:r>
          </w:p>
        </w:tc>
        <w:tc>
          <w:tcPr>
            <w:tcW w:w="696" w:type="pct"/>
            <w:shd w:val="clear" w:color="auto" w:fill="auto"/>
            <w:vAlign w:val="center"/>
            <w:hideMark/>
          </w:tcPr>
          <w:p w14:paraId="1FF0FF1E" w14:textId="77777777" w:rsidR="008F3544" w:rsidRPr="00192507" w:rsidRDefault="008F3544" w:rsidP="0099088D">
            <w:pPr>
              <w:jc w:val="center"/>
              <w:rPr>
                <w:color w:val="000000"/>
                <w:sz w:val="16"/>
                <w:szCs w:val="16"/>
              </w:rPr>
            </w:pPr>
            <w:r w:rsidRPr="00192507">
              <w:rPr>
                <w:color w:val="000000"/>
                <w:sz w:val="16"/>
                <w:szCs w:val="16"/>
              </w:rPr>
              <w:t>рублей/км</w:t>
            </w:r>
          </w:p>
        </w:tc>
        <w:tc>
          <w:tcPr>
            <w:tcW w:w="602" w:type="pct"/>
            <w:shd w:val="clear" w:color="auto" w:fill="auto"/>
            <w:noWrap/>
            <w:vAlign w:val="center"/>
            <w:hideMark/>
          </w:tcPr>
          <w:p w14:paraId="7B77D4FF" w14:textId="77777777" w:rsidR="008F3544" w:rsidRPr="00192507" w:rsidRDefault="008F3544" w:rsidP="0099088D">
            <w:pPr>
              <w:jc w:val="center"/>
              <w:rPr>
                <w:color w:val="000000"/>
                <w:sz w:val="16"/>
                <w:szCs w:val="16"/>
              </w:rPr>
            </w:pPr>
            <w:r w:rsidRPr="00192507">
              <w:rPr>
                <w:color w:val="000000"/>
                <w:sz w:val="16"/>
                <w:szCs w:val="16"/>
              </w:rPr>
              <w:t>1 593 122,26</w:t>
            </w:r>
          </w:p>
        </w:tc>
        <w:tc>
          <w:tcPr>
            <w:tcW w:w="603" w:type="pct"/>
            <w:shd w:val="clear" w:color="auto" w:fill="auto"/>
            <w:noWrap/>
            <w:vAlign w:val="center"/>
            <w:hideMark/>
          </w:tcPr>
          <w:p w14:paraId="3F333632" w14:textId="77777777" w:rsidR="008F3544" w:rsidRPr="00192507" w:rsidRDefault="008F3544" w:rsidP="0099088D">
            <w:pPr>
              <w:jc w:val="center"/>
              <w:rPr>
                <w:color w:val="000000"/>
                <w:sz w:val="16"/>
                <w:szCs w:val="16"/>
              </w:rPr>
            </w:pPr>
            <w:r>
              <w:rPr>
                <w:color w:val="000000"/>
                <w:sz w:val="16"/>
                <w:szCs w:val="16"/>
              </w:rPr>
              <w:t>-</w:t>
            </w:r>
          </w:p>
        </w:tc>
      </w:tr>
      <w:tr w:rsidR="008F3544" w:rsidRPr="00192507" w14:paraId="49373319" w14:textId="77777777" w:rsidTr="0099088D">
        <w:trPr>
          <w:trHeight w:val="900"/>
        </w:trPr>
        <w:tc>
          <w:tcPr>
            <w:tcW w:w="672" w:type="pct"/>
            <w:shd w:val="clear" w:color="auto" w:fill="auto"/>
            <w:vAlign w:val="center"/>
            <w:hideMark/>
          </w:tcPr>
          <w:p w14:paraId="2BDCB555" w14:textId="77777777" w:rsidR="008F3544" w:rsidRPr="00192507" w:rsidRDefault="008F3544" w:rsidP="0099088D">
            <w:pPr>
              <w:jc w:val="center"/>
              <w:rPr>
                <w:color w:val="000000"/>
                <w:sz w:val="16"/>
                <w:szCs w:val="16"/>
              </w:rPr>
            </w:pPr>
            <w:r w:rsidRPr="00192507">
              <w:rPr>
                <w:color w:val="000000"/>
                <w:sz w:val="16"/>
                <w:szCs w:val="16"/>
              </w:rPr>
              <w:t>3.1.2.2.2.1.</w:t>
            </w:r>
          </w:p>
        </w:tc>
        <w:tc>
          <w:tcPr>
            <w:tcW w:w="902" w:type="pct"/>
            <w:shd w:val="clear" w:color="auto" w:fill="auto"/>
            <w:vAlign w:val="center"/>
            <w:hideMark/>
          </w:tcPr>
          <w:p w14:paraId="4D25571E" w14:textId="77777777" w:rsidR="008F3544" w:rsidRPr="00524066"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3.1.2.2.2.1.</m:t>
                    </m:r>
                  </m:sub>
                  <m:sup>
                    <m:r>
                      <m:rPr>
                        <m:nor/>
                      </m:rPr>
                      <w:rPr>
                        <w:color w:val="000000"/>
                      </w:rPr>
                      <m:t>0,4 кВ и ниже</m:t>
                    </m:r>
                  </m:sup>
                </m:sSubSup>
              </m:oMath>
            </m:oMathPara>
          </w:p>
        </w:tc>
        <w:tc>
          <w:tcPr>
            <w:tcW w:w="1525" w:type="pct"/>
            <w:shd w:val="clear" w:color="auto" w:fill="auto"/>
            <w:vAlign w:val="center"/>
            <w:hideMark/>
          </w:tcPr>
          <w:p w14:paraId="2C8C008D" w14:textId="77777777" w:rsidR="008F3544" w:rsidRPr="00192507" w:rsidRDefault="008F3544" w:rsidP="0099088D">
            <w:pPr>
              <w:rPr>
                <w:color w:val="000000"/>
                <w:sz w:val="16"/>
                <w:szCs w:val="16"/>
              </w:rPr>
            </w:pPr>
            <w:r w:rsidRPr="00192507">
              <w:rPr>
                <w:color w:val="000000"/>
                <w:sz w:val="16"/>
                <w:szCs w:val="16"/>
              </w:rPr>
              <w:t>кабельные линии в траншеях многожильные с бумажной изоляцией сечением провода от 50 до 100 квадратных мм включительно с одним кабелем в траншее</w:t>
            </w:r>
          </w:p>
        </w:tc>
        <w:tc>
          <w:tcPr>
            <w:tcW w:w="696" w:type="pct"/>
            <w:shd w:val="clear" w:color="auto" w:fill="auto"/>
            <w:vAlign w:val="center"/>
            <w:hideMark/>
          </w:tcPr>
          <w:p w14:paraId="11FDF538" w14:textId="77777777" w:rsidR="008F3544" w:rsidRPr="00192507" w:rsidRDefault="008F3544" w:rsidP="0099088D">
            <w:pPr>
              <w:jc w:val="center"/>
              <w:rPr>
                <w:color w:val="000000"/>
                <w:sz w:val="16"/>
                <w:szCs w:val="16"/>
              </w:rPr>
            </w:pPr>
            <w:r w:rsidRPr="00192507">
              <w:rPr>
                <w:color w:val="000000"/>
                <w:sz w:val="16"/>
                <w:szCs w:val="16"/>
              </w:rPr>
              <w:t>рублей/км</w:t>
            </w:r>
          </w:p>
        </w:tc>
        <w:tc>
          <w:tcPr>
            <w:tcW w:w="602" w:type="pct"/>
            <w:shd w:val="clear" w:color="auto" w:fill="auto"/>
            <w:noWrap/>
            <w:vAlign w:val="center"/>
            <w:hideMark/>
          </w:tcPr>
          <w:p w14:paraId="56B53092" w14:textId="77777777" w:rsidR="008F3544" w:rsidRPr="00192507" w:rsidRDefault="008F3544" w:rsidP="0099088D">
            <w:pPr>
              <w:jc w:val="center"/>
              <w:rPr>
                <w:color w:val="000000"/>
                <w:sz w:val="16"/>
                <w:szCs w:val="16"/>
              </w:rPr>
            </w:pPr>
            <w:r w:rsidRPr="00192507">
              <w:rPr>
                <w:color w:val="000000"/>
                <w:sz w:val="16"/>
                <w:szCs w:val="16"/>
              </w:rPr>
              <w:t>1 866 122,65</w:t>
            </w:r>
          </w:p>
        </w:tc>
        <w:tc>
          <w:tcPr>
            <w:tcW w:w="603" w:type="pct"/>
            <w:shd w:val="clear" w:color="auto" w:fill="auto"/>
            <w:noWrap/>
            <w:vAlign w:val="center"/>
            <w:hideMark/>
          </w:tcPr>
          <w:p w14:paraId="001538F8" w14:textId="77777777" w:rsidR="008F3544" w:rsidRPr="00192507" w:rsidRDefault="008F3544" w:rsidP="0099088D">
            <w:pPr>
              <w:jc w:val="center"/>
              <w:rPr>
                <w:color w:val="000000"/>
                <w:sz w:val="16"/>
                <w:szCs w:val="16"/>
              </w:rPr>
            </w:pPr>
            <w:r>
              <w:rPr>
                <w:color w:val="000000"/>
                <w:sz w:val="16"/>
                <w:szCs w:val="16"/>
              </w:rPr>
              <w:t>-</w:t>
            </w:r>
          </w:p>
        </w:tc>
      </w:tr>
      <w:tr w:rsidR="008F3544" w:rsidRPr="00192507" w14:paraId="5BADE6E4" w14:textId="77777777" w:rsidTr="0099088D">
        <w:trPr>
          <w:trHeight w:val="900"/>
        </w:trPr>
        <w:tc>
          <w:tcPr>
            <w:tcW w:w="672" w:type="pct"/>
            <w:shd w:val="clear" w:color="auto" w:fill="auto"/>
            <w:vAlign w:val="center"/>
            <w:hideMark/>
          </w:tcPr>
          <w:p w14:paraId="65B017FA" w14:textId="77777777" w:rsidR="008F3544" w:rsidRPr="00524066" w:rsidRDefault="008F3544" w:rsidP="0099088D">
            <w:pPr>
              <w:jc w:val="center"/>
              <w:rPr>
                <w:color w:val="000000"/>
                <w:sz w:val="16"/>
                <w:szCs w:val="16"/>
              </w:rPr>
            </w:pPr>
            <w:r w:rsidRPr="00524066">
              <w:rPr>
                <w:color w:val="000000"/>
                <w:sz w:val="16"/>
                <w:szCs w:val="16"/>
              </w:rPr>
              <w:t>3.1.2.2.2.2.</w:t>
            </w:r>
          </w:p>
        </w:tc>
        <w:tc>
          <w:tcPr>
            <w:tcW w:w="902" w:type="pct"/>
            <w:shd w:val="clear" w:color="auto" w:fill="auto"/>
            <w:vAlign w:val="center"/>
            <w:hideMark/>
          </w:tcPr>
          <w:p w14:paraId="2F94CDC1" w14:textId="77777777" w:rsidR="008F3544" w:rsidRPr="00524066"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3.1.2.2.2.2.</m:t>
                    </m:r>
                  </m:sub>
                  <m:sup>
                    <m:r>
                      <m:rPr>
                        <m:nor/>
                      </m:rPr>
                      <w:rPr>
                        <w:color w:val="000000"/>
                      </w:rPr>
                      <m:t>0,4 кВ и ниже</m:t>
                    </m:r>
                  </m:sup>
                </m:sSubSup>
              </m:oMath>
            </m:oMathPara>
          </w:p>
        </w:tc>
        <w:tc>
          <w:tcPr>
            <w:tcW w:w="1525" w:type="pct"/>
            <w:shd w:val="clear" w:color="auto" w:fill="auto"/>
            <w:vAlign w:val="center"/>
            <w:hideMark/>
          </w:tcPr>
          <w:p w14:paraId="7AA62938" w14:textId="77777777" w:rsidR="008F3544" w:rsidRPr="00524066" w:rsidRDefault="008F3544" w:rsidP="0099088D">
            <w:pPr>
              <w:rPr>
                <w:color w:val="000000"/>
                <w:sz w:val="16"/>
                <w:szCs w:val="16"/>
              </w:rPr>
            </w:pPr>
            <w:r w:rsidRPr="00524066">
              <w:rPr>
                <w:color w:val="000000"/>
                <w:sz w:val="16"/>
                <w:szCs w:val="16"/>
              </w:rPr>
              <w:t>кабельные линии в траншеях многожильные с бумажной изоляцией сечением провода от 50 до 100 квадратных мм включительно с двумя кабелями в траншее</w:t>
            </w:r>
          </w:p>
        </w:tc>
        <w:tc>
          <w:tcPr>
            <w:tcW w:w="696" w:type="pct"/>
            <w:shd w:val="clear" w:color="auto" w:fill="auto"/>
            <w:vAlign w:val="center"/>
            <w:hideMark/>
          </w:tcPr>
          <w:p w14:paraId="53884DD1" w14:textId="77777777" w:rsidR="008F3544" w:rsidRPr="00524066" w:rsidRDefault="008F3544" w:rsidP="0099088D">
            <w:pPr>
              <w:jc w:val="center"/>
              <w:rPr>
                <w:color w:val="000000"/>
                <w:sz w:val="16"/>
                <w:szCs w:val="16"/>
              </w:rPr>
            </w:pPr>
            <w:r w:rsidRPr="00524066">
              <w:rPr>
                <w:color w:val="000000"/>
                <w:sz w:val="16"/>
                <w:szCs w:val="16"/>
              </w:rPr>
              <w:t>рублей/км</w:t>
            </w:r>
          </w:p>
        </w:tc>
        <w:tc>
          <w:tcPr>
            <w:tcW w:w="602" w:type="pct"/>
            <w:shd w:val="clear" w:color="auto" w:fill="auto"/>
            <w:noWrap/>
            <w:vAlign w:val="center"/>
            <w:hideMark/>
          </w:tcPr>
          <w:p w14:paraId="2F1E2A29" w14:textId="77777777" w:rsidR="008F3544" w:rsidRPr="00524066" w:rsidRDefault="008F3544" w:rsidP="0099088D">
            <w:pPr>
              <w:jc w:val="center"/>
              <w:rPr>
                <w:color w:val="000000"/>
                <w:sz w:val="16"/>
                <w:szCs w:val="16"/>
              </w:rPr>
            </w:pPr>
            <w:r w:rsidRPr="00524066">
              <w:rPr>
                <w:color w:val="000000"/>
                <w:sz w:val="16"/>
                <w:szCs w:val="16"/>
              </w:rPr>
              <w:t>2 085 679,19</w:t>
            </w:r>
          </w:p>
        </w:tc>
        <w:tc>
          <w:tcPr>
            <w:tcW w:w="603" w:type="pct"/>
            <w:shd w:val="clear" w:color="auto" w:fill="auto"/>
            <w:noWrap/>
            <w:vAlign w:val="center"/>
            <w:hideMark/>
          </w:tcPr>
          <w:p w14:paraId="33443B91" w14:textId="77777777" w:rsidR="008F3544" w:rsidRPr="00524066" w:rsidRDefault="008F3544" w:rsidP="0099088D">
            <w:pPr>
              <w:jc w:val="center"/>
              <w:rPr>
                <w:color w:val="000000"/>
                <w:sz w:val="16"/>
                <w:szCs w:val="16"/>
              </w:rPr>
            </w:pPr>
            <w:r>
              <w:rPr>
                <w:color w:val="000000"/>
                <w:sz w:val="16"/>
                <w:szCs w:val="16"/>
              </w:rPr>
              <w:t>-</w:t>
            </w:r>
          </w:p>
        </w:tc>
      </w:tr>
      <w:tr w:rsidR="008F3544" w:rsidRPr="00192507" w14:paraId="7D80CB03" w14:textId="77777777" w:rsidTr="0099088D">
        <w:trPr>
          <w:trHeight w:val="900"/>
        </w:trPr>
        <w:tc>
          <w:tcPr>
            <w:tcW w:w="672" w:type="pct"/>
            <w:shd w:val="clear" w:color="auto" w:fill="auto"/>
            <w:vAlign w:val="center"/>
            <w:hideMark/>
          </w:tcPr>
          <w:p w14:paraId="397FA207" w14:textId="77777777" w:rsidR="008F3544" w:rsidRPr="00192507" w:rsidRDefault="008F3544" w:rsidP="0099088D">
            <w:pPr>
              <w:jc w:val="center"/>
              <w:rPr>
                <w:color w:val="000000"/>
                <w:sz w:val="16"/>
                <w:szCs w:val="16"/>
              </w:rPr>
            </w:pPr>
            <w:r w:rsidRPr="00192507">
              <w:rPr>
                <w:color w:val="000000"/>
                <w:sz w:val="16"/>
                <w:szCs w:val="16"/>
              </w:rPr>
              <w:t>3.1.2.2.3.1.</w:t>
            </w:r>
          </w:p>
        </w:tc>
        <w:tc>
          <w:tcPr>
            <w:tcW w:w="902" w:type="pct"/>
            <w:shd w:val="clear" w:color="auto" w:fill="auto"/>
            <w:vAlign w:val="center"/>
            <w:hideMark/>
          </w:tcPr>
          <w:p w14:paraId="7077C147" w14:textId="77777777" w:rsidR="008F3544" w:rsidRPr="00524066"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3.1.2.2.3.1.</m:t>
                    </m:r>
                  </m:sub>
                  <m:sup>
                    <m:r>
                      <m:rPr>
                        <m:nor/>
                      </m:rPr>
                      <w:rPr>
                        <w:color w:val="000000"/>
                      </w:rPr>
                      <m:t>1-10 кВ</m:t>
                    </m:r>
                  </m:sup>
                </m:sSubSup>
              </m:oMath>
            </m:oMathPara>
          </w:p>
        </w:tc>
        <w:tc>
          <w:tcPr>
            <w:tcW w:w="1525" w:type="pct"/>
            <w:shd w:val="clear" w:color="auto" w:fill="auto"/>
            <w:vAlign w:val="center"/>
            <w:hideMark/>
          </w:tcPr>
          <w:p w14:paraId="3D3EBFB9" w14:textId="77777777" w:rsidR="008F3544" w:rsidRPr="00192507" w:rsidRDefault="008F3544" w:rsidP="0099088D">
            <w:pPr>
              <w:rPr>
                <w:color w:val="000000"/>
                <w:sz w:val="16"/>
                <w:szCs w:val="16"/>
              </w:rPr>
            </w:pPr>
            <w:r w:rsidRPr="00192507">
              <w:rPr>
                <w:color w:val="000000"/>
                <w:sz w:val="16"/>
                <w:szCs w:val="16"/>
              </w:rPr>
              <w:t>кабельные линии в траншеях многожильные с бумажной изоляцией сечением провода от 100 до 200 квадратных мм включительно с одним кабелем в траншее</w:t>
            </w:r>
          </w:p>
        </w:tc>
        <w:tc>
          <w:tcPr>
            <w:tcW w:w="696" w:type="pct"/>
            <w:shd w:val="clear" w:color="auto" w:fill="auto"/>
            <w:vAlign w:val="center"/>
            <w:hideMark/>
          </w:tcPr>
          <w:p w14:paraId="2B4DEAA9" w14:textId="77777777" w:rsidR="008F3544" w:rsidRPr="00192507" w:rsidRDefault="008F3544" w:rsidP="0099088D">
            <w:pPr>
              <w:jc w:val="center"/>
              <w:rPr>
                <w:color w:val="000000"/>
                <w:sz w:val="16"/>
                <w:szCs w:val="16"/>
              </w:rPr>
            </w:pPr>
            <w:r w:rsidRPr="00192507">
              <w:rPr>
                <w:color w:val="000000"/>
                <w:sz w:val="16"/>
                <w:szCs w:val="16"/>
              </w:rPr>
              <w:t>рублей/км</w:t>
            </w:r>
          </w:p>
        </w:tc>
        <w:tc>
          <w:tcPr>
            <w:tcW w:w="602" w:type="pct"/>
            <w:shd w:val="clear" w:color="auto" w:fill="auto"/>
            <w:noWrap/>
            <w:vAlign w:val="center"/>
            <w:hideMark/>
          </w:tcPr>
          <w:p w14:paraId="67300FB0" w14:textId="77777777" w:rsidR="008F3544" w:rsidRPr="00192507" w:rsidRDefault="008F3544" w:rsidP="0099088D">
            <w:pPr>
              <w:jc w:val="center"/>
              <w:rPr>
                <w:color w:val="000000"/>
                <w:sz w:val="16"/>
                <w:szCs w:val="16"/>
              </w:rPr>
            </w:pPr>
            <w:r w:rsidRPr="00192507">
              <w:rPr>
                <w:color w:val="000000"/>
                <w:sz w:val="16"/>
                <w:szCs w:val="16"/>
              </w:rPr>
              <w:t>2 349 987,77</w:t>
            </w:r>
          </w:p>
        </w:tc>
        <w:tc>
          <w:tcPr>
            <w:tcW w:w="603" w:type="pct"/>
            <w:shd w:val="clear" w:color="auto" w:fill="auto"/>
            <w:noWrap/>
            <w:vAlign w:val="center"/>
            <w:hideMark/>
          </w:tcPr>
          <w:p w14:paraId="39D6B8EA" w14:textId="77777777" w:rsidR="008F3544" w:rsidRPr="00192507" w:rsidRDefault="008F3544" w:rsidP="0099088D">
            <w:pPr>
              <w:jc w:val="center"/>
              <w:rPr>
                <w:color w:val="000000"/>
                <w:sz w:val="16"/>
                <w:szCs w:val="16"/>
              </w:rPr>
            </w:pPr>
            <w:r w:rsidRPr="00192507">
              <w:rPr>
                <w:color w:val="000000"/>
                <w:sz w:val="16"/>
                <w:szCs w:val="16"/>
              </w:rPr>
              <w:t>2 349 987,77</w:t>
            </w:r>
          </w:p>
        </w:tc>
      </w:tr>
      <w:tr w:rsidR="008F3544" w:rsidRPr="00192507" w14:paraId="6C6B1229" w14:textId="77777777" w:rsidTr="0099088D">
        <w:trPr>
          <w:trHeight w:val="525"/>
        </w:trPr>
        <w:tc>
          <w:tcPr>
            <w:tcW w:w="672" w:type="pct"/>
            <w:vMerge w:val="restart"/>
            <w:shd w:val="clear" w:color="auto" w:fill="auto"/>
            <w:vAlign w:val="center"/>
            <w:hideMark/>
          </w:tcPr>
          <w:p w14:paraId="50F92268" w14:textId="77777777" w:rsidR="008F3544" w:rsidRPr="00192507" w:rsidRDefault="008F3544" w:rsidP="0099088D">
            <w:pPr>
              <w:jc w:val="center"/>
              <w:rPr>
                <w:color w:val="000000"/>
                <w:sz w:val="16"/>
                <w:szCs w:val="16"/>
              </w:rPr>
            </w:pPr>
            <w:r w:rsidRPr="00192507">
              <w:rPr>
                <w:color w:val="000000"/>
                <w:sz w:val="16"/>
                <w:szCs w:val="16"/>
              </w:rPr>
              <w:t>3.1.2.2.3.2.</w:t>
            </w:r>
          </w:p>
        </w:tc>
        <w:tc>
          <w:tcPr>
            <w:tcW w:w="902" w:type="pct"/>
            <w:shd w:val="clear" w:color="auto" w:fill="auto"/>
            <w:vAlign w:val="center"/>
            <w:hideMark/>
          </w:tcPr>
          <w:p w14:paraId="00A9D46A" w14:textId="77777777" w:rsidR="008F3544" w:rsidRPr="00524066"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3.1.2.2.3.2.</m:t>
                    </m:r>
                  </m:sub>
                  <m:sup>
                    <m:r>
                      <m:rPr>
                        <m:nor/>
                      </m:rPr>
                      <w:rPr>
                        <w:color w:val="000000"/>
                      </w:rPr>
                      <m:t>0,4 кВ и ниже</m:t>
                    </m:r>
                  </m:sup>
                </m:sSubSup>
              </m:oMath>
            </m:oMathPara>
          </w:p>
        </w:tc>
        <w:tc>
          <w:tcPr>
            <w:tcW w:w="1525" w:type="pct"/>
            <w:vMerge w:val="restart"/>
            <w:shd w:val="clear" w:color="auto" w:fill="auto"/>
            <w:vAlign w:val="center"/>
            <w:hideMark/>
          </w:tcPr>
          <w:p w14:paraId="0E4697D0" w14:textId="77777777" w:rsidR="008F3544" w:rsidRPr="00192507" w:rsidRDefault="008F3544" w:rsidP="0099088D">
            <w:pPr>
              <w:rPr>
                <w:color w:val="000000"/>
                <w:sz w:val="16"/>
                <w:szCs w:val="16"/>
              </w:rPr>
            </w:pPr>
            <w:r w:rsidRPr="00192507">
              <w:rPr>
                <w:color w:val="000000"/>
                <w:sz w:val="16"/>
                <w:szCs w:val="16"/>
              </w:rPr>
              <w:t>кабельные линии в траншеях многожильные с бумажной изоляцией сечением провода от 100 до 200 квадратных мм включительно с двумя кабелями в траншее</w:t>
            </w:r>
          </w:p>
        </w:tc>
        <w:tc>
          <w:tcPr>
            <w:tcW w:w="696" w:type="pct"/>
            <w:vMerge w:val="restart"/>
            <w:shd w:val="clear" w:color="auto" w:fill="auto"/>
            <w:vAlign w:val="center"/>
            <w:hideMark/>
          </w:tcPr>
          <w:p w14:paraId="453ACDF8" w14:textId="77777777" w:rsidR="008F3544" w:rsidRPr="00192507" w:rsidRDefault="008F3544" w:rsidP="0099088D">
            <w:pPr>
              <w:jc w:val="center"/>
              <w:rPr>
                <w:color w:val="000000"/>
                <w:sz w:val="16"/>
                <w:szCs w:val="16"/>
              </w:rPr>
            </w:pPr>
            <w:r w:rsidRPr="00192507">
              <w:rPr>
                <w:color w:val="000000"/>
                <w:sz w:val="16"/>
                <w:szCs w:val="16"/>
              </w:rPr>
              <w:t>рублей/км</w:t>
            </w:r>
          </w:p>
        </w:tc>
        <w:tc>
          <w:tcPr>
            <w:tcW w:w="602" w:type="pct"/>
            <w:shd w:val="clear" w:color="auto" w:fill="auto"/>
            <w:noWrap/>
            <w:vAlign w:val="center"/>
            <w:hideMark/>
          </w:tcPr>
          <w:p w14:paraId="7BFC8C67" w14:textId="77777777" w:rsidR="008F3544" w:rsidRPr="00192507" w:rsidRDefault="008F3544" w:rsidP="0099088D">
            <w:pPr>
              <w:jc w:val="center"/>
              <w:rPr>
                <w:color w:val="000000"/>
                <w:sz w:val="16"/>
                <w:szCs w:val="16"/>
              </w:rPr>
            </w:pPr>
            <w:r w:rsidRPr="00192507">
              <w:rPr>
                <w:color w:val="000000"/>
                <w:sz w:val="16"/>
                <w:szCs w:val="16"/>
              </w:rPr>
              <w:t>3 521 195,85</w:t>
            </w:r>
          </w:p>
        </w:tc>
        <w:tc>
          <w:tcPr>
            <w:tcW w:w="603" w:type="pct"/>
            <w:shd w:val="clear" w:color="auto" w:fill="auto"/>
            <w:noWrap/>
            <w:vAlign w:val="center"/>
            <w:hideMark/>
          </w:tcPr>
          <w:p w14:paraId="22A343C1" w14:textId="77777777" w:rsidR="008F3544" w:rsidRPr="00192507" w:rsidRDefault="008F3544" w:rsidP="0099088D">
            <w:pPr>
              <w:jc w:val="center"/>
              <w:rPr>
                <w:color w:val="000000"/>
                <w:sz w:val="16"/>
                <w:szCs w:val="16"/>
              </w:rPr>
            </w:pPr>
            <w:r>
              <w:rPr>
                <w:color w:val="000000"/>
                <w:sz w:val="16"/>
                <w:szCs w:val="16"/>
              </w:rPr>
              <w:t>-</w:t>
            </w:r>
          </w:p>
        </w:tc>
      </w:tr>
      <w:tr w:rsidR="008F3544" w:rsidRPr="00192507" w14:paraId="32A41A4F" w14:textId="77777777" w:rsidTr="0099088D">
        <w:trPr>
          <w:trHeight w:val="525"/>
        </w:trPr>
        <w:tc>
          <w:tcPr>
            <w:tcW w:w="672" w:type="pct"/>
            <w:vMerge/>
            <w:shd w:val="clear" w:color="auto" w:fill="auto"/>
            <w:vAlign w:val="center"/>
            <w:hideMark/>
          </w:tcPr>
          <w:p w14:paraId="62A4A0EF" w14:textId="77777777" w:rsidR="008F3544" w:rsidRPr="00192507" w:rsidRDefault="008F3544" w:rsidP="0099088D">
            <w:pPr>
              <w:rPr>
                <w:color w:val="000000"/>
                <w:sz w:val="16"/>
                <w:szCs w:val="16"/>
              </w:rPr>
            </w:pPr>
          </w:p>
        </w:tc>
        <w:tc>
          <w:tcPr>
            <w:tcW w:w="902" w:type="pct"/>
            <w:shd w:val="clear" w:color="auto" w:fill="auto"/>
            <w:vAlign w:val="center"/>
            <w:hideMark/>
          </w:tcPr>
          <w:p w14:paraId="60BEDC58" w14:textId="77777777" w:rsidR="008F3544" w:rsidRPr="00524066"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3.1.2.2.3.2.</m:t>
                    </m:r>
                  </m:sub>
                  <m:sup>
                    <m:r>
                      <m:rPr>
                        <m:nor/>
                      </m:rPr>
                      <w:rPr>
                        <w:color w:val="000000"/>
                      </w:rPr>
                      <m:t>1-10 кВ</m:t>
                    </m:r>
                  </m:sup>
                </m:sSubSup>
              </m:oMath>
            </m:oMathPara>
          </w:p>
        </w:tc>
        <w:tc>
          <w:tcPr>
            <w:tcW w:w="1525" w:type="pct"/>
            <w:vMerge/>
            <w:shd w:val="clear" w:color="auto" w:fill="auto"/>
            <w:vAlign w:val="center"/>
            <w:hideMark/>
          </w:tcPr>
          <w:p w14:paraId="15180EE9" w14:textId="77777777" w:rsidR="008F3544" w:rsidRPr="00192507" w:rsidRDefault="008F3544" w:rsidP="0099088D">
            <w:pPr>
              <w:rPr>
                <w:color w:val="000000"/>
                <w:sz w:val="16"/>
                <w:szCs w:val="16"/>
              </w:rPr>
            </w:pPr>
          </w:p>
        </w:tc>
        <w:tc>
          <w:tcPr>
            <w:tcW w:w="696" w:type="pct"/>
            <w:vMerge/>
            <w:shd w:val="clear" w:color="auto" w:fill="auto"/>
            <w:vAlign w:val="center"/>
            <w:hideMark/>
          </w:tcPr>
          <w:p w14:paraId="5700CC8C" w14:textId="77777777" w:rsidR="008F3544" w:rsidRPr="00192507" w:rsidRDefault="008F3544" w:rsidP="0099088D">
            <w:pPr>
              <w:rPr>
                <w:color w:val="000000"/>
                <w:sz w:val="16"/>
                <w:szCs w:val="16"/>
              </w:rPr>
            </w:pPr>
          </w:p>
        </w:tc>
        <w:tc>
          <w:tcPr>
            <w:tcW w:w="602" w:type="pct"/>
            <w:shd w:val="clear" w:color="auto" w:fill="auto"/>
            <w:noWrap/>
            <w:vAlign w:val="center"/>
            <w:hideMark/>
          </w:tcPr>
          <w:p w14:paraId="54B3F0C6" w14:textId="77777777" w:rsidR="008F3544" w:rsidRPr="00192507" w:rsidRDefault="008F3544" w:rsidP="0099088D">
            <w:pPr>
              <w:jc w:val="center"/>
              <w:rPr>
                <w:color w:val="000000"/>
                <w:sz w:val="16"/>
                <w:szCs w:val="16"/>
              </w:rPr>
            </w:pPr>
            <w:r w:rsidRPr="00192507">
              <w:rPr>
                <w:color w:val="000000"/>
                <w:sz w:val="16"/>
                <w:szCs w:val="16"/>
              </w:rPr>
              <w:t>5 708 406,79</w:t>
            </w:r>
          </w:p>
        </w:tc>
        <w:tc>
          <w:tcPr>
            <w:tcW w:w="603" w:type="pct"/>
            <w:shd w:val="clear" w:color="auto" w:fill="auto"/>
            <w:noWrap/>
            <w:vAlign w:val="center"/>
            <w:hideMark/>
          </w:tcPr>
          <w:p w14:paraId="1628B493" w14:textId="77777777" w:rsidR="008F3544" w:rsidRPr="00192507" w:rsidRDefault="008F3544" w:rsidP="0099088D">
            <w:pPr>
              <w:jc w:val="center"/>
              <w:rPr>
                <w:color w:val="000000"/>
                <w:sz w:val="16"/>
                <w:szCs w:val="16"/>
              </w:rPr>
            </w:pPr>
            <w:r>
              <w:rPr>
                <w:color w:val="000000"/>
                <w:sz w:val="16"/>
                <w:szCs w:val="16"/>
              </w:rPr>
              <w:t>-</w:t>
            </w:r>
          </w:p>
        </w:tc>
      </w:tr>
      <w:tr w:rsidR="008F3544" w:rsidRPr="00192507" w14:paraId="40FE40C2" w14:textId="77777777" w:rsidTr="0099088D">
        <w:trPr>
          <w:trHeight w:val="900"/>
        </w:trPr>
        <w:tc>
          <w:tcPr>
            <w:tcW w:w="672" w:type="pct"/>
            <w:shd w:val="clear" w:color="auto" w:fill="auto"/>
            <w:vAlign w:val="center"/>
            <w:hideMark/>
          </w:tcPr>
          <w:p w14:paraId="5C92174C" w14:textId="77777777" w:rsidR="008F3544" w:rsidRPr="00192507" w:rsidRDefault="008F3544" w:rsidP="0099088D">
            <w:pPr>
              <w:jc w:val="center"/>
              <w:rPr>
                <w:color w:val="000000"/>
                <w:sz w:val="16"/>
                <w:szCs w:val="16"/>
              </w:rPr>
            </w:pPr>
            <w:r w:rsidRPr="00192507">
              <w:rPr>
                <w:color w:val="000000"/>
                <w:sz w:val="16"/>
                <w:szCs w:val="16"/>
              </w:rPr>
              <w:t>3.1.2.2.3.4.</w:t>
            </w:r>
          </w:p>
        </w:tc>
        <w:tc>
          <w:tcPr>
            <w:tcW w:w="902" w:type="pct"/>
            <w:shd w:val="clear" w:color="auto" w:fill="auto"/>
            <w:vAlign w:val="center"/>
            <w:hideMark/>
          </w:tcPr>
          <w:p w14:paraId="6B94AD34" w14:textId="77777777" w:rsidR="008F3544" w:rsidRPr="00524066"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3.1.2.2.3.4.</m:t>
                    </m:r>
                  </m:sub>
                  <m:sup>
                    <m:r>
                      <m:rPr>
                        <m:nor/>
                      </m:rPr>
                      <w:rPr>
                        <w:color w:val="000000"/>
                      </w:rPr>
                      <m:t>0,4 кВ и ниже</m:t>
                    </m:r>
                  </m:sup>
                </m:sSubSup>
              </m:oMath>
            </m:oMathPara>
          </w:p>
        </w:tc>
        <w:tc>
          <w:tcPr>
            <w:tcW w:w="1525" w:type="pct"/>
            <w:shd w:val="clear" w:color="auto" w:fill="auto"/>
            <w:vAlign w:val="center"/>
            <w:hideMark/>
          </w:tcPr>
          <w:p w14:paraId="41C581A0" w14:textId="77777777" w:rsidR="008F3544" w:rsidRPr="00192507" w:rsidRDefault="008F3544" w:rsidP="0099088D">
            <w:pPr>
              <w:rPr>
                <w:color w:val="000000"/>
                <w:sz w:val="16"/>
                <w:szCs w:val="16"/>
              </w:rPr>
            </w:pPr>
            <w:r w:rsidRPr="00192507">
              <w:rPr>
                <w:color w:val="000000"/>
                <w:sz w:val="16"/>
                <w:szCs w:val="16"/>
              </w:rPr>
              <w:t>кабельные линии в траншеях многожильные с бумажной изоляцией сечением провода от 100 до 200 квадратных мм включительно с четырьмя кабелями в траншее</w:t>
            </w:r>
          </w:p>
        </w:tc>
        <w:tc>
          <w:tcPr>
            <w:tcW w:w="696" w:type="pct"/>
            <w:shd w:val="clear" w:color="auto" w:fill="auto"/>
            <w:vAlign w:val="center"/>
            <w:hideMark/>
          </w:tcPr>
          <w:p w14:paraId="510AB9F4" w14:textId="77777777" w:rsidR="008F3544" w:rsidRPr="00192507" w:rsidRDefault="008F3544" w:rsidP="0099088D">
            <w:pPr>
              <w:jc w:val="center"/>
              <w:rPr>
                <w:color w:val="000000"/>
                <w:sz w:val="16"/>
                <w:szCs w:val="16"/>
              </w:rPr>
            </w:pPr>
            <w:r w:rsidRPr="00192507">
              <w:rPr>
                <w:color w:val="000000"/>
                <w:sz w:val="16"/>
                <w:szCs w:val="16"/>
              </w:rPr>
              <w:t>рублей/км</w:t>
            </w:r>
          </w:p>
        </w:tc>
        <w:tc>
          <w:tcPr>
            <w:tcW w:w="602" w:type="pct"/>
            <w:shd w:val="clear" w:color="auto" w:fill="auto"/>
            <w:noWrap/>
            <w:vAlign w:val="center"/>
            <w:hideMark/>
          </w:tcPr>
          <w:p w14:paraId="238CB5E3" w14:textId="77777777" w:rsidR="008F3544" w:rsidRPr="00192507" w:rsidRDefault="008F3544" w:rsidP="0099088D">
            <w:pPr>
              <w:jc w:val="center"/>
              <w:rPr>
                <w:color w:val="000000"/>
                <w:sz w:val="16"/>
                <w:szCs w:val="16"/>
              </w:rPr>
            </w:pPr>
            <w:r w:rsidRPr="00192507">
              <w:rPr>
                <w:color w:val="000000"/>
                <w:sz w:val="16"/>
                <w:szCs w:val="16"/>
              </w:rPr>
              <w:t>7 037 162,69</w:t>
            </w:r>
          </w:p>
        </w:tc>
        <w:tc>
          <w:tcPr>
            <w:tcW w:w="603" w:type="pct"/>
            <w:shd w:val="clear" w:color="auto" w:fill="auto"/>
            <w:noWrap/>
            <w:vAlign w:val="center"/>
            <w:hideMark/>
          </w:tcPr>
          <w:p w14:paraId="682A7CAF" w14:textId="77777777" w:rsidR="008F3544" w:rsidRPr="00192507" w:rsidRDefault="008F3544" w:rsidP="0099088D">
            <w:pPr>
              <w:jc w:val="center"/>
              <w:rPr>
                <w:color w:val="000000"/>
                <w:sz w:val="16"/>
                <w:szCs w:val="16"/>
              </w:rPr>
            </w:pPr>
            <w:r>
              <w:rPr>
                <w:color w:val="000000"/>
                <w:sz w:val="16"/>
                <w:szCs w:val="16"/>
              </w:rPr>
              <w:t>-</w:t>
            </w:r>
          </w:p>
        </w:tc>
      </w:tr>
      <w:tr w:rsidR="008F3544" w:rsidRPr="00192507" w14:paraId="50FBBC9F" w14:textId="77777777" w:rsidTr="0099088D">
        <w:trPr>
          <w:trHeight w:val="900"/>
        </w:trPr>
        <w:tc>
          <w:tcPr>
            <w:tcW w:w="672" w:type="pct"/>
            <w:shd w:val="clear" w:color="auto" w:fill="auto"/>
            <w:vAlign w:val="center"/>
            <w:hideMark/>
          </w:tcPr>
          <w:p w14:paraId="75071DA0" w14:textId="77777777" w:rsidR="008F3544" w:rsidRPr="00192507" w:rsidRDefault="008F3544" w:rsidP="0099088D">
            <w:pPr>
              <w:jc w:val="center"/>
              <w:rPr>
                <w:color w:val="000000"/>
                <w:sz w:val="16"/>
                <w:szCs w:val="16"/>
              </w:rPr>
            </w:pPr>
            <w:r w:rsidRPr="00192507">
              <w:rPr>
                <w:color w:val="000000"/>
                <w:sz w:val="16"/>
                <w:szCs w:val="16"/>
              </w:rPr>
              <w:t>3.1.2.2.4.2.</w:t>
            </w:r>
          </w:p>
        </w:tc>
        <w:tc>
          <w:tcPr>
            <w:tcW w:w="902" w:type="pct"/>
            <w:shd w:val="clear" w:color="auto" w:fill="auto"/>
            <w:vAlign w:val="center"/>
            <w:hideMark/>
          </w:tcPr>
          <w:p w14:paraId="2D088A72" w14:textId="77777777" w:rsidR="008F3544" w:rsidRPr="008B2B1F"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3.1.2.2.4.2.</m:t>
                    </m:r>
                  </m:sub>
                  <m:sup>
                    <m:r>
                      <m:rPr>
                        <m:nor/>
                      </m:rPr>
                      <w:rPr>
                        <w:color w:val="000000"/>
                      </w:rPr>
                      <m:t>1-10 кВ</m:t>
                    </m:r>
                  </m:sup>
                </m:sSubSup>
              </m:oMath>
            </m:oMathPara>
          </w:p>
        </w:tc>
        <w:tc>
          <w:tcPr>
            <w:tcW w:w="1525" w:type="pct"/>
            <w:shd w:val="clear" w:color="auto" w:fill="auto"/>
            <w:vAlign w:val="center"/>
            <w:hideMark/>
          </w:tcPr>
          <w:p w14:paraId="3BB4130D" w14:textId="77777777" w:rsidR="008F3544" w:rsidRPr="00192507" w:rsidRDefault="008F3544" w:rsidP="0099088D">
            <w:pPr>
              <w:rPr>
                <w:color w:val="000000"/>
                <w:sz w:val="16"/>
                <w:szCs w:val="16"/>
              </w:rPr>
            </w:pPr>
            <w:r w:rsidRPr="00192507">
              <w:rPr>
                <w:color w:val="000000"/>
                <w:sz w:val="16"/>
                <w:szCs w:val="16"/>
              </w:rPr>
              <w:t>кабельные линии в траншеях многожильные с бумажной изоляцией сечением провода от 200 до 250 квадратных мм включительно с двумя кабелями в траншее</w:t>
            </w:r>
          </w:p>
        </w:tc>
        <w:tc>
          <w:tcPr>
            <w:tcW w:w="696" w:type="pct"/>
            <w:shd w:val="clear" w:color="auto" w:fill="auto"/>
            <w:vAlign w:val="center"/>
            <w:hideMark/>
          </w:tcPr>
          <w:p w14:paraId="064BB92F" w14:textId="77777777" w:rsidR="008F3544" w:rsidRPr="00192507" w:rsidRDefault="008F3544" w:rsidP="0099088D">
            <w:pPr>
              <w:jc w:val="center"/>
              <w:rPr>
                <w:color w:val="000000"/>
                <w:sz w:val="16"/>
                <w:szCs w:val="16"/>
              </w:rPr>
            </w:pPr>
            <w:r w:rsidRPr="00192507">
              <w:rPr>
                <w:color w:val="000000"/>
                <w:sz w:val="16"/>
                <w:szCs w:val="16"/>
              </w:rPr>
              <w:t>рублей/км</w:t>
            </w:r>
          </w:p>
        </w:tc>
        <w:tc>
          <w:tcPr>
            <w:tcW w:w="602" w:type="pct"/>
            <w:shd w:val="clear" w:color="auto" w:fill="auto"/>
            <w:noWrap/>
            <w:vAlign w:val="center"/>
            <w:hideMark/>
          </w:tcPr>
          <w:p w14:paraId="220C0349" w14:textId="77777777" w:rsidR="008F3544" w:rsidRPr="00192507" w:rsidRDefault="008F3544" w:rsidP="0099088D">
            <w:pPr>
              <w:jc w:val="center"/>
              <w:rPr>
                <w:color w:val="000000"/>
                <w:sz w:val="16"/>
                <w:szCs w:val="16"/>
              </w:rPr>
            </w:pPr>
            <w:r w:rsidRPr="00192507">
              <w:rPr>
                <w:color w:val="000000"/>
                <w:sz w:val="16"/>
                <w:szCs w:val="16"/>
              </w:rPr>
              <w:t>5 909 141,61</w:t>
            </w:r>
          </w:p>
        </w:tc>
        <w:tc>
          <w:tcPr>
            <w:tcW w:w="603" w:type="pct"/>
            <w:shd w:val="clear" w:color="auto" w:fill="auto"/>
            <w:noWrap/>
            <w:vAlign w:val="center"/>
            <w:hideMark/>
          </w:tcPr>
          <w:p w14:paraId="41E6DEBC" w14:textId="77777777" w:rsidR="008F3544" w:rsidRPr="00192507" w:rsidRDefault="008F3544" w:rsidP="0099088D">
            <w:pPr>
              <w:jc w:val="center"/>
              <w:rPr>
                <w:color w:val="000000"/>
                <w:sz w:val="16"/>
                <w:szCs w:val="16"/>
              </w:rPr>
            </w:pPr>
            <w:r>
              <w:rPr>
                <w:color w:val="000000"/>
                <w:sz w:val="16"/>
                <w:szCs w:val="16"/>
              </w:rPr>
              <w:t>-</w:t>
            </w:r>
          </w:p>
        </w:tc>
      </w:tr>
      <w:tr w:rsidR="008F3544" w:rsidRPr="00192507" w14:paraId="56ACB45C" w14:textId="77777777" w:rsidTr="0099088D">
        <w:trPr>
          <w:trHeight w:val="900"/>
        </w:trPr>
        <w:tc>
          <w:tcPr>
            <w:tcW w:w="672" w:type="pct"/>
            <w:shd w:val="clear" w:color="auto" w:fill="auto"/>
            <w:vAlign w:val="center"/>
            <w:hideMark/>
          </w:tcPr>
          <w:p w14:paraId="647FEFEF" w14:textId="77777777" w:rsidR="008F3544" w:rsidRPr="00192507" w:rsidRDefault="008F3544" w:rsidP="0099088D">
            <w:pPr>
              <w:jc w:val="center"/>
              <w:rPr>
                <w:color w:val="000000"/>
                <w:sz w:val="16"/>
                <w:szCs w:val="16"/>
              </w:rPr>
            </w:pPr>
            <w:r w:rsidRPr="00192507">
              <w:rPr>
                <w:color w:val="000000"/>
                <w:sz w:val="16"/>
                <w:szCs w:val="16"/>
              </w:rPr>
              <w:t>3.2.2.1.8.1.</w:t>
            </w:r>
          </w:p>
        </w:tc>
        <w:tc>
          <w:tcPr>
            <w:tcW w:w="902" w:type="pct"/>
            <w:shd w:val="clear" w:color="auto" w:fill="auto"/>
            <w:vAlign w:val="center"/>
            <w:hideMark/>
          </w:tcPr>
          <w:p w14:paraId="1B248B4E" w14:textId="77777777" w:rsidR="008F3544" w:rsidRPr="008B2B1F"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3.2.2.1.8.1.</m:t>
                    </m:r>
                  </m:sub>
                  <m:sup>
                    <m:r>
                      <m:rPr>
                        <m:nor/>
                      </m:rPr>
                      <w:rPr>
                        <w:color w:val="000000"/>
                      </w:rPr>
                      <m:t>1-10 кВ</m:t>
                    </m:r>
                  </m:sup>
                </m:sSubSup>
              </m:oMath>
            </m:oMathPara>
          </w:p>
        </w:tc>
        <w:tc>
          <w:tcPr>
            <w:tcW w:w="1525" w:type="pct"/>
            <w:shd w:val="clear" w:color="auto" w:fill="auto"/>
            <w:vAlign w:val="center"/>
            <w:hideMark/>
          </w:tcPr>
          <w:p w14:paraId="6400DCE4" w14:textId="77777777" w:rsidR="008F3544" w:rsidRPr="00192507" w:rsidRDefault="008F3544" w:rsidP="0099088D">
            <w:pPr>
              <w:rPr>
                <w:color w:val="000000"/>
                <w:sz w:val="16"/>
                <w:szCs w:val="16"/>
              </w:rPr>
            </w:pPr>
            <w:r w:rsidRPr="00192507">
              <w:rPr>
                <w:color w:val="000000"/>
                <w:sz w:val="16"/>
                <w:szCs w:val="16"/>
              </w:rPr>
              <w:t>кабельные линии в блоках многожильные с резиновой или пластмассовой изоляцией сечением провода от 500 до 800 квадратных мм включительно с одним кабелем в траншее</w:t>
            </w:r>
          </w:p>
        </w:tc>
        <w:tc>
          <w:tcPr>
            <w:tcW w:w="696" w:type="pct"/>
            <w:shd w:val="clear" w:color="auto" w:fill="auto"/>
            <w:vAlign w:val="center"/>
            <w:hideMark/>
          </w:tcPr>
          <w:p w14:paraId="10270174" w14:textId="77777777" w:rsidR="008F3544" w:rsidRPr="00192507" w:rsidRDefault="008F3544" w:rsidP="0099088D">
            <w:pPr>
              <w:jc w:val="center"/>
              <w:rPr>
                <w:color w:val="000000"/>
                <w:sz w:val="16"/>
                <w:szCs w:val="16"/>
              </w:rPr>
            </w:pPr>
            <w:r w:rsidRPr="00192507">
              <w:rPr>
                <w:color w:val="000000"/>
                <w:sz w:val="16"/>
                <w:szCs w:val="16"/>
              </w:rPr>
              <w:t>рублей/км</w:t>
            </w:r>
          </w:p>
        </w:tc>
        <w:tc>
          <w:tcPr>
            <w:tcW w:w="602" w:type="pct"/>
            <w:shd w:val="clear" w:color="auto" w:fill="auto"/>
            <w:noWrap/>
            <w:vAlign w:val="center"/>
            <w:hideMark/>
          </w:tcPr>
          <w:p w14:paraId="436F84D3" w14:textId="77777777" w:rsidR="008F3544" w:rsidRPr="00192507" w:rsidRDefault="008F3544" w:rsidP="0099088D">
            <w:pPr>
              <w:jc w:val="center"/>
              <w:rPr>
                <w:color w:val="000000"/>
                <w:sz w:val="16"/>
                <w:szCs w:val="16"/>
              </w:rPr>
            </w:pPr>
            <w:r w:rsidRPr="00192507">
              <w:rPr>
                <w:color w:val="000000"/>
                <w:sz w:val="16"/>
                <w:szCs w:val="16"/>
              </w:rPr>
              <w:t>7 460 630,07</w:t>
            </w:r>
          </w:p>
        </w:tc>
        <w:tc>
          <w:tcPr>
            <w:tcW w:w="603" w:type="pct"/>
            <w:shd w:val="clear" w:color="auto" w:fill="auto"/>
            <w:noWrap/>
            <w:vAlign w:val="center"/>
            <w:hideMark/>
          </w:tcPr>
          <w:p w14:paraId="284769A5" w14:textId="77777777" w:rsidR="008F3544" w:rsidRPr="00192507" w:rsidRDefault="008F3544" w:rsidP="0099088D">
            <w:pPr>
              <w:jc w:val="center"/>
              <w:rPr>
                <w:color w:val="000000"/>
                <w:sz w:val="16"/>
                <w:szCs w:val="16"/>
              </w:rPr>
            </w:pPr>
            <w:r>
              <w:rPr>
                <w:color w:val="000000"/>
                <w:sz w:val="16"/>
                <w:szCs w:val="16"/>
              </w:rPr>
              <w:t>-</w:t>
            </w:r>
          </w:p>
        </w:tc>
      </w:tr>
      <w:tr w:rsidR="008F3544" w:rsidRPr="00192507" w14:paraId="62843359" w14:textId="77777777" w:rsidTr="0099088D">
        <w:trPr>
          <w:trHeight w:val="900"/>
        </w:trPr>
        <w:tc>
          <w:tcPr>
            <w:tcW w:w="672" w:type="pct"/>
            <w:shd w:val="clear" w:color="auto" w:fill="auto"/>
            <w:vAlign w:val="center"/>
            <w:hideMark/>
          </w:tcPr>
          <w:p w14:paraId="3A9009F5" w14:textId="77777777" w:rsidR="008F3544" w:rsidRPr="00192507" w:rsidRDefault="008F3544" w:rsidP="0099088D">
            <w:pPr>
              <w:jc w:val="center"/>
              <w:rPr>
                <w:color w:val="000000"/>
                <w:sz w:val="16"/>
                <w:szCs w:val="16"/>
              </w:rPr>
            </w:pPr>
            <w:r w:rsidRPr="00192507">
              <w:rPr>
                <w:color w:val="000000"/>
                <w:sz w:val="16"/>
                <w:szCs w:val="16"/>
              </w:rPr>
              <w:t>3.2.2.2.4.1.</w:t>
            </w:r>
          </w:p>
        </w:tc>
        <w:tc>
          <w:tcPr>
            <w:tcW w:w="902" w:type="pct"/>
            <w:shd w:val="clear" w:color="auto" w:fill="auto"/>
            <w:vAlign w:val="center"/>
            <w:hideMark/>
          </w:tcPr>
          <w:p w14:paraId="42DAE25B" w14:textId="77777777" w:rsidR="008F3544" w:rsidRPr="008B2B1F"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3.2.2.2.4.1.</m:t>
                    </m:r>
                  </m:sub>
                  <m:sup>
                    <m:r>
                      <m:rPr>
                        <m:nor/>
                      </m:rPr>
                      <w:rPr>
                        <w:color w:val="000000"/>
                      </w:rPr>
                      <m:t>1-10 кВ</m:t>
                    </m:r>
                  </m:sup>
                </m:sSubSup>
              </m:oMath>
            </m:oMathPara>
          </w:p>
        </w:tc>
        <w:tc>
          <w:tcPr>
            <w:tcW w:w="1525" w:type="pct"/>
            <w:shd w:val="clear" w:color="auto" w:fill="auto"/>
            <w:vAlign w:val="center"/>
            <w:hideMark/>
          </w:tcPr>
          <w:p w14:paraId="622A9B8B" w14:textId="77777777" w:rsidR="008F3544" w:rsidRPr="00192507" w:rsidRDefault="008F3544" w:rsidP="0099088D">
            <w:pPr>
              <w:rPr>
                <w:color w:val="000000"/>
                <w:sz w:val="16"/>
                <w:szCs w:val="16"/>
              </w:rPr>
            </w:pPr>
            <w:r w:rsidRPr="00192507">
              <w:rPr>
                <w:color w:val="000000"/>
                <w:sz w:val="16"/>
                <w:szCs w:val="16"/>
              </w:rPr>
              <w:t>кабельные линии в блоках многожильные с бумажной изоляцией сечением провода от 200 до 250 квадратных мм включительно с одним кабелем в траншее</w:t>
            </w:r>
          </w:p>
        </w:tc>
        <w:tc>
          <w:tcPr>
            <w:tcW w:w="696" w:type="pct"/>
            <w:shd w:val="clear" w:color="auto" w:fill="auto"/>
            <w:vAlign w:val="center"/>
            <w:hideMark/>
          </w:tcPr>
          <w:p w14:paraId="179DFF36" w14:textId="77777777" w:rsidR="008F3544" w:rsidRPr="00192507" w:rsidRDefault="008F3544" w:rsidP="0099088D">
            <w:pPr>
              <w:jc w:val="center"/>
              <w:rPr>
                <w:color w:val="000000"/>
                <w:sz w:val="16"/>
                <w:szCs w:val="16"/>
              </w:rPr>
            </w:pPr>
            <w:r w:rsidRPr="00192507">
              <w:rPr>
                <w:color w:val="000000"/>
                <w:sz w:val="16"/>
                <w:szCs w:val="16"/>
              </w:rPr>
              <w:t>рублей/км</w:t>
            </w:r>
          </w:p>
        </w:tc>
        <w:tc>
          <w:tcPr>
            <w:tcW w:w="602" w:type="pct"/>
            <w:shd w:val="clear" w:color="auto" w:fill="auto"/>
            <w:noWrap/>
            <w:vAlign w:val="center"/>
            <w:hideMark/>
          </w:tcPr>
          <w:p w14:paraId="23547AAF" w14:textId="77777777" w:rsidR="008F3544" w:rsidRPr="00192507" w:rsidRDefault="008F3544" w:rsidP="0099088D">
            <w:pPr>
              <w:jc w:val="center"/>
              <w:rPr>
                <w:color w:val="000000"/>
                <w:sz w:val="16"/>
                <w:szCs w:val="16"/>
              </w:rPr>
            </w:pPr>
            <w:r w:rsidRPr="00192507">
              <w:rPr>
                <w:color w:val="000000"/>
                <w:sz w:val="16"/>
                <w:szCs w:val="16"/>
              </w:rPr>
              <w:t>5 166 320,46</w:t>
            </w:r>
          </w:p>
        </w:tc>
        <w:tc>
          <w:tcPr>
            <w:tcW w:w="603" w:type="pct"/>
            <w:shd w:val="clear" w:color="auto" w:fill="auto"/>
            <w:noWrap/>
            <w:vAlign w:val="center"/>
            <w:hideMark/>
          </w:tcPr>
          <w:p w14:paraId="7AF34AA9" w14:textId="77777777" w:rsidR="008F3544" w:rsidRPr="00192507" w:rsidRDefault="008F3544" w:rsidP="0099088D">
            <w:pPr>
              <w:jc w:val="center"/>
              <w:rPr>
                <w:color w:val="000000"/>
                <w:sz w:val="16"/>
                <w:szCs w:val="16"/>
              </w:rPr>
            </w:pPr>
            <w:r>
              <w:rPr>
                <w:color w:val="000000"/>
                <w:sz w:val="16"/>
                <w:szCs w:val="16"/>
              </w:rPr>
              <w:t>-</w:t>
            </w:r>
          </w:p>
        </w:tc>
      </w:tr>
      <w:tr w:rsidR="008F3544" w:rsidRPr="00192507" w14:paraId="149E1A5A" w14:textId="77777777" w:rsidTr="0099088D">
        <w:trPr>
          <w:trHeight w:val="900"/>
        </w:trPr>
        <w:tc>
          <w:tcPr>
            <w:tcW w:w="672" w:type="pct"/>
            <w:shd w:val="clear" w:color="auto" w:fill="auto"/>
            <w:vAlign w:val="center"/>
            <w:hideMark/>
          </w:tcPr>
          <w:p w14:paraId="04B2C436" w14:textId="77777777" w:rsidR="008F3544" w:rsidRPr="00192507" w:rsidRDefault="008F3544" w:rsidP="0099088D">
            <w:pPr>
              <w:jc w:val="center"/>
              <w:rPr>
                <w:color w:val="000000"/>
                <w:sz w:val="16"/>
                <w:szCs w:val="16"/>
              </w:rPr>
            </w:pPr>
            <w:r w:rsidRPr="00192507">
              <w:rPr>
                <w:color w:val="000000"/>
                <w:sz w:val="16"/>
                <w:szCs w:val="16"/>
              </w:rPr>
              <w:t>3.3.1.1.3.1.</w:t>
            </w:r>
          </w:p>
        </w:tc>
        <w:tc>
          <w:tcPr>
            <w:tcW w:w="902" w:type="pct"/>
            <w:shd w:val="clear" w:color="auto" w:fill="auto"/>
            <w:vAlign w:val="center"/>
            <w:hideMark/>
          </w:tcPr>
          <w:p w14:paraId="591E0E27" w14:textId="77777777" w:rsidR="008F3544" w:rsidRPr="00451D92"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3.3.1.1.3.1.</m:t>
                    </m:r>
                  </m:sub>
                  <m:sup>
                    <m:r>
                      <m:rPr>
                        <m:nor/>
                      </m:rPr>
                      <w:rPr>
                        <w:color w:val="000000"/>
                      </w:rPr>
                      <m:t>27,5-60 кВ</m:t>
                    </m:r>
                  </m:sup>
                </m:sSubSup>
              </m:oMath>
            </m:oMathPara>
          </w:p>
        </w:tc>
        <w:tc>
          <w:tcPr>
            <w:tcW w:w="1525" w:type="pct"/>
            <w:shd w:val="clear" w:color="auto" w:fill="auto"/>
            <w:vAlign w:val="center"/>
            <w:hideMark/>
          </w:tcPr>
          <w:p w14:paraId="7111D365" w14:textId="77777777" w:rsidR="008F3544" w:rsidRPr="00192507" w:rsidRDefault="008F3544" w:rsidP="0099088D">
            <w:pPr>
              <w:rPr>
                <w:color w:val="000000"/>
                <w:sz w:val="16"/>
                <w:szCs w:val="16"/>
              </w:rPr>
            </w:pPr>
            <w:r w:rsidRPr="00192507">
              <w:rPr>
                <w:color w:val="000000"/>
                <w:sz w:val="16"/>
                <w:szCs w:val="16"/>
              </w:rPr>
              <w:t>кабельные линии в каналах одножильные с резиновой или пластмассовой изоляцией сечением провода от 100 до 200 квадратных мм включительно с одним кабелем в траншее</w:t>
            </w:r>
          </w:p>
        </w:tc>
        <w:tc>
          <w:tcPr>
            <w:tcW w:w="696" w:type="pct"/>
            <w:shd w:val="clear" w:color="auto" w:fill="auto"/>
            <w:vAlign w:val="center"/>
            <w:hideMark/>
          </w:tcPr>
          <w:p w14:paraId="53E7B2BD" w14:textId="77777777" w:rsidR="008F3544" w:rsidRPr="00192507" w:rsidRDefault="008F3544" w:rsidP="0099088D">
            <w:pPr>
              <w:jc w:val="center"/>
              <w:rPr>
                <w:color w:val="000000"/>
                <w:sz w:val="16"/>
                <w:szCs w:val="16"/>
              </w:rPr>
            </w:pPr>
            <w:r w:rsidRPr="00192507">
              <w:rPr>
                <w:color w:val="000000"/>
                <w:sz w:val="16"/>
                <w:szCs w:val="16"/>
              </w:rPr>
              <w:t>рублей/км</w:t>
            </w:r>
          </w:p>
        </w:tc>
        <w:tc>
          <w:tcPr>
            <w:tcW w:w="602" w:type="pct"/>
            <w:shd w:val="clear" w:color="auto" w:fill="auto"/>
            <w:noWrap/>
            <w:vAlign w:val="center"/>
            <w:hideMark/>
          </w:tcPr>
          <w:p w14:paraId="7AC0EFF9" w14:textId="77777777" w:rsidR="008F3544" w:rsidRPr="00192507" w:rsidRDefault="008F3544" w:rsidP="0099088D">
            <w:pPr>
              <w:jc w:val="center"/>
              <w:rPr>
                <w:color w:val="000000"/>
                <w:sz w:val="16"/>
                <w:szCs w:val="16"/>
              </w:rPr>
            </w:pPr>
            <w:r w:rsidRPr="00192507">
              <w:rPr>
                <w:color w:val="000000"/>
                <w:sz w:val="16"/>
                <w:szCs w:val="16"/>
              </w:rPr>
              <w:t>12 022 175,94</w:t>
            </w:r>
          </w:p>
        </w:tc>
        <w:tc>
          <w:tcPr>
            <w:tcW w:w="603" w:type="pct"/>
            <w:shd w:val="clear" w:color="auto" w:fill="auto"/>
            <w:noWrap/>
            <w:vAlign w:val="center"/>
            <w:hideMark/>
          </w:tcPr>
          <w:p w14:paraId="56C31233" w14:textId="77777777" w:rsidR="008F3544" w:rsidRPr="00192507" w:rsidRDefault="008F3544" w:rsidP="0099088D">
            <w:pPr>
              <w:jc w:val="center"/>
              <w:rPr>
                <w:color w:val="000000"/>
                <w:sz w:val="16"/>
                <w:szCs w:val="16"/>
              </w:rPr>
            </w:pPr>
            <w:r>
              <w:rPr>
                <w:color w:val="000000"/>
                <w:sz w:val="16"/>
                <w:szCs w:val="16"/>
              </w:rPr>
              <w:t>-</w:t>
            </w:r>
          </w:p>
        </w:tc>
      </w:tr>
      <w:tr w:rsidR="008F3544" w:rsidRPr="00192507" w14:paraId="6B2DFCBC" w14:textId="77777777" w:rsidTr="0099088D">
        <w:trPr>
          <w:trHeight w:val="900"/>
        </w:trPr>
        <w:tc>
          <w:tcPr>
            <w:tcW w:w="672" w:type="pct"/>
            <w:shd w:val="clear" w:color="auto" w:fill="auto"/>
            <w:vAlign w:val="center"/>
            <w:hideMark/>
          </w:tcPr>
          <w:p w14:paraId="1065B0C9" w14:textId="77777777" w:rsidR="008F3544" w:rsidRPr="00192507" w:rsidRDefault="008F3544" w:rsidP="0099088D">
            <w:pPr>
              <w:jc w:val="center"/>
              <w:rPr>
                <w:color w:val="000000"/>
                <w:sz w:val="16"/>
                <w:szCs w:val="16"/>
              </w:rPr>
            </w:pPr>
            <w:r w:rsidRPr="00192507">
              <w:rPr>
                <w:color w:val="000000"/>
                <w:sz w:val="16"/>
                <w:szCs w:val="16"/>
              </w:rPr>
              <w:t>3.3.1.1.3.2.</w:t>
            </w:r>
          </w:p>
        </w:tc>
        <w:tc>
          <w:tcPr>
            <w:tcW w:w="902" w:type="pct"/>
            <w:shd w:val="clear" w:color="auto" w:fill="auto"/>
            <w:vAlign w:val="center"/>
            <w:hideMark/>
          </w:tcPr>
          <w:p w14:paraId="283BCA70" w14:textId="77777777" w:rsidR="008F3544" w:rsidRPr="00451D92"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3.3.1.1.3.2.</m:t>
                    </m:r>
                  </m:sub>
                  <m:sup>
                    <m:r>
                      <m:rPr>
                        <m:nor/>
                      </m:rPr>
                      <w:rPr>
                        <w:color w:val="000000"/>
                      </w:rPr>
                      <m:t>27,5-60 кВ</m:t>
                    </m:r>
                  </m:sup>
                </m:sSubSup>
              </m:oMath>
            </m:oMathPara>
          </w:p>
        </w:tc>
        <w:tc>
          <w:tcPr>
            <w:tcW w:w="1525" w:type="pct"/>
            <w:shd w:val="clear" w:color="auto" w:fill="auto"/>
            <w:vAlign w:val="center"/>
            <w:hideMark/>
          </w:tcPr>
          <w:p w14:paraId="18D2061A" w14:textId="77777777" w:rsidR="008F3544" w:rsidRPr="00192507" w:rsidRDefault="008F3544" w:rsidP="0099088D">
            <w:pPr>
              <w:rPr>
                <w:color w:val="000000"/>
                <w:sz w:val="16"/>
                <w:szCs w:val="16"/>
              </w:rPr>
            </w:pPr>
            <w:r w:rsidRPr="00192507">
              <w:rPr>
                <w:color w:val="000000"/>
                <w:sz w:val="16"/>
                <w:szCs w:val="16"/>
              </w:rPr>
              <w:t>кабельные линии в каналах одножильные с резиновой или пластмассовой изоляцией сечением провода от 100 до 200 квадратных мм включительно с двумя кабелями в траншее</w:t>
            </w:r>
          </w:p>
        </w:tc>
        <w:tc>
          <w:tcPr>
            <w:tcW w:w="696" w:type="pct"/>
            <w:shd w:val="clear" w:color="auto" w:fill="auto"/>
            <w:vAlign w:val="center"/>
            <w:hideMark/>
          </w:tcPr>
          <w:p w14:paraId="4C40DE00" w14:textId="77777777" w:rsidR="008F3544" w:rsidRPr="00192507" w:rsidRDefault="008F3544" w:rsidP="0099088D">
            <w:pPr>
              <w:jc w:val="center"/>
              <w:rPr>
                <w:color w:val="000000"/>
                <w:sz w:val="16"/>
                <w:szCs w:val="16"/>
              </w:rPr>
            </w:pPr>
            <w:r w:rsidRPr="00192507">
              <w:rPr>
                <w:color w:val="000000"/>
                <w:sz w:val="16"/>
                <w:szCs w:val="16"/>
              </w:rPr>
              <w:t>рублей/км</w:t>
            </w:r>
          </w:p>
        </w:tc>
        <w:tc>
          <w:tcPr>
            <w:tcW w:w="602" w:type="pct"/>
            <w:shd w:val="clear" w:color="auto" w:fill="auto"/>
            <w:noWrap/>
            <w:vAlign w:val="center"/>
            <w:hideMark/>
          </w:tcPr>
          <w:p w14:paraId="6F917592" w14:textId="77777777" w:rsidR="008F3544" w:rsidRPr="00192507" w:rsidRDefault="008F3544" w:rsidP="0099088D">
            <w:pPr>
              <w:jc w:val="center"/>
              <w:rPr>
                <w:color w:val="000000"/>
                <w:sz w:val="16"/>
                <w:szCs w:val="16"/>
              </w:rPr>
            </w:pPr>
            <w:r w:rsidRPr="00192507">
              <w:rPr>
                <w:color w:val="000000"/>
                <w:sz w:val="16"/>
                <w:szCs w:val="16"/>
              </w:rPr>
              <w:t>23 393 292,79</w:t>
            </w:r>
          </w:p>
        </w:tc>
        <w:tc>
          <w:tcPr>
            <w:tcW w:w="603" w:type="pct"/>
            <w:shd w:val="clear" w:color="auto" w:fill="auto"/>
            <w:noWrap/>
            <w:vAlign w:val="center"/>
            <w:hideMark/>
          </w:tcPr>
          <w:p w14:paraId="3A585E7F" w14:textId="77777777" w:rsidR="008F3544" w:rsidRPr="00192507" w:rsidRDefault="008F3544" w:rsidP="0099088D">
            <w:pPr>
              <w:jc w:val="center"/>
              <w:rPr>
                <w:color w:val="000000"/>
                <w:sz w:val="16"/>
                <w:szCs w:val="16"/>
              </w:rPr>
            </w:pPr>
            <w:r>
              <w:rPr>
                <w:color w:val="000000"/>
                <w:sz w:val="16"/>
                <w:szCs w:val="16"/>
              </w:rPr>
              <w:t>-</w:t>
            </w:r>
          </w:p>
        </w:tc>
      </w:tr>
      <w:tr w:rsidR="008F3544" w:rsidRPr="00192507" w14:paraId="64FDA872" w14:textId="77777777" w:rsidTr="0099088D">
        <w:trPr>
          <w:trHeight w:val="900"/>
        </w:trPr>
        <w:tc>
          <w:tcPr>
            <w:tcW w:w="672" w:type="pct"/>
            <w:shd w:val="clear" w:color="auto" w:fill="auto"/>
            <w:vAlign w:val="center"/>
            <w:hideMark/>
          </w:tcPr>
          <w:p w14:paraId="5E45A6E4" w14:textId="77777777" w:rsidR="008F3544" w:rsidRPr="00192507" w:rsidRDefault="008F3544" w:rsidP="0099088D">
            <w:pPr>
              <w:jc w:val="center"/>
              <w:rPr>
                <w:color w:val="000000"/>
                <w:sz w:val="16"/>
                <w:szCs w:val="16"/>
              </w:rPr>
            </w:pPr>
            <w:r w:rsidRPr="00192507">
              <w:rPr>
                <w:color w:val="000000"/>
                <w:sz w:val="16"/>
                <w:szCs w:val="16"/>
              </w:rPr>
              <w:t>3.3.1.1.4.1.</w:t>
            </w:r>
          </w:p>
        </w:tc>
        <w:tc>
          <w:tcPr>
            <w:tcW w:w="902" w:type="pct"/>
            <w:shd w:val="clear" w:color="auto" w:fill="auto"/>
            <w:vAlign w:val="center"/>
            <w:hideMark/>
          </w:tcPr>
          <w:p w14:paraId="31205691" w14:textId="77777777" w:rsidR="008F3544" w:rsidRPr="00451D92"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3.3.1.1.4.1.</m:t>
                    </m:r>
                  </m:sub>
                  <m:sup>
                    <m:r>
                      <m:rPr>
                        <m:nor/>
                      </m:rPr>
                      <w:rPr>
                        <w:color w:val="000000"/>
                      </w:rPr>
                      <m:t>27,5-60 кВ</m:t>
                    </m:r>
                  </m:sup>
                </m:sSubSup>
              </m:oMath>
            </m:oMathPara>
          </w:p>
        </w:tc>
        <w:tc>
          <w:tcPr>
            <w:tcW w:w="1525" w:type="pct"/>
            <w:shd w:val="clear" w:color="auto" w:fill="auto"/>
            <w:vAlign w:val="center"/>
            <w:hideMark/>
          </w:tcPr>
          <w:p w14:paraId="40A5B511" w14:textId="77777777" w:rsidR="008F3544" w:rsidRPr="00192507" w:rsidRDefault="008F3544" w:rsidP="0099088D">
            <w:pPr>
              <w:rPr>
                <w:color w:val="000000"/>
                <w:sz w:val="16"/>
                <w:szCs w:val="16"/>
              </w:rPr>
            </w:pPr>
            <w:r w:rsidRPr="00192507">
              <w:rPr>
                <w:color w:val="000000"/>
                <w:sz w:val="16"/>
                <w:szCs w:val="16"/>
              </w:rPr>
              <w:t>кабельные линии в каналах одножильные с резиновой или пластмассовой изоляцией сечением провода от 200 до 250 квадратных мм включительно с одним кабелем в траншее</w:t>
            </w:r>
          </w:p>
        </w:tc>
        <w:tc>
          <w:tcPr>
            <w:tcW w:w="696" w:type="pct"/>
            <w:shd w:val="clear" w:color="auto" w:fill="auto"/>
            <w:vAlign w:val="center"/>
            <w:hideMark/>
          </w:tcPr>
          <w:p w14:paraId="30203674" w14:textId="77777777" w:rsidR="008F3544" w:rsidRPr="00192507" w:rsidRDefault="008F3544" w:rsidP="0099088D">
            <w:pPr>
              <w:jc w:val="center"/>
              <w:rPr>
                <w:color w:val="000000"/>
                <w:sz w:val="16"/>
                <w:szCs w:val="16"/>
              </w:rPr>
            </w:pPr>
            <w:r w:rsidRPr="00192507">
              <w:rPr>
                <w:color w:val="000000"/>
                <w:sz w:val="16"/>
                <w:szCs w:val="16"/>
              </w:rPr>
              <w:t>рублей/км</w:t>
            </w:r>
          </w:p>
        </w:tc>
        <w:tc>
          <w:tcPr>
            <w:tcW w:w="602" w:type="pct"/>
            <w:shd w:val="clear" w:color="auto" w:fill="auto"/>
            <w:noWrap/>
            <w:vAlign w:val="center"/>
            <w:hideMark/>
          </w:tcPr>
          <w:p w14:paraId="5ED5BB7B" w14:textId="77777777" w:rsidR="008F3544" w:rsidRPr="00192507" w:rsidRDefault="008F3544" w:rsidP="0099088D">
            <w:pPr>
              <w:jc w:val="center"/>
              <w:rPr>
                <w:color w:val="000000"/>
                <w:sz w:val="16"/>
                <w:szCs w:val="16"/>
              </w:rPr>
            </w:pPr>
            <w:r w:rsidRPr="00192507">
              <w:rPr>
                <w:color w:val="000000"/>
                <w:sz w:val="16"/>
                <w:szCs w:val="16"/>
              </w:rPr>
              <w:t>20 377 697,98</w:t>
            </w:r>
          </w:p>
        </w:tc>
        <w:tc>
          <w:tcPr>
            <w:tcW w:w="603" w:type="pct"/>
            <w:shd w:val="clear" w:color="auto" w:fill="auto"/>
            <w:noWrap/>
            <w:vAlign w:val="center"/>
            <w:hideMark/>
          </w:tcPr>
          <w:p w14:paraId="4886587E" w14:textId="77777777" w:rsidR="008F3544" w:rsidRPr="00192507" w:rsidRDefault="008F3544" w:rsidP="0099088D">
            <w:pPr>
              <w:jc w:val="center"/>
              <w:rPr>
                <w:color w:val="000000"/>
                <w:sz w:val="16"/>
                <w:szCs w:val="16"/>
              </w:rPr>
            </w:pPr>
            <w:r>
              <w:rPr>
                <w:color w:val="000000"/>
                <w:sz w:val="16"/>
                <w:szCs w:val="16"/>
              </w:rPr>
              <w:t>-</w:t>
            </w:r>
          </w:p>
        </w:tc>
      </w:tr>
      <w:tr w:rsidR="008F3544" w:rsidRPr="00192507" w14:paraId="0D1A8AAD" w14:textId="77777777" w:rsidTr="0099088D">
        <w:trPr>
          <w:trHeight w:val="900"/>
        </w:trPr>
        <w:tc>
          <w:tcPr>
            <w:tcW w:w="672" w:type="pct"/>
            <w:shd w:val="clear" w:color="auto" w:fill="auto"/>
            <w:vAlign w:val="center"/>
            <w:hideMark/>
          </w:tcPr>
          <w:p w14:paraId="723412F9" w14:textId="77777777" w:rsidR="008F3544" w:rsidRPr="00192507" w:rsidRDefault="008F3544" w:rsidP="0099088D">
            <w:pPr>
              <w:jc w:val="center"/>
              <w:rPr>
                <w:color w:val="000000"/>
                <w:sz w:val="16"/>
                <w:szCs w:val="16"/>
              </w:rPr>
            </w:pPr>
            <w:r w:rsidRPr="00192507">
              <w:rPr>
                <w:color w:val="000000"/>
                <w:sz w:val="16"/>
                <w:szCs w:val="16"/>
              </w:rPr>
              <w:t>3.3.1.1.4.2.</w:t>
            </w:r>
          </w:p>
        </w:tc>
        <w:tc>
          <w:tcPr>
            <w:tcW w:w="902" w:type="pct"/>
            <w:shd w:val="clear" w:color="auto" w:fill="auto"/>
            <w:vAlign w:val="center"/>
            <w:hideMark/>
          </w:tcPr>
          <w:p w14:paraId="52C8DA6F" w14:textId="77777777" w:rsidR="008F3544" w:rsidRPr="00451D92"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3.3.1.1.4.2.</m:t>
                    </m:r>
                  </m:sub>
                  <m:sup>
                    <m:r>
                      <m:rPr>
                        <m:nor/>
                      </m:rPr>
                      <w:rPr>
                        <w:color w:val="000000"/>
                      </w:rPr>
                      <m:t>27,5-60 кВ</m:t>
                    </m:r>
                  </m:sup>
                </m:sSubSup>
              </m:oMath>
            </m:oMathPara>
          </w:p>
        </w:tc>
        <w:tc>
          <w:tcPr>
            <w:tcW w:w="1525" w:type="pct"/>
            <w:shd w:val="clear" w:color="auto" w:fill="auto"/>
            <w:vAlign w:val="center"/>
            <w:hideMark/>
          </w:tcPr>
          <w:p w14:paraId="7E70B773" w14:textId="77777777" w:rsidR="008F3544" w:rsidRPr="00192507" w:rsidRDefault="008F3544" w:rsidP="0099088D">
            <w:pPr>
              <w:rPr>
                <w:color w:val="000000"/>
                <w:sz w:val="16"/>
                <w:szCs w:val="16"/>
              </w:rPr>
            </w:pPr>
            <w:r w:rsidRPr="00192507">
              <w:rPr>
                <w:color w:val="000000"/>
                <w:sz w:val="16"/>
                <w:szCs w:val="16"/>
              </w:rPr>
              <w:t>кабельные линии в каналах одножильные с резиновой или пластмассовой изоляцией сечением провода от 200 до 250 квадратных мм включительно с двумя кабелями в траншее</w:t>
            </w:r>
          </w:p>
        </w:tc>
        <w:tc>
          <w:tcPr>
            <w:tcW w:w="696" w:type="pct"/>
            <w:shd w:val="clear" w:color="auto" w:fill="auto"/>
            <w:vAlign w:val="center"/>
            <w:hideMark/>
          </w:tcPr>
          <w:p w14:paraId="453AC2E5" w14:textId="77777777" w:rsidR="008F3544" w:rsidRPr="00192507" w:rsidRDefault="008F3544" w:rsidP="0099088D">
            <w:pPr>
              <w:jc w:val="center"/>
              <w:rPr>
                <w:color w:val="000000"/>
                <w:sz w:val="16"/>
                <w:szCs w:val="16"/>
              </w:rPr>
            </w:pPr>
            <w:r w:rsidRPr="00192507">
              <w:rPr>
                <w:color w:val="000000"/>
                <w:sz w:val="16"/>
                <w:szCs w:val="16"/>
              </w:rPr>
              <w:t>рублей/км</w:t>
            </w:r>
          </w:p>
        </w:tc>
        <w:tc>
          <w:tcPr>
            <w:tcW w:w="602" w:type="pct"/>
            <w:shd w:val="clear" w:color="auto" w:fill="auto"/>
            <w:noWrap/>
            <w:vAlign w:val="center"/>
            <w:hideMark/>
          </w:tcPr>
          <w:p w14:paraId="7A539870" w14:textId="77777777" w:rsidR="008F3544" w:rsidRPr="00192507" w:rsidRDefault="008F3544" w:rsidP="0099088D">
            <w:pPr>
              <w:jc w:val="center"/>
              <w:rPr>
                <w:color w:val="000000"/>
                <w:sz w:val="16"/>
                <w:szCs w:val="16"/>
              </w:rPr>
            </w:pPr>
            <w:r w:rsidRPr="00192507">
              <w:rPr>
                <w:color w:val="000000"/>
                <w:sz w:val="16"/>
                <w:szCs w:val="16"/>
              </w:rPr>
              <w:t>40 748 548,15</w:t>
            </w:r>
          </w:p>
        </w:tc>
        <w:tc>
          <w:tcPr>
            <w:tcW w:w="603" w:type="pct"/>
            <w:shd w:val="clear" w:color="auto" w:fill="auto"/>
            <w:noWrap/>
            <w:vAlign w:val="center"/>
            <w:hideMark/>
          </w:tcPr>
          <w:p w14:paraId="740C0B4D" w14:textId="77777777" w:rsidR="008F3544" w:rsidRPr="00192507" w:rsidRDefault="008F3544" w:rsidP="0099088D">
            <w:pPr>
              <w:jc w:val="center"/>
              <w:rPr>
                <w:color w:val="000000"/>
                <w:sz w:val="16"/>
                <w:szCs w:val="16"/>
              </w:rPr>
            </w:pPr>
            <w:r>
              <w:rPr>
                <w:color w:val="000000"/>
                <w:sz w:val="16"/>
                <w:szCs w:val="16"/>
              </w:rPr>
              <w:t>-</w:t>
            </w:r>
          </w:p>
        </w:tc>
      </w:tr>
      <w:tr w:rsidR="008F3544" w:rsidRPr="00192507" w14:paraId="41437396" w14:textId="77777777" w:rsidTr="0099088D">
        <w:trPr>
          <w:trHeight w:val="1350"/>
        </w:trPr>
        <w:tc>
          <w:tcPr>
            <w:tcW w:w="672" w:type="pct"/>
            <w:shd w:val="clear" w:color="auto" w:fill="auto"/>
            <w:vAlign w:val="center"/>
            <w:hideMark/>
          </w:tcPr>
          <w:p w14:paraId="4E46D282" w14:textId="77777777" w:rsidR="008F3544" w:rsidRPr="00192507" w:rsidRDefault="008F3544" w:rsidP="0099088D">
            <w:pPr>
              <w:jc w:val="center"/>
              <w:rPr>
                <w:color w:val="000000"/>
                <w:sz w:val="16"/>
                <w:szCs w:val="16"/>
              </w:rPr>
            </w:pPr>
            <w:r w:rsidRPr="00192507">
              <w:rPr>
                <w:color w:val="000000"/>
                <w:sz w:val="16"/>
                <w:szCs w:val="16"/>
              </w:rPr>
              <w:t>3.6.1.1.2.2.</w:t>
            </w:r>
          </w:p>
        </w:tc>
        <w:tc>
          <w:tcPr>
            <w:tcW w:w="902" w:type="pct"/>
            <w:shd w:val="clear" w:color="auto" w:fill="auto"/>
            <w:vAlign w:val="center"/>
            <w:hideMark/>
          </w:tcPr>
          <w:p w14:paraId="0E069FE5" w14:textId="77777777" w:rsidR="008F3544" w:rsidRPr="006127A6"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3.6.1.1.2.2.</m:t>
                    </m:r>
                  </m:sub>
                  <m:sup>
                    <m:r>
                      <m:rPr>
                        <m:nor/>
                      </m:rPr>
                      <w:rPr>
                        <w:color w:val="000000"/>
                      </w:rPr>
                      <m:t>1-10 кВ</m:t>
                    </m:r>
                  </m:sup>
                </m:sSubSup>
              </m:oMath>
            </m:oMathPara>
          </w:p>
        </w:tc>
        <w:tc>
          <w:tcPr>
            <w:tcW w:w="1525" w:type="pct"/>
            <w:shd w:val="clear" w:color="auto" w:fill="auto"/>
            <w:vAlign w:val="center"/>
            <w:hideMark/>
          </w:tcPr>
          <w:p w14:paraId="2F30BF6D" w14:textId="77777777" w:rsidR="008F3544" w:rsidRPr="00192507" w:rsidRDefault="008F3544" w:rsidP="0099088D">
            <w:pPr>
              <w:rPr>
                <w:color w:val="000000"/>
                <w:sz w:val="16"/>
                <w:szCs w:val="16"/>
              </w:rPr>
            </w:pPr>
            <w:r w:rsidRPr="00192507">
              <w:rPr>
                <w:color w:val="000000"/>
                <w:sz w:val="16"/>
                <w:szCs w:val="16"/>
              </w:rPr>
              <w:t>кабельные линии, прокладываемые путем горизонтального наклонного бурения, одножильные с резиновой или пластмассовой изоляцией сечением провода от 50 до 100 квадратных мм включительно с двумя кабелями в траншее</w:t>
            </w:r>
          </w:p>
        </w:tc>
        <w:tc>
          <w:tcPr>
            <w:tcW w:w="696" w:type="pct"/>
            <w:shd w:val="clear" w:color="auto" w:fill="auto"/>
            <w:vAlign w:val="center"/>
            <w:hideMark/>
          </w:tcPr>
          <w:p w14:paraId="7C2C8B04" w14:textId="77777777" w:rsidR="008F3544" w:rsidRPr="00192507" w:rsidRDefault="008F3544" w:rsidP="0099088D">
            <w:pPr>
              <w:jc w:val="center"/>
              <w:rPr>
                <w:color w:val="000000"/>
                <w:sz w:val="16"/>
                <w:szCs w:val="16"/>
              </w:rPr>
            </w:pPr>
            <w:r w:rsidRPr="00192507">
              <w:rPr>
                <w:color w:val="000000"/>
                <w:sz w:val="16"/>
                <w:szCs w:val="16"/>
              </w:rPr>
              <w:t>рублей/км</w:t>
            </w:r>
          </w:p>
        </w:tc>
        <w:tc>
          <w:tcPr>
            <w:tcW w:w="602" w:type="pct"/>
            <w:shd w:val="clear" w:color="auto" w:fill="auto"/>
            <w:noWrap/>
            <w:vAlign w:val="center"/>
            <w:hideMark/>
          </w:tcPr>
          <w:p w14:paraId="53DE1129" w14:textId="77777777" w:rsidR="008F3544" w:rsidRPr="00192507" w:rsidRDefault="008F3544" w:rsidP="0099088D">
            <w:pPr>
              <w:jc w:val="center"/>
              <w:rPr>
                <w:color w:val="000000"/>
                <w:sz w:val="16"/>
                <w:szCs w:val="16"/>
              </w:rPr>
            </w:pPr>
            <w:r>
              <w:rPr>
                <w:color w:val="000000"/>
                <w:sz w:val="16"/>
                <w:szCs w:val="16"/>
              </w:rPr>
              <w:t>-</w:t>
            </w:r>
          </w:p>
        </w:tc>
        <w:tc>
          <w:tcPr>
            <w:tcW w:w="603" w:type="pct"/>
            <w:shd w:val="clear" w:color="auto" w:fill="auto"/>
            <w:noWrap/>
            <w:vAlign w:val="center"/>
            <w:hideMark/>
          </w:tcPr>
          <w:p w14:paraId="094543B7" w14:textId="77777777" w:rsidR="008F3544" w:rsidRPr="00192507" w:rsidRDefault="008F3544" w:rsidP="0099088D">
            <w:pPr>
              <w:jc w:val="center"/>
              <w:rPr>
                <w:color w:val="000000"/>
                <w:sz w:val="16"/>
                <w:szCs w:val="16"/>
              </w:rPr>
            </w:pPr>
            <w:r w:rsidRPr="00192507">
              <w:rPr>
                <w:color w:val="000000"/>
                <w:sz w:val="16"/>
                <w:szCs w:val="16"/>
              </w:rPr>
              <w:t>5 888 239,79</w:t>
            </w:r>
          </w:p>
        </w:tc>
      </w:tr>
      <w:tr w:rsidR="008F3544" w:rsidRPr="00192507" w14:paraId="0BED24F8" w14:textId="77777777" w:rsidTr="0099088D">
        <w:trPr>
          <w:trHeight w:val="1125"/>
        </w:trPr>
        <w:tc>
          <w:tcPr>
            <w:tcW w:w="672" w:type="pct"/>
            <w:shd w:val="clear" w:color="auto" w:fill="auto"/>
            <w:vAlign w:val="center"/>
            <w:hideMark/>
          </w:tcPr>
          <w:p w14:paraId="53B60C7F" w14:textId="77777777" w:rsidR="008F3544" w:rsidRPr="00192507" w:rsidRDefault="008F3544" w:rsidP="0099088D">
            <w:pPr>
              <w:jc w:val="center"/>
              <w:rPr>
                <w:color w:val="000000"/>
                <w:sz w:val="16"/>
                <w:szCs w:val="16"/>
              </w:rPr>
            </w:pPr>
            <w:r w:rsidRPr="00192507">
              <w:rPr>
                <w:color w:val="000000"/>
                <w:sz w:val="16"/>
                <w:szCs w:val="16"/>
              </w:rPr>
              <w:t>3.6.2.1.1.1.</w:t>
            </w:r>
          </w:p>
        </w:tc>
        <w:tc>
          <w:tcPr>
            <w:tcW w:w="902" w:type="pct"/>
            <w:shd w:val="clear" w:color="auto" w:fill="auto"/>
            <w:vAlign w:val="center"/>
            <w:hideMark/>
          </w:tcPr>
          <w:p w14:paraId="0A0A3729" w14:textId="77777777" w:rsidR="008F3544" w:rsidRPr="003641A5"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3.6.2.1.1.1.</m:t>
                    </m:r>
                  </m:sub>
                  <m:sup>
                    <m:r>
                      <m:rPr>
                        <m:nor/>
                      </m:rPr>
                      <w:rPr>
                        <w:color w:val="000000"/>
                      </w:rPr>
                      <m:t>0,4 кВ и ниже</m:t>
                    </m:r>
                  </m:sup>
                </m:sSubSup>
              </m:oMath>
            </m:oMathPara>
          </w:p>
        </w:tc>
        <w:tc>
          <w:tcPr>
            <w:tcW w:w="1525" w:type="pct"/>
            <w:shd w:val="clear" w:color="auto" w:fill="auto"/>
            <w:vAlign w:val="center"/>
            <w:hideMark/>
          </w:tcPr>
          <w:p w14:paraId="44F2DD43" w14:textId="77777777" w:rsidR="008F3544" w:rsidRPr="00192507" w:rsidRDefault="008F3544" w:rsidP="0099088D">
            <w:pPr>
              <w:rPr>
                <w:color w:val="000000"/>
                <w:sz w:val="16"/>
                <w:szCs w:val="16"/>
              </w:rPr>
            </w:pPr>
            <w:r w:rsidRPr="00192507">
              <w:rPr>
                <w:color w:val="000000"/>
                <w:sz w:val="16"/>
                <w:szCs w:val="16"/>
              </w:rPr>
              <w:t>кабельные линии, прокладываемые путем горизонтального наклонного бурения, многожильные с резиновой или пластмассовой изоляцией сечением провода до 50 квадратных мм включительно с одним кабелем в траншее</w:t>
            </w:r>
          </w:p>
        </w:tc>
        <w:tc>
          <w:tcPr>
            <w:tcW w:w="696" w:type="pct"/>
            <w:shd w:val="clear" w:color="auto" w:fill="auto"/>
            <w:vAlign w:val="center"/>
            <w:hideMark/>
          </w:tcPr>
          <w:p w14:paraId="341F241D" w14:textId="77777777" w:rsidR="008F3544" w:rsidRPr="00192507" w:rsidRDefault="008F3544" w:rsidP="0099088D">
            <w:pPr>
              <w:jc w:val="center"/>
              <w:rPr>
                <w:color w:val="000000"/>
                <w:sz w:val="16"/>
                <w:szCs w:val="16"/>
              </w:rPr>
            </w:pPr>
            <w:r w:rsidRPr="00192507">
              <w:rPr>
                <w:color w:val="000000"/>
                <w:sz w:val="16"/>
                <w:szCs w:val="16"/>
              </w:rPr>
              <w:t>рублей/км</w:t>
            </w:r>
          </w:p>
        </w:tc>
        <w:tc>
          <w:tcPr>
            <w:tcW w:w="602" w:type="pct"/>
            <w:shd w:val="clear" w:color="auto" w:fill="auto"/>
            <w:noWrap/>
            <w:vAlign w:val="center"/>
            <w:hideMark/>
          </w:tcPr>
          <w:p w14:paraId="29B93F08" w14:textId="77777777" w:rsidR="008F3544" w:rsidRPr="00192507" w:rsidRDefault="008F3544" w:rsidP="0099088D">
            <w:pPr>
              <w:jc w:val="center"/>
              <w:rPr>
                <w:color w:val="000000"/>
                <w:sz w:val="16"/>
                <w:szCs w:val="16"/>
              </w:rPr>
            </w:pPr>
            <w:r w:rsidRPr="00192507">
              <w:rPr>
                <w:color w:val="000000"/>
                <w:sz w:val="16"/>
                <w:szCs w:val="16"/>
              </w:rPr>
              <w:t>3 776 774,30</w:t>
            </w:r>
          </w:p>
        </w:tc>
        <w:tc>
          <w:tcPr>
            <w:tcW w:w="603" w:type="pct"/>
            <w:shd w:val="clear" w:color="auto" w:fill="auto"/>
            <w:noWrap/>
            <w:vAlign w:val="center"/>
            <w:hideMark/>
          </w:tcPr>
          <w:p w14:paraId="42B3EF39" w14:textId="77777777" w:rsidR="008F3544" w:rsidRPr="00192507" w:rsidRDefault="008F3544" w:rsidP="0099088D">
            <w:pPr>
              <w:jc w:val="center"/>
              <w:rPr>
                <w:color w:val="000000"/>
                <w:sz w:val="16"/>
                <w:szCs w:val="16"/>
              </w:rPr>
            </w:pPr>
            <w:r>
              <w:rPr>
                <w:color w:val="000000"/>
                <w:sz w:val="16"/>
                <w:szCs w:val="16"/>
              </w:rPr>
              <w:t>-</w:t>
            </w:r>
          </w:p>
        </w:tc>
      </w:tr>
      <w:tr w:rsidR="008F3544" w:rsidRPr="00192507" w14:paraId="035A6AF7" w14:textId="77777777" w:rsidTr="0099088D">
        <w:trPr>
          <w:trHeight w:val="780"/>
        </w:trPr>
        <w:tc>
          <w:tcPr>
            <w:tcW w:w="672" w:type="pct"/>
            <w:vMerge w:val="restart"/>
            <w:shd w:val="clear" w:color="auto" w:fill="auto"/>
            <w:vAlign w:val="center"/>
            <w:hideMark/>
          </w:tcPr>
          <w:p w14:paraId="23AFE79B" w14:textId="77777777" w:rsidR="008F3544" w:rsidRPr="00192507" w:rsidRDefault="008F3544" w:rsidP="0099088D">
            <w:pPr>
              <w:jc w:val="center"/>
              <w:rPr>
                <w:color w:val="000000"/>
                <w:sz w:val="16"/>
                <w:szCs w:val="16"/>
              </w:rPr>
            </w:pPr>
            <w:r w:rsidRPr="00192507">
              <w:rPr>
                <w:color w:val="000000"/>
                <w:sz w:val="16"/>
                <w:szCs w:val="16"/>
              </w:rPr>
              <w:t>3.6.2.1.2.1.</w:t>
            </w:r>
          </w:p>
        </w:tc>
        <w:tc>
          <w:tcPr>
            <w:tcW w:w="902" w:type="pct"/>
            <w:shd w:val="clear" w:color="auto" w:fill="auto"/>
            <w:vAlign w:val="center"/>
            <w:hideMark/>
          </w:tcPr>
          <w:p w14:paraId="2E54F0EA" w14:textId="77777777" w:rsidR="008F3544" w:rsidRPr="00BA2B27"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3.6.2.1.2.1.</m:t>
                    </m:r>
                  </m:sub>
                  <m:sup>
                    <m:r>
                      <m:rPr>
                        <m:nor/>
                      </m:rPr>
                      <w:rPr>
                        <w:color w:val="000000"/>
                      </w:rPr>
                      <m:t>0,4 кВ и ниже</m:t>
                    </m:r>
                  </m:sup>
                </m:sSubSup>
              </m:oMath>
            </m:oMathPara>
          </w:p>
        </w:tc>
        <w:tc>
          <w:tcPr>
            <w:tcW w:w="1525" w:type="pct"/>
            <w:vMerge w:val="restart"/>
            <w:shd w:val="clear" w:color="auto" w:fill="auto"/>
            <w:vAlign w:val="center"/>
            <w:hideMark/>
          </w:tcPr>
          <w:p w14:paraId="0BAAFF0D" w14:textId="77777777" w:rsidR="008F3544" w:rsidRPr="00192507" w:rsidRDefault="008F3544" w:rsidP="0099088D">
            <w:pPr>
              <w:rPr>
                <w:color w:val="000000"/>
                <w:sz w:val="16"/>
                <w:szCs w:val="16"/>
              </w:rPr>
            </w:pPr>
            <w:r w:rsidRPr="00192507">
              <w:rPr>
                <w:color w:val="000000"/>
                <w:sz w:val="16"/>
                <w:szCs w:val="16"/>
              </w:rPr>
              <w:t>кабельные линии, прокладываемые путем горизонтального наклонного бурения, многожильные с резиновой или пластмассовой изоляцией сечением провода от 50 до 100 квадратных мм включительно с одним кабелем в траншее</w:t>
            </w:r>
          </w:p>
        </w:tc>
        <w:tc>
          <w:tcPr>
            <w:tcW w:w="696" w:type="pct"/>
            <w:vMerge w:val="restart"/>
            <w:shd w:val="clear" w:color="auto" w:fill="auto"/>
            <w:vAlign w:val="center"/>
            <w:hideMark/>
          </w:tcPr>
          <w:p w14:paraId="3A07587C" w14:textId="77777777" w:rsidR="008F3544" w:rsidRPr="00192507" w:rsidRDefault="008F3544" w:rsidP="0099088D">
            <w:pPr>
              <w:jc w:val="center"/>
              <w:rPr>
                <w:color w:val="000000"/>
                <w:sz w:val="16"/>
                <w:szCs w:val="16"/>
              </w:rPr>
            </w:pPr>
            <w:r w:rsidRPr="00192507">
              <w:rPr>
                <w:color w:val="000000"/>
                <w:sz w:val="16"/>
                <w:szCs w:val="16"/>
              </w:rPr>
              <w:t>рублей/км</w:t>
            </w:r>
          </w:p>
        </w:tc>
        <w:tc>
          <w:tcPr>
            <w:tcW w:w="602" w:type="pct"/>
            <w:shd w:val="clear" w:color="auto" w:fill="auto"/>
            <w:noWrap/>
            <w:vAlign w:val="center"/>
            <w:hideMark/>
          </w:tcPr>
          <w:p w14:paraId="46DA60D1" w14:textId="77777777" w:rsidR="008F3544" w:rsidRPr="00192507" w:rsidRDefault="008F3544" w:rsidP="0099088D">
            <w:pPr>
              <w:jc w:val="center"/>
              <w:rPr>
                <w:color w:val="000000"/>
                <w:sz w:val="16"/>
                <w:szCs w:val="16"/>
              </w:rPr>
            </w:pPr>
            <w:r w:rsidRPr="00192507">
              <w:rPr>
                <w:color w:val="000000"/>
                <w:sz w:val="16"/>
                <w:szCs w:val="16"/>
              </w:rPr>
              <w:t>4 320 162,14</w:t>
            </w:r>
          </w:p>
        </w:tc>
        <w:tc>
          <w:tcPr>
            <w:tcW w:w="603" w:type="pct"/>
            <w:shd w:val="clear" w:color="auto" w:fill="auto"/>
            <w:noWrap/>
            <w:vAlign w:val="center"/>
            <w:hideMark/>
          </w:tcPr>
          <w:p w14:paraId="42C10E9D" w14:textId="77777777" w:rsidR="008F3544" w:rsidRPr="00192507" w:rsidRDefault="008F3544" w:rsidP="0099088D">
            <w:pPr>
              <w:jc w:val="center"/>
              <w:rPr>
                <w:color w:val="000000"/>
                <w:sz w:val="16"/>
                <w:szCs w:val="16"/>
              </w:rPr>
            </w:pPr>
            <w:r>
              <w:rPr>
                <w:color w:val="000000"/>
                <w:sz w:val="16"/>
                <w:szCs w:val="16"/>
              </w:rPr>
              <w:t>-</w:t>
            </w:r>
          </w:p>
        </w:tc>
      </w:tr>
      <w:tr w:rsidR="008F3544" w:rsidRPr="00192507" w14:paraId="3FC11F4E" w14:textId="77777777" w:rsidTr="0099088D">
        <w:trPr>
          <w:trHeight w:val="780"/>
        </w:trPr>
        <w:tc>
          <w:tcPr>
            <w:tcW w:w="672" w:type="pct"/>
            <w:vMerge/>
            <w:shd w:val="clear" w:color="auto" w:fill="auto"/>
            <w:vAlign w:val="center"/>
            <w:hideMark/>
          </w:tcPr>
          <w:p w14:paraId="3EC6359C" w14:textId="77777777" w:rsidR="008F3544" w:rsidRPr="00192507" w:rsidRDefault="008F3544" w:rsidP="0099088D">
            <w:pPr>
              <w:rPr>
                <w:color w:val="000000"/>
                <w:sz w:val="16"/>
                <w:szCs w:val="16"/>
              </w:rPr>
            </w:pPr>
          </w:p>
        </w:tc>
        <w:tc>
          <w:tcPr>
            <w:tcW w:w="902" w:type="pct"/>
            <w:shd w:val="clear" w:color="auto" w:fill="auto"/>
            <w:vAlign w:val="center"/>
            <w:hideMark/>
          </w:tcPr>
          <w:p w14:paraId="55037E22" w14:textId="77777777" w:rsidR="008F3544" w:rsidRPr="00BA2B27"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3.6.2.1.2.1.</m:t>
                    </m:r>
                  </m:sub>
                  <m:sup>
                    <m:r>
                      <m:rPr>
                        <m:nor/>
                      </m:rPr>
                      <w:rPr>
                        <w:color w:val="000000"/>
                      </w:rPr>
                      <m:t>1-10 кВ</m:t>
                    </m:r>
                  </m:sup>
                </m:sSubSup>
              </m:oMath>
            </m:oMathPara>
          </w:p>
        </w:tc>
        <w:tc>
          <w:tcPr>
            <w:tcW w:w="1525" w:type="pct"/>
            <w:vMerge/>
            <w:shd w:val="clear" w:color="auto" w:fill="auto"/>
            <w:vAlign w:val="center"/>
            <w:hideMark/>
          </w:tcPr>
          <w:p w14:paraId="020ABDBD" w14:textId="77777777" w:rsidR="008F3544" w:rsidRPr="00192507" w:rsidRDefault="008F3544" w:rsidP="0099088D">
            <w:pPr>
              <w:rPr>
                <w:color w:val="000000"/>
                <w:sz w:val="16"/>
                <w:szCs w:val="16"/>
              </w:rPr>
            </w:pPr>
          </w:p>
        </w:tc>
        <w:tc>
          <w:tcPr>
            <w:tcW w:w="696" w:type="pct"/>
            <w:vMerge/>
            <w:shd w:val="clear" w:color="auto" w:fill="auto"/>
            <w:vAlign w:val="center"/>
            <w:hideMark/>
          </w:tcPr>
          <w:p w14:paraId="711DB7E6" w14:textId="77777777" w:rsidR="008F3544" w:rsidRPr="00192507" w:rsidRDefault="008F3544" w:rsidP="0099088D">
            <w:pPr>
              <w:rPr>
                <w:color w:val="000000"/>
                <w:sz w:val="16"/>
                <w:szCs w:val="16"/>
              </w:rPr>
            </w:pPr>
          </w:p>
        </w:tc>
        <w:tc>
          <w:tcPr>
            <w:tcW w:w="602" w:type="pct"/>
            <w:shd w:val="clear" w:color="auto" w:fill="auto"/>
            <w:noWrap/>
            <w:vAlign w:val="center"/>
            <w:hideMark/>
          </w:tcPr>
          <w:p w14:paraId="1C24F443" w14:textId="77777777" w:rsidR="008F3544" w:rsidRPr="00192507" w:rsidRDefault="008F3544" w:rsidP="0099088D">
            <w:pPr>
              <w:jc w:val="center"/>
              <w:rPr>
                <w:color w:val="000000"/>
                <w:sz w:val="16"/>
                <w:szCs w:val="16"/>
              </w:rPr>
            </w:pPr>
            <w:r w:rsidRPr="00192507">
              <w:rPr>
                <w:color w:val="000000"/>
                <w:sz w:val="16"/>
                <w:szCs w:val="16"/>
              </w:rPr>
              <w:t>8 938 703,24</w:t>
            </w:r>
          </w:p>
        </w:tc>
        <w:tc>
          <w:tcPr>
            <w:tcW w:w="603" w:type="pct"/>
            <w:shd w:val="clear" w:color="auto" w:fill="auto"/>
            <w:noWrap/>
            <w:vAlign w:val="center"/>
            <w:hideMark/>
          </w:tcPr>
          <w:p w14:paraId="50BB6290" w14:textId="77777777" w:rsidR="008F3544" w:rsidRPr="00192507" w:rsidRDefault="008F3544" w:rsidP="0099088D">
            <w:pPr>
              <w:jc w:val="center"/>
              <w:rPr>
                <w:color w:val="000000"/>
                <w:sz w:val="16"/>
                <w:szCs w:val="16"/>
              </w:rPr>
            </w:pPr>
            <w:r w:rsidRPr="00192507">
              <w:rPr>
                <w:color w:val="000000"/>
                <w:sz w:val="16"/>
                <w:szCs w:val="16"/>
              </w:rPr>
              <w:t>8 804 392,07</w:t>
            </w:r>
          </w:p>
        </w:tc>
      </w:tr>
      <w:tr w:rsidR="008F3544" w:rsidRPr="00192507" w14:paraId="1FF74996" w14:textId="77777777" w:rsidTr="0099088D">
        <w:trPr>
          <w:trHeight w:val="780"/>
        </w:trPr>
        <w:tc>
          <w:tcPr>
            <w:tcW w:w="672" w:type="pct"/>
            <w:vMerge w:val="restart"/>
            <w:shd w:val="clear" w:color="auto" w:fill="auto"/>
            <w:vAlign w:val="center"/>
            <w:hideMark/>
          </w:tcPr>
          <w:p w14:paraId="6EDAC9E0" w14:textId="77777777" w:rsidR="008F3544" w:rsidRPr="00192507" w:rsidRDefault="008F3544" w:rsidP="0099088D">
            <w:pPr>
              <w:jc w:val="center"/>
              <w:rPr>
                <w:color w:val="000000"/>
                <w:sz w:val="16"/>
                <w:szCs w:val="16"/>
              </w:rPr>
            </w:pPr>
            <w:r w:rsidRPr="00192507">
              <w:rPr>
                <w:color w:val="000000"/>
                <w:sz w:val="16"/>
                <w:szCs w:val="16"/>
              </w:rPr>
              <w:t>3.6.2.1.2.2.</w:t>
            </w:r>
          </w:p>
        </w:tc>
        <w:tc>
          <w:tcPr>
            <w:tcW w:w="902" w:type="pct"/>
            <w:shd w:val="clear" w:color="auto" w:fill="auto"/>
            <w:vAlign w:val="center"/>
            <w:hideMark/>
          </w:tcPr>
          <w:p w14:paraId="5A7F8EB5" w14:textId="77777777" w:rsidR="008F3544" w:rsidRPr="00BA2B27"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3.6.2.1.2.2.</m:t>
                    </m:r>
                  </m:sub>
                  <m:sup>
                    <m:r>
                      <m:rPr>
                        <m:nor/>
                      </m:rPr>
                      <w:rPr>
                        <w:color w:val="000000"/>
                      </w:rPr>
                      <m:t>0,4 кВ и ниже</m:t>
                    </m:r>
                  </m:sup>
                </m:sSubSup>
              </m:oMath>
            </m:oMathPara>
          </w:p>
        </w:tc>
        <w:tc>
          <w:tcPr>
            <w:tcW w:w="1525" w:type="pct"/>
            <w:vMerge w:val="restart"/>
            <w:shd w:val="clear" w:color="auto" w:fill="auto"/>
            <w:vAlign w:val="center"/>
            <w:hideMark/>
          </w:tcPr>
          <w:p w14:paraId="6A92AB2A" w14:textId="77777777" w:rsidR="008F3544" w:rsidRPr="00192507" w:rsidRDefault="008F3544" w:rsidP="0099088D">
            <w:pPr>
              <w:rPr>
                <w:color w:val="000000"/>
                <w:sz w:val="16"/>
                <w:szCs w:val="16"/>
              </w:rPr>
            </w:pPr>
            <w:r w:rsidRPr="00192507">
              <w:rPr>
                <w:color w:val="000000"/>
                <w:sz w:val="16"/>
                <w:szCs w:val="16"/>
              </w:rPr>
              <w:t>кабельные линии, прокладываемые путем горизонтального наклонного бурения, многожильные с резиновой или пластмассовой изоляцией сечением провода от 50 до 100 квадратных мм включительно с двумя кабелями в траншее</w:t>
            </w:r>
          </w:p>
        </w:tc>
        <w:tc>
          <w:tcPr>
            <w:tcW w:w="696" w:type="pct"/>
            <w:vMerge w:val="restart"/>
            <w:shd w:val="clear" w:color="auto" w:fill="auto"/>
            <w:vAlign w:val="center"/>
            <w:hideMark/>
          </w:tcPr>
          <w:p w14:paraId="17BD5C4D" w14:textId="77777777" w:rsidR="008F3544" w:rsidRPr="00192507" w:rsidRDefault="008F3544" w:rsidP="0099088D">
            <w:pPr>
              <w:jc w:val="center"/>
              <w:rPr>
                <w:color w:val="000000"/>
                <w:sz w:val="16"/>
                <w:szCs w:val="16"/>
              </w:rPr>
            </w:pPr>
            <w:r w:rsidRPr="00192507">
              <w:rPr>
                <w:color w:val="000000"/>
                <w:sz w:val="16"/>
                <w:szCs w:val="16"/>
              </w:rPr>
              <w:t>рублей/км</w:t>
            </w:r>
          </w:p>
        </w:tc>
        <w:tc>
          <w:tcPr>
            <w:tcW w:w="602" w:type="pct"/>
            <w:shd w:val="clear" w:color="auto" w:fill="auto"/>
            <w:noWrap/>
            <w:vAlign w:val="center"/>
            <w:hideMark/>
          </w:tcPr>
          <w:p w14:paraId="568ABAFB" w14:textId="77777777" w:rsidR="008F3544" w:rsidRPr="00192507" w:rsidRDefault="008F3544" w:rsidP="0099088D">
            <w:pPr>
              <w:jc w:val="center"/>
              <w:rPr>
                <w:color w:val="000000"/>
                <w:sz w:val="16"/>
                <w:szCs w:val="16"/>
              </w:rPr>
            </w:pPr>
            <w:r w:rsidRPr="00192507">
              <w:rPr>
                <w:color w:val="000000"/>
                <w:sz w:val="16"/>
                <w:szCs w:val="16"/>
              </w:rPr>
              <w:t>10 365 666,03</w:t>
            </w:r>
          </w:p>
        </w:tc>
        <w:tc>
          <w:tcPr>
            <w:tcW w:w="603" w:type="pct"/>
            <w:shd w:val="clear" w:color="auto" w:fill="auto"/>
            <w:noWrap/>
            <w:vAlign w:val="center"/>
            <w:hideMark/>
          </w:tcPr>
          <w:p w14:paraId="23341430" w14:textId="77777777" w:rsidR="008F3544" w:rsidRPr="00192507" w:rsidRDefault="008F3544" w:rsidP="0099088D">
            <w:pPr>
              <w:jc w:val="center"/>
              <w:rPr>
                <w:color w:val="000000"/>
                <w:sz w:val="16"/>
                <w:szCs w:val="16"/>
              </w:rPr>
            </w:pPr>
            <w:r>
              <w:rPr>
                <w:color w:val="000000"/>
                <w:sz w:val="16"/>
                <w:szCs w:val="16"/>
              </w:rPr>
              <w:t>-</w:t>
            </w:r>
          </w:p>
        </w:tc>
      </w:tr>
      <w:tr w:rsidR="008F3544" w:rsidRPr="00192507" w14:paraId="0B2CF864" w14:textId="77777777" w:rsidTr="0099088D">
        <w:trPr>
          <w:trHeight w:val="780"/>
        </w:trPr>
        <w:tc>
          <w:tcPr>
            <w:tcW w:w="672" w:type="pct"/>
            <w:vMerge/>
            <w:shd w:val="clear" w:color="auto" w:fill="auto"/>
            <w:vAlign w:val="center"/>
            <w:hideMark/>
          </w:tcPr>
          <w:p w14:paraId="6CCEB24B" w14:textId="77777777" w:rsidR="008F3544" w:rsidRPr="00192507" w:rsidRDefault="008F3544" w:rsidP="0099088D">
            <w:pPr>
              <w:rPr>
                <w:color w:val="000000"/>
                <w:sz w:val="16"/>
                <w:szCs w:val="16"/>
              </w:rPr>
            </w:pPr>
          </w:p>
        </w:tc>
        <w:tc>
          <w:tcPr>
            <w:tcW w:w="902" w:type="pct"/>
            <w:shd w:val="clear" w:color="auto" w:fill="auto"/>
            <w:vAlign w:val="center"/>
            <w:hideMark/>
          </w:tcPr>
          <w:p w14:paraId="509AC6EE" w14:textId="77777777" w:rsidR="008F3544" w:rsidRPr="00BA2B27"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3.6.2.1.2.2.</m:t>
                    </m:r>
                  </m:sub>
                  <m:sup>
                    <m:r>
                      <m:rPr>
                        <m:nor/>
                      </m:rPr>
                      <w:rPr>
                        <w:color w:val="000000"/>
                      </w:rPr>
                      <m:t>1-10 кВ</m:t>
                    </m:r>
                  </m:sup>
                </m:sSubSup>
              </m:oMath>
            </m:oMathPara>
          </w:p>
        </w:tc>
        <w:tc>
          <w:tcPr>
            <w:tcW w:w="1525" w:type="pct"/>
            <w:vMerge/>
            <w:shd w:val="clear" w:color="auto" w:fill="auto"/>
            <w:vAlign w:val="center"/>
            <w:hideMark/>
          </w:tcPr>
          <w:p w14:paraId="5CCE70A6" w14:textId="77777777" w:rsidR="008F3544" w:rsidRPr="00192507" w:rsidRDefault="008F3544" w:rsidP="0099088D">
            <w:pPr>
              <w:rPr>
                <w:color w:val="000000"/>
                <w:sz w:val="16"/>
                <w:szCs w:val="16"/>
              </w:rPr>
            </w:pPr>
          </w:p>
        </w:tc>
        <w:tc>
          <w:tcPr>
            <w:tcW w:w="696" w:type="pct"/>
            <w:vMerge/>
            <w:shd w:val="clear" w:color="auto" w:fill="auto"/>
            <w:vAlign w:val="center"/>
            <w:hideMark/>
          </w:tcPr>
          <w:p w14:paraId="76C4887D" w14:textId="77777777" w:rsidR="008F3544" w:rsidRPr="00192507" w:rsidRDefault="008F3544" w:rsidP="0099088D">
            <w:pPr>
              <w:rPr>
                <w:color w:val="000000"/>
                <w:sz w:val="16"/>
                <w:szCs w:val="16"/>
              </w:rPr>
            </w:pPr>
          </w:p>
        </w:tc>
        <w:tc>
          <w:tcPr>
            <w:tcW w:w="602" w:type="pct"/>
            <w:shd w:val="clear" w:color="auto" w:fill="auto"/>
            <w:noWrap/>
            <w:vAlign w:val="center"/>
            <w:hideMark/>
          </w:tcPr>
          <w:p w14:paraId="6CB50ABC" w14:textId="77777777" w:rsidR="008F3544" w:rsidRPr="00192507" w:rsidRDefault="008F3544" w:rsidP="0099088D">
            <w:pPr>
              <w:jc w:val="center"/>
              <w:rPr>
                <w:color w:val="000000"/>
                <w:sz w:val="16"/>
                <w:szCs w:val="16"/>
              </w:rPr>
            </w:pPr>
            <w:r w:rsidRPr="00192507">
              <w:rPr>
                <w:color w:val="000000"/>
                <w:sz w:val="16"/>
                <w:szCs w:val="16"/>
              </w:rPr>
              <w:t>11 997 131,46</w:t>
            </w:r>
          </w:p>
        </w:tc>
        <w:tc>
          <w:tcPr>
            <w:tcW w:w="603" w:type="pct"/>
            <w:shd w:val="clear" w:color="auto" w:fill="auto"/>
            <w:noWrap/>
            <w:vAlign w:val="center"/>
            <w:hideMark/>
          </w:tcPr>
          <w:p w14:paraId="7869BAB7" w14:textId="77777777" w:rsidR="008F3544" w:rsidRPr="00192507" w:rsidRDefault="008F3544" w:rsidP="0099088D">
            <w:pPr>
              <w:jc w:val="center"/>
              <w:rPr>
                <w:color w:val="000000"/>
                <w:sz w:val="16"/>
                <w:szCs w:val="16"/>
              </w:rPr>
            </w:pPr>
            <w:r w:rsidRPr="00192507">
              <w:rPr>
                <w:color w:val="000000"/>
                <w:sz w:val="16"/>
                <w:szCs w:val="16"/>
              </w:rPr>
              <w:t>10 099 350,95</w:t>
            </w:r>
          </w:p>
        </w:tc>
      </w:tr>
      <w:tr w:rsidR="008F3544" w:rsidRPr="00192507" w14:paraId="5FA91560" w14:textId="77777777" w:rsidTr="0099088D">
        <w:trPr>
          <w:trHeight w:val="780"/>
        </w:trPr>
        <w:tc>
          <w:tcPr>
            <w:tcW w:w="672" w:type="pct"/>
            <w:vMerge w:val="restart"/>
            <w:shd w:val="clear" w:color="auto" w:fill="auto"/>
            <w:vAlign w:val="center"/>
            <w:hideMark/>
          </w:tcPr>
          <w:p w14:paraId="5741DC2F" w14:textId="77777777" w:rsidR="008F3544" w:rsidRPr="00192507" w:rsidRDefault="008F3544" w:rsidP="0099088D">
            <w:pPr>
              <w:jc w:val="center"/>
              <w:rPr>
                <w:color w:val="000000"/>
                <w:sz w:val="16"/>
                <w:szCs w:val="16"/>
              </w:rPr>
            </w:pPr>
            <w:r w:rsidRPr="00192507">
              <w:rPr>
                <w:color w:val="000000"/>
                <w:sz w:val="16"/>
                <w:szCs w:val="16"/>
              </w:rPr>
              <w:t>3.6.2.1.3.1.</w:t>
            </w:r>
          </w:p>
        </w:tc>
        <w:tc>
          <w:tcPr>
            <w:tcW w:w="902" w:type="pct"/>
            <w:shd w:val="clear" w:color="auto" w:fill="auto"/>
            <w:vAlign w:val="center"/>
            <w:hideMark/>
          </w:tcPr>
          <w:p w14:paraId="14A8D856" w14:textId="77777777" w:rsidR="008F3544" w:rsidRPr="00BA2B27"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3.6.2.1.3.1.</m:t>
                    </m:r>
                  </m:sub>
                  <m:sup>
                    <m:r>
                      <m:rPr>
                        <m:nor/>
                      </m:rPr>
                      <w:rPr>
                        <w:color w:val="000000"/>
                      </w:rPr>
                      <m:t>0,4 кВ и ниже</m:t>
                    </m:r>
                  </m:sup>
                </m:sSubSup>
              </m:oMath>
            </m:oMathPara>
          </w:p>
        </w:tc>
        <w:tc>
          <w:tcPr>
            <w:tcW w:w="1525" w:type="pct"/>
            <w:vMerge w:val="restart"/>
            <w:shd w:val="clear" w:color="auto" w:fill="auto"/>
            <w:vAlign w:val="center"/>
            <w:hideMark/>
          </w:tcPr>
          <w:p w14:paraId="2C8005E1" w14:textId="77777777" w:rsidR="008F3544" w:rsidRPr="00192507" w:rsidRDefault="008F3544" w:rsidP="0099088D">
            <w:pPr>
              <w:rPr>
                <w:color w:val="000000"/>
                <w:sz w:val="16"/>
                <w:szCs w:val="16"/>
              </w:rPr>
            </w:pPr>
            <w:r w:rsidRPr="00192507">
              <w:rPr>
                <w:color w:val="000000"/>
                <w:sz w:val="16"/>
                <w:szCs w:val="16"/>
              </w:rPr>
              <w:t>кабельные линии, прокладываемые путем горизонтального наклонного бурения, многожильные с резиновой или пластмассовой изоляцией сечением провода от 100 до 200 квадратных мм включительно с одним кабелем в траншее</w:t>
            </w:r>
          </w:p>
        </w:tc>
        <w:tc>
          <w:tcPr>
            <w:tcW w:w="696" w:type="pct"/>
            <w:vMerge w:val="restart"/>
            <w:shd w:val="clear" w:color="auto" w:fill="auto"/>
            <w:vAlign w:val="center"/>
            <w:hideMark/>
          </w:tcPr>
          <w:p w14:paraId="466E49C7" w14:textId="77777777" w:rsidR="008F3544" w:rsidRPr="00192507" w:rsidRDefault="008F3544" w:rsidP="0099088D">
            <w:pPr>
              <w:jc w:val="center"/>
              <w:rPr>
                <w:color w:val="000000"/>
                <w:sz w:val="16"/>
                <w:szCs w:val="16"/>
              </w:rPr>
            </w:pPr>
            <w:r w:rsidRPr="00192507">
              <w:rPr>
                <w:color w:val="000000"/>
                <w:sz w:val="16"/>
                <w:szCs w:val="16"/>
              </w:rPr>
              <w:t>рублей/км</w:t>
            </w:r>
          </w:p>
        </w:tc>
        <w:tc>
          <w:tcPr>
            <w:tcW w:w="602" w:type="pct"/>
            <w:shd w:val="clear" w:color="auto" w:fill="auto"/>
            <w:noWrap/>
            <w:vAlign w:val="center"/>
            <w:hideMark/>
          </w:tcPr>
          <w:p w14:paraId="1011243F" w14:textId="77777777" w:rsidR="008F3544" w:rsidRPr="00192507" w:rsidRDefault="008F3544" w:rsidP="0099088D">
            <w:pPr>
              <w:jc w:val="center"/>
              <w:rPr>
                <w:color w:val="000000"/>
                <w:sz w:val="16"/>
                <w:szCs w:val="16"/>
              </w:rPr>
            </w:pPr>
            <w:r w:rsidRPr="00192507">
              <w:rPr>
                <w:color w:val="000000"/>
                <w:sz w:val="16"/>
                <w:szCs w:val="16"/>
              </w:rPr>
              <w:t>6 421 725,17</w:t>
            </w:r>
          </w:p>
        </w:tc>
        <w:tc>
          <w:tcPr>
            <w:tcW w:w="603" w:type="pct"/>
            <w:shd w:val="clear" w:color="auto" w:fill="auto"/>
            <w:noWrap/>
            <w:vAlign w:val="center"/>
            <w:hideMark/>
          </w:tcPr>
          <w:p w14:paraId="7CA84D44" w14:textId="77777777" w:rsidR="008F3544" w:rsidRPr="00192507" w:rsidRDefault="008F3544" w:rsidP="0099088D">
            <w:pPr>
              <w:jc w:val="center"/>
              <w:rPr>
                <w:color w:val="000000"/>
                <w:sz w:val="16"/>
                <w:szCs w:val="16"/>
              </w:rPr>
            </w:pPr>
            <w:r w:rsidRPr="00192507">
              <w:rPr>
                <w:color w:val="000000"/>
                <w:sz w:val="16"/>
                <w:szCs w:val="16"/>
              </w:rPr>
              <w:t>5 407 661,49</w:t>
            </w:r>
          </w:p>
        </w:tc>
      </w:tr>
      <w:tr w:rsidR="008F3544" w:rsidRPr="00192507" w14:paraId="270CE0AA" w14:textId="77777777" w:rsidTr="0099088D">
        <w:trPr>
          <w:trHeight w:val="780"/>
        </w:trPr>
        <w:tc>
          <w:tcPr>
            <w:tcW w:w="672" w:type="pct"/>
            <w:vMerge/>
            <w:shd w:val="clear" w:color="auto" w:fill="auto"/>
            <w:vAlign w:val="center"/>
            <w:hideMark/>
          </w:tcPr>
          <w:p w14:paraId="74A5DE76" w14:textId="77777777" w:rsidR="008F3544" w:rsidRPr="00192507" w:rsidRDefault="008F3544" w:rsidP="0099088D">
            <w:pPr>
              <w:rPr>
                <w:color w:val="000000"/>
                <w:sz w:val="16"/>
                <w:szCs w:val="16"/>
              </w:rPr>
            </w:pPr>
          </w:p>
        </w:tc>
        <w:tc>
          <w:tcPr>
            <w:tcW w:w="902" w:type="pct"/>
            <w:shd w:val="clear" w:color="auto" w:fill="auto"/>
            <w:vAlign w:val="center"/>
            <w:hideMark/>
          </w:tcPr>
          <w:p w14:paraId="1A5445DD" w14:textId="77777777" w:rsidR="008F3544" w:rsidRPr="00BA2B27"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3.6.2.1.3.1.</m:t>
                    </m:r>
                  </m:sub>
                  <m:sup>
                    <m:r>
                      <m:rPr>
                        <m:nor/>
                      </m:rPr>
                      <w:rPr>
                        <w:color w:val="000000"/>
                      </w:rPr>
                      <m:t>1-10 кВ</m:t>
                    </m:r>
                  </m:sup>
                </m:sSubSup>
              </m:oMath>
            </m:oMathPara>
          </w:p>
        </w:tc>
        <w:tc>
          <w:tcPr>
            <w:tcW w:w="1525" w:type="pct"/>
            <w:vMerge/>
            <w:shd w:val="clear" w:color="auto" w:fill="auto"/>
            <w:vAlign w:val="center"/>
            <w:hideMark/>
          </w:tcPr>
          <w:p w14:paraId="2E08DF77" w14:textId="77777777" w:rsidR="008F3544" w:rsidRPr="00192507" w:rsidRDefault="008F3544" w:rsidP="0099088D">
            <w:pPr>
              <w:rPr>
                <w:color w:val="000000"/>
                <w:sz w:val="16"/>
                <w:szCs w:val="16"/>
              </w:rPr>
            </w:pPr>
          </w:p>
        </w:tc>
        <w:tc>
          <w:tcPr>
            <w:tcW w:w="696" w:type="pct"/>
            <w:vMerge/>
            <w:shd w:val="clear" w:color="auto" w:fill="auto"/>
            <w:vAlign w:val="center"/>
            <w:hideMark/>
          </w:tcPr>
          <w:p w14:paraId="2571AA34" w14:textId="77777777" w:rsidR="008F3544" w:rsidRPr="00192507" w:rsidRDefault="008F3544" w:rsidP="0099088D">
            <w:pPr>
              <w:rPr>
                <w:color w:val="000000"/>
                <w:sz w:val="16"/>
                <w:szCs w:val="16"/>
              </w:rPr>
            </w:pPr>
          </w:p>
        </w:tc>
        <w:tc>
          <w:tcPr>
            <w:tcW w:w="602" w:type="pct"/>
            <w:shd w:val="clear" w:color="auto" w:fill="auto"/>
            <w:noWrap/>
            <w:vAlign w:val="center"/>
            <w:hideMark/>
          </w:tcPr>
          <w:p w14:paraId="149B5BCB" w14:textId="77777777" w:rsidR="008F3544" w:rsidRPr="00192507" w:rsidRDefault="008F3544" w:rsidP="0099088D">
            <w:pPr>
              <w:jc w:val="center"/>
              <w:rPr>
                <w:color w:val="000000"/>
                <w:sz w:val="16"/>
                <w:szCs w:val="16"/>
              </w:rPr>
            </w:pPr>
            <w:r w:rsidRPr="00192507">
              <w:rPr>
                <w:color w:val="000000"/>
                <w:sz w:val="16"/>
                <w:szCs w:val="16"/>
              </w:rPr>
              <w:t>9 169 732,74</w:t>
            </w:r>
          </w:p>
        </w:tc>
        <w:tc>
          <w:tcPr>
            <w:tcW w:w="603" w:type="pct"/>
            <w:shd w:val="clear" w:color="auto" w:fill="auto"/>
            <w:noWrap/>
            <w:vAlign w:val="center"/>
            <w:hideMark/>
          </w:tcPr>
          <w:p w14:paraId="271D387D" w14:textId="77777777" w:rsidR="008F3544" w:rsidRPr="00192507" w:rsidRDefault="008F3544" w:rsidP="0099088D">
            <w:pPr>
              <w:jc w:val="center"/>
              <w:rPr>
                <w:color w:val="000000"/>
                <w:sz w:val="16"/>
                <w:szCs w:val="16"/>
              </w:rPr>
            </w:pPr>
            <w:r w:rsidRPr="00192507">
              <w:rPr>
                <w:color w:val="000000"/>
                <w:sz w:val="16"/>
                <w:szCs w:val="16"/>
              </w:rPr>
              <w:t>8 933 613,54</w:t>
            </w:r>
          </w:p>
        </w:tc>
      </w:tr>
      <w:tr w:rsidR="008F3544" w:rsidRPr="00192507" w14:paraId="28ECE894" w14:textId="77777777" w:rsidTr="0099088D">
        <w:trPr>
          <w:trHeight w:val="705"/>
        </w:trPr>
        <w:tc>
          <w:tcPr>
            <w:tcW w:w="672" w:type="pct"/>
            <w:vMerge w:val="restart"/>
            <w:shd w:val="clear" w:color="auto" w:fill="auto"/>
            <w:vAlign w:val="center"/>
            <w:hideMark/>
          </w:tcPr>
          <w:p w14:paraId="341397A6" w14:textId="77777777" w:rsidR="008F3544" w:rsidRPr="00192507" w:rsidRDefault="008F3544" w:rsidP="0099088D">
            <w:pPr>
              <w:jc w:val="center"/>
              <w:rPr>
                <w:color w:val="000000"/>
                <w:sz w:val="16"/>
                <w:szCs w:val="16"/>
              </w:rPr>
            </w:pPr>
            <w:r w:rsidRPr="00192507">
              <w:rPr>
                <w:color w:val="000000"/>
                <w:sz w:val="16"/>
                <w:szCs w:val="16"/>
              </w:rPr>
              <w:t>3.6.2.1.3.2.</w:t>
            </w:r>
          </w:p>
        </w:tc>
        <w:tc>
          <w:tcPr>
            <w:tcW w:w="902" w:type="pct"/>
            <w:shd w:val="clear" w:color="auto" w:fill="auto"/>
            <w:vAlign w:val="center"/>
            <w:hideMark/>
          </w:tcPr>
          <w:p w14:paraId="6EAD967D" w14:textId="77777777" w:rsidR="008F3544" w:rsidRPr="00BA2B27"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3.6.2.1.3.2.</m:t>
                    </m:r>
                  </m:sub>
                  <m:sup>
                    <m:r>
                      <m:rPr>
                        <m:nor/>
                      </m:rPr>
                      <w:rPr>
                        <w:color w:val="000000"/>
                      </w:rPr>
                      <m:t>0,4 кВ и ниже</m:t>
                    </m:r>
                  </m:sup>
                </m:sSubSup>
              </m:oMath>
            </m:oMathPara>
          </w:p>
        </w:tc>
        <w:tc>
          <w:tcPr>
            <w:tcW w:w="1525" w:type="pct"/>
            <w:vMerge w:val="restart"/>
            <w:shd w:val="clear" w:color="auto" w:fill="auto"/>
            <w:vAlign w:val="center"/>
            <w:hideMark/>
          </w:tcPr>
          <w:p w14:paraId="14733BCA" w14:textId="77777777" w:rsidR="008F3544" w:rsidRPr="00192507" w:rsidRDefault="008F3544" w:rsidP="0099088D">
            <w:pPr>
              <w:rPr>
                <w:color w:val="000000"/>
                <w:sz w:val="16"/>
                <w:szCs w:val="16"/>
              </w:rPr>
            </w:pPr>
            <w:r w:rsidRPr="00192507">
              <w:rPr>
                <w:color w:val="000000"/>
                <w:sz w:val="16"/>
                <w:szCs w:val="16"/>
              </w:rPr>
              <w:t>кабельные линии, прокладываемые путем горизонтального наклонного бурения, многожильные с резиновой или пластмассовой изоляцией сечением провода от 100 до 200 квадратных мм включительно с двумя кабелями в траншее</w:t>
            </w:r>
          </w:p>
        </w:tc>
        <w:tc>
          <w:tcPr>
            <w:tcW w:w="696" w:type="pct"/>
            <w:vMerge w:val="restart"/>
            <w:shd w:val="clear" w:color="auto" w:fill="auto"/>
            <w:vAlign w:val="center"/>
            <w:hideMark/>
          </w:tcPr>
          <w:p w14:paraId="23C969F5" w14:textId="77777777" w:rsidR="008F3544" w:rsidRPr="00192507" w:rsidRDefault="008F3544" w:rsidP="0099088D">
            <w:pPr>
              <w:jc w:val="center"/>
              <w:rPr>
                <w:color w:val="000000"/>
                <w:sz w:val="16"/>
                <w:szCs w:val="16"/>
              </w:rPr>
            </w:pPr>
            <w:r w:rsidRPr="00192507">
              <w:rPr>
                <w:color w:val="000000"/>
                <w:sz w:val="16"/>
                <w:szCs w:val="16"/>
              </w:rPr>
              <w:t>рублей/км</w:t>
            </w:r>
          </w:p>
        </w:tc>
        <w:tc>
          <w:tcPr>
            <w:tcW w:w="602" w:type="pct"/>
            <w:shd w:val="clear" w:color="auto" w:fill="auto"/>
            <w:noWrap/>
            <w:vAlign w:val="center"/>
            <w:hideMark/>
          </w:tcPr>
          <w:p w14:paraId="00F2B0FA" w14:textId="77777777" w:rsidR="008F3544" w:rsidRPr="00192507" w:rsidRDefault="008F3544" w:rsidP="0099088D">
            <w:pPr>
              <w:jc w:val="center"/>
              <w:rPr>
                <w:color w:val="000000"/>
                <w:sz w:val="16"/>
                <w:szCs w:val="16"/>
              </w:rPr>
            </w:pPr>
            <w:r w:rsidRPr="00192507">
              <w:rPr>
                <w:color w:val="000000"/>
                <w:sz w:val="16"/>
                <w:szCs w:val="16"/>
              </w:rPr>
              <w:t>11 409 838,88</w:t>
            </w:r>
          </w:p>
        </w:tc>
        <w:tc>
          <w:tcPr>
            <w:tcW w:w="603" w:type="pct"/>
            <w:shd w:val="clear" w:color="auto" w:fill="auto"/>
            <w:noWrap/>
            <w:vAlign w:val="center"/>
            <w:hideMark/>
          </w:tcPr>
          <w:p w14:paraId="797C198B" w14:textId="77777777" w:rsidR="008F3544" w:rsidRPr="00192507" w:rsidRDefault="008F3544" w:rsidP="0099088D">
            <w:pPr>
              <w:jc w:val="center"/>
              <w:rPr>
                <w:color w:val="000000"/>
                <w:sz w:val="16"/>
                <w:szCs w:val="16"/>
              </w:rPr>
            </w:pPr>
            <w:r>
              <w:rPr>
                <w:color w:val="000000"/>
                <w:sz w:val="16"/>
                <w:szCs w:val="16"/>
              </w:rPr>
              <w:t>-</w:t>
            </w:r>
          </w:p>
        </w:tc>
      </w:tr>
      <w:tr w:rsidR="008F3544" w:rsidRPr="00192507" w14:paraId="7A8E0C07" w14:textId="77777777" w:rsidTr="0099088D">
        <w:trPr>
          <w:trHeight w:val="705"/>
        </w:trPr>
        <w:tc>
          <w:tcPr>
            <w:tcW w:w="672" w:type="pct"/>
            <w:vMerge/>
            <w:shd w:val="clear" w:color="auto" w:fill="auto"/>
            <w:vAlign w:val="center"/>
            <w:hideMark/>
          </w:tcPr>
          <w:p w14:paraId="23A3372E" w14:textId="77777777" w:rsidR="008F3544" w:rsidRPr="00192507" w:rsidRDefault="008F3544" w:rsidP="0099088D">
            <w:pPr>
              <w:rPr>
                <w:color w:val="000000"/>
                <w:sz w:val="16"/>
                <w:szCs w:val="16"/>
              </w:rPr>
            </w:pPr>
          </w:p>
        </w:tc>
        <w:tc>
          <w:tcPr>
            <w:tcW w:w="902" w:type="pct"/>
            <w:shd w:val="clear" w:color="auto" w:fill="auto"/>
            <w:vAlign w:val="center"/>
            <w:hideMark/>
          </w:tcPr>
          <w:p w14:paraId="4788A924" w14:textId="77777777" w:rsidR="008F3544" w:rsidRPr="00BA2B27"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3.6.2.1.3.2.</m:t>
                    </m:r>
                  </m:sub>
                  <m:sup>
                    <m:r>
                      <m:rPr>
                        <m:nor/>
                      </m:rPr>
                      <w:rPr>
                        <w:color w:val="000000"/>
                      </w:rPr>
                      <m:t>1-10 кВ</m:t>
                    </m:r>
                  </m:sup>
                </m:sSubSup>
              </m:oMath>
            </m:oMathPara>
          </w:p>
        </w:tc>
        <w:tc>
          <w:tcPr>
            <w:tcW w:w="1525" w:type="pct"/>
            <w:vMerge/>
            <w:shd w:val="clear" w:color="auto" w:fill="auto"/>
            <w:vAlign w:val="center"/>
            <w:hideMark/>
          </w:tcPr>
          <w:p w14:paraId="60CDA437" w14:textId="77777777" w:rsidR="008F3544" w:rsidRPr="00192507" w:rsidRDefault="008F3544" w:rsidP="0099088D">
            <w:pPr>
              <w:rPr>
                <w:color w:val="000000"/>
                <w:sz w:val="16"/>
                <w:szCs w:val="16"/>
              </w:rPr>
            </w:pPr>
          </w:p>
        </w:tc>
        <w:tc>
          <w:tcPr>
            <w:tcW w:w="696" w:type="pct"/>
            <w:vMerge/>
            <w:shd w:val="clear" w:color="auto" w:fill="auto"/>
            <w:vAlign w:val="center"/>
            <w:hideMark/>
          </w:tcPr>
          <w:p w14:paraId="4C21BF86" w14:textId="77777777" w:rsidR="008F3544" w:rsidRPr="00192507" w:rsidRDefault="008F3544" w:rsidP="0099088D">
            <w:pPr>
              <w:rPr>
                <w:color w:val="000000"/>
                <w:sz w:val="16"/>
                <w:szCs w:val="16"/>
              </w:rPr>
            </w:pPr>
          </w:p>
        </w:tc>
        <w:tc>
          <w:tcPr>
            <w:tcW w:w="602" w:type="pct"/>
            <w:shd w:val="clear" w:color="auto" w:fill="auto"/>
            <w:noWrap/>
            <w:vAlign w:val="center"/>
            <w:hideMark/>
          </w:tcPr>
          <w:p w14:paraId="45BD66F3" w14:textId="77777777" w:rsidR="008F3544" w:rsidRPr="00192507" w:rsidRDefault="008F3544" w:rsidP="0099088D">
            <w:pPr>
              <w:jc w:val="center"/>
              <w:rPr>
                <w:color w:val="000000"/>
                <w:sz w:val="16"/>
                <w:szCs w:val="16"/>
              </w:rPr>
            </w:pPr>
            <w:r w:rsidRPr="00192507">
              <w:rPr>
                <w:color w:val="000000"/>
                <w:sz w:val="16"/>
                <w:szCs w:val="16"/>
              </w:rPr>
              <w:t>12 974 032,73</w:t>
            </w:r>
          </w:p>
        </w:tc>
        <w:tc>
          <w:tcPr>
            <w:tcW w:w="603" w:type="pct"/>
            <w:shd w:val="clear" w:color="auto" w:fill="auto"/>
            <w:noWrap/>
            <w:vAlign w:val="center"/>
            <w:hideMark/>
          </w:tcPr>
          <w:p w14:paraId="0E234801" w14:textId="77777777" w:rsidR="008F3544" w:rsidRPr="00192507" w:rsidRDefault="008F3544" w:rsidP="0099088D">
            <w:pPr>
              <w:jc w:val="center"/>
              <w:rPr>
                <w:color w:val="000000"/>
                <w:sz w:val="16"/>
                <w:szCs w:val="16"/>
              </w:rPr>
            </w:pPr>
            <w:r w:rsidRPr="00192507">
              <w:rPr>
                <w:color w:val="000000"/>
                <w:sz w:val="16"/>
                <w:szCs w:val="16"/>
              </w:rPr>
              <w:t>12 713 622,84</w:t>
            </w:r>
          </w:p>
        </w:tc>
      </w:tr>
      <w:tr w:rsidR="008F3544" w:rsidRPr="00192507" w14:paraId="05C81C04" w14:textId="77777777" w:rsidTr="0099088D">
        <w:trPr>
          <w:trHeight w:val="705"/>
        </w:trPr>
        <w:tc>
          <w:tcPr>
            <w:tcW w:w="672" w:type="pct"/>
            <w:vMerge w:val="restart"/>
            <w:shd w:val="clear" w:color="auto" w:fill="auto"/>
            <w:vAlign w:val="center"/>
            <w:hideMark/>
          </w:tcPr>
          <w:p w14:paraId="36705531" w14:textId="77777777" w:rsidR="008F3544" w:rsidRPr="00192507" w:rsidRDefault="008F3544" w:rsidP="0099088D">
            <w:pPr>
              <w:jc w:val="center"/>
              <w:rPr>
                <w:color w:val="000000"/>
                <w:sz w:val="16"/>
                <w:szCs w:val="16"/>
              </w:rPr>
            </w:pPr>
            <w:r w:rsidRPr="00192507">
              <w:rPr>
                <w:color w:val="000000"/>
                <w:sz w:val="16"/>
                <w:szCs w:val="16"/>
              </w:rPr>
              <w:t>3.6.2.1.4.1.</w:t>
            </w:r>
          </w:p>
        </w:tc>
        <w:tc>
          <w:tcPr>
            <w:tcW w:w="902" w:type="pct"/>
            <w:shd w:val="clear" w:color="auto" w:fill="auto"/>
            <w:vAlign w:val="center"/>
            <w:hideMark/>
          </w:tcPr>
          <w:p w14:paraId="0E80FAF7" w14:textId="77777777" w:rsidR="008F3544" w:rsidRPr="00BA2B27"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3.6.2.1.4.1.</m:t>
                    </m:r>
                  </m:sub>
                  <m:sup>
                    <m:r>
                      <m:rPr>
                        <m:nor/>
                      </m:rPr>
                      <w:rPr>
                        <w:color w:val="000000"/>
                      </w:rPr>
                      <m:t>0,4 кВ и ниже</m:t>
                    </m:r>
                  </m:sup>
                </m:sSubSup>
              </m:oMath>
            </m:oMathPara>
          </w:p>
        </w:tc>
        <w:tc>
          <w:tcPr>
            <w:tcW w:w="1525" w:type="pct"/>
            <w:vMerge w:val="restart"/>
            <w:shd w:val="clear" w:color="auto" w:fill="auto"/>
            <w:vAlign w:val="center"/>
            <w:hideMark/>
          </w:tcPr>
          <w:p w14:paraId="0528981F" w14:textId="77777777" w:rsidR="008F3544" w:rsidRPr="00192507" w:rsidRDefault="008F3544" w:rsidP="0099088D">
            <w:pPr>
              <w:rPr>
                <w:color w:val="000000"/>
                <w:sz w:val="16"/>
                <w:szCs w:val="16"/>
              </w:rPr>
            </w:pPr>
            <w:r w:rsidRPr="00192507">
              <w:rPr>
                <w:color w:val="000000"/>
                <w:sz w:val="16"/>
                <w:szCs w:val="16"/>
              </w:rPr>
              <w:t>кабельные линии, прокладываемые путем горизонтального наклонного бурения, многожильные с резиновой или пластмассовой изоляцией сечением провода от 200 до 250 квадратных мм включительно с одним кабелем в траншее</w:t>
            </w:r>
          </w:p>
        </w:tc>
        <w:tc>
          <w:tcPr>
            <w:tcW w:w="696" w:type="pct"/>
            <w:vMerge w:val="restart"/>
            <w:shd w:val="clear" w:color="auto" w:fill="auto"/>
            <w:vAlign w:val="center"/>
            <w:hideMark/>
          </w:tcPr>
          <w:p w14:paraId="01608E32" w14:textId="77777777" w:rsidR="008F3544" w:rsidRPr="00192507" w:rsidRDefault="008F3544" w:rsidP="0099088D">
            <w:pPr>
              <w:jc w:val="center"/>
              <w:rPr>
                <w:color w:val="000000"/>
                <w:sz w:val="16"/>
                <w:szCs w:val="16"/>
              </w:rPr>
            </w:pPr>
            <w:r w:rsidRPr="00192507">
              <w:rPr>
                <w:color w:val="000000"/>
                <w:sz w:val="16"/>
                <w:szCs w:val="16"/>
              </w:rPr>
              <w:t>рублей/км</w:t>
            </w:r>
          </w:p>
        </w:tc>
        <w:tc>
          <w:tcPr>
            <w:tcW w:w="602" w:type="pct"/>
            <w:shd w:val="clear" w:color="auto" w:fill="auto"/>
            <w:noWrap/>
            <w:vAlign w:val="center"/>
            <w:hideMark/>
          </w:tcPr>
          <w:p w14:paraId="703BB8BA" w14:textId="77777777" w:rsidR="008F3544" w:rsidRPr="00192507" w:rsidRDefault="008F3544" w:rsidP="0099088D">
            <w:pPr>
              <w:jc w:val="center"/>
              <w:rPr>
                <w:color w:val="000000"/>
                <w:sz w:val="16"/>
                <w:szCs w:val="16"/>
              </w:rPr>
            </w:pPr>
            <w:r w:rsidRPr="00192507">
              <w:rPr>
                <w:color w:val="000000"/>
                <w:sz w:val="16"/>
                <w:szCs w:val="16"/>
              </w:rPr>
              <w:t>9 730 669,62</w:t>
            </w:r>
          </w:p>
        </w:tc>
        <w:tc>
          <w:tcPr>
            <w:tcW w:w="603" w:type="pct"/>
            <w:shd w:val="clear" w:color="auto" w:fill="auto"/>
            <w:noWrap/>
            <w:vAlign w:val="center"/>
            <w:hideMark/>
          </w:tcPr>
          <w:p w14:paraId="3E2AA9FD" w14:textId="77777777" w:rsidR="008F3544" w:rsidRPr="00192507" w:rsidRDefault="008F3544" w:rsidP="0099088D">
            <w:pPr>
              <w:jc w:val="center"/>
              <w:rPr>
                <w:color w:val="000000"/>
                <w:sz w:val="16"/>
                <w:szCs w:val="16"/>
              </w:rPr>
            </w:pPr>
            <w:r w:rsidRPr="00192507">
              <w:rPr>
                <w:color w:val="000000"/>
                <w:sz w:val="16"/>
                <w:szCs w:val="16"/>
              </w:rPr>
              <w:t>7 414 396,42</w:t>
            </w:r>
          </w:p>
        </w:tc>
      </w:tr>
      <w:tr w:rsidR="008F3544" w:rsidRPr="00192507" w14:paraId="5F85F03A" w14:textId="77777777" w:rsidTr="0099088D">
        <w:trPr>
          <w:trHeight w:val="705"/>
        </w:trPr>
        <w:tc>
          <w:tcPr>
            <w:tcW w:w="672" w:type="pct"/>
            <w:vMerge/>
            <w:shd w:val="clear" w:color="auto" w:fill="auto"/>
            <w:vAlign w:val="center"/>
            <w:hideMark/>
          </w:tcPr>
          <w:p w14:paraId="68E77568" w14:textId="77777777" w:rsidR="008F3544" w:rsidRPr="00192507" w:rsidRDefault="008F3544" w:rsidP="0099088D">
            <w:pPr>
              <w:rPr>
                <w:color w:val="000000"/>
                <w:sz w:val="16"/>
                <w:szCs w:val="16"/>
              </w:rPr>
            </w:pPr>
          </w:p>
        </w:tc>
        <w:tc>
          <w:tcPr>
            <w:tcW w:w="902" w:type="pct"/>
            <w:shd w:val="clear" w:color="auto" w:fill="auto"/>
            <w:vAlign w:val="center"/>
            <w:hideMark/>
          </w:tcPr>
          <w:p w14:paraId="128FFA37" w14:textId="77777777" w:rsidR="008F3544" w:rsidRPr="00BA2B27"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3.6.2.1.4.1.</m:t>
                    </m:r>
                  </m:sub>
                  <m:sup>
                    <m:r>
                      <m:rPr>
                        <m:nor/>
                      </m:rPr>
                      <w:rPr>
                        <w:color w:val="000000"/>
                      </w:rPr>
                      <m:t>1-10 кВ</m:t>
                    </m:r>
                  </m:sup>
                </m:sSubSup>
              </m:oMath>
            </m:oMathPara>
          </w:p>
        </w:tc>
        <w:tc>
          <w:tcPr>
            <w:tcW w:w="1525" w:type="pct"/>
            <w:vMerge/>
            <w:shd w:val="clear" w:color="auto" w:fill="auto"/>
            <w:vAlign w:val="center"/>
            <w:hideMark/>
          </w:tcPr>
          <w:p w14:paraId="387EC4E1" w14:textId="77777777" w:rsidR="008F3544" w:rsidRPr="00192507" w:rsidRDefault="008F3544" w:rsidP="0099088D">
            <w:pPr>
              <w:rPr>
                <w:color w:val="000000"/>
                <w:sz w:val="16"/>
                <w:szCs w:val="16"/>
              </w:rPr>
            </w:pPr>
          </w:p>
        </w:tc>
        <w:tc>
          <w:tcPr>
            <w:tcW w:w="696" w:type="pct"/>
            <w:vMerge/>
            <w:shd w:val="clear" w:color="auto" w:fill="auto"/>
            <w:vAlign w:val="center"/>
            <w:hideMark/>
          </w:tcPr>
          <w:p w14:paraId="7253CEB7" w14:textId="77777777" w:rsidR="008F3544" w:rsidRPr="00192507" w:rsidRDefault="008F3544" w:rsidP="0099088D">
            <w:pPr>
              <w:rPr>
                <w:color w:val="000000"/>
                <w:sz w:val="16"/>
                <w:szCs w:val="16"/>
              </w:rPr>
            </w:pPr>
          </w:p>
        </w:tc>
        <w:tc>
          <w:tcPr>
            <w:tcW w:w="602" w:type="pct"/>
            <w:shd w:val="clear" w:color="auto" w:fill="auto"/>
            <w:noWrap/>
            <w:vAlign w:val="center"/>
            <w:hideMark/>
          </w:tcPr>
          <w:p w14:paraId="142E40AA" w14:textId="77777777" w:rsidR="008F3544" w:rsidRPr="00192507" w:rsidRDefault="008F3544" w:rsidP="0099088D">
            <w:pPr>
              <w:jc w:val="center"/>
              <w:rPr>
                <w:color w:val="000000"/>
                <w:sz w:val="16"/>
                <w:szCs w:val="16"/>
              </w:rPr>
            </w:pPr>
            <w:r w:rsidRPr="00192507">
              <w:rPr>
                <w:color w:val="000000"/>
                <w:sz w:val="16"/>
                <w:szCs w:val="16"/>
              </w:rPr>
              <w:t>9 890 788,97</w:t>
            </w:r>
          </w:p>
        </w:tc>
        <w:tc>
          <w:tcPr>
            <w:tcW w:w="603" w:type="pct"/>
            <w:shd w:val="clear" w:color="auto" w:fill="auto"/>
            <w:noWrap/>
            <w:vAlign w:val="center"/>
            <w:hideMark/>
          </w:tcPr>
          <w:p w14:paraId="4D7368BD" w14:textId="77777777" w:rsidR="008F3544" w:rsidRPr="00192507" w:rsidRDefault="008F3544" w:rsidP="0099088D">
            <w:pPr>
              <w:jc w:val="center"/>
              <w:rPr>
                <w:color w:val="000000"/>
                <w:sz w:val="16"/>
                <w:szCs w:val="16"/>
              </w:rPr>
            </w:pPr>
            <w:r w:rsidRPr="00192507">
              <w:rPr>
                <w:color w:val="000000"/>
                <w:sz w:val="16"/>
                <w:szCs w:val="16"/>
              </w:rPr>
              <w:t>9 533 826,28</w:t>
            </w:r>
          </w:p>
        </w:tc>
      </w:tr>
      <w:tr w:rsidR="008F3544" w:rsidRPr="00192507" w14:paraId="0FE33B4B" w14:textId="77777777" w:rsidTr="0099088D">
        <w:trPr>
          <w:trHeight w:val="1395"/>
        </w:trPr>
        <w:tc>
          <w:tcPr>
            <w:tcW w:w="672" w:type="pct"/>
            <w:shd w:val="clear" w:color="auto" w:fill="auto"/>
            <w:vAlign w:val="center"/>
            <w:hideMark/>
          </w:tcPr>
          <w:p w14:paraId="305DCB8B" w14:textId="77777777" w:rsidR="008F3544" w:rsidRPr="00192507" w:rsidRDefault="008F3544" w:rsidP="0099088D">
            <w:pPr>
              <w:jc w:val="center"/>
              <w:rPr>
                <w:color w:val="000000"/>
                <w:sz w:val="16"/>
                <w:szCs w:val="16"/>
              </w:rPr>
            </w:pPr>
            <w:r w:rsidRPr="00192507">
              <w:rPr>
                <w:color w:val="000000"/>
                <w:sz w:val="16"/>
                <w:szCs w:val="16"/>
              </w:rPr>
              <w:t>3.6.2.1.4.2.</w:t>
            </w:r>
          </w:p>
        </w:tc>
        <w:tc>
          <w:tcPr>
            <w:tcW w:w="902" w:type="pct"/>
            <w:shd w:val="clear" w:color="auto" w:fill="auto"/>
            <w:vAlign w:val="center"/>
            <w:hideMark/>
          </w:tcPr>
          <w:p w14:paraId="1956719C" w14:textId="77777777" w:rsidR="008F3544" w:rsidRPr="00BA2B27"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3.6.2.1.4.2.</m:t>
                    </m:r>
                  </m:sub>
                  <m:sup>
                    <m:r>
                      <m:rPr>
                        <m:nor/>
                      </m:rPr>
                      <w:rPr>
                        <w:color w:val="000000"/>
                      </w:rPr>
                      <m:t>0,4 кВ и ниже</m:t>
                    </m:r>
                  </m:sup>
                </m:sSubSup>
              </m:oMath>
            </m:oMathPara>
          </w:p>
        </w:tc>
        <w:tc>
          <w:tcPr>
            <w:tcW w:w="1525" w:type="pct"/>
            <w:shd w:val="clear" w:color="auto" w:fill="auto"/>
            <w:vAlign w:val="center"/>
            <w:hideMark/>
          </w:tcPr>
          <w:p w14:paraId="2451268B" w14:textId="77777777" w:rsidR="008F3544" w:rsidRPr="00192507" w:rsidRDefault="008F3544" w:rsidP="0099088D">
            <w:pPr>
              <w:rPr>
                <w:color w:val="000000"/>
                <w:sz w:val="16"/>
                <w:szCs w:val="16"/>
              </w:rPr>
            </w:pPr>
            <w:r w:rsidRPr="00192507">
              <w:rPr>
                <w:color w:val="000000"/>
                <w:sz w:val="16"/>
                <w:szCs w:val="16"/>
              </w:rPr>
              <w:t>кабельные линии, прокладываемые путем горизонтального наклонного бурения, многожильные с резиновой или пластмассовой изоляцией сечением провода от 200 до 250 квадратных мм включительно с двумя кабелями в траншее</w:t>
            </w:r>
          </w:p>
        </w:tc>
        <w:tc>
          <w:tcPr>
            <w:tcW w:w="696" w:type="pct"/>
            <w:shd w:val="clear" w:color="auto" w:fill="auto"/>
            <w:vAlign w:val="center"/>
            <w:hideMark/>
          </w:tcPr>
          <w:p w14:paraId="5840772A" w14:textId="77777777" w:rsidR="008F3544" w:rsidRPr="00192507" w:rsidRDefault="008F3544" w:rsidP="0099088D">
            <w:pPr>
              <w:jc w:val="center"/>
              <w:rPr>
                <w:color w:val="000000"/>
                <w:sz w:val="16"/>
                <w:szCs w:val="16"/>
              </w:rPr>
            </w:pPr>
            <w:r w:rsidRPr="00192507">
              <w:rPr>
                <w:color w:val="000000"/>
                <w:sz w:val="16"/>
                <w:szCs w:val="16"/>
              </w:rPr>
              <w:t>рублей/км</w:t>
            </w:r>
          </w:p>
        </w:tc>
        <w:tc>
          <w:tcPr>
            <w:tcW w:w="602" w:type="pct"/>
            <w:shd w:val="clear" w:color="auto" w:fill="auto"/>
            <w:noWrap/>
            <w:vAlign w:val="center"/>
            <w:hideMark/>
          </w:tcPr>
          <w:p w14:paraId="3C2869D7" w14:textId="77777777" w:rsidR="008F3544" w:rsidRPr="00192507" w:rsidRDefault="008F3544" w:rsidP="0099088D">
            <w:pPr>
              <w:jc w:val="center"/>
              <w:rPr>
                <w:color w:val="000000"/>
                <w:sz w:val="16"/>
                <w:szCs w:val="16"/>
              </w:rPr>
            </w:pPr>
            <w:r w:rsidRPr="00192507">
              <w:rPr>
                <w:color w:val="000000"/>
                <w:sz w:val="16"/>
                <w:szCs w:val="16"/>
              </w:rPr>
              <w:t>11 817 662,06</w:t>
            </w:r>
          </w:p>
        </w:tc>
        <w:tc>
          <w:tcPr>
            <w:tcW w:w="603" w:type="pct"/>
            <w:shd w:val="clear" w:color="auto" w:fill="auto"/>
            <w:noWrap/>
            <w:vAlign w:val="center"/>
            <w:hideMark/>
          </w:tcPr>
          <w:p w14:paraId="75711FF0" w14:textId="77777777" w:rsidR="008F3544" w:rsidRPr="00192507" w:rsidRDefault="008F3544" w:rsidP="0099088D">
            <w:pPr>
              <w:jc w:val="center"/>
              <w:rPr>
                <w:color w:val="000000"/>
                <w:sz w:val="16"/>
                <w:szCs w:val="16"/>
              </w:rPr>
            </w:pPr>
            <w:r>
              <w:rPr>
                <w:color w:val="000000"/>
                <w:sz w:val="16"/>
                <w:szCs w:val="16"/>
              </w:rPr>
              <w:t>-</w:t>
            </w:r>
          </w:p>
        </w:tc>
      </w:tr>
      <w:tr w:rsidR="008F3544" w:rsidRPr="00192507" w14:paraId="7C69AEFD" w14:textId="77777777" w:rsidTr="0099088D">
        <w:trPr>
          <w:trHeight w:val="1125"/>
        </w:trPr>
        <w:tc>
          <w:tcPr>
            <w:tcW w:w="672" w:type="pct"/>
            <w:shd w:val="clear" w:color="auto" w:fill="auto"/>
            <w:vAlign w:val="center"/>
            <w:hideMark/>
          </w:tcPr>
          <w:p w14:paraId="1B665E87" w14:textId="77777777" w:rsidR="008F3544" w:rsidRPr="00192507" w:rsidRDefault="008F3544" w:rsidP="0099088D">
            <w:pPr>
              <w:jc w:val="center"/>
              <w:rPr>
                <w:color w:val="000000"/>
                <w:sz w:val="16"/>
                <w:szCs w:val="16"/>
              </w:rPr>
            </w:pPr>
            <w:r w:rsidRPr="00192507">
              <w:rPr>
                <w:color w:val="000000"/>
                <w:sz w:val="16"/>
                <w:szCs w:val="16"/>
              </w:rPr>
              <w:t>3.6.2.2.3.2.</w:t>
            </w:r>
          </w:p>
        </w:tc>
        <w:tc>
          <w:tcPr>
            <w:tcW w:w="902" w:type="pct"/>
            <w:shd w:val="clear" w:color="auto" w:fill="auto"/>
            <w:vAlign w:val="center"/>
            <w:hideMark/>
          </w:tcPr>
          <w:p w14:paraId="41450FF3" w14:textId="77777777" w:rsidR="008F3544" w:rsidRPr="00837C96"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3.6.2.2.3.2.</m:t>
                    </m:r>
                  </m:sub>
                  <m:sup>
                    <m:r>
                      <m:rPr>
                        <m:nor/>
                      </m:rPr>
                      <w:rPr>
                        <w:color w:val="000000"/>
                      </w:rPr>
                      <m:t>1-10 кВ</m:t>
                    </m:r>
                  </m:sup>
                </m:sSubSup>
              </m:oMath>
            </m:oMathPara>
          </w:p>
        </w:tc>
        <w:tc>
          <w:tcPr>
            <w:tcW w:w="1525" w:type="pct"/>
            <w:shd w:val="clear" w:color="auto" w:fill="auto"/>
            <w:vAlign w:val="center"/>
            <w:hideMark/>
          </w:tcPr>
          <w:p w14:paraId="1181ABE1" w14:textId="77777777" w:rsidR="008F3544" w:rsidRPr="00192507" w:rsidRDefault="008F3544" w:rsidP="0099088D">
            <w:pPr>
              <w:rPr>
                <w:color w:val="000000"/>
                <w:sz w:val="16"/>
                <w:szCs w:val="16"/>
              </w:rPr>
            </w:pPr>
            <w:r w:rsidRPr="00192507">
              <w:rPr>
                <w:color w:val="000000"/>
                <w:sz w:val="16"/>
                <w:szCs w:val="16"/>
              </w:rPr>
              <w:t>кабельные линии, прокладываемые путем горизонтального наклонного бурения, многожильные с бумажной изоляцией сечением провода от 100 до 200 квадратных мм включительно с двумя кабелями в траншее</w:t>
            </w:r>
          </w:p>
        </w:tc>
        <w:tc>
          <w:tcPr>
            <w:tcW w:w="696" w:type="pct"/>
            <w:shd w:val="clear" w:color="auto" w:fill="auto"/>
            <w:vAlign w:val="center"/>
            <w:hideMark/>
          </w:tcPr>
          <w:p w14:paraId="36AB9EF8" w14:textId="77777777" w:rsidR="008F3544" w:rsidRPr="00192507" w:rsidRDefault="008F3544" w:rsidP="0099088D">
            <w:pPr>
              <w:jc w:val="center"/>
              <w:rPr>
                <w:color w:val="000000"/>
                <w:sz w:val="16"/>
                <w:szCs w:val="16"/>
              </w:rPr>
            </w:pPr>
            <w:r w:rsidRPr="00192507">
              <w:rPr>
                <w:color w:val="000000"/>
                <w:sz w:val="16"/>
                <w:szCs w:val="16"/>
              </w:rPr>
              <w:t>рублей/км</w:t>
            </w:r>
          </w:p>
        </w:tc>
        <w:tc>
          <w:tcPr>
            <w:tcW w:w="602" w:type="pct"/>
            <w:shd w:val="clear" w:color="auto" w:fill="auto"/>
            <w:noWrap/>
            <w:vAlign w:val="center"/>
            <w:hideMark/>
          </w:tcPr>
          <w:p w14:paraId="70FE6DD4" w14:textId="77777777" w:rsidR="008F3544" w:rsidRPr="00192507" w:rsidRDefault="008F3544" w:rsidP="0099088D">
            <w:pPr>
              <w:jc w:val="center"/>
              <w:rPr>
                <w:color w:val="000000"/>
                <w:sz w:val="16"/>
                <w:szCs w:val="16"/>
              </w:rPr>
            </w:pPr>
            <w:r w:rsidRPr="00192507">
              <w:rPr>
                <w:color w:val="000000"/>
                <w:sz w:val="16"/>
                <w:szCs w:val="16"/>
              </w:rPr>
              <w:t>13 070 393,66</w:t>
            </w:r>
          </w:p>
        </w:tc>
        <w:tc>
          <w:tcPr>
            <w:tcW w:w="603" w:type="pct"/>
            <w:shd w:val="clear" w:color="auto" w:fill="auto"/>
            <w:noWrap/>
            <w:vAlign w:val="center"/>
            <w:hideMark/>
          </w:tcPr>
          <w:p w14:paraId="6BC840C5" w14:textId="77777777" w:rsidR="008F3544" w:rsidRPr="00192507" w:rsidRDefault="008F3544" w:rsidP="0099088D">
            <w:pPr>
              <w:jc w:val="center"/>
              <w:rPr>
                <w:color w:val="000000"/>
                <w:sz w:val="16"/>
                <w:szCs w:val="16"/>
              </w:rPr>
            </w:pPr>
            <w:r>
              <w:rPr>
                <w:color w:val="000000"/>
                <w:sz w:val="16"/>
                <w:szCs w:val="16"/>
              </w:rPr>
              <w:t>-</w:t>
            </w:r>
          </w:p>
        </w:tc>
      </w:tr>
      <w:tr w:rsidR="008F3544" w:rsidRPr="00192507" w14:paraId="49A3B35F" w14:textId="77777777" w:rsidTr="0099088D">
        <w:trPr>
          <w:trHeight w:val="1125"/>
        </w:trPr>
        <w:tc>
          <w:tcPr>
            <w:tcW w:w="672" w:type="pct"/>
            <w:shd w:val="clear" w:color="auto" w:fill="auto"/>
            <w:vAlign w:val="center"/>
            <w:hideMark/>
          </w:tcPr>
          <w:p w14:paraId="7D6B0FA0" w14:textId="77777777" w:rsidR="008F3544" w:rsidRPr="00192507" w:rsidRDefault="008F3544" w:rsidP="0099088D">
            <w:pPr>
              <w:jc w:val="center"/>
              <w:rPr>
                <w:color w:val="000000"/>
                <w:sz w:val="16"/>
                <w:szCs w:val="16"/>
              </w:rPr>
            </w:pPr>
            <w:r w:rsidRPr="00192507">
              <w:rPr>
                <w:color w:val="000000"/>
                <w:sz w:val="16"/>
                <w:szCs w:val="16"/>
              </w:rPr>
              <w:t>3.6.2.2.4.2.</w:t>
            </w:r>
          </w:p>
        </w:tc>
        <w:tc>
          <w:tcPr>
            <w:tcW w:w="902" w:type="pct"/>
            <w:shd w:val="clear" w:color="auto" w:fill="auto"/>
            <w:vAlign w:val="center"/>
            <w:hideMark/>
          </w:tcPr>
          <w:p w14:paraId="0F4366BD" w14:textId="77777777" w:rsidR="008F3544" w:rsidRPr="00837C96"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3.6.2.2.4.2.</m:t>
                    </m:r>
                  </m:sub>
                  <m:sup>
                    <m:r>
                      <m:rPr>
                        <m:nor/>
                      </m:rPr>
                      <w:rPr>
                        <w:color w:val="000000"/>
                      </w:rPr>
                      <m:t>1-10 кВ</m:t>
                    </m:r>
                  </m:sup>
                </m:sSubSup>
              </m:oMath>
            </m:oMathPara>
          </w:p>
        </w:tc>
        <w:tc>
          <w:tcPr>
            <w:tcW w:w="1525" w:type="pct"/>
            <w:shd w:val="clear" w:color="auto" w:fill="auto"/>
            <w:vAlign w:val="center"/>
            <w:hideMark/>
          </w:tcPr>
          <w:p w14:paraId="27C90CA5" w14:textId="77777777" w:rsidR="008F3544" w:rsidRPr="00192507" w:rsidRDefault="008F3544" w:rsidP="0099088D">
            <w:pPr>
              <w:rPr>
                <w:color w:val="000000"/>
                <w:sz w:val="16"/>
                <w:szCs w:val="16"/>
              </w:rPr>
            </w:pPr>
            <w:r w:rsidRPr="00192507">
              <w:rPr>
                <w:color w:val="000000"/>
                <w:sz w:val="16"/>
                <w:szCs w:val="16"/>
              </w:rPr>
              <w:t>кабельные линии, прокладываемые путем горизонтального наклонного бурения, многожильные с бумажной изоляцией сечением провода от 200 до 250 квадратных мм включительно</w:t>
            </w:r>
          </w:p>
        </w:tc>
        <w:tc>
          <w:tcPr>
            <w:tcW w:w="696" w:type="pct"/>
            <w:shd w:val="clear" w:color="auto" w:fill="auto"/>
            <w:vAlign w:val="center"/>
            <w:hideMark/>
          </w:tcPr>
          <w:p w14:paraId="66F6E151" w14:textId="77777777" w:rsidR="008F3544" w:rsidRPr="00192507" w:rsidRDefault="008F3544" w:rsidP="0099088D">
            <w:pPr>
              <w:jc w:val="center"/>
              <w:rPr>
                <w:color w:val="000000"/>
                <w:sz w:val="16"/>
                <w:szCs w:val="16"/>
              </w:rPr>
            </w:pPr>
            <w:r w:rsidRPr="00192507">
              <w:rPr>
                <w:color w:val="000000"/>
                <w:sz w:val="16"/>
                <w:szCs w:val="16"/>
              </w:rPr>
              <w:t>рублей/км</w:t>
            </w:r>
          </w:p>
        </w:tc>
        <w:tc>
          <w:tcPr>
            <w:tcW w:w="602" w:type="pct"/>
            <w:shd w:val="clear" w:color="auto" w:fill="auto"/>
            <w:noWrap/>
            <w:vAlign w:val="center"/>
            <w:hideMark/>
          </w:tcPr>
          <w:p w14:paraId="282ED64A" w14:textId="77777777" w:rsidR="008F3544" w:rsidRPr="00192507" w:rsidRDefault="008F3544" w:rsidP="0099088D">
            <w:pPr>
              <w:jc w:val="center"/>
              <w:rPr>
                <w:color w:val="000000"/>
                <w:sz w:val="16"/>
                <w:szCs w:val="16"/>
              </w:rPr>
            </w:pPr>
            <w:r w:rsidRPr="00192507">
              <w:rPr>
                <w:color w:val="000000"/>
                <w:sz w:val="16"/>
                <w:szCs w:val="16"/>
              </w:rPr>
              <w:t>13 188 805,63</w:t>
            </w:r>
          </w:p>
        </w:tc>
        <w:tc>
          <w:tcPr>
            <w:tcW w:w="603" w:type="pct"/>
            <w:shd w:val="clear" w:color="auto" w:fill="auto"/>
            <w:noWrap/>
            <w:vAlign w:val="center"/>
            <w:hideMark/>
          </w:tcPr>
          <w:p w14:paraId="27DFA402" w14:textId="77777777" w:rsidR="008F3544" w:rsidRPr="00192507" w:rsidRDefault="008F3544" w:rsidP="0099088D">
            <w:pPr>
              <w:jc w:val="center"/>
              <w:rPr>
                <w:color w:val="000000"/>
                <w:sz w:val="16"/>
                <w:szCs w:val="16"/>
              </w:rPr>
            </w:pPr>
            <w:r>
              <w:rPr>
                <w:color w:val="000000"/>
                <w:sz w:val="16"/>
                <w:szCs w:val="16"/>
              </w:rPr>
              <w:t>-</w:t>
            </w:r>
          </w:p>
        </w:tc>
      </w:tr>
      <w:tr w:rsidR="008F3544" w:rsidRPr="00192507" w14:paraId="469061AF" w14:textId="77777777" w:rsidTr="0099088D">
        <w:trPr>
          <w:trHeight w:val="450"/>
        </w:trPr>
        <w:tc>
          <w:tcPr>
            <w:tcW w:w="672" w:type="pct"/>
            <w:shd w:val="clear" w:color="auto" w:fill="auto"/>
            <w:vAlign w:val="center"/>
            <w:hideMark/>
          </w:tcPr>
          <w:p w14:paraId="28252AC4" w14:textId="77777777" w:rsidR="008F3544" w:rsidRPr="00192507" w:rsidRDefault="008F3544" w:rsidP="0099088D">
            <w:pPr>
              <w:jc w:val="center"/>
              <w:rPr>
                <w:color w:val="000000"/>
                <w:sz w:val="16"/>
                <w:szCs w:val="16"/>
              </w:rPr>
            </w:pPr>
            <w:r w:rsidRPr="00192507">
              <w:rPr>
                <w:color w:val="000000"/>
                <w:sz w:val="16"/>
                <w:szCs w:val="16"/>
              </w:rPr>
              <w:t>4.1.1</w:t>
            </w:r>
            <w:r>
              <w:rPr>
                <w:color w:val="000000"/>
                <w:sz w:val="16"/>
                <w:szCs w:val="16"/>
              </w:rPr>
              <w:t>.</w:t>
            </w:r>
          </w:p>
        </w:tc>
        <w:tc>
          <w:tcPr>
            <w:tcW w:w="902" w:type="pct"/>
            <w:shd w:val="clear" w:color="auto" w:fill="auto"/>
            <w:vAlign w:val="center"/>
            <w:hideMark/>
          </w:tcPr>
          <w:p w14:paraId="34E66038" w14:textId="77777777" w:rsidR="008F3544" w:rsidRPr="00420FA8"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4.1.1</m:t>
                    </m:r>
                    <m:r>
                      <m:rPr>
                        <m:nor/>
                      </m:rPr>
                      <w:rPr>
                        <w:rFonts w:ascii="Cambria Math"/>
                        <w:color w:val="000000"/>
                      </w:rPr>
                      <m:t>.</m:t>
                    </m:r>
                  </m:sub>
                  <m:sup>
                    <m:r>
                      <m:rPr>
                        <m:nor/>
                      </m:rPr>
                      <w:rPr>
                        <w:color w:val="000000"/>
                      </w:rPr>
                      <m:t>1-20 кВ</m:t>
                    </m:r>
                  </m:sup>
                </m:sSubSup>
              </m:oMath>
            </m:oMathPara>
          </w:p>
        </w:tc>
        <w:tc>
          <w:tcPr>
            <w:tcW w:w="1525" w:type="pct"/>
            <w:shd w:val="clear" w:color="auto" w:fill="auto"/>
            <w:vAlign w:val="center"/>
            <w:hideMark/>
          </w:tcPr>
          <w:p w14:paraId="050614F8" w14:textId="77777777" w:rsidR="008F3544" w:rsidRPr="00192507" w:rsidRDefault="008F3544" w:rsidP="0099088D">
            <w:pPr>
              <w:rPr>
                <w:color w:val="000000"/>
                <w:sz w:val="16"/>
                <w:szCs w:val="16"/>
              </w:rPr>
            </w:pPr>
            <w:r w:rsidRPr="00192507">
              <w:rPr>
                <w:color w:val="000000"/>
                <w:sz w:val="16"/>
                <w:szCs w:val="16"/>
              </w:rPr>
              <w:t>реклоузеры номинальным током до 100 А включительно</w:t>
            </w:r>
          </w:p>
        </w:tc>
        <w:tc>
          <w:tcPr>
            <w:tcW w:w="696" w:type="pct"/>
            <w:shd w:val="clear" w:color="auto" w:fill="auto"/>
            <w:vAlign w:val="center"/>
            <w:hideMark/>
          </w:tcPr>
          <w:p w14:paraId="555F32A7" w14:textId="77777777" w:rsidR="008F3544" w:rsidRPr="00192507" w:rsidRDefault="008F3544" w:rsidP="0099088D">
            <w:pPr>
              <w:jc w:val="center"/>
              <w:rPr>
                <w:color w:val="000000"/>
                <w:sz w:val="16"/>
                <w:szCs w:val="16"/>
              </w:rPr>
            </w:pPr>
            <w:r w:rsidRPr="00192507">
              <w:rPr>
                <w:color w:val="000000"/>
                <w:sz w:val="16"/>
                <w:szCs w:val="16"/>
              </w:rPr>
              <w:t>рублей/шт</w:t>
            </w:r>
            <w:r>
              <w:rPr>
                <w:color w:val="000000"/>
                <w:sz w:val="16"/>
                <w:szCs w:val="16"/>
              </w:rPr>
              <w:t>.</w:t>
            </w:r>
          </w:p>
        </w:tc>
        <w:tc>
          <w:tcPr>
            <w:tcW w:w="602" w:type="pct"/>
            <w:shd w:val="clear" w:color="auto" w:fill="auto"/>
            <w:noWrap/>
            <w:vAlign w:val="center"/>
            <w:hideMark/>
          </w:tcPr>
          <w:p w14:paraId="4027123A" w14:textId="77777777" w:rsidR="008F3544" w:rsidRPr="00192507" w:rsidRDefault="008F3544" w:rsidP="0099088D">
            <w:pPr>
              <w:jc w:val="center"/>
              <w:rPr>
                <w:color w:val="000000"/>
                <w:sz w:val="16"/>
                <w:szCs w:val="16"/>
              </w:rPr>
            </w:pPr>
            <w:r>
              <w:rPr>
                <w:color w:val="000000"/>
                <w:sz w:val="16"/>
                <w:szCs w:val="16"/>
              </w:rPr>
              <w:t>-</w:t>
            </w:r>
          </w:p>
        </w:tc>
        <w:tc>
          <w:tcPr>
            <w:tcW w:w="603" w:type="pct"/>
            <w:shd w:val="clear" w:color="auto" w:fill="auto"/>
            <w:noWrap/>
            <w:vAlign w:val="center"/>
            <w:hideMark/>
          </w:tcPr>
          <w:p w14:paraId="35F30194" w14:textId="77777777" w:rsidR="008F3544" w:rsidRPr="00192507" w:rsidRDefault="008F3544" w:rsidP="0099088D">
            <w:pPr>
              <w:jc w:val="center"/>
              <w:rPr>
                <w:color w:val="000000"/>
                <w:sz w:val="16"/>
                <w:szCs w:val="16"/>
              </w:rPr>
            </w:pPr>
            <w:r w:rsidRPr="00192507">
              <w:rPr>
                <w:color w:val="000000"/>
                <w:sz w:val="16"/>
                <w:szCs w:val="16"/>
              </w:rPr>
              <w:t>1 102 841,59</w:t>
            </w:r>
          </w:p>
        </w:tc>
      </w:tr>
      <w:tr w:rsidR="008F3544" w:rsidRPr="00192507" w14:paraId="63F0EB45" w14:textId="77777777" w:rsidTr="0099088D">
        <w:trPr>
          <w:trHeight w:val="450"/>
        </w:trPr>
        <w:tc>
          <w:tcPr>
            <w:tcW w:w="672" w:type="pct"/>
            <w:shd w:val="clear" w:color="auto" w:fill="auto"/>
            <w:vAlign w:val="center"/>
            <w:hideMark/>
          </w:tcPr>
          <w:p w14:paraId="2C004507" w14:textId="77777777" w:rsidR="008F3544" w:rsidRPr="00192507" w:rsidRDefault="008F3544" w:rsidP="0099088D">
            <w:pPr>
              <w:jc w:val="center"/>
              <w:rPr>
                <w:color w:val="000000"/>
                <w:sz w:val="16"/>
                <w:szCs w:val="16"/>
              </w:rPr>
            </w:pPr>
            <w:r w:rsidRPr="00192507">
              <w:rPr>
                <w:color w:val="000000"/>
                <w:sz w:val="16"/>
                <w:szCs w:val="16"/>
              </w:rPr>
              <w:t>4.1.2</w:t>
            </w:r>
            <w:r>
              <w:rPr>
                <w:color w:val="000000"/>
                <w:sz w:val="16"/>
                <w:szCs w:val="16"/>
              </w:rPr>
              <w:t>.</w:t>
            </w:r>
          </w:p>
        </w:tc>
        <w:tc>
          <w:tcPr>
            <w:tcW w:w="902" w:type="pct"/>
            <w:shd w:val="clear" w:color="auto" w:fill="auto"/>
            <w:vAlign w:val="center"/>
            <w:hideMark/>
          </w:tcPr>
          <w:p w14:paraId="2164D7D7" w14:textId="77777777" w:rsidR="008F3544" w:rsidRPr="00420FA8"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4.1.2</m:t>
                    </m:r>
                    <m:r>
                      <m:rPr>
                        <m:nor/>
                      </m:rPr>
                      <w:rPr>
                        <w:rFonts w:ascii="Cambria Math"/>
                        <w:color w:val="000000"/>
                      </w:rPr>
                      <m:t>.</m:t>
                    </m:r>
                  </m:sub>
                  <m:sup>
                    <m:r>
                      <m:rPr>
                        <m:nor/>
                      </m:rPr>
                      <w:rPr>
                        <w:color w:val="000000"/>
                      </w:rPr>
                      <m:t>1-20 кВ</m:t>
                    </m:r>
                  </m:sup>
                </m:sSubSup>
              </m:oMath>
            </m:oMathPara>
          </w:p>
        </w:tc>
        <w:tc>
          <w:tcPr>
            <w:tcW w:w="1525" w:type="pct"/>
            <w:shd w:val="clear" w:color="auto" w:fill="auto"/>
            <w:vAlign w:val="center"/>
            <w:hideMark/>
          </w:tcPr>
          <w:p w14:paraId="34B912B8" w14:textId="77777777" w:rsidR="008F3544" w:rsidRPr="00192507" w:rsidRDefault="008F3544" w:rsidP="0099088D">
            <w:pPr>
              <w:rPr>
                <w:color w:val="000000"/>
                <w:sz w:val="16"/>
                <w:szCs w:val="16"/>
              </w:rPr>
            </w:pPr>
            <w:r w:rsidRPr="00192507">
              <w:rPr>
                <w:color w:val="000000"/>
                <w:sz w:val="16"/>
                <w:szCs w:val="16"/>
              </w:rPr>
              <w:t>реклоузеры номинальным током от 100 до 250 А включительно</w:t>
            </w:r>
          </w:p>
        </w:tc>
        <w:tc>
          <w:tcPr>
            <w:tcW w:w="696" w:type="pct"/>
            <w:shd w:val="clear" w:color="auto" w:fill="auto"/>
            <w:vAlign w:val="center"/>
            <w:hideMark/>
          </w:tcPr>
          <w:p w14:paraId="3B0FFEDA" w14:textId="77777777" w:rsidR="008F3544" w:rsidRPr="00192507" w:rsidRDefault="008F3544" w:rsidP="0099088D">
            <w:pPr>
              <w:jc w:val="center"/>
              <w:rPr>
                <w:color w:val="000000"/>
                <w:sz w:val="16"/>
                <w:szCs w:val="16"/>
              </w:rPr>
            </w:pPr>
            <w:r w:rsidRPr="00192507">
              <w:rPr>
                <w:color w:val="000000"/>
                <w:sz w:val="16"/>
                <w:szCs w:val="16"/>
              </w:rPr>
              <w:t>рублей/шт</w:t>
            </w:r>
            <w:r>
              <w:rPr>
                <w:color w:val="000000"/>
                <w:sz w:val="16"/>
                <w:szCs w:val="16"/>
              </w:rPr>
              <w:t>.</w:t>
            </w:r>
          </w:p>
        </w:tc>
        <w:tc>
          <w:tcPr>
            <w:tcW w:w="602" w:type="pct"/>
            <w:shd w:val="clear" w:color="auto" w:fill="auto"/>
            <w:noWrap/>
            <w:vAlign w:val="center"/>
            <w:hideMark/>
          </w:tcPr>
          <w:p w14:paraId="6FB0BB26" w14:textId="77777777" w:rsidR="008F3544" w:rsidRPr="00192507" w:rsidRDefault="008F3544" w:rsidP="0099088D">
            <w:pPr>
              <w:jc w:val="center"/>
              <w:rPr>
                <w:color w:val="000000"/>
                <w:sz w:val="16"/>
                <w:szCs w:val="16"/>
              </w:rPr>
            </w:pPr>
            <w:r>
              <w:rPr>
                <w:color w:val="000000"/>
                <w:sz w:val="16"/>
                <w:szCs w:val="16"/>
              </w:rPr>
              <w:t>-</w:t>
            </w:r>
          </w:p>
        </w:tc>
        <w:tc>
          <w:tcPr>
            <w:tcW w:w="603" w:type="pct"/>
            <w:shd w:val="clear" w:color="auto" w:fill="auto"/>
            <w:noWrap/>
            <w:vAlign w:val="center"/>
            <w:hideMark/>
          </w:tcPr>
          <w:p w14:paraId="6A08855B" w14:textId="77777777" w:rsidR="008F3544" w:rsidRPr="00192507" w:rsidRDefault="008F3544" w:rsidP="0099088D">
            <w:pPr>
              <w:jc w:val="center"/>
              <w:rPr>
                <w:color w:val="000000"/>
                <w:sz w:val="16"/>
                <w:szCs w:val="16"/>
              </w:rPr>
            </w:pPr>
            <w:r w:rsidRPr="00192507">
              <w:rPr>
                <w:color w:val="000000"/>
                <w:sz w:val="16"/>
                <w:szCs w:val="16"/>
              </w:rPr>
              <w:t>1 125 670,19</w:t>
            </w:r>
          </w:p>
        </w:tc>
      </w:tr>
      <w:tr w:rsidR="008F3544" w:rsidRPr="00192507" w14:paraId="03824A90" w14:textId="77777777" w:rsidTr="0099088D">
        <w:trPr>
          <w:trHeight w:val="450"/>
        </w:trPr>
        <w:tc>
          <w:tcPr>
            <w:tcW w:w="672" w:type="pct"/>
            <w:shd w:val="clear" w:color="auto" w:fill="auto"/>
            <w:vAlign w:val="center"/>
            <w:hideMark/>
          </w:tcPr>
          <w:p w14:paraId="2C7E8F88" w14:textId="77777777" w:rsidR="008F3544" w:rsidRPr="00192507" w:rsidRDefault="008F3544" w:rsidP="0099088D">
            <w:pPr>
              <w:jc w:val="center"/>
              <w:rPr>
                <w:color w:val="000000"/>
                <w:sz w:val="16"/>
                <w:szCs w:val="16"/>
              </w:rPr>
            </w:pPr>
            <w:r w:rsidRPr="00192507">
              <w:rPr>
                <w:color w:val="000000"/>
                <w:sz w:val="16"/>
                <w:szCs w:val="16"/>
              </w:rPr>
              <w:t>4.1.4</w:t>
            </w:r>
            <w:r>
              <w:rPr>
                <w:color w:val="000000"/>
                <w:sz w:val="16"/>
                <w:szCs w:val="16"/>
              </w:rPr>
              <w:t>.</w:t>
            </w:r>
          </w:p>
        </w:tc>
        <w:tc>
          <w:tcPr>
            <w:tcW w:w="902" w:type="pct"/>
            <w:shd w:val="clear" w:color="auto" w:fill="auto"/>
            <w:vAlign w:val="center"/>
            <w:hideMark/>
          </w:tcPr>
          <w:p w14:paraId="0E55299A" w14:textId="77777777" w:rsidR="008F3544" w:rsidRPr="00420FA8"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4.1.4</m:t>
                    </m:r>
                    <m:r>
                      <m:rPr>
                        <m:nor/>
                      </m:rPr>
                      <w:rPr>
                        <w:rFonts w:ascii="Cambria Math"/>
                        <w:color w:val="000000"/>
                      </w:rPr>
                      <m:t>.</m:t>
                    </m:r>
                  </m:sub>
                  <m:sup>
                    <m:r>
                      <m:rPr>
                        <m:nor/>
                      </m:rPr>
                      <w:rPr>
                        <w:color w:val="000000"/>
                      </w:rPr>
                      <m:t>1-20 кВ</m:t>
                    </m:r>
                  </m:sup>
                </m:sSubSup>
              </m:oMath>
            </m:oMathPara>
          </w:p>
        </w:tc>
        <w:tc>
          <w:tcPr>
            <w:tcW w:w="1525" w:type="pct"/>
            <w:shd w:val="clear" w:color="auto" w:fill="auto"/>
            <w:vAlign w:val="center"/>
            <w:hideMark/>
          </w:tcPr>
          <w:p w14:paraId="7429C093" w14:textId="77777777" w:rsidR="008F3544" w:rsidRPr="00192507" w:rsidRDefault="008F3544" w:rsidP="0099088D">
            <w:pPr>
              <w:rPr>
                <w:color w:val="000000"/>
                <w:sz w:val="16"/>
                <w:szCs w:val="16"/>
              </w:rPr>
            </w:pPr>
            <w:r w:rsidRPr="00192507">
              <w:rPr>
                <w:color w:val="000000"/>
                <w:sz w:val="16"/>
                <w:szCs w:val="16"/>
              </w:rPr>
              <w:t>реклоузеры номинальным током от 500 до 1000 А включительно</w:t>
            </w:r>
          </w:p>
        </w:tc>
        <w:tc>
          <w:tcPr>
            <w:tcW w:w="696" w:type="pct"/>
            <w:shd w:val="clear" w:color="auto" w:fill="auto"/>
            <w:vAlign w:val="center"/>
            <w:hideMark/>
          </w:tcPr>
          <w:p w14:paraId="00CDBA1F" w14:textId="77777777" w:rsidR="008F3544" w:rsidRPr="00192507" w:rsidRDefault="008F3544" w:rsidP="0099088D">
            <w:pPr>
              <w:jc w:val="center"/>
              <w:rPr>
                <w:color w:val="000000"/>
                <w:sz w:val="16"/>
                <w:szCs w:val="16"/>
              </w:rPr>
            </w:pPr>
            <w:r w:rsidRPr="00192507">
              <w:rPr>
                <w:color w:val="000000"/>
                <w:sz w:val="16"/>
                <w:szCs w:val="16"/>
              </w:rPr>
              <w:t>рублей/шт</w:t>
            </w:r>
            <w:r>
              <w:rPr>
                <w:color w:val="000000"/>
                <w:sz w:val="16"/>
                <w:szCs w:val="16"/>
              </w:rPr>
              <w:t>.</w:t>
            </w:r>
          </w:p>
        </w:tc>
        <w:tc>
          <w:tcPr>
            <w:tcW w:w="602" w:type="pct"/>
            <w:shd w:val="clear" w:color="auto" w:fill="auto"/>
            <w:noWrap/>
            <w:vAlign w:val="center"/>
            <w:hideMark/>
          </w:tcPr>
          <w:p w14:paraId="6F69EE55" w14:textId="77777777" w:rsidR="008F3544" w:rsidRPr="00192507" w:rsidRDefault="008F3544" w:rsidP="0099088D">
            <w:pPr>
              <w:jc w:val="center"/>
              <w:rPr>
                <w:color w:val="000000"/>
                <w:sz w:val="16"/>
                <w:szCs w:val="16"/>
              </w:rPr>
            </w:pPr>
            <w:r w:rsidRPr="00192507">
              <w:rPr>
                <w:color w:val="000000"/>
                <w:sz w:val="16"/>
                <w:szCs w:val="16"/>
              </w:rPr>
              <w:t>1 191 091,48</w:t>
            </w:r>
          </w:p>
        </w:tc>
        <w:tc>
          <w:tcPr>
            <w:tcW w:w="603" w:type="pct"/>
            <w:shd w:val="clear" w:color="auto" w:fill="auto"/>
            <w:noWrap/>
            <w:vAlign w:val="center"/>
            <w:hideMark/>
          </w:tcPr>
          <w:p w14:paraId="4DE92020" w14:textId="77777777" w:rsidR="008F3544" w:rsidRPr="00192507" w:rsidRDefault="008F3544" w:rsidP="0099088D">
            <w:pPr>
              <w:jc w:val="center"/>
              <w:rPr>
                <w:color w:val="000000"/>
                <w:sz w:val="16"/>
                <w:szCs w:val="16"/>
              </w:rPr>
            </w:pPr>
            <w:r w:rsidRPr="00192507">
              <w:rPr>
                <w:color w:val="000000"/>
                <w:sz w:val="16"/>
                <w:szCs w:val="16"/>
              </w:rPr>
              <w:t>1 183 292,96</w:t>
            </w:r>
          </w:p>
        </w:tc>
      </w:tr>
      <w:tr w:rsidR="008F3544" w:rsidRPr="00192507" w14:paraId="11B98804" w14:textId="77777777" w:rsidTr="0099088D">
        <w:trPr>
          <w:trHeight w:val="485"/>
        </w:trPr>
        <w:tc>
          <w:tcPr>
            <w:tcW w:w="672" w:type="pct"/>
            <w:vMerge w:val="restart"/>
            <w:shd w:val="clear" w:color="auto" w:fill="auto"/>
            <w:vAlign w:val="center"/>
            <w:hideMark/>
          </w:tcPr>
          <w:p w14:paraId="38732F1C" w14:textId="77777777" w:rsidR="008F3544" w:rsidRPr="00192507" w:rsidRDefault="008F3544" w:rsidP="0099088D">
            <w:pPr>
              <w:jc w:val="center"/>
              <w:rPr>
                <w:color w:val="000000"/>
                <w:sz w:val="16"/>
                <w:szCs w:val="16"/>
              </w:rPr>
            </w:pPr>
            <w:r w:rsidRPr="00192507">
              <w:rPr>
                <w:color w:val="000000"/>
                <w:sz w:val="16"/>
                <w:szCs w:val="16"/>
              </w:rPr>
              <w:t>4.1.5</w:t>
            </w:r>
            <w:r>
              <w:rPr>
                <w:color w:val="000000"/>
                <w:sz w:val="16"/>
                <w:szCs w:val="16"/>
              </w:rPr>
              <w:t>.</w:t>
            </w:r>
          </w:p>
        </w:tc>
        <w:tc>
          <w:tcPr>
            <w:tcW w:w="902" w:type="pct"/>
            <w:shd w:val="clear" w:color="auto" w:fill="auto"/>
            <w:vAlign w:val="center"/>
            <w:hideMark/>
          </w:tcPr>
          <w:p w14:paraId="35E312E0" w14:textId="77777777" w:rsidR="008F3544" w:rsidRPr="00420FA8"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4.1.5</m:t>
                    </m:r>
                    <m:r>
                      <m:rPr>
                        <m:nor/>
                      </m:rPr>
                      <w:rPr>
                        <w:rFonts w:ascii="Cambria Math"/>
                        <w:color w:val="000000"/>
                      </w:rPr>
                      <m:t>.</m:t>
                    </m:r>
                    <m:r>
                      <m:rPr>
                        <m:nor/>
                      </m:rPr>
                      <w:rPr>
                        <w:color w:val="000000"/>
                      </w:rPr>
                      <m:t>.</m:t>
                    </m:r>
                  </m:sub>
                  <m:sup>
                    <m:r>
                      <m:rPr>
                        <m:nor/>
                      </m:rPr>
                      <w:rPr>
                        <w:color w:val="000000"/>
                      </w:rPr>
                      <m:t>1-20 кВ</m:t>
                    </m:r>
                  </m:sup>
                </m:sSubSup>
              </m:oMath>
            </m:oMathPara>
          </w:p>
        </w:tc>
        <w:tc>
          <w:tcPr>
            <w:tcW w:w="1525" w:type="pct"/>
            <w:vMerge w:val="restart"/>
            <w:shd w:val="clear" w:color="auto" w:fill="auto"/>
            <w:vAlign w:val="center"/>
            <w:hideMark/>
          </w:tcPr>
          <w:p w14:paraId="6357DCB6" w14:textId="77777777" w:rsidR="008F3544" w:rsidRPr="00192507" w:rsidRDefault="008F3544" w:rsidP="0099088D">
            <w:pPr>
              <w:rPr>
                <w:color w:val="000000"/>
                <w:sz w:val="16"/>
                <w:szCs w:val="16"/>
              </w:rPr>
            </w:pPr>
            <w:r w:rsidRPr="00192507">
              <w:rPr>
                <w:color w:val="000000"/>
                <w:sz w:val="16"/>
                <w:szCs w:val="16"/>
              </w:rPr>
              <w:t>реклоузеры номинальным током свыше 1000 А</w:t>
            </w:r>
          </w:p>
        </w:tc>
        <w:tc>
          <w:tcPr>
            <w:tcW w:w="696" w:type="pct"/>
            <w:vMerge w:val="restart"/>
            <w:shd w:val="clear" w:color="auto" w:fill="auto"/>
            <w:vAlign w:val="center"/>
            <w:hideMark/>
          </w:tcPr>
          <w:p w14:paraId="3CBB1AF1" w14:textId="77777777" w:rsidR="008F3544" w:rsidRPr="00192507" w:rsidRDefault="008F3544" w:rsidP="0099088D">
            <w:pPr>
              <w:jc w:val="center"/>
              <w:rPr>
                <w:color w:val="000000"/>
                <w:sz w:val="16"/>
                <w:szCs w:val="16"/>
              </w:rPr>
            </w:pPr>
            <w:r w:rsidRPr="00192507">
              <w:rPr>
                <w:color w:val="000000"/>
                <w:sz w:val="16"/>
                <w:szCs w:val="16"/>
              </w:rPr>
              <w:t>рублей/шт</w:t>
            </w:r>
            <w:r>
              <w:rPr>
                <w:color w:val="000000"/>
                <w:sz w:val="16"/>
                <w:szCs w:val="16"/>
              </w:rPr>
              <w:t>.</w:t>
            </w:r>
          </w:p>
        </w:tc>
        <w:tc>
          <w:tcPr>
            <w:tcW w:w="602" w:type="pct"/>
            <w:shd w:val="clear" w:color="auto" w:fill="auto"/>
            <w:noWrap/>
            <w:vAlign w:val="center"/>
            <w:hideMark/>
          </w:tcPr>
          <w:p w14:paraId="71056DCF" w14:textId="77777777" w:rsidR="008F3544" w:rsidRPr="00192507" w:rsidRDefault="008F3544" w:rsidP="0099088D">
            <w:pPr>
              <w:jc w:val="center"/>
              <w:rPr>
                <w:color w:val="000000"/>
                <w:sz w:val="16"/>
                <w:szCs w:val="16"/>
              </w:rPr>
            </w:pPr>
            <w:r>
              <w:rPr>
                <w:color w:val="000000"/>
                <w:sz w:val="16"/>
                <w:szCs w:val="16"/>
              </w:rPr>
              <w:t>-</w:t>
            </w:r>
          </w:p>
        </w:tc>
        <w:tc>
          <w:tcPr>
            <w:tcW w:w="603" w:type="pct"/>
            <w:shd w:val="clear" w:color="auto" w:fill="auto"/>
            <w:noWrap/>
            <w:vAlign w:val="center"/>
            <w:hideMark/>
          </w:tcPr>
          <w:p w14:paraId="78528B5E" w14:textId="77777777" w:rsidR="008F3544" w:rsidRPr="00192507" w:rsidRDefault="008F3544" w:rsidP="0099088D">
            <w:pPr>
              <w:jc w:val="center"/>
              <w:rPr>
                <w:color w:val="000000"/>
                <w:sz w:val="16"/>
                <w:szCs w:val="16"/>
              </w:rPr>
            </w:pPr>
            <w:r w:rsidRPr="00192507">
              <w:rPr>
                <w:color w:val="000000"/>
                <w:sz w:val="16"/>
                <w:szCs w:val="16"/>
              </w:rPr>
              <w:t>2 027 535,59</w:t>
            </w:r>
          </w:p>
        </w:tc>
      </w:tr>
      <w:tr w:rsidR="008F3544" w:rsidRPr="00192507" w14:paraId="74719780" w14:textId="77777777" w:rsidTr="0099088D">
        <w:trPr>
          <w:trHeight w:val="421"/>
        </w:trPr>
        <w:tc>
          <w:tcPr>
            <w:tcW w:w="672" w:type="pct"/>
            <w:vMerge/>
            <w:shd w:val="clear" w:color="auto" w:fill="auto"/>
            <w:vAlign w:val="center"/>
            <w:hideMark/>
          </w:tcPr>
          <w:p w14:paraId="15A3C677" w14:textId="77777777" w:rsidR="008F3544" w:rsidRPr="00192507" w:rsidRDefault="008F3544" w:rsidP="0099088D">
            <w:pPr>
              <w:rPr>
                <w:color w:val="000000"/>
                <w:sz w:val="16"/>
                <w:szCs w:val="16"/>
              </w:rPr>
            </w:pPr>
          </w:p>
        </w:tc>
        <w:tc>
          <w:tcPr>
            <w:tcW w:w="902" w:type="pct"/>
            <w:shd w:val="clear" w:color="auto" w:fill="auto"/>
            <w:vAlign w:val="center"/>
            <w:hideMark/>
          </w:tcPr>
          <w:p w14:paraId="470181DF" w14:textId="77777777" w:rsidR="008F3544" w:rsidRPr="00420FA8"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4.1.5</m:t>
                    </m:r>
                    <m:r>
                      <m:rPr>
                        <m:nor/>
                      </m:rPr>
                      <w:rPr>
                        <w:rFonts w:ascii="Cambria Math"/>
                        <w:color w:val="000000"/>
                      </w:rPr>
                      <m:t>.</m:t>
                    </m:r>
                  </m:sub>
                  <m:sup>
                    <m:r>
                      <m:rPr>
                        <m:nor/>
                      </m:rPr>
                      <w:rPr>
                        <w:color w:val="000000"/>
                      </w:rPr>
                      <m:t>35 кВ</m:t>
                    </m:r>
                  </m:sup>
                </m:sSubSup>
              </m:oMath>
            </m:oMathPara>
          </w:p>
        </w:tc>
        <w:tc>
          <w:tcPr>
            <w:tcW w:w="1525" w:type="pct"/>
            <w:vMerge/>
            <w:shd w:val="clear" w:color="auto" w:fill="auto"/>
            <w:vAlign w:val="center"/>
            <w:hideMark/>
          </w:tcPr>
          <w:p w14:paraId="1FE01C29" w14:textId="77777777" w:rsidR="008F3544" w:rsidRPr="00192507" w:rsidRDefault="008F3544" w:rsidP="0099088D">
            <w:pPr>
              <w:rPr>
                <w:color w:val="000000"/>
                <w:sz w:val="16"/>
                <w:szCs w:val="16"/>
              </w:rPr>
            </w:pPr>
          </w:p>
        </w:tc>
        <w:tc>
          <w:tcPr>
            <w:tcW w:w="696" w:type="pct"/>
            <w:vMerge/>
            <w:shd w:val="clear" w:color="auto" w:fill="auto"/>
            <w:vAlign w:val="center"/>
            <w:hideMark/>
          </w:tcPr>
          <w:p w14:paraId="73A503B1" w14:textId="77777777" w:rsidR="008F3544" w:rsidRPr="00192507" w:rsidRDefault="008F3544" w:rsidP="0099088D">
            <w:pPr>
              <w:rPr>
                <w:color w:val="000000"/>
                <w:sz w:val="16"/>
                <w:szCs w:val="16"/>
              </w:rPr>
            </w:pPr>
          </w:p>
        </w:tc>
        <w:tc>
          <w:tcPr>
            <w:tcW w:w="602" w:type="pct"/>
            <w:shd w:val="clear" w:color="auto" w:fill="auto"/>
            <w:noWrap/>
            <w:vAlign w:val="center"/>
            <w:hideMark/>
          </w:tcPr>
          <w:p w14:paraId="1C8BA35A" w14:textId="77777777" w:rsidR="008F3544" w:rsidRPr="00192507" w:rsidRDefault="008F3544" w:rsidP="0099088D">
            <w:pPr>
              <w:jc w:val="center"/>
              <w:rPr>
                <w:color w:val="000000"/>
                <w:sz w:val="16"/>
                <w:szCs w:val="16"/>
              </w:rPr>
            </w:pPr>
            <w:r w:rsidRPr="00192507">
              <w:rPr>
                <w:color w:val="000000"/>
                <w:sz w:val="16"/>
                <w:szCs w:val="16"/>
              </w:rPr>
              <w:t>6 120 149,18</w:t>
            </w:r>
          </w:p>
        </w:tc>
        <w:tc>
          <w:tcPr>
            <w:tcW w:w="603" w:type="pct"/>
            <w:shd w:val="clear" w:color="auto" w:fill="auto"/>
            <w:noWrap/>
            <w:vAlign w:val="center"/>
            <w:hideMark/>
          </w:tcPr>
          <w:p w14:paraId="34066586" w14:textId="77777777" w:rsidR="008F3544" w:rsidRPr="00192507" w:rsidRDefault="008F3544" w:rsidP="0099088D">
            <w:pPr>
              <w:jc w:val="center"/>
              <w:rPr>
                <w:color w:val="000000"/>
                <w:sz w:val="16"/>
                <w:szCs w:val="16"/>
              </w:rPr>
            </w:pPr>
            <w:r w:rsidRPr="00192507">
              <w:rPr>
                <w:color w:val="000000"/>
                <w:sz w:val="16"/>
                <w:szCs w:val="16"/>
              </w:rPr>
              <w:t>6 120 149,18</w:t>
            </w:r>
          </w:p>
        </w:tc>
      </w:tr>
      <w:tr w:rsidR="008F3544" w:rsidRPr="00192507" w14:paraId="6FD54A73" w14:textId="77777777" w:rsidTr="0099088D">
        <w:trPr>
          <w:trHeight w:val="450"/>
        </w:trPr>
        <w:tc>
          <w:tcPr>
            <w:tcW w:w="672" w:type="pct"/>
            <w:shd w:val="clear" w:color="auto" w:fill="auto"/>
            <w:vAlign w:val="center"/>
            <w:hideMark/>
          </w:tcPr>
          <w:p w14:paraId="44CDF0D3" w14:textId="77777777" w:rsidR="008F3544" w:rsidRPr="00192507" w:rsidRDefault="008F3544" w:rsidP="0099088D">
            <w:pPr>
              <w:jc w:val="center"/>
              <w:rPr>
                <w:color w:val="000000"/>
                <w:sz w:val="16"/>
                <w:szCs w:val="16"/>
              </w:rPr>
            </w:pPr>
            <w:r w:rsidRPr="00192507">
              <w:rPr>
                <w:color w:val="000000"/>
                <w:sz w:val="16"/>
                <w:szCs w:val="16"/>
              </w:rPr>
              <w:t>4.2.1.</w:t>
            </w:r>
          </w:p>
        </w:tc>
        <w:tc>
          <w:tcPr>
            <w:tcW w:w="902" w:type="pct"/>
            <w:shd w:val="clear" w:color="auto" w:fill="auto"/>
            <w:vAlign w:val="center"/>
            <w:hideMark/>
          </w:tcPr>
          <w:p w14:paraId="2B9CBB13" w14:textId="77777777" w:rsidR="008F3544" w:rsidRPr="00420FA8"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4.2.1</m:t>
                    </m:r>
                    <m:r>
                      <m:rPr>
                        <m:nor/>
                      </m:rPr>
                      <w:rPr>
                        <w:rFonts w:ascii="Cambria Math"/>
                        <w:color w:val="000000"/>
                      </w:rPr>
                      <m:t>.</m:t>
                    </m:r>
                  </m:sub>
                  <m:sup>
                    <m:r>
                      <m:rPr>
                        <m:nor/>
                      </m:rPr>
                      <w:rPr>
                        <w:color w:val="000000"/>
                      </w:rPr>
                      <m:t>1-20 кВ</m:t>
                    </m:r>
                  </m:sup>
                </m:sSubSup>
              </m:oMath>
            </m:oMathPara>
          </w:p>
        </w:tc>
        <w:tc>
          <w:tcPr>
            <w:tcW w:w="1525" w:type="pct"/>
            <w:shd w:val="clear" w:color="auto" w:fill="auto"/>
            <w:vAlign w:val="center"/>
            <w:hideMark/>
          </w:tcPr>
          <w:p w14:paraId="36C19B60" w14:textId="77777777" w:rsidR="008F3544" w:rsidRPr="00192507" w:rsidRDefault="008F3544" w:rsidP="0099088D">
            <w:pPr>
              <w:rPr>
                <w:color w:val="000000"/>
                <w:sz w:val="16"/>
                <w:szCs w:val="16"/>
              </w:rPr>
            </w:pPr>
            <w:r w:rsidRPr="00192507">
              <w:rPr>
                <w:color w:val="000000"/>
                <w:sz w:val="16"/>
                <w:szCs w:val="16"/>
              </w:rPr>
              <w:t>линейные разъединители номинальным током до 100 А включительно</w:t>
            </w:r>
          </w:p>
        </w:tc>
        <w:tc>
          <w:tcPr>
            <w:tcW w:w="696" w:type="pct"/>
            <w:shd w:val="clear" w:color="auto" w:fill="auto"/>
            <w:vAlign w:val="center"/>
            <w:hideMark/>
          </w:tcPr>
          <w:p w14:paraId="3C7272B0" w14:textId="77777777" w:rsidR="008F3544" w:rsidRPr="00192507" w:rsidRDefault="008F3544" w:rsidP="0099088D">
            <w:pPr>
              <w:jc w:val="center"/>
              <w:rPr>
                <w:color w:val="000000"/>
                <w:sz w:val="16"/>
                <w:szCs w:val="16"/>
              </w:rPr>
            </w:pPr>
            <w:r w:rsidRPr="00192507">
              <w:rPr>
                <w:color w:val="000000"/>
                <w:sz w:val="16"/>
                <w:szCs w:val="16"/>
              </w:rPr>
              <w:t>рублей/шт</w:t>
            </w:r>
            <w:r>
              <w:rPr>
                <w:color w:val="000000"/>
                <w:sz w:val="16"/>
                <w:szCs w:val="16"/>
              </w:rPr>
              <w:t>.</w:t>
            </w:r>
          </w:p>
        </w:tc>
        <w:tc>
          <w:tcPr>
            <w:tcW w:w="602" w:type="pct"/>
            <w:shd w:val="clear" w:color="auto" w:fill="auto"/>
            <w:noWrap/>
            <w:vAlign w:val="center"/>
            <w:hideMark/>
          </w:tcPr>
          <w:p w14:paraId="0DA6A85A" w14:textId="77777777" w:rsidR="008F3544" w:rsidRPr="00192507" w:rsidRDefault="008F3544" w:rsidP="0099088D">
            <w:pPr>
              <w:jc w:val="center"/>
              <w:rPr>
                <w:color w:val="000000"/>
                <w:sz w:val="16"/>
                <w:szCs w:val="16"/>
              </w:rPr>
            </w:pPr>
            <w:r w:rsidRPr="00192507">
              <w:rPr>
                <w:color w:val="000000"/>
                <w:sz w:val="16"/>
                <w:szCs w:val="16"/>
              </w:rPr>
              <w:t>14 368,84</w:t>
            </w:r>
          </w:p>
        </w:tc>
        <w:tc>
          <w:tcPr>
            <w:tcW w:w="603" w:type="pct"/>
            <w:shd w:val="clear" w:color="auto" w:fill="auto"/>
            <w:noWrap/>
            <w:vAlign w:val="center"/>
            <w:hideMark/>
          </w:tcPr>
          <w:p w14:paraId="4D953313" w14:textId="77777777" w:rsidR="008F3544" w:rsidRPr="00192507" w:rsidRDefault="008F3544" w:rsidP="0099088D">
            <w:pPr>
              <w:jc w:val="center"/>
              <w:rPr>
                <w:color w:val="000000"/>
                <w:sz w:val="16"/>
                <w:szCs w:val="16"/>
              </w:rPr>
            </w:pPr>
            <w:r>
              <w:rPr>
                <w:color w:val="000000"/>
                <w:sz w:val="16"/>
                <w:szCs w:val="16"/>
              </w:rPr>
              <w:t>-</w:t>
            </w:r>
          </w:p>
        </w:tc>
      </w:tr>
      <w:tr w:rsidR="008F3544" w:rsidRPr="00192507" w14:paraId="3993DAA4" w14:textId="77777777" w:rsidTr="0099088D">
        <w:trPr>
          <w:trHeight w:val="450"/>
        </w:trPr>
        <w:tc>
          <w:tcPr>
            <w:tcW w:w="672" w:type="pct"/>
            <w:shd w:val="clear" w:color="auto" w:fill="auto"/>
            <w:vAlign w:val="center"/>
            <w:hideMark/>
          </w:tcPr>
          <w:p w14:paraId="649602DB" w14:textId="77777777" w:rsidR="008F3544" w:rsidRPr="00192507" w:rsidRDefault="008F3544" w:rsidP="0099088D">
            <w:pPr>
              <w:jc w:val="center"/>
              <w:rPr>
                <w:color w:val="000000"/>
                <w:sz w:val="16"/>
                <w:szCs w:val="16"/>
              </w:rPr>
            </w:pPr>
            <w:r w:rsidRPr="00192507">
              <w:rPr>
                <w:color w:val="000000"/>
                <w:sz w:val="16"/>
                <w:szCs w:val="16"/>
              </w:rPr>
              <w:t>4.2.4.</w:t>
            </w:r>
          </w:p>
        </w:tc>
        <w:tc>
          <w:tcPr>
            <w:tcW w:w="902" w:type="pct"/>
            <w:shd w:val="clear" w:color="auto" w:fill="auto"/>
            <w:vAlign w:val="center"/>
            <w:hideMark/>
          </w:tcPr>
          <w:p w14:paraId="69F866BE" w14:textId="77777777" w:rsidR="008F3544" w:rsidRPr="007D6518"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4.2.4.</m:t>
                    </m:r>
                  </m:sub>
                  <m:sup>
                    <m:r>
                      <m:rPr>
                        <m:nor/>
                      </m:rPr>
                      <w:rPr>
                        <w:color w:val="000000"/>
                      </w:rPr>
                      <m:t>1-20 кВ</m:t>
                    </m:r>
                  </m:sup>
                </m:sSubSup>
              </m:oMath>
            </m:oMathPara>
          </w:p>
        </w:tc>
        <w:tc>
          <w:tcPr>
            <w:tcW w:w="1525" w:type="pct"/>
            <w:shd w:val="clear" w:color="auto" w:fill="auto"/>
            <w:vAlign w:val="center"/>
            <w:hideMark/>
          </w:tcPr>
          <w:p w14:paraId="798A8965" w14:textId="77777777" w:rsidR="008F3544" w:rsidRPr="00192507" w:rsidRDefault="008F3544" w:rsidP="0099088D">
            <w:pPr>
              <w:rPr>
                <w:color w:val="000000"/>
                <w:sz w:val="16"/>
                <w:szCs w:val="16"/>
              </w:rPr>
            </w:pPr>
            <w:r w:rsidRPr="00192507">
              <w:rPr>
                <w:color w:val="000000"/>
                <w:sz w:val="16"/>
                <w:szCs w:val="16"/>
              </w:rPr>
              <w:t>линейные разъединители номинальным током от 500 А до 1000 А включительно</w:t>
            </w:r>
          </w:p>
        </w:tc>
        <w:tc>
          <w:tcPr>
            <w:tcW w:w="696" w:type="pct"/>
            <w:shd w:val="clear" w:color="auto" w:fill="auto"/>
            <w:vAlign w:val="center"/>
            <w:hideMark/>
          </w:tcPr>
          <w:p w14:paraId="52C5E9FE" w14:textId="77777777" w:rsidR="008F3544" w:rsidRPr="00192507" w:rsidRDefault="008F3544" w:rsidP="0099088D">
            <w:pPr>
              <w:jc w:val="center"/>
              <w:rPr>
                <w:color w:val="000000"/>
                <w:sz w:val="16"/>
                <w:szCs w:val="16"/>
              </w:rPr>
            </w:pPr>
            <w:r w:rsidRPr="00192507">
              <w:rPr>
                <w:color w:val="000000"/>
                <w:sz w:val="16"/>
                <w:szCs w:val="16"/>
              </w:rPr>
              <w:t>рублей/шт</w:t>
            </w:r>
            <w:r>
              <w:rPr>
                <w:color w:val="000000"/>
                <w:sz w:val="16"/>
                <w:szCs w:val="16"/>
              </w:rPr>
              <w:t>.</w:t>
            </w:r>
          </w:p>
        </w:tc>
        <w:tc>
          <w:tcPr>
            <w:tcW w:w="602" w:type="pct"/>
            <w:shd w:val="clear" w:color="auto" w:fill="auto"/>
            <w:noWrap/>
            <w:vAlign w:val="center"/>
            <w:hideMark/>
          </w:tcPr>
          <w:p w14:paraId="0DAE8A52" w14:textId="77777777" w:rsidR="008F3544" w:rsidRPr="00192507" w:rsidRDefault="008F3544" w:rsidP="0099088D">
            <w:pPr>
              <w:jc w:val="center"/>
              <w:rPr>
                <w:color w:val="000000"/>
                <w:sz w:val="16"/>
                <w:szCs w:val="16"/>
              </w:rPr>
            </w:pPr>
            <w:r w:rsidRPr="00192507">
              <w:rPr>
                <w:color w:val="000000"/>
                <w:sz w:val="16"/>
                <w:szCs w:val="16"/>
              </w:rPr>
              <w:t>15 391,11</w:t>
            </w:r>
          </w:p>
        </w:tc>
        <w:tc>
          <w:tcPr>
            <w:tcW w:w="603" w:type="pct"/>
            <w:shd w:val="clear" w:color="auto" w:fill="auto"/>
            <w:noWrap/>
            <w:vAlign w:val="center"/>
            <w:hideMark/>
          </w:tcPr>
          <w:p w14:paraId="7BFD257B" w14:textId="77777777" w:rsidR="008F3544" w:rsidRPr="00192507" w:rsidRDefault="008F3544" w:rsidP="0099088D">
            <w:pPr>
              <w:jc w:val="center"/>
              <w:rPr>
                <w:color w:val="000000"/>
                <w:sz w:val="16"/>
                <w:szCs w:val="16"/>
              </w:rPr>
            </w:pPr>
            <w:r w:rsidRPr="00192507">
              <w:rPr>
                <w:color w:val="000000"/>
                <w:sz w:val="16"/>
                <w:szCs w:val="16"/>
              </w:rPr>
              <w:t>15 391,11</w:t>
            </w:r>
          </w:p>
        </w:tc>
      </w:tr>
      <w:tr w:rsidR="008F3544" w:rsidRPr="00192507" w14:paraId="76740F90" w14:textId="77777777" w:rsidTr="0099088D">
        <w:trPr>
          <w:trHeight w:val="1125"/>
        </w:trPr>
        <w:tc>
          <w:tcPr>
            <w:tcW w:w="672" w:type="pct"/>
            <w:shd w:val="clear" w:color="auto" w:fill="auto"/>
            <w:vAlign w:val="center"/>
            <w:hideMark/>
          </w:tcPr>
          <w:p w14:paraId="7837A243" w14:textId="77777777" w:rsidR="008F3544" w:rsidRPr="00192507" w:rsidRDefault="008F3544" w:rsidP="0099088D">
            <w:pPr>
              <w:jc w:val="center"/>
              <w:rPr>
                <w:color w:val="000000"/>
                <w:sz w:val="16"/>
                <w:szCs w:val="16"/>
              </w:rPr>
            </w:pPr>
            <w:r w:rsidRPr="00192507">
              <w:rPr>
                <w:color w:val="000000"/>
                <w:sz w:val="16"/>
                <w:szCs w:val="16"/>
              </w:rPr>
              <w:t>4.4.1.2.</w:t>
            </w:r>
          </w:p>
        </w:tc>
        <w:tc>
          <w:tcPr>
            <w:tcW w:w="902" w:type="pct"/>
            <w:shd w:val="clear" w:color="auto" w:fill="auto"/>
            <w:vAlign w:val="center"/>
            <w:hideMark/>
          </w:tcPr>
          <w:p w14:paraId="0958D8A2" w14:textId="77777777" w:rsidR="008F3544" w:rsidRPr="007D6518"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4.4.1.2.</m:t>
                    </m:r>
                  </m:sub>
                  <m:sup>
                    <m:r>
                      <m:rPr>
                        <m:nor/>
                      </m:rPr>
                      <w:rPr>
                        <w:color w:val="000000"/>
                      </w:rPr>
                      <m:t>1-20 кВ</m:t>
                    </m:r>
                  </m:sup>
                </m:sSubSup>
              </m:oMath>
            </m:oMathPara>
          </w:p>
        </w:tc>
        <w:tc>
          <w:tcPr>
            <w:tcW w:w="1525" w:type="pct"/>
            <w:shd w:val="clear" w:color="auto" w:fill="auto"/>
            <w:vAlign w:val="center"/>
            <w:hideMark/>
          </w:tcPr>
          <w:p w14:paraId="307B6EBB" w14:textId="77777777" w:rsidR="008F3544" w:rsidRPr="00192507" w:rsidRDefault="008F3544" w:rsidP="0099088D">
            <w:pPr>
              <w:rPr>
                <w:color w:val="000000"/>
                <w:sz w:val="16"/>
                <w:szCs w:val="16"/>
              </w:rPr>
            </w:pPr>
            <w:r w:rsidRPr="00192507">
              <w:rPr>
                <w:color w:val="000000"/>
                <w:sz w:val="16"/>
                <w:szCs w:val="16"/>
              </w:rPr>
              <w:t>распределительные пункты (РП), за исключением комплектных распределительных устройств наружной установки (КРН, КРУН), номинальным током до 100 А включительно с количеством ячеек от 5 до 10 включительно</w:t>
            </w:r>
          </w:p>
        </w:tc>
        <w:tc>
          <w:tcPr>
            <w:tcW w:w="696" w:type="pct"/>
            <w:shd w:val="clear" w:color="auto" w:fill="auto"/>
            <w:vAlign w:val="center"/>
            <w:hideMark/>
          </w:tcPr>
          <w:p w14:paraId="0A53D866" w14:textId="77777777" w:rsidR="008F3544" w:rsidRPr="00192507" w:rsidRDefault="008F3544" w:rsidP="0099088D">
            <w:pPr>
              <w:jc w:val="center"/>
              <w:rPr>
                <w:color w:val="000000"/>
                <w:sz w:val="16"/>
                <w:szCs w:val="16"/>
              </w:rPr>
            </w:pPr>
            <w:r w:rsidRPr="00192507">
              <w:rPr>
                <w:color w:val="000000"/>
                <w:sz w:val="16"/>
                <w:szCs w:val="16"/>
              </w:rPr>
              <w:t>рублей/шт</w:t>
            </w:r>
            <w:r>
              <w:rPr>
                <w:color w:val="000000"/>
                <w:sz w:val="16"/>
                <w:szCs w:val="16"/>
              </w:rPr>
              <w:t>.</w:t>
            </w:r>
          </w:p>
        </w:tc>
        <w:tc>
          <w:tcPr>
            <w:tcW w:w="602" w:type="pct"/>
            <w:shd w:val="clear" w:color="auto" w:fill="auto"/>
            <w:noWrap/>
            <w:vAlign w:val="center"/>
            <w:hideMark/>
          </w:tcPr>
          <w:p w14:paraId="4DA17A13" w14:textId="77777777" w:rsidR="008F3544" w:rsidRPr="00192507" w:rsidRDefault="008F3544" w:rsidP="0099088D">
            <w:pPr>
              <w:jc w:val="center"/>
              <w:rPr>
                <w:color w:val="000000"/>
                <w:sz w:val="16"/>
                <w:szCs w:val="16"/>
              </w:rPr>
            </w:pPr>
            <w:r w:rsidRPr="00192507">
              <w:rPr>
                <w:color w:val="000000"/>
                <w:sz w:val="16"/>
                <w:szCs w:val="16"/>
              </w:rPr>
              <w:t>8 815 742,24</w:t>
            </w:r>
          </w:p>
        </w:tc>
        <w:tc>
          <w:tcPr>
            <w:tcW w:w="603" w:type="pct"/>
            <w:shd w:val="clear" w:color="auto" w:fill="auto"/>
            <w:noWrap/>
            <w:vAlign w:val="center"/>
            <w:hideMark/>
          </w:tcPr>
          <w:p w14:paraId="46D50D82" w14:textId="77777777" w:rsidR="008F3544" w:rsidRPr="00192507" w:rsidRDefault="008F3544" w:rsidP="0099088D">
            <w:pPr>
              <w:jc w:val="center"/>
              <w:rPr>
                <w:color w:val="000000"/>
                <w:sz w:val="16"/>
                <w:szCs w:val="16"/>
              </w:rPr>
            </w:pPr>
            <w:r>
              <w:rPr>
                <w:color w:val="000000"/>
                <w:sz w:val="16"/>
                <w:szCs w:val="16"/>
              </w:rPr>
              <w:t>-</w:t>
            </w:r>
          </w:p>
        </w:tc>
      </w:tr>
      <w:tr w:rsidR="008F3544" w:rsidRPr="00192507" w14:paraId="0631A660" w14:textId="77777777" w:rsidTr="0099088D">
        <w:trPr>
          <w:trHeight w:val="1125"/>
        </w:trPr>
        <w:tc>
          <w:tcPr>
            <w:tcW w:w="672" w:type="pct"/>
            <w:shd w:val="clear" w:color="auto" w:fill="auto"/>
            <w:vAlign w:val="center"/>
            <w:hideMark/>
          </w:tcPr>
          <w:p w14:paraId="5D85F142" w14:textId="77777777" w:rsidR="008F3544" w:rsidRPr="00192507" w:rsidRDefault="008F3544" w:rsidP="0099088D">
            <w:pPr>
              <w:jc w:val="center"/>
              <w:rPr>
                <w:color w:val="000000"/>
                <w:sz w:val="16"/>
                <w:szCs w:val="16"/>
              </w:rPr>
            </w:pPr>
            <w:r w:rsidRPr="00192507">
              <w:rPr>
                <w:color w:val="000000"/>
                <w:sz w:val="16"/>
                <w:szCs w:val="16"/>
              </w:rPr>
              <w:t>4.4.1.4.</w:t>
            </w:r>
          </w:p>
        </w:tc>
        <w:tc>
          <w:tcPr>
            <w:tcW w:w="902" w:type="pct"/>
            <w:shd w:val="clear" w:color="auto" w:fill="auto"/>
            <w:vAlign w:val="center"/>
            <w:hideMark/>
          </w:tcPr>
          <w:p w14:paraId="76856B2E" w14:textId="77777777" w:rsidR="008F3544" w:rsidRPr="00FF07BF"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4.4.1.4.</m:t>
                    </m:r>
                  </m:sub>
                  <m:sup>
                    <m:r>
                      <m:rPr>
                        <m:nor/>
                      </m:rPr>
                      <w:rPr>
                        <w:color w:val="000000"/>
                      </w:rPr>
                      <m:t>1-20 кВ</m:t>
                    </m:r>
                  </m:sup>
                </m:sSubSup>
              </m:oMath>
            </m:oMathPara>
          </w:p>
        </w:tc>
        <w:tc>
          <w:tcPr>
            <w:tcW w:w="1525" w:type="pct"/>
            <w:shd w:val="clear" w:color="auto" w:fill="auto"/>
            <w:vAlign w:val="center"/>
            <w:hideMark/>
          </w:tcPr>
          <w:p w14:paraId="776DCDBA" w14:textId="77777777" w:rsidR="008F3544" w:rsidRPr="00192507" w:rsidRDefault="008F3544" w:rsidP="0099088D">
            <w:pPr>
              <w:rPr>
                <w:color w:val="000000"/>
                <w:sz w:val="16"/>
                <w:szCs w:val="16"/>
              </w:rPr>
            </w:pPr>
            <w:r w:rsidRPr="00192507">
              <w:rPr>
                <w:color w:val="000000"/>
                <w:sz w:val="16"/>
                <w:szCs w:val="16"/>
              </w:rPr>
              <w:t>распределительные пункты (РП), за исключением комплектных распределительных устройств наружной установки (КРН, КРУН), номинальным током до 100 А включительно с количеством ячеек свыше 15</w:t>
            </w:r>
          </w:p>
        </w:tc>
        <w:tc>
          <w:tcPr>
            <w:tcW w:w="696" w:type="pct"/>
            <w:shd w:val="clear" w:color="auto" w:fill="auto"/>
            <w:vAlign w:val="center"/>
            <w:hideMark/>
          </w:tcPr>
          <w:p w14:paraId="4A7A48E3" w14:textId="77777777" w:rsidR="008F3544" w:rsidRPr="00192507" w:rsidRDefault="008F3544" w:rsidP="0099088D">
            <w:pPr>
              <w:jc w:val="center"/>
              <w:rPr>
                <w:color w:val="000000"/>
                <w:sz w:val="16"/>
                <w:szCs w:val="16"/>
              </w:rPr>
            </w:pPr>
            <w:r w:rsidRPr="00192507">
              <w:rPr>
                <w:color w:val="000000"/>
                <w:sz w:val="16"/>
                <w:szCs w:val="16"/>
              </w:rPr>
              <w:t>рублей/шт</w:t>
            </w:r>
            <w:r>
              <w:rPr>
                <w:color w:val="000000"/>
                <w:sz w:val="16"/>
                <w:szCs w:val="16"/>
              </w:rPr>
              <w:t>.</w:t>
            </w:r>
          </w:p>
        </w:tc>
        <w:tc>
          <w:tcPr>
            <w:tcW w:w="602" w:type="pct"/>
            <w:shd w:val="clear" w:color="auto" w:fill="auto"/>
            <w:noWrap/>
            <w:vAlign w:val="center"/>
            <w:hideMark/>
          </w:tcPr>
          <w:p w14:paraId="504B1118" w14:textId="77777777" w:rsidR="008F3544" w:rsidRPr="00192507" w:rsidRDefault="008F3544" w:rsidP="0099088D">
            <w:pPr>
              <w:jc w:val="center"/>
              <w:rPr>
                <w:color w:val="000000"/>
                <w:sz w:val="16"/>
                <w:szCs w:val="16"/>
              </w:rPr>
            </w:pPr>
            <w:r w:rsidRPr="00192507">
              <w:rPr>
                <w:color w:val="000000"/>
                <w:sz w:val="16"/>
                <w:szCs w:val="16"/>
              </w:rPr>
              <w:t>28 431 845,37</w:t>
            </w:r>
          </w:p>
        </w:tc>
        <w:tc>
          <w:tcPr>
            <w:tcW w:w="603" w:type="pct"/>
            <w:shd w:val="clear" w:color="auto" w:fill="auto"/>
            <w:noWrap/>
            <w:vAlign w:val="center"/>
            <w:hideMark/>
          </w:tcPr>
          <w:p w14:paraId="6ADB9D62" w14:textId="77777777" w:rsidR="008F3544" w:rsidRPr="00192507" w:rsidRDefault="008F3544" w:rsidP="0099088D">
            <w:pPr>
              <w:jc w:val="center"/>
              <w:rPr>
                <w:color w:val="000000"/>
                <w:sz w:val="16"/>
                <w:szCs w:val="16"/>
              </w:rPr>
            </w:pPr>
            <w:r>
              <w:rPr>
                <w:color w:val="000000"/>
                <w:sz w:val="16"/>
                <w:szCs w:val="16"/>
              </w:rPr>
              <w:t>-</w:t>
            </w:r>
          </w:p>
        </w:tc>
      </w:tr>
      <w:tr w:rsidR="008F3544" w:rsidRPr="00192507" w14:paraId="73107D5F" w14:textId="77777777" w:rsidTr="0099088D">
        <w:trPr>
          <w:trHeight w:val="872"/>
        </w:trPr>
        <w:tc>
          <w:tcPr>
            <w:tcW w:w="672" w:type="pct"/>
            <w:shd w:val="clear" w:color="auto" w:fill="auto"/>
            <w:vAlign w:val="center"/>
          </w:tcPr>
          <w:p w14:paraId="39C86866" w14:textId="77777777" w:rsidR="008F3544" w:rsidRPr="00192507" w:rsidRDefault="008F3544" w:rsidP="0099088D">
            <w:pPr>
              <w:jc w:val="center"/>
              <w:rPr>
                <w:color w:val="000000"/>
                <w:sz w:val="16"/>
                <w:szCs w:val="16"/>
              </w:rPr>
            </w:pPr>
            <w:r>
              <w:rPr>
                <w:color w:val="000000"/>
                <w:sz w:val="16"/>
                <w:szCs w:val="16"/>
              </w:rPr>
              <w:t>4.5.4.1.</w:t>
            </w:r>
          </w:p>
        </w:tc>
        <w:tc>
          <w:tcPr>
            <w:tcW w:w="902" w:type="pct"/>
            <w:shd w:val="clear" w:color="auto" w:fill="auto"/>
            <w:vAlign w:val="center"/>
          </w:tcPr>
          <w:p w14:paraId="5859DB62" w14:textId="77777777" w:rsidR="008F3544" w:rsidRPr="001B4859" w:rsidRDefault="008F3544" w:rsidP="0099088D">
            <w:pPr>
              <w:rPr>
                <w:color w:val="000000"/>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4.5.4.1.</m:t>
                    </m:r>
                  </m:sub>
                  <m:sup>
                    <m:r>
                      <m:rPr>
                        <m:nor/>
                      </m:rPr>
                      <w:rPr>
                        <w:color w:val="000000"/>
                      </w:rPr>
                      <m:t>1-20 кВ</m:t>
                    </m:r>
                  </m:sup>
                </m:sSubSup>
              </m:oMath>
            </m:oMathPara>
          </w:p>
        </w:tc>
        <w:tc>
          <w:tcPr>
            <w:tcW w:w="1525" w:type="pct"/>
            <w:shd w:val="clear" w:color="auto" w:fill="auto"/>
            <w:vAlign w:val="center"/>
          </w:tcPr>
          <w:p w14:paraId="0A421FA3" w14:textId="77777777" w:rsidR="008F3544" w:rsidRPr="00192507" w:rsidRDefault="008F3544" w:rsidP="0099088D">
            <w:pPr>
              <w:rPr>
                <w:color w:val="000000"/>
                <w:sz w:val="16"/>
                <w:szCs w:val="16"/>
              </w:rPr>
            </w:pPr>
            <w:r w:rsidRPr="001B4859">
              <w:rPr>
                <w:color w:val="000000"/>
                <w:sz w:val="16"/>
                <w:szCs w:val="16"/>
              </w:rPr>
              <w:t>комплектные распределительные устройства наружной установки (КРН, КРУН) номинальным током от 500 до 1000 А включительно с количеством ячеек до 5 включительно (1 ячейка)</w:t>
            </w:r>
          </w:p>
        </w:tc>
        <w:tc>
          <w:tcPr>
            <w:tcW w:w="696" w:type="pct"/>
            <w:shd w:val="clear" w:color="auto" w:fill="auto"/>
            <w:vAlign w:val="center"/>
          </w:tcPr>
          <w:p w14:paraId="25C46C4F" w14:textId="77777777" w:rsidR="008F3544" w:rsidRPr="00192507" w:rsidRDefault="008F3544" w:rsidP="0099088D">
            <w:pPr>
              <w:jc w:val="center"/>
              <w:rPr>
                <w:color w:val="000000"/>
                <w:sz w:val="16"/>
                <w:szCs w:val="16"/>
              </w:rPr>
            </w:pPr>
            <w:r w:rsidRPr="00192507">
              <w:rPr>
                <w:color w:val="000000"/>
                <w:sz w:val="16"/>
                <w:szCs w:val="16"/>
              </w:rPr>
              <w:t>рублей/шт</w:t>
            </w:r>
            <w:r>
              <w:rPr>
                <w:color w:val="000000"/>
                <w:sz w:val="16"/>
                <w:szCs w:val="16"/>
              </w:rPr>
              <w:t>.</w:t>
            </w:r>
          </w:p>
        </w:tc>
        <w:tc>
          <w:tcPr>
            <w:tcW w:w="602" w:type="pct"/>
            <w:shd w:val="clear" w:color="auto" w:fill="auto"/>
            <w:noWrap/>
            <w:vAlign w:val="center"/>
          </w:tcPr>
          <w:p w14:paraId="7B7BE019" w14:textId="77777777" w:rsidR="008F3544" w:rsidRPr="00192507" w:rsidRDefault="008F3544" w:rsidP="0099088D">
            <w:pPr>
              <w:jc w:val="center"/>
              <w:rPr>
                <w:color w:val="000000"/>
                <w:sz w:val="16"/>
                <w:szCs w:val="16"/>
              </w:rPr>
            </w:pPr>
            <w:r w:rsidRPr="001B4859">
              <w:rPr>
                <w:color w:val="000000"/>
                <w:sz w:val="16"/>
                <w:szCs w:val="16"/>
              </w:rPr>
              <w:t>3 443 084,25</w:t>
            </w:r>
          </w:p>
        </w:tc>
        <w:tc>
          <w:tcPr>
            <w:tcW w:w="603" w:type="pct"/>
            <w:shd w:val="clear" w:color="auto" w:fill="auto"/>
            <w:noWrap/>
            <w:vAlign w:val="center"/>
          </w:tcPr>
          <w:p w14:paraId="5A511145" w14:textId="77777777" w:rsidR="008F3544" w:rsidRDefault="008F3544" w:rsidP="0099088D">
            <w:pPr>
              <w:jc w:val="center"/>
              <w:rPr>
                <w:color w:val="000000"/>
                <w:sz w:val="16"/>
                <w:szCs w:val="16"/>
              </w:rPr>
            </w:pPr>
            <w:r w:rsidRPr="001B4859">
              <w:rPr>
                <w:color w:val="000000"/>
                <w:sz w:val="16"/>
                <w:szCs w:val="16"/>
              </w:rPr>
              <w:t>3 443 084,25</w:t>
            </w:r>
          </w:p>
        </w:tc>
      </w:tr>
      <w:tr w:rsidR="008F3544" w:rsidRPr="00192507" w14:paraId="29C6B308" w14:textId="77777777" w:rsidTr="0099088D">
        <w:trPr>
          <w:trHeight w:val="675"/>
        </w:trPr>
        <w:tc>
          <w:tcPr>
            <w:tcW w:w="672" w:type="pct"/>
            <w:shd w:val="clear" w:color="auto" w:fill="auto"/>
            <w:vAlign w:val="center"/>
            <w:hideMark/>
          </w:tcPr>
          <w:p w14:paraId="5AA6A8A3" w14:textId="77777777" w:rsidR="008F3544" w:rsidRPr="00192507" w:rsidRDefault="008F3544" w:rsidP="0099088D">
            <w:pPr>
              <w:jc w:val="center"/>
              <w:rPr>
                <w:color w:val="000000"/>
                <w:sz w:val="16"/>
                <w:szCs w:val="16"/>
              </w:rPr>
            </w:pPr>
            <w:r w:rsidRPr="00192507">
              <w:rPr>
                <w:color w:val="000000"/>
                <w:sz w:val="16"/>
                <w:szCs w:val="16"/>
              </w:rPr>
              <w:t>4.6.1.1.</w:t>
            </w:r>
          </w:p>
        </w:tc>
        <w:tc>
          <w:tcPr>
            <w:tcW w:w="902" w:type="pct"/>
            <w:shd w:val="clear" w:color="auto" w:fill="auto"/>
            <w:vAlign w:val="center"/>
            <w:hideMark/>
          </w:tcPr>
          <w:p w14:paraId="46A04A42" w14:textId="77777777" w:rsidR="008F3544" w:rsidRPr="00FF07BF"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4.6.1.1.</m:t>
                    </m:r>
                  </m:sub>
                  <m:sup>
                    <m:r>
                      <m:rPr>
                        <m:nor/>
                      </m:rPr>
                      <w:rPr>
                        <w:color w:val="000000"/>
                      </w:rPr>
                      <m:t>1-20 кВ</m:t>
                    </m:r>
                  </m:sup>
                </m:sSubSup>
              </m:oMath>
            </m:oMathPara>
          </w:p>
        </w:tc>
        <w:tc>
          <w:tcPr>
            <w:tcW w:w="1525" w:type="pct"/>
            <w:shd w:val="clear" w:color="auto" w:fill="auto"/>
            <w:vAlign w:val="center"/>
            <w:hideMark/>
          </w:tcPr>
          <w:p w14:paraId="0E4DA60A" w14:textId="77777777" w:rsidR="008F3544" w:rsidRPr="00192507" w:rsidRDefault="008F3544" w:rsidP="0099088D">
            <w:pPr>
              <w:rPr>
                <w:color w:val="000000"/>
                <w:sz w:val="16"/>
                <w:szCs w:val="16"/>
              </w:rPr>
            </w:pPr>
            <w:r w:rsidRPr="00192507">
              <w:rPr>
                <w:color w:val="000000"/>
                <w:sz w:val="16"/>
                <w:szCs w:val="16"/>
              </w:rPr>
              <w:t>переключательные пункты номинальным током до 100 А включительно с количеством ячеек до 5 включительно</w:t>
            </w:r>
          </w:p>
        </w:tc>
        <w:tc>
          <w:tcPr>
            <w:tcW w:w="696" w:type="pct"/>
            <w:shd w:val="clear" w:color="auto" w:fill="auto"/>
            <w:vAlign w:val="center"/>
            <w:hideMark/>
          </w:tcPr>
          <w:p w14:paraId="53E77BDD" w14:textId="77777777" w:rsidR="008F3544" w:rsidRPr="00192507" w:rsidRDefault="008F3544" w:rsidP="0099088D">
            <w:pPr>
              <w:jc w:val="center"/>
              <w:rPr>
                <w:color w:val="000000"/>
                <w:sz w:val="16"/>
                <w:szCs w:val="16"/>
              </w:rPr>
            </w:pPr>
            <w:r w:rsidRPr="00192507">
              <w:rPr>
                <w:color w:val="000000"/>
                <w:sz w:val="16"/>
                <w:szCs w:val="16"/>
              </w:rPr>
              <w:t>рублей/шт</w:t>
            </w:r>
            <w:r>
              <w:rPr>
                <w:color w:val="000000"/>
                <w:sz w:val="16"/>
                <w:szCs w:val="16"/>
              </w:rPr>
              <w:t>.</w:t>
            </w:r>
          </w:p>
        </w:tc>
        <w:tc>
          <w:tcPr>
            <w:tcW w:w="602" w:type="pct"/>
            <w:shd w:val="clear" w:color="auto" w:fill="auto"/>
            <w:noWrap/>
            <w:vAlign w:val="center"/>
            <w:hideMark/>
          </w:tcPr>
          <w:p w14:paraId="7287A9E5" w14:textId="77777777" w:rsidR="008F3544" w:rsidRPr="00192507" w:rsidRDefault="008F3544" w:rsidP="0099088D">
            <w:pPr>
              <w:jc w:val="center"/>
              <w:rPr>
                <w:color w:val="000000"/>
                <w:sz w:val="16"/>
                <w:szCs w:val="16"/>
              </w:rPr>
            </w:pPr>
            <w:r w:rsidRPr="00192507">
              <w:rPr>
                <w:color w:val="000000"/>
                <w:sz w:val="16"/>
                <w:szCs w:val="16"/>
              </w:rPr>
              <w:t>816 427,50</w:t>
            </w:r>
          </w:p>
        </w:tc>
        <w:tc>
          <w:tcPr>
            <w:tcW w:w="603" w:type="pct"/>
            <w:shd w:val="clear" w:color="auto" w:fill="auto"/>
            <w:noWrap/>
            <w:vAlign w:val="center"/>
            <w:hideMark/>
          </w:tcPr>
          <w:p w14:paraId="598DA383" w14:textId="77777777" w:rsidR="008F3544" w:rsidRPr="00192507" w:rsidRDefault="008F3544" w:rsidP="0099088D">
            <w:pPr>
              <w:jc w:val="center"/>
              <w:rPr>
                <w:color w:val="000000"/>
                <w:sz w:val="16"/>
                <w:szCs w:val="16"/>
              </w:rPr>
            </w:pPr>
            <w:r>
              <w:rPr>
                <w:color w:val="000000"/>
                <w:sz w:val="16"/>
                <w:szCs w:val="16"/>
              </w:rPr>
              <w:t>-</w:t>
            </w:r>
          </w:p>
        </w:tc>
      </w:tr>
      <w:tr w:rsidR="008F3544" w:rsidRPr="00192507" w14:paraId="45CA29E4" w14:textId="77777777" w:rsidTr="0099088D">
        <w:trPr>
          <w:trHeight w:val="675"/>
        </w:trPr>
        <w:tc>
          <w:tcPr>
            <w:tcW w:w="672" w:type="pct"/>
            <w:shd w:val="clear" w:color="auto" w:fill="auto"/>
            <w:vAlign w:val="center"/>
            <w:hideMark/>
          </w:tcPr>
          <w:p w14:paraId="46CEF699" w14:textId="77777777" w:rsidR="008F3544" w:rsidRPr="00192507" w:rsidRDefault="008F3544" w:rsidP="0099088D">
            <w:pPr>
              <w:jc w:val="center"/>
              <w:rPr>
                <w:color w:val="000000"/>
                <w:sz w:val="16"/>
                <w:szCs w:val="16"/>
              </w:rPr>
            </w:pPr>
            <w:r w:rsidRPr="00192507">
              <w:rPr>
                <w:color w:val="000000"/>
                <w:sz w:val="16"/>
                <w:szCs w:val="16"/>
              </w:rPr>
              <w:t>4.6.2.2.</w:t>
            </w:r>
          </w:p>
        </w:tc>
        <w:tc>
          <w:tcPr>
            <w:tcW w:w="902" w:type="pct"/>
            <w:shd w:val="clear" w:color="auto" w:fill="auto"/>
            <w:vAlign w:val="center"/>
            <w:hideMark/>
          </w:tcPr>
          <w:p w14:paraId="0CD72A5F" w14:textId="77777777" w:rsidR="008F3544" w:rsidRPr="00FF07BF"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4.6.2.2.</m:t>
                    </m:r>
                  </m:sub>
                  <m:sup>
                    <m:r>
                      <m:rPr>
                        <m:nor/>
                      </m:rPr>
                      <w:rPr>
                        <w:color w:val="000000"/>
                      </w:rPr>
                      <m:t>1-20 кВ</m:t>
                    </m:r>
                  </m:sup>
                </m:sSubSup>
              </m:oMath>
            </m:oMathPara>
          </w:p>
        </w:tc>
        <w:tc>
          <w:tcPr>
            <w:tcW w:w="1525" w:type="pct"/>
            <w:shd w:val="clear" w:color="auto" w:fill="auto"/>
            <w:vAlign w:val="center"/>
            <w:hideMark/>
          </w:tcPr>
          <w:p w14:paraId="3581295F" w14:textId="77777777" w:rsidR="008F3544" w:rsidRPr="00192507" w:rsidRDefault="008F3544" w:rsidP="0099088D">
            <w:pPr>
              <w:rPr>
                <w:color w:val="000000"/>
                <w:sz w:val="16"/>
                <w:szCs w:val="16"/>
              </w:rPr>
            </w:pPr>
            <w:r w:rsidRPr="00192507">
              <w:rPr>
                <w:color w:val="000000"/>
                <w:sz w:val="16"/>
                <w:szCs w:val="16"/>
              </w:rPr>
              <w:t>переключательные пункты номинальным током от 100 до 250 А включительно с количеством ячеек от 5 до 10 включительно</w:t>
            </w:r>
          </w:p>
        </w:tc>
        <w:tc>
          <w:tcPr>
            <w:tcW w:w="696" w:type="pct"/>
            <w:shd w:val="clear" w:color="auto" w:fill="auto"/>
            <w:vAlign w:val="center"/>
            <w:hideMark/>
          </w:tcPr>
          <w:p w14:paraId="371CF775" w14:textId="77777777" w:rsidR="008F3544" w:rsidRPr="00192507" w:rsidRDefault="008F3544" w:rsidP="0099088D">
            <w:pPr>
              <w:jc w:val="center"/>
              <w:rPr>
                <w:color w:val="000000"/>
                <w:sz w:val="16"/>
                <w:szCs w:val="16"/>
              </w:rPr>
            </w:pPr>
            <w:r w:rsidRPr="00192507">
              <w:rPr>
                <w:color w:val="000000"/>
                <w:sz w:val="16"/>
                <w:szCs w:val="16"/>
              </w:rPr>
              <w:t>рублей/шт</w:t>
            </w:r>
            <w:r>
              <w:rPr>
                <w:color w:val="000000"/>
                <w:sz w:val="16"/>
                <w:szCs w:val="16"/>
              </w:rPr>
              <w:t>.</w:t>
            </w:r>
          </w:p>
        </w:tc>
        <w:tc>
          <w:tcPr>
            <w:tcW w:w="602" w:type="pct"/>
            <w:shd w:val="clear" w:color="auto" w:fill="auto"/>
            <w:noWrap/>
            <w:vAlign w:val="center"/>
            <w:hideMark/>
          </w:tcPr>
          <w:p w14:paraId="6D4E0417" w14:textId="77777777" w:rsidR="008F3544" w:rsidRPr="00192507" w:rsidRDefault="008F3544" w:rsidP="0099088D">
            <w:pPr>
              <w:jc w:val="center"/>
              <w:rPr>
                <w:color w:val="000000"/>
                <w:sz w:val="16"/>
                <w:szCs w:val="16"/>
              </w:rPr>
            </w:pPr>
            <w:r w:rsidRPr="00192507">
              <w:rPr>
                <w:color w:val="000000"/>
                <w:sz w:val="16"/>
                <w:szCs w:val="16"/>
              </w:rPr>
              <w:t>1 185 554,33</w:t>
            </w:r>
          </w:p>
        </w:tc>
        <w:tc>
          <w:tcPr>
            <w:tcW w:w="603" w:type="pct"/>
            <w:shd w:val="clear" w:color="auto" w:fill="auto"/>
            <w:noWrap/>
            <w:vAlign w:val="center"/>
            <w:hideMark/>
          </w:tcPr>
          <w:p w14:paraId="64FFD639" w14:textId="77777777" w:rsidR="008F3544" w:rsidRPr="00192507" w:rsidRDefault="008F3544" w:rsidP="0099088D">
            <w:pPr>
              <w:jc w:val="center"/>
              <w:rPr>
                <w:color w:val="000000"/>
                <w:sz w:val="16"/>
                <w:szCs w:val="16"/>
              </w:rPr>
            </w:pPr>
            <w:r>
              <w:rPr>
                <w:color w:val="000000"/>
                <w:sz w:val="16"/>
                <w:szCs w:val="16"/>
              </w:rPr>
              <w:t>-</w:t>
            </w:r>
          </w:p>
        </w:tc>
      </w:tr>
      <w:tr w:rsidR="008F3544" w:rsidRPr="00192507" w14:paraId="68CF40B9" w14:textId="77777777" w:rsidTr="0099088D">
        <w:trPr>
          <w:trHeight w:val="675"/>
        </w:trPr>
        <w:tc>
          <w:tcPr>
            <w:tcW w:w="672" w:type="pct"/>
            <w:shd w:val="clear" w:color="auto" w:fill="auto"/>
            <w:vAlign w:val="center"/>
            <w:hideMark/>
          </w:tcPr>
          <w:p w14:paraId="77B5D9DB" w14:textId="77777777" w:rsidR="008F3544" w:rsidRPr="00192507" w:rsidRDefault="008F3544" w:rsidP="0099088D">
            <w:pPr>
              <w:jc w:val="center"/>
              <w:rPr>
                <w:color w:val="000000"/>
                <w:sz w:val="16"/>
                <w:szCs w:val="16"/>
              </w:rPr>
            </w:pPr>
            <w:r w:rsidRPr="00192507">
              <w:rPr>
                <w:color w:val="000000"/>
                <w:sz w:val="16"/>
                <w:szCs w:val="16"/>
              </w:rPr>
              <w:t>4.6.3.2.</w:t>
            </w:r>
          </w:p>
        </w:tc>
        <w:tc>
          <w:tcPr>
            <w:tcW w:w="902" w:type="pct"/>
            <w:shd w:val="clear" w:color="auto" w:fill="auto"/>
            <w:vAlign w:val="center"/>
            <w:hideMark/>
          </w:tcPr>
          <w:p w14:paraId="16739215" w14:textId="77777777" w:rsidR="008F3544" w:rsidRPr="00FF07BF"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4.6.3.2.</m:t>
                    </m:r>
                  </m:sub>
                  <m:sup>
                    <m:r>
                      <m:rPr>
                        <m:nor/>
                      </m:rPr>
                      <w:rPr>
                        <w:color w:val="000000"/>
                      </w:rPr>
                      <m:t>1-20 кВ</m:t>
                    </m:r>
                  </m:sup>
                </m:sSubSup>
              </m:oMath>
            </m:oMathPara>
          </w:p>
        </w:tc>
        <w:tc>
          <w:tcPr>
            <w:tcW w:w="1525" w:type="pct"/>
            <w:shd w:val="clear" w:color="auto" w:fill="auto"/>
            <w:vAlign w:val="center"/>
            <w:hideMark/>
          </w:tcPr>
          <w:p w14:paraId="6AB7FC47" w14:textId="77777777" w:rsidR="008F3544" w:rsidRPr="00192507" w:rsidRDefault="008F3544" w:rsidP="0099088D">
            <w:pPr>
              <w:rPr>
                <w:color w:val="000000"/>
                <w:sz w:val="16"/>
                <w:szCs w:val="16"/>
              </w:rPr>
            </w:pPr>
            <w:r w:rsidRPr="00192507">
              <w:rPr>
                <w:color w:val="000000"/>
                <w:sz w:val="16"/>
                <w:szCs w:val="16"/>
              </w:rPr>
              <w:t>переключательные пункты номинальным током от 250 до 500 А включительно с количеством ячеек от 5 до 10 включительно</w:t>
            </w:r>
          </w:p>
        </w:tc>
        <w:tc>
          <w:tcPr>
            <w:tcW w:w="696" w:type="pct"/>
            <w:shd w:val="clear" w:color="auto" w:fill="auto"/>
            <w:vAlign w:val="center"/>
            <w:hideMark/>
          </w:tcPr>
          <w:p w14:paraId="2F562907" w14:textId="77777777" w:rsidR="008F3544" w:rsidRPr="00192507" w:rsidRDefault="008F3544" w:rsidP="0099088D">
            <w:pPr>
              <w:jc w:val="center"/>
              <w:rPr>
                <w:color w:val="000000"/>
                <w:sz w:val="16"/>
                <w:szCs w:val="16"/>
              </w:rPr>
            </w:pPr>
            <w:r w:rsidRPr="00192507">
              <w:rPr>
                <w:color w:val="000000"/>
                <w:sz w:val="16"/>
                <w:szCs w:val="16"/>
              </w:rPr>
              <w:t>рублей/шт</w:t>
            </w:r>
            <w:r>
              <w:rPr>
                <w:color w:val="000000"/>
                <w:sz w:val="16"/>
                <w:szCs w:val="16"/>
              </w:rPr>
              <w:t>.</w:t>
            </w:r>
          </w:p>
        </w:tc>
        <w:tc>
          <w:tcPr>
            <w:tcW w:w="602" w:type="pct"/>
            <w:shd w:val="clear" w:color="auto" w:fill="auto"/>
            <w:noWrap/>
            <w:vAlign w:val="center"/>
            <w:hideMark/>
          </w:tcPr>
          <w:p w14:paraId="1770C757" w14:textId="77777777" w:rsidR="008F3544" w:rsidRPr="00192507" w:rsidRDefault="008F3544" w:rsidP="0099088D">
            <w:pPr>
              <w:jc w:val="center"/>
              <w:rPr>
                <w:color w:val="000000"/>
                <w:sz w:val="16"/>
                <w:szCs w:val="16"/>
              </w:rPr>
            </w:pPr>
            <w:r w:rsidRPr="00192507">
              <w:rPr>
                <w:color w:val="000000"/>
                <w:sz w:val="16"/>
                <w:szCs w:val="16"/>
              </w:rPr>
              <w:t>1 836 908,38</w:t>
            </w:r>
          </w:p>
        </w:tc>
        <w:tc>
          <w:tcPr>
            <w:tcW w:w="603" w:type="pct"/>
            <w:shd w:val="clear" w:color="auto" w:fill="auto"/>
            <w:noWrap/>
            <w:vAlign w:val="center"/>
            <w:hideMark/>
          </w:tcPr>
          <w:p w14:paraId="5C9C0741" w14:textId="77777777" w:rsidR="008F3544" w:rsidRPr="00192507" w:rsidRDefault="008F3544" w:rsidP="0099088D">
            <w:pPr>
              <w:jc w:val="center"/>
              <w:rPr>
                <w:color w:val="000000"/>
                <w:sz w:val="16"/>
                <w:szCs w:val="16"/>
              </w:rPr>
            </w:pPr>
            <w:r>
              <w:rPr>
                <w:color w:val="000000"/>
                <w:sz w:val="16"/>
                <w:szCs w:val="16"/>
              </w:rPr>
              <w:t>-</w:t>
            </w:r>
          </w:p>
        </w:tc>
      </w:tr>
      <w:tr w:rsidR="008F3544" w:rsidRPr="00192507" w14:paraId="27ED893A" w14:textId="77777777" w:rsidTr="0099088D">
        <w:trPr>
          <w:trHeight w:val="463"/>
        </w:trPr>
        <w:tc>
          <w:tcPr>
            <w:tcW w:w="672" w:type="pct"/>
            <w:vMerge w:val="restart"/>
            <w:shd w:val="clear" w:color="auto" w:fill="auto"/>
            <w:vAlign w:val="center"/>
            <w:hideMark/>
          </w:tcPr>
          <w:p w14:paraId="71F2D990" w14:textId="77777777" w:rsidR="008F3544" w:rsidRPr="00192507" w:rsidRDefault="008F3544" w:rsidP="0099088D">
            <w:pPr>
              <w:jc w:val="center"/>
              <w:rPr>
                <w:color w:val="000000"/>
                <w:sz w:val="16"/>
                <w:szCs w:val="16"/>
              </w:rPr>
            </w:pPr>
            <w:r w:rsidRPr="00192507">
              <w:rPr>
                <w:color w:val="000000"/>
                <w:sz w:val="16"/>
                <w:szCs w:val="16"/>
              </w:rPr>
              <w:t>5.1.1.1.</w:t>
            </w:r>
          </w:p>
        </w:tc>
        <w:tc>
          <w:tcPr>
            <w:tcW w:w="902" w:type="pct"/>
            <w:shd w:val="clear" w:color="auto" w:fill="auto"/>
            <w:vAlign w:val="center"/>
            <w:hideMark/>
          </w:tcPr>
          <w:p w14:paraId="0C9159C9" w14:textId="77777777" w:rsidR="008F3544" w:rsidRPr="00C96B23"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5.1.1.1.</m:t>
                    </m:r>
                  </m:sub>
                  <m:sup>
                    <m:r>
                      <m:rPr>
                        <m:nor/>
                      </m:rPr>
                      <w:rPr>
                        <w:color w:val="000000"/>
                      </w:rPr>
                      <m:t>6/0,4 кВ</m:t>
                    </m:r>
                  </m:sup>
                </m:sSubSup>
              </m:oMath>
            </m:oMathPara>
          </w:p>
        </w:tc>
        <w:tc>
          <w:tcPr>
            <w:tcW w:w="1525" w:type="pct"/>
            <w:vMerge w:val="restart"/>
            <w:shd w:val="clear" w:color="auto" w:fill="auto"/>
            <w:vAlign w:val="center"/>
            <w:hideMark/>
          </w:tcPr>
          <w:p w14:paraId="3F2E19DC" w14:textId="77777777" w:rsidR="008F3544" w:rsidRPr="00192507" w:rsidRDefault="008F3544" w:rsidP="0099088D">
            <w:pPr>
              <w:rPr>
                <w:color w:val="000000"/>
                <w:sz w:val="16"/>
                <w:szCs w:val="16"/>
              </w:rPr>
            </w:pPr>
            <w:r w:rsidRPr="00192507">
              <w:rPr>
                <w:color w:val="000000"/>
                <w:sz w:val="16"/>
                <w:szCs w:val="16"/>
              </w:rPr>
              <w:t>однотрансформаторные подстанции (за</w:t>
            </w:r>
            <w:r>
              <w:rPr>
                <w:color w:val="000000"/>
                <w:sz w:val="16"/>
                <w:szCs w:val="16"/>
              </w:rPr>
              <w:t> </w:t>
            </w:r>
            <w:r w:rsidRPr="00192507">
              <w:rPr>
                <w:color w:val="000000"/>
                <w:sz w:val="16"/>
                <w:szCs w:val="16"/>
              </w:rPr>
              <w:t>исключением РТП) мощностью до</w:t>
            </w:r>
            <w:r>
              <w:rPr>
                <w:color w:val="000000"/>
                <w:sz w:val="16"/>
                <w:szCs w:val="16"/>
              </w:rPr>
              <w:t> </w:t>
            </w:r>
            <w:r w:rsidRPr="00192507">
              <w:rPr>
                <w:color w:val="000000"/>
                <w:sz w:val="16"/>
                <w:szCs w:val="16"/>
              </w:rPr>
              <w:t>25</w:t>
            </w:r>
            <w:r>
              <w:rPr>
                <w:color w:val="000000"/>
                <w:sz w:val="16"/>
                <w:szCs w:val="16"/>
              </w:rPr>
              <w:t> </w:t>
            </w:r>
            <w:r w:rsidRPr="00192507">
              <w:rPr>
                <w:color w:val="000000"/>
                <w:sz w:val="16"/>
                <w:szCs w:val="16"/>
              </w:rPr>
              <w:t>кВА включительно столбового/мачтового типа</w:t>
            </w:r>
          </w:p>
        </w:tc>
        <w:tc>
          <w:tcPr>
            <w:tcW w:w="696" w:type="pct"/>
            <w:vMerge w:val="restart"/>
            <w:shd w:val="clear" w:color="auto" w:fill="auto"/>
            <w:vAlign w:val="center"/>
            <w:hideMark/>
          </w:tcPr>
          <w:p w14:paraId="66A2DC58" w14:textId="77777777" w:rsidR="008F3544" w:rsidRPr="00192507" w:rsidRDefault="008F3544" w:rsidP="0099088D">
            <w:pPr>
              <w:jc w:val="center"/>
              <w:rPr>
                <w:color w:val="000000"/>
                <w:sz w:val="16"/>
                <w:szCs w:val="16"/>
              </w:rPr>
            </w:pPr>
            <w:r w:rsidRPr="00192507">
              <w:rPr>
                <w:color w:val="000000"/>
                <w:sz w:val="16"/>
                <w:szCs w:val="16"/>
              </w:rPr>
              <w:t>рублей/кВт</w:t>
            </w:r>
          </w:p>
        </w:tc>
        <w:tc>
          <w:tcPr>
            <w:tcW w:w="602" w:type="pct"/>
            <w:shd w:val="clear" w:color="auto" w:fill="auto"/>
            <w:noWrap/>
            <w:vAlign w:val="center"/>
            <w:hideMark/>
          </w:tcPr>
          <w:p w14:paraId="10EC0A7E" w14:textId="77777777" w:rsidR="008F3544" w:rsidRPr="00192507" w:rsidRDefault="008F3544" w:rsidP="0099088D">
            <w:pPr>
              <w:jc w:val="center"/>
              <w:rPr>
                <w:color w:val="000000"/>
                <w:sz w:val="16"/>
                <w:szCs w:val="16"/>
              </w:rPr>
            </w:pPr>
            <w:r w:rsidRPr="00192507">
              <w:rPr>
                <w:color w:val="000000"/>
                <w:sz w:val="16"/>
                <w:szCs w:val="16"/>
              </w:rPr>
              <w:t>16 760,88</w:t>
            </w:r>
          </w:p>
        </w:tc>
        <w:tc>
          <w:tcPr>
            <w:tcW w:w="603" w:type="pct"/>
            <w:shd w:val="clear" w:color="auto" w:fill="auto"/>
            <w:noWrap/>
            <w:vAlign w:val="center"/>
            <w:hideMark/>
          </w:tcPr>
          <w:p w14:paraId="4A5B342D" w14:textId="77777777" w:rsidR="008F3544" w:rsidRPr="00192507" w:rsidRDefault="008F3544" w:rsidP="0099088D">
            <w:pPr>
              <w:jc w:val="center"/>
              <w:rPr>
                <w:color w:val="000000"/>
                <w:sz w:val="16"/>
                <w:szCs w:val="16"/>
              </w:rPr>
            </w:pPr>
            <w:r w:rsidRPr="00192507">
              <w:rPr>
                <w:color w:val="000000"/>
                <w:sz w:val="16"/>
                <w:szCs w:val="16"/>
              </w:rPr>
              <w:t>16 467,58</w:t>
            </w:r>
          </w:p>
        </w:tc>
      </w:tr>
      <w:tr w:rsidR="008F3544" w:rsidRPr="00192507" w14:paraId="388D9D22" w14:textId="77777777" w:rsidTr="0099088D">
        <w:trPr>
          <w:trHeight w:val="463"/>
        </w:trPr>
        <w:tc>
          <w:tcPr>
            <w:tcW w:w="672" w:type="pct"/>
            <w:vMerge/>
            <w:shd w:val="clear" w:color="auto" w:fill="auto"/>
            <w:vAlign w:val="center"/>
            <w:hideMark/>
          </w:tcPr>
          <w:p w14:paraId="5EB6389B" w14:textId="77777777" w:rsidR="008F3544" w:rsidRPr="00192507" w:rsidRDefault="008F3544" w:rsidP="0099088D">
            <w:pPr>
              <w:rPr>
                <w:color w:val="000000"/>
                <w:sz w:val="16"/>
                <w:szCs w:val="16"/>
              </w:rPr>
            </w:pPr>
          </w:p>
        </w:tc>
        <w:tc>
          <w:tcPr>
            <w:tcW w:w="902" w:type="pct"/>
            <w:shd w:val="clear" w:color="auto" w:fill="auto"/>
            <w:vAlign w:val="center"/>
            <w:hideMark/>
          </w:tcPr>
          <w:p w14:paraId="0FA6778A" w14:textId="77777777" w:rsidR="008F3544" w:rsidRPr="00C96B23"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5.1.1.1.</m:t>
                    </m:r>
                  </m:sub>
                  <m:sup>
                    <m:r>
                      <m:rPr>
                        <m:nor/>
                      </m:rPr>
                      <w:rPr>
                        <w:color w:val="000000"/>
                      </w:rPr>
                      <m:t>10/0,4 кВ</m:t>
                    </m:r>
                  </m:sup>
                </m:sSubSup>
              </m:oMath>
            </m:oMathPara>
          </w:p>
        </w:tc>
        <w:tc>
          <w:tcPr>
            <w:tcW w:w="1525" w:type="pct"/>
            <w:vMerge/>
            <w:shd w:val="clear" w:color="auto" w:fill="auto"/>
            <w:vAlign w:val="center"/>
            <w:hideMark/>
          </w:tcPr>
          <w:p w14:paraId="0044ABD3" w14:textId="77777777" w:rsidR="008F3544" w:rsidRPr="00192507" w:rsidRDefault="008F3544" w:rsidP="0099088D">
            <w:pPr>
              <w:rPr>
                <w:color w:val="000000"/>
                <w:sz w:val="16"/>
                <w:szCs w:val="16"/>
              </w:rPr>
            </w:pPr>
          </w:p>
        </w:tc>
        <w:tc>
          <w:tcPr>
            <w:tcW w:w="696" w:type="pct"/>
            <w:vMerge/>
            <w:shd w:val="clear" w:color="auto" w:fill="auto"/>
            <w:vAlign w:val="center"/>
            <w:hideMark/>
          </w:tcPr>
          <w:p w14:paraId="65806417" w14:textId="77777777" w:rsidR="008F3544" w:rsidRPr="00192507" w:rsidRDefault="008F3544" w:rsidP="0099088D">
            <w:pPr>
              <w:rPr>
                <w:color w:val="000000"/>
                <w:sz w:val="16"/>
                <w:szCs w:val="16"/>
              </w:rPr>
            </w:pPr>
          </w:p>
        </w:tc>
        <w:tc>
          <w:tcPr>
            <w:tcW w:w="602" w:type="pct"/>
            <w:shd w:val="clear" w:color="auto" w:fill="auto"/>
            <w:noWrap/>
            <w:vAlign w:val="center"/>
            <w:hideMark/>
          </w:tcPr>
          <w:p w14:paraId="098CA72B" w14:textId="77777777" w:rsidR="008F3544" w:rsidRPr="00192507" w:rsidRDefault="008F3544" w:rsidP="0099088D">
            <w:pPr>
              <w:jc w:val="center"/>
              <w:rPr>
                <w:color w:val="000000"/>
                <w:sz w:val="16"/>
                <w:szCs w:val="16"/>
              </w:rPr>
            </w:pPr>
            <w:r w:rsidRPr="00192507">
              <w:rPr>
                <w:color w:val="000000"/>
                <w:sz w:val="16"/>
                <w:szCs w:val="16"/>
              </w:rPr>
              <w:t>14 872,88</w:t>
            </w:r>
          </w:p>
        </w:tc>
        <w:tc>
          <w:tcPr>
            <w:tcW w:w="603" w:type="pct"/>
            <w:shd w:val="clear" w:color="auto" w:fill="auto"/>
            <w:noWrap/>
            <w:vAlign w:val="center"/>
            <w:hideMark/>
          </w:tcPr>
          <w:p w14:paraId="73F5D231" w14:textId="77777777" w:rsidR="008F3544" w:rsidRPr="00192507" w:rsidRDefault="008F3544" w:rsidP="0099088D">
            <w:pPr>
              <w:jc w:val="center"/>
              <w:rPr>
                <w:color w:val="000000"/>
                <w:sz w:val="16"/>
                <w:szCs w:val="16"/>
              </w:rPr>
            </w:pPr>
            <w:r w:rsidRPr="00192507">
              <w:rPr>
                <w:color w:val="000000"/>
                <w:sz w:val="16"/>
                <w:szCs w:val="16"/>
              </w:rPr>
              <w:t>13 335,00</w:t>
            </w:r>
          </w:p>
        </w:tc>
      </w:tr>
      <w:tr w:rsidR="008F3544" w:rsidRPr="00192507" w14:paraId="433E3EAA" w14:textId="77777777" w:rsidTr="0099088D">
        <w:trPr>
          <w:trHeight w:val="463"/>
        </w:trPr>
        <w:tc>
          <w:tcPr>
            <w:tcW w:w="672" w:type="pct"/>
            <w:vMerge w:val="restart"/>
            <w:shd w:val="clear" w:color="auto" w:fill="auto"/>
            <w:vAlign w:val="center"/>
            <w:hideMark/>
          </w:tcPr>
          <w:p w14:paraId="2BD1FA98" w14:textId="77777777" w:rsidR="008F3544" w:rsidRPr="00192507" w:rsidRDefault="008F3544" w:rsidP="0099088D">
            <w:pPr>
              <w:jc w:val="center"/>
              <w:rPr>
                <w:color w:val="000000"/>
                <w:sz w:val="16"/>
                <w:szCs w:val="16"/>
              </w:rPr>
            </w:pPr>
            <w:r w:rsidRPr="00192507">
              <w:rPr>
                <w:color w:val="000000"/>
                <w:sz w:val="16"/>
                <w:szCs w:val="16"/>
              </w:rPr>
              <w:t>5.1.2.1.</w:t>
            </w:r>
          </w:p>
        </w:tc>
        <w:tc>
          <w:tcPr>
            <w:tcW w:w="902" w:type="pct"/>
            <w:shd w:val="clear" w:color="auto" w:fill="auto"/>
            <w:vAlign w:val="center"/>
            <w:hideMark/>
          </w:tcPr>
          <w:p w14:paraId="31875982" w14:textId="77777777" w:rsidR="008F3544" w:rsidRPr="00C96B23"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5.1.2.1.</m:t>
                    </m:r>
                  </m:sub>
                  <m:sup>
                    <m:r>
                      <m:rPr>
                        <m:nor/>
                      </m:rPr>
                      <w:rPr>
                        <w:color w:val="000000"/>
                      </w:rPr>
                      <m:t>6/0,4 кВ</m:t>
                    </m:r>
                  </m:sup>
                </m:sSubSup>
              </m:oMath>
            </m:oMathPara>
          </w:p>
        </w:tc>
        <w:tc>
          <w:tcPr>
            <w:tcW w:w="1525" w:type="pct"/>
            <w:vMerge w:val="restart"/>
            <w:shd w:val="clear" w:color="auto" w:fill="auto"/>
            <w:vAlign w:val="center"/>
            <w:hideMark/>
          </w:tcPr>
          <w:p w14:paraId="3081A439" w14:textId="77777777" w:rsidR="008F3544" w:rsidRPr="00192507" w:rsidRDefault="008F3544" w:rsidP="0099088D">
            <w:pPr>
              <w:rPr>
                <w:color w:val="000000"/>
                <w:sz w:val="16"/>
                <w:szCs w:val="16"/>
              </w:rPr>
            </w:pPr>
            <w:r w:rsidRPr="00192507">
              <w:rPr>
                <w:color w:val="000000"/>
                <w:sz w:val="16"/>
                <w:szCs w:val="16"/>
              </w:rPr>
              <w:t>однотрансформаторные подстанции (за</w:t>
            </w:r>
            <w:r>
              <w:rPr>
                <w:color w:val="000000"/>
                <w:sz w:val="16"/>
                <w:szCs w:val="16"/>
              </w:rPr>
              <w:t> </w:t>
            </w:r>
            <w:r w:rsidRPr="00192507">
              <w:rPr>
                <w:color w:val="000000"/>
                <w:sz w:val="16"/>
                <w:szCs w:val="16"/>
              </w:rPr>
              <w:t>исключением РТП) мощностью от</w:t>
            </w:r>
            <w:r>
              <w:rPr>
                <w:color w:val="000000"/>
                <w:sz w:val="16"/>
                <w:szCs w:val="16"/>
              </w:rPr>
              <w:t> </w:t>
            </w:r>
            <w:r w:rsidRPr="00192507">
              <w:rPr>
                <w:color w:val="000000"/>
                <w:sz w:val="16"/>
                <w:szCs w:val="16"/>
              </w:rPr>
              <w:t>25 до 100 кВА включительно столбового/мачтового типа</w:t>
            </w:r>
          </w:p>
        </w:tc>
        <w:tc>
          <w:tcPr>
            <w:tcW w:w="696" w:type="pct"/>
            <w:vMerge w:val="restart"/>
            <w:shd w:val="clear" w:color="auto" w:fill="auto"/>
            <w:vAlign w:val="center"/>
            <w:hideMark/>
          </w:tcPr>
          <w:p w14:paraId="7885E9EF" w14:textId="77777777" w:rsidR="008F3544" w:rsidRPr="00192507" w:rsidRDefault="008F3544" w:rsidP="0099088D">
            <w:pPr>
              <w:jc w:val="center"/>
              <w:rPr>
                <w:color w:val="000000"/>
                <w:sz w:val="16"/>
                <w:szCs w:val="16"/>
              </w:rPr>
            </w:pPr>
            <w:r w:rsidRPr="00192507">
              <w:rPr>
                <w:color w:val="000000"/>
                <w:sz w:val="16"/>
                <w:szCs w:val="16"/>
              </w:rPr>
              <w:t>рублей/кВт</w:t>
            </w:r>
          </w:p>
        </w:tc>
        <w:tc>
          <w:tcPr>
            <w:tcW w:w="602" w:type="pct"/>
            <w:shd w:val="clear" w:color="auto" w:fill="auto"/>
            <w:noWrap/>
            <w:vAlign w:val="center"/>
            <w:hideMark/>
          </w:tcPr>
          <w:p w14:paraId="446C5DC0" w14:textId="77777777" w:rsidR="008F3544" w:rsidRPr="00192507" w:rsidRDefault="008F3544" w:rsidP="0099088D">
            <w:pPr>
              <w:jc w:val="center"/>
              <w:rPr>
                <w:color w:val="000000"/>
                <w:sz w:val="16"/>
                <w:szCs w:val="16"/>
              </w:rPr>
            </w:pPr>
            <w:r w:rsidRPr="00192507">
              <w:rPr>
                <w:color w:val="000000"/>
                <w:sz w:val="16"/>
                <w:szCs w:val="16"/>
              </w:rPr>
              <w:t>6 163,53</w:t>
            </w:r>
          </w:p>
        </w:tc>
        <w:tc>
          <w:tcPr>
            <w:tcW w:w="603" w:type="pct"/>
            <w:shd w:val="clear" w:color="auto" w:fill="auto"/>
            <w:noWrap/>
            <w:vAlign w:val="center"/>
            <w:hideMark/>
          </w:tcPr>
          <w:p w14:paraId="0C556632" w14:textId="77777777" w:rsidR="008F3544" w:rsidRPr="00192507" w:rsidRDefault="008F3544" w:rsidP="0099088D">
            <w:pPr>
              <w:jc w:val="center"/>
              <w:rPr>
                <w:color w:val="000000"/>
                <w:sz w:val="16"/>
                <w:szCs w:val="16"/>
              </w:rPr>
            </w:pPr>
            <w:r w:rsidRPr="00192507">
              <w:rPr>
                <w:color w:val="000000"/>
                <w:sz w:val="16"/>
                <w:szCs w:val="16"/>
              </w:rPr>
              <w:t>5 989,80</w:t>
            </w:r>
          </w:p>
        </w:tc>
      </w:tr>
      <w:tr w:rsidR="008F3544" w:rsidRPr="00192507" w14:paraId="59E339DB" w14:textId="77777777" w:rsidTr="0099088D">
        <w:trPr>
          <w:trHeight w:val="463"/>
        </w:trPr>
        <w:tc>
          <w:tcPr>
            <w:tcW w:w="672" w:type="pct"/>
            <w:vMerge/>
            <w:shd w:val="clear" w:color="auto" w:fill="auto"/>
            <w:vAlign w:val="center"/>
            <w:hideMark/>
          </w:tcPr>
          <w:p w14:paraId="45F6E9EE" w14:textId="77777777" w:rsidR="008F3544" w:rsidRPr="00192507" w:rsidRDefault="008F3544" w:rsidP="0099088D">
            <w:pPr>
              <w:rPr>
                <w:color w:val="000000"/>
                <w:sz w:val="16"/>
                <w:szCs w:val="16"/>
              </w:rPr>
            </w:pPr>
          </w:p>
        </w:tc>
        <w:tc>
          <w:tcPr>
            <w:tcW w:w="902" w:type="pct"/>
            <w:shd w:val="clear" w:color="auto" w:fill="auto"/>
            <w:vAlign w:val="center"/>
            <w:hideMark/>
          </w:tcPr>
          <w:p w14:paraId="2C793810" w14:textId="77777777" w:rsidR="008F3544" w:rsidRPr="00C96B23"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5.1.2.1.</m:t>
                    </m:r>
                  </m:sub>
                  <m:sup>
                    <m:r>
                      <m:rPr>
                        <m:nor/>
                      </m:rPr>
                      <w:rPr>
                        <w:color w:val="000000"/>
                      </w:rPr>
                      <m:t>10/0,4 кВ</m:t>
                    </m:r>
                  </m:sup>
                </m:sSubSup>
              </m:oMath>
            </m:oMathPara>
          </w:p>
        </w:tc>
        <w:tc>
          <w:tcPr>
            <w:tcW w:w="1525" w:type="pct"/>
            <w:vMerge/>
            <w:shd w:val="clear" w:color="auto" w:fill="auto"/>
            <w:vAlign w:val="center"/>
            <w:hideMark/>
          </w:tcPr>
          <w:p w14:paraId="4168872B" w14:textId="77777777" w:rsidR="008F3544" w:rsidRPr="00192507" w:rsidRDefault="008F3544" w:rsidP="0099088D">
            <w:pPr>
              <w:rPr>
                <w:color w:val="000000"/>
                <w:sz w:val="16"/>
                <w:szCs w:val="16"/>
              </w:rPr>
            </w:pPr>
          </w:p>
        </w:tc>
        <w:tc>
          <w:tcPr>
            <w:tcW w:w="696" w:type="pct"/>
            <w:vMerge/>
            <w:shd w:val="clear" w:color="auto" w:fill="auto"/>
            <w:vAlign w:val="center"/>
            <w:hideMark/>
          </w:tcPr>
          <w:p w14:paraId="62164FCA" w14:textId="77777777" w:rsidR="008F3544" w:rsidRPr="00192507" w:rsidRDefault="008F3544" w:rsidP="0099088D">
            <w:pPr>
              <w:rPr>
                <w:color w:val="000000"/>
                <w:sz w:val="16"/>
                <w:szCs w:val="16"/>
              </w:rPr>
            </w:pPr>
          </w:p>
        </w:tc>
        <w:tc>
          <w:tcPr>
            <w:tcW w:w="602" w:type="pct"/>
            <w:shd w:val="clear" w:color="auto" w:fill="auto"/>
            <w:noWrap/>
            <w:vAlign w:val="center"/>
            <w:hideMark/>
          </w:tcPr>
          <w:p w14:paraId="0CFFEA0D" w14:textId="77777777" w:rsidR="008F3544" w:rsidRPr="00192507" w:rsidRDefault="008F3544" w:rsidP="0099088D">
            <w:pPr>
              <w:jc w:val="center"/>
              <w:rPr>
                <w:color w:val="000000"/>
                <w:sz w:val="16"/>
                <w:szCs w:val="16"/>
              </w:rPr>
            </w:pPr>
            <w:r w:rsidRPr="00192507">
              <w:rPr>
                <w:color w:val="000000"/>
                <w:sz w:val="16"/>
                <w:szCs w:val="16"/>
              </w:rPr>
              <w:t>5 989,80</w:t>
            </w:r>
          </w:p>
        </w:tc>
        <w:tc>
          <w:tcPr>
            <w:tcW w:w="603" w:type="pct"/>
            <w:shd w:val="clear" w:color="auto" w:fill="auto"/>
            <w:noWrap/>
            <w:vAlign w:val="center"/>
            <w:hideMark/>
          </w:tcPr>
          <w:p w14:paraId="50C2BD41" w14:textId="77777777" w:rsidR="008F3544" w:rsidRPr="00192507" w:rsidRDefault="008F3544" w:rsidP="0099088D">
            <w:pPr>
              <w:jc w:val="center"/>
              <w:rPr>
                <w:color w:val="000000"/>
                <w:sz w:val="16"/>
                <w:szCs w:val="16"/>
              </w:rPr>
            </w:pPr>
            <w:r w:rsidRPr="00192507">
              <w:rPr>
                <w:color w:val="000000"/>
                <w:sz w:val="16"/>
                <w:szCs w:val="16"/>
              </w:rPr>
              <w:t>5 254,61</w:t>
            </w:r>
          </w:p>
        </w:tc>
      </w:tr>
      <w:tr w:rsidR="008F3544" w:rsidRPr="00192507" w14:paraId="61B5A90E" w14:textId="77777777" w:rsidTr="0099088D">
        <w:trPr>
          <w:trHeight w:val="463"/>
        </w:trPr>
        <w:tc>
          <w:tcPr>
            <w:tcW w:w="672" w:type="pct"/>
            <w:vMerge w:val="restart"/>
            <w:shd w:val="clear" w:color="auto" w:fill="auto"/>
            <w:vAlign w:val="center"/>
            <w:hideMark/>
          </w:tcPr>
          <w:p w14:paraId="7D2F7F31" w14:textId="77777777" w:rsidR="008F3544" w:rsidRPr="00192507" w:rsidRDefault="008F3544" w:rsidP="0099088D">
            <w:pPr>
              <w:jc w:val="center"/>
              <w:rPr>
                <w:color w:val="000000"/>
                <w:sz w:val="16"/>
                <w:szCs w:val="16"/>
              </w:rPr>
            </w:pPr>
            <w:r w:rsidRPr="00192507">
              <w:rPr>
                <w:color w:val="000000"/>
                <w:sz w:val="16"/>
                <w:szCs w:val="16"/>
              </w:rPr>
              <w:t>5.1.3.1.</w:t>
            </w:r>
          </w:p>
        </w:tc>
        <w:tc>
          <w:tcPr>
            <w:tcW w:w="902" w:type="pct"/>
            <w:shd w:val="clear" w:color="auto" w:fill="auto"/>
            <w:vAlign w:val="center"/>
            <w:hideMark/>
          </w:tcPr>
          <w:p w14:paraId="222F6593" w14:textId="77777777" w:rsidR="008F3544" w:rsidRPr="00ED764E"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5.1.3.1.</m:t>
                    </m:r>
                  </m:sub>
                  <m:sup>
                    <m:r>
                      <m:rPr>
                        <m:nor/>
                      </m:rPr>
                      <w:rPr>
                        <w:color w:val="000000"/>
                      </w:rPr>
                      <m:t>6/0,4 кВ</m:t>
                    </m:r>
                  </m:sup>
                </m:sSubSup>
              </m:oMath>
            </m:oMathPara>
          </w:p>
        </w:tc>
        <w:tc>
          <w:tcPr>
            <w:tcW w:w="1525" w:type="pct"/>
            <w:vMerge w:val="restart"/>
            <w:shd w:val="clear" w:color="auto" w:fill="auto"/>
            <w:vAlign w:val="center"/>
            <w:hideMark/>
          </w:tcPr>
          <w:p w14:paraId="0F588C1A" w14:textId="77777777" w:rsidR="008F3544" w:rsidRPr="00192507" w:rsidRDefault="008F3544" w:rsidP="0099088D">
            <w:pPr>
              <w:rPr>
                <w:color w:val="000000"/>
                <w:sz w:val="16"/>
                <w:szCs w:val="16"/>
              </w:rPr>
            </w:pPr>
            <w:r w:rsidRPr="00192507">
              <w:rPr>
                <w:color w:val="000000"/>
                <w:sz w:val="16"/>
                <w:szCs w:val="16"/>
              </w:rPr>
              <w:t>однотрансформаторные подстанции (за</w:t>
            </w:r>
            <w:r>
              <w:rPr>
                <w:color w:val="000000"/>
                <w:sz w:val="16"/>
                <w:szCs w:val="16"/>
              </w:rPr>
              <w:t> </w:t>
            </w:r>
            <w:r w:rsidRPr="00192507">
              <w:rPr>
                <w:color w:val="000000"/>
                <w:sz w:val="16"/>
                <w:szCs w:val="16"/>
              </w:rPr>
              <w:t>исключением РТП) мощностью от</w:t>
            </w:r>
            <w:r>
              <w:rPr>
                <w:color w:val="000000"/>
                <w:sz w:val="16"/>
                <w:szCs w:val="16"/>
              </w:rPr>
              <w:t> </w:t>
            </w:r>
            <w:r w:rsidRPr="00192507">
              <w:rPr>
                <w:color w:val="000000"/>
                <w:sz w:val="16"/>
                <w:szCs w:val="16"/>
              </w:rPr>
              <w:t>100 до 250 кВА включительно столбового/мачтового типа</w:t>
            </w:r>
          </w:p>
        </w:tc>
        <w:tc>
          <w:tcPr>
            <w:tcW w:w="696" w:type="pct"/>
            <w:vMerge w:val="restart"/>
            <w:shd w:val="clear" w:color="auto" w:fill="auto"/>
            <w:vAlign w:val="center"/>
            <w:hideMark/>
          </w:tcPr>
          <w:p w14:paraId="530370CD" w14:textId="77777777" w:rsidR="008F3544" w:rsidRPr="00192507" w:rsidRDefault="008F3544" w:rsidP="0099088D">
            <w:pPr>
              <w:jc w:val="center"/>
              <w:rPr>
                <w:color w:val="000000"/>
                <w:sz w:val="16"/>
                <w:szCs w:val="16"/>
              </w:rPr>
            </w:pPr>
            <w:r w:rsidRPr="00192507">
              <w:rPr>
                <w:color w:val="000000"/>
                <w:sz w:val="16"/>
                <w:szCs w:val="16"/>
              </w:rPr>
              <w:t>рублей/кВт</w:t>
            </w:r>
          </w:p>
        </w:tc>
        <w:tc>
          <w:tcPr>
            <w:tcW w:w="602" w:type="pct"/>
            <w:shd w:val="clear" w:color="auto" w:fill="auto"/>
            <w:noWrap/>
            <w:vAlign w:val="center"/>
            <w:hideMark/>
          </w:tcPr>
          <w:p w14:paraId="460B3A85" w14:textId="77777777" w:rsidR="008F3544" w:rsidRPr="00192507" w:rsidRDefault="008F3544" w:rsidP="0099088D">
            <w:pPr>
              <w:jc w:val="center"/>
              <w:rPr>
                <w:color w:val="000000"/>
                <w:sz w:val="16"/>
                <w:szCs w:val="16"/>
              </w:rPr>
            </w:pPr>
            <w:r w:rsidRPr="00192507">
              <w:rPr>
                <w:color w:val="000000"/>
                <w:sz w:val="16"/>
                <w:szCs w:val="16"/>
              </w:rPr>
              <w:t>4 813,33</w:t>
            </w:r>
          </w:p>
        </w:tc>
        <w:tc>
          <w:tcPr>
            <w:tcW w:w="603" w:type="pct"/>
            <w:shd w:val="clear" w:color="auto" w:fill="auto"/>
            <w:noWrap/>
            <w:vAlign w:val="center"/>
            <w:hideMark/>
          </w:tcPr>
          <w:p w14:paraId="37D0D62F" w14:textId="77777777" w:rsidR="008F3544" w:rsidRPr="00192507" w:rsidRDefault="008F3544" w:rsidP="0099088D">
            <w:pPr>
              <w:jc w:val="center"/>
              <w:rPr>
                <w:color w:val="000000"/>
                <w:sz w:val="16"/>
                <w:szCs w:val="16"/>
              </w:rPr>
            </w:pPr>
            <w:r w:rsidRPr="00192507">
              <w:rPr>
                <w:color w:val="000000"/>
                <w:sz w:val="16"/>
                <w:szCs w:val="16"/>
              </w:rPr>
              <w:t>4 280,20</w:t>
            </w:r>
          </w:p>
        </w:tc>
      </w:tr>
      <w:tr w:rsidR="008F3544" w:rsidRPr="00192507" w14:paraId="53688E2F" w14:textId="77777777" w:rsidTr="0099088D">
        <w:trPr>
          <w:trHeight w:val="463"/>
        </w:trPr>
        <w:tc>
          <w:tcPr>
            <w:tcW w:w="672" w:type="pct"/>
            <w:vMerge/>
            <w:shd w:val="clear" w:color="auto" w:fill="auto"/>
            <w:vAlign w:val="center"/>
            <w:hideMark/>
          </w:tcPr>
          <w:p w14:paraId="11237214" w14:textId="77777777" w:rsidR="008F3544" w:rsidRPr="00192507" w:rsidRDefault="008F3544" w:rsidP="0099088D">
            <w:pPr>
              <w:rPr>
                <w:color w:val="000000"/>
                <w:sz w:val="16"/>
                <w:szCs w:val="16"/>
              </w:rPr>
            </w:pPr>
          </w:p>
        </w:tc>
        <w:tc>
          <w:tcPr>
            <w:tcW w:w="902" w:type="pct"/>
            <w:shd w:val="clear" w:color="auto" w:fill="auto"/>
            <w:vAlign w:val="center"/>
            <w:hideMark/>
          </w:tcPr>
          <w:p w14:paraId="17DC23A3" w14:textId="77777777" w:rsidR="008F3544" w:rsidRPr="00ED764E"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5.1.3.1.</m:t>
                    </m:r>
                  </m:sub>
                  <m:sup>
                    <m:r>
                      <m:rPr>
                        <m:nor/>
                      </m:rPr>
                      <w:rPr>
                        <w:color w:val="000000"/>
                      </w:rPr>
                      <m:t>10/0,4 кВ</m:t>
                    </m:r>
                  </m:sup>
                </m:sSubSup>
              </m:oMath>
            </m:oMathPara>
          </w:p>
        </w:tc>
        <w:tc>
          <w:tcPr>
            <w:tcW w:w="1525" w:type="pct"/>
            <w:vMerge/>
            <w:shd w:val="clear" w:color="auto" w:fill="auto"/>
            <w:vAlign w:val="center"/>
            <w:hideMark/>
          </w:tcPr>
          <w:p w14:paraId="734FEACB" w14:textId="77777777" w:rsidR="008F3544" w:rsidRPr="00192507" w:rsidRDefault="008F3544" w:rsidP="0099088D">
            <w:pPr>
              <w:rPr>
                <w:color w:val="000000"/>
                <w:sz w:val="16"/>
                <w:szCs w:val="16"/>
              </w:rPr>
            </w:pPr>
          </w:p>
        </w:tc>
        <w:tc>
          <w:tcPr>
            <w:tcW w:w="696" w:type="pct"/>
            <w:vMerge/>
            <w:shd w:val="clear" w:color="auto" w:fill="auto"/>
            <w:vAlign w:val="center"/>
            <w:hideMark/>
          </w:tcPr>
          <w:p w14:paraId="5BEF71FE" w14:textId="77777777" w:rsidR="008F3544" w:rsidRPr="00192507" w:rsidRDefault="008F3544" w:rsidP="0099088D">
            <w:pPr>
              <w:rPr>
                <w:color w:val="000000"/>
                <w:sz w:val="16"/>
                <w:szCs w:val="16"/>
              </w:rPr>
            </w:pPr>
          </w:p>
        </w:tc>
        <w:tc>
          <w:tcPr>
            <w:tcW w:w="602" w:type="pct"/>
            <w:shd w:val="clear" w:color="auto" w:fill="auto"/>
            <w:noWrap/>
            <w:vAlign w:val="center"/>
            <w:hideMark/>
          </w:tcPr>
          <w:p w14:paraId="0BF50E0B" w14:textId="77777777" w:rsidR="008F3544" w:rsidRPr="00192507" w:rsidRDefault="008F3544" w:rsidP="0099088D">
            <w:pPr>
              <w:jc w:val="center"/>
              <w:rPr>
                <w:color w:val="000000"/>
                <w:sz w:val="16"/>
                <w:szCs w:val="16"/>
              </w:rPr>
            </w:pPr>
            <w:r w:rsidRPr="00192507">
              <w:rPr>
                <w:color w:val="000000"/>
                <w:sz w:val="16"/>
                <w:szCs w:val="16"/>
              </w:rPr>
              <w:t>4 813,33</w:t>
            </w:r>
          </w:p>
        </w:tc>
        <w:tc>
          <w:tcPr>
            <w:tcW w:w="603" w:type="pct"/>
            <w:shd w:val="clear" w:color="auto" w:fill="auto"/>
            <w:noWrap/>
            <w:vAlign w:val="center"/>
            <w:hideMark/>
          </w:tcPr>
          <w:p w14:paraId="53287DA2" w14:textId="77777777" w:rsidR="008F3544" w:rsidRPr="00192507" w:rsidRDefault="008F3544" w:rsidP="0099088D">
            <w:pPr>
              <w:jc w:val="center"/>
              <w:rPr>
                <w:color w:val="000000"/>
                <w:sz w:val="16"/>
                <w:szCs w:val="16"/>
              </w:rPr>
            </w:pPr>
            <w:r w:rsidRPr="00192507">
              <w:rPr>
                <w:color w:val="000000"/>
                <w:sz w:val="16"/>
                <w:szCs w:val="16"/>
              </w:rPr>
              <w:t>4 280,20</w:t>
            </w:r>
          </w:p>
        </w:tc>
      </w:tr>
      <w:tr w:rsidR="008F3544" w:rsidRPr="00192507" w14:paraId="43D1568D" w14:textId="77777777" w:rsidTr="0099088D">
        <w:trPr>
          <w:trHeight w:val="463"/>
        </w:trPr>
        <w:tc>
          <w:tcPr>
            <w:tcW w:w="672" w:type="pct"/>
            <w:vMerge w:val="restart"/>
            <w:shd w:val="clear" w:color="auto" w:fill="auto"/>
            <w:vAlign w:val="center"/>
            <w:hideMark/>
          </w:tcPr>
          <w:p w14:paraId="6D239536" w14:textId="77777777" w:rsidR="008F3544" w:rsidRPr="00192507" w:rsidRDefault="008F3544" w:rsidP="0099088D">
            <w:pPr>
              <w:jc w:val="center"/>
              <w:rPr>
                <w:color w:val="000000"/>
                <w:sz w:val="16"/>
                <w:szCs w:val="16"/>
              </w:rPr>
            </w:pPr>
            <w:r w:rsidRPr="00192507">
              <w:rPr>
                <w:color w:val="000000"/>
                <w:sz w:val="16"/>
                <w:szCs w:val="16"/>
              </w:rPr>
              <w:t>5.1.4.1.</w:t>
            </w:r>
          </w:p>
        </w:tc>
        <w:tc>
          <w:tcPr>
            <w:tcW w:w="902" w:type="pct"/>
            <w:shd w:val="clear" w:color="auto" w:fill="auto"/>
            <w:vAlign w:val="center"/>
            <w:hideMark/>
          </w:tcPr>
          <w:p w14:paraId="0920274A" w14:textId="77777777" w:rsidR="008F3544" w:rsidRPr="00ED764E"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5.1.4.1.</m:t>
                    </m:r>
                  </m:sub>
                  <m:sup>
                    <m:r>
                      <m:rPr>
                        <m:nor/>
                      </m:rPr>
                      <w:rPr>
                        <w:color w:val="000000"/>
                      </w:rPr>
                      <m:t>6/0,4 кВ</m:t>
                    </m:r>
                  </m:sup>
                </m:sSubSup>
              </m:oMath>
            </m:oMathPara>
          </w:p>
        </w:tc>
        <w:tc>
          <w:tcPr>
            <w:tcW w:w="1525" w:type="pct"/>
            <w:vMerge w:val="restart"/>
            <w:shd w:val="clear" w:color="auto" w:fill="auto"/>
            <w:vAlign w:val="center"/>
            <w:hideMark/>
          </w:tcPr>
          <w:p w14:paraId="3190004D" w14:textId="77777777" w:rsidR="008F3544" w:rsidRPr="00192507" w:rsidRDefault="008F3544" w:rsidP="0099088D">
            <w:pPr>
              <w:rPr>
                <w:color w:val="000000"/>
                <w:sz w:val="16"/>
                <w:szCs w:val="16"/>
              </w:rPr>
            </w:pPr>
            <w:r w:rsidRPr="00192507">
              <w:rPr>
                <w:color w:val="000000"/>
                <w:sz w:val="16"/>
                <w:szCs w:val="16"/>
              </w:rPr>
              <w:t>однотрансформаторные подстанции (за</w:t>
            </w:r>
            <w:r>
              <w:rPr>
                <w:color w:val="000000"/>
                <w:sz w:val="16"/>
                <w:szCs w:val="16"/>
              </w:rPr>
              <w:t> </w:t>
            </w:r>
            <w:r w:rsidRPr="00192507">
              <w:rPr>
                <w:color w:val="000000"/>
                <w:sz w:val="16"/>
                <w:szCs w:val="16"/>
              </w:rPr>
              <w:t>исключением РТП) мощностью от</w:t>
            </w:r>
            <w:r>
              <w:rPr>
                <w:color w:val="000000"/>
                <w:sz w:val="16"/>
                <w:szCs w:val="16"/>
              </w:rPr>
              <w:t> </w:t>
            </w:r>
            <w:r w:rsidRPr="00192507">
              <w:rPr>
                <w:color w:val="000000"/>
                <w:sz w:val="16"/>
                <w:szCs w:val="16"/>
              </w:rPr>
              <w:t>250 до 400 кВА включительно столбового/мачтового типа</w:t>
            </w:r>
          </w:p>
        </w:tc>
        <w:tc>
          <w:tcPr>
            <w:tcW w:w="696" w:type="pct"/>
            <w:vMerge w:val="restart"/>
            <w:shd w:val="clear" w:color="auto" w:fill="auto"/>
            <w:vAlign w:val="center"/>
            <w:hideMark/>
          </w:tcPr>
          <w:p w14:paraId="7C684935" w14:textId="77777777" w:rsidR="008F3544" w:rsidRPr="00192507" w:rsidRDefault="008F3544" w:rsidP="0099088D">
            <w:pPr>
              <w:jc w:val="center"/>
              <w:rPr>
                <w:color w:val="000000"/>
                <w:sz w:val="16"/>
                <w:szCs w:val="16"/>
              </w:rPr>
            </w:pPr>
            <w:r w:rsidRPr="00192507">
              <w:rPr>
                <w:color w:val="000000"/>
                <w:sz w:val="16"/>
                <w:szCs w:val="16"/>
              </w:rPr>
              <w:t>рублей/кВт</w:t>
            </w:r>
          </w:p>
        </w:tc>
        <w:tc>
          <w:tcPr>
            <w:tcW w:w="602" w:type="pct"/>
            <w:shd w:val="clear" w:color="auto" w:fill="auto"/>
            <w:noWrap/>
            <w:vAlign w:val="center"/>
            <w:hideMark/>
          </w:tcPr>
          <w:p w14:paraId="47CD8225" w14:textId="77777777" w:rsidR="008F3544" w:rsidRPr="00192507" w:rsidRDefault="008F3544" w:rsidP="0099088D">
            <w:pPr>
              <w:jc w:val="center"/>
              <w:rPr>
                <w:color w:val="000000"/>
                <w:sz w:val="16"/>
                <w:szCs w:val="16"/>
              </w:rPr>
            </w:pPr>
            <w:r w:rsidRPr="00192507">
              <w:rPr>
                <w:color w:val="000000"/>
                <w:sz w:val="16"/>
                <w:szCs w:val="16"/>
              </w:rPr>
              <w:t>3 051,14</w:t>
            </w:r>
          </w:p>
        </w:tc>
        <w:tc>
          <w:tcPr>
            <w:tcW w:w="603" w:type="pct"/>
            <w:shd w:val="clear" w:color="auto" w:fill="auto"/>
            <w:noWrap/>
            <w:vAlign w:val="center"/>
            <w:hideMark/>
          </w:tcPr>
          <w:p w14:paraId="3206A414" w14:textId="77777777" w:rsidR="008F3544" w:rsidRPr="00192507" w:rsidRDefault="008F3544" w:rsidP="0099088D">
            <w:pPr>
              <w:jc w:val="center"/>
              <w:rPr>
                <w:color w:val="000000"/>
                <w:sz w:val="16"/>
                <w:szCs w:val="16"/>
              </w:rPr>
            </w:pPr>
            <w:r w:rsidRPr="00192507">
              <w:rPr>
                <w:color w:val="000000"/>
                <w:sz w:val="16"/>
                <w:szCs w:val="16"/>
              </w:rPr>
              <w:t>2 942,90</w:t>
            </w:r>
          </w:p>
        </w:tc>
      </w:tr>
      <w:tr w:rsidR="008F3544" w:rsidRPr="00192507" w14:paraId="2D2773F9" w14:textId="77777777" w:rsidTr="0099088D">
        <w:trPr>
          <w:trHeight w:val="463"/>
        </w:trPr>
        <w:tc>
          <w:tcPr>
            <w:tcW w:w="672" w:type="pct"/>
            <w:vMerge/>
            <w:shd w:val="clear" w:color="auto" w:fill="auto"/>
            <w:vAlign w:val="center"/>
            <w:hideMark/>
          </w:tcPr>
          <w:p w14:paraId="50F23D68" w14:textId="77777777" w:rsidR="008F3544" w:rsidRPr="00192507" w:rsidRDefault="008F3544" w:rsidP="0099088D">
            <w:pPr>
              <w:rPr>
                <w:color w:val="000000"/>
                <w:sz w:val="16"/>
                <w:szCs w:val="16"/>
              </w:rPr>
            </w:pPr>
          </w:p>
        </w:tc>
        <w:tc>
          <w:tcPr>
            <w:tcW w:w="902" w:type="pct"/>
            <w:shd w:val="clear" w:color="auto" w:fill="auto"/>
            <w:vAlign w:val="center"/>
            <w:hideMark/>
          </w:tcPr>
          <w:p w14:paraId="782AA4FB" w14:textId="77777777" w:rsidR="008F3544" w:rsidRPr="00ED764E"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5.1.4.1.</m:t>
                    </m:r>
                  </m:sub>
                  <m:sup>
                    <m:r>
                      <m:rPr>
                        <m:nor/>
                      </m:rPr>
                      <w:rPr>
                        <w:color w:val="000000"/>
                      </w:rPr>
                      <m:t>10/0,4 кВ</m:t>
                    </m:r>
                  </m:sup>
                </m:sSubSup>
              </m:oMath>
            </m:oMathPara>
          </w:p>
        </w:tc>
        <w:tc>
          <w:tcPr>
            <w:tcW w:w="1525" w:type="pct"/>
            <w:vMerge/>
            <w:shd w:val="clear" w:color="auto" w:fill="auto"/>
            <w:vAlign w:val="center"/>
            <w:hideMark/>
          </w:tcPr>
          <w:p w14:paraId="17082819" w14:textId="77777777" w:rsidR="008F3544" w:rsidRPr="00192507" w:rsidRDefault="008F3544" w:rsidP="0099088D">
            <w:pPr>
              <w:rPr>
                <w:color w:val="000000"/>
                <w:sz w:val="16"/>
                <w:szCs w:val="16"/>
              </w:rPr>
            </w:pPr>
          </w:p>
        </w:tc>
        <w:tc>
          <w:tcPr>
            <w:tcW w:w="696" w:type="pct"/>
            <w:vMerge/>
            <w:shd w:val="clear" w:color="auto" w:fill="auto"/>
            <w:vAlign w:val="center"/>
            <w:hideMark/>
          </w:tcPr>
          <w:p w14:paraId="2EF704C0" w14:textId="77777777" w:rsidR="008F3544" w:rsidRPr="00192507" w:rsidRDefault="008F3544" w:rsidP="0099088D">
            <w:pPr>
              <w:rPr>
                <w:color w:val="000000"/>
                <w:sz w:val="16"/>
                <w:szCs w:val="16"/>
              </w:rPr>
            </w:pPr>
          </w:p>
        </w:tc>
        <w:tc>
          <w:tcPr>
            <w:tcW w:w="602" w:type="pct"/>
            <w:shd w:val="clear" w:color="auto" w:fill="auto"/>
            <w:noWrap/>
            <w:vAlign w:val="center"/>
            <w:hideMark/>
          </w:tcPr>
          <w:p w14:paraId="557E0008" w14:textId="77777777" w:rsidR="008F3544" w:rsidRPr="00192507" w:rsidRDefault="008F3544" w:rsidP="0099088D">
            <w:pPr>
              <w:jc w:val="center"/>
              <w:rPr>
                <w:color w:val="000000"/>
                <w:sz w:val="16"/>
                <w:szCs w:val="16"/>
              </w:rPr>
            </w:pPr>
            <w:r w:rsidRPr="00192507">
              <w:rPr>
                <w:color w:val="000000"/>
                <w:sz w:val="16"/>
                <w:szCs w:val="16"/>
              </w:rPr>
              <w:t>3 051,14</w:t>
            </w:r>
          </w:p>
        </w:tc>
        <w:tc>
          <w:tcPr>
            <w:tcW w:w="603" w:type="pct"/>
            <w:shd w:val="clear" w:color="auto" w:fill="auto"/>
            <w:noWrap/>
            <w:vAlign w:val="center"/>
            <w:hideMark/>
          </w:tcPr>
          <w:p w14:paraId="5DD41B48" w14:textId="77777777" w:rsidR="008F3544" w:rsidRPr="00192507" w:rsidRDefault="008F3544" w:rsidP="0099088D">
            <w:pPr>
              <w:jc w:val="center"/>
              <w:rPr>
                <w:color w:val="000000"/>
                <w:sz w:val="16"/>
                <w:szCs w:val="16"/>
              </w:rPr>
            </w:pPr>
            <w:r w:rsidRPr="00192507">
              <w:rPr>
                <w:color w:val="000000"/>
                <w:sz w:val="16"/>
                <w:szCs w:val="16"/>
              </w:rPr>
              <w:t>2 942,90</w:t>
            </w:r>
          </w:p>
        </w:tc>
      </w:tr>
      <w:tr w:rsidR="008F3544" w:rsidRPr="00192507" w14:paraId="60F7F531" w14:textId="77777777" w:rsidTr="0099088D">
        <w:trPr>
          <w:trHeight w:val="504"/>
        </w:trPr>
        <w:tc>
          <w:tcPr>
            <w:tcW w:w="672" w:type="pct"/>
            <w:vMerge w:val="restart"/>
            <w:shd w:val="clear" w:color="auto" w:fill="auto"/>
            <w:vAlign w:val="center"/>
            <w:hideMark/>
          </w:tcPr>
          <w:p w14:paraId="5D98D0A0" w14:textId="77777777" w:rsidR="008F3544" w:rsidRPr="00192507" w:rsidRDefault="008F3544" w:rsidP="0099088D">
            <w:pPr>
              <w:jc w:val="center"/>
              <w:rPr>
                <w:color w:val="000000"/>
                <w:sz w:val="16"/>
                <w:szCs w:val="16"/>
              </w:rPr>
            </w:pPr>
            <w:r w:rsidRPr="00192507">
              <w:rPr>
                <w:color w:val="000000"/>
                <w:sz w:val="16"/>
                <w:szCs w:val="16"/>
              </w:rPr>
              <w:t>5.1.5.1.</w:t>
            </w:r>
          </w:p>
        </w:tc>
        <w:tc>
          <w:tcPr>
            <w:tcW w:w="902" w:type="pct"/>
            <w:shd w:val="clear" w:color="auto" w:fill="auto"/>
            <w:vAlign w:val="center"/>
            <w:hideMark/>
          </w:tcPr>
          <w:p w14:paraId="4A887AAB" w14:textId="77777777" w:rsidR="008F3544" w:rsidRPr="00ED764E"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5.1.5.1.</m:t>
                    </m:r>
                  </m:sub>
                  <m:sup>
                    <m:r>
                      <m:rPr>
                        <m:nor/>
                      </m:rPr>
                      <w:rPr>
                        <w:color w:val="000000"/>
                      </w:rPr>
                      <m:t>6/0,4 кВ</m:t>
                    </m:r>
                  </m:sup>
                </m:sSubSup>
              </m:oMath>
            </m:oMathPara>
          </w:p>
        </w:tc>
        <w:tc>
          <w:tcPr>
            <w:tcW w:w="1525" w:type="pct"/>
            <w:vMerge w:val="restart"/>
            <w:shd w:val="clear" w:color="auto" w:fill="auto"/>
            <w:vAlign w:val="center"/>
            <w:hideMark/>
          </w:tcPr>
          <w:p w14:paraId="70D6C537" w14:textId="77777777" w:rsidR="008F3544" w:rsidRPr="00192507" w:rsidRDefault="008F3544" w:rsidP="0099088D">
            <w:pPr>
              <w:rPr>
                <w:color w:val="000000"/>
                <w:sz w:val="16"/>
                <w:szCs w:val="16"/>
              </w:rPr>
            </w:pPr>
            <w:r w:rsidRPr="00192507">
              <w:rPr>
                <w:color w:val="000000"/>
                <w:sz w:val="16"/>
                <w:szCs w:val="16"/>
              </w:rPr>
              <w:t>однотрансформаторные подстанции (за</w:t>
            </w:r>
            <w:r>
              <w:rPr>
                <w:color w:val="000000"/>
                <w:sz w:val="16"/>
                <w:szCs w:val="16"/>
              </w:rPr>
              <w:t> </w:t>
            </w:r>
            <w:r w:rsidRPr="00192507">
              <w:rPr>
                <w:color w:val="000000"/>
                <w:sz w:val="16"/>
                <w:szCs w:val="16"/>
              </w:rPr>
              <w:t>исключением РТП) мощностью от</w:t>
            </w:r>
            <w:r>
              <w:rPr>
                <w:color w:val="000000"/>
                <w:sz w:val="16"/>
                <w:szCs w:val="16"/>
              </w:rPr>
              <w:t> </w:t>
            </w:r>
            <w:r w:rsidRPr="00192507">
              <w:rPr>
                <w:color w:val="000000"/>
                <w:sz w:val="16"/>
                <w:szCs w:val="16"/>
              </w:rPr>
              <w:t>400 до 1000 кВА включительно столбового/мачтового типа</w:t>
            </w:r>
          </w:p>
        </w:tc>
        <w:tc>
          <w:tcPr>
            <w:tcW w:w="696" w:type="pct"/>
            <w:vMerge w:val="restart"/>
            <w:shd w:val="clear" w:color="auto" w:fill="auto"/>
            <w:vAlign w:val="center"/>
            <w:hideMark/>
          </w:tcPr>
          <w:p w14:paraId="7A58B9AD" w14:textId="77777777" w:rsidR="008F3544" w:rsidRPr="00192507" w:rsidRDefault="008F3544" w:rsidP="0099088D">
            <w:pPr>
              <w:jc w:val="center"/>
              <w:rPr>
                <w:color w:val="000000"/>
                <w:sz w:val="16"/>
                <w:szCs w:val="16"/>
              </w:rPr>
            </w:pPr>
            <w:r w:rsidRPr="00192507">
              <w:rPr>
                <w:color w:val="000000"/>
                <w:sz w:val="16"/>
                <w:szCs w:val="16"/>
              </w:rPr>
              <w:t>рублей/кВт</w:t>
            </w:r>
          </w:p>
        </w:tc>
        <w:tc>
          <w:tcPr>
            <w:tcW w:w="602" w:type="pct"/>
            <w:shd w:val="clear" w:color="auto" w:fill="auto"/>
            <w:noWrap/>
            <w:vAlign w:val="center"/>
            <w:hideMark/>
          </w:tcPr>
          <w:p w14:paraId="38D814DD" w14:textId="77777777" w:rsidR="008F3544" w:rsidRPr="00192507" w:rsidRDefault="008F3544" w:rsidP="0099088D">
            <w:pPr>
              <w:jc w:val="center"/>
              <w:rPr>
                <w:color w:val="000000"/>
                <w:sz w:val="16"/>
                <w:szCs w:val="16"/>
              </w:rPr>
            </w:pPr>
            <w:r w:rsidRPr="00192507">
              <w:rPr>
                <w:color w:val="000000"/>
                <w:sz w:val="16"/>
                <w:szCs w:val="16"/>
              </w:rPr>
              <w:t>2 399,95</w:t>
            </w:r>
          </w:p>
        </w:tc>
        <w:tc>
          <w:tcPr>
            <w:tcW w:w="603" w:type="pct"/>
            <w:shd w:val="clear" w:color="auto" w:fill="auto"/>
            <w:noWrap/>
            <w:vAlign w:val="center"/>
            <w:hideMark/>
          </w:tcPr>
          <w:p w14:paraId="54A5353B" w14:textId="77777777" w:rsidR="008F3544" w:rsidRPr="00192507" w:rsidRDefault="008F3544" w:rsidP="0099088D">
            <w:pPr>
              <w:jc w:val="center"/>
              <w:rPr>
                <w:color w:val="000000"/>
                <w:sz w:val="16"/>
                <w:szCs w:val="16"/>
              </w:rPr>
            </w:pPr>
            <w:r w:rsidRPr="00192507">
              <w:rPr>
                <w:color w:val="000000"/>
                <w:sz w:val="16"/>
                <w:szCs w:val="16"/>
              </w:rPr>
              <w:t>2 311,27</w:t>
            </w:r>
          </w:p>
        </w:tc>
      </w:tr>
      <w:tr w:rsidR="008F3544" w:rsidRPr="00192507" w14:paraId="1DBA4F5B" w14:textId="77777777" w:rsidTr="0099088D">
        <w:trPr>
          <w:trHeight w:val="504"/>
        </w:trPr>
        <w:tc>
          <w:tcPr>
            <w:tcW w:w="672" w:type="pct"/>
            <w:vMerge/>
            <w:shd w:val="clear" w:color="auto" w:fill="auto"/>
            <w:vAlign w:val="center"/>
            <w:hideMark/>
          </w:tcPr>
          <w:p w14:paraId="2386540F" w14:textId="77777777" w:rsidR="008F3544" w:rsidRPr="00192507" w:rsidRDefault="008F3544" w:rsidP="0099088D">
            <w:pPr>
              <w:rPr>
                <w:color w:val="000000"/>
                <w:sz w:val="16"/>
                <w:szCs w:val="16"/>
              </w:rPr>
            </w:pPr>
          </w:p>
        </w:tc>
        <w:tc>
          <w:tcPr>
            <w:tcW w:w="902" w:type="pct"/>
            <w:shd w:val="clear" w:color="auto" w:fill="auto"/>
            <w:vAlign w:val="center"/>
            <w:hideMark/>
          </w:tcPr>
          <w:p w14:paraId="73539591" w14:textId="77777777" w:rsidR="008F3544" w:rsidRPr="002F0549"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5.1.5.1.</m:t>
                    </m:r>
                  </m:sub>
                  <m:sup>
                    <m:r>
                      <m:rPr>
                        <m:nor/>
                      </m:rPr>
                      <w:rPr>
                        <w:color w:val="000000"/>
                      </w:rPr>
                      <m:t>10/0,4 кВ</m:t>
                    </m:r>
                  </m:sup>
                </m:sSubSup>
              </m:oMath>
            </m:oMathPara>
          </w:p>
        </w:tc>
        <w:tc>
          <w:tcPr>
            <w:tcW w:w="1525" w:type="pct"/>
            <w:vMerge/>
            <w:shd w:val="clear" w:color="auto" w:fill="auto"/>
            <w:vAlign w:val="center"/>
            <w:hideMark/>
          </w:tcPr>
          <w:p w14:paraId="689DDEE0" w14:textId="77777777" w:rsidR="008F3544" w:rsidRPr="00192507" w:rsidRDefault="008F3544" w:rsidP="0099088D">
            <w:pPr>
              <w:rPr>
                <w:color w:val="000000"/>
                <w:sz w:val="16"/>
                <w:szCs w:val="16"/>
              </w:rPr>
            </w:pPr>
          </w:p>
        </w:tc>
        <w:tc>
          <w:tcPr>
            <w:tcW w:w="696" w:type="pct"/>
            <w:vMerge/>
            <w:shd w:val="clear" w:color="auto" w:fill="auto"/>
            <w:vAlign w:val="center"/>
            <w:hideMark/>
          </w:tcPr>
          <w:p w14:paraId="0B7C1351" w14:textId="77777777" w:rsidR="008F3544" w:rsidRPr="00192507" w:rsidRDefault="008F3544" w:rsidP="0099088D">
            <w:pPr>
              <w:rPr>
                <w:color w:val="000000"/>
                <w:sz w:val="16"/>
                <w:szCs w:val="16"/>
              </w:rPr>
            </w:pPr>
          </w:p>
        </w:tc>
        <w:tc>
          <w:tcPr>
            <w:tcW w:w="602" w:type="pct"/>
            <w:shd w:val="clear" w:color="auto" w:fill="auto"/>
            <w:noWrap/>
            <w:vAlign w:val="center"/>
            <w:hideMark/>
          </w:tcPr>
          <w:p w14:paraId="31FDB908" w14:textId="77777777" w:rsidR="008F3544" w:rsidRPr="00192507" w:rsidRDefault="008F3544" w:rsidP="0099088D">
            <w:pPr>
              <w:jc w:val="center"/>
              <w:rPr>
                <w:color w:val="000000"/>
                <w:sz w:val="16"/>
                <w:szCs w:val="16"/>
              </w:rPr>
            </w:pPr>
            <w:r w:rsidRPr="00192507">
              <w:rPr>
                <w:color w:val="000000"/>
                <w:sz w:val="16"/>
                <w:szCs w:val="16"/>
              </w:rPr>
              <w:t>2 399,95</w:t>
            </w:r>
          </w:p>
        </w:tc>
        <w:tc>
          <w:tcPr>
            <w:tcW w:w="603" w:type="pct"/>
            <w:shd w:val="clear" w:color="auto" w:fill="auto"/>
            <w:noWrap/>
            <w:vAlign w:val="center"/>
            <w:hideMark/>
          </w:tcPr>
          <w:p w14:paraId="6DB040FE" w14:textId="77777777" w:rsidR="008F3544" w:rsidRPr="00192507" w:rsidRDefault="008F3544" w:rsidP="0099088D">
            <w:pPr>
              <w:jc w:val="center"/>
              <w:rPr>
                <w:color w:val="000000"/>
                <w:sz w:val="16"/>
                <w:szCs w:val="16"/>
              </w:rPr>
            </w:pPr>
            <w:r w:rsidRPr="00192507">
              <w:rPr>
                <w:color w:val="000000"/>
                <w:sz w:val="16"/>
                <w:szCs w:val="16"/>
              </w:rPr>
              <w:t>2 311,27</w:t>
            </w:r>
          </w:p>
        </w:tc>
      </w:tr>
      <w:tr w:rsidR="008F3544" w:rsidRPr="00192507" w14:paraId="2A234B92" w14:textId="77777777" w:rsidTr="0099088D">
        <w:trPr>
          <w:trHeight w:val="504"/>
        </w:trPr>
        <w:tc>
          <w:tcPr>
            <w:tcW w:w="672" w:type="pct"/>
            <w:vMerge w:val="restart"/>
            <w:shd w:val="clear" w:color="auto" w:fill="auto"/>
            <w:vAlign w:val="center"/>
            <w:hideMark/>
          </w:tcPr>
          <w:p w14:paraId="0F830BEF" w14:textId="77777777" w:rsidR="008F3544" w:rsidRPr="00192507" w:rsidRDefault="008F3544" w:rsidP="0099088D">
            <w:pPr>
              <w:jc w:val="center"/>
              <w:rPr>
                <w:color w:val="000000"/>
                <w:sz w:val="16"/>
                <w:szCs w:val="16"/>
              </w:rPr>
            </w:pPr>
            <w:r w:rsidRPr="00192507">
              <w:rPr>
                <w:color w:val="000000"/>
                <w:sz w:val="16"/>
                <w:szCs w:val="16"/>
              </w:rPr>
              <w:t>5.1.1.2.</w:t>
            </w:r>
          </w:p>
        </w:tc>
        <w:tc>
          <w:tcPr>
            <w:tcW w:w="902" w:type="pct"/>
            <w:shd w:val="clear" w:color="auto" w:fill="auto"/>
            <w:vAlign w:val="center"/>
            <w:hideMark/>
          </w:tcPr>
          <w:p w14:paraId="316D9A4E" w14:textId="77777777" w:rsidR="008F3544" w:rsidRPr="002F0549"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5.1.1.2.</m:t>
                    </m:r>
                  </m:sub>
                  <m:sup>
                    <m:r>
                      <m:rPr>
                        <m:nor/>
                      </m:rPr>
                      <w:rPr>
                        <w:color w:val="000000"/>
                      </w:rPr>
                      <m:t>6/0,4 кВ</m:t>
                    </m:r>
                  </m:sup>
                </m:sSubSup>
              </m:oMath>
            </m:oMathPara>
          </w:p>
        </w:tc>
        <w:tc>
          <w:tcPr>
            <w:tcW w:w="1525" w:type="pct"/>
            <w:vMerge w:val="restart"/>
            <w:shd w:val="clear" w:color="auto" w:fill="auto"/>
            <w:vAlign w:val="center"/>
            <w:hideMark/>
          </w:tcPr>
          <w:p w14:paraId="54C56AF1" w14:textId="77777777" w:rsidR="008F3544" w:rsidRPr="00192507" w:rsidRDefault="008F3544" w:rsidP="0099088D">
            <w:pPr>
              <w:rPr>
                <w:color w:val="000000"/>
                <w:sz w:val="16"/>
                <w:szCs w:val="16"/>
              </w:rPr>
            </w:pPr>
            <w:r w:rsidRPr="00192507">
              <w:rPr>
                <w:color w:val="000000"/>
                <w:sz w:val="16"/>
                <w:szCs w:val="16"/>
              </w:rPr>
              <w:t>однотрансформаторные подстанции (за</w:t>
            </w:r>
            <w:r>
              <w:rPr>
                <w:color w:val="000000"/>
                <w:sz w:val="16"/>
                <w:szCs w:val="16"/>
              </w:rPr>
              <w:t> </w:t>
            </w:r>
            <w:r w:rsidRPr="00192507">
              <w:rPr>
                <w:color w:val="000000"/>
                <w:sz w:val="16"/>
                <w:szCs w:val="16"/>
              </w:rPr>
              <w:t>исключением РТП) мощностью до</w:t>
            </w:r>
            <w:r>
              <w:rPr>
                <w:color w:val="000000"/>
                <w:sz w:val="16"/>
                <w:szCs w:val="16"/>
              </w:rPr>
              <w:t> </w:t>
            </w:r>
            <w:r w:rsidRPr="00192507">
              <w:rPr>
                <w:color w:val="000000"/>
                <w:sz w:val="16"/>
                <w:szCs w:val="16"/>
              </w:rPr>
              <w:t>25 кВА включительно шкафного или киоскового типа</w:t>
            </w:r>
          </w:p>
        </w:tc>
        <w:tc>
          <w:tcPr>
            <w:tcW w:w="696" w:type="pct"/>
            <w:vMerge w:val="restart"/>
            <w:shd w:val="clear" w:color="auto" w:fill="auto"/>
            <w:vAlign w:val="center"/>
            <w:hideMark/>
          </w:tcPr>
          <w:p w14:paraId="34A479C4" w14:textId="77777777" w:rsidR="008F3544" w:rsidRPr="00192507" w:rsidRDefault="008F3544" w:rsidP="0099088D">
            <w:pPr>
              <w:jc w:val="center"/>
              <w:rPr>
                <w:color w:val="000000"/>
                <w:sz w:val="16"/>
                <w:szCs w:val="16"/>
              </w:rPr>
            </w:pPr>
            <w:r w:rsidRPr="00192507">
              <w:rPr>
                <w:color w:val="000000"/>
                <w:sz w:val="16"/>
                <w:szCs w:val="16"/>
              </w:rPr>
              <w:t>рублей/кВт</w:t>
            </w:r>
          </w:p>
        </w:tc>
        <w:tc>
          <w:tcPr>
            <w:tcW w:w="602" w:type="pct"/>
            <w:shd w:val="clear" w:color="auto" w:fill="auto"/>
            <w:noWrap/>
            <w:vAlign w:val="center"/>
            <w:hideMark/>
          </w:tcPr>
          <w:p w14:paraId="24E0225B" w14:textId="77777777" w:rsidR="008F3544" w:rsidRPr="00192507" w:rsidRDefault="008F3544" w:rsidP="0099088D">
            <w:pPr>
              <w:jc w:val="center"/>
              <w:rPr>
                <w:color w:val="000000"/>
                <w:sz w:val="16"/>
                <w:szCs w:val="16"/>
              </w:rPr>
            </w:pPr>
            <w:r w:rsidRPr="00192507">
              <w:rPr>
                <w:color w:val="000000"/>
                <w:sz w:val="16"/>
                <w:szCs w:val="16"/>
              </w:rPr>
              <w:t>19 289,42</w:t>
            </w:r>
          </w:p>
        </w:tc>
        <w:tc>
          <w:tcPr>
            <w:tcW w:w="603" w:type="pct"/>
            <w:shd w:val="clear" w:color="auto" w:fill="auto"/>
            <w:noWrap/>
            <w:vAlign w:val="center"/>
            <w:hideMark/>
          </w:tcPr>
          <w:p w14:paraId="4592C1D8" w14:textId="77777777" w:rsidR="008F3544" w:rsidRPr="00192507" w:rsidRDefault="008F3544" w:rsidP="0099088D">
            <w:pPr>
              <w:jc w:val="center"/>
              <w:rPr>
                <w:color w:val="000000"/>
                <w:sz w:val="16"/>
                <w:szCs w:val="16"/>
              </w:rPr>
            </w:pPr>
            <w:r w:rsidRPr="00192507">
              <w:rPr>
                <w:color w:val="000000"/>
                <w:sz w:val="16"/>
                <w:szCs w:val="16"/>
              </w:rPr>
              <w:t>16 249,29</w:t>
            </w:r>
          </w:p>
        </w:tc>
      </w:tr>
      <w:tr w:rsidR="008F3544" w:rsidRPr="00192507" w14:paraId="66B3BDE1" w14:textId="77777777" w:rsidTr="0099088D">
        <w:trPr>
          <w:trHeight w:val="504"/>
        </w:trPr>
        <w:tc>
          <w:tcPr>
            <w:tcW w:w="672" w:type="pct"/>
            <w:vMerge/>
            <w:shd w:val="clear" w:color="auto" w:fill="auto"/>
            <w:vAlign w:val="center"/>
            <w:hideMark/>
          </w:tcPr>
          <w:p w14:paraId="2716DA2F" w14:textId="77777777" w:rsidR="008F3544" w:rsidRPr="00192507" w:rsidRDefault="008F3544" w:rsidP="0099088D">
            <w:pPr>
              <w:rPr>
                <w:color w:val="000000"/>
                <w:sz w:val="16"/>
                <w:szCs w:val="16"/>
              </w:rPr>
            </w:pPr>
          </w:p>
        </w:tc>
        <w:tc>
          <w:tcPr>
            <w:tcW w:w="902" w:type="pct"/>
            <w:shd w:val="clear" w:color="auto" w:fill="auto"/>
            <w:vAlign w:val="center"/>
            <w:hideMark/>
          </w:tcPr>
          <w:p w14:paraId="32BD151E" w14:textId="77777777" w:rsidR="008F3544" w:rsidRPr="002F0549"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5.1.1.2.</m:t>
                    </m:r>
                  </m:sub>
                  <m:sup>
                    <m:r>
                      <m:rPr>
                        <m:nor/>
                      </m:rPr>
                      <w:rPr>
                        <w:color w:val="000000"/>
                      </w:rPr>
                      <m:t>10/0,4 кВ</m:t>
                    </m:r>
                  </m:sup>
                </m:sSubSup>
              </m:oMath>
            </m:oMathPara>
          </w:p>
        </w:tc>
        <w:tc>
          <w:tcPr>
            <w:tcW w:w="1525" w:type="pct"/>
            <w:vMerge/>
            <w:shd w:val="clear" w:color="auto" w:fill="auto"/>
            <w:vAlign w:val="center"/>
            <w:hideMark/>
          </w:tcPr>
          <w:p w14:paraId="1ADFE3C9" w14:textId="77777777" w:rsidR="008F3544" w:rsidRPr="00192507" w:rsidRDefault="008F3544" w:rsidP="0099088D">
            <w:pPr>
              <w:rPr>
                <w:color w:val="000000"/>
                <w:sz w:val="16"/>
                <w:szCs w:val="16"/>
              </w:rPr>
            </w:pPr>
          </w:p>
        </w:tc>
        <w:tc>
          <w:tcPr>
            <w:tcW w:w="696" w:type="pct"/>
            <w:vMerge/>
            <w:shd w:val="clear" w:color="auto" w:fill="auto"/>
            <w:vAlign w:val="center"/>
            <w:hideMark/>
          </w:tcPr>
          <w:p w14:paraId="1A325F3A" w14:textId="77777777" w:rsidR="008F3544" w:rsidRPr="00192507" w:rsidRDefault="008F3544" w:rsidP="0099088D">
            <w:pPr>
              <w:rPr>
                <w:color w:val="000000"/>
                <w:sz w:val="16"/>
                <w:szCs w:val="16"/>
              </w:rPr>
            </w:pPr>
          </w:p>
        </w:tc>
        <w:tc>
          <w:tcPr>
            <w:tcW w:w="602" w:type="pct"/>
            <w:shd w:val="clear" w:color="auto" w:fill="auto"/>
            <w:noWrap/>
            <w:vAlign w:val="center"/>
            <w:hideMark/>
          </w:tcPr>
          <w:p w14:paraId="197BF94F" w14:textId="77777777" w:rsidR="008F3544" w:rsidRPr="00192507" w:rsidRDefault="008F3544" w:rsidP="0099088D">
            <w:pPr>
              <w:jc w:val="center"/>
              <w:rPr>
                <w:color w:val="000000"/>
                <w:sz w:val="16"/>
                <w:szCs w:val="16"/>
              </w:rPr>
            </w:pPr>
            <w:r w:rsidRPr="00192507">
              <w:rPr>
                <w:color w:val="000000"/>
                <w:sz w:val="16"/>
                <w:szCs w:val="16"/>
              </w:rPr>
              <w:t>18 695,04</w:t>
            </w:r>
          </w:p>
        </w:tc>
        <w:tc>
          <w:tcPr>
            <w:tcW w:w="603" w:type="pct"/>
            <w:shd w:val="clear" w:color="auto" w:fill="auto"/>
            <w:noWrap/>
            <w:vAlign w:val="center"/>
            <w:hideMark/>
          </w:tcPr>
          <w:p w14:paraId="4417F8E2" w14:textId="77777777" w:rsidR="008F3544" w:rsidRPr="00192507" w:rsidRDefault="008F3544" w:rsidP="0099088D">
            <w:pPr>
              <w:jc w:val="center"/>
              <w:rPr>
                <w:color w:val="000000"/>
                <w:sz w:val="16"/>
                <w:szCs w:val="16"/>
              </w:rPr>
            </w:pPr>
            <w:r w:rsidRPr="00192507">
              <w:rPr>
                <w:color w:val="000000"/>
                <w:sz w:val="16"/>
                <w:szCs w:val="16"/>
              </w:rPr>
              <w:t>18 695,04</w:t>
            </w:r>
          </w:p>
        </w:tc>
      </w:tr>
      <w:tr w:rsidR="008F3544" w:rsidRPr="00192507" w14:paraId="2B99D0B6" w14:textId="77777777" w:rsidTr="0099088D">
        <w:trPr>
          <w:trHeight w:val="504"/>
        </w:trPr>
        <w:tc>
          <w:tcPr>
            <w:tcW w:w="672" w:type="pct"/>
            <w:vMerge w:val="restart"/>
            <w:shd w:val="clear" w:color="auto" w:fill="auto"/>
            <w:vAlign w:val="center"/>
            <w:hideMark/>
          </w:tcPr>
          <w:p w14:paraId="18886165" w14:textId="77777777" w:rsidR="008F3544" w:rsidRPr="00192507" w:rsidRDefault="008F3544" w:rsidP="0099088D">
            <w:pPr>
              <w:jc w:val="center"/>
              <w:rPr>
                <w:color w:val="000000"/>
                <w:sz w:val="16"/>
                <w:szCs w:val="16"/>
              </w:rPr>
            </w:pPr>
            <w:r w:rsidRPr="00192507">
              <w:rPr>
                <w:color w:val="000000"/>
                <w:sz w:val="16"/>
                <w:szCs w:val="16"/>
              </w:rPr>
              <w:t>5.1.2.2.</w:t>
            </w:r>
          </w:p>
        </w:tc>
        <w:tc>
          <w:tcPr>
            <w:tcW w:w="902" w:type="pct"/>
            <w:shd w:val="clear" w:color="auto" w:fill="auto"/>
            <w:vAlign w:val="center"/>
            <w:hideMark/>
          </w:tcPr>
          <w:p w14:paraId="430D0E72" w14:textId="77777777" w:rsidR="008F3544" w:rsidRPr="002F0549"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5.1.2.2.</m:t>
                    </m:r>
                  </m:sub>
                  <m:sup>
                    <m:r>
                      <m:rPr>
                        <m:nor/>
                      </m:rPr>
                      <w:rPr>
                        <w:color w:val="000000"/>
                      </w:rPr>
                      <m:t>6/0,4 кВ</m:t>
                    </m:r>
                  </m:sup>
                </m:sSubSup>
              </m:oMath>
            </m:oMathPara>
          </w:p>
        </w:tc>
        <w:tc>
          <w:tcPr>
            <w:tcW w:w="1525" w:type="pct"/>
            <w:vMerge w:val="restart"/>
            <w:shd w:val="clear" w:color="auto" w:fill="auto"/>
            <w:vAlign w:val="center"/>
            <w:hideMark/>
          </w:tcPr>
          <w:p w14:paraId="66F01270" w14:textId="77777777" w:rsidR="008F3544" w:rsidRPr="00192507" w:rsidRDefault="008F3544" w:rsidP="0099088D">
            <w:pPr>
              <w:rPr>
                <w:color w:val="000000"/>
                <w:sz w:val="16"/>
                <w:szCs w:val="16"/>
              </w:rPr>
            </w:pPr>
            <w:r w:rsidRPr="00192507">
              <w:rPr>
                <w:color w:val="000000"/>
                <w:sz w:val="16"/>
                <w:szCs w:val="16"/>
              </w:rPr>
              <w:t>однотрансформаторные подстанции (за</w:t>
            </w:r>
            <w:r>
              <w:rPr>
                <w:color w:val="000000"/>
                <w:sz w:val="16"/>
                <w:szCs w:val="16"/>
              </w:rPr>
              <w:t> </w:t>
            </w:r>
            <w:r w:rsidRPr="00192507">
              <w:rPr>
                <w:color w:val="000000"/>
                <w:sz w:val="16"/>
                <w:szCs w:val="16"/>
              </w:rPr>
              <w:t>исключением РТП) мощностью от</w:t>
            </w:r>
            <w:r>
              <w:rPr>
                <w:color w:val="000000"/>
                <w:sz w:val="16"/>
                <w:szCs w:val="16"/>
              </w:rPr>
              <w:t> </w:t>
            </w:r>
            <w:r w:rsidRPr="00192507">
              <w:rPr>
                <w:color w:val="000000"/>
                <w:sz w:val="16"/>
                <w:szCs w:val="16"/>
              </w:rPr>
              <w:t>25 до 100 кВА включительно шкафного или киоскового типа</w:t>
            </w:r>
          </w:p>
        </w:tc>
        <w:tc>
          <w:tcPr>
            <w:tcW w:w="696" w:type="pct"/>
            <w:vMerge w:val="restart"/>
            <w:shd w:val="clear" w:color="auto" w:fill="auto"/>
            <w:vAlign w:val="center"/>
            <w:hideMark/>
          </w:tcPr>
          <w:p w14:paraId="23004987" w14:textId="77777777" w:rsidR="008F3544" w:rsidRPr="00192507" w:rsidRDefault="008F3544" w:rsidP="0099088D">
            <w:pPr>
              <w:jc w:val="center"/>
              <w:rPr>
                <w:color w:val="000000"/>
                <w:sz w:val="16"/>
                <w:szCs w:val="16"/>
              </w:rPr>
            </w:pPr>
            <w:r w:rsidRPr="00192507">
              <w:rPr>
                <w:color w:val="000000"/>
                <w:sz w:val="16"/>
                <w:szCs w:val="16"/>
              </w:rPr>
              <w:t>рублей/кВт</w:t>
            </w:r>
          </w:p>
        </w:tc>
        <w:tc>
          <w:tcPr>
            <w:tcW w:w="602" w:type="pct"/>
            <w:shd w:val="clear" w:color="auto" w:fill="auto"/>
            <w:noWrap/>
            <w:vAlign w:val="center"/>
            <w:hideMark/>
          </w:tcPr>
          <w:p w14:paraId="5D1176AA" w14:textId="77777777" w:rsidR="008F3544" w:rsidRPr="00192507" w:rsidRDefault="008F3544" w:rsidP="0099088D">
            <w:pPr>
              <w:jc w:val="center"/>
              <w:rPr>
                <w:color w:val="000000"/>
                <w:sz w:val="16"/>
                <w:szCs w:val="16"/>
              </w:rPr>
            </w:pPr>
            <w:r w:rsidRPr="00192507">
              <w:rPr>
                <w:color w:val="000000"/>
                <w:sz w:val="16"/>
                <w:szCs w:val="16"/>
              </w:rPr>
              <w:t>7 521,59</w:t>
            </w:r>
          </w:p>
        </w:tc>
        <w:tc>
          <w:tcPr>
            <w:tcW w:w="603" w:type="pct"/>
            <w:shd w:val="clear" w:color="auto" w:fill="auto"/>
            <w:noWrap/>
            <w:vAlign w:val="center"/>
            <w:hideMark/>
          </w:tcPr>
          <w:p w14:paraId="02024190" w14:textId="77777777" w:rsidR="008F3544" w:rsidRPr="00192507" w:rsidRDefault="008F3544" w:rsidP="0099088D">
            <w:pPr>
              <w:jc w:val="center"/>
              <w:rPr>
                <w:color w:val="000000"/>
                <w:sz w:val="16"/>
                <w:szCs w:val="16"/>
              </w:rPr>
            </w:pPr>
            <w:r w:rsidRPr="00192507">
              <w:rPr>
                <w:color w:val="000000"/>
                <w:sz w:val="16"/>
                <w:szCs w:val="16"/>
              </w:rPr>
              <w:t>6 170,96</w:t>
            </w:r>
          </w:p>
        </w:tc>
      </w:tr>
      <w:tr w:rsidR="008F3544" w:rsidRPr="00192507" w14:paraId="68637CDC" w14:textId="77777777" w:rsidTr="0099088D">
        <w:trPr>
          <w:trHeight w:val="504"/>
        </w:trPr>
        <w:tc>
          <w:tcPr>
            <w:tcW w:w="672" w:type="pct"/>
            <w:vMerge/>
            <w:shd w:val="clear" w:color="auto" w:fill="auto"/>
            <w:vAlign w:val="center"/>
            <w:hideMark/>
          </w:tcPr>
          <w:p w14:paraId="46E88DB7" w14:textId="77777777" w:rsidR="008F3544" w:rsidRPr="00192507" w:rsidRDefault="008F3544" w:rsidP="0099088D">
            <w:pPr>
              <w:rPr>
                <w:color w:val="000000"/>
                <w:sz w:val="16"/>
                <w:szCs w:val="16"/>
              </w:rPr>
            </w:pPr>
          </w:p>
        </w:tc>
        <w:tc>
          <w:tcPr>
            <w:tcW w:w="902" w:type="pct"/>
            <w:shd w:val="clear" w:color="auto" w:fill="auto"/>
            <w:vAlign w:val="center"/>
            <w:hideMark/>
          </w:tcPr>
          <w:p w14:paraId="62918DC7" w14:textId="77777777" w:rsidR="008F3544" w:rsidRPr="002F0549"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5.1.2.2.</m:t>
                    </m:r>
                  </m:sub>
                  <m:sup>
                    <m:r>
                      <m:rPr>
                        <m:nor/>
                      </m:rPr>
                      <w:rPr>
                        <w:color w:val="000000"/>
                      </w:rPr>
                      <m:t>10/0,4 кВ</m:t>
                    </m:r>
                  </m:sup>
                </m:sSubSup>
              </m:oMath>
            </m:oMathPara>
          </w:p>
        </w:tc>
        <w:tc>
          <w:tcPr>
            <w:tcW w:w="1525" w:type="pct"/>
            <w:vMerge/>
            <w:shd w:val="clear" w:color="auto" w:fill="auto"/>
            <w:vAlign w:val="center"/>
            <w:hideMark/>
          </w:tcPr>
          <w:p w14:paraId="04F90581" w14:textId="77777777" w:rsidR="008F3544" w:rsidRPr="00192507" w:rsidRDefault="008F3544" w:rsidP="0099088D">
            <w:pPr>
              <w:rPr>
                <w:color w:val="000000"/>
                <w:sz w:val="16"/>
                <w:szCs w:val="16"/>
              </w:rPr>
            </w:pPr>
          </w:p>
        </w:tc>
        <w:tc>
          <w:tcPr>
            <w:tcW w:w="696" w:type="pct"/>
            <w:vMerge/>
            <w:shd w:val="clear" w:color="auto" w:fill="auto"/>
            <w:vAlign w:val="center"/>
            <w:hideMark/>
          </w:tcPr>
          <w:p w14:paraId="6054E327" w14:textId="77777777" w:rsidR="008F3544" w:rsidRPr="00192507" w:rsidRDefault="008F3544" w:rsidP="0099088D">
            <w:pPr>
              <w:rPr>
                <w:color w:val="000000"/>
                <w:sz w:val="16"/>
                <w:szCs w:val="16"/>
              </w:rPr>
            </w:pPr>
          </w:p>
        </w:tc>
        <w:tc>
          <w:tcPr>
            <w:tcW w:w="602" w:type="pct"/>
            <w:shd w:val="clear" w:color="auto" w:fill="auto"/>
            <w:noWrap/>
            <w:vAlign w:val="center"/>
            <w:hideMark/>
          </w:tcPr>
          <w:p w14:paraId="339B3F56" w14:textId="77777777" w:rsidR="008F3544" w:rsidRPr="00192507" w:rsidRDefault="008F3544" w:rsidP="0099088D">
            <w:pPr>
              <w:jc w:val="center"/>
              <w:rPr>
                <w:color w:val="000000"/>
                <w:sz w:val="16"/>
                <w:szCs w:val="16"/>
              </w:rPr>
            </w:pPr>
            <w:r w:rsidRPr="00192507">
              <w:rPr>
                <w:color w:val="000000"/>
                <w:sz w:val="16"/>
                <w:szCs w:val="16"/>
              </w:rPr>
              <w:t>7 688,94</w:t>
            </w:r>
          </w:p>
        </w:tc>
        <w:tc>
          <w:tcPr>
            <w:tcW w:w="603" w:type="pct"/>
            <w:shd w:val="clear" w:color="auto" w:fill="auto"/>
            <w:noWrap/>
            <w:vAlign w:val="center"/>
            <w:hideMark/>
          </w:tcPr>
          <w:p w14:paraId="65D99CDB" w14:textId="77777777" w:rsidR="008F3544" w:rsidRPr="00192507" w:rsidRDefault="008F3544" w:rsidP="0099088D">
            <w:pPr>
              <w:jc w:val="center"/>
              <w:rPr>
                <w:color w:val="000000"/>
                <w:sz w:val="16"/>
                <w:szCs w:val="16"/>
              </w:rPr>
            </w:pPr>
            <w:r w:rsidRPr="00192507">
              <w:rPr>
                <w:color w:val="000000"/>
                <w:sz w:val="16"/>
                <w:szCs w:val="16"/>
              </w:rPr>
              <w:t>6 877,16</w:t>
            </w:r>
          </w:p>
        </w:tc>
      </w:tr>
      <w:tr w:rsidR="008F3544" w:rsidRPr="00192507" w14:paraId="35B25011" w14:textId="77777777" w:rsidTr="0099088D">
        <w:trPr>
          <w:trHeight w:val="504"/>
        </w:trPr>
        <w:tc>
          <w:tcPr>
            <w:tcW w:w="672" w:type="pct"/>
            <w:vMerge w:val="restart"/>
            <w:shd w:val="clear" w:color="auto" w:fill="auto"/>
            <w:vAlign w:val="center"/>
            <w:hideMark/>
          </w:tcPr>
          <w:p w14:paraId="4BB9F510" w14:textId="77777777" w:rsidR="008F3544" w:rsidRPr="00192507" w:rsidRDefault="008F3544" w:rsidP="0099088D">
            <w:pPr>
              <w:jc w:val="center"/>
              <w:rPr>
                <w:color w:val="000000"/>
                <w:sz w:val="16"/>
                <w:szCs w:val="16"/>
              </w:rPr>
            </w:pPr>
            <w:r w:rsidRPr="00192507">
              <w:rPr>
                <w:color w:val="000000"/>
                <w:sz w:val="16"/>
                <w:szCs w:val="16"/>
              </w:rPr>
              <w:t>5.1.3.2.</w:t>
            </w:r>
          </w:p>
        </w:tc>
        <w:tc>
          <w:tcPr>
            <w:tcW w:w="902" w:type="pct"/>
            <w:shd w:val="clear" w:color="auto" w:fill="auto"/>
            <w:vAlign w:val="center"/>
            <w:hideMark/>
          </w:tcPr>
          <w:p w14:paraId="37FB4B4B" w14:textId="77777777" w:rsidR="008F3544" w:rsidRPr="002F0549"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5.1.3.2.</m:t>
                    </m:r>
                  </m:sub>
                  <m:sup>
                    <m:r>
                      <m:rPr>
                        <m:nor/>
                      </m:rPr>
                      <w:rPr>
                        <w:color w:val="000000"/>
                      </w:rPr>
                      <m:t>6/0,4 кВ</m:t>
                    </m:r>
                  </m:sup>
                </m:sSubSup>
              </m:oMath>
            </m:oMathPara>
          </w:p>
        </w:tc>
        <w:tc>
          <w:tcPr>
            <w:tcW w:w="1525" w:type="pct"/>
            <w:vMerge w:val="restart"/>
            <w:shd w:val="clear" w:color="auto" w:fill="auto"/>
            <w:vAlign w:val="center"/>
            <w:hideMark/>
          </w:tcPr>
          <w:p w14:paraId="3E8445FA" w14:textId="77777777" w:rsidR="008F3544" w:rsidRPr="00192507" w:rsidRDefault="008F3544" w:rsidP="0099088D">
            <w:pPr>
              <w:rPr>
                <w:color w:val="000000"/>
                <w:sz w:val="16"/>
                <w:szCs w:val="16"/>
              </w:rPr>
            </w:pPr>
            <w:r w:rsidRPr="00192507">
              <w:rPr>
                <w:color w:val="000000"/>
                <w:sz w:val="16"/>
                <w:szCs w:val="16"/>
              </w:rPr>
              <w:t>однотрансформаторные подстанции (за</w:t>
            </w:r>
            <w:r>
              <w:rPr>
                <w:color w:val="000000"/>
                <w:sz w:val="16"/>
                <w:szCs w:val="16"/>
              </w:rPr>
              <w:t> </w:t>
            </w:r>
            <w:r w:rsidRPr="00192507">
              <w:rPr>
                <w:color w:val="000000"/>
                <w:sz w:val="16"/>
                <w:szCs w:val="16"/>
              </w:rPr>
              <w:t>исключением РТП) мощностью от</w:t>
            </w:r>
            <w:r>
              <w:rPr>
                <w:color w:val="000000"/>
                <w:sz w:val="16"/>
                <w:szCs w:val="16"/>
              </w:rPr>
              <w:t> </w:t>
            </w:r>
            <w:r w:rsidRPr="00192507">
              <w:rPr>
                <w:color w:val="000000"/>
                <w:sz w:val="16"/>
                <w:szCs w:val="16"/>
              </w:rPr>
              <w:t>100 до 250 кВА включительно шкафного или киоскового типа</w:t>
            </w:r>
          </w:p>
        </w:tc>
        <w:tc>
          <w:tcPr>
            <w:tcW w:w="696" w:type="pct"/>
            <w:vMerge w:val="restart"/>
            <w:shd w:val="clear" w:color="auto" w:fill="auto"/>
            <w:vAlign w:val="center"/>
            <w:hideMark/>
          </w:tcPr>
          <w:p w14:paraId="737D5777" w14:textId="77777777" w:rsidR="008F3544" w:rsidRPr="00192507" w:rsidRDefault="008F3544" w:rsidP="0099088D">
            <w:pPr>
              <w:jc w:val="center"/>
              <w:rPr>
                <w:color w:val="000000"/>
                <w:sz w:val="16"/>
                <w:szCs w:val="16"/>
              </w:rPr>
            </w:pPr>
            <w:r w:rsidRPr="00192507">
              <w:rPr>
                <w:color w:val="000000"/>
                <w:sz w:val="16"/>
                <w:szCs w:val="16"/>
              </w:rPr>
              <w:t>рублей/кВт</w:t>
            </w:r>
          </w:p>
        </w:tc>
        <w:tc>
          <w:tcPr>
            <w:tcW w:w="602" w:type="pct"/>
            <w:shd w:val="clear" w:color="auto" w:fill="auto"/>
            <w:noWrap/>
            <w:vAlign w:val="center"/>
            <w:hideMark/>
          </w:tcPr>
          <w:p w14:paraId="2A9173A8" w14:textId="77777777" w:rsidR="008F3544" w:rsidRPr="00192507" w:rsidRDefault="008F3544" w:rsidP="0099088D">
            <w:pPr>
              <w:jc w:val="center"/>
              <w:rPr>
                <w:color w:val="000000"/>
                <w:sz w:val="16"/>
                <w:szCs w:val="16"/>
              </w:rPr>
            </w:pPr>
            <w:r w:rsidRPr="00192507">
              <w:rPr>
                <w:color w:val="000000"/>
                <w:sz w:val="16"/>
                <w:szCs w:val="16"/>
              </w:rPr>
              <w:t>4 040,38</w:t>
            </w:r>
          </w:p>
        </w:tc>
        <w:tc>
          <w:tcPr>
            <w:tcW w:w="603" w:type="pct"/>
            <w:shd w:val="clear" w:color="auto" w:fill="auto"/>
            <w:noWrap/>
            <w:vAlign w:val="center"/>
            <w:hideMark/>
          </w:tcPr>
          <w:p w14:paraId="290EBE96" w14:textId="77777777" w:rsidR="008F3544" w:rsidRPr="00192507" w:rsidRDefault="008F3544" w:rsidP="0099088D">
            <w:pPr>
              <w:jc w:val="center"/>
              <w:rPr>
                <w:color w:val="000000"/>
                <w:sz w:val="16"/>
                <w:szCs w:val="16"/>
              </w:rPr>
            </w:pPr>
            <w:r w:rsidRPr="00192507">
              <w:rPr>
                <w:color w:val="000000"/>
                <w:sz w:val="16"/>
                <w:szCs w:val="16"/>
              </w:rPr>
              <w:t>3 290,80</w:t>
            </w:r>
          </w:p>
        </w:tc>
      </w:tr>
      <w:tr w:rsidR="008F3544" w:rsidRPr="00192507" w14:paraId="678E46E9" w14:textId="77777777" w:rsidTr="0099088D">
        <w:trPr>
          <w:trHeight w:val="504"/>
        </w:trPr>
        <w:tc>
          <w:tcPr>
            <w:tcW w:w="672" w:type="pct"/>
            <w:vMerge/>
            <w:shd w:val="clear" w:color="auto" w:fill="auto"/>
            <w:vAlign w:val="center"/>
            <w:hideMark/>
          </w:tcPr>
          <w:p w14:paraId="14B67245" w14:textId="77777777" w:rsidR="008F3544" w:rsidRPr="00192507" w:rsidRDefault="008F3544" w:rsidP="0099088D">
            <w:pPr>
              <w:rPr>
                <w:color w:val="000000"/>
                <w:sz w:val="16"/>
                <w:szCs w:val="16"/>
              </w:rPr>
            </w:pPr>
          </w:p>
        </w:tc>
        <w:tc>
          <w:tcPr>
            <w:tcW w:w="902" w:type="pct"/>
            <w:shd w:val="clear" w:color="auto" w:fill="auto"/>
            <w:vAlign w:val="center"/>
            <w:hideMark/>
          </w:tcPr>
          <w:p w14:paraId="364A8F98" w14:textId="77777777" w:rsidR="008F3544" w:rsidRPr="002F0549"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5.1.3.2.</m:t>
                    </m:r>
                  </m:sub>
                  <m:sup>
                    <m:r>
                      <m:rPr>
                        <m:nor/>
                      </m:rPr>
                      <w:rPr>
                        <w:color w:val="000000"/>
                      </w:rPr>
                      <m:t>10/0,4 кВ</m:t>
                    </m:r>
                  </m:sup>
                </m:sSubSup>
              </m:oMath>
            </m:oMathPara>
          </w:p>
        </w:tc>
        <w:tc>
          <w:tcPr>
            <w:tcW w:w="1525" w:type="pct"/>
            <w:vMerge/>
            <w:shd w:val="clear" w:color="auto" w:fill="auto"/>
            <w:vAlign w:val="center"/>
            <w:hideMark/>
          </w:tcPr>
          <w:p w14:paraId="65737B7B" w14:textId="77777777" w:rsidR="008F3544" w:rsidRPr="00192507" w:rsidRDefault="008F3544" w:rsidP="0099088D">
            <w:pPr>
              <w:rPr>
                <w:color w:val="000000"/>
                <w:sz w:val="16"/>
                <w:szCs w:val="16"/>
              </w:rPr>
            </w:pPr>
          </w:p>
        </w:tc>
        <w:tc>
          <w:tcPr>
            <w:tcW w:w="696" w:type="pct"/>
            <w:vMerge/>
            <w:shd w:val="clear" w:color="auto" w:fill="auto"/>
            <w:vAlign w:val="center"/>
            <w:hideMark/>
          </w:tcPr>
          <w:p w14:paraId="1A54FF8B" w14:textId="77777777" w:rsidR="008F3544" w:rsidRPr="00192507" w:rsidRDefault="008F3544" w:rsidP="0099088D">
            <w:pPr>
              <w:rPr>
                <w:color w:val="000000"/>
                <w:sz w:val="16"/>
                <w:szCs w:val="16"/>
              </w:rPr>
            </w:pPr>
          </w:p>
        </w:tc>
        <w:tc>
          <w:tcPr>
            <w:tcW w:w="602" w:type="pct"/>
            <w:shd w:val="clear" w:color="auto" w:fill="auto"/>
            <w:noWrap/>
            <w:vAlign w:val="center"/>
            <w:hideMark/>
          </w:tcPr>
          <w:p w14:paraId="49DC3383" w14:textId="77777777" w:rsidR="008F3544" w:rsidRPr="00192507" w:rsidRDefault="008F3544" w:rsidP="0099088D">
            <w:pPr>
              <w:jc w:val="center"/>
              <w:rPr>
                <w:color w:val="000000"/>
                <w:sz w:val="16"/>
                <w:szCs w:val="16"/>
              </w:rPr>
            </w:pPr>
            <w:r w:rsidRPr="00192507">
              <w:rPr>
                <w:color w:val="000000"/>
                <w:sz w:val="16"/>
                <w:szCs w:val="16"/>
              </w:rPr>
              <w:t>4 280,08</w:t>
            </w:r>
          </w:p>
        </w:tc>
        <w:tc>
          <w:tcPr>
            <w:tcW w:w="603" w:type="pct"/>
            <w:shd w:val="clear" w:color="auto" w:fill="auto"/>
            <w:noWrap/>
            <w:vAlign w:val="center"/>
            <w:hideMark/>
          </w:tcPr>
          <w:p w14:paraId="1FB11563" w14:textId="77777777" w:rsidR="008F3544" w:rsidRPr="00192507" w:rsidRDefault="008F3544" w:rsidP="0099088D">
            <w:pPr>
              <w:jc w:val="center"/>
              <w:rPr>
                <w:color w:val="000000"/>
                <w:sz w:val="16"/>
                <w:szCs w:val="16"/>
              </w:rPr>
            </w:pPr>
            <w:r w:rsidRPr="00192507">
              <w:rPr>
                <w:color w:val="000000"/>
                <w:sz w:val="16"/>
                <w:szCs w:val="16"/>
              </w:rPr>
              <w:t>4 280,08</w:t>
            </w:r>
          </w:p>
        </w:tc>
      </w:tr>
      <w:tr w:rsidR="008F3544" w:rsidRPr="00192507" w14:paraId="74773674" w14:textId="77777777" w:rsidTr="0099088D">
        <w:trPr>
          <w:trHeight w:val="504"/>
        </w:trPr>
        <w:tc>
          <w:tcPr>
            <w:tcW w:w="672" w:type="pct"/>
            <w:vMerge w:val="restart"/>
            <w:shd w:val="clear" w:color="auto" w:fill="auto"/>
            <w:vAlign w:val="center"/>
            <w:hideMark/>
          </w:tcPr>
          <w:p w14:paraId="58435194" w14:textId="77777777" w:rsidR="008F3544" w:rsidRPr="00192507" w:rsidRDefault="008F3544" w:rsidP="0099088D">
            <w:pPr>
              <w:jc w:val="center"/>
              <w:rPr>
                <w:color w:val="000000"/>
                <w:sz w:val="16"/>
                <w:szCs w:val="16"/>
              </w:rPr>
            </w:pPr>
            <w:r w:rsidRPr="00192507">
              <w:rPr>
                <w:color w:val="000000"/>
                <w:sz w:val="16"/>
                <w:szCs w:val="16"/>
              </w:rPr>
              <w:t>5.1.4.2.</w:t>
            </w:r>
          </w:p>
        </w:tc>
        <w:tc>
          <w:tcPr>
            <w:tcW w:w="902" w:type="pct"/>
            <w:shd w:val="clear" w:color="auto" w:fill="auto"/>
            <w:vAlign w:val="center"/>
            <w:hideMark/>
          </w:tcPr>
          <w:p w14:paraId="299D7B0D" w14:textId="77777777" w:rsidR="008F3544" w:rsidRPr="00063079"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5.1.4.2.</m:t>
                    </m:r>
                  </m:sub>
                  <m:sup>
                    <m:r>
                      <m:rPr>
                        <m:nor/>
                      </m:rPr>
                      <w:rPr>
                        <w:color w:val="000000"/>
                      </w:rPr>
                      <m:t>6/0,4 кВ</m:t>
                    </m:r>
                  </m:sup>
                </m:sSubSup>
              </m:oMath>
            </m:oMathPara>
          </w:p>
        </w:tc>
        <w:tc>
          <w:tcPr>
            <w:tcW w:w="1525" w:type="pct"/>
            <w:vMerge w:val="restart"/>
            <w:shd w:val="clear" w:color="auto" w:fill="auto"/>
            <w:vAlign w:val="center"/>
            <w:hideMark/>
          </w:tcPr>
          <w:p w14:paraId="198664DC" w14:textId="77777777" w:rsidR="008F3544" w:rsidRPr="00192507" w:rsidRDefault="008F3544" w:rsidP="0099088D">
            <w:pPr>
              <w:rPr>
                <w:color w:val="000000"/>
                <w:sz w:val="16"/>
                <w:szCs w:val="16"/>
              </w:rPr>
            </w:pPr>
            <w:r w:rsidRPr="00192507">
              <w:rPr>
                <w:color w:val="000000"/>
                <w:sz w:val="16"/>
                <w:szCs w:val="16"/>
              </w:rPr>
              <w:t>однотрансформаторные подстанции (за</w:t>
            </w:r>
            <w:r>
              <w:rPr>
                <w:color w:val="000000"/>
                <w:sz w:val="16"/>
                <w:szCs w:val="16"/>
              </w:rPr>
              <w:t> </w:t>
            </w:r>
            <w:r w:rsidRPr="00192507">
              <w:rPr>
                <w:color w:val="000000"/>
                <w:sz w:val="16"/>
                <w:szCs w:val="16"/>
              </w:rPr>
              <w:t>исключением РТП) мощностью от</w:t>
            </w:r>
            <w:r>
              <w:rPr>
                <w:color w:val="000000"/>
                <w:sz w:val="16"/>
                <w:szCs w:val="16"/>
              </w:rPr>
              <w:t> </w:t>
            </w:r>
            <w:r w:rsidRPr="00192507">
              <w:rPr>
                <w:color w:val="000000"/>
                <w:sz w:val="16"/>
                <w:szCs w:val="16"/>
              </w:rPr>
              <w:t>250 до 400 кВА включительно шкафного или киоскового типа</w:t>
            </w:r>
          </w:p>
        </w:tc>
        <w:tc>
          <w:tcPr>
            <w:tcW w:w="696" w:type="pct"/>
            <w:vMerge w:val="restart"/>
            <w:shd w:val="clear" w:color="auto" w:fill="auto"/>
            <w:vAlign w:val="center"/>
            <w:hideMark/>
          </w:tcPr>
          <w:p w14:paraId="53D81C2B" w14:textId="77777777" w:rsidR="008F3544" w:rsidRPr="00192507" w:rsidRDefault="008F3544" w:rsidP="0099088D">
            <w:pPr>
              <w:jc w:val="center"/>
              <w:rPr>
                <w:color w:val="000000"/>
                <w:sz w:val="16"/>
                <w:szCs w:val="16"/>
              </w:rPr>
            </w:pPr>
            <w:r w:rsidRPr="00192507">
              <w:rPr>
                <w:color w:val="000000"/>
                <w:sz w:val="16"/>
                <w:szCs w:val="16"/>
              </w:rPr>
              <w:t>рублей/кВт</w:t>
            </w:r>
          </w:p>
        </w:tc>
        <w:tc>
          <w:tcPr>
            <w:tcW w:w="602" w:type="pct"/>
            <w:shd w:val="clear" w:color="auto" w:fill="auto"/>
            <w:noWrap/>
            <w:vAlign w:val="center"/>
            <w:hideMark/>
          </w:tcPr>
          <w:p w14:paraId="24BD8C11" w14:textId="77777777" w:rsidR="008F3544" w:rsidRPr="00192507" w:rsidRDefault="008F3544" w:rsidP="0099088D">
            <w:pPr>
              <w:jc w:val="center"/>
              <w:rPr>
                <w:color w:val="000000"/>
                <w:sz w:val="16"/>
                <w:szCs w:val="16"/>
              </w:rPr>
            </w:pPr>
            <w:r w:rsidRPr="00192507">
              <w:rPr>
                <w:color w:val="000000"/>
                <w:sz w:val="16"/>
                <w:szCs w:val="16"/>
              </w:rPr>
              <w:t>2 893,28</w:t>
            </w:r>
          </w:p>
        </w:tc>
        <w:tc>
          <w:tcPr>
            <w:tcW w:w="603" w:type="pct"/>
            <w:shd w:val="clear" w:color="auto" w:fill="auto"/>
            <w:noWrap/>
            <w:vAlign w:val="center"/>
            <w:hideMark/>
          </w:tcPr>
          <w:p w14:paraId="16B337FA" w14:textId="77777777" w:rsidR="008F3544" w:rsidRPr="00192507" w:rsidRDefault="008F3544" w:rsidP="0099088D">
            <w:pPr>
              <w:jc w:val="center"/>
              <w:rPr>
                <w:color w:val="000000"/>
                <w:sz w:val="16"/>
                <w:szCs w:val="16"/>
              </w:rPr>
            </w:pPr>
            <w:r w:rsidRPr="00192507">
              <w:rPr>
                <w:color w:val="000000"/>
                <w:sz w:val="16"/>
                <w:szCs w:val="16"/>
              </w:rPr>
              <w:t>2 852,41</w:t>
            </w:r>
          </w:p>
        </w:tc>
      </w:tr>
      <w:tr w:rsidR="008F3544" w:rsidRPr="00192507" w14:paraId="59EDECB3" w14:textId="77777777" w:rsidTr="0099088D">
        <w:trPr>
          <w:trHeight w:val="504"/>
        </w:trPr>
        <w:tc>
          <w:tcPr>
            <w:tcW w:w="672" w:type="pct"/>
            <w:vMerge/>
            <w:shd w:val="clear" w:color="auto" w:fill="auto"/>
            <w:vAlign w:val="center"/>
            <w:hideMark/>
          </w:tcPr>
          <w:p w14:paraId="1C70E8AB" w14:textId="77777777" w:rsidR="008F3544" w:rsidRPr="00192507" w:rsidRDefault="008F3544" w:rsidP="0099088D">
            <w:pPr>
              <w:rPr>
                <w:color w:val="000000"/>
                <w:sz w:val="16"/>
                <w:szCs w:val="16"/>
              </w:rPr>
            </w:pPr>
          </w:p>
        </w:tc>
        <w:tc>
          <w:tcPr>
            <w:tcW w:w="902" w:type="pct"/>
            <w:shd w:val="clear" w:color="auto" w:fill="auto"/>
            <w:vAlign w:val="center"/>
            <w:hideMark/>
          </w:tcPr>
          <w:p w14:paraId="329AAA95" w14:textId="77777777" w:rsidR="008F3544" w:rsidRPr="00063079"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5.1.4.2.</m:t>
                    </m:r>
                  </m:sub>
                  <m:sup>
                    <m:r>
                      <m:rPr>
                        <m:nor/>
                      </m:rPr>
                      <w:rPr>
                        <w:color w:val="000000"/>
                      </w:rPr>
                      <m:t>10/0,4 кВ</m:t>
                    </m:r>
                  </m:sup>
                </m:sSubSup>
              </m:oMath>
            </m:oMathPara>
          </w:p>
        </w:tc>
        <w:tc>
          <w:tcPr>
            <w:tcW w:w="1525" w:type="pct"/>
            <w:vMerge/>
            <w:shd w:val="clear" w:color="auto" w:fill="auto"/>
            <w:vAlign w:val="center"/>
            <w:hideMark/>
          </w:tcPr>
          <w:p w14:paraId="728EF463" w14:textId="77777777" w:rsidR="008F3544" w:rsidRPr="00192507" w:rsidRDefault="008F3544" w:rsidP="0099088D">
            <w:pPr>
              <w:rPr>
                <w:color w:val="000000"/>
                <w:sz w:val="16"/>
                <w:szCs w:val="16"/>
              </w:rPr>
            </w:pPr>
          </w:p>
        </w:tc>
        <w:tc>
          <w:tcPr>
            <w:tcW w:w="696" w:type="pct"/>
            <w:vMerge/>
            <w:shd w:val="clear" w:color="auto" w:fill="auto"/>
            <w:vAlign w:val="center"/>
            <w:hideMark/>
          </w:tcPr>
          <w:p w14:paraId="71426722" w14:textId="77777777" w:rsidR="008F3544" w:rsidRPr="00192507" w:rsidRDefault="008F3544" w:rsidP="0099088D">
            <w:pPr>
              <w:rPr>
                <w:color w:val="000000"/>
                <w:sz w:val="16"/>
                <w:szCs w:val="16"/>
              </w:rPr>
            </w:pPr>
          </w:p>
        </w:tc>
        <w:tc>
          <w:tcPr>
            <w:tcW w:w="602" w:type="pct"/>
            <w:shd w:val="clear" w:color="auto" w:fill="auto"/>
            <w:noWrap/>
            <w:vAlign w:val="center"/>
            <w:hideMark/>
          </w:tcPr>
          <w:p w14:paraId="1B7B7638" w14:textId="77777777" w:rsidR="008F3544" w:rsidRPr="00192507" w:rsidRDefault="008F3544" w:rsidP="0099088D">
            <w:pPr>
              <w:jc w:val="center"/>
              <w:rPr>
                <w:color w:val="000000"/>
                <w:sz w:val="16"/>
                <w:szCs w:val="16"/>
              </w:rPr>
            </w:pPr>
            <w:r w:rsidRPr="00192507">
              <w:rPr>
                <w:color w:val="000000"/>
                <w:sz w:val="16"/>
                <w:szCs w:val="16"/>
              </w:rPr>
              <w:t>2 593,50</w:t>
            </w:r>
          </w:p>
        </w:tc>
        <w:tc>
          <w:tcPr>
            <w:tcW w:w="603" w:type="pct"/>
            <w:shd w:val="clear" w:color="auto" w:fill="auto"/>
            <w:noWrap/>
            <w:vAlign w:val="center"/>
            <w:hideMark/>
          </w:tcPr>
          <w:p w14:paraId="6A73075A" w14:textId="77777777" w:rsidR="008F3544" w:rsidRPr="00192507" w:rsidRDefault="008F3544" w:rsidP="0099088D">
            <w:pPr>
              <w:jc w:val="center"/>
              <w:rPr>
                <w:color w:val="000000"/>
                <w:sz w:val="16"/>
                <w:szCs w:val="16"/>
              </w:rPr>
            </w:pPr>
            <w:r w:rsidRPr="00192507">
              <w:rPr>
                <w:color w:val="000000"/>
                <w:sz w:val="16"/>
                <w:szCs w:val="16"/>
              </w:rPr>
              <w:t>2 471,50</w:t>
            </w:r>
          </w:p>
        </w:tc>
      </w:tr>
      <w:tr w:rsidR="008F3544" w:rsidRPr="00192507" w14:paraId="08AC9A31" w14:textId="77777777" w:rsidTr="0099088D">
        <w:trPr>
          <w:trHeight w:val="464"/>
        </w:trPr>
        <w:tc>
          <w:tcPr>
            <w:tcW w:w="672" w:type="pct"/>
            <w:vMerge w:val="restart"/>
            <w:shd w:val="clear" w:color="auto" w:fill="auto"/>
            <w:vAlign w:val="center"/>
            <w:hideMark/>
          </w:tcPr>
          <w:p w14:paraId="179E632D" w14:textId="77777777" w:rsidR="008F3544" w:rsidRPr="00192507" w:rsidRDefault="008F3544" w:rsidP="0099088D">
            <w:pPr>
              <w:jc w:val="center"/>
              <w:rPr>
                <w:color w:val="000000"/>
                <w:sz w:val="16"/>
                <w:szCs w:val="16"/>
              </w:rPr>
            </w:pPr>
            <w:r w:rsidRPr="00192507">
              <w:rPr>
                <w:color w:val="000000"/>
                <w:sz w:val="16"/>
                <w:szCs w:val="16"/>
              </w:rPr>
              <w:t>5.1.5.2.</w:t>
            </w:r>
          </w:p>
        </w:tc>
        <w:tc>
          <w:tcPr>
            <w:tcW w:w="902" w:type="pct"/>
            <w:shd w:val="clear" w:color="auto" w:fill="auto"/>
            <w:vAlign w:val="center"/>
            <w:hideMark/>
          </w:tcPr>
          <w:p w14:paraId="324F6826" w14:textId="77777777" w:rsidR="008F3544" w:rsidRPr="00063079"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5.1.5.2.</m:t>
                    </m:r>
                  </m:sub>
                  <m:sup>
                    <m:r>
                      <m:rPr>
                        <m:nor/>
                      </m:rPr>
                      <w:rPr>
                        <w:color w:val="000000"/>
                      </w:rPr>
                      <m:t>6/0,4 кВ</m:t>
                    </m:r>
                  </m:sup>
                </m:sSubSup>
              </m:oMath>
            </m:oMathPara>
          </w:p>
        </w:tc>
        <w:tc>
          <w:tcPr>
            <w:tcW w:w="1525" w:type="pct"/>
            <w:vMerge w:val="restart"/>
            <w:shd w:val="clear" w:color="auto" w:fill="auto"/>
            <w:vAlign w:val="center"/>
            <w:hideMark/>
          </w:tcPr>
          <w:p w14:paraId="2B5B597D" w14:textId="77777777" w:rsidR="008F3544" w:rsidRPr="00192507" w:rsidRDefault="008F3544" w:rsidP="0099088D">
            <w:pPr>
              <w:rPr>
                <w:color w:val="000000"/>
                <w:sz w:val="16"/>
                <w:szCs w:val="16"/>
              </w:rPr>
            </w:pPr>
            <w:r w:rsidRPr="00192507">
              <w:rPr>
                <w:color w:val="000000"/>
                <w:sz w:val="16"/>
                <w:szCs w:val="16"/>
              </w:rPr>
              <w:t>однотрансформаторные подстанции (за</w:t>
            </w:r>
            <w:r>
              <w:rPr>
                <w:color w:val="000000"/>
                <w:sz w:val="16"/>
                <w:szCs w:val="16"/>
              </w:rPr>
              <w:t> </w:t>
            </w:r>
            <w:r w:rsidRPr="00192507">
              <w:rPr>
                <w:color w:val="000000"/>
                <w:sz w:val="16"/>
                <w:szCs w:val="16"/>
              </w:rPr>
              <w:t>исключением РТП) мощностью от</w:t>
            </w:r>
            <w:r>
              <w:rPr>
                <w:color w:val="000000"/>
                <w:sz w:val="16"/>
                <w:szCs w:val="16"/>
              </w:rPr>
              <w:t> </w:t>
            </w:r>
            <w:r w:rsidRPr="00192507">
              <w:rPr>
                <w:color w:val="000000"/>
                <w:sz w:val="16"/>
                <w:szCs w:val="16"/>
              </w:rPr>
              <w:t>400 до 1000 кВА включительно шкафного или киоскового типа</w:t>
            </w:r>
          </w:p>
        </w:tc>
        <w:tc>
          <w:tcPr>
            <w:tcW w:w="696" w:type="pct"/>
            <w:vMerge w:val="restart"/>
            <w:shd w:val="clear" w:color="auto" w:fill="auto"/>
            <w:vAlign w:val="center"/>
            <w:hideMark/>
          </w:tcPr>
          <w:p w14:paraId="6A84E886" w14:textId="77777777" w:rsidR="008F3544" w:rsidRPr="00192507" w:rsidRDefault="008F3544" w:rsidP="0099088D">
            <w:pPr>
              <w:jc w:val="center"/>
              <w:rPr>
                <w:color w:val="000000"/>
                <w:sz w:val="16"/>
                <w:szCs w:val="16"/>
              </w:rPr>
            </w:pPr>
            <w:r w:rsidRPr="00192507">
              <w:rPr>
                <w:color w:val="000000"/>
                <w:sz w:val="16"/>
                <w:szCs w:val="16"/>
              </w:rPr>
              <w:t>рублей/кВт</w:t>
            </w:r>
          </w:p>
        </w:tc>
        <w:tc>
          <w:tcPr>
            <w:tcW w:w="602" w:type="pct"/>
            <w:shd w:val="clear" w:color="auto" w:fill="auto"/>
            <w:noWrap/>
            <w:vAlign w:val="center"/>
            <w:hideMark/>
          </w:tcPr>
          <w:p w14:paraId="07D94DE6" w14:textId="77777777" w:rsidR="008F3544" w:rsidRPr="00192507" w:rsidRDefault="008F3544" w:rsidP="0099088D">
            <w:pPr>
              <w:jc w:val="center"/>
              <w:rPr>
                <w:color w:val="000000"/>
                <w:sz w:val="16"/>
                <w:szCs w:val="16"/>
              </w:rPr>
            </w:pPr>
            <w:r w:rsidRPr="00192507">
              <w:rPr>
                <w:color w:val="000000"/>
                <w:sz w:val="16"/>
                <w:szCs w:val="16"/>
              </w:rPr>
              <w:t>2 454,56</w:t>
            </w:r>
          </w:p>
        </w:tc>
        <w:tc>
          <w:tcPr>
            <w:tcW w:w="603" w:type="pct"/>
            <w:shd w:val="clear" w:color="auto" w:fill="auto"/>
            <w:noWrap/>
            <w:vAlign w:val="center"/>
            <w:hideMark/>
          </w:tcPr>
          <w:p w14:paraId="368E35A4" w14:textId="77777777" w:rsidR="008F3544" w:rsidRPr="00192507" w:rsidRDefault="008F3544" w:rsidP="0099088D">
            <w:pPr>
              <w:jc w:val="center"/>
              <w:rPr>
                <w:color w:val="000000"/>
                <w:sz w:val="16"/>
                <w:szCs w:val="16"/>
              </w:rPr>
            </w:pPr>
            <w:r w:rsidRPr="00192507">
              <w:rPr>
                <w:color w:val="000000"/>
                <w:sz w:val="16"/>
                <w:szCs w:val="16"/>
              </w:rPr>
              <w:t>2 094,43</w:t>
            </w:r>
          </w:p>
        </w:tc>
      </w:tr>
      <w:tr w:rsidR="008F3544" w:rsidRPr="00192507" w14:paraId="07E51FF3" w14:textId="77777777" w:rsidTr="0099088D">
        <w:trPr>
          <w:trHeight w:val="416"/>
        </w:trPr>
        <w:tc>
          <w:tcPr>
            <w:tcW w:w="672" w:type="pct"/>
            <w:vMerge/>
            <w:vAlign w:val="center"/>
            <w:hideMark/>
          </w:tcPr>
          <w:p w14:paraId="60A3F376" w14:textId="77777777" w:rsidR="008F3544" w:rsidRPr="00192507" w:rsidRDefault="008F3544" w:rsidP="0099088D">
            <w:pPr>
              <w:rPr>
                <w:color w:val="000000"/>
                <w:sz w:val="16"/>
                <w:szCs w:val="16"/>
              </w:rPr>
            </w:pPr>
          </w:p>
        </w:tc>
        <w:tc>
          <w:tcPr>
            <w:tcW w:w="902" w:type="pct"/>
            <w:shd w:val="clear" w:color="auto" w:fill="auto"/>
            <w:vAlign w:val="center"/>
            <w:hideMark/>
          </w:tcPr>
          <w:p w14:paraId="0CBFCF69" w14:textId="77777777" w:rsidR="008F3544" w:rsidRPr="00063079"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5.1.5.2.</m:t>
                    </m:r>
                  </m:sub>
                  <m:sup>
                    <m:r>
                      <m:rPr>
                        <m:nor/>
                      </m:rPr>
                      <w:rPr>
                        <w:color w:val="000000"/>
                      </w:rPr>
                      <m:t>10/0,4 кВ</m:t>
                    </m:r>
                  </m:sup>
                </m:sSubSup>
              </m:oMath>
            </m:oMathPara>
          </w:p>
        </w:tc>
        <w:tc>
          <w:tcPr>
            <w:tcW w:w="1525" w:type="pct"/>
            <w:vMerge/>
            <w:vAlign w:val="center"/>
            <w:hideMark/>
          </w:tcPr>
          <w:p w14:paraId="3584A4F2" w14:textId="77777777" w:rsidR="008F3544" w:rsidRPr="00192507" w:rsidRDefault="008F3544" w:rsidP="0099088D">
            <w:pPr>
              <w:rPr>
                <w:color w:val="000000"/>
                <w:sz w:val="16"/>
                <w:szCs w:val="16"/>
              </w:rPr>
            </w:pPr>
          </w:p>
        </w:tc>
        <w:tc>
          <w:tcPr>
            <w:tcW w:w="696" w:type="pct"/>
            <w:vMerge/>
            <w:vAlign w:val="center"/>
            <w:hideMark/>
          </w:tcPr>
          <w:p w14:paraId="3CB89B6D" w14:textId="77777777" w:rsidR="008F3544" w:rsidRPr="00192507" w:rsidRDefault="008F3544" w:rsidP="0099088D">
            <w:pPr>
              <w:rPr>
                <w:color w:val="000000"/>
                <w:sz w:val="16"/>
                <w:szCs w:val="16"/>
              </w:rPr>
            </w:pPr>
          </w:p>
        </w:tc>
        <w:tc>
          <w:tcPr>
            <w:tcW w:w="602" w:type="pct"/>
            <w:shd w:val="clear" w:color="auto" w:fill="auto"/>
            <w:noWrap/>
            <w:vAlign w:val="center"/>
            <w:hideMark/>
          </w:tcPr>
          <w:p w14:paraId="112F7154" w14:textId="77777777" w:rsidR="008F3544" w:rsidRPr="00192507" w:rsidRDefault="008F3544" w:rsidP="0099088D">
            <w:pPr>
              <w:jc w:val="center"/>
              <w:rPr>
                <w:color w:val="000000"/>
                <w:sz w:val="16"/>
                <w:szCs w:val="16"/>
              </w:rPr>
            </w:pPr>
            <w:r w:rsidRPr="00192507">
              <w:rPr>
                <w:color w:val="000000"/>
                <w:sz w:val="16"/>
                <w:szCs w:val="16"/>
              </w:rPr>
              <w:t>2 304,60</w:t>
            </w:r>
          </w:p>
        </w:tc>
        <w:tc>
          <w:tcPr>
            <w:tcW w:w="603" w:type="pct"/>
            <w:shd w:val="clear" w:color="auto" w:fill="auto"/>
            <w:noWrap/>
            <w:vAlign w:val="center"/>
            <w:hideMark/>
          </w:tcPr>
          <w:p w14:paraId="641B56FD" w14:textId="77777777" w:rsidR="008F3544" w:rsidRPr="00192507" w:rsidRDefault="008F3544" w:rsidP="0099088D">
            <w:pPr>
              <w:jc w:val="center"/>
              <w:rPr>
                <w:color w:val="000000"/>
                <w:sz w:val="16"/>
                <w:szCs w:val="16"/>
              </w:rPr>
            </w:pPr>
            <w:r w:rsidRPr="00192507">
              <w:rPr>
                <w:color w:val="000000"/>
                <w:sz w:val="16"/>
                <w:szCs w:val="16"/>
              </w:rPr>
              <w:t>1 534,66</w:t>
            </w:r>
          </w:p>
        </w:tc>
      </w:tr>
      <w:tr w:rsidR="008F3544" w:rsidRPr="00192507" w14:paraId="74F0CA2A" w14:textId="77777777" w:rsidTr="0099088D">
        <w:trPr>
          <w:trHeight w:val="419"/>
        </w:trPr>
        <w:tc>
          <w:tcPr>
            <w:tcW w:w="672" w:type="pct"/>
            <w:shd w:val="clear" w:color="auto" w:fill="auto"/>
            <w:vAlign w:val="center"/>
            <w:hideMark/>
          </w:tcPr>
          <w:p w14:paraId="7C07604D" w14:textId="77777777" w:rsidR="008F3544" w:rsidRPr="00192507" w:rsidRDefault="008F3544" w:rsidP="0099088D">
            <w:pPr>
              <w:jc w:val="center"/>
              <w:rPr>
                <w:color w:val="000000"/>
                <w:sz w:val="16"/>
                <w:szCs w:val="16"/>
              </w:rPr>
            </w:pPr>
            <w:r w:rsidRPr="00192507">
              <w:rPr>
                <w:color w:val="000000"/>
                <w:sz w:val="16"/>
                <w:szCs w:val="16"/>
              </w:rPr>
              <w:t>5.1.1.3.</w:t>
            </w:r>
          </w:p>
        </w:tc>
        <w:tc>
          <w:tcPr>
            <w:tcW w:w="902" w:type="pct"/>
            <w:shd w:val="clear" w:color="auto" w:fill="auto"/>
            <w:vAlign w:val="center"/>
            <w:hideMark/>
          </w:tcPr>
          <w:p w14:paraId="42065E90" w14:textId="77777777" w:rsidR="008F3544" w:rsidRPr="00233C40"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5.1.1.3.</m:t>
                    </m:r>
                  </m:sub>
                  <m:sup>
                    <m:r>
                      <m:rPr>
                        <m:nor/>
                      </m:rPr>
                      <w:rPr>
                        <w:color w:val="000000"/>
                      </w:rPr>
                      <m:t>6/0,4 кВ</m:t>
                    </m:r>
                  </m:sup>
                </m:sSubSup>
              </m:oMath>
            </m:oMathPara>
          </w:p>
        </w:tc>
        <w:tc>
          <w:tcPr>
            <w:tcW w:w="1525" w:type="pct"/>
            <w:shd w:val="clear" w:color="auto" w:fill="auto"/>
            <w:vAlign w:val="center"/>
            <w:hideMark/>
          </w:tcPr>
          <w:p w14:paraId="09668612" w14:textId="77777777" w:rsidR="008F3544" w:rsidRPr="00192507" w:rsidRDefault="008F3544" w:rsidP="0099088D">
            <w:pPr>
              <w:rPr>
                <w:color w:val="000000"/>
                <w:sz w:val="16"/>
                <w:szCs w:val="16"/>
              </w:rPr>
            </w:pPr>
            <w:r w:rsidRPr="00192507">
              <w:rPr>
                <w:color w:val="000000"/>
                <w:sz w:val="16"/>
                <w:szCs w:val="16"/>
              </w:rPr>
              <w:t>однотрансформаторные подстанции (за</w:t>
            </w:r>
            <w:r>
              <w:rPr>
                <w:color w:val="000000"/>
                <w:sz w:val="16"/>
                <w:szCs w:val="16"/>
              </w:rPr>
              <w:t> </w:t>
            </w:r>
            <w:r w:rsidRPr="00192507">
              <w:rPr>
                <w:color w:val="000000"/>
                <w:sz w:val="16"/>
                <w:szCs w:val="16"/>
              </w:rPr>
              <w:t>исключением РТП) мощностью до</w:t>
            </w:r>
            <w:r>
              <w:rPr>
                <w:color w:val="000000"/>
                <w:sz w:val="16"/>
                <w:szCs w:val="16"/>
              </w:rPr>
              <w:t> </w:t>
            </w:r>
            <w:r w:rsidRPr="00192507">
              <w:rPr>
                <w:color w:val="000000"/>
                <w:sz w:val="16"/>
                <w:szCs w:val="16"/>
              </w:rPr>
              <w:t>25 кВА включительно блочного типа</w:t>
            </w:r>
          </w:p>
        </w:tc>
        <w:tc>
          <w:tcPr>
            <w:tcW w:w="696" w:type="pct"/>
            <w:shd w:val="clear" w:color="auto" w:fill="auto"/>
            <w:vAlign w:val="center"/>
            <w:hideMark/>
          </w:tcPr>
          <w:p w14:paraId="3D320627" w14:textId="77777777" w:rsidR="008F3544" w:rsidRPr="00192507" w:rsidRDefault="008F3544" w:rsidP="0099088D">
            <w:pPr>
              <w:jc w:val="center"/>
              <w:rPr>
                <w:color w:val="000000"/>
                <w:sz w:val="16"/>
                <w:szCs w:val="16"/>
              </w:rPr>
            </w:pPr>
            <w:r w:rsidRPr="00192507">
              <w:rPr>
                <w:color w:val="000000"/>
                <w:sz w:val="16"/>
                <w:szCs w:val="16"/>
              </w:rPr>
              <w:t>рублей/кВт</w:t>
            </w:r>
          </w:p>
        </w:tc>
        <w:tc>
          <w:tcPr>
            <w:tcW w:w="602" w:type="pct"/>
            <w:shd w:val="clear" w:color="auto" w:fill="auto"/>
            <w:noWrap/>
            <w:vAlign w:val="center"/>
            <w:hideMark/>
          </w:tcPr>
          <w:p w14:paraId="4322E70D" w14:textId="77777777" w:rsidR="008F3544" w:rsidRPr="00192507" w:rsidRDefault="008F3544" w:rsidP="0099088D">
            <w:pPr>
              <w:jc w:val="center"/>
              <w:rPr>
                <w:color w:val="000000"/>
                <w:sz w:val="16"/>
                <w:szCs w:val="16"/>
              </w:rPr>
            </w:pPr>
            <w:r w:rsidRPr="00192507">
              <w:rPr>
                <w:color w:val="000000"/>
                <w:sz w:val="16"/>
                <w:szCs w:val="16"/>
              </w:rPr>
              <w:t>29 648,86</w:t>
            </w:r>
          </w:p>
        </w:tc>
        <w:tc>
          <w:tcPr>
            <w:tcW w:w="603" w:type="pct"/>
            <w:shd w:val="clear" w:color="auto" w:fill="auto"/>
            <w:noWrap/>
            <w:vAlign w:val="center"/>
            <w:hideMark/>
          </w:tcPr>
          <w:p w14:paraId="2D06B23E" w14:textId="77777777" w:rsidR="008F3544" w:rsidRPr="00192507" w:rsidRDefault="008F3544" w:rsidP="0099088D">
            <w:pPr>
              <w:jc w:val="center"/>
              <w:rPr>
                <w:color w:val="000000"/>
                <w:sz w:val="16"/>
                <w:szCs w:val="16"/>
              </w:rPr>
            </w:pPr>
            <w:r w:rsidRPr="00192507">
              <w:rPr>
                <w:color w:val="000000"/>
                <w:sz w:val="16"/>
                <w:szCs w:val="16"/>
              </w:rPr>
              <w:t>26 644,02</w:t>
            </w:r>
          </w:p>
        </w:tc>
      </w:tr>
      <w:tr w:rsidR="008F3544" w:rsidRPr="00192507" w14:paraId="6884EA0B" w14:textId="77777777" w:rsidTr="0099088D">
        <w:trPr>
          <w:trHeight w:val="555"/>
        </w:trPr>
        <w:tc>
          <w:tcPr>
            <w:tcW w:w="672" w:type="pct"/>
            <w:shd w:val="clear" w:color="auto" w:fill="auto"/>
            <w:vAlign w:val="center"/>
            <w:hideMark/>
          </w:tcPr>
          <w:p w14:paraId="54889EB3" w14:textId="77777777" w:rsidR="008F3544" w:rsidRPr="00192507" w:rsidRDefault="008F3544" w:rsidP="0099088D">
            <w:pPr>
              <w:jc w:val="center"/>
              <w:rPr>
                <w:color w:val="000000"/>
                <w:sz w:val="16"/>
                <w:szCs w:val="16"/>
              </w:rPr>
            </w:pPr>
            <w:r w:rsidRPr="00192507">
              <w:rPr>
                <w:color w:val="000000"/>
                <w:sz w:val="16"/>
                <w:szCs w:val="16"/>
              </w:rPr>
              <w:t>5.1.2.3.</w:t>
            </w:r>
          </w:p>
        </w:tc>
        <w:tc>
          <w:tcPr>
            <w:tcW w:w="902" w:type="pct"/>
            <w:shd w:val="clear" w:color="auto" w:fill="auto"/>
            <w:vAlign w:val="center"/>
            <w:hideMark/>
          </w:tcPr>
          <w:p w14:paraId="183D132B" w14:textId="77777777" w:rsidR="008F3544" w:rsidRPr="00233C40"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5.1.2.3.</m:t>
                    </m:r>
                  </m:sub>
                  <m:sup>
                    <m:r>
                      <m:rPr>
                        <m:nor/>
                      </m:rPr>
                      <w:rPr>
                        <w:color w:val="000000"/>
                      </w:rPr>
                      <m:t>6/0,4 кВ</m:t>
                    </m:r>
                  </m:sup>
                </m:sSubSup>
              </m:oMath>
            </m:oMathPara>
          </w:p>
        </w:tc>
        <w:tc>
          <w:tcPr>
            <w:tcW w:w="1525" w:type="pct"/>
            <w:shd w:val="clear" w:color="auto" w:fill="auto"/>
            <w:vAlign w:val="center"/>
            <w:hideMark/>
          </w:tcPr>
          <w:p w14:paraId="7A151FCD" w14:textId="77777777" w:rsidR="008F3544" w:rsidRPr="00192507" w:rsidRDefault="008F3544" w:rsidP="0099088D">
            <w:pPr>
              <w:rPr>
                <w:color w:val="000000"/>
                <w:sz w:val="16"/>
                <w:szCs w:val="16"/>
              </w:rPr>
            </w:pPr>
            <w:r w:rsidRPr="00192507">
              <w:rPr>
                <w:color w:val="000000"/>
                <w:sz w:val="16"/>
                <w:szCs w:val="16"/>
              </w:rPr>
              <w:t>однотрансформаторные подстанции (за</w:t>
            </w:r>
            <w:r>
              <w:rPr>
                <w:color w:val="000000"/>
                <w:sz w:val="16"/>
                <w:szCs w:val="16"/>
              </w:rPr>
              <w:t> </w:t>
            </w:r>
            <w:r w:rsidRPr="00192507">
              <w:rPr>
                <w:color w:val="000000"/>
                <w:sz w:val="16"/>
                <w:szCs w:val="16"/>
              </w:rPr>
              <w:t>исключением РТП) мощностью от</w:t>
            </w:r>
            <w:r>
              <w:rPr>
                <w:color w:val="000000"/>
                <w:sz w:val="16"/>
                <w:szCs w:val="16"/>
              </w:rPr>
              <w:t> </w:t>
            </w:r>
            <w:r w:rsidRPr="00192507">
              <w:rPr>
                <w:color w:val="000000"/>
                <w:sz w:val="16"/>
                <w:szCs w:val="16"/>
              </w:rPr>
              <w:t>25 до 100 кВА включительно блочного типа</w:t>
            </w:r>
          </w:p>
        </w:tc>
        <w:tc>
          <w:tcPr>
            <w:tcW w:w="696" w:type="pct"/>
            <w:shd w:val="clear" w:color="auto" w:fill="auto"/>
            <w:vAlign w:val="center"/>
            <w:hideMark/>
          </w:tcPr>
          <w:p w14:paraId="1771EABE" w14:textId="77777777" w:rsidR="008F3544" w:rsidRPr="00192507" w:rsidRDefault="008F3544" w:rsidP="0099088D">
            <w:pPr>
              <w:jc w:val="center"/>
              <w:rPr>
                <w:color w:val="000000"/>
                <w:sz w:val="16"/>
                <w:szCs w:val="16"/>
              </w:rPr>
            </w:pPr>
            <w:r w:rsidRPr="00192507">
              <w:rPr>
                <w:color w:val="000000"/>
                <w:sz w:val="16"/>
                <w:szCs w:val="16"/>
              </w:rPr>
              <w:t>рублей/кВт</w:t>
            </w:r>
          </w:p>
        </w:tc>
        <w:tc>
          <w:tcPr>
            <w:tcW w:w="602" w:type="pct"/>
            <w:shd w:val="clear" w:color="auto" w:fill="auto"/>
            <w:noWrap/>
            <w:vAlign w:val="center"/>
            <w:hideMark/>
          </w:tcPr>
          <w:p w14:paraId="08474AD3" w14:textId="77777777" w:rsidR="008F3544" w:rsidRPr="00192507" w:rsidRDefault="008F3544" w:rsidP="0099088D">
            <w:pPr>
              <w:jc w:val="center"/>
              <w:rPr>
                <w:color w:val="000000"/>
                <w:sz w:val="16"/>
                <w:szCs w:val="16"/>
              </w:rPr>
            </w:pPr>
            <w:r w:rsidRPr="00192507">
              <w:rPr>
                <w:color w:val="000000"/>
                <w:sz w:val="16"/>
                <w:szCs w:val="16"/>
              </w:rPr>
              <w:t>12 054,88</w:t>
            </w:r>
          </w:p>
        </w:tc>
        <w:tc>
          <w:tcPr>
            <w:tcW w:w="603" w:type="pct"/>
            <w:shd w:val="clear" w:color="auto" w:fill="auto"/>
            <w:noWrap/>
            <w:vAlign w:val="center"/>
            <w:hideMark/>
          </w:tcPr>
          <w:p w14:paraId="320E454A" w14:textId="77777777" w:rsidR="008F3544" w:rsidRPr="00192507" w:rsidRDefault="008F3544" w:rsidP="0099088D">
            <w:pPr>
              <w:jc w:val="center"/>
              <w:rPr>
                <w:color w:val="000000"/>
                <w:sz w:val="16"/>
                <w:szCs w:val="16"/>
              </w:rPr>
            </w:pPr>
            <w:r w:rsidRPr="00192507">
              <w:rPr>
                <w:color w:val="000000"/>
                <w:sz w:val="16"/>
                <w:szCs w:val="16"/>
              </w:rPr>
              <w:t>10 942,58</w:t>
            </w:r>
          </w:p>
        </w:tc>
      </w:tr>
      <w:tr w:rsidR="008F3544" w:rsidRPr="00192507" w14:paraId="4E87F4E1" w14:textId="77777777" w:rsidTr="0099088D">
        <w:trPr>
          <w:trHeight w:val="381"/>
        </w:trPr>
        <w:tc>
          <w:tcPr>
            <w:tcW w:w="672" w:type="pct"/>
            <w:vMerge w:val="restart"/>
            <w:shd w:val="clear" w:color="auto" w:fill="auto"/>
            <w:vAlign w:val="center"/>
            <w:hideMark/>
          </w:tcPr>
          <w:p w14:paraId="4E1390BF" w14:textId="77777777" w:rsidR="008F3544" w:rsidRPr="00192507" w:rsidRDefault="008F3544" w:rsidP="0099088D">
            <w:pPr>
              <w:jc w:val="center"/>
              <w:rPr>
                <w:color w:val="000000"/>
                <w:sz w:val="16"/>
                <w:szCs w:val="16"/>
              </w:rPr>
            </w:pPr>
            <w:r w:rsidRPr="00192507">
              <w:rPr>
                <w:color w:val="000000"/>
                <w:sz w:val="16"/>
                <w:szCs w:val="16"/>
              </w:rPr>
              <w:t>5.1.3.3.</w:t>
            </w:r>
          </w:p>
        </w:tc>
        <w:tc>
          <w:tcPr>
            <w:tcW w:w="902" w:type="pct"/>
            <w:shd w:val="clear" w:color="auto" w:fill="auto"/>
            <w:vAlign w:val="center"/>
            <w:hideMark/>
          </w:tcPr>
          <w:p w14:paraId="5FA4C6AD" w14:textId="77777777" w:rsidR="008F3544" w:rsidRPr="00233C40"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5.1.3.3.</m:t>
                    </m:r>
                  </m:sub>
                  <m:sup>
                    <m:r>
                      <m:rPr>
                        <m:nor/>
                      </m:rPr>
                      <w:rPr>
                        <w:color w:val="000000"/>
                      </w:rPr>
                      <m:t>6/0,4 кВ</m:t>
                    </m:r>
                  </m:sup>
                </m:sSubSup>
              </m:oMath>
            </m:oMathPara>
          </w:p>
        </w:tc>
        <w:tc>
          <w:tcPr>
            <w:tcW w:w="1525" w:type="pct"/>
            <w:vMerge w:val="restart"/>
            <w:shd w:val="clear" w:color="auto" w:fill="auto"/>
            <w:vAlign w:val="center"/>
            <w:hideMark/>
          </w:tcPr>
          <w:p w14:paraId="4F66CC23" w14:textId="77777777" w:rsidR="008F3544" w:rsidRPr="00192507" w:rsidRDefault="008F3544" w:rsidP="0099088D">
            <w:pPr>
              <w:rPr>
                <w:color w:val="000000"/>
                <w:sz w:val="16"/>
                <w:szCs w:val="16"/>
              </w:rPr>
            </w:pPr>
            <w:r w:rsidRPr="00192507">
              <w:rPr>
                <w:color w:val="000000"/>
                <w:sz w:val="16"/>
                <w:szCs w:val="16"/>
              </w:rPr>
              <w:t>однотрансформаторные подстанции (за</w:t>
            </w:r>
            <w:r>
              <w:rPr>
                <w:color w:val="000000"/>
                <w:sz w:val="16"/>
                <w:szCs w:val="16"/>
              </w:rPr>
              <w:t> </w:t>
            </w:r>
            <w:r w:rsidRPr="00192507">
              <w:rPr>
                <w:color w:val="000000"/>
                <w:sz w:val="16"/>
                <w:szCs w:val="16"/>
              </w:rPr>
              <w:t>исключением РТП) мощностью от</w:t>
            </w:r>
            <w:r>
              <w:rPr>
                <w:color w:val="000000"/>
                <w:sz w:val="16"/>
                <w:szCs w:val="16"/>
              </w:rPr>
              <w:t> </w:t>
            </w:r>
            <w:r w:rsidRPr="00192507">
              <w:rPr>
                <w:color w:val="000000"/>
                <w:sz w:val="16"/>
                <w:szCs w:val="16"/>
              </w:rPr>
              <w:t>100 до 250 кВА включительно блочного типа</w:t>
            </w:r>
          </w:p>
        </w:tc>
        <w:tc>
          <w:tcPr>
            <w:tcW w:w="696" w:type="pct"/>
            <w:vMerge w:val="restart"/>
            <w:shd w:val="clear" w:color="auto" w:fill="auto"/>
            <w:vAlign w:val="center"/>
            <w:hideMark/>
          </w:tcPr>
          <w:p w14:paraId="35B24D22" w14:textId="77777777" w:rsidR="008F3544" w:rsidRPr="00192507" w:rsidRDefault="008F3544" w:rsidP="0099088D">
            <w:pPr>
              <w:jc w:val="center"/>
              <w:rPr>
                <w:color w:val="000000"/>
                <w:sz w:val="16"/>
                <w:szCs w:val="16"/>
              </w:rPr>
            </w:pPr>
            <w:r w:rsidRPr="00192507">
              <w:rPr>
                <w:color w:val="000000"/>
                <w:sz w:val="16"/>
                <w:szCs w:val="16"/>
              </w:rPr>
              <w:t>рублей/кВт</w:t>
            </w:r>
          </w:p>
        </w:tc>
        <w:tc>
          <w:tcPr>
            <w:tcW w:w="602" w:type="pct"/>
            <w:shd w:val="clear" w:color="auto" w:fill="auto"/>
            <w:noWrap/>
            <w:vAlign w:val="center"/>
            <w:hideMark/>
          </w:tcPr>
          <w:p w14:paraId="1445D2D8" w14:textId="77777777" w:rsidR="008F3544" w:rsidRPr="00192507" w:rsidRDefault="008F3544" w:rsidP="0099088D">
            <w:pPr>
              <w:jc w:val="center"/>
              <w:rPr>
                <w:color w:val="000000"/>
                <w:sz w:val="16"/>
                <w:szCs w:val="16"/>
              </w:rPr>
            </w:pPr>
            <w:r w:rsidRPr="00192507">
              <w:rPr>
                <w:color w:val="000000"/>
                <w:sz w:val="16"/>
                <w:szCs w:val="16"/>
              </w:rPr>
              <w:t>6 500,35</w:t>
            </w:r>
          </w:p>
        </w:tc>
        <w:tc>
          <w:tcPr>
            <w:tcW w:w="603" w:type="pct"/>
            <w:shd w:val="clear" w:color="auto" w:fill="auto"/>
            <w:noWrap/>
            <w:vAlign w:val="center"/>
            <w:hideMark/>
          </w:tcPr>
          <w:p w14:paraId="55B65281" w14:textId="77777777" w:rsidR="008F3544" w:rsidRPr="00192507" w:rsidRDefault="008F3544" w:rsidP="0099088D">
            <w:pPr>
              <w:jc w:val="center"/>
              <w:rPr>
                <w:color w:val="000000"/>
                <w:sz w:val="16"/>
                <w:szCs w:val="16"/>
              </w:rPr>
            </w:pPr>
            <w:r w:rsidRPr="00192507">
              <w:rPr>
                <w:color w:val="000000"/>
                <w:sz w:val="16"/>
                <w:szCs w:val="16"/>
              </w:rPr>
              <w:t>6 500,35</w:t>
            </w:r>
          </w:p>
        </w:tc>
      </w:tr>
      <w:tr w:rsidR="008F3544" w:rsidRPr="00192507" w14:paraId="7E03FD4B" w14:textId="77777777" w:rsidTr="0099088D">
        <w:trPr>
          <w:trHeight w:val="417"/>
        </w:trPr>
        <w:tc>
          <w:tcPr>
            <w:tcW w:w="672" w:type="pct"/>
            <w:vMerge/>
            <w:shd w:val="clear" w:color="auto" w:fill="auto"/>
            <w:vAlign w:val="center"/>
            <w:hideMark/>
          </w:tcPr>
          <w:p w14:paraId="50CA49A8" w14:textId="77777777" w:rsidR="008F3544" w:rsidRPr="00192507" w:rsidRDefault="008F3544" w:rsidP="0099088D">
            <w:pPr>
              <w:rPr>
                <w:color w:val="000000"/>
                <w:sz w:val="16"/>
                <w:szCs w:val="16"/>
              </w:rPr>
            </w:pPr>
          </w:p>
        </w:tc>
        <w:tc>
          <w:tcPr>
            <w:tcW w:w="902" w:type="pct"/>
            <w:shd w:val="clear" w:color="auto" w:fill="auto"/>
            <w:vAlign w:val="center"/>
            <w:hideMark/>
          </w:tcPr>
          <w:p w14:paraId="7B789DC6" w14:textId="77777777" w:rsidR="008F3544" w:rsidRPr="00233C40"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5.1.3.3.</m:t>
                    </m:r>
                  </m:sub>
                  <m:sup>
                    <m:r>
                      <m:rPr>
                        <m:nor/>
                      </m:rPr>
                      <w:rPr>
                        <w:color w:val="000000"/>
                      </w:rPr>
                      <m:t>10/0,4 кВ</m:t>
                    </m:r>
                  </m:sup>
                </m:sSubSup>
              </m:oMath>
            </m:oMathPara>
          </w:p>
        </w:tc>
        <w:tc>
          <w:tcPr>
            <w:tcW w:w="1525" w:type="pct"/>
            <w:vMerge/>
            <w:shd w:val="clear" w:color="auto" w:fill="auto"/>
            <w:vAlign w:val="center"/>
            <w:hideMark/>
          </w:tcPr>
          <w:p w14:paraId="5D49BCC6" w14:textId="77777777" w:rsidR="008F3544" w:rsidRPr="00192507" w:rsidRDefault="008F3544" w:rsidP="0099088D">
            <w:pPr>
              <w:rPr>
                <w:color w:val="000000"/>
                <w:sz w:val="16"/>
                <w:szCs w:val="16"/>
              </w:rPr>
            </w:pPr>
          </w:p>
        </w:tc>
        <w:tc>
          <w:tcPr>
            <w:tcW w:w="696" w:type="pct"/>
            <w:vMerge/>
            <w:shd w:val="clear" w:color="auto" w:fill="auto"/>
            <w:vAlign w:val="center"/>
            <w:hideMark/>
          </w:tcPr>
          <w:p w14:paraId="70DBDDE8" w14:textId="77777777" w:rsidR="008F3544" w:rsidRPr="00192507" w:rsidRDefault="008F3544" w:rsidP="0099088D">
            <w:pPr>
              <w:rPr>
                <w:color w:val="000000"/>
                <w:sz w:val="16"/>
                <w:szCs w:val="16"/>
              </w:rPr>
            </w:pPr>
          </w:p>
        </w:tc>
        <w:tc>
          <w:tcPr>
            <w:tcW w:w="602" w:type="pct"/>
            <w:shd w:val="clear" w:color="auto" w:fill="auto"/>
            <w:noWrap/>
            <w:vAlign w:val="center"/>
            <w:hideMark/>
          </w:tcPr>
          <w:p w14:paraId="3DDCEF4A" w14:textId="77777777" w:rsidR="008F3544" w:rsidRPr="00192507" w:rsidRDefault="008F3544" w:rsidP="0099088D">
            <w:pPr>
              <w:jc w:val="center"/>
              <w:rPr>
                <w:color w:val="000000"/>
                <w:sz w:val="16"/>
                <w:szCs w:val="16"/>
              </w:rPr>
            </w:pPr>
            <w:r w:rsidRPr="00192507">
              <w:rPr>
                <w:color w:val="000000"/>
                <w:sz w:val="16"/>
                <w:szCs w:val="16"/>
              </w:rPr>
              <w:t>7 121,65</w:t>
            </w:r>
          </w:p>
        </w:tc>
        <w:tc>
          <w:tcPr>
            <w:tcW w:w="603" w:type="pct"/>
            <w:shd w:val="clear" w:color="auto" w:fill="auto"/>
            <w:noWrap/>
            <w:vAlign w:val="center"/>
            <w:hideMark/>
          </w:tcPr>
          <w:p w14:paraId="5FD4B3D6" w14:textId="77777777" w:rsidR="008F3544" w:rsidRPr="00192507" w:rsidRDefault="008F3544" w:rsidP="0099088D">
            <w:pPr>
              <w:jc w:val="center"/>
              <w:rPr>
                <w:color w:val="000000"/>
                <w:sz w:val="16"/>
                <w:szCs w:val="16"/>
              </w:rPr>
            </w:pPr>
            <w:r w:rsidRPr="00192507">
              <w:rPr>
                <w:color w:val="000000"/>
                <w:sz w:val="16"/>
                <w:szCs w:val="16"/>
              </w:rPr>
              <w:t>6 363,23</w:t>
            </w:r>
          </w:p>
        </w:tc>
      </w:tr>
      <w:tr w:rsidR="008F3544" w:rsidRPr="00192507" w14:paraId="4C67C0E8" w14:textId="77777777" w:rsidTr="0099088D">
        <w:trPr>
          <w:trHeight w:val="675"/>
        </w:trPr>
        <w:tc>
          <w:tcPr>
            <w:tcW w:w="672" w:type="pct"/>
            <w:shd w:val="clear" w:color="auto" w:fill="auto"/>
            <w:vAlign w:val="center"/>
            <w:hideMark/>
          </w:tcPr>
          <w:p w14:paraId="7A191D4E" w14:textId="77777777" w:rsidR="008F3544" w:rsidRPr="00192507" w:rsidRDefault="008F3544" w:rsidP="0099088D">
            <w:pPr>
              <w:jc w:val="center"/>
              <w:rPr>
                <w:color w:val="000000"/>
                <w:sz w:val="16"/>
                <w:szCs w:val="16"/>
              </w:rPr>
            </w:pPr>
            <w:r w:rsidRPr="00192507">
              <w:rPr>
                <w:color w:val="000000"/>
                <w:sz w:val="16"/>
                <w:szCs w:val="16"/>
              </w:rPr>
              <w:t>5.1.4.3.</w:t>
            </w:r>
          </w:p>
        </w:tc>
        <w:tc>
          <w:tcPr>
            <w:tcW w:w="902" w:type="pct"/>
            <w:shd w:val="clear" w:color="auto" w:fill="auto"/>
            <w:vAlign w:val="center"/>
            <w:hideMark/>
          </w:tcPr>
          <w:p w14:paraId="30862B4E" w14:textId="77777777" w:rsidR="008F3544" w:rsidRPr="00233C40"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5.1.4.3.</m:t>
                    </m:r>
                  </m:sub>
                  <m:sup>
                    <m:r>
                      <m:rPr>
                        <m:nor/>
                      </m:rPr>
                      <w:rPr>
                        <w:color w:val="000000"/>
                      </w:rPr>
                      <m:t>6/0,4 кВ</m:t>
                    </m:r>
                  </m:sup>
                </m:sSubSup>
              </m:oMath>
            </m:oMathPara>
          </w:p>
        </w:tc>
        <w:tc>
          <w:tcPr>
            <w:tcW w:w="1525" w:type="pct"/>
            <w:shd w:val="clear" w:color="auto" w:fill="auto"/>
            <w:vAlign w:val="center"/>
            <w:hideMark/>
          </w:tcPr>
          <w:p w14:paraId="26380D74" w14:textId="77777777" w:rsidR="008F3544" w:rsidRPr="00192507" w:rsidRDefault="008F3544" w:rsidP="0099088D">
            <w:pPr>
              <w:rPr>
                <w:color w:val="000000"/>
                <w:sz w:val="16"/>
                <w:szCs w:val="16"/>
              </w:rPr>
            </w:pPr>
            <w:r w:rsidRPr="00192507">
              <w:rPr>
                <w:color w:val="000000"/>
                <w:sz w:val="16"/>
                <w:szCs w:val="16"/>
              </w:rPr>
              <w:t>однотрансформаторные подстанции (за</w:t>
            </w:r>
            <w:r>
              <w:rPr>
                <w:color w:val="000000"/>
                <w:sz w:val="16"/>
                <w:szCs w:val="16"/>
              </w:rPr>
              <w:t> </w:t>
            </w:r>
            <w:r w:rsidRPr="00192507">
              <w:rPr>
                <w:color w:val="000000"/>
                <w:sz w:val="16"/>
                <w:szCs w:val="16"/>
              </w:rPr>
              <w:t>исключением РТП) мощностью от</w:t>
            </w:r>
            <w:r>
              <w:rPr>
                <w:color w:val="000000"/>
                <w:sz w:val="16"/>
                <w:szCs w:val="16"/>
              </w:rPr>
              <w:t> </w:t>
            </w:r>
            <w:r w:rsidRPr="00192507">
              <w:rPr>
                <w:color w:val="000000"/>
                <w:sz w:val="16"/>
                <w:szCs w:val="16"/>
              </w:rPr>
              <w:t>250 до 400 кВА включительно блочного типа</w:t>
            </w:r>
          </w:p>
        </w:tc>
        <w:tc>
          <w:tcPr>
            <w:tcW w:w="696" w:type="pct"/>
            <w:shd w:val="clear" w:color="auto" w:fill="auto"/>
            <w:vAlign w:val="center"/>
            <w:hideMark/>
          </w:tcPr>
          <w:p w14:paraId="4F68E4DF" w14:textId="77777777" w:rsidR="008F3544" w:rsidRPr="00192507" w:rsidRDefault="008F3544" w:rsidP="0099088D">
            <w:pPr>
              <w:jc w:val="center"/>
              <w:rPr>
                <w:color w:val="000000"/>
                <w:sz w:val="16"/>
                <w:szCs w:val="16"/>
              </w:rPr>
            </w:pPr>
            <w:r w:rsidRPr="00192507">
              <w:rPr>
                <w:color w:val="000000"/>
                <w:sz w:val="16"/>
                <w:szCs w:val="16"/>
              </w:rPr>
              <w:t>рублей/кВт</w:t>
            </w:r>
          </w:p>
        </w:tc>
        <w:tc>
          <w:tcPr>
            <w:tcW w:w="602" w:type="pct"/>
            <w:shd w:val="clear" w:color="auto" w:fill="auto"/>
            <w:noWrap/>
            <w:vAlign w:val="center"/>
            <w:hideMark/>
          </w:tcPr>
          <w:p w14:paraId="06210EAA" w14:textId="77777777" w:rsidR="008F3544" w:rsidRPr="00192507" w:rsidRDefault="008F3544" w:rsidP="0099088D">
            <w:pPr>
              <w:jc w:val="center"/>
              <w:rPr>
                <w:color w:val="000000"/>
                <w:sz w:val="16"/>
                <w:szCs w:val="16"/>
              </w:rPr>
            </w:pPr>
            <w:r w:rsidRPr="00192507">
              <w:rPr>
                <w:color w:val="000000"/>
                <w:sz w:val="16"/>
                <w:szCs w:val="16"/>
              </w:rPr>
              <w:t>4 342,91</w:t>
            </w:r>
          </w:p>
        </w:tc>
        <w:tc>
          <w:tcPr>
            <w:tcW w:w="603" w:type="pct"/>
            <w:shd w:val="clear" w:color="auto" w:fill="auto"/>
            <w:noWrap/>
            <w:vAlign w:val="center"/>
            <w:hideMark/>
          </w:tcPr>
          <w:p w14:paraId="3D3C4675" w14:textId="77777777" w:rsidR="008F3544" w:rsidRPr="00192507" w:rsidRDefault="008F3544" w:rsidP="0099088D">
            <w:pPr>
              <w:jc w:val="center"/>
              <w:rPr>
                <w:color w:val="000000"/>
                <w:sz w:val="16"/>
                <w:szCs w:val="16"/>
              </w:rPr>
            </w:pPr>
            <w:r w:rsidRPr="00192507">
              <w:rPr>
                <w:color w:val="000000"/>
                <w:sz w:val="16"/>
                <w:szCs w:val="16"/>
              </w:rPr>
              <w:t>4 342,91</w:t>
            </w:r>
          </w:p>
        </w:tc>
      </w:tr>
      <w:tr w:rsidR="008F3544" w:rsidRPr="00192507" w14:paraId="05224678" w14:textId="77777777" w:rsidTr="0099088D">
        <w:trPr>
          <w:trHeight w:val="465"/>
        </w:trPr>
        <w:tc>
          <w:tcPr>
            <w:tcW w:w="672" w:type="pct"/>
            <w:vMerge w:val="restart"/>
            <w:shd w:val="clear" w:color="auto" w:fill="auto"/>
            <w:vAlign w:val="center"/>
            <w:hideMark/>
          </w:tcPr>
          <w:p w14:paraId="43606C48" w14:textId="77777777" w:rsidR="008F3544" w:rsidRPr="00192507" w:rsidRDefault="008F3544" w:rsidP="0099088D">
            <w:pPr>
              <w:jc w:val="center"/>
              <w:rPr>
                <w:color w:val="000000"/>
                <w:sz w:val="16"/>
                <w:szCs w:val="16"/>
              </w:rPr>
            </w:pPr>
            <w:r w:rsidRPr="00192507">
              <w:rPr>
                <w:color w:val="000000"/>
                <w:sz w:val="16"/>
                <w:szCs w:val="16"/>
              </w:rPr>
              <w:t>5.1.5.3.</w:t>
            </w:r>
          </w:p>
        </w:tc>
        <w:tc>
          <w:tcPr>
            <w:tcW w:w="902" w:type="pct"/>
            <w:shd w:val="clear" w:color="auto" w:fill="auto"/>
            <w:vAlign w:val="center"/>
            <w:hideMark/>
          </w:tcPr>
          <w:p w14:paraId="6526E47D" w14:textId="77777777" w:rsidR="008F3544" w:rsidRPr="00FA161E"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5.1.5.3.</m:t>
                    </m:r>
                  </m:sub>
                  <m:sup>
                    <m:r>
                      <m:rPr>
                        <m:nor/>
                      </m:rPr>
                      <w:rPr>
                        <w:color w:val="000000"/>
                      </w:rPr>
                      <m:t>6/0,4 кВ</m:t>
                    </m:r>
                  </m:sup>
                </m:sSubSup>
              </m:oMath>
            </m:oMathPara>
          </w:p>
        </w:tc>
        <w:tc>
          <w:tcPr>
            <w:tcW w:w="1525" w:type="pct"/>
            <w:vMerge w:val="restart"/>
            <w:shd w:val="clear" w:color="auto" w:fill="auto"/>
            <w:vAlign w:val="center"/>
            <w:hideMark/>
          </w:tcPr>
          <w:p w14:paraId="2018838D" w14:textId="77777777" w:rsidR="008F3544" w:rsidRPr="00192507" w:rsidRDefault="008F3544" w:rsidP="0099088D">
            <w:pPr>
              <w:rPr>
                <w:color w:val="000000"/>
                <w:sz w:val="16"/>
                <w:szCs w:val="16"/>
              </w:rPr>
            </w:pPr>
            <w:r w:rsidRPr="00192507">
              <w:rPr>
                <w:color w:val="000000"/>
                <w:sz w:val="16"/>
                <w:szCs w:val="16"/>
              </w:rPr>
              <w:t>однотрансформаторные подстанции (за</w:t>
            </w:r>
            <w:r>
              <w:rPr>
                <w:color w:val="000000"/>
                <w:sz w:val="16"/>
                <w:szCs w:val="16"/>
              </w:rPr>
              <w:t> </w:t>
            </w:r>
            <w:r w:rsidRPr="00192507">
              <w:rPr>
                <w:color w:val="000000"/>
                <w:sz w:val="16"/>
                <w:szCs w:val="16"/>
              </w:rPr>
              <w:t>исключением РТП) мощностью от</w:t>
            </w:r>
            <w:r>
              <w:rPr>
                <w:color w:val="000000"/>
                <w:sz w:val="16"/>
                <w:szCs w:val="16"/>
              </w:rPr>
              <w:t> </w:t>
            </w:r>
            <w:r w:rsidRPr="00192507">
              <w:rPr>
                <w:color w:val="000000"/>
                <w:sz w:val="16"/>
                <w:szCs w:val="16"/>
              </w:rPr>
              <w:t>400 до 1000 кВА включительно блочного типа</w:t>
            </w:r>
          </w:p>
        </w:tc>
        <w:tc>
          <w:tcPr>
            <w:tcW w:w="696" w:type="pct"/>
            <w:vMerge w:val="restart"/>
            <w:shd w:val="clear" w:color="auto" w:fill="auto"/>
            <w:vAlign w:val="center"/>
            <w:hideMark/>
          </w:tcPr>
          <w:p w14:paraId="677B8087" w14:textId="77777777" w:rsidR="008F3544" w:rsidRPr="00192507" w:rsidRDefault="008F3544" w:rsidP="0099088D">
            <w:pPr>
              <w:jc w:val="center"/>
              <w:rPr>
                <w:color w:val="000000"/>
                <w:sz w:val="16"/>
                <w:szCs w:val="16"/>
              </w:rPr>
            </w:pPr>
            <w:r w:rsidRPr="00192507">
              <w:rPr>
                <w:color w:val="000000"/>
                <w:sz w:val="16"/>
                <w:szCs w:val="16"/>
              </w:rPr>
              <w:t>рублей/кВт</w:t>
            </w:r>
          </w:p>
        </w:tc>
        <w:tc>
          <w:tcPr>
            <w:tcW w:w="602" w:type="pct"/>
            <w:shd w:val="clear" w:color="auto" w:fill="auto"/>
            <w:noWrap/>
            <w:vAlign w:val="center"/>
            <w:hideMark/>
          </w:tcPr>
          <w:p w14:paraId="07FE9FC0" w14:textId="77777777" w:rsidR="008F3544" w:rsidRPr="00192507" w:rsidRDefault="008F3544" w:rsidP="0099088D">
            <w:pPr>
              <w:jc w:val="center"/>
              <w:rPr>
                <w:color w:val="000000"/>
                <w:sz w:val="16"/>
                <w:szCs w:val="16"/>
              </w:rPr>
            </w:pPr>
            <w:r w:rsidRPr="00192507">
              <w:rPr>
                <w:color w:val="000000"/>
                <w:sz w:val="16"/>
                <w:szCs w:val="16"/>
              </w:rPr>
              <w:t>3 919,79</w:t>
            </w:r>
          </w:p>
        </w:tc>
        <w:tc>
          <w:tcPr>
            <w:tcW w:w="603" w:type="pct"/>
            <w:shd w:val="clear" w:color="auto" w:fill="auto"/>
            <w:noWrap/>
            <w:vAlign w:val="center"/>
            <w:hideMark/>
          </w:tcPr>
          <w:p w14:paraId="4E434105" w14:textId="77777777" w:rsidR="008F3544" w:rsidRPr="00192507" w:rsidRDefault="008F3544" w:rsidP="0099088D">
            <w:pPr>
              <w:jc w:val="center"/>
              <w:rPr>
                <w:color w:val="000000"/>
                <w:sz w:val="16"/>
                <w:szCs w:val="16"/>
              </w:rPr>
            </w:pPr>
            <w:r w:rsidRPr="00192507">
              <w:rPr>
                <w:color w:val="000000"/>
                <w:sz w:val="16"/>
                <w:szCs w:val="16"/>
              </w:rPr>
              <w:t>3 919,79</w:t>
            </w:r>
          </w:p>
        </w:tc>
      </w:tr>
      <w:tr w:rsidR="008F3544" w:rsidRPr="00192507" w14:paraId="6E8AE7D4" w14:textId="77777777" w:rsidTr="0099088D">
        <w:trPr>
          <w:trHeight w:val="465"/>
        </w:trPr>
        <w:tc>
          <w:tcPr>
            <w:tcW w:w="672" w:type="pct"/>
            <w:vMerge/>
            <w:vAlign w:val="center"/>
            <w:hideMark/>
          </w:tcPr>
          <w:p w14:paraId="0EF6216B" w14:textId="77777777" w:rsidR="008F3544" w:rsidRPr="00192507" w:rsidRDefault="008F3544" w:rsidP="0099088D">
            <w:pPr>
              <w:rPr>
                <w:color w:val="000000"/>
                <w:sz w:val="16"/>
                <w:szCs w:val="16"/>
              </w:rPr>
            </w:pPr>
          </w:p>
        </w:tc>
        <w:tc>
          <w:tcPr>
            <w:tcW w:w="902" w:type="pct"/>
            <w:shd w:val="clear" w:color="auto" w:fill="auto"/>
            <w:vAlign w:val="center"/>
            <w:hideMark/>
          </w:tcPr>
          <w:p w14:paraId="136CC5B7" w14:textId="77777777" w:rsidR="008F3544" w:rsidRPr="00FA161E"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5.1.5.3.</m:t>
                    </m:r>
                  </m:sub>
                  <m:sup>
                    <m:r>
                      <m:rPr>
                        <m:nor/>
                      </m:rPr>
                      <w:rPr>
                        <w:color w:val="000000"/>
                      </w:rPr>
                      <m:t>10/0,4 кВ</m:t>
                    </m:r>
                  </m:sup>
                </m:sSubSup>
              </m:oMath>
            </m:oMathPara>
          </w:p>
        </w:tc>
        <w:tc>
          <w:tcPr>
            <w:tcW w:w="1525" w:type="pct"/>
            <w:vMerge/>
            <w:vAlign w:val="center"/>
            <w:hideMark/>
          </w:tcPr>
          <w:p w14:paraId="4EE9A7AA" w14:textId="77777777" w:rsidR="008F3544" w:rsidRPr="00192507" w:rsidRDefault="008F3544" w:rsidP="0099088D">
            <w:pPr>
              <w:rPr>
                <w:color w:val="000000"/>
                <w:sz w:val="16"/>
                <w:szCs w:val="16"/>
              </w:rPr>
            </w:pPr>
          </w:p>
        </w:tc>
        <w:tc>
          <w:tcPr>
            <w:tcW w:w="696" w:type="pct"/>
            <w:vMerge/>
            <w:vAlign w:val="center"/>
            <w:hideMark/>
          </w:tcPr>
          <w:p w14:paraId="74D208B6" w14:textId="77777777" w:rsidR="008F3544" w:rsidRPr="00192507" w:rsidRDefault="008F3544" w:rsidP="0099088D">
            <w:pPr>
              <w:rPr>
                <w:color w:val="000000"/>
                <w:sz w:val="16"/>
                <w:szCs w:val="16"/>
              </w:rPr>
            </w:pPr>
          </w:p>
        </w:tc>
        <w:tc>
          <w:tcPr>
            <w:tcW w:w="602" w:type="pct"/>
            <w:shd w:val="clear" w:color="auto" w:fill="auto"/>
            <w:noWrap/>
            <w:vAlign w:val="center"/>
            <w:hideMark/>
          </w:tcPr>
          <w:p w14:paraId="38A513CC" w14:textId="77777777" w:rsidR="008F3544" w:rsidRPr="00192507" w:rsidRDefault="008F3544" w:rsidP="0099088D">
            <w:pPr>
              <w:jc w:val="center"/>
              <w:rPr>
                <w:color w:val="000000"/>
                <w:sz w:val="16"/>
                <w:szCs w:val="16"/>
              </w:rPr>
            </w:pPr>
            <w:r w:rsidRPr="00192507">
              <w:rPr>
                <w:color w:val="000000"/>
                <w:sz w:val="16"/>
                <w:szCs w:val="16"/>
              </w:rPr>
              <w:t>5 079,77</w:t>
            </w:r>
          </w:p>
        </w:tc>
        <w:tc>
          <w:tcPr>
            <w:tcW w:w="603" w:type="pct"/>
            <w:shd w:val="clear" w:color="auto" w:fill="auto"/>
            <w:noWrap/>
            <w:vAlign w:val="center"/>
            <w:hideMark/>
          </w:tcPr>
          <w:p w14:paraId="2FF53F52" w14:textId="77777777" w:rsidR="008F3544" w:rsidRPr="00192507" w:rsidRDefault="008F3544" w:rsidP="0099088D">
            <w:pPr>
              <w:jc w:val="center"/>
              <w:rPr>
                <w:color w:val="000000"/>
                <w:sz w:val="16"/>
                <w:szCs w:val="16"/>
              </w:rPr>
            </w:pPr>
            <w:r w:rsidRPr="00192507">
              <w:rPr>
                <w:color w:val="000000"/>
                <w:sz w:val="16"/>
                <w:szCs w:val="16"/>
              </w:rPr>
              <w:t>4 870,79</w:t>
            </w:r>
          </w:p>
        </w:tc>
      </w:tr>
      <w:tr w:rsidR="008F3544" w:rsidRPr="00192507" w14:paraId="321F0B33" w14:textId="77777777" w:rsidTr="0099088D">
        <w:trPr>
          <w:trHeight w:val="843"/>
        </w:trPr>
        <w:tc>
          <w:tcPr>
            <w:tcW w:w="672" w:type="pct"/>
            <w:shd w:val="clear" w:color="auto" w:fill="auto"/>
            <w:vAlign w:val="center"/>
            <w:hideMark/>
          </w:tcPr>
          <w:p w14:paraId="61ECB550" w14:textId="77777777" w:rsidR="008F3544" w:rsidRPr="00192507" w:rsidRDefault="008F3544" w:rsidP="0099088D">
            <w:pPr>
              <w:jc w:val="center"/>
              <w:rPr>
                <w:color w:val="000000"/>
                <w:sz w:val="16"/>
                <w:szCs w:val="16"/>
              </w:rPr>
            </w:pPr>
            <w:r w:rsidRPr="00192507">
              <w:rPr>
                <w:color w:val="000000"/>
                <w:sz w:val="16"/>
                <w:szCs w:val="16"/>
              </w:rPr>
              <w:t>5.1.7.3.</w:t>
            </w:r>
          </w:p>
        </w:tc>
        <w:tc>
          <w:tcPr>
            <w:tcW w:w="902" w:type="pct"/>
            <w:shd w:val="clear" w:color="auto" w:fill="auto"/>
            <w:vAlign w:val="center"/>
            <w:hideMark/>
          </w:tcPr>
          <w:p w14:paraId="50F49D4C" w14:textId="77777777" w:rsidR="008F3544" w:rsidRPr="00FA161E"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5.1.7.3.</m:t>
                    </m:r>
                  </m:sub>
                  <m:sup>
                    <m:r>
                      <m:rPr>
                        <m:nor/>
                      </m:rPr>
                      <w:rPr>
                        <w:color w:val="000000"/>
                      </w:rPr>
                      <m:t>6/0,4 кВ</m:t>
                    </m:r>
                  </m:sup>
                </m:sSubSup>
              </m:oMath>
            </m:oMathPara>
          </w:p>
        </w:tc>
        <w:tc>
          <w:tcPr>
            <w:tcW w:w="1525" w:type="pct"/>
            <w:shd w:val="clear" w:color="auto" w:fill="auto"/>
            <w:vAlign w:val="center"/>
            <w:hideMark/>
          </w:tcPr>
          <w:p w14:paraId="53434147" w14:textId="77777777" w:rsidR="008F3544" w:rsidRPr="00192507" w:rsidRDefault="008F3544" w:rsidP="0099088D">
            <w:pPr>
              <w:rPr>
                <w:color w:val="000000"/>
                <w:sz w:val="16"/>
                <w:szCs w:val="16"/>
              </w:rPr>
            </w:pPr>
            <w:r w:rsidRPr="00192507">
              <w:rPr>
                <w:color w:val="000000"/>
                <w:sz w:val="16"/>
                <w:szCs w:val="16"/>
              </w:rPr>
              <w:t>однотрансформаторные подстанции (за</w:t>
            </w:r>
            <w:r>
              <w:rPr>
                <w:color w:val="000000"/>
                <w:sz w:val="16"/>
                <w:szCs w:val="16"/>
              </w:rPr>
              <w:t> </w:t>
            </w:r>
            <w:r w:rsidRPr="00192507">
              <w:rPr>
                <w:color w:val="000000"/>
                <w:sz w:val="16"/>
                <w:szCs w:val="16"/>
              </w:rPr>
              <w:t>исключением РТП) мощностью от</w:t>
            </w:r>
            <w:r>
              <w:rPr>
                <w:color w:val="000000"/>
                <w:sz w:val="16"/>
                <w:szCs w:val="16"/>
              </w:rPr>
              <w:t> </w:t>
            </w:r>
            <w:r w:rsidRPr="00192507">
              <w:rPr>
                <w:color w:val="000000"/>
                <w:sz w:val="16"/>
                <w:szCs w:val="16"/>
              </w:rPr>
              <w:t>1250 кВА до 1600 кВА включительно блочного типа</w:t>
            </w:r>
          </w:p>
        </w:tc>
        <w:tc>
          <w:tcPr>
            <w:tcW w:w="696" w:type="pct"/>
            <w:shd w:val="clear" w:color="auto" w:fill="auto"/>
            <w:vAlign w:val="center"/>
            <w:hideMark/>
          </w:tcPr>
          <w:p w14:paraId="562C245F" w14:textId="77777777" w:rsidR="008F3544" w:rsidRPr="00192507" w:rsidRDefault="008F3544" w:rsidP="0099088D">
            <w:pPr>
              <w:jc w:val="center"/>
              <w:rPr>
                <w:color w:val="000000"/>
                <w:sz w:val="16"/>
                <w:szCs w:val="16"/>
              </w:rPr>
            </w:pPr>
            <w:r w:rsidRPr="00192507">
              <w:rPr>
                <w:color w:val="000000"/>
                <w:sz w:val="16"/>
                <w:szCs w:val="16"/>
              </w:rPr>
              <w:t>рублей/кВт</w:t>
            </w:r>
          </w:p>
        </w:tc>
        <w:tc>
          <w:tcPr>
            <w:tcW w:w="602" w:type="pct"/>
            <w:shd w:val="clear" w:color="auto" w:fill="auto"/>
            <w:noWrap/>
            <w:vAlign w:val="center"/>
            <w:hideMark/>
          </w:tcPr>
          <w:p w14:paraId="767C39B5" w14:textId="77777777" w:rsidR="008F3544" w:rsidRPr="00192507" w:rsidRDefault="008F3544" w:rsidP="0099088D">
            <w:pPr>
              <w:jc w:val="center"/>
              <w:rPr>
                <w:color w:val="000000"/>
                <w:sz w:val="16"/>
                <w:szCs w:val="16"/>
              </w:rPr>
            </w:pPr>
            <w:r w:rsidRPr="00192507">
              <w:rPr>
                <w:color w:val="000000"/>
                <w:sz w:val="16"/>
                <w:szCs w:val="16"/>
              </w:rPr>
              <w:t>2 516,60</w:t>
            </w:r>
          </w:p>
        </w:tc>
        <w:tc>
          <w:tcPr>
            <w:tcW w:w="603" w:type="pct"/>
            <w:shd w:val="clear" w:color="auto" w:fill="auto"/>
            <w:noWrap/>
            <w:vAlign w:val="center"/>
            <w:hideMark/>
          </w:tcPr>
          <w:p w14:paraId="16BED5DC" w14:textId="77777777" w:rsidR="008F3544" w:rsidRPr="00192507" w:rsidRDefault="008F3544" w:rsidP="0099088D">
            <w:pPr>
              <w:jc w:val="center"/>
              <w:rPr>
                <w:color w:val="000000"/>
                <w:sz w:val="16"/>
                <w:szCs w:val="16"/>
              </w:rPr>
            </w:pPr>
            <w:r w:rsidRPr="00192507">
              <w:rPr>
                <w:color w:val="000000"/>
                <w:sz w:val="16"/>
                <w:szCs w:val="16"/>
              </w:rPr>
              <w:t>2 516,60</w:t>
            </w:r>
          </w:p>
        </w:tc>
      </w:tr>
      <w:tr w:rsidR="008F3544" w:rsidRPr="00192507" w14:paraId="6D420493" w14:textId="77777777" w:rsidTr="0099088D">
        <w:trPr>
          <w:trHeight w:val="675"/>
        </w:trPr>
        <w:tc>
          <w:tcPr>
            <w:tcW w:w="672" w:type="pct"/>
            <w:shd w:val="clear" w:color="auto" w:fill="auto"/>
            <w:vAlign w:val="center"/>
            <w:hideMark/>
          </w:tcPr>
          <w:p w14:paraId="6BFD78CB" w14:textId="77777777" w:rsidR="008F3544" w:rsidRPr="00192507" w:rsidRDefault="008F3544" w:rsidP="0099088D">
            <w:pPr>
              <w:jc w:val="center"/>
              <w:rPr>
                <w:color w:val="000000"/>
                <w:sz w:val="16"/>
                <w:szCs w:val="16"/>
              </w:rPr>
            </w:pPr>
            <w:r w:rsidRPr="00192507">
              <w:rPr>
                <w:color w:val="000000"/>
                <w:sz w:val="16"/>
                <w:szCs w:val="16"/>
              </w:rPr>
              <w:t>5.2.1.2.</w:t>
            </w:r>
          </w:p>
        </w:tc>
        <w:tc>
          <w:tcPr>
            <w:tcW w:w="902" w:type="pct"/>
            <w:shd w:val="clear" w:color="auto" w:fill="auto"/>
            <w:vAlign w:val="center"/>
            <w:hideMark/>
          </w:tcPr>
          <w:p w14:paraId="760FF8B5" w14:textId="77777777" w:rsidR="008F3544" w:rsidRPr="000C0A58"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5.2.1.2.</m:t>
                    </m:r>
                  </m:sub>
                  <m:sup>
                    <m:r>
                      <m:rPr>
                        <m:nor/>
                      </m:rPr>
                      <w:rPr>
                        <w:color w:val="000000"/>
                      </w:rPr>
                      <m:t>6/0,4 кВ</m:t>
                    </m:r>
                  </m:sup>
                </m:sSubSup>
              </m:oMath>
            </m:oMathPara>
          </w:p>
        </w:tc>
        <w:tc>
          <w:tcPr>
            <w:tcW w:w="1525" w:type="pct"/>
            <w:shd w:val="clear" w:color="auto" w:fill="auto"/>
            <w:vAlign w:val="center"/>
            <w:hideMark/>
          </w:tcPr>
          <w:p w14:paraId="5DC5266C" w14:textId="77777777" w:rsidR="008F3544" w:rsidRPr="00192507" w:rsidRDefault="008F3544" w:rsidP="0099088D">
            <w:pPr>
              <w:rPr>
                <w:color w:val="000000"/>
                <w:sz w:val="16"/>
                <w:szCs w:val="16"/>
              </w:rPr>
            </w:pPr>
            <w:r w:rsidRPr="00192507">
              <w:rPr>
                <w:color w:val="000000"/>
                <w:sz w:val="16"/>
                <w:szCs w:val="16"/>
              </w:rPr>
              <w:t>двухтрансформаторные и более подстанции (за исключением РТП) мощностью до 25 кВА включительно шкафного или киоскового типа</w:t>
            </w:r>
          </w:p>
        </w:tc>
        <w:tc>
          <w:tcPr>
            <w:tcW w:w="696" w:type="pct"/>
            <w:shd w:val="clear" w:color="auto" w:fill="auto"/>
            <w:vAlign w:val="center"/>
            <w:hideMark/>
          </w:tcPr>
          <w:p w14:paraId="6F5FE203" w14:textId="77777777" w:rsidR="008F3544" w:rsidRPr="00192507" w:rsidRDefault="008F3544" w:rsidP="0099088D">
            <w:pPr>
              <w:jc w:val="center"/>
              <w:rPr>
                <w:color w:val="000000"/>
                <w:sz w:val="16"/>
                <w:szCs w:val="16"/>
              </w:rPr>
            </w:pPr>
            <w:r w:rsidRPr="00192507">
              <w:rPr>
                <w:color w:val="000000"/>
                <w:sz w:val="16"/>
                <w:szCs w:val="16"/>
              </w:rPr>
              <w:t>рублей/кВт</w:t>
            </w:r>
          </w:p>
        </w:tc>
        <w:tc>
          <w:tcPr>
            <w:tcW w:w="602" w:type="pct"/>
            <w:shd w:val="clear" w:color="auto" w:fill="auto"/>
            <w:noWrap/>
            <w:vAlign w:val="center"/>
            <w:hideMark/>
          </w:tcPr>
          <w:p w14:paraId="4C6E72B1" w14:textId="77777777" w:rsidR="008F3544" w:rsidRPr="00192507" w:rsidRDefault="008F3544" w:rsidP="0099088D">
            <w:pPr>
              <w:jc w:val="center"/>
              <w:rPr>
                <w:color w:val="000000"/>
                <w:sz w:val="16"/>
                <w:szCs w:val="16"/>
              </w:rPr>
            </w:pPr>
            <w:r w:rsidRPr="00192507">
              <w:rPr>
                <w:color w:val="000000"/>
                <w:sz w:val="16"/>
                <w:szCs w:val="16"/>
              </w:rPr>
              <w:t>26 901,33</w:t>
            </w:r>
          </w:p>
        </w:tc>
        <w:tc>
          <w:tcPr>
            <w:tcW w:w="603" w:type="pct"/>
            <w:shd w:val="clear" w:color="auto" w:fill="auto"/>
            <w:noWrap/>
            <w:vAlign w:val="center"/>
            <w:hideMark/>
          </w:tcPr>
          <w:p w14:paraId="4432D5D4" w14:textId="77777777" w:rsidR="008F3544" w:rsidRPr="00192507" w:rsidRDefault="008F3544" w:rsidP="0099088D">
            <w:pPr>
              <w:jc w:val="center"/>
              <w:rPr>
                <w:color w:val="000000"/>
                <w:sz w:val="16"/>
                <w:szCs w:val="16"/>
              </w:rPr>
            </w:pPr>
            <w:r>
              <w:rPr>
                <w:color w:val="000000"/>
                <w:sz w:val="16"/>
                <w:szCs w:val="16"/>
              </w:rPr>
              <w:t>-</w:t>
            </w:r>
          </w:p>
        </w:tc>
      </w:tr>
      <w:tr w:rsidR="008F3544" w:rsidRPr="00192507" w14:paraId="5E56FA52" w14:textId="77777777" w:rsidTr="0099088D">
        <w:trPr>
          <w:trHeight w:val="653"/>
        </w:trPr>
        <w:tc>
          <w:tcPr>
            <w:tcW w:w="672" w:type="pct"/>
            <w:vMerge w:val="restart"/>
            <w:shd w:val="clear" w:color="auto" w:fill="auto"/>
            <w:vAlign w:val="center"/>
            <w:hideMark/>
          </w:tcPr>
          <w:p w14:paraId="18B65E16" w14:textId="77777777" w:rsidR="008F3544" w:rsidRPr="00192507" w:rsidRDefault="008F3544" w:rsidP="0099088D">
            <w:pPr>
              <w:jc w:val="center"/>
              <w:rPr>
                <w:color w:val="000000"/>
                <w:sz w:val="16"/>
                <w:szCs w:val="16"/>
              </w:rPr>
            </w:pPr>
            <w:r w:rsidRPr="00192507">
              <w:rPr>
                <w:color w:val="000000"/>
                <w:sz w:val="16"/>
                <w:szCs w:val="16"/>
              </w:rPr>
              <w:t>5.2.2.2.</w:t>
            </w:r>
          </w:p>
        </w:tc>
        <w:tc>
          <w:tcPr>
            <w:tcW w:w="902" w:type="pct"/>
            <w:shd w:val="clear" w:color="auto" w:fill="auto"/>
            <w:vAlign w:val="center"/>
            <w:hideMark/>
          </w:tcPr>
          <w:p w14:paraId="27442E03" w14:textId="77777777" w:rsidR="008F3544" w:rsidRPr="000C0A58"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5.2.2.2.</m:t>
                    </m:r>
                  </m:sub>
                  <m:sup>
                    <m:r>
                      <m:rPr>
                        <m:nor/>
                      </m:rPr>
                      <w:rPr>
                        <w:color w:val="000000"/>
                      </w:rPr>
                      <m:t>6/0,4 кВ</m:t>
                    </m:r>
                  </m:sup>
                </m:sSubSup>
              </m:oMath>
            </m:oMathPara>
          </w:p>
        </w:tc>
        <w:tc>
          <w:tcPr>
            <w:tcW w:w="1525" w:type="pct"/>
            <w:vMerge w:val="restart"/>
            <w:shd w:val="clear" w:color="auto" w:fill="auto"/>
            <w:vAlign w:val="center"/>
            <w:hideMark/>
          </w:tcPr>
          <w:p w14:paraId="7DA5EF85" w14:textId="77777777" w:rsidR="008F3544" w:rsidRPr="00192507" w:rsidRDefault="008F3544" w:rsidP="0099088D">
            <w:pPr>
              <w:rPr>
                <w:color w:val="000000"/>
                <w:sz w:val="16"/>
                <w:szCs w:val="16"/>
              </w:rPr>
            </w:pPr>
            <w:r w:rsidRPr="00192507">
              <w:rPr>
                <w:color w:val="000000"/>
                <w:sz w:val="16"/>
                <w:szCs w:val="16"/>
              </w:rPr>
              <w:t>двухтрансформаторные и более подстанции (за исключением РТП) мощностью от 25 до 100 кВА включительно шкафного или киоскового типа</w:t>
            </w:r>
          </w:p>
        </w:tc>
        <w:tc>
          <w:tcPr>
            <w:tcW w:w="696" w:type="pct"/>
            <w:vMerge w:val="restart"/>
            <w:shd w:val="clear" w:color="auto" w:fill="auto"/>
            <w:vAlign w:val="center"/>
            <w:hideMark/>
          </w:tcPr>
          <w:p w14:paraId="61E2B7A0" w14:textId="77777777" w:rsidR="008F3544" w:rsidRPr="00192507" w:rsidRDefault="008F3544" w:rsidP="0099088D">
            <w:pPr>
              <w:jc w:val="center"/>
              <w:rPr>
                <w:color w:val="000000"/>
                <w:sz w:val="16"/>
                <w:szCs w:val="16"/>
              </w:rPr>
            </w:pPr>
            <w:r w:rsidRPr="00192507">
              <w:rPr>
                <w:color w:val="000000"/>
                <w:sz w:val="16"/>
                <w:szCs w:val="16"/>
              </w:rPr>
              <w:t>рублей/кВт</w:t>
            </w:r>
          </w:p>
        </w:tc>
        <w:tc>
          <w:tcPr>
            <w:tcW w:w="602" w:type="pct"/>
            <w:shd w:val="clear" w:color="auto" w:fill="auto"/>
            <w:noWrap/>
            <w:vAlign w:val="center"/>
            <w:hideMark/>
          </w:tcPr>
          <w:p w14:paraId="51AB6E22" w14:textId="77777777" w:rsidR="008F3544" w:rsidRPr="00192507" w:rsidRDefault="008F3544" w:rsidP="0099088D">
            <w:pPr>
              <w:jc w:val="center"/>
              <w:rPr>
                <w:color w:val="000000"/>
                <w:sz w:val="16"/>
                <w:szCs w:val="16"/>
              </w:rPr>
            </w:pPr>
            <w:r w:rsidRPr="00192507">
              <w:rPr>
                <w:color w:val="000000"/>
                <w:sz w:val="16"/>
                <w:szCs w:val="16"/>
              </w:rPr>
              <w:t>7 164,24</w:t>
            </w:r>
          </w:p>
        </w:tc>
        <w:tc>
          <w:tcPr>
            <w:tcW w:w="603" w:type="pct"/>
            <w:shd w:val="clear" w:color="auto" w:fill="auto"/>
            <w:noWrap/>
            <w:vAlign w:val="center"/>
            <w:hideMark/>
          </w:tcPr>
          <w:p w14:paraId="38ACF59B" w14:textId="77777777" w:rsidR="008F3544" w:rsidRPr="00192507" w:rsidRDefault="008F3544" w:rsidP="0099088D">
            <w:pPr>
              <w:jc w:val="center"/>
              <w:rPr>
                <w:color w:val="000000"/>
                <w:sz w:val="16"/>
                <w:szCs w:val="16"/>
              </w:rPr>
            </w:pPr>
            <w:r>
              <w:rPr>
                <w:color w:val="000000"/>
                <w:sz w:val="16"/>
                <w:szCs w:val="16"/>
              </w:rPr>
              <w:t>-</w:t>
            </w:r>
          </w:p>
        </w:tc>
      </w:tr>
      <w:tr w:rsidR="008F3544" w:rsidRPr="00192507" w14:paraId="6620CDA2" w14:textId="77777777" w:rsidTr="0099088D">
        <w:trPr>
          <w:trHeight w:val="563"/>
        </w:trPr>
        <w:tc>
          <w:tcPr>
            <w:tcW w:w="672" w:type="pct"/>
            <w:vMerge/>
            <w:shd w:val="clear" w:color="auto" w:fill="auto"/>
            <w:vAlign w:val="center"/>
            <w:hideMark/>
          </w:tcPr>
          <w:p w14:paraId="49CE12C6" w14:textId="77777777" w:rsidR="008F3544" w:rsidRPr="00192507" w:rsidRDefault="008F3544" w:rsidP="0099088D">
            <w:pPr>
              <w:rPr>
                <w:color w:val="000000"/>
                <w:sz w:val="16"/>
                <w:szCs w:val="16"/>
              </w:rPr>
            </w:pPr>
          </w:p>
        </w:tc>
        <w:tc>
          <w:tcPr>
            <w:tcW w:w="902" w:type="pct"/>
            <w:shd w:val="clear" w:color="auto" w:fill="auto"/>
            <w:vAlign w:val="center"/>
            <w:hideMark/>
          </w:tcPr>
          <w:p w14:paraId="01B320DB" w14:textId="77777777" w:rsidR="008F3544" w:rsidRPr="000C0A58"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5.2.2.2.</m:t>
                    </m:r>
                  </m:sub>
                  <m:sup>
                    <m:r>
                      <m:rPr>
                        <m:nor/>
                      </m:rPr>
                      <w:rPr>
                        <w:color w:val="000000"/>
                      </w:rPr>
                      <m:t>10/0,4 кВ</m:t>
                    </m:r>
                  </m:sup>
                </m:sSubSup>
              </m:oMath>
            </m:oMathPara>
          </w:p>
        </w:tc>
        <w:tc>
          <w:tcPr>
            <w:tcW w:w="1525" w:type="pct"/>
            <w:vMerge/>
            <w:shd w:val="clear" w:color="auto" w:fill="auto"/>
            <w:vAlign w:val="center"/>
            <w:hideMark/>
          </w:tcPr>
          <w:p w14:paraId="50002CC0" w14:textId="77777777" w:rsidR="008F3544" w:rsidRPr="00192507" w:rsidRDefault="008F3544" w:rsidP="0099088D">
            <w:pPr>
              <w:rPr>
                <w:color w:val="000000"/>
                <w:sz w:val="16"/>
                <w:szCs w:val="16"/>
              </w:rPr>
            </w:pPr>
          </w:p>
        </w:tc>
        <w:tc>
          <w:tcPr>
            <w:tcW w:w="696" w:type="pct"/>
            <w:vMerge/>
            <w:shd w:val="clear" w:color="auto" w:fill="auto"/>
            <w:vAlign w:val="center"/>
            <w:hideMark/>
          </w:tcPr>
          <w:p w14:paraId="31C1AEA0" w14:textId="77777777" w:rsidR="008F3544" w:rsidRPr="00192507" w:rsidRDefault="008F3544" w:rsidP="0099088D">
            <w:pPr>
              <w:rPr>
                <w:color w:val="000000"/>
                <w:sz w:val="16"/>
                <w:szCs w:val="16"/>
              </w:rPr>
            </w:pPr>
          </w:p>
        </w:tc>
        <w:tc>
          <w:tcPr>
            <w:tcW w:w="602" w:type="pct"/>
            <w:shd w:val="clear" w:color="auto" w:fill="auto"/>
            <w:noWrap/>
            <w:vAlign w:val="center"/>
            <w:hideMark/>
          </w:tcPr>
          <w:p w14:paraId="6E54F7AE" w14:textId="77777777" w:rsidR="008F3544" w:rsidRPr="00192507" w:rsidRDefault="008F3544" w:rsidP="0099088D">
            <w:pPr>
              <w:jc w:val="center"/>
              <w:rPr>
                <w:color w:val="000000"/>
                <w:sz w:val="16"/>
                <w:szCs w:val="16"/>
              </w:rPr>
            </w:pPr>
            <w:r w:rsidRPr="00192507">
              <w:rPr>
                <w:color w:val="000000"/>
                <w:sz w:val="16"/>
                <w:szCs w:val="16"/>
              </w:rPr>
              <w:t>7 431,74</w:t>
            </w:r>
          </w:p>
        </w:tc>
        <w:tc>
          <w:tcPr>
            <w:tcW w:w="603" w:type="pct"/>
            <w:shd w:val="clear" w:color="auto" w:fill="auto"/>
            <w:noWrap/>
            <w:vAlign w:val="center"/>
            <w:hideMark/>
          </w:tcPr>
          <w:p w14:paraId="4CAEB9F5" w14:textId="77777777" w:rsidR="008F3544" w:rsidRPr="00192507" w:rsidRDefault="008F3544" w:rsidP="0099088D">
            <w:pPr>
              <w:jc w:val="center"/>
              <w:rPr>
                <w:color w:val="000000"/>
                <w:sz w:val="16"/>
                <w:szCs w:val="16"/>
              </w:rPr>
            </w:pPr>
            <w:r>
              <w:rPr>
                <w:color w:val="000000"/>
                <w:sz w:val="16"/>
                <w:szCs w:val="16"/>
              </w:rPr>
              <w:t>-</w:t>
            </w:r>
          </w:p>
        </w:tc>
      </w:tr>
      <w:tr w:rsidR="008F3544" w:rsidRPr="00192507" w14:paraId="4852BA05" w14:textId="77777777" w:rsidTr="0099088D">
        <w:trPr>
          <w:trHeight w:val="900"/>
        </w:trPr>
        <w:tc>
          <w:tcPr>
            <w:tcW w:w="672" w:type="pct"/>
            <w:shd w:val="clear" w:color="auto" w:fill="auto"/>
            <w:vAlign w:val="center"/>
            <w:hideMark/>
          </w:tcPr>
          <w:p w14:paraId="137DB3B2" w14:textId="77777777" w:rsidR="008F3544" w:rsidRPr="00192507" w:rsidRDefault="008F3544" w:rsidP="0099088D">
            <w:pPr>
              <w:jc w:val="center"/>
              <w:rPr>
                <w:color w:val="000000"/>
                <w:sz w:val="16"/>
                <w:szCs w:val="16"/>
              </w:rPr>
            </w:pPr>
            <w:r w:rsidRPr="00192507">
              <w:rPr>
                <w:color w:val="000000"/>
                <w:sz w:val="16"/>
                <w:szCs w:val="16"/>
              </w:rPr>
              <w:t>5.2.3.2.</w:t>
            </w:r>
          </w:p>
        </w:tc>
        <w:tc>
          <w:tcPr>
            <w:tcW w:w="902" w:type="pct"/>
            <w:shd w:val="clear" w:color="auto" w:fill="auto"/>
            <w:vAlign w:val="center"/>
            <w:hideMark/>
          </w:tcPr>
          <w:p w14:paraId="58636018" w14:textId="77777777" w:rsidR="008F3544" w:rsidRPr="00942BEB"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5.2.3.2.</m:t>
                    </m:r>
                  </m:sub>
                  <m:sup>
                    <m:r>
                      <m:rPr>
                        <m:nor/>
                      </m:rPr>
                      <w:rPr>
                        <w:color w:val="000000"/>
                      </w:rPr>
                      <m:t>6/0,4 кВ</m:t>
                    </m:r>
                  </m:sup>
                </m:sSubSup>
              </m:oMath>
            </m:oMathPara>
          </w:p>
        </w:tc>
        <w:tc>
          <w:tcPr>
            <w:tcW w:w="1525" w:type="pct"/>
            <w:shd w:val="clear" w:color="auto" w:fill="auto"/>
            <w:vAlign w:val="center"/>
            <w:hideMark/>
          </w:tcPr>
          <w:p w14:paraId="776A6DE7" w14:textId="77777777" w:rsidR="008F3544" w:rsidRPr="00192507" w:rsidRDefault="008F3544" w:rsidP="0099088D">
            <w:pPr>
              <w:rPr>
                <w:color w:val="000000"/>
                <w:sz w:val="16"/>
                <w:szCs w:val="16"/>
              </w:rPr>
            </w:pPr>
            <w:r w:rsidRPr="00192507">
              <w:rPr>
                <w:color w:val="000000"/>
                <w:sz w:val="16"/>
                <w:szCs w:val="16"/>
              </w:rPr>
              <w:t>двухтрансформаторные и более подстанции (за исключением РТП) мощностью от 100 до 250 кВА включительно шкафного или киоскового типа</w:t>
            </w:r>
          </w:p>
        </w:tc>
        <w:tc>
          <w:tcPr>
            <w:tcW w:w="696" w:type="pct"/>
            <w:shd w:val="clear" w:color="auto" w:fill="auto"/>
            <w:vAlign w:val="center"/>
            <w:hideMark/>
          </w:tcPr>
          <w:p w14:paraId="49073A6B" w14:textId="77777777" w:rsidR="008F3544" w:rsidRPr="00192507" w:rsidRDefault="008F3544" w:rsidP="0099088D">
            <w:pPr>
              <w:jc w:val="center"/>
              <w:rPr>
                <w:color w:val="000000"/>
                <w:sz w:val="16"/>
                <w:szCs w:val="16"/>
              </w:rPr>
            </w:pPr>
            <w:r w:rsidRPr="00192507">
              <w:rPr>
                <w:color w:val="000000"/>
                <w:sz w:val="16"/>
                <w:szCs w:val="16"/>
              </w:rPr>
              <w:t>рублей/кВт</w:t>
            </w:r>
          </w:p>
        </w:tc>
        <w:tc>
          <w:tcPr>
            <w:tcW w:w="602" w:type="pct"/>
            <w:shd w:val="clear" w:color="auto" w:fill="auto"/>
            <w:noWrap/>
            <w:vAlign w:val="center"/>
            <w:hideMark/>
          </w:tcPr>
          <w:p w14:paraId="3558EC52" w14:textId="77777777" w:rsidR="008F3544" w:rsidRPr="00192507" w:rsidRDefault="008F3544" w:rsidP="0099088D">
            <w:pPr>
              <w:jc w:val="center"/>
              <w:rPr>
                <w:color w:val="000000"/>
                <w:sz w:val="16"/>
                <w:szCs w:val="16"/>
              </w:rPr>
            </w:pPr>
            <w:r w:rsidRPr="00192507">
              <w:rPr>
                <w:color w:val="000000"/>
                <w:sz w:val="16"/>
                <w:szCs w:val="16"/>
              </w:rPr>
              <w:t>4 754,21</w:t>
            </w:r>
          </w:p>
        </w:tc>
        <w:tc>
          <w:tcPr>
            <w:tcW w:w="603" w:type="pct"/>
            <w:shd w:val="clear" w:color="auto" w:fill="auto"/>
            <w:noWrap/>
            <w:vAlign w:val="center"/>
            <w:hideMark/>
          </w:tcPr>
          <w:p w14:paraId="2F6ECA46" w14:textId="77777777" w:rsidR="008F3544" w:rsidRPr="00192507" w:rsidRDefault="008F3544" w:rsidP="0099088D">
            <w:pPr>
              <w:jc w:val="center"/>
              <w:rPr>
                <w:color w:val="000000"/>
                <w:sz w:val="16"/>
                <w:szCs w:val="16"/>
              </w:rPr>
            </w:pPr>
            <w:r w:rsidRPr="00192507">
              <w:rPr>
                <w:color w:val="000000"/>
                <w:sz w:val="16"/>
                <w:szCs w:val="16"/>
              </w:rPr>
              <w:t>4 295,68</w:t>
            </w:r>
          </w:p>
        </w:tc>
      </w:tr>
      <w:tr w:rsidR="008F3544" w:rsidRPr="00192507" w14:paraId="5C4BB60F" w14:textId="77777777" w:rsidTr="0099088D">
        <w:trPr>
          <w:trHeight w:val="485"/>
        </w:trPr>
        <w:tc>
          <w:tcPr>
            <w:tcW w:w="672" w:type="pct"/>
            <w:vMerge w:val="restart"/>
            <w:shd w:val="clear" w:color="auto" w:fill="auto"/>
            <w:vAlign w:val="center"/>
            <w:hideMark/>
          </w:tcPr>
          <w:p w14:paraId="28B71C72" w14:textId="77777777" w:rsidR="008F3544" w:rsidRPr="00192507" w:rsidRDefault="008F3544" w:rsidP="0099088D">
            <w:pPr>
              <w:jc w:val="center"/>
              <w:rPr>
                <w:color w:val="000000"/>
                <w:sz w:val="16"/>
                <w:szCs w:val="16"/>
              </w:rPr>
            </w:pPr>
            <w:r w:rsidRPr="00192507">
              <w:rPr>
                <w:color w:val="000000"/>
                <w:sz w:val="16"/>
                <w:szCs w:val="16"/>
              </w:rPr>
              <w:t>5.2.4.2.</w:t>
            </w:r>
          </w:p>
        </w:tc>
        <w:tc>
          <w:tcPr>
            <w:tcW w:w="902" w:type="pct"/>
            <w:shd w:val="clear" w:color="auto" w:fill="auto"/>
            <w:vAlign w:val="center"/>
            <w:hideMark/>
          </w:tcPr>
          <w:p w14:paraId="13CB17F6" w14:textId="77777777" w:rsidR="008F3544" w:rsidRPr="00D52DAA"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5.2.4.2.</m:t>
                    </m:r>
                  </m:sub>
                  <m:sup>
                    <m:r>
                      <m:rPr>
                        <m:nor/>
                      </m:rPr>
                      <w:rPr>
                        <w:color w:val="000000"/>
                      </w:rPr>
                      <m:t>6/0,4 кВ</m:t>
                    </m:r>
                  </m:sup>
                </m:sSubSup>
              </m:oMath>
            </m:oMathPara>
          </w:p>
        </w:tc>
        <w:tc>
          <w:tcPr>
            <w:tcW w:w="1525" w:type="pct"/>
            <w:vMerge w:val="restart"/>
            <w:shd w:val="clear" w:color="auto" w:fill="auto"/>
            <w:vAlign w:val="center"/>
            <w:hideMark/>
          </w:tcPr>
          <w:p w14:paraId="7162E3F9" w14:textId="77777777" w:rsidR="008F3544" w:rsidRPr="00192507" w:rsidRDefault="008F3544" w:rsidP="0099088D">
            <w:pPr>
              <w:rPr>
                <w:color w:val="000000"/>
                <w:sz w:val="16"/>
                <w:szCs w:val="16"/>
              </w:rPr>
            </w:pPr>
            <w:r w:rsidRPr="00192507">
              <w:rPr>
                <w:color w:val="000000"/>
                <w:sz w:val="16"/>
                <w:szCs w:val="16"/>
              </w:rPr>
              <w:t>двухтрансформаторные и более подстанции (за исключением РТП) мощностью от 250 до 400 кВА включительно шкафного или киоскового типа</w:t>
            </w:r>
          </w:p>
        </w:tc>
        <w:tc>
          <w:tcPr>
            <w:tcW w:w="696" w:type="pct"/>
            <w:vMerge w:val="restart"/>
            <w:shd w:val="clear" w:color="auto" w:fill="auto"/>
            <w:vAlign w:val="center"/>
            <w:hideMark/>
          </w:tcPr>
          <w:p w14:paraId="79D0BCB7" w14:textId="77777777" w:rsidR="008F3544" w:rsidRPr="00192507" w:rsidRDefault="008F3544" w:rsidP="0099088D">
            <w:pPr>
              <w:jc w:val="center"/>
              <w:rPr>
                <w:color w:val="000000"/>
                <w:sz w:val="16"/>
                <w:szCs w:val="16"/>
              </w:rPr>
            </w:pPr>
            <w:r w:rsidRPr="00192507">
              <w:rPr>
                <w:color w:val="000000"/>
                <w:sz w:val="16"/>
                <w:szCs w:val="16"/>
              </w:rPr>
              <w:t>рублей/кВт</w:t>
            </w:r>
          </w:p>
        </w:tc>
        <w:tc>
          <w:tcPr>
            <w:tcW w:w="602" w:type="pct"/>
            <w:shd w:val="clear" w:color="auto" w:fill="auto"/>
            <w:noWrap/>
            <w:vAlign w:val="center"/>
            <w:hideMark/>
          </w:tcPr>
          <w:p w14:paraId="57E4C306" w14:textId="77777777" w:rsidR="008F3544" w:rsidRPr="00192507" w:rsidRDefault="008F3544" w:rsidP="0099088D">
            <w:pPr>
              <w:jc w:val="center"/>
              <w:rPr>
                <w:color w:val="000000"/>
                <w:sz w:val="16"/>
                <w:szCs w:val="16"/>
              </w:rPr>
            </w:pPr>
            <w:r w:rsidRPr="00192507">
              <w:rPr>
                <w:color w:val="000000"/>
                <w:sz w:val="16"/>
                <w:szCs w:val="16"/>
              </w:rPr>
              <w:t>3 899,02</w:t>
            </w:r>
          </w:p>
        </w:tc>
        <w:tc>
          <w:tcPr>
            <w:tcW w:w="603" w:type="pct"/>
            <w:shd w:val="clear" w:color="auto" w:fill="auto"/>
            <w:noWrap/>
            <w:vAlign w:val="center"/>
            <w:hideMark/>
          </w:tcPr>
          <w:p w14:paraId="7E1A9178" w14:textId="77777777" w:rsidR="008F3544" w:rsidRPr="00192507" w:rsidRDefault="008F3544" w:rsidP="0099088D">
            <w:pPr>
              <w:jc w:val="center"/>
              <w:rPr>
                <w:color w:val="000000"/>
                <w:sz w:val="16"/>
                <w:szCs w:val="16"/>
              </w:rPr>
            </w:pPr>
            <w:r w:rsidRPr="00192507">
              <w:rPr>
                <w:color w:val="000000"/>
                <w:sz w:val="16"/>
                <w:szCs w:val="16"/>
              </w:rPr>
              <w:t>3 899,02</w:t>
            </w:r>
          </w:p>
        </w:tc>
      </w:tr>
      <w:tr w:rsidR="008F3544" w:rsidRPr="00192507" w14:paraId="3D1289AE" w14:textId="77777777" w:rsidTr="0099088D">
        <w:trPr>
          <w:trHeight w:val="564"/>
        </w:trPr>
        <w:tc>
          <w:tcPr>
            <w:tcW w:w="672" w:type="pct"/>
            <w:vMerge/>
            <w:shd w:val="clear" w:color="auto" w:fill="auto"/>
            <w:vAlign w:val="center"/>
            <w:hideMark/>
          </w:tcPr>
          <w:p w14:paraId="5F9434E4" w14:textId="77777777" w:rsidR="008F3544" w:rsidRPr="00192507" w:rsidRDefault="008F3544" w:rsidP="0099088D">
            <w:pPr>
              <w:rPr>
                <w:color w:val="000000"/>
                <w:sz w:val="16"/>
                <w:szCs w:val="16"/>
              </w:rPr>
            </w:pPr>
          </w:p>
        </w:tc>
        <w:tc>
          <w:tcPr>
            <w:tcW w:w="902" w:type="pct"/>
            <w:shd w:val="clear" w:color="auto" w:fill="auto"/>
            <w:vAlign w:val="center"/>
            <w:hideMark/>
          </w:tcPr>
          <w:p w14:paraId="53BDE7B1" w14:textId="77777777" w:rsidR="008F3544" w:rsidRPr="00D52DAA"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5.2.4.2.</m:t>
                    </m:r>
                  </m:sub>
                  <m:sup>
                    <m:r>
                      <m:rPr>
                        <m:nor/>
                      </m:rPr>
                      <w:rPr>
                        <w:color w:val="000000"/>
                      </w:rPr>
                      <m:t>10/0,4 кВ</m:t>
                    </m:r>
                  </m:sup>
                </m:sSubSup>
              </m:oMath>
            </m:oMathPara>
          </w:p>
        </w:tc>
        <w:tc>
          <w:tcPr>
            <w:tcW w:w="1525" w:type="pct"/>
            <w:vMerge/>
            <w:shd w:val="clear" w:color="auto" w:fill="auto"/>
            <w:vAlign w:val="center"/>
            <w:hideMark/>
          </w:tcPr>
          <w:p w14:paraId="376E5B7A" w14:textId="77777777" w:rsidR="008F3544" w:rsidRPr="00192507" w:rsidRDefault="008F3544" w:rsidP="0099088D">
            <w:pPr>
              <w:rPr>
                <w:color w:val="000000"/>
                <w:sz w:val="16"/>
                <w:szCs w:val="16"/>
              </w:rPr>
            </w:pPr>
          </w:p>
        </w:tc>
        <w:tc>
          <w:tcPr>
            <w:tcW w:w="696" w:type="pct"/>
            <w:vMerge/>
            <w:shd w:val="clear" w:color="auto" w:fill="auto"/>
            <w:vAlign w:val="center"/>
            <w:hideMark/>
          </w:tcPr>
          <w:p w14:paraId="1FB8198F" w14:textId="77777777" w:rsidR="008F3544" w:rsidRPr="00192507" w:rsidRDefault="008F3544" w:rsidP="0099088D">
            <w:pPr>
              <w:rPr>
                <w:color w:val="000000"/>
                <w:sz w:val="16"/>
                <w:szCs w:val="16"/>
              </w:rPr>
            </w:pPr>
          </w:p>
        </w:tc>
        <w:tc>
          <w:tcPr>
            <w:tcW w:w="602" w:type="pct"/>
            <w:shd w:val="clear" w:color="auto" w:fill="auto"/>
            <w:noWrap/>
            <w:vAlign w:val="center"/>
            <w:hideMark/>
          </w:tcPr>
          <w:p w14:paraId="74B94C4D" w14:textId="77777777" w:rsidR="008F3544" w:rsidRPr="00192507" w:rsidRDefault="008F3544" w:rsidP="0099088D">
            <w:pPr>
              <w:jc w:val="center"/>
              <w:rPr>
                <w:color w:val="000000"/>
                <w:sz w:val="16"/>
                <w:szCs w:val="16"/>
              </w:rPr>
            </w:pPr>
            <w:r w:rsidRPr="00192507">
              <w:rPr>
                <w:color w:val="000000"/>
                <w:sz w:val="16"/>
                <w:szCs w:val="16"/>
              </w:rPr>
              <w:t>3 899,02</w:t>
            </w:r>
          </w:p>
        </w:tc>
        <w:tc>
          <w:tcPr>
            <w:tcW w:w="603" w:type="pct"/>
            <w:shd w:val="clear" w:color="auto" w:fill="auto"/>
            <w:noWrap/>
            <w:vAlign w:val="center"/>
            <w:hideMark/>
          </w:tcPr>
          <w:p w14:paraId="03B11F83" w14:textId="77777777" w:rsidR="008F3544" w:rsidRPr="00192507" w:rsidRDefault="008F3544" w:rsidP="0099088D">
            <w:pPr>
              <w:jc w:val="center"/>
              <w:rPr>
                <w:color w:val="000000"/>
                <w:sz w:val="16"/>
                <w:szCs w:val="16"/>
              </w:rPr>
            </w:pPr>
            <w:r w:rsidRPr="00192507">
              <w:rPr>
                <w:color w:val="000000"/>
                <w:sz w:val="16"/>
                <w:szCs w:val="16"/>
              </w:rPr>
              <w:t>3 899,02</w:t>
            </w:r>
          </w:p>
        </w:tc>
      </w:tr>
      <w:tr w:rsidR="008F3544" w:rsidRPr="00192507" w14:paraId="0F2234A5" w14:textId="77777777" w:rsidTr="0099088D">
        <w:trPr>
          <w:trHeight w:val="557"/>
        </w:trPr>
        <w:tc>
          <w:tcPr>
            <w:tcW w:w="672" w:type="pct"/>
            <w:vMerge w:val="restart"/>
            <w:shd w:val="clear" w:color="auto" w:fill="auto"/>
            <w:vAlign w:val="center"/>
            <w:hideMark/>
          </w:tcPr>
          <w:p w14:paraId="0B38AEAF" w14:textId="77777777" w:rsidR="008F3544" w:rsidRPr="00192507" w:rsidRDefault="008F3544" w:rsidP="0099088D">
            <w:pPr>
              <w:jc w:val="center"/>
              <w:rPr>
                <w:color w:val="000000"/>
                <w:sz w:val="16"/>
                <w:szCs w:val="16"/>
              </w:rPr>
            </w:pPr>
            <w:r w:rsidRPr="00192507">
              <w:rPr>
                <w:color w:val="000000"/>
                <w:sz w:val="16"/>
                <w:szCs w:val="16"/>
              </w:rPr>
              <w:t>5.2.5.2.</w:t>
            </w:r>
          </w:p>
        </w:tc>
        <w:tc>
          <w:tcPr>
            <w:tcW w:w="902" w:type="pct"/>
            <w:shd w:val="clear" w:color="auto" w:fill="auto"/>
            <w:vAlign w:val="center"/>
            <w:hideMark/>
          </w:tcPr>
          <w:p w14:paraId="18921438" w14:textId="77777777" w:rsidR="008F3544" w:rsidRPr="00EE4A8B"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5.2.5.2.</m:t>
                    </m:r>
                  </m:sub>
                  <m:sup>
                    <m:r>
                      <m:rPr>
                        <m:nor/>
                      </m:rPr>
                      <w:rPr>
                        <w:color w:val="000000"/>
                      </w:rPr>
                      <m:t>6/0,4 кВ</m:t>
                    </m:r>
                  </m:sup>
                </m:sSubSup>
              </m:oMath>
            </m:oMathPara>
          </w:p>
        </w:tc>
        <w:tc>
          <w:tcPr>
            <w:tcW w:w="1525" w:type="pct"/>
            <w:vMerge w:val="restart"/>
            <w:shd w:val="clear" w:color="auto" w:fill="auto"/>
            <w:vAlign w:val="center"/>
            <w:hideMark/>
          </w:tcPr>
          <w:p w14:paraId="371E5500" w14:textId="77777777" w:rsidR="008F3544" w:rsidRPr="00192507" w:rsidRDefault="008F3544" w:rsidP="0099088D">
            <w:pPr>
              <w:rPr>
                <w:color w:val="000000"/>
                <w:sz w:val="16"/>
                <w:szCs w:val="16"/>
              </w:rPr>
            </w:pPr>
            <w:r w:rsidRPr="00192507">
              <w:rPr>
                <w:color w:val="000000"/>
                <w:sz w:val="16"/>
                <w:szCs w:val="16"/>
              </w:rPr>
              <w:t>двухтрансформаторные и более подстанции (за исключением РТП) мощностью от 400 до 1000 кВА включительно шкафного или киоскового типа</w:t>
            </w:r>
          </w:p>
        </w:tc>
        <w:tc>
          <w:tcPr>
            <w:tcW w:w="696" w:type="pct"/>
            <w:vMerge w:val="restart"/>
            <w:shd w:val="clear" w:color="auto" w:fill="auto"/>
            <w:vAlign w:val="center"/>
            <w:hideMark/>
          </w:tcPr>
          <w:p w14:paraId="21AFC4BB" w14:textId="77777777" w:rsidR="008F3544" w:rsidRPr="00192507" w:rsidRDefault="008F3544" w:rsidP="0099088D">
            <w:pPr>
              <w:jc w:val="center"/>
              <w:rPr>
                <w:color w:val="000000"/>
                <w:sz w:val="16"/>
                <w:szCs w:val="16"/>
              </w:rPr>
            </w:pPr>
            <w:r w:rsidRPr="00192507">
              <w:rPr>
                <w:color w:val="000000"/>
                <w:sz w:val="16"/>
                <w:szCs w:val="16"/>
              </w:rPr>
              <w:t>рублей/кВт</w:t>
            </w:r>
          </w:p>
        </w:tc>
        <w:tc>
          <w:tcPr>
            <w:tcW w:w="602" w:type="pct"/>
            <w:shd w:val="clear" w:color="auto" w:fill="auto"/>
            <w:noWrap/>
            <w:vAlign w:val="center"/>
            <w:hideMark/>
          </w:tcPr>
          <w:p w14:paraId="6F1B0AB4" w14:textId="77777777" w:rsidR="008F3544" w:rsidRPr="00192507" w:rsidRDefault="008F3544" w:rsidP="0099088D">
            <w:pPr>
              <w:jc w:val="center"/>
              <w:rPr>
                <w:color w:val="000000"/>
                <w:sz w:val="16"/>
                <w:szCs w:val="16"/>
              </w:rPr>
            </w:pPr>
            <w:r w:rsidRPr="00192507">
              <w:rPr>
                <w:color w:val="000000"/>
                <w:sz w:val="16"/>
                <w:szCs w:val="16"/>
              </w:rPr>
              <w:t>2 258,16</w:t>
            </w:r>
          </w:p>
        </w:tc>
        <w:tc>
          <w:tcPr>
            <w:tcW w:w="603" w:type="pct"/>
            <w:shd w:val="clear" w:color="auto" w:fill="auto"/>
            <w:noWrap/>
            <w:vAlign w:val="center"/>
            <w:hideMark/>
          </w:tcPr>
          <w:p w14:paraId="7B76943F" w14:textId="77777777" w:rsidR="008F3544" w:rsidRPr="00192507" w:rsidRDefault="008F3544" w:rsidP="0099088D">
            <w:pPr>
              <w:jc w:val="center"/>
              <w:rPr>
                <w:color w:val="000000"/>
                <w:sz w:val="16"/>
                <w:szCs w:val="16"/>
              </w:rPr>
            </w:pPr>
            <w:r w:rsidRPr="00192507">
              <w:rPr>
                <w:color w:val="000000"/>
                <w:sz w:val="16"/>
                <w:szCs w:val="16"/>
              </w:rPr>
              <w:t>2 258,16</w:t>
            </w:r>
          </w:p>
        </w:tc>
      </w:tr>
      <w:tr w:rsidR="008F3544" w:rsidRPr="00192507" w14:paraId="1CA963DB" w14:textId="77777777" w:rsidTr="0099088D">
        <w:trPr>
          <w:trHeight w:val="551"/>
        </w:trPr>
        <w:tc>
          <w:tcPr>
            <w:tcW w:w="672" w:type="pct"/>
            <w:vMerge/>
            <w:shd w:val="clear" w:color="auto" w:fill="auto"/>
            <w:vAlign w:val="center"/>
            <w:hideMark/>
          </w:tcPr>
          <w:p w14:paraId="2E4A45E1" w14:textId="77777777" w:rsidR="008F3544" w:rsidRPr="00192507" w:rsidRDefault="008F3544" w:rsidP="0099088D">
            <w:pPr>
              <w:rPr>
                <w:color w:val="000000"/>
                <w:sz w:val="16"/>
                <w:szCs w:val="16"/>
              </w:rPr>
            </w:pPr>
          </w:p>
        </w:tc>
        <w:tc>
          <w:tcPr>
            <w:tcW w:w="902" w:type="pct"/>
            <w:shd w:val="clear" w:color="auto" w:fill="auto"/>
            <w:vAlign w:val="center"/>
            <w:hideMark/>
          </w:tcPr>
          <w:p w14:paraId="72679B75" w14:textId="77777777" w:rsidR="008F3544" w:rsidRPr="00EE4A8B"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5.2.5.2.</m:t>
                    </m:r>
                  </m:sub>
                  <m:sup>
                    <m:r>
                      <m:rPr>
                        <m:nor/>
                      </m:rPr>
                      <w:rPr>
                        <w:color w:val="000000"/>
                      </w:rPr>
                      <m:t>10/0,4 кВ</m:t>
                    </m:r>
                  </m:sup>
                </m:sSubSup>
              </m:oMath>
            </m:oMathPara>
          </w:p>
        </w:tc>
        <w:tc>
          <w:tcPr>
            <w:tcW w:w="1525" w:type="pct"/>
            <w:vMerge/>
            <w:shd w:val="clear" w:color="auto" w:fill="auto"/>
            <w:vAlign w:val="center"/>
            <w:hideMark/>
          </w:tcPr>
          <w:p w14:paraId="0BC3C5BA" w14:textId="77777777" w:rsidR="008F3544" w:rsidRPr="00192507" w:rsidRDefault="008F3544" w:rsidP="0099088D">
            <w:pPr>
              <w:rPr>
                <w:color w:val="000000"/>
                <w:sz w:val="16"/>
                <w:szCs w:val="16"/>
              </w:rPr>
            </w:pPr>
          </w:p>
        </w:tc>
        <w:tc>
          <w:tcPr>
            <w:tcW w:w="696" w:type="pct"/>
            <w:vMerge/>
            <w:shd w:val="clear" w:color="auto" w:fill="auto"/>
            <w:vAlign w:val="center"/>
            <w:hideMark/>
          </w:tcPr>
          <w:p w14:paraId="70852B89" w14:textId="77777777" w:rsidR="008F3544" w:rsidRPr="00192507" w:rsidRDefault="008F3544" w:rsidP="0099088D">
            <w:pPr>
              <w:rPr>
                <w:color w:val="000000"/>
                <w:sz w:val="16"/>
                <w:szCs w:val="16"/>
              </w:rPr>
            </w:pPr>
          </w:p>
        </w:tc>
        <w:tc>
          <w:tcPr>
            <w:tcW w:w="602" w:type="pct"/>
            <w:shd w:val="clear" w:color="auto" w:fill="auto"/>
            <w:noWrap/>
            <w:vAlign w:val="center"/>
            <w:hideMark/>
          </w:tcPr>
          <w:p w14:paraId="3FE42519" w14:textId="77777777" w:rsidR="008F3544" w:rsidRPr="00192507" w:rsidRDefault="008F3544" w:rsidP="0099088D">
            <w:pPr>
              <w:jc w:val="center"/>
              <w:rPr>
                <w:color w:val="000000"/>
                <w:sz w:val="16"/>
                <w:szCs w:val="16"/>
              </w:rPr>
            </w:pPr>
            <w:r w:rsidRPr="00192507">
              <w:rPr>
                <w:color w:val="000000"/>
                <w:sz w:val="16"/>
                <w:szCs w:val="16"/>
              </w:rPr>
              <w:t>2 258,16</w:t>
            </w:r>
          </w:p>
        </w:tc>
        <w:tc>
          <w:tcPr>
            <w:tcW w:w="603" w:type="pct"/>
            <w:shd w:val="clear" w:color="auto" w:fill="auto"/>
            <w:noWrap/>
            <w:vAlign w:val="center"/>
            <w:hideMark/>
          </w:tcPr>
          <w:p w14:paraId="2E701383" w14:textId="77777777" w:rsidR="008F3544" w:rsidRPr="00192507" w:rsidRDefault="008F3544" w:rsidP="0099088D">
            <w:pPr>
              <w:jc w:val="center"/>
              <w:rPr>
                <w:color w:val="000000"/>
                <w:sz w:val="16"/>
                <w:szCs w:val="16"/>
              </w:rPr>
            </w:pPr>
            <w:r w:rsidRPr="00192507">
              <w:rPr>
                <w:color w:val="000000"/>
                <w:sz w:val="16"/>
                <w:szCs w:val="16"/>
              </w:rPr>
              <w:t>2 258,16</w:t>
            </w:r>
          </w:p>
        </w:tc>
      </w:tr>
      <w:tr w:rsidR="008F3544" w:rsidRPr="00192507" w14:paraId="6061E7EA" w14:textId="77777777" w:rsidTr="0099088D">
        <w:trPr>
          <w:trHeight w:val="900"/>
        </w:trPr>
        <w:tc>
          <w:tcPr>
            <w:tcW w:w="672" w:type="pct"/>
            <w:shd w:val="clear" w:color="auto" w:fill="auto"/>
            <w:vAlign w:val="center"/>
            <w:hideMark/>
          </w:tcPr>
          <w:p w14:paraId="2968852D" w14:textId="77777777" w:rsidR="008F3544" w:rsidRPr="00192507" w:rsidRDefault="008F3544" w:rsidP="0099088D">
            <w:pPr>
              <w:jc w:val="center"/>
              <w:rPr>
                <w:color w:val="000000"/>
                <w:sz w:val="16"/>
                <w:szCs w:val="16"/>
              </w:rPr>
            </w:pPr>
            <w:r w:rsidRPr="00192507">
              <w:rPr>
                <w:color w:val="000000"/>
                <w:sz w:val="16"/>
                <w:szCs w:val="16"/>
              </w:rPr>
              <w:t>5.2.6.2.</w:t>
            </w:r>
          </w:p>
        </w:tc>
        <w:tc>
          <w:tcPr>
            <w:tcW w:w="902" w:type="pct"/>
            <w:shd w:val="clear" w:color="auto" w:fill="auto"/>
            <w:vAlign w:val="center"/>
            <w:hideMark/>
          </w:tcPr>
          <w:p w14:paraId="29C9E72A" w14:textId="77777777" w:rsidR="008F3544" w:rsidRPr="00EE4A8B"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5.2.6.2.</m:t>
                    </m:r>
                  </m:sub>
                  <m:sup>
                    <m:r>
                      <m:rPr>
                        <m:nor/>
                      </m:rPr>
                      <w:rPr>
                        <w:color w:val="000000"/>
                      </w:rPr>
                      <m:t>10/0,4 кВ</m:t>
                    </m:r>
                  </m:sup>
                </m:sSubSup>
              </m:oMath>
            </m:oMathPara>
          </w:p>
        </w:tc>
        <w:tc>
          <w:tcPr>
            <w:tcW w:w="1525" w:type="pct"/>
            <w:shd w:val="clear" w:color="auto" w:fill="auto"/>
            <w:vAlign w:val="center"/>
            <w:hideMark/>
          </w:tcPr>
          <w:p w14:paraId="41B60B9A" w14:textId="77777777" w:rsidR="008F3544" w:rsidRPr="00192507" w:rsidRDefault="008F3544" w:rsidP="0099088D">
            <w:pPr>
              <w:rPr>
                <w:color w:val="000000"/>
                <w:sz w:val="16"/>
                <w:szCs w:val="16"/>
              </w:rPr>
            </w:pPr>
            <w:r w:rsidRPr="00192507">
              <w:rPr>
                <w:color w:val="000000"/>
                <w:sz w:val="16"/>
                <w:szCs w:val="16"/>
              </w:rPr>
              <w:t>двухтрансформаторные и более подстанции (за исключением РТП) мощностью от 1000 до 1250 кВА включительно шкафного или киоскового типа</w:t>
            </w:r>
          </w:p>
        </w:tc>
        <w:tc>
          <w:tcPr>
            <w:tcW w:w="696" w:type="pct"/>
            <w:shd w:val="clear" w:color="auto" w:fill="auto"/>
            <w:vAlign w:val="center"/>
            <w:hideMark/>
          </w:tcPr>
          <w:p w14:paraId="7FE7E883" w14:textId="77777777" w:rsidR="008F3544" w:rsidRPr="00192507" w:rsidRDefault="008F3544" w:rsidP="0099088D">
            <w:pPr>
              <w:jc w:val="center"/>
              <w:rPr>
                <w:color w:val="000000"/>
                <w:sz w:val="16"/>
                <w:szCs w:val="16"/>
              </w:rPr>
            </w:pPr>
            <w:r w:rsidRPr="00192507">
              <w:rPr>
                <w:color w:val="000000"/>
                <w:sz w:val="16"/>
                <w:szCs w:val="16"/>
              </w:rPr>
              <w:t>рублей/кВт</w:t>
            </w:r>
          </w:p>
        </w:tc>
        <w:tc>
          <w:tcPr>
            <w:tcW w:w="602" w:type="pct"/>
            <w:shd w:val="clear" w:color="auto" w:fill="auto"/>
            <w:noWrap/>
            <w:vAlign w:val="center"/>
            <w:hideMark/>
          </w:tcPr>
          <w:p w14:paraId="7ECFD40F" w14:textId="77777777" w:rsidR="008F3544" w:rsidRPr="00192507" w:rsidRDefault="008F3544" w:rsidP="0099088D">
            <w:pPr>
              <w:jc w:val="center"/>
              <w:rPr>
                <w:color w:val="000000"/>
                <w:sz w:val="16"/>
                <w:szCs w:val="16"/>
              </w:rPr>
            </w:pPr>
            <w:r w:rsidRPr="00192507">
              <w:rPr>
                <w:color w:val="000000"/>
                <w:sz w:val="16"/>
                <w:szCs w:val="16"/>
              </w:rPr>
              <w:t>2 231,16</w:t>
            </w:r>
          </w:p>
        </w:tc>
        <w:tc>
          <w:tcPr>
            <w:tcW w:w="603" w:type="pct"/>
            <w:shd w:val="clear" w:color="auto" w:fill="auto"/>
            <w:noWrap/>
            <w:vAlign w:val="center"/>
            <w:hideMark/>
          </w:tcPr>
          <w:p w14:paraId="06074800" w14:textId="77777777" w:rsidR="008F3544" w:rsidRPr="00192507" w:rsidRDefault="008F3544" w:rsidP="0099088D">
            <w:pPr>
              <w:jc w:val="center"/>
              <w:rPr>
                <w:color w:val="000000"/>
                <w:sz w:val="16"/>
                <w:szCs w:val="16"/>
              </w:rPr>
            </w:pPr>
            <w:r w:rsidRPr="00192507">
              <w:rPr>
                <w:color w:val="000000"/>
                <w:sz w:val="16"/>
                <w:szCs w:val="16"/>
              </w:rPr>
              <w:t>2 231,16</w:t>
            </w:r>
          </w:p>
        </w:tc>
      </w:tr>
      <w:tr w:rsidR="008F3544" w:rsidRPr="00192507" w14:paraId="56225F8A" w14:textId="77777777" w:rsidTr="0099088D">
        <w:trPr>
          <w:trHeight w:val="675"/>
        </w:trPr>
        <w:tc>
          <w:tcPr>
            <w:tcW w:w="672" w:type="pct"/>
            <w:shd w:val="clear" w:color="auto" w:fill="auto"/>
            <w:vAlign w:val="center"/>
            <w:hideMark/>
          </w:tcPr>
          <w:p w14:paraId="270AD387" w14:textId="77777777" w:rsidR="008F3544" w:rsidRPr="00192507" w:rsidRDefault="008F3544" w:rsidP="0099088D">
            <w:pPr>
              <w:jc w:val="center"/>
              <w:rPr>
                <w:color w:val="000000"/>
                <w:sz w:val="16"/>
                <w:szCs w:val="16"/>
              </w:rPr>
            </w:pPr>
            <w:r w:rsidRPr="00192507">
              <w:rPr>
                <w:color w:val="000000"/>
                <w:sz w:val="16"/>
                <w:szCs w:val="16"/>
              </w:rPr>
              <w:t>5.2.3.3.</w:t>
            </w:r>
          </w:p>
        </w:tc>
        <w:tc>
          <w:tcPr>
            <w:tcW w:w="902" w:type="pct"/>
            <w:shd w:val="clear" w:color="auto" w:fill="auto"/>
            <w:vAlign w:val="center"/>
            <w:hideMark/>
          </w:tcPr>
          <w:p w14:paraId="65619B83" w14:textId="77777777" w:rsidR="008F3544" w:rsidRPr="00445DF1"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5.2.3.3.</m:t>
                    </m:r>
                  </m:sub>
                  <m:sup>
                    <m:r>
                      <m:rPr>
                        <m:nor/>
                      </m:rPr>
                      <w:rPr>
                        <w:color w:val="000000"/>
                      </w:rPr>
                      <m:t>6/0,4 кВ</m:t>
                    </m:r>
                  </m:sup>
                </m:sSubSup>
              </m:oMath>
            </m:oMathPara>
          </w:p>
        </w:tc>
        <w:tc>
          <w:tcPr>
            <w:tcW w:w="1525" w:type="pct"/>
            <w:shd w:val="clear" w:color="auto" w:fill="auto"/>
            <w:vAlign w:val="center"/>
            <w:hideMark/>
          </w:tcPr>
          <w:p w14:paraId="6C97D6A4" w14:textId="77777777" w:rsidR="008F3544" w:rsidRPr="00192507" w:rsidRDefault="008F3544" w:rsidP="0099088D">
            <w:pPr>
              <w:rPr>
                <w:color w:val="000000"/>
                <w:sz w:val="16"/>
                <w:szCs w:val="16"/>
              </w:rPr>
            </w:pPr>
            <w:r w:rsidRPr="00192507">
              <w:rPr>
                <w:color w:val="000000"/>
                <w:sz w:val="16"/>
                <w:szCs w:val="16"/>
              </w:rPr>
              <w:t>двухтрансформаторные и более подстанции (за исключением РТП) мощностью от 100 до 250 кВА включительно блочного типа</w:t>
            </w:r>
          </w:p>
        </w:tc>
        <w:tc>
          <w:tcPr>
            <w:tcW w:w="696" w:type="pct"/>
            <w:shd w:val="clear" w:color="auto" w:fill="auto"/>
            <w:vAlign w:val="center"/>
            <w:hideMark/>
          </w:tcPr>
          <w:p w14:paraId="18123A8E" w14:textId="77777777" w:rsidR="008F3544" w:rsidRPr="00192507" w:rsidRDefault="008F3544" w:rsidP="0099088D">
            <w:pPr>
              <w:jc w:val="center"/>
              <w:rPr>
                <w:color w:val="000000"/>
                <w:sz w:val="16"/>
                <w:szCs w:val="16"/>
              </w:rPr>
            </w:pPr>
            <w:r w:rsidRPr="00192507">
              <w:rPr>
                <w:color w:val="000000"/>
                <w:sz w:val="16"/>
                <w:szCs w:val="16"/>
              </w:rPr>
              <w:t>рублей/кВт</w:t>
            </w:r>
          </w:p>
        </w:tc>
        <w:tc>
          <w:tcPr>
            <w:tcW w:w="602" w:type="pct"/>
            <w:shd w:val="clear" w:color="auto" w:fill="auto"/>
            <w:noWrap/>
            <w:vAlign w:val="center"/>
            <w:hideMark/>
          </w:tcPr>
          <w:p w14:paraId="0E5D1F7F" w14:textId="77777777" w:rsidR="008F3544" w:rsidRPr="00192507" w:rsidRDefault="008F3544" w:rsidP="0099088D">
            <w:pPr>
              <w:jc w:val="center"/>
              <w:rPr>
                <w:color w:val="000000"/>
                <w:sz w:val="16"/>
                <w:szCs w:val="16"/>
              </w:rPr>
            </w:pPr>
            <w:r w:rsidRPr="00192507">
              <w:rPr>
                <w:color w:val="000000"/>
                <w:sz w:val="16"/>
                <w:szCs w:val="16"/>
              </w:rPr>
              <w:t>8 533,25</w:t>
            </w:r>
          </w:p>
        </w:tc>
        <w:tc>
          <w:tcPr>
            <w:tcW w:w="603" w:type="pct"/>
            <w:shd w:val="clear" w:color="auto" w:fill="auto"/>
            <w:noWrap/>
            <w:vAlign w:val="center"/>
            <w:hideMark/>
          </w:tcPr>
          <w:p w14:paraId="258E10AC" w14:textId="77777777" w:rsidR="008F3544" w:rsidRPr="00192507" w:rsidRDefault="008F3544" w:rsidP="0099088D">
            <w:pPr>
              <w:jc w:val="center"/>
              <w:rPr>
                <w:color w:val="000000"/>
                <w:sz w:val="16"/>
                <w:szCs w:val="16"/>
              </w:rPr>
            </w:pPr>
            <w:r w:rsidRPr="00192507">
              <w:rPr>
                <w:color w:val="000000"/>
                <w:sz w:val="16"/>
                <w:szCs w:val="16"/>
              </w:rPr>
              <w:t>8 533,25</w:t>
            </w:r>
          </w:p>
        </w:tc>
      </w:tr>
      <w:tr w:rsidR="008F3544" w:rsidRPr="00192507" w14:paraId="5C49021B" w14:textId="77777777" w:rsidTr="0099088D">
        <w:trPr>
          <w:trHeight w:val="866"/>
        </w:trPr>
        <w:tc>
          <w:tcPr>
            <w:tcW w:w="672" w:type="pct"/>
            <w:shd w:val="clear" w:color="auto" w:fill="auto"/>
            <w:vAlign w:val="center"/>
            <w:hideMark/>
          </w:tcPr>
          <w:p w14:paraId="7FB80ECA" w14:textId="77777777" w:rsidR="008F3544" w:rsidRPr="00192507" w:rsidRDefault="008F3544" w:rsidP="0099088D">
            <w:pPr>
              <w:jc w:val="center"/>
              <w:rPr>
                <w:color w:val="000000"/>
                <w:sz w:val="16"/>
                <w:szCs w:val="16"/>
              </w:rPr>
            </w:pPr>
            <w:r w:rsidRPr="00192507">
              <w:rPr>
                <w:color w:val="000000"/>
                <w:sz w:val="16"/>
                <w:szCs w:val="16"/>
              </w:rPr>
              <w:t>5.2.4.3.</w:t>
            </w:r>
          </w:p>
        </w:tc>
        <w:tc>
          <w:tcPr>
            <w:tcW w:w="902" w:type="pct"/>
            <w:shd w:val="clear" w:color="auto" w:fill="auto"/>
            <w:vAlign w:val="center"/>
            <w:hideMark/>
          </w:tcPr>
          <w:p w14:paraId="531C5D88" w14:textId="77777777" w:rsidR="008F3544" w:rsidRPr="00445DF1"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5.2.4.3.</m:t>
                    </m:r>
                  </m:sub>
                  <m:sup>
                    <m:r>
                      <m:rPr>
                        <m:nor/>
                      </m:rPr>
                      <w:rPr>
                        <w:color w:val="000000"/>
                      </w:rPr>
                      <m:t>6/0,4 кВ</m:t>
                    </m:r>
                  </m:sup>
                </m:sSubSup>
              </m:oMath>
            </m:oMathPara>
          </w:p>
        </w:tc>
        <w:tc>
          <w:tcPr>
            <w:tcW w:w="1525" w:type="pct"/>
            <w:shd w:val="clear" w:color="auto" w:fill="auto"/>
            <w:vAlign w:val="center"/>
            <w:hideMark/>
          </w:tcPr>
          <w:p w14:paraId="023D17E1" w14:textId="77777777" w:rsidR="008F3544" w:rsidRPr="00192507" w:rsidRDefault="008F3544" w:rsidP="0099088D">
            <w:pPr>
              <w:rPr>
                <w:color w:val="000000"/>
                <w:sz w:val="16"/>
                <w:szCs w:val="16"/>
              </w:rPr>
            </w:pPr>
            <w:r w:rsidRPr="00192507">
              <w:rPr>
                <w:color w:val="000000"/>
                <w:sz w:val="16"/>
                <w:szCs w:val="16"/>
              </w:rPr>
              <w:t>двухтрансформаторные и более подстанции (за исключением РТП) мощностью от 250 до 400 кВА включительно блочного типа</w:t>
            </w:r>
          </w:p>
        </w:tc>
        <w:tc>
          <w:tcPr>
            <w:tcW w:w="696" w:type="pct"/>
            <w:shd w:val="clear" w:color="auto" w:fill="auto"/>
            <w:vAlign w:val="center"/>
            <w:hideMark/>
          </w:tcPr>
          <w:p w14:paraId="7CC9D4AC" w14:textId="77777777" w:rsidR="008F3544" w:rsidRPr="00192507" w:rsidRDefault="008F3544" w:rsidP="0099088D">
            <w:pPr>
              <w:jc w:val="center"/>
              <w:rPr>
                <w:color w:val="000000"/>
                <w:sz w:val="16"/>
                <w:szCs w:val="16"/>
              </w:rPr>
            </w:pPr>
            <w:r w:rsidRPr="00192507">
              <w:rPr>
                <w:color w:val="000000"/>
                <w:sz w:val="16"/>
                <w:szCs w:val="16"/>
              </w:rPr>
              <w:t>рублей/кВт</w:t>
            </w:r>
          </w:p>
        </w:tc>
        <w:tc>
          <w:tcPr>
            <w:tcW w:w="602" w:type="pct"/>
            <w:shd w:val="clear" w:color="auto" w:fill="auto"/>
            <w:noWrap/>
            <w:vAlign w:val="center"/>
            <w:hideMark/>
          </w:tcPr>
          <w:p w14:paraId="65F0C4B1" w14:textId="77777777" w:rsidR="008F3544" w:rsidRPr="00192507" w:rsidRDefault="008F3544" w:rsidP="0099088D">
            <w:pPr>
              <w:jc w:val="center"/>
              <w:rPr>
                <w:color w:val="000000"/>
                <w:sz w:val="16"/>
                <w:szCs w:val="16"/>
              </w:rPr>
            </w:pPr>
            <w:r w:rsidRPr="00192507">
              <w:rPr>
                <w:color w:val="000000"/>
                <w:sz w:val="16"/>
                <w:szCs w:val="16"/>
              </w:rPr>
              <w:t>7 804,93</w:t>
            </w:r>
          </w:p>
        </w:tc>
        <w:tc>
          <w:tcPr>
            <w:tcW w:w="603" w:type="pct"/>
            <w:shd w:val="clear" w:color="auto" w:fill="auto"/>
            <w:noWrap/>
            <w:vAlign w:val="center"/>
            <w:hideMark/>
          </w:tcPr>
          <w:p w14:paraId="60B6B4F5" w14:textId="77777777" w:rsidR="008F3544" w:rsidRPr="00192507" w:rsidRDefault="008F3544" w:rsidP="0099088D">
            <w:pPr>
              <w:jc w:val="center"/>
              <w:rPr>
                <w:color w:val="000000"/>
                <w:sz w:val="16"/>
                <w:szCs w:val="16"/>
              </w:rPr>
            </w:pPr>
            <w:r w:rsidRPr="00192507">
              <w:rPr>
                <w:color w:val="000000"/>
                <w:sz w:val="16"/>
                <w:szCs w:val="16"/>
              </w:rPr>
              <w:t>7 804,93</w:t>
            </w:r>
          </w:p>
        </w:tc>
      </w:tr>
      <w:tr w:rsidR="008F3544" w:rsidRPr="00192507" w14:paraId="66932940" w14:textId="77777777" w:rsidTr="0099088D">
        <w:trPr>
          <w:trHeight w:val="404"/>
        </w:trPr>
        <w:tc>
          <w:tcPr>
            <w:tcW w:w="672" w:type="pct"/>
            <w:vMerge w:val="restart"/>
            <w:shd w:val="clear" w:color="auto" w:fill="auto"/>
            <w:vAlign w:val="center"/>
            <w:hideMark/>
          </w:tcPr>
          <w:p w14:paraId="77E29D3F" w14:textId="77777777" w:rsidR="008F3544" w:rsidRPr="00192507" w:rsidRDefault="008F3544" w:rsidP="0099088D">
            <w:pPr>
              <w:jc w:val="center"/>
              <w:rPr>
                <w:color w:val="000000"/>
                <w:sz w:val="16"/>
                <w:szCs w:val="16"/>
              </w:rPr>
            </w:pPr>
            <w:r w:rsidRPr="00192507">
              <w:rPr>
                <w:color w:val="000000"/>
                <w:sz w:val="16"/>
                <w:szCs w:val="16"/>
              </w:rPr>
              <w:t>5.2.5.3.</w:t>
            </w:r>
          </w:p>
        </w:tc>
        <w:tc>
          <w:tcPr>
            <w:tcW w:w="902" w:type="pct"/>
            <w:shd w:val="clear" w:color="auto" w:fill="auto"/>
            <w:vAlign w:val="center"/>
            <w:hideMark/>
          </w:tcPr>
          <w:p w14:paraId="4BB7791D" w14:textId="77777777" w:rsidR="008F3544" w:rsidRPr="00445DF1"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5.2.5.3.</m:t>
                    </m:r>
                  </m:sub>
                  <m:sup>
                    <m:r>
                      <m:rPr>
                        <m:nor/>
                      </m:rPr>
                      <w:rPr>
                        <w:color w:val="000000"/>
                      </w:rPr>
                      <m:t>6/0,4 кВ</m:t>
                    </m:r>
                  </m:sup>
                </m:sSubSup>
              </m:oMath>
            </m:oMathPara>
          </w:p>
        </w:tc>
        <w:tc>
          <w:tcPr>
            <w:tcW w:w="1525" w:type="pct"/>
            <w:vMerge w:val="restart"/>
            <w:shd w:val="clear" w:color="auto" w:fill="auto"/>
            <w:vAlign w:val="center"/>
            <w:hideMark/>
          </w:tcPr>
          <w:p w14:paraId="58AE37DB" w14:textId="77777777" w:rsidR="008F3544" w:rsidRPr="00192507" w:rsidRDefault="008F3544" w:rsidP="0099088D">
            <w:pPr>
              <w:rPr>
                <w:color w:val="000000"/>
                <w:sz w:val="16"/>
                <w:szCs w:val="16"/>
              </w:rPr>
            </w:pPr>
            <w:r w:rsidRPr="00192507">
              <w:rPr>
                <w:color w:val="000000"/>
                <w:sz w:val="16"/>
                <w:szCs w:val="16"/>
              </w:rPr>
              <w:t>двухтрансформаторные и более подстанции (за исключением РТП) мощностью от 400 до 1000 кВА включительно блочного типа</w:t>
            </w:r>
          </w:p>
        </w:tc>
        <w:tc>
          <w:tcPr>
            <w:tcW w:w="696" w:type="pct"/>
            <w:vMerge w:val="restart"/>
            <w:shd w:val="clear" w:color="auto" w:fill="auto"/>
            <w:vAlign w:val="center"/>
            <w:hideMark/>
          </w:tcPr>
          <w:p w14:paraId="2EA1C319" w14:textId="77777777" w:rsidR="008F3544" w:rsidRPr="00192507" w:rsidRDefault="008F3544" w:rsidP="0099088D">
            <w:pPr>
              <w:jc w:val="center"/>
              <w:rPr>
                <w:color w:val="000000"/>
                <w:sz w:val="16"/>
                <w:szCs w:val="16"/>
              </w:rPr>
            </w:pPr>
            <w:r w:rsidRPr="00192507">
              <w:rPr>
                <w:color w:val="000000"/>
                <w:sz w:val="16"/>
                <w:szCs w:val="16"/>
              </w:rPr>
              <w:t>рублей/кВт</w:t>
            </w:r>
          </w:p>
        </w:tc>
        <w:tc>
          <w:tcPr>
            <w:tcW w:w="602" w:type="pct"/>
            <w:shd w:val="clear" w:color="auto" w:fill="auto"/>
            <w:noWrap/>
            <w:vAlign w:val="center"/>
            <w:hideMark/>
          </w:tcPr>
          <w:p w14:paraId="0EC65733" w14:textId="77777777" w:rsidR="008F3544" w:rsidRPr="00192507" w:rsidRDefault="008F3544" w:rsidP="0099088D">
            <w:pPr>
              <w:jc w:val="center"/>
              <w:rPr>
                <w:color w:val="000000"/>
                <w:sz w:val="16"/>
                <w:szCs w:val="16"/>
              </w:rPr>
            </w:pPr>
            <w:r w:rsidRPr="00192507">
              <w:rPr>
                <w:color w:val="000000"/>
                <w:sz w:val="16"/>
                <w:szCs w:val="16"/>
              </w:rPr>
              <w:t>5 496,61</w:t>
            </w:r>
          </w:p>
        </w:tc>
        <w:tc>
          <w:tcPr>
            <w:tcW w:w="603" w:type="pct"/>
            <w:shd w:val="clear" w:color="auto" w:fill="auto"/>
            <w:noWrap/>
            <w:vAlign w:val="center"/>
            <w:hideMark/>
          </w:tcPr>
          <w:p w14:paraId="6A0BED15" w14:textId="77777777" w:rsidR="008F3544" w:rsidRPr="00192507" w:rsidRDefault="008F3544" w:rsidP="0099088D">
            <w:pPr>
              <w:jc w:val="center"/>
              <w:rPr>
                <w:color w:val="000000"/>
                <w:sz w:val="16"/>
                <w:szCs w:val="16"/>
              </w:rPr>
            </w:pPr>
            <w:r w:rsidRPr="00192507">
              <w:rPr>
                <w:color w:val="000000"/>
                <w:sz w:val="16"/>
                <w:szCs w:val="16"/>
              </w:rPr>
              <w:t>5 496,61</w:t>
            </w:r>
          </w:p>
        </w:tc>
      </w:tr>
      <w:tr w:rsidR="008F3544" w:rsidRPr="00192507" w14:paraId="388BEFEB" w14:textId="77777777" w:rsidTr="0099088D">
        <w:trPr>
          <w:trHeight w:val="300"/>
        </w:trPr>
        <w:tc>
          <w:tcPr>
            <w:tcW w:w="672" w:type="pct"/>
            <w:vMerge/>
            <w:shd w:val="clear" w:color="auto" w:fill="auto"/>
            <w:vAlign w:val="center"/>
            <w:hideMark/>
          </w:tcPr>
          <w:p w14:paraId="36A2684C" w14:textId="77777777" w:rsidR="008F3544" w:rsidRPr="00192507" w:rsidRDefault="008F3544" w:rsidP="0099088D">
            <w:pPr>
              <w:rPr>
                <w:color w:val="000000"/>
                <w:sz w:val="16"/>
                <w:szCs w:val="16"/>
              </w:rPr>
            </w:pPr>
          </w:p>
        </w:tc>
        <w:tc>
          <w:tcPr>
            <w:tcW w:w="902" w:type="pct"/>
            <w:shd w:val="clear" w:color="auto" w:fill="auto"/>
            <w:vAlign w:val="center"/>
            <w:hideMark/>
          </w:tcPr>
          <w:p w14:paraId="0F88029B" w14:textId="77777777" w:rsidR="008F3544" w:rsidRPr="00445DF1"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5.2.5.3.</m:t>
                    </m:r>
                  </m:sub>
                  <m:sup>
                    <m:r>
                      <m:rPr>
                        <m:nor/>
                      </m:rPr>
                      <w:rPr>
                        <w:color w:val="000000"/>
                      </w:rPr>
                      <m:t>10/0,4 кВ</m:t>
                    </m:r>
                  </m:sup>
                </m:sSubSup>
              </m:oMath>
            </m:oMathPara>
          </w:p>
        </w:tc>
        <w:tc>
          <w:tcPr>
            <w:tcW w:w="1525" w:type="pct"/>
            <w:vMerge/>
            <w:shd w:val="clear" w:color="auto" w:fill="auto"/>
            <w:vAlign w:val="center"/>
            <w:hideMark/>
          </w:tcPr>
          <w:p w14:paraId="6FD8A35C" w14:textId="77777777" w:rsidR="008F3544" w:rsidRPr="00192507" w:rsidRDefault="008F3544" w:rsidP="0099088D">
            <w:pPr>
              <w:rPr>
                <w:color w:val="000000"/>
                <w:sz w:val="16"/>
                <w:szCs w:val="16"/>
              </w:rPr>
            </w:pPr>
          </w:p>
        </w:tc>
        <w:tc>
          <w:tcPr>
            <w:tcW w:w="696" w:type="pct"/>
            <w:vMerge/>
            <w:shd w:val="clear" w:color="auto" w:fill="auto"/>
            <w:vAlign w:val="center"/>
            <w:hideMark/>
          </w:tcPr>
          <w:p w14:paraId="65000352" w14:textId="77777777" w:rsidR="008F3544" w:rsidRPr="00192507" w:rsidRDefault="008F3544" w:rsidP="0099088D">
            <w:pPr>
              <w:rPr>
                <w:color w:val="000000"/>
                <w:sz w:val="16"/>
                <w:szCs w:val="16"/>
              </w:rPr>
            </w:pPr>
          </w:p>
        </w:tc>
        <w:tc>
          <w:tcPr>
            <w:tcW w:w="602" w:type="pct"/>
            <w:shd w:val="clear" w:color="auto" w:fill="auto"/>
            <w:noWrap/>
            <w:vAlign w:val="center"/>
            <w:hideMark/>
          </w:tcPr>
          <w:p w14:paraId="4C8C4737" w14:textId="77777777" w:rsidR="008F3544" w:rsidRPr="00192507" w:rsidRDefault="008F3544" w:rsidP="0099088D">
            <w:pPr>
              <w:jc w:val="center"/>
              <w:rPr>
                <w:color w:val="000000"/>
                <w:sz w:val="16"/>
                <w:szCs w:val="16"/>
              </w:rPr>
            </w:pPr>
            <w:r w:rsidRPr="00192507">
              <w:rPr>
                <w:color w:val="000000"/>
                <w:sz w:val="16"/>
                <w:szCs w:val="16"/>
              </w:rPr>
              <w:t>4 913,49</w:t>
            </w:r>
          </w:p>
        </w:tc>
        <w:tc>
          <w:tcPr>
            <w:tcW w:w="603" w:type="pct"/>
            <w:shd w:val="clear" w:color="auto" w:fill="auto"/>
            <w:noWrap/>
            <w:vAlign w:val="center"/>
            <w:hideMark/>
          </w:tcPr>
          <w:p w14:paraId="3C94EE6F" w14:textId="77777777" w:rsidR="008F3544" w:rsidRPr="00192507" w:rsidRDefault="008F3544" w:rsidP="0099088D">
            <w:pPr>
              <w:jc w:val="center"/>
              <w:rPr>
                <w:color w:val="000000"/>
                <w:sz w:val="16"/>
                <w:szCs w:val="16"/>
              </w:rPr>
            </w:pPr>
            <w:r w:rsidRPr="00192507">
              <w:rPr>
                <w:color w:val="000000"/>
                <w:sz w:val="16"/>
                <w:szCs w:val="16"/>
              </w:rPr>
              <w:t>4 913,49</w:t>
            </w:r>
          </w:p>
        </w:tc>
      </w:tr>
      <w:tr w:rsidR="008F3544" w:rsidRPr="00192507" w14:paraId="137D6850" w14:textId="77777777" w:rsidTr="0099088D">
        <w:trPr>
          <w:trHeight w:val="675"/>
        </w:trPr>
        <w:tc>
          <w:tcPr>
            <w:tcW w:w="672" w:type="pct"/>
            <w:shd w:val="clear" w:color="auto" w:fill="auto"/>
            <w:vAlign w:val="center"/>
            <w:hideMark/>
          </w:tcPr>
          <w:p w14:paraId="6B7FCACF" w14:textId="77777777" w:rsidR="008F3544" w:rsidRPr="00192507" w:rsidRDefault="008F3544" w:rsidP="0099088D">
            <w:pPr>
              <w:jc w:val="center"/>
              <w:rPr>
                <w:color w:val="000000"/>
                <w:sz w:val="16"/>
                <w:szCs w:val="16"/>
              </w:rPr>
            </w:pPr>
            <w:r w:rsidRPr="00192507">
              <w:rPr>
                <w:color w:val="000000"/>
                <w:sz w:val="16"/>
                <w:szCs w:val="16"/>
              </w:rPr>
              <w:t>5.2.7.3.</w:t>
            </w:r>
          </w:p>
        </w:tc>
        <w:tc>
          <w:tcPr>
            <w:tcW w:w="902" w:type="pct"/>
            <w:shd w:val="clear" w:color="auto" w:fill="auto"/>
            <w:vAlign w:val="center"/>
            <w:hideMark/>
          </w:tcPr>
          <w:p w14:paraId="20944922" w14:textId="77777777" w:rsidR="008F3544" w:rsidRPr="00445DF1"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5.2.7.3.</m:t>
                    </m:r>
                  </m:sub>
                  <m:sup>
                    <m:r>
                      <m:rPr>
                        <m:nor/>
                      </m:rPr>
                      <w:rPr>
                        <w:color w:val="000000"/>
                      </w:rPr>
                      <m:t>6/0,4 кВ</m:t>
                    </m:r>
                  </m:sup>
                </m:sSubSup>
              </m:oMath>
            </m:oMathPara>
          </w:p>
        </w:tc>
        <w:tc>
          <w:tcPr>
            <w:tcW w:w="1525" w:type="pct"/>
            <w:shd w:val="clear" w:color="auto" w:fill="auto"/>
            <w:vAlign w:val="center"/>
            <w:hideMark/>
          </w:tcPr>
          <w:p w14:paraId="73C66069" w14:textId="77777777" w:rsidR="008F3544" w:rsidRPr="00192507" w:rsidRDefault="008F3544" w:rsidP="0099088D">
            <w:pPr>
              <w:rPr>
                <w:color w:val="000000"/>
                <w:sz w:val="16"/>
                <w:szCs w:val="16"/>
              </w:rPr>
            </w:pPr>
            <w:r w:rsidRPr="00192507">
              <w:rPr>
                <w:color w:val="000000"/>
                <w:sz w:val="16"/>
                <w:szCs w:val="16"/>
              </w:rPr>
              <w:t>двухтрансформаторные и более подстанции (за исключением РТП) мощностью от 1250 до 1600 кВА включительно блочного типа</w:t>
            </w:r>
          </w:p>
        </w:tc>
        <w:tc>
          <w:tcPr>
            <w:tcW w:w="696" w:type="pct"/>
            <w:shd w:val="clear" w:color="auto" w:fill="auto"/>
            <w:vAlign w:val="center"/>
            <w:hideMark/>
          </w:tcPr>
          <w:p w14:paraId="1C6D8BCA" w14:textId="77777777" w:rsidR="008F3544" w:rsidRPr="00192507" w:rsidRDefault="008F3544" w:rsidP="0099088D">
            <w:pPr>
              <w:jc w:val="center"/>
              <w:rPr>
                <w:color w:val="000000"/>
                <w:sz w:val="16"/>
                <w:szCs w:val="16"/>
              </w:rPr>
            </w:pPr>
            <w:r w:rsidRPr="00192507">
              <w:rPr>
                <w:color w:val="000000"/>
                <w:sz w:val="16"/>
                <w:szCs w:val="16"/>
              </w:rPr>
              <w:t>рублей/кВт</w:t>
            </w:r>
          </w:p>
        </w:tc>
        <w:tc>
          <w:tcPr>
            <w:tcW w:w="602" w:type="pct"/>
            <w:shd w:val="clear" w:color="auto" w:fill="auto"/>
            <w:noWrap/>
            <w:vAlign w:val="center"/>
            <w:hideMark/>
          </w:tcPr>
          <w:p w14:paraId="319890BC" w14:textId="77777777" w:rsidR="008F3544" w:rsidRPr="00192507" w:rsidRDefault="008F3544" w:rsidP="0099088D">
            <w:pPr>
              <w:jc w:val="center"/>
              <w:rPr>
                <w:color w:val="000000"/>
                <w:sz w:val="16"/>
                <w:szCs w:val="16"/>
              </w:rPr>
            </w:pPr>
            <w:r w:rsidRPr="00192507">
              <w:rPr>
                <w:color w:val="000000"/>
                <w:sz w:val="16"/>
                <w:szCs w:val="16"/>
              </w:rPr>
              <w:t>4 229,13</w:t>
            </w:r>
          </w:p>
        </w:tc>
        <w:tc>
          <w:tcPr>
            <w:tcW w:w="603" w:type="pct"/>
            <w:shd w:val="clear" w:color="auto" w:fill="auto"/>
            <w:noWrap/>
            <w:vAlign w:val="center"/>
            <w:hideMark/>
          </w:tcPr>
          <w:p w14:paraId="44F559A8" w14:textId="77777777" w:rsidR="008F3544" w:rsidRPr="00192507" w:rsidRDefault="008F3544" w:rsidP="0099088D">
            <w:pPr>
              <w:jc w:val="center"/>
              <w:rPr>
                <w:color w:val="000000"/>
                <w:sz w:val="16"/>
                <w:szCs w:val="16"/>
              </w:rPr>
            </w:pPr>
            <w:r w:rsidRPr="00192507">
              <w:rPr>
                <w:color w:val="000000"/>
                <w:sz w:val="16"/>
                <w:szCs w:val="16"/>
              </w:rPr>
              <w:t>4 229,13</w:t>
            </w:r>
          </w:p>
        </w:tc>
      </w:tr>
      <w:tr w:rsidR="008F3544" w:rsidRPr="00192507" w14:paraId="638312D3" w14:textId="77777777" w:rsidTr="0099088D">
        <w:trPr>
          <w:trHeight w:val="675"/>
        </w:trPr>
        <w:tc>
          <w:tcPr>
            <w:tcW w:w="672" w:type="pct"/>
            <w:shd w:val="clear" w:color="auto" w:fill="auto"/>
            <w:vAlign w:val="center"/>
            <w:hideMark/>
          </w:tcPr>
          <w:p w14:paraId="4D177637" w14:textId="77777777" w:rsidR="008F3544" w:rsidRPr="00192507" w:rsidRDefault="008F3544" w:rsidP="0099088D">
            <w:pPr>
              <w:jc w:val="center"/>
              <w:rPr>
                <w:color w:val="000000"/>
                <w:sz w:val="16"/>
                <w:szCs w:val="16"/>
              </w:rPr>
            </w:pPr>
            <w:r w:rsidRPr="00192507">
              <w:rPr>
                <w:color w:val="000000"/>
                <w:sz w:val="16"/>
                <w:szCs w:val="16"/>
              </w:rPr>
              <w:t>5.2.9.3.</w:t>
            </w:r>
          </w:p>
        </w:tc>
        <w:tc>
          <w:tcPr>
            <w:tcW w:w="902" w:type="pct"/>
            <w:shd w:val="clear" w:color="auto" w:fill="auto"/>
            <w:vAlign w:val="center"/>
            <w:hideMark/>
          </w:tcPr>
          <w:p w14:paraId="181EFBD1" w14:textId="77777777" w:rsidR="008F3544" w:rsidRPr="00445DF1"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5.2.9.3.</m:t>
                    </m:r>
                  </m:sub>
                  <m:sup>
                    <m:r>
                      <m:rPr>
                        <m:nor/>
                      </m:rPr>
                      <w:rPr>
                        <w:color w:val="000000"/>
                      </w:rPr>
                      <m:t>10/0,4 кВ</m:t>
                    </m:r>
                  </m:sup>
                </m:sSubSup>
              </m:oMath>
            </m:oMathPara>
          </w:p>
        </w:tc>
        <w:tc>
          <w:tcPr>
            <w:tcW w:w="1525" w:type="pct"/>
            <w:shd w:val="clear" w:color="auto" w:fill="auto"/>
            <w:vAlign w:val="center"/>
            <w:hideMark/>
          </w:tcPr>
          <w:p w14:paraId="77AF409D" w14:textId="77777777" w:rsidR="008F3544" w:rsidRPr="00192507" w:rsidRDefault="008F3544" w:rsidP="0099088D">
            <w:pPr>
              <w:rPr>
                <w:color w:val="000000"/>
                <w:sz w:val="16"/>
                <w:szCs w:val="16"/>
              </w:rPr>
            </w:pPr>
            <w:r w:rsidRPr="00192507">
              <w:rPr>
                <w:color w:val="000000"/>
                <w:sz w:val="16"/>
                <w:szCs w:val="16"/>
              </w:rPr>
              <w:t>двухтрансформаторные и более подстанции (за исключением РТП) мощностью от 2000 до 2500 кВА включительно блочного типа</w:t>
            </w:r>
          </w:p>
        </w:tc>
        <w:tc>
          <w:tcPr>
            <w:tcW w:w="696" w:type="pct"/>
            <w:shd w:val="clear" w:color="auto" w:fill="auto"/>
            <w:vAlign w:val="center"/>
            <w:hideMark/>
          </w:tcPr>
          <w:p w14:paraId="194EB003" w14:textId="77777777" w:rsidR="008F3544" w:rsidRPr="00192507" w:rsidRDefault="008F3544" w:rsidP="0099088D">
            <w:pPr>
              <w:jc w:val="center"/>
              <w:rPr>
                <w:color w:val="000000"/>
                <w:sz w:val="16"/>
                <w:szCs w:val="16"/>
              </w:rPr>
            </w:pPr>
            <w:r w:rsidRPr="00192507">
              <w:rPr>
                <w:color w:val="000000"/>
                <w:sz w:val="16"/>
                <w:szCs w:val="16"/>
              </w:rPr>
              <w:t>рублей/кВт</w:t>
            </w:r>
          </w:p>
        </w:tc>
        <w:tc>
          <w:tcPr>
            <w:tcW w:w="602" w:type="pct"/>
            <w:shd w:val="clear" w:color="auto" w:fill="auto"/>
            <w:noWrap/>
            <w:vAlign w:val="center"/>
            <w:hideMark/>
          </w:tcPr>
          <w:p w14:paraId="7AC328FF" w14:textId="77777777" w:rsidR="008F3544" w:rsidRPr="00192507" w:rsidRDefault="008F3544" w:rsidP="0099088D">
            <w:pPr>
              <w:jc w:val="center"/>
              <w:rPr>
                <w:color w:val="000000"/>
                <w:sz w:val="16"/>
                <w:szCs w:val="16"/>
              </w:rPr>
            </w:pPr>
            <w:r w:rsidRPr="00192507">
              <w:rPr>
                <w:color w:val="000000"/>
                <w:sz w:val="16"/>
                <w:szCs w:val="16"/>
              </w:rPr>
              <w:t>1 975,30</w:t>
            </w:r>
          </w:p>
        </w:tc>
        <w:tc>
          <w:tcPr>
            <w:tcW w:w="603" w:type="pct"/>
            <w:shd w:val="clear" w:color="auto" w:fill="auto"/>
            <w:noWrap/>
            <w:vAlign w:val="center"/>
            <w:hideMark/>
          </w:tcPr>
          <w:p w14:paraId="2C08AA89" w14:textId="77777777" w:rsidR="008F3544" w:rsidRPr="00192507" w:rsidRDefault="008F3544" w:rsidP="0099088D">
            <w:pPr>
              <w:jc w:val="center"/>
              <w:rPr>
                <w:color w:val="000000"/>
                <w:sz w:val="16"/>
                <w:szCs w:val="16"/>
              </w:rPr>
            </w:pPr>
            <w:r>
              <w:rPr>
                <w:color w:val="000000"/>
                <w:sz w:val="16"/>
                <w:szCs w:val="16"/>
              </w:rPr>
              <w:t>-</w:t>
            </w:r>
          </w:p>
        </w:tc>
      </w:tr>
      <w:tr w:rsidR="008F3544" w:rsidRPr="00192507" w14:paraId="1B6A66BA" w14:textId="77777777" w:rsidTr="0099088D">
        <w:trPr>
          <w:trHeight w:val="765"/>
        </w:trPr>
        <w:tc>
          <w:tcPr>
            <w:tcW w:w="672" w:type="pct"/>
            <w:shd w:val="clear" w:color="auto" w:fill="auto"/>
            <w:vAlign w:val="center"/>
            <w:hideMark/>
          </w:tcPr>
          <w:p w14:paraId="36760650" w14:textId="77777777" w:rsidR="008F3544" w:rsidRPr="00192507" w:rsidRDefault="008F3544" w:rsidP="0099088D">
            <w:pPr>
              <w:jc w:val="center"/>
              <w:rPr>
                <w:color w:val="000000"/>
                <w:sz w:val="16"/>
                <w:szCs w:val="16"/>
              </w:rPr>
            </w:pPr>
            <w:r w:rsidRPr="00192507">
              <w:rPr>
                <w:color w:val="000000"/>
                <w:sz w:val="16"/>
                <w:szCs w:val="16"/>
              </w:rPr>
              <w:t>6.2.4</w:t>
            </w:r>
            <w:r>
              <w:rPr>
                <w:color w:val="000000"/>
                <w:sz w:val="16"/>
                <w:szCs w:val="16"/>
              </w:rPr>
              <w:t>.</w:t>
            </w:r>
          </w:p>
        </w:tc>
        <w:tc>
          <w:tcPr>
            <w:tcW w:w="902" w:type="pct"/>
            <w:shd w:val="clear" w:color="auto" w:fill="auto"/>
            <w:vAlign w:val="center"/>
            <w:hideMark/>
          </w:tcPr>
          <w:p w14:paraId="68DD06D9" w14:textId="77777777" w:rsidR="008F3544" w:rsidRPr="00C1160B"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6.2.4.</m:t>
                    </m:r>
                  </m:sub>
                  <m:sup>
                    <m:r>
                      <m:rPr>
                        <m:nor/>
                      </m:rPr>
                      <w:rPr>
                        <w:color w:val="000000"/>
                      </w:rPr>
                      <m:t>6(10)/0,4 кВ</m:t>
                    </m:r>
                  </m:sup>
                </m:sSubSup>
              </m:oMath>
            </m:oMathPara>
          </w:p>
        </w:tc>
        <w:tc>
          <w:tcPr>
            <w:tcW w:w="1525" w:type="pct"/>
            <w:shd w:val="clear" w:color="auto" w:fill="auto"/>
            <w:vAlign w:val="center"/>
            <w:hideMark/>
          </w:tcPr>
          <w:p w14:paraId="025CA03B" w14:textId="77777777" w:rsidR="008F3544" w:rsidRPr="00192507" w:rsidRDefault="008F3544" w:rsidP="0099088D">
            <w:pPr>
              <w:rPr>
                <w:color w:val="000000"/>
                <w:sz w:val="16"/>
                <w:szCs w:val="16"/>
              </w:rPr>
            </w:pPr>
            <w:r w:rsidRPr="00192507">
              <w:rPr>
                <w:color w:val="000000"/>
                <w:sz w:val="16"/>
                <w:szCs w:val="16"/>
              </w:rPr>
              <w:t>распределительные двухтрансформаторные подстанции мощностью от 250 до 400 кВА включительно</w:t>
            </w:r>
          </w:p>
        </w:tc>
        <w:tc>
          <w:tcPr>
            <w:tcW w:w="696" w:type="pct"/>
            <w:shd w:val="clear" w:color="auto" w:fill="auto"/>
            <w:vAlign w:val="center"/>
            <w:hideMark/>
          </w:tcPr>
          <w:p w14:paraId="367BB267" w14:textId="77777777" w:rsidR="008F3544" w:rsidRPr="00192507" w:rsidRDefault="008F3544" w:rsidP="0099088D">
            <w:pPr>
              <w:jc w:val="center"/>
              <w:rPr>
                <w:color w:val="000000"/>
                <w:sz w:val="16"/>
                <w:szCs w:val="16"/>
              </w:rPr>
            </w:pPr>
            <w:r w:rsidRPr="00192507">
              <w:rPr>
                <w:color w:val="000000"/>
                <w:sz w:val="16"/>
                <w:szCs w:val="16"/>
              </w:rPr>
              <w:t>рублей/кВт</w:t>
            </w:r>
          </w:p>
        </w:tc>
        <w:tc>
          <w:tcPr>
            <w:tcW w:w="602" w:type="pct"/>
            <w:shd w:val="clear" w:color="auto" w:fill="auto"/>
            <w:noWrap/>
            <w:vAlign w:val="center"/>
            <w:hideMark/>
          </w:tcPr>
          <w:p w14:paraId="4277F163" w14:textId="77777777" w:rsidR="008F3544" w:rsidRPr="00192507" w:rsidRDefault="008F3544" w:rsidP="0099088D">
            <w:pPr>
              <w:jc w:val="center"/>
              <w:rPr>
                <w:color w:val="000000"/>
                <w:sz w:val="16"/>
                <w:szCs w:val="16"/>
              </w:rPr>
            </w:pPr>
            <w:r w:rsidRPr="00192507">
              <w:rPr>
                <w:color w:val="000000"/>
                <w:sz w:val="16"/>
                <w:szCs w:val="16"/>
              </w:rPr>
              <w:t>3 065,95</w:t>
            </w:r>
          </w:p>
        </w:tc>
        <w:tc>
          <w:tcPr>
            <w:tcW w:w="603" w:type="pct"/>
            <w:shd w:val="clear" w:color="auto" w:fill="auto"/>
            <w:noWrap/>
            <w:vAlign w:val="center"/>
            <w:hideMark/>
          </w:tcPr>
          <w:p w14:paraId="0E7436E3" w14:textId="77777777" w:rsidR="008F3544" w:rsidRPr="00192507" w:rsidRDefault="008F3544" w:rsidP="0099088D">
            <w:pPr>
              <w:jc w:val="center"/>
              <w:rPr>
                <w:color w:val="000000"/>
                <w:sz w:val="16"/>
                <w:szCs w:val="16"/>
              </w:rPr>
            </w:pPr>
            <w:r>
              <w:rPr>
                <w:color w:val="000000"/>
                <w:sz w:val="16"/>
                <w:szCs w:val="16"/>
              </w:rPr>
              <w:t>-</w:t>
            </w:r>
          </w:p>
        </w:tc>
      </w:tr>
      <w:tr w:rsidR="008F3544" w:rsidRPr="00192507" w14:paraId="17AC51D8" w14:textId="77777777" w:rsidTr="0099088D">
        <w:trPr>
          <w:trHeight w:val="765"/>
        </w:trPr>
        <w:tc>
          <w:tcPr>
            <w:tcW w:w="672" w:type="pct"/>
            <w:shd w:val="clear" w:color="auto" w:fill="auto"/>
            <w:vAlign w:val="center"/>
            <w:hideMark/>
          </w:tcPr>
          <w:p w14:paraId="5BF3B341" w14:textId="77777777" w:rsidR="008F3544" w:rsidRPr="00192507" w:rsidRDefault="008F3544" w:rsidP="0099088D">
            <w:pPr>
              <w:jc w:val="center"/>
              <w:rPr>
                <w:color w:val="000000"/>
                <w:sz w:val="16"/>
                <w:szCs w:val="16"/>
              </w:rPr>
            </w:pPr>
            <w:r w:rsidRPr="00192507">
              <w:rPr>
                <w:color w:val="000000"/>
                <w:sz w:val="16"/>
                <w:szCs w:val="16"/>
              </w:rPr>
              <w:t>6.2.5</w:t>
            </w:r>
            <w:r>
              <w:rPr>
                <w:color w:val="000000"/>
                <w:sz w:val="16"/>
                <w:szCs w:val="16"/>
              </w:rPr>
              <w:t>.</w:t>
            </w:r>
          </w:p>
        </w:tc>
        <w:tc>
          <w:tcPr>
            <w:tcW w:w="902" w:type="pct"/>
            <w:shd w:val="clear" w:color="auto" w:fill="auto"/>
            <w:vAlign w:val="center"/>
            <w:hideMark/>
          </w:tcPr>
          <w:p w14:paraId="2F309B9B" w14:textId="77777777" w:rsidR="008F3544" w:rsidRPr="00C1160B"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6.2.5.</m:t>
                    </m:r>
                  </m:sub>
                  <m:sup>
                    <m:r>
                      <m:rPr>
                        <m:nor/>
                      </m:rPr>
                      <w:rPr>
                        <w:color w:val="000000"/>
                      </w:rPr>
                      <m:t>6(10)/0,4 кВ</m:t>
                    </m:r>
                  </m:sup>
                </m:sSubSup>
              </m:oMath>
            </m:oMathPara>
          </w:p>
        </w:tc>
        <w:tc>
          <w:tcPr>
            <w:tcW w:w="1525" w:type="pct"/>
            <w:shd w:val="clear" w:color="auto" w:fill="auto"/>
            <w:vAlign w:val="center"/>
            <w:hideMark/>
          </w:tcPr>
          <w:p w14:paraId="76CE5EB9" w14:textId="77777777" w:rsidR="008F3544" w:rsidRPr="00192507" w:rsidRDefault="008F3544" w:rsidP="0099088D">
            <w:pPr>
              <w:rPr>
                <w:color w:val="000000"/>
                <w:sz w:val="16"/>
                <w:szCs w:val="16"/>
              </w:rPr>
            </w:pPr>
            <w:r w:rsidRPr="00192507">
              <w:rPr>
                <w:color w:val="000000"/>
                <w:sz w:val="16"/>
                <w:szCs w:val="16"/>
              </w:rPr>
              <w:t>распределительные двухтрансформаторные подстанции мощностью от 400 до 1000 кВА включительно</w:t>
            </w:r>
          </w:p>
        </w:tc>
        <w:tc>
          <w:tcPr>
            <w:tcW w:w="696" w:type="pct"/>
            <w:shd w:val="clear" w:color="auto" w:fill="auto"/>
            <w:vAlign w:val="center"/>
            <w:hideMark/>
          </w:tcPr>
          <w:p w14:paraId="6614E21B" w14:textId="77777777" w:rsidR="008F3544" w:rsidRPr="00192507" w:rsidRDefault="008F3544" w:rsidP="0099088D">
            <w:pPr>
              <w:jc w:val="center"/>
              <w:rPr>
                <w:color w:val="000000"/>
                <w:sz w:val="16"/>
                <w:szCs w:val="16"/>
              </w:rPr>
            </w:pPr>
            <w:r w:rsidRPr="00192507">
              <w:rPr>
                <w:color w:val="000000"/>
                <w:sz w:val="16"/>
                <w:szCs w:val="16"/>
              </w:rPr>
              <w:t>рублей/кВт</w:t>
            </w:r>
          </w:p>
        </w:tc>
        <w:tc>
          <w:tcPr>
            <w:tcW w:w="602" w:type="pct"/>
            <w:shd w:val="clear" w:color="auto" w:fill="auto"/>
            <w:noWrap/>
            <w:vAlign w:val="center"/>
            <w:hideMark/>
          </w:tcPr>
          <w:p w14:paraId="4A330C3C" w14:textId="77777777" w:rsidR="008F3544" w:rsidRPr="00192507" w:rsidRDefault="008F3544" w:rsidP="0099088D">
            <w:pPr>
              <w:jc w:val="center"/>
              <w:rPr>
                <w:color w:val="000000"/>
                <w:sz w:val="16"/>
                <w:szCs w:val="16"/>
              </w:rPr>
            </w:pPr>
            <w:r w:rsidRPr="00192507">
              <w:rPr>
                <w:color w:val="000000"/>
                <w:sz w:val="16"/>
                <w:szCs w:val="16"/>
              </w:rPr>
              <w:t>2 243,97</w:t>
            </w:r>
          </w:p>
        </w:tc>
        <w:tc>
          <w:tcPr>
            <w:tcW w:w="603" w:type="pct"/>
            <w:shd w:val="clear" w:color="auto" w:fill="auto"/>
            <w:noWrap/>
            <w:vAlign w:val="center"/>
            <w:hideMark/>
          </w:tcPr>
          <w:p w14:paraId="23693F40" w14:textId="77777777" w:rsidR="008F3544" w:rsidRPr="00192507" w:rsidRDefault="008F3544" w:rsidP="0099088D">
            <w:pPr>
              <w:jc w:val="center"/>
              <w:rPr>
                <w:color w:val="000000"/>
                <w:sz w:val="16"/>
                <w:szCs w:val="16"/>
              </w:rPr>
            </w:pPr>
            <w:r>
              <w:rPr>
                <w:color w:val="000000"/>
                <w:sz w:val="16"/>
                <w:szCs w:val="16"/>
              </w:rPr>
              <w:t>-</w:t>
            </w:r>
          </w:p>
        </w:tc>
      </w:tr>
      <w:tr w:rsidR="008F3544" w:rsidRPr="00192507" w14:paraId="55F6527D" w14:textId="77777777" w:rsidTr="0099088D">
        <w:trPr>
          <w:trHeight w:val="431"/>
        </w:trPr>
        <w:tc>
          <w:tcPr>
            <w:tcW w:w="672" w:type="pct"/>
            <w:vMerge w:val="restart"/>
            <w:shd w:val="clear" w:color="auto" w:fill="auto"/>
            <w:vAlign w:val="center"/>
            <w:hideMark/>
          </w:tcPr>
          <w:p w14:paraId="48CC8BE8" w14:textId="77777777" w:rsidR="008F3544" w:rsidRPr="00192507" w:rsidRDefault="008F3544" w:rsidP="0099088D">
            <w:pPr>
              <w:jc w:val="center"/>
              <w:rPr>
                <w:color w:val="000000"/>
                <w:sz w:val="16"/>
                <w:szCs w:val="16"/>
              </w:rPr>
            </w:pPr>
            <w:r w:rsidRPr="00192507">
              <w:rPr>
                <w:color w:val="000000"/>
                <w:sz w:val="16"/>
                <w:szCs w:val="16"/>
              </w:rPr>
              <w:t>7.1.1.</w:t>
            </w:r>
          </w:p>
        </w:tc>
        <w:tc>
          <w:tcPr>
            <w:tcW w:w="902" w:type="pct"/>
            <w:shd w:val="clear" w:color="auto" w:fill="auto"/>
            <w:vAlign w:val="center"/>
            <w:hideMark/>
          </w:tcPr>
          <w:p w14:paraId="6A202536" w14:textId="77777777" w:rsidR="008F3544" w:rsidRPr="00C1160B"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7.1.1.</m:t>
                    </m:r>
                  </m:sub>
                  <m:sup>
                    <m:r>
                      <m:rPr>
                        <m:nor/>
                      </m:rPr>
                      <w:rPr>
                        <w:color w:val="000000"/>
                      </w:rPr>
                      <m:t>35/0,4 кВ</m:t>
                    </m:r>
                  </m:sup>
                </m:sSubSup>
              </m:oMath>
            </m:oMathPara>
          </w:p>
        </w:tc>
        <w:tc>
          <w:tcPr>
            <w:tcW w:w="1525" w:type="pct"/>
            <w:vMerge w:val="restart"/>
            <w:shd w:val="clear" w:color="auto" w:fill="auto"/>
            <w:vAlign w:val="center"/>
            <w:hideMark/>
          </w:tcPr>
          <w:p w14:paraId="6E4071F7" w14:textId="77777777" w:rsidR="008F3544" w:rsidRPr="00192507" w:rsidRDefault="008F3544" w:rsidP="0099088D">
            <w:pPr>
              <w:rPr>
                <w:color w:val="000000"/>
                <w:sz w:val="16"/>
                <w:szCs w:val="16"/>
              </w:rPr>
            </w:pPr>
            <w:r w:rsidRPr="00192507">
              <w:rPr>
                <w:color w:val="000000"/>
                <w:sz w:val="16"/>
                <w:szCs w:val="16"/>
              </w:rPr>
              <w:t>однотрансформаторные подстанции мощностью до 6,3 МВА включительно</w:t>
            </w:r>
          </w:p>
        </w:tc>
        <w:tc>
          <w:tcPr>
            <w:tcW w:w="696" w:type="pct"/>
            <w:vMerge w:val="restart"/>
            <w:shd w:val="clear" w:color="auto" w:fill="auto"/>
            <w:vAlign w:val="center"/>
            <w:hideMark/>
          </w:tcPr>
          <w:p w14:paraId="3960F968" w14:textId="77777777" w:rsidR="008F3544" w:rsidRPr="00192507" w:rsidRDefault="008F3544" w:rsidP="0099088D">
            <w:pPr>
              <w:jc w:val="center"/>
              <w:rPr>
                <w:color w:val="000000"/>
                <w:sz w:val="16"/>
                <w:szCs w:val="16"/>
              </w:rPr>
            </w:pPr>
            <w:r w:rsidRPr="00192507">
              <w:rPr>
                <w:color w:val="000000"/>
                <w:sz w:val="16"/>
                <w:szCs w:val="16"/>
              </w:rPr>
              <w:t>рублей/кВт</w:t>
            </w:r>
          </w:p>
        </w:tc>
        <w:tc>
          <w:tcPr>
            <w:tcW w:w="602" w:type="pct"/>
            <w:shd w:val="clear" w:color="auto" w:fill="auto"/>
            <w:noWrap/>
            <w:vAlign w:val="center"/>
            <w:hideMark/>
          </w:tcPr>
          <w:p w14:paraId="584CDB2E" w14:textId="77777777" w:rsidR="008F3544" w:rsidRPr="00192507" w:rsidRDefault="008F3544" w:rsidP="0099088D">
            <w:pPr>
              <w:jc w:val="center"/>
              <w:rPr>
                <w:color w:val="000000"/>
                <w:sz w:val="16"/>
                <w:szCs w:val="16"/>
              </w:rPr>
            </w:pPr>
            <w:r w:rsidRPr="00192507">
              <w:rPr>
                <w:color w:val="000000"/>
                <w:sz w:val="16"/>
                <w:szCs w:val="16"/>
              </w:rPr>
              <w:t>13 891,22</w:t>
            </w:r>
          </w:p>
        </w:tc>
        <w:tc>
          <w:tcPr>
            <w:tcW w:w="603" w:type="pct"/>
            <w:shd w:val="clear" w:color="auto" w:fill="auto"/>
            <w:noWrap/>
            <w:vAlign w:val="center"/>
            <w:hideMark/>
          </w:tcPr>
          <w:p w14:paraId="178149BB" w14:textId="77777777" w:rsidR="008F3544" w:rsidRPr="00192507" w:rsidRDefault="008F3544" w:rsidP="0099088D">
            <w:pPr>
              <w:jc w:val="center"/>
              <w:rPr>
                <w:color w:val="000000"/>
                <w:sz w:val="16"/>
                <w:szCs w:val="16"/>
              </w:rPr>
            </w:pPr>
            <w:r w:rsidRPr="00192507">
              <w:rPr>
                <w:color w:val="000000"/>
                <w:sz w:val="16"/>
                <w:szCs w:val="16"/>
              </w:rPr>
              <w:t>13 891,22</w:t>
            </w:r>
          </w:p>
        </w:tc>
      </w:tr>
      <w:tr w:rsidR="008F3544" w:rsidRPr="00192507" w14:paraId="7E4EBA68" w14:textId="77777777" w:rsidTr="0099088D">
        <w:trPr>
          <w:trHeight w:val="431"/>
        </w:trPr>
        <w:tc>
          <w:tcPr>
            <w:tcW w:w="672" w:type="pct"/>
            <w:vMerge/>
            <w:shd w:val="clear" w:color="auto" w:fill="auto"/>
            <w:vAlign w:val="center"/>
            <w:hideMark/>
          </w:tcPr>
          <w:p w14:paraId="65C77128" w14:textId="77777777" w:rsidR="008F3544" w:rsidRPr="00192507" w:rsidRDefault="008F3544" w:rsidP="0099088D">
            <w:pPr>
              <w:rPr>
                <w:color w:val="000000"/>
                <w:sz w:val="16"/>
                <w:szCs w:val="16"/>
              </w:rPr>
            </w:pPr>
          </w:p>
        </w:tc>
        <w:tc>
          <w:tcPr>
            <w:tcW w:w="902" w:type="pct"/>
            <w:shd w:val="clear" w:color="auto" w:fill="auto"/>
            <w:vAlign w:val="center"/>
            <w:hideMark/>
          </w:tcPr>
          <w:p w14:paraId="2F4CED04" w14:textId="77777777" w:rsidR="008F3544" w:rsidRPr="00C1160B"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7.1.1.</m:t>
                    </m:r>
                  </m:sub>
                  <m:sup>
                    <m:r>
                      <m:rPr>
                        <m:nor/>
                      </m:rPr>
                      <w:rPr>
                        <w:color w:val="000000"/>
                      </w:rPr>
                      <m:t>35/6(10) кВ</m:t>
                    </m:r>
                  </m:sup>
                </m:sSubSup>
              </m:oMath>
            </m:oMathPara>
          </w:p>
        </w:tc>
        <w:tc>
          <w:tcPr>
            <w:tcW w:w="1525" w:type="pct"/>
            <w:vMerge/>
            <w:shd w:val="clear" w:color="auto" w:fill="auto"/>
            <w:vAlign w:val="center"/>
            <w:hideMark/>
          </w:tcPr>
          <w:p w14:paraId="352D71FE" w14:textId="77777777" w:rsidR="008F3544" w:rsidRPr="00192507" w:rsidRDefault="008F3544" w:rsidP="0099088D">
            <w:pPr>
              <w:rPr>
                <w:color w:val="000000"/>
                <w:sz w:val="16"/>
                <w:szCs w:val="16"/>
              </w:rPr>
            </w:pPr>
          </w:p>
        </w:tc>
        <w:tc>
          <w:tcPr>
            <w:tcW w:w="696" w:type="pct"/>
            <w:vMerge/>
            <w:shd w:val="clear" w:color="auto" w:fill="auto"/>
            <w:vAlign w:val="center"/>
            <w:hideMark/>
          </w:tcPr>
          <w:p w14:paraId="2B7AF850" w14:textId="77777777" w:rsidR="008F3544" w:rsidRPr="00192507" w:rsidRDefault="008F3544" w:rsidP="0099088D">
            <w:pPr>
              <w:rPr>
                <w:color w:val="000000"/>
                <w:sz w:val="16"/>
                <w:szCs w:val="16"/>
              </w:rPr>
            </w:pPr>
          </w:p>
        </w:tc>
        <w:tc>
          <w:tcPr>
            <w:tcW w:w="602" w:type="pct"/>
            <w:shd w:val="clear" w:color="auto" w:fill="auto"/>
            <w:noWrap/>
            <w:vAlign w:val="center"/>
            <w:hideMark/>
          </w:tcPr>
          <w:p w14:paraId="2794E324" w14:textId="77777777" w:rsidR="008F3544" w:rsidRPr="00192507" w:rsidRDefault="008F3544" w:rsidP="0099088D">
            <w:pPr>
              <w:jc w:val="center"/>
              <w:rPr>
                <w:color w:val="000000"/>
                <w:sz w:val="16"/>
                <w:szCs w:val="16"/>
              </w:rPr>
            </w:pPr>
            <w:r w:rsidRPr="00192507">
              <w:rPr>
                <w:color w:val="000000"/>
                <w:sz w:val="16"/>
                <w:szCs w:val="16"/>
              </w:rPr>
              <w:t>13 852,52</w:t>
            </w:r>
          </w:p>
        </w:tc>
        <w:tc>
          <w:tcPr>
            <w:tcW w:w="603" w:type="pct"/>
            <w:shd w:val="clear" w:color="auto" w:fill="auto"/>
            <w:noWrap/>
            <w:vAlign w:val="center"/>
            <w:hideMark/>
          </w:tcPr>
          <w:p w14:paraId="15DA99E6" w14:textId="77777777" w:rsidR="008F3544" w:rsidRPr="00192507" w:rsidRDefault="008F3544" w:rsidP="0099088D">
            <w:pPr>
              <w:jc w:val="center"/>
              <w:rPr>
                <w:color w:val="000000"/>
                <w:sz w:val="16"/>
                <w:szCs w:val="16"/>
              </w:rPr>
            </w:pPr>
            <w:r>
              <w:rPr>
                <w:color w:val="000000"/>
                <w:sz w:val="16"/>
                <w:szCs w:val="16"/>
              </w:rPr>
              <w:t>-</w:t>
            </w:r>
          </w:p>
        </w:tc>
      </w:tr>
      <w:tr w:rsidR="008F3544" w:rsidRPr="00192507" w14:paraId="1DE9782F" w14:textId="77777777" w:rsidTr="0099088D">
        <w:trPr>
          <w:trHeight w:val="431"/>
        </w:trPr>
        <w:tc>
          <w:tcPr>
            <w:tcW w:w="672" w:type="pct"/>
            <w:vMerge w:val="restart"/>
            <w:shd w:val="clear" w:color="auto" w:fill="auto"/>
            <w:vAlign w:val="center"/>
            <w:hideMark/>
          </w:tcPr>
          <w:p w14:paraId="2D522E47" w14:textId="77777777" w:rsidR="008F3544" w:rsidRPr="00192507" w:rsidRDefault="008F3544" w:rsidP="0099088D">
            <w:pPr>
              <w:jc w:val="center"/>
              <w:rPr>
                <w:color w:val="000000"/>
                <w:sz w:val="16"/>
                <w:szCs w:val="16"/>
              </w:rPr>
            </w:pPr>
            <w:r w:rsidRPr="00192507">
              <w:rPr>
                <w:color w:val="000000"/>
                <w:sz w:val="16"/>
                <w:szCs w:val="16"/>
              </w:rPr>
              <w:t>7.1.2.</w:t>
            </w:r>
          </w:p>
        </w:tc>
        <w:tc>
          <w:tcPr>
            <w:tcW w:w="902" w:type="pct"/>
            <w:shd w:val="clear" w:color="auto" w:fill="auto"/>
            <w:vAlign w:val="center"/>
            <w:hideMark/>
          </w:tcPr>
          <w:p w14:paraId="44C6356E" w14:textId="77777777" w:rsidR="008F3544" w:rsidRPr="00012E31"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7.1.2.</m:t>
                    </m:r>
                  </m:sub>
                  <m:sup>
                    <m:r>
                      <m:rPr>
                        <m:nor/>
                      </m:rPr>
                      <w:rPr>
                        <w:color w:val="000000"/>
                      </w:rPr>
                      <m:t>35/6(10) кВ</m:t>
                    </m:r>
                  </m:sup>
                </m:sSubSup>
              </m:oMath>
            </m:oMathPara>
          </w:p>
        </w:tc>
        <w:tc>
          <w:tcPr>
            <w:tcW w:w="1525" w:type="pct"/>
            <w:vMerge w:val="restart"/>
            <w:shd w:val="clear" w:color="auto" w:fill="auto"/>
            <w:vAlign w:val="center"/>
            <w:hideMark/>
          </w:tcPr>
          <w:p w14:paraId="02FC9C6C" w14:textId="77777777" w:rsidR="008F3544" w:rsidRPr="00192507" w:rsidRDefault="008F3544" w:rsidP="0099088D">
            <w:pPr>
              <w:rPr>
                <w:color w:val="000000"/>
                <w:sz w:val="16"/>
                <w:szCs w:val="16"/>
              </w:rPr>
            </w:pPr>
            <w:r w:rsidRPr="00192507">
              <w:rPr>
                <w:color w:val="000000"/>
                <w:sz w:val="16"/>
                <w:szCs w:val="16"/>
              </w:rPr>
              <w:t>однотрансформаторные подстанции мощностью от 6,3 МВА до 10 МВА включительно</w:t>
            </w:r>
          </w:p>
        </w:tc>
        <w:tc>
          <w:tcPr>
            <w:tcW w:w="696" w:type="pct"/>
            <w:vMerge w:val="restart"/>
            <w:shd w:val="clear" w:color="auto" w:fill="auto"/>
            <w:vAlign w:val="center"/>
            <w:hideMark/>
          </w:tcPr>
          <w:p w14:paraId="30099E72" w14:textId="77777777" w:rsidR="008F3544" w:rsidRPr="00192507" w:rsidRDefault="008F3544" w:rsidP="0099088D">
            <w:pPr>
              <w:jc w:val="center"/>
              <w:rPr>
                <w:color w:val="000000"/>
                <w:sz w:val="16"/>
                <w:szCs w:val="16"/>
              </w:rPr>
            </w:pPr>
            <w:r w:rsidRPr="00192507">
              <w:rPr>
                <w:color w:val="000000"/>
                <w:sz w:val="16"/>
                <w:szCs w:val="16"/>
              </w:rPr>
              <w:t>рублей/кВт</w:t>
            </w:r>
          </w:p>
        </w:tc>
        <w:tc>
          <w:tcPr>
            <w:tcW w:w="602" w:type="pct"/>
            <w:shd w:val="clear" w:color="auto" w:fill="auto"/>
            <w:noWrap/>
            <w:vAlign w:val="center"/>
            <w:hideMark/>
          </w:tcPr>
          <w:p w14:paraId="7C1052A1" w14:textId="77777777" w:rsidR="008F3544" w:rsidRPr="00192507" w:rsidRDefault="008F3544" w:rsidP="0099088D">
            <w:pPr>
              <w:jc w:val="center"/>
              <w:rPr>
                <w:color w:val="000000"/>
                <w:sz w:val="16"/>
                <w:szCs w:val="16"/>
              </w:rPr>
            </w:pPr>
            <w:r w:rsidRPr="00192507">
              <w:rPr>
                <w:color w:val="000000"/>
                <w:sz w:val="16"/>
                <w:szCs w:val="16"/>
              </w:rPr>
              <w:t>9 841,39</w:t>
            </w:r>
          </w:p>
        </w:tc>
        <w:tc>
          <w:tcPr>
            <w:tcW w:w="603" w:type="pct"/>
            <w:shd w:val="clear" w:color="auto" w:fill="auto"/>
            <w:noWrap/>
            <w:vAlign w:val="center"/>
            <w:hideMark/>
          </w:tcPr>
          <w:p w14:paraId="193EEBD1" w14:textId="77777777" w:rsidR="008F3544" w:rsidRPr="00192507" w:rsidRDefault="008F3544" w:rsidP="0099088D">
            <w:pPr>
              <w:jc w:val="center"/>
              <w:rPr>
                <w:color w:val="000000"/>
                <w:sz w:val="16"/>
                <w:szCs w:val="16"/>
              </w:rPr>
            </w:pPr>
            <w:r w:rsidRPr="00192507">
              <w:rPr>
                <w:color w:val="000000"/>
                <w:sz w:val="16"/>
                <w:szCs w:val="16"/>
              </w:rPr>
              <w:t>9 841,39</w:t>
            </w:r>
          </w:p>
        </w:tc>
      </w:tr>
      <w:tr w:rsidR="008F3544" w:rsidRPr="00192507" w14:paraId="6EBB868E" w14:textId="77777777" w:rsidTr="0099088D">
        <w:trPr>
          <w:trHeight w:val="431"/>
        </w:trPr>
        <w:tc>
          <w:tcPr>
            <w:tcW w:w="672" w:type="pct"/>
            <w:vMerge/>
            <w:shd w:val="clear" w:color="auto" w:fill="auto"/>
            <w:vAlign w:val="center"/>
            <w:hideMark/>
          </w:tcPr>
          <w:p w14:paraId="20B472F3" w14:textId="77777777" w:rsidR="008F3544" w:rsidRPr="00192507" w:rsidRDefault="008F3544" w:rsidP="0099088D">
            <w:pPr>
              <w:rPr>
                <w:color w:val="000000"/>
                <w:sz w:val="16"/>
                <w:szCs w:val="16"/>
              </w:rPr>
            </w:pPr>
          </w:p>
        </w:tc>
        <w:tc>
          <w:tcPr>
            <w:tcW w:w="902" w:type="pct"/>
            <w:shd w:val="clear" w:color="auto" w:fill="auto"/>
            <w:vAlign w:val="center"/>
            <w:hideMark/>
          </w:tcPr>
          <w:p w14:paraId="45AA9FE1" w14:textId="77777777" w:rsidR="008F3544" w:rsidRPr="00012E31"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7.1.2.</m:t>
                    </m:r>
                  </m:sub>
                  <m:sup>
                    <m:r>
                      <m:rPr>
                        <m:nor/>
                      </m:rPr>
                      <w:rPr>
                        <w:color w:val="000000"/>
                      </w:rPr>
                      <m:t>110/6(10) кВ</m:t>
                    </m:r>
                  </m:sup>
                </m:sSubSup>
              </m:oMath>
            </m:oMathPara>
          </w:p>
        </w:tc>
        <w:tc>
          <w:tcPr>
            <w:tcW w:w="1525" w:type="pct"/>
            <w:vMerge/>
            <w:shd w:val="clear" w:color="auto" w:fill="auto"/>
            <w:vAlign w:val="center"/>
            <w:hideMark/>
          </w:tcPr>
          <w:p w14:paraId="3DC45F25" w14:textId="77777777" w:rsidR="008F3544" w:rsidRPr="00192507" w:rsidRDefault="008F3544" w:rsidP="0099088D">
            <w:pPr>
              <w:rPr>
                <w:color w:val="000000"/>
                <w:sz w:val="16"/>
                <w:szCs w:val="16"/>
              </w:rPr>
            </w:pPr>
          </w:p>
        </w:tc>
        <w:tc>
          <w:tcPr>
            <w:tcW w:w="696" w:type="pct"/>
            <w:vMerge/>
            <w:shd w:val="clear" w:color="auto" w:fill="auto"/>
            <w:vAlign w:val="center"/>
            <w:hideMark/>
          </w:tcPr>
          <w:p w14:paraId="3182D134" w14:textId="77777777" w:rsidR="008F3544" w:rsidRPr="00192507" w:rsidRDefault="008F3544" w:rsidP="0099088D">
            <w:pPr>
              <w:rPr>
                <w:color w:val="000000"/>
                <w:sz w:val="16"/>
                <w:szCs w:val="16"/>
              </w:rPr>
            </w:pPr>
          </w:p>
        </w:tc>
        <w:tc>
          <w:tcPr>
            <w:tcW w:w="602" w:type="pct"/>
            <w:shd w:val="clear" w:color="auto" w:fill="auto"/>
            <w:noWrap/>
            <w:vAlign w:val="center"/>
            <w:hideMark/>
          </w:tcPr>
          <w:p w14:paraId="02A08BAA" w14:textId="77777777" w:rsidR="008F3544" w:rsidRPr="00192507" w:rsidRDefault="008F3544" w:rsidP="0099088D">
            <w:pPr>
              <w:jc w:val="center"/>
              <w:rPr>
                <w:color w:val="000000"/>
                <w:sz w:val="16"/>
                <w:szCs w:val="16"/>
              </w:rPr>
            </w:pPr>
            <w:r w:rsidRPr="00192507">
              <w:rPr>
                <w:color w:val="000000"/>
                <w:sz w:val="16"/>
                <w:szCs w:val="16"/>
              </w:rPr>
              <w:t>27 975,61</w:t>
            </w:r>
          </w:p>
        </w:tc>
        <w:tc>
          <w:tcPr>
            <w:tcW w:w="603" w:type="pct"/>
            <w:shd w:val="clear" w:color="auto" w:fill="auto"/>
            <w:noWrap/>
            <w:vAlign w:val="center"/>
            <w:hideMark/>
          </w:tcPr>
          <w:p w14:paraId="641AAF14" w14:textId="77777777" w:rsidR="008F3544" w:rsidRPr="00192507" w:rsidRDefault="008F3544" w:rsidP="0099088D">
            <w:pPr>
              <w:jc w:val="center"/>
              <w:rPr>
                <w:color w:val="000000"/>
                <w:sz w:val="16"/>
                <w:szCs w:val="16"/>
              </w:rPr>
            </w:pPr>
            <w:r>
              <w:rPr>
                <w:color w:val="000000"/>
                <w:sz w:val="16"/>
                <w:szCs w:val="16"/>
              </w:rPr>
              <w:t>-</w:t>
            </w:r>
          </w:p>
        </w:tc>
      </w:tr>
      <w:tr w:rsidR="008F3544" w:rsidRPr="00192507" w14:paraId="5178C7B5" w14:textId="77777777" w:rsidTr="0099088D">
        <w:trPr>
          <w:trHeight w:val="675"/>
        </w:trPr>
        <w:tc>
          <w:tcPr>
            <w:tcW w:w="672" w:type="pct"/>
            <w:shd w:val="clear" w:color="auto" w:fill="auto"/>
            <w:vAlign w:val="center"/>
            <w:hideMark/>
          </w:tcPr>
          <w:p w14:paraId="2B25E2D5" w14:textId="77777777" w:rsidR="008F3544" w:rsidRPr="00192507" w:rsidRDefault="008F3544" w:rsidP="0099088D">
            <w:pPr>
              <w:jc w:val="center"/>
              <w:rPr>
                <w:color w:val="000000"/>
                <w:sz w:val="16"/>
                <w:szCs w:val="16"/>
              </w:rPr>
            </w:pPr>
            <w:r w:rsidRPr="00192507">
              <w:rPr>
                <w:color w:val="000000"/>
                <w:sz w:val="16"/>
                <w:szCs w:val="16"/>
              </w:rPr>
              <w:t>7.1.3.</w:t>
            </w:r>
          </w:p>
        </w:tc>
        <w:tc>
          <w:tcPr>
            <w:tcW w:w="902" w:type="pct"/>
            <w:shd w:val="clear" w:color="auto" w:fill="auto"/>
            <w:vAlign w:val="center"/>
            <w:hideMark/>
          </w:tcPr>
          <w:p w14:paraId="677BD8EC" w14:textId="77777777" w:rsidR="008F3544" w:rsidRPr="00012E31"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7.1.3.</m:t>
                    </m:r>
                  </m:sub>
                  <m:sup>
                    <m:r>
                      <m:rPr>
                        <m:nor/>
                      </m:rPr>
                      <w:rPr>
                        <w:color w:val="000000"/>
                      </w:rPr>
                      <m:t>110/6(10) кВ</m:t>
                    </m:r>
                  </m:sup>
                </m:sSubSup>
              </m:oMath>
            </m:oMathPara>
          </w:p>
        </w:tc>
        <w:tc>
          <w:tcPr>
            <w:tcW w:w="1525" w:type="pct"/>
            <w:shd w:val="clear" w:color="auto" w:fill="auto"/>
            <w:vAlign w:val="center"/>
            <w:hideMark/>
          </w:tcPr>
          <w:p w14:paraId="153DC3E2" w14:textId="77777777" w:rsidR="008F3544" w:rsidRPr="00192507" w:rsidRDefault="008F3544" w:rsidP="0099088D">
            <w:pPr>
              <w:rPr>
                <w:color w:val="000000"/>
                <w:sz w:val="16"/>
                <w:szCs w:val="16"/>
              </w:rPr>
            </w:pPr>
            <w:r w:rsidRPr="00192507">
              <w:rPr>
                <w:color w:val="000000"/>
                <w:sz w:val="16"/>
                <w:szCs w:val="16"/>
              </w:rPr>
              <w:t>однотрансформаторные подстанции мощностью от 10 МВА до 16 МВА включительно</w:t>
            </w:r>
          </w:p>
        </w:tc>
        <w:tc>
          <w:tcPr>
            <w:tcW w:w="696" w:type="pct"/>
            <w:shd w:val="clear" w:color="auto" w:fill="auto"/>
            <w:vAlign w:val="center"/>
            <w:hideMark/>
          </w:tcPr>
          <w:p w14:paraId="7D906906" w14:textId="77777777" w:rsidR="008F3544" w:rsidRPr="00192507" w:rsidRDefault="008F3544" w:rsidP="0099088D">
            <w:pPr>
              <w:jc w:val="center"/>
              <w:rPr>
                <w:color w:val="000000"/>
                <w:sz w:val="16"/>
                <w:szCs w:val="16"/>
              </w:rPr>
            </w:pPr>
            <w:r w:rsidRPr="00192507">
              <w:rPr>
                <w:color w:val="000000"/>
                <w:sz w:val="16"/>
                <w:szCs w:val="16"/>
              </w:rPr>
              <w:t>рублей/кВт</w:t>
            </w:r>
          </w:p>
        </w:tc>
        <w:tc>
          <w:tcPr>
            <w:tcW w:w="602" w:type="pct"/>
            <w:shd w:val="clear" w:color="auto" w:fill="auto"/>
            <w:noWrap/>
            <w:vAlign w:val="center"/>
            <w:hideMark/>
          </w:tcPr>
          <w:p w14:paraId="281A06AA" w14:textId="77777777" w:rsidR="008F3544" w:rsidRPr="00192507" w:rsidRDefault="008F3544" w:rsidP="0099088D">
            <w:pPr>
              <w:jc w:val="center"/>
              <w:rPr>
                <w:color w:val="000000"/>
                <w:sz w:val="16"/>
                <w:szCs w:val="16"/>
              </w:rPr>
            </w:pPr>
            <w:r w:rsidRPr="00192507">
              <w:rPr>
                <w:color w:val="000000"/>
                <w:sz w:val="16"/>
                <w:szCs w:val="16"/>
              </w:rPr>
              <w:t>18 617,53</w:t>
            </w:r>
          </w:p>
        </w:tc>
        <w:tc>
          <w:tcPr>
            <w:tcW w:w="603" w:type="pct"/>
            <w:shd w:val="clear" w:color="auto" w:fill="auto"/>
            <w:noWrap/>
            <w:vAlign w:val="center"/>
            <w:hideMark/>
          </w:tcPr>
          <w:p w14:paraId="097E686D" w14:textId="77777777" w:rsidR="008F3544" w:rsidRPr="00192507" w:rsidRDefault="008F3544" w:rsidP="0099088D">
            <w:pPr>
              <w:jc w:val="center"/>
              <w:rPr>
                <w:color w:val="000000"/>
                <w:sz w:val="16"/>
                <w:szCs w:val="16"/>
              </w:rPr>
            </w:pPr>
            <w:r>
              <w:rPr>
                <w:color w:val="000000"/>
                <w:sz w:val="16"/>
                <w:szCs w:val="16"/>
              </w:rPr>
              <w:t>-</w:t>
            </w:r>
          </w:p>
        </w:tc>
      </w:tr>
      <w:tr w:rsidR="008F3544" w:rsidRPr="00192507" w14:paraId="1BC6753B" w14:textId="77777777" w:rsidTr="0099088D">
        <w:trPr>
          <w:trHeight w:val="675"/>
        </w:trPr>
        <w:tc>
          <w:tcPr>
            <w:tcW w:w="672" w:type="pct"/>
            <w:shd w:val="clear" w:color="auto" w:fill="auto"/>
            <w:vAlign w:val="center"/>
            <w:hideMark/>
          </w:tcPr>
          <w:p w14:paraId="219247BE" w14:textId="77777777" w:rsidR="008F3544" w:rsidRPr="00192507" w:rsidRDefault="008F3544" w:rsidP="0099088D">
            <w:pPr>
              <w:jc w:val="center"/>
              <w:rPr>
                <w:color w:val="000000"/>
                <w:sz w:val="16"/>
                <w:szCs w:val="16"/>
              </w:rPr>
            </w:pPr>
            <w:r w:rsidRPr="00192507">
              <w:rPr>
                <w:color w:val="000000"/>
                <w:sz w:val="16"/>
                <w:szCs w:val="16"/>
              </w:rPr>
              <w:t>7.1.4.</w:t>
            </w:r>
          </w:p>
        </w:tc>
        <w:tc>
          <w:tcPr>
            <w:tcW w:w="902" w:type="pct"/>
            <w:shd w:val="clear" w:color="auto" w:fill="auto"/>
            <w:vAlign w:val="center"/>
            <w:hideMark/>
          </w:tcPr>
          <w:p w14:paraId="03D70777" w14:textId="77777777" w:rsidR="008F3544" w:rsidRPr="008B59CD"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7.1.4.</m:t>
                    </m:r>
                  </m:sub>
                  <m:sup>
                    <m:r>
                      <m:rPr>
                        <m:nor/>
                      </m:rPr>
                      <w:rPr>
                        <w:color w:val="000000"/>
                      </w:rPr>
                      <m:t>110/6(10) кВ</m:t>
                    </m:r>
                  </m:sup>
                </m:sSubSup>
              </m:oMath>
            </m:oMathPara>
          </w:p>
        </w:tc>
        <w:tc>
          <w:tcPr>
            <w:tcW w:w="1525" w:type="pct"/>
            <w:shd w:val="clear" w:color="auto" w:fill="auto"/>
            <w:vAlign w:val="center"/>
            <w:hideMark/>
          </w:tcPr>
          <w:p w14:paraId="6B45FFA0" w14:textId="77777777" w:rsidR="008F3544" w:rsidRPr="00192507" w:rsidRDefault="008F3544" w:rsidP="0099088D">
            <w:pPr>
              <w:rPr>
                <w:color w:val="000000"/>
                <w:sz w:val="16"/>
                <w:szCs w:val="16"/>
              </w:rPr>
            </w:pPr>
            <w:r w:rsidRPr="00192507">
              <w:rPr>
                <w:color w:val="000000"/>
                <w:sz w:val="16"/>
                <w:szCs w:val="16"/>
              </w:rPr>
              <w:t>однотрансформаторные подстанции мощностью от 16 МВА до 25 МВА включительно</w:t>
            </w:r>
          </w:p>
        </w:tc>
        <w:tc>
          <w:tcPr>
            <w:tcW w:w="696" w:type="pct"/>
            <w:shd w:val="clear" w:color="auto" w:fill="auto"/>
            <w:vAlign w:val="center"/>
            <w:hideMark/>
          </w:tcPr>
          <w:p w14:paraId="776C7B15" w14:textId="77777777" w:rsidR="008F3544" w:rsidRPr="00192507" w:rsidRDefault="008F3544" w:rsidP="0099088D">
            <w:pPr>
              <w:jc w:val="center"/>
              <w:rPr>
                <w:color w:val="000000"/>
                <w:sz w:val="16"/>
                <w:szCs w:val="16"/>
              </w:rPr>
            </w:pPr>
            <w:r w:rsidRPr="00192507">
              <w:rPr>
                <w:color w:val="000000"/>
                <w:sz w:val="16"/>
                <w:szCs w:val="16"/>
              </w:rPr>
              <w:t>рублей/кВт</w:t>
            </w:r>
          </w:p>
        </w:tc>
        <w:tc>
          <w:tcPr>
            <w:tcW w:w="602" w:type="pct"/>
            <w:shd w:val="clear" w:color="auto" w:fill="auto"/>
            <w:noWrap/>
            <w:vAlign w:val="center"/>
            <w:hideMark/>
          </w:tcPr>
          <w:p w14:paraId="17BACC71" w14:textId="77777777" w:rsidR="008F3544" w:rsidRPr="00192507" w:rsidRDefault="008F3544" w:rsidP="0099088D">
            <w:pPr>
              <w:jc w:val="center"/>
              <w:rPr>
                <w:color w:val="000000"/>
                <w:sz w:val="16"/>
                <w:szCs w:val="16"/>
              </w:rPr>
            </w:pPr>
            <w:r w:rsidRPr="00192507">
              <w:rPr>
                <w:color w:val="000000"/>
                <w:sz w:val="16"/>
                <w:szCs w:val="16"/>
              </w:rPr>
              <w:t>12 082,90</w:t>
            </w:r>
          </w:p>
        </w:tc>
        <w:tc>
          <w:tcPr>
            <w:tcW w:w="603" w:type="pct"/>
            <w:shd w:val="clear" w:color="auto" w:fill="auto"/>
            <w:noWrap/>
            <w:vAlign w:val="center"/>
            <w:hideMark/>
          </w:tcPr>
          <w:p w14:paraId="7441CF9B" w14:textId="77777777" w:rsidR="008F3544" w:rsidRPr="00192507" w:rsidRDefault="008F3544" w:rsidP="0099088D">
            <w:pPr>
              <w:jc w:val="center"/>
              <w:rPr>
                <w:color w:val="000000"/>
                <w:sz w:val="16"/>
                <w:szCs w:val="16"/>
              </w:rPr>
            </w:pPr>
            <w:r>
              <w:rPr>
                <w:color w:val="000000"/>
                <w:sz w:val="16"/>
                <w:szCs w:val="16"/>
              </w:rPr>
              <w:t>-</w:t>
            </w:r>
          </w:p>
        </w:tc>
      </w:tr>
      <w:tr w:rsidR="008F3544" w:rsidRPr="00192507" w14:paraId="42FAA98A" w14:textId="77777777" w:rsidTr="0099088D">
        <w:trPr>
          <w:trHeight w:val="473"/>
        </w:trPr>
        <w:tc>
          <w:tcPr>
            <w:tcW w:w="672" w:type="pct"/>
            <w:vMerge w:val="restart"/>
            <w:shd w:val="clear" w:color="auto" w:fill="auto"/>
            <w:vAlign w:val="center"/>
            <w:hideMark/>
          </w:tcPr>
          <w:p w14:paraId="278C1F18" w14:textId="77777777" w:rsidR="008F3544" w:rsidRPr="00192507" w:rsidRDefault="008F3544" w:rsidP="0099088D">
            <w:pPr>
              <w:jc w:val="center"/>
              <w:rPr>
                <w:color w:val="000000"/>
                <w:sz w:val="16"/>
                <w:szCs w:val="16"/>
              </w:rPr>
            </w:pPr>
            <w:r w:rsidRPr="00192507">
              <w:rPr>
                <w:color w:val="000000"/>
                <w:sz w:val="16"/>
                <w:szCs w:val="16"/>
              </w:rPr>
              <w:t>7.2.1.</w:t>
            </w:r>
          </w:p>
        </w:tc>
        <w:tc>
          <w:tcPr>
            <w:tcW w:w="902" w:type="pct"/>
            <w:shd w:val="clear" w:color="auto" w:fill="auto"/>
            <w:vAlign w:val="center"/>
            <w:hideMark/>
          </w:tcPr>
          <w:p w14:paraId="45919A35" w14:textId="77777777" w:rsidR="008F3544" w:rsidRPr="008B59CD"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7.2.1.</m:t>
                    </m:r>
                  </m:sub>
                  <m:sup>
                    <m:r>
                      <m:rPr>
                        <m:nor/>
                      </m:rPr>
                      <w:rPr>
                        <w:color w:val="000000"/>
                      </w:rPr>
                      <m:t>35/0,4 кВ</m:t>
                    </m:r>
                  </m:sup>
                </m:sSubSup>
              </m:oMath>
            </m:oMathPara>
          </w:p>
        </w:tc>
        <w:tc>
          <w:tcPr>
            <w:tcW w:w="1525" w:type="pct"/>
            <w:vMerge w:val="restart"/>
            <w:shd w:val="clear" w:color="auto" w:fill="auto"/>
            <w:vAlign w:val="center"/>
            <w:hideMark/>
          </w:tcPr>
          <w:p w14:paraId="7DD5CFD2" w14:textId="77777777" w:rsidR="008F3544" w:rsidRPr="00192507" w:rsidRDefault="008F3544" w:rsidP="0099088D">
            <w:pPr>
              <w:rPr>
                <w:color w:val="000000"/>
                <w:sz w:val="16"/>
                <w:szCs w:val="16"/>
              </w:rPr>
            </w:pPr>
            <w:r w:rsidRPr="00192507">
              <w:rPr>
                <w:color w:val="000000"/>
                <w:sz w:val="16"/>
                <w:szCs w:val="16"/>
              </w:rPr>
              <w:t>двухтрансформаторные подстанции мощностью до 6,3 МВА включительно</w:t>
            </w:r>
          </w:p>
        </w:tc>
        <w:tc>
          <w:tcPr>
            <w:tcW w:w="696" w:type="pct"/>
            <w:vMerge w:val="restart"/>
            <w:shd w:val="clear" w:color="auto" w:fill="auto"/>
            <w:vAlign w:val="center"/>
            <w:hideMark/>
          </w:tcPr>
          <w:p w14:paraId="0E92B310" w14:textId="77777777" w:rsidR="008F3544" w:rsidRPr="00192507" w:rsidRDefault="008F3544" w:rsidP="0099088D">
            <w:pPr>
              <w:jc w:val="center"/>
              <w:rPr>
                <w:color w:val="000000"/>
                <w:sz w:val="16"/>
                <w:szCs w:val="16"/>
              </w:rPr>
            </w:pPr>
            <w:r w:rsidRPr="00192507">
              <w:rPr>
                <w:color w:val="000000"/>
                <w:sz w:val="16"/>
                <w:szCs w:val="16"/>
              </w:rPr>
              <w:t>рублей/кВт</w:t>
            </w:r>
          </w:p>
        </w:tc>
        <w:tc>
          <w:tcPr>
            <w:tcW w:w="602" w:type="pct"/>
            <w:shd w:val="clear" w:color="auto" w:fill="auto"/>
            <w:noWrap/>
            <w:vAlign w:val="center"/>
            <w:hideMark/>
          </w:tcPr>
          <w:p w14:paraId="2CEC2563" w14:textId="77777777" w:rsidR="008F3544" w:rsidRPr="00192507" w:rsidRDefault="008F3544" w:rsidP="0099088D">
            <w:pPr>
              <w:jc w:val="center"/>
              <w:rPr>
                <w:color w:val="000000"/>
                <w:sz w:val="16"/>
                <w:szCs w:val="16"/>
              </w:rPr>
            </w:pPr>
            <w:r w:rsidRPr="003569D8">
              <w:rPr>
                <w:color w:val="000000"/>
                <w:sz w:val="16"/>
                <w:szCs w:val="16"/>
              </w:rPr>
              <w:t>11 698,56</w:t>
            </w:r>
          </w:p>
        </w:tc>
        <w:tc>
          <w:tcPr>
            <w:tcW w:w="603" w:type="pct"/>
            <w:shd w:val="clear" w:color="auto" w:fill="auto"/>
            <w:noWrap/>
            <w:vAlign w:val="center"/>
            <w:hideMark/>
          </w:tcPr>
          <w:p w14:paraId="7A62FFC2" w14:textId="77777777" w:rsidR="008F3544" w:rsidRPr="00192507" w:rsidRDefault="008F3544" w:rsidP="0099088D">
            <w:pPr>
              <w:jc w:val="center"/>
              <w:rPr>
                <w:color w:val="000000"/>
                <w:sz w:val="16"/>
                <w:szCs w:val="16"/>
              </w:rPr>
            </w:pPr>
            <w:r>
              <w:rPr>
                <w:color w:val="000000"/>
                <w:sz w:val="16"/>
                <w:szCs w:val="16"/>
              </w:rPr>
              <w:t>-</w:t>
            </w:r>
          </w:p>
        </w:tc>
      </w:tr>
      <w:tr w:rsidR="008F3544" w:rsidRPr="00192507" w14:paraId="66BB194A" w14:textId="77777777" w:rsidTr="0099088D">
        <w:trPr>
          <w:trHeight w:val="409"/>
        </w:trPr>
        <w:tc>
          <w:tcPr>
            <w:tcW w:w="672" w:type="pct"/>
            <w:vMerge/>
            <w:shd w:val="clear" w:color="auto" w:fill="auto"/>
            <w:vAlign w:val="center"/>
            <w:hideMark/>
          </w:tcPr>
          <w:p w14:paraId="2546FAE9" w14:textId="77777777" w:rsidR="008F3544" w:rsidRPr="00192507" w:rsidRDefault="008F3544" w:rsidP="0099088D">
            <w:pPr>
              <w:rPr>
                <w:color w:val="000000"/>
                <w:sz w:val="16"/>
                <w:szCs w:val="16"/>
              </w:rPr>
            </w:pPr>
          </w:p>
        </w:tc>
        <w:tc>
          <w:tcPr>
            <w:tcW w:w="902" w:type="pct"/>
            <w:shd w:val="clear" w:color="auto" w:fill="auto"/>
            <w:vAlign w:val="center"/>
            <w:hideMark/>
          </w:tcPr>
          <w:p w14:paraId="2F148613" w14:textId="77777777" w:rsidR="008F3544" w:rsidRPr="008B59CD"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7.2.1.</m:t>
                    </m:r>
                  </m:sub>
                  <m:sup>
                    <m:r>
                      <m:rPr>
                        <m:nor/>
                      </m:rPr>
                      <w:rPr>
                        <w:color w:val="000000"/>
                      </w:rPr>
                      <m:t>35/6(10) кВ</m:t>
                    </m:r>
                  </m:sup>
                </m:sSubSup>
              </m:oMath>
            </m:oMathPara>
          </w:p>
        </w:tc>
        <w:tc>
          <w:tcPr>
            <w:tcW w:w="1525" w:type="pct"/>
            <w:vMerge/>
            <w:shd w:val="clear" w:color="auto" w:fill="auto"/>
            <w:vAlign w:val="center"/>
            <w:hideMark/>
          </w:tcPr>
          <w:p w14:paraId="4168610B" w14:textId="77777777" w:rsidR="008F3544" w:rsidRPr="00192507" w:rsidRDefault="008F3544" w:rsidP="0099088D">
            <w:pPr>
              <w:rPr>
                <w:color w:val="000000"/>
                <w:sz w:val="16"/>
                <w:szCs w:val="16"/>
              </w:rPr>
            </w:pPr>
          </w:p>
        </w:tc>
        <w:tc>
          <w:tcPr>
            <w:tcW w:w="696" w:type="pct"/>
            <w:vMerge/>
            <w:shd w:val="clear" w:color="auto" w:fill="auto"/>
            <w:vAlign w:val="center"/>
            <w:hideMark/>
          </w:tcPr>
          <w:p w14:paraId="5C5FAA2D" w14:textId="77777777" w:rsidR="008F3544" w:rsidRPr="00192507" w:rsidRDefault="008F3544" w:rsidP="0099088D">
            <w:pPr>
              <w:rPr>
                <w:color w:val="000000"/>
                <w:sz w:val="16"/>
                <w:szCs w:val="16"/>
              </w:rPr>
            </w:pPr>
          </w:p>
        </w:tc>
        <w:tc>
          <w:tcPr>
            <w:tcW w:w="602" w:type="pct"/>
            <w:shd w:val="clear" w:color="auto" w:fill="auto"/>
            <w:noWrap/>
            <w:vAlign w:val="center"/>
            <w:hideMark/>
          </w:tcPr>
          <w:p w14:paraId="5D106F9D" w14:textId="77777777" w:rsidR="008F3544" w:rsidRPr="00192507" w:rsidRDefault="008F3544" w:rsidP="0099088D">
            <w:pPr>
              <w:jc w:val="center"/>
              <w:rPr>
                <w:color w:val="000000"/>
                <w:sz w:val="16"/>
                <w:szCs w:val="16"/>
              </w:rPr>
            </w:pPr>
            <w:r w:rsidRPr="00192507">
              <w:rPr>
                <w:color w:val="000000"/>
                <w:sz w:val="16"/>
                <w:szCs w:val="16"/>
              </w:rPr>
              <w:t>9 669,69</w:t>
            </w:r>
          </w:p>
        </w:tc>
        <w:tc>
          <w:tcPr>
            <w:tcW w:w="603" w:type="pct"/>
            <w:shd w:val="clear" w:color="auto" w:fill="auto"/>
            <w:noWrap/>
            <w:vAlign w:val="center"/>
            <w:hideMark/>
          </w:tcPr>
          <w:p w14:paraId="5A96D01F" w14:textId="77777777" w:rsidR="008F3544" w:rsidRPr="00192507" w:rsidRDefault="008F3544" w:rsidP="0099088D">
            <w:pPr>
              <w:jc w:val="center"/>
              <w:rPr>
                <w:color w:val="000000"/>
                <w:sz w:val="16"/>
                <w:szCs w:val="16"/>
              </w:rPr>
            </w:pPr>
            <w:r>
              <w:rPr>
                <w:color w:val="000000"/>
                <w:sz w:val="16"/>
                <w:szCs w:val="16"/>
              </w:rPr>
              <w:t>-</w:t>
            </w:r>
          </w:p>
        </w:tc>
      </w:tr>
      <w:tr w:rsidR="008F3544" w:rsidRPr="00192507" w14:paraId="18454E15" w14:textId="77777777" w:rsidTr="0099088D">
        <w:trPr>
          <w:trHeight w:val="415"/>
        </w:trPr>
        <w:tc>
          <w:tcPr>
            <w:tcW w:w="672" w:type="pct"/>
            <w:vMerge/>
            <w:shd w:val="clear" w:color="auto" w:fill="auto"/>
            <w:vAlign w:val="center"/>
            <w:hideMark/>
          </w:tcPr>
          <w:p w14:paraId="32C61888" w14:textId="77777777" w:rsidR="008F3544" w:rsidRPr="00192507" w:rsidRDefault="008F3544" w:rsidP="0099088D">
            <w:pPr>
              <w:rPr>
                <w:color w:val="000000"/>
                <w:sz w:val="16"/>
                <w:szCs w:val="16"/>
              </w:rPr>
            </w:pPr>
          </w:p>
        </w:tc>
        <w:tc>
          <w:tcPr>
            <w:tcW w:w="902" w:type="pct"/>
            <w:shd w:val="clear" w:color="auto" w:fill="auto"/>
            <w:vAlign w:val="center"/>
            <w:hideMark/>
          </w:tcPr>
          <w:p w14:paraId="74A7DB6A" w14:textId="77777777" w:rsidR="008F3544" w:rsidRPr="008B59CD"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7.2.1.</m:t>
                    </m:r>
                  </m:sub>
                  <m:sup>
                    <m:r>
                      <m:rPr>
                        <m:nor/>
                      </m:rPr>
                      <w:rPr>
                        <w:color w:val="000000"/>
                      </w:rPr>
                      <m:t>110/6(10) кВ</m:t>
                    </m:r>
                  </m:sup>
                </m:sSubSup>
              </m:oMath>
            </m:oMathPara>
          </w:p>
        </w:tc>
        <w:tc>
          <w:tcPr>
            <w:tcW w:w="1525" w:type="pct"/>
            <w:vMerge/>
            <w:shd w:val="clear" w:color="auto" w:fill="auto"/>
            <w:vAlign w:val="center"/>
            <w:hideMark/>
          </w:tcPr>
          <w:p w14:paraId="669972AF" w14:textId="77777777" w:rsidR="008F3544" w:rsidRPr="00192507" w:rsidRDefault="008F3544" w:rsidP="0099088D">
            <w:pPr>
              <w:rPr>
                <w:color w:val="000000"/>
                <w:sz w:val="16"/>
                <w:szCs w:val="16"/>
              </w:rPr>
            </w:pPr>
          </w:p>
        </w:tc>
        <w:tc>
          <w:tcPr>
            <w:tcW w:w="696" w:type="pct"/>
            <w:vMerge/>
            <w:shd w:val="clear" w:color="auto" w:fill="auto"/>
            <w:vAlign w:val="center"/>
            <w:hideMark/>
          </w:tcPr>
          <w:p w14:paraId="27D1831C" w14:textId="77777777" w:rsidR="008F3544" w:rsidRPr="00192507" w:rsidRDefault="008F3544" w:rsidP="0099088D">
            <w:pPr>
              <w:rPr>
                <w:color w:val="000000"/>
                <w:sz w:val="16"/>
                <w:szCs w:val="16"/>
              </w:rPr>
            </w:pPr>
          </w:p>
        </w:tc>
        <w:tc>
          <w:tcPr>
            <w:tcW w:w="602" w:type="pct"/>
            <w:shd w:val="clear" w:color="auto" w:fill="auto"/>
            <w:noWrap/>
            <w:vAlign w:val="center"/>
            <w:hideMark/>
          </w:tcPr>
          <w:p w14:paraId="2B9F935A" w14:textId="77777777" w:rsidR="008F3544" w:rsidRPr="00192507" w:rsidRDefault="008F3544" w:rsidP="0099088D">
            <w:pPr>
              <w:jc w:val="center"/>
              <w:rPr>
                <w:color w:val="000000"/>
                <w:sz w:val="16"/>
                <w:szCs w:val="16"/>
              </w:rPr>
            </w:pPr>
            <w:r w:rsidRPr="00192507">
              <w:rPr>
                <w:color w:val="000000"/>
                <w:sz w:val="16"/>
                <w:szCs w:val="16"/>
              </w:rPr>
              <w:t>30 131,00</w:t>
            </w:r>
          </w:p>
        </w:tc>
        <w:tc>
          <w:tcPr>
            <w:tcW w:w="603" w:type="pct"/>
            <w:shd w:val="clear" w:color="auto" w:fill="auto"/>
            <w:noWrap/>
            <w:vAlign w:val="center"/>
            <w:hideMark/>
          </w:tcPr>
          <w:p w14:paraId="23E4B6CB" w14:textId="77777777" w:rsidR="008F3544" w:rsidRPr="00192507" w:rsidRDefault="008F3544" w:rsidP="0099088D">
            <w:pPr>
              <w:jc w:val="center"/>
              <w:rPr>
                <w:color w:val="000000"/>
                <w:sz w:val="16"/>
                <w:szCs w:val="16"/>
              </w:rPr>
            </w:pPr>
            <w:r w:rsidRPr="00192507">
              <w:rPr>
                <w:color w:val="000000"/>
                <w:sz w:val="16"/>
                <w:szCs w:val="16"/>
              </w:rPr>
              <w:t>30 131,00</w:t>
            </w:r>
          </w:p>
        </w:tc>
      </w:tr>
      <w:tr w:rsidR="008F3544" w:rsidRPr="00192507" w14:paraId="6BC9C5C7" w14:textId="77777777" w:rsidTr="0099088D">
        <w:trPr>
          <w:trHeight w:val="408"/>
        </w:trPr>
        <w:tc>
          <w:tcPr>
            <w:tcW w:w="672" w:type="pct"/>
            <w:vMerge w:val="restart"/>
            <w:shd w:val="clear" w:color="auto" w:fill="auto"/>
            <w:vAlign w:val="center"/>
            <w:hideMark/>
          </w:tcPr>
          <w:p w14:paraId="35D14848" w14:textId="77777777" w:rsidR="008F3544" w:rsidRPr="00192507" w:rsidRDefault="008F3544" w:rsidP="0099088D">
            <w:pPr>
              <w:jc w:val="center"/>
              <w:rPr>
                <w:color w:val="000000"/>
                <w:sz w:val="16"/>
                <w:szCs w:val="16"/>
              </w:rPr>
            </w:pPr>
            <w:r w:rsidRPr="00192507">
              <w:rPr>
                <w:color w:val="000000"/>
                <w:sz w:val="16"/>
                <w:szCs w:val="16"/>
              </w:rPr>
              <w:t>7.2.2.</w:t>
            </w:r>
          </w:p>
        </w:tc>
        <w:tc>
          <w:tcPr>
            <w:tcW w:w="902" w:type="pct"/>
            <w:shd w:val="clear" w:color="auto" w:fill="auto"/>
            <w:vAlign w:val="center"/>
            <w:hideMark/>
          </w:tcPr>
          <w:p w14:paraId="38CEC507" w14:textId="77777777" w:rsidR="008F3544" w:rsidRPr="008B59CD"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7.2.2.</m:t>
                    </m:r>
                  </m:sub>
                  <m:sup>
                    <m:r>
                      <m:rPr>
                        <m:nor/>
                      </m:rPr>
                      <w:rPr>
                        <w:color w:val="000000"/>
                      </w:rPr>
                      <m:t>35/6(10) кВ</m:t>
                    </m:r>
                  </m:sup>
                </m:sSubSup>
              </m:oMath>
            </m:oMathPara>
          </w:p>
        </w:tc>
        <w:tc>
          <w:tcPr>
            <w:tcW w:w="1525" w:type="pct"/>
            <w:vMerge w:val="restart"/>
            <w:shd w:val="clear" w:color="auto" w:fill="auto"/>
            <w:vAlign w:val="center"/>
            <w:hideMark/>
          </w:tcPr>
          <w:p w14:paraId="6F697355" w14:textId="77777777" w:rsidR="008F3544" w:rsidRPr="00192507" w:rsidRDefault="008F3544" w:rsidP="0099088D">
            <w:pPr>
              <w:rPr>
                <w:color w:val="000000"/>
                <w:sz w:val="16"/>
                <w:szCs w:val="16"/>
              </w:rPr>
            </w:pPr>
            <w:r w:rsidRPr="00192507">
              <w:rPr>
                <w:color w:val="000000"/>
                <w:sz w:val="16"/>
                <w:szCs w:val="16"/>
              </w:rPr>
              <w:t>двухтрансформаторные подстанции мощностью от 6,3 МВА до 10 МВА включительно</w:t>
            </w:r>
          </w:p>
        </w:tc>
        <w:tc>
          <w:tcPr>
            <w:tcW w:w="696" w:type="pct"/>
            <w:vMerge w:val="restart"/>
            <w:shd w:val="clear" w:color="auto" w:fill="auto"/>
            <w:vAlign w:val="center"/>
            <w:hideMark/>
          </w:tcPr>
          <w:p w14:paraId="3B7A8342" w14:textId="77777777" w:rsidR="008F3544" w:rsidRPr="00192507" w:rsidRDefault="008F3544" w:rsidP="0099088D">
            <w:pPr>
              <w:jc w:val="center"/>
              <w:rPr>
                <w:color w:val="000000"/>
                <w:sz w:val="16"/>
                <w:szCs w:val="16"/>
              </w:rPr>
            </w:pPr>
            <w:r w:rsidRPr="00192507">
              <w:rPr>
                <w:color w:val="000000"/>
                <w:sz w:val="16"/>
                <w:szCs w:val="16"/>
              </w:rPr>
              <w:t>рублей/кВт</w:t>
            </w:r>
          </w:p>
        </w:tc>
        <w:tc>
          <w:tcPr>
            <w:tcW w:w="602" w:type="pct"/>
            <w:shd w:val="clear" w:color="auto" w:fill="auto"/>
            <w:noWrap/>
            <w:vAlign w:val="center"/>
            <w:hideMark/>
          </w:tcPr>
          <w:p w14:paraId="660A4CB9" w14:textId="77777777" w:rsidR="008F3544" w:rsidRPr="00192507" w:rsidRDefault="008F3544" w:rsidP="0099088D">
            <w:pPr>
              <w:jc w:val="center"/>
              <w:rPr>
                <w:color w:val="000000"/>
                <w:sz w:val="16"/>
                <w:szCs w:val="16"/>
              </w:rPr>
            </w:pPr>
            <w:r w:rsidRPr="00192507">
              <w:rPr>
                <w:color w:val="000000"/>
                <w:sz w:val="16"/>
                <w:szCs w:val="16"/>
              </w:rPr>
              <w:t>7 221,68</w:t>
            </w:r>
          </w:p>
        </w:tc>
        <w:tc>
          <w:tcPr>
            <w:tcW w:w="603" w:type="pct"/>
            <w:shd w:val="clear" w:color="auto" w:fill="auto"/>
            <w:noWrap/>
            <w:vAlign w:val="center"/>
            <w:hideMark/>
          </w:tcPr>
          <w:p w14:paraId="342E3591" w14:textId="77777777" w:rsidR="008F3544" w:rsidRPr="00192507" w:rsidRDefault="008F3544" w:rsidP="0099088D">
            <w:pPr>
              <w:jc w:val="center"/>
              <w:rPr>
                <w:color w:val="000000"/>
                <w:sz w:val="16"/>
                <w:szCs w:val="16"/>
              </w:rPr>
            </w:pPr>
            <w:r w:rsidRPr="00192507">
              <w:rPr>
                <w:color w:val="000000"/>
                <w:sz w:val="16"/>
                <w:szCs w:val="16"/>
              </w:rPr>
              <w:t>7 221,68</w:t>
            </w:r>
          </w:p>
        </w:tc>
      </w:tr>
      <w:tr w:rsidR="008F3544" w:rsidRPr="00192507" w14:paraId="4D869362" w14:textId="77777777" w:rsidTr="0099088D">
        <w:trPr>
          <w:trHeight w:val="413"/>
        </w:trPr>
        <w:tc>
          <w:tcPr>
            <w:tcW w:w="672" w:type="pct"/>
            <w:vMerge/>
            <w:shd w:val="clear" w:color="auto" w:fill="auto"/>
            <w:vAlign w:val="center"/>
            <w:hideMark/>
          </w:tcPr>
          <w:p w14:paraId="36B555C9" w14:textId="77777777" w:rsidR="008F3544" w:rsidRPr="00192507" w:rsidRDefault="008F3544" w:rsidP="0099088D">
            <w:pPr>
              <w:rPr>
                <w:color w:val="000000"/>
                <w:sz w:val="16"/>
                <w:szCs w:val="16"/>
              </w:rPr>
            </w:pPr>
          </w:p>
        </w:tc>
        <w:tc>
          <w:tcPr>
            <w:tcW w:w="902" w:type="pct"/>
            <w:shd w:val="clear" w:color="auto" w:fill="auto"/>
            <w:vAlign w:val="center"/>
            <w:hideMark/>
          </w:tcPr>
          <w:p w14:paraId="65A8C879" w14:textId="77777777" w:rsidR="008F3544" w:rsidRPr="008B59CD"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7.2.2.</m:t>
                    </m:r>
                  </m:sub>
                  <m:sup>
                    <m:r>
                      <m:rPr>
                        <m:nor/>
                      </m:rPr>
                      <w:rPr>
                        <w:color w:val="000000"/>
                      </w:rPr>
                      <m:t>110/6(10) кВ</m:t>
                    </m:r>
                  </m:sup>
                </m:sSubSup>
              </m:oMath>
            </m:oMathPara>
          </w:p>
        </w:tc>
        <w:tc>
          <w:tcPr>
            <w:tcW w:w="1525" w:type="pct"/>
            <w:vMerge/>
            <w:shd w:val="clear" w:color="auto" w:fill="auto"/>
            <w:vAlign w:val="center"/>
            <w:hideMark/>
          </w:tcPr>
          <w:p w14:paraId="171FBC9A" w14:textId="77777777" w:rsidR="008F3544" w:rsidRPr="00192507" w:rsidRDefault="008F3544" w:rsidP="0099088D">
            <w:pPr>
              <w:rPr>
                <w:color w:val="000000"/>
                <w:sz w:val="16"/>
                <w:szCs w:val="16"/>
              </w:rPr>
            </w:pPr>
          </w:p>
        </w:tc>
        <w:tc>
          <w:tcPr>
            <w:tcW w:w="696" w:type="pct"/>
            <w:vMerge/>
            <w:shd w:val="clear" w:color="auto" w:fill="auto"/>
            <w:vAlign w:val="center"/>
            <w:hideMark/>
          </w:tcPr>
          <w:p w14:paraId="37930FFA" w14:textId="77777777" w:rsidR="008F3544" w:rsidRPr="00192507" w:rsidRDefault="008F3544" w:rsidP="0099088D">
            <w:pPr>
              <w:rPr>
                <w:color w:val="000000"/>
                <w:sz w:val="16"/>
                <w:szCs w:val="16"/>
              </w:rPr>
            </w:pPr>
          </w:p>
        </w:tc>
        <w:tc>
          <w:tcPr>
            <w:tcW w:w="602" w:type="pct"/>
            <w:shd w:val="clear" w:color="auto" w:fill="auto"/>
            <w:noWrap/>
            <w:vAlign w:val="center"/>
            <w:hideMark/>
          </w:tcPr>
          <w:p w14:paraId="1FD8ADDC" w14:textId="77777777" w:rsidR="008F3544" w:rsidRPr="00192507" w:rsidRDefault="008F3544" w:rsidP="0099088D">
            <w:pPr>
              <w:jc w:val="center"/>
              <w:rPr>
                <w:color w:val="000000"/>
                <w:sz w:val="16"/>
                <w:szCs w:val="16"/>
              </w:rPr>
            </w:pPr>
            <w:r w:rsidRPr="00192507">
              <w:rPr>
                <w:color w:val="000000"/>
                <w:sz w:val="16"/>
                <w:szCs w:val="16"/>
              </w:rPr>
              <w:t>20 997,12</w:t>
            </w:r>
          </w:p>
        </w:tc>
        <w:tc>
          <w:tcPr>
            <w:tcW w:w="603" w:type="pct"/>
            <w:shd w:val="clear" w:color="auto" w:fill="auto"/>
            <w:noWrap/>
            <w:vAlign w:val="center"/>
            <w:hideMark/>
          </w:tcPr>
          <w:p w14:paraId="569281B3" w14:textId="77777777" w:rsidR="008F3544" w:rsidRPr="00192507" w:rsidRDefault="008F3544" w:rsidP="0099088D">
            <w:pPr>
              <w:jc w:val="center"/>
              <w:rPr>
                <w:color w:val="000000"/>
                <w:sz w:val="16"/>
                <w:szCs w:val="16"/>
              </w:rPr>
            </w:pPr>
            <w:r>
              <w:rPr>
                <w:color w:val="000000"/>
                <w:sz w:val="16"/>
                <w:szCs w:val="16"/>
              </w:rPr>
              <w:t>-</w:t>
            </w:r>
          </w:p>
        </w:tc>
      </w:tr>
      <w:tr w:rsidR="008F3544" w:rsidRPr="00192507" w14:paraId="77981820" w14:textId="77777777" w:rsidTr="0099088D">
        <w:trPr>
          <w:trHeight w:val="419"/>
        </w:trPr>
        <w:tc>
          <w:tcPr>
            <w:tcW w:w="672" w:type="pct"/>
            <w:vMerge w:val="restart"/>
            <w:shd w:val="clear" w:color="auto" w:fill="auto"/>
            <w:vAlign w:val="center"/>
            <w:hideMark/>
          </w:tcPr>
          <w:p w14:paraId="3ED0EAE5" w14:textId="77777777" w:rsidR="008F3544" w:rsidRPr="00192507" w:rsidRDefault="008F3544" w:rsidP="0099088D">
            <w:pPr>
              <w:jc w:val="center"/>
              <w:rPr>
                <w:color w:val="000000"/>
                <w:sz w:val="16"/>
                <w:szCs w:val="16"/>
              </w:rPr>
            </w:pPr>
            <w:r w:rsidRPr="00192507">
              <w:rPr>
                <w:color w:val="000000"/>
                <w:sz w:val="16"/>
                <w:szCs w:val="16"/>
              </w:rPr>
              <w:t>7.2.3.</w:t>
            </w:r>
          </w:p>
        </w:tc>
        <w:tc>
          <w:tcPr>
            <w:tcW w:w="902" w:type="pct"/>
            <w:shd w:val="clear" w:color="auto" w:fill="auto"/>
            <w:vAlign w:val="center"/>
            <w:hideMark/>
          </w:tcPr>
          <w:p w14:paraId="6FD03A4A" w14:textId="77777777" w:rsidR="008F3544" w:rsidRPr="008B59CD"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7.2.3.</m:t>
                    </m:r>
                  </m:sub>
                  <m:sup>
                    <m:r>
                      <m:rPr>
                        <m:nor/>
                      </m:rPr>
                      <w:rPr>
                        <w:color w:val="000000"/>
                      </w:rPr>
                      <m:t>35/6(10) кВ</m:t>
                    </m:r>
                  </m:sup>
                </m:sSubSup>
              </m:oMath>
            </m:oMathPara>
          </w:p>
        </w:tc>
        <w:tc>
          <w:tcPr>
            <w:tcW w:w="1525" w:type="pct"/>
            <w:vMerge w:val="restart"/>
            <w:shd w:val="clear" w:color="auto" w:fill="auto"/>
            <w:vAlign w:val="center"/>
            <w:hideMark/>
          </w:tcPr>
          <w:p w14:paraId="225926B1" w14:textId="77777777" w:rsidR="008F3544" w:rsidRPr="00192507" w:rsidRDefault="008F3544" w:rsidP="0099088D">
            <w:pPr>
              <w:rPr>
                <w:color w:val="000000"/>
                <w:sz w:val="16"/>
                <w:szCs w:val="16"/>
              </w:rPr>
            </w:pPr>
            <w:r w:rsidRPr="00192507">
              <w:rPr>
                <w:color w:val="000000"/>
                <w:sz w:val="16"/>
                <w:szCs w:val="16"/>
              </w:rPr>
              <w:t>двухтрансформаторные подстанции мощностью от 10 МВА до 16 МВА включительно</w:t>
            </w:r>
          </w:p>
        </w:tc>
        <w:tc>
          <w:tcPr>
            <w:tcW w:w="696" w:type="pct"/>
            <w:vMerge w:val="restart"/>
            <w:shd w:val="clear" w:color="auto" w:fill="auto"/>
            <w:vAlign w:val="center"/>
            <w:hideMark/>
          </w:tcPr>
          <w:p w14:paraId="512E06E0" w14:textId="77777777" w:rsidR="008F3544" w:rsidRPr="00192507" w:rsidRDefault="008F3544" w:rsidP="0099088D">
            <w:pPr>
              <w:jc w:val="center"/>
              <w:rPr>
                <w:color w:val="000000"/>
                <w:sz w:val="16"/>
                <w:szCs w:val="16"/>
              </w:rPr>
            </w:pPr>
            <w:r w:rsidRPr="00192507">
              <w:rPr>
                <w:color w:val="000000"/>
                <w:sz w:val="16"/>
                <w:szCs w:val="16"/>
              </w:rPr>
              <w:t>рублей/кВт</w:t>
            </w:r>
          </w:p>
        </w:tc>
        <w:tc>
          <w:tcPr>
            <w:tcW w:w="602" w:type="pct"/>
            <w:shd w:val="clear" w:color="auto" w:fill="auto"/>
            <w:noWrap/>
            <w:vAlign w:val="center"/>
            <w:hideMark/>
          </w:tcPr>
          <w:p w14:paraId="6DCAB084" w14:textId="77777777" w:rsidR="008F3544" w:rsidRPr="00192507" w:rsidRDefault="008F3544" w:rsidP="0099088D">
            <w:pPr>
              <w:jc w:val="center"/>
              <w:rPr>
                <w:color w:val="000000"/>
                <w:sz w:val="16"/>
                <w:szCs w:val="16"/>
              </w:rPr>
            </w:pPr>
            <w:r w:rsidRPr="00192507">
              <w:rPr>
                <w:color w:val="000000"/>
                <w:sz w:val="16"/>
                <w:szCs w:val="16"/>
              </w:rPr>
              <w:t>6 599,83</w:t>
            </w:r>
          </w:p>
        </w:tc>
        <w:tc>
          <w:tcPr>
            <w:tcW w:w="603" w:type="pct"/>
            <w:shd w:val="clear" w:color="auto" w:fill="auto"/>
            <w:noWrap/>
            <w:vAlign w:val="center"/>
            <w:hideMark/>
          </w:tcPr>
          <w:p w14:paraId="13E29C6F" w14:textId="77777777" w:rsidR="008F3544" w:rsidRPr="00192507" w:rsidRDefault="008F3544" w:rsidP="0099088D">
            <w:pPr>
              <w:jc w:val="center"/>
              <w:rPr>
                <w:color w:val="000000"/>
                <w:sz w:val="16"/>
                <w:szCs w:val="16"/>
              </w:rPr>
            </w:pPr>
            <w:r w:rsidRPr="00192507">
              <w:rPr>
                <w:color w:val="000000"/>
                <w:sz w:val="16"/>
                <w:szCs w:val="16"/>
              </w:rPr>
              <w:t>6 599,83</w:t>
            </w:r>
          </w:p>
        </w:tc>
      </w:tr>
      <w:tr w:rsidR="008F3544" w:rsidRPr="00192507" w14:paraId="2DB5E14F" w14:textId="77777777" w:rsidTr="0099088D">
        <w:trPr>
          <w:trHeight w:val="425"/>
        </w:trPr>
        <w:tc>
          <w:tcPr>
            <w:tcW w:w="672" w:type="pct"/>
            <w:vMerge/>
            <w:shd w:val="clear" w:color="auto" w:fill="auto"/>
            <w:vAlign w:val="center"/>
            <w:hideMark/>
          </w:tcPr>
          <w:p w14:paraId="20E2809C" w14:textId="77777777" w:rsidR="008F3544" w:rsidRPr="00192507" w:rsidRDefault="008F3544" w:rsidP="0099088D">
            <w:pPr>
              <w:rPr>
                <w:color w:val="000000"/>
                <w:sz w:val="16"/>
                <w:szCs w:val="16"/>
              </w:rPr>
            </w:pPr>
          </w:p>
        </w:tc>
        <w:tc>
          <w:tcPr>
            <w:tcW w:w="902" w:type="pct"/>
            <w:shd w:val="clear" w:color="auto" w:fill="auto"/>
            <w:vAlign w:val="center"/>
            <w:hideMark/>
          </w:tcPr>
          <w:p w14:paraId="2C6C9340" w14:textId="77777777" w:rsidR="008F3544" w:rsidRPr="008B59CD"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7.2.3.</m:t>
                    </m:r>
                  </m:sub>
                  <m:sup>
                    <m:r>
                      <m:rPr>
                        <m:nor/>
                      </m:rPr>
                      <w:rPr>
                        <w:color w:val="000000"/>
                      </w:rPr>
                      <m:t>110/6(10) кВ</m:t>
                    </m:r>
                  </m:sup>
                </m:sSubSup>
              </m:oMath>
            </m:oMathPara>
          </w:p>
        </w:tc>
        <w:tc>
          <w:tcPr>
            <w:tcW w:w="1525" w:type="pct"/>
            <w:vMerge/>
            <w:shd w:val="clear" w:color="auto" w:fill="auto"/>
            <w:vAlign w:val="center"/>
            <w:hideMark/>
          </w:tcPr>
          <w:p w14:paraId="5C59C907" w14:textId="77777777" w:rsidR="008F3544" w:rsidRPr="00192507" w:rsidRDefault="008F3544" w:rsidP="0099088D">
            <w:pPr>
              <w:rPr>
                <w:color w:val="000000"/>
                <w:sz w:val="16"/>
                <w:szCs w:val="16"/>
              </w:rPr>
            </w:pPr>
          </w:p>
        </w:tc>
        <w:tc>
          <w:tcPr>
            <w:tcW w:w="696" w:type="pct"/>
            <w:vMerge/>
            <w:shd w:val="clear" w:color="auto" w:fill="auto"/>
            <w:vAlign w:val="center"/>
            <w:hideMark/>
          </w:tcPr>
          <w:p w14:paraId="7B81F605" w14:textId="77777777" w:rsidR="008F3544" w:rsidRPr="00192507" w:rsidRDefault="008F3544" w:rsidP="0099088D">
            <w:pPr>
              <w:rPr>
                <w:color w:val="000000"/>
                <w:sz w:val="16"/>
                <w:szCs w:val="16"/>
              </w:rPr>
            </w:pPr>
          </w:p>
        </w:tc>
        <w:tc>
          <w:tcPr>
            <w:tcW w:w="602" w:type="pct"/>
            <w:shd w:val="clear" w:color="auto" w:fill="auto"/>
            <w:noWrap/>
            <w:vAlign w:val="center"/>
            <w:hideMark/>
          </w:tcPr>
          <w:p w14:paraId="43C80DE9" w14:textId="77777777" w:rsidR="008F3544" w:rsidRPr="00192507" w:rsidRDefault="008F3544" w:rsidP="0099088D">
            <w:pPr>
              <w:jc w:val="center"/>
              <w:rPr>
                <w:color w:val="000000"/>
                <w:sz w:val="16"/>
                <w:szCs w:val="16"/>
              </w:rPr>
            </w:pPr>
            <w:r w:rsidRPr="00192507">
              <w:rPr>
                <w:color w:val="000000"/>
                <w:sz w:val="16"/>
                <w:szCs w:val="16"/>
              </w:rPr>
              <w:t>14 252,89</w:t>
            </w:r>
          </w:p>
        </w:tc>
        <w:tc>
          <w:tcPr>
            <w:tcW w:w="603" w:type="pct"/>
            <w:shd w:val="clear" w:color="auto" w:fill="auto"/>
            <w:noWrap/>
            <w:vAlign w:val="center"/>
            <w:hideMark/>
          </w:tcPr>
          <w:p w14:paraId="6CCA734A" w14:textId="77777777" w:rsidR="008F3544" w:rsidRPr="00192507" w:rsidRDefault="008F3544" w:rsidP="0099088D">
            <w:pPr>
              <w:jc w:val="center"/>
              <w:rPr>
                <w:color w:val="000000"/>
                <w:sz w:val="16"/>
                <w:szCs w:val="16"/>
              </w:rPr>
            </w:pPr>
            <w:r>
              <w:rPr>
                <w:color w:val="000000"/>
                <w:sz w:val="16"/>
                <w:szCs w:val="16"/>
              </w:rPr>
              <w:t>-</w:t>
            </w:r>
          </w:p>
        </w:tc>
      </w:tr>
      <w:tr w:rsidR="008F3544" w:rsidRPr="00192507" w14:paraId="5C2FBB5D" w14:textId="77777777" w:rsidTr="0099088D">
        <w:trPr>
          <w:trHeight w:val="418"/>
        </w:trPr>
        <w:tc>
          <w:tcPr>
            <w:tcW w:w="672" w:type="pct"/>
            <w:vMerge w:val="restart"/>
            <w:shd w:val="clear" w:color="auto" w:fill="auto"/>
            <w:vAlign w:val="center"/>
            <w:hideMark/>
          </w:tcPr>
          <w:p w14:paraId="35915E41" w14:textId="77777777" w:rsidR="008F3544" w:rsidRPr="00192507" w:rsidRDefault="008F3544" w:rsidP="0099088D">
            <w:pPr>
              <w:jc w:val="center"/>
              <w:rPr>
                <w:color w:val="000000"/>
                <w:sz w:val="16"/>
                <w:szCs w:val="16"/>
              </w:rPr>
            </w:pPr>
            <w:r w:rsidRPr="00192507">
              <w:rPr>
                <w:color w:val="000000"/>
                <w:sz w:val="16"/>
                <w:szCs w:val="16"/>
              </w:rPr>
              <w:t>7.2.4.</w:t>
            </w:r>
          </w:p>
        </w:tc>
        <w:tc>
          <w:tcPr>
            <w:tcW w:w="902" w:type="pct"/>
            <w:shd w:val="clear" w:color="auto" w:fill="auto"/>
            <w:vAlign w:val="center"/>
            <w:hideMark/>
          </w:tcPr>
          <w:p w14:paraId="24D9B330" w14:textId="77777777" w:rsidR="008F3544" w:rsidRPr="005A6A58"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7.2.4.</m:t>
                    </m:r>
                  </m:sub>
                  <m:sup>
                    <m:r>
                      <m:rPr>
                        <m:nor/>
                      </m:rPr>
                      <w:rPr>
                        <w:color w:val="000000"/>
                      </w:rPr>
                      <m:t>110/6(10) кВ</m:t>
                    </m:r>
                  </m:sup>
                </m:sSubSup>
              </m:oMath>
            </m:oMathPara>
          </w:p>
        </w:tc>
        <w:tc>
          <w:tcPr>
            <w:tcW w:w="1525" w:type="pct"/>
            <w:vMerge w:val="restart"/>
            <w:shd w:val="clear" w:color="auto" w:fill="auto"/>
            <w:vAlign w:val="center"/>
            <w:hideMark/>
          </w:tcPr>
          <w:p w14:paraId="4EBC0E88" w14:textId="77777777" w:rsidR="008F3544" w:rsidRPr="00192507" w:rsidRDefault="008F3544" w:rsidP="0099088D">
            <w:pPr>
              <w:rPr>
                <w:color w:val="000000"/>
                <w:sz w:val="16"/>
                <w:szCs w:val="16"/>
              </w:rPr>
            </w:pPr>
            <w:r w:rsidRPr="00192507">
              <w:rPr>
                <w:color w:val="000000"/>
                <w:sz w:val="16"/>
                <w:szCs w:val="16"/>
              </w:rPr>
              <w:t>двухтрансформаторные подстанции мощностью от 16 МВА до 25 МВА включительно</w:t>
            </w:r>
          </w:p>
        </w:tc>
        <w:tc>
          <w:tcPr>
            <w:tcW w:w="696" w:type="pct"/>
            <w:vMerge w:val="restart"/>
            <w:shd w:val="clear" w:color="auto" w:fill="auto"/>
            <w:vAlign w:val="center"/>
            <w:hideMark/>
          </w:tcPr>
          <w:p w14:paraId="1F8645EF" w14:textId="77777777" w:rsidR="008F3544" w:rsidRPr="00192507" w:rsidRDefault="008F3544" w:rsidP="0099088D">
            <w:pPr>
              <w:jc w:val="center"/>
              <w:rPr>
                <w:color w:val="000000"/>
                <w:sz w:val="16"/>
                <w:szCs w:val="16"/>
              </w:rPr>
            </w:pPr>
            <w:r w:rsidRPr="00192507">
              <w:rPr>
                <w:color w:val="000000"/>
                <w:sz w:val="16"/>
                <w:szCs w:val="16"/>
              </w:rPr>
              <w:t>рублей/кВт</w:t>
            </w:r>
          </w:p>
        </w:tc>
        <w:tc>
          <w:tcPr>
            <w:tcW w:w="602" w:type="pct"/>
            <w:shd w:val="clear" w:color="auto" w:fill="auto"/>
            <w:noWrap/>
            <w:vAlign w:val="center"/>
            <w:hideMark/>
          </w:tcPr>
          <w:p w14:paraId="7D35A315" w14:textId="77777777" w:rsidR="008F3544" w:rsidRPr="00192507" w:rsidRDefault="008F3544" w:rsidP="0099088D">
            <w:pPr>
              <w:jc w:val="center"/>
              <w:rPr>
                <w:color w:val="000000"/>
                <w:sz w:val="16"/>
                <w:szCs w:val="16"/>
              </w:rPr>
            </w:pPr>
            <w:r w:rsidRPr="00192507">
              <w:rPr>
                <w:color w:val="000000"/>
                <w:sz w:val="16"/>
                <w:szCs w:val="16"/>
              </w:rPr>
              <w:t>9 462,88</w:t>
            </w:r>
          </w:p>
        </w:tc>
        <w:tc>
          <w:tcPr>
            <w:tcW w:w="603" w:type="pct"/>
            <w:shd w:val="clear" w:color="auto" w:fill="auto"/>
            <w:noWrap/>
            <w:vAlign w:val="center"/>
            <w:hideMark/>
          </w:tcPr>
          <w:p w14:paraId="0DBE64DA" w14:textId="77777777" w:rsidR="008F3544" w:rsidRPr="00192507" w:rsidRDefault="008F3544" w:rsidP="0099088D">
            <w:pPr>
              <w:jc w:val="center"/>
              <w:rPr>
                <w:color w:val="000000"/>
                <w:sz w:val="16"/>
                <w:szCs w:val="16"/>
              </w:rPr>
            </w:pPr>
            <w:r>
              <w:rPr>
                <w:color w:val="000000"/>
                <w:sz w:val="16"/>
                <w:szCs w:val="16"/>
              </w:rPr>
              <w:t>-</w:t>
            </w:r>
          </w:p>
        </w:tc>
      </w:tr>
      <w:tr w:rsidR="008F3544" w:rsidRPr="00192507" w14:paraId="07174499" w14:textId="77777777" w:rsidTr="0099088D">
        <w:trPr>
          <w:trHeight w:val="409"/>
        </w:trPr>
        <w:tc>
          <w:tcPr>
            <w:tcW w:w="672" w:type="pct"/>
            <w:vMerge/>
            <w:shd w:val="clear" w:color="auto" w:fill="auto"/>
            <w:vAlign w:val="center"/>
            <w:hideMark/>
          </w:tcPr>
          <w:p w14:paraId="2E33B328" w14:textId="77777777" w:rsidR="008F3544" w:rsidRPr="00192507" w:rsidRDefault="008F3544" w:rsidP="0099088D">
            <w:pPr>
              <w:rPr>
                <w:color w:val="000000"/>
                <w:sz w:val="16"/>
                <w:szCs w:val="16"/>
              </w:rPr>
            </w:pPr>
          </w:p>
        </w:tc>
        <w:tc>
          <w:tcPr>
            <w:tcW w:w="902" w:type="pct"/>
            <w:shd w:val="clear" w:color="auto" w:fill="auto"/>
            <w:vAlign w:val="center"/>
            <w:hideMark/>
          </w:tcPr>
          <w:p w14:paraId="106CCD3E" w14:textId="77777777" w:rsidR="008F3544" w:rsidRPr="005A6A58"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7.2.4.</m:t>
                    </m:r>
                  </m:sub>
                  <m:sup>
                    <m:r>
                      <m:rPr>
                        <m:nor/>
                      </m:rPr>
                      <w:rPr>
                        <w:color w:val="000000"/>
                      </w:rPr>
                      <m:t>110/35/6(10) кВ</m:t>
                    </m:r>
                  </m:sup>
                </m:sSubSup>
              </m:oMath>
            </m:oMathPara>
          </w:p>
        </w:tc>
        <w:tc>
          <w:tcPr>
            <w:tcW w:w="1525" w:type="pct"/>
            <w:vMerge/>
            <w:shd w:val="clear" w:color="auto" w:fill="auto"/>
            <w:vAlign w:val="center"/>
            <w:hideMark/>
          </w:tcPr>
          <w:p w14:paraId="390A707B" w14:textId="77777777" w:rsidR="008F3544" w:rsidRPr="00192507" w:rsidRDefault="008F3544" w:rsidP="0099088D">
            <w:pPr>
              <w:rPr>
                <w:color w:val="000000"/>
                <w:sz w:val="16"/>
                <w:szCs w:val="16"/>
              </w:rPr>
            </w:pPr>
          </w:p>
        </w:tc>
        <w:tc>
          <w:tcPr>
            <w:tcW w:w="696" w:type="pct"/>
            <w:vMerge/>
            <w:shd w:val="clear" w:color="auto" w:fill="auto"/>
            <w:vAlign w:val="center"/>
            <w:hideMark/>
          </w:tcPr>
          <w:p w14:paraId="6089F7EC" w14:textId="77777777" w:rsidR="008F3544" w:rsidRPr="00192507" w:rsidRDefault="008F3544" w:rsidP="0099088D">
            <w:pPr>
              <w:rPr>
                <w:color w:val="000000"/>
                <w:sz w:val="16"/>
                <w:szCs w:val="16"/>
              </w:rPr>
            </w:pPr>
          </w:p>
        </w:tc>
        <w:tc>
          <w:tcPr>
            <w:tcW w:w="602" w:type="pct"/>
            <w:shd w:val="clear" w:color="auto" w:fill="auto"/>
            <w:noWrap/>
            <w:vAlign w:val="center"/>
            <w:hideMark/>
          </w:tcPr>
          <w:p w14:paraId="27F8FF63" w14:textId="77777777" w:rsidR="008F3544" w:rsidRPr="00192507" w:rsidRDefault="008F3544" w:rsidP="0099088D">
            <w:pPr>
              <w:jc w:val="center"/>
              <w:rPr>
                <w:color w:val="000000"/>
                <w:sz w:val="16"/>
                <w:szCs w:val="16"/>
              </w:rPr>
            </w:pPr>
            <w:r w:rsidRPr="00192507">
              <w:rPr>
                <w:color w:val="000000"/>
                <w:sz w:val="16"/>
                <w:szCs w:val="16"/>
              </w:rPr>
              <w:t>7 500,86</w:t>
            </w:r>
          </w:p>
        </w:tc>
        <w:tc>
          <w:tcPr>
            <w:tcW w:w="603" w:type="pct"/>
            <w:shd w:val="clear" w:color="auto" w:fill="auto"/>
            <w:noWrap/>
            <w:vAlign w:val="center"/>
            <w:hideMark/>
          </w:tcPr>
          <w:p w14:paraId="166A4CF6" w14:textId="77777777" w:rsidR="008F3544" w:rsidRPr="00192507" w:rsidRDefault="008F3544" w:rsidP="0099088D">
            <w:pPr>
              <w:jc w:val="center"/>
              <w:rPr>
                <w:color w:val="000000"/>
                <w:sz w:val="16"/>
                <w:szCs w:val="16"/>
              </w:rPr>
            </w:pPr>
            <w:r w:rsidRPr="00192507">
              <w:rPr>
                <w:color w:val="000000"/>
                <w:sz w:val="16"/>
                <w:szCs w:val="16"/>
              </w:rPr>
              <w:t>7 500,86</w:t>
            </w:r>
          </w:p>
        </w:tc>
      </w:tr>
      <w:tr w:rsidR="008F3544" w:rsidRPr="00192507" w14:paraId="0C16A3E7" w14:textId="77777777" w:rsidTr="0099088D">
        <w:trPr>
          <w:trHeight w:val="415"/>
        </w:trPr>
        <w:tc>
          <w:tcPr>
            <w:tcW w:w="672" w:type="pct"/>
            <w:vMerge w:val="restart"/>
            <w:shd w:val="clear" w:color="auto" w:fill="auto"/>
            <w:vAlign w:val="center"/>
            <w:hideMark/>
          </w:tcPr>
          <w:p w14:paraId="22AF6325" w14:textId="77777777" w:rsidR="008F3544" w:rsidRPr="00192507" w:rsidRDefault="008F3544" w:rsidP="0099088D">
            <w:pPr>
              <w:jc w:val="center"/>
              <w:rPr>
                <w:color w:val="000000"/>
                <w:sz w:val="16"/>
                <w:szCs w:val="16"/>
              </w:rPr>
            </w:pPr>
            <w:r w:rsidRPr="00192507">
              <w:rPr>
                <w:color w:val="000000"/>
                <w:sz w:val="16"/>
                <w:szCs w:val="16"/>
              </w:rPr>
              <w:t>7.2.6.</w:t>
            </w:r>
          </w:p>
        </w:tc>
        <w:tc>
          <w:tcPr>
            <w:tcW w:w="902" w:type="pct"/>
            <w:shd w:val="clear" w:color="auto" w:fill="auto"/>
            <w:vAlign w:val="center"/>
            <w:hideMark/>
          </w:tcPr>
          <w:p w14:paraId="3D7B59CF" w14:textId="77777777" w:rsidR="008F3544" w:rsidRPr="005A6A58"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7.2.6.</m:t>
                    </m:r>
                  </m:sub>
                  <m:sup>
                    <m:r>
                      <m:rPr>
                        <m:nor/>
                      </m:rPr>
                      <w:rPr>
                        <w:color w:val="000000"/>
                      </w:rPr>
                      <m:t>110/6(10) кВ</m:t>
                    </m:r>
                  </m:sup>
                </m:sSubSup>
              </m:oMath>
            </m:oMathPara>
          </w:p>
        </w:tc>
        <w:tc>
          <w:tcPr>
            <w:tcW w:w="1525" w:type="pct"/>
            <w:vMerge w:val="restart"/>
            <w:shd w:val="clear" w:color="auto" w:fill="auto"/>
            <w:vAlign w:val="center"/>
            <w:hideMark/>
          </w:tcPr>
          <w:p w14:paraId="40312C19" w14:textId="77777777" w:rsidR="008F3544" w:rsidRPr="00192507" w:rsidRDefault="008F3544" w:rsidP="0099088D">
            <w:pPr>
              <w:rPr>
                <w:color w:val="000000"/>
                <w:sz w:val="16"/>
                <w:szCs w:val="16"/>
              </w:rPr>
            </w:pPr>
            <w:r w:rsidRPr="00192507">
              <w:rPr>
                <w:color w:val="000000"/>
                <w:sz w:val="16"/>
                <w:szCs w:val="16"/>
              </w:rPr>
              <w:t>двухтрансформаторные подстанции мощностью от 32 МВА до 40 МВА включительно</w:t>
            </w:r>
          </w:p>
        </w:tc>
        <w:tc>
          <w:tcPr>
            <w:tcW w:w="696" w:type="pct"/>
            <w:vMerge w:val="restart"/>
            <w:shd w:val="clear" w:color="auto" w:fill="auto"/>
            <w:vAlign w:val="center"/>
            <w:hideMark/>
          </w:tcPr>
          <w:p w14:paraId="39758304" w14:textId="77777777" w:rsidR="008F3544" w:rsidRPr="00192507" w:rsidRDefault="008F3544" w:rsidP="0099088D">
            <w:pPr>
              <w:jc w:val="center"/>
              <w:rPr>
                <w:color w:val="000000"/>
                <w:sz w:val="16"/>
                <w:szCs w:val="16"/>
              </w:rPr>
            </w:pPr>
            <w:r w:rsidRPr="00192507">
              <w:rPr>
                <w:color w:val="000000"/>
                <w:sz w:val="16"/>
                <w:szCs w:val="16"/>
              </w:rPr>
              <w:t>рублей/кВт</w:t>
            </w:r>
          </w:p>
        </w:tc>
        <w:tc>
          <w:tcPr>
            <w:tcW w:w="602" w:type="pct"/>
            <w:shd w:val="clear" w:color="auto" w:fill="auto"/>
            <w:noWrap/>
            <w:vAlign w:val="center"/>
            <w:hideMark/>
          </w:tcPr>
          <w:p w14:paraId="6C2FF250" w14:textId="77777777" w:rsidR="008F3544" w:rsidRPr="00192507" w:rsidRDefault="008F3544" w:rsidP="0099088D">
            <w:pPr>
              <w:jc w:val="center"/>
              <w:rPr>
                <w:color w:val="000000"/>
                <w:sz w:val="16"/>
                <w:szCs w:val="16"/>
              </w:rPr>
            </w:pPr>
            <w:r w:rsidRPr="00192507">
              <w:rPr>
                <w:color w:val="000000"/>
                <w:sz w:val="16"/>
                <w:szCs w:val="16"/>
              </w:rPr>
              <w:t>6 479,14</w:t>
            </w:r>
          </w:p>
        </w:tc>
        <w:tc>
          <w:tcPr>
            <w:tcW w:w="603" w:type="pct"/>
            <w:shd w:val="clear" w:color="auto" w:fill="auto"/>
            <w:noWrap/>
            <w:vAlign w:val="center"/>
            <w:hideMark/>
          </w:tcPr>
          <w:p w14:paraId="066FDA4E" w14:textId="77777777" w:rsidR="008F3544" w:rsidRPr="00192507" w:rsidRDefault="008F3544" w:rsidP="0099088D">
            <w:pPr>
              <w:jc w:val="center"/>
              <w:rPr>
                <w:color w:val="000000"/>
                <w:sz w:val="16"/>
                <w:szCs w:val="16"/>
              </w:rPr>
            </w:pPr>
            <w:r w:rsidRPr="00192507">
              <w:rPr>
                <w:color w:val="000000"/>
                <w:sz w:val="16"/>
                <w:szCs w:val="16"/>
              </w:rPr>
              <w:t>6 442,16</w:t>
            </w:r>
          </w:p>
        </w:tc>
      </w:tr>
      <w:tr w:rsidR="008F3544" w:rsidRPr="00192507" w14:paraId="2788A517" w14:textId="77777777" w:rsidTr="0099088D">
        <w:trPr>
          <w:trHeight w:val="421"/>
        </w:trPr>
        <w:tc>
          <w:tcPr>
            <w:tcW w:w="672" w:type="pct"/>
            <w:vMerge/>
            <w:shd w:val="clear" w:color="auto" w:fill="auto"/>
            <w:vAlign w:val="center"/>
            <w:hideMark/>
          </w:tcPr>
          <w:p w14:paraId="5B9A85EB" w14:textId="77777777" w:rsidR="008F3544" w:rsidRPr="00192507" w:rsidRDefault="008F3544" w:rsidP="0099088D">
            <w:pPr>
              <w:rPr>
                <w:color w:val="000000"/>
                <w:sz w:val="16"/>
                <w:szCs w:val="16"/>
              </w:rPr>
            </w:pPr>
          </w:p>
        </w:tc>
        <w:tc>
          <w:tcPr>
            <w:tcW w:w="902" w:type="pct"/>
            <w:shd w:val="clear" w:color="auto" w:fill="auto"/>
            <w:vAlign w:val="center"/>
            <w:hideMark/>
          </w:tcPr>
          <w:p w14:paraId="521080A1" w14:textId="77777777" w:rsidR="008F3544" w:rsidRPr="005A6A58"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7.2.6.</m:t>
                    </m:r>
                  </m:sub>
                  <m:sup>
                    <m:r>
                      <m:rPr>
                        <m:nor/>
                      </m:rPr>
                      <w:rPr>
                        <w:color w:val="000000"/>
                      </w:rPr>
                      <m:t>110/35/6(10) кВ</m:t>
                    </m:r>
                  </m:sup>
                </m:sSubSup>
              </m:oMath>
            </m:oMathPara>
          </w:p>
        </w:tc>
        <w:tc>
          <w:tcPr>
            <w:tcW w:w="1525" w:type="pct"/>
            <w:vMerge/>
            <w:shd w:val="clear" w:color="auto" w:fill="auto"/>
            <w:vAlign w:val="center"/>
            <w:hideMark/>
          </w:tcPr>
          <w:p w14:paraId="5E238EC8" w14:textId="77777777" w:rsidR="008F3544" w:rsidRPr="00192507" w:rsidRDefault="008F3544" w:rsidP="0099088D">
            <w:pPr>
              <w:rPr>
                <w:color w:val="000000"/>
                <w:sz w:val="16"/>
                <w:szCs w:val="16"/>
              </w:rPr>
            </w:pPr>
          </w:p>
        </w:tc>
        <w:tc>
          <w:tcPr>
            <w:tcW w:w="696" w:type="pct"/>
            <w:vMerge/>
            <w:shd w:val="clear" w:color="auto" w:fill="auto"/>
            <w:vAlign w:val="center"/>
            <w:hideMark/>
          </w:tcPr>
          <w:p w14:paraId="152976E2" w14:textId="77777777" w:rsidR="008F3544" w:rsidRPr="00192507" w:rsidRDefault="008F3544" w:rsidP="0099088D">
            <w:pPr>
              <w:rPr>
                <w:color w:val="000000"/>
                <w:sz w:val="16"/>
                <w:szCs w:val="16"/>
              </w:rPr>
            </w:pPr>
          </w:p>
        </w:tc>
        <w:tc>
          <w:tcPr>
            <w:tcW w:w="602" w:type="pct"/>
            <w:shd w:val="clear" w:color="auto" w:fill="auto"/>
            <w:noWrap/>
            <w:vAlign w:val="center"/>
            <w:hideMark/>
          </w:tcPr>
          <w:p w14:paraId="72C288FA" w14:textId="77777777" w:rsidR="008F3544" w:rsidRPr="00192507" w:rsidRDefault="008F3544" w:rsidP="0099088D">
            <w:pPr>
              <w:jc w:val="center"/>
              <w:rPr>
                <w:color w:val="000000"/>
                <w:sz w:val="16"/>
                <w:szCs w:val="16"/>
              </w:rPr>
            </w:pPr>
            <w:r w:rsidRPr="00192507">
              <w:rPr>
                <w:color w:val="000000"/>
                <w:sz w:val="16"/>
                <w:szCs w:val="16"/>
              </w:rPr>
              <w:t>6 768,06</w:t>
            </w:r>
          </w:p>
        </w:tc>
        <w:tc>
          <w:tcPr>
            <w:tcW w:w="603" w:type="pct"/>
            <w:shd w:val="clear" w:color="auto" w:fill="auto"/>
            <w:noWrap/>
            <w:vAlign w:val="center"/>
            <w:hideMark/>
          </w:tcPr>
          <w:p w14:paraId="2C0DC699" w14:textId="77777777" w:rsidR="008F3544" w:rsidRPr="00192507" w:rsidRDefault="008F3544" w:rsidP="0099088D">
            <w:pPr>
              <w:jc w:val="center"/>
              <w:rPr>
                <w:color w:val="000000"/>
                <w:sz w:val="16"/>
                <w:szCs w:val="16"/>
              </w:rPr>
            </w:pPr>
            <w:r w:rsidRPr="00192507">
              <w:rPr>
                <w:color w:val="000000"/>
                <w:sz w:val="16"/>
                <w:szCs w:val="16"/>
              </w:rPr>
              <w:t>6 768,06</w:t>
            </w:r>
          </w:p>
        </w:tc>
      </w:tr>
      <w:tr w:rsidR="008F3544" w:rsidRPr="00192507" w14:paraId="5ECA221A" w14:textId="77777777" w:rsidTr="0099088D">
        <w:trPr>
          <w:trHeight w:val="675"/>
        </w:trPr>
        <w:tc>
          <w:tcPr>
            <w:tcW w:w="672" w:type="pct"/>
            <w:shd w:val="clear" w:color="auto" w:fill="auto"/>
            <w:vAlign w:val="center"/>
            <w:hideMark/>
          </w:tcPr>
          <w:p w14:paraId="40321E19" w14:textId="77777777" w:rsidR="008F3544" w:rsidRPr="00192507" w:rsidRDefault="008F3544" w:rsidP="0099088D">
            <w:pPr>
              <w:jc w:val="center"/>
              <w:rPr>
                <w:color w:val="000000"/>
                <w:sz w:val="16"/>
                <w:szCs w:val="16"/>
              </w:rPr>
            </w:pPr>
            <w:r w:rsidRPr="00192507">
              <w:rPr>
                <w:color w:val="000000"/>
                <w:sz w:val="16"/>
                <w:szCs w:val="16"/>
              </w:rPr>
              <w:t>7.2.7.</w:t>
            </w:r>
          </w:p>
        </w:tc>
        <w:tc>
          <w:tcPr>
            <w:tcW w:w="902" w:type="pct"/>
            <w:shd w:val="clear" w:color="auto" w:fill="auto"/>
            <w:vAlign w:val="center"/>
            <w:hideMark/>
          </w:tcPr>
          <w:p w14:paraId="5DB98E81" w14:textId="77777777" w:rsidR="008F3544" w:rsidRPr="005A6A58"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7.2.7.</m:t>
                    </m:r>
                  </m:sub>
                  <m:sup>
                    <m:r>
                      <m:rPr>
                        <m:nor/>
                      </m:rPr>
                      <w:rPr>
                        <w:color w:val="000000"/>
                      </w:rPr>
                      <m:t>110/6(10) кВ</m:t>
                    </m:r>
                  </m:sup>
                </m:sSubSup>
              </m:oMath>
            </m:oMathPara>
          </w:p>
        </w:tc>
        <w:tc>
          <w:tcPr>
            <w:tcW w:w="1525" w:type="pct"/>
            <w:shd w:val="clear" w:color="auto" w:fill="auto"/>
            <w:vAlign w:val="center"/>
            <w:hideMark/>
          </w:tcPr>
          <w:p w14:paraId="329CDA82" w14:textId="77777777" w:rsidR="008F3544" w:rsidRPr="00192507" w:rsidRDefault="008F3544" w:rsidP="0099088D">
            <w:pPr>
              <w:rPr>
                <w:color w:val="000000"/>
                <w:sz w:val="16"/>
                <w:szCs w:val="16"/>
              </w:rPr>
            </w:pPr>
            <w:r w:rsidRPr="00192507">
              <w:rPr>
                <w:color w:val="000000"/>
                <w:sz w:val="16"/>
                <w:szCs w:val="16"/>
              </w:rPr>
              <w:t>двухтрансформаторные подстанции мощностью от 40 МВА до 63 МВА включительно</w:t>
            </w:r>
          </w:p>
        </w:tc>
        <w:tc>
          <w:tcPr>
            <w:tcW w:w="696" w:type="pct"/>
            <w:shd w:val="clear" w:color="auto" w:fill="auto"/>
            <w:vAlign w:val="center"/>
            <w:hideMark/>
          </w:tcPr>
          <w:p w14:paraId="4677796E" w14:textId="77777777" w:rsidR="008F3544" w:rsidRPr="00192507" w:rsidRDefault="008F3544" w:rsidP="0099088D">
            <w:pPr>
              <w:jc w:val="center"/>
              <w:rPr>
                <w:color w:val="000000"/>
                <w:sz w:val="16"/>
                <w:szCs w:val="16"/>
              </w:rPr>
            </w:pPr>
            <w:r w:rsidRPr="00192507">
              <w:rPr>
                <w:color w:val="000000"/>
                <w:sz w:val="16"/>
                <w:szCs w:val="16"/>
              </w:rPr>
              <w:t>рублей/кВт</w:t>
            </w:r>
          </w:p>
        </w:tc>
        <w:tc>
          <w:tcPr>
            <w:tcW w:w="602" w:type="pct"/>
            <w:shd w:val="clear" w:color="auto" w:fill="auto"/>
            <w:noWrap/>
            <w:vAlign w:val="center"/>
            <w:hideMark/>
          </w:tcPr>
          <w:p w14:paraId="707A4062" w14:textId="77777777" w:rsidR="008F3544" w:rsidRPr="00192507" w:rsidRDefault="008F3544" w:rsidP="0099088D">
            <w:pPr>
              <w:jc w:val="center"/>
              <w:rPr>
                <w:color w:val="000000"/>
                <w:sz w:val="16"/>
                <w:szCs w:val="16"/>
              </w:rPr>
            </w:pPr>
            <w:r w:rsidRPr="00192507">
              <w:rPr>
                <w:color w:val="000000"/>
                <w:sz w:val="16"/>
                <w:szCs w:val="16"/>
              </w:rPr>
              <w:t>4 506,43</w:t>
            </w:r>
          </w:p>
        </w:tc>
        <w:tc>
          <w:tcPr>
            <w:tcW w:w="603" w:type="pct"/>
            <w:shd w:val="clear" w:color="auto" w:fill="auto"/>
            <w:noWrap/>
            <w:vAlign w:val="center"/>
            <w:hideMark/>
          </w:tcPr>
          <w:p w14:paraId="1D04DE20" w14:textId="77777777" w:rsidR="008F3544" w:rsidRPr="00192507" w:rsidRDefault="008F3544" w:rsidP="0099088D">
            <w:pPr>
              <w:jc w:val="center"/>
              <w:rPr>
                <w:color w:val="000000"/>
                <w:sz w:val="16"/>
                <w:szCs w:val="16"/>
              </w:rPr>
            </w:pPr>
            <w:r>
              <w:rPr>
                <w:color w:val="000000"/>
                <w:sz w:val="16"/>
                <w:szCs w:val="16"/>
              </w:rPr>
              <w:t>-</w:t>
            </w:r>
          </w:p>
        </w:tc>
      </w:tr>
      <w:tr w:rsidR="008F3544" w:rsidRPr="00192507" w14:paraId="7E8AF95A" w14:textId="77777777" w:rsidTr="0099088D">
        <w:trPr>
          <w:trHeight w:val="675"/>
        </w:trPr>
        <w:tc>
          <w:tcPr>
            <w:tcW w:w="672" w:type="pct"/>
            <w:shd w:val="clear" w:color="auto" w:fill="auto"/>
            <w:vAlign w:val="center"/>
            <w:hideMark/>
          </w:tcPr>
          <w:p w14:paraId="0B8B2D4B" w14:textId="77777777" w:rsidR="008F3544" w:rsidRPr="00192507" w:rsidRDefault="008F3544" w:rsidP="0099088D">
            <w:pPr>
              <w:jc w:val="center"/>
              <w:rPr>
                <w:color w:val="000000"/>
                <w:sz w:val="16"/>
                <w:szCs w:val="16"/>
              </w:rPr>
            </w:pPr>
            <w:r w:rsidRPr="00192507">
              <w:rPr>
                <w:color w:val="000000"/>
                <w:sz w:val="16"/>
                <w:szCs w:val="16"/>
              </w:rPr>
              <w:t>8.1.1</w:t>
            </w:r>
            <w:r>
              <w:rPr>
                <w:color w:val="000000"/>
                <w:sz w:val="16"/>
                <w:szCs w:val="16"/>
              </w:rPr>
              <w:t>.</w:t>
            </w:r>
          </w:p>
        </w:tc>
        <w:tc>
          <w:tcPr>
            <w:tcW w:w="902" w:type="pct"/>
            <w:shd w:val="clear" w:color="auto" w:fill="auto"/>
            <w:vAlign w:val="center"/>
            <w:hideMark/>
          </w:tcPr>
          <w:p w14:paraId="755554A9" w14:textId="77777777" w:rsidR="008F3544" w:rsidRPr="00D7239F"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8.1.1.</m:t>
                    </m:r>
                  </m:sub>
                  <m:sup>
                    <m:r>
                      <m:rPr>
                        <m:nor/>
                      </m:rPr>
                      <w:rPr>
                        <w:color w:val="000000"/>
                      </w:rPr>
                      <m:t>0,4 кВ и ниже</m:t>
                    </m:r>
                  </m:sup>
                </m:sSubSup>
              </m:oMath>
            </m:oMathPara>
          </w:p>
        </w:tc>
        <w:tc>
          <w:tcPr>
            <w:tcW w:w="1525" w:type="pct"/>
            <w:shd w:val="clear" w:color="auto" w:fill="auto"/>
            <w:vAlign w:val="center"/>
            <w:hideMark/>
          </w:tcPr>
          <w:p w14:paraId="659DBCFF" w14:textId="77777777" w:rsidR="008F3544" w:rsidRPr="00192507" w:rsidRDefault="008F3544" w:rsidP="0099088D">
            <w:pPr>
              <w:rPr>
                <w:color w:val="000000"/>
                <w:sz w:val="16"/>
                <w:szCs w:val="16"/>
              </w:rPr>
            </w:pPr>
            <w:r w:rsidRPr="00192507">
              <w:rPr>
                <w:color w:val="000000"/>
                <w:sz w:val="16"/>
                <w:szCs w:val="16"/>
              </w:rPr>
              <w:t>средства коммерческого учета электрической энергии (мощности) однофазные прямого включения</w:t>
            </w:r>
          </w:p>
        </w:tc>
        <w:tc>
          <w:tcPr>
            <w:tcW w:w="696" w:type="pct"/>
            <w:shd w:val="clear" w:color="auto" w:fill="auto"/>
            <w:vAlign w:val="center"/>
            <w:hideMark/>
          </w:tcPr>
          <w:p w14:paraId="6F686829" w14:textId="77777777" w:rsidR="008F3544" w:rsidRPr="00192507" w:rsidRDefault="008F3544" w:rsidP="0099088D">
            <w:pPr>
              <w:jc w:val="center"/>
              <w:rPr>
                <w:color w:val="000000"/>
                <w:sz w:val="16"/>
                <w:szCs w:val="16"/>
              </w:rPr>
            </w:pPr>
            <w:r w:rsidRPr="00192507">
              <w:rPr>
                <w:color w:val="000000"/>
                <w:sz w:val="16"/>
                <w:szCs w:val="16"/>
              </w:rPr>
              <w:t>рублей за точку учета</w:t>
            </w:r>
          </w:p>
        </w:tc>
        <w:tc>
          <w:tcPr>
            <w:tcW w:w="602" w:type="pct"/>
            <w:shd w:val="clear" w:color="auto" w:fill="auto"/>
            <w:noWrap/>
            <w:vAlign w:val="center"/>
            <w:hideMark/>
          </w:tcPr>
          <w:p w14:paraId="1370F1D2" w14:textId="77777777" w:rsidR="008F3544" w:rsidRPr="00192507" w:rsidRDefault="008F3544" w:rsidP="0099088D">
            <w:pPr>
              <w:jc w:val="center"/>
              <w:rPr>
                <w:color w:val="000000"/>
                <w:sz w:val="16"/>
                <w:szCs w:val="16"/>
              </w:rPr>
            </w:pPr>
            <w:r w:rsidRPr="00192507">
              <w:rPr>
                <w:color w:val="000000"/>
                <w:sz w:val="16"/>
                <w:szCs w:val="16"/>
              </w:rPr>
              <w:t>11 649,48</w:t>
            </w:r>
          </w:p>
        </w:tc>
        <w:tc>
          <w:tcPr>
            <w:tcW w:w="603" w:type="pct"/>
            <w:shd w:val="clear" w:color="auto" w:fill="auto"/>
            <w:noWrap/>
            <w:vAlign w:val="center"/>
            <w:hideMark/>
          </w:tcPr>
          <w:p w14:paraId="6EF9C1C1" w14:textId="77777777" w:rsidR="008F3544" w:rsidRPr="00192507" w:rsidRDefault="008F3544" w:rsidP="0099088D">
            <w:pPr>
              <w:jc w:val="center"/>
              <w:rPr>
                <w:color w:val="000000"/>
                <w:sz w:val="16"/>
                <w:szCs w:val="16"/>
              </w:rPr>
            </w:pPr>
            <w:r w:rsidRPr="00192507">
              <w:rPr>
                <w:color w:val="000000"/>
                <w:sz w:val="16"/>
                <w:szCs w:val="16"/>
              </w:rPr>
              <w:t>11 649,48</w:t>
            </w:r>
          </w:p>
        </w:tc>
      </w:tr>
      <w:tr w:rsidR="008F3544" w:rsidRPr="00192507" w14:paraId="0F3CD2A6" w14:textId="77777777" w:rsidTr="0099088D">
        <w:trPr>
          <w:trHeight w:val="675"/>
        </w:trPr>
        <w:tc>
          <w:tcPr>
            <w:tcW w:w="672" w:type="pct"/>
            <w:shd w:val="clear" w:color="auto" w:fill="auto"/>
            <w:vAlign w:val="center"/>
            <w:hideMark/>
          </w:tcPr>
          <w:p w14:paraId="348CF5CB" w14:textId="77777777" w:rsidR="008F3544" w:rsidRPr="00192507" w:rsidRDefault="008F3544" w:rsidP="0099088D">
            <w:pPr>
              <w:jc w:val="center"/>
              <w:rPr>
                <w:color w:val="000000"/>
                <w:sz w:val="16"/>
                <w:szCs w:val="16"/>
              </w:rPr>
            </w:pPr>
            <w:r w:rsidRPr="00192507">
              <w:rPr>
                <w:color w:val="000000"/>
                <w:sz w:val="16"/>
                <w:szCs w:val="16"/>
              </w:rPr>
              <w:t>8.2.1</w:t>
            </w:r>
            <w:r>
              <w:rPr>
                <w:color w:val="000000"/>
                <w:sz w:val="16"/>
                <w:szCs w:val="16"/>
              </w:rPr>
              <w:t>.</w:t>
            </w:r>
          </w:p>
        </w:tc>
        <w:tc>
          <w:tcPr>
            <w:tcW w:w="902" w:type="pct"/>
            <w:shd w:val="clear" w:color="auto" w:fill="auto"/>
            <w:vAlign w:val="center"/>
            <w:hideMark/>
          </w:tcPr>
          <w:p w14:paraId="1EBE4F94" w14:textId="77777777" w:rsidR="008F3544" w:rsidRPr="00D7239F"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8.2.1.</m:t>
                    </m:r>
                  </m:sub>
                  <m:sup>
                    <m:r>
                      <m:rPr>
                        <m:nor/>
                      </m:rPr>
                      <w:rPr>
                        <w:color w:val="000000"/>
                      </w:rPr>
                      <m:t>0,4 кВ и ниже</m:t>
                    </m:r>
                  </m:sup>
                </m:sSubSup>
              </m:oMath>
            </m:oMathPara>
          </w:p>
        </w:tc>
        <w:tc>
          <w:tcPr>
            <w:tcW w:w="1525" w:type="pct"/>
            <w:shd w:val="clear" w:color="auto" w:fill="auto"/>
            <w:vAlign w:val="center"/>
            <w:hideMark/>
          </w:tcPr>
          <w:p w14:paraId="05FFAAA6" w14:textId="77777777" w:rsidR="008F3544" w:rsidRPr="00192507" w:rsidRDefault="008F3544" w:rsidP="0099088D">
            <w:pPr>
              <w:rPr>
                <w:color w:val="000000"/>
                <w:sz w:val="16"/>
                <w:szCs w:val="16"/>
              </w:rPr>
            </w:pPr>
            <w:r w:rsidRPr="00192507">
              <w:rPr>
                <w:color w:val="000000"/>
                <w:sz w:val="16"/>
                <w:szCs w:val="16"/>
              </w:rPr>
              <w:t>средства коммерческого учета электрической энергии (мощности) трехфазные прямого включения</w:t>
            </w:r>
          </w:p>
        </w:tc>
        <w:tc>
          <w:tcPr>
            <w:tcW w:w="696" w:type="pct"/>
            <w:shd w:val="clear" w:color="auto" w:fill="auto"/>
            <w:vAlign w:val="center"/>
            <w:hideMark/>
          </w:tcPr>
          <w:p w14:paraId="3C425987" w14:textId="77777777" w:rsidR="008F3544" w:rsidRPr="00192507" w:rsidRDefault="008F3544" w:rsidP="0099088D">
            <w:pPr>
              <w:jc w:val="center"/>
              <w:rPr>
                <w:color w:val="000000"/>
                <w:sz w:val="16"/>
                <w:szCs w:val="16"/>
              </w:rPr>
            </w:pPr>
            <w:r w:rsidRPr="00192507">
              <w:rPr>
                <w:color w:val="000000"/>
                <w:sz w:val="16"/>
                <w:szCs w:val="16"/>
              </w:rPr>
              <w:t>рублей за точку учета</w:t>
            </w:r>
          </w:p>
        </w:tc>
        <w:tc>
          <w:tcPr>
            <w:tcW w:w="602" w:type="pct"/>
            <w:shd w:val="clear" w:color="auto" w:fill="auto"/>
            <w:noWrap/>
            <w:vAlign w:val="center"/>
            <w:hideMark/>
          </w:tcPr>
          <w:p w14:paraId="587164DC" w14:textId="77777777" w:rsidR="008F3544" w:rsidRPr="00192507" w:rsidRDefault="008F3544" w:rsidP="0099088D">
            <w:pPr>
              <w:jc w:val="center"/>
              <w:rPr>
                <w:color w:val="000000"/>
                <w:sz w:val="16"/>
                <w:szCs w:val="16"/>
              </w:rPr>
            </w:pPr>
            <w:r w:rsidRPr="00192507">
              <w:rPr>
                <w:color w:val="000000"/>
                <w:sz w:val="16"/>
                <w:szCs w:val="16"/>
              </w:rPr>
              <w:t>27 214,84</w:t>
            </w:r>
          </w:p>
        </w:tc>
        <w:tc>
          <w:tcPr>
            <w:tcW w:w="603" w:type="pct"/>
            <w:shd w:val="clear" w:color="auto" w:fill="auto"/>
            <w:noWrap/>
            <w:vAlign w:val="center"/>
            <w:hideMark/>
          </w:tcPr>
          <w:p w14:paraId="11373D71" w14:textId="77777777" w:rsidR="008F3544" w:rsidRPr="00192507" w:rsidRDefault="008F3544" w:rsidP="0099088D">
            <w:pPr>
              <w:jc w:val="center"/>
              <w:rPr>
                <w:color w:val="000000"/>
                <w:sz w:val="16"/>
                <w:szCs w:val="16"/>
              </w:rPr>
            </w:pPr>
            <w:r w:rsidRPr="00192507">
              <w:rPr>
                <w:color w:val="000000"/>
                <w:sz w:val="16"/>
                <w:szCs w:val="16"/>
              </w:rPr>
              <w:t>27 214,84</w:t>
            </w:r>
          </w:p>
        </w:tc>
      </w:tr>
      <w:tr w:rsidR="008F3544" w:rsidRPr="00192507" w14:paraId="769987F4" w14:textId="77777777" w:rsidTr="0099088D">
        <w:trPr>
          <w:trHeight w:val="424"/>
        </w:trPr>
        <w:tc>
          <w:tcPr>
            <w:tcW w:w="672" w:type="pct"/>
            <w:vMerge w:val="restart"/>
            <w:shd w:val="clear" w:color="auto" w:fill="auto"/>
            <w:vAlign w:val="center"/>
            <w:hideMark/>
          </w:tcPr>
          <w:p w14:paraId="2B69DF6E" w14:textId="77777777" w:rsidR="008F3544" w:rsidRPr="00192507" w:rsidRDefault="008F3544" w:rsidP="0099088D">
            <w:pPr>
              <w:jc w:val="center"/>
              <w:rPr>
                <w:color w:val="000000"/>
                <w:sz w:val="16"/>
                <w:szCs w:val="16"/>
              </w:rPr>
            </w:pPr>
            <w:r w:rsidRPr="00192507">
              <w:rPr>
                <w:color w:val="000000"/>
                <w:sz w:val="16"/>
                <w:szCs w:val="16"/>
              </w:rPr>
              <w:t>8.2.2</w:t>
            </w:r>
            <w:r>
              <w:rPr>
                <w:color w:val="000000"/>
                <w:sz w:val="16"/>
                <w:szCs w:val="16"/>
              </w:rPr>
              <w:t>.</w:t>
            </w:r>
          </w:p>
        </w:tc>
        <w:tc>
          <w:tcPr>
            <w:tcW w:w="902" w:type="pct"/>
            <w:shd w:val="clear" w:color="auto" w:fill="auto"/>
            <w:vAlign w:val="center"/>
            <w:hideMark/>
          </w:tcPr>
          <w:p w14:paraId="17AD507C" w14:textId="77777777" w:rsidR="008F3544" w:rsidRPr="003C60A5"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8.2.2.</m:t>
                    </m:r>
                  </m:sub>
                  <m:sup>
                    <m:r>
                      <m:rPr>
                        <m:nor/>
                      </m:rPr>
                      <w:rPr>
                        <w:color w:val="000000"/>
                      </w:rPr>
                      <m:t>0,4 кВ и ниже</m:t>
                    </m:r>
                  </m:sup>
                </m:sSubSup>
              </m:oMath>
            </m:oMathPara>
          </w:p>
        </w:tc>
        <w:tc>
          <w:tcPr>
            <w:tcW w:w="1525" w:type="pct"/>
            <w:vMerge w:val="restart"/>
            <w:shd w:val="clear" w:color="auto" w:fill="auto"/>
            <w:vAlign w:val="center"/>
            <w:hideMark/>
          </w:tcPr>
          <w:p w14:paraId="6EF5707F" w14:textId="77777777" w:rsidR="008F3544" w:rsidRPr="00192507" w:rsidRDefault="008F3544" w:rsidP="0099088D">
            <w:pPr>
              <w:rPr>
                <w:color w:val="000000"/>
                <w:sz w:val="16"/>
                <w:szCs w:val="16"/>
              </w:rPr>
            </w:pPr>
            <w:r w:rsidRPr="00192507">
              <w:rPr>
                <w:color w:val="000000"/>
                <w:sz w:val="16"/>
                <w:szCs w:val="16"/>
              </w:rPr>
              <w:t>средства коммерческого учета электрической энергии (мощности) трехфазные полукосвенного включения</w:t>
            </w:r>
          </w:p>
        </w:tc>
        <w:tc>
          <w:tcPr>
            <w:tcW w:w="696" w:type="pct"/>
            <w:vMerge w:val="restart"/>
            <w:shd w:val="clear" w:color="auto" w:fill="auto"/>
            <w:vAlign w:val="center"/>
            <w:hideMark/>
          </w:tcPr>
          <w:p w14:paraId="58E9B4F7" w14:textId="77777777" w:rsidR="008F3544" w:rsidRPr="00192507" w:rsidRDefault="008F3544" w:rsidP="0099088D">
            <w:pPr>
              <w:jc w:val="center"/>
              <w:rPr>
                <w:color w:val="000000"/>
                <w:sz w:val="16"/>
                <w:szCs w:val="16"/>
              </w:rPr>
            </w:pPr>
            <w:r w:rsidRPr="00192507">
              <w:rPr>
                <w:color w:val="000000"/>
                <w:sz w:val="16"/>
                <w:szCs w:val="16"/>
              </w:rPr>
              <w:t>рублей за точку учета</w:t>
            </w:r>
          </w:p>
        </w:tc>
        <w:tc>
          <w:tcPr>
            <w:tcW w:w="602" w:type="pct"/>
            <w:shd w:val="clear" w:color="auto" w:fill="auto"/>
            <w:noWrap/>
            <w:vAlign w:val="center"/>
            <w:hideMark/>
          </w:tcPr>
          <w:p w14:paraId="18D05940" w14:textId="77777777" w:rsidR="008F3544" w:rsidRPr="00192507" w:rsidRDefault="008F3544" w:rsidP="0099088D">
            <w:pPr>
              <w:jc w:val="center"/>
              <w:rPr>
                <w:color w:val="000000"/>
                <w:sz w:val="16"/>
                <w:szCs w:val="16"/>
              </w:rPr>
            </w:pPr>
            <w:r w:rsidRPr="00192507">
              <w:rPr>
                <w:color w:val="000000"/>
                <w:sz w:val="16"/>
                <w:szCs w:val="16"/>
              </w:rPr>
              <w:t>34 198,70</w:t>
            </w:r>
          </w:p>
        </w:tc>
        <w:tc>
          <w:tcPr>
            <w:tcW w:w="603" w:type="pct"/>
            <w:shd w:val="clear" w:color="auto" w:fill="auto"/>
            <w:noWrap/>
            <w:vAlign w:val="center"/>
            <w:hideMark/>
          </w:tcPr>
          <w:p w14:paraId="0BFCA6D9" w14:textId="77777777" w:rsidR="008F3544" w:rsidRPr="00192507" w:rsidRDefault="008F3544" w:rsidP="0099088D">
            <w:pPr>
              <w:jc w:val="center"/>
              <w:rPr>
                <w:color w:val="000000"/>
                <w:sz w:val="16"/>
                <w:szCs w:val="16"/>
              </w:rPr>
            </w:pPr>
            <w:r w:rsidRPr="00192507">
              <w:rPr>
                <w:color w:val="000000"/>
                <w:sz w:val="16"/>
                <w:szCs w:val="16"/>
              </w:rPr>
              <w:t>34 198,70</w:t>
            </w:r>
          </w:p>
        </w:tc>
      </w:tr>
      <w:tr w:rsidR="008F3544" w:rsidRPr="00192507" w14:paraId="3D744690" w14:textId="77777777" w:rsidTr="0099088D">
        <w:trPr>
          <w:trHeight w:val="367"/>
        </w:trPr>
        <w:tc>
          <w:tcPr>
            <w:tcW w:w="672" w:type="pct"/>
            <w:vMerge/>
            <w:shd w:val="clear" w:color="auto" w:fill="auto"/>
            <w:vAlign w:val="center"/>
            <w:hideMark/>
          </w:tcPr>
          <w:p w14:paraId="7B019386" w14:textId="77777777" w:rsidR="008F3544" w:rsidRPr="00192507" w:rsidRDefault="008F3544" w:rsidP="0099088D">
            <w:pPr>
              <w:rPr>
                <w:color w:val="000000"/>
                <w:sz w:val="16"/>
                <w:szCs w:val="16"/>
              </w:rPr>
            </w:pPr>
          </w:p>
        </w:tc>
        <w:tc>
          <w:tcPr>
            <w:tcW w:w="902" w:type="pct"/>
            <w:shd w:val="clear" w:color="auto" w:fill="auto"/>
            <w:vAlign w:val="center"/>
            <w:hideMark/>
          </w:tcPr>
          <w:p w14:paraId="06856D80" w14:textId="77777777" w:rsidR="008F3544" w:rsidRPr="003C60A5"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8.2.2.</m:t>
                    </m:r>
                  </m:sub>
                  <m:sup>
                    <m:r>
                      <m:rPr>
                        <m:nor/>
                      </m:rPr>
                      <w:rPr>
                        <w:color w:val="000000"/>
                      </w:rPr>
                      <m:t>1-20 кВ</m:t>
                    </m:r>
                  </m:sup>
                </m:sSubSup>
              </m:oMath>
            </m:oMathPara>
          </w:p>
        </w:tc>
        <w:tc>
          <w:tcPr>
            <w:tcW w:w="1525" w:type="pct"/>
            <w:vMerge/>
            <w:shd w:val="clear" w:color="auto" w:fill="auto"/>
            <w:vAlign w:val="center"/>
            <w:hideMark/>
          </w:tcPr>
          <w:p w14:paraId="47C677AE" w14:textId="77777777" w:rsidR="008F3544" w:rsidRPr="00192507" w:rsidRDefault="008F3544" w:rsidP="0099088D">
            <w:pPr>
              <w:rPr>
                <w:color w:val="000000"/>
                <w:sz w:val="16"/>
                <w:szCs w:val="16"/>
              </w:rPr>
            </w:pPr>
          </w:p>
        </w:tc>
        <w:tc>
          <w:tcPr>
            <w:tcW w:w="696" w:type="pct"/>
            <w:vMerge/>
            <w:shd w:val="clear" w:color="auto" w:fill="auto"/>
            <w:vAlign w:val="center"/>
            <w:hideMark/>
          </w:tcPr>
          <w:p w14:paraId="23EA202F" w14:textId="77777777" w:rsidR="008F3544" w:rsidRPr="00192507" w:rsidRDefault="008F3544" w:rsidP="0099088D">
            <w:pPr>
              <w:rPr>
                <w:color w:val="000000"/>
                <w:sz w:val="16"/>
                <w:szCs w:val="16"/>
              </w:rPr>
            </w:pPr>
          </w:p>
        </w:tc>
        <w:tc>
          <w:tcPr>
            <w:tcW w:w="602" w:type="pct"/>
            <w:shd w:val="clear" w:color="auto" w:fill="auto"/>
            <w:noWrap/>
            <w:vAlign w:val="center"/>
            <w:hideMark/>
          </w:tcPr>
          <w:p w14:paraId="67E179F9" w14:textId="77777777" w:rsidR="008F3544" w:rsidRPr="00192507" w:rsidRDefault="008F3544" w:rsidP="0099088D">
            <w:pPr>
              <w:jc w:val="center"/>
              <w:rPr>
                <w:color w:val="000000"/>
                <w:sz w:val="16"/>
                <w:szCs w:val="16"/>
              </w:rPr>
            </w:pPr>
            <w:r w:rsidRPr="00192507">
              <w:rPr>
                <w:color w:val="000000"/>
                <w:sz w:val="16"/>
                <w:szCs w:val="16"/>
              </w:rPr>
              <w:t>136 772,89</w:t>
            </w:r>
          </w:p>
        </w:tc>
        <w:tc>
          <w:tcPr>
            <w:tcW w:w="603" w:type="pct"/>
            <w:shd w:val="clear" w:color="auto" w:fill="auto"/>
            <w:noWrap/>
            <w:vAlign w:val="center"/>
            <w:hideMark/>
          </w:tcPr>
          <w:p w14:paraId="50112990" w14:textId="77777777" w:rsidR="008F3544" w:rsidRPr="00192507" w:rsidRDefault="008F3544" w:rsidP="0099088D">
            <w:pPr>
              <w:jc w:val="center"/>
              <w:rPr>
                <w:color w:val="000000"/>
                <w:sz w:val="16"/>
                <w:szCs w:val="16"/>
              </w:rPr>
            </w:pPr>
            <w:r w:rsidRPr="00192507">
              <w:rPr>
                <w:color w:val="000000"/>
                <w:sz w:val="16"/>
                <w:szCs w:val="16"/>
              </w:rPr>
              <w:t>136 772,89</w:t>
            </w:r>
          </w:p>
        </w:tc>
      </w:tr>
      <w:tr w:rsidR="008F3544" w:rsidRPr="00192507" w14:paraId="5A5A8D86" w14:textId="77777777" w:rsidTr="0099088D">
        <w:trPr>
          <w:trHeight w:val="482"/>
        </w:trPr>
        <w:tc>
          <w:tcPr>
            <w:tcW w:w="672" w:type="pct"/>
            <w:vMerge w:val="restart"/>
            <w:shd w:val="clear" w:color="auto" w:fill="auto"/>
            <w:vAlign w:val="center"/>
            <w:hideMark/>
          </w:tcPr>
          <w:p w14:paraId="30C3E691" w14:textId="77777777" w:rsidR="008F3544" w:rsidRPr="00192507" w:rsidRDefault="008F3544" w:rsidP="0099088D">
            <w:pPr>
              <w:jc w:val="center"/>
              <w:rPr>
                <w:color w:val="000000"/>
                <w:sz w:val="16"/>
                <w:szCs w:val="16"/>
              </w:rPr>
            </w:pPr>
            <w:r w:rsidRPr="00192507">
              <w:rPr>
                <w:color w:val="000000"/>
                <w:sz w:val="16"/>
                <w:szCs w:val="16"/>
              </w:rPr>
              <w:t>8.2.3</w:t>
            </w:r>
            <w:r>
              <w:rPr>
                <w:color w:val="000000"/>
                <w:sz w:val="16"/>
                <w:szCs w:val="16"/>
              </w:rPr>
              <w:t>.</w:t>
            </w:r>
          </w:p>
        </w:tc>
        <w:tc>
          <w:tcPr>
            <w:tcW w:w="902" w:type="pct"/>
            <w:shd w:val="clear" w:color="auto" w:fill="auto"/>
            <w:vAlign w:val="center"/>
            <w:hideMark/>
          </w:tcPr>
          <w:p w14:paraId="667123DD" w14:textId="77777777" w:rsidR="008F3544" w:rsidRPr="00904E38"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8.2.3.</m:t>
                    </m:r>
                  </m:sub>
                  <m:sup>
                    <m:r>
                      <m:rPr>
                        <m:nor/>
                      </m:rPr>
                      <w:rPr>
                        <w:color w:val="000000"/>
                      </w:rPr>
                      <m:t>1-20 кВ</m:t>
                    </m:r>
                  </m:sup>
                </m:sSubSup>
              </m:oMath>
            </m:oMathPara>
          </w:p>
        </w:tc>
        <w:tc>
          <w:tcPr>
            <w:tcW w:w="1525" w:type="pct"/>
            <w:vMerge w:val="restart"/>
            <w:shd w:val="clear" w:color="auto" w:fill="auto"/>
            <w:vAlign w:val="center"/>
            <w:hideMark/>
          </w:tcPr>
          <w:p w14:paraId="1D79B14D" w14:textId="77777777" w:rsidR="008F3544" w:rsidRPr="00192507" w:rsidRDefault="008F3544" w:rsidP="0099088D">
            <w:pPr>
              <w:rPr>
                <w:color w:val="000000"/>
                <w:sz w:val="16"/>
                <w:szCs w:val="16"/>
              </w:rPr>
            </w:pPr>
            <w:r w:rsidRPr="00192507">
              <w:rPr>
                <w:color w:val="000000"/>
                <w:sz w:val="16"/>
                <w:szCs w:val="16"/>
              </w:rPr>
              <w:t>средства коммерческого учета электрической энергии (мощности) трехфазные косвенного включения</w:t>
            </w:r>
          </w:p>
        </w:tc>
        <w:tc>
          <w:tcPr>
            <w:tcW w:w="696" w:type="pct"/>
            <w:vMerge w:val="restart"/>
            <w:shd w:val="clear" w:color="auto" w:fill="auto"/>
            <w:vAlign w:val="center"/>
            <w:hideMark/>
          </w:tcPr>
          <w:p w14:paraId="60938C8B" w14:textId="77777777" w:rsidR="008F3544" w:rsidRPr="00192507" w:rsidRDefault="008F3544" w:rsidP="0099088D">
            <w:pPr>
              <w:jc w:val="center"/>
              <w:rPr>
                <w:color w:val="000000"/>
                <w:sz w:val="16"/>
                <w:szCs w:val="16"/>
              </w:rPr>
            </w:pPr>
            <w:r w:rsidRPr="00192507">
              <w:rPr>
                <w:color w:val="000000"/>
                <w:sz w:val="16"/>
                <w:szCs w:val="16"/>
              </w:rPr>
              <w:t>рублей за точку учета</w:t>
            </w:r>
          </w:p>
        </w:tc>
        <w:tc>
          <w:tcPr>
            <w:tcW w:w="602" w:type="pct"/>
            <w:shd w:val="clear" w:color="auto" w:fill="auto"/>
            <w:noWrap/>
            <w:vAlign w:val="center"/>
            <w:hideMark/>
          </w:tcPr>
          <w:p w14:paraId="1783ABD5" w14:textId="77777777" w:rsidR="008F3544" w:rsidRPr="00192507" w:rsidRDefault="008F3544" w:rsidP="0099088D">
            <w:pPr>
              <w:jc w:val="center"/>
              <w:rPr>
                <w:color w:val="000000"/>
                <w:sz w:val="16"/>
                <w:szCs w:val="16"/>
              </w:rPr>
            </w:pPr>
            <w:r w:rsidRPr="00192507">
              <w:rPr>
                <w:color w:val="000000"/>
                <w:sz w:val="16"/>
                <w:szCs w:val="16"/>
              </w:rPr>
              <w:t>181 701,73</w:t>
            </w:r>
          </w:p>
        </w:tc>
        <w:tc>
          <w:tcPr>
            <w:tcW w:w="603" w:type="pct"/>
            <w:shd w:val="clear" w:color="auto" w:fill="auto"/>
            <w:noWrap/>
            <w:vAlign w:val="center"/>
            <w:hideMark/>
          </w:tcPr>
          <w:p w14:paraId="3163BD1B" w14:textId="77777777" w:rsidR="008F3544" w:rsidRPr="00192507" w:rsidRDefault="008F3544" w:rsidP="0099088D">
            <w:pPr>
              <w:jc w:val="center"/>
              <w:rPr>
                <w:color w:val="000000"/>
                <w:sz w:val="16"/>
                <w:szCs w:val="16"/>
              </w:rPr>
            </w:pPr>
            <w:r w:rsidRPr="00192507">
              <w:rPr>
                <w:color w:val="000000"/>
                <w:sz w:val="16"/>
                <w:szCs w:val="16"/>
              </w:rPr>
              <w:t>181 701,73</w:t>
            </w:r>
          </w:p>
        </w:tc>
      </w:tr>
      <w:tr w:rsidR="008F3544" w:rsidRPr="00192507" w14:paraId="3BEA7179" w14:textId="77777777" w:rsidTr="0099088D">
        <w:trPr>
          <w:trHeight w:val="432"/>
        </w:trPr>
        <w:tc>
          <w:tcPr>
            <w:tcW w:w="672" w:type="pct"/>
            <w:vMerge/>
            <w:shd w:val="clear" w:color="auto" w:fill="auto"/>
            <w:vAlign w:val="center"/>
            <w:hideMark/>
          </w:tcPr>
          <w:p w14:paraId="5EF429EA" w14:textId="77777777" w:rsidR="008F3544" w:rsidRPr="00192507" w:rsidRDefault="008F3544" w:rsidP="0099088D">
            <w:pPr>
              <w:rPr>
                <w:color w:val="000000"/>
                <w:sz w:val="16"/>
                <w:szCs w:val="16"/>
              </w:rPr>
            </w:pPr>
          </w:p>
        </w:tc>
        <w:tc>
          <w:tcPr>
            <w:tcW w:w="902" w:type="pct"/>
            <w:shd w:val="clear" w:color="auto" w:fill="auto"/>
            <w:vAlign w:val="center"/>
            <w:hideMark/>
          </w:tcPr>
          <w:p w14:paraId="57F8E6D9" w14:textId="77777777" w:rsidR="008F3544" w:rsidRPr="00904E38"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8.2.3.</m:t>
                    </m:r>
                  </m:sub>
                  <m:sup>
                    <m:r>
                      <m:rPr>
                        <m:nor/>
                      </m:rPr>
                      <w:rPr>
                        <w:color w:val="000000"/>
                      </w:rPr>
                      <m:t>35 кВ</m:t>
                    </m:r>
                  </m:sup>
                </m:sSubSup>
              </m:oMath>
            </m:oMathPara>
          </w:p>
        </w:tc>
        <w:tc>
          <w:tcPr>
            <w:tcW w:w="1525" w:type="pct"/>
            <w:vMerge/>
            <w:shd w:val="clear" w:color="auto" w:fill="auto"/>
            <w:vAlign w:val="center"/>
            <w:hideMark/>
          </w:tcPr>
          <w:p w14:paraId="02BD01CE" w14:textId="77777777" w:rsidR="008F3544" w:rsidRPr="00192507" w:rsidRDefault="008F3544" w:rsidP="0099088D">
            <w:pPr>
              <w:rPr>
                <w:color w:val="000000"/>
                <w:sz w:val="16"/>
                <w:szCs w:val="16"/>
              </w:rPr>
            </w:pPr>
          </w:p>
        </w:tc>
        <w:tc>
          <w:tcPr>
            <w:tcW w:w="696" w:type="pct"/>
            <w:vMerge/>
            <w:shd w:val="clear" w:color="auto" w:fill="auto"/>
            <w:vAlign w:val="center"/>
            <w:hideMark/>
          </w:tcPr>
          <w:p w14:paraId="27FAEFB0" w14:textId="77777777" w:rsidR="008F3544" w:rsidRPr="00192507" w:rsidRDefault="008F3544" w:rsidP="0099088D">
            <w:pPr>
              <w:rPr>
                <w:color w:val="000000"/>
                <w:sz w:val="16"/>
                <w:szCs w:val="16"/>
              </w:rPr>
            </w:pPr>
          </w:p>
        </w:tc>
        <w:tc>
          <w:tcPr>
            <w:tcW w:w="602" w:type="pct"/>
            <w:shd w:val="clear" w:color="auto" w:fill="auto"/>
            <w:noWrap/>
            <w:vAlign w:val="center"/>
            <w:hideMark/>
          </w:tcPr>
          <w:p w14:paraId="60CA0117" w14:textId="77777777" w:rsidR="008F3544" w:rsidRPr="00192507" w:rsidRDefault="008F3544" w:rsidP="0099088D">
            <w:pPr>
              <w:jc w:val="center"/>
              <w:rPr>
                <w:color w:val="000000"/>
                <w:sz w:val="16"/>
                <w:szCs w:val="16"/>
              </w:rPr>
            </w:pPr>
            <w:r w:rsidRPr="00192507">
              <w:rPr>
                <w:color w:val="000000"/>
                <w:sz w:val="16"/>
                <w:szCs w:val="16"/>
              </w:rPr>
              <w:t>154 419,91</w:t>
            </w:r>
          </w:p>
        </w:tc>
        <w:tc>
          <w:tcPr>
            <w:tcW w:w="603" w:type="pct"/>
            <w:shd w:val="clear" w:color="auto" w:fill="auto"/>
            <w:noWrap/>
            <w:vAlign w:val="center"/>
            <w:hideMark/>
          </w:tcPr>
          <w:p w14:paraId="4098AB25" w14:textId="77777777" w:rsidR="008F3544" w:rsidRPr="00192507" w:rsidRDefault="008F3544" w:rsidP="0099088D">
            <w:pPr>
              <w:jc w:val="center"/>
              <w:rPr>
                <w:color w:val="000000"/>
                <w:sz w:val="16"/>
                <w:szCs w:val="16"/>
              </w:rPr>
            </w:pPr>
            <w:r w:rsidRPr="00192507">
              <w:rPr>
                <w:color w:val="000000"/>
                <w:sz w:val="16"/>
                <w:szCs w:val="16"/>
              </w:rPr>
              <w:t>154 419,91</w:t>
            </w:r>
          </w:p>
        </w:tc>
      </w:tr>
      <w:tr w:rsidR="008F3544" w:rsidRPr="00192507" w14:paraId="39ED03D1" w14:textId="77777777" w:rsidTr="0099088D">
        <w:trPr>
          <w:trHeight w:val="396"/>
        </w:trPr>
        <w:tc>
          <w:tcPr>
            <w:tcW w:w="672" w:type="pct"/>
            <w:vMerge/>
            <w:shd w:val="clear" w:color="auto" w:fill="auto"/>
            <w:vAlign w:val="center"/>
            <w:hideMark/>
          </w:tcPr>
          <w:p w14:paraId="2C10104A" w14:textId="77777777" w:rsidR="008F3544" w:rsidRPr="00192507" w:rsidRDefault="008F3544" w:rsidP="0099088D">
            <w:pPr>
              <w:rPr>
                <w:color w:val="000000"/>
                <w:sz w:val="16"/>
                <w:szCs w:val="16"/>
              </w:rPr>
            </w:pPr>
          </w:p>
        </w:tc>
        <w:tc>
          <w:tcPr>
            <w:tcW w:w="902" w:type="pct"/>
            <w:shd w:val="clear" w:color="auto" w:fill="auto"/>
            <w:vAlign w:val="center"/>
            <w:hideMark/>
          </w:tcPr>
          <w:p w14:paraId="7F4DBED8" w14:textId="77777777" w:rsidR="008F3544" w:rsidRPr="00904E38"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rPr>
                      <m:t>8.2.3.</m:t>
                    </m:r>
                  </m:sub>
                  <m:sup>
                    <m:r>
                      <m:rPr>
                        <m:nor/>
                      </m:rPr>
                      <w:rPr>
                        <w:color w:val="000000"/>
                      </w:rPr>
                      <m:t>110 кВ и выше</m:t>
                    </m:r>
                  </m:sup>
                </m:sSubSup>
              </m:oMath>
            </m:oMathPara>
          </w:p>
        </w:tc>
        <w:tc>
          <w:tcPr>
            <w:tcW w:w="1525" w:type="pct"/>
            <w:vMerge/>
            <w:shd w:val="clear" w:color="auto" w:fill="auto"/>
            <w:vAlign w:val="center"/>
            <w:hideMark/>
          </w:tcPr>
          <w:p w14:paraId="649F6E1C" w14:textId="77777777" w:rsidR="008F3544" w:rsidRPr="00192507" w:rsidRDefault="008F3544" w:rsidP="0099088D">
            <w:pPr>
              <w:rPr>
                <w:color w:val="000000"/>
                <w:sz w:val="16"/>
                <w:szCs w:val="16"/>
              </w:rPr>
            </w:pPr>
          </w:p>
        </w:tc>
        <w:tc>
          <w:tcPr>
            <w:tcW w:w="696" w:type="pct"/>
            <w:vMerge/>
            <w:shd w:val="clear" w:color="auto" w:fill="auto"/>
            <w:vAlign w:val="center"/>
            <w:hideMark/>
          </w:tcPr>
          <w:p w14:paraId="53501BEF" w14:textId="77777777" w:rsidR="008F3544" w:rsidRPr="00192507" w:rsidRDefault="008F3544" w:rsidP="0099088D">
            <w:pPr>
              <w:rPr>
                <w:color w:val="000000"/>
                <w:sz w:val="16"/>
                <w:szCs w:val="16"/>
              </w:rPr>
            </w:pPr>
          </w:p>
        </w:tc>
        <w:tc>
          <w:tcPr>
            <w:tcW w:w="602" w:type="pct"/>
            <w:shd w:val="clear" w:color="auto" w:fill="auto"/>
            <w:noWrap/>
            <w:vAlign w:val="center"/>
            <w:hideMark/>
          </w:tcPr>
          <w:p w14:paraId="434C9204" w14:textId="77777777" w:rsidR="008F3544" w:rsidRPr="00192507" w:rsidRDefault="008F3544" w:rsidP="0099088D">
            <w:pPr>
              <w:jc w:val="center"/>
              <w:rPr>
                <w:color w:val="000000"/>
                <w:sz w:val="16"/>
                <w:szCs w:val="16"/>
              </w:rPr>
            </w:pPr>
            <w:r w:rsidRPr="00192507">
              <w:rPr>
                <w:color w:val="000000"/>
                <w:sz w:val="16"/>
                <w:szCs w:val="16"/>
              </w:rPr>
              <w:t>156 066,53</w:t>
            </w:r>
          </w:p>
        </w:tc>
        <w:tc>
          <w:tcPr>
            <w:tcW w:w="603" w:type="pct"/>
            <w:shd w:val="clear" w:color="auto" w:fill="auto"/>
            <w:noWrap/>
            <w:vAlign w:val="center"/>
            <w:hideMark/>
          </w:tcPr>
          <w:p w14:paraId="6B8A7665" w14:textId="77777777" w:rsidR="008F3544" w:rsidRPr="00192507" w:rsidRDefault="008F3544" w:rsidP="0099088D">
            <w:pPr>
              <w:jc w:val="center"/>
              <w:rPr>
                <w:color w:val="000000"/>
                <w:sz w:val="16"/>
                <w:szCs w:val="16"/>
              </w:rPr>
            </w:pPr>
            <w:r w:rsidRPr="00192507">
              <w:rPr>
                <w:color w:val="000000"/>
                <w:sz w:val="16"/>
                <w:szCs w:val="16"/>
              </w:rPr>
              <w:t>156 066,53</w:t>
            </w:r>
          </w:p>
        </w:tc>
      </w:tr>
      <w:tr w:rsidR="008F3544" w:rsidRPr="00192507" w14:paraId="3B2E3327" w14:textId="77777777" w:rsidTr="0099088D">
        <w:trPr>
          <w:trHeight w:val="396"/>
        </w:trPr>
        <w:tc>
          <w:tcPr>
            <w:tcW w:w="5000" w:type="pct"/>
            <w:gridSpan w:val="6"/>
            <w:shd w:val="clear" w:color="auto" w:fill="auto"/>
            <w:vAlign w:val="center"/>
          </w:tcPr>
          <w:p w14:paraId="54B83DF8" w14:textId="77777777" w:rsidR="008F3544" w:rsidRPr="00192507" w:rsidRDefault="008F3544" w:rsidP="0099088D">
            <w:pPr>
              <w:jc w:val="center"/>
              <w:rPr>
                <w:color w:val="000000"/>
                <w:sz w:val="16"/>
                <w:szCs w:val="16"/>
              </w:rPr>
            </w:pPr>
            <w:r w:rsidRPr="00611590">
              <w:rPr>
                <w:color w:val="000000"/>
                <w:sz w:val="16"/>
                <w:szCs w:val="16"/>
              </w:rPr>
              <w:t>Для Заявителей, осуществляющих технологическое присоединение своих энергопринимающих устройств максимальной мощностью не</w:t>
            </w:r>
            <w:r>
              <w:rPr>
                <w:color w:val="000000"/>
                <w:sz w:val="16"/>
                <w:szCs w:val="16"/>
              </w:rPr>
              <w:t> </w:t>
            </w:r>
            <w:r w:rsidRPr="00611590">
              <w:rPr>
                <w:color w:val="000000"/>
                <w:sz w:val="16"/>
                <w:szCs w:val="16"/>
              </w:rPr>
              <w:t>более 150 кВт стандартизированные тарифные ставки</w:t>
            </w:r>
          </w:p>
        </w:tc>
      </w:tr>
      <w:tr w:rsidR="008F3544" w:rsidRPr="00192507" w14:paraId="2BBCE868" w14:textId="77777777" w:rsidTr="0099088D">
        <w:trPr>
          <w:trHeight w:val="396"/>
        </w:trPr>
        <w:tc>
          <w:tcPr>
            <w:tcW w:w="1574" w:type="pct"/>
            <w:gridSpan w:val="2"/>
            <w:shd w:val="clear" w:color="auto" w:fill="auto"/>
            <w:vAlign w:val="center"/>
          </w:tcPr>
          <w:p w14:paraId="766D33C2" w14:textId="77777777" w:rsidR="008F3544" w:rsidRPr="00904E38" w:rsidRDefault="008F3544" w:rsidP="0099088D">
            <w:pPr>
              <w:rPr>
                <w:color w:val="000000"/>
              </w:rPr>
            </w:pPr>
            <m:oMathPara>
              <m:oMath>
                <m:sSubSup>
                  <m:sSubSupPr>
                    <m:ctrlPr>
                      <w:rPr>
                        <w:rFonts w:ascii="Cambria Math" w:hAnsi="Cambria Math"/>
                        <w:i/>
                        <w:color w:val="000000"/>
                      </w:rPr>
                    </m:ctrlPr>
                  </m:sSubSupPr>
                  <m:e>
                    <m:r>
                      <m:rPr>
                        <m:nor/>
                      </m:rPr>
                      <w:rPr>
                        <w:color w:val="000000"/>
                      </w:rPr>
                      <m:t>С</m:t>
                    </m:r>
                  </m:e>
                  <m:sub>
                    <m:r>
                      <m:rPr>
                        <m:nor/>
                      </m:rPr>
                      <w:rPr>
                        <w:color w:val="000000"/>
                      </w:rPr>
                      <m:t>2 (</m:t>
                    </m:r>
                    <m:r>
                      <m:rPr>
                        <m:nor/>
                      </m:rPr>
                      <w:rPr>
                        <w:color w:val="000000"/>
                        <w:lang w:val="en-US"/>
                      </w:rPr>
                      <m:t>s,t)</m:t>
                    </m:r>
                  </m:sub>
                  <m:sup>
                    <m:r>
                      <m:rPr>
                        <m:nor/>
                      </m:rPr>
                      <w:rPr>
                        <w:color w:val="000000"/>
                        <w:lang w:val="en-US"/>
                      </w:rPr>
                      <m:t>&lt;150</m:t>
                    </m:r>
                    <m:r>
                      <m:rPr>
                        <m:nor/>
                      </m:rPr>
                      <w:rPr>
                        <w:color w:val="000000"/>
                      </w:rPr>
                      <m:t xml:space="preserve"> кВт</m:t>
                    </m:r>
                  </m:sup>
                </m:sSubSup>
              </m:oMath>
            </m:oMathPara>
          </w:p>
        </w:tc>
        <w:tc>
          <w:tcPr>
            <w:tcW w:w="1525" w:type="pct"/>
            <w:shd w:val="clear" w:color="auto" w:fill="auto"/>
            <w:vAlign w:val="center"/>
          </w:tcPr>
          <w:p w14:paraId="56679C73" w14:textId="77777777" w:rsidR="008F3544" w:rsidRPr="00192507" w:rsidRDefault="008F3544" w:rsidP="0099088D">
            <w:pPr>
              <w:rPr>
                <w:color w:val="000000"/>
                <w:sz w:val="16"/>
                <w:szCs w:val="16"/>
              </w:rPr>
            </w:pPr>
            <w:r w:rsidRPr="00023416">
              <w:rPr>
                <w:color w:val="000000"/>
                <w:sz w:val="16"/>
                <w:szCs w:val="16"/>
              </w:rPr>
              <w:t xml:space="preserve">Строительство воздушных линий </w:t>
            </w:r>
          </w:p>
        </w:tc>
        <w:tc>
          <w:tcPr>
            <w:tcW w:w="696" w:type="pct"/>
            <w:shd w:val="clear" w:color="auto" w:fill="auto"/>
            <w:vAlign w:val="center"/>
          </w:tcPr>
          <w:p w14:paraId="5FE9D519" w14:textId="77777777" w:rsidR="008F3544" w:rsidRPr="00192507" w:rsidRDefault="008F3544" w:rsidP="0099088D">
            <w:pPr>
              <w:jc w:val="center"/>
              <w:rPr>
                <w:color w:val="000000"/>
                <w:sz w:val="16"/>
                <w:szCs w:val="16"/>
              </w:rPr>
            </w:pPr>
            <w:r>
              <w:rPr>
                <w:color w:val="000000"/>
                <w:sz w:val="16"/>
                <w:szCs w:val="16"/>
              </w:rPr>
              <w:t>рублей/км</w:t>
            </w:r>
          </w:p>
        </w:tc>
        <w:tc>
          <w:tcPr>
            <w:tcW w:w="602" w:type="pct"/>
            <w:shd w:val="clear" w:color="auto" w:fill="auto"/>
            <w:noWrap/>
            <w:vAlign w:val="center"/>
          </w:tcPr>
          <w:p w14:paraId="28A0FA73" w14:textId="77777777" w:rsidR="008F3544" w:rsidRPr="00192507" w:rsidRDefault="008F3544" w:rsidP="0099088D">
            <w:pPr>
              <w:jc w:val="center"/>
              <w:rPr>
                <w:color w:val="000000"/>
                <w:sz w:val="16"/>
                <w:szCs w:val="16"/>
              </w:rPr>
            </w:pPr>
            <w:r>
              <w:rPr>
                <w:color w:val="000000"/>
                <w:sz w:val="16"/>
                <w:szCs w:val="16"/>
                <w:lang w:val="en-US"/>
              </w:rPr>
              <w:t>0,00</w:t>
            </w:r>
          </w:p>
        </w:tc>
        <w:tc>
          <w:tcPr>
            <w:tcW w:w="603" w:type="pct"/>
            <w:shd w:val="clear" w:color="auto" w:fill="auto"/>
            <w:noWrap/>
            <w:vAlign w:val="center"/>
          </w:tcPr>
          <w:p w14:paraId="42B4C380" w14:textId="77777777" w:rsidR="008F3544" w:rsidRPr="00192507" w:rsidRDefault="008F3544" w:rsidP="0099088D">
            <w:pPr>
              <w:jc w:val="center"/>
              <w:rPr>
                <w:color w:val="000000"/>
                <w:sz w:val="16"/>
                <w:szCs w:val="16"/>
              </w:rPr>
            </w:pPr>
            <w:r>
              <w:rPr>
                <w:color w:val="000000"/>
                <w:sz w:val="16"/>
                <w:szCs w:val="16"/>
                <w:lang w:val="en-US"/>
              </w:rPr>
              <w:t>0,00</w:t>
            </w:r>
          </w:p>
        </w:tc>
      </w:tr>
      <w:tr w:rsidR="008F3544" w:rsidRPr="00192507" w14:paraId="6FBD5A6E" w14:textId="77777777" w:rsidTr="0099088D">
        <w:trPr>
          <w:trHeight w:val="396"/>
        </w:trPr>
        <w:tc>
          <w:tcPr>
            <w:tcW w:w="1574" w:type="pct"/>
            <w:gridSpan w:val="2"/>
            <w:shd w:val="clear" w:color="auto" w:fill="auto"/>
            <w:vAlign w:val="center"/>
          </w:tcPr>
          <w:p w14:paraId="092CAEA2" w14:textId="77777777" w:rsidR="008F3544" w:rsidRPr="00904E38" w:rsidRDefault="008F3544" w:rsidP="0099088D">
            <w:pPr>
              <w:rPr>
                <w:color w:val="000000"/>
              </w:rPr>
            </w:pPr>
            <m:oMathPara>
              <m:oMath>
                <m:sSubSup>
                  <m:sSubSupPr>
                    <m:ctrlPr>
                      <w:rPr>
                        <w:rFonts w:ascii="Cambria Math" w:hAnsi="Cambria Math"/>
                        <w:i/>
                        <w:color w:val="000000"/>
                      </w:rPr>
                    </m:ctrlPr>
                  </m:sSubSupPr>
                  <m:e>
                    <m:r>
                      <m:rPr>
                        <m:nor/>
                      </m:rPr>
                      <w:rPr>
                        <w:color w:val="000000"/>
                      </w:rPr>
                      <m:t>С</m:t>
                    </m:r>
                  </m:e>
                  <m:sub>
                    <m:r>
                      <m:rPr>
                        <m:nor/>
                      </m:rPr>
                      <w:rPr>
                        <w:color w:val="000000"/>
                        <w:lang w:val="en-US"/>
                      </w:rPr>
                      <m:t>3</m:t>
                    </m:r>
                    <m:r>
                      <m:rPr>
                        <m:nor/>
                      </m:rPr>
                      <w:rPr>
                        <w:color w:val="000000"/>
                      </w:rPr>
                      <m:t xml:space="preserve"> (</m:t>
                    </m:r>
                    <m:r>
                      <m:rPr>
                        <m:nor/>
                      </m:rPr>
                      <w:rPr>
                        <w:color w:val="000000"/>
                        <w:lang w:val="en-US"/>
                      </w:rPr>
                      <m:t>s,t)</m:t>
                    </m:r>
                  </m:sub>
                  <m:sup>
                    <m:r>
                      <m:rPr>
                        <m:nor/>
                      </m:rPr>
                      <w:rPr>
                        <w:color w:val="000000"/>
                        <w:lang w:val="en-US"/>
                      </w:rPr>
                      <m:t>&lt;150</m:t>
                    </m:r>
                    <m:r>
                      <m:rPr>
                        <m:nor/>
                      </m:rPr>
                      <w:rPr>
                        <w:color w:val="000000"/>
                      </w:rPr>
                      <m:t xml:space="preserve"> кВт</m:t>
                    </m:r>
                  </m:sup>
                </m:sSubSup>
              </m:oMath>
            </m:oMathPara>
          </w:p>
        </w:tc>
        <w:tc>
          <w:tcPr>
            <w:tcW w:w="1525" w:type="pct"/>
            <w:shd w:val="clear" w:color="auto" w:fill="auto"/>
            <w:vAlign w:val="center"/>
          </w:tcPr>
          <w:p w14:paraId="12342FF5" w14:textId="77777777" w:rsidR="008F3544" w:rsidRPr="00192507" w:rsidRDefault="008F3544" w:rsidP="0099088D">
            <w:pPr>
              <w:rPr>
                <w:color w:val="000000"/>
                <w:sz w:val="16"/>
                <w:szCs w:val="16"/>
              </w:rPr>
            </w:pPr>
            <w:r w:rsidRPr="00023416">
              <w:rPr>
                <w:color w:val="000000"/>
                <w:sz w:val="16"/>
                <w:szCs w:val="16"/>
              </w:rPr>
              <w:t>Строительство кабельных линий</w:t>
            </w:r>
          </w:p>
        </w:tc>
        <w:tc>
          <w:tcPr>
            <w:tcW w:w="696" w:type="pct"/>
            <w:shd w:val="clear" w:color="auto" w:fill="auto"/>
            <w:vAlign w:val="center"/>
          </w:tcPr>
          <w:p w14:paraId="772078D5" w14:textId="77777777" w:rsidR="008F3544" w:rsidRPr="00192507" w:rsidRDefault="008F3544" w:rsidP="0099088D">
            <w:pPr>
              <w:jc w:val="center"/>
              <w:rPr>
                <w:color w:val="000000"/>
                <w:sz w:val="16"/>
                <w:szCs w:val="16"/>
              </w:rPr>
            </w:pPr>
            <w:r>
              <w:rPr>
                <w:color w:val="000000"/>
                <w:sz w:val="16"/>
                <w:szCs w:val="16"/>
              </w:rPr>
              <w:t>рублей/км</w:t>
            </w:r>
          </w:p>
        </w:tc>
        <w:tc>
          <w:tcPr>
            <w:tcW w:w="602" w:type="pct"/>
            <w:shd w:val="clear" w:color="auto" w:fill="auto"/>
            <w:noWrap/>
            <w:vAlign w:val="center"/>
          </w:tcPr>
          <w:p w14:paraId="33C87160" w14:textId="77777777" w:rsidR="008F3544" w:rsidRPr="00192507" w:rsidRDefault="008F3544" w:rsidP="0099088D">
            <w:pPr>
              <w:jc w:val="center"/>
              <w:rPr>
                <w:color w:val="000000"/>
                <w:sz w:val="16"/>
                <w:szCs w:val="16"/>
              </w:rPr>
            </w:pPr>
            <w:r>
              <w:rPr>
                <w:color w:val="000000"/>
                <w:sz w:val="16"/>
                <w:szCs w:val="16"/>
                <w:lang w:val="en-US"/>
              </w:rPr>
              <w:t>0,00</w:t>
            </w:r>
          </w:p>
        </w:tc>
        <w:tc>
          <w:tcPr>
            <w:tcW w:w="603" w:type="pct"/>
            <w:shd w:val="clear" w:color="auto" w:fill="auto"/>
            <w:noWrap/>
            <w:vAlign w:val="center"/>
          </w:tcPr>
          <w:p w14:paraId="2BB23C3A" w14:textId="77777777" w:rsidR="008F3544" w:rsidRPr="00192507" w:rsidRDefault="008F3544" w:rsidP="0099088D">
            <w:pPr>
              <w:jc w:val="center"/>
              <w:rPr>
                <w:color w:val="000000"/>
                <w:sz w:val="16"/>
                <w:szCs w:val="16"/>
              </w:rPr>
            </w:pPr>
            <w:r>
              <w:rPr>
                <w:color w:val="000000"/>
                <w:sz w:val="16"/>
                <w:szCs w:val="16"/>
                <w:lang w:val="en-US"/>
              </w:rPr>
              <w:t>0,00</w:t>
            </w:r>
          </w:p>
        </w:tc>
      </w:tr>
      <w:tr w:rsidR="008F3544" w:rsidRPr="00192507" w14:paraId="5E6AF3A0" w14:textId="77777777" w:rsidTr="0099088D">
        <w:trPr>
          <w:trHeight w:val="396"/>
        </w:trPr>
        <w:tc>
          <w:tcPr>
            <w:tcW w:w="1574" w:type="pct"/>
            <w:gridSpan w:val="2"/>
            <w:shd w:val="clear" w:color="auto" w:fill="auto"/>
            <w:vAlign w:val="center"/>
          </w:tcPr>
          <w:p w14:paraId="4E43143D" w14:textId="77777777" w:rsidR="008F3544" w:rsidRPr="00904E38" w:rsidRDefault="008F3544" w:rsidP="0099088D">
            <w:pPr>
              <w:rPr>
                <w:color w:val="000000"/>
              </w:rPr>
            </w:pPr>
            <m:oMathPara>
              <m:oMath>
                <m:sSubSup>
                  <m:sSubSupPr>
                    <m:ctrlPr>
                      <w:rPr>
                        <w:rFonts w:ascii="Cambria Math" w:hAnsi="Cambria Math"/>
                        <w:i/>
                        <w:color w:val="000000"/>
                      </w:rPr>
                    </m:ctrlPr>
                  </m:sSubSupPr>
                  <m:e>
                    <m:r>
                      <m:rPr>
                        <m:nor/>
                      </m:rPr>
                      <w:rPr>
                        <w:color w:val="000000"/>
                      </w:rPr>
                      <m:t>С</m:t>
                    </m:r>
                  </m:e>
                  <m:sub>
                    <m:r>
                      <m:rPr>
                        <m:nor/>
                      </m:rPr>
                      <w:rPr>
                        <w:color w:val="000000"/>
                      </w:rPr>
                      <m:t>4 (</m:t>
                    </m:r>
                    <m:r>
                      <m:rPr>
                        <m:nor/>
                      </m:rPr>
                      <w:rPr>
                        <w:color w:val="000000"/>
                        <w:lang w:val="en-US"/>
                      </w:rPr>
                      <m:t>s,t)</m:t>
                    </m:r>
                  </m:sub>
                  <m:sup>
                    <m:r>
                      <m:rPr>
                        <m:nor/>
                      </m:rPr>
                      <w:rPr>
                        <w:color w:val="000000"/>
                        <w:lang w:val="en-US"/>
                      </w:rPr>
                      <m:t>&lt;150</m:t>
                    </m:r>
                    <m:r>
                      <m:rPr>
                        <m:nor/>
                      </m:rPr>
                      <w:rPr>
                        <w:color w:val="000000"/>
                      </w:rPr>
                      <m:t xml:space="preserve"> кВт</m:t>
                    </m:r>
                  </m:sup>
                </m:sSubSup>
              </m:oMath>
            </m:oMathPara>
          </w:p>
        </w:tc>
        <w:tc>
          <w:tcPr>
            <w:tcW w:w="1525" w:type="pct"/>
            <w:shd w:val="clear" w:color="auto" w:fill="auto"/>
            <w:vAlign w:val="center"/>
          </w:tcPr>
          <w:p w14:paraId="7E6C3FBF" w14:textId="77777777" w:rsidR="008F3544" w:rsidRPr="00192507" w:rsidRDefault="008F3544" w:rsidP="0099088D">
            <w:pPr>
              <w:rPr>
                <w:color w:val="000000"/>
                <w:sz w:val="16"/>
                <w:szCs w:val="16"/>
              </w:rPr>
            </w:pPr>
            <w:r>
              <w:rPr>
                <w:color w:val="000000"/>
                <w:sz w:val="16"/>
                <w:szCs w:val="16"/>
              </w:rPr>
              <w:t>Строительство пунктов секционирования</w:t>
            </w:r>
          </w:p>
        </w:tc>
        <w:tc>
          <w:tcPr>
            <w:tcW w:w="696" w:type="pct"/>
            <w:shd w:val="clear" w:color="auto" w:fill="auto"/>
            <w:vAlign w:val="center"/>
          </w:tcPr>
          <w:p w14:paraId="19D68F8E" w14:textId="77777777" w:rsidR="008F3544" w:rsidRPr="00192507" w:rsidRDefault="008F3544" w:rsidP="0099088D">
            <w:pPr>
              <w:jc w:val="center"/>
              <w:rPr>
                <w:color w:val="000000"/>
                <w:sz w:val="16"/>
                <w:szCs w:val="16"/>
              </w:rPr>
            </w:pPr>
            <w:r>
              <w:rPr>
                <w:color w:val="000000"/>
                <w:sz w:val="16"/>
                <w:szCs w:val="16"/>
              </w:rPr>
              <w:t>рублей/шт.</w:t>
            </w:r>
          </w:p>
        </w:tc>
        <w:tc>
          <w:tcPr>
            <w:tcW w:w="602" w:type="pct"/>
            <w:shd w:val="clear" w:color="auto" w:fill="auto"/>
            <w:noWrap/>
            <w:vAlign w:val="center"/>
          </w:tcPr>
          <w:p w14:paraId="574DF627" w14:textId="77777777" w:rsidR="008F3544" w:rsidRPr="00192507" w:rsidRDefault="008F3544" w:rsidP="0099088D">
            <w:pPr>
              <w:jc w:val="center"/>
              <w:rPr>
                <w:color w:val="000000"/>
                <w:sz w:val="16"/>
                <w:szCs w:val="16"/>
              </w:rPr>
            </w:pPr>
            <w:r>
              <w:rPr>
                <w:color w:val="000000"/>
                <w:sz w:val="16"/>
                <w:szCs w:val="16"/>
                <w:lang w:val="en-US"/>
              </w:rPr>
              <w:t>0,00</w:t>
            </w:r>
          </w:p>
        </w:tc>
        <w:tc>
          <w:tcPr>
            <w:tcW w:w="603" w:type="pct"/>
            <w:shd w:val="clear" w:color="auto" w:fill="auto"/>
            <w:noWrap/>
            <w:vAlign w:val="center"/>
          </w:tcPr>
          <w:p w14:paraId="64E91F84" w14:textId="77777777" w:rsidR="008F3544" w:rsidRPr="00192507" w:rsidRDefault="008F3544" w:rsidP="0099088D">
            <w:pPr>
              <w:jc w:val="center"/>
              <w:rPr>
                <w:color w:val="000000"/>
                <w:sz w:val="16"/>
                <w:szCs w:val="16"/>
              </w:rPr>
            </w:pPr>
            <w:r>
              <w:rPr>
                <w:color w:val="000000"/>
                <w:sz w:val="16"/>
                <w:szCs w:val="16"/>
                <w:lang w:val="en-US"/>
              </w:rPr>
              <w:t>0,00</w:t>
            </w:r>
          </w:p>
        </w:tc>
      </w:tr>
      <w:tr w:rsidR="008F3544" w:rsidRPr="00192507" w14:paraId="11ABEEA8" w14:textId="77777777" w:rsidTr="0099088D">
        <w:trPr>
          <w:trHeight w:val="396"/>
        </w:trPr>
        <w:tc>
          <w:tcPr>
            <w:tcW w:w="1574" w:type="pct"/>
            <w:gridSpan w:val="2"/>
            <w:shd w:val="clear" w:color="auto" w:fill="auto"/>
            <w:vAlign w:val="center"/>
          </w:tcPr>
          <w:p w14:paraId="481137D0" w14:textId="77777777" w:rsidR="008F3544" w:rsidRPr="00904E38" w:rsidRDefault="008F3544" w:rsidP="0099088D">
            <w:pPr>
              <w:rPr>
                <w:color w:val="000000"/>
              </w:rPr>
            </w:pPr>
            <m:oMathPara>
              <m:oMath>
                <m:sSubSup>
                  <m:sSubSupPr>
                    <m:ctrlPr>
                      <w:rPr>
                        <w:rFonts w:ascii="Cambria Math" w:hAnsi="Cambria Math"/>
                        <w:i/>
                        <w:color w:val="000000"/>
                      </w:rPr>
                    </m:ctrlPr>
                  </m:sSubSupPr>
                  <m:e>
                    <m:r>
                      <m:rPr>
                        <m:nor/>
                      </m:rPr>
                      <w:rPr>
                        <w:color w:val="000000"/>
                      </w:rPr>
                      <m:t>С</m:t>
                    </m:r>
                  </m:e>
                  <m:sub>
                    <m:r>
                      <m:rPr>
                        <m:nor/>
                      </m:rPr>
                      <w:rPr>
                        <w:color w:val="000000"/>
                      </w:rPr>
                      <m:t>5 (</m:t>
                    </m:r>
                    <m:r>
                      <m:rPr>
                        <m:nor/>
                      </m:rPr>
                      <w:rPr>
                        <w:color w:val="000000"/>
                        <w:lang w:val="en-US"/>
                      </w:rPr>
                      <m:t>s,t)</m:t>
                    </m:r>
                  </m:sub>
                  <m:sup>
                    <m:r>
                      <m:rPr>
                        <m:nor/>
                      </m:rPr>
                      <w:rPr>
                        <w:color w:val="000000"/>
                        <w:lang w:val="en-US"/>
                      </w:rPr>
                      <m:t>&lt;150</m:t>
                    </m:r>
                    <m:r>
                      <m:rPr>
                        <m:nor/>
                      </m:rPr>
                      <w:rPr>
                        <w:color w:val="000000"/>
                      </w:rPr>
                      <m:t xml:space="preserve"> кВт</m:t>
                    </m:r>
                  </m:sup>
                </m:sSubSup>
              </m:oMath>
            </m:oMathPara>
          </w:p>
        </w:tc>
        <w:tc>
          <w:tcPr>
            <w:tcW w:w="1525" w:type="pct"/>
            <w:shd w:val="clear" w:color="auto" w:fill="auto"/>
            <w:vAlign w:val="center"/>
          </w:tcPr>
          <w:p w14:paraId="5796F59C" w14:textId="77777777" w:rsidR="008F3544" w:rsidRPr="00192507" w:rsidRDefault="008F3544" w:rsidP="0099088D">
            <w:pPr>
              <w:rPr>
                <w:color w:val="000000"/>
                <w:sz w:val="16"/>
                <w:szCs w:val="16"/>
              </w:rPr>
            </w:pPr>
            <w:r>
              <w:rPr>
                <w:color w:val="000000"/>
                <w:sz w:val="16"/>
                <w:szCs w:val="16"/>
              </w:rPr>
              <w:t>С</w:t>
            </w:r>
            <w:r w:rsidRPr="00726812">
              <w:rPr>
                <w:color w:val="000000"/>
                <w:sz w:val="16"/>
                <w:szCs w:val="16"/>
              </w:rPr>
              <w:t>троительств</w:t>
            </w:r>
            <w:r>
              <w:rPr>
                <w:color w:val="000000"/>
                <w:sz w:val="16"/>
                <w:szCs w:val="16"/>
              </w:rPr>
              <w:t>о</w:t>
            </w:r>
            <w:r w:rsidRPr="00726812">
              <w:rPr>
                <w:color w:val="000000"/>
                <w:sz w:val="16"/>
                <w:szCs w:val="16"/>
              </w:rPr>
              <w:t xml:space="preserve"> трансформаторных подстанций (ТП), за исключением распределительных трансформаторных подстанций (РТП)</w:t>
            </w:r>
          </w:p>
        </w:tc>
        <w:tc>
          <w:tcPr>
            <w:tcW w:w="696" w:type="pct"/>
            <w:shd w:val="clear" w:color="auto" w:fill="auto"/>
            <w:vAlign w:val="center"/>
          </w:tcPr>
          <w:p w14:paraId="555953B6" w14:textId="77777777" w:rsidR="008F3544" w:rsidRPr="00192507" w:rsidRDefault="008F3544" w:rsidP="0099088D">
            <w:pPr>
              <w:jc w:val="center"/>
              <w:rPr>
                <w:color w:val="000000"/>
                <w:sz w:val="16"/>
                <w:szCs w:val="16"/>
              </w:rPr>
            </w:pPr>
            <w:r>
              <w:rPr>
                <w:color w:val="000000"/>
                <w:sz w:val="16"/>
                <w:szCs w:val="16"/>
              </w:rPr>
              <w:t>рублей/кВт</w:t>
            </w:r>
          </w:p>
        </w:tc>
        <w:tc>
          <w:tcPr>
            <w:tcW w:w="602" w:type="pct"/>
            <w:shd w:val="clear" w:color="auto" w:fill="auto"/>
            <w:noWrap/>
            <w:vAlign w:val="center"/>
          </w:tcPr>
          <w:p w14:paraId="5EED587D" w14:textId="77777777" w:rsidR="008F3544" w:rsidRPr="00192507" w:rsidRDefault="008F3544" w:rsidP="0099088D">
            <w:pPr>
              <w:jc w:val="center"/>
              <w:rPr>
                <w:color w:val="000000"/>
                <w:sz w:val="16"/>
                <w:szCs w:val="16"/>
              </w:rPr>
            </w:pPr>
            <w:r>
              <w:rPr>
                <w:color w:val="000000"/>
                <w:sz w:val="16"/>
                <w:szCs w:val="16"/>
                <w:lang w:val="en-US"/>
              </w:rPr>
              <w:t>0,00</w:t>
            </w:r>
          </w:p>
        </w:tc>
        <w:tc>
          <w:tcPr>
            <w:tcW w:w="603" w:type="pct"/>
            <w:shd w:val="clear" w:color="auto" w:fill="auto"/>
            <w:noWrap/>
            <w:vAlign w:val="center"/>
          </w:tcPr>
          <w:p w14:paraId="5268986A" w14:textId="77777777" w:rsidR="008F3544" w:rsidRPr="00192507" w:rsidRDefault="008F3544" w:rsidP="0099088D">
            <w:pPr>
              <w:jc w:val="center"/>
              <w:rPr>
                <w:color w:val="000000"/>
                <w:sz w:val="16"/>
                <w:szCs w:val="16"/>
              </w:rPr>
            </w:pPr>
            <w:r>
              <w:rPr>
                <w:color w:val="000000"/>
                <w:sz w:val="16"/>
                <w:szCs w:val="16"/>
                <w:lang w:val="en-US"/>
              </w:rPr>
              <w:t>0,00</w:t>
            </w:r>
          </w:p>
        </w:tc>
      </w:tr>
      <w:tr w:rsidR="008F3544" w:rsidRPr="00192507" w14:paraId="703A2932" w14:textId="77777777" w:rsidTr="0099088D">
        <w:trPr>
          <w:trHeight w:val="396"/>
        </w:trPr>
        <w:tc>
          <w:tcPr>
            <w:tcW w:w="1574" w:type="pct"/>
            <w:gridSpan w:val="2"/>
            <w:shd w:val="clear" w:color="auto" w:fill="auto"/>
            <w:vAlign w:val="center"/>
          </w:tcPr>
          <w:p w14:paraId="0BEF55D6" w14:textId="77777777" w:rsidR="008F3544" w:rsidRPr="00904E38" w:rsidRDefault="008F3544" w:rsidP="0099088D">
            <w:pPr>
              <w:rPr>
                <w:color w:val="000000"/>
              </w:rPr>
            </w:pPr>
            <m:oMathPara>
              <m:oMath>
                <m:sSubSup>
                  <m:sSubSupPr>
                    <m:ctrlPr>
                      <w:rPr>
                        <w:rFonts w:ascii="Cambria Math" w:hAnsi="Cambria Math"/>
                        <w:i/>
                        <w:color w:val="000000"/>
                      </w:rPr>
                    </m:ctrlPr>
                  </m:sSubSupPr>
                  <m:e>
                    <m:r>
                      <m:rPr>
                        <m:nor/>
                      </m:rPr>
                      <w:rPr>
                        <w:color w:val="000000"/>
                      </w:rPr>
                      <m:t>С</m:t>
                    </m:r>
                  </m:e>
                  <m:sub>
                    <m:r>
                      <m:rPr>
                        <m:nor/>
                      </m:rPr>
                      <w:rPr>
                        <w:color w:val="000000"/>
                      </w:rPr>
                      <m:t>6 (</m:t>
                    </m:r>
                    <m:r>
                      <m:rPr>
                        <m:nor/>
                      </m:rPr>
                      <w:rPr>
                        <w:color w:val="000000"/>
                        <w:lang w:val="en-US"/>
                      </w:rPr>
                      <m:t>s,t)</m:t>
                    </m:r>
                  </m:sub>
                  <m:sup>
                    <m:r>
                      <m:rPr>
                        <m:nor/>
                      </m:rPr>
                      <w:rPr>
                        <w:color w:val="000000"/>
                        <w:lang w:val="en-US"/>
                      </w:rPr>
                      <m:t>&lt;150</m:t>
                    </m:r>
                    <m:r>
                      <m:rPr>
                        <m:nor/>
                      </m:rPr>
                      <w:rPr>
                        <w:color w:val="000000"/>
                      </w:rPr>
                      <m:t xml:space="preserve"> кВт</m:t>
                    </m:r>
                  </m:sup>
                </m:sSubSup>
              </m:oMath>
            </m:oMathPara>
          </w:p>
        </w:tc>
        <w:tc>
          <w:tcPr>
            <w:tcW w:w="1525" w:type="pct"/>
            <w:shd w:val="clear" w:color="auto" w:fill="auto"/>
            <w:vAlign w:val="center"/>
          </w:tcPr>
          <w:p w14:paraId="77BCAC0F" w14:textId="77777777" w:rsidR="008F3544" w:rsidRPr="00192507" w:rsidRDefault="008F3544" w:rsidP="0099088D">
            <w:pPr>
              <w:rPr>
                <w:color w:val="000000"/>
                <w:sz w:val="16"/>
                <w:szCs w:val="16"/>
              </w:rPr>
            </w:pPr>
            <w:r>
              <w:rPr>
                <w:color w:val="000000"/>
                <w:sz w:val="16"/>
                <w:szCs w:val="16"/>
              </w:rPr>
              <w:t>С</w:t>
            </w:r>
            <w:r w:rsidRPr="00E93F31">
              <w:rPr>
                <w:color w:val="000000"/>
                <w:sz w:val="16"/>
                <w:szCs w:val="16"/>
              </w:rPr>
              <w:t>троительств</w:t>
            </w:r>
            <w:r>
              <w:rPr>
                <w:color w:val="000000"/>
                <w:sz w:val="16"/>
                <w:szCs w:val="16"/>
              </w:rPr>
              <w:t xml:space="preserve">о </w:t>
            </w:r>
            <w:r w:rsidRPr="00E93F31">
              <w:rPr>
                <w:color w:val="000000"/>
                <w:sz w:val="16"/>
                <w:szCs w:val="16"/>
              </w:rPr>
              <w:t>распределительных трансформаторных подстанций (РТП) с уровнем напряжения до 35 кВ</w:t>
            </w:r>
          </w:p>
        </w:tc>
        <w:tc>
          <w:tcPr>
            <w:tcW w:w="696" w:type="pct"/>
            <w:shd w:val="clear" w:color="auto" w:fill="auto"/>
            <w:vAlign w:val="center"/>
          </w:tcPr>
          <w:p w14:paraId="1C21B9EE" w14:textId="77777777" w:rsidR="008F3544" w:rsidRPr="00192507" w:rsidRDefault="008F3544" w:rsidP="0099088D">
            <w:pPr>
              <w:jc w:val="center"/>
              <w:rPr>
                <w:color w:val="000000"/>
                <w:sz w:val="16"/>
                <w:szCs w:val="16"/>
              </w:rPr>
            </w:pPr>
            <w:r>
              <w:rPr>
                <w:color w:val="000000"/>
                <w:sz w:val="16"/>
                <w:szCs w:val="16"/>
              </w:rPr>
              <w:t>рублей/кВт</w:t>
            </w:r>
          </w:p>
        </w:tc>
        <w:tc>
          <w:tcPr>
            <w:tcW w:w="602" w:type="pct"/>
            <w:shd w:val="clear" w:color="auto" w:fill="auto"/>
            <w:noWrap/>
            <w:vAlign w:val="center"/>
          </w:tcPr>
          <w:p w14:paraId="54E6AA50" w14:textId="77777777" w:rsidR="008F3544" w:rsidRPr="00192507" w:rsidRDefault="008F3544" w:rsidP="0099088D">
            <w:pPr>
              <w:jc w:val="center"/>
              <w:rPr>
                <w:color w:val="000000"/>
                <w:sz w:val="16"/>
                <w:szCs w:val="16"/>
              </w:rPr>
            </w:pPr>
            <w:r>
              <w:rPr>
                <w:color w:val="000000"/>
                <w:sz w:val="16"/>
                <w:szCs w:val="16"/>
                <w:lang w:val="en-US"/>
              </w:rPr>
              <w:t>0,00</w:t>
            </w:r>
          </w:p>
        </w:tc>
        <w:tc>
          <w:tcPr>
            <w:tcW w:w="603" w:type="pct"/>
            <w:shd w:val="clear" w:color="auto" w:fill="auto"/>
            <w:noWrap/>
            <w:vAlign w:val="center"/>
          </w:tcPr>
          <w:p w14:paraId="3020AA83" w14:textId="77777777" w:rsidR="008F3544" w:rsidRPr="00192507" w:rsidRDefault="008F3544" w:rsidP="0099088D">
            <w:pPr>
              <w:jc w:val="center"/>
              <w:rPr>
                <w:color w:val="000000"/>
                <w:sz w:val="16"/>
                <w:szCs w:val="16"/>
              </w:rPr>
            </w:pPr>
            <w:r>
              <w:rPr>
                <w:color w:val="000000"/>
                <w:sz w:val="16"/>
                <w:szCs w:val="16"/>
                <w:lang w:val="en-US"/>
              </w:rPr>
              <w:t>0,00</w:t>
            </w:r>
          </w:p>
        </w:tc>
      </w:tr>
      <w:tr w:rsidR="008F3544" w:rsidRPr="00192507" w14:paraId="7420BAB7" w14:textId="77777777" w:rsidTr="0099088D">
        <w:trPr>
          <w:trHeight w:val="396"/>
        </w:trPr>
        <w:tc>
          <w:tcPr>
            <w:tcW w:w="1574" w:type="pct"/>
            <w:gridSpan w:val="2"/>
            <w:shd w:val="clear" w:color="auto" w:fill="auto"/>
            <w:vAlign w:val="center"/>
          </w:tcPr>
          <w:p w14:paraId="024B598E" w14:textId="77777777" w:rsidR="008F3544" w:rsidRPr="00904E38" w:rsidRDefault="008F3544" w:rsidP="0099088D">
            <w:pPr>
              <w:rPr>
                <w:color w:val="000000"/>
              </w:rPr>
            </w:pPr>
            <m:oMathPara>
              <m:oMath>
                <m:sSubSup>
                  <m:sSubSupPr>
                    <m:ctrlPr>
                      <w:rPr>
                        <w:rFonts w:ascii="Cambria Math" w:hAnsi="Cambria Math"/>
                        <w:i/>
                        <w:color w:val="000000"/>
                      </w:rPr>
                    </m:ctrlPr>
                  </m:sSubSupPr>
                  <m:e>
                    <m:r>
                      <m:rPr>
                        <m:nor/>
                      </m:rPr>
                      <w:rPr>
                        <w:color w:val="000000"/>
                      </w:rPr>
                      <m:t>С</m:t>
                    </m:r>
                  </m:e>
                  <m:sub>
                    <m:r>
                      <m:rPr>
                        <m:nor/>
                      </m:rPr>
                      <w:rPr>
                        <w:color w:val="000000"/>
                      </w:rPr>
                      <m:t>7 (</m:t>
                    </m:r>
                    <m:r>
                      <m:rPr>
                        <m:nor/>
                      </m:rPr>
                      <w:rPr>
                        <w:color w:val="000000"/>
                        <w:lang w:val="en-US"/>
                      </w:rPr>
                      <m:t>s,t)</m:t>
                    </m:r>
                  </m:sub>
                  <m:sup>
                    <m:r>
                      <m:rPr>
                        <m:nor/>
                      </m:rPr>
                      <w:rPr>
                        <w:color w:val="000000"/>
                        <w:lang w:val="en-US"/>
                      </w:rPr>
                      <m:t>&lt;150</m:t>
                    </m:r>
                    <m:r>
                      <m:rPr>
                        <m:nor/>
                      </m:rPr>
                      <w:rPr>
                        <w:color w:val="000000"/>
                      </w:rPr>
                      <m:t xml:space="preserve"> кВт</m:t>
                    </m:r>
                  </m:sup>
                </m:sSubSup>
              </m:oMath>
            </m:oMathPara>
          </w:p>
        </w:tc>
        <w:tc>
          <w:tcPr>
            <w:tcW w:w="1525" w:type="pct"/>
            <w:shd w:val="clear" w:color="auto" w:fill="auto"/>
            <w:vAlign w:val="center"/>
          </w:tcPr>
          <w:p w14:paraId="1FB74FC4" w14:textId="77777777" w:rsidR="008F3544" w:rsidRPr="00192507" w:rsidRDefault="008F3544" w:rsidP="0099088D">
            <w:pPr>
              <w:rPr>
                <w:color w:val="000000"/>
                <w:sz w:val="16"/>
                <w:szCs w:val="16"/>
              </w:rPr>
            </w:pPr>
            <w:r>
              <w:rPr>
                <w:color w:val="000000"/>
                <w:sz w:val="16"/>
                <w:szCs w:val="16"/>
              </w:rPr>
              <w:t>С</w:t>
            </w:r>
            <w:r w:rsidRPr="00E93F31">
              <w:rPr>
                <w:color w:val="000000"/>
                <w:sz w:val="16"/>
                <w:szCs w:val="16"/>
              </w:rPr>
              <w:t>троительств</w:t>
            </w:r>
            <w:r>
              <w:rPr>
                <w:color w:val="000000"/>
                <w:sz w:val="16"/>
                <w:szCs w:val="16"/>
              </w:rPr>
              <w:t xml:space="preserve">о </w:t>
            </w:r>
            <w:r w:rsidRPr="00E93F31">
              <w:rPr>
                <w:color w:val="000000"/>
                <w:sz w:val="16"/>
                <w:szCs w:val="16"/>
              </w:rPr>
              <w:t>подстанций уровнем напряжения 35 кВ и выше (ПС)</w:t>
            </w:r>
          </w:p>
        </w:tc>
        <w:tc>
          <w:tcPr>
            <w:tcW w:w="696" w:type="pct"/>
            <w:shd w:val="clear" w:color="auto" w:fill="auto"/>
            <w:vAlign w:val="center"/>
          </w:tcPr>
          <w:p w14:paraId="567BC801" w14:textId="77777777" w:rsidR="008F3544" w:rsidRPr="00192507" w:rsidRDefault="008F3544" w:rsidP="0099088D">
            <w:pPr>
              <w:jc w:val="center"/>
              <w:rPr>
                <w:color w:val="000000"/>
                <w:sz w:val="16"/>
                <w:szCs w:val="16"/>
              </w:rPr>
            </w:pPr>
            <w:r>
              <w:rPr>
                <w:color w:val="000000"/>
                <w:sz w:val="16"/>
                <w:szCs w:val="16"/>
              </w:rPr>
              <w:t>рублей/кВт</w:t>
            </w:r>
          </w:p>
        </w:tc>
        <w:tc>
          <w:tcPr>
            <w:tcW w:w="602" w:type="pct"/>
            <w:shd w:val="clear" w:color="auto" w:fill="auto"/>
            <w:noWrap/>
            <w:vAlign w:val="center"/>
          </w:tcPr>
          <w:p w14:paraId="65B4A8E0" w14:textId="77777777" w:rsidR="008F3544" w:rsidRPr="00192507" w:rsidRDefault="008F3544" w:rsidP="0099088D">
            <w:pPr>
              <w:jc w:val="center"/>
              <w:rPr>
                <w:color w:val="000000"/>
                <w:sz w:val="16"/>
                <w:szCs w:val="16"/>
              </w:rPr>
            </w:pPr>
            <w:r>
              <w:rPr>
                <w:color w:val="000000"/>
                <w:sz w:val="16"/>
                <w:szCs w:val="16"/>
                <w:lang w:val="en-US"/>
              </w:rPr>
              <w:t>0,00</w:t>
            </w:r>
          </w:p>
        </w:tc>
        <w:tc>
          <w:tcPr>
            <w:tcW w:w="603" w:type="pct"/>
            <w:shd w:val="clear" w:color="auto" w:fill="auto"/>
            <w:noWrap/>
            <w:vAlign w:val="center"/>
          </w:tcPr>
          <w:p w14:paraId="5EBF8366" w14:textId="77777777" w:rsidR="008F3544" w:rsidRPr="00192507" w:rsidRDefault="008F3544" w:rsidP="0099088D">
            <w:pPr>
              <w:jc w:val="center"/>
              <w:rPr>
                <w:color w:val="000000"/>
                <w:sz w:val="16"/>
                <w:szCs w:val="16"/>
              </w:rPr>
            </w:pPr>
            <w:r>
              <w:rPr>
                <w:color w:val="000000"/>
                <w:sz w:val="16"/>
                <w:szCs w:val="16"/>
                <w:lang w:val="en-US"/>
              </w:rPr>
              <w:t>0,00</w:t>
            </w:r>
          </w:p>
        </w:tc>
      </w:tr>
      <w:bookmarkEnd w:id="7"/>
    </w:tbl>
    <w:p w14:paraId="26A7F671" w14:textId="77777777" w:rsidR="008F3544" w:rsidRDefault="008F3544" w:rsidP="008F3544">
      <w:pPr>
        <w:autoSpaceDE w:val="0"/>
        <w:autoSpaceDN w:val="0"/>
        <w:adjustRightInd w:val="0"/>
        <w:ind w:firstLine="540"/>
        <w:jc w:val="center"/>
        <w:rPr>
          <w:rFonts w:eastAsiaTheme="minorHAnsi"/>
          <w:sz w:val="28"/>
          <w:szCs w:val="28"/>
        </w:rPr>
      </w:pPr>
    </w:p>
    <w:p w14:paraId="14A61F8D" w14:textId="77777777" w:rsidR="008F3544" w:rsidRDefault="008F3544" w:rsidP="008F3544">
      <w:pPr>
        <w:autoSpaceDE w:val="0"/>
        <w:autoSpaceDN w:val="0"/>
        <w:adjustRightInd w:val="0"/>
        <w:ind w:firstLine="540"/>
        <w:jc w:val="center"/>
        <w:rPr>
          <w:rFonts w:eastAsiaTheme="minorHAnsi"/>
          <w:sz w:val="28"/>
          <w:szCs w:val="28"/>
        </w:rPr>
      </w:pPr>
    </w:p>
    <w:p w14:paraId="620EA1EF" w14:textId="77777777" w:rsidR="008F3544" w:rsidRDefault="008F3544" w:rsidP="008F3544">
      <w:pPr>
        <w:tabs>
          <w:tab w:val="left" w:pos="5580"/>
          <w:tab w:val="left" w:pos="9498"/>
        </w:tabs>
        <w:ind w:left="-3734" w:right="-569" w:firstLine="10255"/>
        <w:rPr>
          <w:color w:val="000000" w:themeColor="text1"/>
        </w:rPr>
      </w:pPr>
    </w:p>
    <w:p w14:paraId="22AAE56B" w14:textId="77777777" w:rsidR="008F3544" w:rsidRDefault="008F3544" w:rsidP="008F3544">
      <w:pPr>
        <w:tabs>
          <w:tab w:val="left" w:pos="5580"/>
          <w:tab w:val="left" w:pos="9498"/>
        </w:tabs>
        <w:ind w:left="-3734" w:right="-569" w:firstLine="10255"/>
        <w:rPr>
          <w:color w:val="000000" w:themeColor="text1"/>
        </w:rPr>
      </w:pPr>
    </w:p>
    <w:p w14:paraId="78468EC4" w14:textId="77777777" w:rsidR="008F3544" w:rsidRDefault="008F3544" w:rsidP="008F3544">
      <w:pPr>
        <w:tabs>
          <w:tab w:val="left" w:pos="5580"/>
          <w:tab w:val="left" w:pos="9498"/>
        </w:tabs>
        <w:ind w:left="-3734" w:right="-569" w:firstLine="10255"/>
        <w:rPr>
          <w:color w:val="000000" w:themeColor="text1"/>
        </w:rPr>
      </w:pPr>
    </w:p>
    <w:p w14:paraId="3AED9314" w14:textId="77777777" w:rsidR="008F3544" w:rsidRDefault="008F3544" w:rsidP="008F3544">
      <w:pPr>
        <w:tabs>
          <w:tab w:val="left" w:pos="5580"/>
          <w:tab w:val="left" w:pos="9498"/>
        </w:tabs>
        <w:ind w:left="-3734" w:right="-569" w:firstLine="10255"/>
        <w:rPr>
          <w:color w:val="000000" w:themeColor="text1"/>
        </w:rPr>
      </w:pPr>
    </w:p>
    <w:p w14:paraId="2165B9FE" w14:textId="77777777" w:rsidR="008F3544" w:rsidRDefault="008F3544" w:rsidP="008F3544">
      <w:pPr>
        <w:tabs>
          <w:tab w:val="left" w:pos="5580"/>
          <w:tab w:val="left" w:pos="9498"/>
        </w:tabs>
        <w:ind w:left="-3734" w:right="-569" w:firstLine="10255"/>
        <w:rPr>
          <w:color w:val="000000" w:themeColor="text1"/>
        </w:rPr>
      </w:pPr>
    </w:p>
    <w:p w14:paraId="5F81099A" w14:textId="77777777" w:rsidR="008F3544" w:rsidRDefault="008F3544" w:rsidP="008F3544">
      <w:pPr>
        <w:tabs>
          <w:tab w:val="left" w:pos="5580"/>
          <w:tab w:val="left" w:pos="9498"/>
        </w:tabs>
        <w:ind w:left="-3734" w:right="-569" w:firstLine="10255"/>
        <w:rPr>
          <w:color w:val="000000" w:themeColor="text1"/>
        </w:rPr>
      </w:pPr>
    </w:p>
    <w:p w14:paraId="443E307A" w14:textId="77777777" w:rsidR="008F3544" w:rsidRDefault="008F3544" w:rsidP="008F3544">
      <w:pPr>
        <w:tabs>
          <w:tab w:val="left" w:pos="5580"/>
          <w:tab w:val="left" w:pos="9498"/>
        </w:tabs>
        <w:ind w:left="-3734" w:right="-569" w:firstLine="10255"/>
        <w:rPr>
          <w:color w:val="000000" w:themeColor="text1"/>
        </w:rPr>
      </w:pPr>
    </w:p>
    <w:p w14:paraId="5FD7E16A" w14:textId="77777777" w:rsidR="008F3544" w:rsidRDefault="008F3544" w:rsidP="008F3544">
      <w:pPr>
        <w:tabs>
          <w:tab w:val="left" w:pos="5580"/>
          <w:tab w:val="left" w:pos="9498"/>
        </w:tabs>
        <w:ind w:left="-3734" w:right="-569" w:firstLine="10255"/>
        <w:rPr>
          <w:color w:val="000000" w:themeColor="text1"/>
        </w:rPr>
      </w:pPr>
    </w:p>
    <w:p w14:paraId="3AA18AE6" w14:textId="77777777" w:rsidR="008F3544" w:rsidRDefault="008F3544" w:rsidP="008F3544">
      <w:pPr>
        <w:tabs>
          <w:tab w:val="left" w:pos="5580"/>
          <w:tab w:val="left" w:pos="9498"/>
        </w:tabs>
        <w:ind w:left="-3734" w:right="-569" w:firstLine="10255"/>
        <w:rPr>
          <w:color w:val="000000" w:themeColor="text1"/>
        </w:rPr>
      </w:pPr>
    </w:p>
    <w:p w14:paraId="42C4BE78" w14:textId="77777777" w:rsidR="008F3544" w:rsidRDefault="008F3544" w:rsidP="008F3544">
      <w:pPr>
        <w:tabs>
          <w:tab w:val="left" w:pos="5580"/>
          <w:tab w:val="left" w:pos="9498"/>
        </w:tabs>
        <w:ind w:left="-3734" w:right="-569" w:firstLine="10255"/>
        <w:rPr>
          <w:color w:val="000000" w:themeColor="text1"/>
        </w:rPr>
      </w:pPr>
    </w:p>
    <w:p w14:paraId="752FDFB4" w14:textId="77777777" w:rsidR="008F3544" w:rsidRDefault="008F3544" w:rsidP="008F3544">
      <w:pPr>
        <w:tabs>
          <w:tab w:val="left" w:pos="5580"/>
          <w:tab w:val="left" w:pos="9498"/>
        </w:tabs>
        <w:ind w:left="-3734" w:right="-569" w:firstLine="10255"/>
        <w:rPr>
          <w:color w:val="000000" w:themeColor="text1"/>
        </w:rPr>
      </w:pPr>
    </w:p>
    <w:p w14:paraId="21E6AFD5" w14:textId="77777777" w:rsidR="008F3544" w:rsidRDefault="008F3544" w:rsidP="008F3544">
      <w:pPr>
        <w:tabs>
          <w:tab w:val="left" w:pos="5580"/>
          <w:tab w:val="left" w:pos="9498"/>
        </w:tabs>
        <w:ind w:left="-3734" w:right="-569" w:firstLine="10255"/>
        <w:rPr>
          <w:color w:val="000000" w:themeColor="text1"/>
        </w:rPr>
      </w:pPr>
    </w:p>
    <w:p w14:paraId="1946036E" w14:textId="77777777" w:rsidR="008F3544" w:rsidRDefault="008F3544" w:rsidP="008F3544">
      <w:pPr>
        <w:tabs>
          <w:tab w:val="left" w:pos="5580"/>
          <w:tab w:val="left" w:pos="9498"/>
        </w:tabs>
        <w:ind w:left="-3734" w:right="-569" w:firstLine="10255"/>
        <w:rPr>
          <w:color w:val="000000" w:themeColor="text1"/>
        </w:rPr>
      </w:pPr>
    </w:p>
    <w:p w14:paraId="10E950F4" w14:textId="77777777" w:rsidR="008F3544" w:rsidRDefault="008F3544" w:rsidP="008F3544">
      <w:pPr>
        <w:tabs>
          <w:tab w:val="left" w:pos="5580"/>
          <w:tab w:val="left" w:pos="9498"/>
        </w:tabs>
        <w:ind w:left="-3734" w:right="-569" w:firstLine="10255"/>
        <w:rPr>
          <w:color w:val="000000" w:themeColor="text1"/>
        </w:rPr>
      </w:pPr>
    </w:p>
    <w:p w14:paraId="0670D07E" w14:textId="77777777" w:rsidR="008F3544" w:rsidRDefault="008F3544" w:rsidP="008F3544">
      <w:pPr>
        <w:tabs>
          <w:tab w:val="left" w:pos="5580"/>
          <w:tab w:val="left" w:pos="9498"/>
        </w:tabs>
        <w:ind w:left="-3734" w:right="-569" w:firstLine="10255"/>
        <w:rPr>
          <w:color w:val="000000" w:themeColor="text1"/>
        </w:rPr>
      </w:pPr>
    </w:p>
    <w:p w14:paraId="2DEAB8C2" w14:textId="77777777" w:rsidR="008F3544" w:rsidRDefault="008F3544" w:rsidP="008F3544">
      <w:pPr>
        <w:tabs>
          <w:tab w:val="left" w:pos="5580"/>
          <w:tab w:val="left" w:pos="9498"/>
        </w:tabs>
        <w:ind w:left="-3734" w:right="-569" w:firstLine="10255"/>
        <w:rPr>
          <w:color w:val="000000" w:themeColor="text1"/>
        </w:rPr>
      </w:pPr>
    </w:p>
    <w:p w14:paraId="519DC7AD" w14:textId="77777777" w:rsidR="008F3544" w:rsidRDefault="008F3544" w:rsidP="008F3544">
      <w:pPr>
        <w:tabs>
          <w:tab w:val="left" w:pos="5580"/>
          <w:tab w:val="left" w:pos="9498"/>
        </w:tabs>
        <w:ind w:left="-3734" w:right="-569" w:firstLine="10255"/>
        <w:rPr>
          <w:color w:val="000000" w:themeColor="text1"/>
        </w:rPr>
      </w:pPr>
    </w:p>
    <w:p w14:paraId="4250CB6A" w14:textId="77777777" w:rsidR="008F3544" w:rsidRDefault="008F3544" w:rsidP="008F3544">
      <w:pPr>
        <w:tabs>
          <w:tab w:val="left" w:pos="5580"/>
          <w:tab w:val="left" w:pos="9498"/>
        </w:tabs>
        <w:ind w:left="-3734" w:right="-569" w:firstLine="10255"/>
        <w:rPr>
          <w:color w:val="000000" w:themeColor="text1"/>
        </w:rPr>
      </w:pPr>
    </w:p>
    <w:p w14:paraId="62960FF6" w14:textId="77777777" w:rsidR="008F3544" w:rsidRDefault="008F3544" w:rsidP="008F3544">
      <w:pPr>
        <w:tabs>
          <w:tab w:val="left" w:pos="5580"/>
          <w:tab w:val="left" w:pos="9498"/>
        </w:tabs>
        <w:ind w:left="-3734" w:right="-569" w:firstLine="10255"/>
        <w:rPr>
          <w:color w:val="000000" w:themeColor="text1"/>
        </w:rPr>
      </w:pPr>
    </w:p>
    <w:p w14:paraId="4357B534" w14:textId="77777777" w:rsidR="008F3544" w:rsidRDefault="008F3544" w:rsidP="008F3544">
      <w:pPr>
        <w:tabs>
          <w:tab w:val="left" w:pos="5580"/>
          <w:tab w:val="left" w:pos="9498"/>
        </w:tabs>
        <w:ind w:left="-3734" w:right="-569" w:firstLine="10255"/>
        <w:rPr>
          <w:color w:val="000000" w:themeColor="text1"/>
        </w:rPr>
      </w:pPr>
    </w:p>
    <w:p w14:paraId="2F811175" w14:textId="77777777" w:rsidR="008F3544" w:rsidRDefault="008F3544" w:rsidP="008F3544">
      <w:pPr>
        <w:tabs>
          <w:tab w:val="left" w:pos="5580"/>
          <w:tab w:val="left" w:pos="9498"/>
        </w:tabs>
        <w:ind w:left="-3734" w:right="-569" w:firstLine="10255"/>
        <w:rPr>
          <w:color w:val="000000" w:themeColor="text1"/>
        </w:rPr>
      </w:pPr>
    </w:p>
    <w:p w14:paraId="3B31648C" w14:textId="77777777" w:rsidR="008F3544" w:rsidRDefault="008F3544" w:rsidP="008F3544">
      <w:pPr>
        <w:tabs>
          <w:tab w:val="left" w:pos="5580"/>
          <w:tab w:val="left" w:pos="9498"/>
        </w:tabs>
        <w:ind w:left="-3734" w:right="-569" w:firstLine="10255"/>
        <w:rPr>
          <w:color w:val="000000" w:themeColor="text1"/>
        </w:rPr>
      </w:pPr>
    </w:p>
    <w:p w14:paraId="09AD3F62" w14:textId="77777777" w:rsidR="008F3544" w:rsidRDefault="008F3544" w:rsidP="008F3544">
      <w:pPr>
        <w:tabs>
          <w:tab w:val="left" w:pos="5580"/>
          <w:tab w:val="left" w:pos="9498"/>
        </w:tabs>
        <w:ind w:left="-3734" w:right="-569" w:firstLine="10255"/>
        <w:rPr>
          <w:color w:val="000000" w:themeColor="text1"/>
        </w:rPr>
      </w:pPr>
    </w:p>
    <w:p w14:paraId="05D103DB" w14:textId="77777777" w:rsidR="008F3544" w:rsidRDefault="008F3544" w:rsidP="008F3544">
      <w:pPr>
        <w:tabs>
          <w:tab w:val="left" w:pos="5580"/>
          <w:tab w:val="left" w:pos="9498"/>
        </w:tabs>
        <w:ind w:left="-3734" w:right="-569" w:firstLine="10255"/>
        <w:rPr>
          <w:color w:val="000000" w:themeColor="text1"/>
        </w:rPr>
      </w:pPr>
    </w:p>
    <w:p w14:paraId="73D2D928" w14:textId="5665433B" w:rsidR="008F3544" w:rsidRPr="00081AD4" w:rsidRDefault="008F3544" w:rsidP="008F3544">
      <w:pPr>
        <w:tabs>
          <w:tab w:val="left" w:pos="5580"/>
          <w:tab w:val="left" w:pos="9498"/>
        </w:tabs>
        <w:ind w:left="-3734" w:right="-569" w:firstLine="10255"/>
        <w:rPr>
          <w:color w:val="000000" w:themeColor="text1"/>
        </w:rPr>
      </w:pPr>
      <w:r w:rsidRPr="00081AD4">
        <w:rPr>
          <w:color w:val="000000" w:themeColor="text1"/>
        </w:rPr>
        <w:t xml:space="preserve">Приложение № </w:t>
      </w:r>
      <w:r>
        <w:rPr>
          <w:color w:val="000000" w:themeColor="text1"/>
        </w:rPr>
        <w:t>6 к протоколу</w:t>
      </w:r>
      <w:r w:rsidRPr="00081AD4">
        <w:rPr>
          <w:color w:val="000000" w:themeColor="text1"/>
        </w:rPr>
        <w:t xml:space="preserve"> № </w:t>
      </w:r>
      <w:r>
        <w:rPr>
          <w:color w:val="000000" w:themeColor="text1"/>
        </w:rPr>
        <w:t>88</w:t>
      </w:r>
    </w:p>
    <w:p w14:paraId="7AE1BFF3" w14:textId="77777777" w:rsidR="008F3544" w:rsidRPr="00081AD4" w:rsidRDefault="008F3544" w:rsidP="008F3544">
      <w:pPr>
        <w:tabs>
          <w:tab w:val="left" w:pos="5580"/>
          <w:tab w:val="left" w:pos="9498"/>
        </w:tabs>
        <w:ind w:left="-3734" w:right="-569" w:firstLine="10255"/>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418DC730" w14:textId="77777777" w:rsidR="008F3544" w:rsidRPr="00081AD4" w:rsidRDefault="008F3544" w:rsidP="008F3544">
      <w:pPr>
        <w:tabs>
          <w:tab w:val="left" w:pos="5580"/>
          <w:tab w:val="left" w:pos="9498"/>
        </w:tabs>
        <w:ind w:left="-3734" w:right="-569" w:firstLine="10255"/>
        <w:rPr>
          <w:color w:val="000000" w:themeColor="text1"/>
        </w:rPr>
      </w:pPr>
      <w:r w:rsidRPr="00081AD4">
        <w:rPr>
          <w:color w:val="000000" w:themeColor="text1"/>
        </w:rPr>
        <w:t>энергетической комиссии</w:t>
      </w:r>
    </w:p>
    <w:p w14:paraId="771F444A" w14:textId="77777777" w:rsidR="008F3544" w:rsidRDefault="008F3544" w:rsidP="008F3544">
      <w:pPr>
        <w:tabs>
          <w:tab w:val="left" w:pos="5580"/>
          <w:tab w:val="left" w:pos="9498"/>
        </w:tabs>
        <w:ind w:left="-3734" w:right="-569" w:firstLine="10255"/>
        <w:rPr>
          <w:color w:val="000000" w:themeColor="text1"/>
        </w:rPr>
      </w:pPr>
      <w:r w:rsidRPr="00081AD4">
        <w:rPr>
          <w:color w:val="000000" w:themeColor="text1"/>
        </w:rPr>
        <w:t xml:space="preserve">Кузбасса от </w:t>
      </w:r>
      <w:r>
        <w:rPr>
          <w:color w:val="000000" w:themeColor="text1"/>
        </w:rPr>
        <w:t>23</w:t>
      </w:r>
      <w:r w:rsidRPr="00081AD4">
        <w:rPr>
          <w:color w:val="000000" w:themeColor="text1"/>
        </w:rPr>
        <w:t>.</w:t>
      </w:r>
      <w:r>
        <w:rPr>
          <w:color w:val="000000" w:themeColor="text1"/>
        </w:rPr>
        <w:t>12</w:t>
      </w:r>
      <w:r w:rsidRPr="00081AD4">
        <w:rPr>
          <w:color w:val="000000" w:themeColor="text1"/>
        </w:rPr>
        <w:t>.202</w:t>
      </w:r>
      <w:r>
        <w:rPr>
          <w:color w:val="000000" w:themeColor="text1"/>
        </w:rPr>
        <w:t>1</w:t>
      </w:r>
    </w:p>
    <w:p w14:paraId="5A0F5249" w14:textId="77777777" w:rsidR="008F3544" w:rsidRDefault="008F3544" w:rsidP="008F3544">
      <w:pPr>
        <w:widowControl w:val="0"/>
        <w:jc w:val="center"/>
        <w:outlineLvl w:val="1"/>
        <w:rPr>
          <w:b/>
          <w:bCs/>
          <w:sz w:val="28"/>
          <w:szCs w:val="28"/>
        </w:rPr>
      </w:pPr>
    </w:p>
    <w:p w14:paraId="345C6B4A" w14:textId="3E8D9EBB" w:rsidR="008F3544" w:rsidRDefault="008F3544" w:rsidP="008F3544">
      <w:pPr>
        <w:widowControl w:val="0"/>
        <w:jc w:val="center"/>
        <w:outlineLvl w:val="1"/>
        <w:rPr>
          <w:b/>
          <w:bCs/>
          <w:sz w:val="28"/>
          <w:szCs w:val="28"/>
        </w:rPr>
      </w:pPr>
      <w:r w:rsidRPr="002E0FA2">
        <w:rPr>
          <w:b/>
          <w:bCs/>
          <w:sz w:val="28"/>
          <w:szCs w:val="28"/>
        </w:rPr>
        <w:t>Ставки за единицу максимальной мощности</w:t>
      </w:r>
      <w:r>
        <w:rPr>
          <w:b/>
          <w:bCs/>
          <w:sz w:val="28"/>
          <w:szCs w:val="28"/>
        </w:rPr>
        <w:t xml:space="preserve"> </w:t>
      </w:r>
    </w:p>
    <w:p w14:paraId="588CCE26" w14:textId="77777777" w:rsidR="008F3544" w:rsidRDefault="008F3544" w:rsidP="008F3544">
      <w:pPr>
        <w:widowControl w:val="0"/>
        <w:jc w:val="center"/>
        <w:outlineLvl w:val="1"/>
        <w:rPr>
          <w:b/>
          <w:bCs/>
          <w:sz w:val="28"/>
          <w:szCs w:val="28"/>
        </w:rPr>
      </w:pPr>
      <w:r w:rsidRPr="007B4E37">
        <w:rPr>
          <w:b/>
          <w:bCs/>
          <w:sz w:val="28"/>
          <w:szCs w:val="28"/>
        </w:rPr>
        <w:t>для расчета платы за</w:t>
      </w:r>
      <w:r>
        <w:rPr>
          <w:b/>
          <w:bCs/>
          <w:sz w:val="28"/>
          <w:szCs w:val="28"/>
        </w:rPr>
        <w:t xml:space="preserve"> </w:t>
      </w:r>
      <w:r w:rsidRPr="002E0FA2">
        <w:rPr>
          <w:b/>
          <w:bCs/>
          <w:sz w:val="28"/>
          <w:szCs w:val="28"/>
        </w:rPr>
        <w:t>технологическо</w:t>
      </w:r>
      <w:r>
        <w:rPr>
          <w:b/>
          <w:bCs/>
          <w:sz w:val="28"/>
          <w:szCs w:val="28"/>
        </w:rPr>
        <w:t>е</w:t>
      </w:r>
      <w:r w:rsidRPr="002E0FA2">
        <w:rPr>
          <w:b/>
          <w:bCs/>
          <w:sz w:val="28"/>
          <w:szCs w:val="28"/>
        </w:rPr>
        <w:t xml:space="preserve"> присоединени</w:t>
      </w:r>
      <w:r>
        <w:rPr>
          <w:b/>
          <w:bCs/>
          <w:sz w:val="28"/>
          <w:szCs w:val="28"/>
        </w:rPr>
        <w:t>е</w:t>
      </w:r>
    </w:p>
    <w:p w14:paraId="2CCD6099" w14:textId="77777777" w:rsidR="008F3544" w:rsidRPr="00CE2A24" w:rsidRDefault="008F3544" w:rsidP="008F3544">
      <w:pPr>
        <w:autoSpaceDE w:val="0"/>
        <w:autoSpaceDN w:val="0"/>
        <w:adjustRightInd w:val="0"/>
        <w:ind w:firstLine="540"/>
        <w:jc w:val="center"/>
        <w:rPr>
          <w:rFonts w:eastAsiaTheme="minorHAnsi"/>
          <w:b/>
          <w:bCs/>
          <w:sz w:val="28"/>
          <w:szCs w:val="28"/>
        </w:rPr>
      </w:pPr>
      <w:r>
        <w:rPr>
          <w:b/>
          <w:bCs/>
          <w:sz w:val="28"/>
          <w:szCs w:val="28"/>
        </w:rPr>
        <w:t xml:space="preserve">к электрическим сетям территориальных сетевых организаций </w:t>
      </w:r>
      <w:r w:rsidRPr="000259DD">
        <w:rPr>
          <w:b/>
          <w:bCs/>
          <w:sz w:val="28"/>
          <w:szCs w:val="28"/>
        </w:rPr>
        <w:t>Кемеровской области-Кузбасса</w:t>
      </w:r>
      <w:r w:rsidRPr="00B9385C">
        <w:rPr>
          <w:b/>
          <w:bCs/>
          <w:sz w:val="28"/>
          <w:szCs w:val="28"/>
        </w:rPr>
        <w:t xml:space="preserve"> </w:t>
      </w:r>
      <w:r w:rsidRPr="00CE2A24">
        <w:rPr>
          <w:rFonts w:eastAsiaTheme="minorHAnsi"/>
          <w:b/>
          <w:bCs/>
          <w:sz w:val="28"/>
          <w:szCs w:val="28"/>
        </w:rPr>
        <w:t xml:space="preserve">на уровне напряжения </w:t>
      </w:r>
    </w:p>
    <w:p w14:paraId="5DFF8A6C" w14:textId="77777777" w:rsidR="008F3544" w:rsidRPr="00CE2A24" w:rsidRDefault="008F3544" w:rsidP="008F3544">
      <w:pPr>
        <w:widowControl w:val="0"/>
        <w:jc w:val="center"/>
        <w:outlineLvl w:val="1"/>
        <w:rPr>
          <w:b/>
          <w:bCs/>
          <w:sz w:val="28"/>
          <w:szCs w:val="28"/>
        </w:rPr>
      </w:pPr>
      <w:r w:rsidRPr="00CE2A24">
        <w:rPr>
          <w:b/>
          <w:bCs/>
          <w:sz w:val="28"/>
          <w:szCs w:val="28"/>
        </w:rPr>
        <w:t xml:space="preserve">20 кВ </w:t>
      </w:r>
      <w:r w:rsidRPr="00CE2A24">
        <w:rPr>
          <w:rFonts w:eastAsiaTheme="minorHAnsi"/>
          <w:b/>
          <w:bCs/>
          <w:sz w:val="28"/>
          <w:szCs w:val="28"/>
        </w:rPr>
        <w:t>и менее</w:t>
      </w:r>
      <w:r w:rsidRPr="00CE2A24">
        <w:rPr>
          <w:b/>
          <w:bCs/>
          <w:sz w:val="28"/>
          <w:szCs w:val="28"/>
        </w:rPr>
        <w:t xml:space="preserve"> и мощности менее 670 кВт на 2022 год</w:t>
      </w:r>
    </w:p>
    <w:p w14:paraId="2F6E3DF5" w14:textId="77777777" w:rsidR="008F3544" w:rsidRPr="00353DF7" w:rsidRDefault="008F3544" w:rsidP="008F3544">
      <w:pPr>
        <w:autoSpaceDE w:val="0"/>
        <w:autoSpaceDN w:val="0"/>
        <w:adjustRightInd w:val="0"/>
        <w:spacing w:after="120"/>
        <w:jc w:val="center"/>
        <w:rPr>
          <w:b/>
          <w:bCs/>
          <w:sz w:val="28"/>
          <w:szCs w:val="28"/>
        </w:rPr>
      </w:pPr>
      <w:r w:rsidRPr="00CE2A24">
        <w:rPr>
          <w:b/>
          <w:bCs/>
          <w:sz w:val="28"/>
          <w:szCs w:val="28"/>
        </w:rPr>
        <w:t xml:space="preserve"> (без учета НДС, в ценах 2022 года)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1942"/>
        <w:gridCol w:w="3128"/>
        <w:gridCol w:w="1012"/>
        <w:gridCol w:w="1137"/>
        <w:gridCol w:w="1126"/>
      </w:tblGrid>
      <w:tr w:rsidR="008F3544" w:rsidRPr="00735CC9" w14:paraId="768EA3FE" w14:textId="77777777" w:rsidTr="0099088D">
        <w:trPr>
          <w:trHeight w:val="300"/>
          <w:tblHeader/>
        </w:trPr>
        <w:tc>
          <w:tcPr>
            <w:tcW w:w="729" w:type="pct"/>
            <w:vMerge w:val="restart"/>
            <w:shd w:val="clear" w:color="auto" w:fill="auto"/>
            <w:vAlign w:val="center"/>
            <w:hideMark/>
          </w:tcPr>
          <w:p w14:paraId="334BA8FC" w14:textId="77777777" w:rsidR="008F3544" w:rsidRPr="00735CC9" w:rsidRDefault="008F3544" w:rsidP="0099088D">
            <w:pPr>
              <w:jc w:val="center"/>
              <w:rPr>
                <w:color w:val="000000"/>
                <w:sz w:val="16"/>
                <w:szCs w:val="16"/>
              </w:rPr>
            </w:pPr>
            <w:r w:rsidRPr="00615387">
              <w:rPr>
                <w:color w:val="000000"/>
                <w:sz w:val="16"/>
                <w:szCs w:val="16"/>
              </w:rPr>
              <w:t>Идентификатор ставки</w:t>
            </w:r>
          </w:p>
        </w:tc>
        <w:tc>
          <w:tcPr>
            <w:tcW w:w="994" w:type="pct"/>
            <w:vMerge w:val="restart"/>
            <w:shd w:val="clear" w:color="auto" w:fill="auto"/>
            <w:vAlign w:val="center"/>
            <w:hideMark/>
          </w:tcPr>
          <w:p w14:paraId="789EA23C" w14:textId="77777777" w:rsidR="008F3544" w:rsidRPr="00735CC9" w:rsidRDefault="008F3544" w:rsidP="0099088D">
            <w:pPr>
              <w:jc w:val="center"/>
              <w:rPr>
                <w:color w:val="000000"/>
                <w:sz w:val="16"/>
                <w:szCs w:val="16"/>
              </w:rPr>
            </w:pPr>
            <w:r w:rsidRPr="00735CC9">
              <w:rPr>
                <w:color w:val="000000"/>
                <w:sz w:val="16"/>
                <w:szCs w:val="16"/>
              </w:rPr>
              <w:t>Обозначение</w:t>
            </w:r>
          </w:p>
        </w:tc>
        <w:tc>
          <w:tcPr>
            <w:tcW w:w="1601" w:type="pct"/>
            <w:vMerge w:val="restart"/>
            <w:shd w:val="clear" w:color="auto" w:fill="auto"/>
            <w:vAlign w:val="center"/>
            <w:hideMark/>
          </w:tcPr>
          <w:p w14:paraId="78C2DE11" w14:textId="77777777" w:rsidR="008F3544" w:rsidRPr="00735CC9" w:rsidRDefault="008F3544" w:rsidP="0099088D">
            <w:pPr>
              <w:jc w:val="center"/>
              <w:rPr>
                <w:color w:val="000000"/>
                <w:sz w:val="16"/>
                <w:szCs w:val="16"/>
              </w:rPr>
            </w:pPr>
            <w:r w:rsidRPr="00735CC9">
              <w:rPr>
                <w:color w:val="000000"/>
                <w:sz w:val="16"/>
                <w:szCs w:val="16"/>
              </w:rPr>
              <w:t>Наименование</w:t>
            </w:r>
          </w:p>
        </w:tc>
        <w:tc>
          <w:tcPr>
            <w:tcW w:w="518" w:type="pct"/>
            <w:vMerge w:val="restart"/>
            <w:shd w:val="clear" w:color="auto" w:fill="auto"/>
            <w:vAlign w:val="center"/>
            <w:hideMark/>
          </w:tcPr>
          <w:p w14:paraId="66CE1F32" w14:textId="77777777" w:rsidR="008F3544" w:rsidRPr="00735CC9" w:rsidRDefault="008F3544" w:rsidP="0099088D">
            <w:pPr>
              <w:jc w:val="center"/>
              <w:rPr>
                <w:color w:val="000000"/>
                <w:sz w:val="16"/>
                <w:szCs w:val="16"/>
              </w:rPr>
            </w:pPr>
            <w:r w:rsidRPr="00735CC9">
              <w:rPr>
                <w:color w:val="000000"/>
                <w:sz w:val="16"/>
                <w:szCs w:val="16"/>
              </w:rPr>
              <w:t>Единица измерения</w:t>
            </w:r>
          </w:p>
        </w:tc>
        <w:tc>
          <w:tcPr>
            <w:tcW w:w="1158" w:type="pct"/>
            <w:gridSpan w:val="2"/>
            <w:shd w:val="clear" w:color="auto" w:fill="auto"/>
            <w:noWrap/>
            <w:vAlign w:val="center"/>
            <w:hideMark/>
          </w:tcPr>
          <w:p w14:paraId="0C8FA619" w14:textId="77777777" w:rsidR="008F3544" w:rsidRDefault="008F3544" w:rsidP="0099088D">
            <w:pPr>
              <w:jc w:val="center"/>
              <w:rPr>
                <w:color w:val="000000"/>
                <w:sz w:val="16"/>
                <w:szCs w:val="16"/>
              </w:rPr>
            </w:pPr>
            <w:r>
              <w:rPr>
                <w:color w:val="000000"/>
                <w:sz w:val="16"/>
                <w:szCs w:val="16"/>
              </w:rPr>
              <w:t>Размер</w:t>
            </w:r>
          </w:p>
          <w:p w14:paraId="7DE3B3E4" w14:textId="77777777" w:rsidR="008F3544" w:rsidRDefault="008F3544" w:rsidP="0099088D">
            <w:pPr>
              <w:jc w:val="center"/>
              <w:rPr>
                <w:color w:val="000000"/>
                <w:sz w:val="16"/>
                <w:szCs w:val="16"/>
              </w:rPr>
            </w:pPr>
            <w:r>
              <w:rPr>
                <w:color w:val="000000"/>
                <w:sz w:val="16"/>
                <w:szCs w:val="16"/>
              </w:rPr>
              <w:t>с</w:t>
            </w:r>
            <w:r w:rsidRPr="00735CC9">
              <w:rPr>
                <w:color w:val="000000"/>
                <w:sz w:val="16"/>
                <w:szCs w:val="16"/>
              </w:rPr>
              <w:t xml:space="preserve">тавки </w:t>
            </w:r>
            <w:r>
              <w:rPr>
                <w:color w:val="000000"/>
                <w:sz w:val="16"/>
                <w:szCs w:val="16"/>
              </w:rPr>
              <w:t>за единицу</w:t>
            </w:r>
          </w:p>
          <w:p w14:paraId="2379357B" w14:textId="77777777" w:rsidR="008F3544" w:rsidRDefault="008F3544" w:rsidP="0099088D">
            <w:pPr>
              <w:jc w:val="center"/>
              <w:rPr>
                <w:color w:val="000000"/>
                <w:sz w:val="16"/>
                <w:szCs w:val="16"/>
              </w:rPr>
            </w:pPr>
            <w:r>
              <w:rPr>
                <w:color w:val="000000"/>
                <w:sz w:val="16"/>
                <w:szCs w:val="16"/>
              </w:rPr>
              <w:t>максимальной мощности</w:t>
            </w:r>
          </w:p>
          <w:p w14:paraId="7C0568B3" w14:textId="77777777" w:rsidR="008F3544" w:rsidRPr="00735CC9" w:rsidRDefault="008F3544" w:rsidP="0099088D">
            <w:pPr>
              <w:jc w:val="center"/>
              <w:rPr>
                <w:color w:val="000000"/>
                <w:sz w:val="16"/>
                <w:szCs w:val="16"/>
              </w:rPr>
            </w:pPr>
            <w:r w:rsidRPr="00735CC9">
              <w:rPr>
                <w:color w:val="000000"/>
                <w:sz w:val="16"/>
                <w:szCs w:val="16"/>
              </w:rPr>
              <w:t>на 2022 год</w:t>
            </w:r>
          </w:p>
        </w:tc>
      </w:tr>
      <w:tr w:rsidR="008F3544" w:rsidRPr="00735CC9" w14:paraId="3C9A693B" w14:textId="77777777" w:rsidTr="0099088D">
        <w:trPr>
          <w:trHeight w:val="1350"/>
          <w:tblHeader/>
        </w:trPr>
        <w:tc>
          <w:tcPr>
            <w:tcW w:w="729" w:type="pct"/>
            <w:vMerge/>
            <w:vAlign w:val="center"/>
            <w:hideMark/>
          </w:tcPr>
          <w:p w14:paraId="593648F9" w14:textId="77777777" w:rsidR="008F3544" w:rsidRPr="00735CC9" w:rsidRDefault="008F3544" w:rsidP="0099088D">
            <w:pPr>
              <w:rPr>
                <w:color w:val="000000"/>
                <w:sz w:val="16"/>
                <w:szCs w:val="16"/>
              </w:rPr>
            </w:pPr>
          </w:p>
        </w:tc>
        <w:tc>
          <w:tcPr>
            <w:tcW w:w="994" w:type="pct"/>
            <w:vMerge/>
            <w:shd w:val="clear" w:color="auto" w:fill="auto"/>
            <w:vAlign w:val="center"/>
            <w:hideMark/>
          </w:tcPr>
          <w:p w14:paraId="129A627C" w14:textId="77777777" w:rsidR="008F3544" w:rsidRPr="00735CC9" w:rsidRDefault="008F3544" w:rsidP="0099088D">
            <w:pPr>
              <w:jc w:val="center"/>
              <w:rPr>
                <w:color w:val="000000"/>
                <w:sz w:val="16"/>
                <w:szCs w:val="16"/>
              </w:rPr>
            </w:pPr>
          </w:p>
        </w:tc>
        <w:tc>
          <w:tcPr>
            <w:tcW w:w="1601" w:type="pct"/>
            <w:vMerge/>
            <w:vAlign w:val="center"/>
            <w:hideMark/>
          </w:tcPr>
          <w:p w14:paraId="47C0E359" w14:textId="77777777" w:rsidR="008F3544" w:rsidRPr="00735CC9" w:rsidRDefault="008F3544" w:rsidP="0099088D">
            <w:pPr>
              <w:rPr>
                <w:color w:val="000000"/>
                <w:sz w:val="16"/>
                <w:szCs w:val="16"/>
              </w:rPr>
            </w:pPr>
          </w:p>
        </w:tc>
        <w:tc>
          <w:tcPr>
            <w:tcW w:w="518" w:type="pct"/>
            <w:vMerge/>
            <w:vAlign w:val="center"/>
            <w:hideMark/>
          </w:tcPr>
          <w:p w14:paraId="4DDE9EEE" w14:textId="77777777" w:rsidR="008F3544" w:rsidRPr="00735CC9" w:rsidRDefault="008F3544" w:rsidP="0099088D">
            <w:pPr>
              <w:rPr>
                <w:color w:val="000000"/>
                <w:sz w:val="16"/>
                <w:szCs w:val="16"/>
              </w:rPr>
            </w:pPr>
          </w:p>
        </w:tc>
        <w:tc>
          <w:tcPr>
            <w:tcW w:w="582" w:type="pct"/>
            <w:shd w:val="clear" w:color="auto" w:fill="auto"/>
            <w:vAlign w:val="center"/>
            <w:hideMark/>
          </w:tcPr>
          <w:p w14:paraId="7083E2E1" w14:textId="77777777" w:rsidR="008F3544" w:rsidRPr="00735CC9" w:rsidRDefault="008F3544" w:rsidP="0099088D">
            <w:pPr>
              <w:jc w:val="center"/>
              <w:rPr>
                <w:color w:val="000000"/>
                <w:sz w:val="16"/>
                <w:szCs w:val="16"/>
              </w:rPr>
            </w:pPr>
            <w:r w:rsidRPr="00735CC9">
              <w:rPr>
                <w:color w:val="000000"/>
                <w:sz w:val="16"/>
                <w:szCs w:val="16"/>
              </w:rPr>
              <w:t>Для территорий, относящихся к городским населенным пунктам</w:t>
            </w:r>
          </w:p>
        </w:tc>
        <w:tc>
          <w:tcPr>
            <w:tcW w:w="576" w:type="pct"/>
            <w:shd w:val="clear" w:color="auto" w:fill="auto"/>
            <w:vAlign w:val="center"/>
            <w:hideMark/>
          </w:tcPr>
          <w:p w14:paraId="0EA3CA73" w14:textId="77777777" w:rsidR="008F3544" w:rsidRPr="00735CC9" w:rsidRDefault="008F3544" w:rsidP="0099088D">
            <w:pPr>
              <w:jc w:val="center"/>
              <w:rPr>
                <w:color w:val="000000"/>
                <w:sz w:val="16"/>
                <w:szCs w:val="16"/>
              </w:rPr>
            </w:pPr>
            <w:r w:rsidRPr="00735CC9">
              <w:rPr>
                <w:color w:val="000000"/>
                <w:sz w:val="16"/>
                <w:szCs w:val="16"/>
              </w:rPr>
              <w:t>Для территорий, не относящихся к городским населенным пунктам</w:t>
            </w:r>
          </w:p>
        </w:tc>
      </w:tr>
      <w:tr w:rsidR="008F3544" w:rsidRPr="00735CC9" w14:paraId="4EC40E21" w14:textId="77777777" w:rsidTr="0099088D">
        <w:trPr>
          <w:trHeight w:val="231"/>
          <w:tblHeader/>
        </w:trPr>
        <w:tc>
          <w:tcPr>
            <w:tcW w:w="729" w:type="pct"/>
            <w:vAlign w:val="center"/>
          </w:tcPr>
          <w:p w14:paraId="0AC3D2E8" w14:textId="77777777" w:rsidR="008F3544" w:rsidRPr="00735CC9" w:rsidRDefault="008F3544" w:rsidP="0099088D">
            <w:pPr>
              <w:jc w:val="center"/>
              <w:rPr>
                <w:color w:val="000000"/>
                <w:sz w:val="16"/>
                <w:szCs w:val="16"/>
              </w:rPr>
            </w:pPr>
            <w:bookmarkStart w:id="9" w:name="_Hlk90650224"/>
            <w:r>
              <w:rPr>
                <w:color w:val="000000"/>
                <w:sz w:val="16"/>
                <w:szCs w:val="16"/>
              </w:rPr>
              <w:t>1</w:t>
            </w:r>
          </w:p>
        </w:tc>
        <w:tc>
          <w:tcPr>
            <w:tcW w:w="994" w:type="pct"/>
            <w:shd w:val="clear" w:color="auto" w:fill="auto"/>
            <w:vAlign w:val="center"/>
          </w:tcPr>
          <w:p w14:paraId="157EB2ED" w14:textId="77777777" w:rsidR="008F3544" w:rsidRPr="00735CC9" w:rsidRDefault="008F3544" w:rsidP="0099088D">
            <w:pPr>
              <w:jc w:val="center"/>
              <w:rPr>
                <w:color w:val="000000"/>
                <w:sz w:val="16"/>
                <w:szCs w:val="16"/>
              </w:rPr>
            </w:pPr>
            <w:r>
              <w:rPr>
                <w:color w:val="000000"/>
                <w:sz w:val="16"/>
                <w:szCs w:val="16"/>
              </w:rPr>
              <w:t>2</w:t>
            </w:r>
          </w:p>
        </w:tc>
        <w:tc>
          <w:tcPr>
            <w:tcW w:w="1601" w:type="pct"/>
            <w:vAlign w:val="center"/>
          </w:tcPr>
          <w:p w14:paraId="38A2DAC1" w14:textId="77777777" w:rsidR="008F3544" w:rsidRPr="00735CC9" w:rsidRDefault="008F3544" w:rsidP="0099088D">
            <w:pPr>
              <w:jc w:val="center"/>
              <w:rPr>
                <w:color w:val="000000"/>
                <w:sz w:val="16"/>
                <w:szCs w:val="16"/>
              </w:rPr>
            </w:pPr>
            <w:r>
              <w:rPr>
                <w:color w:val="000000"/>
                <w:sz w:val="16"/>
                <w:szCs w:val="16"/>
              </w:rPr>
              <w:t>3</w:t>
            </w:r>
          </w:p>
        </w:tc>
        <w:tc>
          <w:tcPr>
            <w:tcW w:w="518" w:type="pct"/>
            <w:vAlign w:val="center"/>
          </w:tcPr>
          <w:p w14:paraId="5AAF01D7" w14:textId="77777777" w:rsidR="008F3544" w:rsidRPr="00735CC9" w:rsidRDefault="008F3544" w:rsidP="0099088D">
            <w:pPr>
              <w:jc w:val="center"/>
              <w:rPr>
                <w:color w:val="000000"/>
                <w:sz w:val="16"/>
                <w:szCs w:val="16"/>
              </w:rPr>
            </w:pPr>
            <w:r>
              <w:rPr>
                <w:color w:val="000000"/>
                <w:sz w:val="16"/>
                <w:szCs w:val="16"/>
              </w:rPr>
              <w:t>4</w:t>
            </w:r>
          </w:p>
        </w:tc>
        <w:tc>
          <w:tcPr>
            <w:tcW w:w="582" w:type="pct"/>
            <w:shd w:val="clear" w:color="auto" w:fill="auto"/>
            <w:vAlign w:val="center"/>
          </w:tcPr>
          <w:p w14:paraId="06E68C3F" w14:textId="77777777" w:rsidR="008F3544" w:rsidRPr="00735CC9" w:rsidRDefault="008F3544" w:rsidP="0099088D">
            <w:pPr>
              <w:jc w:val="center"/>
              <w:rPr>
                <w:color w:val="000000"/>
                <w:sz w:val="16"/>
                <w:szCs w:val="16"/>
              </w:rPr>
            </w:pPr>
            <w:r>
              <w:rPr>
                <w:color w:val="000000"/>
                <w:sz w:val="16"/>
                <w:szCs w:val="16"/>
              </w:rPr>
              <w:t>5</w:t>
            </w:r>
          </w:p>
        </w:tc>
        <w:tc>
          <w:tcPr>
            <w:tcW w:w="576" w:type="pct"/>
            <w:shd w:val="clear" w:color="auto" w:fill="auto"/>
            <w:vAlign w:val="center"/>
          </w:tcPr>
          <w:p w14:paraId="559EF905" w14:textId="77777777" w:rsidR="008F3544" w:rsidRPr="00735CC9" w:rsidRDefault="008F3544" w:rsidP="0099088D">
            <w:pPr>
              <w:jc w:val="center"/>
              <w:rPr>
                <w:color w:val="000000"/>
                <w:sz w:val="16"/>
                <w:szCs w:val="16"/>
              </w:rPr>
            </w:pPr>
            <w:r>
              <w:rPr>
                <w:color w:val="000000"/>
                <w:sz w:val="16"/>
                <w:szCs w:val="16"/>
              </w:rPr>
              <w:t>6</w:t>
            </w:r>
          </w:p>
        </w:tc>
      </w:tr>
      <w:bookmarkEnd w:id="9"/>
      <w:tr w:rsidR="008F3544" w:rsidRPr="00735CC9" w14:paraId="4897B592" w14:textId="77777777" w:rsidTr="0099088D">
        <w:trPr>
          <w:trHeight w:val="900"/>
        </w:trPr>
        <w:tc>
          <w:tcPr>
            <w:tcW w:w="729" w:type="pct"/>
            <w:vMerge w:val="restart"/>
            <w:shd w:val="clear" w:color="auto" w:fill="auto"/>
            <w:vAlign w:val="center"/>
          </w:tcPr>
          <w:p w14:paraId="525EF59C" w14:textId="77777777" w:rsidR="008F3544" w:rsidRPr="0080328F" w:rsidRDefault="008F3544" w:rsidP="0099088D">
            <w:pPr>
              <w:jc w:val="center"/>
              <w:rPr>
                <w:color w:val="000000"/>
                <w:sz w:val="16"/>
                <w:szCs w:val="16"/>
              </w:rPr>
            </w:pPr>
            <w:r w:rsidRPr="0080328F">
              <w:rPr>
                <w:color w:val="000000"/>
                <w:sz w:val="16"/>
                <w:szCs w:val="16"/>
              </w:rPr>
              <w:t>1</w:t>
            </w:r>
            <w:r>
              <w:rPr>
                <w:color w:val="000000"/>
                <w:sz w:val="16"/>
                <w:szCs w:val="16"/>
              </w:rPr>
              <w:t>.</w:t>
            </w:r>
          </w:p>
        </w:tc>
        <w:tc>
          <w:tcPr>
            <w:tcW w:w="994" w:type="pct"/>
            <w:vMerge w:val="restart"/>
            <w:shd w:val="clear" w:color="auto" w:fill="auto"/>
            <w:vAlign w:val="center"/>
          </w:tcPr>
          <w:p w14:paraId="2001318C" w14:textId="77777777" w:rsidR="008F3544" w:rsidRPr="0080328F" w:rsidRDefault="008F3544" w:rsidP="0099088D">
            <w:pPr>
              <w:rPr>
                <w:color w:val="000000"/>
                <w:sz w:val="16"/>
                <w:szCs w:val="16"/>
              </w:rPr>
            </w:pPr>
            <m:oMathPara>
              <m:oMathParaPr>
                <m:jc m:val="center"/>
              </m:oMathParaPr>
              <m:oMath>
                <m:sSubSup>
                  <m:sSubSupPr>
                    <m:ctrlPr>
                      <w:rPr>
                        <w:rFonts w:ascii="Cambria Math" w:hAnsi="Cambria Math"/>
                        <w:i/>
                        <w:color w:val="000000"/>
                      </w:rPr>
                    </m:ctrlPr>
                  </m:sSubSupPr>
                  <m:e>
                    <m:r>
                      <m:rPr>
                        <m:nor/>
                      </m:rPr>
                      <w:rPr>
                        <w:color w:val="000000"/>
                      </w:rPr>
                      <m:t>С</m:t>
                    </m:r>
                  </m:e>
                  <m:sub>
                    <m:r>
                      <m:rPr>
                        <m:nor/>
                      </m:rPr>
                      <w:rPr>
                        <w:color w:val="000000"/>
                        <w:lang w:val="en-US"/>
                      </w:rPr>
                      <m:t>max</m:t>
                    </m:r>
                    <m:r>
                      <m:rPr>
                        <m:nor/>
                      </m:rPr>
                      <w:rPr>
                        <w:color w:val="000000"/>
                      </w:rPr>
                      <m:t xml:space="preserve"> </m:t>
                    </m:r>
                    <m:r>
                      <m:rPr>
                        <m:nor/>
                      </m:rPr>
                      <w:rPr>
                        <w:color w:val="000000"/>
                        <w:lang w:val="en-US"/>
                      </w:rPr>
                      <m:t>N</m:t>
                    </m:r>
                    <m:r>
                      <m:rPr>
                        <m:nor/>
                      </m:rPr>
                      <w:rPr>
                        <w:color w:val="000000"/>
                      </w:rPr>
                      <m:t xml:space="preserve"> 1</m:t>
                    </m:r>
                  </m:sub>
                  <m:sup/>
                </m:sSubSup>
              </m:oMath>
            </m:oMathPara>
          </w:p>
        </w:tc>
        <w:tc>
          <w:tcPr>
            <w:tcW w:w="1601" w:type="pct"/>
            <w:shd w:val="clear" w:color="auto" w:fill="auto"/>
            <w:vAlign w:val="center"/>
          </w:tcPr>
          <w:p w14:paraId="68D69376" w14:textId="77777777" w:rsidR="008F3544" w:rsidRPr="0080328F" w:rsidRDefault="008F3544" w:rsidP="0099088D">
            <w:pPr>
              <w:rPr>
                <w:color w:val="000000"/>
                <w:sz w:val="16"/>
                <w:szCs w:val="16"/>
              </w:rPr>
            </w:pPr>
            <w:r w:rsidRPr="0080328F">
              <w:rPr>
                <w:color w:val="000000"/>
                <w:sz w:val="16"/>
                <w:szCs w:val="16"/>
              </w:rPr>
              <w:t xml:space="preserve">ставка за 1 кВт максимальной мощности на покрытие расходов на технологическое </w:t>
            </w:r>
            <w:r w:rsidRPr="003576C9">
              <w:rPr>
                <w:color w:val="000000"/>
                <w:sz w:val="16"/>
                <w:szCs w:val="16"/>
              </w:rPr>
              <w:t>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на подготовку и выдачу сетевой организацией технических условий заявителю и проверку сетевой организацией выполнения технических условий заявителем для случаев присоединения энергопринимающих устройств потребителей, указанных в пунктах 12(1) и 14 Правил технологического</w:t>
            </w:r>
            <w:r w:rsidRPr="003576C9">
              <w:rPr>
                <w:sz w:val="16"/>
                <w:szCs w:val="16"/>
              </w:rPr>
              <w:t xml:space="preserve"> присоединения, кроме случаев, </w:t>
            </w:r>
            <w:r w:rsidRPr="003576C9">
              <w:rPr>
                <w:color w:val="000000"/>
                <w:sz w:val="16"/>
                <w:szCs w:val="16"/>
              </w:rPr>
              <w:t>если технологическое присоединение энергопринимающих устройств таких Заявителей осуществляется на уровне напряжения выше 0,4</w:t>
            </w:r>
            <w:r w:rsidRPr="003576C9">
              <w:rPr>
                <w:sz w:val="16"/>
                <w:szCs w:val="16"/>
              </w:rPr>
              <w:t xml:space="preserve"> кВ</w:t>
            </w:r>
            <w:r>
              <w:rPr>
                <w:sz w:val="16"/>
                <w:szCs w:val="16"/>
              </w:rPr>
              <w:t xml:space="preserve"> (для постоянной и временной схемы электроснабжения)</w:t>
            </w:r>
          </w:p>
        </w:tc>
        <w:tc>
          <w:tcPr>
            <w:tcW w:w="518" w:type="pct"/>
            <w:shd w:val="clear" w:color="auto" w:fill="auto"/>
            <w:vAlign w:val="center"/>
          </w:tcPr>
          <w:p w14:paraId="0AE3FA46" w14:textId="77777777" w:rsidR="008F3544" w:rsidRPr="00E4518C" w:rsidRDefault="008F3544" w:rsidP="0099088D">
            <w:pPr>
              <w:jc w:val="center"/>
              <w:rPr>
                <w:sz w:val="16"/>
                <w:szCs w:val="16"/>
              </w:rPr>
            </w:pPr>
            <w:r w:rsidRPr="00E4518C">
              <w:rPr>
                <w:sz w:val="16"/>
                <w:szCs w:val="16"/>
              </w:rPr>
              <w:t>рублей/кВт</w:t>
            </w:r>
          </w:p>
        </w:tc>
        <w:tc>
          <w:tcPr>
            <w:tcW w:w="1158" w:type="pct"/>
            <w:gridSpan w:val="2"/>
            <w:shd w:val="clear" w:color="auto" w:fill="auto"/>
            <w:noWrap/>
            <w:vAlign w:val="center"/>
          </w:tcPr>
          <w:p w14:paraId="67051230" w14:textId="77777777" w:rsidR="008F3544" w:rsidRPr="0080328F" w:rsidRDefault="008F3544" w:rsidP="0099088D">
            <w:pPr>
              <w:jc w:val="center"/>
              <w:rPr>
                <w:color w:val="000000"/>
                <w:sz w:val="16"/>
                <w:szCs w:val="16"/>
              </w:rPr>
            </w:pPr>
            <w:r>
              <w:rPr>
                <w:color w:val="000000"/>
                <w:sz w:val="16"/>
                <w:szCs w:val="16"/>
              </w:rPr>
              <w:t>233,66</w:t>
            </w:r>
          </w:p>
        </w:tc>
      </w:tr>
      <w:tr w:rsidR="008F3544" w:rsidRPr="00735CC9" w14:paraId="45BCCED3" w14:textId="77777777" w:rsidTr="0099088D">
        <w:trPr>
          <w:trHeight w:val="900"/>
        </w:trPr>
        <w:tc>
          <w:tcPr>
            <w:tcW w:w="729" w:type="pct"/>
            <w:vMerge/>
            <w:shd w:val="clear" w:color="auto" w:fill="auto"/>
            <w:vAlign w:val="center"/>
          </w:tcPr>
          <w:p w14:paraId="7F1D7EB9" w14:textId="77777777" w:rsidR="008F3544" w:rsidRPr="0080328F" w:rsidRDefault="008F3544" w:rsidP="0099088D">
            <w:pPr>
              <w:jc w:val="center"/>
              <w:rPr>
                <w:color w:val="000000"/>
                <w:sz w:val="16"/>
                <w:szCs w:val="16"/>
              </w:rPr>
            </w:pPr>
          </w:p>
        </w:tc>
        <w:tc>
          <w:tcPr>
            <w:tcW w:w="994" w:type="pct"/>
            <w:vMerge/>
            <w:shd w:val="clear" w:color="auto" w:fill="auto"/>
            <w:vAlign w:val="center"/>
          </w:tcPr>
          <w:p w14:paraId="2993737F" w14:textId="77777777" w:rsidR="008F3544" w:rsidRDefault="008F3544" w:rsidP="0099088D">
            <w:pPr>
              <w:rPr>
                <w:color w:val="000000"/>
              </w:rPr>
            </w:pPr>
          </w:p>
        </w:tc>
        <w:tc>
          <w:tcPr>
            <w:tcW w:w="1601" w:type="pct"/>
            <w:shd w:val="clear" w:color="auto" w:fill="auto"/>
            <w:vAlign w:val="center"/>
          </w:tcPr>
          <w:p w14:paraId="18C2A562" w14:textId="77777777" w:rsidR="008F3544" w:rsidRPr="0080328F" w:rsidRDefault="008F3544" w:rsidP="0099088D">
            <w:pPr>
              <w:rPr>
                <w:color w:val="000000"/>
                <w:sz w:val="16"/>
                <w:szCs w:val="16"/>
              </w:rPr>
            </w:pPr>
            <w:r w:rsidRPr="0080328F">
              <w:rPr>
                <w:color w:val="000000"/>
                <w:sz w:val="16"/>
                <w:szCs w:val="16"/>
              </w:rPr>
              <w:t xml:space="preserve">ставка за 1 кВт максимальной мощности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на подготовку и выдачу сетевой организацией технических условий заявителю и проверку сетевой организацией выполнения технических условий </w:t>
            </w:r>
            <w:r>
              <w:rPr>
                <w:color w:val="000000"/>
                <w:sz w:val="16"/>
                <w:szCs w:val="16"/>
              </w:rPr>
              <w:t>З</w:t>
            </w:r>
            <w:r w:rsidRPr="0080328F">
              <w:rPr>
                <w:color w:val="000000"/>
                <w:sz w:val="16"/>
                <w:szCs w:val="16"/>
              </w:rPr>
              <w:t>аявител</w:t>
            </w:r>
            <w:r>
              <w:rPr>
                <w:color w:val="000000"/>
                <w:sz w:val="16"/>
                <w:szCs w:val="16"/>
              </w:rPr>
              <w:t>я</w:t>
            </w:r>
            <w:r w:rsidRPr="0080328F">
              <w:rPr>
                <w:color w:val="000000"/>
                <w:sz w:val="16"/>
                <w:szCs w:val="16"/>
              </w:rPr>
              <w:t>м</w:t>
            </w:r>
            <w:r>
              <w:rPr>
                <w:color w:val="000000"/>
                <w:sz w:val="16"/>
                <w:szCs w:val="16"/>
              </w:rPr>
              <w:t xml:space="preserve"> </w:t>
            </w:r>
            <w:r w:rsidRPr="003576C9">
              <w:rPr>
                <w:color w:val="000000"/>
                <w:sz w:val="16"/>
                <w:szCs w:val="16"/>
              </w:rPr>
              <w:t>для случаев присоединения энергопринимающих устройств потребителей, не предусмотренных абзацем восьмым п. 24 Методических указаний 1135</w:t>
            </w:r>
            <w:r>
              <w:rPr>
                <w:color w:val="000000"/>
                <w:sz w:val="16"/>
                <w:szCs w:val="16"/>
              </w:rPr>
              <w:t xml:space="preserve"> </w:t>
            </w:r>
            <w:r>
              <w:rPr>
                <w:sz w:val="16"/>
                <w:szCs w:val="16"/>
              </w:rPr>
              <w:t>(для постоянной и временной схемы электроснабжения)</w:t>
            </w:r>
          </w:p>
        </w:tc>
        <w:tc>
          <w:tcPr>
            <w:tcW w:w="518" w:type="pct"/>
            <w:shd w:val="clear" w:color="auto" w:fill="auto"/>
            <w:vAlign w:val="center"/>
          </w:tcPr>
          <w:p w14:paraId="7E4F56B2" w14:textId="77777777" w:rsidR="008F3544" w:rsidRPr="00E4518C" w:rsidRDefault="008F3544" w:rsidP="0099088D">
            <w:pPr>
              <w:jc w:val="center"/>
              <w:rPr>
                <w:sz w:val="16"/>
                <w:szCs w:val="16"/>
              </w:rPr>
            </w:pPr>
            <w:r w:rsidRPr="00E4518C">
              <w:rPr>
                <w:sz w:val="16"/>
                <w:szCs w:val="16"/>
              </w:rPr>
              <w:t>рублей/кВт</w:t>
            </w:r>
          </w:p>
        </w:tc>
        <w:tc>
          <w:tcPr>
            <w:tcW w:w="1158" w:type="pct"/>
            <w:gridSpan w:val="2"/>
            <w:shd w:val="clear" w:color="auto" w:fill="auto"/>
            <w:noWrap/>
            <w:vAlign w:val="center"/>
          </w:tcPr>
          <w:p w14:paraId="44BDF069" w14:textId="77777777" w:rsidR="008F3544" w:rsidRPr="0080328F" w:rsidRDefault="008F3544" w:rsidP="0099088D">
            <w:pPr>
              <w:jc w:val="center"/>
              <w:rPr>
                <w:color w:val="000000"/>
                <w:sz w:val="16"/>
                <w:szCs w:val="16"/>
              </w:rPr>
            </w:pPr>
            <w:r>
              <w:rPr>
                <w:color w:val="000000"/>
                <w:sz w:val="16"/>
                <w:szCs w:val="16"/>
              </w:rPr>
              <w:t>155,52</w:t>
            </w:r>
          </w:p>
        </w:tc>
      </w:tr>
    </w:tbl>
    <w:p w14:paraId="775756F5" w14:textId="77777777" w:rsidR="008F3544" w:rsidRDefault="008F3544" w:rsidP="008F3544">
      <w:pPr>
        <w:jc w:val="center"/>
        <w:rPr>
          <w:color w:val="000000"/>
          <w:sz w:val="16"/>
          <w:szCs w:val="16"/>
        </w:rPr>
        <w:sectPr w:rsidR="008F3544" w:rsidSect="0099088D">
          <w:pgSz w:w="11906" w:h="16838"/>
          <w:pgMar w:top="709" w:right="850" w:bottom="851" w:left="1276"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1824"/>
        <w:gridCol w:w="2958"/>
        <w:gridCol w:w="993"/>
        <w:gridCol w:w="1127"/>
        <w:gridCol w:w="1114"/>
      </w:tblGrid>
      <w:tr w:rsidR="008F3544" w:rsidRPr="00735CC9" w14:paraId="4FD1C21C" w14:textId="77777777" w:rsidTr="0099088D">
        <w:trPr>
          <w:trHeight w:val="231"/>
          <w:tblHeader/>
        </w:trPr>
        <w:tc>
          <w:tcPr>
            <w:tcW w:w="729" w:type="pct"/>
            <w:vAlign w:val="center"/>
          </w:tcPr>
          <w:p w14:paraId="6CAFDAD4" w14:textId="77777777" w:rsidR="008F3544" w:rsidRPr="00735CC9" w:rsidRDefault="008F3544" w:rsidP="0099088D">
            <w:pPr>
              <w:jc w:val="center"/>
              <w:rPr>
                <w:color w:val="000000"/>
                <w:sz w:val="16"/>
                <w:szCs w:val="16"/>
              </w:rPr>
            </w:pPr>
            <w:r>
              <w:rPr>
                <w:color w:val="000000"/>
                <w:sz w:val="16"/>
                <w:szCs w:val="16"/>
              </w:rPr>
              <w:t>1</w:t>
            </w:r>
          </w:p>
        </w:tc>
        <w:tc>
          <w:tcPr>
            <w:tcW w:w="994" w:type="pct"/>
            <w:shd w:val="clear" w:color="auto" w:fill="auto"/>
            <w:vAlign w:val="center"/>
          </w:tcPr>
          <w:p w14:paraId="316AF186" w14:textId="77777777" w:rsidR="008F3544" w:rsidRPr="00735CC9" w:rsidRDefault="008F3544" w:rsidP="0099088D">
            <w:pPr>
              <w:jc w:val="center"/>
              <w:rPr>
                <w:color w:val="000000"/>
                <w:sz w:val="16"/>
                <w:szCs w:val="16"/>
              </w:rPr>
            </w:pPr>
            <w:r>
              <w:rPr>
                <w:color w:val="000000"/>
                <w:sz w:val="16"/>
                <w:szCs w:val="16"/>
              </w:rPr>
              <w:t>2</w:t>
            </w:r>
          </w:p>
        </w:tc>
        <w:tc>
          <w:tcPr>
            <w:tcW w:w="1601" w:type="pct"/>
            <w:vAlign w:val="center"/>
          </w:tcPr>
          <w:p w14:paraId="6EC07AEB" w14:textId="77777777" w:rsidR="008F3544" w:rsidRPr="00735CC9" w:rsidRDefault="008F3544" w:rsidP="0099088D">
            <w:pPr>
              <w:jc w:val="center"/>
              <w:rPr>
                <w:color w:val="000000"/>
                <w:sz w:val="16"/>
                <w:szCs w:val="16"/>
              </w:rPr>
            </w:pPr>
            <w:r>
              <w:rPr>
                <w:color w:val="000000"/>
                <w:sz w:val="16"/>
                <w:szCs w:val="16"/>
              </w:rPr>
              <w:t>3</w:t>
            </w:r>
          </w:p>
        </w:tc>
        <w:tc>
          <w:tcPr>
            <w:tcW w:w="518" w:type="pct"/>
            <w:vAlign w:val="center"/>
          </w:tcPr>
          <w:p w14:paraId="69387005" w14:textId="77777777" w:rsidR="008F3544" w:rsidRPr="00735CC9" w:rsidRDefault="008F3544" w:rsidP="0099088D">
            <w:pPr>
              <w:jc w:val="center"/>
              <w:rPr>
                <w:color w:val="000000"/>
                <w:sz w:val="16"/>
                <w:szCs w:val="16"/>
              </w:rPr>
            </w:pPr>
            <w:r>
              <w:rPr>
                <w:color w:val="000000"/>
                <w:sz w:val="16"/>
                <w:szCs w:val="16"/>
              </w:rPr>
              <w:t>4</w:t>
            </w:r>
          </w:p>
        </w:tc>
        <w:tc>
          <w:tcPr>
            <w:tcW w:w="582" w:type="pct"/>
            <w:shd w:val="clear" w:color="auto" w:fill="auto"/>
            <w:vAlign w:val="center"/>
          </w:tcPr>
          <w:p w14:paraId="352E6A53" w14:textId="77777777" w:rsidR="008F3544" w:rsidRPr="00735CC9" w:rsidRDefault="008F3544" w:rsidP="0099088D">
            <w:pPr>
              <w:jc w:val="center"/>
              <w:rPr>
                <w:color w:val="000000"/>
                <w:sz w:val="16"/>
                <w:szCs w:val="16"/>
              </w:rPr>
            </w:pPr>
            <w:r>
              <w:rPr>
                <w:color w:val="000000"/>
                <w:sz w:val="16"/>
                <w:szCs w:val="16"/>
              </w:rPr>
              <w:t>5</w:t>
            </w:r>
          </w:p>
        </w:tc>
        <w:tc>
          <w:tcPr>
            <w:tcW w:w="576" w:type="pct"/>
            <w:shd w:val="clear" w:color="auto" w:fill="auto"/>
            <w:vAlign w:val="center"/>
          </w:tcPr>
          <w:p w14:paraId="50B1CB51" w14:textId="77777777" w:rsidR="008F3544" w:rsidRPr="00735CC9" w:rsidRDefault="008F3544" w:rsidP="0099088D">
            <w:pPr>
              <w:jc w:val="center"/>
              <w:rPr>
                <w:color w:val="000000"/>
                <w:sz w:val="16"/>
                <w:szCs w:val="16"/>
              </w:rPr>
            </w:pPr>
            <w:r>
              <w:rPr>
                <w:color w:val="000000"/>
                <w:sz w:val="16"/>
                <w:szCs w:val="16"/>
              </w:rPr>
              <w:t>6</w:t>
            </w:r>
          </w:p>
        </w:tc>
      </w:tr>
      <w:tr w:rsidR="008F3544" w:rsidRPr="00735CC9" w14:paraId="5FEC36EF" w14:textId="77777777" w:rsidTr="0099088D">
        <w:trPr>
          <w:trHeight w:val="900"/>
        </w:trPr>
        <w:tc>
          <w:tcPr>
            <w:tcW w:w="729" w:type="pct"/>
            <w:shd w:val="clear" w:color="auto" w:fill="auto"/>
            <w:vAlign w:val="center"/>
          </w:tcPr>
          <w:p w14:paraId="3D10844A" w14:textId="77777777" w:rsidR="008F3544" w:rsidRPr="0080328F" w:rsidRDefault="008F3544" w:rsidP="0099088D">
            <w:pPr>
              <w:jc w:val="center"/>
              <w:rPr>
                <w:color w:val="000000"/>
                <w:sz w:val="16"/>
                <w:szCs w:val="16"/>
              </w:rPr>
            </w:pPr>
            <w:r>
              <w:rPr>
                <w:color w:val="000000"/>
                <w:sz w:val="16"/>
                <w:szCs w:val="16"/>
              </w:rPr>
              <w:t>1.1.</w:t>
            </w:r>
          </w:p>
        </w:tc>
        <w:tc>
          <w:tcPr>
            <w:tcW w:w="994" w:type="pct"/>
            <w:shd w:val="clear" w:color="auto" w:fill="auto"/>
            <w:vAlign w:val="center"/>
          </w:tcPr>
          <w:p w14:paraId="3DAFD5BD" w14:textId="77777777" w:rsidR="008F3544" w:rsidRPr="0080328F" w:rsidRDefault="008F3544" w:rsidP="0099088D">
            <w:pPr>
              <w:rPr>
                <w:color w:val="000000"/>
              </w:rPr>
            </w:pPr>
            <m:oMathPara>
              <m:oMath>
                <m:sSubSup>
                  <m:sSubSupPr>
                    <m:ctrlPr>
                      <w:rPr>
                        <w:rFonts w:ascii="Cambria Math" w:hAnsi="Cambria Math"/>
                        <w:i/>
                        <w:color w:val="000000"/>
                      </w:rPr>
                    </m:ctrlPr>
                  </m:sSubSupPr>
                  <m:e>
                    <m:r>
                      <m:rPr>
                        <m:nor/>
                      </m:rPr>
                      <w:rPr>
                        <w:color w:val="000000"/>
                      </w:rPr>
                      <m:t>С</m:t>
                    </m:r>
                  </m:e>
                  <m:sub>
                    <m:r>
                      <m:rPr>
                        <m:nor/>
                      </m:rPr>
                      <w:rPr>
                        <w:color w:val="000000"/>
                        <w:lang w:val="en-US"/>
                      </w:rPr>
                      <m:t>max</m:t>
                    </m:r>
                    <m:r>
                      <m:rPr>
                        <m:nor/>
                      </m:rPr>
                      <w:rPr>
                        <w:color w:val="000000"/>
                      </w:rPr>
                      <m:t xml:space="preserve"> </m:t>
                    </m:r>
                    <m:r>
                      <m:rPr>
                        <m:nor/>
                      </m:rPr>
                      <w:rPr>
                        <w:color w:val="000000"/>
                        <w:lang w:val="en-US"/>
                      </w:rPr>
                      <m:t>N</m:t>
                    </m:r>
                    <m:r>
                      <m:rPr>
                        <m:nor/>
                      </m:rPr>
                      <w:rPr>
                        <w:color w:val="000000"/>
                      </w:rPr>
                      <m:t xml:space="preserve"> 1.1</m:t>
                    </m:r>
                  </m:sub>
                  <m:sup/>
                </m:sSubSup>
              </m:oMath>
            </m:oMathPara>
          </w:p>
        </w:tc>
        <w:tc>
          <w:tcPr>
            <w:tcW w:w="1601" w:type="pct"/>
            <w:shd w:val="clear" w:color="auto" w:fill="auto"/>
            <w:vAlign w:val="center"/>
          </w:tcPr>
          <w:p w14:paraId="1DA778BF" w14:textId="77777777" w:rsidR="008F3544" w:rsidRPr="0080328F" w:rsidRDefault="008F3544" w:rsidP="0099088D">
            <w:pPr>
              <w:rPr>
                <w:color w:val="000000"/>
                <w:sz w:val="16"/>
                <w:szCs w:val="16"/>
              </w:rPr>
            </w:pPr>
            <w:r w:rsidRPr="0080328F">
              <w:rPr>
                <w:color w:val="000000"/>
                <w:sz w:val="16"/>
                <w:szCs w:val="16"/>
              </w:rPr>
              <w:t xml:space="preserve">ставка за 1 кВт максимальной мощности на покрытие расходов сетевой организации на подготовку и выдачу сетевой организацией технических условий </w:t>
            </w:r>
            <w:r>
              <w:rPr>
                <w:color w:val="000000"/>
                <w:sz w:val="16"/>
                <w:szCs w:val="16"/>
              </w:rPr>
              <w:t>З</w:t>
            </w:r>
            <w:r w:rsidRPr="0080328F">
              <w:rPr>
                <w:color w:val="000000"/>
                <w:sz w:val="16"/>
                <w:szCs w:val="16"/>
              </w:rPr>
              <w:t>аявител</w:t>
            </w:r>
            <w:r>
              <w:rPr>
                <w:color w:val="000000"/>
                <w:sz w:val="16"/>
                <w:szCs w:val="16"/>
              </w:rPr>
              <w:t>ям</w:t>
            </w:r>
          </w:p>
        </w:tc>
        <w:tc>
          <w:tcPr>
            <w:tcW w:w="518" w:type="pct"/>
            <w:shd w:val="clear" w:color="auto" w:fill="auto"/>
            <w:vAlign w:val="center"/>
          </w:tcPr>
          <w:p w14:paraId="3CCFFCFF" w14:textId="77777777" w:rsidR="008F3544" w:rsidRPr="00E4518C" w:rsidRDefault="008F3544" w:rsidP="0099088D">
            <w:pPr>
              <w:jc w:val="center"/>
              <w:rPr>
                <w:sz w:val="16"/>
                <w:szCs w:val="16"/>
              </w:rPr>
            </w:pPr>
            <w:r w:rsidRPr="00E4518C">
              <w:rPr>
                <w:sz w:val="16"/>
                <w:szCs w:val="16"/>
              </w:rPr>
              <w:t>рублей/кВт</w:t>
            </w:r>
          </w:p>
        </w:tc>
        <w:tc>
          <w:tcPr>
            <w:tcW w:w="1158" w:type="pct"/>
            <w:gridSpan w:val="2"/>
            <w:shd w:val="clear" w:color="auto" w:fill="auto"/>
            <w:noWrap/>
            <w:vAlign w:val="center"/>
          </w:tcPr>
          <w:p w14:paraId="122992AA" w14:textId="77777777" w:rsidR="008F3544" w:rsidRPr="0080328F" w:rsidRDefault="008F3544" w:rsidP="0099088D">
            <w:pPr>
              <w:jc w:val="center"/>
              <w:rPr>
                <w:color w:val="000000"/>
                <w:sz w:val="16"/>
                <w:szCs w:val="16"/>
              </w:rPr>
            </w:pPr>
            <w:r>
              <w:rPr>
                <w:color w:val="000000"/>
                <w:sz w:val="16"/>
                <w:szCs w:val="16"/>
              </w:rPr>
              <w:t>77,52</w:t>
            </w:r>
          </w:p>
        </w:tc>
      </w:tr>
      <w:tr w:rsidR="008F3544" w:rsidRPr="00735CC9" w14:paraId="0C9E2C7E" w14:textId="77777777" w:rsidTr="0099088D">
        <w:trPr>
          <w:trHeight w:val="900"/>
        </w:trPr>
        <w:tc>
          <w:tcPr>
            <w:tcW w:w="729" w:type="pct"/>
            <w:shd w:val="clear" w:color="auto" w:fill="auto"/>
            <w:vAlign w:val="center"/>
          </w:tcPr>
          <w:p w14:paraId="04044AFD" w14:textId="77777777" w:rsidR="008F3544" w:rsidRPr="0080328F" w:rsidRDefault="008F3544" w:rsidP="0099088D">
            <w:pPr>
              <w:jc w:val="center"/>
              <w:rPr>
                <w:color w:val="000000"/>
                <w:sz w:val="16"/>
                <w:szCs w:val="16"/>
              </w:rPr>
            </w:pPr>
            <w:r>
              <w:rPr>
                <w:color w:val="000000"/>
                <w:sz w:val="16"/>
                <w:szCs w:val="16"/>
              </w:rPr>
              <w:t>1.2.1.</w:t>
            </w:r>
          </w:p>
        </w:tc>
        <w:tc>
          <w:tcPr>
            <w:tcW w:w="994" w:type="pct"/>
            <w:shd w:val="clear" w:color="auto" w:fill="auto"/>
            <w:vAlign w:val="center"/>
          </w:tcPr>
          <w:p w14:paraId="33BD8F6C" w14:textId="77777777" w:rsidR="008F3544" w:rsidRPr="0080328F" w:rsidRDefault="008F3544" w:rsidP="0099088D">
            <w:pPr>
              <w:rPr>
                <w:color w:val="000000"/>
              </w:rPr>
            </w:pPr>
            <m:oMathPara>
              <m:oMathParaPr>
                <m:jc m:val="center"/>
              </m:oMathParaPr>
              <m:oMath>
                <m:sSubSup>
                  <m:sSubSupPr>
                    <m:ctrlPr>
                      <w:rPr>
                        <w:rFonts w:ascii="Cambria Math" w:hAnsi="Cambria Math"/>
                        <w:i/>
                        <w:color w:val="000000"/>
                      </w:rPr>
                    </m:ctrlPr>
                  </m:sSubSupPr>
                  <m:e>
                    <m:r>
                      <m:rPr>
                        <m:nor/>
                      </m:rPr>
                      <w:rPr>
                        <w:color w:val="000000"/>
                      </w:rPr>
                      <m:t>С</m:t>
                    </m:r>
                  </m:e>
                  <m:sub>
                    <m:r>
                      <m:rPr>
                        <m:nor/>
                      </m:rPr>
                      <w:rPr>
                        <w:color w:val="000000"/>
                        <w:lang w:val="en-US"/>
                      </w:rPr>
                      <m:t>max</m:t>
                    </m:r>
                    <m:r>
                      <m:rPr>
                        <m:nor/>
                      </m:rPr>
                      <w:rPr>
                        <w:color w:val="000000"/>
                      </w:rPr>
                      <m:t xml:space="preserve"> </m:t>
                    </m:r>
                    <m:r>
                      <m:rPr>
                        <m:nor/>
                      </m:rPr>
                      <w:rPr>
                        <w:color w:val="000000"/>
                        <w:lang w:val="en-US"/>
                      </w:rPr>
                      <m:t>N</m:t>
                    </m:r>
                    <m:r>
                      <m:rPr>
                        <m:nor/>
                      </m:rPr>
                      <w:rPr>
                        <w:color w:val="000000"/>
                      </w:rPr>
                      <m:t xml:space="preserve"> 1.2.1</m:t>
                    </m:r>
                  </m:sub>
                  <m:sup/>
                </m:sSubSup>
              </m:oMath>
            </m:oMathPara>
          </w:p>
        </w:tc>
        <w:tc>
          <w:tcPr>
            <w:tcW w:w="1601" w:type="pct"/>
            <w:shd w:val="clear" w:color="auto" w:fill="auto"/>
            <w:vAlign w:val="center"/>
          </w:tcPr>
          <w:p w14:paraId="0A33EEF7" w14:textId="77777777" w:rsidR="008F3544" w:rsidRPr="0080328F" w:rsidRDefault="008F3544" w:rsidP="0099088D">
            <w:pPr>
              <w:rPr>
                <w:color w:val="000000"/>
                <w:sz w:val="16"/>
                <w:szCs w:val="16"/>
              </w:rPr>
            </w:pPr>
            <w:r w:rsidRPr="0080328F">
              <w:rPr>
                <w:color w:val="000000"/>
                <w:sz w:val="16"/>
                <w:szCs w:val="16"/>
              </w:rPr>
              <w:t xml:space="preserve">ставка за 1 кВт максимальной мощности на покрытие расходов </w:t>
            </w:r>
            <w:r w:rsidRPr="005A2CF7">
              <w:rPr>
                <w:color w:val="000000"/>
                <w:sz w:val="16"/>
                <w:szCs w:val="16"/>
              </w:rPr>
              <w:t>на проверку выполнения технических условий Заявителями</w:t>
            </w:r>
            <w:r w:rsidRPr="0080328F">
              <w:rPr>
                <w:color w:val="000000"/>
                <w:sz w:val="16"/>
                <w:szCs w:val="16"/>
              </w:rPr>
              <w:t>, указанным</w:t>
            </w:r>
            <w:r>
              <w:rPr>
                <w:color w:val="000000"/>
                <w:sz w:val="16"/>
                <w:szCs w:val="16"/>
              </w:rPr>
              <w:t>и</w:t>
            </w:r>
            <w:r w:rsidRPr="0080328F">
              <w:rPr>
                <w:color w:val="000000"/>
                <w:sz w:val="16"/>
                <w:szCs w:val="16"/>
              </w:rPr>
              <w:t xml:space="preserve"> в абзаце восьмом пункта 24 Методических указаний по определению размера платы за технологическое присоединение к электрическим сетям</w:t>
            </w:r>
          </w:p>
        </w:tc>
        <w:tc>
          <w:tcPr>
            <w:tcW w:w="518" w:type="pct"/>
            <w:shd w:val="clear" w:color="auto" w:fill="auto"/>
            <w:vAlign w:val="center"/>
          </w:tcPr>
          <w:p w14:paraId="05632D36" w14:textId="77777777" w:rsidR="008F3544" w:rsidRPr="00E4518C" w:rsidRDefault="008F3544" w:rsidP="0099088D">
            <w:pPr>
              <w:jc w:val="center"/>
              <w:rPr>
                <w:sz w:val="16"/>
                <w:szCs w:val="16"/>
              </w:rPr>
            </w:pPr>
            <w:r w:rsidRPr="00E4518C">
              <w:rPr>
                <w:sz w:val="16"/>
                <w:szCs w:val="16"/>
              </w:rPr>
              <w:t>рублей/кВт</w:t>
            </w:r>
          </w:p>
        </w:tc>
        <w:tc>
          <w:tcPr>
            <w:tcW w:w="1158" w:type="pct"/>
            <w:gridSpan w:val="2"/>
            <w:shd w:val="clear" w:color="auto" w:fill="auto"/>
            <w:noWrap/>
            <w:vAlign w:val="center"/>
          </w:tcPr>
          <w:p w14:paraId="48CA1BED" w14:textId="77777777" w:rsidR="008F3544" w:rsidRPr="00E4518C" w:rsidRDefault="008F3544" w:rsidP="0099088D">
            <w:pPr>
              <w:jc w:val="center"/>
              <w:rPr>
                <w:color w:val="000000"/>
                <w:sz w:val="16"/>
                <w:szCs w:val="16"/>
              </w:rPr>
            </w:pPr>
            <w:r w:rsidRPr="00E4518C">
              <w:rPr>
                <w:color w:val="000000"/>
                <w:sz w:val="16"/>
                <w:szCs w:val="16"/>
              </w:rPr>
              <w:t>156,14</w:t>
            </w:r>
          </w:p>
        </w:tc>
      </w:tr>
      <w:tr w:rsidR="008F3544" w:rsidRPr="00735CC9" w14:paraId="21FBEAC2" w14:textId="77777777" w:rsidTr="0099088D">
        <w:trPr>
          <w:trHeight w:val="900"/>
        </w:trPr>
        <w:tc>
          <w:tcPr>
            <w:tcW w:w="729" w:type="pct"/>
            <w:shd w:val="clear" w:color="auto" w:fill="auto"/>
            <w:vAlign w:val="center"/>
          </w:tcPr>
          <w:p w14:paraId="2B1D85A3" w14:textId="77777777" w:rsidR="008F3544" w:rsidRPr="0080328F" w:rsidRDefault="008F3544" w:rsidP="0099088D">
            <w:pPr>
              <w:jc w:val="center"/>
              <w:rPr>
                <w:color w:val="000000"/>
                <w:sz w:val="16"/>
                <w:szCs w:val="16"/>
              </w:rPr>
            </w:pPr>
            <w:r>
              <w:rPr>
                <w:color w:val="000000"/>
                <w:sz w:val="16"/>
                <w:szCs w:val="16"/>
              </w:rPr>
              <w:t>1.2.2.</w:t>
            </w:r>
          </w:p>
        </w:tc>
        <w:tc>
          <w:tcPr>
            <w:tcW w:w="994" w:type="pct"/>
            <w:shd w:val="clear" w:color="auto" w:fill="auto"/>
            <w:vAlign w:val="center"/>
          </w:tcPr>
          <w:p w14:paraId="269C89F8" w14:textId="77777777" w:rsidR="008F3544" w:rsidRPr="0080328F" w:rsidRDefault="008F3544" w:rsidP="0099088D">
            <w:pPr>
              <w:rPr>
                <w:color w:val="000000"/>
              </w:rPr>
            </w:pPr>
            <m:oMathPara>
              <m:oMath>
                <m:sSubSup>
                  <m:sSubSupPr>
                    <m:ctrlPr>
                      <w:rPr>
                        <w:rFonts w:ascii="Cambria Math" w:hAnsi="Cambria Math"/>
                        <w:i/>
                        <w:color w:val="000000"/>
                      </w:rPr>
                    </m:ctrlPr>
                  </m:sSubSupPr>
                  <m:e>
                    <m:r>
                      <m:rPr>
                        <m:nor/>
                      </m:rPr>
                      <w:rPr>
                        <w:color w:val="000000"/>
                      </w:rPr>
                      <m:t>С</m:t>
                    </m:r>
                  </m:e>
                  <m:sub>
                    <m:r>
                      <m:rPr>
                        <m:nor/>
                      </m:rPr>
                      <w:rPr>
                        <w:color w:val="000000"/>
                        <w:lang w:val="en-US"/>
                      </w:rPr>
                      <m:t>max</m:t>
                    </m:r>
                    <m:r>
                      <m:rPr>
                        <m:nor/>
                      </m:rPr>
                      <w:rPr>
                        <w:color w:val="000000"/>
                      </w:rPr>
                      <m:t xml:space="preserve"> </m:t>
                    </m:r>
                    <m:r>
                      <m:rPr>
                        <m:nor/>
                      </m:rPr>
                      <w:rPr>
                        <w:color w:val="000000"/>
                        <w:lang w:val="en-US"/>
                      </w:rPr>
                      <m:t>N</m:t>
                    </m:r>
                    <m:r>
                      <m:rPr>
                        <m:nor/>
                      </m:rPr>
                      <w:rPr>
                        <w:color w:val="000000"/>
                      </w:rPr>
                      <m:t xml:space="preserve"> 1.2.2</m:t>
                    </m:r>
                  </m:sub>
                  <m:sup/>
                </m:sSubSup>
              </m:oMath>
            </m:oMathPara>
          </w:p>
        </w:tc>
        <w:tc>
          <w:tcPr>
            <w:tcW w:w="1601" w:type="pct"/>
            <w:shd w:val="clear" w:color="auto" w:fill="auto"/>
            <w:vAlign w:val="center"/>
          </w:tcPr>
          <w:p w14:paraId="5E65BB12" w14:textId="77777777" w:rsidR="008F3544" w:rsidRPr="0080328F" w:rsidRDefault="008F3544" w:rsidP="0099088D">
            <w:pPr>
              <w:rPr>
                <w:color w:val="000000"/>
                <w:sz w:val="16"/>
                <w:szCs w:val="16"/>
              </w:rPr>
            </w:pPr>
            <w:r w:rsidRPr="0080328F">
              <w:rPr>
                <w:color w:val="000000"/>
                <w:sz w:val="16"/>
                <w:szCs w:val="16"/>
              </w:rPr>
              <w:t>ставка за 1 кВт максимальной мощности на покрытие расходов на проверку выполнения технических условий Заявителями, указанными в абзаце девятом пункта 24 Методических указаний по определению размера платы за технологическое присоединение к электрическим сетям</w:t>
            </w:r>
          </w:p>
        </w:tc>
        <w:tc>
          <w:tcPr>
            <w:tcW w:w="518" w:type="pct"/>
            <w:shd w:val="clear" w:color="auto" w:fill="auto"/>
            <w:vAlign w:val="center"/>
          </w:tcPr>
          <w:p w14:paraId="7FC6826B" w14:textId="77777777" w:rsidR="008F3544" w:rsidRPr="00E4518C" w:rsidRDefault="008F3544" w:rsidP="0099088D">
            <w:pPr>
              <w:jc w:val="center"/>
              <w:rPr>
                <w:sz w:val="16"/>
                <w:szCs w:val="16"/>
              </w:rPr>
            </w:pPr>
            <w:r w:rsidRPr="00E4518C">
              <w:rPr>
                <w:sz w:val="16"/>
                <w:szCs w:val="16"/>
              </w:rPr>
              <w:t>рублей/кВт</w:t>
            </w:r>
          </w:p>
        </w:tc>
        <w:tc>
          <w:tcPr>
            <w:tcW w:w="1158" w:type="pct"/>
            <w:gridSpan w:val="2"/>
            <w:shd w:val="clear" w:color="auto" w:fill="auto"/>
            <w:noWrap/>
            <w:vAlign w:val="center"/>
          </w:tcPr>
          <w:p w14:paraId="7D863DC0" w14:textId="77777777" w:rsidR="008F3544" w:rsidRPr="00E4518C" w:rsidRDefault="008F3544" w:rsidP="0099088D">
            <w:pPr>
              <w:jc w:val="center"/>
              <w:rPr>
                <w:color w:val="000000"/>
                <w:sz w:val="16"/>
                <w:szCs w:val="16"/>
              </w:rPr>
            </w:pPr>
            <w:r w:rsidRPr="00E4518C">
              <w:rPr>
                <w:color w:val="000000"/>
                <w:sz w:val="16"/>
                <w:szCs w:val="16"/>
              </w:rPr>
              <w:t>78,00</w:t>
            </w:r>
          </w:p>
        </w:tc>
      </w:tr>
      <w:tr w:rsidR="008F3544" w:rsidRPr="00735CC9" w14:paraId="7191B9F9" w14:textId="77777777" w:rsidTr="0099088D">
        <w:trPr>
          <w:trHeight w:val="900"/>
        </w:trPr>
        <w:tc>
          <w:tcPr>
            <w:tcW w:w="729" w:type="pct"/>
            <w:shd w:val="clear" w:color="auto" w:fill="auto"/>
            <w:vAlign w:val="center"/>
          </w:tcPr>
          <w:p w14:paraId="5869DFA1" w14:textId="77777777" w:rsidR="008F3544" w:rsidRPr="0080328F" w:rsidRDefault="008F3544" w:rsidP="0099088D">
            <w:pPr>
              <w:jc w:val="center"/>
              <w:rPr>
                <w:color w:val="000000"/>
                <w:sz w:val="16"/>
                <w:szCs w:val="16"/>
              </w:rPr>
            </w:pPr>
            <w:r w:rsidRPr="0080328F">
              <w:rPr>
                <w:color w:val="000000"/>
                <w:sz w:val="16"/>
                <w:szCs w:val="16"/>
              </w:rPr>
              <w:t>2.1.1.3.2.1.</w:t>
            </w:r>
          </w:p>
        </w:tc>
        <w:tc>
          <w:tcPr>
            <w:tcW w:w="994" w:type="pct"/>
            <w:shd w:val="clear" w:color="auto" w:fill="auto"/>
            <w:vAlign w:val="center"/>
          </w:tcPr>
          <w:p w14:paraId="70B50471" w14:textId="77777777" w:rsidR="008F3544" w:rsidRPr="0080328F" w:rsidRDefault="008F3544" w:rsidP="0099088D">
            <w:pPr>
              <w:rPr>
                <w:color w:val="000000"/>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lang w:val="en-US"/>
                      </w:rPr>
                      <m:t>max</m:t>
                    </m:r>
                    <m:r>
                      <m:rPr>
                        <m:nor/>
                      </m:rPr>
                      <w:rPr>
                        <w:color w:val="000000"/>
                      </w:rPr>
                      <m:t xml:space="preserve"> </m:t>
                    </m:r>
                    <m:r>
                      <m:rPr>
                        <m:nor/>
                      </m:rPr>
                      <w:rPr>
                        <w:color w:val="000000"/>
                        <w:lang w:val="en-US"/>
                      </w:rPr>
                      <m:t>N</m:t>
                    </m:r>
                    <m:r>
                      <m:rPr>
                        <m:nor/>
                      </m:rPr>
                      <w:rPr>
                        <w:color w:val="000000"/>
                      </w:rPr>
                      <m:t xml:space="preserve"> 2.1.1.3.2.1.</m:t>
                    </m:r>
                  </m:sub>
                  <m:sup>
                    <m:r>
                      <m:rPr>
                        <m:nor/>
                      </m:rPr>
                      <w:rPr>
                        <w:color w:val="000000"/>
                      </w:rPr>
                      <m:t>0,4 кВ и ниже</m:t>
                    </m:r>
                  </m:sup>
                </m:sSubSup>
              </m:oMath>
            </m:oMathPara>
          </w:p>
        </w:tc>
        <w:tc>
          <w:tcPr>
            <w:tcW w:w="1601" w:type="pct"/>
            <w:shd w:val="clear" w:color="auto" w:fill="auto"/>
            <w:vAlign w:val="center"/>
          </w:tcPr>
          <w:p w14:paraId="6B7864E6" w14:textId="77777777" w:rsidR="008F3544" w:rsidRPr="0080328F" w:rsidRDefault="008F3544" w:rsidP="0099088D">
            <w:pPr>
              <w:rPr>
                <w:color w:val="000000"/>
                <w:sz w:val="16"/>
                <w:szCs w:val="16"/>
              </w:rPr>
            </w:pPr>
            <w:r w:rsidRPr="0080328F">
              <w:rPr>
                <w:color w:val="000000"/>
                <w:sz w:val="16"/>
                <w:szCs w:val="16"/>
              </w:rPr>
              <w:t>воздушные линии на деревянных опорах изолированным сталеалюминиевым проводом сечением от 50 до 100 квадратных мм включительно одноцепные</w:t>
            </w:r>
          </w:p>
        </w:tc>
        <w:tc>
          <w:tcPr>
            <w:tcW w:w="518" w:type="pct"/>
            <w:shd w:val="clear" w:color="auto" w:fill="auto"/>
            <w:vAlign w:val="center"/>
          </w:tcPr>
          <w:p w14:paraId="04C3C385" w14:textId="77777777" w:rsidR="008F3544" w:rsidRPr="0080328F" w:rsidRDefault="008F3544" w:rsidP="0099088D">
            <w:pPr>
              <w:jc w:val="center"/>
              <w:rPr>
                <w:sz w:val="16"/>
                <w:szCs w:val="16"/>
              </w:rPr>
            </w:pPr>
            <w:r w:rsidRPr="0080328F">
              <w:rPr>
                <w:sz w:val="16"/>
                <w:szCs w:val="16"/>
              </w:rPr>
              <w:t>рублей/кВт</w:t>
            </w:r>
          </w:p>
        </w:tc>
        <w:tc>
          <w:tcPr>
            <w:tcW w:w="582" w:type="pct"/>
            <w:shd w:val="clear" w:color="auto" w:fill="auto"/>
            <w:noWrap/>
            <w:vAlign w:val="center"/>
          </w:tcPr>
          <w:p w14:paraId="65307172" w14:textId="77777777" w:rsidR="008F3544" w:rsidRPr="0080328F" w:rsidRDefault="008F3544" w:rsidP="0099088D">
            <w:pPr>
              <w:jc w:val="center"/>
              <w:rPr>
                <w:color w:val="000000"/>
                <w:sz w:val="16"/>
                <w:szCs w:val="16"/>
              </w:rPr>
            </w:pPr>
            <w:r w:rsidRPr="0080328F">
              <w:rPr>
                <w:color w:val="000000"/>
                <w:sz w:val="16"/>
                <w:szCs w:val="16"/>
              </w:rPr>
              <w:t>6 454,97</w:t>
            </w:r>
          </w:p>
        </w:tc>
        <w:tc>
          <w:tcPr>
            <w:tcW w:w="576" w:type="pct"/>
            <w:shd w:val="clear" w:color="auto" w:fill="auto"/>
            <w:noWrap/>
            <w:vAlign w:val="center"/>
          </w:tcPr>
          <w:p w14:paraId="0E7D2218" w14:textId="77777777" w:rsidR="008F3544" w:rsidRPr="0080328F" w:rsidRDefault="008F3544" w:rsidP="0099088D">
            <w:pPr>
              <w:jc w:val="center"/>
              <w:rPr>
                <w:color w:val="000000"/>
                <w:sz w:val="16"/>
                <w:szCs w:val="16"/>
              </w:rPr>
            </w:pPr>
            <w:r w:rsidRPr="0080328F">
              <w:rPr>
                <w:color w:val="000000"/>
                <w:sz w:val="16"/>
                <w:szCs w:val="16"/>
              </w:rPr>
              <w:t>-</w:t>
            </w:r>
          </w:p>
        </w:tc>
      </w:tr>
      <w:tr w:rsidR="008F3544" w:rsidRPr="00735CC9" w14:paraId="37C3EE64" w14:textId="77777777" w:rsidTr="0099088D">
        <w:trPr>
          <w:trHeight w:val="435"/>
        </w:trPr>
        <w:tc>
          <w:tcPr>
            <w:tcW w:w="729" w:type="pct"/>
            <w:shd w:val="clear" w:color="auto" w:fill="auto"/>
            <w:vAlign w:val="center"/>
            <w:hideMark/>
          </w:tcPr>
          <w:p w14:paraId="7E987BB1" w14:textId="77777777" w:rsidR="008F3544" w:rsidRPr="00735CC9" w:rsidRDefault="008F3544" w:rsidP="0099088D">
            <w:pPr>
              <w:jc w:val="center"/>
              <w:rPr>
                <w:color w:val="000000"/>
                <w:sz w:val="16"/>
                <w:szCs w:val="16"/>
              </w:rPr>
            </w:pPr>
            <w:r w:rsidRPr="00735CC9">
              <w:rPr>
                <w:color w:val="000000"/>
                <w:sz w:val="16"/>
                <w:szCs w:val="16"/>
              </w:rPr>
              <w:t>2.1.1.4.1.1.</w:t>
            </w:r>
          </w:p>
        </w:tc>
        <w:tc>
          <w:tcPr>
            <w:tcW w:w="994" w:type="pct"/>
            <w:shd w:val="clear" w:color="auto" w:fill="auto"/>
            <w:vAlign w:val="center"/>
            <w:hideMark/>
          </w:tcPr>
          <w:p w14:paraId="3ACE276B" w14:textId="77777777" w:rsidR="008F3544" w:rsidRPr="00735CC9"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lang w:val="en-US"/>
                      </w:rPr>
                      <m:t>max</m:t>
                    </m:r>
                    <m:r>
                      <m:rPr>
                        <m:nor/>
                      </m:rPr>
                      <w:rPr>
                        <w:color w:val="000000"/>
                      </w:rPr>
                      <m:t xml:space="preserve"> </m:t>
                    </m:r>
                    <m:r>
                      <m:rPr>
                        <m:nor/>
                      </m:rPr>
                      <w:rPr>
                        <w:color w:val="000000"/>
                        <w:lang w:val="en-US"/>
                      </w:rPr>
                      <m:t>N</m:t>
                    </m:r>
                    <m:r>
                      <m:rPr>
                        <m:nor/>
                      </m:rPr>
                      <w:rPr>
                        <w:color w:val="000000"/>
                      </w:rPr>
                      <m:t xml:space="preserve"> 2.1.1.4.1.1.</m:t>
                    </m:r>
                  </m:sub>
                  <m:sup>
                    <m:r>
                      <m:rPr>
                        <m:nor/>
                      </m:rPr>
                      <w:rPr>
                        <w:color w:val="000000"/>
                      </w:rPr>
                      <m:t>0,4 кВ и ниже</m:t>
                    </m:r>
                  </m:sup>
                </m:sSubSup>
              </m:oMath>
            </m:oMathPara>
          </w:p>
        </w:tc>
        <w:tc>
          <w:tcPr>
            <w:tcW w:w="1601" w:type="pct"/>
            <w:shd w:val="clear" w:color="auto" w:fill="auto"/>
            <w:vAlign w:val="center"/>
            <w:hideMark/>
          </w:tcPr>
          <w:p w14:paraId="11CAFFED" w14:textId="77777777" w:rsidR="008F3544" w:rsidRPr="00735CC9" w:rsidRDefault="008F3544" w:rsidP="0099088D">
            <w:pPr>
              <w:rPr>
                <w:color w:val="000000"/>
                <w:sz w:val="16"/>
                <w:szCs w:val="16"/>
              </w:rPr>
            </w:pPr>
            <w:r w:rsidRPr="00735CC9">
              <w:rPr>
                <w:color w:val="000000"/>
                <w:sz w:val="16"/>
                <w:szCs w:val="16"/>
              </w:rPr>
              <w:t>воздушные линии на деревянных опорах изолированным алюминиевым проводом сечением до 50 квадратных мм включительно одноцепные</w:t>
            </w:r>
          </w:p>
        </w:tc>
        <w:tc>
          <w:tcPr>
            <w:tcW w:w="518" w:type="pct"/>
            <w:shd w:val="clear" w:color="auto" w:fill="auto"/>
            <w:vAlign w:val="center"/>
            <w:hideMark/>
          </w:tcPr>
          <w:p w14:paraId="33C8E896" w14:textId="77777777" w:rsidR="008F3544" w:rsidRPr="00735CC9" w:rsidRDefault="008F3544" w:rsidP="0099088D">
            <w:pPr>
              <w:jc w:val="center"/>
              <w:rPr>
                <w:color w:val="000000"/>
                <w:sz w:val="16"/>
                <w:szCs w:val="16"/>
              </w:rPr>
            </w:pPr>
            <w:r w:rsidRPr="00735CC9">
              <w:rPr>
                <w:color w:val="000000"/>
                <w:sz w:val="16"/>
                <w:szCs w:val="16"/>
              </w:rPr>
              <w:t>рублей/кВт</w:t>
            </w:r>
          </w:p>
        </w:tc>
        <w:tc>
          <w:tcPr>
            <w:tcW w:w="582" w:type="pct"/>
            <w:shd w:val="clear" w:color="auto" w:fill="auto"/>
            <w:noWrap/>
            <w:vAlign w:val="center"/>
          </w:tcPr>
          <w:p w14:paraId="3D8F92E4" w14:textId="77777777" w:rsidR="008F3544" w:rsidRPr="00735CC9" w:rsidRDefault="008F3544" w:rsidP="0099088D">
            <w:pPr>
              <w:jc w:val="center"/>
              <w:rPr>
                <w:color w:val="000000"/>
                <w:sz w:val="16"/>
                <w:szCs w:val="16"/>
              </w:rPr>
            </w:pPr>
            <w:r w:rsidRPr="00DC1D37">
              <w:rPr>
                <w:color w:val="000000"/>
                <w:sz w:val="16"/>
                <w:szCs w:val="16"/>
              </w:rPr>
              <w:t>7 756,38</w:t>
            </w:r>
          </w:p>
        </w:tc>
        <w:tc>
          <w:tcPr>
            <w:tcW w:w="576" w:type="pct"/>
            <w:shd w:val="clear" w:color="auto" w:fill="auto"/>
            <w:noWrap/>
            <w:vAlign w:val="center"/>
          </w:tcPr>
          <w:p w14:paraId="48030AD8" w14:textId="77777777" w:rsidR="008F3544" w:rsidRPr="00735CC9" w:rsidRDefault="008F3544" w:rsidP="0099088D">
            <w:pPr>
              <w:jc w:val="center"/>
              <w:rPr>
                <w:color w:val="000000"/>
                <w:sz w:val="16"/>
                <w:szCs w:val="16"/>
              </w:rPr>
            </w:pPr>
            <w:r w:rsidRPr="00DC1D37">
              <w:rPr>
                <w:color w:val="000000"/>
                <w:sz w:val="16"/>
                <w:szCs w:val="16"/>
              </w:rPr>
              <w:t>6 742,97</w:t>
            </w:r>
          </w:p>
        </w:tc>
      </w:tr>
      <w:tr w:rsidR="008F3544" w:rsidRPr="00735CC9" w14:paraId="46E955CC" w14:textId="77777777" w:rsidTr="0099088D">
        <w:trPr>
          <w:trHeight w:val="435"/>
        </w:trPr>
        <w:tc>
          <w:tcPr>
            <w:tcW w:w="729" w:type="pct"/>
            <w:shd w:val="clear" w:color="auto" w:fill="auto"/>
            <w:vAlign w:val="center"/>
            <w:hideMark/>
          </w:tcPr>
          <w:p w14:paraId="729D37B5" w14:textId="77777777" w:rsidR="008F3544" w:rsidRPr="00735CC9" w:rsidRDefault="008F3544" w:rsidP="0099088D">
            <w:pPr>
              <w:jc w:val="center"/>
              <w:rPr>
                <w:color w:val="000000"/>
                <w:sz w:val="16"/>
                <w:szCs w:val="16"/>
              </w:rPr>
            </w:pPr>
            <w:r w:rsidRPr="00735CC9">
              <w:rPr>
                <w:color w:val="000000"/>
                <w:sz w:val="16"/>
                <w:szCs w:val="16"/>
              </w:rPr>
              <w:t>2.1.1.4.2.1.</w:t>
            </w:r>
          </w:p>
        </w:tc>
        <w:tc>
          <w:tcPr>
            <w:tcW w:w="994" w:type="pct"/>
            <w:shd w:val="clear" w:color="auto" w:fill="auto"/>
            <w:vAlign w:val="center"/>
            <w:hideMark/>
          </w:tcPr>
          <w:p w14:paraId="146F229A" w14:textId="77777777" w:rsidR="008F3544" w:rsidRPr="00735CC9"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lang w:val="en-US"/>
                      </w:rPr>
                      <m:t>max</m:t>
                    </m:r>
                    <m:r>
                      <m:rPr>
                        <m:nor/>
                      </m:rPr>
                      <w:rPr>
                        <w:color w:val="000000"/>
                      </w:rPr>
                      <m:t xml:space="preserve"> </m:t>
                    </m:r>
                    <m:r>
                      <m:rPr>
                        <m:nor/>
                      </m:rPr>
                      <w:rPr>
                        <w:color w:val="000000"/>
                        <w:lang w:val="en-US"/>
                      </w:rPr>
                      <m:t>N</m:t>
                    </m:r>
                    <m:r>
                      <m:rPr>
                        <m:nor/>
                      </m:rPr>
                      <w:rPr>
                        <w:color w:val="000000"/>
                      </w:rPr>
                      <m:t xml:space="preserve"> 2.1.1.4.2.1.</m:t>
                    </m:r>
                  </m:sub>
                  <m:sup>
                    <m:r>
                      <m:rPr>
                        <m:nor/>
                      </m:rPr>
                      <w:rPr>
                        <w:color w:val="000000"/>
                      </w:rPr>
                      <m:t>0,4 кВ и ниже</m:t>
                    </m:r>
                  </m:sup>
                </m:sSubSup>
              </m:oMath>
            </m:oMathPara>
          </w:p>
        </w:tc>
        <w:tc>
          <w:tcPr>
            <w:tcW w:w="1601" w:type="pct"/>
            <w:shd w:val="clear" w:color="auto" w:fill="auto"/>
            <w:vAlign w:val="center"/>
            <w:hideMark/>
          </w:tcPr>
          <w:p w14:paraId="068F2D90" w14:textId="77777777" w:rsidR="008F3544" w:rsidRPr="00735CC9" w:rsidRDefault="008F3544" w:rsidP="0099088D">
            <w:pPr>
              <w:rPr>
                <w:color w:val="000000"/>
                <w:sz w:val="16"/>
                <w:szCs w:val="16"/>
              </w:rPr>
            </w:pPr>
            <w:r w:rsidRPr="00735CC9">
              <w:rPr>
                <w:color w:val="000000"/>
                <w:sz w:val="16"/>
                <w:szCs w:val="16"/>
              </w:rPr>
              <w:t>воздушные линии на деревянных опорах изолированным алюминиевым проводом сечением от 50 до 100 квадратных мм включительно одноцепные</w:t>
            </w:r>
          </w:p>
        </w:tc>
        <w:tc>
          <w:tcPr>
            <w:tcW w:w="518" w:type="pct"/>
            <w:shd w:val="clear" w:color="auto" w:fill="auto"/>
            <w:vAlign w:val="center"/>
            <w:hideMark/>
          </w:tcPr>
          <w:p w14:paraId="3DD3A8F5" w14:textId="77777777" w:rsidR="008F3544" w:rsidRPr="00735CC9" w:rsidRDefault="008F3544" w:rsidP="0099088D">
            <w:pPr>
              <w:jc w:val="center"/>
              <w:rPr>
                <w:color w:val="000000"/>
                <w:sz w:val="16"/>
                <w:szCs w:val="16"/>
              </w:rPr>
            </w:pPr>
            <w:r w:rsidRPr="00735CC9">
              <w:rPr>
                <w:color w:val="000000"/>
                <w:sz w:val="16"/>
                <w:szCs w:val="16"/>
              </w:rPr>
              <w:t>рублей/кВт</w:t>
            </w:r>
          </w:p>
        </w:tc>
        <w:tc>
          <w:tcPr>
            <w:tcW w:w="582" w:type="pct"/>
            <w:shd w:val="clear" w:color="auto" w:fill="auto"/>
            <w:noWrap/>
            <w:vAlign w:val="center"/>
          </w:tcPr>
          <w:p w14:paraId="7C0588F4" w14:textId="77777777" w:rsidR="008F3544" w:rsidRPr="00735CC9" w:rsidRDefault="008F3544" w:rsidP="0099088D">
            <w:pPr>
              <w:jc w:val="center"/>
              <w:rPr>
                <w:color w:val="000000"/>
                <w:sz w:val="16"/>
                <w:szCs w:val="16"/>
              </w:rPr>
            </w:pPr>
            <w:r w:rsidRPr="00DC1D37">
              <w:rPr>
                <w:color w:val="000000"/>
                <w:sz w:val="16"/>
                <w:szCs w:val="16"/>
              </w:rPr>
              <w:t>8 487,68</w:t>
            </w:r>
          </w:p>
        </w:tc>
        <w:tc>
          <w:tcPr>
            <w:tcW w:w="576" w:type="pct"/>
            <w:shd w:val="clear" w:color="auto" w:fill="auto"/>
            <w:noWrap/>
            <w:vAlign w:val="center"/>
          </w:tcPr>
          <w:p w14:paraId="7B64038E" w14:textId="77777777" w:rsidR="008F3544" w:rsidRPr="00735CC9" w:rsidRDefault="008F3544" w:rsidP="0099088D">
            <w:pPr>
              <w:jc w:val="center"/>
              <w:rPr>
                <w:color w:val="000000"/>
                <w:sz w:val="16"/>
                <w:szCs w:val="16"/>
              </w:rPr>
            </w:pPr>
            <w:r w:rsidRPr="00DC1D37">
              <w:rPr>
                <w:color w:val="000000"/>
                <w:sz w:val="16"/>
                <w:szCs w:val="16"/>
              </w:rPr>
              <w:t>8 446,74</w:t>
            </w:r>
          </w:p>
        </w:tc>
      </w:tr>
      <w:tr w:rsidR="008F3544" w:rsidRPr="00735CC9" w14:paraId="32ACF8C5" w14:textId="77777777" w:rsidTr="0099088D">
        <w:trPr>
          <w:trHeight w:val="900"/>
        </w:trPr>
        <w:tc>
          <w:tcPr>
            <w:tcW w:w="729" w:type="pct"/>
            <w:shd w:val="clear" w:color="auto" w:fill="auto"/>
            <w:vAlign w:val="center"/>
            <w:hideMark/>
          </w:tcPr>
          <w:p w14:paraId="008D4CA7" w14:textId="77777777" w:rsidR="008F3544" w:rsidRPr="00735CC9" w:rsidRDefault="008F3544" w:rsidP="0099088D">
            <w:pPr>
              <w:jc w:val="center"/>
              <w:rPr>
                <w:color w:val="000000"/>
                <w:sz w:val="16"/>
                <w:szCs w:val="16"/>
              </w:rPr>
            </w:pPr>
            <w:r w:rsidRPr="00735CC9">
              <w:rPr>
                <w:color w:val="000000"/>
                <w:sz w:val="16"/>
                <w:szCs w:val="16"/>
              </w:rPr>
              <w:t>2.2.1.4.1.1.</w:t>
            </w:r>
          </w:p>
        </w:tc>
        <w:tc>
          <w:tcPr>
            <w:tcW w:w="994" w:type="pct"/>
            <w:shd w:val="clear" w:color="auto" w:fill="auto"/>
            <w:vAlign w:val="center"/>
            <w:hideMark/>
          </w:tcPr>
          <w:p w14:paraId="47C25877" w14:textId="77777777" w:rsidR="008F3544" w:rsidRPr="00735CC9"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lang w:val="en-US"/>
                      </w:rPr>
                      <m:t>max</m:t>
                    </m:r>
                    <m:r>
                      <m:rPr>
                        <m:nor/>
                      </m:rPr>
                      <w:rPr>
                        <w:color w:val="000000"/>
                      </w:rPr>
                      <m:t xml:space="preserve"> </m:t>
                    </m:r>
                    <m:r>
                      <m:rPr>
                        <m:nor/>
                      </m:rPr>
                      <w:rPr>
                        <w:color w:val="000000"/>
                        <w:lang w:val="en-US"/>
                      </w:rPr>
                      <m:t>N</m:t>
                    </m:r>
                    <m:r>
                      <m:rPr>
                        <m:nor/>
                      </m:rPr>
                      <w:rPr>
                        <w:color w:val="000000"/>
                      </w:rPr>
                      <m:t xml:space="preserve"> 2.2.1.4.1.1.</m:t>
                    </m:r>
                  </m:sub>
                  <m:sup>
                    <m:r>
                      <m:rPr>
                        <m:nor/>
                      </m:rPr>
                      <w:rPr>
                        <w:color w:val="000000"/>
                      </w:rPr>
                      <m:t>0,4 кВ и ниже</m:t>
                    </m:r>
                  </m:sup>
                </m:sSubSup>
              </m:oMath>
            </m:oMathPara>
          </w:p>
        </w:tc>
        <w:tc>
          <w:tcPr>
            <w:tcW w:w="1601" w:type="pct"/>
            <w:shd w:val="clear" w:color="auto" w:fill="auto"/>
            <w:vAlign w:val="center"/>
            <w:hideMark/>
          </w:tcPr>
          <w:p w14:paraId="05C8B71C" w14:textId="77777777" w:rsidR="008F3544" w:rsidRPr="00735CC9" w:rsidRDefault="008F3544" w:rsidP="0099088D">
            <w:pPr>
              <w:rPr>
                <w:color w:val="000000"/>
                <w:sz w:val="16"/>
                <w:szCs w:val="16"/>
              </w:rPr>
            </w:pPr>
            <w:r w:rsidRPr="00735CC9">
              <w:rPr>
                <w:color w:val="000000"/>
                <w:sz w:val="16"/>
                <w:szCs w:val="16"/>
              </w:rPr>
              <w:t>воздушные линии на металлических опорах изолированным алюминиевым проводом сечением до 50 квадратных мм включительно одноцепные</w:t>
            </w:r>
          </w:p>
        </w:tc>
        <w:tc>
          <w:tcPr>
            <w:tcW w:w="518" w:type="pct"/>
            <w:shd w:val="clear" w:color="auto" w:fill="auto"/>
            <w:vAlign w:val="center"/>
            <w:hideMark/>
          </w:tcPr>
          <w:p w14:paraId="00255F01" w14:textId="77777777" w:rsidR="008F3544" w:rsidRPr="00735CC9" w:rsidRDefault="008F3544" w:rsidP="0099088D">
            <w:pPr>
              <w:jc w:val="center"/>
              <w:rPr>
                <w:color w:val="000000"/>
                <w:sz w:val="16"/>
                <w:szCs w:val="16"/>
              </w:rPr>
            </w:pPr>
            <w:r w:rsidRPr="00735CC9">
              <w:rPr>
                <w:color w:val="000000"/>
                <w:sz w:val="16"/>
                <w:szCs w:val="16"/>
              </w:rPr>
              <w:t>рублей/кВт</w:t>
            </w:r>
          </w:p>
        </w:tc>
        <w:tc>
          <w:tcPr>
            <w:tcW w:w="582" w:type="pct"/>
            <w:shd w:val="clear" w:color="auto" w:fill="auto"/>
            <w:noWrap/>
            <w:vAlign w:val="center"/>
          </w:tcPr>
          <w:p w14:paraId="34BA54D3" w14:textId="77777777" w:rsidR="008F3544" w:rsidRPr="00735CC9" w:rsidRDefault="008F3544" w:rsidP="0099088D">
            <w:pPr>
              <w:jc w:val="center"/>
              <w:rPr>
                <w:color w:val="000000"/>
                <w:sz w:val="16"/>
                <w:szCs w:val="16"/>
              </w:rPr>
            </w:pPr>
            <w:r>
              <w:rPr>
                <w:color w:val="000000"/>
                <w:sz w:val="16"/>
                <w:szCs w:val="16"/>
              </w:rPr>
              <w:t>-</w:t>
            </w:r>
          </w:p>
        </w:tc>
        <w:tc>
          <w:tcPr>
            <w:tcW w:w="576" w:type="pct"/>
            <w:shd w:val="clear" w:color="auto" w:fill="auto"/>
            <w:noWrap/>
            <w:vAlign w:val="center"/>
          </w:tcPr>
          <w:p w14:paraId="6B54E39D" w14:textId="77777777" w:rsidR="008F3544" w:rsidRPr="00735CC9" w:rsidRDefault="008F3544" w:rsidP="0099088D">
            <w:pPr>
              <w:jc w:val="center"/>
              <w:rPr>
                <w:color w:val="000000"/>
                <w:sz w:val="16"/>
                <w:szCs w:val="16"/>
              </w:rPr>
            </w:pPr>
            <w:r w:rsidRPr="00DC1D37">
              <w:rPr>
                <w:color w:val="000000"/>
                <w:sz w:val="16"/>
                <w:szCs w:val="16"/>
              </w:rPr>
              <w:t>6 526,31</w:t>
            </w:r>
          </w:p>
        </w:tc>
      </w:tr>
      <w:tr w:rsidR="008F3544" w:rsidRPr="00735CC9" w14:paraId="56C70C55" w14:textId="77777777" w:rsidTr="0099088D">
        <w:trPr>
          <w:trHeight w:val="900"/>
        </w:trPr>
        <w:tc>
          <w:tcPr>
            <w:tcW w:w="729" w:type="pct"/>
            <w:shd w:val="clear" w:color="auto" w:fill="auto"/>
            <w:vAlign w:val="center"/>
            <w:hideMark/>
          </w:tcPr>
          <w:p w14:paraId="30D0656D" w14:textId="77777777" w:rsidR="008F3544" w:rsidRPr="00735CC9" w:rsidRDefault="008F3544" w:rsidP="0099088D">
            <w:pPr>
              <w:jc w:val="center"/>
              <w:rPr>
                <w:color w:val="000000"/>
                <w:sz w:val="16"/>
                <w:szCs w:val="16"/>
              </w:rPr>
            </w:pPr>
            <w:r w:rsidRPr="00735CC9">
              <w:rPr>
                <w:color w:val="000000"/>
                <w:sz w:val="16"/>
                <w:szCs w:val="16"/>
              </w:rPr>
              <w:t>2.2.1.4.2.1.</w:t>
            </w:r>
          </w:p>
        </w:tc>
        <w:tc>
          <w:tcPr>
            <w:tcW w:w="994" w:type="pct"/>
            <w:shd w:val="clear" w:color="auto" w:fill="auto"/>
            <w:vAlign w:val="center"/>
            <w:hideMark/>
          </w:tcPr>
          <w:p w14:paraId="45CFC17E" w14:textId="77777777" w:rsidR="008F3544" w:rsidRPr="00735CC9"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lang w:val="en-US"/>
                      </w:rPr>
                      <m:t>max</m:t>
                    </m:r>
                    <m:r>
                      <m:rPr>
                        <m:nor/>
                      </m:rPr>
                      <w:rPr>
                        <w:color w:val="000000"/>
                      </w:rPr>
                      <m:t xml:space="preserve"> </m:t>
                    </m:r>
                    <m:r>
                      <m:rPr>
                        <m:nor/>
                      </m:rPr>
                      <w:rPr>
                        <w:color w:val="000000"/>
                        <w:lang w:val="en-US"/>
                      </w:rPr>
                      <m:t>N</m:t>
                    </m:r>
                    <m:r>
                      <m:rPr>
                        <m:nor/>
                      </m:rPr>
                      <w:rPr>
                        <w:color w:val="000000"/>
                      </w:rPr>
                      <m:t xml:space="preserve"> 2.2.1.4.2.1.</m:t>
                    </m:r>
                  </m:sub>
                  <m:sup>
                    <m:r>
                      <m:rPr>
                        <m:nor/>
                      </m:rPr>
                      <w:rPr>
                        <w:color w:val="000000"/>
                      </w:rPr>
                      <m:t>1-20 кВ</m:t>
                    </m:r>
                  </m:sup>
                </m:sSubSup>
              </m:oMath>
            </m:oMathPara>
          </w:p>
        </w:tc>
        <w:tc>
          <w:tcPr>
            <w:tcW w:w="1601" w:type="pct"/>
            <w:shd w:val="clear" w:color="auto" w:fill="auto"/>
            <w:vAlign w:val="center"/>
            <w:hideMark/>
          </w:tcPr>
          <w:p w14:paraId="4E3ECFC5" w14:textId="77777777" w:rsidR="008F3544" w:rsidRPr="00735CC9" w:rsidRDefault="008F3544" w:rsidP="0099088D">
            <w:pPr>
              <w:rPr>
                <w:color w:val="000000"/>
                <w:sz w:val="16"/>
                <w:szCs w:val="16"/>
              </w:rPr>
            </w:pPr>
            <w:r w:rsidRPr="00735CC9">
              <w:rPr>
                <w:color w:val="000000"/>
                <w:sz w:val="16"/>
                <w:szCs w:val="16"/>
              </w:rPr>
              <w:t>воздушные линии на металлических опорах изолированным алюминиевым проводом сечением от 50 до 100 квадратных мм включительно одноцепные</w:t>
            </w:r>
          </w:p>
        </w:tc>
        <w:tc>
          <w:tcPr>
            <w:tcW w:w="518" w:type="pct"/>
            <w:shd w:val="clear" w:color="auto" w:fill="auto"/>
            <w:vAlign w:val="center"/>
            <w:hideMark/>
          </w:tcPr>
          <w:p w14:paraId="5AB59FF7" w14:textId="77777777" w:rsidR="008F3544" w:rsidRPr="00735CC9" w:rsidRDefault="008F3544" w:rsidP="0099088D">
            <w:pPr>
              <w:jc w:val="center"/>
              <w:rPr>
                <w:color w:val="000000"/>
                <w:sz w:val="16"/>
                <w:szCs w:val="16"/>
              </w:rPr>
            </w:pPr>
            <w:r w:rsidRPr="00735CC9">
              <w:rPr>
                <w:color w:val="000000"/>
                <w:sz w:val="16"/>
                <w:szCs w:val="16"/>
              </w:rPr>
              <w:t>рублей/кВт</w:t>
            </w:r>
          </w:p>
        </w:tc>
        <w:tc>
          <w:tcPr>
            <w:tcW w:w="582" w:type="pct"/>
            <w:shd w:val="clear" w:color="auto" w:fill="auto"/>
            <w:noWrap/>
            <w:vAlign w:val="center"/>
          </w:tcPr>
          <w:p w14:paraId="04C6BA0D" w14:textId="77777777" w:rsidR="008F3544" w:rsidRPr="00735CC9" w:rsidRDefault="008F3544" w:rsidP="0099088D">
            <w:pPr>
              <w:jc w:val="center"/>
              <w:rPr>
                <w:color w:val="000000"/>
                <w:sz w:val="16"/>
                <w:szCs w:val="16"/>
              </w:rPr>
            </w:pPr>
            <w:r>
              <w:rPr>
                <w:color w:val="000000"/>
                <w:sz w:val="16"/>
                <w:szCs w:val="16"/>
              </w:rPr>
              <w:t>-</w:t>
            </w:r>
          </w:p>
        </w:tc>
        <w:tc>
          <w:tcPr>
            <w:tcW w:w="576" w:type="pct"/>
            <w:shd w:val="clear" w:color="auto" w:fill="auto"/>
            <w:noWrap/>
            <w:vAlign w:val="center"/>
          </w:tcPr>
          <w:p w14:paraId="56DC26BD" w14:textId="77777777" w:rsidR="008F3544" w:rsidRPr="00735CC9" w:rsidRDefault="008F3544" w:rsidP="0099088D">
            <w:pPr>
              <w:jc w:val="center"/>
              <w:rPr>
                <w:color w:val="000000"/>
                <w:sz w:val="16"/>
                <w:szCs w:val="16"/>
              </w:rPr>
            </w:pPr>
            <w:r w:rsidRPr="00DC1D37">
              <w:rPr>
                <w:color w:val="000000"/>
                <w:sz w:val="16"/>
                <w:szCs w:val="16"/>
              </w:rPr>
              <w:t>7 879,98</w:t>
            </w:r>
          </w:p>
        </w:tc>
      </w:tr>
      <w:tr w:rsidR="008F3544" w:rsidRPr="00735CC9" w14:paraId="6822FD9A" w14:textId="77777777" w:rsidTr="0099088D">
        <w:trPr>
          <w:trHeight w:val="900"/>
        </w:trPr>
        <w:tc>
          <w:tcPr>
            <w:tcW w:w="729" w:type="pct"/>
            <w:shd w:val="clear" w:color="auto" w:fill="auto"/>
            <w:vAlign w:val="center"/>
            <w:hideMark/>
          </w:tcPr>
          <w:p w14:paraId="2D30F365" w14:textId="77777777" w:rsidR="008F3544" w:rsidRPr="00735CC9" w:rsidRDefault="008F3544" w:rsidP="0099088D">
            <w:pPr>
              <w:jc w:val="center"/>
              <w:rPr>
                <w:color w:val="000000"/>
                <w:sz w:val="16"/>
                <w:szCs w:val="16"/>
              </w:rPr>
            </w:pPr>
            <w:r w:rsidRPr="00735CC9">
              <w:rPr>
                <w:color w:val="000000"/>
                <w:sz w:val="16"/>
                <w:szCs w:val="16"/>
              </w:rPr>
              <w:t>2.2.2.4.1.1.</w:t>
            </w:r>
          </w:p>
        </w:tc>
        <w:tc>
          <w:tcPr>
            <w:tcW w:w="994" w:type="pct"/>
            <w:shd w:val="clear" w:color="auto" w:fill="auto"/>
            <w:vAlign w:val="center"/>
            <w:hideMark/>
          </w:tcPr>
          <w:p w14:paraId="49F62D5A" w14:textId="77777777" w:rsidR="008F3544" w:rsidRPr="00735CC9"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lang w:val="en-US"/>
                      </w:rPr>
                      <m:t>max</m:t>
                    </m:r>
                    <m:r>
                      <m:rPr>
                        <m:nor/>
                      </m:rPr>
                      <w:rPr>
                        <w:color w:val="000000"/>
                      </w:rPr>
                      <m:t xml:space="preserve"> </m:t>
                    </m:r>
                    <m:r>
                      <m:rPr>
                        <m:nor/>
                      </m:rPr>
                      <w:rPr>
                        <w:color w:val="000000"/>
                        <w:lang w:val="en-US"/>
                      </w:rPr>
                      <m:t>N</m:t>
                    </m:r>
                    <m:r>
                      <m:rPr>
                        <m:nor/>
                      </m:rPr>
                      <w:rPr>
                        <w:color w:val="000000"/>
                      </w:rPr>
                      <m:t xml:space="preserve"> 2.2.2.4.1.1.</m:t>
                    </m:r>
                  </m:sub>
                  <m:sup>
                    <m:r>
                      <m:rPr>
                        <m:nor/>
                      </m:rPr>
                      <w:rPr>
                        <w:color w:val="000000"/>
                      </w:rPr>
                      <m:t>0,4 кВ и ниже</m:t>
                    </m:r>
                  </m:sup>
                </m:sSubSup>
              </m:oMath>
            </m:oMathPara>
          </w:p>
        </w:tc>
        <w:tc>
          <w:tcPr>
            <w:tcW w:w="1601" w:type="pct"/>
            <w:shd w:val="clear" w:color="auto" w:fill="auto"/>
            <w:vAlign w:val="center"/>
            <w:hideMark/>
          </w:tcPr>
          <w:p w14:paraId="0436B05D" w14:textId="77777777" w:rsidR="008F3544" w:rsidRPr="00735CC9" w:rsidRDefault="008F3544" w:rsidP="0099088D">
            <w:pPr>
              <w:rPr>
                <w:color w:val="000000"/>
                <w:sz w:val="16"/>
                <w:szCs w:val="16"/>
              </w:rPr>
            </w:pPr>
            <w:r w:rsidRPr="00735CC9">
              <w:rPr>
                <w:color w:val="000000"/>
                <w:sz w:val="16"/>
                <w:szCs w:val="16"/>
              </w:rPr>
              <w:t>воздушные линии на металлических опорах неизолированным алюминиевым проводом сечением до 50 квадратных мм включительно одноцепные</w:t>
            </w:r>
          </w:p>
        </w:tc>
        <w:tc>
          <w:tcPr>
            <w:tcW w:w="518" w:type="pct"/>
            <w:shd w:val="clear" w:color="auto" w:fill="auto"/>
            <w:vAlign w:val="center"/>
            <w:hideMark/>
          </w:tcPr>
          <w:p w14:paraId="41188B05" w14:textId="77777777" w:rsidR="008F3544" w:rsidRPr="00735CC9" w:rsidRDefault="008F3544" w:rsidP="0099088D">
            <w:pPr>
              <w:jc w:val="center"/>
              <w:rPr>
                <w:color w:val="000000"/>
                <w:sz w:val="16"/>
                <w:szCs w:val="16"/>
              </w:rPr>
            </w:pPr>
            <w:r w:rsidRPr="00735CC9">
              <w:rPr>
                <w:color w:val="000000"/>
                <w:sz w:val="16"/>
                <w:szCs w:val="16"/>
              </w:rPr>
              <w:t>рублей/кВт</w:t>
            </w:r>
          </w:p>
        </w:tc>
        <w:tc>
          <w:tcPr>
            <w:tcW w:w="582" w:type="pct"/>
            <w:shd w:val="clear" w:color="auto" w:fill="auto"/>
            <w:noWrap/>
            <w:vAlign w:val="center"/>
          </w:tcPr>
          <w:p w14:paraId="659A113C" w14:textId="77777777" w:rsidR="008F3544" w:rsidRPr="00735CC9" w:rsidRDefault="008F3544" w:rsidP="0099088D">
            <w:pPr>
              <w:jc w:val="center"/>
              <w:rPr>
                <w:color w:val="000000"/>
                <w:sz w:val="16"/>
                <w:szCs w:val="16"/>
              </w:rPr>
            </w:pPr>
            <w:r>
              <w:rPr>
                <w:color w:val="000000"/>
                <w:sz w:val="16"/>
                <w:szCs w:val="16"/>
              </w:rPr>
              <w:t>-</w:t>
            </w:r>
          </w:p>
        </w:tc>
        <w:tc>
          <w:tcPr>
            <w:tcW w:w="576" w:type="pct"/>
            <w:shd w:val="clear" w:color="auto" w:fill="auto"/>
            <w:noWrap/>
            <w:vAlign w:val="center"/>
          </w:tcPr>
          <w:p w14:paraId="62942381" w14:textId="77777777" w:rsidR="008F3544" w:rsidRPr="00735CC9" w:rsidRDefault="008F3544" w:rsidP="0099088D">
            <w:pPr>
              <w:jc w:val="center"/>
              <w:rPr>
                <w:color w:val="000000"/>
                <w:sz w:val="16"/>
                <w:szCs w:val="16"/>
              </w:rPr>
            </w:pPr>
            <w:r w:rsidRPr="00DC1D37">
              <w:rPr>
                <w:color w:val="000000"/>
                <w:sz w:val="16"/>
                <w:szCs w:val="16"/>
              </w:rPr>
              <w:t>5 050,31</w:t>
            </w:r>
          </w:p>
        </w:tc>
      </w:tr>
      <w:tr w:rsidR="008F3544" w:rsidRPr="00735CC9" w14:paraId="63AA8403" w14:textId="77777777" w:rsidTr="0099088D">
        <w:trPr>
          <w:trHeight w:val="510"/>
        </w:trPr>
        <w:tc>
          <w:tcPr>
            <w:tcW w:w="729" w:type="pct"/>
            <w:vMerge w:val="restart"/>
            <w:shd w:val="clear" w:color="auto" w:fill="auto"/>
            <w:vAlign w:val="center"/>
            <w:hideMark/>
          </w:tcPr>
          <w:p w14:paraId="2167F2CF" w14:textId="77777777" w:rsidR="008F3544" w:rsidRPr="00735CC9" w:rsidRDefault="008F3544" w:rsidP="0099088D">
            <w:pPr>
              <w:jc w:val="center"/>
              <w:rPr>
                <w:color w:val="000000"/>
                <w:sz w:val="16"/>
                <w:szCs w:val="16"/>
              </w:rPr>
            </w:pPr>
            <w:r w:rsidRPr="00735CC9">
              <w:rPr>
                <w:color w:val="000000"/>
                <w:sz w:val="16"/>
                <w:szCs w:val="16"/>
              </w:rPr>
              <w:t>2.3.1.3.1.1.</w:t>
            </w:r>
          </w:p>
        </w:tc>
        <w:tc>
          <w:tcPr>
            <w:tcW w:w="994" w:type="pct"/>
            <w:shd w:val="clear" w:color="auto" w:fill="auto"/>
            <w:vAlign w:val="center"/>
            <w:hideMark/>
          </w:tcPr>
          <w:p w14:paraId="2BDABE53" w14:textId="77777777" w:rsidR="008F3544" w:rsidRPr="00735CC9"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lang w:val="en-US"/>
                      </w:rPr>
                      <m:t>max</m:t>
                    </m:r>
                    <m:r>
                      <m:rPr>
                        <m:nor/>
                      </m:rPr>
                      <w:rPr>
                        <w:color w:val="000000"/>
                      </w:rPr>
                      <m:t xml:space="preserve"> </m:t>
                    </m:r>
                    <m:r>
                      <m:rPr>
                        <m:nor/>
                      </m:rPr>
                      <w:rPr>
                        <w:color w:val="000000"/>
                        <w:lang w:val="en-US"/>
                      </w:rPr>
                      <m:t>N</m:t>
                    </m:r>
                    <m:r>
                      <m:rPr>
                        <m:nor/>
                      </m:rPr>
                      <w:rPr>
                        <w:color w:val="000000"/>
                      </w:rPr>
                      <m:t xml:space="preserve"> 2.3.1.3.1.1.</m:t>
                    </m:r>
                  </m:sub>
                  <m:sup>
                    <m:r>
                      <m:rPr>
                        <m:nor/>
                      </m:rPr>
                      <w:rPr>
                        <w:color w:val="000000"/>
                      </w:rPr>
                      <m:t>0,4 кВ и ниже</m:t>
                    </m:r>
                  </m:sup>
                </m:sSubSup>
              </m:oMath>
            </m:oMathPara>
          </w:p>
        </w:tc>
        <w:tc>
          <w:tcPr>
            <w:tcW w:w="1601" w:type="pct"/>
            <w:vMerge w:val="restart"/>
            <w:shd w:val="clear" w:color="auto" w:fill="auto"/>
            <w:vAlign w:val="center"/>
            <w:hideMark/>
          </w:tcPr>
          <w:p w14:paraId="01C448CD" w14:textId="77777777" w:rsidR="008F3544" w:rsidRPr="00735CC9" w:rsidRDefault="008F3544" w:rsidP="0099088D">
            <w:pPr>
              <w:rPr>
                <w:color w:val="000000"/>
                <w:sz w:val="16"/>
                <w:szCs w:val="16"/>
              </w:rPr>
            </w:pPr>
            <w:r w:rsidRPr="00735CC9">
              <w:rPr>
                <w:color w:val="000000"/>
                <w:sz w:val="16"/>
                <w:szCs w:val="16"/>
              </w:rPr>
              <w:t>воздушные линии на железобетонных опорах изолированным сталеалюминиевым проводом сечением до 50 квадратных мм включительно одноцепные</w:t>
            </w:r>
          </w:p>
        </w:tc>
        <w:tc>
          <w:tcPr>
            <w:tcW w:w="518" w:type="pct"/>
            <w:vMerge w:val="restart"/>
            <w:shd w:val="clear" w:color="auto" w:fill="auto"/>
            <w:vAlign w:val="center"/>
            <w:hideMark/>
          </w:tcPr>
          <w:p w14:paraId="6229A15C" w14:textId="77777777" w:rsidR="008F3544" w:rsidRPr="00735CC9" w:rsidRDefault="008F3544" w:rsidP="0099088D">
            <w:pPr>
              <w:jc w:val="center"/>
              <w:rPr>
                <w:color w:val="000000"/>
                <w:sz w:val="16"/>
                <w:szCs w:val="16"/>
              </w:rPr>
            </w:pPr>
            <w:r w:rsidRPr="00735CC9">
              <w:rPr>
                <w:color w:val="000000"/>
                <w:sz w:val="16"/>
                <w:szCs w:val="16"/>
              </w:rPr>
              <w:t>рублей/кВт</w:t>
            </w:r>
          </w:p>
        </w:tc>
        <w:tc>
          <w:tcPr>
            <w:tcW w:w="582" w:type="pct"/>
            <w:shd w:val="clear" w:color="auto" w:fill="auto"/>
            <w:noWrap/>
            <w:vAlign w:val="center"/>
          </w:tcPr>
          <w:p w14:paraId="72202BCD" w14:textId="77777777" w:rsidR="008F3544" w:rsidRPr="00735CC9" w:rsidRDefault="008F3544" w:rsidP="0099088D">
            <w:pPr>
              <w:jc w:val="center"/>
              <w:rPr>
                <w:color w:val="000000"/>
                <w:sz w:val="16"/>
                <w:szCs w:val="16"/>
              </w:rPr>
            </w:pPr>
            <w:r w:rsidRPr="00DC1D37">
              <w:rPr>
                <w:color w:val="000000"/>
                <w:sz w:val="16"/>
                <w:szCs w:val="16"/>
              </w:rPr>
              <w:t>6 728,70</w:t>
            </w:r>
          </w:p>
        </w:tc>
        <w:tc>
          <w:tcPr>
            <w:tcW w:w="576" w:type="pct"/>
            <w:shd w:val="clear" w:color="auto" w:fill="auto"/>
            <w:noWrap/>
            <w:vAlign w:val="center"/>
          </w:tcPr>
          <w:p w14:paraId="573D3F19" w14:textId="77777777" w:rsidR="008F3544" w:rsidRPr="00735CC9" w:rsidRDefault="008F3544" w:rsidP="0099088D">
            <w:pPr>
              <w:jc w:val="center"/>
              <w:rPr>
                <w:color w:val="000000"/>
                <w:sz w:val="16"/>
                <w:szCs w:val="16"/>
              </w:rPr>
            </w:pPr>
            <w:r w:rsidRPr="00DC1D37">
              <w:rPr>
                <w:color w:val="000000"/>
                <w:sz w:val="16"/>
                <w:szCs w:val="16"/>
              </w:rPr>
              <w:t>5 932,91</w:t>
            </w:r>
          </w:p>
        </w:tc>
      </w:tr>
      <w:tr w:rsidR="008F3544" w:rsidRPr="00735CC9" w14:paraId="0FCCDF34" w14:textId="77777777" w:rsidTr="0099088D">
        <w:trPr>
          <w:trHeight w:val="510"/>
        </w:trPr>
        <w:tc>
          <w:tcPr>
            <w:tcW w:w="729" w:type="pct"/>
            <w:vMerge/>
            <w:shd w:val="clear" w:color="auto" w:fill="auto"/>
            <w:vAlign w:val="center"/>
            <w:hideMark/>
          </w:tcPr>
          <w:p w14:paraId="1F975071" w14:textId="77777777" w:rsidR="008F3544" w:rsidRPr="00735CC9" w:rsidRDefault="008F3544" w:rsidP="0099088D">
            <w:pPr>
              <w:rPr>
                <w:color w:val="000000"/>
                <w:sz w:val="16"/>
                <w:szCs w:val="16"/>
              </w:rPr>
            </w:pPr>
          </w:p>
        </w:tc>
        <w:tc>
          <w:tcPr>
            <w:tcW w:w="994" w:type="pct"/>
            <w:shd w:val="clear" w:color="auto" w:fill="auto"/>
            <w:vAlign w:val="center"/>
            <w:hideMark/>
          </w:tcPr>
          <w:p w14:paraId="0AF5C15E" w14:textId="77777777" w:rsidR="008F3544" w:rsidRPr="00735CC9"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lang w:val="en-US"/>
                      </w:rPr>
                      <m:t>max</m:t>
                    </m:r>
                    <m:r>
                      <m:rPr>
                        <m:nor/>
                      </m:rPr>
                      <w:rPr>
                        <w:color w:val="000000"/>
                      </w:rPr>
                      <m:t xml:space="preserve"> </m:t>
                    </m:r>
                    <m:r>
                      <m:rPr>
                        <m:nor/>
                      </m:rPr>
                      <w:rPr>
                        <w:color w:val="000000"/>
                        <w:lang w:val="en-US"/>
                      </w:rPr>
                      <m:t>N</m:t>
                    </m:r>
                    <m:r>
                      <m:rPr>
                        <m:nor/>
                      </m:rPr>
                      <w:rPr>
                        <w:color w:val="000000"/>
                      </w:rPr>
                      <m:t xml:space="preserve"> 2.3.1.3.1.1.</m:t>
                    </m:r>
                  </m:sub>
                  <m:sup>
                    <m:r>
                      <m:rPr>
                        <m:nor/>
                      </m:rPr>
                      <w:rPr>
                        <w:color w:val="000000"/>
                      </w:rPr>
                      <m:t>1-20 кВ</m:t>
                    </m:r>
                  </m:sup>
                </m:sSubSup>
              </m:oMath>
            </m:oMathPara>
          </w:p>
        </w:tc>
        <w:tc>
          <w:tcPr>
            <w:tcW w:w="1601" w:type="pct"/>
            <w:vMerge/>
            <w:shd w:val="clear" w:color="auto" w:fill="auto"/>
            <w:vAlign w:val="center"/>
            <w:hideMark/>
          </w:tcPr>
          <w:p w14:paraId="1107DD1D" w14:textId="77777777" w:rsidR="008F3544" w:rsidRPr="00735CC9" w:rsidRDefault="008F3544" w:rsidP="0099088D">
            <w:pPr>
              <w:rPr>
                <w:color w:val="000000"/>
                <w:sz w:val="16"/>
                <w:szCs w:val="16"/>
              </w:rPr>
            </w:pPr>
          </w:p>
        </w:tc>
        <w:tc>
          <w:tcPr>
            <w:tcW w:w="518" w:type="pct"/>
            <w:vMerge/>
            <w:shd w:val="clear" w:color="auto" w:fill="auto"/>
            <w:vAlign w:val="center"/>
            <w:hideMark/>
          </w:tcPr>
          <w:p w14:paraId="75BA4A38" w14:textId="77777777" w:rsidR="008F3544" w:rsidRPr="00735CC9" w:rsidRDefault="008F3544" w:rsidP="0099088D">
            <w:pPr>
              <w:rPr>
                <w:color w:val="000000"/>
                <w:sz w:val="16"/>
                <w:szCs w:val="16"/>
              </w:rPr>
            </w:pPr>
          </w:p>
        </w:tc>
        <w:tc>
          <w:tcPr>
            <w:tcW w:w="582" w:type="pct"/>
            <w:shd w:val="clear" w:color="auto" w:fill="auto"/>
            <w:noWrap/>
            <w:vAlign w:val="center"/>
          </w:tcPr>
          <w:p w14:paraId="06BE3863" w14:textId="77777777" w:rsidR="008F3544" w:rsidRPr="00735CC9" w:rsidRDefault="008F3544" w:rsidP="0099088D">
            <w:pPr>
              <w:jc w:val="center"/>
              <w:rPr>
                <w:color w:val="000000"/>
                <w:sz w:val="16"/>
                <w:szCs w:val="16"/>
              </w:rPr>
            </w:pPr>
            <w:r w:rsidRPr="00DC1D37">
              <w:rPr>
                <w:color w:val="000000"/>
                <w:sz w:val="16"/>
                <w:szCs w:val="16"/>
              </w:rPr>
              <w:t>7 549,28</w:t>
            </w:r>
          </w:p>
        </w:tc>
        <w:tc>
          <w:tcPr>
            <w:tcW w:w="576" w:type="pct"/>
            <w:shd w:val="clear" w:color="auto" w:fill="auto"/>
            <w:noWrap/>
            <w:vAlign w:val="center"/>
          </w:tcPr>
          <w:p w14:paraId="4A85F320" w14:textId="77777777" w:rsidR="008F3544" w:rsidRPr="00735CC9" w:rsidRDefault="008F3544" w:rsidP="0099088D">
            <w:pPr>
              <w:jc w:val="center"/>
              <w:rPr>
                <w:color w:val="000000"/>
                <w:sz w:val="16"/>
                <w:szCs w:val="16"/>
              </w:rPr>
            </w:pPr>
            <w:r w:rsidRPr="00DC1D37">
              <w:rPr>
                <w:color w:val="000000"/>
                <w:sz w:val="16"/>
                <w:szCs w:val="16"/>
              </w:rPr>
              <w:t>6 487,22</w:t>
            </w:r>
          </w:p>
        </w:tc>
      </w:tr>
      <w:tr w:rsidR="008F3544" w:rsidRPr="00735CC9" w14:paraId="23EE9090" w14:textId="77777777" w:rsidTr="0099088D">
        <w:trPr>
          <w:trHeight w:val="525"/>
        </w:trPr>
        <w:tc>
          <w:tcPr>
            <w:tcW w:w="729" w:type="pct"/>
            <w:vMerge w:val="restart"/>
            <w:shd w:val="clear" w:color="auto" w:fill="auto"/>
            <w:vAlign w:val="center"/>
            <w:hideMark/>
          </w:tcPr>
          <w:p w14:paraId="419B99CB" w14:textId="77777777" w:rsidR="008F3544" w:rsidRPr="00735CC9" w:rsidRDefault="008F3544" w:rsidP="0099088D">
            <w:pPr>
              <w:jc w:val="center"/>
              <w:rPr>
                <w:color w:val="000000"/>
                <w:sz w:val="16"/>
                <w:szCs w:val="16"/>
              </w:rPr>
            </w:pPr>
            <w:r w:rsidRPr="00735CC9">
              <w:rPr>
                <w:color w:val="000000"/>
                <w:sz w:val="16"/>
                <w:szCs w:val="16"/>
              </w:rPr>
              <w:t>2.3.1.3.2.1.</w:t>
            </w:r>
          </w:p>
        </w:tc>
        <w:tc>
          <w:tcPr>
            <w:tcW w:w="994" w:type="pct"/>
            <w:shd w:val="clear" w:color="auto" w:fill="auto"/>
            <w:vAlign w:val="center"/>
            <w:hideMark/>
          </w:tcPr>
          <w:p w14:paraId="0967DAAA" w14:textId="77777777" w:rsidR="008F3544" w:rsidRPr="00735CC9"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lang w:val="en-US"/>
                      </w:rPr>
                      <m:t>max</m:t>
                    </m:r>
                    <m:r>
                      <m:rPr>
                        <m:nor/>
                      </m:rPr>
                      <w:rPr>
                        <w:color w:val="000000"/>
                      </w:rPr>
                      <m:t xml:space="preserve"> </m:t>
                    </m:r>
                    <m:r>
                      <m:rPr>
                        <m:nor/>
                      </m:rPr>
                      <w:rPr>
                        <w:color w:val="000000"/>
                        <w:lang w:val="en-US"/>
                      </w:rPr>
                      <m:t>N</m:t>
                    </m:r>
                    <m:r>
                      <m:rPr>
                        <m:nor/>
                      </m:rPr>
                      <w:rPr>
                        <w:color w:val="000000"/>
                      </w:rPr>
                      <m:t xml:space="preserve"> 2.3.1.3.2.1.</m:t>
                    </m:r>
                  </m:sub>
                  <m:sup>
                    <m:r>
                      <m:rPr>
                        <m:nor/>
                      </m:rPr>
                      <w:rPr>
                        <w:color w:val="000000"/>
                      </w:rPr>
                      <m:t>0,4 кВ и ниже</m:t>
                    </m:r>
                  </m:sup>
                </m:sSubSup>
              </m:oMath>
            </m:oMathPara>
          </w:p>
        </w:tc>
        <w:tc>
          <w:tcPr>
            <w:tcW w:w="1601" w:type="pct"/>
            <w:vMerge w:val="restart"/>
            <w:shd w:val="clear" w:color="auto" w:fill="auto"/>
            <w:vAlign w:val="center"/>
            <w:hideMark/>
          </w:tcPr>
          <w:p w14:paraId="703C5E08" w14:textId="77777777" w:rsidR="008F3544" w:rsidRPr="00735CC9" w:rsidRDefault="008F3544" w:rsidP="0099088D">
            <w:pPr>
              <w:rPr>
                <w:color w:val="000000"/>
                <w:sz w:val="16"/>
                <w:szCs w:val="16"/>
              </w:rPr>
            </w:pPr>
            <w:r w:rsidRPr="00735CC9">
              <w:rPr>
                <w:color w:val="000000"/>
                <w:sz w:val="16"/>
                <w:szCs w:val="16"/>
              </w:rPr>
              <w:t>воздушные линии на железобетонных опорах изолированным сталеалюминиевым проводом сечением от 50 до 100 квадратных мм включительно одноцепные</w:t>
            </w:r>
          </w:p>
        </w:tc>
        <w:tc>
          <w:tcPr>
            <w:tcW w:w="518" w:type="pct"/>
            <w:vMerge w:val="restart"/>
            <w:shd w:val="clear" w:color="auto" w:fill="auto"/>
            <w:vAlign w:val="center"/>
            <w:hideMark/>
          </w:tcPr>
          <w:p w14:paraId="56F05489" w14:textId="77777777" w:rsidR="008F3544" w:rsidRPr="00735CC9" w:rsidRDefault="008F3544" w:rsidP="0099088D">
            <w:pPr>
              <w:jc w:val="center"/>
              <w:rPr>
                <w:color w:val="000000"/>
                <w:sz w:val="16"/>
                <w:szCs w:val="16"/>
              </w:rPr>
            </w:pPr>
            <w:r w:rsidRPr="00735CC9">
              <w:rPr>
                <w:color w:val="000000"/>
                <w:sz w:val="16"/>
                <w:szCs w:val="16"/>
              </w:rPr>
              <w:t>рублей/кВт</w:t>
            </w:r>
          </w:p>
        </w:tc>
        <w:tc>
          <w:tcPr>
            <w:tcW w:w="582" w:type="pct"/>
            <w:shd w:val="clear" w:color="auto" w:fill="auto"/>
            <w:noWrap/>
            <w:vAlign w:val="center"/>
          </w:tcPr>
          <w:p w14:paraId="5CE800E2" w14:textId="77777777" w:rsidR="008F3544" w:rsidRPr="00735CC9" w:rsidRDefault="008F3544" w:rsidP="0099088D">
            <w:pPr>
              <w:jc w:val="center"/>
              <w:rPr>
                <w:color w:val="000000"/>
                <w:sz w:val="16"/>
                <w:szCs w:val="16"/>
              </w:rPr>
            </w:pPr>
            <w:r w:rsidRPr="006A79FF">
              <w:rPr>
                <w:color w:val="000000"/>
                <w:sz w:val="16"/>
                <w:szCs w:val="16"/>
              </w:rPr>
              <w:t>8 738,63</w:t>
            </w:r>
          </w:p>
        </w:tc>
        <w:tc>
          <w:tcPr>
            <w:tcW w:w="576" w:type="pct"/>
            <w:shd w:val="clear" w:color="auto" w:fill="auto"/>
            <w:noWrap/>
            <w:vAlign w:val="center"/>
          </w:tcPr>
          <w:p w14:paraId="4B76B445" w14:textId="77777777" w:rsidR="008F3544" w:rsidRPr="00735CC9" w:rsidRDefault="008F3544" w:rsidP="0099088D">
            <w:pPr>
              <w:jc w:val="center"/>
              <w:rPr>
                <w:color w:val="000000"/>
                <w:sz w:val="16"/>
                <w:szCs w:val="16"/>
              </w:rPr>
            </w:pPr>
            <w:r w:rsidRPr="006A79FF">
              <w:rPr>
                <w:color w:val="000000"/>
                <w:sz w:val="16"/>
                <w:szCs w:val="16"/>
              </w:rPr>
              <w:t>7 408,66</w:t>
            </w:r>
          </w:p>
        </w:tc>
      </w:tr>
      <w:tr w:rsidR="008F3544" w:rsidRPr="00735CC9" w14:paraId="06E8CEE7" w14:textId="77777777" w:rsidTr="0099088D">
        <w:trPr>
          <w:trHeight w:val="525"/>
        </w:trPr>
        <w:tc>
          <w:tcPr>
            <w:tcW w:w="729" w:type="pct"/>
            <w:vMerge/>
            <w:shd w:val="clear" w:color="auto" w:fill="auto"/>
            <w:vAlign w:val="center"/>
            <w:hideMark/>
          </w:tcPr>
          <w:p w14:paraId="122CA175" w14:textId="77777777" w:rsidR="008F3544" w:rsidRPr="00735CC9" w:rsidRDefault="008F3544" w:rsidP="0099088D">
            <w:pPr>
              <w:rPr>
                <w:color w:val="000000"/>
                <w:sz w:val="16"/>
                <w:szCs w:val="16"/>
              </w:rPr>
            </w:pPr>
          </w:p>
        </w:tc>
        <w:tc>
          <w:tcPr>
            <w:tcW w:w="994" w:type="pct"/>
            <w:shd w:val="clear" w:color="auto" w:fill="auto"/>
            <w:vAlign w:val="center"/>
            <w:hideMark/>
          </w:tcPr>
          <w:p w14:paraId="553AC15F" w14:textId="77777777" w:rsidR="008F3544" w:rsidRPr="00735CC9"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lang w:val="en-US"/>
                      </w:rPr>
                      <m:t>max</m:t>
                    </m:r>
                    <m:r>
                      <m:rPr>
                        <m:nor/>
                      </m:rPr>
                      <w:rPr>
                        <w:color w:val="000000"/>
                      </w:rPr>
                      <m:t xml:space="preserve"> </m:t>
                    </m:r>
                    <m:r>
                      <m:rPr>
                        <m:nor/>
                      </m:rPr>
                      <w:rPr>
                        <w:color w:val="000000"/>
                        <w:lang w:val="en-US"/>
                      </w:rPr>
                      <m:t>N</m:t>
                    </m:r>
                    <m:r>
                      <m:rPr>
                        <m:nor/>
                      </m:rPr>
                      <w:rPr>
                        <w:color w:val="000000"/>
                      </w:rPr>
                      <m:t xml:space="preserve"> 2.3.1.3.2.1.</m:t>
                    </m:r>
                  </m:sub>
                  <m:sup>
                    <m:r>
                      <m:rPr>
                        <m:nor/>
                      </m:rPr>
                      <w:rPr>
                        <w:color w:val="000000"/>
                      </w:rPr>
                      <m:t>1-20 кВ</m:t>
                    </m:r>
                  </m:sup>
                </m:sSubSup>
              </m:oMath>
            </m:oMathPara>
          </w:p>
        </w:tc>
        <w:tc>
          <w:tcPr>
            <w:tcW w:w="1601" w:type="pct"/>
            <w:vMerge/>
            <w:shd w:val="clear" w:color="auto" w:fill="auto"/>
            <w:vAlign w:val="center"/>
            <w:hideMark/>
          </w:tcPr>
          <w:p w14:paraId="4A19385F" w14:textId="77777777" w:rsidR="008F3544" w:rsidRPr="00735CC9" w:rsidRDefault="008F3544" w:rsidP="0099088D">
            <w:pPr>
              <w:rPr>
                <w:color w:val="000000"/>
                <w:sz w:val="16"/>
                <w:szCs w:val="16"/>
              </w:rPr>
            </w:pPr>
          </w:p>
        </w:tc>
        <w:tc>
          <w:tcPr>
            <w:tcW w:w="518" w:type="pct"/>
            <w:vMerge/>
            <w:shd w:val="clear" w:color="auto" w:fill="auto"/>
            <w:vAlign w:val="center"/>
            <w:hideMark/>
          </w:tcPr>
          <w:p w14:paraId="44946CB4" w14:textId="77777777" w:rsidR="008F3544" w:rsidRPr="00735CC9" w:rsidRDefault="008F3544" w:rsidP="0099088D">
            <w:pPr>
              <w:rPr>
                <w:color w:val="000000"/>
                <w:sz w:val="16"/>
                <w:szCs w:val="16"/>
              </w:rPr>
            </w:pPr>
          </w:p>
        </w:tc>
        <w:tc>
          <w:tcPr>
            <w:tcW w:w="582" w:type="pct"/>
            <w:shd w:val="clear" w:color="auto" w:fill="auto"/>
            <w:noWrap/>
            <w:vAlign w:val="center"/>
          </w:tcPr>
          <w:p w14:paraId="0D1B0737" w14:textId="77777777" w:rsidR="008F3544" w:rsidRPr="00735CC9" w:rsidRDefault="008F3544" w:rsidP="0099088D">
            <w:pPr>
              <w:jc w:val="center"/>
              <w:rPr>
                <w:color w:val="000000"/>
                <w:sz w:val="16"/>
                <w:szCs w:val="16"/>
              </w:rPr>
            </w:pPr>
            <w:r>
              <w:rPr>
                <w:color w:val="000000"/>
                <w:sz w:val="16"/>
                <w:szCs w:val="16"/>
              </w:rPr>
              <w:t>-</w:t>
            </w:r>
          </w:p>
        </w:tc>
        <w:tc>
          <w:tcPr>
            <w:tcW w:w="576" w:type="pct"/>
            <w:shd w:val="clear" w:color="auto" w:fill="auto"/>
            <w:noWrap/>
            <w:vAlign w:val="center"/>
          </w:tcPr>
          <w:p w14:paraId="60F089F1" w14:textId="77777777" w:rsidR="008F3544" w:rsidRPr="00735CC9" w:rsidRDefault="008F3544" w:rsidP="0099088D">
            <w:pPr>
              <w:jc w:val="center"/>
              <w:rPr>
                <w:color w:val="000000"/>
                <w:sz w:val="16"/>
                <w:szCs w:val="16"/>
              </w:rPr>
            </w:pPr>
            <w:r w:rsidRPr="006A79FF">
              <w:rPr>
                <w:color w:val="000000"/>
                <w:sz w:val="16"/>
                <w:szCs w:val="16"/>
              </w:rPr>
              <w:t>8 158,83</w:t>
            </w:r>
          </w:p>
        </w:tc>
      </w:tr>
      <w:tr w:rsidR="008F3544" w:rsidRPr="00735CC9" w14:paraId="50DFEFA7" w14:textId="77777777" w:rsidTr="0099088D">
        <w:trPr>
          <w:trHeight w:val="384"/>
        </w:trPr>
        <w:tc>
          <w:tcPr>
            <w:tcW w:w="729" w:type="pct"/>
            <w:shd w:val="clear" w:color="auto" w:fill="auto"/>
            <w:vAlign w:val="center"/>
            <w:hideMark/>
          </w:tcPr>
          <w:p w14:paraId="2C561A0F" w14:textId="77777777" w:rsidR="008F3544" w:rsidRPr="00735CC9" w:rsidRDefault="008F3544" w:rsidP="0099088D">
            <w:pPr>
              <w:jc w:val="center"/>
              <w:rPr>
                <w:color w:val="000000"/>
                <w:sz w:val="16"/>
                <w:szCs w:val="16"/>
              </w:rPr>
            </w:pPr>
            <w:r w:rsidRPr="00735CC9">
              <w:rPr>
                <w:color w:val="000000"/>
                <w:sz w:val="16"/>
                <w:szCs w:val="16"/>
              </w:rPr>
              <w:t>2.3.1.3.3.1.</w:t>
            </w:r>
          </w:p>
        </w:tc>
        <w:tc>
          <w:tcPr>
            <w:tcW w:w="994" w:type="pct"/>
            <w:shd w:val="clear" w:color="auto" w:fill="auto"/>
            <w:vAlign w:val="center"/>
            <w:hideMark/>
          </w:tcPr>
          <w:p w14:paraId="7E327661" w14:textId="77777777" w:rsidR="008F3544" w:rsidRPr="00735CC9"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lang w:val="en-US"/>
                      </w:rPr>
                      <m:t>max</m:t>
                    </m:r>
                    <m:r>
                      <m:rPr>
                        <m:nor/>
                      </m:rPr>
                      <w:rPr>
                        <w:color w:val="000000"/>
                      </w:rPr>
                      <m:t xml:space="preserve"> </m:t>
                    </m:r>
                    <m:r>
                      <m:rPr>
                        <m:nor/>
                      </m:rPr>
                      <w:rPr>
                        <w:color w:val="000000"/>
                        <w:lang w:val="en-US"/>
                      </w:rPr>
                      <m:t>N</m:t>
                    </m:r>
                    <m:r>
                      <m:rPr>
                        <m:nor/>
                      </m:rPr>
                      <w:rPr>
                        <w:color w:val="000000"/>
                      </w:rPr>
                      <m:t xml:space="preserve"> 2.3.1.3.3.1.</m:t>
                    </m:r>
                  </m:sub>
                  <m:sup>
                    <m:r>
                      <m:rPr>
                        <m:nor/>
                      </m:rPr>
                      <w:rPr>
                        <w:color w:val="000000"/>
                      </w:rPr>
                      <m:t>0,4 кВ и ниже</m:t>
                    </m:r>
                  </m:sup>
                </m:sSubSup>
              </m:oMath>
            </m:oMathPara>
          </w:p>
        </w:tc>
        <w:tc>
          <w:tcPr>
            <w:tcW w:w="1601" w:type="pct"/>
            <w:shd w:val="clear" w:color="auto" w:fill="auto"/>
            <w:vAlign w:val="center"/>
            <w:hideMark/>
          </w:tcPr>
          <w:p w14:paraId="70F46BA2" w14:textId="77777777" w:rsidR="008F3544" w:rsidRPr="00735CC9" w:rsidRDefault="008F3544" w:rsidP="0099088D">
            <w:pPr>
              <w:rPr>
                <w:color w:val="000000"/>
                <w:sz w:val="16"/>
                <w:szCs w:val="16"/>
              </w:rPr>
            </w:pPr>
            <w:r w:rsidRPr="00735CC9">
              <w:rPr>
                <w:color w:val="000000"/>
                <w:sz w:val="16"/>
                <w:szCs w:val="16"/>
              </w:rPr>
              <w:t>воздушные линии на железобетонных опорах изолированным сталеалюминиевым проводом сечением от 100 до 200 квадратных мм включительно одноцепные</w:t>
            </w:r>
          </w:p>
        </w:tc>
        <w:tc>
          <w:tcPr>
            <w:tcW w:w="518" w:type="pct"/>
            <w:shd w:val="clear" w:color="auto" w:fill="auto"/>
            <w:vAlign w:val="center"/>
            <w:hideMark/>
          </w:tcPr>
          <w:p w14:paraId="6BD2248E" w14:textId="77777777" w:rsidR="008F3544" w:rsidRPr="00735CC9" w:rsidRDefault="008F3544" w:rsidP="0099088D">
            <w:pPr>
              <w:jc w:val="center"/>
              <w:rPr>
                <w:color w:val="000000"/>
                <w:sz w:val="16"/>
                <w:szCs w:val="16"/>
              </w:rPr>
            </w:pPr>
            <w:r w:rsidRPr="00735CC9">
              <w:rPr>
                <w:color w:val="000000"/>
                <w:sz w:val="16"/>
                <w:szCs w:val="16"/>
              </w:rPr>
              <w:t>рублей/кВт</w:t>
            </w:r>
          </w:p>
        </w:tc>
        <w:tc>
          <w:tcPr>
            <w:tcW w:w="582" w:type="pct"/>
            <w:shd w:val="clear" w:color="auto" w:fill="auto"/>
            <w:noWrap/>
            <w:vAlign w:val="center"/>
          </w:tcPr>
          <w:p w14:paraId="77D13B6B" w14:textId="77777777" w:rsidR="008F3544" w:rsidRPr="00735CC9" w:rsidRDefault="008F3544" w:rsidP="0099088D">
            <w:pPr>
              <w:jc w:val="center"/>
              <w:rPr>
                <w:color w:val="000000"/>
                <w:sz w:val="16"/>
                <w:szCs w:val="16"/>
              </w:rPr>
            </w:pPr>
            <w:r w:rsidRPr="006A79FF">
              <w:rPr>
                <w:color w:val="000000"/>
                <w:sz w:val="16"/>
                <w:szCs w:val="16"/>
              </w:rPr>
              <w:t>6 780,49</w:t>
            </w:r>
          </w:p>
        </w:tc>
        <w:tc>
          <w:tcPr>
            <w:tcW w:w="576" w:type="pct"/>
            <w:shd w:val="clear" w:color="auto" w:fill="auto"/>
            <w:noWrap/>
            <w:vAlign w:val="center"/>
          </w:tcPr>
          <w:p w14:paraId="30E15E00" w14:textId="77777777" w:rsidR="008F3544" w:rsidRPr="00735CC9" w:rsidRDefault="008F3544" w:rsidP="0099088D">
            <w:pPr>
              <w:jc w:val="center"/>
              <w:rPr>
                <w:color w:val="000000"/>
                <w:sz w:val="16"/>
                <w:szCs w:val="16"/>
              </w:rPr>
            </w:pPr>
            <w:r>
              <w:rPr>
                <w:color w:val="000000"/>
                <w:sz w:val="16"/>
                <w:szCs w:val="16"/>
              </w:rPr>
              <w:t>-</w:t>
            </w:r>
          </w:p>
        </w:tc>
      </w:tr>
      <w:tr w:rsidR="008F3544" w:rsidRPr="00735CC9" w14:paraId="21899BA8" w14:textId="77777777" w:rsidTr="0099088D">
        <w:trPr>
          <w:trHeight w:val="510"/>
        </w:trPr>
        <w:tc>
          <w:tcPr>
            <w:tcW w:w="729" w:type="pct"/>
            <w:vMerge w:val="restart"/>
            <w:shd w:val="clear" w:color="auto" w:fill="auto"/>
            <w:vAlign w:val="center"/>
            <w:hideMark/>
          </w:tcPr>
          <w:p w14:paraId="39F9C8B6" w14:textId="77777777" w:rsidR="008F3544" w:rsidRPr="00735CC9" w:rsidRDefault="008F3544" w:rsidP="0099088D">
            <w:pPr>
              <w:jc w:val="center"/>
              <w:rPr>
                <w:color w:val="000000"/>
                <w:sz w:val="16"/>
                <w:szCs w:val="16"/>
              </w:rPr>
            </w:pPr>
            <w:r w:rsidRPr="00735CC9">
              <w:rPr>
                <w:color w:val="000000"/>
                <w:sz w:val="16"/>
                <w:szCs w:val="16"/>
              </w:rPr>
              <w:t>2.3.1.4.1.1.</w:t>
            </w:r>
          </w:p>
        </w:tc>
        <w:tc>
          <w:tcPr>
            <w:tcW w:w="994" w:type="pct"/>
            <w:shd w:val="clear" w:color="auto" w:fill="auto"/>
            <w:vAlign w:val="center"/>
            <w:hideMark/>
          </w:tcPr>
          <w:p w14:paraId="3E95CF4D" w14:textId="77777777" w:rsidR="008F3544" w:rsidRPr="00735CC9"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lang w:val="en-US"/>
                      </w:rPr>
                      <m:t>max</m:t>
                    </m:r>
                    <m:r>
                      <m:rPr>
                        <m:nor/>
                      </m:rPr>
                      <w:rPr>
                        <w:color w:val="000000"/>
                      </w:rPr>
                      <m:t xml:space="preserve"> </m:t>
                    </m:r>
                    <m:r>
                      <m:rPr>
                        <m:nor/>
                      </m:rPr>
                      <w:rPr>
                        <w:color w:val="000000"/>
                        <w:lang w:val="en-US"/>
                      </w:rPr>
                      <m:t>N</m:t>
                    </m:r>
                    <m:r>
                      <m:rPr>
                        <m:nor/>
                      </m:rPr>
                      <w:rPr>
                        <w:color w:val="000000"/>
                      </w:rPr>
                      <m:t xml:space="preserve"> 2.3.1.4.1.1.</m:t>
                    </m:r>
                  </m:sub>
                  <m:sup>
                    <m:r>
                      <m:rPr>
                        <m:nor/>
                      </m:rPr>
                      <w:rPr>
                        <w:color w:val="000000"/>
                      </w:rPr>
                      <m:t>0,4 кВ и ниже</m:t>
                    </m:r>
                  </m:sup>
                </m:sSubSup>
              </m:oMath>
            </m:oMathPara>
          </w:p>
        </w:tc>
        <w:tc>
          <w:tcPr>
            <w:tcW w:w="1601" w:type="pct"/>
            <w:vMerge w:val="restart"/>
            <w:shd w:val="clear" w:color="auto" w:fill="auto"/>
            <w:vAlign w:val="center"/>
            <w:hideMark/>
          </w:tcPr>
          <w:p w14:paraId="143E8701" w14:textId="77777777" w:rsidR="008F3544" w:rsidRPr="00735CC9" w:rsidRDefault="008F3544" w:rsidP="0099088D">
            <w:pPr>
              <w:rPr>
                <w:color w:val="000000"/>
                <w:sz w:val="16"/>
                <w:szCs w:val="16"/>
              </w:rPr>
            </w:pPr>
            <w:r w:rsidRPr="00735CC9">
              <w:rPr>
                <w:color w:val="000000"/>
                <w:sz w:val="16"/>
                <w:szCs w:val="16"/>
              </w:rPr>
              <w:t>воздушные линии на железобетонных опорах изолированным алюминиевым проводом сечением до 50 квадратных мм включительно одноцепные</w:t>
            </w:r>
          </w:p>
        </w:tc>
        <w:tc>
          <w:tcPr>
            <w:tcW w:w="518" w:type="pct"/>
            <w:vMerge w:val="restart"/>
            <w:shd w:val="clear" w:color="auto" w:fill="auto"/>
            <w:vAlign w:val="center"/>
            <w:hideMark/>
          </w:tcPr>
          <w:p w14:paraId="3DCDF686" w14:textId="77777777" w:rsidR="008F3544" w:rsidRPr="00735CC9" w:rsidRDefault="008F3544" w:rsidP="0099088D">
            <w:pPr>
              <w:jc w:val="center"/>
              <w:rPr>
                <w:color w:val="000000"/>
                <w:sz w:val="16"/>
                <w:szCs w:val="16"/>
              </w:rPr>
            </w:pPr>
            <w:r w:rsidRPr="00735CC9">
              <w:rPr>
                <w:color w:val="000000"/>
                <w:sz w:val="16"/>
                <w:szCs w:val="16"/>
              </w:rPr>
              <w:t>рублей/кВт</w:t>
            </w:r>
          </w:p>
        </w:tc>
        <w:tc>
          <w:tcPr>
            <w:tcW w:w="582" w:type="pct"/>
            <w:shd w:val="clear" w:color="auto" w:fill="auto"/>
            <w:noWrap/>
            <w:vAlign w:val="center"/>
          </w:tcPr>
          <w:p w14:paraId="21773F42" w14:textId="77777777" w:rsidR="008F3544" w:rsidRPr="00735CC9" w:rsidRDefault="008F3544" w:rsidP="0099088D">
            <w:pPr>
              <w:jc w:val="center"/>
              <w:rPr>
                <w:color w:val="000000"/>
                <w:sz w:val="16"/>
                <w:szCs w:val="16"/>
              </w:rPr>
            </w:pPr>
            <w:r w:rsidRPr="006A79FF">
              <w:rPr>
                <w:color w:val="000000"/>
                <w:sz w:val="16"/>
                <w:szCs w:val="16"/>
              </w:rPr>
              <w:t>6 596,01</w:t>
            </w:r>
          </w:p>
        </w:tc>
        <w:tc>
          <w:tcPr>
            <w:tcW w:w="576" w:type="pct"/>
            <w:shd w:val="clear" w:color="auto" w:fill="auto"/>
            <w:noWrap/>
            <w:vAlign w:val="center"/>
          </w:tcPr>
          <w:p w14:paraId="76C292E0" w14:textId="77777777" w:rsidR="008F3544" w:rsidRPr="00735CC9" w:rsidRDefault="008F3544" w:rsidP="0099088D">
            <w:pPr>
              <w:jc w:val="center"/>
              <w:rPr>
                <w:color w:val="000000"/>
                <w:sz w:val="16"/>
                <w:szCs w:val="16"/>
              </w:rPr>
            </w:pPr>
            <w:r w:rsidRPr="00904F8E">
              <w:rPr>
                <w:color w:val="000000"/>
                <w:sz w:val="16"/>
                <w:szCs w:val="16"/>
              </w:rPr>
              <w:t>6 334,13</w:t>
            </w:r>
          </w:p>
        </w:tc>
      </w:tr>
      <w:tr w:rsidR="008F3544" w:rsidRPr="00735CC9" w14:paraId="5A4C6079" w14:textId="77777777" w:rsidTr="0099088D">
        <w:trPr>
          <w:trHeight w:val="510"/>
        </w:trPr>
        <w:tc>
          <w:tcPr>
            <w:tcW w:w="729" w:type="pct"/>
            <w:vMerge/>
            <w:shd w:val="clear" w:color="auto" w:fill="auto"/>
            <w:vAlign w:val="center"/>
            <w:hideMark/>
          </w:tcPr>
          <w:p w14:paraId="37252E4F" w14:textId="77777777" w:rsidR="008F3544" w:rsidRPr="00735CC9" w:rsidRDefault="008F3544" w:rsidP="0099088D">
            <w:pPr>
              <w:rPr>
                <w:color w:val="000000"/>
                <w:sz w:val="16"/>
                <w:szCs w:val="16"/>
              </w:rPr>
            </w:pPr>
          </w:p>
        </w:tc>
        <w:tc>
          <w:tcPr>
            <w:tcW w:w="994" w:type="pct"/>
            <w:shd w:val="clear" w:color="auto" w:fill="auto"/>
            <w:vAlign w:val="center"/>
            <w:hideMark/>
          </w:tcPr>
          <w:p w14:paraId="286E61F8" w14:textId="77777777" w:rsidR="008F3544" w:rsidRPr="00735CC9"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lang w:val="en-US"/>
                      </w:rPr>
                      <m:t>max</m:t>
                    </m:r>
                    <m:r>
                      <m:rPr>
                        <m:nor/>
                      </m:rPr>
                      <w:rPr>
                        <w:color w:val="000000"/>
                      </w:rPr>
                      <m:t xml:space="preserve"> </m:t>
                    </m:r>
                    <m:r>
                      <m:rPr>
                        <m:nor/>
                      </m:rPr>
                      <w:rPr>
                        <w:color w:val="000000"/>
                        <w:lang w:val="en-US"/>
                      </w:rPr>
                      <m:t>N</m:t>
                    </m:r>
                    <m:r>
                      <m:rPr>
                        <m:nor/>
                      </m:rPr>
                      <w:rPr>
                        <w:color w:val="000000"/>
                      </w:rPr>
                      <m:t xml:space="preserve"> 2.3.1.4.1.1.</m:t>
                    </m:r>
                  </m:sub>
                  <m:sup>
                    <m:r>
                      <m:rPr>
                        <m:nor/>
                      </m:rPr>
                      <w:rPr>
                        <w:color w:val="000000"/>
                      </w:rPr>
                      <m:t>1-20 кВ</m:t>
                    </m:r>
                  </m:sup>
                </m:sSubSup>
              </m:oMath>
            </m:oMathPara>
          </w:p>
        </w:tc>
        <w:tc>
          <w:tcPr>
            <w:tcW w:w="1601" w:type="pct"/>
            <w:vMerge/>
            <w:shd w:val="clear" w:color="auto" w:fill="auto"/>
            <w:vAlign w:val="center"/>
            <w:hideMark/>
          </w:tcPr>
          <w:p w14:paraId="2DB135B2" w14:textId="77777777" w:rsidR="008F3544" w:rsidRPr="00735CC9" w:rsidRDefault="008F3544" w:rsidP="0099088D">
            <w:pPr>
              <w:rPr>
                <w:color w:val="000000"/>
                <w:sz w:val="16"/>
                <w:szCs w:val="16"/>
              </w:rPr>
            </w:pPr>
          </w:p>
        </w:tc>
        <w:tc>
          <w:tcPr>
            <w:tcW w:w="518" w:type="pct"/>
            <w:vMerge/>
            <w:shd w:val="clear" w:color="auto" w:fill="auto"/>
            <w:vAlign w:val="center"/>
            <w:hideMark/>
          </w:tcPr>
          <w:p w14:paraId="0265B5E6" w14:textId="77777777" w:rsidR="008F3544" w:rsidRPr="00735CC9" w:rsidRDefault="008F3544" w:rsidP="0099088D">
            <w:pPr>
              <w:rPr>
                <w:color w:val="000000"/>
                <w:sz w:val="16"/>
                <w:szCs w:val="16"/>
              </w:rPr>
            </w:pPr>
          </w:p>
        </w:tc>
        <w:tc>
          <w:tcPr>
            <w:tcW w:w="582" w:type="pct"/>
            <w:shd w:val="clear" w:color="auto" w:fill="auto"/>
            <w:noWrap/>
            <w:vAlign w:val="center"/>
          </w:tcPr>
          <w:p w14:paraId="12FFEFEE" w14:textId="77777777" w:rsidR="008F3544" w:rsidRPr="00735CC9" w:rsidRDefault="008F3544" w:rsidP="0099088D">
            <w:pPr>
              <w:jc w:val="center"/>
              <w:rPr>
                <w:color w:val="000000"/>
                <w:sz w:val="16"/>
                <w:szCs w:val="16"/>
              </w:rPr>
            </w:pPr>
            <w:r w:rsidRPr="006A79FF">
              <w:rPr>
                <w:color w:val="000000"/>
                <w:sz w:val="16"/>
                <w:szCs w:val="16"/>
              </w:rPr>
              <w:t>7 686,88</w:t>
            </w:r>
          </w:p>
        </w:tc>
        <w:tc>
          <w:tcPr>
            <w:tcW w:w="576" w:type="pct"/>
            <w:shd w:val="clear" w:color="auto" w:fill="auto"/>
            <w:noWrap/>
            <w:vAlign w:val="center"/>
          </w:tcPr>
          <w:p w14:paraId="7FA439DA" w14:textId="77777777" w:rsidR="008F3544" w:rsidRPr="00735CC9" w:rsidRDefault="008F3544" w:rsidP="0099088D">
            <w:pPr>
              <w:jc w:val="center"/>
              <w:rPr>
                <w:color w:val="000000"/>
                <w:sz w:val="16"/>
                <w:szCs w:val="16"/>
              </w:rPr>
            </w:pPr>
            <w:r w:rsidRPr="00904F8E">
              <w:rPr>
                <w:color w:val="000000"/>
                <w:sz w:val="16"/>
                <w:szCs w:val="16"/>
              </w:rPr>
              <w:t>6 799,78</w:t>
            </w:r>
          </w:p>
        </w:tc>
      </w:tr>
      <w:tr w:rsidR="008F3544" w:rsidRPr="00735CC9" w14:paraId="2B4F8CE7" w14:textId="77777777" w:rsidTr="0099088D">
        <w:trPr>
          <w:trHeight w:val="465"/>
        </w:trPr>
        <w:tc>
          <w:tcPr>
            <w:tcW w:w="729" w:type="pct"/>
            <w:shd w:val="clear" w:color="auto" w:fill="auto"/>
            <w:vAlign w:val="center"/>
            <w:hideMark/>
          </w:tcPr>
          <w:p w14:paraId="3F1DDA99" w14:textId="77777777" w:rsidR="008F3544" w:rsidRPr="00735CC9" w:rsidRDefault="008F3544" w:rsidP="0099088D">
            <w:pPr>
              <w:jc w:val="center"/>
              <w:rPr>
                <w:color w:val="000000"/>
                <w:sz w:val="16"/>
                <w:szCs w:val="16"/>
              </w:rPr>
            </w:pPr>
            <w:r w:rsidRPr="00735CC9">
              <w:rPr>
                <w:color w:val="000000"/>
                <w:sz w:val="16"/>
                <w:szCs w:val="16"/>
              </w:rPr>
              <w:t>2.3.1.4.1.2.</w:t>
            </w:r>
          </w:p>
        </w:tc>
        <w:tc>
          <w:tcPr>
            <w:tcW w:w="994" w:type="pct"/>
            <w:shd w:val="clear" w:color="auto" w:fill="auto"/>
            <w:vAlign w:val="center"/>
            <w:hideMark/>
          </w:tcPr>
          <w:p w14:paraId="7757F4D9" w14:textId="77777777" w:rsidR="008F3544" w:rsidRPr="00735CC9"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lang w:val="en-US"/>
                      </w:rPr>
                      <m:t>max</m:t>
                    </m:r>
                    <m:r>
                      <m:rPr>
                        <m:nor/>
                      </m:rPr>
                      <w:rPr>
                        <w:color w:val="000000"/>
                      </w:rPr>
                      <m:t xml:space="preserve"> </m:t>
                    </m:r>
                    <m:r>
                      <m:rPr>
                        <m:nor/>
                      </m:rPr>
                      <w:rPr>
                        <w:color w:val="000000"/>
                        <w:lang w:val="en-US"/>
                      </w:rPr>
                      <m:t>N</m:t>
                    </m:r>
                    <m:r>
                      <m:rPr>
                        <m:nor/>
                      </m:rPr>
                      <w:rPr>
                        <w:color w:val="000000"/>
                      </w:rPr>
                      <m:t xml:space="preserve"> 2.3.1.4.1.2.</m:t>
                    </m:r>
                  </m:sub>
                  <m:sup>
                    <m:r>
                      <m:rPr>
                        <m:nor/>
                      </m:rPr>
                      <w:rPr>
                        <w:color w:val="000000"/>
                      </w:rPr>
                      <m:t>0,4 кВ и ниже</m:t>
                    </m:r>
                  </m:sup>
                </m:sSubSup>
              </m:oMath>
            </m:oMathPara>
          </w:p>
        </w:tc>
        <w:tc>
          <w:tcPr>
            <w:tcW w:w="1601" w:type="pct"/>
            <w:shd w:val="clear" w:color="auto" w:fill="auto"/>
            <w:vAlign w:val="center"/>
            <w:hideMark/>
          </w:tcPr>
          <w:p w14:paraId="04591DCD" w14:textId="77777777" w:rsidR="008F3544" w:rsidRPr="00735CC9" w:rsidRDefault="008F3544" w:rsidP="0099088D">
            <w:pPr>
              <w:rPr>
                <w:color w:val="000000"/>
                <w:sz w:val="16"/>
                <w:szCs w:val="16"/>
              </w:rPr>
            </w:pPr>
            <w:r w:rsidRPr="00735CC9">
              <w:rPr>
                <w:color w:val="000000"/>
                <w:sz w:val="16"/>
                <w:szCs w:val="16"/>
              </w:rPr>
              <w:t>воздушные линии на железобетонных опорах изолированным алюминиевым проводом сечением до 50 квадратных мм включительно двухцепные</w:t>
            </w:r>
          </w:p>
        </w:tc>
        <w:tc>
          <w:tcPr>
            <w:tcW w:w="518" w:type="pct"/>
            <w:shd w:val="clear" w:color="auto" w:fill="auto"/>
            <w:vAlign w:val="center"/>
            <w:hideMark/>
          </w:tcPr>
          <w:p w14:paraId="69D8E36A" w14:textId="77777777" w:rsidR="008F3544" w:rsidRPr="00735CC9" w:rsidRDefault="008F3544" w:rsidP="0099088D">
            <w:pPr>
              <w:jc w:val="center"/>
              <w:rPr>
                <w:color w:val="000000"/>
                <w:sz w:val="16"/>
                <w:szCs w:val="16"/>
              </w:rPr>
            </w:pPr>
            <w:r w:rsidRPr="00735CC9">
              <w:rPr>
                <w:color w:val="000000"/>
                <w:sz w:val="16"/>
                <w:szCs w:val="16"/>
              </w:rPr>
              <w:t>рублей/кВт</w:t>
            </w:r>
          </w:p>
        </w:tc>
        <w:tc>
          <w:tcPr>
            <w:tcW w:w="582" w:type="pct"/>
            <w:shd w:val="clear" w:color="auto" w:fill="auto"/>
            <w:noWrap/>
            <w:vAlign w:val="center"/>
          </w:tcPr>
          <w:p w14:paraId="40993E36" w14:textId="77777777" w:rsidR="008F3544" w:rsidRPr="00735CC9" w:rsidRDefault="008F3544" w:rsidP="0099088D">
            <w:pPr>
              <w:jc w:val="center"/>
              <w:rPr>
                <w:color w:val="000000"/>
                <w:sz w:val="16"/>
                <w:szCs w:val="16"/>
              </w:rPr>
            </w:pPr>
            <w:r w:rsidRPr="006A79FF">
              <w:rPr>
                <w:color w:val="000000"/>
                <w:sz w:val="16"/>
                <w:szCs w:val="16"/>
              </w:rPr>
              <w:t>7 226,16</w:t>
            </w:r>
          </w:p>
        </w:tc>
        <w:tc>
          <w:tcPr>
            <w:tcW w:w="576" w:type="pct"/>
            <w:shd w:val="clear" w:color="auto" w:fill="auto"/>
            <w:noWrap/>
            <w:vAlign w:val="center"/>
          </w:tcPr>
          <w:p w14:paraId="51F47C40" w14:textId="77777777" w:rsidR="008F3544" w:rsidRPr="00735CC9" w:rsidRDefault="008F3544" w:rsidP="0099088D">
            <w:pPr>
              <w:jc w:val="center"/>
              <w:rPr>
                <w:color w:val="000000"/>
                <w:sz w:val="16"/>
                <w:szCs w:val="16"/>
              </w:rPr>
            </w:pPr>
            <w:r>
              <w:rPr>
                <w:color w:val="000000"/>
                <w:sz w:val="16"/>
                <w:szCs w:val="16"/>
              </w:rPr>
              <w:t>-</w:t>
            </w:r>
          </w:p>
        </w:tc>
      </w:tr>
      <w:tr w:rsidR="008F3544" w:rsidRPr="00735CC9" w14:paraId="077B1012" w14:textId="77777777" w:rsidTr="0099088D">
        <w:trPr>
          <w:trHeight w:val="465"/>
        </w:trPr>
        <w:tc>
          <w:tcPr>
            <w:tcW w:w="729" w:type="pct"/>
            <w:vMerge w:val="restart"/>
            <w:shd w:val="clear" w:color="auto" w:fill="auto"/>
            <w:vAlign w:val="center"/>
            <w:hideMark/>
          </w:tcPr>
          <w:p w14:paraId="25DD31BE" w14:textId="77777777" w:rsidR="008F3544" w:rsidRPr="00735CC9" w:rsidRDefault="008F3544" w:rsidP="0099088D">
            <w:pPr>
              <w:jc w:val="center"/>
              <w:rPr>
                <w:color w:val="000000"/>
                <w:sz w:val="16"/>
                <w:szCs w:val="16"/>
              </w:rPr>
            </w:pPr>
            <w:r w:rsidRPr="00735CC9">
              <w:rPr>
                <w:color w:val="000000"/>
                <w:sz w:val="16"/>
                <w:szCs w:val="16"/>
              </w:rPr>
              <w:t>2.3.1.4.2.1.</w:t>
            </w:r>
          </w:p>
        </w:tc>
        <w:tc>
          <w:tcPr>
            <w:tcW w:w="994" w:type="pct"/>
            <w:shd w:val="clear" w:color="auto" w:fill="auto"/>
            <w:vAlign w:val="center"/>
            <w:hideMark/>
          </w:tcPr>
          <w:p w14:paraId="31CA05DD" w14:textId="77777777" w:rsidR="008F3544" w:rsidRPr="00735CC9"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lang w:val="en-US"/>
                      </w:rPr>
                      <m:t>max</m:t>
                    </m:r>
                    <m:r>
                      <m:rPr>
                        <m:nor/>
                      </m:rPr>
                      <w:rPr>
                        <w:color w:val="000000"/>
                      </w:rPr>
                      <m:t xml:space="preserve"> </m:t>
                    </m:r>
                    <m:r>
                      <m:rPr>
                        <m:nor/>
                      </m:rPr>
                      <w:rPr>
                        <w:color w:val="000000"/>
                        <w:lang w:val="en-US"/>
                      </w:rPr>
                      <m:t>N</m:t>
                    </m:r>
                    <m:r>
                      <m:rPr>
                        <m:nor/>
                      </m:rPr>
                      <w:rPr>
                        <w:color w:val="000000"/>
                      </w:rPr>
                      <m:t xml:space="preserve"> 2.3.1.4.2.1.</m:t>
                    </m:r>
                  </m:sub>
                  <m:sup>
                    <m:r>
                      <m:rPr>
                        <m:nor/>
                      </m:rPr>
                      <w:rPr>
                        <w:color w:val="000000"/>
                      </w:rPr>
                      <m:t>0,4 кВ и ниже</m:t>
                    </m:r>
                  </m:sup>
                </m:sSubSup>
              </m:oMath>
            </m:oMathPara>
          </w:p>
        </w:tc>
        <w:tc>
          <w:tcPr>
            <w:tcW w:w="1601" w:type="pct"/>
            <w:vMerge w:val="restart"/>
            <w:shd w:val="clear" w:color="auto" w:fill="auto"/>
            <w:vAlign w:val="center"/>
            <w:hideMark/>
          </w:tcPr>
          <w:p w14:paraId="2E4FBFD6" w14:textId="77777777" w:rsidR="008F3544" w:rsidRPr="00735CC9" w:rsidRDefault="008F3544" w:rsidP="0099088D">
            <w:pPr>
              <w:rPr>
                <w:color w:val="000000"/>
                <w:sz w:val="16"/>
                <w:szCs w:val="16"/>
              </w:rPr>
            </w:pPr>
            <w:r w:rsidRPr="00735CC9">
              <w:rPr>
                <w:color w:val="000000"/>
                <w:sz w:val="16"/>
                <w:szCs w:val="16"/>
              </w:rPr>
              <w:t>воздушные линии на железобетонных опорах изолированным алюминиевым проводом сечением от 50 до 100 квадратных мм включительно одноцепные</w:t>
            </w:r>
          </w:p>
        </w:tc>
        <w:tc>
          <w:tcPr>
            <w:tcW w:w="518" w:type="pct"/>
            <w:vMerge w:val="restart"/>
            <w:shd w:val="clear" w:color="auto" w:fill="auto"/>
            <w:vAlign w:val="center"/>
            <w:hideMark/>
          </w:tcPr>
          <w:p w14:paraId="447F3255" w14:textId="77777777" w:rsidR="008F3544" w:rsidRPr="00735CC9" w:rsidRDefault="008F3544" w:rsidP="0099088D">
            <w:pPr>
              <w:jc w:val="center"/>
              <w:rPr>
                <w:color w:val="000000"/>
                <w:sz w:val="16"/>
                <w:szCs w:val="16"/>
              </w:rPr>
            </w:pPr>
            <w:r w:rsidRPr="00735CC9">
              <w:rPr>
                <w:color w:val="000000"/>
                <w:sz w:val="16"/>
                <w:szCs w:val="16"/>
              </w:rPr>
              <w:t>рублей/кВт</w:t>
            </w:r>
          </w:p>
        </w:tc>
        <w:tc>
          <w:tcPr>
            <w:tcW w:w="582" w:type="pct"/>
            <w:shd w:val="clear" w:color="auto" w:fill="auto"/>
            <w:noWrap/>
            <w:vAlign w:val="center"/>
          </w:tcPr>
          <w:p w14:paraId="5EBACC8E" w14:textId="77777777" w:rsidR="008F3544" w:rsidRPr="008E6E8D" w:rsidRDefault="008F3544" w:rsidP="0099088D">
            <w:pPr>
              <w:jc w:val="center"/>
              <w:rPr>
                <w:color w:val="000000"/>
                <w:sz w:val="16"/>
                <w:szCs w:val="16"/>
              </w:rPr>
            </w:pPr>
            <w:r w:rsidRPr="008E6E8D">
              <w:rPr>
                <w:sz w:val="16"/>
                <w:szCs w:val="16"/>
              </w:rPr>
              <w:t>7 301,90</w:t>
            </w:r>
          </w:p>
        </w:tc>
        <w:tc>
          <w:tcPr>
            <w:tcW w:w="576" w:type="pct"/>
            <w:shd w:val="clear" w:color="auto" w:fill="auto"/>
            <w:noWrap/>
            <w:vAlign w:val="center"/>
          </w:tcPr>
          <w:p w14:paraId="3F465015" w14:textId="77777777" w:rsidR="008F3544" w:rsidRPr="008E6E8D" w:rsidRDefault="008F3544" w:rsidP="0099088D">
            <w:pPr>
              <w:jc w:val="center"/>
              <w:rPr>
                <w:color w:val="000000"/>
                <w:sz w:val="16"/>
                <w:szCs w:val="16"/>
              </w:rPr>
            </w:pPr>
            <w:r w:rsidRPr="008E6E8D">
              <w:rPr>
                <w:sz w:val="16"/>
                <w:szCs w:val="16"/>
              </w:rPr>
              <w:t>6 268,30</w:t>
            </w:r>
          </w:p>
        </w:tc>
      </w:tr>
      <w:tr w:rsidR="008F3544" w:rsidRPr="00735CC9" w14:paraId="3D4BE1A3" w14:textId="77777777" w:rsidTr="0099088D">
        <w:trPr>
          <w:trHeight w:val="465"/>
        </w:trPr>
        <w:tc>
          <w:tcPr>
            <w:tcW w:w="729" w:type="pct"/>
            <w:vMerge/>
            <w:shd w:val="clear" w:color="auto" w:fill="auto"/>
            <w:vAlign w:val="center"/>
            <w:hideMark/>
          </w:tcPr>
          <w:p w14:paraId="17243F3C" w14:textId="77777777" w:rsidR="008F3544" w:rsidRPr="00735CC9" w:rsidRDefault="008F3544" w:rsidP="0099088D">
            <w:pPr>
              <w:rPr>
                <w:color w:val="000000"/>
                <w:sz w:val="16"/>
                <w:szCs w:val="16"/>
              </w:rPr>
            </w:pPr>
          </w:p>
        </w:tc>
        <w:tc>
          <w:tcPr>
            <w:tcW w:w="994" w:type="pct"/>
            <w:shd w:val="clear" w:color="auto" w:fill="auto"/>
            <w:vAlign w:val="center"/>
            <w:hideMark/>
          </w:tcPr>
          <w:p w14:paraId="649A9937" w14:textId="77777777" w:rsidR="008F3544" w:rsidRPr="00735CC9"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lang w:val="en-US"/>
                      </w:rPr>
                      <m:t>max</m:t>
                    </m:r>
                    <m:r>
                      <m:rPr>
                        <m:nor/>
                      </m:rPr>
                      <w:rPr>
                        <w:color w:val="000000"/>
                      </w:rPr>
                      <m:t xml:space="preserve"> </m:t>
                    </m:r>
                    <m:r>
                      <m:rPr>
                        <m:nor/>
                      </m:rPr>
                      <w:rPr>
                        <w:color w:val="000000"/>
                        <w:lang w:val="en-US"/>
                      </w:rPr>
                      <m:t>N</m:t>
                    </m:r>
                    <m:r>
                      <m:rPr>
                        <m:nor/>
                      </m:rPr>
                      <w:rPr>
                        <w:color w:val="000000"/>
                      </w:rPr>
                      <m:t xml:space="preserve"> 2.3.1.4.2.1.</m:t>
                    </m:r>
                  </m:sub>
                  <m:sup>
                    <m:r>
                      <m:rPr>
                        <m:nor/>
                      </m:rPr>
                      <w:rPr>
                        <w:color w:val="000000"/>
                      </w:rPr>
                      <m:t>1-20 кВ</m:t>
                    </m:r>
                  </m:sup>
                </m:sSubSup>
              </m:oMath>
            </m:oMathPara>
          </w:p>
        </w:tc>
        <w:tc>
          <w:tcPr>
            <w:tcW w:w="1601" w:type="pct"/>
            <w:vMerge/>
            <w:shd w:val="clear" w:color="auto" w:fill="auto"/>
            <w:vAlign w:val="center"/>
            <w:hideMark/>
          </w:tcPr>
          <w:p w14:paraId="19F4CA92" w14:textId="77777777" w:rsidR="008F3544" w:rsidRPr="00735CC9" w:rsidRDefault="008F3544" w:rsidP="0099088D">
            <w:pPr>
              <w:rPr>
                <w:color w:val="000000"/>
                <w:sz w:val="16"/>
                <w:szCs w:val="16"/>
              </w:rPr>
            </w:pPr>
          </w:p>
        </w:tc>
        <w:tc>
          <w:tcPr>
            <w:tcW w:w="518" w:type="pct"/>
            <w:vMerge/>
            <w:shd w:val="clear" w:color="auto" w:fill="auto"/>
            <w:vAlign w:val="center"/>
            <w:hideMark/>
          </w:tcPr>
          <w:p w14:paraId="5F0BF29E" w14:textId="77777777" w:rsidR="008F3544" w:rsidRPr="00735CC9" w:rsidRDefault="008F3544" w:rsidP="0099088D">
            <w:pPr>
              <w:rPr>
                <w:color w:val="000000"/>
                <w:sz w:val="16"/>
                <w:szCs w:val="16"/>
              </w:rPr>
            </w:pPr>
          </w:p>
        </w:tc>
        <w:tc>
          <w:tcPr>
            <w:tcW w:w="582" w:type="pct"/>
            <w:shd w:val="clear" w:color="auto" w:fill="auto"/>
            <w:noWrap/>
            <w:vAlign w:val="center"/>
          </w:tcPr>
          <w:p w14:paraId="68677E59" w14:textId="77777777" w:rsidR="008F3544" w:rsidRPr="008E6E8D" w:rsidRDefault="008F3544" w:rsidP="0099088D">
            <w:pPr>
              <w:jc w:val="center"/>
              <w:rPr>
                <w:color w:val="000000"/>
                <w:sz w:val="16"/>
                <w:szCs w:val="16"/>
              </w:rPr>
            </w:pPr>
            <w:r w:rsidRPr="008E6E8D">
              <w:rPr>
                <w:sz w:val="16"/>
                <w:szCs w:val="16"/>
              </w:rPr>
              <w:t>9 163,38</w:t>
            </w:r>
          </w:p>
        </w:tc>
        <w:tc>
          <w:tcPr>
            <w:tcW w:w="576" w:type="pct"/>
            <w:shd w:val="clear" w:color="auto" w:fill="auto"/>
            <w:noWrap/>
            <w:vAlign w:val="center"/>
          </w:tcPr>
          <w:p w14:paraId="65670C33" w14:textId="77777777" w:rsidR="008F3544" w:rsidRPr="008E6E8D" w:rsidRDefault="008F3544" w:rsidP="0099088D">
            <w:pPr>
              <w:jc w:val="center"/>
              <w:rPr>
                <w:color w:val="000000"/>
                <w:sz w:val="16"/>
                <w:szCs w:val="16"/>
              </w:rPr>
            </w:pPr>
            <w:r w:rsidRPr="008E6E8D">
              <w:rPr>
                <w:sz w:val="16"/>
                <w:szCs w:val="16"/>
              </w:rPr>
              <w:t>8 460,05</w:t>
            </w:r>
          </w:p>
        </w:tc>
      </w:tr>
      <w:tr w:rsidR="008F3544" w:rsidRPr="00735CC9" w14:paraId="4DDB31B1" w14:textId="77777777" w:rsidTr="0099088D">
        <w:trPr>
          <w:trHeight w:val="465"/>
        </w:trPr>
        <w:tc>
          <w:tcPr>
            <w:tcW w:w="729" w:type="pct"/>
            <w:vMerge w:val="restart"/>
            <w:shd w:val="clear" w:color="auto" w:fill="auto"/>
            <w:vAlign w:val="center"/>
            <w:hideMark/>
          </w:tcPr>
          <w:p w14:paraId="231BED47" w14:textId="77777777" w:rsidR="008F3544" w:rsidRPr="00735CC9" w:rsidRDefault="008F3544" w:rsidP="0099088D">
            <w:pPr>
              <w:jc w:val="center"/>
              <w:rPr>
                <w:color w:val="000000"/>
                <w:sz w:val="16"/>
                <w:szCs w:val="16"/>
              </w:rPr>
            </w:pPr>
            <w:r w:rsidRPr="00735CC9">
              <w:rPr>
                <w:color w:val="000000"/>
                <w:sz w:val="16"/>
                <w:szCs w:val="16"/>
              </w:rPr>
              <w:t>2.3.1.4.2.2.</w:t>
            </w:r>
          </w:p>
        </w:tc>
        <w:tc>
          <w:tcPr>
            <w:tcW w:w="994" w:type="pct"/>
            <w:shd w:val="clear" w:color="auto" w:fill="auto"/>
            <w:vAlign w:val="center"/>
            <w:hideMark/>
          </w:tcPr>
          <w:p w14:paraId="016A8614" w14:textId="77777777" w:rsidR="008F3544" w:rsidRPr="00735CC9"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lang w:val="en-US"/>
                      </w:rPr>
                      <m:t>max</m:t>
                    </m:r>
                    <m:r>
                      <m:rPr>
                        <m:nor/>
                      </m:rPr>
                      <w:rPr>
                        <w:color w:val="000000"/>
                      </w:rPr>
                      <m:t xml:space="preserve"> </m:t>
                    </m:r>
                    <m:r>
                      <m:rPr>
                        <m:nor/>
                      </m:rPr>
                      <w:rPr>
                        <w:color w:val="000000"/>
                        <w:lang w:val="en-US"/>
                      </w:rPr>
                      <m:t>N</m:t>
                    </m:r>
                    <m:r>
                      <m:rPr>
                        <m:nor/>
                      </m:rPr>
                      <w:rPr>
                        <w:color w:val="000000"/>
                      </w:rPr>
                      <m:t xml:space="preserve"> 2.3.1.4.2.2.</m:t>
                    </m:r>
                  </m:sub>
                  <m:sup>
                    <m:r>
                      <m:rPr>
                        <m:nor/>
                      </m:rPr>
                      <w:rPr>
                        <w:color w:val="000000"/>
                      </w:rPr>
                      <m:t>0,4 кВ и ниже</m:t>
                    </m:r>
                  </m:sup>
                </m:sSubSup>
              </m:oMath>
            </m:oMathPara>
          </w:p>
        </w:tc>
        <w:tc>
          <w:tcPr>
            <w:tcW w:w="1601" w:type="pct"/>
            <w:vMerge w:val="restart"/>
            <w:shd w:val="clear" w:color="auto" w:fill="auto"/>
            <w:vAlign w:val="center"/>
            <w:hideMark/>
          </w:tcPr>
          <w:p w14:paraId="6EA6531A" w14:textId="77777777" w:rsidR="008F3544" w:rsidRPr="00735CC9" w:rsidRDefault="008F3544" w:rsidP="0099088D">
            <w:pPr>
              <w:rPr>
                <w:color w:val="000000"/>
                <w:sz w:val="16"/>
                <w:szCs w:val="16"/>
              </w:rPr>
            </w:pPr>
            <w:r w:rsidRPr="00735CC9">
              <w:rPr>
                <w:color w:val="000000"/>
                <w:sz w:val="16"/>
                <w:szCs w:val="16"/>
              </w:rPr>
              <w:t>воздушные линии на железобетонных опорах изолированным алюминиевым проводом сечением от 50 до 100 квадратных мм включительно двухцепные</w:t>
            </w:r>
          </w:p>
        </w:tc>
        <w:tc>
          <w:tcPr>
            <w:tcW w:w="518" w:type="pct"/>
            <w:vMerge w:val="restart"/>
            <w:shd w:val="clear" w:color="auto" w:fill="auto"/>
            <w:vAlign w:val="center"/>
            <w:hideMark/>
          </w:tcPr>
          <w:p w14:paraId="7DCF023B" w14:textId="77777777" w:rsidR="008F3544" w:rsidRPr="00735CC9" w:rsidRDefault="008F3544" w:rsidP="0099088D">
            <w:pPr>
              <w:jc w:val="center"/>
              <w:rPr>
                <w:color w:val="000000"/>
                <w:sz w:val="16"/>
                <w:szCs w:val="16"/>
              </w:rPr>
            </w:pPr>
            <w:r w:rsidRPr="00735CC9">
              <w:rPr>
                <w:color w:val="000000"/>
                <w:sz w:val="16"/>
                <w:szCs w:val="16"/>
              </w:rPr>
              <w:t>рублей/кВт</w:t>
            </w:r>
          </w:p>
        </w:tc>
        <w:tc>
          <w:tcPr>
            <w:tcW w:w="582" w:type="pct"/>
            <w:shd w:val="clear" w:color="auto" w:fill="auto"/>
            <w:noWrap/>
            <w:vAlign w:val="center"/>
          </w:tcPr>
          <w:p w14:paraId="09958B7F" w14:textId="77777777" w:rsidR="008F3544" w:rsidRPr="00735CC9" w:rsidRDefault="008F3544" w:rsidP="0099088D">
            <w:pPr>
              <w:jc w:val="center"/>
              <w:rPr>
                <w:color w:val="000000"/>
                <w:sz w:val="16"/>
                <w:szCs w:val="16"/>
              </w:rPr>
            </w:pPr>
            <w:r w:rsidRPr="006A79FF">
              <w:rPr>
                <w:color w:val="000000"/>
                <w:sz w:val="16"/>
                <w:szCs w:val="16"/>
              </w:rPr>
              <w:t>9 314,05</w:t>
            </w:r>
          </w:p>
        </w:tc>
        <w:tc>
          <w:tcPr>
            <w:tcW w:w="576" w:type="pct"/>
            <w:shd w:val="clear" w:color="auto" w:fill="auto"/>
            <w:noWrap/>
            <w:vAlign w:val="center"/>
          </w:tcPr>
          <w:p w14:paraId="49153691" w14:textId="77777777" w:rsidR="008F3544" w:rsidRPr="00735CC9" w:rsidRDefault="008F3544" w:rsidP="0099088D">
            <w:pPr>
              <w:jc w:val="center"/>
              <w:rPr>
                <w:color w:val="000000"/>
                <w:sz w:val="16"/>
                <w:szCs w:val="16"/>
              </w:rPr>
            </w:pPr>
            <w:r w:rsidRPr="00904F8E">
              <w:rPr>
                <w:color w:val="000000"/>
                <w:sz w:val="16"/>
                <w:szCs w:val="16"/>
              </w:rPr>
              <w:t>8 362,87</w:t>
            </w:r>
          </w:p>
        </w:tc>
      </w:tr>
      <w:tr w:rsidR="008F3544" w:rsidRPr="00735CC9" w14:paraId="1B174ED2" w14:textId="77777777" w:rsidTr="0099088D">
        <w:trPr>
          <w:trHeight w:val="465"/>
        </w:trPr>
        <w:tc>
          <w:tcPr>
            <w:tcW w:w="729" w:type="pct"/>
            <w:vMerge/>
            <w:shd w:val="clear" w:color="auto" w:fill="auto"/>
            <w:vAlign w:val="center"/>
            <w:hideMark/>
          </w:tcPr>
          <w:p w14:paraId="6D0E250C" w14:textId="77777777" w:rsidR="008F3544" w:rsidRPr="00735CC9" w:rsidRDefault="008F3544" w:rsidP="0099088D">
            <w:pPr>
              <w:rPr>
                <w:color w:val="000000"/>
                <w:sz w:val="16"/>
                <w:szCs w:val="16"/>
              </w:rPr>
            </w:pPr>
          </w:p>
        </w:tc>
        <w:tc>
          <w:tcPr>
            <w:tcW w:w="994" w:type="pct"/>
            <w:shd w:val="clear" w:color="auto" w:fill="auto"/>
            <w:vAlign w:val="center"/>
            <w:hideMark/>
          </w:tcPr>
          <w:p w14:paraId="52B01DB7" w14:textId="77777777" w:rsidR="008F3544" w:rsidRPr="00735CC9"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lang w:val="en-US"/>
                      </w:rPr>
                      <m:t>max</m:t>
                    </m:r>
                    <m:r>
                      <m:rPr>
                        <m:nor/>
                      </m:rPr>
                      <w:rPr>
                        <w:color w:val="000000"/>
                      </w:rPr>
                      <m:t xml:space="preserve"> </m:t>
                    </m:r>
                    <m:r>
                      <m:rPr>
                        <m:nor/>
                      </m:rPr>
                      <w:rPr>
                        <w:color w:val="000000"/>
                        <w:lang w:val="en-US"/>
                      </w:rPr>
                      <m:t>N</m:t>
                    </m:r>
                    <m:r>
                      <m:rPr>
                        <m:nor/>
                      </m:rPr>
                      <w:rPr>
                        <w:color w:val="000000"/>
                      </w:rPr>
                      <m:t xml:space="preserve"> 2.3.1.4.2.2.</m:t>
                    </m:r>
                  </m:sub>
                  <m:sup>
                    <m:r>
                      <m:rPr>
                        <m:nor/>
                      </m:rPr>
                      <w:rPr>
                        <w:color w:val="000000"/>
                      </w:rPr>
                      <m:t>1-20 кВ</m:t>
                    </m:r>
                  </m:sup>
                </m:sSubSup>
              </m:oMath>
            </m:oMathPara>
          </w:p>
        </w:tc>
        <w:tc>
          <w:tcPr>
            <w:tcW w:w="1601" w:type="pct"/>
            <w:vMerge/>
            <w:shd w:val="clear" w:color="auto" w:fill="auto"/>
            <w:vAlign w:val="center"/>
            <w:hideMark/>
          </w:tcPr>
          <w:p w14:paraId="4970E619" w14:textId="77777777" w:rsidR="008F3544" w:rsidRPr="00735CC9" w:rsidRDefault="008F3544" w:rsidP="0099088D">
            <w:pPr>
              <w:rPr>
                <w:color w:val="000000"/>
                <w:sz w:val="16"/>
                <w:szCs w:val="16"/>
              </w:rPr>
            </w:pPr>
          </w:p>
        </w:tc>
        <w:tc>
          <w:tcPr>
            <w:tcW w:w="518" w:type="pct"/>
            <w:vMerge/>
            <w:shd w:val="clear" w:color="auto" w:fill="auto"/>
            <w:vAlign w:val="center"/>
            <w:hideMark/>
          </w:tcPr>
          <w:p w14:paraId="0B382726" w14:textId="77777777" w:rsidR="008F3544" w:rsidRPr="00735CC9" w:rsidRDefault="008F3544" w:rsidP="0099088D">
            <w:pPr>
              <w:rPr>
                <w:color w:val="000000"/>
                <w:sz w:val="16"/>
                <w:szCs w:val="16"/>
              </w:rPr>
            </w:pPr>
          </w:p>
        </w:tc>
        <w:tc>
          <w:tcPr>
            <w:tcW w:w="582" w:type="pct"/>
            <w:shd w:val="clear" w:color="auto" w:fill="auto"/>
            <w:noWrap/>
            <w:vAlign w:val="center"/>
          </w:tcPr>
          <w:p w14:paraId="04429D06" w14:textId="77777777" w:rsidR="008F3544" w:rsidRPr="00735CC9" w:rsidRDefault="008F3544" w:rsidP="0099088D">
            <w:pPr>
              <w:jc w:val="center"/>
              <w:rPr>
                <w:color w:val="000000"/>
                <w:sz w:val="16"/>
                <w:szCs w:val="16"/>
              </w:rPr>
            </w:pPr>
            <w:r w:rsidRPr="006A79FF">
              <w:rPr>
                <w:color w:val="000000"/>
                <w:sz w:val="16"/>
                <w:szCs w:val="16"/>
              </w:rPr>
              <w:t>9 252,12</w:t>
            </w:r>
          </w:p>
        </w:tc>
        <w:tc>
          <w:tcPr>
            <w:tcW w:w="576" w:type="pct"/>
            <w:shd w:val="clear" w:color="auto" w:fill="auto"/>
            <w:noWrap/>
            <w:vAlign w:val="center"/>
          </w:tcPr>
          <w:p w14:paraId="0A8E95D9" w14:textId="77777777" w:rsidR="008F3544" w:rsidRPr="00735CC9" w:rsidRDefault="008F3544" w:rsidP="0099088D">
            <w:pPr>
              <w:jc w:val="center"/>
              <w:rPr>
                <w:color w:val="000000"/>
                <w:sz w:val="16"/>
                <w:szCs w:val="16"/>
              </w:rPr>
            </w:pPr>
            <w:r w:rsidRPr="00904F8E">
              <w:rPr>
                <w:color w:val="000000"/>
                <w:sz w:val="16"/>
                <w:szCs w:val="16"/>
              </w:rPr>
              <w:t>8 664,49</w:t>
            </w:r>
          </w:p>
        </w:tc>
      </w:tr>
      <w:tr w:rsidR="008F3544" w:rsidRPr="00735CC9" w14:paraId="095750A8" w14:textId="77777777" w:rsidTr="0099088D">
        <w:trPr>
          <w:trHeight w:val="465"/>
        </w:trPr>
        <w:tc>
          <w:tcPr>
            <w:tcW w:w="729" w:type="pct"/>
            <w:shd w:val="clear" w:color="auto" w:fill="auto"/>
            <w:vAlign w:val="center"/>
            <w:hideMark/>
          </w:tcPr>
          <w:p w14:paraId="68378F79" w14:textId="77777777" w:rsidR="008F3544" w:rsidRPr="00735CC9" w:rsidRDefault="008F3544" w:rsidP="0099088D">
            <w:pPr>
              <w:jc w:val="center"/>
              <w:rPr>
                <w:color w:val="000000"/>
                <w:sz w:val="16"/>
                <w:szCs w:val="16"/>
              </w:rPr>
            </w:pPr>
            <w:r w:rsidRPr="00735CC9">
              <w:rPr>
                <w:color w:val="000000"/>
                <w:sz w:val="16"/>
                <w:szCs w:val="16"/>
              </w:rPr>
              <w:t>2.3.1.4.3.1.</w:t>
            </w:r>
          </w:p>
        </w:tc>
        <w:tc>
          <w:tcPr>
            <w:tcW w:w="994" w:type="pct"/>
            <w:shd w:val="clear" w:color="auto" w:fill="auto"/>
            <w:vAlign w:val="center"/>
            <w:hideMark/>
          </w:tcPr>
          <w:p w14:paraId="36881636" w14:textId="77777777" w:rsidR="008F3544" w:rsidRPr="00735CC9"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lang w:val="en-US"/>
                      </w:rPr>
                      <m:t>max</m:t>
                    </m:r>
                    <m:r>
                      <m:rPr>
                        <m:nor/>
                      </m:rPr>
                      <w:rPr>
                        <w:color w:val="000000"/>
                      </w:rPr>
                      <m:t xml:space="preserve"> </m:t>
                    </m:r>
                    <m:r>
                      <m:rPr>
                        <m:nor/>
                      </m:rPr>
                      <w:rPr>
                        <w:color w:val="000000"/>
                        <w:lang w:val="en-US"/>
                      </w:rPr>
                      <m:t>N</m:t>
                    </m:r>
                    <m:r>
                      <m:rPr>
                        <m:nor/>
                      </m:rPr>
                      <w:rPr>
                        <w:color w:val="000000"/>
                      </w:rPr>
                      <m:t xml:space="preserve"> 2.3.1.4.3.1.</m:t>
                    </m:r>
                  </m:sub>
                  <m:sup>
                    <m:r>
                      <m:rPr>
                        <m:nor/>
                      </m:rPr>
                      <w:rPr>
                        <w:color w:val="000000"/>
                      </w:rPr>
                      <m:t>0,4 кВ и ниже</m:t>
                    </m:r>
                  </m:sup>
                </m:sSubSup>
              </m:oMath>
            </m:oMathPara>
          </w:p>
        </w:tc>
        <w:tc>
          <w:tcPr>
            <w:tcW w:w="1601" w:type="pct"/>
            <w:shd w:val="clear" w:color="auto" w:fill="auto"/>
            <w:vAlign w:val="center"/>
            <w:hideMark/>
          </w:tcPr>
          <w:p w14:paraId="1DC8D5C2" w14:textId="77777777" w:rsidR="008F3544" w:rsidRPr="00735CC9" w:rsidRDefault="008F3544" w:rsidP="0099088D">
            <w:pPr>
              <w:rPr>
                <w:color w:val="000000"/>
                <w:sz w:val="16"/>
                <w:szCs w:val="16"/>
              </w:rPr>
            </w:pPr>
            <w:r w:rsidRPr="00735CC9">
              <w:rPr>
                <w:color w:val="000000"/>
                <w:sz w:val="16"/>
                <w:szCs w:val="16"/>
              </w:rPr>
              <w:t>воздушные линии на железобетонных опорах изолированным алюминиевым проводом сечением от 100 до 200 квадратных мм включительно одноцепные</w:t>
            </w:r>
          </w:p>
        </w:tc>
        <w:tc>
          <w:tcPr>
            <w:tcW w:w="518" w:type="pct"/>
            <w:shd w:val="clear" w:color="auto" w:fill="auto"/>
            <w:vAlign w:val="center"/>
            <w:hideMark/>
          </w:tcPr>
          <w:p w14:paraId="3CBD3989" w14:textId="77777777" w:rsidR="008F3544" w:rsidRPr="00735CC9" w:rsidRDefault="008F3544" w:rsidP="0099088D">
            <w:pPr>
              <w:jc w:val="center"/>
              <w:rPr>
                <w:color w:val="000000"/>
                <w:sz w:val="16"/>
                <w:szCs w:val="16"/>
              </w:rPr>
            </w:pPr>
            <w:r w:rsidRPr="00735CC9">
              <w:rPr>
                <w:color w:val="000000"/>
                <w:sz w:val="16"/>
                <w:szCs w:val="16"/>
              </w:rPr>
              <w:t>рублей/кВт</w:t>
            </w:r>
          </w:p>
        </w:tc>
        <w:tc>
          <w:tcPr>
            <w:tcW w:w="582" w:type="pct"/>
            <w:shd w:val="clear" w:color="auto" w:fill="auto"/>
            <w:noWrap/>
            <w:vAlign w:val="center"/>
          </w:tcPr>
          <w:p w14:paraId="4255103D" w14:textId="77777777" w:rsidR="008F3544" w:rsidRPr="00735CC9" w:rsidRDefault="008F3544" w:rsidP="0099088D">
            <w:pPr>
              <w:jc w:val="center"/>
              <w:rPr>
                <w:color w:val="000000"/>
                <w:sz w:val="16"/>
                <w:szCs w:val="16"/>
              </w:rPr>
            </w:pPr>
            <w:r w:rsidRPr="006A79FF">
              <w:rPr>
                <w:color w:val="000000"/>
                <w:sz w:val="16"/>
                <w:szCs w:val="16"/>
              </w:rPr>
              <w:t>9 667,41</w:t>
            </w:r>
          </w:p>
        </w:tc>
        <w:tc>
          <w:tcPr>
            <w:tcW w:w="576" w:type="pct"/>
            <w:shd w:val="clear" w:color="auto" w:fill="auto"/>
            <w:noWrap/>
            <w:vAlign w:val="center"/>
          </w:tcPr>
          <w:p w14:paraId="545CDB56" w14:textId="77777777" w:rsidR="008F3544" w:rsidRPr="00735CC9" w:rsidRDefault="008F3544" w:rsidP="0099088D">
            <w:pPr>
              <w:jc w:val="center"/>
              <w:rPr>
                <w:color w:val="000000"/>
                <w:sz w:val="16"/>
                <w:szCs w:val="16"/>
              </w:rPr>
            </w:pPr>
            <w:r w:rsidRPr="00904F8E">
              <w:rPr>
                <w:color w:val="000000"/>
                <w:sz w:val="16"/>
                <w:szCs w:val="16"/>
              </w:rPr>
              <w:t>8 769,26</w:t>
            </w:r>
          </w:p>
        </w:tc>
      </w:tr>
      <w:tr w:rsidR="008F3544" w:rsidRPr="00735CC9" w14:paraId="6614A90B" w14:textId="77777777" w:rsidTr="0099088D">
        <w:trPr>
          <w:trHeight w:val="465"/>
        </w:trPr>
        <w:tc>
          <w:tcPr>
            <w:tcW w:w="729" w:type="pct"/>
            <w:shd w:val="clear" w:color="auto" w:fill="auto"/>
            <w:vAlign w:val="center"/>
            <w:hideMark/>
          </w:tcPr>
          <w:p w14:paraId="75BDEB69" w14:textId="77777777" w:rsidR="008F3544" w:rsidRPr="00735CC9" w:rsidRDefault="008F3544" w:rsidP="0099088D">
            <w:pPr>
              <w:jc w:val="center"/>
              <w:rPr>
                <w:color w:val="000000"/>
                <w:sz w:val="16"/>
                <w:szCs w:val="16"/>
              </w:rPr>
            </w:pPr>
            <w:r w:rsidRPr="00735CC9">
              <w:rPr>
                <w:color w:val="000000"/>
                <w:sz w:val="16"/>
                <w:szCs w:val="16"/>
              </w:rPr>
              <w:t>2.3.1.4.3.2.</w:t>
            </w:r>
          </w:p>
        </w:tc>
        <w:tc>
          <w:tcPr>
            <w:tcW w:w="994" w:type="pct"/>
            <w:shd w:val="clear" w:color="auto" w:fill="auto"/>
            <w:vAlign w:val="center"/>
            <w:hideMark/>
          </w:tcPr>
          <w:p w14:paraId="11FD05B2" w14:textId="77777777" w:rsidR="008F3544" w:rsidRPr="00735CC9"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lang w:val="en-US"/>
                      </w:rPr>
                      <m:t>max</m:t>
                    </m:r>
                    <m:r>
                      <m:rPr>
                        <m:nor/>
                      </m:rPr>
                      <w:rPr>
                        <w:color w:val="000000"/>
                      </w:rPr>
                      <m:t xml:space="preserve"> </m:t>
                    </m:r>
                    <m:r>
                      <m:rPr>
                        <m:nor/>
                      </m:rPr>
                      <w:rPr>
                        <w:color w:val="000000"/>
                        <w:lang w:val="en-US"/>
                      </w:rPr>
                      <m:t>N</m:t>
                    </m:r>
                    <m:r>
                      <m:rPr>
                        <m:nor/>
                      </m:rPr>
                      <w:rPr>
                        <w:color w:val="000000"/>
                      </w:rPr>
                      <m:t xml:space="preserve"> 2.3.1.4.3.2.</m:t>
                    </m:r>
                  </m:sub>
                  <m:sup>
                    <m:r>
                      <m:rPr>
                        <m:nor/>
                      </m:rPr>
                      <w:rPr>
                        <w:color w:val="000000"/>
                      </w:rPr>
                      <m:t>0,4 кВ и ниже</m:t>
                    </m:r>
                  </m:sup>
                </m:sSubSup>
              </m:oMath>
            </m:oMathPara>
          </w:p>
        </w:tc>
        <w:tc>
          <w:tcPr>
            <w:tcW w:w="1601" w:type="pct"/>
            <w:shd w:val="clear" w:color="auto" w:fill="auto"/>
            <w:vAlign w:val="center"/>
            <w:hideMark/>
          </w:tcPr>
          <w:p w14:paraId="32D03C88" w14:textId="77777777" w:rsidR="008F3544" w:rsidRPr="00735CC9" w:rsidRDefault="008F3544" w:rsidP="0099088D">
            <w:pPr>
              <w:rPr>
                <w:color w:val="000000"/>
                <w:sz w:val="16"/>
                <w:szCs w:val="16"/>
              </w:rPr>
            </w:pPr>
            <w:r w:rsidRPr="00735CC9">
              <w:rPr>
                <w:color w:val="000000"/>
                <w:sz w:val="16"/>
                <w:szCs w:val="16"/>
              </w:rPr>
              <w:t>воздушные линии на железобетонных опорах изолированным алюминиевым проводом сечением от 100 до 200 квадратных мм включительно двухцепные</w:t>
            </w:r>
          </w:p>
        </w:tc>
        <w:tc>
          <w:tcPr>
            <w:tcW w:w="518" w:type="pct"/>
            <w:shd w:val="clear" w:color="auto" w:fill="auto"/>
            <w:vAlign w:val="center"/>
            <w:hideMark/>
          </w:tcPr>
          <w:p w14:paraId="79AEF017" w14:textId="77777777" w:rsidR="008F3544" w:rsidRPr="00735CC9" w:rsidRDefault="008F3544" w:rsidP="0099088D">
            <w:pPr>
              <w:jc w:val="center"/>
              <w:rPr>
                <w:color w:val="000000"/>
                <w:sz w:val="16"/>
                <w:szCs w:val="16"/>
              </w:rPr>
            </w:pPr>
            <w:r w:rsidRPr="00735CC9">
              <w:rPr>
                <w:color w:val="000000"/>
                <w:sz w:val="16"/>
                <w:szCs w:val="16"/>
              </w:rPr>
              <w:t>рублей/кВт</w:t>
            </w:r>
          </w:p>
        </w:tc>
        <w:tc>
          <w:tcPr>
            <w:tcW w:w="582" w:type="pct"/>
            <w:shd w:val="clear" w:color="auto" w:fill="auto"/>
            <w:noWrap/>
            <w:vAlign w:val="center"/>
          </w:tcPr>
          <w:p w14:paraId="473D9585" w14:textId="77777777" w:rsidR="008F3544" w:rsidRPr="00735CC9" w:rsidRDefault="008F3544" w:rsidP="0099088D">
            <w:pPr>
              <w:jc w:val="center"/>
              <w:rPr>
                <w:color w:val="000000"/>
                <w:sz w:val="16"/>
                <w:szCs w:val="16"/>
              </w:rPr>
            </w:pPr>
            <w:r w:rsidRPr="006A79FF">
              <w:rPr>
                <w:color w:val="000000"/>
                <w:sz w:val="16"/>
                <w:szCs w:val="16"/>
              </w:rPr>
              <w:t>9 868,10</w:t>
            </w:r>
          </w:p>
        </w:tc>
        <w:tc>
          <w:tcPr>
            <w:tcW w:w="576" w:type="pct"/>
            <w:shd w:val="clear" w:color="auto" w:fill="auto"/>
            <w:noWrap/>
            <w:vAlign w:val="center"/>
          </w:tcPr>
          <w:p w14:paraId="209DF033" w14:textId="77777777" w:rsidR="008F3544" w:rsidRPr="00735CC9" w:rsidRDefault="008F3544" w:rsidP="0099088D">
            <w:pPr>
              <w:jc w:val="center"/>
              <w:rPr>
                <w:color w:val="000000"/>
                <w:sz w:val="16"/>
                <w:szCs w:val="16"/>
              </w:rPr>
            </w:pPr>
            <w:r>
              <w:rPr>
                <w:color w:val="000000"/>
                <w:sz w:val="16"/>
                <w:szCs w:val="16"/>
              </w:rPr>
              <w:t>-</w:t>
            </w:r>
          </w:p>
        </w:tc>
      </w:tr>
      <w:tr w:rsidR="008F3544" w:rsidRPr="00735CC9" w14:paraId="07188795" w14:textId="77777777" w:rsidTr="0099088D">
        <w:trPr>
          <w:trHeight w:val="900"/>
        </w:trPr>
        <w:tc>
          <w:tcPr>
            <w:tcW w:w="729" w:type="pct"/>
            <w:shd w:val="clear" w:color="auto" w:fill="auto"/>
            <w:vAlign w:val="center"/>
            <w:hideMark/>
          </w:tcPr>
          <w:p w14:paraId="41A60701" w14:textId="77777777" w:rsidR="008F3544" w:rsidRPr="00735CC9" w:rsidRDefault="008F3544" w:rsidP="0099088D">
            <w:pPr>
              <w:jc w:val="center"/>
              <w:rPr>
                <w:color w:val="000000"/>
                <w:sz w:val="16"/>
                <w:szCs w:val="16"/>
              </w:rPr>
            </w:pPr>
            <w:r w:rsidRPr="00735CC9">
              <w:rPr>
                <w:color w:val="000000"/>
                <w:sz w:val="16"/>
                <w:szCs w:val="16"/>
              </w:rPr>
              <w:t>2.3.2.3.2.1.</w:t>
            </w:r>
          </w:p>
        </w:tc>
        <w:tc>
          <w:tcPr>
            <w:tcW w:w="994" w:type="pct"/>
            <w:shd w:val="clear" w:color="auto" w:fill="auto"/>
            <w:vAlign w:val="center"/>
            <w:hideMark/>
          </w:tcPr>
          <w:p w14:paraId="19677C72" w14:textId="77777777" w:rsidR="008F3544" w:rsidRPr="00735CC9"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lang w:val="en-US"/>
                      </w:rPr>
                      <m:t>max</m:t>
                    </m:r>
                    <m:r>
                      <m:rPr>
                        <m:nor/>
                      </m:rPr>
                      <w:rPr>
                        <w:color w:val="000000"/>
                      </w:rPr>
                      <m:t xml:space="preserve"> </m:t>
                    </m:r>
                    <m:r>
                      <m:rPr>
                        <m:nor/>
                      </m:rPr>
                      <w:rPr>
                        <w:color w:val="000000"/>
                        <w:lang w:val="en-US"/>
                      </w:rPr>
                      <m:t>N</m:t>
                    </m:r>
                    <m:r>
                      <m:rPr>
                        <m:nor/>
                      </m:rPr>
                      <w:rPr>
                        <w:color w:val="000000"/>
                      </w:rPr>
                      <m:t xml:space="preserve"> 2.3.2.3.2.1.</m:t>
                    </m:r>
                  </m:sub>
                  <m:sup>
                    <m:r>
                      <m:rPr>
                        <m:nor/>
                      </m:rPr>
                      <w:rPr>
                        <w:color w:val="000000"/>
                      </w:rPr>
                      <m:t>1-20 кВ</m:t>
                    </m:r>
                  </m:sup>
                </m:sSubSup>
              </m:oMath>
            </m:oMathPara>
          </w:p>
        </w:tc>
        <w:tc>
          <w:tcPr>
            <w:tcW w:w="1601" w:type="pct"/>
            <w:shd w:val="clear" w:color="auto" w:fill="auto"/>
            <w:vAlign w:val="center"/>
            <w:hideMark/>
          </w:tcPr>
          <w:p w14:paraId="321DD50A" w14:textId="77777777" w:rsidR="008F3544" w:rsidRPr="00735CC9" w:rsidRDefault="008F3544" w:rsidP="0099088D">
            <w:pPr>
              <w:rPr>
                <w:color w:val="000000"/>
                <w:sz w:val="16"/>
                <w:szCs w:val="16"/>
              </w:rPr>
            </w:pPr>
            <w:r w:rsidRPr="00735CC9">
              <w:rPr>
                <w:color w:val="000000"/>
                <w:sz w:val="16"/>
                <w:szCs w:val="16"/>
              </w:rPr>
              <w:t>воздушные линии на железобетонных опорах неизолированным сталеалюминиевым проводом сечением от 50 до 100 квадратных мм включительно одноцепные</w:t>
            </w:r>
          </w:p>
        </w:tc>
        <w:tc>
          <w:tcPr>
            <w:tcW w:w="518" w:type="pct"/>
            <w:shd w:val="clear" w:color="auto" w:fill="auto"/>
            <w:vAlign w:val="center"/>
            <w:hideMark/>
          </w:tcPr>
          <w:p w14:paraId="3D82C03E" w14:textId="77777777" w:rsidR="008F3544" w:rsidRPr="00735CC9" w:rsidRDefault="008F3544" w:rsidP="0099088D">
            <w:pPr>
              <w:jc w:val="center"/>
              <w:rPr>
                <w:color w:val="000000"/>
                <w:sz w:val="16"/>
                <w:szCs w:val="16"/>
              </w:rPr>
            </w:pPr>
            <w:r w:rsidRPr="00735CC9">
              <w:rPr>
                <w:color w:val="000000"/>
                <w:sz w:val="16"/>
                <w:szCs w:val="16"/>
              </w:rPr>
              <w:t>рублей/кВт</w:t>
            </w:r>
          </w:p>
        </w:tc>
        <w:tc>
          <w:tcPr>
            <w:tcW w:w="582" w:type="pct"/>
            <w:shd w:val="clear" w:color="auto" w:fill="auto"/>
            <w:noWrap/>
            <w:vAlign w:val="center"/>
          </w:tcPr>
          <w:p w14:paraId="5C15DBAB" w14:textId="77777777" w:rsidR="008F3544" w:rsidRPr="00735CC9" w:rsidRDefault="008F3544" w:rsidP="0099088D">
            <w:pPr>
              <w:jc w:val="center"/>
              <w:rPr>
                <w:color w:val="000000"/>
                <w:sz w:val="16"/>
                <w:szCs w:val="16"/>
              </w:rPr>
            </w:pPr>
            <w:r w:rsidRPr="00904F8E">
              <w:rPr>
                <w:color w:val="000000"/>
                <w:sz w:val="16"/>
                <w:szCs w:val="16"/>
              </w:rPr>
              <w:t>7 339,28</w:t>
            </w:r>
          </w:p>
        </w:tc>
        <w:tc>
          <w:tcPr>
            <w:tcW w:w="576" w:type="pct"/>
            <w:shd w:val="clear" w:color="auto" w:fill="auto"/>
            <w:noWrap/>
            <w:vAlign w:val="center"/>
          </w:tcPr>
          <w:p w14:paraId="4D992475" w14:textId="77777777" w:rsidR="008F3544" w:rsidRPr="00735CC9" w:rsidRDefault="008F3544" w:rsidP="0099088D">
            <w:pPr>
              <w:jc w:val="center"/>
              <w:rPr>
                <w:color w:val="000000"/>
                <w:sz w:val="16"/>
                <w:szCs w:val="16"/>
              </w:rPr>
            </w:pPr>
            <w:r>
              <w:rPr>
                <w:color w:val="000000"/>
                <w:sz w:val="16"/>
                <w:szCs w:val="16"/>
              </w:rPr>
              <w:t>-</w:t>
            </w:r>
          </w:p>
        </w:tc>
      </w:tr>
      <w:tr w:rsidR="008F3544" w:rsidRPr="00735CC9" w14:paraId="2F8C66F1" w14:textId="77777777" w:rsidTr="0099088D">
        <w:trPr>
          <w:trHeight w:val="540"/>
        </w:trPr>
        <w:tc>
          <w:tcPr>
            <w:tcW w:w="729" w:type="pct"/>
            <w:shd w:val="clear" w:color="auto" w:fill="auto"/>
            <w:vAlign w:val="center"/>
            <w:hideMark/>
          </w:tcPr>
          <w:p w14:paraId="531601E5" w14:textId="77777777" w:rsidR="008F3544" w:rsidRPr="00735CC9" w:rsidRDefault="008F3544" w:rsidP="0099088D">
            <w:pPr>
              <w:jc w:val="center"/>
              <w:rPr>
                <w:color w:val="000000"/>
                <w:sz w:val="16"/>
                <w:szCs w:val="16"/>
              </w:rPr>
            </w:pPr>
            <w:r w:rsidRPr="00735CC9">
              <w:rPr>
                <w:color w:val="000000"/>
                <w:sz w:val="16"/>
                <w:szCs w:val="16"/>
              </w:rPr>
              <w:t>3.1.1.1.1.1.</w:t>
            </w:r>
          </w:p>
        </w:tc>
        <w:tc>
          <w:tcPr>
            <w:tcW w:w="994" w:type="pct"/>
            <w:shd w:val="clear" w:color="auto" w:fill="auto"/>
            <w:vAlign w:val="center"/>
            <w:hideMark/>
          </w:tcPr>
          <w:p w14:paraId="0E5392D3" w14:textId="77777777" w:rsidR="008F3544" w:rsidRPr="00BB0F77"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lang w:val="en-US"/>
                      </w:rPr>
                      <m:t>max</m:t>
                    </m:r>
                    <m:r>
                      <m:rPr>
                        <m:nor/>
                      </m:rPr>
                      <w:rPr>
                        <w:color w:val="000000"/>
                      </w:rPr>
                      <m:t xml:space="preserve"> </m:t>
                    </m:r>
                    <m:r>
                      <m:rPr>
                        <m:nor/>
                      </m:rPr>
                      <w:rPr>
                        <w:color w:val="000000"/>
                        <w:lang w:val="en-US"/>
                      </w:rPr>
                      <m:t>N</m:t>
                    </m:r>
                    <m:r>
                      <m:rPr>
                        <m:nor/>
                      </m:rPr>
                      <w:rPr>
                        <w:color w:val="000000"/>
                      </w:rPr>
                      <m:t xml:space="preserve"> 3.1.1.1.1.1.</m:t>
                    </m:r>
                  </m:sub>
                  <m:sup>
                    <m:r>
                      <m:rPr>
                        <m:nor/>
                      </m:rPr>
                      <w:rPr>
                        <w:color w:val="000000"/>
                      </w:rPr>
                      <m:t>0,4 кВ и ниже</m:t>
                    </m:r>
                  </m:sup>
                </m:sSubSup>
              </m:oMath>
            </m:oMathPara>
          </w:p>
        </w:tc>
        <w:tc>
          <w:tcPr>
            <w:tcW w:w="1601" w:type="pct"/>
            <w:shd w:val="clear" w:color="auto" w:fill="auto"/>
            <w:vAlign w:val="center"/>
            <w:hideMark/>
          </w:tcPr>
          <w:p w14:paraId="373459F5" w14:textId="77777777" w:rsidR="008F3544" w:rsidRPr="00735CC9" w:rsidRDefault="008F3544" w:rsidP="0099088D">
            <w:pPr>
              <w:rPr>
                <w:color w:val="000000"/>
                <w:sz w:val="16"/>
                <w:szCs w:val="16"/>
              </w:rPr>
            </w:pPr>
            <w:r w:rsidRPr="00735CC9">
              <w:rPr>
                <w:color w:val="000000"/>
                <w:sz w:val="16"/>
                <w:szCs w:val="16"/>
              </w:rPr>
              <w:t>кабельные линии в траншеях одножильные с резиновой или пластмассовой изоляцией сечением провода до 50 квадратных мм включительно с одним кабелем в траншее</w:t>
            </w:r>
          </w:p>
        </w:tc>
        <w:tc>
          <w:tcPr>
            <w:tcW w:w="518" w:type="pct"/>
            <w:shd w:val="clear" w:color="auto" w:fill="auto"/>
            <w:vAlign w:val="center"/>
            <w:hideMark/>
          </w:tcPr>
          <w:p w14:paraId="6E6BD368" w14:textId="77777777" w:rsidR="008F3544" w:rsidRPr="00735CC9" w:rsidRDefault="008F3544" w:rsidP="0099088D">
            <w:pPr>
              <w:jc w:val="center"/>
              <w:rPr>
                <w:color w:val="000000"/>
                <w:sz w:val="16"/>
                <w:szCs w:val="16"/>
              </w:rPr>
            </w:pPr>
            <w:r w:rsidRPr="00735CC9">
              <w:rPr>
                <w:color w:val="000000"/>
                <w:sz w:val="16"/>
                <w:szCs w:val="16"/>
              </w:rPr>
              <w:t>рублей/кВт</w:t>
            </w:r>
          </w:p>
        </w:tc>
        <w:tc>
          <w:tcPr>
            <w:tcW w:w="582" w:type="pct"/>
            <w:shd w:val="clear" w:color="auto" w:fill="auto"/>
            <w:noWrap/>
            <w:vAlign w:val="center"/>
          </w:tcPr>
          <w:p w14:paraId="399A40F5" w14:textId="77777777" w:rsidR="008F3544" w:rsidRPr="00735CC9" w:rsidRDefault="008F3544" w:rsidP="0099088D">
            <w:pPr>
              <w:jc w:val="center"/>
              <w:rPr>
                <w:color w:val="000000"/>
                <w:sz w:val="16"/>
                <w:szCs w:val="16"/>
              </w:rPr>
            </w:pPr>
            <w:r w:rsidRPr="00904F8E">
              <w:rPr>
                <w:color w:val="000000"/>
                <w:sz w:val="16"/>
                <w:szCs w:val="16"/>
              </w:rPr>
              <w:t>5 298,52</w:t>
            </w:r>
          </w:p>
        </w:tc>
        <w:tc>
          <w:tcPr>
            <w:tcW w:w="576" w:type="pct"/>
            <w:shd w:val="clear" w:color="auto" w:fill="auto"/>
            <w:noWrap/>
            <w:vAlign w:val="center"/>
          </w:tcPr>
          <w:p w14:paraId="6DBABA5D" w14:textId="77777777" w:rsidR="008F3544" w:rsidRPr="00735CC9" w:rsidRDefault="008F3544" w:rsidP="0099088D">
            <w:pPr>
              <w:jc w:val="center"/>
              <w:rPr>
                <w:color w:val="000000"/>
                <w:sz w:val="16"/>
                <w:szCs w:val="16"/>
              </w:rPr>
            </w:pPr>
            <w:r>
              <w:rPr>
                <w:color w:val="000000"/>
                <w:sz w:val="16"/>
                <w:szCs w:val="16"/>
              </w:rPr>
              <w:t>-</w:t>
            </w:r>
          </w:p>
        </w:tc>
      </w:tr>
      <w:tr w:rsidR="008F3544" w:rsidRPr="00735CC9" w14:paraId="3D22913B" w14:textId="77777777" w:rsidTr="0099088D">
        <w:trPr>
          <w:trHeight w:val="540"/>
        </w:trPr>
        <w:tc>
          <w:tcPr>
            <w:tcW w:w="729" w:type="pct"/>
            <w:vMerge w:val="restart"/>
            <w:shd w:val="clear" w:color="auto" w:fill="auto"/>
            <w:vAlign w:val="center"/>
            <w:hideMark/>
          </w:tcPr>
          <w:p w14:paraId="3855E76B" w14:textId="77777777" w:rsidR="008F3544" w:rsidRPr="00735CC9" w:rsidRDefault="008F3544" w:rsidP="0099088D">
            <w:pPr>
              <w:jc w:val="center"/>
              <w:rPr>
                <w:color w:val="000000"/>
                <w:sz w:val="16"/>
                <w:szCs w:val="16"/>
              </w:rPr>
            </w:pPr>
            <w:r w:rsidRPr="00735CC9">
              <w:rPr>
                <w:color w:val="000000"/>
                <w:sz w:val="16"/>
                <w:szCs w:val="16"/>
              </w:rPr>
              <w:t>3.1.1.1.2.1.</w:t>
            </w:r>
          </w:p>
        </w:tc>
        <w:tc>
          <w:tcPr>
            <w:tcW w:w="994" w:type="pct"/>
            <w:shd w:val="clear" w:color="auto" w:fill="auto"/>
            <w:vAlign w:val="center"/>
            <w:hideMark/>
          </w:tcPr>
          <w:p w14:paraId="529BD2BB" w14:textId="77777777" w:rsidR="008F3544" w:rsidRPr="00BB0F77"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lang w:val="en-US"/>
                      </w:rPr>
                      <m:t>max</m:t>
                    </m:r>
                    <m:r>
                      <m:rPr>
                        <m:nor/>
                      </m:rPr>
                      <w:rPr>
                        <w:color w:val="000000"/>
                      </w:rPr>
                      <m:t xml:space="preserve"> </m:t>
                    </m:r>
                    <m:r>
                      <m:rPr>
                        <m:nor/>
                      </m:rPr>
                      <w:rPr>
                        <w:color w:val="000000"/>
                        <w:lang w:val="en-US"/>
                      </w:rPr>
                      <m:t>N</m:t>
                    </m:r>
                    <m:r>
                      <m:rPr>
                        <m:nor/>
                      </m:rPr>
                      <w:rPr>
                        <w:color w:val="000000"/>
                      </w:rPr>
                      <m:t xml:space="preserve"> 3.1.1.1.2.1.</m:t>
                    </m:r>
                  </m:sub>
                  <m:sup>
                    <m:r>
                      <m:rPr>
                        <m:nor/>
                      </m:rPr>
                      <w:rPr>
                        <w:color w:val="000000"/>
                      </w:rPr>
                      <m:t>0,4 кВ и ниже</m:t>
                    </m:r>
                  </m:sup>
                </m:sSubSup>
              </m:oMath>
            </m:oMathPara>
          </w:p>
        </w:tc>
        <w:tc>
          <w:tcPr>
            <w:tcW w:w="1601" w:type="pct"/>
            <w:vMerge w:val="restart"/>
            <w:shd w:val="clear" w:color="auto" w:fill="auto"/>
            <w:vAlign w:val="center"/>
            <w:hideMark/>
          </w:tcPr>
          <w:p w14:paraId="3EF02820" w14:textId="77777777" w:rsidR="008F3544" w:rsidRPr="00735CC9" w:rsidRDefault="008F3544" w:rsidP="0099088D">
            <w:pPr>
              <w:rPr>
                <w:color w:val="000000"/>
                <w:sz w:val="16"/>
                <w:szCs w:val="16"/>
              </w:rPr>
            </w:pPr>
            <w:r w:rsidRPr="00735CC9">
              <w:rPr>
                <w:color w:val="000000"/>
                <w:sz w:val="16"/>
                <w:szCs w:val="16"/>
              </w:rPr>
              <w:t>кабельные линии в траншеях одножильные с резиновой или пластмассовой изоляцией сечением провода от 50 до 100 квадратных мм включительно с одним кабелем в траншее</w:t>
            </w:r>
          </w:p>
        </w:tc>
        <w:tc>
          <w:tcPr>
            <w:tcW w:w="518" w:type="pct"/>
            <w:vMerge w:val="restart"/>
            <w:shd w:val="clear" w:color="auto" w:fill="auto"/>
            <w:vAlign w:val="center"/>
            <w:hideMark/>
          </w:tcPr>
          <w:p w14:paraId="1E402573" w14:textId="77777777" w:rsidR="008F3544" w:rsidRPr="00735CC9" w:rsidRDefault="008F3544" w:rsidP="0099088D">
            <w:pPr>
              <w:jc w:val="center"/>
              <w:rPr>
                <w:color w:val="000000"/>
                <w:sz w:val="16"/>
                <w:szCs w:val="16"/>
              </w:rPr>
            </w:pPr>
            <w:r w:rsidRPr="00735CC9">
              <w:rPr>
                <w:color w:val="000000"/>
                <w:sz w:val="16"/>
                <w:szCs w:val="16"/>
              </w:rPr>
              <w:t>рублей/кВт</w:t>
            </w:r>
          </w:p>
        </w:tc>
        <w:tc>
          <w:tcPr>
            <w:tcW w:w="582" w:type="pct"/>
            <w:shd w:val="clear" w:color="auto" w:fill="auto"/>
            <w:noWrap/>
            <w:vAlign w:val="center"/>
          </w:tcPr>
          <w:p w14:paraId="1DE96DBE" w14:textId="77777777" w:rsidR="008F3544" w:rsidRPr="00735CC9" w:rsidRDefault="008F3544" w:rsidP="0099088D">
            <w:pPr>
              <w:jc w:val="center"/>
              <w:rPr>
                <w:color w:val="000000"/>
                <w:sz w:val="16"/>
                <w:szCs w:val="16"/>
              </w:rPr>
            </w:pPr>
            <w:r w:rsidRPr="00904F8E">
              <w:rPr>
                <w:color w:val="000000"/>
                <w:sz w:val="16"/>
                <w:szCs w:val="16"/>
              </w:rPr>
              <w:t>8 638,59</w:t>
            </w:r>
          </w:p>
        </w:tc>
        <w:tc>
          <w:tcPr>
            <w:tcW w:w="576" w:type="pct"/>
            <w:shd w:val="clear" w:color="auto" w:fill="auto"/>
            <w:noWrap/>
            <w:vAlign w:val="center"/>
          </w:tcPr>
          <w:p w14:paraId="1F23D802" w14:textId="77777777" w:rsidR="008F3544" w:rsidRPr="00735CC9" w:rsidRDefault="008F3544" w:rsidP="0099088D">
            <w:pPr>
              <w:jc w:val="center"/>
              <w:rPr>
                <w:color w:val="000000"/>
                <w:sz w:val="16"/>
                <w:szCs w:val="16"/>
              </w:rPr>
            </w:pPr>
            <w:r>
              <w:rPr>
                <w:color w:val="000000"/>
                <w:sz w:val="16"/>
                <w:szCs w:val="16"/>
              </w:rPr>
              <w:t>-</w:t>
            </w:r>
          </w:p>
        </w:tc>
      </w:tr>
      <w:tr w:rsidR="008F3544" w:rsidRPr="00735CC9" w14:paraId="63F0895B" w14:textId="77777777" w:rsidTr="0099088D">
        <w:trPr>
          <w:trHeight w:val="540"/>
        </w:trPr>
        <w:tc>
          <w:tcPr>
            <w:tcW w:w="729" w:type="pct"/>
            <w:vMerge/>
            <w:shd w:val="clear" w:color="auto" w:fill="auto"/>
            <w:vAlign w:val="center"/>
            <w:hideMark/>
          </w:tcPr>
          <w:p w14:paraId="722A495D" w14:textId="77777777" w:rsidR="008F3544" w:rsidRPr="00735CC9" w:rsidRDefault="008F3544" w:rsidP="0099088D">
            <w:pPr>
              <w:rPr>
                <w:color w:val="000000"/>
                <w:sz w:val="16"/>
                <w:szCs w:val="16"/>
              </w:rPr>
            </w:pPr>
          </w:p>
        </w:tc>
        <w:tc>
          <w:tcPr>
            <w:tcW w:w="994" w:type="pct"/>
            <w:shd w:val="clear" w:color="auto" w:fill="auto"/>
            <w:vAlign w:val="center"/>
            <w:hideMark/>
          </w:tcPr>
          <w:p w14:paraId="5B4D792F" w14:textId="77777777" w:rsidR="008F3544" w:rsidRPr="00D62067"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lang w:val="en-US"/>
                      </w:rPr>
                      <m:t>max</m:t>
                    </m:r>
                    <m:r>
                      <m:rPr>
                        <m:nor/>
                      </m:rPr>
                      <w:rPr>
                        <w:color w:val="000000"/>
                      </w:rPr>
                      <m:t xml:space="preserve"> </m:t>
                    </m:r>
                    <m:r>
                      <m:rPr>
                        <m:nor/>
                      </m:rPr>
                      <w:rPr>
                        <w:color w:val="000000"/>
                        <w:lang w:val="en-US"/>
                      </w:rPr>
                      <m:t>N</m:t>
                    </m:r>
                    <m:r>
                      <m:rPr>
                        <m:nor/>
                      </m:rPr>
                      <w:rPr>
                        <w:color w:val="000000"/>
                      </w:rPr>
                      <m:t xml:space="preserve"> 3.1.1.1.2.1.</m:t>
                    </m:r>
                  </m:sub>
                  <m:sup>
                    <m:r>
                      <m:rPr>
                        <m:nor/>
                      </m:rPr>
                      <w:rPr>
                        <w:color w:val="000000"/>
                      </w:rPr>
                      <m:t>1-10 кВ</m:t>
                    </m:r>
                  </m:sup>
                </m:sSubSup>
              </m:oMath>
            </m:oMathPara>
          </w:p>
        </w:tc>
        <w:tc>
          <w:tcPr>
            <w:tcW w:w="1601" w:type="pct"/>
            <w:vMerge/>
            <w:shd w:val="clear" w:color="auto" w:fill="auto"/>
            <w:vAlign w:val="center"/>
            <w:hideMark/>
          </w:tcPr>
          <w:p w14:paraId="462ED86A" w14:textId="77777777" w:rsidR="008F3544" w:rsidRPr="00735CC9" w:rsidRDefault="008F3544" w:rsidP="0099088D">
            <w:pPr>
              <w:rPr>
                <w:color w:val="000000"/>
                <w:sz w:val="16"/>
                <w:szCs w:val="16"/>
              </w:rPr>
            </w:pPr>
          </w:p>
        </w:tc>
        <w:tc>
          <w:tcPr>
            <w:tcW w:w="518" w:type="pct"/>
            <w:vMerge/>
            <w:shd w:val="clear" w:color="auto" w:fill="auto"/>
            <w:vAlign w:val="center"/>
            <w:hideMark/>
          </w:tcPr>
          <w:p w14:paraId="0E313A45" w14:textId="77777777" w:rsidR="008F3544" w:rsidRPr="00735CC9" w:rsidRDefault="008F3544" w:rsidP="0099088D">
            <w:pPr>
              <w:rPr>
                <w:color w:val="000000"/>
                <w:sz w:val="16"/>
                <w:szCs w:val="16"/>
              </w:rPr>
            </w:pPr>
          </w:p>
        </w:tc>
        <w:tc>
          <w:tcPr>
            <w:tcW w:w="582" w:type="pct"/>
            <w:shd w:val="clear" w:color="auto" w:fill="auto"/>
            <w:noWrap/>
            <w:vAlign w:val="center"/>
          </w:tcPr>
          <w:p w14:paraId="119521CA" w14:textId="77777777" w:rsidR="008F3544" w:rsidRPr="00735CC9" w:rsidRDefault="008F3544" w:rsidP="0099088D">
            <w:pPr>
              <w:jc w:val="center"/>
              <w:rPr>
                <w:color w:val="000000"/>
                <w:sz w:val="16"/>
                <w:szCs w:val="16"/>
              </w:rPr>
            </w:pPr>
            <w:r w:rsidRPr="00904F8E">
              <w:rPr>
                <w:color w:val="000000"/>
                <w:sz w:val="16"/>
                <w:szCs w:val="16"/>
              </w:rPr>
              <w:t>9 856,53</w:t>
            </w:r>
          </w:p>
        </w:tc>
        <w:tc>
          <w:tcPr>
            <w:tcW w:w="576" w:type="pct"/>
            <w:shd w:val="clear" w:color="auto" w:fill="auto"/>
            <w:noWrap/>
            <w:vAlign w:val="center"/>
          </w:tcPr>
          <w:p w14:paraId="213E091E" w14:textId="77777777" w:rsidR="008F3544" w:rsidRPr="00735CC9" w:rsidRDefault="008F3544" w:rsidP="0099088D">
            <w:pPr>
              <w:jc w:val="center"/>
              <w:rPr>
                <w:color w:val="000000"/>
                <w:sz w:val="16"/>
                <w:szCs w:val="16"/>
              </w:rPr>
            </w:pPr>
            <w:r w:rsidRPr="00904F8E">
              <w:rPr>
                <w:color w:val="000000"/>
                <w:sz w:val="16"/>
                <w:szCs w:val="16"/>
              </w:rPr>
              <w:t>8 411,61</w:t>
            </w:r>
          </w:p>
        </w:tc>
      </w:tr>
      <w:tr w:rsidR="008F3544" w:rsidRPr="00735CC9" w14:paraId="3032B5D4" w14:textId="77777777" w:rsidTr="0099088D">
        <w:trPr>
          <w:trHeight w:val="900"/>
        </w:trPr>
        <w:tc>
          <w:tcPr>
            <w:tcW w:w="729" w:type="pct"/>
            <w:shd w:val="clear" w:color="auto" w:fill="auto"/>
            <w:vAlign w:val="center"/>
            <w:hideMark/>
          </w:tcPr>
          <w:p w14:paraId="1DD25083" w14:textId="77777777" w:rsidR="008F3544" w:rsidRPr="00735CC9" w:rsidRDefault="008F3544" w:rsidP="0099088D">
            <w:pPr>
              <w:jc w:val="center"/>
              <w:rPr>
                <w:color w:val="000000"/>
                <w:sz w:val="16"/>
                <w:szCs w:val="16"/>
              </w:rPr>
            </w:pPr>
            <w:r w:rsidRPr="00735CC9">
              <w:rPr>
                <w:color w:val="000000"/>
                <w:sz w:val="16"/>
                <w:szCs w:val="16"/>
              </w:rPr>
              <w:t>3.1.1.1.2.2.</w:t>
            </w:r>
          </w:p>
        </w:tc>
        <w:tc>
          <w:tcPr>
            <w:tcW w:w="994" w:type="pct"/>
            <w:shd w:val="clear" w:color="auto" w:fill="auto"/>
            <w:vAlign w:val="center"/>
            <w:hideMark/>
          </w:tcPr>
          <w:p w14:paraId="28676D02" w14:textId="77777777" w:rsidR="008F3544" w:rsidRPr="00D62067"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lang w:val="en-US"/>
                      </w:rPr>
                      <m:t>max</m:t>
                    </m:r>
                    <m:r>
                      <m:rPr>
                        <m:nor/>
                      </m:rPr>
                      <w:rPr>
                        <w:color w:val="000000"/>
                      </w:rPr>
                      <m:t xml:space="preserve"> </m:t>
                    </m:r>
                    <m:r>
                      <m:rPr>
                        <m:nor/>
                      </m:rPr>
                      <w:rPr>
                        <w:color w:val="000000"/>
                        <w:lang w:val="en-US"/>
                      </w:rPr>
                      <m:t>N</m:t>
                    </m:r>
                    <m:r>
                      <m:rPr>
                        <m:nor/>
                      </m:rPr>
                      <w:rPr>
                        <w:color w:val="000000"/>
                      </w:rPr>
                      <m:t xml:space="preserve"> 3.1.1.1.2.2.</m:t>
                    </m:r>
                  </m:sub>
                  <m:sup>
                    <m:r>
                      <m:rPr>
                        <m:nor/>
                      </m:rPr>
                      <w:rPr>
                        <w:color w:val="000000"/>
                      </w:rPr>
                      <m:t>1-10 кВ</m:t>
                    </m:r>
                  </m:sup>
                </m:sSubSup>
              </m:oMath>
            </m:oMathPara>
          </w:p>
        </w:tc>
        <w:tc>
          <w:tcPr>
            <w:tcW w:w="1601" w:type="pct"/>
            <w:shd w:val="clear" w:color="auto" w:fill="auto"/>
            <w:vAlign w:val="center"/>
            <w:hideMark/>
          </w:tcPr>
          <w:p w14:paraId="22CDC124" w14:textId="77777777" w:rsidR="008F3544" w:rsidRPr="00735CC9" w:rsidRDefault="008F3544" w:rsidP="0099088D">
            <w:pPr>
              <w:rPr>
                <w:color w:val="000000"/>
                <w:sz w:val="16"/>
                <w:szCs w:val="16"/>
              </w:rPr>
            </w:pPr>
            <w:r w:rsidRPr="00735CC9">
              <w:rPr>
                <w:color w:val="000000"/>
                <w:sz w:val="16"/>
                <w:szCs w:val="16"/>
              </w:rPr>
              <w:t>кабельные линии в траншеях одножильные с резиновой или пластмассовой изоляцией сечением провода от 50 до 100 квадратных мм включительно с двумя кабелем в траншее</w:t>
            </w:r>
          </w:p>
        </w:tc>
        <w:tc>
          <w:tcPr>
            <w:tcW w:w="518" w:type="pct"/>
            <w:shd w:val="clear" w:color="auto" w:fill="auto"/>
            <w:vAlign w:val="center"/>
            <w:hideMark/>
          </w:tcPr>
          <w:p w14:paraId="4A774CA2" w14:textId="77777777" w:rsidR="008F3544" w:rsidRPr="00735CC9" w:rsidRDefault="008F3544" w:rsidP="0099088D">
            <w:pPr>
              <w:jc w:val="center"/>
              <w:rPr>
                <w:color w:val="000000"/>
                <w:sz w:val="16"/>
                <w:szCs w:val="16"/>
              </w:rPr>
            </w:pPr>
            <w:r w:rsidRPr="00735CC9">
              <w:rPr>
                <w:color w:val="000000"/>
                <w:sz w:val="16"/>
                <w:szCs w:val="16"/>
              </w:rPr>
              <w:t>рублей/кВт</w:t>
            </w:r>
          </w:p>
        </w:tc>
        <w:tc>
          <w:tcPr>
            <w:tcW w:w="582" w:type="pct"/>
            <w:shd w:val="clear" w:color="auto" w:fill="auto"/>
            <w:noWrap/>
            <w:vAlign w:val="center"/>
          </w:tcPr>
          <w:p w14:paraId="5DC3B26D" w14:textId="77777777" w:rsidR="008F3544" w:rsidRPr="00735CC9" w:rsidRDefault="008F3544" w:rsidP="0099088D">
            <w:pPr>
              <w:jc w:val="center"/>
              <w:rPr>
                <w:color w:val="000000"/>
                <w:sz w:val="16"/>
                <w:szCs w:val="16"/>
              </w:rPr>
            </w:pPr>
            <w:r w:rsidRPr="00904F8E">
              <w:rPr>
                <w:color w:val="000000"/>
                <w:sz w:val="16"/>
                <w:szCs w:val="16"/>
              </w:rPr>
              <w:t>10 316,58</w:t>
            </w:r>
          </w:p>
        </w:tc>
        <w:tc>
          <w:tcPr>
            <w:tcW w:w="576" w:type="pct"/>
            <w:shd w:val="clear" w:color="auto" w:fill="auto"/>
            <w:noWrap/>
            <w:vAlign w:val="center"/>
          </w:tcPr>
          <w:p w14:paraId="37A0D5B1" w14:textId="77777777" w:rsidR="008F3544" w:rsidRPr="00735CC9" w:rsidRDefault="008F3544" w:rsidP="0099088D">
            <w:pPr>
              <w:jc w:val="center"/>
              <w:rPr>
                <w:color w:val="000000"/>
                <w:sz w:val="16"/>
                <w:szCs w:val="16"/>
              </w:rPr>
            </w:pPr>
            <w:r>
              <w:rPr>
                <w:color w:val="000000"/>
                <w:sz w:val="16"/>
                <w:szCs w:val="16"/>
              </w:rPr>
              <w:t>-</w:t>
            </w:r>
          </w:p>
        </w:tc>
      </w:tr>
      <w:tr w:rsidR="008F3544" w:rsidRPr="00735CC9" w14:paraId="07752220" w14:textId="77777777" w:rsidTr="0099088D">
        <w:trPr>
          <w:trHeight w:val="900"/>
        </w:trPr>
        <w:tc>
          <w:tcPr>
            <w:tcW w:w="729" w:type="pct"/>
            <w:shd w:val="clear" w:color="auto" w:fill="auto"/>
            <w:vAlign w:val="center"/>
            <w:hideMark/>
          </w:tcPr>
          <w:p w14:paraId="24764748" w14:textId="77777777" w:rsidR="008F3544" w:rsidRPr="00735CC9" w:rsidRDefault="008F3544" w:rsidP="0099088D">
            <w:pPr>
              <w:jc w:val="center"/>
              <w:rPr>
                <w:color w:val="000000"/>
                <w:sz w:val="16"/>
                <w:szCs w:val="16"/>
              </w:rPr>
            </w:pPr>
            <w:r w:rsidRPr="00735CC9">
              <w:rPr>
                <w:color w:val="000000"/>
                <w:sz w:val="16"/>
                <w:szCs w:val="16"/>
              </w:rPr>
              <w:t>3.1.1.1.3.1.</w:t>
            </w:r>
          </w:p>
        </w:tc>
        <w:tc>
          <w:tcPr>
            <w:tcW w:w="994" w:type="pct"/>
            <w:shd w:val="clear" w:color="auto" w:fill="auto"/>
            <w:vAlign w:val="center"/>
            <w:hideMark/>
          </w:tcPr>
          <w:p w14:paraId="689950A6" w14:textId="77777777" w:rsidR="008F3544" w:rsidRPr="00D62067"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lang w:val="en-US"/>
                      </w:rPr>
                      <m:t>max</m:t>
                    </m:r>
                    <m:r>
                      <m:rPr>
                        <m:nor/>
                      </m:rPr>
                      <w:rPr>
                        <w:color w:val="000000"/>
                      </w:rPr>
                      <m:t xml:space="preserve"> </m:t>
                    </m:r>
                    <m:r>
                      <m:rPr>
                        <m:nor/>
                      </m:rPr>
                      <w:rPr>
                        <w:color w:val="000000"/>
                        <w:lang w:val="en-US"/>
                      </w:rPr>
                      <m:t>N</m:t>
                    </m:r>
                    <m:r>
                      <m:rPr>
                        <m:nor/>
                      </m:rPr>
                      <w:rPr>
                        <w:color w:val="000000"/>
                      </w:rPr>
                      <m:t xml:space="preserve"> 3.1.1.1.3.1.</m:t>
                    </m:r>
                  </m:sub>
                  <m:sup>
                    <m:r>
                      <m:rPr>
                        <m:nor/>
                      </m:rPr>
                      <w:rPr>
                        <w:color w:val="000000"/>
                      </w:rPr>
                      <m:t>1-10 кВ</m:t>
                    </m:r>
                  </m:sup>
                </m:sSubSup>
              </m:oMath>
            </m:oMathPara>
          </w:p>
        </w:tc>
        <w:tc>
          <w:tcPr>
            <w:tcW w:w="1601" w:type="pct"/>
            <w:shd w:val="clear" w:color="auto" w:fill="auto"/>
            <w:vAlign w:val="center"/>
            <w:hideMark/>
          </w:tcPr>
          <w:p w14:paraId="5CB7D2AF" w14:textId="77777777" w:rsidR="008F3544" w:rsidRPr="00735CC9" w:rsidRDefault="008F3544" w:rsidP="0099088D">
            <w:pPr>
              <w:rPr>
                <w:color w:val="000000"/>
                <w:sz w:val="16"/>
                <w:szCs w:val="16"/>
              </w:rPr>
            </w:pPr>
            <w:r w:rsidRPr="00735CC9">
              <w:rPr>
                <w:color w:val="000000"/>
                <w:sz w:val="16"/>
                <w:szCs w:val="16"/>
              </w:rPr>
              <w:t>кабельные линии в траншеях одножильные с резиновой или пластмассовой изоляцией сечением провода от 100 до 200 квадратных мм включительно с одним кабелем в траншее</w:t>
            </w:r>
          </w:p>
        </w:tc>
        <w:tc>
          <w:tcPr>
            <w:tcW w:w="518" w:type="pct"/>
            <w:shd w:val="clear" w:color="auto" w:fill="auto"/>
            <w:vAlign w:val="center"/>
            <w:hideMark/>
          </w:tcPr>
          <w:p w14:paraId="131A7060" w14:textId="77777777" w:rsidR="008F3544" w:rsidRPr="00735CC9" w:rsidRDefault="008F3544" w:rsidP="0099088D">
            <w:pPr>
              <w:jc w:val="center"/>
              <w:rPr>
                <w:color w:val="000000"/>
                <w:sz w:val="16"/>
                <w:szCs w:val="16"/>
              </w:rPr>
            </w:pPr>
            <w:r w:rsidRPr="00735CC9">
              <w:rPr>
                <w:color w:val="000000"/>
                <w:sz w:val="16"/>
                <w:szCs w:val="16"/>
              </w:rPr>
              <w:t>рублей/кВт</w:t>
            </w:r>
          </w:p>
        </w:tc>
        <w:tc>
          <w:tcPr>
            <w:tcW w:w="582" w:type="pct"/>
            <w:shd w:val="clear" w:color="auto" w:fill="auto"/>
            <w:noWrap/>
            <w:vAlign w:val="center"/>
          </w:tcPr>
          <w:p w14:paraId="7855BC75" w14:textId="77777777" w:rsidR="008F3544" w:rsidRPr="00735CC9" w:rsidRDefault="008F3544" w:rsidP="0099088D">
            <w:pPr>
              <w:jc w:val="center"/>
              <w:rPr>
                <w:color w:val="000000"/>
                <w:sz w:val="16"/>
                <w:szCs w:val="16"/>
              </w:rPr>
            </w:pPr>
            <w:r w:rsidRPr="000E7E19">
              <w:rPr>
                <w:color w:val="000000"/>
                <w:sz w:val="16"/>
                <w:szCs w:val="16"/>
              </w:rPr>
              <w:t>10 106,34</w:t>
            </w:r>
          </w:p>
        </w:tc>
        <w:tc>
          <w:tcPr>
            <w:tcW w:w="576" w:type="pct"/>
            <w:shd w:val="clear" w:color="auto" w:fill="auto"/>
            <w:noWrap/>
            <w:vAlign w:val="center"/>
          </w:tcPr>
          <w:p w14:paraId="0C2BCD71" w14:textId="77777777" w:rsidR="008F3544" w:rsidRPr="00735CC9" w:rsidRDefault="008F3544" w:rsidP="0099088D">
            <w:pPr>
              <w:jc w:val="center"/>
              <w:rPr>
                <w:color w:val="000000"/>
                <w:sz w:val="16"/>
                <w:szCs w:val="16"/>
              </w:rPr>
            </w:pPr>
            <w:r w:rsidRPr="000E7E19">
              <w:rPr>
                <w:color w:val="000000"/>
                <w:sz w:val="16"/>
                <w:szCs w:val="16"/>
              </w:rPr>
              <w:t>8 837,52</w:t>
            </w:r>
          </w:p>
        </w:tc>
      </w:tr>
      <w:tr w:rsidR="008F3544" w:rsidRPr="00735CC9" w14:paraId="49F34974" w14:textId="77777777" w:rsidTr="0099088D">
        <w:trPr>
          <w:trHeight w:val="900"/>
        </w:trPr>
        <w:tc>
          <w:tcPr>
            <w:tcW w:w="729" w:type="pct"/>
            <w:shd w:val="clear" w:color="auto" w:fill="auto"/>
            <w:vAlign w:val="center"/>
            <w:hideMark/>
          </w:tcPr>
          <w:p w14:paraId="33AAD056" w14:textId="77777777" w:rsidR="008F3544" w:rsidRPr="00735CC9" w:rsidRDefault="008F3544" w:rsidP="0099088D">
            <w:pPr>
              <w:jc w:val="center"/>
              <w:rPr>
                <w:color w:val="000000"/>
                <w:sz w:val="16"/>
                <w:szCs w:val="16"/>
              </w:rPr>
            </w:pPr>
            <w:r w:rsidRPr="00735CC9">
              <w:rPr>
                <w:color w:val="000000"/>
                <w:sz w:val="16"/>
                <w:szCs w:val="16"/>
              </w:rPr>
              <w:t>3.1.1.1.4.1.</w:t>
            </w:r>
          </w:p>
        </w:tc>
        <w:tc>
          <w:tcPr>
            <w:tcW w:w="994" w:type="pct"/>
            <w:shd w:val="clear" w:color="auto" w:fill="auto"/>
            <w:vAlign w:val="center"/>
            <w:hideMark/>
          </w:tcPr>
          <w:p w14:paraId="3B073B40" w14:textId="77777777" w:rsidR="008F3544" w:rsidRPr="00D62067"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lang w:val="en-US"/>
                      </w:rPr>
                      <m:t>max</m:t>
                    </m:r>
                    <m:r>
                      <m:rPr>
                        <m:nor/>
                      </m:rPr>
                      <w:rPr>
                        <w:color w:val="000000"/>
                      </w:rPr>
                      <m:t xml:space="preserve"> </m:t>
                    </m:r>
                    <m:r>
                      <m:rPr>
                        <m:nor/>
                      </m:rPr>
                      <w:rPr>
                        <w:color w:val="000000"/>
                        <w:lang w:val="en-US"/>
                      </w:rPr>
                      <m:t>N</m:t>
                    </m:r>
                    <m:r>
                      <m:rPr>
                        <m:nor/>
                      </m:rPr>
                      <w:rPr>
                        <w:color w:val="000000"/>
                      </w:rPr>
                      <m:t xml:space="preserve"> 3.1.1.1.4.1.</m:t>
                    </m:r>
                  </m:sub>
                  <m:sup>
                    <m:r>
                      <m:rPr>
                        <m:nor/>
                      </m:rPr>
                      <w:rPr>
                        <w:color w:val="000000"/>
                      </w:rPr>
                      <m:t>1-10 кВ</m:t>
                    </m:r>
                  </m:sup>
                </m:sSubSup>
              </m:oMath>
            </m:oMathPara>
          </w:p>
        </w:tc>
        <w:tc>
          <w:tcPr>
            <w:tcW w:w="1601" w:type="pct"/>
            <w:shd w:val="clear" w:color="auto" w:fill="auto"/>
            <w:vAlign w:val="center"/>
            <w:hideMark/>
          </w:tcPr>
          <w:p w14:paraId="1F78CF15" w14:textId="77777777" w:rsidR="008F3544" w:rsidRPr="00735CC9" w:rsidRDefault="008F3544" w:rsidP="0099088D">
            <w:pPr>
              <w:rPr>
                <w:color w:val="000000"/>
                <w:sz w:val="16"/>
                <w:szCs w:val="16"/>
              </w:rPr>
            </w:pPr>
            <w:r w:rsidRPr="00735CC9">
              <w:rPr>
                <w:color w:val="000000"/>
                <w:sz w:val="16"/>
                <w:szCs w:val="16"/>
              </w:rPr>
              <w:t>кабельные линии в траншеях одножильные с резиновой или пластмассовой изоляцией сечением провода от 200 до 250 квадратных мм включительно с одним кабелем в траншее</w:t>
            </w:r>
          </w:p>
        </w:tc>
        <w:tc>
          <w:tcPr>
            <w:tcW w:w="518" w:type="pct"/>
            <w:shd w:val="clear" w:color="auto" w:fill="auto"/>
            <w:vAlign w:val="center"/>
            <w:hideMark/>
          </w:tcPr>
          <w:p w14:paraId="78AD2162" w14:textId="77777777" w:rsidR="008F3544" w:rsidRPr="00735CC9" w:rsidRDefault="008F3544" w:rsidP="0099088D">
            <w:pPr>
              <w:jc w:val="center"/>
              <w:rPr>
                <w:color w:val="000000"/>
                <w:sz w:val="16"/>
                <w:szCs w:val="16"/>
              </w:rPr>
            </w:pPr>
            <w:r w:rsidRPr="00735CC9">
              <w:rPr>
                <w:color w:val="000000"/>
                <w:sz w:val="16"/>
                <w:szCs w:val="16"/>
              </w:rPr>
              <w:t>рублей/кВт</w:t>
            </w:r>
          </w:p>
        </w:tc>
        <w:tc>
          <w:tcPr>
            <w:tcW w:w="582" w:type="pct"/>
            <w:shd w:val="clear" w:color="auto" w:fill="auto"/>
            <w:noWrap/>
            <w:vAlign w:val="center"/>
          </w:tcPr>
          <w:p w14:paraId="24E694C1" w14:textId="77777777" w:rsidR="008F3544" w:rsidRPr="00735CC9" w:rsidRDefault="008F3544" w:rsidP="0099088D">
            <w:pPr>
              <w:jc w:val="center"/>
              <w:rPr>
                <w:color w:val="000000"/>
                <w:sz w:val="16"/>
                <w:szCs w:val="16"/>
              </w:rPr>
            </w:pPr>
            <w:r w:rsidRPr="000E7E19">
              <w:rPr>
                <w:color w:val="000000"/>
                <w:sz w:val="16"/>
                <w:szCs w:val="16"/>
              </w:rPr>
              <w:t>10 342,43</w:t>
            </w:r>
          </w:p>
        </w:tc>
        <w:tc>
          <w:tcPr>
            <w:tcW w:w="576" w:type="pct"/>
            <w:shd w:val="clear" w:color="auto" w:fill="auto"/>
            <w:noWrap/>
            <w:vAlign w:val="center"/>
          </w:tcPr>
          <w:p w14:paraId="3CE5762C" w14:textId="77777777" w:rsidR="008F3544" w:rsidRPr="00735CC9" w:rsidRDefault="008F3544" w:rsidP="0099088D">
            <w:pPr>
              <w:jc w:val="center"/>
              <w:rPr>
                <w:color w:val="000000"/>
                <w:sz w:val="16"/>
                <w:szCs w:val="16"/>
              </w:rPr>
            </w:pPr>
            <w:r>
              <w:rPr>
                <w:color w:val="000000"/>
                <w:sz w:val="16"/>
                <w:szCs w:val="16"/>
              </w:rPr>
              <w:t>-</w:t>
            </w:r>
          </w:p>
        </w:tc>
      </w:tr>
      <w:tr w:rsidR="008F3544" w:rsidRPr="00735CC9" w14:paraId="25604009" w14:textId="77777777" w:rsidTr="0099088D">
        <w:trPr>
          <w:trHeight w:val="465"/>
        </w:trPr>
        <w:tc>
          <w:tcPr>
            <w:tcW w:w="729" w:type="pct"/>
            <w:vMerge w:val="restart"/>
            <w:shd w:val="clear" w:color="auto" w:fill="auto"/>
            <w:vAlign w:val="center"/>
            <w:hideMark/>
          </w:tcPr>
          <w:p w14:paraId="1555CE52" w14:textId="77777777" w:rsidR="008F3544" w:rsidRPr="00735CC9" w:rsidRDefault="008F3544" w:rsidP="0099088D">
            <w:pPr>
              <w:jc w:val="center"/>
              <w:rPr>
                <w:color w:val="000000"/>
                <w:sz w:val="16"/>
                <w:szCs w:val="16"/>
              </w:rPr>
            </w:pPr>
            <w:r w:rsidRPr="00735CC9">
              <w:rPr>
                <w:color w:val="000000"/>
                <w:sz w:val="16"/>
                <w:szCs w:val="16"/>
              </w:rPr>
              <w:t>3.1.2.1.1.1.</w:t>
            </w:r>
          </w:p>
        </w:tc>
        <w:tc>
          <w:tcPr>
            <w:tcW w:w="994" w:type="pct"/>
            <w:shd w:val="clear" w:color="auto" w:fill="auto"/>
            <w:vAlign w:val="center"/>
            <w:hideMark/>
          </w:tcPr>
          <w:p w14:paraId="17D8D7D7" w14:textId="77777777" w:rsidR="008F3544" w:rsidRPr="00285395"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lang w:val="en-US"/>
                      </w:rPr>
                      <m:t>max</m:t>
                    </m:r>
                    <m:r>
                      <m:rPr>
                        <m:nor/>
                      </m:rPr>
                      <w:rPr>
                        <w:color w:val="000000"/>
                      </w:rPr>
                      <m:t xml:space="preserve"> </m:t>
                    </m:r>
                    <m:r>
                      <m:rPr>
                        <m:nor/>
                      </m:rPr>
                      <w:rPr>
                        <w:color w:val="000000"/>
                        <w:lang w:val="en-US"/>
                      </w:rPr>
                      <m:t>N</m:t>
                    </m:r>
                    <m:r>
                      <m:rPr>
                        <m:nor/>
                      </m:rPr>
                      <w:rPr>
                        <w:color w:val="000000"/>
                      </w:rPr>
                      <m:t xml:space="preserve"> 3.1.2.1.1.1.</m:t>
                    </m:r>
                  </m:sub>
                  <m:sup>
                    <m:r>
                      <m:rPr>
                        <m:nor/>
                      </m:rPr>
                      <w:rPr>
                        <w:color w:val="000000"/>
                      </w:rPr>
                      <m:t>0,4 кВ и ниже</m:t>
                    </m:r>
                  </m:sup>
                </m:sSubSup>
              </m:oMath>
            </m:oMathPara>
          </w:p>
        </w:tc>
        <w:tc>
          <w:tcPr>
            <w:tcW w:w="1601" w:type="pct"/>
            <w:vMerge w:val="restart"/>
            <w:shd w:val="clear" w:color="auto" w:fill="auto"/>
            <w:vAlign w:val="center"/>
            <w:hideMark/>
          </w:tcPr>
          <w:p w14:paraId="74DD017C" w14:textId="77777777" w:rsidR="008F3544" w:rsidRPr="00735CC9" w:rsidRDefault="008F3544" w:rsidP="0099088D">
            <w:pPr>
              <w:rPr>
                <w:color w:val="000000"/>
                <w:sz w:val="16"/>
                <w:szCs w:val="16"/>
              </w:rPr>
            </w:pPr>
            <w:r w:rsidRPr="00735CC9">
              <w:rPr>
                <w:color w:val="000000"/>
                <w:sz w:val="16"/>
                <w:szCs w:val="16"/>
              </w:rPr>
              <w:t>кабельные линии в траншеях многожильные с резиновой или пластмассовой изоляцией сечением провода до 50 квадратных мм включительно с одним кабелем в траншее</w:t>
            </w:r>
          </w:p>
        </w:tc>
        <w:tc>
          <w:tcPr>
            <w:tcW w:w="518" w:type="pct"/>
            <w:vMerge w:val="restart"/>
            <w:shd w:val="clear" w:color="auto" w:fill="auto"/>
            <w:vAlign w:val="center"/>
            <w:hideMark/>
          </w:tcPr>
          <w:p w14:paraId="5D8EDC98" w14:textId="77777777" w:rsidR="008F3544" w:rsidRPr="00735CC9" w:rsidRDefault="008F3544" w:rsidP="0099088D">
            <w:pPr>
              <w:jc w:val="center"/>
              <w:rPr>
                <w:color w:val="000000"/>
                <w:sz w:val="16"/>
                <w:szCs w:val="16"/>
              </w:rPr>
            </w:pPr>
            <w:r w:rsidRPr="00735CC9">
              <w:rPr>
                <w:color w:val="000000"/>
                <w:sz w:val="16"/>
                <w:szCs w:val="16"/>
              </w:rPr>
              <w:t>рублей/кВт</w:t>
            </w:r>
          </w:p>
        </w:tc>
        <w:tc>
          <w:tcPr>
            <w:tcW w:w="582" w:type="pct"/>
            <w:shd w:val="clear" w:color="auto" w:fill="auto"/>
            <w:noWrap/>
            <w:vAlign w:val="center"/>
          </w:tcPr>
          <w:p w14:paraId="4CB19872" w14:textId="77777777" w:rsidR="008F3544" w:rsidRPr="00735CC9" w:rsidRDefault="008F3544" w:rsidP="0099088D">
            <w:pPr>
              <w:jc w:val="center"/>
              <w:rPr>
                <w:color w:val="000000"/>
                <w:sz w:val="16"/>
                <w:szCs w:val="16"/>
              </w:rPr>
            </w:pPr>
            <w:r w:rsidRPr="000E7E19">
              <w:rPr>
                <w:color w:val="000000"/>
                <w:sz w:val="16"/>
                <w:szCs w:val="16"/>
              </w:rPr>
              <w:t>6 612,81</w:t>
            </w:r>
          </w:p>
        </w:tc>
        <w:tc>
          <w:tcPr>
            <w:tcW w:w="576" w:type="pct"/>
            <w:shd w:val="clear" w:color="auto" w:fill="auto"/>
            <w:noWrap/>
            <w:vAlign w:val="center"/>
          </w:tcPr>
          <w:p w14:paraId="54323676" w14:textId="77777777" w:rsidR="008F3544" w:rsidRPr="00735CC9" w:rsidRDefault="008F3544" w:rsidP="0099088D">
            <w:pPr>
              <w:jc w:val="center"/>
              <w:rPr>
                <w:color w:val="000000"/>
                <w:sz w:val="16"/>
                <w:szCs w:val="16"/>
              </w:rPr>
            </w:pPr>
            <w:r w:rsidRPr="000E7E19">
              <w:rPr>
                <w:color w:val="000000"/>
                <w:sz w:val="16"/>
                <w:szCs w:val="16"/>
              </w:rPr>
              <w:t>5 869,20</w:t>
            </w:r>
          </w:p>
        </w:tc>
      </w:tr>
      <w:tr w:rsidR="008F3544" w:rsidRPr="00735CC9" w14:paraId="6C253069" w14:textId="77777777" w:rsidTr="0099088D">
        <w:trPr>
          <w:trHeight w:val="465"/>
        </w:trPr>
        <w:tc>
          <w:tcPr>
            <w:tcW w:w="729" w:type="pct"/>
            <w:vMerge/>
            <w:shd w:val="clear" w:color="auto" w:fill="auto"/>
            <w:vAlign w:val="center"/>
            <w:hideMark/>
          </w:tcPr>
          <w:p w14:paraId="788553B6" w14:textId="77777777" w:rsidR="008F3544" w:rsidRPr="00735CC9" w:rsidRDefault="008F3544" w:rsidP="0099088D">
            <w:pPr>
              <w:rPr>
                <w:color w:val="000000"/>
                <w:sz w:val="16"/>
                <w:szCs w:val="16"/>
              </w:rPr>
            </w:pPr>
          </w:p>
        </w:tc>
        <w:tc>
          <w:tcPr>
            <w:tcW w:w="994" w:type="pct"/>
            <w:shd w:val="clear" w:color="auto" w:fill="auto"/>
            <w:vAlign w:val="center"/>
            <w:hideMark/>
          </w:tcPr>
          <w:p w14:paraId="2DE96108" w14:textId="77777777" w:rsidR="008F3544" w:rsidRPr="00D62067"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lang w:val="en-US"/>
                      </w:rPr>
                      <m:t>max</m:t>
                    </m:r>
                    <m:r>
                      <m:rPr>
                        <m:nor/>
                      </m:rPr>
                      <w:rPr>
                        <w:color w:val="000000"/>
                      </w:rPr>
                      <m:t xml:space="preserve"> </m:t>
                    </m:r>
                    <m:r>
                      <m:rPr>
                        <m:nor/>
                      </m:rPr>
                      <w:rPr>
                        <w:color w:val="000000"/>
                        <w:lang w:val="en-US"/>
                      </w:rPr>
                      <m:t>N</m:t>
                    </m:r>
                    <m:r>
                      <m:rPr>
                        <m:nor/>
                      </m:rPr>
                      <w:rPr>
                        <w:color w:val="000000"/>
                      </w:rPr>
                      <m:t xml:space="preserve"> 3.1.2.1.1.1.</m:t>
                    </m:r>
                  </m:sub>
                  <m:sup>
                    <m:r>
                      <m:rPr>
                        <m:nor/>
                      </m:rPr>
                      <w:rPr>
                        <w:color w:val="000000"/>
                      </w:rPr>
                      <m:t>1-10 кВ</m:t>
                    </m:r>
                  </m:sup>
                </m:sSubSup>
              </m:oMath>
            </m:oMathPara>
          </w:p>
        </w:tc>
        <w:tc>
          <w:tcPr>
            <w:tcW w:w="1601" w:type="pct"/>
            <w:vMerge/>
            <w:shd w:val="clear" w:color="auto" w:fill="auto"/>
            <w:vAlign w:val="center"/>
            <w:hideMark/>
          </w:tcPr>
          <w:p w14:paraId="6D3C49BE" w14:textId="77777777" w:rsidR="008F3544" w:rsidRPr="00735CC9" w:rsidRDefault="008F3544" w:rsidP="0099088D">
            <w:pPr>
              <w:rPr>
                <w:color w:val="000000"/>
                <w:sz w:val="16"/>
                <w:szCs w:val="16"/>
              </w:rPr>
            </w:pPr>
          </w:p>
        </w:tc>
        <w:tc>
          <w:tcPr>
            <w:tcW w:w="518" w:type="pct"/>
            <w:vMerge/>
            <w:shd w:val="clear" w:color="auto" w:fill="auto"/>
            <w:vAlign w:val="center"/>
            <w:hideMark/>
          </w:tcPr>
          <w:p w14:paraId="3CE5F60F" w14:textId="77777777" w:rsidR="008F3544" w:rsidRPr="00735CC9" w:rsidRDefault="008F3544" w:rsidP="0099088D">
            <w:pPr>
              <w:rPr>
                <w:color w:val="000000"/>
                <w:sz w:val="16"/>
                <w:szCs w:val="16"/>
              </w:rPr>
            </w:pPr>
          </w:p>
        </w:tc>
        <w:tc>
          <w:tcPr>
            <w:tcW w:w="582" w:type="pct"/>
            <w:shd w:val="clear" w:color="auto" w:fill="auto"/>
            <w:noWrap/>
            <w:vAlign w:val="center"/>
          </w:tcPr>
          <w:p w14:paraId="5D1D76FD" w14:textId="77777777" w:rsidR="008F3544" w:rsidRPr="00735CC9" w:rsidRDefault="008F3544" w:rsidP="0099088D">
            <w:pPr>
              <w:jc w:val="center"/>
              <w:rPr>
                <w:color w:val="000000"/>
                <w:sz w:val="16"/>
                <w:szCs w:val="16"/>
              </w:rPr>
            </w:pPr>
            <w:r w:rsidRPr="000E7E19">
              <w:rPr>
                <w:color w:val="000000"/>
                <w:sz w:val="16"/>
                <w:szCs w:val="16"/>
              </w:rPr>
              <w:t>8 844,30</w:t>
            </w:r>
          </w:p>
        </w:tc>
        <w:tc>
          <w:tcPr>
            <w:tcW w:w="576" w:type="pct"/>
            <w:shd w:val="clear" w:color="auto" w:fill="auto"/>
            <w:noWrap/>
            <w:vAlign w:val="center"/>
          </w:tcPr>
          <w:p w14:paraId="4E6AA412" w14:textId="77777777" w:rsidR="008F3544" w:rsidRPr="00735CC9" w:rsidRDefault="008F3544" w:rsidP="0099088D">
            <w:pPr>
              <w:jc w:val="center"/>
              <w:rPr>
                <w:color w:val="000000"/>
                <w:sz w:val="16"/>
                <w:szCs w:val="16"/>
              </w:rPr>
            </w:pPr>
            <w:r>
              <w:rPr>
                <w:color w:val="000000"/>
                <w:sz w:val="16"/>
                <w:szCs w:val="16"/>
              </w:rPr>
              <w:t>-</w:t>
            </w:r>
          </w:p>
        </w:tc>
      </w:tr>
      <w:tr w:rsidR="008F3544" w:rsidRPr="00735CC9" w14:paraId="14DABBCD" w14:textId="77777777" w:rsidTr="0099088D">
        <w:trPr>
          <w:trHeight w:val="465"/>
        </w:trPr>
        <w:tc>
          <w:tcPr>
            <w:tcW w:w="729" w:type="pct"/>
            <w:shd w:val="clear" w:color="auto" w:fill="auto"/>
            <w:vAlign w:val="center"/>
            <w:hideMark/>
          </w:tcPr>
          <w:p w14:paraId="69BF1F3B" w14:textId="77777777" w:rsidR="008F3544" w:rsidRPr="00735CC9" w:rsidRDefault="008F3544" w:rsidP="0099088D">
            <w:pPr>
              <w:jc w:val="center"/>
              <w:rPr>
                <w:color w:val="000000"/>
                <w:sz w:val="16"/>
                <w:szCs w:val="16"/>
              </w:rPr>
            </w:pPr>
            <w:r w:rsidRPr="00735CC9">
              <w:rPr>
                <w:color w:val="000000"/>
                <w:sz w:val="16"/>
                <w:szCs w:val="16"/>
              </w:rPr>
              <w:t>3.1.2.1.1.2.</w:t>
            </w:r>
          </w:p>
        </w:tc>
        <w:tc>
          <w:tcPr>
            <w:tcW w:w="994" w:type="pct"/>
            <w:shd w:val="clear" w:color="auto" w:fill="auto"/>
            <w:vAlign w:val="center"/>
            <w:hideMark/>
          </w:tcPr>
          <w:p w14:paraId="641E1AA2" w14:textId="77777777" w:rsidR="008F3544" w:rsidRPr="00285395"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lang w:val="en-US"/>
                      </w:rPr>
                      <m:t>max</m:t>
                    </m:r>
                    <m:r>
                      <m:rPr>
                        <m:nor/>
                      </m:rPr>
                      <w:rPr>
                        <w:color w:val="000000"/>
                      </w:rPr>
                      <m:t xml:space="preserve"> </m:t>
                    </m:r>
                    <m:r>
                      <m:rPr>
                        <m:nor/>
                      </m:rPr>
                      <w:rPr>
                        <w:color w:val="000000"/>
                        <w:lang w:val="en-US"/>
                      </w:rPr>
                      <m:t>N</m:t>
                    </m:r>
                    <m:r>
                      <m:rPr>
                        <m:nor/>
                      </m:rPr>
                      <w:rPr>
                        <w:color w:val="000000"/>
                      </w:rPr>
                      <m:t xml:space="preserve"> 3.1.2.1.1.2.</m:t>
                    </m:r>
                  </m:sub>
                  <m:sup>
                    <m:r>
                      <m:rPr>
                        <m:nor/>
                      </m:rPr>
                      <w:rPr>
                        <w:color w:val="000000"/>
                      </w:rPr>
                      <m:t>0,4 кВ и ниже</m:t>
                    </m:r>
                  </m:sup>
                </m:sSubSup>
              </m:oMath>
            </m:oMathPara>
          </w:p>
        </w:tc>
        <w:tc>
          <w:tcPr>
            <w:tcW w:w="1601" w:type="pct"/>
            <w:shd w:val="clear" w:color="auto" w:fill="auto"/>
            <w:vAlign w:val="center"/>
            <w:hideMark/>
          </w:tcPr>
          <w:p w14:paraId="71F0B0E2" w14:textId="77777777" w:rsidR="008F3544" w:rsidRPr="00735CC9" w:rsidRDefault="008F3544" w:rsidP="0099088D">
            <w:pPr>
              <w:rPr>
                <w:color w:val="000000"/>
                <w:sz w:val="16"/>
                <w:szCs w:val="16"/>
              </w:rPr>
            </w:pPr>
            <w:r w:rsidRPr="00735CC9">
              <w:rPr>
                <w:color w:val="000000"/>
                <w:sz w:val="16"/>
                <w:szCs w:val="16"/>
              </w:rPr>
              <w:t>кабельные линии в траншеях многожильные с резиновой или пластмассовой изоляцией сечением провода до 50 квадратных мм включительно с двумя кабелями в траншее</w:t>
            </w:r>
          </w:p>
        </w:tc>
        <w:tc>
          <w:tcPr>
            <w:tcW w:w="518" w:type="pct"/>
            <w:shd w:val="clear" w:color="auto" w:fill="auto"/>
            <w:vAlign w:val="center"/>
            <w:hideMark/>
          </w:tcPr>
          <w:p w14:paraId="39BECDDB" w14:textId="77777777" w:rsidR="008F3544" w:rsidRPr="00735CC9" w:rsidRDefault="008F3544" w:rsidP="0099088D">
            <w:pPr>
              <w:jc w:val="center"/>
              <w:rPr>
                <w:color w:val="000000"/>
                <w:sz w:val="16"/>
                <w:szCs w:val="16"/>
              </w:rPr>
            </w:pPr>
            <w:r w:rsidRPr="00735CC9">
              <w:rPr>
                <w:color w:val="000000"/>
                <w:sz w:val="16"/>
                <w:szCs w:val="16"/>
              </w:rPr>
              <w:t>рублей/кВт</w:t>
            </w:r>
          </w:p>
        </w:tc>
        <w:tc>
          <w:tcPr>
            <w:tcW w:w="582" w:type="pct"/>
            <w:shd w:val="clear" w:color="auto" w:fill="auto"/>
            <w:noWrap/>
            <w:vAlign w:val="center"/>
          </w:tcPr>
          <w:p w14:paraId="67EC18DB" w14:textId="77777777" w:rsidR="008F3544" w:rsidRPr="00735CC9" w:rsidRDefault="008F3544" w:rsidP="0099088D">
            <w:pPr>
              <w:jc w:val="center"/>
              <w:rPr>
                <w:color w:val="000000"/>
                <w:sz w:val="16"/>
                <w:szCs w:val="16"/>
              </w:rPr>
            </w:pPr>
            <w:r w:rsidRPr="000E7E19">
              <w:rPr>
                <w:color w:val="000000"/>
                <w:sz w:val="16"/>
                <w:szCs w:val="16"/>
              </w:rPr>
              <w:t>9 302,95</w:t>
            </w:r>
          </w:p>
        </w:tc>
        <w:tc>
          <w:tcPr>
            <w:tcW w:w="576" w:type="pct"/>
            <w:shd w:val="clear" w:color="auto" w:fill="auto"/>
            <w:noWrap/>
            <w:vAlign w:val="center"/>
          </w:tcPr>
          <w:p w14:paraId="678282A4" w14:textId="77777777" w:rsidR="008F3544" w:rsidRPr="00735CC9" w:rsidRDefault="008F3544" w:rsidP="0099088D">
            <w:pPr>
              <w:jc w:val="center"/>
              <w:rPr>
                <w:color w:val="000000"/>
                <w:sz w:val="16"/>
                <w:szCs w:val="16"/>
              </w:rPr>
            </w:pPr>
            <w:r>
              <w:rPr>
                <w:color w:val="000000"/>
                <w:sz w:val="16"/>
                <w:szCs w:val="16"/>
              </w:rPr>
              <w:t>-</w:t>
            </w:r>
          </w:p>
        </w:tc>
      </w:tr>
      <w:tr w:rsidR="008F3544" w:rsidRPr="00735CC9" w14:paraId="22B1A945" w14:textId="77777777" w:rsidTr="0099088D">
        <w:trPr>
          <w:trHeight w:val="505"/>
        </w:trPr>
        <w:tc>
          <w:tcPr>
            <w:tcW w:w="729" w:type="pct"/>
            <w:vMerge w:val="restart"/>
            <w:shd w:val="clear" w:color="auto" w:fill="auto"/>
            <w:vAlign w:val="center"/>
            <w:hideMark/>
          </w:tcPr>
          <w:p w14:paraId="2663625E" w14:textId="77777777" w:rsidR="008F3544" w:rsidRPr="00735CC9" w:rsidRDefault="008F3544" w:rsidP="0099088D">
            <w:pPr>
              <w:jc w:val="center"/>
              <w:rPr>
                <w:color w:val="000000"/>
                <w:sz w:val="16"/>
                <w:szCs w:val="16"/>
              </w:rPr>
            </w:pPr>
            <w:r w:rsidRPr="00735CC9">
              <w:rPr>
                <w:color w:val="000000"/>
                <w:sz w:val="16"/>
                <w:szCs w:val="16"/>
              </w:rPr>
              <w:t>3.1.2.1.2.1.</w:t>
            </w:r>
          </w:p>
        </w:tc>
        <w:tc>
          <w:tcPr>
            <w:tcW w:w="994" w:type="pct"/>
            <w:shd w:val="clear" w:color="auto" w:fill="auto"/>
            <w:vAlign w:val="center"/>
            <w:hideMark/>
          </w:tcPr>
          <w:p w14:paraId="4DC18125" w14:textId="77777777" w:rsidR="008F3544" w:rsidRPr="0002007A"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lang w:val="en-US"/>
                      </w:rPr>
                      <m:t>max</m:t>
                    </m:r>
                    <m:r>
                      <m:rPr>
                        <m:nor/>
                      </m:rPr>
                      <w:rPr>
                        <w:color w:val="000000"/>
                      </w:rPr>
                      <m:t xml:space="preserve"> </m:t>
                    </m:r>
                    <m:r>
                      <m:rPr>
                        <m:nor/>
                      </m:rPr>
                      <w:rPr>
                        <w:color w:val="000000"/>
                        <w:lang w:val="en-US"/>
                      </w:rPr>
                      <m:t>N</m:t>
                    </m:r>
                    <m:r>
                      <m:rPr>
                        <m:nor/>
                      </m:rPr>
                      <w:rPr>
                        <w:color w:val="000000"/>
                      </w:rPr>
                      <m:t xml:space="preserve"> 3.1.2.1.2.1.</m:t>
                    </m:r>
                  </m:sub>
                  <m:sup>
                    <m:r>
                      <m:rPr>
                        <m:nor/>
                      </m:rPr>
                      <w:rPr>
                        <w:color w:val="000000"/>
                      </w:rPr>
                      <m:t>0,4 кВ и ниже</m:t>
                    </m:r>
                  </m:sup>
                </m:sSubSup>
              </m:oMath>
            </m:oMathPara>
          </w:p>
        </w:tc>
        <w:tc>
          <w:tcPr>
            <w:tcW w:w="1601" w:type="pct"/>
            <w:vMerge w:val="restart"/>
            <w:shd w:val="clear" w:color="auto" w:fill="auto"/>
            <w:vAlign w:val="center"/>
            <w:hideMark/>
          </w:tcPr>
          <w:p w14:paraId="13844FD8" w14:textId="77777777" w:rsidR="008F3544" w:rsidRPr="00735CC9" w:rsidRDefault="008F3544" w:rsidP="0099088D">
            <w:pPr>
              <w:rPr>
                <w:color w:val="000000"/>
                <w:sz w:val="16"/>
                <w:szCs w:val="16"/>
              </w:rPr>
            </w:pPr>
            <w:r w:rsidRPr="00735CC9">
              <w:rPr>
                <w:color w:val="000000"/>
                <w:sz w:val="16"/>
                <w:szCs w:val="16"/>
              </w:rPr>
              <w:t>кабельные линии в траншеях многожильные с резиновой или пластмассовой изоляцией сечением провода от 50 до 100 квадратных мм включительно с одним кабелем в траншее</w:t>
            </w:r>
          </w:p>
        </w:tc>
        <w:tc>
          <w:tcPr>
            <w:tcW w:w="518" w:type="pct"/>
            <w:vMerge w:val="restart"/>
            <w:shd w:val="clear" w:color="auto" w:fill="auto"/>
            <w:vAlign w:val="center"/>
            <w:hideMark/>
          </w:tcPr>
          <w:p w14:paraId="55F7DE6B" w14:textId="77777777" w:rsidR="008F3544" w:rsidRPr="00735CC9" w:rsidRDefault="008F3544" w:rsidP="0099088D">
            <w:pPr>
              <w:jc w:val="center"/>
              <w:rPr>
                <w:color w:val="000000"/>
                <w:sz w:val="16"/>
                <w:szCs w:val="16"/>
              </w:rPr>
            </w:pPr>
            <w:r w:rsidRPr="00735CC9">
              <w:rPr>
                <w:color w:val="000000"/>
                <w:sz w:val="16"/>
                <w:szCs w:val="16"/>
              </w:rPr>
              <w:t>рублей/кВт</w:t>
            </w:r>
          </w:p>
        </w:tc>
        <w:tc>
          <w:tcPr>
            <w:tcW w:w="582" w:type="pct"/>
            <w:shd w:val="clear" w:color="auto" w:fill="auto"/>
            <w:noWrap/>
            <w:vAlign w:val="center"/>
          </w:tcPr>
          <w:p w14:paraId="211C9D9E" w14:textId="77777777" w:rsidR="008F3544" w:rsidRPr="00735CC9" w:rsidRDefault="008F3544" w:rsidP="0099088D">
            <w:pPr>
              <w:jc w:val="center"/>
              <w:rPr>
                <w:color w:val="000000"/>
                <w:sz w:val="16"/>
                <w:szCs w:val="16"/>
              </w:rPr>
            </w:pPr>
            <w:r w:rsidRPr="000E7E19">
              <w:rPr>
                <w:color w:val="000000"/>
                <w:sz w:val="16"/>
                <w:szCs w:val="16"/>
              </w:rPr>
              <w:t>6 809,04</w:t>
            </w:r>
          </w:p>
        </w:tc>
        <w:tc>
          <w:tcPr>
            <w:tcW w:w="576" w:type="pct"/>
            <w:shd w:val="clear" w:color="auto" w:fill="auto"/>
            <w:noWrap/>
            <w:vAlign w:val="center"/>
          </w:tcPr>
          <w:p w14:paraId="61D77BB5" w14:textId="77777777" w:rsidR="008F3544" w:rsidRPr="00735CC9" w:rsidRDefault="008F3544" w:rsidP="0099088D">
            <w:pPr>
              <w:jc w:val="center"/>
              <w:rPr>
                <w:color w:val="000000"/>
                <w:sz w:val="16"/>
                <w:szCs w:val="16"/>
              </w:rPr>
            </w:pPr>
            <w:r w:rsidRPr="000E7E19">
              <w:rPr>
                <w:color w:val="000000"/>
                <w:sz w:val="16"/>
                <w:szCs w:val="16"/>
              </w:rPr>
              <w:t>6 152,48</w:t>
            </w:r>
          </w:p>
        </w:tc>
      </w:tr>
      <w:tr w:rsidR="008F3544" w:rsidRPr="00735CC9" w14:paraId="5089767B" w14:textId="77777777" w:rsidTr="0099088D">
        <w:trPr>
          <w:trHeight w:val="465"/>
        </w:trPr>
        <w:tc>
          <w:tcPr>
            <w:tcW w:w="729" w:type="pct"/>
            <w:vMerge/>
            <w:shd w:val="clear" w:color="auto" w:fill="auto"/>
            <w:vAlign w:val="center"/>
            <w:hideMark/>
          </w:tcPr>
          <w:p w14:paraId="14B77FBB" w14:textId="77777777" w:rsidR="008F3544" w:rsidRPr="00735CC9" w:rsidRDefault="008F3544" w:rsidP="0099088D">
            <w:pPr>
              <w:rPr>
                <w:color w:val="000000"/>
                <w:sz w:val="16"/>
                <w:szCs w:val="16"/>
              </w:rPr>
            </w:pPr>
          </w:p>
        </w:tc>
        <w:tc>
          <w:tcPr>
            <w:tcW w:w="994" w:type="pct"/>
            <w:shd w:val="clear" w:color="auto" w:fill="auto"/>
            <w:vAlign w:val="center"/>
            <w:hideMark/>
          </w:tcPr>
          <w:p w14:paraId="5EABDD3B" w14:textId="77777777" w:rsidR="008F3544" w:rsidRPr="00D62067"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lang w:val="en-US"/>
                      </w:rPr>
                      <m:t>max</m:t>
                    </m:r>
                    <m:r>
                      <m:rPr>
                        <m:nor/>
                      </m:rPr>
                      <w:rPr>
                        <w:color w:val="000000"/>
                      </w:rPr>
                      <m:t xml:space="preserve"> </m:t>
                    </m:r>
                    <m:r>
                      <m:rPr>
                        <m:nor/>
                      </m:rPr>
                      <w:rPr>
                        <w:color w:val="000000"/>
                        <w:lang w:val="en-US"/>
                      </w:rPr>
                      <m:t>N</m:t>
                    </m:r>
                    <m:r>
                      <m:rPr>
                        <m:nor/>
                      </m:rPr>
                      <w:rPr>
                        <w:color w:val="000000"/>
                      </w:rPr>
                      <m:t xml:space="preserve"> 3.1.2.1.2.1.</m:t>
                    </m:r>
                  </m:sub>
                  <m:sup>
                    <m:r>
                      <m:rPr>
                        <m:nor/>
                      </m:rPr>
                      <w:rPr>
                        <w:color w:val="000000"/>
                      </w:rPr>
                      <m:t>1-10 кВ</m:t>
                    </m:r>
                  </m:sup>
                </m:sSubSup>
              </m:oMath>
            </m:oMathPara>
          </w:p>
        </w:tc>
        <w:tc>
          <w:tcPr>
            <w:tcW w:w="1601" w:type="pct"/>
            <w:vMerge/>
            <w:shd w:val="clear" w:color="auto" w:fill="auto"/>
            <w:vAlign w:val="center"/>
            <w:hideMark/>
          </w:tcPr>
          <w:p w14:paraId="02531866" w14:textId="77777777" w:rsidR="008F3544" w:rsidRPr="00735CC9" w:rsidRDefault="008F3544" w:rsidP="0099088D">
            <w:pPr>
              <w:rPr>
                <w:color w:val="000000"/>
                <w:sz w:val="16"/>
                <w:szCs w:val="16"/>
              </w:rPr>
            </w:pPr>
          </w:p>
        </w:tc>
        <w:tc>
          <w:tcPr>
            <w:tcW w:w="518" w:type="pct"/>
            <w:vMerge/>
            <w:shd w:val="clear" w:color="auto" w:fill="auto"/>
            <w:vAlign w:val="center"/>
            <w:hideMark/>
          </w:tcPr>
          <w:p w14:paraId="48DBAD1D" w14:textId="77777777" w:rsidR="008F3544" w:rsidRPr="00735CC9" w:rsidRDefault="008F3544" w:rsidP="0099088D">
            <w:pPr>
              <w:rPr>
                <w:color w:val="000000"/>
                <w:sz w:val="16"/>
                <w:szCs w:val="16"/>
              </w:rPr>
            </w:pPr>
          </w:p>
        </w:tc>
        <w:tc>
          <w:tcPr>
            <w:tcW w:w="582" w:type="pct"/>
            <w:shd w:val="clear" w:color="auto" w:fill="auto"/>
            <w:noWrap/>
            <w:vAlign w:val="center"/>
          </w:tcPr>
          <w:p w14:paraId="2E8D03E3" w14:textId="77777777" w:rsidR="008F3544" w:rsidRPr="00735CC9" w:rsidRDefault="008F3544" w:rsidP="0099088D">
            <w:pPr>
              <w:jc w:val="center"/>
              <w:rPr>
                <w:color w:val="000000"/>
                <w:sz w:val="16"/>
                <w:szCs w:val="16"/>
              </w:rPr>
            </w:pPr>
            <w:r w:rsidRPr="000E7E19">
              <w:rPr>
                <w:color w:val="000000"/>
                <w:sz w:val="16"/>
                <w:szCs w:val="16"/>
              </w:rPr>
              <w:t>8 228,87</w:t>
            </w:r>
          </w:p>
        </w:tc>
        <w:tc>
          <w:tcPr>
            <w:tcW w:w="576" w:type="pct"/>
            <w:shd w:val="clear" w:color="auto" w:fill="auto"/>
            <w:noWrap/>
            <w:vAlign w:val="center"/>
          </w:tcPr>
          <w:p w14:paraId="72DAD77B" w14:textId="77777777" w:rsidR="008F3544" w:rsidRPr="00735CC9" w:rsidRDefault="008F3544" w:rsidP="0099088D">
            <w:pPr>
              <w:jc w:val="center"/>
              <w:rPr>
                <w:color w:val="000000"/>
                <w:sz w:val="16"/>
                <w:szCs w:val="16"/>
              </w:rPr>
            </w:pPr>
            <w:r w:rsidRPr="000E7E19">
              <w:rPr>
                <w:color w:val="000000"/>
                <w:sz w:val="16"/>
                <w:szCs w:val="16"/>
              </w:rPr>
              <w:t>7 779,04</w:t>
            </w:r>
          </w:p>
        </w:tc>
      </w:tr>
      <w:tr w:rsidR="008F3544" w:rsidRPr="00735CC9" w14:paraId="426C76D0" w14:textId="77777777" w:rsidTr="0099088D">
        <w:trPr>
          <w:trHeight w:val="465"/>
        </w:trPr>
        <w:tc>
          <w:tcPr>
            <w:tcW w:w="729" w:type="pct"/>
            <w:vMerge w:val="restart"/>
            <w:shd w:val="clear" w:color="auto" w:fill="auto"/>
            <w:vAlign w:val="center"/>
            <w:hideMark/>
          </w:tcPr>
          <w:p w14:paraId="44931CA2" w14:textId="77777777" w:rsidR="008F3544" w:rsidRPr="00735CC9" w:rsidRDefault="008F3544" w:rsidP="0099088D">
            <w:pPr>
              <w:jc w:val="center"/>
              <w:rPr>
                <w:color w:val="000000"/>
                <w:sz w:val="16"/>
                <w:szCs w:val="16"/>
              </w:rPr>
            </w:pPr>
            <w:r w:rsidRPr="00735CC9">
              <w:rPr>
                <w:color w:val="000000"/>
                <w:sz w:val="16"/>
                <w:szCs w:val="16"/>
              </w:rPr>
              <w:t>3.1.2.1.2.2.</w:t>
            </w:r>
          </w:p>
        </w:tc>
        <w:tc>
          <w:tcPr>
            <w:tcW w:w="994" w:type="pct"/>
            <w:shd w:val="clear" w:color="auto" w:fill="auto"/>
            <w:vAlign w:val="center"/>
            <w:hideMark/>
          </w:tcPr>
          <w:p w14:paraId="5ABE456C" w14:textId="77777777" w:rsidR="008F3544" w:rsidRPr="009E69B0"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lang w:val="en-US"/>
                      </w:rPr>
                      <m:t>max</m:t>
                    </m:r>
                    <m:r>
                      <m:rPr>
                        <m:nor/>
                      </m:rPr>
                      <w:rPr>
                        <w:color w:val="000000"/>
                      </w:rPr>
                      <m:t xml:space="preserve"> </m:t>
                    </m:r>
                    <m:r>
                      <m:rPr>
                        <m:nor/>
                      </m:rPr>
                      <w:rPr>
                        <w:color w:val="000000"/>
                        <w:lang w:val="en-US"/>
                      </w:rPr>
                      <m:t>N</m:t>
                    </m:r>
                    <m:r>
                      <m:rPr>
                        <m:nor/>
                      </m:rPr>
                      <w:rPr>
                        <w:color w:val="000000"/>
                      </w:rPr>
                      <m:t xml:space="preserve"> 3.1.2.1.2.2.</m:t>
                    </m:r>
                  </m:sub>
                  <m:sup>
                    <m:r>
                      <m:rPr>
                        <m:nor/>
                      </m:rPr>
                      <w:rPr>
                        <w:color w:val="000000"/>
                      </w:rPr>
                      <m:t>0,4 кВ и ниже</m:t>
                    </m:r>
                  </m:sup>
                </m:sSubSup>
              </m:oMath>
            </m:oMathPara>
          </w:p>
        </w:tc>
        <w:tc>
          <w:tcPr>
            <w:tcW w:w="1601" w:type="pct"/>
            <w:vMerge w:val="restart"/>
            <w:shd w:val="clear" w:color="auto" w:fill="auto"/>
            <w:vAlign w:val="center"/>
            <w:hideMark/>
          </w:tcPr>
          <w:p w14:paraId="507A2084" w14:textId="77777777" w:rsidR="008F3544" w:rsidRPr="00735CC9" w:rsidRDefault="008F3544" w:rsidP="0099088D">
            <w:pPr>
              <w:rPr>
                <w:color w:val="000000"/>
                <w:sz w:val="16"/>
                <w:szCs w:val="16"/>
              </w:rPr>
            </w:pPr>
            <w:r w:rsidRPr="00735CC9">
              <w:rPr>
                <w:color w:val="000000"/>
                <w:sz w:val="16"/>
                <w:szCs w:val="16"/>
              </w:rPr>
              <w:t>кабельные линии в траншеях многожильные с резиновой или пластмассовой изоляцией сечением провода от 50 до 100 квадратных мм включительно с двумя кабелями в траншее</w:t>
            </w:r>
          </w:p>
        </w:tc>
        <w:tc>
          <w:tcPr>
            <w:tcW w:w="518" w:type="pct"/>
            <w:vMerge w:val="restart"/>
            <w:shd w:val="clear" w:color="auto" w:fill="auto"/>
            <w:vAlign w:val="center"/>
            <w:hideMark/>
          </w:tcPr>
          <w:p w14:paraId="783E5173" w14:textId="77777777" w:rsidR="008F3544" w:rsidRPr="00735CC9" w:rsidRDefault="008F3544" w:rsidP="0099088D">
            <w:pPr>
              <w:jc w:val="center"/>
              <w:rPr>
                <w:color w:val="000000"/>
                <w:sz w:val="16"/>
                <w:szCs w:val="16"/>
              </w:rPr>
            </w:pPr>
            <w:r w:rsidRPr="00735CC9">
              <w:rPr>
                <w:color w:val="000000"/>
                <w:sz w:val="16"/>
                <w:szCs w:val="16"/>
              </w:rPr>
              <w:t>рублей/кВт</w:t>
            </w:r>
          </w:p>
        </w:tc>
        <w:tc>
          <w:tcPr>
            <w:tcW w:w="582" w:type="pct"/>
            <w:shd w:val="clear" w:color="auto" w:fill="auto"/>
            <w:noWrap/>
            <w:vAlign w:val="center"/>
          </w:tcPr>
          <w:p w14:paraId="09C79F64" w14:textId="77777777" w:rsidR="008F3544" w:rsidRPr="00735CC9" w:rsidRDefault="008F3544" w:rsidP="0099088D">
            <w:pPr>
              <w:jc w:val="center"/>
              <w:rPr>
                <w:color w:val="000000"/>
                <w:sz w:val="16"/>
                <w:szCs w:val="16"/>
              </w:rPr>
            </w:pPr>
            <w:r w:rsidRPr="000E7E19">
              <w:rPr>
                <w:color w:val="000000"/>
                <w:sz w:val="16"/>
                <w:szCs w:val="16"/>
              </w:rPr>
              <w:t>7 189,05</w:t>
            </w:r>
          </w:p>
        </w:tc>
        <w:tc>
          <w:tcPr>
            <w:tcW w:w="576" w:type="pct"/>
            <w:shd w:val="clear" w:color="auto" w:fill="auto"/>
            <w:noWrap/>
            <w:vAlign w:val="center"/>
          </w:tcPr>
          <w:p w14:paraId="4A3A877C" w14:textId="77777777" w:rsidR="008F3544" w:rsidRPr="00735CC9" w:rsidRDefault="008F3544" w:rsidP="0099088D">
            <w:pPr>
              <w:jc w:val="center"/>
              <w:rPr>
                <w:color w:val="000000"/>
                <w:sz w:val="16"/>
                <w:szCs w:val="16"/>
              </w:rPr>
            </w:pPr>
            <w:r w:rsidRPr="000E7E19">
              <w:rPr>
                <w:color w:val="000000"/>
                <w:sz w:val="16"/>
                <w:szCs w:val="16"/>
              </w:rPr>
              <w:t>6 649,30</w:t>
            </w:r>
          </w:p>
        </w:tc>
      </w:tr>
      <w:tr w:rsidR="008F3544" w:rsidRPr="00735CC9" w14:paraId="69FD5BF5" w14:textId="77777777" w:rsidTr="0099088D">
        <w:trPr>
          <w:trHeight w:val="465"/>
        </w:trPr>
        <w:tc>
          <w:tcPr>
            <w:tcW w:w="729" w:type="pct"/>
            <w:vMerge/>
            <w:shd w:val="clear" w:color="auto" w:fill="auto"/>
            <w:vAlign w:val="center"/>
            <w:hideMark/>
          </w:tcPr>
          <w:p w14:paraId="5616F070" w14:textId="77777777" w:rsidR="008F3544" w:rsidRPr="00735CC9" w:rsidRDefault="008F3544" w:rsidP="0099088D">
            <w:pPr>
              <w:rPr>
                <w:color w:val="000000"/>
                <w:sz w:val="16"/>
                <w:szCs w:val="16"/>
              </w:rPr>
            </w:pPr>
          </w:p>
        </w:tc>
        <w:tc>
          <w:tcPr>
            <w:tcW w:w="994" w:type="pct"/>
            <w:shd w:val="clear" w:color="auto" w:fill="auto"/>
            <w:vAlign w:val="center"/>
            <w:hideMark/>
          </w:tcPr>
          <w:p w14:paraId="4912E196" w14:textId="77777777" w:rsidR="008F3544" w:rsidRPr="00D62067"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lang w:val="en-US"/>
                      </w:rPr>
                      <m:t>max</m:t>
                    </m:r>
                    <m:r>
                      <m:rPr>
                        <m:nor/>
                      </m:rPr>
                      <w:rPr>
                        <w:color w:val="000000"/>
                      </w:rPr>
                      <m:t xml:space="preserve"> </m:t>
                    </m:r>
                    <m:r>
                      <m:rPr>
                        <m:nor/>
                      </m:rPr>
                      <w:rPr>
                        <w:color w:val="000000"/>
                        <w:lang w:val="en-US"/>
                      </w:rPr>
                      <m:t>N</m:t>
                    </m:r>
                    <m:r>
                      <m:rPr>
                        <m:nor/>
                      </m:rPr>
                      <w:rPr>
                        <w:color w:val="000000"/>
                      </w:rPr>
                      <m:t xml:space="preserve"> 3.1.2.1.2.2.</m:t>
                    </m:r>
                  </m:sub>
                  <m:sup>
                    <m:r>
                      <m:rPr>
                        <m:nor/>
                      </m:rPr>
                      <w:rPr>
                        <w:color w:val="000000"/>
                      </w:rPr>
                      <m:t>1-10 кВ</m:t>
                    </m:r>
                  </m:sup>
                </m:sSubSup>
              </m:oMath>
            </m:oMathPara>
          </w:p>
        </w:tc>
        <w:tc>
          <w:tcPr>
            <w:tcW w:w="1601" w:type="pct"/>
            <w:vMerge/>
            <w:shd w:val="clear" w:color="auto" w:fill="auto"/>
            <w:vAlign w:val="center"/>
            <w:hideMark/>
          </w:tcPr>
          <w:p w14:paraId="74651CB8" w14:textId="77777777" w:rsidR="008F3544" w:rsidRPr="00735CC9" w:rsidRDefault="008F3544" w:rsidP="0099088D">
            <w:pPr>
              <w:rPr>
                <w:color w:val="000000"/>
                <w:sz w:val="16"/>
                <w:szCs w:val="16"/>
              </w:rPr>
            </w:pPr>
          </w:p>
        </w:tc>
        <w:tc>
          <w:tcPr>
            <w:tcW w:w="518" w:type="pct"/>
            <w:vMerge/>
            <w:shd w:val="clear" w:color="auto" w:fill="auto"/>
            <w:vAlign w:val="center"/>
            <w:hideMark/>
          </w:tcPr>
          <w:p w14:paraId="660BA7E4" w14:textId="77777777" w:rsidR="008F3544" w:rsidRPr="00735CC9" w:rsidRDefault="008F3544" w:rsidP="0099088D">
            <w:pPr>
              <w:rPr>
                <w:color w:val="000000"/>
                <w:sz w:val="16"/>
                <w:szCs w:val="16"/>
              </w:rPr>
            </w:pPr>
          </w:p>
        </w:tc>
        <w:tc>
          <w:tcPr>
            <w:tcW w:w="582" w:type="pct"/>
            <w:shd w:val="clear" w:color="auto" w:fill="auto"/>
            <w:noWrap/>
            <w:vAlign w:val="center"/>
          </w:tcPr>
          <w:p w14:paraId="6834C924" w14:textId="77777777" w:rsidR="008F3544" w:rsidRPr="00735CC9" w:rsidRDefault="008F3544" w:rsidP="0099088D">
            <w:pPr>
              <w:jc w:val="center"/>
              <w:rPr>
                <w:color w:val="000000"/>
                <w:sz w:val="16"/>
                <w:szCs w:val="16"/>
              </w:rPr>
            </w:pPr>
            <w:r w:rsidRPr="000E7E19">
              <w:rPr>
                <w:color w:val="000000"/>
                <w:sz w:val="16"/>
                <w:szCs w:val="16"/>
              </w:rPr>
              <w:t>8 925,27</w:t>
            </w:r>
          </w:p>
        </w:tc>
        <w:tc>
          <w:tcPr>
            <w:tcW w:w="576" w:type="pct"/>
            <w:shd w:val="clear" w:color="auto" w:fill="auto"/>
            <w:noWrap/>
            <w:vAlign w:val="center"/>
          </w:tcPr>
          <w:p w14:paraId="4C1558D2" w14:textId="77777777" w:rsidR="008F3544" w:rsidRPr="00735CC9" w:rsidRDefault="008F3544" w:rsidP="0099088D">
            <w:pPr>
              <w:jc w:val="center"/>
              <w:rPr>
                <w:color w:val="000000"/>
                <w:sz w:val="16"/>
                <w:szCs w:val="16"/>
              </w:rPr>
            </w:pPr>
            <w:r>
              <w:rPr>
                <w:color w:val="000000"/>
                <w:sz w:val="16"/>
                <w:szCs w:val="16"/>
              </w:rPr>
              <w:t>-</w:t>
            </w:r>
          </w:p>
        </w:tc>
      </w:tr>
      <w:tr w:rsidR="008F3544" w:rsidRPr="00735CC9" w14:paraId="59D21BFB" w14:textId="77777777" w:rsidTr="0099088D">
        <w:trPr>
          <w:trHeight w:val="465"/>
        </w:trPr>
        <w:tc>
          <w:tcPr>
            <w:tcW w:w="729" w:type="pct"/>
            <w:vMerge w:val="restart"/>
            <w:shd w:val="clear" w:color="auto" w:fill="auto"/>
            <w:vAlign w:val="center"/>
            <w:hideMark/>
          </w:tcPr>
          <w:p w14:paraId="37BDC6E2" w14:textId="77777777" w:rsidR="008F3544" w:rsidRPr="00735CC9" w:rsidRDefault="008F3544" w:rsidP="0099088D">
            <w:pPr>
              <w:jc w:val="center"/>
              <w:rPr>
                <w:color w:val="000000"/>
                <w:sz w:val="16"/>
                <w:szCs w:val="16"/>
              </w:rPr>
            </w:pPr>
            <w:r w:rsidRPr="00735CC9">
              <w:rPr>
                <w:color w:val="000000"/>
                <w:sz w:val="16"/>
                <w:szCs w:val="16"/>
              </w:rPr>
              <w:t>3.1.2.1.3.1.</w:t>
            </w:r>
          </w:p>
        </w:tc>
        <w:tc>
          <w:tcPr>
            <w:tcW w:w="994" w:type="pct"/>
            <w:shd w:val="clear" w:color="auto" w:fill="auto"/>
            <w:vAlign w:val="center"/>
            <w:hideMark/>
          </w:tcPr>
          <w:p w14:paraId="06838FC4" w14:textId="77777777" w:rsidR="008F3544" w:rsidRPr="009E69B0"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lang w:val="en-US"/>
                      </w:rPr>
                      <m:t>max</m:t>
                    </m:r>
                    <m:r>
                      <m:rPr>
                        <m:nor/>
                      </m:rPr>
                      <w:rPr>
                        <w:color w:val="000000"/>
                      </w:rPr>
                      <m:t xml:space="preserve"> </m:t>
                    </m:r>
                    <m:r>
                      <m:rPr>
                        <m:nor/>
                      </m:rPr>
                      <w:rPr>
                        <w:color w:val="000000"/>
                        <w:lang w:val="en-US"/>
                      </w:rPr>
                      <m:t>N</m:t>
                    </m:r>
                    <m:r>
                      <m:rPr>
                        <m:nor/>
                      </m:rPr>
                      <w:rPr>
                        <w:color w:val="000000"/>
                      </w:rPr>
                      <m:t xml:space="preserve"> 3.1.2.1.3.1.</m:t>
                    </m:r>
                  </m:sub>
                  <m:sup>
                    <m:r>
                      <m:rPr>
                        <m:nor/>
                      </m:rPr>
                      <w:rPr>
                        <w:color w:val="000000"/>
                      </w:rPr>
                      <m:t>0,4 кВ и ниже</m:t>
                    </m:r>
                  </m:sup>
                </m:sSubSup>
              </m:oMath>
            </m:oMathPara>
          </w:p>
        </w:tc>
        <w:tc>
          <w:tcPr>
            <w:tcW w:w="1601" w:type="pct"/>
            <w:vMerge w:val="restart"/>
            <w:shd w:val="clear" w:color="auto" w:fill="auto"/>
            <w:vAlign w:val="center"/>
            <w:hideMark/>
          </w:tcPr>
          <w:p w14:paraId="002F0682" w14:textId="77777777" w:rsidR="008F3544" w:rsidRPr="00735CC9" w:rsidRDefault="008F3544" w:rsidP="0099088D">
            <w:pPr>
              <w:rPr>
                <w:color w:val="000000"/>
                <w:sz w:val="16"/>
                <w:szCs w:val="16"/>
              </w:rPr>
            </w:pPr>
            <w:r w:rsidRPr="00735CC9">
              <w:rPr>
                <w:color w:val="000000"/>
                <w:sz w:val="16"/>
                <w:szCs w:val="16"/>
              </w:rPr>
              <w:t>кабельные линии в траншеях многожильные с резиновой или пластмассовой изоляцией сечением провода от 100 до 200 квадратных мм включительно с одним кабелем в траншее</w:t>
            </w:r>
          </w:p>
        </w:tc>
        <w:tc>
          <w:tcPr>
            <w:tcW w:w="518" w:type="pct"/>
            <w:vMerge w:val="restart"/>
            <w:shd w:val="clear" w:color="auto" w:fill="auto"/>
            <w:vAlign w:val="center"/>
            <w:hideMark/>
          </w:tcPr>
          <w:p w14:paraId="27195476" w14:textId="77777777" w:rsidR="008F3544" w:rsidRPr="00735CC9" w:rsidRDefault="008F3544" w:rsidP="0099088D">
            <w:pPr>
              <w:jc w:val="center"/>
              <w:rPr>
                <w:color w:val="000000"/>
                <w:sz w:val="16"/>
                <w:szCs w:val="16"/>
              </w:rPr>
            </w:pPr>
            <w:r w:rsidRPr="00735CC9">
              <w:rPr>
                <w:color w:val="000000"/>
                <w:sz w:val="16"/>
                <w:szCs w:val="16"/>
              </w:rPr>
              <w:t>рублей/кВт</w:t>
            </w:r>
          </w:p>
        </w:tc>
        <w:tc>
          <w:tcPr>
            <w:tcW w:w="582" w:type="pct"/>
            <w:shd w:val="clear" w:color="auto" w:fill="auto"/>
            <w:noWrap/>
            <w:vAlign w:val="center"/>
          </w:tcPr>
          <w:p w14:paraId="11CA054B" w14:textId="77777777" w:rsidR="008F3544" w:rsidRPr="00735CC9" w:rsidRDefault="008F3544" w:rsidP="0099088D">
            <w:pPr>
              <w:jc w:val="center"/>
              <w:rPr>
                <w:color w:val="000000"/>
                <w:sz w:val="16"/>
                <w:szCs w:val="16"/>
              </w:rPr>
            </w:pPr>
            <w:r w:rsidRPr="000E7E19">
              <w:rPr>
                <w:color w:val="000000"/>
                <w:sz w:val="16"/>
                <w:szCs w:val="16"/>
              </w:rPr>
              <w:t>7 184,34</w:t>
            </w:r>
          </w:p>
        </w:tc>
        <w:tc>
          <w:tcPr>
            <w:tcW w:w="576" w:type="pct"/>
            <w:shd w:val="clear" w:color="auto" w:fill="auto"/>
            <w:noWrap/>
            <w:vAlign w:val="center"/>
          </w:tcPr>
          <w:p w14:paraId="0E39C89E" w14:textId="77777777" w:rsidR="008F3544" w:rsidRPr="00735CC9" w:rsidRDefault="008F3544" w:rsidP="0099088D">
            <w:pPr>
              <w:jc w:val="center"/>
              <w:rPr>
                <w:color w:val="000000"/>
                <w:sz w:val="16"/>
                <w:szCs w:val="16"/>
              </w:rPr>
            </w:pPr>
            <w:r w:rsidRPr="000E7E19">
              <w:rPr>
                <w:color w:val="000000"/>
                <w:sz w:val="16"/>
                <w:szCs w:val="16"/>
              </w:rPr>
              <w:t>6 612,59</w:t>
            </w:r>
          </w:p>
        </w:tc>
      </w:tr>
      <w:tr w:rsidR="008F3544" w:rsidRPr="00735CC9" w14:paraId="1D85472D" w14:textId="77777777" w:rsidTr="0099088D">
        <w:trPr>
          <w:trHeight w:val="465"/>
        </w:trPr>
        <w:tc>
          <w:tcPr>
            <w:tcW w:w="729" w:type="pct"/>
            <w:vMerge/>
            <w:shd w:val="clear" w:color="auto" w:fill="auto"/>
            <w:vAlign w:val="center"/>
            <w:hideMark/>
          </w:tcPr>
          <w:p w14:paraId="6C884A11" w14:textId="77777777" w:rsidR="008F3544" w:rsidRPr="00735CC9" w:rsidRDefault="008F3544" w:rsidP="0099088D">
            <w:pPr>
              <w:rPr>
                <w:color w:val="000000"/>
                <w:sz w:val="16"/>
                <w:szCs w:val="16"/>
              </w:rPr>
            </w:pPr>
          </w:p>
        </w:tc>
        <w:tc>
          <w:tcPr>
            <w:tcW w:w="994" w:type="pct"/>
            <w:shd w:val="clear" w:color="auto" w:fill="auto"/>
            <w:vAlign w:val="center"/>
            <w:hideMark/>
          </w:tcPr>
          <w:p w14:paraId="438E5EDE" w14:textId="77777777" w:rsidR="008F3544" w:rsidRPr="00D62067"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lang w:val="en-US"/>
                      </w:rPr>
                      <m:t>max</m:t>
                    </m:r>
                    <m:r>
                      <m:rPr>
                        <m:nor/>
                      </m:rPr>
                      <w:rPr>
                        <w:color w:val="000000"/>
                      </w:rPr>
                      <m:t xml:space="preserve"> </m:t>
                    </m:r>
                    <m:r>
                      <m:rPr>
                        <m:nor/>
                      </m:rPr>
                      <w:rPr>
                        <w:color w:val="000000"/>
                        <w:lang w:val="en-US"/>
                      </w:rPr>
                      <m:t>N</m:t>
                    </m:r>
                    <m:r>
                      <m:rPr>
                        <m:nor/>
                      </m:rPr>
                      <w:rPr>
                        <w:color w:val="000000"/>
                      </w:rPr>
                      <m:t xml:space="preserve"> 3.1.2.1.3.1.</m:t>
                    </m:r>
                  </m:sub>
                  <m:sup>
                    <m:r>
                      <m:rPr>
                        <m:nor/>
                      </m:rPr>
                      <w:rPr>
                        <w:color w:val="000000"/>
                      </w:rPr>
                      <m:t>1-10 кВ</m:t>
                    </m:r>
                  </m:sup>
                </m:sSubSup>
              </m:oMath>
            </m:oMathPara>
          </w:p>
        </w:tc>
        <w:tc>
          <w:tcPr>
            <w:tcW w:w="1601" w:type="pct"/>
            <w:vMerge/>
            <w:shd w:val="clear" w:color="auto" w:fill="auto"/>
            <w:vAlign w:val="center"/>
            <w:hideMark/>
          </w:tcPr>
          <w:p w14:paraId="47DA4BAE" w14:textId="77777777" w:rsidR="008F3544" w:rsidRPr="00735CC9" w:rsidRDefault="008F3544" w:rsidP="0099088D">
            <w:pPr>
              <w:rPr>
                <w:color w:val="000000"/>
                <w:sz w:val="16"/>
                <w:szCs w:val="16"/>
              </w:rPr>
            </w:pPr>
          </w:p>
        </w:tc>
        <w:tc>
          <w:tcPr>
            <w:tcW w:w="518" w:type="pct"/>
            <w:vMerge/>
            <w:shd w:val="clear" w:color="auto" w:fill="auto"/>
            <w:vAlign w:val="center"/>
            <w:hideMark/>
          </w:tcPr>
          <w:p w14:paraId="1C9634AB" w14:textId="77777777" w:rsidR="008F3544" w:rsidRPr="00735CC9" w:rsidRDefault="008F3544" w:rsidP="0099088D">
            <w:pPr>
              <w:rPr>
                <w:color w:val="000000"/>
                <w:sz w:val="16"/>
                <w:szCs w:val="16"/>
              </w:rPr>
            </w:pPr>
          </w:p>
        </w:tc>
        <w:tc>
          <w:tcPr>
            <w:tcW w:w="582" w:type="pct"/>
            <w:shd w:val="clear" w:color="auto" w:fill="auto"/>
            <w:noWrap/>
            <w:vAlign w:val="center"/>
          </w:tcPr>
          <w:p w14:paraId="496F5186" w14:textId="77777777" w:rsidR="008F3544" w:rsidRPr="00735CC9" w:rsidRDefault="008F3544" w:rsidP="0099088D">
            <w:pPr>
              <w:jc w:val="center"/>
              <w:rPr>
                <w:color w:val="000000"/>
                <w:sz w:val="16"/>
                <w:szCs w:val="16"/>
              </w:rPr>
            </w:pPr>
            <w:r w:rsidRPr="000E7E19">
              <w:rPr>
                <w:color w:val="000000"/>
                <w:sz w:val="16"/>
                <w:szCs w:val="16"/>
              </w:rPr>
              <w:t>10 325,13</w:t>
            </w:r>
          </w:p>
        </w:tc>
        <w:tc>
          <w:tcPr>
            <w:tcW w:w="576" w:type="pct"/>
            <w:shd w:val="clear" w:color="auto" w:fill="auto"/>
            <w:noWrap/>
            <w:vAlign w:val="center"/>
          </w:tcPr>
          <w:p w14:paraId="4E974D82" w14:textId="77777777" w:rsidR="008F3544" w:rsidRPr="00735CC9" w:rsidRDefault="008F3544" w:rsidP="0099088D">
            <w:pPr>
              <w:jc w:val="center"/>
              <w:rPr>
                <w:color w:val="000000"/>
                <w:sz w:val="16"/>
                <w:szCs w:val="16"/>
              </w:rPr>
            </w:pPr>
            <w:r w:rsidRPr="000E7E19">
              <w:rPr>
                <w:color w:val="000000"/>
                <w:sz w:val="16"/>
                <w:szCs w:val="16"/>
              </w:rPr>
              <w:t>9 594,44</w:t>
            </w:r>
          </w:p>
        </w:tc>
      </w:tr>
      <w:tr w:rsidR="008F3544" w:rsidRPr="00735CC9" w14:paraId="30D4AEF3" w14:textId="77777777" w:rsidTr="0099088D">
        <w:trPr>
          <w:trHeight w:val="465"/>
        </w:trPr>
        <w:tc>
          <w:tcPr>
            <w:tcW w:w="729" w:type="pct"/>
            <w:vMerge w:val="restart"/>
            <w:shd w:val="clear" w:color="auto" w:fill="auto"/>
            <w:vAlign w:val="center"/>
            <w:hideMark/>
          </w:tcPr>
          <w:p w14:paraId="1D083FC0" w14:textId="77777777" w:rsidR="008F3544" w:rsidRPr="00735CC9" w:rsidRDefault="008F3544" w:rsidP="0099088D">
            <w:pPr>
              <w:jc w:val="center"/>
              <w:rPr>
                <w:color w:val="000000"/>
                <w:sz w:val="16"/>
                <w:szCs w:val="16"/>
              </w:rPr>
            </w:pPr>
            <w:r w:rsidRPr="00735CC9">
              <w:rPr>
                <w:color w:val="000000"/>
                <w:sz w:val="16"/>
                <w:szCs w:val="16"/>
              </w:rPr>
              <w:t>3.1.2.1.3.2.</w:t>
            </w:r>
          </w:p>
        </w:tc>
        <w:tc>
          <w:tcPr>
            <w:tcW w:w="994" w:type="pct"/>
            <w:shd w:val="clear" w:color="auto" w:fill="auto"/>
            <w:vAlign w:val="center"/>
            <w:hideMark/>
          </w:tcPr>
          <w:p w14:paraId="60825747" w14:textId="77777777" w:rsidR="008F3544" w:rsidRPr="009E69B0"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lang w:val="en-US"/>
                      </w:rPr>
                      <m:t>max</m:t>
                    </m:r>
                    <m:r>
                      <m:rPr>
                        <m:nor/>
                      </m:rPr>
                      <w:rPr>
                        <w:color w:val="000000"/>
                      </w:rPr>
                      <m:t xml:space="preserve"> </m:t>
                    </m:r>
                    <m:r>
                      <m:rPr>
                        <m:nor/>
                      </m:rPr>
                      <w:rPr>
                        <w:color w:val="000000"/>
                        <w:lang w:val="en-US"/>
                      </w:rPr>
                      <m:t>N</m:t>
                    </m:r>
                    <m:r>
                      <m:rPr>
                        <m:nor/>
                      </m:rPr>
                      <w:rPr>
                        <w:color w:val="000000"/>
                      </w:rPr>
                      <m:t xml:space="preserve"> 3.1.2.1.3.2.</m:t>
                    </m:r>
                  </m:sub>
                  <m:sup>
                    <m:r>
                      <m:rPr>
                        <m:nor/>
                      </m:rPr>
                      <w:rPr>
                        <w:color w:val="000000"/>
                      </w:rPr>
                      <m:t>0,4 кВ и ниже</m:t>
                    </m:r>
                  </m:sup>
                </m:sSubSup>
              </m:oMath>
            </m:oMathPara>
          </w:p>
        </w:tc>
        <w:tc>
          <w:tcPr>
            <w:tcW w:w="1601" w:type="pct"/>
            <w:vMerge w:val="restart"/>
            <w:shd w:val="clear" w:color="auto" w:fill="auto"/>
            <w:vAlign w:val="center"/>
            <w:hideMark/>
          </w:tcPr>
          <w:p w14:paraId="035B3748" w14:textId="77777777" w:rsidR="008F3544" w:rsidRPr="00735CC9" w:rsidRDefault="008F3544" w:rsidP="0099088D">
            <w:pPr>
              <w:rPr>
                <w:color w:val="000000"/>
                <w:sz w:val="16"/>
                <w:szCs w:val="16"/>
              </w:rPr>
            </w:pPr>
            <w:r w:rsidRPr="00735CC9">
              <w:rPr>
                <w:color w:val="000000"/>
                <w:sz w:val="16"/>
                <w:szCs w:val="16"/>
              </w:rPr>
              <w:t>кабельные линии в траншеях многожильные с резиновой или пластмассовой изоляцией сечением провода от 100 до 200 квадратных мм включительно с двумя кабелями в траншее</w:t>
            </w:r>
          </w:p>
        </w:tc>
        <w:tc>
          <w:tcPr>
            <w:tcW w:w="518" w:type="pct"/>
            <w:vMerge w:val="restart"/>
            <w:shd w:val="clear" w:color="auto" w:fill="auto"/>
            <w:vAlign w:val="center"/>
            <w:hideMark/>
          </w:tcPr>
          <w:p w14:paraId="5D647BA1" w14:textId="77777777" w:rsidR="008F3544" w:rsidRPr="00735CC9" w:rsidRDefault="008F3544" w:rsidP="0099088D">
            <w:pPr>
              <w:jc w:val="center"/>
              <w:rPr>
                <w:color w:val="000000"/>
                <w:sz w:val="16"/>
                <w:szCs w:val="16"/>
              </w:rPr>
            </w:pPr>
            <w:r w:rsidRPr="00735CC9">
              <w:rPr>
                <w:color w:val="000000"/>
                <w:sz w:val="16"/>
                <w:szCs w:val="16"/>
              </w:rPr>
              <w:t>рублей/кВт</w:t>
            </w:r>
          </w:p>
        </w:tc>
        <w:tc>
          <w:tcPr>
            <w:tcW w:w="582" w:type="pct"/>
            <w:shd w:val="clear" w:color="auto" w:fill="auto"/>
            <w:noWrap/>
            <w:vAlign w:val="center"/>
          </w:tcPr>
          <w:p w14:paraId="72E7AB59" w14:textId="77777777" w:rsidR="008F3544" w:rsidRPr="00735CC9" w:rsidRDefault="008F3544" w:rsidP="0099088D">
            <w:pPr>
              <w:jc w:val="center"/>
              <w:rPr>
                <w:color w:val="000000"/>
                <w:sz w:val="16"/>
                <w:szCs w:val="16"/>
              </w:rPr>
            </w:pPr>
            <w:r w:rsidRPr="000E7E19">
              <w:rPr>
                <w:color w:val="000000"/>
                <w:sz w:val="16"/>
                <w:szCs w:val="16"/>
              </w:rPr>
              <w:t>11 147,24</w:t>
            </w:r>
          </w:p>
        </w:tc>
        <w:tc>
          <w:tcPr>
            <w:tcW w:w="576" w:type="pct"/>
            <w:shd w:val="clear" w:color="auto" w:fill="auto"/>
            <w:noWrap/>
            <w:vAlign w:val="center"/>
          </w:tcPr>
          <w:p w14:paraId="3CA569B2" w14:textId="77777777" w:rsidR="008F3544" w:rsidRPr="00735CC9" w:rsidRDefault="008F3544" w:rsidP="0099088D">
            <w:pPr>
              <w:jc w:val="center"/>
              <w:rPr>
                <w:color w:val="000000"/>
                <w:sz w:val="16"/>
                <w:szCs w:val="16"/>
              </w:rPr>
            </w:pPr>
            <w:r w:rsidRPr="000E7E19">
              <w:rPr>
                <w:color w:val="000000"/>
                <w:sz w:val="16"/>
                <w:szCs w:val="16"/>
              </w:rPr>
              <w:t>9 592,90</w:t>
            </w:r>
          </w:p>
        </w:tc>
      </w:tr>
      <w:tr w:rsidR="008F3544" w:rsidRPr="00735CC9" w14:paraId="577F2ABF" w14:textId="77777777" w:rsidTr="0099088D">
        <w:trPr>
          <w:trHeight w:val="465"/>
        </w:trPr>
        <w:tc>
          <w:tcPr>
            <w:tcW w:w="729" w:type="pct"/>
            <w:vMerge/>
            <w:shd w:val="clear" w:color="auto" w:fill="auto"/>
            <w:vAlign w:val="center"/>
            <w:hideMark/>
          </w:tcPr>
          <w:p w14:paraId="6A487F95" w14:textId="77777777" w:rsidR="008F3544" w:rsidRPr="00735CC9" w:rsidRDefault="008F3544" w:rsidP="0099088D">
            <w:pPr>
              <w:rPr>
                <w:color w:val="000000"/>
                <w:sz w:val="16"/>
                <w:szCs w:val="16"/>
              </w:rPr>
            </w:pPr>
          </w:p>
        </w:tc>
        <w:tc>
          <w:tcPr>
            <w:tcW w:w="994" w:type="pct"/>
            <w:shd w:val="clear" w:color="auto" w:fill="auto"/>
            <w:vAlign w:val="center"/>
            <w:hideMark/>
          </w:tcPr>
          <w:p w14:paraId="7A537920" w14:textId="77777777" w:rsidR="008F3544" w:rsidRPr="00D62067"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lang w:val="en-US"/>
                      </w:rPr>
                      <m:t>max</m:t>
                    </m:r>
                    <m:r>
                      <m:rPr>
                        <m:nor/>
                      </m:rPr>
                      <w:rPr>
                        <w:color w:val="000000"/>
                      </w:rPr>
                      <m:t xml:space="preserve"> </m:t>
                    </m:r>
                    <m:r>
                      <m:rPr>
                        <m:nor/>
                      </m:rPr>
                      <w:rPr>
                        <w:color w:val="000000"/>
                        <w:lang w:val="en-US"/>
                      </w:rPr>
                      <m:t>N</m:t>
                    </m:r>
                    <m:r>
                      <m:rPr>
                        <m:nor/>
                      </m:rPr>
                      <w:rPr>
                        <w:color w:val="000000"/>
                      </w:rPr>
                      <m:t xml:space="preserve"> 3.1.2.1.3.2.</m:t>
                    </m:r>
                  </m:sub>
                  <m:sup>
                    <m:r>
                      <m:rPr>
                        <m:nor/>
                      </m:rPr>
                      <w:rPr>
                        <w:color w:val="000000"/>
                      </w:rPr>
                      <m:t>1-10 кВ</m:t>
                    </m:r>
                  </m:sup>
                </m:sSubSup>
              </m:oMath>
            </m:oMathPara>
          </w:p>
        </w:tc>
        <w:tc>
          <w:tcPr>
            <w:tcW w:w="1601" w:type="pct"/>
            <w:vMerge/>
            <w:shd w:val="clear" w:color="auto" w:fill="auto"/>
            <w:vAlign w:val="center"/>
            <w:hideMark/>
          </w:tcPr>
          <w:p w14:paraId="6F5AC672" w14:textId="77777777" w:rsidR="008F3544" w:rsidRPr="00735CC9" w:rsidRDefault="008F3544" w:rsidP="0099088D">
            <w:pPr>
              <w:rPr>
                <w:color w:val="000000"/>
                <w:sz w:val="16"/>
                <w:szCs w:val="16"/>
              </w:rPr>
            </w:pPr>
          </w:p>
        </w:tc>
        <w:tc>
          <w:tcPr>
            <w:tcW w:w="518" w:type="pct"/>
            <w:vMerge/>
            <w:shd w:val="clear" w:color="auto" w:fill="auto"/>
            <w:vAlign w:val="center"/>
            <w:hideMark/>
          </w:tcPr>
          <w:p w14:paraId="087BED24" w14:textId="77777777" w:rsidR="008F3544" w:rsidRPr="00735CC9" w:rsidRDefault="008F3544" w:rsidP="0099088D">
            <w:pPr>
              <w:rPr>
                <w:color w:val="000000"/>
                <w:sz w:val="16"/>
                <w:szCs w:val="16"/>
              </w:rPr>
            </w:pPr>
          </w:p>
        </w:tc>
        <w:tc>
          <w:tcPr>
            <w:tcW w:w="582" w:type="pct"/>
            <w:shd w:val="clear" w:color="auto" w:fill="auto"/>
            <w:noWrap/>
            <w:vAlign w:val="center"/>
          </w:tcPr>
          <w:p w14:paraId="15453CF2" w14:textId="77777777" w:rsidR="008F3544" w:rsidRPr="00735CC9" w:rsidRDefault="008F3544" w:rsidP="0099088D">
            <w:pPr>
              <w:jc w:val="center"/>
              <w:rPr>
                <w:color w:val="000000"/>
                <w:sz w:val="16"/>
                <w:szCs w:val="16"/>
              </w:rPr>
            </w:pPr>
            <w:r w:rsidRPr="000E7E19">
              <w:rPr>
                <w:color w:val="000000"/>
                <w:sz w:val="16"/>
                <w:szCs w:val="16"/>
              </w:rPr>
              <w:t>12 171,87</w:t>
            </w:r>
          </w:p>
        </w:tc>
        <w:tc>
          <w:tcPr>
            <w:tcW w:w="576" w:type="pct"/>
            <w:shd w:val="clear" w:color="auto" w:fill="auto"/>
            <w:noWrap/>
            <w:vAlign w:val="center"/>
          </w:tcPr>
          <w:p w14:paraId="1C3FD29A" w14:textId="77777777" w:rsidR="008F3544" w:rsidRPr="00735CC9" w:rsidRDefault="008F3544" w:rsidP="0099088D">
            <w:pPr>
              <w:jc w:val="center"/>
              <w:rPr>
                <w:color w:val="000000"/>
                <w:sz w:val="16"/>
                <w:szCs w:val="16"/>
              </w:rPr>
            </w:pPr>
            <w:r>
              <w:rPr>
                <w:color w:val="000000"/>
                <w:sz w:val="16"/>
                <w:szCs w:val="16"/>
              </w:rPr>
              <w:t>-</w:t>
            </w:r>
          </w:p>
        </w:tc>
      </w:tr>
      <w:tr w:rsidR="008F3544" w:rsidRPr="00735CC9" w14:paraId="5A6F3F46" w14:textId="77777777" w:rsidTr="0099088D">
        <w:trPr>
          <w:trHeight w:val="450"/>
        </w:trPr>
        <w:tc>
          <w:tcPr>
            <w:tcW w:w="729" w:type="pct"/>
            <w:vMerge w:val="restart"/>
            <w:shd w:val="clear" w:color="auto" w:fill="auto"/>
            <w:vAlign w:val="center"/>
            <w:hideMark/>
          </w:tcPr>
          <w:p w14:paraId="4497C232" w14:textId="77777777" w:rsidR="008F3544" w:rsidRPr="00735CC9" w:rsidRDefault="008F3544" w:rsidP="0099088D">
            <w:pPr>
              <w:jc w:val="center"/>
              <w:rPr>
                <w:color w:val="000000"/>
                <w:sz w:val="16"/>
                <w:szCs w:val="16"/>
              </w:rPr>
            </w:pPr>
            <w:r w:rsidRPr="00735CC9">
              <w:rPr>
                <w:color w:val="000000"/>
                <w:sz w:val="16"/>
                <w:szCs w:val="16"/>
              </w:rPr>
              <w:t>3.1.2.1.3.4.</w:t>
            </w:r>
          </w:p>
        </w:tc>
        <w:tc>
          <w:tcPr>
            <w:tcW w:w="994" w:type="pct"/>
            <w:shd w:val="clear" w:color="auto" w:fill="auto"/>
            <w:vAlign w:val="center"/>
            <w:hideMark/>
          </w:tcPr>
          <w:p w14:paraId="0D01C5B8" w14:textId="77777777" w:rsidR="008F3544" w:rsidRPr="009E69B0"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lang w:val="en-US"/>
                      </w:rPr>
                      <m:t>max</m:t>
                    </m:r>
                    <m:r>
                      <m:rPr>
                        <m:nor/>
                      </m:rPr>
                      <w:rPr>
                        <w:color w:val="000000"/>
                      </w:rPr>
                      <m:t xml:space="preserve"> </m:t>
                    </m:r>
                    <m:r>
                      <m:rPr>
                        <m:nor/>
                      </m:rPr>
                      <w:rPr>
                        <w:color w:val="000000"/>
                        <w:lang w:val="en-US"/>
                      </w:rPr>
                      <m:t>N</m:t>
                    </m:r>
                    <m:r>
                      <m:rPr>
                        <m:nor/>
                      </m:rPr>
                      <w:rPr>
                        <w:color w:val="000000"/>
                      </w:rPr>
                      <m:t xml:space="preserve"> 3.1.2.1.3.4.</m:t>
                    </m:r>
                  </m:sub>
                  <m:sup>
                    <m:r>
                      <m:rPr>
                        <m:nor/>
                      </m:rPr>
                      <w:rPr>
                        <w:color w:val="000000"/>
                      </w:rPr>
                      <m:t>0,4 кВ и ниже</m:t>
                    </m:r>
                  </m:sup>
                </m:sSubSup>
              </m:oMath>
            </m:oMathPara>
          </w:p>
        </w:tc>
        <w:tc>
          <w:tcPr>
            <w:tcW w:w="1601" w:type="pct"/>
            <w:vMerge w:val="restart"/>
            <w:shd w:val="clear" w:color="auto" w:fill="auto"/>
            <w:vAlign w:val="center"/>
            <w:hideMark/>
          </w:tcPr>
          <w:p w14:paraId="180AD73F" w14:textId="77777777" w:rsidR="008F3544" w:rsidRPr="00735CC9" w:rsidRDefault="008F3544" w:rsidP="0099088D">
            <w:pPr>
              <w:rPr>
                <w:color w:val="000000"/>
                <w:sz w:val="16"/>
                <w:szCs w:val="16"/>
              </w:rPr>
            </w:pPr>
            <w:r w:rsidRPr="00735CC9">
              <w:rPr>
                <w:color w:val="000000"/>
                <w:sz w:val="16"/>
                <w:szCs w:val="16"/>
              </w:rPr>
              <w:t>кабельные линии в траншеях многожильные с резиновой или пластмассовой изоляцией сечением провода от 100 до 200 квадратных мм включительно с четырьмя кабелями в траншее</w:t>
            </w:r>
          </w:p>
        </w:tc>
        <w:tc>
          <w:tcPr>
            <w:tcW w:w="518" w:type="pct"/>
            <w:vMerge w:val="restart"/>
            <w:shd w:val="clear" w:color="auto" w:fill="auto"/>
            <w:vAlign w:val="center"/>
            <w:hideMark/>
          </w:tcPr>
          <w:p w14:paraId="72F05696" w14:textId="77777777" w:rsidR="008F3544" w:rsidRPr="00735CC9" w:rsidRDefault="008F3544" w:rsidP="0099088D">
            <w:pPr>
              <w:jc w:val="center"/>
              <w:rPr>
                <w:color w:val="000000"/>
                <w:sz w:val="16"/>
                <w:szCs w:val="16"/>
              </w:rPr>
            </w:pPr>
            <w:r w:rsidRPr="00735CC9">
              <w:rPr>
                <w:color w:val="000000"/>
                <w:sz w:val="16"/>
                <w:szCs w:val="16"/>
              </w:rPr>
              <w:t>рублей/кВт</w:t>
            </w:r>
          </w:p>
        </w:tc>
        <w:tc>
          <w:tcPr>
            <w:tcW w:w="582" w:type="pct"/>
            <w:shd w:val="clear" w:color="auto" w:fill="auto"/>
            <w:noWrap/>
            <w:vAlign w:val="center"/>
          </w:tcPr>
          <w:p w14:paraId="0936BC5F" w14:textId="77777777" w:rsidR="008F3544" w:rsidRPr="00735CC9" w:rsidRDefault="008F3544" w:rsidP="0099088D">
            <w:pPr>
              <w:jc w:val="center"/>
              <w:rPr>
                <w:color w:val="000000"/>
                <w:sz w:val="16"/>
                <w:szCs w:val="16"/>
              </w:rPr>
            </w:pPr>
            <w:r w:rsidRPr="000E7E19">
              <w:rPr>
                <w:color w:val="000000"/>
                <w:sz w:val="16"/>
                <w:szCs w:val="16"/>
              </w:rPr>
              <w:t>15 561,28</w:t>
            </w:r>
          </w:p>
        </w:tc>
        <w:tc>
          <w:tcPr>
            <w:tcW w:w="576" w:type="pct"/>
            <w:shd w:val="clear" w:color="auto" w:fill="auto"/>
            <w:noWrap/>
            <w:vAlign w:val="center"/>
          </w:tcPr>
          <w:p w14:paraId="13E53000" w14:textId="77777777" w:rsidR="008F3544" w:rsidRPr="00735CC9" w:rsidRDefault="008F3544" w:rsidP="0099088D">
            <w:pPr>
              <w:jc w:val="center"/>
              <w:rPr>
                <w:color w:val="000000"/>
                <w:sz w:val="16"/>
                <w:szCs w:val="16"/>
              </w:rPr>
            </w:pPr>
            <w:r>
              <w:rPr>
                <w:color w:val="000000"/>
                <w:sz w:val="16"/>
                <w:szCs w:val="16"/>
              </w:rPr>
              <w:t>-</w:t>
            </w:r>
          </w:p>
        </w:tc>
      </w:tr>
      <w:tr w:rsidR="008F3544" w:rsidRPr="00735CC9" w14:paraId="1FB856E3" w14:textId="77777777" w:rsidTr="0099088D">
        <w:trPr>
          <w:trHeight w:val="450"/>
        </w:trPr>
        <w:tc>
          <w:tcPr>
            <w:tcW w:w="729" w:type="pct"/>
            <w:vMerge/>
            <w:shd w:val="clear" w:color="auto" w:fill="auto"/>
            <w:vAlign w:val="center"/>
            <w:hideMark/>
          </w:tcPr>
          <w:p w14:paraId="78DB4102" w14:textId="77777777" w:rsidR="008F3544" w:rsidRPr="00735CC9" w:rsidRDefault="008F3544" w:rsidP="0099088D">
            <w:pPr>
              <w:rPr>
                <w:color w:val="000000"/>
                <w:sz w:val="16"/>
                <w:szCs w:val="16"/>
              </w:rPr>
            </w:pPr>
          </w:p>
        </w:tc>
        <w:tc>
          <w:tcPr>
            <w:tcW w:w="994" w:type="pct"/>
            <w:shd w:val="clear" w:color="auto" w:fill="auto"/>
            <w:vAlign w:val="center"/>
            <w:hideMark/>
          </w:tcPr>
          <w:p w14:paraId="0E59EF1A" w14:textId="77777777" w:rsidR="008F3544" w:rsidRPr="00D62067"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lang w:val="en-US"/>
                      </w:rPr>
                      <m:t>max</m:t>
                    </m:r>
                    <m:r>
                      <m:rPr>
                        <m:nor/>
                      </m:rPr>
                      <w:rPr>
                        <w:color w:val="000000"/>
                      </w:rPr>
                      <m:t xml:space="preserve"> </m:t>
                    </m:r>
                    <m:r>
                      <m:rPr>
                        <m:nor/>
                      </m:rPr>
                      <w:rPr>
                        <w:color w:val="000000"/>
                        <w:lang w:val="en-US"/>
                      </w:rPr>
                      <m:t>N</m:t>
                    </m:r>
                    <m:r>
                      <m:rPr>
                        <m:nor/>
                      </m:rPr>
                      <w:rPr>
                        <w:color w:val="000000"/>
                      </w:rPr>
                      <m:t xml:space="preserve"> 3.1.2.1.3.4.</m:t>
                    </m:r>
                  </m:sub>
                  <m:sup>
                    <m:r>
                      <m:rPr>
                        <m:nor/>
                      </m:rPr>
                      <w:rPr>
                        <w:color w:val="000000"/>
                      </w:rPr>
                      <m:t>1-10 кВ</m:t>
                    </m:r>
                  </m:sup>
                </m:sSubSup>
              </m:oMath>
            </m:oMathPara>
          </w:p>
        </w:tc>
        <w:tc>
          <w:tcPr>
            <w:tcW w:w="1601" w:type="pct"/>
            <w:vMerge/>
            <w:shd w:val="clear" w:color="auto" w:fill="auto"/>
            <w:vAlign w:val="center"/>
            <w:hideMark/>
          </w:tcPr>
          <w:p w14:paraId="2B367836" w14:textId="77777777" w:rsidR="008F3544" w:rsidRPr="00735CC9" w:rsidRDefault="008F3544" w:rsidP="0099088D">
            <w:pPr>
              <w:rPr>
                <w:color w:val="000000"/>
                <w:sz w:val="16"/>
                <w:szCs w:val="16"/>
              </w:rPr>
            </w:pPr>
          </w:p>
        </w:tc>
        <w:tc>
          <w:tcPr>
            <w:tcW w:w="518" w:type="pct"/>
            <w:vMerge/>
            <w:shd w:val="clear" w:color="auto" w:fill="auto"/>
            <w:vAlign w:val="center"/>
            <w:hideMark/>
          </w:tcPr>
          <w:p w14:paraId="63AE7932" w14:textId="77777777" w:rsidR="008F3544" w:rsidRPr="00735CC9" w:rsidRDefault="008F3544" w:rsidP="0099088D">
            <w:pPr>
              <w:rPr>
                <w:color w:val="000000"/>
                <w:sz w:val="16"/>
                <w:szCs w:val="16"/>
              </w:rPr>
            </w:pPr>
          </w:p>
        </w:tc>
        <w:tc>
          <w:tcPr>
            <w:tcW w:w="582" w:type="pct"/>
            <w:shd w:val="clear" w:color="auto" w:fill="auto"/>
            <w:noWrap/>
            <w:vAlign w:val="center"/>
          </w:tcPr>
          <w:p w14:paraId="376C5B3E" w14:textId="77777777" w:rsidR="008F3544" w:rsidRPr="00735CC9" w:rsidRDefault="008F3544" w:rsidP="0099088D">
            <w:pPr>
              <w:jc w:val="center"/>
              <w:rPr>
                <w:color w:val="000000"/>
                <w:sz w:val="16"/>
                <w:szCs w:val="16"/>
              </w:rPr>
            </w:pPr>
            <w:r w:rsidRPr="000E7E19">
              <w:rPr>
                <w:color w:val="000000"/>
                <w:sz w:val="16"/>
                <w:szCs w:val="16"/>
              </w:rPr>
              <w:t>17 847,43</w:t>
            </w:r>
          </w:p>
        </w:tc>
        <w:tc>
          <w:tcPr>
            <w:tcW w:w="576" w:type="pct"/>
            <w:shd w:val="clear" w:color="auto" w:fill="auto"/>
            <w:noWrap/>
            <w:vAlign w:val="center"/>
          </w:tcPr>
          <w:p w14:paraId="52F51876" w14:textId="77777777" w:rsidR="008F3544" w:rsidRPr="00735CC9" w:rsidRDefault="008F3544" w:rsidP="0099088D">
            <w:pPr>
              <w:jc w:val="center"/>
              <w:rPr>
                <w:color w:val="000000"/>
                <w:sz w:val="16"/>
                <w:szCs w:val="16"/>
              </w:rPr>
            </w:pPr>
            <w:r>
              <w:rPr>
                <w:color w:val="000000"/>
                <w:sz w:val="16"/>
                <w:szCs w:val="16"/>
              </w:rPr>
              <w:t>-</w:t>
            </w:r>
          </w:p>
        </w:tc>
      </w:tr>
      <w:tr w:rsidR="008F3544" w:rsidRPr="00735CC9" w14:paraId="78461FDC" w14:textId="77777777" w:rsidTr="0099088D">
        <w:trPr>
          <w:trHeight w:val="450"/>
        </w:trPr>
        <w:tc>
          <w:tcPr>
            <w:tcW w:w="729" w:type="pct"/>
            <w:vMerge w:val="restart"/>
            <w:shd w:val="clear" w:color="auto" w:fill="auto"/>
            <w:vAlign w:val="center"/>
            <w:hideMark/>
          </w:tcPr>
          <w:p w14:paraId="7DEA0B24" w14:textId="77777777" w:rsidR="008F3544" w:rsidRPr="00735CC9" w:rsidRDefault="008F3544" w:rsidP="0099088D">
            <w:pPr>
              <w:jc w:val="center"/>
              <w:rPr>
                <w:color w:val="000000"/>
                <w:sz w:val="16"/>
                <w:szCs w:val="16"/>
              </w:rPr>
            </w:pPr>
            <w:r w:rsidRPr="00735CC9">
              <w:rPr>
                <w:color w:val="000000"/>
                <w:sz w:val="16"/>
                <w:szCs w:val="16"/>
              </w:rPr>
              <w:t>3.1.2.1.4.1.</w:t>
            </w:r>
          </w:p>
        </w:tc>
        <w:tc>
          <w:tcPr>
            <w:tcW w:w="994" w:type="pct"/>
            <w:shd w:val="clear" w:color="auto" w:fill="auto"/>
            <w:vAlign w:val="center"/>
            <w:hideMark/>
          </w:tcPr>
          <w:p w14:paraId="16BA6BA0" w14:textId="77777777" w:rsidR="008F3544" w:rsidRPr="003F082F"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lang w:val="en-US"/>
                      </w:rPr>
                      <m:t>max</m:t>
                    </m:r>
                    <m:r>
                      <m:rPr>
                        <m:nor/>
                      </m:rPr>
                      <w:rPr>
                        <w:color w:val="000000"/>
                      </w:rPr>
                      <m:t xml:space="preserve"> </m:t>
                    </m:r>
                    <m:r>
                      <m:rPr>
                        <m:nor/>
                      </m:rPr>
                      <w:rPr>
                        <w:color w:val="000000"/>
                        <w:lang w:val="en-US"/>
                      </w:rPr>
                      <m:t>N</m:t>
                    </m:r>
                    <m:r>
                      <m:rPr>
                        <m:nor/>
                      </m:rPr>
                      <w:rPr>
                        <w:color w:val="000000"/>
                      </w:rPr>
                      <m:t xml:space="preserve"> 3.1.2.1.4.1.</m:t>
                    </m:r>
                  </m:sub>
                  <m:sup>
                    <m:r>
                      <m:rPr>
                        <m:nor/>
                      </m:rPr>
                      <w:rPr>
                        <w:color w:val="000000"/>
                      </w:rPr>
                      <m:t>0,4 кВ и ниже</m:t>
                    </m:r>
                  </m:sup>
                </m:sSubSup>
              </m:oMath>
            </m:oMathPara>
          </w:p>
        </w:tc>
        <w:tc>
          <w:tcPr>
            <w:tcW w:w="1601" w:type="pct"/>
            <w:vMerge w:val="restart"/>
            <w:shd w:val="clear" w:color="auto" w:fill="auto"/>
            <w:vAlign w:val="center"/>
            <w:hideMark/>
          </w:tcPr>
          <w:p w14:paraId="08BFA33C" w14:textId="77777777" w:rsidR="008F3544" w:rsidRPr="00735CC9" w:rsidRDefault="008F3544" w:rsidP="0099088D">
            <w:pPr>
              <w:rPr>
                <w:color w:val="000000"/>
                <w:sz w:val="16"/>
                <w:szCs w:val="16"/>
              </w:rPr>
            </w:pPr>
            <w:r w:rsidRPr="00735CC9">
              <w:rPr>
                <w:color w:val="000000"/>
                <w:sz w:val="16"/>
                <w:szCs w:val="16"/>
              </w:rPr>
              <w:t>кабельные линии в траншеях многожильные с резиновой или пластмассовой изоляцией сечением провода от 200 до 250 квадратных мм включительно с одним кабелем в траншее</w:t>
            </w:r>
          </w:p>
        </w:tc>
        <w:tc>
          <w:tcPr>
            <w:tcW w:w="518" w:type="pct"/>
            <w:vMerge w:val="restart"/>
            <w:shd w:val="clear" w:color="auto" w:fill="auto"/>
            <w:vAlign w:val="center"/>
            <w:hideMark/>
          </w:tcPr>
          <w:p w14:paraId="3AE5DA90" w14:textId="77777777" w:rsidR="008F3544" w:rsidRPr="00735CC9" w:rsidRDefault="008F3544" w:rsidP="0099088D">
            <w:pPr>
              <w:jc w:val="center"/>
              <w:rPr>
                <w:color w:val="000000"/>
                <w:sz w:val="16"/>
                <w:szCs w:val="16"/>
              </w:rPr>
            </w:pPr>
            <w:r w:rsidRPr="00735CC9">
              <w:rPr>
                <w:color w:val="000000"/>
                <w:sz w:val="16"/>
                <w:szCs w:val="16"/>
              </w:rPr>
              <w:t>рублей/кВт</w:t>
            </w:r>
          </w:p>
        </w:tc>
        <w:tc>
          <w:tcPr>
            <w:tcW w:w="582" w:type="pct"/>
            <w:shd w:val="clear" w:color="auto" w:fill="auto"/>
            <w:noWrap/>
            <w:vAlign w:val="center"/>
          </w:tcPr>
          <w:p w14:paraId="1EFE8EC5" w14:textId="77777777" w:rsidR="008F3544" w:rsidRPr="00735CC9" w:rsidRDefault="008F3544" w:rsidP="0099088D">
            <w:pPr>
              <w:jc w:val="center"/>
              <w:rPr>
                <w:color w:val="000000"/>
                <w:sz w:val="16"/>
                <w:szCs w:val="16"/>
              </w:rPr>
            </w:pPr>
            <w:r w:rsidRPr="00AB1701">
              <w:rPr>
                <w:color w:val="000000"/>
                <w:sz w:val="16"/>
                <w:szCs w:val="16"/>
              </w:rPr>
              <w:t>10 963,48</w:t>
            </w:r>
          </w:p>
        </w:tc>
        <w:tc>
          <w:tcPr>
            <w:tcW w:w="576" w:type="pct"/>
            <w:shd w:val="clear" w:color="auto" w:fill="auto"/>
            <w:noWrap/>
            <w:vAlign w:val="center"/>
          </w:tcPr>
          <w:p w14:paraId="26B7E7D8" w14:textId="77777777" w:rsidR="008F3544" w:rsidRPr="00735CC9" w:rsidRDefault="008F3544" w:rsidP="0099088D">
            <w:pPr>
              <w:jc w:val="center"/>
              <w:rPr>
                <w:color w:val="000000"/>
                <w:sz w:val="16"/>
                <w:szCs w:val="16"/>
              </w:rPr>
            </w:pPr>
            <w:r w:rsidRPr="00AB1701">
              <w:rPr>
                <w:color w:val="000000"/>
                <w:sz w:val="16"/>
                <w:szCs w:val="16"/>
              </w:rPr>
              <w:t>9 355,63</w:t>
            </w:r>
          </w:p>
        </w:tc>
      </w:tr>
      <w:tr w:rsidR="008F3544" w:rsidRPr="00735CC9" w14:paraId="2E45616D" w14:textId="77777777" w:rsidTr="0099088D">
        <w:trPr>
          <w:trHeight w:val="450"/>
        </w:trPr>
        <w:tc>
          <w:tcPr>
            <w:tcW w:w="729" w:type="pct"/>
            <w:vMerge/>
            <w:shd w:val="clear" w:color="auto" w:fill="auto"/>
            <w:vAlign w:val="center"/>
            <w:hideMark/>
          </w:tcPr>
          <w:p w14:paraId="35412552" w14:textId="77777777" w:rsidR="008F3544" w:rsidRPr="00735CC9" w:rsidRDefault="008F3544" w:rsidP="0099088D">
            <w:pPr>
              <w:rPr>
                <w:color w:val="000000"/>
                <w:sz w:val="16"/>
                <w:szCs w:val="16"/>
              </w:rPr>
            </w:pPr>
          </w:p>
        </w:tc>
        <w:tc>
          <w:tcPr>
            <w:tcW w:w="994" w:type="pct"/>
            <w:shd w:val="clear" w:color="auto" w:fill="auto"/>
            <w:vAlign w:val="center"/>
            <w:hideMark/>
          </w:tcPr>
          <w:p w14:paraId="1F4191EF" w14:textId="77777777" w:rsidR="008F3544" w:rsidRPr="00D62067"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lang w:val="en-US"/>
                      </w:rPr>
                      <m:t>max</m:t>
                    </m:r>
                    <m:r>
                      <m:rPr>
                        <m:nor/>
                      </m:rPr>
                      <w:rPr>
                        <w:color w:val="000000"/>
                      </w:rPr>
                      <m:t xml:space="preserve"> </m:t>
                    </m:r>
                    <m:r>
                      <m:rPr>
                        <m:nor/>
                      </m:rPr>
                      <w:rPr>
                        <w:color w:val="000000"/>
                        <w:lang w:val="en-US"/>
                      </w:rPr>
                      <m:t>N</m:t>
                    </m:r>
                    <m:r>
                      <m:rPr>
                        <m:nor/>
                      </m:rPr>
                      <w:rPr>
                        <w:color w:val="000000"/>
                      </w:rPr>
                      <m:t xml:space="preserve"> 3.1.2.1.4.1.</m:t>
                    </m:r>
                  </m:sub>
                  <m:sup>
                    <m:r>
                      <m:rPr>
                        <m:nor/>
                      </m:rPr>
                      <w:rPr>
                        <w:color w:val="000000"/>
                      </w:rPr>
                      <m:t>1-10 кВ</m:t>
                    </m:r>
                  </m:sup>
                </m:sSubSup>
              </m:oMath>
            </m:oMathPara>
          </w:p>
        </w:tc>
        <w:tc>
          <w:tcPr>
            <w:tcW w:w="1601" w:type="pct"/>
            <w:vMerge/>
            <w:shd w:val="clear" w:color="auto" w:fill="auto"/>
            <w:vAlign w:val="center"/>
            <w:hideMark/>
          </w:tcPr>
          <w:p w14:paraId="31883AD1" w14:textId="77777777" w:rsidR="008F3544" w:rsidRPr="00735CC9" w:rsidRDefault="008F3544" w:rsidP="0099088D">
            <w:pPr>
              <w:rPr>
                <w:color w:val="000000"/>
                <w:sz w:val="16"/>
                <w:szCs w:val="16"/>
              </w:rPr>
            </w:pPr>
          </w:p>
        </w:tc>
        <w:tc>
          <w:tcPr>
            <w:tcW w:w="518" w:type="pct"/>
            <w:vMerge/>
            <w:shd w:val="clear" w:color="auto" w:fill="auto"/>
            <w:vAlign w:val="center"/>
            <w:hideMark/>
          </w:tcPr>
          <w:p w14:paraId="52453838" w14:textId="77777777" w:rsidR="008F3544" w:rsidRPr="00735CC9" w:rsidRDefault="008F3544" w:rsidP="0099088D">
            <w:pPr>
              <w:rPr>
                <w:color w:val="000000"/>
                <w:sz w:val="16"/>
                <w:szCs w:val="16"/>
              </w:rPr>
            </w:pPr>
          </w:p>
        </w:tc>
        <w:tc>
          <w:tcPr>
            <w:tcW w:w="582" w:type="pct"/>
            <w:shd w:val="clear" w:color="auto" w:fill="auto"/>
            <w:noWrap/>
            <w:vAlign w:val="center"/>
          </w:tcPr>
          <w:p w14:paraId="448AA372" w14:textId="77777777" w:rsidR="008F3544" w:rsidRPr="00735CC9" w:rsidRDefault="008F3544" w:rsidP="0099088D">
            <w:pPr>
              <w:jc w:val="center"/>
              <w:rPr>
                <w:color w:val="000000"/>
                <w:sz w:val="16"/>
                <w:szCs w:val="16"/>
              </w:rPr>
            </w:pPr>
            <w:r w:rsidRPr="00AB1701">
              <w:rPr>
                <w:color w:val="000000"/>
                <w:sz w:val="16"/>
                <w:szCs w:val="16"/>
              </w:rPr>
              <w:t>12 358,66</w:t>
            </w:r>
          </w:p>
        </w:tc>
        <w:tc>
          <w:tcPr>
            <w:tcW w:w="576" w:type="pct"/>
            <w:shd w:val="clear" w:color="auto" w:fill="auto"/>
            <w:noWrap/>
            <w:vAlign w:val="center"/>
          </w:tcPr>
          <w:p w14:paraId="15AD23DC" w14:textId="77777777" w:rsidR="008F3544" w:rsidRPr="00735CC9" w:rsidRDefault="008F3544" w:rsidP="0099088D">
            <w:pPr>
              <w:jc w:val="center"/>
              <w:rPr>
                <w:color w:val="000000"/>
                <w:sz w:val="16"/>
                <w:szCs w:val="16"/>
              </w:rPr>
            </w:pPr>
            <w:r w:rsidRPr="00AB1701">
              <w:rPr>
                <w:color w:val="000000"/>
                <w:sz w:val="16"/>
                <w:szCs w:val="16"/>
              </w:rPr>
              <w:t>11 392,98</w:t>
            </w:r>
          </w:p>
        </w:tc>
      </w:tr>
      <w:tr w:rsidR="008F3544" w:rsidRPr="00735CC9" w14:paraId="4832F1C6" w14:textId="77777777" w:rsidTr="0099088D">
        <w:trPr>
          <w:trHeight w:val="450"/>
        </w:trPr>
        <w:tc>
          <w:tcPr>
            <w:tcW w:w="729" w:type="pct"/>
            <w:shd w:val="clear" w:color="auto" w:fill="auto"/>
            <w:vAlign w:val="center"/>
            <w:hideMark/>
          </w:tcPr>
          <w:p w14:paraId="36B75669" w14:textId="77777777" w:rsidR="008F3544" w:rsidRPr="00735CC9" w:rsidRDefault="008F3544" w:rsidP="0099088D">
            <w:pPr>
              <w:jc w:val="center"/>
              <w:rPr>
                <w:color w:val="000000"/>
                <w:sz w:val="16"/>
                <w:szCs w:val="16"/>
              </w:rPr>
            </w:pPr>
            <w:r w:rsidRPr="00735CC9">
              <w:rPr>
                <w:color w:val="000000"/>
                <w:sz w:val="16"/>
                <w:szCs w:val="16"/>
              </w:rPr>
              <w:t>3.1.2.1.4.2.</w:t>
            </w:r>
          </w:p>
        </w:tc>
        <w:tc>
          <w:tcPr>
            <w:tcW w:w="994" w:type="pct"/>
            <w:shd w:val="clear" w:color="auto" w:fill="auto"/>
            <w:vAlign w:val="center"/>
            <w:hideMark/>
          </w:tcPr>
          <w:p w14:paraId="327ABC62" w14:textId="77777777" w:rsidR="008F3544" w:rsidRPr="003F082F"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lang w:val="en-US"/>
                      </w:rPr>
                      <m:t>max</m:t>
                    </m:r>
                    <m:r>
                      <m:rPr>
                        <m:nor/>
                      </m:rPr>
                      <w:rPr>
                        <w:color w:val="000000"/>
                      </w:rPr>
                      <m:t xml:space="preserve"> </m:t>
                    </m:r>
                    <m:r>
                      <m:rPr>
                        <m:nor/>
                      </m:rPr>
                      <w:rPr>
                        <w:color w:val="000000"/>
                        <w:lang w:val="en-US"/>
                      </w:rPr>
                      <m:t>N</m:t>
                    </m:r>
                    <m:r>
                      <m:rPr>
                        <m:nor/>
                      </m:rPr>
                      <w:rPr>
                        <w:color w:val="000000"/>
                      </w:rPr>
                      <m:t xml:space="preserve"> 3.1.2.1.4.2.</m:t>
                    </m:r>
                  </m:sub>
                  <m:sup>
                    <m:r>
                      <m:rPr>
                        <m:nor/>
                      </m:rPr>
                      <w:rPr>
                        <w:color w:val="000000"/>
                      </w:rPr>
                      <m:t>0,4 кВ и ниже</m:t>
                    </m:r>
                  </m:sup>
                </m:sSubSup>
              </m:oMath>
            </m:oMathPara>
          </w:p>
        </w:tc>
        <w:tc>
          <w:tcPr>
            <w:tcW w:w="1601" w:type="pct"/>
            <w:shd w:val="clear" w:color="auto" w:fill="auto"/>
            <w:vAlign w:val="center"/>
            <w:hideMark/>
          </w:tcPr>
          <w:p w14:paraId="2999C4F5" w14:textId="77777777" w:rsidR="008F3544" w:rsidRPr="00735CC9" w:rsidRDefault="008F3544" w:rsidP="0099088D">
            <w:pPr>
              <w:rPr>
                <w:color w:val="000000"/>
                <w:sz w:val="16"/>
                <w:szCs w:val="16"/>
              </w:rPr>
            </w:pPr>
            <w:r w:rsidRPr="00735CC9">
              <w:rPr>
                <w:color w:val="000000"/>
                <w:sz w:val="16"/>
                <w:szCs w:val="16"/>
              </w:rPr>
              <w:t>кабельные линии в траншеях многожильные с резиновой или пластмассовой изоляцией сечением провода от 200 до 250 квадратных мм включительно с двумя кабелями в траншее</w:t>
            </w:r>
          </w:p>
        </w:tc>
        <w:tc>
          <w:tcPr>
            <w:tcW w:w="518" w:type="pct"/>
            <w:shd w:val="clear" w:color="auto" w:fill="auto"/>
            <w:vAlign w:val="center"/>
            <w:hideMark/>
          </w:tcPr>
          <w:p w14:paraId="0B25BE2E" w14:textId="77777777" w:rsidR="008F3544" w:rsidRPr="00735CC9" w:rsidRDefault="008F3544" w:rsidP="0099088D">
            <w:pPr>
              <w:jc w:val="center"/>
              <w:rPr>
                <w:color w:val="000000"/>
                <w:sz w:val="16"/>
                <w:szCs w:val="16"/>
              </w:rPr>
            </w:pPr>
            <w:r w:rsidRPr="00735CC9">
              <w:rPr>
                <w:color w:val="000000"/>
                <w:sz w:val="16"/>
                <w:szCs w:val="16"/>
              </w:rPr>
              <w:t>рублей/кВт</w:t>
            </w:r>
          </w:p>
        </w:tc>
        <w:tc>
          <w:tcPr>
            <w:tcW w:w="582" w:type="pct"/>
            <w:shd w:val="clear" w:color="auto" w:fill="auto"/>
            <w:noWrap/>
            <w:vAlign w:val="center"/>
          </w:tcPr>
          <w:p w14:paraId="41FD8FA7" w14:textId="77777777" w:rsidR="008F3544" w:rsidRPr="00735CC9" w:rsidRDefault="008F3544" w:rsidP="0099088D">
            <w:pPr>
              <w:jc w:val="center"/>
              <w:rPr>
                <w:color w:val="000000"/>
                <w:sz w:val="16"/>
                <w:szCs w:val="16"/>
              </w:rPr>
            </w:pPr>
            <w:r w:rsidRPr="00AB1701">
              <w:rPr>
                <w:color w:val="000000"/>
                <w:sz w:val="16"/>
                <w:szCs w:val="16"/>
              </w:rPr>
              <w:t>12 654,67</w:t>
            </w:r>
          </w:p>
        </w:tc>
        <w:tc>
          <w:tcPr>
            <w:tcW w:w="576" w:type="pct"/>
            <w:shd w:val="clear" w:color="auto" w:fill="auto"/>
            <w:noWrap/>
            <w:vAlign w:val="center"/>
          </w:tcPr>
          <w:p w14:paraId="377CC233" w14:textId="77777777" w:rsidR="008F3544" w:rsidRPr="00735CC9" w:rsidRDefault="008F3544" w:rsidP="0099088D">
            <w:pPr>
              <w:jc w:val="center"/>
              <w:rPr>
                <w:color w:val="000000"/>
                <w:sz w:val="16"/>
                <w:szCs w:val="16"/>
              </w:rPr>
            </w:pPr>
            <w:r w:rsidRPr="00AB1701">
              <w:rPr>
                <w:color w:val="000000"/>
                <w:sz w:val="16"/>
                <w:szCs w:val="16"/>
              </w:rPr>
              <w:t>10 618,11</w:t>
            </w:r>
          </w:p>
        </w:tc>
      </w:tr>
      <w:tr w:rsidR="008F3544" w:rsidRPr="00735CC9" w14:paraId="70601DF5" w14:textId="77777777" w:rsidTr="0099088D">
        <w:trPr>
          <w:trHeight w:val="900"/>
        </w:trPr>
        <w:tc>
          <w:tcPr>
            <w:tcW w:w="729" w:type="pct"/>
            <w:shd w:val="clear" w:color="auto" w:fill="auto"/>
            <w:vAlign w:val="center"/>
            <w:hideMark/>
          </w:tcPr>
          <w:p w14:paraId="65720B33" w14:textId="77777777" w:rsidR="008F3544" w:rsidRPr="00735CC9" w:rsidRDefault="008F3544" w:rsidP="0099088D">
            <w:pPr>
              <w:jc w:val="center"/>
              <w:rPr>
                <w:color w:val="000000"/>
                <w:sz w:val="16"/>
                <w:szCs w:val="16"/>
              </w:rPr>
            </w:pPr>
            <w:r w:rsidRPr="00735CC9">
              <w:rPr>
                <w:color w:val="000000"/>
                <w:sz w:val="16"/>
                <w:szCs w:val="16"/>
              </w:rPr>
              <w:t>3.1.2.2.1.1.</w:t>
            </w:r>
          </w:p>
        </w:tc>
        <w:tc>
          <w:tcPr>
            <w:tcW w:w="994" w:type="pct"/>
            <w:shd w:val="clear" w:color="auto" w:fill="auto"/>
            <w:vAlign w:val="center"/>
            <w:hideMark/>
          </w:tcPr>
          <w:p w14:paraId="63248E4C" w14:textId="77777777" w:rsidR="008F3544" w:rsidRPr="000170B6"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lang w:val="en-US"/>
                      </w:rPr>
                      <m:t>max</m:t>
                    </m:r>
                    <m:r>
                      <m:rPr>
                        <m:nor/>
                      </m:rPr>
                      <w:rPr>
                        <w:color w:val="000000"/>
                      </w:rPr>
                      <m:t xml:space="preserve"> </m:t>
                    </m:r>
                    <m:r>
                      <m:rPr>
                        <m:nor/>
                      </m:rPr>
                      <w:rPr>
                        <w:color w:val="000000"/>
                        <w:lang w:val="en-US"/>
                      </w:rPr>
                      <m:t>N</m:t>
                    </m:r>
                    <m:r>
                      <m:rPr>
                        <m:nor/>
                      </m:rPr>
                      <w:rPr>
                        <w:color w:val="000000"/>
                      </w:rPr>
                      <m:t xml:space="preserve"> 3.1.2.2.1.1.</m:t>
                    </m:r>
                  </m:sub>
                  <m:sup>
                    <m:r>
                      <m:rPr>
                        <m:nor/>
                      </m:rPr>
                      <w:rPr>
                        <w:color w:val="000000"/>
                      </w:rPr>
                      <m:t>0,4 кВ и ниже</m:t>
                    </m:r>
                  </m:sup>
                </m:sSubSup>
              </m:oMath>
            </m:oMathPara>
          </w:p>
        </w:tc>
        <w:tc>
          <w:tcPr>
            <w:tcW w:w="1601" w:type="pct"/>
            <w:shd w:val="clear" w:color="auto" w:fill="auto"/>
            <w:vAlign w:val="center"/>
            <w:hideMark/>
          </w:tcPr>
          <w:p w14:paraId="0C73F399" w14:textId="77777777" w:rsidR="008F3544" w:rsidRPr="00735CC9" w:rsidRDefault="008F3544" w:rsidP="0099088D">
            <w:pPr>
              <w:rPr>
                <w:color w:val="000000"/>
                <w:sz w:val="16"/>
                <w:szCs w:val="16"/>
              </w:rPr>
            </w:pPr>
            <w:r w:rsidRPr="00735CC9">
              <w:rPr>
                <w:color w:val="000000"/>
                <w:sz w:val="16"/>
                <w:szCs w:val="16"/>
              </w:rPr>
              <w:t>кабельные линии в траншеях многожильные с бумажной изоляцией сечением провода до 50 квадратных мм включительно с одним кабелем в траншее</w:t>
            </w:r>
          </w:p>
        </w:tc>
        <w:tc>
          <w:tcPr>
            <w:tcW w:w="518" w:type="pct"/>
            <w:shd w:val="clear" w:color="auto" w:fill="auto"/>
            <w:vAlign w:val="center"/>
            <w:hideMark/>
          </w:tcPr>
          <w:p w14:paraId="5754DCF8" w14:textId="77777777" w:rsidR="008F3544" w:rsidRPr="00735CC9" w:rsidRDefault="008F3544" w:rsidP="0099088D">
            <w:pPr>
              <w:jc w:val="center"/>
              <w:rPr>
                <w:color w:val="000000"/>
                <w:sz w:val="16"/>
                <w:szCs w:val="16"/>
              </w:rPr>
            </w:pPr>
            <w:r w:rsidRPr="00735CC9">
              <w:rPr>
                <w:color w:val="000000"/>
                <w:sz w:val="16"/>
                <w:szCs w:val="16"/>
              </w:rPr>
              <w:t>рублей/кВт</w:t>
            </w:r>
          </w:p>
        </w:tc>
        <w:tc>
          <w:tcPr>
            <w:tcW w:w="582" w:type="pct"/>
            <w:shd w:val="clear" w:color="auto" w:fill="auto"/>
            <w:noWrap/>
            <w:vAlign w:val="center"/>
          </w:tcPr>
          <w:p w14:paraId="6DADEC42" w14:textId="77777777" w:rsidR="008F3544" w:rsidRPr="00735CC9" w:rsidRDefault="008F3544" w:rsidP="0099088D">
            <w:pPr>
              <w:jc w:val="center"/>
              <w:rPr>
                <w:color w:val="000000"/>
                <w:sz w:val="16"/>
                <w:szCs w:val="16"/>
              </w:rPr>
            </w:pPr>
            <w:r w:rsidRPr="00AB1701">
              <w:rPr>
                <w:color w:val="000000"/>
                <w:sz w:val="16"/>
                <w:szCs w:val="16"/>
              </w:rPr>
              <w:t>9 290,15</w:t>
            </w:r>
          </w:p>
        </w:tc>
        <w:tc>
          <w:tcPr>
            <w:tcW w:w="576" w:type="pct"/>
            <w:shd w:val="clear" w:color="auto" w:fill="auto"/>
            <w:noWrap/>
            <w:vAlign w:val="center"/>
          </w:tcPr>
          <w:p w14:paraId="444D9BD5" w14:textId="77777777" w:rsidR="008F3544" w:rsidRPr="00735CC9" w:rsidRDefault="008F3544" w:rsidP="0099088D">
            <w:pPr>
              <w:jc w:val="center"/>
              <w:rPr>
                <w:color w:val="000000"/>
                <w:sz w:val="16"/>
                <w:szCs w:val="16"/>
              </w:rPr>
            </w:pPr>
            <w:r>
              <w:rPr>
                <w:color w:val="000000"/>
                <w:sz w:val="16"/>
                <w:szCs w:val="16"/>
              </w:rPr>
              <w:t>-</w:t>
            </w:r>
          </w:p>
        </w:tc>
      </w:tr>
      <w:tr w:rsidR="008F3544" w:rsidRPr="00735CC9" w14:paraId="6A04EE00" w14:textId="77777777" w:rsidTr="0099088D">
        <w:trPr>
          <w:trHeight w:val="900"/>
        </w:trPr>
        <w:tc>
          <w:tcPr>
            <w:tcW w:w="729" w:type="pct"/>
            <w:shd w:val="clear" w:color="auto" w:fill="auto"/>
            <w:vAlign w:val="center"/>
            <w:hideMark/>
          </w:tcPr>
          <w:p w14:paraId="326A2934" w14:textId="77777777" w:rsidR="008F3544" w:rsidRPr="00735CC9" w:rsidRDefault="008F3544" w:rsidP="0099088D">
            <w:pPr>
              <w:jc w:val="center"/>
              <w:rPr>
                <w:color w:val="000000"/>
                <w:sz w:val="16"/>
                <w:szCs w:val="16"/>
              </w:rPr>
            </w:pPr>
            <w:r w:rsidRPr="00735CC9">
              <w:rPr>
                <w:color w:val="000000"/>
                <w:sz w:val="16"/>
                <w:szCs w:val="16"/>
              </w:rPr>
              <w:t>3.1.2.2.2.1.</w:t>
            </w:r>
          </w:p>
        </w:tc>
        <w:tc>
          <w:tcPr>
            <w:tcW w:w="994" w:type="pct"/>
            <w:shd w:val="clear" w:color="auto" w:fill="auto"/>
            <w:vAlign w:val="center"/>
            <w:hideMark/>
          </w:tcPr>
          <w:p w14:paraId="2DBB8AA1" w14:textId="77777777" w:rsidR="008F3544" w:rsidRPr="000170B6"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lang w:val="en-US"/>
                      </w:rPr>
                      <m:t>max</m:t>
                    </m:r>
                    <m:r>
                      <m:rPr>
                        <m:nor/>
                      </m:rPr>
                      <w:rPr>
                        <w:color w:val="000000"/>
                      </w:rPr>
                      <m:t xml:space="preserve"> </m:t>
                    </m:r>
                    <m:r>
                      <m:rPr>
                        <m:nor/>
                      </m:rPr>
                      <w:rPr>
                        <w:color w:val="000000"/>
                        <w:lang w:val="en-US"/>
                      </w:rPr>
                      <m:t>N</m:t>
                    </m:r>
                    <m:r>
                      <m:rPr>
                        <m:nor/>
                      </m:rPr>
                      <w:rPr>
                        <w:color w:val="000000"/>
                      </w:rPr>
                      <m:t xml:space="preserve"> 3.1.2.2.2.1.</m:t>
                    </m:r>
                  </m:sub>
                  <m:sup>
                    <m:r>
                      <m:rPr>
                        <m:nor/>
                      </m:rPr>
                      <w:rPr>
                        <w:color w:val="000000"/>
                      </w:rPr>
                      <m:t>0,4 кВ и ниже</m:t>
                    </m:r>
                  </m:sup>
                </m:sSubSup>
              </m:oMath>
            </m:oMathPara>
          </w:p>
        </w:tc>
        <w:tc>
          <w:tcPr>
            <w:tcW w:w="1601" w:type="pct"/>
            <w:shd w:val="clear" w:color="auto" w:fill="auto"/>
            <w:vAlign w:val="center"/>
            <w:hideMark/>
          </w:tcPr>
          <w:p w14:paraId="0EC21B0F" w14:textId="77777777" w:rsidR="008F3544" w:rsidRPr="00735CC9" w:rsidRDefault="008F3544" w:rsidP="0099088D">
            <w:pPr>
              <w:rPr>
                <w:color w:val="000000"/>
                <w:sz w:val="16"/>
                <w:szCs w:val="16"/>
              </w:rPr>
            </w:pPr>
            <w:r w:rsidRPr="00735CC9">
              <w:rPr>
                <w:color w:val="000000"/>
                <w:sz w:val="16"/>
                <w:szCs w:val="16"/>
              </w:rPr>
              <w:t>кабельные линии в траншеях многожильные с бумажной изоляцией сечением провода от 50 до 100 квадратных мм включительно с одним кабелем в траншее</w:t>
            </w:r>
          </w:p>
        </w:tc>
        <w:tc>
          <w:tcPr>
            <w:tcW w:w="518" w:type="pct"/>
            <w:shd w:val="clear" w:color="auto" w:fill="auto"/>
            <w:vAlign w:val="center"/>
            <w:hideMark/>
          </w:tcPr>
          <w:p w14:paraId="4794B663" w14:textId="77777777" w:rsidR="008F3544" w:rsidRPr="00735CC9" w:rsidRDefault="008F3544" w:rsidP="0099088D">
            <w:pPr>
              <w:jc w:val="center"/>
              <w:rPr>
                <w:color w:val="000000"/>
                <w:sz w:val="16"/>
                <w:szCs w:val="16"/>
              </w:rPr>
            </w:pPr>
            <w:r w:rsidRPr="00735CC9">
              <w:rPr>
                <w:color w:val="000000"/>
                <w:sz w:val="16"/>
                <w:szCs w:val="16"/>
              </w:rPr>
              <w:t>рублей/кВт</w:t>
            </w:r>
          </w:p>
        </w:tc>
        <w:tc>
          <w:tcPr>
            <w:tcW w:w="582" w:type="pct"/>
            <w:shd w:val="clear" w:color="auto" w:fill="auto"/>
            <w:noWrap/>
            <w:vAlign w:val="center"/>
          </w:tcPr>
          <w:p w14:paraId="2F25C6B0" w14:textId="77777777" w:rsidR="008F3544" w:rsidRPr="00735CC9" w:rsidRDefault="008F3544" w:rsidP="0099088D">
            <w:pPr>
              <w:jc w:val="center"/>
              <w:rPr>
                <w:color w:val="000000"/>
                <w:sz w:val="16"/>
                <w:szCs w:val="16"/>
              </w:rPr>
            </w:pPr>
            <w:r w:rsidRPr="00AB1701">
              <w:rPr>
                <w:color w:val="000000"/>
                <w:sz w:val="16"/>
                <w:szCs w:val="16"/>
              </w:rPr>
              <w:t>10 237,76</w:t>
            </w:r>
          </w:p>
        </w:tc>
        <w:tc>
          <w:tcPr>
            <w:tcW w:w="576" w:type="pct"/>
            <w:shd w:val="clear" w:color="auto" w:fill="auto"/>
            <w:noWrap/>
            <w:vAlign w:val="center"/>
          </w:tcPr>
          <w:p w14:paraId="574415CB" w14:textId="77777777" w:rsidR="008F3544" w:rsidRPr="00735CC9" w:rsidRDefault="008F3544" w:rsidP="0099088D">
            <w:pPr>
              <w:jc w:val="center"/>
              <w:rPr>
                <w:color w:val="000000"/>
                <w:sz w:val="16"/>
                <w:szCs w:val="16"/>
              </w:rPr>
            </w:pPr>
            <w:r>
              <w:rPr>
                <w:color w:val="000000"/>
                <w:sz w:val="16"/>
                <w:szCs w:val="16"/>
              </w:rPr>
              <w:t>-</w:t>
            </w:r>
          </w:p>
        </w:tc>
      </w:tr>
      <w:tr w:rsidR="008F3544" w:rsidRPr="00735CC9" w14:paraId="678F4118" w14:textId="77777777" w:rsidTr="0099088D">
        <w:trPr>
          <w:trHeight w:val="900"/>
        </w:trPr>
        <w:tc>
          <w:tcPr>
            <w:tcW w:w="729" w:type="pct"/>
            <w:shd w:val="clear" w:color="auto" w:fill="auto"/>
            <w:vAlign w:val="center"/>
            <w:hideMark/>
          </w:tcPr>
          <w:p w14:paraId="5A2B6D5C" w14:textId="77777777" w:rsidR="008F3544" w:rsidRPr="00735CC9" w:rsidRDefault="008F3544" w:rsidP="0099088D">
            <w:pPr>
              <w:jc w:val="center"/>
              <w:rPr>
                <w:color w:val="000000"/>
                <w:sz w:val="16"/>
                <w:szCs w:val="16"/>
              </w:rPr>
            </w:pPr>
            <w:r w:rsidRPr="00735CC9">
              <w:rPr>
                <w:color w:val="000000"/>
                <w:sz w:val="16"/>
                <w:szCs w:val="16"/>
              </w:rPr>
              <w:t>3.1.2.2.2.2.</w:t>
            </w:r>
          </w:p>
        </w:tc>
        <w:tc>
          <w:tcPr>
            <w:tcW w:w="994" w:type="pct"/>
            <w:shd w:val="clear" w:color="auto" w:fill="auto"/>
            <w:vAlign w:val="center"/>
            <w:hideMark/>
          </w:tcPr>
          <w:p w14:paraId="4F0F49D3" w14:textId="77777777" w:rsidR="008F3544" w:rsidRPr="000170B6"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lang w:val="en-US"/>
                      </w:rPr>
                      <m:t>max</m:t>
                    </m:r>
                    <m:r>
                      <m:rPr>
                        <m:nor/>
                      </m:rPr>
                      <w:rPr>
                        <w:color w:val="000000"/>
                      </w:rPr>
                      <m:t xml:space="preserve"> </m:t>
                    </m:r>
                    <m:r>
                      <m:rPr>
                        <m:nor/>
                      </m:rPr>
                      <w:rPr>
                        <w:color w:val="000000"/>
                        <w:lang w:val="en-US"/>
                      </w:rPr>
                      <m:t>N</m:t>
                    </m:r>
                    <m:r>
                      <m:rPr>
                        <m:nor/>
                      </m:rPr>
                      <w:rPr>
                        <w:color w:val="000000"/>
                      </w:rPr>
                      <m:t xml:space="preserve"> 3.1.2.2.2.2.</m:t>
                    </m:r>
                  </m:sub>
                  <m:sup>
                    <m:r>
                      <m:rPr>
                        <m:nor/>
                      </m:rPr>
                      <w:rPr>
                        <w:color w:val="000000"/>
                      </w:rPr>
                      <m:t>0,4 кВ и ниже</m:t>
                    </m:r>
                  </m:sup>
                </m:sSubSup>
              </m:oMath>
            </m:oMathPara>
          </w:p>
        </w:tc>
        <w:tc>
          <w:tcPr>
            <w:tcW w:w="1601" w:type="pct"/>
            <w:shd w:val="clear" w:color="auto" w:fill="auto"/>
            <w:vAlign w:val="center"/>
            <w:hideMark/>
          </w:tcPr>
          <w:p w14:paraId="188FF09B" w14:textId="77777777" w:rsidR="008F3544" w:rsidRPr="00735CC9" w:rsidRDefault="008F3544" w:rsidP="0099088D">
            <w:pPr>
              <w:rPr>
                <w:color w:val="000000"/>
                <w:sz w:val="16"/>
                <w:szCs w:val="16"/>
              </w:rPr>
            </w:pPr>
            <w:r w:rsidRPr="00735CC9">
              <w:rPr>
                <w:color w:val="000000"/>
                <w:sz w:val="16"/>
                <w:szCs w:val="16"/>
              </w:rPr>
              <w:t>кабельные линии в траншеях многожильные с бумажной изоляцией сечением провода от 50 до 100 квадратных мм включительно с двумя кабелями в траншее</w:t>
            </w:r>
          </w:p>
        </w:tc>
        <w:tc>
          <w:tcPr>
            <w:tcW w:w="518" w:type="pct"/>
            <w:shd w:val="clear" w:color="auto" w:fill="auto"/>
            <w:vAlign w:val="center"/>
            <w:hideMark/>
          </w:tcPr>
          <w:p w14:paraId="650E32B0" w14:textId="77777777" w:rsidR="008F3544" w:rsidRPr="00735CC9" w:rsidRDefault="008F3544" w:rsidP="0099088D">
            <w:pPr>
              <w:jc w:val="center"/>
              <w:rPr>
                <w:color w:val="000000"/>
                <w:sz w:val="16"/>
                <w:szCs w:val="16"/>
              </w:rPr>
            </w:pPr>
            <w:r w:rsidRPr="00735CC9">
              <w:rPr>
                <w:color w:val="000000"/>
                <w:sz w:val="16"/>
                <w:szCs w:val="16"/>
              </w:rPr>
              <w:t>рублей/кВт</w:t>
            </w:r>
          </w:p>
        </w:tc>
        <w:tc>
          <w:tcPr>
            <w:tcW w:w="582" w:type="pct"/>
            <w:shd w:val="clear" w:color="auto" w:fill="auto"/>
            <w:noWrap/>
            <w:vAlign w:val="center"/>
          </w:tcPr>
          <w:p w14:paraId="6CBB759B" w14:textId="77777777" w:rsidR="008F3544" w:rsidRPr="00735CC9" w:rsidRDefault="008F3544" w:rsidP="0099088D">
            <w:pPr>
              <w:jc w:val="center"/>
              <w:rPr>
                <w:color w:val="000000"/>
                <w:sz w:val="16"/>
                <w:szCs w:val="16"/>
              </w:rPr>
            </w:pPr>
            <w:r w:rsidRPr="00AB1701">
              <w:rPr>
                <w:color w:val="000000"/>
                <w:sz w:val="16"/>
                <w:szCs w:val="16"/>
              </w:rPr>
              <w:t>11 673,74</w:t>
            </w:r>
          </w:p>
        </w:tc>
        <w:tc>
          <w:tcPr>
            <w:tcW w:w="576" w:type="pct"/>
            <w:shd w:val="clear" w:color="auto" w:fill="auto"/>
            <w:noWrap/>
            <w:vAlign w:val="center"/>
          </w:tcPr>
          <w:p w14:paraId="6E9BBC2F" w14:textId="77777777" w:rsidR="008F3544" w:rsidRPr="00735CC9" w:rsidRDefault="008F3544" w:rsidP="0099088D">
            <w:pPr>
              <w:jc w:val="center"/>
              <w:rPr>
                <w:color w:val="000000"/>
                <w:sz w:val="16"/>
                <w:szCs w:val="16"/>
              </w:rPr>
            </w:pPr>
            <w:r>
              <w:rPr>
                <w:color w:val="000000"/>
                <w:sz w:val="16"/>
                <w:szCs w:val="16"/>
              </w:rPr>
              <w:t>-</w:t>
            </w:r>
          </w:p>
        </w:tc>
      </w:tr>
      <w:tr w:rsidR="008F3544" w:rsidRPr="00735CC9" w14:paraId="58A40D16" w14:textId="77777777" w:rsidTr="0099088D">
        <w:trPr>
          <w:trHeight w:val="525"/>
        </w:trPr>
        <w:tc>
          <w:tcPr>
            <w:tcW w:w="729" w:type="pct"/>
            <w:shd w:val="clear" w:color="auto" w:fill="auto"/>
            <w:vAlign w:val="center"/>
            <w:hideMark/>
          </w:tcPr>
          <w:p w14:paraId="7DC136D1" w14:textId="77777777" w:rsidR="008F3544" w:rsidRPr="00735CC9" w:rsidRDefault="008F3544" w:rsidP="0099088D">
            <w:pPr>
              <w:jc w:val="center"/>
              <w:rPr>
                <w:color w:val="000000"/>
                <w:sz w:val="16"/>
                <w:szCs w:val="16"/>
              </w:rPr>
            </w:pPr>
            <w:r w:rsidRPr="00735CC9">
              <w:rPr>
                <w:color w:val="000000"/>
                <w:sz w:val="16"/>
                <w:szCs w:val="16"/>
              </w:rPr>
              <w:t>3.1.2.2.3.2.</w:t>
            </w:r>
          </w:p>
        </w:tc>
        <w:tc>
          <w:tcPr>
            <w:tcW w:w="994" w:type="pct"/>
            <w:shd w:val="clear" w:color="auto" w:fill="auto"/>
            <w:vAlign w:val="center"/>
            <w:hideMark/>
          </w:tcPr>
          <w:p w14:paraId="7860EEDA" w14:textId="77777777" w:rsidR="008F3544" w:rsidRPr="00502E77"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lang w:val="en-US"/>
                      </w:rPr>
                      <m:t>max</m:t>
                    </m:r>
                    <m:r>
                      <m:rPr>
                        <m:nor/>
                      </m:rPr>
                      <w:rPr>
                        <w:color w:val="000000"/>
                      </w:rPr>
                      <m:t xml:space="preserve"> </m:t>
                    </m:r>
                    <m:r>
                      <m:rPr>
                        <m:nor/>
                      </m:rPr>
                      <w:rPr>
                        <w:color w:val="000000"/>
                        <w:lang w:val="en-US"/>
                      </w:rPr>
                      <m:t>N</m:t>
                    </m:r>
                    <m:r>
                      <m:rPr>
                        <m:nor/>
                      </m:rPr>
                      <w:rPr>
                        <w:color w:val="000000"/>
                      </w:rPr>
                      <m:t xml:space="preserve"> 3.1.2.2.3.2.</m:t>
                    </m:r>
                  </m:sub>
                  <m:sup>
                    <m:r>
                      <m:rPr>
                        <m:nor/>
                      </m:rPr>
                      <w:rPr>
                        <w:color w:val="000000"/>
                      </w:rPr>
                      <m:t>0,4 кВ и ниже</m:t>
                    </m:r>
                  </m:sup>
                </m:sSubSup>
              </m:oMath>
            </m:oMathPara>
          </w:p>
        </w:tc>
        <w:tc>
          <w:tcPr>
            <w:tcW w:w="1601" w:type="pct"/>
            <w:shd w:val="clear" w:color="auto" w:fill="auto"/>
            <w:vAlign w:val="center"/>
            <w:hideMark/>
          </w:tcPr>
          <w:p w14:paraId="39B81602" w14:textId="77777777" w:rsidR="008F3544" w:rsidRPr="00735CC9" w:rsidRDefault="008F3544" w:rsidP="0099088D">
            <w:pPr>
              <w:rPr>
                <w:color w:val="000000"/>
                <w:sz w:val="16"/>
                <w:szCs w:val="16"/>
              </w:rPr>
            </w:pPr>
            <w:r w:rsidRPr="00735CC9">
              <w:rPr>
                <w:color w:val="000000"/>
                <w:sz w:val="16"/>
                <w:szCs w:val="16"/>
              </w:rPr>
              <w:t>кабельные линии в траншеях многожильные с бумажной изоляцией сечением провода от 100 до 200 квадратных мм включительно с двумя кабелями в траншее</w:t>
            </w:r>
          </w:p>
        </w:tc>
        <w:tc>
          <w:tcPr>
            <w:tcW w:w="518" w:type="pct"/>
            <w:shd w:val="clear" w:color="auto" w:fill="auto"/>
            <w:vAlign w:val="center"/>
            <w:hideMark/>
          </w:tcPr>
          <w:p w14:paraId="66312B75" w14:textId="77777777" w:rsidR="008F3544" w:rsidRPr="00735CC9" w:rsidRDefault="008F3544" w:rsidP="0099088D">
            <w:pPr>
              <w:jc w:val="center"/>
              <w:rPr>
                <w:color w:val="000000"/>
                <w:sz w:val="16"/>
                <w:szCs w:val="16"/>
              </w:rPr>
            </w:pPr>
            <w:r w:rsidRPr="00735CC9">
              <w:rPr>
                <w:color w:val="000000"/>
                <w:sz w:val="16"/>
                <w:szCs w:val="16"/>
              </w:rPr>
              <w:t>рублей/кВт</w:t>
            </w:r>
          </w:p>
        </w:tc>
        <w:tc>
          <w:tcPr>
            <w:tcW w:w="582" w:type="pct"/>
            <w:shd w:val="clear" w:color="auto" w:fill="auto"/>
            <w:noWrap/>
            <w:vAlign w:val="center"/>
          </w:tcPr>
          <w:p w14:paraId="075D1474" w14:textId="77777777" w:rsidR="008F3544" w:rsidRPr="00735CC9" w:rsidRDefault="008F3544" w:rsidP="0099088D">
            <w:pPr>
              <w:jc w:val="center"/>
              <w:rPr>
                <w:color w:val="000000"/>
                <w:sz w:val="16"/>
                <w:szCs w:val="16"/>
              </w:rPr>
            </w:pPr>
            <w:r w:rsidRPr="00AB1701">
              <w:rPr>
                <w:color w:val="000000"/>
                <w:sz w:val="16"/>
                <w:szCs w:val="16"/>
              </w:rPr>
              <w:t>15 506,66</w:t>
            </w:r>
          </w:p>
        </w:tc>
        <w:tc>
          <w:tcPr>
            <w:tcW w:w="576" w:type="pct"/>
            <w:shd w:val="clear" w:color="auto" w:fill="auto"/>
            <w:noWrap/>
            <w:vAlign w:val="center"/>
          </w:tcPr>
          <w:p w14:paraId="18E65DAA" w14:textId="77777777" w:rsidR="008F3544" w:rsidRPr="00735CC9" w:rsidRDefault="008F3544" w:rsidP="0099088D">
            <w:pPr>
              <w:jc w:val="center"/>
              <w:rPr>
                <w:color w:val="000000"/>
                <w:sz w:val="16"/>
                <w:szCs w:val="16"/>
              </w:rPr>
            </w:pPr>
            <w:r>
              <w:rPr>
                <w:color w:val="000000"/>
                <w:sz w:val="16"/>
                <w:szCs w:val="16"/>
              </w:rPr>
              <w:t>-</w:t>
            </w:r>
          </w:p>
        </w:tc>
      </w:tr>
      <w:tr w:rsidR="008F3544" w:rsidRPr="00735CC9" w14:paraId="600CE9DF" w14:textId="77777777" w:rsidTr="0099088D">
        <w:trPr>
          <w:trHeight w:val="900"/>
        </w:trPr>
        <w:tc>
          <w:tcPr>
            <w:tcW w:w="729" w:type="pct"/>
            <w:shd w:val="clear" w:color="auto" w:fill="auto"/>
            <w:vAlign w:val="center"/>
            <w:hideMark/>
          </w:tcPr>
          <w:p w14:paraId="2896E607" w14:textId="77777777" w:rsidR="008F3544" w:rsidRPr="00735CC9" w:rsidRDefault="008F3544" w:rsidP="0099088D">
            <w:pPr>
              <w:jc w:val="center"/>
              <w:rPr>
                <w:color w:val="000000"/>
                <w:sz w:val="16"/>
                <w:szCs w:val="16"/>
              </w:rPr>
            </w:pPr>
            <w:r w:rsidRPr="00735CC9">
              <w:rPr>
                <w:color w:val="000000"/>
                <w:sz w:val="16"/>
                <w:szCs w:val="16"/>
              </w:rPr>
              <w:t>3.1.2.2.3.4.</w:t>
            </w:r>
          </w:p>
        </w:tc>
        <w:tc>
          <w:tcPr>
            <w:tcW w:w="994" w:type="pct"/>
            <w:shd w:val="clear" w:color="auto" w:fill="auto"/>
            <w:vAlign w:val="center"/>
            <w:hideMark/>
          </w:tcPr>
          <w:p w14:paraId="400356A3" w14:textId="77777777" w:rsidR="008F3544" w:rsidRPr="00502E77"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lang w:val="en-US"/>
                      </w:rPr>
                      <m:t>max</m:t>
                    </m:r>
                    <m:r>
                      <m:rPr>
                        <m:nor/>
                      </m:rPr>
                      <w:rPr>
                        <w:color w:val="000000"/>
                      </w:rPr>
                      <m:t xml:space="preserve"> </m:t>
                    </m:r>
                    <m:r>
                      <m:rPr>
                        <m:nor/>
                      </m:rPr>
                      <w:rPr>
                        <w:color w:val="000000"/>
                        <w:lang w:val="en-US"/>
                      </w:rPr>
                      <m:t>N</m:t>
                    </m:r>
                    <m:r>
                      <m:rPr>
                        <m:nor/>
                      </m:rPr>
                      <w:rPr>
                        <w:color w:val="000000"/>
                      </w:rPr>
                      <m:t xml:space="preserve"> 3.1.2.2.3.4.</m:t>
                    </m:r>
                  </m:sub>
                  <m:sup>
                    <m:r>
                      <m:rPr>
                        <m:nor/>
                      </m:rPr>
                      <w:rPr>
                        <w:color w:val="000000"/>
                      </w:rPr>
                      <m:t>0,4 кВ и ниже</m:t>
                    </m:r>
                  </m:sup>
                </m:sSubSup>
              </m:oMath>
            </m:oMathPara>
          </w:p>
        </w:tc>
        <w:tc>
          <w:tcPr>
            <w:tcW w:w="1601" w:type="pct"/>
            <w:shd w:val="clear" w:color="auto" w:fill="auto"/>
            <w:vAlign w:val="center"/>
            <w:hideMark/>
          </w:tcPr>
          <w:p w14:paraId="5B1F789D" w14:textId="77777777" w:rsidR="008F3544" w:rsidRPr="00735CC9" w:rsidRDefault="008F3544" w:rsidP="0099088D">
            <w:pPr>
              <w:rPr>
                <w:color w:val="000000"/>
                <w:sz w:val="16"/>
                <w:szCs w:val="16"/>
              </w:rPr>
            </w:pPr>
            <w:r w:rsidRPr="00735CC9">
              <w:rPr>
                <w:color w:val="000000"/>
                <w:sz w:val="16"/>
                <w:szCs w:val="16"/>
              </w:rPr>
              <w:t>кабельные линии в траншеях многожильные с бумажной изоляцией сечением провода от 100 до 200 квадратных мм включительно с четырьмя кабелями в траншее</w:t>
            </w:r>
          </w:p>
        </w:tc>
        <w:tc>
          <w:tcPr>
            <w:tcW w:w="518" w:type="pct"/>
            <w:shd w:val="clear" w:color="auto" w:fill="auto"/>
            <w:vAlign w:val="center"/>
            <w:hideMark/>
          </w:tcPr>
          <w:p w14:paraId="61631139" w14:textId="77777777" w:rsidR="008F3544" w:rsidRPr="00735CC9" w:rsidRDefault="008F3544" w:rsidP="0099088D">
            <w:pPr>
              <w:jc w:val="center"/>
              <w:rPr>
                <w:color w:val="000000"/>
                <w:sz w:val="16"/>
                <w:szCs w:val="16"/>
              </w:rPr>
            </w:pPr>
            <w:r w:rsidRPr="00735CC9">
              <w:rPr>
                <w:color w:val="000000"/>
                <w:sz w:val="16"/>
                <w:szCs w:val="16"/>
              </w:rPr>
              <w:t>рублей/кВт</w:t>
            </w:r>
          </w:p>
        </w:tc>
        <w:tc>
          <w:tcPr>
            <w:tcW w:w="582" w:type="pct"/>
            <w:shd w:val="clear" w:color="auto" w:fill="auto"/>
            <w:noWrap/>
            <w:vAlign w:val="center"/>
          </w:tcPr>
          <w:p w14:paraId="3098B104" w14:textId="77777777" w:rsidR="008F3544" w:rsidRPr="00735CC9" w:rsidRDefault="008F3544" w:rsidP="0099088D">
            <w:pPr>
              <w:jc w:val="center"/>
              <w:rPr>
                <w:color w:val="000000"/>
                <w:sz w:val="16"/>
                <w:szCs w:val="16"/>
              </w:rPr>
            </w:pPr>
            <w:r w:rsidRPr="00AB1701">
              <w:rPr>
                <w:color w:val="000000"/>
                <w:sz w:val="16"/>
                <w:szCs w:val="16"/>
              </w:rPr>
              <w:t>16 230,06</w:t>
            </w:r>
          </w:p>
        </w:tc>
        <w:tc>
          <w:tcPr>
            <w:tcW w:w="576" w:type="pct"/>
            <w:shd w:val="clear" w:color="auto" w:fill="auto"/>
            <w:noWrap/>
            <w:vAlign w:val="center"/>
          </w:tcPr>
          <w:p w14:paraId="6CCBC336" w14:textId="77777777" w:rsidR="008F3544" w:rsidRPr="00735CC9" w:rsidRDefault="008F3544" w:rsidP="0099088D">
            <w:pPr>
              <w:jc w:val="center"/>
              <w:rPr>
                <w:color w:val="000000"/>
                <w:sz w:val="16"/>
                <w:szCs w:val="16"/>
              </w:rPr>
            </w:pPr>
            <w:r>
              <w:rPr>
                <w:color w:val="000000"/>
                <w:sz w:val="16"/>
                <w:szCs w:val="16"/>
              </w:rPr>
              <w:t>-</w:t>
            </w:r>
          </w:p>
        </w:tc>
      </w:tr>
      <w:tr w:rsidR="008F3544" w:rsidRPr="00735CC9" w14:paraId="64BCCB7F" w14:textId="77777777" w:rsidTr="0099088D">
        <w:trPr>
          <w:trHeight w:val="1350"/>
        </w:trPr>
        <w:tc>
          <w:tcPr>
            <w:tcW w:w="729" w:type="pct"/>
            <w:shd w:val="clear" w:color="auto" w:fill="auto"/>
            <w:vAlign w:val="center"/>
            <w:hideMark/>
          </w:tcPr>
          <w:p w14:paraId="6A750892" w14:textId="77777777" w:rsidR="008F3544" w:rsidRPr="00735CC9" w:rsidRDefault="008F3544" w:rsidP="0099088D">
            <w:pPr>
              <w:jc w:val="center"/>
              <w:rPr>
                <w:color w:val="000000"/>
                <w:sz w:val="16"/>
                <w:szCs w:val="16"/>
              </w:rPr>
            </w:pPr>
            <w:r w:rsidRPr="00735CC9">
              <w:rPr>
                <w:color w:val="000000"/>
                <w:sz w:val="16"/>
                <w:szCs w:val="16"/>
              </w:rPr>
              <w:t>3.6.1.1.2.2.</w:t>
            </w:r>
          </w:p>
        </w:tc>
        <w:tc>
          <w:tcPr>
            <w:tcW w:w="994" w:type="pct"/>
            <w:shd w:val="clear" w:color="auto" w:fill="auto"/>
            <w:vAlign w:val="center"/>
            <w:hideMark/>
          </w:tcPr>
          <w:p w14:paraId="26D6ACD8" w14:textId="77777777" w:rsidR="008F3544" w:rsidRPr="00D62067"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lang w:val="en-US"/>
                      </w:rPr>
                      <m:t>max</m:t>
                    </m:r>
                    <m:r>
                      <m:rPr>
                        <m:nor/>
                      </m:rPr>
                      <w:rPr>
                        <w:color w:val="000000"/>
                      </w:rPr>
                      <m:t xml:space="preserve"> </m:t>
                    </m:r>
                    <m:r>
                      <m:rPr>
                        <m:nor/>
                      </m:rPr>
                      <w:rPr>
                        <w:color w:val="000000"/>
                        <w:lang w:val="en-US"/>
                      </w:rPr>
                      <m:t>N</m:t>
                    </m:r>
                    <m:r>
                      <m:rPr>
                        <m:nor/>
                      </m:rPr>
                      <w:rPr>
                        <w:color w:val="000000"/>
                      </w:rPr>
                      <m:t xml:space="preserve"> 3.6.1.1.2.2.</m:t>
                    </m:r>
                  </m:sub>
                  <m:sup>
                    <m:r>
                      <m:rPr>
                        <m:nor/>
                      </m:rPr>
                      <w:rPr>
                        <w:color w:val="000000"/>
                      </w:rPr>
                      <m:t>1-10 кВ</m:t>
                    </m:r>
                  </m:sup>
                </m:sSubSup>
              </m:oMath>
            </m:oMathPara>
          </w:p>
        </w:tc>
        <w:tc>
          <w:tcPr>
            <w:tcW w:w="1601" w:type="pct"/>
            <w:shd w:val="clear" w:color="auto" w:fill="auto"/>
            <w:vAlign w:val="center"/>
            <w:hideMark/>
          </w:tcPr>
          <w:p w14:paraId="14B1B236" w14:textId="77777777" w:rsidR="008F3544" w:rsidRPr="00735CC9" w:rsidRDefault="008F3544" w:rsidP="0099088D">
            <w:pPr>
              <w:rPr>
                <w:color w:val="000000"/>
                <w:sz w:val="16"/>
                <w:szCs w:val="16"/>
              </w:rPr>
            </w:pPr>
            <w:r w:rsidRPr="00735CC9">
              <w:rPr>
                <w:color w:val="000000"/>
                <w:sz w:val="16"/>
                <w:szCs w:val="16"/>
              </w:rPr>
              <w:t>кабельные линии, прокладываемые путем горизонтального наклонного бурения, одножильные с резиновой или пластмассовой изоляцией сечением провода от 50 до 100 квадратных мм включительно с двумя кабелями в траншее</w:t>
            </w:r>
          </w:p>
        </w:tc>
        <w:tc>
          <w:tcPr>
            <w:tcW w:w="518" w:type="pct"/>
            <w:shd w:val="clear" w:color="auto" w:fill="auto"/>
            <w:vAlign w:val="center"/>
            <w:hideMark/>
          </w:tcPr>
          <w:p w14:paraId="000E8FFF" w14:textId="77777777" w:rsidR="008F3544" w:rsidRPr="00735CC9" w:rsidRDefault="008F3544" w:rsidP="0099088D">
            <w:pPr>
              <w:jc w:val="center"/>
              <w:rPr>
                <w:color w:val="000000"/>
                <w:sz w:val="16"/>
                <w:szCs w:val="16"/>
              </w:rPr>
            </w:pPr>
            <w:r w:rsidRPr="00735CC9">
              <w:rPr>
                <w:color w:val="000000"/>
                <w:sz w:val="16"/>
                <w:szCs w:val="16"/>
              </w:rPr>
              <w:t>рублей/кВт</w:t>
            </w:r>
          </w:p>
        </w:tc>
        <w:tc>
          <w:tcPr>
            <w:tcW w:w="582" w:type="pct"/>
            <w:shd w:val="clear" w:color="auto" w:fill="auto"/>
            <w:noWrap/>
            <w:vAlign w:val="center"/>
          </w:tcPr>
          <w:p w14:paraId="49B6DCF6" w14:textId="77777777" w:rsidR="008F3544" w:rsidRPr="00735CC9" w:rsidRDefault="008F3544" w:rsidP="0099088D">
            <w:pPr>
              <w:jc w:val="center"/>
              <w:rPr>
                <w:color w:val="000000"/>
                <w:sz w:val="16"/>
                <w:szCs w:val="16"/>
              </w:rPr>
            </w:pPr>
            <w:r>
              <w:rPr>
                <w:color w:val="000000"/>
                <w:sz w:val="16"/>
                <w:szCs w:val="16"/>
              </w:rPr>
              <w:t>-</w:t>
            </w:r>
          </w:p>
        </w:tc>
        <w:tc>
          <w:tcPr>
            <w:tcW w:w="576" w:type="pct"/>
            <w:shd w:val="clear" w:color="auto" w:fill="auto"/>
            <w:noWrap/>
            <w:vAlign w:val="center"/>
          </w:tcPr>
          <w:p w14:paraId="0747B379" w14:textId="77777777" w:rsidR="008F3544" w:rsidRPr="00735CC9" w:rsidRDefault="008F3544" w:rsidP="0099088D">
            <w:pPr>
              <w:jc w:val="center"/>
              <w:rPr>
                <w:color w:val="000000"/>
                <w:sz w:val="16"/>
                <w:szCs w:val="16"/>
              </w:rPr>
            </w:pPr>
            <w:r w:rsidRPr="009863F5">
              <w:rPr>
                <w:color w:val="000000"/>
                <w:sz w:val="16"/>
                <w:szCs w:val="16"/>
              </w:rPr>
              <w:t>48 011,80</w:t>
            </w:r>
          </w:p>
        </w:tc>
      </w:tr>
      <w:tr w:rsidR="008F3544" w:rsidRPr="00735CC9" w14:paraId="201DDAE4" w14:textId="77777777" w:rsidTr="0099088D">
        <w:trPr>
          <w:trHeight w:val="1125"/>
        </w:trPr>
        <w:tc>
          <w:tcPr>
            <w:tcW w:w="729" w:type="pct"/>
            <w:shd w:val="clear" w:color="auto" w:fill="auto"/>
            <w:vAlign w:val="center"/>
            <w:hideMark/>
          </w:tcPr>
          <w:p w14:paraId="39D7BD39" w14:textId="77777777" w:rsidR="008F3544" w:rsidRPr="00735CC9" w:rsidRDefault="008F3544" w:rsidP="0099088D">
            <w:pPr>
              <w:jc w:val="center"/>
              <w:rPr>
                <w:color w:val="000000"/>
                <w:sz w:val="16"/>
                <w:szCs w:val="16"/>
              </w:rPr>
            </w:pPr>
            <w:r w:rsidRPr="00735CC9">
              <w:rPr>
                <w:color w:val="000000"/>
                <w:sz w:val="16"/>
                <w:szCs w:val="16"/>
              </w:rPr>
              <w:t>3.6.2.1.1.1.</w:t>
            </w:r>
          </w:p>
        </w:tc>
        <w:tc>
          <w:tcPr>
            <w:tcW w:w="994" w:type="pct"/>
            <w:shd w:val="clear" w:color="auto" w:fill="auto"/>
            <w:vAlign w:val="center"/>
            <w:hideMark/>
          </w:tcPr>
          <w:p w14:paraId="248317BD" w14:textId="77777777" w:rsidR="008F3544" w:rsidRPr="00B93F55"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lang w:val="en-US"/>
                      </w:rPr>
                      <m:t>max</m:t>
                    </m:r>
                    <m:r>
                      <m:rPr>
                        <m:nor/>
                      </m:rPr>
                      <w:rPr>
                        <w:color w:val="000000"/>
                      </w:rPr>
                      <m:t xml:space="preserve"> </m:t>
                    </m:r>
                    <m:r>
                      <m:rPr>
                        <m:nor/>
                      </m:rPr>
                      <w:rPr>
                        <w:color w:val="000000"/>
                        <w:lang w:val="en-US"/>
                      </w:rPr>
                      <m:t>N</m:t>
                    </m:r>
                    <m:r>
                      <m:rPr>
                        <m:nor/>
                      </m:rPr>
                      <w:rPr>
                        <w:color w:val="000000"/>
                      </w:rPr>
                      <m:t xml:space="preserve"> 3.6.2.1.1.1.</m:t>
                    </m:r>
                  </m:sub>
                  <m:sup>
                    <m:r>
                      <m:rPr>
                        <m:nor/>
                      </m:rPr>
                      <w:rPr>
                        <w:color w:val="000000"/>
                      </w:rPr>
                      <m:t>0,4 кВ и ниже</m:t>
                    </m:r>
                  </m:sup>
                </m:sSubSup>
              </m:oMath>
            </m:oMathPara>
          </w:p>
        </w:tc>
        <w:tc>
          <w:tcPr>
            <w:tcW w:w="1601" w:type="pct"/>
            <w:shd w:val="clear" w:color="auto" w:fill="auto"/>
            <w:vAlign w:val="center"/>
            <w:hideMark/>
          </w:tcPr>
          <w:p w14:paraId="543273F1" w14:textId="77777777" w:rsidR="008F3544" w:rsidRPr="00735CC9" w:rsidRDefault="008F3544" w:rsidP="0099088D">
            <w:pPr>
              <w:rPr>
                <w:color w:val="000000"/>
                <w:sz w:val="16"/>
                <w:szCs w:val="16"/>
              </w:rPr>
            </w:pPr>
            <w:r w:rsidRPr="00735CC9">
              <w:rPr>
                <w:color w:val="000000"/>
                <w:sz w:val="16"/>
                <w:szCs w:val="16"/>
              </w:rPr>
              <w:t>кабельные линии, прокладываемые путем горизонтального наклонного бурения, многожильные с резиновой или пластмассовой изоляцией сечением провода до 50 квадратных мм включительно с одним кабелем в траншее</w:t>
            </w:r>
          </w:p>
        </w:tc>
        <w:tc>
          <w:tcPr>
            <w:tcW w:w="518" w:type="pct"/>
            <w:shd w:val="clear" w:color="auto" w:fill="auto"/>
            <w:vAlign w:val="center"/>
            <w:hideMark/>
          </w:tcPr>
          <w:p w14:paraId="2E96CCED" w14:textId="77777777" w:rsidR="008F3544" w:rsidRPr="00735CC9" w:rsidRDefault="008F3544" w:rsidP="0099088D">
            <w:pPr>
              <w:jc w:val="center"/>
              <w:rPr>
                <w:color w:val="000000"/>
                <w:sz w:val="16"/>
                <w:szCs w:val="16"/>
              </w:rPr>
            </w:pPr>
            <w:r w:rsidRPr="00735CC9">
              <w:rPr>
                <w:color w:val="000000"/>
                <w:sz w:val="16"/>
                <w:szCs w:val="16"/>
              </w:rPr>
              <w:t>рублей/кВт</w:t>
            </w:r>
          </w:p>
        </w:tc>
        <w:tc>
          <w:tcPr>
            <w:tcW w:w="582" w:type="pct"/>
            <w:shd w:val="clear" w:color="auto" w:fill="auto"/>
            <w:noWrap/>
            <w:vAlign w:val="center"/>
          </w:tcPr>
          <w:p w14:paraId="6A407AE9" w14:textId="77777777" w:rsidR="008F3544" w:rsidRPr="00735CC9" w:rsidRDefault="008F3544" w:rsidP="0099088D">
            <w:pPr>
              <w:jc w:val="center"/>
              <w:rPr>
                <w:color w:val="000000"/>
                <w:sz w:val="16"/>
                <w:szCs w:val="16"/>
              </w:rPr>
            </w:pPr>
            <w:r w:rsidRPr="009863F5">
              <w:rPr>
                <w:color w:val="000000"/>
                <w:sz w:val="16"/>
                <w:szCs w:val="16"/>
              </w:rPr>
              <w:t>39 333,25</w:t>
            </w:r>
          </w:p>
        </w:tc>
        <w:tc>
          <w:tcPr>
            <w:tcW w:w="576" w:type="pct"/>
            <w:shd w:val="clear" w:color="auto" w:fill="auto"/>
            <w:noWrap/>
            <w:vAlign w:val="center"/>
          </w:tcPr>
          <w:p w14:paraId="46B81C2E" w14:textId="77777777" w:rsidR="008F3544" w:rsidRPr="00735CC9" w:rsidRDefault="008F3544" w:rsidP="0099088D">
            <w:pPr>
              <w:jc w:val="center"/>
              <w:rPr>
                <w:color w:val="000000"/>
                <w:sz w:val="16"/>
                <w:szCs w:val="16"/>
              </w:rPr>
            </w:pPr>
            <w:r>
              <w:rPr>
                <w:color w:val="000000"/>
                <w:sz w:val="16"/>
                <w:szCs w:val="16"/>
              </w:rPr>
              <w:t>-</w:t>
            </w:r>
          </w:p>
        </w:tc>
      </w:tr>
      <w:tr w:rsidR="008F3544" w:rsidRPr="00735CC9" w14:paraId="4B79C10B" w14:textId="77777777" w:rsidTr="0099088D">
        <w:trPr>
          <w:trHeight w:val="525"/>
        </w:trPr>
        <w:tc>
          <w:tcPr>
            <w:tcW w:w="729" w:type="pct"/>
            <w:shd w:val="clear" w:color="auto" w:fill="auto"/>
            <w:vAlign w:val="center"/>
            <w:hideMark/>
          </w:tcPr>
          <w:p w14:paraId="34632FED" w14:textId="77777777" w:rsidR="008F3544" w:rsidRPr="00735CC9" w:rsidRDefault="008F3544" w:rsidP="0099088D">
            <w:pPr>
              <w:jc w:val="center"/>
              <w:rPr>
                <w:color w:val="000000"/>
                <w:sz w:val="16"/>
                <w:szCs w:val="16"/>
              </w:rPr>
            </w:pPr>
            <w:r w:rsidRPr="00735CC9">
              <w:rPr>
                <w:color w:val="000000"/>
                <w:sz w:val="16"/>
                <w:szCs w:val="16"/>
              </w:rPr>
              <w:t>3.6.2.1.2.1.</w:t>
            </w:r>
          </w:p>
        </w:tc>
        <w:tc>
          <w:tcPr>
            <w:tcW w:w="994" w:type="pct"/>
            <w:shd w:val="clear" w:color="auto" w:fill="auto"/>
            <w:vAlign w:val="center"/>
            <w:hideMark/>
          </w:tcPr>
          <w:p w14:paraId="5C325B6E" w14:textId="77777777" w:rsidR="008F3544" w:rsidRPr="005F67D3"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lang w:val="en-US"/>
                      </w:rPr>
                      <m:t>max</m:t>
                    </m:r>
                    <m:r>
                      <m:rPr>
                        <m:nor/>
                      </m:rPr>
                      <w:rPr>
                        <w:color w:val="000000"/>
                      </w:rPr>
                      <m:t xml:space="preserve"> </m:t>
                    </m:r>
                    <m:r>
                      <m:rPr>
                        <m:nor/>
                      </m:rPr>
                      <w:rPr>
                        <w:color w:val="000000"/>
                        <w:lang w:val="en-US"/>
                      </w:rPr>
                      <m:t>N</m:t>
                    </m:r>
                    <m:r>
                      <m:rPr>
                        <m:nor/>
                      </m:rPr>
                      <w:rPr>
                        <w:color w:val="000000"/>
                      </w:rPr>
                      <m:t xml:space="preserve"> 3.6.2.1.2.1.</m:t>
                    </m:r>
                  </m:sub>
                  <m:sup>
                    <m:r>
                      <m:rPr>
                        <m:nor/>
                      </m:rPr>
                      <w:rPr>
                        <w:color w:val="000000"/>
                      </w:rPr>
                      <m:t>0,4 кВ и ниже</m:t>
                    </m:r>
                  </m:sup>
                </m:sSubSup>
              </m:oMath>
            </m:oMathPara>
          </w:p>
        </w:tc>
        <w:tc>
          <w:tcPr>
            <w:tcW w:w="1601" w:type="pct"/>
            <w:shd w:val="clear" w:color="auto" w:fill="auto"/>
            <w:vAlign w:val="center"/>
            <w:hideMark/>
          </w:tcPr>
          <w:p w14:paraId="12EA7DFB" w14:textId="77777777" w:rsidR="008F3544" w:rsidRPr="00735CC9" w:rsidRDefault="008F3544" w:rsidP="0099088D">
            <w:pPr>
              <w:rPr>
                <w:color w:val="000000"/>
                <w:sz w:val="16"/>
                <w:szCs w:val="16"/>
              </w:rPr>
            </w:pPr>
            <w:r w:rsidRPr="00735CC9">
              <w:rPr>
                <w:color w:val="000000"/>
                <w:sz w:val="16"/>
                <w:szCs w:val="16"/>
              </w:rPr>
              <w:t>кабельные линии, прокладываемые путем горизонтального наклонного бурения, многожильные с резиновой или пластмассовой изоляцией сечением провода от 50 до 100 квадратных мм включительно с одним кабелем в траншее</w:t>
            </w:r>
          </w:p>
        </w:tc>
        <w:tc>
          <w:tcPr>
            <w:tcW w:w="518" w:type="pct"/>
            <w:shd w:val="clear" w:color="auto" w:fill="auto"/>
            <w:vAlign w:val="center"/>
            <w:hideMark/>
          </w:tcPr>
          <w:p w14:paraId="48EFB2B1" w14:textId="77777777" w:rsidR="008F3544" w:rsidRPr="00735CC9" w:rsidRDefault="008F3544" w:rsidP="0099088D">
            <w:pPr>
              <w:jc w:val="center"/>
              <w:rPr>
                <w:color w:val="000000"/>
                <w:sz w:val="16"/>
                <w:szCs w:val="16"/>
              </w:rPr>
            </w:pPr>
            <w:r w:rsidRPr="00735CC9">
              <w:rPr>
                <w:color w:val="000000"/>
                <w:sz w:val="16"/>
                <w:szCs w:val="16"/>
              </w:rPr>
              <w:t>рублей/кВт</w:t>
            </w:r>
          </w:p>
        </w:tc>
        <w:tc>
          <w:tcPr>
            <w:tcW w:w="582" w:type="pct"/>
            <w:shd w:val="clear" w:color="auto" w:fill="auto"/>
            <w:noWrap/>
            <w:vAlign w:val="center"/>
          </w:tcPr>
          <w:p w14:paraId="2EA70618" w14:textId="77777777" w:rsidR="008F3544" w:rsidRPr="00735CC9" w:rsidRDefault="008F3544" w:rsidP="0099088D">
            <w:pPr>
              <w:jc w:val="center"/>
              <w:rPr>
                <w:color w:val="000000"/>
                <w:sz w:val="16"/>
                <w:szCs w:val="16"/>
              </w:rPr>
            </w:pPr>
            <w:r w:rsidRPr="009863F5">
              <w:rPr>
                <w:color w:val="000000"/>
                <w:sz w:val="16"/>
                <w:szCs w:val="16"/>
              </w:rPr>
              <w:t>22 767,44</w:t>
            </w:r>
          </w:p>
        </w:tc>
        <w:tc>
          <w:tcPr>
            <w:tcW w:w="576" w:type="pct"/>
            <w:shd w:val="clear" w:color="auto" w:fill="auto"/>
            <w:noWrap/>
            <w:vAlign w:val="center"/>
          </w:tcPr>
          <w:p w14:paraId="58A19FBB" w14:textId="77777777" w:rsidR="008F3544" w:rsidRPr="00735CC9" w:rsidRDefault="008F3544" w:rsidP="0099088D">
            <w:pPr>
              <w:jc w:val="center"/>
              <w:rPr>
                <w:color w:val="000000"/>
                <w:sz w:val="16"/>
                <w:szCs w:val="16"/>
              </w:rPr>
            </w:pPr>
            <w:r>
              <w:rPr>
                <w:color w:val="000000"/>
                <w:sz w:val="16"/>
                <w:szCs w:val="16"/>
              </w:rPr>
              <w:t>-</w:t>
            </w:r>
          </w:p>
        </w:tc>
      </w:tr>
      <w:tr w:rsidR="008F3544" w:rsidRPr="00735CC9" w14:paraId="102BD059" w14:textId="77777777" w:rsidTr="0099088D">
        <w:trPr>
          <w:trHeight w:val="675"/>
        </w:trPr>
        <w:tc>
          <w:tcPr>
            <w:tcW w:w="729" w:type="pct"/>
            <w:shd w:val="clear" w:color="auto" w:fill="auto"/>
            <w:vAlign w:val="center"/>
            <w:hideMark/>
          </w:tcPr>
          <w:p w14:paraId="18EFA35B" w14:textId="77777777" w:rsidR="008F3544" w:rsidRPr="00735CC9" w:rsidRDefault="008F3544" w:rsidP="0099088D">
            <w:pPr>
              <w:jc w:val="center"/>
              <w:rPr>
                <w:color w:val="000000"/>
                <w:sz w:val="16"/>
                <w:szCs w:val="16"/>
              </w:rPr>
            </w:pPr>
            <w:r w:rsidRPr="00735CC9">
              <w:rPr>
                <w:color w:val="000000"/>
                <w:sz w:val="16"/>
                <w:szCs w:val="16"/>
              </w:rPr>
              <w:t>3.6.2.1.2.2.</w:t>
            </w:r>
          </w:p>
        </w:tc>
        <w:tc>
          <w:tcPr>
            <w:tcW w:w="994" w:type="pct"/>
            <w:shd w:val="clear" w:color="auto" w:fill="auto"/>
            <w:vAlign w:val="center"/>
            <w:hideMark/>
          </w:tcPr>
          <w:p w14:paraId="3C5AA42A" w14:textId="77777777" w:rsidR="008F3544" w:rsidRPr="00D62067"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lang w:val="en-US"/>
                      </w:rPr>
                      <m:t>max</m:t>
                    </m:r>
                    <m:r>
                      <m:rPr>
                        <m:nor/>
                      </m:rPr>
                      <w:rPr>
                        <w:color w:val="000000"/>
                      </w:rPr>
                      <m:t xml:space="preserve"> </m:t>
                    </m:r>
                    <m:r>
                      <m:rPr>
                        <m:nor/>
                      </m:rPr>
                      <w:rPr>
                        <w:color w:val="000000"/>
                        <w:lang w:val="en-US"/>
                      </w:rPr>
                      <m:t>N</m:t>
                    </m:r>
                    <m:r>
                      <m:rPr>
                        <m:nor/>
                      </m:rPr>
                      <w:rPr>
                        <w:color w:val="000000"/>
                      </w:rPr>
                      <m:t xml:space="preserve"> 3.6.2.1.2.2.</m:t>
                    </m:r>
                  </m:sub>
                  <m:sup>
                    <m:r>
                      <m:rPr>
                        <m:nor/>
                      </m:rPr>
                      <w:rPr>
                        <w:color w:val="000000"/>
                      </w:rPr>
                      <m:t>1-10 кВ</m:t>
                    </m:r>
                  </m:sup>
                </m:sSubSup>
              </m:oMath>
            </m:oMathPara>
          </w:p>
        </w:tc>
        <w:tc>
          <w:tcPr>
            <w:tcW w:w="1601" w:type="pct"/>
            <w:shd w:val="clear" w:color="auto" w:fill="auto"/>
            <w:vAlign w:val="center"/>
            <w:hideMark/>
          </w:tcPr>
          <w:p w14:paraId="7C58AB62" w14:textId="77777777" w:rsidR="008F3544" w:rsidRPr="00735CC9" w:rsidRDefault="008F3544" w:rsidP="0099088D">
            <w:pPr>
              <w:rPr>
                <w:color w:val="000000"/>
                <w:sz w:val="16"/>
                <w:szCs w:val="16"/>
              </w:rPr>
            </w:pPr>
            <w:r w:rsidRPr="00735CC9">
              <w:rPr>
                <w:color w:val="000000"/>
                <w:sz w:val="16"/>
                <w:szCs w:val="16"/>
              </w:rPr>
              <w:t>кабельные линии, прокладываемые путем горизонтального наклонного бурения, многожильные с резиновой или пластмассовой изоляцией сечением провода от 50 до 100 квадратных мм включительно с двумя кабелями в траншее</w:t>
            </w:r>
          </w:p>
        </w:tc>
        <w:tc>
          <w:tcPr>
            <w:tcW w:w="518" w:type="pct"/>
            <w:shd w:val="clear" w:color="auto" w:fill="auto"/>
            <w:vAlign w:val="center"/>
            <w:hideMark/>
          </w:tcPr>
          <w:p w14:paraId="70B3BD6B" w14:textId="77777777" w:rsidR="008F3544" w:rsidRPr="00735CC9" w:rsidRDefault="008F3544" w:rsidP="0099088D">
            <w:pPr>
              <w:jc w:val="center"/>
              <w:rPr>
                <w:color w:val="000000"/>
                <w:sz w:val="16"/>
                <w:szCs w:val="16"/>
              </w:rPr>
            </w:pPr>
            <w:r w:rsidRPr="00735CC9">
              <w:rPr>
                <w:color w:val="000000"/>
                <w:sz w:val="16"/>
                <w:szCs w:val="16"/>
              </w:rPr>
              <w:t>рублей/кВт</w:t>
            </w:r>
          </w:p>
        </w:tc>
        <w:tc>
          <w:tcPr>
            <w:tcW w:w="582" w:type="pct"/>
            <w:shd w:val="clear" w:color="auto" w:fill="auto"/>
            <w:noWrap/>
            <w:vAlign w:val="center"/>
          </w:tcPr>
          <w:p w14:paraId="3A76A496" w14:textId="77777777" w:rsidR="008F3544" w:rsidRPr="00735CC9" w:rsidRDefault="008F3544" w:rsidP="0099088D">
            <w:pPr>
              <w:jc w:val="center"/>
              <w:rPr>
                <w:color w:val="000000"/>
                <w:sz w:val="16"/>
                <w:szCs w:val="16"/>
              </w:rPr>
            </w:pPr>
            <w:r>
              <w:rPr>
                <w:color w:val="000000"/>
                <w:sz w:val="16"/>
                <w:szCs w:val="16"/>
              </w:rPr>
              <w:t>-</w:t>
            </w:r>
          </w:p>
        </w:tc>
        <w:tc>
          <w:tcPr>
            <w:tcW w:w="576" w:type="pct"/>
            <w:shd w:val="clear" w:color="auto" w:fill="auto"/>
            <w:noWrap/>
            <w:vAlign w:val="center"/>
          </w:tcPr>
          <w:p w14:paraId="7494EBED" w14:textId="77777777" w:rsidR="008F3544" w:rsidRPr="00735CC9" w:rsidRDefault="008F3544" w:rsidP="0099088D">
            <w:pPr>
              <w:jc w:val="center"/>
              <w:rPr>
                <w:color w:val="000000"/>
                <w:sz w:val="16"/>
                <w:szCs w:val="16"/>
              </w:rPr>
            </w:pPr>
            <w:r w:rsidRPr="009863F5">
              <w:rPr>
                <w:color w:val="000000"/>
                <w:sz w:val="16"/>
                <w:szCs w:val="16"/>
              </w:rPr>
              <w:t>14 323,16</w:t>
            </w:r>
          </w:p>
        </w:tc>
      </w:tr>
      <w:tr w:rsidR="008F3544" w:rsidRPr="00735CC9" w14:paraId="65A8B327" w14:textId="77777777" w:rsidTr="0099088D">
        <w:trPr>
          <w:trHeight w:val="675"/>
        </w:trPr>
        <w:tc>
          <w:tcPr>
            <w:tcW w:w="729" w:type="pct"/>
            <w:vMerge w:val="restart"/>
            <w:shd w:val="clear" w:color="auto" w:fill="auto"/>
            <w:vAlign w:val="center"/>
            <w:hideMark/>
          </w:tcPr>
          <w:p w14:paraId="7BE49383" w14:textId="77777777" w:rsidR="008F3544" w:rsidRPr="00735CC9" w:rsidRDefault="008F3544" w:rsidP="0099088D">
            <w:pPr>
              <w:jc w:val="center"/>
              <w:rPr>
                <w:color w:val="000000"/>
                <w:sz w:val="16"/>
                <w:szCs w:val="16"/>
              </w:rPr>
            </w:pPr>
            <w:r w:rsidRPr="00735CC9">
              <w:rPr>
                <w:color w:val="000000"/>
                <w:sz w:val="16"/>
                <w:szCs w:val="16"/>
              </w:rPr>
              <w:t>3.6.2.1.3.1.</w:t>
            </w:r>
          </w:p>
        </w:tc>
        <w:tc>
          <w:tcPr>
            <w:tcW w:w="994" w:type="pct"/>
            <w:shd w:val="clear" w:color="auto" w:fill="auto"/>
            <w:vAlign w:val="center"/>
            <w:hideMark/>
          </w:tcPr>
          <w:p w14:paraId="0AFBF6BD" w14:textId="77777777" w:rsidR="008F3544" w:rsidRPr="00DE455B"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lang w:val="en-US"/>
                      </w:rPr>
                      <m:t>max</m:t>
                    </m:r>
                    <m:r>
                      <m:rPr>
                        <m:nor/>
                      </m:rPr>
                      <w:rPr>
                        <w:color w:val="000000"/>
                      </w:rPr>
                      <m:t xml:space="preserve"> </m:t>
                    </m:r>
                    <m:r>
                      <m:rPr>
                        <m:nor/>
                      </m:rPr>
                      <w:rPr>
                        <w:color w:val="000000"/>
                        <w:lang w:val="en-US"/>
                      </w:rPr>
                      <m:t>N</m:t>
                    </m:r>
                    <m:r>
                      <m:rPr>
                        <m:nor/>
                      </m:rPr>
                      <w:rPr>
                        <w:color w:val="000000"/>
                      </w:rPr>
                      <m:t xml:space="preserve"> 3.6.2.1.3.1.</m:t>
                    </m:r>
                  </m:sub>
                  <m:sup>
                    <m:r>
                      <m:rPr>
                        <m:nor/>
                      </m:rPr>
                      <w:rPr>
                        <w:color w:val="000000"/>
                      </w:rPr>
                      <m:t>0,4 кВ и ниже</m:t>
                    </m:r>
                  </m:sup>
                </m:sSubSup>
              </m:oMath>
            </m:oMathPara>
          </w:p>
        </w:tc>
        <w:tc>
          <w:tcPr>
            <w:tcW w:w="1601" w:type="pct"/>
            <w:vMerge w:val="restart"/>
            <w:shd w:val="clear" w:color="auto" w:fill="auto"/>
            <w:vAlign w:val="center"/>
            <w:hideMark/>
          </w:tcPr>
          <w:p w14:paraId="7F3564BB" w14:textId="77777777" w:rsidR="008F3544" w:rsidRPr="00735CC9" w:rsidRDefault="008F3544" w:rsidP="0099088D">
            <w:pPr>
              <w:rPr>
                <w:color w:val="000000"/>
                <w:sz w:val="16"/>
                <w:szCs w:val="16"/>
              </w:rPr>
            </w:pPr>
            <w:r w:rsidRPr="00735CC9">
              <w:rPr>
                <w:color w:val="000000"/>
                <w:sz w:val="16"/>
                <w:szCs w:val="16"/>
              </w:rPr>
              <w:t>кабельные линии, прокладываемые путем горизонтального наклонного бурения, многожильные с резиновой или пластмассовой изоляцией сечением провода от 100 до 200 квадратных мм включительно с одним кабелем в траншее</w:t>
            </w:r>
          </w:p>
        </w:tc>
        <w:tc>
          <w:tcPr>
            <w:tcW w:w="518" w:type="pct"/>
            <w:vMerge w:val="restart"/>
            <w:shd w:val="clear" w:color="auto" w:fill="auto"/>
            <w:vAlign w:val="center"/>
            <w:hideMark/>
          </w:tcPr>
          <w:p w14:paraId="3E66635A" w14:textId="77777777" w:rsidR="008F3544" w:rsidRPr="00735CC9" w:rsidRDefault="008F3544" w:rsidP="0099088D">
            <w:pPr>
              <w:jc w:val="center"/>
              <w:rPr>
                <w:color w:val="000000"/>
                <w:sz w:val="16"/>
                <w:szCs w:val="16"/>
              </w:rPr>
            </w:pPr>
            <w:r w:rsidRPr="00735CC9">
              <w:rPr>
                <w:color w:val="000000"/>
                <w:sz w:val="16"/>
                <w:szCs w:val="16"/>
              </w:rPr>
              <w:t>рублей/кВт</w:t>
            </w:r>
          </w:p>
        </w:tc>
        <w:tc>
          <w:tcPr>
            <w:tcW w:w="582" w:type="pct"/>
            <w:shd w:val="clear" w:color="auto" w:fill="auto"/>
            <w:noWrap/>
            <w:vAlign w:val="center"/>
          </w:tcPr>
          <w:p w14:paraId="78FE52A0" w14:textId="77777777" w:rsidR="008F3544" w:rsidRPr="00735CC9" w:rsidRDefault="008F3544" w:rsidP="0099088D">
            <w:pPr>
              <w:jc w:val="center"/>
              <w:rPr>
                <w:color w:val="000000"/>
                <w:sz w:val="16"/>
                <w:szCs w:val="16"/>
              </w:rPr>
            </w:pPr>
            <w:r w:rsidRPr="009863F5">
              <w:rPr>
                <w:color w:val="000000"/>
                <w:sz w:val="16"/>
                <w:szCs w:val="16"/>
              </w:rPr>
              <w:t>24 106,71</w:t>
            </w:r>
          </w:p>
        </w:tc>
        <w:tc>
          <w:tcPr>
            <w:tcW w:w="576" w:type="pct"/>
            <w:shd w:val="clear" w:color="auto" w:fill="auto"/>
            <w:noWrap/>
            <w:vAlign w:val="center"/>
          </w:tcPr>
          <w:p w14:paraId="4FB4C9A6" w14:textId="77777777" w:rsidR="008F3544" w:rsidRPr="00735CC9" w:rsidRDefault="008F3544" w:rsidP="0099088D">
            <w:pPr>
              <w:jc w:val="center"/>
              <w:rPr>
                <w:color w:val="000000"/>
                <w:sz w:val="16"/>
                <w:szCs w:val="16"/>
              </w:rPr>
            </w:pPr>
            <w:r w:rsidRPr="009863F5">
              <w:rPr>
                <w:color w:val="000000"/>
                <w:sz w:val="16"/>
                <w:szCs w:val="16"/>
              </w:rPr>
              <w:t>20 585,56</w:t>
            </w:r>
          </w:p>
        </w:tc>
      </w:tr>
      <w:tr w:rsidR="008F3544" w:rsidRPr="00735CC9" w14:paraId="597832D1" w14:textId="77777777" w:rsidTr="0099088D">
        <w:trPr>
          <w:trHeight w:val="675"/>
        </w:trPr>
        <w:tc>
          <w:tcPr>
            <w:tcW w:w="729" w:type="pct"/>
            <w:vMerge/>
            <w:shd w:val="clear" w:color="auto" w:fill="auto"/>
            <w:vAlign w:val="center"/>
            <w:hideMark/>
          </w:tcPr>
          <w:p w14:paraId="13EDD4CF" w14:textId="77777777" w:rsidR="008F3544" w:rsidRPr="00735CC9" w:rsidRDefault="008F3544" w:rsidP="0099088D">
            <w:pPr>
              <w:rPr>
                <w:color w:val="000000"/>
                <w:sz w:val="16"/>
                <w:szCs w:val="16"/>
              </w:rPr>
            </w:pPr>
          </w:p>
        </w:tc>
        <w:tc>
          <w:tcPr>
            <w:tcW w:w="994" w:type="pct"/>
            <w:shd w:val="clear" w:color="auto" w:fill="auto"/>
            <w:vAlign w:val="center"/>
            <w:hideMark/>
          </w:tcPr>
          <w:p w14:paraId="2609C36C" w14:textId="77777777" w:rsidR="008F3544" w:rsidRPr="00D62067"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lang w:val="en-US"/>
                      </w:rPr>
                      <m:t>max</m:t>
                    </m:r>
                    <m:r>
                      <m:rPr>
                        <m:nor/>
                      </m:rPr>
                      <w:rPr>
                        <w:color w:val="000000"/>
                      </w:rPr>
                      <m:t xml:space="preserve"> </m:t>
                    </m:r>
                    <m:r>
                      <m:rPr>
                        <m:nor/>
                      </m:rPr>
                      <w:rPr>
                        <w:color w:val="000000"/>
                        <w:lang w:val="en-US"/>
                      </w:rPr>
                      <m:t>N</m:t>
                    </m:r>
                    <m:r>
                      <m:rPr>
                        <m:nor/>
                      </m:rPr>
                      <w:rPr>
                        <w:color w:val="000000"/>
                      </w:rPr>
                      <m:t xml:space="preserve"> 3.6.2.1.3.1.</m:t>
                    </m:r>
                  </m:sub>
                  <m:sup>
                    <m:r>
                      <m:rPr>
                        <m:nor/>
                      </m:rPr>
                      <w:rPr>
                        <w:color w:val="000000"/>
                      </w:rPr>
                      <m:t>1-10 кВ</m:t>
                    </m:r>
                  </m:sup>
                </m:sSubSup>
              </m:oMath>
            </m:oMathPara>
          </w:p>
        </w:tc>
        <w:tc>
          <w:tcPr>
            <w:tcW w:w="1601" w:type="pct"/>
            <w:vMerge/>
            <w:shd w:val="clear" w:color="auto" w:fill="auto"/>
            <w:vAlign w:val="center"/>
            <w:hideMark/>
          </w:tcPr>
          <w:p w14:paraId="5F9ABEE1" w14:textId="77777777" w:rsidR="008F3544" w:rsidRPr="00735CC9" w:rsidRDefault="008F3544" w:rsidP="0099088D">
            <w:pPr>
              <w:rPr>
                <w:color w:val="000000"/>
                <w:sz w:val="16"/>
                <w:szCs w:val="16"/>
              </w:rPr>
            </w:pPr>
          </w:p>
        </w:tc>
        <w:tc>
          <w:tcPr>
            <w:tcW w:w="518" w:type="pct"/>
            <w:vMerge/>
            <w:shd w:val="clear" w:color="auto" w:fill="auto"/>
            <w:vAlign w:val="center"/>
            <w:hideMark/>
          </w:tcPr>
          <w:p w14:paraId="4E99A3DD" w14:textId="77777777" w:rsidR="008F3544" w:rsidRPr="00735CC9" w:rsidRDefault="008F3544" w:rsidP="0099088D">
            <w:pPr>
              <w:rPr>
                <w:color w:val="000000"/>
                <w:sz w:val="16"/>
                <w:szCs w:val="16"/>
              </w:rPr>
            </w:pPr>
          </w:p>
        </w:tc>
        <w:tc>
          <w:tcPr>
            <w:tcW w:w="582" w:type="pct"/>
            <w:shd w:val="clear" w:color="auto" w:fill="auto"/>
            <w:noWrap/>
            <w:vAlign w:val="center"/>
          </w:tcPr>
          <w:p w14:paraId="7730453A" w14:textId="77777777" w:rsidR="008F3544" w:rsidRPr="00735CC9" w:rsidRDefault="008F3544" w:rsidP="0099088D">
            <w:pPr>
              <w:jc w:val="center"/>
              <w:rPr>
                <w:color w:val="000000"/>
                <w:sz w:val="16"/>
                <w:szCs w:val="16"/>
              </w:rPr>
            </w:pPr>
            <w:r w:rsidRPr="009863F5">
              <w:rPr>
                <w:color w:val="000000"/>
                <w:sz w:val="16"/>
                <w:szCs w:val="16"/>
              </w:rPr>
              <w:t>24 720,80</w:t>
            </w:r>
          </w:p>
        </w:tc>
        <w:tc>
          <w:tcPr>
            <w:tcW w:w="576" w:type="pct"/>
            <w:shd w:val="clear" w:color="auto" w:fill="auto"/>
            <w:noWrap/>
            <w:vAlign w:val="center"/>
          </w:tcPr>
          <w:p w14:paraId="11DCAA26" w14:textId="77777777" w:rsidR="008F3544" w:rsidRPr="00735CC9" w:rsidRDefault="008F3544" w:rsidP="0099088D">
            <w:pPr>
              <w:jc w:val="center"/>
              <w:rPr>
                <w:color w:val="000000"/>
                <w:sz w:val="16"/>
                <w:szCs w:val="16"/>
              </w:rPr>
            </w:pPr>
            <w:r>
              <w:rPr>
                <w:color w:val="000000"/>
                <w:sz w:val="16"/>
                <w:szCs w:val="16"/>
              </w:rPr>
              <w:t>-</w:t>
            </w:r>
          </w:p>
        </w:tc>
      </w:tr>
      <w:tr w:rsidR="008F3544" w:rsidRPr="00735CC9" w14:paraId="1EF97BD7" w14:textId="77777777" w:rsidTr="0099088D">
        <w:trPr>
          <w:trHeight w:val="675"/>
        </w:trPr>
        <w:tc>
          <w:tcPr>
            <w:tcW w:w="729" w:type="pct"/>
            <w:shd w:val="clear" w:color="auto" w:fill="auto"/>
            <w:vAlign w:val="center"/>
            <w:hideMark/>
          </w:tcPr>
          <w:p w14:paraId="734272E9" w14:textId="77777777" w:rsidR="008F3544" w:rsidRPr="00735CC9" w:rsidRDefault="008F3544" w:rsidP="0099088D">
            <w:pPr>
              <w:jc w:val="center"/>
              <w:rPr>
                <w:color w:val="000000"/>
                <w:sz w:val="16"/>
                <w:szCs w:val="16"/>
              </w:rPr>
            </w:pPr>
            <w:r w:rsidRPr="00735CC9">
              <w:rPr>
                <w:color w:val="000000"/>
                <w:sz w:val="16"/>
                <w:szCs w:val="16"/>
              </w:rPr>
              <w:t>3.6.2.1.3.2.</w:t>
            </w:r>
          </w:p>
        </w:tc>
        <w:tc>
          <w:tcPr>
            <w:tcW w:w="994" w:type="pct"/>
            <w:shd w:val="clear" w:color="auto" w:fill="auto"/>
            <w:vAlign w:val="center"/>
            <w:hideMark/>
          </w:tcPr>
          <w:p w14:paraId="573F3F91" w14:textId="77777777" w:rsidR="008F3544" w:rsidRPr="00D62067"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lang w:val="en-US"/>
                      </w:rPr>
                      <m:t>max</m:t>
                    </m:r>
                    <m:r>
                      <m:rPr>
                        <m:nor/>
                      </m:rPr>
                      <w:rPr>
                        <w:color w:val="000000"/>
                      </w:rPr>
                      <m:t xml:space="preserve"> </m:t>
                    </m:r>
                    <m:r>
                      <m:rPr>
                        <m:nor/>
                      </m:rPr>
                      <w:rPr>
                        <w:color w:val="000000"/>
                        <w:lang w:val="en-US"/>
                      </w:rPr>
                      <m:t>N</m:t>
                    </m:r>
                    <m:r>
                      <m:rPr>
                        <m:nor/>
                      </m:rPr>
                      <w:rPr>
                        <w:color w:val="000000"/>
                      </w:rPr>
                      <m:t xml:space="preserve"> 3.6.2.1.3.2.</m:t>
                    </m:r>
                  </m:sub>
                  <m:sup>
                    <m:r>
                      <m:rPr>
                        <m:nor/>
                      </m:rPr>
                      <w:rPr>
                        <w:color w:val="000000"/>
                      </w:rPr>
                      <m:t>1-10 кВ</m:t>
                    </m:r>
                  </m:sup>
                </m:sSubSup>
              </m:oMath>
            </m:oMathPara>
          </w:p>
        </w:tc>
        <w:tc>
          <w:tcPr>
            <w:tcW w:w="1601" w:type="pct"/>
            <w:shd w:val="clear" w:color="auto" w:fill="auto"/>
            <w:vAlign w:val="center"/>
            <w:hideMark/>
          </w:tcPr>
          <w:p w14:paraId="30767F4F" w14:textId="77777777" w:rsidR="008F3544" w:rsidRPr="00735CC9" w:rsidRDefault="008F3544" w:rsidP="0099088D">
            <w:pPr>
              <w:rPr>
                <w:color w:val="000000"/>
                <w:sz w:val="16"/>
                <w:szCs w:val="16"/>
              </w:rPr>
            </w:pPr>
            <w:r w:rsidRPr="00735CC9">
              <w:rPr>
                <w:color w:val="000000"/>
                <w:sz w:val="16"/>
                <w:szCs w:val="16"/>
              </w:rPr>
              <w:t>кабельные линии, прокладываемые путем горизонтального наклонного бурения, многожильные с резиновой или пластмассовой изоляцией сечением провода от 100 до 200 квадратных мм включительно с двумя кабелями в траншее</w:t>
            </w:r>
          </w:p>
        </w:tc>
        <w:tc>
          <w:tcPr>
            <w:tcW w:w="518" w:type="pct"/>
            <w:shd w:val="clear" w:color="auto" w:fill="auto"/>
            <w:vAlign w:val="center"/>
            <w:hideMark/>
          </w:tcPr>
          <w:p w14:paraId="4CFEC72D" w14:textId="77777777" w:rsidR="008F3544" w:rsidRPr="00735CC9" w:rsidRDefault="008F3544" w:rsidP="0099088D">
            <w:pPr>
              <w:jc w:val="center"/>
              <w:rPr>
                <w:color w:val="000000"/>
                <w:sz w:val="16"/>
                <w:szCs w:val="16"/>
              </w:rPr>
            </w:pPr>
            <w:r w:rsidRPr="00735CC9">
              <w:rPr>
                <w:color w:val="000000"/>
                <w:sz w:val="16"/>
                <w:szCs w:val="16"/>
              </w:rPr>
              <w:t>рублей/кВт</w:t>
            </w:r>
          </w:p>
        </w:tc>
        <w:tc>
          <w:tcPr>
            <w:tcW w:w="582" w:type="pct"/>
            <w:shd w:val="clear" w:color="auto" w:fill="auto"/>
            <w:noWrap/>
            <w:vAlign w:val="center"/>
          </w:tcPr>
          <w:p w14:paraId="652BDC24" w14:textId="77777777" w:rsidR="008F3544" w:rsidRPr="00735CC9" w:rsidRDefault="008F3544" w:rsidP="0099088D">
            <w:pPr>
              <w:jc w:val="center"/>
              <w:rPr>
                <w:color w:val="000000"/>
                <w:sz w:val="16"/>
                <w:szCs w:val="16"/>
              </w:rPr>
            </w:pPr>
            <w:r>
              <w:rPr>
                <w:color w:val="000000"/>
                <w:sz w:val="16"/>
                <w:szCs w:val="16"/>
              </w:rPr>
              <w:t>-</w:t>
            </w:r>
          </w:p>
        </w:tc>
        <w:tc>
          <w:tcPr>
            <w:tcW w:w="576" w:type="pct"/>
            <w:shd w:val="clear" w:color="auto" w:fill="auto"/>
            <w:noWrap/>
            <w:vAlign w:val="center"/>
          </w:tcPr>
          <w:p w14:paraId="5EA94644" w14:textId="77777777" w:rsidR="008F3544" w:rsidRPr="00735CC9" w:rsidRDefault="008F3544" w:rsidP="0099088D">
            <w:pPr>
              <w:jc w:val="center"/>
              <w:rPr>
                <w:color w:val="000000"/>
                <w:sz w:val="16"/>
                <w:szCs w:val="16"/>
              </w:rPr>
            </w:pPr>
            <w:r w:rsidRPr="009863F5">
              <w:rPr>
                <w:color w:val="000000"/>
                <w:sz w:val="16"/>
                <w:szCs w:val="16"/>
              </w:rPr>
              <w:t>23 694,37</w:t>
            </w:r>
          </w:p>
        </w:tc>
      </w:tr>
      <w:tr w:rsidR="008F3544" w:rsidRPr="00735CC9" w14:paraId="4FCBAE6D" w14:textId="77777777" w:rsidTr="0099088D">
        <w:trPr>
          <w:trHeight w:val="675"/>
        </w:trPr>
        <w:tc>
          <w:tcPr>
            <w:tcW w:w="729" w:type="pct"/>
            <w:shd w:val="clear" w:color="auto" w:fill="auto"/>
            <w:vAlign w:val="center"/>
            <w:hideMark/>
          </w:tcPr>
          <w:p w14:paraId="6410B87A" w14:textId="77777777" w:rsidR="008F3544" w:rsidRPr="00735CC9" w:rsidRDefault="008F3544" w:rsidP="0099088D">
            <w:pPr>
              <w:jc w:val="center"/>
              <w:rPr>
                <w:color w:val="000000"/>
                <w:sz w:val="16"/>
                <w:szCs w:val="16"/>
              </w:rPr>
            </w:pPr>
            <w:r w:rsidRPr="00735CC9">
              <w:rPr>
                <w:color w:val="000000"/>
                <w:sz w:val="16"/>
                <w:szCs w:val="16"/>
              </w:rPr>
              <w:t>3.6.2.1.4.1.</w:t>
            </w:r>
          </w:p>
        </w:tc>
        <w:tc>
          <w:tcPr>
            <w:tcW w:w="994" w:type="pct"/>
            <w:shd w:val="clear" w:color="auto" w:fill="auto"/>
            <w:vAlign w:val="center"/>
            <w:hideMark/>
          </w:tcPr>
          <w:p w14:paraId="70820432" w14:textId="77777777" w:rsidR="008F3544" w:rsidRPr="00DE455B"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lang w:val="en-US"/>
                      </w:rPr>
                      <m:t>max</m:t>
                    </m:r>
                    <m:r>
                      <m:rPr>
                        <m:nor/>
                      </m:rPr>
                      <w:rPr>
                        <w:color w:val="000000"/>
                      </w:rPr>
                      <m:t xml:space="preserve"> </m:t>
                    </m:r>
                    <m:r>
                      <m:rPr>
                        <m:nor/>
                      </m:rPr>
                      <w:rPr>
                        <w:color w:val="000000"/>
                        <w:lang w:val="en-US"/>
                      </w:rPr>
                      <m:t>N</m:t>
                    </m:r>
                    <m:r>
                      <m:rPr>
                        <m:nor/>
                      </m:rPr>
                      <w:rPr>
                        <w:color w:val="000000"/>
                      </w:rPr>
                      <m:t xml:space="preserve"> 3.6.2.1.4.1.</m:t>
                    </m:r>
                  </m:sub>
                  <m:sup>
                    <m:r>
                      <m:rPr>
                        <m:nor/>
                      </m:rPr>
                      <w:rPr>
                        <w:color w:val="000000"/>
                      </w:rPr>
                      <m:t>0,4 кВ и ниже</m:t>
                    </m:r>
                  </m:sup>
                </m:sSubSup>
              </m:oMath>
            </m:oMathPara>
          </w:p>
        </w:tc>
        <w:tc>
          <w:tcPr>
            <w:tcW w:w="1601" w:type="pct"/>
            <w:shd w:val="clear" w:color="auto" w:fill="auto"/>
            <w:vAlign w:val="center"/>
            <w:hideMark/>
          </w:tcPr>
          <w:p w14:paraId="46E7F73D" w14:textId="77777777" w:rsidR="008F3544" w:rsidRPr="00735CC9" w:rsidRDefault="008F3544" w:rsidP="0099088D">
            <w:pPr>
              <w:rPr>
                <w:color w:val="000000"/>
                <w:sz w:val="16"/>
                <w:szCs w:val="16"/>
              </w:rPr>
            </w:pPr>
            <w:r w:rsidRPr="00735CC9">
              <w:rPr>
                <w:color w:val="000000"/>
                <w:sz w:val="16"/>
                <w:szCs w:val="16"/>
              </w:rPr>
              <w:t>кабельные линии, прокладываемые путем горизонтального наклонного бурения, многожильные с резиновой или пластмассовой изоляцией сечением провода от 200 до 250 квадратных мм включительно с одним кабелем в траншее</w:t>
            </w:r>
          </w:p>
        </w:tc>
        <w:tc>
          <w:tcPr>
            <w:tcW w:w="518" w:type="pct"/>
            <w:shd w:val="clear" w:color="auto" w:fill="auto"/>
            <w:vAlign w:val="center"/>
            <w:hideMark/>
          </w:tcPr>
          <w:p w14:paraId="4C04A96A" w14:textId="77777777" w:rsidR="008F3544" w:rsidRPr="00735CC9" w:rsidRDefault="008F3544" w:rsidP="0099088D">
            <w:pPr>
              <w:jc w:val="center"/>
              <w:rPr>
                <w:color w:val="000000"/>
                <w:sz w:val="16"/>
                <w:szCs w:val="16"/>
              </w:rPr>
            </w:pPr>
            <w:r w:rsidRPr="00735CC9">
              <w:rPr>
                <w:color w:val="000000"/>
                <w:sz w:val="16"/>
                <w:szCs w:val="16"/>
              </w:rPr>
              <w:t>рублей/кВт</w:t>
            </w:r>
          </w:p>
        </w:tc>
        <w:tc>
          <w:tcPr>
            <w:tcW w:w="582" w:type="pct"/>
            <w:shd w:val="clear" w:color="auto" w:fill="auto"/>
            <w:noWrap/>
            <w:vAlign w:val="center"/>
          </w:tcPr>
          <w:p w14:paraId="69E42192" w14:textId="77777777" w:rsidR="008F3544" w:rsidRPr="00735CC9" w:rsidRDefault="008F3544" w:rsidP="0099088D">
            <w:pPr>
              <w:jc w:val="center"/>
              <w:rPr>
                <w:color w:val="000000"/>
                <w:sz w:val="16"/>
                <w:szCs w:val="16"/>
              </w:rPr>
            </w:pPr>
            <w:r w:rsidRPr="009863F5">
              <w:rPr>
                <w:color w:val="000000"/>
                <w:sz w:val="16"/>
                <w:szCs w:val="16"/>
              </w:rPr>
              <w:t>50 516,13</w:t>
            </w:r>
          </w:p>
        </w:tc>
        <w:tc>
          <w:tcPr>
            <w:tcW w:w="576" w:type="pct"/>
            <w:shd w:val="clear" w:color="auto" w:fill="auto"/>
            <w:noWrap/>
            <w:vAlign w:val="center"/>
          </w:tcPr>
          <w:p w14:paraId="6FE8C49D" w14:textId="77777777" w:rsidR="008F3544" w:rsidRPr="00735CC9" w:rsidRDefault="008F3544" w:rsidP="0099088D">
            <w:pPr>
              <w:jc w:val="center"/>
              <w:rPr>
                <w:color w:val="000000"/>
                <w:sz w:val="16"/>
                <w:szCs w:val="16"/>
              </w:rPr>
            </w:pPr>
            <w:r w:rsidRPr="009863F5">
              <w:rPr>
                <w:color w:val="000000"/>
                <w:sz w:val="16"/>
                <w:szCs w:val="16"/>
              </w:rPr>
              <w:t>22 738,66</w:t>
            </w:r>
          </w:p>
        </w:tc>
      </w:tr>
      <w:tr w:rsidR="008F3544" w:rsidRPr="00735CC9" w14:paraId="0475DA90" w14:textId="77777777" w:rsidTr="0099088D">
        <w:trPr>
          <w:trHeight w:val="1350"/>
        </w:trPr>
        <w:tc>
          <w:tcPr>
            <w:tcW w:w="729" w:type="pct"/>
            <w:shd w:val="clear" w:color="auto" w:fill="auto"/>
            <w:vAlign w:val="center"/>
            <w:hideMark/>
          </w:tcPr>
          <w:p w14:paraId="53EF5AF2" w14:textId="77777777" w:rsidR="008F3544" w:rsidRPr="00735CC9" w:rsidRDefault="008F3544" w:rsidP="0099088D">
            <w:pPr>
              <w:jc w:val="center"/>
              <w:rPr>
                <w:color w:val="000000"/>
                <w:sz w:val="16"/>
                <w:szCs w:val="16"/>
              </w:rPr>
            </w:pPr>
            <w:r w:rsidRPr="00735CC9">
              <w:rPr>
                <w:color w:val="000000"/>
                <w:sz w:val="16"/>
                <w:szCs w:val="16"/>
              </w:rPr>
              <w:t>3.6.2.1.4.2.</w:t>
            </w:r>
          </w:p>
        </w:tc>
        <w:tc>
          <w:tcPr>
            <w:tcW w:w="994" w:type="pct"/>
            <w:shd w:val="clear" w:color="auto" w:fill="auto"/>
            <w:vAlign w:val="center"/>
            <w:hideMark/>
          </w:tcPr>
          <w:p w14:paraId="2080DD78" w14:textId="77777777" w:rsidR="008F3544" w:rsidRPr="00DE455B"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lang w:val="en-US"/>
                      </w:rPr>
                      <m:t>max</m:t>
                    </m:r>
                    <m:r>
                      <m:rPr>
                        <m:nor/>
                      </m:rPr>
                      <w:rPr>
                        <w:color w:val="000000"/>
                      </w:rPr>
                      <m:t xml:space="preserve"> </m:t>
                    </m:r>
                    <m:r>
                      <m:rPr>
                        <m:nor/>
                      </m:rPr>
                      <w:rPr>
                        <w:color w:val="000000"/>
                        <w:lang w:val="en-US"/>
                      </w:rPr>
                      <m:t>N</m:t>
                    </m:r>
                    <m:r>
                      <m:rPr>
                        <m:nor/>
                      </m:rPr>
                      <w:rPr>
                        <w:color w:val="000000"/>
                      </w:rPr>
                      <m:t xml:space="preserve"> 3.6.2.1.4.2.</m:t>
                    </m:r>
                  </m:sub>
                  <m:sup>
                    <m:r>
                      <m:rPr>
                        <m:nor/>
                      </m:rPr>
                      <w:rPr>
                        <w:color w:val="000000"/>
                      </w:rPr>
                      <m:t>0,4 кВ и ниже</m:t>
                    </m:r>
                  </m:sup>
                </m:sSubSup>
              </m:oMath>
            </m:oMathPara>
          </w:p>
        </w:tc>
        <w:tc>
          <w:tcPr>
            <w:tcW w:w="1601" w:type="pct"/>
            <w:shd w:val="clear" w:color="auto" w:fill="auto"/>
            <w:vAlign w:val="center"/>
            <w:hideMark/>
          </w:tcPr>
          <w:p w14:paraId="0ABCF91F" w14:textId="77777777" w:rsidR="008F3544" w:rsidRPr="00735CC9" w:rsidRDefault="008F3544" w:rsidP="0099088D">
            <w:pPr>
              <w:rPr>
                <w:color w:val="000000"/>
                <w:sz w:val="16"/>
                <w:szCs w:val="16"/>
              </w:rPr>
            </w:pPr>
            <w:r w:rsidRPr="00735CC9">
              <w:rPr>
                <w:color w:val="000000"/>
                <w:sz w:val="16"/>
                <w:szCs w:val="16"/>
              </w:rPr>
              <w:t>кабельные линии, прокладываемые путем горизонтального наклонного бурения, многожильные с резиновой или пластмассовой изоляцией сечением провода от 200 до 250 квадратных мм включительно с двумя кабелями в траншее</w:t>
            </w:r>
          </w:p>
        </w:tc>
        <w:tc>
          <w:tcPr>
            <w:tcW w:w="518" w:type="pct"/>
            <w:shd w:val="clear" w:color="auto" w:fill="auto"/>
            <w:vAlign w:val="center"/>
            <w:hideMark/>
          </w:tcPr>
          <w:p w14:paraId="0EADDA67" w14:textId="77777777" w:rsidR="008F3544" w:rsidRPr="00735CC9" w:rsidRDefault="008F3544" w:rsidP="0099088D">
            <w:pPr>
              <w:jc w:val="center"/>
              <w:rPr>
                <w:color w:val="000000"/>
                <w:sz w:val="16"/>
                <w:szCs w:val="16"/>
              </w:rPr>
            </w:pPr>
            <w:r w:rsidRPr="00735CC9">
              <w:rPr>
                <w:color w:val="000000"/>
                <w:sz w:val="16"/>
                <w:szCs w:val="16"/>
              </w:rPr>
              <w:t>рублей/Вт</w:t>
            </w:r>
          </w:p>
        </w:tc>
        <w:tc>
          <w:tcPr>
            <w:tcW w:w="582" w:type="pct"/>
            <w:shd w:val="clear" w:color="auto" w:fill="auto"/>
            <w:noWrap/>
            <w:vAlign w:val="center"/>
          </w:tcPr>
          <w:p w14:paraId="3EA0677A" w14:textId="77777777" w:rsidR="008F3544" w:rsidRPr="00735CC9" w:rsidRDefault="008F3544" w:rsidP="0099088D">
            <w:pPr>
              <w:jc w:val="center"/>
              <w:rPr>
                <w:color w:val="000000"/>
                <w:sz w:val="16"/>
                <w:szCs w:val="16"/>
              </w:rPr>
            </w:pPr>
            <w:r w:rsidRPr="009863F5">
              <w:rPr>
                <w:color w:val="000000"/>
                <w:sz w:val="16"/>
                <w:szCs w:val="16"/>
              </w:rPr>
              <w:t>30 804,71</w:t>
            </w:r>
          </w:p>
        </w:tc>
        <w:tc>
          <w:tcPr>
            <w:tcW w:w="576" w:type="pct"/>
            <w:shd w:val="clear" w:color="auto" w:fill="auto"/>
            <w:noWrap/>
            <w:vAlign w:val="center"/>
          </w:tcPr>
          <w:p w14:paraId="2AAE86CB" w14:textId="77777777" w:rsidR="008F3544" w:rsidRPr="00735CC9" w:rsidRDefault="008F3544" w:rsidP="0099088D">
            <w:pPr>
              <w:jc w:val="center"/>
              <w:rPr>
                <w:color w:val="000000"/>
                <w:sz w:val="16"/>
                <w:szCs w:val="16"/>
              </w:rPr>
            </w:pPr>
            <w:r>
              <w:rPr>
                <w:color w:val="000000"/>
                <w:sz w:val="16"/>
                <w:szCs w:val="16"/>
              </w:rPr>
              <w:t>-</w:t>
            </w:r>
          </w:p>
        </w:tc>
      </w:tr>
      <w:tr w:rsidR="008F3544" w:rsidRPr="00735CC9" w14:paraId="0054D666" w14:textId="77777777" w:rsidTr="0099088D">
        <w:trPr>
          <w:trHeight w:val="450"/>
        </w:trPr>
        <w:tc>
          <w:tcPr>
            <w:tcW w:w="729" w:type="pct"/>
            <w:shd w:val="clear" w:color="auto" w:fill="auto"/>
            <w:vAlign w:val="center"/>
            <w:hideMark/>
          </w:tcPr>
          <w:p w14:paraId="384E7E5C" w14:textId="77777777" w:rsidR="008F3544" w:rsidRPr="00735CC9" w:rsidRDefault="008F3544" w:rsidP="0099088D">
            <w:pPr>
              <w:jc w:val="center"/>
              <w:rPr>
                <w:color w:val="000000"/>
                <w:sz w:val="16"/>
                <w:szCs w:val="16"/>
              </w:rPr>
            </w:pPr>
            <w:r w:rsidRPr="00735CC9">
              <w:rPr>
                <w:color w:val="000000"/>
                <w:sz w:val="16"/>
                <w:szCs w:val="16"/>
              </w:rPr>
              <w:t>4.2.1.</w:t>
            </w:r>
          </w:p>
        </w:tc>
        <w:tc>
          <w:tcPr>
            <w:tcW w:w="994" w:type="pct"/>
            <w:shd w:val="clear" w:color="auto" w:fill="auto"/>
            <w:vAlign w:val="center"/>
            <w:hideMark/>
          </w:tcPr>
          <w:p w14:paraId="3652642B" w14:textId="77777777" w:rsidR="008F3544" w:rsidRPr="00965612"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lang w:val="en-US"/>
                      </w:rPr>
                      <m:t>max</m:t>
                    </m:r>
                    <m:r>
                      <m:rPr>
                        <m:nor/>
                      </m:rPr>
                      <w:rPr>
                        <w:color w:val="000000"/>
                      </w:rPr>
                      <m:t xml:space="preserve"> </m:t>
                    </m:r>
                    <m:r>
                      <m:rPr>
                        <m:nor/>
                      </m:rPr>
                      <w:rPr>
                        <w:color w:val="000000"/>
                        <w:lang w:val="en-US"/>
                      </w:rPr>
                      <m:t>N</m:t>
                    </m:r>
                    <m:r>
                      <m:rPr>
                        <m:nor/>
                      </m:rPr>
                      <w:rPr>
                        <w:color w:val="000000"/>
                      </w:rPr>
                      <m:t xml:space="preserve"> 4.2.1.</m:t>
                    </m:r>
                  </m:sub>
                  <m:sup>
                    <m:r>
                      <m:rPr>
                        <m:nor/>
                      </m:rPr>
                      <w:rPr>
                        <w:color w:val="000000"/>
                      </w:rPr>
                      <m:t>1-20 кВ</m:t>
                    </m:r>
                  </m:sup>
                </m:sSubSup>
              </m:oMath>
            </m:oMathPara>
          </w:p>
        </w:tc>
        <w:tc>
          <w:tcPr>
            <w:tcW w:w="1601" w:type="pct"/>
            <w:shd w:val="clear" w:color="auto" w:fill="auto"/>
            <w:vAlign w:val="center"/>
            <w:hideMark/>
          </w:tcPr>
          <w:p w14:paraId="11D989CF" w14:textId="77777777" w:rsidR="008F3544" w:rsidRPr="00735CC9" w:rsidRDefault="008F3544" w:rsidP="0099088D">
            <w:pPr>
              <w:rPr>
                <w:color w:val="000000"/>
                <w:sz w:val="16"/>
                <w:szCs w:val="16"/>
              </w:rPr>
            </w:pPr>
            <w:r w:rsidRPr="00735CC9">
              <w:rPr>
                <w:color w:val="000000"/>
                <w:sz w:val="16"/>
                <w:szCs w:val="16"/>
              </w:rPr>
              <w:t>линейные разъединители номинальным током до 100 А включительно</w:t>
            </w:r>
          </w:p>
        </w:tc>
        <w:tc>
          <w:tcPr>
            <w:tcW w:w="518" w:type="pct"/>
            <w:shd w:val="clear" w:color="auto" w:fill="auto"/>
            <w:vAlign w:val="center"/>
            <w:hideMark/>
          </w:tcPr>
          <w:p w14:paraId="618888EA" w14:textId="77777777" w:rsidR="008F3544" w:rsidRPr="00735CC9" w:rsidRDefault="008F3544" w:rsidP="0099088D">
            <w:pPr>
              <w:jc w:val="center"/>
              <w:rPr>
                <w:color w:val="000000"/>
                <w:sz w:val="16"/>
                <w:szCs w:val="16"/>
              </w:rPr>
            </w:pPr>
            <w:r w:rsidRPr="00735CC9">
              <w:rPr>
                <w:color w:val="000000"/>
                <w:sz w:val="16"/>
                <w:szCs w:val="16"/>
              </w:rPr>
              <w:t>рублей/кВт</w:t>
            </w:r>
          </w:p>
        </w:tc>
        <w:tc>
          <w:tcPr>
            <w:tcW w:w="582" w:type="pct"/>
            <w:shd w:val="clear" w:color="auto" w:fill="auto"/>
            <w:noWrap/>
            <w:vAlign w:val="center"/>
            <w:hideMark/>
          </w:tcPr>
          <w:p w14:paraId="4DF9541F" w14:textId="77777777" w:rsidR="008F3544" w:rsidRPr="00735CC9" w:rsidRDefault="008F3544" w:rsidP="0099088D">
            <w:pPr>
              <w:jc w:val="center"/>
              <w:rPr>
                <w:color w:val="000000"/>
                <w:sz w:val="16"/>
                <w:szCs w:val="16"/>
              </w:rPr>
            </w:pPr>
            <w:r w:rsidRPr="00735CC9">
              <w:rPr>
                <w:color w:val="000000"/>
                <w:sz w:val="16"/>
                <w:szCs w:val="16"/>
              </w:rPr>
              <w:t>71,84</w:t>
            </w:r>
          </w:p>
        </w:tc>
        <w:tc>
          <w:tcPr>
            <w:tcW w:w="576" w:type="pct"/>
            <w:shd w:val="clear" w:color="auto" w:fill="auto"/>
            <w:noWrap/>
            <w:vAlign w:val="center"/>
            <w:hideMark/>
          </w:tcPr>
          <w:p w14:paraId="711CFE4D" w14:textId="77777777" w:rsidR="008F3544" w:rsidRPr="00735CC9" w:rsidRDefault="008F3544" w:rsidP="0099088D">
            <w:pPr>
              <w:jc w:val="center"/>
              <w:rPr>
                <w:color w:val="000000"/>
                <w:sz w:val="16"/>
                <w:szCs w:val="16"/>
              </w:rPr>
            </w:pPr>
            <w:r>
              <w:rPr>
                <w:color w:val="000000"/>
                <w:sz w:val="16"/>
                <w:szCs w:val="16"/>
              </w:rPr>
              <w:t>-</w:t>
            </w:r>
          </w:p>
        </w:tc>
      </w:tr>
      <w:tr w:rsidR="008F3544" w:rsidRPr="00735CC9" w14:paraId="1D833BE0" w14:textId="77777777" w:rsidTr="0099088D">
        <w:trPr>
          <w:trHeight w:val="675"/>
        </w:trPr>
        <w:tc>
          <w:tcPr>
            <w:tcW w:w="729" w:type="pct"/>
            <w:shd w:val="clear" w:color="auto" w:fill="auto"/>
            <w:vAlign w:val="center"/>
            <w:hideMark/>
          </w:tcPr>
          <w:p w14:paraId="51B1B56F" w14:textId="77777777" w:rsidR="008F3544" w:rsidRPr="00735CC9" w:rsidRDefault="008F3544" w:rsidP="0099088D">
            <w:pPr>
              <w:jc w:val="center"/>
              <w:rPr>
                <w:color w:val="000000"/>
                <w:sz w:val="16"/>
                <w:szCs w:val="16"/>
              </w:rPr>
            </w:pPr>
            <w:r w:rsidRPr="00735CC9">
              <w:rPr>
                <w:color w:val="000000"/>
                <w:sz w:val="16"/>
                <w:szCs w:val="16"/>
              </w:rPr>
              <w:t>4.6.3.2.</w:t>
            </w:r>
          </w:p>
        </w:tc>
        <w:tc>
          <w:tcPr>
            <w:tcW w:w="994" w:type="pct"/>
            <w:shd w:val="clear" w:color="auto" w:fill="auto"/>
            <w:vAlign w:val="center"/>
            <w:hideMark/>
          </w:tcPr>
          <w:p w14:paraId="298A4DE0" w14:textId="77777777" w:rsidR="008F3544" w:rsidRPr="00267FEC"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lang w:val="en-US"/>
                      </w:rPr>
                      <m:t>max</m:t>
                    </m:r>
                    <m:r>
                      <m:rPr>
                        <m:nor/>
                      </m:rPr>
                      <w:rPr>
                        <w:color w:val="000000"/>
                      </w:rPr>
                      <m:t xml:space="preserve"> </m:t>
                    </m:r>
                    <m:r>
                      <m:rPr>
                        <m:nor/>
                      </m:rPr>
                      <w:rPr>
                        <w:color w:val="000000"/>
                        <w:lang w:val="en-US"/>
                      </w:rPr>
                      <m:t>N</m:t>
                    </m:r>
                    <m:r>
                      <m:rPr>
                        <m:nor/>
                      </m:rPr>
                      <w:rPr>
                        <w:color w:val="000000"/>
                      </w:rPr>
                      <m:t xml:space="preserve"> 4.6.3.2.</m:t>
                    </m:r>
                  </m:sub>
                  <m:sup>
                    <m:r>
                      <m:rPr>
                        <m:nor/>
                      </m:rPr>
                      <w:rPr>
                        <w:color w:val="000000"/>
                      </w:rPr>
                      <m:t>1-20 кВ</m:t>
                    </m:r>
                  </m:sup>
                </m:sSubSup>
              </m:oMath>
            </m:oMathPara>
          </w:p>
        </w:tc>
        <w:tc>
          <w:tcPr>
            <w:tcW w:w="1601" w:type="pct"/>
            <w:shd w:val="clear" w:color="auto" w:fill="auto"/>
            <w:vAlign w:val="center"/>
            <w:hideMark/>
          </w:tcPr>
          <w:p w14:paraId="39DA577A" w14:textId="77777777" w:rsidR="008F3544" w:rsidRPr="00735CC9" w:rsidRDefault="008F3544" w:rsidP="0099088D">
            <w:pPr>
              <w:rPr>
                <w:color w:val="000000"/>
                <w:sz w:val="16"/>
                <w:szCs w:val="16"/>
              </w:rPr>
            </w:pPr>
            <w:r w:rsidRPr="00735CC9">
              <w:rPr>
                <w:color w:val="000000"/>
                <w:sz w:val="16"/>
                <w:szCs w:val="16"/>
              </w:rPr>
              <w:t>переключательные пункты номинальным током от 250 до 500 А включительно с количеством ячеек от 5 до 10 включительно</w:t>
            </w:r>
          </w:p>
        </w:tc>
        <w:tc>
          <w:tcPr>
            <w:tcW w:w="518" w:type="pct"/>
            <w:shd w:val="clear" w:color="auto" w:fill="auto"/>
            <w:vAlign w:val="center"/>
            <w:hideMark/>
          </w:tcPr>
          <w:p w14:paraId="085AB9A4" w14:textId="77777777" w:rsidR="008F3544" w:rsidRPr="00735CC9" w:rsidRDefault="008F3544" w:rsidP="0099088D">
            <w:pPr>
              <w:jc w:val="center"/>
              <w:rPr>
                <w:color w:val="000000"/>
                <w:sz w:val="16"/>
                <w:szCs w:val="16"/>
              </w:rPr>
            </w:pPr>
            <w:r w:rsidRPr="00735CC9">
              <w:rPr>
                <w:color w:val="000000"/>
                <w:sz w:val="16"/>
                <w:szCs w:val="16"/>
              </w:rPr>
              <w:t>рублей/кВт</w:t>
            </w:r>
          </w:p>
        </w:tc>
        <w:tc>
          <w:tcPr>
            <w:tcW w:w="582" w:type="pct"/>
            <w:shd w:val="clear" w:color="auto" w:fill="auto"/>
            <w:noWrap/>
            <w:vAlign w:val="center"/>
            <w:hideMark/>
          </w:tcPr>
          <w:p w14:paraId="1B9085A6" w14:textId="77777777" w:rsidR="008F3544" w:rsidRPr="00735CC9" w:rsidRDefault="008F3544" w:rsidP="0099088D">
            <w:pPr>
              <w:jc w:val="center"/>
              <w:rPr>
                <w:color w:val="000000"/>
                <w:sz w:val="16"/>
                <w:szCs w:val="16"/>
              </w:rPr>
            </w:pPr>
            <w:r w:rsidRPr="00735CC9">
              <w:rPr>
                <w:color w:val="000000"/>
                <w:sz w:val="16"/>
                <w:szCs w:val="16"/>
              </w:rPr>
              <w:t>9 184,54</w:t>
            </w:r>
          </w:p>
        </w:tc>
        <w:tc>
          <w:tcPr>
            <w:tcW w:w="576" w:type="pct"/>
            <w:shd w:val="clear" w:color="auto" w:fill="auto"/>
            <w:noWrap/>
            <w:vAlign w:val="center"/>
            <w:hideMark/>
          </w:tcPr>
          <w:p w14:paraId="1263E635" w14:textId="77777777" w:rsidR="008F3544" w:rsidRPr="00735CC9" w:rsidRDefault="008F3544" w:rsidP="0099088D">
            <w:pPr>
              <w:jc w:val="center"/>
              <w:rPr>
                <w:color w:val="000000"/>
                <w:sz w:val="16"/>
                <w:szCs w:val="16"/>
              </w:rPr>
            </w:pPr>
            <w:r>
              <w:rPr>
                <w:color w:val="000000"/>
                <w:sz w:val="16"/>
                <w:szCs w:val="16"/>
              </w:rPr>
              <w:t>-</w:t>
            </w:r>
          </w:p>
        </w:tc>
      </w:tr>
      <w:tr w:rsidR="008F3544" w:rsidRPr="00735CC9" w14:paraId="7366CB72" w14:textId="77777777" w:rsidTr="0099088D">
        <w:trPr>
          <w:trHeight w:val="675"/>
        </w:trPr>
        <w:tc>
          <w:tcPr>
            <w:tcW w:w="729" w:type="pct"/>
            <w:shd w:val="clear" w:color="auto" w:fill="auto"/>
            <w:vAlign w:val="center"/>
          </w:tcPr>
          <w:p w14:paraId="4E9CB1D4" w14:textId="77777777" w:rsidR="008F3544" w:rsidRPr="00735CC9" w:rsidRDefault="008F3544" w:rsidP="0099088D">
            <w:pPr>
              <w:jc w:val="center"/>
              <w:rPr>
                <w:color w:val="000000"/>
                <w:sz w:val="16"/>
                <w:szCs w:val="16"/>
              </w:rPr>
            </w:pPr>
            <w:r>
              <w:rPr>
                <w:color w:val="000000"/>
                <w:sz w:val="16"/>
                <w:szCs w:val="16"/>
              </w:rPr>
              <w:t>5.</w:t>
            </w:r>
            <w:r>
              <w:rPr>
                <w:color w:val="000000"/>
                <w:sz w:val="16"/>
                <w:szCs w:val="16"/>
                <w:lang w:val="en-US"/>
              </w:rPr>
              <w:t>i</w:t>
            </w:r>
          </w:p>
        </w:tc>
        <w:tc>
          <w:tcPr>
            <w:tcW w:w="994" w:type="pct"/>
            <w:shd w:val="clear" w:color="auto" w:fill="auto"/>
            <w:vAlign w:val="center"/>
          </w:tcPr>
          <w:p w14:paraId="6C5EE75B" w14:textId="77777777" w:rsidR="008F3544" w:rsidRPr="00267FEC" w:rsidRDefault="008F3544" w:rsidP="0099088D">
            <w:pPr>
              <w:rPr>
                <w:color w:val="000000"/>
              </w:rPr>
            </w:pPr>
            <m:oMathPara>
              <m:oMath>
                <m:sSubSup>
                  <m:sSubSupPr>
                    <m:ctrlPr>
                      <w:rPr>
                        <w:rFonts w:ascii="Cambria Math" w:hAnsi="Cambria Math"/>
                        <w:i/>
                        <w:color w:val="000000"/>
                      </w:rPr>
                    </m:ctrlPr>
                  </m:sSubSupPr>
                  <m:e>
                    <m:r>
                      <m:rPr>
                        <m:nor/>
                      </m:rPr>
                      <w:rPr>
                        <w:color w:val="000000"/>
                      </w:rPr>
                      <m:t>С</m:t>
                    </m:r>
                  </m:e>
                  <m:sub>
                    <m:r>
                      <m:rPr>
                        <m:nor/>
                      </m:rPr>
                      <w:rPr>
                        <w:color w:val="000000"/>
                      </w:rPr>
                      <m:t>5.i</m:t>
                    </m:r>
                  </m:sub>
                  <m:sup>
                    <m:r>
                      <m:rPr>
                        <m:nor/>
                      </m:rPr>
                      <w:rPr>
                        <w:color w:val="000000"/>
                        <w:lang w:val="en-US"/>
                      </w:rPr>
                      <m:t>max</m:t>
                    </m:r>
                    <m:r>
                      <m:rPr>
                        <m:nor/>
                      </m:rPr>
                      <w:rPr>
                        <w:color w:val="000000"/>
                      </w:rPr>
                      <m:t xml:space="preserve"> </m:t>
                    </m:r>
                    <m:r>
                      <m:rPr>
                        <m:nor/>
                      </m:rPr>
                      <w:rPr>
                        <w:color w:val="000000"/>
                        <w:lang w:val="en-US"/>
                      </w:rPr>
                      <m:t>N</m:t>
                    </m:r>
                  </m:sup>
                </m:sSubSup>
              </m:oMath>
            </m:oMathPara>
          </w:p>
        </w:tc>
        <w:tc>
          <w:tcPr>
            <w:tcW w:w="1601" w:type="pct"/>
            <w:shd w:val="clear" w:color="auto" w:fill="auto"/>
            <w:vAlign w:val="center"/>
          </w:tcPr>
          <w:p w14:paraId="0FDE89FE" w14:textId="77777777" w:rsidR="008F3544" w:rsidRPr="00735CC9" w:rsidRDefault="008F3544" w:rsidP="0099088D">
            <w:pPr>
              <w:rPr>
                <w:color w:val="000000"/>
                <w:sz w:val="16"/>
                <w:szCs w:val="16"/>
              </w:rPr>
            </w:pPr>
            <w:r w:rsidRPr="00E90CCF">
              <w:rPr>
                <w:color w:val="000000"/>
                <w:sz w:val="16"/>
                <w:szCs w:val="16"/>
              </w:rPr>
              <w:t>ставка за единицу максимальной мощности для определения платы за технологическое присоединение к электрическим сетям на уровне напряжения 20 кВ и менее и мощности менее 670 кВт на осуществление мероприятий по строительству трансформаторных подстанций (ТП), за исключением распределительных трансформаторных подстанций (РТП)</w:t>
            </w:r>
          </w:p>
        </w:tc>
        <w:tc>
          <w:tcPr>
            <w:tcW w:w="518" w:type="pct"/>
            <w:shd w:val="clear" w:color="auto" w:fill="auto"/>
            <w:vAlign w:val="center"/>
          </w:tcPr>
          <w:p w14:paraId="67609988" w14:textId="77777777" w:rsidR="008F3544" w:rsidRPr="00735CC9" w:rsidRDefault="008F3544" w:rsidP="0099088D">
            <w:pPr>
              <w:jc w:val="center"/>
              <w:rPr>
                <w:color w:val="000000"/>
                <w:sz w:val="16"/>
                <w:szCs w:val="16"/>
              </w:rPr>
            </w:pPr>
            <w:r w:rsidRPr="00E90CCF">
              <w:rPr>
                <w:color w:val="000000"/>
                <w:sz w:val="16"/>
                <w:szCs w:val="16"/>
              </w:rPr>
              <w:t>рублей/кВт</w:t>
            </w:r>
          </w:p>
        </w:tc>
        <w:tc>
          <w:tcPr>
            <w:tcW w:w="1158" w:type="pct"/>
            <w:gridSpan w:val="2"/>
            <w:vMerge w:val="restart"/>
            <w:shd w:val="clear" w:color="auto" w:fill="auto"/>
            <w:noWrap/>
            <w:vAlign w:val="center"/>
          </w:tcPr>
          <w:p w14:paraId="7FEEE273" w14:textId="77777777" w:rsidR="008F3544" w:rsidRDefault="008F3544" w:rsidP="0099088D">
            <w:pPr>
              <w:jc w:val="center"/>
              <w:rPr>
                <w:color w:val="000000"/>
                <w:sz w:val="16"/>
                <w:szCs w:val="16"/>
              </w:rPr>
            </w:pPr>
            <w:r w:rsidRPr="00BD5EA6">
              <w:rPr>
                <w:color w:val="000000"/>
                <w:sz w:val="16"/>
                <w:szCs w:val="16"/>
              </w:rPr>
              <w:t>равны соответственно</w:t>
            </w:r>
          </w:p>
          <w:p w14:paraId="0A725323" w14:textId="77777777" w:rsidR="008F3544" w:rsidRDefault="008F3544" w:rsidP="0099088D">
            <w:pPr>
              <w:jc w:val="center"/>
              <w:rPr>
                <w:color w:val="000000"/>
                <w:sz w:val="16"/>
                <w:szCs w:val="16"/>
              </w:rPr>
            </w:pPr>
            <w:r w:rsidRPr="00BD5EA6">
              <w:rPr>
                <w:color w:val="000000"/>
                <w:sz w:val="16"/>
                <w:szCs w:val="16"/>
              </w:rPr>
              <w:t>стандартизированным</w:t>
            </w:r>
          </w:p>
          <w:p w14:paraId="5EEC14D8" w14:textId="77777777" w:rsidR="008F3544" w:rsidRPr="00E90CCF" w:rsidRDefault="008F3544" w:rsidP="0099088D">
            <w:pPr>
              <w:jc w:val="center"/>
              <w:rPr>
                <w:color w:val="000000"/>
                <w:sz w:val="16"/>
                <w:szCs w:val="16"/>
              </w:rPr>
            </w:pPr>
            <w:r w:rsidRPr="00E90CCF">
              <w:rPr>
                <w:color w:val="000000"/>
                <w:sz w:val="16"/>
                <w:szCs w:val="16"/>
              </w:rPr>
              <w:t>тарифным ставкам</w:t>
            </w:r>
          </w:p>
          <w:p w14:paraId="21E885FA" w14:textId="77777777" w:rsidR="008F3544" w:rsidRDefault="008F3544" w:rsidP="0099088D">
            <w:pPr>
              <w:jc w:val="center"/>
              <w:rPr>
                <w:color w:val="000000"/>
                <w:sz w:val="16"/>
                <w:szCs w:val="16"/>
              </w:rPr>
            </w:pPr>
            <w:r w:rsidRPr="00BD5EA6">
              <w:rPr>
                <w:color w:val="000000"/>
                <w:sz w:val="16"/>
                <w:szCs w:val="16"/>
              </w:rPr>
              <w:t>С</w:t>
            </w:r>
            <w:proofErr w:type="gramStart"/>
            <w:r w:rsidRPr="00BD5EA6">
              <w:rPr>
                <w:color w:val="000000"/>
                <w:sz w:val="16"/>
                <w:szCs w:val="16"/>
              </w:rPr>
              <w:t>5,i</w:t>
            </w:r>
            <w:proofErr w:type="gramEnd"/>
            <w:r w:rsidRPr="00BD5EA6">
              <w:rPr>
                <w:color w:val="000000"/>
                <w:sz w:val="16"/>
                <w:szCs w:val="16"/>
              </w:rPr>
              <w:t>, С6,i, С7,i в зависимости</w:t>
            </w:r>
          </w:p>
          <w:p w14:paraId="706883AF" w14:textId="77777777" w:rsidR="008F3544" w:rsidRDefault="008F3544" w:rsidP="0099088D">
            <w:pPr>
              <w:jc w:val="center"/>
              <w:rPr>
                <w:color w:val="000000"/>
                <w:sz w:val="16"/>
                <w:szCs w:val="16"/>
              </w:rPr>
            </w:pPr>
            <w:r w:rsidRPr="00BD5EA6">
              <w:rPr>
                <w:color w:val="000000"/>
                <w:sz w:val="16"/>
                <w:szCs w:val="16"/>
              </w:rPr>
              <w:t>от типа населенного пункта и</w:t>
            </w:r>
          </w:p>
          <w:p w14:paraId="7490D5CB" w14:textId="77777777" w:rsidR="008F3544" w:rsidRPr="00735CC9" w:rsidRDefault="008F3544" w:rsidP="0099088D">
            <w:pPr>
              <w:jc w:val="center"/>
              <w:rPr>
                <w:color w:val="000000"/>
                <w:sz w:val="16"/>
                <w:szCs w:val="16"/>
              </w:rPr>
            </w:pPr>
            <w:r w:rsidRPr="00BD5EA6">
              <w:rPr>
                <w:color w:val="000000"/>
                <w:sz w:val="16"/>
                <w:szCs w:val="16"/>
              </w:rPr>
              <w:t>уровня напряжения</w:t>
            </w:r>
          </w:p>
        </w:tc>
      </w:tr>
      <w:tr w:rsidR="008F3544" w:rsidRPr="00735CC9" w14:paraId="4709932A" w14:textId="77777777" w:rsidTr="0099088D">
        <w:trPr>
          <w:trHeight w:val="675"/>
        </w:trPr>
        <w:tc>
          <w:tcPr>
            <w:tcW w:w="729" w:type="pct"/>
            <w:shd w:val="clear" w:color="auto" w:fill="auto"/>
            <w:vAlign w:val="center"/>
          </w:tcPr>
          <w:p w14:paraId="4997DA9C" w14:textId="77777777" w:rsidR="008F3544" w:rsidRPr="00735CC9" w:rsidRDefault="008F3544" w:rsidP="0099088D">
            <w:pPr>
              <w:jc w:val="center"/>
              <w:rPr>
                <w:color w:val="000000"/>
                <w:sz w:val="16"/>
                <w:szCs w:val="16"/>
              </w:rPr>
            </w:pPr>
            <w:r>
              <w:rPr>
                <w:color w:val="000000"/>
                <w:sz w:val="16"/>
                <w:szCs w:val="16"/>
                <w:lang w:val="en-US"/>
              </w:rPr>
              <w:t>6.i</w:t>
            </w:r>
          </w:p>
        </w:tc>
        <w:tc>
          <w:tcPr>
            <w:tcW w:w="994" w:type="pct"/>
            <w:shd w:val="clear" w:color="auto" w:fill="auto"/>
            <w:vAlign w:val="center"/>
          </w:tcPr>
          <w:p w14:paraId="61AA78CC" w14:textId="77777777" w:rsidR="008F3544" w:rsidRPr="00267FEC" w:rsidRDefault="008F3544" w:rsidP="0099088D">
            <w:pPr>
              <w:rPr>
                <w:color w:val="000000"/>
              </w:rPr>
            </w:pPr>
            <m:oMathPara>
              <m:oMath>
                <m:sSubSup>
                  <m:sSubSupPr>
                    <m:ctrlPr>
                      <w:rPr>
                        <w:rFonts w:ascii="Cambria Math" w:hAnsi="Cambria Math"/>
                        <w:i/>
                        <w:color w:val="000000"/>
                      </w:rPr>
                    </m:ctrlPr>
                  </m:sSubSupPr>
                  <m:e>
                    <m:r>
                      <m:rPr>
                        <m:nor/>
                      </m:rPr>
                      <w:rPr>
                        <w:color w:val="000000"/>
                      </w:rPr>
                      <m:t>С</m:t>
                    </m:r>
                  </m:e>
                  <m:sub>
                    <m:r>
                      <m:rPr>
                        <m:nor/>
                      </m:rPr>
                      <w:rPr>
                        <w:color w:val="000000"/>
                      </w:rPr>
                      <m:t>6.i</m:t>
                    </m:r>
                  </m:sub>
                  <m:sup>
                    <m:r>
                      <m:rPr>
                        <m:nor/>
                      </m:rPr>
                      <w:rPr>
                        <w:color w:val="000000"/>
                        <w:lang w:val="en-US"/>
                      </w:rPr>
                      <m:t>max</m:t>
                    </m:r>
                    <m:r>
                      <m:rPr>
                        <m:nor/>
                      </m:rPr>
                      <w:rPr>
                        <w:color w:val="000000"/>
                      </w:rPr>
                      <m:t xml:space="preserve"> </m:t>
                    </m:r>
                    <m:r>
                      <m:rPr>
                        <m:nor/>
                      </m:rPr>
                      <w:rPr>
                        <w:color w:val="000000"/>
                        <w:lang w:val="en-US"/>
                      </w:rPr>
                      <m:t>N</m:t>
                    </m:r>
                  </m:sup>
                </m:sSubSup>
              </m:oMath>
            </m:oMathPara>
          </w:p>
        </w:tc>
        <w:tc>
          <w:tcPr>
            <w:tcW w:w="1601" w:type="pct"/>
            <w:shd w:val="clear" w:color="auto" w:fill="auto"/>
            <w:vAlign w:val="center"/>
          </w:tcPr>
          <w:p w14:paraId="63E91A0D" w14:textId="77777777" w:rsidR="008F3544" w:rsidRPr="00735CC9" w:rsidRDefault="008F3544" w:rsidP="0099088D">
            <w:pPr>
              <w:rPr>
                <w:color w:val="000000"/>
                <w:sz w:val="16"/>
                <w:szCs w:val="16"/>
              </w:rPr>
            </w:pPr>
            <w:r w:rsidRPr="00E93F31">
              <w:rPr>
                <w:color w:val="000000"/>
                <w:sz w:val="16"/>
                <w:szCs w:val="16"/>
              </w:rPr>
              <w:t xml:space="preserve">ставка </w:t>
            </w:r>
            <w:r>
              <w:rPr>
                <w:color w:val="000000"/>
                <w:sz w:val="16"/>
                <w:szCs w:val="16"/>
              </w:rPr>
              <w:t xml:space="preserve">за единицу максимальной мощности для определения платы за технологическое присоединение к электрическим сетям на уровне напряжения 20 кВ и менее и мощности менее 670 кВт </w:t>
            </w:r>
            <w:r w:rsidRPr="00E93F31">
              <w:rPr>
                <w:color w:val="000000"/>
                <w:sz w:val="16"/>
                <w:szCs w:val="16"/>
              </w:rPr>
              <w:t xml:space="preserve">на </w:t>
            </w:r>
            <w:r>
              <w:rPr>
                <w:color w:val="000000"/>
                <w:sz w:val="16"/>
                <w:szCs w:val="16"/>
              </w:rPr>
              <w:t xml:space="preserve">осуществление мероприятий по </w:t>
            </w:r>
            <w:r w:rsidRPr="00E93F31">
              <w:rPr>
                <w:color w:val="000000"/>
                <w:sz w:val="16"/>
                <w:szCs w:val="16"/>
              </w:rPr>
              <w:t>строительств</w:t>
            </w:r>
            <w:r>
              <w:rPr>
                <w:color w:val="000000"/>
                <w:sz w:val="16"/>
                <w:szCs w:val="16"/>
              </w:rPr>
              <w:t xml:space="preserve">у </w:t>
            </w:r>
            <w:r w:rsidRPr="00E93F31">
              <w:rPr>
                <w:color w:val="000000"/>
                <w:sz w:val="16"/>
                <w:szCs w:val="16"/>
              </w:rPr>
              <w:t>распределительных трансформаторных подстанций (РТП) с уровнем напряжения до 35 кВ</w:t>
            </w:r>
          </w:p>
        </w:tc>
        <w:tc>
          <w:tcPr>
            <w:tcW w:w="518" w:type="pct"/>
            <w:shd w:val="clear" w:color="auto" w:fill="auto"/>
            <w:vAlign w:val="center"/>
          </w:tcPr>
          <w:p w14:paraId="00994CCD" w14:textId="77777777" w:rsidR="008F3544" w:rsidRPr="00735CC9" w:rsidRDefault="008F3544" w:rsidP="0099088D">
            <w:pPr>
              <w:jc w:val="center"/>
              <w:rPr>
                <w:color w:val="000000"/>
                <w:sz w:val="16"/>
                <w:szCs w:val="16"/>
              </w:rPr>
            </w:pPr>
            <w:r w:rsidRPr="005E40DF">
              <w:rPr>
                <w:color w:val="000000"/>
                <w:sz w:val="16"/>
                <w:szCs w:val="16"/>
              </w:rPr>
              <w:t>рублей/кВт</w:t>
            </w:r>
          </w:p>
        </w:tc>
        <w:tc>
          <w:tcPr>
            <w:tcW w:w="1158" w:type="pct"/>
            <w:gridSpan w:val="2"/>
            <w:vMerge/>
            <w:shd w:val="clear" w:color="auto" w:fill="auto"/>
            <w:noWrap/>
            <w:vAlign w:val="center"/>
          </w:tcPr>
          <w:p w14:paraId="1424136A" w14:textId="77777777" w:rsidR="008F3544" w:rsidRPr="00735CC9" w:rsidRDefault="008F3544" w:rsidP="0099088D">
            <w:pPr>
              <w:jc w:val="center"/>
              <w:rPr>
                <w:color w:val="000000"/>
                <w:sz w:val="16"/>
                <w:szCs w:val="16"/>
              </w:rPr>
            </w:pPr>
          </w:p>
        </w:tc>
      </w:tr>
      <w:tr w:rsidR="008F3544" w:rsidRPr="00735CC9" w14:paraId="4637DD07" w14:textId="77777777" w:rsidTr="0099088D">
        <w:trPr>
          <w:trHeight w:val="675"/>
        </w:trPr>
        <w:tc>
          <w:tcPr>
            <w:tcW w:w="729" w:type="pct"/>
            <w:shd w:val="clear" w:color="auto" w:fill="auto"/>
            <w:vAlign w:val="center"/>
          </w:tcPr>
          <w:p w14:paraId="555F8670" w14:textId="77777777" w:rsidR="008F3544" w:rsidRPr="00735CC9" w:rsidRDefault="008F3544" w:rsidP="0099088D">
            <w:pPr>
              <w:jc w:val="center"/>
              <w:rPr>
                <w:color w:val="000000"/>
                <w:sz w:val="16"/>
                <w:szCs w:val="16"/>
              </w:rPr>
            </w:pPr>
            <w:r>
              <w:rPr>
                <w:color w:val="000000"/>
                <w:sz w:val="16"/>
                <w:szCs w:val="16"/>
                <w:lang w:val="en-US"/>
              </w:rPr>
              <w:t>7.i</w:t>
            </w:r>
          </w:p>
        </w:tc>
        <w:tc>
          <w:tcPr>
            <w:tcW w:w="994" w:type="pct"/>
            <w:shd w:val="clear" w:color="auto" w:fill="auto"/>
            <w:vAlign w:val="center"/>
          </w:tcPr>
          <w:p w14:paraId="4CB5667B" w14:textId="77777777" w:rsidR="008F3544" w:rsidRPr="00267FEC" w:rsidRDefault="008F3544" w:rsidP="0099088D">
            <w:pPr>
              <w:rPr>
                <w:color w:val="000000"/>
              </w:rPr>
            </w:pPr>
            <m:oMathPara>
              <m:oMath>
                <m:sSubSup>
                  <m:sSubSupPr>
                    <m:ctrlPr>
                      <w:rPr>
                        <w:rFonts w:ascii="Cambria Math" w:hAnsi="Cambria Math"/>
                        <w:i/>
                        <w:color w:val="000000"/>
                      </w:rPr>
                    </m:ctrlPr>
                  </m:sSubSupPr>
                  <m:e>
                    <m:r>
                      <m:rPr>
                        <m:nor/>
                      </m:rPr>
                      <w:rPr>
                        <w:color w:val="000000"/>
                      </w:rPr>
                      <m:t>С</m:t>
                    </m:r>
                  </m:e>
                  <m:sub>
                    <m:r>
                      <m:rPr>
                        <m:nor/>
                      </m:rPr>
                      <w:rPr>
                        <w:color w:val="000000"/>
                      </w:rPr>
                      <m:t>7.i</m:t>
                    </m:r>
                  </m:sub>
                  <m:sup>
                    <m:r>
                      <m:rPr>
                        <m:nor/>
                      </m:rPr>
                      <w:rPr>
                        <w:color w:val="000000"/>
                        <w:lang w:val="en-US"/>
                      </w:rPr>
                      <m:t>max</m:t>
                    </m:r>
                    <m:r>
                      <m:rPr>
                        <m:nor/>
                      </m:rPr>
                      <w:rPr>
                        <w:color w:val="000000"/>
                      </w:rPr>
                      <m:t xml:space="preserve"> </m:t>
                    </m:r>
                    <m:r>
                      <m:rPr>
                        <m:nor/>
                      </m:rPr>
                      <w:rPr>
                        <w:color w:val="000000"/>
                        <w:lang w:val="en-US"/>
                      </w:rPr>
                      <m:t>N</m:t>
                    </m:r>
                  </m:sup>
                </m:sSubSup>
              </m:oMath>
            </m:oMathPara>
          </w:p>
        </w:tc>
        <w:tc>
          <w:tcPr>
            <w:tcW w:w="1601" w:type="pct"/>
            <w:shd w:val="clear" w:color="auto" w:fill="auto"/>
            <w:vAlign w:val="center"/>
          </w:tcPr>
          <w:p w14:paraId="662956D2" w14:textId="77777777" w:rsidR="008F3544" w:rsidRPr="00735CC9" w:rsidRDefault="008F3544" w:rsidP="0099088D">
            <w:pPr>
              <w:rPr>
                <w:color w:val="000000"/>
                <w:sz w:val="16"/>
                <w:szCs w:val="16"/>
              </w:rPr>
            </w:pPr>
            <w:r w:rsidRPr="00E93F31">
              <w:rPr>
                <w:color w:val="000000"/>
                <w:sz w:val="16"/>
                <w:szCs w:val="16"/>
              </w:rPr>
              <w:t xml:space="preserve">ставка </w:t>
            </w:r>
            <w:r>
              <w:rPr>
                <w:color w:val="000000"/>
                <w:sz w:val="16"/>
                <w:szCs w:val="16"/>
              </w:rPr>
              <w:t xml:space="preserve">за единицу максимальной мощности для определения платы за технологическое присоединение к электрическим сетям на уровне напряжения 20 кВ и менее и мощности менее 670 кВт </w:t>
            </w:r>
            <w:r w:rsidRPr="00E93F31">
              <w:rPr>
                <w:color w:val="000000"/>
                <w:sz w:val="16"/>
                <w:szCs w:val="16"/>
              </w:rPr>
              <w:t xml:space="preserve">на </w:t>
            </w:r>
            <w:r>
              <w:rPr>
                <w:color w:val="000000"/>
                <w:sz w:val="16"/>
                <w:szCs w:val="16"/>
              </w:rPr>
              <w:t xml:space="preserve">осуществление мероприятий по </w:t>
            </w:r>
            <w:r w:rsidRPr="00E93F31">
              <w:rPr>
                <w:color w:val="000000"/>
                <w:sz w:val="16"/>
                <w:szCs w:val="16"/>
              </w:rPr>
              <w:t>строительств</w:t>
            </w:r>
            <w:r>
              <w:rPr>
                <w:color w:val="000000"/>
                <w:sz w:val="16"/>
                <w:szCs w:val="16"/>
              </w:rPr>
              <w:t xml:space="preserve">у </w:t>
            </w:r>
            <w:r w:rsidRPr="00E93F31">
              <w:rPr>
                <w:color w:val="000000"/>
                <w:sz w:val="16"/>
                <w:szCs w:val="16"/>
              </w:rPr>
              <w:t>подстанций уровнем напряжения 35 кВ и выше (ПС)</w:t>
            </w:r>
          </w:p>
        </w:tc>
        <w:tc>
          <w:tcPr>
            <w:tcW w:w="518" w:type="pct"/>
            <w:shd w:val="clear" w:color="auto" w:fill="auto"/>
            <w:vAlign w:val="center"/>
          </w:tcPr>
          <w:p w14:paraId="5AF4A3D5" w14:textId="77777777" w:rsidR="008F3544" w:rsidRPr="00735CC9" w:rsidRDefault="008F3544" w:rsidP="0099088D">
            <w:pPr>
              <w:jc w:val="center"/>
              <w:rPr>
                <w:color w:val="000000"/>
                <w:sz w:val="16"/>
                <w:szCs w:val="16"/>
              </w:rPr>
            </w:pPr>
            <w:r w:rsidRPr="005E40DF">
              <w:rPr>
                <w:color w:val="000000"/>
                <w:sz w:val="16"/>
                <w:szCs w:val="16"/>
              </w:rPr>
              <w:t>рублей/кВт</w:t>
            </w:r>
          </w:p>
        </w:tc>
        <w:tc>
          <w:tcPr>
            <w:tcW w:w="1158" w:type="pct"/>
            <w:gridSpan w:val="2"/>
            <w:vMerge/>
            <w:shd w:val="clear" w:color="auto" w:fill="auto"/>
            <w:noWrap/>
            <w:vAlign w:val="center"/>
          </w:tcPr>
          <w:p w14:paraId="763E11A5" w14:textId="77777777" w:rsidR="008F3544" w:rsidRPr="00735CC9" w:rsidRDefault="008F3544" w:rsidP="0099088D">
            <w:pPr>
              <w:jc w:val="center"/>
              <w:rPr>
                <w:color w:val="000000"/>
                <w:sz w:val="16"/>
                <w:szCs w:val="16"/>
              </w:rPr>
            </w:pPr>
          </w:p>
        </w:tc>
      </w:tr>
      <w:tr w:rsidR="008F3544" w:rsidRPr="00735CC9" w14:paraId="47165DD2" w14:textId="77777777" w:rsidTr="0099088D">
        <w:trPr>
          <w:trHeight w:val="675"/>
        </w:trPr>
        <w:tc>
          <w:tcPr>
            <w:tcW w:w="729" w:type="pct"/>
            <w:shd w:val="clear" w:color="auto" w:fill="auto"/>
            <w:vAlign w:val="center"/>
            <w:hideMark/>
          </w:tcPr>
          <w:p w14:paraId="68273992" w14:textId="77777777" w:rsidR="008F3544" w:rsidRPr="00735CC9" w:rsidRDefault="008F3544" w:rsidP="0099088D">
            <w:pPr>
              <w:jc w:val="center"/>
              <w:rPr>
                <w:color w:val="000000"/>
                <w:sz w:val="16"/>
                <w:szCs w:val="16"/>
              </w:rPr>
            </w:pPr>
            <w:r w:rsidRPr="00735CC9">
              <w:rPr>
                <w:color w:val="000000"/>
                <w:sz w:val="16"/>
                <w:szCs w:val="16"/>
              </w:rPr>
              <w:t>8.1.1</w:t>
            </w:r>
            <w:r>
              <w:rPr>
                <w:color w:val="000000"/>
                <w:sz w:val="16"/>
                <w:szCs w:val="16"/>
              </w:rPr>
              <w:t>.</w:t>
            </w:r>
          </w:p>
        </w:tc>
        <w:tc>
          <w:tcPr>
            <w:tcW w:w="994" w:type="pct"/>
            <w:shd w:val="clear" w:color="auto" w:fill="auto"/>
            <w:vAlign w:val="center"/>
            <w:hideMark/>
          </w:tcPr>
          <w:p w14:paraId="43D882AF" w14:textId="77777777" w:rsidR="008F3544" w:rsidRPr="00780E2E"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lang w:val="en-US"/>
                      </w:rPr>
                      <m:t>max</m:t>
                    </m:r>
                    <m:r>
                      <m:rPr>
                        <m:nor/>
                      </m:rPr>
                      <w:rPr>
                        <w:color w:val="000000"/>
                      </w:rPr>
                      <m:t xml:space="preserve"> </m:t>
                    </m:r>
                    <m:r>
                      <m:rPr>
                        <m:nor/>
                      </m:rPr>
                      <w:rPr>
                        <w:color w:val="000000"/>
                        <w:lang w:val="en-US"/>
                      </w:rPr>
                      <m:t>N</m:t>
                    </m:r>
                    <m:r>
                      <m:rPr>
                        <m:nor/>
                      </m:rPr>
                      <w:rPr>
                        <w:color w:val="000000"/>
                      </w:rPr>
                      <m:t xml:space="preserve"> 8.1.1.</m:t>
                    </m:r>
                  </m:sub>
                  <m:sup>
                    <m:r>
                      <m:rPr>
                        <m:nor/>
                      </m:rPr>
                      <w:rPr>
                        <w:color w:val="000000"/>
                      </w:rPr>
                      <m:t>0,4 кВ и ниже</m:t>
                    </m:r>
                  </m:sup>
                </m:sSubSup>
              </m:oMath>
            </m:oMathPara>
          </w:p>
        </w:tc>
        <w:tc>
          <w:tcPr>
            <w:tcW w:w="1601" w:type="pct"/>
            <w:shd w:val="clear" w:color="auto" w:fill="auto"/>
            <w:vAlign w:val="center"/>
            <w:hideMark/>
          </w:tcPr>
          <w:p w14:paraId="641A5BF3" w14:textId="77777777" w:rsidR="008F3544" w:rsidRPr="00735CC9" w:rsidRDefault="008F3544" w:rsidP="0099088D">
            <w:pPr>
              <w:rPr>
                <w:color w:val="000000"/>
                <w:sz w:val="16"/>
                <w:szCs w:val="16"/>
              </w:rPr>
            </w:pPr>
            <w:r w:rsidRPr="00735CC9">
              <w:rPr>
                <w:color w:val="000000"/>
                <w:sz w:val="16"/>
                <w:szCs w:val="16"/>
              </w:rPr>
              <w:t>средства коммерческого учета электрической энергии (мощности) однофазные прямого включения</w:t>
            </w:r>
          </w:p>
        </w:tc>
        <w:tc>
          <w:tcPr>
            <w:tcW w:w="518" w:type="pct"/>
            <w:shd w:val="clear" w:color="auto" w:fill="auto"/>
            <w:vAlign w:val="center"/>
            <w:hideMark/>
          </w:tcPr>
          <w:p w14:paraId="62465417" w14:textId="77777777" w:rsidR="008F3544" w:rsidRPr="00735CC9" w:rsidRDefault="008F3544" w:rsidP="0099088D">
            <w:pPr>
              <w:jc w:val="center"/>
              <w:rPr>
                <w:color w:val="000000"/>
                <w:sz w:val="16"/>
                <w:szCs w:val="16"/>
              </w:rPr>
            </w:pPr>
            <w:r w:rsidRPr="00735CC9">
              <w:rPr>
                <w:color w:val="000000"/>
                <w:sz w:val="16"/>
                <w:szCs w:val="16"/>
              </w:rPr>
              <w:t>рублей/кВт</w:t>
            </w:r>
          </w:p>
        </w:tc>
        <w:tc>
          <w:tcPr>
            <w:tcW w:w="582" w:type="pct"/>
            <w:shd w:val="clear" w:color="auto" w:fill="auto"/>
            <w:noWrap/>
            <w:vAlign w:val="center"/>
            <w:hideMark/>
          </w:tcPr>
          <w:p w14:paraId="3F14D5E4" w14:textId="77777777" w:rsidR="008F3544" w:rsidRPr="00735CC9" w:rsidRDefault="008F3544" w:rsidP="0099088D">
            <w:pPr>
              <w:jc w:val="center"/>
              <w:rPr>
                <w:color w:val="000000"/>
                <w:sz w:val="16"/>
                <w:szCs w:val="16"/>
              </w:rPr>
            </w:pPr>
            <w:r w:rsidRPr="00735CC9">
              <w:rPr>
                <w:color w:val="000000"/>
                <w:sz w:val="16"/>
                <w:szCs w:val="16"/>
              </w:rPr>
              <w:t>1 464,51</w:t>
            </w:r>
          </w:p>
        </w:tc>
        <w:tc>
          <w:tcPr>
            <w:tcW w:w="576" w:type="pct"/>
            <w:shd w:val="clear" w:color="auto" w:fill="auto"/>
            <w:noWrap/>
            <w:vAlign w:val="center"/>
            <w:hideMark/>
          </w:tcPr>
          <w:p w14:paraId="1D5E5602" w14:textId="77777777" w:rsidR="008F3544" w:rsidRPr="00735CC9" w:rsidRDefault="008F3544" w:rsidP="0099088D">
            <w:pPr>
              <w:jc w:val="center"/>
              <w:rPr>
                <w:color w:val="000000"/>
                <w:sz w:val="16"/>
                <w:szCs w:val="16"/>
              </w:rPr>
            </w:pPr>
            <w:r>
              <w:rPr>
                <w:color w:val="000000"/>
                <w:sz w:val="16"/>
                <w:szCs w:val="16"/>
              </w:rPr>
              <w:t>-</w:t>
            </w:r>
          </w:p>
        </w:tc>
      </w:tr>
      <w:tr w:rsidR="008F3544" w:rsidRPr="00735CC9" w14:paraId="35CC6139" w14:textId="77777777" w:rsidTr="0099088D">
        <w:trPr>
          <w:trHeight w:val="642"/>
        </w:trPr>
        <w:tc>
          <w:tcPr>
            <w:tcW w:w="729" w:type="pct"/>
            <w:shd w:val="clear" w:color="auto" w:fill="auto"/>
            <w:vAlign w:val="center"/>
            <w:hideMark/>
          </w:tcPr>
          <w:p w14:paraId="401A2BFD" w14:textId="77777777" w:rsidR="008F3544" w:rsidRPr="00735CC9" w:rsidRDefault="008F3544" w:rsidP="0099088D">
            <w:pPr>
              <w:jc w:val="center"/>
              <w:rPr>
                <w:color w:val="000000"/>
                <w:sz w:val="16"/>
                <w:szCs w:val="16"/>
              </w:rPr>
            </w:pPr>
            <w:r w:rsidRPr="00735CC9">
              <w:rPr>
                <w:color w:val="000000"/>
                <w:sz w:val="16"/>
                <w:szCs w:val="16"/>
              </w:rPr>
              <w:t>8.2.2</w:t>
            </w:r>
            <w:r>
              <w:rPr>
                <w:color w:val="000000"/>
                <w:sz w:val="16"/>
                <w:szCs w:val="16"/>
              </w:rPr>
              <w:t>.</w:t>
            </w:r>
          </w:p>
        </w:tc>
        <w:tc>
          <w:tcPr>
            <w:tcW w:w="994" w:type="pct"/>
            <w:shd w:val="clear" w:color="auto" w:fill="auto"/>
            <w:vAlign w:val="center"/>
            <w:hideMark/>
          </w:tcPr>
          <w:p w14:paraId="47165590" w14:textId="77777777" w:rsidR="008F3544" w:rsidRPr="00780E2E" w:rsidRDefault="008F3544" w:rsidP="0099088D">
            <w:pPr>
              <w:rPr>
                <w:color w:val="000000"/>
                <w:sz w:val="16"/>
                <w:szCs w:val="16"/>
              </w:rPr>
            </w:pPr>
            <m:oMathPara>
              <m:oMathParaPr>
                <m:jc m:val="left"/>
              </m:oMathParaPr>
              <m:oMath>
                <m:sSubSup>
                  <m:sSubSupPr>
                    <m:ctrlPr>
                      <w:rPr>
                        <w:rFonts w:ascii="Cambria Math" w:hAnsi="Cambria Math"/>
                        <w:i/>
                        <w:color w:val="000000"/>
                      </w:rPr>
                    </m:ctrlPr>
                  </m:sSubSupPr>
                  <m:e>
                    <m:r>
                      <m:rPr>
                        <m:nor/>
                      </m:rPr>
                      <w:rPr>
                        <w:color w:val="000000"/>
                      </w:rPr>
                      <m:t>С</m:t>
                    </m:r>
                  </m:e>
                  <m:sub>
                    <m:r>
                      <m:rPr>
                        <m:nor/>
                      </m:rPr>
                      <w:rPr>
                        <w:color w:val="000000"/>
                        <w:lang w:val="en-US"/>
                      </w:rPr>
                      <m:t>max</m:t>
                    </m:r>
                    <m:r>
                      <m:rPr>
                        <m:nor/>
                      </m:rPr>
                      <w:rPr>
                        <w:color w:val="000000"/>
                      </w:rPr>
                      <m:t xml:space="preserve"> </m:t>
                    </m:r>
                    <m:r>
                      <m:rPr>
                        <m:nor/>
                      </m:rPr>
                      <w:rPr>
                        <w:color w:val="000000"/>
                        <w:lang w:val="en-US"/>
                      </w:rPr>
                      <m:t>N</m:t>
                    </m:r>
                    <m:r>
                      <m:rPr>
                        <m:nor/>
                      </m:rPr>
                      <w:rPr>
                        <w:color w:val="000000"/>
                      </w:rPr>
                      <m:t xml:space="preserve"> 8.2.2.</m:t>
                    </m:r>
                  </m:sub>
                  <m:sup>
                    <m:r>
                      <m:rPr>
                        <m:nor/>
                      </m:rPr>
                      <w:rPr>
                        <w:color w:val="000000"/>
                      </w:rPr>
                      <m:t>0,4 кВ и ниже</m:t>
                    </m:r>
                  </m:sup>
                </m:sSubSup>
              </m:oMath>
            </m:oMathPara>
          </w:p>
        </w:tc>
        <w:tc>
          <w:tcPr>
            <w:tcW w:w="1601" w:type="pct"/>
            <w:shd w:val="clear" w:color="auto" w:fill="auto"/>
            <w:vAlign w:val="center"/>
            <w:hideMark/>
          </w:tcPr>
          <w:p w14:paraId="3EDD482F" w14:textId="77777777" w:rsidR="008F3544" w:rsidRPr="00735CC9" w:rsidRDefault="008F3544" w:rsidP="0099088D">
            <w:pPr>
              <w:rPr>
                <w:color w:val="000000"/>
                <w:sz w:val="16"/>
                <w:szCs w:val="16"/>
              </w:rPr>
            </w:pPr>
            <w:r w:rsidRPr="00735CC9">
              <w:rPr>
                <w:color w:val="000000"/>
                <w:sz w:val="16"/>
                <w:szCs w:val="16"/>
              </w:rPr>
              <w:t>средства коммерческого учета электрической энергии (мощности) трехфазные полукосвенного включения</w:t>
            </w:r>
          </w:p>
        </w:tc>
        <w:tc>
          <w:tcPr>
            <w:tcW w:w="518" w:type="pct"/>
            <w:shd w:val="clear" w:color="auto" w:fill="auto"/>
            <w:vAlign w:val="center"/>
            <w:hideMark/>
          </w:tcPr>
          <w:p w14:paraId="4A2708DE" w14:textId="77777777" w:rsidR="008F3544" w:rsidRPr="00735CC9" w:rsidRDefault="008F3544" w:rsidP="0099088D">
            <w:pPr>
              <w:jc w:val="center"/>
              <w:rPr>
                <w:color w:val="000000"/>
                <w:sz w:val="16"/>
                <w:szCs w:val="16"/>
              </w:rPr>
            </w:pPr>
            <w:r w:rsidRPr="00735CC9">
              <w:rPr>
                <w:color w:val="000000"/>
                <w:sz w:val="16"/>
                <w:szCs w:val="16"/>
              </w:rPr>
              <w:t>рублей/кВт</w:t>
            </w:r>
          </w:p>
        </w:tc>
        <w:tc>
          <w:tcPr>
            <w:tcW w:w="582" w:type="pct"/>
            <w:shd w:val="clear" w:color="auto" w:fill="auto"/>
            <w:noWrap/>
            <w:vAlign w:val="center"/>
            <w:hideMark/>
          </w:tcPr>
          <w:p w14:paraId="568C05AA" w14:textId="77777777" w:rsidR="008F3544" w:rsidRPr="00735CC9" w:rsidRDefault="008F3544" w:rsidP="0099088D">
            <w:pPr>
              <w:jc w:val="center"/>
              <w:rPr>
                <w:color w:val="000000"/>
                <w:sz w:val="16"/>
                <w:szCs w:val="16"/>
              </w:rPr>
            </w:pPr>
            <w:r w:rsidRPr="00735CC9">
              <w:rPr>
                <w:color w:val="000000"/>
                <w:sz w:val="16"/>
                <w:szCs w:val="16"/>
              </w:rPr>
              <w:t>712,52</w:t>
            </w:r>
          </w:p>
        </w:tc>
        <w:tc>
          <w:tcPr>
            <w:tcW w:w="576" w:type="pct"/>
            <w:shd w:val="clear" w:color="auto" w:fill="auto"/>
            <w:noWrap/>
            <w:vAlign w:val="center"/>
            <w:hideMark/>
          </w:tcPr>
          <w:p w14:paraId="54C21C81" w14:textId="77777777" w:rsidR="008F3544" w:rsidRPr="00735CC9" w:rsidRDefault="008F3544" w:rsidP="0099088D">
            <w:pPr>
              <w:jc w:val="center"/>
              <w:rPr>
                <w:color w:val="000000"/>
                <w:sz w:val="16"/>
                <w:szCs w:val="16"/>
              </w:rPr>
            </w:pPr>
            <w:r>
              <w:rPr>
                <w:color w:val="000000"/>
                <w:sz w:val="16"/>
                <w:szCs w:val="16"/>
              </w:rPr>
              <w:t>-</w:t>
            </w:r>
          </w:p>
        </w:tc>
      </w:tr>
      <w:tr w:rsidR="008F3544" w:rsidRPr="00735CC9" w14:paraId="1C78A4B1" w14:textId="77777777" w:rsidTr="0099088D">
        <w:trPr>
          <w:trHeight w:val="675"/>
        </w:trPr>
        <w:tc>
          <w:tcPr>
            <w:tcW w:w="5000" w:type="pct"/>
            <w:gridSpan w:val="6"/>
            <w:shd w:val="clear" w:color="auto" w:fill="auto"/>
            <w:vAlign w:val="center"/>
          </w:tcPr>
          <w:p w14:paraId="7CBA91CF" w14:textId="77777777" w:rsidR="008F3544" w:rsidRPr="00735CC9" w:rsidRDefault="008F3544" w:rsidP="0099088D">
            <w:pPr>
              <w:jc w:val="center"/>
              <w:rPr>
                <w:color w:val="000000"/>
                <w:sz w:val="16"/>
                <w:szCs w:val="16"/>
              </w:rPr>
            </w:pPr>
            <w:r w:rsidRPr="00780E2E">
              <w:rPr>
                <w:color w:val="000000"/>
                <w:sz w:val="16"/>
                <w:szCs w:val="16"/>
              </w:rPr>
              <w:t>Для Заявителей, осуществляющих технологическое присоединение своих энергопринимающих устройств максимальной мощностью не</w:t>
            </w:r>
            <w:r>
              <w:rPr>
                <w:color w:val="000000"/>
                <w:sz w:val="16"/>
                <w:szCs w:val="16"/>
              </w:rPr>
              <w:t> </w:t>
            </w:r>
            <w:r w:rsidRPr="00780E2E">
              <w:rPr>
                <w:color w:val="000000"/>
                <w:sz w:val="16"/>
                <w:szCs w:val="16"/>
              </w:rPr>
              <w:t>более 150 кВт, ставки за единицу максимальной мощности по мероприятиям «последней мили»</w:t>
            </w:r>
          </w:p>
        </w:tc>
      </w:tr>
      <w:tr w:rsidR="008F3544" w:rsidRPr="009B0DEF" w14:paraId="4C3DC80A" w14:textId="77777777" w:rsidTr="0099088D">
        <w:trPr>
          <w:trHeight w:val="675"/>
        </w:trPr>
        <w:tc>
          <w:tcPr>
            <w:tcW w:w="1723" w:type="pct"/>
            <w:gridSpan w:val="2"/>
            <w:shd w:val="clear" w:color="auto" w:fill="auto"/>
            <w:vAlign w:val="center"/>
          </w:tcPr>
          <w:p w14:paraId="5B52E2C1" w14:textId="77777777" w:rsidR="008F3544" w:rsidRPr="009B0DEF" w:rsidRDefault="008F3544" w:rsidP="0099088D">
            <w:pPr>
              <w:rPr>
                <w:color w:val="000000"/>
                <w:lang w:val="en-US"/>
              </w:rPr>
            </w:pPr>
            <m:oMathPara>
              <m:oMath>
                <m:sSubSup>
                  <m:sSubSupPr>
                    <m:ctrlPr>
                      <w:rPr>
                        <w:rFonts w:ascii="Cambria Math" w:hAnsi="Cambria Math"/>
                        <w:i/>
                        <w:color w:val="000000"/>
                      </w:rPr>
                    </m:ctrlPr>
                  </m:sSubSupPr>
                  <m:e>
                    <m:r>
                      <m:rPr>
                        <m:nor/>
                      </m:rPr>
                      <w:rPr>
                        <w:color w:val="000000"/>
                      </w:rPr>
                      <m:t>С</m:t>
                    </m:r>
                  </m:e>
                  <m:sub>
                    <m:r>
                      <m:rPr>
                        <m:nor/>
                      </m:rPr>
                      <w:rPr>
                        <w:color w:val="000000"/>
                        <w:lang w:val="en-US"/>
                      </w:rPr>
                      <m:t>2 (s,t)</m:t>
                    </m:r>
                  </m:sub>
                  <m:sup>
                    <m:r>
                      <m:rPr>
                        <m:nor/>
                      </m:rPr>
                      <w:rPr>
                        <w:color w:val="000000"/>
                        <w:lang w:val="en-US"/>
                      </w:rPr>
                      <m:t xml:space="preserve">max N&lt;150 </m:t>
                    </m:r>
                    <m:r>
                      <m:rPr>
                        <m:nor/>
                      </m:rPr>
                      <w:rPr>
                        <w:color w:val="000000"/>
                      </w:rPr>
                      <m:t>кВт</m:t>
                    </m:r>
                  </m:sup>
                </m:sSubSup>
              </m:oMath>
            </m:oMathPara>
          </w:p>
        </w:tc>
        <w:tc>
          <w:tcPr>
            <w:tcW w:w="1601" w:type="pct"/>
            <w:shd w:val="clear" w:color="auto" w:fill="auto"/>
            <w:vAlign w:val="center"/>
          </w:tcPr>
          <w:p w14:paraId="15D1F8C2" w14:textId="77777777" w:rsidR="008F3544" w:rsidRPr="009B0DEF" w:rsidRDefault="008F3544" w:rsidP="0099088D">
            <w:pPr>
              <w:rPr>
                <w:color w:val="000000"/>
                <w:sz w:val="16"/>
                <w:szCs w:val="16"/>
                <w:lang w:val="en-US"/>
              </w:rPr>
            </w:pPr>
            <w:r w:rsidRPr="00023416">
              <w:rPr>
                <w:color w:val="000000"/>
                <w:sz w:val="16"/>
                <w:szCs w:val="16"/>
              </w:rPr>
              <w:t xml:space="preserve">Строительство воздушных линий </w:t>
            </w:r>
          </w:p>
        </w:tc>
        <w:tc>
          <w:tcPr>
            <w:tcW w:w="518" w:type="pct"/>
            <w:shd w:val="clear" w:color="auto" w:fill="auto"/>
            <w:vAlign w:val="center"/>
          </w:tcPr>
          <w:p w14:paraId="3340DA82" w14:textId="77777777" w:rsidR="008F3544" w:rsidRPr="009B0DEF" w:rsidRDefault="008F3544" w:rsidP="0099088D">
            <w:pPr>
              <w:jc w:val="center"/>
              <w:rPr>
                <w:color w:val="000000"/>
                <w:sz w:val="16"/>
                <w:szCs w:val="16"/>
                <w:lang w:val="en-US"/>
              </w:rPr>
            </w:pPr>
            <w:r w:rsidRPr="005E40DF">
              <w:rPr>
                <w:color w:val="000000"/>
                <w:sz w:val="16"/>
                <w:szCs w:val="16"/>
              </w:rPr>
              <w:t>рублей/кВт</w:t>
            </w:r>
          </w:p>
        </w:tc>
        <w:tc>
          <w:tcPr>
            <w:tcW w:w="582" w:type="pct"/>
            <w:shd w:val="clear" w:color="auto" w:fill="auto"/>
            <w:noWrap/>
            <w:vAlign w:val="center"/>
          </w:tcPr>
          <w:p w14:paraId="5A0B7143" w14:textId="77777777" w:rsidR="008F3544" w:rsidRPr="009B0DEF" w:rsidRDefault="008F3544" w:rsidP="0099088D">
            <w:pPr>
              <w:jc w:val="center"/>
              <w:rPr>
                <w:color w:val="000000"/>
                <w:sz w:val="16"/>
                <w:szCs w:val="16"/>
                <w:lang w:val="en-US"/>
              </w:rPr>
            </w:pPr>
            <w:r>
              <w:rPr>
                <w:color w:val="000000"/>
                <w:sz w:val="16"/>
                <w:szCs w:val="16"/>
                <w:lang w:val="en-US"/>
              </w:rPr>
              <w:t>0,00</w:t>
            </w:r>
          </w:p>
        </w:tc>
        <w:tc>
          <w:tcPr>
            <w:tcW w:w="576" w:type="pct"/>
            <w:shd w:val="clear" w:color="auto" w:fill="auto"/>
            <w:noWrap/>
            <w:vAlign w:val="center"/>
          </w:tcPr>
          <w:p w14:paraId="0404EE7C" w14:textId="77777777" w:rsidR="008F3544" w:rsidRPr="009B0DEF" w:rsidRDefault="008F3544" w:rsidP="0099088D">
            <w:pPr>
              <w:jc w:val="center"/>
              <w:rPr>
                <w:color w:val="000000"/>
                <w:sz w:val="16"/>
                <w:szCs w:val="16"/>
                <w:lang w:val="en-US"/>
              </w:rPr>
            </w:pPr>
            <w:r>
              <w:rPr>
                <w:color w:val="000000"/>
                <w:sz w:val="16"/>
                <w:szCs w:val="16"/>
                <w:lang w:val="en-US"/>
              </w:rPr>
              <w:t>0,00</w:t>
            </w:r>
          </w:p>
        </w:tc>
      </w:tr>
      <w:tr w:rsidR="008F3544" w:rsidRPr="009B0DEF" w14:paraId="1B90D6F3" w14:textId="77777777" w:rsidTr="0099088D">
        <w:trPr>
          <w:trHeight w:val="675"/>
        </w:trPr>
        <w:tc>
          <w:tcPr>
            <w:tcW w:w="1723" w:type="pct"/>
            <w:gridSpan w:val="2"/>
            <w:shd w:val="clear" w:color="auto" w:fill="auto"/>
            <w:vAlign w:val="center"/>
          </w:tcPr>
          <w:p w14:paraId="792FFBED" w14:textId="77777777" w:rsidR="008F3544" w:rsidRPr="009B0DEF" w:rsidRDefault="008F3544" w:rsidP="0099088D">
            <w:pPr>
              <w:rPr>
                <w:color w:val="000000"/>
                <w:lang w:val="en-US"/>
              </w:rPr>
            </w:pPr>
            <m:oMathPara>
              <m:oMath>
                <m:sSubSup>
                  <m:sSubSupPr>
                    <m:ctrlPr>
                      <w:rPr>
                        <w:rFonts w:ascii="Cambria Math" w:hAnsi="Cambria Math"/>
                        <w:i/>
                        <w:color w:val="000000"/>
                      </w:rPr>
                    </m:ctrlPr>
                  </m:sSubSupPr>
                  <m:e>
                    <m:r>
                      <m:rPr>
                        <m:nor/>
                      </m:rPr>
                      <w:rPr>
                        <w:color w:val="000000"/>
                      </w:rPr>
                      <m:t>С</m:t>
                    </m:r>
                  </m:e>
                  <m:sub>
                    <m:r>
                      <m:rPr>
                        <m:nor/>
                      </m:rPr>
                      <w:rPr>
                        <w:color w:val="000000"/>
                        <w:lang w:val="en-US"/>
                      </w:rPr>
                      <m:t>3 (s,t)</m:t>
                    </m:r>
                  </m:sub>
                  <m:sup>
                    <m:r>
                      <m:rPr>
                        <m:nor/>
                      </m:rPr>
                      <w:rPr>
                        <w:color w:val="000000"/>
                        <w:lang w:val="en-US"/>
                      </w:rPr>
                      <m:t xml:space="preserve">max N&lt;150 </m:t>
                    </m:r>
                    <m:r>
                      <m:rPr>
                        <m:nor/>
                      </m:rPr>
                      <w:rPr>
                        <w:color w:val="000000"/>
                      </w:rPr>
                      <m:t>кВт</m:t>
                    </m:r>
                  </m:sup>
                </m:sSubSup>
              </m:oMath>
            </m:oMathPara>
          </w:p>
        </w:tc>
        <w:tc>
          <w:tcPr>
            <w:tcW w:w="1601" w:type="pct"/>
            <w:shd w:val="clear" w:color="auto" w:fill="auto"/>
            <w:vAlign w:val="center"/>
          </w:tcPr>
          <w:p w14:paraId="40E09A33" w14:textId="77777777" w:rsidR="008F3544" w:rsidRPr="009B0DEF" w:rsidRDefault="008F3544" w:rsidP="0099088D">
            <w:pPr>
              <w:rPr>
                <w:color w:val="000000"/>
                <w:sz w:val="16"/>
                <w:szCs w:val="16"/>
                <w:lang w:val="en-US"/>
              </w:rPr>
            </w:pPr>
            <w:r w:rsidRPr="00023416">
              <w:rPr>
                <w:color w:val="000000"/>
                <w:sz w:val="16"/>
                <w:szCs w:val="16"/>
              </w:rPr>
              <w:t>Строительство кабельных линий</w:t>
            </w:r>
          </w:p>
        </w:tc>
        <w:tc>
          <w:tcPr>
            <w:tcW w:w="518" w:type="pct"/>
            <w:shd w:val="clear" w:color="auto" w:fill="auto"/>
            <w:vAlign w:val="center"/>
          </w:tcPr>
          <w:p w14:paraId="03886DF9" w14:textId="77777777" w:rsidR="008F3544" w:rsidRPr="009B0DEF" w:rsidRDefault="008F3544" w:rsidP="0099088D">
            <w:pPr>
              <w:jc w:val="center"/>
              <w:rPr>
                <w:color w:val="000000"/>
                <w:sz w:val="16"/>
                <w:szCs w:val="16"/>
                <w:lang w:val="en-US"/>
              </w:rPr>
            </w:pPr>
            <w:r w:rsidRPr="005E40DF">
              <w:rPr>
                <w:color w:val="000000"/>
                <w:sz w:val="16"/>
                <w:szCs w:val="16"/>
              </w:rPr>
              <w:t>рублей/кВт</w:t>
            </w:r>
          </w:p>
        </w:tc>
        <w:tc>
          <w:tcPr>
            <w:tcW w:w="582" w:type="pct"/>
            <w:shd w:val="clear" w:color="auto" w:fill="auto"/>
            <w:noWrap/>
            <w:vAlign w:val="center"/>
          </w:tcPr>
          <w:p w14:paraId="23EF9BF6" w14:textId="77777777" w:rsidR="008F3544" w:rsidRPr="009B0DEF" w:rsidRDefault="008F3544" w:rsidP="0099088D">
            <w:pPr>
              <w:jc w:val="center"/>
              <w:rPr>
                <w:color w:val="000000"/>
                <w:sz w:val="16"/>
                <w:szCs w:val="16"/>
                <w:lang w:val="en-US"/>
              </w:rPr>
            </w:pPr>
            <w:r>
              <w:rPr>
                <w:color w:val="000000"/>
                <w:sz w:val="16"/>
                <w:szCs w:val="16"/>
                <w:lang w:val="en-US"/>
              </w:rPr>
              <w:t>0,00</w:t>
            </w:r>
          </w:p>
        </w:tc>
        <w:tc>
          <w:tcPr>
            <w:tcW w:w="576" w:type="pct"/>
            <w:shd w:val="clear" w:color="auto" w:fill="auto"/>
            <w:noWrap/>
            <w:vAlign w:val="center"/>
          </w:tcPr>
          <w:p w14:paraId="3A3EF02E" w14:textId="77777777" w:rsidR="008F3544" w:rsidRPr="009B0DEF" w:rsidRDefault="008F3544" w:rsidP="0099088D">
            <w:pPr>
              <w:jc w:val="center"/>
              <w:rPr>
                <w:color w:val="000000"/>
                <w:sz w:val="16"/>
                <w:szCs w:val="16"/>
                <w:lang w:val="en-US"/>
              </w:rPr>
            </w:pPr>
            <w:r>
              <w:rPr>
                <w:color w:val="000000"/>
                <w:sz w:val="16"/>
                <w:szCs w:val="16"/>
                <w:lang w:val="en-US"/>
              </w:rPr>
              <w:t>0,00</w:t>
            </w:r>
          </w:p>
        </w:tc>
      </w:tr>
      <w:tr w:rsidR="008F3544" w:rsidRPr="009B0DEF" w14:paraId="7785735C" w14:textId="77777777" w:rsidTr="0099088D">
        <w:trPr>
          <w:trHeight w:val="675"/>
        </w:trPr>
        <w:tc>
          <w:tcPr>
            <w:tcW w:w="1723" w:type="pct"/>
            <w:gridSpan w:val="2"/>
            <w:shd w:val="clear" w:color="auto" w:fill="auto"/>
            <w:vAlign w:val="center"/>
          </w:tcPr>
          <w:p w14:paraId="1E92F1A2" w14:textId="77777777" w:rsidR="008F3544" w:rsidRPr="009B0DEF" w:rsidRDefault="008F3544" w:rsidP="0099088D">
            <w:pPr>
              <w:rPr>
                <w:color w:val="000000"/>
                <w:lang w:val="en-US"/>
              </w:rPr>
            </w:pPr>
            <m:oMathPara>
              <m:oMath>
                <m:sSubSup>
                  <m:sSubSupPr>
                    <m:ctrlPr>
                      <w:rPr>
                        <w:rFonts w:ascii="Cambria Math" w:hAnsi="Cambria Math"/>
                        <w:i/>
                        <w:color w:val="000000"/>
                      </w:rPr>
                    </m:ctrlPr>
                  </m:sSubSupPr>
                  <m:e>
                    <m:r>
                      <m:rPr>
                        <m:nor/>
                      </m:rPr>
                      <w:rPr>
                        <w:color w:val="000000"/>
                      </w:rPr>
                      <m:t>С</m:t>
                    </m:r>
                  </m:e>
                  <m:sub>
                    <m:r>
                      <m:rPr>
                        <m:nor/>
                      </m:rPr>
                      <w:rPr>
                        <w:color w:val="000000"/>
                        <w:lang w:val="en-US"/>
                      </w:rPr>
                      <m:t>4 (s,t)</m:t>
                    </m:r>
                  </m:sub>
                  <m:sup>
                    <m:r>
                      <m:rPr>
                        <m:nor/>
                      </m:rPr>
                      <w:rPr>
                        <w:color w:val="000000"/>
                        <w:lang w:val="en-US"/>
                      </w:rPr>
                      <m:t xml:space="preserve">max N&lt;150 </m:t>
                    </m:r>
                    <m:r>
                      <m:rPr>
                        <m:nor/>
                      </m:rPr>
                      <w:rPr>
                        <w:color w:val="000000"/>
                      </w:rPr>
                      <m:t>кВт</m:t>
                    </m:r>
                  </m:sup>
                </m:sSubSup>
              </m:oMath>
            </m:oMathPara>
          </w:p>
        </w:tc>
        <w:tc>
          <w:tcPr>
            <w:tcW w:w="1601" w:type="pct"/>
            <w:shd w:val="clear" w:color="auto" w:fill="auto"/>
            <w:vAlign w:val="center"/>
          </w:tcPr>
          <w:p w14:paraId="064CA707" w14:textId="77777777" w:rsidR="008F3544" w:rsidRPr="009B0DEF" w:rsidRDefault="008F3544" w:rsidP="0099088D">
            <w:pPr>
              <w:rPr>
                <w:color w:val="000000"/>
                <w:sz w:val="16"/>
                <w:szCs w:val="16"/>
                <w:lang w:val="en-US"/>
              </w:rPr>
            </w:pPr>
            <w:r>
              <w:rPr>
                <w:color w:val="000000"/>
                <w:sz w:val="16"/>
                <w:szCs w:val="16"/>
              </w:rPr>
              <w:t>Строительство пунктов секционирования</w:t>
            </w:r>
          </w:p>
        </w:tc>
        <w:tc>
          <w:tcPr>
            <w:tcW w:w="518" w:type="pct"/>
            <w:shd w:val="clear" w:color="auto" w:fill="auto"/>
            <w:vAlign w:val="center"/>
          </w:tcPr>
          <w:p w14:paraId="45B05C7C" w14:textId="77777777" w:rsidR="008F3544" w:rsidRPr="009B0DEF" w:rsidRDefault="008F3544" w:rsidP="0099088D">
            <w:pPr>
              <w:jc w:val="center"/>
              <w:rPr>
                <w:color w:val="000000"/>
                <w:sz w:val="16"/>
                <w:szCs w:val="16"/>
                <w:lang w:val="en-US"/>
              </w:rPr>
            </w:pPr>
            <w:r w:rsidRPr="005E40DF">
              <w:rPr>
                <w:color w:val="000000"/>
                <w:sz w:val="16"/>
                <w:szCs w:val="16"/>
              </w:rPr>
              <w:t>рублей/кВт</w:t>
            </w:r>
          </w:p>
        </w:tc>
        <w:tc>
          <w:tcPr>
            <w:tcW w:w="582" w:type="pct"/>
            <w:shd w:val="clear" w:color="auto" w:fill="auto"/>
            <w:noWrap/>
            <w:vAlign w:val="center"/>
          </w:tcPr>
          <w:p w14:paraId="19D8C995" w14:textId="77777777" w:rsidR="008F3544" w:rsidRPr="009B0DEF" w:rsidRDefault="008F3544" w:rsidP="0099088D">
            <w:pPr>
              <w:jc w:val="center"/>
              <w:rPr>
                <w:color w:val="000000"/>
                <w:sz w:val="16"/>
                <w:szCs w:val="16"/>
                <w:lang w:val="en-US"/>
              </w:rPr>
            </w:pPr>
            <w:r>
              <w:rPr>
                <w:color w:val="000000"/>
                <w:sz w:val="16"/>
                <w:szCs w:val="16"/>
                <w:lang w:val="en-US"/>
              </w:rPr>
              <w:t>0,00</w:t>
            </w:r>
          </w:p>
        </w:tc>
        <w:tc>
          <w:tcPr>
            <w:tcW w:w="576" w:type="pct"/>
            <w:shd w:val="clear" w:color="auto" w:fill="auto"/>
            <w:noWrap/>
            <w:vAlign w:val="center"/>
          </w:tcPr>
          <w:p w14:paraId="2CBA0603" w14:textId="77777777" w:rsidR="008F3544" w:rsidRPr="009B0DEF" w:rsidRDefault="008F3544" w:rsidP="0099088D">
            <w:pPr>
              <w:jc w:val="center"/>
              <w:rPr>
                <w:color w:val="000000"/>
                <w:sz w:val="16"/>
                <w:szCs w:val="16"/>
                <w:lang w:val="en-US"/>
              </w:rPr>
            </w:pPr>
            <w:r>
              <w:rPr>
                <w:color w:val="000000"/>
                <w:sz w:val="16"/>
                <w:szCs w:val="16"/>
                <w:lang w:val="en-US"/>
              </w:rPr>
              <w:t>0,00</w:t>
            </w:r>
          </w:p>
        </w:tc>
      </w:tr>
      <w:tr w:rsidR="008F3544" w:rsidRPr="009B0DEF" w14:paraId="48D47142" w14:textId="77777777" w:rsidTr="0099088D">
        <w:trPr>
          <w:trHeight w:val="675"/>
        </w:trPr>
        <w:tc>
          <w:tcPr>
            <w:tcW w:w="1723" w:type="pct"/>
            <w:gridSpan w:val="2"/>
            <w:shd w:val="clear" w:color="auto" w:fill="auto"/>
            <w:vAlign w:val="center"/>
          </w:tcPr>
          <w:p w14:paraId="55A77B32" w14:textId="77777777" w:rsidR="008F3544" w:rsidRPr="009B0DEF" w:rsidRDefault="008F3544" w:rsidP="0099088D">
            <w:pPr>
              <w:rPr>
                <w:color w:val="000000"/>
                <w:lang w:val="en-US"/>
              </w:rPr>
            </w:pPr>
            <m:oMathPara>
              <m:oMath>
                <m:sSubSup>
                  <m:sSubSupPr>
                    <m:ctrlPr>
                      <w:rPr>
                        <w:rFonts w:ascii="Cambria Math" w:hAnsi="Cambria Math"/>
                        <w:i/>
                        <w:color w:val="000000"/>
                      </w:rPr>
                    </m:ctrlPr>
                  </m:sSubSupPr>
                  <m:e>
                    <m:r>
                      <m:rPr>
                        <m:nor/>
                      </m:rPr>
                      <w:rPr>
                        <w:color w:val="000000"/>
                      </w:rPr>
                      <m:t>С</m:t>
                    </m:r>
                  </m:e>
                  <m:sub>
                    <m:r>
                      <m:rPr>
                        <m:nor/>
                      </m:rPr>
                      <w:rPr>
                        <w:color w:val="000000"/>
                        <w:lang w:val="en-US"/>
                      </w:rPr>
                      <m:t>5 (s,t)</m:t>
                    </m:r>
                  </m:sub>
                  <m:sup>
                    <m:r>
                      <m:rPr>
                        <m:nor/>
                      </m:rPr>
                      <w:rPr>
                        <w:color w:val="000000"/>
                        <w:lang w:val="en-US"/>
                      </w:rPr>
                      <m:t xml:space="preserve">max N&lt;150 </m:t>
                    </m:r>
                    <m:r>
                      <m:rPr>
                        <m:nor/>
                      </m:rPr>
                      <w:rPr>
                        <w:color w:val="000000"/>
                      </w:rPr>
                      <m:t>кВт</m:t>
                    </m:r>
                  </m:sup>
                </m:sSubSup>
              </m:oMath>
            </m:oMathPara>
          </w:p>
        </w:tc>
        <w:tc>
          <w:tcPr>
            <w:tcW w:w="1601" w:type="pct"/>
            <w:shd w:val="clear" w:color="auto" w:fill="auto"/>
            <w:vAlign w:val="center"/>
          </w:tcPr>
          <w:p w14:paraId="152E00DD" w14:textId="77777777" w:rsidR="008F3544" w:rsidRPr="009B0DEF" w:rsidRDefault="008F3544" w:rsidP="0099088D">
            <w:pPr>
              <w:rPr>
                <w:color w:val="000000"/>
                <w:sz w:val="16"/>
                <w:szCs w:val="16"/>
              </w:rPr>
            </w:pPr>
            <w:r>
              <w:rPr>
                <w:color w:val="000000"/>
                <w:sz w:val="16"/>
                <w:szCs w:val="16"/>
              </w:rPr>
              <w:t>С</w:t>
            </w:r>
            <w:r w:rsidRPr="00726812">
              <w:rPr>
                <w:color w:val="000000"/>
                <w:sz w:val="16"/>
                <w:szCs w:val="16"/>
              </w:rPr>
              <w:t>троительств</w:t>
            </w:r>
            <w:r>
              <w:rPr>
                <w:color w:val="000000"/>
                <w:sz w:val="16"/>
                <w:szCs w:val="16"/>
              </w:rPr>
              <w:t>о</w:t>
            </w:r>
            <w:r w:rsidRPr="00726812">
              <w:rPr>
                <w:color w:val="000000"/>
                <w:sz w:val="16"/>
                <w:szCs w:val="16"/>
              </w:rPr>
              <w:t xml:space="preserve"> трансформаторных подстанций (ТП), за исключением распределительных трансформаторных подстанций (РТП)</w:t>
            </w:r>
          </w:p>
        </w:tc>
        <w:tc>
          <w:tcPr>
            <w:tcW w:w="518" w:type="pct"/>
            <w:shd w:val="clear" w:color="auto" w:fill="auto"/>
            <w:vAlign w:val="center"/>
          </w:tcPr>
          <w:p w14:paraId="20E3CDA4" w14:textId="77777777" w:rsidR="008F3544" w:rsidRPr="009B0DEF" w:rsidRDefault="008F3544" w:rsidP="0099088D">
            <w:pPr>
              <w:jc w:val="center"/>
              <w:rPr>
                <w:color w:val="000000"/>
                <w:sz w:val="16"/>
                <w:szCs w:val="16"/>
              </w:rPr>
            </w:pPr>
            <w:r w:rsidRPr="005E40DF">
              <w:rPr>
                <w:color w:val="000000"/>
                <w:sz w:val="16"/>
                <w:szCs w:val="16"/>
              </w:rPr>
              <w:t>рублей/кВт</w:t>
            </w:r>
          </w:p>
        </w:tc>
        <w:tc>
          <w:tcPr>
            <w:tcW w:w="582" w:type="pct"/>
            <w:shd w:val="clear" w:color="auto" w:fill="auto"/>
            <w:noWrap/>
            <w:vAlign w:val="center"/>
          </w:tcPr>
          <w:p w14:paraId="5E54DEA0" w14:textId="77777777" w:rsidR="008F3544" w:rsidRPr="009B0DEF" w:rsidRDefault="008F3544" w:rsidP="0099088D">
            <w:pPr>
              <w:jc w:val="center"/>
              <w:rPr>
                <w:color w:val="000000"/>
                <w:sz w:val="16"/>
                <w:szCs w:val="16"/>
              </w:rPr>
            </w:pPr>
            <w:r>
              <w:rPr>
                <w:color w:val="000000"/>
                <w:sz w:val="16"/>
                <w:szCs w:val="16"/>
                <w:lang w:val="en-US"/>
              </w:rPr>
              <w:t>0,00</w:t>
            </w:r>
          </w:p>
        </w:tc>
        <w:tc>
          <w:tcPr>
            <w:tcW w:w="576" w:type="pct"/>
            <w:shd w:val="clear" w:color="auto" w:fill="auto"/>
            <w:noWrap/>
            <w:vAlign w:val="center"/>
          </w:tcPr>
          <w:p w14:paraId="78ED75FD" w14:textId="77777777" w:rsidR="008F3544" w:rsidRPr="009B0DEF" w:rsidRDefault="008F3544" w:rsidP="0099088D">
            <w:pPr>
              <w:jc w:val="center"/>
              <w:rPr>
                <w:color w:val="000000"/>
                <w:sz w:val="16"/>
                <w:szCs w:val="16"/>
              </w:rPr>
            </w:pPr>
            <w:r>
              <w:rPr>
                <w:color w:val="000000"/>
                <w:sz w:val="16"/>
                <w:szCs w:val="16"/>
                <w:lang w:val="en-US"/>
              </w:rPr>
              <w:t>0,00</w:t>
            </w:r>
          </w:p>
        </w:tc>
      </w:tr>
      <w:tr w:rsidR="008F3544" w:rsidRPr="009B0DEF" w14:paraId="56B5DDA6" w14:textId="77777777" w:rsidTr="0099088D">
        <w:trPr>
          <w:trHeight w:val="675"/>
        </w:trPr>
        <w:tc>
          <w:tcPr>
            <w:tcW w:w="1723" w:type="pct"/>
            <w:gridSpan w:val="2"/>
            <w:shd w:val="clear" w:color="auto" w:fill="auto"/>
            <w:vAlign w:val="center"/>
          </w:tcPr>
          <w:p w14:paraId="1909BEAE" w14:textId="77777777" w:rsidR="008F3544" w:rsidRPr="009B0DEF" w:rsidRDefault="008F3544" w:rsidP="0099088D">
            <w:pPr>
              <w:rPr>
                <w:color w:val="000000"/>
                <w:lang w:val="en-US"/>
              </w:rPr>
            </w:pPr>
            <m:oMathPara>
              <m:oMath>
                <m:sSubSup>
                  <m:sSubSupPr>
                    <m:ctrlPr>
                      <w:rPr>
                        <w:rFonts w:ascii="Cambria Math" w:hAnsi="Cambria Math"/>
                        <w:i/>
                        <w:color w:val="000000"/>
                      </w:rPr>
                    </m:ctrlPr>
                  </m:sSubSupPr>
                  <m:e>
                    <m:r>
                      <m:rPr>
                        <m:nor/>
                      </m:rPr>
                      <w:rPr>
                        <w:color w:val="000000"/>
                      </w:rPr>
                      <m:t>С</m:t>
                    </m:r>
                  </m:e>
                  <m:sub>
                    <m:r>
                      <m:rPr>
                        <m:nor/>
                      </m:rPr>
                      <w:rPr>
                        <w:color w:val="000000"/>
                        <w:lang w:val="en-US"/>
                      </w:rPr>
                      <m:t>6 (s,t)</m:t>
                    </m:r>
                  </m:sub>
                  <m:sup>
                    <m:r>
                      <m:rPr>
                        <m:nor/>
                      </m:rPr>
                      <w:rPr>
                        <w:color w:val="000000"/>
                        <w:lang w:val="en-US"/>
                      </w:rPr>
                      <m:t xml:space="preserve">max N&lt;150 </m:t>
                    </m:r>
                    <m:r>
                      <m:rPr>
                        <m:nor/>
                      </m:rPr>
                      <w:rPr>
                        <w:color w:val="000000"/>
                      </w:rPr>
                      <m:t>кВт</m:t>
                    </m:r>
                  </m:sup>
                </m:sSubSup>
              </m:oMath>
            </m:oMathPara>
          </w:p>
        </w:tc>
        <w:tc>
          <w:tcPr>
            <w:tcW w:w="1601" w:type="pct"/>
            <w:shd w:val="clear" w:color="auto" w:fill="auto"/>
            <w:vAlign w:val="center"/>
          </w:tcPr>
          <w:p w14:paraId="25E4DA8D" w14:textId="77777777" w:rsidR="008F3544" w:rsidRPr="009B0DEF" w:rsidRDefault="008F3544" w:rsidP="0099088D">
            <w:pPr>
              <w:rPr>
                <w:color w:val="000000"/>
                <w:sz w:val="16"/>
                <w:szCs w:val="16"/>
              </w:rPr>
            </w:pPr>
            <w:r>
              <w:rPr>
                <w:color w:val="000000"/>
                <w:sz w:val="16"/>
                <w:szCs w:val="16"/>
              </w:rPr>
              <w:t>С</w:t>
            </w:r>
            <w:r w:rsidRPr="00E93F31">
              <w:rPr>
                <w:color w:val="000000"/>
                <w:sz w:val="16"/>
                <w:szCs w:val="16"/>
              </w:rPr>
              <w:t>троительств</w:t>
            </w:r>
            <w:r>
              <w:rPr>
                <w:color w:val="000000"/>
                <w:sz w:val="16"/>
                <w:szCs w:val="16"/>
              </w:rPr>
              <w:t xml:space="preserve">о </w:t>
            </w:r>
            <w:r w:rsidRPr="00E93F31">
              <w:rPr>
                <w:color w:val="000000"/>
                <w:sz w:val="16"/>
                <w:szCs w:val="16"/>
              </w:rPr>
              <w:t>распределительных трансформаторных подстанций (РТП) с уровнем напряжения до 35 кВ</w:t>
            </w:r>
          </w:p>
        </w:tc>
        <w:tc>
          <w:tcPr>
            <w:tcW w:w="518" w:type="pct"/>
            <w:shd w:val="clear" w:color="auto" w:fill="auto"/>
            <w:vAlign w:val="center"/>
          </w:tcPr>
          <w:p w14:paraId="57A115AF" w14:textId="77777777" w:rsidR="008F3544" w:rsidRPr="009B0DEF" w:rsidRDefault="008F3544" w:rsidP="0099088D">
            <w:pPr>
              <w:jc w:val="center"/>
              <w:rPr>
                <w:color w:val="000000"/>
                <w:sz w:val="16"/>
                <w:szCs w:val="16"/>
              </w:rPr>
            </w:pPr>
            <w:r w:rsidRPr="005E40DF">
              <w:rPr>
                <w:color w:val="000000"/>
                <w:sz w:val="16"/>
                <w:szCs w:val="16"/>
              </w:rPr>
              <w:t>рублей/кВт</w:t>
            </w:r>
          </w:p>
        </w:tc>
        <w:tc>
          <w:tcPr>
            <w:tcW w:w="582" w:type="pct"/>
            <w:shd w:val="clear" w:color="auto" w:fill="auto"/>
            <w:noWrap/>
            <w:vAlign w:val="center"/>
          </w:tcPr>
          <w:p w14:paraId="59C9B8D5" w14:textId="77777777" w:rsidR="008F3544" w:rsidRPr="009B0DEF" w:rsidRDefault="008F3544" w:rsidP="0099088D">
            <w:pPr>
              <w:jc w:val="center"/>
              <w:rPr>
                <w:color w:val="000000"/>
                <w:sz w:val="16"/>
                <w:szCs w:val="16"/>
              </w:rPr>
            </w:pPr>
            <w:r>
              <w:rPr>
                <w:color w:val="000000"/>
                <w:sz w:val="16"/>
                <w:szCs w:val="16"/>
                <w:lang w:val="en-US"/>
              </w:rPr>
              <w:t>0,00</w:t>
            </w:r>
          </w:p>
        </w:tc>
        <w:tc>
          <w:tcPr>
            <w:tcW w:w="576" w:type="pct"/>
            <w:shd w:val="clear" w:color="auto" w:fill="auto"/>
            <w:noWrap/>
            <w:vAlign w:val="center"/>
          </w:tcPr>
          <w:p w14:paraId="2AC4B08D" w14:textId="77777777" w:rsidR="008F3544" w:rsidRPr="009B0DEF" w:rsidRDefault="008F3544" w:rsidP="0099088D">
            <w:pPr>
              <w:jc w:val="center"/>
              <w:rPr>
                <w:color w:val="000000"/>
                <w:sz w:val="16"/>
                <w:szCs w:val="16"/>
              </w:rPr>
            </w:pPr>
            <w:r>
              <w:rPr>
                <w:color w:val="000000"/>
                <w:sz w:val="16"/>
                <w:szCs w:val="16"/>
                <w:lang w:val="en-US"/>
              </w:rPr>
              <w:t>0,00</w:t>
            </w:r>
          </w:p>
        </w:tc>
      </w:tr>
      <w:tr w:rsidR="008F3544" w:rsidRPr="009B0DEF" w14:paraId="4261A129" w14:textId="77777777" w:rsidTr="0099088D">
        <w:trPr>
          <w:trHeight w:val="675"/>
        </w:trPr>
        <w:tc>
          <w:tcPr>
            <w:tcW w:w="1723" w:type="pct"/>
            <w:gridSpan w:val="2"/>
            <w:shd w:val="clear" w:color="auto" w:fill="auto"/>
            <w:vAlign w:val="center"/>
          </w:tcPr>
          <w:p w14:paraId="1A050DA3" w14:textId="77777777" w:rsidR="008F3544" w:rsidRPr="009B0DEF" w:rsidRDefault="008F3544" w:rsidP="0099088D">
            <w:pPr>
              <w:rPr>
                <w:color w:val="000000"/>
                <w:lang w:val="en-US"/>
              </w:rPr>
            </w:pPr>
            <m:oMathPara>
              <m:oMath>
                <m:sSubSup>
                  <m:sSubSupPr>
                    <m:ctrlPr>
                      <w:rPr>
                        <w:rFonts w:ascii="Cambria Math" w:hAnsi="Cambria Math"/>
                        <w:i/>
                        <w:color w:val="000000"/>
                      </w:rPr>
                    </m:ctrlPr>
                  </m:sSubSupPr>
                  <m:e>
                    <m:r>
                      <m:rPr>
                        <m:nor/>
                      </m:rPr>
                      <w:rPr>
                        <w:color w:val="000000"/>
                      </w:rPr>
                      <m:t>С</m:t>
                    </m:r>
                  </m:e>
                  <m:sub>
                    <m:r>
                      <m:rPr>
                        <m:nor/>
                      </m:rPr>
                      <w:rPr>
                        <w:color w:val="000000"/>
                        <w:lang w:val="en-US"/>
                      </w:rPr>
                      <m:t>7 (s,t)</m:t>
                    </m:r>
                  </m:sub>
                  <m:sup>
                    <m:r>
                      <m:rPr>
                        <m:nor/>
                      </m:rPr>
                      <w:rPr>
                        <w:color w:val="000000"/>
                        <w:lang w:val="en-US"/>
                      </w:rPr>
                      <m:t xml:space="preserve">max N&lt;150 </m:t>
                    </m:r>
                    <m:r>
                      <m:rPr>
                        <m:nor/>
                      </m:rPr>
                      <w:rPr>
                        <w:color w:val="000000"/>
                      </w:rPr>
                      <m:t>кВт</m:t>
                    </m:r>
                  </m:sup>
                </m:sSubSup>
              </m:oMath>
            </m:oMathPara>
          </w:p>
        </w:tc>
        <w:tc>
          <w:tcPr>
            <w:tcW w:w="1601" w:type="pct"/>
            <w:shd w:val="clear" w:color="auto" w:fill="auto"/>
            <w:vAlign w:val="center"/>
          </w:tcPr>
          <w:p w14:paraId="4EE8E202" w14:textId="77777777" w:rsidR="008F3544" w:rsidRPr="009B0DEF" w:rsidRDefault="008F3544" w:rsidP="0099088D">
            <w:pPr>
              <w:rPr>
                <w:color w:val="000000"/>
                <w:sz w:val="16"/>
                <w:szCs w:val="16"/>
              </w:rPr>
            </w:pPr>
            <w:r>
              <w:rPr>
                <w:color w:val="000000"/>
                <w:sz w:val="16"/>
                <w:szCs w:val="16"/>
              </w:rPr>
              <w:t>С</w:t>
            </w:r>
            <w:r w:rsidRPr="00E93F31">
              <w:rPr>
                <w:color w:val="000000"/>
                <w:sz w:val="16"/>
                <w:szCs w:val="16"/>
              </w:rPr>
              <w:t>троительств</w:t>
            </w:r>
            <w:r>
              <w:rPr>
                <w:color w:val="000000"/>
                <w:sz w:val="16"/>
                <w:szCs w:val="16"/>
              </w:rPr>
              <w:t xml:space="preserve">о </w:t>
            </w:r>
            <w:r w:rsidRPr="00E93F31">
              <w:rPr>
                <w:color w:val="000000"/>
                <w:sz w:val="16"/>
                <w:szCs w:val="16"/>
              </w:rPr>
              <w:t>подстанций уровнем напряжения 35 кВ и выше (ПС)</w:t>
            </w:r>
          </w:p>
        </w:tc>
        <w:tc>
          <w:tcPr>
            <w:tcW w:w="518" w:type="pct"/>
            <w:shd w:val="clear" w:color="auto" w:fill="auto"/>
            <w:vAlign w:val="center"/>
          </w:tcPr>
          <w:p w14:paraId="57333E9E" w14:textId="77777777" w:rsidR="008F3544" w:rsidRPr="009B0DEF" w:rsidRDefault="008F3544" w:rsidP="0099088D">
            <w:pPr>
              <w:jc w:val="center"/>
              <w:rPr>
                <w:color w:val="000000"/>
                <w:sz w:val="16"/>
                <w:szCs w:val="16"/>
              </w:rPr>
            </w:pPr>
            <w:r w:rsidRPr="005E40DF">
              <w:rPr>
                <w:color w:val="000000"/>
                <w:sz w:val="16"/>
                <w:szCs w:val="16"/>
              </w:rPr>
              <w:t>рублей/кВт</w:t>
            </w:r>
          </w:p>
        </w:tc>
        <w:tc>
          <w:tcPr>
            <w:tcW w:w="582" w:type="pct"/>
            <w:shd w:val="clear" w:color="auto" w:fill="auto"/>
            <w:noWrap/>
            <w:vAlign w:val="center"/>
          </w:tcPr>
          <w:p w14:paraId="63F60FB5" w14:textId="77777777" w:rsidR="008F3544" w:rsidRPr="009B0DEF" w:rsidRDefault="008F3544" w:rsidP="0099088D">
            <w:pPr>
              <w:jc w:val="center"/>
              <w:rPr>
                <w:color w:val="000000"/>
                <w:sz w:val="16"/>
                <w:szCs w:val="16"/>
              </w:rPr>
            </w:pPr>
            <w:r>
              <w:rPr>
                <w:color w:val="000000"/>
                <w:sz w:val="16"/>
                <w:szCs w:val="16"/>
                <w:lang w:val="en-US"/>
              </w:rPr>
              <w:t>0,00</w:t>
            </w:r>
          </w:p>
        </w:tc>
        <w:tc>
          <w:tcPr>
            <w:tcW w:w="576" w:type="pct"/>
            <w:shd w:val="clear" w:color="auto" w:fill="auto"/>
            <w:noWrap/>
            <w:vAlign w:val="center"/>
          </w:tcPr>
          <w:p w14:paraId="71C58A90" w14:textId="77777777" w:rsidR="008F3544" w:rsidRPr="009B0DEF" w:rsidRDefault="008F3544" w:rsidP="0099088D">
            <w:pPr>
              <w:jc w:val="center"/>
              <w:rPr>
                <w:color w:val="000000"/>
                <w:sz w:val="16"/>
                <w:szCs w:val="16"/>
              </w:rPr>
            </w:pPr>
            <w:r>
              <w:rPr>
                <w:color w:val="000000"/>
                <w:sz w:val="16"/>
                <w:szCs w:val="16"/>
                <w:lang w:val="en-US"/>
              </w:rPr>
              <w:t>0,00</w:t>
            </w:r>
          </w:p>
        </w:tc>
      </w:tr>
    </w:tbl>
    <w:p w14:paraId="36707CA2" w14:textId="77777777" w:rsidR="008F3544" w:rsidRDefault="008F3544" w:rsidP="008F3544">
      <w:pPr>
        <w:autoSpaceDE w:val="0"/>
        <w:autoSpaceDN w:val="0"/>
        <w:adjustRightInd w:val="0"/>
        <w:ind w:firstLine="540"/>
        <w:jc w:val="center"/>
        <w:rPr>
          <w:rFonts w:eastAsiaTheme="minorHAnsi"/>
          <w:sz w:val="28"/>
          <w:szCs w:val="28"/>
        </w:rPr>
      </w:pPr>
    </w:p>
    <w:p w14:paraId="146A2B6B" w14:textId="77777777" w:rsidR="008F3544" w:rsidRDefault="008F3544" w:rsidP="008F3544">
      <w:pPr>
        <w:autoSpaceDE w:val="0"/>
        <w:autoSpaceDN w:val="0"/>
        <w:adjustRightInd w:val="0"/>
        <w:ind w:firstLine="540"/>
        <w:jc w:val="center"/>
        <w:rPr>
          <w:rFonts w:eastAsiaTheme="minorHAnsi"/>
          <w:sz w:val="28"/>
          <w:szCs w:val="28"/>
        </w:rPr>
      </w:pPr>
    </w:p>
    <w:p w14:paraId="030BD6E8" w14:textId="62069AD5" w:rsidR="00405689" w:rsidRDefault="00405689" w:rsidP="001E6CA3">
      <w:pPr>
        <w:tabs>
          <w:tab w:val="left" w:pos="5580"/>
          <w:tab w:val="left" w:pos="9498"/>
        </w:tabs>
        <w:ind w:right="-569"/>
        <w:rPr>
          <w:sz w:val="28"/>
          <w:szCs w:val="28"/>
        </w:rPr>
      </w:pPr>
    </w:p>
    <w:p w14:paraId="326ED21E" w14:textId="607FA296" w:rsidR="008F3544" w:rsidRDefault="008F3544" w:rsidP="001E6CA3">
      <w:pPr>
        <w:tabs>
          <w:tab w:val="left" w:pos="5580"/>
          <w:tab w:val="left" w:pos="9498"/>
        </w:tabs>
        <w:ind w:right="-569"/>
        <w:rPr>
          <w:sz w:val="28"/>
          <w:szCs w:val="28"/>
        </w:rPr>
      </w:pPr>
    </w:p>
    <w:p w14:paraId="1B8D3E98" w14:textId="14A7087D" w:rsidR="008F3544" w:rsidRDefault="008F3544" w:rsidP="001E6CA3">
      <w:pPr>
        <w:tabs>
          <w:tab w:val="left" w:pos="5580"/>
          <w:tab w:val="left" w:pos="9498"/>
        </w:tabs>
        <w:ind w:right="-569"/>
        <w:rPr>
          <w:sz w:val="28"/>
          <w:szCs w:val="28"/>
        </w:rPr>
      </w:pPr>
    </w:p>
    <w:p w14:paraId="23E08743" w14:textId="5C81B3C5" w:rsidR="008F3544" w:rsidRPr="00081AD4" w:rsidRDefault="008F3544" w:rsidP="008F3544">
      <w:pPr>
        <w:tabs>
          <w:tab w:val="left" w:pos="5580"/>
          <w:tab w:val="left" w:pos="9498"/>
        </w:tabs>
        <w:ind w:left="-3734" w:right="-569" w:firstLine="10255"/>
        <w:rPr>
          <w:color w:val="000000" w:themeColor="text1"/>
        </w:rPr>
      </w:pPr>
      <w:r w:rsidRPr="00081AD4">
        <w:rPr>
          <w:color w:val="000000" w:themeColor="text1"/>
        </w:rPr>
        <w:t xml:space="preserve">Приложение № </w:t>
      </w:r>
      <w:r>
        <w:rPr>
          <w:color w:val="000000" w:themeColor="text1"/>
        </w:rPr>
        <w:t>7 к протоколу</w:t>
      </w:r>
      <w:r w:rsidRPr="00081AD4">
        <w:rPr>
          <w:color w:val="000000" w:themeColor="text1"/>
        </w:rPr>
        <w:t xml:space="preserve"> № </w:t>
      </w:r>
      <w:r>
        <w:rPr>
          <w:color w:val="000000" w:themeColor="text1"/>
        </w:rPr>
        <w:t>88</w:t>
      </w:r>
    </w:p>
    <w:p w14:paraId="77B1E429" w14:textId="77777777" w:rsidR="008F3544" w:rsidRPr="00081AD4" w:rsidRDefault="008F3544" w:rsidP="008F3544">
      <w:pPr>
        <w:tabs>
          <w:tab w:val="left" w:pos="5580"/>
          <w:tab w:val="left" w:pos="9498"/>
        </w:tabs>
        <w:ind w:left="-3734" w:right="-569" w:firstLine="10255"/>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7E8AFC64" w14:textId="77777777" w:rsidR="008F3544" w:rsidRPr="00081AD4" w:rsidRDefault="008F3544" w:rsidP="008F3544">
      <w:pPr>
        <w:tabs>
          <w:tab w:val="left" w:pos="5580"/>
          <w:tab w:val="left" w:pos="9498"/>
        </w:tabs>
        <w:ind w:left="-3734" w:right="-569" w:firstLine="10255"/>
        <w:rPr>
          <w:color w:val="000000" w:themeColor="text1"/>
        </w:rPr>
      </w:pPr>
      <w:r w:rsidRPr="00081AD4">
        <w:rPr>
          <w:color w:val="000000" w:themeColor="text1"/>
        </w:rPr>
        <w:t>энергетической комиссии</w:t>
      </w:r>
    </w:p>
    <w:p w14:paraId="35018024" w14:textId="76DA796F" w:rsidR="008F3544" w:rsidRDefault="008F3544" w:rsidP="008F3544">
      <w:pPr>
        <w:tabs>
          <w:tab w:val="left" w:pos="5580"/>
          <w:tab w:val="left" w:pos="9498"/>
        </w:tabs>
        <w:ind w:left="-3734" w:right="-569" w:firstLine="10255"/>
        <w:rPr>
          <w:color w:val="000000" w:themeColor="text1"/>
        </w:rPr>
      </w:pPr>
      <w:r w:rsidRPr="00081AD4">
        <w:rPr>
          <w:color w:val="000000" w:themeColor="text1"/>
        </w:rPr>
        <w:t xml:space="preserve">Кузбасса от </w:t>
      </w:r>
      <w:r>
        <w:rPr>
          <w:color w:val="000000" w:themeColor="text1"/>
        </w:rPr>
        <w:t>23</w:t>
      </w:r>
      <w:r w:rsidRPr="00081AD4">
        <w:rPr>
          <w:color w:val="000000" w:themeColor="text1"/>
        </w:rPr>
        <w:t>.</w:t>
      </w:r>
      <w:r>
        <w:rPr>
          <w:color w:val="000000" w:themeColor="text1"/>
        </w:rPr>
        <w:t>12</w:t>
      </w:r>
      <w:r w:rsidRPr="00081AD4">
        <w:rPr>
          <w:color w:val="000000" w:themeColor="text1"/>
        </w:rPr>
        <w:t>.202</w:t>
      </w:r>
      <w:r>
        <w:rPr>
          <w:color w:val="000000" w:themeColor="text1"/>
        </w:rPr>
        <w:t>1</w:t>
      </w:r>
    </w:p>
    <w:p w14:paraId="3671949B" w14:textId="3E5ECCC2" w:rsidR="008F3544" w:rsidRDefault="008F3544" w:rsidP="008F3544">
      <w:pPr>
        <w:tabs>
          <w:tab w:val="left" w:pos="5580"/>
          <w:tab w:val="left" w:pos="9498"/>
        </w:tabs>
        <w:ind w:left="-3734" w:right="-569" w:firstLine="10255"/>
        <w:rPr>
          <w:color w:val="000000" w:themeColor="text1"/>
        </w:rPr>
      </w:pPr>
    </w:p>
    <w:p w14:paraId="58D30D84" w14:textId="77777777" w:rsidR="00F95501" w:rsidRDefault="00F95501" w:rsidP="00F95501">
      <w:pPr>
        <w:autoSpaceDE w:val="0"/>
        <w:autoSpaceDN w:val="0"/>
        <w:adjustRightInd w:val="0"/>
        <w:jc w:val="center"/>
        <w:rPr>
          <w:b/>
          <w:sz w:val="28"/>
          <w:szCs w:val="28"/>
        </w:rPr>
      </w:pPr>
      <w:r w:rsidRPr="001C6B74">
        <w:rPr>
          <w:b/>
          <w:sz w:val="28"/>
          <w:szCs w:val="28"/>
        </w:rPr>
        <w:t xml:space="preserve">Формулы платы за технологическое присоединения </w:t>
      </w:r>
    </w:p>
    <w:p w14:paraId="33BA5AB8" w14:textId="77777777" w:rsidR="00F95501" w:rsidRDefault="00F95501" w:rsidP="00F95501">
      <w:pPr>
        <w:autoSpaceDE w:val="0"/>
        <w:autoSpaceDN w:val="0"/>
        <w:adjustRightInd w:val="0"/>
        <w:jc w:val="center"/>
        <w:rPr>
          <w:b/>
          <w:sz w:val="28"/>
          <w:szCs w:val="28"/>
        </w:rPr>
      </w:pPr>
      <w:r w:rsidRPr="001C6B74">
        <w:rPr>
          <w:b/>
          <w:sz w:val="28"/>
          <w:szCs w:val="28"/>
        </w:rPr>
        <w:t xml:space="preserve">к электрическим сетям территориальных сетевых </w:t>
      </w:r>
    </w:p>
    <w:p w14:paraId="0F370F8D" w14:textId="77777777" w:rsidR="00F95501" w:rsidRDefault="00F95501" w:rsidP="00F95501">
      <w:pPr>
        <w:autoSpaceDE w:val="0"/>
        <w:autoSpaceDN w:val="0"/>
        <w:adjustRightInd w:val="0"/>
        <w:jc w:val="center"/>
        <w:rPr>
          <w:b/>
          <w:bCs/>
          <w:sz w:val="28"/>
          <w:szCs w:val="28"/>
        </w:rPr>
      </w:pPr>
      <w:r w:rsidRPr="001C6B74">
        <w:rPr>
          <w:b/>
          <w:sz w:val="28"/>
          <w:szCs w:val="28"/>
        </w:rPr>
        <w:t>организаций Кемеровской области</w:t>
      </w:r>
      <w:r>
        <w:rPr>
          <w:b/>
          <w:sz w:val="28"/>
          <w:szCs w:val="28"/>
        </w:rPr>
        <w:t xml:space="preserve"> - Кузбасса</w:t>
      </w:r>
      <w:r w:rsidRPr="001C6B74">
        <w:rPr>
          <w:b/>
          <w:sz w:val="28"/>
          <w:szCs w:val="28"/>
        </w:rPr>
        <w:t xml:space="preserve"> </w:t>
      </w:r>
      <w:r w:rsidRPr="00997CC1">
        <w:rPr>
          <w:b/>
          <w:bCs/>
          <w:sz w:val="28"/>
          <w:szCs w:val="28"/>
        </w:rPr>
        <w:t>на 20</w:t>
      </w:r>
      <w:r>
        <w:rPr>
          <w:b/>
          <w:bCs/>
          <w:sz w:val="28"/>
          <w:szCs w:val="28"/>
        </w:rPr>
        <w:t>22</w:t>
      </w:r>
      <w:r w:rsidRPr="00997CC1">
        <w:rPr>
          <w:b/>
          <w:bCs/>
          <w:sz w:val="28"/>
          <w:szCs w:val="28"/>
        </w:rPr>
        <w:t xml:space="preserve"> год</w:t>
      </w:r>
    </w:p>
    <w:p w14:paraId="4E5C4B5F" w14:textId="77777777" w:rsidR="00F95501" w:rsidRPr="001C6B74" w:rsidRDefault="00F95501" w:rsidP="00F95501">
      <w:pPr>
        <w:autoSpaceDE w:val="0"/>
        <w:autoSpaceDN w:val="0"/>
        <w:adjustRightInd w:val="0"/>
        <w:jc w:val="center"/>
        <w:rPr>
          <w:b/>
          <w:sz w:val="28"/>
          <w:szCs w:val="28"/>
        </w:rPr>
      </w:pPr>
    </w:p>
    <w:p w14:paraId="45C4495D" w14:textId="77777777" w:rsidR="00F95501" w:rsidRPr="005D139F" w:rsidRDefault="00F95501" w:rsidP="00F95501">
      <w:pPr>
        <w:autoSpaceDE w:val="0"/>
        <w:autoSpaceDN w:val="0"/>
        <w:adjustRightInd w:val="0"/>
        <w:ind w:firstLine="539"/>
        <w:jc w:val="both"/>
        <w:rPr>
          <w:sz w:val="28"/>
          <w:szCs w:val="28"/>
        </w:rPr>
      </w:pPr>
      <w:r w:rsidRPr="005D139F">
        <w:rPr>
          <w:sz w:val="28"/>
          <w:szCs w:val="28"/>
        </w:rPr>
        <w:t>Размер платы за технологическое присоединение энергопринимающих устройств определяется с учетом запрашиваемой Заявителем категории надежности электроснабжения.</w:t>
      </w:r>
    </w:p>
    <w:p w14:paraId="163F4410" w14:textId="77777777" w:rsidR="00F95501" w:rsidRPr="005D139F" w:rsidRDefault="00F95501" w:rsidP="00F95501">
      <w:pPr>
        <w:autoSpaceDE w:val="0"/>
        <w:autoSpaceDN w:val="0"/>
        <w:adjustRightInd w:val="0"/>
        <w:ind w:firstLine="539"/>
        <w:jc w:val="both"/>
        <w:rPr>
          <w:sz w:val="28"/>
          <w:szCs w:val="28"/>
        </w:rPr>
      </w:pPr>
      <w:r w:rsidRPr="005D139F">
        <w:rPr>
          <w:sz w:val="28"/>
          <w:szCs w:val="28"/>
        </w:rPr>
        <w:t>1. В случае если Заявитель при технологическом присоединении запрашивает третью категорию надежности электроснабжения (технологическое присоединение к одному источнику энергоснабжения), размер платы за</w:t>
      </w:r>
      <w:r>
        <w:rPr>
          <w:sz w:val="28"/>
          <w:szCs w:val="28"/>
        </w:rPr>
        <w:t> </w:t>
      </w:r>
      <w:r w:rsidRPr="005D139F">
        <w:rPr>
          <w:sz w:val="28"/>
          <w:szCs w:val="28"/>
        </w:rPr>
        <w:t>технологическое присоединение для него следующим образом:</w:t>
      </w:r>
    </w:p>
    <w:p w14:paraId="1422D409" w14:textId="77777777" w:rsidR="00F95501" w:rsidRPr="005D139F" w:rsidRDefault="00F95501" w:rsidP="00F95501">
      <w:pPr>
        <w:autoSpaceDE w:val="0"/>
        <w:autoSpaceDN w:val="0"/>
        <w:adjustRightInd w:val="0"/>
        <w:ind w:firstLine="540"/>
        <w:jc w:val="both"/>
        <w:rPr>
          <w:sz w:val="28"/>
          <w:szCs w:val="28"/>
        </w:rPr>
      </w:pPr>
      <w:r w:rsidRPr="005D139F">
        <w:rPr>
          <w:sz w:val="28"/>
          <w:szCs w:val="28"/>
        </w:rPr>
        <w:t xml:space="preserve">а) </w:t>
      </w:r>
      <w:r w:rsidRPr="00F97E4B">
        <w:rPr>
          <w:sz w:val="28"/>
          <w:szCs w:val="28"/>
        </w:rPr>
        <w:t>если отсутствует необходимость реализации мероприятий «последней мили», то формула платы определяется как сумма стандартизированной тарифной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по мероприятиям, указанным в пункте 16 (кроме подпункта «б») (</w:t>
      </w:r>
      <w:r w:rsidRPr="00F97E4B">
        <w:rPr>
          <w:i/>
          <w:sz w:val="28"/>
          <w:szCs w:val="28"/>
        </w:rPr>
        <w:t>С</w:t>
      </w:r>
      <w:r w:rsidRPr="00F97E4B">
        <w:rPr>
          <w:i/>
          <w:sz w:val="28"/>
          <w:szCs w:val="28"/>
          <w:vertAlign w:val="subscript"/>
        </w:rPr>
        <w:t>1</w:t>
      </w:r>
      <w:r w:rsidRPr="00F97E4B">
        <w:rPr>
          <w:sz w:val="28"/>
          <w:szCs w:val="28"/>
        </w:rPr>
        <w:t>), и</w:t>
      </w:r>
      <w:r>
        <w:rPr>
          <w:sz w:val="28"/>
          <w:szCs w:val="28"/>
        </w:rPr>
        <w:t> </w:t>
      </w:r>
      <w:r w:rsidRPr="00F97E4B">
        <w:rPr>
          <w:sz w:val="28"/>
          <w:szCs w:val="28"/>
        </w:rPr>
        <w:t>произведения стандартизированной тарифной ставки на покрытие расходов сетевой организации на обеспечение средствами коммерческого учета электрической энергии (мощности) и количества точек учета (</w:t>
      </w:r>
      <w:r w:rsidRPr="00F97E4B">
        <w:rPr>
          <w:i/>
          <w:sz w:val="28"/>
          <w:szCs w:val="28"/>
        </w:rPr>
        <w:t>С</w:t>
      </w:r>
      <w:r w:rsidRPr="00F97E4B">
        <w:rPr>
          <w:i/>
          <w:sz w:val="28"/>
          <w:szCs w:val="28"/>
          <w:vertAlign w:val="subscript"/>
        </w:rPr>
        <w:t>8,</w:t>
      </w:r>
      <w:r w:rsidRPr="00F97E4B">
        <w:rPr>
          <w:i/>
          <w:sz w:val="28"/>
          <w:szCs w:val="28"/>
          <w:vertAlign w:val="subscript"/>
          <w:lang w:val="en-US"/>
        </w:rPr>
        <w:t>i</w:t>
      </w:r>
      <w:r w:rsidRPr="00F97E4B">
        <w:rPr>
          <w:sz w:val="28"/>
          <w:szCs w:val="28"/>
        </w:rPr>
        <w:t>), Методических указаний по определению размера платы за технологическое присоединение к</w:t>
      </w:r>
      <w:r>
        <w:rPr>
          <w:sz w:val="28"/>
          <w:szCs w:val="28"/>
        </w:rPr>
        <w:t> </w:t>
      </w:r>
      <w:r w:rsidRPr="00F97E4B">
        <w:rPr>
          <w:sz w:val="28"/>
          <w:szCs w:val="28"/>
        </w:rPr>
        <w:t>электрическим сетям, утвержденных приказом ФАС России</w:t>
      </w:r>
      <w:r w:rsidRPr="005D139F">
        <w:rPr>
          <w:sz w:val="28"/>
          <w:szCs w:val="28"/>
        </w:rPr>
        <w:t xml:space="preserve"> от</w:t>
      </w:r>
      <w:r>
        <w:rPr>
          <w:sz w:val="28"/>
          <w:szCs w:val="28"/>
        </w:rPr>
        <w:t> </w:t>
      </w:r>
      <w:r w:rsidRPr="005D139F">
        <w:rPr>
          <w:sz w:val="28"/>
          <w:szCs w:val="28"/>
        </w:rPr>
        <w:t>29.08.2017 №</w:t>
      </w:r>
      <w:r>
        <w:rPr>
          <w:sz w:val="28"/>
          <w:szCs w:val="28"/>
        </w:rPr>
        <w:t> </w:t>
      </w:r>
      <w:r w:rsidRPr="005D139F">
        <w:rPr>
          <w:sz w:val="28"/>
          <w:szCs w:val="28"/>
        </w:rPr>
        <w:t>1135/17</w:t>
      </w:r>
      <w:r>
        <w:rPr>
          <w:sz w:val="28"/>
          <w:szCs w:val="28"/>
        </w:rPr>
        <w:t xml:space="preserve"> (далее – </w:t>
      </w:r>
      <w:r w:rsidRPr="005D139F">
        <w:rPr>
          <w:sz w:val="28"/>
          <w:szCs w:val="28"/>
        </w:rPr>
        <w:t>Методически</w:t>
      </w:r>
      <w:r>
        <w:rPr>
          <w:sz w:val="28"/>
          <w:szCs w:val="28"/>
        </w:rPr>
        <w:t>е</w:t>
      </w:r>
      <w:r w:rsidRPr="005D139F">
        <w:rPr>
          <w:sz w:val="28"/>
          <w:szCs w:val="28"/>
        </w:rPr>
        <w:t xml:space="preserve"> указани</w:t>
      </w:r>
      <w:r>
        <w:rPr>
          <w:sz w:val="28"/>
          <w:szCs w:val="28"/>
        </w:rPr>
        <w:t>я)</w:t>
      </w:r>
      <w:r w:rsidRPr="005D139F">
        <w:rPr>
          <w:sz w:val="28"/>
          <w:szCs w:val="28"/>
        </w:rPr>
        <w:t>,:</w:t>
      </w:r>
    </w:p>
    <w:p w14:paraId="172D15EB" w14:textId="77777777" w:rsidR="00F95501" w:rsidRPr="005D139F" w:rsidRDefault="00F95501" w:rsidP="00F95501">
      <w:pPr>
        <w:autoSpaceDE w:val="0"/>
        <w:autoSpaceDN w:val="0"/>
        <w:adjustRightInd w:val="0"/>
        <w:ind w:firstLine="540"/>
        <w:jc w:val="both"/>
        <w:rPr>
          <w:sz w:val="28"/>
          <w:szCs w:val="28"/>
        </w:rPr>
      </w:pPr>
    </w:p>
    <w:p w14:paraId="37AE9823" w14:textId="77777777" w:rsidR="00F95501" w:rsidRPr="005D139F" w:rsidRDefault="00F95501" w:rsidP="00F95501">
      <w:pPr>
        <w:autoSpaceDE w:val="0"/>
        <w:autoSpaceDN w:val="0"/>
        <w:adjustRightInd w:val="0"/>
        <w:jc w:val="center"/>
        <w:rPr>
          <w:sz w:val="28"/>
          <w:szCs w:val="28"/>
        </w:rPr>
      </w:pPr>
      <m:oMath>
        <m:r>
          <w:rPr>
            <w:rFonts w:ascii="Cambria Math" w:hAnsi="Cambria Math"/>
            <w:sz w:val="28"/>
            <w:szCs w:val="28"/>
          </w:rPr>
          <m:t xml:space="preserve">P= </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8,</m:t>
            </m:r>
            <m:r>
              <w:rPr>
                <w:rFonts w:ascii="Cambria Math" w:hAnsi="Cambria Math"/>
                <w:sz w:val="28"/>
                <w:szCs w:val="28"/>
                <w:lang w:val="en-US"/>
              </w:rPr>
              <m:t>i</m:t>
            </m:r>
          </m:sub>
        </m:sSub>
        <m:r>
          <w:rPr>
            <w:rFonts w:ascii="Cambria Math" w:hAnsi="Cambria Math"/>
            <w:sz w:val="28"/>
            <w:szCs w:val="28"/>
          </w:rPr>
          <m:t>*</m:t>
        </m:r>
        <m:r>
          <w:rPr>
            <w:rFonts w:ascii="Cambria Math" w:hAnsi="Cambria Math"/>
            <w:sz w:val="28"/>
            <w:szCs w:val="28"/>
            <w:lang w:val="en-US"/>
          </w:rPr>
          <m:t>q</m:t>
        </m:r>
        <m:r>
          <w:rPr>
            <w:rFonts w:ascii="Cambria Math" w:hAnsi="Cambria Math"/>
            <w:sz w:val="28"/>
            <w:szCs w:val="28"/>
          </w:rPr>
          <m:t>'</m:t>
        </m:r>
      </m:oMath>
      <w:r>
        <w:rPr>
          <w:rFonts w:eastAsiaTheme="minorEastAsia"/>
          <w:sz w:val="28"/>
          <w:szCs w:val="28"/>
        </w:rPr>
        <w:t>, (руб.) (1)</w:t>
      </w:r>
    </w:p>
    <w:p w14:paraId="400F404B" w14:textId="77777777" w:rsidR="00F95501" w:rsidRDefault="00F95501" w:rsidP="00F95501">
      <w:pPr>
        <w:autoSpaceDE w:val="0"/>
        <w:autoSpaceDN w:val="0"/>
        <w:adjustRightInd w:val="0"/>
        <w:ind w:firstLine="540"/>
        <w:jc w:val="both"/>
        <w:rPr>
          <w:sz w:val="28"/>
          <w:szCs w:val="28"/>
        </w:rPr>
      </w:pPr>
    </w:p>
    <w:p w14:paraId="24226553" w14:textId="77777777" w:rsidR="00F95501" w:rsidRDefault="00F95501" w:rsidP="00F95501">
      <w:pPr>
        <w:autoSpaceDE w:val="0"/>
        <w:autoSpaceDN w:val="0"/>
        <w:adjustRightInd w:val="0"/>
        <w:ind w:firstLine="540"/>
        <w:jc w:val="both"/>
        <w:rPr>
          <w:sz w:val="28"/>
          <w:szCs w:val="28"/>
        </w:rPr>
      </w:pPr>
      <w:r>
        <w:rPr>
          <w:sz w:val="28"/>
          <w:szCs w:val="28"/>
        </w:rPr>
        <w:t>б)</w:t>
      </w:r>
      <w:r w:rsidRPr="00661AB7">
        <w:rPr>
          <w:sz w:val="28"/>
          <w:szCs w:val="28"/>
        </w:rPr>
        <w:t xml:space="preserve"> </w:t>
      </w:r>
      <w:r>
        <w:rPr>
          <w:sz w:val="28"/>
          <w:szCs w:val="28"/>
        </w:rPr>
        <w:t>если при технологическом присоединении Заявителя согласно техническим условиям предусматривается мероприятие «последней мили» по </w:t>
      </w:r>
      <w:r w:rsidRPr="00F97E4B">
        <w:rPr>
          <w:sz w:val="28"/>
          <w:szCs w:val="28"/>
        </w:rPr>
        <w:t>прокладке воздушных и (или) кабельных линий, то формула платы определяется как сумма расходов, определенных в соответствии с подпунктом «а» настоящего пункта, и произведения стандартизированной тарифной ставки на</w:t>
      </w:r>
      <w:r>
        <w:rPr>
          <w:sz w:val="28"/>
          <w:szCs w:val="28"/>
        </w:rPr>
        <w:t> </w:t>
      </w:r>
      <w:r w:rsidRPr="00F97E4B">
        <w:rPr>
          <w:sz w:val="28"/>
          <w:szCs w:val="28"/>
        </w:rPr>
        <w:t>покрытие расходов сетевой</w:t>
      </w:r>
      <w:r>
        <w:rPr>
          <w:sz w:val="28"/>
          <w:szCs w:val="28"/>
        </w:rPr>
        <w:t xml:space="preserve"> организации на строительство воздушных (С</w:t>
      </w:r>
      <w:r>
        <w:rPr>
          <w:sz w:val="28"/>
          <w:szCs w:val="28"/>
          <w:vertAlign w:val="subscript"/>
        </w:rPr>
        <w:t>2</w:t>
      </w:r>
      <w:r>
        <w:rPr>
          <w:sz w:val="28"/>
          <w:szCs w:val="28"/>
        </w:rPr>
        <w:t>) и (или) кабельных (С</w:t>
      </w:r>
      <w:r>
        <w:rPr>
          <w:sz w:val="28"/>
          <w:szCs w:val="28"/>
          <w:vertAlign w:val="subscript"/>
        </w:rPr>
        <w:t>3</w:t>
      </w:r>
      <w:r>
        <w:rPr>
          <w:sz w:val="28"/>
          <w:szCs w:val="28"/>
        </w:rPr>
        <w:t>) линий электропередачи на i-том уровне напряжения и суммарной протяженности воздушных и (или) кабельных линий (</w:t>
      </w:r>
      <w:r w:rsidRPr="00E72881">
        <w:rPr>
          <w:i/>
          <w:sz w:val="28"/>
          <w:szCs w:val="28"/>
        </w:rPr>
        <w:t>L</w:t>
      </w:r>
      <w:r w:rsidRPr="00E72881">
        <w:rPr>
          <w:i/>
          <w:sz w:val="28"/>
          <w:szCs w:val="28"/>
          <w:vertAlign w:val="subscript"/>
        </w:rPr>
        <w:t>i</w:t>
      </w:r>
      <w:r>
        <w:rPr>
          <w:sz w:val="28"/>
          <w:szCs w:val="28"/>
        </w:rPr>
        <w:t>), строительство которых предусмотрено согласно выданным техническим условиям для технологического присоединения Заявителя:</w:t>
      </w:r>
    </w:p>
    <w:p w14:paraId="5695E017" w14:textId="77777777" w:rsidR="00F95501" w:rsidRDefault="00F95501" w:rsidP="00F95501">
      <w:pPr>
        <w:autoSpaceDE w:val="0"/>
        <w:autoSpaceDN w:val="0"/>
        <w:adjustRightInd w:val="0"/>
        <w:ind w:firstLine="540"/>
        <w:jc w:val="both"/>
        <w:rPr>
          <w:sz w:val="28"/>
          <w:szCs w:val="28"/>
        </w:rPr>
      </w:pPr>
    </w:p>
    <w:p w14:paraId="4EC2C25F" w14:textId="77777777" w:rsidR="00F95501" w:rsidRPr="005D139F" w:rsidRDefault="00F95501" w:rsidP="00F95501">
      <w:pPr>
        <w:autoSpaceDE w:val="0"/>
        <w:autoSpaceDN w:val="0"/>
        <w:adjustRightInd w:val="0"/>
        <w:jc w:val="center"/>
        <w:rPr>
          <w:sz w:val="28"/>
          <w:szCs w:val="28"/>
        </w:rPr>
      </w:pPr>
      <m:oMath>
        <m:r>
          <w:rPr>
            <w:rFonts w:ascii="Cambria Math" w:hAnsi="Cambria Math"/>
            <w:sz w:val="28"/>
            <w:szCs w:val="28"/>
          </w:rPr>
          <m:t xml:space="preserve">P= </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1</m:t>
            </m:r>
          </m:sub>
        </m:sSub>
      </m:oMath>
      <w:r>
        <w:rPr>
          <w:rFonts w:eastAsiaTheme="minorEastAsia"/>
          <w:sz w:val="28"/>
          <w:szCs w:val="28"/>
        </w:rPr>
        <w:t xml:space="preserve"> </w:t>
      </w:r>
      <m:oMath>
        <m:r>
          <w:rPr>
            <w:rFonts w:ascii="Cambria Math" w:eastAsiaTheme="minorEastAsia" w:hAnsi="Cambria Math"/>
            <w:sz w:val="28"/>
            <w:szCs w:val="28"/>
          </w:rPr>
          <m:t xml:space="preserve">+ </m:t>
        </m:r>
        <m:nary>
          <m:naryPr>
            <m:chr m:val="∑"/>
            <m:limLoc m:val="undOvr"/>
            <m:supHide m:val="1"/>
            <m:ctrlPr>
              <w:rPr>
                <w:rFonts w:ascii="Cambria Math" w:eastAsiaTheme="minorEastAsia" w:hAnsi="Cambria Math"/>
                <w:i/>
                <w:sz w:val="28"/>
                <w:szCs w:val="28"/>
                <w:lang w:val="en-US"/>
              </w:rPr>
            </m:ctrlPr>
          </m:naryPr>
          <m:sub>
            <m:r>
              <w:rPr>
                <w:rFonts w:ascii="Cambria Math" w:eastAsiaTheme="minorEastAsia" w:hAnsi="Cambria Math"/>
                <w:sz w:val="28"/>
                <w:szCs w:val="28"/>
                <w:lang w:val="en-US"/>
              </w:rPr>
              <m:t>i</m:t>
            </m:r>
          </m:sub>
          <m:sup/>
          <m:e>
            <m:r>
              <w:rPr>
                <w:rFonts w:ascii="Cambria Math" w:eastAsiaTheme="minorEastAsia" w:hAnsi="Cambria Math"/>
                <w:sz w:val="28"/>
                <w:szCs w:val="28"/>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C</m:t>
                </m:r>
              </m:e>
              <m:sub>
                <m:r>
                  <w:rPr>
                    <w:rFonts w:ascii="Cambria Math" w:eastAsiaTheme="minorEastAsia" w:hAnsi="Cambria Math"/>
                    <w:sz w:val="28"/>
                    <w:szCs w:val="28"/>
                  </w:rPr>
                  <m:t>2,</m:t>
                </m:r>
                <m:r>
                  <w:rPr>
                    <w:rFonts w:ascii="Cambria Math" w:eastAsiaTheme="minorEastAsia" w:hAnsi="Cambria Math"/>
                    <w:sz w:val="28"/>
                    <w:szCs w:val="28"/>
                    <w:lang w:val="en-US"/>
                  </w:rPr>
                  <m:t>i</m:t>
                </m:r>
              </m:sub>
            </m:sSub>
          </m:e>
        </m:nary>
        <m:r>
          <w:rPr>
            <w:rFonts w:ascii="Cambria Math" w:eastAsiaTheme="minorEastAsia" w:hAnsi="Cambria Math"/>
            <w:sz w:val="28"/>
            <w:szCs w:val="28"/>
          </w:rPr>
          <m:t xml:space="preserve"> * </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L</m:t>
            </m:r>
          </m:e>
          <m:sub>
            <m:r>
              <w:rPr>
                <w:rFonts w:ascii="Cambria Math" w:eastAsiaTheme="minorEastAsia" w:hAnsi="Cambria Math"/>
                <w:sz w:val="28"/>
                <w:szCs w:val="28"/>
              </w:rPr>
              <m:t>2,</m:t>
            </m:r>
            <m:r>
              <w:rPr>
                <w:rFonts w:ascii="Cambria Math" w:eastAsiaTheme="minorEastAsia" w:hAnsi="Cambria Math"/>
                <w:sz w:val="28"/>
                <w:szCs w:val="28"/>
                <w:lang w:val="en-US"/>
              </w:rPr>
              <m:t>i</m:t>
            </m:r>
          </m:sub>
        </m:sSub>
        <m:r>
          <w:rPr>
            <w:rFonts w:ascii="Cambria Math" w:eastAsiaTheme="minorEastAsia" w:hAnsi="Cambria Math"/>
            <w:sz w:val="28"/>
            <w:szCs w:val="28"/>
          </w:rPr>
          <m:t xml:space="preserve">) + </m:t>
        </m:r>
        <m:nary>
          <m:naryPr>
            <m:chr m:val="∑"/>
            <m:limLoc m:val="undOvr"/>
            <m:supHide m:val="1"/>
            <m:ctrlPr>
              <w:rPr>
                <w:rFonts w:ascii="Cambria Math" w:eastAsiaTheme="minorEastAsia" w:hAnsi="Cambria Math"/>
                <w:i/>
                <w:sz w:val="28"/>
                <w:szCs w:val="28"/>
                <w:lang w:val="en-US"/>
              </w:rPr>
            </m:ctrlPr>
          </m:naryPr>
          <m:sub>
            <m:r>
              <w:rPr>
                <w:rFonts w:ascii="Cambria Math" w:eastAsiaTheme="minorEastAsia" w:hAnsi="Cambria Math"/>
                <w:sz w:val="28"/>
                <w:szCs w:val="28"/>
                <w:lang w:val="en-US"/>
              </w:rPr>
              <m:t>i</m:t>
            </m:r>
          </m:sub>
          <m:sup/>
          <m:e>
            <m:r>
              <w:rPr>
                <w:rFonts w:ascii="Cambria Math" w:eastAsiaTheme="minorEastAsia" w:hAnsi="Cambria Math"/>
                <w:sz w:val="28"/>
                <w:szCs w:val="28"/>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C</m:t>
                </m:r>
              </m:e>
              <m:sub>
                <m:r>
                  <w:rPr>
                    <w:rFonts w:ascii="Cambria Math" w:eastAsiaTheme="minorEastAsia" w:hAnsi="Cambria Math"/>
                    <w:sz w:val="28"/>
                    <w:szCs w:val="28"/>
                  </w:rPr>
                  <m:t>3,</m:t>
                </m:r>
                <m:r>
                  <w:rPr>
                    <w:rFonts w:ascii="Cambria Math" w:eastAsiaTheme="minorEastAsia" w:hAnsi="Cambria Math"/>
                    <w:sz w:val="28"/>
                    <w:szCs w:val="28"/>
                    <w:lang w:val="en-US"/>
                  </w:rPr>
                  <m:t>i</m:t>
                </m:r>
              </m:sub>
            </m:sSub>
          </m:e>
        </m:nary>
        <m:r>
          <w:rPr>
            <w:rFonts w:ascii="Cambria Math" w:eastAsiaTheme="minorEastAsia" w:hAnsi="Cambria Math"/>
            <w:sz w:val="28"/>
            <w:szCs w:val="28"/>
          </w:rPr>
          <m:t xml:space="preserve"> * </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L</m:t>
            </m:r>
          </m:e>
          <m:sub>
            <m:r>
              <w:rPr>
                <w:rFonts w:ascii="Cambria Math" w:eastAsiaTheme="minorEastAsia" w:hAnsi="Cambria Math"/>
                <w:sz w:val="28"/>
                <w:szCs w:val="28"/>
              </w:rPr>
              <m:t>3,</m:t>
            </m:r>
            <m:r>
              <w:rPr>
                <w:rFonts w:ascii="Cambria Math" w:eastAsiaTheme="minorEastAsia" w:hAnsi="Cambria Math"/>
                <w:sz w:val="28"/>
                <w:szCs w:val="28"/>
                <w:lang w:val="en-US"/>
              </w:rPr>
              <m:t>i</m:t>
            </m:r>
          </m:sub>
        </m:sSub>
        <m:r>
          <w:rPr>
            <w:rFonts w:ascii="Cambria Math" w:eastAsiaTheme="minorEastAsia" w:hAnsi="Cambria Math"/>
            <w:sz w:val="28"/>
            <w:szCs w:val="28"/>
          </w:rPr>
          <m:t>)+</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8,</m:t>
            </m:r>
            <m:r>
              <w:rPr>
                <w:rFonts w:ascii="Cambria Math" w:hAnsi="Cambria Math"/>
                <w:sz w:val="28"/>
                <w:szCs w:val="28"/>
                <w:lang w:val="en-US"/>
              </w:rPr>
              <m:t>i</m:t>
            </m:r>
          </m:sub>
        </m:sSub>
        <m:r>
          <w:rPr>
            <w:rFonts w:ascii="Cambria Math" w:eastAsiaTheme="minorEastAsia" w:hAnsi="Cambria Math"/>
            <w:sz w:val="28"/>
            <w:szCs w:val="28"/>
          </w:rPr>
          <m:t>*q'</m:t>
        </m:r>
      </m:oMath>
      <w:r>
        <w:rPr>
          <w:rFonts w:eastAsiaTheme="minorEastAsia"/>
          <w:sz w:val="28"/>
          <w:szCs w:val="28"/>
        </w:rPr>
        <w:t>, (руб.) (2)</w:t>
      </w:r>
    </w:p>
    <w:p w14:paraId="20A7A58F" w14:textId="77777777" w:rsidR="00F95501" w:rsidRPr="00607A95" w:rsidRDefault="00F95501" w:rsidP="00F95501">
      <w:pPr>
        <w:autoSpaceDE w:val="0"/>
        <w:autoSpaceDN w:val="0"/>
        <w:adjustRightInd w:val="0"/>
        <w:jc w:val="center"/>
        <w:rPr>
          <w:rFonts w:eastAsiaTheme="minorEastAsia"/>
          <w:sz w:val="28"/>
          <w:szCs w:val="28"/>
        </w:rPr>
      </w:pPr>
    </w:p>
    <w:p w14:paraId="5A8719C4" w14:textId="77777777" w:rsidR="00F95501" w:rsidRDefault="00F95501" w:rsidP="00F95501">
      <w:pPr>
        <w:autoSpaceDE w:val="0"/>
        <w:autoSpaceDN w:val="0"/>
        <w:adjustRightInd w:val="0"/>
        <w:ind w:firstLine="540"/>
        <w:jc w:val="both"/>
        <w:rPr>
          <w:sz w:val="28"/>
          <w:szCs w:val="28"/>
        </w:rPr>
      </w:pPr>
      <w:r>
        <w:rPr>
          <w:sz w:val="28"/>
          <w:szCs w:val="28"/>
        </w:rPr>
        <w:t xml:space="preserve">Стандартизированные тарифные ставки </w:t>
      </w:r>
      <w:r w:rsidRPr="00D8335B">
        <w:rPr>
          <w:i/>
          <w:sz w:val="28"/>
          <w:szCs w:val="28"/>
        </w:rPr>
        <w:t>С</w:t>
      </w:r>
      <w:r w:rsidRPr="00D8335B">
        <w:rPr>
          <w:i/>
          <w:sz w:val="28"/>
          <w:szCs w:val="28"/>
          <w:vertAlign w:val="subscript"/>
        </w:rPr>
        <w:t>2</w:t>
      </w:r>
      <w:r>
        <w:rPr>
          <w:sz w:val="28"/>
          <w:szCs w:val="28"/>
        </w:rPr>
        <w:t xml:space="preserve"> и </w:t>
      </w:r>
      <w:r w:rsidRPr="00D8335B">
        <w:rPr>
          <w:i/>
          <w:sz w:val="28"/>
          <w:szCs w:val="28"/>
        </w:rPr>
        <w:t>С</w:t>
      </w:r>
      <w:r w:rsidRPr="00D8335B">
        <w:rPr>
          <w:i/>
          <w:sz w:val="28"/>
          <w:szCs w:val="28"/>
          <w:vertAlign w:val="subscript"/>
        </w:rPr>
        <w:t>3</w:t>
      </w:r>
      <w:r>
        <w:rPr>
          <w:sz w:val="28"/>
          <w:szCs w:val="28"/>
        </w:rPr>
        <w:t xml:space="preserve"> применяются к протяженности линий электропередачи по трассе.</w:t>
      </w:r>
    </w:p>
    <w:p w14:paraId="0BF46499" w14:textId="77777777" w:rsidR="00F95501" w:rsidRDefault="00F95501" w:rsidP="00F95501">
      <w:pPr>
        <w:autoSpaceDE w:val="0"/>
        <w:autoSpaceDN w:val="0"/>
        <w:adjustRightInd w:val="0"/>
        <w:ind w:firstLine="567"/>
        <w:jc w:val="both"/>
        <w:rPr>
          <w:iCs/>
          <w:sz w:val="28"/>
          <w:szCs w:val="28"/>
        </w:rPr>
      </w:pPr>
      <w:r w:rsidRPr="000C481D">
        <w:rPr>
          <w:iCs/>
          <w:sz w:val="28"/>
          <w:szCs w:val="28"/>
        </w:rPr>
        <w:t xml:space="preserve">в) если при технологическом присоединении Заявителя согласно техническим условиям предусматриваются мероприятия </w:t>
      </w:r>
      <w:r>
        <w:rPr>
          <w:iCs/>
          <w:sz w:val="28"/>
          <w:szCs w:val="28"/>
        </w:rPr>
        <w:t>«</w:t>
      </w:r>
      <w:r w:rsidRPr="000C481D">
        <w:rPr>
          <w:iCs/>
          <w:sz w:val="28"/>
          <w:szCs w:val="28"/>
        </w:rPr>
        <w:t>последней мили</w:t>
      </w:r>
      <w:r>
        <w:rPr>
          <w:iCs/>
          <w:sz w:val="28"/>
          <w:szCs w:val="28"/>
        </w:rPr>
        <w:t>»</w:t>
      </w:r>
      <w:r w:rsidRPr="000C481D">
        <w:rPr>
          <w:iCs/>
          <w:sz w:val="28"/>
          <w:szCs w:val="28"/>
        </w:rPr>
        <w:t xml:space="preserve"> по</w:t>
      </w:r>
      <w:r>
        <w:rPr>
          <w:iCs/>
          <w:sz w:val="28"/>
          <w:szCs w:val="28"/>
        </w:rPr>
        <w:t> </w:t>
      </w:r>
      <w:r w:rsidRPr="000C481D">
        <w:rPr>
          <w:iCs/>
          <w:sz w:val="28"/>
          <w:szCs w:val="28"/>
        </w:rPr>
        <w:t>строительству пунктов секционирования (реклоузеров, распределительных пунктов, переключательных пунктов), трансформаторных подстанций (</w:t>
      </w:r>
      <w:r w:rsidRPr="00E72881">
        <w:rPr>
          <w:i/>
          <w:iCs/>
          <w:sz w:val="28"/>
          <w:szCs w:val="28"/>
        </w:rPr>
        <w:t>ТП</w:t>
      </w:r>
      <w:r w:rsidRPr="000C481D">
        <w:rPr>
          <w:iCs/>
          <w:sz w:val="28"/>
          <w:szCs w:val="28"/>
        </w:rPr>
        <w:t>), за</w:t>
      </w:r>
      <w:r>
        <w:rPr>
          <w:iCs/>
          <w:sz w:val="28"/>
          <w:szCs w:val="28"/>
        </w:rPr>
        <w:t> </w:t>
      </w:r>
      <w:r w:rsidRPr="000C481D">
        <w:rPr>
          <w:iCs/>
          <w:sz w:val="28"/>
          <w:szCs w:val="28"/>
        </w:rPr>
        <w:t>исключением распределительных трансформаторных подстанций (</w:t>
      </w:r>
      <w:r w:rsidRPr="00E72881">
        <w:rPr>
          <w:i/>
          <w:iCs/>
          <w:sz w:val="28"/>
          <w:szCs w:val="28"/>
        </w:rPr>
        <w:t>РТП</w:t>
      </w:r>
      <w:r w:rsidRPr="000C481D">
        <w:rPr>
          <w:iCs/>
          <w:sz w:val="28"/>
          <w:szCs w:val="28"/>
        </w:rPr>
        <w:t>), распределительных трансформаторных подстанций (</w:t>
      </w:r>
      <w:r w:rsidRPr="00E72881">
        <w:rPr>
          <w:i/>
          <w:iCs/>
          <w:sz w:val="28"/>
          <w:szCs w:val="28"/>
        </w:rPr>
        <w:t>РТП</w:t>
      </w:r>
      <w:r w:rsidRPr="000C481D">
        <w:rPr>
          <w:iCs/>
          <w:sz w:val="28"/>
          <w:szCs w:val="28"/>
        </w:rPr>
        <w:t>) с уровнем напряжения до 35 кВ и на строительство центров питания, подстанций уровнем напряжения 35 кВ и выше (</w:t>
      </w:r>
      <w:r w:rsidRPr="00E72881">
        <w:rPr>
          <w:i/>
          <w:iCs/>
          <w:sz w:val="28"/>
          <w:szCs w:val="28"/>
        </w:rPr>
        <w:t>ПС</w:t>
      </w:r>
      <w:r w:rsidRPr="000C481D">
        <w:rPr>
          <w:iCs/>
          <w:sz w:val="28"/>
          <w:szCs w:val="28"/>
        </w:rPr>
        <w:t>), то формула платы определяется как сумма расходо</w:t>
      </w:r>
      <w:r>
        <w:rPr>
          <w:iCs/>
          <w:sz w:val="28"/>
          <w:szCs w:val="28"/>
        </w:rPr>
        <w:t>в, определенных в соответствии с подпунктом «б»</w:t>
      </w:r>
      <w:r w:rsidRPr="000C481D">
        <w:rPr>
          <w:iCs/>
          <w:sz w:val="28"/>
          <w:szCs w:val="28"/>
        </w:rPr>
        <w:t xml:space="preserve"> </w:t>
      </w:r>
      <w:r>
        <w:rPr>
          <w:iCs/>
          <w:sz w:val="28"/>
          <w:szCs w:val="28"/>
        </w:rPr>
        <w:t>настоящего пункта</w:t>
      </w:r>
      <w:r w:rsidRPr="000C481D">
        <w:rPr>
          <w:iCs/>
          <w:sz w:val="28"/>
          <w:szCs w:val="28"/>
        </w:rPr>
        <w:t xml:space="preserve">, произведения ставки </w:t>
      </w:r>
      <w:r w:rsidRPr="00607A95">
        <w:rPr>
          <w:i/>
          <w:iCs/>
          <w:sz w:val="28"/>
          <w:szCs w:val="28"/>
        </w:rPr>
        <w:t>С</w:t>
      </w:r>
      <w:r w:rsidRPr="00607A95">
        <w:rPr>
          <w:i/>
          <w:iCs/>
          <w:sz w:val="28"/>
          <w:szCs w:val="28"/>
          <w:vertAlign w:val="subscript"/>
        </w:rPr>
        <w:t>4</w:t>
      </w:r>
      <w:r w:rsidRPr="000C481D">
        <w:rPr>
          <w:iCs/>
          <w:sz w:val="28"/>
          <w:szCs w:val="28"/>
        </w:rPr>
        <w:t xml:space="preserve"> и количества пунктов секционирования (реклоузеров, распределительных пунктов, переключательных пунктов), и произведения ставок </w:t>
      </w:r>
      <w:r w:rsidRPr="00607A95">
        <w:rPr>
          <w:i/>
          <w:iCs/>
          <w:sz w:val="28"/>
          <w:szCs w:val="28"/>
        </w:rPr>
        <w:t>С</w:t>
      </w:r>
      <w:r w:rsidRPr="00607A95">
        <w:rPr>
          <w:i/>
          <w:iCs/>
          <w:sz w:val="28"/>
          <w:szCs w:val="28"/>
          <w:vertAlign w:val="subscript"/>
        </w:rPr>
        <w:t>5</w:t>
      </w:r>
      <w:r w:rsidRPr="000C481D">
        <w:rPr>
          <w:iCs/>
          <w:sz w:val="28"/>
          <w:szCs w:val="28"/>
        </w:rPr>
        <w:t xml:space="preserve">, </w:t>
      </w:r>
      <w:r w:rsidRPr="00607A95">
        <w:rPr>
          <w:i/>
          <w:iCs/>
          <w:sz w:val="28"/>
          <w:szCs w:val="28"/>
        </w:rPr>
        <w:t>С</w:t>
      </w:r>
      <w:r w:rsidRPr="00607A95">
        <w:rPr>
          <w:i/>
          <w:iCs/>
          <w:sz w:val="28"/>
          <w:szCs w:val="28"/>
          <w:vertAlign w:val="subscript"/>
        </w:rPr>
        <w:t>6</w:t>
      </w:r>
      <w:r w:rsidRPr="000C481D">
        <w:rPr>
          <w:iCs/>
          <w:sz w:val="28"/>
          <w:szCs w:val="28"/>
        </w:rPr>
        <w:t xml:space="preserve">, </w:t>
      </w:r>
      <w:r w:rsidRPr="00607A95">
        <w:rPr>
          <w:i/>
          <w:iCs/>
          <w:sz w:val="28"/>
          <w:szCs w:val="28"/>
        </w:rPr>
        <w:t>С</w:t>
      </w:r>
      <w:r w:rsidRPr="00607A95">
        <w:rPr>
          <w:i/>
          <w:iCs/>
          <w:sz w:val="28"/>
          <w:szCs w:val="28"/>
          <w:vertAlign w:val="subscript"/>
        </w:rPr>
        <w:t>7</w:t>
      </w:r>
      <w:r w:rsidRPr="000C481D">
        <w:rPr>
          <w:iCs/>
          <w:sz w:val="28"/>
          <w:szCs w:val="28"/>
        </w:rPr>
        <w:t xml:space="preserve"> и объема максимальной мощности (</w:t>
      </w:r>
      <w:r w:rsidRPr="00607A95">
        <w:rPr>
          <w:i/>
          <w:iCs/>
          <w:sz w:val="28"/>
          <w:szCs w:val="28"/>
        </w:rPr>
        <w:t>N</w:t>
      </w:r>
      <w:r w:rsidRPr="00607A95">
        <w:rPr>
          <w:i/>
          <w:iCs/>
          <w:sz w:val="28"/>
          <w:szCs w:val="28"/>
          <w:vertAlign w:val="subscript"/>
        </w:rPr>
        <w:t>i</w:t>
      </w:r>
      <w:r w:rsidRPr="000C481D">
        <w:rPr>
          <w:iCs/>
          <w:sz w:val="28"/>
          <w:szCs w:val="28"/>
        </w:rPr>
        <w:t>), указанного Заявителем в заявке н</w:t>
      </w:r>
      <w:r>
        <w:rPr>
          <w:iCs/>
          <w:sz w:val="28"/>
          <w:szCs w:val="28"/>
        </w:rPr>
        <w:t>а технологическое присоединение:</w:t>
      </w:r>
    </w:p>
    <w:p w14:paraId="39C406BE" w14:textId="77777777" w:rsidR="00F95501" w:rsidRDefault="00F95501" w:rsidP="00F95501">
      <w:pPr>
        <w:autoSpaceDE w:val="0"/>
        <w:autoSpaceDN w:val="0"/>
        <w:adjustRightInd w:val="0"/>
        <w:jc w:val="both"/>
        <w:rPr>
          <w:iCs/>
          <w:sz w:val="28"/>
          <w:szCs w:val="28"/>
        </w:rPr>
      </w:pPr>
    </w:p>
    <w:p w14:paraId="3043739A" w14:textId="77777777" w:rsidR="00F95501" w:rsidRPr="00DF5220" w:rsidRDefault="00F95501" w:rsidP="00F95501">
      <w:pPr>
        <w:autoSpaceDE w:val="0"/>
        <w:autoSpaceDN w:val="0"/>
        <w:adjustRightInd w:val="0"/>
        <w:jc w:val="center"/>
        <w:rPr>
          <w:rFonts w:eastAsiaTheme="minorEastAsia"/>
          <w:sz w:val="28"/>
          <w:szCs w:val="28"/>
        </w:rPr>
      </w:pPr>
      <m:oMath>
        <m:r>
          <w:rPr>
            <w:rFonts w:ascii="Cambria Math" w:hAnsi="Cambria Math"/>
            <w:sz w:val="28"/>
            <w:szCs w:val="28"/>
          </w:rPr>
          <m:t xml:space="preserve">P= </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1</m:t>
            </m:r>
          </m:sub>
        </m:sSub>
      </m:oMath>
      <w:r>
        <w:rPr>
          <w:rFonts w:eastAsiaTheme="minorEastAsia"/>
          <w:sz w:val="28"/>
          <w:szCs w:val="28"/>
        </w:rPr>
        <w:t xml:space="preserve"> </w:t>
      </w:r>
      <m:oMath>
        <m:r>
          <w:rPr>
            <w:rFonts w:ascii="Cambria Math" w:eastAsiaTheme="minorEastAsia" w:hAnsi="Cambria Math"/>
            <w:sz w:val="28"/>
            <w:szCs w:val="28"/>
          </w:rPr>
          <m:t>+</m:t>
        </m:r>
        <m:nary>
          <m:naryPr>
            <m:chr m:val="∑"/>
            <m:limLoc m:val="undOvr"/>
            <m:supHide m:val="1"/>
            <m:ctrlPr>
              <w:rPr>
                <w:rFonts w:ascii="Cambria Math" w:eastAsiaTheme="minorEastAsia" w:hAnsi="Cambria Math"/>
                <w:i/>
                <w:sz w:val="28"/>
                <w:szCs w:val="28"/>
                <w:lang w:val="en-US"/>
              </w:rPr>
            </m:ctrlPr>
          </m:naryPr>
          <m:sub>
            <m:r>
              <w:rPr>
                <w:rFonts w:ascii="Cambria Math" w:eastAsiaTheme="minorEastAsia" w:hAnsi="Cambria Math"/>
                <w:sz w:val="28"/>
                <w:szCs w:val="28"/>
                <w:lang w:val="en-US"/>
              </w:rPr>
              <m:t>i</m:t>
            </m:r>
          </m:sub>
          <m:sup/>
          <m:e>
            <m:r>
              <w:rPr>
                <w:rFonts w:ascii="Cambria Math" w:eastAsiaTheme="minorEastAsia" w:hAnsi="Cambria Math"/>
                <w:sz w:val="28"/>
                <w:szCs w:val="28"/>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C</m:t>
                </m:r>
              </m:e>
              <m:sub>
                <m:r>
                  <w:rPr>
                    <w:rFonts w:ascii="Cambria Math" w:eastAsiaTheme="minorEastAsia" w:hAnsi="Cambria Math"/>
                    <w:sz w:val="28"/>
                    <w:szCs w:val="28"/>
                  </w:rPr>
                  <m:t>2,</m:t>
                </m:r>
                <m:r>
                  <w:rPr>
                    <w:rFonts w:ascii="Cambria Math" w:eastAsiaTheme="minorEastAsia" w:hAnsi="Cambria Math"/>
                    <w:sz w:val="28"/>
                    <w:szCs w:val="28"/>
                    <w:lang w:val="en-US"/>
                  </w:rPr>
                  <m:t>i</m:t>
                </m:r>
              </m:sub>
            </m:sSub>
          </m:e>
        </m:nary>
        <m:r>
          <w:rPr>
            <w:rFonts w:ascii="Cambria Math" w:eastAsiaTheme="minorEastAsia" w:hAnsi="Cambria Math"/>
            <w:sz w:val="28"/>
            <w:szCs w:val="28"/>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L</m:t>
            </m:r>
          </m:e>
          <m:sub>
            <m:r>
              <w:rPr>
                <w:rFonts w:ascii="Cambria Math" w:eastAsiaTheme="minorEastAsia" w:hAnsi="Cambria Math"/>
                <w:sz w:val="28"/>
                <w:szCs w:val="28"/>
              </w:rPr>
              <m:t>2,</m:t>
            </m:r>
            <m:r>
              <w:rPr>
                <w:rFonts w:ascii="Cambria Math" w:eastAsiaTheme="minorEastAsia" w:hAnsi="Cambria Math"/>
                <w:sz w:val="28"/>
                <w:szCs w:val="28"/>
                <w:lang w:val="en-US"/>
              </w:rPr>
              <m:t>i</m:t>
            </m:r>
          </m:sub>
        </m:sSub>
        <m:r>
          <w:rPr>
            <w:rFonts w:ascii="Cambria Math" w:eastAsiaTheme="minorEastAsia" w:hAnsi="Cambria Math"/>
            <w:sz w:val="28"/>
            <w:szCs w:val="28"/>
          </w:rPr>
          <m:t>)+</m:t>
        </m:r>
        <m:nary>
          <m:naryPr>
            <m:chr m:val="∑"/>
            <m:limLoc m:val="undOvr"/>
            <m:supHide m:val="1"/>
            <m:ctrlPr>
              <w:rPr>
                <w:rFonts w:ascii="Cambria Math" w:eastAsiaTheme="minorEastAsia" w:hAnsi="Cambria Math"/>
                <w:i/>
                <w:sz w:val="28"/>
                <w:szCs w:val="28"/>
                <w:lang w:val="en-US"/>
              </w:rPr>
            </m:ctrlPr>
          </m:naryPr>
          <m:sub>
            <m:r>
              <w:rPr>
                <w:rFonts w:ascii="Cambria Math" w:eastAsiaTheme="minorEastAsia" w:hAnsi="Cambria Math"/>
                <w:sz w:val="28"/>
                <w:szCs w:val="28"/>
                <w:lang w:val="en-US"/>
              </w:rPr>
              <m:t>i</m:t>
            </m:r>
          </m:sub>
          <m:sup/>
          <m:e>
            <m:r>
              <w:rPr>
                <w:rFonts w:ascii="Cambria Math" w:eastAsiaTheme="minorEastAsia" w:hAnsi="Cambria Math"/>
                <w:sz w:val="28"/>
                <w:szCs w:val="28"/>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C</m:t>
                </m:r>
              </m:e>
              <m:sub>
                <m:r>
                  <w:rPr>
                    <w:rFonts w:ascii="Cambria Math" w:eastAsiaTheme="minorEastAsia" w:hAnsi="Cambria Math"/>
                    <w:sz w:val="28"/>
                    <w:szCs w:val="28"/>
                  </w:rPr>
                  <m:t>3,</m:t>
                </m:r>
                <m:r>
                  <w:rPr>
                    <w:rFonts w:ascii="Cambria Math" w:eastAsiaTheme="minorEastAsia" w:hAnsi="Cambria Math"/>
                    <w:sz w:val="28"/>
                    <w:szCs w:val="28"/>
                    <w:lang w:val="en-US"/>
                  </w:rPr>
                  <m:t>i</m:t>
                </m:r>
              </m:sub>
            </m:sSub>
          </m:e>
        </m:nary>
        <m:r>
          <w:rPr>
            <w:rFonts w:ascii="Cambria Math" w:eastAsiaTheme="minorEastAsia" w:hAnsi="Cambria Math"/>
            <w:sz w:val="28"/>
            <w:szCs w:val="28"/>
          </w:rPr>
          <m:t>×</m:t>
        </m:r>
        <m:sSub>
          <m:sSubPr>
            <m:ctrlPr>
              <w:rPr>
                <w:rFonts w:ascii="Cambria Math" w:eastAsiaTheme="minorEastAsia" w:hAnsi="Cambria Math"/>
                <w:i/>
                <w:sz w:val="28"/>
                <w:szCs w:val="28"/>
                <w:lang w:val="en-US"/>
              </w:rPr>
            </m:ctrlPr>
          </m:sSubPr>
          <m:e>
            <m:r>
              <w:rPr>
                <w:rFonts w:ascii="Cambria Math" w:eastAsiaTheme="minorEastAsia" w:hAnsi="Cambria Math"/>
                <w:sz w:val="28"/>
                <w:szCs w:val="28"/>
                <w:lang w:val="en-US"/>
              </w:rPr>
              <m:t>L</m:t>
            </m:r>
          </m:e>
          <m:sub>
            <m:r>
              <w:rPr>
                <w:rFonts w:ascii="Cambria Math" w:eastAsiaTheme="minorEastAsia" w:hAnsi="Cambria Math"/>
                <w:sz w:val="28"/>
                <w:szCs w:val="28"/>
              </w:rPr>
              <m:t>3,</m:t>
            </m:r>
            <m:r>
              <w:rPr>
                <w:rFonts w:ascii="Cambria Math" w:eastAsiaTheme="minorEastAsia" w:hAnsi="Cambria Math"/>
                <w:sz w:val="28"/>
                <w:szCs w:val="28"/>
                <w:lang w:val="en-US"/>
              </w:rPr>
              <m:t>i</m:t>
            </m:r>
          </m:sub>
        </m:sSub>
        <m:r>
          <w:rPr>
            <w:rFonts w:ascii="Cambria Math" w:eastAsiaTheme="minorEastAsia" w:hAnsi="Cambria Math"/>
            <w:sz w:val="28"/>
            <w:szCs w:val="28"/>
          </w:rPr>
          <m:t>)+</m:t>
        </m:r>
        <m:nary>
          <m:naryPr>
            <m:chr m:val="∑"/>
            <m:limLoc m:val="undOvr"/>
            <m:supHide m:val="1"/>
            <m:ctrlPr>
              <w:rPr>
                <w:rFonts w:ascii="Cambria Math" w:eastAsiaTheme="minorEastAsia" w:hAnsi="Cambria Math"/>
                <w:i/>
                <w:sz w:val="28"/>
                <w:szCs w:val="28"/>
              </w:rPr>
            </m:ctrlPr>
          </m:naryPr>
          <m:sub>
            <m:r>
              <w:rPr>
                <w:rFonts w:ascii="Cambria Math" w:eastAsiaTheme="minorEastAsia" w:hAnsi="Cambria Math"/>
                <w:sz w:val="28"/>
                <w:szCs w:val="28"/>
                <w:lang w:val="en-US"/>
              </w:rPr>
              <m:t>i</m:t>
            </m:r>
          </m:sub>
          <m:sup/>
          <m:e>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hAnsi="Cambria Math"/>
                    <w:sz w:val="28"/>
                    <w:szCs w:val="28"/>
                  </w:rPr>
                  <m:t>4,</m:t>
                </m:r>
                <m:r>
                  <w:rPr>
                    <w:rFonts w:ascii="Cambria Math" w:eastAsiaTheme="minorEastAsia" w:hAnsi="Cambria Math"/>
                    <w:sz w:val="28"/>
                    <w:szCs w:val="28"/>
                    <w:lang w:val="en-US"/>
                  </w:rPr>
                  <m:t>i</m:t>
                </m:r>
              </m:sub>
            </m:sSub>
          </m:e>
        </m:nary>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q</m:t>
            </m:r>
          </m:e>
          <m:sub>
            <m:r>
              <w:rPr>
                <w:rFonts w:ascii="Cambria Math" w:eastAsiaTheme="minorEastAsia" w:hAnsi="Cambria Math"/>
                <w:sz w:val="28"/>
                <w:szCs w:val="28"/>
              </w:rPr>
              <m:t>i</m:t>
            </m:r>
          </m:sub>
        </m:sSub>
        <m:r>
          <w:rPr>
            <w:rFonts w:ascii="Cambria Math" w:eastAsiaTheme="minorEastAsia" w:hAnsi="Cambria Math"/>
            <w:sz w:val="28"/>
            <w:szCs w:val="28"/>
          </w:rPr>
          <m:t>)+</m:t>
        </m:r>
      </m:oMath>
    </w:p>
    <w:p w14:paraId="26B6A6D9" w14:textId="77777777" w:rsidR="00F95501" w:rsidRPr="000C481D" w:rsidRDefault="00F95501" w:rsidP="00F95501">
      <w:pPr>
        <w:autoSpaceDE w:val="0"/>
        <w:autoSpaceDN w:val="0"/>
        <w:adjustRightInd w:val="0"/>
        <w:jc w:val="both"/>
        <w:rPr>
          <w:iCs/>
          <w:sz w:val="28"/>
          <w:szCs w:val="28"/>
        </w:rPr>
      </w:pPr>
    </w:p>
    <w:p w14:paraId="482BACBF" w14:textId="77777777" w:rsidR="00F95501" w:rsidRPr="005D139F" w:rsidRDefault="00F95501" w:rsidP="00F95501">
      <w:pPr>
        <w:autoSpaceDE w:val="0"/>
        <w:autoSpaceDN w:val="0"/>
        <w:adjustRightInd w:val="0"/>
        <w:jc w:val="center"/>
        <w:rPr>
          <w:sz w:val="28"/>
          <w:szCs w:val="28"/>
        </w:rPr>
      </w:pPr>
      <m:oMath>
        <m:r>
          <w:rPr>
            <w:rFonts w:ascii="Cambria Math" w:eastAsiaTheme="minorEastAsia" w:hAnsi="Cambria Math"/>
            <w:sz w:val="28"/>
            <w:szCs w:val="28"/>
          </w:rPr>
          <m:t>+</m:t>
        </m:r>
        <m:nary>
          <m:naryPr>
            <m:chr m:val="∑"/>
            <m:limLoc m:val="undOvr"/>
            <m:supHide m:val="1"/>
            <m:ctrlPr>
              <w:rPr>
                <w:rFonts w:ascii="Cambria Math" w:eastAsiaTheme="minorEastAsia" w:hAnsi="Cambria Math"/>
                <w:i/>
                <w:sz w:val="28"/>
                <w:szCs w:val="28"/>
              </w:rPr>
            </m:ctrlPr>
          </m:naryPr>
          <m:sub>
            <m:r>
              <w:rPr>
                <w:rFonts w:ascii="Cambria Math" w:eastAsiaTheme="minorEastAsia" w:hAnsi="Cambria Math"/>
                <w:sz w:val="28"/>
                <w:szCs w:val="28"/>
                <w:lang w:val="en-US"/>
              </w:rPr>
              <m:t>i</m:t>
            </m:r>
          </m:sub>
          <m:sup/>
          <m:e>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hAnsi="Cambria Math"/>
                    <w:sz w:val="28"/>
                    <w:szCs w:val="28"/>
                  </w:rPr>
                  <m:t>5,</m:t>
                </m:r>
                <m:r>
                  <w:rPr>
                    <w:rFonts w:ascii="Cambria Math" w:eastAsiaTheme="minorEastAsia" w:hAnsi="Cambria Math"/>
                    <w:sz w:val="28"/>
                    <w:szCs w:val="28"/>
                    <w:lang w:val="en-US"/>
                  </w:rPr>
                  <m:t>i</m:t>
                </m:r>
              </m:sub>
            </m:sSub>
          </m:e>
        </m:nary>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N</m:t>
            </m:r>
          </m:e>
          <m:sub>
            <m:r>
              <w:rPr>
                <w:rFonts w:ascii="Cambria Math" w:eastAsiaTheme="minorEastAsia" w:hAnsi="Cambria Math"/>
                <w:sz w:val="28"/>
                <w:szCs w:val="28"/>
              </w:rPr>
              <m:t>i</m:t>
            </m:r>
          </m:sub>
        </m:sSub>
        <m:r>
          <w:rPr>
            <w:rFonts w:ascii="Cambria Math" w:eastAsiaTheme="minorEastAsia" w:hAnsi="Cambria Math"/>
            <w:sz w:val="28"/>
            <w:szCs w:val="28"/>
          </w:rPr>
          <m:t>)+</m:t>
        </m:r>
        <m:nary>
          <m:naryPr>
            <m:chr m:val="∑"/>
            <m:limLoc m:val="undOvr"/>
            <m:supHide m:val="1"/>
            <m:ctrlPr>
              <w:rPr>
                <w:rFonts w:ascii="Cambria Math" w:eastAsiaTheme="minorEastAsia" w:hAnsi="Cambria Math"/>
                <w:i/>
                <w:sz w:val="28"/>
                <w:szCs w:val="28"/>
              </w:rPr>
            </m:ctrlPr>
          </m:naryPr>
          <m:sub>
            <m:r>
              <w:rPr>
                <w:rFonts w:ascii="Cambria Math" w:eastAsiaTheme="minorEastAsia" w:hAnsi="Cambria Math"/>
                <w:sz w:val="28"/>
                <w:szCs w:val="28"/>
                <w:lang w:val="en-US"/>
              </w:rPr>
              <m:t>i</m:t>
            </m:r>
          </m:sub>
          <m:sup/>
          <m:e>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hAnsi="Cambria Math"/>
                    <w:sz w:val="28"/>
                    <w:szCs w:val="28"/>
                  </w:rPr>
                  <m:t>6,</m:t>
                </m:r>
                <m:r>
                  <w:rPr>
                    <w:rFonts w:ascii="Cambria Math" w:eastAsiaTheme="minorEastAsia" w:hAnsi="Cambria Math"/>
                    <w:sz w:val="28"/>
                    <w:szCs w:val="28"/>
                    <w:lang w:val="en-US"/>
                  </w:rPr>
                  <m:t>i</m:t>
                </m:r>
              </m:sub>
            </m:sSub>
          </m:e>
        </m:nary>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N</m:t>
            </m:r>
          </m:e>
          <m:sub>
            <m:r>
              <w:rPr>
                <w:rFonts w:ascii="Cambria Math" w:eastAsiaTheme="minorEastAsia" w:hAnsi="Cambria Math"/>
                <w:sz w:val="28"/>
                <w:szCs w:val="28"/>
              </w:rPr>
              <m:t>i</m:t>
            </m:r>
          </m:sub>
        </m:sSub>
        <m:r>
          <w:rPr>
            <w:rFonts w:ascii="Cambria Math" w:eastAsiaTheme="minorEastAsia" w:hAnsi="Cambria Math"/>
            <w:sz w:val="28"/>
            <w:szCs w:val="28"/>
          </w:rPr>
          <m:t>)+</m:t>
        </m:r>
        <m:nary>
          <m:naryPr>
            <m:chr m:val="∑"/>
            <m:limLoc m:val="undOvr"/>
            <m:supHide m:val="1"/>
            <m:ctrlPr>
              <w:rPr>
                <w:rFonts w:ascii="Cambria Math" w:eastAsiaTheme="minorEastAsia" w:hAnsi="Cambria Math"/>
                <w:i/>
                <w:sz w:val="28"/>
                <w:szCs w:val="28"/>
              </w:rPr>
            </m:ctrlPr>
          </m:naryPr>
          <m:sub>
            <m:r>
              <w:rPr>
                <w:rFonts w:ascii="Cambria Math" w:eastAsiaTheme="minorEastAsia" w:hAnsi="Cambria Math"/>
                <w:sz w:val="28"/>
                <w:szCs w:val="28"/>
                <w:lang w:val="en-US"/>
              </w:rPr>
              <m:t>i</m:t>
            </m:r>
          </m:sub>
          <m:sup/>
          <m:e>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hAnsi="Cambria Math"/>
                    <w:sz w:val="28"/>
                    <w:szCs w:val="28"/>
                  </w:rPr>
                  <m:t>7,</m:t>
                </m:r>
                <m:r>
                  <w:rPr>
                    <w:rFonts w:ascii="Cambria Math" w:eastAsiaTheme="minorEastAsia" w:hAnsi="Cambria Math"/>
                    <w:sz w:val="28"/>
                    <w:szCs w:val="28"/>
                    <w:lang w:val="en-US"/>
                  </w:rPr>
                  <m:t>i</m:t>
                </m:r>
              </m:sub>
            </m:sSub>
          </m:e>
        </m:nary>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N</m:t>
            </m:r>
          </m:e>
          <m:sub>
            <m:r>
              <w:rPr>
                <w:rFonts w:ascii="Cambria Math" w:eastAsiaTheme="minorEastAsia" w:hAnsi="Cambria Math"/>
                <w:sz w:val="28"/>
                <w:szCs w:val="28"/>
              </w:rPr>
              <m:t>i</m:t>
            </m:r>
          </m:sub>
        </m:sSub>
        <m:r>
          <w:rPr>
            <w:rFonts w:ascii="Cambria Math" w:eastAsiaTheme="minorEastAsia" w:hAnsi="Cambria Math"/>
            <w:sz w:val="28"/>
            <w:szCs w:val="28"/>
          </w:rPr>
          <m:t>)+</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8,</m:t>
            </m:r>
            <m:r>
              <w:rPr>
                <w:rFonts w:ascii="Cambria Math" w:hAnsi="Cambria Math"/>
                <w:sz w:val="28"/>
                <w:szCs w:val="28"/>
                <w:lang w:val="en-US"/>
              </w:rPr>
              <m:t>i</m:t>
            </m:r>
          </m:sub>
        </m:sSub>
        <m:r>
          <w:rPr>
            <w:rFonts w:ascii="Cambria Math" w:hAnsi="Cambria Math"/>
            <w:sz w:val="28"/>
            <w:szCs w:val="28"/>
          </w:rPr>
          <m:t>*</m:t>
        </m:r>
        <m:r>
          <w:rPr>
            <w:rFonts w:ascii="Cambria Math" w:hAnsi="Cambria Math"/>
            <w:sz w:val="28"/>
            <w:szCs w:val="28"/>
            <w:lang w:val="en-US"/>
          </w:rPr>
          <m:t>q</m:t>
        </m:r>
        <m:r>
          <w:rPr>
            <w:rFonts w:ascii="Cambria Math" w:hAnsi="Cambria Math"/>
            <w:sz w:val="28"/>
            <w:szCs w:val="28"/>
          </w:rPr>
          <m:t>'</m:t>
        </m:r>
      </m:oMath>
      <w:r w:rsidRPr="00DF5220">
        <w:rPr>
          <w:rFonts w:eastAsiaTheme="minorEastAsia"/>
          <w:sz w:val="28"/>
          <w:szCs w:val="28"/>
        </w:rPr>
        <w:t xml:space="preserve"> </w:t>
      </w:r>
      <w:r>
        <w:rPr>
          <w:rFonts w:eastAsiaTheme="minorEastAsia"/>
          <w:sz w:val="28"/>
          <w:szCs w:val="28"/>
        </w:rPr>
        <w:t>, (руб.) (3)</w:t>
      </w:r>
    </w:p>
    <w:p w14:paraId="4E8EF407" w14:textId="77777777" w:rsidR="00F95501" w:rsidRDefault="00F95501" w:rsidP="00F95501">
      <w:pPr>
        <w:autoSpaceDE w:val="0"/>
        <w:autoSpaceDN w:val="0"/>
        <w:adjustRightInd w:val="0"/>
        <w:ind w:firstLine="540"/>
        <w:jc w:val="both"/>
        <w:rPr>
          <w:sz w:val="28"/>
          <w:szCs w:val="28"/>
        </w:rPr>
      </w:pPr>
    </w:p>
    <w:p w14:paraId="5D3485CF" w14:textId="77777777" w:rsidR="00F95501" w:rsidRPr="00F97E4B" w:rsidRDefault="00F95501" w:rsidP="00F95501">
      <w:pPr>
        <w:autoSpaceDE w:val="0"/>
        <w:autoSpaceDN w:val="0"/>
        <w:adjustRightInd w:val="0"/>
        <w:ind w:firstLine="567"/>
        <w:jc w:val="both"/>
        <w:rPr>
          <w:iCs/>
          <w:sz w:val="28"/>
          <w:szCs w:val="28"/>
        </w:rPr>
      </w:pPr>
      <w:r w:rsidRPr="00767E2C">
        <w:rPr>
          <w:iCs/>
          <w:sz w:val="28"/>
          <w:szCs w:val="28"/>
        </w:rPr>
        <w:t>г) если при технологическом присоединении Заявителя</w:t>
      </w:r>
      <w:r>
        <w:rPr>
          <w:iCs/>
          <w:sz w:val="28"/>
          <w:szCs w:val="28"/>
        </w:rPr>
        <w:t>,</w:t>
      </w:r>
      <w:r w:rsidRPr="00767E2C">
        <w:rPr>
          <w:iCs/>
          <w:sz w:val="28"/>
          <w:szCs w:val="28"/>
        </w:rPr>
        <w:t xml:space="preserve"> согласно техническим условиям</w:t>
      </w:r>
      <w:r>
        <w:rPr>
          <w:iCs/>
          <w:sz w:val="28"/>
          <w:szCs w:val="28"/>
        </w:rPr>
        <w:t>,</w:t>
      </w:r>
      <w:r w:rsidRPr="00767E2C">
        <w:rPr>
          <w:iCs/>
          <w:sz w:val="28"/>
          <w:szCs w:val="28"/>
        </w:rPr>
        <w:t xml:space="preserve"> срок выполнения мероприятий по технологическому присоединению предусмотрен на период больше одного года, то стоимость </w:t>
      </w:r>
      <w:r w:rsidRPr="00F97E4B">
        <w:rPr>
          <w:iCs/>
          <w:sz w:val="28"/>
          <w:szCs w:val="28"/>
        </w:rPr>
        <w:t>мероприятий, учитываемых в плате, рассчитанной в год подачи заявки, индексируется следующим образом:</w:t>
      </w:r>
    </w:p>
    <w:p w14:paraId="42FE4B2A" w14:textId="77777777" w:rsidR="00F95501" w:rsidRPr="00F97E4B" w:rsidRDefault="00F95501" w:rsidP="00F95501">
      <w:pPr>
        <w:autoSpaceDE w:val="0"/>
        <w:autoSpaceDN w:val="0"/>
        <w:adjustRightInd w:val="0"/>
        <w:ind w:firstLine="567"/>
        <w:jc w:val="both"/>
        <w:rPr>
          <w:iCs/>
          <w:sz w:val="28"/>
          <w:szCs w:val="28"/>
        </w:rPr>
      </w:pPr>
      <w:r w:rsidRPr="00F97E4B">
        <w:rPr>
          <w:iCs/>
          <w:sz w:val="28"/>
          <w:szCs w:val="28"/>
        </w:rPr>
        <w:t>- 50% стоимости мероприятий, предусмотренных техническими условиями, определяется в ценах года, соответствующего году утверждения платы;</w:t>
      </w:r>
    </w:p>
    <w:p w14:paraId="3096527D" w14:textId="77777777" w:rsidR="00F95501" w:rsidRPr="00767E2C" w:rsidRDefault="00F95501" w:rsidP="00F95501">
      <w:pPr>
        <w:autoSpaceDE w:val="0"/>
        <w:autoSpaceDN w:val="0"/>
        <w:adjustRightInd w:val="0"/>
        <w:ind w:firstLine="567"/>
        <w:jc w:val="both"/>
        <w:rPr>
          <w:iCs/>
          <w:sz w:val="28"/>
          <w:szCs w:val="28"/>
        </w:rPr>
      </w:pPr>
      <w:r w:rsidRPr="00F97E4B">
        <w:rPr>
          <w:iCs/>
          <w:sz w:val="28"/>
          <w:szCs w:val="28"/>
        </w:rPr>
        <w:t>- 50% стоимости мероприятий, предусмотренных техническими условиями, умножается на прогнозный индекс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на год, следующий за годом утверждения платы (при отсутствии данного индекса используется индекс потребительских цен).</w:t>
      </w:r>
    </w:p>
    <w:p w14:paraId="11E76326" w14:textId="77777777" w:rsidR="00F95501" w:rsidRDefault="00F95501" w:rsidP="00F95501">
      <w:pPr>
        <w:autoSpaceDE w:val="0"/>
        <w:autoSpaceDN w:val="0"/>
        <w:adjustRightInd w:val="0"/>
        <w:ind w:firstLine="540"/>
        <w:jc w:val="both"/>
        <w:rPr>
          <w:sz w:val="28"/>
          <w:szCs w:val="28"/>
        </w:rPr>
      </w:pPr>
    </w:p>
    <w:p w14:paraId="74D36532" w14:textId="77777777" w:rsidR="00F95501" w:rsidRDefault="00F95501" w:rsidP="00F95501">
      <w:pPr>
        <w:autoSpaceDE w:val="0"/>
        <w:autoSpaceDN w:val="0"/>
        <w:adjustRightInd w:val="0"/>
        <w:ind w:firstLine="540"/>
        <w:jc w:val="both"/>
        <w:rPr>
          <w:sz w:val="28"/>
          <w:szCs w:val="28"/>
        </w:rPr>
      </w:pPr>
      <w:r>
        <w:rPr>
          <w:sz w:val="28"/>
          <w:szCs w:val="28"/>
        </w:rPr>
        <w:t>Применяемые в формулах условные обозначения:</w:t>
      </w:r>
    </w:p>
    <w:p w14:paraId="6CDE1870" w14:textId="77777777" w:rsidR="00F95501" w:rsidRPr="00B04EC9" w:rsidRDefault="00F95501" w:rsidP="00F95501">
      <w:pPr>
        <w:autoSpaceDE w:val="0"/>
        <w:autoSpaceDN w:val="0"/>
        <w:adjustRightInd w:val="0"/>
        <w:ind w:firstLine="540"/>
        <w:jc w:val="both"/>
        <w:rPr>
          <w:sz w:val="28"/>
          <w:szCs w:val="28"/>
        </w:rPr>
      </w:pPr>
      <w:r w:rsidRPr="00D57C07">
        <w:rPr>
          <w:i/>
          <w:sz w:val="28"/>
          <w:szCs w:val="28"/>
        </w:rPr>
        <w:t>С</w:t>
      </w:r>
      <w:r w:rsidRPr="00D57C07">
        <w:rPr>
          <w:i/>
          <w:sz w:val="28"/>
          <w:szCs w:val="28"/>
          <w:vertAlign w:val="subscript"/>
        </w:rPr>
        <w:t>1</w:t>
      </w:r>
      <w:r>
        <w:rPr>
          <w:i/>
          <w:sz w:val="28"/>
          <w:szCs w:val="28"/>
          <w:vertAlign w:val="subscript"/>
        </w:rPr>
        <w:t xml:space="preserve"> </w:t>
      </w:r>
      <w:r w:rsidRPr="006A1A73">
        <w:rPr>
          <w:sz w:val="28"/>
          <w:szCs w:val="28"/>
        </w:rPr>
        <w:t xml:space="preserve">– </w:t>
      </w:r>
      <w:r>
        <w:rPr>
          <w:sz w:val="28"/>
          <w:szCs w:val="28"/>
        </w:rPr>
        <w:t>с</w:t>
      </w:r>
      <w:r w:rsidRPr="00561F65">
        <w:rPr>
          <w:sz w:val="28"/>
          <w:szCs w:val="28"/>
        </w:rPr>
        <w:t>тандартизированн</w:t>
      </w:r>
      <w:r>
        <w:rPr>
          <w:sz w:val="28"/>
          <w:szCs w:val="28"/>
        </w:rPr>
        <w:t>ая</w:t>
      </w:r>
      <w:r w:rsidRPr="00561F65">
        <w:rPr>
          <w:sz w:val="28"/>
          <w:szCs w:val="28"/>
        </w:rPr>
        <w:t xml:space="preserve"> тарифн</w:t>
      </w:r>
      <w:r>
        <w:rPr>
          <w:sz w:val="28"/>
          <w:szCs w:val="28"/>
        </w:rPr>
        <w:t>ая</w:t>
      </w:r>
      <w:r w:rsidRPr="00561F65">
        <w:rPr>
          <w:sz w:val="28"/>
          <w:szCs w:val="28"/>
        </w:rPr>
        <w:t xml:space="preserve"> ставк</w:t>
      </w:r>
      <w:r>
        <w:rPr>
          <w:sz w:val="28"/>
          <w:szCs w:val="28"/>
        </w:rPr>
        <w:t>а</w:t>
      </w:r>
      <w:r w:rsidRPr="00561F65">
        <w:rPr>
          <w:sz w:val="28"/>
          <w:szCs w:val="28"/>
        </w:rPr>
        <w:t xml:space="preserve"> на покрытие расходов на</w:t>
      </w:r>
      <w:r>
        <w:rPr>
          <w:sz w:val="28"/>
          <w:szCs w:val="28"/>
        </w:rPr>
        <w:t> </w:t>
      </w:r>
      <w:r w:rsidRPr="00561F65">
        <w:rPr>
          <w:sz w:val="28"/>
          <w:szCs w:val="28"/>
        </w:rPr>
        <w:t>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 (</w:t>
      </w:r>
      <w:r w:rsidRPr="006A1A73">
        <w:rPr>
          <w:sz w:val="28"/>
          <w:szCs w:val="28"/>
        </w:rPr>
        <w:t>«последней мил</w:t>
      </w:r>
      <w:r>
        <w:rPr>
          <w:sz w:val="28"/>
          <w:szCs w:val="28"/>
        </w:rPr>
        <w:t>ей</w:t>
      </w:r>
      <w:r w:rsidRPr="006A1A73">
        <w:rPr>
          <w:sz w:val="28"/>
          <w:szCs w:val="28"/>
        </w:rPr>
        <w:t>»</w:t>
      </w:r>
      <w:r w:rsidRPr="006E1373">
        <w:rPr>
          <w:sz w:val="28"/>
          <w:szCs w:val="28"/>
        </w:rPr>
        <w:t>)</w:t>
      </w:r>
      <w:r>
        <w:rPr>
          <w:sz w:val="28"/>
          <w:szCs w:val="28"/>
        </w:rPr>
        <w:t>, у</w:t>
      </w:r>
      <w:r w:rsidRPr="00E4518C">
        <w:rPr>
          <w:sz w:val="28"/>
          <w:szCs w:val="28"/>
        </w:rPr>
        <w:t>тверждена отдельно для случаев присоединения энергопринимающих устройств потребителей, указанных в пунктах 12(1) и 14 Правил технологического присоединения, кроме случаев, если технологическое присоединение энергопринимающих устройств таких Заявителей осуществляется на уровне напряжения выше 0,4 кВ и для случаев технологического присоединения объектов Заявителей, не предусмотренных абзацем восьмым п. 24 Методических указаний 1135</w:t>
      </w:r>
      <w:r>
        <w:rPr>
          <w:sz w:val="28"/>
          <w:szCs w:val="28"/>
        </w:rPr>
        <w:t>, рублей за одно присоединение.</w:t>
      </w:r>
    </w:p>
    <w:p w14:paraId="1F5C6279" w14:textId="77777777" w:rsidR="00F95501" w:rsidRPr="00966BBA" w:rsidRDefault="00F95501" w:rsidP="00F95501">
      <w:pPr>
        <w:autoSpaceDE w:val="0"/>
        <w:autoSpaceDN w:val="0"/>
        <w:adjustRightInd w:val="0"/>
        <w:ind w:firstLine="540"/>
        <w:jc w:val="both"/>
        <w:rPr>
          <w:sz w:val="28"/>
          <w:szCs w:val="28"/>
        </w:rPr>
      </w:pPr>
      <w:r w:rsidRPr="006A1A73">
        <w:rPr>
          <w:i/>
          <w:sz w:val="28"/>
          <w:szCs w:val="28"/>
        </w:rPr>
        <w:t>С</w:t>
      </w:r>
      <w:proofErr w:type="gramStart"/>
      <w:r w:rsidRPr="006A1A73">
        <w:rPr>
          <w:i/>
          <w:sz w:val="28"/>
          <w:szCs w:val="28"/>
          <w:vertAlign w:val="subscript"/>
        </w:rPr>
        <w:t>2</w:t>
      </w:r>
      <w:r>
        <w:rPr>
          <w:i/>
          <w:sz w:val="28"/>
          <w:szCs w:val="28"/>
          <w:vertAlign w:val="subscript"/>
        </w:rPr>
        <w:t>,</w:t>
      </w:r>
      <w:r>
        <w:rPr>
          <w:i/>
          <w:sz w:val="28"/>
          <w:szCs w:val="28"/>
          <w:vertAlign w:val="subscript"/>
          <w:lang w:val="en-US"/>
        </w:rPr>
        <w:t>i</w:t>
      </w:r>
      <w:proofErr w:type="gramEnd"/>
      <w:r w:rsidRPr="006A1A73">
        <w:rPr>
          <w:sz w:val="28"/>
          <w:szCs w:val="28"/>
        </w:rPr>
        <w:t xml:space="preserve"> – стандартизированная тарифная ставка на покрытие расходов сетевой организации на строительство воздушных линий </w:t>
      </w:r>
      <w:r w:rsidRPr="00966BBA">
        <w:rPr>
          <w:sz w:val="28"/>
          <w:szCs w:val="28"/>
        </w:rPr>
        <w:t>электропередачи на i-м уровне напряжения в расчете на 1 км линий (руб./км).</w:t>
      </w:r>
    </w:p>
    <w:p w14:paraId="363A7115" w14:textId="77777777" w:rsidR="00F95501" w:rsidRPr="00B04EC9" w:rsidRDefault="00F95501" w:rsidP="00F95501">
      <w:pPr>
        <w:autoSpaceDE w:val="0"/>
        <w:autoSpaceDN w:val="0"/>
        <w:adjustRightInd w:val="0"/>
        <w:ind w:firstLine="540"/>
        <w:jc w:val="both"/>
        <w:rPr>
          <w:sz w:val="28"/>
          <w:szCs w:val="28"/>
        </w:rPr>
      </w:pPr>
      <w:r w:rsidRPr="006A1A73">
        <w:rPr>
          <w:i/>
          <w:sz w:val="28"/>
          <w:szCs w:val="28"/>
        </w:rPr>
        <w:t>С</w:t>
      </w:r>
      <w:proofErr w:type="gramStart"/>
      <w:r w:rsidRPr="006A1A73">
        <w:rPr>
          <w:i/>
          <w:sz w:val="28"/>
          <w:szCs w:val="28"/>
          <w:vertAlign w:val="subscript"/>
        </w:rPr>
        <w:t>3</w:t>
      </w:r>
      <w:r>
        <w:rPr>
          <w:i/>
          <w:sz w:val="28"/>
          <w:szCs w:val="28"/>
          <w:vertAlign w:val="subscript"/>
        </w:rPr>
        <w:t>,</w:t>
      </w:r>
      <w:r>
        <w:rPr>
          <w:i/>
          <w:sz w:val="28"/>
          <w:szCs w:val="28"/>
          <w:vertAlign w:val="subscript"/>
          <w:lang w:val="en-US"/>
        </w:rPr>
        <w:t>i</w:t>
      </w:r>
      <w:proofErr w:type="gramEnd"/>
      <w:r w:rsidRPr="006A1A73">
        <w:rPr>
          <w:sz w:val="28"/>
          <w:szCs w:val="28"/>
        </w:rPr>
        <w:t xml:space="preserve"> – стандартизированная </w:t>
      </w:r>
      <w:r w:rsidRPr="006A1A73">
        <w:rPr>
          <w:iCs/>
          <w:sz w:val="28"/>
          <w:szCs w:val="28"/>
        </w:rPr>
        <w:t xml:space="preserve">тарифная ставка на покрытие расходов сетевой организации на строительство кабельных линий электропередачи </w:t>
      </w:r>
      <w:r w:rsidRPr="00966BBA">
        <w:rPr>
          <w:sz w:val="28"/>
          <w:szCs w:val="28"/>
        </w:rPr>
        <w:t>на i-м уровне напряжения</w:t>
      </w:r>
      <w:r w:rsidRPr="006A1A73">
        <w:rPr>
          <w:sz w:val="28"/>
          <w:szCs w:val="28"/>
        </w:rPr>
        <w:t xml:space="preserve"> в расчете на 1 км линий</w:t>
      </w:r>
      <w:r>
        <w:rPr>
          <w:sz w:val="28"/>
          <w:szCs w:val="28"/>
        </w:rPr>
        <w:t xml:space="preserve"> (руб./км)</w:t>
      </w:r>
      <w:r w:rsidRPr="006A1A73">
        <w:rPr>
          <w:sz w:val="28"/>
          <w:szCs w:val="28"/>
        </w:rPr>
        <w:t>.</w:t>
      </w:r>
    </w:p>
    <w:p w14:paraId="7B110426" w14:textId="77777777" w:rsidR="00F95501" w:rsidRPr="00CE19EF" w:rsidRDefault="00F95501" w:rsidP="00F95501">
      <w:pPr>
        <w:autoSpaceDE w:val="0"/>
        <w:autoSpaceDN w:val="0"/>
        <w:adjustRightInd w:val="0"/>
        <w:ind w:firstLine="540"/>
        <w:jc w:val="both"/>
        <w:rPr>
          <w:sz w:val="28"/>
          <w:szCs w:val="28"/>
        </w:rPr>
      </w:pPr>
      <w:r w:rsidRPr="006A1A73">
        <w:rPr>
          <w:i/>
          <w:sz w:val="28"/>
          <w:szCs w:val="28"/>
        </w:rPr>
        <w:t>С</w:t>
      </w:r>
      <w:proofErr w:type="gramStart"/>
      <w:r w:rsidRPr="006A1A73">
        <w:rPr>
          <w:i/>
          <w:sz w:val="28"/>
          <w:szCs w:val="28"/>
          <w:vertAlign w:val="subscript"/>
        </w:rPr>
        <w:t>4</w:t>
      </w:r>
      <w:r>
        <w:rPr>
          <w:i/>
          <w:sz w:val="28"/>
          <w:szCs w:val="28"/>
          <w:vertAlign w:val="subscript"/>
        </w:rPr>
        <w:t>,</w:t>
      </w:r>
      <w:r>
        <w:rPr>
          <w:i/>
          <w:sz w:val="28"/>
          <w:szCs w:val="28"/>
          <w:vertAlign w:val="subscript"/>
          <w:lang w:val="en-US"/>
        </w:rPr>
        <w:t>i</w:t>
      </w:r>
      <w:proofErr w:type="gramEnd"/>
      <w:r w:rsidRPr="006A1A73">
        <w:rPr>
          <w:sz w:val="28"/>
          <w:szCs w:val="28"/>
        </w:rPr>
        <w:t xml:space="preserve"> – </w:t>
      </w:r>
      <w:r>
        <w:rPr>
          <w:sz w:val="28"/>
          <w:szCs w:val="28"/>
        </w:rPr>
        <w:t>стандартизированная тарифная ставка на покрытие расходов сетевой организации на строительство пунктов секционирования (реклоузеров, распределительных пунктов, переключательных пунктов) на i-м уровне напряжения (руб./шт.)</w:t>
      </w:r>
      <w:r w:rsidRPr="006A1A73">
        <w:rPr>
          <w:sz w:val="28"/>
          <w:szCs w:val="28"/>
        </w:rPr>
        <w:t>.</w:t>
      </w:r>
    </w:p>
    <w:p w14:paraId="56D9179F" w14:textId="77777777" w:rsidR="00F95501" w:rsidRPr="00CE19EF" w:rsidRDefault="00F95501" w:rsidP="00F95501">
      <w:pPr>
        <w:autoSpaceDE w:val="0"/>
        <w:autoSpaceDN w:val="0"/>
        <w:adjustRightInd w:val="0"/>
        <w:ind w:firstLine="540"/>
        <w:jc w:val="both"/>
        <w:rPr>
          <w:sz w:val="28"/>
          <w:szCs w:val="28"/>
        </w:rPr>
      </w:pPr>
      <w:r w:rsidRPr="006A1A73">
        <w:rPr>
          <w:i/>
          <w:sz w:val="28"/>
          <w:szCs w:val="28"/>
        </w:rPr>
        <w:t>С</w:t>
      </w:r>
      <w:proofErr w:type="gramStart"/>
      <w:r w:rsidRPr="006A1A73">
        <w:rPr>
          <w:i/>
          <w:sz w:val="28"/>
          <w:szCs w:val="28"/>
          <w:vertAlign w:val="subscript"/>
        </w:rPr>
        <w:t>5</w:t>
      </w:r>
      <w:r>
        <w:rPr>
          <w:i/>
          <w:sz w:val="28"/>
          <w:szCs w:val="28"/>
          <w:vertAlign w:val="subscript"/>
        </w:rPr>
        <w:t>,</w:t>
      </w:r>
      <w:r>
        <w:rPr>
          <w:i/>
          <w:sz w:val="28"/>
          <w:szCs w:val="28"/>
          <w:vertAlign w:val="subscript"/>
          <w:lang w:val="en-US"/>
        </w:rPr>
        <w:t>i</w:t>
      </w:r>
      <w:proofErr w:type="gramEnd"/>
      <w:r w:rsidRPr="006A1A73">
        <w:rPr>
          <w:sz w:val="28"/>
          <w:szCs w:val="28"/>
        </w:rPr>
        <w:t xml:space="preserve"> – </w:t>
      </w:r>
      <w:r>
        <w:rPr>
          <w:sz w:val="28"/>
          <w:szCs w:val="28"/>
        </w:rPr>
        <w:t>стандартизированная тарифная ставка на покрытие расходов сетевой организации на строительство трансформаторных подстанций (</w:t>
      </w:r>
      <w:r w:rsidRPr="00CE19EF">
        <w:rPr>
          <w:i/>
          <w:sz w:val="28"/>
          <w:szCs w:val="28"/>
        </w:rPr>
        <w:t>ТП</w:t>
      </w:r>
      <w:r>
        <w:rPr>
          <w:sz w:val="28"/>
          <w:szCs w:val="28"/>
        </w:rPr>
        <w:t>), за исключением распределительных трансформаторных подстанций (</w:t>
      </w:r>
      <w:r w:rsidRPr="00CE19EF">
        <w:rPr>
          <w:i/>
          <w:sz w:val="28"/>
          <w:szCs w:val="28"/>
        </w:rPr>
        <w:t>РТП</w:t>
      </w:r>
      <w:r>
        <w:rPr>
          <w:sz w:val="28"/>
          <w:szCs w:val="28"/>
        </w:rPr>
        <w:t>), с уровнем напряжения до 35 кВ (руб./кВт)</w:t>
      </w:r>
      <w:r w:rsidRPr="006A1A73">
        <w:rPr>
          <w:sz w:val="28"/>
          <w:szCs w:val="28"/>
        </w:rPr>
        <w:t>.</w:t>
      </w:r>
    </w:p>
    <w:p w14:paraId="616C054D" w14:textId="77777777" w:rsidR="00F95501" w:rsidRPr="00CE19EF" w:rsidRDefault="00F95501" w:rsidP="00F95501">
      <w:pPr>
        <w:autoSpaceDE w:val="0"/>
        <w:autoSpaceDN w:val="0"/>
        <w:adjustRightInd w:val="0"/>
        <w:ind w:firstLine="540"/>
        <w:jc w:val="both"/>
        <w:rPr>
          <w:sz w:val="28"/>
          <w:szCs w:val="28"/>
        </w:rPr>
      </w:pPr>
      <w:r w:rsidRPr="006A1A73">
        <w:rPr>
          <w:i/>
          <w:sz w:val="28"/>
          <w:szCs w:val="28"/>
        </w:rPr>
        <w:t>С</w:t>
      </w:r>
      <w:proofErr w:type="gramStart"/>
      <w:r w:rsidRPr="006A1A73">
        <w:rPr>
          <w:i/>
          <w:sz w:val="28"/>
          <w:szCs w:val="28"/>
          <w:vertAlign w:val="subscript"/>
        </w:rPr>
        <w:t>6</w:t>
      </w:r>
      <w:r>
        <w:rPr>
          <w:i/>
          <w:sz w:val="28"/>
          <w:szCs w:val="28"/>
          <w:vertAlign w:val="subscript"/>
        </w:rPr>
        <w:t>,</w:t>
      </w:r>
      <w:r>
        <w:rPr>
          <w:i/>
          <w:sz w:val="28"/>
          <w:szCs w:val="28"/>
          <w:vertAlign w:val="subscript"/>
          <w:lang w:val="en-US"/>
        </w:rPr>
        <w:t>i</w:t>
      </w:r>
      <w:proofErr w:type="gramEnd"/>
      <w:r w:rsidRPr="006A1A73">
        <w:rPr>
          <w:sz w:val="28"/>
          <w:szCs w:val="28"/>
        </w:rPr>
        <w:t xml:space="preserve"> – </w:t>
      </w:r>
      <w:r>
        <w:rPr>
          <w:sz w:val="28"/>
          <w:szCs w:val="28"/>
        </w:rPr>
        <w:t>стандартизированная тарифная ставка на покрытие расходов сетевой организации на строительство распределительных трансформаторных подстанций (</w:t>
      </w:r>
      <w:r w:rsidRPr="00CE19EF">
        <w:rPr>
          <w:i/>
          <w:sz w:val="28"/>
          <w:szCs w:val="28"/>
        </w:rPr>
        <w:t>РТП</w:t>
      </w:r>
      <w:r>
        <w:rPr>
          <w:sz w:val="28"/>
          <w:szCs w:val="28"/>
        </w:rPr>
        <w:t>) с уровнем напряжения до 35 кВ (руб./кВт)</w:t>
      </w:r>
      <w:r w:rsidRPr="006A1A73">
        <w:rPr>
          <w:sz w:val="28"/>
          <w:szCs w:val="28"/>
        </w:rPr>
        <w:t>.</w:t>
      </w:r>
    </w:p>
    <w:p w14:paraId="08145350" w14:textId="77777777" w:rsidR="00F95501" w:rsidRPr="00F97E4B" w:rsidRDefault="00F95501" w:rsidP="00F95501">
      <w:pPr>
        <w:autoSpaceDE w:val="0"/>
        <w:autoSpaceDN w:val="0"/>
        <w:adjustRightInd w:val="0"/>
        <w:ind w:firstLine="540"/>
        <w:jc w:val="both"/>
        <w:rPr>
          <w:sz w:val="28"/>
          <w:szCs w:val="28"/>
        </w:rPr>
      </w:pPr>
      <w:r w:rsidRPr="00D1261C">
        <w:rPr>
          <w:i/>
          <w:sz w:val="28"/>
          <w:szCs w:val="28"/>
        </w:rPr>
        <w:t>С</w:t>
      </w:r>
      <w:proofErr w:type="gramStart"/>
      <w:r w:rsidRPr="00D1261C">
        <w:rPr>
          <w:i/>
          <w:sz w:val="28"/>
          <w:szCs w:val="28"/>
          <w:vertAlign w:val="subscript"/>
        </w:rPr>
        <w:t>7,</w:t>
      </w:r>
      <w:r w:rsidRPr="00D1261C">
        <w:rPr>
          <w:i/>
          <w:sz w:val="28"/>
          <w:szCs w:val="28"/>
          <w:vertAlign w:val="subscript"/>
          <w:lang w:val="en-US"/>
        </w:rPr>
        <w:t>i</w:t>
      </w:r>
      <w:proofErr w:type="gramEnd"/>
      <w:r w:rsidRPr="00D1261C">
        <w:rPr>
          <w:sz w:val="28"/>
          <w:szCs w:val="28"/>
        </w:rPr>
        <w:t xml:space="preserve"> – стандартизированная тарифная ставка на покрытие расходов сетевой </w:t>
      </w:r>
      <w:r w:rsidRPr="00F97E4B">
        <w:rPr>
          <w:sz w:val="28"/>
          <w:szCs w:val="28"/>
        </w:rPr>
        <w:t xml:space="preserve">организации на строительство центров питания, подстанций с уровнем напряжения 35 кВ и выше </w:t>
      </w:r>
      <w:r w:rsidRPr="00F97E4B">
        <w:rPr>
          <w:i/>
          <w:sz w:val="28"/>
          <w:szCs w:val="28"/>
        </w:rPr>
        <w:t>(ПС)</w:t>
      </w:r>
      <w:r w:rsidRPr="00F97E4B">
        <w:rPr>
          <w:sz w:val="28"/>
          <w:szCs w:val="28"/>
        </w:rPr>
        <w:t xml:space="preserve"> (руб./кВт).</w:t>
      </w:r>
    </w:p>
    <w:p w14:paraId="0ECCCC9A" w14:textId="77777777" w:rsidR="00F95501" w:rsidRPr="00F97E4B" w:rsidRDefault="00F95501" w:rsidP="00F95501">
      <w:pPr>
        <w:autoSpaceDE w:val="0"/>
        <w:autoSpaceDN w:val="0"/>
        <w:adjustRightInd w:val="0"/>
        <w:ind w:firstLine="540"/>
        <w:jc w:val="both"/>
        <w:rPr>
          <w:sz w:val="28"/>
          <w:szCs w:val="28"/>
        </w:rPr>
      </w:pPr>
      <w:r w:rsidRPr="00F97E4B">
        <w:rPr>
          <w:i/>
          <w:sz w:val="28"/>
          <w:szCs w:val="28"/>
        </w:rPr>
        <w:t>С</w:t>
      </w:r>
      <w:proofErr w:type="gramStart"/>
      <w:r w:rsidRPr="00F97E4B">
        <w:rPr>
          <w:i/>
          <w:sz w:val="28"/>
          <w:szCs w:val="28"/>
          <w:vertAlign w:val="subscript"/>
        </w:rPr>
        <w:t>8,</w:t>
      </w:r>
      <w:r w:rsidRPr="00F97E4B">
        <w:rPr>
          <w:i/>
          <w:sz w:val="28"/>
          <w:szCs w:val="28"/>
          <w:vertAlign w:val="subscript"/>
          <w:lang w:val="en-US"/>
        </w:rPr>
        <w:t>i</w:t>
      </w:r>
      <w:proofErr w:type="gramEnd"/>
      <w:r w:rsidRPr="00F97E4B">
        <w:rPr>
          <w:sz w:val="28"/>
          <w:szCs w:val="28"/>
        </w:rPr>
        <w:t xml:space="preserve"> – стандартизированная тарифная ставка на покрытие расходов сетевой организации на обеспечение средствами коммерческого учета электрической энергии (мощности) на </w:t>
      </w:r>
      <w:r w:rsidRPr="00F97E4B">
        <w:rPr>
          <w:sz w:val="28"/>
          <w:szCs w:val="28"/>
          <w:lang w:val="en-US"/>
        </w:rPr>
        <w:t>i</w:t>
      </w:r>
      <w:r w:rsidRPr="00F97E4B">
        <w:rPr>
          <w:sz w:val="28"/>
          <w:szCs w:val="28"/>
        </w:rPr>
        <w:t>-м уровне напряжения в расчете на 1 точку учета (руб./1</w:t>
      </w:r>
      <w:r>
        <w:rPr>
          <w:sz w:val="28"/>
          <w:szCs w:val="28"/>
        </w:rPr>
        <w:t> </w:t>
      </w:r>
      <w:r w:rsidRPr="00F97E4B">
        <w:rPr>
          <w:sz w:val="28"/>
          <w:szCs w:val="28"/>
        </w:rPr>
        <w:t>точка учета).</w:t>
      </w:r>
    </w:p>
    <w:p w14:paraId="61D1EDAF" w14:textId="77777777" w:rsidR="00F95501" w:rsidRPr="00F97E4B" w:rsidRDefault="00F95501" w:rsidP="00F95501">
      <w:pPr>
        <w:autoSpaceDE w:val="0"/>
        <w:autoSpaceDN w:val="0"/>
        <w:adjustRightInd w:val="0"/>
        <w:ind w:firstLine="540"/>
        <w:jc w:val="both"/>
        <w:rPr>
          <w:iCs/>
          <w:sz w:val="28"/>
          <w:szCs w:val="28"/>
        </w:rPr>
      </w:pPr>
      <w:r w:rsidRPr="00F97E4B">
        <w:rPr>
          <w:i/>
          <w:sz w:val="28"/>
          <w:szCs w:val="28"/>
          <w:lang w:val="en-US"/>
        </w:rPr>
        <w:t>L</w:t>
      </w:r>
      <w:r w:rsidRPr="00F97E4B">
        <w:rPr>
          <w:i/>
          <w:sz w:val="28"/>
          <w:szCs w:val="28"/>
          <w:vertAlign w:val="subscript"/>
        </w:rPr>
        <w:t>2</w:t>
      </w:r>
      <w:r w:rsidRPr="00F97E4B">
        <w:rPr>
          <w:i/>
          <w:sz w:val="28"/>
          <w:szCs w:val="28"/>
          <w:vertAlign w:val="subscript"/>
          <w:lang w:val="en-US"/>
        </w:rPr>
        <w:t>i</w:t>
      </w:r>
      <w:r w:rsidRPr="00F97E4B">
        <w:rPr>
          <w:sz w:val="28"/>
          <w:szCs w:val="28"/>
        </w:rPr>
        <w:t xml:space="preserve"> – </w:t>
      </w:r>
      <w:r w:rsidRPr="00F97E4B">
        <w:rPr>
          <w:iCs/>
          <w:sz w:val="28"/>
          <w:szCs w:val="28"/>
        </w:rPr>
        <w:t>суммарная протяженность воздушных линий</w:t>
      </w:r>
      <w:r w:rsidRPr="00F97E4B">
        <w:rPr>
          <w:sz w:val="28"/>
          <w:szCs w:val="28"/>
        </w:rPr>
        <w:t xml:space="preserve"> на i-м уровне напряжения</w:t>
      </w:r>
      <w:r w:rsidRPr="00F97E4B">
        <w:rPr>
          <w:iCs/>
          <w:sz w:val="28"/>
          <w:szCs w:val="28"/>
        </w:rPr>
        <w:t>, строительство которых предусмотрено согласно выданных технических условий для технологического присоединения Заявителя (км).</w:t>
      </w:r>
    </w:p>
    <w:p w14:paraId="4D984630" w14:textId="77777777" w:rsidR="00F95501" w:rsidRPr="00F97E4B" w:rsidRDefault="00F95501" w:rsidP="00F95501">
      <w:pPr>
        <w:autoSpaceDE w:val="0"/>
        <w:autoSpaceDN w:val="0"/>
        <w:adjustRightInd w:val="0"/>
        <w:ind w:firstLine="540"/>
        <w:jc w:val="both"/>
        <w:rPr>
          <w:iCs/>
          <w:sz w:val="28"/>
          <w:szCs w:val="28"/>
        </w:rPr>
      </w:pPr>
      <w:r w:rsidRPr="00F97E4B">
        <w:rPr>
          <w:i/>
          <w:sz w:val="28"/>
          <w:szCs w:val="28"/>
          <w:lang w:val="en-US"/>
        </w:rPr>
        <w:t>L</w:t>
      </w:r>
      <w:r w:rsidRPr="00F97E4B">
        <w:rPr>
          <w:i/>
          <w:sz w:val="28"/>
          <w:szCs w:val="28"/>
          <w:vertAlign w:val="subscript"/>
        </w:rPr>
        <w:t>3</w:t>
      </w:r>
      <w:r w:rsidRPr="00F97E4B">
        <w:rPr>
          <w:i/>
          <w:sz w:val="28"/>
          <w:szCs w:val="28"/>
          <w:vertAlign w:val="subscript"/>
          <w:lang w:val="en-US"/>
        </w:rPr>
        <w:t>i</w:t>
      </w:r>
      <w:r w:rsidRPr="00F97E4B">
        <w:rPr>
          <w:sz w:val="28"/>
          <w:szCs w:val="28"/>
        </w:rPr>
        <w:t xml:space="preserve"> – </w:t>
      </w:r>
      <w:r w:rsidRPr="00F97E4B">
        <w:rPr>
          <w:iCs/>
          <w:sz w:val="28"/>
          <w:szCs w:val="28"/>
        </w:rPr>
        <w:t xml:space="preserve">суммарная протяженность кабельных линий </w:t>
      </w:r>
      <w:r w:rsidRPr="00F97E4B">
        <w:rPr>
          <w:sz w:val="28"/>
          <w:szCs w:val="28"/>
        </w:rPr>
        <w:t>на i-м уровне напряжения</w:t>
      </w:r>
      <w:r w:rsidRPr="00F97E4B">
        <w:rPr>
          <w:iCs/>
          <w:sz w:val="28"/>
          <w:szCs w:val="28"/>
        </w:rPr>
        <w:t>, строительство которых предусмотрено согласно выданных технических условий для технологического присоединения Заявителя (км).</w:t>
      </w:r>
    </w:p>
    <w:p w14:paraId="65C983B1" w14:textId="77777777" w:rsidR="00F95501" w:rsidRPr="00F97E4B" w:rsidRDefault="00F95501" w:rsidP="00F95501">
      <w:pPr>
        <w:autoSpaceDE w:val="0"/>
        <w:autoSpaceDN w:val="0"/>
        <w:adjustRightInd w:val="0"/>
        <w:ind w:firstLine="540"/>
        <w:jc w:val="both"/>
        <w:rPr>
          <w:sz w:val="28"/>
          <w:szCs w:val="28"/>
        </w:rPr>
      </w:pPr>
      <w:proofErr w:type="gramStart"/>
      <w:r w:rsidRPr="00F97E4B">
        <w:rPr>
          <w:i/>
          <w:sz w:val="28"/>
          <w:szCs w:val="28"/>
          <w:lang w:val="en-US"/>
        </w:rPr>
        <w:t>q</w:t>
      </w:r>
      <w:r w:rsidRPr="00F97E4B">
        <w:rPr>
          <w:i/>
          <w:sz w:val="28"/>
          <w:szCs w:val="28"/>
          <w:vertAlign w:val="subscript"/>
          <w:lang w:val="en-US"/>
        </w:rPr>
        <w:t>i</w:t>
      </w:r>
      <w:r w:rsidRPr="00F97E4B">
        <w:rPr>
          <w:sz w:val="28"/>
          <w:szCs w:val="28"/>
        </w:rPr>
        <w:t xml:space="preserve">  –</w:t>
      </w:r>
      <w:proofErr w:type="gramEnd"/>
      <w:r w:rsidRPr="00F97E4B">
        <w:rPr>
          <w:sz w:val="28"/>
          <w:szCs w:val="28"/>
        </w:rPr>
        <w:t xml:space="preserve">  необходимое количество пунктов секционирования на i-м уровне напряжения.</w:t>
      </w:r>
    </w:p>
    <w:p w14:paraId="7ECDF87C" w14:textId="77777777" w:rsidR="00F95501" w:rsidRPr="00F97E4B" w:rsidRDefault="00F95501" w:rsidP="00F95501">
      <w:pPr>
        <w:autoSpaceDE w:val="0"/>
        <w:autoSpaceDN w:val="0"/>
        <w:adjustRightInd w:val="0"/>
        <w:ind w:firstLine="540"/>
        <w:jc w:val="both"/>
        <w:rPr>
          <w:sz w:val="28"/>
          <w:szCs w:val="28"/>
        </w:rPr>
      </w:pPr>
      <w:r w:rsidRPr="00F97E4B">
        <w:rPr>
          <w:i/>
          <w:sz w:val="28"/>
          <w:szCs w:val="28"/>
          <w:lang w:val="en-US"/>
        </w:rPr>
        <w:t>N</w:t>
      </w:r>
      <w:r w:rsidRPr="00F97E4B">
        <w:rPr>
          <w:i/>
          <w:sz w:val="28"/>
          <w:szCs w:val="28"/>
          <w:vertAlign w:val="subscript"/>
          <w:lang w:val="en-US"/>
        </w:rPr>
        <w:t>i</w:t>
      </w:r>
      <w:r w:rsidRPr="00F97E4B">
        <w:rPr>
          <w:sz w:val="28"/>
          <w:szCs w:val="28"/>
        </w:rPr>
        <w:t xml:space="preserve"> – объем максимальной мощности, указанный в заявке на технологическое присоединение Заявителем (кВт).</w:t>
      </w:r>
    </w:p>
    <w:p w14:paraId="3EC2AF6C" w14:textId="77777777" w:rsidR="00F95501" w:rsidRPr="00D73FD6" w:rsidRDefault="00F95501" w:rsidP="00F95501">
      <w:pPr>
        <w:autoSpaceDE w:val="0"/>
        <w:autoSpaceDN w:val="0"/>
        <w:adjustRightInd w:val="0"/>
        <w:ind w:firstLine="540"/>
        <w:jc w:val="both"/>
        <w:rPr>
          <w:sz w:val="28"/>
          <w:szCs w:val="28"/>
        </w:rPr>
      </w:pPr>
      <w:r w:rsidRPr="00F97E4B">
        <w:rPr>
          <w:i/>
          <w:iCs/>
          <w:sz w:val="28"/>
          <w:szCs w:val="28"/>
          <w:lang w:val="en-US"/>
        </w:rPr>
        <w:t>q</w:t>
      </w:r>
      <w:proofErr w:type="gramStart"/>
      <w:r w:rsidRPr="00F97E4B">
        <w:rPr>
          <w:i/>
          <w:iCs/>
          <w:sz w:val="28"/>
          <w:szCs w:val="28"/>
        </w:rPr>
        <w:t>'</w:t>
      </w:r>
      <w:r w:rsidRPr="00F97E4B">
        <w:rPr>
          <w:sz w:val="28"/>
          <w:szCs w:val="28"/>
        </w:rPr>
        <w:t xml:space="preserve">  –</w:t>
      </w:r>
      <w:proofErr w:type="gramEnd"/>
      <w:r w:rsidRPr="00F97E4B">
        <w:rPr>
          <w:sz w:val="28"/>
          <w:szCs w:val="28"/>
        </w:rPr>
        <w:t xml:space="preserve">  необходимое количество точек коммерческого учета электрической энергии (мощности) на i-м уровне напряжения.</w:t>
      </w:r>
    </w:p>
    <w:p w14:paraId="4DD09E2C" w14:textId="77777777" w:rsidR="00F95501" w:rsidRDefault="00F95501" w:rsidP="00F95501">
      <w:pPr>
        <w:autoSpaceDE w:val="0"/>
        <w:autoSpaceDN w:val="0"/>
        <w:adjustRightInd w:val="0"/>
        <w:ind w:firstLine="540"/>
        <w:jc w:val="both"/>
        <w:rPr>
          <w:sz w:val="28"/>
          <w:szCs w:val="28"/>
        </w:rPr>
      </w:pPr>
      <w:r w:rsidRPr="00046034">
        <w:rPr>
          <w:sz w:val="28"/>
          <w:szCs w:val="28"/>
        </w:rPr>
        <w:t>2</w:t>
      </w:r>
      <w:r>
        <w:rPr>
          <w:sz w:val="28"/>
          <w:szCs w:val="28"/>
        </w:rPr>
        <w:t>. В случае если Заявитель при технологическом присоединении запрашивает вторую или первую категорию надежности электроснабжения (технологическое присоединение к двум независимым источникам энергоснабжения), то размер платы за технологическое присоединение (</w:t>
      </w:r>
      <w:r w:rsidRPr="0022273D">
        <w:rPr>
          <w:i/>
          <w:sz w:val="28"/>
          <w:szCs w:val="28"/>
        </w:rPr>
        <w:t>Р</w:t>
      </w:r>
      <w:r>
        <w:rPr>
          <w:sz w:val="28"/>
          <w:szCs w:val="28"/>
          <w:vertAlign w:val="subscript"/>
        </w:rPr>
        <w:t>общ</w:t>
      </w:r>
      <w:r>
        <w:rPr>
          <w:sz w:val="28"/>
          <w:szCs w:val="28"/>
        </w:rPr>
        <w:t>) определяется следующим образом:</w:t>
      </w:r>
    </w:p>
    <w:p w14:paraId="5750D2F4" w14:textId="77777777" w:rsidR="00F95501" w:rsidRDefault="00F95501" w:rsidP="00F95501">
      <w:pPr>
        <w:autoSpaceDE w:val="0"/>
        <w:autoSpaceDN w:val="0"/>
        <w:adjustRightInd w:val="0"/>
        <w:jc w:val="both"/>
        <w:outlineLvl w:val="0"/>
        <w:rPr>
          <w:sz w:val="28"/>
          <w:szCs w:val="28"/>
        </w:rPr>
      </w:pPr>
    </w:p>
    <w:p w14:paraId="52B9B3BB" w14:textId="77777777" w:rsidR="00F95501" w:rsidRDefault="00F95501" w:rsidP="00F95501">
      <w:pPr>
        <w:autoSpaceDE w:val="0"/>
        <w:autoSpaceDN w:val="0"/>
        <w:adjustRightInd w:val="0"/>
        <w:jc w:val="center"/>
        <w:rPr>
          <w:sz w:val="28"/>
          <w:szCs w:val="28"/>
        </w:rPr>
      </w:pPr>
      <w:r w:rsidRPr="00046034">
        <w:rPr>
          <w:i/>
          <w:sz w:val="28"/>
          <w:szCs w:val="28"/>
        </w:rPr>
        <w:t>Р</w:t>
      </w:r>
      <w:r>
        <w:rPr>
          <w:sz w:val="28"/>
          <w:szCs w:val="28"/>
          <w:vertAlign w:val="subscript"/>
        </w:rPr>
        <w:t>общ</w:t>
      </w:r>
      <w:r>
        <w:rPr>
          <w:sz w:val="28"/>
          <w:szCs w:val="28"/>
        </w:rPr>
        <w:t xml:space="preserve"> = </w:t>
      </w:r>
      <w:r w:rsidRPr="00046034">
        <w:rPr>
          <w:i/>
          <w:sz w:val="28"/>
          <w:szCs w:val="28"/>
        </w:rPr>
        <w:t>Р</w:t>
      </w:r>
      <w:r>
        <w:rPr>
          <w:sz w:val="28"/>
          <w:szCs w:val="28"/>
        </w:rPr>
        <w:t xml:space="preserve"> + (</w:t>
      </w:r>
      <w:r w:rsidRPr="00046034">
        <w:rPr>
          <w:i/>
          <w:sz w:val="28"/>
          <w:szCs w:val="28"/>
        </w:rPr>
        <w:t>Р</w:t>
      </w:r>
      <w:r w:rsidRPr="000415C7">
        <w:rPr>
          <w:i/>
          <w:sz w:val="28"/>
          <w:szCs w:val="28"/>
          <w:vertAlign w:val="subscript"/>
        </w:rPr>
        <w:t>ист1</w:t>
      </w:r>
      <w:r>
        <w:rPr>
          <w:sz w:val="28"/>
          <w:szCs w:val="28"/>
        </w:rPr>
        <w:t xml:space="preserve"> + </w:t>
      </w:r>
      <w:r w:rsidRPr="00046034">
        <w:rPr>
          <w:i/>
          <w:sz w:val="28"/>
          <w:szCs w:val="28"/>
        </w:rPr>
        <w:t>Р</w:t>
      </w:r>
      <w:r w:rsidRPr="000415C7">
        <w:rPr>
          <w:i/>
          <w:sz w:val="28"/>
          <w:szCs w:val="28"/>
          <w:vertAlign w:val="subscript"/>
        </w:rPr>
        <w:t>ист2</w:t>
      </w:r>
      <w:r>
        <w:rPr>
          <w:sz w:val="28"/>
          <w:szCs w:val="28"/>
        </w:rPr>
        <w:t>), (руб.) (4)</w:t>
      </w:r>
    </w:p>
    <w:p w14:paraId="3930E5A6" w14:textId="77777777" w:rsidR="00F95501" w:rsidRDefault="00F95501" w:rsidP="00F95501">
      <w:pPr>
        <w:autoSpaceDE w:val="0"/>
        <w:autoSpaceDN w:val="0"/>
        <w:adjustRightInd w:val="0"/>
        <w:jc w:val="both"/>
        <w:rPr>
          <w:sz w:val="28"/>
          <w:szCs w:val="28"/>
        </w:rPr>
      </w:pPr>
    </w:p>
    <w:p w14:paraId="23E6ED8B" w14:textId="77777777" w:rsidR="00F95501" w:rsidRDefault="00F95501" w:rsidP="00F95501">
      <w:pPr>
        <w:autoSpaceDE w:val="0"/>
        <w:autoSpaceDN w:val="0"/>
        <w:adjustRightInd w:val="0"/>
        <w:ind w:firstLine="540"/>
        <w:jc w:val="both"/>
        <w:rPr>
          <w:sz w:val="28"/>
          <w:szCs w:val="28"/>
        </w:rPr>
      </w:pPr>
      <w:r>
        <w:rPr>
          <w:sz w:val="28"/>
          <w:szCs w:val="28"/>
        </w:rPr>
        <w:t>где:</w:t>
      </w:r>
    </w:p>
    <w:p w14:paraId="6D33B7F9" w14:textId="77777777" w:rsidR="00F95501" w:rsidRDefault="00F95501" w:rsidP="00F95501">
      <w:pPr>
        <w:autoSpaceDE w:val="0"/>
        <w:autoSpaceDN w:val="0"/>
        <w:adjustRightInd w:val="0"/>
        <w:ind w:firstLine="539"/>
        <w:jc w:val="both"/>
        <w:rPr>
          <w:sz w:val="28"/>
          <w:szCs w:val="28"/>
        </w:rPr>
      </w:pPr>
      <w:r w:rsidRPr="007C1D22">
        <w:rPr>
          <w:i/>
          <w:sz w:val="28"/>
          <w:szCs w:val="28"/>
        </w:rPr>
        <w:t>Р</w:t>
      </w:r>
      <w:r>
        <w:rPr>
          <w:sz w:val="28"/>
          <w:szCs w:val="28"/>
        </w:rPr>
        <w:t xml:space="preserve"> - расходы на технологическое присоединение, связанные с проведением мероприятий, указанных в пункте 16 Методических указаний, за исключением указанных в подпункте «б» (руб.);</w:t>
      </w:r>
    </w:p>
    <w:p w14:paraId="7425BA6C" w14:textId="77777777" w:rsidR="00F95501" w:rsidRDefault="00F95501" w:rsidP="00F95501">
      <w:pPr>
        <w:autoSpaceDE w:val="0"/>
        <w:autoSpaceDN w:val="0"/>
        <w:adjustRightInd w:val="0"/>
        <w:ind w:firstLine="539"/>
        <w:jc w:val="both"/>
        <w:rPr>
          <w:sz w:val="28"/>
          <w:szCs w:val="28"/>
        </w:rPr>
      </w:pPr>
      <w:r w:rsidRPr="007C1D22">
        <w:rPr>
          <w:i/>
          <w:sz w:val="28"/>
          <w:szCs w:val="28"/>
        </w:rPr>
        <w:t>Р</w:t>
      </w:r>
      <w:r w:rsidRPr="000415C7">
        <w:rPr>
          <w:i/>
          <w:sz w:val="28"/>
          <w:szCs w:val="28"/>
          <w:vertAlign w:val="subscript"/>
        </w:rPr>
        <w:t>ист1</w:t>
      </w:r>
      <w:r>
        <w:rPr>
          <w:sz w:val="28"/>
          <w:szCs w:val="28"/>
        </w:rPr>
        <w:t xml:space="preserve"> - расходы на выполнение мероприятий, предусмотренных подпунктом «б» пункта 16 Методических указаний, осуществляемых для конкретного присоединения в зависимости от способа присоединения и уровня запрашиваемого напряжения на основании выданных сетевой организацией технических условий, определяемые по первому независимому источнику энергоснабжения в соответствии с Главой </w:t>
      </w:r>
      <w:r>
        <w:rPr>
          <w:sz w:val="28"/>
          <w:szCs w:val="28"/>
          <w:lang w:val="en-US"/>
        </w:rPr>
        <w:t>II</w:t>
      </w:r>
      <w:r>
        <w:rPr>
          <w:sz w:val="28"/>
          <w:szCs w:val="28"/>
        </w:rPr>
        <w:t xml:space="preserve">, Главой </w:t>
      </w:r>
      <w:r>
        <w:rPr>
          <w:sz w:val="28"/>
          <w:szCs w:val="28"/>
          <w:lang w:val="en-US"/>
        </w:rPr>
        <w:t>III</w:t>
      </w:r>
      <w:r>
        <w:rPr>
          <w:sz w:val="28"/>
          <w:szCs w:val="28"/>
        </w:rPr>
        <w:t xml:space="preserve"> Методических указаний (руб.);</w:t>
      </w:r>
    </w:p>
    <w:p w14:paraId="666DC1E2" w14:textId="77777777" w:rsidR="00F95501" w:rsidRDefault="00F95501" w:rsidP="00F95501">
      <w:pPr>
        <w:autoSpaceDE w:val="0"/>
        <w:autoSpaceDN w:val="0"/>
        <w:adjustRightInd w:val="0"/>
        <w:ind w:firstLine="539"/>
        <w:jc w:val="both"/>
        <w:rPr>
          <w:sz w:val="28"/>
          <w:szCs w:val="28"/>
        </w:rPr>
      </w:pPr>
      <w:r w:rsidRPr="007C1D22">
        <w:rPr>
          <w:i/>
          <w:sz w:val="28"/>
          <w:szCs w:val="28"/>
        </w:rPr>
        <w:t>Р</w:t>
      </w:r>
      <w:r w:rsidRPr="000415C7">
        <w:rPr>
          <w:i/>
          <w:sz w:val="28"/>
          <w:szCs w:val="28"/>
          <w:vertAlign w:val="subscript"/>
        </w:rPr>
        <w:t>ист2</w:t>
      </w:r>
      <w:r>
        <w:rPr>
          <w:sz w:val="28"/>
          <w:szCs w:val="28"/>
        </w:rPr>
        <w:t xml:space="preserve"> - расходы на выполнение мероприятий, предусмотренных подпунктом «б» пункта 16 Методических указаний, осуществляемых для конкретного присоединения в зависимости от способа присоединения и уровня запрашиваемого напряжения на основании выданных сетевой организацией технических условий, определяемые по второму независимому источнику энергоснабжения в соответствии с Главой </w:t>
      </w:r>
      <w:r>
        <w:rPr>
          <w:sz w:val="28"/>
          <w:szCs w:val="28"/>
          <w:lang w:val="en-US"/>
        </w:rPr>
        <w:t>II</w:t>
      </w:r>
      <w:r>
        <w:rPr>
          <w:sz w:val="28"/>
          <w:szCs w:val="28"/>
        </w:rPr>
        <w:t xml:space="preserve">, Главой </w:t>
      </w:r>
      <w:r>
        <w:rPr>
          <w:sz w:val="28"/>
          <w:szCs w:val="28"/>
          <w:lang w:val="en-US"/>
        </w:rPr>
        <w:t>III</w:t>
      </w:r>
      <w:r>
        <w:rPr>
          <w:sz w:val="28"/>
          <w:szCs w:val="28"/>
        </w:rPr>
        <w:t xml:space="preserve"> Методических указаний (руб.).</w:t>
      </w:r>
    </w:p>
    <w:p w14:paraId="1BB3F6A9" w14:textId="77777777" w:rsidR="00F95501" w:rsidRDefault="00F95501" w:rsidP="00F95501">
      <w:pPr>
        <w:autoSpaceDE w:val="0"/>
        <w:autoSpaceDN w:val="0"/>
        <w:adjustRightInd w:val="0"/>
        <w:ind w:firstLine="540"/>
        <w:jc w:val="both"/>
        <w:rPr>
          <w:sz w:val="28"/>
          <w:szCs w:val="28"/>
        </w:rPr>
      </w:pPr>
    </w:p>
    <w:p w14:paraId="55E20F22" w14:textId="77777777" w:rsidR="008F3544" w:rsidRDefault="008F3544" w:rsidP="008F3544">
      <w:pPr>
        <w:tabs>
          <w:tab w:val="left" w:pos="5580"/>
          <w:tab w:val="left" w:pos="9498"/>
        </w:tabs>
        <w:ind w:left="-3734" w:right="-569" w:firstLine="10255"/>
        <w:rPr>
          <w:color w:val="000000" w:themeColor="text1"/>
        </w:rPr>
      </w:pPr>
    </w:p>
    <w:p w14:paraId="66FD70E2" w14:textId="17004FCD" w:rsidR="008F3544" w:rsidRDefault="008F3544" w:rsidP="001E6CA3">
      <w:pPr>
        <w:tabs>
          <w:tab w:val="left" w:pos="5580"/>
          <w:tab w:val="left" w:pos="9498"/>
        </w:tabs>
        <w:ind w:right="-569"/>
        <w:rPr>
          <w:sz w:val="28"/>
          <w:szCs w:val="28"/>
        </w:rPr>
      </w:pPr>
    </w:p>
    <w:p w14:paraId="0202191C" w14:textId="2589EC0A" w:rsidR="00F95501" w:rsidRDefault="00F95501" w:rsidP="001E6CA3">
      <w:pPr>
        <w:tabs>
          <w:tab w:val="left" w:pos="5580"/>
          <w:tab w:val="left" w:pos="9498"/>
        </w:tabs>
        <w:ind w:right="-569"/>
        <w:rPr>
          <w:sz w:val="28"/>
          <w:szCs w:val="28"/>
        </w:rPr>
      </w:pPr>
    </w:p>
    <w:p w14:paraId="3730FD33" w14:textId="6D6E5588" w:rsidR="00F95501" w:rsidRDefault="00F95501" w:rsidP="001E6CA3">
      <w:pPr>
        <w:tabs>
          <w:tab w:val="left" w:pos="5580"/>
          <w:tab w:val="left" w:pos="9498"/>
        </w:tabs>
        <w:ind w:right="-569"/>
        <w:rPr>
          <w:sz w:val="28"/>
          <w:szCs w:val="28"/>
        </w:rPr>
      </w:pPr>
    </w:p>
    <w:p w14:paraId="3CD4319A" w14:textId="337FA9B4" w:rsidR="00F95501" w:rsidRDefault="00F95501" w:rsidP="001E6CA3">
      <w:pPr>
        <w:tabs>
          <w:tab w:val="left" w:pos="5580"/>
          <w:tab w:val="left" w:pos="9498"/>
        </w:tabs>
        <w:ind w:right="-569"/>
        <w:rPr>
          <w:sz w:val="28"/>
          <w:szCs w:val="28"/>
        </w:rPr>
      </w:pPr>
    </w:p>
    <w:p w14:paraId="439E202E" w14:textId="24454A9F" w:rsidR="00F95501" w:rsidRDefault="00F95501" w:rsidP="001E6CA3">
      <w:pPr>
        <w:tabs>
          <w:tab w:val="left" w:pos="5580"/>
          <w:tab w:val="left" w:pos="9498"/>
        </w:tabs>
        <w:ind w:right="-569"/>
        <w:rPr>
          <w:sz w:val="28"/>
          <w:szCs w:val="28"/>
        </w:rPr>
      </w:pPr>
    </w:p>
    <w:p w14:paraId="114C7B4C" w14:textId="3E22DBAA" w:rsidR="00F95501" w:rsidRDefault="00F95501" w:rsidP="001E6CA3">
      <w:pPr>
        <w:tabs>
          <w:tab w:val="left" w:pos="5580"/>
          <w:tab w:val="left" w:pos="9498"/>
        </w:tabs>
        <w:ind w:right="-569"/>
        <w:rPr>
          <w:sz w:val="28"/>
          <w:szCs w:val="28"/>
        </w:rPr>
      </w:pPr>
    </w:p>
    <w:p w14:paraId="5A51E66B" w14:textId="130172A9" w:rsidR="00F95501" w:rsidRDefault="00F95501" w:rsidP="001E6CA3">
      <w:pPr>
        <w:tabs>
          <w:tab w:val="left" w:pos="5580"/>
          <w:tab w:val="left" w:pos="9498"/>
        </w:tabs>
        <w:ind w:right="-569"/>
        <w:rPr>
          <w:sz w:val="28"/>
          <w:szCs w:val="28"/>
        </w:rPr>
      </w:pPr>
    </w:p>
    <w:p w14:paraId="3998846D" w14:textId="2B1D2AEE" w:rsidR="00F95501" w:rsidRDefault="00F95501" w:rsidP="001E6CA3">
      <w:pPr>
        <w:tabs>
          <w:tab w:val="left" w:pos="5580"/>
          <w:tab w:val="left" w:pos="9498"/>
        </w:tabs>
        <w:ind w:right="-569"/>
        <w:rPr>
          <w:sz w:val="28"/>
          <w:szCs w:val="28"/>
        </w:rPr>
      </w:pPr>
    </w:p>
    <w:p w14:paraId="1904C46E" w14:textId="66F06CE0" w:rsidR="00F95501" w:rsidRDefault="00F95501" w:rsidP="001E6CA3">
      <w:pPr>
        <w:tabs>
          <w:tab w:val="left" w:pos="5580"/>
          <w:tab w:val="left" w:pos="9498"/>
        </w:tabs>
        <w:ind w:right="-569"/>
        <w:rPr>
          <w:sz w:val="28"/>
          <w:szCs w:val="28"/>
        </w:rPr>
      </w:pPr>
    </w:p>
    <w:p w14:paraId="308DC111" w14:textId="49346E09" w:rsidR="00F95501" w:rsidRDefault="00F95501" w:rsidP="001E6CA3">
      <w:pPr>
        <w:tabs>
          <w:tab w:val="left" w:pos="5580"/>
          <w:tab w:val="left" w:pos="9498"/>
        </w:tabs>
        <w:ind w:right="-569"/>
        <w:rPr>
          <w:sz w:val="28"/>
          <w:szCs w:val="28"/>
        </w:rPr>
      </w:pPr>
    </w:p>
    <w:p w14:paraId="7B6E2655" w14:textId="4BC18DA1" w:rsidR="00F95501" w:rsidRDefault="00F95501" w:rsidP="001E6CA3">
      <w:pPr>
        <w:tabs>
          <w:tab w:val="left" w:pos="5580"/>
          <w:tab w:val="left" w:pos="9498"/>
        </w:tabs>
        <w:ind w:right="-569"/>
        <w:rPr>
          <w:sz w:val="28"/>
          <w:szCs w:val="28"/>
        </w:rPr>
      </w:pPr>
    </w:p>
    <w:p w14:paraId="5B6331FA" w14:textId="07813185" w:rsidR="00F95501" w:rsidRDefault="00F95501" w:rsidP="001E6CA3">
      <w:pPr>
        <w:tabs>
          <w:tab w:val="left" w:pos="5580"/>
          <w:tab w:val="left" w:pos="9498"/>
        </w:tabs>
        <w:ind w:right="-569"/>
        <w:rPr>
          <w:sz w:val="28"/>
          <w:szCs w:val="28"/>
        </w:rPr>
      </w:pPr>
    </w:p>
    <w:p w14:paraId="02556BCD" w14:textId="22153898" w:rsidR="00F95501" w:rsidRDefault="00F95501" w:rsidP="001E6CA3">
      <w:pPr>
        <w:tabs>
          <w:tab w:val="left" w:pos="5580"/>
          <w:tab w:val="left" w:pos="9498"/>
        </w:tabs>
        <w:ind w:right="-569"/>
        <w:rPr>
          <w:sz w:val="28"/>
          <w:szCs w:val="28"/>
        </w:rPr>
      </w:pPr>
    </w:p>
    <w:p w14:paraId="2328DDA3" w14:textId="71CB8C74" w:rsidR="00F95501" w:rsidRDefault="00F95501" w:rsidP="001E6CA3">
      <w:pPr>
        <w:tabs>
          <w:tab w:val="left" w:pos="5580"/>
          <w:tab w:val="left" w:pos="9498"/>
        </w:tabs>
        <w:ind w:right="-569"/>
        <w:rPr>
          <w:sz w:val="28"/>
          <w:szCs w:val="28"/>
        </w:rPr>
      </w:pPr>
    </w:p>
    <w:p w14:paraId="28D840F8" w14:textId="0B412345" w:rsidR="00F95501" w:rsidRDefault="00F95501" w:rsidP="001E6CA3">
      <w:pPr>
        <w:tabs>
          <w:tab w:val="left" w:pos="5580"/>
          <w:tab w:val="left" w:pos="9498"/>
        </w:tabs>
        <w:ind w:right="-569"/>
        <w:rPr>
          <w:sz w:val="28"/>
          <w:szCs w:val="28"/>
        </w:rPr>
      </w:pPr>
    </w:p>
    <w:p w14:paraId="5CF2B1E1" w14:textId="659EFE32" w:rsidR="00F95501" w:rsidRDefault="00F95501" w:rsidP="001E6CA3">
      <w:pPr>
        <w:tabs>
          <w:tab w:val="left" w:pos="5580"/>
          <w:tab w:val="left" w:pos="9498"/>
        </w:tabs>
        <w:ind w:right="-569"/>
        <w:rPr>
          <w:sz w:val="28"/>
          <w:szCs w:val="28"/>
        </w:rPr>
      </w:pPr>
    </w:p>
    <w:p w14:paraId="1F8AAEDD" w14:textId="266320F0" w:rsidR="00F95501" w:rsidRDefault="00F95501" w:rsidP="001E6CA3">
      <w:pPr>
        <w:tabs>
          <w:tab w:val="left" w:pos="5580"/>
          <w:tab w:val="left" w:pos="9498"/>
        </w:tabs>
        <w:ind w:right="-569"/>
        <w:rPr>
          <w:sz w:val="28"/>
          <w:szCs w:val="28"/>
        </w:rPr>
      </w:pPr>
    </w:p>
    <w:p w14:paraId="43F36A0F" w14:textId="6C38973D" w:rsidR="00F95501" w:rsidRDefault="00F95501" w:rsidP="001E6CA3">
      <w:pPr>
        <w:tabs>
          <w:tab w:val="left" w:pos="5580"/>
          <w:tab w:val="left" w:pos="9498"/>
        </w:tabs>
        <w:ind w:right="-569"/>
        <w:rPr>
          <w:sz w:val="28"/>
          <w:szCs w:val="28"/>
        </w:rPr>
      </w:pPr>
    </w:p>
    <w:p w14:paraId="520EFE8A" w14:textId="2447C5E2" w:rsidR="00F95501" w:rsidRDefault="00F95501" w:rsidP="001E6CA3">
      <w:pPr>
        <w:tabs>
          <w:tab w:val="left" w:pos="5580"/>
          <w:tab w:val="left" w:pos="9498"/>
        </w:tabs>
        <w:ind w:right="-569"/>
        <w:rPr>
          <w:sz w:val="28"/>
          <w:szCs w:val="28"/>
        </w:rPr>
      </w:pPr>
    </w:p>
    <w:p w14:paraId="707F2918" w14:textId="59586E2F" w:rsidR="00F95501" w:rsidRDefault="00F95501" w:rsidP="001E6CA3">
      <w:pPr>
        <w:tabs>
          <w:tab w:val="left" w:pos="5580"/>
          <w:tab w:val="left" w:pos="9498"/>
        </w:tabs>
        <w:ind w:right="-569"/>
        <w:rPr>
          <w:sz w:val="28"/>
          <w:szCs w:val="28"/>
        </w:rPr>
      </w:pPr>
    </w:p>
    <w:p w14:paraId="3087F3A4" w14:textId="6A9AAA00" w:rsidR="00F95501" w:rsidRDefault="00F95501" w:rsidP="001E6CA3">
      <w:pPr>
        <w:tabs>
          <w:tab w:val="left" w:pos="5580"/>
          <w:tab w:val="left" w:pos="9498"/>
        </w:tabs>
        <w:ind w:right="-569"/>
        <w:rPr>
          <w:sz w:val="28"/>
          <w:szCs w:val="28"/>
        </w:rPr>
      </w:pPr>
    </w:p>
    <w:p w14:paraId="4A78B085" w14:textId="1318B516" w:rsidR="00F95501" w:rsidRDefault="00F95501" w:rsidP="001E6CA3">
      <w:pPr>
        <w:tabs>
          <w:tab w:val="left" w:pos="5580"/>
          <w:tab w:val="left" w:pos="9498"/>
        </w:tabs>
        <w:ind w:right="-569"/>
        <w:rPr>
          <w:sz w:val="28"/>
          <w:szCs w:val="28"/>
        </w:rPr>
      </w:pPr>
    </w:p>
    <w:p w14:paraId="35E7CD82" w14:textId="18C3B6C4" w:rsidR="00F95501" w:rsidRDefault="00F95501" w:rsidP="001E6CA3">
      <w:pPr>
        <w:tabs>
          <w:tab w:val="left" w:pos="5580"/>
          <w:tab w:val="left" w:pos="9498"/>
        </w:tabs>
        <w:ind w:right="-569"/>
        <w:rPr>
          <w:sz w:val="28"/>
          <w:szCs w:val="28"/>
        </w:rPr>
      </w:pPr>
    </w:p>
    <w:p w14:paraId="27473C12" w14:textId="72D84139" w:rsidR="00F95501" w:rsidRDefault="00F95501" w:rsidP="001E6CA3">
      <w:pPr>
        <w:tabs>
          <w:tab w:val="left" w:pos="5580"/>
          <w:tab w:val="left" w:pos="9498"/>
        </w:tabs>
        <w:ind w:right="-569"/>
        <w:rPr>
          <w:sz w:val="28"/>
          <w:szCs w:val="28"/>
        </w:rPr>
      </w:pPr>
    </w:p>
    <w:p w14:paraId="6D4B1ADF" w14:textId="7552BDE4" w:rsidR="00F95501" w:rsidRDefault="00F95501" w:rsidP="001E6CA3">
      <w:pPr>
        <w:tabs>
          <w:tab w:val="left" w:pos="5580"/>
          <w:tab w:val="left" w:pos="9498"/>
        </w:tabs>
        <w:ind w:right="-569"/>
        <w:rPr>
          <w:sz w:val="28"/>
          <w:szCs w:val="28"/>
        </w:rPr>
      </w:pPr>
    </w:p>
    <w:p w14:paraId="024BCECA" w14:textId="3148D1B5" w:rsidR="00F95501" w:rsidRDefault="00F95501" w:rsidP="001E6CA3">
      <w:pPr>
        <w:tabs>
          <w:tab w:val="left" w:pos="5580"/>
          <w:tab w:val="left" w:pos="9498"/>
        </w:tabs>
        <w:ind w:right="-569"/>
        <w:rPr>
          <w:sz w:val="28"/>
          <w:szCs w:val="28"/>
        </w:rPr>
      </w:pPr>
    </w:p>
    <w:p w14:paraId="51A1DAAE" w14:textId="494F3275" w:rsidR="00F95501" w:rsidRDefault="00F95501" w:rsidP="001E6CA3">
      <w:pPr>
        <w:tabs>
          <w:tab w:val="left" w:pos="5580"/>
          <w:tab w:val="left" w:pos="9498"/>
        </w:tabs>
        <w:ind w:right="-569"/>
        <w:rPr>
          <w:sz w:val="28"/>
          <w:szCs w:val="28"/>
        </w:rPr>
      </w:pPr>
    </w:p>
    <w:p w14:paraId="7E4F85E5" w14:textId="4BD0A8C3" w:rsidR="00F95501" w:rsidRDefault="00F95501" w:rsidP="001E6CA3">
      <w:pPr>
        <w:tabs>
          <w:tab w:val="left" w:pos="5580"/>
          <w:tab w:val="left" w:pos="9498"/>
        </w:tabs>
        <w:ind w:right="-569"/>
        <w:rPr>
          <w:sz w:val="28"/>
          <w:szCs w:val="28"/>
        </w:rPr>
      </w:pPr>
    </w:p>
    <w:p w14:paraId="1EE7235F" w14:textId="2444C7E2" w:rsidR="00F95501" w:rsidRDefault="00F95501" w:rsidP="001E6CA3">
      <w:pPr>
        <w:tabs>
          <w:tab w:val="left" w:pos="5580"/>
          <w:tab w:val="left" w:pos="9498"/>
        </w:tabs>
        <w:ind w:right="-569"/>
        <w:rPr>
          <w:sz w:val="28"/>
          <w:szCs w:val="28"/>
        </w:rPr>
      </w:pPr>
    </w:p>
    <w:p w14:paraId="7DB4F0CE" w14:textId="21870886" w:rsidR="00F95501" w:rsidRDefault="00F95501" w:rsidP="001E6CA3">
      <w:pPr>
        <w:tabs>
          <w:tab w:val="left" w:pos="5580"/>
          <w:tab w:val="left" w:pos="9498"/>
        </w:tabs>
        <w:ind w:right="-569"/>
        <w:rPr>
          <w:sz w:val="28"/>
          <w:szCs w:val="28"/>
        </w:rPr>
      </w:pPr>
    </w:p>
    <w:p w14:paraId="545EAF8E" w14:textId="4F81C13D" w:rsidR="00F95501" w:rsidRDefault="00F95501" w:rsidP="001E6CA3">
      <w:pPr>
        <w:tabs>
          <w:tab w:val="left" w:pos="5580"/>
          <w:tab w:val="left" w:pos="9498"/>
        </w:tabs>
        <w:ind w:right="-569"/>
        <w:rPr>
          <w:sz w:val="28"/>
          <w:szCs w:val="28"/>
        </w:rPr>
      </w:pPr>
    </w:p>
    <w:p w14:paraId="3FDF1528" w14:textId="6C3B6AC2" w:rsidR="00F95501" w:rsidRDefault="00F95501" w:rsidP="001E6CA3">
      <w:pPr>
        <w:tabs>
          <w:tab w:val="left" w:pos="5580"/>
          <w:tab w:val="left" w:pos="9498"/>
        </w:tabs>
        <w:ind w:right="-569"/>
        <w:rPr>
          <w:sz w:val="28"/>
          <w:szCs w:val="28"/>
        </w:rPr>
      </w:pPr>
    </w:p>
    <w:p w14:paraId="3E7B7C67" w14:textId="226052DD" w:rsidR="00F95501" w:rsidRDefault="00F95501" w:rsidP="001E6CA3">
      <w:pPr>
        <w:tabs>
          <w:tab w:val="left" w:pos="5580"/>
          <w:tab w:val="left" w:pos="9498"/>
        </w:tabs>
        <w:ind w:right="-569"/>
        <w:rPr>
          <w:sz w:val="28"/>
          <w:szCs w:val="28"/>
        </w:rPr>
      </w:pPr>
    </w:p>
    <w:p w14:paraId="64579AC9" w14:textId="0FD9FB32" w:rsidR="00F95501" w:rsidRDefault="00F95501" w:rsidP="001E6CA3">
      <w:pPr>
        <w:tabs>
          <w:tab w:val="left" w:pos="5580"/>
          <w:tab w:val="left" w:pos="9498"/>
        </w:tabs>
        <w:ind w:right="-569"/>
        <w:rPr>
          <w:sz w:val="28"/>
          <w:szCs w:val="28"/>
        </w:rPr>
      </w:pPr>
    </w:p>
    <w:p w14:paraId="38866F67" w14:textId="186C8BC7" w:rsidR="00F95501" w:rsidRDefault="00F95501" w:rsidP="001E6CA3">
      <w:pPr>
        <w:tabs>
          <w:tab w:val="left" w:pos="5580"/>
          <w:tab w:val="left" w:pos="9498"/>
        </w:tabs>
        <w:ind w:right="-569"/>
        <w:rPr>
          <w:sz w:val="28"/>
          <w:szCs w:val="28"/>
        </w:rPr>
      </w:pPr>
    </w:p>
    <w:p w14:paraId="173AFE1A" w14:textId="4D32F6BF" w:rsidR="00F95501" w:rsidRDefault="00F95501" w:rsidP="001E6CA3">
      <w:pPr>
        <w:tabs>
          <w:tab w:val="left" w:pos="5580"/>
          <w:tab w:val="left" w:pos="9498"/>
        </w:tabs>
        <w:ind w:right="-569"/>
        <w:rPr>
          <w:sz w:val="28"/>
          <w:szCs w:val="28"/>
        </w:rPr>
      </w:pPr>
    </w:p>
    <w:p w14:paraId="3730EC48" w14:textId="6AE55966" w:rsidR="00F95501" w:rsidRDefault="00F95501" w:rsidP="001E6CA3">
      <w:pPr>
        <w:tabs>
          <w:tab w:val="left" w:pos="5580"/>
          <w:tab w:val="left" w:pos="9498"/>
        </w:tabs>
        <w:ind w:right="-569"/>
        <w:rPr>
          <w:sz w:val="28"/>
          <w:szCs w:val="28"/>
        </w:rPr>
      </w:pPr>
    </w:p>
    <w:p w14:paraId="7BA396B0" w14:textId="4DD8C8DC" w:rsidR="00F95501" w:rsidRDefault="00F95501" w:rsidP="001E6CA3">
      <w:pPr>
        <w:tabs>
          <w:tab w:val="left" w:pos="5580"/>
          <w:tab w:val="left" w:pos="9498"/>
        </w:tabs>
        <w:ind w:right="-569"/>
        <w:rPr>
          <w:sz w:val="28"/>
          <w:szCs w:val="28"/>
        </w:rPr>
      </w:pPr>
    </w:p>
    <w:p w14:paraId="2BDCF210" w14:textId="39619768" w:rsidR="00F95501" w:rsidRPr="00081AD4" w:rsidRDefault="00F95501" w:rsidP="00F95501">
      <w:pPr>
        <w:tabs>
          <w:tab w:val="left" w:pos="5580"/>
          <w:tab w:val="left" w:pos="9498"/>
        </w:tabs>
        <w:ind w:left="-3734" w:right="-569" w:firstLine="10255"/>
        <w:rPr>
          <w:color w:val="000000" w:themeColor="text1"/>
        </w:rPr>
      </w:pPr>
      <w:r w:rsidRPr="00081AD4">
        <w:rPr>
          <w:color w:val="000000" w:themeColor="text1"/>
        </w:rPr>
        <w:t xml:space="preserve">Приложение № </w:t>
      </w:r>
      <w:r>
        <w:rPr>
          <w:color w:val="000000" w:themeColor="text1"/>
        </w:rPr>
        <w:t>8 к протоколу</w:t>
      </w:r>
      <w:r w:rsidRPr="00081AD4">
        <w:rPr>
          <w:color w:val="000000" w:themeColor="text1"/>
        </w:rPr>
        <w:t xml:space="preserve"> № </w:t>
      </w:r>
      <w:r>
        <w:rPr>
          <w:color w:val="000000" w:themeColor="text1"/>
        </w:rPr>
        <w:t>88</w:t>
      </w:r>
    </w:p>
    <w:p w14:paraId="563F229B" w14:textId="77777777" w:rsidR="00F95501" w:rsidRPr="00081AD4" w:rsidRDefault="00F95501" w:rsidP="00F95501">
      <w:pPr>
        <w:tabs>
          <w:tab w:val="left" w:pos="5580"/>
          <w:tab w:val="left" w:pos="9498"/>
        </w:tabs>
        <w:ind w:left="-3734" w:right="-569" w:firstLine="10255"/>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4F1F897F" w14:textId="77777777" w:rsidR="00F95501" w:rsidRPr="00081AD4" w:rsidRDefault="00F95501" w:rsidP="00F95501">
      <w:pPr>
        <w:tabs>
          <w:tab w:val="left" w:pos="5580"/>
          <w:tab w:val="left" w:pos="9498"/>
        </w:tabs>
        <w:ind w:left="-3734" w:right="-569" w:firstLine="10255"/>
        <w:rPr>
          <w:color w:val="000000" w:themeColor="text1"/>
        </w:rPr>
      </w:pPr>
      <w:r w:rsidRPr="00081AD4">
        <w:rPr>
          <w:color w:val="000000" w:themeColor="text1"/>
        </w:rPr>
        <w:t>энергетической комиссии</w:t>
      </w:r>
    </w:p>
    <w:p w14:paraId="07EAAA47" w14:textId="6FFA3B08" w:rsidR="00F95501" w:rsidRDefault="00F95501" w:rsidP="00F95501">
      <w:pPr>
        <w:tabs>
          <w:tab w:val="left" w:pos="5580"/>
          <w:tab w:val="left" w:pos="9498"/>
        </w:tabs>
        <w:ind w:left="-3734" w:right="-569" w:firstLine="10255"/>
        <w:rPr>
          <w:color w:val="000000" w:themeColor="text1"/>
        </w:rPr>
      </w:pPr>
      <w:r w:rsidRPr="00081AD4">
        <w:rPr>
          <w:color w:val="000000" w:themeColor="text1"/>
        </w:rPr>
        <w:t xml:space="preserve">Кузбасса от </w:t>
      </w:r>
      <w:r>
        <w:rPr>
          <w:color w:val="000000" w:themeColor="text1"/>
        </w:rPr>
        <w:t>23</w:t>
      </w:r>
      <w:r w:rsidRPr="00081AD4">
        <w:rPr>
          <w:color w:val="000000" w:themeColor="text1"/>
        </w:rPr>
        <w:t>.</w:t>
      </w:r>
      <w:r>
        <w:rPr>
          <w:color w:val="000000" w:themeColor="text1"/>
        </w:rPr>
        <w:t>12</w:t>
      </w:r>
      <w:r w:rsidRPr="00081AD4">
        <w:rPr>
          <w:color w:val="000000" w:themeColor="text1"/>
        </w:rPr>
        <w:t>.202</w:t>
      </w:r>
      <w:r>
        <w:rPr>
          <w:color w:val="000000" w:themeColor="text1"/>
        </w:rPr>
        <w:t>1</w:t>
      </w:r>
    </w:p>
    <w:p w14:paraId="6DB7A255" w14:textId="38DB7D9B" w:rsidR="00F95501" w:rsidRDefault="00F95501" w:rsidP="00F95501">
      <w:pPr>
        <w:tabs>
          <w:tab w:val="left" w:pos="5580"/>
          <w:tab w:val="left" w:pos="9498"/>
        </w:tabs>
        <w:ind w:left="-3734" w:right="-569" w:firstLine="10255"/>
        <w:rPr>
          <w:color w:val="000000" w:themeColor="text1"/>
        </w:rPr>
      </w:pPr>
    </w:p>
    <w:p w14:paraId="576E7E58" w14:textId="44F1EA68" w:rsidR="00F95501" w:rsidRDefault="00F95501" w:rsidP="00F95501">
      <w:pPr>
        <w:tabs>
          <w:tab w:val="left" w:pos="5580"/>
          <w:tab w:val="left" w:pos="9498"/>
        </w:tabs>
        <w:ind w:left="-3734" w:right="-569" w:firstLine="10255"/>
        <w:rPr>
          <w:color w:val="000000" w:themeColor="text1"/>
        </w:rPr>
      </w:pPr>
    </w:p>
    <w:p w14:paraId="416C79F0" w14:textId="77777777" w:rsidR="00F95501" w:rsidRDefault="00F95501" w:rsidP="00F95501">
      <w:pPr>
        <w:jc w:val="center"/>
        <w:rPr>
          <w:b/>
          <w:sz w:val="28"/>
          <w:szCs w:val="28"/>
        </w:rPr>
      </w:pPr>
      <w:r w:rsidRPr="00646844">
        <w:rPr>
          <w:b/>
          <w:sz w:val="28"/>
          <w:szCs w:val="28"/>
        </w:rPr>
        <w:t xml:space="preserve">Выпадающие доходы территориальных сетевых организаций </w:t>
      </w:r>
    </w:p>
    <w:p w14:paraId="798ED156" w14:textId="77777777" w:rsidR="00F95501" w:rsidRDefault="00F95501" w:rsidP="00F95501">
      <w:pPr>
        <w:jc w:val="center"/>
        <w:rPr>
          <w:b/>
          <w:sz w:val="28"/>
          <w:szCs w:val="28"/>
        </w:rPr>
      </w:pPr>
      <w:r w:rsidRPr="00646844">
        <w:rPr>
          <w:b/>
          <w:sz w:val="28"/>
          <w:szCs w:val="28"/>
        </w:rPr>
        <w:t>Кемеровской области</w:t>
      </w:r>
      <w:r>
        <w:rPr>
          <w:b/>
          <w:sz w:val="28"/>
          <w:szCs w:val="28"/>
        </w:rPr>
        <w:t>-Кузбасса</w:t>
      </w:r>
      <w:r w:rsidRPr="00646844">
        <w:rPr>
          <w:b/>
          <w:sz w:val="28"/>
          <w:szCs w:val="28"/>
        </w:rPr>
        <w:t xml:space="preserve"> по технологическому присоединению заявителей в целях тех</w:t>
      </w:r>
      <w:r w:rsidRPr="00646844">
        <w:rPr>
          <w:rFonts w:eastAsiaTheme="minorHAnsi"/>
          <w:b/>
          <w:sz w:val="28"/>
          <w:szCs w:val="28"/>
        </w:rPr>
        <w:t xml:space="preserve">нологического присоединения энергопринимающих устройств максимальной мощностью не более </w:t>
      </w:r>
      <w:r w:rsidRPr="00646844">
        <w:rPr>
          <w:b/>
          <w:sz w:val="28"/>
          <w:szCs w:val="28"/>
        </w:rPr>
        <w:t xml:space="preserve">15 кВт включительно </w:t>
      </w:r>
    </w:p>
    <w:p w14:paraId="7701D8AF" w14:textId="77777777" w:rsidR="00F95501" w:rsidRDefault="00F95501" w:rsidP="00F95501">
      <w:pPr>
        <w:jc w:val="center"/>
        <w:rPr>
          <w:rFonts w:eastAsiaTheme="minorHAnsi"/>
          <w:b/>
          <w:sz w:val="28"/>
          <w:szCs w:val="28"/>
        </w:rPr>
      </w:pPr>
      <w:r w:rsidRPr="00646844">
        <w:rPr>
          <w:b/>
          <w:sz w:val="28"/>
          <w:szCs w:val="28"/>
        </w:rPr>
        <w:t>на 20</w:t>
      </w:r>
      <w:r>
        <w:rPr>
          <w:b/>
          <w:sz w:val="28"/>
          <w:szCs w:val="28"/>
        </w:rPr>
        <w:t>22</w:t>
      </w:r>
      <w:r w:rsidRPr="00646844">
        <w:rPr>
          <w:b/>
          <w:sz w:val="28"/>
          <w:szCs w:val="28"/>
        </w:rPr>
        <w:t xml:space="preserve"> </w:t>
      </w:r>
      <w:r w:rsidRPr="00646844">
        <w:rPr>
          <w:rFonts w:eastAsiaTheme="minorHAnsi"/>
          <w:b/>
          <w:sz w:val="28"/>
          <w:szCs w:val="28"/>
        </w:rPr>
        <w:t>год</w:t>
      </w:r>
    </w:p>
    <w:p w14:paraId="1CE2A8F0" w14:textId="77777777" w:rsidR="00F95501" w:rsidRDefault="00F95501" w:rsidP="00F95501">
      <w:pPr>
        <w:jc w:val="center"/>
        <w:rPr>
          <w:b/>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6633"/>
        <w:gridCol w:w="2552"/>
      </w:tblGrid>
      <w:tr w:rsidR="00F95501" w:rsidRPr="00DE469F" w14:paraId="2BA0C55C" w14:textId="77777777" w:rsidTr="0099088D">
        <w:trPr>
          <w:trHeight w:val="813"/>
        </w:trPr>
        <w:tc>
          <w:tcPr>
            <w:tcW w:w="846" w:type="dxa"/>
            <w:shd w:val="clear" w:color="auto" w:fill="auto"/>
            <w:vAlign w:val="center"/>
          </w:tcPr>
          <w:p w14:paraId="3E77C04D" w14:textId="77777777" w:rsidR="00F95501" w:rsidRPr="00DE469F" w:rsidRDefault="00F95501" w:rsidP="0099088D">
            <w:pPr>
              <w:jc w:val="center"/>
            </w:pPr>
            <w:r w:rsidRPr="00DE469F">
              <w:t>№</w:t>
            </w:r>
          </w:p>
          <w:p w14:paraId="13191DE5" w14:textId="77777777" w:rsidR="00F95501" w:rsidRPr="00DE469F" w:rsidRDefault="00F95501" w:rsidP="0099088D">
            <w:pPr>
              <w:jc w:val="center"/>
            </w:pPr>
            <w:r w:rsidRPr="00DE469F">
              <w:t>п/п</w:t>
            </w:r>
          </w:p>
        </w:tc>
        <w:tc>
          <w:tcPr>
            <w:tcW w:w="6633" w:type="dxa"/>
            <w:shd w:val="clear" w:color="auto" w:fill="auto"/>
            <w:vAlign w:val="center"/>
          </w:tcPr>
          <w:p w14:paraId="459C9E73" w14:textId="77777777" w:rsidR="00F95501" w:rsidRPr="00DE469F" w:rsidRDefault="00F95501" w:rsidP="0099088D">
            <w:pPr>
              <w:jc w:val="center"/>
            </w:pPr>
            <w:r w:rsidRPr="00DE469F">
              <w:t>Территориальная сетевая организация</w:t>
            </w:r>
          </w:p>
        </w:tc>
        <w:tc>
          <w:tcPr>
            <w:tcW w:w="2552" w:type="dxa"/>
            <w:shd w:val="clear" w:color="auto" w:fill="auto"/>
            <w:vAlign w:val="center"/>
          </w:tcPr>
          <w:p w14:paraId="24778DD3" w14:textId="77777777" w:rsidR="00F95501" w:rsidRPr="00DE469F" w:rsidRDefault="00F95501" w:rsidP="0099088D">
            <w:pPr>
              <w:jc w:val="center"/>
            </w:pPr>
            <w:r w:rsidRPr="00DE469F">
              <w:t xml:space="preserve">Выпадающие доходы, </w:t>
            </w:r>
          </w:p>
          <w:p w14:paraId="1988AEA6" w14:textId="77777777" w:rsidR="00F95501" w:rsidRPr="00DE469F" w:rsidRDefault="00F95501" w:rsidP="0099088D">
            <w:pPr>
              <w:jc w:val="center"/>
            </w:pPr>
            <w:r w:rsidRPr="00DE469F">
              <w:t>тыс. руб.</w:t>
            </w:r>
          </w:p>
        </w:tc>
      </w:tr>
      <w:tr w:rsidR="00F95501" w:rsidRPr="00DE469F" w14:paraId="45B6E035" w14:textId="77777777" w:rsidTr="0099088D">
        <w:trPr>
          <w:trHeight w:hRule="exact" w:val="433"/>
        </w:trPr>
        <w:tc>
          <w:tcPr>
            <w:tcW w:w="846" w:type="dxa"/>
            <w:shd w:val="clear" w:color="auto" w:fill="auto"/>
            <w:vAlign w:val="center"/>
          </w:tcPr>
          <w:p w14:paraId="51C036F5" w14:textId="77777777" w:rsidR="00F95501" w:rsidRPr="00DE469F" w:rsidRDefault="00F95501" w:rsidP="00F95501">
            <w:pPr>
              <w:numPr>
                <w:ilvl w:val="0"/>
                <w:numId w:val="6"/>
              </w:numPr>
              <w:ind w:left="0" w:hanging="357"/>
              <w:contextualSpacing/>
              <w:jc w:val="right"/>
            </w:pPr>
          </w:p>
        </w:tc>
        <w:tc>
          <w:tcPr>
            <w:tcW w:w="6633" w:type="dxa"/>
            <w:shd w:val="clear" w:color="auto" w:fill="auto"/>
            <w:vAlign w:val="center"/>
          </w:tcPr>
          <w:p w14:paraId="56093B5B" w14:textId="77777777" w:rsidR="00F95501" w:rsidRPr="00DE469F" w:rsidRDefault="00F95501" w:rsidP="0099088D">
            <w:pPr>
              <w:autoSpaceDE w:val="0"/>
              <w:autoSpaceDN w:val="0"/>
              <w:adjustRightInd w:val="0"/>
            </w:pPr>
            <w:r w:rsidRPr="00DE469F">
              <w:rPr>
                <w:color w:val="000000"/>
              </w:rPr>
              <w:t>ООО «Горэлектросеть» (ИНН 4217127144)</w:t>
            </w:r>
          </w:p>
        </w:tc>
        <w:tc>
          <w:tcPr>
            <w:tcW w:w="2552" w:type="dxa"/>
            <w:shd w:val="clear" w:color="auto" w:fill="auto"/>
            <w:vAlign w:val="center"/>
          </w:tcPr>
          <w:p w14:paraId="3B36F08B" w14:textId="77777777" w:rsidR="00F95501" w:rsidRPr="00DE469F" w:rsidRDefault="00F95501" w:rsidP="0099088D">
            <w:pPr>
              <w:jc w:val="center"/>
            </w:pPr>
            <w:r w:rsidRPr="00042699">
              <w:t>4</w:t>
            </w:r>
            <w:r>
              <w:t xml:space="preserve"> </w:t>
            </w:r>
            <w:r w:rsidRPr="00042699">
              <w:t>813,50</w:t>
            </w:r>
          </w:p>
        </w:tc>
      </w:tr>
      <w:tr w:rsidR="00F95501" w:rsidRPr="00DE469F" w14:paraId="49897522" w14:textId="77777777" w:rsidTr="0099088D">
        <w:trPr>
          <w:trHeight w:hRule="exact" w:val="425"/>
        </w:trPr>
        <w:tc>
          <w:tcPr>
            <w:tcW w:w="846" w:type="dxa"/>
            <w:shd w:val="clear" w:color="auto" w:fill="auto"/>
            <w:vAlign w:val="center"/>
          </w:tcPr>
          <w:p w14:paraId="13C437AF" w14:textId="77777777" w:rsidR="00F95501" w:rsidRPr="00DE469F" w:rsidRDefault="00F95501" w:rsidP="00F95501">
            <w:pPr>
              <w:numPr>
                <w:ilvl w:val="0"/>
                <w:numId w:val="6"/>
              </w:numPr>
              <w:ind w:left="0" w:hanging="357"/>
              <w:contextualSpacing/>
              <w:jc w:val="right"/>
            </w:pPr>
          </w:p>
        </w:tc>
        <w:tc>
          <w:tcPr>
            <w:tcW w:w="6633" w:type="dxa"/>
            <w:shd w:val="clear" w:color="auto" w:fill="auto"/>
            <w:vAlign w:val="center"/>
          </w:tcPr>
          <w:p w14:paraId="6998F3A9" w14:textId="77777777" w:rsidR="00F95501" w:rsidRPr="00DE469F" w:rsidRDefault="00F95501" w:rsidP="0099088D">
            <w:r w:rsidRPr="00DE469F">
              <w:rPr>
                <w:color w:val="000000"/>
              </w:rPr>
              <w:t>ООО «ЕвразЭнергоТранс» (ИНН 4217084532)</w:t>
            </w:r>
          </w:p>
        </w:tc>
        <w:tc>
          <w:tcPr>
            <w:tcW w:w="2552" w:type="dxa"/>
            <w:shd w:val="clear" w:color="auto" w:fill="auto"/>
            <w:vAlign w:val="center"/>
          </w:tcPr>
          <w:p w14:paraId="2BC8985A" w14:textId="77777777" w:rsidR="00F95501" w:rsidRPr="00DE469F" w:rsidRDefault="00F95501" w:rsidP="0099088D">
            <w:pPr>
              <w:jc w:val="center"/>
            </w:pPr>
            <w:r w:rsidRPr="00042699">
              <w:t>-4,98</w:t>
            </w:r>
          </w:p>
        </w:tc>
      </w:tr>
      <w:tr w:rsidR="00F95501" w:rsidRPr="00DE469F" w14:paraId="4114EC8E" w14:textId="77777777" w:rsidTr="0099088D">
        <w:trPr>
          <w:trHeight w:hRule="exact" w:val="567"/>
        </w:trPr>
        <w:tc>
          <w:tcPr>
            <w:tcW w:w="846" w:type="dxa"/>
            <w:shd w:val="clear" w:color="auto" w:fill="auto"/>
            <w:vAlign w:val="center"/>
          </w:tcPr>
          <w:p w14:paraId="395F7B49" w14:textId="77777777" w:rsidR="00F95501" w:rsidRPr="00DE469F" w:rsidRDefault="00F95501" w:rsidP="00F95501">
            <w:pPr>
              <w:numPr>
                <w:ilvl w:val="0"/>
                <w:numId w:val="6"/>
              </w:numPr>
              <w:ind w:left="0" w:hanging="357"/>
              <w:contextualSpacing/>
              <w:jc w:val="right"/>
            </w:pPr>
          </w:p>
        </w:tc>
        <w:tc>
          <w:tcPr>
            <w:tcW w:w="6633" w:type="dxa"/>
            <w:shd w:val="clear" w:color="auto" w:fill="auto"/>
            <w:vAlign w:val="center"/>
          </w:tcPr>
          <w:p w14:paraId="1F096282" w14:textId="77777777" w:rsidR="00F95501" w:rsidRPr="00DE469F" w:rsidRDefault="00F95501" w:rsidP="0099088D">
            <w:pPr>
              <w:autoSpaceDE w:val="0"/>
              <w:autoSpaceDN w:val="0"/>
              <w:adjustRightInd w:val="0"/>
            </w:pPr>
            <w:r w:rsidRPr="00DE469F">
              <w:t xml:space="preserve">ООО «Кузбасская энергосетевая компания» </w:t>
            </w:r>
          </w:p>
          <w:p w14:paraId="4614D78A" w14:textId="77777777" w:rsidR="00F95501" w:rsidRPr="00DE469F" w:rsidRDefault="00F95501" w:rsidP="0099088D">
            <w:pPr>
              <w:autoSpaceDE w:val="0"/>
              <w:autoSpaceDN w:val="0"/>
              <w:adjustRightInd w:val="0"/>
            </w:pPr>
            <w:r w:rsidRPr="00DE469F">
              <w:t>(ИНН 4205109750)</w:t>
            </w:r>
          </w:p>
        </w:tc>
        <w:tc>
          <w:tcPr>
            <w:tcW w:w="2552" w:type="dxa"/>
            <w:shd w:val="clear" w:color="auto" w:fill="auto"/>
            <w:vAlign w:val="center"/>
          </w:tcPr>
          <w:p w14:paraId="289D9975" w14:textId="77777777" w:rsidR="00F95501" w:rsidRPr="00DE469F" w:rsidRDefault="00F95501" w:rsidP="0099088D">
            <w:pPr>
              <w:jc w:val="center"/>
            </w:pPr>
            <w:r>
              <w:t>252 740,06</w:t>
            </w:r>
          </w:p>
        </w:tc>
      </w:tr>
      <w:tr w:rsidR="00F95501" w:rsidRPr="00DE469F" w14:paraId="4E7D8068" w14:textId="77777777" w:rsidTr="0099088D">
        <w:trPr>
          <w:trHeight w:hRule="exact" w:val="707"/>
        </w:trPr>
        <w:tc>
          <w:tcPr>
            <w:tcW w:w="846" w:type="dxa"/>
            <w:shd w:val="clear" w:color="auto" w:fill="auto"/>
            <w:vAlign w:val="center"/>
          </w:tcPr>
          <w:p w14:paraId="5AC3CF43" w14:textId="77777777" w:rsidR="00F95501" w:rsidRPr="00DE469F" w:rsidRDefault="00F95501" w:rsidP="00F95501">
            <w:pPr>
              <w:numPr>
                <w:ilvl w:val="0"/>
                <w:numId w:val="6"/>
              </w:numPr>
              <w:ind w:left="0" w:hanging="357"/>
              <w:contextualSpacing/>
              <w:jc w:val="right"/>
            </w:pPr>
          </w:p>
        </w:tc>
        <w:tc>
          <w:tcPr>
            <w:tcW w:w="6633" w:type="dxa"/>
            <w:shd w:val="clear" w:color="auto" w:fill="auto"/>
            <w:vAlign w:val="center"/>
          </w:tcPr>
          <w:p w14:paraId="24F328B7" w14:textId="77777777" w:rsidR="00F95501" w:rsidRPr="00DE469F" w:rsidRDefault="00F95501" w:rsidP="0099088D">
            <w:pPr>
              <w:autoSpaceDE w:val="0"/>
              <w:autoSpaceDN w:val="0"/>
              <w:adjustRightInd w:val="0"/>
            </w:pPr>
            <w:r w:rsidRPr="00655934">
              <w:rPr>
                <w:color w:val="000000"/>
              </w:rPr>
              <w:t>ПАО «Россети Сибирь» - «Кузбассэнерго – РЭС»</w:t>
            </w:r>
            <w:r w:rsidRPr="00DE469F">
              <w:rPr>
                <w:color w:val="000000"/>
              </w:rPr>
              <w:t xml:space="preserve"> (ИНН</w:t>
            </w:r>
            <w:r>
              <w:rPr>
                <w:color w:val="000000"/>
              </w:rPr>
              <w:t> </w:t>
            </w:r>
            <w:r w:rsidRPr="00DE469F">
              <w:rPr>
                <w:color w:val="000000"/>
              </w:rPr>
              <w:t>2460069527)</w:t>
            </w:r>
          </w:p>
        </w:tc>
        <w:tc>
          <w:tcPr>
            <w:tcW w:w="2552" w:type="dxa"/>
            <w:shd w:val="clear" w:color="auto" w:fill="auto"/>
            <w:vAlign w:val="center"/>
          </w:tcPr>
          <w:p w14:paraId="1F6DB31F" w14:textId="77777777" w:rsidR="00F95501" w:rsidRPr="00DE469F" w:rsidRDefault="00F95501" w:rsidP="0099088D">
            <w:pPr>
              <w:jc w:val="center"/>
            </w:pPr>
            <w:r w:rsidRPr="00042699">
              <w:t>77</w:t>
            </w:r>
            <w:r>
              <w:t xml:space="preserve"> </w:t>
            </w:r>
            <w:r w:rsidRPr="00042699">
              <w:t>494,1</w:t>
            </w:r>
            <w:r>
              <w:t>9</w:t>
            </w:r>
          </w:p>
        </w:tc>
      </w:tr>
      <w:tr w:rsidR="00F95501" w:rsidRPr="00DE469F" w14:paraId="7E434FE1" w14:textId="77777777" w:rsidTr="0099088D">
        <w:trPr>
          <w:trHeight w:hRule="exact" w:val="431"/>
        </w:trPr>
        <w:tc>
          <w:tcPr>
            <w:tcW w:w="846" w:type="dxa"/>
            <w:shd w:val="clear" w:color="auto" w:fill="auto"/>
            <w:vAlign w:val="center"/>
          </w:tcPr>
          <w:p w14:paraId="3FB3EEF2" w14:textId="77777777" w:rsidR="00F95501" w:rsidRPr="00DE469F" w:rsidRDefault="00F95501" w:rsidP="00F95501">
            <w:pPr>
              <w:numPr>
                <w:ilvl w:val="0"/>
                <w:numId w:val="6"/>
              </w:numPr>
              <w:ind w:left="0" w:hanging="357"/>
              <w:contextualSpacing/>
              <w:jc w:val="right"/>
            </w:pPr>
          </w:p>
        </w:tc>
        <w:tc>
          <w:tcPr>
            <w:tcW w:w="6633" w:type="dxa"/>
            <w:shd w:val="clear" w:color="auto" w:fill="auto"/>
            <w:vAlign w:val="center"/>
          </w:tcPr>
          <w:p w14:paraId="74E29998" w14:textId="77777777" w:rsidR="00F95501" w:rsidRPr="00DE469F" w:rsidRDefault="00F95501" w:rsidP="0099088D">
            <w:pPr>
              <w:autoSpaceDE w:val="0"/>
              <w:autoSpaceDN w:val="0"/>
              <w:adjustRightInd w:val="0"/>
            </w:pPr>
            <w:r w:rsidRPr="00DE469F">
              <w:rPr>
                <w:color w:val="000000"/>
              </w:rPr>
              <w:t>ООО «ОЭСК» (ИНН 4223052779)</w:t>
            </w:r>
          </w:p>
        </w:tc>
        <w:tc>
          <w:tcPr>
            <w:tcW w:w="2552" w:type="dxa"/>
            <w:shd w:val="clear" w:color="auto" w:fill="auto"/>
            <w:vAlign w:val="center"/>
          </w:tcPr>
          <w:p w14:paraId="342B5AB3" w14:textId="77777777" w:rsidR="00F95501" w:rsidRPr="00DE469F" w:rsidRDefault="00F95501" w:rsidP="0099088D">
            <w:pPr>
              <w:jc w:val="center"/>
            </w:pPr>
            <w:r w:rsidRPr="00042699">
              <w:t>4 736,83</w:t>
            </w:r>
          </w:p>
        </w:tc>
      </w:tr>
      <w:tr w:rsidR="00F95501" w:rsidRPr="00DE469F" w14:paraId="1A2785CC" w14:textId="77777777" w:rsidTr="0099088D">
        <w:trPr>
          <w:trHeight w:hRule="exact" w:val="958"/>
        </w:trPr>
        <w:tc>
          <w:tcPr>
            <w:tcW w:w="846" w:type="dxa"/>
            <w:shd w:val="clear" w:color="auto" w:fill="auto"/>
            <w:vAlign w:val="center"/>
          </w:tcPr>
          <w:p w14:paraId="775C562F" w14:textId="77777777" w:rsidR="00F95501" w:rsidRPr="00DE469F" w:rsidRDefault="00F95501" w:rsidP="00F95501">
            <w:pPr>
              <w:numPr>
                <w:ilvl w:val="0"/>
                <w:numId w:val="6"/>
              </w:numPr>
              <w:ind w:left="0" w:hanging="357"/>
              <w:contextualSpacing/>
              <w:jc w:val="right"/>
            </w:pPr>
          </w:p>
        </w:tc>
        <w:tc>
          <w:tcPr>
            <w:tcW w:w="6633" w:type="dxa"/>
            <w:shd w:val="clear" w:color="auto" w:fill="auto"/>
            <w:vAlign w:val="center"/>
          </w:tcPr>
          <w:p w14:paraId="2C633533" w14:textId="77777777" w:rsidR="00F95501" w:rsidRPr="00DE469F" w:rsidRDefault="00F95501" w:rsidP="0099088D">
            <w:pPr>
              <w:rPr>
                <w:color w:val="000000"/>
              </w:rPr>
            </w:pPr>
            <w:r w:rsidRPr="00DE469F">
              <w:rPr>
                <w:color w:val="000000"/>
              </w:rPr>
              <w:t>ОАО «РЖД» (Западно - Сибирская дирекция по энергообеспечению- СП Трансэнерго – филиала                            ОАО «РЖД») (ИНН 7708503727)</w:t>
            </w:r>
          </w:p>
        </w:tc>
        <w:tc>
          <w:tcPr>
            <w:tcW w:w="2552" w:type="dxa"/>
            <w:shd w:val="clear" w:color="auto" w:fill="auto"/>
            <w:vAlign w:val="center"/>
          </w:tcPr>
          <w:p w14:paraId="74FC9D32" w14:textId="77777777" w:rsidR="00F95501" w:rsidRPr="00DE469F" w:rsidRDefault="00F95501" w:rsidP="0099088D">
            <w:pPr>
              <w:jc w:val="center"/>
            </w:pPr>
            <w:r w:rsidRPr="00042699">
              <w:t>1</w:t>
            </w:r>
            <w:r>
              <w:t xml:space="preserve"> </w:t>
            </w:r>
            <w:r w:rsidRPr="00042699">
              <w:t>428,96</w:t>
            </w:r>
          </w:p>
        </w:tc>
      </w:tr>
      <w:tr w:rsidR="00F95501" w:rsidRPr="00DE469F" w14:paraId="483D59D6" w14:textId="77777777" w:rsidTr="0099088D">
        <w:trPr>
          <w:trHeight w:hRule="exact" w:val="880"/>
        </w:trPr>
        <w:tc>
          <w:tcPr>
            <w:tcW w:w="846" w:type="dxa"/>
            <w:shd w:val="clear" w:color="auto" w:fill="auto"/>
            <w:vAlign w:val="center"/>
          </w:tcPr>
          <w:p w14:paraId="794495AF" w14:textId="77777777" w:rsidR="00F95501" w:rsidRPr="00DE469F" w:rsidRDefault="00F95501" w:rsidP="00F95501">
            <w:pPr>
              <w:numPr>
                <w:ilvl w:val="0"/>
                <w:numId w:val="6"/>
              </w:numPr>
              <w:ind w:left="0" w:hanging="357"/>
              <w:contextualSpacing/>
              <w:jc w:val="right"/>
            </w:pPr>
          </w:p>
        </w:tc>
        <w:tc>
          <w:tcPr>
            <w:tcW w:w="6633" w:type="dxa"/>
            <w:shd w:val="clear" w:color="auto" w:fill="auto"/>
            <w:vAlign w:val="center"/>
          </w:tcPr>
          <w:p w14:paraId="572F4BB7" w14:textId="77777777" w:rsidR="00F95501" w:rsidRPr="00DE469F" w:rsidRDefault="00F95501" w:rsidP="0099088D">
            <w:pPr>
              <w:rPr>
                <w:color w:val="000000"/>
              </w:rPr>
            </w:pPr>
            <w:r w:rsidRPr="00DE469F">
              <w:rPr>
                <w:color w:val="000000"/>
              </w:rPr>
              <w:t>ОАО «РЖД» (</w:t>
            </w:r>
            <w:r>
              <w:rPr>
                <w:color w:val="000000"/>
              </w:rPr>
              <w:t>Красноярская</w:t>
            </w:r>
            <w:r w:rsidRPr="00DE469F">
              <w:rPr>
                <w:color w:val="000000"/>
              </w:rPr>
              <w:t xml:space="preserve"> дирекция по энергообеспечению- СП Трансэнерго – филиала ОАО «РЖД») (ИНН 7708503727)</w:t>
            </w:r>
          </w:p>
        </w:tc>
        <w:tc>
          <w:tcPr>
            <w:tcW w:w="2552" w:type="dxa"/>
            <w:shd w:val="clear" w:color="auto" w:fill="auto"/>
            <w:vAlign w:val="center"/>
          </w:tcPr>
          <w:p w14:paraId="4C78901C" w14:textId="77777777" w:rsidR="00F95501" w:rsidRPr="00DE469F" w:rsidRDefault="00F95501" w:rsidP="0099088D">
            <w:pPr>
              <w:jc w:val="center"/>
            </w:pPr>
            <w:r>
              <w:t>10,67</w:t>
            </w:r>
          </w:p>
        </w:tc>
      </w:tr>
      <w:tr w:rsidR="00F95501" w:rsidRPr="00DE469F" w14:paraId="54193C72" w14:textId="77777777" w:rsidTr="0099088D">
        <w:trPr>
          <w:trHeight w:hRule="exact" w:val="435"/>
        </w:trPr>
        <w:tc>
          <w:tcPr>
            <w:tcW w:w="846" w:type="dxa"/>
            <w:shd w:val="clear" w:color="auto" w:fill="auto"/>
            <w:vAlign w:val="center"/>
          </w:tcPr>
          <w:p w14:paraId="74AC5482" w14:textId="77777777" w:rsidR="00F95501" w:rsidRPr="00DE469F" w:rsidRDefault="00F95501" w:rsidP="00F95501">
            <w:pPr>
              <w:numPr>
                <w:ilvl w:val="0"/>
                <w:numId w:val="6"/>
              </w:numPr>
              <w:ind w:left="0" w:hanging="357"/>
              <w:contextualSpacing/>
              <w:jc w:val="right"/>
            </w:pPr>
          </w:p>
        </w:tc>
        <w:tc>
          <w:tcPr>
            <w:tcW w:w="6633" w:type="dxa"/>
            <w:shd w:val="clear" w:color="auto" w:fill="auto"/>
            <w:vAlign w:val="center"/>
          </w:tcPr>
          <w:p w14:paraId="12330367" w14:textId="77777777" w:rsidR="00F95501" w:rsidRPr="00DE469F" w:rsidRDefault="00F95501" w:rsidP="0099088D">
            <w:pPr>
              <w:rPr>
                <w:color w:val="000000"/>
              </w:rPr>
            </w:pPr>
            <w:r w:rsidRPr="00DE469F">
              <w:rPr>
                <w:color w:val="000000"/>
              </w:rPr>
              <w:t>ООО ХК «СДС-Энерго» (ИНН 4250003450)</w:t>
            </w:r>
          </w:p>
        </w:tc>
        <w:tc>
          <w:tcPr>
            <w:tcW w:w="2552" w:type="dxa"/>
            <w:shd w:val="clear" w:color="auto" w:fill="auto"/>
            <w:vAlign w:val="center"/>
          </w:tcPr>
          <w:p w14:paraId="4A1649C7" w14:textId="77777777" w:rsidR="00F95501" w:rsidRPr="00DE469F" w:rsidRDefault="00F95501" w:rsidP="0099088D">
            <w:pPr>
              <w:jc w:val="center"/>
            </w:pPr>
            <w:r w:rsidRPr="00042699">
              <w:t>923,93</w:t>
            </w:r>
          </w:p>
        </w:tc>
      </w:tr>
      <w:tr w:rsidR="00F95501" w:rsidRPr="00DE469F" w14:paraId="7430E05A" w14:textId="77777777" w:rsidTr="0099088D">
        <w:trPr>
          <w:trHeight w:hRule="exact" w:val="567"/>
        </w:trPr>
        <w:tc>
          <w:tcPr>
            <w:tcW w:w="846" w:type="dxa"/>
            <w:shd w:val="clear" w:color="auto" w:fill="auto"/>
            <w:vAlign w:val="center"/>
          </w:tcPr>
          <w:p w14:paraId="6730C37E" w14:textId="77777777" w:rsidR="00F95501" w:rsidRPr="00DE469F" w:rsidRDefault="00F95501" w:rsidP="00F95501">
            <w:pPr>
              <w:numPr>
                <w:ilvl w:val="0"/>
                <w:numId w:val="6"/>
              </w:numPr>
              <w:ind w:left="0" w:hanging="357"/>
              <w:contextualSpacing/>
              <w:jc w:val="right"/>
            </w:pPr>
          </w:p>
        </w:tc>
        <w:tc>
          <w:tcPr>
            <w:tcW w:w="6633" w:type="dxa"/>
            <w:shd w:val="clear" w:color="auto" w:fill="auto"/>
            <w:vAlign w:val="center"/>
          </w:tcPr>
          <w:p w14:paraId="54C8B00F" w14:textId="77777777" w:rsidR="00F95501" w:rsidRPr="00DE469F" w:rsidRDefault="00F95501" w:rsidP="0099088D">
            <w:pPr>
              <w:autoSpaceDE w:val="0"/>
              <w:autoSpaceDN w:val="0"/>
              <w:adjustRightInd w:val="0"/>
              <w:rPr>
                <w:color w:val="000000"/>
              </w:rPr>
            </w:pPr>
            <w:r w:rsidRPr="00DE469F">
              <w:rPr>
                <w:color w:val="000000"/>
              </w:rPr>
              <w:t xml:space="preserve">ОАО «Северо-Кузбасская энергетическая компания» </w:t>
            </w:r>
          </w:p>
          <w:p w14:paraId="32170FE2" w14:textId="77777777" w:rsidR="00F95501" w:rsidRPr="00DE469F" w:rsidRDefault="00F95501" w:rsidP="0099088D">
            <w:pPr>
              <w:autoSpaceDE w:val="0"/>
              <w:autoSpaceDN w:val="0"/>
              <w:adjustRightInd w:val="0"/>
            </w:pPr>
            <w:r w:rsidRPr="00DE469F">
              <w:rPr>
                <w:color w:val="000000"/>
              </w:rPr>
              <w:t>(ИНН 4205153492)</w:t>
            </w:r>
          </w:p>
        </w:tc>
        <w:tc>
          <w:tcPr>
            <w:tcW w:w="2552" w:type="dxa"/>
            <w:shd w:val="clear" w:color="auto" w:fill="auto"/>
            <w:vAlign w:val="center"/>
          </w:tcPr>
          <w:p w14:paraId="39C9222D" w14:textId="77777777" w:rsidR="00F95501" w:rsidRPr="00DE469F" w:rsidRDefault="00F95501" w:rsidP="0099088D">
            <w:pPr>
              <w:jc w:val="center"/>
            </w:pPr>
            <w:r>
              <w:t>16 928,54</w:t>
            </w:r>
          </w:p>
        </w:tc>
      </w:tr>
      <w:tr w:rsidR="00F95501" w:rsidRPr="00DE469F" w14:paraId="62331E10" w14:textId="77777777" w:rsidTr="0099088D">
        <w:trPr>
          <w:trHeight w:hRule="exact" w:val="421"/>
        </w:trPr>
        <w:tc>
          <w:tcPr>
            <w:tcW w:w="846" w:type="dxa"/>
            <w:shd w:val="clear" w:color="auto" w:fill="auto"/>
            <w:vAlign w:val="center"/>
          </w:tcPr>
          <w:p w14:paraId="121BCBE4" w14:textId="77777777" w:rsidR="00F95501" w:rsidRPr="00DE469F" w:rsidRDefault="00F95501" w:rsidP="00F95501">
            <w:pPr>
              <w:numPr>
                <w:ilvl w:val="0"/>
                <w:numId w:val="6"/>
              </w:numPr>
              <w:ind w:left="0" w:hanging="357"/>
              <w:contextualSpacing/>
              <w:jc w:val="right"/>
            </w:pPr>
          </w:p>
        </w:tc>
        <w:tc>
          <w:tcPr>
            <w:tcW w:w="6633" w:type="dxa"/>
            <w:shd w:val="clear" w:color="auto" w:fill="auto"/>
            <w:vAlign w:val="center"/>
          </w:tcPr>
          <w:p w14:paraId="4F69B295" w14:textId="77777777" w:rsidR="00F95501" w:rsidRPr="00DE469F" w:rsidRDefault="00F95501" w:rsidP="0099088D">
            <w:pPr>
              <w:rPr>
                <w:color w:val="000000"/>
              </w:rPr>
            </w:pPr>
            <w:r w:rsidRPr="00DE469F">
              <w:rPr>
                <w:color w:val="000000"/>
              </w:rPr>
              <w:t>ООО «</w:t>
            </w:r>
            <w:r w:rsidRPr="00DE469F">
              <w:rPr>
                <w:bCs/>
              </w:rPr>
              <w:t>Сиб</w:t>
            </w:r>
            <w:r>
              <w:rPr>
                <w:bCs/>
              </w:rPr>
              <w:t>ПСК</w:t>
            </w:r>
            <w:r w:rsidRPr="00DE469F">
              <w:rPr>
                <w:color w:val="000000"/>
              </w:rPr>
              <w:t>» (ИНН 42</w:t>
            </w:r>
            <w:r>
              <w:rPr>
                <w:color w:val="000000"/>
              </w:rPr>
              <w:t>05234208</w:t>
            </w:r>
            <w:r w:rsidRPr="00DE469F">
              <w:rPr>
                <w:color w:val="000000"/>
              </w:rPr>
              <w:t>)</w:t>
            </w:r>
          </w:p>
        </w:tc>
        <w:tc>
          <w:tcPr>
            <w:tcW w:w="2552" w:type="dxa"/>
            <w:shd w:val="clear" w:color="auto" w:fill="auto"/>
            <w:vAlign w:val="center"/>
          </w:tcPr>
          <w:p w14:paraId="24F4E648" w14:textId="77777777" w:rsidR="00F95501" w:rsidRPr="00DE469F" w:rsidRDefault="00F95501" w:rsidP="0099088D">
            <w:pPr>
              <w:jc w:val="center"/>
            </w:pPr>
            <w:r w:rsidRPr="00270627">
              <w:t>5 116,42</w:t>
            </w:r>
          </w:p>
        </w:tc>
      </w:tr>
      <w:tr w:rsidR="00F95501" w:rsidRPr="00DE469F" w14:paraId="297DF0E1" w14:textId="77777777" w:rsidTr="0099088D">
        <w:trPr>
          <w:trHeight w:hRule="exact" w:val="716"/>
        </w:trPr>
        <w:tc>
          <w:tcPr>
            <w:tcW w:w="846" w:type="dxa"/>
            <w:shd w:val="clear" w:color="auto" w:fill="auto"/>
            <w:vAlign w:val="center"/>
          </w:tcPr>
          <w:p w14:paraId="5E1537B5" w14:textId="77777777" w:rsidR="00F95501" w:rsidRPr="00DE469F" w:rsidRDefault="00F95501" w:rsidP="00F95501">
            <w:pPr>
              <w:numPr>
                <w:ilvl w:val="0"/>
                <w:numId w:val="6"/>
              </w:numPr>
              <w:ind w:left="0" w:hanging="357"/>
              <w:contextualSpacing/>
              <w:jc w:val="right"/>
            </w:pPr>
          </w:p>
        </w:tc>
        <w:tc>
          <w:tcPr>
            <w:tcW w:w="6633" w:type="dxa"/>
            <w:shd w:val="clear" w:color="auto" w:fill="auto"/>
            <w:vAlign w:val="center"/>
          </w:tcPr>
          <w:p w14:paraId="6F070A2B" w14:textId="77777777" w:rsidR="00F95501" w:rsidRPr="00DE469F" w:rsidRDefault="00F95501" w:rsidP="0099088D">
            <w:pPr>
              <w:rPr>
                <w:color w:val="000000"/>
              </w:rPr>
            </w:pPr>
            <w:r w:rsidRPr="00DE469F">
              <w:rPr>
                <w:color w:val="000000"/>
              </w:rPr>
              <w:t>МУП «Территориальная распределительная сетевая компания Новокузнецкого муниципального района» (ИНН 4252003462)</w:t>
            </w:r>
          </w:p>
        </w:tc>
        <w:tc>
          <w:tcPr>
            <w:tcW w:w="2552" w:type="dxa"/>
            <w:shd w:val="clear" w:color="auto" w:fill="auto"/>
            <w:vAlign w:val="center"/>
          </w:tcPr>
          <w:p w14:paraId="7C1E17A4" w14:textId="77777777" w:rsidR="00F95501" w:rsidRPr="00DE469F" w:rsidRDefault="00F95501" w:rsidP="0099088D">
            <w:pPr>
              <w:jc w:val="center"/>
            </w:pPr>
            <w:r w:rsidRPr="00270627">
              <w:t>-406,83</w:t>
            </w:r>
          </w:p>
        </w:tc>
      </w:tr>
      <w:tr w:rsidR="00F95501" w:rsidRPr="00DE469F" w14:paraId="480D23E8" w14:textId="77777777" w:rsidTr="0099088D">
        <w:trPr>
          <w:trHeight w:hRule="exact" w:val="699"/>
        </w:trPr>
        <w:tc>
          <w:tcPr>
            <w:tcW w:w="846" w:type="dxa"/>
            <w:shd w:val="clear" w:color="auto" w:fill="auto"/>
            <w:vAlign w:val="center"/>
          </w:tcPr>
          <w:p w14:paraId="5F8EBCC8" w14:textId="77777777" w:rsidR="00F95501" w:rsidRPr="00DE469F" w:rsidRDefault="00F95501" w:rsidP="00F95501">
            <w:pPr>
              <w:numPr>
                <w:ilvl w:val="0"/>
                <w:numId w:val="6"/>
              </w:numPr>
              <w:ind w:left="0" w:hanging="357"/>
              <w:contextualSpacing/>
              <w:jc w:val="right"/>
            </w:pPr>
          </w:p>
        </w:tc>
        <w:tc>
          <w:tcPr>
            <w:tcW w:w="6633" w:type="dxa"/>
            <w:shd w:val="clear" w:color="auto" w:fill="auto"/>
            <w:vAlign w:val="center"/>
          </w:tcPr>
          <w:p w14:paraId="01ED24B8" w14:textId="77777777" w:rsidR="00F95501" w:rsidRPr="00DE469F" w:rsidRDefault="00F95501" w:rsidP="0099088D">
            <w:pPr>
              <w:rPr>
                <w:color w:val="000000"/>
              </w:rPr>
            </w:pPr>
            <w:r w:rsidRPr="00DE469F">
              <w:rPr>
                <w:color w:val="000000"/>
              </w:rPr>
              <w:t xml:space="preserve">ООО «Территориальная сетевая организация «Сибирь» </w:t>
            </w:r>
          </w:p>
          <w:p w14:paraId="01A65514" w14:textId="77777777" w:rsidR="00F95501" w:rsidRPr="00DE469F" w:rsidRDefault="00F95501" w:rsidP="0099088D">
            <w:pPr>
              <w:rPr>
                <w:color w:val="000000"/>
              </w:rPr>
            </w:pPr>
            <w:r w:rsidRPr="00DE469F">
              <w:rPr>
                <w:color w:val="000000"/>
              </w:rPr>
              <w:t>(ИНН 4205282579)</w:t>
            </w:r>
          </w:p>
        </w:tc>
        <w:tc>
          <w:tcPr>
            <w:tcW w:w="2552" w:type="dxa"/>
            <w:shd w:val="clear" w:color="auto" w:fill="auto"/>
            <w:vAlign w:val="center"/>
          </w:tcPr>
          <w:p w14:paraId="651A9684" w14:textId="77777777" w:rsidR="00F95501" w:rsidRPr="00DE469F" w:rsidRDefault="00F95501" w:rsidP="0099088D">
            <w:pPr>
              <w:jc w:val="center"/>
            </w:pPr>
            <w:r>
              <w:t>774,27</w:t>
            </w:r>
          </w:p>
        </w:tc>
      </w:tr>
      <w:tr w:rsidR="00F95501" w:rsidRPr="00DE469F" w14:paraId="2C9FEA34" w14:textId="77777777" w:rsidTr="0099088D">
        <w:trPr>
          <w:trHeight w:hRule="exact" w:val="433"/>
        </w:trPr>
        <w:tc>
          <w:tcPr>
            <w:tcW w:w="846" w:type="dxa"/>
            <w:shd w:val="clear" w:color="auto" w:fill="auto"/>
            <w:vAlign w:val="center"/>
          </w:tcPr>
          <w:p w14:paraId="3B275FD6" w14:textId="77777777" w:rsidR="00F95501" w:rsidRPr="00DE469F" w:rsidRDefault="00F95501" w:rsidP="00F95501">
            <w:pPr>
              <w:numPr>
                <w:ilvl w:val="0"/>
                <w:numId w:val="6"/>
              </w:numPr>
              <w:ind w:left="0" w:hanging="357"/>
              <w:contextualSpacing/>
              <w:jc w:val="right"/>
            </w:pPr>
          </w:p>
        </w:tc>
        <w:tc>
          <w:tcPr>
            <w:tcW w:w="6633" w:type="dxa"/>
            <w:shd w:val="clear" w:color="auto" w:fill="auto"/>
            <w:vAlign w:val="center"/>
          </w:tcPr>
          <w:p w14:paraId="70946570" w14:textId="77777777" w:rsidR="00F95501" w:rsidRPr="00DE469F" w:rsidRDefault="00F95501" w:rsidP="0099088D">
            <w:pPr>
              <w:rPr>
                <w:color w:val="000000"/>
              </w:rPr>
            </w:pPr>
            <w:r w:rsidRPr="00DE469F">
              <w:rPr>
                <w:color w:val="000000"/>
              </w:rPr>
              <w:t>АО «Электросеть» (ИНН 7714734225)</w:t>
            </w:r>
          </w:p>
        </w:tc>
        <w:tc>
          <w:tcPr>
            <w:tcW w:w="2552" w:type="dxa"/>
            <w:shd w:val="clear" w:color="auto" w:fill="auto"/>
            <w:vAlign w:val="center"/>
          </w:tcPr>
          <w:p w14:paraId="08046B95" w14:textId="77777777" w:rsidR="00F95501" w:rsidRPr="00DE469F" w:rsidRDefault="00F95501" w:rsidP="0099088D">
            <w:pPr>
              <w:jc w:val="center"/>
            </w:pPr>
            <w:r w:rsidRPr="00270627">
              <w:t>-2</w:t>
            </w:r>
            <w:r>
              <w:t xml:space="preserve"> </w:t>
            </w:r>
            <w:r w:rsidRPr="00270627">
              <w:t>211,82</w:t>
            </w:r>
          </w:p>
        </w:tc>
      </w:tr>
      <w:tr w:rsidR="00F95501" w:rsidRPr="00DE469F" w14:paraId="4BB051F4" w14:textId="77777777" w:rsidTr="0099088D">
        <w:trPr>
          <w:trHeight w:hRule="exact" w:val="567"/>
        </w:trPr>
        <w:tc>
          <w:tcPr>
            <w:tcW w:w="846" w:type="dxa"/>
            <w:shd w:val="clear" w:color="auto" w:fill="auto"/>
            <w:vAlign w:val="center"/>
          </w:tcPr>
          <w:p w14:paraId="0DE893C7" w14:textId="77777777" w:rsidR="00F95501" w:rsidRPr="00686E95" w:rsidRDefault="00F95501" w:rsidP="00F95501">
            <w:pPr>
              <w:numPr>
                <w:ilvl w:val="0"/>
                <w:numId w:val="6"/>
              </w:numPr>
              <w:ind w:left="0" w:hanging="357"/>
              <w:contextualSpacing/>
              <w:jc w:val="right"/>
            </w:pPr>
          </w:p>
        </w:tc>
        <w:tc>
          <w:tcPr>
            <w:tcW w:w="6633" w:type="dxa"/>
            <w:shd w:val="clear" w:color="auto" w:fill="auto"/>
            <w:vAlign w:val="center"/>
          </w:tcPr>
          <w:p w14:paraId="2E79E654" w14:textId="77777777" w:rsidR="00F95501" w:rsidRPr="00DE469F" w:rsidRDefault="00F95501" w:rsidP="0099088D">
            <w:pPr>
              <w:rPr>
                <w:color w:val="000000"/>
              </w:rPr>
            </w:pPr>
            <w:r w:rsidRPr="00183617">
              <w:rPr>
                <w:color w:val="000000"/>
              </w:rPr>
              <w:t xml:space="preserve">ООО </w:t>
            </w:r>
            <w:r>
              <w:rPr>
                <w:color w:val="000000"/>
              </w:rPr>
              <w:t>«</w:t>
            </w:r>
            <w:r w:rsidRPr="00183617">
              <w:rPr>
                <w:color w:val="000000"/>
              </w:rPr>
              <w:t>Электросетьсерви</w:t>
            </w:r>
            <w:r>
              <w:rPr>
                <w:color w:val="000000"/>
              </w:rPr>
              <w:t>с» (ИНН 4223057103)</w:t>
            </w:r>
          </w:p>
        </w:tc>
        <w:tc>
          <w:tcPr>
            <w:tcW w:w="2552" w:type="dxa"/>
            <w:shd w:val="clear" w:color="auto" w:fill="auto"/>
            <w:vAlign w:val="center"/>
          </w:tcPr>
          <w:p w14:paraId="1585DE5D" w14:textId="77777777" w:rsidR="00F95501" w:rsidRPr="00DE469F" w:rsidRDefault="00F95501" w:rsidP="0099088D">
            <w:pPr>
              <w:jc w:val="center"/>
            </w:pPr>
            <w:r w:rsidRPr="00270627">
              <w:t>1</w:t>
            </w:r>
            <w:r>
              <w:t xml:space="preserve"> </w:t>
            </w:r>
            <w:r w:rsidRPr="00270627">
              <w:t>838,59</w:t>
            </w:r>
          </w:p>
        </w:tc>
      </w:tr>
      <w:tr w:rsidR="00F95501" w:rsidRPr="00DE469F" w14:paraId="0EA8596F" w14:textId="77777777" w:rsidTr="0099088D">
        <w:trPr>
          <w:trHeight w:hRule="exact" w:val="567"/>
        </w:trPr>
        <w:tc>
          <w:tcPr>
            <w:tcW w:w="7479" w:type="dxa"/>
            <w:gridSpan w:val="2"/>
            <w:shd w:val="clear" w:color="auto" w:fill="auto"/>
            <w:vAlign w:val="center"/>
          </w:tcPr>
          <w:p w14:paraId="4644D203" w14:textId="77777777" w:rsidR="00F95501" w:rsidRPr="00DE469F" w:rsidRDefault="00F95501" w:rsidP="0099088D">
            <w:pPr>
              <w:jc w:val="center"/>
              <w:rPr>
                <w:color w:val="000000"/>
              </w:rPr>
            </w:pPr>
            <w:r w:rsidRPr="00DE469F">
              <w:rPr>
                <w:color w:val="000000"/>
              </w:rPr>
              <w:t>Всего</w:t>
            </w:r>
          </w:p>
        </w:tc>
        <w:tc>
          <w:tcPr>
            <w:tcW w:w="2552" w:type="dxa"/>
            <w:shd w:val="clear" w:color="auto" w:fill="auto"/>
            <w:vAlign w:val="center"/>
          </w:tcPr>
          <w:p w14:paraId="593984CC" w14:textId="77777777" w:rsidR="00F95501" w:rsidRPr="00DE469F" w:rsidRDefault="00F95501" w:rsidP="0099088D">
            <w:pPr>
              <w:jc w:val="center"/>
            </w:pPr>
            <w:r w:rsidRPr="00270627">
              <w:t>364</w:t>
            </w:r>
            <w:r>
              <w:t xml:space="preserve"> </w:t>
            </w:r>
            <w:r w:rsidRPr="00270627">
              <w:t>182,33</w:t>
            </w:r>
          </w:p>
        </w:tc>
      </w:tr>
    </w:tbl>
    <w:p w14:paraId="6B7BAA33" w14:textId="77777777" w:rsidR="00F95501" w:rsidRDefault="00F95501" w:rsidP="00F95501">
      <w:pPr>
        <w:jc w:val="center"/>
        <w:rPr>
          <w:b/>
          <w:sz w:val="28"/>
          <w:szCs w:val="28"/>
        </w:rPr>
      </w:pPr>
    </w:p>
    <w:p w14:paraId="0FBA7BF7" w14:textId="77777777" w:rsidR="00F95501" w:rsidRDefault="00F95501" w:rsidP="00F95501">
      <w:pPr>
        <w:tabs>
          <w:tab w:val="left" w:pos="5580"/>
          <w:tab w:val="left" w:pos="9498"/>
        </w:tabs>
        <w:ind w:left="-3734" w:right="-569" w:firstLine="10255"/>
        <w:rPr>
          <w:color w:val="000000" w:themeColor="text1"/>
        </w:rPr>
      </w:pPr>
    </w:p>
    <w:p w14:paraId="509310CD" w14:textId="4359CE2A" w:rsidR="00F95501" w:rsidRDefault="00F95501" w:rsidP="00F95501">
      <w:pPr>
        <w:tabs>
          <w:tab w:val="left" w:pos="5580"/>
          <w:tab w:val="left" w:pos="9498"/>
        </w:tabs>
        <w:ind w:left="-3734" w:right="-569" w:firstLine="10255"/>
        <w:rPr>
          <w:color w:val="000000" w:themeColor="text1"/>
        </w:rPr>
      </w:pPr>
    </w:p>
    <w:p w14:paraId="6747068F" w14:textId="2AD38BF8" w:rsidR="00F95501" w:rsidRDefault="00F95501" w:rsidP="00F95501">
      <w:pPr>
        <w:tabs>
          <w:tab w:val="left" w:pos="5580"/>
          <w:tab w:val="left" w:pos="9498"/>
        </w:tabs>
        <w:ind w:left="-3734" w:right="-569" w:firstLine="10255"/>
        <w:rPr>
          <w:color w:val="000000" w:themeColor="text1"/>
        </w:rPr>
      </w:pPr>
    </w:p>
    <w:p w14:paraId="10AD71C7" w14:textId="68F29A1C" w:rsidR="00F95501" w:rsidRDefault="00F95501" w:rsidP="00F95501">
      <w:pPr>
        <w:tabs>
          <w:tab w:val="left" w:pos="5580"/>
          <w:tab w:val="left" w:pos="9498"/>
        </w:tabs>
        <w:ind w:left="-3734" w:right="-569" w:firstLine="10255"/>
        <w:rPr>
          <w:color w:val="000000" w:themeColor="text1"/>
        </w:rPr>
      </w:pPr>
    </w:p>
    <w:p w14:paraId="3E0F1491" w14:textId="6394C3D5" w:rsidR="00F95501" w:rsidRDefault="00F95501" w:rsidP="00F95501">
      <w:pPr>
        <w:tabs>
          <w:tab w:val="left" w:pos="5580"/>
          <w:tab w:val="left" w:pos="9498"/>
        </w:tabs>
        <w:ind w:left="-3734" w:right="-569" w:firstLine="10255"/>
        <w:rPr>
          <w:color w:val="000000" w:themeColor="text1"/>
        </w:rPr>
      </w:pPr>
    </w:p>
    <w:p w14:paraId="5D29B551" w14:textId="241DD6B2" w:rsidR="00F95501" w:rsidRDefault="00F95501" w:rsidP="00F95501">
      <w:pPr>
        <w:tabs>
          <w:tab w:val="left" w:pos="5580"/>
          <w:tab w:val="left" w:pos="9498"/>
        </w:tabs>
        <w:ind w:left="-3734" w:right="-569" w:firstLine="10255"/>
        <w:rPr>
          <w:color w:val="000000" w:themeColor="text1"/>
        </w:rPr>
      </w:pPr>
    </w:p>
    <w:p w14:paraId="79D8D8CA" w14:textId="3C58ACAA" w:rsidR="00F95501" w:rsidRPr="00081AD4" w:rsidRDefault="00F95501" w:rsidP="00F95501">
      <w:pPr>
        <w:tabs>
          <w:tab w:val="left" w:pos="5580"/>
          <w:tab w:val="left" w:pos="9498"/>
        </w:tabs>
        <w:ind w:left="-3734" w:right="-569" w:firstLine="10255"/>
        <w:rPr>
          <w:color w:val="000000" w:themeColor="text1"/>
        </w:rPr>
      </w:pPr>
      <w:r w:rsidRPr="00081AD4">
        <w:rPr>
          <w:color w:val="000000" w:themeColor="text1"/>
        </w:rPr>
        <w:t xml:space="preserve">Приложение № </w:t>
      </w:r>
      <w:r>
        <w:rPr>
          <w:color w:val="000000" w:themeColor="text1"/>
        </w:rPr>
        <w:t>9 к протоколу</w:t>
      </w:r>
      <w:r w:rsidRPr="00081AD4">
        <w:rPr>
          <w:color w:val="000000" w:themeColor="text1"/>
        </w:rPr>
        <w:t xml:space="preserve"> № </w:t>
      </w:r>
      <w:r>
        <w:rPr>
          <w:color w:val="000000" w:themeColor="text1"/>
        </w:rPr>
        <w:t>88</w:t>
      </w:r>
    </w:p>
    <w:p w14:paraId="0F01C96D" w14:textId="77777777" w:rsidR="00F95501" w:rsidRPr="00081AD4" w:rsidRDefault="00F95501" w:rsidP="00F95501">
      <w:pPr>
        <w:tabs>
          <w:tab w:val="left" w:pos="5580"/>
          <w:tab w:val="left" w:pos="9498"/>
        </w:tabs>
        <w:ind w:left="-3734" w:right="-569" w:firstLine="10255"/>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529920CE" w14:textId="77777777" w:rsidR="00F95501" w:rsidRPr="00081AD4" w:rsidRDefault="00F95501" w:rsidP="00F95501">
      <w:pPr>
        <w:tabs>
          <w:tab w:val="left" w:pos="5580"/>
          <w:tab w:val="left" w:pos="9498"/>
        </w:tabs>
        <w:ind w:left="-3734" w:right="-569" w:firstLine="10255"/>
        <w:rPr>
          <w:color w:val="000000" w:themeColor="text1"/>
        </w:rPr>
      </w:pPr>
      <w:r w:rsidRPr="00081AD4">
        <w:rPr>
          <w:color w:val="000000" w:themeColor="text1"/>
        </w:rPr>
        <w:t>энергетической комиссии</w:t>
      </w:r>
    </w:p>
    <w:p w14:paraId="578C603E" w14:textId="1BD1A603" w:rsidR="00F95501" w:rsidRDefault="00F95501" w:rsidP="00F95501">
      <w:pPr>
        <w:tabs>
          <w:tab w:val="left" w:pos="5580"/>
          <w:tab w:val="left" w:pos="9498"/>
        </w:tabs>
        <w:ind w:left="-3734" w:right="-569" w:firstLine="10255"/>
        <w:rPr>
          <w:color w:val="000000" w:themeColor="text1"/>
        </w:rPr>
      </w:pPr>
      <w:r w:rsidRPr="00081AD4">
        <w:rPr>
          <w:color w:val="000000" w:themeColor="text1"/>
        </w:rPr>
        <w:t xml:space="preserve">Кузбасса от </w:t>
      </w:r>
      <w:r>
        <w:rPr>
          <w:color w:val="000000" w:themeColor="text1"/>
        </w:rPr>
        <w:t>23</w:t>
      </w:r>
      <w:r w:rsidRPr="00081AD4">
        <w:rPr>
          <w:color w:val="000000" w:themeColor="text1"/>
        </w:rPr>
        <w:t>.</w:t>
      </w:r>
      <w:r>
        <w:rPr>
          <w:color w:val="000000" w:themeColor="text1"/>
        </w:rPr>
        <w:t>12</w:t>
      </w:r>
      <w:r w:rsidRPr="00081AD4">
        <w:rPr>
          <w:color w:val="000000" w:themeColor="text1"/>
        </w:rPr>
        <w:t>.202</w:t>
      </w:r>
      <w:r>
        <w:rPr>
          <w:color w:val="000000" w:themeColor="text1"/>
        </w:rPr>
        <w:t>1</w:t>
      </w:r>
    </w:p>
    <w:p w14:paraId="54DA8B0B" w14:textId="5F15098C" w:rsidR="00F95501" w:rsidRDefault="00F95501" w:rsidP="00F95501">
      <w:pPr>
        <w:tabs>
          <w:tab w:val="left" w:pos="5580"/>
          <w:tab w:val="left" w:pos="9498"/>
        </w:tabs>
        <w:ind w:left="-3734" w:right="-569" w:firstLine="10255"/>
        <w:rPr>
          <w:color w:val="000000" w:themeColor="text1"/>
        </w:rPr>
      </w:pPr>
    </w:p>
    <w:p w14:paraId="451C36EC" w14:textId="6673C743" w:rsidR="00F95501" w:rsidRDefault="00F95501" w:rsidP="00F95501">
      <w:pPr>
        <w:tabs>
          <w:tab w:val="left" w:pos="5580"/>
          <w:tab w:val="left" w:pos="9498"/>
        </w:tabs>
        <w:ind w:left="-3734" w:right="-569" w:firstLine="10255"/>
        <w:rPr>
          <w:color w:val="000000" w:themeColor="text1"/>
        </w:rPr>
      </w:pPr>
    </w:p>
    <w:p w14:paraId="3C98C32D" w14:textId="77777777" w:rsidR="00F95501" w:rsidRDefault="00F95501" w:rsidP="00F95501">
      <w:pPr>
        <w:autoSpaceDE w:val="0"/>
        <w:autoSpaceDN w:val="0"/>
        <w:adjustRightInd w:val="0"/>
        <w:jc w:val="center"/>
        <w:rPr>
          <w:b/>
          <w:sz w:val="28"/>
          <w:szCs w:val="28"/>
        </w:rPr>
      </w:pPr>
      <w:r w:rsidRPr="00666827">
        <w:rPr>
          <w:b/>
          <w:sz w:val="28"/>
          <w:szCs w:val="28"/>
        </w:rPr>
        <w:t xml:space="preserve">Выпадающие доходы территориальных сетевых организаций </w:t>
      </w:r>
    </w:p>
    <w:p w14:paraId="4B8468BF" w14:textId="77777777" w:rsidR="00F95501" w:rsidRDefault="00F95501" w:rsidP="00F95501">
      <w:pPr>
        <w:autoSpaceDE w:val="0"/>
        <w:autoSpaceDN w:val="0"/>
        <w:adjustRightInd w:val="0"/>
        <w:jc w:val="center"/>
        <w:rPr>
          <w:b/>
          <w:sz w:val="28"/>
          <w:szCs w:val="28"/>
        </w:rPr>
      </w:pPr>
      <w:r w:rsidRPr="00666827">
        <w:rPr>
          <w:b/>
          <w:sz w:val="28"/>
          <w:szCs w:val="28"/>
        </w:rPr>
        <w:t>Кемеровской области</w:t>
      </w:r>
      <w:r>
        <w:rPr>
          <w:b/>
          <w:sz w:val="28"/>
          <w:szCs w:val="28"/>
        </w:rPr>
        <w:t>-Кузбасса</w:t>
      </w:r>
      <w:r w:rsidRPr="00666827">
        <w:rPr>
          <w:b/>
          <w:sz w:val="28"/>
          <w:szCs w:val="28"/>
        </w:rPr>
        <w:t xml:space="preserve"> по технологич</w:t>
      </w:r>
      <w:r>
        <w:rPr>
          <w:b/>
          <w:sz w:val="28"/>
          <w:szCs w:val="28"/>
        </w:rPr>
        <w:t>ескому присоединению заявителей в</w:t>
      </w:r>
      <w:r w:rsidRPr="00666827">
        <w:rPr>
          <w:rFonts w:eastAsiaTheme="minorHAnsi"/>
          <w:b/>
          <w:sz w:val="28"/>
          <w:szCs w:val="28"/>
        </w:rPr>
        <w:t xml:space="preserve"> целях технологического присоединения энергопринимающих устройств максимальной мощностью не более 150 кВт </w:t>
      </w:r>
      <w:r w:rsidRPr="00646844">
        <w:rPr>
          <w:rFonts w:eastAsiaTheme="minorHAnsi"/>
          <w:b/>
          <w:sz w:val="28"/>
          <w:szCs w:val="28"/>
        </w:rPr>
        <w:t xml:space="preserve">включительно </w:t>
      </w:r>
    </w:p>
    <w:p w14:paraId="31B3383C" w14:textId="77777777" w:rsidR="00F95501" w:rsidRDefault="00F95501" w:rsidP="00F95501">
      <w:pPr>
        <w:autoSpaceDE w:val="0"/>
        <w:autoSpaceDN w:val="0"/>
        <w:adjustRightInd w:val="0"/>
        <w:jc w:val="center"/>
        <w:rPr>
          <w:b/>
          <w:sz w:val="28"/>
          <w:szCs w:val="28"/>
        </w:rPr>
      </w:pPr>
      <w:r>
        <w:rPr>
          <w:b/>
          <w:sz w:val="28"/>
          <w:szCs w:val="28"/>
        </w:rPr>
        <w:t>на 2022 год</w:t>
      </w:r>
    </w:p>
    <w:p w14:paraId="43812F43" w14:textId="77777777" w:rsidR="00F95501" w:rsidRDefault="00F95501" w:rsidP="00F95501">
      <w:pPr>
        <w:autoSpaceDE w:val="0"/>
        <w:autoSpaceDN w:val="0"/>
        <w:adjustRightInd w:val="0"/>
        <w:ind w:firstLine="540"/>
        <w:jc w:val="center"/>
        <w:rPr>
          <w:b/>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6618"/>
        <w:gridCol w:w="2552"/>
      </w:tblGrid>
      <w:tr w:rsidR="00F95501" w:rsidRPr="00DE469F" w14:paraId="76721E21" w14:textId="77777777" w:rsidTr="0099088D">
        <w:trPr>
          <w:trHeight w:val="813"/>
        </w:trPr>
        <w:tc>
          <w:tcPr>
            <w:tcW w:w="861" w:type="dxa"/>
            <w:shd w:val="clear" w:color="auto" w:fill="auto"/>
            <w:vAlign w:val="center"/>
          </w:tcPr>
          <w:p w14:paraId="4DFEF288" w14:textId="77777777" w:rsidR="00F95501" w:rsidRPr="00DE469F" w:rsidRDefault="00F95501" w:rsidP="0099088D">
            <w:pPr>
              <w:jc w:val="center"/>
            </w:pPr>
            <w:r w:rsidRPr="00DE469F">
              <w:t>№</w:t>
            </w:r>
          </w:p>
          <w:p w14:paraId="48AB3967" w14:textId="77777777" w:rsidR="00F95501" w:rsidRPr="00DE469F" w:rsidRDefault="00F95501" w:rsidP="0099088D">
            <w:pPr>
              <w:jc w:val="center"/>
            </w:pPr>
            <w:r w:rsidRPr="00DE469F">
              <w:t>п/п</w:t>
            </w:r>
          </w:p>
        </w:tc>
        <w:tc>
          <w:tcPr>
            <w:tcW w:w="6618" w:type="dxa"/>
            <w:shd w:val="clear" w:color="auto" w:fill="auto"/>
            <w:vAlign w:val="center"/>
          </w:tcPr>
          <w:p w14:paraId="6BC5F0C4" w14:textId="77777777" w:rsidR="00F95501" w:rsidRPr="00DE469F" w:rsidRDefault="00F95501" w:rsidP="0099088D">
            <w:pPr>
              <w:jc w:val="center"/>
            </w:pPr>
            <w:r w:rsidRPr="00DE469F">
              <w:t>Территориальная сетевая организация</w:t>
            </w:r>
          </w:p>
        </w:tc>
        <w:tc>
          <w:tcPr>
            <w:tcW w:w="2552" w:type="dxa"/>
            <w:shd w:val="clear" w:color="auto" w:fill="auto"/>
            <w:vAlign w:val="center"/>
          </w:tcPr>
          <w:p w14:paraId="23B292EE" w14:textId="77777777" w:rsidR="00F95501" w:rsidRPr="00DE469F" w:rsidRDefault="00F95501" w:rsidP="0099088D">
            <w:pPr>
              <w:jc w:val="center"/>
            </w:pPr>
            <w:r w:rsidRPr="00DE469F">
              <w:t xml:space="preserve">Выпадающие доходы, </w:t>
            </w:r>
          </w:p>
          <w:p w14:paraId="14BB7487" w14:textId="77777777" w:rsidR="00F95501" w:rsidRPr="00DE469F" w:rsidRDefault="00F95501" w:rsidP="0099088D">
            <w:pPr>
              <w:jc w:val="center"/>
            </w:pPr>
            <w:r w:rsidRPr="00DE469F">
              <w:t>тыс. руб.</w:t>
            </w:r>
          </w:p>
        </w:tc>
      </w:tr>
      <w:tr w:rsidR="00F95501" w:rsidRPr="00DE469F" w14:paraId="35B1C05E" w14:textId="77777777" w:rsidTr="0099088D">
        <w:trPr>
          <w:trHeight w:hRule="exact" w:val="433"/>
        </w:trPr>
        <w:tc>
          <w:tcPr>
            <w:tcW w:w="861" w:type="dxa"/>
            <w:shd w:val="clear" w:color="auto" w:fill="auto"/>
            <w:vAlign w:val="center"/>
          </w:tcPr>
          <w:p w14:paraId="12FAD5F2" w14:textId="77777777" w:rsidR="00F95501" w:rsidRPr="00DE469F" w:rsidRDefault="00F95501" w:rsidP="00F95501">
            <w:pPr>
              <w:numPr>
                <w:ilvl w:val="0"/>
                <w:numId w:val="7"/>
              </w:numPr>
              <w:ind w:left="0" w:hanging="357"/>
              <w:contextualSpacing/>
              <w:jc w:val="right"/>
            </w:pPr>
          </w:p>
        </w:tc>
        <w:tc>
          <w:tcPr>
            <w:tcW w:w="6618" w:type="dxa"/>
            <w:shd w:val="clear" w:color="auto" w:fill="auto"/>
            <w:vAlign w:val="center"/>
          </w:tcPr>
          <w:p w14:paraId="3BEE656E" w14:textId="77777777" w:rsidR="00F95501" w:rsidRPr="00DE469F" w:rsidRDefault="00F95501" w:rsidP="0099088D">
            <w:pPr>
              <w:autoSpaceDE w:val="0"/>
              <w:autoSpaceDN w:val="0"/>
              <w:adjustRightInd w:val="0"/>
            </w:pPr>
            <w:r w:rsidRPr="00DE469F">
              <w:rPr>
                <w:color w:val="000000"/>
              </w:rPr>
              <w:t>ООО «Горэлектросеть» (ИНН 4217127144)</w:t>
            </w:r>
          </w:p>
        </w:tc>
        <w:tc>
          <w:tcPr>
            <w:tcW w:w="2552" w:type="dxa"/>
            <w:shd w:val="clear" w:color="auto" w:fill="auto"/>
            <w:vAlign w:val="center"/>
          </w:tcPr>
          <w:p w14:paraId="43B5EF7F" w14:textId="77777777" w:rsidR="00F95501" w:rsidRPr="00DE469F" w:rsidRDefault="00F95501" w:rsidP="0099088D">
            <w:pPr>
              <w:jc w:val="center"/>
            </w:pPr>
            <w:r w:rsidRPr="00270627">
              <w:t>11 073,21</w:t>
            </w:r>
          </w:p>
        </w:tc>
      </w:tr>
      <w:tr w:rsidR="00F95501" w:rsidRPr="00DE469F" w14:paraId="7AB23C1E" w14:textId="77777777" w:rsidTr="0099088D">
        <w:trPr>
          <w:trHeight w:hRule="exact" w:val="567"/>
        </w:trPr>
        <w:tc>
          <w:tcPr>
            <w:tcW w:w="861" w:type="dxa"/>
            <w:shd w:val="clear" w:color="auto" w:fill="auto"/>
            <w:vAlign w:val="center"/>
          </w:tcPr>
          <w:p w14:paraId="7F2D98D5" w14:textId="77777777" w:rsidR="00F95501" w:rsidRPr="00DE469F" w:rsidRDefault="00F95501" w:rsidP="00F95501">
            <w:pPr>
              <w:numPr>
                <w:ilvl w:val="0"/>
                <w:numId w:val="7"/>
              </w:numPr>
              <w:ind w:left="0" w:hanging="357"/>
              <w:contextualSpacing/>
              <w:jc w:val="right"/>
            </w:pPr>
          </w:p>
        </w:tc>
        <w:tc>
          <w:tcPr>
            <w:tcW w:w="6618" w:type="dxa"/>
            <w:shd w:val="clear" w:color="auto" w:fill="auto"/>
            <w:vAlign w:val="center"/>
          </w:tcPr>
          <w:p w14:paraId="134D168C" w14:textId="77777777" w:rsidR="00F95501" w:rsidRPr="00DE469F" w:rsidRDefault="00F95501" w:rsidP="0099088D">
            <w:pPr>
              <w:autoSpaceDE w:val="0"/>
              <w:autoSpaceDN w:val="0"/>
              <w:adjustRightInd w:val="0"/>
            </w:pPr>
            <w:r w:rsidRPr="00DE469F">
              <w:t xml:space="preserve">ООО «Кузбасская энергосетевая компания» </w:t>
            </w:r>
          </w:p>
          <w:p w14:paraId="0F66B362" w14:textId="77777777" w:rsidR="00F95501" w:rsidRPr="00DE469F" w:rsidRDefault="00F95501" w:rsidP="0099088D">
            <w:pPr>
              <w:autoSpaceDE w:val="0"/>
              <w:autoSpaceDN w:val="0"/>
              <w:adjustRightInd w:val="0"/>
            </w:pPr>
            <w:r w:rsidRPr="00DE469F">
              <w:t>(ИНН 4205109750)</w:t>
            </w:r>
          </w:p>
        </w:tc>
        <w:tc>
          <w:tcPr>
            <w:tcW w:w="2552" w:type="dxa"/>
            <w:shd w:val="clear" w:color="auto" w:fill="auto"/>
            <w:vAlign w:val="center"/>
          </w:tcPr>
          <w:p w14:paraId="71FC64C1" w14:textId="77777777" w:rsidR="00F95501" w:rsidRPr="00DE469F" w:rsidRDefault="00F95501" w:rsidP="0099088D">
            <w:pPr>
              <w:jc w:val="center"/>
            </w:pPr>
            <w:r>
              <w:t>237 306,59</w:t>
            </w:r>
          </w:p>
        </w:tc>
      </w:tr>
      <w:tr w:rsidR="00F95501" w:rsidRPr="00DE469F" w14:paraId="4CBF0542" w14:textId="77777777" w:rsidTr="0099088D">
        <w:trPr>
          <w:trHeight w:hRule="exact" w:val="707"/>
        </w:trPr>
        <w:tc>
          <w:tcPr>
            <w:tcW w:w="861" w:type="dxa"/>
            <w:shd w:val="clear" w:color="auto" w:fill="auto"/>
            <w:vAlign w:val="center"/>
          </w:tcPr>
          <w:p w14:paraId="22B93C6B" w14:textId="77777777" w:rsidR="00F95501" w:rsidRPr="00DE469F" w:rsidRDefault="00F95501" w:rsidP="00F95501">
            <w:pPr>
              <w:numPr>
                <w:ilvl w:val="0"/>
                <w:numId w:val="7"/>
              </w:numPr>
              <w:ind w:left="0" w:hanging="357"/>
              <w:contextualSpacing/>
              <w:jc w:val="right"/>
            </w:pPr>
          </w:p>
        </w:tc>
        <w:tc>
          <w:tcPr>
            <w:tcW w:w="6618" w:type="dxa"/>
            <w:shd w:val="clear" w:color="auto" w:fill="auto"/>
            <w:vAlign w:val="center"/>
          </w:tcPr>
          <w:p w14:paraId="374F8F8A" w14:textId="77777777" w:rsidR="00F95501" w:rsidRPr="00DE469F" w:rsidRDefault="00F95501" w:rsidP="0099088D">
            <w:pPr>
              <w:autoSpaceDE w:val="0"/>
              <w:autoSpaceDN w:val="0"/>
              <w:adjustRightInd w:val="0"/>
            </w:pPr>
            <w:r w:rsidRPr="00655934">
              <w:rPr>
                <w:color w:val="000000"/>
              </w:rPr>
              <w:t>ПАО «Россети Сибирь» - «Кузбассэнерго – РЭС»</w:t>
            </w:r>
            <w:r w:rsidRPr="00DE469F">
              <w:rPr>
                <w:color w:val="000000"/>
              </w:rPr>
              <w:t xml:space="preserve"> (ИНН</w:t>
            </w:r>
            <w:r>
              <w:rPr>
                <w:color w:val="000000"/>
              </w:rPr>
              <w:t> </w:t>
            </w:r>
            <w:r w:rsidRPr="00DE469F">
              <w:rPr>
                <w:color w:val="000000"/>
              </w:rPr>
              <w:t>2460069527)</w:t>
            </w:r>
          </w:p>
        </w:tc>
        <w:tc>
          <w:tcPr>
            <w:tcW w:w="2552" w:type="dxa"/>
            <w:shd w:val="clear" w:color="auto" w:fill="auto"/>
            <w:vAlign w:val="center"/>
          </w:tcPr>
          <w:p w14:paraId="02428398" w14:textId="77777777" w:rsidR="00F95501" w:rsidRPr="00DE469F" w:rsidRDefault="00F95501" w:rsidP="0099088D">
            <w:pPr>
              <w:jc w:val="center"/>
            </w:pPr>
            <w:r w:rsidRPr="008044A9">
              <w:t>217 771,33</w:t>
            </w:r>
          </w:p>
        </w:tc>
      </w:tr>
      <w:tr w:rsidR="00F95501" w:rsidRPr="00DE469F" w14:paraId="59D5B432" w14:textId="77777777" w:rsidTr="0099088D">
        <w:trPr>
          <w:trHeight w:hRule="exact" w:val="993"/>
        </w:trPr>
        <w:tc>
          <w:tcPr>
            <w:tcW w:w="861" w:type="dxa"/>
            <w:shd w:val="clear" w:color="auto" w:fill="auto"/>
            <w:vAlign w:val="center"/>
          </w:tcPr>
          <w:p w14:paraId="573980CE" w14:textId="77777777" w:rsidR="00F95501" w:rsidRPr="00DE469F" w:rsidRDefault="00F95501" w:rsidP="00F95501">
            <w:pPr>
              <w:numPr>
                <w:ilvl w:val="0"/>
                <w:numId w:val="7"/>
              </w:numPr>
              <w:ind w:left="0" w:hanging="357"/>
              <w:contextualSpacing/>
              <w:jc w:val="right"/>
            </w:pPr>
          </w:p>
        </w:tc>
        <w:tc>
          <w:tcPr>
            <w:tcW w:w="6618" w:type="dxa"/>
            <w:shd w:val="clear" w:color="auto" w:fill="auto"/>
            <w:vAlign w:val="center"/>
          </w:tcPr>
          <w:p w14:paraId="540F48C9" w14:textId="77777777" w:rsidR="00F95501" w:rsidRPr="00DE469F" w:rsidRDefault="00F95501" w:rsidP="0099088D">
            <w:pPr>
              <w:rPr>
                <w:color w:val="000000"/>
              </w:rPr>
            </w:pPr>
            <w:r w:rsidRPr="00DE469F">
              <w:rPr>
                <w:color w:val="000000"/>
              </w:rPr>
              <w:t>ОАО «РЖД» (Западно - Сибирская дирекция по энергообеспечению- СП Трансэнерго – филиала                            ОАО «РЖД») (ИНН 7708503727)</w:t>
            </w:r>
          </w:p>
        </w:tc>
        <w:tc>
          <w:tcPr>
            <w:tcW w:w="2552" w:type="dxa"/>
            <w:shd w:val="clear" w:color="auto" w:fill="auto"/>
            <w:vAlign w:val="center"/>
          </w:tcPr>
          <w:p w14:paraId="69681AB6" w14:textId="77777777" w:rsidR="00F95501" w:rsidRPr="006E532E" w:rsidRDefault="00F95501" w:rsidP="0099088D">
            <w:pPr>
              <w:jc w:val="center"/>
            </w:pPr>
            <w:r w:rsidRPr="008044A9">
              <w:t>217,20</w:t>
            </w:r>
          </w:p>
        </w:tc>
      </w:tr>
      <w:tr w:rsidR="00F95501" w:rsidRPr="00DE469F" w14:paraId="6BB04216" w14:textId="77777777" w:rsidTr="0099088D">
        <w:trPr>
          <w:trHeight w:hRule="exact" w:val="435"/>
        </w:trPr>
        <w:tc>
          <w:tcPr>
            <w:tcW w:w="861" w:type="dxa"/>
            <w:shd w:val="clear" w:color="auto" w:fill="auto"/>
            <w:vAlign w:val="center"/>
          </w:tcPr>
          <w:p w14:paraId="766EDA92" w14:textId="77777777" w:rsidR="00F95501" w:rsidRPr="00DE469F" w:rsidRDefault="00F95501" w:rsidP="00F95501">
            <w:pPr>
              <w:numPr>
                <w:ilvl w:val="0"/>
                <w:numId w:val="7"/>
              </w:numPr>
              <w:ind w:left="0" w:hanging="357"/>
              <w:contextualSpacing/>
              <w:jc w:val="right"/>
            </w:pPr>
          </w:p>
        </w:tc>
        <w:tc>
          <w:tcPr>
            <w:tcW w:w="6618" w:type="dxa"/>
            <w:shd w:val="clear" w:color="auto" w:fill="auto"/>
            <w:vAlign w:val="center"/>
          </w:tcPr>
          <w:p w14:paraId="15C40F46" w14:textId="77777777" w:rsidR="00F95501" w:rsidRPr="00DE469F" w:rsidRDefault="00F95501" w:rsidP="0099088D">
            <w:pPr>
              <w:rPr>
                <w:color w:val="000000"/>
              </w:rPr>
            </w:pPr>
            <w:r w:rsidRPr="00DE469F">
              <w:rPr>
                <w:color w:val="000000"/>
              </w:rPr>
              <w:t>ООО ХК «СДС-Энерго» (ИНН 4250003450)</w:t>
            </w:r>
          </w:p>
        </w:tc>
        <w:tc>
          <w:tcPr>
            <w:tcW w:w="2552" w:type="dxa"/>
            <w:shd w:val="clear" w:color="auto" w:fill="auto"/>
            <w:vAlign w:val="center"/>
          </w:tcPr>
          <w:p w14:paraId="1D8AAA34" w14:textId="77777777" w:rsidR="00F95501" w:rsidRPr="00DE469F" w:rsidRDefault="00F95501" w:rsidP="0099088D">
            <w:pPr>
              <w:jc w:val="center"/>
            </w:pPr>
            <w:r w:rsidRPr="008044A9">
              <w:t>-753,80</w:t>
            </w:r>
          </w:p>
        </w:tc>
      </w:tr>
      <w:tr w:rsidR="00F95501" w:rsidRPr="00DE469F" w14:paraId="212CE715" w14:textId="77777777" w:rsidTr="0099088D">
        <w:trPr>
          <w:trHeight w:hRule="exact" w:val="567"/>
        </w:trPr>
        <w:tc>
          <w:tcPr>
            <w:tcW w:w="861" w:type="dxa"/>
            <w:shd w:val="clear" w:color="auto" w:fill="auto"/>
            <w:vAlign w:val="center"/>
          </w:tcPr>
          <w:p w14:paraId="63E444D8" w14:textId="77777777" w:rsidR="00F95501" w:rsidRPr="00DE469F" w:rsidRDefault="00F95501" w:rsidP="00F95501">
            <w:pPr>
              <w:numPr>
                <w:ilvl w:val="0"/>
                <w:numId w:val="7"/>
              </w:numPr>
              <w:ind w:left="0" w:hanging="357"/>
              <w:contextualSpacing/>
              <w:jc w:val="right"/>
            </w:pPr>
          </w:p>
        </w:tc>
        <w:tc>
          <w:tcPr>
            <w:tcW w:w="6618" w:type="dxa"/>
            <w:shd w:val="clear" w:color="auto" w:fill="auto"/>
            <w:vAlign w:val="center"/>
          </w:tcPr>
          <w:p w14:paraId="4732003D" w14:textId="77777777" w:rsidR="00F95501" w:rsidRPr="00DE469F" w:rsidRDefault="00F95501" w:rsidP="0099088D">
            <w:pPr>
              <w:autoSpaceDE w:val="0"/>
              <w:autoSpaceDN w:val="0"/>
              <w:adjustRightInd w:val="0"/>
              <w:rPr>
                <w:color w:val="000000"/>
              </w:rPr>
            </w:pPr>
            <w:r w:rsidRPr="00DE469F">
              <w:rPr>
                <w:color w:val="000000"/>
              </w:rPr>
              <w:t xml:space="preserve">ОАО «Северо-Кузбасская энергетическая компания» </w:t>
            </w:r>
          </w:p>
          <w:p w14:paraId="644001F8" w14:textId="77777777" w:rsidR="00F95501" w:rsidRPr="00DE469F" w:rsidRDefault="00F95501" w:rsidP="0099088D">
            <w:pPr>
              <w:autoSpaceDE w:val="0"/>
              <w:autoSpaceDN w:val="0"/>
              <w:adjustRightInd w:val="0"/>
            </w:pPr>
            <w:r w:rsidRPr="00DE469F">
              <w:rPr>
                <w:color w:val="000000"/>
              </w:rPr>
              <w:t>(ИНН 4205153492)</w:t>
            </w:r>
          </w:p>
        </w:tc>
        <w:tc>
          <w:tcPr>
            <w:tcW w:w="2552" w:type="dxa"/>
            <w:shd w:val="clear" w:color="auto" w:fill="auto"/>
            <w:vAlign w:val="center"/>
          </w:tcPr>
          <w:p w14:paraId="069870D2" w14:textId="77777777" w:rsidR="00F95501" w:rsidRPr="00DE469F" w:rsidRDefault="00F95501" w:rsidP="0099088D">
            <w:pPr>
              <w:jc w:val="center"/>
            </w:pPr>
            <w:r>
              <w:t>73 715,09</w:t>
            </w:r>
          </w:p>
        </w:tc>
      </w:tr>
      <w:tr w:rsidR="00F95501" w:rsidRPr="00DE469F" w14:paraId="65BE9E6E" w14:textId="77777777" w:rsidTr="0099088D">
        <w:trPr>
          <w:trHeight w:hRule="exact" w:val="433"/>
        </w:trPr>
        <w:tc>
          <w:tcPr>
            <w:tcW w:w="861" w:type="dxa"/>
            <w:shd w:val="clear" w:color="auto" w:fill="auto"/>
            <w:vAlign w:val="center"/>
          </w:tcPr>
          <w:p w14:paraId="52A9CC59" w14:textId="77777777" w:rsidR="00F95501" w:rsidRPr="00DE469F" w:rsidRDefault="00F95501" w:rsidP="00F95501">
            <w:pPr>
              <w:numPr>
                <w:ilvl w:val="0"/>
                <w:numId w:val="7"/>
              </w:numPr>
              <w:ind w:left="0" w:hanging="357"/>
              <w:contextualSpacing/>
              <w:jc w:val="right"/>
            </w:pPr>
          </w:p>
        </w:tc>
        <w:tc>
          <w:tcPr>
            <w:tcW w:w="6618" w:type="dxa"/>
            <w:shd w:val="clear" w:color="auto" w:fill="auto"/>
            <w:vAlign w:val="center"/>
          </w:tcPr>
          <w:p w14:paraId="57114341" w14:textId="77777777" w:rsidR="00F95501" w:rsidRPr="00DE469F" w:rsidRDefault="00F95501" w:rsidP="0099088D">
            <w:pPr>
              <w:rPr>
                <w:color w:val="000000"/>
              </w:rPr>
            </w:pPr>
            <w:r w:rsidRPr="00DE469F">
              <w:rPr>
                <w:color w:val="000000"/>
              </w:rPr>
              <w:t>АО «Электросеть» (ИНН 7714734225)</w:t>
            </w:r>
          </w:p>
        </w:tc>
        <w:tc>
          <w:tcPr>
            <w:tcW w:w="2552" w:type="dxa"/>
            <w:shd w:val="clear" w:color="auto" w:fill="auto"/>
            <w:vAlign w:val="center"/>
          </w:tcPr>
          <w:p w14:paraId="4C4DF50C" w14:textId="77777777" w:rsidR="00F95501" w:rsidRPr="00183617" w:rsidRDefault="00F95501" w:rsidP="0099088D">
            <w:pPr>
              <w:jc w:val="center"/>
            </w:pPr>
            <w:r w:rsidRPr="000775BE">
              <w:t>209,87</w:t>
            </w:r>
          </w:p>
        </w:tc>
      </w:tr>
      <w:tr w:rsidR="00F95501" w:rsidRPr="00DE469F" w14:paraId="76AEAFDF" w14:textId="77777777" w:rsidTr="0099088D">
        <w:trPr>
          <w:trHeight w:hRule="exact" w:val="567"/>
        </w:trPr>
        <w:tc>
          <w:tcPr>
            <w:tcW w:w="7479" w:type="dxa"/>
            <w:gridSpan w:val="2"/>
            <w:shd w:val="clear" w:color="auto" w:fill="auto"/>
            <w:vAlign w:val="center"/>
          </w:tcPr>
          <w:p w14:paraId="5CD0D054" w14:textId="77777777" w:rsidR="00F95501" w:rsidRPr="00DE469F" w:rsidRDefault="00F95501" w:rsidP="0099088D">
            <w:pPr>
              <w:jc w:val="center"/>
              <w:rPr>
                <w:color w:val="000000"/>
              </w:rPr>
            </w:pPr>
            <w:r w:rsidRPr="00DE469F">
              <w:rPr>
                <w:color w:val="000000"/>
              </w:rPr>
              <w:t>Всего</w:t>
            </w:r>
          </w:p>
        </w:tc>
        <w:tc>
          <w:tcPr>
            <w:tcW w:w="2552" w:type="dxa"/>
            <w:shd w:val="clear" w:color="auto" w:fill="auto"/>
            <w:vAlign w:val="center"/>
          </w:tcPr>
          <w:p w14:paraId="51D515B5" w14:textId="77777777" w:rsidR="00F95501" w:rsidRPr="00DE469F" w:rsidRDefault="00F95501" w:rsidP="0099088D">
            <w:pPr>
              <w:jc w:val="center"/>
            </w:pPr>
            <w:r w:rsidRPr="000775BE">
              <w:t>541 217,61</w:t>
            </w:r>
          </w:p>
        </w:tc>
      </w:tr>
    </w:tbl>
    <w:p w14:paraId="269DE62A" w14:textId="77777777" w:rsidR="00F95501" w:rsidRPr="00DA7D89" w:rsidRDefault="00F95501" w:rsidP="00F95501">
      <w:pPr>
        <w:autoSpaceDE w:val="0"/>
        <w:autoSpaceDN w:val="0"/>
        <w:adjustRightInd w:val="0"/>
        <w:ind w:firstLine="540"/>
        <w:jc w:val="center"/>
        <w:rPr>
          <w:sz w:val="28"/>
          <w:szCs w:val="28"/>
        </w:rPr>
      </w:pPr>
    </w:p>
    <w:p w14:paraId="02B032C8" w14:textId="77777777" w:rsidR="00F95501" w:rsidRDefault="00F95501" w:rsidP="00F95501">
      <w:pPr>
        <w:tabs>
          <w:tab w:val="left" w:pos="5580"/>
          <w:tab w:val="left" w:pos="9498"/>
        </w:tabs>
        <w:ind w:left="-3734" w:right="-569" w:firstLine="10255"/>
        <w:rPr>
          <w:color w:val="000000" w:themeColor="text1"/>
        </w:rPr>
      </w:pPr>
    </w:p>
    <w:p w14:paraId="3185ECC4" w14:textId="77777777" w:rsidR="00F95501" w:rsidRDefault="00F95501" w:rsidP="00F95501">
      <w:pPr>
        <w:tabs>
          <w:tab w:val="left" w:pos="5580"/>
          <w:tab w:val="left" w:pos="9498"/>
        </w:tabs>
        <w:ind w:left="-3734" w:right="-569" w:firstLine="10255"/>
        <w:rPr>
          <w:color w:val="000000" w:themeColor="text1"/>
        </w:rPr>
      </w:pPr>
    </w:p>
    <w:p w14:paraId="39DC9691" w14:textId="767577EF" w:rsidR="00BA7227" w:rsidRPr="00081AD4" w:rsidRDefault="00BA7227" w:rsidP="00BA6654">
      <w:pPr>
        <w:tabs>
          <w:tab w:val="left" w:pos="3686"/>
          <w:tab w:val="left" w:pos="9498"/>
        </w:tabs>
        <w:ind w:left="-3734" w:right="-1" w:firstLine="7987"/>
        <w:rPr>
          <w:color w:val="000000" w:themeColor="text1"/>
        </w:rPr>
      </w:pPr>
      <w:r w:rsidRPr="00081AD4">
        <w:rPr>
          <w:color w:val="000000" w:themeColor="text1"/>
        </w:rPr>
        <w:t xml:space="preserve">Приложение № </w:t>
      </w:r>
      <w:r>
        <w:rPr>
          <w:color w:val="000000" w:themeColor="text1"/>
        </w:rPr>
        <w:t>10 к протоколу</w:t>
      </w:r>
      <w:r w:rsidRPr="00081AD4">
        <w:rPr>
          <w:color w:val="000000" w:themeColor="text1"/>
        </w:rPr>
        <w:t xml:space="preserve"> № </w:t>
      </w:r>
      <w:r>
        <w:rPr>
          <w:color w:val="000000" w:themeColor="text1"/>
        </w:rPr>
        <w:t>88</w:t>
      </w:r>
    </w:p>
    <w:p w14:paraId="5E890361" w14:textId="77777777" w:rsidR="00BA7227" w:rsidRPr="00081AD4" w:rsidRDefault="00BA7227" w:rsidP="00BA6654">
      <w:pPr>
        <w:tabs>
          <w:tab w:val="left" w:pos="3686"/>
          <w:tab w:val="left" w:pos="9498"/>
        </w:tabs>
        <w:ind w:left="-3734" w:right="-1" w:firstLine="7987"/>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49537DC0" w14:textId="77777777" w:rsidR="00BA7227" w:rsidRPr="00081AD4" w:rsidRDefault="00BA7227" w:rsidP="00BA6654">
      <w:pPr>
        <w:tabs>
          <w:tab w:val="left" w:pos="3686"/>
          <w:tab w:val="left" w:pos="9498"/>
        </w:tabs>
        <w:ind w:left="-3734" w:right="-1" w:firstLine="7987"/>
        <w:rPr>
          <w:color w:val="000000" w:themeColor="text1"/>
        </w:rPr>
      </w:pPr>
      <w:r w:rsidRPr="00081AD4">
        <w:rPr>
          <w:color w:val="000000" w:themeColor="text1"/>
        </w:rPr>
        <w:t>энергетической комиссии</w:t>
      </w:r>
    </w:p>
    <w:p w14:paraId="230BFC9A" w14:textId="1386FBC5" w:rsidR="00BA7227" w:rsidRDefault="00BA7227" w:rsidP="00BA6654">
      <w:pPr>
        <w:tabs>
          <w:tab w:val="left" w:pos="3686"/>
          <w:tab w:val="left" w:pos="9498"/>
        </w:tabs>
        <w:ind w:left="-3734" w:right="-1" w:firstLine="7987"/>
        <w:rPr>
          <w:color w:val="000000" w:themeColor="text1"/>
        </w:rPr>
      </w:pPr>
      <w:r w:rsidRPr="00081AD4">
        <w:rPr>
          <w:color w:val="000000" w:themeColor="text1"/>
        </w:rPr>
        <w:t xml:space="preserve">Кузбасса от </w:t>
      </w:r>
      <w:r>
        <w:rPr>
          <w:color w:val="000000" w:themeColor="text1"/>
        </w:rPr>
        <w:t>23</w:t>
      </w:r>
      <w:r w:rsidRPr="00081AD4">
        <w:rPr>
          <w:color w:val="000000" w:themeColor="text1"/>
        </w:rPr>
        <w:t>.</w:t>
      </w:r>
      <w:r>
        <w:rPr>
          <w:color w:val="000000" w:themeColor="text1"/>
        </w:rPr>
        <w:t>12</w:t>
      </w:r>
      <w:r w:rsidRPr="00081AD4">
        <w:rPr>
          <w:color w:val="000000" w:themeColor="text1"/>
        </w:rPr>
        <w:t>.202</w:t>
      </w:r>
      <w:r>
        <w:rPr>
          <w:color w:val="000000" w:themeColor="text1"/>
        </w:rPr>
        <w:t>1</w:t>
      </w:r>
    </w:p>
    <w:p w14:paraId="3C75766E" w14:textId="014D26D7" w:rsidR="00BA7227" w:rsidRDefault="00BA7227" w:rsidP="00BA7227">
      <w:pPr>
        <w:tabs>
          <w:tab w:val="left" w:pos="5580"/>
          <w:tab w:val="left" w:pos="9498"/>
        </w:tabs>
        <w:ind w:left="-3734" w:right="-569" w:firstLine="10255"/>
        <w:rPr>
          <w:color w:val="000000" w:themeColor="text1"/>
        </w:rPr>
      </w:pPr>
    </w:p>
    <w:p w14:paraId="07D7C786" w14:textId="7C0E02BE" w:rsidR="00BA7227" w:rsidRDefault="00BA7227" w:rsidP="00BA7227">
      <w:pPr>
        <w:tabs>
          <w:tab w:val="left" w:pos="5580"/>
          <w:tab w:val="left" w:pos="9498"/>
        </w:tabs>
        <w:ind w:left="-3734" w:right="-569" w:firstLine="10255"/>
        <w:rPr>
          <w:color w:val="000000" w:themeColor="text1"/>
        </w:rPr>
      </w:pPr>
    </w:p>
    <w:p w14:paraId="0089AD88" w14:textId="77777777" w:rsidR="0099088D" w:rsidRPr="001F6D8D" w:rsidRDefault="0099088D" w:rsidP="0099088D">
      <w:pPr>
        <w:ind w:firstLine="709"/>
        <w:jc w:val="center"/>
        <w:rPr>
          <w:b/>
          <w:sz w:val="28"/>
          <w:szCs w:val="28"/>
        </w:rPr>
      </w:pPr>
      <w:bookmarkStart w:id="10" w:name="_Hlt483802884"/>
      <w:r w:rsidRPr="001F6D8D">
        <w:rPr>
          <w:b/>
          <w:sz w:val="28"/>
          <w:szCs w:val="28"/>
        </w:rPr>
        <w:t>Экспертное заключение</w:t>
      </w:r>
    </w:p>
    <w:p w14:paraId="3CD2E424" w14:textId="77777777" w:rsidR="0099088D" w:rsidRPr="001F6D8D" w:rsidRDefault="0099088D" w:rsidP="0099088D">
      <w:pPr>
        <w:ind w:firstLine="709"/>
        <w:jc w:val="center"/>
        <w:rPr>
          <w:bCs/>
          <w:sz w:val="28"/>
          <w:szCs w:val="28"/>
        </w:rPr>
      </w:pPr>
      <w:r w:rsidRPr="001F6D8D">
        <w:rPr>
          <w:bCs/>
          <w:sz w:val="28"/>
          <w:szCs w:val="28"/>
        </w:rPr>
        <w:t>Региональной энергетической комиссии Кузбасса</w:t>
      </w:r>
    </w:p>
    <w:p w14:paraId="01871997" w14:textId="77777777" w:rsidR="0099088D" w:rsidRPr="001F6D8D" w:rsidRDefault="0099088D" w:rsidP="0099088D">
      <w:pPr>
        <w:keepNext/>
        <w:jc w:val="center"/>
        <w:outlineLvl w:val="0"/>
        <w:rPr>
          <w:sz w:val="28"/>
          <w:szCs w:val="28"/>
        </w:rPr>
      </w:pPr>
      <w:r w:rsidRPr="001F6D8D">
        <w:rPr>
          <w:sz w:val="28"/>
          <w:szCs w:val="28"/>
        </w:rPr>
        <w:t>об утверждении специальной надбавки к тарифам на транспортировку газа по газораспределительным сетям ООО «Газпром газораспределение Томск» на 2022 год для финансирования Программы газификации Кемеровской области на 2020-2024 годы</w:t>
      </w:r>
    </w:p>
    <w:bookmarkEnd w:id="10"/>
    <w:p w14:paraId="36ED72FF" w14:textId="77777777" w:rsidR="0099088D" w:rsidRPr="001F6D8D" w:rsidRDefault="0099088D" w:rsidP="0099088D">
      <w:pPr>
        <w:ind w:left="-284" w:firstLine="284"/>
        <w:rPr>
          <w:sz w:val="28"/>
          <w:szCs w:val="28"/>
        </w:rPr>
      </w:pPr>
    </w:p>
    <w:p w14:paraId="4E6182DE" w14:textId="77777777" w:rsidR="0099088D" w:rsidRPr="001F6D8D" w:rsidRDefault="0099088D" w:rsidP="0099088D">
      <w:pPr>
        <w:ind w:firstLine="709"/>
        <w:jc w:val="both"/>
        <w:rPr>
          <w:sz w:val="28"/>
          <w:szCs w:val="28"/>
        </w:rPr>
      </w:pPr>
      <w:r w:rsidRPr="001F6D8D">
        <w:rPr>
          <w:sz w:val="28"/>
          <w:szCs w:val="28"/>
        </w:rPr>
        <w:t>Настоящая программа газификации Кемеровской области разработана в целях продолжения программы газификации Кемеровской области на 2015-2019 годы, подлежащей финансированию за счет средств специальной надбавки к тарифу на услуги по транспортировке газа ООО «Газпром газораспределение Томск» и с учетом программы развития газоснабжения и газификации Кемеровской области на период с 2016 по 2020 годы, утвержденной ПАО «Газпром» и Администрацией Кемеровской области.</w:t>
      </w:r>
    </w:p>
    <w:p w14:paraId="0DE668FA" w14:textId="77777777" w:rsidR="0099088D" w:rsidRPr="001F6D8D" w:rsidRDefault="0099088D" w:rsidP="0099088D">
      <w:pPr>
        <w:ind w:firstLine="709"/>
        <w:jc w:val="both"/>
        <w:rPr>
          <w:sz w:val="28"/>
          <w:szCs w:val="28"/>
        </w:rPr>
      </w:pPr>
      <w:r w:rsidRPr="001F6D8D">
        <w:rPr>
          <w:sz w:val="28"/>
          <w:szCs w:val="28"/>
        </w:rPr>
        <w:t>Результатом реализации Программы будет являться развитие и строительство газораспределительных сетей:</w:t>
      </w:r>
    </w:p>
    <w:p w14:paraId="5B55E8A1" w14:textId="77777777" w:rsidR="0099088D" w:rsidRPr="001F6D8D" w:rsidRDefault="0099088D" w:rsidP="0099088D">
      <w:pPr>
        <w:tabs>
          <w:tab w:val="num" w:pos="0"/>
        </w:tabs>
        <w:ind w:firstLine="709"/>
        <w:jc w:val="both"/>
        <w:rPr>
          <w:sz w:val="28"/>
          <w:szCs w:val="28"/>
        </w:rPr>
      </w:pPr>
      <w:r w:rsidRPr="001F6D8D">
        <w:rPr>
          <w:sz w:val="28"/>
          <w:szCs w:val="28"/>
        </w:rPr>
        <w:t xml:space="preserve">«Распределительный газопровод среднего давления ж.р. Ягуновский </w:t>
      </w:r>
      <w:r w:rsidRPr="001F6D8D">
        <w:rPr>
          <w:sz w:val="28"/>
          <w:szCs w:val="28"/>
        </w:rPr>
        <w:br/>
        <w:t>г. Кемерово» I очередь;</w:t>
      </w:r>
    </w:p>
    <w:p w14:paraId="09CA4FF8" w14:textId="77777777" w:rsidR="0099088D" w:rsidRPr="001F6D8D" w:rsidRDefault="0099088D" w:rsidP="0099088D">
      <w:pPr>
        <w:tabs>
          <w:tab w:val="num" w:pos="0"/>
        </w:tabs>
        <w:ind w:firstLine="709"/>
        <w:jc w:val="both"/>
        <w:rPr>
          <w:sz w:val="28"/>
          <w:szCs w:val="28"/>
        </w:rPr>
      </w:pPr>
      <w:r w:rsidRPr="001F6D8D">
        <w:rPr>
          <w:sz w:val="28"/>
          <w:szCs w:val="28"/>
        </w:rPr>
        <w:t>«Распределительный газопровод по ул. Плодопитомник г. Кемерово»;</w:t>
      </w:r>
    </w:p>
    <w:p w14:paraId="316A8AA7" w14:textId="77777777" w:rsidR="0099088D" w:rsidRPr="001F6D8D" w:rsidRDefault="0099088D" w:rsidP="0099088D">
      <w:pPr>
        <w:tabs>
          <w:tab w:val="num" w:pos="0"/>
        </w:tabs>
        <w:ind w:firstLine="709"/>
        <w:jc w:val="both"/>
        <w:rPr>
          <w:sz w:val="28"/>
          <w:szCs w:val="28"/>
        </w:rPr>
      </w:pPr>
      <w:r w:rsidRPr="001F6D8D">
        <w:rPr>
          <w:sz w:val="28"/>
          <w:szCs w:val="28"/>
        </w:rPr>
        <w:t>«Газопровод высокого давления от ГРС «Черное озеро» до ж.р. Садовая г. Новокузнецка, Кемеровской области»;</w:t>
      </w:r>
    </w:p>
    <w:p w14:paraId="5F55ECED" w14:textId="77777777" w:rsidR="0099088D" w:rsidRPr="001F6D8D" w:rsidRDefault="0099088D" w:rsidP="0099088D">
      <w:pPr>
        <w:tabs>
          <w:tab w:val="num" w:pos="0"/>
        </w:tabs>
        <w:ind w:firstLine="709"/>
        <w:jc w:val="both"/>
        <w:rPr>
          <w:sz w:val="28"/>
          <w:szCs w:val="28"/>
        </w:rPr>
      </w:pPr>
      <w:r w:rsidRPr="001F6D8D">
        <w:rPr>
          <w:sz w:val="28"/>
          <w:szCs w:val="28"/>
        </w:rPr>
        <w:t>«Распределительный газопровод ж.р. Садовая г. Новокузнецка, Кемеровской области»;</w:t>
      </w:r>
    </w:p>
    <w:p w14:paraId="7E6F2C24" w14:textId="77777777" w:rsidR="0099088D" w:rsidRPr="001F6D8D" w:rsidRDefault="0099088D" w:rsidP="0099088D">
      <w:pPr>
        <w:tabs>
          <w:tab w:val="num" w:pos="0"/>
        </w:tabs>
        <w:ind w:firstLine="709"/>
        <w:jc w:val="both"/>
        <w:rPr>
          <w:sz w:val="28"/>
          <w:szCs w:val="28"/>
        </w:rPr>
      </w:pPr>
      <w:r w:rsidRPr="001F6D8D">
        <w:rPr>
          <w:sz w:val="28"/>
          <w:szCs w:val="28"/>
        </w:rPr>
        <w:t>«Газораспределительные сети п. Новостройка Кемеровского района Кемеровской области» II очередь;</w:t>
      </w:r>
    </w:p>
    <w:p w14:paraId="09FD5E70" w14:textId="77777777" w:rsidR="0099088D" w:rsidRPr="001F6D8D" w:rsidRDefault="0099088D" w:rsidP="0099088D">
      <w:pPr>
        <w:tabs>
          <w:tab w:val="num" w:pos="0"/>
        </w:tabs>
        <w:ind w:firstLine="709"/>
        <w:jc w:val="both"/>
        <w:rPr>
          <w:sz w:val="28"/>
          <w:szCs w:val="28"/>
        </w:rPr>
      </w:pPr>
      <w:r w:rsidRPr="001F6D8D">
        <w:rPr>
          <w:sz w:val="28"/>
          <w:szCs w:val="28"/>
        </w:rPr>
        <w:t>«Внутрипоселковый газопровод с. Ягуново, Кемеровского района Кемеровской области» II очередь второй этап;</w:t>
      </w:r>
    </w:p>
    <w:p w14:paraId="581C9DD1" w14:textId="77777777" w:rsidR="0099088D" w:rsidRPr="001F6D8D" w:rsidRDefault="0099088D" w:rsidP="0099088D">
      <w:pPr>
        <w:tabs>
          <w:tab w:val="num" w:pos="0"/>
        </w:tabs>
        <w:ind w:firstLine="709"/>
        <w:jc w:val="both"/>
        <w:rPr>
          <w:sz w:val="28"/>
          <w:szCs w:val="28"/>
        </w:rPr>
      </w:pPr>
      <w:r w:rsidRPr="001F6D8D">
        <w:rPr>
          <w:sz w:val="28"/>
          <w:szCs w:val="28"/>
        </w:rPr>
        <w:t>«Внутрипоселковый газопровод с. Андреевка, Кемеровского района Кемеровской области» III очередь;</w:t>
      </w:r>
    </w:p>
    <w:p w14:paraId="5CDF3E6E" w14:textId="77777777" w:rsidR="0099088D" w:rsidRPr="001F6D8D" w:rsidRDefault="0099088D" w:rsidP="0099088D">
      <w:pPr>
        <w:tabs>
          <w:tab w:val="num" w:pos="0"/>
        </w:tabs>
        <w:ind w:firstLine="709"/>
        <w:jc w:val="both"/>
        <w:rPr>
          <w:sz w:val="28"/>
          <w:szCs w:val="28"/>
        </w:rPr>
      </w:pPr>
      <w:r w:rsidRPr="001F6D8D">
        <w:rPr>
          <w:sz w:val="28"/>
          <w:szCs w:val="28"/>
        </w:rPr>
        <w:t>«Газопровод для газоснабжения малоэтажной жилой застройки ж.р. Кедровка западнее пересечения ул. Разрезовская и ул. Радужная» II очередь;</w:t>
      </w:r>
    </w:p>
    <w:p w14:paraId="7B6AE430" w14:textId="77777777" w:rsidR="0099088D" w:rsidRPr="001F6D8D" w:rsidRDefault="0099088D" w:rsidP="0099088D">
      <w:pPr>
        <w:tabs>
          <w:tab w:val="num" w:pos="0"/>
        </w:tabs>
        <w:ind w:firstLine="709"/>
        <w:jc w:val="both"/>
        <w:rPr>
          <w:sz w:val="28"/>
          <w:szCs w:val="28"/>
        </w:rPr>
      </w:pPr>
      <w:r w:rsidRPr="001F6D8D">
        <w:rPr>
          <w:sz w:val="28"/>
          <w:szCs w:val="28"/>
        </w:rPr>
        <w:t>«Распределительный газопровод перспективной жилой застройки 9-го микрорайона ж.р. Лесная поляна г. Кемерово»;</w:t>
      </w:r>
    </w:p>
    <w:p w14:paraId="4EC10AA9" w14:textId="77777777" w:rsidR="0099088D" w:rsidRPr="001F6D8D" w:rsidRDefault="0099088D" w:rsidP="0099088D">
      <w:pPr>
        <w:tabs>
          <w:tab w:val="num" w:pos="0"/>
        </w:tabs>
        <w:ind w:firstLine="709"/>
        <w:jc w:val="both"/>
        <w:rPr>
          <w:sz w:val="28"/>
          <w:szCs w:val="28"/>
        </w:rPr>
      </w:pPr>
      <w:r w:rsidRPr="001F6D8D">
        <w:rPr>
          <w:sz w:val="28"/>
          <w:szCs w:val="28"/>
        </w:rPr>
        <w:t>Сети газораспределения и газопотребления в рамках выполнения программы «Социальная газификация».</w:t>
      </w:r>
    </w:p>
    <w:p w14:paraId="5EC2CDBC" w14:textId="77777777" w:rsidR="0099088D" w:rsidRPr="001F6D8D" w:rsidRDefault="0099088D" w:rsidP="0099088D">
      <w:pPr>
        <w:ind w:firstLine="709"/>
        <w:jc w:val="both"/>
        <w:rPr>
          <w:sz w:val="28"/>
          <w:szCs w:val="28"/>
        </w:rPr>
      </w:pPr>
      <w:r w:rsidRPr="001F6D8D">
        <w:rPr>
          <w:sz w:val="28"/>
          <w:szCs w:val="28"/>
        </w:rPr>
        <w:t xml:space="preserve">В качестве обоснований программы представлены: </w:t>
      </w:r>
    </w:p>
    <w:p w14:paraId="725B850D" w14:textId="77777777" w:rsidR="0099088D" w:rsidRPr="001F6D8D" w:rsidRDefault="0099088D" w:rsidP="0099088D">
      <w:pPr>
        <w:ind w:firstLine="709"/>
        <w:jc w:val="both"/>
        <w:rPr>
          <w:sz w:val="28"/>
          <w:szCs w:val="28"/>
          <w:lang w:eastAsia="en-US"/>
        </w:rPr>
      </w:pPr>
      <w:r w:rsidRPr="001F6D8D">
        <w:rPr>
          <w:sz w:val="28"/>
          <w:szCs w:val="28"/>
          <w:lang w:eastAsia="en-US"/>
        </w:rPr>
        <w:t>-Технические показатели программы газификации;</w:t>
      </w:r>
    </w:p>
    <w:p w14:paraId="3C0C492C" w14:textId="77777777" w:rsidR="0099088D" w:rsidRPr="001F6D8D" w:rsidRDefault="0099088D" w:rsidP="0099088D">
      <w:pPr>
        <w:ind w:firstLine="709"/>
        <w:jc w:val="both"/>
        <w:rPr>
          <w:sz w:val="28"/>
          <w:szCs w:val="28"/>
          <w:lang w:eastAsia="en-US"/>
        </w:rPr>
      </w:pPr>
      <w:r w:rsidRPr="001F6D8D">
        <w:rPr>
          <w:sz w:val="28"/>
          <w:szCs w:val="28"/>
          <w:lang w:eastAsia="en-US"/>
        </w:rPr>
        <w:t>-Характеристика вновь газифицируемых потребителей;</w:t>
      </w:r>
    </w:p>
    <w:p w14:paraId="3E5FE3CB" w14:textId="77777777" w:rsidR="0099088D" w:rsidRPr="001F6D8D" w:rsidRDefault="0099088D" w:rsidP="0099088D">
      <w:pPr>
        <w:ind w:firstLine="709"/>
        <w:jc w:val="both"/>
        <w:rPr>
          <w:sz w:val="28"/>
          <w:szCs w:val="28"/>
          <w:lang w:eastAsia="en-US"/>
        </w:rPr>
      </w:pPr>
      <w:r w:rsidRPr="001F6D8D">
        <w:rPr>
          <w:sz w:val="28"/>
          <w:szCs w:val="28"/>
          <w:lang w:eastAsia="en-US"/>
        </w:rPr>
        <w:t>-Расчет планируемых объемов поставки газа новым потребителям;</w:t>
      </w:r>
    </w:p>
    <w:p w14:paraId="7FB2AF2B" w14:textId="77777777" w:rsidR="0099088D" w:rsidRPr="001F6D8D" w:rsidRDefault="0099088D" w:rsidP="0099088D">
      <w:pPr>
        <w:ind w:firstLine="709"/>
        <w:jc w:val="both"/>
        <w:rPr>
          <w:sz w:val="28"/>
          <w:szCs w:val="28"/>
          <w:lang w:eastAsia="en-US"/>
        </w:rPr>
      </w:pPr>
      <w:r w:rsidRPr="001F6D8D">
        <w:rPr>
          <w:sz w:val="28"/>
          <w:szCs w:val="28"/>
          <w:lang w:eastAsia="en-US"/>
        </w:rPr>
        <w:t>-Структура топливно-энергетического баланса и баланса газопотребления;</w:t>
      </w:r>
    </w:p>
    <w:p w14:paraId="04F70F51" w14:textId="77777777" w:rsidR="0099088D" w:rsidRPr="001F6D8D" w:rsidRDefault="0099088D" w:rsidP="0099088D">
      <w:pPr>
        <w:ind w:firstLine="709"/>
        <w:jc w:val="both"/>
        <w:rPr>
          <w:sz w:val="28"/>
          <w:szCs w:val="28"/>
          <w:lang w:eastAsia="en-US"/>
        </w:rPr>
      </w:pPr>
      <w:r w:rsidRPr="001F6D8D">
        <w:rPr>
          <w:sz w:val="28"/>
          <w:szCs w:val="28"/>
          <w:lang w:eastAsia="en-US"/>
        </w:rPr>
        <w:t>-Проектный уровень загрузки вновь строящихся газораспределительных сетей и дальнейшие перспективы ее увеличения;</w:t>
      </w:r>
    </w:p>
    <w:p w14:paraId="1513524C" w14:textId="77777777" w:rsidR="0099088D" w:rsidRPr="001F6D8D" w:rsidRDefault="0099088D" w:rsidP="0099088D">
      <w:pPr>
        <w:ind w:firstLine="709"/>
        <w:jc w:val="both"/>
        <w:rPr>
          <w:sz w:val="28"/>
          <w:szCs w:val="28"/>
          <w:lang w:eastAsia="en-US"/>
        </w:rPr>
      </w:pPr>
      <w:r w:rsidRPr="001F6D8D">
        <w:rPr>
          <w:sz w:val="28"/>
          <w:szCs w:val="28"/>
          <w:lang w:eastAsia="en-US"/>
        </w:rPr>
        <w:t>-Планируемые мероприятия по оснащению подключаемых и существующих потребителей приборами учета расхода газа;</w:t>
      </w:r>
    </w:p>
    <w:p w14:paraId="2148E61C" w14:textId="77777777" w:rsidR="0099088D" w:rsidRPr="001F6D8D" w:rsidRDefault="0099088D" w:rsidP="0099088D">
      <w:pPr>
        <w:ind w:firstLine="709"/>
        <w:jc w:val="both"/>
        <w:rPr>
          <w:sz w:val="28"/>
          <w:szCs w:val="28"/>
          <w:lang w:eastAsia="en-US"/>
        </w:rPr>
      </w:pPr>
      <w:r w:rsidRPr="001F6D8D">
        <w:rPr>
          <w:sz w:val="28"/>
          <w:szCs w:val="28"/>
          <w:lang w:eastAsia="en-US"/>
        </w:rPr>
        <w:t>-Оценка экономической обоснованности стоимости проектно-изыскательских и строительно-монтажных работ, предусмотренных программой газификации;</w:t>
      </w:r>
    </w:p>
    <w:p w14:paraId="04B07201" w14:textId="77777777" w:rsidR="0099088D" w:rsidRPr="001F6D8D" w:rsidRDefault="0099088D" w:rsidP="0099088D">
      <w:pPr>
        <w:ind w:firstLine="709"/>
        <w:jc w:val="both"/>
        <w:rPr>
          <w:sz w:val="28"/>
          <w:szCs w:val="28"/>
          <w:lang w:eastAsia="en-US"/>
        </w:rPr>
      </w:pPr>
      <w:r w:rsidRPr="001F6D8D">
        <w:rPr>
          <w:sz w:val="28"/>
          <w:szCs w:val="28"/>
          <w:lang w:eastAsia="en-US"/>
        </w:rPr>
        <w:t>-Оценка соответствия графика финансирования календарному плану производства работ;</w:t>
      </w:r>
    </w:p>
    <w:p w14:paraId="00123BD3" w14:textId="77777777" w:rsidR="0099088D" w:rsidRPr="001F6D8D" w:rsidRDefault="0099088D" w:rsidP="0099088D">
      <w:pPr>
        <w:ind w:firstLine="709"/>
        <w:jc w:val="both"/>
        <w:rPr>
          <w:sz w:val="28"/>
          <w:szCs w:val="28"/>
          <w:lang w:eastAsia="en-US"/>
        </w:rPr>
      </w:pPr>
      <w:r w:rsidRPr="001F6D8D">
        <w:rPr>
          <w:sz w:val="28"/>
          <w:szCs w:val="28"/>
          <w:lang w:eastAsia="en-US"/>
        </w:rPr>
        <w:t>-Расходы на эксплуатацию газораспределительных сетей;</w:t>
      </w:r>
    </w:p>
    <w:p w14:paraId="568DCE9D" w14:textId="77777777" w:rsidR="0099088D" w:rsidRPr="001F6D8D" w:rsidRDefault="0099088D" w:rsidP="0099088D">
      <w:pPr>
        <w:ind w:firstLine="709"/>
        <w:jc w:val="both"/>
        <w:rPr>
          <w:sz w:val="28"/>
          <w:szCs w:val="28"/>
          <w:lang w:eastAsia="en-US"/>
        </w:rPr>
      </w:pPr>
      <w:r w:rsidRPr="001F6D8D">
        <w:rPr>
          <w:sz w:val="28"/>
          <w:szCs w:val="28"/>
          <w:lang w:eastAsia="en-US"/>
        </w:rPr>
        <w:t>-Расчет размера специальной надбавки к тарифам на услуги по транспортировке газа ООО «Газпром газораспределение Томск»;</w:t>
      </w:r>
    </w:p>
    <w:p w14:paraId="193C4963" w14:textId="77777777" w:rsidR="0099088D" w:rsidRPr="001F6D8D" w:rsidRDefault="0099088D" w:rsidP="0099088D">
      <w:pPr>
        <w:ind w:firstLine="709"/>
        <w:jc w:val="both"/>
        <w:rPr>
          <w:sz w:val="28"/>
          <w:szCs w:val="28"/>
          <w:lang w:eastAsia="en-US"/>
        </w:rPr>
      </w:pPr>
      <w:r w:rsidRPr="001F6D8D">
        <w:rPr>
          <w:sz w:val="28"/>
          <w:szCs w:val="28"/>
          <w:lang w:eastAsia="en-US"/>
        </w:rPr>
        <w:t>-График освоения капитальных вложений по Программе газификации Кемеровской области;</w:t>
      </w:r>
    </w:p>
    <w:p w14:paraId="38D80EBE" w14:textId="77777777" w:rsidR="0099088D" w:rsidRPr="001F6D8D" w:rsidRDefault="0099088D" w:rsidP="0099088D">
      <w:pPr>
        <w:ind w:firstLine="709"/>
        <w:jc w:val="both"/>
        <w:rPr>
          <w:sz w:val="28"/>
          <w:szCs w:val="28"/>
          <w:lang w:eastAsia="en-US"/>
        </w:rPr>
      </w:pPr>
      <w:r w:rsidRPr="001F6D8D">
        <w:rPr>
          <w:sz w:val="28"/>
          <w:szCs w:val="28"/>
          <w:lang w:eastAsia="en-US"/>
        </w:rPr>
        <w:t>-Прирост объемов потребления газа по Программе газификации Кемеровской области;</w:t>
      </w:r>
    </w:p>
    <w:p w14:paraId="53BA5634" w14:textId="77777777" w:rsidR="0099088D" w:rsidRPr="001F6D8D" w:rsidRDefault="0099088D" w:rsidP="0099088D">
      <w:pPr>
        <w:ind w:firstLine="709"/>
        <w:jc w:val="both"/>
        <w:rPr>
          <w:sz w:val="28"/>
          <w:szCs w:val="28"/>
          <w:lang w:eastAsia="en-US"/>
        </w:rPr>
      </w:pPr>
      <w:r w:rsidRPr="001F6D8D">
        <w:rPr>
          <w:sz w:val="28"/>
          <w:szCs w:val="28"/>
          <w:lang w:eastAsia="en-US"/>
        </w:rPr>
        <w:t>-Постановления, письма, отчеты по Программе газификации Кемеровской области.</w:t>
      </w:r>
    </w:p>
    <w:p w14:paraId="2E89F829" w14:textId="77777777" w:rsidR="0099088D" w:rsidRPr="001F6D8D" w:rsidRDefault="0099088D" w:rsidP="0099088D">
      <w:pPr>
        <w:ind w:firstLine="709"/>
        <w:jc w:val="both"/>
        <w:rPr>
          <w:sz w:val="28"/>
          <w:szCs w:val="28"/>
        </w:rPr>
      </w:pPr>
      <w:r w:rsidRPr="001F6D8D">
        <w:rPr>
          <w:sz w:val="28"/>
          <w:szCs w:val="28"/>
        </w:rPr>
        <w:t xml:space="preserve">В соответствии с календарным плановым графиком осуществления проектных, строительно-монтажных и прочих работ, представленном в составе Программа газификации Кемеровской области на 2020 – 2024 годы необходимо обеспечить финансирование программы в объеме </w:t>
      </w:r>
      <w:r w:rsidRPr="001F6D8D">
        <w:rPr>
          <w:b/>
          <w:sz w:val="28"/>
          <w:szCs w:val="28"/>
        </w:rPr>
        <w:t>604 559,81</w:t>
      </w:r>
      <w:r w:rsidRPr="001F6D8D">
        <w:rPr>
          <w:sz w:val="28"/>
          <w:szCs w:val="28"/>
        </w:rPr>
        <w:t xml:space="preserve"> тыс. руб. (без НДС), а также необходимо обеспечить выпадающие доходы от оказания услуг по технологическому присоединению газоиспользующего оборудования к газораспределительным сетям на период с 01.01.2020 по 31.12.2024 в размере </w:t>
      </w:r>
      <w:r w:rsidRPr="001F6D8D">
        <w:rPr>
          <w:b/>
          <w:sz w:val="28"/>
          <w:szCs w:val="28"/>
        </w:rPr>
        <w:t>72 652,08</w:t>
      </w:r>
      <w:r w:rsidRPr="001F6D8D">
        <w:rPr>
          <w:sz w:val="28"/>
          <w:szCs w:val="28"/>
        </w:rPr>
        <w:t xml:space="preserve"> тыс. руб. </w:t>
      </w:r>
    </w:p>
    <w:p w14:paraId="7E020C9D" w14:textId="77777777" w:rsidR="0099088D" w:rsidRPr="001F6D8D" w:rsidRDefault="0099088D" w:rsidP="0099088D">
      <w:pPr>
        <w:ind w:firstLine="709"/>
        <w:jc w:val="both"/>
        <w:rPr>
          <w:sz w:val="28"/>
          <w:szCs w:val="28"/>
        </w:rPr>
      </w:pPr>
      <w:r w:rsidRPr="001F6D8D">
        <w:rPr>
          <w:sz w:val="28"/>
          <w:szCs w:val="28"/>
        </w:rPr>
        <w:t xml:space="preserve">Реализуемые в рамках настоящей программы мероприятия, с учетом роста потребления, обеспечат прирост годового объема потребления природного газа потребителями Кемеровской области в размере </w:t>
      </w:r>
      <w:r w:rsidRPr="001F6D8D">
        <w:rPr>
          <w:b/>
          <w:sz w:val="28"/>
          <w:szCs w:val="28"/>
        </w:rPr>
        <w:t xml:space="preserve">24,40 </w:t>
      </w:r>
      <w:r w:rsidRPr="001F6D8D">
        <w:rPr>
          <w:sz w:val="28"/>
          <w:szCs w:val="28"/>
        </w:rPr>
        <w:t>млн. м³.</w:t>
      </w:r>
    </w:p>
    <w:p w14:paraId="2FAAED6E" w14:textId="77777777" w:rsidR="0099088D" w:rsidRPr="001F6D8D" w:rsidRDefault="0099088D" w:rsidP="0099088D">
      <w:pPr>
        <w:ind w:firstLine="709"/>
        <w:jc w:val="both"/>
        <w:rPr>
          <w:sz w:val="28"/>
          <w:szCs w:val="28"/>
        </w:rPr>
      </w:pPr>
      <w:r w:rsidRPr="001F6D8D">
        <w:rPr>
          <w:sz w:val="28"/>
          <w:szCs w:val="28"/>
        </w:rPr>
        <w:t>Для реализации программы газификации в данных объёмах и сроках при планируемых объёмах транспортировки природного газа на 2020-2024 годы в Кемеровской области на 2022 год необходимо установить специальную надбавку.</w:t>
      </w:r>
    </w:p>
    <w:p w14:paraId="4B635B51" w14:textId="77777777" w:rsidR="0099088D" w:rsidRPr="001F6D8D" w:rsidRDefault="0099088D" w:rsidP="0099088D">
      <w:pPr>
        <w:ind w:firstLine="709"/>
        <w:jc w:val="both"/>
        <w:rPr>
          <w:sz w:val="28"/>
          <w:szCs w:val="28"/>
        </w:rPr>
      </w:pPr>
      <w:r w:rsidRPr="001F6D8D">
        <w:rPr>
          <w:sz w:val="28"/>
          <w:szCs w:val="28"/>
        </w:rPr>
        <w:t>В соответствии с Методикой определения размера специальных надбавок к тарифам на транспортировку газа газораспределительными организациями для финансирования программ газификации, утвержденной Приказом ФСТ РФ от 21.06.2011 № 154-э/4 и Постановлением Правительства РФ от 03.05.2001</w:t>
      </w:r>
      <w:r w:rsidRPr="001F6D8D">
        <w:rPr>
          <w:sz w:val="28"/>
          <w:szCs w:val="28"/>
        </w:rPr>
        <w:tab/>
      </w:r>
      <w:r w:rsidRPr="001F6D8D">
        <w:rPr>
          <w:sz w:val="28"/>
          <w:szCs w:val="28"/>
        </w:rPr>
        <w:br/>
        <w:t>№ 335 «О порядке установления специальных надбавок к тарифам на транспортировку газа газораспределительными организациями для финансирования программ газификации»), средний размер специальной надбавки для соответствующей газораспределительной организации не может превышать 35 процентов (включая налог на прибыль организаций, возникающий от применения специальной надбавки) от среднего размера тарифа на услуги по транспортировке газа по газораспределительным сетям для конечных потребителей.</w:t>
      </w:r>
      <w:r w:rsidRPr="001F6D8D">
        <w:t xml:space="preserve"> </w:t>
      </w:r>
      <w:r w:rsidRPr="001F6D8D">
        <w:rPr>
          <w:sz w:val="28"/>
          <w:szCs w:val="28"/>
        </w:rPr>
        <w:t>В соответствии с прогнозным размером среднего тарифа (</w:t>
      </w:r>
      <w:r w:rsidRPr="001F6D8D">
        <w:rPr>
          <w:b/>
          <w:bCs/>
          <w:sz w:val="28"/>
          <w:szCs w:val="28"/>
        </w:rPr>
        <w:t>172,98</w:t>
      </w:r>
      <w:r w:rsidRPr="001F6D8D">
        <w:rPr>
          <w:b/>
          <w:sz w:val="28"/>
          <w:szCs w:val="28"/>
        </w:rPr>
        <w:t xml:space="preserve"> </w:t>
      </w:r>
      <w:r w:rsidRPr="001F6D8D">
        <w:rPr>
          <w:sz w:val="28"/>
          <w:szCs w:val="28"/>
        </w:rPr>
        <w:t xml:space="preserve">руб./тыс. куб. метров в 2022 году), максимально возможный размер специальной надбавки с учетом налога на прибыль составляет 60,54 руб./тыс. куб. метров. Расчетная величина специальной надбавки с учетом налога на прибыль на 2022 год составила </w:t>
      </w:r>
      <w:r w:rsidRPr="001F6D8D">
        <w:rPr>
          <w:b/>
          <w:sz w:val="28"/>
          <w:szCs w:val="28"/>
        </w:rPr>
        <w:t xml:space="preserve">60,54 </w:t>
      </w:r>
      <w:r w:rsidRPr="001F6D8D">
        <w:rPr>
          <w:sz w:val="28"/>
          <w:szCs w:val="28"/>
        </w:rPr>
        <w:t>руб./тыс. куб. метров.</w:t>
      </w:r>
    </w:p>
    <w:p w14:paraId="3DB321C5" w14:textId="77777777" w:rsidR="0099088D" w:rsidRPr="001F6D8D" w:rsidRDefault="0099088D" w:rsidP="0099088D">
      <w:pPr>
        <w:ind w:firstLine="709"/>
        <w:jc w:val="both"/>
        <w:rPr>
          <w:sz w:val="28"/>
          <w:szCs w:val="28"/>
        </w:rPr>
      </w:pPr>
      <w:r w:rsidRPr="001F6D8D">
        <w:rPr>
          <w:sz w:val="28"/>
          <w:szCs w:val="28"/>
        </w:rPr>
        <w:t xml:space="preserve">Экспертная группа, изучив обосновывающие материалы, учитывая их полноту и качество, предлагает принять размер специальной надбавки к тарифам на услуги по транспортировке природного газа по газораспределительным сетям, оказываемые ООО «Газпром газораспределение Томск» потребителям Кемеровской области, для финансирования Программы газификации Кемеровской области на 2022 год в размере </w:t>
      </w:r>
      <w:r w:rsidRPr="001F6D8D">
        <w:rPr>
          <w:b/>
          <w:sz w:val="28"/>
          <w:szCs w:val="28"/>
        </w:rPr>
        <w:t xml:space="preserve">60,54 </w:t>
      </w:r>
      <w:r w:rsidRPr="001F6D8D">
        <w:rPr>
          <w:sz w:val="28"/>
          <w:szCs w:val="28"/>
        </w:rPr>
        <w:t>рублей за 1000 кубических метров транспортируемого газа (без учета НДС и включая налог на прибыль). Специальная надбавка распространяется на все группы потребителей газа, кроме группы «население».</w:t>
      </w:r>
    </w:p>
    <w:p w14:paraId="1C235943" w14:textId="77777777" w:rsidR="0099088D" w:rsidRPr="001F6D8D" w:rsidRDefault="0099088D" w:rsidP="0099088D">
      <w:pPr>
        <w:jc w:val="both"/>
        <w:rPr>
          <w:sz w:val="28"/>
          <w:szCs w:val="28"/>
        </w:rPr>
      </w:pPr>
    </w:p>
    <w:p w14:paraId="132418E3" w14:textId="77777777" w:rsidR="0099088D" w:rsidRPr="001F6D8D" w:rsidRDefault="0099088D" w:rsidP="0099088D">
      <w:pPr>
        <w:jc w:val="both"/>
        <w:rPr>
          <w:sz w:val="28"/>
          <w:szCs w:val="28"/>
        </w:rPr>
      </w:pPr>
    </w:p>
    <w:p w14:paraId="6ADB831F" w14:textId="77777777" w:rsidR="0099088D" w:rsidRDefault="0099088D" w:rsidP="0099088D">
      <w:pPr>
        <w:tabs>
          <w:tab w:val="left" w:pos="5580"/>
          <w:tab w:val="left" w:pos="9498"/>
        </w:tabs>
        <w:ind w:right="-569"/>
        <w:rPr>
          <w:color w:val="000000" w:themeColor="text1"/>
        </w:rPr>
        <w:sectPr w:rsidR="0099088D" w:rsidSect="0099088D">
          <w:pgSz w:w="11906" w:h="16838"/>
          <w:pgMar w:top="1134" w:right="850" w:bottom="1134" w:left="1701" w:header="708" w:footer="708" w:gutter="0"/>
          <w:cols w:space="708"/>
          <w:docGrid w:linePitch="360"/>
        </w:sectPr>
      </w:pPr>
    </w:p>
    <w:p w14:paraId="255B9EB9" w14:textId="5724F360" w:rsidR="00BA6654" w:rsidRPr="00081AD4" w:rsidRDefault="00BA6654" w:rsidP="00BA6654">
      <w:pPr>
        <w:tabs>
          <w:tab w:val="left" w:pos="3686"/>
          <w:tab w:val="left" w:pos="9498"/>
        </w:tabs>
        <w:ind w:left="-3734" w:right="-1" w:firstLine="7987"/>
        <w:rPr>
          <w:color w:val="000000" w:themeColor="text1"/>
        </w:rPr>
      </w:pPr>
      <w:r w:rsidRPr="00081AD4">
        <w:rPr>
          <w:color w:val="000000" w:themeColor="text1"/>
        </w:rPr>
        <w:t xml:space="preserve">Приложение № </w:t>
      </w:r>
      <w:r>
        <w:rPr>
          <w:color w:val="000000" w:themeColor="text1"/>
        </w:rPr>
        <w:t>1</w:t>
      </w:r>
      <w:r>
        <w:rPr>
          <w:color w:val="000000" w:themeColor="text1"/>
        </w:rPr>
        <w:t>1</w:t>
      </w:r>
      <w:r>
        <w:rPr>
          <w:color w:val="000000" w:themeColor="text1"/>
        </w:rPr>
        <w:t xml:space="preserve"> к протоколу</w:t>
      </w:r>
      <w:r w:rsidRPr="00081AD4">
        <w:rPr>
          <w:color w:val="000000" w:themeColor="text1"/>
        </w:rPr>
        <w:t xml:space="preserve"> № </w:t>
      </w:r>
      <w:r>
        <w:rPr>
          <w:color w:val="000000" w:themeColor="text1"/>
        </w:rPr>
        <w:t>88</w:t>
      </w:r>
    </w:p>
    <w:p w14:paraId="46E4F766" w14:textId="77777777" w:rsidR="00BA6654" w:rsidRPr="00081AD4" w:rsidRDefault="00BA6654" w:rsidP="00BA6654">
      <w:pPr>
        <w:tabs>
          <w:tab w:val="left" w:pos="3686"/>
          <w:tab w:val="left" w:pos="9498"/>
        </w:tabs>
        <w:ind w:left="-3734" w:right="-1" w:firstLine="7987"/>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58F3D5E0" w14:textId="77777777" w:rsidR="00BA6654" w:rsidRPr="00081AD4" w:rsidRDefault="00BA6654" w:rsidP="00BA6654">
      <w:pPr>
        <w:tabs>
          <w:tab w:val="left" w:pos="3686"/>
          <w:tab w:val="left" w:pos="9498"/>
        </w:tabs>
        <w:ind w:left="-3734" w:right="-1" w:firstLine="7987"/>
        <w:rPr>
          <w:color w:val="000000" w:themeColor="text1"/>
        </w:rPr>
      </w:pPr>
      <w:r w:rsidRPr="00081AD4">
        <w:rPr>
          <w:color w:val="000000" w:themeColor="text1"/>
        </w:rPr>
        <w:t>энергетической комиссии</w:t>
      </w:r>
    </w:p>
    <w:p w14:paraId="1D60D9B4" w14:textId="77777777" w:rsidR="00BA6654" w:rsidRDefault="00BA6654" w:rsidP="00BA6654">
      <w:pPr>
        <w:tabs>
          <w:tab w:val="left" w:pos="3686"/>
          <w:tab w:val="left" w:pos="9498"/>
        </w:tabs>
        <w:ind w:left="-3734" w:right="-1" w:firstLine="7987"/>
        <w:rPr>
          <w:color w:val="000000" w:themeColor="text1"/>
        </w:rPr>
      </w:pPr>
      <w:r w:rsidRPr="00081AD4">
        <w:rPr>
          <w:color w:val="000000" w:themeColor="text1"/>
        </w:rPr>
        <w:t xml:space="preserve">Кузбасса от </w:t>
      </w:r>
      <w:r>
        <w:rPr>
          <w:color w:val="000000" w:themeColor="text1"/>
        </w:rPr>
        <w:t>23</w:t>
      </w:r>
      <w:r w:rsidRPr="00081AD4">
        <w:rPr>
          <w:color w:val="000000" w:themeColor="text1"/>
        </w:rPr>
        <w:t>.</w:t>
      </w:r>
      <w:r>
        <w:rPr>
          <w:color w:val="000000" w:themeColor="text1"/>
        </w:rPr>
        <w:t>12</w:t>
      </w:r>
      <w:r w:rsidRPr="00081AD4">
        <w:rPr>
          <w:color w:val="000000" w:themeColor="text1"/>
        </w:rPr>
        <w:t>.202</w:t>
      </w:r>
      <w:r>
        <w:rPr>
          <w:color w:val="000000" w:themeColor="text1"/>
        </w:rPr>
        <w:t>1</w:t>
      </w:r>
    </w:p>
    <w:p w14:paraId="3388F2B3" w14:textId="7E127691" w:rsidR="0099088D" w:rsidRDefault="0099088D" w:rsidP="0099088D">
      <w:pPr>
        <w:tabs>
          <w:tab w:val="left" w:pos="5580"/>
          <w:tab w:val="left" w:pos="9498"/>
        </w:tabs>
        <w:ind w:left="-2347" w:right="-569" w:firstLine="6883"/>
        <w:rPr>
          <w:color w:val="000000" w:themeColor="text1"/>
        </w:rPr>
      </w:pPr>
    </w:p>
    <w:p w14:paraId="27D393DF" w14:textId="77777777" w:rsidR="0099088D" w:rsidRDefault="0099088D" w:rsidP="0099088D">
      <w:pPr>
        <w:tabs>
          <w:tab w:val="left" w:pos="5580"/>
          <w:tab w:val="left" w:pos="9498"/>
        </w:tabs>
        <w:ind w:left="-2347" w:right="-569" w:firstLine="6883"/>
        <w:rPr>
          <w:color w:val="000000" w:themeColor="text1"/>
        </w:rPr>
      </w:pPr>
    </w:p>
    <w:p w14:paraId="7ADC997D" w14:textId="77777777" w:rsidR="0099088D" w:rsidRPr="001216C5" w:rsidRDefault="0099088D" w:rsidP="0099088D">
      <w:pPr>
        <w:ind w:firstLine="709"/>
        <w:jc w:val="center"/>
        <w:rPr>
          <w:b/>
          <w:sz w:val="28"/>
          <w:szCs w:val="28"/>
        </w:rPr>
      </w:pPr>
      <w:r w:rsidRPr="001216C5">
        <w:rPr>
          <w:b/>
          <w:sz w:val="28"/>
          <w:szCs w:val="28"/>
        </w:rPr>
        <w:t>Экспертное заключение</w:t>
      </w:r>
    </w:p>
    <w:p w14:paraId="7BF95B8C" w14:textId="77777777" w:rsidR="0099088D" w:rsidRPr="001216C5" w:rsidRDefault="0099088D" w:rsidP="0099088D">
      <w:pPr>
        <w:ind w:firstLine="709"/>
        <w:jc w:val="center"/>
        <w:rPr>
          <w:bCs/>
          <w:sz w:val="28"/>
          <w:szCs w:val="28"/>
        </w:rPr>
      </w:pPr>
      <w:r w:rsidRPr="001216C5">
        <w:rPr>
          <w:bCs/>
          <w:sz w:val="28"/>
          <w:szCs w:val="28"/>
        </w:rPr>
        <w:t>Региональной энергетической комиссии Кузбасса</w:t>
      </w:r>
    </w:p>
    <w:p w14:paraId="283A15E7" w14:textId="77777777" w:rsidR="0099088D" w:rsidRPr="001216C5" w:rsidRDefault="0099088D" w:rsidP="0099088D">
      <w:pPr>
        <w:ind w:firstLine="709"/>
        <w:jc w:val="center"/>
        <w:rPr>
          <w:sz w:val="28"/>
          <w:szCs w:val="28"/>
        </w:rPr>
      </w:pPr>
      <w:r w:rsidRPr="001216C5">
        <w:rPr>
          <w:sz w:val="28"/>
          <w:szCs w:val="28"/>
        </w:rPr>
        <w:t>по материалам, представленным ООО «Газпром газораспределение Томск» для утверждения платы за технологическое присоединение газоиспользующего оборудования к газораспределительным сетям ООО «Газпром газораспределение Томск» на территории Кемеровской области - Кузбасса на 2022 год</w:t>
      </w:r>
    </w:p>
    <w:p w14:paraId="57670520" w14:textId="77777777" w:rsidR="0099088D" w:rsidRPr="001216C5" w:rsidRDefault="0099088D" w:rsidP="0099088D">
      <w:pPr>
        <w:jc w:val="both"/>
        <w:rPr>
          <w:sz w:val="28"/>
          <w:szCs w:val="28"/>
        </w:rPr>
      </w:pPr>
    </w:p>
    <w:p w14:paraId="263C7E09" w14:textId="77777777" w:rsidR="0099088D" w:rsidRPr="001216C5" w:rsidRDefault="0099088D" w:rsidP="0099088D">
      <w:pPr>
        <w:ind w:firstLine="720"/>
        <w:jc w:val="both"/>
        <w:rPr>
          <w:sz w:val="28"/>
          <w:szCs w:val="28"/>
        </w:rPr>
      </w:pPr>
      <w:r w:rsidRPr="001216C5">
        <w:rPr>
          <w:sz w:val="28"/>
          <w:szCs w:val="28"/>
        </w:rPr>
        <w:t>Нормативно-методической основой проведения анализа являются:</w:t>
      </w:r>
    </w:p>
    <w:p w14:paraId="79BBD7D6" w14:textId="77777777" w:rsidR="0099088D" w:rsidRPr="001216C5" w:rsidRDefault="0099088D" w:rsidP="0099088D">
      <w:pPr>
        <w:numPr>
          <w:ilvl w:val="1"/>
          <w:numId w:val="8"/>
        </w:numPr>
        <w:tabs>
          <w:tab w:val="num" w:pos="360"/>
          <w:tab w:val="num" w:pos="1080"/>
          <w:tab w:val="left" w:pos="10080"/>
        </w:tabs>
        <w:ind w:left="1080"/>
        <w:jc w:val="both"/>
        <w:rPr>
          <w:sz w:val="28"/>
          <w:szCs w:val="28"/>
        </w:rPr>
      </w:pPr>
      <w:r w:rsidRPr="001216C5">
        <w:rPr>
          <w:sz w:val="28"/>
          <w:szCs w:val="28"/>
        </w:rPr>
        <w:t>Гражданский кодекс Российской Федерации;</w:t>
      </w:r>
    </w:p>
    <w:p w14:paraId="36543244" w14:textId="77777777" w:rsidR="0099088D" w:rsidRPr="001216C5" w:rsidRDefault="0099088D" w:rsidP="0099088D">
      <w:pPr>
        <w:numPr>
          <w:ilvl w:val="1"/>
          <w:numId w:val="8"/>
        </w:numPr>
        <w:tabs>
          <w:tab w:val="num" w:pos="360"/>
          <w:tab w:val="num" w:pos="1080"/>
          <w:tab w:val="left" w:pos="10080"/>
        </w:tabs>
        <w:ind w:left="1080"/>
        <w:jc w:val="both"/>
        <w:rPr>
          <w:sz w:val="28"/>
          <w:szCs w:val="28"/>
        </w:rPr>
      </w:pPr>
      <w:r w:rsidRPr="001216C5">
        <w:rPr>
          <w:sz w:val="28"/>
          <w:szCs w:val="28"/>
        </w:rPr>
        <w:t>Налоговый кодекс Российской Федерации (в дальнейшем НК РФ);</w:t>
      </w:r>
    </w:p>
    <w:p w14:paraId="5719288D" w14:textId="77777777" w:rsidR="0099088D" w:rsidRPr="001216C5" w:rsidRDefault="0099088D" w:rsidP="0099088D">
      <w:pPr>
        <w:numPr>
          <w:ilvl w:val="1"/>
          <w:numId w:val="8"/>
        </w:numPr>
        <w:tabs>
          <w:tab w:val="num" w:pos="360"/>
          <w:tab w:val="num" w:pos="1080"/>
          <w:tab w:val="left" w:pos="10080"/>
        </w:tabs>
        <w:ind w:left="1080"/>
        <w:jc w:val="both"/>
        <w:rPr>
          <w:sz w:val="28"/>
          <w:szCs w:val="28"/>
        </w:rPr>
      </w:pPr>
      <w:r w:rsidRPr="001216C5">
        <w:rPr>
          <w:sz w:val="28"/>
          <w:szCs w:val="28"/>
        </w:rPr>
        <w:t>Трудовой Кодекс Российской Федерации (в дальнейшем ТК РФ);</w:t>
      </w:r>
    </w:p>
    <w:p w14:paraId="7B359EDB" w14:textId="77777777" w:rsidR="0099088D" w:rsidRPr="001216C5" w:rsidRDefault="0099088D" w:rsidP="0099088D">
      <w:pPr>
        <w:numPr>
          <w:ilvl w:val="1"/>
          <w:numId w:val="8"/>
        </w:numPr>
        <w:tabs>
          <w:tab w:val="num" w:pos="360"/>
          <w:tab w:val="num" w:pos="1080"/>
          <w:tab w:val="left" w:pos="10080"/>
        </w:tabs>
        <w:ind w:left="1080"/>
        <w:jc w:val="both"/>
        <w:rPr>
          <w:sz w:val="28"/>
          <w:szCs w:val="28"/>
        </w:rPr>
      </w:pPr>
      <w:r w:rsidRPr="001216C5">
        <w:rPr>
          <w:spacing w:val="-5"/>
          <w:sz w:val="28"/>
          <w:szCs w:val="28"/>
        </w:rPr>
        <w:t xml:space="preserve">Федеральный Закон </w:t>
      </w:r>
      <w:r w:rsidRPr="001216C5">
        <w:rPr>
          <w:spacing w:val="-7"/>
          <w:sz w:val="28"/>
          <w:szCs w:val="28"/>
        </w:rPr>
        <w:t>от 17.08.1995 № 147-ФЗ «О естественных монополиях»;</w:t>
      </w:r>
    </w:p>
    <w:p w14:paraId="531C3E81" w14:textId="77777777" w:rsidR="0099088D" w:rsidRPr="001216C5" w:rsidRDefault="0099088D" w:rsidP="0099088D">
      <w:pPr>
        <w:numPr>
          <w:ilvl w:val="1"/>
          <w:numId w:val="8"/>
        </w:numPr>
        <w:tabs>
          <w:tab w:val="num" w:pos="360"/>
          <w:tab w:val="num" w:pos="1080"/>
          <w:tab w:val="left" w:pos="10080"/>
        </w:tabs>
        <w:ind w:left="1080"/>
        <w:jc w:val="both"/>
        <w:rPr>
          <w:spacing w:val="-7"/>
          <w:sz w:val="28"/>
          <w:szCs w:val="28"/>
        </w:rPr>
      </w:pPr>
      <w:r w:rsidRPr="001216C5">
        <w:rPr>
          <w:spacing w:val="-7"/>
          <w:sz w:val="28"/>
          <w:szCs w:val="28"/>
        </w:rPr>
        <w:t>Постановление Правительства РФ от 29.12.2000 №1021 (ред. от 17.05.2016)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(вместе с "Основными положениями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w:t>
      </w:r>
    </w:p>
    <w:p w14:paraId="7D96B9F2" w14:textId="77777777" w:rsidR="0099088D" w:rsidRPr="001216C5" w:rsidRDefault="0099088D" w:rsidP="0099088D">
      <w:pPr>
        <w:numPr>
          <w:ilvl w:val="1"/>
          <w:numId w:val="8"/>
        </w:numPr>
        <w:tabs>
          <w:tab w:val="num" w:pos="360"/>
          <w:tab w:val="num" w:pos="1080"/>
          <w:tab w:val="left" w:pos="10080"/>
        </w:tabs>
        <w:ind w:left="1080"/>
        <w:jc w:val="both"/>
        <w:rPr>
          <w:spacing w:val="-7"/>
          <w:sz w:val="28"/>
          <w:szCs w:val="28"/>
        </w:rPr>
      </w:pPr>
      <w:r w:rsidRPr="001216C5">
        <w:rPr>
          <w:spacing w:val="-7"/>
          <w:sz w:val="28"/>
          <w:szCs w:val="28"/>
        </w:rPr>
        <w:t xml:space="preserve"> Методические указания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утвержденные приказом ФАС России от 16.08.2018 № 1151/18 (далее Методические указания);</w:t>
      </w:r>
    </w:p>
    <w:p w14:paraId="1A686603" w14:textId="77777777" w:rsidR="0099088D" w:rsidRPr="001216C5" w:rsidRDefault="0099088D" w:rsidP="0099088D">
      <w:pPr>
        <w:numPr>
          <w:ilvl w:val="1"/>
          <w:numId w:val="8"/>
        </w:numPr>
        <w:tabs>
          <w:tab w:val="num" w:pos="360"/>
          <w:tab w:val="num" w:pos="1080"/>
          <w:tab w:val="left" w:pos="10080"/>
        </w:tabs>
        <w:ind w:left="1080"/>
        <w:jc w:val="both"/>
        <w:rPr>
          <w:spacing w:val="-7"/>
          <w:sz w:val="28"/>
          <w:szCs w:val="28"/>
        </w:rPr>
      </w:pPr>
      <w:r w:rsidRPr="001216C5">
        <w:rPr>
          <w:sz w:val="28"/>
          <w:szCs w:val="28"/>
        </w:rPr>
        <w:t>Правила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России от 13.09.2021 № 1547 (далее – Правила)</w:t>
      </w:r>
      <w:r w:rsidRPr="001216C5">
        <w:rPr>
          <w:spacing w:val="-7"/>
          <w:sz w:val="28"/>
          <w:szCs w:val="28"/>
        </w:rPr>
        <w:t>;</w:t>
      </w:r>
    </w:p>
    <w:p w14:paraId="321E468D" w14:textId="77777777" w:rsidR="0099088D" w:rsidRPr="001216C5" w:rsidRDefault="0099088D" w:rsidP="0099088D">
      <w:pPr>
        <w:numPr>
          <w:ilvl w:val="1"/>
          <w:numId w:val="8"/>
        </w:numPr>
        <w:tabs>
          <w:tab w:val="num" w:pos="360"/>
          <w:tab w:val="num" w:pos="1080"/>
          <w:tab w:val="left" w:pos="10080"/>
        </w:tabs>
        <w:ind w:left="1080"/>
        <w:jc w:val="both"/>
        <w:rPr>
          <w:spacing w:val="-7"/>
          <w:sz w:val="28"/>
          <w:szCs w:val="28"/>
        </w:rPr>
      </w:pPr>
      <w:r w:rsidRPr="001216C5">
        <w:rPr>
          <w:spacing w:val="-7"/>
          <w:sz w:val="28"/>
          <w:szCs w:val="28"/>
        </w:rPr>
        <w:t>Справочник базовых цен на проектные работы для строительства. Газооборудование и газоснабжение промышленных предприятий, зданий и сооружений. Наружное освещение, (принят и введен в действие Письмом Росстроя от 12.01.2006 № СК-31/02);</w:t>
      </w:r>
    </w:p>
    <w:p w14:paraId="4E85514F" w14:textId="77777777" w:rsidR="0099088D" w:rsidRPr="001216C5" w:rsidRDefault="0099088D" w:rsidP="0099088D">
      <w:pPr>
        <w:numPr>
          <w:ilvl w:val="1"/>
          <w:numId w:val="8"/>
        </w:numPr>
        <w:tabs>
          <w:tab w:val="num" w:pos="360"/>
          <w:tab w:val="num" w:pos="1080"/>
          <w:tab w:val="left" w:pos="10080"/>
        </w:tabs>
        <w:ind w:left="1080"/>
        <w:jc w:val="both"/>
        <w:rPr>
          <w:sz w:val="28"/>
          <w:szCs w:val="28"/>
        </w:rPr>
      </w:pPr>
      <w:r w:rsidRPr="001216C5">
        <w:rPr>
          <w:spacing w:val="-7"/>
          <w:sz w:val="28"/>
          <w:szCs w:val="28"/>
        </w:rPr>
        <w:t>Прочие законы и подзаконные акты, методические разработки и подходы,</w:t>
      </w:r>
      <w:r w:rsidRPr="001216C5">
        <w:rPr>
          <w:sz w:val="28"/>
          <w:szCs w:val="28"/>
        </w:rPr>
        <w:t xml:space="preserve"> действующие в отношении сферы и предмета государственного регулирования тарифов на продукцию (услуги) в газовой отрасли.</w:t>
      </w:r>
    </w:p>
    <w:p w14:paraId="6B8D257A" w14:textId="77777777" w:rsidR="0099088D" w:rsidRPr="001216C5" w:rsidRDefault="0099088D" w:rsidP="0099088D">
      <w:pPr>
        <w:ind w:firstLine="720"/>
        <w:jc w:val="both"/>
        <w:rPr>
          <w:sz w:val="28"/>
          <w:szCs w:val="28"/>
        </w:rPr>
      </w:pPr>
      <w:r w:rsidRPr="001216C5">
        <w:rPr>
          <w:noProof/>
          <w:sz w:val="28"/>
          <w:szCs w:val="28"/>
        </w:rPr>
        <w:t xml:space="preserve">ООО «Газпром газораспределение Томск» обратилось в РЭК Кемеровской области (исх .№ 1743 от 30.09.2021 г.) с просьбой проиндексировать ранее установленный размер платы </w:t>
      </w:r>
      <w:r w:rsidRPr="001216C5">
        <w:rPr>
          <w:sz w:val="28"/>
          <w:szCs w:val="28"/>
        </w:rPr>
        <w:t xml:space="preserve">за технологическое присоединение газоиспользующего оборудования к газораспределительным сетям ООО «Газпром газораспределение Томск» (г. Томск), </w:t>
      </w:r>
      <w:r w:rsidRPr="001216C5">
        <w:rPr>
          <w:bCs/>
          <w:color w:val="000000"/>
          <w:kern w:val="32"/>
          <w:sz w:val="28"/>
          <w:szCs w:val="28"/>
        </w:rPr>
        <w:t xml:space="preserve">ИНН 7017203426, </w:t>
      </w:r>
      <w:r w:rsidRPr="001216C5">
        <w:rPr>
          <w:sz w:val="28"/>
          <w:szCs w:val="28"/>
        </w:rPr>
        <w:t xml:space="preserve">в Кемеровской области с максимальным расходом газа, не превышающим 5 м³/час, включительно, с учетом расхода газа газоиспользующим оборудованием, ранее подключенным в данной точке подключения, для прочих заявителей( не намеревающихся использовать газ для целей предпринимательской (коммерческой) деятельности), а также </w:t>
      </w:r>
      <w:r w:rsidRPr="001216C5">
        <w:rPr>
          <w:noProof/>
          <w:sz w:val="28"/>
          <w:szCs w:val="28"/>
        </w:rPr>
        <w:t xml:space="preserve">размер платы </w:t>
      </w:r>
      <w:r w:rsidRPr="001216C5">
        <w:rPr>
          <w:sz w:val="28"/>
          <w:szCs w:val="28"/>
        </w:rPr>
        <w:t>за технологическое присоединение газоиспользующего оборудования с максимальным расходом газа, не превышающим 15 м³/час, с учетом расхода газа газоиспользующим оборудованием, ранее подключенным в данной точке подключения, для заявителей, намеревающихся использовать газ для целей предпринимательской (коммерческой) деятельности, с учетом прогнозного уровня среднегодовой инфляции.</w:t>
      </w:r>
    </w:p>
    <w:p w14:paraId="20E3BB19" w14:textId="77777777" w:rsidR="0099088D" w:rsidRPr="001216C5" w:rsidRDefault="0099088D" w:rsidP="0099088D">
      <w:pPr>
        <w:autoSpaceDE w:val="0"/>
        <w:autoSpaceDN w:val="0"/>
        <w:adjustRightInd w:val="0"/>
        <w:ind w:firstLine="540"/>
        <w:jc w:val="both"/>
        <w:rPr>
          <w:sz w:val="28"/>
          <w:szCs w:val="28"/>
        </w:rPr>
      </w:pPr>
      <w:r w:rsidRPr="001216C5">
        <w:rPr>
          <w:sz w:val="28"/>
          <w:szCs w:val="28"/>
        </w:rPr>
        <w:t>Согласно пункту 26(22) Основных положений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РФ, утвержденных постановлением Правительства Российской Федерации от 29 декабря 2000 года № 1021 (далее -Основные положения), плата за технологическое присоединение</w:t>
      </w:r>
      <w:r w:rsidRPr="001216C5">
        <w:t xml:space="preserve"> </w:t>
      </w:r>
      <w:r w:rsidRPr="001216C5">
        <w:rPr>
          <w:sz w:val="28"/>
          <w:szCs w:val="28"/>
        </w:rPr>
        <w:t>газоиспользующего оборудования может быть установлена в размере не менее 20,0 тыс. руб. и не более 50,0</w:t>
      </w:r>
      <w:r w:rsidRPr="001216C5">
        <w:t xml:space="preserve"> </w:t>
      </w:r>
      <w:r w:rsidRPr="001216C5">
        <w:rPr>
          <w:sz w:val="28"/>
          <w:szCs w:val="28"/>
        </w:rPr>
        <w:t>тыс. руб. (с налогом на добавленную стоимость, если заявителем выступает физическое лицо, а в иных случаях без налога на добавленную стоимость) для категории заявителей соответствующих условиям, приведенным в указанном пункте Основных положений. Указанные минимальный и максимальный уровни платы за технологическое присоединение начиная с 2015 года ежегодно индексируются на прогнозный среднегодовой уровень инфляции, определенный прогнозом социально-экономического развития Российской Федерации на тот же период, на который устанавливается плата за технологическое присоединение.</w:t>
      </w:r>
    </w:p>
    <w:p w14:paraId="5B8D78A2" w14:textId="77777777" w:rsidR="0099088D" w:rsidRPr="001216C5" w:rsidRDefault="0099088D" w:rsidP="0099088D">
      <w:pPr>
        <w:autoSpaceDE w:val="0"/>
        <w:autoSpaceDN w:val="0"/>
        <w:adjustRightInd w:val="0"/>
        <w:ind w:firstLine="540"/>
        <w:jc w:val="both"/>
        <w:rPr>
          <w:sz w:val="28"/>
          <w:szCs w:val="28"/>
        </w:rPr>
      </w:pPr>
      <w:r w:rsidRPr="001216C5">
        <w:rPr>
          <w:sz w:val="28"/>
          <w:szCs w:val="28"/>
        </w:rPr>
        <w:t xml:space="preserve">Газораспределительная организация в соответствии с методическими указаниями по регулированию платы за технологическое присоединение газоиспользующего оборудования к газораспределительным сетям и (или) стандартизированных тарифных ставок, определяющих ее величину, рассчитывает объем средств для компенсации своих расходов на выполнение мероприятий, подлежащих осуществлению в ходе технологического присоединения указанной категории заявителей. </w:t>
      </w:r>
    </w:p>
    <w:p w14:paraId="5D59D4CA" w14:textId="77777777" w:rsidR="0099088D" w:rsidRPr="001216C5" w:rsidRDefault="0099088D" w:rsidP="0099088D">
      <w:pPr>
        <w:autoSpaceDE w:val="0"/>
        <w:autoSpaceDN w:val="0"/>
        <w:adjustRightInd w:val="0"/>
        <w:ind w:firstLine="540"/>
        <w:jc w:val="both"/>
        <w:rPr>
          <w:sz w:val="28"/>
          <w:szCs w:val="28"/>
        </w:rPr>
      </w:pPr>
      <w:r w:rsidRPr="001216C5">
        <w:rPr>
          <w:sz w:val="28"/>
          <w:szCs w:val="28"/>
        </w:rPr>
        <w:t xml:space="preserve">Кроме того, в соответствии с пунктом 26(24) Основных положений, в случае если по итогам хозяйственной деятельности прошедшего периода регулирования у газораспределительной организации появились экономически обоснованные расходы, превышающие объем средств, подлежащих компенсации газораспределительной организации в том же периоде регулирования за счет применения платы за технологическое присоединение газоиспользующего оборудования к газораспределительным сетям, и (или) специальных надбавок к тарифам на услуги по транспортировке газа по газораспределительным сетям, и (или) тарифов на услуги по транспортировке газа по газораспределительным сетям, на который утверждается плата за технологическое присоединение, то регулирующие органы при представлении соответствующих обоснований учитывают эти расходы при установлении регулируемых тарифов на последующий расчетный период регулирования с учетом индексов-дефляторов в порядке, приведенном в пункте 26(22 Основных положений. Предприятие представило сведения об экономически обоснованных расходах от осуществления технологического присоединения газоиспользующего оборудования заявителей, указанных в пункте 26(22) Основных положений, </w:t>
      </w:r>
      <w:bookmarkStart w:id="11" w:name="_Hlk57628190"/>
      <w:r w:rsidRPr="001216C5">
        <w:rPr>
          <w:sz w:val="28"/>
          <w:szCs w:val="28"/>
        </w:rPr>
        <w:t xml:space="preserve">подлежащих компенсации в 2022 году, которые по итогам </w:t>
      </w:r>
      <w:r w:rsidRPr="001216C5">
        <w:rPr>
          <w:sz w:val="28"/>
          <w:szCs w:val="28"/>
        </w:rPr>
        <w:br/>
        <w:t>2020 года составили 17 225 252,96 руб. (без НДС).</w:t>
      </w:r>
      <w:bookmarkEnd w:id="11"/>
    </w:p>
    <w:p w14:paraId="5A451F79" w14:textId="77777777" w:rsidR="0099088D" w:rsidRPr="001216C5" w:rsidRDefault="0099088D" w:rsidP="0099088D">
      <w:pPr>
        <w:autoSpaceDE w:val="0"/>
        <w:autoSpaceDN w:val="0"/>
        <w:adjustRightInd w:val="0"/>
        <w:ind w:firstLine="540"/>
        <w:jc w:val="both"/>
        <w:rPr>
          <w:sz w:val="28"/>
          <w:szCs w:val="28"/>
        </w:rPr>
      </w:pPr>
      <w:bookmarkStart w:id="12" w:name="_Hlk89416981"/>
      <w:r w:rsidRPr="001216C5">
        <w:rPr>
          <w:sz w:val="28"/>
          <w:szCs w:val="28"/>
        </w:rPr>
        <w:t>Также, в соответствии с пунктом 26(22) Основных положений регулирующему органу своем решении необходимо отразить экономически обоснованные расходы на выполнение мероприятий, подлежащих осуществлению в ходе технологического присоединения, не покрытых финансовыми средствами, получаемыми ООО «Газпром газораспределение Томск» (г. Томск) в результате введения специальных надбавок к тарифам на транспортировку газа и установления тарифа на услуги по транспортировке газа по газораспределительным сетям, а также получаемыми от иных источников финансирования при подключении  (технологическом присоединении) газоиспользующего оборудования физических лиц (за исключением выполнения мероприятий в границах земельных участков, на которых располагаются домовладения этих физических лиц), намеревающихся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 осуществляется без взимания с них средств при условии, что в населенном пункте, в котором располагается домовладение заявителя, проложены газораспределительные сети, по которым осуществляется транспортировка газа, а также при наличии у таких лиц документа, подтверждающего право собственности или иное предусмотренное законом право на домовладение и земельный участок, на котором расположено это домовладение, на 2022 год.</w:t>
      </w:r>
    </w:p>
    <w:p w14:paraId="28D559D9" w14:textId="77777777" w:rsidR="0099088D" w:rsidRPr="001216C5" w:rsidRDefault="0099088D" w:rsidP="0099088D">
      <w:pPr>
        <w:tabs>
          <w:tab w:val="left" w:pos="851"/>
        </w:tabs>
        <w:ind w:firstLine="709"/>
        <w:jc w:val="both"/>
        <w:rPr>
          <w:sz w:val="28"/>
          <w:szCs w:val="28"/>
        </w:rPr>
      </w:pPr>
      <w:bookmarkStart w:id="13" w:name="_Hlk57637244"/>
      <w:bookmarkEnd w:id="12"/>
      <w:r w:rsidRPr="001216C5">
        <w:rPr>
          <w:sz w:val="28"/>
          <w:szCs w:val="28"/>
        </w:rPr>
        <w:t>Учитывая вышеуказанное, экспертная группа предлагает:</w:t>
      </w:r>
    </w:p>
    <w:p w14:paraId="1BE49B19" w14:textId="77777777" w:rsidR="0099088D" w:rsidRPr="001216C5" w:rsidRDefault="0099088D" w:rsidP="0099088D">
      <w:pPr>
        <w:numPr>
          <w:ilvl w:val="0"/>
          <w:numId w:val="9"/>
        </w:numPr>
        <w:ind w:left="-284" w:firstLine="851"/>
        <w:jc w:val="both"/>
        <w:rPr>
          <w:sz w:val="28"/>
          <w:szCs w:val="28"/>
        </w:rPr>
      </w:pPr>
      <w:r w:rsidRPr="001216C5">
        <w:rPr>
          <w:sz w:val="28"/>
          <w:szCs w:val="28"/>
        </w:rPr>
        <w:t>Принять за основу плату за подключение в размере 58 223,20 тыс. руб. (без НДС), установленную постановлением РЭК Кузбасса от 24.12.2020 № 799.</w:t>
      </w:r>
    </w:p>
    <w:p w14:paraId="2C1EC994" w14:textId="77777777" w:rsidR="0099088D" w:rsidRPr="001216C5" w:rsidRDefault="0099088D" w:rsidP="0099088D">
      <w:pPr>
        <w:numPr>
          <w:ilvl w:val="0"/>
          <w:numId w:val="9"/>
        </w:numPr>
        <w:ind w:left="-284" w:firstLine="851"/>
        <w:jc w:val="both"/>
        <w:rPr>
          <w:sz w:val="28"/>
          <w:szCs w:val="28"/>
        </w:rPr>
      </w:pPr>
      <w:r w:rsidRPr="001216C5">
        <w:rPr>
          <w:sz w:val="28"/>
          <w:szCs w:val="28"/>
        </w:rPr>
        <w:t>В соответствии с Прогнозом социально-экономического развития Российской Федерации на 2022 год и на плановый период 2023 и 2024 годов, опубликованным на сайте Минэкономразвития России 30.09.2021, установить плату за технологическое присоединение газоиспользующего оборудования с максимальным расходом газа, не превышающим 15 м³/час, с учетом расхода газа газоиспользующим оборудованием, ранее подключенным в данной точке подключения, для заявителей, намеревающихся использовать газ для целей предпринимательской (коммерческой) деятельности и с максимальным расходом газа, не превышающим 5 м³/час</w:t>
      </w:r>
      <w:r w:rsidRPr="001216C5">
        <w:t xml:space="preserve"> </w:t>
      </w:r>
      <w:r w:rsidRPr="001216C5">
        <w:rPr>
          <w:sz w:val="28"/>
          <w:szCs w:val="28"/>
        </w:rPr>
        <w:t xml:space="preserve">включительно, с учетом расхода газа газоиспользующим оборудованием, ранее подключенным в данной точке подключения, для прочих заявителей, в размере </w:t>
      </w:r>
      <w:bookmarkStart w:id="14" w:name="_Hlk57469305"/>
      <w:r w:rsidRPr="001216C5">
        <w:rPr>
          <w:sz w:val="28"/>
          <w:szCs w:val="28"/>
        </w:rPr>
        <w:t xml:space="preserve">60 726,80 </w:t>
      </w:r>
      <w:bookmarkEnd w:id="14"/>
      <w:r w:rsidRPr="001216C5">
        <w:rPr>
          <w:sz w:val="28"/>
          <w:szCs w:val="28"/>
        </w:rPr>
        <w:t>руб. (без НДС), с учётом ИПЦ (1,043):</w:t>
      </w:r>
    </w:p>
    <w:p w14:paraId="3427EEC9" w14:textId="77777777" w:rsidR="0099088D" w:rsidRPr="001216C5" w:rsidRDefault="0099088D" w:rsidP="0099088D">
      <w:pPr>
        <w:ind w:left="-284" w:firstLine="851"/>
        <w:jc w:val="both"/>
        <w:rPr>
          <w:sz w:val="28"/>
          <w:szCs w:val="28"/>
        </w:rPr>
      </w:pPr>
      <w:r w:rsidRPr="001216C5">
        <w:rPr>
          <w:sz w:val="28"/>
          <w:szCs w:val="28"/>
        </w:rPr>
        <w:t xml:space="preserve">                                      58 223,20*1,043 = 60 726,80.</w:t>
      </w:r>
    </w:p>
    <w:p w14:paraId="7B005B73" w14:textId="77777777" w:rsidR="0099088D" w:rsidRPr="001216C5" w:rsidRDefault="0099088D" w:rsidP="0099088D">
      <w:pPr>
        <w:numPr>
          <w:ilvl w:val="0"/>
          <w:numId w:val="9"/>
        </w:numPr>
        <w:ind w:left="-284" w:firstLine="851"/>
        <w:jc w:val="both"/>
        <w:rPr>
          <w:sz w:val="28"/>
          <w:szCs w:val="28"/>
        </w:rPr>
      </w:pPr>
      <w:bookmarkStart w:id="15" w:name="_Hlk57470890"/>
      <w:bookmarkEnd w:id="13"/>
      <w:r w:rsidRPr="001216C5">
        <w:rPr>
          <w:color w:val="000000"/>
          <w:sz w:val="28"/>
          <w:szCs w:val="28"/>
        </w:rPr>
        <w:t>Плату за технологическое присоединение газоиспользующего оборудования для населения установить в размере 72 872,16 руб. (с НДС) (указывается в целях реализации пункта 6 статьи 168 Налогового кодекса Российской Федерации (часть вторая).</w:t>
      </w:r>
    </w:p>
    <w:bookmarkEnd w:id="15"/>
    <w:p w14:paraId="57C14117" w14:textId="77777777" w:rsidR="0099088D" w:rsidRPr="001216C5" w:rsidRDefault="0099088D" w:rsidP="0099088D">
      <w:pPr>
        <w:numPr>
          <w:ilvl w:val="0"/>
          <w:numId w:val="9"/>
        </w:numPr>
        <w:ind w:left="-284" w:firstLine="851"/>
        <w:jc w:val="both"/>
        <w:rPr>
          <w:sz w:val="28"/>
          <w:szCs w:val="28"/>
        </w:rPr>
      </w:pPr>
      <w:r w:rsidRPr="001216C5">
        <w:rPr>
          <w:sz w:val="28"/>
          <w:szCs w:val="28"/>
        </w:rPr>
        <w:t xml:space="preserve">Определить экономически обоснованную плату </w:t>
      </w:r>
      <w:r w:rsidRPr="001216C5">
        <w:rPr>
          <w:color w:val="000000"/>
          <w:sz w:val="28"/>
          <w:szCs w:val="28"/>
        </w:rPr>
        <w:t>за технологическое присоединение газоиспользующего оборудования, в размере 530 335,87 руб. (без НДС) в соответствии с Методическими указаниями по формуле:</w:t>
      </w:r>
      <w:r w:rsidRPr="001216C5">
        <w:rPr>
          <w:sz w:val="28"/>
          <w:szCs w:val="28"/>
        </w:rPr>
        <w:t xml:space="preserve"> </w:t>
      </w:r>
    </w:p>
    <w:p w14:paraId="2BEAE201" w14:textId="77777777" w:rsidR="0099088D" w:rsidRPr="001216C5" w:rsidRDefault="0099088D" w:rsidP="0099088D">
      <w:pPr>
        <w:ind w:left="-284" w:firstLine="851"/>
        <w:jc w:val="both"/>
        <w:rPr>
          <w:sz w:val="28"/>
          <w:szCs w:val="28"/>
        </w:rPr>
      </w:pPr>
      <w:r w:rsidRPr="001216C5">
        <w:rPr>
          <w:noProof/>
          <w:position w:val="-38"/>
        </w:rPr>
        <w:drawing>
          <wp:inline distT="0" distB="0" distL="0" distR="0" wp14:anchorId="20538682" wp14:editId="3F5BE219">
            <wp:extent cx="2543175" cy="70485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1" cstate="print">
                      <a:extLst>
                        <a:ext uri="{28A0092B-C50C-407E-A947-70E740481C1C}">
                          <a14:useLocalDpi xmlns:a14="http://schemas.microsoft.com/office/drawing/2010/main" val="0"/>
                        </a:ext>
                      </a:extLst>
                    </a:blip>
                    <a:srcRect t="-4225" r="12746"/>
                    <a:stretch>
                      <a:fillRect/>
                    </a:stretch>
                  </pic:blipFill>
                  <pic:spPr bwMode="auto">
                    <a:xfrm>
                      <a:off x="0" y="0"/>
                      <a:ext cx="2543175" cy="704850"/>
                    </a:xfrm>
                    <a:prstGeom prst="rect">
                      <a:avLst/>
                    </a:prstGeom>
                    <a:noFill/>
                    <a:ln>
                      <a:noFill/>
                    </a:ln>
                  </pic:spPr>
                </pic:pic>
              </a:graphicData>
            </a:graphic>
          </wp:inline>
        </w:drawing>
      </w:r>
    </w:p>
    <w:p w14:paraId="6CED0140" w14:textId="77777777" w:rsidR="0099088D" w:rsidRPr="001216C5" w:rsidRDefault="0099088D" w:rsidP="0099088D">
      <w:pPr>
        <w:autoSpaceDE w:val="0"/>
        <w:autoSpaceDN w:val="0"/>
        <w:adjustRightInd w:val="0"/>
        <w:ind w:left="-284" w:firstLine="851"/>
        <w:jc w:val="both"/>
        <w:rPr>
          <w:sz w:val="28"/>
          <w:szCs w:val="28"/>
        </w:rPr>
      </w:pPr>
      <w:r w:rsidRPr="001216C5">
        <w:rPr>
          <w:sz w:val="28"/>
          <w:szCs w:val="28"/>
        </w:rPr>
        <w:t>где:</w:t>
      </w:r>
    </w:p>
    <w:p w14:paraId="5B55D9A0" w14:textId="77777777" w:rsidR="0099088D" w:rsidRPr="001216C5" w:rsidRDefault="0099088D" w:rsidP="0099088D">
      <w:pPr>
        <w:autoSpaceDE w:val="0"/>
        <w:autoSpaceDN w:val="0"/>
        <w:adjustRightInd w:val="0"/>
        <w:ind w:left="-284" w:firstLine="851"/>
        <w:jc w:val="both"/>
        <w:rPr>
          <w:sz w:val="28"/>
          <w:szCs w:val="28"/>
        </w:rPr>
      </w:pPr>
      <w:r w:rsidRPr="001216C5">
        <w:rPr>
          <w:sz w:val="28"/>
          <w:szCs w:val="28"/>
        </w:rPr>
        <w:t>Р</w:t>
      </w:r>
      <w:r w:rsidRPr="001216C5">
        <w:rPr>
          <w:sz w:val="28"/>
          <w:szCs w:val="28"/>
          <w:vertAlign w:val="subscript"/>
        </w:rPr>
        <w:t>20-50</w:t>
      </w:r>
      <w:r w:rsidRPr="001216C5">
        <w:rPr>
          <w:sz w:val="28"/>
          <w:szCs w:val="28"/>
        </w:rPr>
        <w:t xml:space="preserve"> - фактические экономически обоснованные расходы ГРО, указанные в </w:t>
      </w:r>
      <w:hyperlink r:id="rId12" w:history="1">
        <w:r w:rsidRPr="001216C5">
          <w:rPr>
            <w:sz w:val="28"/>
            <w:szCs w:val="28"/>
          </w:rPr>
          <w:t>пункте 8</w:t>
        </w:r>
      </w:hyperlink>
      <w:r w:rsidRPr="001216C5">
        <w:rPr>
          <w:sz w:val="28"/>
          <w:szCs w:val="28"/>
        </w:rPr>
        <w:t xml:space="preserve"> Методических указаний, по осуществлению подключения (технологического присоединения) в случаях, указанных в </w:t>
      </w:r>
      <w:hyperlink r:id="rId13" w:history="1">
        <w:r w:rsidRPr="001216C5">
          <w:rPr>
            <w:sz w:val="28"/>
            <w:szCs w:val="28"/>
          </w:rPr>
          <w:t>подпунктах "а"</w:t>
        </w:r>
      </w:hyperlink>
      <w:r w:rsidRPr="001216C5">
        <w:rPr>
          <w:sz w:val="28"/>
          <w:szCs w:val="28"/>
        </w:rPr>
        <w:t xml:space="preserve"> и </w:t>
      </w:r>
      <w:hyperlink r:id="rId14" w:history="1">
        <w:r w:rsidRPr="001216C5">
          <w:rPr>
            <w:sz w:val="28"/>
            <w:szCs w:val="28"/>
          </w:rPr>
          <w:t>"б" пункта 4</w:t>
        </w:r>
      </w:hyperlink>
      <w:r w:rsidRPr="001216C5">
        <w:rPr>
          <w:sz w:val="28"/>
          <w:szCs w:val="28"/>
        </w:rPr>
        <w:t xml:space="preserve"> Методических указаний, понесенные в соответствующем календарном году из предусмотренных </w:t>
      </w:r>
      <w:hyperlink r:id="rId15" w:history="1">
        <w:r w:rsidRPr="001216C5">
          <w:rPr>
            <w:sz w:val="28"/>
            <w:szCs w:val="28"/>
          </w:rPr>
          <w:t>пунктом 14</w:t>
        </w:r>
      </w:hyperlink>
      <w:r w:rsidRPr="001216C5">
        <w:rPr>
          <w:sz w:val="28"/>
          <w:szCs w:val="28"/>
        </w:rPr>
        <w:t xml:space="preserve"> Методических указаний. В 2018 году расходы отсутствовали, в 2019 году составили 485 242 руб., в 2020 году составили 1 110 072 руб.</w:t>
      </w:r>
    </w:p>
    <w:p w14:paraId="078AC631" w14:textId="77777777" w:rsidR="0099088D" w:rsidRPr="001216C5" w:rsidRDefault="0099088D" w:rsidP="0099088D">
      <w:pPr>
        <w:autoSpaceDE w:val="0"/>
        <w:autoSpaceDN w:val="0"/>
        <w:adjustRightInd w:val="0"/>
        <w:ind w:left="-284" w:firstLine="851"/>
        <w:jc w:val="both"/>
        <w:rPr>
          <w:sz w:val="28"/>
          <w:szCs w:val="28"/>
        </w:rPr>
      </w:pPr>
      <w:r w:rsidRPr="001216C5">
        <w:rPr>
          <w:noProof/>
          <w:position w:val="-12"/>
          <w:sz w:val="28"/>
          <w:szCs w:val="28"/>
        </w:rPr>
        <w:drawing>
          <wp:inline distT="0" distB="0" distL="0" distR="0" wp14:anchorId="42FDADC0" wp14:editId="18FF8255">
            <wp:extent cx="447675" cy="34290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7675" cy="342900"/>
                    </a:xfrm>
                    <a:prstGeom prst="rect">
                      <a:avLst/>
                    </a:prstGeom>
                    <a:noFill/>
                    <a:ln>
                      <a:noFill/>
                    </a:ln>
                  </pic:spPr>
                </pic:pic>
              </a:graphicData>
            </a:graphic>
          </wp:inline>
        </w:drawing>
      </w:r>
      <w:r w:rsidRPr="001216C5">
        <w:rPr>
          <w:sz w:val="28"/>
          <w:szCs w:val="28"/>
        </w:rPr>
        <w:t xml:space="preserve"> - эффективная </w:t>
      </w:r>
      <w:bookmarkStart w:id="16" w:name="_Hlk57470395"/>
      <w:r w:rsidRPr="001216C5">
        <w:rPr>
          <w:sz w:val="28"/>
          <w:szCs w:val="28"/>
        </w:rPr>
        <w:t>ставка налога на прибыль</w:t>
      </w:r>
      <w:bookmarkEnd w:id="16"/>
      <w:r w:rsidRPr="001216C5">
        <w:rPr>
          <w:sz w:val="28"/>
          <w:szCs w:val="28"/>
        </w:rPr>
        <w:t>, определяемая как отношение планового значения налога на прибыль к плановому значению прибыли до налогообложения, отражаемому ГРО в бухгалтерском учете, на очередной календарный год (но не выше размера ставки налога на прибыль, установленного налоговым законодательством). Ставка налога на прибыль составит 20%</w:t>
      </w:r>
    </w:p>
    <w:p w14:paraId="71E1EAF6" w14:textId="77777777" w:rsidR="0099088D" w:rsidRPr="001216C5" w:rsidRDefault="0099088D" w:rsidP="0099088D">
      <w:pPr>
        <w:autoSpaceDE w:val="0"/>
        <w:autoSpaceDN w:val="0"/>
        <w:adjustRightInd w:val="0"/>
        <w:ind w:left="-284" w:firstLine="851"/>
        <w:jc w:val="both"/>
        <w:rPr>
          <w:sz w:val="28"/>
          <w:szCs w:val="28"/>
        </w:rPr>
      </w:pPr>
      <w:r w:rsidRPr="001216C5">
        <w:rPr>
          <w:sz w:val="28"/>
          <w:szCs w:val="28"/>
        </w:rPr>
        <w:t>N</w:t>
      </w:r>
      <w:r w:rsidRPr="001216C5">
        <w:rPr>
          <w:sz w:val="28"/>
          <w:szCs w:val="28"/>
          <w:vertAlign w:val="subscript"/>
        </w:rPr>
        <w:t>20-50</w:t>
      </w:r>
      <w:r w:rsidRPr="001216C5">
        <w:rPr>
          <w:sz w:val="28"/>
          <w:szCs w:val="28"/>
        </w:rPr>
        <w:t xml:space="preserve"> - фактические средние данные о количестве подключений (технологических присоединений) в случаях, указанных в </w:t>
      </w:r>
      <w:hyperlink r:id="rId17" w:history="1">
        <w:r w:rsidRPr="001216C5">
          <w:rPr>
            <w:sz w:val="28"/>
            <w:szCs w:val="28"/>
          </w:rPr>
          <w:t>подпунктах "а"</w:t>
        </w:r>
      </w:hyperlink>
      <w:r w:rsidRPr="001216C5">
        <w:rPr>
          <w:sz w:val="28"/>
          <w:szCs w:val="28"/>
        </w:rPr>
        <w:t xml:space="preserve"> и </w:t>
      </w:r>
      <w:hyperlink r:id="rId18" w:history="1">
        <w:r w:rsidRPr="001216C5">
          <w:rPr>
            <w:sz w:val="28"/>
            <w:szCs w:val="28"/>
          </w:rPr>
          <w:t>"б" пункта 4</w:t>
        </w:r>
      </w:hyperlink>
      <w:r w:rsidRPr="001216C5">
        <w:rPr>
          <w:sz w:val="28"/>
          <w:szCs w:val="28"/>
        </w:rPr>
        <w:t xml:space="preserve"> Методических указаний, состоявшихся в соответствующем календарном году из предусмотренных </w:t>
      </w:r>
      <w:hyperlink r:id="rId19" w:history="1">
        <w:r w:rsidRPr="001216C5">
          <w:rPr>
            <w:sz w:val="28"/>
            <w:szCs w:val="28"/>
          </w:rPr>
          <w:t>пунктом 14</w:t>
        </w:r>
      </w:hyperlink>
      <w:r w:rsidRPr="001216C5">
        <w:rPr>
          <w:sz w:val="28"/>
          <w:szCs w:val="28"/>
        </w:rPr>
        <w:t xml:space="preserve"> Методических указаний. В 2018 году подключений не было, в 2019 году составило 1 шт., в 2020 году составило 3 шт.</w:t>
      </w:r>
    </w:p>
    <w:p w14:paraId="02FFE32C" w14:textId="77777777" w:rsidR="0099088D" w:rsidRPr="001216C5" w:rsidRDefault="0099088D" w:rsidP="0099088D">
      <w:pPr>
        <w:autoSpaceDE w:val="0"/>
        <w:autoSpaceDN w:val="0"/>
        <w:adjustRightInd w:val="0"/>
        <w:ind w:left="-284" w:firstLine="851"/>
        <w:jc w:val="both"/>
        <w:rPr>
          <w:sz w:val="28"/>
          <w:szCs w:val="28"/>
        </w:rPr>
      </w:pPr>
      <w:r w:rsidRPr="001216C5">
        <w:rPr>
          <w:sz w:val="28"/>
          <w:szCs w:val="28"/>
        </w:rPr>
        <w:t>I</w:t>
      </w:r>
      <w:r w:rsidRPr="001216C5">
        <w:rPr>
          <w:sz w:val="28"/>
          <w:szCs w:val="28"/>
          <w:vertAlign w:val="subscript"/>
        </w:rPr>
        <w:t>р</w:t>
      </w:r>
      <w:r w:rsidRPr="001216C5">
        <w:rPr>
          <w:sz w:val="28"/>
          <w:szCs w:val="28"/>
        </w:rPr>
        <w:t xml:space="preserve"> - коэффициент расходов, определяемый в соответствии с </w:t>
      </w:r>
      <w:hyperlink r:id="rId20" w:history="1">
        <w:r w:rsidRPr="001216C5">
          <w:rPr>
            <w:sz w:val="28"/>
            <w:szCs w:val="28"/>
          </w:rPr>
          <w:t>пунктом 33</w:t>
        </w:r>
      </w:hyperlink>
      <w:r w:rsidRPr="001216C5">
        <w:rPr>
          <w:sz w:val="28"/>
          <w:szCs w:val="28"/>
        </w:rPr>
        <w:t xml:space="preserve"> Методических указаний, и рассчитанный на основании индексов </w:t>
      </w:r>
      <w:bookmarkStart w:id="17" w:name="_Hlk57628351"/>
      <w:r w:rsidRPr="001216C5">
        <w:rPr>
          <w:sz w:val="28"/>
          <w:szCs w:val="28"/>
        </w:rPr>
        <w:t>ИЦП в строительстве (2019 год - 107,3; 2020 год- 104; 2021 год – 105,1), опубликованных на сайте Минэкономразвития России 30.09.2021 (в части 2020 и 2021 годов) и 26.09.2020 (в части 2019 года).</w:t>
      </w:r>
      <w:bookmarkEnd w:id="17"/>
    </w:p>
    <w:p w14:paraId="2DBAAF94" w14:textId="77777777" w:rsidR="0099088D" w:rsidRPr="001216C5" w:rsidRDefault="0099088D" w:rsidP="0099088D">
      <w:pPr>
        <w:ind w:left="-284" w:firstLine="851"/>
        <w:jc w:val="both"/>
        <w:rPr>
          <w:sz w:val="28"/>
          <w:szCs w:val="28"/>
        </w:rPr>
      </w:pPr>
      <w:r w:rsidRPr="001216C5">
        <w:rPr>
          <w:sz w:val="28"/>
          <w:szCs w:val="28"/>
        </w:rPr>
        <w:t>(485 242*1,04*1,051+1 110 072*1,051)</w:t>
      </w:r>
      <w:proofErr w:type="gramStart"/>
      <w:r w:rsidRPr="001216C5">
        <w:rPr>
          <w:sz w:val="28"/>
          <w:szCs w:val="28"/>
        </w:rPr>
        <w:t>/(</w:t>
      </w:r>
      <w:proofErr w:type="gramEnd"/>
      <w:r w:rsidRPr="001216C5">
        <w:rPr>
          <w:sz w:val="28"/>
          <w:szCs w:val="28"/>
        </w:rPr>
        <w:t>1+3)/(1-0,2)= 530 335,87 руб.</w:t>
      </w:r>
    </w:p>
    <w:p w14:paraId="6DEE9B21" w14:textId="77777777" w:rsidR="0099088D" w:rsidRPr="001216C5" w:rsidRDefault="0099088D" w:rsidP="0099088D">
      <w:pPr>
        <w:numPr>
          <w:ilvl w:val="0"/>
          <w:numId w:val="9"/>
        </w:numPr>
        <w:ind w:left="-284" w:firstLine="851"/>
        <w:jc w:val="both"/>
        <w:rPr>
          <w:sz w:val="28"/>
          <w:szCs w:val="28"/>
        </w:rPr>
      </w:pPr>
      <w:bookmarkStart w:id="18" w:name="_Hlk57628120"/>
      <w:r w:rsidRPr="001216C5">
        <w:rPr>
          <w:color w:val="000000"/>
          <w:sz w:val="28"/>
          <w:szCs w:val="28"/>
        </w:rPr>
        <w:t>Определить размер выпадающих доходов, возникающих в 2022 году, в размере 375 687,26 руб. (без НДС) в соответствии с Методическими указаниями по формуле:</w:t>
      </w:r>
    </w:p>
    <w:p w14:paraId="75C23413" w14:textId="77777777" w:rsidR="0099088D" w:rsidRPr="001216C5" w:rsidRDefault="0099088D" w:rsidP="0099088D">
      <w:pPr>
        <w:autoSpaceDE w:val="0"/>
        <w:autoSpaceDN w:val="0"/>
        <w:adjustRightInd w:val="0"/>
        <w:ind w:left="-284" w:firstLine="851"/>
        <w:jc w:val="center"/>
        <w:rPr>
          <w:sz w:val="28"/>
          <w:szCs w:val="28"/>
        </w:rPr>
      </w:pPr>
      <w:r w:rsidRPr="001216C5">
        <w:rPr>
          <w:noProof/>
          <w:position w:val="-17"/>
          <w:sz w:val="28"/>
          <w:szCs w:val="28"/>
        </w:rPr>
        <w:drawing>
          <wp:inline distT="0" distB="0" distL="0" distR="0" wp14:anchorId="1D37B9B8" wp14:editId="7DDC7C37">
            <wp:extent cx="3209925" cy="428625"/>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1" cstate="print">
                      <a:extLst>
                        <a:ext uri="{28A0092B-C50C-407E-A947-70E740481C1C}">
                          <a14:useLocalDpi xmlns:a14="http://schemas.microsoft.com/office/drawing/2010/main" val="0"/>
                        </a:ext>
                      </a:extLst>
                    </a:blip>
                    <a:srcRect r="10609" b="-9756"/>
                    <a:stretch>
                      <a:fillRect/>
                    </a:stretch>
                  </pic:blipFill>
                  <pic:spPr bwMode="auto">
                    <a:xfrm>
                      <a:off x="0" y="0"/>
                      <a:ext cx="3209925" cy="428625"/>
                    </a:xfrm>
                    <a:prstGeom prst="rect">
                      <a:avLst/>
                    </a:prstGeom>
                    <a:noFill/>
                    <a:ln>
                      <a:noFill/>
                    </a:ln>
                  </pic:spPr>
                </pic:pic>
              </a:graphicData>
            </a:graphic>
          </wp:inline>
        </w:drawing>
      </w:r>
    </w:p>
    <w:p w14:paraId="3654BD1B" w14:textId="77777777" w:rsidR="0099088D" w:rsidRPr="001216C5" w:rsidRDefault="0099088D" w:rsidP="0099088D">
      <w:pPr>
        <w:autoSpaceDE w:val="0"/>
        <w:autoSpaceDN w:val="0"/>
        <w:adjustRightInd w:val="0"/>
        <w:ind w:left="-284" w:firstLine="851"/>
        <w:jc w:val="both"/>
        <w:rPr>
          <w:sz w:val="28"/>
          <w:szCs w:val="28"/>
        </w:rPr>
      </w:pPr>
      <w:r w:rsidRPr="001216C5">
        <w:rPr>
          <w:sz w:val="28"/>
          <w:szCs w:val="28"/>
        </w:rPr>
        <w:t>где:</w:t>
      </w:r>
    </w:p>
    <w:p w14:paraId="6BE7868E" w14:textId="77777777" w:rsidR="0099088D" w:rsidRPr="001216C5" w:rsidRDefault="0099088D" w:rsidP="0099088D">
      <w:pPr>
        <w:autoSpaceDE w:val="0"/>
        <w:autoSpaceDN w:val="0"/>
        <w:adjustRightInd w:val="0"/>
        <w:spacing w:before="280"/>
        <w:ind w:left="-284" w:firstLine="851"/>
        <w:jc w:val="both"/>
        <w:rPr>
          <w:sz w:val="28"/>
          <w:szCs w:val="28"/>
        </w:rPr>
      </w:pPr>
      <w:r w:rsidRPr="001216C5">
        <w:rPr>
          <w:noProof/>
          <w:position w:val="-12"/>
          <w:sz w:val="28"/>
          <w:szCs w:val="28"/>
        </w:rPr>
        <w:drawing>
          <wp:inline distT="0" distB="0" distL="0" distR="0" wp14:anchorId="0E9648EA" wp14:editId="3677E118">
            <wp:extent cx="504825" cy="3429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04825" cy="342900"/>
                    </a:xfrm>
                    <a:prstGeom prst="rect">
                      <a:avLst/>
                    </a:prstGeom>
                    <a:noFill/>
                    <a:ln>
                      <a:noFill/>
                    </a:ln>
                  </pic:spPr>
                </pic:pic>
              </a:graphicData>
            </a:graphic>
          </wp:inline>
        </w:drawing>
      </w:r>
      <w:r w:rsidRPr="001216C5">
        <w:rPr>
          <w:sz w:val="28"/>
          <w:szCs w:val="28"/>
        </w:rPr>
        <w:t xml:space="preserve"> - плановый размер выручки ГРО от осуществления подключения (технологического присоединения) в случаях, указанных в </w:t>
      </w:r>
      <w:hyperlink r:id="rId23" w:history="1">
        <w:r w:rsidRPr="001216C5">
          <w:rPr>
            <w:sz w:val="28"/>
            <w:szCs w:val="28"/>
          </w:rPr>
          <w:t>подпунктах "а"</w:t>
        </w:r>
      </w:hyperlink>
      <w:r w:rsidRPr="001216C5">
        <w:rPr>
          <w:sz w:val="28"/>
          <w:szCs w:val="28"/>
        </w:rPr>
        <w:t xml:space="preserve"> и </w:t>
      </w:r>
      <w:hyperlink r:id="rId24" w:history="1">
        <w:r w:rsidRPr="001216C5">
          <w:rPr>
            <w:sz w:val="28"/>
            <w:szCs w:val="28"/>
          </w:rPr>
          <w:t>"б" пункта 4</w:t>
        </w:r>
      </w:hyperlink>
      <w:r w:rsidRPr="001216C5">
        <w:rPr>
          <w:sz w:val="28"/>
          <w:szCs w:val="28"/>
        </w:rPr>
        <w:t xml:space="preserve"> Методических указаний, на очередной календарный год без учета налога на добавленную стоимость, определяемый на основании фактических средних данных о количестве подключений и установленного размера платы за технологическое присоединение. Среднее количество подключений за три предшествующих года составит 1</w:t>
      </w:r>
      <w:proofErr w:type="gramStart"/>
      <w:r w:rsidRPr="001216C5">
        <w:rPr>
          <w:sz w:val="28"/>
          <w:szCs w:val="28"/>
        </w:rPr>
        <w:t>=(</w:t>
      </w:r>
      <w:proofErr w:type="gramEnd"/>
      <w:r w:rsidRPr="001216C5">
        <w:rPr>
          <w:sz w:val="28"/>
          <w:szCs w:val="28"/>
        </w:rPr>
        <w:t>1+3)/3.</w:t>
      </w:r>
    </w:p>
    <w:p w14:paraId="2C21D5F2" w14:textId="77777777" w:rsidR="0099088D" w:rsidRPr="001216C5" w:rsidRDefault="0099088D" w:rsidP="0099088D">
      <w:pPr>
        <w:ind w:left="-284" w:firstLine="851"/>
        <w:jc w:val="both"/>
        <w:rPr>
          <w:sz w:val="28"/>
          <w:szCs w:val="28"/>
        </w:rPr>
      </w:pPr>
      <w:r w:rsidRPr="001216C5">
        <w:rPr>
          <w:sz w:val="28"/>
          <w:szCs w:val="28"/>
        </w:rPr>
        <w:t>(1*60 726,80-1*530 335,</w:t>
      </w:r>
      <w:proofErr w:type="gramStart"/>
      <w:r w:rsidRPr="001216C5">
        <w:rPr>
          <w:sz w:val="28"/>
          <w:szCs w:val="28"/>
        </w:rPr>
        <w:t>87)*</w:t>
      </w:r>
      <w:proofErr w:type="gramEnd"/>
      <w:r w:rsidRPr="001216C5">
        <w:rPr>
          <w:sz w:val="28"/>
          <w:szCs w:val="28"/>
        </w:rPr>
        <w:t xml:space="preserve">(1-0,2)= 375 687,26 руб.   </w:t>
      </w:r>
      <w:bookmarkEnd w:id="18"/>
    </w:p>
    <w:p w14:paraId="29196F2B" w14:textId="77777777" w:rsidR="0099088D" w:rsidRPr="001216C5" w:rsidRDefault="0099088D" w:rsidP="0099088D">
      <w:pPr>
        <w:numPr>
          <w:ilvl w:val="0"/>
          <w:numId w:val="9"/>
        </w:numPr>
        <w:ind w:left="-284" w:firstLine="851"/>
        <w:jc w:val="both"/>
        <w:rPr>
          <w:sz w:val="28"/>
          <w:szCs w:val="28"/>
        </w:rPr>
      </w:pPr>
      <w:bookmarkStart w:id="19" w:name="_Hlk89416124"/>
      <w:r w:rsidRPr="001216C5">
        <w:rPr>
          <w:sz w:val="28"/>
          <w:szCs w:val="28"/>
        </w:rPr>
        <w:t>Определить выпадающие доходы от</w:t>
      </w:r>
      <w:r w:rsidRPr="001216C5">
        <w:t xml:space="preserve"> </w:t>
      </w:r>
      <w:r w:rsidRPr="001216C5">
        <w:rPr>
          <w:sz w:val="28"/>
          <w:szCs w:val="28"/>
        </w:rPr>
        <w:t>осуществления технологического присоединения газоиспользующего оборудования заявителей, указанных в пункте 26(22) Основных положений, подлежащие компенсации в 2022 году, с учетом индекса-дефлятора (ИЦП в строительстве (2021 год - 105,1)), опубликованных на сайте Минэкономразвития России 30.09.2021:</w:t>
      </w:r>
    </w:p>
    <w:bookmarkEnd w:id="19"/>
    <w:p w14:paraId="4FCA9EAF" w14:textId="77777777" w:rsidR="0099088D" w:rsidRPr="001216C5" w:rsidRDefault="0099088D" w:rsidP="0099088D">
      <w:pPr>
        <w:ind w:left="-284" w:firstLine="851"/>
        <w:jc w:val="both"/>
        <w:rPr>
          <w:sz w:val="28"/>
          <w:szCs w:val="28"/>
        </w:rPr>
      </w:pPr>
      <w:r w:rsidRPr="001216C5">
        <w:rPr>
          <w:sz w:val="28"/>
          <w:szCs w:val="28"/>
        </w:rPr>
        <w:t>за 2020 год в размере 17 225 252,96*1,051= 18 103 740,86 руб. без НДС.</w:t>
      </w:r>
    </w:p>
    <w:p w14:paraId="2B368627" w14:textId="77777777" w:rsidR="0099088D" w:rsidRPr="001216C5" w:rsidRDefault="0099088D" w:rsidP="0099088D">
      <w:pPr>
        <w:numPr>
          <w:ilvl w:val="0"/>
          <w:numId w:val="9"/>
        </w:numPr>
        <w:ind w:left="-284" w:firstLine="851"/>
        <w:jc w:val="both"/>
        <w:rPr>
          <w:sz w:val="28"/>
          <w:szCs w:val="28"/>
        </w:rPr>
      </w:pPr>
      <w:r w:rsidRPr="001216C5">
        <w:rPr>
          <w:sz w:val="28"/>
          <w:szCs w:val="28"/>
        </w:rPr>
        <w:t xml:space="preserve">Определить экономически обоснованные расходы на выполнение мероприятий, подлежащих осуществлению в ходе технологического присоединения, не покрытых финансовыми средствами, получаемыми </w:t>
      </w:r>
      <w:r w:rsidRPr="001216C5">
        <w:rPr>
          <w:sz w:val="28"/>
          <w:szCs w:val="28"/>
        </w:rPr>
        <w:br/>
        <w:t>ООО «Газпром газораспределение Томск» (г. Томск) в результате введения специальных надбавок к тарифам на транспортировку газа и установления тарифа на услуги по транспортировке газа по газораспределительным сетям, а также получаемыми от иных источников финансирования при подключении  (технологическом присоединении) газоиспользующего оборудования физических лиц (за исключением выполнения мероприятий в границах земельных участков, на которых располагаются домовладения этих физических лиц), намеревающихся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 осуществляется без взимания с них средств при условии, что в населенном пункте, в котором располагается домовладение заявителя, проложены газораспределительные сети, по которым осуществляется транспортировка газа, а также при наличии у таких лиц документа, подтверждающего право собственности или иное предусмотренное законом право на домовладение и земельный участок, на котором расположено это домовладение, на 2022 год в размере 170 503,77 тыс. руб. без НДС.</w:t>
      </w:r>
    </w:p>
    <w:p w14:paraId="65C55331" w14:textId="77777777" w:rsidR="0099088D" w:rsidRPr="001216C5" w:rsidRDefault="0099088D" w:rsidP="0099088D">
      <w:pPr>
        <w:ind w:left="-284" w:firstLine="851"/>
        <w:jc w:val="both"/>
        <w:rPr>
          <w:sz w:val="28"/>
          <w:szCs w:val="28"/>
        </w:rPr>
      </w:pPr>
    </w:p>
    <w:p w14:paraId="5E157483" w14:textId="77777777" w:rsidR="0099088D" w:rsidRPr="001216C5" w:rsidRDefault="0099088D" w:rsidP="0099088D">
      <w:pPr>
        <w:ind w:left="-284" w:firstLine="851"/>
        <w:jc w:val="both"/>
        <w:rPr>
          <w:sz w:val="28"/>
          <w:szCs w:val="28"/>
        </w:rPr>
      </w:pPr>
    </w:p>
    <w:p w14:paraId="7823AD23" w14:textId="77777777" w:rsidR="0099088D" w:rsidRDefault="0099088D" w:rsidP="0099088D">
      <w:pPr>
        <w:tabs>
          <w:tab w:val="left" w:pos="5580"/>
          <w:tab w:val="left" w:pos="9498"/>
        </w:tabs>
        <w:ind w:left="-284" w:right="-569" w:firstLine="851"/>
        <w:rPr>
          <w:color w:val="000000" w:themeColor="text1"/>
        </w:rPr>
        <w:sectPr w:rsidR="0099088D" w:rsidSect="0099088D">
          <w:pgSz w:w="11906" w:h="16838"/>
          <w:pgMar w:top="567" w:right="850" w:bottom="1134" w:left="1701" w:header="708" w:footer="708" w:gutter="0"/>
          <w:cols w:space="708"/>
          <w:docGrid w:linePitch="360"/>
        </w:sectPr>
      </w:pPr>
    </w:p>
    <w:p w14:paraId="3F99952C" w14:textId="611CA6EB" w:rsidR="00BA6654" w:rsidRPr="00081AD4" w:rsidRDefault="00BA6654" w:rsidP="00BA6654">
      <w:pPr>
        <w:tabs>
          <w:tab w:val="left" w:pos="3686"/>
          <w:tab w:val="left" w:pos="9498"/>
        </w:tabs>
        <w:ind w:left="-3734" w:right="-1" w:firstLine="7987"/>
        <w:rPr>
          <w:color w:val="000000" w:themeColor="text1"/>
        </w:rPr>
      </w:pPr>
      <w:r w:rsidRPr="00081AD4">
        <w:rPr>
          <w:color w:val="000000" w:themeColor="text1"/>
        </w:rPr>
        <w:t xml:space="preserve">Приложение № </w:t>
      </w:r>
      <w:r>
        <w:rPr>
          <w:color w:val="000000" w:themeColor="text1"/>
        </w:rPr>
        <w:t>1</w:t>
      </w:r>
      <w:r>
        <w:rPr>
          <w:color w:val="000000" w:themeColor="text1"/>
        </w:rPr>
        <w:t>2</w:t>
      </w:r>
      <w:r>
        <w:rPr>
          <w:color w:val="000000" w:themeColor="text1"/>
        </w:rPr>
        <w:t xml:space="preserve"> к протоколу</w:t>
      </w:r>
      <w:r w:rsidRPr="00081AD4">
        <w:rPr>
          <w:color w:val="000000" w:themeColor="text1"/>
        </w:rPr>
        <w:t xml:space="preserve"> № </w:t>
      </w:r>
      <w:r>
        <w:rPr>
          <w:color w:val="000000" w:themeColor="text1"/>
        </w:rPr>
        <w:t>88</w:t>
      </w:r>
    </w:p>
    <w:p w14:paraId="01FC9706" w14:textId="77777777" w:rsidR="00BA6654" w:rsidRPr="00081AD4" w:rsidRDefault="00BA6654" w:rsidP="00BA6654">
      <w:pPr>
        <w:tabs>
          <w:tab w:val="left" w:pos="3686"/>
          <w:tab w:val="left" w:pos="9498"/>
        </w:tabs>
        <w:ind w:left="-3734" w:right="-1" w:firstLine="7987"/>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523A7315" w14:textId="77777777" w:rsidR="00BA6654" w:rsidRPr="00081AD4" w:rsidRDefault="00BA6654" w:rsidP="00BA6654">
      <w:pPr>
        <w:tabs>
          <w:tab w:val="left" w:pos="3686"/>
          <w:tab w:val="left" w:pos="9498"/>
        </w:tabs>
        <w:ind w:left="-3734" w:right="-1" w:firstLine="7987"/>
        <w:rPr>
          <w:color w:val="000000" w:themeColor="text1"/>
        </w:rPr>
      </w:pPr>
      <w:r w:rsidRPr="00081AD4">
        <w:rPr>
          <w:color w:val="000000" w:themeColor="text1"/>
        </w:rPr>
        <w:t>энергетической комиссии</w:t>
      </w:r>
    </w:p>
    <w:p w14:paraId="275DC56C" w14:textId="77777777" w:rsidR="00BA6654" w:rsidRDefault="00BA6654" w:rsidP="00BA6654">
      <w:pPr>
        <w:tabs>
          <w:tab w:val="left" w:pos="3686"/>
          <w:tab w:val="left" w:pos="9498"/>
        </w:tabs>
        <w:ind w:left="-3734" w:right="-1" w:firstLine="7987"/>
        <w:rPr>
          <w:color w:val="000000" w:themeColor="text1"/>
        </w:rPr>
      </w:pPr>
      <w:r w:rsidRPr="00081AD4">
        <w:rPr>
          <w:color w:val="000000" w:themeColor="text1"/>
        </w:rPr>
        <w:t xml:space="preserve">Кузбасса от </w:t>
      </w:r>
      <w:r>
        <w:rPr>
          <w:color w:val="000000" w:themeColor="text1"/>
        </w:rPr>
        <w:t>23</w:t>
      </w:r>
      <w:r w:rsidRPr="00081AD4">
        <w:rPr>
          <w:color w:val="000000" w:themeColor="text1"/>
        </w:rPr>
        <w:t>.</w:t>
      </w:r>
      <w:r>
        <w:rPr>
          <w:color w:val="000000" w:themeColor="text1"/>
        </w:rPr>
        <w:t>12</w:t>
      </w:r>
      <w:r w:rsidRPr="00081AD4">
        <w:rPr>
          <w:color w:val="000000" w:themeColor="text1"/>
        </w:rPr>
        <w:t>.202</w:t>
      </w:r>
      <w:r>
        <w:rPr>
          <w:color w:val="000000" w:themeColor="text1"/>
        </w:rPr>
        <w:t>1</w:t>
      </w:r>
    </w:p>
    <w:p w14:paraId="4E9579FF" w14:textId="77777777" w:rsidR="0099088D" w:rsidRPr="00413C82" w:rsidRDefault="0099088D" w:rsidP="0099088D">
      <w:pPr>
        <w:rPr>
          <w:sz w:val="20"/>
          <w:szCs w:val="20"/>
        </w:rPr>
      </w:pPr>
    </w:p>
    <w:p w14:paraId="57760D7E" w14:textId="77777777" w:rsidR="0099088D" w:rsidRPr="00413C82" w:rsidRDefault="0099088D" w:rsidP="0099088D">
      <w:pPr>
        <w:keepNext/>
        <w:jc w:val="center"/>
        <w:outlineLvl w:val="3"/>
        <w:rPr>
          <w:b/>
          <w:sz w:val="28"/>
          <w:szCs w:val="28"/>
        </w:rPr>
      </w:pPr>
      <w:r w:rsidRPr="00413C82">
        <w:rPr>
          <w:b/>
          <w:sz w:val="28"/>
          <w:szCs w:val="28"/>
        </w:rPr>
        <w:t xml:space="preserve">Плата за технологическое присоединение газоиспользующего </w:t>
      </w:r>
    </w:p>
    <w:p w14:paraId="66F07D27" w14:textId="77777777" w:rsidR="0099088D" w:rsidRPr="00413C82" w:rsidRDefault="0099088D" w:rsidP="0099088D">
      <w:pPr>
        <w:keepNext/>
        <w:jc w:val="center"/>
        <w:outlineLvl w:val="3"/>
        <w:rPr>
          <w:b/>
          <w:sz w:val="28"/>
          <w:szCs w:val="28"/>
        </w:rPr>
      </w:pPr>
      <w:r w:rsidRPr="00413C82">
        <w:rPr>
          <w:b/>
          <w:sz w:val="28"/>
          <w:szCs w:val="28"/>
        </w:rPr>
        <w:t>оборудования к газораспределительным сетям ООО «Газпром газораспределение Томск» (г. Томск) в Кемеровской области на 2022 год</w:t>
      </w:r>
    </w:p>
    <w:p w14:paraId="32FE2DF7" w14:textId="77777777" w:rsidR="0099088D" w:rsidRPr="00413C82" w:rsidRDefault="0099088D" w:rsidP="0099088D">
      <w:pPr>
        <w:rPr>
          <w:sz w:val="20"/>
          <w:szCs w:val="20"/>
        </w:rPr>
      </w:pPr>
    </w:p>
    <w:p w14:paraId="5C362CAD" w14:textId="77777777" w:rsidR="0099088D" w:rsidRPr="00413C82" w:rsidRDefault="0099088D" w:rsidP="0099088D">
      <w:pPr>
        <w:keepNext/>
        <w:jc w:val="center"/>
        <w:outlineLvl w:val="3"/>
        <w:rPr>
          <w:sz w:val="28"/>
          <w:szCs w:val="20"/>
        </w:rPr>
      </w:pPr>
    </w:p>
    <w:p w14:paraId="255CE1C9" w14:textId="77777777" w:rsidR="0099088D" w:rsidRPr="00413C82" w:rsidRDefault="0099088D" w:rsidP="0099088D">
      <w:pPr>
        <w:keepNext/>
        <w:jc w:val="center"/>
        <w:outlineLvl w:val="3"/>
        <w:rPr>
          <w:sz w:val="28"/>
          <w:szCs w:val="28"/>
        </w:rPr>
      </w:pPr>
      <w:r w:rsidRPr="00413C82">
        <w:rPr>
          <w:sz w:val="28"/>
          <w:szCs w:val="20"/>
        </w:rPr>
        <w:tab/>
      </w:r>
      <w:r w:rsidRPr="00413C82">
        <w:rPr>
          <w:sz w:val="28"/>
          <w:szCs w:val="20"/>
        </w:rPr>
        <w:tab/>
      </w:r>
      <w:r w:rsidRPr="00413C82">
        <w:rPr>
          <w:sz w:val="28"/>
          <w:szCs w:val="20"/>
        </w:rPr>
        <w:tab/>
      </w:r>
      <w:r w:rsidRPr="00413C82">
        <w:rPr>
          <w:sz w:val="28"/>
          <w:szCs w:val="20"/>
        </w:rPr>
        <w:tab/>
      </w:r>
      <w:r w:rsidRPr="00413C82">
        <w:rPr>
          <w:sz w:val="28"/>
          <w:szCs w:val="20"/>
        </w:rPr>
        <w:tab/>
      </w:r>
      <w:r w:rsidRPr="00413C82">
        <w:rPr>
          <w:sz w:val="28"/>
          <w:szCs w:val="20"/>
        </w:rPr>
        <w:tab/>
      </w:r>
      <w:r w:rsidRPr="00413C82">
        <w:rPr>
          <w:sz w:val="28"/>
          <w:szCs w:val="20"/>
        </w:rPr>
        <w:tab/>
      </w:r>
      <w:r w:rsidRPr="00413C82">
        <w:rPr>
          <w:sz w:val="28"/>
          <w:szCs w:val="20"/>
        </w:rPr>
        <w:tab/>
      </w:r>
      <w:r w:rsidRPr="00413C82">
        <w:rPr>
          <w:sz w:val="28"/>
          <w:szCs w:val="20"/>
        </w:rPr>
        <w:tab/>
      </w:r>
      <w:r w:rsidRPr="00413C82">
        <w:rPr>
          <w:sz w:val="28"/>
          <w:szCs w:val="20"/>
        </w:rPr>
        <w:tab/>
      </w:r>
      <w:r w:rsidRPr="00413C82">
        <w:rPr>
          <w:sz w:val="28"/>
          <w:szCs w:val="20"/>
        </w:rPr>
        <w:tab/>
        <w:t xml:space="preserve">                      </w:t>
      </w:r>
    </w:p>
    <w:tbl>
      <w:tblPr>
        <w:tblW w:w="10677" w:type="dxa"/>
        <w:tblInd w:w="-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2448"/>
        <w:gridCol w:w="1567"/>
        <w:gridCol w:w="1385"/>
        <w:gridCol w:w="2592"/>
      </w:tblGrid>
      <w:tr w:rsidR="0099088D" w:rsidRPr="00413C82" w14:paraId="1C248B89" w14:textId="77777777" w:rsidTr="0099088D">
        <w:trPr>
          <w:trHeight w:val="1827"/>
        </w:trPr>
        <w:tc>
          <w:tcPr>
            <w:tcW w:w="2685" w:type="dxa"/>
            <w:vMerge w:val="restart"/>
            <w:shd w:val="clear" w:color="auto" w:fill="auto"/>
            <w:vAlign w:val="center"/>
          </w:tcPr>
          <w:p w14:paraId="774E95F0" w14:textId="77777777" w:rsidR="0099088D" w:rsidRPr="00413C82" w:rsidRDefault="0099088D" w:rsidP="0099088D">
            <w:pPr>
              <w:jc w:val="center"/>
              <w:rPr>
                <w:sz w:val="28"/>
                <w:szCs w:val="28"/>
              </w:rPr>
            </w:pPr>
            <w:r w:rsidRPr="00413C82">
              <w:rPr>
                <w:sz w:val="28"/>
                <w:szCs w:val="28"/>
              </w:rPr>
              <w:t>Количество присоединяемых объектов (газоиспользующего оборудования) заявителей, шт.</w:t>
            </w:r>
          </w:p>
        </w:tc>
        <w:tc>
          <w:tcPr>
            <w:tcW w:w="2448" w:type="dxa"/>
            <w:vMerge w:val="restart"/>
            <w:shd w:val="clear" w:color="auto" w:fill="auto"/>
            <w:vAlign w:val="center"/>
          </w:tcPr>
          <w:p w14:paraId="1CDB01B0" w14:textId="77777777" w:rsidR="0099088D" w:rsidRPr="00413C82" w:rsidRDefault="0099088D" w:rsidP="0099088D">
            <w:pPr>
              <w:jc w:val="center"/>
              <w:rPr>
                <w:sz w:val="28"/>
                <w:szCs w:val="28"/>
              </w:rPr>
            </w:pPr>
            <w:r w:rsidRPr="00413C82">
              <w:rPr>
                <w:sz w:val="28"/>
                <w:szCs w:val="28"/>
              </w:rPr>
              <w:t>Экономически обоснованная плата за технологическое присоединение одного заявителя,</w:t>
            </w:r>
            <w:r w:rsidRPr="00413C82">
              <w:rPr>
                <w:sz w:val="28"/>
                <w:szCs w:val="28"/>
              </w:rPr>
              <w:br/>
              <w:t>руб.                      (без НДС)</w:t>
            </w:r>
          </w:p>
        </w:tc>
        <w:tc>
          <w:tcPr>
            <w:tcW w:w="2952" w:type="dxa"/>
            <w:gridSpan w:val="2"/>
            <w:shd w:val="clear" w:color="auto" w:fill="auto"/>
            <w:vAlign w:val="center"/>
          </w:tcPr>
          <w:p w14:paraId="18DC8D30" w14:textId="77777777" w:rsidR="0099088D" w:rsidRPr="00413C82" w:rsidRDefault="0099088D" w:rsidP="0099088D">
            <w:pPr>
              <w:jc w:val="center"/>
              <w:rPr>
                <w:sz w:val="28"/>
                <w:szCs w:val="28"/>
              </w:rPr>
            </w:pPr>
            <w:r w:rsidRPr="00413C82">
              <w:rPr>
                <w:sz w:val="28"/>
                <w:szCs w:val="28"/>
              </w:rPr>
              <w:t>Плата за технологическое присоединение одного заявителя,</w:t>
            </w:r>
          </w:p>
          <w:p w14:paraId="60213284" w14:textId="77777777" w:rsidR="0099088D" w:rsidRPr="00413C82" w:rsidRDefault="0099088D" w:rsidP="0099088D">
            <w:pPr>
              <w:jc w:val="center"/>
              <w:rPr>
                <w:sz w:val="28"/>
                <w:szCs w:val="28"/>
              </w:rPr>
            </w:pPr>
            <w:r w:rsidRPr="00413C82">
              <w:rPr>
                <w:sz w:val="28"/>
                <w:szCs w:val="28"/>
              </w:rPr>
              <w:t xml:space="preserve">руб.     </w:t>
            </w:r>
          </w:p>
        </w:tc>
        <w:tc>
          <w:tcPr>
            <w:tcW w:w="2592" w:type="dxa"/>
            <w:vMerge w:val="restart"/>
            <w:shd w:val="clear" w:color="auto" w:fill="auto"/>
            <w:vAlign w:val="center"/>
          </w:tcPr>
          <w:p w14:paraId="749BE81D" w14:textId="77777777" w:rsidR="0099088D" w:rsidRPr="00413C82" w:rsidRDefault="0099088D" w:rsidP="0099088D">
            <w:pPr>
              <w:jc w:val="center"/>
              <w:rPr>
                <w:sz w:val="28"/>
                <w:szCs w:val="28"/>
              </w:rPr>
            </w:pPr>
            <w:r w:rsidRPr="00413C82">
              <w:rPr>
                <w:sz w:val="28"/>
                <w:szCs w:val="28"/>
              </w:rPr>
              <w:t xml:space="preserve">Величина выпадающих доходов ГРО от присоединения газоиспользующего </w:t>
            </w:r>
            <w:proofErr w:type="gramStart"/>
            <w:r w:rsidRPr="00413C82">
              <w:rPr>
                <w:sz w:val="28"/>
                <w:szCs w:val="28"/>
              </w:rPr>
              <w:t xml:space="preserve">оборудования,   </w:t>
            </w:r>
            <w:proofErr w:type="gramEnd"/>
            <w:r w:rsidRPr="00413C82">
              <w:rPr>
                <w:sz w:val="28"/>
                <w:szCs w:val="28"/>
              </w:rPr>
              <w:t xml:space="preserve">              руб. (без НДС)</w:t>
            </w:r>
          </w:p>
        </w:tc>
      </w:tr>
      <w:tr w:rsidR="0099088D" w:rsidRPr="00413C82" w14:paraId="3C40DEFE" w14:textId="77777777" w:rsidTr="0099088D">
        <w:trPr>
          <w:trHeight w:val="280"/>
        </w:trPr>
        <w:tc>
          <w:tcPr>
            <w:tcW w:w="2685" w:type="dxa"/>
            <w:vMerge/>
            <w:shd w:val="clear" w:color="auto" w:fill="auto"/>
            <w:vAlign w:val="center"/>
          </w:tcPr>
          <w:p w14:paraId="4109C8EE" w14:textId="77777777" w:rsidR="0099088D" w:rsidRPr="00413C82" w:rsidRDefault="0099088D" w:rsidP="0099088D">
            <w:pPr>
              <w:jc w:val="center"/>
              <w:rPr>
                <w:sz w:val="28"/>
                <w:szCs w:val="28"/>
              </w:rPr>
            </w:pPr>
          </w:p>
        </w:tc>
        <w:tc>
          <w:tcPr>
            <w:tcW w:w="2448" w:type="dxa"/>
            <w:vMerge/>
            <w:shd w:val="clear" w:color="auto" w:fill="auto"/>
            <w:vAlign w:val="center"/>
          </w:tcPr>
          <w:p w14:paraId="2F6E3B36" w14:textId="77777777" w:rsidR="0099088D" w:rsidRPr="00413C82" w:rsidRDefault="0099088D" w:rsidP="0099088D">
            <w:pPr>
              <w:jc w:val="center"/>
              <w:rPr>
                <w:sz w:val="28"/>
                <w:szCs w:val="28"/>
              </w:rPr>
            </w:pPr>
          </w:p>
        </w:tc>
        <w:tc>
          <w:tcPr>
            <w:tcW w:w="1567" w:type="dxa"/>
            <w:shd w:val="clear" w:color="auto" w:fill="auto"/>
            <w:vAlign w:val="center"/>
          </w:tcPr>
          <w:p w14:paraId="32E25DE9" w14:textId="77777777" w:rsidR="0099088D" w:rsidRPr="00413C82" w:rsidRDefault="0099088D" w:rsidP="0099088D">
            <w:pPr>
              <w:jc w:val="center"/>
              <w:rPr>
                <w:sz w:val="28"/>
                <w:szCs w:val="28"/>
              </w:rPr>
            </w:pPr>
            <w:r w:rsidRPr="00413C82">
              <w:rPr>
                <w:sz w:val="28"/>
                <w:szCs w:val="28"/>
              </w:rPr>
              <w:t>население* (с НДС)</w:t>
            </w:r>
          </w:p>
        </w:tc>
        <w:tc>
          <w:tcPr>
            <w:tcW w:w="1385" w:type="dxa"/>
            <w:shd w:val="clear" w:color="auto" w:fill="auto"/>
            <w:vAlign w:val="center"/>
          </w:tcPr>
          <w:p w14:paraId="31397E93" w14:textId="77777777" w:rsidR="0099088D" w:rsidRPr="00413C82" w:rsidRDefault="0099088D" w:rsidP="0099088D">
            <w:pPr>
              <w:jc w:val="center"/>
              <w:rPr>
                <w:sz w:val="28"/>
                <w:szCs w:val="28"/>
              </w:rPr>
            </w:pPr>
            <w:r w:rsidRPr="00413C82">
              <w:rPr>
                <w:sz w:val="28"/>
                <w:szCs w:val="28"/>
              </w:rPr>
              <w:t xml:space="preserve">прочие </w:t>
            </w:r>
            <w:r w:rsidRPr="00413C82">
              <w:rPr>
                <w:sz w:val="28"/>
                <w:szCs w:val="28"/>
              </w:rPr>
              <w:br/>
              <w:t>(без НДС)</w:t>
            </w:r>
          </w:p>
        </w:tc>
        <w:tc>
          <w:tcPr>
            <w:tcW w:w="2592" w:type="dxa"/>
            <w:vMerge/>
            <w:shd w:val="clear" w:color="auto" w:fill="auto"/>
            <w:vAlign w:val="center"/>
          </w:tcPr>
          <w:p w14:paraId="05B99975" w14:textId="77777777" w:rsidR="0099088D" w:rsidRPr="00413C82" w:rsidRDefault="0099088D" w:rsidP="0099088D">
            <w:pPr>
              <w:jc w:val="center"/>
              <w:rPr>
                <w:sz w:val="28"/>
                <w:szCs w:val="28"/>
              </w:rPr>
            </w:pPr>
          </w:p>
        </w:tc>
      </w:tr>
      <w:tr w:rsidR="0099088D" w:rsidRPr="00413C82" w14:paraId="3682BDA4" w14:textId="77777777" w:rsidTr="0099088D">
        <w:trPr>
          <w:trHeight w:val="1174"/>
        </w:trPr>
        <w:tc>
          <w:tcPr>
            <w:tcW w:w="2685" w:type="dxa"/>
            <w:shd w:val="clear" w:color="auto" w:fill="auto"/>
            <w:vAlign w:val="center"/>
          </w:tcPr>
          <w:p w14:paraId="1FB786AC" w14:textId="77777777" w:rsidR="0099088D" w:rsidRPr="00413C82" w:rsidRDefault="0099088D" w:rsidP="0099088D">
            <w:pPr>
              <w:jc w:val="center"/>
              <w:rPr>
                <w:sz w:val="28"/>
                <w:szCs w:val="28"/>
              </w:rPr>
            </w:pPr>
            <w:r w:rsidRPr="00413C82">
              <w:rPr>
                <w:sz w:val="28"/>
                <w:szCs w:val="28"/>
              </w:rPr>
              <w:t>1</w:t>
            </w:r>
          </w:p>
        </w:tc>
        <w:tc>
          <w:tcPr>
            <w:tcW w:w="2448" w:type="dxa"/>
            <w:shd w:val="clear" w:color="auto" w:fill="auto"/>
            <w:vAlign w:val="center"/>
          </w:tcPr>
          <w:p w14:paraId="5EB64A80" w14:textId="77777777" w:rsidR="0099088D" w:rsidRPr="00413C82" w:rsidRDefault="0099088D" w:rsidP="0099088D">
            <w:pPr>
              <w:jc w:val="center"/>
              <w:rPr>
                <w:sz w:val="28"/>
                <w:szCs w:val="28"/>
              </w:rPr>
            </w:pPr>
            <w:r w:rsidRPr="00413C82">
              <w:rPr>
                <w:sz w:val="28"/>
                <w:szCs w:val="28"/>
              </w:rPr>
              <w:t>530 335,87</w:t>
            </w:r>
          </w:p>
        </w:tc>
        <w:tc>
          <w:tcPr>
            <w:tcW w:w="1567" w:type="dxa"/>
            <w:shd w:val="clear" w:color="auto" w:fill="auto"/>
            <w:vAlign w:val="center"/>
          </w:tcPr>
          <w:p w14:paraId="1254FE6C" w14:textId="77777777" w:rsidR="0099088D" w:rsidRPr="00413C82" w:rsidRDefault="0099088D" w:rsidP="0099088D">
            <w:pPr>
              <w:jc w:val="center"/>
              <w:rPr>
                <w:sz w:val="28"/>
                <w:szCs w:val="28"/>
              </w:rPr>
            </w:pPr>
            <w:r w:rsidRPr="00413C82">
              <w:rPr>
                <w:sz w:val="28"/>
                <w:szCs w:val="28"/>
              </w:rPr>
              <w:t>72 872,16</w:t>
            </w:r>
          </w:p>
        </w:tc>
        <w:tc>
          <w:tcPr>
            <w:tcW w:w="1385" w:type="dxa"/>
            <w:shd w:val="clear" w:color="auto" w:fill="auto"/>
            <w:vAlign w:val="center"/>
          </w:tcPr>
          <w:p w14:paraId="61B13A9E" w14:textId="77777777" w:rsidR="0099088D" w:rsidRPr="00413C82" w:rsidRDefault="0099088D" w:rsidP="0099088D">
            <w:pPr>
              <w:jc w:val="center"/>
              <w:rPr>
                <w:sz w:val="28"/>
                <w:szCs w:val="28"/>
              </w:rPr>
            </w:pPr>
            <w:r w:rsidRPr="00413C82">
              <w:rPr>
                <w:sz w:val="28"/>
                <w:szCs w:val="28"/>
              </w:rPr>
              <w:t>60 726,80</w:t>
            </w:r>
          </w:p>
        </w:tc>
        <w:tc>
          <w:tcPr>
            <w:tcW w:w="2592" w:type="dxa"/>
            <w:shd w:val="clear" w:color="auto" w:fill="auto"/>
            <w:vAlign w:val="center"/>
          </w:tcPr>
          <w:p w14:paraId="6722A0E1" w14:textId="77777777" w:rsidR="0099088D" w:rsidRPr="00413C82" w:rsidRDefault="0099088D" w:rsidP="0099088D">
            <w:pPr>
              <w:jc w:val="center"/>
              <w:rPr>
                <w:sz w:val="28"/>
                <w:szCs w:val="28"/>
              </w:rPr>
            </w:pPr>
            <w:r w:rsidRPr="00413C82">
              <w:rPr>
                <w:sz w:val="28"/>
                <w:szCs w:val="28"/>
              </w:rPr>
              <w:t>375 687,26</w:t>
            </w:r>
          </w:p>
        </w:tc>
      </w:tr>
    </w:tbl>
    <w:p w14:paraId="50B2179E" w14:textId="77777777" w:rsidR="0099088D" w:rsidRPr="00413C82" w:rsidRDefault="0099088D" w:rsidP="0099088D">
      <w:pPr>
        <w:rPr>
          <w:sz w:val="20"/>
          <w:szCs w:val="20"/>
        </w:rPr>
      </w:pPr>
    </w:p>
    <w:p w14:paraId="5B40D679" w14:textId="77777777" w:rsidR="0099088D" w:rsidRPr="00413C82" w:rsidRDefault="0099088D" w:rsidP="0099088D">
      <w:pPr>
        <w:ind w:firstLine="709"/>
        <w:rPr>
          <w:sz w:val="20"/>
          <w:szCs w:val="20"/>
        </w:rPr>
      </w:pPr>
    </w:p>
    <w:p w14:paraId="6170C422" w14:textId="77777777" w:rsidR="0099088D" w:rsidRPr="00413C82" w:rsidRDefault="0099088D" w:rsidP="0099088D">
      <w:pPr>
        <w:ind w:firstLine="709"/>
        <w:jc w:val="both"/>
        <w:rPr>
          <w:sz w:val="20"/>
          <w:szCs w:val="20"/>
        </w:rPr>
      </w:pPr>
      <w:r w:rsidRPr="00413C82">
        <w:rPr>
          <w:color w:val="000000"/>
          <w:sz w:val="28"/>
          <w:szCs w:val="28"/>
        </w:rPr>
        <w:t>* Выделяется в целях реализации пункта 6 статьи 168 Налогового кодекса Российской Федерации (часть вторая).</w:t>
      </w:r>
    </w:p>
    <w:p w14:paraId="3E2146EF" w14:textId="77777777" w:rsidR="0099088D" w:rsidRPr="00413C82" w:rsidRDefault="0099088D" w:rsidP="0099088D">
      <w:pPr>
        <w:ind w:firstLine="709"/>
        <w:jc w:val="both"/>
        <w:rPr>
          <w:sz w:val="28"/>
          <w:szCs w:val="28"/>
        </w:rPr>
      </w:pPr>
    </w:p>
    <w:p w14:paraId="1DAB1EF6" w14:textId="77777777" w:rsidR="0099088D" w:rsidRPr="00413C82" w:rsidRDefault="0099088D" w:rsidP="0099088D">
      <w:pPr>
        <w:rPr>
          <w:sz w:val="20"/>
          <w:szCs w:val="20"/>
        </w:rPr>
      </w:pPr>
    </w:p>
    <w:p w14:paraId="48CF7891" w14:textId="77777777" w:rsidR="0099088D" w:rsidRDefault="0099088D" w:rsidP="0099088D">
      <w:pPr>
        <w:tabs>
          <w:tab w:val="left" w:pos="5580"/>
          <w:tab w:val="left" w:pos="9498"/>
        </w:tabs>
        <w:ind w:left="-284" w:right="-569" w:firstLine="851"/>
        <w:rPr>
          <w:color w:val="000000" w:themeColor="text1"/>
        </w:rPr>
        <w:sectPr w:rsidR="0099088D" w:rsidSect="0099088D">
          <w:pgSz w:w="11906" w:h="16838"/>
          <w:pgMar w:top="567" w:right="850" w:bottom="1134" w:left="1701" w:header="708" w:footer="708" w:gutter="0"/>
          <w:cols w:space="708"/>
          <w:docGrid w:linePitch="360"/>
        </w:sectPr>
      </w:pPr>
    </w:p>
    <w:p w14:paraId="233C758A" w14:textId="05E9A41F" w:rsidR="00BA6654" w:rsidRPr="00081AD4" w:rsidRDefault="00BA6654" w:rsidP="00BA6654">
      <w:pPr>
        <w:tabs>
          <w:tab w:val="left" w:pos="3686"/>
          <w:tab w:val="left" w:pos="9498"/>
        </w:tabs>
        <w:ind w:left="-3734" w:right="-1" w:firstLine="7987"/>
        <w:rPr>
          <w:color w:val="000000" w:themeColor="text1"/>
        </w:rPr>
      </w:pPr>
      <w:r w:rsidRPr="00081AD4">
        <w:rPr>
          <w:color w:val="000000" w:themeColor="text1"/>
        </w:rPr>
        <w:t xml:space="preserve">Приложение № </w:t>
      </w:r>
      <w:r>
        <w:rPr>
          <w:color w:val="000000" w:themeColor="text1"/>
        </w:rPr>
        <w:t>1</w:t>
      </w:r>
      <w:r>
        <w:rPr>
          <w:color w:val="000000" w:themeColor="text1"/>
        </w:rPr>
        <w:t>3</w:t>
      </w:r>
      <w:r>
        <w:rPr>
          <w:color w:val="000000" w:themeColor="text1"/>
        </w:rPr>
        <w:t xml:space="preserve"> к протоколу</w:t>
      </w:r>
      <w:r w:rsidRPr="00081AD4">
        <w:rPr>
          <w:color w:val="000000" w:themeColor="text1"/>
        </w:rPr>
        <w:t xml:space="preserve"> № </w:t>
      </w:r>
      <w:r>
        <w:rPr>
          <w:color w:val="000000" w:themeColor="text1"/>
        </w:rPr>
        <w:t>88</w:t>
      </w:r>
    </w:p>
    <w:p w14:paraId="617605C0" w14:textId="77777777" w:rsidR="00BA6654" w:rsidRPr="00081AD4" w:rsidRDefault="00BA6654" w:rsidP="00BA6654">
      <w:pPr>
        <w:tabs>
          <w:tab w:val="left" w:pos="3686"/>
          <w:tab w:val="left" w:pos="9498"/>
        </w:tabs>
        <w:ind w:left="-3734" w:right="-1" w:firstLine="7987"/>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07C76FB2" w14:textId="77777777" w:rsidR="00BA6654" w:rsidRPr="00081AD4" w:rsidRDefault="00BA6654" w:rsidP="00BA6654">
      <w:pPr>
        <w:tabs>
          <w:tab w:val="left" w:pos="3686"/>
          <w:tab w:val="left" w:pos="9498"/>
        </w:tabs>
        <w:ind w:left="-3734" w:right="-1" w:firstLine="7987"/>
        <w:rPr>
          <w:color w:val="000000" w:themeColor="text1"/>
        </w:rPr>
      </w:pPr>
      <w:r w:rsidRPr="00081AD4">
        <w:rPr>
          <w:color w:val="000000" w:themeColor="text1"/>
        </w:rPr>
        <w:t>энергетической комиссии</w:t>
      </w:r>
    </w:p>
    <w:p w14:paraId="0914A415" w14:textId="6F49E28B" w:rsidR="00BA6654" w:rsidRDefault="00BA6654" w:rsidP="00BA6654">
      <w:pPr>
        <w:tabs>
          <w:tab w:val="left" w:pos="3686"/>
          <w:tab w:val="left" w:pos="9498"/>
        </w:tabs>
        <w:ind w:left="-3734" w:right="-1" w:firstLine="7987"/>
        <w:rPr>
          <w:color w:val="000000" w:themeColor="text1"/>
        </w:rPr>
      </w:pPr>
      <w:r w:rsidRPr="00081AD4">
        <w:rPr>
          <w:color w:val="000000" w:themeColor="text1"/>
        </w:rPr>
        <w:t xml:space="preserve">Кузбасса от </w:t>
      </w:r>
      <w:r>
        <w:rPr>
          <w:color w:val="000000" w:themeColor="text1"/>
        </w:rPr>
        <w:t>23</w:t>
      </w:r>
      <w:r w:rsidRPr="00081AD4">
        <w:rPr>
          <w:color w:val="000000" w:themeColor="text1"/>
        </w:rPr>
        <w:t>.</w:t>
      </w:r>
      <w:r>
        <w:rPr>
          <w:color w:val="000000" w:themeColor="text1"/>
        </w:rPr>
        <w:t>12</w:t>
      </w:r>
      <w:r w:rsidRPr="00081AD4">
        <w:rPr>
          <w:color w:val="000000" w:themeColor="text1"/>
        </w:rPr>
        <w:t>.202</w:t>
      </w:r>
      <w:r>
        <w:rPr>
          <w:color w:val="000000" w:themeColor="text1"/>
        </w:rPr>
        <w:t>1</w:t>
      </w:r>
    </w:p>
    <w:p w14:paraId="0084F1ED" w14:textId="77777777" w:rsidR="00BA6654" w:rsidRDefault="00BA6654" w:rsidP="00BA6654">
      <w:pPr>
        <w:tabs>
          <w:tab w:val="left" w:pos="3686"/>
          <w:tab w:val="left" w:pos="9498"/>
        </w:tabs>
        <w:ind w:left="-3734" w:right="-1" w:firstLine="7987"/>
        <w:rPr>
          <w:color w:val="000000" w:themeColor="text1"/>
        </w:rPr>
      </w:pPr>
    </w:p>
    <w:p w14:paraId="3400D0C9" w14:textId="77777777" w:rsidR="0099088D" w:rsidRPr="002636AA" w:rsidRDefault="0099088D" w:rsidP="0099088D">
      <w:pPr>
        <w:ind w:firstLine="709"/>
        <w:jc w:val="center"/>
        <w:rPr>
          <w:b/>
          <w:sz w:val="28"/>
          <w:szCs w:val="28"/>
        </w:rPr>
      </w:pPr>
      <w:r w:rsidRPr="002636AA">
        <w:rPr>
          <w:b/>
          <w:sz w:val="28"/>
          <w:szCs w:val="28"/>
        </w:rPr>
        <w:t>Экспертное заключение</w:t>
      </w:r>
    </w:p>
    <w:p w14:paraId="1E566E90" w14:textId="77777777" w:rsidR="0099088D" w:rsidRPr="002636AA" w:rsidRDefault="0099088D" w:rsidP="0099088D">
      <w:pPr>
        <w:ind w:firstLine="709"/>
        <w:jc w:val="center"/>
        <w:rPr>
          <w:bCs/>
          <w:sz w:val="28"/>
          <w:szCs w:val="28"/>
        </w:rPr>
      </w:pPr>
      <w:r w:rsidRPr="002636AA">
        <w:rPr>
          <w:bCs/>
          <w:sz w:val="28"/>
          <w:szCs w:val="28"/>
        </w:rPr>
        <w:t>Региональной энергетической комиссии Кузбасса</w:t>
      </w:r>
    </w:p>
    <w:p w14:paraId="74DC3EFC" w14:textId="77777777" w:rsidR="0099088D" w:rsidRPr="002636AA" w:rsidRDefault="0099088D" w:rsidP="0099088D">
      <w:pPr>
        <w:ind w:firstLine="709"/>
        <w:jc w:val="center"/>
        <w:rPr>
          <w:sz w:val="28"/>
          <w:szCs w:val="28"/>
        </w:rPr>
      </w:pPr>
      <w:r w:rsidRPr="002636AA">
        <w:rPr>
          <w:bCs/>
          <w:sz w:val="28"/>
          <w:szCs w:val="28"/>
        </w:rPr>
        <w:t xml:space="preserve">по материалам, представленным </w:t>
      </w:r>
      <w:r w:rsidRPr="002636AA">
        <w:rPr>
          <w:sz w:val="28"/>
          <w:szCs w:val="28"/>
        </w:rPr>
        <w:t xml:space="preserve">ООО «Газпром газораспределение Томск» </w:t>
      </w:r>
    </w:p>
    <w:p w14:paraId="40693DFC" w14:textId="77777777" w:rsidR="0099088D" w:rsidRPr="002636AA" w:rsidRDefault="0099088D" w:rsidP="0099088D">
      <w:pPr>
        <w:autoSpaceDE w:val="0"/>
        <w:autoSpaceDN w:val="0"/>
        <w:adjustRightInd w:val="0"/>
        <w:ind w:firstLine="540"/>
        <w:jc w:val="center"/>
        <w:rPr>
          <w:sz w:val="28"/>
          <w:szCs w:val="28"/>
        </w:rPr>
      </w:pPr>
      <w:r w:rsidRPr="002636AA">
        <w:rPr>
          <w:sz w:val="28"/>
          <w:szCs w:val="28"/>
        </w:rPr>
        <w:t xml:space="preserve">на утверждение </w:t>
      </w:r>
      <w:bookmarkStart w:id="20" w:name="_Hlk531268444"/>
      <w:r w:rsidRPr="002636AA">
        <w:rPr>
          <w:sz w:val="28"/>
          <w:szCs w:val="28"/>
        </w:rPr>
        <w:t>стандартизированных тарифных ставок, используемых для определения платы за технологическое присоединение</w:t>
      </w:r>
      <w:r w:rsidRPr="002636AA">
        <w:rPr>
          <w:szCs w:val="20"/>
        </w:rPr>
        <w:t xml:space="preserve"> </w:t>
      </w:r>
      <w:r w:rsidRPr="002636AA">
        <w:rPr>
          <w:sz w:val="28"/>
          <w:szCs w:val="28"/>
        </w:rPr>
        <w:t>к газораспределительным</w:t>
      </w:r>
    </w:p>
    <w:p w14:paraId="207BD0E1" w14:textId="77777777" w:rsidR="0099088D" w:rsidRPr="002636AA" w:rsidRDefault="0099088D" w:rsidP="0099088D">
      <w:pPr>
        <w:autoSpaceDE w:val="0"/>
        <w:autoSpaceDN w:val="0"/>
        <w:adjustRightInd w:val="0"/>
        <w:ind w:firstLine="540"/>
        <w:jc w:val="center"/>
        <w:rPr>
          <w:sz w:val="28"/>
          <w:szCs w:val="28"/>
        </w:rPr>
      </w:pPr>
      <w:r w:rsidRPr="002636AA">
        <w:rPr>
          <w:sz w:val="28"/>
          <w:szCs w:val="28"/>
        </w:rPr>
        <w:t>сетям ООО «Газпром газораспределение Томск» на территории Кемеровской области - Кузбасса</w:t>
      </w:r>
      <w:bookmarkEnd w:id="20"/>
      <w:r w:rsidRPr="002636AA">
        <w:rPr>
          <w:sz w:val="28"/>
          <w:szCs w:val="28"/>
        </w:rPr>
        <w:t xml:space="preserve"> на 2022 год</w:t>
      </w:r>
    </w:p>
    <w:p w14:paraId="49090388" w14:textId="77777777" w:rsidR="0099088D" w:rsidRDefault="0099088D" w:rsidP="0099088D">
      <w:pPr>
        <w:ind w:firstLine="567"/>
        <w:jc w:val="both"/>
        <w:rPr>
          <w:sz w:val="28"/>
          <w:szCs w:val="28"/>
        </w:rPr>
      </w:pPr>
    </w:p>
    <w:p w14:paraId="79D9504B" w14:textId="77777777" w:rsidR="0099088D" w:rsidRPr="002636AA" w:rsidRDefault="0099088D" w:rsidP="0099088D">
      <w:pPr>
        <w:ind w:firstLine="567"/>
        <w:jc w:val="both"/>
        <w:rPr>
          <w:sz w:val="28"/>
          <w:szCs w:val="28"/>
        </w:rPr>
      </w:pPr>
      <w:r w:rsidRPr="002636AA">
        <w:rPr>
          <w:sz w:val="28"/>
          <w:szCs w:val="28"/>
        </w:rPr>
        <w:t>В региональную энергетическую комиссию Кемеровской области (далее – РЭК) обратился филиал ООО «Газпром газораспределение Томск» в Кемеровской области (далее – Предприятие) с заявкой на утверждение стандартизированных тарифных ставок:</w:t>
      </w:r>
    </w:p>
    <w:p w14:paraId="20EA4FEC" w14:textId="77777777" w:rsidR="0099088D" w:rsidRPr="002636AA" w:rsidRDefault="0099088D" w:rsidP="0099088D">
      <w:pPr>
        <w:ind w:firstLine="567"/>
        <w:jc w:val="both"/>
        <w:rPr>
          <w:sz w:val="28"/>
          <w:szCs w:val="28"/>
        </w:rPr>
      </w:pPr>
      <w:r w:rsidRPr="002636AA">
        <w:rPr>
          <w:sz w:val="28"/>
          <w:szCs w:val="28"/>
        </w:rPr>
        <w:t>-</w:t>
      </w:r>
      <w:r w:rsidRPr="002636AA">
        <w:rPr>
          <w:sz w:val="28"/>
          <w:szCs w:val="28"/>
        </w:rPr>
        <w:tab/>
        <w:t>стандартизированная тарифная ставка С</w:t>
      </w:r>
      <w:bookmarkStart w:id="21" w:name="_Hlk1548653"/>
      <w:r w:rsidRPr="002636AA">
        <w:rPr>
          <w:sz w:val="28"/>
          <w:szCs w:val="28"/>
          <w:vertAlign w:val="subscript"/>
        </w:rPr>
        <w:t>1</w:t>
      </w:r>
      <w:bookmarkEnd w:id="21"/>
      <w:r w:rsidRPr="002636AA">
        <w:rPr>
          <w:sz w:val="28"/>
          <w:szCs w:val="28"/>
        </w:rPr>
        <w:t xml:space="preserve"> на покрытие расходов ГРО, связанных с проектированием ГРО газопровода i-того диапазона диаметров n-ной протяженности и k-того типа прокладки, в расчете на одно подключение (технологическое присоединение);</w:t>
      </w:r>
    </w:p>
    <w:p w14:paraId="5808E22E" w14:textId="77777777" w:rsidR="0099088D" w:rsidRPr="002636AA" w:rsidRDefault="0099088D" w:rsidP="0099088D">
      <w:pPr>
        <w:autoSpaceDE w:val="0"/>
        <w:autoSpaceDN w:val="0"/>
        <w:adjustRightInd w:val="0"/>
        <w:ind w:firstLine="540"/>
        <w:jc w:val="both"/>
        <w:rPr>
          <w:sz w:val="28"/>
          <w:szCs w:val="28"/>
        </w:rPr>
      </w:pPr>
      <w:r w:rsidRPr="002636AA">
        <w:rPr>
          <w:sz w:val="28"/>
          <w:szCs w:val="28"/>
        </w:rPr>
        <w:t>-</w:t>
      </w:r>
      <w:r w:rsidRPr="002636AA">
        <w:rPr>
          <w:sz w:val="28"/>
          <w:szCs w:val="28"/>
        </w:rPr>
        <w:tab/>
        <w:t>стандартизированная тарифная ставка С</w:t>
      </w:r>
      <w:r w:rsidRPr="002636AA">
        <w:rPr>
          <w:sz w:val="28"/>
          <w:szCs w:val="28"/>
          <w:vertAlign w:val="subscript"/>
        </w:rPr>
        <w:t>2</w:t>
      </w:r>
      <w:r w:rsidRPr="002636AA">
        <w:rPr>
          <w:sz w:val="28"/>
          <w:szCs w:val="28"/>
        </w:rPr>
        <w:t xml:space="preserve"> на покрытие расходов ГРО, размер стандартизированной тарифной ставки на покрытие расходов ГРО, связанных со строительством стальных газопроводов i-того диапазона диаметров и k-того типа прокладки, в расчете на 1 км;</w:t>
      </w:r>
    </w:p>
    <w:p w14:paraId="67D9E98E" w14:textId="77777777" w:rsidR="0099088D" w:rsidRPr="002636AA" w:rsidRDefault="0099088D" w:rsidP="0099088D">
      <w:pPr>
        <w:ind w:firstLine="567"/>
        <w:jc w:val="both"/>
        <w:rPr>
          <w:sz w:val="28"/>
          <w:szCs w:val="28"/>
        </w:rPr>
      </w:pPr>
      <w:r w:rsidRPr="002636AA">
        <w:rPr>
          <w:sz w:val="28"/>
          <w:szCs w:val="28"/>
        </w:rPr>
        <w:t>-</w:t>
      </w:r>
      <w:r w:rsidRPr="002636AA">
        <w:rPr>
          <w:sz w:val="28"/>
          <w:szCs w:val="28"/>
        </w:rPr>
        <w:tab/>
        <w:t>стандартизированная тарифная ставка С</w:t>
      </w:r>
      <w:r w:rsidRPr="002636AA">
        <w:rPr>
          <w:sz w:val="28"/>
          <w:szCs w:val="28"/>
          <w:vertAlign w:val="subscript"/>
        </w:rPr>
        <w:t>3</w:t>
      </w:r>
      <w:r w:rsidRPr="002636AA">
        <w:rPr>
          <w:sz w:val="28"/>
          <w:szCs w:val="28"/>
        </w:rPr>
        <w:t xml:space="preserve"> на покрытие расходов ГРО, связанных со строительством полиэтиленового газопровода j-того диапазона диаметров, в расчете на 1 км;</w:t>
      </w:r>
    </w:p>
    <w:p w14:paraId="2DE1ED8A" w14:textId="77777777" w:rsidR="0099088D" w:rsidRPr="002636AA" w:rsidRDefault="0099088D" w:rsidP="0099088D">
      <w:pPr>
        <w:ind w:firstLine="567"/>
        <w:jc w:val="both"/>
        <w:rPr>
          <w:sz w:val="28"/>
          <w:szCs w:val="28"/>
        </w:rPr>
      </w:pPr>
      <w:bookmarkStart w:id="22" w:name="_Hlk26430174"/>
      <w:r w:rsidRPr="002636AA">
        <w:rPr>
          <w:sz w:val="28"/>
          <w:szCs w:val="28"/>
        </w:rPr>
        <w:t>-</w:t>
      </w:r>
      <w:r w:rsidRPr="002636AA">
        <w:rPr>
          <w:sz w:val="28"/>
          <w:szCs w:val="28"/>
        </w:rPr>
        <w:tab/>
      </w:r>
      <w:bookmarkStart w:id="23" w:name="_Hlk1548771"/>
      <w:bookmarkEnd w:id="22"/>
      <w:r w:rsidRPr="002636AA">
        <w:rPr>
          <w:sz w:val="28"/>
          <w:szCs w:val="28"/>
        </w:rPr>
        <w:t xml:space="preserve">стандартизированная тарифная ставка </w:t>
      </w:r>
      <w:bookmarkStart w:id="24" w:name="_Hlk26430197"/>
      <w:r w:rsidRPr="002636AA">
        <w:rPr>
          <w:sz w:val="28"/>
          <w:szCs w:val="28"/>
        </w:rPr>
        <w:t>С</w:t>
      </w:r>
      <w:r w:rsidRPr="002636AA">
        <w:rPr>
          <w:sz w:val="28"/>
          <w:szCs w:val="28"/>
          <w:vertAlign w:val="subscript"/>
        </w:rPr>
        <w:t>4</w:t>
      </w:r>
      <w:bookmarkEnd w:id="24"/>
      <w:r w:rsidRPr="002636AA">
        <w:rPr>
          <w:sz w:val="28"/>
          <w:szCs w:val="28"/>
        </w:rPr>
        <w:t xml:space="preserve"> на покрытие расходов ГРО, связанных со строительством стального газопровода i-того диапазона диаметров (полиэтиленового газопровода j-того диапазона диаметров) n-ной протяженности бестраншейным способом, в расчете на 1 км</w:t>
      </w:r>
      <w:bookmarkEnd w:id="23"/>
      <w:r w:rsidRPr="002636AA">
        <w:rPr>
          <w:sz w:val="28"/>
          <w:szCs w:val="28"/>
        </w:rPr>
        <w:t>;</w:t>
      </w:r>
    </w:p>
    <w:p w14:paraId="4F6291C3" w14:textId="77777777" w:rsidR="0099088D" w:rsidRPr="002636AA" w:rsidRDefault="0099088D" w:rsidP="0099088D">
      <w:pPr>
        <w:ind w:firstLine="567"/>
        <w:jc w:val="both"/>
        <w:rPr>
          <w:sz w:val="28"/>
          <w:szCs w:val="28"/>
        </w:rPr>
      </w:pPr>
      <w:r w:rsidRPr="002636AA">
        <w:rPr>
          <w:sz w:val="28"/>
          <w:szCs w:val="28"/>
        </w:rPr>
        <w:t>-</w:t>
      </w:r>
      <w:r w:rsidRPr="002636AA">
        <w:rPr>
          <w:sz w:val="28"/>
          <w:szCs w:val="28"/>
        </w:rPr>
        <w:tab/>
      </w:r>
      <w:bookmarkStart w:id="25" w:name="_Hlk26430328"/>
      <w:r w:rsidRPr="002636AA">
        <w:rPr>
          <w:sz w:val="28"/>
          <w:szCs w:val="28"/>
        </w:rPr>
        <w:t>стандартизированная тарифная ставка С</w:t>
      </w:r>
      <w:r w:rsidRPr="002636AA">
        <w:rPr>
          <w:sz w:val="28"/>
          <w:szCs w:val="28"/>
          <w:vertAlign w:val="subscript"/>
        </w:rPr>
        <w:t xml:space="preserve">5 </w:t>
      </w:r>
      <w:r w:rsidRPr="002636AA">
        <w:rPr>
          <w:sz w:val="28"/>
          <w:szCs w:val="28"/>
        </w:rPr>
        <w:t>на покрытие расходов ГРО, связанных с проектированием и строительством пунктов редуцирования газа m-ного диапазона максимального часового расхода газа, в расчете на 1 м3 (руб./м3)</w:t>
      </w:r>
      <w:bookmarkEnd w:id="25"/>
      <w:r w:rsidRPr="002636AA">
        <w:rPr>
          <w:sz w:val="28"/>
          <w:szCs w:val="28"/>
        </w:rPr>
        <w:t>;</w:t>
      </w:r>
    </w:p>
    <w:p w14:paraId="137EBC63" w14:textId="77777777" w:rsidR="0099088D" w:rsidRPr="002636AA" w:rsidRDefault="0099088D" w:rsidP="0099088D">
      <w:pPr>
        <w:autoSpaceDE w:val="0"/>
        <w:autoSpaceDN w:val="0"/>
        <w:adjustRightInd w:val="0"/>
        <w:ind w:firstLine="540"/>
        <w:jc w:val="both"/>
        <w:rPr>
          <w:sz w:val="28"/>
          <w:szCs w:val="28"/>
        </w:rPr>
      </w:pPr>
      <w:r w:rsidRPr="002636AA">
        <w:rPr>
          <w:sz w:val="28"/>
          <w:szCs w:val="28"/>
        </w:rPr>
        <w:t xml:space="preserve"> -</w:t>
      </w:r>
      <w:r w:rsidRPr="002636AA">
        <w:rPr>
          <w:sz w:val="28"/>
          <w:szCs w:val="28"/>
        </w:rPr>
        <w:tab/>
      </w:r>
      <w:bookmarkStart w:id="26" w:name="_Hlk1548944"/>
      <w:r w:rsidRPr="002636AA">
        <w:rPr>
          <w:sz w:val="28"/>
          <w:szCs w:val="28"/>
        </w:rPr>
        <w:t>стандартизированная тарифная ставка С</w:t>
      </w:r>
      <w:r w:rsidRPr="002636AA">
        <w:rPr>
          <w:sz w:val="28"/>
          <w:szCs w:val="28"/>
          <w:vertAlign w:val="subscript"/>
        </w:rPr>
        <w:t>7</w:t>
      </w:r>
      <w:r w:rsidRPr="002636AA">
        <w:rPr>
          <w:sz w:val="28"/>
          <w:szCs w:val="28"/>
        </w:rPr>
        <w:t xml:space="preserve"> на покрытие расходов ГРО, связанных с мониторингом выполнения Заявителем технических условий и осуществлением фактического присоединения к газораспределительной сети ГРО,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g-тым способом врезки сети газопотребления Заявителя и существующего или вновь построенного стального i-того диапазона диаметров (полиэтиленового j-того диапазона диаметров) газопровода ГРО, а также бесхозяйного газопровода или газопровода основного абонента, выполненного k-тым типом прокладки, и проведением пуска газа в газоиспользующее оборудование Заявителя с разбивкой по следующим ставкам:</w:t>
      </w:r>
    </w:p>
    <w:p w14:paraId="000DCD94" w14:textId="77777777" w:rsidR="0099088D" w:rsidRPr="002636AA" w:rsidRDefault="0099088D" w:rsidP="0099088D">
      <w:pPr>
        <w:autoSpaceDE w:val="0"/>
        <w:autoSpaceDN w:val="0"/>
        <w:adjustRightInd w:val="0"/>
        <w:ind w:firstLine="540"/>
        <w:jc w:val="both"/>
        <w:rPr>
          <w:sz w:val="28"/>
          <w:szCs w:val="28"/>
        </w:rPr>
      </w:pPr>
      <w:r w:rsidRPr="002636AA">
        <w:rPr>
          <w:sz w:val="28"/>
          <w:szCs w:val="28"/>
        </w:rPr>
        <w:t>С</w:t>
      </w:r>
      <w:r w:rsidRPr="002636AA">
        <w:rPr>
          <w:sz w:val="28"/>
          <w:szCs w:val="28"/>
          <w:vertAlign w:val="subscript"/>
        </w:rPr>
        <w:t>7.1</w:t>
      </w:r>
      <w:r w:rsidRPr="002636AA">
        <w:rPr>
          <w:sz w:val="28"/>
          <w:szCs w:val="28"/>
        </w:rPr>
        <w:t xml:space="preserve"> - размер стандартизированной тарифной ставки, связанной с мониторингом выполнения Заявителем технических условий;</w:t>
      </w:r>
    </w:p>
    <w:p w14:paraId="2C944F4E" w14:textId="77777777" w:rsidR="0099088D" w:rsidRPr="002636AA" w:rsidRDefault="0099088D" w:rsidP="0099088D">
      <w:pPr>
        <w:autoSpaceDE w:val="0"/>
        <w:autoSpaceDN w:val="0"/>
        <w:adjustRightInd w:val="0"/>
        <w:ind w:firstLine="540"/>
        <w:jc w:val="both"/>
        <w:rPr>
          <w:sz w:val="28"/>
          <w:szCs w:val="28"/>
        </w:rPr>
      </w:pPr>
      <w:r w:rsidRPr="002636AA">
        <w:rPr>
          <w:sz w:val="28"/>
          <w:szCs w:val="28"/>
        </w:rPr>
        <w:t>С</w:t>
      </w:r>
      <w:r w:rsidRPr="002636AA">
        <w:rPr>
          <w:sz w:val="28"/>
          <w:szCs w:val="28"/>
          <w:vertAlign w:val="subscript"/>
        </w:rPr>
        <w:t>7.2</w:t>
      </w:r>
      <w:r w:rsidRPr="002636AA">
        <w:rPr>
          <w:sz w:val="28"/>
          <w:szCs w:val="28"/>
        </w:rPr>
        <w:t xml:space="preserve"> - размер стандартизированной тарифной ставки, связанной с осуществлением фактического присоединения к газораспределительной сети ГРО,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g-тым способом врезки сети газопотребления Заявителя и существующего или вновь построенного стального i-того диапазона диаметров (полиэтиленового j-того диапазона диаметров) газопровода ГРО, бесхозяйного газопровода или газопровода основного абонента, выполненного k-тым типом прокладки, и проведением пуска газа, в расчете на одно подключение (технологическое присоединение)</w:t>
      </w:r>
      <w:bookmarkEnd w:id="26"/>
      <w:r w:rsidRPr="002636AA">
        <w:rPr>
          <w:sz w:val="28"/>
          <w:szCs w:val="28"/>
        </w:rPr>
        <w:t>;</w:t>
      </w:r>
    </w:p>
    <w:p w14:paraId="50B32114" w14:textId="77777777" w:rsidR="0099088D" w:rsidRPr="002636AA" w:rsidRDefault="0099088D" w:rsidP="0099088D">
      <w:pPr>
        <w:spacing w:line="24" w:lineRule="atLeast"/>
        <w:ind w:firstLine="851"/>
        <w:jc w:val="both"/>
        <w:rPr>
          <w:sz w:val="28"/>
          <w:szCs w:val="28"/>
        </w:rPr>
      </w:pPr>
      <w:r w:rsidRPr="002636AA">
        <w:rPr>
          <w:sz w:val="28"/>
          <w:szCs w:val="28"/>
        </w:rPr>
        <w:t>Нормативно-методической основой проведения анализа материалов, представленных филиалом ООО «Газпром газораспределение Томск» в Кемеровской области, являются:</w:t>
      </w:r>
    </w:p>
    <w:p w14:paraId="0308D728" w14:textId="77777777" w:rsidR="0099088D" w:rsidRPr="002636AA" w:rsidRDefault="0099088D" w:rsidP="0099088D">
      <w:pPr>
        <w:numPr>
          <w:ilvl w:val="1"/>
          <w:numId w:val="8"/>
        </w:numPr>
        <w:tabs>
          <w:tab w:val="clear" w:pos="2160"/>
          <w:tab w:val="num" w:pos="1070"/>
          <w:tab w:val="left" w:pos="10080"/>
        </w:tabs>
        <w:spacing w:line="24" w:lineRule="atLeast"/>
        <w:ind w:left="1070"/>
        <w:jc w:val="both"/>
        <w:rPr>
          <w:sz w:val="28"/>
          <w:szCs w:val="28"/>
        </w:rPr>
      </w:pPr>
      <w:r w:rsidRPr="002636AA">
        <w:rPr>
          <w:sz w:val="28"/>
          <w:szCs w:val="28"/>
        </w:rPr>
        <w:t>Гражданский кодекс Российской Федерации;</w:t>
      </w:r>
    </w:p>
    <w:p w14:paraId="0532D9AC" w14:textId="77777777" w:rsidR="0099088D" w:rsidRPr="002636AA" w:rsidRDefault="0099088D" w:rsidP="0099088D">
      <w:pPr>
        <w:numPr>
          <w:ilvl w:val="1"/>
          <w:numId w:val="8"/>
        </w:numPr>
        <w:tabs>
          <w:tab w:val="clear" w:pos="2160"/>
          <w:tab w:val="num" w:pos="1070"/>
          <w:tab w:val="left" w:pos="10080"/>
        </w:tabs>
        <w:spacing w:line="24" w:lineRule="atLeast"/>
        <w:ind w:left="1070"/>
        <w:jc w:val="both"/>
        <w:rPr>
          <w:sz w:val="28"/>
          <w:szCs w:val="28"/>
        </w:rPr>
      </w:pPr>
      <w:r w:rsidRPr="002636AA">
        <w:rPr>
          <w:sz w:val="28"/>
          <w:szCs w:val="28"/>
        </w:rPr>
        <w:t>Налоговый кодекс Российской Федерации (в дальнейшем НК РФ);</w:t>
      </w:r>
    </w:p>
    <w:p w14:paraId="0AD5618C" w14:textId="77777777" w:rsidR="0099088D" w:rsidRPr="002636AA" w:rsidRDefault="0099088D" w:rsidP="0099088D">
      <w:pPr>
        <w:numPr>
          <w:ilvl w:val="1"/>
          <w:numId w:val="8"/>
        </w:numPr>
        <w:tabs>
          <w:tab w:val="clear" w:pos="2160"/>
          <w:tab w:val="num" w:pos="1070"/>
          <w:tab w:val="left" w:pos="10080"/>
        </w:tabs>
        <w:spacing w:line="24" w:lineRule="atLeast"/>
        <w:ind w:left="1070"/>
        <w:jc w:val="both"/>
        <w:rPr>
          <w:sz w:val="28"/>
          <w:szCs w:val="28"/>
        </w:rPr>
      </w:pPr>
      <w:r w:rsidRPr="002636AA">
        <w:rPr>
          <w:sz w:val="28"/>
          <w:szCs w:val="28"/>
        </w:rPr>
        <w:t>Трудовой Кодекс Российской Федерации (в дальнейшем ТК РФ);</w:t>
      </w:r>
    </w:p>
    <w:p w14:paraId="370BFBF6" w14:textId="77777777" w:rsidR="0099088D" w:rsidRPr="002636AA" w:rsidRDefault="0099088D" w:rsidP="0099088D">
      <w:pPr>
        <w:numPr>
          <w:ilvl w:val="1"/>
          <w:numId w:val="8"/>
        </w:numPr>
        <w:tabs>
          <w:tab w:val="clear" w:pos="2160"/>
          <w:tab w:val="num" w:pos="1070"/>
          <w:tab w:val="left" w:pos="10080"/>
        </w:tabs>
        <w:spacing w:line="24" w:lineRule="atLeast"/>
        <w:ind w:left="1070"/>
        <w:jc w:val="both"/>
        <w:rPr>
          <w:sz w:val="28"/>
          <w:szCs w:val="28"/>
        </w:rPr>
      </w:pPr>
      <w:r w:rsidRPr="002636AA">
        <w:rPr>
          <w:sz w:val="28"/>
          <w:szCs w:val="28"/>
        </w:rPr>
        <w:t>Федеральный Закон от 17.08.1995 № 147-ФЗ «О естественных монополиях»;</w:t>
      </w:r>
    </w:p>
    <w:p w14:paraId="61CDDB38" w14:textId="77777777" w:rsidR="0099088D" w:rsidRPr="002636AA" w:rsidRDefault="0099088D" w:rsidP="0099088D">
      <w:pPr>
        <w:numPr>
          <w:ilvl w:val="1"/>
          <w:numId w:val="8"/>
        </w:numPr>
        <w:tabs>
          <w:tab w:val="clear" w:pos="2160"/>
          <w:tab w:val="num" w:pos="1070"/>
          <w:tab w:val="left" w:pos="10080"/>
        </w:tabs>
        <w:spacing w:line="24" w:lineRule="atLeast"/>
        <w:ind w:left="1070"/>
        <w:jc w:val="both"/>
        <w:rPr>
          <w:sz w:val="28"/>
          <w:szCs w:val="28"/>
        </w:rPr>
      </w:pPr>
      <w:r w:rsidRPr="002636AA">
        <w:rPr>
          <w:sz w:val="28"/>
          <w:szCs w:val="28"/>
        </w:rPr>
        <w:t>Постановление Правительства РФ от 29.12.2000 №1021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w:t>
      </w:r>
    </w:p>
    <w:p w14:paraId="315FD7E6" w14:textId="77777777" w:rsidR="0099088D" w:rsidRPr="002636AA" w:rsidRDefault="0099088D" w:rsidP="0099088D">
      <w:pPr>
        <w:numPr>
          <w:ilvl w:val="1"/>
          <w:numId w:val="8"/>
        </w:numPr>
        <w:tabs>
          <w:tab w:val="clear" w:pos="2160"/>
          <w:tab w:val="num" w:pos="1070"/>
          <w:tab w:val="left" w:pos="10080"/>
        </w:tabs>
        <w:spacing w:line="24" w:lineRule="atLeast"/>
        <w:ind w:left="1070"/>
        <w:jc w:val="both"/>
        <w:rPr>
          <w:sz w:val="28"/>
          <w:szCs w:val="28"/>
        </w:rPr>
      </w:pPr>
      <w:r w:rsidRPr="002636AA">
        <w:rPr>
          <w:sz w:val="28"/>
          <w:szCs w:val="28"/>
        </w:rPr>
        <w:t>Методические указания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утвержденные приказом ФАС России от 16.08.2018 № 1151/18 (далее - Методические указания);</w:t>
      </w:r>
    </w:p>
    <w:p w14:paraId="44EA6341" w14:textId="77777777" w:rsidR="0099088D" w:rsidRPr="002636AA" w:rsidRDefault="0099088D" w:rsidP="0099088D">
      <w:pPr>
        <w:numPr>
          <w:ilvl w:val="1"/>
          <w:numId w:val="8"/>
        </w:numPr>
        <w:tabs>
          <w:tab w:val="clear" w:pos="2160"/>
          <w:tab w:val="num" w:pos="1070"/>
          <w:tab w:val="left" w:pos="10080"/>
        </w:tabs>
        <w:spacing w:line="24" w:lineRule="atLeast"/>
        <w:ind w:left="1070"/>
        <w:jc w:val="both"/>
        <w:rPr>
          <w:sz w:val="28"/>
          <w:szCs w:val="28"/>
        </w:rPr>
      </w:pPr>
      <w:r w:rsidRPr="002636AA">
        <w:rPr>
          <w:sz w:val="28"/>
          <w:szCs w:val="28"/>
        </w:rPr>
        <w:t>Правила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России от 13.09.2021 № 1547 (далее – Правила);</w:t>
      </w:r>
    </w:p>
    <w:p w14:paraId="6EEE8023" w14:textId="77777777" w:rsidR="0099088D" w:rsidRPr="002636AA" w:rsidRDefault="0099088D" w:rsidP="0099088D">
      <w:pPr>
        <w:numPr>
          <w:ilvl w:val="1"/>
          <w:numId w:val="8"/>
        </w:numPr>
        <w:tabs>
          <w:tab w:val="clear" w:pos="2160"/>
          <w:tab w:val="num" w:pos="1070"/>
          <w:tab w:val="left" w:pos="10080"/>
        </w:tabs>
        <w:spacing w:line="24" w:lineRule="atLeast"/>
        <w:ind w:left="1070"/>
        <w:jc w:val="both"/>
        <w:rPr>
          <w:sz w:val="28"/>
          <w:szCs w:val="28"/>
        </w:rPr>
      </w:pPr>
      <w:r w:rsidRPr="002636AA">
        <w:rPr>
          <w:sz w:val="28"/>
          <w:szCs w:val="28"/>
        </w:rPr>
        <w:t>Справочник базовых цен на проектные работы для строительства. СБЦП 81 - 2001-01. Территориальное планирование и планировка территорий. (утвержден Министерством регионального развития Российской Федерации приказом № 260 от 28.05.2010 г.</w:t>
      </w:r>
    </w:p>
    <w:p w14:paraId="4EB6C283" w14:textId="77777777" w:rsidR="0099088D" w:rsidRPr="002636AA" w:rsidRDefault="0099088D" w:rsidP="0099088D">
      <w:pPr>
        <w:numPr>
          <w:ilvl w:val="1"/>
          <w:numId w:val="8"/>
        </w:numPr>
        <w:tabs>
          <w:tab w:val="clear" w:pos="2160"/>
          <w:tab w:val="num" w:pos="1070"/>
          <w:tab w:val="left" w:pos="10080"/>
        </w:tabs>
        <w:spacing w:line="24" w:lineRule="atLeast"/>
        <w:ind w:left="1070"/>
        <w:jc w:val="both"/>
        <w:rPr>
          <w:sz w:val="28"/>
          <w:szCs w:val="28"/>
        </w:rPr>
      </w:pPr>
      <w:r w:rsidRPr="002636AA">
        <w:rPr>
          <w:sz w:val="28"/>
          <w:szCs w:val="28"/>
        </w:rPr>
        <w:t>Сборник цен и общественно необходимых затрат труда (ОНЗТ) на изготовление проектной и изыскательской продукции землеустройства, земельного кадастра и мониторинга земель (утвержден Приказом Роскомзема от 28.12.1995 №70)</w:t>
      </w:r>
    </w:p>
    <w:p w14:paraId="545108E9" w14:textId="77777777" w:rsidR="0099088D" w:rsidRPr="002636AA" w:rsidRDefault="0099088D" w:rsidP="0099088D">
      <w:pPr>
        <w:numPr>
          <w:ilvl w:val="1"/>
          <w:numId w:val="8"/>
        </w:numPr>
        <w:tabs>
          <w:tab w:val="clear" w:pos="2160"/>
          <w:tab w:val="num" w:pos="1070"/>
          <w:tab w:val="left" w:pos="10080"/>
        </w:tabs>
        <w:spacing w:line="24" w:lineRule="atLeast"/>
        <w:ind w:left="1070"/>
        <w:jc w:val="both"/>
        <w:rPr>
          <w:sz w:val="28"/>
          <w:szCs w:val="28"/>
        </w:rPr>
      </w:pPr>
      <w:r w:rsidRPr="002636AA">
        <w:rPr>
          <w:sz w:val="28"/>
          <w:szCs w:val="28"/>
        </w:rPr>
        <w:t>Справочник базовых цен на инженерно-геологические и инженерно-экологические изыскания для строительства (одобрен письмом Государственным комитетом Российской Федерации по жилищной и строительной политике от 22.06.1998 № 9-4/84);</w:t>
      </w:r>
    </w:p>
    <w:p w14:paraId="43CFAD02" w14:textId="77777777" w:rsidR="0099088D" w:rsidRPr="002636AA" w:rsidRDefault="0099088D" w:rsidP="0099088D">
      <w:pPr>
        <w:numPr>
          <w:ilvl w:val="1"/>
          <w:numId w:val="8"/>
        </w:numPr>
        <w:tabs>
          <w:tab w:val="clear" w:pos="2160"/>
          <w:tab w:val="num" w:pos="1070"/>
          <w:tab w:val="left" w:pos="10080"/>
        </w:tabs>
        <w:spacing w:line="24" w:lineRule="atLeast"/>
        <w:ind w:left="1070"/>
        <w:jc w:val="both"/>
        <w:rPr>
          <w:sz w:val="28"/>
          <w:szCs w:val="28"/>
        </w:rPr>
      </w:pPr>
      <w:r w:rsidRPr="002636AA">
        <w:rPr>
          <w:sz w:val="28"/>
          <w:szCs w:val="28"/>
        </w:rPr>
        <w:t>Справочник базовых цен на инженерные изыскания для строительства. Инженерно-гидрографические работы. Инженерно-гидрометеорологические изыскания на реках (утвержден в Госстрое РФ 26.09.2000);</w:t>
      </w:r>
    </w:p>
    <w:p w14:paraId="112D01D1" w14:textId="77777777" w:rsidR="0099088D" w:rsidRPr="002636AA" w:rsidRDefault="0099088D" w:rsidP="0099088D">
      <w:pPr>
        <w:numPr>
          <w:ilvl w:val="1"/>
          <w:numId w:val="8"/>
        </w:numPr>
        <w:tabs>
          <w:tab w:val="clear" w:pos="2160"/>
          <w:tab w:val="num" w:pos="1070"/>
          <w:tab w:val="left" w:pos="10080"/>
        </w:tabs>
        <w:spacing w:line="24" w:lineRule="atLeast"/>
        <w:ind w:left="1070"/>
        <w:jc w:val="both"/>
        <w:rPr>
          <w:sz w:val="28"/>
          <w:szCs w:val="28"/>
        </w:rPr>
      </w:pPr>
      <w:r w:rsidRPr="002636AA">
        <w:rPr>
          <w:sz w:val="28"/>
          <w:szCs w:val="28"/>
        </w:rPr>
        <w:t>Сборник цен на изыскательские работы для капитального строительства (утвержден постановлением Госстроя СССР от 16 июля 1981 года №121);</w:t>
      </w:r>
    </w:p>
    <w:p w14:paraId="06AB6B79" w14:textId="77777777" w:rsidR="0099088D" w:rsidRPr="002636AA" w:rsidRDefault="0099088D" w:rsidP="0099088D">
      <w:pPr>
        <w:numPr>
          <w:ilvl w:val="1"/>
          <w:numId w:val="8"/>
        </w:numPr>
        <w:tabs>
          <w:tab w:val="clear" w:pos="2160"/>
          <w:tab w:val="num" w:pos="1070"/>
          <w:tab w:val="left" w:pos="10080"/>
        </w:tabs>
        <w:spacing w:line="24" w:lineRule="atLeast"/>
        <w:ind w:left="1070"/>
        <w:jc w:val="both"/>
        <w:rPr>
          <w:sz w:val="28"/>
          <w:szCs w:val="28"/>
        </w:rPr>
      </w:pPr>
      <w:r w:rsidRPr="002636AA">
        <w:rPr>
          <w:sz w:val="28"/>
          <w:szCs w:val="28"/>
        </w:rPr>
        <w:t>Справочник базовых цен на инженерные изыскания для строительства. Инженерно-геодезические изыскания (утвержден и введен в действие с 01.01.2004 г. постановлением Госстроя России от 23.12.2003 № 213);</w:t>
      </w:r>
    </w:p>
    <w:p w14:paraId="7946AB70" w14:textId="77777777" w:rsidR="0099088D" w:rsidRPr="002636AA" w:rsidRDefault="0099088D" w:rsidP="0099088D">
      <w:pPr>
        <w:numPr>
          <w:ilvl w:val="1"/>
          <w:numId w:val="8"/>
        </w:numPr>
        <w:tabs>
          <w:tab w:val="clear" w:pos="2160"/>
          <w:tab w:val="num" w:pos="1070"/>
          <w:tab w:val="left" w:pos="10080"/>
        </w:tabs>
        <w:spacing w:line="24" w:lineRule="atLeast"/>
        <w:ind w:left="1070"/>
        <w:jc w:val="both"/>
        <w:rPr>
          <w:sz w:val="28"/>
          <w:szCs w:val="28"/>
        </w:rPr>
      </w:pPr>
      <w:r w:rsidRPr="002636AA">
        <w:rPr>
          <w:sz w:val="28"/>
          <w:szCs w:val="28"/>
        </w:rPr>
        <w:t>Справочник базовых цен на проектные работы в строительстве. Газооборудование и газоснабжение промышленных предприятий, зданий и сооружений. (приложение № 4 к приказу Министерства строительства и ЖКХ РФ от 27.02.2015 № 140/пр);</w:t>
      </w:r>
    </w:p>
    <w:p w14:paraId="272BE784" w14:textId="77777777" w:rsidR="0099088D" w:rsidRPr="002636AA" w:rsidRDefault="0099088D" w:rsidP="0099088D">
      <w:pPr>
        <w:numPr>
          <w:ilvl w:val="1"/>
          <w:numId w:val="8"/>
        </w:numPr>
        <w:tabs>
          <w:tab w:val="clear" w:pos="2160"/>
          <w:tab w:val="num" w:pos="1070"/>
          <w:tab w:val="left" w:pos="10080"/>
        </w:tabs>
        <w:spacing w:line="24" w:lineRule="atLeast"/>
        <w:ind w:left="1070"/>
        <w:jc w:val="both"/>
        <w:rPr>
          <w:sz w:val="28"/>
          <w:szCs w:val="28"/>
        </w:rPr>
      </w:pPr>
      <w:r w:rsidRPr="002636AA">
        <w:rPr>
          <w:sz w:val="28"/>
          <w:szCs w:val="28"/>
        </w:rPr>
        <w:t>Положение об организации и проведении государственной экспертизы проектной документации и результатов инженерных изысканий (Утверждено Постановлением Правительства Российской Федерации от 05.03.2007 №145);</w:t>
      </w:r>
    </w:p>
    <w:p w14:paraId="5A5D884C" w14:textId="77777777" w:rsidR="0099088D" w:rsidRPr="002636AA" w:rsidRDefault="0099088D" w:rsidP="0099088D">
      <w:pPr>
        <w:numPr>
          <w:ilvl w:val="1"/>
          <w:numId w:val="8"/>
        </w:numPr>
        <w:tabs>
          <w:tab w:val="clear" w:pos="2160"/>
          <w:tab w:val="num" w:pos="1070"/>
          <w:tab w:val="left" w:pos="10080"/>
        </w:tabs>
        <w:spacing w:line="24" w:lineRule="atLeast"/>
        <w:ind w:left="1070"/>
        <w:jc w:val="both"/>
        <w:rPr>
          <w:sz w:val="28"/>
          <w:szCs w:val="28"/>
        </w:rPr>
      </w:pPr>
      <w:r w:rsidRPr="002636AA">
        <w:rPr>
          <w:sz w:val="28"/>
          <w:szCs w:val="28"/>
        </w:rPr>
        <w:t>«Примерный прейскурант на услуги газового хозяйства по техническому обслуживанию и ремонту газораспределительных систем» (утв. Приказом ОАО «Росгазификация» от 20.06.2001 № 35)</w:t>
      </w:r>
    </w:p>
    <w:p w14:paraId="5142A12D" w14:textId="77777777" w:rsidR="0099088D" w:rsidRPr="002636AA" w:rsidRDefault="0099088D" w:rsidP="0099088D">
      <w:pPr>
        <w:numPr>
          <w:ilvl w:val="1"/>
          <w:numId w:val="8"/>
        </w:numPr>
        <w:tabs>
          <w:tab w:val="clear" w:pos="2160"/>
          <w:tab w:val="num" w:pos="1080"/>
          <w:tab w:val="left" w:pos="10080"/>
        </w:tabs>
        <w:spacing w:line="24" w:lineRule="atLeast"/>
        <w:ind w:left="1070"/>
        <w:jc w:val="both"/>
        <w:rPr>
          <w:sz w:val="28"/>
          <w:szCs w:val="28"/>
        </w:rPr>
      </w:pPr>
      <w:r w:rsidRPr="002636AA">
        <w:rPr>
          <w:sz w:val="28"/>
          <w:szCs w:val="28"/>
        </w:rPr>
        <w:t>Справочник базовых цен на проектные работы для строительства. Газооборудование и газоснабжение промышленных предприятий, зданий и сооружений. Наружное освещение, (принят и введен в действие Письмом Росстроя от 12.01.2006 № СК-31/02);</w:t>
      </w:r>
    </w:p>
    <w:p w14:paraId="042E25D3" w14:textId="77777777" w:rsidR="0099088D" w:rsidRPr="002636AA" w:rsidRDefault="0099088D" w:rsidP="0099088D">
      <w:pPr>
        <w:numPr>
          <w:ilvl w:val="1"/>
          <w:numId w:val="8"/>
        </w:numPr>
        <w:tabs>
          <w:tab w:val="clear" w:pos="2160"/>
          <w:tab w:val="num" w:pos="1070"/>
          <w:tab w:val="left" w:pos="10080"/>
        </w:tabs>
        <w:spacing w:line="24" w:lineRule="atLeast"/>
        <w:ind w:left="1070"/>
        <w:jc w:val="both"/>
        <w:rPr>
          <w:sz w:val="28"/>
          <w:szCs w:val="28"/>
        </w:rPr>
      </w:pPr>
      <w:r w:rsidRPr="002636AA">
        <w:rPr>
          <w:sz w:val="28"/>
          <w:szCs w:val="28"/>
        </w:rPr>
        <w:t>Укрупненные нормативы цены строительства НЦС 81-02-15-2017 утвержденные Приказом Минстроя России от 21 июля 2017 г. № 1012/пр;</w:t>
      </w:r>
    </w:p>
    <w:p w14:paraId="796DC765" w14:textId="77777777" w:rsidR="0099088D" w:rsidRPr="002636AA" w:rsidRDefault="0099088D" w:rsidP="0099088D">
      <w:pPr>
        <w:numPr>
          <w:ilvl w:val="1"/>
          <w:numId w:val="8"/>
        </w:numPr>
        <w:tabs>
          <w:tab w:val="clear" w:pos="2160"/>
          <w:tab w:val="num" w:pos="1070"/>
          <w:tab w:val="left" w:pos="10080"/>
        </w:tabs>
        <w:spacing w:line="24" w:lineRule="atLeast"/>
        <w:ind w:left="1070"/>
        <w:jc w:val="both"/>
        <w:rPr>
          <w:sz w:val="28"/>
          <w:szCs w:val="28"/>
        </w:rPr>
      </w:pPr>
      <w:r w:rsidRPr="002636AA">
        <w:rPr>
          <w:sz w:val="28"/>
          <w:szCs w:val="28"/>
        </w:rPr>
        <w:t>Методическое пособие по расчету затрат на службу заказчика-застройщика МДС 81-7.2000 (Рекомендовано к применению письмом Минстроя РФ от 13 декабря 1995 г. № ВБ-29/12-347;</w:t>
      </w:r>
    </w:p>
    <w:p w14:paraId="0387734B" w14:textId="77777777" w:rsidR="0099088D" w:rsidRPr="002636AA" w:rsidRDefault="0099088D" w:rsidP="0099088D">
      <w:pPr>
        <w:numPr>
          <w:ilvl w:val="1"/>
          <w:numId w:val="8"/>
        </w:numPr>
        <w:tabs>
          <w:tab w:val="clear" w:pos="2160"/>
          <w:tab w:val="num" w:pos="1080"/>
          <w:tab w:val="left" w:pos="10080"/>
        </w:tabs>
        <w:spacing w:line="24" w:lineRule="atLeast"/>
        <w:ind w:left="1070"/>
        <w:jc w:val="both"/>
        <w:rPr>
          <w:sz w:val="28"/>
          <w:szCs w:val="28"/>
        </w:rPr>
      </w:pPr>
      <w:r w:rsidRPr="002636AA">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газовой отрасли.</w:t>
      </w:r>
    </w:p>
    <w:p w14:paraId="7E5EB2A0" w14:textId="77777777" w:rsidR="0099088D" w:rsidRPr="002636AA" w:rsidRDefault="0099088D" w:rsidP="0099088D">
      <w:pPr>
        <w:autoSpaceDE w:val="0"/>
        <w:autoSpaceDN w:val="0"/>
        <w:adjustRightInd w:val="0"/>
        <w:ind w:firstLine="540"/>
        <w:jc w:val="both"/>
        <w:rPr>
          <w:sz w:val="28"/>
          <w:szCs w:val="28"/>
        </w:rPr>
      </w:pPr>
      <w:bookmarkStart w:id="27" w:name="_Hlk87881625"/>
      <w:r w:rsidRPr="002636AA">
        <w:rPr>
          <w:sz w:val="28"/>
          <w:szCs w:val="28"/>
        </w:rPr>
        <w:t>Согласно подпункту «в» пункта 4 Методических указаний регулирующими органами на очередной календарный год устанавливаются размер стандартизированных тарифных ставок, используемых для определения платы за технологическое присоединение, кроме случаев, указанных в подпунктах "а" и "б" настоящего пункта, и установления размера платы за технологическое присоединение по индивидуальному проекту.</w:t>
      </w:r>
    </w:p>
    <w:bookmarkEnd w:id="27"/>
    <w:p w14:paraId="11F78EAD" w14:textId="77777777" w:rsidR="0099088D" w:rsidRPr="002636AA" w:rsidRDefault="0099088D" w:rsidP="0099088D">
      <w:pPr>
        <w:autoSpaceDE w:val="0"/>
        <w:autoSpaceDN w:val="0"/>
        <w:adjustRightInd w:val="0"/>
        <w:ind w:firstLine="540"/>
        <w:jc w:val="both"/>
        <w:rPr>
          <w:sz w:val="28"/>
          <w:szCs w:val="28"/>
        </w:rPr>
      </w:pPr>
      <w:r w:rsidRPr="002636AA">
        <w:rPr>
          <w:sz w:val="28"/>
          <w:szCs w:val="28"/>
        </w:rPr>
        <w:t>Таким образом, исходя из представленных материалов, эксперты провели экспертизу расчета стандартизированных тарифных ставок, используемые для определения платы за технологическое присоединение.</w:t>
      </w:r>
    </w:p>
    <w:p w14:paraId="612941B6" w14:textId="77777777" w:rsidR="0099088D" w:rsidRPr="002636AA" w:rsidRDefault="0099088D" w:rsidP="0099088D">
      <w:pPr>
        <w:rPr>
          <w:sz w:val="28"/>
          <w:szCs w:val="28"/>
        </w:rPr>
      </w:pPr>
    </w:p>
    <w:p w14:paraId="06CACC2C" w14:textId="77777777" w:rsidR="0099088D" w:rsidRPr="002636AA" w:rsidRDefault="0099088D" w:rsidP="0099088D">
      <w:pPr>
        <w:jc w:val="center"/>
        <w:rPr>
          <w:b/>
          <w:sz w:val="28"/>
          <w:szCs w:val="28"/>
        </w:rPr>
      </w:pPr>
      <w:r w:rsidRPr="002636AA">
        <w:rPr>
          <w:b/>
          <w:sz w:val="28"/>
          <w:szCs w:val="28"/>
        </w:rPr>
        <w:t>Перечень представленных материалов</w:t>
      </w:r>
    </w:p>
    <w:p w14:paraId="2D075A6D" w14:textId="77777777" w:rsidR="0099088D" w:rsidRPr="002636AA" w:rsidRDefault="0099088D" w:rsidP="0099088D">
      <w:pPr>
        <w:ind w:left="360"/>
        <w:jc w:val="both"/>
        <w:rPr>
          <w:sz w:val="28"/>
          <w:szCs w:val="28"/>
        </w:rPr>
      </w:pPr>
    </w:p>
    <w:p w14:paraId="0E24C20C" w14:textId="77777777" w:rsidR="0099088D" w:rsidRPr="002636AA" w:rsidRDefault="0099088D" w:rsidP="0099088D">
      <w:pPr>
        <w:numPr>
          <w:ilvl w:val="0"/>
          <w:numId w:val="10"/>
        </w:numPr>
        <w:tabs>
          <w:tab w:val="left" w:pos="840"/>
          <w:tab w:val="num" w:pos="1134"/>
        </w:tabs>
        <w:ind w:left="0" w:firstLine="709"/>
        <w:jc w:val="both"/>
        <w:rPr>
          <w:sz w:val="28"/>
          <w:szCs w:val="28"/>
        </w:rPr>
      </w:pPr>
      <w:r w:rsidRPr="002636AA">
        <w:rPr>
          <w:sz w:val="28"/>
          <w:szCs w:val="28"/>
        </w:rPr>
        <w:t>Пояснительная записка по порядку расчета размера стандартизированных тарифных ставок на покрытие расходов ГРО;</w:t>
      </w:r>
    </w:p>
    <w:p w14:paraId="3334ED8C" w14:textId="77777777" w:rsidR="0099088D" w:rsidRPr="002636AA" w:rsidRDefault="0099088D" w:rsidP="0099088D">
      <w:pPr>
        <w:numPr>
          <w:ilvl w:val="0"/>
          <w:numId w:val="10"/>
        </w:numPr>
        <w:tabs>
          <w:tab w:val="left" w:pos="840"/>
          <w:tab w:val="num" w:pos="1134"/>
        </w:tabs>
        <w:ind w:left="0" w:firstLine="709"/>
        <w:jc w:val="both"/>
        <w:rPr>
          <w:sz w:val="28"/>
          <w:szCs w:val="28"/>
        </w:rPr>
      </w:pPr>
      <w:r w:rsidRPr="002636AA">
        <w:rPr>
          <w:sz w:val="28"/>
          <w:szCs w:val="28"/>
        </w:rPr>
        <w:t>Расходы ГРО, связанные с разработкой проектной документации на строительство сетей газораспределения за 2020 год;</w:t>
      </w:r>
    </w:p>
    <w:p w14:paraId="1089EDA0" w14:textId="77777777" w:rsidR="0099088D" w:rsidRPr="002636AA" w:rsidRDefault="0099088D" w:rsidP="0099088D">
      <w:pPr>
        <w:numPr>
          <w:ilvl w:val="0"/>
          <w:numId w:val="10"/>
        </w:numPr>
        <w:tabs>
          <w:tab w:val="left" w:pos="840"/>
          <w:tab w:val="num" w:pos="1134"/>
        </w:tabs>
        <w:ind w:left="0" w:firstLine="709"/>
        <w:jc w:val="both"/>
        <w:rPr>
          <w:sz w:val="28"/>
          <w:szCs w:val="28"/>
        </w:rPr>
      </w:pPr>
      <w:r w:rsidRPr="002636AA">
        <w:rPr>
          <w:sz w:val="28"/>
          <w:szCs w:val="28"/>
        </w:rPr>
        <w:t>Расчет размера стандартизированной тарифной ставки на покрытие расходов ГРО на проектирование газораспределительных сетей на 2022 год;</w:t>
      </w:r>
    </w:p>
    <w:p w14:paraId="166DDDD5" w14:textId="77777777" w:rsidR="0099088D" w:rsidRPr="002636AA" w:rsidRDefault="0099088D" w:rsidP="0099088D">
      <w:pPr>
        <w:numPr>
          <w:ilvl w:val="0"/>
          <w:numId w:val="10"/>
        </w:numPr>
        <w:tabs>
          <w:tab w:val="left" w:pos="840"/>
          <w:tab w:val="num" w:pos="1134"/>
        </w:tabs>
        <w:ind w:left="0" w:firstLine="709"/>
        <w:jc w:val="both"/>
        <w:rPr>
          <w:sz w:val="28"/>
          <w:szCs w:val="28"/>
        </w:rPr>
      </w:pPr>
      <w:r w:rsidRPr="002636AA">
        <w:rPr>
          <w:sz w:val="28"/>
          <w:szCs w:val="28"/>
        </w:rPr>
        <w:t>Расходы ГРО, связанные со строительством стальных газопроводов за 2020 год;</w:t>
      </w:r>
    </w:p>
    <w:p w14:paraId="0FE3EB88" w14:textId="77777777" w:rsidR="0099088D" w:rsidRPr="002636AA" w:rsidRDefault="0099088D" w:rsidP="0099088D">
      <w:pPr>
        <w:numPr>
          <w:ilvl w:val="0"/>
          <w:numId w:val="10"/>
        </w:numPr>
        <w:tabs>
          <w:tab w:val="left" w:pos="840"/>
          <w:tab w:val="num" w:pos="1134"/>
        </w:tabs>
        <w:ind w:left="0" w:firstLine="709"/>
        <w:jc w:val="both"/>
        <w:rPr>
          <w:sz w:val="28"/>
          <w:szCs w:val="28"/>
        </w:rPr>
      </w:pPr>
      <w:r w:rsidRPr="002636AA">
        <w:rPr>
          <w:sz w:val="28"/>
          <w:szCs w:val="28"/>
        </w:rPr>
        <w:t>Расчет размера стандартизированной тарифной ставки на покрытие расходов ГРО связанных со строительством стальных газопроводов на 2022 год;</w:t>
      </w:r>
    </w:p>
    <w:p w14:paraId="35CF67E5" w14:textId="77777777" w:rsidR="0099088D" w:rsidRPr="002636AA" w:rsidRDefault="0099088D" w:rsidP="0099088D">
      <w:pPr>
        <w:numPr>
          <w:ilvl w:val="0"/>
          <w:numId w:val="10"/>
        </w:numPr>
        <w:tabs>
          <w:tab w:val="left" w:pos="840"/>
          <w:tab w:val="num" w:pos="1134"/>
        </w:tabs>
        <w:ind w:left="0" w:firstLine="709"/>
        <w:jc w:val="both"/>
        <w:rPr>
          <w:sz w:val="28"/>
          <w:szCs w:val="28"/>
        </w:rPr>
      </w:pPr>
      <w:r w:rsidRPr="002636AA">
        <w:rPr>
          <w:sz w:val="28"/>
          <w:szCs w:val="28"/>
        </w:rPr>
        <w:t>Расходы ГРО, связанные со строительством полиэтиленовых газопроводов за 2020 год;</w:t>
      </w:r>
    </w:p>
    <w:p w14:paraId="70D18B76" w14:textId="77777777" w:rsidR="0099088D" w:rsidRPr="002636AA" w:rsidRDefault="0099088D" w:rsidP="0099088D">
      <w:pPr>
        <w:numPr>
          <w:ilvl w:val="0"/>
          <w:numId w:val="10"/>
        </w:numPr>
        <w:tabs>
          <w:tab w:val="left" w:pos="840"/>
          <w:tab w:val="num" w:pos="1134"/>
        </w:tabs>
        <w:ind w:left="0" w:firstLine="709"/>
        <w:jc w:val="both"/>
        <w:rPr>
          <w:sz w:val="28"/>
          <w:szCs w:val="28"/>
        </w:rPr>
      </w:pPr>
      <w:r w:rsidRPr="002636AA">
        <w:rPr>
          <w:sz w:val="28"/>
          <w:szCs w:val="28"/>
        </w:rPr>
        <w:t>Расчет размера стандартизированной тарифной ставки на покрытие расходов ГРО, связанных со строительством полиэтиленовых газопроводов на 2022 год;</w:t>
      </w:r>
    </w:p>
    <w:p w14:paraId="31E034D0" w14:textId="77777777" w:rsidR="0099088D" w:rsidRPr="002636AA" w:rsidRDefault="0099088D" w:rsidP="0099088D">
      <w:pPr>
        <w:numPr>
          <w:ilvl w:val="0"/>
          <w:numId w:val="10"/>
        </w:numPr>
        <w:tabs>
          <w:tab w:val="left" w:pos="840"/>
          <w:tab w:val="num" w:pos="1134"/>
        </w:tabs>
        <w:ind w:left="0" w:firstLine="709"/>
        <w:jc w:val="both"/>
        <w:rPr>
          <w:sz w:val="28"/>
          <w:szCs w:val="28"/>
        </w:rPr>
      </w:pPr>
      <w:r w:rsidRPr="002636AA">
        <w:rPr>
          <w:sz w:val="28"/>
          <w:szCs w:val="28"/>
        </w:rPr>
        <w:t>Расходы ГРО, связанные со строительством газопроводов бестраншейным способом за 2020 год;</w:t>
      </w:r>
    </w:p>
    <w:p w14:paraId="0156EEA7" w14:textId="77777777" w:rsidR="0099088D" w:rsidRPr="002636AA" w:rsidRDefault="0099088D" w:rsidP="0099088D">
      <w:pPr>
        <w:numPr>
          <w:ilvl w:val="0"/>
          <w:numId w:val="10"/>
        </w:numPr>
        <w:tabs>
          <w:tab w:val="left" w:pos="840"/>
          <w:tab w:val="num" w:pos="1134"/>
        </w:tabs>
        <w:ind w:left="0" w:firstLine="709"/>
        <w:jc w:val="both"/>
        <w:rPr>
          <w:sz w:val="28"/>
          <w:szCs w:val="28"/>
        </w:rPr>
      </w:pPr>
      <w:r w:rsidRPr="002636AA">
        <w:rPr>
          <w:sz w:val="28"/>
          <w:szCs w:val="28"/>
        </w:rPr>
        <w:t>Расчет размера стандартизированной тарифной ставки на покрытие расходов ГРО, связанных со строительством газопроводов бестраншейным способом на 2022 год;</w:t>
      </w:r>
    </w:p>
    <w:p w14:paraId="7F0E1D09" w14:textId="77777777" w:rsidR="0099088D" w:rsidRPr="002636AA" w:rsidRDefault="0099088D" w:rsidP="0099088D">
      <w:pPr>
        <w:numPr>
          <w:ilvl w:val="0"/>
          <w:numId w:val="10"/>
        </w:numPr>
        <w:tabs>
          <w:tab w:val="left" w:pos="840"/>
          <w:tab w:val="num" w:pos="1134"/>
        </w:tabs>
        <w:ind w:left="0" w:firstLine="709"/>
        <w:jc w:val="both"/>
        <w:rPr>
          <w:sz w:val="28"/>
          <w:szCs w:val="28"/>
        </w:rPr>
      </w:pPr>
      <w:r w:rsidRPr="002636AA">
        <w:rPr>
          <w:sz w:val="28"/>
          <w:szCs w:val="28"/>
        </w:rPr>
        <w:t>Расходы ГРО, связанные с проектированием и строительством пунктов редуцирования газа за 2020 год;</w:t>
      </w:r>
    </w:p>
    <w:p w14:paraId="5B7CCE17" w14:textId="77777777" w:rsidR="0099088D" w:rsidRPr="002636AA" w:rsidRDefault="0099088D" w:rsidP="0099088D">
      <w:pPr>
        <w:numPr>
          <w:ilvl w:val="0"/>
          <w:numId w:val="10"/>
        </w:numPr>
        <w:tabs>
          <w:tab w:val="left" w:pos="840"/>
          <w:tab w:val="num" w:pos="1134"/>
        </w:tabs>
        <w:ind w:left="0" w:firstLine="709"/>
        <w:jc w:val="both"/>
        <w:rPr>
          <w:sz w:val="28"/>
          <w:szCs w:val="28"/>
        </w:rPr>
      </w:pPr>
      <w:r w:rsidRPr="002636AA">
        <w:rPr>
          <w:sz w:val="28"/>
          <w:szCs w:val="28"/>
        </w:rPr>
        <w:t>Расчет размера стандартизированной тарифной ставки на покрытие расходов ГРО, связанных с проектированием и строительством пунктов редуцирования газа на 2022 год;</w:t>
      </w:r>
    </w:p>
    <w:p w14:paraId="5DFB3C6B" w14:textId="77777777" w:rsidR="0099088D" w:rsidRPr="002636AA" w:rsidRDefault="0099088D" w:rsidP="0099088D">
      <w:pPr>
        <w:numPr>
          <w:ilvl w:val="0"/>
          <w:numId w:val="10"/>
        </w:numPr>
        <w:tabs>
          <w:tab w:val="left" w:pos="840"/>
          <w:tab w:val="num" w:pos="1134"/>
        </w:tabs>
        <w:ind w:left="0" w:firstLine="709"/>
        <w:jc w:val="both"/>
        <w:rPr>
          <w:sz w:val="28"/>
          <w:szCs w:val="28"/>
        </w:rPr>
      </w:pPr>
      <w:r w:rsidRPr="002636AA">
        <w:rPr>
          <w:sz w:val="28"/>
          <w:szCs w:val="28"/>
        </w:rPr>
        <w:t>Расходы ГРО, связанные со строительством системы электрохимической (катодной) защиты за 2020 год;</w:t>
      </w:r>
    </w:p>
    <w:p w14:paraId="0A49BC93" w14:textId="77777777" w:rsidR="0099088D" w:rsidRPr="002636AA" w:rsidRDefault="0099088D" w:rsidP="0099088D">
      <w:pPr>
        <w:numPr>
          <w:ilvl w:val="0"/>
          <w:numId w:val="10"/>
        </w:numPr>
        <w:tabs>
          <w:tab w:val="left" w:pos="840"/>
          <w:tab w:val="num" w:pos="1134"/>
        </w:tabs>
        <w:ind w:left="0" w:firstLine="709"/>
        <w:jc w:val="both"/>
        <w:rPr>
          <w:sz w:val="28"/>
          <w:szCs w:val="28"/>
        </w:rPr>
      </w:pPr>
      <w:r w:rsidRPr="002636AA">
        <w:rPr>
          <w:sz w:val="28"/>
          <w:szCs w:val="28"/>
        </w:rPr>
        <w:t>"Расходы ГРО, связанные с мониторингом выполнения Заявителем технических условий и осуществлением фактического подключения (технологического присоединения) объектов капитального строительства Заявителя к сети газораспределения за 2020 год;</w:t>
      </w:r>
    </w:p>
    <w:p w14:paraId="49D415DD" w14:textId="77777777" w:rsidR="0099088D" w:rsidRPr="002636AA" w:rsidRDefault="0099088D" w:rsidP="0099088D">
      <w:pPr>
        <w:numPr>
          <w:ilvl w:val="0"/>
          <w:numId w:val="10"/>
        </w:numPr>
        <w:tabs>
          <w:tab w:val="left" w:pos="840"/>
          <w:tab w:val="num" w:pos="1134"/>
        </w:tabs>
        <w:ind w:left="0" w:firstLine="709"/>
        <w:jc w:val="both"/>
        <w:rPr>
          <w:sz w:val="28"/>
          <w:szCs w:val="28"/>
        </w:rPr>
      </w:pPr>
      <w:r w:rsidRPr="002636AA">
        <w:rPr>
          <w:sz w:val="28"/>
          <w:szCs w:val="28"/>
        </w:rPr>
        <w:t>Расчет размера стандартизированной тарифной ставки на покрытие расходов ГРО, связанных с мониторингом выполнения Заявителем технических условий на 2022 год;</w:t>
      </w:r>
    </w:p>
    <w:p w14:paraId="68579D8B" w14:textId="77777777" w:rsidR="0099088D" w:rsidRPr="002636AA" w:rsidRDefault="0099088D" w:rsidP="0099088D">
      <w:pPr>
        <w:numPr>
          <w:ilvl w:val="0"/>
          <w:numId w:val="10"/>
        </w:numPr>
        <w:tabs>
          <w:tab w:val="left" w:pos="840"/>
          <w:tab w:val="num" w:pos="1134"/>
        </w:tabs>
        <w:ind w:left="0" w:firstLine="709"/>
        <w:jc w:val="both"/>
        <w:rPr>
          <w:sz w:val="28"/>
          <w:szCs w:val="28"/>
        </w:rPr>
      </w:pPr>
      <w:r w:rsidRPr="002636AA">
        <w:rPr>
          <w:sz w:val="28"/>
          <w:szCs w:val="28"/>
        </w:rPr>
        <w:t>Расчет размера стандартизированной тарифной ставки на покрытие расходов ГРО, связанных с осуществлением фактического подключения (технологического присоединения) объектов капитального строительства Заявителя к сети газораспределения на 2022 год;</w:t>
      </w:r>
    </w:p>
    <w:p w14:paraId="0443CAAC" w14:textId="77777777" w:rsidR="0099088D" w:rsidRPr="002636AA" w:rsidRDefault="0099088D" w:rsidP="0099088D">
      <w:pPr>
        <w:numPr>
          <w:ilvl w:val="0"/>
          <w:numId w:val="10"/>
        </w:numPr>
        <w:tabs>
          <w:tab w:val="left" w:pos="840"/>
          <w:tab w:val="num" w:pos="1134"/>
        </w:tabs>
        <w:ind w:left="0" w:firstLine="709"/>
        <w:jc w:val="both"/>
        <w:rPr>
          <w:sz w:val="28"/>
          <w:szCs w:val="28"/>
        </w:rPr>
      </w:pPr>
      <w:r w:rsidRPr="002636AA">
        <w:rPr>
          <w:sz w:val="28"/>
          <w:szCs w:val="28"/>
        </w:rPr>
        <w:t>Расшифровка фактических расходов ГРО, связанных с разработкой проектной документации и строительством сетей газораспределения по технологическому присоединению объектов капитального строительства Заявителя к сети газораспределения за 2020 год;</w:t>
      </w:r>
    </w:p>
    <w:p w14:paraId="37C2CE8C" w14:textId="77777777" w:rsidR="0099088D" w:rsidRPr="002636AA" w:rsidRDefault="0099088D" w:rsidP="0099088D">
      <w:pPr>
        <w:numPr>
          <w:ilvl w:val="0"/>
          <w:numId w:val="10"/>
        </w:numPr>
        <w:tabs>
          <w:tab w:val="left" w:pos="840"/>
          <w:tab w:val="num" w:pos="1134"/>
        </w:tabs>
        <w:ind w:left="0" w:firstLine="709"/>
        <w:jc w:val="both"/>
        <w:rPr>
          <w:sz w:val="28"/>
          <w:szCs w:val="28"/>
        </w:rPr>
      </w:pPr>
      <w:r w:rsidRPr="002636AA">
        <w:rPr>
          <w:sz w:val="28"/>
          <w:szCs w:val="28"/>
        </w:rPr>
        <w:t>"Расшифровка расходов ГРО, связанные с мониторингом выполнения Заявителем технических условий и осуществлением фактического подключения (технологического присоединения) объектов капитального строительства Заявителя к сети газораспределения за 2020 год;</w:t>
      </w:r>
    </w:p>
    <w:p w14:paraId="477AB530" w14:textId="77777777" w:rsidR="0099088D" w:rsidRPr="002636AA" w:rsidRDefault="0099088D" w:rsidP="0099088D">
      <w:pPr>
        <w:numPr>
          <w:ilvl w:val="0"/>
          <w:numId w:val="10"/>
        </w:numPr>
        <w:tabs>
          <w:tab w:val="left" w:pos="840"/>
          <w:tab w:val="num" w:pos="1134"/>
        </w:tabs>
        <w:ind w:left="0" w:firstLine="709"/>
        <w:jc w:val="both"/>
        <w:rPr>
          <w:sz w:val="28"/>
          <w:szCs w:val="28"/>
        </w:rPr>
      </w:pPr>
      <w:r w:rsidRPr="002636AA">
        <w:rPr>
          <w:sz w:val="28"/>
          <w:szCs w:val="28"/>
        </w:rPr>
        <w:t>Бухгалтерская информация по подключению (технологическому присоединению) объектов капитального строительства к сетям газораспределения видов подключения за 2020 год;</w:t>
      </w:r>
    </w:p>
    <w:p w14:paraId="4985D498" w14:textId="77777777" w:rsidR="0099088D" w:rsidRPr="002636AA" w:rsidRDefault="0099088D" w:rsidP="0099088D">
      <w:pPr>
        <w:numPr>
          <w:ilvl w:val="0"/>
          <w:numId w:val="10"/>
        </w:numPr>
        <w:tabs>
          <w:tab w:val="left" w:pos="840"/>
          <w:tab w:val="num" w:pos="1134"/>
        </w:tabs>
        <w:ind w:left="0" w:firstLine="709"/>
        <w:jc w:val="both"/>
        <w:rPr>
          <w:sz w:val="28"/>
          <w:szCs w:val="28"/>
        </w:rPr>
      </w:pPr>
      <w:r w:rsidRPr="002636AA">
        <w:rPr>
          <w:sz w:val="28"/>
          <w:szCs w:val="28"/>
        </w:rPr>
        <w:t>Анализ счета 08.03 по объекту К-ТП/И-4;</w:t>
      </w:r>
    </w:p>
    <w:p w14:paraId="2E39A31C" w14:textId="77777777" w:rsidR="0099088D" w:rsidRPr="002636AA" w:rsidRDefault="0099088D" w:rsidP="0099088D">
      <w:pPr>
        <w:numPr>
          <w:ilvl w:val="0"/>
          <w:numId w:val="10"/>
        </w:numPr>
        <w:tabs>
          <w:tab w:val="left" w:pos="840"/>
          <w:tab w:val="num" w:pos="1134"/>
        </w:tabs>
        <w:ind w:left="0" w:firstLine="709"/>
        <w:jc w:val="both"/>
        <w:rPr>
          <w:sz w:val="28"/>
          <w:szCs w:val="28"/>
        </w:rPr>
      </w:pPr>
      <w:r w:rsidRPr="002636AA">
        <w:rPr>
          <w:sz w:val="28"/>
          <w:szCs w:val="28"/>
        </w:rPr>
        <w:t>Бухгалтерская справка по счету 20.03.9 по объектам тех. присоединения по индивидуальному проекту за 2020 год;</w:t>
      </w:r>
    </w:p>
    <w:p w14:paraId="7433457B" w14:textId="77777777" w:rsidR="0099088D" w:rsidRPr="002636AA" w:rsidRDefault="0099088D" w:rsidP="0099088D">
      <w:pPr>
        <w:numPr>
          <w:ilvl w:val="0"/>
          <w:numId w:val="10"/>
        </w:numPr>
        <w:tabs>
          <w:tab w:val="left" w:pos="840"/>
          <w:tab w:val="num" w:pos="1134"/>
        </w:tabs>
        <w:ind w:left="0" w:firstLine="709"/>
        <w:jc w:val="both"/>
        <w:rPr>
          <w:sz w:val="28"/>
          <w:szCs w:val="28"/>
        </w:rPr>
      </w:pPr>
      <w:r w:rsidRPr="002636AA">
        <w:rPr>
          <w:sz w:val="28"/>
          <w:szCs w:val="28"/>
        </w:rPr>
        <w:t>Анализ счета 20.03.8 по объектам тех. присоединения по стандартизированным ставкам;</w:t>
      </w:r>
    </w:p>
    <w:p w14:paraId="6DFD777E" w14:textId="77777777" w:rsidR="0099088D" w:rsidRPr="002636AA" w:rsidRDefault="0099088D" w:rsidP="0099088D">
      <w:pPr>
        <w:numPr>
          <w:ilvl w:val="0"/>
          <w:numId w:val="10"/>
        </w:numPr>
        <w:tabs>
          <w:tab w:val="left" w:pos="840"/>
          <w:tab w:val="num" w:pos="1134"/>
        </w:tabs>
        <w:ind w:left="0" w:firstLine="709"/>
        <w:jc w:val="both"/>
        <w:rPr>
          <w:sz w:val="28"/>
          <w:szCs w:val="28"/>
        </w:rPr>
      </w:pPr>
      <w:r w:rsidRPr="002636AA">
        <w:rPr>
          <w:sz w:val="28"/>
          <w:szCs w:val="28"/>
        </w:rPr>
        <w:t>Бухгалтерская справка по счету 08.03 за 2020 год;</w:t>
      </w:r>
    </w:p>
    <w:p w14:paraId="2FDE07B3" w14:textId="77777777" w:rsidR="0099088D" w:rsidRPr="002636AA" w:rsidRDefault="0099088D" w:rsidP="0099088D">
      <w:pPr>
        <w:numPr>
          <w:ilvl w:val="0"/>
          <w:numId w:val="10"/>
        </w:numPr>
        <w:tabs>
          <w:tab w:val="left" w:pos="840"/>
          <w:tab w:val="num" w:pos="1134"/>
        </w:tabs>
        <w:ind w:left="0" w:firstLine="709"/>
        <w:jc w:val="both"/>
        <w:rPr>
          <w:sz w:val="28"/>
          <w:szCs w:val="28"/>
        </w:rPr>
      </w:pPr>
      <w:r w:rsidRPr="002636AA">
        <w:rPr>
          <w:sz w:val="28"/>
          <w:szCs w:val="28"/>
        </w:rPr>
        <w:t>Бухгалтерская справка по счету 08.03 за 2019 год;</w:t>
      </w:r>
    </w:p>
    <w:p w14:paraId="73DA194B" w14:textId="77777777" w:rsidR="0099088D" w:rsidRPr="002636AA" w:rsidRDefault="0099088D" w:rsidP="0099088D">
      <w:pPr>
        <w:numPr>
          <w:ilvl w:val="0"/>
          <w:numId w:val="10"/>
        </w:numPr>
        <w:tabs>
          <w:tab w:val="left" w:pos="840"/>
          <w:tab w:val="num" w:pos="1134"/>
        </w:tabs>
        <w:ind w:left="0" w:firstLine="709"/>
        <w:jc w:val="both"/>
        <w:rPr>
          <w:sz w:val="28"/>
          <w:szCs w:val="28"/>
        </w:rPr>
      </w:pPr>
      <w:r w:rsidRPr="002636AA">
        <w:rPr>
          <w:sz w:val="28"/>
          <w:szCs w:val="28"/>
        </w:rPr>
        <w:t>Бухгалтерская справка по счету 20.01.1 за 2020 год;</w:t>
      </w:r>
    </w:p>
    <w:p w14:paraId="11094617" w14:textId="77777777" w:rsidR="0099088D" w:rsidRPr="002636AA" w:rsidRDefault="0099088D" w:rsidP="0099088D">
      <w:pPr>
        <w:numPr>
          <w:ilvl w:val="0"/>
          <w:numId w:val="10"/>
        </w:numPr>
        <w:tabs>
          <w:tab w:val="left" w:pos="840"/>
          <w:tab w:val="num" w:pos="1134"/>
        </w:tabs>
        <w:ind w:left="0" w:firstLine="709"/>
        <w:jc w:val="both"/>
        <w:rPr>
          <w:sz w:val="28"/>
          <w:szCs w:val="28"/>
        </w:rPr>
      </w:pPr>
      <w:r w:rsidRPr="002636AA">
        <w:rPr>
          <w:sz w:val="28"/>
          <w:szCs w:val="28"/>
        </w:rPr>
        <w:t>Карточка счета 91.02.1 за 2020 год;</w:t>
      </w:r>
    </w:p>
    <w:p w14:paraId="2BD28CF0" w14:textId="77777777" w:rsidR="0099088D" w:rsidRPr="002636AA" w:rsidRDefault="0099088D" w:rsidP="0099088D">
      <w:pPr>
        <w:numPr>
          <w:ilvl w:val="0"/>
          <w:numId w:val="10"/>
        </w:numPr>
        <w:tabs>
          <w:tab w:val="left" w:pos="840"/>
          <w:tab w:val="num" w:pos="1134"/>
        </w:tabs>
        <w:ind w:left="0" w:firstLine="709"/>
        <w:jc w:val="both"/>
        <w:rPr>
          <w:sz w:val="28"/>
          <w:szCs w:val="28"/>
        </w:rPr>
      </w:pPr>
      <w:r w:rsidRPr="002636AA">
        <w:rPr>
          <w:sz w:val="28"/>
          <w:szCs w:val="28"/>
        </w:rPr>
        <w:t>Анализ счета 20.03.7 за 2020 год;</w:t>
      </w:r>
    </w:p>
    <w:p w14:paraId="4775AFF3" w14:textId="77777777" w:rsidR="0099088D" w:rsidRPr="002636AA" w:rsidRDefault="0099088D" w:rsidP="0099088D">
      <w:pPr>
        <w:numPr>
          <w:ilvl w:val="0"/>
          <w:numId w:val="10"/>
        </w:numPr>
        <w:tabs>
          <w:tab w:val="left" w:pos="840"/>
          <w:tab w:val="num" w:pos="1134"/>
        </w:tabs>
        <w:ind w:left="0" w:firstLine="709"/>
        <w:jc w:val="both"/>
        <w:rPr>
          <w:sz w:val="28"/>
          <w:szCs w:val="28"/>
        </w:rPr>
      </w:pPr>
      <w:r w:rsidRPr="002636AA">
        <w:rPr>
          <w:sz w:val="28"/>
          <w:szCs w:val="28"/>
        </w:rPr>
        <w:t>Отчет по проводкам по счету 90.01.1 за 2020 год;</w:t>
      </w:r>
    </w:p>
    <w:p w14:paraId="08EBD22D" w14:textId="77777777" w:rsidR="0099088D" w:rsidRPr="002636AA" w:rsidRDefault="0099088D" w:rsidP="0099088D">
      <w:pPr>
        <w:numPr>
          <w:ilvl w:val="0"/>
          <w:numId w:val="10"/>
        </w:numPr>
        <w:tabs>
          <w:tab w:val="left" w:pos="840"/>
          <w:tab w:val="num" w:pos="1134"/>
        </w:tabs>
        <w:ind w:left="0" w:firstLine="709"/>
        <w:jc w:val="both"/>
        <w:rPr>
          <w:sz w:val="28"/>
          <w:szCs w:val="28"/>
        </w:rPr>
      </w:pPr>
      <w:r w:rsidRPr="002636AA">
        <w:rPr>
          <w:sz w:val="28"/>
          <w:szCs w:val="28"/>
        </w:rPr>
        <w:t>Расчет численности работников структурных подразделений ГРО, занятых в сфере реализации мероприятий по подключению (технологическому присоединению) за 2020 год;</w:t>
      </w:r>
    </w:p>
    <w:p w14:paraId="59EAB41B" w14:textId="77777777" w:rsidR="0099088D" w:rsidRPr="002636AA" w:rsidRDefault="0099088D" w:rsidP="0099088D">
      <w:pPr>
        <w:numPr>
          <w:ilvl w:val="0"/>
          <w:numId w:val="10"/>
        </w:numPr>
        <w:tabs>
          <w:tab w:val="left" w:pos="840"/>
          <w:tab w:val="num" w:pos="1134"/>
        </w:tabs>
        <w:ind w:left="0" w:firstLine="709"/>
        <w:jc w:val="both"/>
        <w:rPr>
          <w:sz w:val="28"/>
          <w:szCs w:val="28"/>
        </w:rPr>
      </w:pPr>
      <w:r w:rsidRPr="002636AA">
        <w:rPr>
          <w:sz w:val="28"/>
          <w:szCs w:val="28"/>
        </w:rPr>
        <w:t>Статистическая отчетность "Сведения о численности и заработной плате работников" форма П-4, за 2020 год;</w:t>
      </w:r>
    </w:p>
    <w:p w14:paraId="1C0C4CA6" w14:textId="77777777" w:rsidR="0099088D" w:rsidRPr="002636AA" w:rsidRDefault="0099088D" w:rsidP="0099088D">
      <w:pPr>
        <w:numPr>
          <w:ilvl w:val="0"/>
          <w:numId w:val="10"/>
        </w:numPr>
        <w:tabs>
          <w:tab w:val="left" w:pos="840"/>
          <w:tab w:val="num" w:pos="1134"/>
        </w:tabs>
        <w:ind w:left="0" w:firstLine="709"/>
        <w:jc w:val="both"/>
        <w:rPr>
          <w:sz w:val="28"/>
          <w:szCs w:val="28"/>
        </w:rPr>
      </w:pPr>
      <w:r w:rsidRPr="002636AA">
        <w:rPr>
          <w:sz w:val="28"/>
          <w:szCs w:val="28"/>
        </w:rPr>
        <w:t>Копия отчета о финансовых результатах за 2020 год;</w:t>
      </w:r>
    </w:p>
    <w:p w14:paraId="1EE531CE" w14:textId="77777777" w:rsidR="0099088D" w:rsidRPr="002636AA" w:rsidRDefault="0099088D" w:rsidP="0099088D">
      <w:pPr>
        <w:numPr>
          <w:ilvl w:val="0"/>
          <w:numId w:val="10"/>
        </w:numPr>
        <w:tabs>
          <w:tab w:val="left" w:pos="840"/>
          <w:tab w:val="num" w:pos="1134"/>
        </w:tabs>
        <w:ind w:left="0" w:firstLine="709"/>
        <w:jc w:val="both"/>
        <w:rPr>
          <w:sz w:val="28"/>
          <w:szCs w:val="28"/>
        </w:rPr>
      </w:pPr>
      <w:r w:rsidRPr="002636AA">
        <w:rPr>
          <w:sz w:val="28"/>
          <w:szCs w:val="28"/>
        </w:rPr>
        <w:t>Копия бухгалтерского баланса на 31.12.2020;</w:t>
      </w:r>
    </w:p>
    <w:p w14:paraId="59B479D6" w14:textId="77777777" w:rsidR="0099088D" w:rsidRPr="002636AA" w:rsidRDefault="0099088D" w:rsidP="0099088D">
      <w:pPr>
        <w:numPr>
          <w:ilvl w:val="0"/>
          <w:numId w:val="10"/>
        </w:numPr>
        <w:tabs>
          <w:tab w:val="left" w:pos="840"/>
          <w:tab w:val="num" w:pos="1134"/>
        </w:tabs>
        <w:ind w:left="0" w:firstLine="709"/>
        <w:jc w:val="both"/>
        <w:rPr>
          <w:sz w:val="28"/>
          <w:szCs w:val="28"/>
        </w:rPr>
      </w:pPr>
      <w:r w:rsidRPr="002636AA">
        <w:rPr>
          <w:sz w:val="28"/>
          <w:szCs w:val="28"/>
        </w:rPr>
        <w:t>Копия отчета о движении денежных средств за 2020 год;</w:t>
      </w:r>
    </w:p>
    <w:p w14:paraId="7BB2E3F3" w14:textId="77777777" w:rsidR="0099088D" w:rsidRPr="002636AA" w:rsidRDefault="0099088D" w:rsidP="0099088D">
      <w:pPr>
        <w:numPr>
          <w:ilvl w:val="0"/>
          <w:numId w:val="10"/>
        </w:numPr>
        <w:tabs>
          <w:tab w:val="left" w:pos="840"/>
          <w:tab w:val="num" w:pos="1134"/>
        </w:tabs>
        <w:ind w:left="0" w:firstLine="709"/>
        <w:jc w:val="both"/>
        <w:rPr>
          <w:sz w:val="28"/>
          <w:szCs w:val="28"/>
        </w:rPr>
      </w:pPr>
      <w:r w:rsidRPr="002636AA">
        <w:rPr>
          <w:sz w:val="28"/>
          <w:szCs w:val="28"/>
        </w:rPr>
        <w:t>Копия отчета об изменениях капитала за 2020 год;</w:t>
      </w:r>
    </w:p>
    <w:p w14:paraId="18DFDFFC" w14:textId="77777777" w:rsidR="0099088D" w:rsidRPr="002636AA" w:rsidRDefault="0099088D" w:rsidP="0099088D">
      <w:pPr>
        <w:numPr>
          <w:ilvl w:val="0"/>
          <w:numId w:val="10"/>
        </w:numPr>
        <w:tabs>
          <w:tab w:val="left" w:pos="840"/>
          <w:tab w:val="num" w:pos="1134"/>
        </w:tabs>
        <w:ind w:left="0" w:firstLine="709"/>
        <w:jc w:val="both"/>
        <w:rPr>
          <w:sz w:val="28"/>
          <w:szCs w:val="28"/>
        </w:rPr>
      </w:pPr>
      <w:r w:rsidRPr="002636AA">
        <w:rPr>
          <w:sz w:val="28"/>
          <w:szCs w:val="28"/>
        </w:rPr>
        <w:t>Учетная политика для целей бухгалтерского учета утвержденная Приказом от 31.12.2019 № 402.</w:t>
      </w:r>
    </w:p>
    <w:p w14:paraId="5FA08004" w14:textId="77777777" w:rsidR="0099088D" w:rsidRPr="002636AA" w:rsidRDefault="0099088D" w:rsidP="0099088D">
      <w:pPr>
        <w:ind w:left="360"/>
        <w:jc w:val="both"/>
        <w:rPr>
          <w:sz w:val="28"/>
          <w:szCs w:val="28"/>
        </w:rPr>
      </w:pPr>
    </w:p>
    <w:p w14:paraId="2B5BFF82" w14:textId="77777777" w:rsidR="0099088D" w:rsidRPr="002636AA" w:rsidRDefault="0099088D" w:rsidP="0099088D">
      <w:pPr>
        <w:ind w:left="360"/>
        <w:jc w:val="both"/>
        <w:rPr>
          <w:sz w:val="28"/>
          <w:szCs w:val="28"/>
        </w:rPr>
      </w:pPr>
    </w:p>
    <w:p w14:paraId="0365E0D8" w14:textId="77777777" w:rsidR="0099088D" w:rsidRPr="002636AA" w:rsidRDefault="0099088D" w:rsidP="0099088D">
      <w:pPr>
        <w:ind w:left="360"/>
        <w:jc w:val="both"/>
        <w:rPr>
          <w:sz w:val="28"/>
          <w:szCs w:val="28"/>
        </w:rPr>
      </w:pPr>
    </w:p>
    <w:p w14:paraId="766F5DF0" w14:textId="77777777" w:rsidR="0099088D" w:rsidRPr="002636AA" w:rsidRDefault="0099088D" w:rsidP="0099088D">
      <w:pPr>
        <w:jc w:val="center"/>
        <w:rPr>
          <w:b/>
          <w:sz w:val="28"/>
          <w:szCs w:val="28"/>
        </w:rPr>
      </w:pPr>
    </w:p>
    <w:p w14:paraId="2973A51E" w14:textId="77777777" w:rsidR="0099088D" w:rsidRPr="002636AA" w:rsidRDefault="0099088D" w:rsidP="0099088D">
      <w:pPr>
        <w:tabs>
          <w:tab w:val="left" w:pos="0"/>
          <w:tab w:val="left" w:pos="284"/>
        </w:tabs>
        <w:jc w:val="center"/>
        <w:rPr>
          <w:b/>
          <w:sz w:val="28"/>
          <w:szCs w:val="28"/>
        </w:rPr>
      </w:pPr>
      <w:r w:rsidRPr="002636AA">
        <w:rPr>
          <w:b/>
          <w:sz w:val="28"/>
          <w:szCs w:val="28"/>
        </w:rPr>
        <w:t>Расчет стандартизированной тарифной ставки С</w:t>
      </w:r>
      <w:r w:rsidRPr="002636AA">
        <w:rPr>
          <w:b/>
          <w:sz w:val="28"/>
          <w:szCs w:val="28"/>
          <w:vertAlign w:val="subscript"/>
        </w:rPr>
        <w:t>1,</w:t>
      </w:r>
      <w:r w:rsidRPr="002636AA">
        <w:rPr>
          <w:b/>
          <w:sz w:val="28"/>
          <w:szCs w:val="28"/>
        </w:rPr>
        <w:t xml:space="preserve"> на покрытие расходов ГРО, связанных с проектированием ГРО газопровода i-того диапазона диаметров n-ной протяженности и k-того типа прокладки, в расчете </w:t>
      </w:r>
      <w:bookmarkStart w:id="28" w:name="_Hlk1561335"/>
      <w:r w:rsidRPr="002636AA">
        <w:rPr>
          <w:b/>
          <w:sz w:val="28"/>
          <w:szCs w:val="28"/>
        </w:rPr>
        <w:t>на одно подключение (технологическое присоединение)</w:t>
      </w:r>
      <w:bookmarkEnd w:id="28"/>
    </w:p>
    <w:p w14:paraId="54923D26" w14:textId="77777777" w:rsidR="0099088D" w:rsidRPr="002636AA" w:rsidRDefault="0099088D" w:rsidP="0099088D">
      <w:pPr>
        <w:jc w:val="center"/>
        <w:rPr>
          <w:b/>
          <w:sz w:val="28"/>
          <w:szCs w:val="28"/>
        </w:rPr>
      </w:pPr>
    </w:p>
    <w:p w14:paraId="0940BF10" w14:textId="77777777" w:rsidR="0099088D" w:rsidRPr="002636AA" w:rsidRDefault="0099088D" w:rsidP="0099088D">
      <w:pPr>
        <w:autoSpaceDE w:val="0"/>
        <w:autoSpaceDN w:val="0"/>
        <w:adjustRightInd w:val="0"/>
        <w:ind w:firstLine="540"/>
        <w:jc w:val="both"/>
        <w:rPr>
          <w:sz w:val="28"/>
          <w:szCs w:val="28"/>
        </w:rPr>
      </w:pPr>
      <w:r w:rsidRPr="002636AA">
        <w:rPr>
          <w:sz w:val="28"/>
          <w:szCs w:val="28"/>
        </w:rPr>
        <w:t>Предложения предприятия приведены в Таблице 1.</w:t>
      </w:r>
    </w:p>
    <w:p w14:paraId="13EE7DA4" w14:textId="77777777" w:rsidR="0099088D" w:rsidRPr="002636AA" w:rsidRDefault="0099088D" w:rsidP="0099088D">
      <w:pPr>
        <w:autoSpaceDE w:val="0"/>
        <w:autoSpaceDN w:val="0"/>
        <w:adjustRightInd w:val="0"/>
        <w:ind w:firstLine="540"/>
        <w:jc w:val="both"/>
        <w:rPr>
          <w:sz w:val="28"/>
          <w:szCs w:val="28"/>
        </w:rPr>
      </w:pPr>
      <w:r w:rsidRPr="002636AA">
        <w:rPr>
          <w:sz w:val="28"/>
          <w:szCs w:val="28"/>
        </w:rPr>
        <w:br w:type="page"/>
      </w:r>
    </w:p>
    <w:p w14:paraId="3F56B23A" w14:textId="77777777" w:rsidR="0099088D" w:rsidRPr="002636AA" w:rsidRDefault="0099088D" w:rsidP="0099088D">
      <w:pPr>
        <w:autoSpaceDE w:val="0"/>
        <w:autoSpaceDN w:val="0"/>
        <w:adjustRightInd w:val="0"/>
        <w:ind w:firstLine="540"/>
        <w:jc w:val="right"/>
        <w:rPr>
          <w:sz w:val="28"/>
          <w:szCs w:val="28"/>
        </w:rPr>
      </w:pPr>
      <w:r w:rsidRPr="002636AA">
        <w:rPr>
          <w:sz w:val="28"/>
          <w:szCs w:val="28"/>
        </w:rPr>
        <w:t>Таблица 1</w:t>
      </w:r>
    </w:p>
    <w:tbl>
      <w:tblPr>
        <w:tblW w:w="9639" w:type="dxa"/>
        <w:tblInd w:w="103" w:type="dxa"/>
        <w:tblLook w:val="04A0" w:firstRow="1" w:lastRow="0" w:firstColumn="1" w:lastColumn="0" w:noHBand="0" w:noVBand="1"/>
      </w:tblPr>
      <w:tblGrid>
        <w:gridCol w:w="1281"/>
        <w:gridCol w:w="4111"/>
        <w:gridCol w:w="1775"/>
        <w:gridCol w:w="2466"/>
        <w:gridCol w:w="6"/>
      </w:tblGrid>
      <w:tr w:rsidR="0099088D" w:rsidRPr="002636AA" w14:paraId="718DA22E" w14:textId="77777777" w:rsidTr="0099088D">
        <w:trPr>
          <w:gridAfter w:val="1"/>
          <w:wAfter w:w="6" w:type="dxa"/>
          <w:trHeight w:val="1948"/>
          <w:tblHead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003701" w14:textId="77777777" w:rsidR="0099088D" w:rsidRPr="002636AA" w:rsidRDefault="0099088D" w:rsidP="0099088D">
            <w:pPr>
              <w:jc w:val="center"/>
              <w:rPr>
                <w:color w:val="000000"/>
              </w:rPr>
            </w:pPr>
            <w:r w:rsidRPr="002636AA">
              <w:rPr>
                <w:color w:val="000000"/>
              </w:rPr>
              <w:t>№</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4B1CB2" w14:textId="77777777" w:rsidR="0099088D" w:rsidRPr="002636AA" w:rsidRDefault="0099088D" w:rsidP="0099088D">
            <w:pPr>
              <w:jc w:val="center"/>
              <w:rPr>
                <w:color w:val="000000"/>
              </w:rPr>
            </w:pPr>
            <w:r w:rsidRPr="002636AA">
              <w:rPr>
                <w:color w:val="000000"/>
              </w:rPr>
              <w:t>Наименование стандартизированных тарифных ставок</w:t>
            </w: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98B1E7" w14:textId="77777777" w:rsidR="0099088D" w:rsidRPr="002636AA" w:rsidRDefault="0099088D" w:rsidP="0099088D">
            <w:pPr>
              <w:jc w:val="center"/>
              <w:rPr>
                <w:color w:val="000000"/>
              </w:rPr>
            </w:pPr>
            <w:r w:rsidRPr="002636AA">
              <w:rPr>
                <w:color w:val="000000"/>
              </w:rPr>
              <w:t>Единица измерения</w:t>
            </w:r>
          </w:p>
        </w:tc>
        <w:tc>
          <w:tcPr>
            <w:tcW w:w="2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EDD192" w14:textId="77777777" w:rsidR="0099088D" w:rsidRPr="002636AA" w:rsidRDefault="0099088D" w:rsidP="0099088D">
            <w:pPr>
              <w:jc w:val="center"/>
              <w:rPr>
                <w:color w:val="000000"/>
              </w:rPr>
            </w:pPr>
            <w:r w:rsidRPr="002636AA">
              <w:rPr>
                <w:color w:val="000000"/>
              </w:rPr>
              <w:t xml:space="preserve">Размеры стандартизированных тарифных ставок </w:t>
            </w:r>
            <w:r w:rsidRPr="002636AA">
              <w:rPr>
                <w:color w:val="2D2D2D"/>
              </w:rPr>
              <w:t>(без НДС, с налогом на прибыль)</w:t>
            </w:r>
          </w:p>
        </w:tc>
      </w:tr>
      <w:tr w:rsidR="0099088D" w:rsidRPr="002636AA" w14:paraId="48FA1F90" w14:textId="77777777" w:rsidTr="0099088D">
        <w:trPr>
          <w:gridAfter w:val="1"/>
          <w:wAfter w:w="6" w:type="dxa"/>
          <w:trHeight w:val="20"/>
          <w:tblHeader/>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3BE3D" w14:textId="77777777" w:rsidR="0099088D" w:rsidRPr="002636AA" w:rsidRDefault="0099088D" w:rsidP="0099088D">
            <w:pPr>
              <w:jc w:val="center"/>
              <w:rPr>
                <w:color w:val="000000"/>
              </w:rPr>
            </w:pPr>
            <w:r w:rsidRPr="002636AA">
              <w:rPr>
                <w:color w:val="000000"/>
              </w:rPr>
              <w:t>1</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7BF609FD" w14:textId="77777777" w:rsidR="0099088D" w:rsidRPr="002636AA" w:rsidRDefault="0099088D" w:rsidP="0099088D">
            <w:pPr>
              <w:jc w:val="center"/>
              <w:rPr>
                <w:color w:val="000000"/>
              </w:rPr>
            </w:pPr>
            <w:r w:rsidRPr="002636AA">
              <w:rPr>
                <w:color w:val="000000"/>
              </w:rPr>
              <w:t>2</w:t>
            </w:r>
          </w:p>
        </w:tc>
        <w:tc>
          <w:tcPr>
            <w:tcW w:w="1775" w:type="dxa"/>
            <w:tcBorders>
              <w:top w:val="single" w:sz="4" w:space="0" w:color="auto"/>
              <w:left w:val="nil"/>
              <w:bottom w:val="single" w:sz="4" w:space="0" w:color="auto"/>
              <w:right w:val="single" w:sz="4" w:space="0" w:color="auto"/>
            </w:tcBorders>
            <w:shd w:val="clear" w:color="auto" w:fill="auto"/>
            <w:vAlign w:val="center"/>
            <w:hideMark/>
          </w:tcPr>
          <w:p w14:paraId="28EA3B54" w14:textId="77777777" w:rsidR="0099088D" w:rsidRPr="002636AA" w:rsidRDefault="0099088D" w:rsidP="0099088D">
            <w:pPr>
              <w:jc w:val="center"/>
              <w:rPr>
                <w:color w:val="000000"/>
              </w:rPr>
            </w:pPr>
            <w:r w:rsidRPr="002636AA">
              <w:rPr>
                <w:color w:val="000000"/>
              </w:rPr>
              <w:t>3</w:t>
            </w:r>
          </w:p>
        </w:tc>
        <w:tc>
          <w:tcPr>
            <w:tcW w:w="2466" w:type="dxa"/>
            <w:tcBorders>
              <w:top w:val="single" w:sz="4" w:space="0" w:color="auto"/>
              <w:left w:val="nil"/>
              <w:bottom w:val="single" w:sz="4" w:space="0" w:color="auto"/>
              <w:right w:val="single" w:sz="4" w:space="0" w:color="auto"/>
            </w:tcBorders>
            <w:shd w:val="clear" w:color="000000" w:fill="FFFFFF"/>
            <w:vAlign w:val="center"/>
            <w:hideMark/>
          </w:tcPr>
          <w:p w14:paraId="3CF2C847" w14:textId="77777777" w:rsidR="0099088D" w:rsidRPr="002636AA" w:rsidRDefault="0099088D" w:rsidP="0099088D">
            <w:pPr>
              <w:jc w:val="center"/>
              <w:rPr>
                <w:color w:val="000000"/>
              </w:rPr>
            </w:pPr>
            <w:r w:rsidRPr="002636AA">
              <w:rPr>
                <w:color w:val="000000"/>
              </w:rPr>
              <w:t>4</w:t>
            </w:r>
          </w:p>
        </w:tc>
      </w:tr>
      <w:tr w:rsidR="0099088D" w:rsidRPr="002636AA" w14:paraId="41D72757" w14:textId="77777777" w:rsidTr="0099088D">
        <w:trPr>
          <w:trHeight w:val="974"/>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3E99B400" w14:textId="77777777" w:rsidR="0099088D" w:rsidRPr="002636AA" w:rsidRDefault="0099088D" w:rsidP="0099088D">
            <w:pPr>
              <w:jc w:val="center"/>
              <w:rPr>
                <w:color w:val="000000"/>
              </w:rPr>
            </w:pPr>
            <w:r w:rsidRPr="002636AA">
              <w:rPr>
                <w:color w:val="000000"/>
              </w:rPr>
              <w:t>1.</w:t>
            </w:r>
          </w:p>
        </w:tc>
        <w:tc>
          <w:tcPr>
            <w:tcW w:w="8358" w:type="dxa"/>
            <w:gridSpan w:val="4"/>
            <w:tcBorders>
              <w:top w:val="single" w:sz="4" w:space="0" w:color="auto"/>
              <w:left w:val="nil"/>
              <w:bottom w:val="single" w:sz="4" w:space="0" w:color="auto"/>
              <w:right w:val="single" w:sz="4" w:space="0" w:color="auto"/>
            </w:tcBorders>
            <w:shd w:val="clear" w:color="auto" w:fill="auto"/>
            <w:vAlign w:val="center"/>
            <w:hideMark/>
          </w:tcPr>
          <w:p w14:paraId="299B31ED" w14:textId="77777777" w:rsidR="0099088D" w:rsidRPr="002636AA" w:rsidRDefault="0099088D" w:rsidP="0099088D">
            <w:pPr>
              <w:rPr>
                <w:color w:val="000000"/>
              </w:rPr>
            </w:pPr>
            <w:r w:rsidRPr="002636AA">
              <w:rPr>
                <w:color w:val="000000"/>
              </w:rPr>
              <w:t>Размер стандартизированной тарифной ставки С</w:t>
            </w:r>
            <w:r w:rsidRPr="002636AA">
              <w:rPr>
                <w:color w:val="000000"/>
                <w:vertAlign w:val="subscript"/>
              </w:rPr>
              <w:t>1</w:t>
            </w:r>
            <w:r w:rsidRPr="002636AA">
              <w:rPr>
                <w:color w:val="000000"/>
              </w:rPr>
              <w:t xml:space="preserve"> на покрытие расходов газораспределительной организации, связанных с проектированием газораспределительной организацией газопровода:</w:t>
            </w:r>
          </w:p>
        </w:tc>
      </w:tr>
      <w:tr w:rsidR="0099088D" w:rsidRPr="002636AA" w14:paraId="3E6D88A1" w14:textId="77777777" w:rsidTr="0099088D">
        <w:trPr>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760D1110" w14:textId="77777777" w:rsidR="0099088D" w:rsidRPr="002636AA" w:rsidRDefault="0099088D" w:rsidP="0099088D">
            <w:pPr>
              <w:jc w:val="center"/>
              <w:rPr>
                <w:color w:val="000000"/>
              </w:rPr>
            </w:pPr>
            <w:r w:rsidRPr="002636AA">
              <w:rPr>
                <w:color w:val="000000"/>
              </w:rPr>
              <w:t>1.1.</w:t>
            </w:r>
          </w:p>
        </w:tc>
        <w:tc>
          <w:tcPr>
            <w:tcW w:w="8358" w:type="dxa"/>
            <w:gridSpan w:val="4"/>
            <w:tcBorders>
              <w:top w:val="single" w:sz="4" w:space="0" w:color="auto"/>
              <w:left w:val="nil"/>
              <w:bottom w:val="single" w:sz="4" w:space="0" w:color="auto"/>
              <w:right w:val="single" w:sz="4" w:space="0" w:color="auto"/>
            </w:tcBorders>
            <w:shd w:val="clear" w:color="auto" w:fill="auto"/>
            <w:vAlign w:val="center"/>
            <w:hideMark/>
          </w:tcPr>
          <w:p w14:paraId="6E54988F" w14:textId="77777777" w:rsidR="0099088D" w:rsidRPr="002636AA" w:rsidRDefault="0099088D" w:rsidP="0099088D">
            <w:pPr>
              <w:rPr>
                <w:color w:val="000000"/>
              </w:rPr>
            </w:pPr>
            <w:r w:rsidRPr="002636AA">
              <w:rPr>
                <w:color w:val="000000"/>
              </w:rPr>
              <w:t>наземного (надземного) способа прокладки:</w:t>
            </w:r>
          </w:p>
        </w:tc>
      </w:tr>
      <w:tr w:rsidR="0099088D" w:rsidRPr="002636AA" w14:paraId="5917EC5D" w14:textId="77777777" w:rsidTr="0099088D">
        <w:trPr>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0B1F6ADF" w14:textId="77777777" w:rsidR="0099088D" w:rsidRPr="002636AA" w:rsidRDefault="0099088D" w:rsidP="0099088D">
            <w:pPr>
              <w:jc w:val="center"/>
              <w:rPr>
                <w:color w:val="000000"/>
              </w:rPr>
            </w:pPr>
            <w:r w:rsidRPr="002636AA">
              <w:rPr>
                <w:color w:val="000000"/>
              </w:rPr>
              <w:t>1.1.1.</w:t>
            </w:r>
          </w:p>
        </w:tc>
        <w:tc>
          <w:tcPr>
            <w:tcW w:w="8358" w:type="dxa"/>
            <w:gridSpan w:val="4"/>
            <w:tcBorders>
              <w:top w:val="single" w:sz="4" w:space="0" w:color="auto"/>
              <w:left w:val="nil"/>
              <w:bottom w:val="single" w:sz="4" w:space="0" w:color="auto"/>
              <w:right w:val="single" w:sz="4" w:space="0" w:color="auto"/>
            </w:tcBorders>
            <w:shd w:val="clear" w:color="auto" w:fill="auto"/>
            <w:vAlign w:val="center"/>
            <w:hideMark/>
          </w:tcPr>
          <w:p w14:paraId="4F53B372" w14:textId="77777777" w:rsidR="0099088D" w:rsidRPr="002636AA" w:rsidRDefault="0099088D" w:rsidP="0099088D">
            <w:pPr>
              <w:rPr>
                <w:color w:val="000000"/>
              </w:rPr>
            </w:pPr>
            <w:r w:rsidRPr="002636AA">
              <w:rPr>
                <w:color w:val="000000"/>
              </w:rPr>
              <w:t>наружным диаметром менее 100 мм, протяженностью:</w:t>
            </w:r>
          </w:p>
        </w:tc>
      </w:tr>
      <w:tr w:rsidR="0099088D" w:rsidRPr="002636AA" w14:paraId="7DD62B87" w14:textId="77777777" w:rsidTr="0099088D">
        <w:trPr>
          <w:gridAfter w:val="1"/>
          <w:wAfter w:w="6" w:type="dxa"/>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05D37E5C" w14:textId="77777777" w:rsidR="0099088D" w:rsidRPr="002636AA" w:rsidRDefault="0099088D" w:rsidP="0099088D">
            <w:pPr>
              <w:jc w:val="center"/>
            </w:pPr>
            <w:r w:rsidRPr="002636AA">
              <w:t>1.1.1.1.</w:t>
            </w:r>
          </w:p>
        </w:tc>
        <w:tc>
          <w:tcPr>
            <w:tcW w:w="4111" w:type="dxa"/>
            <w:tcBorders>
              <w:top w:val="nil"/>
              <w:left w:val="nil"/>
              <w:bottom w:val="single" w:sz="4" w:space="0" w:color="auto"/>
              <w:right w:val="single" w:sz="4" w:space="0" w:color="auto"/>
            </w:tcBorders>
            <w:shd w:val="clear" w:color="auto" w:fill="auto"/>
            <w:vAlign w:val="center"/>
            <w:hideMark/>
          </w:tcPr>
          <w:p w14:paraId="1DA34958" w14:textId="77777777" w:rsidR="0099088D" w:rsidRPr="002636AA" w:rsidRDefault="0099088D" w:rsidP="0099088D">
            <w:pPr>
              <w:rPr>
                <w:color w:val="000000"/>
              </w:rPr>
            </w:pPr>
            <w:r w:rsidRPr="002636AA">
              <w:rPr>
                <w:color w:val="000000"/>
              </w:rPr>
              <w:t>до 100 м</w:t>
            </w:r>
          </w:p>
        </w:tc>
        <w:tc>
          <w:tcPr>
            <w:tcW w:w="1775" w:type="dxa"/>
            <w:vMerge w:val="restart"/>
            <w:tcBorders>
              <w:top w:val="nil"/>
              <w:left w:val="single" w:sz="4" w:space="0" w:color="auto"/>
              <w:bottom w:val="single" w:sz="4" w:space="0" w:color="auto"/>
              <w:right w:val="single" w:sz="4" w:space="0" w:color="auto"/>
            </w:tcBorders>
            <w:shd w:val="clear" w:color="auto" w:fill="auto"/>
            <w:vAlign w:val="center"/>
            <w:hideMark/>
          </w:tcPr>
          <w:p w14:paraId="1C41781B" w14:textId="77777777" w:rsidR="0099088D" w:rsidRPr="002636AA" w:rsidRDefault="0099088D" w:rsidP="0099088D">
            <w:pPr>
              <w:ind w:left="-147" w:right="-147"/>
              <w:jc w:val="center"/>
              <w:rPr>
                <w:color w:val="000000"/>
              </w:rPr>
            </w:pPr>
            <w:r w:rsidRPr="002636AA">
              <w:rPr>
                <w:color w:val="000000"/>
              </w:rPr>
              <w:t>руб.</w:t>
            </w:r>
            <w:r w:rsidRPr="002636AA">
              <w:rPr>
                <w:color w:val="2D2D2D"/>
              </w:rPr>
              <w:t xml:space="preserve"> за 1 присоединение</w:t>
            </w:r>
          </w:p>
        </w:tc>
        <w:tc>
          <w:tcPr>
            <w:tcW w:w="2466" w:type="dxa"/>
            <w:tcBorders>
              <w:top w:val="single" w:sz="4" w:space="0" w:color="auto"/>
              <w:bottom w:val="single" w:sz="4" w:space="0" w:color="auto"/>
              <w:right w:val="single" w:sz="4" w:space="0" w:color="auto"/>
            </w:tcBorders>
            <w:shd w:val="clear" w:color="auto" w:fill="auto"/>
            <w:hideMark/>
          </w:tcPr>
          <w:p w14:paraId="16A9740F" w14:textId="77777777" w:rsidR="0099088D" w:rsidRPr="002636AA" w:rsidRDefault="0099088D" w:rsidP="0099088D">
            <w:pPr>
              <w:jc w:val="center"/>
              <w:rPr>
                <w:color w:val="000000"/>
              </w:rPr>
            </w:pPr>
            <w:r w:rsidRPr="002636AA">
              <w:rPr>
                <w:color w:val="000000"/>
              </w:rPr>
              <w:t>267 818</w:t>
            </w:r>
          </w:p>
        </w:tc>
      </w:tr>
      <w:tr w:rsidR="0099088D" w:rsidRPr="002636AA" w14:paraId="20A169E4" w14:textId="77777777" w:rsidTr="0099088D">
        <w:trPr>
          <w:gridAfter w:val="1"/>
          <w:wAfter w:w="6" w:type="dxa"/>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1C50D035" w14:textId="77777777" w:rsidR="0099088D" w:rsidRPr="002636AA" w:rsidRDefault="0099088D" w:rsidP="0099088D">
            <w:pPr>
              <w:jc w:val="center"/>
            </w:pPr>
            <w:r w:rsidRPr="002636AA">
              <w:t>1.1.1.2.</w:t>
            </w:r>
          </w:p>
        </w:tc>
        <w:tc>
          <w:tcPr>
            <w:tcW w:w="4111" w:type="dxa"/>
            <w:tcBorders>
              <w:top w:val="nil"/>
              <w:left w:val="nil"/>
              <w:bottom w:val="single" w:sz="4" w:space="0" w:color="auto"/>
              <w:right w:val="single" w:sz="4" w:space="0" w:color="auto"/>
            </w:tcBorders>
            <w:shd w:val="clear" w:color="auto" w:fill="auto"/>
            <w:vAlign w:val="center"/>
            <w:hideMark/>
          </w:tcPr>
          <w:p w14:paraId="635045F6" w14:textId="77777777" w:rsidR="0099088D" w:rsidRPr="002636AA" w:rsidRDefault="0099088D" w:rsidP="0099088D">
            <w:pPr>
              <w:rPr>
                <w:color w:val="000000"/>
              </w:rPr>
            </w:pPr>
            <w:r w:rsidRPr="002636AA">
              <w:rPr>
                <w:color w:val="000000"/>
              </w:rPr>
              <w:t>101-500 м</w:t>
            </w:r>
          </w:p>
        </w:tc>
        <w:tc>
          <w:tcPr>
            <w:tcW w:w="1775" w:type="dxa"/>
            <w:vMerge/>
            <w:tcBorders>
              <w:top w:val="nil"/>
              <w:left w:val="single" w:sz="4" w:space="0" w:color="auto"/>
              <w:bottom w:val="single" w:sz="4" w:space="0" w:color="auto"/>
              <w:right w:val="single" w:sz="4" w:space="0" w:color="auto"/>
            </w:tcBorders>
            <w:vAlign w:val="center"/>
            <w:hideMark/>
          </w:tcPr>
          <w:p w14:paraId="1998DDDD" w14:textId="77777777" w:rsidR="0099088D" w:rsidRPr="002636AA" w:rsidRDefault="0099088D" w:rsidP="0099088D">
            <w:pPr>
              <w:rPr>
                <w:color w:val="000000"/>
              </w:rPr>
            </w:pPr>
          </w:p>
        </w:tc>
        <w:tc>
          <w:tcPr>
            <w:tcW w:w="2466" w:type="dxa"/>
            <w:tcBorders>
              <w:top w:val="single" w:sz="4" w:space="0" w:color="auto"/>
              <w:bottom w:val="single" w:sz="4" w:space="0" w:color="auto"/>
              <w:right w:val="single" w:sz="4" w:space="0" w:color="auto"/>
            </w:tcBorders>
            <w:shd w:val="clear" w:color="auto" w:fill="auto"/>
            <w:hideMark/>
          </w:tcPr>
          <w:p w14:paraId="1884258E" w14:textId="77777777" w:rsidR="0099088D" w:rsidRPr="002636AA" w:rsidRDefault="0099088D" w:rsidP="0099088D">
            <w:pPr>
              <w:jc w:val="center"/>
              <w:rPr>
                <w:color w:val="000000"/>
              </w:rPr>
            </w:pPr>
            <w:r w:rsidRPr="002636AA">
              <w:rPr>
                <w:color w:val="000000"/>
              </w:rPr>
              <w:t>276 673</w:t>
            </w:r>
          </w:p>
        </w:tc>
      </w:tr>
      <w:tr w:rsidR="0099088D" w:rsidRPr="002636AA" w14:paraId="6D732B87" w14:textId="77777777" w:rsidTr="0099088D">
        <w:trPr>
          <w:gridAfter w:val="1"/>
          <w:wAfter w:w="6" w:type="dxa"/>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6B68173C" w14:textId="77777777" w:rsidR="0099088D" w:rsidRPr="002636AA" w:rsidRDefault="0099088D" w:rsidP="0099088D">
            <w:pPr>
              <w:jc w:val="center"/>
            </w:pPr>
            <w:r w:rsidRPr="002636AA">
              <w:t>1.1.1.3.</w:t>
            </w:r>
          </w:p>
        </w:tc>
        <w:tc>
          <w:tcPr>
            <w:tcW w:w="4111" w:type="dxa"/>
            <w:tcBorders>
              <w:top w:val="nil"/>
              <w:left w:val="nil"/>
              <w:bottom w:val="single" w:sz="4" w:space="0" w:color="auto"/>
              <w:right w:val="single" w:sz="4" w:space="0" w:color="auto"/>
            </w:tcBorders>
            <w:shd w:val="clear" w:color="auto" w:fill="auto"/>
            <w:vAlign w:val="center"/>
            <w:hideMark/>
          </w:tcPr>
          <w:p w14:paraId="1350369C" w14:textId="77777777" w:rsidR="0099088D" w:rsidRPr="002636AA" w:rsidRDefault="0099088D" w:rsidP="0099088D">
            <w:pPr>
              <w:rPr>
                <w:color w:val="000000"/>
              </w:rPr>
            </w:pPr>
            <w:r w:rsidRPr="002636AA">
              <w:rPr>
                <w:color w:val="000000"/>
              </w:rPr>
              <w:t>501-1000 м</w:t>
            </w:r>
          </w:p>
        </w:tc>
        <w:tc>
          <w:tcPr>
            <w:tcW w:w="1775" w:type="dxa"/>
            <w:vMerge/>
            <w:tcBorders>
              <w:top w:val="nil"/>
              <w:left w:val="single" w:sz="4" w:space="0" w:color="auto"/>
              <w:bottom w:val="single" w:sz="4" w:space="0" w:color="auto"/>
              <w:right w:val="single" w:sz="4" w:space="0" w:color="auto"/>
            </w:tcBorders>
            <w:vAlign w:val="center"/>
            <w:hideMark/>
          </w:tcPr>
          <w:p w14:paraId="074BC209" w14:textId="77777777" w:rsidR="0099088D" w:rsidRPr="002636AA" w:rsidRDefault="0099088D" w:rsidP="0099088D">
            <w:pPr>
              <w:rPr>
                <w:color w:val="000000"/>
              </w:rPr>
            </w:pPr>
          </w:p>
        </w:tc>
        <w:tc>
          <w:tcPr>
            <w:tcW w:w="2466" w:type="dxa"/>
            <w:tcBorders>
              <w:top w:val="single" w:sz="4" w:space="0" w:color="auto"/>
              <w:bottom w:val="single" w:sz="4" w:space="0" w:color="auto"/>
              <w:right w:val="single" w:sz="4" w:space="0" w:color="auto"/>
            </w:tcBorders>
            <w:shd w:val="clear" w:color="000000" w:fill="auto"/>
            <w:hideMark/>
          </w:tcPr>
          <w:p w14:paraId="005F9210" w14:textId="77777777" w:rsidR="0099088D" w:rsidRPr="002636AA" w:rsidRDefault="0099088D" w:rsidP="0099088D">
            <w:pPr>
              <w:jc w:val="center"/>
              <w:rPr>
                <w:color w:val="000000"/>
              </w:rPr>
            </w:pPr>
            <w:r w:rsidRPr="002636AA">
              <w:rPr>
                <w:color w:val="000000"/>
              </w:rPr>
              <w:t>1 768 526</w:t>
            </w:r>
          </w:p>
        </w:tc>
      </w:tr>
      <w:tr w:rsidR="0099088D" w:rsidRPr="002636AA" w14:paraId="08A028EB" w14:textId="77777777" w:rsidTr="0099088D">
        <w:trPr>
          <w:gridAfter w:val="1"/>
          <w:wAfter w:w="6" w:type="dxa"/>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7659D154" w14:textId="77777777" w:rsidR="0099088D" w:rsidRPr="002636AA" w:rsidRDefault="0099088D" w:rsidP="0099088D">
            <w:pPr>
              <w:jc w:val="center"/>
            </w:pPr>
            <w:r w:rsidRPr="002636AA">
              <w:t>1.1.1.4.</w:t>
            </w:r>
          </w:p>
        </w:tc>
        <w:tc>
          <w:tcPr>
            <w:tcW w:w="4111" w:type="dxa"/>
            <w:tcBorders>
              <w:top w:val="nil"/>
              <w:left w:val="nil"/>
              <w:bottom w:val="single" w:sz="4" w:space="0" w:color="auto"/>
              <w:right w:val="single" w:sz="4" w:space="0" w:color="auto"/>
            </w:tcBorders>
            <w:shd w:val="clear" w:color="auto" w:fill="auto"/>
            <w:vAlign w:val="center"/>
            <w:hideMark/>
          </w:tcPr>
          <w:p w14:paraId="6EC07255" w14:textId="77777777" w:rsidR="0099088D" w:rsidRPr="002636AA" w:rsidRDefault="0099088D" w:rsidP="0099088D">
            <w:pPr>
              <w:rPr>
                <w:color w:val="000000"/>
              </w:rPr>
            </w:pPr>
            <w:r w:rsidRPr="002636AA">
              <w:rPr>
                <w:color w:val="000000"/>
              </w:rPr>
              <w:t>1001-2000 м</w:t>
            </w:r>
          </w:p>
        </w:tc>
        <w:tc>
          <w:tcPr>
            <w:tcW w:w="1775" w:type="dxa"/>
            <w:vMerge/>
            <w:tcBorders>
              <w:top w:val="nil"/>
              <w:left w:val="single" w:sz="4" w:space="0" w:color="auto"/>
              <w:bottom w:val="single" w:sz="4" w:space="0" w:color="auto"/>
              <w:right w:val="single" w:sz="4" w:space="0" w:color="auto"/>
            </w:tcBorders>
            <w:vAlign w:val="center"/>
            <w:hideMark/>
          </w:tcPr>
          <w:p w14:paraId="67EF1998" w14:textId="77777777" w:rsidR="0099088D" w:rsidRPr="002636AA" w:rsidRDefault="0099088D" w:rsidP="0099088D">
            <w:pPr>
              <w:rPr>
                <w:color w:val="000000"/>
              </w:rPr>
            </w:pPr>
          </w:p>
        </w:tc>
        <w:tc>
          <w:tcPr>
            <w:tcW w:w="2466" w:type="dxa"/>
            <w:tcBorders>
              <w:top w:val="single" w:sz="4" w:space="0" w:color="auto"/>
              <w:bottom w:val="single" w:sz="4" w:space="0" w:color="auto"/>
              <w:right w:val="single" w:sz="4" w:space="0" w:color="auto"/>
            </w:tcBorders>
            <w:shd w:val="clear" w:color="000000" w:fill="auto"/>
            <w:hideMark/>
          </w:tcPr>
          <w:p w14:paraId="5AB5B9A7" w14:textId="77777777" w:rsidR="0099088D" w:rsidRPr="002636AA" w:rsidRDefault="0099088D" w:rsidP="0099088D">
            <w:pPr>
              <w:jc w:val="center"/>
              <w:rPr>
                <w:color w:val="000000"/>
              </w:rPr>
            </w:pPr>
            <w:r w:rsidRPr="002636AA">
              <w:rPr>
                <w:color w:val="000000"/>
              </w:rPr>
              <w:t>2 546 338</w:t>
            </w:r>
          </w:p>
        </w:tc>
      </w:tr>
      <w:tr w:rsidR="0099088D" w:rsidRPr="002636AA" w14:paraId="4C9F7F6C" w14:textId="77777777" w:rsidTr="0099088D">
        <w:trPr>
          <w:gridAfter w:val="1"/>
          <w:wAfter w:w="6" w:type="dxa"/>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034E6C68" w14:textId="77777777" w:rsidR="0099088D" w:rsidRPr="002636AA" w:rsidRDefault="0099088D" w:rsidP="0099088D">
            <w:pPr>
              <w:jc w:val="center"/>
            </w:pPr>
            <w:r w:rsidRPr="002636AA">
              <w:t>1.1.1.5.</w:t>
            </w:r>
          </w:p>
        </w:tc>
        <w:tc>
          <w:tcPr>
            <w:tcW w:w="4111" w:type="dxa"/>
            <w:tcBorders>
              <w:top w:val="nil"/>
              <w:left w:val="nil"/>
              <w:bottom w:val="single" w:sz="4" w:space="0" w:color="auto"/>
              <w:right w:val="single" w:sz="4" w:space="0" w:color="auto"/>
            </w:tcBorders>
            <w:shd w:val="clear" w:color="auto" w:fill="auto"/>
            <w:vAlign w:val="center"/>
            <w:hideMark/>
          </w:tcPr>
          <w:p w14:paraId="72A18BA0" w14:textId="77777777" w:rsidR="0099088D" w:rsidRPr="002636AA" w:rsidRDefault="0099088D" w:rsidP="0099088D">
            <w:pPr>
              <w:rPr>
                <w:color w:val="000000"/>
              </w:rPr>
            </w:pPr>
            <w:r w:rsidRPr="002636AA">
              <w:rPr>
                <w:color w:val="000000"/>
              </w:rPr>
              <w:t>2001-3000 м</w:t>
            </w:r>
          </w:p>
        </w:tc>
        <w:tc>
          <w:tcPr>
            <w:tcW w:w="1775" w:type="dxa"/>
            <w:vMerge/>
            <w:tcBorders>
              <w:top w:val="nil"/>
              <w:left w:val="single" w:sz="4" w:space="0" w:color="auto"/>
              <w:bottom w:val="single" w:sz="4" w:space="0" w:color="auto"/>
              <w:right w:val="single" w:sz="4" w:space="0" w:color="auto"/>
            </w:tcBorders>
            <w:vAlign w:val="center"/>
            <w:hideMark/>
          </w:tcPr>
          <w:p w14:paraId="3A765BA9" w14:textId="77777777" w:rsidR="0099088D" w:rsidRPr="002636AA" w:rsidRDefault="0099088D" w:rsidP="0099088D">
            <w:pPr>
              <w:rPr>
                <w:color w:val="000000"/>
              </w:rPr>
            </w:pPr>
          </w:p>
        </w:tc>
        <w:tc>
          <w:tcPr>
            <w:tcW w:w="2466" w:type="dxa"/>
            <w:tcBorders>
              <w:top w:val="single" w:sz="4" w:space="0" w:color="auto"/>
              <w:bottom w:val="single" w:sz="4" w:space="0" w:color="auto"/>
              <w:right w:val="single" w:sz="4" w:space="0" w:color="auto"/>
            </w:tcBorders>
            <w:shd w:val="clear" w:color="000000" w:fill="auto"/>
            <w:hideMark/>
          </w:tcPr>
          <w:p w14:paraId="69A72767" w14:textId="77777777" w:rsidR="0099088D" w:rsidRPr="002636AA" w:rsidRDefault="0099088D" w:rsidP="0099088D">
            <w:pPr>
              <w:jc w:val="center"/>
              <w:rPr>
                <w:color w:val="000000"/>
              </w:rPr>
            </w:pPr>
            <w:r w:rsidRPr="002636AA">
              <w:rPr>
                <w:color w:val="000000"/>
              </w:rPr>
              <w:t>3 463 981</w:t>
            </w:r>
          </w:p>
        </w:tc>
      </w:tr>
      <w:tr w:rsidR="0099088D" w:rsidRPr="002636AA" w14:paraId="50BEDF09" w14:textId="77777777" w:rsidTr="0099088D">
        <w:trPr>
          <w:gridAfter w:val="1"/>
          <w:wAfter w:w="6" w:type="dxa"/>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1DE82662" w14:textId="77777777" w:rsidR="0099088D" w:rsidRPr="002636AA" w:rsidRDefault="0099088D" w:rsidP="0099088D">
            <w:pPr>
              <w:jc w:val="center"/>
            </w:pPr>
            <w:r w:rsidRPr="002636AA">
              <w:t>1.1.1.6.</w:t>
            </w:r>
          </w:p>
        </w:tc>
        <w:tc>
          <w:tcPr>
            <w:tcW w:w="4111" w:type="dxa"/>
            <w:tcBorders>
              <w:top w:val="nil"/>
              <w:left w:val="nil"/>
              <w:bottom w:val="single" w:sz="4" w:space="0" w:color="auto"/>
              <w:right w:val="single" w:sz="4" w:space="0" w:color="auto"/>
            </w:tcBorders>
            <w:shd w:val="clear" w:color="auto" w:fill="auto"/>
            <w:vAlign w:val="center"/>
            <w:hideMark/>
          </w:tcPr>
          <w:p w14:paraId="6E153067" w14:textId="77777777" w:rsidR="0099088D" w:rsidRPr="002636AA" w:rsidRDefault="0099088D" w:rsidP="0099088D">
            <w:pPr>
              <w:rPr>
                <w:color w:val="000000"/>
              </w:rPr>
            </w:pPr>
            <w:r w:rsidRPr="002636AA">
              <w:rPr>
                <w:color w:val="000000"/>
              </w:rPr>
              <w:t>3001-4000 м</w:t>
            </w:r>
          </w:p>
        </w:tc>
        <w:tc>
          <w:tcPr>
            <w:tcW w:w="1775" w:type="dxa"/>
            <w:vMerge/>
            <w:tcBorders>
              <w:top w:val="nil"/>
              <w:left w:val="single" w:sz="4" w:space="0" w:color="auto"/>
              <w:bottom w:val="single" w:sz="4" w:space="0" w:color="auto"/>
              <w:right w:val="single" w:sz="4" w:space="0" w:color="auto"/>
            </w:tcBorders>
            <w:vAlign w:val="center"/>
            <w:hideMark/>
          </w:tcPr>
          <w:p w14:paraId="3DEEBF1A" w14:textId="77777777" w:rsidR="0099088D" w:rsidRPr="002636AA" w:rsidRDefault="0099088D" w:rsidP="0099088D">
            <w:pPr>
              <w:rPr>
                <w:color w:val="000000"/>
              </w:rPr>
            </w:pPr>
          </w:p>
        </w:tc>
        <w:tc>
          <w:tcPr>
            <w:tcW w:w="2466" w:type="dxa"/>
            <w:tcBorders>
              <w:top w:val="single" w:sz="4" w:space="0" w:color="auto"/>
              <w:bottom w:val="single" w:sz="4" w:space="0" w:color="auto"/>
              <w:right w:val="single" w:sz="4" w:space="0" w:color="auto"/>
            </w:tcBorders>
            <w:shd w:val="clear" w:color="000000" w:fill="auto"/>
            <w:hideMark/>
          </w:tcPr>
          <w:p w14:paraId="0B2620A4" w14:textId="77777777" w:rsidR="0099088D" w:rsidRPr="002636AA" w:rsidRDefault="0099088D" w:rsidP="0099088D">
            <w:pPr>
              <w:jc w:val="center"/>
              <w:rPr>
                <w:color w:val="000000"/>
              </w:rPr>
            </w:pPr>
            <w:r w:rsidRPr="002636AA">
              <w:rPr>
                <w:color w:val="000000"/>
              </w:rPr>
              <w:t>4 273 442</w:t>
            </w:r>
          </w:p>
        </w:tc>
      </w:tr>
      <w:tr w:rsidR="0099088D" w:rsidRPr="002636AA" w14:paraId="268C2DFA" w14:textId="77777777" w:rsidTr="0099088D">
        <w:trPr>
          <w:gridAfter w:val="1"/>
          <w:wAfter w:w="6" w:type="dxa"/>
          <w:trHeight w:val="20"/>
        </w:trPr>
        <w:tc>
          <w:tcPr>
            <w:tcW w:w="1281" w:type="dxa"/>
            <w:tcBorders>
              <w:top w:val="nil"/>
              <w:left w:val="single" w:sz="4" w:space="0" w:color="auto"/>
              <w:bottom w:val="single" w:sz="4" w:space="0" w:color="auto"/>
              <w:right w:val="single" w:sz="4" w:space="0" w:color="auto"/>
            </w:tcBorders>
            <w:shd w:val="clear" w:color="auto" w:fill="auto"/>
            <w:vAlign w:val="center"/>
          </w:tcPr>
          <w:p w14:paraId="457F4398" w14:textId="77777777" w:rsidR="0099088D" w:rsidRPr="002636AA" w:rsidRDefault="0099088D" w:rsidP="0099088D">
            <w:pPr>
              <w:jc w:val="center"/>
            </w:pPr>
            <w:r w:rsidRPr="002636AA">
              <w:t>1.1.1.7.</w:t>
            </w:r>
          </w:p>
        </w:tc>
        <w:tc>
          <w:tcPr>
            <w:tcW w:w="4111" w:type="dxa"/>
            <w:tcBorders>
              <w:top w:val="nil"/>
              <w:left w:val="nil"/>
              <w:bottom w:val="single" w:sz="4" w:space="0" w:color="auto"/>
              <w:right w:val="single" w:sz="4" w:space="0" w:color="auto"/>
            </w:tcBorders>
            <w:shd w:val="clear" w:color="auto" w:fill="auto"/>
            <w:vAlign w:val="center"/>
          </w:tcPr>
          <w:p w14:paraId="3E510A91" w14:textId="77777777" w:rsidR="0099088D" w:rsidRPr="002636AA" w:rsidRDefault="0099088D" w:rsidP="0099088D">
            <w:pPr>
              <w:rPr>
                <w:color w:val="000000"/>
              </w:rPr>
            </w:pPr>
            <w:r w:rsidRPr="002636AA">
              <w:rPr>
                <w:color w:val="000000"/>
              </w:rPr>
              <w:t>4001-5000 м</w:t>
            </w:r>
          </w:p>
        </w:tc>
        <w:tc>
          <w:tcPr>
            <w:tcW w:w="1775" w:type="dxa"/>
            <w:vMerge/>
            <w:tcBorders>
              <w:top w:val="nil"/>
              <w:left w:val="single" w:sz="4" w:space="0" w:color="auto"/>
              <w:bottom w:val="single" w:sz="4" w:space="0" w:color="auto"/>
              <w:right w:val="single" w:sz="4" w:space="0" w:color="auto"/>
            </w:tcBorders>
            <w:vAlign w:val="center"/>
          </w:tcPr>
          <w:p w14:paraId="460F292D" w14:textId="77777777" w:rsidR="0099088D" w:rsidRPr="002636AA" w:rsidRDefault="0099088D" w:rsidP="0099088D">
            <w:pPr>
              <w:rPr>
                <w:color w:val="000000"/>
              </w:rPr>
            </w:pPr>
          </w:p>
        </w:tc>
        <w:tc>
          <w:tcPr>
            <w:tcW w:w="2466" w:type="dxa"/>
            <w:tcBorders>
              <w:top w:val="single" w:sz="4" w:space="0" w:color="auto"/>
              <w:bottom w:val="single" w:sz="4" w:space="0" w:color="auto"/>
              <w:right w:val="single" w:sz="4" w:space="0" w:color="auto"/>
            </w:tcBorders>
            <w:shd w:val="clear" w:color="000000" w:fill="auto"/>
          </w:tcPr>
          <w:p w14:paraId="4EAB8EA5" w14:textId="77777777" w:rsidR="0099088D" w:rsidRPr="002636AA" w:rsidRDefault="0099088D" w:rsidP="0099088D">
            <w:pPr>
              <w:jc w:val="center"/>
              <w:rPr>
                <w:color w:val="000000"/>
              </w:rPr>
            </w:pPr>
            <w:r w:rsidRPr="002636AA">
              <w:rPr>
                <w:color w:val="000000"/>
              </w:rPr>
              <w:t>5 088 706</w:t>
            </w:r>
          </w:p>
        </w:tc>
      </w:tr>
      <w:tr w:rsidR="0099088D" w:rsidRPr="002636AA" w14:paraId="6E628FCF" w14:textId="77777777" w:rsidTr="0099088D">
        <w:trPr>
          <w:gridAfter w:val="1"/>
          <w:wAfter w:w="6" w:type="dxa"/>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6ACCA815" w14:textId="77777777" w:rsidR="0099088D" w:rsidRPr="002636AA" w:rsidRDefault="0099088D" w:rsidP="0099088D">
            <w:pPr>
              <w:jc w:val="center"/>
            </w:pPr>
            <w:r w:rsidRPr="002636AA">
              <w:t>1.1.1.8.</w:t>
            </w:r>
          </w:p>
        </w:tc>
        <w:tc>
          <w:tcPr>
            <w:tcW w:w="4111" w:type="dxa"/>
            <w:tcBorders>
              <w:top w:val="nil"/>
              <w:left w:val="nil"/>
              <w:bottom w:val="single" w:sz="4" w:space="0" w:color="auto"/>
              <w:right w:val="single" w:sz="4" w:space="0" w:color="auto"/>
            </w:tcBorders>
            <w:shd w:val="clear" w:color="auto" w:fill="auto"/>
            <w:vAlign w:val="center"/>
            <w:hideMark/>
          </w:tcPr>
          <w:p w14:paraId="48592CC8" w14:textId="77777777" w:rsidR="0099088D" w:rsidRPr="002636AA" w:rsidRDefault="0099088D" w:rsidP="0099088D">
            <w:pPr>
              <w:rPr>
                <w:color w:val="000000"/>
              </w:rPr>
            </w:pPr>
            <w:r w:rsidRPr="002636AA">
              <w:rPr>
                <w:color w:val="000000"/>
              </w:rPr>
              <w:t>5001 м и более</w:t>
            </w:r>
          </w:p>
        </w:tc>
        <w:tc>
          <w:tcPr>
            <w:tcW w:w="1775" w:type="dxa"/>
            <w:vMerge/>
            <w:tcBorders>
              <w:top w:val="nil"/>
              <w:left w:val="single" w:sz="4" w:space="0" w:color="auto"/>
              <w:bottom w:val="single" w:sz="4" w:space="0" w:color="auto"/>
              <w:right w:val="single" w:sz="4" w:space="0" w:color="auto"/>
            </w:tcBorders>
            <w:vAlign w:val="center"/>
            <w:hideMark/>
          </w:tcPr>
          <w:p w14:paraId="2017D7F0" w14:textId="77777777" w:rsidR="0099088D" w:rsidRPr="002636AA" w:rsidRDefault="0099088D" w:rsidP="0099088D">
            <w:pPr>
              <w:rPr>
                <w:color w:val="000000"/>
              </w:rPr>
            </w:pPr>
          </w:p>
        </w:tc>
        <w:tc>
          <w:tcPr>
            <w:tcW w:w="2466" w:type="dxa"/>
            <w:tcBorders>
              <w:top w:val="single" w:sz="4" w:space="0" w:color="auto"/>
              <w:bottom w:val="single" w:sz="4" w:space="0" w:color="auto"/>
              <w:right w:val="single" w:sz="4" w:space="0" w:color="auto"/>
            </w:tcBorders>
            <w:shd w:val="clear" w:color="000000" w:fill="auto"/>
            <w:hideMark/>
          </w:tcPr>
          <w:p w14:paraId="4DC3DF83" w14:textId="77777777" w:rsidR="0099088D" w:rsidRPr="002636AA" w:rsidRDefault="0099088D" w:rsidP="0099088D">
            <w:pPr>
              <w:jc w:val="center"/>
              <w:rPr>
                <w:color w:val="000000"/>
              </w:rPr>
            </w:pPr>
            <w:r w:rsidRPr="002636AA">
              <w:rPr>
                <w:color w:val="000000"/>
              </w:rPr>
              <w:t>5 392 348</w:t>
            </w:r>
          </w:p>
        </w:tc>
      </w:tr>
      <w:tr w:rsidR="0099088D" w:rsidRPr="002636AA" w14:paraId="4AB81288" w14:textId="77777777" w:rsidTr="0099088D">
        <w:trPr>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5633F5A1" w14:textId="77777777" w:rsidR="0099088D" w:rsidRPr="002636AA" w:rsidRDefault="0099088D" w:rsidP="0099088D">
            <w:pPr>
              <w:jc w:val="center"/>
            </w:pPr>
            <w:r w:rsidRPr="002636AA">
              <w:t>1.1.2.</w:t>
            </w:r>
          </w:p>
        </w:tc>
        <w:tc>
          <w:tcPr>
            <w:tcW w:w="8358" w:type="dxa"/>
            <w:gridSpan w:val="4"/>
            <w:tcBorders>
              <w:top w:val="single" w:sz="4" w:space="0" w:color="auto"/>
              <w:left w:val="nil"/>
              <w:bottom w:val="single" w:sz="4" w:space="0" w:color="auto"/>
              <w:right w:val="single" w:sz="4" w:space="0" w:color="auto"/>
            </w:tcBorders>
            <w:shd w:val="clear" w:color="auto" w:fill="auto"/>
            <w:vAlign w:val="center"/>
            <w:hideMark/>
          </w:tcPr>
          <w:p w14:paraId="2262FE07" w14:textId="77777777" w:rsidR="0099088D" w:rsidRPr="002636AA" w:rsidRDefault="0099088D" w:rsidP="0099088D">
            <w:pPr>
              <w:rPr>
                <w:color w:val="000000"/>
              </w:rPr>
            </w:pPr>
            <w:r w:rsidRPr="002636AA">
              <w:rPr>
                <w:color w:val="000000"/>
              </w:rPr>
              <w:t>наружным диаметром 100 мм и более, протяженностью:</w:t>
            </w:r>
          </w:p>
        </w:tc>
      </w:tr>
      <w:tr w:rsidR="0099088D" w:rsidRPr="002636AA" w14:paraId="4540D902" w14:textId="77777777" w:rsidTr="0099088D">
        <w:trPr>
          <w:gridAfter w:val="1"/>
          <w:wAfter w:w="6" w:type="dxa"/>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12ABC9E5" w14:textId="77777777" w:rsidR="0099088D" w:rsidRPr="002636AA" w:rsidRDefault="0099088D" w:rsidP="0099088D">
            <w:pPr>
              <w:jc w:val="center"/>
            </w:pPr>
            <w:r w:rsidRPr="002636AA">
              <w:t>1.1.2.1.</w:t>
            </w:r>
          </w:p>
        </w:tc>
        <w:tc>
          <w:tcPr>
            <w:tcW w:w="4111" w:type="dxa"/>
            <w:tcBorders>
              <w:top w:val="nil"/>
              <w:left w:val="nil"/>
              <w:bottom w:val="single" w:sz="4" w:space="0" w:color="auto"/>
              <w:right w:val="single" w:sz="4" w:space="0" w:color="auto"/>
            </w:tcBorders>
            <w:shd w:val="clear" w:color="auto" w:fill="auto"/>
            <w:vAlign w:val="center"/>
            <w:hideMark/>
          </w:tcPr>
          <w:p w14:paraId="636D0B8A" w14:textId="77777777" w:rsidR="0099088D" w:rsidRPr="002636AA" w:rsidRDefault="0099088D" w:rsidP="0099088D">
            <w:pPr>
              <w:rPr>
                <w:color w:val="000000"/>
              </w:rPr>
            </w:pPr>
            <w:r w:rsidRPr="002636AA">
              <w:rPr>
                <w:color w:val="000000"/>
              </w:rPr>
              <w:t>до 100 м</w:t>
            </w:r>
          </w:p>
        </w:tc>
        <w:tc>
          <w:tcPr>
            <w:tcW w:w="1775" w:type="dxa"/>
            <w:vMerge w:val="restart"/>
            <w:tcBorders>
              <w:top w:val="nil"/>
              <w:left w:val="single" w:sz="4" w:space="0" w:color="auto"/>
              <w:bottom w:val="single" w:sz="4" w:space="0" w:color="auto"/>
              <w:right w:val="single" w:sz="4" w:space="0" w:color="auto"/>
            </w:tcBorders>
            <w:shd w:val="clear" w:color="auto" w:fill="auto"/>
            <w:vAlign w:val="center"/>
            <w:hideMark/>
          </w:tcPr>
          <w:p w14:paraId="6960938F" w14:textId="77777777" w:rsidR="0099088D" w:rsidRPr="002636AA" w:rsidRDefault="0099088D" w:rsidP="0099088D">
            <w:pPr>
              <w:jc w:val="center"/>
              <w:rPr>
                <w:color w:val="000000"/>
              </w:rPr>
            </w:pPr>
            <w:r w:rsidRPr="002636AA">
              <w:rPr>
                <w:color w:val="000000"/>
              </w:rPr>
              <w:t>руб.</w:t>
            </w:r>
            <w:r w:rsidRPr="002636AA">
              <w:rPr>
                <w:color w:val="2D2D2D"/>
              </w:rPr>
              <w:t xml:space="preserve"> за 1 присоединение</w:t>
            </w:r>
          </w:p>
        </w:tc>
        <w:tc>
          <w:tcPr>
            <w:tcW w:w="2466" w:type="dxa"/>
            <w:tcBorders>
              <w:top w:val="single" w:sz="4" w:space="0" w:color="auto"/>
              <w:bottom w:val="single" w:sz="4" w:space="0" w:color="auto"/>
              <w:right w:val="single" w:sz="4" w:space="0" w:color="auto"/>
            </w:tcBorders>
            <w:shd w:val="clear" w:color="auto" w:fill="auto"/>
            <w:hideMark/>
          </w:tcPr>
          <w:p w14:paraId="3909BA67" w14:textId="77777777" w:rsidR="0099088D" w:rsidRPr="002636AA" w:rsidRDefault="0099088D" w:rsidP="0099088D">
            <w:pPr>
              <w:jc w:val="center"/>
              <w:rPr>
                <w:color w:val="000000"/>
              </w:rPr>
            </w:pPr>
            <w:r w:rsidRPr="002636AA">
              <w:rPr>
                <w:color w:val="000000"/>
              </w:rPr>
              <w:t>267 818</w:t>
            </w:r>
          </w:p>
        </w:tc>
      </w:tr>
      <w:tr w:rsidR="0099088D" w:rsidRPr="002636AA" w14:paraId="684B91E9" w14:textId="77777777" w:rsidTr="0099088D">
        <w:trPr>
          <w:gridAfter w:val="1"/>
          <w:wAfter w:w="6" w:type="dxa"/>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63D20887" w14:textId="77777777" w:rsidR="0099088D" w:rsidRPr="002636AA" w:rsidRDefault="0099088D" w:rsidP="0099088D">
            <w:pPr>
              <w:jc w:val="center"/>
            </w:pPr>
            <w:r w:rsidRPr="002636AA">
              <w:t>1.1.2.2.</w:t>
            </w:r>
          </w:p>
        </w:tc>
        <w:tc>
          <w:tcPr>
            <w:tcW w:w="4111" w:type="dxa"/>
            <w:tcBorders>
              <w:top w:val="nil"/>
              <w:left w:val="nil"/>
              <w:bottom w:val="single" w:sz="4" w:space="0" w:color="auto"/>
              <w:right w:val="single" w:sz="4" w:space="0" w:color="auto"/>
            </w:tcBorders>
            <w:shd w:val="clear" w:color="auto" w:fill="auto"/>
            <w:vAlign w:val="center"/>
            <w:hideMark/>
          </w:tcPr>
          <w:p w14:paraId="0B9E04FA" w14:textId="77777777" w:rsidR="0099088D" w:rsidRPr="002636AA" w:rsidRDefault="0099088D" w:rsidP="0099088D">
            <w:pPr>
              <w:rPr>
                <w:color w:val="000000"/>
              </w:rPr>
            </w:pPr>
            <w:r w:rsidRPr="002636AA">
              <w:rPr>
                <w:color w:val="000000"/>
              </w:rPr>
              <w:t>101-500 м</w:t>
            </w:r>
          </w:p>
        </w:tc>
        <w:tc>
          <w:tcPr>
            <w:tcW w:w="1775" w:type="dxa"/>
            <w:vMerge/>
            <w:tcBorders>
              <w:top w:val="nil"/>
              <w:left w:val="single" w:sz="4" w:space="0" w:color="auto"/>
              <w:bottom w:val="single" w:sz="4" w:space="0" w:color="auto"/>
              <w:right w:val="single" w:sz="4" w:space="0" w:color="auto"/>
            </w:tcBorders>
            <w:vAlign w:val="center"/>
            <w:hideMark/>
          </w:tcPr>
          <w:p w14:paraId="4831ADCE" w14:textId="77777777" w:rsidR="0099088D" w:rsidRPr="002636AA" w:rsidRDefault="0099088D" w:rsidP="0099088D">
            <w:pPr>
              <w:rPr>
                <w:color w:val="000000"/>
              </w:rPr>
            </w:pPr>
          </w:p>
        </w:tc>
        <w:tc>
          <w:tcPr>
            <w:tcW w:w="2466" w:type="dxa"/>
            <w:tcBorders>
              <w:top w:val="single" w:sz="4" w:space="0" w:color="auto"/>
              <w:bottom w:val="single" w:sz="4" w:space="0" w:color="auto"/>
              <w:right w:val="single" w:sz="4" w:space="0" w:color="auto"/>
            </w:tcBorders>
            <w:shd w:val="clear" w:color="auto" w:fill="auto"/>
            <w:hideMark/>
          </w:tcPr>
          <w:p w14:paraId="34E5A083" w14:textId="77777777" w:rsidR="0099088D" w:rsidRPr="002636AA" w:rsidRDefault="0099088D" w:rsidP="0099088D">
            <w:pPr>
              <w:jc w:val="center"/>
              <w:rPr>
                <w:color w:val="000000"/>
              </w:rPr>
            </w:pPr>
            <w:r w:rsidRPr="002636AA">
              <w:rPr>
                <w:color w:val="000000"/>
              </w:rPr>
              <w:t>276 673</w:t>
            </w:r>
          </w:p>
        </w:tc>
      </w:tr>
      <w:tr w:rsidR="0099088D" w:rsidRPr="002636AA" w14:paraId="198B5099" w14:textId="77777777" w:rsidTr="0099088D">
        <w:trPr>
          <w:gridAfter w:val="1"/>
          <w:wAfter w:w="6" w:type="dxa"/>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36298D0F" w14:textId="77777777" w:rsidR="0099088D" w:rsidRPr="002636AA" w:rsidRDefault="0099088D" w:rsidP="0099088D">
            <w:pPr>
              <w:jc w:val="center"/>
            </w:pPr>
            <w:r w:rsidRPr="002636AA">
              <w:t>1.1.2.3.</w:t>
            </w:r>
          </w:p>
        </w:tc>
        <w:tc>
          <w:tcPr>
            <w:tcW w:w="4111" w:type="dxa"/>
            <w:tcBorders>
              <w:top w:val="nil"/>
              <w:left w:val="nil"/>
              <w:bottom w:val="single" w:sz="4" w:space="0" w:color="auto"/>
              <w:right w:val="single" w:sz="4" w:space="0" w:color="auto"/>
            </w:tcBorders>
            <w:shd w:val="clear" w:color="auto" w:fill="auto"/>
            <w:vAlign w:val="center"/>
            <w:hideMark/>
          </w:tcPr>
          <w:p w14:paraId="73154420" w14:textId="77777777" w:rsidR="0099088D" w:rsidRPr="002636AA" w:rsidRDefault="0099088D" w:rsidP="0099088D">
            <w:pPr>
              <w:rPr>
                <w:color w:val="000000"/>
              </w:rPr>
            </w:pPr>
            <w:r w:rsidRPr="002636AA">
              <w:rPr>
                <w:color w:val="000000"/>
              </w:rPr>
              <w:t>501-1000 м</w:t>
            </w:r>
          </w:p>
        </w:tc>
        <w:tc>
          <w:tcPr>
            <w:tcW w:w="1775" w:type="dxa"/>
            <w:vMerge/>
            <w:tcBorders>
              <w:top w:val="nil"/>
              <w:left w:val="single" w:sz="4" w:space="0" w:color="auto"/>
              <w:bottom w:val="single" w:sz="4" w:space="0" w:color="auto"/>
              <w:right w:val="single" w:sz="4" w:space="0" w:color="auto"/>
            </w:tcBorders>
            <w:vAlign w:val="center"/>
            <w:hideMark/>
          </w:tcPr>
          <w:p w14:paraId="11E36B00" w14:textId="77777777" w:rsidR="0099088D" w:rsidRPr="002636AA" w:rsidRDefault="0099088D" w:rsidP="0099088D">
            <w:pPr>
              <w:rPr>
                <w:color w:val="000000"/>
              </w:rPr>
            </w:pPr>
          </w:p>
        </w:tc>
        <w:tc>
          <w:tcPr>
            <w:tcW w:w="2466" w:type="dxa"/>
            <w:tcBorders>
              <w:top w:val="single" w:sz="4" w:space="0" w:color="auto"/>
              <w:bottom w:val="single" w:sz="4" w:space="0" w:color="auto"/>
              <w:right w:val="single" w:sz="4" w:space="0" w:color="auto"/>
            </w:tcBorders>
            <w:shd w:val="clear" w:color="000000" w:fill="auto"/>
            <w:hideMark/>
          </w:tcPr>
          <w:p w14:paraId="5C8C9DB7" w14:textId="77777777" w:rsidR="0099088D" w:rsidRPr="002636AA" w:rsidRDefault="0099088D" w:rsidP="0099088D">
            <w:pPr>
              <w:jc w:val="center"/>
              <w:rPr>
                <w:color w:val="000000"/>
              </w:rPr>
            </w:pPr>
            <w:r w:rsidRPr="002636AA">
              <w:rPr>
                <w:color w:val="000000"/>
              </w:rPr>
              <w:t>1 768 526</w:t>
            </w:r>
          </w:p>
        </w:tc>
      </w:tr>
      <w:tr w:rsidR="0099088D" w:rsidRPr="002636AA" w14:paraId="5C1B0D54" w14:textId="77777777" w:rsidTr="0099088D">
        <w:trPr>
          <w:gridAfter w:val="1"/>
          <w:wAfter w:w="6" w:type="dxa"/>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109FAC44" w14:textId="77777777" w:rsidR="0099088D" w:rsidRPr="002636AA" w:rsidRDefault="0099088D" w:rsidP="0099088D">
            <w:pPr>
              <w:jc w:val="center"/>
            </w:pPr>
            <w:r w:rsidRPr="002636AA">
              <w:t>1.1.2.4.</w:t>
            </w:r>
          </w:p>
        </w:tc>
        <w:tc>
          <w:tcPr>
            <w:tcW w:w="4111" w:type="dxa"/>
            <w:tcBorders>
              <w:top w:val="nil"/>
              <w:left w:val="nil"/>
              <w:bottom w:val="single" w:sz="4" w:space="0" w:color="auto"/>
              <w:right w:val="single" w:sz="4" w:space="0" w:color="auto"/>
            </w:tcBorders>
            <w:shd w:val="clear" w:color="auto" w:fill="auto"/>
            <w:vAlign w:val="center"/>
            <w:hideMark/>
          </w:tcPr>
          <w:p w14:paraId="58A06666" w14:textId="77777777" w:rsidR="0099088D" w:rsidRPr="002636AA" w:rsidRDefault="0099088D" w:rsidP="0099088D">
            <w:pPr>
              <w:rPr>
                <w:color w:val="000000"/>
              </w:rPr>
            </w:pPr>
            <w:r w:rsidRPr="002636AA">
              <w:rPr>
                <w:color w:val="000000"/>
              </w:rPr>
              <w:t>1001-2000 м</w:t>
            </w:r>
          </w:p>
        </w:tc>
        <w:tc>
          <w:tcPr>
            <w:tcW w:w="1775" w:type="dxa"/>
            <w:vMerge/>
            <w:tcBorders>
              <w:top w:val="nil"/>
              <w:left w:val="single" w:sz="4" w:space="0" w:color="auto"/>
              <w:bottom w:val="single" w:sz="4" w:space="0" w:color="auto"/>
              <w:right w:val="single" w:sz="4" w:space="0" w:color="auto"/>
            </w:tcBorders>
            <w:vAlign w:val="center"/>
            <w:hideMark/>
          </w:tcPr>
          <w:p w14:paraId="1C852BA7" w14:textId="77777777" w:rsidR="0099088D" w:rsidRPr="002636AA" w:rsidRDefault="0099088D" w:rsidP="0099088D">
            <w:pPr>
              <w:rPr>
                <w:color w:val="000000"/>
              </w:rPr>
            </w:pPr>
          </w:p>
        </w:tc>
        <w:tc>
          <w:tcPr>
            <w:tcW w:w="2466" w:type="dxa"/>
            <w:tcBorders>
              <w:top w:val="single" w:sz="4" w:space="0" w:color="auto"/>
              <w:bottom w:val="single" w:sz="4" w:space="0" w:color="auto"/>
              <w:right w:val="single" w:sz="4" w:space="0" w:color="auto"/>
            </w:tcBorders>
            <w:shd w:val="clear" w:color="000000" w:fill="auto"/>
            <w:hideMark/>
          </w:tcPr>
          <w:p w14:paraId="3BE85BEB" w14:textId="77777777" w:rsidR="0099088D" w:rsidRPr="002636AA" w:rsidRDefault="0099088D" w:rsidP="0099088D">
            <w:pPr>
              <w:jc w:val="center"/>
              <w:rPr>
                <w:color w:val="000000"/>
              </w:rPr>
            </w:pPr>
            <w:r w:rsidRPr="002636AA">
              <w:rPr>
                <w:color w:val="000000"/>
              </w:rPr>
              <w:t>2 546 338</w:t>
            </w:r>
          </w:p>
        </w:tc>
      </w:tr>
      <w:tr w:rsidR="0099088D" w:rsidRPr="002636AA" w14:paraId="642A9292" w14:textId="77777777" w:rsidTr="0099088D">
        <w:trPr>
          <w:gridAfter w:val="1"/>
          <w:wAfter w:w="6" w:type="dxa"/>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14DB29E2" w14:textId="77777777" w:rsidR="0099088D" w:rsidRPr="002636AA" w:rsidRDefault="0099088D" w:rsidP="0099088D">
            <w:pPr>
              <w:jc w:val="center"/>
            </w:pPr>
            <w:r w:rsidRPr="002636AA">
              <w:t>1.1.2.5.</w:t>
            </w:r>
          </w:p>
        </w:tc>
        <w:tc>
          <w:tcPr>
            <w:tcW w:w="4111" w:type="dxa"/>
            <w:tcBorders>
              <w:top w:val="nil"/>
              <w:left w:val="nil"/>
              <w:bottom w:val="single" w:sz="4" w:space="0" w:color="auto"/>
              <w:right w:val="single" w:sz="4" w:space="0" w:color="auto"/>
            </w:tcBorders>
            <w:shd w:val="clear" w:color="auto" w:fill="auto"/>
            <w:vAlign w:val="center"/>
            <w:hideMark/>
          </w:tcPr>
          <w:p w14:paraId="36E278D3" w14:textId="77777777" w:rsidR="0099088D" w:rsidRPr="002636AA" w:rsidRDefault="0099088D" w:rsidP="0099088D">
            <w:pPr>
              <w:rPr>
                <w:color w:val="000000"/>
              </w:rPr>
            </w:pPr>
            <w:r w:rsidRPr="002636AA">
              <w:rPr>
                <w:color w:val="000000"/>
              </w:rPr>
              <w:t>2001-3000 м</w:t>
            </w:r>
          </w:p>
        </w:tc>
        <w:tc>
          <w:tcPr>
            <w:tcW w:w="1775" w:type="dxa"/>
            <w:vMerge/>
            <w:tcBorders>
              <w:top w:val="nil"/>
              <w:left w:val="single" w:sz="4" w:space="0" w:color="auto"/>
              <w:bottom w:val="single" w:sz="4" w:space="0" w:color="auto"/>
              <w:right w:val="single" w:sz="4" w:space="0" w:color="auto"/>
            </w:tcBorders>
            <w:vAlign w:val="center"/>
            <w:hideMark/>
          </w:tcPr>
          <w:p w14:paraId="2942198F" w14:textId="77777777" w:rsidR="0099088D" w:rsidRPr="002636AA" w:rsidRDefault="0099088D" w:rsidP="0099088D">
            <w:pPr>
              <w:rPr>
                <w:color w:val="000000"/>
              </w:rPr>
            </w:pPr>
          </w:p>
        </w:tc>
        <w:tc>
          <w:tcPr>
            <w:tcW w:w="2466" w:type="dxa"/>
            <w:tcBorders>
              <w:top w:val="single" w:sz="4" w:space="0" w:color="auto"/>
              <w:bottom w:val="single" w:sz="4" w:space="0" w:color="auto"/>
              <w:right w:val="single" w:sz="4" w:space="0" w:color="auto"/>
            </w:tcBorders>
            <w:shd w:val="clear" w:color="000000" w:fill="auto"/>
            <w:hideMark/>
          </w:tcPr>
          <w:p w14:paraId="67DB53CB" w14:textId="77777777" w:rsidR="0099088D" w:rsidRPr="002636AA" w:rsidRDefault="0099088D" w:rsidP="0099088D">
            <w:pPr>
              <w:jc w:val="center"/>
              <w:rPr>
                <w:color w:val="000000"/>
              </w:rPr>
            </w:pPr>
            <w:r w:rsidRPr="002636AA">
              <w:rPr>
                <w:color w:val="000000"/>
              </w:rPr>
              <w:t>3 463 981</w:t>
            </w:r>
          </w:p>
        </w:tc>
      </w:tr>
      <w:tr w:rsidR="0099088D" w:rsidRPr="002636AA" w14:paraId="06DB2597" w14:textId="77777777" w:rsidTr="0099088D">
        <w:trPr>
          <w:gridAfter w:val="1"/>
          <w:wAfter w:w="6" w:type="dxa"/>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5045E698" w14:textId="77777777" w:rsidR="0099088D" w:rsidRPr="002636AA" w:rsidRDefault="0099088D" w:rsidP="0099088D">
            <w:pPr>
              <w:jc w:val="center"/>
            </w:pPr>
            <w:r w:rsidRPr="002636AA">
              <w:t>1.1.2.6.</w:t>
            </w:r>
          </w:p>
        </w:tc>
        <w:tc>
          <w:tcPr>
            <w:tcW w:w="4111" w:type="dxa"/>
            <w:tcBorders>
              <w:top w:val="nil"/>
              <w:left w:val="nil"/>
              <w:bottom w:val="single" w:sz="4" w:space="0" w:color="auto"/>
              <w:right w:val="single" w:sz="4" w:space="0" w:color="auto"/>
            </w:tcBorders>
            <w:shd w:val="clear" w:color="auto" w:fill="auto"/>
            <w:vAlign w:val="center"/>
            <w:hideMark/>
          </w:tcPr>
          <w:p w14:paraId="24AC4337" w14:textId="77777777" w:rsidR="0099088D" w:rsidRPr="002636AA" w:rsidRDefault="0099088D" w:rsidP="0099088D">
            <w:pPr>
              <w:rPr>
                <w:color w:val="000000"/>
              </w:rPr>
            </w:pPr>
            <w:r w:rsidRPr="002636AA">
              <w:rPr>
                <w:color w:val="000000"/>
              </w:rPr>
              <w:t>3001-4000 м</w:t>
            </w:r>
          </w:p>
        </w:tc>
        <w:tc>
          <w:tcPr>
            <w:tcW w:w="1775" w:type="dxa"/>
            <w:vMerge/>
            <w:tcBorders>
              <w:top w:val="nil"/>
              <w:left w:val="single" w:sz="4" w:space="0" w:color="auto"/>
              <w:bottom w:val="single" w:sz="4" w:space="0" w:color="auto"/>
              <w:right w:val="single" w:sz="4" w:space="0" w:color="auto"/>
            </w:tcBorders>
            <w:vAlign w:val="center"/>
            <w:hideMark/>
          </w:tcPr>
          <w:p w14:paraId="7F9B6154" w14:textId="77777777" w:rsidR="0099088D" w:rsidRPr="002636AA" w:rsidRDefault="0099088D" w:rsidP="0099088D">
            <w:pPr>
              <w:rPr>
                <w:color w:val="000000"/>
              </w:rPr>
            </w:pPr>
          </w:p>
        </w:tc>
        <w:tc>
          <w:tcPr>
            <w:tcW w:w="2466" w:type="dxa"/>
            <w:tcBorders>
              <w:top w:val="single" w:sz="4" w:space="0" w:color="auto"/>
              <w:bottom w:val="single" w:sz="4" w:space="0" w:color="auto"/>
              <w:right w:val="single" w:sz="4" w:space="0" w:color="auto"/>
            </w:tcBorders>
            <w:shd w:val="clear" w:color="000000" w:fill="auto"/>
            <w:hideMark/>
          </w:tcPr>
          <w:p w14:paraId="06F1D73E" w14:textId="77777777" w:rsidR="0099088D" w:rsidRPr="002636AA" w:rsidRDefault="0099088D" w:rsidP="0099088D">
            <w:pPr>
              <w:jc w:val="center"/>
              <w:rPr>
                <w:color w:val="000000"/>
              </w:rPr>
            </w:pPr>
            <w:r w:rsidRPr="002636AA">
              <w:rPr>
                <w:color w:val="000000"/>
              </w:rPr>
              <w:t>4 273 442</w:t>
            </w:r>
          </w:p>
        </w:tc>
      </w:tr>
      <w:tr w:rsidR="0099088D" w:rsidRPr="002636AA" w14:paraId="1DAA024A" w14:textId="77777777" w:rsidTr="0099088D">
        <w:trPr>
          <w:gridAfter w:val="1"/>
          <w:wAfter w:w="6" w:type="dxa"/>
          <w:trHeight w:val="20"/>
        </w:trPr>
        <w:tc>
          <w:tcPr>
            <w:tcW w:w="1281" w:type="dxa"/>
            <w:tcBorders>
              <w:top w:val="nil"/>
              <w:left w:val="single" w:sz="4" w:space="0" w:color="auto"/>
              <w:bottom w:val="single" w:sz="4" w:space="0" w:color="auto"/>
              <w:right w:val="single" w:sz="4" w:space="0" w:color="auto"/>
            </w:tcBorders>
            <w:shd w:val="clear" w:color="auto" w:fill="auto"/>
            <w:vAlign w:val="center"/>
          </w:tcPr>
          <w:p w14:paraId="203DD0F3" w14:textId="77777777" w:rsidR="0099088D" w:rsidRPr="002636AA" w:rsidRDefault="0099088D" w:rsidP="0099088D">
            <w:pPr>
              <w:jc w:val="center"/>
            </w:pPr>
            <w:r w:rsidRPr="002636AA">
              <w:t>1.1.2.7.</w:t>
            </w:r>
          </w:p>
        </w:tc>
        <w:tc>
          <w:tcPr>
            <w:tcW w:w="4111" w:type="dxa"/>
            <w:tcBorders>
              <w:top w:val="nil"/>
              <w:left w:val="nil"/>
              <w:bottom w:val="single" w:sz="4" w:space="0" w:color="auto"/>
              <w:right w:val="single" w:sz="4" w:space="0" w:color="auto"/>
            </w:tcBorders>
            <w:shd w:val="clear" w:color="auto" w:fill="auto"/>
            <w:vAlign w:val="center"/>
          </w:tcPr>
          <w:p w14:paraId="7E85AB80" w14:textId="77777777" w:rsidR="0099088D" w:rsidRPr="002636AA" w:rsidRDefault="0099088D" w:rsidP="0099088D">
            <w:pPr>
              <w:rPr>
                <w:color w:val="000000"/>
              </w:rPr>
            </w:pPr>
            <w:r w:rsidRPr="002636AA">
              <w:rPr>
                <w:color w:val="000000"/>
              </w:rPr>
              <w:t>4001-5000 м</w:t>
            </w:r>
          </w:p>
        </w:tc>
        <w:tc>
          <w:tcPr>
            <w:tcW w:w="1775" w:type="dxa"/>
            <w:vMerge/>
            <w:tcBorders>
              <w:top w:val="nil"/>
              <w:left w:val="single" w:sz="4" w:space="0" w:color="auto"/>
              <w:bottom w:val="single" w:sz="4" w:space="0" w:color="auto"/>
              <w:right w:val="single" w:sz="4" w:space="0" w:color="auto"/>
            </w:tcBorders>
            <w:vAlign w:val="center"/>
          </w:tcPr>
          <w:p w14:paraId="69115AAA" w14:textId="77777777" w:rsidR="0099088D" w:rsidRPr="002636AA" w:rsidRDefault="0099088D" w:rsidP="0099088D">
            <w:pPr>
              <w:rPr>
                <w:color w:val="000000"/>
              </w:rPr>
            </w:pPr>
          </w:p>
        </w:tc>
        <w:tc>
          <w:tcPr>
            <w:tcW w:w="2466" w:type="dxa"/>
            <w:tcBorders>
              <w:top w:val="single" w:sz="4" w:space="0" w:color="auto"/>
              <w:bottom w:val="single" w:sz="4" w:space="0" w:color="auto"/>
              <w:right w:val="single" w:sz="4" w:space="0" w:color="auto"/>
            </w:tcBorders>
            <w:shd w:val="clear" w:color="000000" w:fill="auto"/>
          </w:tcPr>
          <w:p w14:paraId="59D00DB0" w14:textId="77777777" w:rsidR="0099088D" w:rsidRPr="002636AA" w:rsidRDefault="0099088D" w:rsidP="0099088D">
            <w:pPr>
              <w:jc w:val="center"/>
              <w:rPr>
                <w:color w:val="000000"/>
              </w:rPr>
            </w:pPr>
            <w:r w:rsidRPr="002636AA">
              <w:rPr>
                <w:color w:val="000000"/>
              </w:rPr>
              <w:t>5 088 706</w:t>
            </w:r>
          </w:p>
        </w:tc>
      </w:tr>
      <w:tr w:rsidR="0099088D" w:rsidRPr="002636AA" w14:paraId="36EDF4DF" w14:textId="77777777" w:rsidTr="0099088D">
        <w:trPr>
          <w:gridAfter w:val="1"/>
          <w:wAfter w:w="6" w:type="dxa"/>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1E269332" w14:textId="77777777" w:rsidR="0099088D" w:rsidRPr="002636AA" w:rsidRDefault="0099088D" w:rsidP="0099088D">
            <w:pPr>
              <w:jc w:val="center"/>
            </w:pPr>
            <w:r w:rsidRPr="002636AA">
              <w:t>1.1.2.8.</w:t>
            </w:r>
          </w:p>
        </w:tc>
        <w:tc>
          <w:tcPr>
            <w:tcW w:w="4111" w:type="dxa"/>
            <w:tcBorders>
              <w:top w:val="nil"/>
              <w:left w:val="nil"/>
              <w:bottom w:val="single" w:sz="4" w:space="0" w:color="auto"/>
              <w:right w:val="single" w:sz="4" w:space="0" w:color="auto"/>
            </w:tcBorders>
            <w:shd w:val="clear" w:color="auto" w:fill="auto"/>
            <w:vAlign w:val="center"/>
            <w:hideMark/>
          </w:tcPr>
          <w:p w14:paraId="48E9B57D" w14:textId="77777777" w:rsidR="0099088D" w:rsidRPr="002636AA" w:rsidRDefault="0099088D" w:rsidP="0099088D">
            <w:pPr>
              <w:rPr>
                <w:color w:val="000000"/>
              </w:rPr>
            </w:pPr>
            <w:r w:rsidRPr="002636AA">
              <w:rPr>
                <w:color w:val="000000"/>
              </w:rPr>
              <w:t>5001 м и более</w:t>
            </w:r>
          </w:p>
        </w:tc>
        <w:tc>
          <w:tcPr>
            <w:tcW w:w="1775" w:type="dxa"/>
            <w:vMerge/>
            <w:tcBorders>
              <w:top w:val="nil"/>
              <w:left w:val="single" w:sz="4" w:space="0" w:color="auto"/>
              <w:bottom w:val="single" w:sz="4" w:space="0" w:color="auto"/>
              <w:right w:val="single" w:sz="4" w:space="0" w:color="auto"/>
            </w:tcBorders>
            <w:vAlign w:val="center"/>
            <w:hideMark/>
          </w:tcPr>
          <w:p w14:paraId="48E44B76" w14:textId="77777777" w:rsidR="0099088D" w:rsidRPr="002636AA" w:rsidRDefault="0099088D" w:rsidP="0099088D">
            <w:pPr>
              <w:rPr>
                <w:color w:val="000000"/>
              </w:rPr>
            </w:pPr>
          </w:p>
        </w:tc>
        <w:tc>
          <w:tcPr>
            <w:tcW w:w="2466" w:type="dxa"/>
            <w:tcBorders>
              <w:top w:val="single" w:sz="4" w:space="0" w:color="auto"/>
              <w:bottom w:val="single" w:sz="4" w:space="0" w:color="auto"/>
              <w:right w:val="single" w:sz="4" w:space="0" w:color="auto"/>
            </w:tcBorders>
            <w:shd w:val="clear" w:color="000000" w:fill="auto"/>
            <w:hideMark/>
          </w:tcPr>
          <w:p w14:paraId="792FB98B" w14:textId="77777777" w:rsidR="0099088D" w:rsidRPr="002636AA" w:rsidRDefault="0099088D" w:rsidP="0099088D">
            <w:pPr>
              <w:jc w:val="center"/>
              <w:rPr>
                <w:color w:val="000000"/>
              </w:rPr>
            </w:pPr>
            <w:r w:rsidRPr="002636AA">
              <w:rPr>
                <w:color w:val="000000"/>
              </w:rPr>
              <w:t>5 392 348</w:t>
            </w:r>
          </w:p>
        </w:tc>
      </w:tr>
      <w:tr w:rsidR="0099088D" w:rsidRPr="002636AA" w14:paraId="1C57959F" w14:textId="77777777" w:rsidTr="0099088D">
        <w:trPr>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61D7CDBA" w14:textId="77777777" w:rsidR="0099088D" w:rsidRPr="002636AA" w:rsidRDefault="0099088D" w:rsidP="0099088D">
            <w:pPr>
              <w:jc w:val="center"/>
            </w:pPr>
            <w:r w:rsidRPr="002636AA">
              <w:t>1.2.</w:t>
            </w:r>
          </w:p>
        </w:tc>
        <w:tc>
          <w:tcPr>
            <w:tcW w:w="8358" w:type="dxa"/>
            <w:gridSpan w:val="4"/>
            <w:tcBorders>
              <w:top w:val="single" w:sz="4" w:space="0" w:color="auto"/>
              <w:left w:val="nil"/>
              <w:bottom w:val="single" w:sz="4" w:space="0" w:color="auto"/>
              <w:right w:val="single" w:sz="4" w:space="0" w:color="auto"/>
            </w:tcBorders>
            <w:shd w:val="clear" w:color="auto" w:fill="auto"/>
            <w:vAlign w:val="center"/>
            <w:hideMark/>
          </w:tcPr>
          <w:p w14:paraId="2EFC33AF" w14:textId="77777777" w:rsidR="0099088D" w:rsidRPr="002636AA" w:rsidRDefault="0099088D" w:rsidP="0099088D">
            <w:pPr>
              <w:rPr>
                <w:color w:val="000000"/>
              </w:rPr>
            </w:pPr>
            <w:r w:rsidRPr="002636AA">
              <w:rPr>
                <w:color w:val="000000"/>
              </w:rPr>
              <w:t>подземного способа прокладки:</w:t>
            </w:r>
          </w:p>
        </w:tc>
      </w:tr>
      <w:tr w:rsidR="0099088D" w:rsidRPr="002636AA" w14:paraId="3ED002B2" w14:textId="77777777" w:rsidTr="0099088D">
        <w:trPr>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6713AE74" w14:textId="77777777" w:rsidR="0099088D" w:rsidRPr="002636AA" w:rsidRDefault="0099088D" w:rsidP="0099088D">
            <w:pPr>
              <w:jc w:val="center"/>
            </w:pPr>
            <w:r w:rsidRPr="002636AA">
              <w:t>1.2.1.</w:t>
            </w:r>
          </w:p>
        </w:tc>
        <w:tc>
          <w:tcPr>
            <w:tcW w:w="8358" w:type="dxa"/>
            <w:gridSpan w:val="4"/>
            <w:tcBorders>
              <w:top w:val="single" w:sz="4" w:space="0" w:color="auto"/>
              <w:left w:val="nil"/>
              <w:bottom w:val="single" w:sz="4" w:space="0" w:color="auto"/>
              <w:right w:val="single" w:sz="4" w:space="0" w:color="auto"/>
            </w:tcBorders>
            <w:shd w:val="clear" w:color="auto" w:fill="auto"/>
            <w:vAlign w:val="center"/>
            <w:hideMark/>
          </w:tcPr>
          <w:p w14:paraId="79189318" w14:textId="77777777" w:rsidR="0099088D" w:rsidRPr="002636AA" w:rsidRDefault="0099088D" w:rsidP="0099088D">
            <w:pPr>
              <w:rPr>
                <w:color w:val="000000"/>
              </w:rPr>
            </w:pPr>
            <w:r w:rsidRPr="002636AA">
              <w:rPr>
                <w:color w:val="000000"/>
              </w:rPr>
              <w:t>наружным диаметром менее 100 мм, протяженностью:</w:t>
            </w:r>
          </w:p>
        </w:tc>
      </w:tr>
      <w:tr w:rsidR="0099088D" w:rsidRPr="002636AA" w14:paraId="190CDE08" w14:textId="77777777" w:rsidTr="0099088D">
        <w:trPr>
          <w:gridAfter w:val="1"/>
          <w:wAfter w:w="6" w:type="dxa"/>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4D042D9F" w14:textId="77777777" w:rsidR="0099088D" w:rsidRPr="002636AA" w:rsidRDefault="0099088D" w:rsidP="0099088D">
            <w:pPr>
              <w:jc w:val="center"/>
            </w:pPr>
            <w:r w:rsidRPr="002636AA">
              <w:t>1.2.1.1.</w:t>
            </w:r>
          </w:p>
        </w:tc>
        <w:tc>
          <w:tcPr>
            <w:tcW w:w="4111" w:type="dxa"/>
            <w:tcBorders>
              <w:top w:val="nil"/>
              <w:left w:val="nil"/>
              <w:bottom w:val="single" w:sz="4" w:space="0" w:color="auto"/>
              <w:right w:val="single" w:sz="4" w:space="0" w:color="auto"/>
            </w:tcBorders>
            <w:shd w:val="clear" w:color="auto" w:fill="auto"/>
            <w:vAlign w:val="center"/>
            <w:hideMark/>
          </w:tcPr>
          <w:p w14:paraId="34570720" w14:textId="77777777" w:rsidR="0099088D" w:rsidRPr="002636AA" w:rsidRDefault="0099088D" w:rsidP="0099088D">
            <w:pPr>
              <w:rPr>
                <w:color w:val="000000"/>
              </w:rPr>
            </w:pPr>
            <w:r w:rsidRPr="002636AA">
              <w:rPr>
                <w:color w:val="000000"/>
              </w:rPr>
              <w:t>до 100 м</w:t>
            </w:r>
          </w:p>
        </w:tc>
        <w:tc>
          <w:tcPr>
            <w:tcW w:w="1775" w:type="dxa"/>
            <w:vMerge w:val="restart"/>
            <w:tcBorders>
              <w:top w:val="nil"/>
              <w:left w:val="single" w:sz="4" w:space="0" w:color="auto"/>
              <w:bottom w:val="single" w:sz="4" w:space="0" w:color="auto"/>
              <w:right w:val="single" w:sz="4" w:space="0" w:color="auto"/>
            </w:tcBorders>
            <w:shd w:val="clear" w:color="auto" w:fill="auto"/>
            <w:vAlign w:val="center"/>
            <w:hideMark/>
          </w:tcPr>
          <w:p w14:paraId="09B932B7" w14:textId="77777777" w:rsidR="0099088D" w:rsidRPr="002636AA" w:rsidRDefault="0099088D" w:rsidP="0099088D">
            <w:pPr>
              <w:jc w:val="center"/>
              <w:rPr>
                <w:color w:val="000000"/>
              </w:rPr>
            </w:pPr>
            <w:r w:rsidRPr="002636AA">
              <w:rPr>
                <w:color w:val="000000"/>
              </w:rPr>
              <w:t>руб.</w:t>
            </w:r>
            <w:r w:rsidRPr="002636AA">
              <w:rPr>
                <w:color w:val="2D2D2D"/>
              </w:rPr>
              <w:t xml:space="preserve"> за 1 присоединение</w:t>
            </w: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20DB5306" w14:textId="77777777" w:rsidR="0099088D" w:rsidRPr="002636AA" w:rsidRDefault="0099088D" w:rsidP="0099088D">
            <w:pPr>
              <w:jc w:val="center"/>
              <w:rPr>
                <w:color w:val="000000"/>
              </w:rPr>
            </w:pPr>
            <w:r w:rsidRPr="002636AA">
              <w:rPr>
                <w:color w:val="000000"/>
              </w:rPr>
              <w:t>176 579</w:t>
            </w:r>
          </w:p>
        </w:tc>
      </w:tr>
      <w:tr w:rsidR="0099088D" w:rsidRPr="002636AA" w14:paraId="626C23DC" w14:textId="77777777" w:rsidTr="0099088D">
        <w:trPr>
          <w:gridAfter w:val="1"/>
          <w:wAfter w:w="6" w:type="dxa"/>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1DAE8C03" w14:textId="77777777" w:rsidR="0099088D" w:rsidRPr="002636AA" w:rsidRDefault="0099088D" w:rsidP="0099088D">
            <w:pPr>
              <w:jc w:val="center"/>
            </w:pPr>
            <w:r w:rsidRPr="002636AA">
              <w:t>1.2.1.2.</w:t>
            </w:r>
          </w:p>
        </w:tc>
        <w:tc>
          <w:tcPr>
            <w:tcW w:w="4111" w:type="dxa"/>
            <w:tcBorders>
              <w:top w:val="nil"/>
              <w:left w:val="nil"/>
              <w:bottom w:val="single" w:sz="4" w:space="0" w:color="auto"/>
              <w:right w:val="single" w:sz="4" w:space="0" w:color="auto"/>
            </w:tcBorders>
            <w:shd w:val="clear" w:color="auto" w:fill="auto"/>
            <w:vAlign w:val="center"/>
            <w:hideMark/>
          </w:tcPr>
          <w:p w14:paraId="4C3DFDEB" w14:textId="77777777" w:rsidR="0099088D" w:rsidRPr="002636AA" w:rsidRDefault="0099088D" w:rsidP="0099088D">
            <w:pPr>
              <w:rPr>
                <w:color w:val="000000"/>
              </w:rPr>
            </w:pPr>
            <w:r w:rsidRPr="002636AA">
              <w:rPr>
                <w:color w:val="000000"/>
              </w:rPr>
              <w:t>101-500 м</w:t>
            </w:r>
          </w:p>
        </w:tc>
        <w:tc>
          <w:tcPr>
            <w:tcW w:w="1775" w:type="dxa"/>
            <w:vMerge/>
            <w:tcBorders>
              <w:left w:val="single" w:sz="4" w:space="0" w:color="auto"/>
              <w:bottom w:val="single" w:sz="4" w:space="0" w:color="auto"/>
              <w:right w:val="single" w:sz="4" w:space="0" w:color="auto"/>
            </w:tcBorders>
            <w:vAlign w:val="center"/>
            <w:hideMark/>
          </w:tcPr>
          <w:p w14:paraId="01430E5F" w14:textId="77777777" w:rsidR="0099088D" w:rsidRPr="002636AA"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048AF881" w14:textId="77777777" w:rsidR="0099088D" w:rsidRPr="002636AA" w:rsidRDefault="0099088D" w:rsidP="0099088D">
            <w:pPr>
              <w:jc w:val="center"/>
              <w:rPr>
                <w:color w:val="000000"/>
              </w:rPr>
            </w:pPr>
            <w:r w:rsidRPr="002636AA">
              <w:rPr>
                <w:color w:val="000000"/>
              </w:rPr>
              <w:t>224 871</w:t>
            </w:r>
          </w:p>
        </w:tc>
      </w:tr>
      <w:tr w:rsidR="0099088D" w:rsidRPr="002636AA" w14:paraId="122D00E6" w14:textId="77777777" w:rsidTr="0099088D">
        <w:trPr>
          <w:gridAfter w:val="1"/>
          <w:wAfter w:w="6" w:type="dxa"/>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69A8A0B2" w14:textId="77777777" w:rsidR="0099088D" w:rsidRPr="002636AA" w:rsidRDefault="0099088D" w:rsidP="0099088D">
            <w:pPr>
              <w:jc w:val="center"/>
            </w:pPr>
            <w:r w:rsidRPr="002636AA">
              <w:t>1.2.1.3.</w:t>
            </w:r>
          </w:p>
        </w:tc>
        <w:tc>
          <w:tcPr>
            <w:tcW w:w="4111" w:type="dxa"/>
            <w:tcBorders>
              <w:top w:val="nil"/>
              <w:left w:val="nil"/>
              <w:bottom w:val="single" w:sz="4" w:space="0" w:color="auto"/>
              <w:right w:val="single" w:sz="4" w:space="0" w:color="auto"/>
            </w:tcBorders>
            <w:shd w:val="clear" w:color="auto" w:fill="auto"/>
            <w:vAlign w:val="center"/>
            <w:hideMark/>
          </w:tcPr>
          <w:p w14:paraId="0529AB3A" w14:textId="77777777" w:rsidR="0099088D" w:rsidRPr="002636AA" w:rsidRDefault="0099088D" w:rsidP="0099088D">
            <w:pPr>
              <w:rPr>
                <w:color w:val="000000"/>
              </w:rPr>
            </w:pPr>
            <w:r w:rsidRPr="002636AA">
              <w:rPr>
                <w:color w:val="000000"/>
              </w:rPr>
              <w:t>501-1000 м</w:t>
            </w:r>
          </w:p>
        </w:tc>
        <w:tc>
          <w:tcPr>
            <w:tcW w:w="1775" w:type="dxa"/>
            <w:vMerge/>
            <w:tcBorders>
              <w:left w:val="single" w:sz="4" w:space="0" w:color="auto"/>
              <w:bottom w:val="single" w:sz="4" w:space="0" w:color="auto"/>
              <w:right w:val="single" w:sz="4" w:space="0" w:color="auto"/>
            </w:tcBorders>
            <w:vAlign w:val="center"/>
            <w:hideMark/>
          </w:tcPr>
          <w:p w14:paraId="2A9A8C64" w14:textId="77777777" w:rsidR="0099088D" w:rsidRPr="002636AA"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06089446" w14:textId="77777777" w:rsidR="0099088D" w:rsidRPr="002636AA" w:rsidRDefault="0099088D" w:rsidP="0099088D">
            <w:pPr>
              <w:jc w:val="center"/>
              <w:rPr>
                <w:color w:val="000000"/>
              </w:rPr>
            </w:pPr>
            <w:r w:rsidRPr="002636AA">
              <w:rPr>
                <w:color w:val="000000"/>
              </w:rPr>
              <w:t>1 768 526</w:t>
            </w:r>
          </w:p>
        </w:tc>
      </w:tr>
      <w:tr w:rsidR="0099088D" w:rsidRPr="002636AA" w14:paraId="526EE0D1" w14:textId="77777777" w:rsidTr="0099088D">
        <w:trPr>
          <w:gridAfter w:val="1"/>
          <w:wAfter w:w="6" w:type="dxa"/>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63882542" w14:textId="77777777" w:rsidR="0099088D" w:rsidRPr="002636AA" w:rsidRDefault="0099088D" w:rsidP="0099088D">
            <w:pPr>
              <w:jc w:val="center"/>
            </w:pPr>
            <w:r w:rsidRPr="002636AA">
              <w:t>1.2.1.4.</w:t>
            </w:r>
          </w:p>
        </w:tc>
        <w:tc>
          <w:tcPr>
            <w:tcW w:w="4111" w:type="dxa"/>
            <w:tcBorders>
              <w:top w:val="nil"/>
              <w:left w:val="nil"/>
              <w:bottom w:val="single" w:sz="4" w:space="0" w:color="auto"/>
              <w:right w:val="single" w:sz="4" w:space="0" w:color="auto"/>
            </w:tcBorders>
            <w:shd w:val="clear" w:color="auto" w:fill="auto"/>
            <w:vAlign w:val="center"/>
            <w:hideMark/>
          </w:tcPr>
          <w:p w14:paraId="790A4D88" w14:textId="77777777" w:rsidR="0099088D" w:rsidRPr="002636AA" w:rsidRDefault="0099088D" w:rsidP="0099088D">
            <w:pPr>
              <w:rPr>
                <w:color w:val="000000"/>
              </w:rPr>
            </w:pPr>
            <w:r w:rsidRPr="002636AA">
              <w:rPr>
                <w:color w:val="000000"/>
              </w:rPr>
              <w:t>1001-2000 м</w:t>
            </w:r>
          </w:p>
        </w:tc>
        <w:tc>
          <w:tcPr>
            <w:tcW w:w="1775" w:type="dxa"/>
            <w:vMerge/>
            <w:tcBorders>
              <w:left w:val="single" w:sz="4" w:space="0" w:color="auto"/>
              <w:bottom w:val="single" w:sz="4" w:space="0" w:color="auto"/>
              <w:right w:val="single" w:sz="4" w:space="0" w:color="auto"/>
            </w:tcBorders>
            <w:vAlign w:val="center"/>
            <w:hideMark/>
          </w:tcPr>
          <w:p w14:paraId="1B4D6494" w14:textId="77777777" w:rsidR="0099088D" w:rsidRPr="002636AA"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03183326" w14:textId="77777777" w:rsidR="0099088D" w:rsidRPr="002636AA" w:rsidRDefault="0099088D" w:rsidP="0099088D">
            <w:pPr>
              <w:jc w:val="center"/>
              <w:rPr>
                <w:color w:val="000000"/>
              </w:rPr>
            </w:pPr>
            <w:r w:rsidRPr="002636AA">
              <w:rPr>
                <w:color w:val="000000"/>
              </w:rPr>
              <w:t>2 546 338</w:t>
            </w:r>
          </w:p>
        </w:tc>
      </w:tr>
      <w:tr w:rsidR="0099088D" w:rsidRPr="002636AA" w14:paraId="375A3D86" w14:textId="77777777" w:rsidTr="0099088D">
        <w:trPr>
          <w:gridAfter w:val="1"/>
          <w:wAfter w:w="6" w:type="dxa"/>
          <w:trHeight w:val="20"/>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B38B9F" w14:textId="77777777" w:rsidR="0099088D" w:rsidRPr="002636AA" w:rsidRDefault="0099088D" w:rsidP="0099088D">
            <w:pPr>
              <w:jc w:val="center"/>
            </w:pPr>
            <w:r w:rsidRPr="002636AA">
              <w:t>1.2.1.5.</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3D000723" w14:textId="77777777" w:rsidR="0099088D" w:rsidRPr="002636AA" w:rsidRDefault="0099088D" w:rsidP="0099088D">
            <w:pPr>
              <w:rPr>
                <w:color w:val="000000"/>
              </w:rPr>
            </w:pPr>
            <w:r w:rsidRPr="002636AA">
              <w:rPr>
                <w:color w:val="000000"/>
              </w:rPr>
              <w:t>2001-3000 м</w:t>
            </w:r>
          </w:p>
        </w:tc>
        <w:tc>
          <w:tcPr>
            <w:tcW w:w="1775" w:type="dxa"/>
            <w:vMerge/>
            <w:tcBorders>
              <w:left w:val="single" w:sz="4" w:space="0" w:color="auto"/>
              <w:bottom w:val="single" w:sz="4" w:space="0" w:color="auto"/>
              <w:right w:val="single" w:sz="4" w:space="0" w:color="auto"/>
            </w:tcBorders>
            <w:vAlign w:val="center"/>
            <w:hideMark/>
          </w:tcPr>
          <w:p w14:paraId="451EA248" w14:textId="77777777" w:rsidR="0099088D" w:rsidRPr="002636AA"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43448976" w14:textId="77777777" w:rsidR="0099088D" w:rsidRPr="002636AA" w:rsidRDefault="0099088D" w:rsidP="0099088D">
            <w:pPr>
              <w:jc w:val="center"/>
              <w:rPr>
                <w:color w:val="000000"/>
              </w:rPr>
            </w:pPr>
            <w:r w:rsidRPr="002636AA">
              <w:rPr>
                <w:color w:val="000000"/>
              </w:rPr>
              <w:t>3 463 981</w:t>
            </w:r>
          </w:p>
        </w:tc>
      </w:tr>
      <w:tr w:rsidR="0099088D" w:rsidRPr="002636AA" w14:paraId="1CC45DC8" w14:textId="77777777" w:rsidTr="0099088D">
        <w:trPr>
          <w:gridAfter w:val="1"/>
          <w:wAfter w:w="6" w:type="dxa"/>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1BF7065D" w14:textId="77777777" w:rsidR="0099088D" w:rsidRPr="002636AA" w:rsidRDefault="0099088D" w:rsidP="0099088D">
            <w:pPr>
              <w:jc w:val="center"/>
            </w:pPr>
            <w:r w:rsidRPr="002636AA">
              <w:t>1.2.1.6.</w:t>
            </w:r>
          </w:p>
        </w:tc>
        <w:tc>
          <w:tcPr>
            <w:tcW w:w="4111" w:type="dxa"/>
            <w:tcBorders>
              <w:top w:val="nil"/>
              <w:left w:val="nil"/>
              <w:bottom w:val="single" w:sz="4" w:space="0" w:color="auto"/>
              <w:right w:val="single" w:sz="4" w:space="0" w:color="auto"/>
            </w:tcBorders>
            <w:shd w:val="clear" w:color="auto" w:fill="auto"/>
            <w:vAlign w:val="center"/>
            <w:hideMark/>
          </w:tcPr>
          <w:p w14:paraId="6EBBD89A" w14:textId="77777777" w:rsidR="0099088D" w:rsidRPr="002636AA" w:rsidRDefault="0099088D" w:rsidP="0099088D">
            <w:pPr>
              <w:rPr>
                <w:color w:val="000000"/>
              </w:rPr>
            </w:pPr>
            <w:r w:rsidRPr="002636AA">
              <w:rPr>
                <w:color w:val="000000"/>
              </w:rPr>
              <w:t>3001-4000 м</w:t>
            </w:r>
          </w:p>
        </w:tc>
        <w:tc>
          <w:tcPr>
            <w:tcW w:w="1775" w:type="dxa"/>
            <w:vMerge/>
            <w:tcBorders>
              <w:left w:val="single" w:sz="4" w:space="0" w:color="auto"/>
              <w:bottom w:val="single" w:sz="4" w:space="0" w:color="auto"/>
              <w:right w:val="single" w:sz="4" w:space="0" w:color="auto"/>
            </w:tcBorders>
            <w:vAlign w:val="center"/>
            <w:hideMark/>
          </w:tcPr>
          <w:p w14:paraId="37717C57" w14:textId="77777777" w:rsidR="0099088D" w:rsidRPr="002636AA"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17BBDAC4" w14:textId="77777777" w:rsidR="0099088D" w:rsidRPr="002636AA" w:rsidRDefault="0099088D" w:rsidP="0099088D">
            <w:pPr>
              <w:jc w:val="center"/>
              <w:rPr>
                <w:color w:val="000000"/>
              </w:rPr>
            </w:pPr>
            <w:r w:rsidRPr="002636AA">
              <w:rPr>
                <w:color w:val="000000"/>
              </w:rPr>
              <w:t>4 273 442</w:t>
            </w:r>
          </w:p>
        </w:tc>
      </w:tr>
      <w:tr w:rsidR="0099088D" w:rsidRPr="002636AA" w14:paraId="3B94DFC0" w14:textId="77777777" w:rsidTr="0099088D">
        <w:trPr>
          <w:gridAfter w:val="1"/>
          <w:wAfter w:w="6" w:type="dxa"/>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344E8D8F" w14:textId="77777777" w:rsidR="0099088D" w:rsidRPr="002636AA" w:rsidRDefault="0099088D" w:rsidP="0099088D">
            <w:pPr>
              <w:jc w:val="center"/>
            </w:pPr>
            <w:r w:rsidRPr="002636AA">
              <w:t>1.2.1.7.</w:t>
            </w:r>
          </w:p>
        </w:tc>
        <w:tc>
          <w:tcPr>
            <w:tcW w:w="4111" w:type="dxa"/>
            <w:tcBorders>
              <w:top w:val="nil"/>
              <w:left w:val="nil"/>
              <w:bottom w:val="single" w:sz="4" w:space="0" w:color="auto"/>
              <w:right w:val="single" w:sz="4" w:space="0" w:color="auto"/>
            </w:tcBorders>
            <w:shd w:val="clear" w:color="auto" w:fill="auto"/>
            <w:vAlign w:val="center"/>
            <w:hideMark/>
          </w:tcPr>
          <w:p w14:paraId="449980DD" w14:textId="77777777" w:rsidR="0099088D" w:rsidRPr="002636AA" w:rsidRDefault="0099088D" w:rsidP="0099088D">
            <w:pPr>
              <w:rPr>
                <w:color w:val="000000"/>
              </w:rPr>
            </w:pPr>
            <w:r w:rsidRPr="002636AA">
              <w:rPr>
                <w:color w:val="000000"/>
              </w:rPr>
              <w:t>4001-5000 м</w:t>
            </w:r>
          </w:p>
        </w:tc>
        <w:tc>
          <w:tcPr>
            <w:tcW w:w="1775" w:type="dxa"/>
            <w:vMerge/>
            <w:tcBorders>
              <w:left w:val="single" w:sz="4" w:space="0" w:color="auto"/>
              <w:bottom w:val="single" w:sz="4" w:space="0" w:color="auto"/>
              <w:right w:val="single" w:sz="4" w:space="0" w:color="auto"/>
            </w:tcBorders>
            <w:vAlign w:val="center"/>
            <w:hideMark/>
          </w:tcPr>
          <w:p w14:paraId="4FF176ED" w14:textId="77777777" w:rsidR="0099088D" w:rsidRPr="002636AA"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7D6C375D" w14:textId="77777777" w:rsidR="0099088D" w:rsidRPr="002636AA" w:rsidRDefault="0099088D" w:rsidP="0099088D">
            <w:pPr>
              <w:jc w:val="center"/>
              <w:rPr>
                <w:color w:val="000000"/>
              </w:rPr>
            </w:pPr>
            <w:r w:rsidRPr="002636AA">
              <w:rPr>
                <w:color w:val="000000"/>
              </w:rPr>
              <w:t>5 088 706</w:t>
            </w:r>
          </w:p>
        </w:tc>
      </w:tr>
      <w:tr w:rsidR="0099088D" w:rsidRPr="002636AA" w14:paraId="7276F0A1" w14:textId="77777777" w:rsidTr="0099088D">
        <w:trPr>
          <w:gridAfter w:val="1"/>
          <w:wAfter w:w="6" w:type="dxa"/>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5958910E" w14:textId="77777777" w:rsidR="0099088D" w:rsidRPr="002636AA" w:rsidRDefault="0099088D" w:rsidP="0099088D">
            <w:pPr>
              <w:jc w:val="center"/>
            </w:pPr>
            <w:r w:rsidRPr="002636AA">
              <w:t>1.2.1.8.</w:t>
            </w:r>
          </w:p>
        </w:tc>
        <w:tc>
          <w:tcPr>
            <w:tcW w:w="4111" w:type="dxa"/>
            <w:tcBorders>
              <w:top w:val="nil"/>
              <w:left w:val="nil"/>
              <w:bottom w:val="single" w:sz="4" w:space="0" w:color="auto"/>
              <w:right w:val="single" w:sz="4" w:space="0" w:color="auto"/>
            </w:tcBorders>
            <w:shd w:val="clear" w:color="auto" w:fill="auto"/>
            <w:vAlign w:val="center"/>
            <w:hideMark/>
          </w:tcPr>
          <w:p w14:paraId="35C1AACA" w14:textId="77777777" w:rsidR="0099088D" w:rsidRPr="002636AA" w:rsidRDefault="0099088D" w:rsidP="0099088D">
            <w:pPr>
              <w:rPr>
                <w:color w:val="000000"/>
              </w:rPr>
            </w:pPr>
            <w:r w:rsidRPr="002636AA">
              <w:rPr>
                <w:color w:val="000000"/>
              </w:rPr>
              <w:t>5001 м и более</w:t>
            </w:r>
          </w:p>
        </w:tc>
        <w:tc>
          <w:tcPr>
            <w:tcW w:w="1775" w:type="dxa"/>
            <w:vMerge/>
            <w:tcBorders>
              <w:left w:val="single" w:sz="4" w:space="0" w:color="auto"/>
              <w:bottom w:val="single" w:sz="4" w:space="0" w:color="auto"/>
              <w:right w:val="single" w:sz="4" w:space="0" w:color="auto"/>
            </w:tcBorders>
            <w:vAlign w:val="center"/>
            <w:hideMark/>
          </w:tcPr>
          <w:p w14:paraId="61C1E604" w14:textId="77777777" w:rsidR="0099088D" w:rsidRPr="002636AA"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66A2111A" w14:textId="77777777" w:rsidR="0099088D" w:rsidRPr="002636AA" w:rsidRDefault="0099088D" w:rsidP="0099088D">
            <w:pPr>
              <w:jc w:val="center"/>
              <w:rPr>
                <w:color w:val="000000"/>
              </w:rPr>
            </w:pPr>
            <w:r w:rsidRPr="002636AA">
              <w:rPr>
                <w:color w:val="000000"/>
              </w:rPr>
              <w:t>5 392 348</w:t>
            </w:r>
          </w:p>
        </w:tc>
      </w:tr>
      <w:tr w:rsidR="0099088D" w:rsidRPr="002636AA" w14:paraId="668E0CC9" w14:textId="77777777" w:rsidTr="0099088D">
        <w:trPr>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57FA36B0" w14:textId="77777777" w:rsidR="0099088D" w:rsidRPr="002636AA" w:rsidRDefault="0099088D" w:rsidP="0099088D">
            <w:pPr>
              <w:jc w:val="center"/>
            </w:pPr>
            <w:r w:rsidRPr="002636AA">
              <w:t>1.2.2.</w:t>
            </w:r>
          </w:p>
        </w:tc>
        <w:tc>
          <w:tcPr>
            <w:tcW w:w="8358" w:type="dxa"/>
            <w:gridSpan w:val="4"/>
            <w:tcBorders>
              <w:top w:val="single" w:sz="4" w:space="0" w:color="auto"/>
              <w:left w:val="nil"/>
              <w:bottom w:val="single" w:sz="4" w:space="0" w:color="auto"/>
              <w:right w:val="single" w:sz="4" w:space="0" w:color="auto"/>
            </w:tcBorders>
            <w:shd w:val="clear" w:color="auto" w:fill="auto"/>
            <w:vAlign w:val="center"/>
            <w:hideMark/>
          </w:tcPr>
          <w:p w14:paraId="3510F4DA" w14:textId="77777777" w:rsidR="0099088D" w:rsidRPr="002636AA" w:rsidRDefault="0099088D" w:rsidP="0099088D">
            <w:pPr>
              <w:rPr>
                <w:color w:val="000000"/>
              </w:rPr>
            </w:pPr>
            <w:r w:rsidRPr="002636AA">
              <w:rPr>
                <w:color w:val="000000"/>
              </w:rPr>
              <w:t>наружным диаметром 100 мм и более, протяженностью:</w:t>
            </w:r>
          </w:p>
        </w:tc>
      </w:tr>
      <w:tr w:rsidR="0099088D" w:rsidRPr="002636AA" w14:paraId="43A0069C" w14:textId="77777777" w:rsidTr="0099088D">
        <w:trPr>
          <w:gridAfter w:val="1"/>
          <w:wAfter w:w="6" w:type="dxa"/>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728D60B2" w14:textId="77777777" w:rsidR="0099088D" w:rsidRPr="002636AA" w:rsidRDefault="0099088D" w:rsidP="0099088D">
            <w:pPr>
              <w:jc w:val="center"/>
            </w:pPr>
            <w:r w:rsidRPr="002636AA">
              <w:t>1.2.2.1.</w:t>
            </w:r>
          </w:p>
        </w:tc>
        <w:tc>
          <w:tcPr>
            <w:tcW w:w="4111" w:type="dxa"/>
            <w:tcBorders>
              <w:top w:val="nil"/>
              <w:left w:val="nil"/>
              <w:bottom w:val="single" w:sz="4" w:space="0" w:color="auto"/>
              <w:right w:val="single" w:sz="4" w:space="0" w:color="auto"/>
            </w:tcBorders>
            <w:shd w:val="clear" w:color="auto" w:fill="auto"/>
            <w:vAlign w:val="center"/>
            <w:hideMark/>
          </w:tcPr>
          <w:p w14:paraId="34C37929" w14:textId="77777777" w:rsidR="0099088D" w:rsidRPr="002636AA" w:rsidRDefault="0099088D" w:rsidP="0099088D">
            <w:pPr>
              <w:rPr>
                <w:color w:val="000000"/>
              </w:rPr>
            </w:pPr>
            <w:r w:rsidRPr="002636AA">
              <w:rPr>
                <w:color w:val="000000"/>
              </w:rPr>
              <w:t>до 100 м</w:t>
            </w:r>
          </w:p>
        </w:tc>
        <w:tc>
          <w:tcPr>
            <w:tcW w:w="1775" w:type="dxa"/>
            <w:vMerge w:val="restart"/>
            <w:tcBorders>
              <w:top w:val="nil"/>
              <w:left w:val="single" w:sz="4" w:space="0" w:color="auto"/>
              <w:right w:val="single" w:sz="4" w:space="0" w:color="auto"/>
            </w:tcBorders>
            <w:shd w:val="clear" w:color="auto" w:fill="auto"/>
            <w:vAlign w:val="center"/>
            <w:hideMark/>
          </w:tcPr>
          <w:p w14:paraId="4A0BF455" w14:textId="77777777" w:rsidR="0099088D" w:rsidRPr="002636AA" w:rsidRDefault="0099088D" w:rsidP="0099088D">
            <w:pPr>
              <w:jc w:val="center"/>
              <w:rPr>
                <w:color w:val="000000"/>
              </w:rPr>
            </w:pPr>
            <w:r w:rsidRPr="002636AA">
              <w:rPr>
                <w:color w:val="000000"/>
              </w:rPr>
              <w:t>руб.</w:t>
            </w:r>
            <w:r w:rsidRPr="002636AA">
              <w:rPr>
                <w:color w:val="2D2D2D"/>
              </w:rPr>
              <w:t xml:space="preserve"> за 1 присоединение</w:t>
            </w: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47A943EF" w14:textId="77777777" w:rsidR="0099088D" w:rsidRPr="002636AA" w:rsidRDefault="0099088D" w:rsidP="0099088D">
            <w:pPr>
              <w:jc w:val="center"/>
              <w:rPr>
                <w:color w:val="000000"/>
              </w:rPr>
            </w:pPr>
            <w:r w:rsidRPr="002636AA">
              <w:rPr>
                <w:color w:val="000000"/>
              </w:rPr>
              <w:t>378 187</w:t>
            </w:r>
          </w:p>
        </w:tc>
      </w:tr>
      <w:tr w:rsidR="0099088D" w:rsidRPr="002636AA" w14:paraId="5DE6011A" w14:textId="77777777" w:rsidTr="0099088D">
        <w:trPr>
          <w:gridAfter w:val="1"/>
          <w:wAfter w:w="6" w:type="dxa"/>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6D2A5FE4" w14:textId="77777777" w:rsidR="0099088D" w:rsidRPr="002636AA" w:rsidRDefault="0099088D" w:rsidP="0099088D">
            <w:pPr>
              <w:jc w:val="center"/>
            </w:pPr>
            <w:r w:rsidRPr="002636AA">
              <w:t>1.2.2.2.</w:t>
            </w:r>
          </w:p>
        </w:tc>
        <w:tc>
          <w:tcPr>
            <w:tcW w:w="4111" w:type="dxa"/>
            <w:tcBorders>
              <w:top w:val="nil"/>
              <w:left w:val="nil"/>
              <w:bottom w:val="single" w:sz="4" w:space="0" w:color="auto"/>
              <w:right w:val="single" w:sz="4" w:space="0" w:color="auto"/>
            </w:tcBorders>
            <w:shd w:val="clear" w:color="auto" w:fill="auto"/>
            <w:vAlign w:val="center"/>
            <w:hideMark/>
          </w:tcPr>
          <w:p w14:paraId="0DADAA23" w14:textId="77777777" w:rsidR="0099088D" w:rsidRPr="002636AA" w:rsidRDefault="0099088D" w:rsidP="0099088D">
            <w:pPr>
              <w:rPr>
                <w:color w:val="000000"/>
              </w:rPr>
            </w:pPr>
            <w:r w:rsidRPr="002636AA">
              <w:rPr>
                <w:color w:val="000000"/>
              </w:rPr>
              <w:t>101-500 м</w:t>
            </w:r>
          </w:p>
        </w:tc>
        <w:tc>
          <w:tcPr>
            <w:tcW w:w="1775" w:type="dxa"/>
            <w:vMerge/>
            <w:tcBorders>
              <w:left w:val="single" w:sz="4" w:space="0" w:color="auto"/>
              <w:right w:val="single" w:sz="4" w:space="0" w:color="auto"/>
            </w:tcBorders>
            <w:vAlign w:val="center"/>
            <w:hideMark/>
          </w:tcPr>
          <w:p w14:paraId="5A64C160" w14:textId="77777777" w:rsidR="0099088D" w:rsidRPr="002636AA"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665B76B6" w14:textId="77777777" w:rsidR="0099088D" w:rsidRPr="002636AA" w:rsidRDefault="0099088D" w:rsidP="0099088D">
            <w:pPr>
              <w:jc w:val="center"/>
              <w:rPr>
                <w:color w:val="000000"/>
              </w:rPr>
            </w:pPr>
            <w:r w:rsidRPr="002636AA">
              <w:rPr>
                <w:color w:val="000000"/>
              </w:rPr>
              <w:t>380 199</w:t>
            </w:r>
          </w:p>
        </w:tc>
      </w:tr>
      <w:tr w:rsidR="0099088D" w:rsidRPr="002636AA" w14:paraId="6414F6E4" w14:textId="77777777" w:rsidTr="0099088D">
        <w:trPr>
          <w:gridAfter w:val="1"/>
          <w:wAfter w:w="6" w:type="dxa"/>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5BC52C3E" w14:textId="77777777" w:rsidR="0099088D" w:rsidRPr="002636AA" w:rsidRDefault="0099088D" w:rsidP="0099088D">
            <w:pPr>
              <w:jc w:val="center"/>
            </w:pPr>
            <w:r w:rsidRPr="002636AA">
              <w:t>1.2.2.3.</w:t>
            </w:r>
          </w:p>
        </w:tc>
        <w:tc>
          <w:tcPr>
            <w:tcW w:w="4111" w:type="dxa"/>
            <w:tcBorders>
              <w:top w:val="nil"/>
              <w:left w:val="nil"/>
              <w:bottom w:val="single" w:sz="4" w:space="0" w:color="auto"/>
              <w:right w:val="single" w:sz="4" w:space="0" w:color="auto"/>
            </w:tcBorders>
            <w:shd w:val="clear" w:color="auto" w:fill="auto"/>
            <w:vAlign w:val="center"/>
            <w:hideMark/>
          </w:tcPr>
          <w:p w14:paraId="363F32A5" w14:textId="77777777" w:rsidR="0099088D" w:rsidRPr="002636AA" w:rsidRDefault="0099088D" w:rsidP="0099088D">
            <w:pPr>
              <w:rPr>
                <w:color w:val="000000"/>
              </w:rPr>
            </w:pPr>
            <w:r w:rsidRPr="002636AA">
              <w:rPr>
                <w:color w:val="000000"/>
              </w:rPr>
              <w:t>501-1000 м</w:t>
            </w:r>
          </w:p>
        </w:tc>
        <w:tc>
          <w:tcPr>
            <w:tcW w:w="1775" w:type="dxa"/>
            <w:vMerge/>
            <w:tcBorders>
              <w:left w:val="single" w:sz="4" w:space="0" w:color="auto"/>
              <w:right w:val="single" w:sz="4" w:space="0" w:color="auto"/>
            </w:tcBorders>
            <w:vAlign w:val="center"/>
            <w:hideMark/>
          </w:tcPr>
          <w:p w14:paraId="3186C1E7" w14:textId="77777777" w:rsidR="0099088D" w:rsidRPr="002636AA"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19C98C38" w14:textId="77777777" w:rsidR="0099088D" w:rsidRPr="002636AA" w:rsidRDefault="0099088D" w:rsidP="0099088D">
            <w:pPr>
              <w:jc w:val="center"/>
              <w:rPr>
                <w:color w:val="000000"/>
              </w:rPr>
            </w:pPr>
            <w:r w:rsidRPr="002636AA">
              <w:rPr>
                <w:color w:val="000000"/>
              </w:rPr>
              <w:t>1 768 526</w:t>
            </w:r>
          </w:p>
        </w:tc>
      </w:tr>
      <w:tr w:rsidR="0099088D" w:rsidRPr="002636AA" w14:paraId="0AEC9D96" w14:textId="77777777" w:rsidTr="0099088D">
        <w:trPr>
          <w:gridAfter w:val="1"/>
          <w:wAfter w:w="6" w:type="dxa"/>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13506BA9" w14:textId="77777777" w:rsidR="0099088D" w:rsidRPr="002636AA" w:rsidRDefault="0099088D" w:rsidP="0099088D">
            <w:pPr>
              <w:jc w:val="center"/>
            </w:pPr>
            <w:r w:rsidRPr="002636AA">
              <w:t>1.2.2.4.</w:t>
            </w:r>
          </w:p>
        </w:tc>
        <w:tc>
          <w:tcPr>
            <w:tcW w:w="4111" w:type="dxa"/>
            <w:tcBorders>
              <w:top w:val="nil"/>
              <w:left w:val="nil"/>
              <w:bottom w:val="single" w:sz="4" w:space="0" w:color="auto"/>
              <w:right w:val="single" w:sz="4" w:space="0" w:color="auto"/>
            </w:tcBorders>
            <w:shd w:val="clear" w:color="auto" w:fill="auto"/>
            <w:vAlign w:val="center"/>
            <w:hideMark/>
          </w:tcPr>
          <w:p w14:paraId="0F3EFC47" w14:textId="77777777" w:rsidR="0099088D" w:rsidRPr="002636AA" w:rsidRDefault="0099088D" w:rsidP="0099088D">
            <w:pPr>
              <w:rPr>
                <w:color w:val="000000"/>
              </w:rPr>
            </w:pPr>
            <w:r w:rsidRPr="002636AA">
              <w:rPr>
                <w:color w:val="000000"/>
              </w:rPr>
              <w:t>1001-2000 м</w:t>
            </w:r>
          </w:p>
        </w:tc>
        <w:tc>
          <w:tcPr>
            <w:tcW w:w="1775" w:type="dxa"/>
            <w:vMerge/>
            <w:tcBorders>
              <w:left w:val="single" w:sz="4" w:space="0" w:color="auto"/>
              <w:right w:val="single" w:sz="4" w:space="0" w:color="auto"/>
            </w:tcBorders>
            <w:vAlign w:val="center"/>
            <w:hideMark/>
          </w:tcPr>
          <w:p w14:paraId="7E60E703" w14:textId="77777777" w:rsidR="0099088D" w:rsidRPr="002636AA"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668B5945" w14:textId="77777777" w:rsidR="0099088D" w:rsidRPr="002636AA" w:rsidRDefault="0099088D" w:rsidP="0099088D">
            <w:pPr>
              <w:jc w:val="center"/>
              <w:rPr>
                <w:color w:val="000000"/>
              </w:rPr>
            </w:pPr>
            <w:r w:rsidRPr="002636AA">
              <w:rPr>
                <w:color w:val="000000"/>
              </w:rPr>
              <w:t>2 546 338</w:t>
            </w:r>
          </w:p>
        </w:tc>
      </w:tr>
      <w:tr w:rsidR="0099088D" w:rsidRPr="002636AA" w14:paraId="7694E338" w14:textId="77777777" w:rsidTr="0099088D">
        <w:trPr>
          <w:gridAfter w:val="1"/>
          <w:wAfter w:w="6" w:type="dxa"/>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32663E16" w14:textId="77777777" w:rsidR="0099088D" w:rsidRPr="002636AA" w:rsidRDefault="0099088D" w:rsidP="0099088D">
            <w:pPr>
              <w:jc w:val="center"/>
            </w:pPr>
            <w:r w:rsidRPr="002636AA">
              <w:t>1.2.2.5.</w:t>
            </w:r>
          </w:p>
        </w:tc>
        <w:tc>
          <w:tcPr>
            <w:tcW w:w="4111" w:type="dxa"/>
            <w:tcBorders>
              <w:top w:val="nil"/>
              <w:left w:val="nil"/>
              <w:bottom w:val="single" w:sz="4" w:space="0" w:color="auto"/>
              <w:right w:val="single" w:sz="4" w:space="0" w:color="auto"/>
            </w:tcBorders>
            <w:shd w:val="clear" w:color="auto" w:fill="auto"/>
            <w:vAlign w:val="center"/>
            <w:hideMark/>
          </w:tcPr>
          <w:p w14:paraId="1768AD7C" w14:textId="77777777" w:rsidR="0099088D" w:rsidRPr="002636AA" w:rsidRDefault="0099088D" w:rsidP="0099088D">
            <w:pPr>
              <w:rPr>
                <w:color w:val="000000"/>
              </w:rPr>
            </w:pPr>
            <w:r w:rsidRPr="002636AA">
              <w:rPr>
                <w:color w:val="000000"/>
              </w:rPr>
              <w:t>2001-3000 м</w:t>
            </w:r>
          </w:p>
        </w:tc>
        <w:tc>
          <w:tcPr>
            <w:tcW w:w="1775" w:type="dxa"/>
            <w:vMerge/>
            <w:tcBorders>
              <w:left w:val="single" w:sz="4" w:space="0" w:color="auto"/>
              <w:right w:val="single" w:sz="4" w:space="0" w:color="auto"/>
            </w:tcBorders>
            <w:vAlign w:val="center"/>
            <w:hideMark/>
          </w:tcPr>
          <w:p w14:paraId="25D41935" w14:textId="77777777" w:rsidR="0099088D" w:rsidRPr="002636AA"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54D7D1B5" w14:textId="77777777" w:rsidR="0099088D" w:rsidRPr="002636AA" w:rsidRDefault="0099088D" w:rsidP="0099088D">
            <w:pPr>
              <w:jc w:val="center"/>
              <w:rPr>
                <w:color w:val="000000"/>
              </w:rPr>
            </w:pPr>
            <w:r w:rsidRPr="002636AA">
              <w:rPr>
                <w:color w:val="000000"/>
              </w:rPr>
              <w:t>3 463 981</w:t>
            </w:r>
          </w:p>
        </w:tc>
      </w:tr>
      <w:tr w:rsidR="0099088D" w:rsidRPr="002636AA" w14:paraId="1B2FAAF7" w14:textId="77777777" w:rsidTr="0099088D">
        <w:trPr>
          <w:gridAfter w:val="1"/>
          <w:wAfter w:w="6" w:type="dxa"/>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48DDCCB6" w14:textId="77777777" w:rsidR="0099088D" w:rsidRPr="002636AA" w:rsidRDefault="0099088D" w:rsidP="0099088D">
            <w:pPr>
              <w:jc w:val="center"/>
            </w:pPr>
            <w:r w:rsidRPr="002636AA">
              <w:t>1.2.2.6.</w:t>
            </w:r>
          </w:p>
        </w:tc>
        <w:tc>
          <w:tcPr>
            <w:tcW w:w="4111" w:type="dxa"/>
            <w:tcBorders>
              <w:top w:val="nil"/>
              <w:left w:val="nil"/>
              <w:bottom w:val="single" w:sz="4" w:space="0" w:color="auto"/>
              <w:right w:val="single" w:sz="4" w:space="0" w:color="auto"/>
            </w:tcBorders>
            <w:shd w:val="clear" w:color="auto" w:fill="auto"/>
            <w:vAlign w:val="center"/>
            <w:hideMark/>
          </w:tcPr>
          <w:p w14:paraId="00033538" w14:textId="77777777" w:rsidR="0099088D" w:rsidRPr="002636AA" w:rsidRDefault="0099088D" w:rsidP="0099088D">
            <w:pPr>
              <w:rPr>
                <w:color w:val="000000"/>
              </w:rPr>
            </w:pPr>
            <w:r w:rsidRPr="002636AA">
              <w:rPr>
                <w:color w:val="000000"/>
              </w:rPr>
              <w:t>3001-4000 м</w:t>
            </w:r>
          </w:p>
        </w:tc>
        <w:tc>
          <w:tcPr>
            <w:tcW w:w="1775" w:type="dxa"/>
            <w:vMerge/>
            <w:tcBorders>
              <w:left w:val="single" w:sz="4" w:space="0" w:color="auto"/>
              <w:right w:val="single" w:sz="4" w:space="0" w:color="auto"/>
            </w:tcBorders>
            <w:vAlign w:val="center"/>
            <w:hideMark/>
          </w:tcPr>
          <w:p w14:paraId="161D4351" w14:textId="77777777" w:rsidR="0099088D" w:rsidRPr="002636AA"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7BAC4713" w14:textId="77777777" w:rsidR="0099088D" w:rsidRPr="002636AA" w:rsidRDefault="0099088D" w:rsidP="0099088D">
            <w:pPr>
              <w:jc w:val="center"/>
              <w:rPr>
                <w:color w:val="000000"/>
              </w:rPr>
            </w:pPr>
            <w:r w:rsidRPr="002636AA">
              <w:rPr>
                <w:color w:val="000000"/>
              </w:rPr>
              <w:t>4 273 442</w:t>
            </w:r>
          </w:p>
        </w:tc>
      </w:tr>
      <w:tr w:rsidR="0099088D" w:rsidRPr="002636AA" w14:paraId="54D2E2FE" w14:textId="77777777" w:rsidTr="0099088D">
        <w:trPr>
          <w:gridAfter w:val="1"/>
          <w:wAfter w:w="6" w:type="dxa"/>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0EBE75C3" w14:textId="77777777" w:rsidR="0099088D" w:rsidRPr="002636AA" w:rsidRDefault="0099088D" w:rsidP="0099088D">
            <w:pPr>
              <w:jc w:val="center"/>
            </w:pPr>
            <w:r w:rsidRPr="002636AA">
              <w:t>1.2.2.7.</w:t>
            </w:r>
          </w:p>
        </w:tc>
        <w:tc>
          <w:tcPr>
            <w:tcW w:w="4111" w:type="dxa"/>
            <w:tcBorders>
              <w:top w:val="nil"/>
              <w:left w:val="nil"/>
              <w:bottom w:val="single" w:sz="4" w:space="0" w:color="auto"/>
              <w:right w:val="single" w:sz="4" w:space="0" w:color="auto"/>
            </w:tcBorders>
            <w:shd w:val="clear" w:color="auto" w:fill="auto"/>
            <w:vAlign w:val="center"/>
            <w:hideMark/>
          </w:tcPr>
          <w:p w14:paraId="3BB87DE0" w14:textId="77777777" w:rsidR="0099088D" w:rsidRPr="002636AA" w:rsidRDefault="0099088D" w:rsidP="0099088D">
            <w:pPr>
              <w:rPr>
                <w:color w:val="000000"/>
              </w:rPr>
            </w:pPr>
            <w:r w:rsidRPr="002636AA">
              <w:rPr>
                <w:color w:val="000000"/>
              </w:rPr>
              <w:t>4001-5000 м</w:t>
            </w:r>
          </w:p>
        </w:tc>
        <w:tc>
          <w:tcPr>
            <w:tcW w:w="1775" w:type="dxa"/>
            <w:vMerge/>
            <w:tcBorders>
              <w:left w:val="single" w:sz="4" w:space="0" w:color="auto"/>
              <w:right w:val="single" w:sz="4" w:space="0" w:color="auto"/>
            </w:tcBorders>
            <w:vAlign w:val="center"/>
            <w:hideMark/>
          </w:tcPr>
          <w:p w14:paraId="2FC1D185" w14:textId="77777777" w:rsidR="0099088D" w:rsidRPr="002636AA"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398F984F" w14:textId="77777777" w:rsidR="0099088D" w:rsidRPr="002636AA" w:rsidRDefault="0099088D" w:rsidP="0099088D">
            <w:pPr>
              <w:jc w:val="center"/>
              <w:rPr>
                <w:color w:val="000000"/>
              </w:rPr>
            </w:pPr>
            <w:r w:rsidRPr="002636AA">
              <w:rPr>
                <w:color w:val="000000"/>
              </w:rPr>
              <w:t>5 088 706</w:t>
            </w:r>
          </w:p>
        </w:tc>
      </w:tr>
      <w:tr w:rsidR="0099088D" w:rsidRPr="002636AA" w14:paraId="71A4FD80" w14:textId="77777777" w:rsidTr="0099088D">
        <w:trPr>
          <w:gridAfter w:val="1"/>
          <w:wAfter w:w="6" w:type="dxa"/>
          <w:trHeight w:val="20"/>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395B1160" w14:textId="77777777" w:rsidR="0099088D" w:rsidRPr="002636AA" w:rsidRDefault="0099088D" w:rsidP="0099088D">
            <w:pPr>
              <w:jc w:val="center"/>
            </w:pPr>
            <w:r w:rsidRPr="002636AA">
              <w:t>1.2.2.8.</w:t>
            </w:r>
          </w:p>
        </w:tc>
        <w:tc>
          <w:tcPr>
            <w:tcW w:w="4111" w:type="dxa"/>
            <w:tcBorders>
              <w:top w:val="nil"/>
              <w:left w:val="nil"/>
              <w:bottom w:val="single" w:sz="4" w:space="0" w:color="auto"/>
              <w:right w:val="single" w:sz="4" w:space="0" w:color="auto"/>
            </w:tcBorders>
            <w:shd w:val="clear" w:color="auto" w:fill="auto"/>
            <w:vAlign w:val="center"/>
            <w:hideMark/>
          </w:tcPr>
          <w:p w14:paraId="75B66750" w14:textId="77777777" w:rsidR="0099088D" w:rsidRPr="002636AA" w:rsidRDefault="0099088D" w:rsidP="0099088D">
            <w:pPr>
              <w:rPr>
                <w:color w:val="000000"/>
              </w:rPr>
            </w:pPr>
            <w:r w:rsidRPr="002636AA">
              <w:rPr>
                <w:color w:val="000000"/>
              </w:rPr>
              <w:t>5001 м и более</w:t>
            </w:r>
          </w:p>
        </w:tc>
        <w:tc>
          <w:tcPr>
            <w:tcW w:w="1775" w:type="dxa"/>
            <w:vMerge/>
            <w:tcBorders>
              <w:left w:val="single" w:sz="4" w:space="0" w:color="auto"/>
              <w:bottom w:val="single" w:sz="4" w:space="0" w:color="auto"/>
              <w:right w:val="single" w:sz="4" w:space="0" w:color="auto"/>
            </w:tcBorders>
            <w:vAlign w:val="center"/>
            <w:hideMark/>
          </w:tcPr>
          <w:p w14:paraId="71A6674A" w14:textId="77777777" w:rsidR="0099088D" w:rsidRPr="002636AA"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17D56C35" w14:textId="77777777" w:rsidR="0099088D" w:rsidRPr="002636AA" w:rsidRDefault="0099088D" w:rsidP="0099088D">
            <w:pPr>
              <w:jc w:val="center"/>
              <w:rPr>
                <w:color w:val="000000"/>
              </w:rPr>
            </w:pPr>
            <w:r w:rsidRPr="002636AA">
              <w:rPr>
                <w:color w:val="000000"/>
              </w:rPr>
              <w:t>7 858 471</w:t>
            </w:r>
          </w:p>
        </w:tc>
      </w:tr>
    </w:tbl>
    <w:p w14:paraId="619E05F1" w14:textId="77777777" w:rsidR="0099088D" w:rsidRPr="002636AA" w:rsidRDefault="0099088D" w:rsidP="0099088D">
      <w:pPr>
        <w:autoSpaceDE w:val="0"/>
        <w:autoSpaceDN w:val="0"/>
        <w:adjustRightInd w:val="0"/>
        <w:ind w:firstLine="540"/>
        <w:jc w:val="both"/>
        <w:rPr>
          <w:sz w:val="28"/>
          <w:szCs w:val="28"/>
        </w:rPr>
      </w:pPr>
    </w:p>
    <w:p w14:paraId="0656E4DE" w14:textId="77777777" w:rsidR="0099088D" w:rsidRPr="002636AA" w:rsidRDefault="0099088D" w:rsidP="0099088D">
      <w:pPr>
        <w:autoSpaceDE w:val="0"/>
        <w:autoSpaceDN w:val="0"/>
        <w:adjustRightInd w:val="0"/>
        <w:ind w:firstLine="540"/>
        <w:jc w:val="both"/>
        <w:rPr>
          <w:sz w:val="28"/>
          <w:szCs w:val="28"/>
        </w:rPr>
      </w:pPr>
      <w:r w:rsidRPr="002636AA">
        <w:rPr>
          <w:sz w:val="28"/>
          <w:szCs w:val="28"/>
        </w:rPr>
        <w:t>Размер стандартизированной тарифной ставки на покрытие расходов ГРО, связанных с проектированием ГРО газопровода (С1ink), определяется по следующей формуле:</w:t>
      </w:r>
    </w:p>
    <w:p w14:paraId="4E96C4DB" w14:textId="77777777" w:rsidR="0099088D" w:rsidRPr="002636AA" w:rsidRDefault="0099088D" w:rsidP="0099088D">
      <w:pPr>
        <w:autoSpaceDE w:val="0"/>
        <w:autoSpaceDN w:val="0"/>
        <w:adjustRightInd w:val="0"/>
        <w:jc w:val="both"/>
        <w:outlineLvl w:val="0"/>
        <w:rPr>
          <w:b/>
          <w:bCs/>
          <w:sz w:val="28"/>
          <w:szCs w:val="28"/>
        </w:rPr>
      </w:pPr>
    </w:p>
    <w:p w14:paraId="090AE5D8" w14:textId="77777777" w:rsidR="0099088D" w:rsidRPr="002636AA" w:rsidRDefault="0099088D" w:rsidP="0099088D">
      <w:pPr>
        <w:autoSpaceDE w:val="0"/>
        <w:autoSpaceDN w:val="0"/>
        <w:adjustRightInd w:val="0"/>
        <w:jc w:val="center"/>
        <w:rPr>
          <w:b/>
          <w:bCs/>
          <w:sz w:val="28"/>
          <w:szCs w:val="28"/>
        </w:rPr>
      </w:pPr>
      <w:r w:rsidRPr="002636AA">
        <w:rPr>
          <w:b/>
          <w:bCs/>
          <w:noProof/>
          <w:position w:val="-42"/>
          <w:sz w:val="28"/>
          <w:szCs w:val="28"/>
        </w:rPr>
        <w:drawing>
          <wp:inline distT="0" distB="0" distL="0" distR="0" wp14:anchorId="30033661" wp14:editId="0649E6DB">
            <wp:extent cx="2247900" cy="6667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5" cstate="print">
                      <a:extLst>
                        <a:ext uri="{28A0092B-C50C-407E-A947-70E740481C1C}">
                          <a14:useLocalDpi xmlns:a14="http://schemas.microsoft.com/office/drawing/2010/main" val="0"/>
                        </a:ext>
                      </a:extLst>
                    </a:blip>
                    <a:srcRect t="6667" r="12915"/>
                    <a:stretch>
                      <a:fillRect/>
                    </a:stretch>
                  </pic:blipFill>
                  <pic:spPr bwMode="auto">
                    <a:xfrm>
                      <a:off x="0" y="0"/>
                      <a:ext cx="2247900" cy="666750"/>
                    </a:xfrm>
                    <a:prstGeom prst="rect">
                      <a:avLst/>
                    </a:prstGeom>
                    <a:noFill/>
                    <a:ln>
                      <a:noFill/>
                    </a:ln>
                  </pic:spPr>
                </pic:pic>
              </a:graphicData>
            </a:graphic>
          </wp:inline>
        </w:drawing>
      </w:r>
    </w:p>
    <w:p w14:paraId="0220529C" w14:textId="77777777" w:rsidR="0099088D" w:rsidRPr="002636AA" w:rsidRDefault="0099088D" w:rsidP="0099088D">
      <w:pPr>
        <w:autoSpaceDE w:val="0"/>
        <w:autoSpaceDN w:val="0"/>
        <w:adjustRightInd w:val="0"/>
        <w:jc w:val="both"/>
        <w:rPr>
          <w:b/>
          <w:bCs/>
          <w:sz w:val="28"/>
          <w:szCs w:val="28"/>
        </w:rPr>
      </w:pPr>
    </w:p>
    <w:p w14:paraId="2D0DD48F" w14:textId="77777777" w:rsidR="0099088D" w:rsidRPr="002636AA" w:rsidRDefault="0099088D" w:rsidP="0099088D">
      <w:pPr>
        <w:autoSpaceDE w:val="0"/>
        <w:autoSpaceDN w:val="0"/>
        <w:adjustRightInd w:val="0"/>
        <w:ind w:firstLine="540"/>
        <w:jc w:val="both"/>
        <w:rPr>
          <w:sz w:val="28"/>
          <w:szCs w:val="28"/>
        </w:rPr>
      </w:pPr>
      <w:r w:rsidRPr="002636AA">
        <w:rPr>
          <w:sz w:val="28"/>
          <w:szCs w:val="28"/>
        </w:rPr>
        <w:t>где:</w:t>
      </w:r>
    </w:p>
    <w:p w14:paraId="06A03A09" w14:textId="77777777" w:rsidR="0099088D" w:rsidRPr="002636AA" w:rsidRDefault="0099088D" w:rsidP="0099088D">
      <w:pPr>
        <w:autoSpaceDE w:val="0"/>
        <w:autoSpaceDN w:val="0"/>
        <w:adjustRightInd w:val="0"/>
        <w:ind w:firstLine="540"/>
        <w:jc w:val="both"/>
        <w:rPr>
          <w:sz w:val="28"/>
          <w:szCs w:val="28"/>
        </w:rPr>
      </w:pPr>
      <w:r w:rsidRPr="002636AA">
        <w:rPr>
          <w:sz w:val="28"/>
          <w:szCs w:val="28"/>
        </w:rPr>
        <w:t xml:space="preserve">Рink - фактические расходы ГРО на разработку проектной документации на газопровод i-того диапазона диаметров n-ной протяженности и k-того типа прокладки, понесенные в соответствующем календарном году из предусмотренных </w:t>
      </w:r>
      <w:hyperlink r:id="rId26" w:history="1">
        <w:r w:rsidRPr="002636AA">
          <w:rPr>
            <w:sz w:val="28"/>
            <w:szCs w:val="28"/>
          </w:rPr>
          <w:t>абзацами первым</w:t>
        </w:r>
      </w:hyperlink>
      <w:r w:rsidRPr="002636AA">
        <w:rPr>
          <w:sz w:val="28"/>
          <w:szCs w:val="28"/>
        </w:rPr>
        <w:t xml:space="preserve"> - </w:t>
      </w:r>
      <w:hyperlink r:id="rId27" w:history="1">
        <w:r w:rsidRPr="002636AA">
          <w:rPr>
            <w:sz w:val="28"/>
            <w:szCs w:val="28"/>
          </w:rPr>
          <w:t>четвертым пункта 32</w:t>
        </w:r>
      </w:hyperlink>
      <w:r w:rsidRPr="002636AA">
        <w:rPr>
          <w:sz w:val="28"/>
          <w:szCs w:val="28"/>
        </w:rPr>
        <w:t xml:space="preserve"> Методических указаний, руб.;</w:t>
      </w:r>
    </w:p>
    <w:p w14:paraId="4BDF2BB5" w14:textId="77777777" w:rsidR="0099088D" w:rsidRPr="002636AA" w:rsidRDefault="0099088D" w:rsidP="0099088D">
      <w:pPr>
        <w:autoSpaceDE w:val="0"/>
        <w:autoSpaceDN w:val="0"/>
        <w:adjustRightInd w:val="0"/>
        <w:ind w:firstLine="540"/>
        <w:jc w:val="both"/>
        <w:rPr>
          <w:sz w:val="28"/>
          <w:szCs w:val="28"/>
        </w:rPr>
      </w:pPr>
      <w:r w:rsidRPr="002636AA">
        <w:rPr>
          <w:sz w:val="28"/>
          <w:szCs w:val="28"/>
        </w:rPr>
        <w:t xml:space="preserve">Nink - фактическое количество подключений (технологических присоединений), предусматривающих мероприятия по разработке проектной документации на строительство газопровода ГРО i-того диапазона диаметров n-протяженности k-того типа прокладки, состоявшихся в соответствующем календарном году из предусмотренных </w:t>
      </w:r>
      <w:hyperlink r:id="rId28" w:history="1">
        <w:r w:rsidRPr="002636AA">
          <w:rPr>
            <w:sz w:val="28"/>
            <w:szCs w:val="28"/>
          </w:rPr>
          <w:t>абзацами первым</w:t>
        </w:r>
      </w:hyperlink>
      <w:r w:rsidRPr="002636AA">
        <w:rPr>
          <w:sz w:val="28"/>
          <w:szCs w:val="28"/>
        </w:rPr>
        <w:t xml:space="preserve"> - </w:t>
      </w:r>
      <w:hyperlink r:id="rId29" w:history="1">
        <w:r w:rsidRPr="002636AA">
          <w:rPr>
            <w:sz w:val="28"/>
            <w:szCs w:val="28"/>
          </w:rPr>
          <w:t>четвертым пункта 31</w:t>
        </w:r>
      </w:hyperlink>
      <w:r w:rsidRPr="002636AA">
        <w:rPr>
          <w:sz w:val="28"/>
          <w:szCs w:val="28"/>
        </w:rPr>
        <w:t xml:space="preserve"> Методических указаний, шт.;</w:t>
      </w:r>
    </w:p>
    <w:p w14:paraId="4B9CA0AF" w14:textId="77777777" w:rsidR="0099088D" w:rsidRPr="002636AA" w:rsidRDefault="0099088D" w:rsidP="0099088D">
      <w:pPr>
        <w:autoSpaceDE w:val="0"/>
        <w:autoSpaceDN w:val="0"/>
        <w:adjustRightInd w:val="0"/>
        <w:ind w:firstLine="540"/>
        <w:jc w:val="both"/>
        <w:rPr>
          <w:sz w:val="28"/>
          <w:szCs w:val="28"/>
        </w:rPr>
      </w:pPr>
      <w:r w:rsidRPr="002636AA">
        <w:rPr>
          <w:sz w:val="28"/>
          <w:szCs w:val="28"/>
        </w:rPr>
        <w:t xml:space="preserve">Iр - коэффициент расходов, определяемый в соответствии с </w:t>
      </w:r>
      <w:hyperlink r:id="rId30" w:history="1">
        <w:r w:rsidRPr="002636AA">
          <w:rPr>
            <w:sz w:val="28"/>
            <w:szCs w:val="28"/>
          </w:rPr>
          <w:t>пунктом 33</w:t>
        </w:r>
      </w:hyperlink>
      <w:r w:rsidRPr="002636AA">
        <w:rPr>
          <w:sz w:val="28"/>
          <w:szCs w:val="28"/>
        </w:rPr>
        <w:t xml:space="preserve"> Методических указаний.</w:t>
      </w:r>
    </w:p>
    <w:p w14:paraId="52CD42EC" w14:textId="77777777" w:rsidR="0099088D" w:rsidRPr="002636AA" w:rsidRDefault="0099088D" w:rsidP="0099088D">
      <w:pPr>
        <w:autoSpaceDE w:val="0"/>
        <w:autoSpaceDN w:val="0"/>
        <w:adjustRightInd w:val="0"/>
        <w:ind w:firstLine="540"/>
        <w:jc w:val="both"/>
        <w:rPr>
          <w:sz w:val="28"/>
          <w:szCs w:val="28"/>
        </w:rPr>
      </w:pPr>
      <w:bookmarkStart w:id="29" w:name="_Hlk1564145"/>
      <w:r w:rsidRPr="002636AA">
        <w:rPr>
          <w:sz w:val="28"/>
          <w:szCs w:val="28"/>
        </w:rPr>
        <w:t xml:space="preserve">Ставки, указанные в п.п. 1.1.1.1., 1.1.2.1., 1.2.1.1., 1.2.1.2., 1.2.2.1., 1.2.2.2., 1.2.2.8. Таблицы 1 </w:t>
      </w:r>
      <w:bookmarkStart w:id="30" w:name="_Hlk87884018"/>
      <w:r w:rsidRPr="002636AA">
        <w:rPr>
          <w:sz w:val="28"/>
          <w:szCs w:val="28"/>
        </w:rPr>
        <w:t xml:space="preserve">определены на основании фактических данных </w:t>
      </w:r>
      <w:bookmarkStart w:id="31" w:name="_Hlk26431683"/>
      <w:r w:rsidRPr="002636AA">
        <w:rPr>
          <w:sz w:val="28"/>
          <w:szCs w:val="28"/>
        </w:rPr>
        <w:t xml:space="preserve">за </w:t>
      </w:r>
      <w:r w:rsidRPr="002636AA">
        <w:rPr>
          <w:sz w:val="28"/>
          <w:szCs w:val="28"/>
        </w:rPr>
        <w:br/>
        <w:t xml:space="preserve">2018- 2020 годы, с применением коэффициента расходов Iр, рассчитанного на основании индексов ИЦП в строительстве </w:t>
      </w:r>
      <w:bookmarkStart w:id="32" w:name="_Hlk87880321"/>
      <w:r w:rsidRPr="002636AA">
        <w:rPr>
          <w:sz w:val="28"/>
          <w:szCs w:val="28"/>
        </w:rPr>
        <w:t xml:space="preserve">(2019 год - 107,3; 2020 год- 104; </w:t>
      </w:r>
      <w:r w:rsidRPr="002636AA">
        <w:rPr>
          <w:sz w:val="28"/>
          <w:szCs w:val="28"/>
        </w:rPr>
        <w:br/>
        <w:t>2021 год – 105,1)</w:t>
      </w:r>
      <w:bookmarkStart w:id="33" w:name="_Hlk26431193"/>
      <w:r w:rsidRPr="002636AA">
        <w:rPr>
          <w:sz w:val="28"/>
          <w:szCs w:val="28"/>
        </w:rPr>
        <w:t xml:space="preserve">, </w:t>
      </w:r>
      <w:bookmarkStart w:id="34" w:name="_Hlk57381174"/>
      <w:r w:rsidRPr="002636AA">
        <w:rPr>
          <w:sz w:val="28"/>
          <w:szCs w:val="28"/>
        </w:rPr>
        <w:t>опубликованных на сайте Минэкономразвития России 30.09.202</w:t>
      </w:r>
      <w:bookmarkEnd w:id="34"/>
      <w:r w:rsidRPr="002636AA">
        <w:rPr>
          <w:sz w:val="28"/>
          <w:szCs w:val="28"/>
        </w:rPr>
        <w:t>1 (в части 2020 и 2021 годов) и 26.09.2020 (в части 2019 года)</w:t>
      </w:r>
      <w:bookmarkEnd w:id="30"/>
      <w:bookmarkEnd w:id="32"/>
      <w:r w:rsidRPr="002636AA">
        <w:rPr>
          <w:color w:val="000000"/>
          <w:sz w:val="28"/>
          <w:szCs w:val="28"/>
        </w:rPr>
        <w:t>.</w:t>
      </w:r>
      <w:bookmarkEnd w:id="33"/>
      <w:r w:rsidRPr="002636AA">
        <w:rPr>
          <w:sz w:val="28"/>
          <w:szCs w:val="28"/>
        </w:rPr>
        <w:t xml:space="preserve"> </w:t>
      </w:r>
    </w:p>
    <w:bookmarkEnd w:id="31"/>
    <w:p w14:paraId="278D4069" w14:textId="77777777" w:rsidR="0099088D" w:rsidRPr="002636AA" w:rsidRDefault="0099088D" w:rsidP="0099088D">
      <w:pPr>
        <w:autoSpaceDE w:val="0"/>
        <w:autoSpaceDN w:val="0"/>
        <w:adjustRightInd w:val="0"/>
        <w:ind w:firstLine="540"/>
        <w:jc w:val="both"/>
        <w:rPr>
          <w:sz w:val="28"/>
          <w:szCs w:val="28"/>
        </w:rPr>
      </w:pPr>
      <w:r w:rsidRPr="002636AA">
        <w:rPr>
          <w:sz w:val="28"/>
          <w:szCs w:val="28"/>
        </w:rPr>
        <w:t xml:space="preserve">Ставки, указанные в остальных пунктах Таблицы 1, в связи с тем, что ГРО в 2018- 2020 годах не осуществляла затраты на проектирование в соответствующих диапазонах диаметров, протяженности и типа прокладки, </w:t>
      </w:r>
      <w:bookmarkStart w:id="35" w:name="_Hlk1560958"/>
      <w:r w:rsidRPr="002636AA">
        <w:rPr>
          <w:sz w:val="28"/>
          <w:szCs w:val="28"/>
        </w:rPr>
        <w:t xml:space="preserve">приняты на уровне утвержденных на 2021 год соответствующих ставок </w:t>
      </w:r>
      <w:bookmarkStart w:id="36" w:name="_Hlk26431935"/>
      <w:r w:rsidRPr="002636AA">
        <w:rPr>
          <w:sz w:val="28"/>
          <w:szCs w:val="28"/>
        </w:rPr>
        <w:t xml:space="preserve">с применением ИЦП в строительстве </w:t>
      </w:r>
      <w:bookmarkStart w:id="37" w:name="_Hlk57383020"/>
      <w:r w:rsidRPr="002636AA">
        <w:rPr>
          <w:sz w:val="28"/>
          <w:szCs w:val="28"/>
        </w:rPr>
        <w:t>на 2022 год в размере 1,043, опубликованном на сайте Минэкономразвития России 30.09.202</w:t>
      </w:r>
      <w:bookmarkEnd w:id="37"/>
      <w:r w:rsidRPr="002636AA">
        <w:rPr>
          <w:sz w:val="28"/>
          <w:szCs w:val="28"/>
        </w:rPr>
        <w:t>1.</w:t>
      </w:r>
      <w:bookmarkEnd w:id="35"/>
      <w:bookmarkEnd w:id="36"/>
    </w:p>
    <w:bookmarkEnd w:id="29"/>
    <w:p w14:paraId="70ECCC77" w14:textId="77777777" w:rsidR="0099088D" w:rsidRPr="002636AA" w:rsidRDefault="0099088D" w:rsidP="0099088D">
      <w:pPr>
        <w:autoSpaceDE w:val="0"/>
        <w:autoSpaceDN w:val="0"/>
        <w:adjustRightInd w:val="0"/>
        <w:ind w:firstLine="540"/>
        <w:jc w:val="both"/>
        <w:rPr>
          <w:sz w:val="28"/>
          <w:szCs w:val="28"/>
        </w:rPr>
      </w:pPr>
      <w:r w:rsidRPr="002636AA">
        <w:rPr>
          <w:sz w:val="28"/>
          <w:szCs w:val="28"/>
        </w:rPr>
        <w:t>Эксперты, проанализировав расчеты предлагаемых предприятием стандартизированных тарифных ставок С</w:t>
      </w:r>
      <w:r w:rsidRPr="002636AA">
        <w:rPr>
          <w:sz w:val="28"/>
          <w:szCs w:val="28"/>
          <w:vertAlign w:val="subscript"/>
        </w:rPr>
        <w:t>1</w:t>
      </w:r>
      <w:r w:rsidRPr="002636AA">
        <w:rPr>
          <w:sz w:val="28"/>
          <w:szCs w:val="28"/>
        </w:rPr>
        <w:t>, предлагают утвердить их на уровне предложений предприятия.</w:t>
      </w:r>
    </w:p>
    <w:p w14:paraId="476CE6A5" w14:textId="77777777" w:rsidR="0099088D" w:rsidRPr="002636AA" w:rsidRDefault="0099088D" w:rsidP="0099088D">
      <w:pPr>
        <w:autoSpaceDE w:val="0"/>
        <w:autoSpaceDN w:val="0"/>
        <w:adjustRightInd w:val="0"/>
        <w:ind w:firstLine="540"/>
        <w:jc w:val="both"/>
        <w:rPr>
          <w:b/>
          <w:sz w:val="28"/>
          <w:szCs w:val="28"/>
        </w:rPr>
      </w:pPr>
      <w:r w:rsidRPr="002636AA">
        <w:rPr>
          <w:sz w:val="28"/>
          <w:szCs w:val="28"/>
        </w:rPr>
        <w:br w:type="page"/>
      </w:r>
      <w:r w:rsidRPr="002636AA">
        <w:rPr>
          <w:b/>
          <w:sz w:val="28"/>
          <w:szCs w:val="28"/>
        </w:rPr>
        <w:t xml:space="preserve">Расчет стандартизированной тарифной ставки </w:t>
      </w:r>
      <w:bookmarkStart w:id="38" w:name="_Hlk1559132"/>
      <w:r w:rsidRPr="002636AA">
        <w:rPr>
          <w:b/>
          <w:sz w:val="28"/>
          <w:szCs w:val="28"/>
        </w:rPr>
        <w:t>С</w:t>
      </w:r>
      <w:r w:rsidRPr="002636AA">
        <w:rPr>
          <w:b/>
          <w:sz w:val="28"/>
          <w:szCs w:val="28"/>
          <w:vertAlign w:val="subscript"/>
        </w:rPr>
        <w:t>2</w:t>
      </w:r>
      <w:bookmarkEnd w:id="38"/>
      <w:r w:rsidRPr="002636AA">
        <w:rPr>
          <w:b/>
          <w:sz w:val="28"/>
          <w:szCs w:val="28"/>
          <w:vertAlign w:val="subscript"/>
        </w:rPr>
        <w:t>,</w:t>
      </w:r>
      <w:r w:rsidRPr="002636AA">
        <w:rPr>
          <w:b/>
          <w:sz w:val="28"/>
          <w:szCs w:val="28"/>
        </w:rPr>
        <w:t xml:space="preserve"> на покрытие расходов ГРО, связанных</w:t>
      </w:r>
      <w:r w:rsidRPr="002636AA">
        <w:rPr>
          <w:sz w:val="28"/>
          <w:szCs w:val="28"/>
        </w:rPr>
        <w:t xml:space="preserve"> </w:t>
      </w:r>
      <w:r w:rsidRPr="002636AA">
        <w:rPr>
          <w:b/>
          <w:sz w:val="28"/>
          <w:szCs w:val="28"/>
        </w:rPr>
        <w:t>со строительством стальных газопроводов i-того диапазона диаметров и k-того типа прокладки, в расчете на 1 км</w:t>
      </w:r>
    </w:p>
    <w:p w14:paraId="37D913B2" w14:textId="77777777" w:rsidR="0099088D" w:rsidRPr="002636AA" w:rsidRDefault="0099088D" w:rsidP="0099088D">
      <w:pPr>
        <w:jc w:val="center"/>
        <w:rPr>
          <w:b/>
          <w:sz w:val="28"/>
          <w:szCs w:val="28"/>
        </w:rPr>
      </w:pPr>
    </w:p>
    <w:p w14:paraId="1DD55FA5" w14:textId="77777777" w:rsidR="0099088D" w:rsidRPr="002636AA" w:rsidRDefault="0099088D" w:rsidP="0099088D">
      <w:pPr>
        <w:autoSpaceDE w:val="0"/>
        <w:autoSpaceDN w:val="0"/>
        <w:adjustRightInd w:val="0"/>
        <w:ind w:firstLine="540"/>
        <w:jc w:val="both"/>
        <w:rPr>
          <w:sz w:val="28"/>
          <w:szCs w:val="28"/>
        </w:rPr>
      </w:pPr>
      <w:r w:rsidRPr="002636AA">
        <w:rPr>
          <w:sz w:val="28"/>
          <w:szCs w:val="28"/>
        </w:rPr>
        <w:t>Предложения предприятия приведены в Таблице 2.</w:t>
      </w:r>
    </w:p>
    <w:p w14:paraId="1DC2F776" w14:textId="77777777" w:rsidR="0099088D" w:rsidRPr="002636AA" w:rsidRDefault="0099088D" w:rsidP="0099088D">
      <w:pPr>
        <w:autoSpaceDE w:val="0"/>
        <w:autoSpaceDN w:val="0"/>
        <w:adjustRightInd w:val="0"/>
        <w:ind w:firstLine="540"/>
        <w:jc w:val="right"/>
        <w:rPr>
          <w:sz w:val="28"/>
          <w:szCs w:val="28"/>
        </w:rPr>
      </w:pPr>
      <w:r w:rsidRPr="002636AA">
        <w:rPr>
          <w:sz w:val="28"/>
          <w:szCs w:val="28"/>
        </w:rPr>
        <w:t>Таблица 2</w:t>
      </w:r>
    </w:p>
    <w:tbl>
      <w:tblPr>
        <w:tblW w:w="9644" w:type="dxa"/>
        <w:tblInd w:w="103" w:type="dxa"/>
        <w:tblLook w:val="04A0" w:firstRow="1" w:lastRow="0" w:firstColumn="1" w:lastColumn="0" w:noHBand="0" w:noVBand="1"/>
      </w:tblPr>
      <w:tblGrid>
        <w:gridCol w:w="1297"/>
        <w:gridCol w:w="4106"/>
        <w:gridCol w:w="1775"/>
        <w:gridCol w:w="2466"/>
      </w:tblGrid>
      <w:tr w:rsidR="0099088D" w:rsidRPr="002636AA" w14:paraId="3CA9AD45" w14:textId="77777777" w:rsidTr="0099088D">
        <w:trPr>
          <w:trHeight w:val="458"/>
          <w:tblHeader/>
        </w:trPr>
        <w:tc>
          <w:tcPr>
            <w:tcW w:w="12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9C3E63" w14:textId="77777777" w:rsidR="0099088D" w:rsidRPr="002636AA" w:rsidRDefault="0099088D" w:rsidP="0099088D">
            <w:pPr>
              <w:jc w:val="center"/>
              <w:rPr>
                <w:color w:val="000000"/>
              </w:rPr>
            </w:pPr>
            <w:r w:rsidRPr="002636AA">
              <w:rPr>
                <w:color w:val="000000"/>
              </w:rPr>
              <w:t>№</w:t>
            </w:r>
          </w:p>
        </w:tc>
        <w:tc>
          <w:tcPr>
            <w:tcW w:w="41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12319C" w14:textId="77777777" w:rsidR="0099088D" w:rsidRPr="002636AA" w:rsidRDefault="0099088D" w:rsidP="0099088D">
            <w:pPr>
              <w:jc w:val="center"/>
              <w:rPr>
                <w:color w:val="000000"/>
              </w:rPr>
            </w:pPr>
            <w:r w:rsidRPr="002636AA">
              <w:rPr>
                <w:color w:val="000000"/>
              </w:rPr>
              <w:t>Наименование стандартизированных тарифных ставок</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05F8C1" w14:textId="77777777" w:rsidR="0099088D" w:rsidRPr="002636AA" w:rsidRDefault="0099088D" w:rsidP="0099088D">
            <w:pPr>
              <w:jc w:val="center"/>
              <w:rPr>
                <w:color w:val="000000"/>
              </w:rPr>
            </w:pPr>
            <w:r w:rsidRPr="002636AA">
              <w:rPr>
                <w:color w:val="000000"/>
              </w:rPr>
              <w:t>Единица измерения</w:t>
            </w:r>
          </w:p>
        </w:tc>
        <w:tc>
          <w:tcPr>
            <w:tcW w:w="246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524B7BE" w14:textId="77777777" w:rsidR="0099088D" w:rsidRPr="002636AA" w:rsidRDefault="0099088D" w:rsidP="0099088D">
            <w:pPr>
              <w:jc w:val="center"/>
              <w:rPr>
                <w:color w:val="000000"/>
              </w:rPr>
            </w:pPr>
            <w:r w:rsidRPr="002636AA">
              <w:rPr>
                <w:color w:val="000000"/>
              </w:rPr>
              <w:t xml:space="preserve">Размеры стандартизированных тарифных ставок </w:t>
            </w:r>
            <w:r w:rsidRPr="002636AA">
              <w:rPr>
                <w:color w:val="2D2D2D"/>
              </w:rPr>
              <w:t>(без НДС, с налогом на прибыль)</w:t>
            </w:r>
          </w:p>
        </w:tc>
      </w:tr>
      <w:tr w:rsidR="0099088D" w:rsidRPr="002636AA" w14:paraId="3D30264D" w14:textId="77777777" w:rsidTr="0099088D">
        <w:trPr>
          <w:trHeight w:val="1554"/>
          <w:tblHeader/>
        </w:trPr>
        <w:tc>
          <w:tcPr>
            <w:tcW w:w="1297" w:type="dxa"/>
            <w:vMerge/>
            <w:tcBorders>
              <w:top w:val="single" w:sz="4" w:space="0" w:color="auto"/>
              <w:left w:val="single" w:sz="4" w:space="0" w:color="auto"/>
              <w:bottom w:val="single" w:sz="4" w:space="0" w:color="auto"/>
              <w:right w:val="single" w:sz="4" w:space="0" w:color="auto"/>
            </w:tcBorders>
            <w:vAlign w:val="center"/>
            <w:hideMark/>
          </w:tcPr>
          <w:p w14:paraId="54690136" w14:textId="77777777" w:rsidR="0099088D" w:rsidRPr="002636AA" w:rsidRDefault="0099088D" w:rsidP="0099088D">
            <w:pPr>
              <w:rPr>
                <w:color w:val="000000"/>
              </w:rPr>
            </w:pPr>
          </w:p>
        </w:tc>
        <w:tc>
          <w:tcPr>
            <w:tcW w:w="4106" w:type="dxa"/>
            <w:vMerge/>
            <w:tcBorders>
              <w:top w:val="single" w:sz="4" w:space="0" w:color="auto"/>
              <w:left w:val="single" w:sz="4" w:space="0" w:color="auto"/>
              <w:bottom w:val="single" w:sz="4" w:space="0" w:color="auto"/>
              <w:right w:val="single" w:sz="4" w:space="0" w:color="auto"/>
            </w:tcBorders>
            <w:vAlign w:val="center"/>
            <w:hideMark/>
          </w:tcPr>
          <w:p w14:paraId="5B6069F4" w14:textId="77777777" w:rsidR="0099088D" w:rsidRPr="002636AA" w:rsidRDefault="0099088D" w:rsidP="0099088D">
            <w:pPr>
              <w:rPr>
                <w:color w:val="000000"/>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1CCDA0B7" w14:textId="77777777" w:rsidR="0099088D" w:rsidRPr="002636AA" w:rsidRDefault="0099088D" w:rsidP="0099088D">
            <w:pPr>
              <w:rPr>
                <w:color w:val="000000"/>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179B559D" w14:textId="77777777" w:rsidR="0099088D" w:rsidRPr="002636AA" w:rsidRDefault="0099088D" w:rsidP="0099088D">
            <w:pPr>
              <w:rPr>
                <w:color w:val="000000"/>
              </w:rPr>
            </w:pPr>
          </w:p>
        </w:tc>
      </w:tr>
      <w:tr w:rsidR="0099088D" w:rsidRPr="002636AA" w14:paraId="74EFC4B3" w14:textId="77777777" w:rsidTr="0099088D">
        <w:trPr>
          <w:trHeight w:val="458"/>
          <w:tblHeader/>
        </w:trPr>
        <w:tc>
          <w:tcPr>
            <w:tcW w:w="1297" w:type="dxa"/>
            <w:vMerge/>
            <w:tcBorders>
              <w:top w:val="single" w:sz="4" w:space="0" w:color="auto"/>
              <w:left w:val="single" w:sz="4" w:space="0" w:color="auto"/>
              <w:bottom w:val="single" w:sz="4" w:space="0" w:color="auto"/>
              <w:right w:val="single" w:sz="4" w:space="0" w:color="auto"/>
            </w:tcBorders>
            <w:vAlign w:val="center"/>
            <w:hideMark/>
          </w:tcPr>
          <w:p w14:paraId="7B3A2FA3" w14:textId="77777777" w:rsidR="0099088D" w:rsidRPr="002636AA" w:rsidRDefault="0099088D" w:rsidP="0099088D">
            <w:pPr>
              <w:rPr>
                <w:color w:val="000000"/>
              </w:rPr>
            </w:pPr>
          </w:p>
        </w:tc>
        <w:tc>
          <w:tcPr>
            <w:tcW w:w="4106" w:type="dxa"/>
            <w:vMerge/>
            <w:tcBorders>
              <w:top w:val="single" w:sz="4" w:space="0" w:color="auto"/>
              <w:left w:val="single" w:sz="4" w:space="0" w:color="auto"/>
              <w:bottom w:val="single" w:sz="4" w:space="0" w:color="auto"/>
              <w:right w:val="single" w:sz="4" w:space="0" w:color="auto"/>
            </w:tcBorders>
            <w:vAlign w:val="center"/>
            <w:hideMark/>
          </w:tcPr>
          <w:p w14:paraId="02426DFD" w14:textId="77777777" w:rsidR="0099088D" w:rsidRPr="002636AA" w:rsidRDefault="0099088D" w:rsidP="0099088D">
            <w:pPr>
              <w:rPr>
                <w:color w:val="000000"/>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49823A6F" w14:textId="77777777" w:rsidR="0099088D" w:rsidRPr="002636AA" w:rsidRDefault="0099088D" w:rsidP="0099088D">
            <w:pPr>
              <w:rPr>
                <w:color w:val="000000"/>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24087EA8" w14:textId="77777777" w:rsidR="0099088D" w:rsidRPr="002636AA" w:rsidRDefault="0099088D" w:rsidP="0099088D">
            <w:pPr>
              <w:rPr>
                <w:color w:val="000000"/>
              </w:rPr>
            </w:pPr>
          </w:p>
        </w:tc>
      </w:tr>
      <w:tr w:rsidR="0099088D" w:rsidRPr="002636AA" w14:paraId="482436DB" w14:textId="77777777" w:rsidTr="0099088D">
        <w:trPr>
          <w:trHeight w:val="558"/>
          <w:tblHeader/>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5A06C8" w14:textId="77777777" w:rsidR="0099088D" w:rsidRPr="002636AA" w:rsidRDefault="0099088D" w:rsidP="0099088D">
            <w:pPr>
              <w:jc w:val="center"/>
              <w:rPr>
                <w:color w:val="000000"/>
              </w:rPr>
            </w:pPr>
            <w:r w:rsidRPr="002636AA">
              <w:rPr>
                <w:color w:val="000000"/>
              </w:rPr>
              <w:t>1</w:t>
            </w:r>
          </w:p>
        </w:tc>
        <w:tc>
          <w:tcPr>
            <w:tcW w:w="4106" w:type="dxa"/>
            <w:tcBorders>
              <w:top w:val="single" w:sz="4" w:space="0" w:color="auto"/>
              <w:left w:val="nil"/>
              <w:bottom w:val="single" w:sz="4" w:space="0" w:color="auto"/>
              <w:right w:val="single" w:sz="4" w:space="0" w:color="auto"/>
            </w:tcBorders>
            <w:shd w:val="clear" w:color="auto" w:fill="auto"/>
            <w:vAlign w:val="center"/>
            <w:hideMark/>
          </w:tcPr>
          <w:p w14:paraId="71C2F4F4" w14:textId="77777777" w:rsidR="0099088D" w:rsidRPr="002636AA" w:rsidRDefault="0099088D" w:rsidP="0099088D">
            <w:pPr>
              <w:jc w:val="center"/>
              <w:rPr>
                <w:color w:val="000000"/>
              </w:rPr>
            </w:pPr>
            <w:r w:rsidRPr="002636AA">
              <w:rPr>
                <w:color w:val="000000"/>
              </w:rPr>
              <w:t>2</w:t>
            </w:r>
          </w:p>
        </w:tc>
        <w:tc>
          <w:tcPr>
            <w:tcW w:w="1775" w:type="dxa"/>
            <w:tcBorders>
              <w:top w:val="single" w:sz="4" w:space="0" w:color="auto"/>
              <w:left w:val="nil"/>
              <w:bottom w:val="single" w:sz="4" w:space="0" w:color="auto"/>
              <w:right w:val="single" w:sz="4" w:space="0" w:color="auto"/>
            </w:tcBorders>
            <w:shd w:val="clear" w:color="auto" w:fill="auto"/>
            <w:vAlign w:val="center"/>
            <w:hideMark/>
          </w:tcPr>
          <w:p w14:paraId="5F3C2DB9" w14:textId="77777777" w:rsidR="0099088D" w:rsidRPr="002636AA" w:rsidRDefault="0099088D" w:rsidP="0099088D">
            <w:pPr>
              <w:jc w:val="center"/>
              <w:rPr>
                <w:color w:val="000000"/>
              </w:rPr>
            </w:pPr>
            <w:r w:rsidRPr="002636AA">
              <w:rPr>
                <w:color w:val="000000"/>
              </w:rPr>
              <w:t>3</w:t>
            </w:r>
          </w:p>
        </w:tc>
        <w:tc>
          <w:tcPr>
            <w:tcW w:w="2466" w:type="dxa"/>
            <w:tcBorders>
              <w:top w:val="single" w:sz="4" w:space="0" w:color="auto"/>
              <w:left w:val="nil"/>
              <w:bottom w:val="single" w:sz="4" w:space="0" w:color="auto"/>
              <w:right w:val="single" w:sz="4" w:space="0" w:color="auto"/>
            </w:tcBorders>
            <w:shd w:val="clear" w:color="000000" w:fill="FFFFFF"/>
            <w:vAlign w:val="center"/>
            <w:hideMark/>
          </w:tcPr>
          <w:p w14:paraId="22B3006E" w14:textId="77777777" w:rsidR="0099088D" w:rsidRPr="002636AA" w:rsidRDefault="0099088D" w:rsidP="0099088D">
            <w:pPr>
              <w:jc w:val="center"/>
              <w:rPr>
                <w:color w:val="000000"/>
              </w:rPr>
            </w:pPr>
            <w:r w:rsidRPr="002636AA">
              <w:rPr>
                <w:color w:val="000000"/>
              </w:rPr>
              <w:t>4</w:t>
            </w:r>
          </w:p>
        </w:tc>
      </w:tr>
      <w:tr w:rsidR="0099088D" w:rsidRPr="002636AA" w14:paraId="23C4ACDD" w14:textId="77777777" w:rsidTr="0099088D">
        <w:trPr>
          <w:trHeight w:val="94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9408F" w14:textId="77777777" w:rsidR="0099088D" w:rsidRPr="002636AA" w:rsidRDefault="0099088D" w:rsidP="0099088D">
            <w:pPr>
              <w:jc w:val="center"/>
              <w:rPr>
                <w:color w:val="000000"/>
              </w:rPr>
            </w:pPr>
            <w:r w:rsidRPr="002636AA">
              <w:rPr>
                <w:color w:val="000000"/>
              </w:rPr>
              <w:t>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6B0E6EFC" w14:textId="77777777" w:rsidR="0099088D" w:rsidRPr="002636AA" w:rsidRDefault="0099088D" w:rsidP="0099088D">
            <w:pPr>
              <w:rPr>
                <w:color w:val="000000"/>
              </w:rPr>
            </w:pPr>
            <w:r w:rsidRPr="002636AA">
              <w:rPr>
                <w:color w:val="000000"/>
              </w:rPr>
              <w:t>Размер стандартизированной тарифной ставки С</w:t>
            </w:r>
            <w:r w:rsidRPr="002636AA">
              <w:rPr>
                <w:color w:val="000000"/>
                <w:vertAlign w:val="subscript"/>
              </w:rPr>
              <w:t>2</w:t>
            </w:r>
            <w:r w:rsidRPr="002636AA">
              <w:rPr>
                <w:color w:val="000000"/>
              </w:rPr>
              <w:t xml:space="preserve"> на покрытие расходов газораспределительной организации, связанных со строительством стальных газопроводов:</w:t>
            </w:r>
          </w:p>
        </w:tc>
      </w:tr>
      <w:tr w:rsidR="0099088D" w:rsidRPr="002636AA" w14:paraId="0A63635E" w14:textId="77777777" w:rsidTr="0099088D">
        <w:trPr>
          <w:trHeight w:val="591"/>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B2862BE" w14:textId="77777777" w:rsidR="0099088D" w:rsidRPr="002636AA" w:rsidRDefault="0099088D" w:rsidP="0099088D">
            <w:pPr>
              <w:jc w:val="center"/>
              <w:rPr>
                <w:color w:val="000000"/>
              </w:rPr>
            </w:pPr>
            <w:r w:rsidRPr="002636AA">
              <w:rPr>
                <w:color w:val="000000"/>
              </w:rPr>
              <w:t>1.1.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6760DF4C" w14:textId="77777777" w:rsidR="0099088D" w:rsidRPr="002636AA" w:rsidRDefault="0099088D" w:rsidP="0099088D">
            <w:pPr>
              <w:rPr>
                <w:color w:val="000000"/>
              </w:rPr>
            </w:pPr>
            <w:r w:rsidRPr="002636AA">
              <w:rPr>
                <w:color w:val="000000"/>
              </w:rPr>
              <w:t>наземного (надземного) способа прокладки, наружным диаметром:</w:t>
            </w:r>
          </w:p>
        </w:tc>
      </w:tr>
      <w:tr w:rsidR="0099088D" w:rsidRPr="002636AA" w14:paraId="29E2DDDF" w14:textId="77777777" w:rsidTr="0099088D">
        <w:trPr>
          <w:trHeight w:val="288"/>
        </w:trPr>
        <w:tc>
          <w:tcPr>
            <w:tcW w:w="1297" w:type="dxa"/>
            <w:tcBorders>
              <w:top w:val="nil"/>
              <w:left w:val="single" w:sz="4" w:space="0" w:color="auto"/>
              <w:bottom w:val="single" w:sz="4" w:space="0" w:color="auto"/>
              <w:right w:val="single" w:sz="4" w:space="0" w:color="auto"/>
            </w:tcBorders>
            <w:shd w:val="clear" w:color="auto" w:fill="auto"/>
            <w:vAlign w:val="center"/>
          </w:tcPr>
          <w:p w14:paraId="21E7D12F" w14:textId="77777777" w:rsidR="0099088D" w:rsidRPr="002636AA" w:rsidRDefault="0099088D" w:rsidP="0099088D">
            <w:pPr>
              <w:jc w:val="center"/>
              <w:rPr>
                <w:color w:val="000000"/>
              </w:rPr>
            </w:pPr>
            <w:r w:rsidRPr="002636AA">
              <w:rPr>
                <w:color w:val="000000"/>
              </w:rPr>
              <w:t>1.1.1.</w:t>
            </w:r>
          </w:p>
        </w:tc>
        <w:tc>
          <w:tcPr>
            <w:tcW w:w="4106" w:type="dxa"/>
            <w:tcBorders>
              <w:top w:val="nil"/>
              <w:left w:val="nil"/>
              <w:bottom w:val="single" w:sz="4" w:space="0" w:color="auto"/>
              <w:right w:val="single" w:sz="4" w:space="0" w:color="auto"/>
            </w:tcBorders>
            <w:shd w:val="clear" w:color="auto" w:fill="auto"/>
            <w:vAlign w:val="center"/>
          </w:tcPr>
          <w:p w14:paraId="5550CF37" w14:textId="77777777" w:rsidR="0099088D" w:rsidRPr="002636AA" w:rsidRDefault="0099088D" w:rsidP="0099088D">
            <w:pPr>
              <w:rPr>
                <w:color w:val="000000"/>
              </w:rPr>
            </w:pPr>
            <w:r w:rsidRPr="002636AA">
              <w:rPr>
                <w:color w:val="000000"/>
              </w:rPr>
              <w:t>50 мм и менее</w:t>
            </w:r>
          </w:p>
        </w:tc>
        <w:tc>
          <w:tcPr>
            <w:tcW w:w="1775" w:type="dxa"/>
            <w:tcBorders>
              <w:left w:val="single" w:sz="4" w:space="0" w:color="auto"/>
              <w:right w:val="single" w:sz="4" w:space="0" w:color="auto"/>
            </w:tcBorders>
            <w:vAlign w:val="center"/>
          </w:tcPr>
          <w:p w14:paraId="182A5457" w14:textId="77777777" w:rsidR="0099088D" w:rsidRPr="002636AA" w:rsidRDefault="0099088D" w:rsidP="0099088D">
            <w:pPr>
              <w:jc w:val="cente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000000" w:fill="auto"/>
          </w:tcPr>
          <w:p w14:paraId="2AF23B8A" w14:textId="77777777" w:rsidR="0099088D" w:rsidRPr="002636AA" w:rsidRDefault="0099088D" w:rsidP="0099088D">
            <w:pPr>
              <w:jc w:val="center"/>
              <w:rPr>
                <w:color w:val="000000"/>
              </w:rPr>
            </w:pPr>
            <w:r w:rsidRPr="002636AA">
              <w:rPr>
                <w:color w:val="000000"/>
              </w:rPr>
              <w:t>2 625 106</w:t>
            </w:r>
          </w:p>
        </w:tc>
      </w:tr>
      <w:tr w:rsidR="0099088D" w:rsidRPr="002636AA" w14:paraId="06D2BBA7" w14:textId="77777777" w:rsidTr="0099088D">
        <w:trPr>
          <w:trHeight w:val="288"/>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F668B73" w14:textId="77777777" w:rsidR="0099088D" w:rsidRPr="002636AA" w:rsidRDefault="0099088D" w:rsidP="0099088D">
            <w:pPr>
              <w:jc w:val="center"/>
              <w:rPr>
                <w:color w:val="000000"/>
              </w:rPr>
            </w:pPr>
            <w:r w:rsidRPr="002636AA">
              <w:rPr>
                <w:color w:val="000000"/>
              </w:rPr>
              <w:t>1.1.2.</w:t>
            </w:r>
          </w:p>
        </w:tc>
        <w:tc>
          <w:tcPr>
            <w:tcW w:w="4106" w:type="dxa"/>
            <w:tcBorders>
              <w:top w:val="nil"/>
              <w:left w:val="nil"/>
              <w:bottom w:val="single" w:sz="4" w:space="0" w:color="auto"/>
              <w:right w:val="single" w:sz="4" w:space="0" w:color="auto"/>
            </w:tcBorders>
            <w:shd w:val="clear" w:color="auto" w:fill="auto"/>
            <w:vAlign w:val="center"/>
            <w:hideMark/>
          </w:tcPr>
          <w:p w14:paraId="1C00BA02" w14:textId="77777777" w:rsidR="0099088D" w:rsidRPr="002636AA" w:rsidRDefault="0099088D" w:rsidP="0099088D">
            <w:pPr>
              <w:rPr>
                <w:color w:val="000000"/>
              </w:rPr>
            </w:pPr>
            <w:r w:rsidRPr="002636AA">
              <w:rPr>
                <w:color w:val="000000"/>
              </w:rPr>
              <w:t>51-100 мм</w:t>
            </w:r>
          </w:p>
        </w:tc>
        <w:tc>
          <w:tcPr>
            <w:tcW w:w="1775" w:type="dxa"/>
            <w:vMerge w:val="restart"/>
            <w:tcBorders>
              <w:left w:val="single" w:sz="4" w:space="0" w:color="auto"/>
              <w:right w:val="single" w:sz="4" w:space="0" w:color="auto"/>
            </w:tcBorders>
            <w:vAlign w:val="center"/>
            <w:hideMark/>
          </w:tcPr>
          <w:p w14:paraId="62ECA2AF" w14:textId="77777777" w:rsidR="0099088D" w:rsidRPr="002636AA" w:rsidRDefault="0099088D" w:rsidP="0099088D">
            <w:pPr>
              <w:jc w:val="center"/>
              <w:rPr>
                <w:color w:val="000000"/>
              </w:rPr>
            </w:pPr>
            <w:r w:rsidRPr="002636AA">
              <w:rPr>
                <w:color w:val="000000"/>
              </w:rPr>
              <w:t>руб./км</w:t>
            </w:r>
          </w:p>
        </w:tc>
        <w:tc>
          <w:tcPr>
            <w:tcW w:w="2466" w:type="dxa"/>
            <w:tcBorders>
              <w:top w:val="single" w:sz="4" w:space="0" w:color="auto"/>
              <w:left w:val="single" w:sz="4" w:space="0" w:color="auto"/>
              <w:bottom w:val="single" w:sz="4" w:space="0" w:color="auto"/>
              <w:right w:val="single" w:sz="4" w:space="0" w:color="auto"/>
            </w:tcBorders>
            <w:shd w:val="clear" w:color="000000" w:fill="auto"/>
            <w:hideMark/>
          </w:tcPr>
          <w:p w14:paraId="2B2A0A1D" w14:textId="77777777" w:rsidR="0099088D" w:rsidRPr="002636AA" w:rsidRDefault="0099088D" w:rsidP="0099088D">
            <w:pPr>
              <w:jc w:val="center"/>
              <w:rPr>
                <w:color w:val="000000"/>
              </w:rPr>
            </w:pPr>
            <w:r w:rsidRPr="002636AA">
              <w:rPr>
                <w:color w:val="000000"/>
              </w:rPr>
              <w:t>2 625 106</w:t>
            </w:r>
          </w:p>
        </w:tc>
      </w:tr>
      <w:tr w:rsidR="0099088D" w:rsidRPr="002636AA" w14:paraId="67EED2D4" w14:textId="77777777" w:rsidTr="0099088D">
        <w:trPr>
          <w:trHeight w:val="288"/>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D75A339" w14:textId="77777777" w:rsidR="0099088D" w:rsidRPr="002636AA" w:rsidRDefault="0099088D" w:rsidP="0099088D">
            <w:pPr>
              <w:jc w:val="center"/>
              <w:rPr>
                <w:color w:val="000000"/>
              </w:rPr>
            </w:pPr>
            <w:r w:rsidRPr="002636AA">
              <w:rPr>
                <w:color w:val="000000"/>
              </w:rPr>
              <w:t>1.1.3.</w:t>
            </w:r>
          </w:p>
        </w:tc>
        <w:tc>
          <w:tcPr>
            <w:tcW w:w="4106" w:type="dxa"/>
            <w:tcBorders>
              <w:top w:val="nil"/>
              <w:left w:val="nil"/>
              <w:bottom w:val="single" w:sz="4" w:space="0" w:color="auto"/>
              <w:right w:val="single" w:sz="4" w:space="0" w:color="auto"/>
            </w:tcBorders>
            <w:shd w:val="clear" w:color="auto" w:fill="auto"/>
            <w:vAlign w:val="center"/>
            <w:hideMark/>
          </w:tcPr>
          <w:p w14:paraId="0503AC55" w14:textId="77777777" w:rsidR="0099088D" w:rsidRPr="002636AA" w:rsidRDefault="0099088D" w:rsidP="0099088D">
            <w:pPr>
              <w:rPr>
                <w:color w:val="000000"/>
              </w:rPr>
            </w:pPr>
            <w:r w:rsidRPr="002636AA">
              <w:rPr>
                <w:color w:val="000000"/>
              </w:rPr>
              <w:t>101-158 мм</w:t>
            </w:r>
          </w:p>
        </w:tc>
        <w:tc>
          <w:tcPr>
            <w:tcW w:w="1775" w:type="dxa"/>
            <w:vMerge/>
            <w:tcBorders>
              <w:left w:val="single" w:sz="4" w:space="0" w:color="auto"/>
              <w:right w:val="single" w:sz="4" w:space="0" w:color="auto"/>
            </w:tcBorders>
            <w:vAlign w:val="center"/>
            <w:hideMark/>
          </w:tcPr>
          <w:p w14:paraId="78F6FE8F" w14:textId="77777777" w:rsidR="0099088D" w:rsidRPr="002636AA" w:rsidRDefault="0099088D" w:rsidP="0099088D">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000000" w:fill="auto"/>
            <w:hideMark/>
          </w:tcPr>
          <w:p w14:paraId="3690B14E" w14:textId="77777777" w:rsidR="0099088D" w:rsidRPr="002636AA" w:rsidRDefault="0099088D" w:rsidP="0099088D">
            <w:pPr>
              <w:jc w:val="center"/>
              <w:rPr>
                <w:color w:val="000000"/>
              </w:rPr>
            </w:pPr>
            <w:r w:rsidRPr="002636AA">
              <w:rPr>
                <w:color w:val="000000"/>
              </w:rPr>
              <w:t>2 625 106</w:t>
            </w:r>
          </w:p>
        </w:tc>
      </w:tr>
      <w:tr w:rsidR="0099088D" w:rsidRPr="002636AA" w14:paraId="41E90D17" w14:textId="77777777" w:rsidTr="0099088D">
        <w:trPr>
          <w:trHeight w:val="288"/>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01AF285" w14:textId="77777777" w:rsidR="0099088D" w:rsidRPr="002636AA" w:rsidRDefault="0099088D" w:rsidP="0099088D">
            <w:pPr>
              <w:jc w:val="center"/>
              <w:rPr>
                <w:color w:val="000000"/>
              </w:rPr>
            </w:pPr>
            <w:r w:rsidRPr="002636AA">
              <w:rPr>
                <w:color w:val="000000"/>
              </w:rPr>
              <w:t>1.1.4.</w:t>
            </w:r>
          </w:p>
        </w:tc>
        <w:tc>
          <w:tcPr>
            <w:tcW w:w="4106" w:type="dxa"/>
            <w:tcBorders>
              <w:top w:val="nil"/>
              <w:left w:val="nil"/>
              <w:bottom w:val="single" w:sz="4" w:space="0" w:color="auto"/>
              <w:right w:val="single" w:sz="4" w:space="0" w:color="auto"/>
            </w:tcBorders>
            <w:shd w:val="clear" w:color="auto" w:fill="auto"/>
            <w:vAlign w:val="center"/>
            <w:hideMark/>
          </w:tcPr>
          <w:p w14:paraId="34D6BA8C" w14:textId="77777777" w:rsidR="0099088D" w:rsidRPr="002636AA" w:rsidRDefault="0099088D" w:rsidP="0099088D">
            <w:pPr>
              <w:rPr>
                <w:color w:val="000000"/>
              </w:rPr>
            </w:pPr>
            <w:r w:rsidRPr="002636AA">
              <w:rPr>
                <w:color w:val="000000"/>
              </w:rPr>
              <w:t>159-218 мм</w:t>
            </w:r>
          </w:p>
        </w:tc>
        <w:tc>
          <w:tcPr>
            <w:tcW w:w="1775" w:type="dxa"/>
            <w:vMerge/>
            <w:tcBorders>
              <w:left w:val="single" w:sz="4" w:space="0" w:color="auto"/>
              <w:right w:val="single" w:sz="4" w:space="0" w:color="auto"/>
            </w:tcBorders>
            <w:vAlign w:val="center"/>
            <w:hideMark/>
          </w:tcPr>
          <w:p w14:paraId="2CBF6BB8" w14:textId="77777777" w:rsidR="0099088D" w:rsidRPr="002636AA" w:rsidRDefault="0099088D" w:rsidP="0099088D">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000000" w:fill="auto"/>
            <w:hideMark/>
          </w:tcPr>
          <w:p w14:paraId="46944A09" w14:textId="77777777" w:rsidR="0099088D" w:rsidRPr="002636AA" w:rsidRDefault="0099088D" w:rsidP="0099088D">
            <w:pPr>
              <w:jc w:val="center"/>
              <w:rPr>
                <w:color w:val="000000"/>
              </w:rPr>
            </w:pPr>
            <w:r w:rsidRPr="002636AA">
              <w:rPr>
                <w:color w:val="000000"/>
              </w:rPr>
              <w:t>3 520 815</w:t>
            </w:r>
          </w:p>
        </w:tc>
      </w:tr>
      <w:tr w:rsidR="0099088D" w:rsidRPr="002636AA" w14:paraId="3FEF18F0" w14:textId="77777777" w:rsidTr="0099088D">
        <w:trPr>
          <w:trHeight w:val="288"/>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4A812AF" w14:textId="77777777" w:rsidR="0099088D" w:rsidRPr="002636AA" w:rsidRDefault="0099088D" w:rsidP="0099088D">
            <w:pPr>
              <w:jc w:val="center"/>
              <w:rPr>
                <w:color w:val="000000"/>
              </w:rPr>
            </w:pPr>
            <w:r w:rsidRPr="002636AA">
              <w:rPr>
                <w:color w:val="000000"/>
              </w:rPr>
              <w:t>1.1.5.</w:t>
            </w:r>
          </w:p>
        </w:tc>
        <w:tc>
          <w:tcPr>
            <w:tcW w:w="4106" w:type="dxa"/>
            <w:tcBorders>
              <w:top w:val="nil"/>
              <w:left w:val="nil"/>
              <w:bottom w:val="single" w:sz="4" w:space="0" w:color="auto"/>
              <w:right w:val="single" w:sz="4" w:space="0" w:color="auto"/>
            </w:tcBorders>
            <w:shd w:val="clear" w:color="auto" w:fill="auto"/>
            <w:vAlign w:val="center"/>
            <w:hideMark/>
          </w:tcPr>
          <w:p w14:paraId="5EE1898E" w14:textId="77777777" w:rsidR="0099088D" w:rsidRPr="002636AA" w:rsidRDefault="0099088D" w:rsidP="0099088D">
            <w:pPr>
              <w:rPr>
                <w:color w:val="000000"/>
              </w:rPr>
            </w:pPr>
            <w:r w:rsidRPr="002636AA">
              <w:rPr>
                <w:color w:val="000000"/>
              </w:rPr>
              <w:t>219-272 мм</w:t>
            </w:r>
          </w:p>
        </w:tc>
        <w:tc>
          <w:tcPr>
            <w:tcW w:w="1775" w:type="dxa"/>
            <w:vMerge/>
            <w:tcBorders>
              <w:left w:val="single" w:sz="4" w:space="0" w:color="auto"/>
              <w:right w:val="single" w:sz="4" w:space="0" w:color="auto"/>
            </w:tcBorders>
            <w:vAlign w:val="center"/>
            <w:hideMark/>
          </w:tcPr>
          <w:p w14:paraId="0D66FF74" w14:textId="77777777" w:rsidR="0099088D" w:rsidRPr="002636AA" w:rsidRDefault="0099088D" w:rsidP="0099088D">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000000" w:fill="auto"/>
            <w:hideMark/>
          </w:tcPr>
          <w:p w14:paraId="4362CA13" w14:textId="77777777" w:rsidR="0099088D" w:rsidRPr="002636AA" w:rsidRDefault="0099088D" w:rsidP="0099088D">
            <w:pPr>
              <w:jc w:val="center"/>
              <w:rPr>
                <w:color w:val="000000"/>
              </w:rPr>
            </w:pPr>
            <w:r w:rsidRPr="002636AA">
              <w:rPr>
                <w:color w:val="000000"/>
              </w:rPr>
              <w:t>4 801 359</w:t>
            </w:r>
          </w:p>
        </w:tc>
      </w:tr>
      <w:tr w:rsidR="0099088D" w:rsidRPr="002636AA" w14:paraId="4E7053AA" w14:textId="77777777" w:rsidTr="0099088D">
        <w:trPr>
          <w:trHeight w:val="288"/>
        </w:trPr>
        <w:tc>
          <w:tcPr>
            <w:tcW w:w="1297" w:type="dxa"/>
            <w:tcBorders>
              <w:top w:val="nil"/>
              <w:left w:val="single" w:sz="4" w:space="0" w:color="auto"/>
              <w:bottom w:val="single" w:sz="4" w:space="0" w:color="auto"/>
              <w:right w:val="single" w:sz="4" w:space="0" w:color="auto"/>
            </w:tcBorders>
            <w:shd w:val="clear" w:color="auto" w:fill="auto"/>
            <w:hideMark/>
          </w:tcPr>
          <w:p w14:paraId="529C8774" w14:textId="77777777" w:rsidR="0099088D" w:rsidRPr="002636AA" w:rsidRDefault="0099088D" w:rsidP="0099088D">
            <w:pPr>
              <w:jc w:val="center"/>
              <w:rPr>
                <w:sz w:val="20"/>
                <w:szCs w:val="20"/>
              </w:rPr>
            </w:pPr>
            <w:r w:rsidRPr="002636AA">
              <w:rPr>
                <w:color w:val="000000"/>
              </w:rPr>
              <w:t>1.1.6.</w:t>
            </w:r>
          </w:p>
        </w:tc>
        <w:tc>
          <w:tcPr>
            <w:tcW w:w="4106" w:type="dxa"/>
            <w:tcBorders>
              <w:top w:val="nil"/>
              <w:left w:val="nil"/>
              <w:bottom w:val="single" w:sz="4" w:space="0" w:color="auto"/>
              <w:right w:val="single" w:sz="4" w:space="0" w:color="auto"/>
            </w:tcBorders>
            <w:shd w:val="clear" w:color="auto" w:fill="auto"/>
            <w:vAlign w:val="center"/>
            <w:hideMark/>
          </w:tcPr>
          <w:p w14:paraId="5A0545EE" w14:textId="77777777" w:rsidR="0099088D" w:rsidRPr="002636AA" w:rsidRDefault="0099088D" w:rsidP="0099088D">
            <w:pPr>
              <w:rPr>
                <w:color w:val="000000"/>
              </w:rPr>
            </w:pPr>
            <w:r w:rsidRPr="002636AA">
              <w:rPr>
                <w:color w:val="000000"/>
              </w:rPr>
              <w:t>273-324 мм</w:t>
            </w:r>
          </w:p>
        </w:tc>
        <w:tc>
          <w:tcPr>
            <w:tcW w:w="1775" w:type="dxa"/>
            <w:vMerge/>
            <w:tcBorders>
              <w:left w:val="single" w:sz="4" w:space="0" w:color="auto"/>
              <w:right w:val="single" w:sz="4" w:space="0" w:color="auto"/>
            </w:tcBorders>
            <w:vAlign w:val="center"/>
            <w:hideMark/>
          </w:tcPr>
          <w:p w14:paraId="17589EAB" w14:textId="77777777" w:rsidR="0099088D" w:rsidRPr="002636AA" w:rsidRDefault="0099088D" w:rsidP="0099088D">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000000" w:fill="auto"/>
            <w:hideMark/>
          </w:tcPr>
          <w:p w14:paraId="3DCBCC7B" w14:textId="77777777" w:rsidR="0099088D" w:rsidRPr="002636AA" w:rsidRDefault="0099088D" w:rsidP="0099088D">
            <w:pPr>
              <w:jc w:val="center"/>
              <w:rPr>
                <w:color w:val="000000"/>
              </w:rPr>
            </w:pPr>
            <w:r w:rsidRPr="002636AA">
              <w:rPr>
                <w:color w:val="000000"/>
              </w:rPr>
              <w:t>5 788 418</w:t>
            </w:r>
          </w:p>
        </w:tc>
      </w:tr>
      <w:tr w:rsidR="0099088D" w:rsidRPr="002636AA" w14:paraId="3C6E9F1C" w14:textId="77777777" w:rsidTr="0099088D">
        <w:trPr>
          <w:trHeight w:val="288"/>
        </w:trPr>
        <w:tc>
          <w:tcPr>
            <w:tcW w:w="1297" w:type="dxa"/>
            <w:tcBorders>
              <w:top w:val="nil"/>
              <w:left w:val="single" w:sz="4" w:space="0" w:color="auto"/>
              <w:bottom w:val="single" w:sz="4" w:space="0" w:color="auto"/>
              <w:right w:val="single" w:sz="4" w:space="0" w:color="auto"/>
            </w:tcBorders>
            <w:shd w:val="clear" w:color="auto" w:fill="auto"/>
          </w:tcPr>
          <w:p w14:paraId="46467773" w14:textId="77777777" w:rsidR="0099088D" w:rsidRPr="002636AA" w:rsidRDefault="0099088D" w:rsidP="0099088D">
            <w:pPr>
              <w:jc w:val="center"/>
              <w:rPr>
                <w:sz w:val="20"/>
                <w:szCs w:val="20"/>
              </w:rPr>
            </w:pPr>
            <w:r w:rsidRPr="002636AA">
              <w:rPr>
                <w:color w:val="000000"/>
              </w:rPr>
              <w:t>1.1.7.</w:t>
            </w:r>
          </w:p>
        </w:tc>
        <w:tc>
          <w:tcPr>
            <w:tcW w:w="4106" w:type="dxa"/>
            <w:tcBorders>
              <w:top w:val="nil"/>
              <w:left w:val="nil"/>
              <w:bottom w:val="single" w:sz="4" w:space="0" w:color="auto"/>
              <w:right w:val="single" w:sz="4" w:space="0" w:color="auto"/>
            </w:tcBorders>
            <w:shd w:val="clear" w:color="auto" w:fill="auto"/>
            <w:vAlign w:val="center"/>
          </w:tcPr>
          <w:p w14:paraId="186156B0" w14:textId="77777777" w:rsidR="0099088D" w:rsidRPr="002636AA" w:rsidRDefault="0099088D" w:rsidP="0099088D">
            <w:pPr>
              <w:rPr>
                <w:color w:val="000000"/>
              </w:rPr>
            </w:pPr>
            <w:r w:rsidRPr="002636AA">
              <w:rPr>
                <w:color w:val="000000"/>
              </w:rPr>
              <w:t>325-425 мм</w:t>
            </w:r>
          </w:p>
        </w:tc>
        <w:tc>
          <w:tcPr>
            <w:tcW w:w="1775" w:type="dxa"/>
            <w:vMerge/>
            <w:tcBorders>
              <w:left w:val="single" w:sz="4" w:space="0" w:color="auto"/>
              <w:right w:val="single" w:sz="4" w:space="0" w:color="auto"/>
            </w:tcBorders>
            <w:vAlign w:val="center"/>
          </w:tcPr>
          <w:p w14:paraId="69476498" w14:textId="77777777" w:rsidR="0099088D" w:rsidRPr="002636AA" w:rsidRDefault="0099088D" w:rsidP="0099088D">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000000" w:fill="auto"/>
          </w:tcPr>
          <w:p w14:paraId="72EB0012" w14:textId="77777777" w:rsidR="0099088D" w:rsidRPr="002636AA" w:rsidRDefault="0099088D" w:rsidP="0099088D">
            <w:pPr>
              <w:jc w:val="center"/>
              <w:rPr>
                <w:color w:val="000000"/>
              </w:rPr>
            </w:pPr>
            <w:r w:rsidRPr="002636AA">
              <w:rPr>
                <w:color w:val="000000"/>
              </w:rPr>
              <w:t>7 023 977</w:t>
            </w:r>
          </w:p>
        </w:tc>
      </w:tr>
      <w:tr w:rsidR="0099088D" w:rsidRPr="002636AA" w14:paraId="443754C9" w14:textId="77777777" w:rsidTr="0099088D">
        <w:trPr>
          <w:trHeight w:val="288"/>
        </w:trPr>
        <w:tc>
          <w:tcPr>
            <w:tcW w:w="1297" w:type="dxa"/>
            <w:tcBorders>
              <w:top w:val="nil"/>
              <w:left w:val="single" w:sz="4" w:space="0" w:color="auto"/>
              <w:bottom w:val="single" w:sz="4" w:space="0" w:color="auto"/>
              <w:right w:val="single" w:sz="4" w:space="0" w:color="auto"/>
            </w:tcBorders>
            <w:shd w:val="clear" w:color="auto" w:fill="auto"/>
          </w:tcPr>
          <w:p w14:paraId="7ADAD6A6" w14:textId="77777777" w:rsidR="0099088D" w:rsidRPr="002636AA" w:rsidRDefault="0099088D" w:rsidP="0099088D">
            <w:pPr>
              <w:jc w:val="center"/>
              <w:rPr>
                <w:sz w:val="20"/>
                <w:szCs w:val="20"/>
              </w:rPr>
            </w:pPr>
            <w:r w:rsidRPr="002636AA">
              <w:rPr>
                <w:color w:val="000000"/>
              </w:rPr>
              <w:t>1.1.8.</w:t>
            </w:r>
          </w:p>
        </w:tc>
        <w:tc>
          <w:tcPr>
            <w:tcW w:w="4106" w:type="dxa"/>
            <w:tcBorders>
              <w:top w:val="nil"/>
              <w:left w:val="nil"/>
              <w:bottom w:val="single" w:sz="4" w:space="0" w:color="auto"/>
              <w:right w:val="single" w:sz="4" w:space="0" w:color="auto"/>
            </w:tcBorders>
            <w:shd w:val="clear" w:color="auto" w:fill="auto"/>
            <w:vAlign w:val="center"/>
          </w:tcPr>
          <w:p w14:paraId="3869AA92" w14:textId="77777777" w:rsidR="0099088D" w:rsidRPr="002636AA" w:rsidRDefault="0099088D" w:rsidP="0099088D">
            <w:pPr>
              <w:rPr>
                <w:color w:val="000000"/>
              </w:rPr>
            </w:pPr>
            <w:r w:rsidRPr="002636AA">
              <w:rPr>
                <w:color w:val="000000"/>
              </w:rPr>
              <w:t>426-529 мм</w:t>
            </w:r>
          </w:p>
        </w:tc>
        <w:tc>
          <w:tcPr>
            <w:tcW w:w="1775" w:type="dxa"/>
            <w:vMerge/>
            <w:tcBorders>
              <w:left w:val="single" w:sz="4" w:space="0" w:color="auto"/>
              <w:right w:val="single" w:sz="4" w:space="0" w:color="auto"/>
            </w:tcBorders>
            <w:vAlign w:val="center"/>
          </w:tcPr>
          <w:p w14:paraId="48C17E14" w14:textId="77777777" w:rsidR="0099088D" w:rsidRPr="002636AA" w:rsidRDefault="0099088D" w:rsidP="0099088D">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000000" w:fill="auto"/>
          </w:tcPr>
          <w:p w14:paraId="420E9357" w14:textId="77777777" w:rsidR="0099088D" w:rsidRPr="002636AA" w:rsidRDefault="0099088D" w:rsidP="0099088D">
            <w:pPr>
              <w:jc w:val="center"/>
              <w:rPr>
                <w:color w:val="000000"/>
              </w:rPr>
            </w:pPr>
            <w:r w:rsidRPr="002636AA">
              <w:rPr>
                <w:color w:val="000000"/>
              </w:rPr>
              <w:t>8 746 133</w:t>
            </w:r>
          </w:p>
        </w:tc>
      </w:tr>
      <w:tr w:rsidR="0099088D" w:rsidRPr="002636AA" w14:paraId="31D96960" w14:textId="77777777" w:rsidTr="0099088D">
        <w:trPr>
          <w:trHeight w:val="288"/>
        </w:trPr>
        <w:tc>
          <w:tcPr>
            <w:tcW w:w="1297" w:type="dxa"/>
            <w:tcBorders>
              <w:top w:val="nil"/>
              <w:left w:val="single" w:sz="4" w:space="0" w:color="auto"/>
              <w:bottom w:val="single" w:sz="4" w:space="0" w:color="auto"/>
              <w:right w:val="single" w:sz="4" w:space="0" w:color="auto"/>
            </w:tcBorders>
            <w:shd w:val="clear" w:color="auto" w:fill="auto"/>
          </w:tcPr>
          <w:p w14:paraId="19BC773E" w14:textId="77777777" w:rsidR="0099088D" w:rsidRPr="002636AA" w:rsidRDefault="0099088D" w:rsidP="0099088D">
            <w:pPr>
              <w:jc w:val="center"/>
              <w:rPr>
                <w:sz w:val="20"/>
                <w:szCs w:val="20"/>
              </w:rPr>
            </w:pPr>
            <w:r w:rsidRPr="002636AA">
              <w:rPr>
                <w:color w:val="000000"/>
              </w:rPr>
              <w:t>1.1.9.</w:t>
            </w:r>
          </w:p>
        </w:tc>
        <w:tc>
          <w:tcPr>
            <w:tcW w:w="4106" w:type="dxa"/>
            <w:tcBorders>
              <w:top w:val="nil"/>
              <w:left w:val="nil"/>
              <w:bottom w:val="single" w:sz="4" w:space="0" w:color="auto"/>
              <w:right w:val="single" w:sz="4" w:space="0" w:color="auto"/>
            </w:tcBorders>
            <w:shd w:val="clear" w:color="auto" w:fill="auto"/>
            <w:vAlign w:val="center"/>
          </w:tcPr>
          <w:p w14:paraId="6E373F4A" w14:textId="77777777" w:rsidR="0099088D" w:rsidRPr="002636AA" w:rsidRDefault="0099088D" w:rsidP="0099088D">
            <w:pPr>
              <w:rPr>
                <w:color w:val="000000"/>
              </w:rPr>
            </w:pPr>
            <w:r w:rsidRPr="002636AA">
              <w:rPr>
                <w:color w:val="000000"/>
              </w:rPr>
              <w:t>530 мм и выше</w:t>
            </w:r>
          </w:p>
        </w:tc>
        <w:tc>
          <w:tcPr>
            <w:tcW w:w="1775" w:type="dxa"/>
            <w:vMerge/>
            <w:tcBorders>
              <w:left w:val="single" w:sz="4" w:space="0" w:color="auto"/>
              <w:bottom w:val="single" w:sz="4" w:space="0" w:color="auto"/>
              <w:right w:val="single" w:sz="4" w:space="0" w:color="auto"/>
            </w:tcBorders>
            <w:vAlign w:val="center"/>
          </w:tcPr>
          <w:p w14:paraId="5883FBCF" w14:textId="77777777" w:rsidR="0099088D" w:rsidRPr="002636AA" w:rsidRDefault="0099088D" w:rsidP="0099088D">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000000" w:fill="auto"/>
          </w:tcPr>
          <w:p w14:paraId="5A600CD7" w14:textId="77777777" w:rsidR="0099088D" w:rsidRPr="002636AA" w:rsidRDefault="0099088D" w:rsidP="0099088D">
            <w:pPr>
              <w:jc w:val="center"/>
              <w:rPr>
                <w:color w:val="000000"/>
              </w:rPr>
            </w:pPr>
            <w:r w:rsidRPr="002636AA">
              <w:rPr>
                <w:color w:val="000000"/>
              </w:rPr>
              <w:t>11 753 654</w:t>
            </w:r>
          </w:p>
        </w:tc>
      </w:tr>
      <w:tr w:rsidR="0099088D" w:rsidRPr="002636AA" w14:paraId="5A9854F5" w14:textId="77777777" w:rsidTr="0099088D">
        <w:trPr>
          <w:trHeight w:val="437"/>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CAC5679" w14:textId="77777777" w:rsidR="0099088D" w:rsidRPr="002636AA" w:rsidRDefault="0099088D" w:rsidP="0099088D">
            <w:pPr>
              <w:jc w:val="center"/>
              <w:rPr>
                <w:color w:val="000000"/>
              </w:rPr>
            </w:pPr>
            <w:r w:rsidRPr="002636AA">
              <w:rPr>
                <w:color w:val="000000"/>
              </w:rPr>
              <w:t>1.2.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7A7E4E8C" w14:textId="77777777" w:rsidR="0099088D" w:rsidRPr="002636AA" w:rsidRDefault="0099088D" w:rsidP="0099088D">
            <w:pPr>
              <w:rPr>
                <w:color w:val="000000"/>
              </w:rPr>
            </w:pPr>
            <w:r w:rsidRPr="002636AA">
              <w:rPr>
                <w:color w:val="000000"/>
              </w:rPr>
              <w:t>подземного способа прокладки, наружным диаметром:</w:t>
            </w:r>
          </w:p>
        </w:tc>
      </w:tr>
      <w:tr w:rsidR="0099088D" w:rsidRPr="002636AA" w14:paraId="7C2D2F51" w14:textId="77777777" w:rsidTr="0099088D">
        <w:trPr>
          <w:trHeight w:val="264"/>
        </w:trPr>
        <w:tc>
          <w:tcPr>
            <w:tcW w:w="1297" w:type="dxa"/>
            <w:tcBorders>
              <w:top w:val="nil"/>
              <w:left w:val="single" w:sz="4" w:space="0" w:color="auto"/>
              <w:bottom w:val="single" w:sz="4" w:space="0" w:color="auto"/>
              <w:right w:val="single" w:sz="4" w:space="0" w:color="auto"/>
            </w:tcBorders>
            <w:shd w:val="clear" w:color="auto" w:fill="auto"/>
            <w:vAlign w:val="center"/>
          </w:tcPr>
          <w:p w14:paraId="21001DD6" w14:textId="77777777" w:rsidR="0099088D" w:rsidRPr="002636AA" w:rsidRDefault="0099088D" w:rsidP="0099088D">
            <w:pPr>
              <w:jc w:val="center"/>
              <w:rPr>
                <w:color w:val="000000"/>
              </w:rPr>
            </w:pPr>
            <w:r w:rsidRPr="002636AA">
              <w:rPr>
                <w:color w:val="000000"/>
              </w:rPr>
              <w:t>1.2.1.</w:t>
            </w:r>
          </w:p>
        </w:tc>
        <w:tc>
          <w:tcPr>
            <w:tcW w:w="4106" w:type="dxa"/>
            <w:tcBorders>
              <w:top w:val="nil"/>
              <w:left w:val="nil"/>
              <w:bottom w:val="single" w:sz="4" w:space="0" w:color="auto"/>
              <w:right w:val="single" w:sz="4" w:space="0" w:color="auto"/>
            </w:tcBorders>
            <w:shd w:val="clear" w:color="auto" w:fill="auto"/>
            <w:vAlign w:val="center"/>
          </w:tcPr>
          <w:p w14:paraId="1C8564A0" w14:textId="77777777" w:rsidR="0099088D" w:rsidRPr="002636AA" w:rsidRDefault="0099088D" w:rsidP="0099088D">
            <w:pPr>
              <w:rPr>
                <w:color w:val="000000"/>
              </w:rPr>
            </w:pPr>
            <w:r w:rsidRPr="002636AA">
              <w:rPr>
                <w:color w:val="000000"/>
              </w:rPr>
              <w:t>50 мм и менее</w:t>
            </w:r>
          </w:p>
        </w:tc>
        <w:tc>
          <w:tcPr>
            <w:tcW w:w="1775" w:type="dxa"/>
            <w:tcBorders>
              <w:left w:val="single" w:sz="4" w:space="0" w:color="auto"/>
              <w:right w:val="single" w:sz="4" w:space="0" w:color="auto"/>
            </w:tcBorders>
            <w:vAlign w:val="center"/>
          </w:tcPr>
          <w:p w14:paraId="44720559" w14:textId="77777777" w:rsidR="0099088D" w:rsidRPr="002636AA" w:rsidRDefault="0099088D" w:rsidP="0099088D">
            <w:pPr>
              <w:jc w:val="cente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tcPr>
          <w:p w14:paraId="6543FC26" w14:textId="77777777" w:rsidR="0099088D" w:rsidRPr="002636AA" w:rsidRDefault="0099088D" w:rsidP="0099088D">
            <w:pPr>
              <w:jc w:val="center"/>
              <w:rPr>
                <w:color w:val="000000"/>
              </w:rPr>
            </w:pPr>
            <w:r w:rsidRPr="002636AA">
              <w:rPr>
                <w:color w:val="000000"/>
              </w:rPr>
              <w:t>3 507 926</w:t>
            </w:r>
          </w:p>
        </w:tc>
      </w:tr>
      <w:tr w:rsidR="0099088D" w:rsidRPr="002636AA" w14:paraId="3AB7A57E" w14:textId="77777777" w:rsidTr="0099088D">
        <w:trPr>
          <w:trHeight w:val="264"/>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C7D3DBE" w14:textId="77777777" w:rsidR="0099088D" w:rsidRPr="002636AA" w:rsidRDefault="0099088D" w:rsidP="0099088D">
            <w:pPr>
              <w:jc w:val="center"/>
              <w:rPr>
                <w:color w:val="000000"/>
              </w:rPr>
            </w:pPr>
            <w:r w:rsidRPr="002636AA">
              <w:rPr>
                <w:color w:val="000000"/>
              </w:rPr>
              <w:t>1.2.2.</w:t>
            </w:r>
          </w:p>
        </w:tc>
        <w:tc>
          <w:tcPr>
            <w:tcW w:w="4106" w:type="dxa"/>
            <w:tcBorders>
              <w:top w:val="nil"/>
              <w:left w:val="nil"/>
              <w:bottom w:val="single" w:sz="4" w:space="0" w:color="auto"/>
              <w:right w:val="single" w:sz="4" w:space="0" w:color="auto"/>
            </w:tcBorders>
            <w:shd w:val="clear" w:color="auto" w:fill="auto"/>
            <w:vAlign w:val="center"/>
            <w:hideMark/>
          </w:tcPr>
          <w:p w14:paraId="1BB6A407" w14:textId="77777777" w:rsidR="0099088D" w:rsidRPr="002636AA" w:rsidRDefault="0099088D" w:rsidP="0099088D">
            <w:pPr>
              <w:rPr>
                <w:color w:val="000000"/>
              </w:rPr>
            </w:pPr>
            <w:r w:rsidRPr="002636AA">
              <w:rPr>
                <w:color w:val="000000"/>
              </w:rPr>
              <w:t>51-100 мм</w:t>
            </w:r>
          </w:p>
        </w:tc>
        <w:tc>
          <w:tcPr>
            <w:tcW w:w="1775" w:type="dxa"/>
            <w:vMerge w:val="restart"/>
            <w:tcBorders>
              <w:left w:val="single" w:sz="4" w:space="0" w:color="auto"/>
              <w:right w:val="single" w:sz="4" w:space="0" w:color="auto"/>
            </w:tcBorders>
            <w:vAlign w:val="center"/>
            <w:hideMark/>
          </w:tcPr>
          <w:p w14:paraId="48BF59B7" w14:textId="77777777" w:rsidR="0099088D" w:rsidRPr="002636AA" w:rsidRDefault="0099088D" w:rsidP="0099088D">
            <w:pPr>
              <w:jc w:val="center"/>
              <w:rPr>
                <w:color w:val="000000"/>
              </w:rPr>
            </w:pPr>
            <w:r w:rsidRPr="002636AA">
              <w:rPr>
                <w:color w:val="000000"/>
              </w:rPr>
              <w:t>руб./км</w:t>
            </w: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6FE18BA8" w14:textId="77777777" w:rsidR="0099088D" w:rsidRPr="002636AA" w:rsidRDefault="0099088D" w:rsidP="0099088D">
            <w:pPr>
              <w:jc w:val="center"/>
              <w:rPr>
                <w:color w:val="000000"/>
              </w:rPr>
            </w:pPr>
            <w:r w:rsidRPr="002636AA">
              <w:rPr>
                <w:color w:val="000000"/>
              </w:rPr>
              <w:t>3 507 926</w:t>
            </w:r>
          </w:p>
        </w:tc>
      </w:tr>
      <w:tr w:rsidR="0099088D" w:rsidRPr="002636AA" w14:paraId="7B5AAA35" w14:textId="77777777" w:rsidTr="0099088D">
        <w:trPr>
          <w:trHeight w:val="264"/>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254972F" w14:textId="77777777" w:rsidR="0099088D" w:rsidRPr="002636AA" w:rsidRDefault="0099088D" w:rsidP="0099088D">
            <w:pPr>
              <w:jc w:val="center"/>
              <w:rPr>
                <w:color w:val="000000"/>
              </w:rPr>
            </w:pPr>
            <w:r w:rsidRPr="002636AA">
              <w:rPr>
                <w:color w:val="000000"/>
              </w:rPr>
              <w:t>1.2.3.</w:t>
            </w:r>
          </w:p>
        </w:tc>
        <w:tc>
          <w:tcPr>
            <w:tcW w:w="4106" w:type="dxa"/>
            <w:tcBorders>
              <w:top w:val="nil"/>
              <w:left w:val="nil"/>
              <w:bottom w:val="single" w:sz="4" w:space="0" w:color="auto"/>
              <w:right w:val="single" w:sz="4" w:space="0" w:color="auto"/>
            </w:tcBorders>
            <w:shd w:val="clear" w:color="auto" w:fill="auto"/>
            <w:vAlign w:val="center"/>
            <w:hideMark/>
          </w:tcPr>
          <w:p w14:paraId="7238B9B1" w14:textId="77777777" w:rsidR="0099088D" w:rsidRPr="002636AA" w:rsidRDefault="0099088D" w:rsidP="0099088D">
            <w:pPr>
              <w:rPr>
                <w:color w:val="000000"/>
              </w:rPr>
            </w:pPr>
            <w:r w:rsidRPr="002636AA">
              <w:rPr>
                <w:color w:val="000000"/>
              </w:rPr>
              <w:t>101-158 мм</w:t>
            </w:r>
          </w:p>
        </w:tc>
        <w:tc>
          <w:tcPr>
            <w:tcW w:w="1775" w:type="dxa"/>
            <w:vMerge/>
            <w:tcBorders>
              <w:left w:val="single" w:sz="4" w:space="0" w:color="auto"/>
              <w:right w:val="single" w:sz="4" w:space="0" w:color="auto"/>
            </w:tcBorders>
            <w:vAlign w:val="center"/>
            <w:hideMark/>
          </w:tcPr>
          <w:p w14:paraId="0538B06B" w14:textId="77777777" w:rsidR="0099088D" w:rsidRPr="002636AA"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6AD4A8BF" w14:textId="77777777" w:rsidR="0099088D" w:rsidRPr="002636AA" w:rsidRDefault="0099088D" w:rsidP="0099088D">
            <w:pPr>
              <w:jc w:val="center"/>
              <w:rPr>
                <w:color w:val="000000"/>
              </w:rPr>
            </w:pPr>
            <w:r w:rsidRPr="002636AA">
              <w:rPr>
                <w:color w:val="000000"/>
              </w:rPr>
              <w:t>3 507 926</w:t>
            </w:r>
          </w:p>
        </w:tc>
      </w:tr>
      <w:tr w:rsidR="0099088D" w:rsidRPr="002636AA" w14:paraId="59872476" w14:textId="77777777" w:rsidTr="0099088D">
        <w:trPr>
          <w:trHeight w:val="264"/>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040B926" w14:textId="77777777" w:rsidR="0099088D" w:rsidRPr="002636AA" w:rsidRDefault="0099088D" w:rsidP="0099088D">
            <w:pPr>
              <w:jc w:val="center"/>
              <w:rPr>
                <w:color w:val="000000"/>
              </w:rPr>
            </w:pPr>
            <w:r w:rsidRPr="002636AA">
              <w:rPr>
                <w:color w:val="000000"/>
              </w:rPr>
              <w:t>1.2.4.</w:t>
            </w:r>
          </w:p>
        </w:tc>
        <w:tc>
          <w:tcPr>
            <w:tcW w:w="4106" w:type="dxa"/>
            <w:tcBorders>
              <w:top w:val="nil"/>
              <w:left w:val="nil"/>
              <w:bottom w:val="single" w:sz="4" w:space="0" w:color="auto"/>
              <w:right w:val="single" w:sz="4" w:space="0" w:color="auto"/>
            </w:tcBorders>
            <w:shd w:val="clear" w:color="auto" w:fill="auto"/>
            <w:vAlign w:val="center"/>
            <w:hideMark/>
          </w:tcPr>
          <w:p w14:paraId="2E0BD76C" w14:textId="77777777" w:rsidR="0099088D" w:rsidRPr="002636AA" w:rsidRDefault="0099088D" w:rsidP="0099088D">
            <w:pPr>
              <w:rPr>
                <w:color w:val="000000"/>
              </w:rPr>
            </w:pPr>
            <w:r w:rsidRPr="002636AA">
              <w:rPr>
                <w:color w:val="000000"/>
              </w:rPr>
              <w:t>159-218 мм</w:t>
            </w:r>
          </w:p>
        </w:tc>
        <w:tc>
          <w:tcPr>
            <w:tcW w:w="1775" w:type="dxa"/>
            <w:vMerge/>
            <w:tcBorders>
              <w:left w:val="single" w:sz="4" w:space="0" w:color="auto"/>
              <w:right w:val="single" w:sz="4" w:space="0" w:color="auto"/>
            </w:tcBorders>
            <w:vAlign w:val="center"/>
            <w:hideMark/>
          </w:tcPr>
          <w:p w14:paraId="1754244D" w14:textId="77777777" w:rsidR="0099088D" w:rsidRPr="002636AA"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12015E30" w14:textId="77777777" w:rsidR="0099088D" w:rsidRPr="002636AA" w:rsidRDefault="0099088D" w:rsidP="0099088D">
            <w:pPr>
              <w:jc w:val="center"/>
              <w:rPr>
                <w:color w:val="000000"/>
              </w:rPr>
            </w:pPr>
            <w:r w:rsidRPr="002636AA">
              <w:rPr>
                <w:color w:val="000000"/>
              </w:rPr>
              <w:t>4 147 498</w:t>
            </w:r>
          </w:p>
        </w:tc>
      </w:tr>
      <w:tr w:rsidR="0099088D" w:rsidRPr="002636AA" w14:paraId="30AAE6AE" w14:textId="77777777" w:rsidTr="0099088D">
        <w:trPr>
          <w:trHeight w:val="264"/>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08EB895" w14:textId="77777777" w:rsidR="0099088D" w:rsidRPr="002636AA" w:rsidRDefault="0099088D" w:rsidP="0099088D">
            <w:pPr>
              <w:jc w:val="center"/>
              <w:rPr>
                <w:color w:val="000000"/>
              </w:rPr>
            </w:pPr>
            <w:r w:rsidRPr="002636AA">
              <w:rPr>
                <w:color w:val="000000"/>
              </w:rPr>
              <w:t>1.2.5.</w:t>
            </w:r>
          </w:p>
        </w:tc>
        <w:tc>
          <w:tcPr>
            <w:tcW w:w="4106" w:type="dxa"/>
            <w:tcBorders>
              <w:top w:val="nil"/>
              <w:left w:val="nil"/>
              <w:bottom w:val="single" w:sz="4" w:space="0" w:color="auto"/>
              <w:right w:val="single" w:sz="4" w:space="0" w:color="auto"/>
            </w:tcBorders>
            <w:shd w:val="clear" w:color="auto" w:fill="auto"/>
            <w:vAlign w:val="center"/>
            <w:hideMark/>
          </w:tcPr>
          <w:p w14:paraId="6E4BED50" w14:textId="77777777" w:rsidR="0099088D" w:rsidRPr="002636AA" w:rsidRDefault="0099088D" w:rsidP="0099088D">
            <w:pPr>
              <w:rPr>
                <w:color w:val="000000"/>
              </w:rPr>
            </w:pPr>
            <w:r w:rsidRPr="002636AA">
              <w:rPr>
                <w:color w:val="000000"/>
              </w:rPr>
              <w:t>219-272 мм</w:t>
            </w:r>
          </w:p>
        </w:tc>
        <w:tc>
          <w:tcPr>
            <w:tcW w:w="1775" w:type="dxa"/>
            <w:vMerge/>
            <w:tcBorders>
              <w:left w:val="single" w:sz="4" w:space="0" w:color="auto"/>
              <w:right w:val="single" w:sz="4" w:space="0" w:color="auto"/>
            </w:tcBorders>
            <w:vAlign w:val="center"/>
            <w:hideMark/>
          </w:tcPr>
          <w:p w14:paraId="71DC1750" w14:textId="77777777" w:rsidR="0099088D" w:rsidRPr="002636AA"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23773EA4" w14:textId="77777777" w:rsidR="0099088D" w:rsidRPr="002636AA" w:rsidRDefault="0099088D" w:rsidP="0099088D">
            <w:pPr>
              <w:jc w:val="center"/>
              <w:rPr>
                <w:color w:val="000000"/>
              </w:rPr>
            </w:pPr>
            <w:r w:rsidRPr="002636AA">
              <w:rPr>
                <w:color w:val="000000"/>
              </w:rPr>
              <w:t>5 572 910</w:t>
            </w:r>
          </w:p>
        </w:tc>
      </w:tr>
      <w:tr w:rsidR="0099088D" w:rsidRPr="002636AA" w14:paraId="003374F9" w14:textId="77777777" w:rsidTr="0099088D">
        <w:trPr>
          <w:trHeight w:val="264"/>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7607788" w14:textId="77777777" w:rsidR="0099088D" w:rsidRPr="002636AA" w:rsidRDefault="0099088D" w:rsidP="0099088D">
            <w:pPr>
              <w:jc w:val="center"/>
              <w:rPr>
                <w:color w:val="000000"/>
              </w:rPr>
            </w:pPr>
            <w:r w:rsidRPr="002636AA">
              <w:rPr>
                <w:color w:val="000000"/>
              </w:rPr>
              <w:t>1.2.6.</w:t>
            </w:r>
          </w:p>
        </w:tc>
        <w:tc>
          <w:tcPr>
            <w:tcW w:w="4106" w:type="dxa"/>
            <w:tcBorders>
              <w:top w:val="nil"/>
              <w:left w:val="nil"/>
              <w:bottom w:val="single" w:sz="4" w:space="0" w:color="auto"/>
              <w:right w:val="single" w:sz="4" w:space="0" w:color="auto"/>
            </w:tcBorders>
            <w:shd w:val="clear" w:color="auto" w:fill="auto"/>
            <w:vAlign w:val="center"/>
            <w:hideMark/>
          </w:tcPr>
          <w:p w14:paraId="3AD65979" w14:textId="77777777" w:rsidR="0099088D" w:rsidRPr="002636AA" w:rsidRDefault="0099088D" w:rsidP="0099088D">
            <w:pPr>
              <w:rPr>
                <w:color w:val="000000"/>
              </w:rPr>
            </w:pPr>
            <w:r w:rsidRPr="002636AA">
              <w:rPr>
                <w:color w:val="000000"/>
              </w:rPr>
              <w:t>273-324 мм</w:t>
            </w:r>
          </w:p>
        </w:tc>
        <w:tc>
          <w:tcPr>
            <w:tcW w:w="1775" w:type="dxa"/>
            <w:vMerge/>
            <w:tcBorders>
              <w:left w:val="single" w:sz="4" w:space="0" w:color="auto"/>
              <w:right w:val="single" w:sz="4" w:space="0" w:color="auto"/>
            </w:tcBorders>
            <w:vAlign w:val="center"/>
            <w:hideMark/>
          </w:tcPr>
          <w:p w14:paraId="4C335238" w14:textId="77777777" w:rsidR="0099088D" w:rsidRPr="002636AA"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67E61152" w14:textId="77777777" w:rsidR="0099088D" w:rsidRPr="002636AA" w:rsidRDefault="0099088D" w:rsidP="0099088D">
            <w:pPr>
              <w:jc w:val="center"/>
              <w:rPr>
                <w:color w:val="000000"/>
              </w:rPr>
            </w:pPr>
            <w:r w:rsidRPr="002636AA">
              <w:rPr>
                <w:color w:val="000000"/>
              </w:rPr>
              <w:t>6 312 276</w:t>
            </w:r>
          </w:p>
        </w:tc>
      </w:tr>
      <w:tr w:rsidR="0099088D" w:rsidRPr="002636AA" w14:paraId="490E02B0" w14:textId="77777777" w:rsidTr="0099088D">
        <w:trPr>
          <w:trHeight w:val="264"/>
        </w:trPr>
        <w:tc>
          <w:tcPr>
            <w:tcW w:w="1297" w:type="dxa"/>
            <w:tcBorders>
              <w:top w:val="nil"/>
              <w:left w:val="single" w:sz="4" w:space="0" w:color="auto"/>
              <w:bottom w:val="single" w:sz="4" w:space="0" w:color="auto"/>
              <w:right w:val="single" w:sz="4" w:space="0" w:color="auto"/>
            </w:tcBorders>
            <w:shd w:val="clear" w:color="auto" w:fill="auto"/>
            <w:hideMark/>
          </w:tcPr>
          <w:p w14:paraId="511B2370" w14:textId="77777777" w:rsidR="0099088D" w:rsidRPr="002636AA" w:rsidRDefault="0099088D" w:rsidP="0099088D">
            <w:pPr>
              <w:jc w:val="center"/>
              <w:rPr>
                <w:sz w:val="20"/>
                <w:szCs w:val="20"/>
              </w:rPr>
            </w:pPr>
            <w:r w:rsidRPr="002636AA">
              <w:rPr>
                <w:color w:val="000000"/>
              </w:rPr>
              <w:t>1.2.7.</w:t>
            </w:r>
          </w:p>
        </w:tc>
        <w:tc>
          <w:tcPr>
            <w:tcW w:w="4106" w:type="dxa"/>
            <w:tcBorders>
              <w:top w:val="nil"/>
              <w:left w:val="nil"/>
              <w:bottom w:val="single" w:sz="4" w:space="0" w:color="auto"/>
              <w:right w:val="single" w:sz="4" w:space="0" w:color="auto"/>
            </w:tcBorders>
            <w:shd w:val="clear" w:color="auto" w:fill="auto"/>
            <w:vAlign w:val="center"/>
            <w:hideMark/>
          </w:tcPr>
          <w:p w14:paraId="192B5543" w14:textId="77777777" w:rsidR="0099088D" w:rsidRPr="002636AA" w:rsidRDefault="0099088D" w:rsidP="0099088D">
            <w:pPr>
              <w:rPr>
                <w:color w:val="000000"/>
              </w:rPr>
            </w:pPr>
            <w:r w:rsidRPr="002636AA">
              <w:rPr>
                <w:color w:val="000000"/>
              </w:rPr>
              <w:t>325-425 мм</w:t>
            </w:r>
          </w:p>
        </w:tc>
        <w:tc>
          <w:tcPr>
            <w:tcW w:w="1775" w:type="dxa"/>
            <w:vMerge/>
            <w:tcBorders>
              <w:left w:val="single" w:sz="4" w:space="0" w:color="auto"/>
              <w:right w:val="single" w:sz="4" w:space="0" w:color="auto"/>
            </w:tcBorders>
            <w:vAlign w:val="center"/>
            <w:hideMark/>
          </w:tcPr>
          <w:p w14:paraId="2E729779" w14:textId="77777777" w:rsidR="0099088D" w:rsidRPr="002636AA"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7D29D645" w14:textId="77777777" w:rsidR="0099088D" w:rsidRPr="002636AA" w:rsidRDefault="0099088D" w:rsidP="0099088D">
            <w:pPr>
              <w:jc w:val="center"/>
              <w:rPr>
                <w:color w:val="000000"/>
              </w:rPr>
            </w:pPr>
            <w:r w:rsidRPr="002636AA">
              <w:rPr>
                <w:color w:val="000000"/>
              </w:rPr>
              <w:t>7 967 075</w:t>
            </w:r>
          </w:p>
        </w:tc>
      </w:tr>
      <w:tr w:rsidR="0099088D" w:rsidRPr="002636AA" w14:paraId="347D3854" w14:textId="77777777" w:rsidTr="0099088D">
        <w:trPr>
          <w:trHeight w:val="264"/>
        </w:trPr>
        <w:tc>
          <w:tcPr>
            <w:tcW w:w="1297" w:type="dxa"/>
            <w:tcBorders>
              <w:top w:val="nil"/>
              <w:left w:val="single" w:sz="4" w:space="0" w:color="auto"/>
              <w:bottom w:val="single" w:sz="4" w:space="0" w:color="auto"/>
              <w:right w:val="single" w:sz="4" w:space="0" w:color="auto"/>
            </w:tcBorders>
            <w:shd w:val="clear" w:color="auto" w:fill="auto"/>
          </w:tcPr>
          <w:p w14:paraId="3989E9E3" w14:textId="77777777" w:rsidR="0099088D" w:rsidRPr="002636AA" w:rsidRDefault="0099088D" w:rsidP="0099088D">
            <w:pPr>
              <w:jc w:val="center"/>
              <w:rPr>
                <w:sz w:val="20"/>
                <w:szCs w:val="20"/>
              </w:rPr>
            </w:pPr>
            <w:r w:rsidRPr="002636AA">
              <w:rPr>
                <w:color w:val="000000"/>
              </w:rPr>
              <w:t>1.2.8.</w:t>
            </w:r>
          </w:p>
        </w:tc>
        <w:tc>
          <w:tcPr>
            <w:tcW w:w="4106" w:type="dxa"/>
            <w:tcBorders>
              <w:top w:val="nil"/>
              <w:left w:val="nil"/>
              <w:bottom w:val="single" w:sz="4" w:space="0" w:color="auto"/>
              <w:right w:val="single" w:sz="4" w:space="0" w:color="auto"/>
            </w:tcBorders>
            <w:shd w:val="clear" w:color="auto" w:fill="auto"/>
            <w:vAlign w:val="center"/>
          </w:tcPr>
          <w:p w14:paraId="7ADE7C08" w14:textId="77777777" w:rsidR="0099088D" w:rsidRPr="002636AA" w:rsidRDefault="0099088D" w:rsidP="0099088D">
            <w:pPr>
              <w:rPr>
                <w:color w:val="000000"/>
              </w:rPr>
            </w:pPr>
            <w:r w:rsidRPr="002636AA">
              <w:rPr>
                <w:color w:val="000000"/>
              </w:rPr>
              <w:t>426-529 мм</w:t>
            </w:r>
          </w:p>
        </w:tc>
        <w:tc>
          <w:tcPr>
            <w:tcW w:w="1775" w:type="dxa"/>
            <w:vMerge/>
            <w:tcBorders>
              <w:left w:val="single" w:sz="4" w:space="0" w:color="auto"/>
              <w:right w:val="single" w:sz="4" w:space="0" w:color="auto"/>
            </w:tcBorders>
            <w:vAlign w:val="center"/>
          </w:tcPr>
          <w:p w14:paraId="4449458D" w14:textId="77777777" w:rsidR="0099088D" w:rsidRPr="002636AA"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tcPr>
          <w:p w14:paraId="49FE1BCC" w14:textId="77777777" w:rsidR="0099088D" w:rsidRPr="002636AA" w:rsidRDefault="0099088D" w:rsidP="0099088D">
            <w:pPr>
              <w:jc w:val="center"/>
              <w:rPr>
                <w:color w:val="000000"/>
              </w:rPr>
            </w:pPr>
            <w:r w:rsidRPr="002636AA">
              <w:rPr>
                <w:color w:val="000000"/>
              </w:rPr>
              <w:t>9 154 343</w:t>
            </w:r>
          </w:p>
        </w:tc>
      </w:tr>
      <w:tr w:rsidR="0099088D" w:rsidRPr="002636AA" w14:paraId="4AC4D63E" w14:textId="77777777" w:rsidTr="0099088D">
        <w:trPr>
          <w:trHeight w:val="264"/>
        </w:trPr>
        <w:tc>
          <w:tcPr>
            <w:tcW w:w="1297" w:type="dxa"/>
            <w:tcBorders>
              <w:top w:val="nil"/>
              <w:left w:val="single" w:sz="4" w:space="0" w:color="auto"/>
              <w:bottom w:val="single" w:sz="4" w:space="0" w:color="auto"/>
              <w:right w:val="single" w:sz="4" w:space="0" w:color="auto"/>
            </w:tcBorders>
            <w:shd w:val="clear" w:color="auto" w:fill="auto"/>
          </w:tcPr>
          <w:p w14:paraId="42E6B27A" w14:textId="77777777" w:rsidR="0099088D" w:rsidRPr="002636AA" w:rsidRDefault="0099088D" w:rsidP="0099088D">
            <w:pPr>
              <w:jc w:val="center"/>
              <w:rPr>
                <w:sz w:val="20"/>
                <w:szCs w:val="20"/>
              </w:rPr>
            </w:pPr>
            <w:r w:rsidRPr="002636AA">
              <w:rPr>
                <w:color w:val="000000"/>
              </w:rPr>
              <w:t>1.2.9.</w:t>
            </w:r>
          </w:p>
        </w:tc>
        <w:tc>
          <w:tcPr>
            <w:tcW w:w="4106" w:type="dxa"/>
            <w:tcBorders>
              <w:top w:val="nil"/>
              <w:left w:val="nil"/>
              <w:bottom w:val="single" w:sz="4" w:space="0" w:color="auto"/>
              <w:right w:val="single" w:sz="4" w:space="0" w:color="auto"/>
            </w:tcBorders>
            <w:shd w:val="clear" w:color="auto" w:fill="auto"/>
            <w:vAlign w:val="center"/>
          </w:tcPr>
          <w:p w14:paraId="2759C27F" w14:textId="77777777" w:rsidR="0099088D" w:rsidRPr="002636AA" w:rsidRDefault="0099088D" w:rsidP="0099088D">
            <w:pPr>
              <w:rPr>
                <w:color w:val="000000"/>
              </w:rPr>
            </w:pPr>
            <w:r w:rsidRPr="002636AA">
              <w:rPr>
                <w:color w:val="000000"/>
              </w:rPr>
              <w:t>530 мм и выше</w:t>
            </w:r>
          </w:p>
        </w:tc>
        <w:tc>
          <w:tcPr>
            <w:tcW w:w="1775" w:type="dxa"/>
            <w:vMerge/>
            <w:tcBorders>
              <w:left w:val="single" w:sz="4" w:space="0" w:color="auto"/>
              <w:bottom w:val="single" w:sz="4" w:space="0" w:color="auto"/>
              <w:right w:val="single" w:sz="4" w:space="0" w:color="auto"/>
            </w:tcBorders>
            <w:vAlign w:val="center"/>
          </w:tcPr>
          <w:p w14:paraId="39874340" w14:textId="77777777" w:rsidR="0099088D" w:rsidRPr="002636AA"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tcPr>
          <w:p w14:paraId="152BC22C" w14:textId="77777777" w:rsidR="0099088D" w:rsidRPr="002636AA" w:rsidRDefault="0099088D" w:rsidP="0099088D">
            <w:pPr>
              <w:jc w:val="center"/>
              <w:rPr>
                <w:color w:val="000000"/>
              </w:rPr>
            </w:pPr>
            <w:r w:rsidRPr="002636AA">
              <w:rPr>
                <w:color w:val="000000"/>
              </w:rPr>
              <w:t>11 555 327</w:t>
            </w:r>
          </w:p>
        </w:tc>
      </w:tr>
    </w:tbl>
    <w:p w14:paraId="7C5BF491" w14:textId="77777777" w:rsidR="0099088D" w:rsidRPr="002636AA" w:rsidRDefault="0099088D" w:rsidP="0099088D">
      <w:pPr>
        <w:autoSpaceDE w:val="0"/>
        <w:autoSpaceDN w:val="0"/>
        <w:adjustRightInd w:val="0"/>
        <w:ind w:firstLine="540"/>
        <w:jc w:val="both"/>
        <w:rPr>
          <w:sz w:val="28"/>
          <w:szCs w:val="28"/>
        </w:rPr>
      </w:pPr>
    </w:p>
    <w:p w14:paraId="6EC25C07" w14:textId="77777777" w:rsidR="0099088D" w:rsidRPr="002636AA" w:rsidRDefault="0099088D" w:rsidP="0099088D">
      <w:pPr>
        <w:autoSpaceDE w:val="0"/>
        <w:autoSpaceDN w:val="0"/>
        <w:adjustRightInd w:val="0"/>
        <w:ind w:firstLine="540"/>
        <w:jc w:val="both"/>
        <w:rPr>
          <w:sz w:val="28"/>
          <w:szCs w:val="28"/>
        </w:rPr>
      </w:pPr>
      <w:r w:rsidRPr="002636AA">
        <w:rPr>
          <w:sz w:val="28"/>
          <w:szCs w:val="28"/>
        </w:rPr>
        <w:t>Размер стандартизированной тарифной ставки на покрытие расходов ГРО, связанных со строительством стальных газопроводов (С2ik), определяется по следующей формуле:</w:t>
      </w:r>
    </w:p>
    <w:p w14:paraId="31517467" w14:textId="77777777" w:rsidR="0099088D" w:rsidRPr="002636AA" w:rsidRDefault="0099088D" w:rsidP="0099088D">
      <w:pPr>
        <w:autoSpaceDE w:val="0"/>
        <w:autoSpaceDN w:val="0"/>
        <w:adjustRightInd w:val="0"/>
        <w:jc w:val="both"/>
        <w:outlineLvl w:val="0"/>
      </w:pPr>
    </w:p>
    <w:p w14:paraId="1CEB50A3" w14:textId="77777777" w:rsidR="0099088D" w:rsidRPr="002636AA" w:rsidRDefault="0099088D" w:rsidP="0099088D">
      <w:pPr>
        <w:autoSpaceDE w:val="0"/>
        <w:autoSpaceDN w:val="0"/>
        <w:adjustRightInd w:val="0"/>
        <w:jc w:val="center"/>
      </w:pPr>
      <w:r w:rsidRPr="002636AA">
        <w:rPr>
          <w:noProof/>
          <w:position w:val="-36"/>
        </w:rPr>
        <w:drawing>
          <wp:inline distT="0" distB="0" distL="0" distR="0" wp14:anchorId="5C2A1B33" wp14:editId="566263D8">
            <wp:extent cx="2057400" cy="6096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31" cstate="print">
                      <a:extLst>
                        <a:ext uri="{28A0092B-C50C-407E-A947-70E740481C1C}">
                          <a14:useLocalDpi xmlns:a14="http://schemas.microsoft.com/office/drawing/2010/main" val="0"/>
                        </a:ext>
                      </a:extLst>
                    </a:blip>
                    <a:srcRect r="13252"/>
                    <a:stretch>
                      <a:fillRect/>
                    </a:stretch>
                  </pic:blipFill>
                  <pic:spPr bwMode="auto">
                    <a:xfrm>
                      <a:off x="0" y="0"/>
                      <a:ext cx="2057400" cy="609600"/>
                    </a:xfrm>
                    <a:prstGeom prst="rect">
                      <a:avLst/>
                    </a:prstGeom>
                    <a:noFill/>
                    <a:ln>
                      <a:noFill/>
                    </a:ln>
                  </pic:spPr>
                </pic:pic>
              </a:graphicData>
            </a:graphic>
          </wp:inline>
        </w:drawing>
      </w:r>
    </w:p>
    <w:p w14:paraId="0A81400E" w14:textId="77777777" w:rsidR="0099088D" w:rsidRPr="002636AA" w:rsidRDefault="0099088D" w:rsidP="0099088D">
      <w:pPr>
        <w:autoSpaceDE w:val="0"/>
        <w:autoSpaceDN w:val="0"/>
        <w:adjustRightInd w:val="0"/>
        <w:jc w:val="both"/>
      </w:pPr>
    </w:p>
    <w:p w14:paraId="1B830D77" w14:textId="77777777" w:rsidR="0099088D" w:rsidRPr="002636AA" w:rsidRDefault="0099088D" w:rsidP="0099088D">
      <w:pPr>
        <w:autoSpaceDE w:val="0"/>
        <w:autoSpaceDN w:val="0"/>
        <w:adjustRightInd w:val="0"/>
        <w:ind w:firstLine="540"/>
        <w:jc w:val="both"/>
        <w:rPr>
          <w:sz w:val="28"/>
          <w:szCs w:val="28"/>
        </w:rPr>
      </w:pPr>
      <w:r w:rsidRPr="002636AA">
        <w:rPr>
          <w:sz w:val="28"/>
          <w:szCs w:val="28"/>
        </w:rPr>
        <w:t>где:</w:t>
      </w:r>
    </w:p>
    <w:p w14:paraId="0DA84070" w14:textId="77777777" w:rsidR="0099088D" w:rsidRPr="002636AA" w:rsidRDefault="0099088D" w:rsidP="0099088D">
      <w:pPr>
        <w:autoSpaceDE w:val="0"/>
        <w:autoSpaceDN w:val="0"/>
        <w:adjustRightInd w:val="0"/>
        <w:ind w:firstLine="540"/>
        <w:jc w:val="both"/>
        <w:rPr>
          <w:sz w:val="28"/>
          <w:szCs w:val="28"/>
        </w:rPr>
      </w:pPr>
      <w:r w:rsidRPr="002636AA">
        <w:rPr>
          <w:sz w:val="28"/>
          <w:szCs w:val="28"/>
        </w:rPr>
        <w:t xml:space="preserve">Рik - фактические расходы ГРО на строительство стального газопровода i-того диапазона диаметров и k-того типа прокладки, понесенные в соответствующем календарном году из предусмотренных </w:t>
      </w:r>
      <w:hyperlink r:id="rId32" w:history="1">
        <w:r w:rsidRPr="002636AA">
          <w:rPr>
            <w:sz w:val="28"/>
            <w:szCs w:val="28"/>
          </w:rPr>
          <w:t>абзацами первым</w:t>
        </w:r>
      </w:hyperlink>
      <w:r w:rsidRPr="002636AA">
        <w:rPr>
          <w:sz w:val="28"/>
          <w:szCs w:val="28"/>
        </w:rPr>
        <w:t xml:space="preserve"> - </w:t>
      </w:r>
      <w:hyperlink r:id="rId33" w:history="1">
        <w:r w:rsidRPr="002636AA">
          <w:rPr>
            <w:sz w:val="28"/>
            <w:szCs w:val="28"/>
          </w:rPr>
          <w:t>четвертым пункта 32</w:t>
        </w:r>
      </w:hyperlink>
      <w:r w:rsidRPr="002636AA">
        <w:rPr>
          <w:sz w:val="28"/>
          <w:szCs w:val="28"/>
        </w:rPr>
        <w:t xml:space="preserve"> Методических указаний, руб.;</w:t>
      </w:r>
    </w:p>
    <w:p w14:paraId="0ABCB0A1" w14:textId="77777777" w:rsidR="0099088D" w:rsidRPr="002636AA" w:rsidRDefault="0099088D" w:rsidP="0099088D">
      <w:pPr>
        <w:autoSpaceDE w:val="0"/>
        <w:autoSpaceDN w:val="0"/>
        <w:adjustRightInd w:val="0"/>
        <w:ind w:firstLine="540"/>
        <w:jc w:val="both"/>
        <w:rPr>
          <w:sz w:val="28"/>
          <w:szCs w:val="28"/>
        </w:rPr>
      </w:pPr>
      <w:r w:rsidRPr="002636AA">
        <w:rPr>
          <w:sz w:val="28"/>
          <w:szCs w:val="28"/>
        </w:rPr>
        <w:t xml:space="preserve">Lik - общая длина стальных газопроводов i-того диапазона диаметров и k-того типа прокладки, построенных в рамках технологического присоединения в соответствующем календарном году из предусмотренных </w:t>
      </w:r>
      <w:hyperlink r:id="rId34" w:history="1">
        <w:r w:rsidRPr="002636AA">
          <w:rPr>
            <w:sz w:val="28"/>
            <w:szCs w:val="28"/>
          </w:rPr>
          <w:t>абзацами первым</w:t>
        </w:r>
      </w:hyperlink>
      <w:r w:rsidRPr="002636AA">
        <w:rPr>
          <w:sz w:val="28"/>
          <w:szCs w:val="28"/>
        </w:rPr>
        <w:t xml:space="preserve"> - </w:t>
      </w:r>
      <w:hyperlink r:id="rId35" w:history="1">
        <w:r w:rsidRPr="002636AA">
          <w:rPr>
            <w:sz w:val="28"/>
            <w:szCs w:val="28"/>
          </w:rPr>
          <w:t>четвертым пункта 31</w:t>
        </w:r>
      </w:hyperlink>
      <w:r w:rsidRPr="002636AA">
        <w:rPr>
          <w:sz w:val="28"/>
          <w:szCs w:val="28"/>
        </w:rPr>
        <w:t xml:space="preserve"> Методических указаний, км;</w:t>
      </w:r>
    </w:p>
    <w:p w14:paraId="03D0BCDA" w14:textId="77777777" w:rsidR="0099088D" w:rsidRPr="002636AA" w:rsidRDefault="0099088D" w:rsidP="0099088D">
      <w:pPr>
        <w:autoSpaceDE w:val="0"/>
        <w:autoSpaceDN w:val="0"/>
        <w:adjustRightInd w:val="0"/>
        <w:ind w:firstLine="540"/>
        <w:jc w:val="both"/>
        <w:rPr>
          <w:sz w:val="28"/>
          <w:szCs w:val="28"/>
        </w:rPr>
      </w:pPr>
      <w:r w:rsidRPr="002636AA">
        <w:rPr>
          <w:sz w:val="28"/>
          <w:szCs w:val="28"/>
        </w:rPr>
        <w:t xml:space="preserve">Iр - коэффициент расходов, определяемый в соответствии с </w:t>
      </w:r>
      <w:hyperlink r:id="rId36" w:history="1">
        <w:r w:rsidRPr="002636AA">
          <w:rPr>
            <w:sz w:val="28"/>
            <w:szCs w:val="28"/>
          </w:rPr>
          <w:t>пунктом 33</w:t>
        </w:r>
      </w:hyperlink>
      <w:r w:rsidRPr="002636AA">
        <w:rPr>
          <w:sz w:val="28"/>
          <w:szCs w:val="28"/>
        </w:rPr>
        <w:t xml:space="preserve"> Методических указаний.</w:t>
      </w:r>
    </w:p>
    <w:p w14:paraId="79E998AF" w14:textId="77777777" w:rsidR="0099088D" w:rsidRPr="002636AA" w:rsidRDefault="0099088D" w:rsidP="0099088D">
      <w:pPr>
        <w:autoSpaceDE w:val="0"/>
        <w:autoSpaceDN w:val="0"/>
        <w:adjustRightInd w:val="0"/>
        <w:ind w:firstLine="540"/>
        <w:jc w:val="both"/>
        <w:rPr>
          <w:sz w:val="28"/>
          <w:szCs w:val="28"/>
        </w:rPr>
      </w:pPr>
      <w:bookmarkStart w:id="39" w:name="_Hlk1562129"/>
      <w:r w:rsidRPr="002636AA">
        <w:rPr>
          <w:sz w:val="28"/>
          <w:szCs w:val="28"/>
        </w:rPr>
        <w:t xml:space="preserve">Предприятием представлен расчет ставки </w:t>
      </w:r>
      <w:bookmarkStart w:id="40" w:name="_Hlk26432628"/>
      <w:r w:rsidRPr="002636AA">
        <w:rPr>
          <w:sz w:val="28"/>
          <w:szCs w:val="28"/>
        </w:rPr>
        <w:t xml:space="preserve">в пункте 1.1.2. Таблицы 2 на основании фактических данных за 2018- 2020 годы, в размере 6 220 593 руб./км, однако предприятие также предлагает утвердить ее на основании расчета ранее установленной ставки на 2021 год </w:t>
      </w:r>
      <w:bookmarkStart w:id="41" w:name="_Hlk57385023"/>
      <w:r w:rsidRPr="002636AA">
        <w:rPr>
          <w:sz w:val="28"/>
          <w:szCs w:val="28"/>
        </w:rPr>
        <w:t>с применением ИЦП в строительстве на 2022 год в размере 1,043, опубликованном на сайте Минэкономразвития России 30.09.2021, как наименьшее значение.</w:t>
      </w:r>
      <w:bookmarkEnd w:id="40"/>
      <w:bookmarkEnd w:id="41"/>
    </w:p>
    <w:bookmarkEnd w:id="39"/>
    <w:p w14:paraId="11937933" w14:textId="77777777" w:rsidR="0099088D" w:rsidRPr="002636AA" w:rsidRDefault="0099088D" w:rsidP="0099088D">
      <w:pPr>
        <w:ind w:firstLine="567"/>
        <w:jc w:val="both"/>
        <w:rPr>
          <w:sz w:val="28"/>
          <w:szCs w:val="28"/>
        </w:rPr>
      </w:pPr>
      <w:r w:rsidRPr="002636AA">
        <w:rPr>
          <w:sz w:val="28"/>
          <w:szCs w:val="28"/>
        </w:rPr>
        <w:t xml:space="preserve">Ставки, указанные в остальных пунктах Таблицы 2, в связи с тем, что ГРО в </w:t>
      </w:r>
      <w:bookmarkStart w:id="42" w:name="_Hlk26432760"/>
      <w:r w:rsidRPr="002636AA">
        <w:rPr>
          <w:sz w:val="28"/>
          <w:szCs w:val="28"/>
        </w:rPr>
        <w:t>2018- 2020 годах</w:t>
      </w:r>
      <w:bookmarkEnd w:id="42"/>
      <w:r w:rsidRPr="002636AA">
        <w:rPr>
          <w:sz w:val="28"/>
          <w:szCs w:val="28"/>
        </w:rPr>
        <w:t xml:space="preserve"> не осуществляла затраты на строительство стальных газопроводах в соответствующих диапазонах диаметров и типа прокладки, определены на уровне утвержденных на 2021 год соответствующих ставок с применением ИЦП в строительстве на 2022 год в размере 1,043, опубликованном на сайте Минэкономразвития России 30.09.2021..</w:t>
      </w:r>
    </w:p>
    <w:p w14:paraId="619D444F" w14:textId="77777777" w:rsidR="0099088D" w:rsidRPr="002636AA" w:rsidRDefault="0099088D" w:rsidP="0099088D">
      <w:pPr>
        <w:autoSpaceDE w:val="0"/>
        <w:autoSpaceDN w:val="0"/>
        <w:adjustRightInd w:val="0"/>
        <w:ind w:firstLine="540"/>
        <w:jc w:val="both"/>
        <w:rPr>
          <w:sz w:val="28"/>
          <w:szCs w:val="28"/>
        </w:rPr>
      </w:pPr>
      <w:r w:rsidRPr="002636AA">
        <w:rPr>
          <w:sz w:val="28"/>
          <w:szCs w:val="28"/>
        </w:rPr>
        <w:t>Эксперты, проанализировав расчеты предлагаемых предприятием стандартизированных тарифных ставок С</w:t>
      </w:r>
      <w:r w:rsidRPr="002636AA">
        <w:rPr>
          <w:sz w:val="28"/>
          <w:szCs w:val="28"/>
          <w:vertAlign w:val="subscript"/>
        </w:rPr>
        <w:t>2</w:t>
      </w:r>
      <w:r w:rsidRPr="002636AA">
        <w:rPr>
          <w:sz w:val="28"/>
          <w:szCs w:val="28"/>
        </w:rPr>
        <w:t>, предлагают утвердить их на уровне предложений предприятия.</w:t>
      </w:r>
    </w:p>
    <w:p w14:paraId="69528009" w14:textId="77777777" w:rsidR="0099088D" w:rsidRPr="002636AA" w:rsidRDefault="0099088D" w:rsidP="0099088D">
      <w:pPr>
        <w:autoSpaceDE w:val="0"/>
        <w:autoSpaceDN w:val="0"/>
        <w:adjustRightInd w:val="0"/>
        <w:ind w:firstLine="540"/>
        <w:jc w:val="both"/>
        <w:rPr>
          <w:sz w:val="28"/>
          <w:szCs w:val="28"/>
        </w:rPr>
      </w:pPr>
    </w:p>
    <w:p w14:paraId="1D06C458" w14:textId="77777777" w:rsidR="0099088D" w:rsidRPr="002636AA" w:rsidRDefault="0099088D" w:rsidP="0099088D">
      <w:pPr>
        <w:tabs>
          <w:tab w:val="left" w:pos="0"/>
          <w:tab w:val="left" w:pos="284"/>
        </w:tabs>
        <w:jc w:val="center"/>
        <w:rPr>
          <w:b/>
          <w:sz w:val="28"/>
          <w:szCs w:val="28"/>
        </w:rPr>
      </w:pPr>
      <w:bookmarkStart w:id="43" w:name="_Hlk1560309"/>
      <w:r w:rsidRPr="002636AA">
        <w:rPr>
          <w:b/>
          <w:sz w:val="28"/>
          <w:szCs w:val="28"/>
        </w:rPr>
        <w:t>Расчет стандартизированной тарифной ставки С</w:t>
      </w:r>
      <w:r w:rsidRPr="002636AA">
        <w:rPr>
          <w:b/>
          <w:sz w:val="28"/>
          <w:szCs w:val="28"/>
          <w:vertAlign w:val="subscript"/>
        </w:rPr>
        <w:t>3,</w:t>
      </w:r>
      <w:r w:rsidRPr="002636AA">
        <w:rPr>
          <w:b/>
          <w:sz w:val="28"/>
          <w:szCs w:val="28"/>
        </w:rPr>
        <w:t xml:space="preserve"> на покрытие расходов ГРО, связанных</w:t>
      </w:r>
      <w:r w:rsidRPr="002636AA">
        <w:rPr>
          <w:sz w:val="28"/>
          <w:szCs w:val="28"/>
        </w:rPr>
        <w:t xml:space="preserve"> </w:t>
      </w:r>
      <w:r w:rsidRPr="002636AA">
        <w:rPr>
          <w:b/>
          <w:sz w:val="28"/>
          <w:szCs w:val="28"/>
        </w:rPr>
        <w:t>со строительством полиэтиленового газопровода j-того диапазона диаметров, в расчете на 1 км</w:t>
      </w:r>
    </w:p>
    <w:p w14:paraId="27A72D1A" w14:textId="77777777" w:rsidR="0099088D" w:rsidRPr="002636AA" w:rsidRDefault="0099088D" w:rsidP="0099088D">
      <w:pPr>
        <w:autoSpaceDE w:val="0"/>
        <w:autoSpaceDN w:val="0"/>
        <w:adjustRightInd w:val="0"/>
        <w:ind w:firstLine="540"/>
        <w:jc w:val="both"/>
        <w:rPr>
          <w:sz w:val="28"/>
          <w:szCs w:val="28"/>
        </w:rPr>
      </w:pPr>
    </w:p>
    <w:p w14:paraId="5379FCB6" w14:textId="77777777" w:rsidR="0099088D" w:rsidRPr="002636AA" w:rsidRDefault="0099088D" w:rsidP="0099088D">
      <w:pPr>
        <w:autoSpaceDE w:val="0"/>
        <w:autoSpaceDN w:val="0"/>
        <w:adjustRightInd w:val="0"/>
        <w:ind w:firstLine="540"/>
        <w:jc w:val="both"/>
        <w:rPr>
          <w:sz w:val="28"/>
          <w:szCs w:val="28"/>
        </w:rPr>
      </w:pPr>
      <w:r w:rsidRPr="002636AA">
        <w:rPr>
          <w:sz w:val="28"/>
          <w:szCs w:val="28"/>
        </w:rPr>
        <w:t>Предложения предприятия приведены в Таблице 3.</w:t>
      </w:r>
    </w:p>
    <w:p w14:paraId="09E0A9C9" w14:textId="77777777" w:rsidR="0099088D" w:rsidRPr="002636AA" w:rsidRDefault="0099088D" w:rsidP="0099088D">
      <w:pPr>
        <w:autoSpaceDE w:val="0"/>
        <w:autoSpaceDN w:val="0"/>
        <w:adjustRightInd w:val="0"/>
        <w:ind w:firstLine="540"/>
        <w:jc w:val="right"/>
        <w:rPr>
          <w:sz w:val="28"/>
          <w:szCs w:val="28"/>
        </w:rPr>
      </w:pPr>
      <w:r w:rsidRPr="002636AA">
        <w:rPr>
          <w:sz w:val="28"/>
          <w:szCs w:val="28"/>
        </w:rPr>
        <w:t>Таблица 3</w:t>
      </w:r>
    </w:p>
    <w:bookmarkEnd w:id="43"/>
    <w:p w14:paraId="0ADE4B6E" w14:textId="77777777" w:rsidR="0099088D" w:rsidRPr="002636AA" w:rsidRDefault="0099088D" w:rsidP="0099088D">
      <w:pPr>
        <w:autoSpaceDE w:val="0"/>
        <w:autoSpaceDN w:val="0"/>
        <w:adjustRightInd w:val="0"/>
        <w:ind w:firstLine="540"/>
        <w:jc w:val="both"/>
        <w:rPr>
          <w:sz w:val="28"/>
          <w:szCs w:val="28"/>
        </w:rPr>
      </w:pPr>
    </w:p>
    <w:tbl>
      <w:tblPr>
        <w:tblW w:w="9644" w:type="dxa"/>
        <w:tblInd w:w="103" w:type="dxa"/>
        <w:tblLook w:val="04A0" w:firstRow="1" w:lastRow="0" w:firstColumn="1" w:lastColumn="0" w:noHBand="0" w:noVBand="1"/>
      </w:tblPr>
      <w:tblGrid>
        <w:gridCol w:w="1297"/>
        <w:gridCol w:w="4106"/>
        <w:gridCol w:w="1775"/>
        <w:gridCol w:w="2466"/>
      </w:tblGrid>
      <w:tr w:rsidR="0099088D" w:rsidRPr="002636AA" w14:paraId="4F6A1EB1" w14:textId="77777777" w:rsidTr="0099088D">
        <w:trPr>
          <w:trHeight w:val="458"/>
          <w:tblHeader/>
        </w:trPr>
        <w:tc>
          <w:tcPr>
            <w:tcW w:w="12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007269" w14:textId="77777777" w:rsidR="0099088D" w:rsidRPr="002636AA" w:rsidRDefault="0099088D" w:rsidP="0099088D">
            <w:pPr>
              <w:jc w:val="center"/>
              <w:rPr>
                <w:color w:val="000000"/>
              </w:rPr>
            </w:pPr>
            <w:bookmarkStart w:id="44" w:name="_Hlk1561156"/>
            <w:r w:rsidRPr="002636AA">
              <w:rPr>
                <w:color w:val="000000"/>
              </w:rPr>
              <w:t>№</w:t>
            </w:r>
          </w:p>
        </w:tc>
        <w:tc>
          <w:tcPr>
            <w:tcW w:w="41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31E981" w14:textId="77777777" w:rsidR="0099088D" w:rsidRPr="002636AA" w:rsidRDefault="0099088D" w:rsidP="0099088D">
            <w:pPr>
              <w:jc w:val="center"/>
              <w:rPr>
                <w:color w:val="000000"/>
              </w:rPr>
            </w:pPr>
            <w:r w:rsidRPr="002636AA">
              <w:rPr>
                <w:color w:val="000000"/>
              </w:rPr>
              <w:t>Наименование стандартизированных тарифных ставок</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D7DF04" w14:textId="77777777" w:rsidR="0099088D" w:rsidRPr="002636AA" w:rsidRDefault="0099088D" w:rsidP="0099088D">
            <w:pPr>
              <w:jc w:val="center"/>
              <w:rPr>
                <w:color w:val="000000"/>
              </w:rPr>
            </w:pPr>
            <w:r w:rsidRPr="002636AA">
              <w:rPr>
                <w:color w:val="000000"/>
              </w:rPr>
              <w:t>Единица измерения</w:t>
            </w:r>
          </w:p>
        </w:tc>
        <w:tc>
          <w:tcPr>
            <w:tcW w:w="246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2937E88" w14:textId="77777777" w:rsidR="0099088D" w:rsidRPr="002636AA" w:rsidRDefault="0099088D" w:rsidP="0099088D">
            <w:pPr>
              <w:jc w:val="center"/>
              <w:rPr>
                <w:color w:val="000000"/>
              </w:rPr>
            </w:pPr>
            <w:r w:rsidRPr="002636AA">
              <w:rPr>
                <w:color w:val="000000"/>
              </w:rPr>
              <w:t xml:space="preserve">Размеры стандартизированных тарифных ставок </w:t>
            </w:r>
            <w:r w:rsidRPr="002636AA">
              <w:rPr>
                <w:color w:val="2D2D2D"/>
              </w:rPr>
              <w:t>(без НДС, с налогом на прибыль)</w:t>
            </w:r>
          </w:p>
        </w:tc>
      </w:tr>
      <w:tr w:rsidR="0099088D" w:rsidRPr="002636AA" w14:paraId="38381690" w14:textId="77777777" w:rsidTr="0099088D">
        <w:trPr>
          <w:trHeight w:val="1075"/>
          <w:tblHeader/>
        </w:trPr>
        <w:tc>
          <w:tcPr>
            <w:tcW w:w="1297" w:type="dxa"/>
            <w:vMerge/>
            <w:tcBorders>
              <w:top w:val="single" w:sz="4" w:space="0" w:color="auto"/>
              <w:left w:val="single" w:sz="4" w:space="0" w:color="auto"/>
              <w:bottom w:val="single" w:sz="4" w:space="0" w:color="auto"/>
              <w:right w:val="single" w:sz="4" w:space="0" w:color="auto"/>
            </w:tcBorders>
            <w:vAlign w:val="center"/>
            <w:hideMark/>
          </w:tcPr>
          <w:p w14:paraId="35284CBC" w14:textId="77777777" w:rsidR="0099088D" w:rsidRPr="002636AA" w:rsidRDefault="0099088D" w:rsidP="0099088D">
            <w:pPr>
              <w:rPr>
                <w:color w:val="000000"/>
              </w:rPr>
            </w:pPr>
          </w:p>
        </w:tc>
        <w:tc>
          <w:tcPr>
            <w:tcW w:w="4106" w:type="dxa"/>
            <w:vMerge/>
            <w:tcBorders>
              <w:top w:val="single" w:sz="4" w:space="0" w:color="auto"/>
              <w:left w:val="single" w:sz="4" w:space="0" w:color="auto"/>
              <w:bottom w:val="single" w:sz="4" w:space="0" w:color="auto"/>
              <w:right w:val="single" w:sz="4" w:space="0" w:color="auto"/>
            </w:tcBorders>
            <w:vAlign w:val="center"/>
            <w:hideMark/>
          </w:tcPr>
          <w:p w14:paraId="6614995E" w14:textId="77777777" w:rsidR="0099088D" w:rsidRPr="002636AA" w:rsidRDefault="0099088D" w:rsidP="0099088D">
            <w:pPr>
              <w:rPr>
                <w:color w:val="000000"/>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3F4C9985" w14:textId="77777777" w:rsidR="0099088D" w:rsidRPr="002636AA" w:rsidRDefault="0099088D" w:rsidP="0099088D">
            <w:pPr>
              <w:rPr>
                <w:color w:val="000000"/>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78AA4C25" w14:textId="77777777" w:rsidR="0099088D" w:rsidRPr="002636AA" w:rsidRDefault="0099088D" w:rsidP="0099088D">
            <w:pPr>
              <w:rPr>
                <w:color w:val="000000"/>
              </w:rPr>
            </w:pPr>
          </w:p>
        </w:tc>
      </w:tr>
      <w:tr w:rsidR="0099088D" w:rsidRPr="002636AA" w14:paraId="09291576" w14:textId="77777777" w:rsidTr="0099088D">
        <w:trPr>
          <w:trHeight w:val="458"/>
          <w:tblHeader/>
        </w:trPr>
        <w:tc>
          <w:tcPr>
            <w:tcW w:w="1297" w:type="dxa"/>
            <w:vMerge/>
            <w:tcBorders>
              <w:top w:val="single" w:sz="4" w:space="0" w:color="auto"/>
              <w:left w:val="single" w:sz="4" w:space="0" w:color="auto"/>
              <w:bottom w:val="single" w:sz="4" w:space="0" w:color="auto"/>
              <w:right w:val="single" w:sz="4" w:space="0" w:color="auto"/>
            </w:tcBorders>
            <w:vAlign w:val="center"/>
            <w:hideMark/>
          </w:tcPr>
          <w:p w14:paraId="5AC6542C" w14:textId="77777777" w:rsidR="0099088D" w:rsidRPr="002636AA" w:rsidRDefault="0099088D" w:rsidP="0099088D">
            <w:pPr>
              <w:rPr>
                <w:color w:val="000000"/>
              </w:rPr>
            </w:pPr>
          </w:p>
        </w:tc>
        <w:tc>
          <w:tcPr>
            <w:tcW w:w="4106" w:type="dxa"/>
            <w:vMerge/>
            <w:tcBorders>
              <w:top w:val="single" w:sz="4" w:space="0" w:color="auto"/>
              <w:left w:val="single" w:sz="4" w:space="0" w:color="auto"/>
              <w:bottom w:val="single" w:sz="4" w:space="0" w:color="auto"/>
              <w:right w:val="single" w:sz="4" w:space="0" w:color="auto"/>
            </w:tcBorders>
            <w:vAlign w:val="center"/>
            <w:hideMark/>
          </w:tcPr>
          <w:p w14:paraId="05980F3A" w14:textId="77777777" w:rsidR="0099088D" w:rsidRPr="002636AA" w:rsidRDefault="0099088D" w:rsidP="0099088D">
            <w:pPr>
              <w:rPr>
                <w:color w:val="000000"/>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358CE57C" w14:textId="77777777" w:rsidR="0099088D" w:rsidRPr="002636AA" w:rsidRDefault="0099088D" w:rsidP="0099088D">
            <w:pPr>
              <w:rPr>
                <w:color w:val="000000"/>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794C8F79" w14:textId="77777777" w:rsidR="0099088D" w:rsidRPr="002636AA" w:rsidRDefault="0099088D" w:rsidP="0099088D">
            <w:pPr>
              <w:rPr>
                <w:color w:val="000000"/>
              </w:rPr>
            </w:pPr>
          </w:p>
        </w:tc>
      </w:tr>
      <w:tr w:rsidR="0099088D" w:rsidRPr="002636AA" w14:paraId="77068AF4" w14:textId="77777777" w:rsidTr="0099088D">
        <w:trPr>
          <w:trHeight w:val="276"/>
          <w:tblHeader/>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291721" w14:textId="77777777" w:rsidR="0099088D" w:rsidRPr="002636AA" w:rsidRDefault="0099088D" w:rsidP="0099088D">
            <w:pPr>
              <w:jc w:val="center"/>
              <w:rPr>
                <w:color w:val="000000"/>
              </w:rPr>
            </w:pPr>
            <w:r w:rsidRPr="002636AA">
              <w:rPr>
                <w:color w:val="000000"/>
              </w:rPr>
              <w:t>1</w:t>
            </w:r>
          </w:p>
        </w:tc>
        <w:tc>
          <w:tcPr>
            <w:tcW w:w="4106" w:type="dxa"/>
            <w:tcBorders>
              <w:top w:val="single" w:sz="4" w:space="0" w:color="auto"/>
              <w:left w:val="nil"/>
              <w:bottom w:val="single" w:sz="4" w:space="0" w:color="auto"/>
              <w:right w:val="single" w:sz="4" w:space="0" w:color="auto"/>
            </w:tcBorders>
            <w:shd w:val="clear" w:color="auto" w:fill="auto"/>
            <w:vAlign w:val="center"/>
            <w:hideMark/>
          </w:tcPr>
          <w:p w14:paraId="2B68F680" w14:textId="77777777" w:rsidR="0099088D" w:rsidRPr="002636AA" w:rsidRDefault="0099088D" w:rsidP="0099088D">
            <w:pPr>
              <w:jc w:val="center"/>
              <w:rPr>
                <w:color w:val="000000"/>
              </w:rPr>
            </w:pPr>
            <w:r w:rsidRPr="002636AA">
              <w:rPr>
                <w:color w:val="000000"/>
              </w:rPr>
              <w:t>2</w:t>
            </w:r>
          </w:p>
        </w:tc>
        <w:tc>
          <w:tcPr>
            <w:tcW w:w="1775" w:type="dxa"/>
            <w:tcBorders>
              <w:top w:val="single" w:sz="4" w:space="0" w:color="auto"/>
              <w:left w:val="nil"/>
              <w:bottom w:val="single" w:sz="4" w:space="0" w:color="auto"/>
              <w:right w:val="single" w:sz="4" w:space="0" w:color="auto"/>
            </w:tcBorders>
            <w:shd w:val="clear" w:color="auto" w:fill="auto"/>
            <w:vAlign w:val="center"/>
            <w:hideMark/>
          </w:tcPr>
          <w:p w14:paraId="74C5581A" w14:textId="77777777" w:rsidR="0099088D" w:rsidRPr="002636AA" w:rsidRDefault="0099088D" w:rsidP="0099088D">
            <w:pPr>
              <w:jc w:val="center"/>
              <w:rPr>
                <w:color w:val="000000"/>
              </w:rPr>
            </w:pPr>
            <w:r w:rsidRPr="002636AA">
              <w:rPr>
                <w:color w:val="000000"/>
              </w:rPr>
              <w:t>3</w:t>
            </w:r>
          </w:p>
        </w:tc>
        <w:tc>
          <w:tcPr>
            <w:tcW w:w="2466" w:type="dxa"/>
            <w:tcBorders>
              <w:top w:val="single" w:sz="4" w:space="0" w:color="auto"/>
              <w:left w:val="nil"/>
              <w:bottom w:val="single" w:sz="4" w:space="0" w:color="auto"/>
              <w:right w:val="single" w:sz="4" w:space="0" w:color="auto"/>
            </w:tcBorders>
            <w:shd w:val="clear" w:color="000000" w:fill="FFFFFF"/>
            <w:vAlign w:val="center"/>
            <w:hideMark/>
          </w:tcPr>
          <w:p w14:paraId="51D1C1D9" w14:textId="77777777" w:rsidR="0099088D" w:rsidRPr="002636AA" w:rsidRDefault="0099088D" w:rsidP="0099088D">
            <w:pPr>
              <w:jc w:val="center"/>
              <w:rPr>
                <w:color w:val="000000"/>
              </w:rPr>
            </w:pPr>
            <w:r w:rsidRPr="002636AA">
              <w:rPr>
                <w:color w:val="000000"/>
              </w:rPr>
              <w:t>4</w:t>
            </w:r>
          </w:p>
        </w:tc>
      </w:tr>
      <w:bookmarkEnd w:id="44"/>
      <w:tr w:rsidR="0099088D" w:rsidRPr="002636AA" w14:paraId="5985AF10" w14:textId="77777777" w:rsidTr="0099088D">
        <w:trPr>
          <w:trHeight w:val="958"/>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10DACC6" w14:textId="77777777" w:rsidR="0099088D" w:rsidRPr="002636AA" w:rsidRDefault="0099088D" w:rsidP="0099088D">
            <w:pPr>
              <w:jc w:val="center"/>
              <w:rPr>
                <w:color w:val="000000"/>
              </w:rPr>
            </w:pPr>
            <w:r w:rsidRPr="002636AA">
              <w:rPr>
                <w:color w:val="000000"/>
              </w:rPr>
              <w:t>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14AA04C5" w14:textId="77777777" w:rsidR="0099088D" w:rsidRPr="002636AA" w:rsidRDefault="0099088D" w:rsidP="0099088D">
            <w:pPr>
              <w:rPr>
                <w:color w:val="000000"/>
              </w:rPr>
            </w:pPr>
            <w:r w:rsidRPr="002636AA">
              <w:rPr>
                <w:color w:val="000000"/>
              </w:rPr>
              <w:t>Размер стандартизированной тарифной ставки С</w:t>
            </w:r>
            <w:r w:rsidRPr="002636AA">
              <w:rPr>
                <w:color w:val="000000"/>
                <w:vertAlign w:val="subscript"/>
              </w:rPr>
              <w:t xml:space="preserve">3 </w:t>
            </w:r>
            <w:r w:rsidRPr="002636AA">
              <w:rPr>
                <w:color w:val="000000"/>
              </w:rPr>
              <w:t xml:space="preserve">на покрытие расходов газораспределительной организации, связанных со строительством </w:t>
            </w:r>
            <w:r w:rsidRPr="002636AA">
              <w:rPr>
                <w:bCs/>
                <w:color w:val="000000"/>
              </w:rPr>
              <w:t xml:space="preserve">полиэтиленового </w:t>
            </w:r>
            <w:r w:rsidRPr="002636AA">
              <w:rPr>
                <w:color w:val="000000"/>
              </w:rPr>
              <w:t>газопровода наружным диаметром:</w:t>
            </w:r>
          </w:p>
        </w:tc>
      </w:tr>
      <w:tr w:rsidR="0099088D" w:rsidRPr="002636AA" w14:paraId="74744AA9" w14:textId="77777777" w:rsidTr="0099088D">
        <w:trPr>
          <w:trHeight w:val="103"/>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899ED2C" w14:textId="77777777" w:rsidR="0099088D" w:rsidRPr="002636AA" w:rsidRDefault="0099088D" w:rsidP="0099088D">
            <w:pPr>
              <w:jc w:val="center"/>
              <w:rPr>
                <w:color w:val="000000"/>
              </w:rPr>
            </w:pPr>
            <w:r w:rsidRPr="002636AA">
              <w:rPr>
                <w:color w:val="000000"/>
              </w:rPr>
              <w:t>1.1.</w:t>
            </w:r>
          </w:p>
        </w:tc>
        <w:tc>
          <w:tcPr>
            <w:tcW w:w="4106" w:type="dxa"/>
            <w:tcBorders>
              <w:top w:val="nil"/>
              <w:left w:val="nil"/>
              <w:bottom w:val="single" w:sz="4" w:space="0" w:color="auto"/>
              <w:right w:val="single" w:sz="4" w:space="0" w:color="auto"/>
            </w:tcBorders>
            <w:shd w:val="clear" w:color="auto" w:fill="auto"/>
            <w:vAlign w:val="center"/>
            <w:hideMark/>
          </w:tcPr>
          <w:p w14:paraId="442CB48F" w14:textId="77777777" w:rsidR="0099088D" w:rsidRPr="002636AA" w:rsidRDefault="0099088D" w:rsidP="0099088D">
            <w:pPr>
              <w:rPr>
                <w:color w:val="000000"/>
              </w:rPr>
            </w:pPr>
            <w:r w:rsidRPr="002636AA">
              <w:rPr>
                <w:color w:val="000000"/>
              </w:rPr>
              <w:t>109 мм и менее</w:t>
            </w:r>
          </w:p>
        </w:tc>
        <w:tc>
          <w:tcPr>
            <w:tcW w:w="1775" w:type="dxa"/>
            <w:vMerge w:val="restart"/>
            <w:tcBorders>
              <w:top w:val="nil"/>
              <w:left w:val="single" w:sz="4" w:space="0" w:color="auto"/>
              <w:bottom w:val="single" w:sz="4" w:space="0" w:color="auto"/>
              <w:right w:val="single" w:sz="4" w:space="0" w:color="auto"/>
            </w:tcBorders>
            <w:shd w:val="clear" w:color="auto" w:fill="auto"/>
            <w:vAlign w:val="center"/>
            <w:hideMark/>
          </w:tcPr>
          <w:p w14:paraId="0217AA4B" w14:textId="77777777" w:rsidR="0099088D" w:rsidRPr="002636AA" w:rsidRDefault="0099088D" w:rsidP="0099088D">
            <w:pPr>
              <w:jc w:val="center"/>
              <w:rPr>
                <w:color w:val="000000"/>
              </w:rPr>
            </w:pPr>
            <w:r w:rsidRPr="002636AA">
              <w:rPr>
                <w:color w:val="000000"/>
              </w:rPr>
              <w:t>руб./км</w:t>
            </w: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60ECB8A4" w14:textId="77777777" w:rsidR="0099088D" w:rsidRPr="002636AA" w:rsidRDefault="0099088D" w:rsidP="0099088D">
            <w:pPr>
              <w:jc w:val="center"/>
              <w:rPr>
                <w:color w:val="000000"/>
              </w:rPr>
            </w:pPr>
            <w:r w:rsidRPr="002636AA">
              <w:rPr>
                <w:color w:val="000000"/>
              </w:rPr>
              <w:t>3 713 948</w:t>
            </w:r>
          </w:p>
        </w:tc>
      </w:tr>
      <w:tr w:rsidR="0099088D" w:rsidRPr="002636AA" w14:paraId="2BD9AF00" w14:textId="77777777" w:rsidTr="0099088D">
        <w:trPr>
          <w:trHeight w:val="267"/>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C61397F" w14:textId="77777777" w:rsidR="0099088D" w:rsidRPr="002636AA" w:rsidRDefault="0099088D" w:rsidP="0099088D">
            <w:pPr>
              <w:jc w:val="center"/>
              <w:rPr>
                <w:color w:val="000000"/>
              </w:rPr>
            </w:pPr>
            <w:r w:rsidRPr="002636AA">
              <w:rPr>
                <w:color w:val="000000"/>
              </w:rPr>
              <w:t>1.2.</w:t>
            </w:r>
          </w:p>
        </w:tc>
        <w:tc>
          <w:tcPr>
            <w:tcW w:w="4106" w:type="dxa"/>
            <w:tcBorders>
              <w:top w:val="nil"/>
              <w:left w:val="nil"/>
              <w:bottom w:val="single" w:sz="4" w:space="0" w:color="auto"/>
              <w:right w:val="single" w:sz="4" w:space="0" w:color="auto"/>
            </w:tcBorders>
            <w:shd w:val="clear" w:color="auto" w:fill="auto"/>
            <w:vAlign w:val="center"/>
            <w:hideMark/>
          </w:tcPr>
          <w:p w14:paraId="28E7799B" w14:textId="77777777" w:rsidR="0099088D" w:rsidRPr="002636AA" w:rsidRDefault="0099088D" w:rsidP="0099088D">
            <w:pPr>
              <w:rPr>
                <w:color w:val="000000"/>
              </w:rPr>
            </w:pPr>
            <w:r w:rsidRPr="002636AA">
              <w:rPr>
                <w:color w:val="000000"/>
              </w:rPr>
              <w:t>110-159 мм</w:t>
            </w:r>
          </w:p>
        </w:tc>
        <w:tc>
          <w:tcPr>
            <w:tcW w:w="1775" w:type="dxa"/>
            <w:vMerge/>
            <w:tcBorders>
              <w:top w:val="nil"/>
              <w:left w:val="single" w:sz="4" w:space="0" w:color="auto"/>
              <w:bottom w:val="single" w:sz="4" w:space="0" w:color="auto"/>
              <w:right w:val="single" w:sz="4" w:space="0" w:color="auto"/>
            </w:tcBorders>
            <w:vAlign w:val="center"/>
            <w:hideMark/>
          </w:tcPr>
          <w:p w14:paraId="5330F930" w14:textId="77777777" w:rsidR="0099088D" w:rsidRPr="002636AA"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18D48407" w14:textId="77777777" w:rsidR="0099088D" w:rsidRPr="002636AA" w:rsidRDefault="0099088D" w:rsidP="0099088D">
            <w:pPr>
              <w:jc w:val="center"/>
              <w:rPr>
                <w:color w:val="000000"/>
              </w:rPr>
            </w:pPr>
            <w:r w:rsidRPr="002636AA">
              <w:rPr>
                <w:color w:val="000000"/>
              </w:rPr>
              <w:t>3 990 547</w:t>
            </w:r>
          </w:p>
        </w:tc>
      </w:tr>
      <w:tr w:rsidR="0099088D" w:rsidRPr="002636AA" w14:paraId="03BDC6E8" w14:textId="77777777" w:rsidTr="0099088D">
        <w:trPr>
          <w:trHeight w:val="129"/>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91B5E27" w14:textId="77777777" w:rsidR="0099088D" w:rsidRPr="002636AA" w:rsidRDefault="0099088D" w:rsidP="0099088D">
            <w:pPr>
              <w:jc w:val="center"/>
              <w:rPr>
                <w:color w:val="000000"/>
              </w:rPr>
            </w:pPr>
            <w:r w:rsidRPr="002636AA">
              <w:rPr>
                <w:color w:val="000000"/>
              </w:rPr>
              <w:t>1.3.</w:t>
            </w:r>
          </w:p>
        </w:tc>
        <w:tc>
          <w:tcPr>
            <w:tcW w:w="4106" w:type="dxa"/>
            <w:tcBorders>
              <w:top w:val="nil"/>
              <w:left w:val="nil"/>
              <w:bottom w:val="single" w:sz="4" w:space="0" w:color="auto"/>
              <w:right w:val="single" w:sz="4" w:space="0" w:color="auto"/>
            </w:tcBorders>
            <w:shd w:val="clear" w:color="auto" w:fill="auto"/>
            <w:vAlign w:val="center"/>
            <w:hideMark/>
          </w:tcPr>
          <w:p w14:paraId="09F7DF21" w14:textId="77777777" w:rsidR="0099088D" w:rsidRPr="002636AA" w:rsidRDefault="0099088D" w:rsidP="0099088D">
            <w:pPr>
              <w:rPr>
                <w:color w:val="000000"/>
              </w:rPr>
            </w:pPr>
            <w:r w:rsidRPr="002636AA">
              <w:rPr>
                <w:color w:val="000000"/>
              </w:rPr>
              <w:t>160-224 мм</w:t>
            </w:r>
          </w:p>
        </w:tc>
        <w:tc>
          <w:tcPr>
            <w:tcW w:w="1775" w:type="dxa"/>
            <w:vMerge/>
            <w:tcBorders>
              <w:top w:val="nil"/>
              <w:left w:val="single" w:sz="4" w:space="0" w:color="auto"/>
              <w:bottom w:val="single" w:sz="4" w:space="0" w:color="auto"/>
              <w:right w:val="single" w:sz="4" w:space="0" w:color="auto"/>
            </w:tcBorders>
            <w:vAlign w:val="center"/>
            <w:hideMark/>
          </w:tcPr>
          <w:p w14:paraId="0537AA1E" w14:textId="77777777" w:rsidR="0099088D" w:rsidRPr="002636AA"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4385EC0F" w14:textId="77777777" w:rsidR="0099088D" w:rsidRPr="002636AA" w:rsidRDefault="0099088D" w:rsidP="0099088D">
            <w:pPr>
              <w:jc w:val="center"/>
              <w:rPr>
                <w:color w:val="000000"/>
              </w:rPr>
            </w:pPr>
            <w:r w:rsidRPr="002636AA">
              <w:rPr>
                <w:color w:val="000000"/>
              </w:rPr>
              <w:t>4 360 055</w:t>
            </w:r>
          </w:p>
        </w:tc>
      </w:tr>
      <w:tr w:rsidR="0099088D" w:rsidRPr="002636AA" w14:paraId="3256947B" w14:textId="77777777" w:rsidTr="0099088D">
        <w:trPr>
          <w:trHeight w:val="70"/>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2846263" w14:textId="77777777" w:rsidR="0099088D" w:rsidRPr="002636AA" w:rsidRDefault="0099088D" w:rsidP="0099088D">
            <w:pPr>
              <w:jc w:val="center"/>
              <w:rPr>
                <w:color w:val="000000"/>
              </w:rPr>
            </w:pPr>
            <w:r w:rsidRPr="002636AA">
              <w:rPr>
                <w:color w:val="000000"/>
              </w:rPr>
              <w:t>1.4.</w:t>
            </w:r>
          </w:p>
        </w:tc>
        <w:tc>
          <w:tcPr>
            <w:tcW w:w="4106" w:type="dxa"/>
            <w:tcBorders>
              <w:top w:val="nil"/>
              <w:left w:val="nil"/>
              <w:bottom w:val="single" w:sz="4" w:space="0" w:color="auto"/>
              <w:right w:val="single" w:sz="4" w:space="0" w:color="auto"/>
            </w:tcBorders>
            <w:shd w:val="clear" w:color="auto" w:fill="auto"/>
            <w:vAlign w:val="center"/>
            <w:hideMark/>
          </w:tcPr>
          <w:p w14:paraId="4BBF3AF8" w14:textId="77777777" w:rsidR="0099088D" w:rsidRPr="002636AA" w:rsidRDefault="0099088D" w:rsidP="0099088D">
            <w:pPr>
              <w:rPr>
                <w:color w:val="000000"/>
              </w:rPr>
            </w:pPr>
            <w:r w:rsidRPr="002636AA">
              <w:rPr>
                <w:color w:val="000000"/>
              </w:rPr>
              <w:t>225-314 мм</w:t>
            </w:r>
          </w:p>
        </w:tc>
        <w:tc>
          <w:tcPr>
            <w:tcW w:w="1775" w:type="dxa"/>
            <w:vMerge/>
            <w:tcBorders>
              <w:top w:val="nil"/>
              <w:left w:val="single" w:sz="4" w:space="0" w:color="auto"/>
              <w:bottom w:val="single" w:sz="4" w:space="0" w:color="auto"/>
              <w:right w:val="single" w:sz="4" w:space="0" w:color="auto"/>
            </w:tcBorders>
            <w:vAlign w:val="center"/>
            <w:hideMark/>
          </w:tcPr>
          <w:p w14:paraId="02460F1E" w14:textId="77777777" w:rsidR="0099088D" w:rsidRPr="002636AA"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54BEAF44" w14:textId="77777777" w:rsidR="0099088D" w:rsidRPr="002636AA" w:rsidRDefault="0099088D" w:rsidP="0099088D">
            <w:pPr>
              <w:jc w:val="center"/>
              <w:rPr>
                <w:color w:val="000000"/>
              </w:rPr>
            </w:pPr>
            <w:r w:rsidRPr="002636AA">
              <w:rPr>
                <w:color w:val="000000"/>
              </w:rPr>
              <w:t>4 824 028</w:t>
            </w:r>
          </w:p>
        </w:tc>
      </w:tr>
      <w:tr w:rsidR="0099088D" w:rsidRPr="002636AA" w14:paraId="2D4A4909" w14:textId="77777777" w:rsidTr="0099088D">
        <w:trPr>
          <w:trHeight w:val="70"/>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E8AF5D2" w14:textId="77777777" w:rsidR="0099088D" w:rsidRPr="002636AA" w:rsidRDefault="0099088D" w:rsidP="0099088D">
            <w:pPr>
              <w:jc w:val="center"/>
              <w:rPr>
                <w:color w:val="000000"/>
              </w:rPr>
            </w:pPr>
            <w:r w:rsidRPr="002636AA">
              <w:rPr>
                <w:color w:val="000000"/>
              </w:rPr>
              <w:t>1.5.</w:t>
            </w:r>
          </w:p>
        </w:tc>
        <w:tc>
          <w:tcPr>
            <w:tcW w:w="4106" w:type="dxa"/>
            <w:tcBorders>
              <w:top w:val="nil"/>
              <w:left w:val="nil"/>
              <w:bottom w:val="single" w:sz="4" w:space="0" w:color="auto"/>
              <w:right w:val="single" w:sz="4" w:space="0" w:color="auto"/>
            </w:tcBorders>
            <w:shd w:val="clear" w:color="auto" w:fill="auto"/>
            <w:vAlign w:val="center"/>
            <w:hideMark/>
          </w:tcPr>
          <w:p w14:paraId="74054989" w14:textId="77777777" w:rsidR="0099088D" w:rsidRPr="002636AA" w:rsidRDefault="0099088D" w:rsidP="0099088D">
            <w:pPr>
              <w:rPr>
                <w:color w:val="000000"/>
              </w:rPr>
            </w:pPr>
            <w:r w:rsidRPr="002636AA">
              <w:rPr>
                <w:color w:val="000000"/>
              </w:rPr>
              <w:t>315-399 мм</w:t>
            </w:r>
          </w:p>
        </w:tc>
        <w:tc>
          <w:tcPr>
            <w:tcW w:w="1775" w:type="dxa"/>
            <w:vMerge/>
            <w:tcBorders>
              <w:top w:val="nil"/>
              <w:left w:val="single" w:sz="4" w:space="0" w:color="auto"/>
              <w:bottom w:val="single" w:sz="4" w:space="0" w:color="auto"/>
              <w:right w:val="single" w:sz="4" w:space="0" w:color="auto"/>
            </w:tcBorders>
            <w:vAlign w:val="center"/>
            <w:hideMark/>
          </w:tcPr>
          <w:p w14:paraId="09E2FB38" w14:textId="77777777" w:rsidR="0099088D" w:rsidRPr="002636AA"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63CC3CED" w14:textId="77777777" w:rsidR="0099088D" w:rsidRPr="002636AA" w:rsidRDefault="0099088D" w:rsidP="0099088D">
            <w:pPr>
              <w:jc w:val="center"/>
              <w:rPr>
                <w:color w:val="000000"/>
              </w:rPr>
            </w:pPr>
            <w:r w:rsidRPr="002636AA">
              <w:rPr>
                <w:color w:val="000000"/>
              </w:rPr>
              <w:t>7 227 732</w:t>
            </w:r>
          </w:p>
        </w:tc>
      </w:tr>
      <w:tr w:rsidR="0099088D" w:rsidRPr="002636AA" w14:paraId="10B77E5E" w14:textId="77777777" w:rsidTr="0099088D">
        <w:trPr>
          <w:trHeight w:val="70"/>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5E09831" w14:textId="77777777" w:rsidR="0099088D" w:rsidRPr="002636AA" w:rsidRDefault="0099088D" w:rsidP="0099088D">
            <w:pPr>
              <w:jc w:val="center"/>
              <w:rPr>
                <w:color w:val="000000"/>
              </w:rPr>
            </w:pPr>
            <w:r w:rsidRPr="002636AA">
              <w:rPr>
                <w:color w:val="000000"/>
              </w:rPr>
              <w:t>1.6.</w:t>
            </w:r>
          </w:p>
        </w:tc>
        <w:tc>
          <w:tcPr>
            <w:tcW w:w="4106" w:type="dxa"/>
            <w:tcBorders>
              <w:top w:val="nil"/>
              <w:left w:val="nil"/>
              <w:bottom w:val="single" w:sz="4" w:space="0" w:color="auto"/>
              <w:right w:val="single" w:sz="4" w:space="0" w:color="auto"/>
            </w:tcBorders>
            <w:shd w:val="clear" w:color="auto" w:fill="auto"/>
            <w:vAlign w:val="center"/>
            <w:hideMark/>
          </w:tcPr>
          <w:p w14:paraId="643B52EF" w14:textId="77777777" w:rsidR="0099088D" w:rsidRPr="002636AA" w:rsidRDefault="0099088D" w:rsidP="0099088D">
            <w:pPr>
              <w:rPr>
                <w:color w:val="000000"/>
              </w:rPr>
            </w:pPr>
            <w:r w:rsidRPr="002636AA">
              <w:rPr>
                <w:color w:val="000000"/>
              </w:rPr>
              <w:t>400 мм и выше</w:t>
            </w:r>
          </w:p>
        </w:tc>
        <w:tc>
          <w:tcPr>
            <w:tcW w:w="1775" w:type="dxa"/>
            <w:vMerge/>
            <w:tcBorders>
              <w:top w:val="nil"/>
              <w:left w:val="single" w:sz="4" w:space="0" w:color="auto"/>
              <w:bottom w:val="single" w:sz="4" w:space="0" w:color="auto"/>
              <w:right w:val="single" w:sz="4" w:space="0" w:color="auto"/>
            </w:tcBorders>
            <w:vAlign w:val="center"/>
            <w:hideMark/>
          </w:tcPr>
          <w:p w14:paraId="52E9916F" w14:textId="77777777" w:rsidR="0099088D" w:rsidRPr="002636AA"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657D3DC4" w14:textId="77777777" w:rsidR="0099088D" w:rsidRPr="002636AA" w:rsidRDefault="0099088D" w:rsidP="0099088D">
            <w:pPr>
              <w:jc w:val="center"/>
              <w:rPr>
                <w:color w:val="000000"/>
              </w:rPr>
            </w:pPr>
            <w:r w:rsidRPr="002636AA">
              <w:rPr>
                <w:color w:val="000000"/>
              </w:rPr>
              <w:t>9 098 524</w:t>
            </w:r>
          </w:p>
        </w:tc>
      </w:tr>
    </w:tbl>
    <w:p w14:paraId="6A77A0C8" w14:textId="77777777" w:rsidR="0099088D" w:rsidRPr="002636AA" w:rsidRDefault="0099088D" w:rsidP="0099088D">
      <w:pPr>
        <w:autoSpaceDE w:val="0"/>
        <w:autoSpaceDN w:val="0"/>
        <w:adjustRightInd w:val="0"/>
        <w:ind w:firstLine="540"/>
        <w:jc w:val="both"/>
        <w:rPr>
          <w:sz w:val="28"/>
          <w:szCs w:val="28"/>
        </w:rPr>
      </w:pPr>
    </w:p>
    <w:p w14:paraId="0A60012F" w14:textId="77777777" w:rsidR="0099088D" w:rsidRPr="002636AA" w:rsidRDefault="0099088D" w:rsidP="0099088D">
      <w:pPr>
        <w:autoSpaceDE w:val="0"/>
        <w:autoSpaceDN w:val="0"/>
        <w:adjustRightInd w:val="0"/>
        <w:ind w:firstLine="540"/>
        <w:jc w:val="both"/>
        <w:rPr>
          <w:sz w:val="28"/>
          <w:szCs w:val="28"/>
        </w:rPr>
      </w:pPr>
      <w:r w:rsidRPr="002636AA">
        <w:rPr>
          <w:sz w:val="28"/>
          <w:szCs w:val="28"/>
        </w:rPr>
        <w:t xml:space="preserve">Размер стандартизированной тарифной ставки на покрытие расходов ГРО, связанных со строительством полиэтиленового газопровода (С3j), определяется по </w:t>
      </w:r>
    </w:p>
    <w:p w14:paraId="201A2A77" w14:textId="77777777" w:rsidR="0099088D" w:rsidRPr="002636AA" w:rsidRDefault="0099088D" w:rsidP="0099088D">
      <w:pPr>
        <w:autoSpaceDE w:val="0"/>
        <w:autoSpaceDN w:val="0"/>
        <w:adjustRightInd w:val="0"/>
        <w:jc w:val="both"/>
        <w:rPr>
          <w:sz w:val="28"/>
          <w:szCs w:val="28"/>
        </w:rPr>
      </w:pPr>
      <w:r w:rsidRPr="002636AA">
        <w:rPr>
          <w:sz w:val="28"/>
          <w:szCs w:val="28"/>
        </w:rPr>
        <w:t>формуле:</w:t>
      </w:r>
    </w:p>
    <w:p w14:paraId="26DBC829" w14:textId="77777777" w:rsidR="0099088D" w:rsidRPr="002636AA" w:rsidRDefault="0099088D" w:rsidP="0099088D">
      <w:pPr>
        <w:autoSpaceDE w:val="0"/>
        <w:autoSpaceDN w:val="0"/>
        <w:adjustRightInd w:val="0"/>
        <w:jc w:val="both"/>
        <w:outlineLvl w:val="0"/>
        <w:rPr>
          <w:sz w:val="28"/>
          <w:szCs w:val="28"/>
        </w:rPr>
      </w:pPr>
    </w:p>
    <w:p w14:paraId="589A97D2" w14:textId="77777777" w:rsidR="0099088D" w:rsidRPr="002636AA" w:rsidRDefault="0099088D" w:rsidP="0099088D">
      <w:pPr>
        <w:autoSpaceDE w:val="0"/>
        <w:autoSpaceDN w:val="0"/>
        <w:adjustRightInd w:val="0"/>
        <w:jc w:val="center"/>
        <w:rPr>
          <w:sz w:val="28"/>
          <w:szCs w:val="28"/>
        </w:rPr>
      </w:pPr>
      <w:r w:rsidRPr="002636AA">
        <w:rPr>
          <w:noProof/>
          <w:position w:val="-42"/>
          <w:sz w:val="28"/>
          <w:szCs w:val="28"/>
        </w:rPr>
        <w:drawing>
          <wp:inline distT="0" distB="0" distL="0" distR="0" wp14:anchorId="179D3A06" wp14:editId="05C7C8E2">
            <wp:extent cx="2324100" cy="7048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37" cstate="print">
                      <a:extLst>
                        <a:ext uri="{28A0092B-C50C-407E-A947-70E740481C1C}">
                          <a14:useLocalDpi xmlns:a14="http://schemas.microsoft.com/office/drawing/2010/main" val="0"/>
                        </a:ext>
                      </a:extLst>
                    </a:blip>
                    <a:srcRect r="13780" b="1334"/>
                    <a:stretch>
                      <a:fillRect/>
                    </a:stretch>
                  </pic:blipFill>
                  <pic:spPr bwMode="auto">
                    <a:xfrm>
                      <a:off x="0" y="0"/>
                      <a:ext cx="2324100" cy="704850"/>
                    </a:xfrm>
                    <a:prstGeom prst="rect">
                      <a:avLst/>
                    </a:prstGeom>
                    <a:noFill/>
                    <a:ln>
                      <a:noFill/>
                    </a:ln>
                  </pic:spPr>
                </pic:pic>
              </a:graphicData>
            </a:graphic>
          </wp:inline>
        </w:drawing>
      </w:r>
    </w:p>
    <w:p w14:paraId="3DBF45B4" w14:textId="77777777" w:rsidR="0099088D" w:rsidRPr="002636AA" w:rsidRDefault="0099088D" w:rsidP="0099088D">
      <w:pPr>
        <w:autoSpaceDE w:val="0"/>
        <w:autoSpaceDN w:val="0"/>
        <w:adjustRightInd w:val="0"/>
        <w:ind w:firstLine="540"/>
        <w:jc w:val="both"/>
        <w:rPr>
          <w:sz w:val="28"/>
          <w:szCs w:val="28"/>
        </w:rPr>
      </w:pPr>
    </w:p>
    <w:p w14:paraId="6DE1F23D" w14:textId="77777777" w:rsidR="0099088D" w:rsidRPr="002636AA" w:rsidRDefault="0099088D" w:rsidP="0099088D">
      <w:pPr>
        <w:autoSpaceDE w:val="0"/>
        <w:autoSpaceDN w:val="0"/>
        <w:adjustRightInd w:val="0"/>
        <w:ind w:firstLine="540"/>
        <w:jc w:val="both"/>
        <w:rPr>
          <w:sz w:val="28"/>
          <w:szCs w:val="28"/>
        </w:rPr>
      </w:pPr>
      <w:r w:rsidRPr="002636AA">
        <w:rPr>
          <w:sz w:val="28"/>
          <w:szCs w:val="28"/>
        </w:rPr>
        <w:t>где:</w:t>
      </w:r>
    </w:p>
    <w:p w14:paraId="101704ED" w14:textId="77777777" w:rsidR="0099088D" w:rsidRPr="002636AA" w:rsidRDefault="0099088D" w:rsidP="0099088D">
      <w:pPr>
        <w:autoSpaceDE w:val="0"/>
        <w:autoSpaceDN w:val="0"/>
        <w:adjustRightInd w:val="0"/>
        <w:ind w:firstLine="540"/>
        <w:jc w:val="both"/>
        <w:rPr>
          <w:sz w:val="28"/>
          <w:szCs w:val="28"/>
        </w:rPr>
      </w:pPr>
      <w:r w:rsidRPr="002636AA">
        <w:rPr>
          <w:sz w:val="28"/>
          <w:szCs w:val="28"/>
        </w:rPr>
        <w:t>Рj - фактические расходы ГРО на строительство полиэтиленового газопровода j-того диапазона диаметров, понесенные в соответствующем календарном году из предусмотренных абзацами первым - четвертым пункта 32 Методических указаний, руб.;</w:t>
      </w:r>
    </w:p>
    <w:p w14:paraId="5E24A7D3" w14:textId="77777777" w:rsidR="0099088D" w:rsidRPr="002636AA" w:rsidRDefault="0099088D" w:rsidP="0099088D">
      <w:pPr>
        <w:autoSpaceDE w:val="0"/>
        <w:autoSpaceDN w:val="0"/>
        <w:adjustRightInd w:val="0"/>
        <w:ind w:firstLine="540"/>
        <w:jc w:val="both"/>
        <w:rPr>
          <w:sz w:val="28"/>
          <w:szCs w:val="28"/>
        </w:rPr>
      </w:pPr>
      <w:r w:rsidRPr="002636AA">
        <w:rPr>
          <w:sz w:val="28"/>
          <w:szCs w:val="28"/>
        </w:rPr>
        <w:t>Lj - общая длина полиэтиленовых газопроводов j-того диапазона диаметров, построенных в рамках технологического присоединения в соответствующем календарном году из предусмотренных абзацами первым - четвертым пункта 31 Методических указаний, км;</w:t>
      </w:r>
    </w:p>
    <w:p w14:paraId="3F473E8A" w14:textId="77777777" w:rsidR="0099088D" w:rsidRPr="002636AA" w:rsidRDefault="0099088D" w:rsidP="0099088D">
      <w:pPr>
        <w:autoSpaceDE w:val="0"/>
        <w:autoSpaceDN w:val="0"/>
        <w:adjustRightInd w:val="0"/>
        <w:ind w:firstLine="540"/>
        <w:jc w:val="both"/>
        <w:rPr>
          <w:sz w:val="28"/>
          <w:szCs w:val="28"/>
        </w:rPr>
      </w:pPr>
      <w:r w:rsidRPr="002636AA">
        <w:rPr>
          <w:sz w:val="28"/>
          <w:szCs w:val="28"/>
        </w:rPr>
        <w:t>Iр - коэффициент расходов, определяемый в соответствии с пунктом 33 Методических указаний.</w:t>
      </w:r>
    </w:p>
    <w:p w14:paraId="2B371BC3" w14:textId="77777777" w:rsidR="0099088D" w:rsidRPr="002636AA" w:rsidRDefault="0099088D" w:rsidP="0099088D">
      <w:pPr>
        <w:ind w:firstLine="567"/>
        <w:jc w:val="both"/>
        <w:rPr>
          <w:sz w:val="28"/>
          <w:szCs w:val="28"/>
        </w:rPr>
      </w:pPr>
      <w:r w:rsidRPr="002636AA">
        <w:rPr>
          <w:sz w:val="28"/>
          <w:szCs w:val="28"/>
        </w:rPr>
        <w:t xml:space="preserve">Ставки, указанные в пунктах 1.1, 1.2 Таблицы 3 определены на основании фактических данных за 2018- 2020 годы, </w:t>
      </w:r>
      <w:bookmarkStart w:id="45" w:name="_Hlk87866621"/>
      <w:r w:rsidRPr="002636AA">
        <w:rPr>
          <w:sz w:val="28"/>
          <w:szCs w:val="28"/>
        </w:rPr>
        <w:t>с применением коэффициента расходов Iр, рассчитанного на основании индексов ИЦП в строительстве (2019 год - 107,3; 2020 год- 104; 2021 год – 105,1), опубликованных на сайте Минэкономразвития России 30.09.2021 (в части 2020 и 2021 годов) и 26.09.2020 (в части 2019 года).</w:t>
      </w:r>
      <w:bookmarkEnd w:id="45"/>
    </w:p>
    <w:p w14:paraId="7C30C354" w14:textId="77777777" w:rsidR="0099088D" w:rsidRPr="002636AA" w:rsidRDefault="0099088D" w:rsidP="0099088D">
      <w:pPr>
        <w:ind w:firstLine="567"/>
        <w:jc w:val="both"/>
        <w:rPr>
          <w:sz w:val="28"/>
          <w:szCs w:val="28"/>
        </w:rPr>
      </w:pPr>
      <w:r w:rsidRPr="002636AA">
        <w:rPr>
          <w:sz w:val="28"/>
          <w:szCs w:val="28"/>
        </w:rPr>
        <w:t xml:space="preserve">Остальные ставки, указанные в Таблице 3, в связи с тем, </w:t>
      </w:r>
      <w:bookmarkStart w:id="46" w:name="_Hlk26433212"/>
      <w:r w:rsidRPr="002636AA">
        <w:rPr>
          <w:sz w:val="28"/>
          <w:szCs w:val="28"/>
        </w:rPr>
        <w:t xml:space="preserve">что ГРО в </w:t>
      </w:r>
      <w:bookmarkEnd w:id="46"/>
      <w:r w:rsidRPr="002636AA">
        <w:rPr>
          <w:sz w:val="28"/>
          <w:szCs w:val="28"/>
        </w:rPr>
        <w:t>2018- 2020 годах не осуществляла затраты на проектирование в соответствующих диапазонах диаметров, протяженности и типа прокладки, приняты на уровне утвержденных на 2021 год соответствующих ставок с применением ИЦП в строительстве на 2022 год в размере 1,043, опубликованном на сайте Минэкономразвития России 30.09.2021.</w:t>
      </w:r>
    </w:p>
    <w:p w14:paraId="75C27642" w14:textId="77777777" w:rsidR="0099088D" w:rsidRPr="002636AA" w:rsidRDefault="0099088D" w:rsidP="0099088D">
      <w:pPr>
        <w:autoSpaceDE w:val="0"/>
        <w:autoSpaceDN w:val="0"/>
        <w:adjustRightInd w:val="0"/>
        <w:ind w:firstLine="540"/>
        <w:jc w:val="both"/>
        <w:rPr>
          <w:sz w:val="28"/>
          <w:szCs w:val="28"/>
        </w:rPr>
      </w:pPr>
      <w:bookmarkStart w:id="47" w:name="_Hlk1561106"/>
      <w:r w:rsidRPr="002636AA">
        <w:rPr>
          <w:sz w:val="28"/>
          <w:szCs w:val="28"/>
        </w:rPr>
        <w:t>Эксперты, проанализировав расчеты предлагаемых предприятием стандартизированных тарифных ставок С</w:t>
      </w:r>
      <w:r w:rsidRPr="002636AA">
        <w:rPr>
          <w:sz w:val="28"/>
          <w:szCs w:val="28"/>
          <w:vertAlign w:val="subscript"/>
        </w:rPr>
        <w:t>3</w:t>
      </w:r>
      <w:r w:rsidRPr="002636AA">
        <w:rPr>
          <w:sz w:val="28"/>
          <w:szCs w:val="28"/>
        </w:rPr>
        <w:t>, предлагают утвердить их на уровне предложений предприятия.</w:t>
      </w:r>
    </w:p>
    <w:bookmarkEnd w:id="47"/>
    <w:p w14:paraId="403FAED9" w14:textId="77777777" w:rsidR="0099088D" w:rsidRPr="002636AA" w:rsidRDefault="0099088D" w:rsidP="0099088D">
      <w:pPr>
        <w:autoSpaceDE w:val="0"/>
        <w:autoSpaceDN w:val="0"/>
        <w:adjustRightInd w:val="0"/>
        <w:ind w:firstLine="540"/>
        <w:jc w:val="both"/>
        <w:rPr>
          <w:sz w:val="28"/>
          <w:szCs w:val="28"/>
        </w:rPr>
      </w:pPr>
    </w:p>
    <w:p w14:paraId="662391D2" w14:textId="77777777" w:rsidR="0099088D" w:rsidRPr="002636AA" w:rsidRDefault="0099088D" w:rsidP="0099088D">
      <w:pPr>
        <w:autoSpaceDE w:val="0"/>
        <w:autoSpaceDN w:val="0"/>
        <w:adjustRightInd w:val="0"/>
        <w:ind w:firstLine="540"/>
        <w:jc w:val="both"/>
        <w:rPr>
          <w:sz w:val="28"/>
          <w:szCs w:val="28"/>
        </w:rPr>
      </w:pPr>
    </w:p>
    <w:p w14:paraId="7D9E2111" w14:textId="77777777" w:rsidR="0099088D" w:rsidRPr="002636AA" w:rsidRDefault="0099088D" w:rsidP="0099088D">
      <w:pPr>
        <w:autoSpaceDE w:val="0"/>
        <w:autoSpaceDN w:val="0"/>
        <w:adjustRightInd w:val="0"/>
        <w:ind w:firstLine="540"/>
        <w:jc w:val="both"/>
        <w:rPr>
          <w:sz w:val="28"/>
          <w:szCs w:val="28"/>
        </w:rPr>
      </w:pPr>
    </w:p>
    <w:p w14:paraId="36678C14" w14:textId="77777777" w:rsidR="0099088D" w:rsidRPr="002636AA" w:rsidRDefault="0099088D" w:rsidP="0099088D">
      <w:pPr>
        <w:autoSpaceDE w:val="0"/>
        <w:autoSpaceDN w:val="0"/>
        <w:adjustRightInd w:val="0"/>
        <w:ind w:firstLine="540"/>
        <w:jc w:val="both"/>
        <w:rPr>
          <w:sz w:val="28"/>
          <w:szCs w:val="28"/>
        </w:rPr>
      </w:pPr>
    </w:p>
    <w:p w14:paraId="3D759B54" w14:textId="77777777" w:rsidR="0099088D" w:rsidRPr="002636AA" w:rsidRDefault="0099088D" w:rsidP="0099088D">
      <w:pPr>
        <w:tabs>
          <w:tab w:val="left" w:pos="0"/>
          <w:tab w:val="left" w:pos="284"/>
        </w:tabs>
        <w:jc w:val="center"/>
        <w:rPr>
          <w:b/>
          <w:sz w:val="28"/>
          <w:szCs w:val="28"/>
        </w:rPr>
      </w:pPr>
      <w:r w:rsidRPr="002636AA">
        <w:rPr>
          <w:b/>
          <w:sz w:val="28"/>
          <w:szCs w:val="28"/>
        </w:rPr>
        <w:t>Расчет стандартизированной тарифной ставки С</w:t>
      </w:r>
      <w:r w:rsidRPr="002636AA">
        <w:rPr>
          <w:b/>
          <w:sz w:val="28"/>
          <w:szCs w:val="28"/>
          <w:vertAlign w:val="subscript"/>
        </w:rPr>
        <w:t>4,</w:t>
      </w:r>
      <w:r w:rsidRPr="002636AA">
        <w:rPr>
          <w:b/>
          <w:sz w:val="28"/>
          <w:szCs w:val="28"/>
        </w:rPr>
        <w:t xml:space="preserve"> на покрытие расходов ГРО, связанных со строительством стального газопровода i-того диапазона диаметров (полиэтиленового газопровода j-того диапазона диаметров) n-ной протяженности бестраншейным способом, в расчете на 1 км</w:t>
      </w:r>
    </w:p>
    <w:p w14:paraId="63D4CAF7" w14:textId="77777777" w:rsidR="0099088D" w:rsidRPr="002636AA" w:rsidRDefault="0099088D" w:rsidP="0099088D">
      <w:pPr>
        <w:autoSpaceDE w:val="0"/>
        <w:autoSpaceDN w:val="0"/>
        <w:adjustRightInd w:val="0"/>
        <w:ind w:firstLine="540"/>
        <w:jc w:val="both"/>
        <w:rPr>
          <w:sz w:val="28"/>
          <w:szCs w:val="28"/>
        </w:rPr>
      </w:pPr>
    </w:p>
    <w:p w14:paraId="757B63AF" w14:textId="77777777" w:rsidR="0099088D" w:rsidRPr="002636AA" w:rsidRDefault="0099088D" w:rsidP="0099088D">
      <w:pPr>
        <w:autoSpaceDE w:val="0"/>
        <w:autoSpaceDN w:val="0"/>
        <w:adjustRightInd w:val="0"/>
        <w:ind w:firstLine="540"/>
        <w:jc w:val="both"/>
        <w:rPr>
          <w:sz w:val="28"/>
          <w:szCs w:val="28"/>
        </w:rPr>
      </w:pPr>
      <w:r w:rsidRPr="002636AA">
        <w:rPr>
          <w:sz w:val="28"/>
          <w:szCs w:val="28"/>
        </w:rPr>
        <w:t>Предложения предприятия приведены в Таблице 4.</w:t>
      </w:r>
    </w:p>
    <w:p w14:paraId="19AC1761" w14:textId="77777777" w:rsidR="0099088D" w:rsidRPr="002636AA" w:rsidRDefault="0099088D" w:rsidP="0099088D">
      <w:pPr>
        <w:autoSpaceDE w:val="0"/>
        <w:autoSpaceDN w:val="0"/>
        <w:adjustRightInd w:val="0"/>
        <w:ind w:firstLine="540"/>
        <w:jc w:val="right"/>
        <w:rPr>
          <w:sz w:val="28"/>
          <w:szCs w:val="28"/>
        </w:rPr>
      </w:pPr>
      <w:r w:rsidRPr="002636AA">
        <w:rPr>
          <w:sz w:val="28"/>
          <w:szCs w:val="28"/>
        </w:rPr>
        <w:t>Таблица 4</w:t>
      </w:r>
    </w:p>
    <w:tbl>
      <w:tblPr>
        <w:tblW w:w="9644" w:type="dxa"/>
        <w:tblInd w:w="103" w:type="dxa"/>
        <w:tblLook w:val="04A0" w:firstRow="1" w:lastRow="0" w:firstColumn="1" w:lastColumn="0" w:noHBand="0" w:noVBand="1"/>
      </w:tblPr>
      <w:tblGrid>
        <w:gridCol w:w="1297"/>
        <w:gridCol w:w="4106"/>
        <w:gridCol w:w="1775"/>
        <w:gridCol w:w="2466"/>
      </w:tblGrid>
      <w:tr w:rsidR="0099088D" w:rsidRPr="002636AA" w14:paraId="40FB7BBC" w14:textId="77777777" w:rsidTr="0099088D">
        <w:trPr>
          <w:trHeight w:val="458"/>
        </w:trPr>
        <w:tc>
          <w:tcPr>
            <w:tcW w:w="12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099FCE" w14:textId="77777777" w:rsidR="0099088D" w:rsidRPr="002636AA" w:rsidRDefault="0099088D" w:rsidP="0099088D">
            <w:pPr>
              <w:jc w:val="center"/>
              <w:rPr>
                <w:color w:val="000000"/>
              </w:rPr>
            </w:pPr>
            <w:r w:rsidRPr="002636AA">
              <w:rPr>
                <w:color w:val="000000"/>
              </w:rPr>
              <w:t>№</w:t>
            </w:r>
          </w:p>
        </w:tc>
        <w:tc>
          <w:tcPr>
            <w:tcW w:w="41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448B2F" w14:textId="77777777" w:rsidR="0099088D" w:rsidRPr="002636AA" w:rsidRDefault="0099088D" w:rsidP="0099088D">
            <w:pPr>
              <w:jc w:val="center"/>
              <w:rPr>
                <w:color w:val="000000"/>
              </w:rPr>
            </w:pPr>
            <w:r w:rsidRPr="002636AA">
              <w:rPr>
                <w:color w:val="000000"/>
              </w:rPr>
              <w:t>Наименование стандартизированных тарифных ставок</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9C72E7" w14:textId="77777777" w:rsidR="0099088D" w:rsidRPr="002636AA" w:rsidRDefault="0099088D" w:rsidP="0099088D">
            <w:pPr>
              <w:jc w:val="center"/>
              <w:rPr>
                <w:color w:val="000000"/>
              </w:rPr>
            </w:pPr>
            <w:r w:rsidRPr="002636AA">
              <w:rPr>
                <w:color w:val="000000"/>
              </w:rPr>
              <w:t>Единица измерения</w:t>
            </w:r>
          </w:p>
        </w:tc>
        <w:tc>
          <w:tcPr>
            <w:tcW w:w="246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AF0BFD1" w14:textId="77777777" w:rsidR="0099088D" w:rsidRPr="002636AA" w:rsidRDefault="0099088D" w:rsidP="0099088D">
            <w:pPr>
              <w:jc w:val="center"/>
              <w:rPr>
                <w:color w:val="000000"/>
              </w:rPr>
            </w:pPr>
            <w:r w:rsidRPr="002636AA">
              <w:rPr>
                <w:color w:val="000000"/>
              </w:rPr>
              <w:t xml:space="preserve">Размеры стандартизированных тарифных ставок </w:t>
            </w:r>
            <w:r w:rsidRPr="002636AA">
              <w:rPr>
                <w:color w:val="2D2D2D"/>
              </w:rPr>
              <w:t>(без НДС, с налогом на прибыль)</w:t>
            </w:r>
          </w:p>
        </w:tc>
      </w:tr>
      <w:tr w:rsidR="0099088D" w:rsidRPr="002636AA" w14:paraId="3AD8C53A" w14:textId="77777777" w:rsidTr="0099088D">
        <w:trPr>
          <w:trHeight w:val="591"/>
        </w:trPr>
        <w:tc>
          <w:tcPr>
            <w:tcW w:w="1297" w:type="dxa"/>
            <w:vMerge/>
            <w:tcBorders>
              <w:top w:val="single" w:sz="4" w:space="0" w:color="auto"/>
              <w:left w:val="single" w:sz="4" w:space="0" w:color="auto"/>
              <w:bottom w:val="single" w:sz="4" w:space="0" w:color="auto"/>
              <w:right w:val="single" w:sz="4" w:space="0" w:color="auto"/>
            </w:tcBorders>
            <w:vAlign w:val="center"/>
            <w:hideMark/>
          </w:tcPr>
          <w:p w14:paraId="0AC6A7BA" w14:textId="77777777" w:rsidR="0099088D" w:rsidRPr="002636AA" w:rsidRDefault="0099088D" w:rsidP="0099088D">
            <w:pPr>
              <w:rPr>
                <w:color w:val="000000"/>
              </w:rPr>
            </w:pPr>
          </w:p>
        </w:tc>
        <w:tc>
          <w:tcPr>
            <w:tcW w:w="4106" w:type="dxa"/>
            <w:vMerge/>
            <w:tcBorders>
              <w:top w:val="single" w:sz="4" w:space="0" w:color="auto"/>
              <w:left w:val="single" w:sz="4" w:space="0" w:color="auto"/>
              <w:bottom w:val="single" w:sz="4" w:space="0" w:color="auto"/>
              <w:right w:val="single" w:sz="4" w:space="0" w:color="auto"/>
            </w:tcBorders>
            <w:vAlign w:val="center"/>
            <w:hideMark/>
          </w:tcPr>
          <w:p w14:paraId="021D488A" w14:textId="77777777" w:rsidR="0099088D" w:rsidRPr="002636AA" w:rsidRDefault="0099088D" w:rsidP="0099088D">
            <w:pPr>
              <w:rPr>
                <w:color w:val="000000"/>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387491ED" w14:textId="77777777" w:rsidR="0099088D" w:rsidRPr="002636AA" w:rsidRDefault="0099088D" w:rsidP="0099088D">
            <w:pPr>
              <w:rPr>
                <w:color w:val="000000"/>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6B0F08FD" w14:textId="77777777" w:rsidR="0099088D" w:rsidRPr="002636AA" w:rsidRDefault="0099088D" w:rsidP="0099088D">
            <w:pPr>
              <w:rPr>
                <w:color w:val="000000"/>
              </w:rPr>
            </w:pPr>
          </w:p>
        </w:tc>
      </w:tr>
      <w:tr w:rsidR="0099088D" w:rsidRPr="002636AA" w14:paraId="2105A951" w14:textId="77777777" w:rsidTr="0099088D">
        <w:trPr>
          <w:trHeight w:val="458"/>
        </w:trPr>
        <w:tc>
          <w:tcPr>
            <w:tcW w:w="1297" w:type="dxa"/>
            <w:vMerge/>
            <w:tcBorders>
              <w:top w:val="single" w:sz="4" w:space="0" w:color="auto"/>
              <w:left w:val="single" w:sz="4" w:space="0" w:color="auto"/>
              <w:bottom w:val="single" w:sz="4" w:space="0" w:color="auto"/>
              <w:right w:val="single" w:sz="4" w:space="0" w:color="auto"/>
            </w:tcBorders>
            <w:vAlign w:val="center"/>
            <w:hideMark/>
          </w:tcPr>
          <w:p w14:paraId="29130A87" w14:textId="77777777" w:rsidR="0099088D" w:rsidRPr="002636AA" w:rsidRDefault="0099088D" w:rsidP="0099088D">
            <w:pPr>
              <w:rPr>
                <w:color w:val="000000"/>
              </w:rPr>
            </w:pPr>
          </w:p>
        </w:tc>
        <w:tc>
          <w:tcPr>
            <w:tcW w:w="4106" w:type="dxa"/>
            <w:vMerge/>
            <w:tcBorders>
              <w:top w:val="single" w:sz="4" w:space="0" w:color="auto"/>
              <w:left w:val="single" w:sz="4" w:space="0" w:color="auto"/>
              <w:bottom w:val="single" w:sz="4" w:space="0" w:color="auto"/>
              <w:right w:val="single" w:sz="4" w:space="0" w:color="auto"/>
            </w:tcBorders>
            <w:vAlign w:val="center"/>
            <w:hideMark/>
          </w:tcPr>
          <w:p w14:paraId="5A87A952" w14:textId="77777777" w:rsidR="0099088D" w:rsidRPr="002636AA" w:rsidRDefault="0099088D" w:rsidP="0099088D">
            <w:pPr>
              <w:rPr>
                <w:color w:val="000000"/>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2177852F" w14:textId="77777777" w:rsidR="0099088D" w:rsidRPr="002636AA" w:rsidRDefault="0099088D" w:rsidP="0099088D">
            <w:pPr>
              <w:rPr>
                <w:color w:val="000000"/>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013D201D" w14:textId="77777777" w:rsidR="0099088D" w:rsidRPr="002636AA" w:rsidRDefault="0099088D" w:rsidP="0099088D">
            <w:pPr>
              <w:rPr>
                <w:color w:val="000000"/>
              </w:rPr>
            </w:pPr>
          </w:p>
        </w:tc>
      </w:tr>
      <w:tr w:rsidR="0099088D" w:rsidRPr="002636AA" w14:paraId="7842B51C"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3D456A" w14:textId="77777777" w:rsidR="0099088D" w:rsidRPr="002636AA" w:rsidRDefault="0099088D" w:rsidP="0099088D">
            <w:pPr>
              <w:jc w:val="center"/>
              <w:rPr>
                <w:color w:val="000000"/>
              </w:rPr>
            </w:pPr>
            <w:r w:rsidRPr="002636AA">
              <w:rPr>
                <w:color w:val="000000"/>
              </w:rPr>
              <w:t>1</w:t>
            </w:r>
          </w:p>
        </w:tc>
        <w:tc>
          <w:tcPr>
            <w:tcW w:w="4106" w:type="dxa"/>
            <w:tcBorders>
              <w:top w:val="single" w:sz="4" w:space="0" w:color="auto"/>
              <w:left w:val="nil"/>
              <w:bottom w:val="single" w:sz="4" w:space="0" w:color="auto"/>
              <w:right w:val="single" w:sz="4" w:space="0" w:color="auto"/>
            </w:tcBorders>
            <w:shd w:val="clear" w:color="auto" w:fill="auto"/>
            <w:vAlign w:val="center"/>
            <w:hideMark/>
          </w:tcPr>
          <w:p w14:paraId="569CF9AA" w14:textId="77777777" w:rsidR="0099088D" w:rsidRPr="002636AA" w:rsidRDefault="0099088D" w:rsidP="0099088D">
            <w:pPr>
              <w:jc w:val="center"/>
              <w:rPr>
                <w:color w:val="000000"/>
              </w:rPr>
            </w:pPr>
            <w:r w:rsidRPr="002636AA">
              <w:rPr>
                <w:color w:val="000000"/>
              </w:rPr>
              <w:t>2</w:t>
            </w:r>
          </w:p>
        </w:tc>
        <w:tc>
          <w:tcPr>
            <w:tcW w:w="1775" w:type="dxa"/>
            <w:tcBorders>
              <w:top w:val="single" w:sz="4" w:space="0" w:color="auto"/>
              <w:left w:val="nil"/>
              <w:bottom w:val="single" w:sz="4" w:space="0" w:color="auto"/>
              <w:right w:val="single" w:sz="4" w:space="0" w:color="auto"/>
            </w:tcBorders>
            <w:shd w:val="clear" w:color="auto" w:fill="auto"/>
            <w:vAlign w:val="center"/>
            <w:hideMark/>
          </w:tcPr>
          <w:p w14:paraId="5F22E49E" w14:textId="77777777" w:rsidR="0099088D" w:rsidRPr="002636AA" w:rsidRDefault="0099088D" w:rsidP="0099088D">
            <w:pPr>
              <w:jc w:val="center"/>
              <w:rPr>
                <w:color w:val="000000"/>
              </w:rPr>
            </w:pPr>
            <w:r w:rsidRPr="002636AA">
              <w:rPr>
                <w:color w:val="000000"/>
              </w:rPr>
              <w:t>3</w:t>
            </w:r>
          </w:p>
        </w:tc>
        <w:tc>
          <w:tcPr>
            <w:tcW w:w="2466" w:type="dxa"/>
            <w:tcBorders>
              <w:top w:val="single" w:sz="4" w:space="0" w:color="auto"/>
              <w:left w:val="nil"/>
              <w:bottom w:val="single" w:sz="4" w:space="0" w:color="auto"/>
              <w:right w:val="single" w:sz="4" w:space="0" w:color="auto"/>
            </w:tcBorders>
            <w:shd w:val="clear" w:color="000000" w:fill="FFFFFF"/>
            <w:vAlign w:val="center"/>
            <w:hideMark/>
          </w:tcPr>
          <w:p w14:paraId="58A976E3" w14:textId="77777777" w:rsidR="0099088D" w:rsidRPr="002636AA" w:rsidRDefault="0099088D" w:rsidP="0099088D">
            <w:pPr>
              <w:jc w:val="center"/>
              <w:rPr>
                <w:color w:val="000000"/>
              </w:rPr>
            </w:pPr>
            <w:r w:rsidRPr="002636AA">
              <w:rPr>
                <w:color w:val="000000"/>
              </w:rPr>
              <w:t>4</w:t>
            </w:r>
          </w:p>
        </w:tc>
      </w:tr>
      <w:tr w:rsidR="0099088D" w:rsidRPr="002636AA" w14:paraId="72498566" w14:textId="77777777" w:rsidTr="0099088D">
        <w:trPr>
          <w:trHeight w:val="973"/>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ADA6D" w14:textId="77777777" w:rsidR="0099088D" w:rsidRPr="002636AA" w:rsidRDefault="0099088D" w:rsidP="0099088D">
            <w:pPr>
              <w:jc w:val="center"/>
              <w:rPr>
                <w:color w:val="000000"/>
              </w:rPr>
            </w:pPr>
            <w:bookmarkStart w:id="48" w:name="_Hlk87866905"/>
            <w:r w:rsidRPr="002636AA">
              <w:rPr>
                <w:color w:val="000000"/>
              </w:rPr>
              <w:t>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310A46C3" w14:textId="77777777" w:rsidR="0099088D" w:rsidRPr="002636AA" w:rsidRDefault="0099088D" w:rsidP="0099088D">
            <w:pPr>
              <w:rPr>
                <w:color w:val="000000"/>
              </w:rPr>
            </w:pPr>
            <w:r w:rsidRPr="002636AA">
              <w:rPr>
                <w:color w:val="000000"/>
              </w:rPr>
              <w:t>Размер стандартизированной тарифной ставки С</w:t>
            </w:r>
            <w:r w:rsidRPr="002636AA">
              <w:rPr>
                <w:color w:val="000000"/>
                <w:vertAlign w:val="subscript"/>
              </w:rPr>
              <w:t>4</w:t>
            </w:r>
            <w:r w:rsidRPr="002636AA">
              <w:rPr>
                <w:color w:val="000000"/>
              </w:rPr>
              <w:t xml:space="preserve"> на покрытие расходов газораспределительной организации, связанных со строительством стального и полиэтиленового газопроводов бестраншейным способом </w:t>
            </w:r>
          </w:p>
        </w:tc>
      </w:tr>
      <w:tr w:rsidR="0099088D" w:rsidRPr="002636AA" w14:paraId="05594BA6" w14:textId="77777777" w:rsidTr="0099088D">
        <w:trPr>
          <w:trHeight w:val="47"/>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98F7CBD" w14:textId="77777777" w:rsidR="0099088D" w:rsidRPr="002636AA" w:rsidRDefault="0099088D" w:rsidP="0099088D">
            <w:pPr>
              <w:jc w:val="center"/>
              <w:rPr>
                <w:color w:val="000000"/>
              </w:rPr>
            </w:pPr>
            <w:r w:rsidRPr="002636AA">
              <w:rPr>
                <w:color w:val="000000"/>
              </w:rPr>
              <w:t>1.1.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60B11AAD" w14:textId="77777777" w:rsidR="0099088D" w:rsidRPr="002636AA" w:rsidRDefault="0099088D" w:rsidP="0099088D">
            <w:pPr>
              <w:rPr>
                <w:color w:val="000000"/>
              </w:rPr>
            </w:pPr>
            <w:r w:rsidRPr="002636AA">
              <w:rPr>
                <w:bCs/>
                <w:color w:val="000000"/>
              </w:rPr>
              <w:t>полиэтиленовых</w:t>
            </w:r>
            <w:r w:rsidRPr="002636AA">
              <w:rPr>
                <w:color w:val="000000"/>
              </w:rPr>
              <w:t xml:space="preserve"> газопроводов наружным диаметром:</w:t>
            </w:r>
          </w:p>
        </w:tc>
      </w:tr>
      <w:bookmarkEnd w:id="48"/>
      <w:tr w:rsidR="0099088D" w:rsidRPr="002636AA" w14:paraId="60B01A56" w14:textId="77777777" w:rsidTr="0099088D">
        <w:trPr>
          <w:trHeight w:val="77"/>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DB7C8E4" w14:textId="77777777" w:rsidR="0099088D" w:rsidRPr="002636AA" w:rsidRDefault="0099088D" w:rsidP="0099088D">
            <w:pPr>
              <w:jc w:val="center"/>
              <w:rPr>
                <w:color w:val="000000"/>
              </w:rPr>
            </w:pPr>
            <w:r w:rsidRPr="002636AA">
              <w:rPr>
                <w:color w:val="000000"/>
              </w:rPr>
              <w:t>1.1.1.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1EA2A567" w14:textId="77777777" w:rsidR="0099088D" w:rsidRPr="002636AA" w:rsidRDefault="0099088D" w:rsidP="0099088D">
            <w:pPr>
              <w:rPr>
                <w:color w:val="000000"/>
              </w:rPr>
            </w:pPr>
            <w:r w:rsidRPr="002636AA">
              <w:rPr>
                <w:color w:val="000000"/>
              </w:rPr>
              <w:t>109 мм и менее, в грунтах:</w:t>
            </w:r>
          </w:p>
        </w:tc>
      </w:tr>
      <w:tr w:rsidR="0099088D" w:rsidRPr="002636AA" w14:paraId="2BFB05F7" w14:textId="77777777" w:rsidTr="0099088D">
        <w:trPr>
          <w:trHeight w:val="47"/>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EEF3EBD" w14:textId="77777777" w:rsidR="0099088D" w:rsidRPr="002636AA" w:rsidRDefault="0099088D" w:rsidP="0099088D">
            <w:pPr>
              <w:jc w:val="center"/>
              <w:rPr>
                <w:color w:val="000000"/>
              </w:rPr>
            </w:pPr>
            <w:r w:rsidRPr="002636AA">
              <w:rPr>
                <w:color w:val="000000"/>
              </w:rPr>
              <w:t>1.1.1.1.</w:t>
            </w:r>
          </w:p>
        </w:tc>
        <w:tc>
          <w:tcPr>
            <w:tcW w:w="4106" w:type="dxa"/>
            <w:tcBorders>
              <w:top w:val="nil"/>
              <w:left w:val="nil"/>
              <w:bottom w:val="single" w:sz="4" w:space="0" w:color="auto"/>
              <w:right w:val="single" w:sz="4" w:space="0" w:color="auto"/>
            </w:tcBorders>
            <w:shd w:val="clear" w:color="auto" w:fill="auto"/>
            <w:vAlign w:val="center"/>
            <w:hideMark/>
          </w:tcPr>
          <w:p w14:paraId="1B46CF46" w14:textId="77777777" w:rsidR="0099088D" w:rsidRPr="002636AA" w:rsidRDefault="0099088D" w:rsidP="0099088D">
            <w:pPr>
              <w:rPr>
                <w:color w:val="000000"/>
              </w:rPr>
            </w:pPr>
            <w:r w:rsidRPr="002636AA">
              <w:rPr>
                <w:color w:val="000000"/>
              </w:rPr>
              <w:t>I и II группы</w:t>
            </w:r>
          </w:p>
        </w:tc>
        <w:tc>
          <w:tcPr>
            <w:tcW w:w="1775" w:type="dxa"/>
            <w:tcBorders>
              <w:top w:val="nil"/>
              <w:left w:val="single" w:sz="4" w:space="0" w:color="auto"/>
              <w:bottom w:val="single" w:sz="4" w:space="0" w:color="auto"/>
              <w:right w:val="single" w:sz="4" w:space="0" w:color="auto"/>
            </w:tcBorders>
            <w:shd w:val="clear" w:color="auto" w:fill="auto"/>
            <w:vAlign w:val="center"/>
            <w:hideMark/>
          </w:tcPr>
          <w:p w14:paraId="068A7884" w14:textId="77777777" w:rsidR="0099088D" w:rsidRPr="002636AA" w:rsidRDefault="0099088D" w:rsidP="0099088D">
            <w:pPr>
              <w:jc w:val="center"/>
              <w:rPr>
                <w:color w:val="000000"/>
              </w:rPr>
            </w:pPr>
            <w:r w:rsidRPr="002636AA">
              <w:rPr>
                <w:color w:val="000000"/>
              </w:rPr>
              <w:t>руб./км</w:t>
            </w:r>
          </w:p>
        </w:tc>
        <w:tc>
          <w:tcPr>
            <w:tcW w:w="2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3E0964" w14:textId="77777777" w:rsidR="0099088D" w:rsidRPr="002636AA" w:rsidRDefault="0099088D" w:rsidP="0099088D">
            <w:pPr>
              <w:jc w:val="center"/>
              <w:rPr>
                <w:color w:val="000000"/>
              </w:rPr>
            </w:pPr>
            <w:r w:rsidRPr="002636AA">
              <w:rPr>
                <w:color w:val="000000"/>
              </w:rPr>
              <w:t>6 052 710</w:t>
            </w:r>
          </w:p>
        </w:tc>
      </w:tr>
      <w:tr w:rsidR="0099088D" w:rsidRPr="002636AA" w14:paraId="2262B20F" w14:textId="77777777" w:rsidTr="0099088D">
        <w:trPr>
          <w:trHeight w:val="47"/>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82096E4" w14:textId="77777777" w:rsidR="0099088D" w:rsidRPr="002636AA" w:rsidRDefault="0099088D" w:rsidP="0099088D">
            <w:pPr>
              <w:jc w:val="center"/>
              <w:rPr>
                <w:color w:val="000000"/>
              </w:rPr>
            </w:pPr>
            <w:r w:rsidRPr="002636AA">
              <w:rPr>
                <w:color w:val="000000"/>
              </w:rPr>
              <w:t>1.1.2.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75499193" w14:textId="77777777" w:rsidR="0099088D" w:rsidRPr="002636AA" w:rsidRDefault="0099088D" w:rsidP="0099088D">
            <w:pPr>
              <w:rPr>
                <w:color w:val="000000"/>
              </w:rPr>
            </w:pPr>
            <w:r w:rsidRPr="002636AA">
              <w:rPr>
                <w:color w:val="000000"/>
              </w:rPr>
              <w:t>110-159 мм, в грунтах:</w:t>
            </w:r>
          </w:p>
        </w:tc>
      </w:tr>
      <w:tr w:rsidR="0099088D" w:rsidRPr="002636AA" w14:paraId="34C4F10D" w14:textId="77777777" w:rsidTr="0099088D">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F55B474" w14:textId="77777777" w:rsidR="0099088D" w:rsidRPr="002636AA" w:rsidRDefault="0099088D" w:rsidP="0099088D">
            <w:pPr>
              <w:jc w:val="center"/>
              <w:rPr>
                <w:color w:val="000000"/>
              </w:rPr>
            </w:pPr>
            <w:r w:rsidRPr="002636AA">
              <w:rPr>
                <w:color w:val="000000"/>
              </w:rPr>
              <w:t>1.1.2.1.</w:t>
            </w:r>
          </w:p>
        </w:tc>
        <w:tc>
          <w:tcPr>
            <w:tcW w:w="4106" w:type="dxa"/>
            <w:tcBorders>
              <w:top w:val="nil"/>
              <w:left w:val="nil"/>
              <w:bottom w:val="single" w:sz="4" w:space="0" w:color="auto"/>
              <w:right w:val="single" w:sz="4" w:space="0" w:color="auto"/>
            </w:tcBorders>
            <w:shd w:val="clear" w:color="auto" w:fill="auto"/>
            <w:vAlign w:val="center"/>
            <w:hideMark/>
          </w:tcPr>
          <w:p w14:paraId="55F89929" w14:textId="77777777" w:rsidR="0099088D" w:rsidRPr="002636AA" w:rsidRDefault="0099088D" w:rsidP="0099088D">
            <w:pPr>
              <w:rPr>
                <w:color w:val="000000"/>
              </w:rPr>
            </w:pPr>
            <w:r w:rsidRPr="002636AA">
              <w:rPr>
                <w:color w:val="000000"/>
              </w:rPr>
              <w:t>I и II группы</w:t>
            </w:r>
          </w:p>
        </w:tc>
        <w:tc>
          <w:tcPr>
            <w:tcW w:w="1775" w:type="dxa"/>
            <w:tcBorders>
              <w:top w:val="nil"/>
              <w:left w:val="single" w:sz="4" w:space="0" w:color="auto"/>
              <w:bottom w:val="single" w:sz="4" w:space="0" w:color="auto"/>
              <w:right w:val="single" w:sz="4" w:space="0" w:color="auto"/>
            </w:tcBorders>
            <w:shd w:val="clear" w:color="auto" w:fill="auto"/>
            <w:vAlign w:val="center"/>
            <w:hideMark/>
          </w:tcPr>
          <w:p w14:paraId="3D189DA0" w14:textId="77777777" w:rsidR="0099088D" w:rsidRPr="002636AA" w:rsidRDefault="0099088D" w:rsidP="0099088D">
            <w:pPr>
              <w:jc w:val="center"/>
              <w:rPr>
                <w:color w:val="000000"/>
              </w:rPr>
            </w:pPr>
            <w:r w:rsidRPr="002636AA">
              <w:rPr>
                <w:color w:val="000000"/>
              </w:rPr>
              <w:t>руб./км</w:t>
            </w:r>
          </w:p>
        </w:tc>
        <w:tc>
          <w:tcPr>
            <w:tcW w:w="2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63D3E5" w14:textId="77777777" w:rsidR="0099088D" w:rsidRPr="002636AA" w:rsidRDefault="0099088D" w:rsidP="0099088D">
            <w:pPr>
              <w:jc w:val="center"/>
              <w:rPr>
                <w:color w:val="000000"/>
              </w:rPr>
            </w:pPr>
            <w:r w:rsidRPr="002636AA">
              <w:rPr>
                <w:color w:val="000000"/>
              </w:rPr>
              <w:t>6 052 710</w:t>
            </w:r>
          </w:p>
        </w:tc>
      </w:tr>
    </w:tbl>
    <w:p w14:paraId="0260591E" w14:textId="77777777" w:rsidR="0099088D" w:rsidRPr="002636AA" w:rsidRDefault="0099088D" w:rsidP="0099088D">
      <w:pPr>
        <w:autoSpaceDE w:val="0"/>
        <w:autoSpaceDN w:val="0"/>
        <w:adjustRightInd w:val="0"/>
        <w:ind w:firstLine="540"/>
        <w:jc w:val="both"/>
        <w:rPr>
          <w:sz w:val="28"/>
          <w:szCs w:val="28"/>
        </w:rPr>
      </w:pPr>
    </w:p>
    <w:p w14:paraId="45477BC3" w14:textId="77777777" w:rsidR="0099088D" w:rsidRPr="002636AA" w:rsidRDefault="0099088D" w:rsidP="0099088D">
      <w:pPr>
        <w:autoSpaceDE w:val="0"/>
        <w:autoSpaceDN w:val="0"/>
        <w:adjustRightInd w:val="0"/>
        <w:ind w:firstLine="540"/>
        <w:jc w:val="both"/>
        <w:rPr>
          <w:sz w:val="28"/>
          <w:szCs w:val="28"/>
        </w:rPr>
      </w:pPr>
      <w:r w:rsidRPr="002636AA">
        <w:rPr>
          <w:sz w:val="28"/>
          <w:szCs w:val="28"/>
        </w:rPr>
        <w:t>Размер стандартизированной тарифной ставки на покрытие расходов ГРО, связанных со строительством стального (полиэтиленового) газопровода бестраншейным способом (С4i(j)n), определяется по формуле:</w:t>
      </w:r>
    </w:p>
    <w:p w14:paraId="6263B398" w14:textId="77777777" w:rsidR="0099088D" w:rsidRPr="002636AA" w:rsidRDefault="0099088D" w:rsidP="0099088D">
      <w:pPr>
        <w:autoSpaceDE w:val="0"/>
        <w:autoSpaceDN w:val="0"/>
        <w:adjustRightInd w:val="0"/>
        <w:ind w:firstLine="540"/>
        <w:jc w:val="both"/>
        <w:rPr>
          <w:sz w:val="28"/>
          <w:szCs w:val="28"/>
        </w:rPr>
      </w:pPr>
    </w:p>
    <w:p w14:paraId="25EDB133" w14:textId="77777777" w:rsidR="0099088D" w:rsidRPr="002636AA" w:rsidRDefault="0099088D" w:rsidP="0099088D">
      <w:pPr>
        <w:autoSpaceDE w:val="0"/>
        <w:autoSpaceDN w:val="0"/>
        <w:adjustRightInd w:val="0"/>
        <w:jc w:val="center"/>
        <w:rPr>
          <w:sz w:val="28"/>
          <w:szCs w:val="28"/>
        </w:rPr>
      </w:pPr>
      <w:r w:rsidRPr="002636AA">
        <w:rPr>
          <w:noProof/>
          <w:position w:val="-47"/>
          <w:sz w:val="28"/>
          <w:szCs w:val="28"/>
        </w:rPr>
        <w:drawing>
          <wp:inline distT="0" distB="0" distL="0" distR="0" wp14:anchorId="5C722B44" wp14:editId="22F2AD24">
            <wp:extent cx="2714625" cy="857250"/>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38" cstate="print">
                      <a:extLst>
                        <a:ext uri="{28A0092B-C50C-407E-A947-70E740481C1C}">
                          <a14:useLocalDpi xmlns:a14="http://schemas.microsoft.com/office/drawing/2010/main" val="0"/>
                        </a:ext>
                      </a:extLst>
                    </a:blip>
                    <a:srcRect r="12308" b="-9756"/>
                    <a:stretch>
                      <a:fillRect/>
                    </a:stretch>
                  </pic:blipFill>
                  <pic:spPr bwMode="auto">
                    <a:xfrm>
                      <a:off x="0" y="0"/>
                      <a:ext cx="2714625" cy="857250"/>
                    </a:xfrm>
                    <a:prstGeom prst="rect">
                      <a:avLst/>
                    </a:prstGeom>
                    <a:noFill/>
                    <a:ln>
                      <a:noFill/>
                    </a:ln>
                  </pic:spPr>
                </pic:pic>
              </a:graphicData>
            </a:graphic>
          </wp:inline>
        </w:drawing>
      </w:r>
    </w:p>
    <w:p w14:paraId="2AB3C958" w14:textId="77777777" w:rsidR="0099088D" w:rsidRPr="002636AA" w:rsidRDefault="0099088D" w:rsidP="0099088D">
      <w:pPr>
        <w:autoSpaceDE w:val="0"/>
        <w:autoSpaceDN w:val="0"/>
        <w:adjustRightInd w:val="0"/>
        <w:ind w:firstLine="540"/>
        <w:jc w:val="both"/>
        <w:rPr>
          <w:sz w:val="28"/>
          <w:szCs w:val="28"/>
        </w:rPr>
      </w:pPr>
    </w:p>
    <w:p w14:paraId="4E400A50" w14:textId="77777777" w:rsidR="0099088D" w:rsidRPr="002636AA" w:rsidRDefault="0099088D" w:rsidP="0099088D">
      <w:pPr>
        <w:autoSpaceDE w:val="0"/>
        <w:autoSpaceDN w:val="0"/>
        <w:adjustRightInd w:val="0"/>
        <w:ind w:firstLine="540"/>
        <w:jc w:val="both"/>
        <w:rPr>
          <w:sz w:val="28"/>
          <w:szCs w:val="28"/>
        </w:rPr>
      </w:pPr>
      <w:r w:rsidRPr="002636AA">
        <w:rPr>
          <w:sz w:val="28"/>
          <w:szCs w:val="28"/>
        </w:rPr>
        <w:t>где:</w:t>
      </w:r>
    </w:p>
    <w:p w14:paraId="09D874A2" w14:textId="77777777" w:rsidR="0099088D" w:rsidRPr="002636AA" w:rsidRDefault="0099088D" w:rsidP="0099088D">
      <w:pPr>
        <w:autoSpaceDE w:val="0"/>
        <w:autoSpaceDN w:val="0"/>
        <w:adjustRightInd w:val="0"/>
        <w:ind w:firstLine="540"/>
        <w:jc w:val="both"/>
        <w:rPr>
          <w:sz w:val="28"/>
          <w:szCs w:val="28"/>
        </w:rPr>
      </w:pPr>
      <w:r w:rsidRPr="002636AA">
        <w:rPr>
          <w:sz w:val="28"/>
          <w:szCs w:val="28"/>
        </w:rPr>
        <w:t>Рi(j)n - фактические расходы ГРО на строительство стального газопровода i-того диапазона диаметров (полиэтиленового газопровода j-того диапазона диаметров) n-ной протяженности бестраншейным способом, понесенные в соответствующем календарном году из предусмотренных абзацами первым - четвертым пункта 32 Методических указаний, руб.;</w:t>
      </w:r>
    </w:p>
    <w:p w14:paraId="4FFF2EF6" w14:textId="77777777" w:rsidR="0099088D" w:rsidRPr="002636AA" w:rsidRDefault="0099088D" w:rsidP="0099088D">
      <w:pPr>
        <w:autoSpaceDE w:val="0"/>
        <w:autoSpaceDN w:val="0"/>
        <w:adjustRightInd w:val="0"/>
        <w:ind w:firstLine="540"/>
        <w:jc w:val="both"/>
        <w:rPr>
          <w:sz w:val="28"/>
          <w:szCs w:val="28"/>
        </w:rPr>
      </w:pPr>
      <w:r w:rsidRPr="002636AA">
        <w:rPr>
          <w:sz w:val="28"/>
          <w:szCs w:val="28"/>
        </w:rPr>
        <w:t>Li(j)n - общая длина стальных газопроводов i-того диапазона диаметров (полиэтиленовых газопроводов j-того диапазона диаметров) n-ной протяженности, построенных в рамках технологического присоединения бестраншейным способом в соответствующем календарном году из предусмотренных абзацами первым - четвертым пункта 31 Методических указаний, км;</w:t>
      </w:r>
    </w:p>
    <w:p w14:paraId="0BB9717B" w14:textId="77777777" w:rsidR="0099088D" w:rsidRPr="002636AA" w:rsidRDefault="0099088D" w:rsidP="0099088D">
      <w:pPr>
        <w:autoSpaceDE w:val="0"/>
        <w:autoSpaceDN w:val="0"/>
        <w:adjustRightInd w:val="0"/>
        <w:ind w:firstLine="540"/>
        <w:jc w:val="both"/>
        <w:rPr>
          <w:sz w:val="28"/>
          <w:szCs w:val="28"/>
        </w:rPr>
      </w:pPr>
      <w:r w:rsidRPr="002636AA">
        <w:rPr>
          <w:sz w:val="28"/>
          <w:szCs w:val="28"/>
        </w:rPr>
        <w:t>Iр - коэффициент расходов, определяемый в соответствии с пунктом 33 Методических указаний.</w:t>
      </w:r>
    </w:p>
    <w:p w14:paraId="6443348D" w14:textId="77777777" w:rsidR="0099088D" w:rsidRPr="002636AA" w:rsidRDefault="0099088D" w:rsidP="0099088D">
      <w:pPr>
        <w:autoSpaceDE w:val="0"/>
        <w:autoSpaceDN w:val="0"/>
        <w:adjustRightInd w:val="0"/>
        <w:ind w:firstLine="540"/>
        <w:jc w:val="both"/>
        <w:rPr>
          <w:sz w:val="28"/>
          <w:szCs w:val="28"/>
        </w:rPr>
      </w:pPr>
      <w:r w:rsidRPr="002636AA">
        <w:rPr>
          <w:sz w:val="28"/>
          <w:szCs w:val="28"/>
        </w:rPr>
        <w:t xml:space="preserve">Предприятием представлен расчет ставки в пункте 1.1.1.1. Таблицы 4, в размере 8 152 994 руб./км, а также расчет ставки в пункте 1.1.1.2. Таблицы 4, в размере 3 952 426 руб./км, на основании фактических данных за </w:t>
      </w:r>
      <w:bookmarkStart w:id="49" w:name="_Hlk87867825"/>
      <w:r w:rsidRPr="002636AA">
        <w:rPr>
          <w:sz w:val="28"/>
          <w:szCs w:val="28"/>
        </w:rPr>
        <w:t>2018- 2020 годы, с применением коэффициента расходов Iр, рассчитанного на основании индексов ИЦП в строительстве (2019 год - 107,3; 2020 год- 104; 2021 год – 105,1), опубликованных на сайте Минэкономразвития России 30.09.2021 (в части 2020 и 2021 годов) и 26.09.2020 (в части 2019 года)</w:t>
      </w:r>
      <w:bookmarkEnd w:id="49"/>
      <w:r w:rsidRPr="002636AA">
        <w:rPr>
          <w:sz w:val="28"/>
          <w:szCs w:val="28"/>
        </w:rPr>
        <w:t>. Однако предприятие предлагает утвердить вышеуказанные ставки на уровне 6 052 710 руб./км, как среднее значение рассчитанных ставок, что повысит доступность для потребителя ставки на покрытие расходов газораспределительной организации, связанных со строительством стального и полиэтиленового газопроводов бестраншейным способом полиэтиленовых газопроводов наружным диаметром в диапазоне 109 мм и менее.</w:t>
      </w:r>
    </w:p>
    <w:p w14:paraId="01440042" w14:textId="77777777" w:rsidR="0099088D" w:rsidRPr="002636AA" w:rsidRDefault="0099088D" w:rsidP="0099088D">
      <w:pPr>
        <w:autoSpaceDE w:val="0"/>
        <w:autoSpaceDN w:val="0"/>
        <w:adjustRightInd w:val="0"/>
        <w:ind w:firstLine="540"/>
        <w:jc w:val="both"/>
        <w:rPr>
          <w:sz w:val="28"/>
          <w:szCs w:val="28"/>
        </w:rPr>
      </w:pPr>
      <w:bookmarkStart w:id="50" w:name="_Hlk1562894"/>
      <w:r w:rsidRPr="002636AA">
        <w:rPr>
          <w:sz w:val="28"/>
          <w:szCs w:val="28"/>
        </w:rPr>
        <w:t>Эксперты, проанализировав расчеты предлагаемых предприятием стандартизированных тарифных ставок С</w:t>
      </w:r>
      <w:r w:rsidRPr="002636AA">
        <w:rPr>
          <w:sz w:val="28"/>
          <w:szCs w:val="28"/>
          <w:vertAlign w:val="subscript"/>
        </w:rPr>
        <w:t>4</w:t>
      </w:r>
      <w:r w:rsidRPr="002636AA">
        <w:rPr>
          <w:sz w:val="28"/>
          <w:szCs w:val="28"/>
        </w:rPr>
        <w:t>, предлагают утвердить их на уровне предложений предприятия.</w:t>
      </w:r>
    </w:p>
    <w:bookmarkEnd w:id="50"/>
    <w:p w14:paraId="28CAA132" w14:textId="77777777" w:rsidR="0099088D" w:rsidRPr="002636AA" w:rsidRDefault="0099088D" w:rsidP="0099088D">
      <w:pPr>
        <w:autoSpaceDE w:val="0"/>
        <w:autoSpaceDN w:val="0"/>
        <w:adjustRightInd w:val="0"/>
        <w:jc w:val="both"/>
        <w:rPr>
          <w:sz w:val="28"/>
          <w:szCs w:val="28"/>
        </w:rPr>
      </w:pPr>
    </w:p>
    <w:p w14:paraId="0096BE01" w14:textId="77777777" w:rsidR="0099088D" w:rsidRPr="002636AA" w:rsidRDefault="0099088D" w:rsidP="0099088D">
      <w:pPr>
        <w:tabs>
          <w:tab w:val="left" w:pos="0"/>
          <w:tab w:val="left" w:pos="284"/>
        </w:tabs>
        <w:jc w:val="center"/>
        <w:rPr>
          <w:b/>
          <w:sz w:val="28"/>
          <w:szCs w:val="28"/>
        </w:rPr>
      </w:pPr>
      <w:r w:rsidRPr="002636AA">
        <w:rPr>
          <w:b/>
          <w:sz w:val="28"/>
          <w:szCs w:val="28"/>
        </w:rPr>
        <w:t>Расчет стандартизированной тарифной ставки на покрытие расходов ГРО, связанных с проектированием и строительством пунктов редуцирования газа m-ного диапазона максимального часового расхода газа, в расчете на 1 м3 (руб./м3)</w:t>
      </w:r>
    </w:p>
    <w:p w14:paraId="3203EC3E" w14:textId="77777777" w:rsidR="0099088D" w:rsidRPr="002636AA" w:rsidRDefault="0099088D" w:rsidP="0099088D">
      <w:pPr>
        <w:autoSpaceDE w:val="0"/>
        <w:autoSpaceDN w:val="0"/>
        <w:adjustRightInd w:val="0"/>
        <w:jc w:val="both"/>
        <w:rPr>
          <w:sz w:val="28"/>
          <w:szCs w:val="28"/>
        </w:rPr>
      </w:pPr>
    </w:p>
    <w:p w14:paraId="5B8AC760" w14:textId="77777777" w:rsidR="0099088D" w:rsidRPr="002636AA" w:rsidRDefault="0099088D" w:rsidP="0099088D">
      <w:pPr>
        <w:autoSpaceDE w:val="0"/>
        <w:autoSpaceDN w:val="0"/>
        <w:adjustRightInd w:val="0"/>
        <w:ind w:firstLine="540"/>
        <w:jc w:val="both"/>
        <w:rPr>
          <w:sz w:val="28"/>
          <w:szCs w:val="28"/>
        </w:rPr>
      </w:pPr>
      <w:r w:rsidRPr="002636AA">
        <w:rPr>
          <w:sz w:val="28"/>
          <w:szCs w:val="28"/>
        </w:rPr>
        <w:t>Предложения предприятия приведены в Таблице 5.</w:t>
      </w:r>
    </w:p>
    <w:p w14:paraId="760F8816" w14:textId="77777777" w:rsidR="0099088D" w:rsidRPr="002636AA" w:rsidRDefault="0099088D" w:rsidP="0099088D">
      <w:pPr>
        <w:autoSpaceDE w:val="0"/>
        <w:autoSpaceDN w:val="0"/>
        <w:adjustRightInd w:val="0"/>
        <w:ind w:firstLine="540"/>
        <w:jc w:val="right"/>
        <w:rPr>
          <w:sz w:val="28"/>
          <w:szCs w:val="28"/>
        </w:rPr>
      </w:pPr>
      <w:r w:rsidRPr="002636AA">
        <w:rPr>
          <w:sz w:val="28"/>
          <w:szCs w:val="28"/>
        </w:rPr>
        <w:t>Таблица 5</w:t>
      </w:r>
    </w:p>
    <w:p w14:paraId="4CE4A881" w14:textId="77777777" w:rsidR="0099088D" w:rsidRPr="002636AA" w:rsidRDefault="0099088D" w:rsidP="0099088D">
      <w:pPr>
        <w:autoSpaceDE w:val="0"/>
        <w:autoSpaceDN w:val="0"/>
        <w:adjustRightInd w:val="0"/>
        <w:ind w:firstLine="540"/>
        <w:jc w:val="right"/>
        <w:rPr>
          <w:sz w:val="28"/>
          <w:szCs w:val="28"/>
        </w:rPr>
      </w:pPr>
    </w:p>
    <w:tbl>
      <w:tblPr>
        <w:tblW w:w="964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4106"/>
        <w:gridCol w:w="1775"/>
        <w:gridCol w:w="2466"/>
      </w:tblGrid>
      <w:tr w:rsidR="0099088D" w:rsidRPr="002636AA" w14:paraId="4C675AFC" w14:textId="77777777" w:rsidTr="0099088D">
        <w:trPr>
          <w:trHeight w:val="979"/>
        </w:trPr>
        <w:tc>
          <w:tcPr>
            <w:tcW w:w="1297" w:type="dxa"/>
            <w:shd w:val="clear" w:color="auto" w:fill="auto"/>
            <w:vAlign w:val="center"/>
          </w:tcPr>
          <w:p w14:paraId="7B214815" w14:textId="77777777" w:rsidR="0099088D" w:rsidRPr="002636AA" w:rsidRDefault="0099088D" w:rsidP="0099088D">
            <w:pPr>
              <w:jc w:val="center"/>
              <w:rPr>
                <w:color w:val="000000"/>
              </w:rPr>
            </w:pPr>
            <w:r w:rsidRPr="002636AA">
              <w:rPr>
                <w:color w:val="000000"/>
              </w:rPr>
              <w:t>1.</w:t>
            </w:r>
          </w:p>
        </w:tc>
        <w:tc>
          <w:tcPr>
            <w:tcW w:w="8347" w:type="dxa"/>
            <w:gridSpan w:val="3"/>
            <w:shd w:val="clear" w:color="auto" w:fill="auto"/>
            <w:vAlign w:val="center"/>
          </w:tcPr>
          <w:p w14:paraId="46D74B0F" w14:textId="77777777" w:rsidR="0099088D" w:rsidRPr="002636AA" w:rsidRDefault="0099088D" w:rsidP="0099088D">
            <w:pPr>
              <w:rPr>
                <w:color w:val="000000"/>
              </w:rPr>
            </w:pPr>
            <w:r w:rsidRPr="002636AA">
              <w:rPr>
                <w:color w:val="000000"/>
              </w:rPr>
              <w:t>Размер стандартизированной тарифной ставки С</w:t>
            </w:r>
            <w:r w:rsidRPr="002636AA">
              <w:rPr>
                <w:color w:val="000000"/>
                <w:vertAlign w:val="subscript"/>
              </w:rPr>
              <w:t>5</w:t>
            </w:r>
            <w:r w:rsidRPr="002636AA">
              <w:rPr>
                <w:color w:val="000000"/>
              </w:rPr>
              <w:t xml:space="preserve"> на покрытие расходов ГРО, связанных с проектированием и строительством пунктов редуцирования газа с максимальным часовым расходом газа (без НДС, с налогом на прибыль);</w:t>
            </w:r>
          </w:p>
        </w:tc>
      </w:tr>
      <w:tr w:rsidR="0099088D" w:rsidRPr="002636AA" w14:paraId="788C7224" w14:textId="77777777" w:rsidTr="0099088D">
        <w:trPr>
          <w:trHeight w:val="276"/>
        </w:trPr>
        <w:tc>
          <w:tcPr>
            <w:tcW w:w="1297" w:type="dxa"/>
            <w:shd w:val="clear" w:color="auto" w:fill="auto"/>
            <w:vAlign w:val="center"/>
          </w:tcPr>
          <w:p w14:paraId="341A5BE6" w14:textId="77777777" w:rsidR="0099088D" w:rsidRPr="002636AA" w:rsidRDefault="0099088D" w:rsidP="0099088D">
            <w:pPr>
              <w:jc w:val="center"/>
              <w:rPr>
                <w:color w:val="000000"/>
              </w:rPr>
            </w:pPr>
            <w:r w:rsidRPr="002636AA">
              <w:rPr>
                <w:color w:val="000000"/>
              </w:rPr>
              <w:t>1.1.</w:t>
            </w:r>
          </w:p>
        </w:tc>
        <w:tc>
          <w:tcPr>
            <w:tcW w:w="4106" w:type="dxa"/>
            <w:shd w:val="clear" w:color="auto" w:fill="auto"/>
            <w:vAlign w:val="center"/>
          </w:tcPr>
          <w:p w14:paraId="72446509" w14:textId="77777777" w:rsidR="0099088D" w:rsidRPr="002636AA" w:rsidRDefault="0099088D" w:rsidP="0099088D">
            <w:pPr>
              <w:rPr>
                <w:color w:val="000000"/>
              </w:rPr>
            </w:pPr>
            <w:r w:rsidRPr="002636AA">
              <w:rPr>
                <w:color w:val="000000"/>
              </w:rPr>
              <w:t>до 40 м³/час</w:t>
            </w:r>
          </w:p>
        </w:tc>
        <w:tc>
          <w:tcPr>
            <w:tcW w:w="1775" w:type="dxa"/>
            <w:vMerge w:val="restart"/>
            <w:shd w:val="clear" w:color="auto" w:fill="auto"/>
            <w:vAlign w:val="center"/>
          </w:tcPr>
          <w:p w14:paraId="44E50C58" w14:textId="77777777" w:rsidR="0099088D" w:rsidRPr="002636AA" w:rsidRDefault="0099088D" w:rsidP="0099088D">
            <w:pPr>
              <w:jc w:val="center"/>
              <w:rPr>
                <w:color w:val="000000"/>
              </w:rPr>
            </w:pPr>
            <w:r w:rsidRPr="002636AA">
              <w:rPr>
                <w:color w:val="000000"/>
              </w:rPr>
              <w:t>руб./ м³</w:t>
            </w:r>
          </w:p>
        </w:tc>
        <w:tc>
          <w:tcPr>
            <w:tcW w:w="2466" w:type="dxa"/>
            <w:tcBorders>
              <w:top w:val="single" w:sz="4" w:space="0" w:color="auto"/>
              <w:left w:val="nil"/>
              <w:bottom w:val="single" w:sz="4" w:space="0" w:color="auto"/>
              <w:right w:val="single" w:sz="4" w:space="0" w:color="auto"/>
            </w:tcBorders>
            <w:shd w:val="clear" w:color="auto" w:fill="auto"/>
            <w:vAlign w:val="center"/>
          </w:tcPr>
          <w:p w14:paraId="22177266" w14:textId="77777777" w:rsidR="0099088D" w:rsidRPr="002636AA" w:rsidRDefault="0099088D" w:rsidP="0099088D">
            <w:pPr>
              <w:jc w:val="center"/>
              <w:rPr>
                <w:color w:val="000000"/>
              </w:rPr>
            </w:pPr>
            <w:r w:rsidRPr="002636AA">
              <w:rPr>
                <w:color w:val="000000"/>
              </w:rPr>
              <w:t>19 972</w:t>
            </w:r>
          </w:p>
        </w:tc>
      </w:tr>
      <w:tr w:rsidR="0099088D" w:rsidRPr="002636AA" w14:paraId="2449939D" w14:textId="77777777" w:rsidTr="0099088D">
        <w:trPr>
          <w:trHeight w:val="276"/>
        </w:trPr>
        <w:tc>
          <w:tcPr>
            <w:tcW w:w="1297" w:type="dxa"/>
            <w:shd w:val="clear" w:color="auto" w:fill="auto"/>
            <w:vAlign w:val="center"/>
          </w:tcPr>
          <w:p w14:paraId="3F03CD08" w14:textId="77777777" w:rsidR="0099088D" w:rsidRPr="002636AA" w:rsidRDefault="0099088D" w:rsidP="0099088D">
            <w:pPr>
              <w:jc w:val="center"/>
              <w:rPr>
                <w:color w:val="000000"/>
              </w:rPr>
            </w:pPr>
            <w:r w:rsidRPr="002636AA">
              <w:rPr>
                <w:color w:val="000000"/>
              </w:rPr>
              <w:t>1.2.</w:t>
            </w:r>
          </w:p>
        </w:tc>
        <w:tc>
          <w:tcPr>
            <w:tcW w:w="4106" w:type="dxa"/>
            <w:shd w:val="clear" w:color="auto" w:fill="auto"/>
            <w:vAlign w:val="center"/>
          </w:tcPr>
          <w:p w14:paraId="0FDD92C9" w14:textId="77777777" w:rsidR="0099088D" w:rsidRPr="002636AA" w:rsidRDefault="0099088D" w:rsidP="0099088D">
            <w:pPr>
              <w:rPr>
                <w:color w:val="000000"/>
              </w:rPr>
            </w:pPr>
            <w:r w:rsidRPr="002636AA">
              <w:rPr>
                <w:color w:val="000000"/>
              </w:rPr>
              <w:t>40 – 99 м³/час</w:t>
            </w:r>
          </w:p>
        </w:tc>
        <w:tc>
          <w:tcPr>
            <w:tcW w:w="1775" w:type="dxa"/>
            <w:vMerge/>
            <w:shd w:val="clear" w:color="auto" w:fill="auto"/>
          </w:tcPr>
          <w:p w14:paraId="4254EB8E" w14:textId="77777777" w:rsidR="0099088D" w:rsidRPr="002636AA" w:rsidRDefault="0099088D" w:rsidP="0099088D">
            <w:pPr>
              <w:jc w:val="center"/>
              <w:rPr>
                <w:sz w:val="20"/>
                <w:szCs w:val="20"/>
              </w:rPr>
            </w:pPr>
          </w:p>
        </w:tc>
        <w:tc>
          <w:tcPr>
            <w:tcW w:w="2466" w:type="dxa"/>
            <w:tcBorders>
              <w:top w:val="single" w:sz="4" w:space="0" w:color="auto"/>
              <w:left w:val="nil"/>
              <w:bottom w:val="single" w:sz="4" w:space="0" w:color="auto"/>
              <w:right w:val="single" w:sz="4" w:space="0" w:color="auto"/>
            </w:tcBorders>
            <w:shd w:val="clear" w:color="auto" w:fill="auto"/>
            <w:vAlign w:val="center"/>
          </w:tcPr>
          <w:p w14:paraId="4EDD8BD0" w14:textId="77777777" w:rsidR="0099088D" w:rsidRPr="002636AA" w:rsidRDefault="0099088D" w:rsidP="0099088D">
            <w:pPr>
              <w:jc w:val="center"/>
              <w:rPr>
                <w:color w:val="000000"/>
              </w:rPr>
            </w:pPr>
            <w:r w:rsidRPr="002636AA">
              <w:rPr>
                <w:color w:val="000000"/>
              </w:rPr>
              <w:t>7 376</w:t>
            </w:r>
          </w:p>
        </w:tc>
      </w:tr>
      <w:tr w:rsidR="0099088D" w:rsidRPr="002636AA" w14:paraId="00C03A5F" w14:textId="77777777" w:rsidTr="0099088D">
        <w:trPr>
          <w:trHeight w:val="276"/>
        </w:trPr>
        <w:tc>
          <w:tcPr>
            <w:tcW w:w="1297" w:type="dxa"/>
            <w:shd w:val="clear" w:color="auto" w:fill="auto"/>
            <w:vAlign w:val="center"/>
          </w:tcPr>
          <w:p w14:paraId="35B0BAD6" w14:textId="77777777" w:rsidR="0099088D" w:rsidRPr="002636AA" w:rsidRDefault="0099088D" w:rsidP="0099088D">
            <w:pPr>
              <w:jc w:val="center"/>
              <w:rPr>
                <w:color w:val="000000"/>
              </w:rPr>
            </w:pPr>
            <w:r w:rsidRPr="002636AA">
              <w:rPr>
                <w:color w:val="000000"/>
              </w:rPr>
              <w:t>1.3.</w:t>
            </w:r>
          </w:p>
        </w:tc>
        <w:tc>
          <w:tcPr>
            <w:tcW w:w="4106" w:type="dxa"/>
            <w:shd w:val="clear" w:color="auto" w:fill="auto"/>
            <w:vAlign w:val="center"/>
          </w:tcPr>
          <w:p w14:paraId="57FC848C" w14:textId="77777777" w:rsidR="0099088D" w:rsidRPr="002636AA" w:rsidRDefault="0099088D" w:rsidP="0099088D">
            <w:pPr>
              <w:rPr>
                <w:color w:val="000000"/>
              </w:rPr>
            </w:pPr>
            <w:r w:rsidRPr="002636AA">
              <w:rPr>
                <w:color w:val="000000"/>
              </w:rPr>
              <w:t>100 – 399 м³/час</w:t>
            </w:r>
          </w:p>
        </w:tc>
        <w:tc>
          <w:tcPr>
            <w:tcW w:w="1775" w:type="dxa"/>
            <w:vMerge/>
            <w:shd w:val="clear" w:color="auto" w:fill="auto"/>
          </w:tcPr>
          <w:p w14:paraId="0D75E2C7" w14:textId="77777777" w:rsidR="0099088D" w:rsidRPr="002636AA" w:rsidRDefault="0099088D" w:rsidP="0099088D">
            <w:pPr>
              <w:jc w:val="center"/>
              <w:rPr>
                <w:sz w:val="20"/>
                <w:szCs w:val="20"/>
              </w:rPr>
            </w:pPr>
          </w:p>
        </w:tc>
        <w:tc>
          <w:tcPr>
            <w:tcW w:w="2466" w:type="dxa"/>
            <w:tcBorders>
              <w:top w:val="single" w:sz="4" w:space="0" w:color="auto"/>
              <w:left w:val="nil"/>
              <w:bottom w:val="single" w:sz="4" w:space="0" w:color="auto"/>
              <w:right w:val="single" w:sz="4" w:space="0" w:color="auto"/>
            </w:tcBorders>
            <w:shd w:val="clear" w:color="auto" w:fill="auto"/>
            <w:vAlign w:val="center"/>
          </w:tcPr>
          <w:p w14:paraId="7E899FB1" w14:textId="77777777" w:rsidR="0099088D" w:rsidRPr="002636AA" w:rsidRDefault="0099088D" w:rsidP="0099088D">
            <w:pPr>
              <w:jc w:val="center"/>
              <w:rPr>
                <w:color w:val="000000"/>
              </w:rPr>
            </w:pPr>
            <w:r w:rsidRPr="002636AA">
              <w:rPr>
                <w:color w:val="000000"/>
              </w:rPr>
              <w:t>4 603</w:t>
            </w:r>
          </w:p>
        </w:tc>
      </w:tr>
      <w:tr w:rsidR="0099088D" w:rsidRPr="002636AA" w14:paraId="4A0E12F8" w14:textId="77777777" w:rsidTr="0099088D">
        <w:trPr>
          <w:trHeight w:val="276"/>
        </w:trPr>
        <w:tc>
          <w:tcPr>
            <w:tcW w:w="1297" w:type="dxa"/>
            <w:shd w:val="clear" w:color="auto" w:fill="auto"/>
            <w:vAlign w:val="center"/>
          </w:tcPr>
          <w:p w14:paraId="698C05BB" w14:textId="77777777" w:rsidR="0099088D" w:rsidRPr="002636AA" w:rsidRDefault="0099088D" w:rsidP="0099088D">
            <w:pPr>
              <w:jc w:val="center"/>
              <w:rPr>
                <w:color w:val="000000"/>
              </w:rPr>
            </w:pPr>
            <w:r w:rsidRPr="002636AA">
              <w:rPr>
                <w:color w:val="000000"/>
              </w:rPr>
              <w:t>1.4.</w:t>
            </w:r>
          </w:p>
        </w:tc>
        <w:tc>
          <w:tcPr>
            <w:tcW w:w="4106" w:type="dxa"/>
            <w:shd w:val="clear" w:color="auto" w:fill="auto"/>
            <w:vAlign w:val="center"/>
          </w:tcPr>
          <w:p w14:paraId="3BC4D21E" w14:textId="77777777" w:rsidR="0099088D" w:rsidRPr="002636AA" w:rsidRDefault="0099088D" w:rsidP="0099088D">
            <w:pPr>
              <w:rPr>
                <w:color w:val="000000"/>
              </w:rPr>
            </w:pPr>
            <w:r w:rsidRPr="002636AA">
              <w:rPr>
                <w:color w:val="000000"/>
              </w:rPr>
              <w:t>400 – 999 м³/час</w:t>
            </w:r>
          </w:p>
        </w:tc>
        <w:tc>
          <w:tcPr>
            <w:tcW w:w="1775" w:type="dxa"/>
            <w:vMerge/>
            <w:shd w:val="clear" w:color="auto" w:fill="auto"/>
          </w:tcPr>
          <w:p w14:paraId="08BD9F85" w14:textId="77777777" w:rsidR="0099088D" w:rsidRPr="002636AA" w:rsidRDefault="0099088D" w:rsidP="0099088D">
            <w:pPr>
              <w:jc w:val="center"/>
              <w:rPr>
                <w:sz w:val="20"/>
                <w:szCs w:val="20"/>
              </w:rPr>
            </w:pPr>
          </w:p>
        </w:tc>
        <w:tc>
          <w:tcPr>
            <w:tcW w:w="2466" w:type="dxa"/>
            <w:tcBorders>
              <w:top w:val="single" w:sz="4" w:space="0" w:color="auto"/>
              <w:left w:val="nil"/>
              <w:bottom w:val="single" w:sz="4" w:space="0" w:color="auto"/>
              <w:right w:val="single" w:sz="4" w:space="0" w:color="auto"/>
            </w:tcBorders>
            <w:shd w:val="clear" w:color="auto" w:fill="auto"/>
            <w:vAlign w:val="center"/>
          </w:tcPr>
          <w:p w14:paraId="6D9D63E4" w14:textId="77777777" w:rsidR="0099088D" w:rsidRPr="002636AA" w:rsidRDefault="0099088D" w:rsidP="0099088D">
            <w:pPr>
              <w:jc w:val="center"/>
              <w:rPr>
                <w:color w:val="000000"/>
              </w:rPr>
            </w:pPr>
            <w:r w:rsidRPr="002636AA">
              <w:rPr>
                <w:color w:val="000000"/>
              </w:rPr>
              <w:t>1 763</w:t>
            </w:r>
          </w:p>
        </w:tc>
      </w:tr>
    </w:tbl>
    <w:p w14:paraId="18FA98BA" w14:textId="77777777" w:rsidR="0099088D" w:rsidRPr="002636AA" w:rsidRDefault="0099088D" w:rsidP="0099088D">
      <w:pPr>
        <w:autoSpaceDE w:val="0"/>
        <w:autoSpaceDN w:val="0"/>
        <w:adjustRightInd w:val="0"/>
        <w:ind w:firstLine="567"/>
        <w:jc w:val="both"/>
        <w:rPr>
          <w:sz w:val="28"/>
          <w:szCs w:val="28"/>
        </w:rPr>
      </w:pPr>
    </w:p>
    <w:p w14:paraId="60C1C8DF" w14:textId="77777777" w:rsidR="0099088D" w:rsidRPr="002636AA" w:rsidRDefault="0099088D" w:rsidP="0099088D">
      <w:pPr>
        <w:autoSpaceDE w:val="0"/>
        <w:autoSpaceDN w:val="0"/>
        <w:adjustRightInd w:val="0"/>
        <w:ind w:firstLine="567"/>
        <w:jc w:val="both"/>
        <w:rPr>
          <w:sz w:val="28"/>
          <w:szCs w:val="28"/>
        </w:rPr>
      </w:pPr>
    </w:p>
    <w:p w14:paraId="054400C9" w14:textId="77777777" w:rsidR="0099088D" w:rsidRPr="002636AA" w:rsidRDefault="0099088D" w:rsidP="0099088D">
      <w:pPr>
        <w:autoSpaceDE w:val="0"/>
        <w:autoSpaceDN w:val="0"/>
        <w:adjustRightInd w:val="0"/>
        <w:ind w:firstLine="567"/>
        <w:jc w:val="both"/>
        <w:rPr>
          <w:sz w:val="28"/>
          <w:szCs w:val="28"/>
        </w:rPr>
      </w:pPr>
      <w:r w:rsidRPr="002636AA">
        <w:rPr>
          <w:sz w:val="28"/>
          <w:szCs w:val="28"/>
        </w:rPr>
        <w:t>Размер стандартизированной тарифной ставки на покрытие расходов ГРО, связанных с проектированием и строительством пунктов редуцирования (С</w:t>
      </w:r>
      <w:r w:rsidRPr="002636AA">
        <w:rPr>
          <w:sz w:val="28"/>
          <w:szCs w:val="28"/>
          <w:vertAlign w:val="subscript"/>
        </w:rPr>
        <w:t>5m</w:t>
      </w:r>
      <w:r w:rsidRPr="002636AA">
        <w:rPr>
          <w:sz w:val="28"/>
          <w:szCs w:val="28"/>
        </w:rPr>
        <w:t>), определяется по формуле:</w:t>
      </w:r>
    </w:p>
    <w:p w14:paraId="1CDED678" w14:textId="77777777" w:rsidR="0099088D" w:rsidRPr="002636AA" w:rsidRDefault="0099088D" w:rsidP="0099088D">
      <w:pPr>
        <w:autoSpaceDE w:val="0"/>
        <w:autoSpaceDN w:val="0"/>
        <w:adjustRightInd w:val="0"/>
        <w:jc w:val="both"/>
        <w:outlineLvl w:val="0"/>
        <w:rPr>
          <w:sz w:val="28"/>
          <w:szCs w:val="28"/>
        </w:rPr>
      </w:pPr>
    </w:p>
    <w:p w14:paraId="2BD67CF5" w14:textId="77777777" w:rsidR="0099088D" w:rsidRPr="002636AA" w:rsidRDefault="0099088D" w:rsidP="0099088D">
      <w:pPr>
        <w:autoSpaceDE w:val="0"/>
        <w:autoSpaceDN w:val="0"/>
        <w:adjustRightInd w:val="0"/>
        <w:jc w:val="center"/>
        <w:rPr>
          <w:sz w:val="28"/>
          <w:szCs w:val="28"/>
        </w:rPr>
      </w:pPr>
      <w:r w:rsidRPr="002636AA">
        <w:rPr>
          <w:noProof/>
          <w:position w:val="-42"/>
          <w:sz w:val="28"/>
          <w:szCs w:val="28"/>
        </w:rPr>
        <w:drawing>
          <wp:inline distT="0" distB="0" distL="0" distR="0" wp14:anchorId="52E904F6" wp14:editId="507024C3">
            <wp:extent cx="2400300" cy="71437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39" cstate="print">
                      <a:extLst>
                        <a:ext uri="{28A0092B-C50C-407E-A947-70E740481C1C}">
                          <a14:useLocalDpi xmlns:a14="http://schemas.microsoft.com/office/drawing/2010/main" val="0"/>
                        </a:ext>
                      </a:extLst>
                    </a:blip>
                    <a:srcRect r="13994"/>
                    <a:stretch>
                      <a:fillRect/>
                    </a:stretch>
                  </pic:blipFill>
                  <pic:spPr bwMode="auto">
                    <a:xfrm>
                      <a:off x="0" y="0"/>
                      <a:ext cx="2400300" cy="714375"/>
                    </a:xfrm>
                    <a:prstGeom prst="rect">
                      <a:avLst/>
                    </a:prstGeom>
                    <a:noFill/>
                    <a:ln>
                      <a:noFill/>
                    </a:ln>
                  </pic:spPr>
                </pic:pic>
              </a:graphicData>
            </a:graphic>
          </wp:inline>
        </w:drawing>
      </w:r>
    </w:p>
    <w:p w14:paraId="5E8481CB" w14:textId="77777777" w:rsidR="0099088D" w:rsidRPr="002636AA" w:rsidRDefault="0099088D" w:rsidP="0099088D">
      <w:pPr>
        <w:autoSpaceDE w:val="0"/>
        <w:autoSpaceDN w:val="0"/>
        <w:adjustRightInd w:val="0"/>
        <w:jc w:val="both"/>
        <w:rPr>
          <w:sz w:val="28"/>
          <w:szCs w:val="28"/>
        </w:rPr>
      </w:pPr>
    </w:p>
    <w:p w14:paraId="1C742AD4" w14:textId="77777777" w:rsidR="0099088D" w:rsidRPr="002636AA" w:rsidRDefault="0099088D" w:rsidP="0099088D">
      <w:pPr>
        <w:autoSpaceDE w:val="0"/>
        <w:autoSpaceDN w:val="0"/>
        <w:adjustRightInd w:val="0"/>
        <w:jc w:val="both"/>
        <w:rPr>
          <w:sz w:val="28"/>
          <w:szCs w:val="28"/>
        </w:rPr>
      </w:pPr>
      <w:r w:rsidRPr="002636AA">
        <w:rPr>
          <w:sz w:val="28"/>
          <w:szCs w:val="28"/>
        </w:rPr>
        <w:t>где:</w:t>
      </w:r>
    </w:p>
    <w:p w14:paraId="2F9BD7F1" w14:textId="77777777" w:rsidR="0099088D" w:rsidRPr="002636AA" w:rsidRDefault="0099088D" w:rsidP="0099088D">
      <w:pPr>
        <w:autoSpaceDE w:val="0"/>
        <w:autoSpaceDN w:val="0"/>
        <w:adjustRightInd w:val="0"/>
        <w:spacing w:before="280"/>
        <w:ind w:firstLine="540"/>
        <w:jc w:val="both"/>
        <w:rPr>
          <w:sz w:val="28"/>
          <w:szCs w:val="28"/>
        </w:rPr>
      </w:pPr>
      <w:r w:rsidRPr="002636AA">
        <w:rPr>
          <w:sz w:val="28"/>
          <w:szCs w:val="28"/>
        </w:rPr>
        <w:t>Р</w:t>
      </w:r>
      <w:r w:rsidRPr="002636AA">
        <w:rPr>
          <w:sz w:val="28"/>
          <w:szCs w:val="28"/>
          <w:vertAlign w:val="subscript"/>
        </w:rPr>
        <w:t>m</w:t>
      </w:r>
      <w:r w:rsidRPr="002636AA">
        <w:rPr>
          <w:sz w:val="28"/>
          <w:szCs w:val="28"/>
        </w:rPr>
        <w:t xml:space="preserve"> - фактические расходы ГРО </w:t>
      </w:r>
      <w:bookmarkStart w:id="51" w:name="_Hlk26433718"/>
      <w:r w:rsidRPr="002636AA">
        <w:rPr>
          <w:sz w:val="28"/>
          <w:szCs w:val="28"/>
        </w:rPr>
        <w:t>на проектирование и строительство пунктов редуцирования газа m-ного диапазона максимального часового расхода газа</w:t>
      </w:r>
      <w:bookmarkEnd w:id="51"/>
      <w:r w:rsidRPr="002636AA">
        <w:rPr>
          <w:sz w:val="28"/>
          <w:szCs w:val="28"/>
        </w:rPr>
        <w:t xml:space="preserve">, понесенные в соответствующем календарном году из предусмотренных </w:t>
      </w:r>
      <w:hyperlink r:id="rId40" w:history="1">
        <w:r w:rsidRPr="002636AA">
          <w:rPr>
            <w:sz w:val="28"/>
            <w:szCs w:val="28"/>
          </w:rPr>
          <w:t>абзацами первым</w:t>
        </w:r>
      </w:hyperlink>
      <w:r w:rsidRPr="002636AA">
        <w:rPr>
          <w:sz w:val="28"/>
          <w:szCs w:val="28"/>
        </w:rPr>
        <w:t xml:space="preserve"> - </w:t>
      </w:r>
      <w:hyperlink r:id="rId41" w:history="1">
        <w:r w:rsidRPr="002636AA">
          <w:rPr>
            <w:sz w:val="28"/>
            <w:szCs w:val="28"/>
          </w:rPr>
          <w:t>четвертым пункта 32</w:t>
        </w:r>
      </w:hyperlink>
      <w:r w:rsidRPr="002636AA">
        <w:rPr>
          <w:sz w:val="28"/>
          <w:szCs w:val="28"/>
        </w:rPr>
        <w:t xml:space="preserve"> Методических указаний, руб.;</w:t>
      </w:r>
    </w:p>
    <w:p w14:paraId="08B7F2A0" w14:textId="77777777" w:rsidR="0099088D" w:rsidRPr="002636AA" w:rsidRDefault="0099088D" w:rsidP="0099088D">
      <w:pPr>
        <w:autoSpaceDE w:val="0"/>
        <w:autoSpaceDN w:val="0"/>
        <w:adjustRightInd w:val="0"/>
        <w:spacing w:before="280"/>
        <w:ind w:firstLine="540"/>
        <w:jc w:val="both"/>
        <w:rPr>
          <w:sz w:val="28"/>
          <w:szCs w:val="28"/>
        </w:rPr>
      </w:pPr>
      <w:r w:rsidRPr="002636AA">
        <w:rPr>
          <w:sz w:val="28"/>
          <w:szCs w:val="28"/>
        </w:rPr>
        <w:t>V</w:t>
      </w:r>
      <w:r w:rsidRPr="002636AA">
        <w:rPr>
          <w:sz w:val="28"/>
          <w:szCs w:val="28"/>
          <w:vertAlign w:val="subscript"/>
        </w:rPr>
        <w:t>m</w:t>
      </w:r>
      <w:r w:rsidRPr="002636AA">
        <w:rPr>
          <w:sz w:val="28"/>
          <w:szCs w:val="28"/>
        </w:rPr>
        <w:t xml:space="preserve"> - фактический суммарный максимальный часовой расход газа газоиспользующего оборудования, подключенного ГРО с использованием пунктов редуцирования газа m-ного диапазона максимального часового расхода газа, построенных в соответствующем календарном году из предусмотренных </w:t>
      </w:r>
      <w:hyperlink r:id="rId42" w:history="1">
        <w:r w:rsidRPr="002636AA">
          <w:rPr>
            <w:sz w:val="28"/>
            <w:szCs w:val="28"/>
          </w:rPr>
          <w:t>абзацами первым</w:t>
        </w:r>
      </w:hyperlink>
      <w:r w:rsidRPr="002636AA">
        <w:rPr>
          <w:sz w:val="28"/>
          <w:szCs w:val="28"/>
        </w:rPr>
        <w:t xml:space="preserve"> - </w:t>
      </w:r>
      <w:hyperlink r:id="rId43" w:history="1">
        <w:r w:rsidRPr="002636AA">
          <w:rPr>
            <w:sz w:val="28"/>
            <w:szCs w:val="28"/>
          </w:rPr>
          <w:t>четвертым пункта 31</w:t>
        </w:r>
      </w:hyperlink>
      <w:r w:rsidRPr="002636AA">
        <w:rPr>
          <w:sz w:val="28"/>
          <w:szCs w:val="28"/>
        </w:rPr>
        <w:t xml:space="preserve"> Методических указаний, м</w:t>
      </w:r>
      <w:r w:rsidRPr="002636AA">
        <w:rPr>
          <w:sz w:val="28"/>
          <w:szCs w:val="28"/>
          <w:vertAlign w:val="superscript"/>
        </w:rPr>
        <w:t>3</w:t>
      </w:r>
      <w:r w:rsidRPr="002636AA">
        <w:rPr>
          <w:sz w:val="28"/>
          <w:szCs w:val="28"/>
        </w:rPr>
        <w:t xml:space="preserve"> в час;</w:t>
      </w:r>
    </w:p>
    <w:p w14:paraId="13E38ED6" w14:textId="77777777" w:rsidR="0099088D" w:rsidRPr="002636AA" w:rsidRDefault="0099088D" w:rsidP="0099088D">
      <w:pPr>
        <w:autoSpaceDE w:val="0"/>
        <w:autoSpaceDN w:val="0"/>
        <w:adjustRightInd w:val="0"/>
        <w:spacing w:before="280"/>
        <w:ind w:firstLine="540"/>
        <w:jc w:val="both"/>
        <w:rPr>
          <w:sz w:val="28"/>
          <w:szCs w:val="28"/>
        </w:rPr>
      </w:pPr>
      <w:r w:rsidRPr="002636AA">
        <w:rPr>
          <w:sz w:val="28"/>
          <w:szCs w:val="28"/>
        </w:rPr>
        <w:t>I</w:t>
      </w:r>
      <w:r w:rsidRPr="002636AA">
        <w:rPr>
          <w:sz w:val="28"/>
          <w:szCs w:val="28"/>
          <w:vertAlign w:val="subscript"/>
        </w:rPr>
        <w:t>р</w:t>
      </w:r>
      <w:r w:rsidRPr="002636AA">
        <w:rPr>
          <w:sz w:val="28"/>
          <w:szCs w:val="28"/>
        </w:rPr>
        <w:t xml:space="preserve"> - коэффициент расходов, определяемый в соответствии с </w:t>
      </w:r>
      <w:hyperlink r:id="rId44" w:history="1">
        <w:r w:rsidRPr="002636AA">
          <w:rPr>
            <w:sz w:val="28"/>
            <w:szCs w:val="28"/>
          </w:rPr>
          <w:t>пунктом 33</w:t>
        </w:r>
      </w:hyperlink>
      <w:r w:rsidRPr="002636AA">
        <w:rPr>
          <w:sz w:val="28"/>
          <w:szCs w:val="28"/>
        </w:rPr>
        <w:t xml:space="preserve"> настоящих Методических указаний.</w:t>
      </w:r>
    </w:p>
    <w:p w14:paraId="1BEB6FC0" w14:textId="77777777" w:rsidR="0099088D" w:rsidRPr="002636AA" w:rsidRDefault="0099088D" w:rsidP="0099088D">
      <w:pPr>
        <w:autoSpaceDE w:val="0"/>
        <w:autoSpaceDN w:val="0"/>
        <w:adjustRightInd w:val="0"/>
        <w:jc w:val="both"/>
        <w:rPr>
          <w:sz w:val="28"/>
          <w:szCs w:val="28"/>
        </w:rPr>
      </w:pPr>
    </w:p>
    <w:p w14:paraId="322AE195" w14:textId="77777777" w:rsidR="0099088D" w:rsidRPr="002636AA" w:rsidRDefault="0099088D" w:rsidP="0099088D">
      <w:pPr>
        <w:autoSpaceDE w:val="0"/>
        <w:autoSpaceDN w:val="0"/>
        <w:adjustRightInd w:val="0"/>
        <w:ind w:firstLine="540"/>
        <w:jc w:val="both"/>
        <w:rPr>
          <w:sz w:val="28"/>
          <w:szCs w:val="28"/>
        </w:rPr>
      </w:pPr>
      <w:r w:rsidRPr="002636AA">
        <w:rPr>
          <w:sz w:val="28"/>
          <w:szCs w:val="28"/>
        </w:rPr>
        <w:t>Ставка, указанная в п.п. 1.2. Таблицы 5 определена на основании фактических данных за 2018- 2020 годы, с применением коэффициента расходов Iр, рассчитанного на основании индексов ИЦП в строительстве (2019 год - 107,3; 2020 год- 104; 2021 год – 105,1), опубликованных на сайте Минэкономразвития России 30.09.2021 (в части 2020 и 2021 годов) и 26.09.2020 (в части 2019 года).</w:t>
      </w:r>
    </w:p>
    <w:p w14:paraId="321CD9E3" w14:textId="77777777" w:rsidR="0099088D" w:rsidRPr="002636AA" w:rsidRDefault="0099088D" w:rsidP="0099088D">
      <w:pPr>
        <w:autoSpaceDE w:val="0"/>
        <w:autoSpaceDN w:val="0"/>
        <w:adjustRightInd w:val="0"/>
        <w:ind w:firstLine="540"/>
        <w:jc w:val="both"/>
        <w:rPr>
          <w:sz w:val="28"/>
          <w:szCs w:val="28"/>
        </w:rPr>
      </w:pPr>
      <w:r w:rsidRPr="002636AA">
        <w:rPr>
          <w:sz w:val="28"/>
          <w:szCs w:val="28"/>
        </w:rPr>
        <w:t>Остальные ставки, указанные в Таблице 5, в связи с тем, что ГРО в 2018- 2020 годах не осуществляла затраты на проектирование в соответствующих диапазонах диаметров, протяженности и типа прокладки, приняты на уровне утвержденных на 2021 год соответствующих ставок с применением ИЦП в строительстве на 2022 год в размере 1,043, опубликованном на сайте Минэкономразвития России 30.09.2021.</w:t>
      </w:r>
    </w:p>
    <w:p w14:paraId="17DF9B41" w14:textId="77777777" w:rsidR="0099088D" w:rsidRPr="002636AA" w:rsidRDefault="0099088D" w:rsidP="0099088D">
      <w:pPr>
        <w:autoSpaceDE w:val="0"/>
        <w:autoSpaceDN w:val="0"/>
        <w:adjustRightInd w:val="0"/>
        <w:ind w:firstLine="540"/>
        <w:jc w:val="both"/>
        <w:rPr>
          <w:sz w:val="28"/>
          <w:szCs w:val="28"/>
        </w:rPr>
      </w:pPr>
      <w:r w:rsidRPr="002636AA">
        <w:rPr>
          <w:sz w:val="28"/>
          <w:szCs w:val="28"/>
        </w:rPr>
        <w:t>Эксперты, проанализировав расчеты предлагаемых предприятием стандартизированных тарифных ставок С</w:t>
      </w:r>
      <w:r w:rsidRPr="002636AA">
        <w:rPr>
          <w:sz w:val="28"/>
          <w:szCs w:val="28"/>
          <w:vertAlign w:val="subscript"/>
        </w:rPr>
        <w:t>5</w:t>
      </w:r>
      <w:r w:rsidRPr="002636AA">
        <w:rPr>
          <w:sz w:val="28"/>
          <w:szCs w:val="28"/>
        </w:rPr>
        <w:t>, предлагают утвердить их на уровне предложений предприятия.</w:t>
      </w:r>
    </w:p>
    <w:p w14:paraId="7853D285" w14:textId="77777777" w:rsidR="0099088D" w:rsidRPr="002636AA" w:rsidRDefault="0099088D" w:rsidP="0099088D">
      <w:pPr>
        <w:autoSpaceDE w:val="0"/>
        <w:autoSpaceDN w:val="0"/>
        <w:adjustRightInd w:val="0"/>
        <w:jc w:val="both"/>
        <w:rPr>
          <w:sz w:val="28"/>
          <w:szCs w:val="28"/>
        </w:rPr>
      </w:pPr>
    </w:p>
    <w:p w14:paraId="42C02437" w14:textId="77777777" w:rsidR="0099088D" w:rsidRPr="002636AA" w:rsidRDefault="0099088D" w:rsidP="0099088D">
      <w:pPr>
        <w:autoSpaceDE w:val="0"/>
        <w:autoSpaceDN w:val="0"/>
        <w:adjustRightInd w:val="0"/>
        <w:jc w:val="both"/>
        <w:rPr>
          <w:sz w:val="28"/>
          <w:szCs w:val="28"/>
        </w:rPr>
      </w:pPr>
    </w:p>
    <w:p w14:paraId="603A1B09" w14:textId="77777777" w:rsidR="0099088D" w:rsidRPr="002636AA" w:rsidRDefault="0099088D" w:rsidP="0099088D">
      <w:pPr>
        <w:tabs>
          <w:tab w:val="left" w:pos="0"/>
          <w:tab w:val="left" w:pos="284"/>
        </w:tabs>
        <w:jc w:val="center"/>
        <w:rPr>
          <w:b/>
          <w:sz w:val="28"/>
          <w:szCs w:val="28"/>
        </w:rPr>
      </w:pPr>
      <w:bookmarkStart w:id="52" w:name="_Hlk1562968"/>
      <w:r w:rsidRPr="002636AA">
        <w:rPr>
          <w:b/>
          <w:sz w:val="28"/>
          <w:szCs w:val="28"/>
        </w:rPr>
        <w:t>Расчет стандартизированной тарифной ставки С</w:t>
      </w:r>
      <w:r w:rsidRPr="002636AA">
        <w:rPr>
          <w:b/>
          <w:sz w:val="28"/>
          <w:szCs w:val="28"/>
          <w:vertAlign w:val="subscript"/>
        </w:rPr>
        <w:t>7.1,</w:t>
      </w:r>
      <w:r w:rsidRPr="002636AA">
        <w:rPr>
          <w:b/>
          <w:sz w:val="28"/>
          <w:szCs w:val="28"/>
        </w:rPr>
        <w:t xml:space="preserve"> связанной с мониторингом выполнения Заявителем технических условий, в расчете на одно подключение (технологическое присоединение)</w:t>
      </w:r>
    </w:p>
    <w:p w14:paraId="302C05EE" w14:textId="77777777" w:rsidR="0099088D" w:rsidRPr="002636AA" w:rsidRDefault="0099088D" w:rsidP="0099088D">
      <w:pPr>
        <w:autoSpaceDE w:val="0"/>
        <w:autoSpaceDN w:val="0"/>
        <w:adjustRightInd w:val="0"/>
        <w:ind w:firstLine="540"/>
        <w:jc w:val="both"/>
        <w:rPr>
          <w:sz w:val="28"/>
          <w:szCs w:val="28"/>
        </w:rPr>
      </w:pPr>
    </w:p>
    <w:p w14:paraId="23EC5740" w14:textId="77777777" w:rsidR="0099088D" w:rsidRPr="002636AA" w:rsidRDefault="0099088D" w:rsidP="0099088D">
      <w:pPr>
        <w:autoSpaceDE w:val="0"/>
        <w:autoSpaceDN w:val="0"/>
        <w:adjustRightInd w:val="0"/>
        <w:ind w:firstLine="540"/>
        <w:jc w:val="both"/>
        <w:rPr>
          <w:sz w:val="28"/>
          <w:szCs w:val="28"/>
        </w:rPr>
      </w:pPr>
      <w:r w:rsidRPr="002636AA">
        <w:rPr>
          <w:sz w:val="28"/>
          <w:szCs w:val="28"/>
        </w:rPr>
        <w:t>Предложения предприятия приведены в Таблице 6.</w:t>
      </w:r>
    </w:p>
    <w:p w14:paraId="3CDBF948" w14:textId="77777777" w:rsidR="0099088D" w:rsidRPr="002636AA" w:rsidRDefault="0099088D" w:rsidP="0099088D">
      <w:pPr>
        <w:autoSpaceDE w:val="0"/>
        <w:autoSpaceDN w:val="0"/>
        <w:adjustRightInd w:val="0"/>
        <w:ind w:firstLine="540"/>
        <w:jc w:val="right"/>
        <w:rPr>
          <w:sz w:val="28"/>
          <w:szCs w:val="28"/>
        </w:rPr>
      </w:pPr>
      <w:r w:rsidRPr="002636AA">
        <w:rPr>
          <w:sz w:val="28"/>
          <w:szCs w:val="28"/>
        </w:rPr>
        <w:t>Таблица 6</w:t>
      </w:r>
    </w:p>
    <w:tbl>
      <w:tblPr>
        <w:tblW w:w="9644" w:type="dxa"/>
        <w:tblInd w:w="103" w:type="dxa"/>
        <w:tblLook w:val="04A0" w:firstRow="1" w:lastRow="0" w:firstColumn="1" w:lastColumn="0" w:noHBand="0" w:noVBand="1"/>
      </w:tblPr>
      <w:tblGrid>
        <w:gridCol w:w="1297"/>
        <w:gridCol w:w="4106"/>
        <w:gridCol w:w="1775"/>
        <w:gridCol w:w="2466"/>
      </w:tblGrid>
      <w:tr w:rsidR="0099088D" w:rsidRPr="002636AA" w14:paraId="605550A6" w14:textId="77777777" w:rsidTr="0099088D">
        <w:trPr>
          <w:trHeight w:val="458"/>
        </w:trPr>
        <w:tc>
          <w:tcPr>
            <w:tcW w:w="12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bookmarkEnd w:id="52"/>
          <w:p w14:paraId="5DF7207D" w14:textId="77777777" w:rsidR="0099088D" w:rsidRPr="002636AA" w:rsidRDefault="0099088D" w:rsidP="0099088D">
            <w:pPr>
              <w:jc w:val="center"/>
              <w:rPr>
                <w:color w:val="000000"/>
              </w:rPr>
            </w:pPr>
            <w:r w:rsidRPr="002636AA">
              <w:rPr>
                <w:color w:val="000000"/>
              </w:rPr>
              <w:t>№</w:t>
            </w:r>
          </w:p>
        </w:tc>
        <w:tc>
          <w:tcPr>
            <w:tcW w:w="41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A63360" w14:textId="77777777" w:rsidR="0099088D" w:rsidRPr="002636AA" w:rsidRDefault="0099088D" w:rsidP="0099088D">
            <w:pPr>
              <w:jc w:val="center"/>
              <w:rPr>
                <w:color w:val="000000"/>
              </w:rPr>
            </w:pPr>
            <w:r w:rsidRPr="002636AA">
              <w:rPr>
                <w:color w:val="000000"/>
              </w:rPr>
              <w:t>Наименование стандартизированных тарифных ставок</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0DCD28" w14:textId="77777777" w:rsidR="0099088D" w:rsidRPr="002636AA" w:rsidRDefault="0099088D" w:rsidP="0099088D">
            <w:pPr>
              <w:jc w:val="center"/>
              <w:rPr>
                <w:color w:val="000000"/>
              </w:rPr>
            </w:pPr>
            <w:r w:rsidRPr="002636AA">
              <w:rPr>
                <w:color w:val="000000"/>
              </w:rPr>
              <w:t>Единица измерения</w:t>
            </w:r>
          </w:p>
        </w:tc>
        <w:tc>
          <w:tcPr>
            <w:tcW w:w="246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F8444EF" w14:textId="77777777" w:rsidR="0099088D" w:rsidRPr="002636AA" w:rsidRDefault="0099088D" w:rsidP="0099088D">
            <w:pPr>
              <w:jc w:val="center"/>
              <w:rPr>
                <w:color w:val="000000"/>
              </w:rPr>
            </w:pPr>
            <w:r w:rsidRPr="002636AA">
              <w:rPr>
                <w:color w:val="000000"/>
              </w:rPr>
              <w:t xml:space="preserve">Размеры стандартизированных тарифных ставок </w:t>
            </w:r>
            <w:r w:rsidRPr="002636AA">
              <w:rPr>
                <w:color w:val="2D2D2D"/>
              </w:rPr>
              <w:t>(без НДС, с налогом на прибыль)</w:t>
            </w:r>
          </w:p>
        </w:tc>
      </w:tr>
      <w:tr w:rsidR="0099088D" w:rsidRPr="002636AA" w14:paraId="5CC290E2" w14:textId="77777777" w:rsidTr="0099088D">
        <w:trPr>
          <w:trHeight w:val="458"/>
        </w:trPr>
        <w:tc>
          <w:tcPr>
            <w:tcW w:w="1297" w:type="dxa"/>
            <w:vMerge/>
            <w:tcBorders>
              <w:top w:val="single" w:sz="4" w:space="0" w:color="auto"/>
              <w:left w:val="single" w:sz="4" w:space="0" w:color="auto"/>
              <w:bottom w:val="single" w:sz="4" w:space="0" w:color="auto"/>
              <w:right w:val="single" w:sz="4" w:space="0" w:color="auto"/>
            </w:tcBorders>
            <w:vAlign w:val="center"/>
            <w:hideMark/>
          </w:tcPr>
          <w:p w14:paraId="4403E99D" w14:textId="77777777" w:rsidR="0099088D" w:rsidRPr="002636AA" w:rsidRDefault="0099088D" w:rsidP="0099088D">
            <w:pPr>
              <w:rPr>
                <w:color w:val="000000"/>
              </w:rPr>
            </w:pPr>
          </w:p>
        </w:tc>
        <w:tc>
          <w:tcPr>
            <w:tcW w:w="4106" w:type="dxa"/>
            <w:vMerge/>
            <w:tcBorders>
              <w:top w:val="single" w:sz="4" w:space="0" w:color="auto"/>
              <w:left w:val="single" w:sz="4" w:space="0" w:color="auto"/>
              <w:bottom w:val="single" w:sz="4" w:space="0" w:color="auto"/>
              <w:right w:val="single" w:sz="4" w:space="0" w:color="auto"/>
            </w:tcBorders>
            <w:vAlign w:val="center"/>
            <w:hideMark/>
          </w:tcPr>
          <w:p w14:paraId="652608CB" w14:textId="77777777" w:rsidR="0099088D" w:rsidRPr="002636AA" w:rsidRDefault="0099088D" w:rsidP="0099088D">
            <w:pPr>
              <w:rPr>
                <w:color w:val="000000"/>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7F2C4F00" w14:textId="77777777" w:rsidR="0099088D" w:rsidRPr="002636AA" w:rsidRDefault="0099088D" w:rsidP="0099088D">
            <w:pPr>
              <w:rPr>
                <w:color w:val="000000"/>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61DFAB7C" w14:textId="77777777" w:rsidR="0099088D" w:rsidRPr="002636AA" w:rsidRDefault="0099088D" w:rsidP="0099088D">
            <w:pPr>
              <w:rPr>
                <w:color w:val="000000"/>
              </w:rPr>
            </w:pPr>
          </w:p>
        </w:tc>
      </w:tr>
      <w:tr w:rsidR="0099088D" w:rsidRPr="002636AA" w14:paraId="00F0786B" w14:textId="77777777" w:rsidTr="0099088D">
        <w:trPr>
          <w:trHeight w:val="458"/>
        </w:trPr>
        <w:tc>
          <w:tcPr>
            <w:tcW w:w="1297" w:type="dxa"/>
            <w:vMerge/>
            <w:tcBorders>
              <w:top w:val="single" w:sz="4" w:space="0" w:color="auto"/>
              <w:left w:val="single" w:sz="4" w:space="0" w:color="auto"/>
              <w:bottom w:val="single" w:sz="4" w:space="0" w:color="auto"/>
              <w:right w:val="single" w:sz="4" w:space="0" w:color="auto"/>
            </w:tcBorders>
            <w:vAlign w:val="center"/>
            <w:hideMark/>
          </w:tcPr>
          <w:p w14:paraId="2F3D09F7" w14:textId="77777777" w:rsidR="0099088D" w:rsidRPr="002636AA" w:rsidRDefault="0099088D" w:rsidP="0099088D">
            <w:pPr>
              <w:rPr>
                <w:color w:val="000000"/>
              </w:rPr>
            </w:pPr>
          </w:p>
        </w:tc>
        <w:tc>
          <w:tcPr>
            <w:tcW w:w="4106" w:type="dxa"/>
            <w:vMerge/>
            <w:tcBorders>
              <w:top w:val="single" w:sz="4" w:space="0" w:color="auto"/>
              <w:left w:val="single" w:sz="4" w:space="0" w:color="auto"/>
              <w:bottom w:val="single" w:sz="4" w:space="0" w:color="auto"/>
              <w:right w:val="single" w:sz="4" w:space="0" w:color="auto"/>
            </w:tcBorders>
            <w:vAlign w:val="center"/>
            <w:hideMark/>
          </w:tcPr>
          <w:p w14:paraId="53B416BB" w14:textId="77777777" w:rsidR="0099088D" w:rsidRPr="002636AA" w:rsidRDefault="0099088D" w:rsidP="0099088D">
            <w:pPr>
              <w:rPr>
                <w:color w:val="000000"/>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3ED8E125" w14:textId="77777777" w:rsidR="0099088D" w:rsidRPr="002636AA" w:rsidRDefault="0099088D" w:rsidP="0099088D">
            <w:pPr>
              <w:rPr>
                <w:color w:val="000000"/>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214220C9" w14:textId="77777777" w:rsidR="0099088D" w:rsidRPr="002636AA" w:rsidRDefault="0099088D" w:rsidP="0099088D">
            <w:pPr>
              <w:rPr>
                <w:color w:val="000000"/>
              </w:rPr>
            </w:pPr>
          </w:p>
        </w:tc>
      </w:tr>
      <w:tr w:rsidR="0099088D" w:rsidRPr="002636AA" w14:paraId="58245C67" w14:textId="77777777" w:rsidTr="0099088D">
        <w:trPr>
          <w:trHeight w:val="2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485998" w14:textId="77777777" w:rsidR="0099088D" w:rsidRPr="002636AA" w:rsidRDefault="0099088D" w:rsidP="0099088D">
            <w:pPr>
              <w:jc w:val="center"/>
              <w:rPr>
                <w:color w:val="000000"/>
              </w:rPr>
            </w:pPr>
            <w:r w:rsidRPr="002636AA">
              <w:rPr>
                <w:color w:val="000000"/>
              </w:rPr>
              <w:t>1</w:t>
            </w:r>
          </w:p>
        </w:tc>
        <w:tc>
          <w:tcPr>
            <w:tcW w:w="4106" w:type="dxa"/>
            <w:tcBorders>
              <w:top w:val="single" w:sz="4" w:space="0" w:color="auto"/>
              <w:left w:val="nil"/>
              <w:bottom w:val="single" w:sz="4" w:space="0" w:color="auto"/>
              <w:right w:val="single" w:sz="4" w:space="0" w:color="auto"/>
            </w:tcBorders>
            <w:shd w:val="clear" w:color="auto" w:fill="auto"/>
            <w:vAlign w:val="center"/>
            <w:hideMark/>
          </w:tcPr>
          <w:p w14:paraId="06A1E2F5" w14:textId="77777777" w:rsidR="0099088D" w:rsidRPr="002636AA" w:rsidRDefault="0099088D" w:rsidP="0099088D">
            <w:pPr>
              <w:jc w:val="center"/>
              <w:rPr>
                <w:color w:val="000000"/>
              </w:rPr>
            </w:pPr>
            <w:r w:rsidRPr="002636AA">
              <w:rPr>
                <w:color w:val="000000"/>
              </w:rPr>
              <w:t>2</w:t>
            </w:r>
          </w:p>
        </w:tc>
        <w:tc>
          <w:tcPr>
            <w:tcW w:w="1775" w:type="dxa"/>
            <w:tcBorders>
              <w:top w:val="single" w:sz="4" w:space="0" w:color="auto"/>
              <w:left w:val="nil"/>
              <w:bottom w:val="single" w:sz="4" w:space="0" w:color="auto"/>
              <w:right w:val="single" w:sz="4" w:space="0" w:color="auto"/>
            </w:tcBorders>
            <w:shd w:val="clear" w:color="auto" w:fill="auto"/>
            <w:vAlign w:val="center"/>
            <w:hideMark/>
          </w:tcPr>
          <w:p w14:paraId="0B8C7B9B" w14:textId="77777777" w:rsidR="0099088D" w:rsidRPr="002636AA" w:rsidRDefault="0099088D" w:rsidP="0099088D">
            <w:pPr>
              <w:jc w:val="center"/>
              <w:rPr>
                <w:color w:val="000000"/>
              </w:rPr>
            </w:pPr>
            <w:r w:rsidRPr="002636AA">
              <w:rPr>
                <w:color w:val="000000"/>
              </w:rPr>
              <w:t>3</w:t>
            </w:r>
          </w:p>
        </w:tc>
        <w:tc>
          <w:tcPr>
            <w:tcW w:w="2466" w:type="dxa"/>
            <w:tcBorders>
              <w:top w:val="single" w:sz="4" w:space="0" w:color="auto"/>
              <w:left w:val="nil"/>
              <w:bottom w:val="single" w:sz="4" w:space="0" w:color="auto"/>
              <w:right w:val="single" w:sz="4" w:space="0" w:color="auto"/>
            </w:tcBorders>
            <w:shd w:val="clear" w:color="000000" w:fill="FFFFFF"/>
            <w:vAlign w:val="center"/>
            <w:hideMark/>
          </w:tcPr>
          <w:p w14:paraId="276E93AF" w14:textId="77777777" w:rsidR="0099088D" w:rsidRPr="002636AA" w:rsidRDefault="0099088D" w:rsidP="0099088D">
            <w:pPr>
              <w:jc w:val="center"/>
              <w:rPr>
                <w:color w:val="000000"/>
              </w:rPr>
            </w:pPr>
            <w:r w:rsidRPr="002636AA">
              <w:rPr>
                <w:color w:val="000000"/>
              </w:rPr>
              <w:t>4</w:t>
            </w:r>
          </w:p>
        </w:tc>
      </w:tr>
      <w:tr w:rsidR="0099088D" w:rsidRPr="002636AA" w14:paraId="59714D02" w14:textId="77777777" w:rsidTr="0099088D">
        <w:trPr>
          <w:trHeight w:val="20"/>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5F9C9FB" w14:textId="77777777" w:rsidR="0099088D" w:rsidRPr="002636AA" w:rsidRDefault="0099088D" w:rsidP="0099088D">
            <w:pPr>
              <w:jc w:val="center"/>
              <w:rPr>
                <w:color w:val="000000"/>
              </w:rPr>
            </w:pPr>
            <w:r w:rsidRPr="002636AA">
              <w:rPr>
                <w:color w:val="000000"/>
              </w:rPr>
              <w:t>1</w:t>
            </w:r>
          </w:p>
        </w:tc>
        <w:tc>
          <w:tcPr>
            <w:tcW w:w="4106" w:type="dxa"/>
            <w:tcBorders>
              <w:top w:val="nil"/>
              <w:left w:val="nil"/>
              <w:bottom w:val="single" w:sz="4" w:space="0" w:color="auto"/>
              <w:right w:val="single" w:sz="4" w:space="0" w:color="auto"/>
            </w:tcBorders>
            <w:shd w:val="clear" w:color="auto" w:fill="auto"/>
            <w:vAlign w:val="center"/>
            <w:hideMark/>
          </w:tcPr>
          <w:p w14:paraId="5AC642DA" w14:textId="77777777" w:rsidR="0099088D" w:rsidRPr="002636AA" w:rsidRDefault="0099088D" w:rsidP="0099088D">
            <w:pPr>
              <w:rPr>
                <w:color w:val="000000"/>
              </w:rPr>
            </w:pPr>
            <w:r w:rsidRPr="002636AA">
              <w:rPr>
                <w:color w:val="000000"/>
              </w:rPr>
              <w:t>Размер стандартизированной тарифной ставки С</w:t>
            </w:r>
            <w:r w:rsidRPr="002636AA">
              <w:rPr>
                <w:color w:val="000000"/>
                <w:vertAlign w:val="subscript"/>
              </w:rPr>
              <w:t>7.1</w:t>
            </w:r>
            <w:r w:rsidRPr="002636AA">
              <w:rPr>
                <w:color w:val="000000"/>
              </w:rPr>
              <w:t>, связанной с мониторингом выполнения заявителем технических условий:</w:t>
            </w:r>
          </w:p>
        </w:tc>
        <w:tc>
          <w:tcPr>
            <w:tcW w:w="1775" w:type="dxa"/>
            <w:tcBorders>
              <w:top w:val="nil"/>
              <w:left w:val="nil"/>
              <w:bottom w:val="single" w:sz="4" w:space="0" w:color="auto"/>
              <w:right w:val="single" w:sz="4" w:space="0" w:color="auto"/>
            </w:tcBorders>
            <w:shd w:val="clear" w:color="auto" w:fill="auto"/>
            <w:vAlign w:val="center"/>
            <w:hideMark/>
          </w:tcPr>
          <w:p w14:paraId="02FF8688" w14:textId="77777777" w:rsidR="0099088D" w:rsidRPr="002636AA" w:rsidRDefault="0099088D" w:rsidP="0099088D">
            <w:pPr>
              <w:jc w:val="center"/>
              <w:rPr>
                <w:color w:val="000000"/>
              </w:rPr>
            </w:pPr>
            <w:r w:rsidRPr="002636AA">
              <w:rPr>
                <w:color w:val="000000"/>
              </w:rPr>
              <w:t xml:space="preserve">руб. </w:t>
            </w:r>
            <w:r w:rsidRPr="002636AA">
              <w:rPr>
                <w:color w:val="2D2D2D"/>
              </w:rPr>
              <w:t>за 1 присоединение</w:t>
            </w:r>
          </w:p>
        </w:tc>
        <w:tc>
          <w:tcPr>
            <w:tcW w:w="2466" w:type="dxa"/>
            <w:tcBorders>
              <w:top w:val="nil"/>
              <w:left w:val="nil"/>
              <w:bottom w:val="single" w:sz="4" w:space="0" w:color="auto"/>
              <w:right w:val="single" w:sz="4" w:space="0" w:color="auto"/>
            </w:tcBorders>
            <w:shd w:val="clear" w:color="000000" w:fill="FFFFFF"/>
            <w:vAlign w:val="center"/>
            <w:hideMark/>
          </w:tcPr>
          <w:p w14:paraId="1FD8C103" w14:textId="77777777" w:rsidR="0099088D" w:rsidRPr="002636AA" w:rsidRDefault="0099088D" w:rsidP="0099088D">
            <w:pPr>
              <w:jc w:val="center"/>
              <w:rPr>
                <w:color w:val="000000"/>
              </w:rPr>
            </w:pPr>
            <w:r w:rsidRPr="002636AA">
              <w:rPr>
                <w:color w:val="000000"/>
              </w:rPr>
              <w:t>3 913</w:t>
            </w:r>
          </w:p>
        </w:tc>
      </w:tr>
    </w:tbl>
    <w:p w14:paraId="6AA42A0E" w14:textId="77777777" w:rsidR="0099088D" w:rsidRPr="002636AA" w:rsidRDefault="0099088D" w:rsidP="0099088D">
      <w:pPr>
        <w:autoSpaceDE w:val="0"/>
        <w:autoSpaceDN w:val="0"/>
        <w:adjustRightInd w:val="0"/>
        <w:jc w:val="both"/>
        <w:rPr>
          <w:sz w:val="28"/>
          <w:szCs w:val="28"/>
        </w:rPr>
      </w:pPr>
    </w:p>
    <w:p w14:paraId="36EE3D3E" w14:textId="77777777" w:rsidR="0099088D" w:rsidRPr="002636AA" w:rsidRDefault="0099088D" w:rsidP="0099088D">
      <w:pPr>
        <w:autoSpaceDE w:val="0"/>
        <w:autoSpaceDN w:val="0"/>
        <w:adjustRightInd w:val="0"/>
        <w:ind w:firstLine="567"/>
        <w:jc w:val="both"/>
        <w:rPr>
          <w:sz w:val="28"/>
          <w:szCs w:val="28"/>
        </w:rPr>
      </w:pPr>
      <w:r w:rsidRPr="002636AA">
        <w:rPr>
          <w:sz w:val="28"/>
          <w:szCs w:val="28"/>
        </w:rPr>
        <w:t>Размер стандартизированной тарифной ставки, связанной с мониторингом выполнения Заявителем технических условий (С7.1), определяется по формуле:</w:t>
      </w:r>
    </w:p>
    <w:p w14:paraId="6CB04B69" w14:textId="77777777" w:rsidR="0099088D" w:rsidRPr="002636AA" w:rsidRDefault="0099088D" w:rsidP="0099088D">
      <w:pPr>
        <w:autoSpaceDE w:val="0"/>
        <w:autoSpaceDN w:val="0"/>
        <w:adjustRightInd w:val="0"/>
        <w:jc w:val="both"/>
        <w:outlineLvl w:val="0"/>
        <w:rPr>
          <w:sz w:val="28"/>
          <w:szCs w:val="28"/>
        </w:rPr>
      </w:pPr>
    </w:p>
    <w:p w14:paraId="4249FDD2" w14:textId="77777777" w:rsidR="0099088D" w:rsidRPr="002636AA" w:rsidRDefault="0099088D" w:rsidP="0099088D">
      <w:pPr>
        <w:autoSpaceDE w:val="0"/>
        <w:autoSpaceDN w:val="0"/>
        <w:adjustRightInd w:val="0"/>
        <w:jc w:val="center"/>
        <w:rPr>
          <w:sz w:val="28"/>
          <w:szCs w:val="28"/>
        </w:rPr>
      </w:pPr>
      <w:r w:rsidRPr="002636AA">
        <w:rPr>
          <w:noProof/>
          <w:position w:val="-38"/>
          <w:sz w:val="28"/>
          <w:szCs w:val="28"/>
        </w:rPr>
        <w:drawing>
          <wp:inline distT="0" distB="0" distL="0" distR="0" wp14:anchorId="793F2D0B" wp14:editId="07B007E5">
            <wp:extent cx="1733550" cy="67627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5" cstate="print">
                      <a:extLst>
                        <a:ext uri="{28A0092B-C50C-407E-A947-70E740481C1C}">
                          <a14:useLocalDpi xmlns:a14="http://schemas.microsoft.com/office/drawing/2010/main" val="0"/>
                        </a:ext>
                      </a:extLst>
                    </a:blip>
                    <a:srcRect r="22552"/>
                    <a:stretch>
                      <a:fillRect/>
                    </a:stretch>
                  </pic:blipFill>
                  <pic:spPr bwMode="auto">
                    <a:xfrm>
                      <a:off x="0" y="0"/>
                      <a:ext cx="1733550" cy="676275"/>
                    </a:xfrm>
                    <a:prstGeom prst="rect">
                      <a:avLst/>
                    </a:prstGeom>
                    <a:noFill/>
                    <a:ln>
                      <a:noFill/>
                    </a:ln>
                  </pic:spPr>
                </pic:pic>
              </a:graphicData>
            </a:graphic>
          </wp:inline>
        </w:drawing>
      </w:r>
    </w:p>
    <w:p w14:paraId="2B9B32BD" w14:textId="77777777" w:rsidR="0099088D" w:rsidRPr="002636AA" w:rsidRDefault="0099088D" w:rsidP="0099088D">
      <w:pPr>
        <w:autoSpaceDE w:val="0"/>
        <w:autoSpaceDN w:val="0"/>
        <w:adjustRightInd w:val="0"/>
        <w:ind w:firstLine="567"/>
        <w:jc w:val="both"/>
        <w:rPr>
          <w:sz w:val="28"/>
          <w:szCs w:val="28"/>
        </w:rPr>
      </w:pPr>
    </w:p>
    <w:p w14:paraId="7BF64124" w14:textId="77777777" w:rsidR="0099088D" w:rsidRPr="002636AA" w:rsidRDefault="0099088D" w:rsidP="0099088D">
      <w:pPr>
        <w:autoSpaceDE w:val="0"/>
        <w:autoSpaceDN w:val="0"/>
        <w:adjustRightInd w:val="0"/>
        <w:ind w:firstLine="567"/>
        <w:jc w:val="both"/>
        <w:rPr>
          <w:sz w:val="28"/>
          <w:szCs w:val="28"/>
        </w:rPr>
      </w:pPr>
      <w:r w:rsidRPr="002636AA">
        <w:rPr>
          <w:sz w:val="28"/>
          <w:szCs w:val="28"/>
        </w:rPr>
        <w:t>где:</w:t>
      </w:r>
    </w:p>
    <w:p w14:paraId="312E0308" w14:textId="77777777" w:rsidR="0099088D" w:rsidRPr="002636AA" w:rsidRDefault="0099088D" w:rsidP="0099088D">
      <w:pPr>
        <w:autoSpaceDE w:val="0"/>
        <w:autoSpaceDN w:val="0"/>
        <w:adjustRightInd w:val="0"/>
        <w:ind w:firstLine="567"/>
        <w:jc w:val="both"/>
        <w:rPr>
          <w:sz w:val="28"/>
          <w:szCs w:val="28"/>
        </w:rPr>
      </w:pPr>
      <w:r w:rsidRPr="002636AA">
        <w:rPr>
          <w:sz w:val="28"/>
          <w:szCs w:val="28"/>
        </w:rPr>
        <w:t>Р - фактические расходы ГРО на проведение мониторинга выполнения Заявителем технических условий в соответствующем календарном году из предусмотренных абзацами первым - четвертым пункта 32 Методических указаний, руб.;</w:t>
      </w:r>
    </w:p>
    <w:p w14:paraId="4D37149C" w14:textId="77777777" w:rsidR="0099088D" w:rsidRPr="002636AA" w:rsidRDefault="0099088D" w:rsidP="0099088D">
      <w:pPr>
        <w:autoSpaceDE w:val="0"/>
        <w:autoSpaceDN w:val="0"/>
        <w:adjustRightInd w:val="0"/>
        <w:ind w:firstLine="567"/>
        <w:jc w:val="both"/>
        <w:rPr>
          <w:sz w:val="28"/>
          <w:szCs w:val="28"/>
        </w:rPr>
      </w:pPr>
      <w:r w:rsidRPr="002636AA">
        <w:rPr>
          <w:sz w:val="28"/>
          <w:szCs w:val="28"/>
        </w:rPr>
        <w:t>Nt - фактическое количество договоров о подключении (технологическом присоединении) соответствующей t-ой группы подключений, исполненных в соответствующем календарном году из предусмотренных абзацами первым - четвертым пункта 31 Методических указаний (без учета подключений, указанных в подпунктах "а" и "б" пункта 4 Методических указаний), шт.;</w:t>
      </w:r>
    </w:p>
    <w:p w14:paraId="551E822E" w14:textId="77777777" w:rsidR="0099088D" w:rsidRPr="002636AA" w:rsidRDefault="0099088D" w:rsidP="0099088D">
      <w:pPr>
        <w:autoSpaceDE w:val="0"/>
        <w:autoSpaceDN w:val="0"/>
        <w:adjustRightInd w:val="0"/>
        <w:ind w:firstLine="567"/>
        <w:jc w:val="both"/>
        <w:rPr>
          <w:sz w:val="28"/>
          <w:szCs w:val="28"/>
        </w:rPr>
      </w:pPr>
      <w:bookmarkStart w:id="53" w:name="_Hlk1562841"/>
      <w:r w:rsidRPr="002636AA">
        <w:rPr>
          <w:sz w:val="28"/>
          <w:szCs w:val="28"/>
        </w:rPr>
        <w:t>Z</w:t>
      </w:r>
      <w:bookmarkEnd w:id="53"/>
      <w:r w:rsidRPr="002636AA">
        <w:rPr>
          <w:sz w:val="28"/>
          <w:szCs w:val="28"/>
        </w:rPr>
        <w:t xml:space="preserve"> - коэффициент подключений, по которым осуществляется мониторинг выполнения Заявителем(ями) технических условий, в случае если подключение (технологическое присоединение) осуществляется в составе коллективной заявки, принимается в зависимости от количества точек подключений:</w:t>
      </w:r>
    </w:p>
    <w:p w14:paraId="0E7512EE" w14:textId="77777777" w:rsidR="0099088D" w:rsidRPr="002636AA" w:rsidRDefault="0099088D" w:rsidP="0099088D">
      <w:pPr>
        <w:autoSpaceDE w:val="0"/>
        <w:autoSpaceDN w:val="0"/>
        <w:adjustRightInd w:val="0"/>
        <w:ind w:firstLine="567"/>
        <w:jc w:val="both"/>
        <w:rPr>
          <w:sz w:val="28"/>
          <w:szCs w:val="28"/>
        </w:rPr>
      </w:pPr>
      <w:r w:rsidRPr="002636AA">
        <w:rPr>
          <w:sz w:val="28"/>
          <w:szCs w:val="28"/>
        </w:rPr>
        <w:t>1 - 5 подключений - 1;</w:t>
      </w:r>
    </w:p>
    <w:p w14:paraId="3C63DD5F" w14:textId="77777777" w:rsidR="0099088D" w:rsidRPr="002636AA" w:rsidRDefault="0099088D" w:rsidP="0099088D">
      <w:pPr>
        <w:autoSpaceDE w:val="0"/>
        <w:autoSpaceDN w:val="0"/>
        <w:adjustRightInd w:val="0"/>
        <w:ind w:firstLine="567"/>
        <w:jc w:val="both"/>
        <w:rPr>
          <w:sz w:val="28"/>
          <w:szCs w:val="28"/>
        </w:rPr>
      </w:pPr>
      <w:r w:rsidRPr="002636AA">
        <w:rPr>
          <w:sz w:val="28"/>
          <w:szCs w:val="28"/>
        </w:rPr>
        <w:t>6 - 10 подключений - 1,5;</w:t>
      </w:r>
    </w:p>
    <w:p w14:paraId="5E306618" w14:textId="77777777" w:rsidR="0099088D" w:rsidRPr="002636AA" w:rsidRDefault="0099088D" w:rsidP="0099088D">
      <w:pPr>
        <w:autoSpaceDE w:val="0"/>
        <w:autoSpaceDN w:val="0"/>
        <w:adjustRightInd w:val="0"/>
        <w:ind w:firstLine="567"/>
        <w:jc w:val="both"/>
        <w:rPr>
          <w:sz w:val="28"/>
          <w:szCs w:val="28"/>
        </w:rPr>
      </w:pPr>
      <w:r w:rsidRPr="002636AA">
        <w:rPr>
          <w:sz w:val="28"/>
          <w:szCs w:val="28"/>
        </w:rPr>
        <w:t>11 - 30 подключений - 3;</w:t>
      </w:r>
    </w:p>
    <w:p w14:paraId="01C985BB" w14:textId="77777777" w:rsidR="0099088D" w:rsidRPr="002636AA" w:rsidRDefault="0099088D" w:rsidP="0099088D">
      <w:pPr>
        <w:autoSpaceDE w:val="0"/>
        <w:autoSpaceDN w:val="0"/>
        <w:adjustRightInd w:val="0"/>
        <w:ind w:firstLine="567"/>
        <w:jc w:val="both"/>
        <w:rPr>
          <w:sz w:val="28"/>
          <w:szCs w:val="28"/>
        </w:rPr>
      </w:pPr>
      <w:r w:rsidRPr="002636AA">
        <w:rPr>
          <w:sz w:val="28"/>
          <w:szCs w:val="28"/>
        </w:rPr>
        <w:t>31 - 100 подключений - 4;</w:t>
      </w:r>
    </w:p>
    <w:p w14:paraId="2B1C16B3" w14:textId="77777777" w:rsidR="0099088D" w:rsidRPr="002636AA" w:rsidRDefault="0099088D" w:rsidP="0099088D">
      <w:pPr>
        <w:autoSpaceDE w:val="0"/>
        <w:autoSpaceDN w:val="0"/>
        <w:adjustRightInd w:val="0"/>
        <w:ind w:firstLine="567"/>
        <w:jc w:val="both"/>
        <w:rPr>
          <w:sz w:val="28"/>
          <w:szCs w:val="28"/>
        </w:rPr>
      </w:pPr>
      <w:r w:rsidRPr="002636AA">
        <w:rPr>
          <w:sz w:val="28"/>
          <w:szCs w:val="28"/>
        </w:rPr>
        <w:t>Свыше 100 подключений - 5.</w:t>
      </w:r>
    </w:p>
    <w:p w14:paraId="6F9F9A9B" w14:textId="77777777" w:rsidR="0099088D" w:rsidRPr="002636AA" w:rsidRDefault="0099088D" w:rsidP="0099088D">
      <w:pPr>
        <w:autoSpaceDE w:val="0"/>
        <w:autoSpaceDN w:val="0"/>
        <w:adjustRightInd w:val="0"/>
        <w:ind w:firstLine="567"/>
        <w:jc w:val="both"/>
        <w:rPr>
          <w:sz w:val="28"/>
          <w:szCs w:val="28"/>
        </w:rPr>
      </w:pPr>
      <w:r w:rsidRPr="002636AA">
        <w:rPr>
          <w:sz w:val="28"/>
          <w:szCs w:val="28"/>
        </w:rPr>
        <w:t>t - количество групп подключений, для которых проводится дифференциация коэффициента подключений (Z).</w:t>
      </w:r>
    </w:p>
    <w:p w14:paraId="58FB2B63" w14:textId="77777777" w:rsidR="0099088D" w:rsidRPr="002636AA" w:rsidRDefault="0099088D" w:rsidP="0099088D">
      <w:pPr>
        <w:autoSpaceDE w:val="0"/>
        <w:autoSpaceDN w:val="0"/>
        <w:adjustRightInd w:val="0"/>
        <w:ind w:firstLine="567"/>
        <w:jc w:val="both"/>
        <w:rPr>
          <w:sz w:val="28"/>
          <w:szCs w:val="28"/>
        </w:rPr>
      </w:pPr>
      <w:r w:rsidRPr="002636AA">
        <w:rPr>
          <w:sz w:val="28"/>
          <w:szCs w:val="28"/>
        </w:rPr>
        <w:t>I - коэффициент расходов, определяемый в соответствии с пунктом 33 Методических указаний.</w:t>
      </w:r>
    </w:p>
    <w:p w14:paraId="36BC5134" w14:textId="77777777" w:rsidR="0099088D" w:rsidRPr="002636AA" w:rsidRDefault="0099088D" w:rsidP="0099088D">
      <w:pPr>
        <w:autoSpaceDE w:val="0"/>
        <w:autoSpaceDN w:val="0"/>
        <w:adjustRightInd w:val="0"/>
        <w:ind w:firstLine="540"/>
        <w:jc w:val="both"/>
        <w:rPr>
          <w:sz w:val="28"/>
          <w:szCs w:val="28"/>
        </w:rPr>
      </w:pPr>
      <w:r w:rsidRPr="002636AA">
        <w:rPr>
          <w:sz w:val="28"/>
          <w:szCs w:val="28"/>
        </w:rPr>
        <w:t xml:space="preserve">Ставка, указанная в Таблице 6 определена на основании фактических данных </w:t>
      </w:r>
      <w:bookmarkStart w:id="54" w:name="_Hlk26435534"/>
      <w:r w:rsidRPr="002636AA">
        <w:rPr>
          <w:sz w:val="28"/>
          <w:szCs w:val="28"/>
        </w:rPr>
        <w:t>за 2018-2020 годы, с применением коэффициента расходов I, рассчитанного с применением индексов ИПЦ (ИПЦ 2019 - 104,5 ИПЦ 2020 - 103,4, ИПЦ 2021- 106),</w:t>
      </w:r>
      <w:r w:rsidRPr="002636AA">
        <w:rPr>
          <w:color w:val="000000"/>
          <w:sz w:val="28"/>
          <w:szCs w:val="28"/>
        </w:rPr>
        <w:t xml:space="preserve"> опубликованных на сайте Минэкономразвития России 30.09.2021 (в части 2020 и 2021 годов) и 26.09.2020 (в части 2019 года).</w:t>
      </w:r>
      <w:bookmarkEnd w:id="54"/>
      <w:r w:rsidRPr="002636AA">
        <w:rPr>
          <w:sz w:val="28"/>
          <w:szCs w:val="28"/>
        </w:rPr>
        <w:t xml:space="preserve"> Коэффициент подключений Z принят равным 1, так как</w:t>
      </w:r>
      <w:r w:rsidRPr="002636AA">
        <w:rPr>
          <w:rFonts w:eastAsia="Calibri"/>
          <w:sz w:val="28"/>
          <w:szCs w:val="28"/>
          <w:lang w:eastAsia="en-US"/>
        </w:rPr>
        <w:t xml:space="preserve"> коллективных заявок на подключение в 2018-2020 гг. от заявителей не принималось</w:t>
      </w:r>
      <w:r w:rsidRPr="002636AA">
        <w:rPr>
          <w:sz w:val="28"/>
          <w:szCs w:val="28"/>
        </w:rPr>
        <w:t>.</w:t>
      </w:r>
    </w:p>
    <w:p w14:paraId="7184025E" w14:textId="77777777" w:rsidR="0099088D" w:rsidRPr="002636AA" w:rsidRDefault="0099088D" w:rsidP="0099088D">
      <w:pPr>
        <w:autoSpaceDE w:val="0"/>
        <w:autoSpaceDN w:val="0"/>
        <w:adjustRightInd w:val="0"/>
        <w:ind w:firstLine="540"/>
        <w:jc w:val="both"/>
        <w:rPr>
          <w:sz w:val="28"/>
          <w:szCs w:val="28"/>
        </w:rPr>
      </w:pPr>
      <w:bookmarkStart w:id="55" w:name="_Hlk26435980"/>
      <w:r w:rsidRPr="002636AA">
        <w:rPr>
          <w:sz w:val="28"/>
          <w:szCs w:val="28"/>
        </w:rPr>
        <w:t>Эксперты, проанализировав расчет предлагаемой предприятием стандартизированной тарифных ставки С</w:t>
      </w:r>
      <w:r w:rsidRPr="002636AA">
        <w:rPr>
          <w:sz w:val="28"/>
          <w:szCs w:val="28"/>
          <w:vertAlign w:val="subscript"/>
        </w:rPr>
        <w:t>7.1</w:t>
      </w:r>
      <w:r w:rsidRPr="002636AA">
        <w:rPr>
          <w:sz w:val="28"/>
          <w:szCs w:val="28"/>
        </w:rPr>
        <w:t>, предлагают утвердить ее на уровне предложения предприятия.</w:t>
      </w:r>
    </w:p>
    <w:bookmarkEnd w:id="55"/>
    <w:p w14:paraId="705BBF1D" w14:textId="77777777" w:rsidR="0099088D" w:rsidRPr="002636AA" w:rsidRDefault="0099088D" w:rsidP="0099088D">
      <w:pPr>
        <w:tabs>
          <w:tab w:val="left" w:pos="0"/>
          <w:tab w:val="left" w:pos="284"/>
        </w:tabs>
        <w:jc w:val="center"/>
        <w:rPr>
          <w:b/>
          <w:sz w:val="28"/>
          <w:szCs w:val="28"/>
        </w:rPr>
      </w:pPr>
      <w:r w:rsidRPr="002636AA">
        <w:rPr>
          <w:b/>
          <w:sz w:val="28"/>
          <w:szCs w:val="28"/>
        </w:rPr>
        <w:br w:type="page"/>
        <w:t>Расчет стандартизированной тарифной ставки С</w:t>
      </w:r>
      <w:r w:rsidRPr="002636AA">
        <w:rPr>
          <w:b/>
          <w:sz w:val="28"/>
          <w:szCs w:val="28"/>
          <w:vertAlign w:val="subscript"/>
        </w:rPr>
        <w:t>7.2,</w:t>
      </w:r>
      <w:r w:rsidRPr="002636AA">
        <w:rPr>
          <w:b/>
          <w:sz w:val="28"/>
          <w:szCs w:val="28"/>
        </w:rPr>
        <w:t xml:space="preserve"> связанной с осуществлением фактического присоединения к газораспределительной сети ГРО,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g-тым способом врезки сети газопотребления Заявителя и существующего или вновь построенного стального i-того диапазона диаметров (полиэтиленового j-того диапазона диаметров) газопровода ГРО, бесхозяйного газопровода или газопровода основного абонента, выполненного k-тым типом прокладки, и проведением пуска газа, в расчете на одно подключение (технологическое присоединение)</w:t>
      </w:r>
    </w:p>
    <w:p w14:paraId="0ABFBC31" w14:textId="77777777" w:rsidR="0099088D" w:rsidRPr="002636AA" w:rsidRDefault="0099088D" w:rsidP="0099088D">
      <w:pPr>
        <w:autoSpaceDE w:val="0"/>
        <w:autoSpaceDN w:val="0"/>
        <w:adjustRightInd w:val="0"/>
        <w:ind w:firstLine="540"/>
        <w:jc w:val="both"/>
        <w:rPr>
          <w:sz w:val="28"/>
          <w:szCs w:val="28"/>
        </w:rPr>
      </w:pPr>
    </w:p>
    <w:p w14:paraId="78A352A1" w14:textId="77777777" w:rsidR="0099088D" w:rsidRPr="002636AA" w:rsidRDefault="0099088D" w:rsidP="0099088D">
      <w:pPr>
        <w:autoSpaceDE w:val="0"/>
        <w:autoSpaceDN w:val="0"/>
        <w:adjustRightInd w:val="0"/>
        <w:ind w:firstLine="540"/>
        <w:jc w:val="both"/>
        <w:rPr>
          <w:sz w:val="28"/>
          <w:szCs w:val="28"/>
        </w:rPr>
      </w:pPr>
      <w:r w:rsidRPr="002636AA">
        <w:rPr>
          <w:sz w:val="28"/>
          <w:szCs w:val="28"/>
        </w:rPr>
        <w:t>Предложения предприятия приведены в Таблице 7.</w:t>
      </w:r>
    </w:p>
    <w:p w14:paraId="2CA5D87C" w14:textId="77777777" w:rsidR="0099088D" w:rsidRPr="002636AA" w:rsidRDefault="0099088D" w:rsidP="0099088D">
      <w:pPr>
        <w:autoSpaceDE w:val="0"/>
        <w:autoSpaceDN w:val="0"/>
        <w:adjustRightInd w:val="0"/>
        <w:ind w:firstLine="540"/>
        <w:jc w:val="right"/>
        <w:rPr>
          <w:sz w:val="28"/>
          <w:szCs w:val="28"/>
        </w:rPr>
      </w:pPr>
      <w:r w:rsidRPr="002636AA">
        <w:rPr>
          <w:sz w:val="28"/>
          <w:szCs w:val="28"/>
        </w:rPr>
        <w:t>Таблица 7</w:t>
      </w:r>
    </w:p>
    <w:tbl>
      <w:tblPr>
        <w:tblW w:w="9644" w:type="dxa"/>
        <w:tblInd w:w="103" w:type="dxa"/>
        <w:tblLook w:val="04A0" w:firstRow="1" w:lastRow="0" w:firstColumn="1" w:lastColumn="0" w:noHBand="0" w:noVBand="1"/>
      </w:tblPr>
      <w:tblGrid>
        <w:gridCol w:w="1297"/>
        <w:gridCol w:w="4106"/>
        <w:gridCol w:w="1775"/>
        <w:gridCol w:w="2466"/>
      </w:tblGrid>
      <w:tr w:rsidR="0099088D" w:rsidRPr="002636AA" w14:paraId="24198889" w14:textId="77777777" w:rsidTr="0099088D">
        <w:trPr>
          <w:trHeight w:val="458"/>
          <w:tblHeader/>
        </w:trPr>
        <w:tc>
          <w:tcPr>
            <w:tcW w:w="12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6ED965" w14:textId="77777777" w:rsidR="0099088D" w:rsidRPr="002636AA" w:rsidRDefault="0099088D" w:rsidP="0099088D">
            <w:pPr>
              <w:jc w:val="center"/>
              <w:rPr>
                <w:color w:val="000000"/>
              </w:rPr>
            </w:pPr>
            <w:r w:rsidRPr="002636AA">
              <w:rPr>
                <w:color w:val="000000"/>
              </w:rPr>
              <w:t>№</w:t>
            </w:r>
          </w:p>
        </w:tc>
        <w:tc>
          <w:tcPr>
            <w:tcW w:w="41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96FB6A" w14:textId="77777777" w:rsidR="0099088D" w:rsidRPr="002636AA" w:rsidRDefault="0099088D" w:rsidP="0099088D">
            <w:pPr>
              <w:jc w:val="center"/>
              <w:rPr>
                <w:color w:val="000000"/>
              </w:rPr>
            </w:pPr>
            <w:r w:rsidRPr="002636AA">
              <w:rPr>
                <w:color w:val="000000"/>
              </w:rPr>
              <w:t>Наименование стандартизированных тарифных ставок</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37F7EF" w14:textId="77777777" w:rsidR="0099088D" w:rsidRPr="002636AA" w:rsidRDefault="0099088D" w:rsidP="0099088D">
            <w:pPr>
              <w:jc w:val="center"/>
              <w:rPr>
                <w:color w:val="000000"/>
              </w:rPr>
            </w:pPr>
            <w:r w:rsidRPr="002636AA">
              <w:rPr>
                <w:color w:val="000000"/>
              </w:rPr>
              <w:t>Единица измерения</w:t>
            </w:r>
          </w:p>
        </w:tc>
        <w:tc>
          <w:tcPr>
            <w:tcW w:w="246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12F7147" w14:textId="77777777" w:rsidR="0099088D" w:rsidRPr="002636AA" w:rsidRDefault="0099088D" w:rsidP="0099088D">
            <w:pPr>
              <w:jc w:val="center"/>
              <w:rPr>
                <w:color w:val="000000"/>
              </w:rPr>
            </w:pPr>
            <w:r w:rsidRPr="002636AA">
              <w:rPr>
                <w:color w:val="000000"/>
              </w:rPr>
              <w:t xml:space="preserve">Размеры стандартизированных тарифных ставок </w:t>
            </w:r>
            <w:r w:rsidRPr="002636AA">
              <w:rPr>
                <w:color w:val="2D2D2D"/>
              </w:rPr>
              <w:t>(без НДС, с налогом на прибыль)</w:t>
            </w:r>
          </w:p>
        </w:tc>
      </w:tr>
      <w:tr w:rsidR="0099088D" w:rsidRPr="002636AA" w14:paraId="7F2F6C0B" w14:textId="77777777" w:rsidTr="0099088D">
        <w:trPr>
          <w:trHeight w:val="458"/>
          <w:tblHeader/>
        </w:trPr>
        <w:tc>
          <w:tcPr>
            <w:tcW w:w="1297" w:type="dxa"/>
            <w:vMerge/>
            <w:tcBorders>
              <w:top w:val="single" w:sz="4" w:space="0" w:color="auto"/>
              <w:left w:val="single" w:sz="4" w:space="0" w:color="auto"/>
              <w:bottom w:val="single" w:sz="4" w:space="0" w:color="auto"/>
              <w:right w:val="single" w:sz="4" w:space="0" w:color="auto"/>
            </w:tcBorders>
            <w:vAlign w:val="center"/>
            <w:hideMark/>
          </w:tcPr>
          <w:p w14:paraId="0297BE26" w14:textId="77777777" w:rsidR="0099088D" w:rsidRPr="002636AA" w:rsidRDefault="0099088D" w:rsidP="0099088D">
            <w:pPr>
              <w:rPr>
                <w:color w:val="000000"/>
              </w:rPr>
            </w:pPr>
          </w:p>
        </w:tc>
        <w:tc>
          <w:tcPr>
            <w:tcW w:w="4106" w:type="dxa"/>
            <w:vMerge/>
            <w:tcBorders>
              <w:top w:val="single" w:sz="4" w:space="0" w:color="auto"/>
              <w:left w:val="single" w:sz="4" w:space="0" w:color="auto"/>
              <w:bottom w:val="single" w:sz="4" w:space="0" w:color="auto"/>
              <w:right w:val="single" w:sz="4" w:space="0" w:color="auto"/>
            </w:tcBorders>
            <w:vAlign w:val="center"/>
            <w:hideMark/>
          </w:tcPr>
          <w:p w14:paraId="12666B22" w14:textId="77777777" w:rsidR="0099088D" w:rsidRPr="002636AA" w:rsidRDefault="0099088D" w:rsidP="0099088D">
            <w:pPr>
              <w:rPr>
                <w:color w:val="000000"/>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7E28BB16" w14:textId="77777777" w:rsidR="0099088D" w:rsidRPr="002636AA" w:rsidRDefault="0099088D" w:rsidP="0099088D">
            <w:pPr>
              <w:rPr>
                <w:color w:val="000000"/>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7B9E33A0" w14:textId="77777777" w:rsidR="0099088D" w:rsidRPr="002636AA" w:rsidRDefault="0099088D" w:rsidP="0099088D">
            <w:pPr>
              <w:rPr>
                <w:color w:val="000000"/>
              </w:rPr>
            </w:pPr>
          </w:p>
        </w:tc>
      </w:tr>
      <w:tr w:rsidR="0099088D" w:rsidRPr="002636AA" w14:paraId="72E34DE9" w14:textId="77777777" w:rsidTr="0099088D">
        <w:trPr>
          <w:trHeight w:val="1139"/>
          <w:tblHeader/>
        </w:trPr>
        <w:tc>
          <w:tcPr>
            <w:tcW w:w="1297" w:type="dxa"/>
            <w:vMerge/>
            <w:tcBorders>
              <w:top w:val="single" w:sz="4" w:space="0" w:color="auto"/>
              <w:left w:val="single" w:sz="4" w:space="0" w:color="auto"/>
              <w:bottom w:val="single" w:sz="4" w:space="0" w:color="auto"/>
              <w:right w:val="single" w:sz="4" w:space="0" w:color="auto"/>
            </w:tcBorders>
            <w:vAlign w:val="center"/>
            <w:hideMark/>
          </w:tcPr>
          <w:p w14:paraId="5950E9FD" w14:textId="77777777" w:rsidR="0099088D" w:rsidRPr="002636AA" w:rsidRDefault="0099088D" w:rsidP="0099088D">
            <w:pPr>
              <w:rPr>
                <w:color w:val="000000"/>
              </w:rPr>
            </w:pPr>
          </w:p>
        </w:tc>
        <w:tc>
          <w:tcPr>
            <w:tcW w:w="4106" w:type="dxa"/>
            <w:vMerge/>
            <w:tcBorders>
              <w:top w:val="single" w:sz="4" w:space="0" w:color="auto"/>
              <w:left w:val="single" w:sz="4" w:space="0" w:color="auto"/>
              <w:bottom w:val="single" w:sz="4" w:space="0" w:color="auto"/>
              <w:right w:val="single" w:sz="4" w:space="0" w:color="auto"/>
            </w:tcBorders>
            <w:vAlign w:val="center"/>
            <w:hideMark/>
          </w:tcPr>
          <w:p w14:paraId="102D82D4" w14:textId="77777777" w:rsidR="0099088D" w:rsidRPr="002636AA" w:rsidRDefault="0099088D" w:rsidP="0099088D">
            <w:pPr>
              <w:rPr>
                <w:color w:val="000000"/>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3D00B26B" w14:textId="77777777" w:rsidR="0099088D" w:rsidRPr="002636AA" w:rsidRDefault="0099088D" w:rsidP="0099088D">
            <w:pPr>
              <w:rPr>
                <w:color w:val="000000"/>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14:paraId="5EC97D93" w14:textId="77777777" w:rsidR="0099088D" w:rsidRPr="002636AA" w:rsidRDefault="0099088D" w:rsidP="0099088D">
            <w:pPr>
              <w:rPr>
                <w:color w:val="000000"/>
              </w:rPr>
            </w:pPr>
          </w:p>
        </w:tc>
      </w:tr>
      <w:tr w:rsidR="0099088D" w:rsidRPr="002636AA" w14:paraId="37505706" w14:textId="77777777" w:rsidTr="0099088D">
        <w:trPr>
          <w:trHeight w:val="269"/>
          <w:tblHeader/>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30D7DC" w14:textId="77777777" w:rsidR="0099088D" w:rsidRPr="002636AA" w:rsidRDefault="0099088D" w:rsidP="0099088D">
            <w:pPr>
              <w:jc w:val="center"/>
              <w:rPr>
                <w:color w:val="000000"/>
              </w:rPr>
            </w:pPr>
            <w:r w:rsidRPr="002636AA">
              <w:rPr>
                <w:color w:val="000000"/>
              </w:rPr>
              <w:t>1</w:t>
            </w:r>
          </w:p>
        </w:tc>
        <w:tc>
          <w:tcPr>
            <w:tcW w:w="4106" w:type="dxa"/>
            <w:tcBorders>
              <w:top w:val="single" w:sz="4" w:space="0" w:color="auto"/>
              <w:left w:val="nil"/>
              <w:bottom w:val="single" w:sz="4" w:space="0" w:color="auto"/>
              <w:right w:val="single" w:sz="4" w:space="0" w:color="auto"/>
            </w:tcBorders>
            <w:shd w:val="clear" w:color="auto" w:fill="auto"/>
            <w:vAlign w:val="center"/>
            <w:hideMark/>
          </w:tcPr>
          <w:p w14:paraId="0DD5E246" w14:textId="77777777" w:rsidR="0099088D" w:rsidRPr="002636AA" w:rsidRDefault="0099088D" w:rsidP="0099088D">
            <w:pPr>
              <w:jc w:val="center"/>
              <w:rPr>
                <w:color w:val="000000"/>
              </w:rPr>
            </w:pPr>
            <w:r w:rsidRPr="002636AA">
              <w:rPr>
                <w:color w:val="000000"/>
              </w:rPr>
              <w:t>2</w:t>
            </w:r>
          </w:p>
        </w:tc>
        <w:tc>
          <w:tcPr>
            <w:tcW w:w="1775" w:type="dxa"/>
            <w:tcBorders>
              <w:top w:val="single" w:sz="4" w:space="0" w:color="auto"/>
              <w:left w:val="nil"/>
              <w:bottom w:val="single" w:sz="4" w:space="0" w:color="auto"/>
              <w:right w:val="single" w:sz="4" w:space="0" w:color="auto"/>
            </w:tcBorders>
            <w:shd w:val="clear" w:color="auto" w:fill="auto"/>
            <w:vAlign w:val="center"/>
            <w:hideMark/>
          </w:tcPr>
          <w:p w14:paraId="6156589E" w14:textId="77777777" w:rsidR="0099088D" w:rsidRPr="002636AA" w:rsidRDefault="0099088D" w:rsidP="0099088D">
            <w:pPr>
              <w:jc w:val="center"/>
              <w:rPr>
                <w:color w:val="000000"/>
              </w:rPr>
            </w:pPr>
            <w:r w:rsidRPr="002636AA">
              <w:rPr>
                <w:color w:val="000000"/>
              </w:rPr>
              <w:t>3</w:t>
            </w:r>
          </w:p>
        </w:tc>
        <w:tc>
          <w:tcPr>
            <w:tcW w:w="2466" w:type="dxa"/>
            <w:tcBorders>
              <w:top w:val="single" w:sz="4" w:space="0" w:color="auto"/>
              <w:left w:val="nil"/>
              <w:bottom w:val="single" w:sz="4" w:space="0" w:color="auto"/>
              <w:right w:val="single" w:sz="4" w:space="0" w:color="auto"/>
            </w:tcBorders>
            <w:shd w:val="clear" w:color="000000" w:fill="FFFFFF"/>
            <w:vAlign w:val="center"/>
            <w:hideMark/>
          </w:tcPr>
          <w:p w14:paraId="48928049" w14:textId="77777777" w:rsidR="0099088D" w:rsidRPr="002636AA" w:rsidRDefault="0099088D" w:rsidP="0099088D">
            <w:pPr>
              <w:jc w:val="center"/>
              <w:rPr>
                <w:color w:val="000000"/>
              </w:rPr>
            </w:pPr>
            <w:r w:rsidRPr="002636AA">
              <w:rPr>
                <w:color w:val="000000"/>
              </w:rPr>
              <w:t>4</w:t>
            </w:r>
          </w:p>
        </w:tc>
      </w:tr>
      <w:tr w:rsidR="0099088D" w:rsidRPr="002636AA" w14:paraId="6C0B81AA" w14:textId="77777777" w:rsidTr="0099088D">
        <w:trPr>
          <w:trHeight w:val="2532"/>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7473D" w14:textId="77777777" w:rsidR="0099088D" w:rsidRPr="002636AA" w:rsidRDefault="0099088D" w:rsidP="0099088D">
            <w:pPr>
              <w:jc w:val="center"/>
              <w:rPr>
                <w:color w:val="000000"/>
              </w:rPr>
            </w:pPr>
            <w:r w:rsidRPr="002636AA">
              <w:rPr>
                <w:color w:val="000000"/>
              </w:rPr>
              <w:t>1.1.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1DE4C2A2" w14:textId="77777777" w:rsidR="0099088D" w:rsidRPr="002636AA" w:rsidRDefault="0099088D" w:rsidP="0099088D">
            <w:pPr>
              <w:rPr>
                <w:color w:val="000000"/>
              </w:rPr>
            </w:pPr>
            <w:r w:rsidRPr="002636AA">
              <w:rPr>
                <w:color w:val="000000"/>
              </w:rPr>
              <w:t>Размер стандартизированной тарифной ставки С</w:t>
            </w:r>
            <w:r w:rsidRPr="002636AA">
              <w:rPr>
                <w:color w:val="000000"/>
                <w:vertAlign w:val="subscript"/>
              </w:rPr>
              <w:t>7.2</w:t>
            </w:r>
            <w:r w:rsidRPr="002636AA">
              <w:rPr>
                <w:color w:val="000000"/>
              </w:rPr>
              <w:t>, связанной с осуществлением фактического присоединения к газораспределительной сети газораспределительной организации,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сети газопотребления заявителя и существующего или вновь построенного стального (полиэтиленового) газопровода газораспределительной организации, а также бесхозяйного газопровода или газопровода основного абонента, и проведением пуска газа в газоиспользующее оборудование заявителя:</w:t>
            </w:r>
          </w:p>
        </w:tc>
      </w:tr>
      <w:tr w:rsidR="0099088D" w:rsidRPr="002636AA" w14:paraId="0193E556" w14:textId="77777777" w:rsidTr="0099088D">
        <w:trPr>
          <w:trHeight w:val="41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07A352C" w14:textId="77777777" w:rsidR="0099088D" w:rsidRPr="002636AA" w:rsidRDefault="0099088D" w:rsidP="0099088D">
            <w:pPr>
              <w:jc w:val="center"/>
              <w:rPr>
                <w:color w:val="000000"/>
              </w:rPr>
            </w:pPr>
            <w:r w:rsidRPr="002636AA">
              <w:rPr>
                <w:color w:val="000000"/>
              </w:rPr>
              <w:t>1.1.1.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3B56875E" w14:textId="77777777" w:rsidR="0099088D" w:rsidRPr="002636AA" w:rsidRDefault="0099088D" w:rsidP="0099088D">
            <w:pPr>
              <w:rPr>
                <w:color w:val="000000"/>
              </w:rPr>
            </w:pPr>
            <w:r w:rsidRPr="002636AA">
              <w:rPr>
                <w:color w:val="000000"/>
              </w:rPr>
              <w:t>стальных газопроводов:</w:t>
            </w:r>
          </w:p>
        </w:tc>
      </w:tr>
      <w:tr w:rsidR="0099088D" w:rsidRPr="002636AA" w14:paraId="7B874B71" w14:textId="77777777" w:rsidTr="0099088D">
        <w:trPr>
          <w:trHeight w:val="40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1D1D2F6" w14:textId="77777777" w:rsidR="0099088D" w:rsidRPr="002636AA" w:rsidRDefault="0099088D" w:rsidP="0099088D">
            <w:pPr>
              <w:jc w:val="center"/>
              <w:rPr>
                <w:color w:val="000000"/>
              </w:rPr>
            </w:pPr>
            <w:r w:rsidRPr="002636AA">
              <w:rPr>
                <w:color w:val="000000"/>
              </w:rPr>
              <w:t>1.1.1.1.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0996DC1F" w14:textId="77777777" w:rsidR="0099088D" w:rsidRPr="002636AA" w:rsidRDefault="0099088D" w:rsidP="0099088D">
            <w:pPr>
              <w:rPr>
                <w:color w:val="000000"/>
              </w:rPr>
            </w:pPr>
            <w:r w:rsidRPr="002636AA">
              <w:rPr>
                <w:color w:val="000000"/>
              </w:rPr>
              <w:t>наземного (надземного) способа прокладки:</w:t>
            </w:r>
          </w:p>
        </w:tc>
      </w:tr>
      <w:tr w:rsidR="0099088D" w:rsidRPr="002636AA" w14:paraId="587BB560" w14:textId="77777777" w:rsidTr="0099088D">
        <w:trPr>
          <w:trHeight w:val="691"/>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0661CC3" w14:textId="77777777" w:rsidR="0099088D" w:rsidRPr="002636AA" w:rsidRDefault="0099088D" w:rsidP="0099088D">
            <w:pPr>
              <w:jc w:val="center"/>
              <w:rPr>
                <w:color w:val="000000"/>
              </w:rPr>
            </w:pPr>
            <w:r w:rsidRPr="002636AA">
              <w:rPr>
                <w:color w:val="000000"/>
              </w:rPr>
              <w:t>1.1.1.1.1.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386A1385" w14:textId="77777777" w:rsidR="0099088D" w:rsidRPr="002636AA" w:rsidRDefault="0099088D" w:rsidP="0099088D">
            <w:pPr>
              <w:rPr>
                <w:color w:val="000000"/>
              </w:rPr>
            </w:pPr>
            <w:r w:rsidRPr="002636AA">
              <w:rPr>
                <w:color w:val="000000"/>
              </w:rPr>
              <w:t>с давлением до 0,005 МПа (включительно) в газопроводе, в который осуществляется врезка, наружным диаметром:</w:t>
            </w:r>
          </w:p>
        </w:tc>
      </w:tr>
      <w:tr w:rsidR="0099088D" w:rsidRPr="002636AA" w14:paraId="4AD62E45" w14:textId="77777777" w:rsidTr="0099088D">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CE9F879" w14:textId="77777777" w:rsidR="0099088D" w:rsidRPr="002636AA" w:rsidRDefault="0099088D" w:rsidP="0099088D">
            <w:pPr>
              <w:jc w:val="center"/>
              <w:rPr>
                <w:color w:val="000000"/>
              </w:rPr>
            </w:pPr>
            <w:r w:rsidRPr="002636AA">
              <w:rPr>
                <w:color w:val="000000"/>
              </w:rPr>
              <w:t>1.1.1.1.1.1.</w:t>
            </w:r>
          </w:p>
        </w:tc>
        <w:tc>
          <w:tcPr>
            <w:tcW w:w="4106" w:type="dxa"/>
            <w:tcBorders>
              <w:top w:val="nil"/>
              <w:left w:val="nil"/>
              <w:bottom w:val="single" w:sz="4" w:space="0" w:color="auto"/>
              <w:right w:val="single" w:sz="4" w:space="0" w:color="auto"/>
            </w:tcBorders>
            <w:shd w:val="clear" w:color="auto" w:fill="auto"/>
            <w:vAlign w:val="center"/>
            <w:hideMark/>
          </w:tcPr>
          <w:p w14:paraId="56EDF034" w14:textId="77777777" w:rsidR="0099088D" w:rsidRPr="002636AA" w:rsidRDefault="0099088D" w:rsidP="0099088D">
            <w:pPr>
              <w:rPr>
                <w:color w:val="000000"/>
              </w:rPr>
            </w:pPr>
            <w:r w:rsidRPr="002636AA">
              <w:rPr>
                <w:color w:val="000000"/>
              </w:rPr>
              <w:t>до 100 мм</w:t>
            </w:r>
          </w:p>
        </w:tc>
        <w:tc>
          <w:tcPr>
            <w:tcW w:w="1775" w:type="dxa"/>
            <w:vMerge w:val="restart"/>
            <w:tcBorders>
              <w:top w:val="nil"/>
              <w:left w:val="single" w:sz="4" w:space="0" w:color="auto"/>
              <w:right w:val="single" w:sz="4" w:space="0" w:color="auto"/>
            </w:tcBorders>
            <w:shd w:val="clear" w:color="auto" w:fill="auto"/>
            <w:vAlign w:val="center"/>
            <w:hideMark/>
          </w:tcPr>
          <w:p w14:paraId="0124E837" w14:textId="77777777" w:rsidR="0099088D" w:rsidRPr="002636AA" w:rsidRDefault="0099088D" w:rsidP="0099088D">
            <w:pPr>
              <w:jc w:val="center"/>
              <w:rPr>
                <w:color w:val="000000"/>
              </w:rPr>
            </w:pPr>
            <w:r w:rsidRPr="002636AA">
              <w:rPr>
                <w:color w:val="000000"/>
              </w:rPr>
              <w:t>руб.</w:t>
            </w:r>
            <w:r w:rsidRPr="002636AA">
              <w:rPr>
                <w:sz w:val="20"/>
                <w:szCs w:val="20"/>
              </w:rPr>
              <w:t xml:space="preserve"> </w:t>
            </w:r>
            <w:r w:rsidRPr="002636AA">
              <w:rPr>
                <w:color w:val="000000"/>
              </w:rPr>
              <w:t>за 1 присоединение</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ED39FA" w14:textId="77777777" w:rsidR="0099088D" w:rsidRPr="002636AA" w:rsidRDefault="0099088D" w:rsidP="0099088D">
            <w:pPr>
              <w:jc w:val="center"/>
              <w:rPr>
                <w:color w:val="000000"/>
              </w:rPr>
            </w:pPr>
            <w:r w:rsidRPr="002636AA">
              <w:rPr>
                <w:color w:val="000000"/>
              </w:rPr>
              <w:t>12 426</w:t>
            </w:r>
          </w:p>
        </w:tc>
      </w:tr>
      <w:tr w:rsidR="0099088D" w:rsidRPr="002636AA" w14:paraId="5F695BF2" w14:textId="77777777" w:rsidTr="0099088D">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5B9FB97" w14:textId="77777777" w:rsidR="0099088D" w:rsidRPr="002636AA" w:rsidRDefault="0099088D" w:rsidP="0099088D">
            <w:pPr>
              <w:jc w:val="center"/>
              <w:rPr>
                <w:color w:val="000000"/>
              </w:rPr>
            </w:pPr>
            <w:r w:rsidRPr="002636AA">
              <w:rPr>
                <w:color w:val="000000"/>
              </w:rPr>
              <w:t>1.1.1.1.1.2.</w:t>
            </w:r>
          </w:p>
        </w:tc>
        <w:tc>
          <w:tcPr>
            <w:tcW w:w="4106" w:type="dxa"/>
            <w:tcBorders>
              <w:top w:val="nil"/>
              <w:left w:val="nil"/>
              <w:bottom w:val="single" w:sz="4" w:space="0" w:color="auto"/>
              <w:right w:val="single" w:sz="4" w:space="0" w:color="auto"/>
            </w:tcBorders>
            <w:shd w:val="clear" w:color="auto" w:fill="auto"/>
            <w:vAlign w:val="center"/>
            <w:hideMark/>
          </w:tcPr>
          <w:p w14:paraId="1AF58043" w14:textId="77777777" w:rsidR="0099088D" w:rsidRPr="002636AA" w:rsidRDefault="0099088D" w:rsidP="0099088D">
            <w:pPr>
              <w:rPr>
                <w:color w:val="000000"/>
              </w:rPr>
            </w:pPr>
            <w:r w:rsidRPr="002636AA">
              <w:rPr>
                <w:color w:val="000000"/>
              </w:rPr>
              <w:t>101-158 мм</w:t>
            </w:r>
          </w:p>
        </w:tc>
        <w:tc>
          <w:tcPr>
            <w:tcW w:w="1775" w:type="dxa"/>
            <w:vMerge/>
            <w:tcBorders>
              <w:left w:val="single" w:sz="4" w:space="0" w:color="auto"/>
              <w:right w:val="single" w:sz="4" w:space="0" w:color="auto"/>
            </w:tcBorders>
            <w:vAlign w:val="center"/>
            <w:hideMark/>
          </w:tcPr>
          <w:p w14:paraId="57464ADA" w14:textId="77777777" w:rsidR="0099088D" w:rsidRPr="002636AA" w:rsidRDefault="0099088D" w:rsidP="0099088D">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3EB27618" w14:textId="77777777" w:rsidR="0099088D" w:rsidRPr="002636AA" w:rsidRDefault="0099088D" w:rsidP="0099088D">
            <w:pPr>
              <w:jc w:val="center"/>
              <w:rPr>
                <w:color w:val="000000"/>
              </w:rPr>
            </w:pPr>
            <w:r w:rsidRPr="002636AA">
              <w:rPr>
                <w:color w:val="000000"/>
              </w:rPr>
              <w:t>13 898</w:t>
            </w:r>
          </w:p>
        </w:tc>
      </w:tr>
      <w:tr w:rsidR="0099088D" w:rsidRPr="002636AA" w14:paraId="15EE472C" w14:textId="77777777" w:rsidTr="0099088D">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7F93BF6" w14:textId="77777777" w:rsidR="0099088D" w:rsidRPr="002636AA" w:rsidRDefault="0099088D" w:rsidP="0099088D">
            <w:pPr>
              <w:jc w:val="center"/>
              <w:rPr>
                <w:color w:val="000000"/>
              </w:rPr>
            </w:pPr>
            <w:r w:rsidRPr="002636AA">
              <w:rPr>
                <w:color w:val="000000"/>
              </w:rPr>
              <w:t>1.1.1.1.1.3.</w:t>
            </w:r>
          </w:p>
        </w:tc>
        <w:tc>
          <w:tcPr>
            <w:tcW w:w="4106" w:type="dxa"/>
            <w:tcBorders>
              <w:top w:val="nil"/>
              <w:left w:val="nil"/>
              <w:bottom w:val="single" w:sz="4" w:space="0" w:color="auto"/>
              <w:right w:val="single" w:sz="4" w:space="0" w:color="auto"/>
            </w:tcBorders>
            <w:shd w:val="clear" w:color="auto" w:fill="auto"/>
            <w:vAlign w:val="center"/>
            <w:hideMark/>
          </w:tcPr>
          <w:p w14:paraId="5F7E3F88" w14:textId="77777777" w:rsidR="0099088D" w:rsidRPr="002636AA" w:rsidRDefault="0099088D" w:rsidP="0099088D">
            <w:pPr>
              <w:rPr>
                <w:color w:val="000000"/>
              </w:rPr>
            </w:pPr>
            <w:r w:rsidRPr="002636AA">
              <w:rPr>
                <w:color w:val="000000"/>
              </w:rPr>
              <w:t>159-218 мм</w:t>
            </w:r>
          </w:p>
        </w:tc>
        <w:tc>
          <w:tcPr>
            <w:tcW w:w="1775" w:type="dxa"/>
            <w:vMerge/>
            <w:tcBorders>
              <w:left w:val="single" w:sz="4" w:space="0" w:color="auto"/>
              <w:right w:val="single" w:sz="4" w:space="0" w:color="auto"/>
            </w:tcBorders>
            <w:vAlign w:val="center"/>
            <w:hideMark/>
          </w:tcPr>
          <w:p w14:paraId="09582538" w14:textId="77777777" w:rsidR="0099088D" w:rsidRPr="002636AA" w:rsidRDefault="0099088D" w:rsidP="0099088D">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15987C89" w14:textId="77777777" w:rsidR="0099088D" w:rsidRPr="002636AA" w:rsidRDefault="0099088D" w:rsidP="0099088D">
            <w:pPr>
              <w:jc w:val="center"/>
              <w:rPr>
                <w:color w:val="000000"/>
              </w:rPr>
            </w:pPr>
            <w:r w:rsidRPr="002636AA">
              <w:rPr>
                <w:color w:val="000000"/>
              </w:rPr>
              <w:t>42 223</w:t>
            </w:r>
          </w:p>
        </w:tc>
      </w:tr>
      <w:tr w:rsidR="0099088D" w:rsidRPr="002636AA" w14:paraId="4AB4CB4B" w14:textId="77777777" w:rsidTr="0099088D">
        <w:trPr>
          <w:trHeight w:val="276"/>
        </w:trPr>
        <w:tc>
          <w:tcPr>
            <w:tcW w:w="1297" w:type="dxa"/>
            <w:tcBorders>
              <w:top w:val="nil"/>
              <w:left w:val="single" w:sz="4" w:space="0" w:color="auto"/>
              <w:bottom w:val="single" w:sz="4" w:space="0" w:color="auto"/>
              <w:right w:val="single" w:sz="4" w:space="0" w:color="auto"/>
            </w:tcBorders>
            <w:shd w:val="clear" w:color="auto" w:fill="auto"/>
            <w:vAlign w:val="center"/>
          </w:tcPr>
          <w:p w14:paraId="712D2DAF" w14:textId="77777777" w:rsidR="0099088D" w:rsidRPr="002636AA" w:rsidRDefault="0099088D" w:rsidP="0099088D">
            <w:pPr>
              <w:jc w:val="center"/>
              <w:rPr>
                <w:color w:val="000000"/>
              </w:rPr>
            </w:pPr>
            <w:r w:rsidRPr="002636AA">
              <w:rPr>
                <w:color w:val="000000"/>
              </w:rPr>
              <w:t>1.1.1.1.1.4.</w:t>
            </w:r>
          </w:p>
        </w:tc>
        <w:tc>
          <w:tcPr>
            <w:tcW w:w="4106" w:type="dxa"/>
            <w:tcBorders>
              <w:top w:val="nil"/>
              <w:left w:val="nil"/>
              <w:bottom w:val="single" w:sz="4" w:space="0" w:color="auto"/>
              <w:right w:val="single" w:sz="4" w:space="0" w:color="auto"/>
            </w:tcBorders>
            <w:shd w:val="clear" w:color="auto" w:fill="auto"/>
            <w:vAlign w:val="center"/>
          </w:tcPr>
          <w:p w14:paraId="6D3E9672" w14:textId="77777777" w:rsidR="0099088D" w:rsidRPr="002636AA" w:rsidRDefault="0099088D" w:rsidP="0099088D">
            <w:pPr>
              <w:rPr>
                <w:color w:val="000000"/>
              </w:rPr>
            </w:pPr>
            <w:r w:rsidRPr="002636AA">
              <w:rPr>
                <w:color w:val="000000"/>
              </w:rPr>
              <w:t>219-272 мм</w:t>
            </w:r>
          </w:p>
        </w:tc>
        <w:tc>
          <w:tcPr>
            <w:tcW w:w="1775" w:type="dxa"/>
            <w:vMerge/>
            <w:tcBorders>
              <w:left w:val="single" w:sz="4" w:space="0" w:color="auto"/>
              <w:bottom w:val="single" w:sz="4" w:space="0" w:color="auto"/>
              <w:right w:val="single" w:sz="4" w:space="0" w:color="auto"/>
            </w:tcBorders>
            <w:vAlign w:val="center"/>
          </w:tcPr>
          <w:p w14:paraId="151E87A1" w14:textId="77777777" w:rsidR="0099088D" w:rsidRPr="002636AA" w:rsidRDefault="0099088D" w:rsidP="0099088D">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4F45FAD6" w14:textId="77777777" w:rsidR="0099088D" w:rsidRPr="002636AA" w:rsidRDefault="0099088D" w:rsidP="0099088D">
            <w:pPr>
              <w:jc w:val="center"/>
              <w:rPr>
                <w:color w:val="000000"/>
              </w:rPr>
            </w:pPr>
            <w:r w:rsidRPr="002636AA">
              <w:rPr>
                <w:color w:val="000000"/>
              </w:rPr>
              <w:t>50 876</w:t>
            </w:r>
          </w:p>
        </w:tc>
      </w:tr>
      <w:tr w:rsidR="0099088D" w:rsidRPr="002636AA" w14:paraId="192DAC9F" w14:textId="77777777" w:rsidTr="0099088D">
        <w:trPr>
          <w:trHeight w:val="621"/>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4E7D723" w14:textId="77777777" w:rsidR="0099088D" w:rsidRPr="002636AA" w:rsidRDefault="0099088D" w:rsidP="0099088D">
            <w:pPr>
              <w:jc w:val="center"/>
              <w:rPr>
                <w:color w:val="000000"/>
              </w:rPr>
            </w:pPr>
            <w:r w:rsidRPr="002636AA">
              <w:rPr>
                <w:color w:val="000000"/>
              </w:rPr>
              <w:t>1.1.1.1.2.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1D3519DB" w14:textId="77777777" w:rsidR="0099088D" w:rsidRPr="002636AA" w:rsidRDefault="0099088D" w:rsidP="0099088D">
            <w:pPr>
              <w:rPr>
                <w:color w:val="000000"/>
              </w:rPr>
            </w:pPr>
            <w:r w:rsidRPr="002636AA">
              <w:rPr>
                <w:color w:val="000000"/>
              </w:rPr>
              <w:t>с давлением от 0,005 МПа до 1,2 МПа (включительно) в газопроводе, в который осуществляется врезка, наружным диаметром:</w:t>
            </w:r>
          </w:p>
        </w:tc>
      </w:tr>
      <w:tr w:rsidR="0099088D" w:rsidRPr="002636AA" w14:paraId="47E0FC22" w14:textId="77777777" w:rsidTr="0099088D">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843FCDF" w14:textId="77777777" w:rsidR="0099088D" w:rsidRPr="002636AA" w:rsidRDefault="0099088D" w:rsidP="0099088D">
            <w:pPr>
              <w:jc w:val="center"/>
              <w:rPr>
                <w:color w:val="000000"/>
              </w:rPr>
            </w:pPr>
            <w:r w:rsidRPr="002636AA">
              <w:rPr>
                <w:color w:val="000000"/>
              </w:rPr>
              <w:t>1.1.1.1.2.1.</w:t>
            </w:r>
          </w:p>
        </w:tc>
        <w:tc>
          <w:tcPr>
            <w:tcW w:w="4106" w:type="dxa"/>
            <w:tcBorders>
              <w:top w:val="nil"/>
              <w:left w:val="nil"/>
              <w:bottom w:val="single" w:sz="4" w:space="0" w:color="auto"/>
              <w:right w:val="single" w:sz="4" w:space="0" w:color="auto"/>
            </w:tcBorders>
            <w:shd w:val="clear" w:color="auto" w:fill="auto"/>
            <w:vAlign w:val="center"/>
            <w:hideMark/>
          </w:tcPr>
          <w:p w14:paraId="3348B7D3" w14:textId="77777777" w:rsidR="0099088D" w:rsidRPr="002636AA" w:rsidRDefault="0099088D" w:rsidP="0099088D">
            <w:r w:rsidRPr="002636AA">
              <w:t>до 100 мм</w:t>
            </w:r>
          </w:p>
        </w:tc>
        <w:tc>
          <w:tcPr>
            <w:tcW w:w="1775" w:type="dxa"/>
            <w:vMerge w:val="restart"/>
            <w:tcBorders>
              <w:top w:val="nil"/>
              <w:left w:val="single" w:sz="4" w:space="0" w:color="auto"/>
              <w:bottom w:val="single" w:sz="4" w:space="0" w:color="auto"/>
              <w:right w:val="single" w:sz="4" w:space="0" w:color="auto"/>
            </w:tcBorders>
            <w:shd w:val="clear" w:color="auto" w:fill="auto"/>
            <w:vAlign w:val="center"/>
            <w:hideMark/>
          </w:tcPr>
          <w:p w14:paraId="07C0F811" w14:textId="77777777" w:rsidR="0099088D" w:rsidRPr="002636AA" w:rsidRDefault="0099088D" w:rsidP="0099088D">
            <w:pPr>
              <w:jc w:val="center"/>
            </w:pPr>
            <w:r w:rsidRPr="002636AA">
              <w:rPr>
                <w:color w:val="000000"/>
              </w:rPr>
              <w:t>руб.</w:t>
            </w:r>
            <w:r w:rsidRPr="002636AA">
              <w:rPr>
                <w:sz w:val="20"/>
                <w:szCs w:val="20"/>
              </w:rPr>
              <w:t xml:space="preserve"> </w:t>
            </w:r>
            <w:r w:rsidRPr="002636AA">
              <w:rPr>
                <w:color w:val="000000"/>
              </w:rPr>
              <w:t>за 1 присоединение</w:t>
            </w: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10F9528F" w14:textId="77777777" w:rsidR="0099088D" w:rsidRPr="002636AA" w:rsidRDefault="0099088D" w:rsidP="0099088D">
            <w:pPr>
              <w:jc w:val="center"/>
              <w:rPr>
                <w:color w:val="000000"/>
              </w:rPr>
            </w:pPr>
            <w:r w:rsidRPr="002636AA">
              <w:rPr>
                <w:color w:val="000000"/>
              </w:rPr>
              <w:t>20 192</w:t>
            </w:r>
          </w:p>
        </w:tc>
      </w:tr>
      <w:tr w:rsidR="0099088D" w:rsidRPr="002636AA" w14:paraId="57A43D33" w14:textId="77777777" w:rsidTr="0099088D">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D35896F" w14:textId="77777777" w:rsidR="0099088D" w:rsidRPr="002636AA" w:rsidRDefault="0099088D" w:rsidP="0099088D">
            <w:pPr>
              <w:jc w:val="center"/>
              <w:rPr>
                <w:color w:val="000000"/>
              </w:rPr>
            </w:pPr>
            <w:r w:rsidRPr="002636AA">
              <w:rPr>
                <w:color w:val="000000"/>
              </w:rPr>
              <w:t>1.1.1.1.2.2.</w:t>
            </w:r>
          </w:p>
        </w:tc>
        <w:tc>
          <w:tcPr>
            <w:tcW w:w="4106" w:type="dxa"/>
            <w:tcBorders>
              <w:top w:val="nil"/>
              <w:left w:val="nil"/>
              <w:bottom w:val="single" w:sz="4" w:space="0" w:color="auto"/>
              <w:right w:val="single" w:sz="4" w:space="0" w:color="auto"/>
            </w:tcBorders>
            <w:shd w:val="clear" w:color="auto" w:fill="auto"/>
            <w:vAlign w:val="center"/>
            <w:hideMark/>
          </w:tcPr>
          <w:p w14:paraId="29E61C13" w14:textId="77777777" w:rsidR="0099088D" w:rsidRPr="002636AA" w:rsidRDefault="0099088D" w:rsidP="0099088D">
            <w:r w:rsidRPr="002636AA">
              <w:t>101-158 мм</w:t>
            </w:r>
          </w:p>
        </w:tc>
        <w:tc>
          <w:tcPr>
            <w:tcW w:w="1775" w:type="dxa"/>
            <w:vMerge/>
            <w:tcBorders>
              <w:top w:val="nil"/>
              <w:left w:val="single" w:sz="4" w:space="0" w:color="auto"/>
              <w:bottom w:val="single" w:sz="4" w:space="0" w:color="auto"/>
              <w:right w:val="single" w:sz="4" w:space="0" w:color="auto"/>
            </w:tcBorders>
            <w:vAlign w:val="center"/>
            <w:hideMark/>
          </w:tcPr>
          <w:p w14:paraId="7BCFD9F1" w14:textId="77777777" w:rsidR="0099088D" w:rsidRPr="002636AA" w:rsidRDefault="0099088D" w:rsidP="0099088D"/>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6FE8F8F8" w14:textId="77777777" w:rsidR="0099088D" w:rsidRPr="002636AA" w:rsidRDefault="0099088D" w:rsidP="0099088D">
            <w:pPr>
              <w:jc w:val="center"/>
              <w:rPr>
                <w:color w:val="000000"/>
              </w:rPr>
            </w:pPr>
            <w:r w:rsidRPr="002636AA">
              <w:rPr>
                <w:color w:val="000000"/>
              </w:rPr>
              <w:t>30 004</w:t>
            </w:r>
          </w:p>
        </w:tc>
      </w:tr>
      <w:tr w:rsidR="0099088D" w:rsidRPr="002636AA" w14:paraId="483C3718" w14:textId="77777777" w:rsidTr="0099088D">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2CCB826" w14:textId="77777777" w:rsidR="0099088D" w:rsidRPr="002636AA" w:rsidRDefault="0099088D" w:rsidP="0099088D">
            <w:pPr>
              <w:jc w:val="center"/>
              <w:rPr>
                <w:color w:val="000000"/>
              </w:rPr>
            </w:pPr>
            <w:r w:rsidRPr="002636AA">
              <w:rPr>
                <w:color w:val="000000"/>
              </w:rPr>
              <w:t>1.1.1.1.2.3.</w:t>
            </w:r>
          </w:p>
        </w:tc>
        <w:tc>
          <w:tcPr>
            <w:tcW w:w="4106" w:type="dxa"/>
            <w:tcBorders>
              <w:top w:val="nil"/>
              <w:left w:val="nil"/>
              <w:bottom w:val="single" w:sz="4" w:space="0" w:color="auto"/>
              <w:right w:val="single" w:sz="4" w:space="0" w:color="auto"/>
            </w:tcBorders>
            <w:shd w:val="clear" w:color="auto" w:fill="auto"/>
            <w:vAlign w:val="center"/>
            <w:hideMark/>
          </w:tcPr>
          <w:p w14:paraId="12C175DB" w14:textId="77777777" w:rsidR="0099088D" w:rsidRPr="002636AA" w:rsidRDefault="0099088D" w:rsidP="0099088D">
            <w:r w:rsidRPr="002636AA">
              <w:t>159-218 мм</w:t>
            </w:r>
          </w:p>
        </w:tc>
        <w:tc>
          <w:tcPr>
            <w:tcW w:w="1775" w:type="dxa"/>
            <w:vMerge/>
            <w:tcBorders>
              <w:top w:val="nil"/>
              <w:left w:val="single" w:sz="4" w:space="0" w:color="auto"/>
              <w:bottom w:val="single" w:sz="4" w:space="0" w:color="auto"/>
              <w:right w:val="single" w:sz="4" w:space="0" w:color="auto"/>
            </w:tcBorders>
            <w:vAlign w:val="center"/>
            <w:hideMark/>
          </w:tcPr>
          <w:p w14:paraId="22D30330" w14:textId="77777777" w:rsidR="0099088D" w:rsidRPr="002636AA" w:rsidRDefault="0099088D" w:rsidP="0099088D"/>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142E1DDC" w14:textId="77777777" w:rsidR="0099088D" w:rsidRPr="002636AA" w:rsidRDefault="0099088D" w:rsidP="0099088D">
            <w:pPr>
              <w:jc w:val="center"/>
              <w:rPr>
                <w:color w:val="000000"/>
              </w:rPr>
            </w:pPr>
            <w:r w:rsidRPr="002636AA">
              <w:rPr>
                <w:color w:val="000000"/>
              </w:rPr>
              <w:t>40 239</w:t>
            </w:r>
          </w:p>
        </w:tc>
      </w:tr>
      <w:tr w:rsidR="0099088D" w:rsidRPr="002636AA" w14:paraId="2548C811" w14:textId="77777777" w:rsidTr="0099088D">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91A7A12" w14:textId="77777777" w:rsidR="0099088D" w:rsidRPr="002636AA" w:rsidRDefault="0099088D" w:rsidP="0099088D">
            <w:pPr>
              <w:jc w:val="center"/>
              <w:rPr>
                <w:color w:val="000000"/>
              </w:rPr>
            </w:pPr>
            <w:r w:rsidRPr="002636AA">
              <w:rPr>
                <w:color w:val="000000"/>
              </w:rPr>
              <w:t>1.1.1.1.2.4.</w:t>
            </w:r>
          </w:p>
        </w:tc>
        <w:tc>
          <w:tcPr>
            <w:tcW w:w="4106" w:type="dxa"/>
            <w:tcBorders>
              <w:top w:val="nil"/>
              <w:left w:val="nil"/>
              <w:bottom w:val="single" w:sz="4" w:space="0" w:color="auto"/>
              <w:right w:val="single" w:sz="4" w:space="0" w:color="auto"/>
            </w:tcBorders>
            <w:shd w:val="clear" w:color="auto" w:fill="auto"/>
            <w:vAlign w:val="center"/>
            <w:hideMark/>
          </w:tcPr>
          <w:p w14:paraId="17C9E307" w14:textId="77777777" w:rsidR="0099088D" w:rsidRPr="002636AA" w:rsidRDefault="0099088D" w:rsidP="0099088D">
            <w:r w:rsidRPr="002636AA">
              <w:t>219-272 мм</w:t>
            </w:r>
          </w:p>
        </w:tc>
        <w:tc>
          <w:tcPr>
            <w:tcW w:w="1775" w:type="dxa"/>
            <w:vMerge/>
            <w:tcBorders>
              <w:top w:val="nil"/>
              <w:left w:val="single" w:sz="4" w:space="0" w:color="auto"/>
              <w:bottom w:val="single" w:sz="4" w:space="0" w:color="auto"/>
              <w:right w:val="single" w:sz="4" w:space="0" w:color="auto"/>
            </w:tcBorders>
            <w:vAlign w:val="center"/>
            <w:hideMark/>
          </w:tcPr>
          <w:p w14:paraId="371738E5" w14:textId="77777777" w:rsidR="0099088D" w:rsidRPr="002636AA" w:rsidRDefault="0099088D" w:rsidP="0099088D"/>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10EE6942" w14:textId="77777777" w:rsidR="0099088D" w:rsidRPr="002636AA" w:rsidRDefault="0099088D" w:rsidP="0099088D">
            <w:pPr>
              <w:jc w:val="center"/>
              <w:rPr>
                <w:color w:val="000000"/>
              </w:rPr>
            </w:pPr>
            <w:r w:rsidRPr="002636AA">
              <w:rPr>
                <w:color w:val="000000"/>
              </w:rPr>
              <w:t>40 239</w:t>
            </w:r>
          </w:p>
        </w:tc>
      </w:tr>
      <w:tr w:rsidR="0099088D" w:rsidRPr="002636AA" w14:paraId="2CDCFEC4" w14:textId="77777777" w:rsidTr="0099088D">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4300BC4" w14:textId="77777777" w:rsidR="0099088D" w:rsidRPr="002636AA" w:rsidRDefault="0099088D" w:rsidP="0099088D">
            <w:pPr>
              <w:jc w:val="center"/>
              <w:rPr>
                <w:color w:val="000000"/>
              </w:rPr>
            </w:pPr>
            <w:r w:rsidRPr="002636AA">
              <w:rPr>
                <w:color w:val="000000"/>
              </w:rPr>
              <w:t>1.1.1.1.2.5.</w:t>
            </w:r>
          </w:p>
        </w:tc>
        <w:tc>
          <w:tcPr>
            <w:tcW w:w="4106" w:type="dxa"/>
            <w:tcBorders>
              <w:top w:val="nil"/>
              <w:left w:val="nil"/>
              <w:bottom w:val="single" w:sz="4" w:space="0" w:color="auto"/>
              <w:right w:val="single" w:sz="4" w:space="0" w:color="auto"/>
            </w:tcBorders>
            <w:shd w:val="clear" w:color="auto" w:fill="auto"/>
            <w:vAlign w:val="center"/>
            <w:hideMark/>
          </w:tcPr>
          <w:p w14:paraId="72404501" w14:textId="77777777" w:rsidR="0099088D" w:rsidRPr="002636AA" w:rsidRDefault="0099088D" w:rsidP="0099088D">
            <w:r w:rsidRPr="002636AA">
              <w:t>273-324 мм</w:t>
            </w:r>
          </w:p>
        </w:tc>
        <w:tc>
          <w:tcPr>
            <w:tcW w:w="1775" w:type="dxa"/>
            <w:vMerge/>
            <w:tcBorders>
              <w:top w:val="nil"/>
              <w:left w:val="single" w:sz="4" w:space="0" w:color="auto"/>
              <w:bottom w:val="single" w:sz="4" w:space="0" w:color="auto"/>
              <w:right w:val="single" w:sz="4" w:space="0" w:color="auto"/>
            </w:tcBorders>
            <w:vAlign w:val="center"/>
            <w:hideMark/>
          </w:tcPr>
          <w:p w14:paraId="26A4194C" w14:textId="77777777" w:rsidR="0099088D" w:rsidRPr="002636AA" w:rsidRDefault="0099088D" w:rsidP="0099088D"/>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006B3BAD" w14:textId="77777777" w:rsidR="0099088D" w:rsidRPr="002636AA" w:rsidRDefault="0099088D" w:rsidP="0099088D">
            <w:pPr>
              <w:jc w:val="center"/>
              <w:rPr>
                <w:color w:val="000000"/>
              </w:rPr>
            </w:pPr>
            <w:r w:rsidRPr="002636AA">
              <w:rPr>
                <w:color w:val="000000"/>
              </w:rPr>
              <w:t>55 792</w:t>
            </w:r>
          </w:p>
        </w:tc>
      </w:tr>
      <w:tr w:rsidR="0099088D" w:rsidRPr="002636AA" w14:paraId="74A86DA5" w14:textId="77777777" w:rsidTr="0099088D">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5267168" w14:textId="77777777" w:rsidR="0099088D" w:rsidRPr="002636AA" w:rsidRDefault="0099088D" w:rsidP="0099088D">
            <w:pPr>
              <w:jc w:val="center"/>
              <w:rPr>
                <w:color w:val="000000"/>
              </w:rPr>
            </w:pPr>
            <w:r w:rsidRPr="002636AA">
              <w:rPr>
                <w:color w:val="000000"/>
              </w:rPr>
              <w:t>1.1.1.1.2.6.</w:t>
            </w:r>
          </w:p>
        </w:tc>
        <w:tc>
          <w:tcPr>
            <w:tcW w:w="4106" w:type="dxa"/>
            <w:tcBorders>
              <w:top w:val="nil"/>
              <w:left w:val="nil"/>
              <w:bottom w:val="single" w:sz="4" w:space="0" w:color="auto"/>
              <w:right w:val="single" w:sz="4" w:space="0" w:color="auto"/>
            </w:tcBorders>
            <w:shd w:val="clear" w:color="auto" w:fill="auto"/>
            <w:vAlign w:val="center"/>
            <w:hideMark/>
          </w:tcPr>
          <w:p w14:paraId="1ED97DB6" w14:textId="77777777" w:rsidR="0099088D" w:rsidRPr="002636AA" w:rsidRDefault="0099088D" w:rsidP="0099088D">
            <w:r w:rsidRPr="002636AA">
              <w:t>325-425 мм</w:t>
            </w:r>
          </w:p>
        </w:tc>
        <w:tc>
          <w:tcPr>
            <w:tcW w:w="1775" w:type="dxa"/>
            <w:vMerge/>
            <w:tcBorders>
              <w:top w:val="nil"/>
              <w:left w:val="single" w:sz="4" w:space="0" w:color="auto"/>
              <w:bottom w:val="single" w:sz="4" w:space="0" w:color="auto"/>
              <w:right w:val="single" w:sz="4" w:space="0" w:color="auto"/>
            </w:tcBorders>
            <w:vAlign w:val="center"/>
            <w:hideMark/>
          </w:tcPr>
          <w:p w14:paraId="18B85F90" w14:textId="77777777" w:rsidR="0099088D" w:rsidRPr="002636AA" w:rsidRDefault="0099088D" w:rsidP="0099088D"/>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7436C820" w14:textId="77777777" w:rsidR="0099088D" w:rsidRPr="002636AA" w:rsidRDefault="0099088D" w:rsidP="0099088D">
            <w:pPr>
              <w:jc w:val="center"/>
              <w:rPr>
                <w:color w:val="000000"/>
              </w:rPr>
            </w:pPr>
            <w:r w:rsidRPr="002636AA">
              <w:rPr>
                <w:color w:val="000000"/>
              </w:rPr>
              <w:t>58 133</w:t>
            </w:r>
          </w:p>
        </w:tc>
      </w:tr>
      <w:tr w:rsidR="0099088D" w:rsidRPr="002636AA" w14:paraId="47064DC9" w14:textId="77777777" w:rsidTr="0099088D">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C833877" w14:textId="77777777" w:rsidR="0099088D" w:rsidRPr="002636AA" w:rsidRDefault="0099088D" w:rsidP="0099088D">
            <w:pPr>
              <w:jc w:val="center"/>
              <w:rPr>
                <w:color w:val="000000"/>
              </w:rPr>
            </w:pPr>
            <w:r w:rsidRPr="002636AA">
              <w:rPr>
                <w:color w:val="000000"/>
              </w:rPr>
              <w:t>1.1.1.1.2.7.</w:t>
            </w:r>
          </w:p>
        </w:tc>
        <w:tc>
          <w:tcPr>
            <w:tcW w:w="4106" w:type="dxa"/>
            <w:tcBorders>
              <w:top w:val="nil"/>
              <w:left w:val="nil"/>
              <w:bottom w:val="single" w:sz="4" w:space="0" w:color="auto"/>
              <w:right w:val="single" w:sz="4" w:space="0" w:color="auto"/>
            </w:tcBorders>
            <w:shd w:val="clear" w:color="auto" w:fill="auto"/>
            <w:vAlign w:val="center"/>
            <w:hideMark/>
          </w:tcPr>
          <w:p w14:paraId="511A323A" w14:textId="77777777" w:rsidR="0099088D" w:rsidRPr="002636AA" w:rsidRDefault="0099088D" w:rsidP="0099088D">
            <w:r w:rsidRPr="002636AA">
              <w:t>426-529 мм</w:t>
            </w:r>
          </w:p>
        </w:tc>
        <w:tc>
          <w:tcPr>
            <w:tcW w:w="1775" w:type="dxa"/>
            <w:vMerge/>
            <w:tcBorders>
              <w:top w:val="nil"/>
              <w:left w:val="single" w:sz="4" w:space="0" w:color="auto"/>
              <w:bottom w:val="single" w:sz="4" w:space="0" w:color="auto"/>
              <w:right w:val="single" w:sz="4" w:space="0" w:color="auto"/>
            </w:tcBorders>
            <w:vAlign w:val="center"/>
            <w:hideMark/>
          </w:tcPr>
          <w:p w14:paraId="7505C4CB" w14:textId="77777777" w:rsidR="0099088D" w:rsidRPr="002636AA" w:rsidRDefault="0099088D" w:rsidP="0099088D"/>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795B84E5" w14:textId="77777777" w:rsidR="0099088D" w:rsidRPr="002636AA" w:rsidRDefault="0099088D" w:rsidP="0099088D">
            <w:pPr>
              <w:jc w:val="center"/>
              <w:rPr>
                <w:color w:val="000000"/>
              </w:rPr>
            </w:pPr>
            <w:r w:rsidRPr="002636AA">
              <w:rPr>
                <w:color w:val="000000"/>
              </w:rPr>
              <w:t>58 355</w:t>
            </w:r>
          </w:p>
        </w:tc>
      </w:tr>
      <w:tr w:rsidR="0099088D" w:rsidRPr="002636AA" w14:paraId="3C247C66" w14:textId="77777777" w:rsidTr="0099088D">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7E2F6F4" w14:textId="77777777" w:rsidR="0099088D" w:rsidRPr="002636AA" w:rsidRDefault="0099088D" w:rsidP="0099088D">
            <w:pPr>
              <w:jc w:val="center"/>
              <w:rPr>
                <w:color w:val="000000"/>
              </w:rPr>
            </w:pPr>
            <w:r w:rsidRPr="002636AA">
              <w:rPr>
                <w:color w:val="000000"/>
              </w:rPr>
              <w:t>1.1.1.1.2.8.</w:t>
            </w:r>
          </w:p>
        </w:tc>
        <w:tc>
          <w:tcPr>
            <w:tcW w:w="4106" w:type="dxa"/>
            <w:tcBorders>
              <w:top w:val="nil"/>
              <w:left w:val="nil"/>
              <w:bottom w:val="single" w:sz="4" w:space="0" w:color="auto"/>
              <w:right w:val="single" w:sz="4" w:space="0" w:color="auto"/>
            </w:tcBorders>
            <w:shd w:val="clear" w:color="auto" w:fill="auto"/>
            <w:vAlign w:val="center"/>
            <w:hideMark/>
          </w:tcPr>
          <w:p w14:paraId="3928CDCD" w14:textId="77777777" w:rsidR="0099088D" w:rsidRPr="002636AA" w:rsidRDefault="0099088D" w:rsidP="0099088D">
            <w:r w:rsidRPr="002636AA">
              <w:t>530 мм и выше</w:t>
            </w:r>
          </w:p>
        </w:tc>
        <w:tc>
          <w:tcPr>
            <w:tcW w:w="1775" w:type="dxa"/>
            <w:vMerge/>
            <w:tcBorders>
              <w:top w:val="nil"/>
              <w:left w:val="single" w:sz="4" w:space="0" w:color="auto"/>
              <w:bottom w:val="single" w:sz="4" w:space="0" w:color="auto"/>
              <w:right w:val="single" w:sz="4" w:space="0" w:color="auto"/>
            </w:tcBorders>
            <w:vAlign w:val="center"/>
            <w:hideMark/>
          </w:tcPr>
          <w:p w14:paraId="6D6BFF2C" w14:textId="77777777" w:rsidR="0099088D" w:rsidRPr="002636AA" w:rsidRDefault="0099088D" w:rsidP="0099088D"/>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632922AF" w14:textId="77777777" w:rsidR="0099088D" w:rsidRPr="002636AA" w:rsidRDefault="0099088D" w:rsidP="0099088D">
            <w:pPr>
              <w:jc w:val="center"/>
              <w:rPr>
                <w:color w:val="000000"/>
              </w:rPr>
            </w:pPr>
            <w:r w:rsidRPr="002636AA">
              <w:rPr>
                <w:color w:val="000000"/>
              </w:rPr>
              <w:t>58 355</w:t>
            </w:r>
          </w:p>
        </w:tc>
      </w:tr>
      <w:tr w:rsidR="0099088D" w:rsidRPr="002636AA" w14:paraId="325AD73A" w14:textId="77777777" w:rsidTr="0099088D">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EC53350" w14:textId="77777777" w:rsidR="0099088D" w:rsidRPr="002636AA" w:rsidRDefault="0099088D" w:rsidP="0099088D">
            <w:pPr>
              <w:jc w:val="center"/>
              <w:rPr>
                <w:color w:val="000000"/>
              </w:rPr>
            </w:pPr>
            <w:r w:rsidRPr="002636AA">
              <w:rPr>
                <w:color w:val="000000"/>
              </w:rPr>
              <w:t>1.1.1.2.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4E4E713C" w14:textId="77777777" w:rsidR="0099088D" w:rsidRPr="002636AA" w:rsidRDefault="0099088D" w:rsidP="0099088D">
            <w:r w:rsidRPr="002636AA">
              <w:t>подземного типа прокладки:</w:t>
            </w:r>
          </w:p>
        </w:tc>
      </w:tr>
      <w:tr w:rsidR="0099088D" w:rsidRPr="002636AA" w14:paraId="1C8FF67E" w14:textId="77777777" w:rsidTr="0099088D">
        <w:trPr>
          <w:trHeight w:val="276"/>
        </w:trPr>
        <w:tc>
          <w:tcPr>
            <w:tcW w:w="1297" w:type="dxa"/>
            <w:tcBorders>
              <w:top w:val="nil"/>
              <w:left w:val="single" w:sz="4" w:space="0" w:color="auto"/>
              <w:bottom w:val="single" w:sz="4" w:space="0" w:color="auto"/>
              <w:right w:val="single" w:sz="4" w:space="0" w:color="auto"/>
            </w:tcBorders>
            <w:shd w:val="clear" w:color="auto" w:fill="auto"/>
            <w:vAlign w:val="center"/>
          </w:tcPr>
          <w:p w14:paraId="61FF8A09" w14:textId="77777777" w:rsidR="0099088D" w:rsidRPr="002636AA" w:rsidRDefault="0099088D" w:rsidP="0099088D">
            <w:pPr>
              <w:jc w:val="center"/>
              <w:rPr>
                <w:color w:val="000000"/>
              </w:rPr>
            </w:pPr>
            <w:r w:rsidRPr="002636AA">
              <w:rPr>
                <w:color w:val="000000"/>
              </w:rPr>
              <w:t>1.1.1.2.1.</w:t>
            </w:r>
          </w:p>
        </w:tc>
        <w:tc>
          <w:tcPr>
            <w:tcW w:w="8347" w:type="dxa"/>
            <w:gridSpan w:val="3"/>
            <w:tcBorders>
              <w:top w:val="single" w:sz="4" w:space="0" w:color="auto"/>
              <w:left w:val="nil"/>
              <w:bottom w:val="single" w:sz="4" w:space="0" w:color="auto"/>
              <w:right w:val="single" w:sz="4" w:space="0" w:color="auto"/>
            </w:tcBorders>
            <w:shd w:val="clear" w:color="auto" w:fill="auto"/>
            <w:vAlign w:val="center"/>
          </w:tcPr>
          <w:p w14:paraId="235F5D6D" w14:textId="77777777" w:rsidR="0099088D" w:rsidRPr="002636AA" w:rsidRDefault="0099088D" w:rsidP="0099088D">
            <w:pPr>
              <w:rPr>
                <w:color w:val="000000"/>
              </w:rPr>
            </w:pPr>
            <w:r w:rsidRPr="002636AA">
              <w:rPr>
                <w:color w:val="000000"/>
              </w:rPr>
              <w:t>с давлением до 0,005 МПа (включительно) в газопроводе, в который осуществляется врезка, наружным диаметром:</w:t>
            </w:r>
          </w:p>
        </w:tc>
      </w:tr>
      <w:tr w:rsidR="0099088D" w:rsidRPr="002636AA" w14:paraId="7AD4691F" w14:textId="77777777" w:rsidTr="0099088D">
        <w:trPr>
          <w:trHeight w:val="276"/>
        </w:trPr>
        <w:tc>
          <w:tcPr>
            <w:tcW w:w="1297" w:type="dxa"/>
            <w:tcBorders>
              <w:top w:val="nil"/>
              <w:left w:val="single" w:sz="4" w:space="0" w:color="auto"/>
              <w:bottom w:val="single" w:sz="4" w:space="0" w:color="auto"/>
              <w:right w:val="single" w:sz="4" w:space="0" w:color="auto"/>
            </w:tcBorders>
            <w:shd w:val="clear" w:color="auto" w:fill="auto"/>
            <w:vAlign w:val="center"/>
          </w:tcPr>
          <w:p w14:paraId="59EFF5B8" w14:textId="77777777" w:rsidR="0099088D" w:rsidRPr="002636AA" w:rsidRDefault="0099088D" w:rsidP="0099088D">
            <w:pPr>
              <w:jc w:val="center"/>
              <w:rPr>
                <w:color w:val="000000"/>
              </w:rPr>
            </w:pPr>
            <w:r w:rsidRPr="002636AA">
              <w:rPr>
                <w:color w:val="000000"/>
              </w:rPr>
              <w:t>1.1.1.2.1.1.</w:t>
            </w:r>
          </w:p>
        </w:tc>
        <w:tc>
          <w:tcPr>
            <w:tcW w:w="4106" w:type="dxa"/>
            <w:tcBorders>
              <w:top w:val="nil"/>
              <w:left w:val="nil"/>
              <w:bottom w:val="single" w:sz="4" w:space="0" w:color="auto"/>
              <w:right w:val="single" w:sz="4" w:space="0" w:color="auto"/>
            </w:tcBorders>
            <w:shd w:val="clear" w:color="auto" w:fill="auto"/>
            <w:vAlign w:val="center"/>
          </w:tcPr>
          <w:p w14:paraId="65B28BA7" w14:textId="77777777" w:rsidR="0099088D" w:rsidRPr="002636AA" w:rsidRDefault="0099088D" w:rsidP="0099088D">
            <w:pPr>
              <w:rPr>
                <w:color w:val="000000"/>
              </w:rPr>
            </w:pPr>
            <w:r w:rsidRPr="002636AA">
              <w:rPr>
                <w:color w:val="000000"/>
              </w:rPr>
              <w:t>до 100 мм</w:t>
            </w:r>
          </w:p>
        </w:tc>
        <w:tc>
          <w:tcPr>
            <w:tcW w:w="1775" w:type="dxa"/>
            <w:vMerge w:val="restart"/>
            <w:tcBorders>
              <w:top w:val="single" w:sz="4" w:space="0" w:color="auto"/>
              <w:left w:val="nil"/>
              <w:right w:val="single" w:sz="4" w:space="0" w:color="auto"/>
            </w:tcBorders>
            <w:shd w:val="clear" w:color="auto" w:fill="auto"/>
            <w:vAlign w:val="center"/>
          </w:tcPr>
          <w:p w14:paraId="0DA47085" w14:textId="77777777" w:rsidR="0099088D" w:rsidRPr="002636AA" w:rsidRDefault="0099088D" w:rsidP="0099088D">
            <w:pPr>
              <w:jc w:val="center"/>
            </w:pPr>
            <w:r w:rsidRPr="002636AA">
              <w:rPr>
                <w:color w:val="000000"/>
              </w:rPr>
              <w:t>руб.</w:t>
            </w:r>
            <w:r w:rsidRPr="002636AA">
              <w:rPr>
                <w:szCs w:val="20"/>
              </w:rPr>
              <w:t xml:space="preserve"> </w:t>
            </w:r>
            <w:r w:rsidRPr="002636AA">
              <w:rPr>
                <w:color w:val="000000"/>
              </w:rPr>
              <w:t>за 1 присоединение</w:t>
            </w:r>
          </w:p>
        </w:tc>
        <w:tc>
          <w:tcPr>
            <w:tcW w:w="2466" w:type="dxa"/>
            <w:tcBorders>
              <w:top w:val="single" w:sz="4" w:space="0" w:color="auto"/>
              <w:left w:val="nil"/>
              <w:bottom w:val="single" w:sz="4" w:space="0" w:color="auto"/>
              <w:right w:val="single" w:sz="4" w:space="0" w:color="auto"/>
            </w:tcBorders>
            <w:shd w:val="clear" w:color="auto" w:fill="auto"/>
            <w:vAlign w:val="center"/>
          </w:tcPr>
          <w:p w14:paraId="787D528A" w14:textId="77777777" w:rsidR="0099088D" w:rsidRPr="002636AA" w:rsidRDefault="0099088D" w:rsidP="0099088D">
            <w:pPr>
              <w:jc w:val="center"/>
              <w:rPr>
                <w:color w:val="000000"/>
              </w:rPr>
            </w:pPr>
            <w:r w:rsidRPr="002636AA">
              <w:rPr>
                <w:color w:val="000000"/>
              </w:rPr>
              <w:t>12 604</w:t>
            </w:r>
          </w:p>
        </w:tc>
      </w:tr>
      <w:tr w:rsidR="0099088D" w:rsidRPr="002636AA" w14:paraId="5717C6D1" w14:textId="77777777" w:rsidTr="0099088D">
        <w:trPr>
          <w:trHeight w:val="276"/>
        </w:trPr>
        <w:tc>
          <w:tcPr>
            <w:tcW w:w="1297" w:type="dxa"/>
            <w:tcBorders>
              <w:top w:val="nil"/>
              <w:left w:val="single" w:sz="4" w:space="0" w:color="auto"/>
              <w:bottom w:val="single" w:sz="4" w:space="0" w:color="auto"/>
              <w:right w:val="single" w:sz="4" w:space="0" w:color="auto"/>
            </w:tcBorders>
            <w:shd w:val="clear" w:color="auto" w:fill="auto"/>
            <w:vAlign w:val="center"/>
          </w:tcPr>
          <w:p w14:paraId="41D1C72B" w14:textId="77777777" w:rsidR="0099088D" w:rsidRPr="002636AA" w:rsidRDefault="0099088D" w:rsidP="0099088D">
            <w:pPr>
              <w:jc w:val="center"/>
              <w:rPr>
                <w:color w:val="000000"/>
              </w:rPr>
            </w:pPr>
            <w:r w:rsidRPr="002636AA">
              <w:rPr>
                <w:color w:val="000000"/>
              </w:rPr>
              <w:t>1.1.1.2.1.2.</w:t>
            </w:r>
          </w:p>
        </w:tc>
        <w:tc>
          <w:tcPr>
            <w:tcW w:w="4106" w:type="dxa"/>
            <w:tcBorders>
              <w:top w:val="nil"/>
              <w:left w:val="nil"/>
              <w:bottom w:val="single" w:sz="4" w:space="0" w:color="auto"/>
              <w:right w:val="single" w:sz="4" w:space="0" w:color="auto"/>
            </w:tcBorders>
            <w:shd w:val="clear" w:color="auto" w:fill="auto"/>
            <w:vAlign w:val="center"/>
          </w:tcPr>
          <w:p w14:paraId="27D28EAB" w14:textId="77777777" w:rsidR="0099088D" w:rsidRPr="002636AA" w:rsidRDefault="0099088D" w:rsidP="0099088D">
            <w:pPr>
              <w:rPr>
                <w:color w:val="000000"/>
              </w:rPr>
            </w:pPr>
            <w:r w:rsidRPr="002636AA">
              <w:rPr>
                <w:color w:val="000000"/>
              </w:rPr>
              <w:t>108-158 мм</w:t>
            </w:r>
          </w:p>
        </w:tc>
        <w:tc>
          <w:tcPr>
            <w:tcW w:w="1775" w:type="dxa"/>
            <w:vMerge/>
            <w:tcBorders>
              <w:left w:val="nil"/>
              <w:bottom w:val="single" w:sz="4" w:space="0" w:color="auto"/>
              <w:right w:val="single" w:sz="4" w:space="0" w:color="auto"/>
            </w:tcBorders>
            <w:shd w:val="clear" w:color="auto" w:fill="auto"/>
            <w:vAlign w:val="center"/>
          </w:tcPr>
          <w:p w14:paraId="53B80BFD" w14:textId="77777777" w:rsidR="0099088D" w:rsidRPr="002636AA" w:rsidRDefault="0099088D" w:rsidP="0099088D"/>
        </w:tc>
        <w:tc>
          <w:tcPr>
            <w:tcW w:w="2466" w:type="dxa"/>
            <w:tcBorders>
              <w:top w:val="single" w:sz="4" w:space="0" w:color="auto"/>
              <w:left w:val="nil"/>
              <w:bottom w:val="single" w:sz="4" w:space="0" w:color="auto"/>
              <w:right w:val="single" w:sz="4" w:space="0" w:color="auto"/>
            </w:tcBorders>
            <w:shd w:val="clear" w:color="auto" w:fill="auto"/>
            <w:vAlign w:val="center"/>
          </w:tcPr>
          <w:p w14:paraId="56B0C8E4" w14:textId="77777777" w:rsidR="0099088D" w:rsidRPr="002636AA" w:rsidRDefault="0099088D" w:rsidP="0099088D">
            <w:pPr>
              <w:jc w:val="center"/>
              <w:rPr>
                <w:color w:val="000000"/>
              </w:rPr>
            </w:pPr>
            <w:r w:rsidRPr="002636AA">
              <w:rPr>
                <w:color w:val="000000"/>
              </w:rPr>
              <w:t>12 604</w:t>
            </w:r>
          </w:p>
        </w:tc>
      </w:tr>
      <w:tr w:rsidR="0099088D" w:rsidRPr="002636AA" w14:paraId="5C8389B4" w14:textId="77777777" w:rsidTr="0099088D">
        <w:trPr>
          <w:trHeight w:val="83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63320A8" w14:textId="77777777" w:rsidR="0099088D" w:rsidRPr="002636AA" w:rsidRDefault="0099088D" w:rsidP="0099088D">
            <w:pPr>
              <w:jc w:val="center"/>
              <w:rPr>
                <w:color w:val="000000"/>
              </w:rPr>
            </w:pPr>
            <w:r w:rsidRPr="002636AA">
              <w:rPr>
                <w:color w:val="000000"/>
              </w:rPr>
              <w:t>1.1.1.2.2.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3278B9FA" w14:textId="77777777" w:rsidR="0099088D" w:rsidRPr="002636AA" w:rsidRDefault="0099088D" w:rsidP="0099088D">
            <w:pPr>
              <w:rPr>
                <w:color w:val="000000"/>
              </w:rPr>
            </w:pPr>
            <w:r w:rsidRPr="002636AA">
              <w:rPr>
                <w:color w:val="000000"/>
              </w:rPr>
              <w:t>с давлением от 0,005 МПа до 1,2 МПа (включительно) в газопроводе, в который осуществляется врезка, наружным диаметром:</w:t>
            </w:r>
          </w:p>
        </w:tc>
      </w:tr>
      <w:tr w:rsidR="0099088D" w:rsidRPr="002636AA" w14:paraId="20B6EB69" w14:textId="77777777" w:rsidTr="0099088D">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3D46AF15" w14:textId="77777777" w:rsidR="0099088D" w:rsidRPr="002636AA" w:rsidRDefault="0099088D" w:rsidP="0099088D">
            <w:pPr>
              <w:jc w:val="center"/>
              <w:rPr>
                <w:color w:val="000000"/>
              </w:rPr>
            </w:pPr>
            <w:r w:rsidRPr="002636AA">
              <w:rPr>
                <w:color w:val="000000"/>
              </w:rPr>
              <w:t>1.1.1.2.2.1.</w:t>
            </w:r>
          </w:p>
        </w:tc>
        <w:tc>
          <w:tcPr>
            <w:tcW w:w="4106" w:type="dxa"/>
            <w:tcBorders>
              <w:top w:val="nil"/>
              <w:left w:val="nil"/>
              <w:bottom w:val="single" w:sz="4" w:space="0" w:color="auto"/>
              <w:right w:val="single" w:sz="4" w:space="0" w:color="auto"/>
            </w:tcBorders>
            <w:shd w:val="clear" w:color="auto" w:fill="auto"/>
            <w:vAlign w:val="center"/>
            <w:hideMark/>
          </w:tcPr>
          <w:p w14:paraId="5BB799A9" w14:textId="77777777" w:rsidR="0099088D" w:rsidRPr="002636AA" w:rsidRDefault="0099088D" w:rsidP="0099088D">
            <w:pPr>
              <w:rPr>
                <w:color w:val="000000"/>
              </w:rPr>
            </w:pPr>
            <w:r w:rsidRPr="002636AA">
              <w:rPr>
                <w:color w:val="000000"/>
              </w:rPr>
              <w:t>до 100 мм</w:t>
            </w:r>
          </w:p>
        </w:tc>
        <w:tc>
          <w:tcPr>
            <w:tcW w:w="1775" w:type="dxa"/>
            <w:vMerge w:val="restart"/>
            <w:tcBorders>
              <w:top w:val="nil"/>
              <w:left w:val="single" w:sz="4" w:space="0" w:color="auto"/>
              <w:bottom w:val="single" w:sz="4" w:space="0" w:color="auto"/>
              <w:right w:val="single" w:sz="4" w:space="0" w:color="auto"/>
            </w:tcBorders>
            <w:shd w:val="clear" w:color="auto" w:fill="auto"/>
            <w:vAlign w:val="center"/>
            <w:hideMark/>
          </w:tcPr>
          <w:p w14:paraId="2D8ECADA" w14:textId="77777777" w:rsidR="0099088D" w:rsidRPr="002636AA" w:rsidRDefault="0099088D" w:rsidP="0099088D">
            <w:pPr>
              <w:jc w:val="center"/>
              <w:rPr>
                <w:color w:val="000000"/>
              </w:rPr>
            </w:pPr>
            <w:r w:rsidRPr="002636AA">
              <w:rPr>
                <w:color w:val="000000"/>
              </w:rPr>
              <w:t>руб. за 1 присоединение</w:t>
            </w:r>
          </w:p>
        </w:tc>
        <w:tc>
          <w:tcPr>
            <w:tcW w:w="2466" w:type="dxa"/>
            <w:tcBorders>
              <w:top w:val="single" w:sz="4" w:space="0" w:color="auto"/>
              <w:left w:val="single" w:sz="4" w:space="0" w:color="auto"/>
              <w:bottom w:val="single" w:sz="4" w:space="0" w:color="auto"/>
              <w:right w:val="single" w:sz="4" w:space="0" w:color="auto"/>
            </w:tcBorders>
            <w:shd w:val="clear" w:color="auto" w:fill="auto"/>
            <w:hideMark/>
          </w:tcPr>
          <w:p w14:paraId="5A08DA98" w14:textId="77777777" w:rsidR="0099088D" w:rsidRPr="002636AA" w:rsidRDefault="0099088D" w:rsidP="0099088D">
            <w:pPr>
              <w:jc w:val="center"/>
              <w:rPr>
                <w:color w:val="000000"/>
              </w:rPr>
            </w:pPr>
            <w:r w:rsidRPr="002636AA">
              <w:rPr>
                <w:color w:val="000000"/>
              </w:rPr>
              <w:t>15 853</w:t>
            </w:r>
          </w:p>
        </w:tc>
      </w:tr>
      <w:tr w:rsidR="0099088D" w:rsidRPr="002636AA" w14:paraId="16A14E7D" w14:textId="77777777" w:rsidTr="0099088D">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471EE18" w14:textId="77777777" w:rsidR="0099088D" w:rsidRPr="002636AA" w:rsidRDefault="0099088D" w:rsidP="0099088D">
            <w:pPr>
              <w:jc w:val="center"/>
              <w:rPr>
                <w:color w:val="000000"/>
              </w:rPr>
            </w:pPr>
            <w:r w:rsidRPr="002636AA">
              <w:rPr>
                <w:color w:val="000000"/>
              </w:rPr>
              <w:t>1.1.1.2.2.2.</w:t>
            </w:r>
          </w:p>
        </w:tc>
        <w:tc>
          <w:tcPr>
            <w:tcW w:w="4106" w:type="dxa"/>
            <w:tcBorders>
              <w:top w:val="nil"/>
              <w:left w:val="nil"/>
              <w:bottom w:val="single" w:sz="4" w:space="0" w:color="auto"/>
              <w:right w:val="single" w:sz="4" w:space="0" w:color="auto"/>
            </w:tcBorders>
            <w:shd w:val="clear" w:color="auto" w:fill="auto"/>
            <w:vAlign w:val="center"/>
            <w:hideMark/>
          </w:tcPr>
          <w:p w14:paraId="41C7C51E" w14:textId="77777777" w:rsidR="0099088D" w:rsidRPr="002636AA" w:rsidRDefault="0099088D" w:rsidP="0099088D">
            <w:pPr>
              <w:rPr>
                <w:color w:val="000000"/>
              </w:rPr>
            </w:pPr>
            <w:r w:rsidRPr="002636AA">
              <w:rPr>
                <w:color w:val="000000"/>
              </w:rPr>
              <w:t>108-158 мм</w:t>
            </w:r>
          </w:p>
        </w:tc>
        <w:tc>
          <w:tcPr>
            <w:tcW w:w="1775" w:type="dxa"/>
            <w:vMerge/>
            <w:tcBorders>
              <w:top w:val="nil"/>
              <w:left w:val="single" w:sz="4" w:space="0" w:color="auto"/>
              <w:bottom w:val="single" w:sz="4" w:space="0" w:color="auto"/>
              <w:right w:val="single" w:sz="4" w:space="0" w:color="auto"/>
            </w:tcBorders>
            <w:vAlign w:val="center"/>
            <w:hideMark/>
          </w:tcPr>
          <w:p w14:paraId="27E1E4CB" w14:textId="77777777" w:rsidR="0099088D" w:rsidRPr="002636AA" w:rsidRDefault="0099088D" w:rsidP="0099088D">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hideMark/>
          </w:tcPr>
          <w:p w14:paraId="201311DF" w14:textId="77777777" w:rsidR="0099088D" w:rsidRPr="002636AA" w:rsidRDefault="0099088D" w:rsidP="0099088D">
            <w:pPr>
              <w:jc w:val="center"/>
              <w:rPr>
                <w:color w:val="000000"/>
              </w:rPr>
            </w:pPr>
            <w:r w:rsidRPr="002636AA">
              <w:rPr>
                <w:color w:val="000000"/>
              </w:rPr>
              <w:t>30 896</w:t>
            </w:r>
          </w:p>
        </w:tc>
      </w:tr>
      <w:tr w:rsidR="0099088D" w:rsidRPr="002636AA" w14:paraId="200F17FD" w14:textId="77777777" w:rsidTr="0099088D">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54CC6E9" w14:textId="77777777" w:rsidR="0099088D" w:rsidRPr="002636AA" w:rsidRDefault="0099088D" w:rsidP="0099088D">
            <w:pPr>
              <w:jc w:val="center"/>
              <w:rPr>
                <w:color w:val="000000"/>
              </w:rPr>
            </w:pPr>
            <w:r w:rsidRPr="002636AA">
              <w:rPr>
                <w:color w:val="000000"/>
              </w:rPr>
              <w:t>1.1.1.2.2.3.</w:t>
            </w:r>
          </w:p>
        </w:tc>
        <w:tc>
          <w:tcPr>
            <w:tcW w:w="4106" w:type="dxa"/>
            <w:tcBorders>
              <w:top w:val="nil"/>
              <w:left w:val="nil"/>
              <w:bottom w:val="single" w:sz="4" w:space="0" w:color="auto"/>
              <w:right w:val="single" w:sz="4" w:space="0" w:color="auto"/>
            </w:tcBorders>
            <w:shd w:val="clear" w:color="auto" w:fill="auto"/>
            <w:vAlign w:val="center"/>
            <w:hideMark/>
          </w:tcPr>
          <w:p w14:paraId="2D77A6A5" w14:textId="77777777" w:rsidR="0099088D" w:rsidRPr="002636AA" w:rsidRDefault="0099088D" w:rsidP="0099088D">
            <w:pPr>
              <w:rPr>
                <w:color w:val="000000"/>
              </w:rPr>
            </w:pPr>
            <w:r w:rsidRPr="002636AA">
              <w:rPr>
                <w:color w:val="000000"/>
              </w:rPr>
              <w:t>159-218 мм</w:t>
            </w:r>
          </w:p>
        </w:tc>
        <w:tc>
          <w:tcPr>
            <w:tcW w:w="1775" w:type="dxa"/>
            <w:vMerge/>
            <w:tcBorders>
              <w:top w:val="nil"/>
              <w:left w:val="single" w:sz="4" w:space="0" w:color="auto"/>
              <w:bottom w:val="single" w:sz="4" w:space="0" w:color="auto"/>
              <w:right w:val="single" w:sz="4" w:space="0" w:color="auto"/>
            </w:tcBorders>
            <w:vAlign w:val="center"/>
            <w:hideMark/>
          </w:tcPr>
          <w:p w14:paraId="6240E527" w14:textId="77777777" w:rsidR="0099088D" w:rsidRPr="002636AA" w:rsidRDefault="0099088D" w:rsidP="0099088D">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hideMark/>
          </w:tcPr>
          <w:p w14:paraId="6EA3E182" w14:textId="77777777" w:rsidR="0099088D" w:rsidRPr="002636AA" w:rsidRDefault="0099088D" w:rsidP="0099088D">
            <w:pPr>
              <w:jc w:val="center"/>
              <w:rPr>
                <w:color w:val="000000"/>
              </w:rPr>
            </w:pPr>
            <w:r w:rsidRPr="002636AA">
              <w:rPr>
                <w:color w:val="000000"/>
              </w:rPr>
              <w:t>48 329</w:t>
            </w:r>
          </w:p>
        </w:tc>
      </w:tr>
      <w:tr w:rsidR="0099088D" w:rsidRPr="002636AA" w14:paraId="768232BD" w14:textId="77777777" w:rsidTr="0099088D">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E17FDC7" w14:textId="77777777" w:rsidR="0099088D" w:rsidRPr="002636AA" w:rsidRDefault="0099088D" w:rsidP="0099088D">
            <w:pPr>
              <w:jc w:val="center"/>
              <w:rPr>
                <w:color w:val="000000"/>
              </w:rPr>
            </w:pPr>
            <w:r w:rsidRPr="002636AA">
              <w:rPr>
                <w:color w:val="000000"/>
              </w:rPr>
              <w:t>1.1.1.2.2.4.</w:t>
            </w:r>
          </w:p>
        </w:tc>
        <w:tc>
          <w:tcPr>
            <w:tcW w:w="4106" w:type="dxa"/>
            <w:tcBorders>
              <w:top w:val="nil"/>
              <w:left w:val="nil"/>
              <w:bottom w:val="single" w:sz="4" w:space="0" w:color="auto"/>
              <w:right w:val="single" w:sz="4" w:space="0" w:color="auto"/>
            </w:tcBorders>
            <w:shd w:val="clear" w:color="auto" w:fill="auto"/>
            <w:vAlign w:val="center"/>
            <w:hideMark/>
          </w:tcPr>
          <w:p w14:paraId="796FB652" w14:textId="77777777" w:rsidR="0099088D" w:rsidRPr="002636AA" w:rsidRDefault="0099088D" w:rsidP="0099088D">
            <w:pPr>
              <w:rPr>
                <w:color w:val="000000"/>
              </w:rPr>
            </w:pPr>
            <w:r w:rsidRPr="002636AA">
              <w:rPr>
                <w:color w:val="000000"/>
              </w:rPr>
              <w:t>219-272 мм</w:t>
            </w:r>
          </w:p>
        </w:tc>
        <w:tc>
          <w:tcPr>
            <w:tcW w:w="1775" w:type="dxa"/>
            <w:vMerge/>
            <w:tcBorders>
              <w:top w:val="nil"/>
              <w:left w:val="single" w:sz="4" w:space="0" w:color="auto"/>
              <w:bottom w:val="single" w:sz="4" w:space="0" w:color="auto"/>
              <w:right w:val="single" w:sz="4" w:space="0" w:color="auto"/>
            </w:tcBorders>
            <w:vAlign w:val="center"/>
            <w:hideMark/>
          </w:tcPr>
          <w:p w14:paraId="4DB271E2" w14:textId="77777777" w:rsidR="0099088D" w:rsidRPr="002636AA" w:rsidRDefault="0099088D" w:rsidP="0099088D">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hideMark/>
          </w:tcPr>
          <w:p w14:paraId="51C7BBF3" w14:textId="77777777" w:rsidR="0099088D" w:rsidRPr="002636AA" w:rsidRDefault="0099088D" w:rsidP="0099088D">
            <w:pPr>
              <w:jc w:val="center"/>
              <w:rPr>
                <w:color w:val="000000"/>
              </w:rPr>
            </w:pPr>
            <w:r w:rsidRPr="002636AA">
              <w:rPr>
                <w:color w:val="000000"/>
              </w:rPr>
              <w:t>54 502</w:t>
            </w:r>
          </w:p>
        </w:tc>
      </w:tr>
      <w:tr w:rsidR="0099088D" w:rsidRPr="002636AA" w14:paraId="1566BB58" w14:textId="77777777" w:rsidTr="0099088D">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BE17837" w14:textId="77777777" w:rsidR="0099088D" w:rsidRPr="002636AA" w:rsidRDefault="0099088D" w:rsidP="0099088D">
            <w:pPr>
              <w:jc w:val="center"/>
              <w:rPr>
                <w:color w:val="000000"/>
              </w:rPr>
            </w:pPr>
            <w:r w:rsidRPr="002636AA">
              <w:rPr>
                <w:color w:val="000000"/>
              </w:rPr>
              <w:t>1.1.1.2.2.5.</w:t>
            </w:r>
          </w:p>
        </w:tc>
        <w:tc>
          <w:tcPr>
            <w:tcW w:w="4106" w:type="dxa"/>
            <w:tcBorders>
              <w:top w:val="nil"/>
              <w:left w:val="nil"/>
              <w:bottom w:val="single" w:sz="4" w:space="0" w:color="auto"/>
              <w:right w:val="single" w:sz="4" w:space="0" w:color="auto"/>
            </w:tcBorders>
            <w:shd w:val="clear" w:color="auto" w:fill="auto"/>
            <w:vAlign w:val="center"/>
            <w:hideMark/>
          </w:tcPr>
          <w:p w14:paraId="13CDC40E" w14:textId="77777777" w:rsidR="0099088D" w:rsidRPr="002636AA" w:rsidRDefault="0099088D" w:rsidP="0099088D">
            <w:pPr>
              <w:rPr>
                <w:color w:val="000000"/>
              </w:rPr>
            </w:pPr>
            <w:r w:rsidRPr="002636AA">
              <w:rPr>
                <w:color w:val="000000"/>
              </w:rPr>
              <w:t>273-324 мм</w:t>
            </w:r>
          </w:p>
        </w:tc>
        <w:tc>
          <w:tcPr>
            <w:tcW w:w="1775" w:type="dxa"/>
            <w:vMerge/>
            <w:tcBorders>
              <w:top w:val="nil"/>
              <w:left w:val="single" w:sz="4" w:space="0" w:color="auto"/>
              <w:bottom w:val="single" w:sz="4" w:space="0" w:color="auto"/>
              <w:right w:val="single" w:sz="4" w:space="0" w:color="auto"/>
            </w:tcBorders>
            <w:vAlign w:val="center"/>
            <w:hideMark/>
          </w:tcPr>
          <w:p w14:paraId="57E6FA1E" w14:textId="77777777" w:rsidR="0099088D" w:rsidRPr="002636AA" w:rsidRDefault="0099088D" w:rsidP="0099088D">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hideMark/>
          </w:tcPr>
          <w:p w14:paraId="5316311B" w14:textId="77777777" w:rsidR="0099088D" w:rsidRPr="002636AA" w:rsidRDefault="0099088D" w:rsidP="0099088D">
            <w:pPr>
              <w:jc w:val="center"/>
              <w:rPr>
                <w:color w:val="000000"/>
              </w:rPr>
            </w:pPr>
            <w:r w:rsidRPr="002636AA">
              <w:rPr>
                <w:color w:val="000000"/>
              </w:rPr>
              <w:t>54 502</w:t>
            </w:r>
          </w:p>
        </w:tc>
      </w:tr>
      <w:tr w:rsidR="0099088D" w:rsidRPr="002636AA" w14:paraId="79CB91D5" w14:textId="77777777" w:rsidTr="0099088D">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212DCCFA" w14:textId="77777777" w:rsidR="0099088D" w:rsidRPr="002636AA" w:rsidRDefault="0099088D" w:rsidP="0099088D">
            <w:pPr>
              <w:jc w:val="center"/>
              <w:rPr>
                <w:color w:val="000000"/>
              </w:rPr>
            </w:pPr>
            <w:r w:rsidRPr="002636AA">
              <w:rPr>
                <w:color w:val="000000"/>
              </w:rPr>
              <w:t>1.1.1.2.2.6.</w:t>
            </w:r>
          </w:p>
        </w:tc>
        <w:tc>
          <w:tcPr>
            <w:tcW w:w="4106" w:type="dxa"/>
            <w:tcBorders>
              <w:top w:val="nil"/>
              <w:left w:val="nil"/>
              <w:bottom w:val="single" w:sz="4" w:space="0" w:color="auto"/>
              <w:right w:val="single" w:sz="4" w:space="0" w:color="auto"/>
            </w:tcBorders>
            <w:shd w:val="clear" w:color="auto" w:fill="auto"/>
            <w:vAlign w:val="center"/>
            <w:hideMark/>
          </w:tcPr>
          <w:p w14:paraId="751D5A86" w14:textId="77777777" w:rsidR="0099088D" w:rsidRPr="002636AA" w:rsidRDefault="0099088D" w:rsidP="0099088D">
            <w:pPr>
              <w:rPr>
                <w:color w:val="000000"/>
              </w:rPr>
            </w:pPr>
            <w:r w:rsidRPr="002636AA">
              <w:rPr>
                <w:color w:val="000000"/>
              </w:rPr>
              <w:t>325-425 мм</w:t>
            </w:r>
          </w:p>
        </w:tc>
        <w:tc>
          <w:tcPr>
            <w:tcW w:w="1775" w:type="dxa"/>
            <w:vMerge/>
            <w:tcBorders>
              <w:top w:val="nil"/>
              <w:left w:val="single" w:sz="4" w:space="0" w:color="auto"/>
              <w:bottom w:val="single" w:sz="4" w:space="0" w:color="auto"/>
              <w:right w:val="single" w:sz="4" w:space="0" w:color="auto"/>
            </w:tcBorders>
            <w:vAlign w:val="center"/>
            <w:hideMark/>
          </w:tcPr>
          <w:p w14:paraId="0226C05E" w14:textId="77777777" w:rsidR="0099088D" w:rsidRPr="002636AA" w:rsidRDefault="0099088D" w:rsidP="0099088D">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hideMark/>
          </w:tcPr>
          <w:p w14:paraId="23AE8907" w14:textId="77777777" w:rsidR="0099088D" w:rsidRPr="002636AA" w:rsidRDefault="0099088D" w:rsidP="0099088D">
            <w:pPr>
              <w:jc w:val="center"/>
              <w:rPr>
                <w:color w:val="000000"/>
              </w:rPr>
            </w:pPr>
            <w:r w:rsidRPr="002636AA">
              <w:rPr>
                <w:color w:val="000000"/>
              </w:rPr>
              <w:t>54 502</w:t>
            </w:r>
          </w:p>
        </w:tc>
      </w:tr>
      <w:tr w:rsidR="0099088D" w:rsidRPr="002636AA" w14:paraId="120CBDEB" w14:textId="77777777" w:rsidTr="0099088D">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1A68361" w14:textId="77777777" w:rsidR="0099088D" w:rsidRPr="002636AA" w:rsidRDefault="0099088D" w:rsidP="0099088D">
            <w:pPr>
              <w:jc w:val="center"/>
              <w:rPr>
                <w:color w:val="000000"/>
              </w:rPr>
            </w:pPr>
            <w:r w:rsidRPr="002636AA">
              <w:rPr>
                <w:color w:val="000000"/>
              </w:rPr>
              <w:t>1.1.1.2.2.7.</w:t>
            </w:r>
          </w:p>
        </w:tc>
        <w:tc>
          <w:tcPr>
            <w:tcW w:w="4106" w:type="dxa"/>
            <w:tcBorders>
              <w:top w:val="nil"/>
              <w:left w:val="nil"/>
              <w:bottom w:val="single" w:sz="4" w:space="0" w:color="auto"/>
              <w:right w:val="single" w:sz="4" w:space="0" w:color="auto"/>
            </w:tcBorders>
            <w:shd w:val="clear" w:color="auto" w:fill="auto"/>
            <w:vAlign w:val="center"/>
            <w:hideMark/>
          </w:tcPr>
          <w:p w14:paraId="3C0AE267" w14:textId="77777777" w:rsidR="0099088D" w:rsidRPr="002636AA" w:rsidRDefault="0099088D" w:rsidP="0099088D">
            <w:pPr>
              <w:rPr>
                <w:color w:val="000000"/>
              </w:rPr>
            </w:pPr>
            <w:r w:rsidRPr="002636AA">
              <w:rPr>
                <w:color w:val="000000"/>
              </w:rPr>
              <w:t>426-529 мм</w:t>
            </w:r>
          </w:p>
        </w:tc>
        <w:tc>
          <w:tcPr>
            <w:tcW w:w="1775" w:type="dxa"/>
            <w:vMerge/>
            <w:tcBorders>
              <w:top w:val="nil"/>
              <w:left w:val="single" w:sz="4" w:space="0" w:color="auto"/>
              <w:bottom w:val="single" w:sz="4" w:space="0" w:color="auto"/>
              <w:right w:val="single" w:sz="4" w:space="0" w:color="auto"/>
            </w:tcBorders>
            <w:vAlign w:val="center"/>
            <w:hideMark/>
          </w:tcPr>
          <w:p w14:paraId="089C4BCF" w14:textId="77777777" w:rsidR="0099088D" w:rsidRPr="002636AA" w:rsidRDefault="0099088D" w:rsidP="0099088D">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hideMark/>
          </w:tcPr>
          <w:p w14:paraId="6F14F520" w14:textId="77777777" w:rsidR="0099088D" w:rsidRPr="002636AA" w:rsidRDefault="0099088D" w:rsidP="0099088D">
            <w:pPr>
              <w:jc w:val="center"/>
              <w:rPr>
                <w:color w:val="000000"/>
              </w:rPr>
            </w:pPr>
            <w:r w:rsidRPr="002636AA">
              <w:rPr>
                <w:color w:val="000000"/>
              </w:rPr>
              <w:t>54 502</w:t>
            </w:r>
          </w:p>
        </w:tc>
      </w:tr>
      <w:tr w:rsidR="0099088D" w:rsidRPr="002636AA" w14:paraId="3E3B42E4" w14:textId="77777777" w:rsidTr="0099088D">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DDEAC6D" w14:textId="77777777" w:rsidR="0099088D" w:rsidRPr="002636AA" w:rsidRDefault="0099088D" w:rsidP="0099088D">
            <w:pPr>
              <w:jc w:val="center"/>
              <w:rPr>
                <w:color w:val="000000"/>
              </w:rPr>
            </w:pPr>
            <w:r w:rsidRPr="002636AA">
              <w:rPr>
                <w:color w:val="000000"/>
              </w:rPr>
              <w:t>1.1.1.2.2.8.</w:t>
            </w:r>
          </w:p>
        </w:tc>
        <w:tc>
          <w:tcPr>
            <w:tcW w:w="4106" w:type="dxa"/>
            <w:tcBorders>
              <w:top w:val="nil"/>
              <w:left w:val="nil"/>
              <w:bottom w:val="single" w:sz="4" w:space="0" w:color="auto"/>
              <w:right w:val="single" w:sz="4" w:space="0" w:color="auto"/>
            </w:tcBorders>
            <w:shd w:val="clear" w:color="auto" w:fill="auto"/>
            <w:vAlign w:val="center"/>
            <w:hideMark/>
          </w:tcPr>
          <w:p w14:paraId="32899316" w14:textId="77777777" w:rsidR="0099088D" w:rsidRPr="002636AA" w:rsidRDefault="0099088D" w:rsidP="0099088D">
            <w:pPr>
              <w:rPr>
                <w:color w:val="000000"/>
              </w:rPr>
            </w:pPr>
            <w:r w:rsidRPr="002636AA">
              <w:rPr>
                <w:color w:val="000000"/>
              </w:rPr>
              <w:t>530 мм и выше</w:t>
            </w:r>
          </w:p>
        </w:tc>
        <w:tc>
          <w:tcPr>
            <w:tcW w:w="1775" w:type="dxa"/>
            <w:vMerge/>
            <w:tcBorders>
              <w:top w:val="nil"/>
              <w:left w:val="single" w:sz="4" w:space="0" w:color="auto"/>
              <w:bottom w:val="single" w:sz="4" w:space="0" w:color="auto"/>
              <w:right w:val="single" w:sz="4" w:space="0" w:color="auto"/>
            </w:tcBorders>
            <w:vAlign w:val="center"/>
            <w:hideMark/>
          </w:tcPr>
          <w:p w14:paraId="62DC8363" w14:textId="77777777" w:rsidR="0099088D" w:rsidRPr="002636AA" w:rsidRDefault="0099088D" w:rsidP="0099088D">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hideMark/>
          </w:tcPr>
          <w:p w14:paraId="40A96959" w14:textId="77777777" w:rsidR="0099088D" w:rsidRPr="002636AA" w:rsidRDefault="0099088D" w:rsidP="0099088D">
            <w:pPr>
              <w:jc w:val="center"/>
              <w:rPr>
                <w:color w:val="000000"/>
              </w:rPr>
            </w:pPr>
            <w:r w:rsidRPr="002636AA">
              <w:rPr>
                <w:color w:val="000000"/>
              </w:rPr>
              <w:t>54 502</w:t>
            </w:r>
          </w:p>
        </w:tc>
      </w:tr>
      <w:tr w:rsidR="0099088D" w:rsidRPr="002636AA" w14:paraId="0667D3FE" w14:textId="77777777" w:rsidTr="0099088D">
        <w:trPr>
          <w:trHeight w:val="40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81EA37" w14:textId="77777777" w:rsidR="0099088D" w:rsidRPr="002636AA" w:rsidRDefault="0099088D" w:rsidP="0099088D">
            <w:pPr>
              <w:jc w:val="center"/>
              <w:rPr>
                <w:color w:val="000000"/>
              </w:rPr>
            </w:pPr>
            <w:r w:rsidRPr="002636AA">
              <w:rPr>
                <w:color w:val="000000"/>
              </w:rPr>
              <w:t>1.1.2.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4D02FB19" w14:textId="77777777" w:rsidR="0099088D" w:rsidRPr="002636AA" w:rsidRDefault="0099088D" w:rsidP="0099088D">
            <w:pPr>
              <w:rPr>
                <w:color w:val="000000"/>
              </w:rPr>
            </w:pPr>
            <w:r w:rsidRPr="002636AA">
              <w:rPr>
                <w:color w:val="000000"/>
              </w:rPr>
              <w:t>полиэтиленовых газопроводов:</w:t>
            </w:r>
          </w:p>
        </w:tc>
      </w:tr>
      <w:tr w:rsidR="0099088D" w:rsidRPr="002636AA" w14:paraId="3357F04A" w14:textId="77777777" w:rsidTr="0099088D">
        <w:trPr>
          <w:trHeight w:val="612"/>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83C5C96" w14:textId="77777777" w:rsidR="0099088D" w:rsidRPr="002636AA" w:rsidRDefault="0099088D" w:rsidP="0099088D">
            <w:pPr>
              <w:jc w:val="center"/>
              <w:rPr>
                <w:color w:val="000000"/>
              </w:rPr>
            </w:pPr>
            <w:r w:rsidRPr="002636AA">
              <w:rPr>
                <w:color w:val="000000"/>
              </w:rPr>
              <w:t>1.1.2.1.</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1EB8D1DE" w14:textId="77777777" w:rsidR="0099088D" w:rsidRPr="002636AA" w:rsidRDefault="0099088D" w:rsidP="0099088D">
            <w:pPr>
              <w:rPr>
                <w:color w:val="000000"/>
              </w:rPr>
            </w:pPr>
            <w:r w:rsidRPr="002636AA">
              <w:rPr>
                <w:color w:val="000000"/>
              </w:rPr>
              <w:t>с давлением до 0,6 МПа (включительно) в газопроводе, в который осуществляется врезка, наружным диаметром:</w:t>
            </w:r>
          </w:p>
        </w:tc>
      </w:tr>
      <w:tr w:rsidR="0099088D" w:rsidRPr="002636AA" w14:paraId="714384B0" w14:textId="77777777" w:rsidTr="0099088D">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FAA1B07" w14:textId="77777777" w:rsidR="0099088D" w:rsidRPr="002636AA" w:rsidRDefault="0099088D" w:rsidP="0099088D">
            <w:pPr>
              <w:jc w:val="center"/>
              <w:rPr>
                <w:color w:val="000000"/>
              </w:rPr>
            </w:pPr>
            <w:bookmarkStart w:id="56" w:name="_Hlk1565107"/>
            <w:r w:rsidRPr="002636AA">
              <w:rPr>
                <w:color w:val="000000"/>
              </w:rPr>
              <w:t>1.1.2.1.1.</w:t>
            </w:r>
          </w:p>
        </w:tc>
        <w:tc>
          <w:tcPr>
            <w:tcW w:w="4106" w:type="dxa"/>
            <w:tcBorders>
              <w:top w:val="nil"/>
              <w:left w:val="nil"/>
              <w:bottom w:val="single" w:sz="4" w:space="0" w:color="auto"/>
              <w:right w:val="single" w:sz="4" w:space="0" w:color="auto"/>
            </w:tcBorders>
            <w:shd w:val="clear" w:color="auto" w:fill="auto"/>
            <w:vAlign w:val="center"/>
            <w:hideMark/>
          </w:tcPr>
          <w:p w14:paraId="4BDBB4B5" w14:textId="77777777" w:rsidR="0099088D" w:rsidRPr="002636AA" w:rsidRDefault="0099088D" w:rsidP="0099088D">
            <w:pPr>
              <w:rPr>
                <w:color w:val="000000"/>
              </w:rPr>
            </w:pPr>
            <w:r w:rsidRPr="002636AA">
              <w:rPr>
                <w:color w:val="000000"/>
              </w:rPr>
              <w:t>109 мм и менее</w:t>
            </w:r>
          </w:p>
        </w:tc>
        <w:tc>
          <w:tcPr>
            <w:tcW w:w="1775" w:type="dxa"/>
            <w:vMerge w:val="restart"/>
            <w:tcBorders>
              <w:top w:val="nil"/>
              <w:left w:val="single" w:sz="4" w:space="0" w:color="auto"/>
              <w:bottom w:val="single" w:sz="4" w:space="0" w:color="auto"/>
              <w:right w:val="single" w:sz="4" w:space="0" w:color="auto"/>
            </w:tcBorders>
            <w:shd w:val="clear" w:color="auto" w:fill="auto"/>
            <w:vAlign w:val="center"/>
            <w:hideMark/>
          </w:tcPr>
          <w:p w14:paraId="46B06370" w14:textId="77777777" w:rsidR="0099088D" w:rsidRPr="002636AA" w:rsidRDefault="0099088D" w:rsidP="0099088D">
            <w:pPr>
              <w:jc w:val="center"/>
              <w:rPr>
                <w:color w:val="000000"/>
              </w:rPr>
            </w:pPr>
            <w:r w:rsidRPr="002636AA">
              <w:rPr>
                <w:color w:val="000000"/>
              </w:rPr>
              <w:t>руб. за 1 присоединение</w:t>
            </w: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77E397CD" w14:textId="77777777" w:rsidR="0099088D" w:rsidRPr="002636AA" w:rsidRDefault="0099088D" w:rsidP="0099088D">
            <w:pPr>
              <w:jc w:val="center"/>
              <w:rPr>
                <w:color w:val="000000"/>
              </w:rPr>
            </w:pPr>
            <w:r w:rsidRPr="002636AA">
              <w:rPr>
                <w:color w:val="000000"/>
              </w:rPr>
              <w:t>15 064</w:t>
            </w:r>
          </w:p>
        </w:tc>
      </w:tr>
      <w:tr w:rsidR="0099088D" w:rsidRPr="002636AA" w14:paraId="1FFD9A73" w14:textId="77777777" w:rsidTr="0099088D">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6463F76" w14:textId="77777777" w:rsidR="0099088D" w:rsidRPr="002636AA" w:rsidRDefault="0099088D" w:rsidP="0099088D">
            <w:pPr>
              <w:jc w:val="center"/>
              <w:rPr>
                <w:color w:val="000000"/>
              </w:rPr>
            </w:pPr>
            <w:r w:rsidRPr="002636AA">
              <w:rPr>
                <w:color w:val="000000"/>
              </w:rPr>
              <w:t>1.1.2.1.2.</w:t>
            </w:r>
          </w:p>
        </w:tc>
        <w:tc>
          <w:tcPr>
            <w:tcW w:w="4106" w:type="dxa"/>
            <w:tcBorders>
              <w:top w:val="nil"/>
              <w:left w:val="nil"/>
              <w:bottom w:val="single" w:sz="4" w:space="0" w:color="auto"/>
              <w:right w:val="single" w:sz="4" w:space="0" w:color="auto"/>
            </w:tcBorders>
            <w:shd w:val="clear" w:color="auto" w:fill="auto"/>
            <w:vAlign w:val="center"/>
            <w:hideMark/>
          </w:tcPr>
          <w:p w14:paraId="0FFD5E86" w14:textId="77777777" w:rsidR="0099088D" w:rsidRPr="002636AA" w:rsidRDefault="0099088D" w:rsidP="0099088D">
            <w:pPr>
              <w:rPr>
                <w:color w:val="000000"/>
              </w:rPr>
            </w:pPr>
            <w:r w:rsidRPr="002636AA">
              <w:rPr>
                <w:color w:val="000000"/>
              </w:rPr>
              <w:t>110-159 мм</w:t>
            </w:r>
          </w:p>
        </w:tc>
        <w:tc>
          <w:tcPr>
            <w:tcW w:w="1775" w:type="dxa"/>
            <w:vMerge/>
            <w:tcBorders>
              <w:top w:val="nil"/>
              <w:left w:val="single" w:sz="4" w:space="0" w:color="auto"/>
              <w:bottom w:val="single" w:sz="4" w:space="0" w:color="auto"/>
              <w:right w:val="single" w:sz="4" w:space="0" w:color="auto"/>
            </w:tcBorders>
            <w:vAlign w:val="center"/>
            <w:hideMark/>
          </w:tcPr>
          <w:p w14:paraId="061FE731" w14:textId="77777777" w:rsidR="0099088D" w:rsidRPr="002636AA"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10F4F23C" w14:textId="77777777" w:rsidR="0099088D" w:rsidRPr="002636AA" w:rsidRDefault="0099088D" w:rsidP="0099088D">
            <w:pPr>
              <w:jc w:val="center"/>
              <w:rPr>
                <w:color w:val="000000"/>
              </w:rPr>
            </w:pPr>
            <w:r w:rsidRPr="002636AA">
              <w:rPr>
                <w:color w:val="000000"/>
              </w:rPr>
              <w:t>27 906</w:t>
            </w:r>
          </w:p>
        </w:tc>
      </w:tr>
      <w:tr w:rsidR="0099088D" w:rsidRPr="002636AA" w14:paraId="6C5B3CD6" w14:textId="77777777" w:rsidTr="0099088D">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5F1AFF86" w14:textId="77777777" w:rsidR="0099088D" w:rsidRPr="002636AA" w:rsidRDefault="0099088D" w:rsidP="0099088D">
            <w:pPr>
              <w:jc w:val="center"/>
              <w:rPr>
                <w:color w:val="000000"/>
              </w:rPr>
            </w:pPr>
            <w:r w:rsidRPr="002636AA">
              <w:rPr>
                <w:color w:val="000000"/>
              </w:rPr>
              <w:t>1.1.2.1.3.</w:t>
            </w:r>
          </w:p>
        </w:tc>
        <w:tc>
          <w:tcPr>
            <w:tcW w:w="4106" w:type="dxa"/>
            <w:tcBorders>
              <w:top w:val="nil"/>
              <w:left w:val="nil"/>
              <w:bottom w:val="single" w:sz="4" w:space="0" w:color="auto"/>
              <w:right w:val="single" w:sz="4" w:space="0" w:color="auto"/>
            </w:tcBorders>
            <w:shd w:val="clear" w:color="auto" w:fill="auto"/>
            <w:vAlign w:val="center"/>
            <w:hideMark/>
          </w:tcPr>
          <w:p w14:paraId="29C9980A" w14:textId="77777777" w:rsidR="0099088D" w:rsidRPr="002636AA" w:rsidRDefault="0099088D" w:rsidP="0099088D">
            <w:pPr>
              <w:rPr>
                <w:color w:val="000000"/>
              </w:rPr>
            </w:pPr>
            <w:r w:rsidRPr="002636AA">
              <w:rPr>
                <w:color w:val="000000"/>
              </w:rPr>
              <w:t>160-224 мм</w:t>
            </w:r>
          </w:p>
        </w:tc>
        <w:tc>
          <w:tcPr>
            <w:tcW w:w="1775" w:type="dxa"/>
            <w:vMerge/>
            <w:tcBorders>
              <w:top w:val="nil"/>
              <w:left w:val="single" w:sz="4" w:space="0" w:color="auto"/>
              <w:bottom w:val="single" w:sz="4" w:space="0" w:color="auto"/>
              <w:right w:val="single" w:sz="4" w:space="0" w:color="auto"/>
            </w:tcBorders>
            <w:vAlign w:val="center"/>
            <w:hideMark/>
          </w:tcPr>
          <w:p w14:paraId="35DA81BD" w14:textId="77777777" w:rsidR="0099088D" w:rsidRPr="002636AA"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1AAFFBCA" w14:textId="77777777" w:rsidR="0099088D" w:rsidRPr="002636AA" w:rsidRDefault="0099088D" w:rsidP="0099088D">
            <w:pPr>
              <w:jc w:val="center"/>
              <w:rPr>
                <w:color w:val="000000"/>
              </w:rPr>
            </w:pPr>
            <w:r w:rsidRPr="002636AA">
              <w:rPr>
                <w:color w:val="000000"/>
              </w:rPr>
              <w:t>28 560</w:t>
            </w:r>
          </w:p>
        </w:tc>
      </w:tr>
      <w:bookmarkEnd w:id="56"/>
      <w:tr w:rsidR="0099088D" w:rsidRPr="002636AA" w14:paraId="4C71B22F" w14:textId="77777777" w:rsidTr="0099088D">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0339D063" w14:textId="77777777" w:rsidR="0099088D" w:rsidRPr="002636AA" w:rsidRDefault="0099088D" w:rsidP="0099088D">
            <w:pPr>
              <w:jc w:val="center"/>
              <w:rPr>
                <w:color w:val="000000"/>
              </w:rPr>
            </w:pPr>
            <w:r w:rsidRPr="002636AA">
              <w:rPr>
                <w:color w:val="000000"/>
              </w:rPr>
              <w:t>1.1.2.1.4.</w:t>
            </w:r>
          </w:p>
        </w:tc>
        <w:tc>
          <w:tcPr>
            <w:tcW w:w="4106" w:type="dxa"/>
            <w:tcBorders>
              <w:top w:val="nil"/>
              <w:left w:val="nil"/>
              <w:bottom w:val="single" w:sz="4" w:space="0" w:color="auto"/>
              <w:right w:val="single" w:sz="4" w:space="0" w:color="auto"/>
            </w:tcBorders>
            <w:shd w:val="clear" w:color="auto" w:fill="auto"/>
            <w:vAlign w:val="center"/>
            <w:hideMark/>
          </w:tcPr>
          <w:p w14:paraId="5BFC1624" w14:textId="77777777" w:rsidR="0099088D" w:rsidRPr="002636AA" w:rsidRDefault="0099088D" w:rsidP="0099088D">
            <w:pPr>
              <w:rPr>
                <w:color w:val="000000"/>
              </w:rPr>
            </w:pPr>
            <w:r w:rsidRPr="002636AA">
              <w:rPr>
                <w:color w:val="000000"/>
              </w:rPr>
              <w:t>225-314 мм</w:t>
            </w:r>
          </w:p>
        </w:tc>
        <w:tc>
          <w:tcPr>
            <w:tcW w:w="1775" w:type="dxa"/>
            <w:vMerge/>
            <w:tcBorders>
              <w:top w:val="nil"/>
              <w:left w:val="single" w:sz="4" w:space="0" w:color="auto"/>
              <w:bottom w:val="single" w:sz="4" w:space="0" w:color="auto"/>
              <w:right w:val="single" w:sz="4" w:space="0" w:color="auto"/>
            </w:tcBorders>
            <w:vAlign w:val="center"/>
            <w:hideMark/>
          </w:tcPr>
          <w:p w14:paraId="70EA5B6A" w14:textId="77777777" w:rsidR="0099088D" w:rsidRPr="002636AA"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69C1D768" w14:textId="77777777" w:rsidR="0099088D" w:rsidRPr="002636AA" w:rsidRDefault="0099088D" w:rsidP="0099088D">
            <w:pPr>
              <w:jc w:val="center"/>
              <w:rPr>
                <w:color w:val="000000"/>
              </w:rPr>
            </w:pPr>
            <w:r w:rsidRPr="002636AA">
              <w:rPr>
                <w:color w:val="000000"/>
              </w:rPr>
              <w:t>28 838</w:t>
            </w:r>
          </w:p>
        </w:tc>
      </w:tr>
      <w:tr w:rsidR="0099088D" w:rsidRPr="002636AA" w14:paraId="6E420CCD" w14:textId="77777777" w:rsidTr="0099088D">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0CD8326" w14:textId="77777777" w:rsidR="0099088D" w:rsidRPr="002636AA" w:rsidRDefault="0099088D" w:rsidP="0099088D">
            <w:pPr>
              <w:jc w:val="center"/>
              <w:rPr>
                <w:color w:val="000000"/>
              </w:rPr>
            </w:pPr>
            <w:r w:rsidRPr="002636AA">
              <w:rPr>
                <w:color w:val="000000"/>
              </w:rPr>
              <w:t>1.1.2.1.5.</w:t>
            </w:r>
          </w:p>
        </w:tc>
        <w:tc>
          <w:tcPr>
            <w:tcW w:w="4106" w:type="dxa"/>
            <w:tcBorders>
              <w:top w:val="nil"/>
              <w:left w:val="nil"/>
              <w:bottom w:val="single" w:sz="4" w:space="0" w:color="auto"/>
              <w:right w:val="single" w:sz="4" w:space="0" w:color="auto"/>
            </w:tcBorders>
            <w:shd w:val="clear" w:color="auto" w:fill="auto"/>
            <w:vAlign w:val="center"/>
            <w:hideMark/>
          </w:tcPr>
          <w:p w14:paraId="272D2CFC" w14:textId="77777777" w:rsidR="0099088D" w:rsidRPr="002636AA" w:rsidRDefault="0099088D" w:rsidP="0099088D">
            <w:pPr>
              <w:rPr>
                <w:color w:val="000000"/>
              </w:rPr>
            </w:pPr>
            <w:r w:rsidRPr="002636AA">
              <w:rPr>
                <w:color w:val="000000"/>
              </w:rPr>
              <w:t>315-399 мм</w:t>
            </w:r>
          </w:p>
        </w:tc>
        <w:tc>
          <w:tcPr>
            <w:tcW w:w="1775" w:type="dxa"/>
            <w:vMerge/>
            <w:tcBorders>
              <w:top w:val="nil"/>
              <w:left w:val="single" w:sz="4" w:space="0" w:color="auto"/>
              <w:bottom w:val="single" w:sz="4" w:space="0" w:color="auto"/>
              <w:right w:val="single" w:sz="4" w:space="0" w:color="auto"/>
            </w:tcBorders>
            <w:vAlign w:val="center"/>
            <w:hideMark/>
          </w:tcPr>
          <w:p w14:paraId="0B2393C5" w14:textId="77777777" w:rsidR="0099088D" w:rsidRPr="002636AA"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6EE8A655" w14:textId="77777777" w:rsidR="0099088D" w:rsidRPr="002636AA" w:rsidRDefault="0099088D" w:rsidP="0099088D">
            <w:pPr>
              <w:jc w:val="center"/>
              <w:rPr>
                <w:color w:val="000000"/>
              </w:rPr>
            </w:pPr>
            <w:r w:rsidRPr="002636AA">
              <w:rPr>
                <w:color w:val="000000"/>
              </w:rPr>
              <w:t>30 073</w:t>
            </w:r>
          </w:p>
        </w:tc>
      </w:tr>
      <w:tr w:rsidR="0099088D" w:rsidRPr="002636AA" w14:paraId="4DEE0F20" w14:textId="77777777" w:rsidTr="0099088D">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76F21379" w14:textId="77777777" w:rsidR="0099088D" w:rsidRPr="002636AA" w:rsidRDefault="0099088D" w:rsidP="0099088D">
            <w:pPr>
              <w:jc w:val="center"/>
              <w:rPr>
                <w:color w:val="000000"/>
              </w:rPr>
            </w:pPr>
            <w:r w:rsidRPr="002636AA">
              <w:rPr>
                <w:color w:val="000000"/>
              </w:rPr>
              <w:t>1.1.2.1.6.</w:t>
            </w:r>
          </w:p>
        </w:tc>
        <w:tc>
          <w:tcPr>
            <w:tcW w:w="4106" w:type="dxa"/>
            <w:tcBorders>
              <w:top w:val="nil"/>
              <w:left w:val="nil"/>
              <w:bottom w:val="single" w:sz="4" w:space="0" w:color="auto"/>
              <w:right w:val="single" w:sz="4" w:space="0" w:color="auto"/>
            </w:tcBorders>
            <w:shd w:val="clear" w:color="auto" w:fill="auto"/>
            <w:vAlign w:val="center"/>
            <w:hideMark/>
          </w:tcPr>
          <w:p w14:paraId="3FE204AA" w14:textId="77777777" w:rsidR="0099088D" w:rsidRPr="002636AA" w:rsidRDefault="0099088D" w:rsidP="0099088D">
            <w:pPr>
              <w:rPr>
                <w:color w:val="000000"/>
              </w:rPr>
            </w:pPr>
            <w:r w:rsidRPr="002636AA">
              <w:rPr>
                <w:color w:val="000000"/>
              </w:rPr>
              <w:t>400 мм и выше</w:t>
            </w:r>
          </w:p>
        </w:tc>
        <w:tc>
          <w:tcPr>
            <w:tcW w:w="1775" w:type="dxa"/>
            <w:vMerge/>
            <w:tcBorders>
              <w:top w:val="nil"/>
              <w:left w:val="single" w:sz="4" w:space="0" w:color="auto"/>
              <w:bottom w:val="single" w:sz="4" w:space="0" w:color="auto"/>
              <w:right w:val="single" w:sz="4" w:space="0" w:color="auto"/>
            </w:tcBorders>
            <w:vAlign w:val="center"/>
            <w:hideMark/>
          </w:tcPr>
          <w:p w14:paraId="5CD9C366" w14:textId="77777777" w:rsidR="0099088D" w:rsidRPr="002636AA"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292A117F" w14:textId="77777777" w:rsidR="0099088D" w:rsidRPr="002636AA" w:rsidRDefault="0099088D" w:rsidP="0099088D">
            <w:pPr>
              <w:jc w:val="center"/>
              <w:rPr>
                <w:color w:val="000000"/>
              </w:rPr>
            </w:pPr>
            <w:r w:rsidRPr="002636AA">
              <w:rPr>
                <w:color w:val="000000"/>
              </w:rPr>
              <w:t>49 638</w:t>
            </w:r>
          </w:p>
        </w:tc>
      </w:tr>
      <w:tr w:rsidR="0099088D" w:rsidRPr="002636AA" w14:paraId="6E2D76E3" w14:textId="77777777" w:rsidTr="0099088D">
        <w:trPr>
          <w:trHeight w:val="612"/>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40C71E3C" w14:textId="77777777" w:rsidR="0099088D" w:rsidRPr="002636AA" w:rsidRDefault="0099088D" w:rsidP="0099088D">
            <w:pPr>
              <w:jc w:val="center"/>
              <w:rPr>
                <w:color w:val="000000"/>
              </w:rPr>
            </w:pPr>
            <w:r w:rsidRPr="002636AA">
              <w:rPr>
                <w:color w:val="000000"/>
              </w:rPr>
              <w:t>1.1.2.2.</w:t>
            </w:r>
          </w:p>
        </w:tc>
        <w:tc>
          <w:tcPr>
            <w:tcW w:w="8347" w:type="dxa"/>
            <w:gridSpan w:val="3"/>
            <w:tcBorders>
              <w:top w:val="single" w:sz="4" w:space="0" w:color="auto"/>
              <w:left w:val="nil"/>
              <w:bottom w:val="single" w:sz="4" w:space="0" w:color="auto"/>
              <w:right w:val="single" w:sz="4" w:space="0" w:color="auto"/>
            </w:tcBorders>
            <w:shd w:val="clear" w:color="auto" w:fill="auto"/>
            <w:vAlign w:val="center"/>
            <w:hideMark/>
          </w:tcPr>
          <w:p w14:paraId="31DFB4F2" w14:textId="77777777" w:rsidR="0099088D" w:rsidRPr="002636AA" w:rsidRDefault="0099088D" w:rsidP="0099088D">
            <w:pPr>
              <w:rPr>
                <w:color w:val="000000"/>
              </w:rPr>
            </w:pPr>
            <w:r w:rsidRPr="002636AA">
              <w:rPr>
                <w:color w:val="000000"/>
              </w:rPr>
              <w:t>с давлением от 0,6 МПа до 1,2 МПа в газопроводе, в который осуществляется врезка, наружным диаметром:</w:t>
            </w:r>
          </w:p>
        </w:tc>
      </w:tr>
      <w:tr w:rsidR="0099088D" w:rsidRPr="002636AA" w14:paraId="7C553B72" w14:textId="77777777" w:rsidTr="0099088D">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136CD89" w14:textId="77777777" w:rsidR="0099088D" w:rsidRPr="002636AA" w:rsidRDefault="0099088D" w:rsidP="0099088D">
            <w:pPr>
              <w:jc w:val="center"/>
              <w:rPr>
                <w:color w:val="000000"/>
              </w:rPr>
            </w:pPr>
            <w:r w:rsidRPr="002636AA">
              <w:rPr>
                <w:color w:val="000000"/>
              </w:rPr>
              <w:t>1.1.2.2.1.</w:t>
            </w:r>
          </w:p>
        </w:tc>
        <w:tc>
          <w:tcPr>
            <w:tcW w:w="4106" w:type="dxa"/>
            <w:tcBorders>
              <w:top w:val="nil"/>
              <w:left w:val="nil"/>
              <w:bottom w:val="single" w:sz="4" w:space="0" w:color="auto"/>
              <w:right w:val="single" w:sz="4" w:space="0" w:color="auto"/>
            </w:tcBorders>
            <w:shd w:val="clear" w:color="auto" w:fill="auto"/>
            <w:vAlign w:val="center"/>
            <w:hideMark/>
          </w:tcPr>
          <w:p w14:paraId="0E77F057" w14:textId="77777777" w:rsidR="0099088D" w:rsidRPr="002636AA" w:rsidRDefault="0099088D" w:rsidP="0099088D">
            <w:pPr>
              <w:rPr>
                <w:color w:val="000000"/>
              </w:rPr>
            </w:pPr>
            <w:r w:rsidRPr="002636AA">
              <w:rPr>
                <w:color w:val="000000"/>
              </w:rPr>
              <w:t>109 мм и менее</w:t>
            </w:r>
          </w:p>
        </w:tc>
        <w:tc>
          <w:tcPr>
            <w:tcW w:w="1775" w:type="dxa"/>
            <w:vMerge w:val="restart"/>
            <w:tcBorders>
              <w:top w:val="nil"/>
              <w:left w:val="single" w:sz="4" w:space="0" w:color="auto"/>
              <w:bottom w:val="single" w:sz="4" w:space="0" w:color="auto"/>
              <w:right w:val="single" w:sz="4" w:space="0" w:color="auto"/>
            </w:tcBorders>
            <w:shd w:val="clear" w:color="auto" w:fill="auto"/>
            <w:vAlign w:val="center"/>
            <w:hideMark/>
          </w:tcPr>
          <w:p w14:paraId="2A4BFED7" w14:textId="77777777" w:rsidR="0099088D" w:rsidRPr="002636AA" w:rsidRDefault="0099088D" w:rsidP="0099088D">
            <w:pPr>
              <w:jc w:val="center"/>
              <w:rPr>
                <w:color w:val="000000"/>
              </w:rPr>
            </w:pPr>
            <w:r w:rsidRPr="002636AA">
              <w:rPr>
                <w:color w:val="000000"/>
              </w:rPr>
              <w:t>руб. за 1 присоединение</w:t>
            </w: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407C51A7" w14:textId="77777777" w:rsidR="0099088D" w:rsidRPr="002636AA" w:rsidRDefault="0099088D" w:rsidP="0099088D">
            <w:pPr>
              <w:jc w:val="center"/>
              <w:rPr>
                <w:color w:val="000000"/>
              </w:rPr>
            </w:pPr>
            <w:r w:rsidRPr="002636AA">
              <w:rPr>
                <w:color w:val="000000"/>
              </w:rPr>
              <w:t>22 624</w:t>
            </w:r>
          </w:p>
        </w:tc>
      </w:tr>
      <w:tr w:rsidR="0099088D" w:rsidRPr="002636AA" w14:paraId="16ECCBDF" w14:textId="77777777" w:rsidTr="0099088D">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6CD68510" w14:textId="77777777" w:rsidR="0099088D" w:rsidRPr="002636AA" w:rsidRDefault="0099088D" w:rsidP="0099088D">
            <w:pPr>
              <w:jc w:val="center"/>
              <w:rPr>
                <w:color w:val="000000"/>
              </w:rPr>
            </w:pPr>
            <w:r w:rsidRPr="002636AA">
              <w:rPr>
                <w:color w:val="000000"/>
              </w:rPr>
              <w:t>1.1.2.2.2.</w:t>
            </w:r>
          </w:p>
        </w:tc>
        <w:tc>
          <w:tcPr>
            <w:tcW w:w="4106" w:type="dxa"/>
            <w:tcBorders>
              <w:top w:val="nil"/>
              <w:left w:val="nil"/>
              <w:bottom w:val="single" w:sz="4" w:space="0" w:color="auto"/>
              <w:right w:val="single" w:sz="4" w:space="0" w:color="auto"/>
            </w:tcBorders>
            <w:shd w:val="clear" w:color="auto" w:fill="auto"/>
            <w:vAlign w:val="center"/>
            <w:hideMark/>
          </w:tcPr>
          <w:p w14:paraId="7CBBB25E" w14:textId="77777777" w:rsidR="0099088D" w:rsidRPr="002636AA" w:rsidRDefault="0099088D" w:rsidP="0099088D">
            <w:pPr>
              <w:rPr>
                <w:color w:val="000000"/>
              </w:rPr>
            </w:pPr>
            <w:r w:rsidRPr="002636AA">
              <w:rPr>
                <w:color w:val="000000"/>
              </w:rPr>
              <w:t>110-159 мм</w:t>
            </w:r>
          </w:p>
        </w:tc>
        <w:tc>
          <w:tcPr>
            <w:tcW w:w="1775" w:type="dxa"/>
            <w:vMerge/>
            <w:tcBorders>
              <w:top w:val="nil"/>
              <w:left w:val="single" w:sz="4" w:space="0" w:color="auto"/>
              <w:bottom w:val="single" w:sz="4" w:space="0" w:color="auto"/>
              <w:right w:val="single" w:sz="4" w:space="0" w:color="auto"/>
            </w:tcBorders>
            <w:vAlign w:val="center"/>
            <w:hideMark/>
          </w:tcPr>
          <w:p w14:paraId="47B6AE38" w14:textId="77777777" w:rsidR="0099088D" w:rsidRPr="002636AA"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46466DBD" w14:textId="77777777" w:rsidR="0099088D" w:rsidRPr="002636AA" w:rsidRDefault="0099088D" w:rsidP="0099088D">
            <w:pPr>
              <w:jc w:val="center"/>
              <w:rPr>
                <w:color w:val="000000"/>
              </w:rPr>
            </w:pPr>
            <w:r w:rsidRPr="002636AA">
              <w:rPr>
                <w:color w:val="000000"/>
              </w:rPr>
              <w:t>30 185</w:t>
            </w:r>
          </w:p>
        </w:tc>
      </w:tr>
      <w:tr w:rsidR="0099088D" w:rsidRPr="002636AA" w14:paraId="3E8D038D" w14:textId="77777777" w:rsidTr="0099088D">
        <w:trPr>
          <w:trHeight w:val="276"/>
        </w:trPr>
        <w:tc>
          <w:tcPr>
            <w:tcW w:w="1297" w:type="dxa"/>
            <w:tcBorders>
              <w:top w:val="nil"/>
              <w:left w:val="single" w:sz="4" w:space="0" w:color="auto"/>
              <w:bottom w:val="single" w:sz="4" w:space="0" w:color="auto"/>
              <w:right w:val="single" w:sz="4" w:space="0" w:color="auto"/>
            </w:tcBorders>
            <w:shd w:val="clear" w:color="auto" w:fill="auto"/>
            <w:vAlign w:val="center"/>
            <w:hideMark/>
          </w:tcPr>
          <w:p w14:paraId="1555E62F" w14:textId="77777777" w:rsidR="0099088D" w:rsidRPr="002636AA" w:rsidRDefault="0099088D" w:rsidP="0099088D">
            <w:pPr>
              <w:jc w:val="center"/>
              <w:rPr>
                <w:color w:val="000000"/>
              </w:rPr>
            </w:pPr>
            <w:r w:rsidRPr="002636AA">
              <w:rPr>
                <w:color w:val="000000"/>
              </w:rPr>
              <w:t>1.1.2.2.3.</w:t>
            </w:r>
          </w:p>
        </w:tc>
        <w:tc>
          <w:tcPr>
            <w:tcW w:w="4106" w:type="dxa"/>
            <w:tcBorders>
              <w:top w:val="nil"/>
              <w:left w:val="nil"/>
              <w:bottom w:val="single" w:sz="4" w:space="0" w:color="auto"/>
              <w:right w:val="single" w:sz="4" w:space="0" w:color="auto"/>
            </w:tcBorders>
            <w:shd w:val="clear" w:color="auto" w:fill="auto"/>
            <w:vAlign w:val="center"/>
            <w:hideMark/>
          </w:tcPr>
          <w:p w14:paraId="1B6C4715" w14:textId="77777777" w:rsidR="0099088D" w:rsidRPr="002636AA" w:rsidRDefault="0099088D" w:rsidP="0099088D">
            <w:pPr>
              <w:rPr>
                <w:color w:val="000000"/>
              </w:rPr>
            </w:pPr>
            <w:r w:rsidRPr="002636AA">
              <w:rPr>
                <w:color w:val="000000"/>
              </w:rPr>
              <w:t>160-224 мм</w:t>
            </w:r>
          </w:p>
        </w:tc>
        <w:tc>
          <w:tcPr>
            <w:tcW w:w="1775" w:type="dxa"/>
            <w:vMerge/>
            <w:tcBorders>
              <w:top w:val="nil"/>
              <w:left w:val="single" w:sz="4" w:space="0" w:color="auto"/>
              <w:bottom w:val="single" w:sz="4" w:space="0" w:color="auto"/>
              <w:right w:val="single" w:sz="4" w:space="0" w:color="auto"/>
            </w:tcBorders>
            <w:vAlign w:val="center"/>
            <w:hideMark/>
          </w:tcPr>
          <w:p w14:paraId="23EFB856" w14:textId="77777777" w:rsidR="0099088D" w:rsidRPr="002636AA"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3E7F8E90" w14:textId="77777777" w:rsidR="0099088D" w:rsidRPr="002636AA" w:rsidRDefault="0099088D" w:rsidP="0099088D">
            <w:pPr>
              <w:jc w:val="center"/>
              <w:rPr>
                <w:color w:val="000000"/>
              </w:rPr>
            </w:pPr>
            <w:r w:rsidRPr="002636AA">
              <w:rPr>
                <w:color w:val="000000"/>
              </w:rPr>
              <w:t>55 514</w:t>
            </w:r>
          </w:p>
        </w:tc>
      </w:tr>
    </w:tbl>
    <w:p w14:paraId="42CE1EE0" w14:textId="77777777" w:rsidR="0099088D" w:rsidRPr="002636AA" w:rsidRDefault="0099088D" w:rsidP="0099088D">
      <w:pPr>
        <w:autoSpaceDE w:val="0"/>
        <w:autoSpaceDN w:val="0"/>
        <w:adjustRightInd w:val="0"/>
        <w:ind w:firstLine="540"/>
        <w:jc w:val="both"/>
        <w:rPr>
          <w:sz w:val="28"/>
          <w:szCs w:val="28"/>
        </w:rPr>
      </w:pPr>
    </w:p>
    <w:p w14:paraId="78834B5E" w14:textId="77777777" w:rsidR="0099088D" w:rsidRPr="002636AA" w:rsidRDefault="0099088D" w:rsidP="0099088D">
      <w:pPr>
        <w:autoSpaceDE w:val="0"/>
        <w:autoSpaceDN w:val="0"/>
        <w:adjustRightInd w:val="0"/>
        <w:ind w:firstLine="540"/>
        <w:jc w:val="both"/>
        <w:rPr>
          <w:sz w:val="28"/>
          <w:szCs w:val="28"/>
        </w:rPr>
      </w:pPr>
    </w:p>
    <w:p w14:paraId="5FEF46BD" w14:textId="77777777" w:rsidR="0099088D" w:rsidRPr="002636AA" w:rsidRDefault="0099088D" w:rsidP="0099088D">
      <w:pPr>
        <w:autoSpaceDE w:val="0"/>
        <w:autoSpaceDN w:val="0"/>
        <w:adjustRightInd w:val="0"/>
        <w:ind w:firstLine="540"/>
        <w:jc w:val="both"/>
        <w:rPr>
          <w:sz w:val="28"/>
          <w:szCs w:val="28"/>
        </w:rPr>
      </w:pPr>
    </w:p>
    <w:p w14:paraId="7979A895" w14:textId="77777777" w:rsidR="0099088D" w:rsidRPr="002636AA" w:rsidRDefault="0099088D" w:rsidP="0099088D">
      <w:pPr>
        <w:autoSpaceDE w:val="0"/>
        <w:autoSpaceDN w:val="0"/>
        <w:adjustRightInd w:val="0"/>
        <w:ind w:firstLine="540"/>
        <w:jc w:val="both"/>
        <w:rPr>
          <w:sz w:val="28"/>
          <w:szCs w:val="28"/>
        </w:rPr>
      </w:pPr>
    </w:p>
    <w:p w14:paraId="4B4559DC" w14:textId="77777777" w:rsidR="0099088D" w:rsidRPr="002636AA" w:rsidRDefault="0099088D" w:rsidP="0099088D">
      <w:pPr>
        <w:autoSpaceDE w:val="0"/>
        <w:autoSpaceDN w:val="0"/>
        <w:adjustRightInd w:val="0"/>
        <w:ind w:firstLine="540"/>
        <w:jc w:val="both"/>
        <w:rPr>
          <w:sz w:val="28"/>
          <w:szCs w:val="28"/>
        </w:rPr>
      </w:pPr>
      <w:r w:rsidRPr="002636AA">
        <w:rPr>
          <w:sz w:val="28"/>
          <w:szCs w:val="28"/>
        </w:rPr>
        <w:t>Размер стандартизированной тарифной ставки, связанной с фактическим присоединением к сети газораспределения (С7.2), определяется по формуле:</w:t>
      </w:r>
    </w:p>
    <w:p w14:paraId="3E951EF8" w14:textId="77777777" w:rsidR="0099088D" w:rsidRPr="002636AA" w:rsidRDefault="0099088D" w:rsidP="0099088D">
      <w:pPr>
        <w:autoSpaceDE w:val="0"/>
        <w:autoSpaceDN w:val="0"/>
        <w:adjustRightInd w:val="0"/>
        <w:ind w:firstLine="540"/>
        <w:jc w:val="both"/>
        <w:rPr>
          <w:sz w:val="28"/>
          <w:szCs w:val="28"/>
        </w:rPr>
      </w:pPr>
    </w:p>
    <w:p w14:paraId="79D1E5F5" w14:textId="77777777" w:rsidR="0099088D" w:rsidRPr="002636AA" w:rsidRDefault="0099088D" w:rsidP="0099088D">
      <w:pPr>
        <w:autoSpaceDE w:val="0"/>
        <w:autoSpaceDN w:val="0"/>
        <w:adjustRightInd w:val="0"/>
        <w:jc w:val="center"/>
        <w:rPr>
          <w:sz w:val="28"/>
          <w:szCs w:val="28"/>
        </w:rPr>
      </w:pPr>
      <w:r w:rsidRPr="002636AA">
        <w:rPr>
          <w:noProof/>
          <w:position w:val="-39"/>
          <w:sz w:val="28"/>
          <w:szCs w:val="28"/>
        </w:rPr>
        <w:drawing>
          <wp:inline distT="0" distB="0" distL="0" distR="0" wp14:anchorId="072B8A47" wp14:editId="2C646E1B">
            <wp:extent cx="1771650" cy="6858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6" cstate="print">
                      <a:extLst>
                        <a:ext uri="{28A0092B-C50C-407E-A947-70E740481C1C}">
                          <a14:useLocalDpi xmlns:a14="http://schemas.microsoft.com/office/drawing/2010/main" val="0"/>
                        </a:ext>
                      </a:extLst>
                    </a:blip>
                    <a:srcRect r="20512" b="-1408"/>
                    <a:stretch>
                      <a:fillRect/>
                    </a:stretch>
                  </pic:blipFill>
                  <pic:spPr bwMode="auto">
                    <a:xfrm>
                      <a:off x="0" y="0"/>
                      <a:ext cx="1771650" cy="685800"/>
                    </a:xfrm>
                    <a:prstGeom prst="rect">
                      <a:avLst/>
                    </a:prstGeom>
                    <a:noFill/>
                    <a:ln>
                      <a:noFill/>
                    </a:ln>
                  </pic:spPr>
                </pic:pic>
              </a:graphicData>
            </a:graphic>
          </wp:inline>
        </w:drawing>
      </w:r>
    </w:p>
    <w:p w14:paraId="046FEE5B" w14:textId="77777777" w:rsidR="0099088D" w:rsidRPr="002636AA" w:rsidRDefault="0099088D" w:rsidP="0099088D">
      <w:pPr>
        <w:autoSpaceDE w:val="0"/>
        <w:autoSpaceDN w:val="0"/>
        <w:adjustRightInd w:val="0"/>
        <w:ind w:firstLine="540"/>
        <w:jc w:val="both"/>
        <w:rPr>
          <w:sz w:val="28"/>
          <w:szCs w:val="28"/>
        </w:rPr>
      </w:pPr>
    </w:p>
    <w:p w14:paraId="5517C065" w14:textId="77777777" w:rsidR="0099088D" w:rsidRPr="002636AA" w:rsidRDefault="0099088D" w:rsidP="0099088D">
      <w:pPr>
        <w:autoSpaceDE w:val="0"/>
        <w:autoSpaceDN w:val="0"/>
        <w:adjustRightInd w:val="0"/>
        <w:ind w:firstLine="540"/>
        <w:jc w:val="both"/>
        <w:rPr>
          <w:sz w:val="28"/>
          <w:szCs w:val="28"/>
        </w:rPr>
      </w:pPr>
      <w:r w:rsidRPr="002636AA">
        <w:rPr>
          <w:sz w:val="28"/>
          <w:szCs w:val="28"/>
        </w:rPr>
        <w:t>где:</w:t>
      </w:r>
    </w:p>
    <w:p w14:paraId="0B3CCA65" w14:textId="77777777" w:rsidR="0099088D" w:rsidRPr="002636AA" w:rsidRDefault="0099088D" w:rsidP="0099088D">
      <w:pPr>
        <w:autoSpaceDE w:val="0"/>
        <w:autoSpaceDN w:val="0"/>
        <w:adjustRightInd w:val="0"/>
        <w:ind w:firstLine="540"/>
        <w:jc w:val="both"/>
        <w:rPr>
          <w:sz w:val="28"/>
          <w:szCs w:val="28"/>
        </w:rPr>
      </w:pPr>
      <w:r w:rsidRPr="002636AA">
        <w:rPr>
          <w:sz w:val="28"/>
          <w:szCs w:val="28"/>
        </w:rPr>
        <w:t>Рgi(j)k - расходы ГРО на осуществление фактического присоединения объектов капитального строительства Заявителя к газораспределительной сети ГРО,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g-тым способом врезки сети газопотребления Заявителя и существующего или вновь построенного стального i-того диапазона диаметров (полиэтиленового j-того диапазона диаметров) газопровода ГРО, бесхозяйного газопровода или газопровода основного абонента, выполненным k-тым типом прокладки, и проведением пуска газа в газоиспользующее оборудование Заявителя, понесенные в соответствующем календарном году из предусмотренных абзацами первым - четвертым пункта 32 Методических указаний, руб.;</w:t>
      </w:r>
    </w:p>
    <w:p w14:paraId="362D4727" w14:textId="77777777" w:rsidR="0099088D" w:rsidRPr="002636AA" w:rsidRDefault="0099088D" w:rsidP="0099088D">
      <w:pPr>
        <w:autoSpaceDE w:val="0"/>
        <w:autoSpaceDN w:val="0"/>
        <w:adjustRightInd w:val="0"/>
        <w:ind w:firstLine="540"/>
        <w:jc w:val="both"/>
        <w:rPr>
          <w:sz w:val="28"/>
          <w:szCs w:val="28"/>
        </w:rPr>
      </w:pPr>
      <w:r w:rsidRPr="002636AA">
        <w:rPr>
          <w:sz w:val="28"/>
          <w:szCs w:val="28"/>
        </w:rPr>
        <w:t>Ngi(j)k - количество договоров о подключении (технологических присоединений), по которым осуществлено фактическое присоединение объекта капитального строительства Заявителя к газораспределительной сети ГРО,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g-тым способом врезки сети газопотребления Заявителя и существующего или вновь построенного стального i-того диапазона диаметров (полиэтиленового j-того диапазона диаметров) газопровода k-тым типом прокладки ГРО (основного абонента), и проведением пуска газа (без учета подключений (технологических присоединений) в случаях, указанных в подпунктах "а" и "б" пункта 4 Методических указаний), в соответствующем календарном году из предусмотренных абзацами первым - четвертым пункта 31 Методических указаний, шт.;</w:t>
      </w:r>
    </w:p>
    <w:p w14:paraId="020F816F" w14:textId="77777777" w:rsidR="0099088D" w:rsidRPr="002636AA" w:rsidRDefault="0099088D" w:rsidP="0099088D">
      <w:pPr>
        <w:autoSpaceDE w:val="0"/>
        <w:autoSpaceDN w:val="0"/>
        <w:adjustRightInd w:val="0"/>
        <w:ind w:firstLine="540"/>
        <w:jc w:val="both"/>
        <w:rPr>
          <w:sz w:val="28"/>
          <w:szCs w:val="28"/>
        </w:rPr>
      </w:pPr>
      <w:r w:rsidRPr="002636AA">
        <w:rPr>
          <w:sz w:val="28"/>
          <w:szCs w:val="28"/>
        </w:rPr>
        <w:t>I - коэффициент расходов, определяемый в соответствии с пунктом 33 Методических указаний.</w:t>
      </w:r>
    </w:p>
    <w:p w14:paraId="27E51FC5" w14:textId="77777777" w:rsidR="0099088D" w:rsidRPr="002636AA" w:rsidRDefault="0099088D" w:rsidP="0099088D">
      <w:pPr>
        <w:autoSpaceDE w:val="0"/>
        <w:autoSpaceDN w:val="0"/>
        <w:adjustRightInd w:val="0"/>
        <w:ind w:firstLine="540"/>
        <w:jc w:val="both"/>
        <w:rPr>
          <w:sz w:val="28"/>
          <w:szCs w:val="28"/>
        </w:rPr>
      </w:pPr>
      <w:r w:rsidRPr="002636AA">
        <w:rPr>
          <w:sz w:val="28"/>
          <w:szCs w:val="28"/>
        </w:rPr>
        <w:t>Ставки, указанные в п.п. 1.1.1.1.,</w:t>
      </w:r>
      <w:r w:rsidRPr="002636AA">
        <w:rPr>
          <w:szCs w:val="20"/>
        </w:rPr>
        <w:t xml:space="preserve"> </w:t>
      </w:r>
      <w:r w:rsidRPr="002636AA">
        <w:rPr>
          <w:sz w:val="28"/>
          <w:szCs w:val="28"/>
        </w:rPr>
        <w:t>1.1.2. (кроме п.п.</w:t>
      </w:r>
      <w:r w:rsidRPr="002636AA">
        <w:rPr>
          <w:szCs w:val="20"/>
        </w:rPr>
        <w:t xml:space="preserve"> </w:t>
      </w:r>
      <w:r w:rsidRPr="002636AA">
        <w:rPr>
          <w:sz w:val="28"/>
          <w:szCs w:val="28"/>
        </w:rPr>
        <w:t>1.1.2.1.4. и 1.1.2.1.6.) Таблицы 7 определены на основании фактических данных за 2018-2020 годы, с применением коэффициента расходов I, рассчитанного с применением индексов ИПЦ (ИПЦ 2019 - 104,5 ИПЦ 2020 - 103,4, ИПЦ 2021- 106),</w:t>
      </w:r>
      <w:r w:rsidRPr="002636AA">
        <w:rPr>
          <w:color w:val="000000"/>
          <w:sz w:val="28"/>
          <w:szCs w:val="28"/>
        </w:rPr>
        <w:t xml:space="preserve"> опубликованных на сайте Минэкономразвития России 30.09.2021 (в части 2020 и 2021 годов) и 26.09.2020 (в части 2019 года).</w:t>
      </w:r>
      <w:r w:rsidRPr="002636AA">
        <w:rPr>
          <w:sz w:val="28"/>
          <w:szCs w:val="28"/>
        </w:rPr>
        <w:t xml:space="preserve"> </w:t>
      </w:r>
    </w:p>
    <w:p w14:paraId="1C009500" w14:textId="77777777" w:rsidR="0099088D" w:rsidRPr="002636AA" w:rsidRDefault="0099088D" w:rsidP="0099088D">
      <w:pPr>
        <w:autoSpaceDE w:val="0"/>
        <w:autoSpaceDN w:val="0"/>
        <w:adjustRightInd w:val="0"/>
        <w:ind w:firstLine="540"/>
        <w:jc w:val="both"/>
        <w:rPr>
          <w:sz w:val="28"/>
          <w:szCs w:val="28"/>
        </w:rPr>
      </w:pPr>
      <w:r w:rsidRPr="002636AA">
        <w:rPr>
          <w:sz w:val="28"/>
          <w:szCs w:val="28"/>
        </w:rPr>
        <w:t xml:space="preserve">Ставки, указанные остальных пунктах Таблицы 6, в связи с тем, что ГРО в 2018-2020 годах не осуществляла затраты на фактическое подключение </w:t>
      </w:r>
      <w:bookmarkStart w:id="57" w:name="_Hlk26435916"/>
      <w:r w:rsidRPr="002636AA">
        <w:rPr>
          <w:sz w:val="28"/>
          <w:szCs w:val="28"/>
        </w:rPr>
        <w:t>в соответствующих диапазонах диаметров и давлений,</w:t>
      </w:r>
      <w:bookmarkEnd w:id="57"/>
      <w:r w:rsidRPr="002636AA">
        <w:rPr>
          <w:sz w:val="28"/>
          <w:szCs w:val="28"/>
        </w:rPr>
        <w:t xml:space="preserve"> материала трубопровода, типа прокладки, определены на уровне утвержденных на 2021 год соответствующих ставок с применением ИПЦ на 2022 год в размере 1,043, опубликованном на сайте Минэкономразвития России </w:t>
      </w:r>
      <w:bookmarkStart w:id="58" w:name="_Hlk87879707"/>
      <w:r w:rsidRPr="002636AA">
        <w:rPr>
          <w:sz w:val="28"/>
          <w:szCs w:val="28"/>
        </w:rPr>
        <w:t>30.09.2021</w:t>
      </w:r>
      <w:bookmarkEnd w:id="58"/>
      <w:r w:rsidRPr="002636AA">
        <w:rPr>
          <w:sz w:val="28"/>
          <w:szCs w:val="28"/>
        </w:rPr>
        <w:t>.</w:t>
      </w:r>
    </w:p>
    <w:p w14:paraId="5D60CF9B" w14:textId="77777777" w:rsidR="0099088D" w:rsidRPr="002636AA" w:rsidRDefault="0099088D" w:rsidP="0099088D">
      <w:pPr>
        <w:autoSpaceDE w:val="0"/>
        <w:autoSpaceDN w:val="0"/>
        <w:adjustRightInd w:val="0"/>
        <w:ind w:firstLine="540"/>
        <w:jc w:val="both"/>
        <w:rPr>
          <w:sz w:val="28"/>
          <w:szCs w:val="28"/>
        </w:rPr>
      </w:pPr>
      <w:r w:rsidRPr="002636AA">
        <w:rPr>
          <w:sz w:val="28"/>
          <w:szCs w:val="28"/>
        </w:rPr>
        <w:t>Эксперты, проанализировав расчет предлагаемых предприятием стандартизированных тарифных ставок С</w:t>
      </w:r>
      <w:r w:rsidRPr="002636AA">
        <w:rPr>
          <w:sz w:val="28"/>
          <w:szCs w:val="28"/>
          <w:vertAlign w:val="subscript"/>
        </w:rPr>
        <w:t>7.2</w:t>
      </w:r>
      <w:r w:rsidRPr="002636AA">
        <w:rPr>
          <w:sz w:val="28"/>
          <w:szCs w:val="28"/>
        </w:rPr>
        <w:t>, предлагают утвердить их на уровне предложения предприятия.</w:t>
      </w:r>
    </w:p>
    <w:p w14:paraId="66094665" w14:textId="77777777" w:rsidR="0099088D" w:rsidRPr="002636AA" w:rsidRDefault="0099088D" w:rsidP="0099088D">
      <w:pPr>
        <w:autoSpaceDE w:val="0"/>
        <w:autoSpaceDN w:val="0"/>
        <w:adjustRightInd w:val="0"/>
        <w:ind w:firstLine="540"/>
        <w:jc w:val="both"/>
        <w:rPr>
          <w:sz w:val="28"/>
          <w:szCs w:val="28"/>
        </w:rPr>
      </w:pPr>
    </w:p>
    <w:p w14:paraId="0CDE8FC6" w14:textId="77777777" w:rsidR="0099088D" w:rsidRPr="002636AA" w:rsidRDefault="0099088D" w:rsidP="0099088D">
      <w:pPr>
        <w:autoSpaceDE w:val="0"/>
        <w:autoSpaceDN w:val="0"/>
        <w:adjustRightInd w:val="0"/>
        <w:ind w:firstLine="540"/>
        <w:jc w:val="both"/>
        <w:rPr>
          <w:sz w:val="28"/>
          <w:szCs w:val="28"/>
        </w:rPr>
      </w:pPr>
    </w:p>
    <w:p w14:paraId="513E54CD" w14:textId="77777777" w:rsidR="0099088D" w:rsidRPr="002636AA" w:rsidRDefault="0099088D" w:rsidP="0099088D">
      <w:pPr>
        <w:tabs>
          <w:tab w:val="left" w:pos="0"/>
          <w:tab w:val="left" w:pos="284"/>
        </w:tabs>
        <w:jc w:val="center"/>
        <w:rPr>
          <w:b/>
          <w:sz w:val="28"/>
          <w:szCs w:val="28"/>
        </w:rPr>
      </w:pPr>
      <w:r w:rsidRPr="002636AA">
        <w:rPr>
          <w:b/>
          <w:sz w:val="28"/>
          <w:szCs w:val="28"/>
        </w:rPr>
        <w:t xml:space="preserve">Сводная таблица предлагаемых к утверждению стандартизированных тарифных ставок, используемых для определения платы за технологическое присоединение газоиспользующего оборудования к газораспределительным сетям ООО «Газпром газораспределение Томск» на территории Кемеровской области - Кузбасса на 2022 год </w:t>
      </w:r>
    </w:p>
    <w:p w14:paraId="5F482D50" w14:textId="77777777" w:rsidR="0099088D" w:rsidRPr="002636AA" w:rsidRDefault="0099088D" w:rsidP="0099088D">
      <w:pPr>
        <w:tabs>
          <w:tab w:val="left" w:pos="3945"/>
        </w:tabs>
        <w:ind w:left="426" w:right="567"/>
        <w:jc w:val="center"/>
        <w:rPr>
          <w:b/>
          <w:sz w:val="28"/>
          <w:szCs w:val="28"/>
        </w:rPr>
      </w:pPr>
    </w:p>
    <w:p w14:paraId="6EFF4507" w14:textId="77777777" w:rsidR="0099088D" w:rsidRPr="002636AA" w:rsidRDefault="0099088D" w:rsidP="0099088D">
      <w:pPr>
        <w:tabs>
          <w:tab w:val="left" w:pos="3945"/>
        </w:tabs>
        <w:ind w:left="426" w:right="567"/>
        <w:jc w:val="center"/>
        <w:rPr>
          <w:b/>
          <w:sz w:val="28"/>
          <w:szCs w:val="28"/>
        </w:rPr>
      </w:pPr>
    </w:p>
    <w:p w14:paraId="52081E1E" w14:textId="77777777" w:rsidR="0099088D" w:rsidRPr="002636AA" w:rsidRDefault="0099088D" w:rsidP="0099088D">
      <w:pPr>
        <w:tabs>
          <w:tab w:val="left" w:pos="3945"/>
        </w:tabs>
        <w:ind w:left="426" w:right="567"/>
        <w:jc w:val="center"/>
        <w:rPr>
          <w:b/>
          <w:sz w:val="28"/>
          <w:szCs w:val="28"/>
        </w:rPr>
      </w:pPr>
    </w:p>
    <w:p w14:paraId="1C78596A" w14:textId="77777777" w:rsidR="0099088D" w:rsidRPr="002636AA" w:rsidRDefault="0099088D" w:rsidP="0099088D">
      <w:pPr>
        <w:tabs>
          <w:tab w:val="left" w:pos="3945"/>
        </w:tabs>
        <w:ind w:left="426" w:right="567"/>
        <w:jc w:val="center"/>
        <w:rPr>
          <w:b/>
          <w:sz w:val="28"/>
          <w:szCs w:val="28"/>
        </w:rPr>
      </w:pPr>
    </w:p>
    <w:tbl>
      <w:tblPr>
        <w:tblW w:w="964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4106"/>
        <w:gridCol w:w="1775"/>
        <w:gridCol w:w="2466"/>
      </w:tblGrid>
      <w:tr w:rsidR="0099088D" w:rsidRPr="002636AA" w14:paraId="0399CF90" w14:textId="77777777" w:rsidTr="0099088D">
        <w:trPr>
          <w:trHeight w:val="458"/>
        </w:trPr>
        <w:tc>
          <w:tcPr>
            <w:tcW w:w="1297" w:type="dxa"/>
            <w:vMerge w:val="restart"/>
            <w:shd w:val="clear" w:color="auto" w:fill="auto"/>
            <w:vAlign w:val="center"/>
            <w:hideMark/>
          </w:tcPr>
          <w:p w14:paraId="500AFC4B" w14:textId="77777777" w:rsidR="0099088D" w:rsidRPr="002636AA" w:rsidRDefault="0099088D" w:rsidP="0099088D">
            <w:pPr>
              <w:jc w:val="center"/>
              <w:rPr>
                <w:color w:val="000000"/>
              </w:rPr>
            </w:pPr>
            <w:bookmarkStart w:id="59" w:name="_Hlk26436905"/>
            <w:bookmarkStart w:id="60" w:name="_Hlk26436970"/>
            <w:r w:rsidRPr="002636AA">
              <w:rPr>
                <w:color w:val="000000"/>
              </w:rPr>
              <w:t>№</w:t>
            </w:r>
          </w:p>
          <w:p w14:paraId="507D9958" w14:textId="77777777" w:rsidR="0099088D" w:rsidRPr="002636AA" w:rsidRDefault="0099088D" w:rsidP="0099088D">
            <w:pPr>
              <w:jc w:val="center"/>
              <w:rPr>
                <w:color w:val="000000"/>
              </w:rPr>
            </w:pPr>
            <w:r w:rsidRPr="002636AA">
              <w:rPr>
                <w:color w:val="000000"/>
              </w:rPr>
              <w:t>п/п</w:t>
            </w:r>
          </w:p>
        </w:tc>
        <w:tc>
          <w:tcPr>
            <w:tcW w:w="4106" w:type="dxa"/>
            <w:vMerge w:val="restart"/>
            <w:shd w:val="clear" w:color="auto" w:fill="auto"/>
            <w:vAlign w:val="center"/>
            <w:hideMark/>
          </w:tcPr>
          <w:p w14:paraId="7D70A579" w14:textId="77777777" w:rsidR="0099088D" w:rsidRPr="002636AA" w:rsidRDefault="0099088D" w:rsidP="0099088D">
            <w:pPr>
              <w:jc w:val="center"/>
              <w:rPr>
                <w:color w:val="000000"/>
              </w:rPr>
            </w:pPr>
            <w:r w:rsidRPr="002636AA">
              <w:rPr>
                <w:color w:val="000000"/>
              </w:rPr>
              <w:t>Наименование стандартизированных тарифных ставок</w:t>
            </w:r>
          </w:p>
        </w:tc>
        <w:tc>
          <w:tcPr>
            <w:tcW w:w="1775" w:type="dxa"/>
            <w:vMerge w:val="restart"/>
            <w:shd w:val="clear" w:color="auto" w:fill="auto"/>
            <w:vAlign w:val="center"/>
            <w:hideMark/>
          </w:tcPr>
          <w:p w14:paraId="6589115C" w14:textId="77777777" w:rsidR="0099088D" w:rsidRPr="002636AA" w:rsidRDefault="0099088D" w:rsidP="0099088D">
            <w:pPr>
              <w:jc w:val="center"/>
              <w:rPr>
                <w:color w:val="000000"/>
              </w:rPr>
            </w:pPr>
            <w:r w:rsidRPr="002636AA">
              <w:rPr>
                <w:color w:val="000000"/>
              </w:rPr>
              <w:t>Единица измерения</w:t>
            </w:r>
          </w:p>
        </w:tc>
        <w:tc>
          <w:tcPr>
            <w:tcW w:w="2466" w:type="dxa"/>
            <w:vMerge w:val="restart"/>
            <w:shd w:val="clear" w:color="000000" w:fill="FFFFFF"/>
            <w:vAlign w:val="center"/>
            <w:hideMark/>
          </w:tcPr>
          <w:p w14:paraId="566BE0BE" w14:textId="77777777" w:rsidR="0099088D" w:rsidRPr="002636AA" w:rsidRDefault="0099088D" w:rsidP="0099088D">
            <w:pPr>
              <w:jc w:val="center"/>
              <w:rPr>
                <w:color w:val="000000"/>
              </w:rPr>
            </w:pPr>
            <w:r w:rsidRPr="002636AA">
              <w:rPr>
                <w:color w:val="000000"/>
              </w:rPr>
              <w:t xml:space="preserve">Размеры стандартизированных тарифных ставок </w:t>
            </w:r>
          </w:p>
        </w:tc>
      </w:tr>
      <w:tr w:rsidR="0099088D" w:rsidRPr="002636AA" w14:paraId="1234F0C6" w14:textId="77777777" w:rsidTr="0099088D">
        <w:trPr>
          <w:trHeight w:val="1554"/>
        </w:trPr>
        <w:tc>
          <w:tcPr>
            <w:tcW w:w="1297" w:type="dxa"/>
            <w:vMerge/>
            <w:vAlign w:val="center"/>
            <w:hideMark/>
          </w:tcPr>
          <w:p w14:paraId="3EBC886D" w14:textId="77777777" w:rsidR="0099088D" w:rsidRPr="002636AA" w:rsidRDefault="0099088D" w:rsidP="0099088D">
            <w:pPr>
              <w:rPr>
                <w:color w:val="000000"/>
              </w:rPr>
            </w:pPr>
          </w:p>
        </w:tc>
        <w:tc>
          <w:tcPr>
            <w:tcW w:w="4106" w:type="dxa"/>
            <w:vMerge/>
            <w:vAlign w:val="center"/>
            <w:hideMark/>
          </w:tcPr>
          <w:p w14:paraId="61CA9184" w14:textId="77777777" w:rsidR="0099088D" w:rsidRPr="002636AA" w:rsidRDefault="0099088D" w:rsidP="0099088D">
            <w:pPr>
              <w:rPr>
                <w:color w:val="000000"/>
              </w:rPr>
            </w:pPr>
          </w:p>
        </w:tc>
        <w:tc>
          <w:tcPr>
            <w:tcW w:w="1775" w:type="dxa"/>
            <w:vMerge/>
            <w:vAlign w:val="center"/>
            <w:hideMark/>
          </w:tcPr>
          <w:p w14:paraId="333D5F94" w14:textId="77777777" w:rsidR="0099088D" w:rsidRPr="002636AA" w:rsidRDefault="0099088D" w:rsidP="0099088D">
            <w:pPr>
              <w:rPr>
                <w:color w:val="000000"/>
              </w:rPr>
            </w:pPr>
          </w:p>
        </w:tc>
        <w:tc>
          <w:tcPr>
            <w:tcW w:w="2466" w:type="dxa"/>
            <w:vMerge/>
            <w:vAlign w:val="center"/>
            <w:hideMark/>
          </w:tcPr>
          <w:p w14:paraId="54887673" w14:textId="77777777" w:rsidR="0099088D" w:rsidRPr="002636AA" w:rsidRDefault="0099088D" w:rsidP="0099088D">
            <w:pPr>
              <w:rPr>
                <w:color w:val="000000"/>
              </w:rPr>
            </w:pPr>
          </w:p>
        </w:tc>
      </w:tr>
      <w:tr w:rsidR="0099088D" w:rsidRPr="002636AA" w14:paraId="0F7F97D6" w14:textId="77777777" w:rsidTr="0099088D">
        <w:trPr>
          <w:trHeight w:val="458"/>
        </w:trPr>
        <w:tc>
          <w:tcPr>
            <w:tcW w:w="1297" w:type="dxa"/>
            <w:vMerge/>
            <w:vAlign w:val="center"/>
            <w:hideMark/>
          </w:tcPr>
          <w:p w14:paraId="14058AFD" w14:textId="77777777" w:rsidR="0099088D" w:rsidRPr="002636AA" w:rsidRDefault="0099088D" w:rsidP="0099088D">
            <w:pPr>
              <w:rPr>
                <w:color w:val="000000"/>
              </w:rPr>
            </w:pPr>
          </w:p>
        </w:tc>
        <w:tc>
          <w:tcPr>
            <w:tcW w:w="4106" w:type="dxa"/>
            <w:vMerge/>
            <w:vAlign w:val="center"/>
            <w:hideMark/>
          </w:tcPr>
          <w:p w14:paraId="33B1C216" w14:textId="77777777" w:rsidR="0099088D" w:rsidRPr="002636AA" w:rsidRDefault="0099088D" w:rsidP="0099088D">
            <w:pPr>
              <w:rPr>
                <w:color w:val="000000"/>
              </w:rPr>
            </w:pPr>
          </w:p>
        </w:tc>
        <w:tc>
          <w:tcPr>
            <w:tcW w:w="1775" w:type="dxa"/>
            <w:vMerge/>
            <w:vAlign w:val="center"/>
            <w:hideMark/>
          </w:tcPr>
          <w:p w14:paraId="456F85FB" w14:textId="77777777" w:rsidR="0099088D" w:rsidRPr="002636AA" w:rsidRDefault="0099088D" w:rsidP="0099088D">
            <w:pPr>
              <w:rPr>
                <w:color w:val="000000"/>
              </w:rPr>
            </w:pPr>
          </w:p>
        </w:tc>
        <w:tc>
          <w:tcPr>
            <w:tcW w:w="2466" w:type="dxa"/>
            <w:vMerge/>
            <w:vAlign w:val="center"/>
            <w:hideMark/>
          </w:tcPr>
          <w:p w14:paraId="6273CCAB" w14:textId="77777777" w:rsidR="0099088D" w:rsidRPr="002636AA" w:rsidRDefault="0099088D" w:rsidP="0099088D">
            <w:pPr>
              <w:rPr>
                <w:color w:val="000000"/>
              </w:rPr>
            </w:pPr>
          </w:p>
        </w:tc>
      </w:tr>
      <w:tr w:rsidR="0099088D" w:rsidRPr="002636AA" w14:paraId="5DCAFA68" w14:textId="77777777" w:rsidTr="0099088D">
        <w:trPr>
          <w:trHeight w:val="276"/>
        </w:trPr>
        <w:tc>
          <w:tcPr>
            <w:tcW w:w="1297" w:type="dxa"/>
            <w:shd w:val="clear" w:color="auto" w:fill="auto"/>
            <w:vAlign w:val="center"/>
            <w:hideMark/>
          </w:tcPr>
          <w:p w14:paraId="2CF0ACCF" w14:textId="77777777" w:rsidR="0099088D" w:rsidRPr="002636AA" w:rsidRDefault="0099088D" w:rsidP="0099088D">
            <w:pPr>
              <w:jc w:val="center"/>
              <w:rPr>
                <w:color w:val="000000"/>
              </w:rPr>
            </w:pPr>
            <w:r w:rsidRPr="002636AA">
              <w:rPr>
                <w:color w:val="000000"/>
              </w:rPr>
              <w:t>1</w:t>
            </w:r>
          </w:p>
        </w:tc>
        <w:tc>
          <w:tcPr>
            <w:tcW w:w="4106" w:type="dxa"/>
            <w:shd w:val="clear" w:color="auto" w:fill="auto"/>
            <w:vAlign w:val="center"/>
            <w:hideMark/>
          </w:tcPr>
          <w:p w14:paraId="2822404A" w14:textId="77777777" w:rsidR="0099088D" w:rsidRPr="002636AA" w:rsidRDefault="0099088D" w:rsidP="0099088D">
            <w:pPr>
              <w:jc w:val="center"/>
              <w:rPr>
                <w:color w:val="000000"/>
              </w:rPr>
            </w:pPr>
            <w:r w:rsidRPr="002636AA">
              <w:rPr>
                <w:color w:val="000000"/>
              </w:rPr>
              <w:t>2</w:t>
            </w:r>
          </w:p>
        </w:tc>
        <w:tc>
          <w:tcPr>
            <w:tcW w:w="1775" w:type="dxa"/>
            <w:shd w:val="clear" w:color="auto" w:fill="auto"/>
            <w:vAlign w:val="center"/>
            <w:hideMark/>
          </w:tcPr>
          <w:p w14:paraId="45092E79" w14:textId="77777777" w:rsidR="0099088D" w:rsidRPr="002636AA" w:rsidRDefault="0099088D" w:rsidP="0099088D">
            <w:pPr>
              <w:jc w:val="center"/>
              <w:rPr>
                <w:color w:val="000000"/>
              </w:rPr>
            </w:pPr>
            <w:r w:rsidRPr="002636AA">
              <w:rPr>
                <w:color w:val="000000"/>
              </w:rPr>
              <w:t>3</w:t>
            </w:r>
          </w:p>
        </w:tc>
        <w:tc>
          <w:tcPr>
            <w:tcW w:w="2466" w:type="dxa"/>
            <w:shd w:val="clear" w:color="000000" w:fill="FFFFFF"/>
            <w:vAlign w:val="center"/>
            <w:hideMark/>
          </w:tcPr>
          <w:p w14:paraId="0C48BEC3" w14:textId="77777777" w:rsidR="0099088D" w:rsidRPr="002636AA" w:rsidRDefault="0099088D" w:rsidP="0099088D">
            <w:pPr>
              <w:jc w:val="center"/>
              <w:rPr>
                <w:color w:val="000000"/>
              </w:rPr>
            </w:pPr>
            <w:r w:rsidRPr="002636AA">
              <w:rPr>
                <w:color w:val="000000"/>
              </w:rPr>
              <w:t>4</w:t>
            </w:r>
          </w:p>
        </w:tc>
      </w:tr>
      <w:tr w:rsidR="0099088D" w:rsidRPr="002636AA" w14:paraId="21681515" w14:textId="77777777" w:rsidTr="0099088D">
        <w:trPr>
          <w:trHeight w:val="1347"/>
        </w:trPr>
        <w:tc>
          <w:tcPr>
            <w:tcW w:w="1297" w:type="dxa"/>
            <w:shd w:val="clear" w:color="auto" w:fill="auto"/>
            <w:vAlign w:val="center"/>
            <w:hideMark/>
          </w:tcPr>
          <w:p w14:paraId="4EF55121" w14:textId="77777777" w:rsidR="0099088D" w:rsidRPr="002636AA" w:rsidRDefault="0099088D" w:rsidP="0099088D">
            <w:pPr>
              <w:jc w:val="center"/>
              <w:rPr>
                <w:color w:val="000000"/>
              </w:rPr>
            </w:pPr>
            <w:r w:rsidRPr="002636AA">
              <w:rPr>
                <w:color w:val="000000"/>
              </w:rPr>
              <w:t>1.</w:t>
            </w:r>
          </w:p>
        </w:tc>
        <w:tc>
          <w:tcPr>
            <w:tcW w:w="8347" w:type="dxa"/>
            <w:gridSpan w:val="3"/>
            <w:shd w:val="clear" w:color="auto" w:fill="auto"/>
            <w:vAlign w:val="center"/>
            <w:hideMark/>
          </w:tcPr>
          <w:p w14:paraId="343647AA" w14:textId="77777777" w:rsidR="0099088D" w:rsidRPr="002636AA" w:rsidRDefault="0099088D" w:rsidP="0099088D">
            <w:pPr>
              <w:rPr>
                <w:color w:val="000000"/>
              </w:rPr>
            </w:pPr>
            <w:r w:rsidRPr="002636AA">
              <w:rPr>
                <w:color w:val="000000"/>
              </w:rPr>
              <w:t>Размер стандартизированной тарифной ставки</w:t>
            </w:r>
            <w:bookmarkStart w:id="61" w:name="_Hlk26262865"/>
            <w:r w:rsidRPr="002636AA">
              <w:rPr>
                <w:color w:val="000000"/>
              </w:rPr>
              <w:t xml:space="preserve"> С</w:t>
            </w:r>
            <w:r w:rsidRPr="002636AA">
              <w:rPr>
                <w:color w:val="000000"/>
                <w:vertAlign w:val="subscript"/>
              </w:rPr>
              <w:t>1</w:t>
            </w:r>
            <w:bookmarkEnd w:id="61"/>
            <w:r w:rsidRPr="002636AA">
              <w:rPr>
                <w:color w:val="000000"/>
              </w:rPr>
              <w:t xml:space="preserve"> на покрытие расходов газораспределительной организации, связанных с проектированием газораспределительной организацией газопровода </w:t>
            </w:r>
            <w:r w:rsidRPr="002636AA">
              <w:rPr>
                <w:color w:val="2D2D2D"/>
              </w:rPr>
              <w:t>(без НДС, с налогом на прибыль)</w:t>
            </w:r>
            <w:r w:rsidRPr="002636AA">
              <w:rPr>
                <w:color w:val="000000"/>
              </w:rPr>
              <w:t>:</w:t>
            </w:r>
          </w:p>
        </w:tc>
      </w:tr>
      <w:tr w:rsidR="0099088D" w:rsidRPr="002636AA" w14:paraId="165C92D7" w14:textId="77777777" w:rsidTr="0099088D">
        <w:trPr>
          <w:trHeight w:val="236"/>
        </w:trPr>
        <w:tc>
          <w:tcPr>
            <w:tcW w:w="1297" w:type="dxa"/>
            <w:shd w:val="clear" w:color="auto" w:fill="auto"/>
            <w:vAlign w:val="center"/>
            <w:hideMark/>
          </w:tcPr>
          <w:p w14:paraId="30FD95AE" w14:textId="77777777" w:rsidR="0099088D" w:rsidRPr="002636AA" w:rsidRDefault="0099088D" w:rsidP="0099088D">
            <w:pPr>
              <w:jc w:val="center"/>
              <w:rPr>
                <w:color w:val="000000"/>
              </w:rPr>
            </w:pPr>
            <w:r w:rsidRPr="002636AA">
              <w:rPr>
                <w:color w:val="000000"/>
              </w:rPr>
              <w:t>1.1.</w:t>
            </w:r>
          </w:p>
        </w:tc>
        <w:tc>
          <w:tcPr>
            <w:tcW w:w="8347" w:type="dxa"/>
            <w:gridSpan w:val="3"/>
            <w:shd w:val="clear" w:color="auto" w:fill="auto"/>
            <w:vAlign w:val="center"/>
            <w:hideMark/>
          </w:tcPr>
          <w:p w14:paraId="0B63FFE4" w14:textId="77777777" w:rsidR="0099088D" w:rsidRPr="002636AA" w:rsidRDefault="0099088D" w:rsidP="0099088D">
            <w:pPr>
              <w:rPr>
                <w:color w:val="000000"/>
              </w:rPr>
            </w:pPr>
            <w:r w:rsidRPr="002636AA">
              <w:rPr>
                <w:color w:val="000000"/>
              </w:rPr>
              <w:t>наземного (надземного) способа прокладки:</w:t>
            </w:r>
          </w:p>
        </w:tc>
      </w:tr>
      <w:tr w:rsidR="0099088D" w:rsidRPr="002636AA" w14:paraId="4A0C01A5" w14:textId="77777777" w:rsidTr="0099088D">
        <w:trPr>
          <w:trHeight w:val="226"/>
        </w:trPr>
        <w:tc>
          <w:tcPr>
            <w:tcW w:w="1297" w:type="dxa"/>
            <w:shd w:val="clear" w:color="auto" w:fill="auto"/>
            <w:vAlign w:val="center"/>
            <w:hideMark/>
          </w:tcPr>
          <w:p w14:paraId="787A00BE" w14:textId="77777777" w:rsidR="0099088D" w:rsidRPr="002636AA" w:rsidRDefault="0099088D" w:rsidP="0099088D">
            <w:pPr>
              <w:jc w:val="center"/>
              <w:rPr>
                <w:color w:val="000000"/>
              </w:rPr>
            </w:pPr>
            <w:r w:rsidRPr="002636AA">
              <w:rPr>
                <w:color w:val="000000"/>
              </w:rPr>
              <w:t>1.1.1.</w:t>
            </w:r>
          </w:p>
        </w:tc>
        <w:tc>
          <w:tcPr>
            <w:tcW w:w="8347" w:type="dxa"/>
            <w:gridSpan w:val="3"/>
            <w:shd w:val="clear" w:color="auto" w:fill="auto"/>
            <w:vAlign w:val="center"/>
            <w:hideMark/>
          </w:tcPr>
          <w:p w14:paraId="7B7B7387" w14:textId="77777777" w:rsidR="0099088D" w:rsidRPr="002636AA" w:rsidRDefault="0099088D" w:rsidP="0099088D">
            <w:pPr>
              <w:rPr>
                <w:color w:val="000000"/>
              </w:rPr>
            </w:pPr>
            <w:r w:rsidRPr="002636AA">
              <w:rPr>
                <w:color w:val="000000"/>
              </w:rPr>
              <w:t>наружным диаметром менее 100 мм, протяженностью:</w:t>
            </w:r>
          </w:p>
        </w:tc>
      </w:tr>
      <w:tr w:rsidR="0099088D" w:rsidRPr="002636AA" w14:paraId="05610D73" w14:textId="77777777" w:rsidTr="0099088D">
        <w:trPr>
          <w:trHeight w:val="70"/>
        </w:trPr>
        <w:tc>
          <w:tcPr>
            <w:tcW w:w="1297" w:type="dxa"/>
            <w:shd w:val="clear" w:color="auto" w:fill="auto"/>
            <w:vAlign w:val="center"/>
            <w:hideMark/>
          </w:tcPr>
          <w:p w14:paraId="49A7FDAB" w14:textId="77777777" w:rsidR="0099088D" w:rsidRPr="002636AA" w:rsidRDefault="0099088D" w:rsidP="0099088D">
            <w:pPr>
              <w:jc w:val="center"/>
              <w:rPr>
                <w:color w:val="000000"/>
              </w:rPr>
            </w:pPr>
            <w:r w:rsidRPr="002636AA">
              <w:rPr>
                <w:color w:val="000000"/>
              </w:rPr>
              <w:t>1.1.1.1.</w:t>
            </w:r>
          </w:p>
        </w:tc>
        <w:tc>
          <w:tcPr>
            <w:tcW w:w="4106" w:type="dxa"/>
            <w:shd w:val="clear" w:color="auto" w:fill="auto"/>
            <w:vAlign w:val="center"/>
            <w:hideMark/>
          </w:tcPr>
          <w:p w14:paraId="4CBB6415" w14:textId="77777777" w:rsidR="0099088D" w:rsidRPr="002636AA" w:rsidRDefault="0099088D" w:rsidP="0099088D">
            <w:pPr>
              <w:rPr>
                <w:color w:val="000000"/>
              </w:rPr>
            </w:pPr>
            <w:r w:rsidRPr="002636AA">
              <w:rPr>
                <w:color w:val="000000"/>
              </w:rPr>
              <w:t>до 100 м</w:t>
            </w:r>
          </w:p>
        </w:tc>
        <w:tc>
          <w:tcPr>
            <w:tcW w:w="1775" w:type="dxa"/>
            <w:vMerge w:val="restart"/>
            <w:shd w:val="clear" w:color="auto" w:fill="auto"/>
            <w:vAlign w:val="center"/>
            <w:hideMark/>
          </w:tcPr>
          <w:p w14:paraId="4BFB6719" w14:textId="77777777" w:rsidR="0099088D" w:rsidRPr="002636AA" w:rsidRDefault="0099088D" w:rsidP="0099088D">
            <w:pPr>
              <w:ind w:left="-147" w:right="-147"/>
              <w:jc w:val="center"/>
              <w:rPr>
                <w:color w:val="000000"/>
              </w:rPr>
            </w:pPr>
            <w:r w:rsidRPr="002636AA">
              <w:rPr>
                <w:color w:val="000000"/>
              </w:rPr>
              <w:t>руб.</w:t>
            </w:r>
            <w:r w:rsidRPr="002636AA">
              <w:rPr>
                <w:color w:val="2D2D2D"/>
              </w:rPr>
              <w:t xml:space="preserve"> за 1 присоединение</w:t>
            </w:r>
          </w:p>
        </w:tc>
        <w:tc>
          <w:tcPr>
            <w:tcW w:w="2466" w:type="dxa"/>
            <w:shd w:val="clear" w:color="auto" w:fill="auto"/>
            <w:hideMark/>
          </w:tcPr>
          <w:p w14:paraId="06AF1263" w14:textId="77777777" w:rsidR="0099088D" w:rsidRPr="002636AA" w:rsidRDefault="0099088D" w:rsidP="0099088D">
            <w:pPr>
              <w:jc w:val="center"/>
              <w:rPr>
                <w:color w:val="000000"/>
              </w:rPr>
            </w:pPr>
            <w:r w:rsidRPr="002636AA">
              <w:rPr>
                <w:color w:val="000000"/>
              </w:rPr>
              <w:t>267 818</w:t>
            </w:r>
          </w:p>
        </w:tc>
      </w:tr>
      <w:tr w:rsidR="0099088D" w:rsidRPr="002636AA" w14:paraId="58A451DD" w14:textId="77777777" w:rsidTr="0099088D">
        <w:trPr>
          <w:trHeight w:val="276"/>
        </w:trPr>
        <w:tc>
          <w:tcPr>
            <w:tcW w:w="1297" w:type="dxa"/>
            <w:shd w:val="clear" w:color="auto" w:fill="auto"/>
            <w:vAlign w:val="center"/>
            <w:hideMark/>
          </w:tcPr>
          <w:p w14:paraId="774DB211" w14:textId="77777777" w:rsidR="0099088D" w:rsidRPr="002636AA" w:rsidRDefault="0099088D" w:rsidP="0099088D">
            <w:pPr>
              <w:jc w:val="center"/>
              <w:rPr>
                <w:color w:val="000000"/>
              </w:rPr>
            </w:pPr>
            <w:r w:rsidRPr="002636AA">
              <w:rPr>
                <w:color w:val="000000"/>
              </w:rPr>
              <w:t>1.1.1.2.</w:t>
            </w:r>
          </w:p>
        </w:tc>
        <w:tc>
          <w:tcPr>
            <w:tcW w:w="4106" w:type="dxa"/>
            <w:shd w:val="clear" w:color="auto" w:fill="auto"/>
            <w:vAlign w:val="center"/>
            <w:hideMark/>
          </w:tcPr>
          <w:p w14:paraId="7AB52657" w14:textId="77777777" w:rsidR="0099088D" w:rsidRPr="002636AA" w:rsidRDefault="0099088D" w:rsidP="0099088D">
            <w:pPr>
              <w:rPr>
                <w:color w:val="000000"/>
              </w:rPr>
            </w:pPr>
            <w:r w:rsidRPr="002636AA">
              <w:rPr>
                <w:color w:val="000000"/>
              </w:rPr>
              <w:t>101-500 м</w:t>
            </w:r>
          </w:p>
        </w:tc>
        <w:tc>
          <w:tcPr>
            <w:tcW w:w="1775" w:type="dxa"/>
            <w:vMerge/>
            <w:vAlign w:val="center"/>
            <w:hideMark/>
          </w:tcPr>
          <w:p w14:paraId="128CD4AA" w14:textId="77777777" w:rsidR="0099088D" w:rsidRPr="002636AA" w:rsidRDefault="0099088D" w:rsidP="0099088D">
            <w:pPr>
              <w:rPr>
                <w:color w:val="000000"/>
              </w:rPr>
            </w:pPr>
          </w:p>
        </w:tc>
        <w:tc>
          <w:tcPr>
            <w:tcW w:w="2466" w:type="dxa"/>
            <w:shd w:val="clear" w:color="auto" w:fill="auto"/>
            <w:hideMark/>
          </w:tcPr>
          <w:p w14:paraId="3FC73761" w14:textId="77777777" w:rsidR="0099088D" w:rsidRPr="002636AA" w:rsidRDefault="0099088D" w:rsidP="0099088D">
            <w:pPr>
              <w:jc w:val="center"/>
              <w:rPr>
                <w:color w:val="000000"/>
              </w:rPr>
            </w:pPr>
            <w:r w:rsidRPr="002636AA">
              <w:rPr>
                <w:color w:val="000000"/>
              </w:rPr>
              <w:t>276 673</w:t>
            </w:r>
          </w:p>
        </w:tc>
      </w:tr>
      <w:tr w:rsidR="0099088D" w:rsidRPr="002636AA" w14:paraId="0F1923C6" w14:textId="77777777" w:rsidTr="0099088D">
        <w:trPr>
          <w:trHeight w:val="276"/>
        </w:trPr>
        <w:tc>
          <w:tcPr>
            <w:tcW w:w="1297" w:type="dxa"/>
            <w:shd w:val="clear" w:color="auto" w:fill="auto"/>
            <w:vAlign w:val="center"/>
            <w:hideMark/>
          </w:tcPr>
          <w:p w14:paraId="32E56C05" w14:textId="77777777" w:rsidR="0099088D" w:rsidRPr="002636AA" w:rsidRDefault="0099088D" w:rsidP="0099088D">
            <w:pPr>
              <w:jc w:val="center"/>
              <w:rPr>
                <w:color w:val="000000"/>
              </w:rPr>
            </w:pPr>
            <w:r w:rsidRPr="002636AA">
              <w:rPr>
                <w:color w:val="000000"/>
              </w:rPr>
              <w:t>1.1.1.3.</w:t>
            </w:r>
          </w:p>
        </w:tc>
        <w:tc>
          <w:tcPr>
            <w:tcW w:w="4106" w:type="dxa"/>
            <w:shd w:val="clear" w:color="auto" w:fill="auto"/>
            <w:vAlign w:val="center"/>
            <w:hideMark/>
          </w:tcPr>
          <w:p w14:paraId="266DC267" w14:textId="77777777" w:rsidR="0099088D" w:rsidRPr="002636AA" w:rsidRDefault="0099088D" w:rsidP="0099088D">
            <w:pPr>
              <w:rPr>
                <w:color w:val="000000"/>
              </w:rPr>
            </w:pPr>
            <w:r w:rsidRPr="002636AA">
              <w:rPr>
                <w:color w:val="000000"/>
              </w:rPr>
              <w:t>501-1000 м</w:t>
            </w:r>
          </w:p>
        </w:tc>
        <w:tc>
          <w:tcPr>
            <w:tcW w:w="1775" w:type="dxa"/>
            <w:vMerge/>
            <w:vAlign w:val="center"/>
            <w:hideMark/>
          </w:tcPr>
          <w:p w14:paraId="5BC7A0F0" w14:textId="77777777" w:rsidR="0099088D" w:rsidRPr="002636AA" w:rsidRDefault="0099088D" w:rsidP="0099088D">
            <w:pPr>
              <w:rPr>
                <w:color w:val="000000"/>
              </w:rPr>
            </w:pPr>
          </w:p>
        </w:tc>
        <w:tc>
          <w:tcPr>
            <w:tcW w:w="2466" w:type="dxa"/>
            <w:shd w:val="clear" w:color="000000" w:fill="auto"/>
            <w:hideMark/>
          </w:tcPr>
          <w:p w14:paraId="147607E2" w14:textId="77777777" w:rsidR="0099088D" w:rsidRPr="002636AA" w:rsidRDefault="0099088D" w:rsidP="0099088D">
            <w:pPr>
              <w:jc w:val="center"/>
              <w:rPr>
                <w:color w:val="000000"/>
              </w:rPr>
            </w:pPr>
            <w:r w:rsidRPr="002636AA">
              <w:rPr>
                <w:color w:val="000000"/>
              </w:rPr>
              <w:t>1 768 526</w:t>
            </w:r>
          </w:p>
        </w:tc>
      </w:tr>
      <w:tr w:rsidR="0099088D" w:rsidRPr="002636AA" w14:paraId="6F89311C" w14:textId="77777777" w:rsidTr="0099088D">
        <w:trPr>
          <w:trHeight w:val="276"/>
        </w:trPr>
        <w:tc>
          <w:tcPr>
            <w:tcW w:w="1297" w:type="dxa"/>
            <w:shd w:val="clear" w:color="auto" w:fill="auto"/>
            <w:vAlign w:val="center"/>
            <w:hideMark/>
          </w:tcPr>
          <w:p w14:paraId="527E1F05" w14:textId="77777777" w:rsidR="0099088D" w:rsidRPr="002636AA" w:rsidRDefault="0099088D" w:rsidP="0099088D">
            <w:pPr>
              <w:jc w:val="center"/>
              <w:rPr>
                <w:color w:val="000000"/>
              </w:rPr>
            </w:pPr>
            <w:r w:rsidRPr="002636AA">
              <w:rPr>
                <w:color w:val="000000"/>
              </w:rPr>
              <w:t>1.1.1.4.</w:t>
            </w:r>
          </w:p>
        </w:tc>
        <w:tc>
          <w:tcPr>
            <w:tcW w:w="4106" w:type="dxa"/>
            <w:shd w:val="clear" w:color="auto" w:fill="auto"/>
            <w:vAlign w:val="center"/>
            <w:hideMark/>
          </w:tcPr>
          <w:p w14:paraId="4B78F695" w14:textId="77777777" w:rsidR="0099088D" w:rsidRPr="002636AA" w:rsidRDefault="0099088D" w:rsidP="0099088D">
            <w:pPr>
              <w:rPr>
                <w:color w:val="000000"/>
              </w:rPr>
            </w:pPr>
            <w:r w:rsidRPr="002636AA">
              <w:rPr>
                <w:color w:val="000000"/>
              </w:rPr>
              <w:t>1001-2000 м</w:t>
            </w:r>
          </w:p>
        </w:tc>
        <w:tc>
          <w:tcPr>
            <w:tcW w:w="1775" w:type="dxa"/>
            <w:vMerge/>
            <w:vAlign w:val="center"/>
            <w:hideMark/>
          </w:tcPr>
          <w:p w14:paraId="7A987DF4" w14:textId="77777777" w:rsidR="0099088D" w:rsidRPr="002636AA" w:rsidRDefault="0099088D" w:rsidP="0099088D">
            <w:pPr>
              <w:rPr>
                <w:color w:val="000000"/>
              </w:rPr>
            </w:pPr>
          </w:p>
        </w:tc>
        <w:tc>
          <w:tcPr>
            <w:tcW w:w="2466" w:type="dxa"/>
            <w:shd w:val="clear" w:color="000000" w:fill="auto"/>
            <w:hideMark/>
          </w:tcPr>
          <w:p w14:paraId="4724F2F3" w14:textId="77777777" w:rsidR="0099088D" w:rsidRPr="002636AA" w:rsidRDefault="0099088D" w:rsidP="0099088D">
            <w:pPr>
              <w:jc w:val="center"/>
              <w:rPr>
                <w:color w:val="000000"/>
              </w:rPr>
            </w:pPr>
            <w:r w:rsidRPr="002636AA">
              <w:rPr>
                <w:color w:val="000000"/>
              </w:rPr>
              <w:t>2 546 338</w:t>
            </w:r>
          </w:p>
        </w:tc>
      </w:tr>
      <w:tr w:rsidR="0099088D" w:rsidRPr="002636AA" w14:paraId="18772D56" w14:textId="77777777" w:rsidTr="0099088D">
        <w:trPr>
          <w:trHeight w:val="276"/>
        </w:trPr>
        <w:tc>
          <w:tcPr>
            <w:tcW w:w="1297" w:type="dxa"/>
            <w:shd w:val="clear" w:color="auto" w:fill="auto"/>
            <w:vAlign w:val="center"/>
            <w:hideMark/>
          </w:tcPr>
          <w:p w14:paraId="7D2E0165" w14:textId="77777777" w:rsidR="0099088D" w:rsidRPr="002636AA" w:rsidRDefault="0099088D" w:rsidP="0099088D">
            <w:pPr>
              <w:jc w:val="center"/>
              <w:rPr>
                <w:color w:val="000000"/>
              </w:rPr>
            </w:pPr>
            <w:r w:rsidRPr="002636AA">
              <w:rPr>
                <w:color w:val="000000"/>
              </w:rPr>
              <w:t>1.1.1.5.</w:t>
            </w:r>
          </w:p>
        </w:tc>
        <w:tc>
          <w:tcPr>
            <w:tcW w:w="4106" w:type="dxa"/>
            <w:shd w:val="clear" w:color="auto" w:fill="auto"/>
            <w:vAlign w:val="center"/>
            <w:hideMark/>
          </w:tcPr>
          <w:p w14:paraId="68F87434" w14:textId="77777777" w:rsidR="0099088D" w:rsidRPr="002636AA" w:rsidRDefault="0099088D" w:rsidP="0099088D">
            <w:pPr>
              <w:rPr>
                <w:color w:val="000000"/>
              </w:rPr>
            </w:pPr>
            <w:r w:rsidRPr="002636AA">
              <w:rPr>
                <w:color w:val="000000"/>
              </w:rPr>
              <w:t>2001-3000 м</w:t>
            </w:r>
          </w:p>
        </w:tc>
        <w:tc>
          <w:tcPr>
            <w:tcW w:w="1775" w:type="dxa"/>
            <w:vMerge/>
            <w:vAlign w:val="center"/>
            <w:hideMark/>
          </w:tcPr>
          <w:p w14:paraId="1E8EDA1E" w14:textId="77777777" w:rsidR="0099088D" w:rsidRPr="002636AA" w:rsidRDefault="0099088D" w:rsidP="0099088D">
            <w:pPr>
              <w:rPr>
                <w:color w:val="000000"/>
              </w:rPr>
            </w:pPr>
          </w:p>
        </w:tc>
        <w:tc>
          <w:tcPr>
            <w:tcW w:w="2466" w:type="dxa"/>
            <w:shd w:val="clear" w:color="000000" w:fill="auto"/>
            <w:hideMark/>
          </w:tcPr>
          <w:p w14:paraId="6952619A" w14:textId="77777777" w:rsidR="0099088D" w:rsidRPr="002636AA" w:rsidRDefault="0099088D" w:rsidP="0099088D">
            <w:pPr>
              <w:jc w:val="center"/>
              <w:rPr>
                <w:color w:val="000000"/>
              </w:rPr>
            </w:pPr>
            <w:r w:rsidRPr="002636AA">
              <w:rPr>
                <w:color w:val="000000"/>
              </w:rPr>
              <w:t>3 463 981</w:t>
            </w:r>
          </w:p>
        </w:tc>
      </w:tr>
      <w:tr w:rsidR="0099088D" w:rsidRPr="002636AA" w14:paraId="424D0FE8" w14:textId="77777777" w:rsidTr="0099088D">
        <w:trPr>
          <w:trHeight w:val="276"/>
        </w:trPr>
        <w:tc>
          <w:tcPr>
            <w:tcW w:w="1297" w:type="dxa"/>
            <w:shd w:val="clear" w:color="auto" w:fill="auto"/>
            <w:vAlign w:val="center"/>
            <w:hideMark/>
          </w:tcPr>
          <w:p w14:paraId="2F12EE4C" w14:textId="77777777" w:rsidR="0099088D" w:rsidRPr="002636AA" w:rsidRDefault="0099088D" w:rsidP="0099088D">
            <w:pPr>
              <w:jc w:val="center"/>
              <w:rPr>
                <w:color w:val="000000"/>
              </w:rPr>
            </w:pPr>
            <w:r w:rsidRPr="002636AA">
              <w:rPr>
                <w:color w:val="000000"/>
              </w:rPr>
              <w:t>1.1.1.6.</w:t>
            </w:r>
          </w:p>
        </w:tc>
        <w:tc>
          <w:tcPr>
            <w:tcW w:w="4106" w:type="dxa"/>
            <w:shd w:val="clear" w:color="auto" w:fill="auto"/>
            <w:vAlign w:val="center"/>
            <w:hideMark/>
          </w:tcPr>
          <w:p w14:paraId="044C99FA" w14:textId="77777777" w:rsidR="0099088D" w:rsidRPr="002636AA" w:rsidRDefault="0099088D" w:rsidP="0099088D">
            <w:pPr>
              <w:rPr>
                <w:color w:val="000000"/>
              </w:rPr>
            </w:pPr>
            <w:r w:rsidRPr="002636AA">
              <w:rPr>
                <w:color w:val="000000"/>
              </w:rPr>
              <w:t>3001-4000 м</w:t>
            </w:r>
          </w:p>
        </w:tc>
        <w:tc>
          <w:tcPr>
            <w:tcW w:w="1775" w:type="dxa"/>
            <w:vMerge/>
            <w:vAlign w:val="center"/>
            <w:hideMark/>
          </w:tcPr>
          <w:p w14:paraId="09BBC06C" w14:textId="77777777" w:rsidR="0099088D" w:rsidRPr="002636AA" w:rsidRDefault="0099088D" w:rsidP="0099088D">
            <w:pPr>
              <w:rPr>
                <w:color w:val="000000"/>
              </w:rPr>
            </w:pPr>
          </w:p>
        </w:tc>
        <w:tc>
          <w:tcPr>
            <w:tcW w:w="2466" w:type="dxa"/>
            <w:shd w:val="clear" w:color="000000" w:fill="auto"/>
            <w:hideMark/>
          </w:tcPr>
          <w:p w14:paraId="02D1B658" w14:textId="77777777" w:rsidR="0099088D" w:rsidRPr="002636AA" w:rsidRDefault="0099088D" w:rsidP="0099088D">
            <w:pPr>
              <w:jc w:val="center"/>
              <w:rPr>
                <w:color w:val="000000"/>
              </w:rPr>
            </w:pPr>
            <w:r w:rsidRPr="002636AA">
              <w:rPr>
                <w:color w:val="000000"/>
              </w:rPr>
              <w:t>4 273 442</w:t>
            </w:r>
          </w:p>
        </w:tc>
      </w:tr>
      <w:tr w:rsidR="0099088D" w:rsidRPr="002636AA" w14:paraId="42CEA2BC" w14:textId="77777777" w:rsidTr="0099088D">
        <w:trPr>
          <w:trHeight w:val="276"/>
        </w:trPr>
        <w:tc>
          <w:tcPr>
            <w:tcW w:w="1297" w:type="dxa"/>
            <w:shd w:val="clear" w:color="auto" w:fill="auto"/>
            <w:vAlign w:val="center"/>
          </w:tcPr>
          <w:p w14:paraId="21680B21" w14:textId="77777777" w:rsidR="0099088D" w:rsidRPr="002636AA" w:rsidRDefault="0099088D" w:rsidP="0099088D">
            <w:pPr>
              <w:jc w:val="center"/>
              <w:rPr>
                <w:color w:val="000000"/>
              </w:rPr>
            </w:pPr>
            <w:r w:rsidRPr="002636AA">
              <w:rPr>
                <w:color w:val="000000"/>
              </w:rPr>
              <w:t>1.1.1.7.</w:t>
            </w:r>
          </w:p>
        </w:tc>
        <w:tc>
          <w:tcPr>
            <w:tcW w:w="4106" w:type="dxa"/>
            <w:shd w:val="clear" w:color="auto" w:fill="auto"/>
            <w:vAlign w:val="center"/>
          </w:tcPr>
          <w:p w14:paraId="2F7FC549" w14:textId="77777777" w:rsidR="0099088D" w:rsidRPr="002636AA" w:rsidRDefault="0099088D" w:rsidP="0099088D">
            <w:pPr>
              <w:rPr>
                <w:color w:val="000000"/>
              </w:rPr>
            </w:pPr>
            <w:r w:rsidRPr="002636AA">
              <w:rPr>
                <w:color w:val="000000"/>
              </w:rPr>
              <w:t>4001-5000 м</w:t>
            </w:r>
          </w:p>
        </w:tc>
        <w:tc>
          <w:tcPr>
            <w:tcW w:w="1775" w:type="dxa"/>
            <w:vMerge/>
            <w:vAlign w:val="center"/>
          </w:tcPr>
          <w:p w14:paraId="53C04242" w14:textId="77777777" w:rsidR="0099088D" w:rsidRPr="002636AA" w:rsidRDefault="0099088D" w:rsidP="0099088D">
            <w:pPr>
              <w:rPr>
                <w:color w:val="000000"/>
              </w:rPr>
            </w:pPr>
          </w:p>
        </w:tc>
        <w:tc>
          <w:tcPr>
            <w:tcW w:w="2466" w:type="dxa"/>
            <w:shd w:val="clear" w:color="000000" w:fill="auto"/>
          </w:tcPr>
          <w:p w14:paraId="11BAB56C" w14:textId="77777777" w:rsidR="0099088D" w:rsidRPr="002636AA" w:rsidRDefault="0099088D" w:rsidP="0099088D">
            <w:pPr>
              <w:jc w:val="center"/>
              <w:rPr>
                <w:color w:val="000000"/>
              </w:rPr>
            </w:pPr>
            <w:r w:rsidRPr="002636AA">
              <w:rPr>
                <w:color w:val="000000"/>
              </w:rPr>
              <w:t>5 088 706</w:t>
            </w:r>
          </w:p>
        </w:tc>
      </w:tr>
      <w:tr w:rsidR="0099088D" w:rsidRPr="002636AA" w14:paraId="4568A695" w14:textId="77777777" w:rsidTr="0099088D">
        <w:trPr>
          <w:trHeight w:val="276"/>
        </w:trPr>
        <w:tc>
          <w:tcPr>
            <w:tcW w:w="1297" w:type="dxa"/>
            <w:shd w:val="clear" w:color="auto" w:fill="auto"/>
            <w:vAlign w:val="center"/>
            <w:hideMark/>
          </w:tcPr>
          <w:p w14:paraId="0C45F079" w14:textId="77777777" w:rsidR="0099088D" w:rsidRPr="002636AA" w:rsidRDefault="0099088D" w:rsidP="0099088D">
            <w:pPr>
              <w:jc w:val="center"/>
              <w:rPr>
                <w:color w:val="000000"/>
              </w:rPr>
            </w:pPr>
            <w:r w:rsidRPr="002636AA">
              <w:rPr>
                <w:color w:val="000000"/>
              </w:rPr>
              <w:t>1.1.1.8.</w:t>
            </w:r>
          </w:p>
        </w:tc>
        <w:tc>
          <w:tcPr>
            <w:tcW w:w="4106" w:type="dxa"/>
            <w:shd w:val="clear" w:color="auto" w:fill="auto"/>
            <w:vAlign w:val="center"/>
            <w:hideMark/>
          </w:tcPr>
          <w:p w14:paraId="72271431" w14:textId="77777777" w:rsidR="0099088D" w:rsidRPr="002636AA" w:rsidRDefault="0099088D" w:rsidP="0099088D">
            <w:pPr>
              <w:rPr>
                <w:color w:val="000000"/>
              </w:rPr>
            </w:pPr>
            <w:r w:rsidRPr="002636AA">
              <w:rPr>
                <w:color w:val="000000"/>
              </w:rPr>
              <w:t>5001 м и более</w:t>
            </w:r>
          </w:p>
        </w:tc>
        <w:tc>
          <w:tcPr>
            <w:tcW w:w="1775" w:type="dxa"/>
            <w:vMerge/>
            <w:vAlign w:val="center"/>
            <w:hideMark/>
          </w:tcPr>
          <w:p w14:paraId="603E8B84" w14:textId="77777777" w:rsidR="0099088D" w:rsidRPr="002636AA" w:rsidRDefault="0099088D" w:rsidP="0099088D">
            <w:pPr>
              <w:rPr>
                <w:color w:val="000000"/>
              </w:rPr>
            </w:pPr>
          </w:p>
        </w:tc>
        <w:tc>
          <w:tcPr>
            <w:tcW w:w="2466" w:type="dxa"/>
            <w:shd w:val="clear" w:color="000000" w:fill="auto"/>
            <w:hideMark/>
          </w:tcPr>
          <w:p w14:paraId="5A7B408F" w14:textId="77777777" w:rsidR="0099088D" w:rsidRPr="002636AA" w:rsidRDefault="0099088D" w:rsidP="0099088D">
            <w:pPr>
              <w:jc w:val="center"/>
              <w:rPr>
                <w:color w:val="000000"/>
              </w:rPr>
            </w:pPr>
            <w:r w:rsidRPr="002636AA">
              <w:rPr>
                <w:color w:val="000000"/>
              </w:rPr>
              <w:t>5 392 348</w:t>
            </w:r>
          </w:p>
        </w:tc>
      </w:tr>
      <w:tr w:rsidR="0099088D" w:rsidRPr="002636AA" w14:paraId="0A5075E3" w14:textId="77777777" w:rsidTr="0099088D">
        <w:trPr>
          <w:trHeight w:val="70"/>
        </w:trPr>
        <w:tc>
          <w:tcPr>
            <w:tcW w:w="1297" w:type="dxa"/>
            <w:shd w:val="clear" w:color="auto" w:fill="auto"/>
            <w:vAlign w:val="center"/>
            <w:hideMark/>
          </w:tcPr>
          <w:p w14:paraId="5ACB8CE7" w14:textId="77777777" w:rsidR="0099088D" w:rsidRPr="002636AA" w:rsidRDefault="0099088D" w:rsidP="0099088D">
            <w:pPr>
              <w:jc w:val="center"/>
              <w:rPr>
                <w:color w:val="000000"/>
              </w:rPr>
            </w:pPr>
            <w:r w:rsidRPr="002636AA">
              <w:rPr>
                <w:color w:val="000000"/>
              </w:rPr>
              <w:t>1.1.2.</w:t>
            </w:r>
          </w:p>
        </w:tc>
        <w:tc>
          <w:tcPr>
            <w:tcW w:w="8347" w:type="dxa"/>
            <w:gridSpan w:val="3"/>
            <w:shd w:val="clear" w:color="auto" w:fill="auto"/>
            <w:vAlign w:val="center"/>
            <w:hideMark/>
          </w:tcPr>
          <w:p w14:paraId="4DE94D8A" w14:textId="77777777" w:rsidR="0099088D" w:rsidRPr="002636AA" w:rsidRDefault="0099088D" w:rsidP="0099088D">
            <w:pPr>
              <w:rPr>
                <w:color w:val="000000"/>
              </w:rPr>
            </w:pPr>
            <w:r w:rsidRPr="002636AA">
              <w:rPr>
                <w:color w:val="000000"/>
              </w:rPr>
              <w:t>наружным диаметром 100 мм и более, протяженностью:</w:t>
            </w:r>
          </w:p>
        </w:tc>
      </w:tr>
      <w:tr w:rsidR="0099088D" w:rsidRPr="002636AA" w14:paraId="0FB98973" w14:textId="77777777" w:rsidTr="0099088D">
        <w:trPr>
          <w:trHeight w:val="276"/>
        </w:trPr>
        <w:tc>
          <w:tcPr>
            <w:tcW w:w="1297" w:type="dxa"/>
            <w:shd w:val="clear" w:color="auto" w:fill="auto"/>
            <w:vAlign w:val="center"/>
            <w:hideMark/>
          </w:tcPr>
          <w:p w14:paraId="4BC73545" w14:textId="77777777" w:rsidR="0099088D" w:rsidRPr="002636AA" w:rsidRDefault="0099088D" w:rsidP="0099088D">
            <w:pPr>
              <w:jc w:val="center"/>
              <w:rPr>
                <w:color w:val="000000"/>
              </w:rPr>
            </w:pPr>
            <w:r w:rsidRPr="002636AA">
              <w:rPr>
                <w:color w:val="000000"/>
              </w:rPr>
              <w:t>1.1.2.1.</w:t>
            </w:r>
          </w:p>
        </w:tc>
        <w:tc>
          <w:tcPr>
            <w:tcW w:w="4106" w:type="dxa"/>
            <w:shd w:val="clear" w:color="auto" w:fill="auto"/>
            <w:vAlign w:val="center"/>
            <w:hideMark/>
          </w:tcPr>
          <w:p w14:paraId="34536D90" w14:textId="77777777" w:rsidR="0099088D" w:rsidRPr="002636AA" w:rsidRDefault="0099088D" w:rsidP="0099088D">
            <w:pPr>
              <w:rPr>
                <w:color w:val="000000"/>
              </w:rPr>
            </w:pPr>
            <w:r w:rsidRPr="002636AA">
              <w:rPr>
                <w:color w:val="000000"/>
              </w:rPr>
              <w:t>до 100 м</w:t>
            </w:r>
          </w:p>
        </w:tc>
        <w:tc>
          <w:tcPr>
            <w:tcW w:w="1775" w:type="dxa"/>
            <w:vMerge w:val="restart"/>
            <w:shd w:val="clear" w:color="auto" w:fill="auto"/>
            <w:vAlign w:val="center"/>
            <w:hideMark/>
          </w:tcPr>
          <w:p w14:paraId="7F9EEA73" w14:textId="77777777" w:rsidR="0099088D" w:rsidRPr="002636AA" w:rsidRDefault="0099088D" w:rsidP="0099088D">
            <w:pPr>
              <w:jc w:val="center"/>
              <w:rPr>
                <w:color w:val="000000"/>
              </w:rPr>
            </w:pPr>
            <w:r w:rsidRPr="002636AA">
              <w:rPr>
                <w:color w:val="000000"/>
              </w:rPr>
              <w:t>руб.</w:t>
            </w:r>
            <w:r w:rsidRPr="002636AA">
              <w:rPr>
                <w:color w:val="2D2D2D"/>
              </w:rPr>
              <w:t xml:space="preserve"> за 1 присоединение</w:t>
            </w:r>
          </w:p>
        </w:tc>
        <w:tc>
          <w:tcPr>
            <w:tcW w:w="2466" w:type="dxa"/>
            <w:shd w:val="clear" w:color="auto" w:fill="auto"/>
            <w:hideMark/>
          </w:tcPr>
          <w:p w14:paraId="0E954660" w14:textId="77777777" w:rsidR="0099088D" w:rsidRPr="002636AA" w:rsidRDefault="0099088D" w:rsidP="0099088D">
            <w:pPr>
              <w:jc w:val="center"/>
              <w:rPr>
                <w:color w:val="000000"/>
              </w:rPr>
            </w:pPr>
            <w:r w:rsidRPr="002636AA">
              <w:rPr>
                <w:color w:val="000000"/>
              </w:rPr>
              <w:t>267 818</w:t>
            </w:r>
          </w:p>
        </w:tc>
      </w:tr>
      <w:tr w:rsidR="0099088D" w:rsidRPr="002636AA" w14:paraId="33A359F7" w14:textId="77777777" w:rsidTr="0099088D">
        <w:trPr>
          <w:trHeight w:val="276"/>
        </w:trPr>
        <w:tc>
          <w:tcPr>
            <w:tcW w:w="1297" w:type="dxa"/>
            <w:shd w:val="clear" w:color="auto" w:fill="auto"/>
            <w:vAlign w:val="center"/>
            <w:hideMark/>
          </w:tcPr>
          <w:p w14:paraId="5BDAB992" w14:textId="77777777" w:rsidR="0099088D" w:rsidRPr="002636AA" w:rsidRDefault="0099088D" w:rsidP="0099088D">
            <w:pPr>
              <w:jc w:val="center"/>
              <w:rPr>
                <w:color w:val="000000"/>
              </w:rPr>
            </w:pPr>
            <w:r w:rsidRPr="002636AA">
              <w:rPr>
                <w:color w:val="000000"/>
              </w:rPr>
              <w:t>1.1.2.2.</w:t>
            </w:r>
          </w:p>
        </w:tc>
        <w:tc>
          <w:tcPr>
            <w:tcW w:w="4106" w:type="dxa"/>
            <w:shd w:val="clear" w:color="auto" w:fill="auto"/>
            <w:vAlign w:val="center"/>
            <w:hideMark/>
          </w:tcPr>
          <w:p w14:paraId="710E0A1A" w14:textId="77777777" w:rsidR="0099088D" w:rsidRPr="002636AA" w:rsidRDefault="0099088D" w:rsidP="0099088D">
            <w:pPr>
              <w:rPr>
                <w:color w:val="000000"/>
              </w:rPr>
            </w:pPr>
            <w:r w:rsidRPr="002636AA">
              <w:rPr>
                <w:color w:val="000000"/>
              </w:rPr>
              <w:t>101-500 м</w:t>
            </w:r>
          </w:p>
        </w:tc>
        <w:tc>
          <w:tcPr>
            <w:tcW w:w="1775" w:type="dxa"/>
            <w:vMerge/>
            <w:vAlign w:val="center"/>
            <w:hideMark/>
          </w:tcPr>
          <w:p w14:paraId="42A66F25" w14:textId="77777777" w:rsidR="0099088D" w:rsidRPr="002636AA" w:rsidRDefault="0099088D" w:rsidP="0099088D">
            <w:pPr>
              <w:rPr>
                <w:color w:val="000000"/>
              </w:rPr>
            </w:pPr>
          </w:p>
        </w:tc>
        <w:tc>
          <w:tcPr>
            <w:tcW w:w="2466" w:type="dxa"/>
            <w:shd w:val="clear" w:color="auto" w:fill="auto"/>
            <w:hideMark/>
          </w:tcPr>
          <w:p w14:paraId="0602C745" w14:textId="77777777" w:rsidR="0099088D" w:rsidRPr="002636AA" w:rsidRDefault="0099088D" w:rsidP="0099088D">
            <w:pPr>
              <w:jc w:val="center"/>
              <w:rPr>
                <w:color w:val="000000"/>
              </w:rPr>
            </w:pPr>
            <w:r w:rsidRPr="002636AA">
              <w:rPr>
                <w:color w:val="000000"/>
              </w:rPr>
              <w:t>276 673</w:t>
            </w:r>
          </w:p>
        </w:tc>
      </w:tr>
      <w:tr w:rsidR="0099088D" w:rsidRPr="002636AA" w14:paraId="3D72860A" w14:textId="77777777" w:rsidTr="0099088D">
        <w:trPr>
          <w:trHeight w:val="276"/>
        </w:trPr>
        <w:tc>
          <w:tcPr>
            <w:tcW w:w="1297" w:type="dxa"/>
            <w:shd w:val="clear" w:color="auto" w:fill="auto"/>
            <w:vAlign w:val="center"/>
            <w:hideMark/>
          </w:tcPr>
          <w:p w14:paraId="1CBF1F8A" w14:textId="77777777" w:rsidR="0099088D" w:rsidRPr="002636AA" w:rsidRDefault="0099088D" w:rsidP="0099088D">
            <w:pPr>
              <w:jc w:val="center"/>
              <w:rPr>
                <w:color w:val="000000"/>
              </w:rPr>
            </w:pPr>
            <w:r w:rsidRPr="002636AA">
              <w:rPr>
                <w:color w:val="000000"/>
              </w:rPr>
              <w:t>1.1.2.3.</w:t>
            </w:r>
          </w:p>
        </w:tc>
        <w:tc>
          <w:tcPr>
            <w:tcW w:w="4106" w:type="dxa"/>
            <w:shd w:val="clear" w:color="auto" w:fill="auto"/>
            <w:vAlign w:val="center"/>
            <w:hideMark/>
          </w:tcPr>
          <w:p w14:paraId="6B29BD8F" w14:textId="77777777" w:rsidR="0099088D" w:rsidRPr="002636AA" w:rsidRDefault="0099088D" w:rsidP="0099088D">
            <w:pPr>
              <w:rPr>
                <w:color w:val="000000"/>
              </w:rPr>
            </w:pPr>
            <w:r w:rsidRPr="002636AA">
              <w:rPr>
                <w:color w:val="000000"/>
              </w:rPr>
              <w:t>501-1000 м</w:t>
            </w:r>
          </w:p>
        </w:tc>
        <w:tc>
          <w:tcPr>
            <w:tcW w:w="1775" w:type="dxa"/>
            <w:vMerge/>
            <w:vAlign w:val="center"/>
            <w:hideMark/>
          </w:tcPr>
          <w:p w14:paraId="3B59FB47" w14:textId="77777777" w:rsidR="0099088D" w:rsidRPr="002636AA" w:rsidRDefault="0099088D" w:rsidP="0099088D">
            <w:pPr>
              <w:rPr>
                <w:color w:val="000000"/>
              </w:rPr>
            </w:pPr>
          </w:p>
        </w:tc>
        <w:tc>
          <w:tcPr>
            <w:tcW w:w="2466" w:type="dxa"/>
            <w:shd w:val="clear" w:color="000000" w:fill="auto"/>
            <w:hideMark/>
          </w:tcPr>
          <w:p w14:paraId="0609B507" w14:textId="77777777" w:rsidR="0099088D" w:rsidRPr="002636AA" w:rsidRDefault="0099088D" w:rsidP="0099088D">
            <w:pPr>
              <w:jc w:val="center"/>
              <w:rPr>
                <w:color w:val="000000"/>
              </w:rPr>
            </w:pPr>
            <w:r w:rsidRPr="002636AA">
              <w:rPr>
                <w:color w:val="000000"/>
              </w:rPr>
              <w:t>1 768 526</w:t>
            </w:r>
          </w:p>
        </w:tc>
      </w:tr>
      <w:tr w:rsidR="0099088D" w:rsidRPr="002636AA" w14:paraId="40469584" w14:textId="77777777" w:rsidTr="0099088D">
        <w:trPr>
          <w:trHeight w:val="276"/>
        </w:trPr>
        <w:tc>
          <w:tcPr>
            <w:tcW w:w="1297" w:type="dxa"/>
            <w:shd w:val="clear" w:color="auto" w:fill="auto"/>
            <w:vAlign w:val="center"/>
            <w:hideMark/>
          </w:tcPr>
          <w:p w14:paraId="6D8D05D2" w14:textId="77777777" w:rsidR="0099088D" w:rsidRPr="002636AA" w:rsidRDefault="0099088D" w:rsidP="0099088D">
            <w:pPr>
              <w:jc w:val="center"/>
              <w:rPr>
                <w:color w:val="000000"/>
              </w:rPr>
            </w:pPr>
            <w:r w:rsidRPr="002636AA">
              <w:rPr>
                <w:color w:val="000000"/>
              </w:rPr>
              <w:t>1.1.2.4.</w:t>
            </w:r>
          </w:p>
        </w:tc>
        <w:tc>
          <w:tcPr>
            <w:tcW w:w="4106" w:type="dxa"/>
            <w:shd w:val="clear" w:color="auto" w:fill="auto"/>
            <w:vAlign w:val="center"/>
            <w:hideMark/>
          </w:tcPr>
          <w:p w14:paraId="56254179" w14:textId="77777777" w:rsidR="0099088D" w:rsidRPr="002636AA" w:rsidRDefault="0099088D" w:rsidP="0099088D">
            <w:pPr>
              <w:rPr>
                <w:color w:val="000000"/>
              </w:rPr>
            </w:pPr>
            <w:r w:rsidRPr="002636AA">
              <w:rPr>
                <w:color w:val="000000"/>
              </w:rPr>
              <w:t>1001-2000 м</w:t>
            </w:r>
          </w:p>
        </w:tc>
        <w:tc>
          <w:tcPr>
            <w:tcW w:w="1775" w:type="dxa"/>
            <w:vMerge/>
            <w:vAlign w:val="center"/>
            <w:hideMark/>
          </w:tcPr>
          <w:p w14:paraId="6E4DA648" w14:textId="77777777" w:rsidR="0099088D" w:rsidRPr="002636AA" w:rsidRDefault="0099088D" w:rsidP="0099088D">
            <w:pPr>
              <w:rPr>
                <w:color w:val="000000"/>
              </w:rPr>
            </w:pPr>
          </w:p>
        </w:tc>
        <w:tc>
          <w:tcPr>
            <w:tcW w:w="2466" w:type="dxa"/>
            <w:shd w:val="clear" w:color="000000" w:fill="auto"/>
            <w:hideMark/>
          </w:tcPr>
          <w:p w14:paraId="33F10481" w14:textId="77777777" w:rsidR="0099088D" w:rsidRPr="002636AA" w:rsidRDefault="0099088D" w:rsidP="0099088D">
            <w:pPr>
              <w:jc w:val="center"/>
              <w:rPr>
                <w:color w:val="000000"/>
              </w:rPr>
            </w:pPr>
            <w:r w:rsidRPr="002636AA">
              <w:rPr>
                <w:color w:val="000000"/>
              </w:rPr>
              <w:t>2 546 338</w:t>
            </w:r>
          </w:p>
        </w:tc>
      </w:tr>
      <w:tr w:rsidR="0099088D" w:rsidRPr="002636AA" w14:paraId="308D3001" w14:textId="77777777" w:rsidTr="0099088D">
        <w:trPr>
          <w:trHeight w:val="276"/>
        </w:trPr>
        <w:tc>
          <w:tcPr>
            <w:tcW w:w="1297" w:type="dxa"/>
            <w:shd w:val="clear" w:color="auto" w:fill="auto"/>
            <w:vAlign w:val="center"/>
            <w:hideMark/>
          </w:tcPr>
          <w:p w14:paraId="6EE2BBD2" w14:textId="77777777" w:rsidR="0099088D" w:rsidRPr="002636AA" w:rsidRDefault="0099088D" w:rsidP="0099088D">
            <w:pPr>
              <w:jc w:val="center"/>
              <w:rPr>
                <w:color w:val="000000"/>
              </w:rPr>
            </w:pPr>
            <w:r w:rsidRPr="002636AA">
              <w:rPr>
                <w:color w:val="000000"/>
              </w:rPr>
              <w:t>1.1.2.5.</w:t>
            </w:r>
          </w:p>
        </w:tc>
        <w:tc>
          <w:tcPr>
            <w:tcW w:w="4106" w:type="dxa"/>
            <w:shd w:val="clear" w:color="auto" w:fill="auto"/>
            <w:vAlign w:val="center"/>
            <w:hideMark/>
          </w:tcPr>
          <w:p w14:paraId="0B4C6373" w14:textId="77777777" w:rsidR="0099088D" w:rsidRPr="002636AA" w:rsidRDefault="0099088D" w:rsidP="0099088D">
            <w:pPr>
              <w:rPr>
                <w:color w:val="000000"/>
              </w:rPr>
            </w:pPr>
            <w:r w:rsidRPr="002636AA">
              <w:rPr>
                <w:color w:val="000000"/>
              </w:rPr>
              <w:t>2001-3000 м</w:t>
            </w:r>
          </w:p>
        </w:tc>
        <w:tc>
          <w:tcPr>
            <w:tcW w:w="1775" w:type="dxa"/>
            <w:vMerge/>
            <w:vAlign w:val="center"/>
            <w:hideMark/>
          </w:tcPr>
          <w:p w14:paraId="0C8FE582" w14:textId="77777777" w:rsidR="0099088D" w:rsidRPr="002636AA" w:rsidRDefault="0099088D" w:rsidP="0099088D">
            <w:pPr>
              <w:rPr>
                <w:color w:val="000000"/>
              </w:rPr>
            </w:pPr>
          </w:p>
        </w:tc>
        <w:tc>
          <w:tcPr>
            <w:tcW w:w="2466" w:type="dxa"/>
            <w:shd w:val="clear" w:color="000000" w:fill="auto"/>
            <w:hideMark/>
          </w:tcPr>
          <w:p w14:paraId="07645E95" w14:textId="77777777" w:rsidR="0099088D" w:rsidRPr="002636AA" w:rsidRDefault="0099088D" w:rsidP="0099088D">
            <w:pPr>
              <w:jc w:val="center"/>
              <w:rPr>
                <w:color w:val="000000"/>
              </w:rPr>
            </w:pPr>
            <w:r w:rsidRPr="002636AA">
              <w:rPr>
                <w:color w:val="000000"/>
              </w:rPr>
              <w:t>3 463 981</w:t>
            </w:r>
          </w:p>
        </w:tc>
      </w:tr>
      <w:tr w:rsidR="0099088D" w:rsidRPr="002636AA" w14:paraId="64AF5E81" w14:textId="77777777" w:rsidTr="0099088D">
        <w:trPr>
          <w:trHeight w:val="276"/>
        </w:trPr>
        <w:tc>
          <w:tcPr>
            <w:tcW w:w="1297" w:type="dxa"/>
            <w:shd w:val="clear" w:color="auto" w:fill="auto"/>
            <w:vAlign w:val="center"/>
            <w:hideMark/>
          </w:tcPr>
          <w:p w14:paraId="337760D8" w14:textId="77777777" w:rsidR="0099088D" w:rsidRPr="002636AA" w:rsidRDefault="0099088D" w:rsidP="0099088D">
            <w:pPr>
              <w:jc w:val="center"/>
              <w:rPr>
                <w:color w:val="000000"/>
              </w:rPr>
            </w:pPr>
            <w:r w:rsidRPr="002636AA">
              <w:rPr>
                <w:color w:val="000000"/>
              </w:rPr>
              <w:t>1.1.2.6.</w:t>
            </w:r>
          </w:p>
        </w:tc>
        <w:tc>
          <w:tcPr>
            <w:tcW w:w="4106" w:type="dxa"/>
            <w:shd w:val="clear" w:color="auto" w:fill="auto"/>
            <w:vAlign w:val="center"/>
            <w:hideMark/>
          </w:tcPr>
          <w:p w14:paraId="05CB0714" w14:textId="77777777" w:rsidR="0099088D" w:rsidRPr="002636AA" w:rsidRDefault="0099088D" w:rsidP="0099088D">
            <w:pPr>
              <w:rPr>
                <w:color w:val="000000"/>
              </w:rPr>
            </w:pPr>
            <w:r w:rsidRPr="002636AA">
              <w:rPr>
                <w:color w:val="000000"/>
              </w:rPr>
              <w:t>3001-4000 м</w:t>
            </w:r>
          </w:p>
        </w:tc>
        <w:tc>
          <w:tcPr>
            <w:tcW w:w="1775" w:type="dxa"/>
            <w:vMerge/>
            <w:vAlign w:val="center"/>
            <w:hideMark/>
          </w:tcPr>
          <w:p w14:paraId="58DB3E1D" w14:textId="77777777" w:rsidR="0099088D" w:rsidRPr="002636AA" w:rsidRDefault="0099088D" w:rsidP="0099088D">
            <w:pPr>
              <w:rPr>
                <w:color w:val="000000"/>
              </w:rPr>
            </w:pPr>
          </w:p>
        </w:tc>
        <w:tc>
          <w:tcPr>
            <w:tcW w:w="2466" w:type="dxa"/>
            <w:shd w:val="clear" w:color="000000" w:fill="auto"/>
            <w:hideMark/>
          </w:tcPr>
          <w:p w14:paraId="6DEAD30C" w14:textId="77777777" w:rsidR="0099088D" w:rsidRPr="002636AA" w:rsidRDefault="0099088D" w:rsidP="0099088D">
            <w:pPr>
              <w:jc w:val="center"/>
              <w:rPr>
                <w:color w:val="000000"/>
              </w:rPr>
            </w:pPr>
            <w:r w:rsidRPr="002636AA">
              <w:rPr>
                <w:color w:val="000000"/>
              </w:rPr>
              <w:t>4 273 442</w:t>
            </w:r>
          </w:p>
        </w:tc>
      </w:tr>
      <w:tr w:rsidR="0099088D" w:rsidRPr="002636AA" w14:paraId="1D89EF59" w14:textId="77777777" w:rsidTr="0099088D">
        <w:trPr>
          <w:trHeight w:val="276"/>
        </w:trPr>
        <w:tc>
          <w:tcPr>
            <w:tcW w:w="1297" w:type="dxa"/>
            <w:shd w:val="clear" w:color="auto" w:fill="auto"/>
            <w:vAlign w:val="center"/>
          </w:tcPr>
          <w:p w14:paraId="36C9717A" w14:textId="77777777" w:rsidR="0099088D" w:rsidRPr="002636AA" w:rsidRDefault="0099088D" w:rsidP="0099088D">
            <w:pPr>
              <w:jc w:val="center"/>
              <w:rPr>
                <w:color w:val="000000"/>
              </w:rPr>
            </w:pPr>
            <w:r w:rsidRPr="002636AA">
              <w:rPr>
                <w:color w:val="000000"/>
              </w:rPr>
              <w:t>1.1.2.7.</w:t>
            </w:r>
          </w:p>
        </w:tc>
        <w:tc>
          <w:tcPr>
            <w:tcW w:w="4106" w:type="dxa"/>
            <w:shd w:val="clear" w:color="auto" w:fill="auto"/>
            <w:vAlign w:val="center"/>
          </w:tcPr>
          <w:p w14:paraId="69131D66" w14:textId="77777777" w:rsidR="0099088D" w:rsidRPr="002636AA" w:rsidRDefault="0099088D" w:rsidP="0099088D">
            <w:pPr>
              <w:rPr>
                <w:color w:val="000000"/>
              </w:rPr>
            </w:pPr>
            <w:r w:rsidRPr="002636AA">
              <w:rPr>
                <w:color w:val="000000"/>
              </w:rPr>
              <w:t>4001-5000 м</w:t>
            </w:r>
          </w:p>
        </w:tc>
        <w:tc>
          <w:tcPr>
            <w:tcW w:w="1775" w:type="dxa"/>
            <w:vMerge/>
            <w:vAlign w:val="center"/>
          </w:tcPr>
          <w:p w14:paraId="1D5BC838" w14:textId="77777777" w:rsidR="0099088D" w:rsidRPr="002636AA" w:rsidRDefault="0099088D" w:rsidP="0099088D">
            <w:pPr>
              <w:rPr>
                <w:color w:val="000000"/>
              </w:rPr>
            </w:pPr>
          </w:p>
        </w:tc>
        <w:tc>
          <w:tcPr>
            <w:tcW w:w="2466" w:type="dxa"/>
            <w:shd w:val="clear" w:color="000000" w:fill="auto"/>
          </w:tcPr>
          <w:p w14:paraId="651CD0FA" w14:textId="77777777" w:rsidR="0099088D" w:rsidRPr="002636AA" w:rsidRDefault="0099088D" w:rsidP="0099088D">
            <w:pPr>
              <w:jc w:val="center"/>
              <w:rPr>
                <w:color w:val="000000"/>
              </w:rPr>
            </w:pPr>
            <w:r w:rsidRPr="002636AA">
              <w:rPr>
                <w:color w:val="000000"/>
              </w:rPr>
              <w:t>5 088 706</w:t>
            </w:r>
          </w:p>
        </w:tc>
      </w:tr>
      <w:tr w:rsidR="0099088D" w:rsidRPr="002636AA" w14:paraId="01264721" w14:textId="77777777" w:rsidTr="0099088D">
        <w:trPr>
          <w:trHeight w:val="276"/>
        </w:trPr>
        <w:tc>
          <w:tcPr>
            <w:tcW w:w="1297" w:type="dxa"/>
            <w:shd w:val="clear" w:color="auto" w:fill="auto"/>
            <w:vAlign w:val="center"/>
            <w:hideMark/>
          </w:tcPr>
          <w:p w14:paraId="4FAFEBB8" w14:textId="77777777" w:rsidR="0099088D" w:rsidRPr="002636AA" w:rsidRDefault="0099088D" w:rsidP="0099088D">
            <w:pPr>
              <w:jc w:val="center"/>
              <w:rPr>
                <w:color w:val="000000"/>
              </w:rPr>
            </w:pPr>
            <w:r w:rsidRPr="002636AA">
              <w:rPr>
                <w:color w:val="000000"/>
              </w:rPr>
              <w:t>1.1.2.8.</w:t>
            </w:r>
          </w:p>
        </w:tc>
        <w:tc>
          <w:tcPr>
            <w:tcW w:w="4106" w:type="dxa"/>
            <w:shd w:val="clear" w:color="auto" w:fill="auto"/>
            <w:vAlign w:val="center"/>
            <w:hideMark/>
          </w:tcPr>
          <w:p w14:paraId="2AF2C923" w14:textId="77777777" w:rsidR="0099088D" w:rsidRPr="002636AA" w:rsidRDefault="0099088D" w:rsidP="0099088D">
            <w:pPr>
              <w:rPr>
                <w:color w:val="000000"/>
              </w:rPr>
            </w:pPr>
            <w:r w:rsidRPr="002636AA">
              <w:rPr>
                <w:color w:val="000000"/>
              </w:rPr>
              <w:t>5001 м и более</w:t>
            </w:r>
          </w:p>
        </w:tc>
        <w:tc>
          <w:tcPr>
            <w:tcW w:w="1775" w:type="dxa"/>
            <w:vMerge/>
            <w:vAlign w:val="center"/>
            <w:hideMark/>
          </w:tcPr>
          <w:p w14:paraId="3F1B0EA5" w14:textId="77777777" w:rsidR="0099088D" w:rsidRPr="002636AA" w:rsidRDefault="0099088D" w:rsidP="0099088D">
            <w:pPr>
              <w:rPr>
                <w:color w:val="000000"/>
              </w:rPr>
            </w:pPr>
          </w:p>
        </w:tc>
        <w:tc>
          <w:tcPr>
            <w:tcW w:w="2466" w:type="dxa"/>
            <w:shd w:val="clear" w:color="000000" w:fill="auto"/>
            <w:hideMark/>
          </w:tcPr>
          <w:p w14:paraId="0C0D9BFF" w14:textId="77777777" w:rsidR="0099088D" w:rsidRPr="002636AA" w:rsidRDefault="0099088D" w:rsidP="0099088D">
            <w:pPr>
              <w:jc w:val="center"/>
              <w:rPr>
                <w:color w:val="000000"/>
              </w:rPr>
            </w:pPr>
            <w:r w:rsidRPr="002636AA">
              <w:rPr>
                <w:color w:val="000000"/>
              </w:rPr>
              <w:t>5 392 348</w:t>
            </w:r>
          </w:p>
        </w:tc>
      </w:tr>
      <w:bookmarkEnd w:id="59"/>
    </w:tbl>
    <w:p w14:paraId="34836706" w14:textId="77777777" w:rsidR="0099088D" w:rsidRPr="002636AA" w:rsidRDefault="0099088D" w:rsidP="0099088D">
      <w:pPr>
        <w:rPr>
          <w:sz w:val="20"/>
          <w:szCs w:val="20"/>
        </w:rPr>
      </w:pPr>
    </w:p>
    <w:p w14:paraId="30142733" w14:textId="77777777" w:rsidR="0099088D" w:rsidRPr="002636AA" w:rsidRDefault="0099088D" w:rsidP="0099088D">
      <w:pPr>
        <w:rPr>
          <w:sz w:val="20"/>
          <w:szCs w:val="20"/>
        </w:rPr>
      </w:pPr>
    </w:p>
    <w:p w14:paraId="1030A297" w14:textId="77777777" w:rsidR="0099088D" w:rsidRPr="002636AA" w:rsidRDefault="0099088D" w:rsidP="0099088D">
      <w:pPr>
        <w:rPr>
          <w:sz w:val="20"/>
          <w:szCs w:val="20"/>
        </w:rPr>
      </w:pPr>
    </w:p>
    <w:p w14:paraId="34DA2886" w14:textId="77777777" w:rsidR="0099088D" w:rsidRPr="002636AA" w:rsidRDefault="0099088D" w:rsidP="0099088D">
      <w:pPr>
        <w:rPr>
          <w:sz w:val="20"/>
          <w:szCs w:val="20"/>
        </w:rPr>
      </w:pPr>
    </w:p>
    <w:p w14:paraId="30517E93" w14:textId="77777777" w:rsidR="0099088D" w:rsidRPr="002636AA" w:rsidRDefault="0099088D" w:rsidP="0099088D">
      <w:pPr>
        <w:rPr>
          <w:sz w:val="20"/>
          <w:szCs w:val="20"/>
        </w:rPr>
      </w:pPr>
    </w:p>
    <w:p w14:paraId="4171A016" w14:textId="77777777" w:rsidR="0099088D" w:rsidRPr="002636AA" w:rsidRDefault="0099088D" w:rsidP="0099088D">
      <w:pPr>
        <w:rPr>
          <w:sz w:val="20"/>
          <w:szCs w:val="20"/>
        </w:rPr>
      </w:pPr>
    </w:p>
    <w:p w14:paraId="3F17438C" w14:textId="77777777" w:rsidR="0099088D" w:rsidRPr="002636AA" w:rsidRDefault="0099088D" w:rsidP="0099088D">
      <w:pPr>
        <w:rPr>
          <w:sz w:val="20"/>
          <w:szCs w:val="20"/>
        </w:rPr>
      </w:pPr>
    </w:p>
    <w:p w14:paraId="7A872208" w14:textId="77777777" w:rsidR="0099088D" w:rsidRPr="002636AA" w:rsidRDefault="0099088D" w:rsidP="0099088D">
      <w:pPr>
        <w:rPr>
          <w:sz w:val="20"/>
          <w:szCs w:val="20"/>
        </w:rPr>
      </w:pPr>
    </w:p>
    <w:p w14:paraId="2D317462" w14:textId="77777777" w:rsidR="0099088D" w:rsidRPr="002636AA" w:rsidRDefault="0099088D" w:rsidP="0099088D">
      <w:pPr>
        <w:rPr>
          <w:sz w:val="20"/>
          <w:szCs w:val="20"/>
        </w:rPr>
      </w:pPr>
    </w:p>
    <w:p w14:paraId="5D4AA798" w14:textId="77777777" w:rsidR="0099088D" w:rsidRPr="002636AA" w:rsidRDefault="0099088D" w:rsidP="0099088D">
      <w:pPr>
        <w:rPr>
          <w:sz w:val="20"/>
          <w:szCs w:val="20"/>
        </w:rPr>
      </w:pPr>
    </w:p>
    <w:p w14:paraId="140C63D0" w14:textId="77777777" w:rsidR="0099088D" w:rsidRPr="002636AA" w:rsidRDefault="0099088D" w:rsidP="0099088D">
      <w:pPr>
        <w:rPr>
          <w:sz w:val="20"/>
          <w:szCs w:val="20"/>
        </w:rPr>
      </w:pPr>
    </w:p>
    <w:p w14:paraId="3A5DE420" w14:textId="77777777" w:rsidR="0099088D" w:rsidRPr="002636AA" w:rsidRDefault="0099088D" w:rsidP="0099088D">
      <w:pPr>
        <w:rPr>
          <w:sz w:val="20"/>
          <w:szCs w:val="20"/>
        </w:rPr>
      </w:pPr>
    </w:p>
    <w:tbl>
      <w:tblPr>
        <w:tblW w:w="9644" w:type="dxa"/>
        <w:tblInd w:w="103" w:type="dxa"/>
        <w:tblLook w:val="04A0" w:firstRow="1" w:lastRow="0" w:firstColumn="1" w:lastColumn="0" w:noHBand="0" w:noVBand="1"/>
      </w:tblPr>
      <w:tblGrid>
        <w:gridCol w:w="1297"/>
        <w:gridCol w:w="4106"/>
        <w:gridCol w:w="1775"/>
        <w:gridCol w:w="2466"/>
      </w:tblGrid>
      <w:tr w:rsidR="0099088D" w:rsidRPr="002636AA" w14:paraId="7F4F96AB" w14:textId="77777777" w:rsidTr="0099088D">
        <w:trPr>
          <w:trHeight w:val="7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3F0576FE" w14:textId="77777777" w:rsidR="0099088D" w:rsidRPr="002636AA" w:rsidRDefault="0099088D" w:rsidP="0099088D">
            <w:pPr>
              <w:jc w:val="center"/>
              <w:rPr>
                <w:color w:val="000000"/>
              </w:rPr>
            </w:pPr>
            <w:r w:rsidRPr="002636AA">
              <w:rPr>
                <w:color w:val="000000"/>
              </w:rPr>
              <w:t>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4FB2C02B" w14:textId="77777777" w:rsidR="0099088D" w:rsidRPr="002636AA" w:rsidRDefault="0099088D" w:rsidP="0099088D">
            <w:pPr>
              <w:jc w:val="center"/>
              <w:rPr>
                <w:color w:val="000000"/>
              </w:rPr>
            </w:pPr>
            <w:r w:rsidRPr="002636AA">
              <w:rPr>
                <w:color w:val="000000"/>
              </w:rPr>
              <w:t>2</w:t>
            </w: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tcPr>
          <w:p w14:paraId="17831FEB" w14:textId="77777777" w:rsidR="0099088D" w:rsidRPr="002636AA" w:rsidRDefault="0099088D" w:rsidP="0099088D">
            <w:pPr>
              <w:jc w:val="center"/>
              <w:rPr>
                <w:color w:val="000000"/>
              </w:rPr>
            </w:pPr>
            <w:r w:rsidRPr="002636AA">
              <w:rPr>
                <w:color w:val="000000"/>
              </w:rPr>
              <w:t>3</w:t>
            </w:r>
          </w:p>
        </w:tc>
        <w:tc>
          <w:tcPr>
            <w:tcW w:w="2466" w:type="dxa"/>
            <w:tcBorders>
              <w:top w:val="single" w:sz="4" w:space="0" w:color="auto"/>
              <w:left w:val="single" w:sz="4" w:space="0" w:color="auto"/>
              <w:bottom w:val="single" w:sz="4" w:space="0" w:color="auto"/>
              <w:right w:val="single" w:sz="4" w:space="0" w:color="auto"/>
            </w:tcBorders>
            <w:shd w:val="clear" w:color="000000" w:fill="FFFFFF"/>
            <w:vAlign w:val="center"/>
          </w:tcPr>
          <w:p w14:paraId="1C6C3C3C" w14:textId="77777777" w:rsidR="0099088D" w:rsidRPr="002636AA" w:rsidRDefault="0099088D" w:rsidP="0099088D">
            <w:pPr>
              <w:jc w:val="center"/>
              <w:rPr>
                <w:color w:val="000000"/>
              </w:rPr>
            </w:pPr>
            <w:r w:rsidRPr="002636AA">
              <w:rPr>
                <w:color w:val="000000"/>
              </w:rPr>
              <w:t>4</w:t>
            </w:r>
          </w:p>
        </w:tc>
      </w:tr>
      <w:tr w:rsidR="0099088D" w:rsidRPr="002636AA" w14:paraId="535C7293" w14:textId="77777777" w:rsidTr="0099088D">
        <w:trPr>
          <w:trHeight w:val="7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542C43" w14:textId="77777777" w:rsidR="0099088D" w:rsidRPr="002636AA" w:rsidRDefault="0099088D" w:rsidP="0099088D">
            <w:pPr>
              <w:jc w:val="center"/>
              <w:rPr>
                <w:color w:val="000000"/>
              </w:rPr>
            </w:pPr>
            <w:r w:rsidRPr="002636AA">
              <w:rPr>
                <w:color w:val="000000"/>
              </w:rPr>
              <w:t>1.2.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732CFD8" w14:textId="77777777" w:rsidR="0099088D" w:rsidRPr="002636AA" w:rsidRDefault="0099088D" w:rsidP="0099088D">
            <w:pPr>
              <w:rPr>
                <w:color w:val="000000"/>
              </w:rPr>
            </w:pPr>
            <w:r w:rsidRPr="002636AA">
              <w:rPr>
                <w:color w:val="000000"/>
              </w:rPr>
              <w:t>подземного способа прокладки:</w:t>
            </w:r>
          </w:p>
        </w:tc>
      </w:tr>
      <w:tr w:rsidR="0099088D" w:rsidRPr="002636AA" w14:paraId="10D86FD1" w14:textId="77777777" w:rsidTr="0099088D">
        <w:trPr>
          <w:trHeight w:val="255"/>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A45AD4" w14:textId="77777777" w:rsidR="0099088D" w:rsidRPr="002636AA" w:rsidRDefault="0099088D" w:rsidP="0099088D">
            <w:pPr>
              <w:jc w:val="center"/>
              <w:rPr>
                <w:color w:val="000000"/>
              </w:rPr>
            </w:pPr>
            <w:r w:rsidRPr="002636AA">
              <w:rPr>
                <w:color w:val="000000"/>
              </w:rPr>
              <w:t>1.2.1.</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83D404B" w14:textId="77777777" w:rsidR="0099088D" w:rsidRPr="002636AA" w:rsidRDefault="0099088D" w:rsidP="0099088D">
            <w:pPr>
              <w:rPr>
                <w:color w:val="000000"/>
              </w:rPr>
            </w:pPr>
            <w:r w:rsidRPr="002636AA">
              <w:rPr>
                <w:color w:val="000000"/>
              </w:rPr>
              <w:t>наружным диаметром менее 100 мм, протяженностью:</w:t>
            </w:r>
          </w:p>
        </w:tc>
      </w:tr>
      <w:tr w:rsidR="0099088D" w:rsidRPr="002636AA" w14:paraId="705EFB7F"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464DFC" w14:textId="77777777" w:rsidR="0099088D" w:rsidRPr="002636AA" w:rsidRDefault="0099088D" w:rsidP="0099088D">
            <w:pPr>
              <w:jc w:val="center"/>
              <w:rPr>
                <w:color w:val="000000"/>
              </w:rPr>
            </w:pPr>
            <w:r w:rsidRPr="002636AA">
              <w:rPr>
                <w:color w:val="000000"/>
              </w:rPr>
              <w:t>1.2.1.1.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2AAB11" w14:textId="77777777" w:rsidR="0099088D" w:rsidRPr="002636AA" w:rsidRDefault="0099088D" w:rsidP="0099088D">
            <w:pPr>
              <w:rPr>
                <w:color w:val="000000"/>
              </w:rPr>
            </w:pPr>
            <w:r w:rsidRPr="002636AA">
              <w:rPr>
                <w:color w:val="000000"/>
              </w:rPr>
              <w:t>до 100 м</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F181F1" w14:textId="77777777" w:rsidR="0099088D" w:rsidRPr="002636AA" w:rsidRDefault="0099088D" w:rsidP="0099088D">
            <w:pPr>
              <w:jc w:val="center"/>
              <w:rPr>
                <w:color w:val="000000"/>
              </w:rPr>
            </w:pPr>
            <w:r w:rsidRPr="002636AA">
              <w:rPr>
                <w:color w:val="000000"/>
              </w:rPr>
              <w:t>руб.</w:t>
            </w:r>
            <w:r w:rsidRPr="002636AA">
              <w:rPr>
                <w:color w:val="2D2D2D"/>
              </w:rPr>
              <w:t xml:space="preserve"> за 1 присоединение</w:t>
            </w: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7512E16D" w14:textId="77777777" w:rsidR="0099088D" w:rsidRPr="002636AA" w:rsidRDefault="0099088D" w:rsidP="0099088D">
            <w:pPr>
              <w:jc w:val="center"/>
              <w:rPr>
                <w:color w:val="000000"/>
              </w:rPr>
            </w:pPr>
            <w:r w:rsidRPr="002636AA">
              <w:rPr>
                <w:color w:val="000000"/>
              </w:rPr>
              <w:t>176 579</w:t>
            </w:r>
          </w:p>
        </w:tc>
      </w:tr>
      <w:tr w:rsidR="0099088D" w:rsidRPr="002636AA" w14:paraId="1A95F118"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E31C5E" w14:textId="77777777" w:rsidR="0099088D" w:rsidRPr="002636AA" w:rsidRDefault="0099088D" w:rsidP="0099088D">
            <w:pPr>
              <w:jc w:val="center"/>
              <w:rPr>
                <w:color w:val="000000"/>
              </w:rPr>
            </w:pPr>
            <w:r w:rsidRPr="002636AA">
              <w:rPr>
                <w:color w:val="000000"/>
              </w:rPr>
              <w:t>1.2.1.2.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C404E9" w14:textId="77777777" w:rsidR="0099088D" w:rsidRPr="002636AA" w:rsidRDefault="0099088D" w:rsidP="0099088D">
            <w:pPr>
              <w:rPr>
                <w:color w:val="000000"/>
              </w:rPr>
            </w:pPr>
            <w:r w:rsidRPr="002636AA">
              <w:rPr>
                <w:color w:val="000000"/>
              </w:rPr>
              <w:t>101-500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67FD326A" w14:textId="77777777" w:rsidR="0099088D" w:rsidRPr="002636AA"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7783E931" w14:textId="77777777" w:rsidR="0099088D" w:rsidRPr="002636AA" w:rsidRDefault="0099088D" w:rsidP="0099088D">
            <w:pPr>
              <w:jc w:val="center"/>
              <w:rPr>
                <w:color w:val="000000"/>
              </w:rPr>
            </w:pPr>
            <w:r w:rsidRPr="002636AA">
              <w:rPr>
                <w:color w:val="000000"/>
              </w:rPr>
              <w:t>224 871</w:t>
            </w:r>
          </w:p>
        </w:tc>
      </w:tr>
      <w:tr w:rsidR="0099088D" w:rsidRPr="002636AA" w14:paraId="602E5CCE"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4ED59A" w14:textId="77777777" w:rsidR="0099088D" w:rsidRPr="002636AA" w:rsidRDefault="0099088D" w:rsidP="0099088D">
            <w:pPr>
              <w:jc w:val="center"/>
              <w:rPr>
                <w:color w:val="000000"/>
              </w:rPr>
            </w:pPr>
            <w:r w:rsidRPr="002636AA">
              <w:rPr>
                <w:color w:val="000000"/>
              </w:rPr>
              <w:t>1.2.1.3.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652B0B" w14:textId="77777777" w:rsidR="0099088D" w:rsidRPr="002636AA" w:rsidRDefault="0099088D" w:rsidP="0099088D">
            <w:pPr>
              <w:rPr>
                <w:color w:val="000000"/>
              </w:rPr>
            </w:pPr>
            <w:r w:rsidRPr="002636AA">
              <w:rPr>
                <w:color w:val="000000"/>
              </w:rPr>
              <w:t>501-1000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10312462" w14:textId="77777777" w:rsidR="0099088D" w:rsidRPr="002636AA"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484D7FD8" w14:textId="77777777" w:rsidR="0099088D" w:rsidRPr="002636AA" w:rsidRDefault="0099088D" w:rsidP="0099088D">
            <w:pPr>
              <w:jc w:val="center"/>
              <w:rPr>
                <w:color w:val="000000"/>
              </w:rPr>
            </w:pPr>
            <w:r w:rsidRPr="002636AA">
              <w:rPr>
                <w:color w:val="000000"/>
              </w:rPr>
              <w:t>1 768 526</w:t>
            </w:r>
          </w:p>
        </w:tc>
      </w:tr>
      <w:tr w:rsidR="0099088D" w:rsidRPr="002636AA" w14:paraId="284A252A"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AB34C8" w14:textId="77777777" w:rsidR="0099088D" w:rsidRPr="002636AA" w:rsidRDefault="0099088D" w:rsidP="0099088D">
            <w:pPr>
              <w:jc w:val="center"/>
              <w:rPr>
                <w:color w:val="000000"/>
              </w:rPr>
            </w:pPr>
            <w:r w:rsidRPr="002636AA">
              <w:rPr>
                <w:color w:val="000000"/>
              </w:rPr>
              <w:t>1.2.1.4.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14D6B7" w14:textId="77777777" w:rsidR="0099088D" w:rsidRPr="002636AA" w:rsidRDefault="0099088D" w:rsidP="0099088D">
            <w:pPr>
              <w:rPr>
                <w:color w:val="000000"/>
              </w:rPr>
            </w:pPr>
            <w:r w:rsidRPr="002636AA">
              <w:rPr>
                <w:color w:val="000000"/>
              </w:rPr>
              <w:t>1001-2000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267E0046" w14:textId="77777777" w:rsidR="0099088D" w:rsidRPr="002636AA"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4ADD5672" w14:textId="77777777" w:rsidR="0099088D" w:rsidRPr="002636AA" w:rsidRDefault="0099088D" w:rsidP="0099088D">
            <w:pPr>
              <w:jc w:val="center"/>
              <w:rPr>
                <w:color w:val="000000"/>
              </w:rPr>
            </w:pPr>
            <w:r w:rsidRPr="002636AA">
              <w:rPr>
                <w:color w:val="000000"/>
              </w:rPr>
              <w:t>2 546 338</w:t>
            </w:r>
          </w:p>
        </w:tc>
      </w:tr>
      <w:tr w:rsidR="0099088D" w:rsidRPr="002636AA" w14:paraId="5B4D5C49"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807641" w14:textId="77777777" w:rsidR="0099088D" w:rsidRPr="002636AA" w:rsidRDefault="0099088D" w:rsidP="0099088D">
            <w:pPr>
              <w:jc w:val="center"/>
              <w:rPr>
                <w:color w:val="000000"/>
              </w:rPr>
            </w:pPr>
            <w:r w:rsidRPr="002636AA">
              <w:rPr>
                <w:color w:val="000000"/>
              </w:rPr>
              <w:t>1.2.1.5.</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4565B8" w14:textId="77777777" w:rsidR="0099088D" w:rsidRPr="002636AA" w:rsidRDefault="0099088D" w:rsidP="0099088D">
            <w:pPr>
              <w:rPr>
                <w:color w:val="000000"/>
              </w:rPr>
            </w:pPr>
            <w:r w:rsidRPr="002636AA">
              <w:rPr>
                <w:color w:val="000000"/>
              </w:rPr>
              <w:t>2001-3000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075C0FFA" w14:textId="77777777" w:rsidR="0099088D" w:rsidRPr="002636AA"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71DD8BE9" w14:textId="77777777" w:rsidR="0099088D" w:rsidRPr="002636AA" w:rsidRDefault="0099088D" w:rsidP="0099088D">
            <w:pPr>
              <w:jc w:val="center"/>
              <w:rPr>
                <w:color w:val="000000"/>
              </w:rPr>
            </w:pPr>
            <w:r w:rsidRPr="002636AA">
              <w:rPr>
                <w:color w:val="000000"/>
              </w:rPr>
              <w:t>3 463 981</w:t>
            </w:r>
          </w:p>
        </w:tc>
      </w:tr>
      <w:tr w:rsidR="0099088D" w:rsidRPr="002636AA" w14:paraId="25378F72"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DA3310" w14:textId="77777777" w:rsidR="0099088D" w:rsidRPr="002636AA" w:rsidRDefault="0099088D" w:rsidP="0099088D">
            <w:pPr>
              <w:jc w:val="center"/>
              <w:rPr>
                <w:color w:val="000000"/>
              </w:rPr>
            </w:pPr>
            <w:r w:rsidRPr="002636AA">
              <w:rPr>
                <w:color w:val="000000"/>
              </w:rPr>
              <w:t>1.2.1.6.</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E5BEC8" w14:textId="77777777" w:rsidR="0099088D" w:rsidRPr="002636AA" w:rsidRDefault="0099088D" w:rsidP="0099088D">
            <w:pPr>
              <w:rPr>
                <w:color w:val="000000"/>
              </w:rPr>
            </w:pPr>
            <w:r w:rsidRPr="002636AA">
              <w:rPr>
                <w:color w:val="000000"/>
              </w:rPr>
              <w:t>3001-4000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0AD4F3EC" w14:textId="77777777" w:rsidR="0099088D" w:rsidRPr="002636AA"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269E628D" w14:textId="77777777" w:rsidR="0099088D" w:rsidRPr="002636AA" w:rsidRDefault="0099088D" w:rsidP="0099088D">
            <w:pPr>
              <w:jc w:val="center"/>
              <w:rPr>
                <w:color w:val="000000"/>
              </w:rPr>
            </w:pPr>
            <w:r w:rsidRPr="002636AA">
              <w:rPr>
                <w:color w:val="000000"/>
              </w:rPr>
              <w:t>4 273 442</w:t>
            </w:r>
          </w:p>
        </w:tc>
      </w:tr>
      <w:tr w:rsidR="0099088D" w:rsidRPr="002636AA" w14:paraId="4E331AD5"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86C22F" w14:textId="77777777" w:rsidR="0099088D" w:rsidRPr="002636AA" w:rsidRDefault="0099088D" w:rsidP="0099088D">
            <w:pPr>
              <w:jc w:val="center"/>
              <w:rPr>
                <w:color w:val="000000"/>
              </w:rPr>
            </w:pPr>
            <w:r w:rsidRPr="002636AA">
              <w:rPr>
                <w:color w:val="000000"/>
              </w:rPr>
              <w:t>1.2.1.7.</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D460A3" w14:textId="77777777" w:rsidR="0099088D" w:rsidRPr="002636AA" w:rsidRDefault="0099088D" w:rsidP="0099088D">
            <w:pPr>
              <w:rPr>
                <w:color w:val="000000"/>
              </w:rPr>
            </w:pPr>
            <w:r w:rsidRPr="002636AA">
              <w:rPr>
                <w:color w:val="000000"/>
              </w:rPr>
              <w:t>4001-5000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218C25B5" w14:textId="77777777" w:rsidR="0099088D" w:rsidRPr="002636AA"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188F5817" w14:textId="77777777" w:rsidR="0099088D" w:rsidRPr="002636AA" w:rsidRDefault="0099088D" w:rsidP="0099088D">
            <w:pPr>
              <w:jc w:val="center"/>
              <w:rPr>
                <w:color w:val="000000"/>
              </w:rPr>
            </w:pPr>
            <w:r w:rsidRPr="002636AA">
              <w:rPr>
                <w:color w:val="000000"/>
              </w:rPr>
              <w:t>5 088 706</w:t>
            </w:r>
          </w:p>
        </w:tc>
      </w:tr>
      <w:tr w:rsidR="0099088D" w:rsidRPr="002636AA" w14:paraId="58628AF0" w14:textId="77777777" w:rsidTr="0099088D">
        <w:trPr>
          <w:trHeight w:val="7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994B3A" w14:textId="77777777" w:rsidR="0099088D" w:rsidRPr="002636AA" w:rsidRDefault="0099088D" w:rsidP="0099088D">
            <w:pPr>
              <w:jc w:val="center"/>
              <w:rPr>
                <w:color w:val="000000"/>
              </w:rPr>
            </w:pPr>
            <w:r w:rsidRPr="002636AA">
              <w:rPr>
                <w:color w:val="000000"/>
              </w:rPr>
              <w:t>1.2.1.8.</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7AE7D" w14:textId="77777777" w:rsidR="0099088D" w:rsidRPr="002636AA" w:rsidRDefault="0099088D" w:rsidP="0099088D">
            <w:pPr>
              <w:rPr>
                <w:color w:val="000000"/>
              </w:rPr>
            </w:pPr>
            <w:r w:rsidRPr="002636AA">
              <w:rPr>
                <w:color w:val="000000"/>
              </w:rPr>
              <w:t>5001 м и более</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5B1DB0A6" w14:textId="77777777" w:rsidR="0099088D" w:rsidRPr="002636AA"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1D0EB5D6" w14:textId="77777777" w:rsidR="0099088D" w:rsidRPr="002636AA" w:rsidRDefault="0099088D" w:rsidP="0099088D">
            <w:pPr>
              <w:jc w:val="center"/>
              <w:rPr>
                <w:color w:val="000000"/>
              </w:rPr>
            </w:pPr>
            <w:r w:rsidRPr="002636AA">
              <w:rPr>
                <w:color w:val="000000"/>
              </w:rPr>
              <w:t>5 392 348</w:t>
            </w:r>
          </w:p>
        </w:tc>
      </w:tr>
      <w:tr w:rsidR="0099088D" w:rsidRPr="002636AA" w14:paraId="18E55779" w14:textId="77777777" w:rsidTr="0099088D">
        <w:trPr>
          <w:trHeight w:val="7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78FBDE" w14:textId="77777777" w:rsidR="0099088D" w:rsidRPr="002636AA" w:rsidRDefault="0099088D" w:rsidP="0099088D">
            <w:pPr>
              <w:jc w:val="center"/>
              <w:rPr>
                <w:color w:val="000000"/>
              </w:rPr>
            </w:pPr>
            <w:r w:rsidRPr="002636AA">
              <w:rPr>
                <w:color w:val="000000"/>
              </w:rPr>
              <w:t>1.2.2.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76355F4" w14:textId="77777777" w:rsidR="0099088D" w:rsidRPr="002636AA" w:rsidRDefault="0099088D" w:rsidP="0099088D">
            <w:pPr>
              <w:rPr>
                <w:color w:val="000000"/>
              </w:rPr>
            </w:pPr>
            <w:r w:rsidRPr="002636AA">
              <w:rPr>
                <w:color w:val="000000"/>
              </w:rPr>
              <w:t>наружным диаметром 100 мм и более, протяженностью:</w:t>
            </w:r>
          </w:p>
        </w:tc>
      </w:tr>
      <w:tr w:rsidR="0099088D" w:rsidRPr="002636AA" w14:paraId="1594FAFC"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596AAA" w14:textId="77777777" w:rsidR="0099088D" w:rsidRPr="002636AA" w:rsidRDefault="0099088D" w:rsidP="0099088D">
            <w:pPr>
              <w:jc w:val="center"/>
              <w:rPr>
                <w:color w:val="000000"/>
              </w:rPr>
            </w:pPr>
            <w:r w:rsidRPr="002636AA">
              <w:rPr>
                <w:color w:val="000000"/>
              </w:rPr>
              <w:t>1.2.2.1.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5DCDF4" w14:textId="77777777" w:rsidR="0099088D" w:rsidRPr="002636AA" w:rsidRDefault="0099088D" w:rsidP="0099088D">
            <w:pPr>
              <w:rPr>
                <w:color w:val="000000"/>
              </w:rPr>
            </w:pPr>
            <w:r w:rsidRPr="002636AA">
              <w:rPr>
                <w:color w:val="000000"/>
              </w:rPr>
              <w:t>до 100 м</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B2ED71" w14:textId="77777777" w:rsidR="0099088D" w:rsidRPr="002636AA" w:rsidRDefault="0099088D" w:rsidP="0099088D">
            <w:pPr>
              <w:jc w:val="center"/>
              <w:rPr>
                <w:color w:val="000000"/>
              </w:rPr>
            </w:pPr>
            <w:r w:rsidRPr="002636AA">
              <w:rPr>
                <w:color w:val="000000"/>
              </w:rPr>
              <w:t>руб.</w:t>
            </w:r>
            <w:r w:rsidRPr="002636AA">
              <w:rPr>
                <w:color w:val="2D2D2D"/>
              </w:rPr>
              <w:t xml:space="preserve"> за 1 присоединение</w:t>
            </w: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0E4C0629" w14:textId="77777777" w:rsidR="0099088D" w:rsidRPr="002636AA" w:rsidRDefault="0099088D" w:rsidP="0099088D">
            <w:pPr>
              <w:jc w:val="center"/>
              <w:rPr>
                <w:color w:val="000000"/>
              </w:rPr>
            </w:pPr>
            <w:r w:rsidRPr="002636AA">
              <w:rPr>
                <w:color w:val="000000"/>
              </w:rPr>
              <w:t>378 187</w:t>
            </w:r>
          </w:p>
        </w:tc>
      </w:tr>
      <w:tr w:rsidR="0099088D" w:rsidRPr="002636AA" w14:paraId="3FDAE540"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D4FD8" w14:textId="77777777" w:rsidR="0099088D" w:rsidRPr="002636AA" w:rsidRDefault="0099088D" w:rsidP="0099088D">
            <w:pPr>
              <w:jc w:val="center"/>
              <w:rPr>
                <w:color w:val="000000"/>
              </w:rPr>
            </w:pPr>
            <w:r w:rsidRPr="002636AA">
              <w:rPr>
                <w:color w:val="000000"/>
              </w:rPr>
              <w:t>1.2.2.2.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9CD115" w14:textId="77777777" w:rsidR="0099088D" w:rsidRPr="002636AA" w:rsidRDefault="0099088D" w:rsidP="0099088D">
            <w:pPr>
              <w:rPr>
                <w:color w:val="000000"/>
              </w:rPr>
            </w:pPr>
            <w:r w:rsidRPr="002636AA">
              <w:rPr>
                <w:color w:val="000000"/>
              </w:rPr>
              <w:t>101-500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6E0DF4A2" w14:textId="77777777" w:rsidR="0099088D" w:rsidRPr="002636AA"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286EDB2C" w14:textId="77777777" w:rsidR="0099088D" w:rsidRPr="002636AA" w:rsidRDefault="0099088D" w:rsidP="0099088D">
            <w:pPr>
              <w:jc w:val="center"/>
              <w:rPr>
                <w:color w:val="000000"/>
              </w:rPr>
            </w:pPr>
            <w:r w:rsidRPr="002636AA">
              <w:rPr>
                <w:color w:val="000000"/>
              </w:rPr>
              <w:t>380 199</w:t>
            </w:r>
          </w:p>
        </w:tc>
      </w:tr>
      <w:tr w:rsidR="0099088D" w:rsidRPr="002636AA" w14:paraId="5F207EC6"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999FEA" w14:textId="77777777" w:rsidR="0099088D" w:rsidRPr="002636AA" w:rsidRDefault="0099088D" w:rsidP="0099088D">
            <w:pPr>
              <w:jc w:val="center"/>
              <w:rPr>
                <w:color w:val="000000"/>
              </w:rPr>
            </w:pPr>
            <w:r w:rsidRPr="002636AA">
              <w:rPr>
                <w:color w:val="000000"/>
              </w:rPr>
              <w:t>1.2.2.3.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8C1C7" w14:textId="77777777" w:rsidR="0099088D" w:rsidRPr="002636AA" w:rsidRDefault="0099088D" w:rsidP="0099088D">
            <w:pPr>
              <w:rPr>
                <w:color w:val="000000"/>
              </w:rPr>
            </w:pPr>
            <w:r w:rsidRPr="002636AA">
              <w:rPr>
                <w:color w:val="000000"/>
              </w:rPr>
              <w:t>501-1000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024ECD1B" w14:textId="77777777" w:rsidR="0099088D" w:rsidRPr="002636AA"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241F482C" w14:textId="77777777" w:rsidR="0099088D" w:rsidRPr="002636AA" w:rsidRDefault="0099088D" w:rsidP="0099088D">
            <w:pPr>
              <w:jc w:val="center"/>
              <w:rPr>
                <w:color w:val="000000"/>
              </w:rPr>
            </w:pPr>
            <w:r w:rsidRPr="002636AA">
              <w:rPr>
                <w:color w:val="000000"/>
              </w:rPr>
              <w:t>1 768 526</w:t>
            </w:r>
          </w:p>
        </w:tc>
      </w:tr>
      <w:tr w:rsidR="0099088D" w:rsidRPr="002636AA" w14:paraId="48E2883D"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AC6B03" w14:textId="77777777" w:rsidR="0099088D" w:rsidRPr="002636AA" w:rsidRDefault="0099088D" w:rsidP="0099088D">
            <w:pPr>
              <w:jc w:val="center"/>
              <w:rPr>
                <w:color w:val="000000"/>
              </w:rPr>
            </w:pPr>
            <w:r w:rsidRPr="002636AA">
              <w:rPr>
                <w:color w:val="000000"/>
              </w:rPr>
              <w:t>1.2.2.4.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92404E" w14:textId="77777777" w:rsidR="0099088D" w:rsidRPr="002636AA" w:rsidRDefault="0099088D" w:rsidP="0099088D">
            <w:pPr>
              <w:rPr>
                <w:color w:val="000000"/>
              </w:rPr>
            </w:pPr>
            <w:r w:rsidRPr="002636AA">
              <w:rPr>
                <w:color w:val="000000"/>
              </w:rPr>
              <w:t>1001-2000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6EB9F807" w14:textId="77777777" w:rsidR="0099088D" w:rsidRPr="002636AA"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6F6D22F2" w14:textId="77777777" w:rsidR="0099088D" w:rsidRPr="002636AA" w:rsidRDefault="0099088D" w:rsidP="0099088D">
            <w:pPr>
              <w:jc w:val="center"/>
              <w:rPr>
                <w:color w:val="000000"/>
              </w:rPr>
            </w:pPr>
            <w:r w:rsidRPr="002636AA">
              <w:rPr>
                <w:color w:val="000000"/>
              </w:rPr>
              <w:t>2 546 338</w:t>
            </w:r>
          </w:p>
        </w:tc>
      </w:tr>
      <w:tr w:rsidR="0099088D" w:rsidRPr="002636AA" w14:paraId="4BA6E577"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15C69" w14:textId="77777777" w:rsidR="0099088D" w:rsidRPr="002636AA" w:rsidRDefault="0099088D" w:rsidP="0099088D">
            <w:pPr>
              <w:jc w:val="center"/>
              <w:rPr>
                <w:color w:val="000000"/>
              </w:rPr>
            </w:pPr>
            <w:r w:rsidRPr="002636AA">
              <w:rPr>
                <w:color w:val="000000"/>
              </w:rPr>
              <w:t>1.2.2.5.</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92F03A" w14:textId="77777777" w:rsidR="0099088D" w:rsidRPr="002636AA" w:rsidRDefault="0099088D" w:rsidP="0099088D">
            <w:pPr>
              <w:rPr>
                <w:color w:val="000000"/>
              </w:rPr>
            </w:pPr>
            <w:r w:rsidRPr="002636AA">
              <w:rPr>
                <w:color w:val="000000"/>
              </w:rPr>
              <w:t>2001-3000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3416B0DF" w14:textId="77777777" w:rsidR="0099088D" w:rsidRPr="002636AA"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658C1FA5" w14:textId="77777777" w:rsidR="0099088D" w:rsidRPr="002636AA" w:rsidRDefault="0099088D" w:rsidP="0099088D">
            <w:pPr>
              <w:jc w:val="center"/>
              <w:rPr>
                <w:color w:val="000000"/>
              </w:rPr>
            </w:pPr>
            <w:r w:rsidRPr="002636AA">
              <w:rPr>
                <w:color w:val="000000"/>
              </w:rPr>
              <w:t>3 463 981</w:t>
            </w:r>
          </w:p>
        </w:tc>
      </w:tr>
      <w:tr w:rsidR="0099088D" w:rsidRPr="002636AA" w14:paraId="1EC6E5D3"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DEEFB" w14:textId="77777777" w:rsidR="0099088D" w:rsidRPr="002636AA" w:rsidRDefault="0099088D" w:rsidP="0099088D">
            <w:pPr>
              <w:jc w:val="center"/>
              <w:rPr>
                <w:color w:val="000000"/>
              </w:rPr>
            </w:pPr>
            <w:r w:rsidRPr="002636AA">
              <w:rPr>
                <w:color w:val="000000"/>
              </w:rPr>
              <w:t>1.2.2.6.</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85EA79" w14:textId="77777777" w:rsidR="0099088D" w:rsidRPr="002636AA" w:rsidRDefault="0099088D" w:rsidP="0099088D">
            <w:pPr>
              <w:rPr>
                <w:color w:val="000000"/>
              </w:rPr>
            </w:pPr>
            <w:r w:rsidRPr="002636AA">
              <w:rPr>
                <w:color w:val="000000"/>
              </w:rPr>
              <w:t>3001-4000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15811540" w14:textId="77777777" w:rsidR="0099088D" w:rsidRPr="002636AA"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1419044E" w14:textId="77777777" w:rsidR="0099088D" w:rsidRPr="002636AA" w:rsidRDefault="0099088D" w:rsidP="0099088D">
            <w:pPr>
              <w:jc w:val="center"/>
              <w:rPr>
                <w:color w:val="000000"/>
              </w:rPr>
            </w:pPr>
            <w:r w:rsidRPr="002636AA">
              <w:rPr>
                <w:color w:val="000000"/>
              </w:rPr>
              <w:t>4 273 442</w:t>
            </w:r>
          </w:p>
        </w:tc>
      </w:tr>
      <w:tr w:rsidR="0099088D" w:rsidRPr="002636AA" w14:paraId="44043FF1"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6BA00D" w14:textId="77777777" w:rsidR="0099088D" w:rsidRPr="002636AA" w:rsidRDefault="0099088D" w:rsidP="0099088D">
            <w:pPr>
              <w:jc w:val="center"/>
              <w:rPr>
                <w:color w:val="000000"/>
              </w:rPr>
            </w:pPr>
            <w:r w:rsidRPr="002636AA">
              <w:rPr>
                <w:color w:val="000000"/>
              </w:rPr>
              <w:t>1.2.2.7.</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E7E8BD" w14:textId="77777777" w:rsidR="0099088D" w:rsidRPr="002636AA" w:rsidRDefault="0099088D" w:rsidP="0099088D">
            <w:pPr>
              <w:rPr>
                <w:color w:val="000000"/>
              </w:rPr>
            </w:pPr>
            <w:r w:rsidRPr="002636AA">
              <w:rPr>
                <w:color w:val="000000"/>
              </w:rPr>
              <w:t>4001-5000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51D88894" w14:textId="77777777" w:rsidR="0099088D" w:rsidRPr="002636AA"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7AFC8196" w14:textId="77777777" w:rsidR="0099088D" w:rsidRPr="002636AA" w:rsidRDefault="0099088D" w:rsidP="0099088D">
            <w:pPr>
              <w:jc w:val="center"/>
              <w:rPr>
                <w:color w:val="000000"/>
              </w:rPr>
            </w:pPr>
            <w:r w:rsidRPr="002636AA">
              <w:rPr>
                <w:color w:val="000000"/>
              </w:rPr>
              <w:t>5 088 706</w:t>
            </w:r>
          </w:p>
        </w:tc>
      </w:tr>
      <w:tr w:rsidR="0099088D" w:rsidRPr="002636AA" w14:paraId="15F18620"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15E27B" w14:textId="77777777" w:rsidR="0099088D" w:rsidRPr="002636AA" w:rsidRDefault="0099088D" w:rsidP="0099088D">
            <w:pPr>
              <w:jc w:val="center"/>
              <w:rPr>
                <w:color w:val="000000"/>
              </w:rPr>
            </w:pPr>
            <w:r w:rsidRPr="002636AA">
              <w:rPr>
                <w:color w:val="000000"/>
              </w:rPr>
              <w:t>1.2.2.8.</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9E7208" w14:textId="77777777" w:rsidR="0099088D" w:rsidRPr="002636AA" w:rsidRDefault="0099088D" w:rsidP="0099088D">
            <w:pPr>
              <w:rPr>
                <w:color w:val="000000"/>
              </w:rPr>
            </w:pPr>
            <w:r w:rsidRPr="002636AA">
              <w:rPr>
                <w:color w:val="000000"/>
              </w:rPr>
              <w:t>5001 м и более</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758985BA" w14:textId="77777777" w:rsidR="0099088D" w:rsidRPr="002636AA"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37DC3532" w14:textId="77777777" w:rsidR="0099088D" w:rsidRPr="002636AA" w:rsidRDefault="0099088D" w:rsidP="0099088D">
            <w:pPr>
              <w:jc w:val="center"/>
              <w:rPr>
                <w:color w:val="000000"/>
              </w:rPr>
            </w:pPr>
            <w:r w:rsidRPr="002636AA">
              <w:rPr>
                <w:color w:val="000000"/>
              </w:rPr>
              <w:t>7 858 471</w:t>
            </w:r>
          </w:p>
        </w:tc>
      </w:tr>
      <w:tr w:rsidR="0099088D" w:rsidRPr="002636AA" w14:paraId="6C220D98" w14:textId="77777777" w:rsidTr="0099088D">
        <w:trPr>
          <w:trHeight w:val="35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B32D9F" w14:textId="77777777" w:rsidR="0099088D" w:rsidRPr="002636AA" w:rsidRDefault="0099088D" w:rsidP="0099088D">
            <w:pPr>
              <w:jc w:val="center"/>
              <w:rPr>
                <w:color w:val="000000"/>
              </w:rPr>
            </w:pPr>
            <w:r w:rsidRPr="002636AA">
              <w:rPr>
                <w:color w:val="000000"/>
              </w:rPr>
              <w:t>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DEA2F37" w14:textId="77777777" w:rsidR="0099088D" w:rsidRPr="002636AA" w:rsidRDefault="0099088D" w:rsidP="0099088D">
            <w:pPr>
              <w:rPr>
                <w:color w:val="000000"/>
              </w:rPr>
            </w:pPr>
            <w:bookmarkStart w:id="62" w:name="_Hlk26263097"/>
            <w:r w:rsidRPr="002636AA">
              <w:rPr>
                <w:color w:val="000000"/>
              </w:rPr>
              <w:t>Размер стандартизированной тарифной ставки С</w:t>
            </w:r>
            <w:r w:rsidRPr="002636AA">
              <w:rPr>
                <w:color w:val="000000"/>
                <w:vertAlign w:val="subscript"/>
              </w:rPr>
              <w:t>2</w:t>
            </w:r>
            <w:r w:rsidRPr="002636AA">
              <w:rPr>
                <w:color w:val="000000"/>
              </w:rPr>
              <w:t xml:space="preserve"> на покрытие расходов газораспределительной организации, связанных со строительством стальных газопроводов </w:t>
            </w:r>
            <w:bookmarkEnd w:id="62"/>
            <w:r w:rsidRPr="002636AA">
              <w:rPr>
                <w:color w:val="000000"/>
              </w:rPr>
              <w:t>(без НДС, с налогом на прибыль):</w:t>
            </w:r>
          </w:p>
        </w:tc>
      </w:tr>
      <w:tr w:rsidR="0099088D" w:rsidRPr="002636AA" w14:paraId="411FF2B3" w14:textId="77777777" w:rsidTr="0099088D">
        <w:trPr>
          <w:trHeight w:val="98"/>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707E65" w14:textId="77777777" w:rsidR="0099088D" w:rsidRPr="002636AA" w:rsidRDefault="0099088D" w:rsidP="0099088D">
            <w:pPr>
              <w:jc w:val="center"/>
              <w:rPr>
                <w:color w:val="000000"/>
              </w:rPr>
            </w:pPr>
            <w:r w:rsidRPr="002636AA">
              <w:rPr>
                <w:color w:val="000000"/>
              </w:rPr>
              <w:t>2.1.</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3ADE467" w14:textId="77777777" w:rsidR="0099088D" w:rsidRPr="002636AA" w:rsidRDefault="0099088D" w:rsidP="0099088D">
            <w:pPr>
              <w:rPr>
                <w:color w:val="000000"/>
              </w:rPr>
            </w:pPr>
            <w:r w:rsidRPr="002636AA">
              <w:rPr>
                <w:color w:val="000000"/>
              </w:rPr>
              <w:t xml:space="preserve">наземного (надземного) способа прокладки, </w:t>
            </w:r>
            <w:bookmarkStart w:id="63" w:name="_Hlk26263155"/>
            <w:r w:rsidRPr="002636AA">
              <w:rPr>
                <w:color w:val="000000"/>
              </w:rPr>
              <w:t>наружным диаметром</w:t>
            </w:r>
            <w:bookmarkEnd w:id="63"/>
            <w:r w:rsidRPr="002636AA">
              <w:rPr>
                <w:color w:val="000000"/>
              </w:rPr>
              <w:t>:</w:t>
            </w:r>
          </w:p>
        </w:tc>
      </w:tr>
      <w:tr w:rsidR="0099088D" w:rsidRPr="002636AA" w14:paraId="42FD888C" w14:textId="77777777" w:rsidTr="0099088D">
        <w:trPr>
          <w:trHeight w:val="7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01AE881C" w14:textId="77777777" w:rsidR="0099088D" w:rsidRPr="002636AA" w:rsidRDefault="0099088D" w:rsidP="0099088D">
            <w:pPr>
              <w:jc w:val="center"/>
              <w:rPr>
                <w:color w:val="000000"/>
              </w:rPr>
            </w:pPr>
            <w:r w:rsidRPr="002636AA">
              <w:rPr>
                <w:color w:val="000000"/>
              </w:rPr>
              <w:t>2.1.1.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1FA84DCD" w14:textId="77777777" w:rsidR="0099088D" w:rsidRPr="002636AA" w:rsidRDefault="0099088D" w:rsidP="0099088D">
            <w:pPr>
              <w:rPr>
                <w:color w:val="000000"/>
              </w:rPr>
            </w:pPr>
            <w:r w:rsidRPr="002636AA">
              <w:rPr>
                <w:color w:val="000000"/>
              </w:rPr>
              <w:t>50 мм и менее</w:t>
            </w:r>
          </w:p>
        </w:tc>
        <w:tc>
          <w:tcPr>
            <w:tcW w:w="1775" w:type="dxa"/>
            <w:vMerge w:val="restart"/>
            <w:tcBorders>
              <w:top w:val="single" w:sz="4" w:space="0" w:color="auto"/>
              <w:left w:val="single" w:sz="4" w:space="0" w:color="auto"/>
              <w:right w:val="single" w:sz="4" w:space="0" w:color="auto"/>
            </w:tcBorders>
            <w:vAlign w:val="center"/>
          </w:tcPr>
          <w:p w14:paraId="16BD6AB9" w14:textId="77777777" w:rsidR="0099088D" w:rsidRPr="002636AA" w:rsidRDefault="0099088D" w:rsidP="0099088D">
            <w:pPr>
              <w:jc w:val="center"/>
              <w:rPr>
                <w:color w:val="000000"/>
              </w:rPr>
            </w:pPr>
            <w:r w:rsidRPr="002636AA">
              <w:rPr>
                <w:color w:val="000000"/>
              </w:rPr>
              <w:t>руб./км</w:t>
            </w:r>
          </w:p>
        </w:tc>
        <w:tc>
          <w:tcPr>
            <w:tcW w:w="2466" w:type="dxa"/>
            <w:tcBorders>
              <w:top w:val="single" w:sz="4" w:space="0" w:color="auto"/>
              <w:left w:val="single" w:sz="4" w:space="0" w:color="auto"/>
              <w:bottom w:val="single" w:sz="4" w:space="0" w:color="auto"/>
              <w:right w:val="single" w:sz="4" w:space="0" w:color="auto"/>
            </w:tcBorders>
            <w:shd w:val="clear" w:color="000000" w:fill="auto"/>
          </w:tcPr>
          <w:p w14:paraId="7BB3FCFE" w14:textId="77777777" w:rsidR="0099088D" w:rsidRPr="002636AA" w:rsidRDefault="0099088D" w:rsidP="0099088D">
            <w:pPr>
              <w:jc w:val="center"/>
              <w:rPr>
                <w:color w:val="000000"/>
              </w:rPr>
            </w:pPr>
            <w:r w:rsidRPr="002636AA">
              <w:rPr>
                <w:color w:val="000000"/>
              </w:rPr>
              <w:t>2 625 106</w:t>
            </w:r>
          </w:p>
        </w:tc>
      </w:tr>
      <w:tr w:rsidR="0099088D" w:rsidRPr="002636AA" w14:paraId="425ABC5B" w14:textId="77777777" w:rsidTr="0099088D">
        <w:trPr>
          <w:trHeight w:val="78"/>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6C2879" w14:textId="77777777" w:rsidR="0099088D" w:rsidRPr="002636AA" w:rsidRDefault="0099088D" w:rsidP="0099088D">
            <w:pPr>
              <w:jc w:val="center"/>
              <w:rPr>
                <w:color w:val="000000"/>
              </w:rPr>
            </w:pPr>
            <w:r w:rsidRPr="002636AA">
              <w:rPr>
                <w:color w:val="000000"/>
              </w:rPr>
              <w:t>2.1.2.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59539E" w14:textId="77777777" w:rsidR="0099088D" w:rsidRPr="002636AA" w:rsidRDefault="0099088D" w:rsidP="0099088D">
            <w:pPr>
              <w:rPr>
                <w:color w:val="000000"/>
              </w:rPr>
            </w:pPr>
            <w:r w:rsidRPr="002636AA">
              <w:rPr>
                <w:color w:val="000000"/>
              </w:rPr>
              <w:t>51-100 мм</w:t>
            </w:r>
          </w:p>
        </w:tc>
        <w:tc>
          <w:tcPr>
            <w:tcW w:w="1775" w:type="dxa"/>
            <w:vMerge/>
            <w:tcBorders>
              <w:left w:val="single" w:sz="4" w:space="0" w:color="auto"/>
              <w:right w:val="single" w:sz="4" w:space="0" w:color="auto"/>
            </w:tcBorders>
            <w:vAlign w:val="center"/>
            <w:hideMark/>
          </w:tcPr>
          <w:p w14:paraId="78E9ADEF" w14:textId="77777777" w:rsidR="0099088D" w:rsidRPr="002636AA" w:rsidRDefault="0099088D" w:rsidP="0099088D">
            <w:pPr>
              <w:jc w:val="cente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000000" w:fill="auto"/>
            <w:hideMark/>
          </w:tcPr>
          <w:p w14:paraId="37C2AC5A" w14:textId="77777777" w:rsidR="0099088D" w:rsidRPr="002636AA" w:rsidRDefault="0099088D" w:rsidP="0099088D">
            <w:pPr>
              <w:jc w:val="center"/>
              <w:rPr>
                <w:color w:val="000000"/>
              </w:rPr>
            </w:pPr>
            <w:r w:rsidRPr="002636AA">
              <w:rPr>
                <w:color w:val="000000"/>
              </w:rPr>
              <w:t>2 625 106</w:t>
            </w:r>
          </w:p>
        </w:tc>
      </w:tr>
      <w:tr w:rsidR="0099088D" w:rsidRPr="002636AA" w14:paraId="29EE1D88" w14:textId="77777777" w:rsidTr="0099088D">
        <w:trPr>
          <w:trHeight w:val="288"/>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F8C9B9" w14:textId="77777777" w:rsidR="0099088D" w:rsidRPr="002636AA" w:rsidRDefault="0099088D" w:rsidP="0099088D">
            <w:pPr>
              <w:jc w:val="center"/>
              <w:rPr>
                <w:color w:val="000000"/>
              </w:rPr>
            </w:pPr>
            <w:r w:rsidRPr="002636AA">
              <w:rPr>
                <w:color w:val="000000"/>
              </w:rPr>
              <w:t>2.1.3.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F8FCE" w14:textId="77777777" w:rsidR="0099088D" w:rsidRPr="002636AA" w:rsidRDefault="0099088D" w:rsidP="0099088D">
            <w:pPr>
              <w:rPr>
                <w:color w:val="000000"/>
              </w:rPr>
            </w:pPr>
            <w:r w:rsidRPr="002636AA">
              <w:rPr>
                <w:color w:val="000000"/>
              </w:rPr>
              <w:t>101-158 мм</w:t>
            </w:r>
          </w:p>
        </w:tc>
        <w:tc>
          <w:tcPr>
            <w:tcW w:w="1775" w:type="dxa"/>
            <w:vMerge/>
            <w:tcBorders>
              <w:left w:val="single" w:sz="4" w:space="0" w:color="auto"/>
              <w:right w:val="single" w:sz="4" w:space="0" w:color="auto"/>
            </w:tcBorders>
            <w:vAlign w:val="center"/>
            <w:hideMark/>
          </w:tcPr>
          <w:p w14:paraId="391CA442" w14:textId="77777777" w:rsidR="0099088D" w:rsidRPr="002636AA" w:rsidRDefault="0099088D" w:rsidP="0099088D">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000000" w:fill="auto"/>
            <w:hideMark/>
          </w:tcPr>
          <w:p w14:paraId="1AD64A53" w14:textId="77777777" w:rsidR="0099088D" w:rsidRPr="002636AA" w:rsidRDefault="0099088D" w:rsidP="0099088D">
            <w:pPr>
              <w:jc w:val="center"/>
              <w:rPr>
                <w:color w:val="000000"/>
              </w:rPr>
            </w:pPr>
            <w:r w:rsidRPr="002636AA">
              <w:rPr>
                <w:color w:val="000000"/>
              </w:rPr>
              <w:t>2 625 106</w:t>
            </w:r>
          </w:p>
        </w:tc>
      </w:tr>
      <w:tr w:rsidR="0099088D" w:rsidRPr="002636AA" w14:paraId="66B4C635" w14:textId="77777777" w:rsidTr="0099088D">
        <w:trPr>
          <w:trHeight w:val="288"/>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EFB9E8" w14:textId="77777777" w:rsidR="0099088D" w:rsidRPr="002636AA" w:rsidRDefault="0099088D" w:rsidP="0099088D">
            <w:pPr>
              <w:jc w:val="center"/>
              <w:rPr>
                <w:color w:val="000000"/>
              </w:rPr>
            </w:pPr>
            <w:r w:rsidRPr="002636AA">
              <w:rPr>
                <w:color w:val="000000"/>
              </w:rPr>
              <w:t>2.1.4.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BBC868" w14:textId="77777777" w:rsidR="0099088D" w:rsidRPr="002636AA" w:rsidRDefault="0099088D" w:rsidP="0099088D">
            <w:pPr>
              <w:rPr>
                <w:color w:val="000000"/>
              </w:rPr>
            </w:pPr>
            <w:r w:rsidRPr="002636AA">
              <w:rPr>
                <w:color w:val="000000"/>
              </w:rPr>
              <w:t>159-218 мм</w:t>
            </w:r>
          </w:p>
        </w:tc>
        <w:tc>
          <w:tcPr>
            <w:tcW w:w="1775" w:type="dxa"/>
            <w:vMerge/>
            <w:tcBorders>
              <w:left w:val="single" w:sz="4" w:space="0" w:color="auto"/>
              <w:right w:val="single" w:sz="4" w:space="0" w:color="auto"/>
            </w:tcBorders>
            <w:vAlign w:val="center"/>
            <w:hideMark/>
          </w:tcPr>
          <w:p w14:paraId="6804106D" w14:textId="77777777" w:rsidR="0099088D" w:rsidRPr="002636AA" w:rsidRDefault="0099088D" w:rsidP="0099088D">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000000" w:fill="auto"/>
            <w:hideMark/>
          </w:tcPr>
          <w:p w14:paraId="7EF70CD8" w14:textId="77777777" w:rsidR="0099088D" w:rsidRPr="002636AA" w:rsidRDefault="0099088D" w:rsidP="0099088D">
            <w:pPr>
              <w:jc w:val="center"/>
              <w:rPr>
                <w:color w:val="000000"/>
              </w:rPr>
            </w:pPr>
            <w:r w:rsidRPr="002636AA">
              <w:rPr>
                <w:color w:val="000000"/>
              </w:rPr>
              <w:t>3 520 815</w:t>
            </w:r>
          </w:p>
        </w:tc>
      </w:tr>
      <w:tr w:rsidR="0099088D" w:rsidRPr="002636AA" w14:paraId="4CD02D33" w14:textId="77777777" w:rsidTr="0099088D">
        <w:trPr>
          <w:trHeight w:val="288"/>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4D651" w14:textId="77777777" w:rsidR="0099088D" w:rsidRPr="002636AA" w:rsidRDefault="0099088D" w:rsidP="0099088D">
            <w:pPr>
              <w:jc w:val="center"/>
              <w:rPr>
                <w:color w:val="000000"/>
              </w:rPr>
            </w:pPr>
            <w:r w:rsidRPr="002636AA">
              <w:rPr>
                <w:color w:val="000000"/>
              </w:rPr>
              <w:t>2.1.5.</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3EACF4" w14:textId="77777777" w:rsidR="0099088D" w:rsidRPr="002636AA" w:rsidRDefault="0099088D" w:rsidP="0099088D">
            <w:pPr>
              <w:rPr>
                <w:color w:val="000000"/>
              </w:rPr>
            </w:pPr>
            <w:r w:rsidRPr="002636AA">
              <w:rPr>
                <w:color w:val="000000"/>
              </w:rPr>
              <w:t>219-272 мм</w:t>
            </w:r>
          </w:p>
        </w:tc>
        <w:tc>
          <w:tcPr>
            <w:tcW w:w="1775" w:type="dxa"/>
            <w:vMerge/>
            <w:tcBorders>
              <w:left w:val="single" w:sz="4" w:space="0" w:color="auto"/>
              <w:right w:val="single" w:sz="4" w:space="0" w:color="auto"/>
            </w:tcBorders>
            <w:vAlign w:val="center"/>
            <w:hideMark/>
          </w:tcPr>
          <w:p w14:paraId="5F7DEA13" w14:textId="77777777" w:rsidR="0099088D" w:rsidRPr="002636AA" w:rsidRDefault="0099088D" w:rsidP="0099088D">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000000" w:fill="auto"/>
            <w:hideMark/>
          </w:tcPr>
          <w:p w14:paraId="7C89C825" w14:textId="77777777" w:rsidR="0099088D" w:rsidRPr="002636AA" w:rsidRDefault="0099088D" w:rsidP="0099088D">
            <w:pPr>
              <w:jc w:val="center"/>
              <w:rPr>
                <w:color w:val="000000"/>
              </w:rPr>
            </w:pPr>
            <w:r w:rsidRPr="002636AA">
              <w:rPr>
                <w:color w:val="000000"/>
              </w:rPr>
              <w:t>4 801 359</w:t>
            </w:r>
          </w:p>
        </w:tc>
      </w:tr>
      <w:tr w:rsidR="0099088D" w:rsidRPr="002636AA" w14:paraId="13754E2D" w14:textId="77777777" w:rsidTr="0099088D">
        <w:trPr>
          <w:trHeight w:val="288"/>
        </w:trPr>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6962DDCF" w14:textId="77777777" w:rsidR="0099088D" w:rsidRPr="002636AA" w:rsidRDefault="0099088D" w:rsidP="0099088D">
            <w:pPr>
              <w:jc w:val="center"/>
              <w:rPr>
                <w:sz w:val="20"/>
                <w:szCs w:val="20"/>
              </w:rPr>
            </w:pPr>
            <w:r w:rsidRPr="002636AA">
              <w:rPr>
                <w:color w:val="000000"/>
              </w:rPr>
              <w:t>2.1.6.</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E437B4" w14:textId="77777777" w:rsidR="0099088D" w:rsidRPr="002636AA" w:rsidRDefault="0099088D" w:rsidP="0099088D">
            <w:pPr>
              <w:rPr>
                <w:color w:val="000000"/>
              </w:rPr>
            </w:pPr>
            <w:r w:rsidRPr="002636AA">
              <w:rPr>
                <w:color w:val="000000"/>
              </w:rPr>
              <w:t>273-324 мм</w:t>
            </w:r>
          </w:p>
        </w:tc>
        <w:tc>
          <w:tcPr>
            <w:tcW w:w="1775" w:type="dxa"/>
            <w:vMerge/>
            <w:tcBorders>
              <w:left w:val="single" w:sz="4" w:space="0" w:color="auto"/>
              <w:right w:val="single" w:sz="4" w:space="0" w:color="auto"/>
            </w:tcBorders>
            <w:vAlign w:val="center"/>
            <w:hideMark/>
          </w:tcPr>
          <w:p w14:paraId="1E399E47" w14:textId="77777777" w:rsidR="0099088D" w:rsidRPr="002636AA" w:rsidRDefault="0099088D" w:rsidP="0099088D">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000000" w:fill="auto"/>
            <w:hideMark/>
          </w:tcPr>
          <w:p w14:paraId="2379D1E0" w14:textId="77777777" w:rsidR="0099088D" w:rsidRPr="002636AA" w:rsidRDefault="0099088D" w:rsidP="0099088D">
            <w:pPr>
              <w:jc w:val="center"/>
              <w:rPr>
                <w:color w:val="000000"/>
              </w:rPr>
            </w:pPr>
            <w:r w:rsidRPr="002636AA">
              <w:rPr>
                <w:color w:val="000000"/>
              </w:rPr>
              <w:t>5 788 418</w:t>
            </w:r>
          </w:p>
        </w:tc>
      </w:tr>
      <w:tr w:rsidR="0099088D" w:rsidRPr="002636AA" w14:paraId="14A1FE8A" w14:textId="77777777" w:rsidTr="0099088D">
        <w:trPr>
          <w:trHeight w:val="288"/>
        </w:trPr>
        <w:tc>
          <w:tcPr>
            <w:tcW w:w="1297" w:type="dxa"/>
            <w:tcBorders>
              <w:top w:val="single" w:sz="4" w:space="0" w:color="auto"/>
              <w:left w:val="single" w:sz="4" w:space="0" w:color="auto"/>
              <w:bottom w:val="single" w:sz="4" w:space="0" w:color="auto"/>
              <w:right w:val="single" w:sz="4" w:space="0" w:color="auto"/>
            </w:tcBorders>
            <w:shd w:val="clear" w:color="auto" w:fill="auto"/>
          </w:tcPr>
          <w:p w14:paraId="1644D8FC" w14:textId="77777777" w:rsidR="0099088D" w:rsidRPr="002636AA" w:rsidRDefault="0099088D" w:rsidP="0099088D">
            <w:pPr>
              <w:jc w:val="center"/>
              <w:rPr>
                <w:sz w:val="20"/>
                <w:szCs w:val="20"/>
              </w:rPr>
            </w:pPr>
            <w:r w:rsidRPr="002636AA">
              <w:rPr>
                <w:color w:val="000000"/>
              </w:rPr>
              <w:t>2.1.7.</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6A44FDB5" w14:textId="77777777" w:rsidR="0099088D" w:rsidRPr="002636AA" w:rsidRDefault="0099088D" w:rsidP="0099088D">
            <w:pPr>
              <w:rPr>
                <w:color w:val="000000"/>
              </w:rPr>
            </w:pPr>
            <w:r w:rsidRPr="002636AA">
              <w:rPr>
                <w:color w:val="000000"/>
              </w:rPr>
              <w:t>325-425 мм</w:t>
            </w:r>
          </w:p>
        </w:tc>
        <w:tc>
          <w:tcPr>
            <w:tcW w:w="1775" w:type="dxa"/>
            <w:vMerge/>
            <w:tcBorders>
              <w:left w:val="single" w:sz="4" w:space="0" w:color="auto"/>
              <w:right w:val="single" w:sz="4" w:space="0" w:color="auto"/>
            </w:tcBorders>
            <w:vAlign w:val="center"/>
          </w:tcPr>
          <w:p w14:paraId="73C5F180" w14:textId="77777777" w:rsidR="0099088D" w:rsidRPr="002636AA" w:rsidRDefault="0099088D" w:rsidP="0099088D">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000000" w:fill="auto"/>
          </w:tcPr>
          <w:p w14:paraId="0BCEB929" w14:textId="77777777" w:rsidR="0099088D" w:rsidRPr="002636AA" w:rsidRDefault="0099088D" w:rsidP="0099088D">
            <w:pPr>
              <w:jc w:val="center"/>
              <w:rPr>
                <w:color w:val="000000"/>
              </w:rPr>
            </w:pPr>
            <w:r w:rsidRPr="002636AA">
              <w:rPr>
                <w:color w:val="000000"/>
              </w:rPr>
              <w:t>7 023 977</w:t>
            </w:r>
          </w:p>
        </w:tc>
      </w:tr>
      <w:tr w:rsidR="0099088D" w:rsidRPr="002636AA" w14:paraId="2FAE5A7B" w14:textId="77777777" w:rsidTr="0099088D">
        <w:trPr>
          <w:trHeight w:val="288"/>
        </w:trPr>
        <w:tc>
          <w:tcPr>
            <w:tcW w:w="1297" w:type="dxa"/>
            <w:tcBorders>
              <w:top w:val="single" w:sz="4" w:space="0" w:color="auto"/>
              <w:left w:val="single" w:sz="4" w:space="0" w:color="auto"/>
              <w:bottom w:val="single" w:sz="4" w:space="0" w:color="auto"/>
              <w:right w:val="single" w:sz="4" w:space="0" w:color="auto"/>
            </w:tcBorders>
            <w:shd w:val="clear" w:color="auto" w:fill="auto"/>
          </w:tcPr>
          <w:p w14:paraId="25AEA0CB" w14:textId="77777777" w:rsidR="0099088D" w:rsidRPr="002636AA" w:rsidRDefault="0099088D" w:rsidP="0099088D">
            <w:pPr>
              <w:jc w:val="center"/>
              <w:rPr>
                <w:sz w:val="20"/>
                <w:szCs w:val="20"/>
              </w:rPr>
            </w:pPr>
            <w:r w:rsidRPr="002636AA">
              <w:rPr>
                <w:color w:val="000000"/>
              </w:rPr>
              <w:t>2.1.8.</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375B491D" w14:textId="77777777" w:rsidR="0099088D" w:rsidRPr="002636AA" w:rsidRDefault="0099088D" w:rsidP="0099088D">
            <w:pPr>
              <w:rPr>
                <w:color w:val="000000"/>
              </w:rPr>
            </w:pPr>
            <w:r w:rsidRPr="002636AA">
              <w:rPr>
                <w:color w:val="000000"/>
              </w:rPr>
              <w:t>426-529 мм</w:t>
            </w:r>
          </w:p>
        </w:tc>
        <w:tc>
          <w:tcPr>
            <w:tcW w:w="1775" w:type="dxa"/>
            <w:vMerge/>
            <w:tcBorders>
              <w:left w:val="single" w:sz="4" w:space="0" w:color="auto"/>
              <w:right w:val="single" w:sz="4" w:space="0" w:color="auto"/>
            </w:tcBorders>
            <w:vAlign w:val="center"/>
          </w:tcPr>
          <w:p w14:paraId="4410AE4F" w14:textId="77777777" w:rsidR="0099088D" w:rsidRPr="002636AA" w:rsidRDefault="0099088D" w:rsidP="0099088D">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000000" w:fill="auto"/>
          </w:tcPr>
          <w:p w14:paraId="4EFBDF32" w14:textId="77777777" w:rsidR="0099088D" w:rsidRPr="002636AA" w:rsidRDefault="0099088D" w:rsidP="0099088D">
            <w:pPr>
              <w:jc w:val="center"/>
              <w:rPr>
                <w:color w:val="000000"/>
              </w:rPr>
            </w:pPr>
            <w:r w:rsidRPr="002636AA">
              <w:rPr>
                <w:color w:val="000000"/>
              </w:rPr>
              <w:t>8 746 133</w:t>
            </w:r>
          </w:p>
        </w:tc>
      </w:tr>
      <w:tr w:rsidR="0099088D" w:rsidRPr="002636AA" w14:paraId="2D7D1C96" w14:textId="77777777" w:rsidTr="0099088D">
        <w:trPr>
          <w:trHeight w:val="288"/>
        </w:trPr>
        <w:tc>
          <w:tcPr>
            <w:tcW w:w="1297" w:type="dxa"/>
            <w:tcBorders>
              <w:top w:val="single" w:sz="4" w:space="0" w:color="auto"/>
              <w:left w:val="single" w:sz="4" w:space="0" w:color="auto"/>
              <w:bottom w:val="single" w:sz="4" w:space="0" w:color="auto"/>
              <w:right w:val="single" w:sz="4" w:space="0" w:color="auto"/>
            </w:tcBorders>
            <w:shd w:val="clear" w:color="auto" w:fill="auto"/>
          </w:tcPr>
          <w:p w14:paraId="4ED1E7F1" w14:textId="77777777" w:rsidR="0099088D" w:rsidRPr="002636AA" w:rsidRDefault="0099088D" w:rsidP="0099088D">
            <w:pPr>
              <w:jc w:val="center"/>
              <w:rPr>
                <w:sz w:val="20"/>
                <w:szCs w:val="20"/>
              </w:rPr>
            </w:pPr>
            <w:r w:rsidRPr="002636AA">
              <w:rPr>
                <w:color w:val="000000"/>
              </w:rPr>
              <w:t>2.1.9.</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65BBD86C" w14:textId="77777777" w:rsidR="0099088D" w:rsidRPr="002636AA" w:rsidRDefault="0099088D" w:rsidP="0099088D">
            <w:pPr>
              <w:rPr>
                <w:color w:val="000000"/>
              </w:rPr>
            </w:pPr>
            <w:r w:rsidRPr="002636AA">
              <w:rPr>
                <w:color w:val="000000"/>
              </w:rPr>
              <w:t>530 мм и выше</w:t>
            </w:r>
          </w:p>
        </w:tc>
        <w:tc>
          <w:tcPr>
            <w:tcW w:w="1775" w:type="dxa"/>
            <w:vMerge/>
            <w:tcBorders>
              <w:left w:val="single" w:sz="4" w:space="0" w:color="auto"/>
              <w:bottom w:val="single" w:sz="4" w:space="0" w:color="auto"/>
              <w:right w:val="single" w:sz="4" w:space="0" w:color="auto"/>
            </w:tcBorders>
            <w:vAlign w:val="center"/>
          </w:tcPr>
          <w:p w14:paraId="726A9933" w14:textId="77777777" w:rsidR="0099088D" w:rsidRPr="002636AA" w:rsidRDefault="0099088D" w:rsidP="0099088D">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000000" w:fill="auto"/>
          </w:tcPr>
          <w:p w14:paraId="7E841DEE" w14:textId="77777777" w:rsidR="0099088D" w:rsidRPr="002636AA" w:rsidRDefault="0099088D" w:rsidP="0099088D">
            <w:pPr>
              <w:jc w:val="center"/>
              <w:rPr>
                <w:color w:val="000000"/>
              </w:rPr>
            </w:pPr>
            <w:r w:rsidRPr="002636AA">
              <w:rPr>
                <w:color w:val="000000"/>
              </w:rPr>
              <w:t>11 753 654</w:t>
            </w:r>
          </w:p>
        </w:tc>
      </w:tr>
      <w:tr w:rsidR="0099088D" w:rsidRPr="002636AA" w14:paraId="0D8FF95D" w14:textId="77777777" w:rsidTr="0099088D">
        <w:trPr>
          <w:trHeight w:val="254"/>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BE7A57" w14:textId="77777777" w:rsidR="0099088D" w:rsidRPr="002636AA" w:rsidRDefault="0099088D" w:rsidP="0099088D">
            <w:pPr>
              <w:jc w:val="center"/>
              <w:rPr>
                <w:color w:val="000000"/>
              </w:rPr>
            </w:pPr>
            <w:r w:rsidRPr="002636AA">
              <w:rPr>
                <w:color w:val="000000"/>
              </w:rPr>
              <w:t>2.2.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D6818E6" w14:textId="77777777" w:rsidR="0099088D" w:rsidRPr="002636AA" w:rsidRDefault="0099088D" w:rsidP="0099088D">
            <w:pPr>
              <w:rPr>
                <w:color w:val="000000"/>
              </w:rPr>
            </w:pPr>
            <w:r w:rsidRPr="002636AA">
              <w:rPr>
                <w:color w:val="000000"/>
              </w:rPr>
              <w:t>подземного способа прокладки, наружным диаметром:</w:t>
            </w:r>
          </w:p>
        </w:tc>
      </w:tr>
      <w:tr w:rsidR="0099088D" w:rsidRPr="002636AA" w14:paraId="34C4E588" w14:textId="77777777" w:rsidTr="0099088D">
        <w:trPr>
          <w:trHeight w:val="264"/>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675E1509" w14:textId="77777777" w:rsidR="0099088D" w:rsidRPr="002636AA" w:rsidRDefault="0099088D" w:rsidP="0099088D">
            <w:pPr>
              <w:jc w:val="center"/>
              <w:rPr>
                <w:color w:val="000000"/>
              </w:rPr>
            </w:pPr>
            <w:r w:rsidRPr="002636AA">
              <w:rPr>
                <w:color w:val="000000"/>
              </w:rPr>
              <w:t>2.2.1.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1F59F993" w14:textId="77777777" w:rsidR="0099088D" w:rsidRPr="002636AA" w:rsidRDefault="0099088D" w:rsidP="0099088D">
            <w:pPr>
              <w:rPr>
                <w:color w:val="000000"/>
              </w:rPr>
            </w:pPr>
            <w:bookmarkStart w:id="64" w:name="_Hlk26263167"/>
            <w:r w:rsidRPr="002636AA">
              <w:rPr>
                <w:color w:val="000000"/>
              </w:rPr>
              <w:t>50 мм и менее</w:t>
            </w:r>
            <w:bookmarkEnd w:id="64"/>
          </w:p>
        </w:tc>
        <w:tc>
          <w:tcPr>
            <w:tcW w:w="1775" w:type="dxa"/>
            <w:vMerge w:val="restart"/>
            <w:tcBorders>
              <w:top w:val="single" w:sz="4" w:space="0" w:color="auto"/>
              <w:left w:val="single" w:sz="4" w:space="0" w:color="auto"/>
              <w:right w:val="single" w:sz="4" w:space="0" w:color="auto"/>
            </w:tcBorders>
            <w:vAlign w:val="center"/>
          </w:tcPr>
          <w:p w14:paraId="59C8472E" w14:textId="77777777" w:rsidR="0099088D" w:rsidRPr="002636AA" w:rsidRDefault="0099088D" w:rsidP="0099088D">
            <w:pPr>
              <w:jc w:val="center"/>
              <w:rPr>
                <w:color w:val="000000"/>
              </w:rPr>
            </w:pPr>
            <w:r w:rsidRPr="002636AA">
              <w:rPr>
                <w:color w:val="000000"/>
              </w:rPr>
              <w:t>руб./км</w:t>
            </w:r>
          </w:p>
        </w:tc>
        <w:tc>
          <w:tcPr>
            <w:tcW w:w="2466" w:type="dxa"/>
            <w:tcBorders>
              <w:top w:val="single" w:sz="4" w:space="0" w:color="auto"/>
              <w:left w:val="nil"/>
              <w:bottom w:val="single" w:sz="4" w:space="0" w:color="auto"/>
              <w:right w:val="single" w:sz="4" w:space="0" w:color="auto"/>
            </w:tcBorders>
            <w:shd w:val="clear" w:color="auto" w:fill="auto"/>
            <w:vAlign w:val="center"/>
          </w:tcPr>
          <w:p w14:paraId="735F9430" w14:textId="77777777" w:rsidR="0099088D" w:rsidRPr="002636AA" w:rsidRDefault="0099088D" w:rsidP="0099088D">
            <w:pPr>
              <w:jc w:val="center"/>
              <w:rPr>
                <w:color w:val="000000"/>
              </w:rPr>
            </w:pPr>
            <w:r w:rsidRPr="002636AA">
              <w:rPr>
                <w:color w:val="000000"/>
              </w:rPr>
              <w:t>3 507 926</w:t>
            </w:r>
          </w:p>
        </w:tc>
      </w:tr>
      <w:tr w:rsidR="0099088D" w:rsidRPr="002636AA" w14:paraId="2966D919" w14:textId="77777777" w:rsidTr="0099088D">
        <w:trPr>
          <w:trHeight w:val="264"/>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A6620F" w14:textId="77777777" w:rsidR="0099088D" w:rsidRPr="002636AA" w:rsidRDefault="0099088D" w:rsidP="0099088D">
            <w:pPr>
              <w:jc w:val="center"/>
              <w:rPr>
                <w:color w:val="000000"/>
              </w:rPr>
            </w:pPr>
            <w:r w:rsidRPr="002636AA">
              <w:rPr>
                <w:color w:val="000000"/>
              </w:rPr>
              <w:t>2.2.2.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0C9027" w14:textId="77777777" w:rsidR="0099088D" w:rsidRPr="002636AA" w:rsidRDefault="0099088D" w:rsidP="0099088D">
            <w:pPr>
              <w:rPr>
                <w:color w:val="000000"/>
              </w:rPr>
            </w:pPr>
            <w:r w:rsidRPr="002636AA">
              <w:rPr>
                <w:color w:val="000000"/>
              </w:rPr>
              <w:t>51-100 мм</w:t>
            </w:r>
          </w:p>
        </w:tc>
        <w:tc>
          <w:tcPr>
            <w:tcW w:w="1775" w:type="dxa"/>
            <w:vMerge/>
            <w:tcBorders>
              <w:left w:val="single" w:sz="4" w:space="0" w:color="auto"/>
              <w:right w:val="single" w:sz="4" w:space="0" w:color="auto"/>
            </w:tcBorders>
            <w:vAlign w:val="center"/>
            <w:hideMark/>
          </w:tcPr>
          <w:p w14:paraId="1F02CC36" w14:textId="77777777" w:rsidR="0099088D" w:rsidRPr="002636AA" w:rsidRDefault="0099088D" w:rsidP="0099088D">
            <w:pPr>
              <w:jc w:val="cente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496100C1" w14:textId="77777777" w:rsidR="0099088D" w:rsidRPr="002636AA" w:rsidRDefault="0099088D" w:rsidP="0099088D">
            <w:pPr>
              <w:jc w:val="center"/>
              <w:rPr>
                <w:color w:val="000000"/>
              </w:rPr>
            </w:pPr>
            <w:r w:rsidRPr="002636AA">
              <w:rPr>
                <w:color w:val="000000"/>
              </w:rPr>
              <w:t>3 507 926</w:t>
            </w:r>
          </w:p>
        </w:tc>
      </w:tr>
      <w:tr w:rsidR="0099088D" w:rsidRPr="002636AA" w14:paraId="70189A2C" w14:textId="77777777" w:rsidTr="0099088D">
        <w:trPr>
          <w:trHeight w:val="264"/>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A3624E" w14:textId="77777777" w:rsidR="0099088D" w:rsidRPr="002636AA" w:rsidRDefault="0099088D" w:rsidP="0099088D">
            <w:pPr>
              <w:jc w:val="center"/>
              <w:rPr>
                <w:color w:val="000000"/>
              </w:rPr>
            </w:pPr>
            <w:r w:rsidRPr="002636AA">
              <w:rPr>
                <w:color w:val="000000"/>
              </w:rPr>
              <w:t>2.2.3.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FF3C74" w14:textId="77777777" w:rsidR="0099088D" w:rsidRPr="002636AA" w:rsidRDefault="0099088D" w:rsidP="0099088D">
            <w:pPr>
              <w:rPr>
                <w:color w:val="000000"/>
              </w:rPr>
            </w:pPr>
            <w:r w:rsidRPr="002636AA">
              <w:rPr>
                <w:color w:val="000000"/>
              </w:rPr>
              <w:t>101-158 мм</w:t>
            </w:r>
          </w:p>
        </w:tc>
        <w:tc>
          <w:tcPr>
            <w:tcW w:w="1775" w:type="dxa"/>
            <w:vMerge/>
            <w:tcBorders>
              <w:left w:val="single" w:sz="4" w:space="0" w:color="auto"/>
              <w:right w:val="single" w:sz="4" w:space="0" w:color="auto"/>
            </w:tcBorders>
            <w:vAlign w:val="center"/>
            <w:hideMark/>
          </w:tcPr>
          <w:p w14:paraId="49BEFA1E" w14:textId="77777777" w:rsidR="0099088D" w:rsidRPr="002636AA"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3E8E31C8" w14:textId="77777777" w:rsidR="0099088D" w:rsidRPr="002636AA" w:rsidRDefault="0099088D" w:rsidP="0099088D">
            <w:pPr>
              <w:jc w:val="center"/>
              <w:rPr>
                <w:color w:val="000000"/>
              </w:rPr>
            </w:pPr>
            <w:r w:rsidRPr="002636AA">
              <w:rPr>
                <w:color w:val="000000"/>
              </w:rPr>
              <w:t>3 507 926</w:t>
            </w:r>
          </w:p>
        </w:tc>
      </w:tr>
      <w:tr w:rsidR="0099088D" w:rsidRPr="002636AA" w14:paraId="3DD3ED30" w14:textId="77777777" w:rsidTr="0099088D">
        <w:trPr>
          <w:trHeight w:val="264"/>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DF85FD" w14:textId="77777777" w:rsidR="0099088D" w:rsidRPr="002636AA" w:rsidRDefault="0099088D" w:rsidP="0099088D">
            <w:pPr>
              <w:jc w:val="center"/>
              <w:rPr>
                <w:color w:val="000000"/>
              </w:rPr>
            </w:pPr>
            <w:r w:rsidRPr="002636AA">
              <w:rPr>
                <w:color w:val="000000"/>
              </w:rPr>
              <w:t>2.2.4.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242C6D" w14:textId="77777777" w:rsidR="0099088D" w:rsidRPr="002636AA" w:rsidRDefault="0099088D" w:rsidP="0099088D">
            <w:pPr>
              <w:rPr>
                <w:color w:val="000000"/>
              </w:rPr>
            </w:pPr>
            <w:r w:rsidRPr="002636AA">
              <w:rPr>
                <w:color w:val="000000"/>
              </w:rPr>
              <w:t>159-218 мм</w:t>
            </w:r>
          </w:p>
        </w:tc>
        <w:tc>
          <w:tcPr>
            <w:tcW w:w="1775" w:type="dxa"/>
            <w:vMerge/>
            <w:tcBorders>
              <w:left w:val="single" w:sz="4" w:space="0" w:color="auto"/>
              <w:right w:val="single" w:sz="4" w:space="0" w:color="auto"/>
            </w:tcBorders>
            <w:vAlign w:val="center"/>
            <w:hideMark/>
          </w:tcPr>
          <w:p w14:paraId="42C932A1" w14:textId="77777777" w:rsidR="0099088D" w:rsidRPr="002636AA"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3BA82D05" w14:textId="77777777" w:rsidR="0099088D" w:rsidRPr="002636AA" w:rsidRDefault="0099088D" w:rsidP="0099088D">
            <w:pPr>
              <w:jc w:val="center"/>
              <w:rPr>
                <w:color w:val="000000"/>
              </w:rPr>
            </w:pPr>
            <w:r w:rsidRPr="002636AA">
              <w:rPr>
                <w:color w:val="000000"/>
              </w:rPr>
              <w:t>4 147 498</w:t>
            </w:r>
          </w:p>
        </w:tc>
      </w:tr>
      <w:tr w:rsidR="0099088D" w:rsidRPr="002636AA" w14:paraId="31CDE65E" w14:textId="77777777" w:rsidTr="0099088D">
        <w:trPr>
          <w:trHeight w:val="264"/>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3F1226" w14:textId="77777777" w:rsidR="0099088D" w:rsidRPr="002636AA" w:rsidRDefault="0099088D" w:rsidP="0099088D">
            <w:pPr>
              <w:jc w:val="center"/>
              <w:rPr>
                <w:color w:val="000000"/>
              </w:rPr>
            </w:pPr>
            <w:r w:rsidRPr="002636AA">
              <w:rPr>
                <w:color w:val="000000"/>
              </w:rPr>
              <w:t>2.2.5.</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A7E8C3" w14:textId="77777777" w:rsidR="0099088D" w:rsidRPr="002636AA" w:rsidRDefault="0099088D" w:rsidP="0099088D">
            <w:pPr>
              <w:rPr>
                <w:color w:val="000000"/>
              </w:rPr>
            </w:pPr>
            <w:r w:rsidRPr="002636AA">
              <w:rPr>
                <w:color w:val="000000"/>
              </w:rPr>
              <w:t>219-272 мм</w:t>
            </w:r>
          </w:p>
        </w:tc>
        <w:tc>
          <w:tcPr>
            <w:tcW w:w="1775" w:type="dxa"/>
            <w:vMerge/>
            <w:tcBorders>
              <w:left w:val="single" w:sz="4" w:space="0" w:color="auto"/>
              <w:right w:val="single" w:sz="4" w:space="0" w:color="auto"/>
            </w:tcBorders>
            <w:vAlign w:val="center"/>
            <w:hideMark/>
          </w:tcPr>
          <w:p w14:paraId="10995A15" w14:textId="77777777" w:rsidR="0099088D" w:rsidRPr="002636AA"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662197EA" w14:textId="77777777" w:rsidR="0099088D" w:rsidRPr="002636AA" w:rsidRDefault="0099088D" w:rsidP="0099088D">
            <w:pPr>
              <w:jc w:val="center"/>
              <w:rPr>
                <w:color w:val="000000"/>
              </w:rPr>
            </w:pPr>
            <w:r w:rsidRPr="002636AA">
              <w:rPr>
                <w:color w:val="000000"/>
              </w:rPr>
              <w:t>5 572 910</w:t>
            </w:r>
          </w:p>
        </w:tc>
      </w:tr>
      <w:tr w:rsidR="0099088D" w:rsidRPr="002636AA" w14:paraId="6602E84B" w14:textId="77777777" w:rsidTr="0099088D">
        <w:trPr>
          <w:trHeight w:val="264"/>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0B6F60" w14:textId="77777777" w:rsidR="0099088D" w:rsidRPr="002636AA" w:rsidRDefault="0099088D" w:rsidP="0099088D">
            <w:pPr>
              <w:jc w:val="center"/>
              <w:rPr>
                <w:color w:val="000000"/>
              </w:rPr>
            </w:pPr>
            <w:r w:rsidRPr="002636AA">
              <w:rPr>
                <w:color w:val="000000"/>
              </w:rPr>
              <w:t>2.2.6.</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BC9DCD" w14:textId="77777777" w:rsidR="0099088D" w:rsidRPr="002636AA" w:rsidRDefault="0099088D" w:rsidP="0099088D">
            <w:pPr>
              <w:rPr>
                <w:color w:val="000000"/>
              </w:rPr>
            </w:pPr>
            <w:r w:rsidRPr="002636AA">
              <w:rPr>
                <w:color w:val="000000"/>
              </w:rPr>
              <w:t>273-324 мм</w:t>
            </w:r>
          </w:p>
        </w:tc>
        <w:tc>
          <w:tcPr>
            <w:tcW w:w="1775" w:type="dxa"/>
            <w:vMerge/>
            <w:tcBorders>
              <w:left w:val="single" w:sz="4" w:space="0" w:color="auto"/>
              <w:right w:val="single" w:sz="4" w:space="0" w:color="auto"/>
            </w:tcBorders>
            <w:vAlign w:val="center"/>
            <w:hideMark/>
          </w:tcPr>
          <w:p w14:paraId="66FE98D6" w14:textId="77777777" w:rsidR="0099088D" w:rsidRPr="002636AA"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503A4200" w14:textId="77777777" w:rsidR="0099088D" w:rsidRPr="002636AA" w:rsidRDefault="0099088D" w:rsidP="0099088D">
            <w:pPr>
              <w:jc w:val="center"/>
              <w:rPr>
                <w:color w:val="000000"/>
              </w:rPr>
            </w:pPr>
            <w:r w:rsidRPr="002636AA">
              <w:rPr>
                <w:color w:val="000000"/>
              </w:rPr>
              <w:t>6 312 276</w:t>
            </w:r>
          </w:p>
        </w:tc>
      </w:tr>
      <w:tr w:rsidR="0099088D" w:rsidRPr="002636AA" w14:paraId="29BB5082" w14:textId="77777777" w:rsidTr="0099088D">
        <w:trPr>
          <w:trHeight w:val="264"/>
        </w:trPr>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18966D79" w14:textId="77777777" w:rsidR="0099088D" w:rsidRPr="002636AA" w:rsidRDefault="0099088D" w:rsidP="0099088D">
            <w:pPr>
              <w:jc w:val="center"/>
              <w:rPr>
                <w:sz w:val="20"/>
                <w:szCs w:val="20"/>
              </w:rPr>
            </w:pPr>
            <w:r w:rsidRPr="002636AA">
              <w:rPr>
                <w:color w:val="000000"/>
              </w:rPr>
              <w:t>2.2.7.</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F287D5" w14:textId="77777777" w:rsidR="0099088D" w:rsidRPr="002636AA" w:rsidRDefault="0099088D" w:rsidP="0099088D">
            <w:pPr>
              <w:rPr>
                <w:color w:val="000000"/>
              </w:rPr>
            </w:pPr>
            <w:r w:rsidRPr="002636AA">
              <w:rPr>
                <w:color w:val="000000"/>
              </w:rPr>
              <w:t>325-425 мм</w:t>
            </w:r>
          </w:p>
        </w:tc>
        <w:tc>
          <w:tcPr>
            <w:tcW w:w="1775" w:type="dxa"/>
            <w:vMerge/>
            <w:tcBorders>
              <w:left w:val="single" w:sz="4" w:space="0" w:color="auto"/>
              <w:right w:val="single" w:sz="4" w:space="0" w:color="auto"/>
            </w:tcBorders>
            <w:vAlign w:val="center"/>
            <w:hideMark/>
          </w:tcPr>
          <w:p w14:paraId="3C51DE28" w14:textId="77777777" w:rsidR="0099088D" w:rsidRPr="002636AA"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2BC46DF6" w14:textId="77777777" w:rsidR="0099088D" w:rsidRPr="002636AA" w:rsidRDefault="0099088D" w:rsidP="0099088D">
            <w:pPr>
              <w:jc w:val="center"/>
              <w:rPr>
                <w:color w:val="000000"/>
              </w:rPr>
            </w:pPr>
            <w:r w:rsidRPr="002636AA">
              <w:rPr>
                <w:color w:val="000000"/>
              </w:rPr>
              <w:t>7 967 075</w:t>
            </w:r>
          </w:p>
        </w:tc>
      </w:tr>
      <w:tr w:rsidR="0099088D" w:rsidRPr="002636AA" w14:paraId="294B2DB3" w14:textId="77777777" w:rsidTr="0099088D">
        <w:trPr>
          <w:trHeight w:val="264"/>
        </w:trPr>
        <w:tc>
          <w:tcPr>
            <w:tcW w:w="1297" w:type="dxa"/>
            <w:tcBorders>
              <w:top w:val="single" w:sz="4" w:space="0" w:color="auto"/>
              <w:left w:val="single" w:sz="4" w:space="0" w:color="auto"/>
              <w:bottom w:val="single" w:sz="4" w:space="0" w:color="auto"/>
              <w:right w:val="single" w:sz="4" w:space="0" w:color="auto"/>
            </w:tcBorders>
            <w:shd w:val="clear" w:color="auto" w:fill="auto"/>
          </w:tcPr>
          <w:p w14:paraId="120C5269" w14:textId="77777777" w:rsidR="0099088D" w:rsidRPr="002636AA" w:rsidRDefault="0099088D" w:rsidP="0099088D">
            <w:pPr>
              <w:jc w:val="center"/>
              <w:rPr>
                <w:sz w:val="20"/>
                <w:szCs w:val="20"/>
              </w:rPr>
            </w:pPr>
            <w:r w:rsidRPr="002636AA">
              <w:rPr>
                <w:color w:val="000000"/>
              </w:rPr>
              <w:t>2.2.8.</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7DC24F0C" w14:textId="77777777" w:rsidR="0099088D" w:rsidRPr="002636AA" w:rsidRDefault="0099088D" w:rsidP="0099088D">
            <w:pPr>
              <w:rPr>
                <w:color w:val="000000"/>
              </w:rPr>
            </w:pPr>
            <w:r w:rsidRPr="002636AA">
              <w:rPr>
                <w:color w:val="000000"/>
              </w:rPr>
              <w:t>426-529 мм</w:t>
            </w:r>
          </w:p>
        </w:tc>
        <w:tc>
          <w:tcPr>
            <w:tcW w:w="1775" w:type="dxa"/>
            <w:vMerge/>
            <w:tcBorders>
              <w:left w:val="single" w:sz="4" w:space="0" w:color="auto"/>
              <w:right w:val="single" w:sz="4" w:space="0" w:color="auto"/>
            </w:tcBorders>
            <w:vAlign w:val="center"/>
          </w:tcPr>
          <w:p w14:paraId="225F7573" w14:textId="77777777" w:rsidR="0099088D" w:rsidRPr="002636AA"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tcPr>
          <w:p w14:paraId="43297A72" w14:textId="77777777" w:rsidR="0099088D" w:rsidRPr="002636AA" w:rsidRDefault="0099088D" w:rsidP="0099088D">
            <w:pPr>
              <w:jc w:val="center"/>
              <w:rPr>
                <w:color w:val="000000"/>
              </w:rPr>
            </w:pPr>
            <w:r w:rsidRPr="002636AA">
              <w:rPr>
                <w:color w:val="000000"/>
              </w:rPr>
              <w:t>9 154 343</w:t>
            </w:r>
          </w:p>
        </w:tc>
      </w:tr>
      <w:tr w:rsidR="0099088D" w:rsidRPr="002636AA" w14:paraId="66DEE399" w14:textId="77777777" w:rsidTr="0099088D">
        <w:trPr>
          <w:trHeight w:val="264"/>
        </w:trPr>
        <w:tc>
          <w:tcPr>
            <w:tcW w:w="1297" w:type="dxa"/>
            <w:tcBorders>
              <w:top w:val="single" w:sz="4" w:space="0" w:color="auto"/>
              <w:left w:val="single" w:sz="4" w:space="0" w:color="auto"/>
              <w:bottom w:val="single" w:sz="4" w:space="0" w:color="auto"/>
              <w:right w:val="single" w:sz="4" w:space="0" w:color="auto"/>
            </w:tcBorders>
            <w:shd w:val="clear" w:color="auto" w:fill="auto"/>
          </w:tcPr>
          <w:p w14:paraId="4424EE0A" w14:textId="77777777" w:rsidR="0099088D" w:rsidRPr="002636AA" w:rsidRDefault="0099088D" w:rsidP="0099088D">
            <w:pPr>
              <w:jc w:val="center"/>
              <w:rPr>
                <w:sz w:val="20"/>
                <w:szCs w:val="20"/>
              </w:rPr>
            </w:pPr>
            <w:r w:rsidRPr="002636AA">
              <w:rPr>
                <w:color w:val="000000"/>
              </w:rPr>
              <w:t>2.2.9.</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57CCD072" w14:textId="77777777" w:rsidR="0099088D" w:rsidRPr="002636AA" w:rsidRDefault="0099088D" w:rsidP="0099088D">
            <w:pPr>
              <w:rPr>
                <w:color w:val="000000"/>
              </w:rPr>
            </w:pPr>
            <w:r w:rsidRPr="002636AA">
              <w:rPr>
                <w:color w:val="000000"/>
              </w:rPr>
              <w:t>530 мм и выше</w:t>
            </w:r>
          </w:p>
        </w:tc>
        <w:tc>
          <w:tcPr>
            <w:tcW w:w="1775" w:type="dxa"/>
            <w:vMerge/>
            <w:tcBorders>
              <w:left w:val="single" w:sz="4" w:space="0" w:color="auto"/>
              <w:bottom w:val="single" w:sz="4" w:space="0" w:color="auto"/>
              <w:right w:val="single" w:sz="4" w:space="0" w:color="auto"/>
            </w:tcBorders>
            <w:vAlign w:val="center"/>
          </w:tcPr>
          <w:p w14:paraId="676584F2" w14:textId="77777777" w:rsidR="0099088D" w:rsidRPr="002636AA"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tcPr>
          <w:p w14:paraId="3CAA2875" w14:textId="77777777" w:rsidR="0099088D" w:rsidRPr="002636AA" w:rsidRDefault="0099088D" w:rsidP="0099088D">
            <w:pPr>
              <w:jc w:val="center"/>
              <w:rPr>
                <w:color w:val="000000"/>
              </w:rPr>
            </w:pPr>
            <w:r w:rsidRPr="002636AA">
              <w:rPr>
                <w:color w:val="000000"/>
              </w:rPr>
              <w:t>11 555 327</w:t>
            </w:r>
          </w:p>
        </w:tc>
      </w:tr>
      <w:tr w:rsidR="0099088D" w:rsidRPr="002636AA" w14:paraId="1D505D13" w14:textId="77777777" w:rsidTr="0099088D">
        <w:trPr>
          <w:trHeight w:val="521"/>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CE4F48" w14:textId="77777777" w:rsidR="0099088D" w:rsidRPr="002636AA" w:rsidRDefault="0099088D" w:rsidP="0099088D">
            <w:pPr>
              <w:jc w:val="center"/>
              <w:rPr>
                <w:color w:val="000000"/>
              </w:rPr>
            </w:pPr>
            <w:r w:rsidRPr="002636AA">
              <w:rPr>
                <w:color w:val="000000"/>
              </w:rPr>
              <w:t>3.</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8C449CE" w14:textId="77777777" w:rsidR="0099088D" w:rsidRPr="002636AA" w:rsidRDefault="0099088D" w:rsidP="0099088D">
            <w:pPr>
              <w:rPr>
                <w:color w:val="000000"/>
              </w:rPr>
            </w:pPr>
            <w:r w:rsidRPr="002636AA">
              <w:rPr>
                <w:color w:val="000000"/>
              </w:rPr>
              <w:t>Размер стандартизированной тарифной ставки С</w:t>
            </w:r>
            <w:r w:rsidRPr="002636AA">
              <w:rPr>
                <w:color w:val="000000"/>
                <w:vertAlign w:val="subscript"/>
              </w:rPr>
              <w:t xml:space="preserve">3 </w:t>
            </w:r>
            <w:r w:rsidRPr="002636AA">
              <w:rPr>
                <w:color w:val="000000"/>
              </w:rPr>
              <w:t xml:space="preserve">на покрытие расходов газораспределительной организации, связанных со строительством </w:t>
            </w:r>
            <w:r w:rsidRPr="002636AA">
              <w:rPr>
                <w:bCs/>
                <w:color w:val="000000"/>
              </w:rPr>
              <w:t xml:space="preserve">полиэтиленового </w:t>
            </w:r>
            <w:r w:rsidRPr="002636AA">
              <w:rPr>
                <w:color w:val="000000"/>
              </w:rPr>
              <w:t xml:space="preserve">газопровода наружным диаметром </w:t>
            </w:r>
            <w:r w:rsidRPr="002636AA">
              <w:rPr>
                <w:color w:val="2D2D2D"/>
              </w:rPr>
              <w:t>(без НДС, с налогом на прибыль)</w:t>
            </w:r>
            <w:r w:rsidRPr="002636AA">
              <w:rPr>
                <w:color w:val="000000"/>
              </w:rPr>
              <w:t>:</w:t>
            </w:r>
          </w:p>
        </w:tc>
      </w:tr>
      <w:tr w:rsidR="0099088D" w:rsidRPr="002636AA" w14:paraId="532A2A92" w14:textId="77777777" w:rsidTr="0099088D">
        <w:trPr>
          <w:trHeight w:val="99"/>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F517C" w14:textId="77777777" w:rsidR="0099088D" w:rsidRPr="002636AA" w:rsidRDefault="0099088D" w:rsidP="0099088D">
            <w:pPr>
              <w:jc w:val="center"/>
              <w:rPr>
                <w:color w:val="000000"/>
              </w:rPr>
            </w:pPr>
            <w:r w:rsidRPr="002636AA">
              <w:rPr>
                <w:color w:val="000000"/>
              </w:rPr>
              <w:t>3.1.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B5C2A2" w14:textId="77777777" w:rsidR="0099088D" w:rsidRPr="002636AA" w:rsidRDefault="0099088D" w:rsidP="0099088D">
            <w:pPr>
              <w:rPr>
                <w:color w:val="000000"/>
              </w:rPr>
            </w:pPr>
            <w:r w:rsidRPr="002636AA">
              <w:rPr>
                <w:color w:val="000000"/>
              </w:rPr>
              <w:t>109 мм и менее</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F8B0B8" w14:textId="77777777" w:rsidR="0099088D" w:rsidRPr="002636AA" w:rsidRDefault="0099088D" w:rsidP="0099088D">
            <w:pPr>
              <w:jc w:val="center"/>
              <w:rPr>
                <w:color w:val="000000"/>
              </w:rPr>
            </w:pPr>
            <w:r w:rsidRPr="002636AA">
              <w:rPr>
                <w:color w:val="000000"/>
              </w:rPr>
              <w:t>руб./км</w:t>
            </w: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7BA06406" w14:textId="77777777" w:rsidR="0099088D" w:rsidRPr="002636AA" w:rsidRDefault="0099088D" w:rsidP="0099088D">
            <w:pPr>
              <w:jc w:val="center"/>
              <w:rPr>
                <w:color w:val="000000"/>
              </w:rPr>
            </w:pPr>
            <w:r w:rsidRPr="002636AA">
              <w:rPr>
                <w:color w:val="000000"/>
              </w:rPr>
              <w:t>3 713 948</w:t>
            </w:r>
          </w:p>
        </w:tc>
      </w:tr>
      <w:tr w:rsidR="0099088D" w:rsidRPr="002636AA" w14:paraId="42A6D479" w14:textId="77777777" w:rsidTr="0099088D">
        <w:trPr>
          <w:trHeight w:val="102"/>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B00E90" w14:textId="77777777" w:rsidR="0099088D" w:rsidRPr="002636AA" w:rsidRDefault="0099088D" w:rsidP="0099088D">
            <w:pPr>
              <w:jc w:val="center"/>
              <w:rPr>
                <w:color w:val="000000"/>
              </w:rPr>
            </w:pPr>
            <w:r w:rsidRPr="002636AA">
              <w:rPr>
                <w:color w:val="000000"/>
              </w:rPr>
              <w:t>3.2.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2B76E3" w14:textId="77777777" w:rsidR="0099088D" w:rsidRPr="002636AA" w:rsidRDefault="0099088D" w:rsidP="0099088D">
            <w:pPr>
              <w:rPr>
                <w:color w:val="000000"/>
              </w:rPr>
            </w:pPr>
            <w:r w:rsidRPr="002636AA">
              <w:rPr>
                <w:color w:val="000000"/>
              </w:rPr>
              <w:t>110-159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727CD4BA" w14:textId="77777777" w:rsidR="0099088D" w:rsidRPr="002636AA"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39F9E3D9" w14:textId="77777777" w:rsidR="0099088D" w:rsidRPr="002636AA" w:rsidRDefault="0099088D" w:rsidP="0099088D">
            <w:pPr>
              <w:jc w:val="center"/>
              <w:rPr>
                <w:color w:val="000000"/>
              </w:rPr>
            </w:pPr>
            <w:r w:rsidRPr="002636AA">
              <w:rPr>
                <w:color w:val="000000"/>
              </w:rPr>
              <w:t>3 990 547</w:t>
            </w:r>
          </w:p>
        </w:tc>
      </w:tr>
      <w:tr w:rsidR="0099088D" w:rsidRPr="002636AA" w14:paraId="773DE6CF" w14:textId="77777777" w:rsidTr="0099088D">
        <w:trPr>
          <w:trHeight w:val="7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31FB3A" w14:textId="77777777" w:rsidR="0099088D" w:rsidRPr="002636AA" w:rsidRDefault="0099088D" w:rsidP="0099088D">
            <w:pPr>
              <w:jc w:val="center"/>
              <w:rPr>
                <w:color w:val="000000"/>
              </w:rPr>
            </w:pPr>
            <w:r w:rsidRPr="002636AA">
              <w:rPr>
                <w:color w:val="000000"/>
              </w:rPr>
              <w:t>3.3.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7FAEAC" w14:textId="77777777" w:rsidR="0099088D" w:rsidRPr="002636AA" w:rsidRDefault="0099088D" w:rsidP="0099088D">
            <w:pPr>
              <w:rPr>
                <w:color w:val="000000"/>
              </w:rPr>
            </w:pPr>
            <w:r w:rsidRPr="002636AA">
              <w:rPr>
                <w:color w:val="000000"/>
              </w:rPr>
              <w:t>160-224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725CC4B6" w14:textId="77777777" w:rsidR="0099088D" w:rsidRPr="002636AA"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6BF37E37" w14:textId="77777777" w:rsidR="0099088D" w:rsidRPr="002636AA" w:rsidRDefault="0099088D" w:rsidP="0099088D">
            <w:pPr>
              <w:jc w:val="center"/>
              <w:rPr>
                <w:color w:val="000000"/>
              </w:rPr>
            </w:pPr>
            <w:r w:rsidRPr="002636AA">
              <w:rPr>
                <w:color w:val="000000"/>
              </w:rPr>
              <w:t>4 360 055</w:t>
            </w:r>
          </w:p>
        </w:tc>
      </w:tr>
      <w:tr w:rsidR="0099088D" w:rsidRPr="002636AA" w14:paraId="4126CC81" w14:textId="77777777" w:rsidTr="0099088D">
        <w:trPr>
          <w:trHeight w:val="7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CC8385" w14:textId="77777777" w:rsidR="0099088D" w:rsidRPr="002636AA" w:rsidRDefault="0099088D" w:rsidP="0099088D">
            <w:pPr>
              <w:jc w:val="center"/>
              <w:rPr>
                <w:color w:val="000000"/>
              </w:rPr>
            </w:pPr>
            <w:r w:rsidRPr="002636AA">
              <w:rPr>
                <w:color w:val="000000"/>
              </w:rPr>
              <w:t>3.4.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DE4394" w14:textId="77777777" w:rsidR="0099088D" w:rsidRPr="002636AA" w:rsidRDefault="0099088D" w:rsidP="0099088D">
            <w:pPr>
              <w:rPr>
                <w:color w:val="000000"/>
              </w:rPr>
            </w:pPr>
            <w:r w:rsidRPr="002636AA">
              <w:rPr>
                <w:color w:val="000000"/>
              </w:rPr>
              <w:t>225-314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25D382CC" w14:textId="77777777" w:rsidR="0099088D" w:rsidRPr="002636AA"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3E4D93AB" w14:textId="77777777" w:rsidR="0099088D" w:rsidRPr="002636AA" w:rsidRDefault="0099088D" w:rsidP="0099088D">
            <w:pPr>
              <w:jc w:val="center"/>
              <w:rPr>
                <w:color w:val="000000"/>
              </w:rPr>
            </w:pPr>
            <w:r w:rsidRPr="002636AA">
              <w:rPr>
                <w:color w:val="000000"/>
              </w:rPr>
              <w:t>4 824 028</w:t>
            </w:r>
          </w:p>
        </w:tc>
      </w:tr>
      <w:tr w:rsidR="0099088D" w:rsidRPr="002636AA" w14:paraId="63B58749" w14:textId="77777777" w:rsidTr="0099088D">
        <w:trPr>
          <w:trHeight w:val="7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05259" w14:textId="77777777" w:rsidR="0099088D" w:rsidRPr="002636AA" w:rsidRDefault="0099088D" w:rsidP="0099088D">
            <w:pPr>
              <w:jc w:val="center"/>
              <w:rPr>
                <w:color w:val="000000"/>
              </w:rPr>
            </w:pPr>
            <w:r w:rsidRPr="002636AA">
              <w:rPr>
                <w:color w:val="000000"/>
              </w:rPr>
              <w:t>3.5.</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E3DFDF" w14:textId="77777777" w:rsidR="0099088D" w:rsidRPr="002636AA" w:rsidRDefault="0099088D" w:rsidP="0099088D">
            <w:pPr>
              <w:rPr>
                <w:color w:val="000000"/>
              </w:rPr>
            </w:pPr>
            <w:r w:rsidRPr="002636AA">
              <w:rPr>
                <w:color w:val="000000"/>
              </w:rPr>
              <w:t>315-399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6A10490C" w14:textId="77777777" w:rsidR="0099088D" w:rsidRPr="002636AA"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0DCF45CD" w14:textId="77777777" w:rsidR="0099088D" w:rsidRPr="002636AA" w:rsidRDefault="0099088D" w:rsidP="0099088D">
            <w:pPr>
              <w:jc w:val="center"/>
              <w:rPr>
                <w:color w:val="000000"/>
              </w:rPr>
            </w:pPr>
            <w:r w:rsidRPr="002636AA">
              <w:rPr>
                <w:color w:val="000000"/>
              </w:rPr>
              <w:t>7 227 732</w:t>
            </w:r>
          </w:p>
        </w:tc>
      </w:tr>
      <w:tr w:rsidR="0099088D" w:rsidRPr="002636AA" w14:paraId="1B6D2710" w14:textId="77777777" w:rsidTr="0099088D">
        <w:trPr>
          <w:trHeight w:val="7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13F61A" w14:textId="77777777" w:rsidR="0099088D" w:rsidRPr="002636AA" w:rsidRDefault="0099088D" w:rsidP="0099088D">
            <w:pPr>
              <w:jc w:val="center"/>
              <w:rPr>
                <w:color w:val="000000"/>
              </w:rPr>
            </w:pPr>
            <w:r w:rsidRPr="002636AA">
              <w:rPr>
                <w:color w:val="000000"/>
              </w:rPr>
              <w:t>3.6.</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52395" w14:textId="77777777" w:rsidR="0099088D" w:rsidRPr="002636AA" w:rsidRDefault="0099088D" w:rsidP="0099088D">
            <w:pPr>
              <w:rPr>
                <w:color w:val="000000"/>
              </w:rPr>
            </w:pPr>
            <w:r w:rsidRPr="002636AA">
              <w:rPr>
                <w:color w:val="000000"/>
              </w:rPr>
              <w:t>400 мм и выше</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39C2C054" w14:textId="77777777" w:rsidR="0099088D" w:rsidRPr="002636AA"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7F592F01" w14:textId="77777777" w:rsidR="0099088D" w:rsidRPr="002636AA" w:rsidRDefault="0099088D" w:rsidP="0099088D">
            <w:pPr>
              <w:jc w:val="center"/>
              <w:rPr>
                <w:color w:val="000000"/>
              </w:rPr>
            </w:pPr>
            <w:r w:rsidRPr="002636AA">
              <w:rPr>
                <w:color w:val="000000"/>
              </w:rPr>
              <w:t>9 098 524</w:t>
            </w:r>
          </w:p>
        </w:tc>
      </w:tr>
      <w:tr w:rsidR="0099088D" w:rsidRPr="002636AA" w14:paraId="0EA42E5B" w14:textId="77777777" w:rsidTr="0099088D">
        <w:trPr>
          <w:trHeight w:val="47"/>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4580414B" w14:textId="77777777" w:rsidR="0099088D" w:rsidRPr="002636AA" w:rsidRDefault="0099088D" w:rsidP="0099088D">
            <w:pPr>
              <w:jc w:val="center"/>
              <w:rPr>
                <w:color w:val="000000"/>
              </w:rPr>
            </w:pPr>
            <w:r w:rsidRPr="002636AA">
              <w:rPr>
                <w:color w:val="000000"/>
              </w:rPr>
              <w:t>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6455A1BA" w14:textId="77777777" w:rsidR="0099088D" w:rsidRPr="002636AA" w:rsidRDefault="0099088D" w:rsidP="0099088D">
            <w:pPr>
              <w:jc w:val="center"/>
              <w:rPr>
                <w:color w:val="000000"/>
              </w:rPr>
            </w:pPr>
            <w:r w:rsidRPr="002636AA">
              <w:rPr>
                <w:color w:val="000000"/>
              </w:rPr>
              <w:t>2</w:t>
            </w: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tcPr>
          <w:p w14:paraId="442A4159" w14:textId="77777777" w:rsidR="0099088D" w:rsidRPr="002636AA" w:rsidRDefault="0099088D" w:rsidP="0099088D">
            <w:pPr>
              <w:jc w:val="center"/>
              <w:rPr>
                <w:color w:val="000000"/>
              </w:rPr>
            </w:pPr>
            <w:r w:rsidRPr="002636AA">
              <w:rPr>
                <w:color w:val="000000"/>
              </w:rPr>
              <w:t>3</w:t>
            </w:r>
          </w:p>
        </w:tc>
        <w:tc>
          <w:tcPr>
            <w:tcW w:w="2466" w:type="dxa"/>
            <w:tcBorders>
              <w:top w:val="single" w:sz="4" w:space="0" w:color="auto"/>
              <w:left w:val="single" w:sz="4" w:space="0" w:color="auto"/>
              <w:bottom w:val="single" w:sz="4" w:space="0" w:color="auto"/>
              <w:right w:val="single" w:sz="4" w:space="0" w:color="auto"/>
            </w:tcBorders>
            <w:shd w:val="clear" w:color="000000" w:fill="FFFFFF"/>
            <w:vAlign w:val="center"/>
          </w:tcPr>
          <w:p w14:paraId="2419D8F0" w14:textId="77777777" w:rsidR="0099088D" w:rsidRPr="002636AA" w:rsidRDefault="0099088D" w:rsidP="0099088D">
            <w:pPr>
              <w:jc w:val="center"/>
              <w:rPr>
                <w:color w:val="000000"/>
              </w:rPr>
            </w:pPr>
            <w:r w:rsidRPr="002636AA">
              <w:rPr>
                <w:color w:val="000000"/>
              </w:rPr>
              <w:t>4</w:t>
            </w:r>
          </w:p>
        </w:tc>
      </w:tr>
      <w:tr w:rsidR="0099088D" w:rsidRPr="002636AA" w14:paraId="6715988D" w14:textId="77777777" w:rsidTr="0099088D">
        <w:trPr>
          <w:trHeight w:val="7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931141" w14:textId="77777777" w:rsidR="0099088D" w:rsidRPr="002636AA" w:rsidRDefault="0099088D" w:rsidP="0099088D">
            <w:pPr>
              <w:jc w:val="center"/>
              <w:rPr>
                <w:color w:val="000000"/>
              </w:rPr>
            </w:pPr>
            <w:r w:rsidRPr="002636AA">
              <w:rPr>
                <w:color w:val="000000"/>
              </w:rPr>
              <w:t>4.</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409CD4B" w14:textId="77777777" w:rsidR="0099088D" w:rsidRPr="002636AA" w:rsidRDefault="0099088D" w:rsidP="0099088D">
            <w:pPr>
              <w:rPr>
                <w:color w:val="000000"/>
              </w:rPr>
            </w:pPr>
            <w:r w:rsidRPr="002636AA">
              <w:rPr>
                <w:color w:val="000000"/>
              </w:rPr>
              <w:t>Размер стандартизированной тарифной ставки С</w:t>
            </w:r>
            <w:r w:rsidRPr="002636AA">
              <w:rPr>
                <w:color w:val="000000"/>
                <w:vertAlign w:val="subscript"/>
              </w:rPr>
              <w:t>4</w:t>
            </w:r>
            <w:r w:rsidRPr="002636AA">
              <w:rPr>
                <w:color w:val="000000"/>
              </w:rPr>
              <w:t xml:space="preserve"> на покрытие расходов газораспределительной организации, связанных со строительством стального и полиэтиленового газопроводов бестраншейным способом (без НДС, с налогом на прибыль):</w:t>
            </w:r>
          </w:p>
        </w:tc>
      </w:tr>
      <w:tr w:rsidR="0099088D" w:rsidRPr="002636AA" w14:paraId="70FBA2F1" w14:textId="77777777" w:rsidTr="0099088D">
        <w:trPr>
          <w:trHeight w:val="47"/>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8A3F0D" w14:textId="77777777" w:rsidR="0099088D" w:rsidRPr="002636AA" w:rsidRDefault="0099088D" w:rsidP="0099088D">
            <w:pPr>
              <w:jc w:val="center"/>
              <w:rPr>
                <w:color w:val="000000"/>
              </w:rPr>
            </w:pPr>
            <w:r w:rsidRPr="002636AA">
              <w:rPr>
                <w:color w:val="000000"/>
              </w:rPr>
              <w:t>4.1.</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CA1A9CB" w14:textId="77777777" w:rsidR="0099088D" w:rsidRPr="002636AA" w:rsidRDefault="0099088D" w:rsidP="0099088D">
            <w:pPr>
              <w:rPr>
                <w:color w:val="000000"/>
              </w:rPr>
            </w:pPr>
            <w:r w:rsidRPr="002636AA">
              <w:rPr>
                <w:bCs/>
                <w:color w:val="000000"/>
              </w:rPr>
              <w:t>полиэтиленовых</w:t>
            </w:r>
            <w:r w:rsidRPr="002636AA">
              <w:rPr>
                <w:color w:val="000000"/>
              </w:rPr>
              <w:t xml:space="preserve"> газопроводов наружным диаметром:</w:t>
            </w:r>
          </w:p>
        </w:tc>
      </w:tr>
      <w:tr w:rsidR="0099088D" w:rsidRPr="002636AA" w14:paraId="7996CBD8"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A6DB5C" w14:textId="77777777" w:rsidR="0099088D" w:rsidRPr="002636AA" w:rsidRDefault="0099088D" w:rsidP="0099088D">
            <w:pPr>
              <w:jc w:val="center"/>
              <w:rPr>
                <w:color w:val="000000"/>
              </w:rPr>
            </w:pPr>
            <w:r w:rsidRPr="002636AA">
              <w:rPr>
                <w:color w:val="000000"/>
              </w:rPr>
              <w:t>4.1.1.</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C3A09CD" w14:textId="77777777" w:rsidR="0099088D" w:rsidRPr="002636AA" w:rsidRDefault="0099088D" w:rsidP="0099088D">
            <w:pPr>
              <w:rPr>
                <w:color w:val="000000"/>
              </w:rPr>
            </w:pPr>
            <w:r w:rsidRPr="002636AA">
              <w:rPr>
                <w:color w:val="000000"/>
              </w:rPr>
              <w:t>109 мм и менее, в грунтах:</w:t>
            </w:r>
          </w:p>
        </w:tc>
      </w:tr>
      <w:tr w:rsidR="0099088D" w:rsidRPr="002636AA" w14:paraId="55C5A8E7" w14:textId="77777777" w:rsidTr="0099088D">
        <w:trPr>
          <w:trHeight w:val="47"/>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172906" w14:textId="77777777" w:rsidR="0099088D" w:rsidRPr="002636AA" w:rsidRDefault="0099088D" w:rsidP="0099088D">
            <w:pPr>
              <w:jc w:val="center"/>
              <w:rPr>
                <w:color w:val="000000"/>
              </w:rPr>
            </w:pPr>
            <w:r w:rsidRPr="002636AA">
              <w:rPr>
                <w:color w:val="000000"/>
              </w:rPr>
              <w:t>4.1.1.1.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8D9DAC" w14:textId="77777777" w:rsidR="0099088D" w:rsidRPr="002636AA" w:rsidRDefault="0099088D" w:rsidP="0099088D">
            <w:pPr>
              <w:rPr>
                <w:color w:val="000000"/>
              </w:rPr>
            </w:pPr>
            <w:r w:rsidRPr="002636AA">
              <w:rPr>
                <w:color w:val="000000"/>
              </w:rPr>
              <w:t>I и II группы</w:t>
            </w: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E6CF29" w14:textId="77777777" w:rsidR="0099088D" w:rsidRPr="002636AA" w:rsidRDefault="0099088D" w:rsidP="0099088D">
            <w:pPr>
              <w:jc w:val="center"/>
              <w:rPr>
                <w:color w:val="000000"/>
              </w:rPr>
            </w:pPr>
            <w:r w:rsidRPr="002636AA">
              <w:rPr>
                <w:color w:val="000000"/>
              </w:rPr>
              <w:t>руб./км</w:t>
            </w:r>
          </w:p>
        </w:tc>
        <w:tc>
          <w:tcPr>
            <w:tcW w:w="2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A64585" w14:textId="77777777" w:rsidR="0099088D" w:rsidRPr="002636AA" w:rsidRDefault="0099088D" w:rsidP="0099088D">
            <w:pPr>
              <w:jc w:val="center"/>
              <w:rPr>
                <w:color w:val="000000"/>
              </w:rPr>
            </w:pPr>
            <w:r w:rsidRPr="002636AA">
              <w:rPr>
                <w:color w:val="000000"/>
              </w:rPr>
              <w:t>6 052 710</w:t>
            </w:r>
          </w:p>
        </w:tc>
      </w:tr>
      <w:tr w:rsidR="0099088D" w:rsidRPr="002636AA" w14:paraId="24AFF6CD" w14:textId="77777777" w:rsidTr="0099088D">
        <w:trPr>
          <w:trHeight w:val="47"/>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ED787E" w14:textId="77777777" w:rsidR="0099088D" w:rsidRPr="002636AA" w:rsidRDefault="0099088D" w:rsidP="0099088D">
            <w:pPr>
              <w:jc w:val="center"/>
              <w:rPr>
                <w:color w:val="000000"/>
              </w:rPr>
            </w:pPr>
            <w:r w:rsidRPr="002636AA">
              <w:rPr>
                <w:color w:val="000000"/>
              </w:rPr>
              <w:t>4.1.2.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33433B2" w14:textId="77777777" w:rsidR="0099088D" w:rsidRPr="002636AA" w:rsidRDefault="0099088D" w:rsidP="0099088D">
            <w:pPr>
              <w:rPr>
                <w:color w:val="000000"/>
              </w:rPr>
            </w:pPr>
            <w:r w:rsidRPr="002636AA">
              <w:rPr>
                <w:color w:val="000000"/>
              </w:rPr>
              <w:t>110-159 мм, в грунтах:</w:t>
            </w:r>
          </w:p>
        </w:tc>
      </w:tr>
      <w:tr w:rsidR="0099088D" w:rsidRPr="002636AA" w14:paraId="5BE800C7" w14:textId="77777777" w:rsidTr="0099088D">
        <w:trPr>
          <w:trHeight w:val="7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9BE6B9" w14:textId="77777777" w:rsidR="0099088D" w:rsidRPr="002636AA" w:rsidRDefault="0099088D" w:rsidP="0099088D">
            <w:pPr>
              <w:jc w:val="center"/>
              <w:rPr>
                <w:color w:val="000000"/>
              </w:rPr>
            </w:pPr>
            <w:r w:rsidRPr="002636AA">
              <w:rPr>
                <w:color w:val="000000"/>
              </w:rPr>
              <w:t>4.1.2.1.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F0F4A" w14:textId="77777777" w:rsidR="0099088D" w:rsidRPr="002636AA" w:rsidRDefault="0099088D" w:rsidP="0099088D">
            <w:pPr>
              <w:rPr>
                <w:color w:val="000000"/>
              </w:rPr>
            </w:pPr>
            <w:r w:rsidRPr="002636AA">
              <w:rPr>
                <w:color w:val="000000"/>
              </w:rPr>
              <w:t>I и II группы</w:t>
            </w: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2A59AE" w14:textId="77777777" w:rsidR="0099088D" w:rsidRPr="002636AA" w:rsidRDefault="0099088D" w:rsidP="0099088D">
            <w:pPr>
              <w:jc w:val="center"/>
              <w:rPr>
                <w:color w:val="000000"/>
              </w:rPr>
            </w:pPr>
            <w:r w:rsidRPr="002636AA">
              <w:rPr>
                <w:color w:val="000000"/>
              </w:rPr>
              <w:t>руб./км</w:t>
            </w:r>
          </w:p>
        </w:tc>
        <w:tc>
          <w:tcPr>
            <w:tcW w:w="2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BF5336" w14:textId="77777777" w:rsidR="0099088D" w:rsidRPr="002636AA" w:rsidRDefault="0099088D" w:rsidP="0099088D">
            <w:pPr>
              <w:jc w:val="center"/>
              <w:rPr>
                <w:color w:val="000000"/>
              </w:rPr>
            </w:pPr>
            <w:r w:rsidRPr="002636AA">
              <w:rPr>
                <w:color w:val="000000"/>
              </w:rPr>
              <w:t>6 052 710</w:t>
            </w:r>
          </w:p>
        </w:tc>
      </w:tr>
      <w:tr w:rsidR="0099088D" w:rsidRPr="002636AA" w14:paraId="070D1DE4" w14:textId="77777777" w:rsidTr="0099088D">
        <w:trPr>
          <w:trHeight w:val="979"/>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6E72BB0A" w14:textId="77777777" w:rsidR="0099088D" w:rsidRPr="002636AA" w:rsidRDefault="0099088D" w:rsidP="0099088D">
            <w:pPr>
              <w:jc w:val="center"/>
              <w:rPr>
                <w:color w:val="000000"/>
              </w:rPr>
            </w:pPr>
            <w:bookmarkStart w:id="65" w:name="_Hlk26433573"/>
            <w:r w:rsidRPr="002636AA">
              <w:rPr>
                <w:color w:val="000000"/>
              </w:rPr>
              <w:t>5.</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7E6C4A" w14:textId="77777777" w:rsidR="0099088D" w:rsidRPr="002636AA" w:rsidRDefault="0099088D" w:rsidP="0099088D">
            <w:pPr>
              <w:rPr>
                <w:color w:val="000000"/>
              </w:rPr>
            </w:pPr>
            <w:r w:rsidRPr="002636AA">
              <w:rPr>
                <w:color w:val="000000"/>
              </w:rPr>
              <w:t>Размер стандартизированной тарифной ставки С</w:t>
            </w:r>
            <w:r w:rsidRPr="002636AA">
              <w:rPr>
                <w:color w:val="000000"/>
                <w:vertAlign w:val="subscript"/>
              </w:rPr>
              <w:t>5</w:t>
            </w:r>
            <w:r w:rsidRPr="002636AA">
              <w:rPr>
                <w:color w:val="000000"/>
              </w:rPr>
              <w:t xml:space="preserve"> на покрытие расходов ГРО, связанных с проектированием и строительством пунктов редуцирования газа с максимальным часовым расходом газа (без НДС, с налогом на прибыль);</w:t>
            </w:r>
          </w:p>
        </w:tc>
      </w:tr>
      <w:tr w:rsidR="0099088D" w:rsidRPr="002636AA" w14:paraId="710C78CC" w14:textId="77777777" w:rsidTr="0099088D">
        <w:trPr>
          <w:trHeight w:val="7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1D40607D" w14:textId="77777777" w:rsidR="0099088D" w:rsidRPr="002636AA" w:rsidRDefault="0099088D" w:rsidP="0099088D">
            <w:pPr>
              <w:jc w:val="center"/>
              <w:rPr>
                <w:color w:val="000000"/>
              </w:rPr>
            </w:pPr>
            <w:r w:rsidRPr="002636AA">
              <w:rPr>
                <w:color w:val="000000"/>
              </w:rPr>
              <w:t>5.1.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49C258C7" w14:textId="77777777" w:rsidR="0099088D" w:rsidRPr="002636AA" w:rsidRDefault="0099088D" w:rsidP="0099088D">
            <w:pPr>
              <w:rPr>
                <w:color w:val="000000"/>
              </w:rPr>
            </w:pPr>
            <w:r w:rsidRPr="002636AA">
              <w:rPr>
                <w:color w:val="000000"/>
              </w:rPr>
              <w:t>до 40 м³/час</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FD49B11" w14:textId="77777777" w:rsidR="0099088D" w:rsidRPr="002636AA" w:rsidRDefault="0099088D" w:rsidP="0099088D">
            <w:pPr>
              <w:jc w:val="center"/>
              <w:rPr>
                <w:color w:val="000000"/>
              </w:rPr>
            </w:pPr>
            <w:r w:rsidRPr="002636AA">
              <w:rPr>
                <w:color w:val="000000"/>
              </w:rPr>
              <w:t>руб./ м³</w:t>
            </w:r>
          </w:p>
        </w:tc>
        <w:tc>
          <w:tcPr>
            <w:tcW w:w="2466" w:type="dxa"/>
            <w:tcBorders>
              <w:top w:val="single" w:sz="4" w:space="0" w:color="auto"/>
              <w:left w:val="nil"/>
              <w:bottom w:val="single" w:sz="4" w:space="0" w:color="auto"/>
              <w:right w:val="single" w:sz="4" w:space="0" w:color="auto"/>
            </w:tcBorders>
            <w:shd w:val="clear" w:color="auto" w:fill="auto"/>
            <w:vAlign w:val="center"/>
          </w:tcPr>
          <w:p w14:paraId="5A4DADAC" w14:textId="77777777" w:rsidR="0099088D" w:rsidRPr="002636AA" w:rsidRDefault="0099088D" w:rsidP="0099088D">
            <w:pPr>
              <w:jc w:val="center"/>
              <w:rPr>
                <w:color w:val="000000"/>
              </w:rPr>
            </w:pPr>
            <w:r w:rsidRPr="002636AA">
              <w:rPr>
                <w:color w:val="000000"/>
              </w:rPr>
              <w:t>19 972</w:t>
            </w:r>
          </w:p>
        </w:tc>
      </w:tr>
      <w:tr w:rsidR="0099088D" w:rsidRPr="002636AA" w14:paraId="40F17672"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068317BC" w14:textId="77777777" w:rsidR="0099088D" w:rsidRPr="002636AA" w:rsidRDefault="0099088D" w:rsidP="0099088D">
            <w:pPr>
              <w:jc w:val="center"/>
              <w:rPr>
                <w:color w:val="000000"/>
              </w:rPr>
            </w:pPr>
            <w:r w:rsidRPr="002636AA">
              <w:rPr>
                <w:color w:val="000000"/>
              </w:rPr>
              <w:t>5.2.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6E3230E1" w14:textId="77777777" w:rsidR="0099088D" w:rsidRPr="002636AA" w:rsidRDefault="0099088D" w:rsidP="0099088D">
            <w:pPr>
              <w:rPr>
                <w:color w:val="000000"/>
              </w:rPr>
            </w:pPr>
            <w:r w:rsidRPr="002636AA">
              <w:rPr>
                <w:color w:val="000000"/>
              </w:rPr>
              <w:t>40 – 99 м³/час</w:t>
            </w:r>
          </w:p>
        </w:tc>
        <w:tc>
          <w:tcPr>
            <w:tcW w:w="1775" w:type="dxa"/>
            <w:vMerge/>
            <w:tcBorders>
              <w:top w:val="single" w:sz="4" w:space="0" w:color="auto"/>
              <w:left w:val="single" w:sz="4" w:space="0" w:color="auto"/>
              <w:bottom w:val="single" w:sz="4" w:space="0" w:color="auto"/>
              <w:right w:val="single" w:sz="4" w:space="0" w:color="auto"/>
            </w:tcBorders>
            <w:shd w:val="clear" w:color="auto" w:fill="auto"/>
          </w:tcPr>
          <w:p w14:paraId="168A20AD" w14:textId="77777777" w:rsidR="0099088D" w:rsidRPr="002636AA" w:rsidRDefault="0099088D" w:rsidP="0099088D">
            <w:pPr>
              <w:jc w:val="center"/>
              <w:rPr>
                <w:sz w:val="20"/>
                <w:szCs w:val="20"/>
              </w:rPr>
            </w:pPr>
          </w:p>
        </w:tc>
        <w:tc>
          <w:tcPr>
            <w:tcW w:w="2466" w:type="dxa"/>
            <w:tcBorders>
              <w:top w:val="single" w:sz="4" w:space="0" w:color="auto"/>
              <w:left w:val="nil"/>
              <w:bottom w:val="single" w:sz="4" w:space="0" w:color="auto"/>
              <w:right w:val="single" w:sz="4" w:space="0" w:color="auto"/>
            </w:tcBorders>
            <w:shd w:val="clear" w:color="auto" w:fill="auto"/>
            <w:vAlign w:val="center"/>
          </w:tcPr>
          <w:p w14:paraId="4C1446EB" w14:textId="77777777" w:rsidR="0099088D" w:rsidRPr="002636AA" w:rsidRDefault="0099088D" w:rsidP="0099088D">
            <w:pPr>
              <w:jc w:val="center"/>
              <w:rPr>
                <w:color w:val="000000"/>
              </w:rPr>
            </w:pPr>
            <w:r w:rsidRPr="002636AA">
              <w:rPr>
                <w:color w:val="000000"/>
              </w:rPr>
              <w:t>7 376</w:t>
            </w:r>
          </w:p>
        </w:tc>
      </w:tr>
      <w:tr w:rsidR="0099088D" w:rsidRPr="002636AA" w14:paraId="6C51CDF1" w14:textId="77777777" w:rsidTr="0099088D">
        <w:trPr>
          <w:trHeight w:val="7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0A59BB6C" w14:textId="77777777" w:rsidR="0099088D" w:rsidRPr="002636AA" w:rsidRDefault="0099088D" w:rsidP="0099088D">
            <w:pPr>
              <w:jc w:val="center"/>
              <w:rPr>
                <w:color w:val="000000"/>
              </w:rPr>
            </w:pPr>
            <w:r w:rsidRPr="002636AA">
              <w:rPr>
                <w:color w:val="000000"/>
              </w:rPr>
              <w:t>5.3.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2F77E711" w14:textId="77777777" w:rsidR="0099088D" w:rsidRPr="002636AA" w:rsidRDefault="0099088D" w:rsidP="0099088D">
            <w:pPr>
              <w:rPr>
                <w:color w:val="000000"/>
              </w:rPr>
            </w:pPr>
            <w:r w:rsidRPr="002636AA">
              <w:rPr>
                <w:color w:val="000000"/>
              </w:rPr>
              <w:t>100 – 399 м³/час</w:t>
            </w:r>
          </w:p>
        </w:tc>
        <w:tc>
          <w:tcPr>
            <w:tcW w:w="1775" w:type="dxa"/>
            <w:vMerge/>
            <w:tcBorders>
              <w:top w:val="single" w:sz="4" w:space="0" w:color="auto"/>
              <w:left w:val="single" w:sz="4" w:space="0" w:color="auto"/>
              <w:bottom w:val="single" w:sz="4" w:space="0" w:color="auto"/>
              <w:right w:val="single" w:sz="4" w:space="0" w:color="auto"/>
            </w:tcBorders>
            <w:shd w:val="clear" w:color="auto" w:fill="auto"/>
          </w:tcPr>
          <w:p w14:paraId="25E83FEF" w14:textId="77777777" w:rsidR="0099088D" w:rsidRPr="002636AA" w:rsidRDefault="0099088D" w:rsidP="0099088D">
            <w:pPr>
              <w:jc w:val="center"/>
              <w:rPr>
                <w:sz w:val="20"/>
                <w:szCs w:val="20"/>
              </w:rPr>
            </w:pPr>
          </w:p>
        </w:tc>
        <w:tc>
          <w:tcPr>
            <w:tcW w:w="2466" w:type="dxa"/>
            <w:tcBorders>
              <w:top w:val="single" w:sz="4" w:space="0" w:color="auto"/>
              <w:left w:val="nil"/>
              <w:bottom w:val="single" w:sz="4" w:space="0" w:color="auto"/>
              <w:right w:val="single" w:sz="4" w:space="0" w:color="auto"/>
            </w:tcBorders>
            <w:shd w:val="clear" w:color="auto" w:fill="auto"/>
            <w:vAlign w:val="center"/>
          </w:tcPr>
          <w:p w14:paraId="59E9759C" w14:textId="77777777" w:rsidR="0099088D" w:rsidRPr="002636AA" w:rsidRDefault="0099088D" w:rsidP="0099088D">
            <w:pPr>
              <w:jc w:val="center"/>
              <w:rPr>
                <w:color w:val="000000"/>
              </w:rPr>
            </w:pPr>
            <w:r w:rsidRPr="002636AA">
              <w:rPr>
                <w:color w:val="000000"/>
              </w:rPr>
              <w:t>4 603</w:t>
            </w:r>
          </w:p>
        </w:tc>
      </w:tr>
      <w:tr w:rsidR="0099088D" w:rsidRPr="002636AA" w14:paraId="73090C43"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19568273" w14:textId="77777777" w:rsidR="0099088D" w:rsidRPr="002636AA" w:rsidRDefault="0099088D" w:rsidP="0099088D">
            <w:pPr>
              <w:jc w:val="center"/>
              <w:rPr>
                <w:color w:val="000000"/>
              </w:rPr>
            </w:pPr>
            <w:r w:rsidRPr="002636AA">
              <w:rPr>
                <w:color w:val="000000"/>
              </w:rPr>
              <w:t>5.4.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26D73ED6" w14:textId="77777777" w:rsidR="0099088D" w:rsidRPr="002636AA" w:rsidRDefault="0099088D" w:rsidP="0099088D">
            <w:pPr>
              <w:rPr>
                <w:color w:val="000000"/>
              </w:rPr>
            </w:pPr>
            <w:r w:rsidRPr="002636AA">
              <w:rPr>
                <w:color w:val="000000"/>
              </w:rPr>
              <w:t>400 – 999 м³/час</w:t>
            </w:r>
          </w:p>
        </w:tc>
        <w:tc>
          <w:tcPr>
            <w:tcW w:w="1775" w:type="dxa"/>
            <w:vMerge/>
            <w:tcBorders>
              <w:top w:val="single" w:sz="4" w:space="0" w:color="auto"/>
              <w:left w:val="single" w:sz="4" w:space="0" w:color="auto"/>
              <w:bottom w:val="single" w:sz="4" w:space="0" w:color="auto"/>
              <w:right w:val="single" w:sz="4" w:space="0" w:color="auto"/>
            </w:tcBorders>
            <w:shd w:val="clear" w:color="auto" w:fill="auto"/>
          </w:tcPr>
          <w:p w14:paraId="2A924F0A" w14:textId="77777777" w:rsidR="0099088D" w:rsidRPr="002636AA" w:rsidRDefault="0099088D" w:rsidP="0099088D">
            <w:pPr>
              <w:jc w:val="center"/>
              <w:rPr>
                <w:sz w:val="20"/>
                <w:szCs w:val="20"/>
              </w:rPr>
            </w:pPr>
          </w:p>
        </w:tc>
        <w:tc>
          <w:tcPr>
            <w:tcW w:w="2466" w:type="dxa"/>
            <w:tcBorders>
              <w:top w:val="single" w:sz="4" w:space="0" w:color="auto"/>
              <w:left w:val="nil"/>
              <w:bottom w:val="single" w:sz="4" w:space="0" w:color="auto"/>
              <w:right w:val="single" w:sz="4" w:space="0" w:color="auto"/>
            </w:tcBorders>
            <w:shd w:val="clear" w:color="auto" w:fill="auto"/>
            <w:vAlign w:val="center"/>
          </w:tcPr>
          <w:p w14:paraId="49EF0E6B" w14:textId="77777777" w:rsidR="0099088D" w:rsidRPr="002636AA" w:rsidRDefault="0099088D" w:rsidP="0099088D">
            <w:pPr>
              <w:jc w:val="center"/>
              <w:rPr>
                <w:color w:val="000000"/>
              </w:rPr>
            </w:pPr>
            <w:r w:rsidRPr="002636AA">
              <w:rPr>
                <w:color w:val="000000"/>
              </w:rPr>
              <w:t>1 763</w:t>
            </w:r>
          </w:p>
        </w:tc>
      </w:tr>
      <w:bookmarkEnd w:id="65"/>
      <w:tr w:rsidR="0099088D" w:rsidRPr="002636AA" w14:paraId="7A7AEBF2" w14:textId="77777777" w:rsidTr="0099088D">
        <w:trPr>
          <w:trHeight w:val="3532"/>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286E09" w14:textId="77777777" w:rsidR="0099088D" w:rsidRPr="002636AA" w:rsidRDefault="0099088D" w:rsidP="0099088D">
            <w:pPr>
              <w:jc w:val="center"/>
              <w:rPr>
                <w:color w:val="000000"/>
              </w:rPr>
            </w:pPr>
            <w:r w:rsidRPr="002636AA">
              <w:rPr>
                <w:color w:val="000000"/>
              </w:rPr>
              <w:t>6.</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312274F" w14:textId="77777777" w:rsidR="0099088D" w:rsidRPr="002636AA" w:rsidRDefault="0099088D" w:rsidP="0099088D">
            <w:pPr>
              <w:rPr>
                <w:color w:val="000000"/>
              </w:rPr>
            </w:pPr>
            <w:r w:rsidRPr="002636AA">
              <w:rPr>
                <w:color w:val="000000"/>
              </w:rPr>
              <w:t>Размер стандартизированной тарифной ставки С</w:t>
            </w:r>
            <w:r w:rsidRPr="002636AA">
              <w:rPr>
                <w:color w:val="000000"/>
                <w:vertAlign w:val="subscript"/>
              </w:rPr>
              <w:t>7</w:t>
            </w:r>
            <w:r w:rsidRPr="002636AA">
              <w:rPr>
                <w:color w:val="000000"/>
              </w:rPr>
              <w:t xml:space="preserve"> на покрытие расходов газораспределительной организации, связанных с мониторингом выполнения Заявителем технических условий и осуществлением фактического присоединения к газораспределительной сети газораспределительной организации,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сети газопотребления Заявителя и существующего или вновь построенного стального (полиэтиленового) газопровода газораспределительной организации, а также бесхозяйного газопровода или газопровода основного абонента, и проведением пуска газа в газоиспользующее оборудование заявителя (без НДС, без налога на прибыль), в том числе:</w:t>
            </w:r>
          </w:p>
        </w:tc>
      </w:tr>
      <w:tr w:rsidR="0099088D" w:rsidRPr="002636AA" w14:paraId="2EE6188D" w14:textId="77777777" w:rsidTr="0099088D">
        <w:trPr>
          <w:trHeight w:val="7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A927B" w14:textId="77777777" w:rsidR="0099088D" w:rsidRPr="002636AA" w:rsidRDefault="0099088D" w:rsidP="0099088D">
            <w:pPr>
              <w:jc w:val="center"/>
              <w:rPr>
                <w:color w:val="000000"/>
              </w:rPr>
            </w:pPr>
            <w:r w:rsidRPr="002636AA">
              <w:rPr>
                <w:color w:val="000000"/>
              </w:rPr>
              <w:t>6.1.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2645C" w14:textId="77777777" w:rsidR="0099088D" w:rsidRPr="002636AA" w:rsidRDefault="0099088D" w:rsidP="0099088D">
            <w:pPr>
              <w:rPr>
                <w:color w:val="000000"/>
              </w:rPr>
            </w:pPr>
            <w:r w:rsidRPr="002636AA">
              <w:rPr>
                <w:color w:val="000000"/>
              </w:rPr>
              <w:t>Размер стандартизированной тарифной ставки С</w:t>
            </w:r>
            <w:r w:rsidRPr="002636AA">
              <w:rPr>
                <w:color w:val="000000"/>
                <w:vertAlign w:val="subscript"/>
              </w:rPr>
              <w:t>7.1</w:t>
            </w:r>
            <w:r w:rsidRPr="002636AA">
              <w:rPr>
                <w:color w:val="000000"/>
              </w:rPr>
              <w:t>, связанной с мониторингом выполнения заявителем технических условий:</w:t>
            </w: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0D192" w14:textId="77777777" w:rsidR="0099088D" w:rsidRPr="002636AA" w:rsidRDefault="0099088D" w:rsidP="0099088D">
            <w:pPr>
              <w:jc w:val="center"/>
              <w:rPr>
                <w:color w:val="000000"/>
              </w:rPr>
            </w:pPr>
            <w:r w:rsidRPr="002636AA">
              <w:rPr>
                <w:color w:val="000000"/>
              </w:rPr>
              <w:t xml:space="preserve">руб. </w:t>
            </w:r>
            <w:r w:rsidRPr="002636AA">
              <w:rPr>
                <w:color w:val="2D2D2D"/>
              </w:rPr>
              <w:t>за 1 присоединение</w:t>
            </w:r>
          </w:p>
        </w:tc>
        <w:tc>
          <w:tcPr>
            <w:tcW w:w="2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14B810" w14:textId="77777777" w:rsidR="0099088D" w:rsidRPr="002636AA" w:rsidRDefault="0099088D" w:rsidP="0099088D">
            <w:pPr>
              <w:jc w:val="center"/>
              <w:rPr>
                <w:color w:val="000000"/>
              </w:rPr>
            </w:pPr>
            <w:r w:rsidRPr="002636AA">
              <w:rPr>
                <w:color w:val="000000"/>
              </w:rPr>
              <w:t>3 913</w:t>
            </w:r>
          </w:p>
        </w:tc>
      </w:tr>
      <w:tr w:rsidR="0099088D" w:rsidRPr="002636AA" w14:paraId="7D5EEC4B" w14:textId="77777777" w:rsidTr="0099088D">
        <w:trPr>
          <w:trHeight w:val="2962"/>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48B1CA" w14:textId="77777777" w:rsidR="0099088D" w:rsidRPr="002636AA" w:rsidRDefault="0099088D" w:rsidP="0099088D">
            <w:pPr>
              <w:jc w:val="center"/>
              <w:rPr>
                <w:color w:val="000000"/>
              </w:rPr>
            </w:pPr>
            <w:r w:rsidRPr="002636AA">
              <w:rPr>
                <w:color w:val="000000"/>
              </w:rPr>
              <w:t>6.2.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BD960AF" w14:textId="77777777" w:rsidR="0099088D" w:rsidRPr="002636AA" w:rsidRDefault="0099088D" w:rsidP="0099088D">
            <w:pPr>
              <w:rPr>
                <w:color w:val="000000"/>
              </w:rPr>
            </w:pPr>
            <w:r w:rsidRPr="002636AA">
              <w:rPr>
                <w:color w:val="000000"/>
              </w:rPr>
              <w:t>Размер стандартизированной тарифной ставки С</w:t>
            </w:r>
            <w:r w:rsidRPr="002636AA">
              <w:rPr>
                <w:color w:val="000000"/>
                <w:vertAlign w:val="subscript"/>
              </w:rPr>
              <w:t>7.2</w:t>
            </w:r>
            <w:r w:rsidRPr="002636AA">
              <w:rPr>
                <w:color w:val="000000"/>
              </w:rPr>
              <w:t>, связанной с осуществлением фактического присоединения к газораспределительной сети газораспределительной организации,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сети газопотребления заявителя и существующего или вновь построенного стального (полиэтиленового) газопровода газораспределительной организации, а также бесхозяйного газопровода или газопровода основного абонента, и проведением пуска газа в газоиспользующее оборудование заявителя:</w:t>
            </w:r>
          </w:p>
        </w:tc>
      </w:tr>
      <w:tr w:rsidR="0099088D" w:rsidRPr="002636AA" w14:paraId="5641E947" w14:textId="77777777" w:rsidTr="0099088D">
        <w:trPr>
          <w:trHeight w:val="7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9BE777" w14:textId="77777777" w:rsidR="0099088D" w:rsidRPr="002636AA" w:rsidRDefault="0099088D" w:rsidP="0099088D">
            <w:pPr>
              <w:jc w:val="center"/>
              <w:rPr>
                <w:color w:val="000000"/>
              </w:rPr>
            </w:pPr>
            <w:r w:rsidRPr="002636AA">
              <w:rPr>
                <w:color w:val="000000"/>
              </w:rPr>
              <w:t>6.2.1.</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10BA191" w14:textId="77777777" w:rsidR="0099088D" w:rsidRPr="002636AA" w:rsidRDefault="0099088D" w:rsidP="0099088D">
            <w:pPr>
              <w:rPr>
                <w:color w:val="000000"/>
              </w:rPr>
            </w:pPr>
            <w:r w:rsidRPr="002636AA">
              <w:rPr>
                <w:color w:val="000000"/>
              </w:rPr>
              <w:t>стальных газопроводов:</w:t>
            </w:r>
          </w:p>
        </w:tc>
      </w:tr>
      <w:tr w:rsidR="0099088D" w:rsidRPr="002636AA" w14:paraId="57DE764B" w14:textId="77777777" w:rsidTr="0099088D">
        <w:trPr>
          <w:trHeight w:val="7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9F2C13" w14:textId="77777777" w:rsidR="0099088D" w:rsidRPr="002636AA" w:rsidRDefault="0099088D" w:rsidP="0099088D">
            <w:pPr>
              <w:jc w:val="center"/>
              <w:rPr>
                <w:color w:val="000000"/>
              </w:rPr>
            </w:pPr>
            <w:r w:rsidRPr="002636AA">
              <w:rPr>
                <w:color w:val="000000"/>
              </w:rPr>
              <w:t>6.2.1.1.</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A6AA23B" w14:textId="77777777" w:rsidR="0099088D" w:rsidRPr="002636AA" w:rsidRDefault="0099088D" w:rsidP="0099088D">
            <w:pPr>
              <w:rPr>
                <w:color w:val="000000"/>
              </w:rPr>
            </w:pPr>
            <w:r w:rsidRPr="002636AA">
              <w:rPr>
                <w:color w:val="000000"/>
              </w:rPr>
              <w:t>наземного (надземного) способа прокладки:</w:t>
            </w:r>
          </w:p>
        </w:tc>
      </w:tr>
      <w:tr w:rsidR="0099088D" w:rsidRPr="002636AA" w14:paraId="618EEB31" w14:textId="77777777" w:rsidTr="0099088D">
        <w:trPr>
          <w:trHeight w:val="691"/>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6CF251" w14:textId="77777777" w:rsidR="0099088D" w:rsidRPr="002636AA" w:rsidRDefault="0099088D" w:rsidP="0099088D">
            <w:pPr>
              <w:jc w:val="center"/>
              <w:rPr>
                <w:color w:val="000000"/>
              </w:rPr>
            </w:pPr>
            <w:r w:rsidRPr="002636AA">
              <w:rPr>
                <w:color w:val="000000"/>
              </w:rPr>
              <w:t>6.2.1.1.1.</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A98C373" w14:textId="77777777" w:rsidR="0099088D" w:rsidRPr="002636AA" w:rsidRDefault="0099088D" w:rsidP="0099088D">
            <w:pPr>
              <w:rPr>
                <w:color w:val="000000"/>
              </w:rPr>
            </w:pPr>
            <w:r w:rsidRPr="002636AA">
              <w:rPr>
                <w:color w:val="000000"/>
              </w:rPr>
              <w:t>с давлением до 0,005 МПа (включительно) в газопроводе, в который осуществляется врезка, наружным диаметром:</w:t>
            </w:r>
          </w:p>
        </w:tc>
      </w:tr>
      <w:tr w:rsidR="0099088D" w:rsidRPr="002636AA" w14:paraId="363E140E"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E19D87" w14:textId="77777777" w:rsidR="0099088D" w:rsidRPr="002636AA" w:rsidRDefault="0099088D" w:rsidP="0099088D">
            <w:pPr>
              <w:jc w:val="center"/>
              <w:rPr>
                <w:color w:val="000000"/>
              </w:rPr>
            </w:pPr>
            <w:r w:rsidRPr="002636AA">
              <w:rPr>
                <w:color w:val="000000"/>
              </w:rPr>
              <w:t>6.2.1.1.1.1.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651F01" w14:textId="77777777" w:rsidR="0099088D" w:rsidRPr="002636AA" w:rsidRDefault="0099088D" w:rsidP="0099088D">
            <w:pPr>
              <w:rPr>
                <w:color w:val="000000"/>
              </w:rPr>
            </w:pPr>
            <w:r w:rsidRPr="002636AA">
              <w:rPr>
                <w:color w:val="000000"/>
              </w:rPr>
              <w:t>до 100 мм</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6356D6" w14:textId="77777777" w:rsidR="0099088D" w:rsidRPr="002636AA" w:rsidRDefault="0099088D" w:rsidP="0099088D">
            <w:pPr>
              <w:jc w:val="center"/>
              <w:rPr>
                <w:color w:val="000000"/>
              </w:rPr>
            </w:pPr>
            <w:r w:rsidRPr="002636AA">
              <w:rPr>
                <w:color w:val="000000"/>
              </w:rPr>
              <w:t>руб.</w:t>
            </w:r>
            <w:r w:rsidRPr="002636AA">
              <w:rPr>
                <w:sz w:val="20"/>
                <w:szCs w:val="20"/>
              </w:rPr>
              <w:t xml:space="preserve"> </w:t>
            </w:r>
            <w:r w:rsidRPr="002636AA">
              <w:rPr>
                <w:color w:val="000000"/>
              </w:rPr>
              <w:t>за 1 присоединение</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0711AD" w14:textId="77777777" w:rsidR="0099088D" w:rsidRPr="002636AA" w:rsidRDefault="0099088D" w:rsidP="0099088D">
            <w:pPr>
              <w:jc w:val="center"/>
              <w:rPr>
                <w:color w:val="000000"/>
              </w:rPr>
            </w:pPr>
            <w:r w:rsidRPr="002636AA">
              <w:rPr>
                <w:color w:val="000000"/>
              </w:rPr>
              <w:t>12 426</w:t>
            </w:r>
          </w:p>
        </w:tc>
      </w:tr>
      <w:tr w:rsidR="0099088D" w:rsidRPr="002636AA" w14:paraId="187D995C" w14:textId="77777777" w:rsidTr="0099088D">
        <w:trPr>
          <w:trHeight w:val="395"/>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9440D2" w14:textId="77777777" w:rsidR="0099088D" w:rsidRPr="002636AA" w:rsidRDefault="0099088D" w:rsidP="0099088D">
            <w:pPr>
              <w:jc w:val="center"/>
              <w:rPr>
                <w:color w:val="000000"/>
              </w:rPr>
            </w:pPr>
            <w:r w:rsidRPr="002636AA">
              <w:rPr>
                <w:color w:val="000000"/>
              </w:rPr>
              <w:t>6.2.1.1.1.2.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762B4" w14:textId="77777777" w:rsidR="0099088D" w:rsidRPr="002636AA" w:rsidRDefault="0099088D" w:rsidP="0099088D">
            <w:pPr>
              <w:rPr>
                <w:color w:val="000000"/>
              </w:rPr>
            </w:pPr>
            <w:r w:rsidRPr="002636AA">
              <w:rPr>
                <w:color w:val="000000"/>
              </w:rPr>
              <w:t>101-158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64E23F85" w14:textId="77777777" w:rsidR="0099088D" w:rsidRPr="002636AA" w:rsidRDefault="0099088D" w:rsidP="0099088D">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56ABD0FF" w14:textId="77777777" w:rsidR="0099088D" w:rsidRPr="002636AA" w:rsidRDefault="0099088D" w:rsidP="0099088D">
            <w:pPr>
              <w:jc w:val="center"/>
              <w:rPr>
                <w:color w:val="000000"/>
              </w:rPr>
            </w:pPr>
            <w:r w:rsidRPr="002636AA">
              <w:rPr>
                <w:color w:val="000000"/>
              </w:rPr>
              <w:t>13 898</w:t>
            </w:r>
          </w:p>
        </w:tc>
      </w:tr>
      <w:tr w:rsidR="0099088D" w:rsidRPr="002636AA" w14:paraId="7A7C554D" w14:textId="77777777" w:rsidTr="0099088D">
        <w:trPr>
          <w:trHeight w:val="273"/>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712648" w14:textId="77777777" w:rsidR="0099088D" w:rsidRPr="002636AA" w:rsidRDefault="0099088D" w:rsidP="0099088D">
            <w:pPr>
              <w:jc w:val="center"/>
              <w:rPr>
                <w:color w:val="000000"/>
              </w:rPr>
            </w:pPr>
            <w:r w:rsidRPr="002636AA">
              <w:rPr>
                <w:color w:val="000000"/>
              </w:rPr>
              <w:t>6.2.1.1.1.3.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D6530E" w14:textId="77777777" w:rsidR="0099088D" w:rsidRPr="002636AA" w:rsidRDefault="0099088D" w:rsidP="0099088D">
            <w:pPr>
              <w:rPr>
                <w:color w:val="000000"/>
              </w:rPr>
            </w:pPr>
            <w:r w:rsidRPr="002636AA">
              <w:rPr>
                <w:color w:val="000000"/>
              </w:rPr>
              <w:t>159-218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393CEAB9" w14:textId="77777777" w:rsidR="0099088D" w:rsidRPr="002636AA" w:rsidRDefault="0099088D" w:rsidP="0099088D">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71057C3E" w14:textId="77777777" w:rsidR="0099088D" w:rsidRPr="002636AA" w:rsidRDefault="0099088D" w:rsidP="0099088D">
            <w:pPr>
              <w:jc w:val="center"/>
              <w:rPr>
                <w:color w:val="000000"/>
              </w:rPr>
            </w:pPr>
            <w:r w:rsidRPr="002636AA">
              <w:rPr>
                <w:color w:val="000000"/>
              </w:rPr>
              <w:t>42 223</w:t>
            </w:r>
          </w:p>
        </w:tc>
      </w:tr>
      <w:tr w:rsidR="0099088D" w:rsidRPr="002636AA" w14:paraId="624FEFEB"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0EE151B4" w14:textId="77777777" w:rsidR="0099088D" w:rsidRPr="002636AA" w:rsidRDefault="0099088D" w:rsidP="0099088D">
            <w:pPr>
              <w:jc w:val="center"/>
              <w:rPr>
                <w:color w:val="000000"/>
              </w:rPr>
            </w:pPr>
            <w:r w:rsidRPr="002636AA">
              <w:rPr>
                <w:color w:val="000000"/>
              </w:rPr>
              <w:t>6.2.1.1.1.4.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75081B10" w14:textId="77777777" w:rsidR="0099088D" w:rsidRPr="002636AA" w:rsidRDefault="0099088D" w:rsidP="0099088D">
            <w:pPr>
              <w:rPr>
                <w:color w:val="000000"/>
              </w:rPr>
            </w:pPr>
            <w:r w:rsidRPr="002636AA">
              <w:rPr>
                <w:color w:val="000000"/>
              </w:rPr>
              <w:t>219-272 мм</w:t>
            </w:r>
          </w:p>
        </w:tc>
        <w:tc>
          <w:tcPr>
            <w:tcW w:w="1775" w:type="dxa"/>
            <w:vMerge/>
            <w:tcBorders>
              <w:top w:val="single" w:sz="4" w:space="0" w:color="auto"/>
              <w:left w:val="single" w:sz="4" w:space="0" w:color="auto"/>
              <w:bottom w:val="single" w:sz="4" w:space="0" w:color="auto"/>
              <w:right w:val="single" w:sz="4" w:space="0" w:color="auto"/>
            </w:tcBorders>
            <w:vAlign w:val="center"/>
          </w:tcPr>
          <w:p w14:paraId="53032940" w14:textId="77777777" w:rsidR="0099088D" w:rsidRPr="002636AA" w:rsidRDefault="0099088D" w:rsidP="0099088D">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3B526094" w14:textId="77777777" w:rsidR="0099088D" w:rsidRPr="002636AA" w:rsidRDefault="0099088D" w:rsidP="0099088D">
            <w:pPr>
              <w:jc w:val="center"/>
              <w:rPr>
                <w:color w:val="000000"/>
              </w:rPr>
            </w:pPr>
            <w:r w:rsidRPr="002636AA">
              <w:rPr>
                <w:color w:val="000000"/>
              </w:rPr>
              <w:t>50 876</w:t>
            </w:r>
          </w:p>
        </w:tc>
      </w:tr>
      <w:tr w:rsidR="0099088D" w:rsidRPr="002636AA" w14:paraId="3A1C361E" w14:textId="77777777" w:rsidTr="0099088D">
        <w:trPr>
          <w:trHeight w:val="133"/>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2FB408A0" w14:textId="77777777" w:rsidR="0099088D" w:rsidRPr="002636AA" w:rsidRDefault="0099088D" w:rsidP="0099088D">
            <w:pPr>
              <w:jc w:val="center"/>
              <w:rPr>
                <w:color w:val="000000"/>
              </w:rPr>
            </w:pPr>
            <w:r w:rsidRPr="002636AA">
              <w:rPr>
                <w:color w:val="000000"/>
              </w:rPr>
              <w:t>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28BBBE70" w14:textId="77777777" w:rsidR="0099088D" w:rsidRPr="002636AA" w:rsidRDefault="0099088D" w:rsidP="0099088D">
            <w:pPr>
              <w:jc w:val="center"/>
              <w:rPr>
                <w:color w:val="000000"/>
              </w:rPr>
            </w:pPr>
            <w:r w:rsidRPr="002636AA">
              <w:rPr>
                <w:color w:val="000000"/>
              </w:rPr>
              <w:t>2</w:t>
            </w: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tcPr>
          <w:p w14:paraId="4585A022" w14:textId="77777777" w:rsidR="0099088D" w:rsidRPr="002636AA" w:rsidRDefault="0099088D" w:rsidP="0099088D">
            <w:pPr>
              <w:jc w:val="center"/>
              <w:rPr>
                <w:color w:val="000000"/>
              </w:rPr>
            </w:pPr>
            <w:r w:rsidRPr="002636AA">
              <w:rPr>
                <w:color w:val="000000"/>
              </w:rPr>
              <w:t>3</w:t>
            </w:r>
          </w:p>
        </w:tc>
        <w:tc>
          <w:tcPr>
            <w:tcW w:w="2466" w:type="dxa"/>
            <w:tcBorders>
              <w:top w:val="single" w:sz="4" w:space="0" w:color="auto"/>
              <w:left w:val="single" w:sz="4" w:space="0" w:color="auto"/>
              <w:bottom w:val="single" w:sz="4" w:space="0" w:color="auto"/>
              <w:right w:val="single" w:sz="4" w:space="0" w:color="auto"/>
            </w:tcBorders>
            <w:shd w:val="clear" w:color="000000" w:fill="FFFFFF"/>
            <w:vAlign w:val="center"/>
          </w:tcPr>
          <w:p w14:paraId="325D2333" w14:textId="77777777" w:rsidR="0099088D" w:rsidRPr="002636AA" w:rsidRDefault="0099088D" w:rsidP="0099088D">
            <w:pPr>
              <w:jc w:val="center"/>
              <w:rPr>
                <w:color w:val="000000"/>
              </w:rPr>
            </w:pPr>
            <w:r w:rsidRPr="002636AA">
              <w:rPr>
                <w:color w:val="000000"/>
              </w:rPr>
              <w:t>4</w:t>
            </w:r>
          </w:p>
        </w:tc>
      </w:tr>
      <w:tr w:rsidR="0099088D" w:rsidRPr="002636AA" w14:paraId="07E0D878" w14:textId="77777777" w:rsidTr="0099088D">
        <w:trPr>
          <w:trHeight w:val="621"/>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54E786" w14:textId="77777777" w:rsidR="0099088D" w:rsidRPr="002636AA" w:rsidRDefault="0099088D" w:rsidP="0099088D">
            <w:pPr>
              <w:jc w:val="center"/>
              <w:rPr>
                <w:color w:val="000000"/>
              </w:rPr>
            </w:pPr>
            <w:r w:rsidRPr="002636AA">
              <w:rPr>
                <w:color w:val="000000"/>
              </w:rPr>
              <w:t>6.2.1.1.2.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F42FC96" w14:textId="77777777" w:rsidR="0099088D" w:rsidRPr="002636AA" w:rsidRDefault="0099088D" w:rsidP="0099088D">
            <w:pPr>
              <w:rPr>
                <w:color w:val="000000"/>
              </w:rPr>
            </w:pPr>
            <w:r w:rsidRPr="002636AA">
              <w:rPr>
                <w:color w:val="000000"/>
              </w:rPr>
              <w:t>с давлением от 0,005 МПа до 1,2 МПа (включительно) в газопроводе, в который осуществляется врезка, наружным диаметром:</w:t>
            </w:r>
          </w:p>
        </w:tc>
      </w:tr>
      <w:tr w:rsidR="0099088D" w:rsidRPr="002636AA" w14:paraId="2A1E9E85"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DD1C21" w14:textId="77777777" w:rsidR="0099088D" w:rsidRPr="002636AA" w:rsidRDefault="0099088D" w:rsidP="0099088D">
            <w:pPr>
              <w:jc w:val="center"/>
              <w:rPr>
                <w:color w:val="000000"/>
              </w:rPr>
            </w:pPr>
            <w:r w:rsidRPr="002636AA">
              <w:rPr>
                <w:color w:val="000000"/>
              </w:rPr>
              <w:t>6.2.1.1.2.1.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8D0217" w14:textId="77777777" w:rsidR="0099088D" w:rsidRPr="002636AA" w:rsidRDefault="0099088D" w:rsidP="0099088D">
            <w:r w:rsidRPr="002636AA">
              <w:t>до 100 мм</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961FF9" w14:textId="77777777" w:rsidR="0099088D" w:rsidRPr="002636AA" w:rsidRDefault="0099088D" w:rsidP="0099088D">
            <w:pPr>
              <w:jc w:val="center"/>
            </w:pPr>
            <w:r w:rsidRPr="002636AA">
              <w:rPr>
                <w:color w:val="000000"/>
              </w:rPr>
              <w:t>руб.</w:t>
            </w:r>
            <w:r w:rsidRPr="002636AA">
              <w:rPr>
                <w:sz w:val="20"/>
                <w:szCs w:val="20"/>
              </w:rPr>
              <w:t xml:space="preserve"> </w:t>
            </w:r>
            <w:r w:rsidRPr="002636AA">
              <w:rPr>
                <w:color w:val="000000"/>
              </w:rPr>
              <w:t>за 1 присоединение</w:t>
            </w: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7E555158" w14:textId="77777777" w:rsidR="0099088D" w:rsidRPr="002636AA" w:rsidRDefault="0099088D" w:rsidP="0099088D">
            <w:pPr>
              <w:jc w:val="center"/>
              <w:rPr>
                <w:color w:val="000000"/>
              </w:rPr>
            </w:pPr>
            <w:r w:rsidRPr="002636AA">
              <w:rPr>
                <w:color w:val="000000"/>
              </w:rPr>
              <w:t>20 192</w:t>
            </w:r>
          </w:p>
        </w:tc>
      </w:tr>
      <w:tr w:rsidR="0099088D" w:rsidRPr="002636AA" w14:paraId="74D9526C"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B43067" w14:textId="77777777" w:rsidR="0099088D" w:rsidRPr="002636AA" w:rsidRDefault="0099088D" w:rsidP="0099088D">
            <w:pPr>
              <w:jc w:val="center"/>
              <w:rPr>
                <w:color w:val="000000"/>
              </w:rPr>
            </w:pPr>
            <w:r w:rsidRPr="002636AA">
              <w:rPr>
                <w:color w:val="000000"/>
              </w:rPr>
              <w:t>6.2.1.1.2.2.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B1C252" w14:textId="77777777" w:rsidR="0099088D" w:rsidRPr="002636AA" w:rsidRDefault="0099088D" w:rsidP="0099088D">
            <w:r w:rsidRPr="002636AA">
              <w:t>101-158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5878BB00" w14:textId="77777777" w:rsidR="0099088D" w:rsidRPr="002636AA" w:rsidRDefault="0099088D" w:rsidP="0099088D"/>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2AAAC877" w14:textId="77777777" w:rsidR="0099088D" w:rsidRPr="002636AA" w:rsidRDefault="0099088D" w:rsidP="0099088D">
            <w:pPr>
              <w:jc w:val="center"/>
              <w:rPr>
                <w:color w:val="000000"/>
              </w:rPr>
            </w:pPr>
            <w:r w:rsidRPr="002636AA">
              <w:rPr>
                <w:color w:val="000000"/>
              </w:rPr>
              <w:t>30 004</w:t>
            </w:r>
          </w:p>
        </w:tc>
      </w:tr>
      <w:tr w:rsidR="0099088D" w:rsidRPr="002636AA" w14:paraId="5DFA9478"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3BE73A" w14:textId="77777777" w:rsidR="0099088D" w:rsidRPr="002636AA" w:rsidRDefault="0099088D" w:rsidP="0099088D">
            <w:pPr>
              <w:jc w:val="center"/>
              <w:rPr>
                <w:color w:val="000000"/>
              </w:rPr>
            </w:pPr>
            <w:r w:rsidRPr="002636AA">
              <w:rPr>
                <w:color w:val="000000"/>
              </w:rPr>
              <w:t>6.2.1.1.2.3.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228ECA" w14:textId="77777777" w:rsidR="0099088D" w:rsidRPr="002636AA" w:rsidRDefault="0099088D" w:rsidP="0099088D">
            <w:r w:rsidRPr="002636AA">
              <w:t>159-218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39CC9262" w14:textId="77777777" w:rsidR="0099088D" w:rsidRPr="002636AA" w:rsidRDefault="0099088D" w:rsidP="0099088D"/>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78187983" w14:textId="77777777" w:rsidR="0099088D" w:rsidRPr="002636AA" w:rsidRDefault="0099088D" w:rsidP="0099088D">
            <w:pPr>
              <w:jc w:val="center"/>
              <w:rPr>
                <w:color w:val="000000"/>
              </w:rPr>
            </w:pPr>
            <w:r w:rsidRPr="002636AA">
              <w:rPr>
                <w:color w:val="000000"/>
              </w:rPr>
              <w:t>40 239</w:t>
            </w:r>
          </w:p>
        </w:tc>
      </w:tr>
      <w:tr w:rsidR="0099088D" w:rsidRPr="002636AA" w14:paraId="063B5CA0"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1E9F6D" w14:textId="77777777" w:rsidR="0099088D" w:rsidRPr="002636AA" w:rsidRDefault="0099088D" w:rsidP="0099088D">
            <w:pPr>
              <w:jc w:val="center"/>
              <w:rPr>
                <w:color w:val="000000"/>
              </w:rPr>
            </w:pPr>
            <w:r w:rsidRPr="002636AA">
              <w:rPr>
                <w:color w:val="000000"/>
              </w:rPr>
              <w:t>6.2.1.1.2.4.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6FEA7" w14:textId="77777777" w:rsidR="0099088D" w:rsidRPr="002636AA" w:rsidRDefault="0099088D" w:rsidP="0099088D">
            <w:r w:rsidRPr="002636AA">
              <w:t>219-272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58F40F6E" w14:textId="77777777" w:rsidR="0099088D" w:rsidRPr="002636AA" w:rsidRDefault="0099088D" w:rsidP="0099088D"/>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2600C2BC" w14:textId="77777777" w:rsidR="0099088D" w:rsidRPr="002636AA" w:rsidRDefault="0099088D" w:rsidP="0099088D">
            <w:pPr>
              <w:jc w:val="center"/>
              <w:rPr>
                <w:color w:val="000000"/>
              </w:rPr>
            </w:pPr>
            <w:r w:rsidRPr="002636AA">
              <w:rPr>
                <w:color w:val="000000"/>
              </w:rPr>
              <w:t>40 239</w:t>
            </w:r>
          </w:p>
        </w:tc>
      </w:tr>
      <w:tr w:rsidR="0099088D" w:rsidRPr="002636AA" w14:paraId="41FD67C1"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5D0DB0" w14:textId="77777777" w:rsidR="0099088D" w:rsidRPr="002636AA" w:rsidRDefault="0099088D" w:rsidP="0099088D">
            <w:pPr>
              <w:jc w:val="center"/>
              <w:rPr>
                <w:color w:val="000000"/>
              </w:rPr>
            </w:pPr>
            <w:r w:rsidRPr="002636AA">
              <w:rPr>
                <w:color w:val="000000"/>
              </w:rPr>
              <w:t>6.2.1.1.2.5.</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E2EF2E" w14:textId="77777777" w:rsidR="0099088D" w:rsidRPr="002636AA" w:rsidRDefault="0099088D" w:rsidP="0099088D">
            <w:r w:rsidRPr="002636AA">
              <w:t>273-324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16FE942D" w14:textId="77777777" w:rsidR="0099088D" w:rsidRPr="002636AA" w:rsidRDefault="0099088D" w:rsidP="0099088D"/>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3F873B5E" w14:textId="77777777" w:rsidR="0099088D" w:rsidRPr="002636AA" w:rsidRDefault="0099088D" w:rsidP="0099088D">
            <w:pPr>
              <w:jc w:val="center"/>
              <w:rPr>
                <w:color w:val="000000"/>
              </w:rPr>
            </w:pPr>
            <w:r w:rsidRPr="002636AA">
              <w:rPr>
                <w:color w:val="000000"/>
              </w:rPr>
              <w:t>55 792</w:t>
            </w:r>
          </w:p>
        </w:tc>
      </w:tr>
      <w:tr w:rsidR="0099088D" w:rsidRPr="002636AA" w14:paraId="6A642526"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823274" w14:textId="77777777" w:rsidR="0099088D" w:rsidRPr="002636AA" w:rsidRDefault="0099088D" w:rsidP="0099088D">
            <w:pPr>
              <w:jc w:val="center"/>
              <w:rPr>
                <w:color w:val="000000"/>
              </w:rPr>
            </w:pPr>
            <w:r w:rsidRPr="002636AA">
              <w:rPr>
                <w:color w:val="000000"/>
              </w:rPr>
              <w:t>6.2.1.1.2.6.</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D64FB9" w14:textId="77777777" w:rsidR="0099088D" w:rsidRPr="002636AA" w:rsidRDefault="0099088D" w:rsidP="0099088D">
            <w:r w:rsidRPr="002636AA">
              <w:t>325-425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3ABD6644" w14:textId="77777777" w:rsidR="0099088D" w:rsidRPr="002636AA" w:rsidRDefault="0099088D" w:rsidP="0099088D"/>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0F091480" w14:textId="77777777" w:rsidR="0099088D" w:rsidRPr="002636AA" w:rsidRDefault="0099088D" w:rsidP="0099088D">
            <w:pPr>
              <w:jc w:val="center"/>
              <w:rPr>
                <w:color w:val="000000"/>
              </w:rPr>
            </w:pPr>
            <w:r w:rsidRPr="002636AA">
              <w:rPr>
                <w:color w:val="000000"/>
              </w:rPr>
              <w:t>58 133</w:t>
            </w:r>
          </w:p>
        </w:tc>
      </w:tr>
      <w:tr w:rsidR="0099088D" w:rsidRPr="002636AA" w14:paraId="157DD57B"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F21AEB" w14:textId="77777777" w:rsidR="0099088D" w:rsidRPr="002636AA" w:rsidRDefault="0099088D" w:rsidP="0099088D">
            <w:pPr>
              <w:jc w:val="center"/>
              <w:rPr>
                <w:color w:val="000000"/>
              </w:rPr>
            </w:pPr>
            <w:r w:rsidRPr="002636AA">
              <w:rPr>
                <w:color w:val="000000"/>
              </w:rPr>
              <w:t>6.2.1.1.2.7.</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FF635E" w14:textId="77777777" w:rsidR="0099088D" w:rsidRPr="002636AA" w:rsidRDefault="0099088D" w:rsidP="0099088D">
            <w:r w:rsidRPr="002636AA">
              <w:t>426-529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0893D742" w14:textId="77777777" w:rsidR="0099088D" w:rsidRPr="002636AA" w:rsidRDefault="0099088D" w:rsidP="0099088D"/>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2AB5A4BE" w14:textId="77777777" w:rsidR="0099088D" w:rsidRPr="002636AA" w:rsidRDefault="0099088D" w:rsidP="0099088D">
            <w:pPr>
              <w:jc w:val="center"/>
              <w:rPr>
                <w:color w:val="000000"/>
              </w:rPr>
            </w:pPr>
            <w:r w:rsidRPr="002636AA">
              <w:rPr>
                <w:color w:val="000000"/>
              </w:rPr>
              <w:t>58 355</w:t>
            </w:r>
          </w:p>
        </w:tc>
      </w:tr>
      <w:tr w:rsidR="0099088D" w:rsidRPr="002636AA" w14:paraId="22FE594F"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739BF7" w14:textId="77777777" w:rsidR="0099088D" w:rsidRPr="002636AA" w:rsidRDefault="0099088D" w:rsidP="0099088D">
            <w:pPr>
              <w:jc w:val="center"/>
              <w:rPr>
                <w:color w:val="000000"/>
              </w:rPr>
            </w:pPr>
            <w:r w:rsidRPr="002636AA">
              <w:rPr>
                <w:color w:val="000000"/>
              </w:rPr>
              <w:t>6.2.1.1.2.8.</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3302C2" w14:textId="77777777" w:rsidR="0099088D" w:rsidRPr="002636AA" w:rsidRDefault="0099088D" w:rsidP="0099088D">
            <w:r w:rsidRPr="002636AA">
              <w:t>530 мм и выше</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44FDB6E0" w14:textId="77777777" w:rsidR="0099088D" w:rsidRPr="002636AA" w:rsidRDefault="0099088D" w:rsidP="0099088D"/>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545D8684" w14:textId="77777777" w:rsidR="0099088D" w:rsidRPr="002636AA" w:rsidRDefault="0099088D" w:rsidP="0099088D">
            <w:pPr>
              <w:jc w:val="center"/>
              <w:rPr>
                <w:color w:val="000000"/>
              </w:rPr>
            </w:pPr>
            <w:r w:rsidRPr="002636AA">
              <w:rPr>
                <w:color w:val="000000"/>
              </w:rPr>
              <w:t>58 355</w:t>
            </w:r>
          </w:p>
        </w:tc>
      </w:tr>
      <w:tr w:rsidR="0099088D" w:rsidRPr="002636AA" w14:paraId="1EA82C52"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B4FFFF" w14:textId="77777777" w:rsidR="0099088D" w:rsidRPr="002636AA" w:rsidRDefault="0099088D" w:rsidP="0099088D">
            <w:pPr>
              <w:jc w:val="center"/>
              <w:rPr>
                <w:color w:val="000000"/>
              </w:rPr>
            </w:pPr>
            <w:bookmarkStart w:id="66" w:name="_Hlk26434777"/>
            <w:r w:rsidRPr="002636AA">
              <w:rPr>
                <w:color w:val="000000"/>
              </w:rPr>
              <w:t>6.2.1.2.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4CD9A60" w14:textId="77777777" w:rsidR="0099088D" w:rsidRPr="002636AA" w:rsidRDefault="0099088D" w:rsidP="0099088D">
            <w:r w:rsidRPr="002636AA">
              <w:t>подземного типа прокладки:</w:t>
            </w:r>
          </w:p>
        </w:tc>
      </w:tr>
      <w:tr w:rsidR="0099088D" w:rsidRPr="002636AA" w14:paraId="7F4016AF"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34B8F84B" w14:textId="77777777" w:rsidR="0099088D" w:rsidRPr="002636AA" w:rsidRDefault="0099088D" w:rsidP="0099088D">
            <w:pPr>
              <w:jc w:val="center"/>
              <w:rPr>
                <w:color w:val="000000"/>
              </w:rPr>
            </w:pPr>
            <w:r w:rsidRPr="002636AA">
              <w:rPr>
                <w:color w:val="000000"/>
              </w:rPr>
              <w:t>6.2.1.2.1.</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71A190F" w14:textId="77777777" w:rsidR="0099088D" w:rsidRPr="002636AA" w:rsidRDefault="0099088D" w:rsidP="0099088D">
            <w:pPr>
              <w:rPr>
                <w:color w:val="000000"/>
              </w:rPr>
            </w:pPr>
            <w:r w:rsidRPr="002636AA">
              <w:rPr>
                <w:color w:val="000000"/>
              </w:rPr>
              <w:t>с давлением до 0,005 МПа (включительно) в газопроводе, в который осуществляется врезка, наружным диаметром:</w:t>
            </w:r>
          </w:p>
        </w:tc>
      </w:tr>
      <w:tr w:rsidR="0099088D" w:rsidRPr="002636AA" w14:paraId="7B8EE3ED"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58B3274B" w14:textId="77777777" w:rsidR="0099088D" w:rsidRPr="002636AA" w:rsidRDefault="0099088D" w:rsidP="0099088D">
            <w:pPr>
              <w:jc w:val="center"/>
              <w:rPr>
                <w:color w:val="000000"/>
              </w:rPr>
            </w:pPr>
            <w:r w:rsidRPr="002636AA">
              <w:rPr>
                <w:color w:val="000000"/>
              </w:rPr>
              <w:t>6.2.1.2.1.1.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6BF73B7D" w14:textId="77777777" w:rsidR="0099088D" w:rsidRPr="002636AA" w:rsidRDefault="0099088D" w:rsidP="0099088D">
            <w:pPr>
              <w:rPr>
                <w:color w:val="000000"/>
              </w:rPr>
            </w:pPr>
            <w:r w:rsidRPr="002636AA">
              <w:rPr>
                <w:color w:val="000000"/>
              </w:rPr>
              <w:t>до 100 мм</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6B2230C" w14:textId="77777777" w:rsidR="0099088D" w:rsidRPr="002636AA" w:rsidRDefault="0099088D" w:rsidP="0099088D">
            <w:pPr>
              <w:jc w:val="center"/>
            </w:pPr>
            <w:r w:rsidRPr="002636AA">
              <w:rPr>
                <w:color w:val="000000"/>
              </w:rPr>
              <w:t>руб.</w:t>
            </w:r>
            <w:r w:rsidRPr="002636AA">
              <w:rPr>
                <w:sz w:val="20"/>
                <w:szCs w:val="20"/>
              </w:rPr>
              <w:t xml:space="preserve"> </w:t>
            </w:r>
            <w:r w:rsidRPr="002636AA">
              <w:rPr>
                <w:color w:val="000000"/>
              </w:rPr>
              <w:t>за 1 присоединение</w:t>
            </w:r>
          </w:p>
        </w:tc>
        <w:tc>
          <w:tcPr>
            <w:tcW w:w="2466" w:type="dxa"/>
            <w:tcBorders>
              <w:top w:val="single" w:sz="4" w:space="0" w:color="auto"/>
              <w:left w:val="nil"/>
              <w:bottom w:val="single" w:sz="4" w:space="0" w:color="auto"/>
              <w:right w:val="single" w:sz="4" w:space="0" w:color="auto"/>
            </w:tcBorders>
            <w:shd w:val="clear" w:color="auto" w:fill="auto"/>
            <w:vAlign w:val="center"/>
          </w:tcPr>
          <w:p w14:paraId="7AF747EA" w14:textId="77777777" w:rsidR="0099088D" w:rsidRPr="002636AA" w:rsidRDefault="0099088D" w:rsidP="0099088D">
            <w:pPr>
              <w:jc w:val="center"/>
              <w:rPr>
                <w:color w:val="000000"/>
              </w:rPr>
            </w:pPr>
            <w:r w:rsidRPr="002636AA">
              <w:rPr>
                <w:color w:val="000000"/>
              </w:rPr>
              <w:t>12 604</w:t>
            </w:r>
          </w:p>
        </w:tc>
      </w:tr>
      <w:tr w:rsidR="0099088D" w:rsidRPr="002636AA" w14:paraId="3EBC654D"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33CAE81F" w14:textId="77777777" w:rsidR="0099088D" w:rsidRPr="002636AA" w:rsidRDefault="0099088D" w:rsidP="0099088D">
            <w:pPr>
              <w:jc w:val="center"/>
              <w:rPr>
                <w:color w:val="000000"/>
              </w:rPr>
            </w:pPr>
            <w:r w:rsidRPr="002636AA">
              <w:rPr>
                <w:color w:val="000000"/>
              </w:rPr>
              <w:t>6.2.1.2.1.2.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0A37ABD5" w14:textId="77777777" w:rsidR="0099088D" w:rsidRPr="002636AA" w:rsidRDefault="0099088D" w:rsidP="0099088D">
            <w:pPr>
              <w:rPr>
                <w:color w:val="000000"/>
              </w:rPr>
            </w:pPr>
            <w:r w:rsidRPr="002636AA">
              <w:rPr>
                <w:color w:val="000000"/>
              </w:rPr>
              <w:t>108-158 мм</w:t>
            </w:r>
          </w:p>
        </w:tc>
        <w:tc>
          <w:tcPr>
            <w:tcW w:w="17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4C7B132" w14:textId="77777777" w:rsidR="0099088D" w:rsidRPr="002636AA" w:rsidRDefault="0099088D" w:rsidP="0099088D"/>
        </w:tc>
        <w:tc>
          <w:tcPr>
            <w:tcW w:w="2466" w:type="dxa"/>
            <w:tcBorders>
              <w:top w:val="single" w:sz="4" w:space="0" w:color="auto"/>
              <w:left w:val="nil"/>
              <w:bottom w:val="single" w:sz="4" w:space="0" w:color="auto"/>
              <w:right w:val="single" w:sz="4" w:space="0" w:color="auto"/>
            </w:tcBorders>
            <w:shd w:val="clear" w:color="auto" w:fill="auto"/>
            <w:vAlign w:val="center"/>
          </w:tcPr>
          <w:p w14:paraId="4BE58216" w14:textId="77777777" w:rsidR="0099088D" w:rsidRPr="002636AA" w:rsidRDefault="0099088D" w:rsidP="0099088D">
            <w:pPr>
              <w:jc w:val="center"/>
              <w:rPr>
                <w:color w:val="000000"/>
              </w:rPr>
            </w:pPr>
            <w:r w:rsidRPr="002636AA">
              <w:rPr>
                <w:color w:val="000000"/>
              </w:rPr>
              <w:t>12 604</w:t>
            </w:r>
          </w:p>
        </w:tc>
      </w:tr>
      <w:bookmarkEnd w:id="66"/>
      <w:tr w:rsidR="0099088D" w:rsidRPr="002636AA" w14:paraId="240B6190" w14:textId="77777777" w:rsidTr="0099088D">
        <w:trPr>
          <w:trHeight w:val="83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87169C" w14:textId="77777777" w:rsidR="0099088D" w:rsidRPr="002636AA" w:rsidRDefault="0099088D" w:rsidP="0099088D">
            <w:pPr>
              <w:jc w:val="center"/>
              <w:rPr>
                <w:color w:val="000000"/>
              </w:rPr>
            </w:pPr>
            <w:r w:rsidRPr="002636AA">
              <w:rPr>
                <w:color w:val="000000"/>
              </w:rPr>
              <w:t>6.2.1.2.2.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57B3E21" w14:textId="77777777" w:rsidR="0099088D" w:rsidRPr="002636AA" w:rsidRDefault="0099088D" w:rsidP="0099088D">
            <w:pPr>
              <w:rPr>
                <w:color w:val="000000"/>
              </w:rPr>
            </w:pPr>
            <w:r w:rsidRPr="002636AA">
              <w:rPr>
                <w:color w:val="000000"/>
              </w:rPr>
              <w:t>с давлением от 0,005 МПа до 1,2 МПа (включительно) в газопроводе, в который осуществляется врезка, наружным диаметром:</w:t>
            </w:r>
          </w:p>
        </w:tc>
      </w:tr>
      <w:tr w:rsidR="0099088D" w:rsidRPr="002636AA" w14:paraId="61E948B2"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AAA887" w14:textId="77777777" w:rsidR="0099088D" w:rsidRPr="002636AA" w:rsidRDefault="0099088D" w:rsidP="0099088D">
            <w:pPr>
              <w:jc w:val="center"/>
              <w:rPr>
                <w:color w:val="000000"/>
              </w:rPr>
            </w:pPr>
            <w:r w:rsidRPr="002636AA">
              <w:rPr>
                <w:color w:val="000000"/>
              </w:rPr>
              <w:t>6.2.1.2.2.1.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102D5E" w14:textId="77777777" w:rsidR="0099088D" w:rsidRPr="002636AA" w:rsidRDefault="0099088D" w:rsidP="0099088D">
            <w:pPr>
              <w:rPr>
                <w:color w:val="000000"/>
              </w:rPr>
            </w:pPr>
            <w:r w:rsidRPr="002636AA">
              <w:rPr>
                <w:color w:val="000000"/>
              </w:rPr>
              <w:t>до 100 мм</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A93F52" w14:textId="77777777" w:rsidR="0099088D" w:rsidRPr="002636AA" w:rsidRDefault="0099088D" w:rsidP="0099088D">
            <w:pPr>
              <w:jc w:val="center"/>
              <w:rPr>
                <w:color w:val="000000"/>
              </w:rPr>
            </w:pPr>
            <w:r w:rsidRPr="002636AA">
              <w:rPr>
                <w:color w:val="000000"/>
              </w:rPr>
              <w:t>руб. за 1 присоединение</w:t>
            </w:r>
          </w:p>
        </w:tc>
        <w:tc>
          <w:tcPr>
            <w:tcW w:w="2466" w:type="dxa"/>
            <w:tcBorders>
              <w:top w:val="single" w:sz="4" w:space="0" w:color="auto"/>
              <w:left w:val="single" w:sz="4" w:space="0" w:color="auto"/>
              <w:bottom w:val="single" w:sz="4" w:space="0" w:color="auto"/>
              <w:right w:val="single" w:sz="4" w:space="0" w:color="auto"/>
            </w:tcBorders>
            <w:shd w:val="clear" w:color="auto" w:fill="auto"/>
            <w:hideMark/>
          </w:tcPr>
          <w:p w14:paraId="0FEF1445" w14:textId="77777777" w:rsidR="0099088D" w:rsidRPr="002636AA" w:rsidRDefault="0099088D" w:rsidP="0099088D">
            <w:pPr>
              <w:jc w:val="center"/>
              <w:rPr>
                <w:color w:val="000000"/>
              </w:rPr>
            </w:pPr>
            <w:r w:rsidRPr="002636AA">
              <w:rPr>
                <w:color w:val="000000"/>
              </w:rPr>
              <w:t>15 853</w:t>
            </w:r>
          </w:p>
        </w:tc>
      </w:tr>
      <w:tr w:rsidR="0099088D" w:rsidRPr="002636AA" w14:paraId="76595CFC"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96C641" w14:textId="77777777" w:rsidR="0099088D" w:rsidRPr="002636AA" w:rsidRDefault="0099088D" w:rsidP="0099088D">
            <w:pPr>
              <w:jc w:val="center"/>
              <w:rPr>
                <w:color w:val="000000"/>
              </w:rPr>
            </w:pPr>
            <w:r w:rsidRPr="002636AA">
              <w:rPr>
                <w:color w:val="000000"/>
              </w:rPr>
              <w:t>6.2.1.2.2.2.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40938A" w14:textId="77777777" w:rsidR="0099088D" w:rsidRPr="002636AA" w:rsidRDefault="0099088D" w:rsidP="0099088D">
            <w:pPr>
              <w:rPr>
                <w:color w:val="000000"/>
              </w:rPr>
            </w:pPr>
            <w:r w:rsidRPr="002636AA">
              <w:rPr>
                <w:color w:val="000000"/>
              </w:rPr>
              <w:t>108-158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4468EC80" w14:textId="77777777" w:rsidR="0099088D" w:rsidRPr="002636AA" w:rsidRDefault="0099088D" w:rsidP="0099088D">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hideMark/>
          </w:tcPr>
          <w:p w14:paraId="0845BC66" w14:textId="77777777" w:rsidR="0099088D" w:rsidRPr="002636AA" w:rsidRDefault="0099088D" w:rsidP="0099088D">
            <w:pPr>
              <w:jc w:val="center"/>
              <w:rPr>
                <w:color w:val="000000"/>
              </w:rPr>
            </w:pPr>
            <w:r w:rsidRPr="002636AA">
              <w:rPr>
                <w:color w:val="000000"/>
              </w:rPr>
              <w:t>30 896</w:t>
            </w:r>
          </w:p>
        </w:tc>
      </w:tr>
      <w:tr w:rsidR="0099088D" w:rsidRPr="002636AA" w14:paraId="0C11A493"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5117C5" w14:textId="77777777" w:rsidR="0099088D" w:rsidRPr="002636AA" w:rsidRDefault="0099088D" w:rsidP="0099088D">
            <w:pPr>
              <w:jc w:val="center"/>
              <w:rPr>
                <w:color w:val="000000"/>
              </w:rPr>
            </w:pPr>
            <w:r w:rsidRPr="002636AA">
              <w:rPr>
                <w:color w:val="000000"/>
              </w:rPr>
              <w:t>6.2.1.2.2.3.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09D3E2" w14:textId="77777777" w:rsidR="0099088D" w:rsidRPr="002636AA" w:rsidRDefault="0099088D" w:rsidP="0099088D">
            <w:pPr>
              <w:rPr>
                <w:color w:val="000000"/>
              </w:rPr>
            </w:pPr>
            <w:r w:rsidRPr="002636AA">
              <w:rPr>
                <w:color w:val="000000"/>
              </w:rPr>
              <w:t>159-218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13124D7C" w14:textId="77777777" w:rsidR="0099088D" w:rsidRPr="002636AA" w:rsidRDefault="0099088D" w:rsidP="0099088D">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hideMark/>
          </w:tcPr>
          <w:p w14:paraId="4033535B" w14:textId="77777777" w:rsidR="0099088D" w:rsidRPr="002636AA" w:rsidRDefault="0099088D" w:rsidP="0099088D">
            <w:pPr>
              <w:jc w:val="center"/>
              <w:rPr>
                <w:color w:val="000000"/>
              </w:rPr>
            </w:pPr>
            <w:r w:rsidRPr="002636AA">
              <w:rPr>
                <w:color w:val="000000"/>
              </w:rPr>
              <w:t>48 329</w:t>
            </w:r>
          </w:p>
        </w:tc>
      </w:tr>
      <w:tr w:rsidR="0099088D" w:rsidRPr="002636AA" w14:paraId="55FCD2F6"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E35F11" w14:textId="77777777" w:rsidR="0099088D" w:rsidRPr="002636AA" w:rsidRDefault="0099088D" w:rsidP="0099088D">
            <w:pPr>
              <w:jc w:val="center"/>
              <w:rPr>
                <w:color w:val="000000"/>
              </w:rPr>
            </w:pPr>
            <w:r w:rsidRPr="002636AA">
              <w:rPr>
                <w:color w:val="000000"/>
              </w:rPr>
              <w:t>6.2.1.2.2.4.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C2C379" w14:textId="77777777" w:rsidR="0099088D" w:rsidRPr="002636AA" w:rsidRDefault="0099088D" w:rsidP="0099088D">
            <w:pPr>
              <w:rPr>
                <w:color w:val="000000"/>
              </w:rPr>
            </w:pPr>
            <w:r w:rsidRPr="002636AA">
              <w:rPr>
                <w:color w:val="000000"/>
              </w:rPr>
              <w:t>219-272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56D1F0EB" w14:textId="77777777" w:rsidR="0099088D" w:rsidRPr="002636AA" w:rsidRDefault="0099088D" w:rsidP="0099088D">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hideMark/>
          </w:tcPr>
          <w:p w14:paraId="4F1439DE" w14:textId="77777777" w:rsidR="0099088D" w:rsidRPr="002636AA" w:rsidRDefault="0099088D" w:rsidP="0099088D">
            <w:pPr>
              <w:jc w:val="center"/>
              <w:rPr>
                <w:color w:val="000000"/>
              </w:rPr>
            </w:pPr>
            <w:r w:rsidRPr="002636AA">
              <w:rPr>
                <w:color w:val="000000"/>
              </w:rPr>
              <w:t>54 502</w:t>
            </w:r>
          </w:p>
        </w:tc>
      </w:tr>
      <w:tr w:rsidR="0099088D" w:rsidRPr="002636AA" w14:paraId="24E5B762"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3614FC" w14:textId="77777777" w:rsidR="0099088D" w:rsidRPr="002636AA" w:rsidRDefault="0099088D" w:rsidP="0099088D">
            <w:pPr>
              <w:jc w:val="center"/>
              <w:rPr>
                <w:color w:val="000000"/>
              </w:rPr>
            </w:pPr>
            <w:r w:rsidRPr="002636AA">
              <w:rPr>
                <w:color w:val="000000"/>
              </w:rPr>
              <w:t>6.2.1.2.2.5.</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CFFDC9" w14:textId="77777777" w:rsidR="0099088D" w:rsidRPr="002636AA" w:rsidRDefault="0099088D" w:rsidP="0099088D">
            <w:pPr>
              <w:rPr>
                <w:color w:val="000000"/>
              </w:rPr>
            </w:pPr>
            <w:r w:rsidRPr="002636AA">
              <w:rPr>
                <w:color w:val="000000"/>
              </w:rPr>
              <w:t>273-324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1E47D3A0" w14:textId="77777777" w:rsidR="0099088D" w:rsidRPr="002636AA" w:rsidRDefault="0099088D" w:rsidP="0099088D">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hideMark/>
          </w:tcPr>
          <w:p w14:paraId="448E5F2A" w14:textId="77777777" w:rsidR="0099088D" w:rsidRPr="002636AA" w:rsidRDefault="0099088D" w:rsidP="0099088D">
            <w:pPr>
              <w:jc w:val="center"/>
              <w:rPr>
                <w:color w:val="000000"/>
              </w:rPr>
            </w:pPr>
            <w:r w:rsidRPr="002636AA">
              <w:rPr>
                <w:color w:val="000000"/>
              </w:rPr>
              <w:t>54 502</w:t>
            </w:r>
          </w:p>
        </w:tc>
      </w:tr>
      <w:tr w:rsidR="0099088D" w:rsidRPr="002636AA" w14:paraId="78E6410F"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B8FE60" w14:textId="77777777" w:rsidR="0099088D" w:rsidRPr="002636AA" w:rsidRDefault="0099088D" w:rsidP="0099088D">
            <w:pPr>
              <w:jc w:val="center"/>
              <w:rPr>
                <w:color w:val="000000"/>
              </w:rPr>
            </w:pPr>
            <w:r w:rsidRPr="002636AA">
              <w:rPr>
                <w:color w:val="000000"/>
              </w:rPr>
              <w:t>6.2.1.2.2.6.</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35F33" w14:textId="77777777" w:rsidR="0099088D" w:rsidRPr="002636AA" w:rsidRDefault="0099088D" w:rsidP="0099088D">
            <w:pPr>
              <w:rPr>
                <w:color w:val="000000"/>
              </w:rPr>
            </w:pPr>
            <w:r w:rsidRPr="002636AA">
              <w:rPr>
                <w:color w:val="000000"/>
              </w:rPr>
              <w:t>325-425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5367F574" w14:textId="77777777" w:rsidR="0099088D" w:rsidRPr="002636AA" w:rsidRDefault="0099088D" w:rsidP="0099088D">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hideMark/>
          </w:tcPr>
          <w:p w14:paraId="56403962" w14:textId="77777777" w:rsidR="0099088D" w:rsidRPr="002636AA" w:rsidRDefault="0099088D" w:rsidP="0099088D">
            <w:pPr>
              <w:jc w:val="center"/>
              <w:rPr>
                <w:color w:val="000000"/>
              </w:rPr>
            </w:pPr>
            <w:r w:rsidRPr="002636AA">
              <w:rPr>
                <w:color w:val="000000"/>
              </w:rPr>
              <w:t>54 502</w:t>
            </w:r>
          </w:p>
        </w:tc>
      </w:tr>
      <w:tr w:rsidR="0099088D" w:rsidRPr="002636AA" w14:paraId="6B74358B"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5AE232" w14:textId="77777777" w:rsidR="0099088D" w:rsidRPr="002636AA" w:rsidRDefault="0099088D" w:rsidP="0099088D">
            <w:pPr>
              <w:jc w:val="center"/>
              <w:rPr>
                <w:color w:val="000000"/>
              </w:rPr>
            </w:pPr>
            <w:r w:rsidRPr="002636AA">
              <w:rPr>
                <w:color w:val="000000"/>
              </w:rPr>
              <w:t>6.2.1.2.2.7.</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A47AD9" w14:textId="77777777" w:rsidR="0099088D" w:rsidRPr="002636AA" w:rsidRDefault="0099088D" w:rsidP="0099088D">
            <w:pPr>
              <w:rPr>
                <w:color w:val="000000"/>
              </w:rPr>
            </w:pPr>
            <w:r w:rsidRPr="002636AA">
              <w:rPr>
                <w:color w:val="000000"/>
              </w:rPr>
              <w:t>426-529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4A0992C6" w14:textId="77777777" w:rsidR="0099088D" w:rsidRPr="002636AA" w:rsidRDefault="0099088D" w:rsidP="0099088D">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hideMark/>
          </w:tcPr>
          <w:p w14:paraId="6C509BC1" w14:textId="77777777" w:rsidR="0099088D" w:rsidRPr="002636AA" w:rsidRDefault="0099088D" w:rsidP="0099088D">
            <w:pPr>
              <w:jc w:val="center"/>
              <w:rPr>
                <w:color w:val="000000"/>
              </w:rPr>
            </w:pPr>
            <w:r w:rsidRPr="002636AA">
              <w:rPr>
                <w:color w:val="000000"/>
              </w:rPr>
              <w:t>54 502</w:t>
            </w:r>
          </w:p>
        </w:tc>
      </w:tr>
      <w:tr w:rsidR="0099088D" w:rsidRPr="002636AA" w14:paraId="5F603A23"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370E34" w14:textId="77777777" w:rsidR="0099088D" w:rsidRPr="002636AA" w:rsidRDefault="0099088D" w:rsidP="0099088D">
            <w:pPr>
              <w:jc w:val="center"/>
              <w:rPr>
                <w:color w:val="000000"/>
              </w:rPr>
            </w:pPr>
            <w:r w:rsidRPr="002636AA">
              <w:rPr>
                <w:color w:val="000000"/>
              </w:rPr>
              <w:t>6.2.1.2.2.8.</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28D2B5" w14:textId="77777777" w:rsidR="0099088D" w:rsidRPr="002636AA" w:rsidRDefault="0099088D" w:rsidP="0099088D">
            <w:pPr>
              <w:rPr>
                <w:color w:val="000000"/>
              </w:rPr>
            </w:pPr>
            <w:r w:rsidRPr="002636AA">
              <w:rPr>
                <w:color w:val="000000"/>
              </w:rPr>
              <w:t>530 мм и выше</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4C284039" w14:textId="77777777" w:rsidR="0099088D" w:rsidRPr="002636AA" w:rsidRDefault="0099088D" w:rsidP="0099088D">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hideMark/>
          </w:tcPr>
          <w:p w14:paraId="3F3495B6" w14:textId="77777777" w:rsidR="0099088D" w:rsidRPr="002636AA" w:rsidRDefault="0099088D" w:rsidP="0099088D">
            <w:pPr>
              <w:jc w:val="center"/>
              <w:rPr>
                <w:color w:val="000000"/>
              </w:rPr>
            </w:pPr>
            <w:r w:rsidRPr="002636AA">
              <w:rPr>
                <w:color w:val="000000"/>
              </w:rPr>
              <w:t>54 502</w:t>
            </w:r>
          </w:p>
        </w:tc>
      </w:tr>
      <w:tr w:rsidR="0099088D" w:rsidRPr="002636AA" w14:paraId="3F9C65EF" w14:textId="77777777" w:rsidTr="0099088D">
        <w:trPr>
          <w:trHeight w:val="40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A33473" w14:textId="77777777" w:rsidR="0099088D" w:rsidRPr="002636AA" w:rsidRDefault="0099088D" w:rsidP="0099088D">
            <w:pPr>
              <w:jc w:val="center"/>
              <w:rPr>
                <w:color w:val="000000"/>
              </w:rPr>
            </w:pPr>
            <w:r w:rsidRPr="002636AA">
              <w:rPr>
                <w:color w:val="000000"/>
              </w:rPr>
              <w:t>6.2.2.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51FCA30" w14:textId="77777777" w:rsidR="0099088D" w:rsidRPr="002636AA" w:rsidRDefault="0099088D" w:rsidP="0099088D">
            <w:pPr>
              <w:rPr>
                <w:color w:val="000000"/>
              </w:rPr>
            </w:pPr>
            <w:r w:rsidRPr="002636AA">
              <w:rPr>
                <w:color w:val="000000"/>
              </w:rPr>
              <w:t>полиэтиленовых газопроводов:</w:t>
            </w:r>
          </w:p>
        </w:tc>
      </w:tr>
      <w:tr w:rsidR="0099088D" w:rsidRPr="002636AA" w14:paraId="6BE92230" w14:textId="77777777" w:rsidTr="0099088D">
        <w:trPr>
          <w:trHeight w:val="612"/>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FF5B23" w14:textId="77777777" w:rsidR="0099088D" w:rsidRPr="002636AA" w:rsidRDefault="0099088D" w:rsidP="0099088D">
            <w:pPr>
              <w:jc w:val="center"/>
              <w:rPr>
                <w:color w:val="000000"/>
              </w:rPr>
            </w:pPr>
            <w:r w:rsidRPr="002636AA">
              <w:rPr>
                <w:color w:val="000000"/>
              </w:rPr>
              <w:t>6.2.2.1.</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8583B55" w14:textId="77777777" w:rsidR="0099088D" w:rsidRPr="002636AA" w:rsidRDefault="0099088D" w:rsidP="0099088D">
            <w:pPr>
              <w:rPr>
                <w:color w:val="000000"/>
              </w:rPr>
            </w:pPr>
            <w:r w:rsidRPr="002636AA">
              <w:rPr>
                <w:color w:val="000000"/>
              </w:rPr>
              <w:t>с давлением до 0,6 МПа (включительно) в газопроводе, в который осуществляется врезка, наружным диаметром:</w:t>
            </w:r>
          </w:p>
        </w:tc>
      </w:tr>
      <w:tr w:rsidR="0099088D" w:rsidRPr="002636AA" w14:paraId="0111D85F"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D18472" w14:textId="77777777" w:rsidR="0099088D" w:rsidRPr="002636AA" w:rsidRDefault="0099088D" w:rsidP="0099088D">
            <w:pPr>
              <w:jc w:val="center"/>
              <w:rPr>
                <w:color w:val="000000"/>
              </w:rPr>
            </w:pPr>
            <w:r w:rsidRPr="002636AA">
              <w:rPr>
                <w:color w:val="000000"/>
              </w:rPr>
              <w:t>6.2.2.1.1.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D2F0BE" w14:textId="77777777" w:rsidR="0099088D" w:rsidRPr="002636AA" w:rsidRDefault="0099088D" w:rsidP="0099088D">
            <w:pPr>
              <w:rPr>
                <w:color w:val="000000"/>
              </w:rPr>
            </w:pPr>
            <w:r w:rsidRPr="002636AA">
              <w:rPr>
                <w:color w:val="000000"/>
              </w:rPr>
              <w:t>109 мм и менее</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6A6F02" w14:textId="77777777" w:rsidR="0099088D" w:rsidRPr="002636AA" w:rsidRDefault="0099088D" w:rsidP="0099088D">
            <w:pPr>
              <w:jc w:val="center"/>
              <w:rPr>
                <w:color w:val="000000"/>
              </w:rPr>
            </w:pPr>
            <w:r w:rsidRPr="002636AA">
              <w:rPr>
                <w:color w:val="000000"/>
              </w:rPr>
              <w:t>руб. за 1 присоединение</w:t>
            </w: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16316C3B" w14:textId="77777777" w:rsidR="0099088D" w:rsidRPr="002636AA" w:rsidRDefault="0099088D" w:rsidP="0099088D">
            <w:pPr>
              <w:jc w:val="center"/>
              <w:rPr>
                <w:color w:val="000000"/>
              </w:rPr>
            </w:pPr>
            <w:r w:rsidRPr="002636AA">
              <w:rPr>
                <w:color w:val="000000"/>
              </w:rPr>
              <w:t>15 064</w:t>
            </w:r>
          </w:p>
        </w:tc>
      </w:tr>
      <w:tr w:rsidR="0099088D" w:rsidRPr="002636AA" w14:paraId="488D9A21"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A66C2F" w14:textId="77777777" w:rsidR="0099088D" w:rsidRPr="002636AA" w:rsidRDefault="0099088D" w:rsidP="0099088D">
            <w:pPr>
              <w:jc w:val="center"/>
              <w:rPr>
                <w:color w:val="000000"/>
              </w:rPr>
            </w:pPr>
            <w:r w:rsidRPr="002636AA">
              <w:rPr>
                <w:color w:val="000000"/>
              </w:rPr>
              <w:t>6.2.2.1.2.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911F58" w14:textId="77777777" w:rsidR="0099088D" w:rsidRPr="002636AA" w:rsidRDefault="0099088D" w:rsidP="0099088D">
            <w:pPr>
              <w:rPr>
                <w:color w:val="000000"/>
              </w:rPr>
            </w:pPr>
            <w:r w:rsidRPr="002636AA">
              <w:rPr>
                <w:color w:val="000000"/>
              </w:rPr>
              <w:t>110-159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1D6C30E6" w14:textId="77777777" w:rsidR="0099088D" w:rsidRPr="002636AA"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5A9CB30B" w14:textId="77777777" w:rsidR="0099088D" w:rsidRPr="002636AA" w:rsidRDefault="0099088D" w:rsidP="0099088D">
            <w:pPr>
              <w:jc w:val="center"/>
              <w:rPr>
                <w:color w:val="000000"/>
              </w:rPr>
            </w:pPr>
            <w:r w:rsidRPr="002636AA">
              <w:rPr>
                <w:color w:val="000000"/>
              </w:rPr>
              <w:t>27 906</w:t>
            </w:r>
          </w:p>
        </w:tc>
      </w:tr>
      <w:tr w:rsidR="0099088D" w:rsidRPr="002636AA" w14:paraId="3750F2FA"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5EC026" w14:textId="77777777" w:rsidR="0099088D" w:rsidRPr="002636AA" w:rsidRDefault="0099088D" w:rsidP="0099088D">
            <w:pPr>
              <w:jc w:val="center"/>
              <w:rPr>
                <w:color w:val="000000"/>
              </w:rPr>
            </w:pPr>
            <w:r w:rsidRPr="002636AA">
              <w:rPr>
                <w:color w:val="000000"/>
              </w:rPr>
              <w:t>6.2.2.1.3.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FE5BAD" w14:textId="77777777" w:rsidR="0099088D" w:rsidRPr="002636AA" w:rsidRDefault="0099088D" w:rsidP="0099088D">
            <w:pPr>
              <w:rPr>
                <w:color w:val="000000"/>
              </w:rPr>
            </w:pPr>
            <w:r w:rsidRPr="002636AA">
              <w:rPr>
                <w:color w:val="000000"/>
              </w:rPr>
              <w:t>160-224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450FEF03" w14:textId="77777777" w:rsidR="0099088D" w:rsidRPr="002636AA"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0F5126FA" w14:textId="77777777" w:rsidR="0099088D" w:rsidRPr="002636AA" w:rsidRDefault="0099088D" w:rsidP="0099088D">
            <w:pPr>
              <w:jc w:val="center"/>
              <w:rPr>
                <w:color w:val="000000"/>
              </w:rPr>
            </w:pPr>
            <w:r w:rsidRPr="002636AA">
              <w:rPr>
                <w:color w:val="000000"/>
              </w:rPr>
              <w:t>28 560</w:t>
            </w:r>
          </w:p>
        </w:tc>
      </w:tr>
      <w:tr w:rsidR="0099088D" w:rsidRPr="002636AA" w14:paraId="04F51503"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863677" w14:textId="77777777" w:rsidR="0099088D" w:rsidRPr="002636AA" w:rsidRDefault="0099088D" w:rsidP="0099088D">
            <w:pPr>
              <w:jc w:val="center"/>
              <w:rPr>
                <w:color w:val="000000"/>
              </w:rPr>
            </w:pPr>
            <w:r w:rsidRPr="002636AA">
              <w:rPr>
                <w:color w:val="000000"/>
              </w:rPr>
              <w:t>6.2.2.1.4.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E43E4F" w14:textId="77777777" w:rsidR="0099088D" w:rsidRPr="002636AA" w:rsidRDefault="0099088D" w:rsidP="0099088D">
            <w:pPr>
              <w:rPr>
                <w:color w:val="000000"/>
              </w:rPr>
            </w:pPr>
            <w:r w:rsidRPr="002636AA">
              <w:rPr>
                <w:color w:val="000000"/>
              </w:rPr>
              <w:t>225-314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793736AF" w14:textId="77777777" w:rsidR="0099088D" w:rsidRPr="002636AA"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5639DD8C" w14:textId="77777777" w:rsidR="0099088D" w:rsidRPr="002636AA" w:rsidRDefault="0099088D" w:rsidP="0099088D">
            <w:pPr>
              <w:jc w:val="center"/>
              <w:rPr>
                <w:color w:val="000000"/>
              </w:rPr>
            </w:pPr>
            <w:r w:rsidRPr="002636AA">
              <w:rPr>
                <w:color w:val="000000"/>
              </w:rPr>
              <w:t>28 838</w:t>
            </w:r>
          </w:p>
        </w:tc>
      </w:tr>
      <w:tr w:rsidR="0099088D" w:rsidRPr="002636AA" w14:paraId="4A6B9692"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33BCB3" w14:textId="77777777" w:rsidR="0099088D" w:rsidRPr="002636AA" w:rsidRDefault="0099088D" w:rsidP="0099088D">
            <w:pPr>
              <w:jc w:val="center"/>
              <w:rPr>
                <w:color w:val="000000"/>
              </w:rPr>
            </w:pPr>
            <w:r w:rsidRPr="002636AA">
              <w:rPr>
                <w:color w:val="000000"/>
              </w:rPr>
              <w:t>6.2.2.1.5.</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DB0A19" w14:textId="77777777" w:rsidR="0099088D" w:rsidRPr="002636AA" w:rsidRDefault="0099088D" w:rsidP="0099088D">
            <w:pPr>
              <w:rPr>
                <w:color w:val="000000"/>
              </w:rPr>
            </w:pPr>
            <w:r w:rsidRPr="002636AA">
              <w:rPr>
                <w:color w:val="000000"/>
              </w:rPr>
              <w:t>315-399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4E1F5093" w14:textId="77777777" w:rsidR="0099088D" w:rsidRPr="002636AA"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2262FC08" w14:textId="77777777" w:rsidR="0099088D" w:rsidRPr="002636AA" w:rsidRDefault="0099088D" w:rsidP="0099088D">
            <w:pPr>
              <w:jc w:val="center"/>
              <w:rPr>
                <w:color w:val="000000"/>
              </w:rPr>
            </w:pPr>
            <w:r w:rsidRPr="002636AA">
              <w:rPr>
                <w:color w:val="000000"/>
              </w:rPr>
              <w:t>30 073</w:t>
            </w:r>
          </w:p>
        </w:tc>
      </w:tr>
      <w:tr w:rsidR="0099088D" w:rsidRPr="002636AA" w14:paraId="64610D8A"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C4CD0" w14:textId="77777777" w:rsidR="0099088D" w:rsidRPr="002636AA" w:rsidRDefault="0099088D" w:rsidP="0099088D">
            <w:pPr>
              <w:jc w:val="center"/>
              <w:rPr>
                <w:color w:val="000000"/>
              </w:rPr>
            </w:pPr>
            <w:r w:rsidRPr="002636AA">
              <w:rPr>
                <w:color w:val="000000"/>
              </w:rPr>
              <w:t>6.2.2.1.6.</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9B7F02" w14:textId="77777777" w:rsidR="0099088D" w:rsidRPr="002636AA" w:rsidRDefault="0099088D" w:rsidP="0099088D">
            <w:pPr>
              <w:rPr>
                <w:color w:val="000000"/>
              </w:rPr>
            </w:pPr>
            <w:r w:rsidRPr="002636AA">
              <w:rPr>
                <w:color w:val="000000"/>
              </w:rPr>
              <w:t>400 мм и выше</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53645973" w14:textId="77777777" w:rsidR="0099088D" w:rsidRPr="002636AA"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4BC875EE" w14:textId="77777777" w:rsidR="0099088D" w:rsidRPr="002636AA" w:rsidRDefault="0099088D" w:rsidP="0099088D">
            <w:pPr>
              <w:jc w:val="center"/>
              <w:rPr>
                <w:color w:val="000000"/>
              </w:rPr>
            </w:pPr>
            <w:r w:rsidRPr="002636AA">
              <w:rPr>
                <w:color w:val="000000"/>
              </w:rPr>
              <w:t>49 638</w:t>
            </w:r>
          </w:p>
        </w:tc>
      </w:tr>
      <w:bookmarkEnd w:id="60"/>
      <w:tr w:rsidR="0099088D" w:rsidRPr="002636AA" w14:paraId="7D77F47B" w14:textId="77777777" w:rsidTr="0099088D">
        <w:trPr>
          <w:trHeight w:val="612"/>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515E6A" w14:textId="77777777" w:rsidR="0099088D" w:rsidRPr="002636AA" w:rsidRDefault="0099088D" w:rsidP="0099088D">
            <w:pPr>
              <w:jc w:val="center"/>
              <w:rPr>
                <w:color w:val="000000"/>
              </w:rPr>
            </w:pPr>
            <w:r w:rsidRPr="002636AA">
              <w:rPr>
                <w:color w:val="000000"/>
              </w:rPr>
              <w:t>6.2.2.2.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EA00F4E" w14:textId="77777777" w:rsidR="0099088D" w:rsidRPr="002636AA" w:rsidRDefault="0099088D" w:rsidP="0099088D">
            <w:pPr>
              <w:rPr>
                <w:color w:val="000000"/>
              </w:rPr>
            </w:pPr>
            <w:r w:rsidRPr="002636AA">
              <w:rPr>
                <w:color w:val="000000"/>
              </w:rPr>
              <w:t>с давлением от 0,6 МПа до 1,2 МПа в газопроводе, в который осуществляется врезка, наружным диаметром:</w:t>
            </w:r>
          </w:p>
        </w:tc>
      </w:tr>
      <w:tr w:rsidR="0099088D" w:rsidRPr="002636AA" w14:paraId="4B7D1CD0"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EB0805" w14:textId="77777777" w:rsidR="0099088D" w:rsidRPr="002636AA" w:rsidRDefault="0099088D" w:rsidP="0099088D">
            <w:pPr>
              <w:jc w:val="center"/>
              <w:rPr>
                <w:color w:val="000000"/>
              </w:rPr>
            </w:pPr>
            <w:r w:rsidRPr="002636AA">
              <w:rPr>
                <w:color w:val="000000"/>
              </w:rPr>
              <w:t>6.2.2.2.1.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F930A" w14:textId="77777777" w:rsidR="0099088D" w:rsidRPr="002636AA" w:rsidRDefault="0099088D" w:rsidP="0099088D">
            <w:pPr>
              <w:rPr>
                <w:color w:val="000000"/>
              </w:rPr>
            </w:pPr>
            <w:r w:rsidRPr="002636AA">
              <w:rPr>
                <w:color w:val="000000"/>
              </w:rPr>
              <w:t>109 мм и менее</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D8BDC6" w14:textId="77777777" w:rsidR="0099088D" w:rsidRPr="002636AA" w:rsidRDefault="0099088D" w:rsidP="0099088D">
            <w:pPr>
              <w:jc w:val="center"/>
              <w:rPr>
                <w:color w:val="000000"/>
              </w:rPr>
            </w:pPr>
            <w:r w:rsidRPr="002636AA">
              <w:rPr>
                <w:color w:val="000000"/>
              </w:rPr>
              <w:t>руб. за 1 присоединение</w:t>
            </w: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25F53849" w14:textId="77777777" w:rsidR="0099088D" w:rsidRPr="002636AA" w:rsidRDefault="0099088D" w:rsidP="0099088D">
            <w:pPr>
              <w:jc w:val="center"/>
              <w:rPr>
                <w:color w:val="000000"/>
              </w:rPr>
            </w:pPr>
            <w:r w:rsidRPr="002636AA">
              <w:rPr>
                <w:color w:val="000000"/>
              </w:rPr>
              <w:t>22 624</w:t>
            </w:r>
          </w:p>
        </w:tc>
      </w:tr>
      <w:tr w:rsidR="0099088D" w:rsidRPr="002636AA" w14:paraId="6E68FD19"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C73EAB" w14:textId="77777777" w:rsidR="0099088D" w:rsidRPr="002636AA" w:rsidRDefault="0099088D" w:rsidP="0099088D">
            <w:pPr>
              <w:jc w:val="center"/>
              <w:rPr>
                <w:color w:val="000000"/>
              </w:rPr>
            </w:pPr>
            <w:r w:rsidRPr="002636AA">
              <w:rPr>
                <w:color w:val="000000"/>
              </w:rPr>
              <w:t>6.2.2.2.2.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BBD734" w14:textId="77777777" w:rsidR="0099088D" w:rsidRPr="002636AA" w:rsidRDefault="0099088D" w:rsidP="0099088D">
            <w:pPr>
              <w:rPr>
                <w:color w:val="000000"/>
              </w:rPr>
            </w:pPr>
            <w:r w:rsidRPr="002636AA">
              <w:rPr>
                <w:color w:val="000000"/>
              </w:rPr>
              <w:t>110-159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403B9865" w14:textId="77777777" w:rsidR="0099088D" w:rsidRPr="002636AA"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49521E80" w14:textId="77777777" w:rsidR="0099088D" w:rsidRPr="002636AA" w:rsidRDefault="0099088D" w:rsidP="0099088D">
            <w:pPr>
              <w:jc w:val="center"/>
              <w:rPr>
                <w:color w:val="000000"/>
              </w:rPr>
            </w:pPr>
            <w:r w:rsidRPr="002636AA">
              <w:rPr>
                <w:color w:val="000000"/>
              </w:rPr>
              <w:t>30 185</w:t>
            </w:r>
          </w:p>
        </w:tc>
      </w:tr>
      <w:tr w:rsidR="0099088D" w:rsidRPr="002636AA" w14:paraId="73A84C51"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C297CD" w14:textId="77777777" w:rsidR="0099088D" w:rsidRPr="002636AA" w:rsidRDefault="0099088D" w:rsidP="0099088D">
            <w:pPr>
              <w:jc w:val="center"/>
              <w:rPr>
                <w:color w:val="000000"/>
              </w:rPr>
            </w:pPr>
            <w:r w:rsidRPr="002636AA">
              <w:rPr>
                <w:color w:val="000000"/>
              </w:rPr>
              <w:t>6.2.2.2.3.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4666B7" w14:textId="77777777" w:rsidR="0099088D" w:rsidRPr="002636AA" w:rsidRDefault="0099088D" w:rsidP="0099088D">
            <w:pPr>
              <w:rPr>
                <w:color w:val="000000"/>
              </w:rPr>
            </w:pPr>
            <w:r w:rsidRPr="002636AA">
              <w:rPr>
                <w:color w:val="000000"/>
              </w:rPr>
              <w:t>160-224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07DF731E" w14:textId="77777777" w:rsidR="0099088D" w:rsidRPr="002636AA"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22500A4F" w14:textId="77777777" w:rsidR="0099088D" w:rsidRPr="002636AA" w:rsidRDefault="0099088D" w:rsidP="0099088D">
            <w:pPr>
              <w:jc w:val="center"/>
              <w:rPr>
                <w:color w:val="000000"/>
              </w:rPr>
            </w:pPr>
            <w:r w:rsidRPr="002636AA">
              <w:rPr>
                <w:color w:val="000000"/>
              </w:rPr>
              <w:t>55 514</w:t>
            </w:r>
          </w:p>
        </w:tc>
      </w:tr>
    </w:tbl>
    <w:p w14:paraId="1A84B48B" w14:textId="77777777" w:rsidR="0099088D" w:rsidRPr="002636AA" w:rsidRDefault="0099088D" w:rsidP="0099088D">
      <w:pPr>
        <w:tabs>
          <w:tab w:val="left" w:pos="3945"/>
        </w:tabs>
        <w:ind w:left="426" w:right="567"/>
        <w:jc w:val="center"/>
        <w:rPr>
          <w:b/>
          <w:sz w:val="28"/>
          <w:szCs w:val="28"/>
        </w:rPr>
      </w:pPr>
    </w:p>
    <w:p w14:paraId="700EE85F" w14:textId="77777777" w:rsidR="0099088D" w:rsidRPr="002636AA" w:rsidRDefault="0099088D" w:rsidP="0099088D">
      <w:pPr>
        <w:ind w:left="14109"/>
        <w:rPr>
          <w:b/>
          <w:sz w:val="28"/>
          <w:szCs w:val="28"/>
        </w:rPr>
      </w:pPr>
    </w:p>
    <w:p w14:paraId="06F58757" w14:textId="77777777" w:rsidR="0099088D" w:rsidRDefault="0099088D" w:rsidP="0099088D">
      <w:pPr>
        <w:tabs>
          <w:tab w:val="left" w:pos="5580"/>
          <w:tab w:val="left" w:pos="9498"/>
        </w:tabs>
        <w:ind w:left="-284" w:right="-569" w:firstLine="851"/>
        <w:rPr>
          <w:color w:val="000000" w:themeColor="text1"/>
        </w:rPr>
        <w:sectPr w:rsidR="0099088D" w:rsidSect="0099088D">
          <w:pgSz w:w="11906" w:h="16838"/>
          <w:pgMar w:top="567" w:right="850" w:bottom="1134" w:left="1701" w:header="708" w:footer="708" w:gutter="0"/>
          <w:cols w:space="708"/>
          <w:docGrid w:linePitch="360"/>
        </w:sectPr>
      </w:pPr>
    </w:p>
    <w:p w14:paraId="0741B54B" w14:textId="7EB34A23" w:rsidR="00BA6654" w:rsidRPr="00081AD4" w:rsidRDefault="00BA6654" w:rsidP="00BA6654">
      <w:pPr>
        <w:tabs>
          <w:tab w:val="left" w:pos="3686"/>
          <w:tab w:val="left" w:pos="9498"/>
        </w:tabs>
        <w:ind w:left="-3734" w:right="-1" w:firstLine="9404"/>
        <w:rPr>
          <w:color w:val="000000" w:themeColor="text1"/>
        </w:rPr>
      </w:pPr>
      <w:r w:rsidRPr="00081AD4">
        <w:rPr>
          <w:color w:val="000000" w:themeColor="text1"/>
        </w:rPr>
        <w:t xml:space="preserve">Приложение № </w:t>
      </w:r>
      <w:r>
        <w:rPr>
          <w:color w:val="000000" w:themeColor="text1"/>
        </w:rPr>
        <w:t>1</w:t>
      </w:r>
      <w:r>
        <w:rPr>
          <w:color w:val="000000" w:themeColor="text1"/>
        </w:rPr>
        <w:t>4</w:t>
      </w:r>
      <w:r>
        <w:rPr>
          <w:color w:val="000000" w:themeColor="text1"/>
        </w:rPr>
        <w:t xml:space="preserve"> к протоколу</w:t>
      </w:r>
      <w:r w:rsidRPr="00081AD4">
        <w:rPr>
          <w:color w:val="000000" w:themeColor="text1"/>
        </w:rPr>
        <w:t xml:space="preserve"> № </w:t>
      </w:r>
      <w:r>
        <w:rPr>
          <w:color w:val="000000" w:themeColor="text1"/>
        </w:rPr>
        <w:t>88</w:t>
      </w:r>
    </w:p>
    <w:p w14:paraId="7ED4A774" w14:textId="77777777" w:rsidR="00BA6654" w:rsidRPr="00081AD4" w:rsidRDefault="00BA6654" w:rsidP="00BA6654">
      <w:pPr>
        <w:tabs>
          <w:tab w:val="left" w:pos="3686"/>
          <w:tab w:val="left" w:pos="9498"/>
        </w:tabs>
        <w:ind w:left="-3734" w:right="-1" w:firstLine="9404"/>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3F291519" w14:textId="77777777" w:rsidR="00BA6654" w:rsidRPr="00081AD4" w:rsidRDefault="00BA6654" w:rsidP="00BA6654">
      <w:pPr>
        <w:tabs>
          <w:tab w:val="left" w:pos="3686"/>
          <w:tab w:val="left" w:pos="9498"/>
        </w:tabs>
        <w:ind w:left="-3734" w:right="-1" w:firstLine="9404"/>
        <w:rPr>
          <w:color w:val="000000" w:themeColor="text1"/>
        </w:rPr>
      </w:pPr>
      <w:r w:rsidRPr="00081AD4">
        <w:rPr>
          <w:color w:val="000000" w:themeColor="text1"/>
        </w:rPr>
        <w:t>энергетической комиссии</w:t>
      </w:r>
    </w:p>
    <w:p w14:paraId="261B3D5F" w14:textId="77777777" w:rsidR="00BA6654" w:rsidRDefault="00BA6654" w:rsidP="00BA6654">
      <w:pPr>
        <w:tabs>
          <w:tab w:val="left" w:pos="3686"/>
          <w:tab w:val="left" w:pos="9498"/>
        </w:tabs>
        <w:ind w:left="-3734" w:right="-1" w:firstLine="9404"/>
        <w:rPr>
          <w:color w:val="000000" w:themeColor="text1"/>
        </w:rPr>
      </w:pPr>
      <w:r w:rsidRPr="00081AD4">
        <w:rPr>
          <w:color w:val="000000" w:themeColor="text1"/>
        </w:rPr>
        <w:t xml:space="preserve">Кузбасса от </w:t>
      </w:r>
      <w:r>
        <w:rPr>
          <w:color w:val="000000" w:themeColor="text1"/>
        </w:rPr>
        <w:t>23</w:t>
      </w:r>
      <w:r w:rsidRPr="00081AD4">
        <w:rPr>
          <w:color w:val="000000" w:themeColor="text1"/>
        </w:rPr>
        <w:t>.</w:t>
      </w:r>
      <w:r>
        <w:rPr>
          <w:color w:val="000000" w:themeColor="text1"/>
        </w:rPr>
        <w:t>12</w:t>
      </w:r>
      <w:r w:rsidRPr="00081AD4">
        <w:rPr>
          <w:color w:val="000000" w:themeColor="text1"/>
        </w:rPr>
        <w:t>.202</w:t>
      </w:r>
      <w:r>
        <w:rPr>
          <w:color w:val="000000" w:themeColor="text1"/>
        </w:rPr>
        <w:t>1</w:t>
      </w:r>
    </w:p>
    <w:p w14:paraId="64040F14" w14:textId="77777777" w:rsidR="00196BB5" w:rsidRDefault="0099088D" w:rsidP="0099088D">
      <w:pPr>
        <w:tabs>
          <w:tab w:val="left" w:pos="3945"/>
        </w:tabs>
        <w:ind w:left="426" w:right="567"/>
        <w:jc w:val="center"/>
        <w:rPr>
          <w:rFonts w:ascii="Arial" w:hAnsi="Arial" w:cs="Arial"/>
          <w:color w:val="3C3C3C"/>
          <w:spacing w:val="2"/>
          <w:sz w:val="41"/>
          <w:szCs w:val="41"/>
        </w:rPr>
      </w:pPr>
      <w:r w:rsidRPr="00612E51">
        <w:rPr>
          <w:rFonts w:ascii="Arial" w:hAnsi="Arial" w:cs="Arial"/>
          <w:color w:val="3C3C3C"/>
          <w:spacing w:val="2"/>
          <w:sz w:val="41"/>
          <w:szCs w:val="41"/>
        </w:rPr>
        <w:t> </w:t>
      </w:r>
    </w:p>
    <w:p w14:paraId="01AA5538" w14:textId="77777777" w:rsidR="00196BB5" w:rsidRDefault="00196BB5" w:rsidP="0099088D">
      <w:pPr>
        <w:tabs>
          <w:tab w:val="left" w:pos="3945"/>
        </w:tabs>
        <w:ind w:left="426" w:right="567"/>
        <w:jc w:val="center"/>
        <w:rPr>
          <w:b/>
          <w:sz w:val="28"/>
          <w:szCs w:val="28"/>
        </w:rPr>
      </w:pPr>
    </w:p>
    <w:p w14:paraId="3ABD0AE3" w14:textId="0AC34E95" w:rsidR="0099088D" w:rsidRPr="00612E51" w:rsidRDefault="0099088D" w:rsidP="0099088D">
      <w:pPr>
        <w:tabs>
          <w:tab w:val="left" w:pos="3945"/>
        </w:tabs>
        <w:ind w:left="426" w:right="567"/>
        <w:jc w:val="center"/>
        <w:rPr>
          <w:b/>
          <w:sz w:val="28"/>
          <w:szCs w:val="28"/>
        </w:rPr>
      </w:pPr>
      <w:r w:rsidRPr="00612E51">
        <w:rPr>
          <w:b/>
          <w:sz w:val="28"/>
          <w:szCs w:val="28"/>
        </w:rPr>
        <w:t xml:space="preserve">Стандартизированные тарифные ставки, используемые для определения платы за технологическое присоединение газоиспользующего оборудования к газораспределительным сетям     ООО «Газпром газораспределение Томск» на территории Кемеровской области - Кузбасса на период с 01.01.2022 </w:t>
      </w:r>
      <w:r w:rsidRPr="00612E51">
        <w:rPr>
          <w:b/>
          <w:sz w:val="28"/>
          <w:szCs w:val="28"/>
        </w:rPr>
        <w:br/>
        <w:t xml:space="preserve">по 31.12.2022 </w:t>
      </w:r>
    </w:p>
    <w:p w14:paraId="01577957" w14:textId="77777777" w:rsidR="0099088D" w:rsidRPr="00612E51" w:rsidRDefault="0099088D" w:rsidP="0099088D">
      <w:pPr>
        <w:tabs>
          <w:tab w:val="left" w:pos="3945"/>
        </w:tabs>
        <w:ind w:left="426" w:right="567"/>
        <w:jc w:val="center"/>
        <w:rPr>
          <w:b/>
          <w:sz w:val="28"/>
          <w:szCs w:val="28"/>
        </w:rPr>
      </w:pPr>
    </w:p>
    <w:p w14:paraId="13D6AE0A" w14:textId="77777777" w:rsidR="0099088D" w:rsidRPr="00612E51" w:rsidRDefault="0099088D" w:rsidP="0099088D">
      <w:pPr>
        <w:tabs>
          <w:tab w:val="left" w:pos="3945"/>
        </w:tabs>
        <w:ind w:left="426" w:right="567"/>
        <w:jc w:val="center"/>
        <w:rPr>
          <w:b/>
          <w:sz w:val="28"/>
          <w:szCs w:val="28"/>
        </w:rPr>
      </w:pPr>
      <w:bookmarkStart w:id="67" w:name="_Hlk87874370"/>
    </w:p>
    <w:tbl>
      <w:tblPr>
        <w:tblW w:w="964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4106"/>
        <w:gridCol w:w="1775"/>
        <w:gridCol w:w="2466"/>
      </w:tblGrid>
      <w:tr w:rsidR="0099088D" w:rsidRPr="00612E51" w14:paraId="07984C0C" w14:textId="77777777" w:rsidTr="0099088D">
        <w:trPr>
          <w:trHeight w:val="458"/>
        </w:trPr>
        <w:tc>
          <w:tcPr>
            <w:tcW w:w="1297" w:type="dxa"/>
            <w:vMerge w:val="restart"/>
            <w:shd w:val="clear" w:color="auto" w:fill="auto"/>
            <w:vAlign w:val="center"/>
            <w:hideMark/>
          </w:tcPr>
          <w:p w14:paraId="2DDF6849" w14:textId="77777777" w:rsidR="0099088D" w:rsidRPr="00612E51" w:rsidRDefault="0099088D" w:rsidP="0099088D">
            <w:pPr>
              <w:jc w:val="center"/>
              <w:rPr>
                <w:color w:val="000000"/>
              </w:rPr>
            </w:pPr>
            <w:r w:rsidRPr="00612E51">
              <w:rPr>
                <w:color w:val="000000"/>
              </w:rPr>
              <w:t>№</w:t>
            </w:r>
          </w:p>
          <w:p w14:paraId="6EB095C4" w14:textId="77777777" w:rsidR="0099088D" w:rsidRPr="00612E51" w:rsidRDefault="0099088D" w:rsidP="0099088D">
            <w:pPr>
              <w:jc w:val="center"/>
              <w:rPr>
                <w:color w:val="000000"/>
              </w:rPr>
            </w:pPr>
            <w:r w:rsidRPr="00612E51">
              <w:rPr>
                <w:color w:val="000000"/>
              </w:rPr>
              <w:t>п/п</w:t>
            </w:r>
          </w:p>
        </w:tc>
        <w:tc>
          <w:tcPr>
            <w:tcW w:w="4106" w:type="dxa"/>
            <w:vMerge w:val="restart"/>
            <w:shd w:val="clear" w:color="auto" w:fill="auto"/>
            <w:vAlign w:val="center"/>
            <w:hideMark/>
          </w:tcPr>
          <w:p w14:paraId="076E6F37" w14:textId="77777777" w:rsidR="0099088D" w:rsidRPr="00612E51" w:rsidRDefault="0099088D" w:rsidP="0099088D">
            <w:pPr>
              <w:jc w:val="center"/>
              <w:rPr>
                <w:color w:val="000000"/>
              </w:rPr>
            </w:pPr>
            <w:r w:rsidRPr="00612E51">
              <w:rPr>
                <w:color w:val="000000"/>
              </w:rPr>
              <w:t>Наименование стандартизированных тарифных ставок</w:t>
            </w:r>
          </w:p>
        </w:tc>
        <w:tc>
          <w:tcPr>
            <w:tcW w:w="1775" w:type="dxa"/>
            <w:vMerge w:val="restart"/>
            <w:shd w:val="clear" w:color="auto" w:fill="auto"/>
            <w:vAlign w:val="center"/>
            <w:hideMark/>
          </w:tcPr>
          <w:p w14:paraId="32AD352C" w14:textId="77777777" w:rsidR="0099088D" w:rsidRPr="00612E51" w:rsidRDefault="0099088D" w:rsidP="0099088D">
            <w:pPr>
              <w:jc w:val="center"/>
              <w:rPr>
                <w:color w:val="000000"/>
              </w:rPr>
            </w:pPr>
            <w:r w:rsidRPr="00612E51">
              <w:rPr>
                <w:color w:val="000000"/>
              </w:rPr>
              <w:t>Единица измерения</w:t>
            </w:r>
          </w:p>
        </w:tc>
        <w:tc>
          <w:tcPr>
            <w:tcW w:w="2466" w:type="dxa"/>
            <w:vMerge w:val="restart"/>
            <w:shd w:val="clear" w:color="000000" w:fill="FFFFFF"/>
            <w:vAlign w:val="center"/>
            <w:hideMark/>
          </w:tcPr>
          <w:p w14:paraId="39DDA88F" w14:textId="77777777" w:rsidR="0099088D" w:rsidRPr="00612E51" w:rsidRDefault="0099088D" w:rsidP="0099088D">
            <w:pPr>
              <w:jc w:val="center"/>
              <w:rPr>
                <w:color w:val="000000"/>
              </w:rPr>
            </w:pPr>
            <w:r w:rsidRPr="00612E51">
              <w:rPr>
                <w:color w:val="000000"/>
              </w:rPr>
              <w:t xml:space="preserve">Размеры стандартизированных тарифных ставок </w:t>
            </w:r>
          </w:p>
        </w:tc>
      </w:tr>
      <w:tr w:rsidR="0099088D" w:rsidRPr="00612E51" w14:paraId="0F8F8396" w14:textId="77777777" w:rsidTr="0099088D">
        <w:trPr>
          <w:trHeight w:val="1554"/>
        </w:trPr>
        <w:tc>
          <w:tcPr>
            <w:tcW w:w="1297" w:type="dxa"/>
            <w:vMerge/>
            <w:vAlign w:val="center"/>
            <w:hideMark/>
          </w:tcPr>
          <w:p w14:paraId="78AA1085" w14:textId="77777777" w:rsidR="0099088D" w:rsidRPr="00612E51" w:rsidRDefault="0099088D" w:rsidP="0099088D">
            <w:pPr>
              <w:rPr>
                <w:color w:val="000000"/>
              </w:rPr>
            </w:pPr>
          </w:p>
        </w:tc>
        <w:tc>
          <w:tcPr>
            <w:tcW w:w="4106" w:type="dxa"/>
            <w:vMerge/>
            <w:vAlign w:val="center"/>
            <w:hideMark/>
          </w:tcPr>
          <w:p w14:paraId="2F48A5F2" w14:textId="77777777" w:rsidR="0099088D" w:rsidRPr="00612E51" w:rsidRDefault="0099088D" w:rsidP="0099088D">
            <w:pPr>
              <w:rPr>
                <w:color w:val="000000"/>
              </w:rPr>
            </w:pPr>
          </w:p>
        </w:tc>
        <w:tc>
          <w:tcPr>
            <w:tcW w:w="1775" w:type="dxa"/>
            <w:vMerge/>
            <w:vAlign w:val="center"/>
            <w:hideMark/>
          </w:tcPr>
          <w:p w14:paraId="1112F07C" w14:textId="77777777" w:rsidR="0099088D" w:rsidRPr="00612E51" w:rsidRDefault="0099088D" w:rsidP="0099088D">
            <w:pPr>
              <w:rPr>
                <w:color w:val="000000"/>
              </w:rPr>
            </w:pPr>
          </w:p>
        </w:tc>
        <w:tc>
          <w:tcPr>
            <w:tcW w:w="2466" w:type="dxa"/>
            <w:vMerge/>
            <w:vAlign w:val="center"/>
            <w:hideMark/>
          </w:tcPr>
          <w:p w14:paraId="1EA08809" w14:textId="77777777" w:rsidR="0099088D" w:rsidRPr="00612E51" w:rsidRDefault="0099088D" w:rsidP="0099088D">
            <w:pPr>
              <w:rPr>
                <w:color w:val="000000"/>
              </w:rPr>
            </w:pPr>
          </w:p>
        </w:tc>
      </w:tr>
      <w:tr w:rsidR="0099088D" w:rsidRPr="00612E51" w14:paraId="76D10D60" w14:textId="77777777" w:rsidTr="0099088D">
        <w:trPr>
          <w:trHeight w:val="458"/>
        </w:trPr>
        <w:tc>
          <w:tcPr>
            <w:tcW w:w="1297" w:type="dxa"/>
            <w:vMerge/>
            <w:vAlign w:val="center"/>
            <w:hideMark/>
          </w:tcPr>
          <w:p w14:paraId="0FB7BB75" w14:textId="77777777" w:rsidR="0099088D" w:rsidRPr="00612E51" w:rsidRDefault="0099088D" w:rsidP="0099088D">
            <w:pPr>
              <w:rPr>
                <w:color w:val="000000"/>
              </w:rPr>
            </w:pPr>
          </w:p>
        </w:tc>
        <w:tc>
          <w:tcPr>
            <w:tcW w:w="4106" w:type="dxa"/>
            <w:vMerge/>
            <w:vAlign w:val="center"/>
            <w:hideMark/>
          </w:tcPr>
          <w:p w14:paraId="169F2031" w14:textId="77777777" w:rsidR="0099088D" w:rsidRPr="00612E51" w:rsidRDefault="0099088D" w:rsidP="0099088D">
            <w:pPr>
              <w:rPr>
                <w:color w:val="000000"/>
              </w:rPr>
            </w:pPr>
          </w:p>
        </w:tc>
        <w:tc>
          <w:tcPr>
            <w:tcW w:w="1775" w:type="dxa"/>
            <w:vMerge/>
            <w:vAlign w:val="center"/>
            <w:hideMark/>
          </w:tcPr>
          <w:p w14:paraId="71A2C37A" w14:textId="77777777" w:rsidR="0099088D" w:rsidRPr="00612E51" w:rsidRDefault="0099088D" w:rsidP="0099088D">
            <w:pPr>
              <w:rPr>
                <w:color w:val="000000"/>
              </w:rPr>
            </w:pPr>
          </w:p>
        </w:tc>
        <w:tc>
          <w:tcPr>
            <w:tcW w:w="2466" w:type="dxa"/>
            <w:vMerge/>
            <w:vAlign w:val="center"/>
            <w:hideMark/>
          </w:tcPr>
          <w:p w14:paraId="0C320AB2" w14:textId="77777777" w:rsidR="0099088D" w:rsidRPr="00612E51" w:rsidRDefault="0099088D" w:rsidP="0099088D">
            <w:pPr>
              <w:rPr>
                <w:color w:val="000000"/>
              </w:rPr>
            </w:pPr>
          </w:p>
        </w:tc>
      </w:tr>
      <w:tr w:rsidR="0099088D" w:rsidRPr="00612E51" w14:paraId="5ED0944C" w14:textId="77777777" w:rsidTr="0099088D">
        <w:trPr>
          <w:trHeight w:val="276"/>
        </w:trPr>
        <w:tc>
          <w:tcPr>
            <w:tcW w:w="1297" w:type="dxa"/>
            <w:shd w:val="clear" w:color="auto" w:fill="auto"/>
            <w:vAlign w:val="center"/>
            <w:hideMark/>
          </w:tcPr>
          <w:p w14:paraId="4CFB1D5A" w14:textId="77777777" w:rsidR="0099088D" w:rsidRPr="00612E51" w:rsidRDefault="0099088D" w:rsidP="0099088D">
            <w:pPr>
              <w:jc w:val="center"/>
              <w:rPr>
                <w:color w:val="000000"/>
              </w:rPr>
            </w:pPr>
            <w:r w:rsidRPr="00612E51">
              <w:rPr>
                <w:color w:val="000000"/>
              </w:rPr>
              <w:t>1</w:t>
            </w:r>
          </w:p>
        </w:tc>
        <w:tc>
          <w:tcPr>
            <w:tcW w:w="4106" w:type="dxa"/>
            <w:shd w:val="clear" w:color="auto" w:fill="auto"/>
            <w:vAlign w:val="center"/>
            <w:hideMark/>
          </w:tcPr>
          <w:p w14:paraId="58A1DABD" w14:textId="77777777" w:rsidR="0099088D" w:rsidRPr="00612E51" w:rsidRDefault="0099088D" w:rsidP="0099088D">
            <w:pPr>
              <w:jc w:val="center"/>
              <w:rPr>
                <w:color w:val="000000"/>
              </w:rPr>
            </w:pPr>
            <w:r w:rsidRPr="00612E51">
              <w:rPr>
                <w:color w:val="000000"/>
              </w:rPr>
              <w:t>2</w:t>
            </w:r>
          </w:p>
        </w:tc>
        <w:tc>
          <w:tcPr>
            <w:tcW w:w="1775" w:type="dxa"/>
            <w:shd w:val="clear" w:color="auto" w:fill="auto"/>
            <w:vAlign w:val="center"/>
            <w:hideMark/>
          </w:tcPr>
          <w:p w14:paraId="545164B8" w14:textId="77777777" w:rsidR="0099088D" w:rsidRPr="00612E51" w:rsidRDefault="0099088D" w:rsidP="0099088D">
            <w:pPr>
              <w:jc w:val="center"/>
              <w:rPr>
                <w:color w:val="000000"/>
              </w:rPr>
            </w:pPr>
            <w:r w:rsidRPr="00612E51">
              <w:rPr>
                <w:color w:val="000000"/>
              </w:rPr>
              <w:t>3</w:t>
            </w:r>
          </w:p>
        </w:tc>
        <w:tc>
          <w:tcPr>
            <w:tcW w:w="2466" w:type="dxa"/>
            <w:shd w:val="clear" w:color="000000" w:fill="FFFFFF"/>
            <w:vAlign w:val="center"/>
            <w:hideMark/>
          </w:tcPr>
          <w:p w14:paraId="5191BB70" w14:textId="77777777" w:rsidR="0099088D" w:rsidRPr="00612E51" w:rsidRDefault="0099088D" w:rsidP="0099088D">
            <w:pPr>
              <w:jc w:val="center"/>
              <w:rPr>
                <w:color w:val="000000"/>
              </w:rPr>
            </w:pPr>
            <w:r w:rsidRPr="00612E51">
              <w:rPr>
                <w:color w:val="000000"/>
              </w:rPr>
              <w:t>4</w:t>
            </w:r>
          </w:p>
        </w:tc>
      </w:tr>
      <w:tr w:rsidR="0099088D" w:rsidRPr="00612E51" w14:paraId="623E22BD" w14:textId="77777777" w:rsidTr="0099088D">
        <w:trPr>
          <w:trHeight w:val="1347"/>
        </w:trPr>
        <w:tc>
          <w:tcPr>
            <w:tcW w:w="1297" w:type="dxa"/>
            <w:shd w:val="clear" w:color="auto" w:fill="auto"/>
            <w:vAlign w:val="center"/>
            <w:hideMark/>
          </w:tcPr>
          <w:p w14:paraId="02D614EF" w14:textId="77777777" w:rsidR="0099088D" w:rsidRPr="00612E51" w:rsidRDefault="0099088D" w:rsidP="0099088D">
            <w:pPr>
              <w:jc w:val="center"/>
              <w:rPr>
                <w:color w:val="000000"/>
              </w:rPr>
            </w:pPr>
            <w:r w:rsidRPr="00612E51">
              <w:rPr>
                <w:color w:val="000000"/>
              </w:rPr>
              <w:t>1.</w:t>
            </w:r>
          </w:p>
        </w:tc>
        <w:tc>
          <w:tcPr>
            <w:tcW w:w="8347" w:type="dxa"/>
            <w:gridSpan w:val="3"/>
            <w:shd w:val="clear" w:color="auto" w:fill="auto"/>
            <w:vAlign w:val="center"/>
            <w:hideMark/>
          </w:tcPr>
          <w:p w14:paraId="69EDC8D2" w14:textId="77777777" w:rsidR="0099088D" w:rsidRPr="00612E51" w:rsidRDefault="0099088D" w:rsidP="0099088D">
            <w:pPr>
              <w:rPr>
                <w:color w:val="000000"/>
              </w:rPr>
            </w:pPr>
            <w:r w:rsidRPr="00612E51">
              <w:rPr>
                <w:color w:val="000000"/>
              </w:rPr>
              <w:t>Размер стандартизированной тарифной ставки С</w:t>
            </w:r>
            <w:r w:rsidRPr="00612E51">
              <w:rPr>
                <w:color w:val="000000"/>
                <w:vertAlign w:val="subscript"/>
              </w:rPr>
              <w:t>1</w:t>
            </w:r>
            <w:r w:rsidRPr="00612E51">
              <w:rPr>
                <w:color w:val="000000"/>
              </w:rPr>
              <w:t xml:space="preserve"> на покрытие расходов газораспределительной организации, связанных с проектированием газораспределительной организацией газопровода </w:t>
            </w:r>
            <w:r w:rsidRPr="00612E51">
              <w:rPr>
                <w:color w:val="2D2D2D"/>
              </w:rPr>
              <w:t>(без НДС, с налогом на прибыль)</w:t>
            </w:r>
            <w:r w:rsidRPr="00612E51">
              <w:rPr>
                <w:color w:val="000000"/>
              </w:rPr>
              <w:t>:</w:t>
            </w:r>
          </w:p>
        </w:tc>
      </w:tr>
      <w:tr w:rsidR="0099088D" w:rsidRPr="00612E51" w14:paraId="1C02B095" w14:textId="77777777" w:rsidTr="0099088D">
        <w:trPr>
          <w:trHeight w:val="236"/>
        </w:trPr>
        <w:tc>
          <w:tcPr>
            <w:tcW w:w="1297" w:type="dxa"/>
            <w:shd w:val="clear" w:color="auto" w:fill="auto"/>
            <w:vAlign w:val="center"/>
            <w:hideMark/>
          </w:tcPr>
          <w:p w14:paraId="04C7A693" w14:textId="77777777" w:rsidR="0099088D" w:rsidRPr="00612E51" w:rsidRDefault="0099088D" w:rsidP="0099088D">
            <w:pPr>
              <w:jc w:val="center"/>
              <w:rPr>
                <w:color w:val="000000"/>
              </w:rPr>
            </w:pPr>
            <w:r w:rsidRPr="00612E51">
              <w:rPr>
                <w:color w:val="000000"/>
              </w:rPr>
              <w:t>1.1.</w:t>
            </w:r>
          </w:p>
        </w:tc>
        <w:tc>
          <w:tcPr>
            <w:tcW w:w="8347" w:type="dxa"/>
            <w:gridSpan w:val="3"/>
            <w:shd w:val="clear" w:color="auto" w:fill="auto"/>
            <w:vAlign w:val="center"/>
            <w:hideMark/>
          </w:tcPr>
          <w:p w14:paraId="7A4DF6D1" w14:textId="77777777" w:rsidR="0099088D" w:rsidRPr="00612E51" w:rsidRDefault="0099088D" w:rsidP="0099088D">
            <w:pPr>
              <w:rPr>
                <w:color w:val="000000"/>
              </w:rPr>
            </w:pPr>
            <w:r w:rsidRPr="00612E51">
              <w:rPr>
                <w:color w:val="000000"/>
              </w:rPr>
              <w:t>наземного (надземного) способа прокладки:</w:t>
            </w:r>
          </w:p>
        </w:tc>
      </w:tr>
      <w:tr w:rsidR="0099088D" w:rsidRPr="00612E51" w14:paraId="3517BF5A" w14:textId="77777777" w:rsidTr="0099088D">
        <w:trPr>
          <w:trHeight w:val="226"/>
        </w:trPr>
        <w:tc>
          <w:tcPr>
            <w:tcW w:w="1297" w:type="dxa"/>
            <w:shd w:val="clear" w:color="auto" w:fill="auto"/>
            <w:vAlign w:val="center"/>
            <w:hideMark/>
          </w:tcPr>
          <w:p w14:paraId="2E3CF2F6" w14:textId="77777777" w:rsidR="0099088D" w:rsidRPr="00612E51" w:rsidRDefault="0099088D" w:rsidP="0099088D">
            <w:pPr>
              <w:jc w:val="center"/>
              <w:rPr>
                <w:color w:val="000000"/>
              </w:rPr>
            </w:pPr>
            <w:r w:rsidRPr="00612E51">
              <w:rPr>
                <w:color w:val="000000"/>
              </w:rPr>
              <w:t>1.1.1.</w:t>
            </w:r>
          </w:p>
        </w:tc>
        <w:tc>
          <w:tcPr>
            <w:tcW w:w="8347" w:type="dxa"/>
            <w:gridSpan w:val="3"/>
            <w:shd w:val="clear" w:color="auto" w:fill="auto"/>
            <w:vAlign w:val="center"/>
            <w:hideMark/>
          </w:tcPr>
          <w:p w14:paraId="73418EFF" w14:textId="77777777" w:rsidR="0099088D" w:rsidRPr="00612E51" w:rsidRDefault="0099088D" w:rsidP="0099088D">
            <w:pPr>
              <w:rPr>
                <w:color w:val="000000"/>
              </w:rPr>
            </w:pPr>
            <w:r w:rsidRPr="00612E51">
              <w:rPr>
                <w:color w:val="000000"/>
              </w:rPr>
              <w:t>наружным диаметром менее 100 мм, протяженностью:</w:t>
            </w:r>
          </w:p>
        </w:tc>
      </w:tr>
      <w:tr w:rsidR="0099088D" w:rsidRPr="00612E51" w14:paraId="4B3B1C30" w14:textId="77777777" w:rsidTr="0099088D">
        <w:trPr>
          <w:trHeight w:val="70"/>
        </w:trPr>
        <w:tc>
          <w:tcPr>
            <w:tcW w:w="1297" w:type="dxa"/>
            <w:shd w:val="clear" w:color="auto" w:fill="auto"/>
            <w:vAlign w:val="center"/>
            <w:hideMark/>
          </w:tcPr>
          <w:p w14:paraId="6B14BD21" w14:textId="77777777" w:rsidR="0099088D" w:rsidRPr="00612E51" w:rsidRDefault="0099088D" w:rsidP="0099088D">
            <w:pPr>
              <w:jc w:val="center"/>
              <w:rPr>
                <w:color w:val="000000"/>
              </w:rPr>
            </w:pPr>
            <w:r w:rsidRPr="00612E51">
              <w:rPr>
                <w:color w:val="000000"/>
              </w:rPr>
              <w:t>1.1.1.1.</w:t>
            </w:r>
          </w:p>
        </w:tc>
        <w:tc>
          <w:tcPr>
            <w:tcW w:w="4106" w:type="dxa"/>
            <w:shd w:val="clear" w:color="auto" w:fill="auto"/>
            <w:vAlign w:val="center"/>
            <w:hideMark/>
          </w:tcPr>
          <w:p w14:paraId="15A8883D" w14:textId="77777777" w:rsidR="0099088D" w:rsidRPr="00612E51" w:rsidRDefault="0099088D" w:rsidP="0099088D">
            <w:pPr>
              <w:rPr>
                <w:color w:val="000000"/>
              </w:rPr>
            </w:pPr>
            <w:r w:rsidRPr="00612E51">
              <w:rPr>
                <w:color w:val="000000"/>
              </w:rPr>
              <w:t>до 100 м</w:t>
            </w:r>
          </w:p>
        </w:tc>
        <w:tc>
          <w:tcPr>
            <w:tcW w:w="1775" w:type="dxa"/>
            <w:vMerge w:val="restart"/>
            <w:shd w:val="clear" w:color="auto" w:fill="auto"/>
            <w:vAlign w:val="center"/>
            <w:hideMark/>
          </w:tcPr>
          <w:p w14:paraId="7D7F3957" w14:textId="77777777" w:rsidR="0099088D" w:rsidRPr="00612E51" w:rsidRDefault="0099088D" w:rsidP="0099088D">
            <w:pPr>
              <w:ind w:left="-147" w:right="-147"/>
              <w:jc w:val="center"/>
              <w:rPr>
                <w:color w:val="000000"/>
              </w:rPr>
            </w:pPr>
            <w:r w:rsidRPr="00612E51">
              <w:rPr>
                <w:color w:val="000000"/>
              </w:rPr>
              <w:t>руб.</w:t>
            </w:r>
            <w:r w:rsidRPr="00612E51">
              <w:rPr>
                <w:color w:val="2D2D2D"/>
              </w:rPr>
              <w:t xml:space="preserve"> за 1 присоединение</w:t>
            </w:r>
          </w:p>
        </w:tc>
        <w:tc>
          <w:tcPr>
            <w:tcW w:w="2466" w:type="dxa"/>
            <w:shd w:val="clear" w:color="auto" w:fill="auto"/>
            <w:hideMark/>
          </w:tcPr>
          <w:p w14:paraId="14C7ACC1" w14:textId="77777777" w:rsidR="0099088D" w:rsidRPr="00612E51" w:rsidRDefault="0099088D" w:rsidP="0099088D">
            <w:pPr>
              <w:jc w:val="center"/>
              <w:rPr>
                <w:color w:val="000000"/>
              </w:rPr>
            </w:pPr>
            <w:r w:rsidRPr="00612E51">
              <w:rPr>
                <w:color w:val="000000"/>
              </w:rPr>
              <w:t>267 818</w:t>
            </w:r>
          </w:p>
        </w:tc>
      </w:tr>
      <w:tr w:rsidR="0099088D" w:rsidRPr="00612E51" w14:paraId="462B7B0D" w14:textId="77777777" w:rsidTr="0099088D">
        <w:trPr>
          <w:trHeight w:val="276"/>
        </w:trPr>
        <w:tc>
          <w:tcPr>
            <w:tcW w:w="1297" w:type="dxa"/>
            <w:shd w:val="clear" w:color="auto" w:fill="auto"/>
            <w:vAlign w:val="center"/>
            <w:hideMark/>
          </w:tcPr>
          <w:p w14:paraId="35B5407E" w14:textId="77777777" w:rsidR="0099088D" w:rsidRPr="00612E51" w:rsidRDefault="0099088D" w:rsidP="0099088D">
            <w:pPr>
              <w:jc w:val="center"/>
              <w:rPr>
                <w:color w:val="000000"/>
              </w:rPr>
            </w:pPr>
            <w:r w:rsidRPr="00612E51">
              <w:rPr>
                <w:color w:val="000000"/>
              </w:rPr>
              <w:t>1.1.1.2.</w:t>
            </w:r>
          </w:p>
        </w:tc>
        <w:tc>
          <w:tcPr>
            <w:tcW w:w="4106" w:type="dxa"/>
            <w:shd w:val="clear" w:color="auto" w:fill="auto"/>
            <w:vAlign w:val="center"/>
            <w:hideMark/>
          </w:tcPr>
          <w:p w14:paraId="05780090" w14:textId="77777777" w:rsidR="0099088D" w:rsidRPr="00612E51" w:rsidRDefault="0099088D" w:rsidP="0099088D">
            <w:pPr>
              <w:rPr>
                <w:color w:val="000000"/>
              </w:rPr>
            </w:pPr>
            <w:r w:rsidRPr="00612E51">
              <w:rPr>
                <w:color w:val="000000"/>
              </w:rPr>
              <w:t>101-500 м</w:t>
            </w:r>
          </w:p>
        </w:tc>
        <w:tc>
          <w:tcPr>
            <w:tcW w:w="1775" w:type="dxa"/>
            <w:vMerge/>
            <w:vAlign w:val="center"/>
            <w:hideMark/>
          </w:tcPr>
          <w:p w14:paraId="67BA3F2B" w14:textId="77777777" w:rsidR="0099088D" w:rsidRPr="00612E51" w:rsidRDefault="0099088D" w:rsidP="0099088D">
            <w:pPr>
              <w:rPr>
                <w:color w:val="000000"/>
              </w:rPr>
            </w:pPr>
          </w:p>
        </w:tc>
        <w:tc>
          <w:tcPr>
            <w:tcW w:w="2466" w:type="dxa"/>
            <w:shd w:val="clear" w:color="auto" w:fill="auto"/>
            <w:hideMark/>
          </w:tcPr>
          <w:p w14:paraId="6F1650ED" w14:textId="77777777" w:rsidR="0099088D" w:rsidRPr="00612E51" w:rsidRDefault="0099088D" w:rsidP="0099088D">
            <w:pPr>
              <w:jc w:val="center"/>
              <w:rPr>
                <w:color w:val="000000"/>
              </w:rPr>
            </w:pPr>
            <w:r w:rsidRPr="00612E51">
              <w:rPr>
                <w:color w:val="000000"/>
              </w:rPr>
              <w:t>276 673</w:t>
            </w:r>
          </w:p>
        </w:tc>
      </w:tr>
      <w:tr w:rsidR="0099088D" w:rsidRPr="00612E51" w14:paraId="6C96678E" w14:textId="77777777" w:rsidTr="0099088D">
        <w:trPr>
          <w:trHeight w:val="276"/>
        </w:trPr>
        <w:tc>
          <w:tcPr>
            <w:tcW w:w="1297" w:type="dxa"/>
            <w:shd w:val="clear" w:color="auto" w:fill="auto"/>
            <w:vAlign w:val="center"/>
            <w:hideMark/>
          </w:tcPr>
          <w:p w14:paraId="0D1C6B61" w14:textId="77777777" w:rsidR="0099088D" w:rsidRPr="00612E51" w:rsidRDefault="0099088D" w:rsidP="0099088D">
            <w:pPr>
              <w:jc w:val="center"/>
              <w:rPr>
                <w:color w:val="000000"/>
              </w:rPr>
            </w:pPr>
            <w:r w:rsidRPr="00612E51">
              <w:rPr>
                <w:color w:val="000000"/>
              </w:rPr>
              <w:t>1.1.1.3.</w:t>
            </w:r>
          </w:p>
        </w:tc>
        <w:tc>
          <w:tcPr>
            <w:tcW w:w="4106" w:type="dxa"/>
            <w:shd w:val="clear" w:color="auto" w:fill="auto"/>
            <w:vAlign w:val="center"/>
            <w:hideMark/>
          </w:tcPr>
          <w:p w14:paraId="165030EC" w14:textId="77777777" w:rsidR="0099088D" w:rsidRPr="00612E51" w:rsidRDefault="0099088D" w:rsidP="0099088D">
            <w:pPr>
              <w:rPr>
                <w:color w:val="000000"/>
              </w:rPr>
            </w:pPr>
            <w:r w:rsidRPr="00612E51">
              <w:rPr>
                <w:color w:val="000000"/>
              </w:rPr>
              <w:t>501-1000 м</w:t>
            </w:r>
          </w:p>
        </w:tc>
        <w:tc>
          <w:tcPr>
            <w:tcW w:w="1775" w:type="dxa"/>
            <w:vMerge/>
            <w:vAlign w:val="center"/>
            <w:hideMark/>
          </w:tcPr>
          <w:p w14:paraId="1D71888E" w14:textId="77777777" w:rsidR="0099088D" w:rsidRPr="00612E51" w:rsidRDefault="0099088D" w:rsidP="0099088D">
            <w:pPr>
              <w:rPr>
                <w:color w:val="000000"/>
              </w:rPr>
            </w:pPr>
          </w:p>
        </w:tc>
        <w:tc>
          <w:tcPr>
            <w:tcW w:w="2466" w:type="dxa"/>
            <w:shd w:val="clear" w:color="000000" w:fill="auto"/>
            <w:hideMark/>
          </w:tcPr>
          <w:p w14:paraId="2790799E" w14:textId="77777777" w:rsidR="0099088D" w:rsidRPr="00612E51" w:rsidRDefault="0099088D" w:rsidP="0099088D">
            <w:pPr>
              <w:jc w:val="center"/>
              <w:rPr>
                <w:color w:val="000000"/>
              </w:rPr>
            </w:pPr>
            <w:r w:rsidRPr="00612E51">
              <w:rPr>
                <w:color w:val="000000"/>
              </w:rPr>
              <w:t>1 768 526</w:t>
            </w:r>
          </w:p>
        </w:tc>
      </w:tr>
      <w:tr w:rsidR="0099088D" w:rsidRPr="00612E51" w14:paraId="4EB843B4" w14:textId="77777777" w:rsidTr="0099088D">
        <w:trPr>
          <w:trHeight w:val="276"/>
        </w:trPr>
        <w:tc>
          <w:tcPr>
            <w:tcW w:w="1297" w:type="dxa"/>
            <w:shd w:val="clear" w:color="auto" w:fill="auto"/>
            <w:vAlign w:val="center"/>
            <w:hideMark/>
          </w:tcPr>
          <w:p w14:paraId="610FA586" w14:textId="77777777" w:rsidR="0099088D" w:rsidRPr="00612E51" w:rsidRDefault="0099088D" w:rsidP="0099088D">
            <w:pPr>
              <w:jc w:val="center"/>
              <w:rPr>
                <w:color w:val="000000"/>
              </w:rPr>
            </w:pPr>
            <w:r w:rsidRPr="00612E51">
              <w:rPr>
                <w:color w:val="000000"/>
              </w:rPr>
              <w:t>1.1.1.4.</w:t>
            </w:r>
          </w:p>
        </w:tc>
        <w:tc>
          <w:tcPr>
            <w:tcW w:w="4106" w:type="dxa"/>
            <w:shd w:val="clear" w:color="auto" w:fill="auto"/>
            <w:vAlign w:val="center"/>
            <w:hideMark/>
          </w:tcPr>
          <w:p w14:paraId="304DF819" w14:textId="77777777" w:rsidR="0099088D" w:rsidRPr="00612E51" w:rsidRDefault="0099088D" w:rsidP="0099088D">
            <w:pPr>
              <w:rPr>
                <w:color w:val="000000"/>
              </w:rPr>
            </w:pPr>
            <w:r w:rsidRPr="00612E51">
              <w:rPr>
                <w:color w:val="000000"/>
              </w:rPr>
              <w:t>1001-2000 м</w:t>
            </w:r>
          </w:p>
        </w:tc>
        <w:tc>
          <w:tcPr>
            <w:tcW w:w="1775" w:type="dxa"/>
            <w:vMerge/>
            <w:vAlign w:val="center"/>
            <w:hideMark/>
          </w:tcPr>
          <w:p w14:paraId="3A339892" w14:textId="77777777" w:rsidR="0099088D" w:rsidRPr="00612E51" w:rsidRDefault="0099088D" w:rsidP="0099088D">
            <w:pPr>
              <w:rPr>
                <w:color w:val="000000"/>
              </w:rPr>
            </w:pPr>
          </w:p>
        </w:tc>
        <w:tc>
          <w:tcPr>
            <w:tcW w:w="2466" w:type="dxa"/>
            <w:shd w:val="clear" w:color="000000" w:fill="auto"/>
            <w:hideMark/>
          </w:tcPr>
          <w:p w14:paraId="6870E96F" w14:textId="77777777" w:rsidR="0099088D" w:rsidRPr="00612E51" w:rsidRDefault="0099088D" w:rsidP="0099088D">
            <w:pPr>
              <w:jc w:val="center"/>
              <w:rPr>
                <w:color w:val="000000"/>
              </w:rPr>
            </w:pPr>
            <w:r w:rsidRPr="00612E51">
              <w:rPr>
                <w:color w:val="000000"/>
              </w:rPr>
              <w:t>2 546 338</w:t>
            </w:r>
          </w:p>
        </w:tc>
      </w:tr>
      <w:tr w:rsidR="0099088D" w:rsidRPr="00612E51" w14:paraId="0ADFFCC3" w14:textId="77777777" w:rsidTr="0099088D">
        <w:trPr>
          <w:trHeight w:val="276"/>
        </w:trPr>
        <w:tc>
          <w:tcPr>
            <w:tcW w:w="1297" w:type="dxa"/>
            <w:shd w:val="clear" w:color="auto" w:fill="auto"/>
            <w:vAlign w:val="center"/>
            <w:hideMark/>
          </w:tcPr>
          <w:p w14:paraId="0E0A3E50" w14:textId="77777777" w:rsidR="0099088D" w:rsidRPr="00612E51" w:rsidRDefault="0099088D" w:rsidP="0099088D">
            <w:pPr>
              <w:jc w:val="center"/>
              <w:rPr>
                <w:color w:val="000000"/>
              </w:rPr>
            </w:pPr>
            <w:r w:rsidRPr="00612E51">
              <w:rPr>
                <w:color w:val="000000"/>
              </w:rPr>
              <w:t>1.1.1.5.</w:t>
            </w:r>
          </w:p>
        </w:tc>
        <w:tc>
          <w:tcPr>
            <w:tcW w:w="4106" w:type="dxa"/>
            <w:shd w:val="clear" w:color="auto" w:fill="auto"/>
            <w:vAlign w:val="center"/>
            <w:hideMark/>
          </w:tcPr>
          <w:p w14:paraId="3A054872" w14:textId="77777777" w:rsidR="0099088D" w:rsidRPr="00612E51" w:rsidRDefault="0099088D" w:rsidP="0099088D">
            <w:pPr>
              <w:rPr>
                <w:color w:val="000000"/>
              </w:rPr>
            </w:pPr>
            <w:r w:rsidRPr="00612E51">
              <w:rPr>
                <w:color w:val="000000"/>
              </w:rPr>
              <w:t>2001-3000 м</w:t>
            </w:r>
          </w:p>
        </w:tc>
        <w:tc>
          <w:tcPr>
            <w:tcW w:w="1775" w:type="dxa"/>
            <w:vMerge/>
            <w:vAlign w:val="center"/>
            <w:hideMark/>
          </w:tcPr>
          <w:p w14:paraId="77B91EE5" w14:textId="77777777" w:rsidR="0099088D" w:rsidRPr="00612E51" w:rsidRDefault="0099088D" w:rsidP="0099088D">
            <w:pPr>
              <w:rPr>
                <w:color w:val="000000"/>
              </w:rPr>
            </w:pPr>
          </w:p>
        </w:tc>
        <w:tc>
          <w:tcPr>
            <w:tcW w:w="2466" w:type="dxa"/>
            <w:shd w:val="clear" w:color="000000" w:fill="auto"/>
            <w:hideMark/>
          </w:tcPr>
          <w:p w14:paraId="13E31D19" w14:textId="77777777" w:rsidR="0099088D" w:rsidRPr="00612E51" w:rsidRDefault="0099088D" w:rsidP="0099088D">
            <w:pPr>
              <w:jc w:val="center"/>
              <w:rPr>
                <w:color w:val="000000"/>
              </w:rPr>
            </w:pPr>
            <w:r w:rsidRPr="00612E51">
              <w:rPr>
                <w:color w:val="000000"/>
              </w:rPr>
              <w:t>3 463 981</w:t>
            </w:r>
          </w:p>
        </w:tc>
      </w:tr>
      <w:tr w:rsidR="0099088D" w:rsidRPr="00612E51" w14:paraId="3C0B0AE5" w14:textId="77777777" w:rsidTr="0099088D">
        <w:trPr>
          <w:trHeight w:val="276"/>
        </w:trPr>
        <w:tc>
          <w:tcPr>
            <w:tcW w:w="1297" w:type="dxa"/>
            <w:shd w:val="clear" w:color="auto" w:fill="auto"/>
            <w:vAlign w:val="center"/>
            <w:hideMark/>
          </w:tcPr>
          <w:p w14:paraId="4DF06C8D" w14:textId="77777777" w:rsidR="0099088D" w:rsidRPr="00612E51" w:rsidRDefault="0099088D" w:rsidP="0099088D">
            <w:pPr>
              <w:jc w:val="center"/>
              <w:rPr>
                <w:color w:val="000000"/>
              </w:rPr>
            </w:pPr>
            <w:r w:rsidRPr="00612E51">
              <w:rPr>
                <w:color w:val="000000"/>
              </w:rPr>
              <w:t>1.1.1.6.</w:t>
            </w:r>
          </w:p>
        </w:tc>
        <w:tc>
          <w:tcPr>
            <w:tcW w:w="4106" w:type="dxa"/>
            <w:shd w:val="clear" w:color="auto" w:fill="auto"/>
            <w:vAlign w:val="center"/>
            <w:hideMark/>
          </w:tcPr>
          <w:p w14:paraId="1B814168" w14:textId="77777777" w:rsidR="0099088D" w:rsidRPr="00612E51" w:rsidRDefault="0099088D" w:rsidP="0099088D">
            <w:pPr>
              <w:rPr>
                <w:color w:val="000000"/>
              </w:rPr>
            </w:pPr>
            <w:r w:rsidRPr="00612E51">
              <w:rPr>
                <w:color w:val="000000"/>
              </w:rPr>
              <w:t>3001-4000 м</w:t>
            </w:r>
          </w:p>
        </w:tc>
        <w:tc>
          <w:tcPr>
            <w:tcW w:w="1775" w:type="dxa"/>
            <w:vMerge/>
            <w:vAlign w:val="center"/>
            <w:hideMark/>
          </w:tcPr>
          <w:p w14:paraId="48B6E0A3" w14:textId="77777777" w:rsidR="0099088D" w:rsidRPr="00612E51" w:rsidRDefault="0099088D" w:rsidP="0099088D">
            <w:pPr>
              <w:rPr>
                <w:color w:val="000000"/>
              </w:rPr>
            </w:pPr>
          </w:p>
        </w:tc>
        <w:tc>
          <w:tcPr>
            <w:tcW w:w="2466" w:type="dxa"/>
            <w:shd w:val="clear" w:color="000000" w:fill="auto"/>
            <w:hideMark/>
          </w:tcPr>
          <w:p w14:paraId="2AD4AD59" w14:textId="77777777" w:rsidR="0099088D" w:rsidRPr="00612E51" w:rsidRDefault="0099088D" w:rsidP="0099088D">
            <w:pPr>
              <w:jc w:val="center"/>
              <w:rPr>
                <w:color w:val="000000"/>
              </w:rPr>
            </w:pPr>
            <w:r w:rsidRPr="00612E51">
              <w:rPr>
                <w:color w:val="000000"/>
              </w:rPr>
              <w:t>4 273 442</w:t>
            </w:r>
          </w:p>
        </w:tc>
      </w:tr>
      <w:tr w:rsidR="0099088D" w:rsidRPr="00612E51" w14:paraId="7767C596" w14:textId="77777777" w:rsidTr="0099088D">
        <w:trPr>
          <w:trHeight w:val="276"/>
        </w:trPr>
        <w:tc>
          <w:tcPr>
            <w:tcW w:w="1297" w:type="dxa"/>
            <w:shd w:val="clear" w:color="auto" w:fill="auto"/>
            <w:vAlign w:val="center"/>
          </w:tcPr>
          <w:p w14:paraId="0EADCBAF" w14:textId="77777777" w:rsidR="0099088D" w:rsidRPr="00612E51" w:rsidRDefault="0099088D" w:rsidP="0099088D">
            <w:pPr>
              <w:jc w:val="center"/>
              <w:rPr>
                <w:color w:val="000000"/>
              </w:rPr>
            </w:pPr>
            <w:r w:rsidRPr="00612E51">
              <w:rPr>
                <w:color w:val="000000"/>
              </w:rPr>
              <w:t>1.1.1.7.</w:t>
            </w:r>
          </w:p>
        </w:tc>
        <w:tc>
          <w:tcPr>
            <w:tcW w:w="4106" w:type="dxa"/>
            <w:shd w:val="clear" w:color="auto" w:fill="auto"/>
            <w:vAlign w:val="center"/>
          </w:tcPr>
          <w:p w14:paraId="3C6BBFE8" w14:textId="77777777" w:rsidR="0099088D" w:rsidRPr="00612E51" w:rsidRDefault="0099088D" w:rsidP="0099088D">
            <w:pPr>
              <w:rPr>
                <w:color w:val="000000"/>
              </w:rPr>
            </w:pPr>
            <w:r w:rsidRPr="00612E51">
              <w:rPr>
                <w:color w:val="000000"/>
              </w:rPr>
              <w:t>4001-5000 м</w:t>
            </w:r>
          </w:p>
        </w:tc>
        <w:tc>
          <w:tcPr>
            <w:tcW w:w="1775" w:type="dxa"/>
            <w:vMerge/>
            <w:vAlign w:val="center"/>
          </w:tcPr>
          <w:p w14:paraId="0CADFE20" w14:textId="77777777" w:rsidR="0099088D" w:rsidRPr="00612E51" w:rsidRDefault="0099088D" w:rsidP="0099088D">
            <w:pPr>
              <w:rPr>
                <w:color w:val="000000"/>
              </w:rPr>
            </w:pPr>
          </w:p>
        </w:tc>
        <w:tc>
          <w:tcPr>
            <w:tcW w:w="2466" w:type="dxa"/>
            <w:shd w:val="clear" w:color="000000" w:fill="auto"/>
          </w:tcPr>
          <w:p w14:paraId="09FAD91C" w14:textId="77777777" w:rsidR="0099088D" w:rsidRPr="00612E51" w:rsidRDefault="0099088D" w:rsidP="0099088D">
            <w:pPr>
              <w:jc w:val="center"/>
              <w:rPr>
                <w:color w:val="000000"/>
              </w:rPr>
            </w:pPr>
            <w:r w:rsidRPr="00612E51">
              <w:rPr>
                <w:color w:val="000000"/>
              </w:rPr>
              <w:t>5 088 706</w:t>
            </w:r>
          </w:p>
        </w:tc>
      </w:tr>
      <w:tr w:rsidR="0099088D" w:rsidRPr="00612E51" w14:paraId="629BD106" w14:textId="77777777" w:rsidTr="0099088D">
        <w:trPr>
          <w:trHeight w:val="276"/>
        </w:trPr>
        <w:tc>
          <w:tcPr>
            <w:tcW w:w="1297" w:type="dxa"/>
            <w:shd w:val="clear" w:color="auto" w:fill="auto"/>
            <w:vAlign w:val="center"/>
            <w:hideMark/>
          </w:tcPr>
          <w:p w14:paraId="6313F118" w14:textId="77777777" w:rsidR="0099088D" w:rsidRPr="00612E51" w:rsidRDefault="0099088D" w:rsidP="0099088D">
            <w:pPr>
              <w:jc w:val="center"/>
              <w:rPr>
                <w:color w:val="000000"/>
              </w:rPr>
            </w:pPr>
            <w:r w:rsidRPr="00612E51">
              <w:rPr>
                <w:color w:val="000000"/>
              </w:rPr>
              <w:t>1.1.1.8.</w:t>
            </w:r>
          </w:p>
        </w:tc>
        <w:tc>
          <w:tcPr>
            <w:tcW w:w="4106" w:type="dxa"/>
            <w:shd w:val="clear" w:color="auto" w:fill="auto"/>
            <w:vAlign w:val="center"/>
            <w:hideMark/>
          </w:tcPr>
          <w:p w14:paraId="0F150B40" w14:textId="77777777" w:rsidR="0099088D" w:rsidRPr="00612E51" w:rsidRDefault="0099088D" w:rsidP="0099088D">
            <w:pPr>
              <w:rPr>
                <w:color w:val="000000"/>
              </w:rPr>
            </w:pPr>
            <w:r w:rsidRPr="00612E51">
              <w:rPr>
                <w:color w:val="000000"/>
              </w:rPr>
              <w:t>5001 м и более</w:t>
            </w:r>
          </w:p>
        </w:tc>
        <w:tc>
          <w:tcPr>
            <w:tcW w:w="1775" w:type="dxa"/>
            <w:vMerge/>
            <w:vAlign w:val="center"/>
            <w:hideMark/>
          </w:tcPr>
          <w:p w14:paraId="355D4E72" w14:textId="77777777" w:rsidR="0099088D" w:rsidRPr="00612E51" w:rsidRDefault="0099088D" w:rsidP="0099088D">
            <w:pPr>
              <w:rPr>
                <w:color w:val="000000"/>
              </w:rPr>
            </w:pPr>
          </w:p>
        </w:tc>
        <w:tc>
          <w:tcPr>
            <w:tcW w:w="2466" w:type="dxa"/>
            <w:shd w:val="clear" w:color="000000" w:fill="auto"/>
            <w:hideMark/>
          </w:tcPr>
          <w:p w14:paraId="57974E18" w14:textId="77777777" w:rsidR="0099088D" w:rsidRPr="00612E51" w:rsidRDefault="0099088D" w:rsidP="0099088D">
            <w:pPr>
              <w:jc w:val="center"/>
              <w:rPr>
                <w:color w:val="000000"/>
              </w:rPr>
            </w:pPr>
            <w:r w:rsidRPr="00612E51">
              <w:rPr>
                <w:color w:val="000000"/>
              </w:rPr>
              <w:t>5 392 348</w:t>
            </w:r>
          </w:p>
        </w:tc>
      </w:tr>
      <w:tr w:rsidR="0099088D" w:rsidRPr="00612E51" w14:paraId="6E74454E" w14:textId="77777777" w:rsidTr="0099088D">
        <w:trPr>
          <w:trHeight w:val="70"/>
        </w:trPr>
        <w:tc>
          <w:tcPr>
            <w:tcW w:w="1297" w:type="dxa"/>
            <w:shd w:val="clear" w:color="auto" w:fill="auto"/>
            <w:vAlign w:val="center"/>
            <w:hideMark/>
          </w:tcPr>
          <w:p w14:paraId="0EAEB903" w14:textId="77777777" w:rsidR="0099088D" w:rsidRPr="00612E51" w:rsidRDefault="0099088D" w:rsidP="0099088D">
            <w:pPr>
              <w:jc w:val="center"/>
              <w:rPr>
                <w:color w:val="000000"/>
              </w:rPr>
            </w:pPr>
            <w:r w:rsidRPr="00612E51">
              <w:rPr>
                <w:color w:val="000000"/>
              </w:rPr>
              <w:t>1.1.2.</w:t>
            </w:r>
          </w:p>
        </w:tc>
        <w:tc>
          <w:tcPr>
            <w:tcW w:w="8347" w:type="dxa"/>
            <w:gridSpan w:val="3"/>
            <w:shd w:val="clear" w:color="auto" w:fill="auto"/>
            <w:vAlign w:val="center"/>
            <w:hideMark/>
          </w:tcPr>
          <w:p w14:paraId="5FFC55CB" w14:textId="77777777" w:rsidR="0099088D" w:rsidRPr="00612E51" w:rsidRDefault="0099088D" w:rsidP="0099088D">
            <w:pPr>
              <w:rPr>
                <w:color w:val="000000"/>
              </w:rPr>
            </w:pPr>
            <w:r w:rsidRPr="00612E51">
              <w:rPr>
                <w:color w:val="000000"/>
              </w:rPr>
              <w:t>наружным диаметром 100 мм и более, протяженностью:</w:t>
            </w:r>
          </w:p>
        </w:tc>
      </w:tr>
      <w:tr w:rsidR="0099088D" w:rsidRPr="00612E51" w14:paraId="1D3B6768" w14:textId="77777777" w:rsidTr="0099088D">
        <w:trPr>
          <w:trHeight w:val="276"/>
        </w:trPr>
        <w:tc>
          <w:tcPr>
            <w:tcW w:w="1297" w:type="dxa"/>
            <w:shd w:val="clear" w:color="auto" w:fill="auto"/>
            <w:vAlign w:val="center"/>
            <w:hideMark/>
          </w:tcPr>
          <w:p w14:paraId="7D93A523" w14:textId="77777777" w:rsidR="0099088D" w:rsidRPr="00612E51" w:rsidRDefault="0099088D" w:rsidP="0099088D">
            <w:pPr>
              <w:jc w:val="center"/>
              <w:rPr>
                <w:color w:val="000000"/>
              </w:rPr>
            </w:pPr>
            <w:r w:rsidRPr="00612E51">
              <w:rPr>
                <w:color w:val="000000"/>
              </w:rPr>
              <w:t>1.1.2.1.</w:t>
            </w:r>
          </w:p>
        </w:tc>
        <w:tc>
          <w:tcPr>
            <w:tcW w:w="4106" w:type="dxa"/>
            <w:shd w:val="clear" w:color="auto" w:fill="auto"/>
            <w:vAlign w:val="center"/>
            <w:hideMark/>
          </w:tcPr>
          <w:p w14:paraId="24332DD2" w14:textId="77777777" w:rsidR="0099088D" w:rsidRPr="00612E51" w:rsidRDefault="0099088D" w:rsidP="0099088D">
            <w:pPr>
              <w:rPr>
                <w:color w:val="000000"/>
              </w:rPr>
            </w:pPr>
            <w:r w:rsidRPr="00612E51">
              <w:rPr>
                <w:color w:val="000000"/>
              </w:rPr>
              <w:t>до 100 м</w:t>
            </w:r>
          </w:p>
        </w:tc>
        <w:tc>
          <w:tcPr>
            <w:tcW w:w="1775" w:type="dxa"/>
            <w:vMerge w:val="restart"/>
            <w:shd w:val="clear" w:color="auto" w:fill="auto"/>
            <w:vAlign w:val="center"/>
            <w:hideMark/>
          </w:tcPr>
          <w:p w14:paraId="5A719FBD" w14:textId="77777777" w:rsidR="0099088D" w:rsidRPr="00612E51" w:rsidRDefault="0099088D" w:rsidP="0099088D">
            <w:pPr>
              <w:jc w:val="center"/>
              <w:rPr>
                <w:color w:val="000000"/>
              </w:rPr>
            </w:pPr>
            <w:r w:rsidRPr="00612E51">
              <w:rPr>
                <w:color w:val="000000"/>
              </w:rPr>
              <w:t>руб.</w:t>
            </w:r>
            <w:r w:rsidRPr="00612E51">
              <w:rPr>
                <w:color w:val="2D2D2D"/>
              </w:rPr>
              <w:t xml:space="preserve"> за 1 присоединение</w:t>
            </w:r>
          </w:p>
        </w:tc>
        <w:tc>
          <w:tcPr>
            <w:tcW w:w="2466" w:type="dxa"/>
            <w:shd w:val="clear" w:color="auto" w:fill="auto"/>
            <w:hideMark/>
          </w:tcPr>
          <w:p w14:paraId="5409F651" w14:textId="77777777" w:rsidR="0099088D" w:rsidRPr="00612E51" w:rsidRDefault="0099088D" w:rsidP="0099088D">
            <w:pPr>
              <w:jc w:val="center"/>
              <w:rPr>
                <w:color w:val="000000"/>
              </w:rPr>
            </w:pPr>
            <w:r w:rsidRPr="00612E51">
              <w:rPr>
                <w:color w:val="000000"/>
              </w:rPr>
              <w:t>267 818</w:t>
            </w:r>
          </w:p>
        </w:tc>
      </w:tr>
      <w:tr w:rsidR="0099088D" w:rsidRPr="00612E51" w14:paraId="2143B9CE" w14:textId="77777777" w:rsidTr="0099088D">
        <w:trPr>
          <w:trHeight w:val="276"/>
        </w:trPr>
        <w:tc>
          <w:tcPr>
            <w:tcW w:w="1297" w:type="dxa"/>
            <w:shd w:val="clear" w:color="auto" w:fill="auto"/>
            <w:vAlign w:val="center"/>
            <w:hideMark/>
          </w:tcPr>
          <w:p w14:paraId="0AFABC6E" w14:textId="77777777" w:rsidR="0099088D" w:rsidRPr="00612E51" w:rsidRDefault="0099088D" w:rsidP="0099088D">
            <w:pPr>
              <w:jc w:val="center"/>
              <w:rPr>
                <w:color w:val="000000"/>
              </w:rPr>
            </w:pPr>
            <w:r w:rsidRPr="00612E51">
              <w:rPr>
                <w:color w:val="000000"/>
              </w:rPr>
              <w:t>1.1.2.2.</w:t>
            </w:r>
          </w:p>
        </w:tc>
        <w:tc>
          <w:tcPr>
            <w:tcW w:w="4106" w:type="dxa"/>
            <w:shd w:val="clear" w:color="auto" w:fill="auto"/>
            <w:vAlign w:val="center"/>
            <w:hideMark/>
          </w:tcPr>
          <w:p w14:paraId="501B6B8D" w14:textId="77777777" w:rsidR="0099088D" w:rsidRPr="00612E51" w:rsidRDefault="0099088D" w:rsidP="0099088D">
            <w:pPr>
              <w:rPr>
                <w:color w:val="000000"/>
              </w:rPr>
            </w:pPr>
            <w:r w:rsidRPr="00612E51">
              <w:rPr>
                <w:color w:val="000000"/>
              </w:rPr>
              <w:t>101-500 м</w:t>
            </w:r>
          </w:p>
        </w:tc>
        <w:tc>
          <w:tcPr>
            <w:tcW w:w="1775" w:type="dxa"/>
            <w:vMerge/>
            <w:vAlign w:val="center"/>
            <w:hideMark/>
          </w:tcPr>
          <w:p w14:paraId="46F9E4C7" w14:textId="77777777" w:rsidR="0099088D" w:rsidRPr="00612E51" w:rsidRDefault="0099088D" w:rsidP="0099088D">
            <w:pPr>
              <w:rPr>
                <w:color w:val="000000"/>
              </w:rPr>
            </w:pPr>
          </w:p>
        </w:tc>
        <w:tc>
          <w:tcPr>
            <w:tcW w:w="2466" w:type="dxa"/>
            <w:shd w:val="clear" w:color="auto" w:fill="auto"/>
            <w:hideMark/>
          </w:tcPr>
          <w:p w14:paraId="7BCA76FD" w14:textId="77777777" w:rsidR="0099088D" w:rsidRPr="00612E51" w:rsidRDefault="0099088D" w:rsidP="0099088D">
            <w:pPr>
              <w:jc w:val="center"/>
              <w:rPr>
                <w:color w:val="000000"/>
              </w:rPr>
            </w:pPr>
            <w:r w:rsidRPr="00612E51">
              <w:rPr>
                <w:color w:val="000000"/>
              </w:rPr>
              <w:t>276 673</w:t>
            </w:r>
          </w:p>
        </w:tc>
      </w:tr>
      <w:tr w:rsidR="0099088D" w:rsidRPr="00612E51" w14:paraId="4C7B98B9" w14:textId="77777777" w:rsidTr="0099088D">
        <w:trPr>
          <w:trHeight w:val="276"/>
        </w:trPr>
        <w:tc>
          <w:tcPr>
            <w:tcW w:w="1297" w:type="dxa"/>
            <w:shd w:val="clear" w:color="auto" w:fill="auto"/>
            <w:vAlign w:val="center"/>
            <w:hideMark/>
          </w:tcPr>
          <w:p w14:paraId="3E3BCAE9" w14:textId="77777777" w:rsidR="0099088D" w:rsidRPr="00612E51" w:rsidRDefault="0099088D" w:rsidP="0099088D">
            <w:pPr>
              <w:jc w:val="center"/>
              <w:rPr>
                <w:color w:val="000000"/>
              </w:rPr>
            </w:pPr>
            <w:r w:rsidRPr="00612E51">
              <w:rPr>
                <w:color w:val="000000"/>
              </w:rPr>
              <w:t>1.1.2.3.</w:t>
            </w:r>
          </w:p>
        </w:tc>
        <w:tc>
          <w:tcPr>
            <w:tcW w:w="4106" w:type="dxa"/>
            <w:shd w:val="clear" w:color="auto" w:fill="auto"/>
            <w:vAlign w:val="center"/>
            <w:hideMark/>
          </w:tcPr>
          <w:p w14:paraId="16E41388" w14:textId="77777777" w:rsidR="0099088D" w:rsidRPr="00612E51" w:rsidRDefault="0099088D" w:rsidP="0099088D">
            <w:pPr>
              <w:rPr>
                <w:color w:val="000000"/>
              </w:rPr>
            </w:pPr>
            <w:r w:rsidRPr="00612E51">
              <w:rPr>
                <w:color w:val="000000"/>
              </w:rPr>
              <w:t>501-1000 м</w:t>
            </w:r>
          </w:p>
        </w:tc>
        <w:tc>
          <w:tcPr>
            <w:tcW w:w="1775" w:type="dxa"/>
            <w:vMerge/>
            <w:vAlign w:val="center"/>
            <w:hideMark/>
          </w:tcPr>
          <w:p w14:paraId="46CDF570" w14:textId="77777777" w:rsidR="0099088D" w:rsidRPr="00612E51" w:rsidRDefault="0099088D" w:rsidP="0099088D">
            <w:pPr>
              <w:rPr>
                <w:color w:val="000000"/>
              </w:rPr>
            </w:pPr>
          </w:p>
        </w:tc>
        <w:tc>
          <w:tcPr>
            <w:tcW w:w="2466" w:type="dxa"/>
            <w:shd w:val="clear" w:color="000000" w:fill="auto"/>
            <w:hideMark/>
          </w:tcPr>
          <w:p w14:paraId="664DA9E5" w14:textId="77777777" w:rsidR="0099088D" w:rsidRPr="00612E51" w:rsidRDefault="0099088D" w:rsidP="0099088D">
            <w:pPr>
              <w:jc w:val="center"/>
              <w:rPr>
                <w:color w:val="000000"/>
              </w:rPr>
            </w:pPr>
            <w:r w:rsidRPr="00612E51">
              <w:rPr>
                <w:color w:val="000000"/>
              </w:rPr>
              <w:t>1 768 526</w:t>
            </w:r>
          </w:p>
        </w:tc>
      </w:tr>
      <w:tr w:rsidR="0099088D" w:rsidRPr="00612E51" w14:paraId="254C7DA3" w14:textId="77777777" w:rsidTr="0099088D">
        <w:trPr>
          <w:trHeight w:val="276"/>
        </w:trPr>
        <w:tc>
          <w:tcPr>
            <w:tcW w:w="1297" w:type="dxa"/>
            <w:shd w:val="clear" w:color="auto" w:fill="auto"/>
            <w:vAlign w:val="center"/>
            <w:hideMark/>
          </w:tcPr>
          <w:p w14:paraId="3C9EC594" w14:textId="77777777" w:rsidR="0099088D" w:rsidRPr="00612E51" w:rsidRDefault="0099088D" w:rsidP="0099088D">
            <w:pPr>
              <w:jc w:val="center"/>
              <w:rPr>
                <w:color w:val="000000"/>
              </w:rPr>
            </w:pPr>
            <w:r w:rsidRPr="00612E51">
              <w:rPr>
                <w:color w:val="000000"/>
              </w:rPr>
              <w:t>1.1.2.4.</w:t>
            </w:r>
          </w:p>
        </w:tc>
        <w:tc>
          <w:tcPr>
            <w:tcW w:w="4106" w:type="dxa"/>
            <w:shd w:val="clear" w:color="auto" w:fill="auto"/>
            <w:vAlign w:val="center"/>
            <w:hideMark/>
          </w:tcPr>
          <w:p w14:paraId="320E8679" w14:textId="77777777" w:rsidR="0099088D" w:rsidRPr="00612E51" w:rsidRDefault="0099088D" w:rsidP="0099088D">
            <w:pPr>
              <w:rPr>
                <w:color w:val="000000"/>
              </w:rPr>
            </w:pPr>
            <w:r w:rsidRPr="00612E51">
              <w:rPr>
                <w:color w:val="000000"/>
              </w:rPr>
              <w:t>1001-2000 м</w:t>
            </w:r>
          </w:p>
        </w:tc>
        <w:tc>
          <w:tcPr>
            <w:tcW w:w="1775" w:type="dxa"/>
            <w:vMerge/>
            <w:vAlign w:val="center"/>
            <w:hideMark/>
          </w:tcPr>
          <w:p w14:paraId="7249A346" w14:textId="77777777" w:rsidR="0099088D" w:rsidRPr="00612E51" w:rsidRDefault="0099088D" w:rsidP="0099088D">
            <w:pPr>
              <w:rPr>
                <w:color w:val="000000"/>
              </w:rPr>
            </w:pPr>
          </w:p>
        </w:tc>
        <w:tc>
          <w:tcPr>
            <w:tcW w:w="2466" w:type="dxa"/>
            <w:shd w:val="clear" w:color="000000" w:fill="auto"/>
            <w:hideMark/>
          </w:tcPr>
          <w:p w14:paraId="0E09B409" w14:textId="77777777" w:rsidR="0099088D" w:rsidRPr="00612E51" w:rsidRDefault="0099088D" w:rsidP="0099088D">
            <w:pPr>
              <w:jc w:val="center"/>
              <w:rPr>
                <w:color w:val="000000"/>
              </w:rPr>
            </w:pPr>
            <w:r w:rsidRPr="00612E51">
              <w:rPr>
                <w:color w:val="000000"/>
              </w:rPr>
              <w:t>2 546 338</w:t>
            </w:r>
          </w:p>
        </w:tc>
      </w:tr>
      <w:tr w:rsidR="0099088D" w:rsidRPr="00612E51" w14:paraId="50E8E5E7" w14:textId="77777777" w:rsidTr="0099088D">
        <w:trPr>
          <w:trHeight w:val="276"/>
        </w:trPr>
        <w:tc>
          <w:tcPr>
            <w:tcW w:w="1297" w:type="dxa"/>
            <w:shd w:val="clear" w:color="auto" w:fill="auto"/>
            <w:vAlign w:val="center"/>
            <w:hideMark/>
          </w:tcPr>
          <w:p w14:paraId="027C8AD2" w14:textId="77777777" w:rsidR="0099088D" w:rsidRPr="00612E51" w:rsidRDefault="0099088D" w:rsidP="0099088D">
            <w:pPr>
              <w:jc w:val="center"/>
              <w:rPr>
                <w:color w:val="000000"/>
              </w:rPr>
            </w:pPr>
            <w:r w:rsidRPr="00612E51">
              <w:rPr>
                <w:color w:val="000000"/>
              </w:rPr>
              <w:t>1.1.2.5.</w:t>
            </w:r>
          </w:p>
        </w:tc>
        <w:tc>
          <w:tcPr>
            <w:tcW w:w="4106" w:type="dxa"/>
            <w:shd w:val="clear" w:color="auto" w:fill="auto"/>
            <w:vAlign w:val="center"/>
            <w:hideMark/>
          </w:tcPr>
          <w:p w14:paraId="7EE63B07" w14:textId="77777777" w:rsidR="0099088D" w:rsidRPr="00612E51" w:rsidRDefault="0099088D" w:rsidP="0099088D">
            <w:pPr>
              <w:rPr>
                <w:color w:val="000000"/>
              </w:rPr>
            </w:pPr>
            <w:r w:rsidRPr="00612E51">
              <w:rPr>
                <w:color w:val="000000"/>
              </w:rPr>
              <w:t>2001-3000 м</w:t>
            </w:r>
          </w:p>
        </w:tc>
        <w:tc>
          <w:tcPr>
            <w:tcW w:w="1775" w:type="dxa"/>
            <w:vMerge/>
            <w:vAlign w:val="center"/>
            <w:hideMark/>
          </w:tcPr>
          <w:p w14:paraId="61738A35" w14:textId="77777777" w:rsidR="0099088D" w:rsidRPr="00612E51" w:rsidRDefault="0099088D" w:rsidP="0099088D">
            <w:pPr>
              <w:rPr>
                <w:color w:val="000000"/>
              </w:rPr>
            </w:pPr>
          </w:p>
        </w:tc>
        <w:tc>
          <w:tcPr>
            <w:tcW w:w="2466" w:type="dxa"/>
            <w:shd w:val="clear" w:color="000000" w:fill="auto"/>
            <w:hideMark/>
          </w:tcPr>
          <w:p w14:paraId="2889FE2E" w14:textId="77777777" w:rsidR="0099088D" w:rsidRPr="00612E51" w:rsidRDefault="0099088D" w:rsidP="0099088D">
            <w:pPr>
              <w:jc w:val="center"/>
              <w:rPr>
                <w:color w:val="000000"/>
              </w:rPr>
            </w:pPr>
            <w:r w:rsidRPr="00612E51">
              <w:rPr>
                <w:color w:val="000000"/>
              </w:rPr>
              <w:t>3 463 981</w:t>
            </w:r>
          </w:p>
        </w:tc>
      </w:tr>
      <w:tr w:rsidR="0099088D" w:rsidRPr="00612E51" w14:paraId="1DE1D2CF" w14:textId="77777777" w:rsidTr="0099088D">
        <w:trPr>
          <w:trHeight w:val="276"/>
        </w:trPr>
        <w:tc>
          <w:tcPr>
            <w:tcW w:w="1297" w:type="dxa"/>
            <w:shd w:val="clear" w:color="auto" w:fill="auto"/>
            <w:vAlign w:val="center"/>
            <w:hideMark/>
          </w:tcPr>
          <w:p w14:paraId="11C8BBCB" w14:textId="77777777" w:rsidR="0099088D" w:rsidRPr="00612E51" w:rsidRDefault="0099088D" w:rsidP="0099088D">
            <w:pPr>
              <w:jc w:val="center"/>
              <w:rPr>
                <w:color w:val="000000"/>
              </w:rPr>
            </w:pPr>
            <w:r w:rsidRPr="00612E51">
              <w:rPr>
                <w:color w:val="000000"/>
              </w:rPr>
              <w:t>1.1.2.6.</w:t>
            </w:r>
          </w:p>
        </w:tc>
        <w:tc>
          <w:tcPr>
            <w:tcW w:w="4106" w:type="dxa"/>
            <w:shd w:val="clear" w:color="auto" w:fill="auto"/>
            <w:vAlign w:val="center"/>
            <w:hideMark/>
          </w:tcPr>
          <w:p w14:paraId="5CD90B4C" w14:textId="77777777" w:rsidR="0099088D" w:rsidRPr="00612E51" w:rsidRDefault="0099088D" w:rsidP="0099088D">
            <w:pPr>
              <w:rPr>
                <w:color w:val="000000"/>
              </w:rPr>
            </w:pPr>
            <w:r w:rsidRPr="00612E51">
              <w:rPr>
                <w:color w:val="000000"/>
              </w:rPr>
              <w:t>3001-4000 м</w:t>
            </w:r>
          </w:p>
        </w:tc>
        <w:tc>
          <w:tcPr>
            <w:tcW w:w="1775" w:type="dxa"/>
            <w:vMerge/>
            <w:vAlign w:val="center"/>
            <w:hideMark/>
          </w:tcPr>
          <w:p w14:paraId="0D93576D" w14:textId="77777777" w:rsidR="0099088D" w:rsidRPr="00612E51" w:rsidRDefault="0099088D" w:rsidP="0099088D">
            <w:pPr>
              <w:rPr>
                <w:color w:val="000000"/>
              </w:rPr>
            </w:pPr>
          </w:p>
        </w:tc>
        <w:tc>
          <w:tcPr>
            <w:tcW w:w="2466" w:type="dxa"/>
            <w:shd w:val="clear" w:color="000000" w:fill="auto"/>
            <w:hideMark/>
          </w:tcPr>
          <w:p w14:paraId="688DAAE4" w14:textId="77777777" w:rsidR="0099088D" w:rsidRPr="00612E51" w:rsidRDefault="0099088D" w:rsidP="0099088D">
            <w:pPr>
              <w:jc w:val="center"/>
              <w:rPr>
                <w:color w:val="000000"/>
              </w:rPr>
            </w:pPr>
            <w:r w:rsidRPr="00612E51">
              <w:rPr>
                <w:color w:val="000000"/>
              </w:rPr>
              <w:t>4 273 442</w:t>
            </w:r>
          </w:p>
        </w:tc>
      </w:tr>
      <w:tr w:rsidR="0099088D" w:rsidRPr="00612E51" w14:paraId="077D360D" w14:textId="77777777" w:rsidTr="0099088D">
        <w:trPr>
          <w:trHeight w:val="276"/>
        </w:trPr>
        <w:tc>
          <w:tcPr>
            <w:tcW w:w="1297" w:type="dxa"/>
            <w:shd w:val="clear" w:color="auto" w:fill="auto"/>
            <w:vAlign w:val="center"/>
          </w:tcPr>
          <w:p w14:paraId="7B610AD7" w14:textId="77777777" w:rsidR="0099088D" w:rsidRPr="00612E51" w:rsidRDefault="0099088D" w:rsidP="0099088D">
            <w:pPr>
              <w:jc w:val="center"/>
              <w:rPr>
                <w:color w:val="000000"/>
              </w:rPr>
            </w:pPr>
            <w:r w:rsidRPr="00612E51">
              <w:rPr>
                <w:color w:val="000000"/>
              </w:rPr>
              <w:t>1.1.2.7.</w:t>
            </w:r>
          </w:p>
        </w:tc>
        <w:tc>
          <w:tcPr>
            <w:tcW w:w="4106" w:type="dxa"/>
            <w:shd w:val="clear" w:color="auto" w:fill="auto"/>
            <w:vAlign w:val="center"/>
          </w:tcPr>
          <w:p w14:paraId="54E9CA6C" w14:textId="77777777" w:rsidR="0099088D" w:rsidRPr="00612E51" w:rsidRDefault="0099088D" w:rsidP="0099088D">
            <w:pPr>
              <w:rPr>
                <w:color w:val="000000"/>
              </w:rPr>
            </w:pPr>
            <w:r w:rsidRPr="00612E51">
              <w:rPr>
                <w:color w:val="000000"/>
              </w:rPr>
              <w:t>4001-5000 м</w:t>
            </w:r>
          </w:p>
        </w:tc>
        <w:tc>
          <w:tcPr>
            <w:tcW w:w="1775" w:type="dxa"/>
            <w:vMerge/>
            <w:vAlign w:val="center"/>
          </w:tcPr>
          <w:p w14:paraId="280775DD" w14:textId="77777777" w:rsidR="0099088D" w:rsidRPr="00612E51" w:rsidRDefault="0099088D" w:rsidP="0099088D">
            <w:pPr>
              <w:rPr>
                <w:color w:val="000000"/>
              </w:rPr>
            </w:pPr>
          </w:p>
        </w:tc>
        <w:tc>
          <w:tcPr>
            <w:tcW w:w="2466" w:type="dxa"/>
            <w:shd w:val="clear" w:color="000000" w:fill="auto"/>
          </w:tcPr>
          <w:p w14:paraId="414176F4" w14:textId="77777777" w:rsidR="0099088D" w:rsidRPr="00612E51" w:rsidRDefault="0099088D" w:rsidP="0099088D">
            <w:pPr>
              <w:jc w:val="center"/>
              <w:rPr>
                <w:color w:val="000000"/>
              </w:rPr>
            </w:pPr>
            <w:r w:rsidRPr="00612E51">
              <w:rPr>
                <w:color w:val="000000"/>
              </w:rPr>
              <w:t>5 088 706</w:t>
            </w:r>
          </w:p>
        </w:tc>
      </w:tr>
      <w:tr w:rsidR="0099088D" w:rsidRPr="00612E51" w14:paraId="39E817E4" w14:textId="77777777" w:rsidTr="0099088D">
        <w:trPr>
          <w:trHeight w:val="276"/>
        </w:trPr>
        <w:tc>
          <w:tcPr>
            <w:tcW w:w="1297" w:type="dxa"/>
            <w:shd w:val="clear" w:color="auto" w:fill="auto"/>
            <w:vAlign w:val="center"/>
            <w:hideMark/>
          </w:tcPr>
          <w:p w14:paraId="698F482B" w14:textId="77777777" w:rsidR="0099088D" w:rsidRPr="00612E51" w:rsidRDefault="0099088D" w:rsidP="0099088D">
            <w:pPr>
              <w:jc w:val="center"/>
              <w:rPr>
                <w:color w:val="000000"/>
              </w:rPr>
            </w:pPr>
            <w:r w:rsidRPr="00612E51">
              <w:rPr>
                <w:color w:val="000000"/>
              </w:rPr>
              <w:t>1.1.2.8.</w:t>
            </w:r>
          </w:p>
        </w:tc>
        <w:tc>
          <w:tcPr>
            <w:tcW w:w="4106" w:type="dxa"/>
            <w:shd w:val="clear" w:color="auto" w:fill="auto"/>
            <w:vAlign w:val="center"/>
            <w:hideMark/>
          </w:tcPr>
          <w:p w14:paraId="38D08358" w14:textId="77777777" w:rsidR="0099088D" w:rsidRPr="00612E51" w:rsidRDefault="0099088D" w:rsidP="0099088D">
            <w:pPr>
              <w:rPr>
                <w:color w:val="000000"/>
              </w:rPr>
            </w:pPr>
            <w:r w:rsidRPr="00612E51">
              <w:rPr>
                <w:color w:val="000000"/>
              </w:rPr>
              <w:t>5001 м и более</w:t>
            </w:r>
          </w:p>
        </w:tc>
        <w:tc>
          <w:tcPr>
            <w:tcW w:w="1775" w:type="dxa"/>
            <w:vMerge/>
            <w:vAlign w:val="center"/>
            <w:hideMark/>
          </w:tcPr>
          <w:p w14:paraId="324BAC20" w14:textId="77777777" w:rsidR="0099088D" w:rsidRPr="00612E51" w:rsidRDefault="0099088D" w:rsidP="0099088D">
            <w:pPr>
              <w:rPr>
                <w:color w:val="000000"/>
              </w:rPr>
            </w:pPr>
          </w:p>
        </w:tc>
        <w:tc>
          <w:tcPr>
            <w:tcW w:w="2466" w:type="dxa"/>
            <w:shd w:val="clear" w:color="000000" w:fill="auto"/>
            <w:hideMark/>
          </w:tcPr>
          <w:p w14:paraId="1C170358" w14:textId="77777777" w:rsidR="0099088D" w:rsidRPr="00612E51" w:rsidRDefault="0099088D" w:rsidP="0099088D">
            <w:pPr>
              <w:jc w:val="center"/>
              <w:rPr>
                <w:color w:val="000000"/>
              </w:rPr>
            </w:pPr>
            <w:r w:rsidRPr="00612E51">
              <w:rPr>
                <w:color w:val="000000"/>
              </w:rPr>
              <w:t>5 392 348</w:t>
            </w:r>
          </w:p>
        </w:tc>
      </w:tr>
    </w:tbl>
    <w:p w14:paraId="17E96643" w14:textId="77777777" w:rsidR="0099088D" w:rsidRPr="00612E51" w:rsidRDefault="0099088D" w:rsidP="0099088D">
      <w:pPr>
        <w:rPr>
          <w:sz w:val="20"/>
          <w:szCs w:val="20"/>
        </w:rPr>
      </w:pPr>
    </w:p>
    <w:p w14:paraId="7004E969" w14:textId="77777777" w:rsidR="0099088D" w:rsidRPr="00612E51" w:rsidRDefault="0099088D" w:rsidP="0099088D">
      <w:pPr>
        <w:rPr>
          <w:sz w:val="20"/>
          <w:szCs w:val="20"/>
        </w:rPr>
      </w:pPr>
    </w:p>
    <w:p w14:paraId="077B4F85" w14:textId="77777777" w:rsidR="0099088D" w:rsidRPr="00612E51" w:rsidRDefault="0099088D" w:rsidP="0099088D">
      <w:pPr>
        <w:rPr>
          <w:sz w:val="20"/>
          <w:szCs w:val="20"/>
        </w:rPr>
      </w:pPr>
    </w:p>
    <w:tbl>
      <w:tblPr>
        <w:tblW w:w="9644" w:type="dxa"/>
        <w:tblInd w:w="103" w:type="dxa"/>
        <w:tblLook w:val="04A0" w:firstRow="1" w:lastRow="0" w:firstColumn="1" w:lastColumn="0" w:noHBand="0" w:noVBand="1"/>
      </w:tblPr>
      <w:tblGrid>
        <w:gridCol w:w="1297"/>
        <w:gridCol w:w="4106"/>
        <w:gridCol w:w="1775"/>
        <w:gridCol w:w="2466"/>
      </w:tblGrid>
      <w:tr w:rsidR="0099088D" w:rsidRPr="00612E51" w14:paraId="611F1409" w14:textId="77777777" w:rsidTr="0099088D">
        <w:trPr>
          <w:trHeight w:val="132"/>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20A643DC" w14:textId="77777777" w:rsidR="0099088D" w:rsidRPr="00612E51" w:rsidRDefault="0099088D" w:rsidP="0099088D">
            <w:pPr>
              <w:jc w:val="center"/>
              <w:rPr>
                <w:color w:val="000000"/>
              </w:rPr>
            </w:pPr>
            <w:r w:rsidRPr="00612E51">
              <w:rPr>
                <w:color w:val="000000"/>
              </w:rPr>
              <w:t>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25861EA6" w14:textId="77777777" w:rsidR="0099088D" w:rsidRPr="00612E51" w:rsidRDefault="0099088D" w:rsidP="0099088D">
            <w:pPr>
              <w:jc w:val="center"/>
              <w:rPr>
                <w:color w:val="000000"/>
              </w:rPr>
            </w:pPr>
            <w:r w:rsidRPr="00612E51">
              <w:rPr>
                <w:color w:val="000000"/>
              </w:rPr>
              <w:t>2</w:t>
            </w: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tcPr>
          <w:p w14:paraId="255283F9" w14:textId="77777777" w:rsidR="0099088D" w:rsidRPr="00612E51" w:rsidRDefault="0099088D" w:rsidP="0099088D">
            <w:pPr>
              <w:jc w:val="center"/>
              <w:rPr>
                <w:color w:val="000000"/>
              </w:rPr>
            </w:pPr>
            <w:r w:rsidRPr="00612E51">
              <w:rPr>
                <w:color w:val="000000"/>
              </w:rPr>
              <w:t>3</w:t>
            </w:r>
          </w:p>
        </w:tc>
        <w:tc>
          <w:tcPr>
            <w:tcW w:w="2466" w:type="dxa"/>
            <w:tcBorders>
              <w:top w:val="single" w:sz="4" w:space="0" w:color="auto"/>
              <w:left w:val="single" w:sz="4" w:space="0" w:color="auto"/>
              <w:bottom w:val="single" w:sz="4" w:space="0" w:color="auto"/>
              <w:right w:val="single" w:sz="4" w:space="0" w:color="auto"/>
            </w:tcBorders>
            <w:shd w:val="clear" w:color="000000" w:fill="FFFFFF"/>
            <w:vAlign w:val="center"/>
          </w:tcPr>
          <w:p w14:paraId="699DADBD" w14:textId="77777777" w:rsidR="0099088D" w:rsidRPr="00612E51" w:rsidRDefault="0099088D" w:rsidP="0099088D">
            <w:pPr>
              <w:jc w:val="center"/>
              <w:rPr>
                <w:color w:val="000000"/>
              </w:rPr>
            </w:pPr>
            <w:r w:rsidRPr="00612E51">
              <w:rPr>
                <w:color w:val="000000"/>
              </w:rPr>
              <w:t>4</w:t>
            </w:r>
          </w:p>
        </w:tc>
      </w:tr>
      <w:tr w:rsidR="0099088D" w:rsidRPr="00612E51" w14:paraId="00691E71" w14:textId="77777777" w:rsidTr="0099088D">
        <w:trPr>
          <w:trHeight w:val="279"/>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507816" w14:textId="77777777" w:rsidR="0099088D" w:rsidRPr="00612E51" w:rsidRDefault="0099088D" w:rsidP="0099088D">
            <w:pPr>
              <w:jc w:val="center"/>
              <w:rPr>
                <w:color w:val="000000"/>
              </w:rPr>
            </w:pPr>
            <w:r w:rsidRPr="00612E51">
              <w:rPr>
                <w:color w:val="000000"/>
              </w:rPr>
              <w:t>1.2.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A1B9D2A" w14:textId="77777777" w:rsidR="0099088D" w:rsidRPr="00612E51" w:rsidRDefault="0099088D" w:rsidP="0099088D">
            <w:pPr>
              <w:rPr>
                <w:color w:val="000000"/>
              </w:rPr>
            </w:pPr>
            <w:r w:rsidRPr="00612E51">
              <w:rPr>
                <w:color w:val="000000"/>
              </w:rPr>
              <w:t>подземного способа прокладки:</w:t>
            </w:r>
          </w:p>
        </w:tc>
      </w:tr>
      <w:tr w:rsidR="0099088D" w:rsidRPr="00612E51" w14:paraId="325BA91B" w14:textId="77777777" w:rsidTr="0099088D">
        <w:trPr>
          <w:trHeight w:val="255"/>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C1902B" w14:textId="77777777" w:rsidR="0099088D" w:rsidRPr="00612E51" w:rsidRDefault="0099088D" w:rsidP="0099088D">
            <w:pPr>
              <w:jc w:val="center"/>
              <w:rPr>
                <w:color w:val="000000"/>
              </w:rPr>
            </w:pPr>
            <w:r w:rsidRPr="00612E51">
              <w:rPr>
                <w:color w:val="000000"/>
              </w:rPr>
              <w:t>1.2.1.</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BC4A787" w14:textId="77777777" w:rsidR="0099088D" w:rsidRPr="00612E51" w:rsidRDefault="0099088D" w:rsidP="0099088D">
            <w:pPr>
              <w:rPr>
                <w:color w:val="000000"/>
              </w:rPr>
            </w:pPr>
            <w:r w:rsidRPr="00612E51">
              <w:rPr>
                <w:color w:val="000000"/>
              </w:rPr>
              <w:t>наружным диаметром менее 100 мм, протяженностью:</w:t>
            </w:r>
          </w:p>
        </w:tc>
      </w:tr>
      <w:tr w:rsidR="0099088D" w:rsidRPr="00612E51" w14:paraId="331AE9E3"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733A18" w14:textId="77777777" w:rsidR="0099088D" w:rsidRPr="00612E51" w:rsidRDefault="0099088D" w:rsidP="0099088D">
            <w:pPr>
              <w:jc w:val="center"/>
              <w:rPr>
                <w:color w:val="000000"/>
              </w:rPr>
            </w:pPr>
            <w:r w:rsidRPr="00612E51">
              <w:rPr>
                <w:color w:val="000000"/>
              </w:rPr>
              <w:t>1.2.1.1.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88508F" w14:textId="77777777" w:rsidR="0099088D" w:rsidRPr="00612E51" w:rsidRDefault="0099088D" w:rsidP="0099088D">
            <w:pPr>
              <w:rPr>
                <w:color w:val="000000"/>
              </w:rPr>
            </w:pPr>
            <w:r w:rsidRPr="00612E51">
              <w:rPr>
                <w:color w:val="000000"/>
              </w:rPr>
              <w:t>до 100 м</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874D60" w14:textId="77777777" w:rsidR="0099088D" w:rsidRPr="00612E51" w:rsidRDefault="0099088D" w:rsidP="0099088D">
            <w:pPr>
              <w:jc w:val="center"/>
              <w:rPr>
                <w:color w:val="000000"/>
              </w:rPr>
            </w:pPr>
            <w:r w:rsidRPr="00612E51">
              <w:rPr>
                <w:color w:val="000000"/>
              </w:rPr>
              <w:t>руб.</w:t>
            </w:r>
            <w:r w:rsidRPr="00612E51">
              <w:rPr>
                <w:color w:val="2D2D2D"/>
              </w:rPr>
              <w:t xml:space="preserve"> за 1 присоединение</w:t>
            </w: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65B02F7E" w14:textId="77777777" w:rsidR="0099088D" w:rsidRPr="00612E51" w:rsidRDefault="0099088D" w:rsidP="0099088D">
            <w:pPr>
              <w:jc w:val="center"/>
              <w:rPr>
                <w:color w:val="000000"/>
              </w:rPr>
            </w:pPr>
            <w:r w:rsidRPr="00612E51">
              <w:rPr>
                <w:color w:val="000000"/>
              </w:rPr>
              <w:t>176 579</w:t>
            </w:r>
          </w:p>
        </w:tc>
      </w:tr>
      <w:tr w:rsidR="0099088D" w:rsidRPr="00612E51" w14:paraId="1A05AA4D"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8B7FA2" w14:textId="77777777" w:rsidR="0099088D" w:rsidRPr="00612E51" w:rsidRDefault="0099088D" w:rsidP="0099088D">
            <w:pPr>
              <w:jc w:val="center"/>
              <w:rPr>
                <w:color w:val="000000"/>
              </w:rPr>
            </w:pPr>
            <w:r w:rsidRPr="00612E51">
              <w:rPr>
                <w:color w:val="000000"/>
              </w:rPr>
              <w:t>1.2.1.2.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AC3F58" w14:textId="77777777" w:rsidR="0099088D" w:rsidRPr="00612E51" w:rsidRDefault="0099088D" w:rsidP="0099088D">
            <w:pPr>
              <w:rPr>
                <w:color w:val="000000"/>
              </w:rPr>
            </w:pPr>
            <w:r w:rsidRPr="00612E51">
              <w:rPr>
                <w:color w:val="000000"/>
              </w:rPr>
              <w:t>101-500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1F06F67A" w14:textId="77777777" w:rsidR="0099088D" w:rsidRPr="00612E51"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692A6230" w14:textId="77777777" w:rsidR="0099088D" w:rsidRPr="00612E51" w:rsidRDefault="0099088D" w:rsidP="0099088D">
            <w:pPr>
              <w:jc w:val="center"/>
              <w:rPr>
                <w:color w:val="000000"/>
              </w:rPr>
            </w:pPr>
            <w:r w:rsidRPr="00612E51">
              <w:rPr>
                <w:color w:val="000000"/>
              </w:rPr>
              <w:t>224 871</w:t>
            </w:r>
          </w:p>
        </w:tc>
      </w:tr>
      <w:tr w:rsidR="0099088D" w:rsidRPr="00612E51" w14:paraId="69FE7E56"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62FDCC" w14:textId="77777777" w:rsidR="0099088D" w:rsidRPr="00612E51" w:rsidRDefault="0099088D" w:rsidP="0099088D">
            <w:pPr>
              <w:jc w:val="center"/>
              <w:rPr>
                <w:color w:val="000000"/>
              </w:rPr>
            </w:pPr>
            <w:r w:rsidRPr="00612E51">
              <w:rPr>
                <w:color w:val="000000"/>
              </w:rPr>
              <w:t>1.2.1.3.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AF734A" w14:textId="77777777" w:rsidR="0099088D" w:rsidRPr="00612E51" w:rsidRDefault="0099088D" w:rsidP="0099088D">
            <w:pPr>
              <w:rPr>
                <w:color w:val="000000"/>
              </w:rPr>
            </w:pPr>
            <w:r w:rsidRPr="00612E51">
              <w:rPr>
                <w:color w:val="000000"/>
              </w:rPr>
              <w:t>501-1000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2BE6EB93" w14:textId="77777777" w:rsidR="0099088D" w:rsidRPr="00612E51"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54E82C76" w14:textId="77777777" w:rsidR="0099088D" w:rsidRPr="00612E51" w:rsidRDefault="0099088D" w:rsidP="0099088D">
            <w:pPr>
              <w:jc w:val="center"/>
              <w:rPr>
                <w:color w:val="000000"/>
              </w:rPr>
            </w:pPr>
            <w:r w:rsidRPr="00612E51">
              <w:rPr>
                <w:color w:val="000000"/>
              </w:rPr>
              <w:t>1 768 526</w:t>
            </w:r>
          </w:p>
        </w:tc>
      </w:tr>
      <w:tr w:rsidR="0099088D" w:rsidRPr="00612E51" w14:paraId="05838587"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1906B" w14:textId="77777777" w:rsidR="0099088D" w:rsidRPr="00612E51" w:rsidRDefault="0099088D" w:rsidP="0099088D">
            <w:pPr>
              <w:jc w:val="center"/>
              <w:rPr>
                <w:color w:val="000000"/>
              </w:rPr>
            </w:pPr>
            <w:r w:rsidRPr="00612E51">
              <w:rPr>
                <w:color w:val="000000"/>
              </w:rPr>
              <w:t>1.2.1.4.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4E3747" w14:textId="77777777" w:rsidR="0099088D" w:rsidRPr="00612E51" w:rsidRDefault="0099088D" w:rsidP="0099088D">
            <w:pPr>
              <w:rPr>
                <w:color w:val="000000"/>
              </w:rPr>
            </w:pPr>
            <w:r w:rsidRPr="00612E51">
              <w:rPr>
                <w:color w:val="000000"/>
              </w:rPr>
              <w:t>1001-2000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04AB99E7" w14:textId="77777777" w:rsidR="0099088D" w:rsidRPr="00612E51"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463BF71A" w14:textId="77777777" w:rsidR="0099088D" w:rsidRPr="00612E51" w:rsidRDefault="0099088D" w:rsidP="0099088D">
            <w:pPr>
              <w:jc w:val="center"/>
              <w:rPr>
                <w:color w:val="000000"/>
              </w:rPr>
            </w:pPr>
            <w:r w:rsidRPr="00612E51">
              <w:rPr>
                <w:color w:val="000000"/>
              </w:rPr>
              <w:t>2 546 338</w:t>
            </w:r>
          </w:p>
        </w:tc>
      </w:tr>
      <w:tr w:rsidR="0099088D" w:rsidRPr="00612E51" w14:paraId="186B118F"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A640CB" w14:textId="77777777" w:rsidR="0099088D" w:rsidRPr="00612E51" w:rsidRDefault="0099088D" w:rsidP="0099088D">
            <w:pPr>
              <w:jc w:val="center"/>
              <w:rPr>
                <w:color w:val="000000"/>
              </w:rPr>
            </w:pPr>
            <w:r w:rsidRPr="00612E51">
              <w:rPr>
                <w:color w:val="000000"/>
              </w:rPr>
              <w:t>1.2.1.5.</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1080CB" w14:textId="77777777" w:rsidR="0099088D" w:rsidRPr="00612E51" w:rsidRDefault="0099088D" w:rsidP="0099088D">
            <w:pPr>
              <w:rPr>
                <w:color w:val="000000"/>
              </w:rPr>
            </w:pPr>
            <w:r w:rsidRPr="00612E51">
              <w:rPr>
                <w:color w:val="000000"/>
              </w:rPr>
              <w:t>2001-3000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4E29A571" w14:textId="77777777" w:rsidR="0099088D" w:rsidRPr="00612E51"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2EBCB4A6" w14:textId="77777777" w:rsidR="0099088D" w:rsidRPr="00612E51" w:rsidRDefault="0099088D" w:rsidP="0099088D">
            <w:pPr>
              <w:jc w:val="center"/>
              <w:rPr>
                <w:color w:val="000000"/>
              </w:rPr>
            </w:pPr>
            <w:r w:rsidRPr="00612E51">
              <w:rPr>
                <w:color w:val="000000"/>
              </w:rPr>
              <w:t>3 463 981</w:t>
            </w:r>
          </w:p>
        </w:tc>
      </w:tr>
      <w:tr w:rsidR="0099088D" w:rsidRPr="00612E51" w14:paraId="01B420FB"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8D58D7" w14:textId="77777777" w:rsidR="0099088D" w:rsidRPr="00612E51" w:rsidRDefault="0099088D" w:rsidP="0099088D">
            <w:pPr>
              <w:jc w:val="center"/>
              <w:rPr>
                <w:color w:val="000000"/>
              </w:rPr>
            </w:pPr>
            <w:r w:rsidRPr="00612E51">
              <w:rPr>
                <w:color w:val="000000"/>
              </w:rPr>
              <w:t>1.2.1.6.</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960B4A" w14:textId="77777777" w:rsidR="0099088D" w:rsidRPr="00612E51" w:rsidRDefault="0099088D" w:rsidP="0099088D">
            <w:pPr>
              <w:rPr>
                <w:color w:val="000000"/>
              </w:rPr>
            </w:pPr>
            <w:r w:rsidRPr="00612E51">
              <w:rPr>
                <w:color w:val="000000"/>
              </w:rPr>
              <w:t>3001-4000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6A3C1841" w14:textId="77777777" w:rsidR="0099088D" w:rsidRPr="00612E51"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1E7B77EA" w14:textId="77777777" w:rsidR="0099088D" w:rsidRPr="00612E51" w:rsidRDefault="0099088D" w:rsidP="0099088D">
            <w:pPr>
              <w:jc w:val="center"/>
              <w:rPr>
                <w:color w:val="000000"/>
              </w:rPr>
            </w:pPr>
            <w:r w:rsidRPr="00612E51">
              <w:rPr>
                <w:color w:val="000000"/>
              </w:rPr>
              <w:t>4 273 442</w:t>
            </w:r>
          </w:p>
        </w:tc>
      </w:tr>
      <w:tr w:rsidR="0099088D" w:rsidRPr="00612E51" w14:paraId="5A2CC44E"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61EFE8" w14:textId="77777777" w:rsidR="0099088D" w:rsidRPr="00612E51" w:rsidRDefault="0099088D" w:rsidP="0099088D">
            <w:pPr>
              <w:jc w:val="center"/>
              <w:rPr>
                <w:color w:val="000000"/>
              </w:rPr>
            </w:pPr>
            <w:r w:rsidRPr="00612E51">
              <w:rPr>
                <w:color w:val="000000"/>
              </w:rPr>
              <w:t>1.2.1.7.</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3D965D" w14:textId="77777777" w:rsidR="0099088D" w:rsidRPr="00612E51" w:rsidRDefault="0099088D" w:rsidP="0099088D">
            <w:pPr>
              <w:rPr>
                <w:color w:val="000000"/>
              </w:rPr>
            </w:pPr>
            <w:r w:rsidRPr="00612E51">
              <w:rPr>
                <w:color w:val="000000"/>
              </w:rPr>
              <w:t>4001-5000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23BE3ABD" w14:textId="77777777" w:rsidR="0099088D" w:rsidRPr="00612E51"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53E02D0A" w14:textId="77777777" w:rsidR="0099088D" w:rsidRPr="00612E51" w:rsidRDefault="0099088D" w:rsidP="0099088D">
            <w:pPr>
              <w:jc w:val="center"/>
              <w:rPr>
                <w:color w:val="000000"/>
              </w:rPr>
            </w:pPr>
            <w:r w:rsidRPr="00612E51">
              <w:rPr>
                <w:color w:val="000000"/>
              </w:rPr>
              <w:t>5 088 706</w:t>
            </w:r>
          </w:p>
        </w:tc>
      </w:tr>
      <w:tr w:rsidR="0099088D" w:rsidRPr="00612E51" w14:paraId="0590B70F"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73BEDA" w14:textId="77777777" w:rsidR="0099088D" w:rsidRPr="00612E51" w:rsidRDefault="0099088D" w:rsidP="0099088D">
            <w:pPr>
              <w:jc w:val="center"/>
              <w:rPr>
                <w:color w:val="000000"/>
              </w:rPr>
            </w:pPr>
            <w:r w:rsidRPr="00612E51">
              <w:rPr>
                <w:color w:val="000000"/>
              </w:rPr>
              <w:t>1.2.1.8.</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6D74DB" w14:textId="77777777" w:rsidR="0099088D" w:rsidRPr="00612E51" w:rsidRDefault="0099088D" w:rsidP="0099088D">
            <w:pPr>
              <w:rPr>
                <w:color w:val="000000"/>
              </w:rPr>
            </w:pPr>
            <w:r w:rsidRPr="00612E51">
              <w:rPr>
                <w:color w:val="000000"/>
              </w:rPr>
              <w:t>5001 м и более</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5B28D039" w14:textId="77777777" w:rsidR="0099088D" w:rsidRPr="00612E51"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47C9034F" w14:textId="77777777" w:rsidR="0099088D" w:rsidRPr="00612E51" w:rsidRDefault="0099088D" w:rsidP="0099088D">
            <w:pPr>
              <w:jc w:val="center"/>
              <w:rPr>
                <w:color w:val="000000"/>
              </w:rPr>
            </w:pPr>
            <w:r w:rsidRPr="00612E51">
              <w:rPr>
                <w:color w:val="000000"/>
              </w:rPr>
              <w:t>5 392 348</w:t>
            </w:r>
          </w:p>
        </w:tc>
      </w:tr>
      <w:tr w:rsidR="0099088D" w:rsidRPr="00612E51" w14:paraId="270E04B0" w14:textId="77777777" w:rsidTr="0099088D">
        <w:trPr>
          <w:trHeight w:val="248"/>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CB6742" w14:textId="77777777" w:rsidR="0099088D" w:rsidRPr="00612E51" w:rsidRDefault="0099088D" w:rsidP="0099088D">
            <w:pPr>
              <w:jc w:val="center"/>
              <w:rPr>
                <w:color w:val="000000"/>
              </w:rPr>
            </w:pPr>
            <w:r w:rsidRPr="00612E51">
              <w:rPr>
                <w:color w:val="000000"/>
              </w:rPr>
              <w:t>1.2.2.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5451A47" w14:textId="77777777" w:rsidR="0099088D" w:rsidRPr="00612E51" w:rsidRDefault="0099088D" w:rsidP="0099088D">
            <w:pPr>
              <w:rPr>
                <w:color w:val="000000"/>
              </w:rPr>
            </w:pPr>
            <w:r w:rsidRPr="00612E51">
              <w:rPr>
                <w:color w:val="000000"/>
              </w:rPr>
              <w:t>наружным диаметром 100 мм и более, протяженностью:</w:t>
            </w:r>
          </w:p>
        </w:tc>
      </w:tr>
      <w:tr w:rsidR="0099088D" w:rsidRPr="00612E51" w14:paraId="3B9936B1"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6A72E" w14:textId="77777777" w:rsidR="0099088D" w:rsidRPr="00612E51" w:rsidRDefault="0099088D" w:rsidP="0099088D">
            <w:pPr>
              <w:jc w:val="center"/>
              <w:rPr>
                <w:color w:val="000000"/>
              </w:rPr>
            </w:pPr>
            <w:r w:rsidRPr="00612E51">
              <w:rPr>
                <w:color w:val="000000"/>
              </w:rPr>
              <w:t>1.2.2.1.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D88858" w14:textId="77777777" w:rsidR="0099088D" w:rsidRPr="00612E51" w:rsidRDefault="0099088D" w:rsidP="0099088D">
            <w:pPr>
              <w:rPr>
                <w:color w:val="000000"/>
              </w:rPr>
            </w:pPr>
            <w:r w:rsidRPr="00612E51">
              <w:rPr>
                <w:color w:val="000000"/>
              </w:rPr>
              <w:t>до 100 м</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F382BE" w14:textId="77777777" w:rsidR="0099088D" w:rsidRPr="00612E51" w:rsidRDefault="0099088D" w:rsidP="0099088D">
            <w:pPr>
              <w:jc w:val="center"/>
              <w:rPr>
                <w:color w:val="000000"/>
              </w:rPr>
            </w:pPr>
            <w:r w:rsidRPr="00612E51">
              <w:rPr>
                <w:color w:val="000000"/>
              </w:rPr>
              <w:t>руб.</w:t>
            </w:r>
            <w:r w:rsidRPr="00612E51">
              <w:rPr>
                <w:color w:val="2D2D2D"/>
              </w:rPr>
              <w:t xml:space="preserve"> за 1 присоединение</w:t>
            </w: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59EB86A4" w14:textId="77777777" w:rsidR="0099088D" w:rsidRPr="00612E51" w:rsidRDefault="0099088D" w:rsidP="0099088D">
            <w:pPr>
              <w:jc w:val="center"/>
              <w:rPr>
                <w:color w:val="000000"/>
              </w:rPr>
            </w:pPr>
            <w:r w:rsidRPr="00612E51">
              <w:rPr>
                <w:color w:val="000000"/>
              </w:rPr>
              <w:t>378 187</w:t>
            </w:r>
          </w:p>
        </w:tc>
      </w:tr>
      <w:tr w:rsidR="0099088D" w:rsidRPr="00612E51" w14:paraId="27A48DFA"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D3FA77" w14:textId="77777777" w:rsidR="0099088D" w:rsidRPr="00612E51" w:rsidRDefault="0099088D" w:rsidP="0099088D">
            <w:pPr>
              <w:jc w:val="center"/>
              <w:rPr>
                <w:color w:val="000000"/>
              </w:rPr>
            </w:pPr>
            <w:r w:rsidRPr="00612E51">
              <w:rPr>
                <w:color w:val="000000"/>
              </w:rPr>
              <w:t>1.2.2.2.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3CA317" w14:textId="77777777" w:rsidR="0099088D" w:rsidRPr="00612E51" w:rsidRDefault="0099088D" w:rsidP="0099088D">
            <w:pPr>
              <w:rPr>
                <w:color w:val="000000"/>
              </w:rPr>
            </w:pPr>
            <w:r w:rsidRPr="00612E51">
              <w:rPr>
                <w:color w:val="000000"/>
              </w:rPr>
              <w:t>101-500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6B496692" w14:textId="77777777" w:rsidR="0099088D" w:rsidRPr="00612E51"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79F0D83D" w14:textId="77777777" w:rsidR="0099088D" w:rsidRPr="00612E51" w:rsidRDefault="0099088D" w:rsidP="0099088D">
            <w:pPr>
              <w:jc w:val="center"/>
              <w:rPr>
                <w:color w:val="000000"/>
              </w:rPr>
            </w:pPr>
            <w:r w:rsidRPr="00612E51">
              <w:rPr>
                <w:color w:val="000000"/>
              </w:rPr>
              <w:t>380 199</w:t>
            </w:r>
          </w:p>
        </w:tc>
      </w:tr>
      <w:tr w:rsidR="0099088D" w:rsidRPr="00612E51" w14:paraId="6E468037"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E7865C" w14:textId="77777777" w:rsidR="0099088D" w:rsidRPr="00612E51" w:rsidRDefault="0099088D" w:rsidP="0099088D">
            <w:pPr>
              <w:jc w:val="center"/>
              <w:rPr>
                <w:color w:val="000000"/>
              </w:rPr>
            </w:pPr>
            <w:r w:rsidRPr="00612E51">
              <w:rPr>
                <w:color w:val="000000"/>
              </w:rPr>
              <w:t>1.2.2.3.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1A6FC2" w14:textId="77777777" w:rsidR="0099088D" w:rsidRPr="00612E51" w:rsidRDefault="0099088D" w:rsidP="0099088D">
            <w:pPr>
              <w:rPr>
                <w:color w:val="000000"/>
              </w:rPr>
            </w:pPr>
            <w:r w:rsidRPr="00612E51">
              <w:rPr>
                <w:color w:val="000000"/>
              </w:rPr>
              <w:t>501-1000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683E3486" w14:textId="77777777" w:rsidR="0099088D" w:rsidRPr="00612E51"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3571EAB9" w14:textId="77777777" w:rsidR="0099088D" w:rsidRPr="00612E51" w:rsidRDefault="0099088D" w:rsidP="0099088D">
            <w:pPr>
              <w:jc w:val="center"/>
              <w:rPr>
                <w:color w:val="000000"/>
              </w:rPr>
            </w:pPr>
            <w:r w:rsidRPr="00612E51">
              <w:rPr>
                <w:color w:val="000000"/>
              </w:rPr>
              <w:t>1 768 526</w:t>
            </w:r>
          </w:p>
        </w:tc>
      </w:tr>
      <w:tr w:rsidR="0099088D" w:rsidRPr="00612E51" w14:paraId="05441934"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B1A2FC" w14:textId="77777777" w:rsidR="0099088D" w:rsidRPr="00612E51" w:rsidRDefault="0099088D" w:rsidP="0099088D">
            <w:pPr>
              <w:jc w:val="center"/>
              <w:rPr>
                <w:color w:val="000000"/>
              </w:rPr>
            </w:pPr>
            <w:r w:rsidRPr="00612E51">
              <w:rPr>
                <w:color w:val="000000"/>
              </w:rPr>
              <w:t>1.2.2.4.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C671B1" w14:textId="77777777" w:rsidR="0099088D" w:rsidRPr="00612E51" w:rsidRDefault="0099088D" w:rsidP="0099088D">
            <w:pPr>
              <w:rPr>
                <w:color w:val="000000"/>
              </w:rPr>
            </w:pPr>
            <w:r w:rsidRPr="00612E51">
              <w:rPr>
                <w:color w:val="000000"/>
              </w:rPr>
              <w:t>1001-2000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76046C76" w14:textId="77777777" w:rsidR="0099088D" w:rsidRPr="00612E51"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22C1F0EA" w14:textId="77777777" w:rsidR="0099088D" w:rsidRPr="00612E51" w:rsidRDefault="0099088D" w:rsidP="0099088D">
            <w:pPr>
              <w:jc w:val="center"/>
              <w:rPr>
                <w:color w:val="000000"/>
              </w:rPr>
            </w:pPr>
            <w:r w:rsidRPr="00612E51">
              <w:rPr>
                <w:color w:val="000000"/>
              </w:rPr>
              <w:t>2 546 338</w:t>
            </w:r>
          </w:p>
        </w:tc>
      </w:tr>
      <w:tr w:rsidR="0099088D" w:rsidRPr="00612E51" w14:paraId="60D46BF5"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78B5A" w14:textId="77777777" w:rsidR="0099088D" w:rsidRPr="00612E51" w:rsidRDefault="0099088D" w:rsidP="0099088D">
            <w:pPr>
              <w:jc w:val="center"/>
              <w:rPr>
                <w:color w:val="000000"/>
              </w:rPr>
            </w:pPr>
            <w:r w:rsidRPr="00612E51">
              <w:rPr>
                <w:color w:val="000000"/>
              </w:rPr>
              <w:t>1.2.2.5.</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F9BCA9" w14:textId="77777777" w:rsidR="0099088D" w:rsidRPr="00612E51" w:rsidRDefault="0099088D" w:rsidP="0099088D">
            <w:pPr>
              <w:rPr>
                <w:color w:val="000000"/>
              </w:rPr>
            </w:pPr>
            <w:r w:rsidRPr="00612E51">
              <w:rPr>
                <w:color w:val="000000"/>
              </w:rPr>
              <w:t>2001-3000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29C76561" w14:textId="77777777" w:rsidR="0099088D" w:rsidRPr="00612E51"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618906BD" w14:textId="77777777" w:rsidR="0099088D" w:rsidRPr="00612E51" w:rsidRDefault="0099088D" w:rsidP="0099088D">
            <w:pPr>
              <w:jc w:val="center"/>
              <w:rPr>
                <w:color w:val="000000"/>
              </w:rPr>
            </w:pPr>
            <w:r w:rsidRPr="00612E51">
              <w:rPr>
                <w:color w:val="000000"/>
              </w:rPr>
              <w:t>3 463 981</w:t>
            </w:r>
          </w:p>
        </w:tc>
      </w:tr>
      <w:tr w:rsidR="0099088D" w:rsidRPr="00612E51" w14:paraId="5C7CA2B4"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3E740A" w14:textId="77777777" w:rsidR="0099088D" w:rsidRPr="00612E51" w:rsidRDefault="0099088D" w:rsidP="0099088D">
            <w:pPr>
              <w:jc w:val="center"/>
              <w:rPr>
                <w:color w:val="000000"/>
              </w:rPr>
            </w:pPr>
            <w:r w:rsidRPr="00612E51">
              <w:rPr>
                <w:color w:val="000000"/>
              </w:rPr>
              <w:t>1.2.2.6.</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67BE7" w14:textId="77777777" w:rsidR="0099088D" w:rsidRPr="00612E51" w:rsidRDefault="0099088D" w:rsidP="0099088D">
            <w:pPr>
              <w:rPr>
                <w:color w:val="000000"/>
              </w:rPr>
            </w:pPr>
            <w:r w:rsidRPr="00612E51">
              <w:rPr>
                <w:color w:val="000000"/>
              </w:rPr>
              <w:t>3001-4000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38FBFF58" w14:textId="77777777" w:rsidR="0099088D" w:rsidRPr="00612E51"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367FB62D" w14:textId="77777777" w:rsidR="0099088D" w:rsidRPr="00612E51" w:rsidRDefault="0099088D" w:rsidP="0099088D">
            <w:pPr>
              <w:jc w:val="center"/>
              <w:rPr>
                <w:color w:val="000000"/>
              </w:rPr>
            </w:pPr>
            <w:r w:rsidRPr="00612E51">
              <w:rPr>
                <w:color w:val="000000"/>
              </w:rPr>
              <w:t>4 273 442</w:t>
            </w:r>
          </w:p>
        </w:tc>
      </w:tr>
      <w:tr w:rsidR="0099088D" w:rsidRPr="00612E51" w14:paraId="0F5FEBC5"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7AC2BC" w14:textId="77777777" w:rsidR="0099088D" w:rsidRPr="00612E51" w:rsidRDefault="0099088D" w:rsidP="0099088D">
            <w:pPr>
              <w:jc w:val="center"/>
              <w:rPr>
                <w:color w:val="000000"/>
              </w:rPr>
            </w:pPr>
            <w:r w:rsidRPr="00612E51">
              <w:rPr>
                <w:color w:val="000000"/>
              </w:rPr>
              <w:t>1.2.2.7.</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8D7CFD" w14:textId="77777777" w:rsidR="0099088D" w:rsidRPr="00612E51" w:rsidRDefault="0099088D" w:rsidP="0099088D">
            <w:pPr>
              <w:rPr>
                <w:color w:val="000000"/>
              </w:rPr>
            </w:pPr>
            <w:r w:rsidRPr="00612E51">
              <w:rPr>
                <w:color w:val="000000"/>
              </w:rPr>
              <w:t>4001-5000 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2300D5D2" w14:textId="77777777" w:rsidR="0099088D" w:rsidRPr="00612E51"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72179FF2" w14:textId="77777777" w:rsidR="0099088D" w:rsidRPr="00612E51" w:rsidRDefault="0099088D" w:rsidP="0099088D">
            <w:pPr>
              <w:jc w:val="center"/>
              <w:rPr>
                <w:color w:val="000000"/>
              </w:rPr>
            </w:pPr>
            <w:r w:rsidRPr="00612E51">
              <w:rPr>
                <w:color w:val="000000"/>
              </w:rPr>
              <w:t>5 088 706</w:t>
            </w:r>
          </w:p>
        </w:tc>
      </w:tr>
      <w:tr w:rsidR="0099088D" w:rsidRPr="00612E51" w14:paraId="42E49151"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E4AAEC" w14:textId="77777777" w:rsidR="0099088D" w:rsidRPr="00612E51" w:rsidRDefault="0099088D" w:rsidP="0099088D">
            <w:pPr>
              <w:jc w:val="center"/>
              <w:rPr>
                <w:color w:val="000000"/>
              </w:rPr>
            </w:pPr>
            <w:r w:rsidRPr="00612E51">
              <w:rPr>
                <w:color w:val="000000"/>
              </w:rPr>
              <w:t>1.2.2.8.</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7E0F13" w14:textId="77777777" w:rsidR="0099088D" w:rsidRPr="00612E51" w:rsidRDefault="0099088D" w:rsidP="0099088D">
            <w:pPr>
              <w:rPr>
                <w:color w:val="000000"/>
              </w:rPr>
            </w:pPr>
            <w:r w:rsidRPr="00612E51">
              <w:rPr>
                <w:color w:val="000000"/>
              </w:rPr>
              <w:t>5001 м и более</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1715491C" w14:textId="77777777" w:rsidR="0099088D" w:rsidRPr="00612E51"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26A27EBB" w14:textId="77777777" w:rsidR="0099088D" w:rsidRPr="00612E51" w:rsidRDefault="0099088D" w:rsidP="0099088D">
            <w:pPr>
              <w:jc w:val="center"/>
              <w:rPr>
                <w:color w:val="000000"/>
              </w:rPr>
            </w:pPr>
            <w:r w:rsidRPr="00612E51">
              <w:rPr>
                <w:color w:val="000000"/>
              </w:rPr>
              <w:t>7 858 471</w:t>
            </w:r>
          </w:p>
        </w:tc>
      </w:tr>
      <w:tr w:rsidR="0099088D" w:rsidRPr="00612E51" w14:paraId="2BF7A11D" w14:textId="77777777" w:rsidTr="0099088D">
        <w:trPr>
          <w:trHeight w:val="35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A7B1E8" w14:textId="77777777" w:rsidR="0099088D" w:rsidRPr="00612E51" w:rsidRDefault="0099088D" w:rsidP="0099088D">
            <w:pPr>
              <w:jc w:val="center"/>
              <w:rPr>
                <w:color w:val="000000"/>
              </w:rPr>
            </w:pPr>
            <w:r w:rsidRPr="00612E51">
              <w:rPr>
                <w:color w:val="000000"/>
              </w:rPr>
              <w:t>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D60F730" w14:textId="77777777" w:rsidR="0099088D" w:rsidRPr="00612E51" w:rsidRDefault="0099088D" w:rsidP="0099088D">
            <w:pPr>
              <w:rPr>
                <w:color w:val="000000"/>
              </w:rPr>
            </w:pPr>
            <w:r w:rsidRPr="00612E51">
              <w:rPr>
                <w:color w:val="000000"/>
              </w:rPr>
              <w:t>Размер стандартизированной тарифной ставки С</w:t>
            </w:r>
            <w:r w:rsidRPr="00612E51">
              <w:rPr>
                <w:color w:val="000000"/>
                <w:vertAlign w:val="subscript"/>
              </w:rPr>
              <w:t>2</w:t>
            </w:r>
            <w:r w:rsidRPr="00612E51">
              <w:rPr>
                <w:color w:val="000000"/>
              </w:rPr>
              <w:t xml:space="preserve"> на покрытие расходов газораспределительной организации, связанных со строительством стальных газопроводов (без НДС, с налогом на прибыль):</w:t>
            </w:r>
          </w:p>
        </w:tc>
      </w:tr>
      <w:tr w:rsidR="0099088D" w:rsidRPr="00612E51" w14:paraId="21952E6B" w14:textId="77777777" w:rsidTr="0099088D">
        <w:trPr>
          <w:trHeight w:val="98"/>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ECA39C" w14:textId="77777777" w:rsidR="0099088D" w:rsidRPr="00612E51" w:rsidRDefault="0099088D" w:rsidP="0099088D">
            <w:pPr>
              <w:jc w:val="center"/>
              <w:rPr>
                <w:color w:val="000000"/>
              </w:rPr>
            </w:pPr>
            <w:r w:rsidRPr="00612E51">
              <w:rPr>
                <w:color w:val="000000"/>
              </w:rPr>
              <w:t>2.1.</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24D7BD9" w14:textId="77777777" w:rsidR="0099088D" w:rsidRPr="00612E51" w:rsidRDefault="0099088D" w:rsidP="0099088D">
            <w:pPr>
              <w:rPr>
                <w:color w:val="000000"/>
              </w:rPr>
            </w:pPr>
            <w:r w:rsidRPr="00612E51">
              <w:rPr>
                <w:color w:val="000000"/>
              </w:rPr>
              <w:t>наземного (надземного) способа прокладки, наружным диаметром:</w:t>
            </w:r>
          </w:p>
        </w:tc>
      </w:tr>
      <w:tr w:rsidR="0099088D" w:rsidRPr="00612E51" w14:paraId="5468F722" w14:textId="77777777" w:rsidTr="0099088D">
        <w:trPr>
          <w:trHeight w:val="288"/>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732278A3" w14:textId="77777777" w:rsidR="0099088D" w:rsidRPr="00612E51" w:rsidRDefault="0099088D" w:rsidP="0099088D">
            <w:pPr>
              <w:jc w:val="center"/>
              <w:rPr>
                <w:color w:val="000000"/>
              </w:rPr>
            </w:pPr>
            <w:r w:rsidRPr="00612E51">
              <w:rPr>
                <w:color w:val="000000"/>
              </w:rPr>
              <w:t>2.1.1.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0C7B0725" w14:textId="77777777" w:rsidR="0099088D" w:rsidRPr="00612E51" w:rsidRDefault="0099088D" w:rsidP="0099088D">
            <w:pPr>
              <w:rPr>
                <w:color w:val="000000"/>
              </w:rPr>
            </w:pPr>
            <w:r w:rsidRPr="00612E51">
              <w:rPr>
                <w:color w:val="000000"/>
              </w:rPr>
              <w:t>50 мм и менее</w:t>
            </w:r>
          </w:p>
        </w:tc>
        <w:tc>
          <w:tcPr>
            <w:tcW w:w="1775" w:type="dxa"/>
            <w:vMerge w:val="restart"/>
            <w:tcBorders>
              <w:top w:val="single" w:sz="4" w:space="0" w:color="auto"/>
              <w:left w:val="single" w:sz="4" w:space="0" w:color="auto"/>
              <w:right w:val="single" w:sz="4" w:space="0" w:color="auto"/>
            </w:tcBorders>
            <w:vAlign w:val="center"/>
          </w:tcPr>
          <w:p w14:paraId="66CDC8B7" w14:textId="77777777" w:rsidR="0099088D" w:rsidRPr="00612E51" w:rsidRDefault="0099088D" w:rsidP="0099088D">
            <w:pPr>
              <w:jc w:val="center"/>
              <w:rPr>
                <w:color w:val="000000"/>
              </w:rPr>
            </w:pPr>
            <w:r w:rsidRPr="00612E51">
              <w:rPr>
                <w:color w:val="000000"/>
              </w:rPr>
              <w:t>руб./км</w:t>
            </w:r>
          </w:p>
        </w:tc>
        <w:tc>
          <w:tcPr>
            <w:tcW w:w="2466" w:type="dxa"/>
            <w:tcBorders>
              <w:top w:val="single" w:sz="4" w:space="0" w:color="auto"/>
              <w:left w:val="single" w:sz="4" w:space="0" w:color="auto"/>
              <w:bottom w:val="single" w:sz="4" w:space="0" w:color="auto"/>
              <w:right w:val="single" w:sz="4" w:space="0" w:color="auto"/>
            </w:tcBorders>
            <w:shd w:val="clear" w:color="000000" w:fill="auto"/>
          </w:tcPr>
          <w:p w14:paraId="7F9A101C" w14:textId="77777777" w:rsidR="0099088D" w:rsidRPr="00612E51" w:rsidRDefault="0099088D" w:rsidP="0099088D">
            <w:pPr>
              <w:jc w:val="center"/>
              <w:rPr>
                <w:color w:val="000000"/>
              </w:rPr>
            </w:pPr>
            <w:r w:rsidRPr="00612E51">
              <w:rPr>
                <w:color w:val="000000"/>
              </w:rPr>
              <w:t>2 625 106</w:t>
            </w:r>
          </w:p>
        </w:tc>
      </w:tr>
      <w:tr w:rsidR="0099088D" w:rsidRPr="00612E51" w14:paraId="38474B6F" w14:textId="77777777" w:rsidTr="0099088D">
        <w:trPr>
          <w:trHeight w:val="78"/>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DDC205" w14:textId="77777777" w:rsidR="0099088D" w:rsidRPr="00612E51" w:rsidRDefault="0099088D" w:rsidP="0099088D">
            <w:pPr>
              <w:jc w:val="center"/>
              <w:rPr>
                <w:color w:val="000000"/>
              </w:rPr>
            </w:pPr>
            <w:r w:rsidRPr="00612E51">
              <w:rPr>
                <w:color w:val="000000"/>
              </w:rPr>
              <w:t>2.1.2.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691E86" w14:textId="77777777" w:rsidR="0099088D" w:rsidRPr="00612E51" w:rsidRDefault="0099088D" w:rsidP="0099088D">
            <w:pPr>
              <w:rPr>
                <w:color w:val="000000"/>
              </w:rPr>
            </w:pPr>
            <w:r w:rsidRPr="00612E51">
              <w:rPr>
                <w:color w:val="000000"/>
              </w:rPr>
              <w:t>51-100 мм</w:t>
            </w:r>
          </w:p>
        </w:tc>
        <w:tc>
          <w:tcPr>
            <w:tcW w:w="1775" w:type="dxa"/>
            <w:vMerge/>
            <w:tcBorders>
              <w:left w:val="single" w:sz="4" w:space="0" w:color="auto"/>
              <w:right w:val="single" w:sz="4" w:space="0" w:color="auto"/>
            </w:tcBorders>
            <w:vAlign w:val="center"/>
            <w:hideMark/>
          </w:tcPr>
          <w:p w14:paraId="7AC4B2F3" w14:textId="77777777" w:rsidR="0099088D" w:rsidRPr="00612E51" w:rsidRDefault="0099088D" w:rsidP="0099088D">
            <w:pPr>
              <w:jc w:val="cente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000000" w:fill="auto"/>
            <w:hideMark/>
          </w:tcPr>
          <w:p w14:paraId="6711FDED" w14:textId="77777777" w:rsidR="0099088D" w:rsidRPr="00612E51" w:rsidRDefault="0099088D" w:rsidP="0099088D">
            <w:pPr>
              <w:jc w:val="center"/>
              <w:rPr>
                <w:color w:val="000000"/>
              </w:rPr>
            </w:pPr>
            <w:r w:rsidRPr="00612E51">
              <w:rPr>
                <w:color w:val="000000"/>
              </w:rPr>
              <w:t>2 625 106</w:t>
            </w:r>
          </w:p>
        </w:tc>
      </w:tr>
      <w:tr w:rsidR="0099088D" w:rsidRPr="00612E51" w14:paraId="6E888F93" w14:textId="77777777" w:rsidTr="0099088D">
        <w:trPr>
          <w:trHeight w:val="288"/>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25AF1A" w14:textId="77777777" w:rsidR="0099088D" w:rsidRPr="00612E51" w:rsidRDefault="0099088D" w:rsidP="0099088D">
            <w:pPr>
              <w:jc w:val="center"/>
              <w:rPr>
                <w:color w:val="000000"/>
              </w:rPr>
            </w:pPr>
            <w:r w:rsidRPr="00612E51">
              <w:rPr>
                <w:color w:val="000000"/>
              </w:rPr>
              <w:t>2.1.3.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BB40C1" w14:textId="77777777" w:rsidR="0099088D" w:rsidRPr="00612E51" w:rsidRDefault="0099088D" w:rsidP="0099088D">
            <w:pPr>
              <w:rPr>
                <w:color w:val="000000"/>
              </w:rPr>
            </w:pPr>
            <w:r w:rsidRPr="00612E51">
              <w:rPr>
                <w:color w:val="000000"/>
              </w:rPr>
              <w:t>101-158 мм</w:t>
            </w:r>
          </w:p>
        </w:tc>
        <w:tc>
          <w:tcPr>
            <w:tcW w:w="1775" w:type="dxa"/>
            <w:vMerge/>
            <w:tcBorders>
              <w:left w:val="single" w:sz="4" w:space="0" w:color="auto"/>
              <w:right w:val="single" w:sz="4" w:space="0" w:color="auto"/>
            </w:tcBorders>
            <w:vAlign w:val="center"/>
            <w:hideMark/>
          </w:tcPr>
          <w:p w14:paraId="1CAFEA75" w14:textId="77777777" w:rsidR="0099088D" w:rsidRPr="00612E51" w:rsidRDefault="0099088D" w:rsidP="0099088D">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000000" w:fill="auto"/>
            <w:hideMark/>
          </w:tcPr>
          <w:p w14:paraId="23C242C7" w14:textId="77777777" w:rsidR="0099088D" w:rsidRPr="00612E51" w:rsidRDefault="0099088D" w:rsidP="0099088D">
            <w:pPr>
              <w:jc w:val="center"/>
              <w:rPr>
                <w:color w:val="000000"/>
              </w:rPr>
            </w:pPr>
            <w:r w:rsidRPr="00612E51">
              <w:rPr>
                <w:color w:val="000000"/>
              </w:rPr>
              <w:t>2 625 106</w:t>
            </w:r>
          </w:p>
        </w:tc>
      </w:tr>
      <w:tr w:rsidR="0099088D" w:rsidRPr="00612E51" w14:paraId="7C0A5FD8" w14:textId="77777777" w:rsidTr="0099088D">
        <w:trPr>
          <w:trHeight w:val="288"/>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F8FEF4" w14:textId="77777777" w:rsidR="0099088D" w:rsidRPr="00612E51" w:rsidRDefault="0099088D" w:rsidP="0099088D">
            <w:pPr>
              <w:jc w:val="center"/>
              <w:rPr>
                <w:color w:val="000000"/>
              </w:rPr>
            </w:pPr>
            <w:r w:rsidRPr="00612E51">
              <w:rPr>
                <w:color w:val="000000"/>
              </w:rPr>
              <w:t>2.1.4.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59968D" w14:textId="77777777" w:rsidR="0099088D" w:rsidRPr="00612E51" w:rsidRDefault="0099088D" w:rsidP="0099088D">
            <w:pPr>
              <w:rPr>
                <w:color w:val="000000"/>
              </w:rPr>
            </w:pPr>
            <w:r w:rsidRPr="00612E51">
              <w:rPr>
                <w:color w:val="000000"/>
              </w:rPr>
              <w:t>159-218 мм</w:t>
            </w:r>
          </w:p>
        </w:tc>
        <w:tc>
          <w:tcPr>
            <w:tcW w:w="1775" w:type="dxa"/>
            <w:vMerge/>
            <w:tcBorders>
              <w:left w:val="single" w:sz="4" w:space="0" w:color="auto"/>
              <w:right w:val="single" w:sz="4" w:space="0" w:color="auto"/>
            </w:tcBorders>
            <w:vAlign w:val="center"/>
            <w:hideMark/>
          </w:tcPr>
          <w:p w14:paraId="65F19D1A" w14:textId="77777777" w:rsidR="0099088D" w:rsidRPr="00612E51" w:rsidRDefault="0099088D" w:rsidP="0099088D">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000000" w:fill="auto"/>
            <w:hideMark/>
          </w:tcPr>
          <w:p w14:paraId="0124CE48" w14:textId="77777777" w:rsidR="0099088D" w:rsidRPr="00612E51" w:rsidRDefault="0099088D" w:rsidP="0099088D">
            <w:pPr>
              <w:jc w:val="center"/>
              <w:rPr>
                <w:color w:val="000000"/>
              </w:rPr>
            </w:pPr>
            <w:r w:rsidRPr="00612E51">
              <w:rPr>
                <w:color w:val="000000"/>
              </w:rPr>
              <w:t>3 520 815</w:t>
            </w:r>
          </w:p>
        </w:tc>
      </w:tr>
      <w:tr w:rsidR="0099088D" w:rsidRPr="00612E51" w14:paraId="5AC3833C" w14:textId="77777777" w:rsidTr="0099088D">
        <w:trPr>
          <w:trHeight w:val="288"/>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0BCA72" w14:textId="77777777" w:rsidR="0099088D" w:rsidRPr="00612E51" w:rsidRDefault="0099088D" w:rsidP="0099088D">
            <w:pPr>
              <w:jc w:val="center"/>
              <w:rPr>
                <w:color w:val="000000"/>
              </w:rPr>
            </w:pPr>
            <w:r w:rsidRPr="00612E51">
              <w:rPr>
                <w:color w:val="000000"/>
              </w:rPr>
              <w:t>2.1.5.</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6248DD" w14:textId="77777777" w:rsidR="0099088D" w:rsidRPr="00612E51" w:rsidRDefault="0099088D" w:rsidP="0099088D">
            <w:pPr>
              <w:rPr>
                <w:color w:val="000000"/>
              </w:rPr>
            </w:pPr>
            <w:r w:rsidRPr="00612E51">
              <w:rPr>
                <w:color w:val="000000"/>
              </w:rPr>
              <w:t>219-272 мм</w:t>
            </w:r>
          </w:p>
        </w:tc>
        <w:tc>
          <w:tcPr>
            <w:tcW w:w="1775" w:type="dxa"/>
            <w:vMerge/>
            <w:tcBorders>
              <w:left w:val="single" w:sz="4" w:space="0" w:color="auto"/>
              <w:right w:val="single" w:sz="4" w:space="0" w:color="auto"/>
            </w:tcBorders>
            <w:vAlign w:val="center"/>
            <w:hideMark/>
          </w:tcPr>
          <w:p w14:paraId="75920AC4" w14:textId="77777777" w:rsidR="0099088D" w:rsidRPr="00612E51" w:rsidRDefault="0099088D" w:rsidP="0099088D">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000000" w:fill="auto"/>
            <w:hideMark/>
          </w:tcPr>
          <w:p w14:paraId="7EB40227" w14:textId="77777777" w:rsidR="0099088D" w:rsidRPr="00612E51" w:rsidRDefault="0099088D" w:rsidP="0099088D">
            <w:pPr>
              <w:jc w:val="center"/>
              <w:rPr>
                <w:color w:val="000000"/>
              </w:rPr>
            </w:pPr>
            <w:r w:rsidRPr="00612E51">
              <w:rPr>
                <w:color w:val="000000"/>
              </w:rPr>
              <w:t>4 801 359</w:t>
            </w:r>
          </w:p>
        </w:tc>
      </w:tr>
      <w:tr w:rsidR="0099088D" w:rsidRPr="00612E51" w14:paraId="056A473A" w14:textId="77777777" w:rsidTr="0099088D">
        <w:trPr>
          <w:trHeight w:val="288"/>
        </w:trPr>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198E7263" w14:textId="77777777" w:rsidR="0099088D" w:rsidRPr="00612E51" w:rsidRDefault="0099088D" w:rsidP="0099088D">
            <w:pPr>
              <w:jc w:val="center"/>
              <w:rPr>
                <w:sz w:val="20"/>
                <w:szCs w:val="20"/>
              </w:rPr>
            </w:pPr>
            <w:r w:rsidRPr="00612E51">
              <w:rPr>
                <w:color w:val="000000"/>
              </w:rPr>
              <w:t>2.1.6.</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C6EE6D" w14:textId="77777777" w:rsidR="0099088D" w:rsidRPr="00612E51" w:rsidRDefault="0099088D" w:rsidP="0099088D">
            <w:pPr>
              <w:rPr>
                <w:color w:val="000000"/>
              </w:rPr>
            </w:pPr>
            <w:r w:rsidRPr="00612E51">
              <w:rPr>
                <w:color w:val="000000"/>
              </w:rPr>
              <w:t>273-324 мм</w:t>
            </w:r>
          </w:p>
        </w:tc>
        <w:tc>
          <w:tcPr>
            <w:tcW w:w="1775" w:type="dxa"/>
            <w:vMerge/>
            <w:tcBorders>
              <w:left w:val="single" w:sz="4" w:space="0" w:color="auto"/>
              <w:right w:val="single" w:sz="4" w:space="0" w:color="auto"/>
            </w:tcBorders>
            <w:vAlign w:val="center"/>
            <w:hideMark/>
          </w:tcPr>
          <w:p w14:paraId="52B57063" w14:textId="77777777" w:rsidR="0099088D" w:rsidRPr="00612E51" w:rsidRDefault="0099088D" w:rsidP="0099088D">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000000" w:fill="auto"/>
            <w:hideMark/>
          </w:tcPr>
          <w:p w14:paraId="15A566ED" w14:textId="77777777" w:rsidR="0099088D" w:rsidRPr="00612E51" w:rsidRDefault="0099088D" w:rsidP="0099088D">
            <w:pPr>
              <w:jc w:val="center"/>
              <w:rPr>
                <w:color w:val="000000"/>
              </w:rPr>
            </w:pPr>
            <w:r w:rsidRPr="00612E51">
              <w:rPr>
                <w:color w:val="000000"/>
              </w:rPr>
              <w:t>5 788 418</w:t>
            </w:r>
          </w:p>
        </w:tc>
      </w:tr>
      <w:tr w:rsidR="0099088D" w:rsidRPr="00612E51" w14:paraId="418A121D" w14:textId="77777777" w:rsidTr="0099088D">
        <w:trPr>
          <w:trHeight w:val="288"/>
        </w:trPr>
        <w:tc>
          <w:tcPr>
            <w:tcW w:w="1297" w:type="dxa"/>
            <w:tcBorders>
              <w:top w:val="single" w:sz="4" w:space="0" w:color="auto"/>
              <w:left w:val="single" w:sz="4" w:space="0" w:color="auto"/>
              <w:bottom w:val="single" w:sz="4" w:space="0" w:color="auto"/>
              <w:right w:val="single" w:sz="4" w:space="0" w:color="auto"/>
            </w:tcBorders>
            <w:shd w:val="clear" w:color="auto" w:fill="auto"/>
          </w:tcPr>
          <w:p w14:paraId="593B273A" w14:textId="77777777" w:rsidR="0099088D" w:rsidRPr="00612E51" w:rsidRDefault="0099088D" w:rsidP="0099088D">
            <w:pPr>
              <w:jc w:val="center"/>
              <w:rPr>
                <w:sz w:val="20"/>
                <w:szCs w:val="20"/>
              </w:rPr>
            </w:pPr>
            <w:r w:rsidRPr="00612E51">
              <w:rPr>
                <w:color w:val="000000"/>
              </w:rPr>
              <w:t>2.1.7.</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4D5CCDE3" w14:textId="77777777" w:rsidR="0099088D" w:rsidRPr="00612E51" w:rsidRDefault="0099088D" w:rsidP="0099088D">
            <w:pPr>
              <w:rPr>
                <w:color w:val="000000"/>
              </w:rPr>
            </w:pPr>
            <w:r w:rsidRPr="00612E51">
              <w:rPr>
                <w:color w:val="000000"/>
              </w:rPr>
              <w:t>325-425 мм</w:t>
            </w:r>
          </w:p>
        </w:tc>
        <w:tc>
          <w:tcPr>
            <w:tcW w:w="1775" w:type="dxa"/>
            <w:vMerge/>
            <w:tcBorders>
              <w:left w:val="single" w:sz="4" w:space="0" w:color="auto"/>
              <w:right w:val="single" w:sz="4" w:space="0" w:color="auto"/>
            </w:tcBorders>
            <w:vAlign w:val="center"/>
          </w:tcPr>
          <w:p w14:paraId="7C5353EE" w14:textId="77777777" w:rsidR="0099088D" w:rsidRPr="00612E51" w:rsidRDefault="0099088D" w:rsidP="0099088D">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000000" w:fill="auto"/>
          </w:tcPr>
          <w:p w14:paraId="23C7C2D4" w14:textId="77777777" w:rsidR="0099088D" w:rsidRPr="00612E51" w:rsidRDefault="0099088D" w:rsidP="0099088D">
            <w:pPr>
              <w:jc w:val="center"/>
              <w:rPr>
                <w:color w:val="000000"/>
              </w:rPr>
            </w:pPr>
            <w:r w:rsidRPr="00612E51">
              <w:rPr>
                <w:color w:val="000000"/>
              </w:rPr>
              <w:t>7 023 977</w:t>
            </w:r>
          </w:p>
        </w:tc>
      </w:tr>
      <w:tr w:rsidR="0099088D" w:rsidRPr="00612E51" w14:paraId="005C462D" w14:textId="77777777" w:rsidTr="0099088D">
        <w:trPr>
          <w:trHeight w:val="288"/>
        </w:trPr>
        <w:tc>
          <w:tcPr>
            <w:tcW w:w="1297" w:type="dxa"/>
            <w:tcBorders>
              <w:top w:val="single" w:sz="4" w:space="0" w:color="auto"/>
              <w:left w:val="single" w:sz="4" w:space="0" w:color="auto"/>
              <w:bottom w:val="single" w:sz="4" w:space="0" w:color="auto"/>
              <w:right w:val="single" w:sz="4" w:space="0" w:color="auto"/>
            </w:tcBorders>
            <w:shd w:val="clear" w:color="auto" w:fill="auto"/>
          </w:tcPr>
          <w:p w14:paraId="68E5A6DE" w14:textId="77777777" w:rsidR="0099088D" w:rsidRPr="00612E51" w:rsidRDefault="0099088D" w:rsidP="0099088D">
            <w:pPr>
              <w:jc w:val="center"/>
              <w:rPr>
                <w:sz w:val="20"/>
                <w:szCs w:val="20"/>
              </w:rPr>
            </w:pPr>
            <w:r w:rsidRPr="00612E51">
              <w:rPr>
                <w:color w:val="000000"/>
              </w:rPr>
              <w:t>2.1.8.</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4D3F85AA" w14:textId="77777777" w:rsidR="0099088D" w:rsidRPr="00612E51" w:rsidRDefault="0099088D" w:rsidP="0099088D">
            <w:pPr>
              <w:rPr>
                <w:color w:val="000000"/>
              </w:rPr>
            </w:pPr>
            <w:r w:rsidRPr="00612E51">
              <w:rPr>
                <w:color w:val="000000"/>
              </w:rPr>
              <w:t>426-529 мм</w:t>
            </w:r>
          </w:p>
        </w:tc>
        <w:tc>
          <w:tcPr>
            <w:tcW w:w="1775" w:type="dxa"/>
            <w:vMerge/>
            <w:tcBorders>
              <w:left w:val="single" w:sz="4" w:space="0" w:color="auto"/>
              <w:right w:val="single" w:sz="4" w:space="0" w:color="auto"/>
            </w:tcBorders>
            <w:vAlign w:val="center"/>
          </w:tcPr>
          <w:p w14:paraId="18F79DA2" w14:textId="77777777" w:rsidR="0099088D" w:rsidRPr="00612E51" w:rsidRDefault="0099088D" w:rsidP="0099088D">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000000" w:fill="auto"/>
          </w:tcPr>
          <w:p w14:paraId="6E66FF47" w14:textId="77777777" w:rsidR="0099088D" w:rsidRPr="00612E51" w:rsidRDefault="0099088D" w:rsidP="0099088D">
            <w:pPr>
              <w:jc w:val="center"/>
              <w:rPr>
                <w:color w:val="000000"/>
              </w:rPr>
            </w:pPr>
            <w:r w:rsidRPr="00612E51">
              <w:rPr>
                <w:color w:val="000000"/>
              </w:rPr>
              <w:t>8 746 133</w:t>
            </w:r>
          </w:p>
        </w:tc>
      </w:tr>
      <w:tr w:rsidR="0099088D" w:rsidRPr="00612E51" w14:paraId="0FAC5DFD" w14:textId="77777777" w:rsidTr="0099088D">
        <w:trPr>
          <w:trHeight w:val="288"/>
        </w:trPr>
        <w:tc>
          <w:tcPr>
            <w:tcW w:w="1297" w:type="dxa"/>
            <w:tcBorders>
              <w:top w:val="single" w:sz="4" w:space="0" w:color="auto"/>
              <w:left w:val="single" w:sz="4" w:space="0" w:color="auto"/>
              <w:bottom w:val="single" w:sz="4" w:space="0" w:color="auto"/>
              <w:right w:val="single" w:sz="4" w:space="0" w:color="auto"/>
            </w:tcBorders>
            <w:shd w:val="clear" w:color="auto" w:fill="auto"/>
          </w:tcPr>
          <w:p w14:paraId="6EFCD7BB" w14:textId="77777777" w:rsidR="0099088D" w:rsidRPr="00612E51" w:rsidRDefault="0099088D" w:rsidP="0099088D">
            <w:pPr>
              <w:jc w:val="center"/>
              <w:rPr>
                <w:sz w:val="20"/>
                <w:szCs w:val="20"/>
              </w:rPr>
            </w:pPr>
            <w:r w:rsidRPr="00612E51">
              <w:rPr>
                <w:color w:val="000000"/>
              </w:rPr>
              <w:t>2.1.9.</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74ED014A" w14:textId="77777777" w:rsidR="0099088D" w:rsidRPr="00612E51" w:rsidRDefault="0099088D" w:rsidP="0099088D">
            <w:pPr>
              <w:rPr>
                <w:color w:val="000000"/>
              </w:rPr>
            </w:pPr>
            <w:r w:rsidRPr="00612E51">
              <w:rPr>
                <w:color w:val="000000"/>
              </w:rPr>
              <w:t>530 мм и выше</w:t>
            </w:r>
          </w:p>
        </w:tc>
        <w:tc>
          <w:tcPr>
            <w:tcW w:w="1775" w:type="dxa"/>
            <w:vMerge/>
            <w:tcBorders>
              <w:left w:val="single" w:sz="4" w:space="0" w:color="auto"/>
              <w:bottom w:val="single" w:sz="4" w:space="0" w:color="auto"/>
              <w:right w:val="single" w:sz="4" w:space="0" w:color="auto"/>
            </w:tcBorders>
            <w:vAlign w:val="center"/>
          </w:tcPr>
          <w:p w14:paraId="435772BD" w14:textId="77777777" w:rsidR="0099088D" w:rsidRPr="00612E51" w:rsidRDefault="0099088D" w:rsidP="0099088D">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000000" w:fill="auto"/>
          </w:tcPr>
          <w:p w14:paraId="0CD98412" w14:textId="77777777" w:rsidR="0099088D" w:rsidRPr="00612E51" w:rsidRDefault="0099088D" w:rsidP="0099088D">
            <w:pPr>
              <w:jc w:val="center"/>
              <w:rPr>
                <w:color w:val="000000"/>
              </w:rPr>
            </w:pPr>
            <w:r w:rsidRPr="00612E51">
              <w:rPr>
                <w:color w:val="000000"/>
              </w:rPr>
              <w:t>11 753 654</w:t>
            </w:r>
          </w:p>
        </w:tc>
      </w:tr>
      <w:tr w:rsidR="0099088D" w:rsidRPr="00612E51" w14:paraId="5AF6B86C" w14:textId="77777777" w:rsidTr="0099088D">
        <w:trPr>
          <w:trHeight w:val="254"/>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9E7645" w14:textId="77777777" w:rsidR="0099088D" w:rsidRPr="00612E51" w:rsidRDefault="0099088D" w:rsidP="0099088D">
            <w:pPr>
              <w:jc w:val="center"/>
              <w:rPr>
                <w:color w:val="000000"/>
              </w:rPr>
            </w:pPr>
            <w:r w:rsidRPr="00612E51">
              <w:rPr>
                <w:color w:val="000000"/>
              </w:rPr>
              <w:t>2.2.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42C1A37" w14:textId="77777777" w:rsidR="0099088D" w:rsidRPr="00612E51" w:rsidRDefault="0099088D" w:rsidP="0099088D">
            <w:pPr>
              <w:rPr>
                <w:color w:val="000000"/>
              </w:rPr>
            </w:pPr>
            <w:r w:rsidRPr="00612E51">
              <w:rPr>
                <w:color w:val="000000"/>
              </w:rPr>
              <w:t>подземного способа прокладки, наружным диаметром:</w:t>
            </w:r>
          </w:p>
        </w:tc>
      </w:tr>
      <w:tr w:rsidR="0099088D" w:rsidRPr="00612E51" w14:paraId="0EA32B99" w14:textId="77777777" w:rsidTr="0099088D">
        <w:trPr>
          <w:trHeight w:val="264"/>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460DFE98" w14:textId="77777777" w:rsidR="0099088D" w:rsidRPr="00612E51" w:rsidRDefault="0099088D" w:rsidP="0099088D">
            <w:pPr>
              <w:jc w:val="center"/>
              <w:rPr>
                <w:color w:val="000000"/>
              </w:rPr>
            </w:pPr>
            <w:r w:rsidRPr="00612E51">
              <w:rPr>
                <w:color w:val="000000"/>
              </w:rPr>
              <w:t>2.2.1.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21ECF49F" w14:textId="77777777" w:rsidR="0099088D" w:rsidRPr="00612E51" w:rsidRDefault="0099088D" w:rsidP="0099088D">
            <w:pPr>
              <w:rPr>
                <w:color w:val="000000"/>
              </w:rPr>
            </w:pPr>
            <w:r w:rsidRPr="00612E51">
              <w:rPr>
                <w:color w:val="000000"/>
              </w:rPr>
              <w:t>50 мм и менее</w:t>
            </w:r>
          </w:p>
        </w:tc>
        <w:tc>
          <w:tcPr>
            <w:tcW w:w="1775" w:type="dxa"/>
            <w:vMerge w:val="restart"/>
            <w:tcBorders>
              <w:top w:val="single" w:sz="4" w:space="0" w:color="auto"/>
              <w:left w:val="single" w:sz="4" w:space="0" w:color="auto"/>
              <w:right w:val="single" w:sz="4" w:space="0" w:color="auto"/>
            </w:tcBorders>
            <w:vAlign w:val="center"/>
          </w:tcPr>
          <w:p w14:paraId="1A7144B7" w14:textId="77777777" w:rsidR="0099088D" w:rsidRPr="00612E51" w:rsidRDefault="0099088D" w:rsidP="0099088D">
            <w:pPr>
              <w:jc w:val="center"/>
              <w:rPr>
                <w:color w:val="000000"/>
              </w:rPr>
            </w:pPr>
            <w:r w:rsidRPr="00612E51">
              <w:rPr>
                <w:color w:val="000000"/>
              </w:rPr>
              <w:t>руб./км</w:t>
            </w:r>
          </w:p>
        </w:tc>
        <w:tc>
          <w:tcPr>
            <w:tcW w:w="2466" w:type="dxa"/>
            <w:tcBorders>
              <w:top w:val="single" w:sz="4" w:space="0" w:color="auto"/>
              <w:left w:val="nil"/>
              <w:bottom w:val="single" w:sz="4" w:space="0" w:color="auto"/>
              <w:right w:val="single" w:sz="4" w:space="0" w:color="auto"/>
            </w:tcBorders>
            <w:shd w:val="clear" w:color="auto" w:fill="auto"/>
            <w:vAlign w:val="center"/>
          </w:tcPr>
          <w:p w14:paraId="0665E8DD" w14:textId="77777777" w:rsidR="0099088D" w:rsidRPr="00612E51" w:rsidRDefault="0099088D" w:rsidP="0099088D">
            <w:pPr>
              <w:jc w:val="center"/>
              <w:rPr>
                <w:color w:val="000000"/>
              </w:rPr>
            </w:pPr>
            <w:r w:rsidRPr="00612E51">
              <w:rPr>
                <w:color w:val="000000"/>
              </w:rPr>
              <w:t>3 507 926</w:t>
            </w:r>
          </w:p>
        </w:tc>
      </w:tr>
      <w:tr w:rsidR="0099088D" w:rsidRPr="00612E51" w14:paraId="05E23658" w14:textId="77777777" w:rsidTr="0099088D">
        <w:trPr>
          <w:trHeight w:val="264"/>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CC40BC" w14:textId="77777777" w:rsidR="0099088D" w:rsidRPr="00612E51" w:rsidRDefault="0099088D" w:rsidP="0099088D">
            <w:pPr>
              <w:jc w:val="center"/>
              <w:rPr>
                <w:color w:val="000000"/>
              </w:rPr>
            </w:pPr>
            <w:r w:rsidRPr="00612E51">
              <w:rPr>
                <w:color w:val="000000"/>
              </w:rPr>
              <w:t>2.2.2.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C2FF5" w14:textId="77777777" w:rsidR="0099088D" w:rsidRPr="00612E51" w:rsidRDefault="0099088D" w:rsidP="0099088D">
            <w:pPr>
              <w:rPr>
                <w:color w:val="000000"/>
              </w:rPr>
            </w:pPr>
            <w:r w:rsidRPr="00612E51">
              <w:rPr>
                <w:color w:val="000000"/>
              </w:rPr>
              <w:t>51-100 мм</w:t>
            </w:r>
          </w:p>
        </w:tc>
        <w:tc>
          <w:tcPr>
            <w:tcW w:w="1775" w:type="dxa"/>
            <w:vMerge/>
            <w:tcBorders>
              <w:left w:val="single" w:sz="4" w:space="0" w:color="auto"/>
              <w:right w:val="single" w:sz="4" w:space="0" w:color="auto"/>
            </w:tcBorders>
            <w:vAlign w:val="center"/>
            <w:hideMark/>
          </w:tcPr>
          <w:p w14:paraId="7C28A4AA" w14:textId="77777777" w:rsidR="0099088D" w:rsidRPr="00612E51" w:rsidRDefault="0099088D" w:rsidP="0099088D">
            <w:pPr>
              <w:jc w:val="cente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3E4205B8" w14:textId="77777777" w:rsidR="0099088D" w:rsidRPr="00612E51" w:rsidRDefault="0099088D" w:rsidP="0099088D">
            <w:pPr>
              <w:jc w:val="center"/>
              <w:rPr>
                <w:color w:val="000000"/>
              </w:rPr>
            </w:pPr>
            <w:r w:rsidRPr="00612E51">
              <w:rPr>
                <w:color w:val="000000"/>
              </w:rPr>
              <w:t>3 507 926</w:t>
            </w:r>
          </w:p>
        </w:tc>
      </w:tr>
      <w:tr w:rsidR="0099088D" w:rsidRPr="00612E51" w14:paraId="19E7F743" w14:textId="77777777" w:rsidTr="0099088D">
        <w:trPr>
          <w:trHeight w:val="264"/>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4B80EB" w14:textId="77777777" w:rsidR="0099088D" w:rsidRPr="00612E51" w:rsidRDefault="0099088D" w:rsidP="0099088D">
            <w:pPr>
              <w:jc w:val="center"/>
              <w:rPr>
                <w:color w:val="000000"/>
              </w:rPr>
            </w:pPr>
            <w:r w:rsidRPr="00612E51">
              <w:rPr>
                <w:color w:val="000000"/>
              </w:rPr>
              <w:t>2.2.3.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DA4FE" w14:textId="77777777" w:rsidR="0099088D" w:rsidRPr="00612E51" w:rsidRDefault="0099088D" w:rsidP="0099088D">
            <w:pPr>
              <w:rPr>
                <w:color w:val="000000"/>
              </w:rPr>
            </w:pPr>
            <w:r w:rsidRPr="00612E51">
              <w:rPr>
                <w:color w:val="000000"/>
              </w:rPr>
              <w:t>101-158 мм</w:t>
            </w:r>
          </w:p>
        </w:tc>
        <w:tc>
          <w:tcPr>
            <w:tcW w:w="1775" w:type="dxa"/>
            <w:vMerge/>
            <w:tcBorders>
              <w:left w:val="single" w:sz="4" w:space="0" w:color="auto"/>
              <w:right w:val="single" w:sz="4" w:space="0" w:color="auto"/>
            </w:tcBorders>
            <w:vAlign w:val="center"/>
            <w:hideMark/>
          </w:tcPr>
          <w:p w14:paraId="7BCF7425" w14:textId="77777777" w:rsidR="0099088D" w:rsidRPr="00612E51"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60A7A168" w14:textId="77777777" w:rsidR="0099088D" w:rsidRPr="00612E51" w:rsidRDefault="0099088D" w:rsidP="0099088D">
            <w:pPr>
              <w:jc w:val="center"/>
              <w:rPr>
                <w:color w:val="000000"/>
              </w:rPr>
            </w:pPr>
            <w:r w:rsidRPr="00612E51">
              <w:rPr>
                <w:color w:val="000000"/>
              </w:rPr>
              <w:t>3 507 926</w:t>
            </w:r>
          </w:p>
        </w:tc>
      </w:tr>
      <w:tr w:rsidR="0099088D" w:rsidRPr="00612E51" w14:paraId="74E84ECE" w14:textId="77777777" w:rsidTr="0099088D">
        <w:trPr>
          <w:trHeight w:val="264"/>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058F11" w14:textId="77777777" w:rsidR="0099088D" w:rsidRPr="00612E51" w:rsidRDefault="0099088D" w:rsidP="0099088D">
            <w:pPr>
              <w:jc w:val="center"/>
              <w:rPr>
                <w:color w:val="000000"/>
              </w:rPr>
            </w:pPr>
            <w:r w:rsidRPr="00612E51">
              <w:rPr>
                <w:color w:val="000000"/>
              </w:rPr>
              <w:t>2.2.4.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4E7530" w14:textId="77777777" w:rsidR="0099088D" w:rsidRPr="00612E51" w:rsidRDefault="0099088D" w:rsidP="0099088D">
            <w:pPr>
              <w:rPr>
                <w:color w:val="000000"/>
              </w:rPr>
            </w:pPr>
            <w:r w:rsidRPr="00612E51">
              <w:rPr>
                <w:color w:val="000000"/>
              </w:rPr>
              <w:t>159-218 мм</w:t>
            </w:r>
          </w:p>
        </w:tc>
        <w:tc>
          <w:tcPr>
            <w:tcW w:w="1775" w:type="dxa"/>
            <w:vMerge/>
            <w:tcBorders>
              <w:left w:val="single" w:sz="4" w:space="0" w:color="auto"/>
              <w:right w:val="single" w:sz="4" w:space="0" w:color="auto"/>
            </w:tcBorders>
            <w:vAlign w:val="center"/>
            <w:hideMark/>
          </w:tcPr>
          <w:p w14:paraId="57F28F92" w14:textId="77777777" w:rsidR="0099088D" w:rsidRPr="00612E51"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0F7ACBC7" w14:textId="77777777" w:rsidR="0099088D" w:rsidRPr="00612E51" w:rsidRDefault="0099088D" w:rsidP="0099088D">
            <w:pPr>
              <w:jc w:val="center"/>
              <w:rPr>
                <w:color w:val="000000"/>
              </w:rPr>
            </w:pPr>
            <w:r w:rsidRPr="00612E51">
              <w:rPr>
                <w:color w:val="000000"/>
              </w:rPr>
              <w:t>4 147 498</w:t>
            </w:r>
          </w:p>
        </w:tc>
      </w:tr>
      <w:tr w:rsidR="0099088D" w:rsidRPr="00612E51" w14:paraId="53571096" w14:textId="77777777" w:rsidTr="0099088D">
        <w:trPr>
          <w:trHeight w:val="264"/>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2439E9" w14:textId="77777777" w:rsidR="0099088D" w:rsidRPr="00612E51" w:rsidRDefault="0099088D" w:rsidP="0099088D">
            <w:pPr>
              <w:jc w:val="center"/>
              <w:rPr>
                <w:color w:val="000000"/>
              </w:rPr>
            </w:pPr>
            <w:r w:rsidRPr="00612E51">
              <w:rPr>
                <w:color w:val="000000"/>
              </w:rPr>
              <w:t>2.2.5.</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CE69E5" w14:textId="77777777" w:rsidR="0099088D" w:rsidRPr="00612E51" w:rsidRDefault="0099088D" w:rsidP="0099088D">
            <w:pPr>
              <w:rPr>
                <w:color w:val="000000"/>
              </w:rPr>
            </w:pPr>
            <w:r w:rsidRPr="00612E51">
              <w:rPr>
                <w:color w:val="000000"/>
              </w:rPr>
              <w:t>219-272 мм</w:t>
            </w:r>
          </w:p>
        </w:tc>
        <w:tc>
          <w:tcPr>
            <w:tcW w:w="1775" w:type="dxa"/>
            <w:vMerge/>
            <w:tcBorders>
              <w:left w:val="single" w:sz="4" w:space="0" w:color="auto"/>
              <w:right w:val="single" w:sz="4" w:space="0" w:color="auto"/>
            </w:tcBorders>
            <w:vAlign w:val="center"/>
            <w:hideMark/>
          </w:tcPr>
          <w:p w14:paraId="38C1769F" w14:textId="77777777" w:rsidR="0099088D" w:rsidRPr="00612E51"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70F0721F" w14:textId="77777777" w:rsidR="0099088D" w:rsidRPr="00612E51" w:rsidRDefault="0099088D" w:rsidP="0099088D">
            <w:pPr>
              <w:jc w:val="center"/>
              <w:rPr>
                <w:color w:val="000000"/>
              </w:rPr>
            </w:pPr>
            <w:r w:rsidRPr="00612E51">
              <w:rPr>
                <w:color w:val="000000"/>
              </w:rPr>
              <w:t>5 572 910</w:t>
            </w:r>
          </w:p>
        </w:tc>
      </w:tr>
      <w:tr w:rsidR="0099088D" w:rsidRPr="00612E51" w14:paraId="79724481" w14:textId="77777777" w:rsidTr="0099088D">
        <w:trPr>
          <w:trHeight w:val="264"/>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24381D" w14:textId="77777777" w:rsidR="0099088D" w:rsidRPr="00612E51" w:rsidRDefault="0099088D" w:rsidP="0099088D">
            <w:pPr>
              <w:jc w:val="center"/>
              <w:rPr>
                <w:color w:val="000000"/>
              </w:rPr>
            </w:pPr>
            <w:r w:rsidRPr="00612E51">
              <w:rPr>
                <w:color w:val="000000"/>
              </w:rPr>
              <w:t>2.2.6.</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898068" w14:textId="77777777" w:rsidR="0099088D" w:rsidRPr="00612E51" w:rsidRDefault="0099088D" w:rsidP="0099088D">
            <w:pPr>
              <w:rPr>
                <w:color w:val="000000"/>
              </w:rPr>
            </w:pPr>
            <w:r w:rsidRPr="00612E51">
              <w:rPr>
                <w:color w:val="000000"/>
              </w:rPr>
              <w:t>273-324 мм</w:t>
            </w:r>
          </w:p>
        </w:tc>
        <w:tc>
          <w:tcPr>
            <w:tcW w:w="1775" w:type="dxa"/>
            <w:vMerge/>
            <w:tcBorders>
              <w:left w:val="single" w:sz="4" w:space="0" w:color="auto"/>
              <w:right w:val="single" w:sz="4" w:space="0" w:color="auto"/>
            </w:tcBorders>
            <w:vAlign w:val="center"/>
            <w:hideMark/>
          </w:tcPr>
          <w:p w14:paraId="5C1007BF" w14:textId="77777777" w:rsidR="0099088D" w:rsidRPr="00612E51"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6E060ECA" w14:textId="77777777" w:rsidR="0099088D" w:rsidRPr="00612E51" w:rsidRDefault="0099088D" w:rsidP="0099088D">
            <w:pPr>
              <w:jc w:val="center"/>
              <w:rPr>
                <w:color w:val="000000"/>
              </w:rPr>
            </w:pPr>
            <w:r w:rsidRPr="00612E51">
              <w:rPr>
                <w:color w:val="000000"/>
              </w:rPr>
              <w:t>6 312 276</w:t>
            </w:r>
          </w:p>
        </w:tc>
      </w:tr>
      <w:tr w:rsidR="0099088D" w:rsidRPr="00612E51" w14:paraId="0C558F43" w14:textId="77777777" w:rsidTr="0099088D">
        <w:trPr>
          <w:trHeight w:val="264"/>
        </w:trPr>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2FBB0313" w14:textId="77777777" w:rsidR="0099088D" w:rsidRPr="00612E51" w:rsidRDefault="0099088D" w:rsidP="0099088D">
            <w:pPr>
              <w:jc w:val="center"/>
              <w:rPr>
                <w:sz w:val="20"/>
                <w:szCs w:val="20"/>
              </w:rPr>
            </w:pPr>
            <w:r w:rsidRPr="00612E51">
              <w:rPr>
                <w:color w:val="000000"/>
              </w:rPr>
              <w:t>2.2.7.</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71AD45" w14:textId="77777777" w:rsidR="0099088D" w:rsidRPr="00612E51" w:rsidRDefault="0099088D" w:rsidP="0099088D">
            <w:pPr>
              <w:rPr>
                <w:color w:val="000000"/>
              </w:rPr>
            </w:pPr>
            <w:r w:rsidRPr="00612E51">
              <w:rPr>
                <w:color w:val="000000"/>
              </w:rPr>
              <w:t>325-425 мм</w:t>
            </w:r>
          </w:p>
        </w:tc>
        <w:tc>
          <w:tcPr>
            <w:tcW w:w="1775" w:type="dxa"/>
            <w:vMerge/>
            <w:tcBorders>
              <w:left w:val="single" w:sz="4" w:space="0" w:color="auto"/>
              <w:right w:val="single" w:sz="4" w:space="0" w:color="auto"/>
            </w:tcBorders>
            <w:vAlign w:val="center"/>
            <w:hideMark/>
          </w:tcPr>
          <w:p w14:paraId="081100D8" w14:textId="77777777" w:rsidR="0099088D" w:rsidRPr="00612E51"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0F5A0A9B" w14:textId="77777777" w:rsidR="0099088D" w:rsidRPr="00612E51" w:rsidRDefault="0099088D" w:rsidP="0099088D">
            <w:pPr>
              <w:jc w:val="center"/>
              <w:rPr>
                <w:color w:val="000000"/>
              </w:rPr>
            </w:pPr>
            <w:r w:rsidRPr="00612E51">
              <w:rPr>
                <w:color w:val="000000"/>
              </w:rPr>
              <w:t>7 967 075</w:t>
            </w:r>
          </w:p>
        </w:tc>
      </w:tr>
      <w:tr w:rsidR="0099088D" w:rsidRPr="00612E51" w14:paraId="66FBD9BD" w14:textId="77777777" w:rsidTr="0099088D">
        <w:trPr>
          <w:trHeight w:val="264"/>
        </w:trPr>
        <w:tc>
          <w:tcPr>
            <w:tcW w:w="1297" w:type="dxa"/>
            <w:tcBorders>
              <w:top w:val="single" w:sz="4" w:space="0" w:color="auto"/>
              <w:left w:val="single" w:sz="4" w:space="0" w:color="auto"/>
              <w:bottom w:val="single" w:sz="4" w:space="0" w:color="auto"/>
              <w:right w:val="single" w:sz="4" w:space="0" w:color="auto"/>
            </w:tcBorders>
            <w:shd w:val="clear" w:color="auto" w:fill="auto"/>
          </w:tcPr>
          <w:p w14:paraId="4965C499" w14:textId="77777777" w:rsidR="0099088D" w:rsidRPr="00612E51" w:rsidRDefault="0099088D" w:rsidP="0099088D">
            <w:pPr>
              <w:jc w:val="center"/>
              <w:rPr>
                <w:sz w:val="20"/>
                <w:szCs w:val="20"/>
              </w:rPr>
            </w:pPr>
            <w:r w:rsidRPr="00612E51">
              <w:rPr>
                <w:color w:val="000000"/>
              </w:rPr>
              <w:t>2.2.8.</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6033F174" w14:textId="77777777" w:rsidR="0099088D" w:rsidRPr="00612E51" w:rsidRDefault="0099088D" w:rsidP="0099088D">
            <w:pPr>
              <w:rPr>
                <w:color w:val="000000"/>
              </w:rPr>
            </w:pPr>
            <w:r w:rsidRPr="00612E51">
              <w:rPr>
                <w:color w:val="000000"/>
              </w:rPr>
              <w:t>426-529 мм</w:t>
            </w:r>
          </w:p>
        </w:tc>
        <w:tc>
          <w:tcPr>
            <w:tcW w:w="1775" w:type="dxa"/>
            <w:vMerge/>
            <w:tcBorders>
              <w:left w:val="single" w:sz="4" w:space="0" w:color="auto"/>
              <w:right w:val="single" w:sz="4" w:space="0" w:color="auto"/>
            </w:tcBorders>
            <w:vAlign w:val="center"/>
          </w:tcPr>
          <w:p w14:paraId="43C2E11B" w14:textId="77777777" w:rsidR="0099088D" w:rsidRPr="00612E51"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tcPr>
          <w:p w14:paraId="2642AD37" w14:textId="77777777" w:rsidR="0099088D" w:rsidRPr="00612E51" w:rsidRDefault="0099088D" w:rsidP="0099088D">
            <w:pPr>
              <w:jc w:val="center"/>
              <w:rPr>
                <w:color w:val="000000"/>
              </w:rPr>
            </w:pPr>
            <w:r w:rsidRPr="00612E51">
              <w:rPr>
                <w:color w:val="000000"/>
              </w:rPr>
              <w:t>9 154 343</w:t>
            </w:r>
          </w:p>
        </w:tc>
      </w:tr>
      <w:tr w:rsidR="0099088D" w:rsidRPr="00612E51" w14:paraId="1F27A03D" w14:textId="77777777" w:rsidTr="0099088D">
        <w:trPr>
          <w:trHeight w:val="264"/>
        </w:trPr>
        <w:tc>
          <w:tcPr>
            <w:tcW w:w="1297" w:type="dxa"/>
            <w:tcBorders>
              <w:top w:val="single" w:sz="4" w:space="0" w:color="auto"/>
              <w:left w:val="single" w:sz="4" w:space="0" w:color="auto"/>
              <w:bottom w:val="single" w:sz="4" w:space="0" w:color="auto"/>
              <w:right w:val="single" w:sz="4" w:space="0" w:color="auto"/>
            </w:tcBorders>
            <w:shd w:val="clear" w:color="auto" w:fill="auto"/>
          </w:tcPr>
          <w:p w14:paraId="66DD21CB" w14:textId="77777777" w:rsidR="0099088D" w:rsidRPr="00612E51" w:rsidRDefault="0099088D" w:rsidP="0099088D">
            <w:pPr>
              <w:jc w:val="center"/>
              <w:rPr>
                <w:sz w:val="20"/>
                <w:szCs w:val="20"/>
              </w:rPr>
            </w:pPr>
            <w:r w:rsidRPr="00612E51">
              <w:rPr>
                <w:color w:val="000000"/>
              </w:rPr>
              <w:t>2.2.9.</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4C66456F" w14:textId="77777777" w:rsidR="0099088D" w:rsidRPr="00612E51" w:rsidRDefault="0099088D" w:rsidP="0099088D">
            <w:pPr>
              <w:rPr>
                <w:color w:val="000000"/>
              </w:rPr>
            </w:pPr>
            <w:r w:rsidRPr="00612E51">
              <w:rPr>
                <w:color w:val="000000"/>
              </w:rPr>
              <w:t>530 мм и выше</w:t>
            </w:r>
          </w:p>
        </w:tc>
        <w:tc>
          <w:tcPr>
            <w:tcW w:w="1775" w:type="dxa"/>
            <w:vMerge/>
            <w:tcBorders>
              <w:left w:val="single" w:sz="4" w:space="0" w:color="auto"/>
              <w:bottom w:val="single" w:sz="4" w:space="0" w:color="auto"/>
              <w:right w:val="single" w:sz="4" w:space="0" w:color="auto"/>
            </w:tcBorders>
            <w:vAlign w:val="center"/>
          </w:tcPr>
          <w:p w14:paraId="0A828141" w14:textId="77777777" w:rsidR="0099088D" w:rsidRPr="00612E51"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tcPr>
          <w:p w14:paraId="4BA54A7E" w14:textId="77777777" w:rsidR="0099088D" w:rsidRPr="00612E51" w:rsidRDefault="0099088D" w:rsidP="0099088D">
            <w:pPr>
              <w:jc w:val="center"/>
              <w:rPr>
                <w:color w:val="000000"/>
              </w:rPr>
            </w:pPr>
            <w:r w:rsidRPr="00612E51">
              <w:rPr>
                <w:color w:val="000000"/>
              </w:rPr>
              <w:t>11 555 327</w:t>
            </w:r>
          </w:p>
        </w:tc>
      </w:tr>
      <w:tr w:rsidR="0099088D" w:rsidRPr="00612E51" w14:paraId="1CEBEEC4" w14:textId="77777777" w:rsidTr="0099088D">
        <w:trPr>
          <w:trHeight w:val="36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3AFD2E" w14:textId="77777777" w:rsidR="0099088D" w:rsidRPr="00612E51" w:rsidRDefault="0099088D" w:rsidP="0099088D">
            <w:pPr>
              <w:jc w:val="center"/>
              <w:rPr>
                <w:color w:val="000000"/>
              </w:rPr>
            </w:pPr>
            <w:r w:rsidRPr="00612E51">
              <w:rPr>
                <w:color w:val="000000"/>
              </w:rPr>
              <w:t>3.</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80FB051" w14:textId="77777777" w:rsidR="0099088D" w:rsidRPr="00612E51" w:rsidRDefault="0099088D" w:rsidP="0099088D">
            <w:pPr>
              <w:rPr>
                <w:color w:val="000000"/>
              </w:rPr>
            </w:pPr>
            <w:r w:rsidRPr="00612E51">
              <w:rPr>
                <w:color w:val="000000"/>
              </w:rPr>
              <w:t>Размер стандартизированной тарифной ставки С</w:t>
            </w:r>
            <w:r w:rsidRPr="00612E51">
              <w:rPr>
                <w:color w:val="000000"/>
                <w:vertAlign w:val="subscript"/>
              </w:rPr>
              <w:t xml:space="preserve">3 </w:t>
            </w:r>
            <w:r w:rsidRPr="00612E51">
              <w:rPr>
                <w:color w:val="000000"/>
              </w:rPr>
              <w:t xml:space="preserve">на покрытие расходов газораспределительной организации, связанных со строительством </w:t>
            </w:r>
            <w:r w:rsidRPr="00612E51">
              <w:rPr>
                <w:bCs/>
                <w:color w:val="000000"/>
              </w:rPr>
              <w:t xml:space="preserve">полиэтиленового </w:t>
            </w:r>
            <w:r w:rsidRPr="00612E51">
              <w:rPr>
                <w:color w:val="000000"/>
              </w:rPr>
              <w:t xml:space="preserve">газопровода наружным диаметром </w:t>
            </w:r>
            <w:r w:rsidRPr="00612E51">
              <w:rPr>
                <w:color w:val="2D2D2D"/>
              </w:rPr>
              <w:t>(без НДС, с налогом на прибыль)</w:t>
            </w:r>
            <w:r w:rsidRPr="00612E51">
              <w:rPr>
                <w:color w:val="000000"/>
              </w:rPr>
              <w:t>:</w:t>
            </w:r>
          </w:p>
        </w:tc>
      </w:tr>
      <w:tr w:rsidR="0099088D" w:rsidRPr="00612E51" w14:paraId="1639C717" w14:textId="77777777" w:rsidTr="0099088D">
        <w:trPr>
          <w:trHeight w:val="99"/>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3398CA" w14:textId="77777777" w:rsidR="0099088D" w:rsidRPr="00612E51" w:rsidRDefault="0099088D" w:rsidP="0099088D">
            <w:pPr>
              <w:jc w:val="center"/>
              <w:rPr>
                <w:color w:val="000000"/>
              </w:rPr>
            </w:pPr>
            <w:r w:rsidRPr="00612E51">
              <w:rPr>
                <w:color w:val="000000"/>
              </w:rPr>
              <w:t>3.1.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795114" w14:textId="77777777" w:rsidR="0099088D" w:rsidRPr="00612E51" w:rsidRDefault="0099088D" w:rsidP="0099088D">
            <w:pPr>
              <w:rPr>
                <w:color w:val="000000"/>
              </w:rPr>
            </w:pPr>
            <w:r w:rsidRPr="00612E51">
              <w:rPr>
                <w:color w:val="000000"/>
              </w:rPr>
              <w:t>109 мм и менее</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2841FC" w14:textId="77777777" w:rsidR="0099088D" w:rsidRPr="00612E51" w:rsidRDefault="0099088D" w:rsidP="0099088D">
            <w:pPr>
              <w:jc w:val="center"/>
              <w:rPr>
                <w:color w:val="000000"/>
              </w:rPr>
            </w:pPr>
            <w:r w:rsidRPr="00612E51">
              <w:rPr>
                <w:color w:val="000000"/>
              </w:rPr>
              <w:t>руб./км</w:t>
            </w: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58783298" w14:textId="77777777" w:rsidR="0099088D" w:rsidRPr="00612E51" w:rsidRDefault="0099088D" w:rsidP="0099088D">
            <w:pPr>
              <w:jc w:val="center"/>
              <w:rPr>
                <w:color w:val="000000"/>
              </w:rPr>
            </w:pPr>
            <w:r w:rsidRPr="00612E51">
              <w:rPr>
                <w:color w:val="000000"/>
              </w:rPr>
              <w:t>3 713 948</w:t>
            </w:r>
          </w:p>
        </w:tc>
      </w:tr>
      <w:tr w:rsidR="0099088D" w:rsidRPr="00612E51" w14:paraId="38021BDA" w14:textId="77777777" w:rsidTr="0099088D">
        <w:trPr>
          <w:trHeight w:val="102"/>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9776FA" w14:textId="77777777" w:rsidR="0099088D" w:rsidRPr="00612E51" w:rsidRDefault="0099088D" w:rsidP="0099088D">
            <w:pPr>
              <w:jc w:val="center"/>
              <w:rPr>
                <w:color w:val="000000"/>
              </w:rPr>
            </w:pPr>
            <w:r w:rsidRPr="00612E51">
              <w:rPr>
                <w:color w:val="000000"/>
              </w:rPr>
              <w:t>3.2.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BC2272" w14:textId="77777777" w:rsidR="0099088D" w:rsidRPr="00612E51" w:rsidRDefault="0099088D" w:rsidP="0099088D">
            <w:pPr>
              <w:rPr>
                <w:color w:val="000000"/>
              </w:rPr>
            </w:pPr>
            <w:r w:rsidRPr="00612E51">
              <w:rPr>
                <w:color w:val="000000"/>
              </w:rPr>
              <w:t>110-159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4E825025" w14:textId="77777777" w:rsidR="0099088D" w:rsidRPr="00612E51"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78498862" w14:textId="77777777" w:rsidR="0099088D" w:rsidRPr="00612E51" w:rsidRDefault="0099088D" w:rsidP="0099088D">
            <w:pPr>
              <w:jc w:val="center"/>
              <w:rPr>
                <w:color w:val="000000"/>
              </w:rPr>
            </w:pPr>
            <w:r w:rsidRPr="00612E51">
              <w:rPr>
                <w:color w:val="000000"/>
              </w:rPr>
              <w:t>3 990 547</w:t>
            </w:r>
          </w:p>
        </w:tc>
      </w:tr>
      <w:tr w:rsidR="0099088D" w:rsidRPr="00612E51" w14:paraId="08FE3B30" w14:textId="77777777" w:rsidTr="0099088D">
        <w:trPr>
          <w:trHeight w:val="33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F34499" w14:textId="77777777" w:rsidR="0099088D" w:rsidRPr="00612E51" w:rsidRDefault="0099088D" w:rsidP="0099088D">
            <w:pPr>
              <w:jc w:val="center"/>
              <w:rPr>
                <w:color w:val="000000"/>
              </w:rPr>
            </w:pPr>
            <w:r w:rsidRPr="00612E51">
              <w:rPr>
                <w:color w:val="000000"/>
              </w:rPr>
              <w:t>3.3.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9B8995" w14:textId="77777777" w:rsidR="0099088D" w:rsidRPr="00612E51" w:rsidRDefault="0099088D" w:rsidP="0099088D">
            <w:pPr>
              <w:rPr>
                <w:color w:val="000000"/>
              </w:rPr>
            </w:pPr>
            <w:r w:rsidRPr="00612E51">
              <w:rPr>
                <w:color w:val="000000"/>
              </w:rPr>
              <w:t>160-224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77F9F776" w14:textId="77777777" w:rsidR="0099088D" w:rsidRPr="00612E51"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4B975E01" w14:textId="77777777" w:rsidR="0099088D" w:rsidRPr="00612E51" w:rsidRDefault="0099088D" w:rsidP="0099088D">
            <w:pPr>
              <w:jc w:val="center"/>
              <w:rPr>
                <w:color w:val="000000"/>
              </w:rPr>
            </w:pPr>
            <w:r w:rsidRPr="00612E51">
              <w:rPr>
                <w:color w:val="000000"/>
              </w:rPr>
              <w:t>4 360 055</w:t>
            </w:r>
          </w:p>
        </w:tc>
      </w:tr>
      <w:tr w:rsidR="0099088D" w:rsidRPr="00612E51" w14:paraId="2FE4B0F3" w14:textId="77777777" w:rsidTr="0099088D">
        <w:trPr>
          <w:trHeight w:val="197"/>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31465B" w14:textId="77777777" w:rsidR="0099088D" w:rsidRPr="00612E51" w:rsidRDefault="0099088D" w:rsidP="0099088D">
            <w:pPr>
              <w:jc w:val="center"/>
              <w:rPr>
                <w:color w:val="000000"/>
              </w:rPr>
            </w:pPr>
            <w:r w:rsidRPr="00612E51">
              <w:rPr>
                <w:color w:val="000000"/>
              </w:rPr>
              <w:t>3.4.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64C117" w14:textId="77777777" w:rsidR="0099088D" w:rsidRPr="00612E51" w:rsidRDefault="0099088D" w:rsidP="0099088D">
            <w:pPr>
              <w:rPr>
                <w:color w:val="000000"/>
              </w:rPr>
            </w:pPr>
            <w:r w:rsidRPr="00612E51">
              <w:rPr>
                <w:color w:val="000000"/>
              </w:rPr>
              <w:t>225-314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19505365" w14:textId="77777777" w:rsidR="0099088D" w:rsidRPr="00612E51"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399BFA78" w14:textId="77777777" w:rsidR="0099088D" w:rsidRPr="00612E51" w:rsidRDefault="0099088D" w:rsidP="0099088D">
            <w:pPr>
              <w:jc w:val="center"/>
              <w:rPr>
                <w:color w:val="000000"/>
              </w:rPr>
            </w:pPr>
            <w:r w:rsidRPr="00612E51">
              <w:rPr>
                <w:color w:val="000000"/>
              </w:rPr>
              <w:t>4 824 028</w:t>
            </w:r>
          </w:p>
        </w:tc>
      </w:tr>
      <w:tr w:rsidR="0099088D" w:rsidRPr="00612E51" w14:paraId="062DABE3" w14:textId="77777777" w:rsidTr="0099088D">
        <w:trPr>
          <w:trHeight w:val="33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652E92" w14:textId="77777777" w:rsidR="0099088D" w:rsidRPr="00612E51" w:rsidRDefault="0099088D" w:rsidP="0099088D">
            <w:pPr>
              <w:jc w:val="center"/>
              <w:rPr>
                <w:color w:val="000000"/>
              </w:rPr>
            </w:pPr>
            <w:r w:rsidRPr="00612E51">
              <w:rPr>
                <w:color w:val="000000"/>
              </w:rPr>
              <w:t>3.5.</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B87E25" w14:textId="77777777" w:rsidR="0099088D" w:rsidRPr="00612E51" w:rsidRDefault="0099088D" w:rsidP="0099088D">
            <w:pPr>
              <w:rPr>
                <w:color w:val="000000"/>
              </w:rPr>
            </w:pPr>
            <w:r w:rsidRPr="00612E51">
              <w:rPr>
                <w:color w:val="000000"/>
              </w:rPr>
              <w:t>315-399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3FCC0285" w14:textId="77777777" w:rsidR="0099088D" w:rsidRPr="00612E51"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1089812F" w14:textId="77777777" w:rsidR="0099088D" w:rsidRPr="00612E51" w:rsidRDefault="0099088D" w:rsidP="0099088D">
            <w:pPr>
              <w:jc w:val="center"/>
              <w:rPr>
                <w:color w:val="000000"/>
              </w:rPr>
            </w:pPr>
            <w:r w:rsidRPr="00612E51">
              <w:rPr>
                <w:color w:val="000000"/>
              </w:rPr>
              <w:t>7 227 732</w:t>
            </w:r>
          </w:p>
        </w:tc>
      </w:tr>
      <w:tr w:rsidR="0099088D" w:rsidRPr="00612E51" w14:paraId="41BB7C25" w14:textId="77777777" w:rsidTr="0099088D">
        <w:trPr>
          <w:trHeight w:val="33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7E5B4" w14:textId="77777777" w:rsidR="0099088D" w:rsidRPr="00612E51" w:rsidRDefault="0099088D" w:rsidP="0099088D">
            <w:pPr>
              <w:jc w:val="center"/>
              <w:rPr>
                <w:color w:val="000000"/>
              </w:rPr>
            </w:pPr>
            <w:r w:rsidRPr="00612E51">
              <w:rPr>
                <w:color w:val="000000"/>
              </w:rPr>
              <w:t>3.6.</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A3F3C0" w14:textId="77777777" w:rsidR="0099088D" w:rsidRPr="00612E51" w:rsidRDefault="0099088D" w:rsidP="0099088D">
            <w:pPr>
              <w:rPr>
                <w:color w:val="000000"/>
              </w:rPr>
            </w:pPr>
            <w:r w:rsidRPr="00612E51">
              <w:rPr>
                <w:color w:val="000000"/>
              </w:rPr>
              <w:t>400 мм и выше</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36CAB98F" w14:textId="77777777" w:rsidR="0099088D" w:rsidRPr="00612E51"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1A3D6E41" w14:textId="77777777" w:rsidR="0099088D" w:rsidRPr="00612E51" w:rsidRDefault="0099088D" w:rsidP="0099088D">
            <w:pPr>
              <w:jc w:val="center"/>
              <w:rPr>
                <w:color w:val="000000"/>
              </w:rPr>
            </w:pPr>
            <w:r w:rsidRPr="00612E51">
              <w:rPr>
                <w:color w:val="000000"/>
              </w:rPr>
              <w:t>9 098 524</w:t>
            </w:r>
          </w:p>
        </w:tc>
      </w:tr>
      <w:tr w:rsidR="0099088D" w:rsidRPr="00612E51" w14:paraId="3870BA02" w14:textId="77777777" w:rsidTr="0099088D">
        <w:trPr>
          <w:trHeight w:val="47"/>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50966AB0" w14:textId="77777777" w:rsidR="0099088D" w:rsidRPr="00612E51" w:rsidRDefault="0099088D" w:rsidP="0099088D">
            <w:pPr>
              <w:jc w:val="center"/>
              <w:rPr>
                <w:color w:val="000000"/>
              </w:rPr>
            </w:pPr>
            <w:r w:rsidRPr="00612E51">
              <w:rPr>
                <w:color w:val="000000"/>
              </w:rPr>
              <w:t>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3587B436" w14:textId="77777777" w:rsidR="0099088D" w:rsidRPr="00612E51" w:rsidRDefault="0099088D" w:rsidP="0099088D">
            <w:pPr>
              <w:jc w:val="center"/>
              <w:rPr>
                <w:color w:val="000000"/>
              </w:rPr>
            </w:pPr>
            <w:r w:rsidRPr="00612E51">
              <w:rPr>
                <w:color w:val="000000"/>
              </w:rPr>
              <w:t>2</w:t>
            </w: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tcPr>
          <w:p w14:paraId="32194007" w14:textId="77777777" w:rsidR="0099088D" w:rsidRPr="00612E51" w:rsidRDefault="0099088D" w:rsidP="0099088D">
            <w:pPr>
              <w:jc w:val="center"/>
              <w:rPr>
                <w:color w:val="000000"/>
              </w:rPr>
            </w:pPr>
            <w:r w:rsidRPr="00612E51">
              <w:rPr>
                <w:color w:val="000000"/>
              </w:rPr>
              <w:t>3</w:t>
            </w:r>
          </w:p>
        </w:tc>
        <w:tc>
          <w:tcPr>
            <w:tcW w:w="2466" w:type="dxa"/>
            <w:tcBorders>
              <w:top w:val="single" w:sz="4" w:space="0" w:color="auto"/>
              <w:left w:val="single" w:sz="4" w:space="0" w:color="auto"/>
              <w:bottom w:val="single" w:sz="4" w:space="0" w:color="auto"/>
              <w:right w:val="single" w:sz="4" w:space="0" w:color="auto"/>
            </w:tcBorders>
            <w:shd w:val="clear" w:color="000000" w:fill="FFFFFF"/>
            <w:vAlign w:val="center"/>
          </w:tcPr>
          <w:p w14:paraId="0DBA202B" w14:textId="77777777" w:rsidR="0099088D" w:rsidRPr="00612E51" w:rsidRDefault="0099088D" w:rsidP="0099088D">
            <w:pPr>
              <w:jc w:val="center"/>
              <w:rPr>
                <w:color w:val="000000"/>
              </w:rPr>
            </w:pPr>
            <w:r w:rsidRPr="00612E51">
              <w:rPr>
                <w:color w:val="000000"/>
              </w:rPr>
              <w:t>4</w:t>
            </w:r>
          </w:p>
        </w:tc>
      </w:tr>
      <w:tr w:rsidR="0099088D" w:rsidRPr="00612E51" w14:paraId="41D93F14" w14:textId="77777777" w:rsidTr="0099088D">
        <w:trPr>
          <w:trHeight w:val="973"/>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9CB4E5" w14:textId="77777777" w:rsidR="0099088D" w:rsidRPr="00612E51" w:rsidRDefault="0099088D" w:rsidP="0099088D">
            <w:pPr>
              <w:jc w:val="center"/>
              <w:rPr>
                <w:color w:val="000000"/>
              </w:rPr>
            </w:pPr>
            <w:r w:rsidRPr="00612E51">
              <w:rPr>
                <w:color w:val="000000"/>
              </w:rPr>
              <w:t>4.</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1D48AB0" w14:textId="77777777" w:rsidR="0099088D" w:rsidRPr="00612E51" w:rsidRDefault="0099088D" w:rsidP="0099088D">
            <w:pPr>
              <w:rPr>
                <w:color w:val="000000"/>
              </w:rPr>
            </w:pPr>
            <w:r w:rsidRPr="00612E51">
              <w:rPr>
                <w:color w:val="000000"/>
              </w:rPr>
              <w:t>Размер стандартизированной тарифной ставки С</w:t>
            </w:r>
            <w:r w:rsidRPr="00612E51">
              <w:rPr>
                <w:color w:val="000000"/>
                <w:vertAlign w:val="subscript"/>
              </w:rPr>
              <w:t>4</w:t>
            </w:r>
            <w:r w:rsidRPr="00612E51">
              <w:rPr>
                <w:color w:val="000000"/>
              </w:rPr>
              <w:t xml:space="preserve"> на покрытие расходов газораспределительной организации, связанных со строительством стального и полиэтиленового газопроводов бестраншейным способом (без НДС, с налогом на прибыль):</w:t>
            </w:r>
          </w:p>
        </w:tc>
      </w:tr>
      <w:tr w:rsidR="0099088D" w:rsidRPr="00612E51" w14:paraId="78F880D3" w14:textId="77777777" w:rsidTr="0099088D">
        <w:trPr>
          <w:trHeight w:val="47"/>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55C47F" w14:textId="77777777" w:rsidR="0099088D" w:rsidRPr="00612E51" w:rsidRDefault="0099088D" w:rsidP="0099088D">
            <w:pPr>
              <w:jc w:val="center"/>
              <w:rPr>
                <w:color w:val="000000"/>
              </w:rPr>
            </w:pPr>
            <w:r w:rsidRPr="00612E51">
              <w:rPr>
                <w:color w:val="000000"/>
              </w:rPr>
              <w:t>4.1.</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3601AFE" w14:textId="77777777" w:rsidR="0099088D" w:rsidRPr="00612E51" w:rsidRDefault="0099088D" w:rsidP="0099088D">
            <w:pPr>
              <w:rPr>
                <w:color w:val="000000"/>
              </w:rPr>
            </w:pPr>
            <w:r w:rsidRPr="00612E51">
              <w:rPr>
                <w:bCs/>
                <w:color w:val="000000"/>
              </w:rPr>
              <w:t>полиэтиленовых</w:t>
            </w:r>
            <w:r w:rsidRPr="00612E51">
              <w:rPr>
                <w:color w:val="000000"/>
              </w:rPr>
              <w:t xml:space="preserve"> газопроводов наружным диаметром:</w:t>
            </w:r>
          </w:p>
        </w:tc>
      </w:tr>
      <w:tr w:rsidR="0099088D" w:rsidRPr="00612E51" w14:paraId="52F63399"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7316D6" w14:textId="77777777" w:rsidR="0099088D" w:rsidRPr="00612E51" w:rsidRDefault="0099088D" w:rsidP="0099088D">
            <w:pPr>
              <w:jc w:val="center"/>
              <w:rPr>
                <w:color w:val="000000"/>
              </w:rPr>
            </w:pPr>
            <w:r w:rsidRPr="00612E51">
              <w:rPr>
                <w:color w:val="000000"/>
              </w:rPr>
              <w:t>4.1.1.</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A3FF712" w14:textId="77777777" w:rsidR="0099088D" w:rsidRPr="00612E51" w:rsidRDefault="0099088D" w:rsidP="0099088D">
            <w:pPr>
              <w:rPr>
                <w:color w:val="000000"/>
              </w:rPr>
            </w:pPr>
            <w:r w:rsidRPr="00612E51">
              <w:rPr>
                <w:color w:val="000000"/>
              </w:rPr>
              <w:t>109 мм и менее, в грунтах:</w:t>
            </w:r>
          </w:p>
        </w:tc>
      </w:tr>
      <w:tr w:rsidR="0099088D" w:rsidRPr="00612E51" w14:paraId="03404682" w14:textId="77777777" w:rsidTr="0099088D">
        <w:trPr>
          <w:trHeight w:val="47"/>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26480D" w14:textId="77777777" w:rsidR="0099088D" w:rsidRPr="00612E51" w:rsidRDefault="0099088D" w:rsidP="0099088D">
            <w:pPr>
              <w:jc w:val="center"/>
              <w:rPr>
                <w:color w:val="000000"/>
              </w:rPr>
            </w:pPr>
            <w:r w:rsidRPr="00612E51">
              <w:rPr>
                <w:color w:val="000000"/>
              </w:rPr>
              <w:t>4.1.1.1.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A701E6" w14:textId="77777777" w:rsidR="0099088D" w:rsidRPr="00612E51" w:rsidRDefault="0099088D" w:rsidP="0099088D">
            <w:pPr>
              <w:rPr>
                <w:color w:val="000000"/>
              </w:rPr>
            </w:pPr>
            <w:r w:rsidRPr="00612E51">
              <w:rPr>
                <w:color w:val="000000"/>
              </w:rPr>
              <w:t>I и II группы</w:t>
            </w: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00B2F7" w14:textId="77777777" w:rsidR="0099088D" w:rsidRPr="00612E51" w:rsidRDefault="0099088D" w:rsidP="0099088D">
            <w:pPr>
              <w:jc w:val="center"/>
              <w:rPr>
                <w:color w:val="000000"/>
              </w:rPr>
            </w:pPr>
            <w:r w:rsidRPr="00612E51">
              <w:rPr>
                <w:color w:val="000000"/>
              </w:rPr>
              <w:t>руб./км</w:t>
            </w:r>
          </w:p>
        </w:tc>
        <w:tc>
          <w:tcPr>
            <w:tcW w:w="2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DE8279" w14:textId="77777777" w:rsidR="0099088D" w:rsidRPr="00612E51" w:rsidRDefault="0099088D" w:rsidP="0099088D">
            <w:pPr>
              <w:jc w:val="center"/>
              <w:rPr>
                <w:color w:val="000000"/>
              </w:rPr>
            </w:pPr>
            <w:r w:rsidRPr="00612E51">
              <w:rPr>
                <w:color w:val="000000"/>
              </w:rPr>
              <w:t>6 052 710</w:t>
            </w:r>
          </w:p>
        </w:tc>
      </w:tr>
      <w:tr w:rsidR="0099088D" w:rsidRPr="00612E51" w14:paraId="57139CCE" w14:textId="77777777" w:rsidTr="0099088D">
        <w:trPr>
          <w:trHeight w:val="47"/>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DDA7F1" w14:textId="77777777" w:rsidR="0099088D" w:rsidRPr="00612E51" w:rsidRDefault="0099088D" w:rsidP="0099088D">
            <w:pPr>
              <w:jc w:val="center"/>
              <w:rPr>
                <w:color w:val="000000"/>
              </w:rPr>
            </w:pPr>
            <w:r w:rsidRPr="00612E51">
              <w:rPr>
                <w:color w:val="000000"/>
              </w:rPr>
              <w:t>4.1.2.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980A3AA" w14:textId="77777777" w:rsidR="0099088D" w:rsidRPr="00612E51" w:rsidRDefault="0099088D" w:rsidP="0099088D">
            <w:pPr>
              <w:rPr>
                <w:color w:val="000000"/>
              </w:rPr>
            </w:pPr>
            <w:r w:rsidRPr="00612E51">
              <w:rPr>
                <w:color w:val="000000"/>
              </w:rPr>
              <w:t>110-159 мм, в грунтах:</w:t>
            </w:r>
          </w:p>
        </w:tc>
      </w:tr>
      <w:tr w:rsidR="0099088D" w:rsidRPr="00612E51" w14:paraId="278CD1A7"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7361FB" w14:textId="77777777" w:rsidR="0099088D" w:rsidRPr="00612E51" w:rsidRDefault="0099088D" w:rsidP="0099088D">
            <w:pPr>
              <w:jc w:val="center"/>
              <w:rPr>
                <w:color w:val="000000"/>
              </w:rPr>
            </w:pPr>
            <w:r w:rsidRPr="00612E51">
              <w:rPr>
                <w:color w:val="000000"/>
              </w:rPr>
              <w:t>4.1.2.1.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82972D" w14:textId="77777777" w:rsidR="0099088D" w:rsidRPr="00612E51" w:rsidRDefault="0099088D" w:rsidP="0099088D">
            <w:pPr>
              <w:rPr>
                <w:color w:val="000000"/>
              </w:rPr>
            </w:pPr>
            <w:r w:rsidRPr="00612E51">
              <w:rPr>
                <w:color w:val="000000"/>
              </w:rPr>
              <w:t>I и II группы</w:t>
            </w: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EE6DA5" w14:textId="77777777" w:rsidR="0099088D" w:rsidRPr="00612E51" w:rsidRDefault="0099088D" w:rsidP="0099088D">
            <w:pPr>
              <w:jc w:val="center"/>
              <w:rPr>
                <w:color w:val="000000"/>
              </w:rPr>
            </w:pPr>
            <w:r w:rsidRPr="00612E51">
              <w:rPr>
                <w:color w:val="000000"/>
              </w:rPr>
              <w:t>руб./км</w:t>
            </w:r>
          </w:p>
        </w:tc>
        <w:tc>
          <w:tcPr>
            <w:tcW w:w="2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F113AE" w14:textId="77777777" w:rsidR="0099088D" w:rsidRPr="00612E51" w:rsidRDefault="0099088D" w:rsidP="0099088D">
            <w:pPr>
              <w:jc w:val="center"/>
              <w:rPr>
                <w:color w:val="000000"/>
              </w:rPr>
            </w:pPr>
            <w:r w:rsidRPr="00612E51">
              <w:rPr>
                <w:color w:val="000000"/>
              </w:rPr>
              <w:t>6 052 710</w:t>
            </w:r>
          </w:p>
        </w:tc>
      </w:tr>
      <w:tr w:rsidR="0099088D" w:rsidRPr="00612E51" w14:paraId="1AC4815E" w14:textId="77777777" w:rsidTr="0099088D">
        <w:trPr>
          <w:trHeight w:val="979"/>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6053CC88" w14:textId="77777777" w:rsidR="0099088D" w:rsidRPr="00612E51" w:rsidRDefault="0099088D" w:rsidP="0099088D">
            <w:pPr>
              <w:jc w:val="center"/>
              <w:rPr>
                <w:color w:val="000000"/>
              </w:rPr>
            </w:pPr>
            <w:r w:rsidRPr="00612E51">
              <w:rPr>
                <w:color w:val="000000"/>
              </w:rPr>
              <w:t>5.</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DA6795" w14:textId="77777777" w:rsidR="0099088D" w:rsidRPr="00612E51" w:rsidRDefault="0099088D" w:rsidP="0099088D">
            <w:pPr>
              <w:rPr>
                <w:color w:val="000000"/>
              </w:rPr>
            </w:pPr>
            <w:r w:rsidRPr="00612E51">
              <w:rPr>
                <w:color w:val="000000"/>
              </w:rPr>
              <w:t>Размер стандартизированной тарифной ставки С</w:t>
            </w:r>
            <w:r w:rsidRPr="00612E51">
              <w:rPr>
                <w:color w:val="000000"/>
                <w:vertAlign w:val="subscript"/>
              </w:rPr>
              <w:t>5</w:t>
            </w:r>
            <w:r w:rsidRPr="00612E51">
              <w:rPr>
                <w:color w:val="000000"/>
              </w:rPr>
              <w:t xml:space="preserve"> на покрытие расходов ГРО, связанных с проектированием и строительством пунктов редуцирования газа с максимальным часовым расходом газа (без НДС, с налогом на прибыль);</w:t>
            </w:r>
          </w:p>
        </w:tc>
      </w:tr>
      <w:tr w:rsidR="0099088D" w:rsidRPr="00612E51" w14:paraId="3CFC32DA"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7FA3BC80" w14:textId="77777777" w:rsidR="0099088D" w:rsidRPr="00612E51" w:rsidRDefault="0099088D" w:rsidP="0099088D">
            <w:pPr>
              <w:jc w:val="center"/>
              <w:rPr>
                <w:color w:val="000000"/>
              </w:rPr>
            </w:pPr>
            <w:r w:rsidRPr="00612E51">
              <w:rPr>
                <w:color w:val="000000"/>
              </w:rPr>
              <w:t>5.1.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47837409" w14:textId="77777777" w:rsidR="0099088D" w:rsidRPr="00612E51" w:rsidRDefault="0099088D" w:rsidP="0099088D">
            <w:pPr>
              <w:rPr>
                <w:color w:val="000000"/>
              </w:rPr>
            </w:pPr>
            <w:r w:rsidRPr="00612E51">
              <w:rPr>
                <w:color w:val="000000"/>
              </w:rPr>
              <w:t>до 40 м³/час</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90748BA" w14:textId="77777777" w:rsidR="0099088D" w:rsidRPr="00612E51" w:rsidRDefault="0099088D" w:rsidP="0099088D">
            <w:pPr>
              <w:jc w:val="center"/>
              <w:rPr>
                <w:color w:val="000000"/>
              </w:rPr>
            </w:pPr>
            <w:r w:rsidRPr="00612E51">
              <w:rPr>
                <w:color w:val="000000"/>
              </w:rPr>
              <w:t>руб./ м³</w:t>
            </w:r>
          </w:p>
        </w:tc>
        <w:tc>
          <w:tcPr>
            <w:tcW w:w="2466" w:type="dxa"/>
            <w:tcBorders>
              <w:top w:val="single" w:sz="4" w:space="0" w:color="auto"/>
              <w:left w:val="nil"/>
              <w:bottom w:val="single" w:sz="4" w:space="0" w:color="auto"/>
              <w:right w:val="single" w:sz="4" w:space="0" w:color="auto"/>
            </w:tcBorders>
            <w:shd w:val="clear" w:color="auto" w:fill="auto"/>
            <w:vAlign w:val="center"/>
          </w:tcPr>
          <w:p w14:paraId="477DB7AD" w14:textId="77777777" w:rsidR="0099088D" w:rsidRPr="00612E51" w:rsidRDefault="0099088D" w:rsidP="0099088D">
            <w:pPr>
              <w:jc w:val="center"/>
              <w:rPr>
                <w:color w:val="000000"/>
              </w:rPr>
            </w:pPr>
            <w:r w:rsidRPr="00612E51">
              <w:rPr>
                <w:color w:val="000000"/>
              </w:rPr>
              <w:t>19 972</w:t>
            </w:r>
          </w:p>
        </w:tc>
      </w:tr>
      <w:tr w:rsidR="0099088D" w:rsidRPr="00612E51" w14:paraId="69AA458A"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3237A838" w14:textId="77777777" w:rsidR="0099088D" w:rsidRPr="00612E51" w:rsidRDefault="0099088D" w:rsidP="0099088D">
            <w:pPr>
              <w:jc w:val="center"/>
              <w:rPr>
                <w:color w:val="000000"/>
              </w:rPr>
            </w:pPr>
            <w:r w:rsidRPr="00612E51">
              <w:rPr>
                <w:color w:val="000000"/>
              </w:rPr>
              <w:t>5.2.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1C3D29B6" w14:textId="77777777" w:rsidR="0099088D" w:rsidRPr="00612E51" w:rsidRDefault="0099088D" w:rsidP="0099088D">
            <w:pPr>
              <w:rPr>
                <w:color w:val="000000"/>
              </w:rPr>
            </w:pPr>
            <w:r w:rsidRPr="00612E51">
              <w:rPr>
                <w:color w:val="000000"/>
              </w:rPr>
              <w:t>40 – 99 м³/час</w:t>
            </w:r>
          </w:p>
        </w:tc>
        <w:tc>
          <w:tcPr>
            <w:tcW w:w="1775" w:type="dxa"/>
            <w:vMerge/>
            <w:tcBorders>
              <w:top w:val="single" w:sz="4" w:space="0" w:color="auto"/>
              <w:left w:val="single" w:sz="4" w:space="0" w:color="auto"/>
              <w:bottom w:val="single" w:sz="4" w:space="0" w:color="auto"/>
              <w:right w:val="single" w:sz="4" w:space="0" w:color="auto"/>
            </w:tcBorders>
            <w:shd w:val="clear" w:color="auto" w:fill="auto"/>
          </w:tcPr>
          <w:p w14:paraId="7175FBE3" w14:textId="77777777" w:rsidR="0099088D" w:rsidRPr="00612E51" w:rsidRDefault="0099088D" w:rsidP="0099088D">
            <w:pPr>
              <w:jc w:val="center"/>
              <w:rPr>
                <w:sz w:val="20"/>
                <w:szCs w:val="20"/>
              </w:rPr>
            </w:pPr>
          </w:p>
        </w:tc>
        <w:tc>
          <w:tcPr>
            <w:tcW w:w="2466" w:type="dxa"/>
            <w:tcBorders>
              <w:top w:val="single" w:sz="4" w:space="0" w:color="auto"/>
              <w:left w:val="nil"/>
              <w:bottom w:val="single" w:sz="4" w:space="0" w:color="auto"/>
              <w:right w:val="single" w:sz="4" w:space="0" w:color="auto"/>
            </w:tcBorders>
            <w:shd w:val="clear" w:color="auto" w:fill="auto"/>
            <w:vAlign w:val="center"/>
          </w:tcPr>
          <w:p w14:paraId="564D2C53" w14:textId="77777777" w:rsidR="0099088D" w:rsidRPr="00612E51" w:rsidRDefault="0099088D" w:rsidP="0099088D">
            <w:pPr>
              <w:jc w:val="center"/>
              <w:rPr>
                <w:color w:val="000000"/>
              </w:rPr>
            </w:pPr>
            <w:r w:rsidRPr="00612E51">
              <w:rPr>
                <w:color w:val="000000"/>
              </w:rPr>
              <w:t>7 376</w:t>
            </w:r>
          </w:p>
        </w:tc>
      </w:tr>
      <w:tr w:rsidR="0099088D" w:rsidRPr="00612E51" w14:paraId="19A3B7CB"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443AB3B9" w14:textId="77777777" w:rsidR="0099088D" w:rsidRPr="00612E51" w:rsidRDefault="0099088D" w:rsidP="0099088D">
            <w:pPr>
              <w:jc w:val="center"/>
              <w:rPr>
                <w:color w:val="000000"/>
              </w:rPr>
            </w:pPr>
            <w:r w:rsidRPr="00612E51">
              <w:rPr>
                <w:color w:val="000000"/>
              </w:rPr>
              <w:t>5.3.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1B0D8BF6" w14:textId="77777777" w:rsidR="0099088D" w:rsidRPr="00612E51" w:rsidRDefault="0099088D" w:rsidP="0099088D">
            <w:pPr>
              <w:rPr>
                <w:color w:val="000000"/>
              </w:rPr>
            </w:pPr>
            <w:r w:rsidRPr="00612E51">
              <w:rPr>
                <w:color w:val="000000"/>
              </w:rPr>
              <w:t>100 – 399 м³/час</w:t>
            </w:r>
          </w:p>
        </w:tc>
        <w:tc>
          <w:tcPr>
            <w:tcW w:w="1775" w:type="dxa"/>
            <w:vMerge/>
            <w:tcBorders>
              <w:top w:val="single" w:sz="4" w:space="0" w:color="auto"/>
              <w:left w:val="single" w:sz="4" w:space="0" w:color="auto"/>
              <w:bottom w:val="single" w:sz="4" w:space="0" w:color="auto"/>
              <w:right w:val="single" w:sz="4" w:space="0" w:color="auto"/>
            </w:tcBorders>
            <w:shd w:val="clear" w:color="auto" w:fill="auto"/>
          </w:tcPr>
          <w:p w14:paraId="71BF2857" w14:textId="77777777" w:rsidR="0099088D" w:rsidRPr="00612E51" w:rsidRDefault="0099088D" w:rsidP="0099088D">
            <w:pPr>
              <w:jc w:val="center"/>
              <w:rPr>
                <w:sz w:val="20"/>
                <w:szCs w:val="20"/>
              </w:rPr>
            </w:pPr>
          </w:p>
        </w:tc>
        <w:tc>
          <w:tcPr>
            <w:tcW w:w="2466" w:type="dxa"/>
            <w:tcBorders>
              <w:top w:val="single" w:sz="4" w:space="0" w:color="auto"/>
              <w:left w:val="nil"/>
              <w:bottom w:val="single" w:sz="4" w:space="0" w:color="auto"/>
              <w:right w:val="single" w:sz="4" w:space="0" w:color="auto"/>
            </w:tcBorders>
            <w:shd w:val="clear" w:color="auto" w:fill="auto"/>
            <w:vAlign w:val="center"/>
          </w:tcPr>
          <w:p w14:paraId="4D7B98DA" w14:textId="77777777" w:rsidR="0099088D" w:rsidRPr="00612E51" w:rsidRDefault="0099088D" w:rsidP="0099088D">
            <w:pPr>
              <w:jc w:val="center"/>
              <w:rPr>
                <w:color w:val="000000"/>
              </w:rPr>
            </w:pPr>
            <w:r w:rsidRPr="00612E51">
              <w:rPr>
                <w:color w:val="000000"/>
              </w:rPr>
              <w:t>4 603</w:t>
            </w:r>
          </w:p>
        </w:tc>
      </w:tr>
      <w:tr w:rsidR="0099088D" w:rsidRPr="00612E51" w14:paraId="51EC46E3"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38CE9CFF" w14:textId="77777777" w:rsidR="0099088D" w:rsidRPr="00612E51" w:rsidRDefault="0099088D" w:rsidP="0099088D">
            <w:pPr>
              <w:jc w:val="center"/>
              <w:rPr>
                <w:color w:val="000000"/>
              </w:rPr>
            </w:pPr>
            <w:r w:rsidRPr="00612E51">
              <w:rPr>
                <w:color w:val="000000"/>
              </w:rPr>
              <w:t>5.4.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6969A997" w14:textId="77777777" w:rsidR="0099088D" w:rsidRPr="00612E51" w:rsidRDefault="0099088D" w:rsidP="0099088D">
            <w:pPr>
              <w:rPr>
                <w:color w:val="000000"/>
              </w:rPr>
            </w:pPr>
            <w:r w:rsidRPr="00612E51">
              <w:rPr>
                <w:color w:val="000000"/>
              </w:rPr>
              <w:t>400 – 999 м³/час</w:t>
            </w:r>
          </w:p>
        </w:tc>
        <w:tc>
          <w:tcPr>
            <w:tcW w:w="1775" w:type="dxa"/>
            <w:vMerge/>
            <w:tcBorders>
              <w:top w:val="single" w:sz="4" w:space="0" w:color="auto"/>
              <w:left w:val="single" w:sz="4" w:space="0" w:color="auto"/>
              <w:bottom w:val="single" w:sz="4" w:space="0" w:color="auto"/>
              <w:right w:val="single" w:sz="4" w:space="0" w:color="auto"/>
            </w:tcBorders>
            <w:shd w:val="clear" w:color="auto" w:fill="auto"/>
          </w:tcPr>
          <w:p w14:paraId="159C0696" w14:textId="77777777" w:rsidR="0099088D" w:rsidRPr="00612E51" w:rsidRDefault="0099088D" w:rsidP="0099088D">
            <w:pPr>
              <w:jc w:val="center"/>
              <w:rPr>
                <w:sz w:val="20"/>
                <w:szCs w:val="20"/>
              </w:rPr>
            </w:pPr>
          </w:p>
        </w:tc>
        <w:tc>
          <w:tcPr>
            <w:tcW w:w="2466" w:type="dxa"/>
            <w:tcBorders>
              <w:top w:val="single" w:sz="4" w:space="0" w:color="auto"/>
              <w:left w:val="nil"/>
              <w:bottom w:val="single" w:sz="4" w:space="0" w:color="auto"/>
              <w:right w:val="single" w:sz="4" w:space="0" w:color="auto"/>
            </w:tcBorders>
            <w:shd w:val="clear" w:color="auto" w:fill="auto"/>
            <w:vAlign w:val="center"/>
          </w:tcPr>
          <w:p w14:paraId="1DB55E38" w14:textId="77777777" w:rsidR="0099088D" w:rsidRPr="00612E51" w:rsidRDefault="0099088D" w:rsidP="0099088D">
            <w:pPr>
              <w:jc w:val="center"/>
              <w:rPr>
                <w:color w:val="000000"/>
              </w:rPr>
            </w:pPr>
            <w:r w:rsidRPr="00612E51">
              <w:rPr>
                <w:color w:val="000000"/>
              </w:rPr>
              <w:t>1 763</w:t>
            </w:r>
          </w:p>
        </w:tc>
      </w:tr>
      <w:tr w:rsidR="0099088D" w:rsidRPr="00612E51" w14:paraId="5B3E6963" w14:textId="77777777" w:rsidTr="0099088D">
        <w:trPr>
          <w:trHeight w:val="3532"/>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68434F" w14:textId="77777777" w:rsidR="0099088D" w:rsidRPr="00612E51" w:rsidRDefault="0099088D" w:rsidP="0099088D">
            <w:pPr>
              <w:jc w:val="center"/>
              <w:rPr>
                <w:color w:val="000000"/>
              </w:rPr>
            </w:pPr>
            <w:r w:rsidRPr="00612E51">
              <w:rPr>
                <w:color w:val="000000"/>
              </w:rPr>
              <w:t>6.</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AEB2D86" w14:textId="77777777" w:rsidR="0099088D" w:rsidRPr="00612E51" w:rsidRDefault="0099088D" w:rsidP="0099088D">
            <w:pPr>
              <w:rPr>
                <w:color w:val="000000"/>
              </w:rPr>
            </w:pPr>
            <w:r w:rsidRPr="00612E51">
              <w:rPr>
                <w:color w:val="000000"/>
              </w:rPr>
              <w:t>Размер стандартизированной тарифной ставки С</w:t>
            </w:r>
            <w:r w:rsidRPr="00612E51">
              <w:rPr>
                <w:color w:val="000000"/>
                <w:vertAlign w:val="subscript"/>
              </w:rPr>
              <w:t>7</w:t>
            </w:r>
            <w:r w:rsidRPr="00612E51">
              <w:rPr>
                <w:color w:val="000000"/>
              </w:rPr>
              <w:t xml:space="preserve"> на покрытие расходов газораспределительной организации, связанных с мониторингом выполнения Заявителем технических условий и осуществлением фактического присоединения к газораспределительной сети газораспределительной организации,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сети газопотребления Заявителя и существующего или вновь построенного стального (полиэтиленового) газопровода газораспределительной организации, а также бесхозяйного газопровода или газопровода основного абонента, и проведением пуска газа в газоиспользующее оборудование заявителя (без НДС, без налога на прибыль), в том числе:</w:t>
            </w:r>
          </w:p>
        </w:tc>
      </w:tr>
      <w:tr w:rsidR="0099088D" w:rsidRPr="00612E51" w14:paraId="4F1ED037" w14:textId="77777777" w:rsidTr="0099088D">
        <w:trPr>
          <w:trHeight w:val="1127"/>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5DD09D" w14:textId="77777777" w:rsidR="0099088D" w:rsidRPr="00612E51" w:rsidRDefault="0099088D" w:rsidP="0099088D">
            <w:pPr>
              <w:jc w:val="center"/>
              <w:rPr>
                <w:color w:val="000000"/>
              </w:rPr>
            </w:pPr>
            <w:r w:rsidRPr="00612E51">
              <w:rPr>
                <w:color w:val="000000"/>
              </w:rPr>
              <w:t>6.1.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18BBC1" w14:textId="77777777" w:rsidR="0099088D" w:rsidRPr="00612E51" w:rsidRDefault="0099088D" w:rsidP="0099088D">
            <w:pPr>
              <w:rPr>
                <w:color w:val="000000"/>
              </w:rPr>
            </w:pPr>
            <w:r w:rsidRPr="00612E51">
              <w:rPr>
                <w:color w:val="000000"/>
              </w:rPr>
              <w:t>Размер стандартизированной тарифной ставки С</w:t>
            </w:r>
            <w:r w:rsidRPr="00612E51">
              <w:rPr>
                <w:color w:val="000000"/>
                <w:vertAlign w:val="subscript"/>
              </w:rPr>
              <w:t>7.1</w:t>
            </w:r>
            <w:r w:rsidRPr="00612E51">
              <w:rPr>
                <w:color w:val="000000"/>
              </w:rPr>
              <w:t>, связанной с мониторингом выполнения заявителем технических условий:</w:t>
            </w: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E78EBD" w14:textId="77777777" w:rsidR="0099088D" w:rsidRPr="00612E51" w:rsidRDefault="0099088D" w:rsidP="0099088D">
            <w:pPr>
              <w:jc w:val="center"/>
              <w:rPr>
                <w:color w:val="000000"/>
              </w:rPr>
            </w:pPr>
            <w:r w:rsidRPr="00612E51">
              <w:rPr>
                <w:color w:val="000000"/>
              </w:rPr>
              <w:t xml:space="preserve">руб. </w:t>
            </w:r>
            <w:r w:rsidRPr="00612E51">
              <w:rPr>
                <w:color w:val="2D2D2D"/>
              </w:rPr>
              <w:t>за 1 присоединение</w:t>
            </w:r>
          </w:p>
        </w:tc>
        <w:tc>
          <w:tcPr>
            <w:tcW w:w="2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5BC846" w14:textId="77777777" w:rsidR="0099088D" w:rsidRPr="00612E51" w:rsidRDefault="0099088D" w:rsidP="0099088D">
            <w:pPr>
              <w:jc w:val="center"/>
              <w:rPr>
                <w:color w:val="000000"/>
              </w:rPr>
            </w:pPr>
            <w:r w:rsidRPr="00612E51">
              <w:rPr>
                <w:color w:val="000000"/>
              </w:rPr>
              <w:t>3 913</w:t>
            </w:r>
          </w:p>
        </w:tc>
      </w:tr>
      <w:tr w:rsidR="0099088D" w:rsidRPr="00612E51" w14:paraId="23E060B0" w14:textId="77777777" w:rsidTr="0099088D">
        <w:trPr>
          <w:trHeight w:val="2962"/>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269CF4" w14:textId="77777777" w:rsidR="0099088D" w:rsidRPr="00612E51" w:rsidRDefault="0099088D" w:rsidP="0099088D">
            <w:pPr>
              <w:jc w:val="center"/>
              <w:rPr>
                <w:color w:val="000000"/>
              </w:rPr>
            </w:pPr>
            <w:r w:rsidRPr="00612E51">
              <w:rPr>
                <w:color w:val="000000"/>
              </w:rPr>
              <w:t>6.2.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06027B7" w14:textId="77777777" w:rsidR="0099088D" w:rsidRPr="00612E51" w:rsidRDefault="0099088D" w:rsidP="0099088D">
            <w:pPr>
              <w:rPr>
                <w:color w:val="000000"/>
              </w:rPr>
            </w:pPr>
            <w:r w:rsidRPr="00612E51">
              <w:rPr>
                <w:color w:val="000000"/>
              </w:rPr>
              <w:t>Размер стандартизированной тарифной ставки С</w:t>
            </w:r>
            <w:r w:rsidRPr="00612E51">
              <w:rPr>
                <w:color w:val="000000"/>
                <w:vertAlign w:val="subscript"/>
              </w:rPr>
              <w:t>7.2</w:t>
            </w:r>
            <w:r w:rsidRPr="00612E51">
              <w:rPr>
                <w:color w:val="000000"/>
              </w:rPr>
              <w:t>, связанной с осуществлением фактического присоединения к газораспределительной сети газораспределительной организации,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сети газопотребления заявителя и существующего или вновь построенного стального (полиэтиленового) газопровода газораспределительной организации, а также бесхозяйного газопровода или газопровода основного абонента, и проведением пуска газа в газоиспользующее оборудование заявителя:</w:t>
            </w:r>
          </w:p>
        </w:tc>
      </w:tr>
      <w:tr w:rsidR="0099088D" w:rsidRPr="00612E51" w14:paraId="447FF543" w14:textId="77777777" w:rsidTr="0099088D">
        <w:trPr>
          <w:trHeight w:val="35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EA052B" w14:textId="77777777" w:rsidR="0099088D" w:rsidRPr="00612E51" w:rsidRDefault="0099088D" w:rsidP="0099088D">
            <w:pPr>
              <w:jc w:val="center"/>
              <w:rPr>
                <w:color w:val="000000"/>
              </w:rPr>
            </w:pPr>
            <w:r w:rsidRPr="00612E51">
              <w:rPr>
                <w:color w:val="000000"/>
              </w:rPr>
              <w:t>6.2.1.</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9D53C88" w14:textId="77777777" w:rsidR="0099088D" w:rsidRPr="00612E51" w:rsidRDefault="0099088D" w:rsidP="0099088D">
            <w:pPr>
              <w:rPr>
                <w:color w:val="000000"/>
              </w:rPr>
            </w:pPr>
            <w:r w:rsidRPr="00612E51">
              <w:rPr>
                <w:color w:val="000000"/>
              </w:rPr>
              <w:t>стальных газопроводов:</w:t>
            </w:r>
          </w:p>
        </w:tc>
      </w:tr>
      <w:tr w:rsidR="0099088D" w:rsidRPr="00612E51" w14:paraId="07B8673F" w14:textId="77777777" w:rsidTr="0099088D">
        <w:trPr>
          <w:trHeight w:val="40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F0EC98" w14:textId="77777777" w:rsidR="0099088D" w:rsidRPr="00612E51" w:rsidRDefault="0099088D" w:rsidP="0099088D">
            <w:pPr>
              <w:jc w:val="center"/>
              <w:rPr>
                <w:color w:val="000000"/>
              </w:rPr>
            </w:pPr>
            <w:r w:rsidRPr="00612E51">
              <w:rPr>
                <w:color w:val="000000"/>
              </w:rPr>
              <w:t>6.2.1.1.</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4B17A94" w14:textId="77777777" w:rsidR="0099088D" w:rsidRPr="00612E51" w:rsidRDefault="0099088D" w:rsidP="0099088D">
            <w:pPr>
              <w:rPr>
                <w:color w:val="000000"/>
              </w:rPr>
            </w:pPr>
            <w:r w:rsidRPr="00612E51">
              <w:rPr>
                <w:color w:val="000000"/>
              </w:rPr>
              <w:t>наземного (надземного) способа прокладки:</w:t>
            </w:r>
          </w:p>
        </w:tc>
      </w:tr>
      <w:tr w:rsidR="0099088D" w:rsidRPr="00612E51" w14:paraId="79CA1887" w14:textId="77777777" w:rsidTr="0099088D">
        <w:trPr>
          <w:trHeight w:val="691"/>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5D8971" w14:textId="77777777" w:rsidR="0099088D" w:rsidRPr="00612E51" w:rsidRDefault="0099088D" w:rsidP="0099088D">
            <w:pPr>
              <w:jc w:val="center"/>
              <w:rPr>
                <w:color w:val="000000"/>
              </w:rPr>
            </w:pPr>
            <w:r w:rsidRPr="00612E51">
              <w:rPr>
                <w:color w:val="000000"/>
              </w:rPr>
              <w:t>6.2.1.1.1.</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76E9EAC" w14:textId="77777777" w:rsidR="0099088D" w:rsidRPr="00612E51" w:rsidRDefault="0099088D" w:rsidP="0099088D">
            <w:pPr>
              <w:rPr>
                <w:color w:val="000000"/>
              </w:rPr>
            </w:pPr>
            <w:r w:rsidRPr="00612E51">
              <w:rPr>
                <w:color w:val="000000"/>
              </w:rPr>
              <w:t>с давлением до 0,005 МПа (включительно) в газопроводе, в который осуществляется врезка, наружным диаметром:</w:t>
            </w:r>
          </w:p>
        </w:tc>
      </w:tr>
      <w:tr w:rsidR="0099088D" w:rsidRPr="00612E51" w14:paraId="15D09651"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1BF066" w14:textId="77777777" w:rsidR="0099088D" w:rsidRPr="00612E51" w:rsidRDefault="0099088D" w:rsidP="0099088D">
            <w:pPr>
              <w:jc w:val="center"/>
              <w:rPr>
                <w:color w:val="000000"/>
              </w:rPr>
            </w:pPr>
            <w:r w:rsidRPr="00612E51">
              <w:rPr>
                <w:color w:val="000000"/>
              </w:rPr>
              <w:t>6.2.1.1.1.1.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E24E8D" w14:textId="77777777" w:rsidR="0099088D" w:rsidRPr="00612E51" w:rsidRDefault="0099088D" w:rsidP="0099088D">
            <w:pPr>
              <w:rPr>
                <w:color w:val="000000"/>
              </w:rPr>
            </w:pPr>
            <w:r w:rsidRPr="00612E51">
              <w:rPr>
                <w:color w:val="000000"/>
              </w:rPr>
              <w:t>до 100 мм</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EC345D" w14:textId="77777777" w:rsidR="0099088D" w:rsidRPr="00612E51" w:rsidRDefault="0099088D" w:rsidP="0099088D">
            <w:pPr>
              <w:jc w:val="center"/>
              <w:rPr>
                <w:color w:val="000000"/>
              </w:rPr>
            </w:pPr>
            <w:r w:rsidRPr="00612E51">
              <w:rPr>
                <w:color w:val="000000"/>
              </w:rPr>
              <w:t>руб.</w:t>
            </w:r>
            <w:r w:rsidRPr="00612E51">
              <w:rPr>
                <w:sz w:val="20"/>
                <w:szCs w:val="20"/>
              </w:rPr>
              <w:t xml:space="preserve"> </w:t>
            </w:r>
            <w:r w:rsidRPr="00612E51">
              <w:rPr>
                <w:color w:val="000000"/>
              </w:rPr>
              <w:t>за 1 присоединение</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A1B604" w14:textId="77777777" w:rsidR="0099088D" w:rsidRPr="00612E51" w:rsidRDefault="0099088D" w:rsidP="0099088D">
            <w:pPr>
              <w:jc w:val="center"/>
              <w:rPr>
                <w:color w:val="000000"/>
              </w:rPr>
            </w:pPr>
            <w:r w:rsidRPr="00612E51">
              <w:rPr>
                <w:color w:val="000000"/>
              </w:rPr>
              <w:t>12 426</w:t>
            </w:r>
          </w:p>
        </w:tc>
      </w:tr>
      <w:tr w:rsidR="0099088D" w:rsidRPr="00612E51" w14:paraId="78E30E2B"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235340" w14:textId="77777777" w:rsidR="0099088D" w:rsidRPr="00612E51" w:rsidRDefault="0099088D" w:rsidP="0099088D">
            <w:pPr>
              <w:jc w:val="center"/>
              <w:rPr>
                <w:color w:val="000000"/>
              </w:rPr>
            </w:pPr>
            <w:r w:rsidRPr="00612E51">
              <w:rPr>
                <w:color w:val="000000"/>
              </w:rPr>
              <w:t>6.2.1.1.1.2.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3DB670" w14:textId="77777777" w:rsidR="0099088D" w:rsidRPr="00612E51" w:rsidRDefault="0099088D" w:rsidP="0099088D">
            <w:pPr>
              <w:rPr>
                <w:color w:val="000000"/>
              </w:rPr>
            </w:pPr>
            <w:r w:rsidRPr="00612E51">
              <w:rPr>
                <w:color w:val="000000"/>
              </w:rPr>
              <w:t>101-158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568CA7A6" w14:textId="77777777" w:rsidR="0099088D" w:rsidRPr="00612E51" w:rsidRDefault="0099088D" w:rsidP="0099088D">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6D0877A6" w14:textId="77777777" w:rsidR="0099088D" w:rsidRPr="00612E51" w:rsidRDefault="0099088D" w:rsidP="0099088D">
            <w:pPr>
              <w:jc w:val="center"/>
              <w:rPr>
                <w:color w:val="000000"/>
              </w:rPr>
            </w:pPr>
            <w:r w:rsidRPr="00612E51">
              <w:rPr>
                <w:color w:val="000000"/>
              </w:rPr>
              <w:t>13 898</w:t>
            </w:r>
          </w:p>
        </w:tc>
      </w:tr>
      <w:tr w:rsidR="0099088D" w:rsidRPr="00612E51" w14:paraId="76FE8694"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A372FE" w14:textId="77777777" w:rsidR="0099088D" w:rsidRPr="00612E51" w:rsidRDefault="0099088D" w:rsidP="0099088D">
            <w:pPr>
              <w:jc w:val="center"/>
              <w:rPr>
                <w:color w:val="000000"/>
              </w:rPr>
            </w:pPr>
            <w:r w:rsidRPr="00612E51">
              <w:rPr>
                <w:color w:val="000000"/>
              </w:rPr>
              <w:t>6.2.1.1.1.3.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7F5F5A" w14:textId="77777777" w:rsidR="0099088D" w:rsidRPr="00612E51" w:rsidRDefault="0099088D" w:rsidP="0099088D">
            <w:pPr>
              <w:rPr>
                <w:color w:val="000000"/>
              </w:rPr>
            </w:pPr>
            <w:r w:rsidRPr="00612E51">
              <w:rPr>
                <w:color w:val="000000"/>
              </w:rPr>
              <w:t>159-218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0779DAD0" w14:textId="77777777" w:rsidR="0099088D" w:rsidRPr="00612E51" w:rsidRDefault="0099088D" w:rsidP="0099088D">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hideMark/>
          </w:tcPr>
          <w:p w14:paraId="68CC0C3E" w14:textId="77777777" w:rsidR="0099088D" w:rsidRPr="00612E51" w:rsidRDefault="0099088D" w:rsidP="0099088D">
            <w:pPr>
              <w:jc w:val="center"/>
              <w:rPr>
                <w:color w:val="000000"/>
              </w:rPr>
            </w:pPr>
            <w:r w:rsidRPr="00612E51">
              <w:rPr>
                <w:color w:val="000000"/>
              </w:rPr>
              <w:t>42 223</w:t>
            </w:r>
          </w:p>
        </w:tc>
      </w:tr>
      <w:tr w:rsidR="0099088D" w:rsidRPr="00612E51" w14:paraId="45E7188A"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1D7DD6BA" w14:textId="77777777" w:rsidR="0099088D" w:rsidRPr="00612E51" w:rsidRDefault="0099088D" w:rsidP="0099088D">
            <w:pPr>
              <w:jc w:val="center"/>
              <w:rPr>
                <w:color w:val="000000"/>
              </w:rPr>
            </w:pPr>
            <w:r w:rsidRPr="00612E51">
              <w:rPr>
                <w:color w:val="000000"/>
              </w:rPr>
              <w:t>6.2.1.1.1.4.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7FA353E4" w14:textId="77777777" w:rsidR="0099088D" w:rsidRPr="00612E51" w:rsidRDefault="0099088D" w:rsidP="0099088D">
            <w:pPr>
              <w:rPr>
                <w:color w:val="000000"/>
              </w:rPr>
            </w:pPr>
            <w:r w:rsidRPr="00612E51">
              <w:rPr>
                <w:color w:val="000000"/>
              </w:rPr>
              <w:t>219-272 мм</w:t>
            </w:r>
          </w:p>
        </w:tc>
        <w:tc>
          <w:tcPr>
            <w:tcW w:w="1775" w:type="dxa"/>
            <w:vMerge/>
            <w:tcBorders>
              <w:top w:val="single" w:sz="4" w:space="0" w:color="auto"/>
              <w:left w:val="single" w:sz="4" w:space="0" w:color="auto"/>
              <w:bottom w:val="single" w:sz="4" w:space="0" w:color="auto"/>
              <w:right w:val="single" w:sz="4" w:space="0" w:color="auto"/>
            </w:tcBorders>
            <w:vAlign w:val="center"/>
          </w:tcPr>
          <w:p w14:paraId="37D6461E" w14:textId="77777777" w:rsidR="0099088D" w:rsidRPr="00612E51" w:rsidRDefault="0099088D" w:rsidP="0099088D">
            <w:pPr>
              <w:rPr>
                <w:color w:val="000000"/>
              </w:rPr>
            </w:pPr>
          </w:p>
        </w:tc>
        <w:tc>
          <w:tcPr>
            <w:tcW w:w="2466" w:type="dxa"/>
            <w:tcBorders>
              <w:top w:val="nil"/>
              <w:left w:val="single" w:sz="4" w:space="0" w:color="auto"/>
              <w:bottom w:val="single" w:sz="4" w:space="0" w:color="auto"/>
              <w:right w:val="single" w:sz="4" w:space="0" w:color="auto"/>
            </w:tcBorders>
            <w:shd w:val="clear" w:color="auto" w:fill="auto"/>
            <w:vAlign w:val="center"/>
          </w:tcPr>
          <w:p w14:paraId="324CC324" w14:textId="77777777" w:rsidR="0099088D" w:rsidRPr="00612E51" w:rsidRDefault="0099088D" w:rsidP="0099088D">
            <w:pPr>
              <w:jc w:val="center"/>
              <w:rPr>
                <w:color w:val="000000"/>
              </w:rPr>
            </w:pPr>
            <w:r w:rsidRPr="00612E51">
              <w:rPr>
                <w:color w:val="000000"/>
              </w:rPr>
              <w:t>50 876</w:t>
            </w:r>
          </w:p>
        </w:tc>
      </w:tr>
      <w:tr w:rsidR="0099088D" w:rsidRPr="00612E51" w14:paraId="3F18F94A" w14:textId="77777777" w:rsidTr="0099088D">
        <w:trPr>
          <w:trHeight w:val="133"/>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4DA54584" w14:textId="77777777" w:rsidR="0099088D" w:rsidRPr="00612E51" w:rsidRDefault="0099088D" w:rsidP="0099088D">
            <w:pPr>
              <w:jc w:val="center"/>
              <w:rPr>
                <w:color w:val="000000"/>
              </w:rPr>
            </w:pPr>
            <w:r w:rsidRPr="00612E51">
              <w:rPr>
                <w:color w:val="000000"/>
              </w:rPr>
              <w:t>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5868BB8F" w14:textId="77777777" w:rsidR="0099088D" w:rsidRPr="00612E51" w:rsidRDefault="0099088D" w:rsidP="0099088D">
            <w:pPr>
              <w:jc w:val="center"/>
              <w:rPr>
                <w:color w:val="000000"/>
              </w:rPr>
            </w:pPr>
            <w:r w:rsidRPr="00612E51">
              <w:rPr>
                <w:color w:val="000000"/>
              </w:rPr>
              <w:t>2</w:t>
            </w:r>
          </w:p>
        </w:tc>
        <w:tc>
          <w:tcPr>
            <w:tcW w:w="1775" w:type="dxa"/>
            <w:tcBorders>
              <w:top w:val="single" w:sz="4" w:space="0" w:color="auto"/>
              <w:left w:val="single" w:sz="4" w:space="0" w:color="auto"/>
              <w:bottom w:val="single" w:sz="4" w:space="0" w:color="auto"/>
              <w:right w:val="single" w:sz="4" w:space="0" w:color="auto"/>
            </w:tcBorders>
            <w:shd w:val="clear" w:color="auto" w:fill="auto"/>
            <w:vAlign w:val="center"/>
          </w:tcPr>
          <w:p w14:paraId="44F03849" w14:textId="77777777" w:rsidR="0099088D" w:rsidRPr="00612E51" w:rsidRDefault="0099088D" w:rsidP="0099088D">
            <w:pPr>
              <w:jc w:val="center"/>
              <w:rPr>
                <w:color w:val="000000"/>
              </w:rPr>
            </w:pPr>
            <w:r w:rsidRPr="00612E51">
              <w:rPr>
                <w:color w:val="000000"/>
              </w:rPr>
              <w:t>3</w:t>
            </w:r>
          </w:p>
        </w:tc>
        <w:tc>
          <w:tcPr>
            <w:tcW w:w="2466" w:type="dxa"/>
            <w:tcBorders>
              <w:top w:val="single" w:sz="4" w:space="0" w:color="auto"/>
              <w:left w:val="single" w:sz="4" w:space="0" w:color="auto"/>
              <w:bottom w:val="single" w:sz="4" w:space="0" w:color="auto"/>
              <w:right w:val="single" w:sz="4" w:space="0" w:color="auto"/>
            </w:tcBorders>
            <w:shd w:val="clear" w:color="000000" w:fill="FFFFFF"/>
            <w:vAlign w:val="center"/>
          </w:tcPr>
          <w:p w14:paraId="4EAC3278" w14:textId="77777777" w:rsidR="0099088D" w:rsidRPr="00612E51" w:rsidRDefault="0099088D" w:rsidP="0099088D">
            <w:pPr>
              <w:jc w:val="center"/>
              <w:rPr>
                <w:color w:val="000000"/>
              </w:rPr>
            </w:pPr>
            <w:r w:rsidRPr="00612E51">
              <w:rPr>
                <w:color w:val="000000"/>
              </w:rPr>
              <w:t>4</w:t>
            </w:r>
          </w:p>
        </w:tc>
      </w:tr>
      <w:tr w:rsidR="0099088D" w:rsidRPr="00612E51" w14:paraId="47444024" w14:textId="77777777" w:rsidTr="0099088D">
        <w:trPr>
          <w:trHeight w:val="621"/>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20619A" w14:textId="77777777" w:rsidR="0099088D" w:rsidRPr="00612E51" w:rsidRDefault="0099088D" w:rsidP="0099088D">
            <w:pPr>
              <w:jc w:val="center"/>
              <w:rPr>
                <w:color w:val="000000"/>
              </w:rPr>
            </w:pPr>
            <w:r w:rsidRPr="00612E51">
              <w:rPr>
                <w:color w:val="000000"/>
              </w:rPr>
              <w:t>6.2.1.1.2.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14D22FE" w14:textId="77777777" w:rsidR="0099088D" w:rsidRPr="00612E51" w:rsidRDefault="0099088D" w:rsidP="0099088D">
            <w:pPr>
              <w:rPr>
                <w:color w:val="000000"/>
              </w:rPr>
            </w:pPr>
            <w:r w:rsidRPr="00612E51">
              <w:rPr>
                <w:color w:val="000000"/>
              </w:rPr>
              <w:t>с давлением от 0,005 МПа до 1,2 МПа (включительно) в газопроводе, в который осуществляется врезка, наружным диаметром:</w:t>
            </w:r>
          </w:p>
        </w:tc>
      </w:tr>
      <w:tr w:rsidR="0099088D" w:rsidRPr="00612E51" w14:paraId="251E75D0"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5D8510" w14:textId="77777777" w:rsidR="0099088D" w:rsidRPr="00612E51" w:rsidRDefault="0099088D" w:rsidP="0099088D">
            <w:pPr>
              <w:jc w:val="center"/>
              <w:rPr>
                <w:color w:val="000000"/>
              </w:rPr>
            </w:pPr>
            <w:r w:rsidRPr="00612E51">
              <w:rPr>
                <w:color w:val="000000"/>
              </w:rPr>
              <w:t>6.2.1.1.2.1.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C68470" w14:textId="77777777" w:rsidR="0099088D" w:rsidRPr="00612E51" w:rsidRDefault="0099088D" w:rsidP="0099088D">
            <w:r w:rsidRPr="00612E51">
              <w:t>до 100 мм</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D39D6B" w14:textId="77777777" w:rsidR="0099088D" w:rsidRPr="00612E51" w:rsidRDefault="0099088D" w:rsidP="0099088D">
            <w:pPr>
              <w:jc w:val="center"/>
            </w:pPr>
            <w:r w:rsidRPr="00612E51">
              <w:rPr>
                <w:color w:val="000000"/>
              </w:rPr>
              <w:t>руб.</w:t>
            </w:r>
            <w:r w:rsidRPr="00612E51">
              <w:rPr>
                <w:sz w:val="20"/>
                <w:szCs w:val="20"/>
              </w:rPr>
              <w:t xml:space="preserve"> </w:t>
            </w:r>
            <w:r w:rsidRPr="00612E51">
              <w:rPr>
                <w:color w:val="000000"/>
              </w:rPr>
              <w:t>за 1 присоединение</w:t>
            </w: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314AFED1" w14:textId="77777777" w:rsidR="0099088D" w:rsidRPr="00612E51" w:rsidRDefault="0099088D" w:rsidP="0099088D">
            <w:pPr>
              <w:jc w:val="center"/>
              <w:rPr>
                <w:color w:val="000000"/>
              </w:rPr>
            </w:pPr>
            <w:r w:rsidRPr="00612E51">
              <w:rPr>
                <w:color w:val="000000"/>
              </w:rPr>
              <w:t>20 192</w:t>
            </w:r>
          </w:p>
        </w:tc>
      </w:tr>
      <w:tr w:rsidR="0099088D" w:rsidRPr="00612E51" w14:paraId="72E71438"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9A76E5" w14:textId="77777777" w:rsidR="0099088D" w:rsidRPr="00612E51" w:rsidRDefault="0099088D" w:rsidP="0099088D">
            <w:pPr>
              <w:jc w:val="center"/>
              <w:rPr>
                <w:color w:val="000000"/>
              </w:rPr>
            </w:pPr>
            <w:r w:rsidRPr="00612E51">
              <w:rPr>
                <w:color w:val="000000"/>
              </w:rPr>
              <w:t>6.2.1.1.2.2.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CFE9DC" w14:textId="77777777" w:rsidR="0099088D" w:rsidRPr="00612E51" w:rsidRDefault="0099088D" w:rsidP="0099088D">
            <w:r w:rsidRPr="00612E51">
              <w:t>101-158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7F4B7F60" w14:textId="77777777" w:rsidR="0099088D" w:rsidRPr="00612E51" w:rsidRDefault="0099088D" w:rsidP="0099088D"/>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0E6279CB" w14:textId="77777777" w:rsidR="0099088D" w:rsidRPr="00612E51" w:rsidRDefault="0099088D" w:rsidP="0099088D">
            <w:pPr>
              <w:jc w:val="center"/>
              <w:rPr>
                <w:color w:val="000000"/>
              </w:rPr>
            </w:pPr>
            <w:r w:rsidRPr="00612E51">
              <w:rPr>
                <w:color w:val="000000"/>
              </w:rPr>
              <w:t>30 004</w:t>
            </w:r>
          </w:p>
        </w:tc>
      </w:tr>
      <w:tr w:rsidR="0099088D" w:rsidRPr="00612E51" w14:paraId="2E7A2A42"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FFA061" w14:textId="77777777" w:rsidR="0099088D" w:rsidRPr="00612E51" w:rsidRDefault="0099088D" w:rsidP="0099088D">
            <w:pPr>
              <w:jc w:val="center"/>
              <w:rPr>
                <w:color w:val="000000"/>
              </w:rPr>
            </w:pPr>
            <w:r w:rsidRPr="00612E51">
              <w:rPr>
                <w:color w:val="000000"/>
              </w:rPr>
              <w:t>6.2.1.1.2.3.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B882C7" w14:textId="77777777" w:rsidR="0099088D" w:rsidRPr="00612E51" w:rsidRDefault="0099088D" w:rsidP="0099088D">
            <w:r w:rsidRPr="00612E51">
              <w:t>159-218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737DE874" w14:textId="77777777" w:rsidR="0099088D" w:rsidRPr="00612E51" w:rsidRDefault="0099088D" w:rsidP="0099088D"/>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404B9404" w14:textId="77777777" w:rsidR="0099088D" w:rsidRPr="00612E51" w:rsidRDefault="0099088D" w:rsidP="0099088D">
            <w:pPr>
              <w:jc w:val="center"/>
              <w:rPr>
                <w:color w:val="000000"/>
              </w:rPr>
            </w:pPr>
            <w:r w:rsidRPr="00612E51">
              <w:rPr>
                <w:color w:val="000000"/>
              </w:rPr>
              <w:t>40 239</w:t>
            </w:r>
          </w:p>
        </w:tc>
      </w:tr>
      <w:tr w:rsidR="0099088D" w:rsidRPr="00612E51" w14:paraId="0F94BFB9"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B3E06C" w14:textId="77777777" w:rsidR="0099088D" w:rsidRPr="00612E51" w:rsidRDefault="0099088D" w:rsidP="0099088D">
            <w:pPr>
              <w:jc w:val="center"/>
              <w:rPr>
                <w:color w:val="000000"/>
              </w:rPr>
            </w:pPr>
            <w:r w:rsidRPr="00612E51">
              <w:rPr>
                <w:color w:val="000000"/>
              </w:rPr>
              <w:t>6.2.1.1.2.4.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B55CC9" w14:textId="77777777" w:rsidR="0099088D" w:rsidRPr="00612E51" w:rsidRDefault="0099088D" w:rsidP="0099088D">
            <w:r w:rsidRPr="00612E51">
              <w:t>219-272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12B564C9" w14:textId="77777777" w:rsidR="0099088D" w:rsidRPr="00612E51" w:rsidRDefault="0099088D" w:rsidP="0099088D"/>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53E83DB9" w14:textId="77777777" w:rsidR="0099088D" w:rsidRPr="00612E51" w:rsidRDefault="0099088D" w:rsidP="0099088D">
            <w:pPr>
              <w:jc w:val="center"/>
              <w:rPr>
                <w:color w:val="000000"/>
              </w:rPr>
            </w:pPr>
            <w:r w:rsidRPr="00612E51">
              <w:rPr>
                <w:color w:val="000000"/>
              </w:rPr>
              <w:t>40 239</w:t>
            </w:r>
          </w:p>
        </w:tc>
      </w:tr>
      <w:tr w:rsidR="0099088D" w:rsidRPr="00612E51" w14:paraId="3BE1AA88"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8BC3B1" w14:textId="77777777" w:rsidR="0099088D" w:rsidRPr="00612E51" w:rsidRDefault="0099088D" w:rsidP="0099088D">
            <w:pPr>
              <w:jc w:val="center"/>
              <w:rPr>
                <w:color w:val="000000"/>
              </w:rPr>
            </w:pPr>
            <w:r w:rsidRPr="00612E51">
              <w:rPr>
                <w:color w:val="000000"/>
              </w:rPr>
              <w:t>6.2.1.1.2.5.</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DF52F1" w14:textId="77777777" w:rsidR="0099088D" w:rsidRPr="00612E51" w:rsidRDefault="0099088D" w:rsidP="0099088D">
            <w:r w:rsidRPr="00612E51">
              <w:t>273-324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067DA1C6" w14:textId="77777777" w:rsidR="0099088D" w:rsidRPr="00612E51" w:rsidRDefault="0099088D" w:rsidP="0099088D"/>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1CB3E194" w14:textId="77777777" w:rsidR="0099088D" w:rsidRPr="00612E51" w:rsidRDefault="0099088D" w:rsidP="0099088D">
            <w:pPr>
              <w:jc w:val="center"/>
              <w:rPr>
                <w:color w:val="000000"/>
              </w:rPr>
            </w:pPr>
            <w:r w:rsidRPr="00612E51">
              <w:rPr>
                <w:color w:val="000000"/>
              </w:rPr>
              <w:t>55 792</w:t>
            </w:r>
          </w:p>
        </w:tc>
      </w:tr>
      <w:tr w:rsidR="0099088D" w:rsidRPr="00612E51" w14:paraId="2B17D910"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57ECFC" w14:textId="77777777" w:rsidR="0099088D" w:rsidRPr="00612E51" w:rsidRDefault="0099088D" w:rsidP="0099088D">
            <w:pPr>
              <w:jc w:val="center"/>
              <w:rPr>
                <w:color w:val="000000"/>
              </w:rPr>
            </w:pPr>
            <w:r w:rsidRPr="00612E51">
              <w:rPr>
                <w:color w:val="000000"/>
              </w:rPr>
              <w:t>6.2.1.1.2.6.</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2B679F" w14:textId="77777777" w:rsidR="0099088D" w:rsidRPr="00612E51" w:rsidRDefault="0099088D" w:rsidP="0099088D">
            <w:r w:rsidRPr="00612E51">
              <w:t>325-425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37332411" w14:textId="77777777" w:rsidR="0099088D" w:rsidRPr="00612E51" w:rsidRDefault="0099088D" w:rsidP="0099088D"/>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3FFB69D5" w14:textId="77777777" w:rsidR="0099088D" w:rsidRPr="00612E51" w:rsidRDefault="0099088D" w:rsidP="0099088D">
            <w:pPr>
              <w:jc w:val="center"/>
              <w:rPr>
                <w:color w:val="000000"/>
              </w:rPr>
            </w:pPr>
            <w:r w:rsidRPr="00612E51">
              <w:rPr>
                <w:color w:val="000000"/>
              </w:rPr>
              <w:t>58 133</w:t>
            </w:r>
          </w:p>
        </w:tc>
      </w:tr>
      <w:tr w:rsidR="0099088D" w:rsidRPr="00612E51" w14:paraId="79171145"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EEF5A1" w14:textId="77777777" w:rsidR="0099088D" w:rsidRPr="00612E51" w:rsidRDefault="0099088D" w:rsidP="0099088D">
            <w:pPr>
              <w:jc w:val="center"/>
              <w:rPr>
                <w:color w:val="000000"/>
              </w:rPr>
            </w:pPr>
            <w:r w:rsidRPr="00612E51">
              <w:rPr>
                <w:color w:val="000000"/>
              </w:rPr>
              <w:t>6.2.1.1.2.7.</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211E2" w14:textId="77777777" w:rsidR="0099088D" w:rsidRPr="00612E51" w:rsidRDefault="0099088D" w:rsidP="0099088D">
            <w:r w:rsidRPr="00612E51">
              <w:t>426-529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1584D043" w14:textId="77777777" w:rsidR="0099088D" w:rsidRPr="00612E51" w:rsidRDefault="0099088D" w:rsidP="0099088D"/>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233666EB" w14:textId="77777777" w:rsidR="0099088D" w:rsidRPr="00612E51" w:rsidRDefault="0099088D" w:rsidP="0099088D">
            <w:pPr>
              <w:jc w:val="center"/>
              <w:rPr>
                <w:color w:val="000000"/>
              </w:rPr>
            </w:pPr>
            <w:r w:rsidRPr="00612E51">
              <w:rPr>
                <w:color w:val="000000"/>
              </w:rPr>
              <w:t>58 355</w:t>
            </w:r>
          </w:p>
        </w:tc>
      </w:tr>
      <w:tr w:rsidR="0099088D" w:rsidRPr="00612E51" w14:paraId="4516E566"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FE8459" w14:textId="77777777" w:rsidR="0099088D" w:rsidRPr="00612E51" w:rsidRDefault="0099088D" w:rsidP="0099088D">
            <w:pPr>
              <w:jc w:val="center"/>
              <w:rPr>
                <w:color w:val="000000"/>
              </w:rPr>
            </w:pPr>
            <w:r w:rsidRPr="00612E51">
              <w:rPr>
                <w:color w:val="000000"/>
              </w:rPr>
              <w:t>6.2.1.1.2.8.</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27FC9C" w14:textId="77777777" w:rsidR="0099088D" w:rsidRPr="00612E51" w:rsidRDefault="0099088D" w:rsidP="0099088D">
            <w:r w:rsidRPr="00612E51">
              <w:t>530 мм и выше</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2012C1F1" w14:textId="77777777" w:rsidR="0099088D" w:rsidRPr="00612E51" w:rsidRDefault="0099088D" w:rsidP="0099088D"/>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0AA70927" w14:textId="77777777" w:rsidR="0099088D" w:rsidRPr="00612E51" w:rsidRDefault="0099088D" w:rsidP="0099088D">
            <w:pPr>
              <w:jc w:val="center"/>
              <w:rPr>
                <w:color w:val="000000"/>
              </w:rPr>
            </w:pPr>
            <w:r w:rsidRPr="00612E51">
              <w:rPr>
                <w:color w:val="000000"/>
              </w:rPr>
              <w:t>58 355</w:t>
            </w:r>
          </w:p>
        </w:tc>
      </w:tr>
      <w:tr w:rsidR="0099088D" w:rsidRPr="00612E51" w14:paraId="4831FEFD"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6B57CB" w14:textId="77777777" w:rsidR="0099088D" w:rsidRPr="00612E51" w:rsidRDefault="0099088D" w:rsidP="0099088D">
            <w:pPr>
              <w:jc w:val="center"/>
              <w:rPr>
                <w:color w:val="000000"/>
              </w:rPr>
            </w:pPr>
            <w:r w:rsidRPr="00612E51">
              <w:rPr>
                <w:color w:val="000000"/>
              </w:rPr>
              <w:t>6.2.1.2.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313C324" w14:textId="77777777" w:rsidR="0099088D" w:rsidRPr="00612E51" w:rsidRDefault="0099088D" w:rsidP="0099088D">
            <w:r w:rsidRPr="00612E51">
              <w:t>подземного типа прокладки:</w:t>
            </w:r>
          </w:p>
        </w:tc>
      </w:tr>
      <w:tr w:rsidR="0099088D" w:rsidRPr="00612E51" w14:paraId="03C06326"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4110119E" w14:textId="77777777" w:rsidR="0099088D" w:rsidRPr="00612E51" w:rsidRDefault="0099088D" w:rsidP="0099088D">
            <w:pPr>
              <w:jc w:val="center"/>
              <w:rPr>
                <w:color w:val="000000"/>
              </w:rPr>
            </w:pPr>
            <w:r w:rsidRPr="00612E51">
              <w:rPr>
                <w:color w:val="000000"/>
              </w:rPr>
              <w:t>6.2.1.2.1.</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80AED8" w14:textId="77777777" w:rsidR="0099088D" w:rsidRPr="00612E51" w:rsidRDefault="0099088D" w:rsidP="0099088D">
            <w:pPr>
              <w:rPr>
                <w:color w:val="000000"/>
              </w:rPr>
            </w:pPr>
            <w:r w:rsidRPr="00612E51">
              <w:rPr>
                <w:color w:val="000000"/>
              </w:rPr>
              <w:t>с давлением до 0,005 МПа (включительно) в газопроводе, в который осуществляется врезка, наружным диаметром:</w:t>
            </w:r>
          </w:p>
        </w:tc>
      </w:tr>
      <w:tr w:rsidR="0099088D" w:rsidRPr="00612E51" w14:paraId="0CB13E2A"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06A851A5" w14:textId="77777777" w:rsidR="0099088D" w:rsidRPr="00612E51" w:rsidRDefault="0099088D" w:rsidP="0099088D">
            <w:pPr>
              <w:jc w:val="center"/>
              <w:rPr>
                <w:color w:val="000000"/>
              </w:rPr>
            </w:pPr>
            <w:r w:rsidRPr="00612E51">
              <w:rPr>
                <w:color w:val="000000"/>
              </w:rPr>
              <w:t>6.2.1.2.1.1.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0250DA32" w14:textId="77777777" w:rsidR="0099088D" w:rsidRPr="00612E51" w:rsidRDefault="0099088D" w:rsidP="0099088D">
            <w:pPr>
              <w:rPr>
                <w:color w:val="000000"/>
              </w:rPr>
            </w:pPr>
            <w:r w:rsidRPr="00612E51">
              <w:rPr>
                <w:color w:val="000000"/>
              </w:rPr>
              <w:t>до 100 мм</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2CF6CEE" w14:textId="77777777" w:rsidR="0099088D" w:rsidRPr="00612E51" w:rsidRDefault="0099088D" w:rsidP="0099088D">
            <w:pPr>
              <w:jc w:val="center"/>
            </w:pPr>
            <w:r w:rsidRPr="00612E51">
              <w:rPr>
                <w:color w:val="000000"/>
              </w:rPr>
              <w:t>руб.</w:t>
            </w:r>
            <w:r w:rsidRPr="00612E51">
              <w:rPr>
                <w:sz w:val="20"/>
                <w:szCs w:val="20"/>
              </w:rPr>
              <w:t xml:space="preserve"> </w:t>
            </w:r>
            <w:r w:rsidRPr="00612E51">
              <w:rPr>
                <w:color w:val="000000"/>
              </w:rPr>
              <w:t>за 1 присоединение</w:t>
            </w:r>
          </w:p>
        </w:tc>
        <w:tc>
          <w:tcPr>
            <w:tcW w:w="2466" w:type="dxa"/>
            <w:tcBorders>
              <w:top w:val="single" w:sz="4" w:space="0" w:color="auto"/>
              <w:left w:val="nil"/>
              <w:bottom w:val="single" w:sz="4" w:space="0" w:color="auto"/>
              <w:right w:val="single" w:sz="4" w:space="0" w:color="auto"/>
            </w:tcBorders>
            <w:shd w:val="clear" w:color="auto" w:fill="auto"/>
            <w:vAlign w:val="center"/>
          </w:tcPr>
          <w:p w14:paraId="1A92CC38" w14:textId="77777777" w:rsidR="0099088D" w:rsidRPr="00612E51" w:rsidRDefault="0099088D" w:rsidP="0099088D">
            <w:pPr>
              <w:jc w:val="center"/>
              <w:rPr>
                <w:color w:val="000000"/>
              </w:rPr>
            </w:pPr>
            <w:r w:rsidRPr="00612E51">
              <w:rPr>
                <w:color w:val="000000"/>
              </w:rPr>
              <w:t>12 604</w:t>
            </w:r>
          </w:p>
        </w:tc>
      </w:tr>
      <w:tr w:rsidR="0099088D" w:rsidRPr="00612E51" w14:paraId="51533782"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06AA7F1E" w14:textId="77777777" w:rsidR="0099088D" w:rsidRPr="00612E51" w:rsidRDefault="0099088D" w:rsidP="0099088D">
            <w:pPr>
              <w:jc w:val="center"/>
              <w:rPr>
                <w:color w:val="000000"/>
              </w:rPr>
            </w:pPr>
            <w:r w:rsidRPr="00612E51">
              <w:rPr>
                <w:color w:val="000000"/>
              </w:rPr>
              <w:t>6.2.1.2.1.2.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55DB5BAB" w14:textId="77777777" w:rsidR="0099088D" w:rsidRPr="00612E51" w:rsidRDefault="0099088D" w:rsidP="0099088D">
            <w:pPr>
              <w:rPr>
                <w:color w:val="000000"/>
              </w:rPr>
            </w:pPr>
            <w:r w:rsidRPr="00612E51">
              <w:rPr>
                <w:color w:val="000000"/>
              </w:rPr>
              <w:t>108-158 мм</w:t>
            </w:r>
          </w:p>
        </w:tc>
        <w:tc>
          <w:tcPr>
            <w:tcW w:w="17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B588AAF" w14:textId="77777777" w:rsidR="0099088D" w:rsidRPr="00612E51" w:rsidRDefault="0099088D" w:rsidP="0099088D"/>
        </w:tc>
        <w:tc>
          <w:tcPr>
            <w:tcW w:w="2466" w:type="dxa"/>
            <w:tcBorders>
              <w:top w:val="single" w:sz="4" w:space="0" w:color="auto"/>
              <w:left w:val="nil"/>
              <w:bottom w:val="single" w:sz="4" w:space="0" w:color="auto"/>
              <w:right w:val="single" w:sz="4" w:space="0" w:color="auto"/>
            </w:tcBorders>
            <w:shd w:val="clear" w:color="auto" w:fill="auto"/>
            <w:vAlign w:val="center"/>
          </w:tcPr>
          <w:p w14:paraId="6ECD3410" w14:textId="77777777" w:rsidR="0099088D" w:rsidRPr="00612E51" w:rsidRDefault="0099088D" w:rsidP="0099088D">
            <w:pPr>
              <w:jc w:val="center"/>
              <w:rPr>
                <w:color w:val="000000"/>
              </w:rPr>
            </w:pPr>
            <w:r w:rsidRPr="00612E51">
              <w:rPr>
                <w:color w:val="000000"/>
              </w:rPr>
              <w:t>12 604</w:t>
            </w:r>
          </w:p>
        </w:tc>
      </w:tr>
      <w:tr w:rsidR="0099088D" w:rsidRPr="00612E51" w14:paraId="014B6B9A" w14:textId="77777777" w:rsidTr="0099088D">
        <w:trPr>
          <w:trHeight w:val="83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54D13" w14:textId="77777777" w:rsidR="0099088D" w:rsidRPr="00612E51" w:rsidRDefault="0099088D" w:rsidP="0099088D">
            <w:pPr>
              <w:jc w:val="center"/>
              <w:rPr>
                <w:color w:val="000000"/>
              </w:rPr>
            </w:pPr>
            <w:r w:rsidRPr="00612E51">
              <w:rPr>
                <w:color w:val="000000"/>
              </w:rPr>
              <w:t>6.2.1.2.2.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4EA7306" w14:textId="77777777" w:rsidR="0099088D" w:rsidRPr="00612E51" w:rsidRDefault="0099088D" w:rsidP="0099088D">
            <w:pPr>
              <w:rPr>
                <w:color w:val="000000"/>
              </w:rPr>
            </w:pPr>
            <w:r w:rsidRPr="00612E51">
              <w:rPr>
                <w:color w:val="000000"/>
              </w:rPr>
              <w:t>с давлением от 0,005 МПа до 1,2 МПа (включительно) в газопроводе, в который осуществляется врезка, наружным диаметром:</w:t>
            </w:r>
          </w:p>
        </w:tc>
      </w:tr>
      <w:tr w:rsidR="0099088D" w:rsidRPr="00612E51" w14:paraId="284B9A3C"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6B9753" w14:textId="77777777" w:rsidR="0099088D" w:rsidRPr="00612E51" w:rsidRDefault="0099088D" w:rsidP="0099088D">
            <w:pPr>
              <w:jc w:val="center"/>
              <w:rPr>
                <w:color w:val="000000"/>
              </w:rPr>
            </w:pPr>
            <w:r w:rsidRPr="00612E51">
              <w:rPr>
                <w:color w:val="000000"/>
              </w:rPr>
              <w:t>6.2.1.2.2.1.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9918F7" w14:textId="77777777" w:rsidR="0099088D" w:rsidRPr="00612E51" w:rsidRDefault="0099088D" w:rsidP="0099088D">
            <w:pPr>
              <w:rPr>
                <w:color w:val="000000"/>
              </w:rPr>
            </w:pPr>
            <w:r w:rsidRPr="00612E51">
              <w:rPr>
                <w:color w:val="000000"/>
              </w:rPr>
              <w:t>до 100 мм</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5FA634" w14:textId="77777777" w:rsidR="0099088D" w:rsidRPr="00612E51" w:rsidRDefault="0099088D" w:rsidP="0099088D">
            <w:pPr>
              <w:jc w:val="center"/>
              <w:rPr>
                <w:color w:val="000000"/>
              </w:rPr>
            </w:pPr>
            <w:r w:rsidRPr="00612E51">
              <w:rPr>
                <w:color w:val="000000"/>
              </w:rPr>
              <w:t>руб. за 1 присоединение</w:t>
            </w:r>
          </w:p>
        </w:tc>
        <w:tc>
          <w:tcPr>
            <w:tcW w:w="2466" w:type="dxa"/>
            <w:tcBorders>
              <w:top w:val="single" w:sz="4" w:space="0" w:color="auto"/>
              <w:left w:val="single" w:sz="4" w:space="0" w:color="auto"/>
              <w:bottom w:val="single" w:sz="4" w:space="0" w:color="auto"/>
              <w:right w:val="single" w:sz="4" w:space="0" w:color="auto"/>
            </w:tcBorders>
            <w:shd w:val="clear" w:color="auto" w:fill="auto"/>
            <w:hideMark/>
          </w:tcPr>
          <w:p w14:paraId="2F77F700" w14:textId="77777777" w:rsidR="0099088D" w:rsidRPr="00612E51" w:rsidRDefault="0099088D" w:rsidP="0099088D">
            <w:pPr>
              <w:jc w:val="center"/>
              <w:rPr>
                <w:color w:val="000000"/>
              </w:rPr>
            </w:pPr>
            <w:r w:rsidRPr="00612E51">
              <w:rPr>
                <w:color w:val="000000"/>
              </w:rPr>
              <w:t>15 853</w:t>
            </w:r>
          </w:p>
        </w:tc>
      </w:tr>
      <w:tr w:rsidR="0099088D" w:rsidRPr="00612E51" w14:paraId="38CDDF34"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68C476" w14:textId="77777777" w:rsidR="0099088D" w:rsidRPr="00612E51" w:rsidRDefault="0099088D" w:rsidP="0099088D">
            <w:pPr>
              <w:jc w:val="center"/>
              <w:rPr>
                <w:color w:val="000000"/>
              </w:rPr>
            </w:pPr>
            <w:r w:rsidRPr="00612E51">
              <w:rPr>
                <w:color w:val="000000"/>
              </w:rPr>
              <w:t>6.2.1.2.2.2.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45ECD0" w14:textId="77777777" w:rsidR="0099088D" w:rsidRPr="00612E51" w:rsidRDefault="0099088D" w:rsidP="0099088D">
            <w:pPr>
              <w:rPr>
                <w:color w:val="000000"/>
              </w:rPr>
            </w:pPr>
            <w:r w:rsidRPr="00612E51">
              <w:rPr>
                <w:color w:val="000000"/>
              </w:rPr>
              <w:t>108-158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5A9AAA79" w14:textId="77777777" w:rsidR="0099088D" w:rsidRPr="00612E51" w:rsidRDefault="0099088D" w:rsidP="0099088D">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hideMark/>
          </w:tcPr>
          <w:p w14:paraId="7A8AC5A9" w14:textId="77777777" w:rsidR="0099088D" w:rsidRPr="00612E51" w:rsidRDefault="0099088D" w:rsidP="0099088D">
            <w:pPr>
              <w:jc w:val="center"/>
              <w:rPr>
                <w:color w:val="000000"/>
              </w:rPr>
            </w:pPr>
            <w:r w:rsidRPr="00612E51">
              <w:rPr>
                <w:color w:val="000000"/>
              </w:rPr>
              <w:t>30 896</w:t>
            </w:r>
          </w:p>
        </w:tc>
      </w:tr>
      <w:tr w:rsidR="0099088D" w:rsidRPr="00612E51" w14:paraId="0AB7D8A1"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F89CA4" w14:textId="77777777" w:rsidR="0099088D" w:rsidRPr="00612E51" w:rsidRDefault="0099088D" w:rsidP="0099088D">
            <w:pPr>
              <w:jc w:val="center"/>
              <w:rPr>
                <w:color w:val="000000"/>
              </w:rPr>
            </w:pPr>
            <w:r w:rsidRPr="00612E51">
              <w:rPr>
                <w:color w:val="000000"/>
              </w:rPr>
              <w:t>6.2.1.2.2.3.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E15BE" w14:textId="77777777" w:rsidR="0099088D" w:rsidRPr="00612E51" w:rsidRDefault="0099088D" w:rsidP="0099088D">
            <w:pPr>
              <w:rPr>
                <w:color w:val="000000"/>
              </w:rPr>
            </w:pPr>
            <w:r w:rsidRPr="00612E51">
              <w:rPr>
                <w:color w:val="000000"/>
              </w:rPr>
              <w:t>159-218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63B515E1" w14:textId="77777777" w:rsidR="0099088D" w:rsidRPr="00612E51" w:rsidRDefault="0099088D" w:rsidP="0099088D">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hideMark/>
          </w:tcPr>
          <w:p w14:paraId="35153C52" w14:textId="77777777" w:rsidR="0099088D" w:rsidRPr="00612E51" w:rsidRDefault="0099088D" w:rsidP="0099088D">
            <w:pPr>
              <w:jc w:val="center"/>
              <w:rPr>
                <w:color w:val="000000"/>
              </w:rPr>
            </w:pPr>
            <w:r w:rsidRPr="00612E51">
              <w:rPr>
                <w:color w:val="000000"/>
              </w:rPr>
              <w:t>48 329</w:t>
            </w:r>
          </w:p>
        </w:tc>
      </w:tr>
      <w:tr w:rsidR="0099088D" w:rsidRPr="00612E51" w14:paraId="4B6ACCC7"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E4CDD" w14:textId="77777777" w:rsidR="0099088D" w:rsidRPr="00612E51" w:rsidRDefault="0099088D" w:rsidP="0099088D">
            <w:pPr>
              <w:jc w:val="center"/>
              <w:rPr>
                <w:color w:val="000000"/>
              </w:rPr>
            </w:pPr>
            <w:r w:rsidRPr="00612E51">
              <w:rPr>
                <w:color w:val="000000"/>
              </w:rPr>
              <w:t>6.2.1.2.2.4.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D792DA" w14:textId="77777777" w:rsidR="0099088D" w:rsidRPr="00612E51" w:rsidRDefault="0099088D" w:rsidP="0099088D">
            <w:pPr>
              <w:rPr>
                <w:color w:val="000000"/>
              </w:rPr>
            </w:pPr>
            <w:r w:rsidRPr="00612E51">
              <w:rPr>
                <w:color w:val="000000"/>
              </w:rPr>
              <w:t>219-272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5829837F" w14:textId="77777777" w:rsidR="0099088D" w:rsidRPr="00612E51" w:rsidRDefault="0099088D" w:rsidP="0099088D">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hideMark/>
          </w:tcPr>
          <w:p w14:paraId="4BA671DB" w14:textId="77777777" w:rsidR="0099088D" w:rsidRPr="00612E51" w:rsidRDefault="0099088D" w:rsidP="0099088D">
            <w:pPr>
              <w:jc w:val="center"/>
              <w:rPr>
                <w:color w:val="000000"/>
              </w:rPr>
            </w:pPr>
            <w:r w:rsidRPr="00612E51">
              <w:rPr>
                <w:color w:val="000000"/>
              </w:rPr>
              <w:t>54 502</w:t>
            </w:r>
          </w:p>
        </w:tc>
      </w:tr>
      <w:tr w:rsidR="0099088D" w:rsidRPr="00612E51" w14:paraId="368EAA10"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3ECF8C" w14:textId="77777777" w:rsidR="0099088D" w:rsidRPr="00612E51" w:rsidRDefault="0099088D" w:rsidP="0099088D">
            <w:pPr>
              <w:jc w:val="center"/>
              <w:rPr>
                <w:color w:val="000000"/>
              </w:rPr>
            </w:pPr>
            <w:r w:rsidRPr="00612E51">
              <w:rPr>
                <w:color w:val="000000"/>
              </w:rPr>
              <w:t>6.2.1.2.2.5.</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AD2539" w14:textId="77777777" w:rsidR="0099088D" w:rsidRPr="00612E51" w:rsidRDefault="0099088D" w:rsidP="0099088D">
            <w:pPr>
              <w:rPr>
                <w:color w:val="000000"/>
              </w:rPr>
            </w:pPr>
            <w:r w:rsidRPr="00612E51">
              <w:rPr>
                <w:color w:val="000000"/>
              </w:rPr>
              <w:t>273-324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7479BCBE" w14:textId="77777777" w:rsidR="0099088D" w:rsidRPr="00612E51" w:rsidRDefault="0099088D" w:rsidP="0099088D">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hideMark/>
          </w:tcPr>
          <w:p w14:paraId="7D4AB856" w14:textId="77777777" w:rsidR="0099088D" w:rsidRPr="00612E51" w:rsidRDefault="0099088D" w:rsidP="0099088D">
            <w:pPr>
              <w:jc w:val="center"/>
              <w:rPr>
                <w:color w:val="000000"/>
              </w:rPr>
            </w:pPr>
            <w:r w:rsidRPr="00612E51">
              <w:rPr>
                <w:color w:val="000000"/>
              </w:rPr>
              <w:t>54 502</w:t>
            </w:r>
          </w:p>
        </w:tc>
      </w:tr>
      <w:tr w:rsidR="0099088D" w:rsidRPr="00612E51" w14:paraId="74976A9E"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1EF42B" w14:textId="77777777" w:rsidR="0099088D" w:rsidRPr="00612E51" w:rsidRDefault="0099088D" w:rsidP="0099088D">
            <w:pPr>
              <w:jc w:val="center"/>
              <w:rPr>
                <w:color w:val="000000"/>
              </w:rPr>
            </w:pPr>
            <w:r w:rsidRPr="00612E51">
              <w:rPr>
                <w:color w:val="000000"/>
              </w:rPr>
              <w:t>6.2.1.2.2.6.</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89CC9F" w14:textId="77777777" w:rsidR="0099088D" w:rsidRPr="00612E51" w:rsidRDefault="0099088D" w:rsidP="0099088D">
            <w:pPr>
              <w:rPr>
                <w:color w:val="000000"/>
              </w:rPr>
            </w:pPr>
            <w:r w:rsidRPr="00612E51">
              <w:rPr>
                <w:color w:val="000000"/>
              </w:rPr>
              <w:t>325-425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317BAFAD" w14:textId="77777777" w:rsidR="0099088D" w:rsidRPr="00612E51" w:rsidRDefault="0099088D" w:rsidP="0099088D">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hideMark/>
          </w:tcPr>
          <w:p w14:paraId="710F575C" w14:textId="77777777" w:rsidR="0099088D" w:rsidRPr="00612E51" w:rsidRDefault="0099088D" w:rsidP="0099088D">
            <w:pPr>
              <w:jc w:val="center"/>
              <w:rPr>
                <w:color w:val="000000"/>
              </w:rPr>
            </w:pPr>
            <w:r w:rsidRPr="00612E51">
              <w:rPr>
                <w:color w:val="000000"/>
              </w:rPr>
              <w:t>54 502</w:t>
            </w:r>
          </w:p>
        </w:tc>
      </w:tr>
      <w:tr w:rsidR="0099088D" w:rsidRPr="00612E51" w14:paraId="1852171C"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E21586" w14:textId="77777777" w:rsidR="0099088D" w:rsidRPr="00612E51" w:rsidRDefault="0099088D" w:rsidP="0099088D">
            <w:pPr>
              <w:jc w:val="center"/>
              <w:rPr>
                <w:color w:val="000000"/>
              </w:rPr>
            </w:pPr>
            <w:r w:rsidRPr="00612E51">
              <w:rPr>
                <w:color w:val="000000"/>
              </w:rPr>
              <w:t>6.2.1.2.2.7.</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60A5B2" w14:textId="77777777" w:rsidR="0099088D" w:rsidRPr="00612E51" w:rsidRDefault="0099088D" w:rsidP="0099088D">
            <w:pPr>
              <w:rPr>
                <w:color w:val="000000"/>
              </w:rPr>
            </w:pPr>
            <w:r w:rsidRPr="00612E51">
              <w:rPr>
                <w:color w:val="000000"/>
              </w:rPr>
              <w:t>426-529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49C18CC8" w14:textId="77777777" w:rsidR="0099088D" w:rsidRPr="00612E51" w:rsidRDefault="0099088D" w:rsidP="0099088D">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hideMark/>
          </w:tcPr>
          <w:p w14:paraId="2142BCCF" w14:textId="77777777" w:rsidR="0099088D" w:rsidRPr="00612E51" w:rsidRDefault="0099088D" w:rsidP="0099088D">
            <w:pPr>
              <w:jc w:val="center"/>
              <w:rPr>
                <w:color w:val="000000"/>
              </w:rPr>
            </w:pPr>
            <w:r w:rsidRPr="00612E51">
              <w:rPr>
                <w:color w:val="000000"/>
              </w:rPr>
              <w:t>54 502</w:t>
            </w:r>
          </w:p>
        </w:tc>
      </w:tr>
      <w:tr w:rsidR="0099088D" w:rsidRPr="00612E51" w14:paraId="4993A026"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4D52B5" w14:textId="77777777" w:rsidR="0099088D" w:rsidRPr="00612E51" w:rsidRDefault="0099088D" w:rsidP="0099088D">
            <w:pPr>
              <w:jc w:val="center"/>
              <w:rPr>
                <w:color w:val="000000"/>
              </w:rPr>
            </w:pPr>
            <w:r w:rsidRPr="00612E51">
              <w:rPr>
                <w:color w:val="000000"/>
              </w:rPr>
              <w:t>6.2.1.2.2.8.</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6AB2CF" w14:textId="77777777" w:rsidR="0099088D" w:rsidRPr="00612E51" w:rsidRDefault="0099088D" w:rsidP="0099088D">
            <w:pPr>
              <w:rPr>
                <w:color w:val="000000"/>
              </w:rPr>
            </w:pPr>
            <w:r w:rsidRPr="00612E51">
              <w:rPr>
                <w:color w:val="000000"/>
              </w:rPr>
              <w:t>530 мм и выше</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055A8CDD" w14:textId="77777777" w:rsidR="0099088D" w:rsidRPr="00612E51" w:rsidRDefault="0099088D" w:rsidP="0099088D">
            <w:pPr>
              <w:rPr>
                <w:color w:val="000000"/>
              </w:rPr>
            </w:pPr>
          </w:p>
        </w:tc>
        <w:tc>
          <w:tcPr>
            <w:tcW w:w="2466" w:type="dxa"/>
            <w:tcBorders>
              <w:top w:val="single" w:sz="4" w:space="0" w:color="auto"/>
              <w:left w:val="single" w:sz="4" w:space="0" w:color="auto"/>
              <w:bottom w:val="single" w:sz="4" w:space="0" w:color="auto"/>
              <w:right w:val="single" w:sz="4" w:space="0" w:color="auto"/>
            </w:tcBorders>
            <w:shd w:val="clear" w:color="auto" w:fill="auto"/>
            <w:hideMark/>
          </w:tcPr>
          <w:p w14:paraId="7DDAAFB5" w14:textId="77777777" w:rsidR="0099088D" w:rsidRPr="00612E51" w:rsidRDefault="0099088D" w:rsidP="0099088D">
            <w:pPr>
              <w:jc w:val="center"/>
              <w:rPr>
                <w:color w:val="000000"/>
              </w:rPr>
            </w:pPr>
            <w:r w:rsidRPr="00612E51">
              <w:rPr>
                <w:color w:val="000000"/>
              </w:rPr>
              <w:t>54 502</w:t>
            </w:r>
          </w:p>
        </w:tc>
      </w:tr>
      <w:tr w:rsidR="0099088D" w:rsidRPr="00612E51" w14:paraId="69FB7F7D" w14:textId="77777777" w:rsidTr="0099088D">
        <w:trPr>
          <w:trHeight w:val="400"/>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73B323" w14:textId="77777777" w:rsidR="0099088D" w:rsidRPr="00612E51" w:rsidRDefault="0099088D" w:rsidP="0099088D">
            <w:pPr>
              <w:jc w:val="center"/>
              <w:rPr>
                <w:color w:val="000000"/>
              </w:rPr>
            </w:pPr>
            <w:r w:rsidRPr="00612E51">
              <w:rPr>
                <w:color w:val="000000"/>
              </w:rPr>
              <w:t>6.2.2.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4AC1DAE" w14:textId="77777777" w:rsidR="0099088D" w:rsidRPr="00612E51" w:rsidRDefault="0099088D" w:rsidP="0099088D">
            <w:pPr>
              <w:rPr>
                <w:color w:val="000000"/>
              </w:rPr>
            </w:pPr>
            <w:r w:rsidRPr="00612E51">
              <w:rPr>
                <w:color w:val="000000"/>
              </w:rPr>
              <w:t>полиэтиленовых газопроводов:</w:t>
            </w:r>
          </w:p>
        </w:tc>
      </w:tr>
      <w:tr w:rsidR="0099088D" w:rsidRPr="00612E51" w14:paraId="64972B7A" w14:textId="77777777" w:rsidTr="0099088D">
        <w:trPr>
          <w:trHeight w:val="612"/>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56D219" w14:textId="77777777" w:rsidR="0099088D" w:rsidRPr="00612E51" w:rsidRDefault="0099088D" w:rsidP="0099088D">
            <w:pPr>
              <w:jc w:val="center"/>
              <w:rPr>
                <w:color w:val="000000"/>
              </w:rPr>
            </w:pPr>
            <w:r w:rsidRPr="00612E51">
              <w:rPr>
                <w:color w:val="000000"/>
              </w:rPr>
              <w:t>6.2.2.1.</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DC6F44E" w14:textId="77777777" w:rsidR="0099088D" w:rsidRPr="00612E51" w:rsidRDefault="0099088D" w:rsidP="0099088D">
            <w:pPr>
              <w:rPr>
                <w:color w:val="000000"/>
              </w:rPr>
            </w:pPr>
            <w:r w:rsidRPr="00612E51">
              <w:rPr>
                <w:color w:val="000000"/>
              </w:rPr>
              <w:t>с давлением до 0,6 МПа (включительно) в газопроводе, в который осуществляется врезка, наружным диаметром:</w:t>
            </w:r>
          </w:p>
        </w:tc>
      </w:tr>
      <w:tr w:rsidR="0099088D" w:rsidRPr="00612E51" w14:paraId="246F5809"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BCAAE" w14:textId="77777777" w:rsidR="0099088D" w:rsidRPr="00612E51" w:rsidRDefault="0099088D" w:rsidP="0099088D">
            <w:pPr>
              <w:jc w:val="center"/>
              <w:rPr>
                <w:color w:val="000000"/>
              </w:rPr>
            </w:pPr>
            <w:r w:rsidRPr="00612E51">
              <w:rPr>
                <w:color w:val="000000"/>
              </w:rPr>
              <w:t>6.2.2.1.1.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4B2324" w14:textId="77777777" w:rsidR="0099088D" w:rsidRPr="00612E51" w:rsidRDefault="0099088D" w:rsidP="0099088D">
            <w:pPr>
              <w:rPr>
                <w:color w:val="000000"/>
              </w:rPr>
            </w:pPr>
            <w:r w:rsidRPr="00612E51">
              <w:rPr>
                <w:color w:val="000000"/>
              </w:rPr>
              <w:t>109 мм и менее</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90032F" w14:textId="77777777" w:rsidR="0099088D" w:rsidRPr="00612E51" w:rsidRDefault="0099088D" w:rsidP="0099088D">
            <w:pPr>
              <w:jc w:val="center"/>
              <w:rPr>
                <w:color w:val="000000"/>
              </w:rPr>
            </w:pPr>
            <w:r w:rsidRPr="00612E51">
              <w:rPr>
                <w:color w:val="000000"/>
              </w:rPr>
              <w:t>руб. за 1 присоединение</w:t>
            </w: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38D6D327" w14:textId="77777777" w:rsidR="0099088D" w:rsidRPr="00612E51" w:rsidRDefault="0099088D" w:rsidP="0099088D">
            <w:pPr>
              <w:jc w:val="center"/>
              <w:rPr>
                <w:color w:val="000000"/>
              </w:rPr>
            </w:pPr>
            <w:r w:rsidRPr="00612E51">
              <w:rPr>
                <w:color w:val="000000"/>
              </w:rPr>
              <w:t>15 064</w:t>
            </w:r>
          </w:p>
        </w:tc>
      </w:tr>
      <w:tr w:rsidR="0099088D" w:rsidRPr="00612E51" w14:paraId="31FC4DF2"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911514" w14:textId="77777777" w:rsidR="0099088D" w:rsidRPr="00612E51" w:rsidRDefault="0099088D" w:rsidP="0099088D">
            <w:pPr>
              <w:jc w:val="center"/>
              <w:rPr>
                <w:color w:val="000000"/>
              </w:rPr>
            </w:pPr>
            <w:r w:rsidRPr="00612E51">
              <w:rPr>
                <w:color w:val="000000"/>
              </w:rPr>
              <w:t>6.2.2.1.2.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E288DD" w14:textId="77777777" w:rsidR="0099088D" w:rsidRPr="00612E51" w:rsidRDefault="0099088D" w:rsidP="0099088D">
            <w:pPr>
              <w:rPr>
                <w:color w:val="000000"/>
              </w:rPr>
            </w:pPr>
            <w:r w:rsidRPr="00612E51">
              <w:rPr>
                <w:color w:val="000000"/>
              </w:rPr>
              <w:t>110-159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53A97601" w14:textId="77777777" w:rsidR="0099088D" w:rsidRPr="00612E51"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2720D79C" w14:textId="77777777" w:rsidR="0099088D" w:rsidRPr="00612E51" w:rsidRDefault="0099088D" w:rsidP="0099088D">
            <w:pPr>
              <w:jc w:val="center"/>
              <w:rPr>
                <w:color w:val="000000"/>
              </w:rPr>
            </w:pPr>
            <w:r w:rsidRPr="00612E51">
              <w:rPr>
                <w:color w:val="000000"/>
              </w:rPr>
              <w:t>27 906</w:t>
            </w:r>
          </w:p>
        </w:tc>
      </w:tr>
      <w:tr w:rsidR="0099088D" w:rsidRPr="00612E51" w14:paraId="4474EDBB"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470153" w14:textId="77777777" w:rsidR="0099088D" w:rsidRPr="00612E51" w:rsidRDefault="0099088D" w:rsidP="0099088D">
            <w:pPr>
              <w:jc w:val="center"/>
              <w:rPr>
                <w:color w:val="000000"/>
              </w:rPr>
            </w:pPr>
            <w:r w:rsidRPr="00612E51">
              <w:rPr>
                <w:color w:val="000000"/>
              </w:rPr>
              <w:t>6.2.2.1.3.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0AA0C6" w14:textId="77777777" w:rsidR="0099088D" w:rsidRPr="00612E51" w:rsidRDefault="0099088D" w:rsidP="0099088D">
            <w:pPr>
              <w:rPr>
                <w:color w:val="000000"/>
              </w:rPr>
            </w:pPr>
            <w:r w:rsidRPr="00612E51">
              <w:rPr>
                <w:color w:val="000000"/>
              </w:rPr>
              <w:t>160-224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44C69AAE" w14:textId="77777777" w:rsidR="0099088D" w:rsidRPr="00612E51"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1228DB62" w14:textId="77777777" w:rsidR="0099088D" w:rsidRPr="00612E51" w:rsidRDefault="0099088D" w:rsidP="0099088D">
            <w:pPr>
              <w:jc w:val="center"/>
              <w:rPr>
                <w:color w:val="000000"/>
              </w:rPr>
            </w:pPr>
            <w:r w:rsidRPr="00612E51">
              <w:rPr>
                <w:color w:val="000000"/>
              </w:rPr>
              <w:t>28 560</w:t>
            </w:r>
          </w:p>
        </w:tc>
      </w:tr>
      <w:tr w:rsidR="0099088D" w:rsidRPr="00612E51" w14:paraId="55D958B0"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D10270" w14:textId="77777777" w:rsidR="0099088D" w:rsidRPr="00612E51" w:rsidRDefault="0099088D" w:rsidP="0099088D">
            <w:pPr>
              <w:jc w:val="center"/>
              <w:rPr>
                <w:color w:val="000000"/>
              </w:rPr>
            </w:pPr>
            <w:r w:rsidRPr="00612E51">
              <w:rPr>
                <w:color w:val="000000"/>
              </w:rPr>
              <w:t>6.2.2.1.4.</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5764EA" w14:textId="77777777" w:rsidR="0099088D" w:rsidRPr="00612E51" w:rsidRDefault="0099088D" w:rsidP="0099088D">
            <w:pPr>
              <w:rPr>
                <w:color w:val="000000"/>
              </w:rPr>
            </w:pPr>
            <w:r w:rsidRPr="00612E51">
              <w:rPr>
                <w:color w:val="000000"/>
              </w:rPr>
              <w:t>225-314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40C76A3B" w14:textId="77777777" w:rsidR="0099088D" w:rsidRPr="00612E51"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3D4331C6" w14:textId="77777777" w:rsidR="0099088D" w:rsidRPr="00612E51" w:rsidRDefault="0099088D" w:rsidP="0099088D">
            <w:pPr>
              <w:jc w:val="center"/>
              <w:rPr>
                <w:color w:val="000000"/>
              </w:rPr>
            </w:pPr>
            <w:r w:rsidRPr="00612E51">
              <w:rPr>
                <w:color w:val="000000"/>
              </w:rPr>
              <w:t>28 838</w:t>
            </w:r>
          </w:p>
        </w:tc>
      </w:tr>
      <w:tr w:rsidR="0099088D" w:rsidRPr="00612E51" w14:paraId="0ECAE6FF"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C3706" w14:textId="77777777" w:rsidR="0099088D" w:rsidRPr="00612E51" w:rsidRDefault="0099088D" w:rsidP="0099088D">
            <w:pPr>
              <w:jc w:val="center"/>
              <w:rPr>
                <w:color w:val="000000"/>
              </w:rPr>
            </w:pPr>
            <w:r w:rsidRPr="00612E51">
              <w:rPr>
                <w:color w:val="000000"/>
              </w:rPr>
              <w:t>6.2.2.1.5.</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7A7E9" w14:textId="77777777" w:rsidR="0099088D" w:rsidRPr="00612E51" w:rsidRDefault="0099088D" w:rsidP="0099088D">
            <w:pPr>
              <w:rPr>
                <w:color w:val="000000"/>
              </w:rPr>
            </w:pPr>
            <w:r w:rsidRPr="00612E51">
              <w:rPr>
                <w:color w:val="000000"/>
              </w:rPr>
              <w:t>315-399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45018177" w14:textId="77777777" w:rsidR="0099088D" w:rsidRPr="00612E51"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65D09AAE" w14:textId="77777777" w:rsidR="0099088D" w:rsidRPr="00612E51" w:rsidRDefault="0099088D" w:rsidP="0099088D">
            <w:pPr>
              <w:jc w:val="center"/>
              <w:rPr>
                <w:color w:val="000000"/>
              </w:rPr>
            </w:pPr>
            <w:r w:rsidRPr="00612E51">
              <w:rPr>
                <w:color w:val="000000"/>
              </w:rPr>
              <w:t>30 073</w:t>
            </w:r>
          </w:p>
        </w:tc>
      </w:tr>
      <w:tr w:rsidR="0099088D" w:rsidRPr="00612E51" w14:paraId="6D27B432"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0C79B0" w14:textId="77777777" w:rsidR="0099088D" w:rsidRPr="00612E51" w:rsidRDefault="0099088D" w:rsidP="0099088D">
            <w:pPr>
              <w:jc w:val="center"/>
              <w:rPr>
                <w:color w:val="000000"/>
              </w:rPr>
            </w:pPr>
            <w:r w:rsidRPr="00612E51">
              <w:rPr>
                <w:color w:val="000000"/>
              </w:rPr>
              <w:t>6.2.2.1.6.</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A51F7F" w14:textId="77777777" w:rsidR="0099088D" w:rsidRPr="00612E51" w:rsidRDefault="0099088D" w:rsidP="0099088D">
            <w:pPr>
              <w:rPr>
                <w:color w:val="000000"/>
              </w:rPr>
            </w:pPr>
            <w:r w:rsidRPr="00612E51">
              <w:rPr>
                <w:color w:val="000000"/>
              </w:rPr>
              <w:t>400 мм и выше</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6FB5F458" w14:textId="77777777" w:rsidR="0099088D" w:rsidRPr="00612E51"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326BD06D" w14:textId="77777777" w:rsidR="0099088D" w:rsidRPr="00612E51" w:rsidRDefault="0099088D" w:rsidP="0099088D">
            <w:pPr>
              <w:jc w:val="center"/>
              <w:rPr>
                <w:color w:val="000000"/>
              </w:rPr>
            </w:pPr>
            <w:r w:rsidRPr="00612E51">
              <w:rPr>
                <w:color w:val="000000"/>
              </w:rPr>
              <w:t>49 638</w:t>
            </w:r>
          </w:p>
        </w:tc>
      </w:tr>
      <w:tr w:rsidR="0099088D" w:rsidRPr="00612E51" w14:paraId="201C7A60" w14:textId="77777777" w:rsidTr="0099088D">
        <w:trPr>
          <w:trHeight w:val="612"/>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38D0C3" w14:textId="77777777" w:rsidR="0099088D" w:rsidRPr="00612E51" w:rsidRDefault="0099088D" w:rsidP="0099088D">
            <w:pPr>
              <w:jc w:val="center"/>
              <w:rPr>
                <w:color w:val="000000"/>
              </w:rPr>
            </w:pPr>
            <w:r w:rsidRPr="00612E51">
              <w:rPr>
                <w:color w:val="000000"/>
              </w:rPr>
              <w:t>6.2.2.2.</w:t>
            </w:r>
          </w:p>
        </w:tc>
        <w:tc>
          <w:tcPr>
            <w:tcW w:w="83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9AD8036" w14:textId="77777777" w:rsidR="0099088D" w:rsidRPr="00612E51" w:rsidRDefault="0099088D" w:rsidP="0099088D">
            <w:pPr>
              <w:rPr>
                <w:color w:val="000000"/>
              </w:rPr>
            </w:pPr>
            <w:r w:rsidRPr="00612E51">
              <w:rPr>
                <w:color w:val="000000"/>
              </w:rPr>
              <w:t>с давлением от 0,6 МПа до 1,2 МПа в газопроводе, в который осуществляется врезка, наружным диаметром:</w:t>
            </w:r>
          </w:p>
        </w:tc>
      </w:tr>
      <w:tr w:rsidR="0099088D" w:rsidRPr="00612E51" w14:paraId="7512042F"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8F77C8" w14:textId="77777777" w:rsidR="0099088D" w:rsidRPr="00612E51" w:rsidRDefault="0099088D" w:rsidP="0099088D">
            <w:pPr>
              <w:jc w:val="center"/>
              <w:rPr>
                <w:color w:val="000000"/>
              </w:rPr>
            </w:pPr>
            <w:r w:rsidRPr="00612E51">
              <w:rPr>
                <w:color w:val="000000"/>
              </w:rPr>
              <w:t>6.2.2.2.1.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F33BBA" w14:textId="77777777" w:rsidR="0099088D" w:rsidRPr="00612E51" w:rsidRDefault="0099088D" w:rsidP="0099088D">
            <w:pPr>
              <w:rPr>
                <w:color w:val="000000"/>
              </w:rPr>
            </w:pPr>
            <w:r w:rsidRPr="00612E51">
              <w:rPr>
                <w:color w:val="000000"/>
              </w:rPr>
              <w:t>109 мм и менее</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472304" w14:textId="77777777" w:rsidR="0099088D" w:rsidRPr="00612E51" w:rsidRDefault="0099088D" w:rsidP="0099088D">
            <w:pPr>
              <w:jc w:val="center"/>
              <w:rPr>
                <w:color w:val="000000"/>
              </w:rPr>
            </w:pPr>
            <w:r w:rsidRPr="00612E51">
              <w:rPr>
                <w:color w:val="000000"/>
              </w:rPr>
              <w:t>руб. за 1 присоединение</w:t>
            </w: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3F171F21" w14:textId="77777777" w:rsidR="0099088D" w:rsidRPr="00612E51" w:rsidRDefault="0099088D" w:rsidP="0099088D">
            <w:pPr>
              <w:jc w:val="center"/>
              <w:rPr>
                <w:color w:val="000000"/>
              </w:rPr>
            </w:pPr>
            <w:r w:rsidRPr="00612E51">
              <w:rPr>
                <w:color w:val="000000"/>
              </w:rPr>
              <w:t>22 624</w:t>
            </w:r>
          </w:p>
        </w:tc>
      </w:tr>
      <w:tr w:rsidR="0099088D" w:rsidRPr="00612E51" w14:paraId="4156428E"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377F0D" w14:textId="77777777" w:rsidR="0099088D" w:rsidRPr="00612E51" w:rsidRDefault="0099088D" w:rsidP="0099088D">
            <w:pPr>
              <w:jc w:val="center"/>
              <w:rPr>
                <w:color w:val="000000"/>
              </w:rPr>
            </w:pPr>
            <w:r w:rsidRPr="00612E51">
              <w:rPr>
                <w:color w:val="000000"/>
              </w:rPr>
              <w:t>6.2.2.2.2.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11F8DB" w14:textId="77777777" w:rsidR="0099088D" w:rsidRPr="00612E51" w:rsidRDefault="0099088D" w:rsidP="0099088D">
            <w:pPr>
              <w:rPr>
                <w:color w:val="000000"/>
              </w:rPr>
            </w:pPr>
            <w:r w:rsidRPr="00612E51">
              <w:rPr>
                <w:color w:val="000000"/>
              </w:rPr>
              <w:t>110-159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0F84A8F4" w14:textId="77777777" w:rsidR="0099088D" w:rsidRPr="00612E51"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6F523F60" w14:textId="77777777" w:rsidR="0099088D" w:rsidRPr="00612E51" w:rsidRDefault="0099088D" w:rsidP="0099088D">
            <w:pPr>
              <w:jc w:val="center"/>
              <w:rPr>
                <w:color w:val="000000"/>
              </w:rPr>
            </w:pPr>
            <w:r w:rsidRPr="00612E51">
              <w:rPr>
                <w:color w:val="000000"/>
              </w:rPr>
              <w:t>30 185</w:t>
            </w:r>
          </w:p>
        </w:tc>
      </w:tr>
      <w:tr w:rsidR="0099088D" w:rsidRPr="00612E51" w14:paraId="20833CEB" w14:textId="77777777" w:rsidTr="0099088D">
        <w:trPr>
          <w:trHeight w:val="276"/>
        </w:trPr>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442505" w14:textId="77777777" w:rsidR="0099088D" w:rsidRPr="00612E51" w:rsidRDefault="0099088D" w:rsidP="0099088D">
            <w:pPr>
              <w:jc w:val="center"/>
              <w:rPr>
                <w:color w:val="000000"/>
              </w:rPr>
            </w:pPr>
            <w:r w:rsidRPr="00612E51">
              <w:rPr>
                <w:color w:val="000000"/>
              </w:rPr>
              <w:t>6.2.2.2.3.</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CE5B7" w14:textId="77777777" w:rsidR="0099088D" w:rsidRPr="00612E51" w:rsidRDefault="0099088D" w:rsidP="0099088D">
            <w:pPr>
              <w:rPr>
                <w:color w:val="000000"/>
              </w:rPr>
            </w:pPr>
            <w:r w:rsidRPr="00612E51">
              <w:rPr>
                <w:color w:val="000000"/>
              </w:rPr>
              <w:t>160-224 мм</w:t>
            </w: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1B158077" w14:textId="77777777" w:rsidR="0099088D" w:rsidRPr="00612E51" w:rsidRDefault="0099088D" w:rsidP="0099088D">
            <w:pPr>
              <w:rPr>
                <w:color w:val="000000"/>
              </w:rPr>
            </w:pPr>
          </w:p>
        </w:tc>
        <w:tc>
          <w:tcPr>
            <w:tcW w:w="2466" w:type="dxa"/>
            <w:tcBorders>
              <w:top w:val="single" w:sz="4" w:space="0" w:color="auto"/>
              <w:left w:val="nil"/>
              <w:bottom w:val="single" w:sz="4" w:space="0" w:color="auto"/>
              <w:right w:val="single" w:sz="4" w:space="0" w:color="auto"/>
            </w:tcBorders>
            <w:shd w:val="clear" w:color="auto" w:fill="auto"/>
            <w:vAlign w:val="center"/>
            <w:hideMark/>
          </w:tcPr>
          <w:p w14:paraId="22EE06AF" w14:textId="77777777" w:rsidR="0099088D" w:rsidRPr="00612E51" w:rsidRDefault="0099088D" w:rsidP="0099088D">
            <w:pPr>
              <w:jc w:val="center"/>
              <w:rPr>
                <w:color w:val="000000"/>
              </w:rPr>
            </w:pPr>
            <w:r w:rsidRPr="00612E51">
              <w:rPr>
                <w:color w:val="000000"/>
              </w:rPr>
              <w:t>55 514</w:t>
            </w:r>
          </w:p>
        </w:tc>
      </w:tr>
      <w:bookmarkEnd w:id="67"/>
    </w:tbl>
    <w:p w14:paraId="65C4D8F0" w14:textId="77777777" w:rsidR="0099088D" w:rsidRPr="00612E51" w:rsidRDefault="0099088D" w:rsidP="0099088D">
      <w:pPr>
        <w:tabs>
          <w:tab w:val="left" w:pos="3945"/>
        </w:tabs>
        <w:ind w:left="426" w:right="567"/>
        <w:jc w:val="center"/>
        <w:rPr>
          <w:b/>
          <w:sz w:val="28"/>
          <w:szCs w:val="28"/>
        </w:rPr>
      </w:pPr>
    </w:p>
    <w:p w14:paraId="4BC359A9" w14:textId="1711492F" w:rsidR="0099088D" w:rsidRDefault="0099088D" w:rsidP="0099088D">
      <w:pPr>
        <w:tabs>
          <w:tab w:val="left" w:pos="5580"/>
          <w:tab w:val="left" w:pos="9498"/>
        </w:tabs>
        <w:ind w:left="-284" w:right="-569" w:firstLine="851"/>
        <w:rPr>
          <w:color w:val="000000" w:themeColor="text1"/>
        </w:rPr>
      </w:pPr>
    </w:p>
    <w:p w14:paraId="0D315A42" w14:textId="396042B6" w:rsidR="00FF2C53" w:rsidRDefault="00FF2C53" w:rsidP="0099088D">
      <w:pPr>
        <w:tabs>
          <w:tab w:val="left" w:pos="5580"/>
          <w:tab w:val="left" w:pos="9498"/>
        </w:tabs>
        <w:ind w:left="-284" w:right="-569" w:firstLine="851"/>
        <w:rPr>
          <w:color w:val="000000" w:themeColor="text1"/>
        </w:rPr>
      </w:pPr>
    </w:p>
    <w:p w14:paraId="3CEC0474" w14:textId="310CD666" w:rsidR="00FF2C53" w:rsidRDefault="00FF2C53" w:rsidP="0099088D">
      <w:pPr>
        <w:tabs>
          <w:tab w:val="left" w:pos="5580"/>
          <w:tab w:val="left" w:pos="9498"/>
        </w:tabs>
        <w:ind w:left="-284" w:right="-569" w:firstLine="851"/>
        <w:rPr>
          <w:color w:val="000000" w:themeColor="text1"/>
        </w:rPr>
      </w:pPr>
    </w:p>
    <w:p w14:paraId="5489CCF6" w14:textId="60053223" w:rsidR="00A2124B" w:rsidRDefault="00A2124B" w:rsidP="0099088D">
      <w:pPr>
        <w:tabs>
          <w:tab w:val="left" w:pos="5580"/>
          <w:tab w:val="left" w:pos="9498"/>
        </w:tabs>
        <w:ind w:left="-284" w:right="-569" w:firstLine="851"/>
        <w:rPr>
          <w:color w:val="000000" w:themeColor="text1"/>
        </w:rPr>
      </w:pPr>
    </w:p>
    <w:p w14:paraId="42614481" w14:textId="288DCFE6" w:rsidR="00A2124B" w:rsidRDefault="00A2124B" w:rsidP="0099088D">
      <w:pPr>
        <w:tabs>
          <w:tab w:val="left" w:pos="5580"/>
          <w:tab w:val="left" w:pos="9498"/>
        </w:tabs>
        <w:ind w:left="-284" w:right="-569" w:firstLine="851"/>
        <w:rPr>
          <w:color w:val="000000" w:themeColor="text1"/>
        </w:rPr>
      </w:pPr>
    </w:p>
    <w:p w14:paraId="636D6585" w14:textId="76DC9DA4" w:rsidR="00A2124B" w:rsidRDefault="00A2124B" w:rsidP="0099088D">
      <w:pPr>
        <w:tabs>
          <w:tab w:val="left" w:pos="5580"/>
          <w:tab w:val="left" w:pos="9498"/>
        </w:tabs>
        <w:ind w:left="-284" w:right="-569" w:firstLine="851"/>
        <w:rPr>
          <w:color w:val="000000" w:themeColor="text1"/>
        </w:rPr>
      </w:pPr>
    </w:p>
    <w:p w14:paraId="0898A63A" w14:textId="632DA61B" w:rsidR="00A2124B" w:rsidRDefault="00A2124B" w:rsidP="0099088D">
      <w:pPr>
        <w:tabs>
          <w:tab w:val="left" w:pos="5580"/>
          <w:tab w:val="left" w:pos="9498"/>
        </w:tabs>
        <w:ind w:left="-284" w:right="-569" w:firstLine="851"/>
        <w:rPr>
          <w:color w:val="000000" w:themeColor="text1"/>
        </w:rPr>
      </w:pPr>
    </w:p>
    <w:p w14:paraId="694A4BFF" w14:textId="62526EF2" w:rsidR="00A2124B" w:rsidRDefault="00A2124B" w:rsidP="0099088D">
      <w:pPr>
        <w:tabs>
          <w:tab w:val="left" w:pos="5580"/>
          <w:tab w:val="left" w:pos="9498"/>
        </w:tabs>
        <w:ind w:left="-284" w:right="-569" w:firstLine="851"/>
        <w:rPr>
          <w:color w:val="000000" w:themeColor="text1"/>
        </w:rPr>
      </w:pPr>
    </w:p>
    <w:p w14:paraId="0F7716AE" w14:textId="66ADBFBD" w:rsidR="00A2124B" w:rsidRDefault="00A2124B" w:rsidP="0099088D">
      <w:pPr>
        <w:tabs>
          <w:tab w:val="left" w:pos="5580"/>
          <w:tab w:val="left" w:pos="9498"/>
        </w:tabs>
        <w:ind w:left="-284" w:right="-569" w:firstLine="851"/>
        <w:rPr>
          <w:color w:val="000000" w:themeColor="text1"/>
        </w:rPr>
      </w:pPr>
    </w:p>
    <w:p w14:paraId="32A1AE25" w14:textId="7FA29E46" w:rsidR="00A2124B" w:rsidRDefault="00A2124B" w:rsidP="0099088D">
      <w:pPr>
        <w:tabs>
          <w:tab w:val="left" w:pos="5580"/>
          <w:tab w:val="left" w:pos="9498"/>
        </w:tabs>
        <w:ind w:left="-284" w:right="-569" w:firstLine="851"/>
        <w:rPr>
          <w:color w:val="000000" w:themeColor="text1"/>
        </w:rPr>
      </w:pPr>
    </w:p>
    <w:p w14:paraId="1C9EE5A8" w14:textId="16DD2C2F" w:rsidR="00A2124B" w:rsidRDefault="00A2124B" w:rsidP="0099088D">
      <w:pPr>
        <w:tabs>
          <w:tab w:val="left" w:pos="5580"/>
          <w:tab w:val="left" w:pos="9498"/>
        </w:tabs>
        <w:ind w:left="-284" w:right="-569" w:firstLine="851"/>
        <w:rPr>
          <w:color w:val="000000" w:themeColor="text1"/>
        </w:rPr>
      </w:pPr>
    </w:p>
    <w:p w14:paraId="3DF4CBDC" w14:textId="733D8704" w:rsidR="00A2124B" w:rsidRDefault="00A2124B" w:rsidP="0099088D">
      <w:pPr>
        <w:tabs>
          <w:tab w:val="left" w:pos="5580"/>
          <w:tab w:val="left" w:pos="9498"/>
        </w:tabs>
        <w:ind w:left="-284" w:right="-569" w:firstLine="851"/>
        <w:rPr>
          <w:color w:val="000000" w:themeColor="text1"/>
        </w:rPr>
      </w:pPr>
    </w:p>
    <w:p w14:paraId="1A71AB54" w14:textId="15C66732" w:rsidR="00A2124B" w:rsidRDefault="00A2124B" w:rsidP="0099088D">
      <w:pPr>
        <w:tabs>
          <w:tab w:val="left" w:pos="5580"/>
          <w:tab w:val="left" w:pos="9498"/>
        </w:tabs>
        <w:ind w:left="-284" w:right="-569" w:firstLine="851"/>
        <w:rPr>
          <w:color w:val="000000" w:themeColor="text1"/>
        </w:rPr>
      </w:pPr>
    </w:p>
    <w:p w14:paraId="7771AD0C" w14:textId="5F0894ED" w:rsidR="00A2124B" w:rsidRDefault="00A2124B" w:rsidP="0099088D">
      <w:pPr>
        <w:tabs>
          <w:tab w:val="left" w:pos="5580"/>
          <w:tab w:val="left" w:pos="9498"/>
        </w:tabs>
        <w:ind w:left="-284" w:right="-569" w:firstLine="851"/>
        <w:rPr>
          <w:color w:val="000000" w:themeColor="text1"/>
        </w:rPr>
      </w:pPr>
    </w:p>
    <w:p w14:paraId="674633C4" w14:textId="0B3CE715" w:rsidR="00A2124B" w:rsidRDefault="00A2124B" w:rsidP="0099088D">
      <w:pPr>
        <w:tabs>
          <w:tab w:val="left" w:pos="5580"/>
          <w:tab w:val="left" w:pos="9498"/>
        </w:tabs>
        <w:ind w:left="-284" w:right="-569" w:firstLine="851"/>
        <w:rPr>
          <w:color w:val="000000" w:themeColor="text1"/>
        </w:rPr>
      </w:pPr>
    </w:p>
    <w:p w14:paraId="3A79D44A" w14:textId="6ED1F58B" w:rsidR="00A2124B" w:rsidRDefault="00A2124B" w:rsidP="0099088D">
      <w:pPr>
        <w:tabs>
          <w:tab w:val="left" w:pos="5580"/>
          <w:tab w:val="left" w:pos="9498"/>
        </w:tabs>
        <w:ind w:left="-284" w:right="-569" w:firstLine="851"/>
        <w:rPr>
          <w:color w:val="000000" w:themeColor="text1"/>
        </w:rPr>
      </w:pPr>
    </w:p>
    <w:p w14:paraId="07C5CD76" w14:textId="4A67D400" w:rsidR="00A2124B" w:rsidRDefault="00A2124B" w:rsidP="0099088D">
      <w:pPr>
        <w:tabs>
          <w:tab w:val="left" w:pos="5580"/>
          <w:tab w:val="left" w:pos="9498"/>
        </w:tabs>
        <w:ind w:left="-284" w:right="-569" w:firstLine="851"/>
        <w:rPr>
          <w:color w:val="000000" w:themeColor="text1"/>
        </w:rPr>
      </w:pPr>
    </w:p>
    <w:p w14:paraId="0C3CDD51" w14:textId="160333AF" w:rsidR="00A2124B" w:rsidRDefault="00A2124B" w:rsidP="0099088D">
      <w:pPr>
        <w:tabs>
          <w:tab w:val="left" w:pos="5580"/>
          <w:tab w:val="left" w:pos="9498"/>
        </w:tabs>
        <w:ind w:left="-284" w:right="-569" w:firstLine="851"/>
        <w:rPr>
          <w:color w:val="000000" w:themeColor="text1"/>
        </w:rPr>
      </w:pPr>
    </w:p>
    <w:p w14:paraId="13E29073" w14:textId="75CC5761" w:rsidR="00A2124B" w:rsidRDefault="00A2124B" w:rsidP="0099088D">
      <w:pPr>
        <w:tabs>
          <w:tab w:val="left" w:pos="5580"/>
          <w:tab w:val="left" w:pos="9498"/>
        </w:tabs>
        <w:ind w:left="-284" w:right="-569" w:firstLine="851"/>
        <w:rPr>
          <w:color w:val="000000" w:themeColor="text1"/>
        </w:rPr>
      </w:pPr>
    </w:p>
    <w:p w14:paraId="3B4108A5" w14:textId="48F564B4" w:rsidR="00A2124B" w:rsidRDefault="00A2124B" w:rsidP="0099088D">
      <w:pPr>
        <w:tabs>
          <w:tab w:val="left" w:pos="5580"/>
          <w:tab w:val="left" w:pos="9498"/>
        </w:tabs>
        <w:ind w:left="-284" w:right="-569" w:firstLine="851"/>
        <w:rPr>
          <w:color w:val="000000" w:themeColor="text1"/>
        </w:rPr>
      </w:pPr>
    </w:p>
    <w:p w14:paraId="0925212A" w14:textId="7075FE94" w:rsidR="00A2124B" w:rsidRDefault="00A2124B" w:rsidP="0099088D">
      <w:pPr>
        <w:tabs>
          <w:tab w:val="left" w:pos="5580"/>
          <w:tab w:val="left" w:pos="9498"/>
        </w:tabs>
        <w:ind w:left="-284" w:right="-569" w:firstLine="851"/>
        <w:rPr>
          <w:color w:val="000000" w:themeColor="text1"/>
        </w:rPr>
      </w:pPr>
    </w:p>
    <w:p w14:paraId="79B4680D" w14:textId="1908B755" w:rsidR="00A2124B" w:rsidRDefault="00A2124B" w:rsidP="0099088D">
      <w:pPr>
        <w:tabs>
          <w:tab w:val="left" w:pos="5580"/>
          <w:tab w:val="left" w:pos="9498"/>
        </w:tabs>
        <w:ind w:left="-284" w:right="-569" w:firstLine="851"/>
        <w:rPr>
          <w:color w:val="000000" w:themeColor="text1"/>
        </w:rPr>
      </w:pPr>
    </w:p>
    <w:p w14:paraId="7E6DEE0C" w14:textId="5A524F13" w:rsidR="00A2124B" w:rsidRDefault="00A2124B" w:rsidP="0099088D">
      <w:pPr>
        <w:tabs>
          <w:tab w:val="left" w:pos="5580"/>
          <w:tab w:val="left" w:pos="9498"/>
        </w:tabs>
        <w:ind w:left="-284" w:right="-569" w:firstLine="851"/>
        <w:rPr>
          <w:color w:val="000000" w:themeColor="text1"/>
        </w:rPr>
      </w:pPr>
    </w:p>
    <w:p w14:paraId="22B06A8A" w14:textId="64F3F36B" w:rsidR="00A2124B" w:rsidRDefault="00A2124B" w:rsidP="0099088D">
      <w:pPr>
        <w:tabs>
          <w:tab w:val="left" w:pos="5580"/>
          <w:tab w:val="left" w:pos="9498"/>
        </w:tabs>
        <w:ind w:left="-284" w:right="-569" w:firstLine="851"/>
        <w:rPr>
          <w:color w:val="000000" w:themeColor="text1"/>
        </w:rPr>
      </w:pPr>
    </w:p>
    <w:p w14:paraId="7DCE2E0D" w14:textId="69C9B549" w:rsidR="00A2124B" w:rsidRDefault="00A2124B" w:rsidP="0099088D">
      <w:pPr>
        <w:tabs>
          <w:tab w:val="left" w:pos="5580"/>
          <w:tab w:val="left" w:pos="9498"/>
        </w:tabs>
        <w:ind w:left="-284" w:right="-569" w:firstLine="851"/>
        <w:rPr>
          <w:color w:val="000000" w:themeColor="text1"/>
        </w:rPr>
      </w:pPr>
    </w:p>
    <w:p w14:paraId="7A3CA86D" w14:textId="041667EB" w:rsidR="00A2124B" w:rsidRDefault="00A2124B" w:rsidP="0099088D">
      <w:pPr>
        <w:tabs>
          <w:tab w:val="left" w:pos="5580"/>
          <w:tab w:val="left" w:pos="9498"/>
        </w:tabs>
        <w:ind w:left="-284" w:right="-569" w:firstLine="851"/>
        <w:rPr>
          <w:color w:val="000000" w:themeColor="text1"/>
        </w:rPr>
      </w:pPr>
    </w:p>
    <w:p w14:paraId="6A9D61D5" w14:textId="32BF22D0" w:rsidR="00A2124B" w:rsidRDefault="00A2124B" w:rsidP="0099088D">
      <w:pPr>
        <w:tabs>
          <w:tab w:val="left" w:pos="5580"/>
          <w:tab w:val="left" w:pos="9498"/>
        </w:tabs>
        <w:ind w:left="-284" w:right="-569" w:firstLine="851"/>
        <w:rPr>
          <w:color w:val="000000" w:themeColor="text1"/>
        </w:rPr>
      </w:pPr>
    </w:p>
    <w:p w14:paraId="69A757C2" w14:textId="53DE9148" w:rsidR="00A2124B" w:rsidRDefault="00A2124B" w:rsidP="0099088D">
      <w:pPr>
        <w:tabs>
          <w:tab w:val="left" w:pos="5580"/>
          <w:tab w:val="left" w:pos="9498"/>
        </w:tabs>
        <w:ind w:left="-284" w:right="-569" w:firstLine="851"/>
        <w:rPr>
          <w:color w:val="000000" w:themeColor="text1"/>
        </w:rPr>
      </w:pPr>
    </w:p>
    <w:p w14:paraId="1C784EE6" w14:textId="4E779BEE" w:rsidR="00A2124B" w:rsidRDefault="00A2124B" w:rsidP="0099088D">
      <w:pPr>
        <w:tabs>
          <w:tab w:val="left" w:pos="5580"/>
          <w:tab w:val="left" w:pos="9498"/>
        </w:tabs>
        <w:ind w:left="-284" w:right="-569" w:firstLine="851"/>
        <w:rPr>
          <w:color w:val="000000" w:themeColor="text1"/>
        </w:rPr>
      </w:pPr>
    </w:p>
    <w:p w14:paraId="5DA5D326" w14:textId="3DA242E7" w:rsidR="00A2124B" w:rsidRDefault="00A2124B" w:rsidP="0099088D">
      <w:pPr>
        <w:tabs>
          <w:tab w:val="left" w:pos="5580"/>
          <w:tab w:val="left" w:pos="9498"/>
        </w:tabs>
        <w:ind w:left="-284" w:right="-569" w:firstLine="851"/>
        <w:rPr>
          <w:color w:val="000000" w:themeColor="text1"/>
        </w:rPr>
      </w:pPr>
    </w:p>
    <w:p w14:paraId="14ED798D" w14:textId="755CE3B2" w:rsidR="00A2124B" w:rsidRDefault="00A2124B" w:rsidP="0099088D">
      <w:pPr>
        <w:tabs>
          <w:tab w:val="left" w:pos="5580"/>
          <w:tab w:val="left" w:pos="9498"/>
        </w:tabs>
        <w:ind w:left="-284" w:right="-569" w:firstLine="851"/>
        <w:rPr>
          <w:color w:val="000000" w:themeColor="text1"/>
        </w:rPr>
      </w:pPr>
    </w:p>
    <w:p w14:paraId="07981CD4" w14:textId="7196998D" w:rsidR="00A2124B" w:rsidRDefault="00A2124B" w:rsidP="0099088D">
      <w:pPr>
        <w:tabs>
          <w:tab w:val="left" w:pos="5580"/>
          <w:tab w:val="left" w:pos="9498"/>
        </w:tabs>
        <w:ind w:left="-284" w:right="-569" w:firstLine="851"/>
        <w:rPr>
          <w:color w:val="000000" w:themeColor="text1"/>
        </w:rPr>
      </w:pPr>
    </w:p>
    <w:p w14:paraId="398D9A54" w14:textId="086655C5" w:rsidR="00A2124B" w:rsidRDefault="00A2124B" w:rsidP="0099088D">
      <w:pPr>
        <w:tabs>
          <w:tab w:val="left" w:pos="5580"/>
          <w:tab w:val="left" w:pos="9498"/>
        </w:tabs>
        <w:ind w:left="-284" w:right="-569" w:firstLine="851"/>
        <w:rPr>
          <w:color w:val="000000" w:themeColor="text1"/>
        </w:rPr>
      </w:pPr>
    </w:p>
    <w:p w14:paraId="58F52475" w14:textId="4F8477B1" w:rsidR="00A2124B" w:rsidRDefault="00A2124B" w:rsidP="0099088D">
      <w:pPr>
        <w:tabs>
          <w:tab w:val="left" w:pos="5580"/>
          <w:tab w:val="left" w:pos="9498"/>
        </w:tabs>
        <w:ind w:left="-284" w:right="-569" w:firstLine="851"/>
        <w:rPr>
          <w:color w:val="000000" w:themeColor="text1"/>
        </w:rPr>
      </w:pPr>
    </w:p>
    <w:p w14:paraId="27F09D51" w14:textId="54CFE200" w:rsidR="00A2124B" w:rsidRDefault="00A2124B" w:rsidP="0099088D">
      <w:pPr>
        <w:tabs>
          <w:tab w:val="left" w:pos="5580"/>
          <w:tab w:val="left" w:pos="9498"/>
        </w:tabs>
        <w:ind w:left="-284" w:right="-569" w:firstLine="851"/>
        <w:rPr>
          <w:color w:val="000000" w:themeColor="text1"/>
        </w:rPr>
      </w:pPr>
    </w:p>
    <w:p w14:paraId="461DEEF8" w14:textId="05657930" w:rsidR="00A2124B" w:rsidRDefault="00A2124B" w:rsidP="0099088D">
      <w:pPr>
        <w:tabs>
          <w:tab w:val="left" w:pos="5580"/>
          <w:tab w:val="left" w:pos="9498"/>
        </w:tabs>
        <w:ind w:left="-284" w:right="-569" w:firstLine="851"/>
        <w:rPr>
          <w:color w:val="000000" w:themeColor="text1"/>
        </w:rPr>
      </w:pPr>
    </w:p>
    <w:p w14:paraId="20E6D8CB" w14:textId="77777777" w:rsidR="00A2124B" w:rsidRDefault="00A2124B" w:rsidP="0099088D">
      <w:pPr>
        <w:tabs>
          <w:tab w:val="left" w:pos="5580"/>
          <w:tab w:val="left" w:pos="9498"/>
        </w:tabs>
        <w:ind w:left="-284" w:right="-569" w:firstLine="851"/>
        <w:rPr>
          <w:color w:val="000000" w:themeColor="text1"/>
        </w:rPr>
      </w:pPr>
    </w:p>
    <w:p w14:paraId="0039189F" w14:textId="29723B31" w:rsidR="00FF2C53" w:rsidRDefault="00FF2C53" w:rsidP="0099088D">
      <w:pPr>
        <w:tabs>
          <w:tab w:val="left" w:pos="5580"/>
          <w:tab w:val="left" w:pos="9498"/>
        </w:tabs>
        <w:ind w:left="-284" w:right="-569" w:firstLine="851"/>
        <w:rPr>
          <w:color w:val="000000" w:themeColor="text1"/>
        </w:rPr>
      </w:pPr>
    </w:p>
    <w:p w14:paraId="1E559FD2" w14:textId="55E0F50F" w:rsidR="00FF2C53" w:rsidRDefault="00FF2C53" w:rsidP="0099088D">
      <w:pPr>
        <w:tabs>
          <w:tab w:val="left" w:pos="5580"/>
          <w:tab w:val="left" w:pos="9498"/>
        </w:tabs>
        <w:ind w:left="-284" w:right="-569" w:firstLine="851"/>
        <w:rPr>
          <w:color w:val="000000" w:themeColor="text1"/>
        </w:rPr>
      </w:pPr>
    </w:p>
    <w:p w14:paraId="7B0D7794" w14:textId="3636FD07" w:rsidR="00FF2C53" w:rsidRPr="00081AD4" w:rsidRDefault="00FF2C53" w:rsidP="00A2124B">
      <w:pPr>
        <w:tabs>
          <w:tab w:val="left" w:pos="3686"/>
          <w:tab w:val="left" w:pos="9498"/>
        </w:tabs>
        <w:ind w:left="-3734" w:right="-1" w:firstLine="8554"/>
        <w:rPr>
          <w:color w:val="000000" w:themeColor="text1"/>
        </w:rPr>
      </w:pPr>
      <w:r w:rsidRPr="00081AD4">
        <w:rPr>
          <w:color w:val="000000" w:themeColor="text1"/>
        </w:rPr>
        <w:t xml:space="preserve">Приложение № </w:t>
      </w:r>
      <w:r>
        <w:rPr>
          <w:color w:val="000000" w:themeColor="text1"/>
        </w:rPr>
        <w:t>1</w:t>
      </w:r>
      <w:r>
        <w:rPr>
          <w:color w:val="000000" w:themeColor="text1"/>
        </w:rPr>
        <w:t>5</w:t>
      </w:r>
      <w:r>
        <w:rPr>
          <w:color w:val="000000" w:themeColor="text1"/>
        </w:rPr>
        <w:t xml:space="preserve"> к протоколу</w:t>
      </w:r>
      <w:r w:rsidRPr="00081AD4">
        <w:rPr>
          <w:color w:val="000000" w:themeColor="text1"/>
        </w:rPr>
        <w:t xml:space="preserve"> № </w:t>
      </w:r>
      <w:r>
        <w:rPr>
          <w:color w:val="000000" w:themeColor="text1"/>
        </w:rPr>
        <w:t>88</w:t>
      </w:r>
    </w:p>
    <w:p w14:paraId="4EB15676" w14:textId="77777777" w:rsidR="00FF2C53" w:rsidRPr="00081AD4" w:rsidRDefault="00FF2C53" w:rsidP="00A2124B">
      <w:pPr>
        <w:tabs>
          <w:tab w:val="left" w:pos="3686"/>
          <w:tab w:val="left" w:pos="9498"/>
        </w:tabs>
        <w:ind w:left="-3734" w:right="-1" w:firstLine="8554"/>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044EC3B7" w14:textId="77777777" w:rsidR="00FF2C53" w:rsidRPr="00081AD4" w:rsidRDefault="00FF2C53" w:rsidP="00A2124B">
      <w:pPr>
        <w:tabs>
          <w:tab w:val="left" w:pos="3686"/>
          <w:tab w:val="left" w:pos="9498"/>
        </w:tabs>
        <w:ind w:left="-3734" w:right="-1" w:firstLine="8554"/>
        <w:rPr>
          <w:color w:val="000000" w:themeColor="text1"/>
        </w:rPr>
      </w:pPr>
      <w:r w:rsidRPr="00081AD4">
        <w:rPr>
          <w:color w:val="000000" w:themeColor="text1"/>
        </w:rPr>
        <w:t>энергетической комиссии</w:t>
      </w:r>
    </w:p>
    <w:p w14:paraId="5CB6E499" w14:textId="06CD83B1" w:rsidR="00FF2C53" w:rsidRDefault="00FF2C53" w:rsidP="00A2124B">
      <w:pPr>
        <w:tabs>
          <w:tab w:val="left" w:pos="3686"/>
          <w:tab w:val="left" w:pos="9498"/>
        </w:tabs>
        <w:ind w:left="-3734" w:right="-1" w:firstLine="8554"/>
        <w:rPr>
          <w:color w:val="000000" w:themeColor="text1"/>
        </w:rPr>
      </w:pPr>
      <w:r w:rsidRPr="00081AD4">
        <w:rPr>
          <w:color w:val="000000" w:themeColor="text1"/>
        </w:rPr>
        <w:t xml:space="preserve">Кузбасса от </w:t>
      </w:r>
      <w:r>
        <w:rPr>
          <w:color w:val="000000" w:themeColor="text1"/>
        </w:rPr>
        <w:t>23</w:t>
      </w:r>
      <w:r w:rsidRPr="00081AD4">
        <w:rPr>
          <w:color w:val="000000" w:themeColor="text1"/>
        </w:rPr>
        <w:t>.</w:t>
      </w:r>
      <w:r>
        <w:rPr>
          <w:color w:val="000000" w:themeColor="text1"/>
        </w:rPr>
        <w:t>12</w:t>
      </w:r>
      <w:r w:rsidRPr="00081AD4">
        <w:rPr>
          <w:color w:val="000000" w:themeColor="text1"/>
        </w:rPr>
        <w:t>.202</w:t>
      </w:r>
      <w:r>
        <w:rPr>
          <w:color w:val="000000" w:themeColor="text1"/>
        </w:rPr>
        <w:t>1</w:t>
      </w:r>
    </w:p>
    <w:p w14:paraId="1541DC3E" w14:textId="1AAB002E" w:rsidR="00B7665B" w:rsidRDefault="00B7665B" w:rsidP="00A2124B">
      <w:pPr>
        <w:tabs>
          <w:tab w:val="left" w:pos="3686"/>
          <w:tab w:val="left" w:pos="9498"/>
        </w:tabs>
        <w:ind w:left="-3734" w:right="-1" w:firstLine="8554"/>
        <w:rPr>
          <w:color w:val="000000" w:themeColor="text1"/>
        </w:rPr>
      </w:pPr>
    </w:p>
    <w:p w14:paraId="2D32AD65" w14:textId="0C32B683" w:rsidR="00B7665B" w:rsidRDefault="00B7665B" w:rsidP="00FF2C53">
      <w:pPr>
        <w:tabs>
          <w:tab w:val="left" w:pos="3686"/>
          <w:tab w:val="left" w:pos="9498"/>
        </w:tabs>
        <w:ind w:left="-3734" w:right="-1" w:firstLine="9830"/>
        <w:rPr>
          <w:color w:val="000000" w:themeColor="text1"/>
        </w:rPr>
      </w:pPr>
    </w:p>
    <w:p w14:paraId="2219B900" w14:textId="77777777" w:rsidR="00A2124B" w:rsidRPr="00060EF9" w:rsidRDefault="00A2124B" w:rsidP="00A2124B">
      <w:pPr>
        <w:jc w:val="center"/>
        <w:rPr>
          <w:b/>
          <w:sz w:val="28"/>
          <w:szCs w:val="28"/>
        </w:rPr>
      </w:pPr>
      <w:r w:rsidRPr="00060EF9">
        <w:rPr>
          <w:b/>
          <w:sz w:val="28"/>
          <w:szCs w:val="28"/>
        </w:rPr>
        <w:t>Экспертное заключение</w:t>
      </w:r>
    </w:p>
    <w:p w14:paraId="4FDAEF12" w14:textId="77777777" w:rsidR="00A2124B" w:rsidRPr="00060EF9" w:rsidRDefault="00A2124B" w:rsidP="00A2124B">
      <w:pPr>
        <w:jc w:val="center"/>
        <w:rPr>
          <w:bCs/>
          <w:sz w:val="28"/>
          <w:szCs w:val="28"/>
        </w:rPr>
      </w:pPr>
      <w:r w:rsidRPr="00060EF9">
        <w:rPr>
          <w:bCs/>
          <w:sz w:val="28"/>
          <w:szCs w:val="28"/>
        </w:rPr>
        <w:t>Региональной энергетической комиссии Кузбасса</w:t>
      </w:r>
    </w:p>
    <w:p w14:paraId="1D12569D" w14:textId="77777777" w:rsidR="00A2124B" w:rsidRPr="00060EF9" w:rsidRDefault="00A2124B" w:rsidP="00A2124B">
      <w:pPr>
        <w:autoSpaceDE w:val="0"/>
        <w:autoSpaceDN w:val="0"/>
        <w:adjustRightInd w:val="0"/>
        <w:jc w:val="center"/>
        <w:rPr>
          <w:sz w:val="28"/>
          <w:szCs w:val="28"/>
        </w:rPr>
      </w:pPr>
      <w:r w:rsidRPr="00060EF9">
        <w:rPr>
          <w:sz w:val="28"/>
          <w:szCs w:val="28"/>
        </w:rPr>
        <w:t xml:space="preserve">по результатам рассмотрения заявки </w:t>
      </w:r>
    </w:p>
    <w:p w14:paraId="63918D0A" w14:textId="77777777" w:rsidR="00A2124B" w:rsidRPr="00060EF9" w:rsidRDefault="00A2124B" w:rsidP="00A2124B">
      <w:pPr>
        <w:autoSpaceDE w:val="0"/>
        <w:autoSpaceDN w:val="0"/>
        <w:adjustRightInd w:val="0"/>
        <w:jc w:val="center"/>
        <w:rPr>
          <w:sz w:val="28"/>
          <w:szCs w:val="28"/>
        </w:rPr>
      </w:pPr>
      <w:r w:rsidRPr="00060EF9">
        <w:rPr>
          <w:sz w:val="28"/>
          <w:szCs w:val="28"/>
        </w:rPr>
        <w:t xml:space="preserve">ООО «Кузбассоблгаз» (Кемеровский городской округ) </w:t>
      </w:r>
    </w:p>
    <w:p w14:paraId="61DCA7D3" w14:textId="77777777" w:rsidR="00A2124B" w:rsidRPr="00060EF9" w:rsidRDefault="00A2124B" w:rsidP="00A2124B">
      <w:pPr>
        <w:autoSpaceDE w:val="0"/>
        <w:autoSpaceDN w:val="0"/>
        <w:adjustRightInd w:val="0"/>
        <w:jc w:val="center"/>
        <w:rPr>
          <w:sz w:val="28"/>
          <w:szCs w:val="28"/>
        </w:rPr>
      </w:pPr>
      <w:r w:rsidRPr="00060EF9">
        <w:rPr>
          <w:sz w:val="28"/>
          <w:szCs w:val="28"/>
        </w:rPr>
        <w:t>на утверждение стандартизированных тарифных ставок, используемых для определения платы за технологическое присоединение, на 2022 год</w:t>
      </w:r>
    </w:p>
    <w:p w14:paraId="691F38C5" w14:textId="77777777" w:rsidR="00A2124B" w:rsidRPr="00060EF9" w:rsidRDefault="00A2124B" w:rsidP="00A2124B">
      <w:pPr>
        <w:ind w:firstLine="567"/>
        <w:jc w:val="both"/>
        <w:rPr>
          <w:sz w:val="28"/>
          <w:szCs w:val="28"/>
        </w:rPr>
      </w:pPr>
    </w:p>
    <w:p w14:paraId="6DD1C5B7" w14:textId="77777777" w:rsidR="00A2124B" w:rsidRPr="00060EF9" w:rsidRDefault="00A2124B" w:rsidP="00A2124B">
      <w:pPr>
        <w:ind w:firstLine="567"/>
        <w:jc w:val="both"/>
        <w:rPr>
          <w:sz w:val="28"/>
          <w:szCs w:val="28"/>
        </w:rPr>
      </w:pPr>
      <w:r w:rsidRPr="00060EF9">
        <w:rPr>
          <w:sz w:val="28"/>
          <w:szCs w:val="28"/>
        </w:rPr>
        <w:t>В Региональную энергетическую комиссию Кузбасса (далее – РЭК) обратилось ООО «Кузбассоблгаз», ИНН 4205244870 (далее – Предприятие) с заявкой на утверждение стандартизированных тарифных ставок:</w:t>
      </w:r>
    </w:p>
    <w:p w14:paraId="239AE9C1" w14:textId="77777777" w:rsidR="00A2124B" w:rsidRPr="00060EF9" w:rsidRDefault="00A2124B" w:rsidP="00A2124B">
      <w:pPr>
        <w:ind w:firstLine="567"/>
        <w:jc w:val="both"/>
        <w:rPr>
          <w:sz w:val="28"/>
          <w:szCs w:val="28"/>
        </w:rPr>
      </w:pPr>
      <w:bookmarkStart w:id="68" w:name="_Hlk87883835"/>
      <w:r w:rsidRPr="00060EF9">
        <w:rPr>
          <w:sz w:val="28"/>
          <w:szCs w:val="28"/>
        </w:rPr>
        <w:t>-</w:t>
      </w:r>
      <w:r w:rsidRPr="00060EF9">
        <w:rPr>
          <w:sz w:val="28"/>
          <w:szCs w:val="28"/>
        </w:rPr>
        <w:tab/>
        <w:t xml:space="preserve">стандартизированная тарифная ставка </w:t>
      </w:r>
      <w:bookmarkStart w:id="69" w:name="_Hlk46997822"/>
      <w:r w:rsidRPr="00060EF9">
        <w:rPr>
          <w:sz w:val="28"/>
          <w:szCs w:val="28"/>
        </w:rPr>
        <w:t>С</w:t>
      </w:r>
      <w:r w:rsidRPr="00060EF9">
        <w:rPr>
          <w:sz w:val="28"/>
          <w:szCs w:val="28"/>
          <w:vertAlign w:val="subscript"/>
        </w:rPr>
        <w:t>1</w:t>
      </w:r>
      <w:bookmarkEnd w:id="69"/>
      <w:r w:rsidRPr="00060EF9">
        <w:rPr>
          <w:sz w:val="28"/>
          <w:szCs w:val="28"/>
        </w:rPr>
        <w:t xml:space="preserve"> на покрытие расходов ГРО, связанных с проектированием ГРО газопровода i-того диапазона диаметров n-ной протяженности и k-того типа прокладки, в расчете на одно подключение (технологическое присоединение);</w:t>
      </w:r>
    </w:p>
    <w:p w14:paraId="090656BA" w14:textId="77777777" w:rsidR="00A2124B" w:rsidRPr="00060EF9" w:rsidRDefault="00A2124B" w:rsidP="00A2124B">
      <w:pPr>
        <w:autoSpaceDE w:val="0"/>
        <w:autoSpaceDN w:val="0"/>
        <w:adjustRightInd w:val="0"/>
        <w:ind w:firstLine="540"/>
        <w:jc w:val="both"/>
        <w:rPr>
          <w:sz w:val="28"/>
          <w:szCs w:val="28"/>
        </w:rPr>
      </w:pPr>
      <w:r w:rsidRPr="00060EF9">
        <w:rPr>
          <w:sz w:val="28"/>
          <w:szCs w:val="28"/>
        </w:rPr>
        <w:t>-</w:t>
      </w:r>
      <w:r w:rsidRPr="00060EF9">
        <w:rPr>
          <w:sz w:val="28"/>
          <w:szCs w:val="28"/>
        </w:rPr>
        <w:tab/>
        <w:t>стандартизированная тарифная ставка С</w:t>
      </w:r>
      <w:r w:rsidRPr="00060EF9">
        <w:rPr>
          <w:sz w:val="28"/>
          <w:szCs w:val="28"/>
          <w:vertAlign w:val="subscript"/>
        </w:rPr>
        <w:t>2</w:t>
      </w:r>
      <w:r w:rsidRPr="00060EF9">
        <w:rPr>
          <w:sz w:val="28"/>
          <w:szCs w:val="28"/>
        </w:rPr>
        <w:t xml:space="preserve"> на покрытие расходов ГРО, размер стандартизированной тарифной ставки на покрытие расходов ГРО, связанных со строительством стальных газопроводов i-того диапазона диаметров и k-того типа прокладки, в расчете на 1 км;</w:t>
      </w:r>
    </w:p>
    <w:p w14:paraId="5339C73B" w14:textId="77777777" w:rsidR="00A2124B" w:rsidRPr="00060EF9" w:rsidRDefault="00A2124B" w:rsidP="00A2124B">
      <w:pPr>
        <w:ind w:firstLine="567"/>
        <w:jc w:val="both"/>
        <w:rPr>
          <w:sz w:val="28"/>
          <w:szCs w:val="28"/>
        </w:rPr>
      </w:pPr>
      <w:r w:rsidRPr="00060EF9">
        <w:rPr>
          <w:sz w:val="28"/>
          <w:szCs w:val="28"/>
        </w:rPr>
        <w:t>-</w:t>
      </w:r>
      <w:r w:rsidRPr="00060EF9">
        <w:rPr>
          <w:sz w:val="28"/>
          <w:szCs w:val="28"/>
        </w:rPr>
        <w:tab/>
        <w:t>стандартизированная тарифная ставка С</w:t>
      </w:r>
      <w:r w:rsidRPr="00060EF9">
        <w:rPr>
          <w:sz w:val="28"/>
          <w:szCs w:val="28"/>
          <w:vertAlign w:val="subscript"/>
        </w:rPr>
        <w:t>3</w:t>
      </w:r>
      <w:r w:rsidRPr="00060EF9">
        <w:rPr>
          <w:sz w:val="28"/>
          <w:szCs w:val="28"/>
        </w:rPr>
        <w:t xml:space="preserve"> на покрытие расходов ГРО, связанных со строительством полиэтиленового газопровода j-того диапазона диаметров, в расчете на 1 км;</w:t>
      </w:r>
    </w:p>
    <w:bookmarkEnd w:id="68"/>
    <w:p w14:paraId="6A9CFBF8" w14:textId="77777777" w:rsidR="00A2124B" w:rsidRPr="00060EF9" w:rsidRDefault="00A2124B" w:rsidP="00A2124B">
      <w:pPr>
        <w:ind w:firstLine="567"/>
        <w:jc w:val="both"/>
        <w:rPr>
          <w:sz w:val="28"/>
          <w:szCs w:val="28"/>
        </w:rPr>
      </w:pPr>
      <w:r w:rsidRPr="00060EF9">
        <w:rPr>
          <w:sz w:val="28"/>
          <w:szCs w:val="28"/>
        </w:rPr>
        <w:t>-</w:t>
      </w:r>
      <w:r w:rsidRPr="00060EF9">
        <w:rPr>
          <w:sz w:val="28"/>
          <w:szCs w:val="28"/>
        </w:rPr>
        <w:tab/>
        <w:t>стандартизированная тарифная ставка С</w:t>
      </w:r>
      <w:r w:rsidRPr="00060EF9">
        <w:rPr>
          <w:sz w:val="28"/>
          <w:szCs w:val="28"/>
          <w:vertAlign w:val="subscript"/>
        </w:rPr>
        <w:t>4</w:t>
      </w:r>
      <w:r w:rsidRPr="00060EF9">
        <w:rPr>
          <w:sz w:val="28"/>
          <w:szCs w:val="28"/>
        </w:rPr>
        <w:t xml:space="preserve"> на покрытие расходов ГРО, связанных со строительством стального газопровода i-того диапазона диаметров (полиэтиленового газопровода j-того диапазона диаметров) n-ной протяженности бестраншейным способом, в расчете на 1 км;</w:t>
      </w:r>
    </w:p>
    <w:p w14:paraId="237B5B9F" w14:textId="77777777" w:rsidR="00A2124B" w:rsidRPr="00060EF9" w:rsidRDefault="00A2124B" w:rsidP="00A2124B">
      <w:pPr>
        <w:ind w:firstLine="567"/>
        <w:jc w:val="both"/>
        <w:rPr>
          <w:sz w:val="28"/>
          <w:szCs w:val="28"/>
        </w:rPr>
      </w:pPr>
      <w:r w:rsidRPr="00060EF9">
        <w:rPr>
          <w:sz w:val="28"/>
          <w:szCs w:val="28"/>
        </w:rPr>
        <w:t>-</w:t>
      </w:r>
      <w:r w:rsidRPr="00060EF9">
        <w:rPr>
          <w:sz w:val="28"/>
          <w:szCs w:val="28"/>
        </w:rPr>
        <w:tab/>
        <w:t>стандартизированная тарифная ставка С</w:t>
      </w:r>
      <w:r w:rsidRPr="00060EF9">
        <w:rPr>
          <w:sz w:val="28"/>
          <w:szCs w:val="28"/>
          <w:vertAlign w:val="subscript"/>
        </w:rPr>
        <w:t xml:space="preserve">5 </w:t>
      </w:r>
      <w:r w:rsidRPr="00060EF9">
        <w:rPr>
          <w:sz w:val="28"/>
          <w:szCs w:val="28"/>
        </w:rPr>
        <w:t>на покрытие расходов ГРО, связанных с проектированием и строительством пунктов редуцирования газа m-ного диапазона максимального часового расхода газа, в расчете на 1 м3 (руб./м3);</w:t>
      </w:r>
    </w:p>
    <w:p w14:paraId="4E76A646" w14:textId="77777777" w:rsidR="00A2124B" w:rsidRPr="00060EF9" w:rsidRDefault="00A2124B" w:rsidP="00A2124B">
      <w:pPr>
        <w:autoSpaceDE w:val="0"/>
        <w:autoSpaceDN w:val="0"/>
        <w:adjustRightInd w:val="0"/>
        <w:ind w:firstLine="540"/>
        <w:jc w:val="both"/>
        <w:rPr>
          <w:sz w:val="28"/>
          <w:szCs w:val="28"/>
        </w:rPr>
      </w:pPr>
      <w:r w:rsidRPr="00060EF9">
        <w:rPr>
          <w:sz w:val="28"/>
          <w:szCs w:val="28"/>
        </w:rPr>
        <w:t xml:space="preserve"> -</w:t>
      </w:r>
      <w:r w:rsidRPr="00060EF9">
        <w:rPr>
          <w:sz w:val="28"/>
          <w:szCs w:val="28"/>
        </w:rPr>
        <w:tab/>
        <w:t>стандартизированная тарифная ставка С</w:t>
      </w:r>
      <w:r w:rsidRPr="00060EF9">
        <w:rPr>
          <w:sz w:val="28"/>
          <w:szCs w:val="28"/>
          <w:vertAlign w:val="subscript"/>
        </w:rPr>
        <w:t>7</w:t>
      </w:r>
      <w:r w:rsidRPr="00060EF9">
        <w:rPr>
          <w:sz w:val="28"/>
          <w:szCs w:val="28"/>
        </w:rPr>
        <w:t xml:space="preserve"> на покрытие расходов ГРО, связанных с мониторингом выполнения Заявителем технических условий и осуществлением фактического присоединения к газораспределительной сети ГРО,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g-тым способом врезки сети газопотребления Заявителя и существующего или вновь построенного стального i-того диапазона диаметров (полиэтиленового j-того диапазона диаметров) газопровода ГРО, а также бесхозяйного газопровода или газопровода основного абонента, выполненного k-тым типом прокладки, и проведением пуска газа в газоиспользующее оборудование Заявителя с разбивкой по следующим ставкам:</w:t>
      </w:r>
    </w:p>
    <w:p w14:paraId="38D59828" w14:textId="77777777" w:rsidR="00A2124B" w:rsidRPr="00060EF9" w:rsidRDefault="00A2124B" w:rsidP="00A2124B">
      <w:pPr>
        <w:autoSpaceDE w:val="0"/>
        <w:autoSpaceDN w:val="0"/>
        <w:adjustRightInd w:val="0"/>
        <w:ind w:firstLine="540"/>
        <w:jc w:val="both"/>
        <w:rPr>
          <w:sz w:val="28"/>
          <w:szCs w:val="28"/>
        </w:rPr>
      </w:pPr>
      <w:r w:rsidRPr="00060EF9">
        <w:rPr>
          <w:sz w:val="28"/>
          <w:szCs w:val="28"/>
        </w:rPr>
        <w:t>С</w:t>
      </w:r>
      <w:r w:rsidRPr="00060EF9">
        <w:rPr>
          <w:sz w:val="28"/>
          <w:szCs w:val="28"/>
          <w:vertAlign w:val="subscript"/>
        </w:rPr>
        <w:t>7.1</w:t>
      </w:r>
      <w:r w:rsidRPr="00060EF9">
        <w:rPr>
          <w:sz w:val="28"/>
          <w:szCs w:val="28"/>
        </w:rPr>
        <w:t xml:space="preserve"> - размер стандартизированной тарифной ставки, связанной с мониторингом выполнения Заявителем технических условий;</w:t>
      </w:r>
    </w:p>
    <w:p w14:paraId="753B105E" w14:textId="77777777" w:rsidR="00A2124B" w:rsidRPr="00060EF9" w:rsidRDefault="00A2124B" w:rsidP="00A2124B">
      <w:pPr>
        <w:autoSpaceDE w:val="0"/>
        <w:autoSpaceDN w:val="0"/>
        <w:adjustRightInd w:val="0"/>
        <w:ind w:firstLine="540"/>
        <w:jc w:val="both"/>
        <w:rPr>
          <w:sz w:val="28"/>
          <w:szCs w:val="28"/>
        </w:rPr>
      </w:pPr>
      <w:r w:rsidRPr="00060EF9">
        <w:rPr>
          <w:sz w:val="28"/>
          <w:szCs w:val="28"/>
        </w:rPr>
        <w:t>С</w:t>
      </w:r>
      <w:r w:rsidRPr="00060EF9">
        <w:rPr>
          <w:sz w:val="28"/>
          <w:szCs w:val="28"/>
          <w:vertAlign w:val="subscript"/>
        </w:rPr>
        <w:t>7.2</w:t>
      </w:r>
      <w:r w:rsidRPr="00060EF9">
        <w:rPr>
          <w:sz w:val="28"/>
          <w:szCs w:val="28"/>
        </w:rPr>
        <w:t xml:space="preserve"> - размер стандартизированной тарифной ставки, связанной с осуществлением фактического присоединения к газораспределительной сети ГРО,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g-тым способом врезки сети газопотребления Заявителя и существующего или вновь построенного стального i-того диапазона диаметров (полиэтиленового j-того диапазона диаметров) газопровода ГРО, бесхозяйного газопровода или газопровода основного абонента, выполненного k-тым типом прокладки, и проведением пуска газа, в расчете на одно подключение (технологическое присоединение);</w:t>
      </w:r>
    </w:p>
    <w:p w14:paraId="75EFDE2E" w14:textId="77777777" w:rsidR="00A2124B" w:rsidRPr="00060EF9" w:rsidRDefault="00A2124B" w:rsidP="00A2124B">
      <w:pPr>
        <w:spacing w:line="24" w:lineRule="atLeast"/>
        <w:ind w:firstLine="851"/>
        <w:jc w:val="both"/>
        <w:rPr>
          <w:sz w:val="28"/>
          <w:szCs w:val="28"/>
        </w:rPr>
      </w:pPr>
      <w:r w:rsidRPr="00060EF9">
        <w:rPr>
          <w:sz w:val="28"/>
          <w:szCs w:val="28"/>
        </w:rPr>
        <w:t>Нормативно-методической основой проведения анализа материалов, представленных предприятием, являются:</w:t>
      </w:r>
    </w:p>
    <w:p w14:paraId="0E2B8A9E" w14:textId="77777777" w:rsidR="00A2124B" w:rsidRPr="00060EF9" w:rsidRDefault="00A2124B" w:rsidP="00A2124B">
      <w:pPr>
        <w:numPr>
          <w:ilvl w:val="1"/>
          <w:numId w:val="8"/>
        </w:numPr>
        <w:tabs>
          <w:tab w:val="clear" w:pos="2160"/>
          <w:tab w:val="num" w:pos="1070"/>
          <w:tab w:val="left" w:pos="10080"/>
        </w:tabs>
        <w:spacing w:line="24" w:lineRule="atLeast"/>
        <w:ind w:left="1070"/>
        <w:jc w:val="both"/>
        <w:rPr>
          <w:sz w:val="28"/>
          <w:szCs w:val="28"/>
        </w:rPr>
      </w:pPr>
      <w:r w:rsidRPr="00060EF9">
        <w:rPr>
          <w:sz w:val="28"/>
          <w:szCs w:val="28"/>
        </w:rPr>
        <w:t>Гражданский кодекс Российской Федерации;</w:t>
      </w:r>
    </w:p>
    <w:p w14:paraId="37718546" w14:textId="77777777" w:rsidR="00A2124B" w:rsidRPr="00060EF9" w:rsidRDefault="00A2124B" w:rsidP="00A2124B">
      <w:pPr>
        <w:numPr>
          <w:ilvl w:val="1"/>
          <w:numId w:val="8"/>
        </w:numPr>
        <w:tabs>
          <w:tab w:val="clear" w:pos="2160"/>
          <w:tab w:val="num" w:pos="1070"/>
          <w:tab w:val="left" w:pos="10080"/>
        </w:tabs>
        <w:spacing w:line="24" w:lineRule="atLeast"/>
        <w:ind w:left="1070"/>
        <w:jc w:val="both"/>
        <w:rPr>
          <w:sz w:val="28"/>
          <w:szCs w:val="28"/>
        </w:rPr>
      </w:pPr>
      <w:r w:rsidRPr="00060EF9">
        <w:rPr>
          <w:sz w:val="28"/>
          <w:szCs w:val="28"/>
        </w:rPr>
        <w:t>Налоговый кодекс Российской Федерации (в дальнейшем НК РФ);</w:t>
      </w:r>
    </w:p>
    <w:p w14:paraId="191298E9" w14:textId="77777777" w:rsidR="00A2124B" w:rsidRPr="00060EF9" w:rsidRDefault="00A2124B" w:rsidP="00A2124B">
      <w:pPr>
        <w:numPr>
          <w:ilvl w:val="1"/>
          <w:numId w:val="8"/>
        </w:numPr>
        <w:tabs>
          <w:tab w:val="clear" w:pos="2160"/>
          <w:tab w:val="num" w:pos="1070"/>
          <w:tab w:val="left" w:pos="10080"/>
        </w:tabs>
        <w:spacing w:line="24" w:lineRule="atLeast"/>
        <w:ind w:left="1070"/>
        <w:jc w:val="both"/>
        <w:rPr>
          <w:sz w:val="28"/>
          <w:szCs w:val="28"/>
        </w:rPr>
      </w:pPr>
      <w:r w:rsidRPr="00060EF9">
        <w:rPr>
          <w:sz w:val="28"/>
          <w:szCs w:val="28"/>
        </w:rPr>
        <w:t>Трудовой Кодекс Российской Федерации (в дальнейшем ТК РФ);</w:t>
      </w:r>
    </w:p>
    <w:p w14:paraId="7980EB3F" w14:textId="77777777" w:rsidR="00A2124B" w:rsidRPr="00060EF9" w:rsidRDefault="00A2124B" w:rsidP="00A2124B">
      <w:pPr>
        <w:numPr>
          <w:ilvl w:val="1"/>
          <w:numId w:val="8"/>
        </w:numPr>
        <w:tabs>
          <w:tab w:val="clear" w:pos="2160"/>
          <w:tab w:val="num" w:pos="1070"/>
          <w:tab w:val="left" w:pos="10080"/>
        </w:tabs>
        <w:spacing w:line="24" w:lineRule="atLeast"/>
        <w:ind w:left="1070"/>
        <w:jc w:val="both"/>
        <w:rPr>
          <w:sz w:val="28"/>
          <w:szCs w:val="28"/>
        </w:rPr>
      </w:pPr>
      <w:r w:rsidRPr="00060EF9">
        <w:rPr>
          <w:sz w:val="28"/>
          <w:szCs w:val="28"/>
        </w:rPr>
        <w:t>Федеральный Закон от 17.08.1995 № 147-ФЗ «О естественных монополиях»;</w:t>
      </w:r>
    </w:p>
    <w:p w14:paraId="61CDD076" w14:textId="77777777" w:rsidR="00A2124B" w:rsidRPr="00060EF9" w:rsidRDefault="00A2124B" w:rsidP="00A2124B">
      <w:pPr>
        <w:numPr>
          <w:ilvl w:val="1"/>
          <w:numId w:val="8"/>
        </w:numPr>
        <w:tabs>
          <w:tab w:val="clear" w:pos="2160"/>
          <w:tab w:val="num" w:pos="1070"/>
          <w:tab w:val="left" w:pos="10080"/>
        </w:tabs>
        <w:spacing w:line="24" w:lineRule="atLeast"/>
        <w:ind w:left="1070"/>
        <w:jc w:val="both"/>
        <w:rPr>
          <w:sz w:val="28"/>
          <w:szCs w:val="28"/>
        </w:rPr>
      </w:pPr>
      <w:r w:rsidRPr="00060EF9">
        <w:rPr>
          <w:sz w:val="28"/>
          <w:szCs w:val="28"/>
        </w:rPr>
        <w:t>Постановление Правительства РФ от 29.12.2000 №1021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w:t>
      </w:r>
    </w:p>
    <w:p w14:paraId="2FC33362" w14:textId="77777777" w:rsidR="00A2124B" w:rsidRPr="00060EF9" w:rsidRDefault="00A2124B" w:rsidP="00A2124B">
      <w:pPr>
        <w:numPr>
          <w:ilvl w:val="1"/>
          <w:numId w:val="8"/>
        </w:numPr>
        <w:tabs>
          <w:tab w:val="clear" w:pos="2160"/>
          <w:tab w:val="num" w:pos="1070"/>
          <w:tab w:val="left" w:pos="10080"/>
        </w:tabs>
        <w:spacing w:line="24" w:lineRule="atLeast"/>
        <w:ind w:left="1070"/>
        <w:jc w:val="both"/>
        <w:rPr>
          <w:sz w:val="28"/>
          <w:szCs w:val="28"/>
        </w:rPr>
      </w:pPr>
      <w:r w:rsidRPr="00060EF9">
        <w:rPr>
          <w:sz w:val="28"/>
          <w:szCs w:val="28"/>
        </w:rPr>
        <w:t>Методические указания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утвержденные приказом ФАС России от 16.08.2018 № 1151/18 (далее - Методические указания);</w:t>
      </w:r>
    </w:p>
    <w:p w14:paraId="6E96FB62" w14:textId="77777777" w:rsidR="00A2124B" w:rsidRPr="00060EF9" w:rsidRDefault="00A2124B" w:rsidP="00A2124B">
      <w:pPr>
        <w:numPr>
          <w:ilvl w:val="1"/>
          <w:numId w:val="8"/>
        </w:numPr>
        <w:tabs>
          <w:tab w:val="clear" w:pos="2160"/>
          <w:tab w:val="num" w:pos="1070"/>
          <w:tab w:val="left" w:pos="10080"/>
        </w:tabs>
        <w:spacing w:line="24" w:lineRule="atLeast"/>
        <w:ind w:left="1070"/>
        <w:jc w:val="both"/>
        <w:rPr>
          <w:sz w:val="28"/>
          <w:szCs w:val="28"/>
        </w:rPr>
      </w:pPr>
      <w:r w:rsidRPr="00060EF9">
        <w:rPr>
          <w:sz w:val="28"/>
          <w:szCs w:val="28"/>
        </w:rPr>
        <w:t>Правила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России от 13.09.2021 № 1547 (далее – Правила);</w:t>
      </w:r>
    </w:p>
    <w:p w14:paraId="3136D510" w14:textId="77777777" w:rsidR="00A2124B" w:rsidRPr="00060EF9" w:rsidRDefault="00A2124B" w:rsidP="00A2124B">
      <w:pPr>
        <w:numPr>
          <w:ilvl w:val="1"/>
          <w:numId w:val="8"/>
        </w:numPr>
        <w:tabs>
          <w:tab w:val="clear" w:pos="2160"/>
          <w:tab w:val="num" w:pos="1070"/>
          <w:tab w:val="left" w:pos="10080"/>
        </w:tabs>
        <w:spacing w:line="24" w:lineRule="atLeast"/>
        <w:ind w:left="1070"/>
        <w:jc w:val="both"/>
        <w:rPr>
          <w:sz w:val="28"/>
          <w:szCs w:val="28"/>
        </w:rPr>
      </w:pPr>
      <w:r w:rsidRPr="00060EF9">
        <w:rPr>
          <w:sz w:val="28"/>
          <w:szCs w:val="28"/>
        </w:rPr>
        <w:t>Справочник базовых цен на проектные работы для строительства. СБЦП 81 - 2001-01. Территориальное планирование и планировка территорий. (утвержден Министерством регионального развития Российской Федерации приказом № 260 от 28.05.2010 г;</w:t>
      </w:r>
    </w:p>
    <w:p w14:paraId="1F98A766" w14:textId="77777777" w:rsidR="00A2124B" w:rsidRPr="00060EF9" w:rsidRDefault="00A2124B" w:rsidP="00A2124B">
      <w:pPr>
        <w:numPr>
          <w:ilvl w:val="1"/>
          <w:numId w:val="8"/>
        </w:numPr>
        <w:tabs>
          <w:tab w:val="clear" w:pos="2160"/>
          <w:tab w:val="num" w:pos="1070"/>
          <w:tab w:val="left" w:pos="10080"/>
        </w:tabs>
        <w:spacing w:line="24" w:lineRule="atLeast"/>
        <w:ind w:left="1070"/>
        <w:jc w:val="both"/>
        <w:rPr>
          <w:sz w:val="28"/>
          <w:szCs w:val="28"/>
        </w:rPr>
      </w:pPr>
      <w:r w:rsidRPr="00060EF9">
        <w:rPr>
          <w:sz w:val="28"/>
          <w:szCs w:val="28"/>
        </w:rPr>
        <w:t>Сборник цен и общественно необходимых затрат труда (ОНЗТ) на изготовление проектной и изыскательской продукции землеустройства, земельного кадастра и мониторинга земель (утвержден Приказом Роскомзема от 28.12.1995 №70);</w:t>
      </w:r>
    </w:p>
    <w:p w14:paraId="3E5AACB3" w14:textId="77777777" w:rsidR="00A2124B" w:rsidRPr="00060EF9" w:rsidRDefault="00A2124B" w:rsidP="00A2124B">
      <w:pPr>
        <w:numPr>
          <w:ilvl w:val="1"/>
          <w:numId w:val="8"/>
        </w:numPr>
        <w:tabs>
          <w:tab w:val="clear" w:pos="2160"/>
          <w:tab w:val="num" w:pos="1070"/>
          <w:tab w:val="left" w:pos="10080"/>
        </w:tabs>
        <w:spacing w:line="24" w:lineRule="atLeast"/>
        <w:ind w:left="1070"/>
        <w:jc w:val="both"/>
        <w:rPr>
          <w:sz w:val="28"/>
          <w:szCs w:val="28"/>
        </w:rPr>
      </w:pPr>
      <w:r w:rsidRPr="00060EF9">
        <w:rPr>
          <w:sz w:val="28"/>
          <w:szCs w:val="28"/>
        </w:rPr>
        <w:t>Справочник базовых цен на инженерно-геологические и инженерно-экологические изыскания для строительства (одобрен письмом Государственным комитетом Российской Федерации по жилищной и строительной политике от 22.06.1998 № 9-4/84);</w:t>
      </w:r>
    </w:p>
    <w:p w14:paraId="37A03528" w14:textId="77777777" w:rsidR="00A2124B" w:rsidRPr="00060EF9" w:rsidRDefault="00A2124B" w:rsidP="00A2124B">
      <w:pPr>
        <w:numPr>
          <w:ilvl w:val="1"/>
          <w:numId w:val="8"/>
        </w:numPr>
        <w:tabs>
          <w:tab w:val="clear" w:pos="2160"/>
          <w:tab w:val="num" w:pos="1070"/>
          <w:tab w:val="left" w:pos="10080"/>
        </w:tabs>
        <w:spacing w:line="24" w:lineRule="atLeast"/>
        <w:ind w:left="1070"/>
        <w:jc w:val="both"/>
        <w:rPr>
          <w:sz w:val="28"/>
          <w:szCs w:val="28"/>
        </w:rPr>
      </w:pPr>
      <w:r w:rsidRPr="00060EF9">
        <w:rPr>
          <w:sz w:val="28"/>
          <w:szCs w:val="28"/>
        </w:rPr>
        <w:t>Справочник базовых цен на инженерные изыскания для строительства. Инженерно-гидрографические работы. Инженерно-гидрометеорологические изыскания на реках (утвержден в Госстрое РФ 26.09.2000);</w:t>
      </w:r>
    </w:p>
    <w:p w14:paraId="1824091D" w14:textId="77777777" w:rsidR="00A2124B" w:rsidRPr="00060EF9" w:rsidRDefault="00A2124B" w:rsidP="00A2124B">
      <w:pPr>
        <w:numPr>
          <w:ilvl w:val="1"/>
          <w:numId w:val="8"/>
        </w:numPr>
        <w:tabs>
          <w:tab w:val="clear" w:pos="2160"/>
          <w:tab w:val="num" w:pos="1070"/>
          <w:tab w:val="left" w:pos="10080"/>
        </w:tabs>
        <w:spacing w:line="24" w:lineRule="atLeast"/>
        <w:ind w:left="1070"/>
        <w:jc w:val="both"/>
        <w:rPr>
          <w:sz w:val="28"/>
          <w:szCs w:val="28"/>
        </w:rPr>
      </w:pPr>
      <w:r w:rsidRPr="00060EF9">
        <w:rPr>
          <w:sz w:val="28"/>
          <w:szCs w:val="28"/>
        </w:rPr>
        <w:t>Сборник цен на изыскательские работы для капитального строительства (утвержден постановлением Госстроя СССР от 16 июля 1981 года №121);</w:t>
      </w:r>
    </w:p>
    <w:p w14:paraId="397E5F3F" w14:textId="77777777" w:rsidR="00A2124B" w:rsidRPr="00060EF9" w:rsidRDefault="00A2124B" w:rsidP="00A2124B">
      <w:pPr>
        <w:numPr>
          <w:ilvl w:val="1"/>
          <w:numId w:val="8"/>
        </w:numPr>
        <w:tabs>
          <w:tab w:val="clear" w:pos="2160"/>
          <w:tab w:val="num" w:pos="1070"/>
          <w:tab w:val="left" w:pos="10080"/>
        </w:tabs>
        <w:spacing w:line="24" w:lineRule="atLeast"/>
        <w:ind w:left="1070"/>
        <w:jc w:val="both"/>
        <w:rPr>
          <w:sz w:val="28"/>
          <w:szCs w:val="28"/>
        </w:rPr>
      </w:pPr>
      <w:r w:rsidRPr="00060EF9">
        <w:rPr>
          <w:sz w:val="28"/>
          <w:szCs w:val="28"/>
        </w:rPr>
        <w:t>Справочник базовых цен на инженерные изыскания для строительства. Инженерно-геодезические изыскания (утвержден и введен в действие с 01.01.2004 г. постановлением Госстроя России от 23.12.2003 № 213);</w:t>
      </w:r>
    </w:p>
    <w:p w14:paraId="4018D931" w14:textId="77777777" w:rsidR="00A2124B" w:rsidRPr="00060EF9" w:rsidRDefault="00A2124B" w:rsidP="00A2124B">
      <w:pPr>
        <w:numPr>
          <w:ilvl w:val="1"/>
          <w:numId w:val="8"/>
        </w:numPr>
        <w:tabs>
          <w:tab w:val="clear" w:pos="2160"/>
          <w:tab w:val="num" w:pos="1070"/>
          <w:tab w:val="left" w:pos="10080"/>
        </w:tabs>
        <w:spacing w:line="24" w:lineRule="atLeast"/>
        <w:ind w:left="1070"/>
        <w:jc w:val="both"/>
        <w:rPr>
          <w:sz w:val="28"/>
          <w:szCs w:val="28"/>
        </w:rPr>
      </w:pPr>
      <w:r w:rsidRPr="00060EF9">
        <w:rPr>
          <w:sz w:val="28"/>
          <w:szCs w:val="28"/>
        </w:rPr>
        <w:t>Справочник базовых цен на проектные работы в строительстве. Газооборудование и газоснабжение промышленных предприятий, зданий и сооружений. (приложение № 4 к приказу Министерства строительства и ЖКХ РФ от 27.02.2015 № 140/пр);</w:t>
      </w:r>
    </w:p>
    <w:p w14:paraId="1450F675" w14:textId="77777777" w:rsidR="00A2124B" w:rsidRPr="00060EF9" w:rsidRDefault="00A2124B" w:rsidP="00A2124B">
      <w:pPr>
        <w:numPr>
          <w:ilvl w:val="1"/>
          <w:numId w:val="8"/>
        </w:numPr>
        <w:tabs>
          <w:tab w:val="clear" w:pos="2160"/>
          <w:tab w:val="num" w:pos="1070"/>
          <w:tab w:val="left" w:pos="10080"/>
        </w:tabs>
        <w:spacing w:line="24" w:lineRule="atLeast"/>
        <w:ind w:left="1070"/>
        <w:jc w:val="both"/>
        <w:rPr>
          <w:sz w:val="28"/>
          <w:szCs w:val="28"/>
        </w:rPr>
      </w:pPr>
      <w:r w:rsidRPr="00060EF9">
        <w:rPr>
          <w:sz w:val="28"/>
          <w:szCs w:val="28"/>
        </w:rPr>
        <w:t>Положение об организации и проведении государственной экспертизы проектной документации и результатов инженерных изысканий (Утверждено Постановлением Правительства Российской Федерации от 05.03.2007 №145);</w:t>
      </w:r>
    </w:p>
    <w:p w14:paraId="010BAF30" w14:textId="77777777" w:rsidR="00A2124B" w:rsidRPr="00060EF9" w:rsidRDefault="00A2124B" w:rsidP="00A2124B">
      <w:pPr>
        <w:numPr>
          <w:ilvl w:val="1"/>
          <w:numId w:val="8"/>
        </w:numPr>
        <w:tabs>
          <w:tab w:val="clear" w:pos="2160"/>
          <w:tab w:val="num" w:pos="1070"/>
          <w:tab w:val="left" w:pos="10080"/>
        </w:tabs>
        <w:spacing w:line="24" w:lineRule="atLeast"/>
        <w:ind w:left="1070"/>
        <w:jc w:val="both"/>
        <w:rPr>
          <w:sz w:val="28"/>
          <w:szCs w:val="28"/>
        </w:rPr>
      </w:pPr>
      <w:r w:rsidRPr="00060EF9">
        <w:rPr>
          <w:sz w:val="28"/>
          <w:szCs w:val="28"/>
        </w:rPr>
        <w:t>«Примерный прейскурант на услуги газового хозяйства по техническому обслуживанию и ремонту газораспределительных систем» (утв. Приказом ОАО «Росгазификация» от 20.06.2001 № 35);</w:t>
      </w:r>
    </w:p>
    <w:p w14:paraId="384C7F42" w14:textId="77777777" w:rsidR="00A2124B" w:rsidRPr="00060EF9" w:rsidRDefault="00A2124B" w:rsidP="00A2124B">
      <w:pPr>
        <w:numPr>
          <w:ilvl w:val="1"/>
          <w:numId w:val="8"/>
        </w:numPr>
        <w:tabs>
          <w:tab w:val="clear" w:pos="2160"/>
          <w:tab w:val="num" w:pos="1080"/>
          <w:tab w:val="left" w:pos="10080"/>
        </w:tabs>
        <w:spacing w:line="24" w:lineRule="atLeast"/>
        <w:ind w:left="1070"/>
        <w:jc w:val="both"/>
        <w:rPr>
          <w:sz w:val="28"/>
          <w:szCs w:val="28"/>
        </w:rPr>
      </w:pPr>
      <w:r w:rsidRPr="00060EF9">
        <w:rPr>
          <w:sz w:val="28"/>
          <w:szCs w:val="28"/>
        </w:rPr>
        <w:t>Справочник базовых цен на проектные работы для строительства. Газооборудование и газоснабжение промышленных предприятий, зданий и сооружений. Наружное освещение, (принят и введен в действие Письмом Росстроя от 12.01.2006 № СК-31/02);</w:t>
      </w:r>
    </w:p>
    <w:p w14:paraId="69BAD101" w14:textId="77777777" w:rsidR="00A2124B" w:rsidRPr="00060EF9" w:rsidRDefault="00A2124B" w:rsidP="00A2124B">
      <w:pPr>
        <w:numPr>
          <w:ilvl w:val="1"/>
          <w:numId w:val="8"/>
        </w:numPr>
        <w:tabs>
          <w:tab w:val="clear" w:pos="2160"/>
          <w:tab w:val="num" w:pos="1070"/>
          <w:tab w:val="left" w:pos="10080"/>
        </w:tabs>
        <w:spacing w:line="24" w:lineRule="atLeast"/>
        <w:ind w:left="1070"/>
        <w:jc w:val="both"/>
        <w:rPr>
          <w:sz w:val="28"/>
          <w:szCs w:val="28"/>
        </w:rPr>
      </w:pPr>
      <w:r w:rsidRPr="00060EF9">
        <w:rPr>
          <w:sz w:val="28"/>
          <w:szCs w:val="28"/>
        </w:rPr>
        <w:t>Укрупненные нормативы цены строительства НЦС 81-02-15-2017 утвержденные Приказом Минстроя России от 21 июля 2017 г. № 1012/пр;</w:t>
      </w:r>
    </w:p>
    <w:p w14:paraId="3EF10A5A" w14:textId="77777777" w:rsidR="00A2124B" w:rsidRPr="00060EF9" w:rsidRDefault="00A2124B" w:rsidP="00A2124B">
      <w:pPr>
        <w:numPr>
          <w:ilvl w:val="1"/>
          <w:numId w:val="8"/>
        </w:numPr>
        <w:tabs>
          <w:tab w:val="clear" w:pos="2160"/>
          <w:tab w:val="num" w:pos="1070"/>
          <w:tab w:val="left" w:pos="10080"/>
        </w:tabs>
        <w:spacing w:line="24" w:lineRule="atLeast"/>
        <w:ind w:left="1070"/>
        <w:jc w:val="both"/>
        <w:rPr>
          <w:sz w:val="28"/>
          <w:szCs w:val="28"/>
        </w:rPr>
      </w:pPr>
      <w:r w:rsidRPr="00060EF9">
        <w:rPr>
          <w:sz w:val="28"/>
          <w:szCs w:val="28"/>
        </w:rPr>
        <w:t>Методическое пособие по расчету затрат на службу заказчика-застройщика МДС 81-7.2000 (Рекомендовано к применению письмом Минстроя РФ от 13 декабря 1995 г. № ВБ-29/12-347;</w:t>
      </w:r>
    </w:p>
    <w:p w14:paraId="4026E341" w14:textId="77777777" w:rsidR="00A2124B" w:rsidRPr="00060EF9" w:rsidRDefault="00A2124B" w:rsidP="00A2124B">
      <w:pPr>
        <w:numPr>
          <w:ilvl w:val="1"/>
          <w:numId w:val="8"/>
        </w:numPr>
        <w:tabs>
          <w:tab w:val="clear" w:pos="2160"/>
          <w:tab w:val="num" w:pos="1080"/>
          <w:tab w:val="left" w:pos="10080"/>
        </w:tabs>
        <w:spacing w:line="24" w:lineRule="atLeast"/>
        <w:ind w:left="1070"/>
        <w:jc w:val="both"/>
        <w:rPr>
          <w:sz w:val="28"/>
          <w:szCs w:val="28"/>
        </w:rPr>
      </w:pPr>
      <w:r w:rsidRPr="00060EF9">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газовой отрасли.</w:t>
      </w:r>
    </w:p>
    <w:p w14:paraId="2EE9162C" w14:textId="77777777" w:rsidR="00A2124B" w:rsidRPr="00060EF9" w:rsidRDefault="00A2124B" w:rsidP="00A2124B">
      <w:pPr>
        <w:autoSpaceDE w:val="0"/>
        <w:autoSpaceDN w:val="0"/>
        <w:adjustRightInd w:val="0"/>
        <w:ind w:firstLine="540"/>
        <w:jc w:val="both"/>
        <w:rPr>
          <w:sz w:val="28"/>
          <w:szCs w:val="28"/>
        </w:rPr>
      </w:pPr>
      <w:r w:rsidRPr="00060EF9">
        <w:rPr>
          <w:sz w:val="28"/>
          <w:szCs w:val="28"/>
        </w:rPr>
        <w:t>Согласно подпункту «в» пункта 4 Методических указаний регулирующими органами на очередной календарный год устанавливаются размер стандартизированных тарифных ставок, используемых для определения платы за технологическое присоединение, кроме случаев, указанных в подпунктах "а" и "б" настоящего пункта, и установления размера платы за технологическое присоединение по индивидуальному проекту.</w:t>
      </w:r>
    </w:p>
    <w:p w14:paraId="3F045C7E" w14:textId="77777777" w:rsidR="00A2124B" w:rsidRPr="00060EF9" w:rsidRDefault="00A2124B" w:rsidP="00A2124B">
      <w:pPr>
        <w:rPr>
          <w:sz w:val="28"/>
          <w:szCs w:val="28"/>
        </w:rPr>
      </w:pPr>
    </w:p>
    <w:p w14:paraId="255D24B1" w14:textId="77777777" w:rsidR="00A2124B" w:rsidRPr="00060EF9" w:rsidRDefault="00A2124B" w:rsidP="00A2124B">
      <w:pPr>
        <w:jc w:val="center"/>
        <w:rPr>
          <w:b/>
          <w:sz w:val="28"/>
          <w:szCs w:val="28"/>
        </w:rPr>
      </w:pPr>
    </w:p>
    <w:p w14:paraId="015568C1" w14:textId="77777777" w:rsidR="00A2124B" w:rsidRPr="00060EF9" w:rsidRDefault="00A2124B" w:rsidP="00A2124B">
      <w:pPr>
        <w:jc w:val="center"/>
        <w:rPr>
          <w:b/>
          <w:sz w:val="28"/>
          <w:szCs w:val="28"/>
        </w:rPr>
      </w:pPr>
      <w:r w:rsidRPr="00060EF9">
        <w:rPr>
          <w:b/>
          <w:sz w:val="28"/>
          <w:szCs w:val="28"/>
        </w:rPr>
        <w:t>Перечень представленных материалов</w:t>
      </w:r>
    </w:p>
    <w:p w14:paraId="44A06E68" w14:textId="77777777" w:rsidR="00A2124B" w:rsidRPr="00060EF9" w:rsidRDefault="00A2124B" w:rsidP="00A2124B">
      <w:pPr>
        <w:ind w:left="360"/>
        <w:jc w:val="both"/>
        <w:rPr>
          <w:sz w:val="28"/>
          <w:szCs w:val="28"/>
        </w:rPr>
      </w:pPr>
    </w:p>
    <w:p w14:paraId="59B871C2" w14:textId="77777777" w:rsidR="00A2124B" w:rsidRPr="00060EF9" w:rsidRDefault="00A2124B" w:rsidP="00A2124B">
      <w:pPr>
        <w:numPr>
          <w:ilvl w:val="0"/>
          <w:numId w:val="10"/>
        </w:numPr>
        <w:tabs>
          <w:tab w:val="clear" w:pos="1200"/>
          <w:tab w:val="left" w:pos="840"/>
        </w:tabs>
        <w:ind w:firstLine="709"/>
        <w:jc w:val="both"/>
        <w:rPr>
          <w:sz w:val="28"/>
          <w:szCs w:val="28"/>
        </w:rPr>
      </w:pPr>
      <w:r w:rsidRPr="00060EF9">
        <w:rPr>
          <w:sz w:val="28"/>
          <w:szCs w:val="28"/>
        </w:rPr>
        <w:t>Перечень стандартизированных тарифных ставок, используемых для определения платы за технологическое присоединение газоиспользующего оборудования к газораспределительным сетям ООО «Кузбассоблгаз» (Кемеровский городской округ), ИНН 4205244870 на территории Кемеровской области для случаев технологического присоединения газоиспользующего оборудования с максимальным расходом газа 500 м3/час и менее и (или) проектным рабочим давлением в присоединяемом газопроводе 0,6 МПа и менее для установления на 2021 год;</w:t>
      </w:r>
    </w:p>
    <w:p w14:paraId="13F10CF3" w14:textId="77777777" w:rsidR="00A2124B" w:rsidRPr="00060EF9" w:rsidRDefault="00A2124B" w:rsidP="00A2124B">
      <w:pPr>
        <w:numPr>
          <w:ilvl w:val="0"/>
          <w:numId w:val="10"/>
        </w:numPr>
        <w:tabs>
          <w:tab w:val="clear" w:pos="1200"/>
          <w:tab w:val="left" w:pos="840"/>
        </w:tabs>
        <w:ind w:firstLine="709"/>
        <w:jc w:val="both"/>
        <w:rPr>
          <w:sz w:val="28"/>
          <w:szCs w:val="28"/>
        </w:rPr>
      </w:pPr>
      <w:r w:rsidRPr="00060EF9">
        <w:rPr>
          <w:sz w:val="28"/>
          <w:szCs w:val="28"/>
        </w:rPr>
        <w:t xml:space="preserve">Актуальная на 01 октября 2021 года учетная политика </w:t>
      </w:r>
      <w:r w:rsidRPr="00060EF9">
        <w:rPr>
          <w:sz w:val="28"/>
          <w:szCs w:val="28"/>
        </w:rPr>
        <w:br/>
        <w:t>ООО «Кузбассоблгаз» для целей бухгалтерского учета;</w:t>
      </w:r>
    </w:p>
    <w:p w14:paraId="218A8837" w14:textId="77777777" w:rsidR="00A2124B" w:rsidRPr="00060EF9" w:rsidRDefault="00A2124B" w:rsidP="00A2124B">
      <w:pPr>
        <w:numPr>
          <w:ilvl w:val="0"/>
          <w:numId w:val="10"/>
        </w:numPr>
        <w:tabs>
          <w:tab w:val="clear" w:pos="1200"/>
          <w:tab w:val="left" w:pos="840"/>
        </w:tabs>
        <w:ind w:firstLine="709"/>
        <w:jc w:val="both"/>
        <w:rPr>
          <w:sz w:val="28"/>
          <w:szCs w:val="28"/>
        </w:rPr>
      </w:pPr>
      <w:r w:rsidRPr="00060EF9">
        <w:rPr>
          <w:sz w:val="28"/>
          <w:szCs w:val="28"/>
        </w:rPr>
        <w:t>Расчет численности работников структурных подразделений ООО «Кузбассоблгаз», занятых в сфере реализации мероприятий по подключению (технологическому присоединению);</w:t>
      </w:r>
    </w:p>
    <w:p w14:paraId="5A9879D3" w14:textId="77777777" w:rsidR="00A2124B" w:rsidRPr="00060EF9" w:rsidRDefault="00A2124B" w:rsidP="00A2124B">
      <w:pPr>
        <w:numPr>
          <w:ilvl w:val="0"/>
          <w:numId w:val="10"/>
        </w:numPr>
        <w:tabs>
          <w:tab w:val="clear" w:pos="1200"/>
          <w:tab w:val="left" w:pos="840"/>
        </w:tabs>
        <w:ind w:firstLine="709"/>
        <w:jc w:val="both"/>
        <w:rPr>
          <w:sz w:val="28"/>
          <w:szCs w:val="28"/>
        </w:rPr>
      </w:pPr>
      <w:r w:rsidRPr="00060EF9">
        <w:rPr>
          <w:sz w:val="28"/>
          <w:szCs w:val="28"/>
        </w:rPr>
        <w:t>Уведомление об освобождении ООО «Кузбассоблгаз» от составления статистического отчета по форме П-4, содержащего сведения о численности и заработной плате работников;</w:t>
      </w:r>
    </w:p>
    <w:p w14:paraId="2686774F" w14:textId="77777777" w:rsidR="00A2124B" w:rsidRPr="00060EF9" w:rsidRDefault="00A2124B" w:rsidP="00A2124B">
      <w:pPr>
        <w:numPr>
          <w:ilvl w:val="0"/>
          <w:numId w:val="10"/>
        </w:numPr>
        <w:tabs>
          <w:tab w:val="clear" w:pos="1200"/>
          <w:tab w:val="left" w:pos="840"/>
        </w:tabs>
        <w:ind w:firstLine="709"/>
        <w:jc w:val="both"/>
        <w:rPr>
          <w:sz w:val="28"/>
          <w:szCs w:val="28"/>
        </w:rPr>
      </w:pPr>
      <w:r w:rsidRPr="00060EF9">
        <w:rPr>
          <w:sz w:val="28"/>
          <w:szCs w:val="28"/>
        </w:rPr>
        <w:t>Заверенные ООО «Кузбассоблгаз» копии бухгалтерского баланса и отчета о финансовых результатах с отметкой ИФНС РФ, с раздельным учетом расходов и доходов по регулируемым видам деятельности с приложением копий отчета об изменениях капитала, отчета о движении денежных средств за 2019 год;</w:t>
      </w:r>
    </w:p>
    <w:p w14:paraId="0F9BDB82" w14:textId="77777777" w:rsidR="00A2124B" w:rsidRPr="00060EF9" w:rsidRDefault="00A2124B" w:rsidP="00A2124B">
      <w:pPr>
        <w:numPr>
          <w:ilvl w:val="0"/>
          <w:numId w:val="10"/>
        </w:numPr>
        <w:tabs>
          <w:tab w:val="clear" w:pos="1200"/>
          <w:tab w:val="left" w:pos="840"/>
        </w:tabs>
        <w:ind w:firstLine="709"/>
        <w:jc w:val="both"/>
        <w:rPr>
          <w:sz w:val="28"/>
          <w:szCs w:val="28"/>
        </w:rPr>
      </w:pPr>
      <w:r w:rsidRPr="00060EF9">
        <w:rPr>
          <w:sz w:val="28"/>
          <w:szCs w:val="28"/>
        </w:rPr>
        <w:t>Уведомление о применении УСН;</w:t>
      </w:r>
    </w:p>
    <w:p w14:paraId="6940BA7A" w14:textId="77777777" w:rsidR="00A2124B" w:rsidRPr="00060EF9" w:rsidRDefault="00A2124B" w:rsidP="00A2124B">
      <w:pPr>
        <w:numPr>
          <w:ilvl w:val="0"/>
          <w:numId w:val="10"/>
        </w:numPr>
        <w:tabs>
          <w:tab w:val="clear" w:pos="1200"/>
          <w:tab w:val="left" w:pos="840"/>
        </w:tabs>
        <w:ind w:firstLine="709"/>
        <w:jc w:val="both"/>
        <w:rPr>
          <w:sz w:val="28"/>
          <w:szCs w:val="28"/>
        </w:rPr>
      </w:pPr>
      <w:r w:rsidRPr="00060EF9">
        <w:rPr>
          <w:sz w:val="28"/>
          <w:szCs w:val="28"/>
        </w:rPr>
        <w:t>Письмо ФАС России от 16.12.2020 №02/110820/20;</w:t>
      </w:r>
    </w:p>
    <w:p w14:paraId="733ED99F" w14:textId="77777777" w:rsidR="00A2124B" w:rsidRPr="00060EF9" w:rsidRDefault="00A2124B" w:rsidP="00A2124B">
      <w:pPr>
        <w:numPr>
          <w:ilvl w:val="0"/>
          <w:numId w:val="10"/>
        </w:numPr>
        <w:tabs>
          <w:tab w:val="clear" w:pos="1200"/>
          <w:tab w:val="left" w:pos="840"/>
        </w:tabs>
        <w:ind w:firstLine="709"/>
        <w:jc w:val="both"/>
        <w:rPr>
          <w:sz w:val="28"/>
          <w:szCs w:val="28"/>
        </w:rPr>
      </w:pPr>
      <w:r w:rsidRPr="00060EF9">
        <w:rPr>
          <w:sz w:val="28"/>
          <w:szCs w:val="28"/>
        </w:rPr>
        <w:t>Анализ счета 20.1 за 2020 год;</w:t>
      </w:r>
    </w:p>
    <w:p w14:paraId="4D2F99E7" w14:textId="77777777" w:rsidR="00A2124B" w:rsidRPr="00060EF9" w:rsidRDefault="00A2124B" w:rsidP="00A2124B">
      <w:pPr>
        <w:numPr>
          <w:ilvl w:val="0"/>
          <w:numId w:val="10"/>
        </w:numPr>
        <w:tabs>
          <w:tab w:val="clear" w:pos="1200"/>
          <w:tab w:val="left" w:pos="840"/>
        </w:tabs>
        <w:ind w:firstLine="709"/>
        <w:jc w:val="both"/>
        <w:rPr>
          <w:sz w:val="28"/>
          <w:szCs w:val="28"/>
        </w:rPr>
      </w:pPr>
      <w:r w:rsidRPr="00060EF9">
        <w:rPr>
          <w:sz w:val="28"/>
          <w:szCs w:val="28"/>
        </w:rPr>
        <w:t xml:space="preserve">Расчет расходов на подключение (технологическое присоединение) </w:t>
      </w:r>
      <w:r w:rsidRPr="00060EF9">
        <w:rPr>
          <w:sz w:val="28"/>
          <w:szCs w:val="28"/>
        </w:rPr>
        <w:br/>
        <w:t>ООО «Кузбассоблгаз» на 2022 год.</w:t>
      </w:r>
    </w:p>
    <w:p w14:paraId="3630178C" w14:textId="77777777" w:rsidR="00A2124B" w:rsidRPr="00060EF9" w:rsidRDefault="00A2124B" w:rsidP="00A2124B">
      <w:pPr>
        <w:tabs>
          <w:tab w:val="left" w:pos="840"/>
        </w:tabs>
        <w:jc w:val="both"/>
        <w:rPr>
          <w:sz w:val="28"/>
          <w:szCs w:val="28"/>
        </w:rPr>
      </w:pPr>
    </w:p>
    <w:p w14:paraId="6E042D86" w14:textId="77777777" w:rsidR="00A2124B" w:rsidRDefault="00A2124B" w:rsidP="00A2124B">
      <w:pPr>
        <w:tabs>
          <w:tab w:val="left" w:pos="840"/>
        </w:tabs>
        <w:jc w:val="both"/>
        <w:rPr>
          <w:sz w:val="28"/>
          <w:szCs w:val="28"/>
        </w:rPr>
        <w:sectPr w:rsidR="00A2124B" w:rsidSect="00BD7BDF">
          <w:pgSz w:w="11906" w:h="16838"/>
          <w:pgMar w:top="1134" w:right="850" w:bottom="1134" w:left="1701" w:header="708" w:footer="708" w:gutter="0"/>
          <w:cols w:space="708"/>
          <w:docGrid w:linePitch="360"/>
        </w:sectPr>
      </w:pPr>
    </w:p>
    <w:p w14:paraId="31535B73" w14:textId="77777777" w:rsidR="00A2124B" w:rsidRPr="00060EF9" w:rsidRDefault="00A2124B" w:rsidP="00A2124B">
      <w:pPr>
        <w:tabs>
          <w:tab w:val="left" w:pos="840"/>
        </w:tabs>
        <w:jc w:val="both"/>
        <w:rPr>
          <w:sz w:val="28"/>
          <w:szCs w:val="28"/>
        </w:rPr>
      </w:pPr>
    </w:p>
    <w:p w14:paraId="65E828A9" w14:textId="77777777" w:rsidR="00A2124B" w:rsidRPr="00060EF9" w:rsidRDefault="00A2124B" w:rsidP="00A2124B">
      <w:pPr>
        <w:tabs>
          <w:tab w:val="left" w:pos="0"/>
          <w:tab w:val="left" w:pos="284"/>
        </w:tabs>
        <w:jc w:val="center"/>
        <w:rPr>
          <w:b/>
          <w:sz w:val="28"/>
          <w:szCs w:val="28"/>
        </w:rPr>
      </w:pPr>
      <w:r w:rsidRPr="00060EF9">
        <w:rPr>
          <w:b/>
          <w:sz w:val="28"/>
          <w:szCs w:val="28"/>
        </w:rPr>
        <w:t xml:space="preserve">Определение стандартизированных тарифных ставок, используемых для определения платы за технологическое присоединение газоиспользующего оборудования к газораспределительным сетям </w:t>
      </w:r>
      <w:r w:rsidRPr="00060EF9">
        <w:rPr>
          <w:b/>
          <w:sz w:val="28"/>
          <w:szCs w:val="28"/>
        </w:rPr>
        <w:br/>
        <w:t>ООО «Кузбассоблгаз» на 2022 год</w:t>
      </w:r>
    </w:p>
    <w:p w14:paraId="166CCC17" w14:textId="77777777" w:rsidR="00A2124B" w:rsidRPr="00060EF9" w:rsidRDefault="00A2124B" w:rsidP="00A2124B">
      <w:pPr>
        <w:jc w:val="center"/>
        <w:rPr>
          <w:b/>
          <w:sz w:val="28"/>
          <w:szCs w:val="28"/>
        </w:rPr>
      </w:pPr>
    </w:p>
    <w:p w14:paraId="66DE4906" w14:textId="77777777" w:rsidR="00A2124B" w:rsidRPr="00060EF9" w:rsidRDefault="00A2124B" w:rsidP="00A2124B">
      <w:pPr>
        <w:autoSpaceDE w:val="0"/>
        <w:autoSpaceDN w:val="0"/>
        <w:adjustRightInd w:val="0"/>
        <w:ind w:firstLine="540"/>
        <w:jc w:val="both"/>
        <w:rPr>
          <w:sz w:val="28"/>
          <w:szCs w:val="28"/>
        </w:rPr>
      </w:pPr>
      <w:r w:rsidRPr="00060EF9">
        <w:rPr>
          <w:sz w:val="28"/>
          <w:szCs w:val="28"/>
        </w:rPr>
        <w:t>В заявке предприятие отмечает, что ранее не осуществляло технологическое присоединение газоиспользующего оборудования к газораспределительным сетям с использованием стандартизированных тарифных ставок.</w:t>
      </w:r>
      <w:r w:rsidRPr="00060EF9">
        <w:rPr>
          <w:szCs w:val="20"/>
        </w:rPr>
        <w:t xml:space="preserve"> </w:t>
      </w:r>
      <w:r w:rsidRPr="00060EF9">
        <w:rPr>
          <w:sz w:val="28"/>
          <w:szCs w:val="28"/>
        </w:rPr>
        <w:t xml:space="preserve">Однако предприятие в 2020 году осуществляла подключение заявителей для случаев, указанных в подпунктах "а" и "б" пункта 4 Методических указаний. Таким образом, на основании фактических данных за 2020 год, с применением коэффициента расходов Iр, рассчитанного на основании индекса ИЦП в строительстве </w:t>
      </w:r>
      <w:r w:rsidRPr="00060EF9">
        <w:rPr>
          <w:sz w:val="28"/>
          <w:szCs w:val="28"/>
        </w:rPr>
        <w:br/>
        <w:t>(2021 год – 105,1), опубликованного на сайте Минэкономразвития России 30.09.2021), были определены следующие стандартизированные ставки:</w:t>
      </w:r>
    </w:p>
    <w:p w14:paraId="78A44DA2" w14:textId="77777777" w:rsidR="00A2124B" w:rsidRPr="00060EF9" w:rsidRDefault="00A2124B" w:rsidP="00A2124B">
      <w:pPr>
        <w:ind w:firstLine="567"/>
        <w:jc w:val="both"/>
        <w:rPr>
          <w:sz w:val="28"/>
          <w:szCs w:val="28"/>
        </w:rPr>
      </w:pPr>
      <w:r w:rsidRPr="00060EF9">
        <w:rPr>
          <w:sz w:val="28"/>
          <w:szCs w:val="28"/>
        </w:rPr>
        <w:t>-</w:t>
      </w:r>
      <w:r w:rsidRPr="00060EF9">
        <w:rPr>
          <w:sz w:val="28"/>
          <w:szCs w:val="28"/>
        </w:rPr>
        <w:tab/>
        <w:t>стандартизированная тарифная ставка С</w:t>
      </w:r>
      <w:r w:rsidRPr="00060EF9">
        <w:rPr>
          <w:sz w:val="28"/>
          <w:szCs w:val="28"/>
          <w:vertAlign w:val="subscript"/>
        </w:rPr>
        <w:t>1</w:t>
      </w:r>
      <w:r w:rsidRPr="00060EF9">
        <w:rPr>
          <w:sz w:val="28"/>
          <w:szCs w:val="28"/>
        </w:rPr>
        <w:t xml:space="preserve"> на покрытие расходов ГРО, связанных с проектированием ГРО газопровода подземного способа прокладки наружным диаметром менее 100 мм, протяженностью до 100 м;</w:t>
      </w:r>
    </w:p>
    <w:p w14:paraId="5243339D" w14:textId="77777777" w:rsidR="00A2124B" w:rsidRPr="00060EF9" w:rsidRDefault="00A2124B" w:rsidP="00A2124B">
      <w:pPr>
        <w:ind w:firstLine="567"/>
        <w:jc w:val="both"/>
        <w:rPr>
          <w:sz w:val="28"/>
          <w:szCs w:val="28"/>
        </w:rPr>
      </w:pPr>
      <w:r w:rsidRPr="00060EF9">
        <w:rPr>
          <w:sz w:val="28"/>
          <w:szCs w:val="28"/>
        </w:rPr>
        <w:t>-</w:t>
      </w:r>
      <w:r w:rsidRPr="00060EF9">
        <w:rPr>
          <w:sz w:val="28"/>
          <w:szCs w:val="28"/>
        </w:rPr>
        <w:tab/>
        <w:t>стандартизированная тарифная ставка С</w:t>
      </w:r>
      <w:r w:rsidRPr="00060EF9">
        <w:rPr>
          <w:sz w:val="28"/>
          <w:szCs w:val="28"/>
          <w:vertAlign w:val="subscript"/>
        </w:rPr>
        <w:t>3</w:t>
      </w:r>
      <w:r w:rsidRPr="00060EF9">
        <w:rPr>
          <w:sz w:val="28"/>
          <w:szCs w:val="28"/>
        </w:rPr>
        <w:t xml:space="preserve"> на покрытие расходов ГРО, связанных со строительством полиэтиленового газопровода наружным диаметром 109 мм и менее.</w:t>
      </w:r>
    </w:p>
    <w:p w14:paraId="7720004C" w14:textId="77777777" w:rsidR="00A2124B" w:rsidRPr="00060EF9" w:rsidRDefault="00A2124B" w:rsidP="00A2124B">
      <w:pPr>
        <w:autoSpaceDE w:val="0"/>
        <w:autoSpaceDN w:val="0"/>
        <w:adjustRightInd w:val="0"/>
        <w:ind w:firstLine="540"/>
        <w:jc w:val="both"/>
        <w:rPr>
          <w:sz w:val="28"/>
          <w:szCs w:val="28"/>
        </w:rPr>
      </w:pPr>
      <w:r w:rsidRPr="00060EF9">
        <w:rPr>
          <w:sz w:val="28"/>
          <w:szCs w:val="28"/>
        </w:rPr>
        <w:t xml:space="preserve">Согласно п.32 Методических указаний, в случае если ГРО в предыдущие годы не осуществляла подключение (технологическое присоединение), расчет размеров стандартизированных тарифных ставок производится исходя из средних фактических данных по </w:t>
      </w:r>
      <w:bookmarkStart w:id="70" w:name="_Hlk26364951"/>
      <w:r w:rsidRPr="00060EF9">
        <w:rPr>
          <w:sz w:val="28"/>
          <w:szCs w:val="28"/>
        </w:rPr>
        <w:t xml:space="preserve">газораспределительным организациям </w:t>
      </w:r>
      <w:bookmarkEnd w:id="70"/>
      <w:r w:rsidRPr="00060EF9">
        <w:rPr>
          <w:sz w:val="28"/>
          <w:szCs w:val="28"/>
        </w:rPr>
        <w:t>в границах одного субъекта Российской Федерации, имеющим аналогичную структуру и характеристики газового хозяйства, или по имеющимся сведениям о планируемых расходах указанной ГРО на строительство газораспределительной сети в рамках мероприятий по подключению (технологическому присоединению) в очередном календарном году. На территории Кемеровской области-Кузбасса действует только одна газораспределительная организация</w:t>
      </w:r>
      <w:r w:rsidRPr="00060EF9">
        <w:rPr>
          <w:szCs w:val="20"/>
        </w:rPr>
        <w:t xml:space="preserve"> </w:t>
      </w:r>
      <w:r w:rsidRPr="00060EF9">
        <w:rPr>
          <w:sz w:val="28"/>
          <w:szCs w:val="28"/>
        </w:rPr>
        <w:t xml:space="preserve">с утверждаемыми стандартизированными тарифными ставками – ООО «Газпром газораспределение Томск» </w:t>
      </w:r>
    </w:p>
    <w:p w14:paraId="21B863E4" w14:textId="77777777" w:rsidR="00A2124B" w:rsidRPr="00060EF9" w:rsidRDefault="00A2124B" w:rsidP="00A2124B">
      <w:pPr>
        <w:autoSpaceDE w:val="0"/>
        <w:autoSpaceDN w:val="0"/>
        <w:adjustRightInd w:val="0"/>
        <w:ind w:firstLine="540"/>
        <w:jc w:val="both"/>
        <w:rPr>
          <w:sz w:val="28"/>
          <w:szCs w:val="28"/>
        </w:rPr>
      </w:pPr>
      <w:r w:rsidRPr="00060EF9">
        <w:rPr>
          <w:sz w:val="28"/>
          <w:szCs w:val="28"/>
        </w:rPr>
        <w:t xml:space="preserve">На основании вышеизложенного, эксперты считают обоснованным утвердить для предприятия остальные стандартизированные тарифные ставки на 2022 год на уровне стандартизированных тарифных ставок, планируемых к утверждению на 2022 год, для </w:t>
      </w:r>
      <w:bookmarkStart w:id="71" w:name="_Hlk46997747"/>
      <w:r w:rsidRPr="00060EF9">
        <w:rPr>
          <w:sz w:val="28"/>
          <w:szCs w:val="28"/>
        </w:rPr>
        <w:t>ООО «Газпром газораспределение Томск» на территории Кемеровской области</w:t>
      </w:r>
      <w:bookmarkEnd w:id="71"/>
      <w:r w:rsidRPr="00060EF9">
        <w:rPr>
          <w:sz w:val="28"/>
          <w:szCs w:val="28"/>
        </w:rPr>
        <w:t>-Кузбасса.</w:t>
      </w:r>
    </w:p>
    <w:p w14:paraId="39DCD41B" w14:textId="77777777" w:rsidR="00A2124B" w:rsidRPr="00060EF9" w:rsidRDefault="00A2124B" w:rsidP="00A2124B">
      <w:pPr>
        <w:autoSpaceDE w:val="0"/>
        <w:autoSpaceDN w:val="0"/>
        <w:adjustRightInd w:val="0"/>
        <w:ind w:firstLine="540"/>
        <w:jc w:val="both"/>
        <w:rPr>
          <w:sz w:val="28"/>
          <w:szCs w:val="28"/>
        </w:rPr>
      </w:pPr>
      <w:r w:rsidRPr="00060EF9">
        <w:rPr>
          <w:sz w:val="28"/>
          <w:szCs w:val="28"/>
        </w:rPr>
        <w:t>Необходимо отметить, что в связи с тем, что предприятие применяет упрощенную систему налогообложения, стандартизированные тарифные ставки, утвержденные для ООО «Газпром газораспределение Томск» на территории Кемеровской области-Кузбасса (применяет общую систему налогообложения) на 2020 год скорректированы следующим образом:</w:t>
      </w:r>
    </w:p>
    <w:p w14:paraId="67C1E513" w14:textId="77777777" w:rsidR="00A2124B" w:rsidRPr="00060EF9" w:rsidRDefault="00A2124B" w:rsidP="00A2124B">
      <w:pPr>
        <w:autoSpaceDE w:val="0"/>
        <w:autoSpaceDN w:val="0"/>
        <w:adjustRightInd w:val="0"/>
        <w:ind w:firstLine="540"/>
        <w:jc w:val="both"/>
        <w:rPr>
          <w:sz w:val="28"/>
          <w:szCs w:val="28"/>
        </w:rPr>
      </w:pPr>
      <w:bookmarkStart w:id="72" w:name="_Hlk46997841"/>
      <w:bookmarkStart w:id="73" w:name="_Hlk46997878"/>
      <w:r w:rsidRPr="00060EF9">
        <w:rPr>
          <w:sz w:val="28"/>
          <w:szCs w:val="28"/>
        </w:rPr>
        <w:t>-</w:t>
      </w:r>
      <w:bookmarkEnd w:id="72"/>
      <w:r w:rsidRPr="00060EF9">
        <w:rPr>
          <w:sz w:val="28"/>
          <w:szCs w:val="28"/>
        </w:rPr>
        <w:t xml:space="preserve"> в </w:t>
      </w:r>
      <w:bookmarkEnd w:id="73"/>
      <w:r w:rsidRPr="00060EF9">
        <w:rPr>
          <w:sz w:val="28"/>
          <w:szCs w:val="28"/>
        </w:rPr>
        <w:t xml:space="preserve">стандартизированных тарифных ставках </w:t>
      </w:r>
      <w:bookmarkStart w:id="74" w:name="_Hlk46997853"/>
      <w:r w:rsidRPr="00060EF9">
        <w:rPr>
          <w:sz w:val="28"/>
          <w:szCs w:val="28"/>
        </w:rPr>
        <w:t>С</w:t>
      </w:r>
      <w:r w:rsidRPr="00060EF9">
        <w:rPr>
          <w:sz w:val="28"/>
          <w:szCs w:val="28"/>
          <w:vertAlign w:val="subscript"/>
        </w:rPr>
        <w:t>1</w:t>
      </w:r>
      <w:bookmarkEnd w:id="74"/>
      <w:r w:rsidRPr="00060EF9">
        <w:rPr>
          <w:sz w:val="28"/>
          <w:szCs w:val="28"/>
        </w:rPr>
        <w:t>- С</w:t>
      </w:r>
      <w:r w:rsidRPr="00060EF9">
        <w:rPr>
          <w:sz w:val="28"/>
          <w:szCs w:val="28"/>
          <w:vertAlign w:val="subscript"/>
        </w:rPr>
        <w:t>5</w:t>
      </w:r>
      <w:r w:rsidRPr="00060EF9">
        <w:rPr>
          <w:sz w:val="28"/>
          <w:szCs w:val="28"/>
        </w:rPr>
        <w:t xml:space="preserve"> исключен налог на прибыль в размере 20%, включен налог на прибыль в размере 6%, затем учтен НДС в размере 20%;</w:t>
      </w:r>
    </w:p>
    <w:p w14:paraId="147DFEDE" w14:textId="77777777" w:rsidR="00A2124B" w:rsidRPr="00060EF9" w:rsidRDefault="00A2124B" w:rsidP="00A2124B">
      <w:pPr>
        <w:autoSpaceDE w:val="0"/>
        <w:autoSpaceDN w:val="0"/>
        <w:adjustRightInd w:val="0"/>
        <w:ind w:firstLine="540"/>
        <w:jc w:val="both"/>
        <w:rPr>
          <w:sz w:val="28"/>
          <w:szCs w:val="28"/>
        </w:rPr>
      </w:pPr>
      <w:r w:rsidRPr="00060EF9">
        <w:rPr>
          <w:sz w:val="28"/>
          <w:szCs w:val="28"/>
        </w:rPr>
        <w:t>- в стандартизированной тарифной ставке С</w:t>
      </w:r>
      <w:r w:rsidRPr="00060EF9">
        <w:rPr>
          <w:sz w:val="28"/>
          <w:szCs w:val="28"/>
          <w:vertAlign w:val="subscript"/>
        </w:rPr>
        <w:t>7</w:t>
      </w:r>
      <w:r w:rsidRPr="00060EF9">
        <w:rPr>
          <w:sz w:val="28"/>
          <w:szCs w:val="28"/>
        </w:rPr>
        <w:t xml:space="preserve"> учтен НДС в размере 20%.</w:t>
      </w:r>
    </w:p>
    <w:p w14:paraId="40A752E1" w14:textId="77777777" w:rsidR="00A2124B" w:rsidRPr="00060EF9" w:rsidRDefault="00A2124B" w:rsidP="00A2124B">
      <w:pPr>
        <w:autoSpaceDE w:val="0"/>
        <w:autoSpaceDN w:val="0"/>
        <w:adjustRightInd w:val="0"/>
        <w:ind w:firstLine="540"/>
        <w:jc w:val="both"/>
        <w:rPr>
          <w:sz w:val="28"/>
          <w:szCs w:val="28"/>
        </w:rPr>
      </w:pPr>
    </w:p>
    <w:p w14:paraId="6E235F79" w14:textId="77777777" w:rsidR="00A2124B" w:rsidRPr="00060EF9" w:rsidRDefault="00A2124B" w:rsidP="00A2124B">
      <w:pPr>
        <w:tabs>
          <w:tab w:val="left" w:pos="0"/>
          <w:tab w:val="left" w:pos="284"/>
        </w:tabs>
        <w:jc w:val="center"/>
        <w:rPr>
          <w:b/>
          <w:sz w:val="28"/>
          <w:szCs w:val="28"/>
        </w:rPr>
      </w:pPr>
      <w:r w:rsidRPr="00060EF9">
        <w:rPr>
          <w:b/>
          <w:sz w:val="28"/>
          <w:szCs w:val="28"/>
        </w:rPr>
        <w:t xml:space="preserve">Сводная таблица предлагаемых к утверждению стандартизированных тарифных ставок, используемых для определения платы за технологическое присоединение газоиспользующего оборудования к газораспределительным сетям </w:t>
      </w:r>
      <w:bookmarkStart w:id="75" w:name="_Hlk46822853"/>
      <w:r w:rsidRPr="00060EF9">
        <w:rPr>
          <w:b/>
          <w:sz w:val="28"/>
          <w:szCs w:val="28"/>
        </w:rPr>
        <w:t xml:space="preserve">ООО «Кузбассоблгаз» (Кемеровский городской округ) </w:t>
      </w:r>
      <w:bookmarkEnd w:id="75"/>
      <w:r w:rsidRPr="00060EF9">
        <w:rPr>
          <w:b/>
          <w:sz w:val="28"/>
          <w:szCs w:val="28"/>
        </w:rPr>
        <w:t xml:space="preserve">на 2022 год </w:t>
      </w:r>
    </w:p>
    <w:p w14:paraId="5E1287B6" w14:textId="77777777" w:rsidR="00A2124B" w:rsidRPr="00060EF9" w:rsidRDefault="00A2124B" w:rsidP="00A2124B">
      <w:pPr>
        <w:tabs>
          <w:tab w:val="left" w:pos="3945"/>
        </w:tabs>
        <w:ind w:left="426" w:right="567"/>
        <w:jc w:val="center"/>
        <w:rPr>
          <w:b/>
          <w:sz w:val="28"/>
          <w:szCs w:val="28"/>
        </w:rPr>
      </w:pPr>
    </w:p>
    <w:p w14:paraId="07ED3A8C" w14:textId="77777777" w:rsidR="00A2124B" w:rsidRPr="00060EF9" w:rsidRDefault="00A2124B" w:rsidP="00A2124B">
      <w:pPr>
        <w:tabs>
          <w:tab w:val="left" w:pos="3945"/>
        </w:tabs>
        <w:ind w:left="426" w:right="567"/>
        <w:jc w:val="center"/>
        <w:rPr>
          <w:b/>
          <w:sz w:val="28"/>
          <w:szCs w:val="28"/>
        </w:rPr>
      </w:pPr>
    </w:p>
    <w:tbl>
      <w:tblPr>
        <w:tblW w:w="964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4106"/>
        <w:gridCol w:w="1775"/>
        <w:gridCol w:w="2466"/>
      </w:tblGrid>
      <w:tr w:rsidR="00A2124B" w:rsidRPr="00060EF9" w14:paraId="33086A4D" w14:textId="77777777" w:rsidTr="008A5C11">
        <w:trPr>
          <w:trHeight w:val="458"/>
          <w:tblHeader/>
        </w:trPr>
        <w:tc>
          <w:tcPr>
            <w:tcW w:w="1297" w:type="dxa"/>
            <w:vMerge w:val="restart"/>
            <w:shd w:val="clear" w:color="auto" w:fill="auto"/>
            <w:vAlign w:val="center"/>
            <w:hideMark/>
          </w:tcPr>
          <w:p w14:paraId="32EBAFC7" w14:textId="77777777" w:rsidR="00A2124B" w:rsidRPr="00060EF9" w:rsidRDefault="00A2124B" w:rsidP="008A5C11">
            <w:pPr>
              <w:jc w:val="center"/>
              <w:rPr>
                <w:color w:val="000000"/>
              </w:rPr>
            </w:pPr>
            <w:r w:rsidRPr="00060EF9">
              <w:rPr>
                <w:color w:val="000000"/>
              </w:rPr>
              <w:t>№</w:t>
            </w:r>
          </w:p>
          <w:p w14:paraId="16C3317F" w14:textId="77777777" w:rsidR="00A2124B" w:rsidRPr="00060EF9" w:rsidRDefault="00A2124B" w:rsidP="008A5C11">
            <w:pPr>
              <w:jc w:val="center"/>
              <w:rPr>
                <w:color w:val="000000"/>
              </w:rPr>
            </w:pPr>
            <w:r w:rsidRPr="00060EF9">
              <w:rPr>
                <w:color w:val="000000"/>
              </w:rPr>
              <w:t>п/п</w:t>
            </w:r>
          </w:p>
        </w:tc>
        <w:tc>
          <w:tcPr>
            <w:tcW w:w="4106" w:type="dxa"/>
            <w:vMerge w:val="restart"/>
            <w:shd w:val="clear" w:color="auto" w:fill="auto"/>
            <w:vAlign w:val="center"/>
            <w:hideMark/>
          </w:tcPr>
          <w:p w14:paraId="594EA48F" w14:textId="77777777" w:rsidR="00A2124B" w:rsidRPr="00060EF9" w:rsidRDefault="00A2124B" w:rsidP="008A5C11">
            <w:pPr>
              <w:jc w:val="center"/>
              <w:rPr>
                <w:color w:val="000000"/>
              </w:rPr>
            </w:pPr>
            <w:r w:rsidRPr="00060EF9">
              <w:rPr>
                <w:color w:val="000000"/>
              </w:rPr>
              <w:t>Наименование стандартизированных тарифных ставок</w:t>
            </w:r>
          </w:p>
        </w:tc>
        <w:tc>
          <w:tcPr>
            <w:tcW w:w="1775" w:type="dxa"/>
            <w:vMerge w:val="restart"/>
            <w:shd w:val="clear" w:color="auto" w:fill="auto"/>
            <w:vAlign w:val="center"/>
            <w:hideMark/>
          </w:tcPr>
          <w:p w14:paraId="390BF078" w14:textId="77777777" w:rsidR="00A2124B" w:rsidRPr="00060EF9" w:rsidRDefault="00A2124B" w:rsidP="008A5C11">
            <w:pPr>
              <w:jc w:val="center"/>
              <w:rPr>
                <w:color w:val="000000"/>
              </w:rPr>
            </w:pPr>
            <w:r w:rsidRPr="00060EF9">
              <w:rPr>
                <w:color w:val="000000"/>
              </w:rPr>
              <w:t>Единица измерения</w:t>
            </w:r>
          </w:p>
        </w:tc>
        <w:tc>
          <w:tcPr>
            <w:tcW w:w="2466" w:type="dxa"/>
            <w:vMerge w:val="restart"/>
            <w:shd w:val="clear" w:color="000000" w:fill="FFFFFF"/>
            <w:vAlign w:val="center"/>
            <w:hideMark/>
          </w:tcPr>
          <w:p w14:paraId="1A15025D" w14:textId="77777777" w:rsidR="00A2124B" w:rsidRPr="00060EF9" w:rsidRDefault="00A2124B" w:rsidP="008A5C11">
            <w:pPr>
              <w:jc w:val="center"/>
              <w:rPr>
                <w:color w:val="000000"/>
              </w:rPr>
            </w:pPr>
            <w:r w:rsidRPr="00060EF9">
              <w:rPr>
                <w:color w:val="000000"/>
              </w:rPr>
              <w:t xml:space="preserve">Размеры стандартизированных тарифных ставок </w:t>
            </w:r>
          </w:p>
        </w:tc>
      </w:tr>
      <w:tr w:rsidR="00A2124B" w:rsidRPr="00060EF9" w14:paraId="5CA8B97E" w14:textId="77777777" w:rsidTr="008A5C11">
        <w:trPr>
          <w:trHeight w:val="1554"/>
          <w:tblHeader/>
        </w:trPr>
        <w:tc>
          <w:tcPr>
            <w:tcW w:w="1297" w:type="dxa"/>
            <w:vMerge/>
            <w:vAlign w:val="center"/>
            <w:hideMark/>
          </w:tcPr>
          <w:p w14:paraId="64E2CE82" w14:textId="77777777" w:rsidR="00A2124B" w:rsidRPr="00060EF9" w:rsidRDefault="00A2124B" w:rsidP="008A5C11">
            <w:pPr>
              <w:rPr>
                <w:color w:val="000000"/>
              </w:rPr>
            </w:pPr>
          </w:p>
        </w:tc>
        <w:tc>
          <w:tcPr>
            <w:tcW w:w="4106" w:type="dxa"/>
            <w:vMerge/>
            <w:vAlign w:val="center"/>
            <w:hideMark/>
          </w:tcPr>
          <w:p w14:paraId="6C193674" w14:textId="77777777" w:rsidR="00A2124B" w:rsidRPr="00060EF9" w:rsidRDefault="00A2124B" w:rsidP="008A5C11">
            <w:pPr>
              <w:rPr>
                <w:color w:val="000000"/>
              </w:rPr>
            </w:pPr>
          </w:p>
        </w:tc>
        <w:tc>
          <w:tcPr>
            <w:tcW w:w="1775" w:type="dxa"/>
            <w:vMerge/>
            <w:vAlign w:val="center"/>
            <w:hideMark/>
          </w:tcPr>
          <w:p w14:paraId="1E4AE931" w14:textId="77777777" w:rsidR="00A2124B" w:rsidRPr="00060EF9" w:rsidRDefault="00A2124B" w:rsidP="008A5C11">
            <w:pPr>
              <w:rPr>
                <w:color w:val="000000"/>
              </w:rPr>
            </w:pPr>
          </w:p>
        </w:tc>
        <w:tc>
          <w:tcPr>
            <w:tcW w:w="2466" w:type="dxa"/>
            <w:vMerge/>
            <w:vAlign w:val="center"/>
            <w:hideMark/>
          </w:tcPr>
          <w:p w14:paraId="3AE0C9C1" w14:textId="77777777" w:rsidR="00A2124B" w:rsidRPr="00060EF9" w:rsidRDefault="00A2124B" w:rsidP="008A5C11">
            <w:pPr>
              <w:rPr>
                <w:color w:val="000000"/>
              </w:rPr>
            </w:pPr>
          </w:p>
        </w:tc>
      </w:tr>
      <w:tr w:rsidR="00A2124B" w:rsidRPr="00060EF9" w14:paraId="1B7023B2" w14:textId="77777777" w:rsidTr="008A5C11">
        <w:trPr>
          <w:trHeight w:val="466"/>
          <w:tblHeader/>
        </w:trPr>
        <w:tc>
          <w:tcPr>
            <w:tcW w:w="1297" w:type="dxa"/>
            <w:vMerge/>
            <w:vAlign w:val="center"/>
            <w:hideMark/>
          </w:tcPr>
          <w:p w14:paraId="4FE10272" w14:textId="77777777" w:rsidR="00A2124B" w:rsidRPr="00060EF9" w:rsidRDefault="00A2124B" w:rsidP="008A5C11">
            <w:pPr>
              <w:rPr>
                <w:color w:val="000000"/>
              </w:rPr>
            </w:pPr>
          </w:p>
        </w:tc>
        <w:tc>
          <w:tcPr>
            <w:tcW w:w="4106" w:type="dxa"/>
            <w:vMerge/>
            <w:vAlign w:val="center"/>
            <w:hideMark/>
          </w:tcPr>
          <w:p w14:paraId="0627A9EE" w14:textId="77777777" w:rsidR="00A2124B" w:rsidRPr="00060EF9" w:rsidRDefault="00A2124B" w:rsidP="008A5C11">
            <w:pPr>
              <w:rPr>
                <w:color w:val="000000"/>
              </w:rPr>
            </w:pPr>
          </w:p>
        </w:tc>
        <w:tc>
          <w:tcPr>
            <w:tcW w:w="1775" w:type="dxa"/>
            <w:vMerge/>
            <w:vAlign w:val="center"/>
            <w:hideMark/>
          </w:tcPr>
          <w:p w14:paraId="3AAED31F" w14:textId="77777777" w:rsidR="00A2124B" w:rsidRPr="00060EF9" w:rsidRDefault="00A2124B" w:rsidP="008A5C11">
            <w:pPr>
              <w:rPr>
                <w:color w:val="000000"/>
              </w:rPr>
            </w:pPr>
          </w:p>
        </w:tc>
        <w:tc>
          <w:tcPr>
            <w:tcW w:w="2466" w:type="dxa"/>
            <w:vMerge/>
            <w:vAlign w:val="center"/>
            <w:hideMark/>
          </w:tcPr>
          <w:p w14:paraId="5FE626EC" w14:textId="77777777" w:rsidR="00A2124B" w:rsidRPr="00060EF9" w:rsidRDefault="00A2124B" w:rsidP="008A5C11">
            <w:pPr>
              <w:rPr>
                <w:color w:val="000000"/>
              </w:rPr>
            </w:pPr>
          </w:p>
        </w:tc>
      </w:tr>
      <w:tr w:rsidR="00A2124B" w:rsidRPr="00060EF9" w14:paraId="55A8227C" w14:textId="77777777" w:rsidTr="008A5C11">
        <w:trPr>
          <w:trHeight w:val="276"/>
          <w:tblHeader/>
        </w:trPr>
        <w:tc>
          <w:tcPr>
            <w:tcW w:w="1297" w:type="dxa"/>
            <w:shd w:val="clear" w:color="auto" w:fill="auto"/>
            <w:vAlign w:val="center"/>
            <w:hideMark/>
          </w:tcPr>
          <w:p w14:paraId="38163616" w14:textId="77777777" w:rsidR="00A2124B" w:rsidRPr="00060EF9" w:rsidRDefault="00A2124B" w:rsidP="008A5C11">
            <w:pPr>
              <w:jc w:val="center"/>
              <w:rPr>
                <w:color w:val="000000"/>
              </w:rPr>
            </w:pPr>
            <w:r w:rsidRPr="00060EF9">
              <w:rPr>
                <w:color w:val="000000"/>
              </w:rPr>
              <w:t>1</w:t>
            </w:r>
          </w:p>
        </w:tc>
        <w:tc>
          <w:tcPr>
            <w:tcW w:w="4106" w:type="dxa"/>
            <w:shd w:val="clear" w:color="auto" w:fill="auto"/>
            <w:vAlign w:val="center"/>
            <w:hideMark/>
          </w:tcPr>
          <w:p w14:paraId="4725BC57" w14:textId="77777777" w:rsidR="00A2124B" w:rsidRPr="00060EF9" w:rsidRDefault="00A2124B" w:rsidP="008A5C11">
            <w:pPr>
              <w:jc w:val="center"/>
              <w:rPr>
                <w:color w:val="000000"/>
              </w:rPr>
            </w:pPr>
            <w:r w:rsidRPr="00060EF9">
              <w:rPr>
                <w:color w:val="000000"/>
              </w:rPr>
              <w:t>2</w:t>
            </w:r>
          </w:p>
        </w:tc>
        <w:tc>
          <w:tcPr>
            <w:tcW w:w="1775" w:type="dxa"/>
            <w:shd w:val="clear" w:color="auto" w:fill="auto"/>
            <w:vAlign w:val="center"/>
            <w:hideMark/>
          </w:tcPr>
          <w:p w14:paraId="0DB720FD" w14:textId="77777777" w:rsidR="00A2124B" w:rsidRPr="00060EF9" w:rsidRDefault="00A2124B" w:rsidP="008A5C11">
            <w:pPr>
              <w:jc w:val="center"/>
              <w:rPr>
                <w:color w:val="000000"/>
              </w:rPr>
            </w:pPr>
            <w:r w:rsidRPr="00060EF9">
              <w:rPr>
                <w:color w:val="000000"/>
              </w:rPr>
              <w:t>3</w:t>
            </w:r>
          </w:p>
        </w:tc>
        <w:tc>
          <w:tcPr>
            <w:tcW w:w="2466" w:type="dxa"/>
            <w:shd w:val="clear" w:color="000000" w:fill="FFFFFF"/>
            <w:vAlign w:val="center"/>
            <w:hideMark/>
          </w:tcPr>
          <w:p w14:paraId="4579330C" w14:textId="77777777" w:rsidR="00A2124B" w:rsidRPr="00060EF9" w:rsidRDefault="00A2124B" w:rsidP="008A5C11">
            <w:pPr>
              <w:jc w:val="center"/>
              <w:rPr>
                <w:color w:val="000000"/>
              </w:rPr>
            </w:pPr>
            <w:r w:rsidRPr="00060EF9">
              <w:rPr>
                <w:color w:val="000000"/>
              </w:rPr>
              <w:t>4</w:t>
            </w:r>
          </w:p>
        </w:tc>
      </w:tr>
      <w:tr w:rsidR="00A2124B" w:rsidRPr="00060EF9" w14:paraId="332E289A" w14:textId="77777777" w:rsidTr="008A5C11">
        <w:trPr>
          <w:trHeight w:val="991"/>
        </w:trPr>
        <w:tc>
          <w:tcPr>
            <w:tcW w:w="1297" w:type="dxa"/>
            <w:shd w:val="clear" w:color="auto" w:fill="auto"/>
            <w:vAlign w:val="center"/>
            <w:hideMark/>
          </w:tcPr>
          <w:p w14:paraId="2E3FC1B2" w14:textId="77777777" w:rsidR="00A2124B" w:rsidRPr="00060EF9" w:rsidRDefault="00A2124B" w:rsidP="008A5C11">
            <w:pPr>
              <w:jc w:val="center"/>
              <w:rPr>
                <w:color w:val="000000"/>
              </w:rPr>
            </w:pPr>
            <w:r w:rsidRPr="00060EF9">
              <w:rPr>
                <w:color w:val="000000"/>
              </w:rPr>
              <w:t>1.</w:t>
            </w:r>
          </w:p>
        </w:tc>
        <w:tc>
          <w:tcPr>
            <w:tcW w:w="8347" w:type="dxa"/>
            <w:gridSpan w:val="3"/>
            <w:shd w:val="clear" w:color="auto" w:fill="auto"/>
            <w:vAlign w:val="center"/>
            <w:hideMark/>
          </w:tcPr>
          <w:p w14:paraId="5EF68A8D" w14:textId="77777777" w:rsidR="00A2124B" w:rsidRPr="00060EF9" w:rsidRDefault="00A2124B" w:rsidP="008A5C11">
            <w:pPr>
              <w:rPr>
                <w:color w:val="000000"/>
              </w:rPr>
            </w:pPr>
            <w:r w:rsidRPr="00060EF9">
              <w:rPr>
                <w:color w:val="000000"/>
              </w:rPr>
              <w:t>Размер стандартизированной тарифной ставки С</w:t>
            </w:r>
            <w:r w:rsidRPr="00060EF9">
              <w:rPr>
                <w:color w:val="000000"/>
                <w:vertAlign w:val="subscript"/>
              </w:rPr>
              <w:t>1</w:t>
            </w:r>
            <w:r w:rsidRPr="00060EF9">
              <w:rPr>
                <w:color w:val="000000"/>
              </w:rPr>
              <w:t xml:space="preserve"> на покрытие расходов газораспределительной организации, связанных с проектированием газораспределительной организацией газопровода </w:t>
            </w:r>
            <w:r w:rsidRPr="00060EF9">
              <w:rPr>
                <w:color w:val="2D2D2D"/>
              </w:rPr>
              <w:t>(НДС не облагается, с налогом на прибыль)</w:t>
            </w:r>
            <w:r w:rsidRPr="00060EF9">
              <w:rPr>
                <w:color w:val="000000"/>
              </w:rPr>
              <w:t>:</w:t>
            </w:r>
          </w:p>
        </w:tc>
      </w:tr>
      <w:tr w:rsidR="00A2124B" w:rsidRPr="00060EF9" w14:paraId="0CE08C24" w14:textId="77777777" w:rsidTr="008A5C11">
        <w:trPr>
          <w:trHeight w:val="372"/>
        </w:trPr>
        <w:tc>
          <w:tcPr>
            <w:tcW w:w="1297" w:type="dxa"/>
            <w:shd w:val="clear" w:color="auto" w:fill="auto"/>
            <w:vAlign w:val="center"/>
            <w:hideMark/>
          </w:tcPr>
          <w:p w14:paraId="0CD86C92" w14:textId="77777777" w:rsidR="00A2124B" w:rsidRPr="00060EF9" w:rsidRDefault="00A2124B" w:rsidP="008A5C11">
            <w:pPr>
              <w:jc w:val="center"/>
              <w:rPr>
                <w:color w:val="000000"/>
              </w:rPr>
            </w:pPr>
            <w:r w:rsidRPr="00060EF9">
              <w:rPr>
                <w:color w:val="000000"/>
              </w:rPr>
              <w:t>1.1.</w:t>
            </w:r>
          </w:p>
        </w:tc>
        <w:tc>
          <w:tcPr>
            <w:tcW w:w="8347" w:type="dxa"/>
            <w:gridSpan w:val="3"/>
            <w:shd w:val="clear" w:color="auto" w:fill="auto"/>
            <w:vAlign w:val="center"/>
            <w:hideMark/>
          </w:tcPr>
          <w:p w14:paraId="65C9E199" w14:textId="77777777" w:rsidR="00A2124B" w:rsidRPr="00060EF9" w:rsidRDefault="00A2124B" w:rsidP="008A5C11">
            <w:pPr>
              <w:rPr>
                <w:color w:val="000000"/>
              </w:rPr>
            </w:pPr>
            <w:r w:rsidRPr="00060EF9">
              <w:rPr>
                <w:color w:val="000000"/>
              </w:rPr>
              <w:t>наземного (надземного) способа прокладки:</w:t>
            </w:r>
          </w:p>
        </w:tc>
      </w:tr>
      <w:tr w:rsidR="00A2124B" w:rsidRPr="00060EF9" w14:paraId="06BC7699" w14:textId="77777777" w:rsidTr="008A5C11">
        <w:trPr>
          <w:trHeight w:val="372"/>
        </w:trPr>
        <w:tc>
          <w:tcPr>
            <w:tcW w:w="1297" w:type="dxa"/>
            <w:shd w:val="clear" w:color="auto" w:fill="auto"/>
            <w:vAlign w:val="center"/>
            <w:hideMark/>
          </w:tcPr>
          <w:p w14:paraId="1D6D0797" w14:textId="77777777" w:rsidR="00A2124B" w:rsidRPr="00060EF9" w:rsidRDefault="00A2124B" w:rsidP="008A5C11">
            <w:pPr>
              <w:jc w:val="center"/>
              <w:rPr>
                <w:color w:val="000000"/>
              </w:rPr>
            </w:pPr>
            <w:r w:rsidRPr="00060EF9">
              <w:rPr>
                <w:color w:val="000000"/>
              </w:rPr>
              <w:t>1.1.1.</w:t>
            </w:r>
          </w:p>
        </w:tc>
        <w:tc>
          <w:tcPr>
            <w:tcW w:w="8347" w:type="dxa"/>
            <w:gridSpan w:val="3"/>
            <w:shd w:val="clear" w:color="auto" w:fill="auto"/>
            <w:vAlign w:val="center"/>
            <w:hideMark/>
          </w:tcPr>
          <w:p w14:paraId="7AC8DC68" w14:textId="77777777" w:rsidR="00A2124B" w:rsidRPr="00060EF9" w:rsidRDefault="00A2124B" w:rsidP="008A5C11">
            <w:pPr>
              <w:rPr>
                <w:color w:val="000000"/>
              </w:rPr>
            </w:pPr>
            <w:r w:rsidRPr="00060EF9">
              <w:rPr>
                <w:color w:val="000000"/>
              </w:rPr>
              <w:t>наружным диаметром менее 100 мм, протяженностью:</w:t>
            </w:r>
          </w:p>
        </w:tc>
      </w:tr>
      <w:tr w:rsidR="00A2124B" w:rsidRPr="00060EF9" w14:paraId="688678E4" w14:textId="77777777" w:rsidTr="008A5C11">
        <w:trPr>
          <w:trHeight w:val="276"/>
        </w:trPr>
        <w:tc>
          <w:tcPr>
            <w:tcW w:w="1297" w:type="dxa"/>
            <w:shd w:val="clear" w:color="auto" w:fill="auto"/>
            <w:vAlign w:val="center"/>
            <w:hideMark/>
          </w:tcPr>
          <w:p w14:paraId="071E85F4" w14:textId="77777777" w:rsidR="00A2124B" w:rsidRPr="00060EF9" w:rsidRDefault="00A2124B" w:rsidP="008A5C11">
            <w:pPr>
              <w:jc w:val="center"/>
              <w:rPr>
                <w:color w:val="000000"/>
              </w:rPr>
            </w:pPr>
            <w:r w:rsidRPr="00060EF9">
              <w:rPr>
                <w:color w:val="000000"/>
              </w:rPr>
              <w:t>1.1.1.1.</w:t>
            </w:r>
          </w:p>
        </w:tc>
        <w:tc>
          <w:tcPr>
            <w:tcW w:w="4106" w:type="dxa"/>
            <w:shd w:val="clear" w:color="auto" w:fill="auto"/>
            <w:vAlign w:val="center"/>
            <w:hideMark/>
          </w:tcPr>
          <w:p w14:paraId="3905A839" w14:textId="77777777" w:rsidR="00A2124B" w:rsidRPr="00060EF9" w:rsidRDefault="00A2124B" w:rsidP="008A5C11">
            <w:pPr>
              <w:rPr>
                <w:color w:val="000000"/>
              </w:rPr>
            </w:pPr>
            <w:r w:rsidRPr="00060EF9">
              <w:rPr>
                <w:color w:val="000000"/>
              </w:rPr>
              <w:t>до 100 м</w:t>
            </w:r>
          </w:p>
        </w:tc>
        <w:tc>
          <w:tcPr>
            <w:tcW w:w="1775" w:type="dxa"/>
            <w:vMerge w:val="restart"/>
            <w:shd w:val="clear" w:color="auto" w:fill="auto"/>
            <w:vAlign w:val="center"/>
            <w:hideMark/>
          </w:tcPr>
          <w:p w14:paraId="29137098" w14:textId="77777777" w:rsidR="00A2124B" w:rsidRPr="00060EF9" w:rsidRDefault="00A2124B" w:rsidP="008A5C11">
            <w:pPr>
              <w:ind w:left="-147" w:right="-147"/>
              <w:jc w:val="center"/>
              <w:rPr>
                <w:color w:val="000000"/>
              </w:rPr>
            </w:pPr>
            <w:r w:rsidRPr="00060EF9">
              <w:rPr>
                <w:color w:val="000000"/>
              </w:rPr>
              <w:t>руб.</w:t>
            </w:r>
            <w:r w:rsidRPr="00060EF9">
              <w:rPr>
                <w:color w:val="2D2D2D"/>
              </w:rPr>
              <w:t xml:space="preserve"> за 1 присоединение</w:t>
            </w:r>
          </w:p>
        </w:tc>
        <w:tc>
          <w:tcPr>
            <w:tcW w:w="2466" w:type="dxa"/>
            <w:tcBorders>
              <w:top w:val="nil"/>
              <w:left w:val="nil"/>
              <w:bottom w:val="single" w:sz="8" w:space="0" w:color="auto"/>
              <w:right w:val="single" w:sz="8" w:space="0" w:color="auto"/>
            </w:tcBorders>
            <w:shd w:val="clear" w:color="auto" w:fill="auto"/>
            <w:vAlign w:val="center"/>
            <w:hideMark/>
          </w:tcPr>
          <w:p w14:paraId="69D3418C" w14:textId="77777777" w:rsidR="00A2124B" w:rsidRPr="00060EF9" w:rsidRDefault="00A2124B" w:rsidP="008A5C11">
            <w:pPr>
              <w:ind w:left="-147" w:right="-147"/>
              <w:jc w:val="center"/>
              <w:rPr>
                <w:color w:val="000000"/>
              </w:rPr>
            </w:pPr>
            <w:r w:rsidRPr="00060EF9">
              <w:rPr>
                <w:color w:val="000000"/>
              </w:rPr>
              <w:t>273 516</w:t>
            </w:r>
          </w:p>
        </w:tc>
      </w:tr>
      <w:tr w:rsidR="00A2124B" w:rsidRPr="00060EF9" w14:paraId="3E55C2BD" w14:textId="77777777" w:rsidTr="008A5C11">
        <w:trPr>
          <w:trHeight w:val="276"/>
        </w:trPr>
        <w:tc>
          <w:tcPr>
            <w:tcW w:w="1297" w:type="dxa"/>
            <w:shd w:val="clear" w:color="auto" w:fill="auto"/>
            <w:vAlign w:val="center"/>
            <w:hideMark/>
          </w:tcPr>
          <w:p w14:paraId="09D8A54A" w14:textId="77777777" w:rsidR="00A2124B" w:rsidRPr="00060EF9" w:rsidRDefault="00A2124B" w:rsidP="008A5C11">
            <w:pPr>
              <w:jc w:val="center"/>
              <w:rPr>
                <w:color w:val="000000"/>
              </w:rPr>
            </w:pPr>
            <w:r w:rsidRPr="00060EF9">
              <w:rPr>
                <w:color w:val="000000"/>
              </w:rPr>
              <w:t>1.1.1.2.</w:t>
            </w:r>
          </w:p>
        </w:tc>
        <w:tc>
          <w:tcPr>
            <w:tcW w:w="4106" w:type="dxa"/>
            <w:shd w:val="clear" w:color="auto" w:fill="auto"/>
            <w:vAlign w:val="center"/>
            <w:hideMark/>
          </w:tcPr>
          <w:p w14:paraId="5749AEEB" w14:textId="77777777" w:rsidR="00A2124B" w:rsidRPr="00060EF9" w:rsidRDefault="00A2124B" w:rsidP="008A5C11">
            <w:pPr>
              <w:rPr>
                <w:color w:val="000000"/>
              </w:rPr>
            </w:pPr>
            <w:r w:rsidRPr="00060EF9">
              <w:rPr>
                <w:color w:val="000000"/>
              </w:rPr>
              <w:t>101-500 м</w:t>
            </w:r>
          </w:p>
        </w:tc>
        <w:tc>
          <w:tcPr>
            <w:tcW w:w="1775" w:type="dxa"/>
            <w:vMerge/>
            <w:vAlign w:val="center"/>
            <w:hideMark/>
          </w:tcPr>
          <w:p w14:paraId="40C85F90" w14:textId="77777777" w:rsidR="00A2124B" w:rsidRPr="00060EF9" w:rsidRDefault="00A2124B" w:rsidP="008A5C11">
            <w:pP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6206EA42" w14:textId="77777777" w:rsidR="00A2124B" w:rsidRPr="00060EF9" w:rsidRDefault="00A2124B" w:rsidP="008A5C11">
            <w:pPr>
              <w:ind w:left="-147" w:right="-147"/>
              <w:jc w:val="center"/>
              <w:rPr>
                <w:color w:val="000000"/>
              </w:rPr>
            </w:pPr>
            <w:r w:rsidRPr="00060EF9">
              <w:rPr>
                <w:color w:val="000000"/>
              </w:rPr>
              <w:t>282 560</w:t>
            </w:r>
          </w:p>
        </w:tc>
      </w:tr>
      <w:tr w:rsidR="00A2124B" w:rsidRPr="00060EF9" w14:paraId="043E36FF" w14:textId="77777777" w:rsidTr="008A5C11">
        <w:trPr>
          <w:trHeight w:val="276"/>
        </w:trPr>
        <w:tc>
          <w:tcPr>
            <w:tcW w:w="1297" w:type="dxa"/>
            <w:shd w:val="clear" w:color="auto" w:fill="auto"/>
            <w:vAlign w:val="center"/>
            <w:hideMark/>
          </w:tcPr>
          <w:p w14:paraId="7B1CA18D" w14:textId="77777777" w:rsidR="00A2124B" w:rsidRPr="00060EF9" w:rsidRDefault="00A2124B" w:rsidP="008A5C11">
            <w:pPr>
              <w:jc w:val="center"/>
              <w:rPr>
                <w:color w:val="000000"/>
              </w:rPr>
            </w:pPr>
            <w:r w:rsidRPr="00060EF9">
              <w:rPr>
                <w:color w:val="000000"/>
              </w:rPr>
              <w:t>1.1.1.3.</w:t>
            </w:r>
          </w:p>
        </w:tc>
        <w:tc>
          <w:tcPr>
            <w:tcW w:w="4106" w:type="dxa"/>
            <w:shd w:val="clear" w:color="auto" w:fill="auto"/>
            <w:vAlign w:val="center"/>
            <w:hideMark/>
          </w:tcPr>
          <w:p w14:paraId="146E96B6" w14:textId="77777777" w:rsidR="00A2124B" w:rsidRPr="00060EF9" w:rsidRDefault="00A2124B" w:rsidP="008A5C11">
            <w:pPr>
              <w:rPr>
                <w:color w:val="000000"/>
              </w:rPr>
            </w:pPr>
            <w:r w:rsidRPr="00060EF9">
              <w:rPr>
                <w:color w:val="000000"/>
              </w:rPr>
              <w:t>501-1000 м</w:t>
            </w:r>
          </w:p>
        </w:tc>
        <w:tc>
          <w:tcPr>
            <w:tcW w:w="1775" w:type="dxa"/>
            <w:vMerge/>
            <w:vAlign w:val="center"/>
            <w:hideMark/>
          </w:tcPr>
          <w:p w14:paraId="71987A96" w14:textId="77777777" w:rsidR="00A2124B" w:rsidRPr="00060EF9" w:rsidRDefault="00A2124B" w:rsidP="008A5C11">
            <w:pP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01A3CEB9" w14:textId="77777777" w:rsidR="00A2124B" w:rsidRPr="00060EF9" w:rsidRDefault="00A2124B" w:rsidP="008A5C11">
            <w:pPr>
              <w:ind w:left="-147" w:right="-147"/>
              <w:jc w:val="center"/>
              <w:rPr>
                <w:color w:val="000000"/>
              </w:rPr>
            </w:pPr>
            <w:r w:rsidRPr="00060EF9">
              <w:rPr>
                <w:color w:val="000000"/>
              </w:rPr>
              <w:t>1 806 154</w:t>
            </w:r>
          </w:p>
        </w:tc>
      </w:tr>
      <w:tr w:rsidR="00A2124B" w:rsidRPr="00060EF9" w14:paraId="1C1CC2D1" w14:textId="77777777" w:rsidTr="008A5C11">
        <w:trPr>
          <w:trHeight w:val="276"/>
        </w:trPr>
        <w:tc>
          <w:tcPr>
            <w:tcW w:w="1297" w:type="dxa"/>
            <w:shd w:val="clear" w:color="auto" w:fill="auto"/>
            <w:vAlign w:val="center"/>
            <w:hideMark/>
          </w:tcPr>
          <w:p w14:paraId="61D0996C" w14:textId="77777777" w:rsidR="00A2124B" w:rsidRPr="00060EF9" w:rsidRDefault="00A2124B" w:rsidP="008A5C11">
            <w:pPr>
              <w:jc w:val="center"/>
              <w:rPr>
                <w:color w:val="000000"/>
              </w:rPr>
            </w:pPr>
            <w:r w:rsidRPr="00060EF9">
              <w:rPr>
                <w:color w:val="000000"/>
              </w:rPr>
              <w:t>1.1.1.4.</w:t>
            </w:r>
          </w:p>
        </w:tc>
        <w:tc>
          <w:tcPr>
            <w:tcW w:w="4106" w:type="dxa"/>
            <w:shd w:val="clear" w:color="auto" w:fill="auto"/>
            <w:vAlign w:val="center"/>
            <w:hideMark/>
          </w:tcPr>
          <w:p w14:paraId="1A9A9FD5" w14:textId="77777777" w:rsidR="00A2124B" w:rsidRPr="00060EF9" w:rsidRDefault="00A2124B" w:rsidP="008A5C11">
            <w:pPr>
              <w:rPr>
                <w:color w:val="000000"/>
              </w:rPr>
            </w:pPr>
            <w:r w:rsidRPr="00060EF9">
              <w:rPr>
                <w:color w:val="000000"/>
              </w:rPr>
              <w:t>1001-2000 м</w:t>
            </w:r>
          </w:p>
        </w:tc>
        <w:tc>
          <w:tcPr>
            <w:tcW w:w="1775" w:type="dxa"/>
            <w:vMerge/>
            <w:vAlign w:val="center"/>
            <w:hideMark/>
          </w:tcPr>
          <w:p w14:paraId="38F26F91" w14:textId="77777777" w:rsidR="00A2124B" w:rsidRPr="00060EF9" w:rsidRDefault="00A2124B" w:rsidP="008A5C11">
            <w:pP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47AEE890" w14:textId="77777777" w:rsidR="00A2124B" w:rsidRPr="00060EF9" w:rsidRDefault="00A2124B" w:rsidP="008A5C11">
            <w:pPr>
              <w:ind w:left="-147" w:right="-147"/>
              <w:jc w:val="center"/>
              <w:rPr>
                <w:color w:val="000000"/>
              </w:rPr>
            </w:pPr>
            <w:r w:rsidRPr="00060EF9">
              <w:rPr>
                <w:color w:val="000000"/>
              </w:rPr>
              <w:t>2 600 515</w:t>
            </w:r>
          </w:p>
        </w:tc>
      </w:tr>
      <w:tr w:rsidR="00A2124B" w:rsidRPr="00060EF9" w14:paraId="7AB9664C" w14:textId="77777777" w:rsidTr="008A5C11">
        <w:trPr>
          <w:trHeight w:val="276"/>
        </w:trPr>
        <w:tc>
          <w:tcPr>
            <w:tcW w:w="1297" w:type="dxa"/>
            <w:shd w:val="clear" w:color="auto" w:fill="auto"/>
            <w:vAlign w:val="center"/>
            <w:hideMark/>
          </w:tcPr>
          <w:p w14:paraId="166A91FD" w14:textId="77777777" w:rsidR="00A2124B" w:rsidRPr="00060EF9" w:rsidRDefault="00A2124B" w:rsidP="008A5C11">
            <w:pPr>
              <w:jc w:val="center"/>
              <w:rPr>
                <w:color w:val="000000"/>
              </w:rPr>
            </w:pPr>
            <w:r w:rsidRPr="00060EF9">
              <w:rPr>
                <w:color w:val="000000"/>
              </w:rPr>
              <w:t>1.1.1.5.</w:t>
            </w:r>
          </w:p>
        </w:tc>
        <w:tc>
          <w:tcPr>
            <w:tcW w:w="4106" w:type="dxa"/>
            <w:shd w:val="clear" w:color="auto" w:fill="auto"/>
            <w:vAlign w:val="center"/>
            <w:hideMark/>
          </w:tcPr>
          <w:p w14:paraId="116F4405" w14:textId="77777777" w:rsidR="00A2124B" w:rsidRPr="00060EF9" w:rsidRDefault="00A2124B" w:rsidP="008A5C11">
            <w:pPr>
              <w:rPr>
                <w:color w:val="000000"/>
              </w:rPr>
            </w:pPr>
            <w:r w:rsidRPr="00060EF9">
              <w:rPr>
                <w:color w:val="000000"/>
              </w:rPr>
              <w:t>2001-3000 м</w:t>
            </w:r>
          </w:p>
        </w:tc>
        <w:tc>
          <w:tcPr>
            <w:tcW w:w="1775" w:type="dxa"/>
            <w:vMerge/>
            <w:vAlign w:val="center"/>
            <w:hideMark/>
          </w:tcPr>
          <w:p w14:paraId="749134A0" w14:textId="77777777" w:rsidR="00A2124B" w:rsidRPr="00060EF9" w:rsidRDefault="00A2124B" w:rsidP="008A5C11">
            <w:pP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019CE2E7" w14:textId="77777777" w:rsidR="00A2124B" w:rsidRPr="00060EF9" w:rsidRDefault="00A2124B" w:rsidP="008A5C11">
            <w:pPr>
              <w:ind w:left="-147" w:right="-147"/>
              <w:jc w:val="center"/>
              <w:rPr>
                <w:color w:val="000000"/>
              </w:rPr>
            </w:pPr>
            <w:r w:rsidRPr="00060EF9">
              <w:rPr>
                <w:color w:val="000000"/>
              </w:rPr>
              <w:t>3 537 683</w:t>
            </w:r>
          </w:p>
        </w:tc>
      </w:tr>
      <w:tr w:rsidR="00A2124B" w:rsidRPr="00060EF9" w14:paraId="0A47072D" w14:textId="77777777" w:rsidTr="008A5C11">
        <w:trPr>
          <w:trHeight w:val="276"/>
        </w:trPr>
        <w:tc>
          <w:tcPr>
            <w:tcW w:w="1297" w:type="dxa"/>
            <w:shd w:val="clear" w:color="auto" w:fill="auto"/>
            <w:vAlign w:val="center"/>
            <w:hideMark/>
          </w:tcPr>
          <w:p w14:paraId="35965C29" w14:textId="77777777" w:rsidR="00A2124B" w:rsidRPr="00060EF9" w:rsidRDefault="00A2124B" w:rsidP="008A5C11">
            <w:pPr>
              <w:jc w:val="center"/>
              <w:rPr>
                <w:color w:val="000000"/>
              </w:rPr>
            </w:pPr>
            <w:r w:rsidRPr="00060EF9">
              <w:rPr>
                <w:color w:val="000000"/>
              </w:rPr>
              <w:t>1.1.1.6.</w:t>
            </w:r>
          </w:p>
        </w:tc>
        <w:tc>
          <w:tcPr>
            <w:tcW w:w="4106" w:type="dxa"/>
            <w:shd w:val="clear" w:color="auto" w:fill="auto"/>
            <w:vAlign w:val="center"/>
            <w:hideMark/>
          </w:tcPr>
          <w:p w14:paraId="645A5B26" w14:textId="77777777" w:rsidR="00A2124B" w:rsidRPr="00060EF9" w:rsidRDefault="00A2124B" w:rsidP="008A5C11">
            <w:pPr>
              <w:rPr>
                <w:color w:val="000000"/>
              </w:rPr>
            </w:pPr>
            <w:r w:rsidRPr="00060EF9">
              <w:rPr>
                <w:color w:val="000000"/>
              </w:rPr>
              <w:t>3001-4000 м</w:t>
            </w:r>
          </w:p>
        </w:tc>
        <w:tc>
          <w:tcPr>
            <w:tcW w:w="1775" w:type="dxa"/>
            <w:vMerge/>
            <w:vAlign w:val="center"/>
            <w:hideMark/>
          </w:tcPr>
          <w:p w14:paraId="79679ADE" w14:textId="77777777" w:rsidR="00A2124B" w:rsidRPr="00060EF9" w:rsidRDefault="00A2124B" w:rsidP="008A5C11">
            <w:pP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16AD1D3A" w14:textId="77777777" w:rsidR="00A2124B" w:rsidRPr="00060EF9" w:rsidRDefault="00A2124B" w:rsidP="008A5C11">
            <w:pPr>
              <w:ind w:left="-147" w:right="-147"/>
              <w:jc w:val="center"/>
              <w:rPr>
                <w:color w:val="000000"/>
              </w:rPr>
            </w:pPr>
            <w:r w:rsidRPr="00060EF9">
              <w:rPr>
                <w:color w:val="000000"/>
              </w:rPr>
              <w:t>4 364 366</w:t>
            </w:r>
          </w:p>
        </w:tc>
      </w:tr>
      <w:tr w:rsidR="00A2124B" w:rsidRPr="00060EF9" w14:paraId="313E119E" w14:textId="77777777" w:rsidTr="008A5C11">
        <w:trPr>
          <w:trHeight w:val="276"/>
        </w:trPr>
        <w:tc>
          <w:tcPr>
            <w:tcW w:w="1297" w:type="dxa"/>
            <w:shd w:val="clear" w:color="auto" w:fill="auto"/>
            <w:vAlign w:val="center"/>
          </w:tcPr>
          <w:p w14:paraId="61EAF94D" w14:textId="77777777" w:rsidR="00A2124B" w:rsidRPr="00060EF9" w:rsidRDefault="00A2124B" w:rsidP="008A5C11">
            <w:pPr>
              <w:jc w:val="center"/>
              <w:rPr>
                <w:color w:val="000000"/>
              </w:rPr>
            </w:pPr>
            <w:r w:rsidRPr="00060EF9">
              <w:rPr>
                <w:color w:val="000000"/>
              </w:rPr>
              <w:t>1.1.1.7.</w:t>
            </w:r>
          </w:p>
        </w:tc>
        <w:tc>
          <w:tcPr>
            <w:tcW w:w="4106" w:type="dxa"/>
            <w:shd w:val="clear" w:color="auto" w:fill="auto"/>
            <w:vAlign w:val="center"/>
          </w:tcPr>
          <w:p w14:paraId="0E6AE268" w14:textId="77777777" w:rsidR="00A2124B" w:rsidRPr="00060EF9" w:rsidRDefault="00A2124B" w:rsidP="008A5C11">
            <w:pPr>
              <w:rPr>
                <w:color w:val="000000"/>
              </w:rPr>
            </w:pPr>
            <w:r w:rsidRPr="00060EF9">
              <w:rPr>
                <w:color w:val="000000"/>
              </w:rPr>
              <w:t>4001-5000 м</w:t>
            </w:r>
          </w:p>
        </w:tc>
        <w:tc>
          <w:tcPr>
            <w:tcW w:w="1775" w:type="dxa"/>
            <w:vMerge/>
            <w:vAlign w:val="center"/>
          </w:tcPr>
          <w:p w14:paraId="357C64AE" w14:textId="77777777" w:rsidR="00A2124B" w:rsidRPr="00060EF9" w:rsidRDefault="00A2124B" w:rsidP="008A5C11">
            <w:pPr>
              <w:rPr>
                <w:color w:val="000000"/>
              </w:rPr>
            </w:pPr>
          </w:p>
        </w:tc>
        <w:tc>
          <w:tcPr>
            <w:tcW w:w="2466" w:type="dxa"/>
            <w:tcBorders>
              <w:top w:val="nil"/>
              <w:left w:val="nil"/>
              <w:bottom w:val="single" w:sz="8" w:space="0" w:color="auto"/>
              <w:right w:val="single" w:sz="8" w:space="0" w:color="auto"/>
            </w:tcBorders>
            <w:shd w:val="clear" w:color="auto" w:fill="auto"/>
            <w:vAlign w:val="center"/>
          </w:tcPr>
          <w:p w14:paraId="002F4A32" w14:textId="77777777" w:rsidR="00A2124B" w:rsidRPr="00060EF9" w:rsidRDefault="00A2124B" w:rsidP="008A5C11">
            <w:pPr>
              <w:ind w:left="-147" w:right="-147"/>
              <w:jc w:val="center"/>
              <w:rPr>
                <w:color w:val="000000"/>
              </w:rPr>
            </w:pPr>
            <w:r w:rsidRPr="00060EF9">
              <w:rPr>
                <w:color w:val="000000"/>
              </w:rPr>
              <w:t>5 196 976</w:t>
            </w:r>
          </w:p>
        </w:tc>
      </w:tr>
      <w:tr w:rsidR="00A2124B" w:rsidRPr="00060EF9" w14:paraId="5E2BAC4A" w14:textId="77777777" w:rsidTr="008A5C11">
        <w:trPr>
          <w:trHeight w:val="276"/>
        </w:trPr>
        <w:tc>
          <w:tcPr>
            <w:tcW w:w="1297" w:type="dxa"/>
            <w:shd w:val="clear" w:color="auto" w:fill="auto"/>
            <w:vAlign w:val="center"/>
            <w:hideMark/>
          </w:tcPr>
          <w:p w14:paraId="3536AFBF" w14:textId="77777777" w:rsidR="00A2124B" w:rsidRPr="00060EF9" w:rsidRDefault="00A2124B" w:rsidP="008A5C11">
            <w:pPr>
              <w:jc w:val="center"/>
              <w:rPr>
                <w:color w:val="000000"/>
              </w:rPr>
            </w:pPr>
            <w:r w:rsidRPr="00060EF9">
              <w:rPr>
                <w:color w:val="000000"/>
              </w:rPr>
              <w:t>1.1.1.8.</w:t>
            </w:r>
          </w:p>
        </w:tc>
        <w:tc>
          <w:tcPr>
            <w:tcW w:w="4106" w:type="dxa"/>
            <w:shd w:val="clear" w:color="auto" w:fill="auto"/>
            <w:vAlign w:val="center"/>
            <w:hideMark/>
          </w:tcPr>
          <w:p w14:paraId="0E00EFFB" w14:textId="77777777" w:rsidR="00A2124B" w:rsidRPr="00060EF9" w:rsidRDefault="00A2124B" w:rsidP="008A5C11">
            <w:pPr>
              <w:rPr>
                <w:color w:val="000000"/>
              </w:rPr>
            </w:pPr>
            <w:r w:rsidRPr="00060EF9">
              <w:rPr>
                <w:color w:val="000000"/>
              </w:rPr>
              <w:t>5001 м и более</w:t>
            </w:r>
          </w:p>
        </w:tc>
        <w:tc>
          <w:tcPr>
            <w:tcW w:w="1775" w:type="dxa"/>
            <w:vMerge/>
            <w:vAlign w:val="center"/>
            <w:hideMark/>
          </w:tcPr>
          <w:p w14:paraId="55032F7F" w14:textId="77777777" w:rsidR="00A2124B" w:rsidRPr="00060EF9" w:rsidRDefault="00A2124B" w:rsidP="008A5C11">
            <w:pP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764207A1" w14:textId="77777777" w:rsidR="00A2124B" w:rsidRPr="00060EF9" w:rsidRDefault="00A2124B" w:rsidP="008A5C11">
            <w:pPr>
              <w:ind w:left="-147" w:right="-147"/>
              <w:jc w:val="center"/>
              <w:rPr>
                <w:color w:val="000000"/>
              </w:rPr>
            </w:pPr>
            <w:r w:rsidRPr="00060EF9">
              <w:rPr>
                <w:color w:val="000000"/>
              </w:rPr>
              <w:t>5 507 079</w:t>
            </w:r>
          </w:p>
        </w:tc>
      </w:tr>
      <w:tr w:rsidR="00A2124B" w:rsidRPr="00060EF9" w14:paraId="22B5C992" w14:textId="77777777" w:rsidTr="008A5C11">
        <w:trPr>
          <w:trHeight w:val="340"/>
        </w:trPr>
        <w:tc>
          <w:tcPr>
            <w:tcW w:w="1297" w:type="dxa"/>
            <w:shd w:val="clear" w:color="auto" w:fill="auto"/>
            <w:vAlign w:val="center"/>
            <w:hideMark/>
          </w:tcPr>
          <w:p w14:paraId="4C7D7603" w14:textId="77777777" w:rsidR="00A2124B" w:rsidRPr="00060EF9" w:rsidRDefault="00A2124B" w:rsidP="008A5C11">
            <w:pPr>
              <w:jc w:val="center"/>
              <w:rPr>
                <w:color w:val="000000"/>
              </w:rPr>
            </w:pPr>
            <w:r w:rsidRPr="00060EF9">
              <w:rPr>
                <w:color w:val="000000"/>
              </w:rPr>
              <w:t>1.1.2.</w:t>
            </w:r>
          </w:p>
        </w:tc>
        <w:tc>
          <w:tcPr>
            <w:tcW w:w="8347" w:type="dxa"/>
            <w:gridSpan w:val="3"/>
            <w:shd w:val="clear" w:color="auto" w:fill="auto"/>
            <w:vAlign w:val="center"/>
            <w:hideMark/>
          </w:tcPr>
          <w:p w14:paraId="042536D9" w14:textId="77777777" w:rsidR="00A2124B" w:rsidRPr="00060EF9" w:rsidRDefault="00A2124B" w:rsidP="008A5C11">
            <w:pPr>
              <w:rPr>
                <w:color w:val="000000"/>
              </w:rPr>
            </w:pPr>
            <w:r w:rsidRPr="00060EF9">
              <w:rPr>
                <w:color w:val="000000"/>
              </w:rPr>
              <w:t>наружным диаметром 100 мм и более, протяженностью:</w:t>
            </w:r>
          </w:p>
        </w:tc>
      </w:tr>
      <w:tr w:rsidR="00A2124B" w:rsidRPr="00060EF9" w14:paraId="2DDEF20C" w14:textId="77777777" w:rsidTr="008A5C11">
        <w:trPr>
          <w:trHeight w:val="276"/>
        </w:trPr>
        <w:tc>
          <w:tcPr>
            <w:tcW w:w="1297" w:type="dxa"/>
            <w:shd w:val="clear" w:color="auto" w:fill="auto"/>
            <w:vAlign w:val="center"/>
            <w:hideMark/>
          </w:tcPr>
          <w:p w14:paraId="3302BC5C" w14:textId="77777777" w:rsidR="00A2124B" w:rsidRPr="00060EF9" w:rsidRDefault="00A2124B" w:rsidP="008A5C11">
            <w:pPr>
              <w:jc w:val="center"/>
              <w:rPr>
                <w:color w:val="000000"/>
              </w:rPr>
            </w:pPr>
            <w:r w:rsidRPr="00060EF9">
              <w:rPr>
                <w:color w:val="000000"/>
              </w:rPr>
              <w:t>1.1.2.1.</w:t>
            </w:r>
          </w:p>
        </w:tc>
        <w:tc>
          <w:tcPr>
            <w:tcW w:w="4106" w:type="dxa"/>
            <w:shd w:val="clear" w:color="auto" w:fill="auto"/>
            <w:vAlign w:val="center"/>
            <w:hideMark/>
          </w:tcPr>
          <w:p w14:paraId="0B00D27E" w14:textId="77777777" w:rsidR="00A2124B" w:rsidRPr="00060EF9" w:rsidRDefault="00A2124B" w:rsidP="008A5C11">
            <w:pPr>
              <w:rPr>
                <w:color w:val="000000"/>
              </w:rPr>
            </w:pPr>
            <w:r w:rsidRPr="00060EF9">
              <w:rPr>
                <w:color w:val="000000"/>
              </w:rPr>
              <w:t>до 100 м</w:t>
            </w:r>
          </w:p>
        </w:tc>
        <w:tc>
          <w:tcPr>
            <w:tcW w:w="1775" w:type="dxa"/>
            <w:vMerge w:val="restart"/>
            <w:shd w:val="clear" w:color="auto" w:fill="auto"/>
            <w:vAlign w:val="center"/>
            <w:hideMark/>
          </w:tcPr>
          <w:p w14:paraId="3997E0AC" w14:textId="77777777" w:rsidR="00A2124B" w:rsidRPr="00060EF9" w:rsidRDefault="00A2124B" w:rsidP="008A5C11">
            <w:pPr>
              <w:jc w:val="center"/>
              <w:rPr>
                <w:color w:val="000000"/>
              </w:rPr>
            </w:pPr>
            <w:r w:rsidRPr="00060EF9">
              <w:rPr>
                <w:color w:val="000000"/>
              </w:rPr>
              <w:t>руб.</w:t>
            </w:r>
            <w:r w:rsidRPr="00060EF9">
              <w:rPr>
                <w:color w:val="2D2D2D"/>
              </w:rPr>
              <w:t xml:space="preserve"> за 1 присоединение</w:t>
            </w:r>
          </w:p>
        </w:tc>
        <w:tc>
          <w:tcPr>
            <w:tcW w:w="2466" w:type="dxa"/>
            <w:tcBorders>
              <w:top w:val="nil"/>
              <w:left w:val="nil"/>
              <w:bottom w:val="single" w:sz="8" w:space="0" w:color="auto"/>
              <w:right w:val="single" w:sz="8" w:space="0" w:color="auto"/>
            </w:tcBorders>
            <w:shd w:val="clear" w:color="auto" w:fill="auto"/>
            <w:vAlign w:val="center"/>
            <w:hideMark/>
          </w:tcPr>
          <w:p w14:paraId="12930978" w14:textId="77777777" w:rsidR="00A2124B" w:rsidRPr="00060EF9" w:rsidRDefault="00A2124B" w:rsidP="008A5C11">
            <w:pPr>
              <w:ind w:left="-147" w:right="-147"/>
              <w:jc w:val="center"/>
              <w:rPr>
                <w:color w:val="000000"/>
              </w:rPr>
            </w:pPr>
            <w:r w:rsidRPr="00060EF9">
              <w:rPr>
                <w:color w:val="000000"/>
              </w:rPr>
              <w:t>273 516</w:t>
            </w:r>
          </w:p>
        </w:tc>
      </w:tr>
      <w:tr w:rsidR="00A2124B" w:rsidRPr="00060EF9" w14:paraId="63741331" w14:textId="77777777" w:rsidTr="008A5C11">
        <w:trPr>
          <w:trHeight w:val="276"/>
        </w:trPr>
        <w:tc>
          <w:tcPr>
            <w:tcW w:w="1297" w:type="dxa"/>
            <w:shd w:val="clear" w:color="auto" w:fill="auto"/>
            <w:vAlign w:val="center"/>
            <w:hideMark/>
          </w:tcPr>
          <w:p w14:paraId="5CF88BB4" w14:textId="77777777" w:rsidR="00A2124B" w:rsidRPr="00060EF9" w:rsidRDefault="00A2124B" w:rsidP="008A5C11">
            <w:pPr>
              <w:jc w:val="center"/>
              <w:rPr>
                <w:color w:val="000000"/>
              </w:rPr>
            </w:pPr>
            <w:r w:rsidRPr="00060EF9">
              <w:rPr>
                <w:color w:val="000000"/>
              </w:rPr>
              <w:t>1.1.2.2.</w:t>
            </w:r>
          </w:p>
        </w:tc>
        <w:tc>
          <w:tcPr>
            <w:tcW w:w="4106" w:type="dxa"/>
            <w:shd w:val="clear" w:color="auto" w:fill="auto"/>
            <w:vAlign w:val="center"/>
            <w:hideMark/>
          </w:tcPr>
          <w:p w14:paraId="46144DF5" w14:textId="77777777" w:rsidR="00A2124B" w:rsidRPr="00060EF9" w:rsidRDefault="00A2124B" w:rsidP="008A5C11">
            <w:pPr>
              <w:rPr>
                <w:color w:val="000000"/>
              </w:rPr>
            </w:pPr>
            <w:r w:rsidRPr="00060EF9">
              <w:rPr>
                <w:color w:val="000000"/>
              </w:rPr>
              <w:t>101-500 м</w:t>
            </w:r>
          </w:p>
        </w:tc>
        <w:tc>
          <w:tcPr>
            <w:tcW w:w="1775" w:type="dxa"/>
            <w:vMerge/>
            <w:vAlign w:val="center"/>
            <w:hideMark/>
          </w:tcPr>
          <w:p w14:paraId="13FF9A7B" w14:textId="77777777" w:rsidR="00A2124B" w:rsidRPr="00060EF9" w:rsidRDefault="00A2124B" w:rsidP="008A5C11">
            <w:pP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4FD6186E" w14:textId="77777777" w:rsidR="00A2124B" w:rsidRPr="00060EF9" w:rsidRDefault="00A2124B" w:rsidP="008A5C11">
            <w:pPr>
              <w:ind w:left="-147" w:right="-147"/>
              <w:jc w:val="center"/>
              <w:rPr>
                <w:color w:val="000000"/>
              </w:rPr>
            </w:pPr>
            <w:r w:rsidRPr="00060EF9">
              <w:rPr>
                <w:color w:val="000000"/>
              </w:rPr>
              <w:t>282 560</w:t>
            </w:r>
          </w:p>
        </w:tc>
      </w:tr>
      <w:tr w:rsidR="00A2124B" w:rsidRPr="00060EF9" w14:paraId="635162D0" w14:textId="77777777" w:rsidTr="008A5C11">
        <w:trPr>
          <w:trHeight w:val="276"/>
        </w:trPr>
        <w:tc>
          <w:tcPr>
            <w:tcW w:w="1297" w:type="dxa"/>
            <w:shd w:val="clear" w:color="auto" w:fill="auto"/>
            <w:vAlign w:val="center"/>
            <w:hideMark/>
          </w:tcPr>
          <w:p w14:paraId="771139D4" w14:textId="77777777" w:rsidR="00A2124B" w:rsidRPr="00060EF9" w:rsidRDefault="00A2124B" w:rsidP="008A5C11">
            <w:pPr>
              <w:jc w:val="center"/>
              <w:rPr>
                <w:color w:val="000000"/>
              </w:rPr>
            </w:pPr>
            <w:r w:rsidRPr="00060EF9">
              <w:rPr>
                <w:color w:val="000000"/>
              </w:rPr>
              <w:t>1.1.2.3.</w:t>
            </w:r>
          </w:p>
        </w:tc>
        <w:tc>
          <w:tcPr>
            <w:tcW w:w="4106" w:type="dxa"/>
            <w:shd w:val="clear" w:color="auto" w:fill="auto"/>
            <w:vAlign w:val="center"/>
            <w:hideMark/>
          </w:tcPr>
          <w:p w14:paraId="6AE483F5" w14:textId="77777777" w:rsidR="00A2124B" w:rsidRPr="00060EF9" w:rsidRDefault="00A2124B" w:rsidP="008A5C11">
            <w:pPr>
              <w:rPr>
                <w:color w:val="000000"/>
              </w:rPr>
            </w:pPr>
            <w:r w:rsidRPr="00060EF9">
              <w:rPr>
                <w:color w:val="000000"/>
              </w:rPr>
              <w:t>501-1000 м</w:t>
            </w:r>
          </w:p>
        </w:tc>
        <w:tc>
          <w:tcPr>
            <w:tcW w:w="1775" w:type="dxa"/>
            <w:vMerge/>
            <w:vAlign w:val="center"/>
            <w:hideMark/>
          </w:tcPr>
          <w:p w14:paraId="5BA73747" w14:textId="77777777" w:rsidR="00A2124B" w:rsidRPr="00060EF9" w:rsidRDefault="00A2124B" w:rsidP="008A5C11">
            <w:pP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39008093" w14:textId="77777777" w:rsidR="00A2124B" w:rsidRPr="00060EF9" w:rsidRDefault="00A2124B" w:rsidP="008A5C11">
            <w:pPr>
              <w:ind w:left="-147" w:right="-147"/>
              <w:jc w:val="center"/>
              <w:rPr>
                <w:color w:val="000000"/>
              </w:rPr>
            </w:pPr>
            <w:r w:rsidRPr="00060EF9">
              <w:rPr>
                <w:color w:val="000000"/>
              </w:rPr>
              <w:t>1 806 154</w:t>
            </w:r>
          </w:p>
        </w:tc>
      </w:tr>
      <w:tr w:rsidR="00A2124B" w:rsidRPr="00060EF9" w14:paraId="59A40070" w14:textId="77777777" w:rsidTr="008A5C11">
        <w:trPr>
          <w:trHeight w:val="276"/>
        </w:trPr>
        <w:tc>
          <w:tcPr>
            <w:tcW w:w="1297" w:type="dxa"/>
            <w:shd w:val="clear" w:color="auto" w:fill="auto"/>
            <w:vAlign w:val="center"/>
            <w:hideMark/>
          </w:tcPr>
          <w:p w14:paraId="4448B67B" w14:textId="77777777" w:rsidR="00A2124B" w:rsidRPr="00060EF9" w:rsidRDefault="00A2124B" w:rsidP="008A5C11">
            <w:pPr>
              <w:jc w:val="center"/>
              <w:rPr>
                <w:color w:val="000000"/>
              </w:rPr>
            </w:pPr>
            <w:r w:rsidRPr="00060EF9">
              <w:rPr>
                <w:color w:val="000000"/>
              </w:rPr>
              <w:t>1.1.2.4.</w:t>
            </w:r>
          </w:p>
        </w:tc>
        <w:tc>
          <w:tcPr>
            <w:tcW w:w="4106" w:type="dxa"/>
            <w:shd w:val="clear" w:color="auto" w:fill="auto"/>
            <w:vAlign w:val="center"/>
            <w:hideMark/>
          </w:tcPr>
          <w:p w14:paraId="348D5C42" w14:textId="77777777" w:rsidR="00A2124B" w:rsidRPr="00060EF9" w:rsidRDefault="00A2124B" w:rsidP="008A5C11">
            <w:pPr>
              <w:rPr>
                <w:color w:val="000000"/>
              </w:rPr>
            </w:pPr>
            <w:r w:rsidRPr="00060EF9">
              <w:rPr>
                <w:color w:val="000000"/>
              </w:rPr>
              <w:t>1001-2000 м</w:t>
            </w:r>
          </w:p>
        </w:tc>
        <w:tc>
          <w:tcPr>
            <w:tcW w:w="1775" w:type="dxa"/>
            <w:vMerge/>
            <w:vAlign w:val="center"/>
            <w:hideMark/>
          </w:tcPr>
          <w:p w14:paraId="2E192612" w14:textId="77777777" w:rsidR="00A2124B" w:rsidRPr="00060EF9" w:rsidRDefault="00A2124B" w:rsidP="008A5C11">
            <w:pP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15D64F11" w14:textId="77777777" w:rsidR="00A2124B" w:rsidRPr="00060EF9" w:rsidRDefault="00A2124B" w:rsidP="008A5C11">
            <w:pPr>
              <w:ind w:left="-147" w:right="-147"/>
              <w:jc w:val="center"/>
              <w:rPr>
                <w:color w:val="000000"/>
              </w:rPr>
            </w:pPr>
            <w:r w:rsidRPr="00060EF9">
              <w:rPr>
                <w:color w:val="000000"/>
              </w:rPr>
              <w:t>2 600 515</w:t>
            </w:r>
          </w:p>
        </w:tc>
      </w:tr>
      <w:tr w:rsidR="00A2124B" w:rsidRPr="00060EF9" w14:paraId="1E585466" w14:textId="77777777" w:rsidTr="008A5C11">
        <w:trPr>
          <w:trHeight w:val="276"/>
        </w:trPr>
        <w:tc>
          <w:tcPr>
            <w:tcW w:w="1297" w:type="dxa"/>
            <w:shd w:val="clear" w:color="auto" w:fill="auto"/>
            <w:vAlign w:val="center"/>
            <w:hideMark/>
          </w:tcPr>
          <w:p w14:paraId="03B1AA8C" w14:textId="77777777" w:rsidR="00A2124B" w:rsidRPr="00060EF9" w:rsidRDefault="00A2124B" w:rsidP="008A5C11">
            <w:pPr>
              <w:jc w:val="center"/>
              <w:rPr>
                <w:color w:val="000000"/>
              </w:rPr>
            </w:pPr>
            <w:r w:rsidRPr="00060EF9">
              <w:rPr>
                <w:color w:val="000000"/>
              </w:rPr>
              <w:t>1.1.2.5.</w:t>
            </w:r>
          </w:p>
        </w:tc>
        <w:tc>
          <w:tcPr>
            <w:tcW w:w="4106" w:type="dxa"/>
            <w:shd w:val="clear" w:color="auto" w:fill="auto"/>
            <w:vAlign w:val="center"/>
            <w:hideMark/>
          </w:tcPr>
          <w:p w14:paraId="51E878E0" w14:textId="77777777" w:rsidR="00A2124B" w:rsidRPr="00060EF9" w:rsidRDefault="00A2124B" w:rsidP="008A5C11">
            <w:pPr>
              <w:rPr>
                <w:color w:val="000000"/>
              </w:rPr>
            </w:pPr>
            <w:r w:rsidRPr="00060EF9">
              <w:rPr>
                <w:color w:val="000000"/>
              </w:rPr>
              <w:t>2001-3000 м</w:t>
            </w:r>
          </w:p>
        </w:tc>
        <w:tc>
          <w:tcPr>
            <w:tcW w:w="1775" w:type="dxa"/>
            <w:vMerge/>
            <w:vAlign w:val="center"/>
            <w:hideMark/>
          </w:tcPr>
          <w:p w14:paraId="5E72162B" w14:textId="77777777" w:rsidR="00A2124B" w:rsidRPr="00060EF9" w:rsidRDefault="00A2124B" w:rsidP="008A5C11">
            <w:pP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59C965EE" w14:textId="77777777" w:rsidR="00A2124B" w:rsidRPr="00060EF9" w:rsidRDefault="00A2124B" w:rsidP="008A5C11">
            <w:pPr>
              <w:ind w:left="-147" w:right="-147"/>
              <w:jc w:val="center"/>
              <w:rPr>
                <w:color w:val="000000"/>
              </w:rPr>
            </w:pPr>
            <w:r w:rsidRPr="00060EF9">
              <w:rPr>
                <w:color w:val="000000"/>
              </w:rPr>
              <w:t>3 537 683</w:t>
            </w:r>
          </w:p>
        </w:tc>
      </w:tr>
      <w:tr w:rsidR="00A2124B" w:rsidRPr="00060EF9" w14:paraId="61464F76" w14:textId="77777777" w:rsidTr="008A5C11">
        <w:trPr>
          <w:trHeight w:val="276"/>
        </w:trPr>
        <w:tc>
          <w:tcPr>
            <w:tcW w:w="1297" w:type="dxa"/>
            <w:shd w:val="clear" w:color="auto" w:fill="auto"/>
            <w:vAlign w:val="center"/>
            <w:hideMark/>
          </w:tcPr>
          <w:p w14:paraId="3DAA86FA" w14:textId="77777777" w:rsidR="00A2124B" w:rsidRPr="00060EF9" w:rsidRDefault="00A2124B" w:rsidP="008A5C11">
            <w:pPr>
              <w:jc w:val="center"/>
              <w:rPr>
                <w:color w:val="000000"/>
              </w:rPr>
            </w:pPr>
            <w:r w:rsidRPr="00060EF9">
              <w:rPr>
                <w:color w:val="000000"/>
              </w:rPr>
              <w:t>1.1.2.6.</w:t>
            </w:r>
          </w:p>
        </w:tc>
        <w:tc>
          <w:tcPr>
            <w:tcW w:w="4106" w:type="dxa"/>
            <w:shd w:val="clear" w:color="auto" w:fill="auto"/>
            <w:vAlign w:val="center"/>
            <w:hideMark/>
          </w:tcPr>
          <w:p w14:paraId="5208E7F5" w14:textId="77777777" w:rsidR="00A2124B" w:rsidRPr="00060EF9" w:rsidRDefault="00A2124B" w:rsidP="008A5C11">
            <w:pPr>
              <w:rPr>
                <w:color w:val="000000"/>
              </w:rPr>
            </w:pPr>
            <w:r w:rsidRPr="00060EF9">
              <w:rPr>
                <w:color w:val="000000"/>
              </w:rPr>
              <w:t>3001-4000 м</w:t>
            </w:r>
          </w:p>
        </w:tc>
        <w:tc>
          <w:tcPr>
            <w:tcW w:w="1775" w:type="dxa"/>
            <w:vMerge/>
            <w:vAlign w:val="center"/>
            <w:hideMark/>
          </w:tcPr>
          <w:p w14:paraId="3AB77241" w14:textId="77777777" w:rsidR="00A2124B" w:rsidRPr="00060EF9" w:rsidRDefault="00A2124B" w:rsidP="008A5C11">
            <w:pP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2AA6EFB2" w14:textId="77777777" w:rsidR="00A2124B" w:rsidRPr="00060EF9" w:rsidRDefault="00A2124B" w:rsidP="008A5C11">
            <w:pPr>
              <w:ind w:left="-147" w:right="-147"/>
              <w:jc w:val="center"/>
              <w:rPr>
                <w:color w:val="000000"/>
              </w:rPr>
            </w:pPr>
            <w:r w:rsidRPr="00060EF9">
              <w:rPr>
                <w:color w:val="000000"/>
              </w:rPr>
              <w:t>4 364 366</w:t>
            </w:r>
          </w:p>
        </w:tc>
      </w:tr>
      <w:tr w:rsidR="00A2124B" w:rsidRPr="00060EF9" w14:paraId="465E87F8" w14:textId="77777777" w:rsidTr="008A5C11">
        <w:trPr>
          <w:trHeight w:val="276"/>
        </w:trPr>
        <w:tc>
          <w:tcPr>
            <w:tcW w:w="1297" w:type="dxa"/>
            <w:shd w:val="clear" w:color="auto" w:fill="auto"/>
            <w:vAlign w:val="center"/>
          </w:tcPr>
          <w:p w14:paraId="61634CDD" w14:textId="77777777" w:rsidR="00A2124B" w:rsidRPr="00060EF9" w:rsidRDefault="00A2124B" w:rsidP="008A5C11">
            <w:pPr>
              <w:jc w:val="center"/>
              <w:rPr>
                <w:color w:val="000000"/>
              </w:rPr>
            </w:pPr>
            <w:r w:rsidRPr="00060EF9">
              <w:rPr>
                <w:color w:val="000000"/>
              </w:rPr>
              <w:t>1.1.2.7.</w:t>
            </w:r>
          </w:p>
        </w:tc>
        <w:tc>
          <w:tcPr>
            <w:tcW w:w="4106" w:type="dxa"/>
            <w:shd w:val="clear" w:color="auto" w:fill="auto"/>
            <w:vAlign w:val="center"/>
          </w:tcPr>
          <w:p w14:paraId="3988A2D0" w14:textId="77777777" w:rsidR="00A2124B" w:rsidRPr="00060EF9" w:rsidRDefault="00A2124B" w:rsidP="008A5C11">
            <w:pPr>
              <w:rPr>
                <w:color w:val="000000"/>
              </w:rPr>
            </w:pPr>
            <w:r w:rsidRPr="00060EF9">
              <w:rPr>
                <w:color w:val="000000"/>
              </w:rPr>
              <w:t>4001-5000 м</w:t>
            </w:r>
          </w:p>
        </w:tc>
        <w:tc>
          <w:tcPr>
            <w:tcW w:w="1775" w:type="dxa"/>
            <w:vMerge/>
            <w:vAlign w:val="center"/>
          </w:tcPr>
          <w:p w14:paraId="49DAC7F3" w14:textId="77777777" w:rsidR="00A2124B" w:rsidRPr="00060EF9" w:rsidRDefault="00A2124B" w:rsidP="008A5C11">
            <w:pPr>
              <w:rPr>
                <w:color w:val="000000"/>
              </w:rPr>
            </w:pPr>
          </w:p>
        </w:tc>
        <w:tc>
          <w:tcPr>
            <w:tcW w:w="2466" w:type="dxa"/>
            <w:tcBorders>
              <w:top w:val="nil"/>
              <w:left w:val="nil"/>
              <w:bottom w:val="single" w:sz="8" w:space="0" w:color="auto"/>
              <w:right w:val="single" w:sz="8" w:space="0" w:color="auto"/>
            </w:tcBorders>
            <w:shd w:val="clear" w:color="auto" w:fill="auto"/>
            <w:vAlign w:val="center"/>
          </w:tcPr>
          <w:p w14:paraId="69358C91" w14:textId="77777777" w:rsidR="00A2124B" w:rsidRPr="00060EF9" w:rsidRDefault="00A2124B" w:rsidP="008A5C11">
            <w:pPr>
              <w:ind w:left="-147" w:right="-147"/>
              <w:jc w:val="center"/>
              <w:rPr>
                <w:color w:val="000000"/>
              </w:rPr>
            </w:pPr>
            <w:r w:rsidRPr="00060EF9">
              <w:rPr>
                <w:color w:val="000000"/>
              </w:rPr>
              <w:t>5 196 976</w:t>
            </w:r>
          </w:p>
        </w:tc>
      </w:tr>
      <w:tr w:rsidR="00A2124B" w:rsidRPr="00060EF9" w14:paraId="602ADCEC" w14:textId="77777777" w:rsidTr="008A5C11">
        <w:trPr>
          <w:trHeight w:val="276"/>
        </w:trPr>
        <w:tc>
          <w:tcPr>
            <w:tcW w:w="1297" w:type="dxa"/>
            <w:shd w:val="clear" w:color="auto" w:fill="auto"/>
            <w:vAlign w:val="center"/>
            <w:hideMark/>
          </w:tcPr>
          <w:p w14:paraId="33930126" w14:textId="77777777" w:rsidR="00A2124B" w:rsidRPr="00060EF9" w:rsidRDefault="00A2124B" w:rsidP="008A5C11">
            <w:pPr>
              <w:jc w:val="center"/>
              <w:rPr>
                <w:color w:val="000000"/>
              </w:rPr>
            </w:pPr>
            <w:r w:rsidRPr="00060EF9">
              <w:rPr>
                <w:color w:val="000000"/>
              </w:rPr>
              <w:t>1.1.2.8.</w:t>
            </w:r>
          </w:p>
        </w:tc>
        <w:tc>
          <w:tcPr>
            <w:tcW w:w="4106" w:type="dxa"/>
            <w:shd w:val="clear" w:color="auto" w:fill="auto"/>
            <w:vAlign w:val="center"/>
            <w:hideMark/>
          </w:tcPr>
          <w:p w14:paraId="299FD04B" w14:textId="77777777" w:rsidR="00A2124B" w:rsidRPr="00060EF9" w:rsidRDefault="00A2124B" w:rsidP="008A5C11">
            <w:pPr>
              <w:rPr>
                <w:color w:val="000000"/>
              </w:rPr>
            </w:pPr>
            <w:r w:rsidRPr="00060EF9">
              <w:rPr>
                <w:color w:val="000000"/>
              </w:rPr>
              <w:t>5001 м и более</w:t>
            </w:r>
          </w:p>
        </w:tc>
        <w:tc>
          <w:tcPr>
            <w:tcW w:w="1775" w:type="dxa"/>
            <w:vMerge/>
            <w:vAlign w:val="center"/>
            <w:hideMark/>
          </w:tcPr>
          <w:p w14:paraId="73069DA4" w14:textId="77777777" w:rsidR="00A2124B" w:rsidRPr="00060EF9" w:rsidRDefault="00A2124B" w:rsidP="008A5C11">
            <w:pP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5FDA98F5" w14:textId="77777777" w:rsidR="00A2124B" w:rsidRPr="00060EF9" w:rsidRDefault="00A2124B" w:rsidP="008A5C11">
            <w:pPr>
              <w:ind w:left="-147" w:right="-147"/>
              <w:jc w:val="center"/>
              <w:rPr>
                <w:color w:val="000000"/>
              </w:rPr>
            </w:pPr>
            <w:r w:rsidRPr="00060EF9">
              <w:rPr>
                <w:color w:val="000000"/>
              </w:rPr>
              <w:t>5 507 079</w:t>
            </w:r>
          </w:p>
        </w:tc>
      </w:tr>
      <w:tr w:rsidR="00A2124B" w:rsidRPr="00060EF9" w14:paraId="41D7DE29" w14:textId="77777777" w:rsidTr="008A5C11">
        <w:trPr>
          <w:trHeight w:val="70"/>
        </w:trPr>
        <w:tc>
          <w:tcPr>
            <w:tcW w:w="1297" w:type="dxa"/>
            <w:shd w:val="clear" w:color="auto" w:fill="auto"/>
            <w:vAlign w:val="center"/>
            <w:hideMark/>
          </w:tcPr>
          <w:p w14:paraId="676A357B" w14:textId="77777777" w:rsidR="00A2124B" w:rsidRPr="00060EF9" w:rsidRDefault="00A2124B" w:rsidP="008A5C11">
            <w:pPr>
              <w:jc w:val="center"/>
              <w:rPr>
                <w:color w:val="000000"/>
              </w:rPr>
            </w:pPr>
            <w:r w:rsidRPr="00060EF9">
              <w:rPr>
                <w:color w:val="000000"/>
              </w:rPr>
              <w:t>1.2.</w:t>
            </w:r>
          </w:p>
        </w:tc>
        <w:tc>
          <w:tcPr>
            <w:tcW w:w="8347" w:type="dxa"/>
            <w:gridSpan w:val="3"/>
            <w:shd w:val="clear" w:color="auto" w:fill="auto"/>
            <w:vAlign w:val="center"/>
            <w:hideMark/>
          </w:tcPr>
          <w:p w14:paraId="7092912A" w14:textId="77777777" w:rsidR="00A2124B" w:rsidRPr="00060EF9" w:rsidRDefault="00A2124B" w:rsidP="008A5C11">
            <w:pPr>
              <w:rPr>
                <w:color w:val="000000"/>
              </w:rPr>
            </w:pPr>
            <w:r w:rsidRPr="00060EF9">
              <w:rPr>
                <w:color w:val="000000"/>
              </w:rPr>
              <w:t>подземного способа прокладки:</w:t>
            </w:r>
          </w:p>
        </w:tc>
      </w:tr>
      <w:tr w:rsidR="00A2124B" w:rsidRPr="00060EF9" w14:paraId="25214EBC" w14:textId="77777777" w:rsidTr="008A5C11">
        <w:trPr>
          <w:trHeight w:val="255"/>
        </w:trPr>
        <w:tc>
          <w:tcPr>
            <w:tcW w:w="1297" w:type="dxa"/>
            <w:shd w:val="clear" w:color="auto" w:fill="auto"/>
            <w:vAlign w:val="center"/>
            <w:hideMark/>
          </w:tcPr>
          <w:p w14:paraId="1172A5F0" w14:textId="77777777" w:rsidR="00A2124B" w:rsidRPr="00060EF9" w:rsidRDefault="00A2124B" w:rsidP="008A5C11">
            <w:pPr>
              <w:jc w:val="center"/>
              <w:rPr>
                <w:color w:val="000000"/>
              </w:rPr>
            </w:pPr>
            <w:r w:rsidRPr="00060EF9">
              <w:rPr>
                <w:color w:val="000000"/>
              </w:rPr>
              <w:t>1.2.1.</w:t>
            </w:r>
          </w:p>
        </w:tc>
        <w:tc>
          <w:tcPr>
            <w:tcW w:w="8347" w:type="dxa"/>
            <w:gridSpan w:val="3"/>
            <w:shd w:val="clear" w:color="auto" w:fill="auto"/>
            <w:vAlign w:val="center"/>
            <w:hideMark/>
          </w:tcPr>
          <w:p w14:paraId="76548FE6" w14:textId="77777777" w:rsidR="00A2124B" w:rsidRPr="00060EF9" w:rsidRDefault="00A2124B" w:rsidP="008A5C11">
            <w:pPr>
              <w:rPr>
                <w:color w:val="000000"/>
              </w:rPr>
            </w:pPr>
            <w:r w:rsidRPr="00060EF9">
              <w:rPr>
                <w:color w:val="000000"/>
              </w:rPr>
              <w:t>наружным диаметром менее 100 мм, протяженностью:</w:t>
            </w:r>
          </w:p>
        </w:tc>
      </w:tr>
      <w:tr w:rsidR="00A2124B" w:rsidRPr="00060EF9" w14:paraId="5ACC3AD6" w14:textId="77777777" w:rsidTr="008A5C11">
        <w:trPr>
          <w:trHeight w:val="276"/>
        </w:trPr>
        <w:tc>
          <w:tcPr>
            <w:tcW w:w="1297" w:type="dxa"/>
            <w:shd w:val="clear" w:color="auto" w:fill="auto"/>
            <w:vAlign w:val="center"/>
            <w:hideMark/>
          </w:tcPr>
          <w:p w14:paraId="09D65698" w14:textId="77777777" w:rsidR="00A2124B" w:rsidRPr="00060EF9" w:rsidRDefault="00A2124B" w:rsidP="008A5C11">
            <w:pPr>
              <w:jc w:val="center"/>
              <w:rPr>
                <w:color w:val="000000"/>
              </w:rPr>
            </w:pPr>
            <w:r w:rsidRPr="00060EF9">
              <w:rPr>
                <w:color w:val="000000"/>
              </w:rPr>
              <w:t>1.2.1.1.</w:t>
            </w:r>
          </w:p>
        </w:tc>
        <w:tc>
          <w:tcPr>
            <w:tcW w:w="4106" w:type="dxa"/>
            <w:shd w:val="clear" w:color="auto" w:fill="auto"/>
            <w:vAlign w:val="center"/>
            <w:hideMark/>
          </w:tcPr>
          <w:p w14:paraId="7EC4C5F4" w14:textId="77777777" w:rsidR="00A2124B" w:rsidRPr="00060EF9" w:rsidRDefault="00A2124B" w:rsidP="008A5C11">
            <w:pPr>
              <w:rPr>
                <w:color w:val="000000"/>
              </w:rPr>
            </w:pPr>
            <w:r w:rsidRPr="00060EF9">
              <w:rPr>
                <w:color w:val="000000"/>
              </w:rPr>
              <w:t>до 100 м</w:t>
            </w:r>
          </w:p>
        </w:tc>
        <w:tc>
          <w:tcPr>
            <w:tcW w:w="1775" w:type="dxa"/>
            <w:vMerge w:val="restart"/>
            <w:shd w:val="clear" w:color="auto" w:fill="auto"/>
            <w:vAlign w:val="center"/>
            <w:hideMark/>
          </w:tcPr>
          <w:p w14:paraId="5DEB1F72" w14:textId="77777777" w:rsidR="00A2124B" w:rsidRPr="00060EF9" w:rsidRDefault="00A2124B" w:rsidP="008A5C11">
            <w:pPr>
              <w:jc w:val="center"/>
              <w:rPr>
                <w:color w:val="000000"/>
              </w:rPr>
            </w:pPr>
            <w:r w:rsidRPr="00060EF9">
              <w:rPr>
                <w:color w:val="000000"/>
              </w:rPr>
              <w:t>руб.</w:t>
            </w:r>
            <w:r w:rsidRPr="00060EF9">
              <w:rPr>
                <w:color w:val="2D2D2D"/>
              </w:rPr>
              <w:t xml:space="preserve"> за 1 присоединение</w:t>
            </w:r>
          </w:p>
        </w:tc>
        <w:tc>
          <w:tcPr>
            <w:tcW w:w="2466" w:type="dxa"/>
            <w:shd w:val="clear" w:color="auto" w:fill="auto"/>
            <w:hideMark/>
          </w:tcPr>
          <w:p w14:paraId="2022315B" w14:textId="77777777" w:rsidR="00A2124B" w:rsidRPr="00060EF9" w:rsidRDefault="00A2124B" w:rsidP="008A5C11">
            <w:pPr>
              <w:ind w:left="-147" w:right="-147"/>
              <w:jc w:val="center"/>
              <w:rPr>
                <w:color w:val="000000"/>
              </w:rPr>
            </w:pPr>
            <w:r w:rsidRPr="00060EF9">
              <w:rPr>
                <w:color w:val="000000"/>
              </w:rPr>
              <w:t>14 215</w:t>
            </w:r>
          </w:p>
        </w:tc>
      </w:tr>
      <w:tr w:rsidR="00A2124B" w:rsidRPr="00060EF9" w14:paraId="3ACD9E9C" w14:textId="77777777" w:rsidTr="008A5C11">
        <w:trPr>
          <w:trHeight w:val="276"/>
        </w:trPr>
        <w:tc>
          <w:tcPr>
            <w:tcW w:w="1297" w:type="dxa"/>
            <w:shd w:val="clear" w:color="auto" w:fill="auto"/>
            <w:vAlign w:val="center"/>
            <w:hideMark/>
          </w:tcPr>
          <w:p w14:paraId="67FA0838" w14:textId="77777777" w:rsidR="00A2124B" w:rsidRPr="00060EF9" w:rsidRDefault="00A2124B" w:rsidP="008A5C11">
            <w:pPr>
              <w:jc w:val="center"/>
              <w:rPr>
                <w:color w:val="000000"/>
              </w:rPr>
            </w:pPr>
            <w:r w:rsidRPr="00060EF9">
              <w:rPr>
                <w:color w:val="000000"/>
              </w:rPr>
              <w:t>1.2.1.2.</w:t>
            </w:r>
          </w:p>
        </w:tc>
        <w:tc>
          <w:tcPr>
            <w:tcW w:w="4106" w:type="dxa"/>
            <w:shd w:val="clear" w:color="auto" w:fill="auto"/>
            <w:vAlign w:val="center"/>
            <w:hideMark/>
          </w:tcPr>
          <w:p w14:paraId="7E1A3C6F" w14:textId="77777777" w:rsidR="00A2124B" w:rsidRPr="00060EF9" w:rsidRDefault="00A2124B" w:rsidP="008A5C11">
            <w:pPr>
              <w:rPr>
                <w:color w:val="000000"/>
              </w:rPr>
            </w:pPr>
            <w:r w:rsidRPr="00060EF9">
              <w:rPr>
                <w:color w:val="000000"/>
              </w:rPr>
              <w:t>101-500 м</w:t>
            </w:r>
          </w:p>
        </w:tc>
        <w:tc>
          <w:tcPr>
            <w:tcW w:w="1775" w:type="dxa"/>
            <w:vMerge/>
            <w:vAlign w:val="center"/>
            <w:hideMark/>
          </w:tcPr>
          <w:p w14:paraId="4F8D6456" w14:textId="77777777" w:rsidR="00A2124B" w:rsidRPr="00060EF9" w:rsidRDefault="00A2124B" w:rsidP="008A5C11">
            <w:pPr>
              <w:rPr>
                <w:color w:val="000000"/>
              </w:rPr>
            </w:pPr>
          </w:p>
        </w:tc>
        <w:tc>
          <w:tcPr>
            <w:tcW w:w="2466" w:type="dxa"/>
            <w:shd w:val="clear" w:color="auto" w:fill="auto"/>
            <w:hideMark/>
          </w:tcPr>
          <w:p w14:paraId="7E4F1460" w14:textId="77777777" w:rsidR="00A2124B" w:rsidRPr="00060EF9" w:rsidRDefault="00A2124B" w:rsidP="008A5C11">
            <w:pPr>
              <w:ind w:left="-147" w:right="-147"/>
              <w:jc w:val="center"/>
              <w:rPr>
                <w:color w:val="000000"/>
              </w:rPr>
            </w:pPr>
            <w:r w:rsidRPr="00060EF9">
              <w:rPr>
                <w:color w:val="000000"/>
              </w:rPr>
              <w:t>229 655</w:t>
            </w:r>
          </w:p>
        </w:tc>
      </w:tr>
      <w:tr w:rsidR="00A2124B" w:rsidRPr="00060EF9" w14:paraId="6CB54C9C" w14:textId="77777777" w:rsidTr="008A5C11">
        <w:trPr>
          <w:trHeight w:val="276"/>
        </w:trPr>
        <w:tc>
          <w:tcPr>
            <w:tcW w:w="1297" w:type="dxa"/>
            <w:shd w:val="clear" w:color="auto" w:fill="auto"/>
            <w:vAlign w:val="center"/>
            <w:hideMark/>
          </w:tcPr>
          <w:p w14:paraId="7D4AAAB3" w14:textId="77777777" w:rsidR="00A2124B" w:rsidRPr="00060EF9" w:rsidRDefault="00A2124B" w:rsidP="008A5C11">
            <w:pPr>
              <w:jc w:val="center"/>
              <w:rPr>
                <w:color w:val="000000"/>
              </w:rPr>
            </w:pPr>
            <w:r w:rsidRPr="00060EF9">
              <w:rPr>
                <w:color w:val="000000"/>
              </w:rPr>
              <w:t>1.2.1.3.</w:t>
            </w:r>
          </w:p>
        </w:tc>
        <w:tc>
          <w:tcPr>
            <w:tcW w:w="4106" w:type="dxa"/>
            <w:shd w:val="clear" w:color="auto" w:fill="auto"/>
            <w:vAlign w:val="center"/>
            <w:hideMark/>
          </w:tcPr>
          <w:p w14:paraId="348381AD" w14:textId="77777777" w:rsidR="00A2124B" w:rsidRPr="00060EF9" w:rsidRDefault="00A2124B" w:rsidP="008A5C11">
            <w:pPr>
              <w:rPr>
                <w:color w:val="000000"/>
              </w:rPr>
            </w:pPr>
            <w:r w:rsidRPr="00060EF9">
              <w:rPr>
                <w:color w:val="000000"/>
              </w:rPr>
              <w:t>501-1000 м</w:t>
            </w:r>
          </w:p>
        </w:tc>
        <w:tc>
          <w:tcPr>
            <w:tcW w:w="1775" w:type="dxa"/>
            <w:vMerge/>
            <w:vAlign w:val="center"/>
            <w:hideMark/>
          </w:tcPr>
          <w:p w14:paraId="34128C03" w14:textId="77777777" w:rsidR="00A2124B" w:rsidRPr="00060EF9" w:rsidRDefault="00A2124B" w:rsidP="008A5C11">
            <w:pPr>
              <w:rPr>
                <w:color w:val="000000"/>
              </w:rPr>
            </w:pPr>
          </w:p>
        </w:tc>
        <w:tc>
          <w:tcPr>
            <w:tcW w:w="2466" w:type="dxa"/>
            <w:shd w:val="clear" w:color="auto" w:fill="auto"/>
            <w:hideMark/>
          </w:tcPr>
          <w:p w14:paraId="4692117A" w14:textId="77777777" w:rsidR="00A2124B" w:rsidRPr="00060EF9" w:rsidRDefault="00A2124B" w:rsidP="008A5C11">
            <w:pPr>
              <w:ind w:left="-147" w:right="-147"/>
              <w:jc w:val="center"/>
              <w:rPr>
                <w:color w:val="000000"/>
              </w:rPr>
            </w:pPr>
            <w:r w:rsidRPr="00060EF9">
              <w:rPr>
                <w:color w:val="000000"/>
              </w:rPr>
              <w:t>1 806 154</w:t>
            </w:r>
          </w:p>
        </w:tc>
      </w:tr>
      <w:tr w:rsidR="00A2124B" w:rsidRPr="00060EF9" w14:paraId="4413EF71" w14:textId="77777777" w:rsidTr="008A5C11">
        <w:trPr>
          <w:trHeight w:val="276"/>
        </w:trPr>
        <w:tc>
          <w:tcPr>
            <w:tcW w:w="1297" w:type="dxa"/>
            <w:shd w:val="clear" w:color="auto" w:fill="auto"/>
            <w:vAlign w:val="center"/>
            <w:hideMark/>
          </w:tcPr>
          <w:p w14:paraId="0248EDF8" w14:textId="77777777" w:rsidR="00A2124B" w:rsidRPr="00060EF9" w:rsidRDefault="00A2124B" w:rsidP="008A5C11">
            <w:pPr>
              <w:jc w:val="center"/>
              <w:rPr>
                <w:color w:val="000000"/>
              </w:rPr>
            </w:pPr>
            <w:r w:rsidRPr="00060EF9">
              <w:rPr>
                <w:color w:val="000000"/>
              </w:rPr>
              <w:t>1.2.1.4.</w:t>
            </w:r>
          </w:p>
        </w:tc>
        <w:tc>
          <w:tcPr>
            <w:tcW w:w="4106" w:type="dxa"/>
            <w:shd w:val="clear" w:color="auto" w:fill="auto"/>
            <w:vAlign w:val="center"/>
            <w:hideMark/>
          </w:tcPr>
          <w:p w14:paraId="42DDE8C8" w14:textId="77777777" w:rsidR="00A2124B" w:rsidRPr="00060EF9" w:rsidRDefault="00A2124B" w:rsidP="008A5C11">
            <w:pPr>
              <w:rPr>
                <w:color w:val="000000"/>
              </w:rPr>
            </w:pPr>
            <w:r w:rsidRPr="00060EF9">
              <w:rPr>
                <w:color w:val="000000"/>
              </w:rPr>
              <w:t>1001-2000 м</w:t>
            </w:r>
          </w:p>
        </w:tc>
        <w:tc>
          <w:tcPr>
            <w:tcW w:w="1775" w:type="dxa"/>
            <w:vMerge/>
            <w:vAlign w:val="center"/>
            <w:hideMark/>
          </w:tcPr>
          <w:p w14:paraId="56382882" w14:textId="77777777" w:rsidR="00A2124B" w:rsidRPr="00060EF9" w:rsidRDefault="00A2124B" w:rsidP="008A5C11">
            <w:pPr>
              <w:rPr>
                <w:color w:val="000000"/>
              </w:rPr>
            </w:pPr>
          </w:p>
        </w:tc>
        <w:tc>
          <w:tcPr>
            <w:tcW w:w="2466" w:type="dxa"/>
            <w:shd w:val="clear" w:color="auto" w:fill="auto"/>
            <w:hideMark/>
          </w:tcPr>
          <w:p w14:paraId="4376EAA1" w14:textId="77777777" w:rsidR="00A2124B" w:rsidRPr="00060EF9" w:rsidRDefault="00A2124B" w:rsidP="008A5C11">
            <w:pPr>
              <w:ind w:left="-147" w:right="-147"/>
              <w:jc w:val="center"/>
              <w:rPr>
                <w:color w:val="000000"/>
              </w:rPr>
            </w:pPr>
            <w:r w:rsidRPr="00060EF9">
              <w:rPr>
                <w:color w:val="000000"/>
              </w:rPr>
              <w:t>2 600 515</w:t>
            </w:r>
          </w:p>
        </w:tc>
      </w:tr>
      <w:tr w:rsidR="00A2124B" w:rsidRPr="00060EF9" w14:paraId="418D4AF0" w14:textId="77777777" w:rsidTr="008A5C11">
        <w:trPr>
          <w:trHeight w:val="276"/>
        </w:trPr>
        <w:tc>
          <w:tcPr>
            <w:tcW w:w="1297" w:type="dxa"/>
            <w:shd w:val="clear" w:color="auto" w:fill="auto"/>
            <w:vAlign w:val="center"/>
            <w:hideMark/>
          </w:tcPr>
          <w:p w14:paraId="4BD58A6E" w14:textId="77777777" w:rsidR="00A2124B" w:rsidRPr="00060EF9" w:rsidRDefault="00A2124B" w:rsidP="008A5C11">
            <w:pPr>
              <w:jc w:val="center"/>
              <w:rPr>
                <w:color w:val="000000"/>
              </w:rPr>
            </w:pPr>
            <w:r w:rsidRPr="00060EF9">
              <w:rPr>
                <w:color w:val="000000"/>
              </w:rPr>
              <w:t>1.2.1.5.</w:t>
            </w:r>
          </w:p>
        </w:tc>
        <w:tc>
          <w:tcPr>
            <w:tcW w:w="4106" w:type="dxa"/>
            <w:shd w:val="clear" w:color="auto" w:fill="auto"/>
            <w:vAlign w:val="center"/>
            <w:hideMark/>
          </w:tcPr>
          <w:p w14:paraId="5A2C89A2" w14:textId="77777777" w:rsidR="00A2124B" w:rsidRPr="00060EF9" w:rsidRDefault="00A2124B" w:rsidP="008A5C11">
            <w:pPr>
              <w:rPr>
                <w:color w:val="000000"/>
              </w:rPr>
            </w:pPr>
            <w:r w:rsidRPr="00060EF9">
              <w:rPr>
                <w:color w:val="000000"/>
              </w:rPr>
              <w:t>2001-3000 м</w:t>
            </w:r>
          </w:p>
        </w:tc>
        <w:tc>
          <w:tcPr>
            <w:tcW w:w="1775" w:type="dxa"/>
            <w:vMerge/>
            <w:vAlign w:val="center"/>
            <w:hideMark/>
          </w:tcPr>
          <w:p w14:paraId="79A8E65D" w14:textId="77777777" w:rsidR="00A2124B" w:rsidRPr="00060EF9" w:rsidRDefault="00A2124B" w:rsidP="008A5C11">
            <w:pPr>
              <w:rPr>
                <w:color w:val="000000"/>
              </w:rPr>
            </w:pPr>
          </w:p>
        </w:tc>
        <w:tc>
          <w:tcPr>
            <w:tcW w:w="2466" w:type="dxa"/>
            <w:shd w:val="clear" w:color="auto" w:fill="auto"/>
            <w:hideMark/>
          </w:tcPr>
          <w:p w14:paraId="5F9A67CF" w14:textId="77777777" w:rsidR="00A2124B" w:rsidRPr="00060EF9" w:rsidRDefault="00A2124B" w:rsidP="008A5C11">
            <w:pPr>
              <w:ind w:left="-147" w:right="-147"/>
              <w:jc w:val="center"/>
              <w:rPr>
                <w:color w:val="000000"/>
              </w:rPr>
            </w:pPr>
            <w:r w:rsidRPr="00060EF9">
              <w:rPr>
                <w:color w:val="000000"/>
              </w:rPr>
              <w:t>3 537 683</w:t>
            </w:r>
          </w:p>
        </w:tc>
      </w:tr>
      <w:tr w:rsidR="00A2124B" w:rsidRPr="00060EF9" w14:paraId="111FFB25" w14:textId="77777777" w:rsidTr="008A5C11">
        <w:trPr>
          <w:trHeight w:val="276"/>
        </w:trPr>
        <w:tc>
          <w:tcPr>
            <w:tcW w:w="1297" w:type="dxa"/>
            <w:shd w:val="clear" w:color="auto" w:fill="auto"/>
            <w:vAlign w:val="center"/>
            <w:hideMark/>
          </w:tcPr>
          <w:p w14:paraId="6480B1C0" w14:textId="77777777" w:rsidR="00A2124B" w:rsidRPr="00060EF9" w:rsidRDefault="00A2124B" w:rsidP="008A5C11">
            <w:pPr>
              <w:jc w:val="center"/>
              <w:rPr>
                <w:color w:val="000000"/>
              </w:rPr>
            </w:pPr>
            <w:r w:rsidRPr="00060EF9">
              <w:rPr>
                <w:color w:val="000000"/>
              </w:rPr>
              <w:t>1.2.1.6.</w:t>
            </w:r>
          </w:p>
        </w:tc>
        <w:tc>
          <w:tcPr>
            <w:tcW w:w="4106" w:type="dxa"/>
            <w:shd w:val="clear" w:color="auto" w:fill="auto"/>
            <w:vAlign w:val="center"/>
            <w:hideMark/>
          </w:tcPr>
          <w:p w14:paraId="3830076A" w14:textId="77777777" w:rsidR="00A2124B" w:rsidRPr="00060EF9" w:rsidRDefault="00A2124B" w:rsidP="008A5C11">
            <w:pPr>
              <w:rPr>
                <w:color w:val="000000"/>
              </w:rPr>
            </w:pPr>
            <w:r w:rsidRPr="00060EF9">
              <w:rPr>
                <w:color w:val="000000"/>
              </w:rPr>
              <w:t>3001-4000 м</w:t>
            </w:r>
          </w:p>
        </w:tc>
        <w:tc>
          <w:tcPr>
            <w:tcW w:w="1775" w:type="dxa"/>
            <w:vMerge/>
            <w:vAlign w:val="center"/>
            <w:hideMark/>
          </w:tcPr>
          <w:p w14:paraId="2599403B" w14:textId="77777777" w:rsidR="00A2124B" w:rsidRPr="00060EF9" w:rsidRDefault="00A2124B" w:rsidP="008A5C11">
            <w:pPr>
              <w:rPr>
                <w:color w:val="000000"/>
              </w:rPr>
            </w:pPr>
          </w:p>
        </w:tc>
        <w:tc>
          <w:tcPr>
            <w:tcW w:w="2466" w:type="dxa"/>
            <w:shd w:val="clear" w:color="auto" w:fill="auto"/>
            <w:hideMark/>
          </w:tcPr>
          <w:p w14:paraId="0341DF4B" w14:textId="77777777" w:rsidR="00A2124B" w:rsidRPr="00060EF9" w:rsidRDefault="00A2124B" w:rsidP="008A5C11">
            <w:pPr>
              <w:ind w:left="-147" w:right="-147"/>
              <w:jc w:val="center"/>
              <w:rPr>
                <w:color w:val="000000"/>
              </w:rPr>
            </w:pPr>
            <w:r w:rsidRPr="00060EF9">
              <w:rPr>
                <w:color w:val="000000"/>
              </w:rPr>
              <w:t>4 364 366</w:t>
            </w:r>
          </w:p>
        </w:tc>
      </w:tr>
      <w:tr w:rsidR="00A2124B" w:rsidRPr="00060EF9" w14:paraId="43C04114" w14:textId="77777777" w:rsidTr="008A5C11">
        <w:trPr>
          <w:trHeight w:val="276"/>
        </w:trPr>
        <w:tc>
          <w:tcPr>
            <w:tcW w:w="1297" w:type="dxa"/>
            <w:shd w:val="clear" w:color="auto" w:fill="auto"/>
            <w:vAlign w:val="center"/>
            <w:hideMark/>
          </w:tcPr>
          <w:p w14:paraId="12F26515" w14:textId="77777777" w:rsidR="00A2124B" w:rsidRPr="00060EF9" w:rsidRDefault="00A2124B" w:rsidP="008A5C11">
            <w:pPr>
              <w:jc w:val="center"/>
              <w:rPr>
                <w:color w:val="000000"/>
              </w:rPr>
            </w:pPr>
            <w:r w:rsidRPr="00060EF9">
              <w:rPr>
                <w:color w:val="000000"/>
              </w:rPr>
              <w:t>1.2.1.7.</w:t>
            </w:r>
          </w:p>
        </w:tc>
        <w:tc>
          <w:tcPr>
            <w:tcW w:w="4106" w:type="dxa"/>
            <w:shd w:val="clear" w:color="auto" w:fill="auto"/>
            <w:vAlign w:val="center"/>
            <w:hideMark/>
          </w:tcPr>
          <w:p w14:paraId="781C884E" w14:textId="77777777" w:rsidR="00A2124B" w:rsidRPr="00060EF9" w:rsidRDefault="00A2124B" w:rsidP="008A5C11">
            <w:pPr>
              <w:rPr>
                <w:color w:val="000000"/>
              </w:rPr>
            </w:pPr>
            <w:r w:rsidRPr="00060EF9">
              <w:rPr>
                <w:color w:val="000000"/>
              </w:rPr>
              <w:t>4001-5000 м</w:t>
            </w:r>
          </w:p>
        </w:tc>
        <w:tc>
          <w:tcPr>
            <w:tcW w:w="1775" w:type="dxa"/>
            <w:vMerge/>
            <w:vAlign w:val="center"/>
            <w:hideMark/>
          </w:tcPr>
          <w:p w14:paraId="79A60295" w14:textId="77777777" w:rsidR="00A2124B" w:rsidRPr="00060EF9" w:rsidRDefault="00A2124B" w:rsidP="008A5C11">
            <w:pPr>
              <w:rPr>
                <w:color w:val="000000"/>
              </w:rPr>
            </w:pPr>
          </w:p>
        </w:tc>
        <w:tc>
          <w:tcPr>
            <w:tcW w:w="2466" w:type="dxa"/>
            <w:shd w:val="clear" w:color="auto" w:fill="auto"/>
            <w:hideMark/>
          </w:tcPr>
          <w:p w14:paraId="70BDFDD8" w14:textId="77777777" w:rsidR="00A2124B" w:rsidRPr="00060EF9" w:rsidRDefault="00A2124B" w:rsidP="008A5C11">
            <w:pPr>
              <w:ind w:left="-147" w:right="-147"/>
              <w:jc w:val="center"/>
              <w:rPr>
                <w:color w:val="000000"/>
              </w:rPr>
            </w:pPr>
            <w:r w:rsidRPr="00060EF9">
              <w:rPr>
                <w:color w:val="000000"/>
              </w:rPr>
              <w:t>5 196 976</w:t>
            </w:r>
          </w:p>
        </w:tc>
      </w:tr>
      <w:tr w:rsidR="00A2124B" w:rsidRPr="00060EF9" w14:paraId="516276D7" w14:textId="77777777" w:rsidTr="008A5C11">
        <w:trPr>
          <w:trHeight w:val="276"/>
        </w:trPr>
        <w:tc>
          <w:tcPr>
            <w:tcW w:w="1297" w:type="dxa"/>
            <w:shd w:val="clear" w:color="auto" w:fill="auto"/>
            <w:vAlign w:val="center"/>
            <w:hideMark/>
          </w:tcPr>
          <w:p w14:paraId="418D6E9D" w14:textId="77777777" w:rsidR="00A2124B" w:rsidRPr="00060EF9" w:rsidRDefault="00A2124B" w:rsidP="008A5C11">
            <w:pPr>
              <w:jc w:val="center"/>
              <w:rPr>
                <w:color w:val="000000"/>
              </w:rPr>
            </w:pPr>
            <w:r w:rsidRPr="00060EF9">
              <w:rPr>
                <w:color w:val="000000"/>
              </w:rPr>
              <w:t>1.2.1.8.</w:t>
            </w:r>
          </w:p>
        </w:tc>
        <w:tc>
          <w:tcPr>
            <w:tcW w:w="4106" w:type="dxa"/>
            <w:shd w:val="clear" w:color="auto" w:fill="auto"/>
            <w:vAlign w:val="center"/>
            <w:hideMark/>
          </w:tcPr>
          <w:p w14:paraId="69D94869" w14:textId="77777777" w:rsidR="00A2124B" w:rsidRPr="00060EF9" w:rsidRDefault="00A2124B" w:rsidP="008A5C11">
            <w:pPr>
              <w:rPr>
                <w:color w:val="000000"/>
              </w:rPr>
            </w:pPr>
            <w:r w:rsidRPr="00060EF9">
              <w:rPr>
                <w:color w:val="000000"/>
              </w:rPr>
              <w:t>5001 м и более</w:t>
            </w:r>
          </w:p>
        </w:tc>
        <w:tc>
          <w:tcPr>
            <w:tcW w:w="1775" w:type="dxa"/>
            <w:vMerge/>
            <w:vAlign w:val="center"/>
            <w:hideMark/>
          </w:tcPr>
          <w:p w14:paraId="4FBBDA02" w14:textId="77777777" w:rsidR="00A2124B" w:rsidRPr="00060EF9" w:rsidRDefault="00A2124B" w:rsidP="008A5C11">
            <w:pPr>
              <w:rPr>
                <w:color w:val="000000"/>
              </w:rPr>
            </w:pPr>
          </w:p>
        </w:tc>
        <w:tc>
          <w:tcPr>
            <w:tcW w:w="2466" w:type="dxa"/>
            <w:shd w:val="clear" w:color="auto" w:fill="auto"/>
            <w:hideMark/>
          </w:tcPr>
          <w:p w14:paraId="74A74DD9" w14:textId="77777777" w:rsidR="00A2124B" w:rsidRPr="00060EF9" w:rsidRDefault="00A2124B" w:rsidP="008A5C11">
            <w:pPr>
              <w:ind w:left="-147" w:right="-147"/>
              <w:jc w:val="center"/>
              <w:rPr>
                <w:color w:val="000000"/>
              </w:rPr>
            </w:pPr>
            <w:r w:rsidRPr="00060EF9">
              <w:rPr>
                <w:color w:val="000000"/>
              </w:rPr>
              <w:t>5 507 079</w:t>
            </w:r>
          </w:p>
        </w:tc>
      </w:tr>
      <w:tr w:rsidR="00A2124B" w:rsidRPr="00060EF9" w14:paraId="5EA41033" w14:textId="77777777" w:rsidTr="008A5C11">
        <w:trPr>
          <w:trHeight w:val="248"/>
        </w:trPr>
        <w:tc>
          <w:tcPr>
            <w:tcW w:w="1297" w:type="dxa"/>
            <w:shd w:val="clear" w:color="auto" w:fill="auto"/>
            <w:vAlign w:val="center"/>
            <w:hideMark/>
          </w:tcPr>
          <w:p w14:paraId="4975FD6E" w14:textId="77777777" w:rsidR="00A2124B" w:rsidRPr="00060EF9" w:rsidRDefault="00A2124B" w:rsidP="008A5C11">
            <w:pPr>
              <w:jc w:val="center"/>
              <w:rPr>
                <w:color w:val="000000"/>
              </w:rPr>
            </w:pPr>
            <w:r w:rsidRPr="00060EF9">
              <w:rPr>
                <w:color w:val="000000"/>
              </w:rPr>
              <w:t>1.2.2.</w:t>
            </w:r>
          </w:p>
        </w:tc>
        <w:tc>
          <w:tcPr>
            <w:tcW w:w="8347" w:type="dxa"/>
            <w:gridSpan w:val="3"/>
            <w:shd w:val="clear" w:color="auto" w:fill="auto"/>
            <w:vAlign w:val="center"/>
            <w:hideMark/>
          </w:tcPr>
          <w:p w14:paraId="4E88514F" w14:textId="77777777" w:rsidR="00A2124B" w:rsidRPr="00060EF9" w:rsidRDefault="00A2124B" w:rsidP="008A5C11">
            <w:pPr>
              <w:rPr>
                <w:color w:val="000000"/>
              </w:rPr>
            </w:pPr>
            <w:r w:rsidRPr="00060EF9">
              <w:rPr>
                <w:color w:val="000000"/>
              </w:rPr>
              <w:t>наружным диаметром 100 мм и более, протяженностью:</w:t>
            </w:r>
          </w:p>
        </w:tc>
      </w:tr>
      <w:tr w:rsidR="00A2124B" w:rsidRPr="00060EF9" w14:paraId="47AE207E" w14:textId="77777777" w:rsidTr="008A5C11">
        <w:trPr>
          <w:trHeight w:val="276"/>
        </w:trPr>
        <w:tc>
          <w:tcPr>
            <w:tcW w:w="1297" w:type="dxa"/>
            <w:shd w:val="clear" w:color="auto" w:fill="auto"/>
            <w:vAlign w:val="center"/>
            <w:hideMark/>
          </w:tcPr>
          <w:p w14:paraId="570E5FD3" w14:textId="77777777" w:rsidR="00A2124B" w:rsidRPr="00060EF9" w:rsidRDefault="00A2124B" w:rsidP="008A5C11">
            <w:pPr>
              <w:jc w:val="center"/>
              <w:rPr>
                <w:color w:val="000000"/>
              </w:rPr>
            </w:pPr>
            <w:r w:rsidRPr="00060EF9">
              <w:rPr>
                <w:color w:val="000000"/>
              </w:rPr>
              <w:t>1.2.2.1.</w:t>
            </w:r>
          </w:p>
        </w:tc>
        <w:tc>
          <w:tcPr>
            <w:tcW w:w="4106" w:type="dxa"/>
            <w:shd w:val="clear" w:color="auto" w:fill="auto"/>
            <w:vAlign w:val="center"/>
            <w:hideMark/>
          </w:tcPr>
          <w:p w14:paraId="5D7EFFB0" w14:textId="77777777" w:rsidR="00A2124B" w:rsidRPr="00060EF9" w:rsidRDefault="00A2124B" w:rsidP="008A5C11">
            <w:pPr>
              <w:rPr>
                <w:color w:val="000000"/>
              </w:rPr>
            </w:pPr>
            <w:r w:rsidRPr="00060EF9">
              <w:rPr>
                <w:color w:val="000000"/>
              </w:rPr>
              <w:t>до 100 м</w:t>
            </w:r>
          </w:p>
        </w:tc>
        <w:tc>
          <w:tcPr>
            <w:tcW w:w="1775" w:type="dxa"/>
            <w:vMerge w:val="restart"/>
            <w:shd w:val="clear" w:color="auto" w:fill="auto"/>
            <w:vAlign w:val="center"/>
            <w:hideMark/>
          </w:tcPr>
          <w:p w14:paraId="6C23DB33" w14:textId="77777777" w:rsidR="00A2124B" w:rsidRPr="00060EF9" w:rsidRDefault="00A2124B" w:rsidP="008A5C11">
            <w:pPr>
              <w:jc w:val="center"/>
              <w:rPr>
                <w:color w:val="000000"/>
              </w:rPr>
            </w:pPr>
            <w:r w:rsidRPr="00060EF9">
              <w:rPr>
                <w:color w:val="000000"/>
              </w:rPr>
              <w:t>руб.</w:t>
            </w:r>
            <w:r w:rsidRPr="00060EF9">
              <w:rPr>
                <w:color w:val="2D2D2D"/>
              </w:rPr>
              <w:t xml:space="preserve"> за 1 присоединение</w:t>
            </w:r>
          </w:p>
        </w:tc>
        <w:tc>
          <w:tcPr>
            <w:tcW w:w="2466" w:type="dxa"/>
            <w:shd w:val="clear" w:color="auto" w:fill="auto"/>
            <w:hideMark/>
          </w:tcPr>
          <w:p w14:paraId="369D32AE" w14:textId="77777777" w:rsidR="00A2124B" w:rsidRPr="00060EF9" w:rsidRDefault="00A2124B" w:rsidP="008A5C11">
            <w:pPr>
              <w:ind w:left="-147" w:right="-147"/>
              <w:jc w:val="center"/>
              <w:rPr>
                <w:color w:val="000000"/>
              </w:rPr>
            </w:pPr>
            <w:r w:rsidRPr="00060EF9">
              <w:rPr>
                <w:color w:val="000000"/>
              </w:rPr>
              <w:t>386 234</w:t>
            </w:r>
          </w:p>
        </w:tc>
      </w:tr>
      <w:tr w:rsidR="00A2124B" w:rsidRPr="00060EF9" w14:paraId="1AE6304B" w14:textId="77777777" w:rsidTr="008A5C11">
        <w:trPr>
          <w:trHeight w:val="276"/>
        </w:trPr>
        <w:tc>
          <w:tcPr>
            <w:tcW w:w="1297" w:type="dxa"/>
            <w:shd w:val="clear" w:color="auto" w:fill="auto"/>
            <w:vAlign w:val="center"/>
            <w:hideMark/>
          </w:tcPr>
          <w:p w14:paraId="7E214F19" w14:textId="77777777" w:rsidR="00A2124B" w:rsidRPr="00060EF9" w:rsidRDefault="00A2124B" w:rsidP="008A5C11">
            <w:pPr>
              <w:jc w:val="center"/>
              <w:rPr>
                <w:color w:val="000000"/>
              </w:rPr>
            </w:pPr>
            <w:r w:rsidRPr="00060EF9">
              <w:rPr>
                <w:color w:val="000000"/>
              </w:rPr>
              <w:t>1.2.2.2.</w:t>
            </w:r>
          </w:p>
        </w:tc>
        <w:tc>
          <w:tcPr>
            <w:tcW w:w="4106" w:type="dxa"/>
            <w:shd w:val="clear" w:color="auto" w:fill="auto"/>
            <w:vAlign w:val="center"/>
            <w:hideMark/>
          </w:tcPr>
          <w:p w14:paraId="5EE45D4E" w14:textId="77777777" w:rsidR="00A2124B" w:rsidRPr="00060EF9" w:rsidRDefault="00A2124B" w:rsidP="008A5C11">
            <w:pPr>
              <w:rPr>
                <w:color w:val="000000"/>
              </w:rPr>
            </w:pPr>
            <w:r w:rsidRPr="00060EF9">
              <w:rPr>
                <w:color w:val="000000"/>
              </w:rPr>
              <w:t>101-500 м</w:t>
            </w:r>
          </w:p>
        </w:tc>
        <w:tc>
          <w:tcPr>
            <w:tcW w:w="1775" w:type="dxa"/>
            <w:vMerge/>
            <w:vAlign w:val="center"/>
            <w:hideMark/>
          </w:tcPr>
          <w:p w14:paraId="79DC5079" w14:textId="77777777" w:rsidR="00A2124B" w:rsidRPr="00060EF9" w:rsidRDefault="00A2124B" w:rsidP="008A5C11">
            <w:pPr>
              <w:rPr>
                <w:color w:val="000000"/>
              </w:rPr>
            </w:pPr>
          </w:p>
        </w:tc>
        <w:tc>
          <w:tcPr>
            <w:tcW w:w="2466" w:type="dxa"/>
            <w:shd w:val="clear" w:color="auto" w:fill="auto"/>
            <w:hideMark/>
          </w:tcPr>
          <w:p w14:paraId="14083BAE" w14:textId="77777777" w:rsidR="00A2124B" w:rsidRPr="00060EF9" w:rsidRDefault="00A2124B" w:rsidP="008A5C11">
            <w:pPr>
              <w:ind w:left="-147" w:right="-147"/>
              <w:jc w:val="center"/>
              <w:rPr>
                <w:color w:val="000000"/>
              </w:rPr>
            </w:pPr>
            <w:r w:rsidRPr="00060EF9">
              <w:rPr>
                <w:color w:val="000000"/>
              </w:rPr>
              <w:t>388 288</w:t>
            </w:r>
          </w:p>
        </w:tc>
      </w:tr>
      <w:tr w:rsidR="00A2124B" w:rsidRPr="00060EF9" w14:paraId="24C617AE" w14:textId="77777777" w:rsidTr="008A5C11">
        <w:trPr>
          <w:trHeight w:val="276"/>
        </w:trPr>
        <w:tc>
          <w:tcPr>
            <w:tcW w:w="1297" w:type="dxa"/>
            <w:shd w:val="clear" w:color="auto" w:fill="auto"/>
            <w:vAlign w:val="center"/>
            <w:hideMark/>
          </w:tcPr>
          <w:p w14:paraId="0BD77BED" w14:textId="77777777" w:rsidR="00A2124B" w:rsidRPr="00060EF9" w:rsidRDefault="00A2124B" w:rsidP="008A5C11">
            <w:pPr>
              <w:jc w:val="center"/>
              <w:rPr>
                <w:color w:val="000000"/>
              </w:rPr>
            </w:pPr>
            <w:r w:rsidRPr="00060EF9">
              <w:rPr>
                <w:color w:val="000000"/>
              </w:rPr>
              <w:t>1.2.2.3.</w:t>
            </w:r>
          </w:p>
        </w:tc>
        <w:tc>
          <w:tcPr>
            <w:tcW w:w="4106" w:type="dxa"/>
            <w:shd w:val="clear" w:color="auto" w:fill="auto"/>
            <w:vAlign w:val="center"/>
            <w:hideMark/>
          </w:tcPr>
          <w:p w14:paraId="64B9DBEF" w14:textId="77777777" w:rsidR="00A2124B" w:rsidRPr="00060EF9" w:rsidRDefault="00A2124B" w:rsidP="008A5C11">
            <w:pPr>
              <w:rPr>
                <w:color w:val="000000"/>
              </w:rPr>
            </w:pPr>
            <w:r w:rsidRPr="00060EF9">
              <w:rPr>
                <w:color w:val="000000"/>
              </w:rPr>
              <w:t>501-1000 м</w:t>
            </w:r>
          </w:p>
        </w:tc>
        <w:tc>
          <w:tcPr>
            <w:tcW w:w="1775" w:type="dxa"/>
            <w:vMerge/>
            <w:vAlign w:val="center"/>
            <w:hideMark/>
          </w:tcPr>
          <w:p w14:paraId="49373970" w14:textId="77777777" w:rsidR="00A2124B" w:rsidRPr="00060EF9" w:rsidRDefault="00A2124B" w:rsidP="008A5C11">
            <w:pPr>
              <w:rPr>
                <w:color w:val="000000"/>
              </w:rPr>
            </w:pPr>
          </w:p>
        </w:tc>
        <w:tc>
          <w:tcPr>
            <w:tcW w:w="2466" w:type="dxa"/>
            <w:shd w:val="clear" w:color="auto" w:fill="auto"/>
            <w:hideMark/>
          </w:tcPr>
          <w:p w14:paraId="66A360D1" w14:textId="77777777" w:rsidR="00A2124B" w:rsidRPr="00060EF9" w:rsidRDefault="00A2124B" w:rsidP="008A5C11">
            <w:pPr>
              <w:ind w:left="-147" w:right="-147"/>
              <w:jc w:val="center"/>
              <w:rPr>
                <w:color w:val="000000"/>
              </w:rPr>
            </w:pPr>
            <w:r w:rsidRPr="00060EF9">
              <w:rPr>
                <w:color w:val="000000"/>
              </w:rPr>
              <w:t>1 806 154</w:t>
            </w:r>
          </w:p>
        </w:tc>
      </w:tr>
      <w:tr w:rsidR="00A2124B" w:rsidRPr="00060EF9" w14:paraId="14145796" w14:textId="77777777" w:rsidTr="008A5C11">
        <w:trPr>
          <w:trHeight w:val="276"/>
        </w:trPr>
        <w:tc>
          <w:tcPr>
            <w:tcW w:w="1297" w:type="dxa"/>
            <w:shd w:val="clear" w:color="auto" w:fill="auto"/>
            <w:vAlign w:val="center"/>
            <w:hideMark/>
          </w:tcPr>
          <w:p w14:paraId="5E873B50" w14:textId="77777777" w:rsidR="00A2124B" w:rsidRPr="00060EF9" w:rsidRDefault="00A2124B" w:rsidP="008A5C11">
            <w:pPr>
              <w:jc w:val="center"/>
              <w:rPr>
                <w:color w:val="000000"/>
              </w:rPr>
            </w:pPr>
            <w:r w:rsidRPr="00060EF9">
              <w:rPr>
                <w:color w:val="000000"/>
              </w:rPr>
              <w:t>1.2.2.4.</w:t>
            </w:r>
          </w:p>
        </w:tc>
        <w:tc>
          <w:tcPr>
            <w:tcW w:w="4106" w:type="dxa"/>
            <w:shd w:val="clear" w:color="auto" w:fill="auto"/>
            <w:vAlign w:val="center"/>
            <w:hideMark/>
          </w:tcPr>
          <w:p w14:paraId="04FB4262" w14:textId="77777777" w:rsidR="00A2124B" w:rsidRPr="00060EF9" w:rsidRDefault="00A2124B" w:rsidP="008A5C11">
            <w:pPr>
              <w:rPr>
                <w:color w:val="000000"/>
              </w:rPr>
            </w:pPr>
            <w:r w:rsidRPr="00060EF9">
              <w:rPr>
                <w:color w:val="000000"/>
              </w:rPr>
              <w:t>1001-2000 м</w:t>
            </w:r>
          </w:p>
        </w:tc>
        <w:tc>
          <w:tcPr>
            <w:tcW w:w="1775" w:type="dxa"/>
            <w:vMerge/>
            <w:vAlign w:val="center"/>
            <w:hideMark/>
          </w:tcPr>
          <w:p w14:paraId="362E66AB" w14:textId="77777777" w:rsidR="00A2124B" w:rsidRPr="00060EF9" w:rsidRDefault="00A2124B" w:rsidP="008A5C11">
            <w:pPr>
              <w:rPr>
                <w:color w:val="000000"/>
              </w:rPr>
            </w:pPr>
          </w:p>
        </w:tc>
        <w:tc>
          <w:tcPr>
            <w:tcW w:w="2466" w:type="dxa"/>
            <w:shd w:val="clear" w:color="auto" w:fill="auto"/>
            <w:hideMark/>
          </w:tcPr>
          <w:p w14:paraId="2D258963" w14:textId="77777777" w:rsidR="00A2124B" w:rsidRPr="00060EF9" w:rsidRDefault="00A2124B" w:rsidP="008A5C11">
            <w:pPr>
              <w:ind w:left="-147" w:right="-147"/>
              <w:jc w:val="center"/>
              <w:rPr>
                <w:color w:val="000000"/>
              </w:rPr>
            </w:pPr>
            <w:r w:rsidRPr="00060EF9">
              <w:rPr>
                <w:color w:val="000000"/>
              </w:rPr>
              <w:t>2 600 515</w:t>
            </w:r>
          </w:p>
        </w:tc>
      </w:tr>
      <w:tr w:rsidR="00A2124B" w:rsidRPr="00060EF9" w14:paraId="4E93DC18" w14:textId="77777777" w:rsidTr="008A5C11">
        <w:trPr>
          <w:trHeight w:val="276"/>
        </w:trPr>
        <w:tc>
          <w:tcPr>
            <w:tcW w:w="1297" w:type="dxa"/>
            <w:shd w:val="clear" w:color="auto" w:fill="auto"/>
            <w:vAlign w:val="center"/>
            <w:hideMark/>
          </w:tcPr>
          <w:p w14:paraId="6B70C6F1" w14:textId="77777777" w:rsidR="00A2124B" w:rsidRPr="00060EF9" w:rsidRDefault="00A2124B" w:rsidP="008A5C11">
            <w:pPr>
              <w:jc w:val="center"/>
              <w:rPr>
                <w:color w:val="000000"/>
              </w:rPr>
            </w:pPr>
            <w:r w:rsidRPr="00060EF9">
              <w:rPr>
                <w:color w:val="000000"/>
              </w:rPr>
              <w:t>1.2.2.5.</w:t>
            </w:r>
          </w:p>
        </w:tc>
        <w:tc>
          <w:tcPr>
            <w:tcW w:w="4106" w:type="dxa"/>
            <w:shd w:val="clear" w:color="auto" w:fill="auto"/>
            <w:vAlign w:val="center"/>
            <w:hideMark/>
          </w:tcPr>
          <w:p w14:paraId="608D0741" w14:textId="77777777" w:rsidR="00A2124B" w:rsidRPr="00060EF9" w:rsidRDefault="00A2124B" w:rsidP="008A5C11">
            <w:pPr>
              <w:rPr>
                <w:color w:val="000000"/>
              </w:rPr>
            </w:pPr>
            <w:r w:rsidRPr="00060EF9">
              <w:rPr>
                <w:color w:val="000000"/>
              </w:rPr>
              <w:t>2001-3000 м</w:t>
            </w:r>
          </w:p>
        </w:tc>
        <w:tc>
          <w:tcPr>
            <w:tcW w:w="1775" w:type="dxa"/>
            <w:vMerge/>
            <w:vAlign w:val="center"/>
            <w:hideMark/>
          </w:tcPr>
          <w:p w14:paraId="1D5C449F" w14:textId="77777777" w:rsidR="00A2124B" w:rsidRPr="00060EF9" w:rsidRDefault="00A2124B" w:rsidP="008A5C11">
            <w:pPr>
              <w:rPr>
                <w:color w:val="000000"/>
              </w:rPr>
            </w:pPr>
          </w:p>
        </w:tc>
        <w:tc>
          <w:tcPr>
            <w:tcW w:w="2466" w:type="dxa"/>
            <w:shd w:val="clear" w:color="auto" w:fill="auto"/>
            <w:hideMark/>
          </w:tcPr>
          <w:p w14:paraId="77C152D6" w14:textId="77777777" w:rsidR="00A2124B" w:rsidRPr="00060EF9" w:rsidRDefault="00A2124B" w:rsidP="008A5C11">
            <w:pPr>
              <w:ind w:left="-147" w:right="-147"/>
              <w:jc w:val="center"/>
              <w:rPr>
                <w:color w:val="000000"/>
              </w:rPr>
            </w:pPr>
            <w:r w:rsidRPr="00060EF9">
              <w:rPr>
                <w:color w:val="000000"/>
              </w:rPr>
              <w:t>3 537 683</w:t>
            </w:r>
          </w:p>
        </w:tc>
      </w:tr>
      <w:tr w:rsidR="00A2124B" w:rsidRPr="00060EF9" w14:paraId="39ADA960" w14:textId="77777777" w:rsidTr="008A5C11">
        <w:trPr>
          <w:trHeight w:val="276"/>
        </w:trPr>
        <w:tc>
          <w:tcPr>
            <w:tcW w:w="1297" w:type="dxa"/>
            <w:shd w:val="clear" w:color="auto" w:fill="auto"/>
            <w:vAlign w:val="center"/>
            <w:hideMark/>
          </w:tcPr>
          <w:p w14:paraId="196F6468" w14:textId="77777777" w:rsidR="00A2124B" w:rsidRPr="00060EF9" w:rsidRDefault="00A2124B" w:rsidP="008A5C11">
            <w:pPr>
              <w:jc w:val="center"/>
              <w:rPr>
                <w:color w:val="000000"/>
              </w:rPr>
            </w:pPr>
            <w:r w:rsidRPr="00060EF9">
              <w:rPr>
                <w:color w:val="000000"/>
              </w:rPr>
              <w:t>1.2.2.6.</w:t>
            </w:r>
          </w:p>
        </w:tc>
        <w:tc>
          <w:tcPr>
            <w:tcW w:w="4106" w:type="dxa"/>
            <w:shd w:val="clear" w:color="auto" w:fill="auto"/>
            <w:vAlign w:val="center"/>
            <w:hideMark/>
          </w:tcPr>
          <w:p w14:paraId="616B9B88" w14:textId="77777777" w:rsidR="00A2124B" w:rsidRPr="00060EF9" w:rsidRDefault="00A2124B" w:rsidP="008A5C11">
            <w:pPr>
              <w:rPr>
                <w:color w:val="000000"/>
              </w:rPr>
            </w:pPr>
            <w:r w:rsidRPr="00060EF9">
              <w:rPr>
                <w:color w:val="000000"/>
              </w:rPr>
              <w:t>3001-4000 м</w:t>
            </w:r>
          </w:p>
        </w:tc>
        <w:tc>
          <w:tcPr>
            <w:tcW w:w="1775" w:type="dxa"/>
            <w:vMerge/>
            <w:vAlign w:val="center"/>
            <w:hideMark/>
          </w:tcPr>
          <w:p w14:paraId="783AA19F" w14:textId="77777777" w:rsidR="00A2124B" w:rsidRPr="00060EF9" w:rsidRDefault="00A2124B" w:rsidP="008A5C11">
            <w:pPr>
              <w:rPr>
                <w:color w:val="000000"/>
              </w:rPr>
            </w:pPr>
          </w:p>
        </w:tc>
        <w:tc>
          <w:tcPr>
            <w:tcW w:w="2466" w:type="dxa"/>
            <w:shd w:val="clear" w:color="auto" w:fill="auto"/>
            <w:hideMark/>
          </w:tcPr>
          <w:p w14:paraId="7C573C35" w14:textId="77777777" w:rsidR="00A2124B" w:rsidRPr="00060EF9" w:rsidRDefault="00A2124B" w:rsidP="008A5C11">
            <w:pPr>
              <w:ind w:left="-147" w:right="-147"/>
              <w:jc w:val="center"/>
              <w:rPr>
                <w:color w:val="000000"/>
              </w:rPr>
            </w:pPr>
            <w:r w:rsidRPr="00060EF9">
              <w:rPr>
                <w:color w:val="000000"/>
              </w:rPr>
              <w:t>4 364 366</w:t>
            </w:r>
          </w:p>
        </w:tc>
      </w:tr>
      <w:tr w:rsidR="00A2124B" w:rsidRPr="00060EF9" w14:paraId="106F12C4" w14:textId="77777777" w:rsidTr="008A5C11">
        <w:trPr>
          <w:trHeight w:val="276"/>
        </w:trPr>
        <w:tc>
          <w:tcPr>
            <w:tcW w:w="1297" w:type="dxa"/>
            <w:shd w:val="clear" w:color="auto" w:fill="auto"/>
            <w:vAlign w:val="center"/>
            <w:hideMark/>
          </w:tcPr>
          <w:p w14:paraId="5647A5E9" w14:textId="77777777" w:rsidR="00A2124B" w:rsidRPr="00060EF9" w:rsidRDefault="00A2124B" w:rsidP="008A5C11">
            <w:pPr>
              <w:jc w:val="center"/>
              <w:rPr>
                <w:color w:val="000000"/>
              </w:rPr>
            </w:pPr>
            <w:r w:rsidRPr="00060EF9">
              <w:rPr>
                <w:color w:val="000000"/>
              </w:rPr>
              <w:t>1.2.2.7.</w:t>
            </w:r>
          </w:p>
        </w:tc>
        <w:tc>
          <w:tcPr>
            <w:tcW w:w="4106" w:type="dxa"/>
            <w:shd w:val="clear" w:color="auto" w:fill="auto"/>
            <w:vAlign w:val="center"/>
            <w:hideMark/>
          </w:tcPr>
          <w:p w14:paraId="15B4B3EA" w14:textId="77777777" w:rsidR="00A2124B" w:rsidRPr="00060EF9" w:rsidRDefault="00A2124B" w:rsidP="008A5C11">
            <w:pPr>
              <w:rPr>
                <w:color w:val="000000"/>
              </w:rPr>
            </w:pPr>
            <w:r w:rsidRPr="00060EF9">
              <w:rPr>
                <w:color w:val="000000"/>
              </w:rPr>
              <w:t>4001-5000 м</w:t>
            </w:r>
          </w:p>
        </w:tc>
        <w:tc>
          <w:tcPr>
            <w:tcW w:w="1775" w:type="dxa"/>
            <w:vMerge/>
            <w:vAlign w:val="center"/>
            <w:hideMark/>
          </w:tcPr>
          <w:p w14:paraId="5066CA6F" w14:textId="77777777" w:rsidR="00A2124B" w:rsidRPr="00060EF9" w:rsidRDefault="00A2124B" w:rsidP="008A5C11">
            <w:pPr>
              <w:rPr>
                <w:color w:val="000000"/>
              </w:rPr>
            </w:pPr>
          </w:p>
        </w:tc>
        <w:tc>
          <w:tcPr>
            <w:tcW w:w="2466" w:type="dxa"/>
            <w:shd w:val="clear" w:color="auto" w:fill="auto"/>
            <w:hideMark/>
          </w:tcPr>
          <w:p w14:paraId="1270E788" w14:textId="77777777" w:rsidR="00A2124B" w:rsidRPr="00060EF9" w:rsidRDefault="00A2124B" w:rsidP="008A5C11">
            <w:pPr>
              <w:ind w:left="-147" w:right="-147"/>
              <w:jc w:val="center"/>
              <w:rPr>
                <w:color w:val="000000"/>
              </w:rPr>
            </w:pPr>
            <w:r w:rsidRPr="00060EF9">
              <w:rPr>
                <w:color w:val="000000"/>
              </w:rPr>
              <w:t>5 196 976</w:t>
            </w:r>
          </w:p>
        </w:tc>
      </w:tr>
      <w:tr w:rsidR="00A2124B" w:rsidRPr="00060EF9" w14:paraId="2A4EADA8" w14:textId="77777777" w:rsidTr="008A5C11">
        <w:trPr>
          <w:trHeight w:val="61"/>
        </w:trPr>
        <w:tc>
          <w:tcPr>
            <w:tcW w:w="1297" w:type="dxa"/>
            <w:shd w:val="clear" w:color="auto" w:fill="auto"/>
            <w:vAlign w:val="center"/>
            <w:hideMark/>
          </w:tcPr>
          <w:p w14:paraId="102FB230" w14:textId="77777777" w:rsidR="00A2124B" w:rsidRPr="00060EF9" w:rsidRDefault="00A2124B" w:rsidP="008A5C11">
            <w:pPr>
              <w:jc w:val="center"/>
              <w:rPr>
                <w:color w:val="000000"/>
              </w:rPr>
            </w:pPr>
            <w:r w:rsidRPr="00060EF9">
              <w:rPr>
                <w:color w:val="000000"/>
              </w:rPr>
              <w:t>1.2.2.8.</w:t>
            </w:r>
          </w:p>
        </w:tc>
        <w:tc>
          <w:tcPr>
            <w:tcW w:w="4106" w:type="dxa"/>
            <w:shd w:val="clear" w:color="auto" w:fill="auto"/>
            <w:vAlign w:val="center"/>
            <w:hideMark/>
          </w:tcPr>
          <w:p w14:paraId="10D38BC5" w14:textId="77777777" w:rsidR="00A2124B" w:rsidRPr="00060EF9" w:rsidRDefault="00A2124B" w:rsidP="008A5C11">
            <w:pPr>
              <w:rPr>
                <w:color w:val="000000"/>
              </w:rPr>
            </w:pPr>
            <w:r w:rsidRPr="00060EF9">
              <w:rPr>
                <w:color w:val="000000"/>
              </w:rPr>
              <w:t>5001 м и более</w:t>
            </w:r>
          </w:p>
        </w:tc>
        <w:tc>
          <w:tcPr>
            <w:tcW w:w="1775" w:type="dxa"/>
            <w:vMerge/>
            <w:vAlign w:val="center"/>
            <w:hideMark/>
          </w:tcPr>
          <w:p w14:paraId="1EA5BE1D" w14:textId="77777777" w:rsidR="00A2124B" w:rsidRPr="00060EF9" w:rsidRDefault="00A2124B" w:rsidP="008A5C11">
            <w:pPr>
              <w:rPr>
                <w:color w:val="000000"/>
              </w:rPr>
            </w:pPr>
          </w:p>
        </w:tc>
        <w:tc>
          <w:tcPr>
            <w:tcW w:w="2466" w:type="dxa"/>
            <w:shd w:val="clear" w:color="auto" w:fill="auto"/>
            <w:hideMark/>
          </w:tcPr>
          <w:p w14:paraId="577B2531" w14:textId="77777777" w:rsidR="00A2124B" w:rsidRPr="00060EF9" w:rsidRDefault="00A2124B" w:rsidP="008A5C11">
            <w:pPr>
              <w:ind w:left="-147" w:right="-147"/>
              <w:jc w:val="center"/>
              <w:rPr>
                <w:color w:val="000000"/>
              </w:rPr>
            </w:pPr>
            <w:r w:rsidRPr="00060EF9">
              <w:rPr>
                <w:color w:val="000000"/>
              </w:rPr>
              <w:t>8 025 673</w:t>
            </w:r>
          </w:p>
        </w:tc>
      </w:tr>
      <w:tr w:rsidR="00A2124B" w:rsidRPr="00060EF9" w14:paraId="3AC4969C" w14:textId="77777777" w:rsidTr="008A5C11">
        <w:trPr>
          <w:trHeight w:val="429"/>
        </w:trPr>
        <w:tc>
          <w:tcPr>
            <w:tcW w:w="1297" w:type="dxa"/>
            <w:shd w:val="clear" w:color="auto" w:fill="auto"/>
            <w:vAlign w:val="center"/>
            <w:hideMark/>
          </w:tcPr>
          <w:p w14:paraId="2768CC3E" w14:textId="77777777" w:rsidR="00A2124B" w:rsidRPr="00060EF9" w:rsidRDefault="00A2124B" w:rsidP="008A5C11">
            <w:pPr>
              <w:jc w:val="center"/>
              <w:rPr>
                <w:color w:val="000000"/>
              </w:rPr>
            </w:pPr>
            <w:r w:rsidRPr="00060EF9">
              <w:rPr>
                <w:color w:val="000000"/>
              </w:rPr>
              <w:t>2.</w:t>
            </w:r>
          </w:p>
        </w:tc>
        <w:tc>
          <w:tcPr>
            <w:tcW w:w="8347" w:type="dxa"/>
            <w:gridSpan w:val="3"/>
            <w:shd w:val="clear" w:color="auto" w:fill="auto"/>
            <w:vAlign w:val="center"/>
            <w:hideMark/>
          </w:tcPr>
          <w:p w14:paraId="7A702190" w14:textId="77777777" w:rsidR="00A2124B" w:rsidRPr="00060EF9" w:rsidRDefault="00A2124B" w:rsidP="008A5C11">
            <w:pPr>
              <w:rPr>
                <w:color w:val="000000"/>
              </w:rPr>
            </w:pPr>
            <w:r w:rsidRPr="00060EF9">
              <w:rPr>
                <w:color w:val="000000"/>
              </w:rPr>
              <w:t>Размер стандартизированной тарифной ставки С</w:t>
            </w:r>
            <w:r w:rsidRPr="00060EF9">
              <w:rPr>
                <w:color w:val="000000"/>
                <w:vertAlign w:val="subscript"/>
              </w:rPr>
              <w:t>2</w:t>
            </w:r>
            <w:r w:rsidRPr="00060EF9">
              <w:rPr>
                <w:color w:val="000000"/>
              </w:rPr>
              <w:t xml:space="preserve"> на покрытие расходов газораспределительной организации, связанных со строительством стальных газопроводов (НДС не облагается, с налогом на прибыль):</w:t>
            </w:r>
          </w:p>
        </w:tc>
      </w:tr>
      <w:tr w:rsidR="00A2124B" w:rsidRPr="00060EF9" w14:paraId="7C0AEADB" w14:textId="77777777" w:rsidTr="008A5C11">
        <w:trPr>
          <w:trHeight w:val="98"/>
        </w:trPr>
        <w:tc>
          <w:tcPr>
            <w:tcW w:w="1297" w:type="dxa"/>
            <w:shd w:val="clear" w:color="auto" w:fill="auto"/>
            <w:vAlign w:val="center"/>
            <w:hideMark/>
          </w:tcPr>
          <w:p w14:paraId="22D2BDE8" w14:textId="77777777" w:rsidR="00A2124B" w:rsidRPr="00060EF9" w:rsidRDefault="00A2124B" w:rsidP="008A5C11">
            <w:pPr>
              <w:jc w:val="center"/>
              <w:rPr>
                <w:color w:val="000000"/>
              </w:rPr>
            </w:pPr>
            <w:r w:rsidRPr="00060EF9">
              <w:rPr>
                <w:color w:val="000000"/>
              </w:rPr>
              <w:t>2.1.</w:t>
            </w:r>
          </w:p>
        </w:tc>
        <w:tc>
          <w:tcPr>
            <w:tcW w:w="8347" w:type="dxa"/>
            <w:gridSpan w:val="3"/>
            <w:shd w:val="clear" w:color="auto" w:fill="auto"/>
            <w:vAlign w:val="center"/>
            <w:hideMark/>
          </w:tcPr>
          <w:p w14:paraId="09CC41F4" w14:textId="77777777" w:rsidR="00A2124B" w:rsidRPr="00060EF9" w:rsidRDefault="00A2124B" w:rsidP="008A5C11">
            <w:pPr>
              <w:rPr>
                <w:color w:val="000000"/>
              </w:rPr>
            </w:pPr>
            <w:r w:rsidRPr="00060EF9">
              <w:rPr>
                <w:color w:val="000000"/>
              </w:rPr>
              <w:t>наземного (надземного) способа прокладки, наружным диаметром:</w:t>
            </w:r>
          </w:p>
        </w:tc>
      </w:tr>
      <w:tr w:rsidR="00A2124B" w:rsidRPr="00060EF9" w14:paraId="15125F9E" w14:textId="77777777" w:rsidTr="008A5C11">
        <w:trPr>
          <w:trHeight w:val="288"/>
        </w:trPr>
        <w:tc>
          <w:tcPr>
            <w:tcW w:w="1297" w:type="dxa"/>
            <w:shd w:val="clear" w:color="auto" w:fill="auto"/>
            <w:vAlign w:val="center"/>
          </w:tcPr>
          <w:p w14:paraId="49E0BCC2" w14:textId="77777777" w:rsidR="00A2124B" w:rsidRPr="00060EF9" w:rsidRDefault="00A2124B" w:rsidP="008A5C11">
            <w:pPr>
              <w:jc w:val="center"/>
              <w:rPr>
                <w:color w:val="000000"/>
              </w:rPr>
            </w:pPr>
            <w:r w:rsidRPr="00060EF9">
              <w:rPr>
                <w:color w:val="000000"/>
              </w:rPr>
              <w:t>2.1.1.</w:t>
            </w:r>
          </w:p>
        </w:tc>
        <w:tc>
          <w:tcPr>
            <w:tcW w:w="4106" w:type="dxa"/>
            <w:shd w:val="clear" w:color="auto" w:fill="auto"/>
            <w:vAlign w:val="center"/>
          </w:tcPr>
          <w:p w14:paraId="4DB63937" w14:textId="77777777" w:rsidR="00A2124B" w:rsidRPr="00060EF9" w:rsidRDefault="00A2124B" w:rsidP="008A5C11">
            <w:pPr>
              <w:rPr>
                <w:color w:val="000000"/>
              </w:rPr>
            </w:pPr>
            <w:r w:rsidRPr="00060EF9">
              <w:rPr>
                <w:color w:val="000000"/>
              </w:rPr>
              <w:t>50 мм и менее</w:t>
            </w:r>
          </w:p>
        </w:tc>
        <w:tc>
          <w:tcPr>
            <w:tcW w:w="1775" w:type="dxa"/>
            <w:vMerge w:val="restart"/>
            <w:vAlign w:val="center"/>
          </w:tcPr>
          <w:p w14:paraId="62BDCB8B" w14:textId="77777777" w:rsidR="00A2124B" w:rsidRPr="00060EF9" w:rsidRDefault="00A2124B" w:rsidP="008A5C11">
            <w:pPr>
              <w:jc w:val="center"/>
              <w:rPr>
                <w:color w:val="000000"/>
              </w:rPr>
            </w:pPr>
            <w:r w:rsidRPr="00060EF9">
              <w:rPr>
                <w:color w:val="000000"/>
              </w:rPr>
              <w:t>руб./км</w:t>
            </w:r>
          </w:p>
        </w:tc>
        <w:tc>
          <w:tcPr>
            <w:tcW w:w="2466" w:type="dxa"/>
            <w:tcBorders>
              <w:top w:val="nil"/>
              <w:left w:val="nil"/>
              <w:bottom w:val="single" w:sz="8" w:space="0" w:color="auto"/>
              <w:right w:val="single" w:sz="8" w:space="0" w:color="auto"/>
            </w:tcBorders>
            <w:shd w:val="clear" w:color="auto" w:fill="auto"/>
            <w:vAlign w:val="center"/>
          </w:tcPr>
          <w:p w14:paraId="26368829" w14:textId="77777777" w:rsidR="00A2124B" w:rsidRPr="00060EF9" w:rsidRDefault="00A2124B" w:rsidP="008A5C11">
            <w:pPr>
              <w:ind w:left="-147" w:right="-147"/>
              <w:jc w:val="center"/>
              <w:rPr>
                <w:color w:val="000000"/>
              </w:rPr>
            </w:pPr>
            <w:r w:rsidRPr="00060EF9">
              <w:rPr>
                <w:color w:val="000000"/>
              </w:rPr>
              <w:t>2 680 959</w:t>
            </w:r>
          </w:p>
        </w:tc>
      </w:tr>
      <w:tr w:rsidR="00A2124B" w:rsidRPr="00060EF9" w14:paraId="713920B8" w14:textId="77777777" w:rsidTr="008A5C11">
        <w:trPr>
          <w:trHeight w:val="288"/>
        </w:trPr>
        <w:tc>
          <w:tcPr>
            <w:tcW w:w="1297" w:type="dxa"/>
            <w:shd w:val="clear" w:color="auto" w:fill="auto"/>
            <w:vAlign w:val="center"/>
            <w:hideMark/>
          </w:tcPr>
          <w:p w14:paraId="7CEAF840" w14:textId="77777777" w:rsidR="00A2124B" w:rsidRPr="00060EF9" w:rsidRDefault="00A2124B" w:rsidP="008A5C11">
            <w:pPr>
              <w:jc w:val="center"/>
              <w:rPr>
                <w:color w:val="000000"/>
              </w:rPr>
            </w:pPr>
            <w:r w:rsidRPr="00060EF9">
              <w:rPr>
                <w:color w:val="000000"/>
              </w:rPr>
              <w:t>2.1.2.</w:t>
            </w:r>
          </w:p>
        </w:tc>
        <w:tc>
          <w:tcPr>
            <w:tcW w:w="4106" w:type="dxa"/>
            <w:shd w:val="clear" w:color="auto" w:fill="auto"/>
            <w:vAlign w:val="center"/>
            <w:hideMark/>
          </w:tcPr>
          <w:p w14:paraId="5D42B6DE" w14:textId="77777777" w:rsidR="00A2124B" w:rsidRPr="00060EF9" w:rsidRDefault="00A2124B" w:rsidP="008A5C11">
            <w:pPr>
              <w:rPr>
                <w:color w:val="000000"/>
              </w:rPr>
            </w:pPr>
            <w:r w:rsidRPr="00060EF9">
              <w:rPr>
                <w:color w:val="000000"/>
              </w:rPr>
              <w:t>51-100 мм</w:t>
            </w:r>
          </w:p>
        </w:tc>
        <w:tc>
          <w:tcPr>
            <w:tcW w:w="1775" w:type="dxa"/>
            <w:vMerge/>
            <w:vAlign w:val="center"/>
            <w:hideMark/>
          </w:tcPr>
          <w:p w14:paraId="636E5A28" w14:textId="77777777" w:rsidR="00A2124B" w:rsidRPr="00060EF9" w:rsidRDefault="00A2124B" w:rsidP="008A5C11">
            <w:pPr>
              <w:jc w:val="cente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1B85A5DF" w14:textId="77777777" w:rsidR="00A2124B" w:rsidRPr="00060EF9" w:rsidRDefault="00A2124B" w:rsidP="008A5C11">
            <w:pPr>
              <w:ind w:left="-147" w:right="-147"/>
              <w:jc w:val="center"/>
              <w:rPr>
                <w:color w:val="000000"/>
              </w:rPr>
            </w:pPr>
            <w:r w:rsidRPr="00060EF9">
              <w:rPr>
                <w:color w:val="000000"/>
              </w:rPr>
              <w:t>2 680 959</w:t>
            </w:r>
          </w:p>
        </w:tc>
      </w:tr>
      <w:tr w:rsidR="00A2124B" w:rsidRPr="00060EF9" w14:paraId="666AF3F3" w14:textId="77777777" w:rsidTr="008A5C11">
        <w:trPr>
          <w:trHeight w:val="288"/>
        </w:trPr>
        <w:tc>
          <w:tcPr>
            <w:tcW w:w="1297" w:type="dxa"/>
            <w:shd w:val="clear" w:color="auto" w:fill="auto"/>
            <w:vAlign w:val="center"/>
            <w:hideMark/>
          </w:tcPr>
          <w:p w14:paraId="37A92256" w14:textId="77777777" w:rsidR="00A2124B" w:rsidRPr="00060EF9" w:rsidRDefault="00A2124B" w:rsidP="008A5C11">
            <w:pPr>
              <w:jc w:val="center"/>
              <w:rPr>
                <w:color w:val="000000"/>
              </w:rPr>
            </w:pPr>
            <w:r w:rsidRPr="00060EF9">
              <w:rPr>
                <w:color w:val="000000"/>
              </w:rPr>
              <w:t>2.1.3.</w:t>
            </w:r>
          </w:p>
        </w:tc>
        <w:tc>
          <w:tcPr>
            <w:tcW w:w="4106" w:type="dxa"/>
            <w:shd w:val="clear" w:color="auto" w:fill="auto"/>
            <w:vAlign w:val="center"/>
            <w:hideMark/>
          </w:tcPr>
          <w:p w14:paraId="6E9721DE" w14:textId="77777777" w:rsidR="00A2124B" w:rsidRPr="00060EF9" w:rsidRDefault="00A2124B" w:rsidP="008A5C11">
            <w:pPr>
              <w:rPr>
                <w:color w:val="000000"/>
              </w:rPr>
            </w:pPr>
            <w:r w:rsidRPr="00060EF9">
              <w:rPr>
                <w:color w:val="000000"/>
              </w:rPr>
              <w:t>101-158 мм</w:t>
            </w:r>
          </w:p>
        </w:tc>
        <w:tc>
          <w:tcPr>
            <w:tcW w:w="1775" w:type="dxa"/>
            <w:vMerge/>
            <w:vAlign w:val="center"/>
            <w:hideMark/>
          </w:tcPr>
          <w:p w14:paraId="36FB3FAE" w14:textId="77777777" w:rsidR="00A2124B" w:rsidRPr="00060EF9" w:rsidRDefault="00A2124B" w:rsidP="008A5C11">
            <w:pP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5FC6BDC4" w14:textId="77777777" w:rsidR="00A2124B" w:rsidRPr="00060EF9" w:rsidRDefault="00A2124B" w:rsidP="008A5C11">
            <w:pPr>
              <w:ind w:left="-147" w:right="-147"/>
              <w:jc w:val="center"/>
              <w:rPr>
                <w:color w:val="000000"/>
              </w:rPr>
            </w:pPr>
            <w:r w:rsidRPr="00060EF9">
              <w:rPr>
                <w:color w:val="000000"/>
              </w:rPr>
              <w:t>2 680 959</w:t>
            </w:r>
          </w:p>
        </w:tc>
      </w:tr>
      <w:tr w:rsidR="00A2124B" w:rsidRPr="00060EF9" w14:paraId="3244A3B3" w14:textId="77777777" w:rsidTr="008A5C11">
        <w:trPr>
          <w:trHeight w:val="288"/>
        </w:trPr>
        <w:tc>
          <w:tcPr>
            <w:tcW w:w="1297" w:type="dxa"/>
            <w:shd w:val="clear" w:color="auto" w:fill="auto"/>
            <w:vAlign w:val="center"/>
            <w:hideMark/>
          </w:tcPr>
          <w:p w14:paraId="301D92C3" w14:textId="77777777" w:rsidR="00A2124B" w:rsidRPr="00060EF9" w:rsidRDefault="00A2124B" w:rsidP="008A5C11">
            <w:pPr>
              <w:jc w:val="center"/>
              <w:rPr>
                <w:color w:val="000000"/>
              </w:rPr>
            </w:pPr>
            <w:r w:rsidRPr="00060EF9">
              <w:rPr>
                <w:color w:val="000000"/>
              </w:rPr>
              <w:t>2.1.4.</w:t>
            </w:r>
          </w:p>
        </w:tc>
        <w:tc>
          <w:tcPr>
            <w:tcW w:w="4106" w:type="dxa"/>
            <w:shd w:val="clear" w:color="auto" w:fill="auto"/>
            <w:vAlign w:val="center"/>
            <w:hideMark/>
          </w:tcPr>
          <w:p w14:paraId="79940260" w14:textId="77777777" w:rsidR="00A2124B" w:rsidRPr="00060EF9" w:rsidRDefault="00A2124B" w:rsidP="008A5C11">
            <w:pPr>
              <w:rPr>
                <w:color w:val="000000"/>
              </w:rPr>
            </w:pPr>
            <w:r w:rsidRPr="00060EF9">
              <w:rPr>
                <w:color w:val="000000"/>
              </w:rPr>
              <w:t>159-218 мм</w:t>
            </w:r>
          </w:p>
        </w:tc>
        <w:tc>
          <w:tcPr>
            <w:tcW w:w="1775" w:type="dxa"/>
            <w:vMerge/>
            <w:vAlign w:val="center"/>
            <w:hideMark/>
          </w:tcPr>
          <w:p w14:paraId="3E2C1E47" w14:textId="77777777" w:rsidR="00A2124B" w:rsidRPr="00060EF9" w:rsidRDefault="00A2124B" w:rsidP="008A5C11">
            <w:pP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3D9257F2" w14:textId="77777777" w:rsidR="00A2124B" w:rsidRPr="00060EF9" w:rsidRDefault="00A2124B" w:rsidP="008A5C11">
            <w:pPr>
              <w:ind w:left="-147" w:right="-147"/>
              <w:jc w:val="center"/>
              <w:rPr>
                <w:color w:val="000000"/>
              </w:rPr>
            </w:pPr>
            <w:r w:rsidRPr="00060EF9">
              <w:rPr>
                <w:color w:val="000000"/>
              </w:rPr>
              <w:t>3 595 726</w:t>
            </w:r>
          </w:p>
        </w:tc>
      </w:tr>
      <w:tr w:rsidR="00A2124B" w:rsidRPr="00060EF9" w14:paraId="7A974AF8" w14:textId="77777777" w:rsidTr="008A5C11">
        <w:trPr>
          <w:trHeight w:val="288"/>
        </w:trPr>
        <w:tc>
          <w:tcPr>
            <w:tcW w:w="1297" w:type="dxa"/>
            <w:shd w:val="clear" w:color="auto" w:fill="auto"/>
            <w:vAlign w:val="center"/>
            <w:hideMark/>
          </w:tcPr>
          <w:p w14:paraId="0E48DA21" w14:textId="77777777" w:rsidR="00A2124B" w:rsidRPr="00060EF9" w:rsidRDefault="00A2124B" w:rsidP="008A5C11">
            <w:pPr>
              <w:jc w:val="center"/>
              <w:rPr>
                <w:color w:val="000000"/>
              </w:rPr>
            </w:pPr>
            <w:r w:rsidRPr="00060EF9">
              <w:rPr>
                <w:color w:val="000000"/>
              </w:rPr>
              <w:t>2.1.5.</w:t>
            </w:r>
          </w:p>
        </w:tc>
        <w:tc>
          <w:tcPr>
            <w:tcW w:w="4106" w:type="dxa"/>
            <w:shd w:val="clear" w:color="auto" w:fill="auto"/>
            <w:vAlign w:val="center"/>
            <w:hideMark/>
          </w:tcPr>
          <w:p w14:paraId="1BE4DE23" w14:textId="77777777" w:rsidR="00A2124B" w:rsidRPr="00060EF9" w:rsidRDefault="00A2124B" w:rsidP="008A5C11">
            <w:pPr>
              <w:rPr>
                <w:color w:val="000000"/>
              </w:rPr>
            </w:pPr>
            <w:r w:rsidRPr="00060EF9">
              <w:rPr>
                <w:color w:val="000000"/>
              </w:rPr>
              <w:t>219-272 мм</w:t>
            </w:r>
          </w:p>
        </w:tc>
        <w:tc>
          <w:tcPr>
            <w:tcW w:w="1775" w:type="dxa"/>
            <w:vMerge/>
            <w:vAlign w:val="center"/>
            <w:hideMark/>
          </w:tcPr>
          <w:p w14:paraId="362A9665" w14:textId="77777777" w:rsidR="00A2124B" w:rsidRPr="00060EF9" w:rsidRDefault="00A2124B" w:rsidP="008A5C11">
            <w:pP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1AD86494" w14:textId="77777777" w:rsidR="00A2124B" w:rsidRPr="00060EF9" w:rsidRDefault="00A2124B" w:rsidP="008A5C11">
            <w:pPr>
              <w:ind w:left="-147" w:right="-147"/>
              <w:jc w:val="center"/>
              <w:rPr>
                <w:color w:val="000000"/>
              </w:rPr>
            </w:pPr>
            <w:r w:rsidRPr="00060EF9">
              <w:rPr>
                <w:color w:val="000000"/>
              </w:rPr>
              <w:t>4 903 516</w:t>
            </w:r>
          </w:p>
        </w:tc>
      </w:tr>
      <w:tr w:rsidR="00A2124B" w:rsidRPr="00060EF9" w14:paraId="586D9245" w14:textId="77777777" w:rsidTr="008A5C11">
        <w:trPr>
          <w:trHeight w:val="288"/>
        </w:trPr>
        <w:tc>
          <w:tcPr>
            <w:tcW w:w="1297" w:type="dxa"/>
            <w:shd w:val="clear" w:color="auto" w:fill="auto"/>
            <w:hideMark/>
          </w:tcPr>
          <w:p w14:paraId="1923F7B2" w14:textId="77777777" w:rsidR="00A2124B" w:rsidRPr="00060EF9" w:rsidRDefault="00A2124B" w:rsidP="008A5C11">
            <w:pPr>
              <w:jc w:val="center"/>
              <w:rPr>
                <w:sz w:val="20"/>
                <w:szCs w:val="20"/>
              </w:rPr>
            </w:pPr>
            <w:r w:rsidRPr="00060EF9">
              <w:rPr>
                <w:color w:val="000000"/>
              </w:rPr>
              <w:t>2.1.6.</w:t>
            </w:r>
          </w:p>
        </w:tc>
        <w:tc>
          <w:tcPr>
            <w:tcW w:w="4106" w:type="dxa"/>
            <w:shd w:val="clear" w:color="auto" w:fill="auto"/>
            <w:vAlign w:val="center"/>
            <w:hideMark/>
          </w:tcPr>
          <w:p w14:paraId="13E214D9" w14:textId="77777777" w:rsidR="00A2124B" w:rsidRPr="00060EF9" w:rsidRDefault="00A2124B" w:rsidP="008A5C11">
            <w:pPr>
              <w:rPr>
                <w:color w:val="000000"/>
              </w:rPr>
            </w:pPr>
            <w:r w:rsidRPr="00060EF9">
              <w:rPr>
                <w:color w:val="000000"/>
              </w:rPr>
              <w:t>273-324 мм</w:t>
            </w:r>
          </w:p>
        </w:tc>
        <w:tc>
          <w:tcPr>
            <w:tcW w:w="1775" w:type="dxa"/>
            <w:vMerge/>
            <w:vAlign w:val="center"/>
            <w:hideMark/>
          </w:tcPr>
          <w:p w14:paraId="6346909D" w14:textId="77777777" w:rsidR="00A2124B" w:rsidRPr="00060EF9" w:rsidRDefault="00A2124B" w:rsidP="008A5C11">
            <w:pP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2526B153" w14:textId="77777777" w:rsidR="00A2124B" w:rsidRPr="00060EF9" w:rsidRDefault="00A2124B" w:rsidP="008A5C11">
            <w:pPr>
              <w:ind w:left="-147" w:right="-147"/>
              <w:jc w:val="center"/>
              <w:rPr>
                <w:color w:val="000000"/>
              </w:rPr>
            </w:pPr>
            <w:r w:rsidRPr="00060EF9">
              <w:rPr>
                <w:color w:val="000000"/>
              </w:rPr>
              <w:t>5 911 576</w:t>
            </w:r>
          </w:p>
        </w:tc>
      </w:tr>
      <w:tr w:rsidR="00A2124B" w:rsidRPr="00060EF9" w14:paraId="5FB9A2D4" w14:textId="77777777" w:rsidTr="008A5C11">
        <w:trPr>
          <w:trHeight w:val="288"/>
        </w:trPr>
        <w:tc>
          <w:tcPr>
            <w:tcW w:w="1297" w:type="dxa"/>
            <w:shd w:val="clear" w:color="auto" w:fill="auto"/>
          </w:tcPr>
          <w:p w14:paraId="7E914817" w14:textId="77777777" w:rsidR="00A2124B" w:rsidRPr="00060EF9" w:rsidRDefault="00A2124B" w:rsidP="008A5C11">
            <w:pPr>
              <w:jc w:val="center"/>
              <w:rPr>
                <w:sz w:val="20"/>
                <w:szCs w:val="20"/>
              </w:rPr>
            </w:pPr>
            <w:r w:rsidRPr="00060EF9">
              <w:rPr>
                <w:color w:val="000000"/>
              </w:rPr>
              <w:t>2.1.7.</w:t>
            </w:r>
          </w:p>
        </w:tc>
        <w:tc>
          <w:tcPr>
            <w:tcW w:w="4106" w:type="dxa"/>
            <w:shd w:val="clear" w:color="auto" w:fill="auto"/>
            <w:vAlign w:val="center"/>
          </w:tcPr>
          <w:p w14:paraId="26879132" w14:textId="77777777" w:rsidR="00A2124B" w:rsidRPr="00060EF9" w:rsidRDefault="00A2124B" w:rsidP="008A5C11">
            <w:pPr>
              <w:rPr>
                <w:color w:val="000000"/>
              </w:rPr>
            </w:pPr>
            <w:r w:rsidRPr="00060EF9">
              <w:rPr>
                <w:color w:val="000000"/>
              </w:rPr>
              <w:t>325-425 мм</w:t>
            </w:r>
          </w:p>
        </w:tc>
        <w:tc>
          <w:tcPr>
            <w:tcW w:w="1775" w:type="dxa"/>
            <w:vMerge/>
            <w:vAlign w:val="center"/>
          </w:tcPr>
          <w:p w14:paraId="39D9E1F0" w14:textId="77777777" w:rsidR="00A2124B" w:rsidRPr="00060EF9" w:rsidRDefault="00A2124B" w:rsidP="008A5C11">
            <w:pPr>
              <w:rPr>
                <w:color w:val="000000"/>
              </w:rPr>
            </w:pPr>
          </w:p>
        </w:tc>
        <w:tc>
          <w:tcPr>
            <w:tcW w:w="2466" w:type="dxa"/>
            <w:tcBorders>
              <w:top w:val="nil"/>
              <w:left w:val="nil"/>
              <w:bottom w:val="single" w:sz="8" w:space="0" w:color="auto"/>
              <w:right w:val="single" w:sz="8" w:space="0" w:color="auto"/>
            </w:tcBorders>
            <w:shd w:val="clear" w:color="auto" w:fill="auto"/>
            <w:vAlign w:val="center"/>
          </w:tcPr>
          <w:p w14:paraId="76BD858E" w14:textId="77777777" w:rsidR="00A2124B" w:rsidRPr="00060EF9" w:rsidRDefault="00A2124B" w:rsidP="008A5C11">
            <w:pPr>
              <w:ind w:left="-147" w:right="-147"/>
              <w:jc w:val="center"/>
              <w:rPr>
                <w:color w:val="000000"/>
              </w:rPr>
            </w:pPr>
            <w:r w:rsidRPr="00060EF9">
              <w:rPr>
                <w:color w:val="000000"/>
              </w:rPr>
              <w:t>7 173 423</w:t>
            </w:r>
          </w:p>
        </w:tc>
      </w:tr>
      <w:tr w:rsidR="00A2124B" w:rsidRPr="00060EF9" w14:paraId="57D69CD8" w14:textId="77777777" w:rsidTr="008A5C11">
        <w:trPr>
          <w:trHeight w:val="288"/>
        </w:trPr>
        <w:tc>
          <w:tcPr>
            <w:tcW w:w="1297" w:type="dxa"/>
            <w:shd w:val="clear" w:color="auto" w:fill="auto"/>
          </w:tcPr>
          <w:p w14:paraId="6FA87DCC" w14:textId="77777777" w:rsidR="00A2124B" w:rsidRPr="00060EF9" w:rsidRDefault="00A2124B" w:rsidP="008A5C11">
            <w:pPr>
              <w:jc w:val="center"/>
              <w:rPr>
                <w:sz w:val="20"/>
                <w:szCs w:val="20"/>
              </w:rPr>
            </w:pPr>
            <w:r w:rsidRPr="00060EF9">
              <w:rPr>
                <w:color w:val="000000"/>
              </w:rPr>
              <w:t>2.1.8.</w:t>
            </w:r>
          </w:p>
        </w:tc>
        <w:tc>
          <w:tcPr>
            <w:tcW w:w="4106" w:type="dxa"/>
            <w:shd w:val="clear" w:color="auto" w:fill="auto"/>
            <w:vAlign w:val="center"/>
          </w:tcPr>
          <w:p w14:paraId="2DEEF2B2" w14:textId="77777777" w:rsidR="00A2124B" w:rsidRPr="00060EF9" w:rsidRDefault="00A2124B" w:rsidP="008A5C11">
            <w:pPr>
              <w:rPr>
                <w:color w:val="000000"/>
              </w:rPr>
            </w:pPr>
            <w:r w:rsidRPr="00060EF9">
              <w:rPr>
                <w:color w:val="000000"/>
              </w:rPr>
              <w:t>426-529 мм</w:t>
            </w:r>
          </w:p>
        </w:tc>
        <w:tc>
          <w:tcPr>
            <w:tcW w:w="1775" w:type="dxa"/>
            <w:vMerge/>
            <w:vAlign w:val="center"/>
          </w:tcPr>
          <w:p w14:paraId="42E16C9B" w14:textId="77777777" w:rsidR="00A2124B" w:rsidRPr="00060EF9" w:rsidRDefault="00A2124B" w:rsidP="008A5C11">
            <w:pPr>
              <w:rPr>
                <w:color w:val="000000"/>
              </w:rPr>
            </w:pPr>
          </w:p>
        </w:tc>
        <w:tc>
          <w:tcPr>
            <w:tcW w:w="2466" w:type="dxa"/>
            <w:tcBorders>
              <w:top w:val="nil"/>
              <w:left w:val="nil"/>
              <w:bottom w:val="single" w:sz="8" w:space="0" w:color="auto"/>
              <w:right w:val="single" w:sz="8" w:space="0" w:color="auto"/>
            </w:tcBorders>
            <w:shd w:val="clear" w:color="auto" w:fill="auto"/>
            <w:vAlign w:val="center"/>
          </w:tcPr>
          <w:p w14:paraId="5D105D42" w14:textId="77777777" w:rsidR="00A2124B" w:rsidRPr="00060EF9" w:rsidRDefault="00A2124B" w:rsidP="008A5C11">
            <w:pPr>
              <w:ind w:left="-147" w:right="-147"/>
              <w:jc w:val="center"/>
              <w:rPr>
                <w:color w:val="000000"/>
              </w:rPr>
            </w:pPr>
            <w:r w:rsidRPr="00060EF9">
              <w:rPr>
                <w:color w:val="000000"/>
              </w:rPr>
              <w:t>8 932 221</w:t>
            </w:r>
          </w:p>
        </w:tc>
      </w:tr>
      <w:tr w:rsidR="00A2124B" w:rsidRPr="00060EF9" w14:paraId="127CD6BB" w14:textId="77777777" w:rsidTr="008A5C11">
        <w:trPr>
          <w:trHeight w:val="288"/>
        </w:trPr>
        <w:tc>
          <w:tcPr>
            <w:tcW w:w="1297" w:type="dxa"/>
            <w:shd w:val="clear" w:color="auto" w:fill="auto"/>
          </w:tcPr>
          <w:p w14:paraId="5F4BEB93" w14:textId="77777777" w:rsidR="00A2124B" w:rsidRPr="00060EF9" w:rsidRDefault="00A2124B" w:rsidP="008A5C11">
            <w:pPr>
              <w:jc w:val="center"/>
              <w:rPr>
                <w:sz w:val="20"/>
                <w:szCs w:val="20"/>
              </w:rPr>
            </w:pPr>
            <w:r w:rsidRPr="00060EF9">
              <w:rPr>
                <w:color w:val="000000"/>
              </w:rPr>
              <w:t>2.1.9.</w:t>
            </w:r>
          </w:p>
        </w:tc>
        <w:tc>
          <w:tcPr>
            <w:tcW w:w="4106" w:type="dxa"/>
            <w:shd w:val="clear" w:color="auto" w:fill="auto"/>
            <w:vAlign w:val="center"/>
          </w:tcPr>
          <w:p w14:paraId="7E994FD3" w14:textId="77777777" w:rsidR="00A2124B" w:rsidRPr="00060EF9" w:rsidRDefault="00A2124B" w:rsidP="008A5C11">
            <w:pPr>
              <w:rPr>
                <w:color w:val="000000"/>
              </w:rPr>
            </w:pPr>
            <w:r w:rsidRPr="00060EF9">
              <w:rPr>
                <w:color w:val="000000"/>
              </w:rPr>
              <w:t>530 мм и выше</w:t>
            </w:r>
          </w:p>
        </w:tc>
        <w:tc>
          <w:tcPr>
            <w:tcW w:w="1775" w:type="dxa"/>
            <w:vMerge/>
            <w:vAlign w:val="center"/>
          </w:tcPr>
          <w:p w14:paraId="5A98414B" w14:textId="77777777" w:rsidR="00A2124B" w:rsidRPr="00060EF9" w:rsidRDefault="00A2124B" w:rsidP="008A5C11">
            <w:pPr>
              <w:rPr>
                <w:color w:val="000000"/>
              </w:rPr>
            </w:pPr>
          </w:p>
        </w:tc>
        <w:tc>
          <w:tcPr>
            <w:tcW w:w="2466" w:type="dxa"/>
            <w:tcBorders>
              <w:top w:val="nil"/>
              <w:left w:val="nil"/>
              <w:bottom w:val="single" w:sz="8" w:space="0" w:color="auto"/>
              <w:right w:val="single" w:sz="8" w:space="0" w:color="auto"/>
            </w:tcBorders>
            <w:shd w:val="clear" w:color="auto" w:fill="auto"/>
            <w:vAlign w:val="center"/>
          </w:tcPr>
          <w:p w14:paraId="1E0DCCF7" w14:textId="77777777" w:rsidR="00A2124B" w:rsidRPr="00060EF9" w:rsidRDefault="00A2124B" w:rsidP="008A5C11">
            <w:pPr>
              <w:ind w:left="-147" w:right="-147"/>
              <w:jc w:val="center"/>
              <w:rPr>
                <w:color w:val="000000"/>
              </w:rPr>
            </w:pPr>
            <w:r w:rsidRPr="00060EF9">
              <w:rPr>
                <w:color w:val="000000"/>
              </w:rPr>
              <w:t>12 003 732</w:t>
            </w:r>
          </w:p>
        </w:tc>
      </w:tr>
      <w:tr w:rsidR="00A2124B" w:rsidRPr="00060EF9" w14:paraId="63507D2A" w14:textId="77777777" w:rsidTr="008A5C11">
        <w:trPr>
          <w:trHeight w:val="254"/>
        </w:trPr>
        <w:tc>
          <w:tcPr>
            <w:tcW w:w="1297" w:type="dxa"/>
            <w:shd w:val="clear" w:color="auto" w:fill="auto"/>
            <w:vAlign w:val="center"/>
            <w:hideMark/>
          </w:tcPr>
          <w:p w14:paraId="5A4683D9" w14:textId="77777777" w:rsidR="00A2124B" w:rsidRPr="00060EF9" w:rsidRDefault="00A2124B" w:rsidP="008A5C11">
            <w:pPr>
              <w:jc w:val="center"/>
              <w:rPr>
                <w:color w:val="000000"/>
              </w:rPr>
            </w:pPr>
            <w:r w:rsidRPr="00060EF9">
              <w:rPr>
                <w:color w:val="000000"/>
              </w:rPr>
              <w:t>2.2.</w:t>
            </w:r>
          </w:p>
        </w:tc>
        <w:tc>
          <w:tcPr>
            <w:tcW w:w="8347" w:type="dxa"/>
            <w:gridSpan w:val="3"/>
            <w:shd w:val="clear" w:color="auto" w:fill="auto"/>
            <w:vAlign w:val="center"/>
            <w:hideMark/>
          </w:tcPr>
          <w:p w14:paraId="5E3CF359" w14:textId="77777777" w:rsidR="00A2124B" w:rsidRPr="00060EF9" w:rsidRDefault="00A2124B" w:rsidP="008A5C11">
            <w:pPr>
              <w:rPr>
                <w:color w:val="000000"/>
              </w:rPr>
            </w:pPr>
            <w:r w:rsidRPr="00060EF9">
              <w:rPr>
                <w:color w:val="000000"/>
              </w:rPr>
              <w:t>подземного способа прокладки, наружным диаметром:</w:t>
            </w:r>
          </w:p>
        </w:tc>
      </w:tr>
      <w:tr w:rsidR="00A2124B" w:rsidRPr="00060EF9" w14:paraId="323B8155" w14:textId="77777777" w:rsidTr="008A5C11">
        <w:trPr>
          <w:trHeight w:val="264"/>
        </w:trPr>
        <w:tc>
          <w:tcPr>
            <w:tcW w:w="1297" w:type="dxa"/>
            <w:shd w:val="clear" w:color="auto" w:fill="auto"/>
            <w:vAlign w:val="center"/>
          </w:tcPr>
          <w:p w14:paraId="21DE9A50" w14:textId="77777777" w:rsidR="00A2124B" w:rsidRPr="00060EF9" w:rsidRDefault="00A2124B" w:rsidP="008A5C11">
            <w:pPr>
              <w:jc w:val="center"/>
              <w:rPr>
                <w:color w:val="000000"/>
              </w:rPr>
            </w:pPr>
            <w:r w:rsidRPr="00060EF9">
              <w:rPr>
                <w:color w:val="000000"/>
              </w:rPr>
              <w:t>2.2.1.</w:t>
            </w:r>
          </w:p>
        </w:tc>
        <w:tc>
          <w:tcPr>
            <w:tcW w:w="4106" w:type="dxa"/>
            <w:shd w:val="clear" w:color="auto" w:fill="auto"/>
            <w:vAlign w:val="center"/>
          </w:tcPr>
          <w:p w14:paraId="73D2B1AC" w14:textId="77777777" w:rsidR="00A2124B" w:rsidRPr="00060EF9" w:rsidRDefault="00A2124B" w:rsidP="008A5C11">
            <w:pPr>
              <w:rPr>
                <w:color w:val="000000"/>
              </w:rPr>
            </w:pPr>
            <w:r w:rsidRPr="00060EF9">
              <w:rPr>
                <w:color w:val="000000"/>
              </w:rPr>
              <w:t>50 мм и менее</w:t>
            </w:r>
          </w:p>
        </w:tc>
        <w:tc>
          <w:tcPr>
            <w:tcW w:w="1775" w:type="dxa"/>
            <w:vMerge w:val="restart"/>
            <w:vAlign w:val="center"/>
          </w:tcPr>
          <w:p w14:paraId="74F6FFAE" w14:textId="77777777" w:rsidR="00A2124B" w:rsidRPr="00060EF9" w:rsidRDefault="00A2124B" w:rsidP="008A5C11">
            <w:pPr>
              <w:jc w:val="center"/>
              <w:rPr>
                <w:color w:val="000000"/>
              </w:rPr>
            </w:pPr>
            <w:r w:rsidRPr="00060EF9">
              <w:rPr>
                <w:color w:val="000000"/>
              </w:rPr>
              <w:t>руб./км</w:t>
            </w:r>
          </w:p>
        </w:tc>
        <w:tc>
          <w:tcPr>
            <w:tcW w:w="2466" w:type="dxa"/>
            <w:tcBorders>
              <w:top w:val="nil"/>
              <w:left w:val="nil"/>
              <w:bottom w:val="single" w:sz="8" w:space="0" w:color="auto"/>
              <w:right w:val="single" w:sz="8" w:space="0" w:color="auto"/>
            </w:tcBorders>
            <w:shd w:val="clear" w:color="auto" w:fill="auto"/>
            <w:vAlign w:val="center"/>
          </w:tcPr>
          <w:p w14:paraId="42BB9B24" w14:textId="77777777" w:rsidR="00A2124B" w:rsidRPr="00060EF9" w:rsidRDefault="00A2124B" w:rsidP="008A5C11">
            <w:pPr>
              <w:ind w:left="-147" w:right="-147"/>
              <w:jc w:val="center"/>
              <w:rPr>
                <w:color w:val="000000"/>
              </w:rPr>
            </w:pPr>
            <w:r w:rsidRPr="00060EF9">
              <w:rPr>
                <w:color w:val="000000"/>
              </w:rPr>
              <w:t>3 582 563</w:t>
            </w:r>
          </w:p>
        </w:tc>
      </w:tr>
      <w:tr w:rsidR="00A2124B" w:rsidRPr="00060EF9" w14:paraId="38550348" w14:textId="77777777" w:rsidTr="008A5C11">
        <w:trPr>
          <w:trHeight w:val="264"/>
        </w:trPr>
        <w:tc>
          <w:tcPr>
            <w:tcW w:w="1297" w:type="dxa"/>
            <w:shd w:val="clear" w:color="auto" w:fill="auto"/>
            <w:vAlign w:val="center"/>
            <w:hideMark/>
          </w:tcPr>
          <w:p w14:paraId="2FDD57C5" w14:textId="77777777" w:rsidR="00A2124B" w:rsidRPr="00060EF9" w:rsidRDefault="00A2124B" w:rsidP="008A5C11">
            <w:pPr>
              <w:jc w:val="center"/>
              <w:rPr>
                <w:color w:val="000000"/>
              </w:rPr>
            </w:pPr>
            <w:r w:rsidRPr="00060EF9">
              <w:rPr>
                <w:color w:val="000000"/>
              </w:rPr>
              <w:t>2.2.2.</w:t>
            </w:r>
          </w:p>
        </w:tc>
        <w:tc>
          <w:tcPr>
            <w:tcW w:w="4106" w:type="dxa"/>
            <w:shd w:val="clear" w:color="auto" w:fill="auto"/>
            <w:vAlign w:val="center"/>
            <w:hideMark/>
          </w:tcPr>
          <w:p w14:paraId="597CFBC1" w14:textId="77777777" w:rsidR="00A2124B" w:rsidRPr="00060EF9" w:rsidRDefault="00A2124B" w:rsidP="008A5C11">
            <w:pPr>
              <w:rPr>
                <w:color w:val="000000"/>
              </w:rPr>
            </w:pPr>
            <w:r w:rsidRPr="00060EF9">
              <w:rPr>
                <w:color w:val="000000"/>
              </w:rPr>
              <w:t>51-100 мм</w:t>
            </w:r>
          </w:p>
        </w:tc>
        <w:tc>
          <w:tcPr>
            <w:tcW w:w="1775" w:type="dxa"/>
            <w:vMerge/>
            <w:vAlign w:val="center"/>
            <w:hideMark/>
          </w:tcPr>
          <w:p w14:paraId="2AD2F720" w14:textId="77777777" w:rsidR="00A2124B" w:rsidRPr="00060EF9" w:rsidRDefault="00A2124B" w:rsidP="008A5C11">
            <w:pPr>
              <w:jc w:val="cente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7A5F628F" w14:textId="77777777" w:rsidR="00A2124B" w:rsidRPr="00060EF9" w:rsidRDefault="00A2124B" w:rsidP="008A5C11">
            <w:pPr>
              <w:ind w:left="-147" w:right="-147"/>
              <w:jc w:val="center"/>
              <w:rPr>
                <w:color w:val="000000"/>
              </w:rPr>
            </w:pPr>
            <w:r w:rsidRPr="00060EF9">
              <w:rPr>
                <w:color w:val="000000"/>
              </w:rPr>
              <w:t>3 582 563</w:t>
            </w:r>
          </w:p>
        </w:tc>
      </w:tr>
      <w:tr w:rsidR="00A2124B" w:rsidRPr="00060EF9" w14:paraId="12DDD6EF" w14:textId="77777777" w:rsidTr="008A5C11">
        <w:trPr>
          <w:trHeight w:val="264"/>
        </w:trPr>
        <w:tc>
          <w:tcPr>
            <w:tcW w:w="1297" w:type="dxa"/>
            <w:shd w:val="clear" w:color="auto" w:fill="auto"/>
            <w:vAlign w:val="center"/>
            <w:hideMark/>
          </w:tcPr>
          <w:p w14:paraId="306BBA66" w14:textId="77777777" w:rsidR="00A2124B" w:rsidRPr="00060EF9" w:rsidRDefault="00A2124B" w:rsidP="008A5C11">
            <w:pPr>
              <w:jc w:val="center"/>
              <w:rPr>
                <w:color w:val="000000"/>
              </w:rPr>
            </w:pPr>
            <w:r w:rsidRPr="00060EF9">
              <w:rPr>
                <w:color w:val="000000"/>
              </w:rPr>
              <w:t>2.2.3.</w:t>
            </w:r>
          </w:p>
        </w:tc>
        <w:tc>
          <w:tcPr>
            <w:tcW w:w="4106" w:type="dxa"/>
            <w:shd w:val="clear" w:color="auto" w:fill="auto"/>
            <w:vAlign w:val="center"/>
            <w:hideMark/>
          </w:tcPr>
          <w:p w14:paraId="2FDA9B58" w14:textId="77777777" w:rsidR="00A2124B" w:rsidRPr="00060EF9" w:rsidRDefault="00A2124B" w:rsidP="008A5C11">
            <w:pPr>
              <w:rPr>
                <w:color w:val="000000"/>
              </w:rPr>
            </w:pPr>
            <w:r w:rsidRPr="00060EF9">
              <w:rPr>
                <w:color w:val="000000"/>
              </w:rPr>
              <w:t>101-158 мм</w:t>
            </w:r>
          </w:p>
        </w:tc>
        <w:tc>
          <w:tcPr>
            <w:tcW w:w="1775" w:type="dxa"/>
            <w:vMerge/>
            <w:vAlign w:val="center"/>
            <w:hideMark/>
          </w:tcPr>
          <w:p w14:paraId="708652F6" w14:textId="77777777" w:rsidR="00A2124B" w:rsidRPr="00060EF9" w:rsidRDefault="00A2124B" w:rsidP="008A5C11">
            <w:pP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6C2998F5" w14:textId="77777777" w:rsidR="00A2124B" w:rsidRPr="00060EF9" w:rsidRDefault="00A2124B" w:rsidP="008A5C11">
            <w:pPr>
              <w:ind w:left="-147" w:right="-147"/>
              <w:jc w:val="center"/>
              <w:rPr>
                <w:color w:val="000000"/>
              </w:rPr>
            </w:pPr>
            <w:r w:rsidRPr="00060EF9">
              <w:rPr>
                <w:color w:val="000000"/>
              </w:rPr>
              <w:t>3 582 563</w:t>
            </w:r>
          </w:p>
        </w:tc>
      </w:tr>
      <w:tr w:rsidR="00A2124B" w:rsidRPr="00060EF9" w14:paraId="40BA5EB3" w14:textId="77777777" w:rsidTr="008A5C11">
        <w:trPr>
          <w:trHeight w:val="264"/>
        </w:trPr>
        <w:tc>
          <w:tcPr>
            <w:tcW w:w="1297" w:type="dxa"/>
            <w:shd w:val="clear" w:color="auto" w:fill="auto"/>
            <w:vAlign w:val="center"/>
            <w:hideMark/>
          </w:tcPr>
          <w:p w14:paraId="638B3FE7" w14:textId="77777777" w:rsidR="00A2124B" w:rsidRPr="00060EF9" w:rsidRDefault="00A2124B" w:rsidP="008A5C11">
            <w:pPr>
              <w:jc w:val="center"/>
              <w:rPr>
                <w:color w:val="000000"/>
              </w:rPr>
            </w:pPr>
            <w:r w:rsidRPr="00060EF9">
              <w:rPr>
                <w:color w:val="000000"/>
              </w:rPr>
              <w:t>2.2.4.</w:t>
            </w:r>
          </w:p>
        </w:tc>
        <w:tc>
          <w:tcPr>
            <w:tcW w:w="4106" w:type="dxa"/>
            <w:shd w:val="clear" w:color="auto" w:fill="auto"/>
            <w:vAlign w:val="center"/>
            <w:hideMark/>
          </w:tcPr>
          <w:p w14:paraId="701F59C8" w14:textId="77777777" w:rsidR="00A2124B" w:rsidRPr="00060EF9" w:rsidRDefault="00A2124B" w:rsidP="008A5C11">
            <w:pPr>
              <w:rPr>
                <w:color w:val="000000"/>
              </w:rPr>
            </w:pPr>
            <w:r w:rsidRPr="00060EF9">
              <w:rPr>
                <w:color w:val="000000"/>
              </w:rPr>
              <w:t>159-218 мм</w:t>
            </w:r>
          </w:p>
        </w:tc>
        <w:tc>
          <w:tcPr>
            <w:tcW w:w="1775" w:type="dxa"/>
            <w:vMerge/>
            <w:vAlign w:val="center"/>
            <w:hideMark/>
          </w:tcPr>
          <w:p w14:paraId="7DC437D4" w14:textId="77777777" w:rsidR="00A2124B" w:rsidRPr="00060EF9" w:rsidRDefault="00A2124B" w:rsidP="008A5C11">
            <w:pP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6B9EA8B0" w14:textId="77777777" w:rsidR="00A2124B" w:rsidRPr="00060EF9" w:rsidRDefault="00A2124B" w:rsidP="008A5C11">
            <w:pPr>
              <w:ind w:left="-147" w:right="-147"/>
              <w:jc w:val="center"/>
              <w:rPr>
                <w:color w:val="000000"/>
              </w:rPr>
            </w:pPr>
            <w:r w:rsidRPr="00060EF9">
              <w:rPr>
                <w:color w:val="000000"/>
              </w:rPr>
              <w:t>4 235 743</w:t>
            </w:r>
          </w:p>
        </w:tc>
      </w:tr>
      <w:tr w:rsidR="00A2124B" w:rsidRPr="00060EF9" w14:paraId="7F2CB77D" w14:textId="77777777" w:rsidTr="008A5C11">
        <w:trPr>
          <w:trHeight w:val="264"/>
        </w:trPr>
        <w:tc>
          <w:tcPr>
            <w:tcW w:w="1297" w:type="dxa"/>
            <w:shd w:val="clear" w:color="auto" w:fill="auto"/>
            <w:vAlign w:val="center"/>
            <w:hideMark/>
          </w:tcPr>
          <w:p w14:paraId="48CFCF1F" w14:textId="77777777" w:rsidR="00A2124B" w:rsidRPr="00060EF9" w:rsidRDefault="00A2124B" w:rsidP="008A5C11">
            <w:pPr>
              <w:jc w:val="center"/>
              <w:rPr>
                <w:color w:val="000000"/>
              </w:rPr>
            </w:pPr>
            <w:r w:rsidRPr="00060EF9">
              <w:rPr>
                <w:color w:val="000000"/>
              </w:rPr>
              <w:t>2.2.5.</w:t>
            </w:r>
          </w:p>
        </w:tc>
        <w:tc>
          <w:tcPr>
            <w:tcW w:w="4106" w:type="dxa"/>
            <w:shd w:val="clear" w:color="auto" w:fill="auto"/>
            <w:vAlign w:val="center"/>
            <w:hideMark/>
          </w:tcPr>
          <w:p w14:paraId="6749A6C9" w14:textId="77777777" w:rsidR="00A2124B" w:rsidRPr="00060EF9" w:rsidRDefault="00A2124B" w:rsidP="008A5C11">
            <w:pPr>
              <w:rPr>
                <w:color w:val="000000"/>
              </w:rPr>
            </w:pPr>
            <w:r w:rsidRPr="00060EF9">
              <w:rPr>
                <w:color w:val="000000"/>
              </w:rPr>
              <w:t>219-272 мм</w:t>
            </w:r>
          </w:p>
        </w:tc>
        <w:tc>
          <w:tcPr>
            <w:tcW w:w="1775" w:type="dxa"/>
            <w:vMerge/>
            <w:vAlign w:val="center"/>
            <w:hideMark/>
          </w:tcPr>
          <w:p w14:paraId="0F9054A6" w14:textId="77777777" w:rsidR="00A2124B" w:rsidRPr="00060EF9" w:rsidRDefault="00A2124B" w:rsidP="008A5C11">
            <w:pP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2F0C1FCD" w14:textId="77777777" w:rsidR="00A2124B" w:rsidRPr="00060EF9" w:rsidRDefault="00A2124B" w:rsidP="008A5C11">
            <w:pPr>
              <w:ind w:left="-147" w:right="-147"/>
              <w:jc w:val="center"/>
              <w:rPr>
                <w:color w:val="000000"/>
              </w:rPr>
            </w:pPr>
            <w:r w:rsidRPr="00060EF9">
              <w:rPr>
                <w:color w:val="000000"/>
              </w:rPr>
              <w:t>5 691 483</w:t>
            </w:r>
          </w:p>
        </w:tc>
      </w:tr>
      <w:tr w:rsidR="00A2124B" w:rsidRPr="00060EF9" w14:paraId="322E9532" w14:textId="77777777" w:rsidTr="008A5C11">
        <w:trPr>
          <w:trHeight w:val="264"/>
        </w:trPr>
        <w:tc>
          <w:tcPr>
            <w:tcW w:w="1297" w:type="dxa"/>
            <w:shd w:val="clear" w:color="auto" w:fill="auto"/>
            <w:vAlign w:val="center"/>
            <w:hideMark/>
          </w:tcPr>
          <w:p w14:paraId="71882334" w14:textId="77777777" w:rsidR="00A2124B" w:rsidRPr="00060EF9" w:rsidRDefault="00A2124B" w:rsidP="008A5C11">
            <w:pPr>
              <w:jc w:val="center"/>
              <w:rPr>
                <w:color w:val="000000"/>
              </w:rPr>
            </w:pPr>
            <w:r w:rsidRPr="00060EF9">
              <w:rPr>
                <w:color w:val="000000"/>
              </w:rPr>
              <w:t>2.2.6.</w:t>
            </w:r>
          </w:p>
        </w:tc>
        <w:tc>
          <w:tcPr>
            <w:tcW w:w="4106" w:type="dxa"/>
            <w:shd w:val="clear" w:color="auto" w:fill="auto"/>
            <w:vAlign w:val="center"/>
            <w:hideMark/>
          </w:tcPr>
          <w:p w14:paraId="0EBB7835" w14:textId="77777777" w:rsidR="00A2124B" w:rsidRPr="00060EF9" w:rsidRDefault="00A2124B" w:rsidP="008A5C11">
            <w:pPr>
              <w:rPr>
                <w:color w:val="000000"/>
              </w:rPr>
            </w:pPr>
            <w:r w:rsidRPr="00060EF9">
              <w:rPr>
                <w:color w:val="000000"/>
              </w:rPr>
              <w:t>273-324 мм</w:t>
            </w:r>
          </w:p>
        </w:tc>
        <w:tc>
          <w:tcPr>
            <w:tcW w:w="1775" w:type="dxa"/>
            <w:vMerge/>
            <w:vAlign w:val="center"/>
            <w:hideMark/>
          </w:tcPr>
          <w:p w14:paraId="48FF3589" w14:textId="77777777" w:rsidR="00A2124B" w:rsidRPr="00060EF9" w:rsidRDefault="00A2124B" w:rsidP="008A5C11">
            <w:pP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01B5B006" w14:textId="77777777" w:rsidR="00A2124B" w:rsidRPr="00060EF9" w:rsidRDefault="00A2124B" w:rsidP="008A5C11">
            <w:pPr>
              <w:ind w:left="-147" w:right="-147"/>
              <w:jc w:val="center"/>
              <w:rPr>
                <w:color w:val="000000"/>
              </w:rPr>
            </w:pPr>
            <w:r w:rsidRPr="00060EF9">
              <w:rPr>
                <w:color w:val="000000"/>
              </w:rPr>
              <w:t>6 446 580</w:t>
            </w:r>
          </w:p>
        </w:tc>
      </w:tr>
      <w:tr w:rsidR="00A2124B" w:rsidRPr="00060EF9" w14:paraId="39C13361" w14:textId="77777777" w:rsidTr="008A5C11">
        <w:trPr>
          <w:trHeight w:val="264"/>
        </w:trPr>
        <w:tc>
          <w:tcPr>
            <w:tcW w:w="1297" w:type="dxa"/>
            <w:shd w:val="clear" w:color="auto" w:fill="auto"/>
            <w:hideMark/>
          </w:tcPr>
          <w:p w14:paraId="401E6FCA" w14:textId="77777777" w:rsidR="00A2124B" w:rsidRPr="00060EF9" w:rsidRDefault="00A2124B" w:rsidP="008A5C11">
            <w:pPr>
              <w:jc w:val="center"/>
              <w:rPr>
                <w:sz w:val="20"/>
                <w:szCs w:val="20"/>
              </w:rPr>
            </w:pPr>
            <w:r w:rsidRPr="00060EF9">
              <w:rPr>
                <w:color w:val="000000"/>
              </w:rPr>
              <w:t>2.2.7.</w:t>
            </w:r>
          </w:p>
        </w:tc>
        <w:tc>
          <w:tcPr>
            <w:tcW w:w="4106" w:type="dxa"/>
            <w:shd w:val="clear" w:color="auto" w:fill="auto"/>
            <w:vAlign w:val="center"/>
            <w:hideMark/>
          </w:tcPr>
          <w:p w14:paraId="6AB373F1" w14:textId="77777777" w:rsidR="00A2124B" w:rsidRPr="00060EF9" w:rsidRDefault="00A2124B" w:rsidP="008A5C11">
            <w:pPr>
              <w:rPr>
                <w:color w:val="000000"/>
              </w:rPr>
            </w:pPr>
            <w:r w:rsidRPr="00060EF9">
              <w:rPr>
                <w:color w:val="000000"/>
              </w:rPr>
              <w:t>325-425 мм</w:t>
            </w:r>
          </w:p>
        </w:tc>
        <w:tc>
          <w:tcPr>
            <w:tcW w:w="1775" w:type="dxa"/>
            <w:vMerge/>
            <w:vAlign w:val="center"/>
            <w:hideMark/>
          </w:tcPr>
          <w:p w14:paraId="0173E369" w14:textId="77777777" w:rsidR="00A2124B" w:rsidRPr="00060EF9" w:rsidRDefault="00A2124B" w:rsidP="008A5C11">
            <w:pP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55E7D41D" w14:textId="77777777" w:rsidR="00A2124B" w:rsidRPr="00060EF9" w:rsidRDefault="00A2124B" w:rsidP="008A5C11">
            <w:pPr>
              <w:ind w:left="-147" w:right="-147"/>
              <w:jc w:val="center"/>
              <w:rPr>
                <w:color w:val="000000"/>
              </w:rPr>
            </w:pPr>
            <w:r w:rsidRPr="00060EF9">
              <w:rPr>
                <w:color w:val="000000"/>
              </w:rPr>
              <w:t>8 136 587</w:t>
            </w:r>
          </w:p>
        </w:tc>
      </w:tr>
      <w:tr w:rsidR="00A2124B" w:rsidRPr="00060EF9" w14:paraId="34900F14" w14:textId="77777777" w:rsidTr="008A5C11">
        <w:trPr>
          <w:trHeight w:val="264"/>
        </w:trPr>
        <w:tc>
          <w:tcPr>
            <w:tcW w:w="1297" w:type="dxa"/>
            <w:shd w:val="clear" w:color="auto" w:fill="auto"/>
          </w:tcPr>
          <w:p w14:paraId="43DCE32F" w14:textId="77777777" w:rsidR="00A2124B" w:rsidRPr="00060EF9" w:rsidRDefault="00A2124B" w:rsidP="008A5C11">
            <w:pPr>
              <w:jc w:val="center"/>
              <w:rPr>
                <w:sz w:val="20"/>
                <w:szCs w:val="20"/>
              </w:rPr>
            </w:pPr>
            <w:r w:rsidRPr="00060EF9">
              <w:rPr>
                <w:color w:val="000000"/>
              </w:rPr>
              <w:t>2.2.8.</w:t>
            </w:r>
          </w:p>
        </w:tc>
        <w:tc>
          <w:tcPr>
            <w:tcW w:w="4106" w:type="dxa"/>
            <w:shd w:val="clear" w:color="auto" w:fill="auto"/>
            <w:vAlign w:val="center"/>
          </w:tcPr>
          <w:p w14:paraId="0C045ED7" w14:textId="77777777" w:rsidR="00A2124B" w:rsidRPr="00060EF9" w:rsidRDefault="00A2124B" w:rsidP="008A5C11">
            <w:pPr>
              <w:rPr>
                <w:color w:val="000000"/>
              </w:rPr>
            </w:pPr>
            <w:r w:rsidRPr="00060EF9">
              <w:rPr>
                <w:color w:val="000000"/>
              </w:rPr>
              <w:t>426-529 мм</w:t>
            </w:r>
          </w:p>
        </w:tc>
        <w:tc>
          <w:tcPr>
            <w:tcW w:w="1775" w:type="dxa"/>
            <w:vMerge/>
            <w:vAlign w:val="center"/>
          </w:tcPr>
          <w:p w14:paraId="1EB70CA3" w14:textId="77777777" w:rsidR="00A2124B" w:rsidRPr="00060EF9" w:rsidRDefault="00A2124B" w:rsidP="008A5C11">
            <w:pPr>
              <w:rPr>
                <w:color w:val="000000"/>
              </w:rPr>
            </w:pPr>
          </w:p>
        </w:tc>
        <w:tc>
          <w:tcPr>
            <w:tcW w:w="2466" w:type="dxa"/>
            <w:tcBorders>
              <w:top w:val="nil"/>
              <w:left w:val="nil"/>
              <w:bottom w:val="single" w:sz="8" w:space="0" w:color="auto"/>
              <w:right w:val="single" w:sz="8" w:space="0" w:color="auto"/>
            </w:tcBorders>
            <w:shd w:val="clear" w:color="auto" w:fill="auto"/>
            <w:vAlign w:val="center"/>
          </w:tcPr>
          <w:p w14:paraId="6F6C9B55" w14:textId="77777777" w:rsidR="00A2124B" w:rsidRPr="00060EF9" w:rsidRDefault="00A2124B" w:rsidP="008A5C11">
            <w:pPr>
              <w:ind w:left="-147" w:right="-147"/>
              <w:jc w:val="center"/>
              <w:rPr>
                <w:color w:val="000000"/>
              </w:rPr>
            </w:pPr>
            <w:r w:rsidRPr="00060EF9">
              <w:rPr>
                <w:color w:val="000000"/>
              </w:rPr>
              <w:t>9 349 116</w:t>
            </w:r>
          </w:p>
        </w:tc>
      </w:tr>
      <w:tr w:rsidR="00A2124B" w:rsidRPr="00060EF9" w14:paraId="3177DC13" w14:textId="77777777" w:rsidTr="008A5C11">
        <w:trPr>
          <w:trHeight w:val="60"/>
        </w:trPr>
        <w:tc>
          <w:tcPr>
            <w:tcW w:w="1297" w:type="dxa"/>
            <w:shd w:val="clear" w:color="auto" w:fill="auto"/>
          </w:tcPr>
          <w:p w14:paraId="159F4E35" w14:textId="77777777" w:rsidR="00A2124B" w:rsidRPr="00060EF9" w:rsidRDefault="00A2124B" w:rsidP="008A5C11">
            <w:pPr>
              <w:jc w:val="center"/>
              <w:rPr>
                <w:sz w:val="20"/>
                <w:szCs w:val="20"/>
              </w:rPr>
            </w:pPr>
            <w:r w:rsidRPr="00060EF9">
              <w:rPr>
                <w:color w:val="000000"/>
              </w:rPr>
              <w:t>2.2.9.</w:t>
            </w:r>
          </w:p>
        </w:tc>
        <w:tc>
          <w:tcPr>
            <w:tcW w:w="4106" w:type="dxa"/>
            <w:shd w:val="clear" w:color="auto" w:fill="auto"/>
            <w:vAlign w:val="center"/>
          </w:tcPr>
          <w:p w14:paraId="1B87F5DD" w14:textId="77777777" w:rsidR="00A2124B" w:rsidRPr="00060EF9" w:rsidRDefault="00A2124B" w:rsidP="008A5C11">
            <w:pPr>
              <w:rPr>
                <w:color w:val="000000"/>
              </w:rPr>
            </w:pPr>
            <w:r w:rsidRPr="00060EF9">
              <w:rPr>
                <w:color w:val="000000"/>
              </w:rPr>
              <w:t>530 мм и выше</w:t>
            </w:r>
          </w:p>
        </w:tc>
        <w:tc>
          <w:tcPr>
            <w:tcW w:w="1775" w:type="dxa"/>
            <w:vMerge/>
            <w:vAlign w:val="center"/>
          </w:tcPr>
          <w:p w14:paraId="49EFD203" w14:textId="77777777" w:rsidR="00A2124B" w:rsidRPr="00060EF9" w:rsidRDefault="00A2124B" w:rsidP="008A5C11">
            <w:pPr>
              <w:rPr>
                <w:color w:val="000000"/>
              </w:rPr>
            </w:pPr>
          </w:p>
        </w:tc>
        <w:tc>
          <w:tcPr>
            <w:tcW w:w="2466" w:type="dxa"/>
            <w:tcBorders>
              <w:top w:val="nil"/>
              <w:left w:val="nil"/>
              <w:bottom w:val="single" w:sz="8" w:space="0" w:color="auto"/>
              <w:right w:val="single" w:sz="8" w:space="0" w:color="auto"/>
            </w:tcBorders>
            <w:shd w:val="clear" w:color="auto" w:fill="auto"/>
            <w:vAlign w:val="center"/>
          </w:tcPr>
          <w:p w14:paraId="105895CF" w14:textId="77777777" w:rsidR="00A2124B" w:rsidRPr="00060EF9" w:rsidRDefault="00A2124B" w:rsidP="008A5C11">
            <w:pPr>
              <w:ind w:left="-147" w:right="-147"/>
              <w:jc w:val="center"/>
              <w:rPr>
                <w:color w:val="000000"/>
              </w:rPr>
            </w:pPr>
            <w:r w:rsidRPr="00060EF9">
              <w:rPr>
                <w:color w:val="000000"/>
              </w:rPr>
              <w:t>11 801 185</w:t>
            </w:r>
          </w:p>
        </w:tc>
      </w:tr>
      <w:tr w:rsidR="00A2124B" w:rsidRPr="00060EF9" w14:paraId="5EB4AA77" w14:textId="77777777" w:rsidTr="008A5C11">
        <w:trPr>
          <w:trHeight w:val="933"/>
        </w:trPr>
        <w:tc>
          <w:tcPr>
            <w:tcW w:w="1297" w:type="dxa"/>
            <w:shd w:val="clear" w:color="auto" w:fill="auto"/>
            <w:vAlign w:val="center"/>
            <w:hideMark/>
          </w:tcPr>
          <w:p w14:paraId="5E428F61" w14:textId="77777777" w:rsidR="00A2124B" w:rsidRPr="00060EF9" w:rsidRDefault="00A2124B" w:rsidP="008A5C11">
            <w:pPr>
              <w:jc w:val="center"/>
              <w:rPr>
                <w:color w:val="000000"/>
              </w:rPr>
            </w:pPr>
            <w:r w:rsidRPr="00060EF9">
              <w:rPr>
                <w:color w:val="000000"/>
              </w:rPr>
              <w:t>3.</w:t>
            </w:r>
          </w:p>
        </w:tc>
        <w:tc>
          <w:tcPr>
            <w:tcW w:w="8347" w:type="dxa"/>
            <w:gridSpan w:val="3"/>
            <w:shd w:val="clear" w:color="auto" w:fill="auto"/>
            <w:vAlign w:val="center"/>
            <w:hideMark/>
          </w:tcPr>
          <w:p w14:paraId="3A836B35" w14:textId="77777777" w:rsidR="00A2124B" w:rsidRPr="00060EF9" w:rsidRDefault="00A2124B" w:rsidP="008A5C11">
            <w:pPr>
              <w:rPr>
                <w:color w:val="000000"/>
              </w:rPr>
            </w:pPr>
            <w:r w:rsidRPr="00060EF9">
              <w:rPr>
                <w:color w:val="000000"/>
              </w:rPr>
              <w:t>Размер стандартизированной тарифной ставки С</w:t>
            </w:r>
            <w:r w:rsidRPr="00060EF9">
              <w:rPr>
                <w:color w:val="000000"/>
                <w:vertAlign w:val="subscript"/>
              </w:rPr>
              <w:t xml:space="preserve">3 </w:t>
            </w:r>
            <w:r w:rsidRPr="00060EF9">
              <w:rPr>
                <w:color w:val="000000"/>
              </w:rPr>
              <w:t xml:space="preserve">на покрытие расходов газораспределительной организации, связанных со строительством </w:t>
            </w:r>
            <w:r w:rsidRPr="00060EF9">
              <w:rPr>
                <w:bCs/>
                <w:color w:val="000000"/>
              </w:rPr>
              <w:t xml:space="preserve">полиэтиленового </w:t>
            </w:r>
            <w:r w:rsidRPr="00060EF9">
              <w:rPr>
                <w:color w:val="000000"/>
              </w:rPr>
              <w:t xml:space="preserve">газопровода наружным диаметром </w:t>
            </w:r>
            <w:r w:rsidRPr="00060EF9">
              <w:rPr>
                <w:color w:val="2D2D2D"/>
              </w:rPr>
              <w:t>(НДС не облагается, с налогом на прибыль)</w:t>
            </w:r>
            <w:r w:rsidRPr="00060EF9">
              <w:rPr>
                <w:color w:val="000000"/>
              </w:rPr>
              <w:t>:</w:t>
            </w:r>
          </w:p>
        </w:tc>
      </w:tr>
      <w:tr w:rsidR="00A2124B" w:rsidRPr="00060EF9" w14:paraId="55D65BC1" w14:textId="77777777" w:rsidTr="008A5C11">
        <w:trPr>
          <w:trHeight w:val="70"/>
        </w:trPr>
        <w:tc>
          <w:tcPr>
            <w:tcW w:w="1297" w:type="dxa"/>
            <w:shd w:val="clear" w:color="auto" w:fill="auto"/>
            <w:vAlign w:val="center"/>
            <w:hideMark/>
          </w:tcPr>
          <w:p w14:paraId="53FC8BBE" w14:textId="77777777" w:rsidR="00A2124B" w:rsidRPr="00060EF9" w:rsidRDefault="00A2124B" w:rsidP="008A5C11">
            <w:pPr>
              <w:jc w:val="center"/>
              <w:rPr>
                <w:color w:val="000000"/>
              </w:rPr>
            </w:pPr>
            <w:r w:rsidRPr="00060EF9">
              <w:rPr>
                <w:color w:val="000000"/>
              </w:rPr>
              <w:t>3.1.</w:t>
            </w:r>
          </w:p>
        </w:tc>
        <w:tc>
          <w:tcPr>
            <w:tcW w:w="4106" w:type="dxa"/>
            <w:shd w:val="clear" w:color="auto" w:fill="auto"/>
            <w:vAlign w:val="center"/>
            <w:hideMark/>
          </w:tcPr>
          <w:p w14:paraId="1A89E32C" w14:textId="77777777" w:rsidR="00A2124B" w:rsidRPr="00060EF9" w:rsidRDefault="00A2124B" w:rsidP="008A5C11">
            <w:pPr>
              <w:rPr>
                <w:color w:val="000000"/>
              </w:rPr>
            </w:pPr>
            <w:r w:rsidRPr="00060EF9">
              <w:rPr>
                <w:color w:val="000000"/>
              </w:rPr>
              <w:t>109 мм и менее</w:t>
            </w:r>
          </w:p>
        </w:tc>
        <w:tc>
          <w:tcPr>
            <w:tcW w:w="1775" w:type="dxa"/>
            <w:vMerge w:val="restart"/>
            <w:shd w:val="clear" w:color="auto" w:fill="auto"/>
            <w:vAlign w:val="center"/>
            <w:hideMark/>
          </w:tcPr>
          <w:p w14:paraId="36DCDF15" w14:textId="77777777" w:rsidR="00A2124B" w:rsidRPr="00060EF9" w:rsidRDefault="00A2124B" w:rsidP="008A5C11">
            <w:pPr>
              <w:jc w:val="center"/>
              <w:rPr>
                <w:color w:val="000000"/>
              </w:rPr>
            </w:pPr>
            <w:r w:rsidRPr="00060EF9">
              <w:rPr>
                <w:color w:val="000000"/>
              </w:rPr>
              <w:t>руб./км</w:t>
            </w:r>
          </w:p>
        </w:tc>
        <w:tc>
          <w:tcPr>
            <w:tcW w:w="2466" w:type="dxa"/>
            <w:shd w:val="clear" w:color="auto" w:fill="auto"/>
            <w:hideMark/>
          </w:tcPr>
          <w:p w14:paraId="52670923" w14:textId="77777777" w:rsidR="00A2124B" w:rsidRPr="00060EF9" w:rsidRDefault="00A2124B" w:rsidP="008A5C11">
            <w:pPr>
              <w:ind w:left="-147" w:right="-147"/>
              <w:jc w:val="center"/>
              <w:rPr>
                <w:color w:val="000000"/>
              </w:rPr>
            </w:pPr>
            <w:r w:rsidRPr="00060EF9">
              <w:rPr>
                <w:color w:val="000000"/>
              </w:rPr>
              <w:t>8 748 472</w:t>
            </w:r>
          </w:p>
        </w:tc>
      </w:tr>
      <w:tr w:rsidR="00A2124B" w:rsidRPr="00060EF9" w14:paraId="1C7293CA" w14:textId="77777777" w:rsidTr="008A5C11">
        <w:trPr>
          <w:trHeight w:val="20"/>
        </w:trPr>
        <w:tc>
          <w:tcPr>
            <w:tcW w:w="1297" w:type="dxa"/>
            <w:shd w:val="clear" w:color="auto" w:fill="auto"/>
            <w:vAlign w:val="center"/>
            <w:hideMark/>
          </w:tcPr>
          <w:p w14:paraId="1B8AE55D" w14:textId="77777777" w:rsidR="00A2124B" w:rsidRPr="00060EF9" w:rsidRDefault="00A2124B" w:rsidP="008A5C11">
            <w:pPr>
              <w:jc w:val="center"/>
              <w:rPr>
                <w:color w:val="000000"/>
              </w:rPr>
            </w:pPr>
            <w:r w:rsidRPr="00060EF9">
              <w:rPr>
                <w:color w:val="000000"/>
              </w:rPr>
              <w:t>3.2.</w:t>
            </w:r>
          </w:p>
        </w:tc>
        <w:tc>
          <w:tcPr>
            <w:tcW w:w="4106" w:type="dxa"/>
            <w:shd w:val="clear" w:color="auto" w:fill="auto"/>
            <w:vAlign w:val="center"/>
            <w:hideMark/>
          </w:tcPr>
          <w:p w14:paraId="3A8DE9FE" w14:textId="77777777" w:rsidR="00A2124B" w:rsidRPr="00060EF9" w:rsidRDefault="00A2124B" w:rsidP="008A5C11">
            <w:pPr>
              <w:rPr>
                <w:color w:val="000000"/>
              </w:rPr>
            </w:pPr>
            <w:r w:rsidRPr="00060EF9">
              <w:rPr>
                <w:color w:val="000000"/>
              </w:rPr>
              <w:t>110-159 мм</w:t>
            </w:r>
          </w:p>
        </w:tc>
        <w:tc>
          <w:tcPr>
            <w:tcW w:w="1775" w:type="dxa"/>
            <w:vMerge/>
            <w:vAlign w:val="center"/>
            <w:hideMark/>
          </w:tcPr>
          <w:p w14:paraId="71567A81" w14:textId="77777777" w:rsidR="00A2124B" w:rsidRPr="00060EF9" w:rsidRDefault="00A2124B" w:rsidP="008A5C11">
            <w:pPr>
              <w:rPr>
                <w:color w:val="000000"/>
              </w:rPr>
            </w:pPr>
          </w:p>
        </w:tc>
        <w:tc>
          <w:tcPr>
            <w:tcW w:w="2466" w:type="dxa"/>
            <w:shd w:val="clear" w:color="auto" w:fill="auto"/>
            <w:hideMark/>
          </w:tcPr>
          <w:p w14:paraId="1DA6A0C6" w14:textId="77777777" w:rsidR="00A2124B" w:rsidRPr="00060EF9" w:rsidRDefault="00A2124B" w:rsidP="008A5C11">
            <w:pPr>
              <w:ind w:left="-147" w:right="-147"/>
              <w:jc w:val="center"/>
              <w:rPr>
                <w:color w:val="000000"/>
              </w:rPr>
            </w:pPr>
            <w:r w:rsidRPr="00060EF9">
              <w:rPr>
                <w:color w:val="000000"/>
              </w:rPr>
              <w:t>4 075 452</w:t>
            </w:r>
          </w:p>
        </w:tc>
      </w:tr>
      <w:tr w:rsidR="00A2124B" w:rsidRPr="00060EF9" w14:paraId="248CA89A" w14:textId="77777777" w:rsidTr="008A5C11">
        <w:trPr>
          <w:trHeight w:val="20"/>
        </w:trPr>
        <w:tc>
          <w:tcPr>
            <w:tcW w:w="1297" w:type="dxa"/>
            <w:shd w:val="clear" w:color="auto" w:fill="auto"/>
            <w:vAlign w:val="center"/>
            <w:hideMark/>
          </w:tcPr>
          <w:p w14:paraId="729C6746" w14:textId="77777777" w:rsidR="00A2124B" w:rsidRPr="00060EF9" w:rsidRDefault="00A2124B" w:rsidP="008A5C11">
            <w:pPr>
              <w:jc w:val="center"/>
              <w:rPr>
                <w:color w:val="000000"/>
              </w:rPr>
            </w:pPr>
            <w:r w:rsidRPr="00060EF9">
              <w:rPr>
                <w:color w:val="000000"/>
              </w:rPr>
              <w:t>3.3.</w:t>
            </w:r>
          </w:p>
        </w:tc>
        <w:tc>
          <w:tcPr>
            <w:tcW w:w="4106" w:type="dxa"/>
            <w:shd w:val="clear" w:color="auto" w:fill="auto"/>
            <w:vAlign w:val="center"/>
            <w:hideMark/>
          </w:tcPr>
          <w:p w14:paraId="7532DFCA" w14:textId="77777777" w:rsidR="00A2124B" w:rsidRPr="00060EF9" w:rsidRDefault="00A2124B" w:rsidP="008A5C11">
            <w:pPr>
              <w:rPr>
                <w:color w:val="000000"/>
              </w:rPr>
            </w:pPr>
            <w:r w:rsidRPr="00060EF9">
              <w:rPr>
                <w:color w:val="000000"/>
              </w:rPr>
              <w:t>160-224 мм</w:t>
            </w:r>
          </w:p>
        </w:tc>
        <w:tc>
          <w:tcPr>
            <w:tcW w:w="1775" w:type="dxa"/>
            <w:vMerge/>
            <w:vAlign w:val="center"/>
            <w:hideMark/>
          </w:tcPr>
          <w:p w14:paraId="3BC02FDC" w14:textId="77777777" w:rsidR="00A2124B" w:rsidRPr="00060EF9" w:rsidRDefault="00A2124B" w:rsidP="008A5C11">
            <w:pPr>
              <w:rPr>
                <w:color w:val="000000"/>
              </w:rPr>
            </w:pPr>
          </w:p>
        </w:tc>
        <w:tc>
          <w:tcPr>
            <w:tcW w:w="2466" w:type="dxa"/>
            <w:shd w:val="clear" w:color="auto" w:fill="auto"/>
            <w:hideMark/>
          </w:tcPr>
          <w:p w14:paraId="56F8DEEA" w14:textId="77777777" w:rsidR="00A2124B" w:rsidRPr="00060EF9" w:rsidRDefault="00A2124B" w:rsidP="008A5C11">
            <w:pPr>
              <w:ind w:left="-147" w:right="-147"/>
              <w:jc w:val="center"/>
              <w:rPr>
                <w:color w:val="000000"/>
              </w:rPr>
            </w:pPr>
            <w:r w:rsidRPr="00060EF9">
              <w:rPr>
                <w:color w:val="000000"/>
              </w:rPr>
              <w:t>4 452 822</w:t>
            </w:r>
          </w:p>
        </w:tc>
      </w:tr>
      <w:tr w:rsidR="00A2124B" w:rsidRPr="00060EF9" w14:paraId="20FC433F" w14:textId="77777777" w:rsidTr="008A5C11">
        <w:trPr>
          <w:trHeight w:val="20"/>
        </w:trPr>
        <w:tc>
          <w:tcPr>
            <w:tcW w:w="1297" w:type="dxa"/>
            <w:shd w:val="clear" w:color="auto" w:fill="auto"/>
            <w:vAlign w:val="center"/>
            <w:hideMark/>
          </w:tcPr>
          <w:p w14:paraId="432CDD82" w14:textId="77777777" w:rsidR="00A2124B" w:rsidRPr="00060EF9" w:rsidRDefault="00A2124B" w:rsidP="008A5C11">
            <w:pPr>
              <w:jc w:val="center"/>
              <w:rPr>
                <w:color w:val="000000"/>
              </w:rPr>
            </w:pPr>
            <w:r w:rsidRPr="00060EF9">
              <w:rPr>
                <w:color w:val="000000"/>
              </w:rPr>
              <w:t>3.4.</w:t>
            </w:r>
          </w:p>
        </w:tc>
        <w:tc>
          <w:tcPr>
            <w:tcW w:w="4106" w:type="dxa"/>
            <w:shd w:val="clear" w:color="auto" w:fill="auto"/>
            <w:vAlign w:val="center"/>
            <w:hideMark/>
          </w:tcPr>
          <w:p w14:paraId="2B3A9B98" w14:textId="77777777" w:rsidR="00A2124B" w:rsidRPr="00060EF9" w:rsidRDefault="00A2124B" w:rsidP="008A5C11">
            <w:pPr>
              <w:rPr>
                <w:color w:val="000000"/>
              </w:rPr>
            </w:pPr>
            <w:r w:rsidRPr="00060EF9">
              <w:rPr>
                <w:color w:val="000000"/>
              </w:rPr>
              <w:t>225-314 мм</w:t>
            </w:r>
          </w:p>
        </w:tc>
        <w:tc>
          <w:tcPr>
            <w:tcW w:w="1775" w:type="dxa"/>
            <w:vMerge/>
            <w:vAlign w:val="center"/>
            <w:hideMark/>
          </w:tcPr>
          <w:p w14:paraId="026FE81F" w14:textId="77777777" w:rsidR="00A2124B" w:rsidRPr="00060EF9" w:rsidRDefault="00A2124B" w:rsidP="008A5C11">
            <w:pPr>
              <w:rPr>
                <w:color w:val="000000"/>
              </w:rPr>
            </w:pPr>
          </w:p>
        </w:tc>
        <w:tc>
          <w:tcPr>
            <w:tcW w:w="2466" w:type="dxa"/>
            <w:shd w:val="clear" w:color="auto" w:fill="auto"/>
            <w:hideMark/>
          </w:tcPr>
          <w:p w14:paraId="1A288ED5" w14:textId="77777777" w:rsidR="00A2124B" w:rsidRPr="00060EF9" w:rsidRDefault="00A2124B" w:rsidP="008A5C11">
            <w:pPr>
              <w:ind w:left="-147" w:right="-147"/>
              <w:jc w:val="center"/>
              <w:rPr>
                <w:color w:val="000000"/>
              </w:rPr>
            </w:pPr>
            <w:r w:rsidRPr="00060EF9">
              <w:rPr>
                <w:color w:val="000000"/>
              </w:rPr>
              <w:t>4 926 667</w:t>
            </w:r>
          </w:p>
        </w:tc>
      </w:tr>
      <w:tr w:rsidR="00A2124B" w:rsidRPr="00060EF9" w14:paraId="65182C11" w14:textId="77777777" w:rsidTr="008A5C11">
        <w:trPr>
          <w:trHeight w:val="20"/>
        </w:trPr>
        <w:tc>
          <w:tcPr>
            <w:tcW w:w="1297" w:type="dxa"/>
            <w:shd w:val="clear" w:color="auto" w:fill="auto"/>
            <w:vAlign w:val="center"/>
            <w:hideMark/>
          </w:tcPr>
          <w:p w14:paraId="08AC8568" w14:textId="77777777" w:rsidR="00A2124B" w:rsidRPr="00060EF9" w:rsidRDefault="00A2124B" w:rsidP="008A5C11">
            <w:pPr>
              <w:jc w:val="center"/>
              <w:rPr>
                <w:color w:val="000000"/>
              </w:rPr>
            </w:pPr>
            <w:r w:rsidRPr="00060EF9">
              <w:rPr>
                <w:color w:val="000000"/>
              </w:rPr>
              <w:t>3.5.</w:t>
            </w:r>
          </w:p>
        </w:tc>
        <w:tc>
          <w:tcPr>
            <w:tcW w:w="4106" w:type="dxa"/>
            <w:shd w:val="clear" w:color="auto" w:fill="auto"/>
            <w:vAlign w:val="center"/>
            <w:hideMark/>
          </w:tcPr>
          <w:p w14:paraId="5D869F20" w14:textId="77777777" w:rsidR="00A2124B" w:rsidRPr="00060EF9" w:rsidRDefault="00A2124B" w:rsidP="008A5C11">
            <w:pPr>
              <w:rPr>
                <w:color w:val="000000"/>
              </w:rPr>
            </w:pPr>
            <w:r w:rsidRPr="00060EF9">
              <w:rPr>
                <w:color w:val="000000"/>
              </w:rPr>
              <w:t>315-399 мм</w:t>
            </w:r>
          </w:p>
        </w:tc>
        <w:tc>
          <w:tcPr>
            <w:tcW w:w="1775" w:type="dxa"/>
            <w:vMerge/>
            <w:vAlign w:val="center"/>
            <w:hideMark/>
          </w:tcPr>
          <w:p w14:paraId="10937F3F" w14:textId="77777777" w:rsidR="00A2124B" w:rsidRPr="00060EF9" w:rsidRDefault="00A2124B" w:rsidP="008A5C11">
            <w:pPr>
              <w:rPr>
                <w:color w:val="000000"/>
              </w:rPr>
            </w:pPr>
          </w:p>
        </w:tc>
        <w:tc>
          <w:tcPr>
            <w:tcW w:w="2466" w:type="dxa"/>
            <w:shd w:val="clear" w:color="auto" w:fill="auto"/>
            <w:hideMark/>
          </w:tcPr>
          <w:p w14:paraId="05854797" w14:textId="77777777" w:rsidR="00A2124B" w:rsidRPr="00060EF9" w:rsidRDefault="00A2124B" w:rsidP="008A5C11">
            <w:pPr>
              <w:ind w:left="-147" w:right="-147"/>
              <w:jc w:val="center"/>
              <w:rPr>
                <w:color w:val="000000"/>
              </w:rPr>
            </w:pPr>
            <w:r w:rsidRPr="00060EF9">
              <w:rPr>
                <w:color w:val="000000"/>
              </w:rPr>
              <w:t>7 381 514</w:t>
            </w:r>
          </w:p>
        </w:tc>
      </w:tr>
      <w:tr w:rsidR="00A2124B" w:rsidRPr="00060EF9" w14:paraId="0EA83AAF" w14:textId="77777777" w:rsidTr="008A5C11">
        <w:trPr>
          <w:trHeight w:val="70"/>
        </w:trPr>
        <w:tc>
          <w:tcPr>
            <w:tcW w:w="1297" w:type="dxa"/>
            <w:shd w:val="clear" w:color="auto" w:fill="auto"/>
            <w:vAlign w:val="center"/>
            <w:hideMark/>
          </w:tcPr>
          <w:p w14:paraId="6B5F7B90" w14:textId="77777777" w:rsidR="00A2124B" w:rsidRPr="00060EF9" w:rsidRDefault="00A2124B" w:rsidP="008A5C11">
            <w:pPr>
              <w:jc w:val="center"/>
              <w:rPr>
                <w:color w:val="000000"/>
              </w:rPr>
            </w:pPr>
            <w:r w:rsidRPr="00060EF9">
              <w:rPr>
                <w:color w:val="000000"/>
              </w:rPr>
              <w:t>3.6.</w:t>
            </w:r>
          </w:p>
        </w:tc>
        <w:tc>
          <w:tcPr>
            <w:tcW w:w="4106" w:type="dxa"/>
            <w:shd w:val="clear" w:color="auto" w:fill="auto"/>
            <w:vAlign w:val="center"/>
            <w:hideMark/>
          </w:tcPr>
          <w:p w14:paraId="49143906" w14:textId="77777777" w:rsidR="00A2124B" w:rsidRPr="00060EF9" w:rsidRDefault="00A2124B" w:rsidP="008A5C11">
            <w:pPr>
              <w:rPr>
                <w:color w:val="000000"/>
              </w:rPr>
            </w:pPr>
            <w:r w:rsidRPr="00060EF9">
              <w:rPr>
                <w:color w:val="000000"/>
              </w:rPr>
              <w:t>400 мм и выше</w:t>
            </w:r>
          </w:p>
        </w:tc>
        <w:tc>
          <w:tcPr>
            <w:tcW w:w="1775" w:type="dxa"/>
            <w:vMerge/>
            <w:vAlign w:val="center"/>
            <w:hideMark/>
          </w:tcPr>
          <w:p w14:paraId="27DC82CF" w14:textId="77777777" w:rsidR="00A2124B" w:rsidRPr="00060EF9" w:rsidRDefault="00A2124B" w:rsidP="008A5C11">
            <w:pPr>
              <w:rPr>
                <w:color w:val="000000"/>
              </w:rPr>
            </w:pPr>
          </w:p>
        </w:tc>
        <w:tc>
          <w:tcPr>
            <w:tcW w:w="2466" w:type="dxa"/>
            <w:shd w:val="clear" w:color="auto" w:fill="auto"/>
            <w:hideMark/>
          </w:tcPr>
          <w:p w14:paraId="5192FAB1" w14:textId="77777777" w:rsidR="00A2124B" w:rsidRPr="00060EF9" w:rsidRDefault="00A2124B" w:rsidP="008A5C11">
            <w:pPr>
              <w:ind w:left="-147" w:right="-147"/>
              <w:jc w:val="center"/>
              <w:rPr>
                <w:color w:val="000000"/>
              </w:rPr>
            </w:pPr>
            <w:r w:rsidRPr="00060EF9">
              <w:rPr>
                <w:color w:val="000000"/>
              </w:rPr>
              <w:t>9 292 110</w:t>
            </w:r>
          </w:p>
        </w:tc>
      </w:tr>
      <w:tr w:rsidR="00A2124B" w:rsidRPr="00060EF9" w14:paraId="024A0D6C" w14:textId="77777777" w:rsidTr="008A5C11">
        <w:trPr>
          <w:trHeight w:val="973"/>
        </w:trPr>
        <w:tc>
          <w:tcPr>
            <w:tcW w:w="1297" w:type="dxa"/>
            <w:shd w:val="clear" w:color="auto" w:fill="auto"/>
            <w:vAlign w:val="center"/>
            <w:hideMark/>
          </w:tcPr>
          <w:p w14:paraId="66E01201" w14:textId="77777777" w:rsidR="00A2124B" w:rsidRPr="00060EF9" w:rsidRDefault="00A2124B" w:rsidP="008A5C11">
            <w:pPr>
              <w:jc w:val="center"/>
              <w:rPr>
                <w:color w:val="000000"/>
              </w:rPr>
            </w:pPr>
            <w:r w:rsidRPr="00060EF9">
              <w:rPr>
                <w:color w:val="000000"/>
              </w:rPr>
              <w:t>4.</w:t>
            </w:r>
          </w:p>
        </w:tc>
        <w:tc>
          <w:tcPr>
            <w:tcW w:w="8347" w:type="dxa"/>
            <w:gridSpan w:val="3"/>
            <w:shd w:val="clear" w:color="auto" w:fill="auto"/>
            <w:vAlign w:val="center"/>
            <w:hideMark/>
          </w:tcPr>
          <w:p w14:paraId="3D1FA6AD" w14:textId="77777777" w:rsidR="00A2124B" w:rsidRPr="00060EF9" w:rsidRDefault="00A2124B" w:rsidP="008A5C11">
            <w:pPr>
              <w:rPr>
                <w:color w:val="000000"/>
              </w:rPr>
            </w:pPr>
            <w:r w:rsidRPr="00060EF9">
              <w:rPr>
                <w:color w:val="000000"/>
              </w:rPr>
              <w:t>Размер стандартизированной тарифной ставки С</w:t>
            </w:r>
            <w:r w:rsidRPr="00060EF9">
              <w:rPr>
                <w:color w:val="000000"/>
                <w:vertAlign w:val="subscript"/>
              </w:rPr>
              <w:t>4</w:t>
            </w:r>
            <w:r w:rsidRPr="00060EF9">
              <w:rPr>
                <w:color w:val="000000"/>
              </w:rPr>
              <w:t xml:space="preserve"> на покрытие расходов газораспределительной организации, связанных со строительством стального и полиэтиленового газопроводов бестраншейным способом (НДС не облагается, с налогом на прибыль):</w:t>
            </w:r>
          </w:p>
        </w:tc>
      </w:tr>
      <w:tr w:rsidR="00A2124B" w:rsidRPr="00060EF9" w14:paraId="4EEED672" w14:textId="77777777" w:rsidTr="008A5C11">
        <w:trPr>
          <w:trHeight w:val="47"/>
        </w:trPr>
        <w:tc>
          <w:tcPr>
            <w:tcW w:w="1297" w:type="dxa"/>
            <w:shd w:val="clear" w:color="auto" w:fill="auto"/>
            <w:vAlign w:val="center"/>
            <w:hideMark/>
          </w:tcPr>
          <w:p w14:paraId="6DF1A227" w14:textId="77777777" w:rsidR="00A2124B" w:rsidRPr="00060EF9" w:rsidRDefault="00A2124B" w:rsidP="008A5C11">
            <w:pPr>
              <w:jc w:val="center"/>
              <w:rPr>
                <w:color w:val="000000"/>
              </w:rPr>
            </w:pPr>
            <w:r w:rsidRPr="00060EF9">
              <w:rPr>
                <w:color w:val="000000"/>
              </w:rPr>
              <w:t>4.1.</w:t>
            </w:r>
          </w:p>
        </w:tc>
        <w:tc>
          <w:tcPr>
            <w:tcW w:w="8347" w:type="dxa"/>
            <w:gridSpan w:val="3"/>
            <w:shd w:val="clear" w:color="auto" w:fill="auto"/>
            <w:vAlign w:val="center"/>
            <w:hideMark/>
          </w:tcPr>
          <w:p w14:paraId="69E69BAB" w14:textId="77777777" w:rsidR="00A2124B" w:rsidRPr="00060EF9" w:rsidRDefault="00A2124B" w:rsidP="008A5C11">
            <w:pPr>
              <w:rPr>
                <w:color w:val="000000"/>
              </w:rPr>
            </w:pPr>
            <w:r w:rsidRPr="00060EF9">
              <w:rPr>
                <w:bCs/>
                <w:color w:val="000000"/>
              </w:rPr>
              <w:t>полиэтиленовых</w:t>
            </w:r>
            <w:r w:rsidRPr="00060EF9">
              <w:rPr>
                <w:color w:val="000000"/>
              </w:rPr>
              <w:t xml:space="preserve"> газопроводов наружным диаметром:</w:t>
            </w:r>
          </w:p>
        </w:tc>
      </w:tr>
      <w:tr w:rsidR="00A2124B" w:rsidRPr="00060EF9" w14:paraId="6A41BCE7" w14:textId="77777777" w:rsidTr="008A5C11">
        <w:trPr>
          <w:trHeight w:val="276"/>
        </w:trPr>
        <w:tc>
          <w:tcPr>
            <w:tcW w:w="1297" w:type="dxa"/>
            <w:shd w:val="clear" w:color="auto" w:fill="auto"/>
            <w:vAlign w:val="center"/>
            <w:hideMark/>
          </w:tcPr>
          <w:p w14:paraId="3BA5BFC3" w14:textId="77777777" w:rsidR="00A2124B" w:rsidRPr="00060EF9" w:rsidRDefault="00A2124B" w:rsidP="008A5C11">
            <w:pPr>
              <w:jc w:val="center"/>
              <w:rPr>
                <w:color w:val="000000"/>
              </w:rPr>
            </w:pPr>
            <w:r w:rsidRPr="00060EF9">
              <w:rPr>
                <w:color w:val="000000"/>
              </w:rPr>
              <w:t>4.1.1.</w:t>
            </w:r>
          </w:p>
        </w:tc>
        <w:tc>
          <w:tcPr>
            <w:tcW w:w="8347" w:type="dxa"/>
            <w:gridSpan w:val="3"/>
            <w:shd w:val="clear" w:color="auto" w:fill="auto"/>
            <w:vAlign w:val="center"/>
            <w:hideMark/>
          </w:tcPr>
          <w:p w14:paraId="60BA6857" w14:textId="77777777" w:rsidR="00A2124B" w:rsidRPr="00060EF9" w:rsidRDefault="00A2124B" w:rsidP="008A5C11">
            <w:pPr>
              <w:rPr>
                <w:color w:val="000000"/>
              </w:rPr>
            </w:pPr>
            <w:r w:rsidRPr="00060EF9">
              <w:rPr>
                <w:color w:val="000000"/>
              </w:rPr>
              <w:t>109 мм и менее, в грунтах:</w:t>
            </w:r>
          </w:p>
        </w:tc>
      </w:tr>
      <w:tr w:rsidR="00A2124B" w:rsidRPr="00060EF9" w14:paraId="312B1E87" w14:textId="77777777" w:rsidTr="008A5C11">
        <w:trPr>
          <w:trHeight w:val="47"/>
        </w:trPr>
        <w:tc>
          <w:tcPr>
            <w:tcW w:w="1297" w:type="dxa"/>
            <w:shd w:val="clear" w:color="auto" w:fill="auto"/>
            <w:vAlign w:val="center"/>
            <w:hideMark/>
          </w:tcPr>
          <w:p w14:paraId="76F8C7F3" w14:textId="77777777" w:rsidR="00A2124B" w:rsidRPr="00060EF9" w:rsidRDefault="00A2124B" w:rsidP="008A5C11">
            <w:pPr>
              <w:jc w:val="center"/>
              <w:rPr>
                <w:color w:val="000000"/>
              </w:rPr>
            </w:pPr>
            <w:r w:rsidRPr="00060EF9">
              <w:rPr>
                <w:color w:val="000000"/>
              </w:rPr>
              <w:t>4.1.1.1.</w:t>
            </w:r>
          </w:p>
        </w:tc>
        <w:tc>
          <w:tcPr>
            <w:tcW w:w="4106" w:type="dxa"/>
            <w:shd w:val="clear" w:color="auto" w:fill="auto"/>
            <w:vAlign w:val="center"/>
            <w:hideMark/>
          </w:tcPr>
          <w:p w14:paraId="411BB3E8" w14:textId="77777777" w:rsidR="00A2124B" w:rsidRPr="00060EF9" w:rsidRDefault="00A2124B" w:rsidP="008A5C11">
            <w:pPr>
              <w:rPr>
                <w:color w:val="000000"/>
              </w:rPr>
            </w:pPr>
            <w:r w:rsidRPr="00060EF9">
              <w:rPr>
                <w:color w:val="000000"/>
              </w:rPr>
              <w:t>I и II группы</w:t>
            </w:r>
          </w:p>
        </w:tc>
        <w:tc>
          <w:tcPr>
            <w:tcW w:w="1775" w:type="dxa"/>
            <w:shd w:val="clear" w:color="auto" w:fill="auto"/>
            <w:vAlign w:val="center"/>
            <w:hideMark/>
          </w:tcPr>
          <w:p w14:paraId="5ED1A438" w14:textId="77777777" w:rsidR="00A2124B" w:rsidRPr="00060EF9" w:rsidRDefault="00A2124B" w:rsidP="008A5C11">
            <w:pPr>
              <w:jc w:val="center"/>
              <w:rPr>
                <w:color w:val="000000"/>
              </w:rPr>
            </w:pPr>
            <w:r w:rsidRPr="00060EF9">
              <w:rPr>
                <w:color w:val="000000"/>
              </w:rPr>
              <w:t>руб./км</w:t>
            </w:r>
          </w:p>
        </w:tc>
        <w:tc>
          <w:tcPr>
            <w:tcW w:w="2466" w:type="dxa"/>
            <w:shd w:val="clear" w:color="000000" w:fill="FFFFFF"/>
            <w:vAlign w:val="center"/>
            <w:hideMark/>
          </w:tcPr>
          <w:p w14:paraId="2B95E97D" w14:textId="77777777" w:rsidR="00A2124B" w:rsidRPr="00060EF9" w:rsidRDefault="00A2124B" w:rsidP="008A5C11">
            <w:pPr>
              <w:jc w:val="center"/>
              <w:rPr>
                <w:color w:val="000000"/>
              </w:rPr>
            </w:pPr>
            <w:r w:rsidRPr="00060EF9">
              <w:rPr>
                <w:color w:val="000000"/>
              </w:rPr>
              <w:t>6 181 491</w:t>
            </w:r>
          </w:p>
        </w:tc>
      </w:tr>
      <w:tr w:rsidR="00A2124B" w:rsidRPr="00060EF9" w14:paraId="4FFB73D3" w14:textId="77777777" w:rsidTr="008A5C11">
        <w:trPr>
          <w:trHeight w:val="47"/>
        </w:trPr>
        <w:tc>
          <w:tcPr>
            <w:tcW w:w="1297" w:type="dxa"/>
            <w:shd w:val="clear" w:color="auto" w:fill="auto"/>
            <w:vAlign w:val="center"/>
            <w:hideMark/>
          </w:tcPr>
          <w:p w14:paraId="5E3EEAC5" w14:textId="77777777" w:rsidR="00A2124B" w:rsidRPr="00060EF9" w:rsidRDefault="00A2124B" w:rsidP="008A5C11">
            <w:pPr>
              <w:jc w:val="center"/>
              <w:rPr>
                <w:color w:val="000000"/>
              </w:rPr>
            </w:pPr>
            <w:r w:rsidRPr="00060EF9">
              <w:rPr>
                <w:color w:val="000000"/>
              </w:rPr>
              <w:t>4.1.2.</w:t>
            </w:r>
          </w:p>
        </w:tc>
        <w:tc>
          <w:tcPr>
            <w:tcW w:w="8347" w:type="dxa"/>
            <w:gridSpan w:val="3"/>
            <w:shd w:val="clear" w:color="auto" w:fill="auto"/>
            <w:vAlign w:val="center"/>
            <w:hideMark/>
          </w:tcPr>
          <w:p w14:paraId="2EC17D94" w14:textId="77777777" w:rsidR="00A2124B" w:rsidRPr="00060EF9" w:rsidRDefault="00A2124B" w:rsidP="008A5C11">
            <w:pPr>
              <w:rPr>
                <w:color w:val="000000"/>
              </w:rPr>
            </w:pPr>
            <w:r w:rsidRPr="00060EF9">
              <w:rPr>
                <w:color w:val="000000"/>
              </w:rPr>
              <w:t>110-159 мм, в грунтах:</w:t>
            </w:r>
          </w:p>
        </w:tc>
      </w:tr>
      <w:tr w:rsidR="00A2124B" w:rsidRPr="00060EF9" w14:paraId="1D5C45A1" w14:textId="77777777" w:rsidTr="008A5C11">
        <w:trPr>
          <w:trHeight w:val="276"/>
        </w:trPr>
        <w:tc>
          <w:tcPr>
            <w:tcW w:w="1297" w:type="dxa"/>
            <w:shd w:val="clear" w:color="auto" w:fill="auto"/>
            <w:vAlign w:val="center"/>
            <w:hideMark/>
          </w:tcPr>
          <w:p w14:paraId="7C97566B" w14:textId="77777777" w:rsidR="00A2124B" w:rsidRPr="00060EF9" w:rsidRDefault="00A2124B" w:rsidP="008A5C11">
            <w:pPr>
              <w:jc w:val="center"/>
              <w:rPr>
                <w:color w:val="000000"/>
              </w:rPr>
            </w:pPr>
            <w:r w:rsidRPr="00060EF9">
              <w:rPr>
                <w:color w:val="000000"/>
              </w:rPr>
              <w:t>4.1.2.1.</w:t>
            </w:r>
          </w:p>
        </w:tc>
        <w:tc>
          <w:tcPr>
            <w:tcW w:w="4106" w:type="dxa"/>
            <w:shd w:val="clear" w:color="auto" w:fill="auto"/>
            <w:vAlign w:val="center"/>
            <w:hideMark/>
          </w:tcPr>
          <w:p w14:paraId="54DB2EDF" w14:textId="77777777" w:rsidR="00A2124B" w:rsidRPr="00060EF9" w:rsidRDefault="00A2124B" w:rsidP="008A5C11">
            <w:pPr>
              <w:rPr>
                <w:color w:val="000000"/>
              </w:rPr>
            </w:pPr>
            <w:r w:rsidRPr="00060EF9">
              <w:rPr>
                <w:color w:val="000000"/>
              </w:rPr>
              <w:t>I и II группы</w:t>
            </w:r>
          </w:p>
        </w:tc>
        <w:tc>
          <w:tcPr>
            <w:tcW w:w="1775" w:type="dxa"/>
            <w:shd w:val="clear" w:color="auto" w:fill="auto"/>
            <w:vAlign w:val="center"/>
            <w:hideMark/>
          </w:tcPr>
          <w:p w14:paraId="77A1FF58" w14:textId="77777777" w:rsidR="00A2124B" w:rsidRPr="00060EF9" w:rsidRDefault="00A2124B" w:rsidP="008A5C11">
            <w:pPr>
              <w:jc w:val="center"/>
              <w:rPr>
                <w:color w:val="000000"/>
              </w:rPr>
            </w:pPr>
            <w:r w:rsidRPr="00060EF9">
              <w:rPr>
                <w:color w:val="000000"/>
              </w:rPr>
              <w:t>руб./км</w:t>
            </w:r>
          </w:p>
        </w:tc>
        <w:tc>
          <w:tcPr>
            <w:tcW w:w="2466" w:type="dxa"/>
            <w:shd w:val="clear" w:color="000000" w:fill="FFFFFF"/>
            <w:vAlign w:val="center"/>
            <w:hideMark/>
          </w:tcPr>
          <w:p w14:paraId="1CCDC71C" w14:textId="77777777" w:rsidR="00A2124B" w:rsidRPr="00060EF9" w:rsidRDefault="00A2124B" w:rsidP="008A5C11">
            <w:pPr>
              <w:jc w:val="center"/>
              <w:rPr>
                <w:color w:val="000000"/>
              </w:rPr>
            </w:pPr>
            <w:r w:rsidRPr="00060EF9">
              <w:rPr>
                <w:color w:val="000000"/>
              </w:rPr>
              <w:t>6 181 491</w:t>
            </w:r>
          </w:p>
        </w:tc>
      </w:tr>
      <w:tr w:rsidR="00A2124B" w:rsidRPr="00060EF9" w14:paraId="6B4597B1" w14:textId="77777777" w:rsidTr="008A5C11">
        <w:trPr>
          <w:trHeight w:val="979"/>
        </w:trPr>
        <w:tc>
          <w:tcPr>
            <w:tcW w:w="1297" w:type="dxa"/>
            <w:shd w:val="clear" w:color="auto" w:fill="auto"/>
            <w:vAlign w:val="center"/>
          </w:tcPr>
          <w:p w14:paraId="77E7FDC3" w14:textId="77777777" w:rsidR="00A2124B" w:rsidRPr="00060EF9" w:rsidRDefault="00A2124B" w:rsidP="008A5C11">
            <w:pPr>
              <w:jc w:val="center"/>
              <w:rPr>
                <w:color w:val="000000"/>
              </w:rPr>
            </w:pPr>
            <w:r w:rsidRPr="00060EF9">
              <w:rPr>
                <w:color w:val="000000"/>
              </w:rPr>
              <w:t>5.</w:t>
            </w:r>
          </w:p>
        </w:tc>
        <w:tc>
          <w:tcPr>
            <w:tcW w:w="8347" w:type="dxa"/>
            <w:gridSpan w:val="3"/>
            <w:shd w:val="clear" w:color="auto" w:fill="auto"/>
            <w:vAlign w:val="center"/>
          </w:tcPr>
          <w:p w14:paraId="19FF1E99" w14:textId="77777777" w:rsidR="00A2124B" w:rsidRPr="00060EF9" w:rsidRDefault="00A2124B" w:rsidP="008A5C11">
            <w:pPr>
              <w:rPr>
                <w:color w:val="000000"/>
              </w:rPr>
            </w:pPr>
            <w:r w:rsidRPr="00060EF9">
              <w:rPr>
                <w:color w:val="000000"/>
              </w:rPr>
              <w:t>Размер стандартизированной тарифной ставки С</w:t>
            </w:r>
            <w:r w:rsidRPr="00060EF9">
              <w:rPr>
                <w:color w:val="000000"/>
                <w:vertAlign w:val="subscript"/>
              </w:rPr>
              <w:t>5</w:t>
            </w:r>
            <w:r w:rsidRPr="00060EF9">
              <w:rPr>
                <w:color w:val="000000"/>
              </w:rPr>
              <w:t xml:space="preserve"> на покрытие расходов ГРО, связанных с проектированием и строительством пунктов редуцирования газа с максимальным часовым расходом газа (НДС не облагается, с налогом на прибыль);</w:t>
            </w:r>
          </w:p>
        </w:tc>
      </w:tr>
      <w:tr w:rsidR="00A2124B" w:rsidRPr="00060EF9" w14:paraId="1FC90720" w14:textId="77777777" w:rsidTr="008A5C11">
        <w:trPr>
          <w:trHeight w:val="276"/>
        </w:trPr>
        <w:tc>
          <w:tcPr>
            <w:tcW w:w="1297" w:type="dxa"/>
            <w:shd w:val="clear" w:color="auto" w:fill="auto"/>
            <w:vAlign w:val="center"/>
          </w:tcPr>
          <w:p w14:paraId="67D93F69" w14:textId="77777777" w:rsidR="00A2124B" w:rsidRPr="00060EF9" w:rsidRDefault="00A2124B" w:rsidP="008A5C11">
            <w:pPr>
              <w:jc w:val="center"/>
              <w:rPr>
                <w:color w:val="000000"/>
              </w:rPr>
            </w:pPr>
            <w:r w:rsidRPr="00060EF9">
              <w:rPr>
                <w:color w:val="000000"/>
              </w:rPr>
              <w:t>5.1.</w:t>
            </w:r>
          </w:p>
        </w:tc>
        <w:tc>
          <w:tcPr>
            <w:tcW w:w="4106" w:type="dxa"/>
            <w:shd w:val="clear" w:color="auto" w:fill="auto"/>
            <w:vAlign w:val="center"/>
          </w:tcPr>
          <w:p w14:paraId="14627E62" w14:textId="77777777" w:rsidR="00A2124B" w:rsidRPr="00060EF9" w:rsidRDefault="00A2124B" w:rsidP="008A5C11">
            <w:pPr>
              <w:rPr>
                <w:color w:val="000000"/>
              </w:rPr>
            </w:pPr>
            <w:r w:rsidRPr="00060EF9">
              <w:rPr>
                <w:color w:val="000000"/>
              </w:rPr>
              <w:t>до 40 м³/час</w:t>
            </w:r>
          </w:p>
        </w:tc>
        <w:tc>
          <w:tcPr>
            <w:tcW w:w="1775" w:type="dxa"/>
            <w:vMerge w:val="restart"/>
            <w:shd w:val="clear" w:color="auto" w:fill="auto"/>
            <w:vAlign w:val="center"/>
          </w:tcPr>
          <w:p w14:paraId="219723E9" w14:textId="77777777" w:rsidR="00A2124B" w:rsidRPr="00060EF9" w:rsidRDefault="00A2124B" w:rsidP="008A5C11">
            <w:pPr>
              <w:jc w:val="center"/>
              <w:rPr>
                <w:color w:val="000000"/>
              </w:rPr>
            </w:pPr>
            <w:r w:rsidRPr="00060EF9">
              <w:rPr>
                <w:color w:val="000000"/>
              </w:rPr>
              <w:t>руб./ м³</w:t>
            </w:r>
          </w:p>
        </w:tc>
        <w:tc>
          <w:tcPr>
            <w:tcW w:w="2466" w:type="dxa"/>
            <w:tcBorders>
              <w:top w:val="nil"/>
              <w:left w:val="nil"/>
              <w:bottom w:val="single" w:sz="8" w:space="0" w:color="auto"/>
              <w:right w:val="single" w:sz="8" w:space="0" w:color="auto"/>
            </w:tcBorders>
            <w:shd w:val="clear" w:color="auto" w:fill="auto"/>
            <w:vAlign w:val="center"/>
          </w:tcPr>
          <w:p w14:paraId="3E495EDD" w14:textId="77777777" w:rsidR="00A2124B" w:rsidRPr="00060EF9" w:rsidRDefault="00A2124B" w:rsidP="008A5C11">
            <w:pPr>
              <w:jc w:val="center"/>
              <w:rPr>
                <w:color w:val="000000"/>
              </w:rPr>
            </w:pPr>
            <w:r w:rsidRPr="00060EF9">
              <w:rPr>
                <w:color w:val="000000"/>
              </w:rPr>
              <w:t>20 397</w:t>
            </w:r>
          </w:p>
        </w:tc>
      </w:tr>
      <w:tr w:rsidR="00A2124B" w:rsidRPr="00060EF9" w14:paraId="2056F049" w14:textId="77777777" w:rsidTr="008A5C11">
        <w:trPr>
          <w:trHeight w:val="276"/>
        </w:trPr>
        <w:tc>
          <w:tcPr>
            <w:tcW w:w="1297" w:type="dxa"/>
            <w:shd w:val="clear" w:color="auto" w:fill="auto"/>
            <w:vAlign w:val="center"/>
          </w:tcPr>
          <w:p w14:paraId="7E230AFF" w14:textId="77777777" w:rsidR="00A2124B" w:rsidRPr="00060EF9" w:rsidRDefault="00A2124B" w:rsidP="008A5C11">
            <w:pPr>
              <w:jc w:val="center"/>
              <w:rPr>
                <w:color w:val="000000"/>
              </w:rPr>
            </w:pPr>
            <w:r w:rsidRPr="00060EF9">
              <w:rPr>
                <w:color w:val="000000"/>
              </w:rPr>
              <w:t>5.2.</w:t>
            </w:r>
          </w:p>
        </w:tc>
        <w:tc>
          <w:tcPr>
            <w:tcW w:w="4106" w:type="dxa"/>
            <w:shd w:val="clear" w:color="auto" w:fill="auto"/>
            <w:vAlign w:val="center"/>
          </w:tcPr>
          <w:p w14:paraId="2169D791" w14:textId="77777777" w:rsidR="00A2124B" w:rsidRPr="00060EF9" w:rsidRDefault="00A2124B" w:rsidP="008A5C11">
            <w:pPr>
              <w:rPr>
                <w:color w:val="000000"/>
              </w:rPr>
            </w:pPr>
            <w:r w:rsidRPr="00060EF9">
              <w:rPr>
                <w:color w:val="000000"/>
              </w:rPr>
              <w:t>40 – 99 м³/час</w:t>
            </w:r>
          </w:p>
        </w:tc>
        <w:tc>
          <w:tcPr>
            <w:tcW w:w="1775" w:type="dxa"/>
            <w:vMerge/>
            <w:shd w:val="clear" w:color="auto" w:fill="auto"/>
          </w:tcPr>
          <w:p w14:paraId="747FA41F" w14:textId="77777777" w:rsidR="00A2124B" w:rsidRPr="00060EF9" w:rsidRDefault="00A2124B" w:rsidP="008A5C11">
            <w:pPr>
              <w:jc w:val="center"/>
              <w:rPr>
                <w:sz w:val="20"/>
                <w:szCs w:val="20"/>
              </w:rPr>
            </w:pPr>
          </w:p>
        </w:tc>
        <w:tc>
          <w:tcPr>
            <w:tcW w:w="2466" w:type="dxa"/>
            <w:tcBorders>
              <w:top w:val="nil"/>
              <w:left w:val="nil"/>
              <w:bottom w:val="single" w:sz="8" w:space="0" w:color="auto"/>
              <w:right w:val="single" w:sz="8" w:space="0" w:color="auto"/>
            </w:tcBorders>
            <w:shd w:val="clear" w:color="auto" w:fill="auto"/>
            <w:vAlign w:val="center"/>
          </w:tcPr>
          <w:p w14:paraId="5FC84048" w14:textId="77777777" w:rsidR="00A2124B" w:rsidRPr="00060EF9" w:rsidRDefault="00A2124B" w:rsidP="008A5C11">
            <w:pPr>
              <w:jc w:val="center"/>
              <w:rPr>
                <w:color w:val="000000"/>
              </w:rPr>
            </w:pPr>
            <w:r w:rsidRPr="00060EF9">
              <w:rPr>
                <w:color w:val="000000"/>
              </w:rPr>
              <w:t>7 533</w:t>
            </w:r>
          </w:p>
        </w:tc>
      </w:tr>
      <w:tr w:rsidR="00A2124B" w:rsidRPr="00060EF9" w14:paraId="351128BC" w14:textId="77777777" w:rsidTr="008A5C11">
        <w:trPr>
          <w:trHeight w:val="276"/>
        </w:trPr>
        <w:tc>
          <w:tcPr>
            <w:tcW w:w="1297" w:type="dxa"/>
            <w:shd w:val="clear" w:color="auto" w:fill="auto"/>
            <w:vAlign w:val="center"/>
          </w:tcPr>
          <w:p w14:paraId="424CEA19" w14:textId="77777777" w:rsidR="00A2124B" w:rsidRPr="00060EF9" w:rsidRDefault="00A2124B" w:rsidP="008A5C11">
            <w:pPr>
              <w:jc w:val="center"/>
              <w:rPr>
                <w:color w:val="000000"/>
              </w:rPr>
            </w:pPr>
            <w:r w:rsidRPr="00060EF9">
              <w:rPr>
                <w:color w:val="000000"/>
              </w:rPr>
              <w:t>5.3.</w:t>
            </w:r>
          </w:p>
        </w:tc>
        <w:tc>
          <w:tcPr>
            <w:tcW w:w="4106" w:type="dxa"/>
            <w:shd w:val="clear" w:color="auto" w:fill="auto"/>
            <w:vAlign w:val="center"/>
          </w:tcPr>
          <w:p w14:paraId="1BBDA929" w14:textId="77777777" w:rsidR="00A2124B" w:rsidRPr="00060EF9" w:rsidRDefault="00A2124B" w:rsidP="008A5C11">
            <w:pPr>
              <w:rPr>
                <w:color w:val="000000"/>
              </w:rPr>
            </w:pPr>
            <w:r w:rsidRPr="00060EF9">
              <w:rPr>
                <w:color w:val="000000"/>
              </w:rPr>
              <w:t>100 – 399 м³/час</w:t>
            </w:r>
          </w:p>
        </w:tc>
        <w:tc>
          <w:tcPr>
            <w:tcW w:w="1775" w:type="dxa"/>
            <w:vMerge/>
            <w:shd w:val="clear" w:color="auto" w:fill="auto"/>
          </w:tcPr>
          <w:p w14:paraId="560F48D5" w14:textId="77777777" w:rsidR="00A2124B" w:rsidRPr="00060EF9" w:rsidRDefault="00A2124B" w:rsidP="008A5C11">
            <w:pPr>
              <w:jc w:val="center"/>
              <w:rPr>
                <w:sz w:val="20"/>
                <w:szCs w:val="20"/>
              </w:rPr>
            </w:pPr>
          </w:p>
        </w:tc>
        <w:tc>
          <w:tcPr>
            <w:tcW w:w="2466" w:type="dxa"/>
            <w:tcBorders>
              <w:top w:val="nil"/>
              <w:left w:val="nil"/>
              <w:bottom w:val="single" w:sz="8" w:space="0" w:color="auto"/>
              <w:right w:val="single" w:sz="8" w:space="0" w:color="auto"/>
            </w:tcBorders>
            <w:shd w:val="clear" w:color="auto" w:fill="auto"/>
            <w:vAlign w:val="center"/>
          </w:tcPr>
          <w:p w14:paraId="236A0366" w14:textId="77777777" w:rsidR="00A2124B" w:rsidRPr="00060EF9" w:rsidRDefault="00A2124B" w:rsidP="008A5C11">
            <w:pPr>
              <w:jc w:val="center"/>
              <w:rPr>
                <w:color w:val="000000"/>
              </w:rPr>
            </w:pPr>
            <w:r w:rsidRPr="00060EF9">
              <w:rPr>
                <w:color w:val="000000"/>
              </w:rPr>
              <w:t>4 701</w:t>
            </w:r>
          </w:p>
        </w:tc>
      </w:tr>
      <w:tr w:rsidR="00A2124B" w:rsidRPr="00060EF9" w14:paraId="5FFEE06F" w14:textId="77777777" w:rsidTr="008A5C11">
        <w:trPr>
          <w:trHeight w:val="276"/>
        </w:trPr>
        <w:tc>
          <w:tcPr>
            <w:tcW w:w="1297" w:type="dxa"/>
            <w:shd w:val="clear" w:color="auto" w:fill="auto"/>
            <w:vAlign w:val="center"/>
          </w:tcPr>
          <w:p w14:paraId="6E54957A" w14:textId="77777777" w:rsidR="00A2124B" w:rsidRPr="00060EF9" w:rsidRDefault="00A2124B" w:rsidP="008A5C11">
            <w:pPr>
              <w:jc w:val="center"/>
              <w:rPr>
                <w:color w:val="000000"/>
              </w:rPr>
            </w:pPr>
            <w:r w:rsidRPr="00060EF9">
              <w:rPr>
                <w:color w:val="000000"/>
              </w:rPr>
              <w:t>5.4.</w:t>
            </w:r>
          </w:p>
        </w:tc>
        <w:tc>
          <w:tcPr>
            <w:tcW w:w="4106" w:type="dxa"/>
            <w:shd w:val="clear" w:color="auto" w:fill="auto"/>
            <w:vAlign w:val="center"/>
          </w:tcPr>
          <w:p w14:paraId="3DF759B7" w14:textId="77777777" w:rsidR="00A2124B" w:rsidRPr="00060EF9" w:rsidRDefault="00A2124B" w:rsidP="008A5C11">
            <w:pPr>
              <w:rPr>
                <w:color w:val="000000"/>
              </w:rPr>
            </w:pPr>
            <w:r w:rsidRPr="00060EF9">
              <w:rPr>
                <w:color w:val="000000"/>
              </w:rPr>
              <w:t>400 – 999 м³/час</w:t>
            </w:r>
          </w:p>
        </w:tc>
        <w:tc>
          <w:tcPr>
            <w:tcW w:w="1775" w:type="dxa"/>
            <w:vMerge/>
            <w:shd w:val="clear" w:color="auto" w:fill="auto"/>
          </w:tcPr>
          <w:p w14:paraId="553986A3" w14:textId="77777777" w:rsidR="00A2124B" w:rsidRPr="00060EF9" w:rsidRDefault="00A2124B" w:rsidP="008A5C11">
            <w:pPr>
              <w:jc w:val="center"/>
              <w:rPr>
                <w:sz w:val="20"/>
                <w:szCs w:val="20"/>
              </w:rPr>
            </w:pPr>
          </w:p>
        </w:tc>
        <w:tc>
          <w:tcPr>
            <w:tcW w:w="2466" w:type="dxa"/>
            <w:tcBorders>
              <w:top w:val="nil"/>
              <w:left w:val="nil"/>
              <w:bottom w:val="single" w:sz="8" w:space="0" w:color="auto"/>
              <w:right w:val="single" w:sz="8" w:space="0" w:color="auto"/>
            </w:tcBorders>
            <w:shd w:val="clear" w:color="auto" w:fill="auto"/>
            <w:vAlign w:val="center"/>
          </w:tcPr>
          <w:p w14:paraId="1AEF0E28" w14:textId="77777777" w:rsidR="00A2124B" w:rsidRPr="00060EF9" w:rsidRDefault="00A2124B" w:rsidP="008A5C11">
            <w:pPr>
              <w:jc w:val="center"/>
              <w:rPr>
                <w:color w:val="000000"/>
              </w:rPr>
            </w:pPr>
            <w:r w:rsidRPr="00060EF9">
              <w:rPr>
                <w:color w:val="000000"/>
              </w:rPr>
              <w:t>1 801</w:t>
            </w:r>
          </w:p>
        </w:tc>
      </w:tr>
      <w:tr w:rsidR="00A2124B" w:rsidRPr="00060EF9" w14:paraId="673CD5BD" w14:textId="77777777" w:rsidTr="008A5C11">
        <w:trPr>
          <w:trHeight w:val="3532"/>
        </w:trPr>
        <w:tc>
          <w:tcPr>
            <w:tcW w:w="1297" w:type="dxa"/>
            <w:shd w:val="clear" w:color="auto" w:fill="auto"/>
            <w:vAlign w:val="center"/>
            <w:hideMark/>
          </w:tcPr>
          <w:p w14:paraId="4FF4DC3D" w14:textId="77777777" w:rsidR="00A2124B" w:rsidRPr="00060EF9" w:rsidRDefault="00A2124B" w:rsidP="008A5C11">
            <w:pPr>
              <w:jc w:val="center"/>
              <w:rPr>
                <w:color w:val="000000"/>
              </w:rPr>
            </w:pPr>
            <w:r w:rsidRPr="00060EF9">
              <w:rPr>
                <w:color w:val="000000"/>
              </w:rPr>
              <w:t>6.</w:t>
            </w:r>
          </w:p>
        </w:tc>
        <w:tc>
          <w:tcPr>
            <w:tcW w:w="8347" w:type="dxa"/>
            <w:gridSpan w:val="3"/>
            <w:shd w:val="clear" w:color="auto" w:fill="auto"/>
            <w:vAlign w:val="center"/>
            <w:hideMark/>
          </w:tcPr>
          <w:p w14:paraId="7FB1E8CC" w14:textId="77777777" w:rsidR="00A2124B" w:rsidRPr="00060EF9" w:rsidRDefault="00A2124B" w:rsidP="008A5C11">
            <w:pPr>
              <w:rPr>
                <w:color w:val="000000"/>
              </w:rPr>
            </w:pPr>
            <w:r w:rsidRPr="00060EF9">
              <w:rPr>
                <w:color w:val="000000"/>
              </w:rPr>
              <w:t>Размер стандартизированной тарифной ставки С</w:t>
            </w:r>
            <w:r w:rsidRPr="00060EF9">
              <w:rPr>
                <w:color w:val="000000"/>
                <w:vertAlign w:val="subscript"/>
              </w:rPr>
              <w:t>7</w:t>
            </w:r>
            <w:r w:rsidRPr="00060EF9">
              <w:rPr>
                <w:color w:val="000000"/>
              </w:rPr>
              <w:t xml:space="preserve"> на покрытие расходов газораспределительной организации, связанных с мониторингом выполнения Заявителем технических условий и осуществлением фактического присоединения к газораспределительной сети газораспределительной организации,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сети газопотребления Заявителя и существующего или вновь построенного стального (полиэтиленового) газопровода газораспределительной организации, а также бесхозяйного газопровода или газопровода основного абонента, и проведением пуска газа в газоиспользующее оборудование заявителя (НДС не облагается,</w:t>
            </w:r>
            <w:r w:rsidRPr="00060EF9">
              <w:rPr>
                <w:sz w:val="20"/>
                <w:szCs w:val="20"/>
              </w:rPr>
              <w:t xml:space="preserve"> </w:t>
            </w:r>
            <w:r w:rsidRPr="00060EF9">
              <w:rPr>
                <w:color w:val="000000"/>
              </w:rPr>
              <w:t>без налога на прибыль), в том числе:</w:t>
            </w:r>
          </w:p>
        </w:tc>
      </w:tr>
      <w:tr w:rsidR="00A2124B" w:rsidRPr="00060EF9" w14:paraId="204B6E63" w14:textId="77777777" w:rsidTr="008A5C11">
        <w:trPr>
          <w:trHeight w:val="1127"/>
        </w:trPr>
        <w:tc>
          <w:tcPr>
            <w:tcW w:w="1297" w:type="dxa"/>
            <w:shd w:val="clear" w:color="auto" w:fill="auto"/>
            <w:vAlign w:val="center"/>
            <w:hideMark/>
          </w:tcPr>
          <w:p w14:paraId="23E0A8C6" w14:textId="77777777" w:rsidR="00A2124B" w:rsidRPr="00060EF9" w:rsidRDefault="00A2124B" w:rsidP="008A5C11">
            <w:pPr>
              <w:jc w:val="center"/>
              <w:rPr>
                <w:color w:val="000000"/>
              </w:rPr>
            </w:pPr>
            <w:r w:rsidRPr="00060EF9">
              <w:rPr>
                <w:color w:val="000000"/>
              </w:rPr>
              <w:t>6.1.</w:t>
            </w:r>
          </w:p>
        </w:tc>
        <w:tc>
          <w:tcPr>
            <w:tcW w:w="4106" w:type="dxa"/>
            <w:shd w:val="clear" w:color="auto" w:fill="auto"/>
            <w:vAlign w:val="center"/>
            <w:hideMark/>
          </w:tcPr>
          <w:p w14:paraId="7CB78A18" w14:textId="77777777" w:rsidR="00A2124B" w:rsidRPr="00060EF9" w:rsidRDefault="00A2124B" w:rsidP="008A5C11">
            <w:pPr>
              <w:rPr>
                <w:color w:val="000000"/>
              </w:rPr>
            </w:pPr>
            <w:r w:rsidRPr="00060EF9">
              <w:rPr>
                <w:color w:val="000000"/>
              </w:rPr>
              <w:t>Размер стандартизированной тарифной ставки С</w:t>
            </w:r>
            <w:r w:rsidRPr="00060EF9">
              <w:rPr>
                <w:color w:val="000000"/>
                <w:vertAlign w:val="subscript"/>
              </w:rPr>
              <w:t>7.1</w:t>
            </w:r>
            <w:r w:rsidRPr="00060EF9">
              <w:rPr>
                <w:color w:val="000000"/>
              </w:rPr>
              <w:t>, связанной с мониторингом выполнения заявителем технических условий:</w:t>
            </w:r>
          </w:p>
        </w:tc>
        <w:tc>
          <w:tcPr>
            <w:tcW w:w="1775" w:type="dxa"/>
            <w:shd w:val="clear" w:color="auto" w:fill="auto"/>
            <w:vAlign w:val="center"/>
            <w:hideMark/>
          </w:tcPr>
          <w:p w14:paraId="2839B694" w14:textId="77777777" w:rsidR="00A2124B" w:rsidRPr="00060EF9" w:rsidRDefault="00A2124B" w:rsidP="008A5C11">
            <w:pPr>
              <w:jc w:val="center"/>
              <w:rPr>
                <w:color w:val="000000"/>
              </w:rPr>
            </w:pPr>
            <w:r w:rsidRPr="00060EF9">
              <w:rPr>
                <w:color w:val="000000"/>
              </w:rPr>
              <w:t xml:space="preserve">руб. </w:t>
            </w:r>
            <w:r w:rsidRPr="00060EF9">
              <w:rPr>
                <w:color w:val="2D2D2D"/>
              </w:rPr>
              <w:t>за 1 присоединение</w:t>
            </w:r>
          </w:p>
        </w:tc>
        <w:tc>
          <w:tcPr>
            <w:tcW w:w="2466" w:type="dxa"/>
            <w:shd w:val="clear" w:color="000000" w:fill="FFFFFF"/>
            <w:vAlign w:val="center"/>
            <w:hideMark/>
          </w:tcPr>
          <w:p w14:paraId="491E08FB" w14:textId="77777777" w:rsidR="00A2124B" w:rsidRPr="00060EF9" w:rsidRDefault="00A2124B" w:rsidP="008A5C11">
            <w:pPr>
              <w:jc w:val="center"/>
              <w:rPr>
                <w:color w:val="000000"/>
              </w:rPr>
            </w:pPr>
            <w:r w:rsidRPr="00060EF9">
              <w:rPr>
                <w:color w:val="000000"/>
              </w:rPr>
              <w:t>4 696</w:t>
            </w:r>
          </w:p>
        </w:tc>
      </w:tr>
      <w:tr w:rsidR="00A2124B" w:rsidRPr="00060EF9" w14:paraId="17F1004A" w14:textId="77777777" w:rsidTr="008A5C11">
        <w:trPr>
          <w:trHeight w:val="2962"/>
        </w:trPr>
        <w:tc>
          <w:tcPr>
            <w:tcW w:w="1297" w:type="dxa"/>
            <w:shd w:val="clear" w:color="auto" w:fill="auto"/>
            <w:vAlign w:val="center"/>
            <w:hideMark/>
          </w:tcPr>
          <w:p w14:paraId="08D68058" w14:textId="77777777" w:rsidR="00A2124B" w:rsidRPr="00060EF9" w:rsidRDefault="00A2124B" w:rsidP="008A5C11">
            <w:pPr>
              <w:jc w:val="center"/>
              <w:rPr>
                <w:color w:val="000000"/>
              </w:rPr>
            </w:pPr>
            <w:r w:rsidRPr="00060EF9">
              <w:rPr>
                <w:color w:val="000000"/>
              </w:rPr>
              <w:t>6.2.</w:t>
            </w:r>
          </w:p>
        </w:tc>
        <w:tc>
          <w:tcPr>
            <w:tcW w:w="8347" w:type="dxa"/>
            <w:gridSpan w:val="3"/>
            <w:shd w:val="clear" w:color="auto" w:fill="auto"/>
            <w:vAlign w:val="center"/>
            <w:hideMark/>
          </w:tcPr>
          <w:p w14:paraId="2806622C" w14:textId="77777777" w:rsidR="00A2124B" w:rsidRPr="00060EF9" w:rsidRDefault="00A2124B" w:rsidP="008A5C11">
            <w:pPr>
              <w:rPr>
                <w:color w:val="000000"/>
              </w:rPr>
            </w:pPr>
            <w:r w:rsidRPr="00060EF9">
              <w:rPr>
                <w:color w:val="000000"/>
              </w:rPr>
              <w:t>Размер стандартизированной тарифной ставки С</w:t>
            </w:r>
            <w:r w:rsidRPr="00060EF9">
              <w:rPr>
                <w:color w:val="000000"/>
                <w:vertAlign w:val="subscript"/>
              </w:rPr>
              <w:t>7.2</w:t>
            </w:r>
            <w:r w:rsidRPr="00060EF9">
              <w:rPr>
                <w:color w:val="000000"/>
              </w:rPr>
              <w:t>, связанной с осуществлением фактического присоединения к газораспределительной сети газораспределительной организации,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сети газопотребления заявителя и существующего или вновь построенного стального (полиэтиленового) газопровода газораспределительной организации, а также бесхозяйного газопровода или газопровода основного абонента, и проведением пуска газа в газоиспользующее оборудование заявителя:</w:t>
            </w:r>
          </w:p>
        </w:tc>
      </w:tr>
      <w:tr w:rsidR="00A2124B" w:rsidRPr="00060EF9" w14:paraId="46200F7F" w14:textId="77777777" w:rsidTr="008A5C11">
        <w:trPr>
          <w:trHeight w:val="356"/>
        </w:trPr>
        <w:tc>
          <w:tcPr>
            <w:tcW w:w="1297" w:type="dxa"/>
            <w:shd w:val="clear" w:color="auto" w:fill="auto"/>
            <w:vAlign w:val="center"/>
            <w:hideMark/>
          </w:tcPr>
          <w:p w14:paraId="13A4C33E" w14:textId="77777777" w:rsidR="00A2124B" w:rsidRPr="00060EF9" w:rsidRDefault="00A2124B" w:rsidP="008A5C11">
            <w:pPr>
              <w:jc w:val="center"/>
              <w:rPr>
                <w:color w:val="000000"/>
              </w:rPr>
            </w:pPr>
            <w:r w:rsidRPr="00060EF9">
              <w:rPr>
                <w:color w:val="000000"/>
              </w:rPr>
              <w:t>6.2.1.</w:t>
            </w:r>
          </w:p>
        </w:tc>
        <w:tc>
          <w:tcPr>
            <w:tcW w:w="8347" w:type="dxa"/>
            <w:gridSpan w:val="3"/>
            <w:shd w:val="clear" w:color="auto" w:fill="auto"/>
            <w:vAlign w:val="center"/>
            <w:hideMark/>
          </w:tcPr>
          <w:p w14:paraId="32E2E961" w14:textId="77777777" w:rsidR="00A2124B" w:rsidRPr="00060EF9" w:rsidRDefault="00A2124B" w:rsidP="008A5C11">
            <w:pPr>
              <w:rPr>
                <w:color w:val="000000"/>
              </w:rPr>
            </w:pPr>
            <w:r w:rsidRPr="00060EF9">
              <w:rPr>
                <w:color w:val="000000"/>
              </w:rPr>
              <w:t>стальных газопроводов:</w:t>
            </w:r>
          </w:p>
        </w:tc>
      </w:tr>
      <w:tr w:rsidR="00A2124B" w:rsidRPr="00060EF9" w14:paraId="1A1C0811" w14:textId="77777777" w:rsidTr="008A5C11">
        <w:trPr>
          <w:trHeight w:val="406"/>
        </w:trPr>
        <w:tc>
          <w:tcPr>
            <w:tcW w:w="1297" w:type="dxa"/>
            <w:shd w:val="clear" w:color="auto" w:fill="auto"/>
            <w:vAlign w:val="center"/>
            <w:hideMark/>
          </w:tcPr>
          <w:p w14:paraId="56FF4C22" w14:textId="77777777" w:rsidR="00A2124B" w:rsidRPr="00060EF9" w:rsidRDefault="00A2124B" w:rsidP="008A5C11">
            <w:pPr>
              <w:jc w:val="center"/>
              <w:rPr>
                <w:color w:val="000000"/>
              </w:rPr>
            </w:pPr>
            <w:r w:rsidRPr="00060EF9">
              <w:rPr>
                <w:color w:val="000000"/>
              </w:rPr>
              <w:t>6.2.1.1.</w:t>
            </w:r>
          </w:p>
        </w:tc>
        <w:tc>
          <w:tcPr>
            <w:tcW w:w="8347" w:type="dxa"/>
            <w:gridSpan w:val="3"/>
            <w:shd w:val="clear" w:color="auto" w:fill="auto"/>
            <w:vAlign w:val="center"/>
            <w:hideMark/>
          </w:tcPr>
          <w:p w14:paraId="1B189BC1" w14:textId="77777777" w:rsidR="00A2124B" w:rsidRPr="00060EF9" w:rsidRDefault="00A2124B" w:rsidP="008A5C11">
            <w:pPr>
              <w:rPr>
                <w:color w:val="000000"/>
              </w:rPr>
            </w:pPr>
            <w:r w:rsidRPr="00060EF9">
              <w:rPr>
                <w:color w:val="000000"/>
              </w:rPr>
              <w:t>наземного (надземного) способа прокладки:</w:t>
            </w:r>
          </w:p>
        </w:tc>
      </w:tr>
      <w:tr w:rsidR="00A2124B" w:rsidRPr="00060EF9" w14:paraId="46EE617D" w14:textId="77777777" w:rsidTr="008A5C11">
        <w:trPr>
          <w:trHeight w:val="412"/>
        </w:trPr>
        <w:tc>
          <w:tcPr>
            <w:tcW w:w="1297" w:type="dxa"/>
            <w:shd w:val="clear" w:color="auto" w:fill="auto"/>
            <w:vAlign w:val="center"/>
            <w:hideMark/>
          </w:tcPr>
          <w:p w14:paraId="406E3C8F" w14:textId="77777777" w:rsidR="00A2124B" w:rsidRPr="00060EF9" w:rsidRDefault="00A2124B" w:rsidP="008A5C11">
            <w:pPr>
              <w:jc w:val="center"/>
              <w:rPr>
                <w:color w:val="000000"/>
              </w:rPr>
            </w:pPr>
            <w:r w:rsidRPr="00060EF9">
              <w:rPr>
                <w:color w:val="000000"/>
              </w:rPr>
              <w:t>6.2.1.1.1.</w:t>
            </w:r>
          </w:p>
        </w:tc>
        <w:tc>
          <w:tcPr>
            <w:tcW w:w="8347" w:type="dxa"/>
            <w:gridSpan w:val="3"/>
            <w:shd w:val="clear" w:color="auto" w:fill="auto"/>
            <w:vAlign w:val="center"/>
            <w:hideMark/>
          </w:tcPr>
          <w:p w14:paraId="6015FF42" w14:textId="77777777" w:rsidR="00A2124B" w:rsidRPr="00060EF9" w:rsidRDefault="00A2124B" w:rsidP="008A5C11">
            <w:pPr>
              <w:rPr>
                <w:color w:val="000000"/>
              </w:rPr>
            </w:pPr>
            <w:r w:rsidRPr="00060EF9">
              <w:rPr>
                <w:color w:val="000000"/>
              </w:rPr>
              <w:t>с давлением до 0,005 МПа (включительно) в газопроводе, в который осуществляется врезка, наружным диаметром:</w:t>
            </w:r>
          </w:p>
        </w:tc>
      </w:tr>
      <w:tr w:rsidR="00A2124B" w:rsidRPr="00060EF9" w14:paraId="01CB6CA8" w14:textId="77777777" w:rsidTr="008A5C11">
        <w:trPr>
          <w:trHeight w:val="276"/>
        </w:trPr>
        <w:tc>
          <w:tcPr>
            <w:tcW w:w="1297" w:type="dxa"/>
            <w:shd w:val="clear" w:color="auto" w:fill="auto"/>
            <w:vAlign w:val="center"/>
            <w:hideMark/>
          </w:tcPr>
          <w:p w14:paraId="421EE26F" w14:textId="77777777" w:rsidR="00A2124B" w:rsidRPr="00060EF9" w:rsidRDefault="00A2124B" w:rsidP="008A5C11">
            <w:pPr>
              <w:jc w:val="center"/>
              <w:rPr>
                <w:color w:val="000000"/>
              </w:rPr>
            </w:pPr>
            <w:r w:rsidRPr="00060EF9">
              <w:rPr>
                <w:color w:val="000000"/>
              </w:rPr>
              <w:t>6.2.1.1.1.1.</w:t>
            </w:r>
          </w:p>
        </w:tc>
        <w:tc>
          <w:tcPr>
            <w:tcW w:w="4106" w:type="dxa"/>
            <w:shd w:val="clear" w:color="auto" w:fill="auto"/>
            <w:vAlign w:val="center"/>
            <w:hideMark/>
          </w:tcPr>
          <w:p w14:paraId="35E196FD" w14:textId="77777777" w:rsidR="00A2124B" w:rsidRPr="00060EF9" w:rsidRDefault="00A2124B" w:rsidP="008A5C11">
            <w:pPr>
              <w:rPr>
                <w:color w:val="000000"/>
              </w:rPr>
            </w:pPr>
            <w:r w:rsidRPr="00060EF9">
              <w:rPr>
                <w:color w:val="000000"/>
              </w:rPr>
              <w:t>до 100 мм</w:t>
            </w:r>
          </w:p>
        </w:tc>
        <w:tc>
          <w:tcPr>
            <w:tcW w:w="1775" w:type="dxa"/>
            <w:vMerge w:val="restart"/>
            <w:shd w:val="clear" w:color="auto" w:fill="auto"/>
            <w:vAlign w:val="center"/>
            <w:hideMark/>
          </w:tcPr>
          <w:p w14:paraId="2A6A3982" w14:textId="77777777" w:rsidR="00A2124B" w:rsidRPr="00060EF9" w:rsidRDefault="00A2124B" w:rsidP="008A5C11">
            <w:pPr>
              <w:jc w:val="center"/>
              <w:rPr>
                <w:color w:val="000000"/>
              </w:rPr>
            </w:pPr>
            <w:r w:rsidRPr="00060EF9">
              <w:rPr>
                <w:color w:val="000000"/>
              </w:rPr>
              <w:t>руб.</w:t>
            </w:r>
            <w:r w:rsidRPr="00060EF9">
              <w:rPr>
                <w:sz w:val="20"/>
                <w:szCs w:val="20"/>
              </w:rPr>
              <w:t xml:space="preserve"> </w:t>
            </w:r>
            <w:r w:rsidRPr="00060EF9">
              <w:rPr>
                <w:color w:val="000000"/>
              </w:rPr>
              <w:t>за 1 присоединение</w:t>
            </w:r>
          </w:p>
        </w:tc>
        <w:tc>
          <w:tcPr>
            <w:tcW w:w="2466" w:type="dxa"/>
            <w:tcBorders>
              <w:top w:val="single" w:sz="8" w:space="0" w:color="auto"/>
              <w:left w:val="nil"/>
              <w:bottom w:val="single" w:sz="8" w:space="0" w:color="auto"/>
              <w:right w:val="single" w:sz="8" w:space="0" w:color="auto"/>
            </w:tcBorders>
            <w:shd w:val="clear" w:color="auto" w:fill="auto"/>
            <w:vAlign w:val="center"/>
            <w:hideMark/>
          </w:tcPr>
          <w:p w14:paraId="482D02A6" w14:textId="77777777" w:rsidR="00A2124B" w:rsidRPr="00060EF9" w:rsidRDefault="00A2124B" w:rsidP="008A5C11">
            <w:pPr>
              <w:jc w:val="center"/>
              <w:rPr>
                <w:color w:val="000000"/>
              </w:rPr>
            </w:pPr>
            <w:r w:rsidRPr="00060EF9">
              <w:rPr>
                <w:color w:val="000000"/>
              </w:rPr>
              <w:t>14 911</w:t>
            </w:r>
          </w:p>
        </w:tc>
      </w:tr>
      <w:tr w:rsidR="00A2124B" w:rsidRPr="00060EF9" w14:paraId="3CA68133" w14:textId="77777777" w:rsidTr="008A5C11">
        <w:trPr>
          <w:trHeight w:val="276"/>
        </w:trPr>
        <w:tc>
          <w:tcPr>
            <w:tcW w:w="1297" w:type="dxa"/>
            <w:shd w:val="clear" w:color="auto" w:fill="auto"/>
            <w:vAlign w:val="center"/>
            <w:hideMark/>
          </w:tcPr>
          <w:p w14:paraId="74140E0B" w14:textId="77777777" w:rsidR="00A2124B" w:rsidRPr="00060EF9" w:rsidRDefault="00A2124B" w:rsidP="008A5C11">
            <w:pPr>
              <w:jc w:val="center"/>
              <w:rPr>
                <w:color w:val="000000"/>
              </w:rPr>
            </w:pPr>
            <w:r w:rsidRPr="00060EF9">
              <w:rPr>
                <w:color w:val="000000"/>
              </w:rPr>
              <w:t>6.2.1.1.1.2.</w:t>
            </w:r>
          </w:p>
        </w:tc>
        <w:tc>
          <w:tcPr>
            <w:tcW w:w="4106" w:type="dxa"/>
            <w:shd w:val="clear" w:color="auto" w:fill="auto"/>
            <w:vAlign w:val="center"/>
            <w:hideMark/>
          </w:tcPr>
          <w:p w14:paraId="406BB1DC" w14:textId="77777777" w:rsidR="00A2124B" w:rsidRPr="00060EF9" w:rsidRDefault="00A2124B" w:rsidP="008A5C11">
            <w:pPr>
              <w:rPr>
                <w:color w:val="000000"/>
              </w:rPr>
            </w:pPr>
            <w:r w:rsidRPr="00060EF9">
              <w:rPr>
                <w:color w:val="000000"/>
              </w:rPr>
              <w:t>101-158 мм</w:t>
            </w:r>
          </w:p>
        </w:tc>
        <w:tc>
          <w:tcPr>
            <w:tcW w:w="1775" w:type="dxa"/>
            <w:vMerge/>
            <w:vAlign w:val="center"/>
            <w:hideMark/>
          </w:tcPr>
          <w:p w14:paraId="7E932B0C" w14:textId="77777777" w:rsidR="00A2124B" w:rsidRPr="00060EF9" w:rsidRDefault="00A2124B" w:rsidP="008A5C11">
            <w:pP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6EE75B4D" w14:textId="77777777" w:rsidR="00A2124B" w:rsidRPr="00060EF9" w:rsidRDefault="00A2124B" w:rsidP="008A5C11">
            <w:pPr>
              <w:jc w:val="center"/>
              <w:rPr>
                <w:color w:val="000000"/>
              </w:rPr>
            </w:pPr>
            <w:r w:rsidRPr="00060EF9">
              <w:rPr>
                <w:color w:val="000000"/>
              </w:rPr>
              <w:t>16 678</w:t>
            </w:r>
          </w:p>
        </w:tc>
      </w:tr>
      <w:tr w:rsidR="00A2124B" w:rsidRPr="00060EF9" w14:paraId="6C7804F8" w14:textId="77777777" w:rsidTr="008A5C11">
        <w:trPr>
          <w:trHeight w:val="276"/>
        </w:trPr>
        <w:tc>
          <w:tcPr>
            <w:tcW w:w="1297" w:type="dxa"/>
            <w:shd w:val="clear" w:color="auto" w:fill="auto"/>
            <w:vAlign w:val="center"/>
            <w:hideMark/>
          </w:tcPr>
          <w:p w14:paraId="5AB74E7A" w14:textId="77777777" w:rsidR="00A2124B" w:rsidRPr="00060EF9" w:rsidRDefault="00A2124B" w:rsidP="008A5C11">
            <w:pPr>
              <w:jc w:val="center"/>
              <w:rPr>
                <w:color w:val="000000"/>
              </w:rPr>
            </w:pPr>
            <w:r w:rsidRPr="00060EF9">
              <w:rPr>
                <w:color w:val="000000"/>
              </w:rPr>
              <w:t>6.2.1.1.1.3.</w:t>
            </w:r>
          </w:p>
        </w:tc>
        <w:tc>
          <w:tcPr>
            <w:tcW w:w="4106" w:type="dxa"/>
            <w:shd w:val="clear" w:color="auto" w:fill="auto"/>
            <w:vAlign w:val="center"/>
            <w:hideMark/>
          </w:tcPr>
          <w:p w14:paraId="454A8D10" w14:textId="77777777" w:rsidR="00A2124B" w:rsidRPr="00060EF9" w:rsidRDefault="00A2124B" w:rsidP="008A5C11">
            <w:pPr>
              <w:rPr>
                <w:color w:val="000000"/>
              </w:rPr>
            </w:pPr>
            <w:r w:rsidRPr="00060EF9">
              <w:rPr>
                <w:color w:val="000000"/>
              </w:rPr>
              <w:t>159-218 мм</w:t>
            </w:r>
          </w:p>
        </w:tc>
        <w:tc>
          <w:tcPr>
            <w:tcW w:w="1775" w:type="dxa"/>
            <w:vMerge/>
            <w:vAlign w:val="center"/>
            <w:hideMark/>
          </w:tcPr>
          <w:p w14:paraId="58128A7C" w14:textId="77777777" w:rsidR="00A2124B" w:rsidRPr="00060EF9" w:rsidRDefault="00A2124B" w:rsidP="008A5C11">
            <w:pP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5A57918F" w14:textId="77777777" w:rsidR="00A2124B" w:rsidRPr="00060EF9" w:rsidRDefault="00A2124B" w:rsidP="008A5C11">
            <w:pPr>
              <w:jc w:val="center"/>
              <w:rPr>
                <w:color w:val="000000"/>
              </w:rPr>
            </w:pPr>
            <w:r w:rsidRPr="00060EF9">
              <w:rPr>
                <w:color w:val="000000"/>
              </w:rPr>
              <w:t>50 668</w:t>
            </w:r>
          </w:p>
        </w:tc>
      </w:tr>
      <w:tr w:rsidR="00A2124B" w:rsidRPr="00060EF9" w14:paraId="285B0036" w14:textId="77777777" w:rsidTr="008A5C11">
        <w:trPr>
          <w:trHeight w:val="276"/>
        </w:trPr>
        <w:tc>
          <w:tcPr>
            <w:tcW w:w="1297" w:type="dxa"/>
            <w:shd w:val="clear" w:color="auto" w:fill="auto"/>
            <w:vAlign w:val="center"/>
          </w:tcPr>
          <w:p w14:paraId="53639F1F" w14:textId="77777777" w:rsidR="00A2124B" w:rsidRPr="00060EF9" w:rsidRDefault="00A2124B" w:rsidP="008A5C11">
            <w:pPr>
              <w:jc w:val="center"/>
              <w:rPr>
                <w:color w:val="000000"/>
              </w:rPr>
            </w:pPr>
            <w:r w:rsidRPr="00060EF9">
              <w:rPr>
                <w:color w:val="000000"/>
              </w:rPr>
              <w:t>6.2.1.1.1.4.</w:t>
            </w:r>
          </w:p>
        </w:tc>
        <w:tc>
          <w:tcPr>
            <w:tcW w:w="4106" w:type="dxa"/>
            <w:shd w:val="clear" w:color="auto" w:fill="auto"/>
            <w:vAlign w:val="center"/>
          </w:tcPr>
          <w:p w14:paraId="2FDC3A03" w14:textId="77777777" w:rsidR="00A2124B" w:rsidRPr="00060EF9" w:rsidRDefault="00A2124B" w:rsidP="008A5C11">
            <w:pPr>
              <w:rPr>
                <w:color w:val="000000"/>
              </w:rPr>
            </w:pPr>
            <w:r w:rsidRPr="00060EF9">
              <w:rPr>
                <w:color w:val="000000"/>
              </w:rPr>
              <w:t>219-272 мм</w:t>
            </w:r>
          </w:p>
        </w:tc>
        <w:tc>
          <w:tcPr>
            <w:tcW w:w="1775" w:type="dxa"/>
            <w:vMerge/>
            <w:vAlign w:val="center"/>
          </w:tcPr>
          <w:p w14:paraId="2EAA3F16" w14:textId="77777777" w:rsidR="00A2124B" w:rsidRPr="00060EF9" w:rsidRDefault="00A2124B" w:rsidP="008A5C11">
            <w:pPr>
              <w:rPr>
                <w:color w:val="000000"/>
              </w:rPr>
            </w:pPr>
          </w:p>
        </w:tc>
        <w:tc>
          <w:tcPr>
            <w:tcW w:w="2466" w:type="dxa"/>
            <w:tcBorders>
              <w:top w:val="nil"/>
              <w:left w:val="nil"/>
              <w:bottom w:val="single" w:sz="8" w:space="0" w:color="auto"/>
              <w:right w:val="single" w:sz="8" w:space="0" w:color="auto"/>
            </w:tcBorders>
            <w:shd w:val="clear" w:color="auto" w:fill="auto"/>
            <w:vAlign w:val="center"/>
          </w:tcPr>
          <w:p w14:paraId="5442F918" w14:textId="77777777" w:rsidR="00A2124B" w:rsidRPr="00060EF9" w:rsidRDefault="00A2124B" w:rsidP="008A5C11">
            <w:pPr>
              <w:jc w:val="center"/>
              <w:rPr>
                <w:color w:val="000000"/>
              </w:rPr>
            </w:pPr>
            <w:r w:rsidRPr="00060EF9">
              <w:rPr>
                <w:color w:val="000000"/>
              </w:rPr>
              <w:t>61 051</w:t>
            </w:r>
          </w:p>
        </w:tc>
      </w:tr>
      <w:tr w:rsidR="00A2124B" w:rsidRPr="00060EF9" w14:paraId="392F549C" w14:textId="77777777" w:rsidTr="008A5C11">
        <w:trPr>
          <w:trHeight w:val="133"/>
        </w:trPr>
        <w:tc>
          <w:tcPr>
            <w:tcW w:w="1297" w:type="dxa"/>
            <w:shd w:val="clear" w:color="auto" w:fill="auto"/>
            <w:vAlign w:val="center"/>
          </w:tcPr>
          <w:p w14:paraId="4623E013" w14:textId="77777777" w:rsidR="00A2124B" w:rsidRPr="00060EF9" w:rsidRDefault="00A2124B" w:rsidP="008A5C11">
            <w:pPr>
              <w:jc w:val="center"/>
              <w:rPr>
                <w:color w:val="000000"/>
              </w:rPr>
            </w:pPr>
            <w:r w:rsidRPr="00060EF9">
              <w:rPr>
                <w:color w:val="000000"/>
              </w:rPr>
              <w:t>1</w:t>
            </w:r>
          </w:p>
        </w:tc>
        <w:tc>
          <w:tcPr>
            <w:tcW w:w="4106" w:type="dxa"/>
            <w:shd w:val="clear" w:color="auto" w:fill="auto"/>
            <w:vAlign w:val="center"/>
          </w:tcPr>
          <w:p w14:paraId="6958052D" w14:textId="77777777" w:rsidR="00A2124B" w:rsidRPr="00060EF9" w:rsidRDefault="00A2124B" w:rsidP="008A5C11">
            <w:pPr>
              <w:jc w:val="center"/>
              <w:rPr>
                <w:color w:val="000000"/>
              </w:rPr>
            </w:pPr>
            <w:r w:rsidRPr="00060EF9">
              <w:rPr>
                <w:color w:val="000000"/>
              </w:rPr>
              <w:t>2</w:t>
            </w:r>
          </w:p>
        </w:tc>
        <w:tc>
          <w:tcPr>
            <w:tcW w:w="1775" w:type="dxa"/>
            <w:shd w:val="clear" w:color="auto" w:fill="auto"/>
            <w:vAlign w:val="center"/>
          </w:tcPr>
          <w:p w14:paraId="70CB8C1A" w14:textId="77777777" w:rsidR="00A2124B" w:rsidRPr="00060EF9" w:rsidRDefault="00A2124B" w:rsidP="008A5C11">
            <w:pPr>
              <w:jc w:val="center"/>
              <w:rPr>
                <w:color w:val="000000"/>
              </w:rPr>
            </w:pPr>
            <w:r w:rsidRPr="00060EF9">
              <w:rPr>
                <w:color w:val="000000"/>
              </w:rPr>
              <w:t>3</w:t>
            </w:r>
          </w:p>
        </w:tc>
        <w:tc>
          <w:tcPr>
            <w:tcW w:w="2466" w:type="dxa"/>
            <w:shd w:val="clear" w:color="000000" w:fill="FFFFFF"/>
            <w:vAlign w:val="center"/>
          </w:tcPr>
          <w:p w14:paraId="4BCAABD8" w14:textId="77777777" w:rsidR="00A2124B" w:rsidRPr="00060EF9" w:rsidRDefault="00A2124B" w:rsidP="008A5C11">
            <w:pPr>
              <w:jc w:val="center"/>
              <w:rPr>
                <w:color w:val="000000"/>
              </w:rPr>
            </w:pPr>
            <w:r w:rsidRPr="00060EF9">
              <w:rPr>
                <w:color w:val="000000"/>
              </w:rPr>
              <w:t>4</w:t>
            </w:r>
          </w:p>
        </w:tc>
      </w:tr>
      <w:tr w:rsidR="00A2124B" w:rsidRPr="00060EF9" w14:paraId="23B160D8" w14:textId="77777777" w:rsidTr="008A5C11">
        <w:trPr>
          <w:trHeight w:val="621"/>
        </w:trPr>
        <w:tc>
          <w:tcPr>
            <w:tcW w:w="1297" w:type="dxa"/>
            <w:shd w:val="clear" w:color="auto" w:fill="auto"/>
            <w:vAlign w:val="center"/>
            <w:hideMark/>
          </w:tcPr>
          <w:p w14:paraId="67CDC806" w14:textId="77777777" w:rsidR="00A2124B" w:rsidRPr="00060EF9" w:rsidRDefault="00A2124B" w:rsidP="008A5C11">
            <w:pPr>
              <w:jc w:val="center"/>
              <w:rPr>
                <w:color w:val="000000"/>
              </w:rPr>
            </w:pPr>
            <w:r w:rsidRPr="00060EF9">
              <w:rPr>
                <w:color w:val="000000"/>
              </w:rPr>
              <w:t>6.2.1.1.2.</w:t>
            </w:r>
          </w:p>
        </w:tc>
        <w:tc>
          <w:tcPr>
            <w:tcW w:w="8347" w:type="dxa"/>
            <w:gridSpan w:val="3"/>
            <w:shd w:val="clear" w:color="auto" w:fill="auto"/>
            <w:vAlign w:val="center"/>
            <w:hideMark/>
          </w:tcPr>
          <w:p w14:paraId="5C7F88D6" w14:textId="77777777" w:rsidR="00A2124B" w:rsidRPr="00060EF9" w:rsidRDefault="00A2124B" w:rsidP="008A5C11">
            <w:pPr>
              <w:rPr>
                <w:color w:val="000000"/>
              </w:rPr>
            </w:pPr>
            <w:r w:rsidRPr="00060EF9">
              <w:rPr>
                <w:color w:val="000000"/>
              </w:rPr>
              <w:t>с давлением от 0,005 МПа до 1,2 МПа (включительно) в газопроводе, в который осуществляется врезка, наружным диаметром:</w:t>
            </w:r>
          </w:p>
        </w:tc>
      </w:tr>
      <w:tr w:rsidR="00A2124B" w:rsidRPr="00060EF9" w14:paraId="54E20463" w14:textId="77777777" w:rsidTr="008A5C11">
        <w:trPr>
          <w:trHeight w:val="276"/>
        </w:trPr>
        <w:tc>
          <w:tcPr>
            <w:tcW w:w="1297" w:type="dxa"/>
            <w:shd w:val="clear" w:color="auto" w:fill="auto"/>
            <w:vAlign w:val="center"/>
            <w:hideMark/>
          </w:tcPr>
          <w:p w14:paraId="66DD15E8" w14:textId="77777777" w:rsidR="00A2124B" w:rsidRPr="00060EF9" w:rsidRDefault="00A2124B" w:rsidP="008A5C11">
            <w:pPr>
              <w:jc w:val="center"/>
              <w:rPr>
                <w:color w:val="000000"/>
              </w:rPr>
            </w:pPr>
            <w:r w:rsidRPr="00060EF9">
              <w:rPr>
                <w:color w:val="000000"/>
              </w:rPr>
              <w:t>6.2.1.1.2.1.</w:t>
            </w:r>
          </w:p>
        </w:tc>
        <w:tc>
          <w:tcPr>
            <w:tcW w:w="4106" w:type="dxa"/>
            <w:shd w:val="clear" w:color="auto" w:fill="auto"/>
            <w:vAlign w:val="center"/>
            <w:hideMark/>
          </w:tcPr>
          <w:p w14:paraId="4A9E6482" w14:textId="77777777" w:rsidR="00A2124B" w:rsidRPr="00060EF9" w:rsidRDefault="00A2124B" w:rsidP="008A5C11">
            <w:r w:rsidRPr="00060EF9">
              <w:t>до 100 мм</w:t>
            </w:r>
          </w:p>
        </w:tc>
        <w:tc>
          <w:tcPr>
            <w:tcW w:w="1775" w:type="dxa"/>
            <w:vMerge w:val="restart"/>
            <w:shd w:val="clear" w:color="auto" w:fill="auto"/>
            <w:vAlign w:val="center"/>
            <w:hideMark/>
          </w:tcPr>
          <w:p w14:paraId="3982B967" w14:textId="77777777" w:rsidR="00A2124B" w:rsidRPr="00060EF9" w:rsidRDefault="00A2124B" w:rsidP="008A5C11">
            <w:pPr>
              <w:jc w:val="center"/>
            </w:pPr>
            <w:r w:rsidRPr="00060EF9">
              <w:rPr>
                <w:color w:val="000000"/>
              </w:rPr>
              <w:t>руб.</w:t>
            </w:r>
            <w:r w:rsidRPr="00060EF9">
              <w:rPr>
                <w:sz w:val="20"/>
                <w:szCs w:val="20"/>
              </w:rPr>
              <w:t xml:space="preserve"> </w:t>
            </w:r>
            <w:r w:rsidRPr="00060EF9">
              <w:rPr>
                <w:color w:val="000000"/>
              </w:rPr>
              <w:t>за 1 присоединение</w:t>
            </w:r>
          </w:p>
        </w:tc>
        <w:tc>
          <w:tcPr>
            <w:tcW w:w="2466" w:type="dxa"/>
            <w:tcBorders>
              <w:top w:val="single" w:sz="8" w:space="0" w:color="auto"/>
              <w:left w:val="nil"/>
              <w:bottom w:val="single" w:sz="8" w:space="0" w:color="auto"/>
              <w:right w:val="single" w:sz="8" w:space="0" w:color="auto"/>
            </w:tcBorders>
            <w:shd w:val="clear" w:color="auto" w:fill="auto"/>
            <w:vAlign w:val="center"/>
            <w:hideMark/>
          </w:tcPr>
          <w:p w14:paraId="670F66A7" w14:textId="77777777" w:rsidR="00A2124B" w:rsidRPr="00060EF9" w:rsidRDefault="00A2124B" w:rsidP="008A5C11">
            <w:pPr>
              <w:jc w:val="center"/>
              <w:rPr>
                <w:color w:val="000000"/>
              </w:rPr>
            </w:pPr>
            <w:r w:rsidRPr="00060EF9">
              <w:rPr>
                <w:color w:val="000000"/>
              </w:rPr>
              <w:t>24 230</w:t>
            </w:r>
          </w:p>
        </w:tc>
      </w:tr>
      <w:tr w:rsidR="00A2124B" w:rsidRPr="00060EF9" w14:paraId="7EF3F5ED" w14:textId="77777777" w:rsidTr="008A5C11">
        <w:trPr>
          <w:trHeight w:val="276"/>
        </w:trPr>
        <w:tc>
          <w:tcPr>
            <w:tcW w:w="1297" w:type="dxa"/>
            <w:shd w:val="clear" w:color="auto" w:fill="auto"/>
            <w:vAlign w:val="center"/>
            <w:hideMark/>
          </w:tcPr>
          <w:p w14:paraId="7DCF1D22" w14:textId="77777777" w:rsidR="00A2124B" w:rsidRPr="00060EF9" w:rsidRDefault="00A2124B" w:rsidP="008A5C11">
            <w:pPr>
              <w:jc w:val="center"/>
              <w:rPr>
                <w:color w:val="000000"/>
              </w:rPr>
            </w:pPr>
            <w:r w:rsidRPr="00060EF9">
              <w:rPr>
                <w:color w:val="000000"/>
              </w:rPr>
              <w:t>6.2.1.1.2.2.</w:t>
            </w:r>
          </w:p>
        </w:tc>
        <w:tc>
          <w:tcPr>
            <w:tcW w:w="4106" w:type="dxa"/>
            <w:shd w:val="clear" w:color="auto" w:fill="auto"/>
            <w:vAlign w:val="center"/>
            <w:hideMark/>
          </w:tcPr>
          <w:p w14:paraId="0D9D9305" w14:textId="77777777" w:rsidR="00A2124B" w:rsidRPr="00060EF9" w:rsidRDefault="00A2124B" w:rsidP="008A5C11">
            <w:r w:rsidRPr="00060EF9">
              <w:t>101-158 мм</w:t>
            </w:r>
          </w:p>
        </w:tc>
        <w:tc>
          <w:tcPr>
            <w:tcW w:w="1775" w:type="dxa"/>
            <w:vMerge/>
            <w:vAlign w:val="center"/>
            <w:hideMark/>
          </w:tcPr>
          <w:p w14:paraId="711DEF6B" w14:textId="77777777" w:rsidR="00A2124B" w:rsidRPr="00060EF9" w:rsidRDefault="00A2124B" w:rsidP="008A5C11"/>
        </w:tc>
        <w:tc>
          <w:tcPr>
            <w:tcW w:w="2466" w:type="dxa"/>
            <w:tcBorders>
              <w:top w:val="nil"/>
              <w:left w:val="nil"/>
              <w:bottom w:val="single" w:sz="8" w:space="0" w:color="auto"/>
              <w:right w:val="single" w:sz="8" w:space="0" w:color="auto"/>
            </w:tcBorders>
            <w:shd w:val="clear" w:color="auto" w:fill="auto"/>
            <w:vAlign w:val="center"/>
            <w:hideMark/>
          </w:tcPr>
          <w:p w14:paraId="2476DC73" w14:textId="77777777" w:rsidR="00A2124B" w:rsidRPr="00060EF9" w:rsidRDefault="00A2124B" w:rsidP="008A5C11">
            <w:pPr>
              <w:jc w:val="center"/>
              <w:rPr>
                <w:color w:val="000000"/>
              </w:rPr>
            </w:pPr>
            <w:r w:rsidRPr="00060EF9">
              <w:rPr>
                <w:color w:val="000000"/>
              </w:rPr>
              <w:t>36 005</w:t>
            </w:r>
          </w:p>
        </w:tc>
      </w:tr>
      <w:tr w:rsidR="00A2124B" w:rsidRPr="00060EF9" w14:paraId="2463C12C" w14:textId="77777777" w:rsidTr="008A5C11">
        <w:trPr>
          <w:trHeight w:val="276"/>
        </w:trPr>
        <w:tc>
          <w:tcPr>
            <w:tcW w:w="1297" w:type="dxa"/>
            <w:shd w:val="clear" w:color="auto" w:fill="auto"/>
            <w:vAlign w:val="center"/>
            <w:hideMark/>
          </w:tcPr>
          <w:p w14:paraId="702E703E" w14:textId="77777777" w:rsidR="00A2124B" w:rsidRPr="00060EF9" w:rsidRDefault="00A2124B" w:rsidP="008A5C11">
            <w:pPr>
              <w:jc w:val="center"/>
              <w:rPr>
                <w:color w:val="000000"/>
              </w:rPr>
            </w:pPr>
            <w:r w:rsidRPr="00060EF9">
              <w:rPr>
                <w:color w:val="000000"/>
              </w:rPr>
              <w:t>6.2.1.1.2.3.</w:t>
            </w:r>
          </w:p>
        </w:tc>
        <w:tc>
          <w:tcPr>
            <w:tcW w:w="4106" w:type="dxa"/>
            <w:shd w:val="clear" w:color="auto" w:fill="auto"/>
            <w:vAlign w:val="center"/>
            <w:hideMark/>
          </w:tcPr>
          <w:p w14:paraId="4094F123" w14:textId="77777777" w:rsidR="00A2124B" w:rsidRPr="00060EF9" w:rsidRDefault="00A2124B" w:rsidP="008A5C11">
            <w:r w:rsidRPr="00060EF9">
              <w:t>159-218 мм</w:t>
            </w:r>
          </w:p>
        </w:tc>
        <w:tc>
          <w:tcPr>
            <w:tcW w:w="1775" w:type="dxa"/>
            <w:vMerge/>
            <w:vAlign w:val="center"/>
            <w:hideMark/>
          </w:tcPr>
          <w:p w14:paraId="2CF393DF" w14:textId="77777777" w:rsidR="00A2124B" w:rsidRPr="00060EF9" w:rsidRDefault="00A2124B" w:rsidP="008A5C11"/>
        </w:tc>
        <w:tc>
          <w:tcPr>
            <w:tcW w:w="2466" w:type="dxa"/>
            <w:tcBorders>
              <w:top w:val="nil"/>
              <w:left w:val="nil"/>
              <w:bottom w:val="single" w:sz="8" w:space="0" w:color="auto"/>
              <w:right w:val="single" w:sz="8" w:space="0" w:color="auto"/>
            </w:tcBorders>
            <w:shd w:val="clear" w:color="auto" w:fill="auto"/>
            <w:vAlign w:val="center"/>
            <w:hideMark/>
          </w:tcPr>
          <w:p w14:paraId="177CA8C8" w14:textId="77777777" w:rsidR="00A2124B" w:rsidRPr="00060EF9" w:rsidRDefault="00A2124B" w:rsidP="008A5C11">
            <w:pPr>
              <w:jc w:val="center"/>
              <w:rPr>
                <w:color w:val="000000"/>
              </w:rPr>
            </w:pPr>
            <w:r w:rsidRPr="00060EF9">
              <w:rPr>
                <w:color w:val="000000"/>
              </w:rPr>
              <w:t>48 287</w:t>
            </w:r>
          </w:p>
        </w:tc>
      </w:tr>
      <w:tr w:rsidR="00A2124B" w:rsidRPr="00060EF9" w14:paraId="0C902A35" w14:textId="77777777" w:rsidTr="008A5C11">
        <w:trPr>
          <w:trHeight w:val="276"/>
        </w:trPr>
        <w:tc>
          <w:tcPr>
            <w:tcW w:w="1297" w:type="dxa"/>
            <w:shd w:val="clear" w:color="auto" w:fill="auto"/>
            <w:vAlign w:val="center"/>
            <w:hideMark/>
          </w:tcPr>
          <w:p w14:paraId="21F67786" w14:textId="77777777" w:rsidR="00A2124B" w:rsidRPr="00060EF9" w:rsidRDefault="00A2124B" w:rsidP="008A5C11">
            <w:pPr>
              <w:jc w:val="center"/>
              <w:rPr>
                <w:color w:val="000000"/>
              </w:rPr>
            </w:pPr>
            <w:r w:rsidRPr="00060EF9">
              <w:rPr>
                <w:color w:val="000000"/>
              </w:rPr>
              <w:t>6.2.1.1.2.4.</w:t>
            </w:r>
          </w:p>
        </w:tc>
        <w:tc>
          <w:tcPr>
            <w:tcW w:w="4106" w:type="dxa"/>
            <w:shd w:val="clear" w:color="auto" w:fill="auto"/>
            <w:vAlign w:val="center"/>
            <w:hideMark/>
          </w:tcPr>
          <w:p w14:paraId="07540E8C" w14:textId="77777777" w:rsidR="00A2124B" w:rsidRPr="00060EF9" w:rsidRDefault="00A2124B" w:rsidP="008A5C11">
            <w:r w:rsidRPr="00060EF9">
              <w:t>219-272 мм</w:t>
            </w:r>
          </w:p>
        </w:tc>
        <w:tc>
          <w:tcPr>
            <w:tcW w:w="1775" w:type="dxa"/>
            <w:vMerge/>
            <w:vAlign w:val="center"/>
            <w:hideMark/>
          </w:tcPr>
          <w:p w14:paraId="3EBED38C" w14:textId="77777777" w:rsidR="00A2124B" w:rsidRPr="00060EF9" w:rsidRDefault="00A2124B" w:rsidP="008A5C11"/>
        </w:tc>
        <w:tc>
          <w:tcPr>
            <w:tcW w:w="2466" w:type="dxa"/>
            <w:tcBorders>
              <w:top w:val="nil"/>
              <w:left w:val="nil"/>
              <w:bottom w:val="single" w:sz="8" w:space="0" w:color="auto"/>
              <w:right w:val="single" w:sz="8" w:space="0" w:color="auto"/>
            </w:tcBorders>
            <w:shd w:val="clear" w:color="auto" w:fill="auto"/>
            <w:vAlign w:val="center"/>
            <w:hideMark/>
          </w:tcPr>
          <w:p w14:paraId="39C66EA9" w14:textId="77777777" w:rsidR="00A2124B" w:rsidRPr="00060EF9" w:rsidRDefault="00A2124B" w:rsidP="008A5C11">
            <w:pPr>
              <w:jc w:val="center"/>
              <w:rPr>
                <w:color w:val="000000"/>
              </w:rPr>
            </w:pPr>
            <w:r w:rsidRPr="00060EF9">
              <w:rPr>
                <w:color w:val="000000"/>
              </w:rPr>
              <w:t>48 287</w:t>
            </w:r>
          </w:p>
        </w:tc>
      </w:tr>
      <w:tr w:rsidR="00A2124B" w:rsidRPr="00060EF9" w14:paraId="549AF1D9" w14:textId="77777777" w:rsidTr="008A5C11">
        <w:trPr>
          <w:trHeight w:val="276"/>
        </w:trPr>
        <w:tc>
          <w:tcPr>
            <w:tcW w:w="1297" w:type="dxa"/>
            <w:shd w:val="clear" w:color="auto" w:fill="auto"/>
            <w:vAlign w:val="center"/>
            <w:hideMark/>
          </w:tcPr>
          <w:p w14:paraId="11AFDA72" w14:textId="77777777" w:rsidR="00A2124B" w:rsidRPr="00060EF9" w:rsidRDefault="00A2124B" w:rsidP="008A5C11">
            <w:pPr>
              <w:jc w:val="center"/>
              <w:rPr>
                <w:color w:val="000000"/>
              </w:rPr>
            </w:pPr>
            <w:r w:rsidRPr="00060EF9">
              <w:rPr>
                <w:color w:val="000000"/>
              </w:rPr>
              <w:t>6.2.1.1.2.5.</w:t>
            </w:r>
          </w:p>
        </w:tc>
        <w:tc>
          <w:tcPr>
            <w:tcW w:w="4106" w:type="dxa"/>
            <w:shd w:val="clear" w:color="auto" w:fill="auto"/>
            <w:vAlign w:val="center"/>
            <w:hideMark/>
          </w:tcPr>
          <w:p w14:paraId="225BFAD1" w14:textId="77777777" w:rsidR="00A2124B" w:rsidRPr="00060EF9" w:rsidRDefault="00A2124B" w:rsidP="008A5C11">
            <w:r w:rsidRPr="00060EF9">
              <w:t>273-324 мм</w:t>
            </w:r>
          </w:p>
        </w:tc>
        <w:tc>
          <w:tcPr>
            <w:tcW w:w="1775" w:type="dxa"/>
            <w:vMerge/>
            <w:vAlign w:val="center"/>
            <w:hideMark/>
          </w:tcPr>
          <w:p w14:paraId="3DB1EEA1" w14:textId="77777777" w:rsidR="00A2124B" w:rsidRPr="00060EF9" w:rsidRDefault="00A2124B" w:rsidP="008A5C11"/>
        </w:tc>
        <w:tc>
          <w:tcPr>
            <w:tcW w:w="2466" w:type="dxa"/>
            <w:tcBorders>
              <w:top w:val="nil"/>
              <w:left w:val="nil"/>
              <w:bottom w:val="single" w:sz="8" w:space="0" w:color="auto"/>
              <w:right w:val="single" w:sz="8" w:space="0" w:color="auto"/>
            </w:tcBorders>
            <w:shd w:val="clear" w:color="auto" w:fill="auto"/>
            <w:vAlign w:val="center"/>
            <w:hideMark/>
          </w:tcPr>
          <w:p w14:paraId="6E1C73FF" w14:textId="77777777" w:rsidR="00A2124B" w:rsidRPr="00060EF9" w:rsidRDefault="00A2124B" w:rsidP="008A5C11">
            <w:pPr>
              <w:jc w:val="center"/>
              <w:rPr>
                <w:color w:val="000000"/>
              </w:rPr>
            </w:pPr>
            <w:r w:rsidRPr="00060EF9">
              <w:rPr>
                <w:color w:val="000000"/>
              </w:rPr>
              <w:t>66 950</w:t>
            </w:r>
          </w:p>
        </w:tc>
      </w:tr>
      <w:tr w:rsidR="00A2124B" w:rsidRPr="00060EF9" w14:paraId="691BDF62" w14:textId="77777777" w:rsidTr="008A5C11">
        <w:trPr>
          <w:trHeight w:val="276"/>
        </w:trPr>
        <w:tc>
          <w:tcPr>
            <w:tcW w:w="1297" w:type="dxa"/>
            <w:shd w:val="clear" w:color="auto" w:fill="auto"/>
            <w:vAlign w:val="center"/>
            <w:hideMark/>
          </w:tcPr>
          <w:p w14:paraId="573D078B" w14:textId="77777777" w:rsidR="00A2124B" w:rsidRPr="00060EF9" w:rsidRDefault="00A2124B" w:rsidP="008A5C11">
            <w:pPr>
              <w:jc w:val="center"/>
              <w:rPr>
                <w:color w:val="000000"/>
              </w:rPr>
            </w:pPr>
            <w:r w:rsidRPr="00060EF9">
              <w:rPr>
                <w:color w:val="000000"/>
              </w:rPr>
              <w:t>6.2.1.1.2.6.</w:t>
            </w:r>
          </w:p>
        </w:tc>
        <w:tc>
          <w:tcPr>
            <w:tcW w:w="4106" w:type="dxa"/>
            <w:shd w:val="clear" w:color="auto" w:fill="auto"/>
            <w:vAlign w:val="center"/>
            <w:hideMark/>
          </w:tcPr>
          <w:p w14:paraId="5B57470C" w14:textId="77777777" w:rsidR="00A2124B" w:rsidRPr="00060EF9" w:rsidRDefault="00A2124B" w:rsidP="008A5C11">
            <w:r w:rsidRPr="00060EF9">
              <w:t>325-425 мм</w:t>
            </w:r>
          </w:p>
        </w:tc>
        <w:tc>
          <w:tcPr>
            <w:tcW w:w="1775" w:type="dxa"/>
            <w:vMerge/>
            <w:vAlign w:val="center"/>
            <w:hideMark/>
          </w:tcPr>
          <w:p w14:paraId="3E4D723F" w14:textId="77777777" w:rsidR="00A2124B" w:rsidRPr="00060EF9" w:rsidRDefault="00A2124B" w:rsidP="008A5C11"/>
        </w:tc>
        <w:tc>
          <w:tcPr>
            <w:tcW w:w="2466" w:type="dxa"/>
            <w:tcBorders>
              <w:top w:val="nil"/>
              <w:left w:val="nil"/>
              <w:bottom w:val="single" w:sz="8" w:space="0" w:color="auto"/>
              <w:right w:val="single" w:sz="8" w:space="0" w:color="auto"/>
            </w:tcBorders>
            <w:shd w:val="clear" w:color="auto" w:fill="auto"/>
            <w:vAlign w:val="center"/>
            <w:hideMark/>
          </w:tcPr>
          <w:p w14:paraId="3C24C164" w14:textId="77777777" w:rsidR="00A2124B" w:rsidRPr="00060EF9" w:rsidRDefault="00A2124B" w:rsidP="008A5C11">
            <w:pPr>
              <w:jc w:val="center"/>
              <w:rPr>
                <w:color w:val="000000"/>
              </w:rPr>
            </w:pPr>
            <w:r w:rsidRPr="00060EF9">
              <w:rPr>
                <w:color w:val="000000"/>
              </w:rPr>
              <w:t>69 760</w:t>
            </w:r>
          </w:p>
        </w:tc>
      </w:tr>
      <w:tr w:rsidR="00A2124B" w:rsidRPr="00060EF9" w14:paraId="29DB1268" w14:textId="77777777" w:rsidTr="008A5C11">
        <w:trPr>
          <w:trHeight w:val="276"/>
        </w:trPr>
        <w:tc>
          <w:tcPr>
            <w:tcW w:w="1297" w:type="dxa"/>
            <w:shd w:val="clear" w:color="auto" w:fill="auto"/>
            <w:vAlign w:val="center"/>
            <w:hideMark/>
          </w:tcPr>
          <w:p w14:paraId="6D55AC6F" w14:textId="77777777" w:rsidR="00A2124B" w:rsidRPr="00060EF9" w:rsidRDefault="00A2124B" w:rsidP="008A5C11">
            <w:pPr>
              <w:jc w:val="center"/>
              <w:rPr>
                <w:color w:val="000000"/>
              </w:rPr>
            </w:pPr>
            <w:r w:rsidRPr="00060EF9">
              <w:rPr>
                <w:color w:val="000000"/>
              </w:rPr>
              <w:t>6.2.1.1.2.7.</w:t>
            </w:r>
          </w:p>
        </w:tc>
        <w:tc>
          <w:tcPr>
            <w:tcW w:w="4106" w:type="dxa"/>
            <w:shd w:val="clear" w:color="auto" w:fill="auto"/>
            <w:vAlign w:val="center"/>
            <w:hideMark/>
          </w:tcPr>
          <w:p w14:paraId="0AC50581" w14:textId="77777777" w:rsidR="00A2124B" w:rsidRPr="00060EF9" w:rsidRDefault="00A2124B" w:rsidP="008A5C11">
            <w:r w:rsidRPr="00060EF9">
              <w:t>426-529 мм</w:t>
            </w:r>
          </w:p>
        </w:tc>
        <w:tc>
          <w:tcPr>
            <w:tcW w:w="1775" w:type="dxa"/>
            <w:vMerge/>
            <w:vAlign w:val="center"/>
            <w:hideMark/>
          </w:tcPr>
          <w:p w14:paraId="4370DDFC" w14:textId="77777777" w:rsidR="00A2124B" w:rsidRPr="00060EF9" w:rsidRDefault="00A2124B" w:rsidP="008A5C11"/>
        </w:tc>
        <w:tc>
          <w:tcPr>
            <w:tcW w:w="2466" w:type="dxa"/>
            <w:tcBorders>
              <w:top w:val="nil"/>
              <w:left w:val="nil"/>
              <w:bottom w:val="single" w:sz="8" w:space="0" w:color="auto"/>
              <w:right w:val="single" w:sz="8" w:space="0" w:color="auto"/>
            </w:tcBorders>
            <w:shd w:val="clear" w:color="auto" w:fill="auto"/>
            <w:vAlign w:val="center"/>
            <w:hideMark/>
          </w:tcPr>
          <w:p w14:paraId="5C00E842" w14:textId="77777777" w:rsidR="00A2124B" w:rsidRPr="00060EF9" w:rsidRDefault="00A2124B" w:rsidP="008A5C11">
            <w:pPr>
              <w:jc w:val="center"/>
              <w:rPr>
                <w:color w:val="000000"/>
              </w:rPr>
            </w:pPr>
            <w:r w:rsidRPr="00060EF9">
              <w:rPr>
                <w:color w:val="000000"/>
              </w:rPr>
              <w:t>70 026</w:t>
            </w:r>
          </w:p>
        </w:tc>
      </w:tr>
      <w:tr w:rsidR="00A2124B" w:rsidRPr="00060EF9" w14:paraId="7D8FBBC6" w14:textId="77777777" w:rsidTr="008A5C11">
        <w:trPr>
          <w:trHeight w:val="276"/>
        </w:trPr>
        <w:tc>
          <w:tcPr>
            <w:tcW w:w="1297" w:type="dxa"/>
            <w:shd w:val="clear" w:color="auto" w:fill="auto"/>
            <w:vAlign w:val="center"/>
            <w:hideMark/>
          </w:tcPr>
          <w:p w14:paraId="545DDEDF" w14:textId="77777777" w:rsidR="00A2124B" w:rsidRPr="00060EF9" w:rsidRDefault="00A2124B" w:rsidP="008A5C11">
            <w:pPr>
              <w:jc w:val="center"/>
              <w:rPr>
                <w:color w:val="000000"/>
              </w:rPr>
            </w:pPr>
            <w:r w:rsidRPr="00060EF9">
              <w:rPr>
                <w:color w:val="000000"/>
              </w:rPr>
              <w:t>6.2.1.1.2.8.</w:t>
            </w:r>
          </w:p>
        </w:tc>
        <w:tc>
          <w:tcPr>
            <w:tcW w:w="4106" w:type="dxa"/>
            <w:shd w:val="clear" w:color="auto" w:fill="auto"/>
            <w:vAlign w:val="center"/>
            <w:hideMark/>
          </w:tcPr>
          <w:p w14:paraId="303BE89B" w14:textId="77777777" w:rsidR="00A2124B" w:rsidRPr="00060EF9" w:rsidRDefault="00A2124B" w:rsidP="008A5C11">
            <w:r w:rsidRPr="00060EF9">
              <w:t>530 мм и выше</w:t>
            </w:r>
          </w:p>
        </w:tc>
        <w:tc>
          <w:tcPr>
            <w:tcW w:w="1775" w:type="dxa"/>
            <w:vMerge/>
            <w:vAlign w:val="center"/>
            <w:hideMark/>
          </w:tcPr>
          <w:p w14:paraId="055742C0" w14:textId="77777777" w:rsidR="00A2124B" w:rsidRPr="00060EF9" w:rsidRDefault="00A2124B" w:rsidP="008A5C11"/>
        </w:tc>
        <w:tc>
          <w:tcPr>
            <w:tcW w:w="2466" w:type="dxa"/>
            <w:tcBorders>
              <w:top w:val="nil"/>
              <w:left w:val="nil"/>
              <w:bottom w:val="single" w:sz="8" w:space="0" w:color="auto"/>
              <w:right w:val="single" w:sz="8" w:space="0" w:color="auto"/>
            </w:tcBorders>
            <w:shd w:val="clear" w:color="auto" w:fill="auto"/>
            <w:vAlign w:val="center"/>
            <w:hideMark/>
          </w:tcPr>
          <w:p w14:paraId="7FA87B50" w14:textId="77777777" w:rsidR="00A2124B" w:rsidRPr="00060EF9" w:rsidRDefault="00A2124B" w:rsidP="008A5C11">
            <w:pPr>
              <w:jc w:val="center"/>
              <w:rPr>
                <w:color w:val="000000"/>
              </w:rPr>
            </w:pPr>
            <w:r w:rsidRPr="00060EF9">
              <w:rPr>
                <w:color w:val="000000"/>
              </w:rPr>
              <w:t>70 026</w:t>
            </w:r>
          </w:p>
        </w:tc>
      </w:tr>
      <w:tr w:rsidR="00A2124B" w:rsidRPr="00060EF9" w14:paraId="3BE1468E" w14:textId="77777777" w:rsidTr="008A5C11">
        <w:trPr>
          <w:trHeight w:val="276"/>
        </w:trPr>
        <w:tc>
          <w:tcPr>
            <w:tcW w:w="1297" w:type="dxa"/>
            <w:shd w:val="clear" w:color="auto" w:fill="auto"/>
            <w:vAlign w:val="center"/>
            <w:hideMark/>
          </w:tcPr>
          <w:p w14:paraId="0E2383C2" w14:textId="77777777" w:rsidR="00A2124B" w:rsidRPr="00060EF9" w:rsidRDefault="00A2124B" w:rsidP="008A5C11">
            <w:pPr>
              <w:jc w:val="center"/>
              <w:rPr>
                <w:color w:val="000000"/>
              </w:rPr>
            </w:pPr>
            <w:r w:rsidRPr="00060EF9">
              <w:rPr>
                <w:color w:val="000000"/>
              </w:rPr>
              <w:t>6.2.1.2.</w:t>
            </w:r>
          </w:p>
        </w:tc>
        <w:tc>
          <w:tcPr>
            <w:tcW w:w="8347" w:type="dxa"/>
            <w:gridSpan w:val="3"/>
            <w:shd w:val="clear" w:color="auto" w:fill="auto"/>
            <w:vAlign w:val="center"/>
            <w:hideMark/>
          </w:tcPr>
          <w:p w14:paraId="03826174" w14:textId="77777777" w:rsidR="00A2124B" w:rsidRPr="00060EF9" w:rsidRDefault="00A2124B" w:rsidP="008A5C11">
            <w:r w:rsidRPr="00060EF9">
              <w:t>подземного типа прокладки:</w:t>
            </w:r>
          </w:p>
        </w:tc>
      </w:tr>
      <w:tr w:rsidR="00A2124B" w:rsidRPr="00060EF9" w14:paraId="775AD80A" w14:textId="77777777" w:rsidTr="008A5C11">
        <w:trPr>
          <w:trHeight w:val="276"/>
        </w:trPr>
        <w:tc>
          <w:tcPr>
            <w:tcW w:w="1297" w:type="dxa"/>
            <w:shd w:val="clear" w:color="auto" w:fill="auto"/>
            <w:vAlign w:val="center"/>
          </w:tcPr>
          <w:p w14:paraId="4C5C7DE4" w14:textId="77777777" w:rsidR="00A2124B" w:rsidRPr="00060EF9" w:rsidRDefault="00A2124B" w:rsidP="008A5C11">
            <w:pPr>
              <w:jc w:val="center"/>
              <w:rPr>
                <w:color w:val="000000"/>
              </w:rPr>
            </w:pPr>
            <w:r w:rsidRPr="00060EF9">
              <w:rPr>
                <w:color w:val="000000"/>
              </w:rPr>
              <w:t>6.2.1.2.1.</w:t>
            </w:r>
          </w:p>
        </w:tc>
        <w:tc>
          <w:tcPr>
            <w:tcW w:w="8347" w:type="dxa"/>
            <w:gridSpan w:val="3"/>
            <w:shd w:val="clear" w:color="auto" w:fill="auto"/>
            <w:vAlign w:val="center"/>
          </w:tcPr>
          <w:p w14:paraId="13567889" w14:textId="77777777" w:rsidR="00A2124B" w:rsidRPr="00060EF9" w:rsidRDefault="00A2124B" w:rsidP="008A5C11">
            <w:pPr>
              <w:rPr>
                <w:color w:val="000000"/>
              </w:rPr>
            </w:pPr>
            <w:r w:rsidRPr="00060EF9">
              <w:rPr>
                <w:color w:val="000000"/>
              </w:rPr>
              <w:t>с давлением до 0,005 МПа (включительно) в газопроводе, в который осуществляется врезка, наружным диаметром:</w:t>
            </w:r>
          </w:p>
        </w:tc>
      </w:tr>
      <w:tr w:rsidR="00A2124B" w:rsidRPr="00060EF9" w14:paraId="31D5A5A2" w14:textId="77777777" w:rsidTr="008A5C11">
        <w:trPr>
          <w:trHeight w:val="276"/>
        </w:trPr>
        <w:tc>
          <w:tcPr>
            <w:tcW w:w="1297" w:type="dxa"/>
            <w:shd w:val="clear" w:color="auto" w:fill="auto"/>
            <w:vAlign w:val="center"/>
          </w:tcPr>
          <w:p w14:paraId="731EE147" w14:textId="77777777" w:rsidR="00A2124B" w:rsidRPr="00060EF9" w:rsidRDefault="00A2124B" w:rsidP="008A5C11">
            <w:pPr>
              <w:jc w:val="center"/>
              <w:rPr>
                <w:color w:val="000000"/>
              </w:rPr>
            </w:pPr>
            <w:r w:rsidRPr="00060EF9">
              <w:rPr>
                <w:color w:val="000000"/>
              </w:rPr>
              <w:t>6.2.1.2.1.1.</w:t>
            </w:r>
          </w:p>
        </w:tc>
        <w:tc>
          <w:tcPr>
            <w:tcW w:w="4106" w:type="dxa"/>
            <w:shd w:val="clear" w:color="auto" w:fill="auto"/>
            <w:vAlign w:val="center"/>
          </w:tcPr>
          <w:p w14:paraId="02B5657F" w14:textId="77777777" w:rsidR="00A2124B" w:rsidRPr="00060EF9" w:rsidRDefault="00A2124B" w:rsidP="008A5C11">
            <w:pPr>
              <w:rPr>
                <w:color w:val="000000"/>
              </w:rPr>
            </w:pPr>
            <w:r w:rsidRPr="00060EF9">
              <w:rPr>
                <w:color w:val="000000"/>
              </w:rPr>
              <w:t>до 100 мм</w:t>
            </w:r>
          </w:p>
        </w:tc>
        <w:tc>
          <w:tcPr>
            <w:tcW w:w="1775" w:type="dxa"/>
            <w:vMerge w:val="restart"/>
            <w:shd w:val="clear" w:color="auto" w:fill="auto"/>
            <w:vAlign w:val="center"/>
          </w:tcPr>
          <w:p w14:paraId="040360A1" w14:textId="77777777" w:rsidR="00A2124B" w:rsidRPr="00060EF9" w:rsidRDefault="00A2124B" w:rsidP="008A5C11">
            <w:pPr>
              <w:jc w:val="center"/>
            </w:pPr>
            <w:r w:rsidRPr="00060EF9">
              <w:rPr>
                <w:color w:val="000000"/>
              </w:rPr>
              <w:t>руб.</w:t>
            </w:r>
            <w:r w:rsidRPr="00060EF9">
              <w:rPr>
                <w:sz w:val="20"/>
                <w:szCs w:val="20"/>
              </w:rPr>
              <w:t xml:space="preserve"> </w:t>
            </w:r>
            <w:r w:rsidRPr="00060EF9">
              <w:rPr>
                <w:color w:val="000000"/>
              </w:rPr>
              <w:t>за 1 присоединение</w:t>
            </w:r>
          </w:p>
        </w:tc>
        <w:tc>
          <w:tcPr>
            <w:tcW w:w="2466" w:type="dxa"/>
            <w:tcBorders>
              <w:top w:val="single" w:sz="8" w:space="0" w:color="auto"/>
              <w:left w:val="nil"/>
              <w:bottom w:val="single" w:sz="8" w:space="0" w:color="auto"/>
              <w:right w:val="single" w:sz="8" w:space="0" w:color="auto"/>
            </w:tcBorders>
            <w:shd w:val="clear" w:color="auto" w:fill="auto"/>
            <w:vAlign w:val="center"/>
          </w:tcPr>
          <w:p w14:paraId="109EA968" w14:textId="77777777" w:rsidR="00A2124B" w:rsidRPr="00060EF9" w:rsidRDefault="00A2124B" w:rsidP="008A5C11">
            <w:pPr>
              <w:jc w:val="center"/>
              <w:rPr>
                <w:color w:val="000000"/>
              </w:rPr>
            </w:pPr>
            <w:r w:rsidRPr="00060EF9">
              <w:rPr>
                <w:color w:val="000000"/>
              </w:rPr>
              <w:t>15 125</w:t>
            </w:r>
          </w:p>
        </w:tc>
      </w:tr>
      <w:tr w:rsidR="00A2124B" w:rsidRPr="00060EF9" w14:paraId="76468321" w14:textId="77777777" w:rsidTr="008A5C11">
        <w:trPr>
          <w:trHeight w:val="276"/>
        </w:trPr>
        <w:tc>
          <w:tcPr>
            <w:tcW w:w="1297" w:type="dxa"/>
            <w:shd w:val="clear" w:color="auto" w:fill="auto"/>
            <w:vAlign w:val="center"/>
          </w:tcPr>
          <w:p w14:paraId="6C3FFE8B" w14:textId="77777777" w:rsidR="00A2124B" w:rsidRPr="00060EF9" w:rsidRDefault="00A2124B" w:rsidP="008A5C11">
            <w:pPr>
              <w:jc w:val="center"/>
              <w:rPr>
                <w:color w:val="000000"/>
              </w:rPr>
            </w:pPr>
            <w:r w:rsidRPr="00060EF9">
              <w:rPr>
                <w:color w:val="000000"/>
              </w:rPr>
              <w:t>6.2.1.2.1.2.</w:t>
            </w:r>
          </w:p>
        </w:tc>
        <w:tc>
          <w:tcPr>
            <w:tcW w:w="4106" w:type="dxa"/>
            <w:shd w:val="clear" w:color="auto" w:fill="auto"/>
            <w:vAlign w:val="center"/>
          </w:tcPr>
          <w:p w14:paraId="6E151603" w14:textId="77777777" w:rsidR="00A2124B" w:rsidRPr="00060EF9" w:rsidRDefault="00A2124B" w:rsidP="008A5C11">
            <w:pPr>
              <w:rPr>
                <w:color w:val="000000"/>
              </w:rPr>
            </w:pPr>
            <w:r w:rsidRPr="00060EF9">
              <w:rPr>
                <w:color w:val="000000"/>
              </w:rPr>
              <w:t>108-158 мм</w:t>
            </w:r>
          </w:p>
        </w:tc>
        <w:tc>
          <w:tcPr>
            <w:tcW w:w="1775" w:type="dxa"/>
            <w:vMerge/>
            <w:shd w:val="clear" w:color="auto" w:fill="auto"/>
            <w:vAlign w:val="center"/>
          </w:tcPr>
          <w:p w14:paraId="39FA6EE5" w14:textId="77777777" w:rsidR="00A2124B" w:rsidRPr="00060EF9" w:rsidRDefault="00A2124B" w:rsidP="008A5C11"/>
        </w:tc>
        <w:tc>
          <w:tcPr>
            <w:tcW w:w="2466" w:type="dxa"/>
            <w:tcBorders>
              <w:top w:val="nil"/>
              <w:left w:val="nil"/>
              <w:bottom w:val="single" w:sz="8" w:space="0" w:color="auto"/>
              <w:right w:val="single" w:sz="8" w:space="0" w:color="auto"/>
            </w:tcBorders>
            <w:shd w:val="clear" w:color="auto" w:fill="auto"/>
            <w:vAlign w:val="center"/>
          </w:tcPr>
          <w:p w14:paraId="577D2021" w14:textId="77777777" w:rsidR="00A2124B" w:rsidRPr="00060EF9" w:rsidRDefault="00A2124B" w:rsidP="008A5C11">
            <w:pPr>
              <w:jc w:val="center"/>
              <w:rPr>
                <w:color w:val="000000"/>
              </w:rPr>
            </w:pPr>
            <w:r w:rsidRPr="00060EF9">
              <w:rPr>
                <w:color w:val="000000"/>
              </w:rPr>
              <w:t>15 125</w:t>
            </w:r>
          </w:p>
        </w:tc>
      </w:tr>
      <w:tr w:rsidR="00A2124B" w:rsidRPr="00060EF9" w14:paraId="7B3F45AB" w14:textId="77777777" w:rsidTr="008A5C11">
        <w:trPr>
          <w:trHeight w:val="836"/>
        </w:trPr>
        <w:tc>
          <w:tcPr>
            <w:tcW w:w="1297" w:type="dxa"/>
            <w:shd w:val="clear" w:color="auto" w:fill="auto"/>
            <w:vAlign w:val="center"/>
            <w:hideMark/>
          </w:tcPr>
          <w:p w14:paraId="0A216D79" w14:textId="77777777" w:rsidR="00A2124B" w:rsidRPr="00060EF9" w:rsidRDefault="00A2124B" w:rsidP="008A5C11">
            <w:pPr>
              <w:jc w:val="center"/>
              <w:rPr>
                <w:color w:val="000000"/>
              </w:rPr>
            </w:pPr>
            <w:r w:rsidRPr="00060EF9">
              <w:rPr>
                <w:color w:val="000000"/>
              </w:rPr>
              <w:t>6.2.1.2.2.</w:t>
            </w:r>
          </w:p>
        </w:tc>
        <w:tc>
          <w:tcPr>
            <w:tcW w:w="8347" w:type="dxa"/>
            <w:gridSpan w:val="3"/>
            <w:shd w:val="clear" w:color="auto" w:fill="auto"/>
            <w:vAlign w:val="center"/>
            <w:hideMark/>
          </w:tcPr>
          <w:p w14:paraId="3F715E66" w14:textId="77777777" w:rsidR="00A2124B" w:rsidRPr="00060EF9" w:rsidRDefault="00A2124B" w:rsidP="008A5C11">
            <w:pPr>
              <w:rPr>
                <w:color w:val="000000"/>
              </w:rPr>
            </w:pPr>
            <w:r w:rsidRPr="00060EF9">
              <w:rPr>
                <w:color w:val="000000"/>
              </w:rPr>
              <w:t>с давлением от 0,005 МПа до 1,2 МПа (включительно) в газопроводе, в который осуществляется врезка, наружным диаметром:</w:t>
            </w:r>
          </w:p>
        </w:tc>
      </w:tr>
      <w:tr w:rsidR="00A2124B" w:rsidRPr="00060EF9" w14:paraId="7B3FB04E" w14:textId="77777777" w:rsidTr="008A5C11">
        <w:trPr>
          <w:trHeight w:val="276"/>
        </w:trPr>
        <w:tc>
          <w:tcPr>
            <w:tcW w:w="1297" w:type="dxa"/>
            <w:shd w:val="clear" w:color="auto" w:fill="auto"/>
            <w:vAlign w:val="center"/>
            <w:hideMark/>
          </w:tcPr>
          <w:p w14:paraId="4560B06D" w14:textId="77777777" w:rsidR="00A2124B" w:rsidRPr="00060EF9" w:rsidRDefault="00A2124B" w:rsidP="008A5C11">
            <w:pPr>
              <w:jc w:val="center"/>
              <w:rPr>
                <w:color w:val="000000"/>
              </w:rPr>
            </w:pPr>
            <w:r w:rsidRPr="00060EF9">
              <w:rPr>
                <w:color w:val="000000"/>
              </w:rPr>
              <w:t>6.2.1.2.2.1.</w:t>
            </w:r>
          </w:p>
        </w:tc>
        <w:tc>
          <w:tcPr>
            <w:tcW w:w="4106" w:type="dxa"/>
            <w:shd w:val="clear" w:color="auto" w:fill="auto"/>
            <w:vAlign w:val="center"/>
            <w:hideMark/>
          </w:tcPr>
          <w:p w14:paraId="295D1074" w14:textId="77777777" w:rsidR="00A2124B" w:rsidRPr="00060EF9" w:rsidRDefault="00A2124B" w:rsidP="008A5C11">
            <w:pPr>
              <w:rPr>
                <w:color w:val="000000"/>
              </w:rPr>
            </w:pPr>
            <w:r w:rsidRPr="00060EF9">
              <w:rPr>
                <w:color w:val="000000"/>
              </w:rPr>
              <w:t>до 100 мм</w:t>
            </w:r>
          </w:p>
        </w:tc>
        <w:tc>
          <w:tcPr>
            <w:tcW w:w="1775" w:type="dxa"/>
            <w:vMerge w:val="restart"/>
            <w:shd w:val="clear" w:color="auto" w:fill="auto"/>
            <w:vAlign w:val="center"/>
            <w:hideMark/>
          </w:tcPr>
          <w:p w14:paraId="724CF739" w14:textId="77777777" w:rsidR="00A2124B" w:rsidRPr="00060EF9" w:rsidRDefault="00A2124B" w:rsidP="008A5C11">
            <w:pPr>
              <w:jc w:val="center"/>
              <w:rPr>
                <w:color w:val="000000"/>
              </w:rPr>
            </w:pPr>
            <w:r w:rsidRPr="00060EF9">
              <w:rPr>
                <w:color w:val="000000"/>
              </w:rPr>
              <w:t>руб. за 1 присоединение</w:t>
            </w:r>
          </w:p>
        </w:tc>
        <w:tc>
          <w:tcPr>
            <w:tcW w:w="2466" w:type="dxa"/>
            <w:tcBorders>
              <w:top w:val="single" w:sz="8" w:space="0" w:color="auto"/>
              <w:left w:val="nil"/>
              <w:bottom w:val="single" w:sz="8" w:space="0" w:color="auto"/>
              <w:right w:val="single" w:sz="8" w:space="0" w:color="auto"/>
            </w:tcBorders>
            <w:shd w:val="clear" w:color="auto" w:fill="auto"/>
            <w:vAlign w:val="center"/>
            <w:hideMark/>
          </w:tcPr>
          <w:p w14:paraId="0DB531AF" w14:textId="77777777" w:rsidR="00A2124B" w:rsidRPr="00060EF9" w:rsidRDefault="00A2124B" w:rsidP="008A5C11">
            <w:pPr>
              <w:jc w:val="center"/>
              <w:rPr>
                <w:color w:val="000000"/>
              </w:rPr>
            </w:pPr>
            <w:r w:rsidRPr="00060EF9">
              <w:rPr>
                <w:color w:val="000000"/>
              </w:rPr>
              <w:t>19 024</w:t>
            </w:r>
          </w:p>
        </w:tc>
      </w:tr>
      <w:tr w:rsidR="00A2124B" w:rsidRPr="00060EF9" w14:paraId="41E4C534" w14:textId="77777777" w:rsidTr="008A5C11">
        <w:trPr>
          <w:trHeight w:val="276"/>
        </w:trPr>
        <w:tc>
          <w:tcPr>
            <w:tcW w:w="1297" w:type="dxa"/>
            <w:shd w:val="clear" w:color="auto" w:fill="auto"/>
            <w:vAlign w:val="center"/>
            <w:hideMark/>
          </w:tcPr>
          <w:p w14:paraId="555BA735" w14:textId="77777777" w:rsidR="00A2124B" w:rsidRPr="00060EF9" w:rsidRDefault="00A2124B" w:rsidP="008A5C11">
            <w:pPr>
              <w:jc w:val="center"/>
              <w:rPr>
                <w:color w:val="000000"/>
              </w:rPr>
            </w:pPr>
            <w:r w:rsidRPr="00060EF9">
              <w:rPr>
                <w:color w:val="000000"/>
              </w:rPr>
              <w:t>6.2.1.2.2.2.</w:t>
            </w:r>
          </w:p>
        </w:tc>
        <w:tc>
          <w:tcPr>
            <w:tcW w:w="4106" w:type="dxa"/>
            <w:shd w:val="clear" w:color="auto" w:fill="auto"/>
            <w:vAlign w:val="center"/>
            <w:hideMark/>
          </w:tcPr>
          <w:p w14:paraId="382A744C" w14:textId="77777777" w:rsidR="00A2124B" w:rsidRPr="00060EF9" w:rsidRDefault="00A2124B" w:rsidP="008A5C11">
            <w:pPr>
              <w:rPr>
                <w:color w:val="000000"/>
              </w:rPr>
            </w:pPr>
            <w:r w:rsidRPr="00060EF9">
              <w:rPr>
                <w:color w:val="000000"/>
              </w:rPr>
              <w:t>108-158 мм</w:t>
            </w:r>
          </w:p>
        </w:tc>
        <w:tc>
          <w:tcPr>
            <w:tcW w:w="1775" w:type="dxa"/>
            <w:vMerge/>
            <w:vAlign w:val="center"/>
            <w:hideMark/>
          </w:tcPr>
          <w:p w14:paraId="4FBC4B7E" w14:textId="77777777" w:rsidR="00A2124B" w:rsidRPr="00060EF9" w:rsidRDefault="00A2124B" w:rsidP="008A5C11">
            <w:pP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05A91058" w14:textId="77777777" w:rsidR="00A2124B" w:rsidRPr="00060EF9" w:rsidRDefault="00A2124B" w:rsidP="008A5C11">
            <w:pPr>
              <w:jc w:val="center"/>
              <w:rPr>
                <w:color w:val="000000"/>
              </w:rPr>
            </w:pPr>
            <w:r w:rsidRPr="00060EF9">
              <w:rPr>
                <w:color w:val="000000"/>
              </w:rPr>
              <w:t>37 075</w:t>
            </w:r>
          </w:p>
        </w:tc>
      </w:tr>
      <w:tr w:rsidR="00A2124B" w:rsidRPr="00060EF9" w14:paraId="43BEFA85" w14:textId="77777777" w:rsidTr="008A5C11">
        <w:trPr>
          <w:trHeight w:val="276"/>
        </w:trPr>
        <w:tc>
          <w:tcPr>
            <w:tcW w:w="1297" w:type="dxa"/>
            <w:shd w:val="clear" w:color="auto" w:fill="auto"/>
            <w:vAlign w:val="center"/>
            <w:hideMark/>
          </w:tcPr>
          <w:p w14:paraId="006E2F71" w14:textId="77777777" w:rsidR="00A2124B" w:rsidRPr="00060EF9" w:rsidRDefault="00A2124B" w:rsidP="008A5C11">
            <w:pPr>
              <w:jc w:val="center"/>
              <w:rPr>
                <w:color w:val="000000"/>
              </w:rPr>
            </w:pPr>
            <w:r w:rsidRPr="00060EF9">
              <w:rPr>
                <w:color w:val="000000"/>
              </w:rPr>
              <w:t>6.2.1.2.2.3.</w:t>
            </w:r>
          </w:p>
        </w:tc>
        <w:tc>
          <w:tcPr>
            <w:tcW w:w="4106" w:type="dxa"/>
            <w:shd w:val="clear" w:color="auto" w:fill="auto"/>
            <w:vAlign w:val="center"/>
            <w:hideMark/>
          </w:tcPr>
          <w:p w14:paraId="1E1EA379" w14:textId="77777777" w:rsidR="00A2124B" w:rsidRPr="00060EF9" w:rsidRDefault="00A2124B" w:rsidP="008A5C11">
            <w:pPr>
              <w:rPr>
                <w:color w:val="000000"/>
              </w:rPr>
            </w:pPr>
            <w:r w:rsidRPr="00060EF9">
              <w:rPr>
                <w:color w:val="000000"/>
              </w:rPr>
              <w:t>159-218 мм</w:t>
            </w:r>
          </w:p>
        </w:tc>
        <w:tc>
          <w:tcPr>
            <w:tcW w:w="1775" w:type="dxa"/>
            <w:vMerge/>
            <w:vAlign w:val="center"/>
            <w:hideMark/>
          </w:tcPr>
          <w:p w14:paraId="18720CE3" w14:textId="77777777" w:rsidR="00A2124B" w:rsidRPr="00060EF9" w:rsidRDefault="00A2124B" w:rsidP="008A5C11">
            <w:pP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6A651AB8" w14:textId="77777777" w:rsidR="00A2124B" w:rsidRPr="00060EF9" w:rsidRDefault="00A2124B" w:rsidP="008A5C11">
            <w:pPr>
              <w:jc w:val="center"/>
              <w:rPr>
                <w:color w:val="000000"/>
              </w:rPr>
            </w:pPr>
            <w:r w:rsidRPr="00060EF9">
              <w:rPr>
                <w:color w:val="000000"/>
              </w:rPr>
              <w:t>57 995</w:t>
            </w:r>
          </w:p>
        </w:tc>
      </w:tr>
      <w:tr w:rsidR="00A2124B" w:rsidRPr="00060EF9" w14:paraId="1E412472" w14:textId="77777777" w:rsidTr="008A5C11">
        <w:trPr>
          <w:trHeight w:val="276"/>
        </w:trPr>
        <w:tc>
          <w:tcPr>
            <w:tcW w:w="1297" w:type="dxa"/>
            <w:shd w:val="clear" w:color="auto" w:fill="auto"/>
            <w:vAlign w:val="center"/>
            <w:hideMark/>
          </w:tcPr>
          <w:p w14:paraId="109D913E" w14:textId="77777777" w:rsidR="00A2124B" w:rsidRPr="00060EF9" w:rsidRDefault="00A2124B" w:rsidP="008A5C11">
            <w:pPr>
              <w:jc w:val="center"/>
              <w:rPr>
                <w:color w:val="000000"/>
              </w:rPr>
            </w:pPr>
            <w:r w:rsidRPr="00060EF9">
              <w:rPr>
                <w:color w:val="000000"/>
              </w:rPr>
              <w:t>6.2.1.2.2.4.</w:t>
            </w:r>
          </w:p>
        </w:tc>
        <w:tc>
          <w:tcPr>
            <w:tcW w:w="4106" w:type="dxa"/>
            <w:shd w:val="clear" w:color="auto" w:fill="auto"/>
            <w:vAlign w:val="center"/>
            <w:hideMark/>
          </w:tcPr>
          <w:p w14:paraId="07D9B199" w14:textId="77777777" w:rsidR="00A2124B" w:rsidRPr="00060EF9" w:rsidRDefault="00A2124B" w:rsidP="008A5C11">
            <w:pPr>
              <w:rPr>
                <w:color w:val="000000"/>
              </w:rPr>
            </w:pPr>
            <w:r w:rsidRPr="00060EF9">
              <w:rPr>
                <w:color w:val="000000"/>
              </w:rPr>
              <w:t>219-272 мм</w:t>
            </w:r>
          </w:p>
        </w:tc>
        <w:tc>
          <w:tcPr>
            <w:tcW w:w="1775" w:type="dxa"/>
            <w:vMerge/>
            <w:vAlign w:val="center"/>
            <w:hideMark/>
          </w:tcPr>
          <w:p w14:paraId="457EE54B" w14:textId="77777777" w:rsidR="00A2124B" w:rsidRPr="00060EF9" w:rsidRDefault="00A2124B" w:rsidP="008A5C11">
            <w:pP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302F3641" w14:textId="77777777" w:rsidR="00A2124B" w:rsidRPr="00060EF9" w:rsidRDefault="00A2124B" w:rsidP="008A5C11">
            <w:pPr>
              <w:jc w:val="center"/>
              <w:rPr>
                <w:color w:val="000000"/>
              </w:rPr>
            </w:pPr>
            <w:r w:rsidRPr="00060EF9">
              <w:rPr>
                <w:color w:val="000000"/>
              </w:rPr>
              <w:t>65 402</w:t>
            </w:r>
          </w:p>
        </w:tc>
      </w:tr>
      <w:tr w:rsidR="00A2124B" w:rsidRPr="00060EF9" w14:paraId="59264DA2" w14:textId="77777777" w:rsidTr="008A5C11">
        <w:trPr>
          <w:trHeight w:val="276"/>
        </w:trPr>
        <w:tc>
          <w:tcPr>
            <w:tcW w:w="1297" w:type="dxa"/>
            <w:shd w:val="clear" w:color="auto" w:fill="auto"/>
            <w:vAlign w:val="center"/>
            <w:hideMark/>
          </w:tcPr>
          <w:p w14:paraId="441FF22B" w14:textId="77777777" w:rsidR="00A2124B" w:rsidRPr="00060EF9" w:rsidRDefault="00A2124B" w:rsidP="008A5C11">
            <w:pPr>
              <w:jc w:val="center"/>
              <w:rPr>
                <w:color w:val="000000"/>
              </w:rPr>
            </w:pPr>
            <w:r w:rsidRPr="00060EF9">
              <w:rPr>
                <w:color w:val="000000"/>
              </w:rPr>
              <w:t>6.2.1.2.2.5.</w:t>
            </w:r>
          </w:p>
        </w:tc>
        <w:tc>
          <w:tcPr>
            <w:tcW w:w="4106" w:type="dxa"/>
            <w:shd w:val="clear" w:color="auto" w:fill="auto"/>
            <w:vAlign w:val="center"/>
            <w:hideMark/>
          </w:tcPr>
          <w:p w14:paraId="189A43C6" w14:textId="77777777" w:rsidR="00A2124B" w:rsidRPr="00060EF9" w:rsidRDefault="00A2124B" w:rsidP="008A5C11">
            <w:pPr>
              <w:rPr>
                <w:color w:val="000000"/>
              </w:rPr>
            </w:pPr>
            <w:r w:rsidRPr="00060EF9">
              <w:rPr>
                <w:color w:val="000000"/>
              </w:rPr>
              <w:t>273-324 мм</w:t>
            </w:r>
          </w:p>
        </w:tc>
        <w:tc>
          <w:tcPr>
            <w:tcW w:w="1775" w:type="dxa"/>
            <w:vMerge/>
            <w:vAlign w:val="center"/>
            <w:hideMark/>
          </w:tcPr>
          <w:p w14:paraId="7126C8D6" w14:textId="77777777" w:rsidR="00A2124B" w:rsidRPr="00060EF9" w:rsidRDefault="00A2124B" w:rsidP="008A5C11">
            <w:pP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77F3A5A3" w14:textId="77777777" w:rsidR="00A2124B" w:rsidRPr="00060EF9" w:rsidRDefault="00A2124B" w:rsidP="008A5C11">
            <w:pPr>
              <w:jc w:val="center"/>
              <w:rPr>
                <w:color w:val="000000"/>
              </w:rPr>
            </w:pPr>
            <w:r w:rsidRPr="00060EF9">
              <w:rPr>
                <w:color w:val="000000"/>
              </w:rPr>
              <w:t>65 402</w:t>
            </w:r>
          </w:p>
        </w:tc>
      </w:tr>
      <w:tr w:rsidR="00A2124B" w:rsidRPr="00060EF9" w14:paraId="18183E64" w14:textId="77777777" w:rsidTr="008A5C11">
        <w:trPr>
          <w:trHeight w:val="276"/>
        </w:trPr>
        <w:tc>
          <w:tcPr>
            <w:tcW w:w="1297" w:type="dxa"/>
            <w:shd w:val="clear" w:color="auto" w:fill="auto"/>
            <w:vAlign w:val="center"/>
            <w:hideMark/>
          </w:tcPr>
          <w:p w14:paraId="2D7D1D97" w14:textId="77777777" w:rsidR="00A2124B" w:rsidRPr="00060EF9" w:rsidRDefault="00A2124B" w:rsidP="008A5C11">
            <w:pPr>
              <w:jc w:val="center"/>
              <w:rPr>
                <w:color w:val="000000"/>
              </w:rPr>
            </w:pPr>
            <w:r w:rsidRPr="00060EF9">
              <w:rPr>
                <w:color w:val="000000"/>
              </w:rPr>
              <w:t>6.2.1.2.2.6.</w:t>
            </w:r>
          </w:p>
        </w:tc>
        <w:tc>
          <w:tcPr>
            <w:tcW w:w="4106" w:type="dxa"/>
            <w:shd w:val="clear" w:color="auto" w:fill="auto"/>
            <w:vAlign w:val="center"/>
            <w:hideMark/>
          </w:tcPr>
          <w:p w14:paraId="33E4E640" w14:textId="77777777" w:rsidR="00A2124B" w:rsidRPr="00060EF9" w:rsidRDefault="00A2124B" w:rsidP="008A5C11">
            <w:pPr>
              <w:rPr>
                <w:color w:val="000000"/>
              </w:rPr>
            </w:pPr>
            <w:r w:rsidRPr="00060EF9">
              <w:rPr>
                <w:color w:val="000000"/>
              </w:rPr>
              <w:t>325-425 мм</w:t>
            </w:r>
          </w:p>
        </w:tc>
        <w:tc>
          <w:tcPr>
            <w:tcW w:w="1775" w:type="dxa"/>
            <w:vMerge/>
            <w:vAlign w:val="center"/>
            <w:hideMark/>
          </w:tcPr>
          <w:p w14:paraId="6F61E829" w14:textId="77777777" w:rsidR="00A2124B" w:rsidRPr="00060EF9" w:rsidRDefault="00A2124B" w:rsidP="008A5C11">
            <w:pP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1A144E9B" w14:textId="77777777" w:rsidR="00A2124B" w:rsidRPr="00060EF9" w:rsidRDefault="00A2124B" w:rsidP="008A5C11">
            <w:pPr>
              <w:jc w:val="center"/>
              <w:rPr>
                <w:color w:val="000000"/>
              </w:rPr>
            </w:pPr>
            <w:r w:rsidRPr="00060EF9">
              <w:rPr>
                <w:color w:val="000000"/>
              </w:rPr>
              <w:t>65 402</w:t>
            </w:r>
          </w:p>
        </w:tc>
      </w:tr>
      <w:tr w:rsidR="00A2124B" w:rsidRPr="00060EF9" w14:paraId="2ABBEAB7" w14:textId="77777777" w:rsidTr="008A5C11">
        <w:trPr>
          <w:trHeight w:val="276"/>
        </w:trPr>
        <w:tc>
          <w:tcPr>
            <w:tcW w:w="1297" w:type="dxa"/>
            <w:shd w:val="clear" w:color="auto" w:fill="auto"/>
            <w:vAlign w:val="center"/>
            <w:hideMark/>
          </w:tcPr>
          <w:p w14:paraId="751E5100" w14:textId="77777777" w:rsidR="00A2124B" w:rsidRPr="00060EF9" w:rsidRDefault="00A2124B" w:rsidP="008A5C11">
            <w:pPr>
              <w:jc w:val="center"/>
              <w:rPr>
                <w:color w:val="000000"/>
              </w:rPr>
            </w:pPr>
            <w:r w:rsidRPr="00060EF9">
              <w:rPr>
                <w:color w:val="000000"/>
              </w:rPr>
              <w:t>6.2.1.2.2.7.</w:t>
            </w:r>
          </w:p>
        </w:tc>
        <w:tc>
          <w:tcPr>
            <w:tcW w:w="4106" w:type="dxa"/>
            <w:shd w:val="clear" w:color="auto" w:fill="auto"/>
            <w:vAlign w:val="center"/>
            <w:hideMark/>
          </w:tcPr>
          <w:p w14:paraId="27166290" w14:textId="77777777" w:rsidR="00A2124B" w:rsidRPr="00060EF9" w:rsidRDefault="00A2124B" w:rsidP="008A5C11">
            <w:pPr>
              <w:rPr>
                <w:color w:val="000000"/>
              </w:rPr>
            </w:pPr>
            <w:r w:rsidRPr="00060EF9">
              <w:rPr>
                <w:color w:val="000000"/>
              </w:rPr>
              <w:t>426-529 мм</w:t>
            </w:r>
          </w:p>
        </w:tc>
        <w:tc>
          <w:tcPr>
            <w:tcW w:w="1775" w:type="dxa"/>
            <w:vMerge/>
            <w:vAlign w:val="center"/>
            <w:hideMark/>
          </w:tcPr>
          <w:p w14:paraId="20D00801" w14:textId="77777777" w:rsidR="00A2124B" w:rsidRPr="00060EF9" w:rsidRDefault="00A2124B" w:rsidP="008A5C11">
            <w:pP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67CFD219" w14:textId="77777777" w:rsidR="00A2124B" w:rsidRPr="00060EF9" w:rsidRDefault="00A2124B" w:rsidP="008A5C11">
            <w:pPr>
              <w:jc w:val="center"/>
              <w:rPr>
                <w:color w:val="000000"/>
              </w:rPr>
            </w:pPr>
            <w:r w:rsidRPr="00060EF9">
              <w:rPr>
                <w:color w:val="000000"/>
              </w:rPr>
              <w:t>65 402</w:t>
            </w:r>
          </w:p>
        </w:tc>
      </w:tr>
      <w:tr w:rsidR="00A2124B" w:rsidRPr="00060EF9" w14:paraId="79E587C1" w14:textId="77777777" w:rsidTr="008A5C11">
        <w:trPr>
          <w:trHeight w:val="276"/>
        </w:trPr>
        <w:tc>
          <w:tcPr>
            <w:tcW w:w="1297" w:type="dxa"/>
            <w:shd w:val="clear" w:color="auto" w:fill="auto"/>
            <w:vAlign w:val="center"/>
            <w:hideMark/>
          </w:tcPr>
          <w:p w14:paraId="06283BF6" w14:textId="77777777" w:rsidR="00A2124B" w:rsidRPr="00060EF9" w:rsidRDefault="00A2124B" w:rsidP="008A5C11">
            <w:pPr>
              <w:jc w:val="center"/>
              <w:rPr>
                <w:color w:val="000000"/>
              </w:rPr>
            </w:pPr>
            <w:r w:rsidRPr="00060EF9">
              <w:rPr>
                <w:color w:val="000000"/>
              </w:rPr>
              <w:t>6.2.1.2.2.8.</w:t>
            </w:r>
          </w:p>
        </w:tc>
        <w:tc>
          <w:tcPr>
            <w:tcW w:w="4106" w:type="dxa"/>
            <w:shd w:val="clear" w:color="auto" w:fill="auto"/>
            <w:vAlign w:val="center"/>
            <w:hideMark/>
          </w:tcPr>
          <w:p w14:paraId="5090F8CD" w14:textId="77777777" w:rsidR="00A2124B" w:rsidRPr="00060EF9" w:rsidRDefault="00A2124B" w:rsidP="008A5C11">
            <w:pPr>
              <w:rPr>
                <w:color w:val="000000"/>
              </w:rPr>
            </w:pPr>
            <w:r w:rsidRPr="00060EF9">
              <w:rPr>
                <w:color w:val="000000"/>
              </w:rPr>
              <w:t>530 мм и выше</w:t>
            </w:r>
          </w:p>
        </w:tc>
        <w:tc>
          <w:tcPr>
            <w:tcW w:w="1775" w:type="dxa"/>
            <w:vMerge/>
            <w:vAlign w:val="center"/>
            <w:hideMark/>
          </w:tcPr>
          <w:p w14:paraId="64A59F4C" w14:textId="77777777" w:rsidR="00A2124B" w:rsidRPr="00060EF9" w:rsidRDefault="00A2124B" w:rsidP="008A5C11">
            <w:pP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40DD03BF" w14:textId="77777777" w:rsidR="00A2124B" w:rsidRPr="00060EF9" w:rsidRDefault="00A2124B" w:rsidP="008A5C11">
            <w:pPr>
              <w:jc w:val="center"/>
              <w:rPr>
                <w:color w:val="000000"/>
              </w:rPr>
            </w:pPr>
            <w:r w:rsidRPr="00060EF9">
              <w:rPr>
                <w:color w:val="000000"/>
              </w:rPr>
              <w:t>65 402</w:t>
            </w:r>
          </w:p>
        </w:tc>
      </w:tr>
      <w:tr w:rsidR="00A2124B" w:rsidRPr="00060EF9" w14:paraId="3377D5C4" w14:textId="77777777" w:rsidTr="008A5C11">
        <w:trPr>
          <w:trHeight w:val="400"/>
        </w:trPr>
        <w:tc>
          <w:tcPr>
            <w:tcW w:w="1297" w:type="dxa"/>
            <w:shd w:val="clear" w:color="auto" w:fill="auto"/>
            <w:vAlign w:val="center"/>
            <w:hideMark/>
          </w:tcPr>
          <w:p w14:paraId="7596015A" w14:textId="77777777" w:rsidR="00A2124B" w:rsidRPr="00060EF9" w:rsidRDefault="00A2124B" w:rsidP="008A5C11">
            <w:pPr>
              <w:jc w:val="center"/>
              <w:rPr>
                <w:color w:val="000000"/>
              </w:rPr>
            </w:pPr>
            <w:r w:rsidRPr="00060EF9">
              <w:rPr>
                <w:color w:val="000000"/>
              </w:rPr>
              <w:t>6.2.2.</w:t>
            </w:r>
          </w:p>
        </w:tc>
        <w:tc>
          <w:tcPr>
            <w:tcW w:w="8347" w:type="dxa"/>
            <w:gridSpan w:val="3"/>
            <w:shd w:val="clear" w:color="auto" w:fill="auto"/>
            <w:vAlign w:val="center"/>
            <w:hideMark/>
          </w:tcPr>
          <w:p w14:paraId="16BEDED9" w14:textId="77777777" w:rsidR="00A2124B" w:rsidRPr="00060EF9" w:rsidRDefault="00A2124B" w:rsidP="008A5C11">
            <w:pPr>
              <w:rPr>
                <w:color w:val="000000"/>
              </w:rPr>
            </w:pPr>
            <w:r w:rsidRPr="00060EF9">
              <w:rPr>
                <w:color w:val="000000"/>
              </w:rPr>
              <w:t>полиэтиленовых газопроводов:</w:t>
            </w:r>
          </w:p>
        </w:tc>
      </w:tr>
      <w:tr w:rsidR="00A2124B" w:rsidRPr="00060EF9" w14:paraId="74539406" w14:textId="77777777" w:rsidTr="008A5C11">
        <w:trPr>
          <w:trHeight w:val="612"/>
        </w:trPr>
        <w:tc>
          <w:tcPr>
            <w:tcW w:w="1297" w:type="dxa"/>
            <w:shd w:val="clear" w:color="auto" w:fill="auto"/>
            <w:vAlign w:val="center"/>
            <w:hideMark/>
          </w:tcPr>
          <w:p w14:paraId="17509D1E" w14:textId="77777777" w:rsidR="00A2124B" w:rsidRPr="00060EF9" w:rsidRDefault="00A2124B" w:rsidP="008A5C11">
            <w:pPr>
              <w:jc w:val="center"/>
              <w:rPr>
                <w:color w:val="000000"/>
              </w:rPr>
            </w:pPr>
            <w:r w:rsidRPr="00060EF9">
              <w:rPr>
                <w:color w:val="000000"/>
              </w:rPr>
              <w:t>6.2.2.1.</w:t>
            </w:r>
          </w:p>
        </w:tc>
        <w:tc>
          <w:tcPr>
            <w:tcW w:w="8347" w:type="dxa"/>
            <w:gridSpan w:val="3"/>
            <w:shd w:val="clear" w:color="auto" w:fill="auto"/>
            <w:vAlign w:val="center"/>
            <w:hideMark/>
          </w:tcPr>
          <w:p w14:paraId="0AA8445F" w14:textId="77777777" w:rsidR="00A2124B" w:rsidRPr="00060EF9" w:rsidRDefault="00A2124B" w:rsidP="008A5C11">
            <w:pPr>
              <w:rPr>
                <w:color w:val="000000"/>
              </w:rPr>
            </w:pPr>
            <w:r w:rsidRPr="00060EF9">
              <w:rPr>
                <w:color w:val="000000"/>
              </w:rPr>
              <w:t>с давлением до 0,6 МПа (включительно) в газопроводе, в который осуществляется врезка, наружным диаметром:</w:t>
            </w:r>
          </w:p>
        </w:tc>
      </w:tr>
      <w:tr w:rsidR="00A2124B" w:rsidRPr="00060EF9" w14:paraId="7465375B" w14:textId="77777777" w:rsidTr="008A5C11">
        <w:trPr>
          <w:trHeight w:val="276"/>
        </w:trPr>
        <w:tc>
          <w:tcPr>
            <w:tcW w:w="1297" w:type="dxa"/>
            <w:shd w:val="clear" w:color="auto" w:fill="auto"/>
            <w:vAlign w:val="center"/>
            <w:hideMark/>
          </w:tcPr>
          <w:p w14:paraId="4562AE21" w14:textId="77777777" w:rsidR="00A2124B" w:rsidRPr="00060EF9" w:rsidRDefault="00A2124B" w:rsidP="008A5C11">
            <w:pPr>
              <w:jc w:val="center"/>
              <w:rPr>
                <w:color w:val="000000"/>
              </w:rPr>
            </w:pPr>
            <w:r w:rsidRPr="00060EF9">
              <w:rPr>
                <w:color w:val="000000"/>
              </w:rPr>
              <w:t>6.2.2.1.1.</w:t>
            </w:r>
          </w:p>
        </w:tc>
        <w:tc>
          <w:tcPr>
            <w:tcW w:w="4106" w:type="dxa"/>
            <w:shd w:val="clear" w:color="auto" w:fill="auto"/>
            <w:vAlign w:val="center"/>
            <w:hideMark/>
          </w:tcPr>
          <w:p w14:paraId="75BEFCE1" w14:textId="77777777" w:rsidR="00A2124B" w:rsidRPr="00060EF9" w:rsidRDefault="00A2124B" w:rsidP="008A5C11">
            <w:pPr>
              <w:rPr>
                <w:color w:val="000000"/>
              </w:rPr>
            </w:pPr>
            <w:r w:rsidRPr="00060EF9">
              <w:rPr>
                <w:color w:val="000000"/>
              </w:rPr>
              <w:t>109 мм и менее</w:t>
            </w:r>
          </w:p>
        </w:tc>
        <w:tc>
          <w:tcPr>
            <w:tcW w:w="1775" w:type="dxa"/>
            <w:vMerge w:val="restart"/>
            <w:shd w:val="clear" w:color="auto" w:fill="auto"/>
            <w:vAlign w:val="center"/>
            <w:hideMark/>
          </w:tcPr>
          <w:p w14:paraId="3AF83C39" w14:textId="77777777" w:rsidR="00A2124B" w:rsidRPr="00060EF9" w:rsidRDefault="00A2124B" w:rsidP="008A5C11">
            <w:pPr>
              <w:jc w:val="center"/>
              <w:rPr>
                <w:color w:val="000000"/>
              </w:rPr>
            </w:pPr>
            <w:r w:rsidRPr="00060EF9">
              <w:rPr>
                <w:color w:val="000000"/>
              </w:rPr>
              <w:t>руб. за 1 присоединение</w:t>
            </w:r>
          </w:p>
        </w:tc>
        <w:tc>
          <w:tcPr>
            <w:tcW w:w="2466" w:type="dxa"/>
            <w:tcBorders>
              <w:top w:val="single" w:sz="8" w:space="0" w:color="auto"/>
              <w:left w:val="nil"/>
              <w:bottom w:val="single" w:sz="8" w:space="0" w:color="auto"/>
              <w:right w:val="single" w:sz="8" w:space="0" w:color="auto"/>
            </w:tcBorders>
            <w:shd w:val="clear" w:color="auto" w:fill="auto"/>
            <w:vAlign w:val="center"/>
            <w:hideMark/>
          </w:tcPr>
          <w:p w14:paraId="602B338B" w14:textId="77777777" w:rsidR="00A2124B" w:rsidRPr="00060EF9" w:rsidRDefault="00A2124B" w:rsidP="008A5C11">
            <w:pPr>
              <w:jc w:val="center"/>
              <w:rPr>
                <w:color w:val="000000"/>
              </w:rPr>
            </w:pPr>
            <w:r w:rsidRPr="00060EF9">
              <w:rPr>
                <w:color w:val="000000"/>
              </w:rPr>
              <w:t>18 077</w:t>
            </w:r>
          </w:p>
        </w:tc>
      </w:tr>
      <w:tr w:rsidR="00A2124B" w:rsidRPr="00060EF9" w14:paraId="2EC2DC4D" w14:textId="77777777" w:rsidTr="008A5C11">
        <w:trPr>
          <w:trHeight w:val="276"/>
        </w:trPr>
        <w:tc>
          <w:tcPr>
            <w:tcW w:w="1297" w:type="dxa"/>
            <w:shd w:val="clear" w:color="auto" w:fill="auto"/>
            <w:vAlign w:val="center"/>
            <w:hideMark/>
          </w:tcPr>
          <w:p w14:paraId="6A09926C" w14:textId="77777777" w:rsidR="00A2124B" w:rsidRPr="00060EF9" w:rsidRDefault="00A2124B" w:rsidP="008A5C11">
            <w:pPr>
              <w:jc w:val="center"/>
              <w:rPr>
                <w:color w:val="000000"/>
              </w:rPr>
            </w:pPr>
            <w:r w:rsidRPr="00060EF9">
              <w:rPr>
                <w:color w:val="000000"/>
              </w:rPr>
              <w:t>6.2.2.1.2.</w:t>
            </w:r>
          </w:p>
        </w:tc>
        <w:tc>
          <w:tcPr>
            <w:tcW w:w="4106" w:type="dxa"/>
            <w:shd w:val="clear" w:color="auto" w:fill="auto"/>
            <w:vAlign w:val="center"/>
            <w:hideMark/>
          </w:tcPr>
          <w:p w14:paraId="0C431686" w14:textId="77777777" w:rsidR="00A2124B" w:rsidRPr="00060EF9" w:rsidRDefault="00A2124B" w:rsidP="008A5C11">
            <w:pPr>
              <w:rPr>
                <w:color w:val="000000"/>
              </w:rPr>
            </w:pPr>
            <w:r w:rsidRPr="00060EF9">
              <w:rPr>
                <w:color w:val="000000"/>
              </w:rPr>
              <w:t>110-159 мм</w:t>
            </w:r>
          </w:p>
        </w:tc>
        <w:tc>
          <w:tcPr>
            <w:tcW w:w="1775" w:type="dxa"/>
            <w:vMerge/>
            <w:vAlign w:val="center"/>
            <w:hideMark/>
          </w:tcPr>
          <w:p w14:paraId="04C3CBA1" w14:textId="77777777" w:rsidR="00A2124B" w:rsidRPr="00060EF9" w:rsidRDefault="00A2124B" w:rsidP="008A5C11">
            <w:pP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666794C3" w14:textId="77777777" w:rsidR="00A2124B" w:rsidRPr="00060EF9" w:rsidRDefault="00A2124B" w:rsidP="008A5C11">
            <w:pPr>
              <w:jc w:val="center"/>
              <w:rPr>
                <w:color w:val="000000"/>
              </w:rPr>
            </w:pPr>
            <w:r w:rsidRPr="00060EF9">
              <w:rPr>
                <w:color w:val="000000"/>
              </w:rPr>
              <w:t>33 487</w:t>
            </w:r>
          </w:p>
        </w:tc>
      </w:tr>
      <w:tr w:rsidR="00A2124B" w:rsidRPr="00060EF9" w14:paraId="0B9E1614" w14:textId="77777777" w:rsidTr="008A5C11">
        <w:trPr>
          <w:trHeight w:val="276"/>
        </w:trPr>
        <w:tc>
          <w:tcPr>
            <w:tcW w:w="1297" w:type="dxa"/>
            <w:shd w:val="clear" w:color="auto" w:fill="auto"/>
            <w:vAlign w:val="center"/>
            <w:hideMark/>
          </w:tcPr>
          <w:p w14:paraId="048A3930" w14:textId="77777777" w:rsidR="00A2124B" w:rsidRPr="00060EF9" w:rsidRDefault="00A2124B" w:rsidP="008A5C11">
            <w:pPr>
              <w:jc w:val="center"/>
              <w:rPr>
                <w:color w:val="000000"/>
              </w:rPr>
            </w:pPr>
            <w:r w:rsidRPr="00060EF9">
              <w:rPr>
                <w:color w:val="000000"/>
              </w:rPr>
              <w:t>6.2.2.1.3.</w:t>
            </w:r>
          </w:p>
        </w:tc>
        <w:tc>
          <w:tcPr>
            <w:tcW w:w="4106" w:type="dxa"/>
            <w:shd w:val="clear" w:color="auto" w:fill="auto"/>
            <w:vAlign w:val="center"/>
            <w:hideMark/>
          </w:tcPr>
          <w:p w14:paraId="45C0974A" w14:textId="77777777" w:rsidR="00A2124B" w:rsidRPr="00060EF9" w:rsidRDefault="00A2124B" w:rsidP="008A5C11">
            <w:pPr>
              <w:rPr>
                <w:color w:val="000000"/>
              </w:rPr>
            </w:pPr>
            <w:r w:rsidRPr="00060EF9">
              <w:rPr>
                <w:color w:val="000000"/>
              </w:rPr>
              <w:t>160-224 мм</w:t>
            </w:r>
          </w:p>
        </w:tc>
        <w:tc>
          <w:tcPr>
            <w:tcW w:w="1775" w:type="dxa"/>
            <w:vMerge/>
            <w:vAlign w:val="center"/>
            <w:hideMark/>
          </w:tcPr>
          <w:p w14:paraId="0878DC36" w14:textId="77777777" w:rsidR="00A2124B" w:rsidRPr="00060EF9" w:rsidRDefault="00A2124B" w:rsidP="008A5C11">
            <w:pP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1FA4AD6E" w14:textId="77777777" w:rsidR="00A2124B" w:rsidRPr="00060EF9" w:rsidRDefault="00A2124B" w:rsidP="008A5C11">
            <w:pPr>
              <w:jc w:val="center"/>
              <w:rPr>
                <w:color w:val="000000"/>
              </w:rPr>
            </w:pPr>
            <w:r w:rsidRPr="00060EF9">
              <w:rPr>
                <w:color w:val="000000"/>
              </w:rPr>
              <w:t>34 272</w:t>
            </w:r>
          </w:p>
        </w:tc>
      </w:tr>
      <w:tr w:rsidR="00A2124B" w:rsidRPr="00060EF9" w14:paraId="51AFACAB" w14:textId="77777777" w:rsidTr="008A5C11">
        <w:trPr>
          <w:trHeight w:val="276"/>
        </w:trPr>
        <w:tc>
          <w:tcPr>
            <w:tcW w:w="1297" w:type="dxa"/>
            <w:shd w:val="clear" w:color="auto" w:fill="auto"/>
            <w:vAlign w:val="center"/>
            <w:hideMark/>
          </w:tcPr>
          <w:p w14:paraId="4AC1AAD2" w14:textId="77777777" w:rsidR="00A2124B" w:rsidRPr="00060EF9" w:rsidRDefault="00A2124B" w:rsidP="008A5C11">
            <w:pPr>
              <w:jc w:val="center"/>
              <w:rPr>
                <w:color w:val="000000"/>
              </w:rPr>
            </w:pPr>
            <w:r w:rsidRPr="00060EF9">
              <w:rPr>
                <w:color w:val="000000"/>
              </w:rPr>
              <w:t>6.2.2.1.4.</w:t>
            </w:r>
          </w:p>
        </w:tc>
        <w:tc>
          <w:tcPr>
            <w:tcW w:w="4106" w:type="dxa"/>
            <w:shd w:val="clear" w:color="auto" w:fill="auto"/>
            <w:vAlign w:val="center"/>
            <w:hideMark/>
          </w:tcPr>
          <w:p w14:paraId="02C324EB" w14:textId="77777777" w:rsidR="00A2124B" w:rsidRPr="00060EF9" w:rsidRDefault="00A2124B" w:rsidP="008A5C11">
            <w:pPr>
              <w:rPr>
                <w:color w:val="000000"/>
              </w:rPr>
            </w:pPr>
            <w:r w:rsidRPr="00060EF9">
              <w:rPr>
                <w:color w:val="000000"/>
              </w:rPr>
              <w:t>225-314 мм</w:t>
            </w:r>
          </w:p>
        </w:tc>
        <w:tc>
          <w:tcPr>
            <w:tcW w:w="1775" w:type="dxa"/>
            <w:vMerge/>
            <w:vAlign w:val="center"/>
            <w:hideMark/>
          </w:tcPr>
          <w:p w14:paraId="136BEAB2" w14:textId="77777777" w:rsidR="00A2124B" w:rsidRPr="00060EF9" w:rsidRDefault="00A2124B" w:rsidP="008A5C11">
            <w:pP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2E175F4C" w14:textId="77777777" w:rsidR="00A2124B" w:rsidRPr="00060EF9" w:rsidRDefault="00A2124B" w:rsidP="008A5C11">
            <w:pPr>
              <w:jc w:val="center"/>
              <w:rPr>
                <w:color w:val="000000"/>
              </w:rPr>
            </w:pPr>
            <w:r w:rsidRPr="00060EF9">
              <w:rPr>
                <w:color w:val="000000"/>
              </w:rPr>
              <w:t>34 606</w:t>
            </w:r>
          </w:p>
        </w:tc>
      </w:tr>
      <w:tr w:rsidR="00A2124B" w:rsidRPr="00060EF9" w14:paraId="661A942B" w14:textId="77777777" w:rsidTr="008A5C11">
        <w:trPr>
          <w:trHeight w:val="276"/>
        </w:trPr>
        <w:tc>
          <w:tcPr>
            <w:tcW w:w="1297" w:type="dxa"/>
            <w:shd w:val="clear" w:color="auto" w:fill="auto"/>
            <w:vAlign w:val="center"/>
            <w:hideMark/>
          </w:tcPr>
          <w:p w14:paraId="5B7FEF97" w14:textId="77777777" w:rsidR="00A2124B" w:rsidRPr="00060EF9" w:rsidRDefault="00A2124B" w:rsidP="008A5C11">
            <w:pPr>
              <w:jc w:val="center"/>
              <w:rPr>
                <w:color w:val="000000"/>
              </w:rPr>
            </w:pPr>
            <w:r w:rsidRPr="00060EF9">
              <w:rPr>
                <w:color w:val="000000"/>
              </w:rPr>
              <w:t>6.2.2.1.5.</w:t>
            </w:r>
          </w:p>
        </w:tc>
        <w:tc>
          <w:tcPr>
            <w:tcW w:w="4106" w:type="dxa"/>
            <w:shd w:val="clear" w:color="auto" w:fill="auto"/>
            <w:vAlign w:val="center"/>
            <w:hideMark/>
          </w:tcPr>
          <w:p w14:paraId="56175B08" w14:textId="77777777" w:rsidR="00A2124B" w:rsidRPr="00060EF9" w:rsidRDefault="00A2124B" w:rsidP="008A5C11">
            <w:pPr>
              <w:rPr>
                <w:color w:val="000000"/>
              </w:rPr>
            </w:pPr>
            <w:r w:rsidRPr="00060EF9">
              <w:rPr>
                <w:color w:val="000000"/>
              </w:rPr>
              <w:t>315-399 мм</w:t>
            </w:r>
          </w:p>
        </w:tc>
        <w:tc>
          <w:tcPr>
            <w:tcW w:w="1775" w:type="dxa"/>
            <w:vMerge/>
            <w:vAlign w:val="center"/>
            <w:hideMark/>
          </w:tcPr>
          <w:p w14:paraId="590C2051" w14:textId="77777777" w:rsidR="00A2124B" w:rsidRPr="00060EF9" w:rsidRDefault="00A2124B" w:rsidP="008A5C11">
            <w:pP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4140982C" w14:textId="77777777" w:rsidR="00A2124B" w:rsidRPr="00060EF9" w:rsidRDefault="00A2124B" w:rsidP="008A5C11">
            <w:pPr>
              <w:jc w:val="center"/>
              <w:rPr>
                <w:color w:val="000000"/>
              </w:rPr>
            </w:pPr>
            <w:r w:rsidRPr="00060EF9">
              <w:rPr>
                <w:color w:val="000000"/>
              </w:rPr>
              <w:t>36 088</w:t>
            </w:r>
          </w:p>
        </w:tc>
      </w:tr>
      <w:tr w:rsidR="00A2124B" w:rsidRPr="00060EF9" w14:paraId="3DBA9962" w14:textId="77777777" w:rsidTr="008A5C11">
        <w:trPr>
          <w:trHeight w:val="276"/>
        </w:trPr>
        <w:tc>
          <w:tcPr>
            <w:tcW w:w="1297" w:type="dxa"/>
            <w:shd w:val="clear" w:color="auto" w:fill="auto"/>
            <w:vAlign w:val="center"/>
            <w:hideMark/>
          </w:tcPr>
          <w:p w14:paraId="24B31AB4" w14:textId="77777777" w:rsidR="00A2124B" w:rsidRPr="00060EF9" w:rsidRDefault="00A2124B" w:rsidP="008A5C11">
            <w:pPr>
              <w:jc w:val="center"/>
              <w:rPr>
                <w:color w:val="000000"/>
              </w:rPr>
            </w:pPr>
            <w:r w:rsidRPr="00060EF9">
              <w:rPr>
                <w:color w:val="000000"/>
              </w:rPr>
              <w:t>6.2.2.1.6.</w:t>
            </w:r>
          </w:p>
        </w:tc>
        <w:tc>
          <w:tcPr>
            <w:tcW w:w="4106" w:type="dxa"/>
            <w:shd w:val="clear" w:color="auto" w:fill="auto"/>
            <w:vAlign w:val="center"/>
            <w:hideMark/>
          </w:tcPr>
          <w:p w14:paraId="06142025" w14:textId="77777777" w:rsidR="00A2124B" w:rsidRPr="00060EF9" w:rsidRDefault="00A2124B" w:rsidP="008A5C11">
            <w:pPr>
              <w:rPr>
                <w:color w:val="000000"/>
              </w:rPr>
            </w:pPr>
            <w:r w:rsidRPr="00060EF9">
              <w:rPr>
                <w:color w:val="000000"/>
              </w:rPr>
              <w:t>400 мм и выше</w:t>
            </w:r>
          </w:p>
        </w:tc>
        <w:tc>
          <w:tcPr>
            <w:tcW w:w="1775" w:type="dxa"/>
            <w:vMerge/>
            <w:vAlign w:val="center"/>
            <w:hideMark/>
          </w:tcPr>
          <w:p w14:paraId="4D21DA1F" w14:textId="77777777" w:rsidR="00A2124B" w:rsidRPr="00060EF9" w:rsidRDefault="00A2124B" w:rsidP="008A5C11">
            <w:pP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26B9B752" w14:textId="77777777" w:rsidR="00A2124B" w:rsidRPr="00060EF9" w:rsidRDefault="00A2124B" w:rsidP="008A5C11">
            <w:pPr>
              <w:jc w:val="center"/>
              <w:rPr>
                <w:color w:val="000000"/>
              </w:rPr>
            </w:pPr>
            <w:r w:rsidRPr="00060EF9">
              <w:rPr>
                <w:color w:val="000000"/>
              </w:rPr>
              <w:t>59 566</w:t>
            </w:r>
          </w:p>
        </w:tc>
      </w:tr>
      <w:tr w:rsidR="00A2124B" w:rsidRPr="00060EF9" w14:paraId="3A952E8D" w14:textId="77777777" w:rsidTr="008A5C11">
        <w:trPr>
          <w:trHeight w:val="612"/>
        </w:trPr>
        <w:tc>
          <w:tcPr>
            <w:tcW w:w="1297" w:type="dxa"/>
            <w:shd w:val="clear" w:color="auto" w:fill="auto"/>
            <w:vAlign w:val="center"/>
            <w:hideMark/>
          </w:tcPr>
          <w:p w14:paraId="3A9B2137" w14:textId="77777777" w:rsidR="00A2124B" w:rsidRPr="00060EF9" w:rsidRDefault="00A2124B" w:rsidP="008A5C11">
            <w:pPr>
              <w:jc w:val="center"/>
              <w:rPr>
                <w:color w:val="000000"/>
              </w:rPr>
            </w:pPr>
            <w:r w:rsidRPr="00060EF9">
              <w:rPr>
                <w:color w:val="000000"/>
              </w:rPr>
              <w:t>6.2.2.2.</w:t>
            </w:r>
          </w:p>
        </w:tc>
        <w:tc>
          <w:tcPr>
            <w:tcW w:w="8347" w:type="dxa"/>
            <w:gridSpan w:val="3"/>
            <w:shd w:val="clear" w:color="auto" w:fill="auto"/>
            <w:vAlign w:val="center"/>
            <w:hideMark/>
          </w:tcPr>
          <w:p w14:paraId="6C5601EF" w14:textId="77777777" w:rsidR="00A2124B" w:rsidRPr="00060EF9" w:rsidRDefault="00A2124B" w:rsidP="008A5C11">
            <w:pPr>
              <w:rPr>
                <w:color w:val="000000"/>
              </w:rPr>
            </w:pPr>
            <w:r w:rsidRPr="00060EF9">
              <w:rPr>
                <w:color w:val="000000"/>
              </w:rPr>
              <w:t>с давлением от 0,6 МПа до 1,2 МПа в газопроводе, в который осуществляется врезка, наружным диаметром:</w:t>
            </w:r>
          </w:p>
        </w:tc>
      </w:tr>
      <w:tr w:rsidR="00A2124B" w:rsidRPr="00060EF9" w14:paraId="3F171870" w14:textId="77777777" w:rsidTr="008A5C11">
        <w:trPr>
          <w:trHeight w:val="276"/>
        </w:trPr>
        <w:tc>
          <w:tcPr>
            <w:tcW w:w="1297" w:type="dxa"/>
            <w:shd w:val="clear" w:color="auto" w:fill="auto"/>
            <w:vAlign w:val="center"/>
            <w:hideMark/>
          </w:tcPr>
          <w:p w14:paraId="0827B377" w14:textId="77777777" w:rsidR="00A2124B" w:rsidRPr="00060EF9" w:rsidRDefault="00A2124B" w:rsidP="008A5C11">
            <w:pPr>
              <w:jc w:val="center"/>
              <w:rPr>
                <w:color w:val="000000"/>
              </w:rPr>
            </w:pPr>
            <w:r w:rsidRPr="00060EF9">
              <w:rPr>
                <w:color w:val="000000"/>
              </w:rPr>
              <w:t>6.2.2.2.1.</w:t>
            </w:r>
          </w:p>
        </w:tc>
        <w:tc>
          <w:tcPr>
            <w:tcW w:w="4106" w:type="dxa"/>
            <w:shd w:val="clear" w:color="auto" w:fill="auto"/>
            <w:vAlign w:val="center"/>
            <w:hideMark/>
          </w:tcPr>
          <w:p w14:paraId="761C8058" w14:textId="77777777" w:rsidR="00A2124B" w:rsidRPr="00060EF9" w:rsidRDefault="00A2124B" w:rsidP="008A5C11">
            <w:pPr>
              <w:rPr>
                <w:color w:val="000000"/>
              </w:rPr>
            </w:pPr>
            <w:r w:rsidRPr="00060EF9">
              <w:rPr>
                <w:color w:val="000000"/>
              </w:rPr>
              <w:t>109 мм и менее</w:t>
            </w:r>
          </w:p>
        </w:tc>
        <w:tc>
          <w:tcPr>
            <w:tcW w:w="1775" w:type="dxa"/>
            <w:vMerge w:val="restart"/>
            <w:shd w:val="clear" w:color="auto" w:fill="auto"/>
            <w:vAlign w:val="center"/>
            <w:hideMark/>
          </w:tcPr>
          <w:p w14:paraId="3E749EF0" w14:textId="77777777" w:rsidR="00A2124B" w:rsidRPr="00060EF9" w:rsidRDefault="00A2124B" w:rsidP="008A5C11">
            <w:pPr>
              <w:jc w:val="center"/>
              <w:rPr>
                <w:color w:val="000000"/>
              </w:rPr>
            </w:pPr>
            <w:r w:rsidRPr="00060EF9">
              <w:rPr>
                <w:color w:val="000000"/>
              </w:rPr>
              <w:t>руб. за 1 присоединение</w:t>
            </w:r>
          </w:p>
        </w:tc>
        <w:tc>
          <w:tcPr>
            <w:tcW w:w="2466" w:type="dxa"/>
            <w:tcBorders>
              <w:top w:val="single" w:sz="8" w:space="0" w:color="auto"/>
              <w:left w:val="nil"/>
              <w:bottom w:val="single" w:sz="8" w:space="0" w:color="auto"/>
              <w:right w:val="single" w:sz="8" w:space="0" w:color="auto"/>
            </w:tcBorders>
            <w:shd w:val="clear" w:color="auto" w:fill="auto"/>
            <w:vAlign w:val="center"/>
            <w:hideMark/>
          </w:tcPr>
          <w:p w14:paraId="1B02377B" w14:textId="77777777" w:rsidR="00A2124B" w:rsidRPr="00060EF9" w:rsidRDefault="00A2124B" w:rsidP="008A5C11">
            <w:pPr>
              <w:jc w:val="center"/>
              <w:rPr>
                <w:color w:val="000000"/>
              </w:rPr>
            </w:pPr>
            <w:r w:rsidRPr="00060EF9">
              <w:rPr>
                <w:color w:val="000000"/>
              </w:rPr>
              <w:t>27 149</w:t>
            </w:r>
          </w:p>
        </w:tc>
      </w:tr>
      <w:tr w:rsidR="00A2124B" w:rsidRPr="00060EF9" w14:paraId="056C6CA4" w14:textId="77777777" w:rsidTr="008A5C11">
        <w:trPr>
          <w:trHeight w:val="276"/>
        </w:trPr>
        <w:tc>
          <w:tcPr>
            <w:tcW w:w="1297" w:type="dxa"/>
            <w:shd w:val="clear" w:color="auto" w:fill="auto"/>
            <w:vAlign w:val="center"/>
            <w:hideMark/>
          </w:tcPr>
          <w:p w14:paraId="741167B6" w14:textId="77777777" w:rsidR="00A2124B" w:rsidRPr="00060EF9" w:rsidRDefault="00A2124B" w:rsidP="008A5C11">
            <w:pPr>
              <w:jc w:val="center"/>
              <w:rPr>
                <w:color w:val="000000"/>
              </w:rPr>
            </w:pPr>
            <w:r w:rsidRPr="00060EF9">
              <w:rPr>
                <w:color w:val="000000"/>
              </w:rPr>
              <w:t>6.2.2.2.2.</w:t>
            </w:r>
          </w:p>
        </w:tc>
        <w:tc>
          <w:tcPr>
            <w:tcW w:w="4106" w:type="dxa"/>
            <w:shd w:val="clear" w:color="auto" w:fill="auto"/>
            <w:vAlign w:val="center"/>
            <w:hideMark/>
          </w:tcPr>
          <w:p w14:paraId="5AC4A7F4" w14:textId="77777777" w:rsidR="00A2124B" w:rsidRPr="00060EF9" w:rsidRDefault="00A2124B" w:rsidP="008A5C11">
            <w:pPr>
              <w:rPr>
                <w:color w:val="000000"/>
              </w:rPr>
            </w:pPr>
            <w:r w:rsidRPr="00060EF9">
              <w:rPr>
                <w:color w:val="000000"/>
              </w:rPr>
              <w:t>110-159 мм</w:t>
            </w:r>
          </w:p>
        </w:tc>
        <w:tc>
          <w:tcPr>
            <w:tcW w:w="1775" w:type="dxa"/>
            <w:vMerge/>
            <w:vAlign w:val="center"/>
            <w:hideMark/>
          </w:tcPr>
          <w:p w14:paraId="456C18C7" w14:textId="77777777" w:rsidR="00A2124B" w:rsidRPr="00060EF9" w:rsidRDefault="00A2124B" w:rsidP="008A5C11">
            <w:pP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5EFF5BAA" w14:textId="77777777" w:rsidR="00A2124B" w:rsidRPr="00060EF9" w:rsidRDefault="00A2124B" w:rsidP="008A5C11">
            <w:pPr>
              <w:jc w:val="center"/>
              <w:rPr>
                <w:color w:val="000000"/>
              </w:rPr>
            </w:pPr>
            <w:r w:rsidRPr="00060EF9">
              <w:rPr>
                <w:color w:val="000000"/>
              </w:rPr>
              <w:t>36 222</w:t>
            </w:r>
          </w:p>
        </w:tc>
      </w:tr>
      <w:tr w:rsidR="00A2124B" w:rsidRPr="00060EF9" w14:paraId="3DA09E1D" w14:textId="77777777" w:rsidTr="008A5C11">
        <w:trPr>
          <w:trHeight w:val="276"/>
        </w:trPr>
        <w:tc>
          <w:tcPr>
            <w:tcW w:w="1297" w:type="dxa"/>
            <w:shd w:val="clear" w:color="auto" w:fill="auto"/>
            <w:vAlign w:val="center"/>
            <w:hideMark/>
          </w:tcPr>
          <w:p w14:paraId="2B9087ED" w14:textId="77777777" w:rsidR="00A2124B" w:rsidRPr="00060EF9" w:rsidRDefault="00A2124B" w:rsidP="008A5C11">
            <w:pPr>
              <w:jc w:val="center"/>
              <w:rPr>
                <w:color w:val="000000"/>
              </w:rPr>
            </w:pPr>
            <w:r w:rsidRPr="00060EF9">
              <w:rPr>
                <w:color w:val="000000"/>
              </w:rPr>
              <w:t>6.2.2.2.3.</w:t>
            </w:r>
          </w:p>
        </w:tc>
        <w:tc>
          <w:tcPr>
            <w:tcW w:w="4106" w:type="dxa"/>
            <w:shd w:val="clear" w:color="auto" w:fill="auto"/>
            <w:vAlign w:val="center"/>
            <w:hideMark/>
          </w:tcPr>
          <w:p w14:paraId="62BB595A" w14:textId="77777777" w:rsidR="00A2124B" w:rsidRPr="00060EF9" w:rsidRDefault="00A2124B" w:rsidP="008A5C11">
            <w:pPr>
              <w:rPr>
                <w:color w:val="000000"/>
              </w:rPr>
            </w:pPr>
            <w:r w:rsidRPr="00060EF9">
              <w:rPr>
                <w:color w:val="000000"/>
              </w:rPr>
              <w:t>160-224 мм</w:t>
            </w:r>
          </w:p>
        </w:tc>
        <w:tc>
          <w:tcPr>
            <w:tcW w:w="1775" w:type="dxa"/>
            <w:vMerge/>
            <w:vAlign w:val="center"/>
            <w:hideMark/>
          </w:tcPr>
          <w:p w14:paraId="485FABC2" w14:textId="77777777" w:rsidR="00A2124B" w:rsidRPr="00060EF9" w:rsidRDefault="00A2124B" w:rsidP="008A5C11">
            <w:pPr>
              <w:rPr>
                <w:color w:val="000000"/>
              </w:rPr>
            </w:pPr>
          </w:p>
        </w:tc>
        <w:tc>
          <w:tcPr>
            <w:tcW w:w="2466" w:type="dxa"/>
            <w:tcBorders>
              <w:top w:val="nil"/>
              <w:left w:val="nil"/>
              <w:bottom w:val="single" w:sz="8" w:space="0" w:color="auto"/>
              <w:right w:val="single" w:sz="8" w:space="0" w:color="auto"/>
            </w:tcBorders>
            <w:shd w:val="clear" w:color="auto" w:fill="auto"/>
            <w:vAlign w:val="center"/>
            <w:hideMark/>
          </w:tcPr>
          <w:p w14:paraId="194D180E" w14:textId="77777777" w:rsidR="00A2124B" w:rsidRPr="00060EF9" w:rsidRDefault="00A2124B" w:rsidP="008A5C11">
            <w:pPr>
              <w:jc w:val="center"/>
              <w:rPr>
                <w:color w:val="000000"/>
              </w:rPr>
            </w:pPr>
            <w:r w:rsidRPr="00060EF9">
              <w:rPr>
                <w:color w:val="000000"/>
              </w:rPr>
              <w:t>66 617</w:t>
            </w:r>
          </w:p>
        </w:tc>
      </w:tr>
    </w:tbl>
    <w:p w14:paraId="55DE8DE2" w14:textId="77777777" w:rsidR="00A2124B" w:rsidRPr="00060EF9" w:rsidRDefault="00A2124B" w:rsidP="00A2124B">
      <w:pPr>
        <w:autoSpaceDE w:val="0"/>
        <w:autoSpaceDN w:val="0"/>
        <w:adjustRightInd w:val="0"/>
        <w:ind w:firstLine="540"/>
        <w:jc w:val="both"/>
        <w:rPr>
          <w:sz w:val="28"/>
          <w:szCs w:val="28"/>
        </w:rPr>
      </w:pPr>
    </w:p>
    <w:p w14:paraId="55F5FEA7" w14:textId="77777777" w:rsidR="00A2124B" w:rsidRPr="00060EF9" w:rsidRDefault="00A2124B" w:rsidP="00A2124B">
      <w:pPr>
        <w:autoSpaceDE w:val="0"/>
        <w:autoSpaceDN w:val="0"/>
        <w:adjustRightInd w:val="0"/>
        <w:ind w:firstLine="540"/>
        <w:jc w:val="both"/>
        <w:rPr>
          <w:bCs/>
          <w:sz w:val="28"/>
        </w:rPr>
      </w:pPr>
    </w:p>
    <w:p w14:paraId="5937278E" w14:textId="77777777" w:rsidR="00A2124B" w:rsidRDefault="00A2124B" w:rsidP="00A2124B">
      <w:pPr>
        <w:tabs>
          <w:tab w:val="left" w:pos="5580"/>
          <w:tab w:val="left" w:pos="9498"/>
        </w:tabs>
        <w:ind w:right="-569"/>
        <w:rPr>
          <w:color w:val="000000" w:themeColor="text1"/>
        </w:rPr>
        <w:sectPr w:rsidR="00A2124B" w:rsidSect="00BD7BDF">
          <w:pgSz w:w="11906" w:h="16838"/>
          <w:pgMar w:top="1134" w:right="850" w:bottom="1134" w:left="1701" w:header="708" w:footer="708" w:gutter="0"/>
          <w:cols w:space="708"/>
          <w:docGrid w:linePitch="360"/>
        </w:sectPr>
      </w:pPr>
    </w:p>
    <w:p w14:paraId="708CE26E" w14:textId="23764C7C" w:rsidR="00A2124B" w:rsidRPr="00081AD4" w:rsidRDefault="00A2124B" w:rsidP="00A2124B">
      <w:pPr>
        <w:tabs>
          <w:tab w:val="left" w:pos="3686"/>
          <w:tab w:val="left" w:pos="9498"/>
        </w:tabs>
        <w:ind w:left="-3734" w:right="-1" w:firstLine="8554"/>
        <w:rPr>
          <w:color w:val="000000" w:themeColor="text1"/>
        </w:rPr>
      </w:pPr>
      <w:r w:rsidRPr="00081AD4">
        <w:rPr>
          <w:color w:val="000000" w:themeColor="text1"/>
        </w:rPr>
        <w:t xml:space="preserve">Приложение № </w:t>
      </w:r>
      <w:r>
        <w:rPr>
          <w:color w:val="000000" w:themeColor="text1"/>
        </w:rPr>
        <w:t>1</w:t>
      </w:r>
      <w:r>
        <w:rPr>
          <w:color w:val="000000" w:themeColor="text1"/>
        </w:rPr>
        <w:t>6</w:t>
      </w:r>
      <w:r>
        <w:rPr>
          <w:color w:val="000000" w:themeColor="text1"/>
        </w:rPr>
        <w:t xml:space="preserve"> к протоколу</w:t>
      </w:r>
      <w:r w:rsidRPr="00081AD4">
        <w:rPr>
          <w:color w:val="000000" w:themeColor="text1"/>
        </w:rPr>
        <w:t xml:space="preserve"> № </w:t>
      </w:r>
      <w:r>
        <w:rPr>
          <w:color w:val="000000" w:themeColor="text1"/>
        </w:rPr>
        <w:t>88</w:t>
      </w:r>
    </w:p>
    <w:p w14:paraId="67D78D2B" w14:textId="77777777" w:rsidR="00A2124B" w:rsidRPr="00081AD4" w:rsidRDefault="00A2124B" w:rsidP="00A2124B">
      <w:pPr>
        <w:tabs>
          <w:tab w:val="left" w:pos="3686"/>
          <w:tab w:val="left" w:pos="9498"/>
        </w:tabs>
        <w:ind w:left="-3734" w:right="-1" w:firstLine="8554"/>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534FAA86" w14:textId="77777777" w:rsidR="00A2124B" w:rsidRPr="00081AD4" w:rsidRDefault="00A2124B" w:rsidP="00A2124B">
      <w:pPr>
        <w:tabs>
          <w:tab w:val="left" w:pos="3686"/>
          <w:tab w:val="left" w:pos="9498"/>
        </w:tabs>
        <w:ind w:left="-3734" w:right="-1" w:firstLine="8554"/>
        <w:rPr>
          <w:color w:val="000000" w:themeColor="text1"/>
        </w:rPr>
      </w:pPr>
      <w:r w:rsidRPr="00081AD4">
        <w:rPr>
          <w:color w:val="000000" w:themeColor="text1"/>
        </w:rPr>
        <w:t>энергетической комиссии</w:t>
      </w:r>
    </w:p>
    <w:p w14:paraId="324DB2D8" w14:textId="77777777" w:rsidR="00A2124B" w:rsidRDefault="00A2124B" w:rsidP="00A2124B">
      <w:pPr>
        <w:tabs>
          <w:tab w:val="left" w:pos="3686"/>
          <w:tab w:val="left" w:pos="9498"/>
        </w:tabs>
        <w:ind w:left="-3734" w:right="-1" w:firstLine="8554"/>
        <w:rPr>
          <w:color w:val="000000" w:themeColor="text1"/>
        </w:rPr>
      </w:pPr>
      <w:r w:rsidRPr="00081AD4">
        <w:rPr>
          <w:color w:val="000000" w:themeColor="text1"/>
        </w:rPr>
        <w:t xml:space="preserve">Кузбасса от </w:t>
      </w:r>
      <w:r>
        <w:rPr>
          <w:color w:val="000000" w:themeColor="text1"/>
        </w:rPr>
        <w:t>23</w:t>
      </w:r>
      <w:r w:rsidRPr="00081AD4">
        <w:rPr>
          <w:color w:val="000000" w:themeColor="text1"/>
        </w:rPr>
        <w:t>.</w:t>
      </w:r>
      <w:r>
        <w:rPr>
          <w:color w:val="000000" w:themeColor="text1"/>
        </w:rPr>
        <w:t>12</w:t>
      </w:r>
      <w:r w:rsidRPr="00081AD4">
        <w:rPr>
          <w:color w:val="000000" w:themeColor="text1"/>
        </w:rPr>
        <w:t>.202</w:t>
      </w:r>
      <w:r>
        <w:rPr>
          <w:color w:val="000000" w:themeColor="text1"/>
        </w:rPr>
        <w:t>1</w:t>
      </w:r>
    </w:p>
    <w:p w14:paraId="69D2CBFA" w14:textId="77777777" w:rsidR="00A2124B" w:rsidRDefault="00A2124B" w:rsidP="00A2124B">
      <w:pPr>
        <w:tabs>
          <w:tab w:val="left" w:pos="3686"/>
          <w:tab w:val="left" w:pos="9498"/>
        </w:tabs>
        <w:ind w:left="-3734" w:right="-1" w:firstLine="8554"/>
        <w:rPr>
          <w:color w:val="000000" w:themeColor="text1"/>
        </w:rPr>
      </w:pPr>
    </w:p>
    <w:p w14:paraId="19A5BC0D" w14:textId="77777777" w:rsidR="00A2124B" w:rsidRDefault="00A2124B" w:rsidP="00A2124B">
      <w:pPr>
        <w:tabs>
          <w:tab w:val="left" w:pos="5580"/>
          <w:tab w:val="left" w:pos="9498"/>
        </w:tabs>
        <w:ind w:left="-2347" w:right="-569" w:firstLine="6883"/>
        <w:rPr>
          <w:color w:val="000000" w:themeColor="text1"/>
        </w:rPr>
      </w:pPr>
    </w:p>
    <w:p w14:paraId="062BED1B" w14:textId="77777777" w:rsidR="00A2124B" w:rsidRDefault="00A2124B" w:rsidP="00A2124B">
      <w:pPr>
        <w:tabs>
          <w:tab w:val="left" w:pos="3945"/>
        </w:tabs>
        <w:ind w:left="426" w:right="567"/>
        <w:jc w:val="center"/>
        <w:rPr>
          <w:b/>
          <w:sz w:val="28"/>
          <w:szCs w:val="28"/>
        </w:rPr>
      </w:pPr>
      <w:r>
        <w:rPr>
          <w:b/>
          <w:sz w:val="28"/>
          <w:szCs w:val="28"/>
        </w:rPr>
        <w:t>Стандартизированные тарифные ставки</w:t>
      </w:r>
      <w:r w:rsidRPr="006C038E">
        <w:rPr>
          <w:b/>
          <w:sz w:val="28"/>
          <w:szCs w:val="28"/>
        </w:rPr>
        <w:t>, используемые для определения платы за технологическое присоединение</w:t>
      </w:r>
      <w:r w:rsidRPr="00B151D6">
        <w:rPr>
          <w:b/>
          <w:sz w:val="28"/>
          <w:szCs w:val="28"/>
        </w:rPr>
        <w:t xml:space="preserve"> </w:t>
      </w:r>
      <w:r w:rsidRPr="006C038E">
        <w:rPr>
          <w:b/>
          <w:sz w:val="28"/>
          <w:szCs w:val="28"/>
        </w:rPr>
        <w:t>газоиспользующего оборудования к газораспределительным сетям</w:t>
      </w:r>
      <w:r>
        <w:rPr>
          <w:b/>
          <w:sz w:val="28"/>
          <w:szCs w:val="28"/>
        </w:rPr>
        <w:t xml:space="preserve"> </w:t>
      </w:r>
      <w:r w:rsidRPr="007D6646">
        <w:rPr>
          <w:b/>
          <w:sz w:val="28"/>
          <w:szCs w:val="28"/>
        </w:rPr>
        <w:t xml:space="preserve">ООО «Кузбассоблгаз» </w:t>
      </w:r>
      <w:r>
        <w:rPr>
          <w:b/>
          <w:sz w:val="28"/>
          <w:szCs w:val="28"/>
        </w:rPr>
        <w:t xml:space="preserve">на период с </w:t>
      </w:r>
      <w:r w:rsidRPr="004E2699">
        <w:rPr>
          <w:b/>
          <w:sz w:val="28"/>
          <w:szCs w:val="28"/>
        </w:rPr>
        <w:t>01.01</w:t>
      </w:r>
      <w:r>
        <w:rPr>
          <w:b/>
          <w:sz w:val="28"/>
          <w:szCs w:val="28"/>
        </w:rPr>
        <w:t>.202</w:t>
      </w:r>
      <w:r w:rsidRPr="005355E3">
        <w:rPr>
          <w:b/>
          <w:sz w:val="28"/>
          <w:szCs w:val="28"/>
        </w:rPr>
        <w:t>2</w:t>
      </w:r>
      <w:r>
        <w:rPr>
          <w:b/>
          <w:sz w:val="28"/>
          <w:szCs w:val="28"/>
        </w:rPr>
        <w:t xml:space="preserve"> по 31.12.20</w:t>
      </w:r>
      <w:r w:rsidRPr="005355E3">
        <w:rPr>
          <w:b/>
          <w:sz w:val="28"/>
          <w:szCs w:val="28"/>
        </w:rPr>
        <w:t>22</w:t>
      </w:r>
      <w:r w:rsidRPr="006C038E">
        <w:rPr>
          <w:b/>
          <w:sz w:val="28"/>
          <w:szCs w:val="28"/>
        </w:rPr>
        <w:t xml:space="preserve"> </w:t>
      </w:r>
    </w:p>
    <w:p w14:paraId="5E33E8FE" w14:textId="77777777" w:rsidR="00A2124B" w:rsidRDefault="00A2124B" w:rsidP="00A2124B">
      <w:pPr>
        <w:tabs>
          <w:tab w:val="left" w:pos="3945"/>
        </w:tabs>
        <w:ind w:left="426" w:right="567"/>
        <w:jc w:val="center"/>
        <w:rPr>
          <w:b/>
          <w:sz w:val="28"/>
          <w:szCs w:val="28"/>
        </w:rPr>
      </w:pPr>
      <w:bookmarkStart w:id="76" w:name="_Hlk57634729"/>
    </w:p>
    <w:p w14:paraId="087E3D5B" w14:textId="77777777" w:rsidR="00A2124B" w:rsidRDefault="00A2124B" w:rsidP="00A2124B">
      <w:pPr>
        <w:tabs>
          <w:tab w:val="left" w:pos="3945"/>
        </w:tabs>
        <w:ind w:left="426" w:right="567"/>
        <w:jc w:val="center"/>
        <w:rPr>
          <w:b/>
          <w:sz w:val="28"/>
          <w:szCs w:val="28"/>
        </w:rPr>
      </w:pPr>
    </w:p>
    <w:tbl>
      <w:tblPr>
        <w:tblW w:w="964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4106"/>
        <w:gridCol w:w="1775"/>
        <w:gridCol w:w="2466"/>
      </w:tblGrid>
      <w:tr w:rsidR="00A2124B" w:rsidRPr="00120EC2" w14:paraId="4F636473" w14:textId="77777777" w:rsidTr="008A5C11">
        <w:trPr>
          <w:trHeight w:val="458"/>
        </w:trPr>
        <w:tc>
          <w:tcPr>
            <w:tcW w:w="1297" w:type="dxa"/>
            <w:vMerge w:val="restart"/>
            <w:shd w:val="clear" w:color="auto" w:fill="auto"/>
            <w:vAlign w:val="center"/>
            <w:hideMark/>
          </w:tcPr>
          <w:p w14:paraId="6E0480CE" w14:textId="77777777" w:rsidR="00A2124B" w:rsidRDefault="00A2124B" w:rsidP="008A5C11">
            <w:pPr>
              <w:jc w:val="center"/>
              <w:rPr>
                <w:color w:val="000000"/>
              </w:rPr>
            </w:pPr>
            <w:r>
              <w:rPr>
                <w:color w:val="000000"/>
              </w:rPr>
              <w:t>№</w:t>
            </w:r>
          </w:p>
          <w:p w14:paraId="3DCE5A3E" w14:textId="77777777" w:rsidR="00A2124B" w:rsidRPr="00120EC2" w:rsidRDefault="00A2124B" w:rsidP="008A5C11">
            <w:pPr>
              <w:jc w:val="center"/>
              <w:rPr>
                <w:color w:val="000000"/>
              </w:rPr>
            </w:pPr>
            <w:r>
              <w:rPr>
                <w:color w:val="000000"/>
              </w:rPr>
              <w:t>п/п</w:t>
            </w:r>
          </w:p>
        </w:tc>
        <w:tc>
          <w:tcPr>
            <w:tcW w:w="4106" w:type="dxa"/>
            <w:vMerge w:val="restart"/>
            <w:shd w:val="clear" w:color="auto" w:fill="auto"/>
            <w:vAlign w:val="center"/>
            <w:hideMark/>
          </w:tcPr>
          <w:p w14:paraId="3068DCA8" w14:textId="77777777" w:rsidR="00A2124B" w:rsidRPr="00120EC2" w:rsidRDefault="00A2124B" w:rsidP="008A5C11">
            <w:pPr>
              <w:jc w:val="center"/>
              <w:rPr>
                <w:color w:val="000000"/>
              </w:rPr>
            </w:pPr>
            <w:r w:rsidRPr="00120EC2">
              <w:rPr>
                <w:color w:val="000000"/>
              </w:rPr>
              <w:t>Наименование стандартизированных тарифных ставок</w:t>
            </w:r>
          </w:p>
        </w:tc>
        <w:tc>
          <w:tcPr>
            <w:tcW w:w="1775" w:type="dxa"/>
            <w:vMerge w:val="restart"/>
            <w:shd w:val="clear" w:color="auto" w:fill="auto"/>
            <w:vAlign w:val="center"/>
            <w:hideMark/>
          </w:tcPr>
          <w:p w14:paraId="41E5F498" w14:textId="77777777" w:rsidR="00A2124B" w:rsidRPr="00120EC2" w:rsidRDefault="00A2124B" w:rsidP="008A5C11">
            <w:pPr>
              <w:jc w:val="center"/>
              <w:rPr>
                <w:color w:val="000000"/>
              </w:rPr>
            </w:pPr>
            <w:r w:rsidRPr="00120EC2">
              <w:rPr>
                <w:color w:val="000000"/>
              </w:rPr>
              <w:t>Единица измерения</w:t>
            </w:r>
          </w:p>
        </w:tc>
        <w:tc>
          <w:tcPr>
            <w:tcW w:w="2466" w:type="dxa"/>
            <w:vMerge w:val="restart"/>
            <w:shd w:val="clear" w:color="000000" w:fill="FFFFFF"/>
            <w:vAlign w:val="center"/>
            <w:hideMark/>
          </w:tcPr>
          <w:p w14:paraId="2DE543B6" w14:textId="77777777" w:rsidR="00A2124B" w:rsidRPr="00120EC2" w:rsidRDefault="00A2124B" w:rsidP="008A5C11">
            <w:pPr>
              <w:jc w:val="center"/>
              <w:rPr>
                <w:color w:val="000000"/>
              </w:rPr>
            </w:pPr>
            <w:r w:rsidRPr="00120EC2">
              <w:rPr>
                <w:color w:val="000000"/>
              </w:rPr>
              <w:t xml:space="preserve">Размеры стандартизированных тарифных ставок </w:t>
            </w:r>
          </w:p>
        </w:tc>
      </w:tr>
      <w:tr w:rsidR="00A2124B" w:rsidRPr="00120EC2" w14:paraId="1CA873EF" w14:textId="77777777" w:rsidTr="008A5C11">
        <w:trPr>
          <w:trHeight w:val="1554"/>
        </w:trPr>
        <w:tc>
          <w:tcPr>
            <w:tcW w:w="1297" w:type="dxa"/>
            <w:vMerge/>
            <w:vAlign w:val="center"/>
            <w:hideMark/>
          </w:tcPr>
          <w:p w14:paraId="3311669F" w14:textId="77777777" w:rsidR="00A2124B" w:rsidRPr="00120EC2" w:rsidRDefault="00A2124B" w:rsidP="008A5C11">
            <w:pPr>
              <w:rPr>
                <w:color w:val="000000"/>
              </w:rPr>
            </w:pPr>
          </w:p>
        </w:tc>
        <w:tc>
          <w:tcPr>
            <w:tcW w:w="4106" w:type="dxa"/>
            <w:vMerge/>
            <w:vAlign w:val="center"/>
            <w:hideMark/>
          </w:tcPr>
          <w:p w14:paraId="3D9AA93E" w14:textId="77777777" w:rsidR="00A2124B" w:rsidRPr="00120EC2" w:rsidRDefault="00A2124B" w:rsidP="008A5C11">
            <w:pPr>
              <w:rPr>
                <w:color w:val="000000"/>
              </w:rPr>
            </w:pPr>
          </w:p>
        </w:tc>
        <w:tc>
          <w:tcPr>
            <w:tcW w:w="1775" w:type="dxa"/>
            <w:vMerge/>
            <w:vAlign w:val="center"/>
            <w:hideMark/>
          </w:tcPr>
          <w:p w14:paraId="715B944D" w14:textId="77777777" w:rsidR="00A2124B" w:rsidRPr="00120EC2" w:rsidRDefault="00A2124B" w:rsidP="008A5C11">
            <w:pPr>
              <w:rPr>
                <w:color w:val="000000"/>
              </w:rPr>
            </w:pPr>
          </w:p>
        </w:tc>
        <w:tc>
          <w:tcPr>
            <w:tcW w:w="2466" w:type="dxa"/>
            <w:vMerge/>
            <w:vAlign w:val="center"/>
            <w:hideMark/>
          </w:tcPr>
          <w:p w14:paraId="61553393" w14:textId="77777777" w:rsidR="00A2124B" w:rsidRPr="00120EC2" w:rsidRDefault="00A2124B" w:rsidP="008A5C11">
            <w:pPr>
              <w:rPr>
                <w:color w:val="000000"/>
              </w:rPr>
            </w:pPr>
          </w:p>
        </w:tc>
      </w:tr>
      <w:tr w:rsidR="00A2124B" w:rsidRPr="00120EC2" w14:paraId="4846C3CF" w14:textId="77777777" w:rsidTr="008A5C11">
        <w:trPr>
          <w:trHeight w:val="466"/>
        </w:trPr>
        <w:tc>
          <w:tcPr>
            <w:tcW w:w="1297" w:type="dxa"/>
            <w:vMerge/>
            <w:vAlign w:val="center"/>
            <w:hideMark/>
          </w:tcPr>
          <w:p w14:paraId="05745006" w14:textId="77777777" w:rsidR="00A2124B" w:rsidRPr="00120EC2" w:rsidRDefault="00A2124B" w:rsidP="008A5C11">
            <w:pPr>
              <w:rPr>
                <w:color w:val="000000"/>
              </w:rPr>
            </w:pPr>
          </w:p>
        </w:tc>
        <w:tc>
          <w:tcPr>
            <w:tcW w:w="4106" w:type="dxa"/>
            <w:vMerge/>
            <w:vAlign w:val="center"/>
            <w:hideMark/>
          </w:tcPr>
          <w:p w14:paraId="5A2EB27F" w14:textId="77777777" w:rsidR="00A2124B" w:rsidRPr="00120EC2" w:rsidRDefault="00A2124B" w:rsidP="008A5C11">
            <w:pPr>
              <w:rPr>
                <w:color w:val="000000"/>
              </w:rPr>
            </w:pPr>
          </w:p>
        </w:tc>
        <w:tc>
          <w:tcPr>
            <w:tcW w:w="1775" w:type="dxa"/>
            <w:vMerge/>
            <w:vAlign w:val="center"/>
            <w:hideMark/>
          </w:tcPr>
          <w:p w14:paraId="4C829471" w14:textId="77777777" w:rsidR="00A2124B" w:rsidRPr="00120EC2" w:rsidRDefault="00A2124B" w:rsidP="008A5C11">
            <w:pPr>
              <w:rPr>
                <w:color w:val="000000"/>
              </w:rPr>
            </w:pPr>
          </w:p>
        </w:tc>
        <w:tc>
          <w:tcPr>
            <w:tcW w:w="2466" w:type="dxa"/>
            <w:vMerge/>
            <w:vAlign w:val="center"/>
            <w:hideMark/>
          </w:tcPr>
          <w:p w14:paraId="488598E1" w14:textId="77777777" w:rsidR="00A2124B" w:rsidRPr="00120EC2" w:rsidRDefault="00A2124B" w:rsidP="008A5C11">
            <w:pPr>
              <w:rPr>
                <w:color w:val="000000"/>
              </w:rPr>
            </w:pPr>
          </w:p>
        </w:tc>
      </w:tr>
      <w:tr w:rsidR="00A2124B" w:rsidRPr="00120EC2" w14:paraId="12C60319" w14:textId="77777777" w:rsidTr="008A5C11">
        <w:trPr>
          <w:trHeight w:val="276"/>
        </w:trPr>
        <w:tc>
          <w:tcPr>
            <w:tcW w:w="1297" w:type="dxa"/>
            <w:shd w:val="clear" w:color="auto" w:fill="auto"/>
            <w:vAlign w:val="center"/>
            <w:hideMark/>
          </w:tcPr>
          <w:p w14:paraId="5DD2AE65" w14:textId="77777777" w:rsidR="00A2124B" w:rsidRPr="00120EC2" w:rsidRDefault="00A2124B" w:rsidP="008A5C11">
            <w:pPr>
              <w:jc w:val="center"/>
              <w:rPr>
                <w:color w:val="000000"/>
              </w:rPr>
            </w:pPr>
            <w:r w:rsidRPr="00120EC2">
              <w:rPr>
                <w:color w:val="000000"/>
              </w:rPr>
              <w:t>1</w:t>
            </w:r>
          </w:p>
        </w:tc>
        <w:tc>
          <w:tcPr>
            <w:tcW w:w="4106" w:type="dxa"/>
            <w:shd w:val="clear" w:color="auto" w:fill="auto"/>
            <w:vAlign w:val="center"/>
            <w:hideMark/>
          </w:tcPr>
          <w:p w14:paraId="76793C7E" w14:textId="77777777" w:rsidR="00A2124B" w:rsidRPr="00120EC2" w:rsidRDefault="00A2124B" w:rsidP="008A5C11">
            <w:pPr>
              <w:jc w:val="center"/>
              <w:rPr>
                <w:color w:val="000000"/>
              </w:rPr>
            </w:pPr>
            <w:r w:rsidRPr="00120EC2">
              <w:rPr>
                <w:color w:val="000000"/>
              </w:rPr>
              <w:t>2</w:t>
            </w:r>
          </w:p>
        </w:tc>
        <w:tc>
          <w:tcPr>
            <w:tcW w:w="1775" w:type="dxa"/>
            <w:shd w:val="clear" w:color="auto" w:fill="auto"/>
            <w:vAlign w:val="center"/>
            <w:hideMark/>
          </w:tcPr>
          <w:p w14:paraId="2412ABE1" w14:textId="77777777" w:rsidR="00A2124B" w:rsidRPr="00120EC2" w:rsidRDefault="00A2124B" w:rsidP="008A5C11">
            <w:pPr>
              <w:jc w:val="center"/>
              <w:rPr>
                <w:color w:val="000000"/>
              </w:rPr>
            </w:pPr>
            <w:r w:rsidRPr="00120EC2">
              <w:rPr>
                <w:color w:val="000000"/>
              </w:rPr>
              <w:t>3</w:t>
            </w:r>
          </w:p>
        </w:tc>
        <w:tc>
          <w:tcPr>
            <w:tcW w:w="2466" w:type="dxa"/>
            <w:shd w:val="clear" w:color="000000" w:fill="FFFFFF"/>
            <w:vAlign w:val="center"/>
            <w:hideMark/>
          </w:tcPr>
          <w:p w14:paraId="7B58A52F" w14:textId="77777777" w:rsidR="00A2124B" w:rsidRPr="00120EC2" w:rsidRDefault="00A2124B" w:rsidP="008A5C11">
            <w:pPr>
              <w:jc w:val="center"/>
              <w:rPr>
                <w:color w:val="000000"/>
              </w:rPr>
            </w:pPr>
            <w:r w:rsidRPr="00120EC2">
              <w:rPr>
                <w:color w:val="000000"/>
              </w:rPr>
              <w:t>4</w:t>
            </w:r>
          </w:p>
        </w:tc>
      </w:tr>
      <w:tr w:rsidR="00A2124B" w:rsidRPr="00120EC2" w14:paraId="2C54F739" w14:textId="77777777" w:rsidTr="008A5C11">
        <w:trPr>
          <w:trHeight w:val="991"/>
        </w:trPr>
        <w:tc>
          <w:tcPr>
            <w:tcW w:w="1297" w:type="dxa"/>
            <w:shd w:val="clear" w:color="auto" w:fill="auto"/>
            <w:vAlign w:val="center"/>
            <w:hideMark/>
          </w:tcPr>
          <w:p w14:paraId="517195D8" w14:textId="77777777" w:rsidR="00A2124B" w:rsidRPr="00120EC2" w:rsidRDefault="00A2124B" w:rsidP="008A5C11">
            <w:pPr>
              <w:jc w:val="center"/>
              <w:rPr>
                <w:color w:val="000000"/>
              </w:rPr>
            </w:pPr>
            <w:r w:rsidRPr="00120EC2">
              <w:rPr>
                <w:color w:val="000000"/>
              </w:rPr>
              <w:t>1.</w:t>
            </w:r>
          </w:p>
        </w:tc>
        <w:tc>
          <w:tcPr>
            <w:tcW w:w="8347" w:type="dxa"/>
            <w:gridSpan w:val="3"/>
            <w:shd w:val="clear" w:color="auto" w:fill="auto"/>
            <w:vAlign w:val="center"/>
            <w:hideMark/>
          </w:tcPr>
          <w:p w14:paraId="0D8E6F6A" w14:textId="77777777" w:rsidR="00A2124B" w:rsidRPr="00120EC2" w:rsidRDefault="00A2124B" w:rsidP="008A5C11">
            <w:pPr>
              <w:rPr>
                <w:color w:val="000000"/>
              </w:rPr>
            </w:pPr>
            <w:r w:rsidRPr="00120EC2">
              <w:rPr>
                <w:color w:val="000000"/>
              </w:rPr>
              <w:t>Размер стандартизированной тарифной ставки С</w:t>
            </w:r>
            <w:r w:rsidRPr="00120EC2">
              <w:rPr>
                <w:color w:val="000000"/>
                <w:vertAlign w:val="subscript"/>
              </w:rPr>
              <w:t>1</w:t>
            </w:r>
            <w:r w:rsidRPr="00120EC2">
              <w:rPr>
                <w:color w:val="000000"/>
              </w:rPr>
              <w:t xml:space="preserve"> на покрытие расходов газораспределительной организации, связанных с проектированием газораспределительной организацией газопровода</w:t>
            </w:r>
            <w:r>
              <w:rPr>
                <w:color w:val="000000"/>
              </w:rPr>
              <w:t xml:space="preserve"> </w:t>
            </w:r>
            <w:r w:rsidRPr="007D6646">
              <w:rPr>
                <w:color w:val="2D2D2D"/>
              </w:rPr>
              <w:t>(НДС не облагается</w:t>
            </w:r>
            <w:r>
              <w:rPr>
                <w:color w:val="2D2D2D"/>
              </w:rPr>
              <w:t>,</w:t>
            </w:r>
            <w:r w:rsidRPr="00960E53">
              <w:rPr>
                <w:color w:val="2D2D2D"/>
              </w:rPr>
              <w:t xml:space="preserve"> с налогом на прибыль</w:t>
            </w:r>
            <w:r w:rsidRPr="007D6646">
              <w:rPr>
                <w:color w:val="2D2D2D"/>
              </w:rPr>
              <w:t>)</w:t>
            </w:r>
            <w:r w:rsidRPr="00120EC2">
              <w:rPr>
                <w:color w:val="000000"/>
              </w:rPr>
              <w:t>:</w:t>
            </w:r>
          </w:p>
        </w:tc>
      </w:tr>
      <w:tr w:rsidR="00A2124B" w:rsidRPr="00120EC2" w14:paraId="54322F0C" w14:textId="77777777" w:rsidTr="008A5C11">
        <w:trPr>
          <w:trHeight w:val="372"/>
        </w:trPr>
        <w:tc>
          <w:tcPr>
            <w:tcW w:w="1297" w:type="dxa"/>
            <w:shd w:val="clear" w:color="auto" w:fill="auto"/>
            <w:vAlign w:val="center"/>
            <w:hideMark/>
          </w:tcPr>
          <w:p w14:paraId="529D04A5" w14:textId="77777777" w:rsidR="00A2124B" w:rsidRPr="00120EC2" w:rsidRDefault="00A2124B" w:rsidP="008A5C11">
            <w:pPr>
              <w:jc w:val="center"/>
              <w:rPr>
                <w:color w:val="000000"/>
              </w:rPr>
            </w:pPr>
            <w:r w:rsidRPr="00120EC2">
              <w:rPr>
                <w:color w:val="000000"/>
              </w:rPr>
              <w:t>1.1.</w:t>
            </w:r>
          </w:p>
        </w:tc>
        <w:tc>
          <w:tcPr>
            <w:tcW w:w="8347" w:type="dxa"/>
            <w:gridSpan w:val="3"/>
            <w:shd w:val="clear" w:color="auto" w:fill="auto"/>
            <w:vAlign w:val="center"/>
            <w:hideMark/>
          </w:tcPr>
          <w:p w14:paraId="6CC81DF5" w14:textId="77777777" w:rsidR="00A2124B" w:rsidRPr="00120EC2" w:rsidRDefault="00A2124B" w:rsidP="008A5C11">
            <w:pPr>
              <w:rPr>
                <w:color w:val="000000"/>
              </w:rPr>
            </w:pPr>
            <w:r w:rsidRPr="00120EC2">
              <w:rPr>
                <w:color w:val="000000"/>
              </w:rPr>
              <w:t>наземного (надземного) способа прокладки:</w:t>
            </w:r>
          </w:p>
        </w:tc>
      </w:tr>
      <w:tr w:rsidR="00A2124B" w:rsidRPr="00120EC2" w14:paraId="0E49F9FD" w14:textId="77777777" w:rsidTr="008A5C11">
        <w:trPr>
          <w:trHeight w:val="372"/>
        </w:trPr>
        <w:tc>
          <w:tcPr>
            <w:tcW w:w="1297" w:type="dxa"/>
            <w:shd w:val="clear" w:color="auto" w:fill="auto"/>
            <w:vAlign w:val="center"/>
            <w:hideMark/>
          </w:tcPr>
          <w:p w14:paraId="2443C0B1" w14:textId="77777777" w:rsidR="00A2124B" w:rsidRPr="00120EC2" w:rsidRDefault="00A2124B" w:rsidP="008A5C11">
            <w:pPr>
              <w:jc w:val="center"/>
              <w:rPr>
                <w:color w:val="000000"/>
              </w:rPr>
            </w:pPr>
            <w:r w:rsidRPr="00120EC2">
              <w:rPr>
                <w:color w:val="000000"/>
              </w:rPr>
              <w:t>1.1.1.</w:t>
            </w:r>
          </w:p>
        </w:tc>
        <w:tc>
          <w:tcPr>
            <w:tcW w:w="8347" w:type="dxa"/>
            <w:gridSpan w:val="3"/>
            <w:shd w:val="clear" w:color="auto" w:fill="auto"/>
            <w:vAlign w:val="center"/>
            <w:hideMark/>
          </w:tcPr>
          <w:p w14:paraId="56441E44" w14:textId="77777777" w:rsidR="00A2124B" w:rsidRPr="00120EC2" w:rsidRDefault="00A2124B" w:rsidP="008A5C11">
            <w:pPr>
              <w:rPr>
                <w:color w:val="000000"/>
              </w:rPr>
            </w:pPr>
            <w:r w:rsidRPr="00120EC2">
              <w:rPr>
                <w:color w:val="000000"/>
              </w:rPr>
              <w:t>наружным диаметром менее 100 мм, протяженностью:</w:t>
            </w:r>
          </w:p>
        </w:tc>
      </w:tr>
      <w:tr w:rsidR="00A2124B" w:rsidRPr="00120EC2" w14:paraId="5044A7E6" w14:textId="77777777" w:rsidTr="008A5C11">
        <w:trPr>
          <w:trHeight w:val="276"/>
        </w:trPr>
        <w:tc>
          <w:tcPr>
            <w:tcW w:w="1297" w:type="dxa"/>
            <w:shd w:val="clear" w:color="auto" w:fill="auto"/>
            <w:vAlign w:val="center"/>
            <w:hideMark/>
          </w:tcPr>
          <w:p w14:paraId="470805DF" w14:textId="77777777" w:rsidR="00A2124B" w:rsidRPr="00120EC2" w:rsidRDefault="00A2124B" w:rsidP="008A5C11">
            <w:pPr>
              <w:jc w:val="center"/>
              <w:rPr>
                <w:color w:val="000000"/>
              </w:rPr>
            </w:pPr>
            <w:r w:rsidRPr="00120EC2">
              <w:rPr>
                <w:color w:val="000000"/>
              </w:rPr>
              <w:t>1.1.1.1.</w:t>
            </w:r>
          </w:p>
        </w:tc>
        <w:tc>
          <w:tcPr>
            <w:tcW w:w="4106" w:type="dxa"/>
            <w:shd w:val="clear" w:color="auto" w:fill="auto"/>
            <w:vAlign w:val="center"/>
            <w:hideMark/>
          </w:tcPr>
          <w:p w14:paraId="19D6273D" w14:textId="77777777" w:rsidR="00A2124B" w:rsidRPr="00120EC2" w:rsidRDefault="00A2124B" w:rsidP="008A5C11">
            <w:pPr>
              <w:rPr>
                <w:color w:val="000000"/>
              </w:rPr>
            </w:pPr>
            <w:r w:rsidRPr="00120EC2">
              <w:rPr>
                <w:color w:val="000000"/>
              </w:rPr>
              <w:t>до 100 м</w:t>
            </w:r>
          </w:p>
        </w:tc>
        <w:tc>
          <w:tcPr>
            <w:tcW w:w="1775" w:type="dxa"/>
            <w:vMerge w:val="restart"/>
            <w:shd w:val="clear" w:color="auto" w:fill="auto"/>
            <w:vAlign w:val="center"/>
            <w:hideMark/>
          </w:tcPr>
          <w:p w14:paraId="47ABFFDD" w14:textId="77777777" w:rsidR="00A2124B" w:rsidRPr="00120EC2" w:rsidRDefault="00A2124B" w:rsidP="008A5C11">
            <w:pPr>
              <w:ind w:left="-147" w:right="-147"/>
              <w:jc w:val="center"/>
              <w:rPr>
                <w:color w:val="000000"/>
              </w:rPr>
            </w:pPr>
            <w:r w:rsidRPr="00120EC2">
              <w:rPr>
                <w:color w:val="000000"/>
              </w:rPr>
              <w:t>руб.</w:t>
            </w:r>
            <w:r w:rsidRPr="00120EC2">
              <w:rPr>
                <w:color w:val="2D2D2D"/>
              </w:rPr>
              <w:t xml:space="preserve"> за 1 присоединение</w:t>
            </w:r>
          </w:p>
        </w:tc>
        <w:tc>
          <w:tcPr>
            <w:tcW w:w="2466" w:type="dxa"/>
            <w:shd w:val="clear" w:color="auto" w:fill="auto"/>
            <w:vAlign w:val="center"/>
            <w:hideMark/>
          </w:tcPr>
          <w:p w14:paraId="2C839DAC" w14:textId="77777777" w:rsidR="00A2124B" w:rsidRPr="009B0FF8" w:rsidRDefault="00A2124B" w:rsidP="008A5C11">
            <w:pPr>
              <w:ind w:left="-147" w:right="-147"/>
              <w:jc w:val="center"/>
              <w:rPr>
                <w:color w:val="000000"/>
              </w:rPr>
            </w:pPr>
            <w:r w:rsidRPr="009B0FF8">
              <w:rPr>
                <w:color w:val="000000"/>
              </w:rPr>
              <w:t>273 516</w:t>
            </w:r>
          </w:p>
        </w:tc>
      </w:tr>
      <w:tr w:rsidR="00A2124B" w:rsidRPr="00120EC2" w14:paraId="3FA58767" w14:textId="77777777" w:rsidTr="008A5C11">
        <w:trPr>
          <w:trHeight w:val="276"/>
        </w:trPr>
        <w:tc>
          <w:tcPr>
            <w:tcW w:w="1297" w:type="dxa"/>
            <w:shd w:val="clear" w:color="auto" w:fill="auto"/>
            <w:vAlign w:val="center"/>
            <w:hideMark/>
          </w:tcPr>
          <w:p w14:paraId="74EA0947" w14:textId="77777777" w:rsidR="00A2124B" w:rsidRPr="00120EC2" w:rsidRDefault="00A2124B" w:rsidP="008A5C11">
            <w:pPr>
              <w:jc w:val="center"/>
              <w:rPr>
                <w:color w:val="000000"/>
              </w:rPr>
            </w:pPr>
            <w:r w:rsidRPr="00120EC2">
              <w:rPr>
                <w:color w:val="000000"/>
              </w:rPr>
              <w:t>1.1.1.2.</w:t>
            </w:r>
          </w:p>
        </w:tc>
        <w:tc>
          <w:tcPr>
            <w:tcW w:w="4106" w:type="dxa"/>
            <w:shd w:val="clear" w:color="auto" w:fill="auto"/>
            <w:vAlign w:val="center"/>
            <w:hideMark/>
          </w:tcPr>
          <w:p w14:paraId="5172EA1E" w14:textId="77777777" w:rsidR="00A2124B" w:rsidRPr="00120EC2" w:rsidRDefault="00A2124B" w:rsidP="008A5C11">
            <w:pPr>
              <w:rPr>
                <w:color w:val="000000"/>
              </w:rPr>
            </w:pPr>
            <w:r w:rsidRPr="00120EC2">
              <w:rPr>
                <w:color w:val="000000"/>
              </w:rPr>
              <w:t>101-500 м</w:t>
            </w:r>
          </w:p>
        </w:tc>
        <w:tc>
          <w:tcPr>
            <w:tcW w:w="1775" w:type="dxa"/>
            <w:vMerge/>
            <w:vAlign w:val="center"/>
            <w:hideMark/>
          </w:tcPr>
          <w:p w14:paraId="408C6E85" w14:textId="77777777" w:rsidR="00A2124B" w:rsidRPr="00120EC2" w:rsidRDefault="00A2124B" w:rsidP="008A5C11">
            <w:pPr>
              <w:rPr>
                <w:color w:val="000000"/>
              </w:rPr>
            </w:pPr>
          </w:p>
        </w:tc>
        <w:tc>
          <w:tcPr>
            <w:tcW w:w="2466" w:type="dxa"/>
            <w:shd w:val="clear" w:color="auto" w:fill="auto"/>
            <w:vAlign w:val="center"/>
            <w:hideMark/>
          </w:tcPr>
          <w:p w14:paraId="6678B430" w14:textId="77777777" w:rsidR="00A2124B" w:rsidRPr="009B0FF8" w:rsidRDefault="00A2124B" w:rsidP="008A5C11">
            <w:pPr>
              <w:ind w:left="-147" w:right="-147"/>
              <w:jc w:val="center"/>
              <w:rPr>
                <w:color w:val="000000"/>
              </w:rPr>
            </w:pPr>
            <w:r w:rsidRPr="009B0FF8">
              <w:rPr>
                <w:color w:val="000000"/>
              </w:rPr>
              <w:t>282 560</w:t>
            </w:r>
          </w:p>
        </w:tc>
      </w:tr>
      <w:tr w:rsidR="00A2124B" w:rsidRPr="00120EC2" w14:paraId="011E459D" w14:textId="77777777" w:rsidTr="008A5C11">
        <w:trPr>
          <w:trHeight w:val="276"/>
        </w:trPr>
        <w:tc>
          <w:tcPr>
            <w:tcW w:w="1297" w:type="dxa"/>
            <w:shd w:val="clear" w:color="auto" w:fill="auto"/>
            <w:vAlign w:val="center"/>
            <w:hideMark/>
          </w:tcPr>
          <w:p w14:paraId="4C485ED2" w14:textId="77777777" w:rsidR="00A2124B" w:rsidRPr="00120EC2" w:rsidRDefault="00A2124B" w:rsidP="008A5C11">
            <w:pPr>
              <w:jc w:val="center"/>
              <w:rPr>
                <w:color w:val="000000"/>
              </w:rPr>
            </w:pPr>
            <w:r w:rsidRPr="00120EC2">
              <w:rPr>
                <w:color w:val="000000"/>
              </w:rPr>
              <w:t>1.1.1.3.</w:t>
            </w:r>
          </w:p>
        </w:tc>
        <w:tc>
          <w:tcPr>
            <w:tcW w:w="4106" w:type="dxa"/>
            <w:shd w:val="clear" w:color="auto" w:fill="auto"/>
            <w:vAlign w:val="center"/>
            <w:hideMark/>
          </w:tcPr>
          <w:p w14:paraId="0F6A876B" w14:textId="77777777" w:rsidR="00A2124B" w:rsidRPr="00120EC2" w:rsidRDefault="00A2124B" w:rsidP="008A5C11">
            <w:pPr>
              <w:rPr>
                <w:color w:val="000000"/>
              </w:rPr>
            </w:pPr>
            <w:r w:rsidRPr="00120EC2">
              <w:rPr>
                <w:color w:val="000000"/>
              </w:rPr>
              <w:t>501-1000 м</w:t>
            </w:r>
          </w:p>
        </w:tc>
        <w:tc>
          <w:tcPr>
            <w:tcW w:w="1775" w:type="dxa"/>
            <w:vMerge/>
            <w:vAlign w:val="center"/>
            <w:hideMark/>
          </w:tcPr>
          <w:p w14:paraId="04D9C148" w14:textId="77777777" w:rsidR="00A2124B" w:rsidRPr="00120EC2" w:rsidRDefault="00A2124B" w:rsidP="008A5C11">
            <w:pPr>
              <w:rPr>
                <w:color w:val="000000"/>
              </w:rPr>
            </w:pPr>
          </w:p>
        </w:tc>
        <w:tc>
          <w:tcPr>
            <w:tcW w:w="2466" w:type="dxa"/>
            <w:shd w:val="clear" w:color="auto" w:fill="auto"/>
            <w:vAlign w:val="center"/>
            <w:hideMark/>
          </w:tcPr>
          <w:p w14:paraId="30D89D7B" w14:textId="77777777" w:rsidR="00A2124B" w:rsidRPr="009B0FF8" w:rsidRDefault="00A2124B" w:rsidP="008A5C11">
            <w:pPr>
              <w:ind w:left="-147" w:right="-147"/>
              <w:jc w:val="center"/>
              <w:rPr>
                <w:color w:val="000000"/>
              </w:rPr>
            </w:pPr>
            <w:r w:rsidRPr="009B0FF8">
              <w:rPr>
                <w:color w:val="000000"/>
              </w:rPr>
              <w:t>1 806 154</w:t>
            </w:r>
          </w:p>
        </w:tc>
      </w:tr>
      <w:tr w:rsidR="00A2124B" w:rsidRPr="00120EC2" w14:paraId="3DA2A9FB" w14:textId="77777777" w:rsidTr="008A5C11">
        <w:trPr>
          <w:trHeight w:val="276"/>
        </w:trPr>
        <w:tc>
          <w:tcPr>
            <w:tcW w:w="1297" w:type="dxa"/>
            <w:shd w:val="clear" w:color="auto" w:fill="auto"/>
            <w:vAlign w:val="center"/>
            <w:hideMark/>
          </w:tcPr>
          <w:p w14:paraId="016147EB" w14:textId="77777777" w:rsidR="00A2124B" w:rsidRPr="00120EC2" w:rsidRDefault="00A2124B" w:rsidP="008A5C11">
            <w:pPr>
              <w:jc w:val="center"/>
              <w:rPr>
                <w:color w:val="000000"/>
              </w:rPr>
            </w:pPr>
            <w:r w:rsidRPr="00120EC2">
              <w:rPr>
                <w:color w:val="000000"/>
              </w:rPr>
              <w:t>1.1.1.4.</w:t>
            </w:r>
          </w:p>
        </w:tc>
        <w:tc>
          <w:tcPr>
            <w:tcW w:w="4106" w:type="dxa"/>
            <w:shd w:val="clear" w:color="auto" w:fill="auto"/>
            <w:vAlign w:val="center"/>
            <w:hideMark/>
          </w:tcPr>
          <w:p w14:paraId="0C10B879" w14:textId="77777777" w:rsidR="00A2124B" w:rsidRPr="00120EC2" w:rsidRDefault="00A2124B" w:rsidP="008A5C11">
            <w:pPr>
              <w:rPr>
                <w:color w:val="000000"/>
              </w:rPr>
            </w:pPr>
            <w:r w:rsidRPr="00120EC2">
              <w:rPr>
                <w:color w:val="000000"/>
              </w:rPr>
              <w:t>1001-2000 м</w:t>
            </w:r>
          </w:p>
        </w:tc>
        <w:tc>
          <w:tcPr>
            <w:tcW w:w="1775" w:type="dxa"/>
            <w:vMerge/>
            <w:vAlign w:val="center"/>
            <w:hideMark/>
          </w:tcPr>
          <w:p w14:paraId="7881BE79" w14:textId="77777777" w:rsidR="00A2124B" w:rsidRPr="00120EC2" w:rsidRDefault="00A2124B" w:rsidP="008A5C11">
            <w:pPr>
              <w:rPr>
                <w:color w:val="000000"/>
              </w:rPr>
            </w:pPr>
          </w:p>
        </w:tc>
        <w:tc>
          <w:tcPr>
            <w:tcW w:w="2466" w:type="dxa"/>
            <w:shd w:val="clear" w:color="auto" w:fill="auto"/>
            <w:vAlign w:val="center"/>
            <w:hideMark/>
          </w:tcPr>
          <w:p w14:paraId="24752895" w14:textId="77777777" w:rsidR="00A2124B" w:rsidRPr="009B0FF8" w:rsidRDefault="00A2124B" w:rsidP="008A5C11">
            <w:pPr>
              <w:ind w:left="-147" w:right="-147"/>
              <w:jc w:val="center"/>
              <w:rPr>
                <w:color w:val="000000"/>
              </w:rPr>
            </w:pPr>
            <w:r w:rsidRPr="009B0FF8">
              <w:rPr>
                <w:color w:val="000000"/>
              </w:rPr>
              <w:t>2 600 515</w:t>
            </w:r>
          </w:p>
        </w:tc>
      </w:tr>
      <w:tr w:rsidR="00A2124B" w:rsidRPr="00120EC2" w14:paraId="5146BA91" w14:textId="77777777" w:rsidTr="008A5C11">
        <w:trPr>
          <w:trHeight w:val="276"/>
        </w:trPr>
        <w:tc>
          <w:tcPr>
            <w:tcW w:w="1297" w:type="dxa"/>
            <w:shd w:val="clear" w:color="auto" w:fill="auto"/>
            <w:vAlign w:val="center"/>
            <w:hideMark/>
          </w:tcPr>
          <w:p w14:paraId="245FD176" w14:textId="77777777" w:rsidR="00A2124B" w:rsidRPr="00120EC2" w:rsidRDefault="00A2124B" w:rsidP="008A5C11">
            <w:pPr>
              <w:jc w:val="center"/>
              <w:rPr>
                <w:color w:val="000000"/>
              </w:rPr>
            </w:pPr>
            <w:r w:rsidRPr="00120EC2">
              <w:rPr>
                <w:color w:val="000000"/>
              </w:rPr>
              <w:t>1.1.1.5.</w:t>
            </w:r>
          </w:p>
        </w:tc>
        <w:tc>
          <w:tcPr>
            <w:tcW w:w="4106" w:type="dxa"/>
            <w:shd w:val="clear" w:color="auto" w:fill="auto"/>
            <w:vAlign w:val="center"/>
            <w:hideMark/>
          </w:tcPr>
          <w:p w14:paraId="0AF35617" w14:textId="77777777" w:rsidR="00A2124B" w:rsidRPr="00120EC2" w:rsidRDefault="00A2124B" w:rsidP="008A5C11">
            <w:pPr>
              <w:rPr>
                <w:color w:val="000000"/>
              </w:rPr>
            </w:pPr>
            <w:r w:rsidRPr="00120EC2">
              <w:rPr>
                <w:color w:val="000000"/>
              </w:rPr>
              <w:t>2001-3000 м</w:t>
            </w:r>
          </w:p>
        </w:tc>
        <w:tc>
          <w:tcPr>
            <w:tcW w:w="1775" w:type="dxa"/>
            <w:vMerge/>
            <w:vAlign w:val="center"/>
            <w:hideMark/>
          </w:tcPr>
          <w:p w14:paraId="343A6901" w14:textId="77777777" w:rsidR="00A2124B" w:rsidRPr="00120EC2" w:rsidRDefault="00A2124B" w:rsidP="008A5C11">
            <w:pPr>
              <w:rPr>
                <w:color w:val="000000"/>
              </w:rPr>
            </w:pPr>
          </w:p>
        </w:tc>
        <w:tc>
          <w:tcPr>
            <w:tcW w:w="2466" w:type="dxa"/>
            <w:shd w:val="clear" w:color="auto" w:fill="auto"/>
            <w:vAlign w:val="center"/>
            <w:hideMark/>
          </w:tcPr>
          <w:p w14:paraId="3FDB0B21" w14:textId="77777777" w:rsidR="00A2124B" w:rsidRPr="009B0FF8" w:rsidRDefault="00A2124B" w:rsidP="008A5C11">
            <w:pPr>
              <w:ind w:left="-147" w:right="-147"/>
              <w:jc w:val="center"/>
              <w:rPr>
                <w:color w:val="000000"/>
              </w:rPr>
            </w:pPr>
            <w:r w:rsidRPr="009B0FF8">
              <w:rPr>
                <w:color w:val="000000"/>
              </w:rPr>
              <w:t>3 537 683</w:t>
            </w:r>
          </w:p>
        </w:tc>
      </w:tr>
      <w:tr w:rsidR="00A2124B" w:rsidRPr="00120EC2" w14:paraId="6A42B492" w14:textId="77777777" w:rsidTr="008A5C11">
        <w:trPr>
          <w:trHeight w:val="276"/>
        </w:trPr>
        <w:tc>
          <w:tcPr>
            <w:tcW w:w="1297" w:type="dxa"/>
            <w:shd w:val="clear" w:color="auto" w:fill="auto"/>
            <w:vAlign w:val="center"/>
            <w:hideMark/>
          </w:tcPr>
          <w:p w14:paraId="217034C1" w14:textId="77777777" w:rsidR="00A2124B" w:rsidRPr="00120EC2" w:rsidRDefault="00A2124B" w:rsidP="008A5C11">
            <w:pPr>
              <w:jc w:val="center"/>
              <w:rPr>
                <w:color w:val="000000"/>
              </w:rPr>
            </w:pPr>
            <w:r w:rsidRPr="00120EC2">
              <w:rPr>
                <w:color w:val="000000"/>
              </w:rPr>
              <w:t>1.1.1.6.</w:t>
            </w:r>
          </w:p>
        </w:tc>
        <w:tc>
          <w:tcPr>
            <w:tcW w:w="4106" w:type="dxa"/>
            <w:shd w:val="clear" w:color="auto" w:fill="auto"/>
            <w:vAlign w:val="center"/>
            <w:hideMark/>
          </w:tcPr>
          <w:p w14:paraId="68A48F0D" w14:textId="77777777" w:rsidR="00A2124B" w:rsidRPr="00120EC2" w:rsidRDefault="00A2124B" w:rsidP="008A5C11">
            <w:pPr>
              <w:rPr>
                <w:color w:val="000000"/>
              </w:rPr>
            </w:pPr>
            <w:r w:rsidRPr="00120EC2">
              <w:rPr>
                <w:color w:val="000000"/>
              </w:rPr>
              <w:t>3001-4000 м</w:t>
            </w:r>
          </w:p>
        </w:tc>
        <w:tc>
          <w:tcPr>
            <w:tcW w:w="1775" w:type="dxa"/>
            <w:vMerge/>
            <w:vAlign w:val="center"/>
            <w:hideMark/>
          </w:tcPr>
          <w:p w14:paraId="0C10D5BE" w14:textId="77777777" w:rsidR="00A2124B" w:rsidRPr="00120EC2" w:rsidRDefault="00A2124B" w:rsidP="008A5C11">
            <w:pPr>
              <w:rPr>
                <w:color w:val="000000"/>
              </w:rPr>
            </w:pPr>
          </w:p>
        </w:tc>
        <w:tc>
          <w:tcPr>
            <w:tcW w:w="2466" w:type="dxa"/>
            <w:shd w:val="clear" w:color="auto" w:fill="auto"/>
            <w:vAlign w:val="center"/>
            <w:hideMark/>
          </w:tcPr>
          <w:p w14:paraId="7CE4A2B3" w14:textId="77777777" w:rsidR="00A2124B" w:rsidRPr="009B0FF8" w:rsidRDefault="00A2124B" w:rsidP="008A5C11">
            <w:pPr>
              <w:ind w:left="-147" w:right="-147"/>
              <w:jc w:val="center"/>
              <w:rPr>
                <w:color w:val="000000"/>
              </w:rPr>
            </w:pPr>
            <w:r w:rsidRPr="009B0FF8">
              <w:rPr>
                <w:color w:val="000000"/>
              </w:rPr>
              <w:t>4 364 366</w:t>
            </w:r>
          </w:p>
        </w:tc>
      </w:tr>
      <w:tr w:rsidR="00A2124B" w:rsidRPr="00120EC2" w14:paraId="2B2E1CD4" w14:textId="77777777" w:rsidTr="008A5C11">
        <w:trPr>
          <w:trHeight w:val="276"/>
        </w:trPr>
        <w:tc>
          <w:tcPr>
            <w:tcW w:w="1297" w:type="dxa"/>
            <w:shd w:val="clear" w:color="auto" w:fill="auto"/>
            <w:vAlign w:val="center"/>
          </w:tcPr>
          <w:p w14:paraId="1C163582" w14:textId="77777777" w:rsidR="00A2124B" w:rsidRPr="00120EC2" w:rsidRDefault="00A2124B" w:rsidP="008A5C11">
            <w:pPr>
              <w:jc w:val="center"/>
              <w:rPr>
                <w:color w:val="000000"/>
              </w:rPr>
            </w:pPr>
            <w:r w:rsidRPr="00120EC2">
              <w:rPr>
                <w:color w:val="000000"/>
              </w:rPr>
              <w:t>1.1.1.7.</w:t>
            </w:r>
          </w:p>
        </w:tc>
        <w:tc>
          <w:tcPr>
            <w:tcW w:w="4106" w:type="dxa"/>
            <w:shd w:val="clear" w:color="auto" w:fill="auto"/>
            <w:vAlign w:val="center"/>
          </w:tcPr>
          <w:p w14:paraId="1B0F885B" w14:textId="77777777" w:rsidR="00A2124B" w:rsidRPr="00120EC2" w:rsidRDefault="00A2124B" w:rsidP="008A5C11">
            <w:pPr>
              <w:rPr>
                <w:color w:val="000000"/>
              </w:rPr>
            </w:pPr>
            <w:r w:rsidRPr="00120EC2">
              <w:rPr>
                <w:color w:val="000000"/>
              </w:rPr>
              <w:t>4001-5000 м</w:t>
            </w:r>
          </w:p>
        </w:tc>
        <w:tc>
          <w:tcPr>
            <w:tcW w:w="1775" w:type="dxa"/>
            <w:vMerge/>
            <w:vAlign w:val="center"/>
          </w:tcPr>
          <w:p w14:paraId="3DEED384" w14:textId="77777777" w:rsidR="00A2124B" w:rsidRPr="00120EC2" w:rsidRDefault="00A2124B" w:rsidP="008A5C11">
            <w:pPr>
              <w:rPr>
                <w:color w:val="000000"/>
              </w:rPr>
            </w:pPr>
          </w:p>
        </w:tc>
        <w:tc>
          <w:tcPr>
            <w:tcW w:w="2466" w:type="dxa"/>
            <w:shd w:val="clear" w:color="auto" w:fill="auto"/>
            <w:vAlign w:val="center"/>
          </w:tcPr>
          <w:p w14:paraId="0E353B3C" w14:textId="77777777" w:rsidR="00A2124B" w:rsidRPr="009B0FF8" w:rsidRDefault="00A2124B" w:rsidP="008A5C11">
            <w:pPr>
              <w:ind w:left="-147" w:right="-147"/>
              <w:jc w:val="center"/>
              <w:rPr>
                <w:color w:val="000000"/>
              </w:rPr>
            </w:pPr>
            <w:r w:rsidRPr="009B0FF8">
              <w:rPr>
                <w:color w:val="000000"/>
              </w:rPr>
              <w:t>5 196 976</w:t>
            </w:r>
          </w:p>
        </w:tc>
      </w:tr>
      <w:tr w:rsidR="00A2124B" w:rsidRPr="00120EC2" w14:paraId="69FCF7DA" w14:textId="77777777" w:rsidTr="008A5C11">
        <w:trPr>
          <w:trHeight w:val="276"/>
        </w:trPr>
        <w:tc>
          <w:tcPr>
            <w:tcW w:w="1297" w:type="dxa"/>
            <w:shd w:val="clear" w:color="auto" w:fill="auto"/>
            <w:vAlign w:val="center"/>
            <w:hideMark/>
          </w:tcPr>
          <w:p w14:paraId="2314B50D" w14:textId="77777777" w:rsidR="00A2124B" w:rsidRPr="00120EC2" w:rsidRDefault="00A2124B" w:rsidP="008A5C11">
            <w:pPr>
              <w:jc w:val="center"/>
              <w:rPr>
                <w:color w:val="000000"/>
              </w:rPr>
            </w:pPr>
            <w:r w:rsidRPr="00120EC2">
              <w:rPr>
                <w:color w:val="000000"/>
              </w:rPr>
              <w:t>1.1.1.8.</w:t>
            </w:r>
          </w:p>
        </w:tc>
        <w:tc>
          <w:tcPr>
            <w:tcW w:w="4106" w:type="dxa"/>
            <w:shd w:val="clear" w:color="auto" w:fill="auto"/>
            <w:vAlign w:val="center"/>
            <w:hideMark/>
          </w:tcPr>
          <w:p w14:paraId="6C728ADD" w14:textId="77777777" w:rsidR="00A2124B" w:rsidRPr="00120EC2" w:rsidRDefault="00A2124B" w:rsidP="008A5C11">
            <w:pPr>
              <w:rPr>
                <w:color w:val="000000"/>
              </w:rPr>
            </w:pPr>
            <w:r w:rsidRPr="00120EC2">
              <w:rPr>
                <w:color w:val="000000"/>
              </w:rPr>
              <w:t>5001 м и более</w:t>
            </w:r>
          </w:p>
        </w:tc>
        <w:tc>
          <w:tcPr>
            <w:tcW w:w="1775" w:type="dxa"/>
            <w:vMerge/>
            <w:vAlign w:val="center"/>
            <w:hideMark/>
          </w:tcPr>
          <w:p w14:paraId="014623A5" w14:textId="77777777" w:rsidR="00A2124B" w:rsidRPr="00120EC2" w:rsidRDefault="00A2124B" w:rsidP="008A5C11">
            <w:pPr>
              <w:rPr>
                <w:color w:val="000000"/>
              </w:rPr>
            </w:pPr>
          </w:p>
        </w:tc>
        <w:tc>
          <w:tcPr>
            <w:tcW w:w="2466" w:type="dxa"/>
            <w:shd w:val="clear" w:color="auto" w:fill="auto"/>
            <w:vAlign w:val="center"/>
            <w:hideMark/>
          </w:tcPr>
          <w:p w14:paraId="7AD21F05" w14:textId="77777777" w:rsidR="00A2124B" w:rsidRPr="009B0FF8" w:rsidRDefault="00A2124B" w:rsidP="008A5C11">
            <w:pPr>
              <w:ind w:left="-147" w:right="-147"/>
              <w:jc w:val="center"/>
              <w:rPr>
                <w:color w:val="000000"/>
              </w:rPr>
            </w:pPr>
            <w:r w:rsidRPr="009B0FF8">
              <w:rPr>
                <w:color w:val="000000"/>
              </w:rPr>
              <w:t>5 507 079</w:t>
            </w:r>
          </w:p>
        </w:tc>
      </w:tr>
      <w:tr w:rsidR="00A2124B" w:rsidRPr="00120EC2" w14:paraId="368A37A6" w14:textId="77777777" w:rsidTr="008A5C11">
        <w:trPr>
          <w:trHeight w:val="340"/>
        </w:trPr>
        <w:tc>
          <w:tcPr>
            <w:tcW w:w="1297" w:type="dxa"/>
            <w:shd w:val="clear" w:color="auto" w:fill="auto"/>
            <w:vAlign w:val="center"/>
            <w:hideMark/>
          </w:tcPr>
          <w:p w14:paraId="28BD674C" w14:textId="77777777" w:rsidR="00A2124B" w:rsidRPr="00120EC2" w:rsidRDefault="00A2124B" w:rsidP="008A5C11">
            <w:pPr>
              <w:jc w:val="center"/>
              <w:rPr>
                <w:color w:val="000000"/>
              </w:rPr>
            </w:pPr>
            <w:r w:rsidRPr="00120EC2">
              <w:rPr>
                <w:color w:val="000000"/>
              </w:rPr>
              <w:t>1.1.2.</w:t>
            </w:r>
          </w:p>
        </w:tc>
        <w:tc>
          <w:tcPr>
            <w:tcW w:w="8347" w:type="dxa"/>
            <w:gridSpan w:val="3"/>
            <w:shd w:val="clear" w:color="auto" w:fill="auto"/>
            <w:vAlign w:val="center"/>
            <w:hideMark/>
          </w:tcPr>
          <w:p w14:paraId="0530A72E" w14:textId="77777777" w:rsidR="00A2124B" w:rsidRPr="00120EC2" w:rsidRDefault="00A2124B" w:rsidP="008A5C11">
            <w:pPr>
              <w:rPr>
                <w:color w:val="000000"/>
              </w:rPr>
            </w:pPr>
            <w:r w:rsidRPr="00120EC2">
              <w:rPr>
                <w:color w:val="000000"/>
              </w:rPr>
              <w:t>наружным диаметром 100 мм и более, протяженностью:</w:t>
            </w:r>
          </w:p>
        </w:tc>
      </w:tr>
      <w:tr w:rsidR="00A2124B" w:rsidRPr="00120EC2" w14:paraId="2018729D" w14:textId="77777777" w:rsidTr="008A5C11">
        <w:trPr>
          <w:trHeight w:val="276"/>
        </w:trPr>
        <w:tc>
          <w:tcPr>
            <w:tcW w:w="1297" w:type="dxa"/>
            <w:shd w:val="clear" w:color="auto" w:fill="auto"/>
            <w:vAlign w:val="center"/>
            <w:hideMark/>
          </w:tcPr>
          <w:p w14:paraId="6F85AE06" w14:textId="77777777" w:rsidR="00A2124B" w:rsidRPr="00120EC2" w:rsidRDefault="00A2124B" w:rsidP="008A5C11">
            <w:pPr>
              <w:jc w:val="center"/>
              <w:rPr>
                <w:color w:val="000000"/>
              </w:rPr>
            </w:pPr>
            <w:r w:rsidRPr="00120EC2">
              <w:rPr>
                <w:color w:val="000000"/>
              </w:rPr>
              <w:t>1.1.2.1.</w:t>
            </w:r>
          </w:p>
        </w:tc>
        <w:tc>
          <w:tcPr>
            <w:tcW w:w="4106" w:type="dxa"/>
            <w:shd w:val="clear" w:color="auto" w:fill="auto"/>
            <w:vAlign w:val="center"/>
            <w:hideMark/>
          </w:tcPr>
          <w:p w14:paraId="76720A65" w14:textId="77777777" w:rsidR="00A2124B" w:rsidRPr="00120EC2" w:rsidRDefault="00A2124B" w:rsidP="008A5C11">
            <w:pPr>
              <w:rPr>
                <w:color w:val="000000"/>
              </w:rPr>
            </w:pPr>
            <w:r w:rsidRPr="00120EC2">
              <w:rPr>
                <w:color w:val="000000"/>
              </w:rPr>
              <w:t>до 100 м</w:t>
            </w:r>
          </w:p>
        </w:tc>
        <w:tc>
          <w:tcPr>
            <w:tcW w:w="1775" w:type="dxa"/>
            <w:vMerge w:val="restart"/>
            <w:shd w:val="clear" w:color="auto" w:fill="auto"/>
            <w:vAlign w:val="center"/>
            <w:hideMark/>
          </w:tcPr>
          <w:p w14:paraId="1005CC64" w14:textId="77777777" w:rsidR="00A2124B" w:rsidRPr="00120EC2" w:rsidRDefault="00A2124B" w:rsidP="008A5C11">
            <w:pPr>
              <w:jc w:val="center"/>
              <w:rPr>
                <w:color w:val="000000"/>
              </w:rPr>
            </w:pPr>
            <w:r w:rsidRPr="00120EC2">
              <w:rPr>
                <w:color w:val="000000"/>
              </w:rPr>
              <w:t>руб.</w:t>
            </w:r>
            <w:r w:rsidRPr="00120EC2">
              <w:rPr>
                <w:color w:val="2D2D2D"/>
              </w:rPr>
              <w:t xml:space="preserve"> за 1 присоединение</w:t>
            </w:r>
          </w:p>
        </w:tc>
        <w:tc>
          <w:tcPr>
            <w:tcW w:w="2466" w:type="dxa"/>
            <w:shd w:val="clear" w:color="auto" w:fill="auto"/>
            <w:vAlign w:val="center"/>
            <w:hideMark/>
          </w:tcPr>
          <w:p w14:paraId="497ECA01" w14:textId="77777777" w:rsidR="00A2124B" w:rsidRPr="009B0FF8" w:rsidRDefault="00A2124B" w:rsidP="008A5C11">
            <w:pPr>
              <w:ind w:left="-147" w:right="-147"/>
              <w:jc w:val="center"/>
              <w:rPr>
                <w:color w:val="000000"/>
              </w:rPr>
            </w:pPr>
            <w:r w:rsidRPr="009B0FF8">
              <w:rPr>
                <w:color w:val="000000"/>
              </w:rPr>
              <w:t>273 516</w:t>
            </w:r>
          </w:p>
        </w:tc>
      </w:tr>
      <w:tr w:rsidR="00A2124B" w:rsidRPr="00120EC2" w14:paraId="5EE04BA7" w14:textId="77777777" w:rsidTr="008A5C11">
        <w:trPr>
          <w:trHeight w:val="276"/>
        </w:trPr>
        <w:tc>
          <w:tcPr>
            <w:tcW w:w="1297" w:type="dxa"/>
            <w:shd w:val="clear" w:color="auto" w:fill="auto"/>
            <w:vAlign w:val="center"/>
            <w:hideMark/>
          </w:tcPr>
          <w:p w14:paraId="64F1BA3D" w14:textId="77777777" w:rsidR="00A2124B" w:rsidRPr="00120EC2" w:rsidRDefault="00A2124B" w:rsidP="008A5C11">
            <w:pPr>
              <w:jc w:val="center"/>
              <w:rPr>
                <w:color w:val="000000"/>
              </w:rPr>
            </w:pPr>
            <w:r w:rsidRPr="00120EC2">
              <w:rPr>
                <w:color w:val="000000"/>
              </w:rPr>
              <w:t>1.1.2.2.</w:t>
            </w:r>
          </w:p>
        </w:tc>
        <w:tc>
          <w:tcPr>
            <w:tcW w:w="4106" w:type="dxa"/>
            <w:shd w:val="clear" w:color="auto" w:fill="auto"/>
            <w:vAlign w:val="center"/>
            <w:hideMark/>
          </w:tcPr>
          <w:p w14:paraId="2882A1C2" w14:textId="77777777" w:rsidR="00A2124B" w:rsidRPr="00120EC2" w:rsidRDefault="00A2124B" w:rsidP="008A5C11">
            <w:pPr>
              <w:rPr>
                <w:color w:val="000000"/>
              </w:rPr>
            </w:pPr>
            <w:r w:rsidRPr="00120EC2">
              <w:rPr>
                <w:color w:val="000000"/>
              </w:rPr>
              <w:t>101-500 м</w:t>
            </w:r>
          </w:p>
        </w:tc>
        <w:tc>
          <w:tcPr>
            <w:tcW w:w="1775" w:type="dxa"/>
            <w:vMerge/>
            <w:vAlign w:val="center"/>
            <w:hideMark/>
          </w:tcPr>
          <w:p w14:paraId="36846306" w14:textId="77777777" w:rsidR="00A2124B" w:rsidRPr="00120EC2" w:rsidRDefault="00A2124B" w:rsidP="008A5C11">
            <w:pPr>
              <w:rPr>
                <w:color w:val="000000"/>
              </w:rPr>
            </w:pPr>
          </w:p>
        </w:tc>
        <w:tc>
          <w:tcPr>
            <w:tcW w:w="2466" w:type="dxa"/>
            <w:shd w:val="clear" w:color="auto" w:fill="auto"/>
            <w:vAlign w:val="center"/>
            <w:hideMark/>
          </w:tcPr>
          <w:p w14:paraId="0FD7A4F7" w14:textId="77777777" w:rsidR="00A2124B" w:rsidRPr="009B0FF8" w:rsidRDefault="00A2124B" w:rsidP="008A5C11">
            <w:pPr>
              <w:ind w:left="-147" w:right="-147"/>
              <w:jc w:val="center"/>
              <w:rPr>
                <w:color w:val="000000"/>
              </w:rPr>
            </w:pPr>
            <w:r w:rsidRPr="009B0FF8">
              <w:rPr>
                <w:color w:val="000000"/>
              </w:rPr>
              <w:t>282 560</w:t>
            </w:r>
          </w:p>
        </w:tc>
      </w:tr>
      <w:tr w:rsidR="00A2124B" w:rsidRPr="00120EC2" w14:paraId="2FA81296" w14:textId="77777777" w:rsidTr="008A5C11">
        <w:trPr>
          <w:trHeight w:val="276"/>
        </w:trPr>
        <w:tc>
          <w:tcPr>
            <w:tcW w:w="1297" w:type="dxa"/>
            <w:shd w:val="clear" w:color="auto" w:fill="auto"/>
            <w:vAlign w:val="center"/>
            <w:hideMark/>
          </w:tcPr>
          <w:p w14:paraId="5DC34126" w14:textId="77777777" w:rsidR="00A2124B" w:rsidRPr="00120EC2" w:rsidRDefault="00A2124B" w:rsidP="008A5C11">
            <w:pPr>
              <w:jc w:val="center"/>
              <w:rPr>
                <w:color w:val="000000"/>
              </w:rPr>
            </w:pPr>
            <w:r w:rsidRPr="00120EC2">
              <w:rPr>
                <w:color w:val="000000"/>
              </w:rPr>
              <w:t>1.1.2.3.</w:t>
            </w:r>
          </w:p>
        </w:tc>
        <w:tc>
          <w:tcPr>
            <w:tcW w:w="4106" w:type="dxa"/>
            <w:shd w:val="clear" w:color="auto" w:fill="auto"/>
            <w:vAlign w:val="center"/>
            <w:hideMark/>
          </w:tcPr>
          <w:p w14:paraId="26A735D5" w14:textId="77777777" w:rsidR="00A2124B" w:rsidRPr="00120EC2" w:rsidRDefault="00A2124B" w:rsidP="008A5C11">
            <w:pPr>
              <w:rPr>
                <w:color w:val="000000"/>
              </w:rPr>
            </w:pPr>
            <w:r w:rsidRPr="00120EC2">
              <w:rPr>
                <w:color w:val="000000"/>
              </w:rPr>
              <w:t>501-1000 м</w:t>
            </w:r>
          </w:p>
        </w:tc>
        <w:tc>
          <w:tcPr>
            <w:tcW w:w="1775" w:type="dxa"/>
            <w:vMerge/>
            <w:vAlign w:val="center"/>
            <w:hideMark/>
          </w:tcPr>
          <w:p w14:paraId="77C8FCD9" w14:textId="77777777" w:rsidR="00A2124B" w:rsidRPr="00120EC2" w:rsidRDefault="00A2124B" w:rsidP="008A5C11">
            <w:pPr>
              <w:rPr>
                <w:color w:val="000000"/>
              </w:rPr>
            </w:pPr>
          </w:p>
        </w:tc>
        <w:tc>
          <w:tcPr>
            <w:tcW w:w="2466" w:type="dxa"/>
            <w:shd w:val="clear" w:color="auto" w:fill="auto"/>
            <w:vAlign w:val="center"/>
            <w:hideMark/>
          </w:tcPr>
          <w:p w14:paraId="7499142E" w14:textId="77777777" w:rsidR="00A2124B" w:rsidRPr="009B0FF8" w:rsidRDefault="00A2124B" w:rsidP="008A5C11">
            <w:pPr>
              <w:ind w:left="-147" w:right="-147"/>
              <w:jc w:val="center"/>
              <w:rPr>
                <w:color w:val="000000"/>
              </w:rPr>
            </w:pPr>
            <w:r w:rsidRPr="009B0FF8">
              <w:rPr>
                <w:color w:val="000000"/>
              </w:rPr>
              <w:t>1 806 154</w:t>
            </w:r>
          </w:p>
        </w:tc>
      </w:tr>
      <w:tr w:rsidR="00A2124B" w:rsidRPr="00120EC2" w14:paraId="72B8A309" w14:textId="77777777" w:rsidTr="008A5C11">
        <w:trPr>
          <w:trHeight w:val="276"/>
        </w:trPr>
        <w:tc>
          <w:tcPr>
            <w:tcW w:w="1297" w:type="dxa"/>
            <w:shd w:val="clear" w:color="auto" w:fill="auto"/>
            <w:vAlign w:val="center"/>
            <w:hideMark/>
          </w:tcPr>
          <w:p w14:paraId="5DDDD14B" w14:textId="77777777" w:rsidR="00A2124B" w:rsidRPr="00120EC2" w:rsidRDefault="00A2124B" w:rsidP="008A5C11">
            <w:pPr>
              <w:jc w:val="center"/>
              <w:rPr>
                <w:color w:val="000000"/>
              </w:rPr>
            </w:pPr>
            <w:r w:rsidRPr="00120EC2">
              <w:rPr>
                <w:color w:val="000000"/>
              </w:rPr>
              <w:t>1.1.2.4.</w:t>
            </w:r>
          </w:p>
        </w:tc>
        <w:tc>
          <w:tcPr>
            <w:tcW w:w="4106" w:type="dxa"/>
            <w:shd w:val="clear" w:color="auto" w:fill="auto"/>
            <w:vAlign w:val="center"/>
            <w:hideMark/>
          </w:tcPr>
          <w:p w14:paraId="21B30B0E" w14:textId="77777777" w:rsidR="00A2124B" w:rsidRPr="00120EC2" w:rsidRDefault="00A2124B" w:rsidP="008A5C11">
            <w:pPr>
              <w:rPr>
                <w:color w:val="000000"/>
              </w:rPr>
            </w:pPr>
            <w:r w:rsidRPr="00120EC2">
              <w:rPr>
                <w:color w:val="000000"/>
              </w:rPr>
              <w:t>1001-2000 м</w:t>
            </w:r>
          </w:p>
        </w:tc>
        <w:tc>
          <w:tcPr>
            <w:tcW w:w="1775" w:type="dxa"/>
            <w:vMerge/>
            <w:vAlign w:val="center"/>
            <w:hideMark/>
          </w:tcPr>
          <w:p w14:paraId="6CBBE5A2" w14:textId="77777777" w:rsidR="00A2124B" w:rsidRPr="00120EC2" w:rsidRDefault="00A2124B" w:rsidP="008A5C11">
            <w:pPr>
              <w:rPr>
                <w:color w:val="000000"/>
              </w:rPr>
            </w:pPr>
          </w:p>
        </w:tc>
        <w:tc>
          <w:tcPr>
            <w:tcW w:w="2466" w:type="dxa"/>
            <w:shd w:val="clear" w:color="auto" w:fill="auto"/>
            <w:vAlign w:val="center"/>
            <w:hideMark/>
          </w:tcPr>
          <w:p w14:paraId="7F6577FA" w14:textId="77777777" w:rsidR="00A2124B" w:rsidRPr="009B0FF8" w:rsidRDefault="00A2124B" w:rsidP="008A5C11">
            <w:pPr>
              <w:ind w:left="-147" w:right="-147"/>
              <w:jc w:val="center"/>
              <w:rPr>
                <w:color w:val="000000"/>
              </w:rPr>
            </w:pPr>
            <w:r w:rsidRPr="009B0FF8">
              <w:rPr>
                <w:color w:val="000000"/>
              </w:rPr>
              <w:t>2 600 515</w:t>
            </w:r>
          </w:p>
        </w:tc>
      </w:tr>
      <w:tr w:rsidR="00A2124B" w:rsidRPr="00120EC2" w14:paraId="35320ED8" w14:textId="77777777" w:rsidTr="008A5C11">
        <w:trPr>
          <w:trHeight w:val="276"/>
        </w:trPr>
        <w:tc>
          <w:tcPr>
            <w:tcW w:w="1297" w:type="dxa"/>
            <w:shd w:val="clear" w:color="auto" w:fill="auto"/>
            <w:vAlign w:val="center"/>
            <w:hideMark/>
          </w:tcPr>
          <w:p w14:paraId="30537BCB" w14:textId="77777777" w:rsidR="00A2124B" w:rsidRPr="00120EC2" w:rsidRDefault="00A2124B" w:rsidP="008A5C11">
            <w:pPr>
              <w:jc w:val="center"/>
              <w:rPr>
                <w:color w:val="000000"/>
              </w:rPr>
            </w:pPr>
            <w:r w:rsidRPr="00120EC2">
              <w:rPr>
                <w:color w:val="000000"/>
              </w:rPr>
              <w:t>1.1.2.5.</w:t>
            </w:r>
          </w:p>
        </w:tc>
        <w:tc>
          <w:tcPr>
            <w:tcW w:w="4106" w:type="dxa"/>
            <w:shd w:val="clear" w:color="auto" w:fill="auto"/>
            <w:vAlign w:val="center"/>
            <w:hideMark/>
          </w:tcPr>
          <w:p w14:paraId="0DC0E767" w14:textId="77777777" w:rsidR="00A2124B" w:rsidRPr="00120EC2" w:rsidRDefault="00A2124B" w:rsidP="008A5C11">
            <w:pPr>
              <w:rPr>
                <w:color w:val="000000"/>
              </w:rPr>
            </w:pPr>
            <w:r w:rsidRPr="00120EC2">
              <w:rPr>
                <w:color w:val="000000"/>
              </w:rPr>
              <w:t>2001-3000 м</w:t>
            </w:r>
          </w:p>
        </w:tc>
        <w:tc>
          <w:tcPr>
            <w:tcW w:w="1775" w:type="dxa"/>
            <w:vMerge/>
            <w:vAlign w:val="center"/>
            <w:hideMark/>
          </w:tcPr>
          <w:p w14:paraId="3C7A06ED" w14:textId="77777777" w:rsidR="00A2124B" w:rsidRPr="00120EC2" w:rsidRDefault="00A2124B" w:rsidP="008A5C11">
            <w:pPr>
              <w:rPr>
                <w:color w:val="000000"/>
              </w:rPr>
            </w:pPr>
          </w:p>
        </w:tc>
        <w:tc>
          <w:tcPr>
            <w:tcW w:w="2466" w:type="dxa"/>
            <w:shd w:val="clear" w:color="auto" w:fill="auto"/>
            <w:vAlign w:val="center"/>
            <w:hideMark/>
          </w:tcPr>
          <w:p w14:paraId="306887E4" w14:textId="77777777" w:rsidR="00A2124B" w:rsidRPr="009B0FF8" w:rsidRDefault="00A2124B" w:rsidP="008A5C11">
            <w:pPr>
              <w:ind w:left="-147" w:right="-147"/>
              <w:jc w:val="center"/>
              <w:rPr>
                <w:color w:val="000000"/>
              </w:rPr>
            </w:pPr>
            <w:r w:rsidRPr="009B0FF8">
              <w:rPr>
                <w:color w:val="000000"/>
              </w:rPr>
              <w:t>3 537 683</w:t>
            </w:r>
          </w:p>
        </w:tc>
      </w:tr>
      <w:tr w:rsidR="00A2124B" w:rsidRPr="00120EC2" w14:paraId="550B2A57" w14:textId="77777777" w:rsidTr="008A5C11">
        <w:trPr>
          <w:trHeight w:val="276"/>
        </w:trPr>
        <w:tc>
          <w:tcPr>
            <w:tcW w:w="1297" w:type="dxa"/>
            <w:shd w:val="clear" w:color="auto" w:fill="auto"/>
            <w:vAlign w:val="center"/>
            <w:hideMark/>
          </w:tcPr>
          <w:p w14:paraId="5C704637" w14:textId="77777777" w:rsidR="00A2124B" w:rsidRPr="00120EC2" w:rsidRDefault="00A2124B" w:rsidP="008A5C11">
            <w:pPr>
              <w:jc w:val="center"/>
              <w:rPr>
                <w:color w:val="000000"/>
              </w:rPr>
            </w:pPr>
            <w:r w:rsidRPr="00120EC2">
              <w:rPr>
                <w:color w:val="000000"/>
              </w:rPr>
              <w:t>1.1.2.6.</w:t>
            </w:r>
          </w:p>
        </w:tc>
        <w:tc>
          <w:tcPr>
            <w:tcW w:w="4106" w:type="dxa"/>
            <w:shd w:val="clear" w:color="auto" w:fill="auto"/>
            <w:vAlign w:val="center"/>
            <w:hideMark/>
          </w:tcPr>
          <w:p w14:paraId="5A428C56" w14:textId="77777777" w:rsidR="00A2124B" w:rsidRPr="00120EC2" w:rsidRDefault="00A2124B" w:rsidP="008A5C11">
            <w:pPr>
              <w:rPr>
                <w:color w:val="000000"/>
              </w:rPr>
            </w:pPr>
            <w:r w:rsidRPr="00120EC2">
              <w:rPr>
                <w:color w:val="000000"/>
              </w:rPr>
              <w:t>3001-4000 м</w:t>
            </w:r>
          </w:p>
        </w:tc>
        <w:tc>
          <w:tcPr>
            <w:tcW w:w="1775" w:type="dxa"/>
            <w:vMerge/>
            <w:vAlign w:val="center"/>
            <w:hideMark/>
          </w:tcPr>
          <w:p w14:paraId="460EAFB6" w14:textId="77777777" w:rsidR="00A2124B" w:rsidRPr="00120EC2" w:rsidRDefault="00A2124B" w:rsidP="008A5C11">
            <w:pPr>
              <w:rPr>
                <w:color w:val="000000"/>
              </w:rPr>
            </w:pPr>
          </w:p>
        </w:tc>
        <w:tc>
          <w:tcPr>
            <w:tcW w:w="2466" w:type="dxa"/>
            <w:shd w:val="clear" w:color="auto" w:fill="auto"/>
            <w:vAlign w:val="center"/>
            <w:hideMark/>
          </w:tcPr>
          <w:p w14:paraId="3C77A53F" w14:textId="77777777" w:rsidR="00A2124B" w:rsidRPr="009B0FF8" w:rsidRDefault="00A2124B" w:rsidP="008A5C11">
            <w:pPr>
              <w:ind w:left="-147" w:right="-147"/>
              <w:jc w:val="center"/>
              <w:rPr>
                <w:color w:val="000000"/>
              </w:rPr>
            </w:pPr>
            <w:r w:rsidRPr="009B0FF8">
              <w:rPr>
                <w:color w:val="000000"/>
              </w:rPr>
              <w:t>4 364 366</w:t>
            </w:r>
          </w:p>
        </w:tc>
      </w:tr>
      <w:tr w:rsidR="00A2124B" w:rsidRPr="00120EC2" w14:paraId="0E5E35E9" w14:textId="77777777" w:rsidTr="008A5C11">
        <w:trPr>
          <w:trHeight w:val="276"/>
        </w:trPr>
        <w:tc>
          <w:tcPr>
            <w:tcW w:w="1297" w:type="dxa"/>
            <w:shd w:val="clear" w:color="auto" w:fill="auto"/>
            <w:vAlign w:val="center"/>
          </w:tcPr>
          <w:p w14:paraId="28643E3F" w14:textId="77777777" w:rsidR="00A2124B" w:rsidRPr="00120EC2" w:rsidRDefault="00A2124B" w:rsidP="008A5C11">
            <w:pPr>
              <w:jc w:val="center"/>
              <w:rPr>
                <w:color w:val="000000"/>
              </w:rPr>
            </w:pPr>
            <w:r w:rsidRPr="00120EC2">
              <w:rPr>
                <w:color w:val="000000"/>
              </w:rPr>
              <w:t>1.1.2.7.</w:t>
            </w:r>
          </w:p>
        </w:tc>
        <w:tc>
          <w:tcPr>
            <w:tcW w:w="4106" w:type="dxa"/>
            <w:shd w:val="clear" w:color="auto" w:fill="auto"/>
            <w:vAlign w:val="center"/>
          </w:tcPr>
          <w:p w14:paraId="28B4CD48" w14:textId="77777777" w:rsidR="00A2124B" w:rsidRPr="00120EC2" w:rsidRDefault="00A2124B" w:rsidP="008A5C11">
            <w:pPr>
              <w:rPr>
                <w:color w:val="000000"/>
              </w:rPr>
            </w:pPr>
            <w:r w:rsidRPr="00120EC2">
              <w:rPr>
                <w:color w:val="000000"/>
              </w:rPr>
              <w:t>4001-5000 м</w:t>
            </w:r>
          </w:p>
        </w:tc>
        <w:tc>
          <w:tcPr>
            <w:tcW w:w="1775" w:type="dxa"/>
            <w:vMerge/>
            <w:vAlign w:val="center"/>
          </w:tcPr>
          <w:p w14:paraId="3B340731" w14:textId="77777777" w:rsidR="00A2124B" w:rsidRPr="00120EC2" w:rsidRDefault="00A2124B" w:rsidP="008A5C11">
            <w:pPr>
              <w:rPr>
                <w:color w:val="000000"/>
              </w:rPr>
            </w:pPr>
          </w:p>
        </w:tc>
        <w:tc>
          <w:tcPr>
            <w:tcW w:w="2466" w:type="dxa"/>
            <w:shd w:val="clear" w:color="auto" w:fill="auto"/>
            <w:vAlign w:val="center"/>
          </w:tcPr>
          <w:p w14:paraId="5604B9F1" w14:textId="77777777" w:rsidR="00A2124B" w:rsidRPr="009B0FF8" w:rsidRDefault="00A2124B" w:rsidP="008A5C11">
            <w:pPr>
              <w:ind w:left="-147" w:right="-147"/>
              <w:jc w:val="center"/>
              <w:rPr>
                <w:color w:val="000000"/>
              </w:rPr>
            </w:pPr>
            <w:r w:rsidRPr="009B0FF8">
              <w:rPr>
                <w:color w:val="000000"/>
              </w:rPr>
              <w:t>5 196 976</w:t>
            </w:r>
          </w:p>
        </w:tc>
      </w:tr>
      <w:tr w:rsidR="00A2124B" w:rsidRPr="00026984" w14:paraId="4DDA8E92" w14:textId="77777777" w:rsidTr="008A5C11">
        <w:trPr>
          <w:trHeight w:val="276"/>
        </w:trPr>
        <w:tc>
          <w:tcPr>
            <w:tcW w:w="1297" w:type="dxa"/>
            <w:shd w:val="clear" w:color="auto" w:fill="auto"/>
            <w:vAlign w:val="center"/>
            <w:hideMark/>
          </w:tcPr>
          <w:p w14:paraId="4F46D993" w14:textId="77777777" w:rsidR="00A2124B" w:rsidRPr="00120EC2" w:rsidRDefault="00A2124B" w:rsidP="008A5C11">
            <w:pPr>
              <w:jc w:val="center"/>
              <w:rPr>
                <w:color w:val="000000"/>
              </w:rPr>
            </w:pPr>
            <w:r w:rsidRPr="00120EC2">
              <w:rPr>
                <w:color w:val="000000"/>
              </w:rPr>
              <w:t>1.1.2.8.</w:t>
            </w:r>
          </w:p>
        </w:tc>
        <w:tc>
          <w:tcPr>
            <w:tcW w:w="4106" w:type="dxa"/>
            <w:shd w:val="clear" w:color="auto" w:fill="auto"/>
            <w:vAlign w:val="center"/>
            <w:hideMark/>
          </w:tcPr>
          <w:p w14:paraId="6C15C380" w14:textId="77777777" w:rsidR="00A2124B" w:rsidRPr="00120EC2" w:rsidRDefault="00A2124B" w:rsidP="008A5C11">
            <w:pPr>
              <w:rPr>
                <w:color w:val="000000"/>
              </w:rPr>
            </w:pPr>
            <w:r w:rsidRPr="00120EC2">
              <w:rPr>
                <w:color w:val="000000"/>
              </w:rPr>
              <w:t>5001 м и более</w:t>
            </w:r>
          </w:p>
        </w:tc>
        <w:tc>
          <w:tcPr>
            <w:tcW w:w="1775" w:type="dxa"/>
            <w:vMerge/>
            <w:vAlign w:val="center"/>
            <w:hideMark/>
          </w:tcPr>
          <w:p w14:paraId="19FA034F" w14:textId="77777777" w:rsidR="00A2124B" w:rsidRPr="00120EC2" w:rsidRDefault="00A2124B" w:rsidP="008A5C11">
            <w:pPr>
              <w:rPr>
                <w:color w:val="000000"/>
              </w:rPr>
            </w:pPr>
          </w:p>
        </w:tc>
        <w:tc>
          <w:tcPr>
            <w:tcW w:w="2466" w:type="dxa"/>
            <w:shd w:val="clear" w:color="auto" w:fill="auto"/>
            <w:vAlign w:val="center"/>
            <w:hideMark/>
          </w:tcPr>
          <w:p w14:paraId="275DA047" w14:textId="77777777" w:rsidR="00A2124B" w:rsidRPr="009B0FF8" w:rsidRDefault="00A2124B" w:rsidP="008A5C11">
            <w:pPr>
              <w:ind w:left="-147" w:right="-147"/>
              <w:jc w:val="center"/>
              <w:rPr>
                <w:color w:val="000000"/>
              </w:rPr>
            </w:pPr>
            <w:r w:rsidRPr="009B0FF8">
              <w:rPr>
                <w:color w:val="000000"/>
              </w:rPr>
              <w:t>5 507 079</w:t>
            </w:r>
          </w:p>
        </w:tc>
      </w:tr>
    </w:tbl>
    <w:p w14:paraId="549C5B84" w14:textId="77777777" w:rsidR="00A2124B" w:rsidRDefault="00A2124B" w:rsidP="00A2124B"/>
    <w:p w14:paraId="0D6FC70D" w14:textId="77777777" w:rsidR="00A2124B" w:rsidRDefault="00A2124B" w:rsidP="00A2124B"/>
    <w:p w14:paraId="1433E703" w14:textId="77777777" w:rsidR="00A2124B" w:rsidRDefault="00A2124B" w:rsidP="00A2124B">
      <w:pPr>
        <w:sectPr w:rsidR="00A2124B" w:rsidSect="00BD7BDF">
          <w:pgSz w:w="11906" w:h="16838"/>
          <w:pgMar w:top="1134" w:right="850" w:bottom="1134" w:left="1701" w:header="708" w:footer="708" w:gutter="0"/>
          <w:cols w:space="708"/>
          <w:docGrid w:linePitch="360"/>
        </w:sectPr>
      </w:pPr>
    </w:p>
    <w:p w14:paraId="263214CA" w14:textId="77777777" w:rsidR="00A2124B" w:rsidRDefault="00A2124B" w:rsidP="00A2124B"/>
    <w:p w14:paraId="6A5453C9" w14:textId="77777777" w:rsidR="00A2124B" w:rsidRDefault="00A2124B" w:rsidP="00A2124B"/>
    <w:tbl>
      <w:tblPr>
        <w:tblW w:w="964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4106"/>
        <w:gridCol w:w="1775"/>
        <w:gridCol w:w="2466"/>
      </w:tblGrid>
      <w:tr w:rsidR="00A2124B" w:rsidRPr="00205367" w14:paraId="6DCDD60B" w14:textId="77777777" w:rsidTr="001C56BD">
        <w:trPr>
          <w:trHeight w:val="70"/>
        </w:trPr>
        <w:tc>
          <w:tcPr>
            <w:tcW w:w="1297" w:type="dxa"/>
            <w:shd w:val="clear" w:color="auto" w:fill="auto"/>
            <w:vAlign w:val="center"/>
          </w:tcPr>
          <w:p w14:paraId="401F2E05" w14:textId="77777777" w:rsidR="00A2124B" w:rsidRPr="00205367" w:rsidRDefault="00A2124B" w:rsidP="008A5C11">
            <w:pPr>
              <w:jc w:val="center"/>
              <w:rPr>
                <w:color w:val="000000"/>
              </w:rPr>
            </w:pPr>
            <w:r w:rsidRPr="00205367">
              <w:rPr>
                <w:color w:val="000000"/>
              </w:rPr>
              <w:t>1</w:t>
            </w:r>
          </w:p>
        </w:tc>
        <w:tc>
          <w:tcPr>
            <w:tcW w:w="4106" w:type="dxa"/>
            <w:shd w:val="clear" w:color="auto" w:fill="auto"/>
            <w:vAlign w:val="center"/>
          </w:tcPr>
          <w:p w14:paraId="07355428" w14:textId="77777777" w:rsidR="00A2124B" w:rsidRPr="00205367" w:rsidRDefault="00A2124B" w:rsidP="008A5C11">
            <w:pPr>
              <w:jc w:val="center"/>
              <w:rPr>
                <w:color w:val="000000"/>
              </w:rPr>
            </w:pPr>
            <w:r w:rsidRPr="00205367">
              <w:rPr>
                <w:color w:val="000000"/>
              </w:rPr>
              <w:t>2</w:t>
            </w:r>
          </w:p>
        </w:tc>
        <w:tc>
          <w:tcPr>
            <w:tcW w:w="1775" w:type="dxa"/>
            <w:shd w:val="clear" w:color="auto" w:fill="auto"/>
            <w:vAlign w:val="center"/>
          </w:tcPr>
          <w:p w14:paraId="23EA29F2" w14:textId="77777777" w:rsidR="00A2124B" w:rsidRPr="00205367" w:rsidRDefault="00A2124B" w:rsidP="008A5C11">
            <w:pPr>
              <w:jc w:val="center"/>
              <w:rPr>
                <w:color w:val="000000"/>
              </w:rPr>
            </w:pPr>
            <w:r w:rsidRPr="00205367">
              <w:rPr>
                <w:color w:val="000000"/>
              </w:rPr>
              <w:t>3</w:t>
            </w:r>
          </w:p>
        </w:tc>
        <w:tc>
          <w:tcPr>
            <w:tcW w:w="2466" w:type="dxa"/>
            <w:shd w:val="clear" w:color="000000" w:fill="FFFFFF"/>
            <w:vAlign w:val="center"/>
          </w:tcPr>
          <w:p w14:paraId="6957F138" w14:textId="77777777" w:rsidR="00A2124B" w:rsidRPr="00205367" w:rsidRDefault="00A2124B" w:rsidP="008A5C11">
            <w:pPr>
              <w:jc w:val="center"/>
              <w:rPr>
                <w:color w:val="000000"/>
              </w:rPr>
            </w:pPr>
            <w:r w:rsidRPr="00205367">
              <w:rPr>
                <w:color w:val="000000"/>
              </w:rPr>
              <w:t>4</w:t>
            </w:r>
          </w:p>
        </w:tc>
      </w:tr>
      <w:tr w:rsidR="00A2124B" w:rsidRPr="00205367" w14:paraId="4BE838CA" w14:textId="77777777" w:rsidTr="001C56BD">
        <w:trPr>
          <w:trHeight w:val="70"/>
        </w:trPr>
        <w:tc>
          <w:tcPr>
            <w:tcW w:w="1297" w:type="dxa"/>
            <w:shd w:val="clear" w:color="auto" w:fill="auto"/>
            <w:vAlign w:val="center"/>
            <w:hideMark/>
          </w:tcPr>
          <w:p w14:paraId="0C9968FF" w14:textId="77777777" w:rsidR="00A2124B" w:rsidRPr="00205367" w:rsidRDefault="00A2124B" w:rsidP="008A5C11">
            <w:pPr>
              <w:jc w:val="center"/>
              <w:rPr>
                <w:color w:val="000000"/>
              </w:rPr>
            </w:pPr>
            <w:r w:rsidRPr="00205367">
              <w:rPr>
                <w:color w:val="000000"/>
              </w:rPr>
              <w:t>1.2.</w:t>
            </w:r>
          </w:p>
        </w:tc>
        <w:tc>
          <w:tcPr>
            <w:tcW w:w="8347" w:type="dxa"/>
            <w:gridSpan w:val="3"/>
            <w:shd w:val="clear" w:color="auto" w:fill="auto"/>
            <w:vAlign w:val="center"/>
            <w:hideMark/>
          </w:tcPr>
          <w:p w14:paraId="745DC1FF" w14:textId="77777777" w:rsidR="00A2124B" w:rsidRPr="00205367" w:rsidRDefault="00A2124B" w:rsidP="008A5C11">
            <w:pPr>
              <w:rPr>
                <w:color w:val="000000"/>
              </w:rPr>
            </w:pPr>
            <w:r w:rsidRPr="00205367">
              <w:rPr>
                <w:color w:val="000000"/>
              </w:rPr>
              <w:t>подземного способа прокладки:</w:t>
            </w:r>
          </w:p>
        </w:tc>
      </w:tr>
      <w:tr w:rsidR="00A2124B" w:rsidRPr="00205367" w14:paraId="375B9162" w14:textId="77777777" w:rsidTr="001C56BD">
        <w:trPr>
          <w:trHeight w:val="255"/>
        </w:trPr>
        <w:tc>
          <w:tcPr>
            <w:tcW w:w="1297" w:type="dxa"/>
            <w:shd w:val="clear" w:color="auto" w:fill="auto"/>
            <w:vAlign w:val="center"/>
            <w:hideMark/>
          </w:tcPr>
          <w:p w14:paraId="26D77F9E" w14:textId="77777777" w:rsidR="00A2124B" w:rsidRPr="00205367" w:rsidRDefault="00A2124B" w:rsidP="008A5C11">
            <w:pPr>
              <w:jc w:val="center"/>
              <w:rPr>
                <w:color w:val="000000"/>
              </w:rPr>
            </w:pPr>
            <w:r w:rsidRPr="00205367">
              <w:rPr>
                <w:color w:val="000000"/>
              </w:rPr>
              <w:t>1.2.1.</w:t>
            </w:r>
          </w:p>
        </w:tc>
        <w:tc>
          <w:tcPr>
            <w:tcW w:w="8347" w:type="dxa"/>
            <w:gridSpan w:val="3"/>
            <w:shd w:val="clear" w:color="auto" w:fill="auto"/>
            <w:vAlign w:val="center"/>
            <w:hideMark/>
          </w:tcPr>
          <w:p w14:paraId="344788E5" w14:textId="77777777" w:rsidR="00A2124B" w:rsidRPr="00205367" w:rsidRDefault="00A2124B" w:rsidP="008A5C11">
            <w:pPr>
              <w:rPr>
                <w:color w:val="000000"/>
              </w:rPr>
            </w:pPr>
            <w:r w:rsidRPr="00205367">
              <w:rPr>
                <w:color w:val="000000"/>
              </w:rPr>
              <w:t>наружным диаметром менее 100 мм, протяженностью:</w:t>
            </w:r>
          </w:p>
        </w:tc>
      </w:tr>
      <w:tr w:rsidR="00A2124B" w:rsidRPr="00205367" w14:paraId="1BC33379" w14:textId="77777777" w:rsidTr="001C56BD">
        <w:trPr>
          <w:trHeight w:val="276"/>
        </w:trPr>
        <w:tc>
          <w:tcPr>
            <w:tcW w:w="1297" w:type="dxa"/>
            <w:shd w:val="clear" w:color="auto" w:fill="auto"/>
            <w:vAlign w:val="center"/>
            <w:hideMark/>
          </w:tcPr>
          <w:p w14:paraId="4EE52E6C" w14:textId="77777777" w:rsidR="00A2124B" w:rsidRPr="00205367" w:rsidRDefault="00A2124B" w:rsidP="008A5C11">
            <w:pPr>
              <w:jc w:val="center"/>
              <w:rPr>
                <w:color w:val="000000"/>
              </w:rPr>
            </w:pPr>
            <w:r w:rsidRPr="00205367">
              <w:rPr>
                <w:color w:val="000000"/>
              </w:rPr>
              <w:t>1.2.1.1.</w:t>
            </w:r>
          </w:p>
        </w:tc>
        <w:tc>
          <w:tcPr>
            <w:tcW w:w="4106" w:type="dxa"/>
            <w:shd w:val="clear" w:color="auto" w:fill="auto"/>
            <w:vAlign w:val="center"/>
            <w:hideMark/>
          </w:tcPr>
          <w:p w14:paraId="4932CC8F" w14:textId="77777777" w:rsidR="00A2124B" w:rsidRPr="00205367" w:rsidRDefault="00A2124B" w:rsidP="008A5C11">
            <w:pPr>
              <w:rPr>
                <w:color w:val="000000"/>
              </w:rPr>
            </w:pPr>
            <w:r w:rsidRPr="00205367">
              <w:rPr>
                <w:color w:val="000000"/>
              </w:rPr>
              <w:t>до 100 м</w:t>
            </w:r>
          </w:p>
        </w:tc>
        <w:tc>
          <w:tcPr>
            <w:tcW w:w="1775" w:type="dxa"/>
            <w:vMerge w:val="restart"/>
            <w:shd w:val="clear" w:color="auto" w:fill="auto"/>
            <w:vAlign w:val="center"/>
            <w:hideMark/>
          </w:tcPr>
          <w:p w14:paraId="3CDE764C" w14:textId="77777777" w:rsidR="00A2124B" w:rsidRPr="00205367" w:rsidRDefault="00A2124B" w:rsidP="008A5C11">
            <w:pPr>
              <w:jc w:val="center"/>
              <w:rPr>
                <w:color w:val="000000"/>
              </w:rPr>
            </w:pPr>
            <w:r w:rsidRPr="00205367">
              <w:rPr>
                <w:color w:val="000000"/>
              </w:rPr>
              <w:t>руб.</w:t>
            </w:r>
            <w:r w:rsidRPr="00205367">
              <w:rPr>
                <w:color w:val="2D2D2D"/>
              </w:rPr>
              <w:t xml:space="preserve"> за 1 присоединение</w:t>
            </w:r>
          </w:p>
        </w:tc>
        <w:tc>
          <w:tcPr>
            <w:tcW w:w="2466" w:type="dxa"/>
            <w:shd w:val="clear" w:color="auto" w:fill="auto"/>
            <w:hideMark/>
          </w:tcPr>
          <w:p w14:paraId="3D6D0E1D" w14:textId="77777777" w:rsidR="00A2124B" w:rsidRPr="009B0FF8" w:rsidRDefault="00A2124B" w:rsidP="008A5C11">
            <w:pPr>
              <w:ind w:left="-147" w:right="-147"/>
              <w:jc w:val="center"/>
              <w:rPr>
                <w:color w:val="000000"/>
              </w:rPr>
            </w:pPr>
            <w:r w:rsidRPr="009B0FF8">
              <w:rPr>
                <w:color w:val="000000"/>
              </w:rPr>
              <w:t>14 215</w:t>
            </w:r>
          </w:p>
        </w:tc>
      </w:tr>
      <w:tr w:rsidR="00A2124B" w:rsidRPr="00205367" w14:paraId="241C6ADB" w14:textId="77777777" w:rsidTr="001C56BD">
        <w:trPr>
          <w:trHeight w:val="276"/>
        </w:trPr>
        <w:tc>
          <w:tcPr>
            <w:tcW w:w="1297" w:type="dxa"/>
            <w:shd w:val="clear" w:color="auto" w:fill="auto"/>
            <w:vAlign w:val="center"/>
            <w:hideMark/>
          </w:tcPr>
          <w:p w14:paraId="2A9A60A1" w14:textId="77777777" w:rsidR="00A2124B" w:rsidRPr="00205367" w:rsidRDefault="00A2124B" w:rsidP="008A5C11">
            <w:pPr>
              <w:jc w:val="center"/>
              <w:rPr>
                <w:color w:val="000000"/>
              </w:rPr>
            </w:pPr>
            <w:r w:rsidRPr="00205367">
              <w:rPr>
                <w:color w:val="000000"/>
              </w:rPr>
              <w:t>1.2.1.2.</w:t>
            </w:r>
          </w:p>
        </w:tc>
        <w:tc>
          <w:tcPr>
            <w:tcW w:w="4106" w:type="dxa"/>
            <w:shd w:val="clear" w:color="auto" w:fill="auto"/>
            <w:vAlign w:val="center"/>
            <w:hideMark/>
          </w:tcPr>
          <w:p w14:paraId="7F79D8C0" w14:textId="77777777" w:rsidR="00A2124B" w:rsidRPr="00205367" w:rsidRDefault="00A2124B" w:rsidP="008A5C11">
            <w:pPr>
              <w:rPr>
                <w:color w:val="000000"/>
              </w:rPr>
            </w:pPr>
            <w:r w:rsidRPr="00205367">
              <w:rPr>
                <w:color w:val="000000"/>
              </w:rPr>
              <w:t>101-500 м</w:t>
            </w:r>
          </w:p>
        </w:tc>
        <w:tc>
          <w:tcPr>
            <w:tcW w:w="1775" w:type="dxa"/>
            <w:vMerge/>
            <w:vAlign w:val="center"/>
            <w:hideMark/>
          </w:tcPr>
          <w:p w14:paraId="007D3CE8" w14:textId="77777777" w:rsidR="00A2124B" w:rsidRPr="00205367" w:rsidRDefault="00A2124B" w:rsidP="008A5C11">
            <w:pPr>
              <w:rPr>
                <w:color w:val="000000"/>
              </w:rPr>
            </w:pPr>
          </w:p>
        </w:tc>
        <w:tc>
          <w:tcPr>
            <w:tcW w:w="2466" w:type="dxa"/>
            <w:shd w:val="clear" w:color="auto" w:fill="auto"/>
            <w:hideMark/>
          </w:tcPr>
          <w:p w14:paraId="5F964D32" w14:textId="77777777" w:rsidR="00A2124B" w:rsidRPr="009B0FF8" w:rsidRDefault="00A2124B" w:rsidP="008A5C11">
            <w:pPr>
              <w:ind w:left="-147" w:right="-147"/>
              <w:jc w:val="center"/>
              <w:rPr>
                <w:color w:val="000000"/>
              </w:rPr>
            </w:pPr>
            <w:r w:rsidRPr="009B0FF8">
              <w:rPr>
                <w:color w:val="000000"/>
              </w:rPr>
              <w:t>229 655</w:t>
            </w:r>
          </w:p>
        </w:tc>
      </w:tr>
      <w:tr w:rsidR="00A2124B" w:rsidRPr="00205367" w14:paraId="5CF4FAFF" w14:textId="77777777" w:rsidTr="001C56BD">
        <w:trPr>
          <w:trHeight w:val="276"/>
        </w:trPr>
        <w:tc>
          <w:tcPr>
            <w:tcW w:w="1297" w:type="dxa"/>
            <w:shd w:val="clear" w:color="auto" w:fill="auto"/>
            <w:vAlign w:val="center"/>
            <w:hideMark/>
          </w:tcPr>
          <w:p w14:paraId="713C23E1" w14:textId="77777777" w:rsidR="00A2124B" w:rsidRPr="00205367" w:rsidRDefault="00A2124B" w:rsidP="008A5C11">
            <w:pPr>
              <w:jc w:val="center"/>
              <w:rPr>
                <w:color w:val="000000"/>
              </w:rPr>
            </w:pPr>
            <w:r w:rsidRPr="00205367">
              <w:rPr>
                <w:color w:val="000000"/>
              </w:rPr>
              <w:t>1.2.1.3.</w:t>
            </w:r>
          </w:p>
        </w:tc>
        <w:tc>
          <w:tcPr>
            <w:tcW w:w="4106" w:type="dxa"/>
            <w:shd w:val="clear" w:color="auto" w:fill="auto"/>
            <w:vAlign w:val="center"/>
            <w:hideMark/>
          </w:tcPr>
          <w:p w14:paraId="2B396427" w14:textId="77777777" w:rsidR="00A2124B" w:rsidRPr="00205367" w:rsidRDefault="00A2124B" w:rsidP="008A5C11">
            <w:pPr>
              <w:rPr>
                <w:color w:val="000000"/>
              </w:rPr>
            </w:pPr>
            <w:r w:rsidRPr="00205367">
              <w:rPr>
                <w:color w:val="000000"/>
              </w:rPr>
              <w:t>501-1000 м</w:t>
            </w:r>
          </w:p>
        </w:tc>
        <w:tc>
          <w:tcPr>
            <w:tcW w:w="1775" w:type="dxa"/>
            <w:vMerge/>
            <w:vAlign w:val="center"/>
            <w:hideMark/>
          </w:tcPr>
          <w:p w14:paraId="53C3F7EB" w14:textId="77777777" w:rsidR="00A2124B" w:rsidRPr="00205367" w:rsidRDefault="00A2124B" w:rsidP="008A5C11">
            <w:pPr>
              <w:rPr>
                <w:color w:val="000000"/>
              </w:rPr>
            </w:pPr>
          </w:p>
        </w:tc>
        <w:tc>
          <w:tcPr>
            <w:tcW w:w="2466" w:type="dxa"/>
            <w:shd w:val="clear" w:color="auto" w:fill="auto"/>
            <w:hideMark/>
          </w:tcPr>
          <w:p w14:paraId="200AE4B7" w14:textId="77777777" w:rsidR="00A2124B" w:rsidRPr="009B0FF8" w:rsidRDefault="00A2124B" w:rsidP="008A5C11">
            <w:pPr>
              <w:ind w:left="-147" w:right="-147"/>
              <w:jc w:val="center"/>
              <w:rPr>
                <w:color w:val="000000"/>
              </w:rPr>
            </w:pPr>
            <w:r w:rsidRPr="009B0FF8">
              <w:rPr>
                <w:color w:val="000000"/>
              </w:rPr>
              <w:t>1 806 154</w:t>
            </w:r>
          </w:p>
        </w:tc>
      </w:tr>
      <w:tr w:rsidR="00A2124B" w:rsidRPr="00205367" w14:paraId="6A620BC4" w14:textId="77777777" w:rsidTr="001C56BD">
        <w:trPr>
          <w:trHeight w:val="276"/>
        </w:trPr>
        <w:tc>
          <w:tcPr>
            <w:tcW w:w="1297" w:type="dxa"/>
            <w:shd w:val="clear" w:color="auto" w:fill="auto"/>
            <w:vAlign w:val="center"/>
            <w:hideMark/>
          </w:tcPr>
          <w:p w14:paraId="3D4E0385" w14:textId="77777777" w:rsidR="00A2124B" w:rsidRPr="00205367" w:rsidRDefault="00A2124B" w:rsidP="008A5C11">
            <w:pPr>
              <w:jc w:val="center"/>
              <w:rPr>
                <w:color w:val="000000"/>
              </w:rPr>
            </w:pPr>
            <w:r w:rsidRPr="00205367">
              <w:rPr>
                <w:color w:val="000000"/>
              </w:rPr>
              <w:t>1.2.1.4.</w:t>
            </w:r>
          </w:p>
        </w:tc>
        <w:tc>
          <w:tcPr>
            <w:tcW w:w="4106" w:type="dxa"/>
            <w:shd w:val="clear" w:color="auto" w:fill="auto"/>
            <w:vAlign w:val="center"/>
            <w:hideMark/>
          </w:tcPr>
          <w:p w14:paraId="74E9DAF5" w14:textId="77777777" w:rsidR="00A2124B" w:rsidRPr="00205367" w:rsidRDefault="00A2124B" w:rsidP="008A5C11">
            <w:pPr>
              <w:rPr>
                <w:color w:val="000000"/>
              </w:rPr>
            </w:pPr>
            <w:r w:rsidRPr="00205367">
              <w:rPr>
                <w:color w:val="000000"/>
              </w:rPr>
              <w:t>1001-2000 м</w:t>
            </w:r>
          </w:p>
        </w:tc>
        <w:tc>
          <w:tcPr>
            <w:tcW w:w="1775" w:type="dxa"/>
            <w:vMerge/>
            <w:vAlign w:val="center"/>
            <w:hideMark/>
          </w:tcPr>
          <w:p w14:paraId="4A81DA72" w14:textId="77777777" w:rsidR="00A2124B" w:rsidRPr="00205367" w:rsidRDefault="00A2124B" w:rsidP="008A5C11">
            <w:pPr>
              <w:rPr>
                <w:color w:val="000000"/>
              </w:rPr>
            </w:pPr>
          </w:p>
        </w:tc>
        <w:tc>
          <w:tcPr>
            <w:tcW w:w="2466" w:type="dxa"/>
            <w:shd w:val="clear" w:color="auto" w:fill="auto"/>
            <w:hideMark/>
          </w:tcPr>
          <w:p w14:paraId="72A6218D" w14:textId="77777777" w:rsidR="00A2124B" w:rsidRPr="009B0FF8" w:rsidRDefault="00A2124B" w:rsidP="008A5C11">
            <w:pPr>
              <w:ind w:left="-147" w:right="-147"/>
              <w:jc w:val="center"/>
              <w:rPr>
                <w:color w:val="000000"/>
              </w:rPr>
            </w:pPr>
            <w:r w:rsidRPr="009B0FF8">
              <w:rPr>
                <w:color w:val="000000"/>
              </w:rPr>
              <w:t>2 600 515</w:t>
            </w:r>
          </w:p>
        </w:tc>
      </w:tr>
      <w:tr w:rsidR="00A2124B" w:rsidRPr="00205367" w14:paraId="656AC6F2" w14:textId="77777777" w:rsidTr="001C56BD">
        <w:trPr>
          <w:trHeight w:val="276"/>
        </w:trPr>
        <w:tc>
          <w:tcPr>
            <w:tcW w:w="1297" w:type="dxa"/>
            <w:shd w:val="clear" w:color="auto" w:fill="auto"/>
            <w:vAlign w:val="center"/>
            <w:hideMark/>
          </w:tcPr>
          <w:p w14:paraId="4E6A4D9F" w14:textId="77777777" w:rsidR="00A2124B" w:rsidRPr="00205367" w:rsidRDefault="00A2124B" w:rsidP="008A5C11">
            <w:pPr>
              <w:jc w:val="center"/>
              <w:rPr>
                <w:color w:val="000000"/>
              </w:rPr>
            </w:pPr>
            <w:r w:rsidRPr="00205367">
              <w:rPr>
                <w:color w:val="000000"/>
              </w:rPr>
              <w:t>1.2.1.5.</w:t>
            </w:r>
          </w:p>
        </w:tc>
        <w:tc>
          <w:tcPr>
            <w:tcW w:w="4106" w:type="dxa"/>
            <w:shd w:val="clear" w:color="auto" w:fill="auto"/>
            <w:vAlign w:val="center"/>
            <w:hideMark/>
          </w:tcPr>
          <w:p w14:paraId="5F30AA6C" w14:textId="77777777" w:rsidR="00A2124B" w:rsidRPr="00205367" w:rsidRDefault="00A2124B" w:rsidP="008A5C11">
            <w:pPr>
              <w:rPr>
                <w:color w:val="000000"/>
              </w:rPr>
            </w:pPr>
            <w:r w:rsidRPr="00205367">
              <w:rPr>
                <w:color w:val="000000"/>
              </w:rPr>
              <w:t>2001-3000 м</w:t>
            </w:r>
          </w:p>
        </w:tc>
        <w:tc>
          <w:tcPr>
            <w:tcW w:w="1775" w:type="dxa"/>
            <w:vMerge/>
            <w:vAlign w:val="center"/>
            <w:hideMark/>
          </w:tcPr>
          <w:p w14:paraId="6906CD05" w14:textId="77777777" w:rsidR="00A2124B" w:rsidRPr="00205367" w:rsidRDefault="00A2124B" w:rsidP="008A5C11">
            <w:pPr>
              <w:rPr>
                <w:color w:val="000000"/>
              </w:rPr>
            </w:pPr>
          </w:p>
        </w:tc>
        <w:tc>
          <w:tcPr>
            <w:tcW w:w="2466" w:type="dxa"/>
            <w:shd w:val="clear" w:color="auto" w:fill="auto"/>
            <w:hideMark/>
          </w:tcPr>
          <w:p w14:paraId="44F42636" w14:textId="77777777" w:rsidR="00A2124B" w:rsidRPr="009B0FF8" w:rsidRDefault="00A2124B" w:rsidP="008A5C11">
            <w:pPr>
              <w:ind w:left="-147" w:right="-147"/>
              <w:jc w:val="center"/>
              <w:rPr>
                <w:color w:val="000000"/>
              </w:rPr>
            </w:pPr>
            <w:r w:rsidRPr="009B0FF8">
              <w:rPr>
                <w:color w:val="000000"/>
              </w:rPr>
              <w:t>3 537 683</w:t>
            </w:r>
          </w:p>
        </w:tc>
      </w:tr>
      <w:tr w:rsidR="00A2124B" w:rsidRPr="00205367" w14:paraId="444142F7" w14:textId="77777777" w:rsidTr="001C56BD">
        <w:trPr>
          <w:trHeight w:val="276"/>
        </w:trPr>
        <w:tc>
          <w:tcPr>
            <w:tcW w:w="1297" w:type="dxa"/>
            <w:shd w:val="clear" w:color="auto" w:fill="auto"/>
            <w:vAlign w:val="center"/>
            <w:hideMark/>
          </w:tcPr>
          <w:p w14:paraId="4C5F303E" w14:textId="77777777" w:rsidR="00A2124B" w:rsidRPr="00205367" w:rsidRDefault="00A2124B" w:rsidP="008A5C11">
            <w:pPr>
              <w:jc w:val="center"/>
              <w:rPr>
                <w:color w:val="000000"/>
              </w:rPr>
            </w:pPr>
            <w:r w:rsidRPr="00205367">
              <w:rPr>
                <w:color w:val="000000"/>
              </w:rPr>
              <w:t>1.2.1.6.</w:t>
            </w:r>
          </w:p>
        </w:tc>
        <w:tc>
          <w:tcPr>
            <w:tcW w:w="4106" w:type="dxa"/>
            <w:shd w:val="clear" w:color="auto" w:fill="auto"/>
            <w:vAlign w:val="center"/>
            <w:hideMark/>
          </w:tcPr>
          <w:p w14:paraId="7ACA9DCD" w14:textId="77777777" w:rsidR="00A2124B" w:rsidRPr="00205367" w:rsidRDefault="00A2124B" w:rsidP="008A5C11">
            <w:pPr>
              <w:rPr>
                <w:color w:val="000000"/>
              </w:rPr>
            </w:pPr>
            <w:r w:rsidRPr="00205367">
              <w:rPr>
                <w:color w:val="000000"/>
              </w:rPr>
              <w:t>3001-4000 м</w:t>
            </w:r>
          </w:p>
        </w:tc>
        <w:tc>
          <w:tcPr>
            <w:tcW w:w="1775" w:type="dxa"/>
            <w:vMerge/>
            <w:vAlign w:val="center"/>
            <w:hideMark/>
          </w:tcPr>
          <w:p w14:paraId="4A14B529" w14:textId="77777777" w:rsidR="00A2124B" w:rsidRPr="00205367" w:rsidRDefault="00A2124B" w:rsidP="008A5C11">
            <w:pPr>
              <w:rPr>
                <w:color w:val="000000"/>
              </w:rPr>
            </w:pPr>
          </w:p>
        </w:tc>
        <w:tc>
          <w:tcPr>
            <w:tcW w:w="2466" w:type="dxa"/>
            <w:shd w:val="clear" w:color="auto" w:fill="auto"/>
            <w:hideMark/>
          </w:tcPr>
          <w:p w14:paraId="1776D11F" w14:textId="77777777" w:rsidR="00A2124B" w:rsidRPr="009B0FF8" w:rsidRDefault="00A2124B" w:rsidP="008A5C11">
            <w:pPr>
              <w:ind w:left="-147" w:right="-147"/>
              <w:jc w:val="center"/>
              <w:rPr>
                <w:color w:val="000000"/>
              </w:rPr>
            </w:pPr>
            <w:r w:rsidRPr="009B0FF8">
              <w:rPr>
                <w:color w:val="000000"/>
              </w:rPr>
              <w:t>4 364 366</w:t>
            </w:r>
          </w:p>
        </w:tc>
      </w:tr>
      <w:tr w:rsidR="00A2124B" w:rsidRPr="00205367" w14:paraId="69AEA570" w14:textId="77777777" w:rsidTr="001C56BD">
        <w:trPr>
          <w:trHeight w:val="276"/>
        </w:trPr>
        <w:tc>
          <w:tcPr>
            <w:tcW w:w="1297" w:type="dxa"/>
            <w:shd w:val="clear" w:color="auto" w:fill="auto"/>
            <w:vAlign w:val="center"/>
            <w:hideMark/>
          </w:tcPr>
          <w:p w14:paraId="16B2DA1F" w14:textId="77777777" w:rsidR="00A2124B" w:rsidRPr="00205367" w:rsidRDefault="00A2124B" w:rsidP="008A5C11">
            <w:pPr>
              <w:jc w:val="center"/>
              <w:rPr>
                <w:color w:val="000000"/>
              </w:rPr>
            </w:pPr>
            <w:r w:rsidRPr="00205367">
              <w:rPr>
                <w:color w:val="000000"/>
              </w:rPr>
              <w:t>1.2.1.7.</w:t>
            </w:r>
          </w:p>
        </w:tc>
        <w:tc>
          <w:tcPr>
            <w:tcW w:w="4106" w:type="dxa"/>
            <w:shd w:val="clear" w:color="auto" w:fill="auto"/>
            <w:vAlign w:val="center"/>
            <w:hideMark/>
          </w:tcPr>
          <w:p w14:paraId="66668950" w14:textId="77777777" w:rsidR="00A2124B" w:rsidRPr="00205367" w:rsidRDefault="00A2124B" w:rsidP="008A5C11">
            <w:pPr>
              <w:rPr>
                <w:color w:val="000000"/>
              </w:rPr>
            </w:pPr>
            <w:r w:rsidRPr="00205367">
              <w:rPr>
                <w:color w:val="000000"/>
              </w:rPr>
              <w:t>4001-5000 м</w:t>
            </w:r>
          </w:p>
        </w:tc>
        <w:tc>
          <w:tcPr>
            <w:tcW w:w="1775" w:type="dxa"/>
            <w:vMerge/>
            <w:vAlign w:val="center"/>
            <w:hideMark/>
          </w:tcPr>
          <w:p w14:paraId="06AEA8CB" w14:textId="77777777" w:rsidR="00A2124B" w:rsidRPr="00205367" w:rsidRDefault="00A2124B" w:rsidP="008A5C11">
            <w:pPr>
              <w:rPr>
                <w:color w:val="000000"/>
              </w:rPr>
            </w:pPr>
          </w:p>
        </w:tc>
        <w:tc>
          <w:tcPr>
            <w:tcW w:w="2466" w:type="dxa"/>
            <w:shd w:val="clear" w:color="auto" w:fill="auto"/>
            <w:hideMark/>
          </w:tcPr>
          <w:p w14:paraId="758E2858" w14:textId="77777777" w:rsidR="00A2124B" w:rsidRPr="009B0FF8" w:rsidRDefault="00A2124B" w:rsidP="008A5C11">
            <w:pPr>
              <w:ind w:left="-147" w:right="-147"/>
              <w:jc w:val="center"/>
              <w:rPr>
                <w:color w:val="000000"/>
              </w:rPr>
            </w:pPr>
            <w:r w:rsidRPr="009B0FF8">
              <w:rPr>
                <w:color w:val="000000"/>
              </w:rPr>
              <w:t>5 196 976</w:t>
            </w:r>
          </w:p>
        </w:tc>
      </w:tr>
      <w:tr w:rsidR="00A2124B" w:rsidRPr="00205367" w14:paraId="300846A6" w14:textId="77777777" w:rsidTr="001C56BD">
        <w:trPr>
          <w:trHeight w:val="276"/>
        </w:trPr>
        <w:tc>
          <w:tcPr>
            <w:tcW w:w="1297" w:type="dxa"/>
            <w:shd w:val="clear" w:color="auto" w:fill="auto"/>
            <w:vAlign w:val="center"/>
            <w:hideMark/>
          </w:tcPr>
          <w:p w14:paraId="6C0DA20F" w14:textId="77777777" w:rsidR="00A2124B" w:rsidRPr="00205367" w:rsidRDefault="00A2124B" w:rsidP="008A5C11">
            <w:pPr>
              <w:jc w:val="center"/>
              <w:rPr>
                <w:color w:val="000000"/>
              </w:rPr>
            </w:pPr>
            <w:r w:rsidRPr="00205367">
              <w:rPr>
                <w:color w:val="000000"/>
              </w:rPr>
              <w:t>1.2.1.8.</w:t>
            </w:r>
          </w:p>
        </w:tc>
        <w:tc>
          <w:tcPr>
            <w:tcW w:w="4106" w:type="dxa"/>
            <w:shd w:val="clear" w:color="auto" w:fill="auto"/>
            <w:vAlign w:val="center"/>
            <w:hideMark/>
          </w:tcPr>
          <w:p w14:paraId="620F1AA0" w14:textId="77777777" w:rsidR="00A2124B" w:rsidRPr="00205367" w:rsidRDefault="00A2124B" w:rsidP="008A5C11">
            <w:pPr>
              <w:rPr>
                <w:color w:val="000000"/>
              </w:rPr>
            </w:pPr>
            <w:r w:rsidRPr="00205367">
              <w:rPr>
                <w:color w:val="000000"/>
              </w:rPr>
              <w:t>5001 м и более</w:t>
            </w:r>
          </w:p>
        </w:tc>
        <w:tc>
          <w:tcPr>
            <w:tcW w:w="1775" w:type="dxa"/>
            <w:vMerge/>
            <w:vAlign w:val="center"/>
            <w:hideMark/>
          </w:tcPr>
          <w:p w14:paraId="787D4BA8" w14:textId="77777777" w:rsidR="00A2124B" w:rsidRPr="00205367" w:rsidRDefault="00A2124B" w:rsidP="008A5C11">
            <w:pPr>
              <w:rPr>
                <w:color w:val="000000"/>
              </w:rPr>
            </w:pPr>
          </w:p>
        </w:tc>
        <w:tc>
          <w:tcPr>
            <w:tcW w:w="2466" w:type="dxa"/>
            <w:shd w:val="clear" w:color="auto" w:fill="auto"/>
            <w:hideMark/>
          </w:tcPr>
          <w:p w14:paraId="79CC5C92" w14:textId="77777777" w:rsidR="00A2124B" w:rsidRPr="009B0FF8" w:rsidRDefault="00A2124B" w:rsidP="008A5C11">
            <w:pPr>
              <w:ind w:left="-147" w:right="-147"/>
              <w:jc w:val="center"/>
              <w:rPr>
                <w:color w:val="000000"/>
              </w:rPr>
            </w:pPr>
            <w:r w:rsidRPr="009B0FF8">
              <w:rPr>
                <w:color w:val="000000"/>
              </w:rPr>
              <w:t>5 507 079</w:t>
            </w:r>
          </w:p>
        </w:tc>
      </w:tr>
      <w:tr w:rsidR="00A2124B" w:rsidRPr="00205367" w14:paraId="20D405DC" w14:textId="77777777" w:rsidTr="001C56BD">
        <w:trPr>
          <w:trHeight w:val="248"/>
        </w:trPr>
        <w:tc>
          <w:tcPr>
            <w:tcW w:w="1297" w:type="dxa"/>
            <w:shd w:val="clear" w:color="auto" w:fill="auto"/>
            <w:vAlign w:val="center"/>
            <w:hideMark/>
          </w:tcPr>
          <w:p w14:paraId="488B20A7" w14:textId="77777777" w:rsidR="00A2124B" w:rsidRPr="00205367" w:rsidRDefault="00A2124B" w:rsidP="008A5C11">
            <w:pPr>
              <w:jc w:val="center"/>
              <w:rPr>
                <w:color w:val="000000"/>
              </w:rPr>
            </w:pPr>
            <w:r w:rsidRPr="00205367">
              <w:rPr>
                <w:color w:val="000000"/>
              </w:rPr>
              <w:t>1.2.2.</w:t>
            </w:r>
          </w:p>
        </w:tc>
        <w:tc>
          <w:tcPr>
            <w:tcW w:w="8347" w:type="dxa"/>
            <w:gridSpan w:val="3"/>
            <w:shd w:val="clear" w:color="auto" w:fill="auto"/>
            <w:vAlign w:val="center"/>
            <w:hideMark/>
          </w:tcPr>
          <w:p w14:paraId="1C70720C" w14:textId="77777777" w:rsidR="00A2124B" w:rsidRPr="00205367" w:rsidRDefault="00A2124B" w:rsidP="008A5C11">
            <w:pPr>
              <w:rPr>
                <w:color w:val="000000"/>
              </w:rPr>
            </w:pPr>
            <w:r w:rsidRPr="00205367">
              <w:rPr>
                <w:color w:val="000000"/>
              </w:rPr>
              <w:t>наружным диаметром 100 мм и более, протяженностью:</w:t>
            </w:r>
          </w:p>
        </w:tc>
      </w:tr>
      <w:tr w:rsidR="00A2124B" w:rsidRPr="00205367" w14:paraId="6DD62357" w14:textId="77777777" w:rsidTr="001C56BD">
        <w:trPr>
          <w:trHeight w:val="276"/>
        </w:trPr>
        <w:tc>
          <w:tcPr>
            <w:tcW w:w="1297" w:type="dxa"/>
            <w:shd w:val="clear" w:color="auto" w:fill="auto"/>
            <w:vAlign w:val="center"/>
            <w:hideMark/>
          </w:tcPr>
          <w:p w14:paraId="00F1980D" w14:textId="77777777" w:rsidR="00A2124B" w:rsidRPr="00205367" w:rsidRDefault="00A2124B" w:rsidP="008A5C11">
            <w:pPr>
              <w:jc w:val="center"/>
              <w:rPr>
                <w:color w:val="000000"/>
              </w:rPr>
            </w:pPr>
            <w:r w:rsidRPr="00205367">
              <w:rPr>
                <w:color w:val="000000"/>
              </w:rPr>
              <w:t>1.2.2.1.</w:t>
            </w:r>
          </w:p>
        </w:tc>
        <w:tc>
          <w:tcPr>
            <w:tcW w:w="4106" w:type="dxa"/>
            <w:shd w:val="clear" w:color="auto" w:fill="auto"/>
            <w:vAlign w:val="center"/>
            <w:hideMark/>
          </w:tcPr>
          <w:p w14:paraId="4F62D701" w14:textId="77777777" w:rsidR="00A2124B" w:rsidRPr="00205367" w:rsidRDefault="00A2124B" w:rsidP="008A5C11">
            <w:pPr>
              <w:rPr>
                <w:color w:val="000000"/>
              </w:rPr>
            </w:pPr>
            <w:r w:rsidRPr="00205367">
              <w:rPr>
                <w:color w:val="000000"/>
              </w:rPr>
              <w:t>до 100 м</w:t>
            </w:r>
          </w:p>
        </w:tc>
        <w:tc>
          <w:tcPr>
            <w:tcW w:w="1775" w:type="dxa"/>
            <w:vMerge w:val="restart"/>
            <w:shd w:val="clear" w:color="auto" w:fill="auto"/>
            <w:vAlign w:val="center"/>
            <w:hideMark/>
          </w:tcPr>
          <w:p w14:paraId="1DDF289E" w14:textId="77777777" w:rsidR="00A2124B" w:rsidRPr="00205367" w:rsidRDefault="00A2124B" w:rsidP="008A5C11">
            <w:pPr>
              <w:jc w:val="center"/>
              <w:rPr>
                <w:color w:val="000000"/>
              </w:rPr>
            </w:pPr>
            <w:r w:rsidRPr="00205367">
              <w:rPr>
                <w:color w:val="000000"/>
              </w:rPr>
              <w:t>руб.</w:t>
            </w:r>
            <w:r w:rsidRPr="00205367">
              <w:rPr>
                <w:color w:val="2D2D2D"/>
              </w:rPr>
              <w:t xml:space="preserve"> за 1 присоединение</w:t>
            </w:r>
          </w:p>
        </w:tc>
        <w:tc>
          <w:tcPr>
            <w:tcW w:w="2466" w:type="dxa"/>
            <w:shd w:val="clear" w:color="auto" w:fill="auto"/>
            <w:hideMark/>
          </w:tcPr>
          <w:p w14:paraId="1525FFE1" w14:textId="77777777" w:rsidR="00A2124B" w:rsidRPr="009B0FF8" w:rsidRDefault="00A2124B" w:rsidP="008A5C11">
            <w:pPr>
              <w:ind w:left="-147" w:right="-147"/>
              <w:jc w:val="center"/>
              <w:rPr>
                <w:color w:val="000000"/>
              </w:rPr>
            </w:pPr>
            <w:r w:rsidRPr="009B0FF8">
              <w:rPr>
                <w:color w:val="000000"/>
              </w:rPr>
              <w:t>386 234</w:t>
            </w:r>
          </w:p>
        </w:tc>
      </w:tr>
      <w:tr w:rsidR="00A2124B" w:rsidRPr="00205367" w14:paraId="1FFF358B" w14:textId="77777777" w:rsidTr="001C56BD">
        <w:trPr>
          <w:trHeight w:val="276"/>
        </w:trPr>
        <w:tc>
          <w:tcPr>
            <w:tcW w:w="1297" w:type="dxa"/>
            <w:shd w:val="clear" w:color="auto" w:fill="auto"/>
            <w:vAlign w:val="center"/>
            <w:hideMark/>
          </w:tcPr>
          <w:p w14:paraId="4B16C12F" w14:textId="77777777" w:rsidR="00A2124B" w:rsidRPr="00205367" w:rsidRDefault="00A2124B" w:rsidP="008A5C11">
            <w:pPr>
              <w:jc w:val="center"/>
              <w:rPr>
                <w:color w:val="000000"/>
              </w:rPr>
            </w:pPr>
            <w:r w:rsidRPr="00205367">
              <w:rPr>
                <w:color w:val="000000"/>
              </w:rPr>
              <w:t>1.2.2.2.</w:t>
            </w:r>
          </w:p>
        </w:tc>
        <w:tc>
          <w:tcPr>
            <w:tcW w:w="4106" w:type="dxa"/>
            <w:shd w:val="clear" w:color="auto" w:fill="auto"/>
            <w:vAlign w:val="center"/>
            <w:hideMark/>
          </w:tcPr>
          <w:p w14:paraId="42FDF639" w14:textId="77777777" w:rsidR="00A2124B" w:rsidRPr="00205367" w:rsidRDefault="00A2124B" w:rsidP="008A5C11">
            <w:pPr>
              <w:rPr>
                <w:color w:val="000000"/>
              </w:rPr>
            </w:pPr>
            <w:r w:rsidRPr="00205367">
              <w:rPr>
                <w:color w:val="000000"/>
              </w:rPr>
              <w:t>101-500 м</w:t>
            </w:r>
          </w:p>
        </w:tc>
        <w:tc>
          <w:tcPr>
            <w:tcW w:w="1775" w:type="dxa"/>
            <w:vMerge/>
            <w:vAlign w:val="center"/>
            <w:hideMark/>
          </w:tcPr>
          <w:p w14:paraId="23DBD3DB" w14:textId="77777777" w:rsidR="00A2124B" w:rsidRPr="00205367" w:rsidRDefault="00A2124B" w:rsidP="008A5C11">
            <w:pPr>
              <w:rPr>
                <w:color w:val="000000"/>
              </w:rPr>
            </w:pPr>
          </w:p>
        </w:tc>
        <w:tc>
          <w:tcPr>
            <w:tcW w:w="2466" w:type="dxa"/>
            <w:shd w:val="clear" w:color="auto" w:fill="auto"/>
            <w:hideMark/>
          </w:tcPr>
          <w:p w14:paraId="435B48A8" w14:textId="77777777" w:rsidR="00A2124B" w:rsidRPr="009B0FF8" w:rsidRDefault="00A2124B" w:rsidP="008A5C11">
            <w:pPr>
              <w:ind w:left="-147" w:right="-147"/>
              <w:jc w:val="center"/>
              <w:rPr>
                <w:color w:val="000000"/>
              </w:rPr>
            </w:pPr>
            <w:r w:rsidRPr="009B0FF8">
              <w:rPr>
                <w:color w:val="000000"/>
              </w:rPr>
              <w:t>388 288</w:t>
            </w:r>
          </w:p>
        </w:tc>
      </w:tr>
      <w:tr w:rsidR="00A2124B" w:rsidRPr="00205367" w14:paraId="09256021" w14:textId="77777777" w:rsidTr="001C56BD">
        <w:trPr>
          <w:trHeight w:val="276"/>
        </w:trPr>
        <w:tc>
          <w:tcPr>
            <w:tcW w:w="1297" w:type="dxa"/>
            <w:shd w:val="clear" w:color="auto" w:fill="auto"/>
            <w:vAlign w:val="center"/>
            <w:hideMark/>
          </w:tcPr>
          <w:p w14:paraId="1CB5C72D" w14:textId="77777777" w:rsidR="00A2124B" w:rsidRPr="00205367" w:rsidRDefault="00A2124B" w:rsidP="008A5C11">
            <w:pPr>
              <w:jc w:val="center"/>
              <w:rPr>
                <w:color w:val="000000"/>
              </w:rPr>
            </w:pPr>
            <w:r w:rsidRPr="00205367">
              <w:rPr>
                <w:color w:val="000000"/>
              </w:rPr>
              <w:t>1.2.2.3.</w:t>
            </w:r>
          </w:p>
        </w:tc>
        <w:tc>
          <w:tcPr>
            <w:tcW w:w="4106" w:type="dxa"/>
            <w:shd w:val="clear" w:color="auto" w:fill="auto"/>
            <w:vAlign w:val="center"/>
            <w:hideMark/>
          </w:tcPr>
          <w:p w14:paraId="04A6CD3D" w14:textId="77777777" w:rsidR="00A2124B" w:rsidRPr="00205367" w:rsidRDefault="00A2124B" w:rsidP="008A5C11">
            <w:pPr>
              <w:rPr>
                <w:color w:val="000000"/>
              </w:rPr>
            </w:pPr>
            <w:r w:rsidRPr="00205367">
              <w:rPr>
                <w:color w:val="000000"/>
              </w:rPr>
              <w:t>501-1000 м</w:t>
            </w:r>
          </w:p>
        </w:tc>
        <w:tc>
          <w:tcPr>
            <w:tcW w:w="1775" w:type="dxa"/>
            <w:vMerge/>
            <w:vAlign w:val="center"/>
            <w:hideMark/>
          </w:tcPr>
          <w:p w14:paraId="0E1C4001" w14:textId="77777777" w:rsidR="00A2124B" w:rsidRPr="00205367" w:rsidRDefault="00A2124B" w:rsidP="008A5C11">
            <w:pPr>
              <w:rPr>
                <w:color w:val="000000"/>
              </w:rPr>
            </w:pPr>
          </w:p>
        </w:tc>
        <w:tc>
          <w:tcPr>
            <w:tcW w:w="2466" w:type="dxa"/>
            <w:shd w:val="clear" w:color="auto" w:fill="auto"/>
            <w:hideMark/>
          </w:tcPr>
          <w:p w14:paraId="6CD02B98" w14:textId="77777777" w:rsidR="00A2124B" w:rsidRPr="009B0FF8" w:rsidRDefault="00A2124B" w:rsidP="008A5C11">
            <w:pPr>
              <w:ind w:left="-147" w:right="-147"/>
              <w:jc w:val="center"/>
              <w:rPr>
                <w:color w:val="000000"/>
              </w:rPr>
            </w:pPr>
            <w:r w:rsidRPr="009B0FF8">
              <w:rPr>
                <w:color w:val="000000"/>
              </w:rPr>
              <w:t>1 806 154</w:t>
            </w:r>
          </w:p>
        </w:tc>
      </w:tr>
      <w:tr w:rsidR="00A2124B" w:rsidRPr="00205367" w14:paraId="773DADDE" w14:textId="77777777" w:rsidTr="001C56BD">
        <w:trPr>
          <w:trHeight w:val="276"/>
        </w:trPr>
        <w:tc>
          <w:tcPr>
            <w:tcW w:w="1297" w:type="dxa"/>
            <w:shd w:val="clear" w:color="auto" w:fill="auto"/>
            <w:vAlign w:val="center"/>
            <w:hideMark/>
          </w:tcPr>
          <w:p w14:paraId="79E599D7" w14:textId="77777777" w:rsidR="00A2124B" w:rsidRPr="00205367" w:rsidRDefault="00A2124B" w:rsidP="008A5C11">
            <w:pPr>
              <w:jc w:val="center"/>
              <w:rPr>
                <w:color w:val="000000"/>
              </w:rPr>
            </w:pPr>
            <w:r w:rsidRPr="00205367">
              <w:rPr>
                <w:color w:val="000000"/>
              </w:rPr>
              <w:t>1.2.2.4.</w:t>
            </w:r>
          </w:p>
        </w:tc>
        <w:tc>
          <w:tcPr>
            <w:tcW w:w="4106" w:type="dxa"/>
            <w:shd w:val="clear" w:color="auto" w:fill="auto"/>
            <w:vAlign w:val="center"/>
            <w:hideMark/>
          </w:tcPr>
          <w:p w14:paraId="784BD4B9" w14:textId="77777777" w:rsidR="00A2124B" w:rsidRPr="00205367" w:rsidRDefault="00A2124B" w:rsidP="008A5C11">
            <w:pPr>
              <w:rPr>
                <w:color w:val="000000"/>
              </w:rPr>
            </w:pPr>
            <w:r w:rsidRPr="00205367">
              <w:rPr>
                <w:color w:val="000000"/>
              </w:rPr>
              <w:t>1001-2000 м</w:t>
            </w:r>
          </w:p>
        </w:tc>
        <w:tc>
          <w:tcPr>
            <w:tcW w:w="1775" w:type="dxa"/>
            <w:vMerge/>
            <w:vAlign w:val="center"/>
            <w:hideMark/>
          </w:tcPr>
          <w:p w14:paraId="102CB4B9" w14:textId="77777777" w:rsidR="00A2124B" w:rsidRPr="00205367" w:rsidRDefault="00A2124B" w:rsidP="008A5C11">
            <w:pPr>
              <w:rPr>
                <w:color w:val="000000"/>
              </w:rPr>
            </w:pPr>
          </w:p>
        </w:tc>
        <w:tc>
          <w:tcPr>
            <w:tcW w:w="2466" w:type="dxa"/>
            <w:shd w:val="clear" w:color="auto" w:fill="auto"/>
            <w:hideMark/>
          </w:tcPr>
          <w:p w14:paraId="1E1DC5E5" w14:textId="77777777" w:rsidR="00A2124B" w:rsidRPr="009B0FF8" w:rsidRDefault="00A2124B" w:rsidP="008A5C11">
            <w:pPr>
              <w:ind w:left="-147" w:right="-147"/>
              <w:jc w:val="center"/>
              <w:rPr>
                <w:color w:val="000000"/>
              </w:rPr>
            </w:pPr>
            <w:r w:rsidRPr="009B0FF8">
              <w:rPr>
                <w:color w:val="000000"/>
              </w:rPr>
              <w:t>2 600 515</w:t>
            </w:r>
          </w:p>
        </w:tc>
      </w:tr>
      <w:tr w:rsidR="00A2124B" w:rsidRPr="00205367" w14:paraId="7CD5D34B" w14:textId="77777777" w:rsidTr="001C56BD">
        <w:trPr>
          <w:trHeight w:val="276"/>
        </w:trPr>
        <w:tc>
          <w:tcPr>
            <w:tcW w:w="1297" w:type="dxa"/>
            <w:shd w:val="clear" w:color="auto" w:fill="auto"/>
            <w:vAlign w:val="center"/>
            <w:hideMark/>
          </w:tcPr>
          <w:p w14:paraId="14440906" w14:textId="77777777" w:rsidR="00A2124B" w:rsidRPr="00205367" w:rsidRDefault="00A2124B" w:rsidP="008A5C11">
            <w:pPr>
              <w:jc w:val="center"/>
              <w:rPr>
                <w:color w:val="000000"/>
              </w:rPr>
            </w:pPr>
            <w:r w:rsidRPr="00205367">
              <w:rPr>
                <w:color w:val="000000"/>
              </w:rPr>
              <w:t>1.2.2.5.</w:t>
            </w:r>
          </w:p>
        </w:tc>
        <w:tc>
          <w:tcPr>
            <w:tcW w:w="4106" w:type="dxa"/>
            <w:shd w:val="clear" w:color="auto" w:fill="auto"/>
            <w:vAlign w:val="center"/>
            <w:hideMark/>
          </w:tcPr>
          <w:p w14:paraId="111AE9E6" w14:textId="77777777" w:rsidR="00A2124B" w:rsidRPr="00205367" w:rsidRDefault="00A2124B" w:rsidP="008A5C11">
            <w:pPr>
              <w:rPr>
                <w:color w:val="000000"/>
              </w:rPr>
            </w:pPr>
            <w:r w:rsidRPr="00205367">
              <w:rPr>
                <w:color w:val="000000"/>
              </w:rPr>
              <w:t>2001-3000 м</w:t>
            </w:r>
          </w:p>
        </w:tc>
        <w:tc>
          <w:tcPr>
            <w:tcW w:w="1775" w:type="dxa"/>
            <w:vMerge/>
            <w:vAlign w:val="center"/>
            <w:hideMark/>
          </w:tcPr>
          <w:p w14:paraId="508BD14E" w14:textId="77777777" w:rsidR="00A2124B" w:rsidRPr="00205367" w:rsidRDefault="00A2124B" w:rsidP="008A5C11">
            <w:pPr>
              <w:rPr>
                <w:color w:val="000000"/>
              </w:rPr>
            </w:pPr>
          </w:p>
        </w:tc>
        <w:tc>
          <w:tcPr>
            <w:tcW w:w="2466" w:type="dxa"/>
            <w:shd w:val="clear" w:color="auto" w:fill="auto"/>
            <w:hideMark/>
          </w:tcPr>
          <w:p w14:paraId="1EE97262" w14:textId="77777777" w:rsidR="00A2124B" w:rsidRPr="009B0FF8" w:rsidRDefault="00A2124B" w:rsidP="008A5C11">
            <w:pPr>
              <w:ind w:left="-147" w:right="-147"/>
              <w:jc w:val="center"/>
              <w:rPr>
                <w:color w:val="000000"/>
              </w:rPr>
            </w:pPr>
            <w:r w:rsidRPr="009B0FF8">
              <w:rPr>
                <w:color w:val="000000"/>
              </w:rPr>
              <w:t>3 537 683</w:t>
            </w:r>
          </w:p>
        </w:tc>
      </w:tr>
      <w:tr w:rsidR="00A2124B" w:rsidRPr="00205367" w14:paraId="65F181F5" w14:textId="77777777" w:rsidTr="001C56BD">
        <w:trPr>
          <w:trHeight w:val="276"/>
        </w:trPr>
        <w:tc>
          <w:tcPr>
            <w:tcW w:w="1297" w:type="dxa"/>
            <w:shd w:val="clear" w:color="auto" w:fill="auto"/>
            <w:vAlign w:val="center"/>
            <w:hideMark/>
          </w:tcPr>
          <w:p w14:paraId="3217DF34" w14:textId="77777777" w:rsidR="00A2124B" w:rsidRPr="00205367" w:rsidRDefault="00A2124B" w:rsidP="008A5C11">
            <w:pPr>
              <w:jc w:val="center"/>
              <w:rPr>
                <w:color w:val="000000"/>
              </w:rPr>
            </w:pPr>
            <w:r w:rsidRPr="00205367">
              <w:rPr>
                <w:color w:val="000000"/>
              </w:rPr>
              <w:t>1.2.2.6.</w:t>
            </w:r>
          </w:p>
        </w:tc>
        <w:tc>
          <w:tcPr>
            <w:tcW w:w="4106" w:type="dxa"/>
            <w:shd w:val="clear" w:color="auto" w:fill="auto"/>
            <w:vAlign w:val="center"/>
            <w:hideMark/>
          </w:tcPr>
          <w:p w14:paraId="58DAAA93" w14:textId="77777777" w:rsidR="00A2124B" w:rsidRPr="00205367" w:rsidRDefault="00A2124B" w:rsidP="008A5C11">
            <w:pPr>
              <w:rPr>
                <w:color w:val="000000"/>
              </w:rPr>
            </w:pPr>
            <w:r w:rsidRPr="00205367">
              <w:rPr>
                <w:color w:val="000000"/>
              </w:rPr>
              <w:t>3001-4000 м</w:t>
            </w:r>
          </w:p>
        </w:tc>
        <w:tc>
          <w:tcPr>
            <w:tcW w:w="1775" w:type="dxa"/>
            <w:vMerge/>
            <w:vAlign w:val="center"/>
            <w:hideMark/>
          </w:tcPr>
          <w:p w14:paraId="57CEBDB1" w14:textId="77777777" w:rsidR="00A2124B" w:rsidRPr="00205367" w:rsidRDefault="00A2124B" w:rsidP="008A5C11">
            <w:pPr>
              <w:rPr>
                <w:color w:val="000000"/>
              </w:rPr>
            </w:pPr>
          </w:p>
        </w:tc>
        <w:tc>
          <w:tcPr>
            <w:tcW w:w="2466" w:type="dxa"/>
            <w:shd w:val="clear" w:color="auto" w:fill="auto"/>
            <w:hideMark/>
          </w:tcPr>
          <w:p w14:paraId="3150058B" w14:textId="77777777" w:rsidR="00A2124B" w:rsidRPr="009B0FF8" w:rsidRDefault="00A2124B" w:rsidP="008A5C11">
            <w:pPr>
              <w:ind w:left="-147" w:right="-147"/>
              <w:jc w:val="center"/>
              <w:rPr>
                <w:color w:val="000000"/>
              </w:rPr>
            </w:pPr>
            <w:r w:rsidRPr="009B0FF8">
              <w:rPr>
                <w:color w:val="000000"/>
              </w:rPr>
              <w:t>4 364 366</w:t>
            </w:r>
          </w:p>
        </w:tc>
      </w:tr>
      <w:tr w:rsidR="00A2124B" w:rsidRPr="00205367" w14:paraId="5FE4054B" w14:textId="77777777" w:rsidTr="001C56BD">
        <w:trPr>
          <w:trHeight w:val="276"/>
        </w:trPr>
        <w:tc>
          <w:tcPr>
            <w:tcW w:w="1297" w:type="dxa"/>
            <w:shd w:val="clear" w:color="auto" w:fill="auto"/>
            <w:vAlign w:val="center"/>
            <w:hideMark/>
          </w:tcPr>
          <w:p w14:paraId="7D137362" w14:textId="77777777" w:rsidR="00A2124B" w:rsidRPr="00205367" w:rsidRDefault="00A2124B" w:rsidP="008A5C11">
            <w:pPr>
              <w:jc w:val="center"/>
              <w:rPr>
                <w:color w:val="000000"/>
              </w:rPr>
            </w:pPr>
            <w:r w:rsidRPr="00205367">
              <w:rPr>
                <w:color w:val="000000"/>
              </w:rPr>
              <w:t>1.2.2.7.</w:t>
            </w:r>
          </w:p>
        </w:tc>
        <w:tc>
          <w:tcPr>
            <w:tcW w:w="4106" w:type="dxa"/>
            <w:shd w:val="clear" w:color="auto" w:fill="auto"/>
            <w:vAlign w:val="center"/>
            <w:hideMark/>
          </w:tcPr>
          <w:p w14:paraId="6E3E7F91" w14:textId="77777777" w:rsidR="00A2124B" w:rsidRPr="00205367" w:rsidRDefault="00A2124B" w:rsidP="008A5C11">
            <w:pPr>
              <w:rPr>
                <w:color w:val="000000"/>
              </w:rPr>
            </w:pPr>
            <w:r w:rsidRPr="00205367">
              <w:rPr>
                <w:color w:val="000000"/>
              </w:rPr>
              <w:t>4001-5000 м</w:t>
            </w:r>
          </w:p>
        </w:tc>
        <w:tc>
          <w:tcPr>
            <w:tcW w:w="1775" w:type="dxa"/>
            <w:vMerge/>
            <w:vAlign w:val="center"/>
            <w:hideMark/>
          </w:tcPr>
          <w:p w14:paraId="6EB0DF60" w14:textId="77777777" w:rsidR="00A2124B" w:rsidRPr="00205367" w:rsidRDefault="00A2124B" w:rsidP="008A5C11">
            <w:pPr>
              <w:rPr>
                <w:color w:val="000000"/>
              </w:rPr>
            </w:pPr>
          </w:p>
        </w:tc>
        <w:tc>
          <w:tcPr>
            <w:tcW w:w="2466" w:type="dxa"/>
            <w:shd w:val="clear" w:color="auto" w:fill="auto"/>
            <w:hideMark/>
          </w:tcPr>
          <w:p w14:paraId="12764FE7" w14:textId="77777777" w:rsidR="00A2124B" w:rsidRPr="009B0FF8" w:rsidRDefault="00A2124B" w:rsidP="008A5C11">
            <w:pPr>
              <w:ind w:left="-147" w:right="-147"/>
              <w:jc w:val="center"/>
              <w:rPr>
                <w:color w:val="000000"/>
              </w:rPr>
            </w:pPr>
            <w:r w:rsidRPr="009B0FF8">
              <w:rPr>
                <w:color w:val="000000"/>
              </w:rPr>
              <w:t>5 196 976</w:t>
            </w:r>
          </w:p>
        </w:tc>
      </w:tr>
      <w:tr w:rsidR="00A2124B" w:rsidRPr="00205367" w14:paraId="1D1F5563" w14:textId="77777777" w:rsidTr="001C56BD">
        <w:trPr>
          <w:trHeight w:val="61"/>
        </w:trPr>
        <w:tc>
          <w:tcPr>
            <w:tcW w:w="1297" w:type="dxa"/>
            <w:shd w:val="clear" w:color="auto" w:fill="auto"/>
            <w:vAlign w:val="center"/>
            <w:hideMark/>
          </w:tcPr>
          <w:p w14:paraId="49ABE6D0" w14:textId="77777777" w:rsidR="00A2124B" w:rsidRPr="00205367" w:rsidRDefault="00A2124B" w:rsidP="008A5C11">
            <w:pPr>
              <w:jc w:val="center"/>
              <w:rPr>
                <w:color w:val="000000"/>
              </w:rPr>
            </w:pPr>
            <w:r w:rsidRPr="00205367">
              <w:rPr>
                <w:color w:val="000000"/>
              </w:rPr>
              <w:t>1.2.2.8.</w:t>
            </w:r>
          </w:p>
        </w:tc>
        <w:tc>
          <w:tcPr>
            <w:tcW w:w="4106" w:type="dxa"/>
            <w:shd w:val="clear" w:color="auto" w:fill="auto"/>
            <w:vAlign w:val="center"/>
            <w:hideMark/>
          </w:tcPr>
          <w:p w14:paraId="62C287DC" w14:textId="77777777" w:rsidR="00A2124B" w:rsidRPr="00205367" w:rsidRDefault="00A2124B" w:rsidP="008A5C11">
            <w:pPr>
              <w:rPr>
                <w:color w:val="000000"/>
              </w:rPr>
            </w:pPr>
            <w:r w:rsidRPr="00205367">
              <w:rPr>
                <w:color w:val="000000"/>
              </w:rPr>
              <w:t>5001 м и более</w:t>
            </w:r>
          </w:p>
        </w:tc>
        <w:tc>
          <w:tcPr>
            <w:tcW w:w="1775" w:type="dxa"/>
            <w:vMerge/>
            <w:vAlign w:val="center"/>
            <w:hideMark/>
          </w:tcPr>
          <w:p w14:paraId="5BE2FC01" w14:textId="77777777" w:rsidR="00A2124B" w:rsidRPr="00205367" w:rsidRDefault="00A2124B" w:rsidP="008A5C11">
            <w:pPr>
              <w:rPr>
                <w:color w:val="000000"/>
              </w:rPr>
            </w:pPr>
          </w:p>
        </w:tc>
        <w:tc>
          <w:tcPr>
            <w:tcW w:w="2466" w:type="dxa"/>
            <w:shd w:val="clear" w:color="auto" w:fill="auto"/>
            <w:hideMark/>
          </w:tcPr>
          <w:p w14:paraId="2DEAA096" w14:textId="77777777" w:rsidR="00A2124B" w:rsidRPr="009B0FF8" w:rsidRDefault="00A2124B" w:rsidP="008A5C11">
            <w:pPr>
              <w:ind w:left="-147" w:right="-147"/>
              <w:jc w:val="center"/>
              <w:rPr>
                <w:color w:val="000000"/>
              </w:rPr>
            </w:pPr>
            <w:r w:rsidRPr="009B0FF8">
              <w:rPr>
                <w:color w:val="000000"/>
              </w:rPr>
              <w:t>8 025 673</w:t>
            </w:r>
          </w:p>
        </w:tc>
      </w:tr>
      <w:tr w:rsidR="00A2124B" w:rsidRPr="00205367" w14:paraId="069E8586" w14:textId="77777777" w:rsidTr="001C56BD">
        <w:trPr>
          <w:trHeight w:val="429"/>
        </w:trPr>
        <w:tc>
          <w:tcPr>
            <w:tcW w:w="1297" w:type="dxa"/>
            <w:shd w:val="clear" w:color="auto" w:fill="auto"/>
            <w:vAlign w:val="center"/>
            <w:hideMark/>
          </w:tcPr>
          <w:p w14:paraId="561B87F6" w14:textId="77777777" w:rsidR="00A2124B" w:rsidRPr="00205367" w:rsidRDefault="00A2124B" w:rsidP="008A5C11">
            <w:pPr>
              <w:jc w:val="center"/>
              <w:rPr>
                <w:color w:val="000000"/>
              </w:rPr>
            </w:pPr>
            <w:r w:rsidRPr="00205367">
              <w:rPr>
                <w:color w:val="000000"/>
              </w:rPr>
              <w:t>2.</w:t>
            </w:r>
          </w:p>
        </w:tc>
        <w:tc>
          <w:tcPr>
            <w:tcW w:w="8347" w:type="dxa"/>
            <w:gridSpan w:val="3"/>
            <w:shd w:val="clear" w:color="auto" w:fill="auto"/>
            <w:vAlign w:val="center"/>
            <w:hideMark/>
          </w:tcPr>
          <w:p w14:paraId="793BCFC4" w14:textId="77777777" w:rsidR="00A2124B" w:rsidRPr="00205367" w:rsidRDefault="00A2124B" w:rsidP="008A5C11">
            <w:pPr>
              <w:rPr>
                <w:color w:val="000000"/>
              </w:rPr>
            </w:pPr>
            <w:r w:rsidRPr="00205367">
              <w:rPr>
                <w:color w:val="000000"/>
              </w:rPr>
              <w:t>Размер стандартизированной тарифной ставки С</w:t>
            </w:r>
            <w:r w:rsidRPr="00205367">
              <w:rPr>
                <w:color w:val="000000"/>
                <w:vertAlign w:val="subscript"/>
              </w:rPr>
              <w:t>2</w:t>
            </w:r>
            <w:r w:rsidRPr="00205367">
              <w:rPr>
                <w:color w:val="000000"/>
              </w:rPr>
              <w:t xml:space="preserve"> на покрытие расходов газораспределительной организации, связанных со строительством стальных газопроводов</w:t>
            </w:r>
            <w:r>
              <w:rPr>
                <w:color w:val="000000"/>
              </w:rPr>
              <w:t xml:space="preserve"> </w:t>
            </w:r>
            <w:r w:rsidRPr="00960E53">
              <w:rPr>
                <w:color w:val="000000"/>
              </w:rPr>
              <w:t>(НДС не облагается, с налогом на прибыль)</w:t>
            </w:r>
            <w:r w:rsidRPr="00205367">
              <w:rPr>
                <w:color w:val="000000"/>
              </w:rPr>
              <w:t>:</w:t>
            </w:r>
          </w:p>
        </w:tc>
      </w:tr>
      <w:tr w:rsidR="00A2124B" w:rsidRPr="00205367" w14:paraId="1C5FDEA6" w14:textId="77777777" w:rsidTr="001C56BD">
        <w:trPr>
          <w:trHeight w:val="98"/>
        </w:trPr>
        <w:tc>
          <w:tcPr>
            <w:tcW w:w="1297" w:type="dxa"/>
            <w:shd w:val="clear" w:color="auto" w:fill="auto"/>
            <w:vAlign w:val="center"/>
            <w:hideMark/>
          </w:tcPr>
          <w:p w14:paraId="0A7507C7" w14:textId="77777777" w:rsidR="00A2124B" w:rsidRPr="00205367" w:rsidRDefault="00A2124B" w:rsidP="008A5C11">
            <w:pPr>
              <w:jc w:val="center"/>
              <w:rPr>
                <w:color w:val="000000"/>
              </w:rPr>
            </w:pPr>
            <w:r w:rsidRPr="00205367">
              <w:rPr>
                <w:color w:val="000000"/>
              </w:rPr>
              <w:t>2.1.</w:t>
            </w:r>
          </w:p>
        </w:tc>
        <w:tc>
          <w:tcPr>
            <w:tcW w:w="8347" w:type="dxa"/>
            <w:gridSpan w:val="3"/>
            <w:shd w:val="clear" w:color="auto" w:fill="auto"/>
            <w:vAlign w:val="center"/>
            <w:hideMark/>
          </w:tcPr>
          <w:p w14:paraId="46B80335" w14:textId="77777777" w:rsidR="00A2124B" w:rsidRPr="00205367" w:rsidRDefault="00A2124B" w:rsidP="008A5C11">
            <w:pPr>
              <w:rPr>
                <w:color w:val="000000"/>
              </w:rPr>
            </w:pPr>
            <w:r w:rsidRPr="00205367">
              <w:rPr>
                <w:color w:val="000000"/>
              </w:rPr>
              <w:t>наземного (надземного) способа прокладки, наружным диаметром:</w:t>
            </w:r>
          </w:p>
        </w:tc>
      </w:tr>
      <w:tr w:rsidR="00A2124B" w:rsidRPr="00205367" w14:paraId="4E19DF87" w14:textId="77777777" w:rsidTr="001C56BD">
        <w:trPr>
          <w:trHeight w:val="288"/>
        </w:trPr>
        <w:tc>
          <w:tcPr>
            <w:tcW w:w="1297" w:type="dxa"/>
            <w:shd w:val="clear" w:color="auto" w:fill="auto"/>
            <w:vAlign w:val="center"/>
          </w:tcPr>
          <w:p w14:paraId="24ED4A57" w14:textId="77777777" w:rsidR="00A2124B" w:rsidRPr="00205367" w:rsidRDefault="00A2124B" w:rsidP="008A5C11">
            <w:pPr>
              <w:jc w:val="center"/>
              <w:rPr>
                <w:color w:val="000000"/>
              </w:rPr>
            </w:pPr>
            <w:r w:rsidRPr="00205367">
              <w:rPr>
                <w:color w:val="000000"/>
              </w:rPr>
              <w:t>2.1.1.</w:t>
            </w:r>
          </w:p>
        </w:tc>
        <w:tc>
          <w:tcPr>
            <w:tcW w:w="4106" w:type="dxa"/>
            <w:shd w:val="clear" w:color="auto" w:fill="auto"/>
            <w:vAlign w:val="center"/>
          </w:tcPr>
          <w:p w14:paraId="3E49C2BF" w14:textId="77777777" w:rsidR="00A2124B" w:rsidRPr="00205367" w:rsidRDefault="00A2124B" w:rsidP="008A5C11">
            <w:pPr>
              <w:rPr>
                <w:color w:val="000000"/>
              </w:rPr>
            </w:pPr>
            <w:r>
              <w:rPr>
                <w:color w:val="000000"/>
              </w:rPr>
              <w:t>50 мм и менее</w:t>
            </w:r>
          </w:p>
        </w:tc>
        <w:tc>
          <w:tcPr>
            <w:tcW w:w="1775" w:type="dxa"/>
            <w:vMerge w:val="restart"/>
            <w:vAlign w:val="center"/>
          </w:tcPr>
          <w:p w14:paraId="2EC0FCBE" w14:textId="77777777" w:rsidR="00A2124B" w:rsidRPr="00205367" w:rsidRDefault="00A2124B" w:rsidP="008A5C11">
            <w:pPr>
              <w:jc w:val="center"/>
              <w:rPr>
                <w:color w:val="000000"/>
              </w:rPr>
            </w:pPr>
            <w:r w:rsidRPr="00205367">
              <w:rPr>
                <w:color w:val="000000"/>
              </w:rPr>
              <w:t>руб./км</w:t>
            </w:r>
          </w:p>
        </w:tc>
        <w:tc>
          <w:tcPr>
            <w:tcW w:w="2466" w:type="dxa"/>
            <w:shd w:val="clear" w:color="auto" w:fill="auto"/>
            <w:vAlign w:val="center"/>
          </w:tcPr>
          <w:p w14:paraId="3CACD951" w14:textId="77777777" w:rsidR="00A2124B" w:rsidRPr="009B0FF8" w:rsidRDefault="00A2124B" w:rsidP="008A5C11">
            <w:pPr>
              <w:ind w:left="-147" w:right="-147"/>
              <w:jc w:val="center"/>
              <w:rPr>
                <w:color w:val="000000"/>
              </w:rPr>
            </w:pPr>
            <w:r w:rsidRPr="009B0FF8">
              <w:rPr>
                <w:color w:val="000000"/>
              </w:rPr>
              <w:t>2 680 959</w:t>
            </w:r>
          </w:p>
        </w:tc>
      </w:tr>
      <w:tr w:rsidR="00A2124B" w:rsidRPr="00205367" w14:paraId="5E99D065" w14:textId="77777777" w:rsidTr="001C56BD">
        <w:trPr>
          <w:trHeight w:val="288"/>
        </w:trPr>
        <w:tc>
          <w:tcPr>
            <w:tcW w:w="1297" w:type="dxa"/>
            <w:shd w:val="clear" w:color="auto" w:fill="auto"/>
            <w:vAlign w:val="center"/>
            <w:hideMark/>
          </w:tcPr>
          <w:p w14:paraId="51A1157C" w14:textId="77777777" w:rsidR="00A2124B" w:rsidRPr="00205367" w:rsidRDefault="00A2124B" w:rsidP="008A5C11">
            <w:pPr>
              <w:jc w:val="center"/>
              <w:rPr>
                <w:color w:val="000000"/>
              </w:rPr>
            </w:pPr>
            <w:r w:rsidRPr="00205367">
              <w:rPr>
                <w:color w:val="000000"/>
              </w:rPr>
              <w:t>2.1.2.</w:t>
            </w:r>
          </w:p>
        </w:tc>
        <w:tc>
          <w:tcPr>
            <w:tcW w:w="4106" w:type="dxa"/>
            <w:shd w:val="clear" w:color="auto" w:fill="auto"/>
            <w:vAlign w:val="center"/>
            <w:hideMark/>
          </w:tcPr>
          <w:p w14:paraId="2BC20EEA" w14:textId="77777777" w:rsidR="00A2124B" w:rsidRPr="00205367" w:rsidRDefault="00A2124B" w:rsidP="008A5C11">
            <w:pPr>
              <w:rPr>
                <w:color w:val="000000"/>
              </w:rPr>
            </w:pPr>
            <w:r w:rsidRPr="00205367">
              <w:rPr>
                <w:color w:val="000000"/>
              </w:rPr>
              <w:t>51-100 мм</w:t>
            </w:r>
          </w:p>
        </w:tc>
        <w:tc>
          <w:tcPr>
            <w:tcW w:w="1775" w:type="dxa"/>
            <w:vMerge/>
            <w:vAlign w:val="center"/>
            <w:hideMark/>
          </w:tcPr>
          <w:p w14:paraId="4EC2EAD1" w14:textId="77777777" w:rsidR="00A2124B" w:rsidRPr="00205367" w:rsidRDefault="00A2124B" w:rsidP="008A5C11">
            <w:pPr>
              <w:jc w:val="center"/>
              <w:rPr>
                <w:color w:val="000000"/>
              </w:rPr>
            </w:pPr>
          </w:p>
        </w:tc>
        <w:tc>
          <w:tcPr>
            <w:tcW w:w="2466" w:type="dxa"/>
            <w:shd w:val="clear" w:color="auto" w:fill="auto"/>
            <w:vAlign w:val="center"/>
            <w:hideMark/>
          </w:tcPr>
          <w:p w14:paraId="26B73C87" w14:textId="77777777" w:rsidR="00A2124B" w:rsidRPr="009B0FF8" w:rsidRDefault="00A2124B" w:rsidP="008A5C11">
            <w:pPr>
              <w:ind w:left="-147" w:right="-147"/>
              <w:jc w:val="center"/>
              <w:rPr>
                <w:color w:val="000000"/>
              </w:rPr>
            </w:pPr>
            <w:r w:rsidRPr="009B0FF8">
              <w:rPr>
                <w:color w:val="000000"/>
              </w:rPr>
              <w:t>2 680 959</w:t>
            </w:r>
          </w:p>
        </w:tc>
      </w:tr>
      <w:tr w:rsidR="00A2124B" w:rsidRPr="00205367" w14:paraId="76B19ED0" w14:textId="77777777" w:rsidTr="001C56BD">
        <w:trPr>
          <w:trHeight w:val="288"/>
        </w:trPr>
        <w:tc>
          <w:tcPr>
            <w:tcW w:w="1297" w:type="dxa"/>
            <w:shd w:val="clear" w:color="auto" w:fill="auto"/>
            <w:vAlign w:val="center"/>
            <w:hideMark/>
          </w:tcPr>
          <w:p w14:paraId="4DDCAC39" w14:textId="77777777" w:rsidR="00A2124B" w:rsidRPr="00205367" w:rsidRDefault="00A2124B" w:rsidP="008A5C11">
            <w:pPr>
              <w:jc w:val="center"/>
              <w:rPr>
                <w:color w:val="000000"/>
              </w:rPr>
            </w:pPr>
            <w:r w:rsidRPr="00205367">
              <w:rPr>
                <w:color w:val="000000"/>
              </w:rPr>
              <w:t>2.1.3.</w:t>
            </w:r>
          </w:p>
        </w:tc>
        <w:tc>
          <w:tcPr>
            <w:tcW w:w="4106" w:type="dxa"/>
            <w:shd w:val="clear" w:color="auto" w:fill="auto"/>
            <w:vAlign w:val="center"/>
            <w:hideMark/>
          </w:tcPr>
          <w:p w14:paraId="25C7F860" w14:textId="77777777" w:rsidR="00A2124B" w:rsidRPr="00205367" w:rsidRDefault="00A2124B" w:rsidP="008A5C11">
            <w:pPr>
              <w:rPr>
                <w:color w:val="000000"/>
              </w:rPr>
            </w:pPr>
            <w:r w:rsidRPr="00205367">
              <w:rPr>
                <w:color w:val="000000"/>
              </w:rPr>
              <w:t>101-158 мм</w:t>
            </w:r>
          </w:p>
        </w:tc>
        <w:tc>
          <w:tcPr>
            <w:tcW w:w="1775" w:type="dxa"/>
            <w:vMerge/>
            <w:vAlign w:val="center"/>
            <w:hideMark/>
          </w:tcPr>
          <w:p w14:paraId="03904369" w14:textId="77777777" w:rsidR="00A2124B" w:rsidRPr="00205367" w:rsidRDefault="00A2124B" w:rsidP="008A5C11">
            <w:pPr>
              <w:rPr>
                <w:color w:val="000000"/>
              </w:rPr>
            </w:pPr>
          </w:p>
        </w:tc>
        <w:tc>
          <w:tcPr>
            <w:tcW w:w="2466" w:type="dxa"/>
            <w:shd w:val="clear" w:color="auto" w:fill="auto"/>
            <w:vAlign w:val="center"/>
            <w:hideMark/>
          </w:tcPr>
          <w:p w14:paraId="5076C007" w14:textId="77777777" w:rsidR="00A2124B" w:rsidRPr="009B0FF8" w:rsidRDefault="00A2124B" w:rsidP="008A5C11">
            <w:pPr>
              <w:ind w:left="-147" w:right="-147"/>
              <w:jc w:val="center"/>
              <w:rPr>
                <w:color w:val="000000"/>
              </w:rPr>
            </w:pPr>
            <w:r w:rsidRPr="009B0FF8">
              <w:rPr>
                <w:color w:val="000000"/>
              </w:rPr>
              <w:t>2 680 959</w:t>
            </w:r>
          </w:p>
        </w:tc>
      </w:tr>
      <w:tr w:rsidR="00A2124B" w:rsidRPr="00205367" w14:paraId="2192E063" w14:textId="77777777" w:rsidTr="001C56BD">
        <w:trPr>
          <w:trHeight w:val="288"/>
        </w:trPr>
        <w:tc>
          <w:tcPr>
            <w:tcW w:w="1297" w:type="dxa"/>
            <w:shd w:val="clear" w:color="auto" w:fill="auto"/>
            <w:vAlign w:val="center"/>
            <w:hideMark/>
          </w:tcPr>
          <w:p w14:paraId="17267C57" w14:textId="77777777" w:rsidR="00A2124B" w:rsidRPr="00205367" w:rsidRDefault="00A2124B" w:rsidP="008A5C11">
            <w:pPr>
              <w:jc w:val="center"/>
              <w:rPr>
                <w:color w:val="000000"/>
              </w:rPr>
            </w:pPr>
            <w:r w:rsidRPr="00205367">
              <w:rPr>
                <w:color w:val="000000"/>
              </w:rPr>
              <w:t>2.1.4.</w:t>
            </w:r>
          </w:p>
        </w:tc>
        <w:tc>
          <w:tcPr>
            <w:tcW w:w="4106" w:type="dxa"/>
            <w:shd w:val="clear" w:color="auto" w:fill="auto"/>
            <w:vAlign w:val="center"/>
            <w:hideMark/>
          </w:tcPr>
          <w:p w14:paraId="3A7CC2F0" w14:textId="77777777" w:rsidR="00A2124B" w:rsidRPr="00205367" w:rsidRDefault="00A2124B" w:rsidP="008A5C11">
            <w:pPr>
              <w:rPr>
                <w:color w:val="000000"/>
              </w:rPr>
            </w:pPr>
            <w:r w:rsidRPr="00205367">
              <w:rPr>
                <w:color w:val="000000"/>
              </w:rPr>
              <w:t>159-218 мм</w:t>
            </w:r>
          </w:p>
        </w:tc>
        <w:tc>
          <w:tcPr>
            <w:tcW w:w="1775" w:type="dxa"/>
            <w:vMerge/>
            <w:vAlign w:val="center"/>
            <w:hideMark/>
          </w:tcPr>
          <w:p w14:paraId="5F4F46E7" w14:textId="77777777" w:rsidR="00A2124B" w:rsidRPr="00205367" w:rsidRDefault="00A2124B" w:rsidP="008A5C11">
            <w:pPr>
              <w:rPr>
                <w:color w:val="000000"/>
              </w:rPr>
            </w:pPr>
          </w:p>
        </w:tc>
        <w:tc>
          <w:tcPr>
            <w:tcW w:w="2466" w:type="dxa"/>
            <w:shd w:val="clear" w:color="auto" w:fill="auto"/>
            <w:vAlign w:val="center"/>
            <w:hideMark/>
          </w:tcPr>
          <w:p w14:paraId="7F600453" w14:textId="77777777" w:rsidR="00A2124B" w:rsidRPr="009B0FF8" w:rsidRDefault="00A2124B" w:rsidP="008A5C11">
            <w:pPr>
              <w:ind w:left="-147" w:right="-147"/>
              <w:jc w:val="center"/>
              <w:rPr>
                <w:color w:val="000000"/>
              </w:rPr>
            </w:pPr>
            <w:r w:rsidRPr="009B0FF8">
              <w:rPr>
                <w:color w:val="000000"/>
              </w:rPr>
              <w:t>3 595 726</w:t>
            </w:r>
          </w:p>
        </w:tc>
      </w:tr>
      <w:tr w:rsidR="00A2124B" w:rsidRPr="00205367" w14:paraId="32FEE5D2" w14:textId="77777777" w:rsidTr="001C56BD">
        <w:trPr>
          <w:trHeight w:val="288"/>
        </w:trPr>
        <w:tc>
          <w:tcPr>
            <w:tcW w:w="1297" w:type="dxa"/>
            <w:shd w:val="clear" w:color="auto" w:fill="auto"/>
            <w:vAlign w:val="center"/>
            <w:hideMark/>
          </w:tcPr>
          <w:p w14:paraId="1AB6EFBD" w14:textId="77777777" w:rsidR="00A2124B" w:rsidRPr="00205367" w:rsidRDefault="00A2124B" w:rsidP="008A5C11">
            <w:pPr>
              <w:jc w:val="center"/>
              <w:rPr>
                <w:color w:val="000000"/>
              </w:rPr>
            </w:pPr>
            <w:r w:rsidRPr="00205367">
              <w:rPr>
                <w:color w:val="000000"/>
              </w:rPr>
              <w:t>2.1.5.</w:t>
            </w:r>
          </w:p>
        </w:tc>
        <w:tc>
          <w:tcPr>
            <w:tcW w:w="4106" w:type="dxa"/>
            <w:shd w:val="clear" w:color="auto" w:fill="auto"/>
            <w:vAlign w:val="center"/>
            <w:hideMark/>
          </w:tcPr>
          <w:p w14:paraId="7717DADB" w14:textId="77777777" w:rsidR="00A2124B" w:rsidRPr="00205367" w:rsidRDefault="00A2124B" w:rsidP="008A5C11">
            <w:pPr>
              <w:rPr>
                <w:color w:val="000000"/>
              </w:rPr>
            </w:pPr>
            <w:r w:rsidRPr="00205367">
              <w:rPr>
                <w:color w:val="000000"/>
              </w:rPr>
              <w:t>219-272 мм</w:t>
            </w:r>
          </w:p>
        </w:tc>
        <w:tc>
          <w:tcPr>
            <w:tcW w:w="1775" w:type="dxa"/>
            <w:vMerge/>
            <w:vAlign w:val="center"/>
            <w:hideMark/>
          </w:tcPr>
          <w:p w14:paraId="69340269" w14:textId="77777777" w:rsidR="00A2124B" w:rsidRPr="00205367" w:rsidRDefault="00A2124B" w:rsidP="008A5C11">
            <w:pPr>
              <w:rPr>
                <w:color w:val="000000"/>
              </w:rPr>
            </w:pPr>
          </w:p>
        </w:tc>
        <w:tc>
          <w:tcPr>
            <w:tcW w:w="2466" w:type="dxa"/>
            <w:shd w:val="clear" w:color="auto" w:fill="auto"/>
            <w:vAlign w:val="center"/>
            <w:hideMark/>
          </w:tcPr>
          <w:p w14:paraId="0B4D63EB" w14:textId="77777777" w:rsidR="00A2124B" w:rsidRPr="009B0FF8" w:rsidRDefault="00A2124B" w:rsidP="008A5C11">
            <w:pPr>
              <w:ind w:left="-147" w:right="-147"/>
              <w:jc w:val="center"/>
              <w:rPr>
                <w:color w:val="000000"/>
              </w:rPr>
            </w:pPr>
            <w:r w:rsidRPr="009B0FF8">
              <w:rPr>
                <w:color w:val="000000"/>
              </w:rPr>
              <w:t>4 903 516</w:t>
            </w:r>
          </w:p>
        </w:tc>
      </w:tr>
      <w:tr w:rsidR="00A2124B" w:rsidRPr="00205367" w14:paraId="356514DF" w14:textId="77777777" w:rsidTr="001C56BD">
        <w:trPr>
          <w:trHeight w:val="288"/>
        </w:trPr>
        <w:tc>
          <w:tcPr>
            <w:tcW w:w="1297" w:type="dxa"/>
            <w:shd w:val="clear" w:color="auto" w:fill="auto"/>
            <w:hideMark/>
          </w:tcPr>
          <w:p w14:paraId="77C36CA6" w14:textId="77777777" w:rsidR="00A2124B" w:rsidRPr="00205367" w:rsidRDefault="00A2124B" w:rsidP="008A5C11">
            <w:pPr>
              <w:jc w:val="center"/>
            </w:pPr>
            <w:r w:rsidRPr="00205367">
              <w:rPr>
                <w:color w:val="000000"/>
              </w:rPr>
              <w:t>2.1.6.</w:t>
            </w:r>
          </w:p>
        </w:tc>
        <w:tc>
          <w:tcPr>
            <w:tcW w:w="4106" w:type="dxa"/>
            <w:shd w:val="clear" w:color="auto" w:fill="auto"/>
            <w:vAlign w:val="center"/>
            <w:hideMark/>
          </w:tcPr>
          <w:p w14:paraId="1F2C0176" w14:textId="77777777" w:rsidR="00A2124B" w:rsidRPr="00205367" w:rsidRDefault="00A2124B" w:rsidP="008A5C11">
            <w:pPr>
              <w:rPr>
                <w:color w:val="000000"/>
              </w:rPr>
            </w:pPr>
            <w:r w:rsidRPr="00205367">
              <w:rPr>
                <w:color w:val="000000"/>
              </w:rPr>
              <w:t>273-324 мм</w:t>
            </w:r>
          </w:p>
        </w:tc>
        <w:tc>
          <w:tcPr>
            <w:tcW w:w="1775" w:type="dxa"/>
            <w:vMerge/>
            <w:vAlign w:val="center"/>
            <w:hideMark/>
          </w:tcPr>
          <w:p w14:paraId="7640C7BB" w14:textId="77777777" w:rsidR="00A2124B" w:rsidRPr="00205367" w:rsidRDefault="00A2124B" w:rsidP="008A5C11">
            <w:pPr>
              <w:rPr>
                <w:color w:val="000000"/>
              </w:rPr>
            </w:pPr>
          </w:p>
        </w:tc>
        <w:tc>
          <w:tcPr>
            <w:tcW w:w="2466" w:type="dxa"/>
            <w:shd w:val="clear" w:color="auto" w:fill="auto"/>
            <w:vAlign w:val="center"/>
            <w:hideMark/>
          </w:tcPr>
          <w:p w14:paraId="2E3B5628" w14:textId="77777777" w:rsidR="00A2124B" w:rsidRPr="009B0FF8" w:rsidRDefault="00A2124B" w:rsidP="008A5C11">
            <w:pPr>
              <w:ind w:left="-147" w:right="-147"/>
              <w:jc w:val="center"/>
              <w:rPr>
                <w:color w:val="000000"/>
              </w:rPr>
            </w:pPr>
            <w:r w:rsidRPr="009B0FF8">
              <w:rPr>
                <w:color w:val="000000"/>
              </w:rPr>
              <w:t>5 911 576</w:t>
            </w:r>
          </w:p>
        </w:tc>
      </w:tr>
      <w:tr w:rsidR="00A2124B" w:rsidRPr="00205367" w14:paraId="3766AD46" w14:textId="77777777" w:rsidTr="001C56BD">
        <w:trPr>
          <w:trHeight w:val="288"/>
        </w:trPr>
        <w:tc>
          <w:tcPr>
            <w:tcW w:w="1297" w:type="dxa"/>
            <w:shd w:val="clear" w:color="auto" w:fill="auto"/>
          </w:tcPr>
          <w:p w14:paraId="01DE8EC6" w14:textId="77777777" w:rsidR="00A2124B" w:rsidRPr="00205367" w:rsidRDefault="00A2124B" w:rsidP="008A5C11">
            <w:pPr>
              <w:jc w:val="center"/>
            </w:pPr>
            <w:r w:rsidRPr="00205367">
              <w:rPr>
                <w:color w:val="000000"/>
              </w:rPr>
              <w:t>2.1.7.</w:t>
            </w:r>
          </w:p>
        </w:tc>
        <w:tc>
          <w:tcPr>
            <w:tcW w:w="4106" w:type="dxa"/>
            <w:shd w:val="clear" w:color="auto" w:fill="auto"/>
            <w:vAlign w:val="center"/>
          </w:tcPr>
          <w:p w14:paraId="5217FAA6" w14:textId="77777777" w:rsidR="00A2124B" w:rsidRPr="00205367" w:rsidRDefault="00A2124B" w:rsidP="008A5C11">
            <w:pPr>
              <w:rPr>
                <w:color w:val="000000"/>
              </w:rPr>
            </w:pPr>
            <w:r w:rsidRPr="00205367">
              <w:rPr>
                <w:color w:val="000000"/>
              </w:rPr>
              <w:t>325-425 мм</w:t>
            </w:r>
          </w:p>
        </w:tc>
        <w:tc>
          <w:tcPr>
            <w:tcW w:w="1775" w:type="dxa"/>
            <w:vMerge/>
            <w:vAlign w:val="center"/>
          </w:tcPr>
          <w:p w14:paraId="7CF79F66" w14:textId="77777777" w:rsidR="00A2124B" w:rsidRPr="00205367" w:rsidRDefault="00A2124B" w:rsidP="008A5C11">
            <w:pPr>
              <w:rPr>
                <w:color w:val="000000"/>
              </w:rPr>
            </w:pPr>
          </w:p>
        </w:tc>
        <w:tc>
          <w:tcPr>
            <w:tcW w:w="2466" w:type="dxa"/>
            <w:shd w:val="clear" w:color="auto" w:fill="auto"/>
            <w:vAlign w:val="center"/>
          </w:tcPr>
          <w:p w14:paraId="42AB0EE1" w14:textId="77777777" w:rsidR="00A2124B" w:rsidRPr="009B0FF8" w:rsidRDefault="00A2124B" w:rsidP="008A5C11">
            <w:pPr>
              <w:ind w:left="-147" w:right="-147"/>
              <w:jc w:val="center"/>
              <w:rPr>
                <w:color w:val="000000"/>
              </w:rPr>
            </w:pPr>
            <w:r w:rsidRPr="009B0FF8">
              <w:rPr>
                <w:color w:val="000000"/>
              </w:rPr>
              <w:t>7 173 423</w:t>
            </w:r>
          </w:p>
        </w:tc>
      </w:tr>
      <w:tr w:rsidR="00A2124B" w:rsidRPr="00205367" w14:paraId="71B00FCC" w14:textId="77777777" w:rsidTr="001C56BD">
        <w:trPr>
          <w:trHeight w:val="288"/>
        </w:trPr>
        <w:tc>
          <w:tcPr>
            <w:tcW w:w="1297" w:type="dxa"/>
            <w:shd w:val="clear" w:color="auto" w:fill="auto"/>
          </w:tcPr>
          <w:p w14:paraId="7912209B" w14:textId="77777777" w:rsidR="00A2124B" w:rsidRPr="00205367" w:rsidRDefault="00A2124B" w:rsidP="008A5C11">
            <w:pPr>
              <w:jc w:val="center"/>
            </w:pPr>
            <w:r w:rsidRPr="00205367">
              <w:rPr>
                <w:color w:val="000000"/>
              </w:rPr>
              <w:t>2.1.8.</w:t>
            </w:r>
          </w:p>
        </w:tc>
        <w:tc>
          <w:tcPr>
            <w:tcW w:w="4106" w:type="dxa"/>
            <w:shd w:val="clear" w:color="auto" w:fill="auto"/>
            <w:vAlign w:val="center"/>
          </w:tcPr>
          <w:p w14:paraId="4779D3C4" w14:textId="77777777" w:rsidR="00A2124B" w:rsidRPr="00205367" w:rsidRDefault="00A2124B" w:rsidP="008A5C11">
            <w:pPr>
              <w:rPr>
                <w:color w:val="000000"/>
              </w:rPr>
            </w:pPr>
            <w:r w:rsidRPr="00205367">
              <w:rPr>
                <w:color w:val="000000"/>
              </w:rPr>
              <w:t>426-529 мм</w:t>
            </w:r>
          </w:p>
        </w:tc>
        <w:tc>
          <w:tcPr>
            <w:tcW w:w="1775" w:type="dxa"/>
            <w:vMerge/>
            <w:vAlign w:val="center"/>
          </w:tcPr>
          <w:p w14:paraId="27BDF0FA" w14:textId="77777777" w:rsidR="00A2124B" w:rsidRPr="00205367" w:rsidRDefault="00A2124B" w:rsidP="008A5C11">
            <w:pPr>
              <w:rPr>
                <w:color w:val="000000"/>
              </w:rPr>
            </w:pPr>
          </w:p>
        </w:tc>
        <w:tc>
          <w:tcPr>
            <w:tcW w:w="2466" w:type="dxa"/>
            <w:shd w:val="clear" w:color="auto" w:fill="auto"/>
            <w:vAlign w:val="center"/>
          </w:tcPr>
          <w:p w14:paraId="3CD27A71" w14:textId="77777777" w:rsidR="00A2124B" w:rsidRPr="009B0FF8" w:rsidRDefault="00A2124B" w:rsidP="008A5C11">
            <w:pPr>
              <w:ind w:left="-147" w:right="-147"/>
              <w:jc w:val="center"/>
              <w:rPr>
                <w:color w:val="000000"/>
              </w:rPr>
            </w:pPr>
            <w:r w:rsidRPr="009B0FF8">
              <w:rPr>
                <w:color w:val="000000"/>
              </w:rPr>
              <w:t>8 932 221</w:t>
            </w:r>
          </w:p>
        </w:tc>
      </w:tr>
      <w:tr w:rsidR="00A2124B" w:rsidRPr="00205367" w14:paraId="47963C56" w14:textId="77777777" w:rsidTr="001C56BD">
        <w:trPr>
          <w:trHeight w:val="288"/>
        </w:trPr>
        <w:tc>
          <w:tcPr>
            <w:tcW w:w="1297" w:type="dxa"/>
            <w:shd w:val="clear" w:color="auto" w:fill="auto"/>
          </w:tcPr>
          <w:p w14:paraId="0A5B01A5" w14:textId="77777777" w:rsidR="00A2124B" w:rsidRPr="00205367" w:rsidRDefault="00A2124B" w:rsidP="008A5C11">
            <w:pPr>
              <w:jc w:val="center"/>
            </w:pPr>
            <w:r w:rsidRPr="00205367">
              <w:rPr>
                <w:color w:val="000000"/>
              </w:rPr>
              <w:t>2.1.</w:t>
            </w:r>
            <w:r>
              <w:rPr>
                <w:color w:val="000000"/>
              </w:rPr>
              <w:t>9</w:t>
            </w:r>
            <w:r w:rsidRPr="00205367">
              <w:rPr>
                <w:color w:val="000000"/>
              </w:rPr>
              <w:t>.</w:t>
            </w:r>
          </w:p>
        </w:tc>
        <w:tc>
          <w:tcPr>
            <w:tcW w:w="4106" w:type="dxa"/>
            <w:shd w:val="clear" w:color="auto" w:fill="auto"/>
            <w:vAlign w:val="center"/>
          </w:tcPr>
          <w:p w14:paraId="605AC638" w14:textId="77777777" w:rsidR="00A2124B" w:rsidRPr="00205367" w:rsidRDefault="00A2124B" w:rsidP="008A5C11">
            <w:pPr>
              <w:rPr>
                <w:color w:val="000000"/>
              </w:rPr>
            </w:pPr>
            <w:r w:rsidRPr="00205367">
              <w:rPr>
                <w:color w:val="000000"/>
              </w:rPr>
              <w:t>530 мм и выше</w:t>
            </w:r>
          </w:p>
        </w:tc>
        <w:tc>
          <w:tcPr>
            <w:tcW w:w="1775" w:type="dxa"/>
            <w:vMerge/>
            <w:vAlign w:val="center"/>
          </w:tcPr>
          <w:p w14:paraId="157343CA" w14:textId="77777777" w:rsidR="00A2124B" w:rsidRPr="00205367" w:rsidRDefault="00A2124B" w:rsidP="008A5C11">
            <w:pPr>
              <w:rPr>
                <w:color w:val="000000"/>
              </w:rPr>
            </w:pPr>
          </w:p>
        </w:tc>
        <w:tc>
          <w:tcPr>
            <w:tcW w:w="2466" w:type="dxa"/>
            <w:shd w:val="clear" w:color="auto" w:fill="auto"/>
            <w:vAlign w:val="center"/>
          </w:tcPr>
          <w:p w14:paraId="01FC5003" w14:textId="77777777" w:rsidR="00A2124B" w:rsidRPr="009B0FF8" w:rsidRDefault="00A2124B" w:rsidP="008A5C11">
            <w:pPr>
              <w:ind w:left="-147" w:right="-147"/>
              <w:jc w:val="center"/>
              <w:rPr>
                <w:color w:val="000000"/>
              </w:rPr>
            </w:pPr>
            <w:r w:rsidRPr="009B0FF8">
              <w:rPr>
                <w:color w:val="000000"/>
              </w:rPr>
              <w:t>12 003 732</w:t>
            </w:r>
          </w:p>
        </w:tc>
      </w:tr>
      <w:tr w:rsidR="00A2124B" w:rsidRPr="00205367" w14:paraId="5DA72C57" w14:textId="77777777" w:rsidTr="001C56BD">
        <w:trPr>
          <w:trHeight w:val="254"/>
        </w:trPr>
        <w:tc>
          <w:tcPr>
            <w:tcW w:w="1297" w:type="dxa"/>
            <w:shd w:val="clear" w:color="auto" w:fill="auto"/>
            <w:vAlign w:val="center"/>
            <w:hideMark/>
          </w:tcPr>
          <w:p w14:paraId="69958064" w14:textId="77777777" w:rsidR="00A2124B" w:rsidRPr="00205367" w:rsidRDefault="00A2124B" w:rsidP="008A5C11">
            <w:pPr>
              <w:jc w:val="center"/>
              <w:rPr>
                <w:color w:val="000000"/>
              </w:rPr>
            </w:pPr>
            <w:r w:rsidRPr="00205367">
              <w:rPr>
                <w:color w:val="000000"/>
              </w:rPr>
              <w:t>2.2.</w:t>
            </w:r>
          </w:p>
        </w:tc>
        <w:tc>
          <w:tcPr>
            <w:tcW w:w="8347" w:type="dxa"/>
            <w:gridSpan w:val="3"/>
            <w:shd w:val="clear" w:color="auto" w:fill="auto"/>
            <w:vAlign w:val="center"/>
            <w:hideMark/>
          </w:tcPr>
          <w:p w14:paraId="276B624F" w14:textId="77777777" w:rsidR="00A2124B" w:rsidRPr="00205367" w:rsidRDefault="00A2124B" w:rsidP="008A5C11">
            <w:pPr>
              <w:rPr>
                <w:color w:val="000000"/>
              </w:rPr>
            </w:pPr>
            <w:r w:rsidRPr="00205367">
              <w:rPr>
                <w:color w:val="000000"/>
              </w:rPr>
              <w:t>подземного способа прокладки, наружным диаметром:</w:t>
            </w:r>
          </w:p>
        </w:tc>
      </w:tr>
      <w:tr w:rsidR="00A2124B" w:rsidRPr="00205367" w14:paraId="0356CF41" w14:textId="77777777" w:rsidTr="001C56BD">
        <w:trPr>
          <w:trHeight w:val="264"/>
        </w:trPr>
        <w:tc>
          <w:tcPr>
            <w:tcW w:w="1297" w:type="dxa"/>
            <w:shd w:val="clear" w:color="auto" w:fill="auto"/>
            <w:vAlign w:val="center"/>
          </w:tcPr>
          <w:p w14:paraId="715CF5EC" w14:textId="77777777" w:rsidR="00A2124B" w:rsidRPr="00205367" w:rsidRDefault="00A2124B" w:rsidP="008A5C11">
            <w:pPr>
              <w:jc w:val="center"/>
              <w:rPr>
                <w:color w:val="000000"/>
              </w:rPr>
            </w:pPr>
            <w:r w:rsidRPr="00205367">
              <w:rPr>
                <w:color w:val="000000"/>
              </w:rPr>
              <w:t>2.2.1.</w:t>
            </w:r>
          </w:p>
        </w:tc>
        <w:tc>
          <w:tcPr>
            <w:tcW w:w="4106" w:type="dxa"/>
            <w:shd w:val="clear" w:color="auto" w:fill="auto"/>
            <w:vAlign w:val="center"/>
          </w:tcPr>
          <w:p w14:paraId="1653434B" w14:textId="77777777" w:rsidR="00A2124B" w:rsidRPr="00205367" w:rsidRDefault="00A2124B" w:rsidP="008A5C11">
            <w:pPr>
              <w:rPr>
                <w:color w:val="000000"/>
              </w:rPr>
            </w:pPr>
            <w:r w:rsidRPr="00275952">
              <w:rPr>
                <w:color w:val="000000"/>
              </w:rPr>
              <w:t>50 мм и менее</w:t>
            </w:r>
          </w:p>
        </w:tc>
        <w:tc>
          <w:tcPr>
            <w:tcW w:w="1775" w:type="dxa"/>
            <w:vMerge w:val="restart"/>
            <w:vAlign w:val="center"/>
          </w:tcPr>
          <w:p w14:paraId="13493EBC" w14:textId="77777777" w:rsidR="00A2124B" w:rsidRPr="00205367" w:rsidRDefault="00A2124B" w:rsidP="008A5C11">
            <w:pPr>
              <w:jc w:val="center"/>
              <w:rPr>
                <w:color w:val="000000"/>
              </w:rPr>
            </w:pPr>
            <w:r w:rsidRPr="00205367">
              <w:rPr>
                <w:color w:val="000000"/>
              </w:rPr>
              <w:t>руб./км</w:t>
            </w:r>
          </w:p>
        </w:tc>
        <w:tc>
          <w:tcPr>
            <w:tcW w:w="2466" w:type="dxa"/>
            <w:shd w:val="clear" w:color="auto" w:fill="auto"/>
            <w:vAlign w:val="center"/>
          </w:tcPr>
          <w:p w14:paraId="7BF86565" w14:textId="77777777" w:rsidR="00A2124B" w:rsidRPr="009B0FF8" w:rsidRDefault="00A2124B" w:rsidP="008A5C11">
            <w:pPr>
              <w:ind w:left="-147" w:right="-147"/>
              <w:jc w:val="center"/>
              <w:rPr>
                <w:color w:val="000000"/>
              </w:rPr>
            </w:pPr>
            <w:r w:rsidRPr="009B0FF8">
              <w:rPr>
                <w:color w:val="000000"/>
              </w:rPr>
              <w:t>3 582 563</w:t>
            </w:r>
          </w:p>
        </w:tc>
      </w:tr>
      <w:tr w:rsidR="00A2124B" w:rsidRPr="00205367" w14:paraId="60DFCF0C" w14:textId="77777777" w:rsidTr="001C56BD">
        <w:trPr>
          <w:trHeight w:val="264"/>
        </w:trPr>
        <w:tc>
          <w:tcPr>
            <w:tcW w:w="1297" w:type="dxa"/>
            <w:shd w:val="clear" w:color="auto" w:fill="auto"/>
            <w:vAlign w:val="center"/>
            <w:hideMark/>
          </w:tcPr>
          <w:p w14:paraId="345991F5" w14:textId="77777777" w:rsidR="00A2124B" w:rsidRPr="00205367" w:rsidRDefault="00A2124B" w:rsidP="008A5C11">
            <w:pPr>
              <w:jc w:val="center"/>
              <w:rPr>
                <w:color w:val="000000"/>
              </w:rPr>
            </w:pPr>
            <w:r w:rsidRPr="00205367">
              <w:rPr>
                <w:color w:val="000000"/>
              </w:rPr>
              <w:t>2.2.2.</w:t>
            </w:r>
          </w:p>
        </w:tc>
        <w:tc>
          <w:tcPr>
            <w:tcW w:w="4106" w:type="dxa"/>
            <w:shd w:val="clear" w:color="auto" w:fill="auto"/>
            <w:vAlign w:val="center"/>
            <w:hideMark/>
          </w:tcPr>
          <w:p w14:paraId="6B413752" w14:textId="77777777" w:rsidR="00A2124B" w:rsidRPr="00205367" w:rsidRDefault="00A2124B" w:rsidP="008A5C11">
            <w:pPr>
              <w:rPr>
                <w:color w:val="000000"/>
              </w:rPr>
            </w:pPr>
            <w:r w:rsidRPr="00205367">
              <w:rPr>
                <w:color w:val="000000"/>
              </w:rPr>
              <w:t>51-100 мм</w:t>
            </w:r>
          </w:p>
        </w:tc>
        <w:tc>
          <w:tcPr>
            <w:tcW w:w="1775" w:type="dxa"/>
            <w:vMerge/>
            <w:vAlign w:val="center"/>
            <w:hideMark/>
          </w:tcPr>
          <w:p w14:paraId="3FF44464" w14:textId="77777777" w:rsidR="00A2124B" w:rsidRPr="00205367" w:rsidRDefault="00A2124B" w:rsidP="008A5C11">
            <w:pPr>
              <w:jc w:val="center"/>
              <w:rPr>
                <w:color w:val="000000"/>
              </w:rPr>
            </w:pPr>
          </w:p>
        </w:tc>
        <w:tc>
          <w:tcPr>
            <w:tcW w:w="2466" w:type="dxa"/>
            <w:shd w:val="clear" w:color="auto" w:fill="auto"/>
            <w:vAlign w:val="center"/>
            <w:hideMark/>
          </w:tcPr>
          <w:p w14:paraId="18F0970F" w14:textId="77777777" w:rsidR="00A2124B" w:rsidRPr="009B0FF8" w:rsidRDefault="00A2124B" w:rsidP="008A5C11">
            <w:pPr>
              <w:ind w:left="-147" w:right="-147"/>
              <w:jc w:val="center"/>
              <w:rPr>
                <w:color w:val="000000"/>
              </w:rPr>
            </w:pPr>
            <w:r w:rsidRPr="009B0FF8">
              <w:rPr>
                <w:color w:val="000000"/>
              </w:rPr>
              <w:t>3 582 563</w:t>
            </w:r>
          </w:p>
        </w:tc>
      </w:tr>
      <w:tr w:rsidR="00A2124B" w:rsidRPr="00205367" w14:paraId="49DB9103" w14:textId="77777777" w:rsidTr="001C56BD">
        <w:trPr>
          <w:trHeight w:val="264"/>
        </w:trPr>
        <w:tc>
          <w:tcPr>
            <w:tcW w:w="1297" w:type="dxa"/>
            <w:shd w:val="clear" w:color="auto" w:fill="auto"/>
            <w:vAlign w:val="center"/>
            <w:hideMark/>
          </w:tcPr>
          <w:p w14:paraId="0516ECD5" w14:textId="77777777" w:rsidR="00A2124B" w:rsidRPr="00205367" w:rsidRDefault="00A2124B" w:rsidP="008A5C11">
            <w:pPr>
              <w:jc w:val="center"/>
              <w:rPr>
                <w:color w:val="000000"/>
              </w:rPr>
            </w:pPr>
            <w:r w:rsidRPr="00205367">
              <w:rPr>
                <w:color w:val="000000"/>
              </w:rPr>
              <w:t>2.2.3.</w:t>
            </w:r>
          </w:p>
        </w:tc>
        <w:tc>
          <w:tcPr>
            <w:tcW w:w="4106" w:type="dxa"/>
            <w:shd w:val="clear" w:color="auto" w:fill="auto"/>
            <w:vAlign w:val="center"/>
            <w:hideMark/>
          </w:tcPr>
          <w:p w14:paraId="5B886950" w14:textId="77777777" w:rsidR="00A2124B" w:rsidRPr="00205367" w:rsidRDefault="00A2124B" w:rsidP="008A5C11">
            <w:pPr>
              <w:rPr>
                <w:color w:val="000000"/>
              </w:rPr>
            </w:pPr>
            <w:r w:rsidRPr="00205367">
              <w:rPr>
                <w:color w:val="000000"/>
              </w:rPr>
              <w:t>101-158 мм</w:t>
            </w:r>
          </w:p>
        </w:tc>
        <w:tc>
          <w:tcPr>
            <w:tcW w:w="1775" w:type="dxa"/>
            <w:vMerge/>
            <w:vAlign w:val="center"/>
            <w:hideMark/>
          </w:tcPr>
          <w:p w14:paraId="1B3D1C46" w14:textId="77777777" w:rsidR="00A2124B" w:rsidRPr="00205367" w:rsidRDefault="00A2124B" w:rsidP="008A5C11">
            <w:pPr>
              <w:rPr>
                <w:color w:val="000000"/>
              </w:rPr>
            </w:pPr>
          </w:p>
        </w:tc>
        <w:tc>
          <w:tcPr>
            <w:tcW w:w="2466" w:type="dxa"/>
            <w:shd w:val="clear" w:color="auto" w:fill="auto"/>
            <w:vAlign w:val="center"/>
            <w:hideMark/>
          </w:tcPr>
          <w:p w14:paraId="127266B9" w14:textId="77777777" w:rsidR="00A2124B" w:rsidRPr="009B0FF8" w:rsidRDefault="00A2124B" w:rsidP="008A5C11">
            <w:pPr>
              <w:ind w:left="-147" w:right="-147"/>
              <w:jc w:val="center"/>
              <w:rPr>
                <w:color w:val="000000"/>
              </w:rPr>
            </w:pPr>
            <w:r w:rsidRPr="009B0FF8">
              <w:rPr>
                <w:color w:val="000000"/>
              </w:rPr>
              <w:t>3 582 563</w:t>
            </w:r>
          </w:p>
        </w:tc>
      </w:tr>
      <w:tr w:rsidR="00A2124B" w:rsidRPr="00205367" w14:paraId="04A0EF24" w14:textId="77777777" w:rsidTr="001C56BD">
        <w:trPr>
          <w:trHeight w:val="264"/>
        </w:trPr>
        <w:tc>
          <w:tcPr>
            <w:tcW w:w="1297" w:type="dxa"/>
            <w:shd w:val="clear" w:color="auto" w:fill="auto"/>
            <w:vAlign w:val="center"/>
            <w:hideMark/>
          </w:tcPr>
          <w:p w14:paraId="0756F6B6" w14:textId="77777777" w:rsidR="00A2124B" w:rsidRPr="00205367" w:rsidRDefault="00A2124B" w:rsidP="008A5C11">
            <w:pPr>
              <w:jc w:val="center"/>
              <w:rPr>
                <w:color w:val="000000"/>
              </w:rPr>
            </w:pPr>
            <w:r w:rsidRPr="00205367">
              <w:rPr>
                <w:color w:val="000000"/>
              </w:rPr>
              <w:t>2.2.4.</w:t>
            </w:r>
          </w:p>
        </w:tc>
        <w:tc>
          <w:tcPr>
            <w:tcW w:w="4106" w:type="dxa"/>
            <w:shd w:val="clear" w:color="auto" w:fill="auto"/>
            <w:vAlign w:val="center"/>
            <w:hideMark/>
          </w:tcPr>
          <w:p w14:paraId="2E4356B2" w14:textId="77777777" w:rsidR="00A2124B" w:rsidRPr="00205367" w:rsidRDefault="00A2124B" w:rsidP="008A5C11">
            <w:pPr>
              <w:rPr>
                <w:color w:val="000000"/>
              </w:rPr>
            </w:pPr>
            <w:r w:rsidRPr="00205367">
              <w:rPr>
                <w:color w:val="000000"/>
              </w:rPr>
              <w:t>159-218 мм</w:t>
            </w:r>
          </w:p>
        </w:tc>
        <w:tc>
          <w:tcPr>
            <w:tcW w:w="1775" w:type="dxa"/>
            <w:vMerge/>
            <w:vAlign w:val="center"/>
            <w:hideMark/>
          </w:tcPr>
          <w:p w14:paraId="6861B571" w14:textId="77777777" w:rsidR="00A2124B" w:rsidRPr="00205367" w:rsidRDefault="00A2124B" w:rsidP="008A5C11">
            <w:pPr>
              <w:rPr>
                <w:color w:val="000000"/>
              </w:rPr>
            </w:pPr>
          </w:p>
        </w:tc>
        <w:tc>
          <w:tcPr>
            <w:tcW w:w="2466" w:type="dxa"/>
            <w:shd w:val="clear" w:color="auto" w:fill="auto"/>
            <w:vAlign w:val="center"/>
            <w:hideMark/>
          </w:tcPr>
          <w:p w14:paraId="077A9489" w14:textId="77777777" w:rsidR="00A2124B" w:rsidRPr="009B0FF8" w:rsidRDefault="00A2124B" w:rsidP="008A5C11">
            <w:pPr>
              <w:ind w:left="-147" w:right="-147"/>
              <w:jc w:val="center"/>
              <w:rPr>
                <w:color w:val="000000"/>
              </w:rPr>
            </w:pPr>
            <w:r w:rsidRPr="009B0FF8">
              <w:rPr>
                <w:color w:val="000000"/>
              </w:rPr>
              <w:t>4 235 743</w:t>
            </w:r>
          </w:p>
        </w:tc>
      </w:tr>
      <w:tr w:rsidR="00A2124B" w:rsidRPr="00205367" w14:paraId="0FCA5573" w14:textId="77777777" w:rsidTr="001C56BD">
        <w:trPr>
          <w:trHeight w:val="264"/>
        </w:trPr>
        <w:tc>
          <w:tcPr>
            <w:tcW w:w="1297" w:type="dxa"/>
            <w:shd w:val="clear" w:color="auto" w:fill="auto"/>
            <w:vAlign w:val="center"/>
            <w:hideMark/>
          </w:tcPr>
          <w:p w14:paraId="2D02E15D" w14:textId="77777777" w:rsidR="00A2124B" w:rsidRPr="00205367" w:rsidRDefault="00A2124B" w:rsidP="008A5C11">
            <w:pPr>
              <w:jc w:val="center"/>
              <w:rPr>
                <w:color w:val="000000"/>
              </w:rPr>
            </w:pPr>
            <w:r w:rsidRPr="00205367">
              <w:rPr>
                <w:color w:val="000000"/>
              </w:rPr>
              <w:t>2.2.5.</w:t>
            </w:r>
          </w:p>
        </w:tc>
        <w:tc>
          <w:tcPr>
            <w:tcW w:w="4106" w:type="dxa"/>
            <w:shd w:val="clear" w:color="auto" w:fill="auto"/>
            <w:vAlign w:val="center"/>
            <w:hideMark/>
          </w:tcPr>
          <w:p w14:paraId="628C89D8" w14:textId="77777777" w:rsidR="00A2124B" w:rsidRPr="00205367" w:rsidRDefault="00A2124B" w:rsidP="008A5C11">
            <w:pPr>
              <w:rPr>
                <w:color w:val="000000"/>
              </w:rPr>
            </w:pPr>
            <w:r w:rsidRPr="00205367">
              <w:rPr>
                <w:color w:val="000000"/>
              </w:rPr>
              <w:t>219-272 мм</w:t>
            </w:r>
          </w:p>
        </w:tc>
        <w:tc>
          <w:tcPr>
            <w:tcW w:w="1775" w:type="dxa"/>
            <w:vMerge/>
            <w:vAlign w:val="center"/>
            <w:hideMark/>
          </w:tcPr>
          <w:p w14:paraId="4491143C" w14:textId="77777777" w:rsidR="00A2124B" w:rsidRPr="00205367" w:rsidRDefault="00A2124B" w:rsidP="008A5C11">
            <w:pPr>
              <w:rPr>
                <w:color w:val="000000"/>
              </w:rPr>
            </w:pPr>
          </w:p>
        </w:tc>
        <w:tc>
          <w:tcPr>
            <w:tcW w:w="2466" w:type="dxa"/>
            <w:shd w:val="clear" w:color="auto" w:fill="auto"/>
            <w:vAlign w:val="center"/>
            <w:hideMark/>
          </w:tcPr>
          <w:p w14:paraId="0CC229CD" w14:textId="77777777" w:rsidR="00A2124B" w:rsidRPr="009B0FF8" w:rsidRDefault="00A2124B" w:rsidP="008A5C11">
            <w:pPr>
              <w:ind w:left="-147" w:right="-147"/>
              <w:jc w:val="center"/>
              <w:rPr>
                <w:color w:val="000000"/>
              </w:rPr>
            </w:pPr>
            <w:r w:rsidRPr="009B0FF8">
              <w:rPr>
                <w:color w:val="000000"/>
              </w:rPr>
              <w:t>5 691 483</w:t>
            </w:r>
          </w:p>
        </w:tc>
      </w:tr>
      <w:tr w:rsidR="00A2124B" w:rsidRPr="00205367" w14:paraId="3F3D085B" w14:textId="77777777" w:rsidTr="001C56BD">
        <w:trPr>
          <w:trHeight w:val="264"/>
        </w:trPr>
        <w:tc>
          <w:tcPr>
            <w:tcW w:w="1297" w:type="dxa"/>
            <w:shd w:val="clear" w:color="auto" w:fill="auto"/>
            <w:vAlign w:val="center"/>
            <w:hideMark/>
          </w:tcPr>
          <w:p w14:paraId="603CC430" w14:textId="77777777" w:rsidR="00A2124B" w:rsidRPr="00205367" w:rsidRDefault="00A2124B" w:rsidP="008A5C11">
            <w:pPr>
              <w:jc w:val="center"/>
              <w:rPr>
                <w:color w:val="000000"/>
              </w:rPr>
            </w:pPr>
            <w:r w:rsidRPr="00205367">
              <w:rPr>
                <w:color w:val="000000"/>
              </w:rPr>
              <w:t>2.2.6.</w:t>
            </w:r>
          </w:p>
        </w:tc>
        <w:tc>
          <w:tcPr>
            <w:tcW w:w="4106" w:type="dxa"/>
            <w:shd w:val="clear" w:color="auto" w:fill="auto"/>
            <w:vAlign w:val="center"/>
            <w:hideMark/>
          </w:tcPr>
          <w:p w14:paraId="163F541C" w14:textId="77777777" w:rsidR="00A2124B" w:rsidRPr="00205367" w:rsidRDefault="00A2124B" w:rsidP="008A5C11">
            <w:pPr>
              <w:rPr>
                <w:color w:val="000000"/>
              </w:rPr>
            </w:pPr>
            <w:r w:rsidRPr="00205367">
              <w:rPr>
                <w:color w:val="000000"/>
              </w:rPr>
              <w:t>273-324 мм</w:t>
            </w:r>
          </w:p>
        </w:tc>
        <w:tc>
          <w:tcPr>
            <w:tcW w:w="1775" w:type="dxa"/>
            <w:vMerge/>
            <w:vAlign w:val="center"/>
            <w:hideMark/>
          </w:tcPr>
          <w:p w14:paraId="168A7484" w14:textId="77777777" w:rsidR="00A2124B" w:rsidRPr="00205367" w:rsidRDefault="00A2124B" w:rsidP="008A5C11">
            <w:pPr>
              <w:rPr>
                <w:color w:val="000000"/>
              </w:rPr>
            </w:pPr>
          </w:p>
        </w:tc>
        <w:tc>
          <w:tcPr>
            <w:tcW w:w="2466" w:type="dxa"/>
            <w:shd w:val="clear" w:color="auto" w:fill="auto"/>
            <w:vAlign w:val="center"/>
            <w:hideMark/>
          </w:tcPr>
          <w:p w14:paraId="58A4A439" w14:textId="77777777" w:rsidR="00A2124B" w:rsidRPr="009B0FF8" w:rsidRDefault="00A2124B" w:rsidP="008A5C11">
            <w:pPr>
              <w:ind w:left="-147" w:right="-147"/>
              <w:jc w:val="center"/>
              <w:rPr>
                <w:color w:val="000000"/>
              </w:rPr>
            </w:pPr>
            <w:r w:rsidRPr="009B0FF8">
              <w:rPr>
                <w:color w:val="000000"/>
              </w:rPr>
              <w:t>6 446 580</w:t>
            </w:r>
          </w:p>
        </w:tc>
      </w:tr>
      <w:tr w:rsidR="00A2124B" w:rsidRPr="00205367" w14:paraId="56C603DF" w14:textId="77777777" w:rsidTr="001C56BD">
        <w:trPr>
          <w:trHeight w:val="264"/>
        </w:trPr>
        <w:tc>
          <w:tcPr>
            <w:tcW w:w="1297" w:type="dxa"/>
            <w:shd w:val="clear" w:color="auto" w:fill="auto"/>
            <w:hideMark/>
          </w:tcPr>
          <w:p w14:paraId="2376693F" w14:textId="77777777" w:rsidR="00A2124B" w:rsidRPr="00205367" w:rsidRDefault="00A2124B" w:rsidP="008A5C11">
            <w:pPr>
              <w:jc w:val="center"/>
            </w:pPr>
            <w:r w:rsidRPr="00205367">
              <w:rPr>
                <w:color w:val="000000"/>
              </w:rPr>
              <w:t>2.2.7.</w:t>
            </w:r>
          </w:p>
        </w:tc>
        <w:tc>
          <w:tcPr>
            <w:tcW w:w="4106" w:type="dxa"/>
            <w:shd w:val="clear" w:color="auto" w:fill="auto"/>
            <w:vAlign w:val="center"/>
            <w:hideMark/>
          </w:tcPr>
          <w:p w14:paraId="10B055BB" w14:textId="77777777" w:rsidR="00A2124B" w:rsidRPr="00205367" w:rsidRDefault="00A2124B" w:rsidP="008A5C11">
            <w:pPr>
              <w:rPr>
                <w:color w:val="000000"/>
              </w:rPr>
            </w:pPr>
            <w:r w:rsidRPr="00205367">
              <w:rPr>
                <w:color w:val="000000"/>
              </w:rPr>
              <w:t>325-425 мм</w:t>
            </w:r>
          </w:p>
        </w:tc>
        <w:tc>
          <w:tcPr>
            <w:tcW w:w="1775" w:type="dxa"/>
            <w:vMerge/>
            <w:vAlign w:val="center"/>
            <w:hideMark/>
          </w:tcPr>
          <w:p w14:paraId="57D5911E" w14:textId="77777777" w:rsidR="00A2124B" w:rsidRPr="00205367" w:rsidRDefault="00A2124B" w:rsidP="008A5C11">
            <w:pPr>
              <w:rPr>
                <w:color w:val="000000"/>
              </w:rPr>
            </w:pPr>
          </w:p>
        </w:tc>
        <w:tc>
          <w:tcPr>
            <w:tcW w:w="2466" w:type="dxa"/>
            <w:shd w:val="clear" w:color="auto" w:fill="auto"/>
            <w:vAlign w:val="center"/>
            <w:hideMark/>
          </w:tcPr>
          <w:p w14:paraId="372D0FDB" w14:textId="77777777" w:rsidR="00A2124B" w:rsidRPr="009B0FF8" w:rsidRDefault="00A2124B" w:rsidP="008A5C11">
            <w:pPr>
              <w:ind w:left="-147" w:right="-147"/>
              <w:jc w:val="center"/>
              <w:rPr>
                <w:color w:val="000000"/>
              </w:rPr>
            </w:pPr>
            <w:r w:rsidRPr="009B0FF8">
              <w:rPr>
                <w:color w:val="000000"/>
              </w:rPr>
              <w:t>8 136 587</w:t>
            </w:r>
          </w:p>
        </w:tc>
      </w:tr>
      <w:tr w:rsidR="00A2124B" w:rsidRPr="00205367" w14:paraId="23047C8E" w14:textId="77777777" w:rsidTr="001C56BD">
        <w:trPr>
          <w:trHeight w:val="264"/>
        </w:trPr>
        <w:tc>
          <w:tcPr>
            <w:tcW w:w="1297" w:type="dxa"/>
            <w:shd w:val="clear" w:color="auto" w:fill="auto"/>
          </w:tcPr>
          <w:p w14:paraId="058F6E83" w14:textId="77777777" w:rsidR="00A2124B" w:rsidRPr="00205367" w:rsidRDefault="00A2124B" w:rsidP="008A5C11">
            <w:pPr>
              <w:jc w:val="center"/>
            </w:pPr>
            <w:r w:rsidRPr="00205367">
              <w:rPr>
                <w:color w:val="000000"/>
              </w:rPr>
              <w:t>2.2.8.</w:t>
            </w:r>
          </w:p>
        </w:tc>
        <w:tc>
          <w:tcPr>
            <w:tcW w:w="4106" w:type="dxa"/>
            <w:shd w:val="clear" w:color="auto" w:fill="auto"/>
            <w:vAlign w:val="center"/>
          </w:tcPr>
          <w:p w14:paraId="6A8F4BAA" w14:textId="77777777" w:rsidR="00A2124B" w:rsidRPr="00205367" w:rsidRDefault="00A2124B" w:rsidP="008A5C11">
            <w:pPr>
              <w:rPr>
                <w:color w:val="000000"/>
              </w:rPr>
            </w:pPr>
            <w:r w:rsidRPr="00205367">
              <w:rPr>
                <w:color w:val="000000"/>
              </w:rPr>
              <w:t>426-529 мм</w:t>
            </w:r>
          </w:p>
        </w:tc>
        <w:tc>
          <w:tcPr>
            <w:tcW w:w="1775" w:type="dxa"/>
            <w:vMerge/>
            <w:vAlign w:val="center"/>
          </w:tcPr>
          <w:p w14:paraId="16569BD1" w14:textId="77777777" w:rsidR="00A2124B" w:rsidRPr="00205367" w:rsidRDefault="00A2124B" w:rsidP="008A5C11">
            <w:pPr>
              <w:rPr>
                <w:color w:val="000000"/>
              </w:rPr>
            </w:pPr>
          </w:p>
        </w:tc>
        <w:tc>
          <w:tcPr>
            <w:tcW w:w="2466" w:type="dxa"/>
            <w:shd w:val="clear" w:color="auto" w:fill="auto"/>
            <w:vAlign w:val="center"/>
          </w:tcPr>
          <w:p w14:paraId="13A4595A" w14:textId="77777777" w:rsidR="00A2124B" w:rsidRPr="009B0FF8" w:rsidRDefault="00A2124B" w:rsidP="008A5C11">
            <w:pPr>
              <w:ind w:left="-147" w:right="-147"/>
              <w:jc w:val="center"/>
              <w:rPr>
                <w:color w:val="000000"/>
              </w:rPr>
            </w:pPr>
            <w:r w:rsidRPr="009B0FF8">
              <w:rPr>
                <w:color w:val="000000"/>
              </w:rPr>
              <w:t>9 349 116</w:t>
            </w:r>
          </w:p>
        </w:tc>
      </w:tr>
      <w:tr w:rsidR="00A2124B" w:rsidRPr="00205367" w14:paraId="20DC5448" w14:textId="77777777" w:rsidTr="001C56BD">
        <w:trPr>
          <w:trHeight w:val="60"/>
        </w:trPr>
        <w:tc>
          <w:tcPr>
            <w:tcW w:w="1297" w:type="dxa"/>
            <w:shd w:val="clear" w:color="auto" w:fill="auto"/>
          </w:tcPr>
          <w:p w14:paraId="7E2B2986" w14:textId="77777777" w:rsidR="00A2124B" w:rsidRPr="00205367" w:rsidRDefault="00A2124B" w:rsidP="008A5C11">
            <w:pPr>
              <w:jc w:val="center"/>
            </w:pPr>
            <w:r w:rsidRPr="00205367">
              <w:rPr>
                <w:color w:val="000000"/>
              </w:rPr>
              <w:t>2.2.</w:t>
            </w:r>
            <w:r>
              <w:rPr>
                <w:color w:val="000000"/>
              </w:rPr>
              <w:t>9</w:t>
            </w:r>
            <w:r w:rsidRPr="00205367">
              <w:rPr>
                <w:color w:val="000000"/>
              </w:rPr>
              <w:t>.</w:t>
            </w:r>
          </w:p>
        </w:tc>
        <w:tc>
          <w:tcPr>
            <w:tcW w:w="4106" w:type="dxa"/>
            <w:shd w:val="clear" w:color="auto" w:fill="auto"/>
            <w:vAlign w:val="center"/>
          </w:tcPr>
          <w:p w14:paraId="58E506FE" w14:textId="77777777" w:rsidR="00A2124B" w:rsidRPr="00205367" w:rsidRDefault="00A2124B" w:rsidP="008A5C11">
            <w:pPr>
              <w:rPr>
                <w:color w:val="000000"/>
              </w:rPr>
            </w:pPr>
            <w:r w:rsidRPr="00205367">
              <w:rPr>
                <w:color w:val="000000"/>
              </w:rPr>
              <w:t>530 мм и выше</w:t>
            </w:r>
          </w:p>
        </w:tc>
        <w:tc>
          <w:tcPr>
            <w:tcW w:w="1775" w:type="dxa"/>
            <w:vMerge/>
            <w:vAlign w:val="center"/>
          </w:tcPr>
          <w:p w14:paraId="654A2E4A" w14:textId="77777777" w:rsidR="00A2124B" w:rsidRPr="00205367" w:rsidRDefault="00A2124B" w:rsidP="008A5C11">
            <w:pPr>
              <w:rPr>
                <w:color w:val="000000"/>
              </w:rPr>
            </w:pPr>
          </w:p>
        </w:tc>
        <w:tc>
          <w:tcPr>
            <w:tcW w:w="2466" w:type="dxa"/>
            <w:shd w:val="clear" w:color="auto" w:fill="auto"/>
            <w:vAlign w:val="center"/>
          </w:tcPr>
          <w:p w14:paraId="69DEBBED" w14:textId="77777777" w:rsidR="00A2124B" w:rsidRPr="009B0FF8" w:rsidRDefault="00A2124B" w:rsidP="008A5C11">
            <w:pPr>
              <w:ind w:left="-147" w:right="-147"/>
              <w:jc w:val="center"/>
              <w:rPr>
                <w:color w:val="000000"/>
              </w:rPr>
            </w:pPr>
            <w:r w:rsidRPr="009B0FF8">
              <w:rPr>
                <w:color w:val="000000"/>
              </w:rPr>
              <w:t>11 801 185</w:t>
            </w:r>
          </w:p>
        </w:tc>
      </w:tr>
      <w:tr w:rsidR="00A2124B" w:rsidRPr="00205367" w14:paraId="039CF02A" w14:textId="77777777" w:rsidTr="001C56BD">
        <w:trPr>
          <w:trHeight w:val="933"/>
        </w:trPr>
        <w:tc>
          <w:tcPr>
            <w:tcW w:w="1297" w:type="dxa"/>
            <w:shd w:val="clear" w:color="auto" w:fill="auto"/>
            <w:vAlign w:val="center"/>
            <w:hideMark/>
          </w:tcPr>
          <w:p w14:paraId="3F9A1830" w14:textId="77777777" w:rsidR="00A2124B" w:rsidRPr="00205367" w:rsidRDefault="00A2124B" w:rsidP="008A5C11">
            <w:pPr>
              <w:jc w:val="center"/>
              <w:rPr>
                <w:color w:val="000000"/>
              </w:rPr>
            </w:pPr>
            <w:r w:rsidRPr="00205367">
              <w:rPr>
                <w:color w:val="000000"/>
              </w:rPr>
              <w:t>3.</w:t>
            </w:r>
          </w:p>
        </w:tc>
        <w:tc>
          <w:tcPr>
            <w:tcW w:w="8347" w:type="dxa"/>
            <w:gridSpan w:val="3"/>
            <w:shd w:val="clear" w:color="auto" w:fill="auto"/>
            <w:vAlign w:val="center"/>
            <w:hideMark/>
          </w:tcPr>
          <w:p w14:paraId="159EAE99" w14:textId="77777777" w:rsidR="00A2124B" w:rsidRPr="00205367" w:rsidRDefault="00A2124B" w:rsidP="008A5C11">
            <w:pPr>
              <w:rPr>
                <w:color w:val="000000"/>
              </w:rPr>
            </w:pPr>
            <w:r w:rsidRPr="00205367">
              <w:rPr>
                <w:color w:val="000000"/>
              </w:rPr>
              <w:t>Размер стандартизированной тарифной ставки С</w:t>
            </w:r>
            <w:r w:rsidRPr="00205367">
              <w:rPr>
                <w:color w:val="000000"/>
                <w:vertAlign w:val="subscript"/>
              </w:rPr>
              <w:t xml:space="preserve">3 </w:t>
            </w:r>
            <w:r w:rsidRPr="00205367">
              <w:rPr>
                <w:color w:val="000000"/>
              </w:rPr>
              <w:t xml:space="preserve">на покрытие расходов газораспределительной организации, связанных со строительством </w:t>
            </w:r>
            <w:r w:rsidRPr="00205367">
              <w:rPr>
                <w:bCs/>
                <w:color w:val="000000"/>
              </w:rPr>
              <w:t xml:space="preserve">полиэтиленового </w:t>
            </w:r>
            <w:r w:rsidRPr="00205367">
              <w:rPr>
                <w:color w:val="000000"/>
              </w:rPr>
              <w:t>газопровода наружным диаметром</w:t>
            </w:r>
            <w:r>
              <w:rPr>
                <w:color w:val="000000"/>
              </w:rPr>
              <w:t xml:space="preserve"> </w:t>
            </w:r>
            <w:r w:rsidRPr="00960E53">
              <w:rPr>
                <w:color w:val="2D2D2D"/>
              </w:rPr>
              <w:t>(НДС не облагается, с налогом на прибыль)</w:t>
            </w:r>
            <w:r w:rsidRPr="00205367">
              <w:rPr>
                <w:color w:val="000000"/>
              </w:rPr>
              <w:t>:</w:t>
            </w:r>
          </w:p>
        </w:tc>
      </w:tr>
      <w:tr w:rsidR="00A2124B" w:rsidRPr="00205367" w14:paraId="1C819F8D" w14:textId="77777777" w:rsidTr="001C56BD">
        <w:trPr>
          <w:trHeight w:val="70"/>
        </w:trPr>
        <w:tc>
          <w:tcPr>
            <w:tcW w:w="1297" w:type="dxa"/>
            <w:shd w:val="clear" w:color="auto" w:fill="auto"/>
            <w:vAlign w:val="center"/>
            <w:hideMark/>
          </w:tcPr>
          <w:p w14:paraId="36B620CC" w14:textId="77777777" w:rsidR="00A2124B" w:rsidRPr="00205367" w:rsidRDefault="00A2124B" w:rsidP="008A5C11">
            <w:pPr>
              <w:jc w:val="center"/>
              <w:rPr>
                <w:color w:val="000000"/>
              </w:rPr>
            </w:pPr>
            <w:r w:rsidRPr="00205367">
              <w:rPr>
                <w:color w:val="000000"/>
              </w:rPr>
              <w:t>3.1.</w:t>
            </w:r>
          </w:p>
        </w:tc>
        <w:tc>
          <w:tcPr>
            <w:tcW w:w="4106" w:type="dxa"/>
            <w:shd w:val="clear" w:color="auto" w:fill="auto"/>
            <w:vAlign w:val="center"/>
            <w:hideMark/>
          </w:tcPr>
          <w:p w14:paraId="04150C07" w14:textId="77777777" w:rsidR="00A2124B" w:rsidRPr="00205367" w:rsidRDefault="00A2124B" w:rsidP="008A5C11">
            <w:pPr>
              <w:rPr>
                <w:color w:val="000000"/>
              </w:rPr>
            </w:pPr>
            <w:r w:rsidRPr="00205367">
              <w:rPr>
                <w:color w:val="000000"/>
              </w:rPr>
              <w:t>109 мм и менее</w:t>
            </w:r>
          </w:p>
        </w:tc>
        <w:tc>
          <w:tcPr>
            <w:tcW w:w="1775" w:type="dxa"/>
            <w:vMerge w:val="restart"/>
            <w:shd w:val="clear" w:color="auto" w:fill="auto"/>
            <w:vAlign w:val="center"/>
            <w:hideMark/>
          </w:tcPr>
          <w:p w14:paraId="367B1AD2" w14:textId="77777777" w:rsidR="00A2124B" w:rsidRPr="00205367" w:rsidRDefault="00A2124B" w:rsidP="008A5C11">
            <w:pPr>
              <w:jc w:val="center"/>
              <w:rPr>
                <w:color w:val="000000"/>
              </w:rPr>
            </w:pPr>
            <w:r w:rsidRPr="00205367">
              <w:rPr>
                <w:color w:val="000000"/>
              </w:rPr>
              <w:t>руб./км</w:t>
            </w:r>
          </w:p>
        </w:tc>
        <w:tc>
          <w:tcPr>
            <w:tcW w:w="2466" w:type="dxa"/>
            <w:shd w:val="clear" w:color="auto" w:fill="auto"/>
            <w:hideMark/>
          </w:tcPr>
          <w:p w14:paraId="2BC0BF8F" w14:textId="77777777" w:rsidR="00A2124B" w:rsidRPr="009B0FF8" w:rsidRDefault="00A2124B" w:rsidP="008A5C11">
            <w:pPr>
              <w:ind w:left="-147" w:right="-147"/>
              <w:jc w:val="center"/>
              <w:rPr>
                <w:color w:val="000000"/>
              </w:rPr>
            </w:pPr>
            <w:r w:rsidRPr="009B0FF8">
              <w:rPr>
                <w:color w:val="000000"/>
              </w:rPr>
              <w:t>8 748 472</w:t>
            </w:r>
          </w:p>
        </w:tc>
      </w:tr>
      <w:tr w:rsidR="00A2124B" w:rsidRPr="00205367" w14:paraId="6E34361E" w14:textId="77777777" w:rsidTr="001C56BD">
        <w:trPr>
          <w:trHeight w:val="20"/>
        </w:trPr>
        <w:tc>
          <w:tcPr>
            <w:tcW w:w="1297" w:type="dxa"/>
            <w:shd w:val="clear" w:color="auto" w:fill="auto"/>
            <w:vAlign w:val="center"/>
            <w:hideMark/>
          </w:tcPr>
          <w:p w14:paraId="33D2AC74" w14:textId="77777777" w:rsidR="00A2124B" w:rsidRPr="00205367" w:rsidRDefault="00A2124B" w:rsidP="008A5C11">
            <w:pPr>
              <w:jc w:val="center"/>
              <w:rPr>
                <w:color w:val="000000"/>
              </w:rPr>
            </w:pPr>
            <w:r w:rsidRPr="00205367">
              <w:rPr>
                <w:color w:val="000000"/>
              </w:rPr>
              <w:t>3.2.</w:t>
            </w:r>
          </w:p>
        </w:tc>
        <w:tc>
          <w:tcPr>
            <w:tcW w:w="4106" w:type="dxa"/>
            <w:shd w:val="clear" w:color="auto" w:fill="auto"/>
            <w:vAlign w:val="center"/>
            <w:hideMark/>
          </w:tcPr>
          <w:p w14:paraId="342EBBE1" w14:textId="77777777" w:rsidR="00A2124B" w:rsidRPr="00205367" w:rsidRDefault="00A2124B" w:rsidP="008A5C11">
            <w:pPr>
              <w:rPr>
                <w:color w:val="000000"/>
              </w:rPr>
            </w:pPr>
            <w:r w:rsidRPr="00205367">
              <w:rPr>
                <w:color w:val="000000"/>
              </w:rPr>
              <w:t>110-159 мм</w:t>
            </w:r>
          </w:p>
        </w:tc>
        <w:tc>
          <w:tcPr>
            <w:tcW w:w="1775" w:type="dxa"/>
            <w:vMerge/>
            <w:vAlign w:val="center"/>
            <w:hideMark/>
          </w:tcPr>
          <w:p w14:paraId="7FEA6320" w14:textId="77777777" w:rsidR="00A2124B" w:rsidRPr="00205367" w:rsidRDefault="00A2124B" w:rsidP="008A5C11">
            <w:pPr>
              <w:rPr>
                <w:color w:val="000000"/>
              </w:rPr>
            </w:pPr>
          </w:p>
        </w:tc>
        <w:tc>
          <w:tcPr>
            <w:tcW w:w="2466" w:type="dxa"/>
            <w:shd w:val="clear" w:color="auto" w:fill="auto"/>
            <w:hideMark/>
          </w:tcPr>
          <w:p w14:paraId="5DE9D243" w14:textId="77777777" w:rsidR="00A2124B" w:rsidRPr="009B0FF8" w:rsidRDefault="00A2124B" w:rsidP="008A5C11">
            <w:pPr>
              <w:ind w:left="-147" w:right="-147"/>
              <w:jc w:val="center"/>
              <w:rPr>
                <w:color w:val="000000"/>
              </w:rPr>
            </w:pPr>
            <w:r w:rsidRPr="009B0FF8">
              <w:rPr>
                <w:color w:val="000000"/>
              </w:rPr>
              <w:t>4 075 452</w:t>
            </w:r>
          </w:p>
        </w:tc>
      </w:tr>
      <w:tr w:rsidR="00A2124B" w:rsidRPr="00205367" w14:paraId="413031AC" w14:textId="77777777" w:rsidTr="001C56BD">
        <w:trPr>
          <w:trHeight w:val="20"/>
        </w:trPr>
        <w:tc>
          <w:tcPr>
            <w:tcW w:w="1297" w:type="dxa"/>
            <w:shd w:val="clear" w:color="auto" w:fill="auto"/>
            <w:vAlign w:val="center"/>
            <w:hideMark/>
          </w:tcPr>
          <w:p w14:paraId="640D1EAC" w14:textId="77777777" w:rsidR="00A2124B" w:rsidRPr="00205367" w:rsidRDefault="00A2124B" w:rsidP="008A5C11">
            <w:pPr>
              <w:jc w:val="center"/>
              <w:rPr>
                <w:color w:val="000000"/>
              </w:rPr>
            </w:pPr>
            <w:r w:rsidRPr="00205367">
              <w:rPr>
                <w:color w:val="000000"/>
              </w:rPr>
              <w:t>3.3.</w:t>
            </w:r>
          </w:p>
        </w:tc>
        <w:tc>
          <w:tcPr>
            <w:tcW w:w="4106" w:type="dxa"/>
            <w:shd w:val="clear" w:color="auto" w:fill="auto"/>
            <w:vAlign w:val="center"/>
            <w:hideMark/>
          </w:tcPr>
          <w:p w14:paraId="665E9D66" w14:textId="77777777" w:rsidR="00A2124B" w:rsidRPr="00205367" w:rsidRDefault="00A2124B" w:rsidP="008A5C11">
            <w:pPr>
              <w:rPr>
                <w:color w:val="000000"/>
              </w:rPr>
            </w:pPr>
            <w:r w:rsidRPr="00205367">
              <w:rPr>
                <w:color w:val="000000"/>
              </w:rPr>
              <w:t>160-224 мм</w:t>
            </w:r>
          </w:p>
        </w:tc>
        <w:tc>
          <w:tcPr>
            <w:tcW w:w="1775" w:type="dxa"/>
            <w:vMerge/>
            <w:vAlign w:val="center"/>
            <w:hideMark/>
          </w:tcPr>
          <w:p w14:paraId="56C947FE" w14:textId="77777777" w:rsidR="00A2124B" w:rsidRPr="00205367" w:rsidRDefault="00A2124B" w:rsidP="008A5C11">
            <w:pPr>
              <w:rPr>
                <w:color w:val="000000"/>
              </w:rPr>
            </w:pPr>
          </w:p>
        </w:tc>
        <w:tc>
          <w:tcPr>
            <w:tcW w:w="2466" w:type="dxa"/>
            <w:shd w:val="clear" w:color="auto" w:fill="auto"/>
            <w:hideMark/>
          </w:tcPr>
          <w:p w14:paraId="02DBB15F" w14:textId="77777777" w:rsidR="00A2124B" w:rsidRPr="009B0FF8" w:rsidRDefault="00A2124B" w:rsidP="008A5C11">
            <w:pPr>
              <w:ind w:left="-147" w:right="-147"/>
              <w:jc w:val="center"/>
              <w:rPr>
                <w:color w:val="000000"/>
              </w:rPr>
            </w:pPr>
            <w:r w:rsidRPr="009B0FF8">
              <w:rPr>
                <w:color w:val="000000"/>
              </w:rPr>
              <w:t>4 452 822</w:t>
            </w:r>
          </w:p>
        </w:tc>
      </w:tr>
      <w:tr w:rsidR="00A2124B" w:rsidRPr="00205367" w14:paraId="033D5880" w14:textId="77777777" w:rsidTr="001C56BD">
        <w:trPr>
          <w:trHeight w:val="20"/>
        </w:trPr>
        <w:tc>
          <w:tcPr>
            <w:tcW w:w="1297" w:type="dxa"/>
            <w:shd w:val="clear" w:color="auto" w:fill="auto"/>
            <w:vAlign w:val="center"/>
            <w:hideMark/>
          </w:tcPr>
          <w:p w14:paraId="70EE7B1C" w14:textId="77777777" w:rsidR="00A2124B" w:rsidRPr="00205367" w:rsidRDefault="00A2124B" w:rsidP="008A5C11">
            <w:pPr>
              <w:jc w:val="center"/>
              <w:rPr>
                <w:color w:val="000000"/>
              </w:rPr>
            </w:pPr>
            <w:r w:rsidRPr="00205367">
              <w:rPr>
                <w:color w:val="000000"/>
              </w:rPr>
              <w:t>3.4.</w:t>
            </w:r>
          </w:p>
        </w:tc>
        <w:tc>
          <w:tcPr>
            <w:tcW w:w="4106" w:type="dxa"/>
            <w:shd w:val="clear" w:color="auto" w:fill="auto"/>
            <w:vAlign w:val="center"/>
            <w:hideMark/>
          </w:tcPr>
          <w:p w14:paraId="07F5DA09" w14:textId="77777777" w:rsidR="00A2124B" w:rsidRPr="00205367" w:rsidRDefault="00A2124B" w:rsidP="008A5C11">
            <w:pPr>
              <w:rPr>
                <w:color w:val="000000"/>
              </w:rPr>
            </w:pPr>
            <w:r w:rsidRPr="00205367">
              <w:rPr>
                <w:color w:val="000000"/>
              </w:rPr>
              <w:t>225-314 мм</w:t>
            </w:r>
          </w:p>
        </w:tc>
        <w:tc>
          <w:tcPr>
            <w:tcW w:w="1775" w:type="dxa"/>
            <w:vMerge/>
            <w:vAlign w:val="center"/>
            <w:hideMark/>
          </w:tcPr>
          <w:p w14:paraId="7DBA3E4B" w14:textId="77777777" w:rsidR="00A2124B" w:rsidRPr="00205367" w:rsidRDefault="00A2124B" w:rsidP="008A5C11">
            <w:pPr>
              <w:rPr>
                <w:color w:val="000000"/>
              </w:rPr>
            </w:pPr>
          </w:p>
        </w:tc>
        <w:tc>
          <w:tcPr>
            <w:tcW w:w="2466" w:type="dxa"/>
            <w:shd w:val="clear" w:color="auto" w:fill="auto"/>
            <w:hideMark/>
          </w:tcPr>
          <w:p w14:paraId="6CF4B7D5" w14:textId="77777777" w:rsidR="00A2124B" w:rsidRPr="009B0FF8" w:rsidRDefault="00A2124B" w:rsidP="008A5C11">
            <w:pPr>
              <w:ind w:left="-147" w:right="-147"/>
              <w:jc w:val="center"/>
              <w:rPr>
                <w:color w:val="000000"/>
              </w:rPr>
            </w:pPr>
            <w:r w:rsidRPr="009B0FF8">
              <w:rPr>
                <w:color w:val="000000"/>
              </w:rPr>
              <w:t>4 926 667</w:t>
            </w:r>
          </w:p>
        </w:tc>
      </w:tr>
      <w:tr w:rsidR="00A2124B" w:rsidRPr="00205367" w14:paraId="1CC80A57" w14:textId="77777777" w:rsidTr="001C56BD">
        <w:trPr>
          <w:trHeight w:val="20"/>
        </w:trPr>
        <w:tc>
          <w:tcPr>
            <w:tcW w:w="1297" w:type="dxa"/>
            <w:shd w:val="clear" w:color="auto" w:fill="auto"/>
            <w:vAlign w:val="center"/>
            <w:hideMark/>
          </w:tcPr>
          <w:p w14:paraId="6378CC30" w14:textId="77777777" w:rsidR="00A2124B" w:rsidRPr="00205367" w:rsidRDefault="00A2124B" w:rsidP="008A5C11">
            <w:pPr>
              <w:jc w:val="center"/>
              <w:rPr>
                <w:color w:val="000000"/>
              </w:rPr>
            </w:pPr>
            <w:r w:rsidRPr="00205367">
              <w:rPr>
                <w:color w:val="000000"/>
              </w:rPr>
              <w:t>3.5.</w:t>
            </w:r>
          </w:p>
        </w:tc>
        <w:tc>
          <w:tcPr>
            <w:tcW w:w="4106" w:type="dxa"/>
            <w:shd w:val="clear" w:color="auto" w:fill="auto"/>
            <w:vAlign w:val="center"/>
            <w:hideMark/>
          </w:tcPr>
          <w:p w14:paraId="2C3E354B" w14:textId="77777777" w:rsidR="00A2124B" w:rsidRPr="00205367" w:rsidRDefault="00A2124B" w:rsidP="008A5C11">
            <w:pPr>
              <w:rPr>
                <w:color w:val="000000"/>
              </w:rPr>
            </w:pPr>
            <w:r w:rsidRPr="00205367">
              <w:rPr>
                <w:color w:val="000000"/>
              </w:rPr>
              <w:t>315-399 мм</w:t>
            </w:r>
          </w:p>
        </w:tc>
        <w:tc>
          <w:tcPr>
            <w:tcW w:w="1775" w:type="dxa"/>
            <w:vMerge/>
            <w:vAlign w:val="center"/>
            <w:hideMark/>
          </w:tcPr>
          <w:p w14:paraId="698F3F48" w14:textId="77777777" w:rsidR="00A2124B" w:rsidRPr="00205367" w:rsidRDefault="00A2124B" w:rsidP="008A5C11">
            <w:pPr>
              <w:rPr>
                <w:color w:val="000000"/>
              </w:rPr>
            </w:pPr>
          </w:p>
        </w:tc>
        <w:tc>
          <w:tcPr>
            <w:tcW w:w="2466" w:type="dxa"/>
            <w:shd w:val="clear" w:color="auto" w:fill="auto"/>
            <w:hideMark/>
          </w:tcPr>
          <w:p w14:paraId="377BA079" w14:textId="77777777" w:rsidR="00A2124B" w:rsidRPr="009B0FF8" w:rsidRDefault="00A2124B" w:rsidP="008A5C11">
            <w:pPr>
              <w:ind w:left="-147" w:right="-147"/>
              <w:jc w:val="center"/>
              <w:rPr>
                <w:color w:val="000000"/>
              </w:rPr>
            </w:pPr>
            <w:r w:rsidRPr="009B0FF8">
              <w:rPr>
                <w:color w:val="000000"/>
              </w:rPr>
              <w:t>7 381 514</w:t>
            </w:r>
          </w:p>
        </w:tc>
      </w:tr>
      <w:tr w:rsidR="00A2124B" w:rsidRPr="00205367" w14:paraId="429C9BAA" w14:textId="77777777" w:rsidTr="001C56BD">
        <w:trPr>
          <w:trHeight w:val="70"/>
        </w:trPr>
        <w:tc>
          <w:tcPr>
            <w:tcW w:w="1297" w:type="dxa"/>
            <w:shd w:val="clear" w:color="auto" w:fill="auto"/>
            <w:vAlign w:val="center"/>
            <w:hideMark/>
          </w:tcPr>
          <w:p w14:paraId="414170EA" w14:textId="77777777" w:rsidR="00A2124B" w:rsidRPr="00205367" w:rsidRDefault="00A2124B" w:rsidP="008A5C11">
            <w:pPr>
              <w:jc w:val="center"/>
              <w:rPr>
                <w:color w:val="000000"/>
              </w:rPr>
            </w:pPr>
            <w:r w:rsidRPr="00205367">
              <w:rPr>
                <w:color w:val="000000"/>
              </w:rPr>
              <w:t>3.6.</w:t>
            </w:r>
          </w:p>
        </w:tc>
        <w:tc>
          <w:tcPr>
            <w:tcW w:w="4106" w:type="dxa"/>
            <w:shd w:val="clear" w:color="auto" w:fill="auto"/>
            <w:vAlign w:val="center"/>
            <w:hideMark/>
          </w:tcPr>
          <w:p w14:paraId="06959B86" w14:textId="77777777" w:rsidR="00A2124B" w:rsidRPr="00205367" w:rsidRDefault="00A2124B" w:rsidP="008A5C11">
            <w:pPr>
              <w:rPr>
                <w:color w:val="000000"/>
              </w:rPr>
            </w:pPr>
            <w:r w:rsidRPr="00205367">
              <w:rPr>
                <w:color w:val="000000"/>
              </w:rPr>
              <w:t>400 мм и выше</w:t>
            </w:r>
          </w:p>
        </w:tc>
        <w:tc>
          <w:tcPr>
            <w:tcW w:w="1775" w:type="dxa"/>
            <w:vMerge/>
            <w:vAlign w:val="center"/>
            <w:hideMark/>
          </w:tcPr>
          <w:p w14:paraId="347C2757" w14:textId="77777777" w:rsidR="00A2124B" w:rsidRPr="00205367" w:rsidRDefault="00A2124B" w:rsidP="008A5C11">
            <w:pPr>
              <w:rPr>
                <w:color w:val="000000"/>
              </w:rPr>
            </w:pPr>
          </w:p>
        </w:tc>
        <w:tc>
          <w:tcPr>
            <w:tcW w:w="2466" w:type="dxa"/>
            <w:shd w:val="clear" w:color="auto" w:fill="auto"/>
            <w:hideMark/>
          </w:tcPr>
          <w:p w14:paraId="19FE0F45" w14:textId="77777777" w:rsidR="00A2124B" w:rsidRPr="009B0FF8" w:rsidRDefault="00A2124B" w:rsidP="008A5C11">
            <w:pPr>
              <w:ind w:left="-147" w:right="-147"/>
              <w:jc w:val="center"/>
              <w:rPr>
                <w:color w:val="000000"/>
              </w:rPr>
            </w:pPr>
            <w:r w:rsidRPr="009B0FF8">
              <w:rPr>
                <w:color w:val="000000"/>
              </w:rPr>
              <w:t>9 292 110</w:t>
            </w:r>
          </w:p>
        </w:tc>
      </w:tr>
      <w:tr w:rsidR="00A2124B" w:rsidRPr="00205367" w14:paraId="447D5314" w14:textId="77777777" w:rsidTr="001C56BD">
        <w:trPr>
          <w:trHeight w:val="47"/>
        </w:trPr>
        <w:tc>
          <w:tcPr>
            <w:tcW w:w="1297" w:type="dxa"/>
            <w:shd w:val="clear" w:color="auto" w:fill="auto"/>
            <w:vAlign w:val="center"/>
          </w:tcPr>
          <w:p w14:paraId="0D0C9B2F" w14:textId="77777777" w:rsidR="00A2124B" w:rsidRPr="00205367" w:rsidRDefault="00A2124B" w:rsidP="008A5C11">
            <w:pPr>
              <w:jc w:val="center"/>
              <w:rPr>
                <w:color w:val="000000"/>
              </w:rPr>
            </w:pPr>
            <w:r w:rsidRPr="00205367">
              <w:rPr>
                <w:color w:val="000000"/>
              </w:rPr>
              <w:t>1</w:t>
            </w:r>
          </w:p>
        </w:tc>
        <w:tc>
          <w:tcPr>
            <w:tcW w:w="4106" w:type="dxa"/>
            <w:shd w:val="clear" w:color="auto" w:fill="auto"/>
            <w:vAlign w:val="center"/>
          </w:tcPr>
          <w:p w14:paraId="37AA060F" w14:textId="77777777" w:rsidR="00A2124B" w:rsidRPr="00205367" w:rsidRDefault="00A2124B" w:rsidP="008A5C11">
            <w:pPr>
              <w:jc w:val="center"/>
              <w:rPr>
                <w:color w:val="000000"/>
              </w:rPr>
            </w:pPr>
            <w:r w:rsidRPr="00205367">
              <w:rPr>
                <w:color w:val="000000"/>
              </w:rPr>
              <w:t>2</w:t>
            </w:r>
          </w:p>
        </w:tc>
        <w:tc>
          <w:tcPr>
            <w:tcW w:w="1775" w:type="dxa"/>
            <w:shd w:val="clear" w:color="auto" w:fill="auto"/>
            <w:vAlign w:val="center"/>
          </w:tcPr>
          <w:p w14:paraId="10B738D5" w14:textId="77777777" w:rsidR="00A2124B" w:rsidRPr="00205367" w:rsidRDefault="00A2124B" w:rsidP="008A5C11">
            <w:pPr>
              <w:jc w:val="center"/>
              <w:rPr>
                <w:color w:val="000000"/>
              </w:rPr>
            </w:pPr>
            <w:r w:rsidRPr="00205367">
              <w:rPr>
                <w:color w:val="000000"/>
              </w:rPr>
              <w:t>3</w:t>
            </w:r>
          </w:p>
        </w:tc>
        <w:tc>
          <w:tcPr>
            <w:tcW w:w="2466" w:type="dxa"/>
            <w:shd w:val="clear" w:color="000000" w:fill="FFFFFF"/>
            <w:vAlign w:val="center"/>
          </w:tcPr>
          <w:p w14:paraId="600BEC83" w14:textId="77777777" w:rsidR="00A2124B" w:rsidRPr="00205367" w:rsidRDefault="00A2124B" w:rsidP="008A5C11">
            <w:pPr>
              <w:jc w:val="center"/>
              <w:rPr>
                <w:color w:val="000000"/>
              </w:rPr>
            </w:pPr>
            <w:r w:rsidRPr="00205367">
              <w:rPr>
                <w:color w:val="000000"/>
              </w:rPr>
              <w:t>4</w:t>
            </w:r>
          </w:p>
        </w:tc>
      </w:tr>
      <w:tr w:rsidR="00A2124B" w:rsidRPr="00205367" w14:paraId="1896DB92" w14:textId="77777777" w:rsidTr="001C56BD">
        <w:trPr>
          <w:trHeight w:val="973"/>
        </w:trPr>
        <w:tc>
          <w:tcPr>
            <w:tcW w:w="1297" w:type="dxa"/>
            <w:shd w:val="clear" w:color="auto" w:fill="auto"/>
            <w:vAlign w:val="center"/>
            <w:hideMark/>
          </w:tcPr>
          <w:p w14:paraId="16E8F8EA" w14:textId="77777777" w:rsidR="00A2124B" w:rsidRPr="00205367" w:rsidRDefault="00A2124B" w:rsidP="008A5C11">
            <w:pPr>
              <w:jc w:val="center"/>
              <w:rPr>
                <w:color w:val="000000"/>
              </w:rPr>
            </w:pPr>
            <w:r w:rsidRPr="00205367">
              <w:rPr>
                <w:color w:val="000000"/>
              </w:rPr>
              <w:t>4.</w:t>
            </w:r>
          </w:p>
        </w:tc>
        <w:tc>
          <w:tcPr>
            <w:tcW w:w="8347" w:type="dxa"/>
            <w:gridSpan w:val="3"/>
            <w:shd w:val="clear" w:color="auto" w:fill="auto"/>
            <w:vAlign w:val="center"/>
            <w:hideMark/>
          </w:tcPr>
          <w:p w14:paraId="02A1E9E6" w14:textId="77777777" w:rsidR="00A2124B" w:rsidRPr="00205367" w:rsidRDefault="00A2124B" w:rsidP="008A5C11">
            <w:pPr>
              <w:rPr>
                <w:color w:val="000000"/>
              </w:rPr>
            </w:pPr>
            <w:r w:rsidRPr="00205367">
              <w:rPr>
                <w:color w:val="000000"/>
              </w:rPr>
              <w:t>Размер стандартизированной тарифной ставки С</w:t>
            </w:r>
            <w:r w:rsidRPr="00205367">
              <w:rPr>
                <w:color w:val="000000"/>
                <w:vertAlign w:val="subscript"/>
              </w:rPr>
              <w:t>4</w:t>
            </w:r>
            <w:r w:rsidRPr="00205367">
              <w:rPr>
                <w:color w:val="000000"/>
              </w:rPr>
              <w:t xml:space="preserve"> на покрытие расходов газораспределительной организации, связанных со строительством стального и полиэтиленового газопроводов бестраншейным способом</w:t>
            </w:r>
            <w:r>
              <w:rPr>
                <w:color w:val="000000"/>
              </w:rPr>
              <w:t xml:space="preserve"> </w:t>
            </w:r>
            <w:r w:rsidRPr="00960E53">
              <w:rPr>
                <w:color w:val="000000"/>
              </w:rPr>
              <w:t>(НДС не облагается, с налогом на прибыль)</w:t>
            </w:r>
            <w:r>
              <w:rPr>
                <w:color w:val="000000"/>
              </w:rPr>
              <w:t>:</w:t>
            </w:r>
          </w:p>
        </w:tc>
      </w:tr>
      <w:tr w:rsidR="00A2124B" w:rsidRPr="00205367" w14:paraId="7998436D" w14:textId="77777777" w:rsidTr="001C56BD">
        <w:trPr>
          <w:trHeight w:val="47"/>
        </w:trPr>
        <w:tc>
          <w:tcPr>
            <w:tcW w:w="1297" w:type="dxa"/>
            <w:shd w:val="clear" w:color="auto" w:fill="auto"/>
            <w:vAlign w:val="center"/>
            <w:hideMark/>
          </w:tcPr>
          <w:p w14:paraId="6E7240A9" w14:textId="77777777" w:rsidR="00A2124B" w:rsidRPr="00205367" w:rsidRDefault="00A2124B" w:rsidP="008A5C11">
            <w:pPr>
              <w:jc w:val="center"/>
              <w:rPr>
                <w:color w:val="000000"/>
              </w:rPr>
            </w:pPr>
            <w:r w:rsidRPr="00205367">
              <w:rPr>
                <w:color w:val="000000"/>
              </w:rPr>
              <w:t>4.1.</w:t>
            </w:r>
          </w:p>
        </w:tc>
        <w:tc>
          <w:tcPr>
            <w:tcW w:w="8347" w:type="dxa"/>
            <w:gridSpan w:val="3"/>
            <w:shd w:val="clear" w:color="auto" w:fill="auto"/>
            <w:vAlign w:val="center"/>
            <w:hideMark/>
          </w:tcPr>
          <w:p w14:paraId="30279552" w14:textId="77777777" w:rsidR="00A2124B" w:rsidRPr="00205367" w:rsidRDefault="00A2124B" w:rsidP="008A5C11">
            <w:pPr>
              <w:rPr>
                <w:color w:val="000000"/>
              </w:rPr>
            </w:pPr>
            <w:r w:rsidRPr="00205367">
              <w:rPr>
                <w:bCs/>
                <w:color w:val="000000"/>
              </w:rPr>
              <w:t>полиэтиленовых</w:t>
            </w:r>
            <w:r w:rsidRPr="00205367">
              <w:rPr>
                <w:color w:val="000000"/>
              </w:rPr>
              <w:t xml:space="preserve"> газопроводов наружным диаметром:</w:t>
            </w:r>
          </w:p>
        </w:tc>
      </w:tr>
      <w:tr w:rsidR="00A2124B" w:rsidRPr="00205367" w14:paraId="13B8173F" w14:textId="77777777" w:rsidTr="001C56BD">
        <w:trPr>
          <w:trHeight w:val="276"/>
        </w:trPr>
        <w:tc>
          <w:tcPr>
            <w:tcW w:w="1297" w:type="dxa"/>
            <w:shd w:val="clear" w:color="auto" w:fill="auto"/>
            <w:vAlign w:val="center"/>
            <w:hideMark/>
          </w:tcPr>
          <w:p w14:paraId="615FA83A" w14:textId="77777777" w:rsidR="00A2124B" w:rsidRPr="00205367" w:rsidRDefault="00A2124B" w:rsidP="008A5C11">
            <w:pPr>
              <w:jc w:val="center"/>
              <w:rPr>
                <w:color w:val="000000"/>
              </w:rPr>
            </w:pPr>
            <w:r w:rsidRPr="00205367">
              <w:rPr>
                <w:color w:val="000000"/>
              </w:rPr>
              <w:t>4.1.1.</w:t>
            </w:r>
          </w:p>
        </w:tc>
        <w:tc>
          <w:tcPr>
            <w:tcW w:w="8347" w:type="dxa"/>
            <w:gridSpan w:val="3"/>
            <w:shd w:val="clear" w:color="auto" w:fill="auto"/>
            <w:vAlign w:val="center"/>
            <w:hideMark/>
          </w:tcPr>
          <w:p w14:paraId="2DC5AE2F" w14:textId="77777777" w:rsidR="00A2124B" w:rsidRPr="00205367" w:rsidRDefault="00A2124B" w:rsidP="008A5C11">
            <w:pPr>
              <w:rPr>
                <w:color w:val="000000"/>
              </w:rPr>
            </w:pPr>
            <w:r w:rsidRPr="00205367">
              <w:rPr>
                <w:color w:val="000000"/>
              </w:rPr>
              <w:t>109 мм и менее, в грунтах:</w:t>
            </w:r>
          </w:p>
        </w:tc>
      </w:tr>
      <w:tr w:rsidR="00A2124B" w:rsidRPr="00205367" w14:paraId="2C09E939" w14:textId="77777777" w:rsidTr="001C56BD">
        <w:trPr>
          <w:trHeight w:val="47"/>
        </w:trPr>
        <w:tc>
          <w:tcPr>
            <w:tcW w:w="1297" w:type="dxa"/>
            <w:shd w:val="clear" w:color="auto" w:fill="auto"/>
            <w:vAlign w:val="center"/>
            <w:hideMark/>
          </w:tcPr>
          <w:p w14:paraId="18607B05" w14:textId="77777777" w:rsidR="00A2124B" w:rsidRPr="00205367" w:rsidRDefault="00A2124B" w:rsidP="008A5C11">
            <w:pPr>
              <w:jc w:val="center"/>
              <w:rPr>
                <w:color w:val="000000"/>
              </w:rPr>
            </w:pPr>
            <w:r w:rsidRPr="00205367">
              <w:rPr>
                <w:color w:val="000000"/>
              </w:rPr>
              <w:t>4.1.1.1.</w:t>
            </w:r>
          </w:p>
        </w:tc>
        <w:tc>
          <w:tcPr>
            <w:tcW w:w="4106" w:type="dxa"/>
            <w:shd w:val="clear" w:color="auto" w:fill="auto"/>
            <w:vAlign w:val="center"/>
            <w:hideMark/>
          </w:tcPr>
          <w:p w14:paraId="485C2BF5" w14:textId="77777777" w:rsidR="00A2124B" w:rsidRPr="00205367" w:rsidRDefault="00A2124B" w:rsidP="008A5C11">
            <w:pPr>
              <w:rPr>
                <w:color w:val="000000"/>
              </w:rPr>
            </w:pPr>
            <w:r w:rsidRPr="00205367">
              <w:rPr>
                <w:color w:val="000000"/>
              </w:rPr>
              <w:t>I и II группы</w:t>
            </w:r>
          </w:p>
        </w:tc>
        <w:tc>
          <w:tcPr>
            <w:tcW w:w="1775" w:type="dxa"/>
            <w:shd w:val="clear" w:color="auto" w:fill="auto"/>
            <w:vAlign w:val="center"/>
            <w:hideMark/>
          </w:tcPr>
          <w:p w14:paraId="130F383D" w14:textId="77777777" w:rsidR="00A2124B" w:rsidRPr="00205367" w:rsidRDefault="00A2124B" w:rsidP="008A5C11">
            <w:pPr>
              <w:jc w:val="center"/>
              <w:rPr>
                <w:color w:val="000000"/>
              </w:rPr>
            </w:pPr>
            <w:r w:rsidRPr="00205367">
              <w:rPr>
                <w:color w:val="000000"/>
              </w:rPr>
              <w:t>руб./км</w:t>
            </w:r>
          </w:p>
        </w:tc>
        <w:tc>
          <w:tcPr>
            <w:tcW w:w="2466" w:type="dxa"/>
            <w:shd w:val="clear" w:color="000000" w:fill="FFFFFF"/>
            <w:vAlign w:val="center"/>
            <w:hideMark/>
          </w:tcPr>
          <w:p w14:paraId="49ED34A8" w14:textId="77777777" w:rsidR="00A2124B" w:rsidRPr="00205367" w:rsidRDefault="00A2124B" w:rsidP="008A5C11">
            <w:pPr>
              <w:jc w:val="center"/>
              <w:rPr>
                <w:color w:val="000000"/>
              </w:rPr>
            </w:pPr>
            <w:r w:rsidRPr="009B0FF8">
              <w:rPr>
                <w:color w:val="000000"/>
              </w:rPr>
              <w:t>6 181 491</w:t>
            </w:r>
          </w:p>
        </w:tc>
      </w:tr>
      <w:tr w:rsidR="00A2124B" w:rsidRPr="00205367" w14:paraId="331B257F" w14:textId="77777777" w:rsidTr="001C56BD">
        <w:trPr>
          <w:trHeight w:val="47"/>
        </w:trPr>
        <w:tc>
          <w:tcPr>
            <w:tcW w:w="1297" w:type="dxa"/>
            <w:shd w:val="clear" w:color="auto" w:fill="auto"/>
            <w:vAlign w:val="center"/>
            <w:hideMark/>
          </w:tcPr>
          <w:p w14:paraId="13450188" w14:textId="77777777" w:rsidR="00A2124B" w:rsidRPr="00205367" w:rsidRDefault="00A2124B" w:rsidP="008A5C11">
            <w:pPr>
              <w:jc w:val="center"/>
              <w:rPr>
                <w:color w:val="000000"/>
              </w:rPr>
            </w:pPr>
            <w:r w:rsidRPr="00205367">
              <w:rPr>
                <w:color w:val="000000"/>
              </w:rPr>
              <w:t>4.1.2.</w:t>
            </w:r>
          </w:p>
        </w:tc>
        <w:tc>
          <w:tcPr>
            <w:tcW w:w="8347" w:type="dxa"/>
            <w:gridSpan w:val="3"/>
            <w:shd w:val="clear" w:color="auto" w:fill="auto"/>
            <w:vAlign w:val="center"/>
            <w:hideMark/>
          </w:tcPr>
          <w:p w14:paraId="59587F5E" w14:textId="77777777" w:rsidR="00A2124B" w:rsidRPr="00205367" w:rsidRDefault="00A2124B" w:rsidP="008A5C11">
            <w:pPr>
              <w:rPr>
                <w:color w:val="000000"/>
              </w:rPr>
            </w:pPr>
            <w:r w:rsidRPr="00205367">
              <w:rPr>
                <w:color w:val="000000"/>
              </w:rPr>
              <w:t>110-159 мм, в грунтах:</w:t>
            </w:r>
          </w:p>
        </w:tc>
      </w:tr>
      <w:tr w:rsidR="00A2124B" w:rsidRPr="00205367" w14:paraId="0F01C2FE" w14:textId="77777777" w:rsidTr="001C56BD">
        <w:trPr>
          <w:trHeight w:val="276"/>
        </w:trPr>
        <w:tc>
          <w:tcPr>
            <w:tcW w:w="1297" w:type="dxa"/>
            <w:shd w:val="clear" w:color="auto" w:fill="auto"/>
            <w:vAlign w:val="center"/>
            <w:hideMark/>
          </w:tcPr>
          <w:p w14:paraId="337A45A4" w14:textId="77777777" w:rsidR="00A2124B" w:rsidRPr="00205367" w:rsidRDefault="00A2124B" w:rsidP="008A5C11">
            <w:pPr>
              <w:jc w:val="center"/>
              <w:rPr>
                <w:color w:val="000000"/>
              </w:rPr>
            </w:pPr>
            <w:r w:rsidRPr="00205367">
              <w:rPr>
                <w:color w:val="000000"/>
              </w:rPr>
              <w:t>4.1.2.1.</w:t>
            </w:r>
          </w:p>
        </w:tc>
        <w:tc>
          <w:tcPr>
            <w:tcW w:w="4106" w:type="dxa"/>
            <w:shd w:val="clear" w:color="auto" w:fill="auto"/>
            <w:vAlign w:val="center"/>
            <w:hideMark/>
          </w:tcPr>
          <w:p w14:paraId="74CE6982" w14:textId="77777777" w:rsidR="00A2124B" w:rsidRPr="00205367" w:rsidRDefault="00A2124B" w:rsidP="008A5C11">
            <w:pPr>
              <w:rPr>
                <w:color w:val="000000"/>
              </w:rPr>
            </w:pPr>
            <w:r w:rsidRPr="00205367">
              <w:rPr>
                <w:color w:val="000000"/>
              </w:rPr>
              <w:t>I и II группы</w:t>
            </w:r>
          </w:p>
        </w:tc>
        <w:tc>
          <w:tcPr>
            <w:tcW w:w="1775" w:type="dxa"/>
            <w:shd w:val="clear" w:color="auto" w:fill="auto"/>
            <w:vAlign w:val="center"/>
            <w:hideMark/>
          </w:tcPr>
          <w:p w14:paraId="2DB2A4A0" w14:textId="77777777" w:rsidR="00A2124B" w:rsidRPr="00205367" w:rsidRDefault="00A2124B" w:rsidP="008A5C11">
            <w:pPr>
              <w:jc w:val="center"/>
              <w:rPr>
                <w:color w:val="000000"/>
              </w:rPr>
            </w:pPr>
            <w:r w:rsidRPr="00205367">
              <w:rPr>
                <w:color w:val="000000"/>
              </w:rPr>
              <w:t>руб./км</w:t>
            </w:r>
          </w:p>
        </w:tc>
        <w:tc>
          <w:tcPr>
            <w:tcW w:w="2466" w:type="dxa"/>
            <w:shd w:val="clear" w:color="000000" w:fill="FFFFFF"/>
            <w:vAlign w:val="center"/>
            <w:hideMark/>
          </w:tcPr>
          <w:p w14:paraId="39626677" w14:textId="77777777" w:rsidR="00A2124B" w:rsidRPr="00205367" w:rsidRDefault="00A2124B" w:rsidP="008A5C11">
            <w:pPr>
              <w:jc w:val="center"/>
              <w:rPr>
                <w:color w:val="000000"/>
              </w:rPr>
            </w:pPr>
            <w:r w:rsidRPr="009B0FF8">
              <w:rPr>
                <w:color w:val="000000"/>
              </w:rPr>
              <w:t>6 181 491</w:t>
            </w:r>
          </w:p>
        </w:tc>
      </w:tr>
      <w:tr w:rsidR="00A2124B" w:rsidRPr="00205367" w14:paraId="2F4EBCF9" w14:textId="77777777" w:rsidTr="001C56BD">
        <w:trPr>
          <w:trHeight w:val="979"/>
        </w:trPr>
        <w:tc>
          <w:tcPr>
            <w:tcW w:w="1297" w:type="dxa"/>
            <w:shd w:val="clear" w:color="auto" w:fill="auto"/>
            <w:vAlign w:val="center"/>
          </w:tcPr>
          <w:p w14:paraId="51A242FE" w14:textId="77777777" w:rsidR="00A2124B" w:rsidRPr="00205367" w:rsidRDefault="00A2124B" w:rsidP="008A5C11">
            <w:pPr>
              <w:jc w:val="center"/>
              <w:rPr>
                <w:color w:val="000000"/>
              </w:rPr>
            </w:pPr>
            <w:r>
              <w:rPr>
                <w:color w:val="000000"/>
              </w:rPr>
              <w:t>5.</w:t>
            </w:r>
          </w:p>
        </w:tc>
        <w:tc>
          <w:tcPr>
            <w:tcW w:w="8347" w:type="dxa"/>
            <w:gridSpan w:val="3"/>
            <w:shd w:val="clear" w:color="auto" w:fill="auto"/>
            <w:vAlign w:val="center"/>
          </w:tcPr>
          <w:p w14:paraId="58F0F75E" w14:textId="77777777" w:rsidR="00A2124B" w:rsidRPr="00B430BC" w:rsidRDefault="00A2124B" w:rsidP="008A5C11">
            <w:pPr>
              <w:rPr>
                <w:color w:val="000000"/>
              </w:rPr>
            </w:pPr>
            <w:r>
              <w:rPr>
                <w:color w:val="000000"/>
              </w:rPr>
              <w:t>Р</w:t>
            </w:r>
            <w:r w:rsidRPr="00B430BC">
              <w:rPr>
                <w:color w:val="000000"/>
              </w:rPr>
              <w:t xml:space="preserve">азмер стандартизированной тарифной ставки </w:t>
            </w:r>
            <w:r w:rsidRPr="00205367">
              <w:rPr>
                <w:color w:val="000000"/>
              </w:rPr>
              <w:t>С</w:t>
            </w:r>
            <w:r>
              <w:rPr>
                <w:color w:val="000000"/>
                <w:vertAlign w:val="subscript"/>
              </w:rPr>
              <w:t>5</w:t>
            </w:r>
            <w:r>
              <w:rPr>
                <w:color w:val="000000"/>
              </w:rPr>
              <w:t xml:space="preserve"> </w:t>
            </w:r>
            <w:r w:rsidRPr="00B430BC">
              <w:rPr>
                <w:color w:val="000000"/>
              </w:rPr>
              <w:t>на покрытие расходов ГРО, связанных с проектированием и строительством пунктов редуцирования газа</w:t>
            </w:r>
            <w:r>
              <w:rPr>
                <w:color w:val="000000"/>
              </w:rPr>
              <w:t xml:space="preserve"> с максимальным часовым расходом газа </w:t>
            </w:r>
            <w:r w:rsidRPr="00960E53">
              <w:rPr>
                <w:color w:val="000000"/>
              </w:rPr>
              <w:t>(НДС не облагается, с налогом на прибыль)</w:t>
            </w:r>
            <w:r>
              <w:rPr>
                <w:color w:val="000000"/>
              </w:rPr>
              <w:t>;</w:t>
            </w:r>
          </w:p>
        </w:tc>
      </w:tr>
      <w:tr w:rsidR="00A2124B" w:rsidRPr="00205367" w14:paraId="31E01089" w14:textId="77777777" w:rsidTr="001C56BD">
        <w:trPr>
          <w:trHeight w:val="276"/>
        </w:trPr>
        <w:tc>
          <w:tcPr>
            <w:tcW w:w="1297" w:type="dxa"/>
            <w:shd w:val="clear" w:color="auto" w:fill="auto"/>
            <w:vAlign w:val="center"/>
          </w:tcPr>
          <w:p w14:paraId="7AB45E8A" w14:textId="77777777" w:rsidR="00A2124B" w:rsidRPr="00205367" w:rsidRDefault="00A2124B" w:rsidP="008A5C11">
            <w:pPr>
              <w:jc w:val="center"/>
              <w:rPr>
                <w:color w:val="000000"/>
              </w:rPr>
            </w:pPr>
            <w:r>
              <w:rPr>
                <w:color w:val="000000"/>
              </w:rPr>
              <w:t>5</w:t>
            </w:r>
            <w:r w:rsidRPr="00205367">
              <w:rPr>
                <w:color w:val="000000"/>
              </w:rPr>
              <w:t>.1.</w:t>
            </w:r>
          </w:p>
        </w:tc>
        <w:tc>
          <w:tcPr>
            <w:tcW w:w="4106" w:type="dxa"/>
            <w:shd w:val="clear" w:color="auto" w:fill="auto"/>
            <w:vAlign w:val="center"/>
          </w:tcPr>
          <w:p w14:paraId="749BDC46" w14:textId="77777777" w:rsidR="00A2124B" w:rsidRPr="000350CB" w:rsidRDefault="00A2124B" w:rsidP="008A5C11">
            <w:pPr>
              <w:rPr>
                <w:color w:val="000000"/>
              </w:rPr>
            </w:pPr>
            <w:r w:rsidRPr="000350CB">
              <w:rPr>
                <w:color w:val="000000"/>
              </w:rPr>
              <w:t>до 40 м</w:t>
            </w:r>
            <w:r>
              <w:rPr>
                <w:color w:val="000000"/>
              </w:rPr>
              <w:t>³</w:t>
            </w:r>
            <w:r w:rsidRPr="000350CB">
              <w:rPr>
                <w:color w:val="000000"/>
              </w:rPr>
              <w:t>/час</w:t>
            </w:r>
          </w:p>
        </w:tc>
        <w:tc>
          <w:tcPr>
            <w:tcW w:w="1775" w:type="dxa"/>
            <w:vMerge w:val="restart"/>
            <w:shd w:val="clear" w:color="auto" w:fill="auto"/>
            <w:vAlign w:val="center"/>
          </w:tcPr>
          <w:p w14:paraId="1A5E6B48" w14:textId="77777777" w:rsidR="00A2124B" w:rsidRPr="00205367" w:rsidRDefault="00A2124B" w:rsidP="008A5C11">
            <w:pPr>
              <w:jc w:val="center"/>
              <w:rPr>
                <w:color w:val="000000"/>
              </w:rPr>
            </w:pPr>
            <w:r w:rsidRPr="00205367">
              <w:rPr>
                <w:color w:val="000000"/>
              </w:rPr>
              <w:t>руб./ м</w:t>
            </w:r>
            <w:r>
              <w:rPr>
                <w:color w:val="000000"/>
              </w:rPr>
              <w:t>³</w:t>
            </w:r>
          </w:p>
        </w:tc>
        <w:tc>
          <w:tcPr>
            <w:tcW w:w="2466" w:type="dxa"/>
            <w:shd w:val="clear" w:color="auto" w:fill="auto"/>
            <w:vAlign w:val="center"/>
          </w:tcPr>
          <w:p w14:paraId="33467AC1" w14:textId="77777777" w:rsidR="00A2124B" w:rsidRPr="00C17EC2" w:rsidRDefault="00A2124B" w:rsidP="008A5C11">
            <w:pPr>
              <w:jc w:val="center"/>
              <w:rPr>
                <w:color w:val="000000"/>
              </w:rPr>
            </w:pPr>
            <w:r w:rsidRPr="00C17EC2">
              <w:rPr>
                <w:color w:val="000000"/>
              </w:rPr>
              <w:t>20 397</w:t>
            </w:r>
          </w:p>
        </w:tc>
      </w:tr>
      <w:tr w:rsidR="00A2124B" w:rsidRPr="00205367" w14:paraId="344525D0" w14:textId="77777777" w:rsidTr="001C56BD">
        <w:trPr>
          <w:trHeight w:val="276"/>
        </w:trPr>
        <w:tc>
          <w:tcPr>
            <w:tcW w:w="1297" w:type="dxa"/>
            <w:shd w:val="clear" w:color="auto" w:fill="auto"/>
            <w:vAlign w:val="center"/>
          </w:tcPr>
          <w:p w14:paraId="7BE72A1D" w14:textId="77777777" w:rsidR="00A2124B" w:rsidRPr="00205367" w:rsidRDefault="00A2124B" w:rsidP="008A5C11">
            <w:pPr>
              <w:jc w:val="center"/>
              <w:rPr>
                <w:color w:val="000000"/>
              </w:rPr>
            </w:pPr>
            <w:r>
              <w:rPr>
                <w:color w:val="000000"/>
              </w:rPr>
              <w:t>5</w:t>
            </w:r>
            <w:r w:rsidRPr="00205367">
              <w:rPr>
                <w:color w:val="000000"/>
              </w:rPr>
              <w:t>.2.</w:t>
            </w:r>
          </w:p>
        </w:tc>
        <w:tc>
          <w:tcPr>
            <w:tcW w:w="4106" w:type="dxa"/>
            <w:shd w:val="clear" w:color="auto" w:fill="auto"/>
            <w:vAlign w:val="center"/>
          </w:tcPr>
          <w:p w14:paraId="6E478C46" w14:textId="77777777" w:rsidR="00A2124B" w:rsidRPr="000350CB" w:rsidRDefault="00A2124B" w:rsidP="008A5C11">
            <w:pPr>
              <w:rPr>
                <w:color w:val="000000"/>
              </w:rPr>
            </w:pPr>
            <w:r w:rsidRPr="000350CB">
              <w:rPr>
                <w:color w:val="000000"/>
              </w:rPr>
              <w:t>40 – 99 м</w:t>
            </w:r>
            <w:r>
              <w:rPr>
                <w:color w:val="000000"/>
              </w:rPr>
              <w:t>³</w:t>
            </w:r>
            <w:r w:rsidRPr="000350CB">
              <w:rPr>
                <w:color w:val="000000"/>
              </w:rPr>
              <w:t>/час</w:t>
            </w:r>
          </w:p>
        </w:tc>
        <w:tc>
          <w:tcPr>
            <w:tcW w:w="1775" w:type="dxa"/>
            <w:vMerge/>
            <w:shd w:val="clear" w:color="auto" w:fill="auto"/>
          </w:tcPr>
          <w:p w14:paraId="49DD4F71" w14:textId="77777777" w:rsidR="00A2124B" w:rsidRDefault="00A2124B" w:rsidP="008A5C11">
            <w:pPr>
              <w:jc w:val="center"/>
            </w:pPr>
          </w:p>
        </w:tc>
        <w:tc>
          <w:tcPr>
            <w:tcW w:w="2466" w:type="dxa"/>
            <w:shd w:val="clear" w:color="auto" w:fill="auto"/>
            <w:vAlign w:val="center"/>
          </w:tcPr>
          <w:p w14:paraId="4A3D7F30" w14:textId="77777777" w:rsidR="00A2124B" w:rsidRPr="00C17EC2" w:rsidRDefault="00A2124B" w:rsidP="008A5C11">
            <w:pPr>
              <w:jc w:val="center"/>
              <w:rPr>
                <w:color w:val="000000"/>
              </w:rPr>
            </w:pPr>
            <w:r w:rsidRPr="00C17EC2">
              <w:rPr>
                <w:color w:val="000000"/>
              </w:rPr>
              <w:t>7 533</w:t>
            </w:r>
          </w:p>
        </w:tc>
      </w:tr>
      <w:tr w:rsidR="00A2124B" w:rsidRPr="00205367" w14:paraId="15826876" w14:textId="77777777" w:rsidTr="001C56BD">
        <w:trPr>
          <w:trHeight w:val="276"/>
        </w:trPr>
        <w:tc>
          <w:tcPr>
            <w:tcW w:w="1297" w:type="dxa"/>
            <w:shd w:val="clear" w:color="auto" w:fill="auto"/>
            <w:vAlign w:val="center"/>
          </w:tcPr>
          <w:p w14:paraId="5BC85A14" w14:textId="77777777" w:rsidR="00A2124B" w:rsidRPr="00205367" w:rsidRDefault="00A2124B" w:rsidP="008A5C11">
            <w:pPr>
              <w:jc w:val="center"/>
              <w:rPr>
                <w:color w:val="000000"/>
              </w:rPr>
            </w:pPr>
            <w:r>
              <w:rPr>
                <w:color w:val="000000"/>
              </w:rPr>
              <w:t>5</w:t>
            </w:r>
            <w:r w:rsidRPr="00205367">
              <w:rPr>
                <w:color w:val="000000"/>
              </w:rPr>
              <w:t>.3.</w:t>
            </w:r>
          </w:p>
        </w:tc>
        <w:tc>
          <w:tcPr>
            <w:tcW w:w="4106" w:type="dxa"/>
            <w:shd w:val="clear" w:color="auto" w:fill="auto"/>
            <w:vAlign w:val="center"/>
          </w:tcPr>
          <w:p w14:paraId="30348FFA" w14:textId="77777777" w:rsidR="00A2124B" w:rsidRPr="000350CB" w:rsidRDefault="00A2124B" w:rsidP="008A5C11">
            <w:pPr>
              <w:rPr>
                <w:color w:val="000000"/>
              </w:rPr>
            </w:pPr>
            <w:r w:rsidRPr="000350CB">
              <w:rPr>
                <w:color w:val="000000"/>
              </w:rPr>
              <w:t>100 – 399 м</w:t>
            </w:r>
            <w:r>
              <w:rPr>
                <w:color w:val="000000"/>
              </w:rPr>
              <w:t>³</w:t>
            </w:r>
            <w:r w:rsidRPr="000350CB">
              <w:rPr>
                <w:color w:val="000000"/>
              </w:rPr>
              <w:t>/час</w:t>
            </w:r>
          </w:p>
        </w:tc>
        <w:tc>
          <w:tcPr>
            <w:tcW w:w="1775" w:type="dxa"/>
            <w:vMerge/>
            <w:shd w:val="clear" w:color="auto" w:fill="auto"/>
          </w:tcPr>
          <w:p w14:paraId="6B843412" w14:textId="77777777" w:rsidR="00A2124B" w:rsidRDefault="00A2124B" w:rsidP="008A5C11">
            <w:pPr>
              <w:jc w:val="center"/>
            </w:pPr>
          </w:p>
        </w:tc>
        <w:tc>
          <w:tcPr>
            <w:tcW w:w="2466" w:type="dxa"/>
            <w:shd w:val="clear" w:color="auto" w:fill="auto"/>
            <w:vAlign w:val="center"/>
          </w:tcPr>
          <w:p w14:paraId="49CE96F7" w14:textId="77777777" w:rsidR="00A2124B" w:rsidRPr="00C17EC2" w:rsidRDefault="00A2124B" w:rsidP="008A5C11">
            <w:pPr>
              <w:jc w:val="center"/>
              <w:rPr>
                <w:color w:val="000000"/>
              </w:rPr>
            </w:pPr>
            <w:r w:rsidRPr="00C17EC2">
              <w:rPr>
                <w:color w:val="000000"/>
              </w:rPr>
              <w:t>4 701</w:t>
            </w:r>
          </w:p>
        </w:tc>
      </w:tr>
      <w:tr w:rsidR="00A2124B" w:rsidRPr="00205367" w14:paraId="763AE713" w14:textId="77777777" w:rsidTr="001C56BD">
        <w:trPr>
          <w:trHeight w:val="276"/>
        </w:trPr>
        <w:tc>
          <w:tcPr>
            <w:tcW w:w="1297" w:type="dxa"/>
            <w:shd w:val="clear" w:color="auto" w:fill="auto"/>
            <w:vAlign w:val="center"/>
          </w:tcPr>
          <w:p w14:paraId="46EE2B77" w14:textId="77777777" w:rsidR="00A2124B" w:rsidRPr="00205367" w:rsidRDefault="00A2124B" w:rsidP="008A5C11">
            <w:pPr>
              <w:jc w:val="center"/>
              <w:rPr>
                <w:color w:val="000000"/>
              </w:rPr>
            </w:pPr>
            <w:r>
              <w:rPr>
                <w:color w:val="000000"/>
              </w:rPr>
              <w:t>5</w:t>
            </w:r>
            <w:r w:rsidRPr="00205367">
              <w:rPr>
                <w:color w:val="000000"/>
              </w:rPr>
              <w:t>.4.</w:t>
            </w:r>
          </w:p>
        </w:tc>
        <w:tc>
          <w:tcPr>
            <w:tcW w:w="4106" w:type="dxa"/>
            <w:shd w:val="clear" w:color="auto" w:fill="auto"/>
            <w:vAlign w:val="center"/>
          </w:tcPr>
          <w:p w14:paraId="3A0661B4" w14:textId="77777777" w:rsidR="00A2124B" w:rsidRPr="000350CB" w:rsidRDefault="00A2124B" w:rsidP="008A5C11">
            <w:pPr>
              <w:rPr>
                <w:color w:val="000000"/>
              </w:rPr>
            </w:pPr>
            <w:r w:rsidRPr="000350CB">
              <w:rPr>
                <w:color w:val="000000"/>
              </w:rPr>
              <w:t>400 – 999 м</w:t>
            </w:r>
            <w:r>
              <w:rPr>
                <w:color w:val="000000"/>
              </w:rPr>
              <w:t>³</w:t>
            </w:r>
            <w:r w:rsidRPr="000350CB">
              <w:rPr>
                <w:color w:val="000000"/>
              </w:rPr>
              <w:t>/час</w:t>
            </w:r>
          </w:p>
        </w:tc>
        <w:tc>
          <w:tcPr>
            <w:tcW w:w="1775" w:type="dxa"/>
            <w:vMerge/>
            <w:shd w:val="clear" w:color="auto" w:fill="auto"/>
          </w:tcPr>
          <w:p w14:paraId="21DEF854" w14:textId="77777777" w:rsidR="00A2124B" w:rsidRDefault="00A2124B" w:rsidP="008A5C11">
            <w:pPr>
              <w:jc w:val="center"/>
            </w:pPr>
          </w:p>
        </w:tc>
        <w:tc>
          <w:tcPr>
            <w:tcW w:w="2466" w:type="dxa"/>
            <w:shd w:val="clear" w:color="auto" w:fill="auto"/>
            <w:vAlign w:val="center"/>
          </w:tcPr>
          <w:p w14:paraId="01E9825D" w14:textId="77777777" w:rsidR="00A2124B" w:rsidRPr="00C17EC2" w:rsidRDefault="00A2124B" w:rsidP="008A5C11">
            <w:pPr>
              <w:jc w:val="center"/>
              <w:rPr>
                <w:color w:val="000000"/>
              </w:rPr>
            </w:pPr>
            <w:r w:rsidRPr="00C17EC2">
              <w:rPr>
                <w:color w:val="000000"/>
              </w:rPr>
              <w:t>1 801</w:t>
            </w:r>
          </w:p>
        </w:tc>
      </w:tr>
      <w:tr w:rsidR="00A2124B" w:rsidRPr="00205367" w14:paraId="57E868C4" w14:textId="77777777" w:rsidTr="001C56BD">
        <w:trPr>
          <w:trHeight w:val="3532"/>
        </w:trPr>
        <w:tc>
          <w:tcPr>
            <w:tcW w:w="1297" w:type="dxa"/>
            <w:shd w:val="clear" w:color="auto" w:fill="auto"/>
            <w:vAlign w:val="center"/>
            <w:hideMark/>
          </w:tcPr>
          <w:p w14:paraId="4CBFB412" w14:textId="77777777" w:rsidR="00A2124B" w:rsidRPr="00205367" w:rsidRDefault="00A2124B" w:rsidP="008A5C11">
            <w:pPr>
              <w:jc w:val="center"/>
              <w:rPr>
                <w:color w:val="000000"/>
              </w:rPr>
            </w:pPr>
            <w:r>
              <w:rPr>
                <w:color w:val="000000"/>
              </w:rPr>
              <w:t>6</w:t>
            </w:r>
            <w:r w:rsidRPr="00205367">
              <w:rPr>
                <w:color w:val="000000"/>
              </w:rPr>
              <w:t>.</w:t>
            </w:r>
          </w:p>
        </w:tc>
        <w:tc>
          <w:tcPr>
            <w:tcW w:w="8347" w:type="dxa"/>
            <w:gridSpan w:val="3"/>
            <w:shd w:val="clear" w:color="auto" w:fill="auto"/>
            <w:vAlign w:val="center"/>
            <w:hideMark/>
          </w:tcPr>
          <w:p w14:paraId="716C0428" w14:textId="77777777" w:rsidR="00A2124B" w:rsidRPr="00205367" w:rsidRDefault="00A2124B" w:rsidP="008A5C11">
            <w:pPr>
              <w:rPr>
                <w:color w:val="000000"/>
              </w:rPr>
            </w:pPr>
            <w:r w:rsidRPr="00205367">
              <w:rPr>
                <w:color w:val="000000"/>
              </w:rPr>
              <w:t>Размер стандартизированной тарифной ставки С</w:t>
            </w:r>
            <w:r w:rsidRPr="00205367">
              <w:rPr>
                <w:color w:val="000000"/>
                <w:vertAlign w:val="subscript"/>
              </w:rPr>
              <w:t>7</w:t>
            </w:r>
            <w:r w:rsidRPr="00205367">
              <w:rPr>
                <w:color w:val="000000"/>
              </w:rPr>
              <w:t xml:space="preserve"> на покрытие расходов газораспределительной организации, связанных с мониторингом выполнения Заявителем технических условий и осуществлением фактического присоединения к газораспределительной сети газораспределительной организации,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сети газопотребления Заявителя и существующего или вновь построенного стального (полиэтиленового) газопровода газораспределительной организации, а также бесхозяйного газопровода или газопровода основного абонента, и проведением пуска газа в газоиспользующее оборудование заявителя</w:t>
            </w:r>
            <w:r>
              <w:rPr>
                <w:color w:val="000000"/>
              </w:rPr>
              <w:t xml:space="preserve"> </w:t>
            </w:r>
            <w:r w:rsidRPr="007D6646">
              <w:rPr>
                <w:color w:val="000000"/>
              </w:rPr>
              <w:t>(НДС не облагается</w:t>
            </w:r>
            <w:r>
              <w:rPr>
                <w:color w:val="000000"/>
              </w:rPr>
              <w:t>,</w:t>
            </w:r>
            <w:r>
              <w:t xml:space="preserve"> </w:t>
            </w:r>
            <w:r w:rsidRPr="00960E53">
              <w:rPr>
                <w:color w:val="000000"/>
              </w:rPr>
              <w:t>без налога на прибыль</w:t>
            </w:r>
            <w:r w:rsidRPr="007D6646">
              <w:rPr>
                <w:color w:val="000000"/>
              </w:rPr>
              <w:t>)</w:t>
            </w:r>
            <w:r w:rsidRPr="00205367">
              <w:rPr>
                <w:color w:val="000000"/>
              </w:rPr>
              <w:t>, в том числе:</w:t>
            </w:r>
          </w:p>
        </w:tc>
      </w:tr>
      <w:tr w:rsidR="00A2124B" w:rsidRPr="00205367" w14:paraId="1BBC091B" w14:textId="77777777" w:rsidTr="001C56BD">
        <w:trPr>
          <w:trHeight w:val="1127"/>
        </w:trPr>
        <w:tc>
          <w:tcPr>
            <w:tcW w:w="1297" w:type="dxa"/>
            <w:shd w:val="clear" w:color="auto" w:fill="auto"/>
            <w:vAlign w:val="center"/>
            <w:hideMark/>
          </w:tcPr>
          <w:p w14:paraId="0A081953" w14:textId="77777777" w:rsidR="00A2124B" w:rsidRPr="00205367" w:rsidRDefault="00A2124B" w:rsidP="008A5C11">
            <w:pPr>
              <w:jc w:val="center"/>
              <w:rPr>
                <w:color w:val="000000"/>
              </w:rPr>
            </w:pPr>
            <w:r>
              <w:rPr>
                <w:color w:val="000000"/>
              </w:rPr>
              <w:t>6</w:t>
            </w:r>
            <w:r w:rsidRPr="00205367">
              <w:rPr>
                <w:color w:val="000000"/>
              </w:rPr>
              <w:t>.1.</w:t>
            </w:r>
          </w:p>
        </w:tc>
        <w:tc>
          <w:tcPr>
            <w:tcW w:w="4106" w:type="dxa"/>
            <w:shd w:val="clear" w:color="auto" w:fill="auto"/>
            <w:vAlign w:val="center"/>
            <w:hideMark/>
          </w:tcPr>
          <w:p w14:paraId="73C02AC3" w14:textId="77777777" w:rsidR="00A2124B" w:rsidRPr="00205367" w:rsidRDefault="00A2124B" w:rsidP="008A5C11">
            <w:pPr>
              <w:rPr>
                <w:color w:val="000000"/>
              </w:rPr>
            </w:pPr>
            <w:r w:rsidRPr="00205367">
              <w:rPr>
                <w:color w:val="000000"/>
              </w:rPr>
              <w:t>Размер стандартизированной тарифной ставки С</w:t>
            </w:r>
            <w:r w:rsidRPr="00205367">
              <w:rPr>
                <w:color w:val="000000"/>
                <w:vertAlign w:val="subscript"/>
              </w:rPr>
              <w:t>7.1</w:t>
            </w:r>
            <w:r w:rsidRPr="00205367">
              <w:rPr>
                <w:color w:val="000000"/>
              </w:rPr>
              <w:t>, связанной с мониторингом выполнения заявителем технических условий:</w:t>
            </w:r>
          </w:p>
        </w:tc>
        <w:tc>
          <w:tcPr>
            <w:tcW w:w="1775" w:type="dxa"/>
            <w:shd w:val="clear" w:color="auto" w:fill="auto"/>
            <w:vAlign w:val="center"/>
            <w:hideMark/>
          </w:tcPr>
          <w:p w14:paraId="2E358216" w14:textId="77777777" w:rsidR="00A2124B" w:rsidRPr="00205367" w:rsidRDefault="00A2124B" w:rsidP="008A5C11">
            <w:pPr>
              <w:jc w:val="center"/>
              <w:rPr>
                <w:color w:val="000000"/>
              </w:rPr>
            </w:pPr>
            <w:r w:rsidRPr="00205367">
              <w:rPr>
                <w:color w:val="000000"/>
              </w:rPr>
              <w:t xml:space="preserve">руб. </w:t>
            </w:r>
            <w:r w:rsidRPr="00205367">
              <w:rPr>
                <w:color w:val="2D2D2D"/>
              </w:rPr>
              <w:t>за 1 присоединение</w:t>
            </w:r>
          </w:p>
        </w:tc>
        <w:tc>
          <w:tcPr>
            <w:tcW w:w="2466" w:type="dxa"/>
            <w:shd w:val="clear" w:color="000000" w:fill="FFFFFF"/>
            <w:vAlign w:val="center"/>
            <w:hideMark/>
          </w:tcPr>
          <w:p w14:paraId="55CC5A96" w14:textId="77777777" w:rsidR="00A2124B" w:rsidRPr="00205367" w:rsidRDefault="00A2124B" w:rsidP="008A5C11">
            <w:pPr>
              <w:jc w:val="center"/>
              <w:rPr>
                <w:color w:val="000000"/>
              </w:rPr>
            </w:pPr>
            <w:r w:rsidRPr="00C17EC2">
              <w:rPr>
                <w:color w:val="000000"/>
              </w:rPr>
              <w:t>4 696</w:t>
            </w:r>
          </w:p>
        </w:tc>
      </w:tr>
      <w:tr w:rsidR="00A2124B" w:rsidRPr="00205367" w14:paraId="73E25AC3" w14:textId="77777777" w:rsidTr="001C56BD">
        <w:trPr>
          <w:trHeight w:val="2962"/>
        </w:trPr>
        <w:tc>
          <w:tcPr>
            <w:tcW w:w="1297" w:type="dxa"/>
            <w:shd w:val="clear" w:color="auto" w:fill="auto"/>
            <w:vAlign w:val="center"/>
            <w:hideMark/>
          </w:tcPr>
          <w:p w14:paraId="17B617C5" w14:textId="77777777" w:rsidR="00A2124B" w:rsidRPr="00205367" w:rsidRDefault="00A2124B" w:rsidP="008A5C11">
            <w:pPr>
              <w:jc w:val="center"/>
              <w:rPr>
                <w:color w:val="000000"/>
              </w:rPr>
            </w:pPr>
            <w:r>
              <w:rPr>
                <w:color w:val="000000"/>
              </w:rPr>
              <w:t>6</w:t>
            </w:r>
            <w:r w:rsidRPr="00205367">
              <w:rPr>
                <w:color w:val="000000"/>
              </w:rPr>
              <w:t>.2.</w:t>
            </w:r>
          </w:p>
        </w:tc>
        <w:tc>
          <w:tcPr>
            <w:tcW w:w="8347" w:type="dxa"/>
            <w:gridSpan w:val="3"/>
            <w:shd w:val="clear" w:color="auto" w:fill="auto"/>
            <w:vAlign w:val="center"/>
            <w:hideMark/>
          </w:tcPr>
          <w:p w14:paraId="3FBA9491" w14:textId="77777777" w:rsidR="00A2124B" w:rsidRPr="00205367" w:rsidRDefault="00A2124B" w:rsidP="008A5C11">
            <w:pPr>
              <w:rPr>
                <w:color w:val="000000"/>
              </w:rPr>
            </w:pPr>
            <w:r w:rsidRPr="00205367">
              <w:rPr>
                <w:color w:val="000000"/>
              </w:rPr>
              <w:t>Размер стандартизированной тарифной ставки С</w:t>
            </w:r>
            <w:r w:rsidRPr="00205367">
              <w:rPr>
                <w:color w:val="000000"/>
                <w:vertAlign w:val="subscript"/>
              </w:rPr>
              <w:t>7.2</w:t>
            </w:r>
            <w:r w:rsidRPr="00205367">
              <w:rPr>
                <w:color w:val="000000"/>
              </w:rPr>
              <w:t>, связанной с осуществлением фактического присоединения к газораспределительной сети газораспределительной организации, бесхозяйной газораспределительной сети или сети газораспределения и (или) газопотребления основного абонента, посредством осуществления комплекса технических мероприятий, обеспечивающих физическое соединение (контакт) сети газопотребления заявителя и существующего или вновь построенного стального (полиэтиленового) газопровода газораспределительной организации, а также бесхозяйного газопровода или газопровода основного абонента, и проведением пуска газа в газоиспользующее оборудование заявителя:</w:t>
            </w:r>
          </w:p>
        </w:tc>
      </w:tr>
      <w:tr w:rsidR="00A2124B" w:rsidRPr="00205367" w14:paraId="767D7C42" w14:textId="77777777" w:rsidTr="001C56BD">
        <w:trPr>
          <w:trHeight w:val="356"/>
        </w:trPr>
        <w:tc>
          <w:tcPr>
            <w:tcW w:w="1297" w:type="dxa"/>
            <w:shd w:val="clear" w:color="auto" w:fill="auto"/>
            <w:vAlign w:val="center"/>
            <w:hideMark/>
          </w:tcPr>
          <w:p w14:paraId="4DC0CDBF" w14:textId="77777777" w:rsidR="00A2124B" w:rsidRPr="00205367" w:rsidRDefault="00A2124B" w:rsidP="008A5C11">
            <w:pPr>
              <w:jc w:val="center"/>
              <w:rPr>
                <w:color w:val="000000"/>
              </w:rPr>
            </w:pPr>
            <w:r>
              <w:rPr>
                <w:color w:val="000000"/>
              </w:rPr>
              <w:t>6</w:t>
            </w:r>
            <w:r w:rsidRPr="00205367">
              <w:rPr>
                <w:color w:val="000000"/>
              </w:rPr>
              <w:t>.2.1.</w:t>
            </w:r>
          </w:p>
        </w:tc>
        <w:tc>
          <w:tcPr>
            <w:tcW w:w="8347" w:type="dxa"/>
            <w:gridSpan w:val="3"/>
            <w:shd w:val="clear" w:color="auto" w:fill="auto"/>
            <w:vAlign w:val="center"/>
            <w:hideMark/>
          </w:tcPr>
          <w:p w14:paraId="78A1E93B" w14:textId="77777777" w:rsidR="00A2124B" w:rsidRPr="00205367" w:rsidRDefault="00A2124B" w:rsidP="008A5C11">
            <w:pPr>
              <w:rPr>
                <w:color w:val="000000"/>
              </w:rPr>
            </w:pPr>
            <w:r w:rsidRPr="00205367">
              <w:rPr>
                <w:color w:val="000000"/>
              </w:rPr>
              <w:t>стальных газопроводов:</w:t>
            </w:r>
          </w:p>
        </w:tc>
      </w:tr>
      <w:tr w:rsidR="00A2124B" w:rsidRPr="00205367" w14:paraId="5A6B256C" w14:textId="77777777" w:rsidTr="001C56BD">
        <w:trPr>
          <w:trHeight w:val="406"/>
        </w:trPr>
        <w:tc>
          <w:tcPr>
            <w:tcW w:w="1297" w:type="dxa"/>
            <w:shd w:val="clear" w:color="auto" w:fill="auto"/>
            <w:vAlign w:val="center"/>
            <w:hideMark/>
          </w:tcPr>
          <w:p w14:paraId="4714EBAF" w14:textId="77777777" w:rsidR="00A2124B" w:rsidRPr="00205367" w:rsidRDefault="00A2124B" w:rsidP="008A5C11">
            <w:pPr>
              <w:jc w:val="center"/>
              <w:rPr>
                <w:color w:val="000000"/>
              </w:rPr>
            </w:pPr>
            <w:r>
              <w:rPr>
                <w:color w:val="000000"/>
              </w:rPr>
              <w:t>6</w:t>
            </w:r>
            <w:r w:rsidRPr="00205367">
              <w:rPr>
                <w:color w:val="000000"/>
              </w:rPr>
              <w:t>.2.1.1.</w:t>
            </w:r>
          </w:p>
        </w:tc>
        <w:tc>
          <w:tcPr>
            <w:tcW w:w="8347" w:type="dxa"/>
            <w:gridSpan w:val="3"/>
            <w:shd w:val="clear" w:color="auto" w:fill="auto"/>
            <w:vAlign w:val="center"/>
            <w:hideMark/>
          </w:tcPr>
          <w:p w14:paraId="08A26E39" w14:textId="77777777" w:rsidR="00A2124B" w:rsidRPr="00205367" w:rsidRDefault="00A2124B" w:rsidP="008A5C11">
            <w:pPr>
              <w:rPr>
                <w:color w:val="000000"/>
              </w:rPr>
            </w:pPr>
            <w:r w:rsidRPr="00205367">
              <w:rPr>
                <w:color w:val="000000"/>
              </w:rPr>
              <w:t>наземного (надземного) способа прокладки:</w:t>
            </w:r>
          </w:p>
        </w:tc>
      </w:tr>
      <w:tr w:rsidR="00A2124B" w:rsidRPr="00205367" w14:paraId="080D4094" w14:textId="77777777" w:rsidTr="001C56BD">
        <w:trPr>
          <w:trHeight w:val="412"/>
        </w:trPr>
        <w:tc>
          <w:tcPr>
            <w:tcW w:w="1297" w:type="dxa"/>
            <w:shd w:val="clear" w:color="auto" w:fill="auto"/>
            <w:vAlign w:val="center"/>
            <w:hideMark/>
          </w:tcPr>
          <w:p w14:paraId="5B877A39" w14:textId="77777777" w:rsidR="00A2124B" w:rsidRPr="00205367" w:rsidRDefault="00A2124B" w:rsidP="008A5C11">
            <w:pPr>
              <w:jc w:val="center"/>
              <w:rPr>
                <w:color w:val="000000"/>
              </w:rPr>
            </w:pPr>
            <w:r>
              <w:rPr>
                <w:color w:val="000000"/>
              </w:rPr>
              <w:t>6</w:t>
            </w:r>
            <w:r w:rsidRPr="00205367">
              <w:rPr>
                <w:color w:val="000000"/>
              </w:rPr>
              <w:t>.2.1.1.1.</w:t>
            </w:r>
          </w:p>
        </w:tc>
        <w:tc>
          <w:tcPr>
            <w:tcW w:w="8347" w:type="dxa"/>
            <w:gridSpan w:val="3"/>
            <w:shd w:val="clear" w:color="auto" w:fill="auto"/>
            <w:vAlign w:val="center"/>
            <w:hideMark/>
          </w:tcPr>
          <w:p w14:paraId="7768BC50" w14:textId="77777777" w:rsidR="00A2124B" w:rsidRPr="00205367" w:rsidRDefault="00A2124B" w:rsidP="008A5C11">
            <w:pPr>
              <w:rPr>
                <w:color w:val="000000"/>
              </w:rPr>
            </w:pPr>
            <w:r w:rsidRPr="00205367">
              <w:rPr>
                <w:color w:val="000000"/>
              </w:rPr>
              <w:t>с давлением до 0,005 МПа (включительно) в газопроводе, в который осуществляется врезка, наружным диаметром:</w:t>
            </w:r>
          </w:p>
        </w:tc>
      </w:tr>
      <w:tr w:rsidR="00A2124B" w:rsidRPr="00205367" w14:paraId="3888F2D5" w14:textId="77777777" w:rsidTr="001C56BD">
        <w:trPr>
          <w:trHeight w:val="276"/>
        </w:trPr>
        <w:tc>
          <w:tcPr>
            <w:tcW w:w="1297" w:type="dxa"/>
            <w:shd w:val="clear" w:color="auto" w:fill="auto"/>
            <w:vAlign w:val="center"/>
            <w:hideMark/>
          </w:tcPr>
          <w:p w14:paraId="7F731673" w14:textId="77777777" w:rsidR="00A2124B" w:rsidRPr="00205367" w:rsidRDefault="00A2124B" w:rsidP="008A5C11">
            <w:pPr>
              <w:jc w:val="center"/>
              <w:rPr>
                <w:color w:val="000000"/>
              </w:rPr>
            </w:pPr>
            <w:r>
              <w:rPr>
                <w:color w:val="000000"/>
              </w:rPr>
              <w:t>6</w:t>
            </w:r>
            <w:r w:rsidRPr="00205367">
              <w:rPr>
                <w:color w:val="000000"/>
              </w:rPr>
              <w:t>.2.1.1.1.1.</w:t>
            </w:r>
          </w:p>
        </w:tc>
        <w:tc>
          <w:tcPr>
            <w:tcW w:w="4106" w:type="dxa"/>
            <w:shd w:val="clear" w:color="auto" w:fill="auto"/>
            <w:vAlign w:val="center"/>
            <w:hideMark/>
          </w:tcPr>
          <w:p w14:paraId="7D312BD1" w14:textId="77777777" w:rsidR="00A2124B" w:rsidRPr="00205367" w:rsidRDefault="00A2124B" w:rsidP="008A5C11">
            <w:pPr>
              <w:rPr>
                <w:color w:val="000000"/>
              </w:rPr>
            </w:pPr>
            <w:r w:rsidRPr="00205367">
              <w:rPr>
                <w:color w:val="000000"/>
              </w:rPr>
              <w:t>до 100 мм</w:t>
            </w:r>
          </w:p>
        </w:tc>
        <w:tc>
          <w:tcPr>
            <w:tcW w:w="1775" w:type="dxa"/>
            <w:vMerge w:val="restart"/>
            <w:shd w:val="clear" w:color="auto" w:fill="auto"/>
            <w:vAlign w:val="center"/>
            <w:hideMark/>
          </w:tcPr>
          <w:p w14:paraId="626ADC72" w14:textId="77777777" w:rsidR="00A2124B" w:rsidRPr="00205367" w:rsidRDefault="00A2124B" w:rsidP="008A5C11">
            <w:pPr>
              <w:jc w:val="center"/>
              <w:rPr>
                <w:color w:val="000000"/>
              </w:rPr>
            </w:pPr>
            <w:r w:rsidRPr="00205367">
              <w:rPr>
                <w:color w:val="000000"/>
              </w:rPr>
              <w:t>руб.</w:t>
            </w:r>
            <w:r w:rsidRPr="00205367">
              <w:t xml:space="preserve"> </w:t>
            </w:r>
            <w:r w:rsidRPr="00205367">
              <w:rPr>
                <w:color w:val="000000"/>
              </w:rPr>
              <w:t>за 1 присоединение</w:t>
            </w:r>
          </w:p>
        </w:tc>
        <w:tc>
          <w:tcPr>
            <w:tcW w:w="2466" w:type="dxa"/>
            <w:shd w:val="clear" w:color="auto" w:fill="auto"/>
            <w:vAlign w:val="center"/>
            <w:hideMark/>
          </w:tcPr>
          <w:p w14:paraId="3897F46E" w14:textId="77777777" w:rsidR="00A2124B" w:rsidRPr="00C17EC2" w:rsidRDefault="00A2124B" w:rsidP="008A5C11">
            <w:pPr>
              <w:jc w:val="center"/>
              <w:rPr>
                <w:color w:val="000000"/>
              </w:rPr>
            </w:pPr>
            <w:r w:rsidRPr="00C17EC2">
              <w:rPr>
                <w:color w:val="000000"/>
              </w:rPr>
              <w:t>14 911</w:t>
            </w:r>
          </w:p>
        </w:tc>
      </w:tr>
      <w:tr w:rsidR="00A2124B" w:rsidRPr="00205367" w14:paraId="54CD757D" w14:textId="77777777" w:rsidTr="001C56BD">
        <w:trPr>
          <w:trHeight w:val="276"/>
        </w:trPr>
        <w:tc>
          <w:tcPr>
            <w:tcW w:w="1297" w:type="dxa"/>
            <w:shd w:val="clear" w:color="auto" w:fill="auto"/>
            <w:vAlign w:val="center"/>
            <w:hideMark/>
          </w:tcPr>
          <w:p w14:paraId="78D8AB2B" w14:textId="77777777" w:rsidR="00A2124B" w:rsidRPr="00205367" w:rsidRDefault="00A2124B" w:rsidP="008A5C11">
            <w:pPr>
              <w:jc w:val="center"/>
              <w:rPr>
                <w:color w:val="000000"/>
              </w:rPr>
            </w:pPr>
            <w:r>
              <w:rPr>
                <w:color w:val="000000"/>
              </w:rPr>
              <w:t>6</w:t>
            </w:r>
            <w:r w:rsidRPr="00205367">
              <w:rPr>
                <w:color w:val="000000"/>
              </w:rPr>
              <w:t>.2.1.1.1.2.</w:t>
            </w:r>
          </w:p>
        </w:tc>
        <w:tc>
          <w:tcPr>
            <w:tcW w:w="4106" w:type="dxa"/>
            <w:shd w:val="clear" w:color="auto" w:fill="auto"/>
            <w:vAlign w:val="center"/>
            <w:hideMark/>
          </w:tcPr>
          <w:p w14:paraId="2B2B9000" w14:textId="77777777" w:rsidR="00A2124B" w:rsidRPr="00205367" w:rsidRDefault="00A2124B" w:rsidP="008A5C11">
            <w:pPr>
              <w:rPr>
                <w:color w:val="000000"/>
              </w:rPr>
            </w:pPr>
            <w:r w:rsidRPr="00205367">
              <w:rPr>
                <w:color w:val="000000"/>
              </w:rPr>
              <w:t>101-158 мм</w:t>
            </w:r>
          </w:p>
        </w:tc>
        <w:tc>
          <w:tcPr>
            <w:tcW w:w="1775" w:type="dxa"/>
            <w:vMerge/>
            <w:vAlign w:val="center"/>
            <w:hideMark/>
          </w:tcPr>
          <w:p w14:paraId="414021BF" w14:textId="77777777" w:rsidR="00A2124B" w:rsidRPr="00205367" w:rsidRDefault="00A2124B" w:rsidP="008A5C11">
            <w:pPr>
              <w:rPr>
                <w:color w:val="000000"/>
              </w:rPr>
            </w:pPr>
          </w:p>
        </w:tc>
        <w:tc>
          <w:tcPr>
            <w:tcW w:w="2466" w:type="dxa"/>
            <w:shd w:val="clear" w:color="auto" w:fill="auto"/>
            <w:vAlign w:val="center"/>
            <w:hideMark/>
          </w:tcPr>
          <w:p w14:paraId="545B7CBE" w14:textId="77777777" w:rsidR="00A2124B" w:rsidRPr="00C17EC2" w:rsidRDefault="00A2124B" w:rsidP="008A5C11">
            <w:pPr>
              <w:jc w:val="center"/>
              <w:rPr>
                <w:color w:val="000000"/>
              </w:rPr>
            </w:pPr>
            <w:r w:rsidRPr="00C17EC2">
              <w:rPr>
                <w:color w:val="000000"/>
              </w:rPr>
              <w:t>16 678</w:t>
            </w:r>
          </w:p>
        </w:tc>
      </w:tr>
      <w:tr w:rsidR="00A2124B" w:rsidRPr="00205367" w14:paraId="31000159" w14:textId="77777777" w:rsidTr="001C56BD">
        <w:trPr>
          <w:trHeight w:val="276"/>
        </w:trPr>
        <w:tc>
          <w:tcPr>
            <w:tcW w:w="1297" w:type="dxa"/>
            <w:shd w:val="clear" w:color="auto" w:fill="auto"/>
            <w:vAlign w:val="center"/>
            <w:hideMark/>
          </w:tcPr>
          <w:p w14:paraId="69212EE6" w14:textId="77777777" w:rsidR="00A2124B" w:rsidRPr="00205367" w:rsidRDefault="00A2124B" w:rsidP="008A5C11">
            <w:pPr>
              <w:jc w:val="center"/>
              <w:rPr>
                <w:color w:val="000000"/>
              </w:rPr>
            </w:pPr>
            <w:r>
              <w:rPr>
                <w:color w:val="000000"/>
              </w:rPr>
              <w:t>6</w:t>
            </w:r>
            <w:r w:rsidRPr="00205367">
              <w:rPr>
                <w:color w:val="000000"/>
              </w:rPr>
              <w:t>.2.1.1.1.3.</w:t>
            </w:r>
          </w:p>
        </w:tc>
        <w:tc>
          <w:tcPr>
            <w:tcW w:w="4106" w:type="dxa"/>
            <w:shd w:val="clear" w:color="auto" w:fill="auto"/>
            <w:vAlign w:val="center"/>
            <w:hideMark/>
          </w:tcPr>
          <w:p w14:paraId="39111C60" w14:textId="77777777" w:rsidR="00A2124B" w:rsidRPr="00205367" w:rsidRDefault="00A2124B" w:rsidP="008A5C11">
            <w:pPr>
              <w:rPr>
                <w:color w:val="000000"/>
              </w:rPr>
            </w:pPr>
            <w:r w:rsidRPr="00205367">
              <w:rPr>
                <w:color w:val="000000"/>
              </w:rPr>
              <w:t>159-218 мм</w:t>
            </w:r>
          </w:p>
        </w:tc>
        <w:tc>
          <w:tcPr>
            <w:tcW w:w="1775" w:type="dxa"/>
            <w:vMerge/>
            <w:vAlign w:val="center"/>
            <w:hideMark/>
          </w:tcPr>
          <w:p w14:paraId="607A5B26" w14:textId="77777777" w:rsidR="00A2124B" w:rsidRPr="00205367" w:rsidRDefault="00A2124B" w:rsidP="008A5C11">
            <w:pPr>
              <w:rPr>
                <w:color w:val="000000"/>
              </w:rPr>
            </w:pPr>
          </w:p>
        </w:tc>
        <w:tc>
          <w:tcPr>
            <w:tcW w:w="2466" w:type="dxa"/>
            <w:shd w:val="clear" w:color="auto" w:fill="auto"/>
            <w:vAlign w:val="center"/>
            <w:hideMark/>
          </w:tcPr>
          <w:p w14:paraId="5107BD8F" w14:textId="77777777" w:rsidR="00A2124B" w:rsidRPr="00C17EC2" w:rsidRDefault="00A2124B" w:rsidP="008A5C11">
            <w:pPr>
              <w:jc w:val="center"/>
              <w:rPr>
                <w:color w:val="000000"/>
              </w:rPr>
            </w:pPr>
            <w:r w:rsidRPr="00C17EC2">
              <w:rPr>
                <w:color w:val="000000"/>
              </w:rPr>
              <w:t>50 668</w:t>
            </w:r>
          </w:p>
        </w:tc>
      </w:tr>
      <w:tr w:rsidR="00A2124B" w:rsidRPr="00205367" w14:paraId="22B5FA57" w14:textId="77777777" w:rsidTr="001C56BD">
        <w:trPr>
          <w:trHeight w:val="276"/>
        </w:trPr>
        <w:tc>
          <w:tcPr>
            <w:tcW w:w="1297" w:type="dxa"/>
            <w:shd w:val="clear" w:color="auto" w:fill="auto"/>
            <w:vAlign w:val="center"/>
          </w:tcPr>
          <w:p w14:paraId="68408A79" w14:textId="77777777" w:rsidR="00A2124B" w:rsidRPr="00205367" w:rsidRDefault="00A2124B" w:rsidP="008A5C11">
            <w:pPr>
              <w:jc w:val="center"/>
              <w:rPr>
                <w:color w:val="000000"/>
              </w:rPr>
            </w:pPr>
            <w:r>
              <w:rPr>
                <w:color w:val="000000"/>
              </w:rPr>
              <w:t>6</w:t>
            </w:r>
            <w:r w:rsidRPr="0091309D">
              <w:rPr>
                <w:color w:val="000000"/>
              </w:rPr>
              <w:t>.2.1.1.1.</w:t>
            </w:r>
            <w:r>
              <w:rPr>
                <w:color w:val="000000"/>
              </w:rPr>
              <w:t>4.</w:t>
            </w:r>
          </w:p>
        </w:tc>
        <w:tc>
          <w:tcPr>
            <w:tcW w:w="4106" w:type="dxa"/>
            <w:shd w:val="clear" w:color="auto" w:fill="auto"/>
            <w:vAlign w:val="center"/>
          </w:tcPr>
          <w:p w14:paraId="0F0D2751" w14:textId="77777777" w:rsidR="00A2124B" w:rsidRPr="00205367" w:rsidRDefault="00A2124B" w:rsidP="008A5C11">
            <w:pPr>
              <w:rPr>
                <w:color w:val="000000"/>
              </w:rPr>
            </w:pPr>
            <w:r w:rsidRPr="0091309D">
              <w:rPr>
                <w:color w:val="000000"/>
              </w:rPr>
              <w:t>219-272 мм</w:t>
            </w:r>
          </w:p>
        </w:tc>
        <w:tc>
          <w:tcPr>
            <w:tcW w:w="1775" w:type="dxa"/>
            <w:vMerge/>
            <w:vAlign w:val="center"/>
          </w:tcPr>
          <w:p w14:paraId="06A9FC5C" w14:textId="77777777" w:rsidR="00A2124B" w:rsidRPr="00205367" w:rsidRDefault="00A2124B" w:rsidP="008A5C11">
            <w:pPr>
              <w:rPr>
                <w:color w:val="000000"/>
              </w:rPr>
            </w:pPr>
          </w:p>
        </w:tc>
        <w:tc>
          <w:tcPr>
            <w:tcW w:w="2466" w:type="dxa"/>
            <w:shd w:val="clear" w:color="auto" w:fill="auto"/>
            <w:vAlign w:val="center"/>
          </w:tcPr>
          <w:p w14:paraId="42431629" w14:textId="77777777" w:rsidR="00A2124B" w:rsidRPr="00C17EC2" w:rsidRDefault="00A2124B" w:rsidP="008A5C11">
            <w:pPr>
              <w:jc w:val="center"/>
              <w:rPr>
                <w:color w:val="000000"/>
              </w:rPr>
            </w:pPr>
            <w:r w:rsidRPr="00C17EC2">
              <w:rPr>
                <w:color w:val="000000"/>
              </w:rPr>
              <w:t>61 051</w:t>
            </w:r>
          </w:p>
        </w:tc>
      </w:tr>
      <w:tr w:rsidR="00A2124B" w:rsidRPr="00205367" w14:paraId="1C70A20C" w14:textId="77777777" w:rsidTr="001C56BD">
        <w:trPr>
          <w:trHeight w:val="133"/>
        </w:trPr>
        <w:tc>
          <w:tcPr>
            <w:tcW w:w="1297" w:type="dxa"/>
            <w:shd w:val="clear" w:color="auto" w:fill="auto"/>
            <w:vAlign w:val="center"/>
          </w:tcPr>
          <w:p w14:paraId="3A518E1C" w14:textId="77777777" w:rsidR="00A2124B" w:rsidRPr="00205367" w:rsidRDefault="00A2124B" w:rsidP="008A5C11">
            <w:pPr>
              <w:jc w:val="center"/>
              <w:rPr>
                <w:color w:val="000000"/>
              </w:rPr>
            </w:pPr>
            <w:r w:rsidRPr="00205367">
              <w:rPr>
                <w:color w:val="000000"/>
              </w:rPr>
              <w:t>1</w:t>
            </w:r>
          </w:p>
        </w:tc>
        <w:tc>
          <w:tcPr>
            <w:tcW w:w="4106" w:type="dxa"/>
            <w:shd w:val="clear" w:color="auto" w:fill="auto"/>
            <w:vAlign w:val="center"/>
          </w:tcPr>
          <w:p w14:paraId="65C58BFB" w14:textId="77777777" w:rsidR="00A2124B" w:rsidRPr="00205367" w:rsidRDefault="00A2124B" w:rsidP="008A5C11">
            <w:pPr>
              <w:jc w:val="center"/>
              <w:rPr>
                <w:color w:val="000000"/>
              </w:rPr>
            </w:pPr>
            <w:r w:rsidRPr="00205367">
              <w:rPr>
                <w:color w:val="000000"/>
              </w:rPr>
              <w:t>2</w:t>
            </w:r>
          </w:p>
        </w:tc>
        <w:tc>
          <w:tcPr>
            <w:tcW w:w="1775" w:type="dxa"/>
            <w:shd w:val="clear" w:color="auto" w:fill="auto"/>
            <w:vAlign w:val="center"/>
          </w:tcPr>
          <w:p w14:paraId="669804C8" w14:textId="77777777" w:rsidR="00A2124B" w:rsidRPr="00205367" w:rsidRDefault="00A2124B" w:rsidP="008A5C11">
            <w:pPr>
              <w:jc w:val="center"/>
              <w:rPr>
                <w:color w:val="000000"/>
              </w:rPr>
            </w:pPr>
            <w:r w:rsidRPr="00205367">
              <w:rPr>
                <w:color w:val="000000"/>
              </w:rPr>
              <w:t>3</w:t>
            </w:r>
          </w:p>
        </w:tc>
        <w:tc>
          <w:tcPr>
            <w:tcW w:w="2466" w:type="dxa"/>
            <w:shd w:val="clear" w:color="000000" w:fill="FFFFFF"/>
            <w:vAlign w:val="center"/>
          </w:tcPr>
          <w:p w14:paraId="70FC5C5F" w14:textId="77777777" w:rsidR="00A2124B" w:rsidRPr="00205367" w:rsidRDefault="00A2124B" w:rsidP="008A5C11">
            <w:pPr>
              <w:jc w:val="center"/>
              <w:rPr>
                <w:color w:val="000000"/>
              </w:rPr>
            </w:pPr>
            <w:r w:rsidRPr="00205367">
              <w:rPr>
                <w:color w:val="000000"/>
              </w:rPr>
              <w:t>4</w:t>
            </w:r>
          </w:p>
        </w:tc>
      </w:tr>
      <w:tr w:rsidR="00A2124B" w:rsidRPr="00205367" w14:paraId="420970E9" w14:textId="77777777" w:rsidTr="001C56BD">
        <w:trPr>
          <w:trHeight w:val="621"/>
        </w:trPr>
        <w:tc>
          <w:tcPr>
            <w:tcW w:w="1297" w:type="dxa"/>
            <w:shd w:val="clear" w:color="auto" w:fill="auto"/>
            <w:vAlign w:val="center"/>
            <w:hideMark/>
          </w:tcPr>
          <w:p w14:paraId="280571D0" w14:textId="77777777" w:rsidR="00A2124B" w:rsidRPr="00205367" w:rsidRDefault="00A2124B" w:rsidP="008A5C11">
            <w:pPr>
              <w:jc w:val="center"/>
              <w:rPr>
                <w:color w:val="000000"/>
              </w:rPr>
            </w:pPr>
            <w:r>
              <w:rPr>
                <w:color w:val="000000"/>
              </w:rPr>
              <w:t>6</w:t>
            </w:r>
            <w:r w:rsidRPr="00205367">
              <w:rPr>
                <w:color w:val="000000"/>
              </w:rPr>
              <w:t>.2.1.1.2.</w:t>
            </w:r>
          </w:p>
        </w:tc>
        <w:tc>
          <w:tcPr>
            <w:tcW w:w="8347" w:type="dxa"/>
            <w:gridSpan w:val="3"/>
            <w:shd w:val="clear" w:color="auto" w:fill="auto"/>
            <w:vAlign w:val="center"/>
            <w:hideMark/>
          </w:tcPr>
          <w:p w14:paraId="73EC0F07" w14:textId="77777777" w:rsidR="00A2124B" w:rsidRPr="00205367" w:rsidRDefault="00A2124B" w:rsidP="008A5C11">
            <w:pPr>
              <w:rPr>
                <w:color w:val="000000"/>
              </w:rPr>
            </w:pPr>
            <w:r w:rsidRPr="00205367">
              <w:rPr>
                <w:color w:val="000000"/>
              </w:rPr>
              <w:t>с давлением от 0,005 МПа до 1,2 МПа (включительно) в газопроводе, в который осуществляется врезка, наружным диаметром:</w:t>
            </w:r>
          </w:p>
        </w:tc>
      </w:tr>
      <w:tr w:rsidR="00A2124B" w:rsidRPr="00205367" w14:paraId="54557498" w14:textId="77777777" w:rsidTr="001C56BD">
        <w:trPr>
          <w:trHeight w:val="276"/>
        </w:trPr>
        <w:tc>
          <w:tcPr>
            <w:tcW w:w="1297" w:type="dxa"/>
            <w:shd w:val="clear" w:color="auto" w:fill="auto"/>
            <w:vAlign w:val="center"/>
            <w:hideMark/>
          </w:tcPr>
          <w:p w14:paraId="7F3D6DBD" w14:textId="77777777" w:rsidR="00A2124B" w:rsidRPr="00205367" w:rsidRDefault="00A2124B" w:rsidP="008A5C11">
            <w:pPr>
              <w:jc w:val="center"/>
              <w:rPr>
                <w:color w:val="000000"/>
              </w:rPr>
            </w:pPr>
            <w:r>
              <w:rPr>
                <w:color w:val="000000"/>
              </w:rPr>
              <w:t>6</w:t>
            </w:r>
            <w:r w:rsidRPr="00205367">
              <w:rPr>
                <w:color w:val="000000"/>
              </w:rPr>
              <w:t>.2.1.1.2.1.</w:t>
            </w:r>
          </w:p>
        </w:tc>
        <w:tc>
          <w:tcPr>
            <w:tcW w:w="4106" w:type="dxa"/>
            <w:shd w:val="clear" w:color="auto" w:fill="auto"/>
            <w:vAlign w:val="center"/>
            <w:hideMark/>
          </w:tcPr>
          <w:p w14:paraId="72A7D65B" w14:textId="77777777" w:rsidR="00A2124B" w:rsidRPr="00205367" w:rsidRDefault="00A2124B" w:rsidP="008A5C11">
            <w:r w:rsidRPr="00205367">
              <w:t>до 100 мм</w:t>
            </w:r>
          </w:p>
        </w:tc>
        <w:tc>
          <w:tcPr>
            <w:tcW w:w="1775" w:type="dxa"/>
            <w:vMerge w:val="restart"/>
            <w:shd w:val="clear" w:color="auto" w:fill="auto"/>
            <w:vAlign w:val="center"/>
            <w:hideMark/>
          </w:tcPr>
          <w:p w14:paraId="2BD75413" w14:textId="77777777" w:rsidR="00A2124B" w:rsidRPr="00205367" w:rsidRDefault="00A2124B" w:rsidP="008A5C11">
            <w:pPr>
              <w:jc w:val="center"/>
            </w:pPr>
            <w:r w:rsidRPr="00205367">
              <w:rPr>
                <w:color w:val="000000"/>
              </w:rPr>
              <w:t>руб.</w:t>
            </w:r>
            <w:r w:rsidRPr="00205367">
              <w:t xml:space="preserve"> </w:t>
            </w:r>
            <w:r w:rsidRPr="00205367">
              <w:rPr>
                <w:color w:val="000000"/>
              </w:rPr>
              <w:t>за 1 присоединение</w:t>
            </w:r>
          </w:p>
        </w:tc>
        <w:tc>
          <w:tcPr>
            <w:tcW w:w="2466" w:type="dxa"/>
            <w:shd w:val="clear" w:color="auto" w:fill="auto"/>
            <w:vAlign w:val="center"/>
            <w:hideMark/>
          </w:tcPr>
          <w:p w14:paraId="7EC12FD8" w14:textId="77777777" w:rsidR="00A2124B" w:rsidRPr="00C17EC2" w:rsidRDefault="00A2124B" w:rsidP="008A5C11">
            <w:pPr>
              <w:jc w:val="center"/>
              <w:rPr>
                <w:color w:val="000000"/>
              </w:rPr>
            </w:pPr>
            <w:r w:rsidRPr="00C17EC2">
              <w:rPr>
                <w:color w:val="000000"/>
              </w:rPr>
              <w:t>24 230</w:t>
            </w:r>
          </w:p>
        </w:tc>
      </w:tr>
      <w:tr w:rsidR="00A2124B" w:rsidRPr="00205367" w14:paraId="103B351D" w14:textId="77777777" w:rsidTr="001C56BD">
        <w:trPr>
          <w:trHeight w:val="276"/>
        </w:trPr>
        <w:tc>
          <w:tcPr>
            <w:tcW w:w="1297" w:type="dxa"/>
            <w:shd w:val="clear" w:color="auto" w:fill="auto"/>
            <w:vAlign w:val="center"/>
            <w:hideMark/>
          </w:tcPr>
          <w:p w14:paraId="6D66C043" w14:textId="77777777" w:rsidR="00A2124B" w:rsidRPr="00205367" w:rsidRDefault="00A2124B" w:rsidP="008A5C11">
            <w:pPr>
              <w:jc w:val="center"/>
              <w:rPr>
                <w:color w:val="000000"/>
              </w:rPr>
            </w:pPr>
            <w:r>
              <w:rPr>
                <w:color w:val="000000"/>
              </w:rPr>
              <w:t>6</w:t>
            </w:r>
            <w:r w:rsidRPr="00205367">
              <w:rPr>
                <w:color w:val="000000"/>
              </w:rPr>
              <w:t>.2.1.1.2.2.</w:t>
            </w:r>
          </w:p>
        </w:tc>
        <w:tc>
          <w:tcPr>
            <w:tcW w:w="4106" w:type="dxa"/>
            <w:shd w:val="clear" w:color="auto" w:fill="auto"/>
            <w:vAlign w:val="center"/>
            <w:hideMark/>
          </w:tcPr>
          <w:p w14:paraId="19EAAA67" w14:textId="77777777" w:rsidR="00A2124B" w:rsidRPr="00205367" w:rsidRDefault="00A2124B" w:rsidP="008A5C11">
            <w:r w:rsidRPr="00205367">
              <w:t>101-158 мм</w:t>
            </w:r>
          </w:p>
        </w:tc>
        <w:tc>
          <w:tcPr>
            <w:tcW w:w="1775" w:type="dxa"/>
            <w:vMerge/>
            <w:vAlign w:val="center"/>
            <w:hideMark/>
          </w:tcPr>
          <w:p w14:paraId="5A97DFCC" w14:textId="77777777" w:rsidR="00A2124B" w:rsidRPr="00205367" w:rsidRDefault="00A2124B" w:rsidP="008A5C11"/>
        </w:tc>
        <w:tc>
          <w:tcPr>
            <w:tcW w:w="2466" w:type="dxa"/>
            <w:shd w:val="clear" w:color="auto" w:fill="auto"/>
            <w:vAlign w:val="center"/>
            <w:hideMark/>
          </w:tcPr>
          <w:p w14:paraId="0F717FA9" w14:textId="77777777" w:rsidR="00A2124B" w:rsidRPr="00C17EC2" w:rsidRDefault="00A2124B" w:rsidP="008A5C11">
            <w:pPr>
              <w:jc w:val="center"/>
              <w:rPr>
                <w:color w:val="000000"/>
              </w:rPr>
            </w:pPr>
            <w:r w:rsidRPr="00C17EC2">
              <w:rPr>
                <w:color w:val="000000"/>
              </w:rPr>
              <w:t>36 005</w:t>
            </w:r>
          </w:p>
        </w:tc>
      </w:tr>
      <w:tr w:rsidR="00A2124B" w:rsidRPr="00205367" w14:paraId="57647029" w14:textId="77777777" w:rsidTr="001C56BD">
        <w:trPr>
          <w:trHeight w:val="276"/>
        </w:trPr>
        <w:tc>
          <w:tcPr>
            <w:tcW w:w="1297" w:type="dxa"/>
            <w:shd w:val="clear" w:color="auto" w:fill="auto"/>
            <w:vAlign w:val="center"/>
            <w:hideMark/>
          </w:tcPr>
          <w:p w14:paraId="4A714E49" w14:textId="77777777" w:rsidR="00A2124B" w:rsidRPr="00205367" w:rsidRDefault="00A2124B" w:rsidP="008A5C11">
            <w:pPr>
              <w:jc w:val="center"/>
              <w:rPr>
                <w:color w:val="000000"/>
              </w:rPr>
            </w:pPr>
            <w:r>
              <w:rPr>
                <w:color w:val="000000"/>
              </w:rPr>
              <w:t>6</w:t>
            </w:r>
            <w:r w:rsidRPr="00205367">
              <w:rPr>
                <w:color w:val="000000"/>
              </w:rPr>
              <w:t>.2.1.1.2.3.</w:t>
            </w:r>
          </w:p>
        </w:tc>
        <w:tc>
          <w:tcPr>
            <w:tcW w:w="4106" w:type="dxa"/>
            <w:shd w:val="clear" w:color="auto" w:fill="auto"/>
            <w:vAlign w:val="center"/>
            <w:hideMark/>
          </w:tcPr>
          <w:p w14:paraId="77D51B8F" w14:textId="77777777" w:rsidR="00A2124B" w:rsidRPr="00205367" w:rsidRDefault="00A2124B" w:rsidP="008A5C11">
            <w:r w:rsidRPr="00205367">
              <w:t>159-218 мм</w:t>
            </w:r>
          </w:p>
        </w:tc>
        <w:tc>
          <w:tcPr>
            <w:tcW w:w="1775" w:type="dxa"/>
            <w:vMerge/>
            <w:vAlign w:val="center"/>
            <w:hideMark/>
          </w:tcPr>
          <w:p w14:paraId="458F435F" w14:textId="77777777" w:rsidR="00A2124B" w:rsidRPr="00205367" w:rsidRDefault="00A2124B" w:rsidP="008A5C11"/>
        </w:tc>
        <w:tc>
          <w:tcPr>
            <w:tcW w:w="2466" w:type="dxa"/>
            <w:shd w:val="clear" w:color="auto" w:fill="auto"/>
            <w:vAlign w:val="center"/>
            <w:hideMark/>
          </w:tcPr>
          <w:p w14:paraId="24186842" w14:textId="77777777" w:rsidR="00A2124B" w:rsidRPr="00C17EC2" w:rsidRDefault="00A2124B" w:rsidP="008A5C11">
            <w:pPr>
              <w:jc w:val="center"/>
              <w:rPr>
                <w:color w:val="000000"/>
              </w:rPr>
            </w:pPr>
            <w:r w:rsidRPr="00C17EC2">
              <w:rPr>
                <w:color w:val="000000"/>
              </w:rPr>
              <w:t>48 287</w:t>
            </w:r>
          </w:p>
        </w:tc>
      </w:tr>
      <w:tr w:rsidR="00A2124B" w:rsidRPr="00205367" w14:paraId="614DCBAE" w14:textId="77777777" w:rsidTr="001C56BD">
        <w:trPr>
          <w:trHeight w:val="276"/>
        </w:trPr>
        <w:tc>
          <w:tcPr>
            <w:tcW w:w="1297" w:type="dxa"/>
            <w:shd w:val="clear" w:color="auto" w:fill="auto"/>
            <w:vAlign w:val="center"/>
            <w:hideMark/>
          </w:tcPr>
          <w:p w14:paraId="432FB9F9" w14:textId="77777777" w:rsidR="00A2124B" w:rsidRPr="00205367" w:rsidRDefault="00A2124B" w:rsidP="008A5C11">
            <w:pPr>
              <w:jc w:val="center"/>
              <w:rPr>
                <w:color w:val="000000"/>
              </w:rPr>
            </w:pPr>
            <w:r>
              <w:rPr>
                <w:color w:val="000000"/>
              </w:rPr>
              <w:t>6</w:t>
            </w:r>
            <w:r w:rsidRPr="00205367">
              <w:rPr>
                <w:color w:val="000000"/>
              </w:rPr>
              <w:t>.2.1.1.2.4.</w:t>
            </w:r>
          </w:p>
        </w:tc>
        <w:tc>
          <w:tcPr>
            <w:tcW w:w="4106" w:type="dxa"/>
            <w:shd w:val="clear" w:color="auto" w:fill="auto"/>
            <w:vAlign w:val="center"/>
            <w:hideMark/>
          </w:tcPr>
          <w:p w14:paraId="18FE6093" w14:textId="77777777" w:rsidR="00A2124B" w:rsidRPr="00205367" w:rsidRDefault="00A2124B" w:rsidP="008A5C11">
            <w:r w:rsidRPr="00205367">
              <w:t>219-272 мм</w:t>
            </w:r>
          </w:p>
        </w:tc>
        <w:tc>
          <w:tcPr>
            <w:tcW w:w="1775" w:type="dxa"/>
            <w:vMerge/>
            <w:vAlign w:val="center"/>
            <w:hideMark/>
          </w:tcPr>
          <w:p w14:paraId="71CB9614" w14:textId="77777777" w:rsidR="00A2124B" w:rsidRPr="00205367" w:rsidRDefault="00A2124B" w:rsidP="008A5C11"/>
        </w:tc>
        <w:tc>
          <w:tcPr>
            <w:tcW w:w="2466" w:type="dxa"/>
            <w:shd w:val="clear" w:color="auto" w:fill="auto"/>
            <w:vAlign w:val="center"/>
            <w:hideMark/>
          </w:tcPr>
          <w:p w14:paraId="2A4983B0" w14:textId="77777777" w:rsidR="00A2124B" w:rsidRPr="00C17EC2" w:rsidRDefault="00A2124B" w:rsidP="008A5C11">
            <w:pPr>
              <w:jc w:val="center"/>
              <w:rPr>
                <w:color w:val="000000"/>
              </w:rPr>
            </w:pPr>
            <w:r w:rsidRPr="00C17EC2">
              <w:rPr>
                <w:color w:val="000000"/>
              </w:rPr>
              <w:t>48 287</w:t>
            </w:r>
          </w:p>
        </w:tc>
      </w:tr>
      <w:tr w:rsidR="00A2124B" w:rsidRPr="00205367" w14:paraId="4C89D7BF" w14:textId="77777777" w:rsidTr="001C56BD">
        <w:trPr>
          <w:trHeight w:val="276"/>
        </w:trPr>
        <w:tc>
          <w:tcPr>
            <w:tcW w:w="1297" w:type="dxa"/>
            <w:shd w:val="clear" w:color="auto" w:fill="auto"/>
            <w:vAlign w:val="center"/>
            <w:hideMark/>
          </w:tcPr>
          <w:p w14:paraId="008BBCC3" w14:textId="77777777" w:rsidR="00A2124B" w:rsidRPr="00205367" w:rsidRDefault="00A2124B" w:rsidP="008A5C11">
            <w:pPr>
              <w:jc w:val="center"/>
              <w:rPr>
                <w:color w:val="000000"/>
              </w:rPr>
            </w:pPr>
            <w:r>
              <w:rPr>
                <w:color w:val="000000"/>
              </w:rPr>
              <w:t>6</w:t>
            </w:r>
            <w:r w:rsidRPr="00205367">
              <w:rPr>
                <w:color w:val="000000"/>
              </w:rPr>
              <w:t>.2.1.1.2.5.</w:t>
            </w:r>
          </w:p>
        </w:tc>
        <w:tc>
          <w:tcPr>
            <w:tcW w:w="4106" w:type="dxa"/>
            <w:shd w:val="clear" w:color="auto" w:fill="auto"/>
            <w:vAlign w:val="center"/>
            <w:hideMark/>
          </w:tcPr>
          <w:p w14:paraId="0BD5438F" w14:textId="77777777" w:rsidR="00A2124B" w:rsidRPr="00205367" w:rsidRDefault="00A2124B" w:rsidP="008A5C11">
            <w:r w:rsidRPr="00205367">
              <w:t>273-324 мм</w:t>
            </w:r>
          </w:p>
        </w:tc>
        <w:tc>
          <w:tcPr>
            <w:tcW w:w="1775" w:type="dxa"/>
            <w:vMerge/>
            <w:vAlign w:val="center"/>
            <w:hideMark/>
          </w:tcPr>
          <w:p w14:paraId="0F8D79B4" w14:textId="77777777" w:rsidR="00A2124B" w:rsidRPr="00205367" w:rsidRDefault="00A2124B" w:rsidP="008A5C11"/>
        </w:tc>
        <w:tc>
          <w:tcPr>
            <w:tcW w:w="2466" w:type="dxa"/>
            <w:shd w:val="clear" w:color="auto" w:fill="auto"/>
            <w:vAlign w:val="center"/>
            <w:hideMark/>
          </w:tcPr>
          <w:p w14:paraId="4182A893" w14:textId="77777777" w:rsidR="00A2124B" w:rsidRPr="00C17EC2" w:rsidRDefault="00A2124B" w:rsidP="008A5C11">
            <w:pPr>
              <w:jc w:val="center"/>
              <w:rPr>
                <w:color w:val="000000"/>
              </w:rPr>
            </w:pPr>
            <w:r w:rsidRPr="00C17EC2">
              <w:rPr>
                <w:color w:val="000000"/>
              </w:rPr>
              <w:t>66 950</w:t>
            </w:r>
          </w:p>
        </w:tc>
      </w:tr>
      <w:tr w:rsidR="00A2124B" w:rsidRPr="00205367" w14:paraId="39DFF911" w14:textId="77777777" w:rsidTr="001C56BD">
        <w:trPr>
          <w:trHeight w:val="276"/>
        </w:trPr>
        <w:tc>
          <w:tcPr>
            <w:tcW w:w="1297" w:type="dxa"/>
            <w:shd w:val="clear" w:color="auto" w:fill="auto"/>
            <w:vAlign w:val="center"/>
            <w:hideMark/>
          </w:tcPr>
          <w:p w14:paraId="5F268F5B" w14:textId="77777777" w:rsidR="00A2124B" w:rsidRPr="00205367" w:rsidRDefault="00A2124B" w:rsidP="008A5C11">
            <w:pPr>
              <w:jc w:val="center"/>
              <w:rPr>
                <w:color w:val="000000"/>
              </w:rPr>
            </w:pPr>
            <w:r>
              <w:rPr>
                <w:color w:val="000000"/>
              </w:rPr>
              <w:t>6</w:t>
            </w:r>
            <w:r w:rsidRPr="00205367">
              <w:rPr>
                <w:color w:val="000000"/>
              </w:rPr>
              <w:t>.2.1.1.2.6.</w:t>
            </w:r>
          </w:p>
        </w:tc>
        <w:tc>
          <w:tcPr>
            <w:tcW w:w="4106" w:type="dxa"/>
            <w:shd w:val="clear" w:color="auto" w:fill="auto"/>
            <w:vAlign w:val="center"/>
            <w:hideMark/>
          </w:tcPr>
          <w:p w14:paraId="65566F25" w14:textId="77777777" w:rsidR="00A2124B" w:rsidRPr="00205367" w:rsidRDefault="00A2124B" w:rsidP="008A5C11">
            <w:r w:rsidRPr="00205367">
              <w:t>325-425 мм</w:t>
            </w:r>
          </w:p>
        </w:tc>
        <w:tc>
          <w:tcPr>
            <w:tcW w:w="1775" w:type="dxa"/>
            <w:vMerge/>
            <w:vAlign w:val="center"/>
            <w:hideMark/>
          </w:tcPr>
          <w:p w14:paraId="3FF2DD85" w14:textId="77777777" w:rsidR="00A2124B" w:rsidRPr="00205367" w:rsidRDefault="00A2124B" w:rsidP="008A5C11"/>
        </w:tc>
        <w:tc>
          <w:tcPr>
            <w:tcW w:w="2466" w:type="dxa"/>
            <w:shd w:val="clear" w:color="auto" w:fill="auto"/>
            <w:vAlign w:val="center"/>
            <w:hideMark/>
          </w:tcPr>
          <w:p w14:paraId="6329138D" w14:textId="77777777" w:rsidR="00A2124B" w:rsidRPr="00C17EC2" w:rsidRDefault="00A2124B" w:rsidP="008A5C11">
            <w:pPr>
              <w:jc w:val="center"/>
              <w:rPr>
                <w:color w:val="000000"/>
              </w:rPr>
            </w:pPr>
            <w:r w:rsidRPr="00C17EC2">
              <w:rPr>
                <w:color w:val="000000"/>
              </w:rPr>
              <w:t>69 760</w:t>
            </w:r>
          </w:p>
        </w:tc>
      </w:tr>
      <w:tr w:rsidR="00A2124B" w:rsidRPr="00205367" w14:paraId="65263A18" w14:textId="77777777" w:rsidTr="001C56BD">
        <w:trPr>
          <w:trHeight w:val="276"/>
        </w:trPr>
        <w:tc>
          <w:tcPr>
            <w:tcW w:w="1297" w:type="dxa"/>
            <w:shd w:val="clear" w:color="auto" w:fill="auto"/>
            <w:vAlign w:val="center"/>
            <w:hideMark/>
          </w:tcPr>
          <w:p w14:paraId="6062C9C8" w14:textId="77777777" w:rsidR="00A2124B" w:rsidRPr="00205367" w:rsidRDefault="00A2124B" w:rsidP="008A5C11">
            <w:pPr>
              <w:jc w:val="center"/>
              <w:rPr>
                <w:color w:val="000000"/>
              </w:rPr>
            </w:pPr>
            <w:r>
              <w:rPr>
                <w:color w:val="000000"/>
              </w:rPr>
              <w:t>6</w:t>
            </w:r>
            <w:r w:rsidRPr="00205367">
              <w:rPr>
                <w:color w:val="000000"/>
              </w:rPr>
              <w:t>.2.1.1.2.7.</w:t>
            </w:r>
          </w:p>
        </w:tc>
        <w:tc>
          <w:tcPr>
            <w:tcW w:w="4106" w:type="dxa"/>
            <w:shd w:val="clear" w:color="auto" w:fill="auto"/>
            <w:vAlign w:val="center"/>
            <w:hideMark/>
          </w:tcPr>
          <w:p w14:paraId="48E3D7DF" w14:textId="77777777" w:rsidR="00A2124B" w:rsidRPr="00205367" w:rsidRDefault="00A2124B" w:rsidP="008A5C11">
            <w:r w:rsidRPr="00205367">
              <w:t>426-529 мм</w:t>
            </w:r>
          </w:p>
        </w:tc>
        <w:tc>
          <w:tcPr>
            <w:tcW w:w="1775" w:type="dxa"/>
            <w:vMerge/>
            <w:vAlign w:val="center"/>
            <w:hideMark/>
          </w:tcPr>
          <w:p w14:paraId="67DD5429" w14:textId="77777777" w:rsidR="00A2124B" w:rsidRPr="00205367" w:rsidRDefault="00A2124B" w:rsidP="008A5C11"/>
        </w:tc>
        <w:tc>
          <w:tcPr>
            <w:tcW w:w="2466" w:type="dxa"/>
            <w:shd w:val="clear" w:color="auto" w:fill="auto"/>
            <w:vAlign w:val="center"/>
            <w:hideMark/>
          </w:tcPr>
          <w:p w14:paraId="30F2940B" w14:textId="77777777" w:rsidR="00A2124B" w:rsidRPr="00C17EC2" w:rsidRDefault="00A2124B" w:rsidP="008A5C11">
            <w:pPr>
              <w:jc w:val="center"/>
              <w:rPr>
                <w:color w:val="000000"/>
              </w:rPr>
            </w:pPr>
            <w:r w:rsidRPr="00C17EC2">
              <w:rPr>
                <w:color w:val="000000"/>
              </w:rPr>
              <w:t>70 026</w:t>
            </w:r>
          </w:p>
        </w:tc>
      </w:tr>
      <w:tr w:rsidR="00A2124B" w:rsidRPr="00205367" w14:paraId="491FF05C" w14:textId="77777777" w:rsidTr="001C56BD">
        <w:trPr>
          <w:trHeight w:val="276"/>
        </w:trPr>
        <w:tc>
          <w:tcPr>
            <w:tcW w:w="1297" w:type="dxa"/>
            <w:shd w:val="clear" w:color="auto" w:fill="auto"/>
            <w:vAlign w:val="center"/>
            <w:hideMark/>
          </w:tcPr>
          <w:p w14:paraId="068F8B3B" w14:textId="77777777" w:rsidR="00A2124B" w:rsidRPr="00205367" w:rsidRDefault="00A2124B" w:rsidP="008A5C11">
            <w:pPr>
              <w:jc w:val="center"/>
              <w:rPr>
                <w:color w:val="000000"/>
              </w:rPr>
            </w:pPr>
            <w:r>
              <w:rPr>
                <w:color w:val="000000"/>
              </w:rPr>
              <w:t>6</w:t>
            </w:r>
            <w:r w:rsidRPr="00205367">
              <w:rPr>
                <w:color w:val="000000"/>
              </w:rPr>
              <w:t>.2.1.1.2.8.</w:t>
            </w:r>
          </w:p>
        </w:tc>
        <w:tc>
          <w:tcPr>
            <w:tcW w:w="4106" w:type="dxa"/>
            <w:shd w:val="clear" w:color="auto" w:fill="auto"/>
            <w:vAlign w:val="center"/>
            <w:hideMark/>
          </w:tcPr>
          <w:p w14:paraId="4BDD081C" w14:textId="77777777" w:rsidR="00A2124B" w:rsidRPr="00205367" w:rsidRDefault="00A2124B" w:rsidP="008A5C11">
            <w:r w:rsidRPr="00205367">
              <w:t>530 мм и выше</w:t>
            </w:r>
          </w:p>
        </w:tc>
        <w:tc>
          <w:tcPr>
            <w:tcW w:w="1775" w:type="dxa"/>
            <w:vMerge/>
            <w:vAlign w:val="center"/>
            <w:hideMark/>
          </w:tcPr>
          <w:p w14:paraId="798D046B" w14:textId="77777777" w:rsidR="00A2124B" w:rsidRPr="00205367" w:rsidRDefault="00A2124B" w:rsidP="008A5C11"/>
        </w:tc>
        <w:tc>
          <w:tcPr>
            <w:tcW w:w="2466" w:type="dxa"/>
            <w:shd w:val="clear" w:color="auto" w:fill="auto"/>
            <w:vAlign w:val="center"/>
            <w:hideMark/>
          </w:tcPr>
          <w:p w14:paraId="31EF6C71" w14:textId="77777777" w:rsidR="00A2124B" w:rsidRPr="00C17EC2" w:rsidRDefault="00A2124B" w:rsidP="008A5C11">
            <w:pPr>
              <w:jc w:val="center"/>
              <w:rPr>
                <w:color w:val="000000"/>
              </w:rPr>
            </w:pPr>
            <w:r w:rsidRPr="00C17EC2">
              <w:rPr>
                <w:color w:val="000000"/>
              </w:rPr>
              <w:t>70 026</w:t>
            </w:r>
          </w:p>
        </w:tc>
      </w:tr>
      <w:tr w:rsidR="00A2124B" w:rsidRPr="00205367" w14:paraId="77DD9C7E" w14:textId="77777777" w:rsidTr="001C56BD">
        <w:trPr>
          <w:trHeight w:val="276"/>
        </w:trPr>
        <w:tc>
          <w:tcPr>
            <w:tcW w:w="1297" w:type="dxa"/>
            <w:shd w:val="clear" w:color="auto" w:fill="auto"/>
            <w:vAlign w:val="center"/>
            <w:hideMark/>
          </w:tcPr>
          <w:p w14:paraId="6954D3EF" w14:textId="77777777" w:rsidR="00A2124B" w:rsidRPr="00205367" w:rsidRDefault="00A2124B" w:rsidP="008A5C11">
            <w:pPr>
              <w:jc w:val="center"/>
              <w:rPr>
                <w:color w:val="000000"/>
              </w:rPr>
            </w:pPr>
            <w:r>
              <w:rPr>
                <w:color w:val="000000"/>
              </w:rPr>
              <w:t>6</w:t>
            </w:r>
            <w:r w:rsidRPr="00205367">
              <w:rPr>
                <w:color w:val="000000"/>
              </w:rPr>
              <w:t>.2.1.2.</w:t>
            </w:r>
          </w:p>
        </w:tc>
        <w:tc>
          <w:tcPr>
            <w:tcW w:w="8347" w:type="dxa"/>
            <w:gridSpan w:val="3"/>
            <w:shd w:val="clear" w:color="auto" w:fill="auto"/>
            <w:vAlign w:val="center"/>
            <w:hideMark/>
          </w:tcPr>
          <w:p w14:paraId="765361D8" w14:textId="77777777" w:rsidR="00A2124B" w:rsidRPr="00205367" w:rsidRDefault="00A2124B" w:rsidP="008A5C11">
            <w:r w:rsidRPr="00205367">
              <w:t>подземного типа прокладки:</w:t>
            </w:r>
          </w:p>
        </w:tc>
      </w:tr>
      <w:tr w:rsidR="00A2124B" w:rsidRPr="00205367" w14:paraId="2EBACBD8" w14:textId="77777777" w:rsidTr="001C56BD">
        <w:trPr>
          <w:trHeight w:val="276"/>
        </w:trPr>
        <w:tc>
          <w:tcPr>
            <w:tcW w:w="1297" w:type="dxa"/>
            <w:shd w:val="clear" w:color="auto" w:fill="auto"/>
            <w:vAlign w:val="center"/>
          </w:tcPr>
          <w:p w14:paraId="0BC985E3" w14:textId="77777777" w:rsidR="00A2124B" w:rsidRPr="00205367" w:rsidRDefault="00A2124B" w:rsidP="008A5C11">
            <w:pPr>
              <w:jc w:val="center"/>
              <w:rPr>
                <w:color w:val="000000"/>
              </w:rPr>
            </w:pPr>
            <w:r>
              <w:rPr>
                <w:color w:val="000000"/>
              </w:rPr>
              <w:t>6</w:t>
            </w:r>
            <w:r w:rsidRPr="00205367">
              <w:rPr>
                <w:color w:val="000000"/>
              </w:rPr>
              <w:t>.2.1.2.1.</w:t>
            </w:r>
          </w:p>
        </w:tc>
        <w:tc>
          <w:tcPr>
            <w:tcW w:w="8347" w:type="dxa"/>
            <w:gridSpan w:val="3"/>
            <w:shd w:val="clear" w:color="auto" w:fill="auto"/>
            <w:vAlign w:val="center"/>
          </w:tcPr>
          <w:p w14:paraId="4D220F89" w14:textId="77777777" w:rsidR="00A2124B" w:rsidRPr="00205367" w:rsidRDefault="00A2124B" w:rsidP="008A5C11">
            <w:pPr>
              <w:rPr>
                <w:color w:val="000000"/>
              </w:rPr>
            </w:pPr>
            <w:r w:rsidRPr="00205367">
              <w:rPr>
                <w:color w:val="000000"/>
              </w:rPr>
              <w:t>с давлением до 0,005 МПа (включительно) в газопроводе, в который осуществляется врезка, наружным диаметром:</w:t>
            </w:r>
          </w:p>
        </w:tc>
      </w:tr>
      <w:tr w:rsidR="00A2124B" w:rsidRPr="00205367" w14:paraId="5BC0C55F" w14:textId="77777777" w:rsidTr="001C56BD">
        <w:trPr>
          <w:trHeight w:val="276"/>
        </w:trPr>
        <w:tc>
          <w:tcPr>
            <w:tcW w:w="1297" w:type="dxa"/>
            <w:shd w:val="clear" w:color="auto" w:fill="auto"/>
            <w:vAlign w:val="center"/>
          </w:tcPr>
          <w:p w14:paraId="4F2AE579" w14:textId="77777777" w:rsidR="00A2124B" w:rsidRPr="00205367" w:rsidRDefault="00A2124B" w:rsidP="008A5C11">
            <w:pPr>
              <w:jc w:val="center"/>
              <w:rPr>
                <w:color w:val="000000"/>
              </w:rPr>
            </w:pPr>
            <w:r>
              <w:rPr>
                <w:color w:val="000000"/>
              </w:rPr>
              <w:t>6</w:t>
            </w:r>
            <w:r w:rsidRPr="00205367">
              <w:rPr>
                <w:color w:val="000000"/>
              </w:rPr>
              <w:t>.2.1.2.1.1.</w:t>
            </w:r>
          </w:p>
        </w:tc>
        <w:tc>
          <w:tcPr>
            <w:tcW w:w="4106" w:type="dxa"/>
            <w:shd w:val="clear" w:color="auto" w:fill="auto"/>
            <w:vAlign w:val="center"/>
          </w:tcPr>
          <w:p w14:paraId="3BB24227" w14:textId="77777777" w:rsidR="00A2124B" w:rsidRPr="00205367" w:rsidRDefault="00A2124B" w:rsidP="008A5C11">
            <w:pPr>
              <w:rPr>
                <w:color w:val="000000"/>
              </w:rPr>
            </w:pPr>
            <w:r w:rsidRPr="00205367">
              <w:rPr>
                <w:color w:val="000000"/>
              </w:rPr>
              <w:t>до 100 мм</w:t>
            </w:r>
          </w:p>
        </w:tc>
        <w:tc>
          <w:tcPr>
            <w:tcW w:w="1775" w:type="dxa"/>
            <w:vMerge w:val="restart"/>
            <w:shd w:val="clear" w:color="auto" w:fill="auto"/>
            <w:vAlign w:val="center"/>
          </w:tcPr>
          <w:p w14:paraId="40A09AEC" w14:textId="77777777" w:rsidR="00A2124B" w:rsidRPr="00205367" w:rsidRDefault="00A2124B" w:rsidP="008A5C11">
            <w:pPr>
              <w:jc w:val="center"/>
            </w:pPr>
            <w:r w:rsidRPr="00205367">
              <w:rPr>
                <w:color w:val="000000"/>
              </w:rPr>
              <w:t>руб.</w:t>
            </w:r>
            <w:r w:rsidRPr="00205367">
              <w:t xml:space="preserve"> </w:t>
            </w:r>
            <w:r w:rsidRPr="00205367">
              <w:rPr>
                <w:color w:val="000000"/>
              </w:rPr>
              <w:t>за 1 присоединение</w:t>
            </w:r>
          </w:p>
        </w:tc>
        <w:tc>
          <w:tcPr>
            <w:tcW w:w="2466" w:type="dxa"/>
            <w:shd w:val="clear" w:color="auto" w:fill="auto"/>
            <w:vAlign w:val="center"/>
          </w:tcPr>
          <w:p w14:paraId="6C6437E2" w14:textId="77777777" w:rsidR="00A2124B" w:rsidRPr="00C17EC2" w:rsidRDefault="00A2124B" w:rsidP="008A5C11">
            <w:pPr>
              <w:jc w:val="center"/>
              <w:rPr>
                <w:color w:val="000000"/>
              </w:rPr>
            </w:pPr>
            <w:r w:rsidRPr="00C17EC2">
              <w:rPr>
                <w:color w:val="000000"/>
              </w:rPr>
              <w:t>15 125</w:t>
            </w:r>
          </w:p>
        </w:tc>
      </w:tr>
      <w:tr w:rsidR="00A2124B" w:rsidRPr="00205367" w14:paraId="3BDDBC79" w14:textId="77777777" w:rsidTr="001C56BD">
        <w:trPr>
          <w:trHeight w:val="276"/>
        </w:trPr>
        <w:tc>
          <w:tcPr>
            <w:tcW w:w="1297" w:type="dxa"/>
            <w:shd w:val="clear" w:color="auto" w:fill="auto"/>
            <w:vAlign w:val="center"/>
          </w:tcPr>
          <w:p w14:paraId="0D60B97D" w14:textId="77777777" w:rsidR="00A2124B" w:rsidRPr="00205367" w:rsidRDefault="00A2124B" w:rsidP="008A5C11">
            <w:pPr>
              <w:jc w:val="center"/>
              <w:rPr>
                <w:color w:val="000000"/>
              </w:rPr>
            </w:pPr>
            <w:r>
              <w:rPr>
                <w:color w:val="000000"/>
              </w:rPr>
              <w:t>6</w:t>
            </w:r>
            <w:r w:rsidRPr="00205367">
              <w:rPr>
                <w:color w:val="000000"/>
              </w:rPr>
              <w:t>.2.1.2.1.2.</w:t>
            </w:r>
          </w:p>
        </w:tc>
        <w:tc>
          <w:tcPr>
            <w:tcW w:w="4106" w:type="dxa"/>
            <w:shd w:val="clear" w:color="auto" w:fill="auto"/>
            <w:vAlign w:val="center"/>
          </w:tcPr>
          <w:p w14:paraId="52B89A12" w14:textId="77777777" w:rsidR="00A2124B" w:rsidRPr="00205367" w:rsidRDefault="00A2124B" w:rsidP="008A5C11">
            <w:pPr>
              <w:rPr>
                <w:color w:val="000000"/>
              </w:rPr>
            </w:pPr>
            <w:r w:rsidRPr="00205367">
              <w:rPr>
                <w:color w:val="000000"/>
              </w:rPr>
              <w:t>108-158 мм</w:t>
            </w:r>
          </w:p>
        </w:tc>
        <w:tc>
          <w:tcPr>
            <w:tcW w:w="1775" w:type="dxa"/>
            <w:vMerge/>
            <w:shd w:val="clear" w:color="auto" w:fill="auto"/>
            <w:vAlign w:val="center"/>
          </w:tcPr>
          <w:p w14:paraId="0EFB7E15" w14:textId="77777777" w:rsidR="00A2124B" w:rsidRPr="00205367" w:rsidRDefault="00A2124B" w:rsidP="008A5C11"/>
        </w:tc>
        <w:tc>
          <w:tcPr>
            <w:tcW w:w="2466" w:type="dxa"/>
            <w:shd w:val="clear" w:color="auto" w:fill="auto"/>
            <w:vAlign w:val="center"/>
          </w:tcPr>
          <w:p w14:paraId="6120A16D" w14:textId="77777777" w:rsidR="00A2124B" w:rsidRPr="00C17EC2" w:rsidRDefault="00A2124B" w:rsidP="008A5C11">
            <w:pPr>
              <w:jc w:val="center"/>
              <w:rPr>
                <w:color w:val="000000"/>
              </w:rPr>
            </w:pPr>
            <w:r w:rsidRPr="00C17EC2">
              <w:rPr>
                <w:color w:val="000000"/>
              </w:rPr>
              <w:t>15 125</w:t>
            </w:r>
          </w:p>
        </w:tc>
      </w:tr>
      <w:tr w:rsidR="00A2124B" w:rsidRPr="00205367" w14:paraId="5254252E" w14:textId="77777777" w:rsidTr="001C56BD">
        <w:trPr>
          <w:trHeight w:val="836"/>
        </w:trPr>
        <w:tc>
          <w:tcPr>
            <w:tcW w:w="1297" w:type="dxa"/>
            <w:shd w:val="clear" w:color="auto" w:fill="auto"/>
            <w:vAlign w:val="center"/>
            <w:hideMark/>
          </w:tcPr>
          <w:p w14:paraId="44943AAF" w14:textId="77777777" w:rsidR="00A2124B" w:rsidRPr="00205367" w:rsidRDefault="00A2124B" w:rsidP="008A5C11">
            <w:pPr>
              <w:jc w:val="center"/>
              <w:rPr>
                <w:color w:val="000000"/>
              </w:rPr>
            </w:pPr>
            <w:r>
              <w:rPr>
                <w:color w:val="000000"/>
              </w:rPr>
              <w:t>6</w:t>
            </w:r>
            <w:r w:rsidRPr="00205367">
              <w:rPr>
                <w:color w:val="000000"/>
              </w:rPr>
              <w:t>.2.1.2.</w:t>
            </w:r>
            <w:r>
              <w:rPr>
                <w:color w:val="000000"/>
              </w:rPr>
              <w:t>2</w:t>
            </w:r>
            <w:r w:rsidRPr="00205367">
              <w:rPr>
                <w:color w:val="000000"/>
              </w:rPr>
              <w:t>.</w:t>
            </w:r>
          </w:p>
        </w:tc>
        <w:tc>
          <w:tcPr>
            <w:tcW w:w="8347" w:type="dxa"/>
            <w:gridSpan w:val="3"/>
            <w:shd w:val="clear" w:color="auto" w:fill="auto"/>
            <w:vAlign w:val="center"/>
            <w:hideMark/>
          </w:tcPr>
          <w:p w14:paraId="059C256B" w14:textId="77777777" w:rsidR="00A2124B" w:rsidRPr="00205367" w:rsidRDefault="00A2124B" w:rsidP="008A5C11">
            <w:pPr>
              <w:rPr>
                <w:color w:val="000000"/>
              </w:rPr>
            </w:pPr>
            <w:r w:rsidRPr="00205367">
              <w:rPr>
                <w:color w:val="000000"/>
              </w:rPr>
              <w:t>с давлением от 0,005 МПа до 1,2 МПа (включительно) в газопроводе, в который осуществляется врезка, наружным диаметром:</w:t>
            </w:r>
          </w:p>
        </w:tc>
      </w:tr>
      <w:tr w:rsidR="00A2124B" w:rsidRPr="00205367" w14:paraId="00429BD1" w14:textId="77777777" w:rsidTr="001C56BD">
        <w:trPr>
          <w:trHeight w:val="276"/>
        </w:trPr>
        <w:tc>
          <w:tcPr>
            <w:tcW w:w="1297" w:type="dxa"/>
            <w:shd w:val="clear" w:color="auto" w:fill="auto"/>
            <w:vAlign w:val="center"/>
            <w:hideMark/>
          </w:tcPr>
          <w:p w14:paraId="01232F1B" w14:textId="77777777" w:rsidR="00A2124B" w:rsidRPr="00205367" w:rsidRDefault="00A2124B" w:rsidP="008A5C11">
            <w:pPr>
              <w:jc w:val="center"/>
              <w:rPr>
                <w:color w:val="000000"/>
              </w:rPr>
            </w:pPr>
            <w:r>
              <w:rPr>
                <w:color w:val="000000"/>
              </w:rPr>
              <w:t>6</w:t>
            </w:r>
            <w:r w:rsidRPr="00205367">
              <w:rPr>
                <w:color w:val="000000"/>
              </w:rPr>
              <w:t>.2.1.2.</w:t>
            </w:r>
            <w:r>
              <w:rPr>
                <w:color w:val="000000"/>
              </w:rPr>
              <w:t>2</w:t>
            </w:r>
            <w:r w:rsidRPr="00205367">
              <w:rPr>
                <w:color w:val="000000"/>
              </w:rPr>
              <w:t>.1.</w:t>
            </w:r>
          </w:p>
        </w:tc>
        <w:tc>
          <w:tcPr>
            <w:tcW w:w="4106" w:type="dxa"/>
            <w:shd w:val="clear" w:color="auto" w:fill="auto"/>
            <w:vAlign w:val="center"/>
            <w:hideMark/>
          </w:tcPr>
          <w:p w14:paraId="3DD2C6AC" w14:textId="77777777" w:rsidR="00A2124B" w:rsidRPr="00205367" w:rsidRDefault="00A2124B" w:rsidP="008A5C11">
            <w:pPr>
              <w:rPr>
                <w:color w:val="000000"/>
              </w:rPr>
            </w:pPr>
            <w:r w:rsidRPr="00205367">
              <w:rPr>
                <w:color w:val="000000"/>
              </w:rPr>
              <w:t>до 100 мм</w:t>
            </w:r>
          </w:p>
        </w:tc>
        <w:tc>
          <w:tcPr>
            <w:tcW w:w="1775" w:type="dxa"/>
            <w:vMerge w:val="restart"/>
            <w:shd w:val="clear" w:color="auto" w:fill="auto"/>
            <w:vAlign w:val="center"/>
            <w:hideMark/>
          </w:tcPr>
          <w:p w14:paraId="5A1C803D" w14:textId="77777777" w:rsidR="00A2124B" w:rsidRPr="00205367" w:rsidRDefault="00A2124B" w:rsidP="008A5C11">
            <w:pPr>
              <w:jc w:val="center"/>
              <w:rPr>
                <w:color w:val="000000"/>
              </w:rPr>
            </w:pPr>
            <w:r w:rsidRPr="00205367">
              <w:rPr>
                <w:color w:val="000000"/>
              </w:rPr>
              <w:t>руб. за 1 присоединение</w:t>
            </w:r>
          </w:p>
        </w:tc>
        <w:tc>
          <w:tcPr>
            <w:tcW w:w="2466" w:type="dxa"/>
            <w:shd w:val="clear" w:color="auto" w:fill="auto"/>
            <w:vAlign w:val="center"/>
            <w:hideMark/>
          </w:tcPr>
          <w:p w14:paraId="12707B9B" w14:textId="77777777" w:rsidR="00A2124B" w:rsidRPr="00C17EC2" w:rsidRDefault="00A2124B" w:rsidP="008A5C11">
            <w:pPr>
              <w:jc w:val="center"/>
              <w:rPr>
                <w:color w:val="000000"/>
              </w:rPr>
            </w:pPr>
            <w:r w:rsidRPr="00C17EC2">
              <w:rPr>
                <w:color w:val="000000"/>
              </w:rPr>
              <w:t>19 024</w:t>
            </w:r>
          </w:p>
        </w:tc>
      </w:tr>
      <w:tr w:rsidR="00A2124B" w:rsidRPr="00205367" w14:paraId="0BD521DC" w14:textId="77777777" w:rsidTr="001C56BD">
        <w:trPr>
          <w:trHeight w:val="276"/>
        </w:trPr>
        <w:tc>
          <w:tcPr>
            <w:tcW w:w="1297" w:type="dxa"/>
            <w:shd w:val="clear" w:color="auto" w:fill="auto"/>
            <w:vAlign w:val="center"/>
            <w:hideMark/>
          </w:tcPr>
          <w:p w14:paraId="16603E60" w14:textId="77777777" w:rsidR="00A2124B" w:rsidRPr="00205367" w:rsidRDefault="00A2124B" w:rsidP="008A5C11">
            <w:pPr>
              <w:jc w:val="center"/>
              <w:rPr>
                <w:color w:val="000000"/>
              </w:rPr>
            </w:pPr>
            <w:r>
              <w:rPr>
                <w:color w:val="000000"/>
              </w:rPr>
              <w:t>6</w:t>
            </w:r>
            <w:r w:rsidRPr="00205367">
              <w:rPr>
                <w:color w:val="000000"/>
              </w:rPr>
              <w:t>.2.1.2.</w:t>
            </w:r>
            <w:r>
              <w:rPr>
                <w:color w:val="000000"/>
              </w:rPr>
              <w:t>2</w:t>
            </w:r>
            <w:r w:rsidRPr="00205367">
              <w:rPr>
                <w:color w:val="000000"/>
              </w:rPr>
              <w:t>.2.</w:t>
            </w:r>
          </w:p>
        </w:tc>
        <w:tc>
          <w:tcPr>
            <w:tcW w:w="4106" w:type="dxa"/>
            <w:shd w:val="clear" w:color="auto" w:fill="auto"/>
            <w:vAlign w:val="center"/>
            <w:hideMark/>
          </w:tcPr>
          <w:p w14:paraId="0545AB1E" w14:textId="77777777" w:rsidR="00A2124B" w:rsidRPr="00205367" w:rsidRDefault="00A2124B" w:rsidP="008A5C11">
            <w:pPr>
              <w:rPr>
                <w:color w:val="000000"/>
              </w:rPr>
            </w:pPr>
            <w:r w:rsidRPr="00205367">
              <w:rPr>
                <w:color w:val="000000"/>
              </w:rPr>
              <w:t>108-158 мм</w:t>
            </w:r>
          </w:p>
        </w:tc>
        <w:tc>
          <w:tcPr>
            <w:tcW w:w="1775" w:type="dxa"/>
            <w:vMerge/>
            <w:vAlign w:val="center"/>
            <w:hideMark/>
          </w:tcPr>
          <w:p w14:paraId="5CC24F42" w14:textId="77777777" w:rsidR="00A2124B" w:rsidRPr="00205367" w:rsidRDefault="00A2124B" w:rsidP="008A5C11">
            <w:pPr>
              <w:rPr>
                <w:color w:val="000000"/>
              </w:rPr>
            </w:pPr>
          </w:p>
        </w:tc>
        <w:tc>
          <w:tcPr>
            <w:tcW w:w="2466" w:type="dxa"/>
            <w:shd w:val="clear" w:color="auto" w:fill="auto"/>
            <w:vAlign w:val="center"/>
            <w:hideMark/>
          </w:tcPr>
          <w:p w14:paraId="25676D34" w14:textId="77777777" w:rsidR="00A2124B" w:rsidRPr="00C17EC2" w:rsidRDefault="00A2124B" w:rsidP="008A5C11">
            <w:pPr>
              <w:jc w:val="center"/>
              <w:rPr>
                <w:color w:val="000000"/>
              </w:rPr>
            </w:pPr>
            <w:r w:rsidRPr="00C17EC2">
              <w:rPr>
                <w:color w:val="000000"/>
              </w:rPr>
              <w:t>37 075</w:t>
            </w:r>
          </w:p>
        </w:tc>
      </w:tr>
      <w:tr w:rsidR="00A2124B" w:rsidRPr="00205367" w14:paraId="269C35EF" w14:textId="77777777" w:rsidTr="001C56BD">
        <w:trPr>
          <w:trHeight w:val="276"/>
        </w:trPr>
        <w:tc>
          <w:tcPr>
            <w:tcW w:w="1297" w:type="dxa"/>
            <w:shd w:val="clear" w:color="auto" w:fill="auto"/>
            <w:vAlign w:val="center"/>
            <w:hideMark/>
          </w:tcPr>
          <w:p w14:paraId="0A80B0B8" w14:textId="77777777" w:rsidR="00A2124B" w:rsidRPr="00205367" w:rsidRDefault="00A2124B" w:rsidP="008A5C11">
            <w:pPr>
              <w:jc w:val="center"/>
              <w:rPr>
                <w:color w:val="000000"/>
              </w:rPr>
            </w:pPr>
            <w:r>
              <w:rPr>
                <w:color w:val="000000"/>
              </w:rPr>
              <w:t>6</w:t>
            </w:r>
            <w:r w:rsidRPr="00205367">
              <w:rPr>
                <w:color w:val="000000"/>
              </w:rPr>
              <w:t>.2.1.2.</w:t>
            </w:r>
            <w:r>
              <w:rPr>
                <w:color w:val="000000"/>
              </w:rPr>
              <w:t>2</w:t>
            </w:r>
            <w:r w:rsidRPr="00205367">
              <w:rPr>
                <w:color w:val="000000"/>
              </w:rPr>
              <w:t>.3.</w:t>
            </w:r>
          </w:p>
        </w:tc>
        <w:tc>
          <w:tcPr>
            <w:tcW w:w="4106" w:type="dxa"/>
            <w:shd w:val="clear" w:color="auto" w:fill="auto"/>
            <w:vAlign w:val="center"/>
            <w:hideMark/>
          </w:tcPr>
          <w:p w14:paraId="06083460" w14:textId="77777777" w:rsidR="00A2124B" w:rsidRPr="00205367" w:rsidRDefault="00A2124B" w:rsidP="008A5C11">
            <w:pPr>
              <w:rPr>
                <w:color w:val="000000"/>
              </w:rPr>
            </w:pPr>
            <w:r w:rsidRPr="00205367">
              <w:rPr>
                <w:color w:val="000000"/>
              </w:rPr>
              <w:t>159-218 мм</w:t>
            </w:r>
          </w:p>
        </w:tc>
        <w:tc>
          <w:tcPr>
            <w:tcW w:w="1775" w:type="dxa"/>
            <w:vMerge/>
            <w:vAlign w:val="center"/>
            <w:hideMark/>
          </w:tcPr>
          <w:p w14:paraId="03CDFCD4" w14:textId="77777777" w:rsidR="00A2124B" w:rsidRPr="00205367" w:rsidRDefault="00A2124B" w:rsidP="008A5C11">
            <w:pPr>
              <w:rPr>
                <w:color w:val="000000"/>
              </w:rPr>
            </w:pPr>
          </w:p>
        </w:tc>
        <w:tc>
          <w:tcPr>
            <w:tcW w:w="2466" w:type="dxa"/>
            <w:shd w:val="clear" w:color="auto" w:fill="auto"/>
            <w:vAlign w:val="center"/>
            <w:hideMark/>
          </w:tcPr>
          <w:p w14:paraId="1068FC1A" w14:textId="77777777" w:rsidR="00A2124B" w:rsidRPr="00C17EC2" w:rsidRDefault="00A2124B" w:rsidP="008A5C11">
            <w:pPr>
              <w:jc w:val="center"/>
              <w:rPr>
                <w:color w:val="000000"/>
              </w:rPr>
            </w:pPr>
            <w:r w:rsidRPr="00C17EC2">
              <w:rPr>
                <w:color w:val="000000"/>
              </w:rPr>
              <w:t>57 995</w:t>
            </w:r>
          </w:p>
        </w:tc>
      </w:tr>
      <w:tr w:rsidR="00A2124B" w:rsidRPr="00205367" w14:paraId="7E1CC766" w14:textId="77777777" w:rsidTr="001C56BD">
        <w:trPr>
          <w:trHeight w:val="276"/>
        </w:trPr>
        <w:tc>
          <w:tcPr>
            <w:tcW w:w="1297" w:type="dxa"/>
            <w:shd w:val="clear" w:color="auto" w:fill="auto"/>
            <w:vAlign w:val="center"/>
            <w:hideMark/>
          </w:tcPr>
          <w:p w14:paraId="51CDC60C" w14:textId="77777777" w:rsidR="00A2124B" w:rsidRPr="00205367" w:rsidRDefault="00A2124B" w:rsidP="008A5C11">
            <w:pPr>
              <w:jc w:val="center"/>
              <w:rPr>
                <w:color w:val="000000"/>
              </w:rPr>
            </w:pPr>
            <w:r>
              <w:rPr>
                <w:color w:val="000000"/>
              </w:rPr>
              <w:t>6</w:t>
            </w:r>
            <w:r w:rsidRPr="00205367">
              <w:rPr>
                <w:color w:val="000000"/>
              </w:rPr>
              <w:t>.2.1.2.</w:t>
            </w:r>
            <w:r>
              <w:rPr>
                <w:color w:val="000000"/>
              </w:rPr>
              <w:t>2</w:t>
            </w:r>
            <w:r w:rsidRPr="00205367">
              <w:rPr>
                <w:color w:val="000000"/>
              </w:rPr>
              <w:t>.4.</w:t>
            </w:r>
          </w:p>
        </w:tc>
        <w:tc>
          <w:tcPr>
            <w:tcW w:w="4106" w:type="dxa"/>
            <w:shd w:val="clear" w:color="auto" w:fill="auto"/>
            <w:vAlign w:val="center"/>
            <w:hideMark/>
          </w:tcPr>
          <w:p w14:paraId="5E33AB5A" w14:textId="77777777" w:rsidR="00A2124B" w:rsidRPr="00205367" w:rsidRDefault="00A2124B" w:rsidP="008A5C11">
            <w:pPr>
              <w:rPr>
                <w:color w:val="000000"/>
              </w:rPr>
            </w:pPr>
            <w:r w:rsidRPr="00205367">
              <w:rPr>
                <w:color w:val="000000"/>
              </w:rPr>
              <w:t>219-272 мм</w:t>
            </w:r>
          </w:p>
        </w:tc>
        <w:tc>
          <w:tcPr>
            <w:tcW w:w="1775" w:type="dxa"/>
            <w:vMerge/>
            <w:vAlign w:val="center"/>
            <w:hideMark/>
          </w:tcPr>
          <w:p w14:paraId="7F41723C" w14:textId="77777777" w:rsidR="00A2124B" w:rsidRPr="00205367" w:rsidRDefault="00A2124B" w:rsidP="008A5C11">
            <w:pPr>
              <w:rPr>
                <w:color w:val="000000"/>
              </w:rPr>
            </w:pPr>
          </w:p>
        </w:tc>
        <w:tc>
          <w:tcPr>
            <w:tcW w:w="2466" w:type="dxa"/>
            <w:shd w:val="clear" w:color="auto" w:fill="auto"/>
            <w:vAlign w:val="center"/>
            <w:hideMark/>
          </w:tcPr>
          <w:p w14:paraId="0CC86023" w14:textId="77777777" w:rsidR="00A2124B" w:rsidRPr="00C17EC2" w:rsidRDefault="00A2124B" w:rsidP="008A5C11">
            <w:pPr>
              <w:jc w:val="center"/>
              <w:rPr>
                <w:color w:val="000000"/>
              </w:rPr>
            </w:pPr>
            <w:r w:rsidRPr="00C17EC2">
              <w:rPr>
                <w:color w:val="000000"/>
              </w:rPr>
              <w:t>65 402</w:t>
            </w:r>
          </w:p>
        </w:tc>
      </w:tr>
      <w:tr w:rsidR="00A2124B" w:rsidRPr="00205367" w14:paraId="63C7863F" w14:textId="77777777" w:rsidTr="001C56BD">
        <w:trPr>
          <w:trHeight w:val="276"/>
        </w:trPr>
        <w:tc>
          <w:tcPr>
            <w:tcW w:w="1297" w:type="dxa"/>
            <w:shd w:val="clear" w:color="auto" w:fill="auto"/>
            <w:vAlign w:val="center"/>
            <w:hideMark/>
          </w:tcPr>
          <w:p w14:paraId="311A8619" w14:textId="77777777" w:rsidR="00A2124B" w:rsidRPr="00205367" w:rsidRDefault="00A2124B" w:rsidP="008A5C11">
            <w:pPr>
              <w:jc w:val="center"/>
              <w:rPr>
                <w:color w:val="000000"/>
              </w:rPr>
            </w:pPr>
            <w:r>
              <w:rPr>
                <w:color w:val="000000"/>
              </w:rPr>
              <w:t>6</w:t>
            </w:r>
            <w:r w:rsidRPr="00205367">
              <w:rPr>
                <w:color w:val="000000"/>
              </w:rPr>
              <w:t>.2.1.2.</w:t>
            </w:r>
            <w:r>
              <w:rPr>
                <w:color w:val="000000"/>
              </w:rPr>
              <w:t>2</w:t>
            </w:r>
            <w:r w:rsidRPr="00205367">
              <w:rPr>
                <w:color w:val="000000"/>
              </w:rPr>
              <w:t>.5.</w:t>
            </w:r>
          </w:p>
        </w:tc>
        <w:tc>
          <w:tcPr>
            <w:tcW w:w="4106" w:type="dxa"/>
            <w:shd w:val="clear" w:color="auto" w:fill="auto"/>
            <w:vAlign w:val="center"/>
            <w:hideMark/>
          </w:tcPr>
          <w:p w14:paraId="6197323D" w14:textId="77777777" w:rsidR="00A2124B" w:rsidRPr="00205367" w:rsidRDefault="00A2124B" w:rsidP="008A5C11">
            <w:pPr>
              <w:rPr>
                <w:color w:val="000000"/>
              </w:rPr>
            </w:pPr>
            <w:r w:rsidRPr="00205367">
              <w:rPr>
                <w:color w:val="000000"/>
              </w:rPr>
              <w:t>273-324 мм</w:t>
            </w:r>
          </w:p>
        </w:tc>
        <w:tc>
          <w:tcPr>
            <w:tcW w:w="1775" w:type="dxa"/>
            <w:vMerge/>
            <w:vAlign w:val="center"/>
            <w:hideMark/>
          </w:tcPr>
          <w:p w14:paraId="006F411B" w14:textId="77777777" w:rsidR="00A2124B" w:rsidRPr="00205367" w:rsidRDefault="00A2124B" w:rsidP="008A5C11">
            <w:pPr>
              <w:rPr>
                <w:color w:val="000000"/>
              </w:rPr>
            </w:pPr>
          </w:p>
        </w:tc>
        <w:tc>
          <w:tcPr>
            <w:tcW w:w="2466" w:type="dxa"/>
            <w:shd w:val="clear" w:color="auto" w:fill="auto"/>
            <w:vAlign w:val="center"/>
            <w:hideMark/>
          </w:tcPr>
          <w:p w14:paraId="47214E59" w14:textId="77777777" w:rsidR="00A2124B" w:rsidRPr="00C17EC2" w:rsidRDefault="00A2124B" w:rsidP="008A5C11">
            <w:pPr>
              <w:jc w:val="center"/>
              <w:rPr>
                <w:color w:val="000000"/>
              </w:rPr>
            </w:pPr>
            <w:r w:rsidRPr="00C17EC2">
              <w:rPr>
                <w:color w:val="000000"/>
              </w:rPr>
              <w:t>65 402</w:t>
            </w:r>
          </w:p>
        </w:tc>
      </w:tr>
      <w:tr w:rsidR="00A2124B" w:rsidRPr="00205367" w14:paraId="4E50DFFE" w14:textId="77777777" w:rsidTr="001C56BD">
        <w:trPr>
          <w:trHeight w:val="276"/>
        </w:trPr>
        <w:tc>
          <w:tcPr>
            <w:tcW w:w="1297" w:type="dxa"/>
            <w:shd w:val="clear" w:color="auto" w:fill="auto"/>
            <w:vAlign w:val="center"/>
            <w:hideMark/>
          </w:tcPr>
          <w:p w14:paraId="787602FD" w14:textId="77777777" w:rsidR="00A2124B" w:rsidRPr="00205367" w:rsidRDefault="00A2124B" w:rsidP="008A5C11">
            <w:pPr>
              <w:jc w:val="center"/>
              <w:rPr>
                <w:color w:val="000000"/>
              </w:rPr>
            </w:pPr>
            <w:r>
              <w:rPr>
                <w:color w:val="000000"/>
              </w:rPr>
              <w:t>6</w:t>
            </w:r>
            <w:r w:rsidRPr="00205367">
              <w:rPr>
                <w:color w:val="000000"/>
              </w:rPr>
              <w:t>.2.1.2.</w:t>
            </w:r>
            <w:r>
              <w:rPr>
                <w:color w:val="000000"/>
              </w:rPr>
              <w:t>2</w:t>
            </w:r>
            <w:r w:rsidRPr="00205367">
              <w:rPr>
                <w:color w:val="000000"/>
              </w:rPr>
              <w:t>.6.</w:t>
            </w:r>
          </w:p>
        </w:tc>
        <w:tc>
          <w:tcPr>
            <w:tcW w:w="4106" w:type="dxa"/>
            <w:shd w:val="clear" w:color="auto" w:fill="auto"/>
            <w:vAlign w:val="center"/>
            <w:hideMark/>
          </w:tcPr>
          <w:p w14:paraId="625D9786" w14:textId="77777777" w:rsidR="00A2124B" w:rsidRPr="00205367" w:rsidRDefault="00A2124B" w:rsidP="008A5C11">
            <w:pPr>
              <w:rPr>
                <w:color w:val="000000"/>
              </w:rPr>
            </w:pPr>
            <w:r w:rsidRPr="00205367">
              <w:rPr>
                <w:color w:val="000000"/>
              </w:rPr>
              <w:t>325-425 мм</w:t>
            </w:r>
          </w:p>
        </w:tc>
        <w:tc>
          <w:tcPr>
            <w:tcW w:w="1775" w:type="dxa"/>
            <w:vMerge/>
            <w:vAlign w:val="center"/>
            <w:hideMark/>
          </w:tcPr>
          <w:p w14:paraId="3B8AD402" w14:textId="77777777" w:rsidR="00A2124B" w:rsidRPr="00205367" w:rsidRDefault="00A2124B" w:rsidP="008A5C11">
            <w:pPr>
              <w:rPr>
                <w:color w:val="000000"/>
              </w:rPr>
            </w:pPr>
          </w:p>
        </w:tc>
        <w:tc>
          <w:tcPr>
            <w:tcW w:w="2466" w:type="dxa"/>
            <w:shd w:val="clear" w:color="auto" w:fill="auto"/>
            <w:vAlign w:val="center"/>
            <w:hideMark/>
          </w:tcPr>
          <w:p w14:paraId="57F432E2" w14:textId="77777777" w:rsidR="00A2124B" w:rsidRPr="00C17EC2" w:rsidRDefault="00A2124B" w:rsidP="008A5C11">
            <w:pPr>
              <w:jc w:val="center"/>
              <w:rPr>
                <w:color w:val="000000"/>
              </w:rPr>
            </w:pPr>
            <w:r w:rsidRPr="00C17EC2">
              <w:rPr>
                <w:color w:val="000000"/>
              </w:rPr>
              <w:t>65 402</w:t>
            </w:r>
          </w:p>
        </w:tc>
      </w:tr>
      <w:tr w:rsidR="00A2124B" w:rsidRPr="00205367" w14:paraId="2C95518D" w14:textId="77777777" w:rsidTr="001C56BD">
        <w:trPr>
          <w:trHeight w:val="276"/>
        </w:trPr>
        <w:tc>
          <w:tcPr>
            <w:tcW w:w="1297" w:type="dxa"/>
            <w:shd w:val="clear" w:color="auto" w:fill="auto"/>
            <w:vAlign w:val="center"/>
            <w:hideMark/>
          </w:tcPr>
          <w:p w14:paraId="0FADEF97" w14:textId="77777777" w:rsidR="00A2124B" w:rsidRPr="00205367" w:rsidRDefault="00A2124B" w:rsidP="008A5C11">
            <w:pPr>
              <w:jc w:val="center"/>
              <w:rPr>
                <w:color w:val="000000"/>
              </w:rPr>
            </w:pPr>
            <w:r>
              <w:rPr>
                <w:color w:val="000000"/>
              </w:rPr>
              <w:t>6</w:t>
            </w:r>
            <w:r w:rsidRPr="00205367">
              <w:rPr>
                <w:color w:val="000000"/>
              </w:rPr>
              <w:t>.2.1.2.</w:t>
            </w:r>
            <w:r>
              <w:rPr>
                <w:color w:val="000000"/>
              </w:rPr>
              <w:t>2</w:t>
            </w:r>
            <w:r w:rsidRPr="00205367">
              <w:rPr>
                <w:color w:val="000000"/>
              </w:rPr>
              <w:t>.7.</w:t>
            </w:r>
          </w:p>
        </w:tc>
        <w:tc>
          <w:tcPr>
            <w:tcW w:w="4106" w:type="dxa"/>
            <w:shd w:val="clear" w:color="auto" w:fill="auto"/>
            <w:vAlign w:val="center"/>
            <w:hideMark/>
          </w:tcPr>
          <w:p w14:paraId="1ECD1EF1" w14:textId="77777777" w:rsidR="00A2124B" w:rsidRPr="00205367" w:rsidRDefault="00A2124B" w:rsidP="008A5C11">
            <w:pPr>
              <w:rPr>
                <w:color w:val="000000"/>
              </w:rPr>
            </w:pPr>
            <w:r w:rsidRPr="00205367">
              <w:rPr>
                <w:color w:val="000000"/>
              </w:rPr>
              <w:t>426-529 мм</w:t>
            </w:r>
          </w:p>
        </w:tc>
        <w:tc>
          <w:tcPr>
            <w:tcW w:w="1775" w:type="dxa"/>
            <w:vMerge/>
            <w:vAlign w:val="center"/>
            <w:hideMark/>
          </w:tcPr>
          <w:p w14:paraId="3E28C809" w14:textId="77777777" w:rsidR="00A2124B" w:rsidRPr="00205367" w:rsidRDefault="00A2124B" w:rsidP="008A5C11">
            <w:pPr>
              <w:rPr>
                <w:color w:val="000000"/>
              </w:rPr>
            </w:pPr>
          </w:p>
        </w:tc>
        <w:tc>
          <w:tcPr>
            <w:tcW w:w="2466" w:type="dxa"/>
            <w:shd w:val="clear" w:color="auto" w:fill="auto"/>
            <w:vAlign w:val="center"/>
            <w:hideMark/>
          </w:tcPr>
          <w:p w14:paraId="3D8EDBDC" w14:textId="77777777" w:rsidR="00A2124B" w:rsidRPr="00C17EC2" w:rsidRDefault="00A2124B" w:rsidP="008A5C11">
            <w:pPr>
              <w:jc w:val="center"/>
              <w:rPr>
                <w:color w:val="000000"/>
              </w:rPr>
            </w:pPr>
            <w:r w:rsidRPr="00C17EC2">
              <w:rPr>
                <w:color w:val="000000"/>
              </w:rPr>
              <w:t>65 402</w:t>
            </w:r>
          </w:p>
        </w:tc>
      </w:tr>
      <w:tr w:rsidR="00A2124B" w:rsidRPr="00205367" w14:paraId="11B5834F" w14:textId="77777777" w:rsidTr="001C56BD">
        <w:trPr>
          <w:trHeight w:val="276"/>
        </w:trPr>
        <w:tc>
          <w:tcPr>
            <w:tcW w:w="1297" w:type="dxa"/>
            <w:shd w:val="clear" w:color="auto" w:fill="auto"/>
            <w:vAlign w:val="center"/>
            <w:hideMark/>
          </w:tcPr>
          <w:p w14:paraId="776664C3" w14:textId="77777777" w:rsidR="00A2124B" w:rsidRPr="00205367" w:rsidRDefault="00A2124B" w:rsidP="008A5C11">
            <w:pPr>
              <w:jc w:val="center"/>
              <w:rPr>
                <w:color w:val="000000"/>
              </w:rPr>
            </w:pPr>
            <w:r>
              <w:rPr>
                <w:color w:val="000000"/>
              </w:rPr>
              <w:t>6</w:t>
            </w:r>
            <w:r w:rsidRPr="00205367">
              <w:rPr>
                <w:color w:val="000000"/>
              </w:rPr>
              <w:t>.2.1.2.</w:t>
            </w:r>
            <w:r>
              <w:rPr>
                <w:color w:val="000000"/>
              </w:rPr>
              <w:t>2</w:t>
            </w:r>
            <w:r w:rsidRPr="00205367">
              <w:rPr>
                <w:color w:val="000000"/>
              </w:rPr>
              <w:t>.8.</w:t>
            </w:r>
          </w:p>
        </w:tc>
        <w:tc>
          <w:tcPr>
            <w:tcW w:w="4106" w:type="dxa"/>
            <w:shd w:val="clear" w:color="auto" w:fill="auto"/>
            <w:vAlign w:val="center"/>
            <w:hideMark/>
          </w:tcPr>
          <w:p w14:paraId="2E34852D" w14:textId="77777777" w:rsidR="00A2124B" w:rsidRPr="00205367" w:rsidRDefault="00A2124B" w:rsidP="008A5C11">
            <w:pPr>
              <w:rPr>
                <w:color w:val="000000"/>
              </w:rPr>
            </w:pPr>
            <w:r w:rsidRPr="00205367">
              <w:rPr>
                <w:color w:val="000000"/>
              </w:rPr>
              <w:t>530 мм и выше</w:t>
            </w:r>
          </w:p>
        </w:tc>
        <w:tc>
          <w:tcPr>
            <w:tcW w:w="1775" w:type="dxa"/>
            <w:vMerge/>
            <w:vAlign w:val="center"/>
            <w:hideMark/>
          </w:tcPr>
          <w:p w14:paraId="2FE5DE66" w14:textId="77777777" w:rsidR="00A2124B" w:rsidRPr="00205367" w:rsidRDefault="00A2124B" w:rsidP="008A5C11">
            <w:pPr>
              <w:rPr>
                <w:color w:val="000000"/>
              </w:rPr>
            </w:pPr>
          </w:p>
        </w:tc>
        <w:tc>
          <w:tcPr>
            <w:tcW w:w="2466" w:type="dxa"/>
            <w:shd w:val="clear" w:color="auto" w:fill="auto"/>
            <w:vAlign w:val="center"/>
            <w:hideMark/>
          </w:tcPr>
          <w:p w14:paraId="2091BABC" w14:textId="77777777" w:rsidR="00A2124B" w:rsidRPr="00C17EC2" w:rsidRDefault="00A2124B" w:rsidP="008A5C11">
            <w:pPr>
              <w:jc w:val="center"/>
              <w:rPr>
                <w:color w:val="000000"/>
              </w:rPr>
            </w:pPr>
            <w:r w:rsidRPr="00C17EC2">
              <w:rPr>
                <w:color w:val="000000"/>
              </w:rPr>
              <w:t>65 402</w:t>
            </w:r>
          </w:p>
        </w:tc>
      </w:tr>
      <w:tr w:rsidR="00A2124B" w:rsidRPr="00205367" w14:paraId="018E73FE" w14:textId="77777777" w:rsidTr="001C56BD">
        <w:trPr>
          <w:trHeight w:val="400"/>
        </w:trPr>
        <w:tc>
          <w:tcPr>
            <w:tcW w:w="1297" w:type="dxa"/>
            <w:shd w:val="clear" w:color="auto" w:fill="auto"/>
            <w:vAlign w:val="center"/>
            <w:hideMark/>
          </w:tcPr>
          <w:p w14:paraId="7B7B2C56" w14:textId="77777777" w:rsidR="00A2124B" w:rsidRPr="00205367" w:rsidRDefault="00A2124B" w:rsidP="008A5C11">
            <w:pPr>
              <w:jc w:val="center"/>
              <w:rPr>
                <w:color w:val="000000"/>
              </w:rPr>
            </w:pPr>
            <w:r>
              <w:rPr>
                <w:color w:val="000000"/>
              </w:rPr>
              <w:t>6</w:t>
            </w:r>
            <w:r w:rsidRPr="00205367">
              <w:rPr>
                <w:color w:val="000000"/>
              </w:rPr>
              <w:t>.2.2.</w:t>
            </w:r>
          </w:p>
        </w:tc>
        <w:tc>
          <w:tcPr>
            <w:tcW w:w="8347" w:type="dxa"/>
            <w:gridSpan w:val="3"/>
            <w:shd w:val="clear" w:color="auto" w:fill="auto"/>
            <w:vAlign w:val="center"/>
            <w:hideMark/>
          </w:tcPr>
          <w:p w14:paraId="3F60D9C0" w14:textId="77777777" w:rsidR="00A2124B" w:rsidRPr="00205367" w:rsidRDefault="00A2124B" w:rsidP="008A5C11">
            <w:pPr>
              <w:rPr>
                <w:color w:val="000000"/>
              </w:rPr>
            </w:pPr>
            <w:r w:rsidRPr="00205367">
              <w:rPr>
                <w:color w:val="000000"/>
              </w:rPr>
              <w:t>полиэтиленовых газопроводов:</w:t>
            </w:r>
          </w:p>
        </w:tc>
      </w:tr>
      <w:tr w:rsidR="00A2124B" w:rsidRPr="00205367" w14:paraId="3B1E0464" w14:textId="77777777" w:rsidTr="001C56BD">
        <w:trPr>
          <w:trHeight w:val="612"/>
        </w:trPr>
        <w:tc>
          <w:tcPr>
            <w:tcW w:w="1297" w:type="dxa"/>
            <w:shd w:val="clear" w:color="auto" w:fill="auto"/>
            <w:vAlign w:val="center"/>
            <w:hideMark/>
          </w:tcPr>
          <w:p w14:paraId="51049790" w14:textId="77777777" w:rsidR="00A2124B" w:rsidRPr="00205367" w:rsidRDefault="00A2124B" w:rsidP="008A5C11">
            <w:pPr>
              <w:jc w:val="center"/>
              <w:rPr>
                <w:color w:val="000000"/>
              </w:rPr>
            </w:pPr>
            <w:r>
              <w:rPr>
                <w:color w:val="000000"/>
              </w:rPr>
              <w:t>6</w:t>
            </w:r>
            <w:r w:rsidRPr="00205367">
              <w:rPr>
                <w:color w:val="000000"/>
              </w:rPr>
              <w:t>.2.2.1.</w:t>
            </w:r>
          </w:p>
        </w:tc>
        <w:tc>
          <w:tcPr>
            <w:tcW w:w="8347" w:type="dxa"/>
            <w:gridSpan w:val="3"/>
            <w:shd w:val="clear" w:color="auto" w:fill="auto"/>
            <w:vAlign w:val="center"/>
            <w:hideMark/>
          </w:tcPr>
          <w:p w14:paraId="3837434F" w14:textId="77777777" w:rsidR="00A2124B" w:rsidRPr="00205367" w:rsidRDefault="00A2124B" w:rsidP="008A5C11">
            <w:pPr>
              <w:rPr>
                <w:color w:val="000000"/>
              </w:rPr>
            </w:pPr>
            <w:r w:rsidRPr="00205367">
              <w:rPr>
                <w:color w:val="000000"/>
              </w:rPr>
              <w:t>с давлением до 0,6 МПа (включительно) в газопроводе, в который осуществляется врезка, наружным диаметром:</w:t>
            </w:r>
          </w:p>
        </w:tc>
      </w:tr>
      <w:tr w:rsidR="00A2124B" w:rsidRPr="00205367" w14:paraId="6EB74DB0" w14:textId="77777777" w:rsidTr="001C56BD">
        <w:trPr>
          <w:trHeight w:val="276"/>
        </w:trPr>
        <w:tc>
          <w:tcPr>
            <w:tcW w:w="1297" w:type="dxa"/>
            <w:shd w:val="clear" w:color="auto" w:fill="auto"/>
            <w:vAlign w:val="center"/>
            <w:hideMark/>
          </w:tcPr>
          <w:p w14:paraId="099B503D" w14:textId="77777777" w:rsidR="00A2124B" w:rsidRPr="00205367" w:rsidRDefault="00A2124B" w:rsidP="008A5C11">
            <w:pPr>
              <w:jc w:val="center"/>
              <w:rPr>
                <w:color w:val="000000"/>
              </w:rPr>
            </w:pPr>
            <w:r>
              <w:rPr>
                <w:color w:val="000000"/>
              </w:rPr>
              <w:t>6</w:t>
            </w:r>
            <w:r w:rsidRPr="00205367">
              <w:rPr>
                <w:color w:val="000000"/>
              </w:rPr>
              <w:t>.2.2.1.1.</w:t>
            </w:r>
          </w:p>
        </w:tc>
        <w:tc>
          <w:tcPr>
            <w:tcW w:w="4106" w:type="dxa"/>
            <w:shd w:val="clear" w:color="auto" w:fill="auto"/>
            <w:vAlign w:val="center"/>
            <w:hideMark/>
          </w:tcPr>
          <w:p w14:paraId="2661FAD2" w14:textId="77777777" w:rsidR="00A2124B" w:rsidRPr="00205367" w:rsidRDefault="00A2124B" w:rsidP="008A5C11">
            <w:pPr>
              <w:rPr>
                <w:color w:val="000000"/>
              </w:rPr>
            </w:pPr>
            <w:r w:rsidRPr="00205367">
              <w:rPr>
                <w:color w:val="000000"/>
              </w:rPr>
              <w:t>109 мм и менее</w:t>
            </w:r>
          </w:p>
        </w:tc>
        <w:tc>
          <w:tcPr>
            <w:tcW w:w="1775" w:type="dxa"/>
            <w:vMerge w:val="restart"/>
            <w:shd w:val="clear" w:color="auto" w:fill="auto"/>
            <w:vAlign w:val="center"/>
            <w:hideMark/>
          </w:tcPr>
          <w:p w14:paraId="17E008C8" w14:textId="77777777" w:rsidR="00A2124B" w:rsidRPr="00205367" w:rsidRDefault="00A2124B" w:rsidP="008A5C11">
            <w:pPr>
              <w:jc w:val="center"/>
              <w:rPr>
                <w:color w:val="000000"/>
              </w:rPr>
            </w:pPr>
            <w:r w:rsidRPr="00205367">
              <w:rPr>
                <w:color w:val="000000"/>
              </w:rPr>
              <w:t>руб. за 1 присоединение</w:t>
            </w:r>
          </w:p>
        </w:tc>
        <w:tc>
          <w:tcPr>
            <w:tcW w:w="2466" w:type="dxa"/>
            <w:shd w:val="clear" w:color="auto" w:fill="auto"/>
            <w:vAlign w:val="center"/>
            <w:hideMark/>
          </w:tcPr>
          <w:p w14:paraId="08BDA6DE" w14:textId="77777777" w:rsidR="00A2124B" w:rsidRPr="00C17EC2" w:rsidRDefault="00A2124B" w:rsidP="008A5C11">
            <w:pPr>
              <w:jc w:val="center"/>
              <w:rPr>
                <w:color w:val="000000"/>
              </w:rPr>
            </w:pPr>
            <w:r w:rsidRPr="00C17EC2">
              <w:rPr>
                <w:color w:val="000000"/>
              </w:rPr>
              <w:t>18 077</w:t>
            </w:r>
          </w:p>
        </w:tc>
      </w:tr>
      <w:tr w:rsidR="00A2124B" w:rsidRPr="00205367" w14:paraId="51EC1662" w14:textId="77777777" w:rsidTr="001C56BD">
        <w:trPr>
          <w:trHeight w:val="276"/>
        </w:trPr>
        <w:tc>
          <w:tcPr>
            <w:tcW w:w="1297" w:type="dxa"/>
            <w:shd w:val="clear" w:color="auto" w:fill="auto"/>
            <w:vAlign w:val="center"/>
            <w:hideMark/>
          </w:tcPr>
          <w:p w14:paraId="092C5E3D" w14:textId="77777777" w:rsidR="00A2124B" w:rsidRPr="00205367" w:rsidRDefault="00A2124B" w:rsidP="008A5C11">
            <w:pPr>
              <w:jc w:val="center"/>
              <w:rPr>
                <w:color w:val="000000"/>
              </w:rPr>
            </w:pPr>
            <w:r>
              <w:rPr>
                <w:color w:val="000000"/>
              </w:rPr>
              <w:t>6</w:t>
            </w:r>
            <w:r w:rsidRPr="00205367">
              <w:rPr>
                <w:color w:val="000000"/>
              </w:rPr>
              <w:t>.2.2.1.2.</w:t>
            </w:r>
          </w:p>
        </w:tc>
        <w:tc>
          <w:tcPr>
            <w:tcW w:w="4106" w:type="dxa"/>
            <w:shd w:val="clear" w:color="auto" w:fill="auto"/>
            <w:vAlign w:val="center"/>
            <w:hideMark/>
          </w:tcPr>
          <w:p w14:paraId="06280309" w14:textId="77777777" w:rsidR="00A2124B" w:rsidRPr="00205367" w:rsidRDefault="00A2124B" w:rsidP="008A5C11">
            <w:pPr>
              <w:rPr>
                <w:color w:val="000000"/>
              </w:rPr>
            </w:pPr>
            <w:r w:rsidRPr="00205367">
              <w:rPr>
                <w:color w:val="000000"/>
              </w:rPr>
              <w:t>110-159 мм</w:t>
            </w:r>
          </w:p>
        </w:tc>
        <w:tc>
          <w:tcPr>
            <w:tcW w:w="1775" w:type="dxa"/>
            <w:vMerge/>
            <w:vAlign w:val="center"/>
            <w:hideMark/>
          </w:tcPr>
          <w:p w14:paraId="48091E93" w14:textId="77777777" w:rsidR="00A2124B" w:rsidRPr="00205367" w:rsidRDefault="00A2124B" w:rsidP="008A5C11">
            <w:pPr>
              <w:rPr>
                <w:color w:val="000000"/>
              </w:rPr>
            </w:pPr>
          </w:p>
        </w:tc>
        <w:tc>
          <w:tcPr>
            <w:tcW w:w="2466" w:type="dxa"/>
            <w:shd w:val="clear" w:color="auto" w:fill="auto"/>
            <w:vAlign w:val="center"/>
            <w:hideMark/>
          </w:tcPr>
          <w:p w14:paraId="20E6D0FC" w14:textId="77777777" w:rsidR="00A2124B" w:rsidRPr="00C17EC2" w:rsidRDefault="00A2124B" w:rsidP="008A5C11">
            <w:pPr>
              <w:jc w:val="center"/>
              <w:rPr>
                <w:color w:val="000000"/>
              </w:rPr>
            </w:pPr>
            <w:r w:rsidRPr="00C17EC2">
              <w:rPr>
                <w:color w:val="000000"/>
              </w:rPr>
              <w:t>33 487</w:t>
            </w:r>
          </w:p>
        </w:tc>
      </w:tr>
      <w:tr w:rsidR="00A2124B" w:rsidRPr="00205367" w14:paraId="4FFE7161" w14:textId="77777777" w:rsidTr="001C56BD">
        <w:trPr>
          <w:trHeight w:val="276"/>
        </w:trPr>
        <w:tc>
          <w:tcPr>
            <w:tcW w:w="1297" w:type="dxa"/>
            <w:shd w:val="clear" w:color="auto" w:fill="auto"/>
            <w:vAlign w:val="center"/>
            <w:hideMark/>
          </w:tcPr>
          <w:p w14:paraId="69238856" w14:textId="77777777" w:rsidR="00A2124B" w:rsidRPr="00205367" w:rsidRDefault="00A2124B" w:rsidP="008A5C11">
            <w:pPr>
              <w:jc w:val="center"/>
              <w:rPr>
                <w:color w:val="000000"/>
              </w:rPr>
            </w:pPr>
            <w:r>
              <w:rPr>
                <w:color w:val="000000"/>
              </w:rPr>
              <w:t>6</w:t>
            </w:r>
            <w:r w:rsidRPr="00205367">
              <w:rPr>
                <w:color w:val="000000"/>
              </w:rPr>
              <w:t>.2.2.1.3.</w:t>
            </w:r>
          </w:p>
        </w:tc>
        <w:tc>
          <w:tcPr>
            <w:tcW w:w="4106" w:type="dxa"/>
            <w:shd w:val="clear" w:color="auto" w:fill="auto"/>
            <w:vAlign w:val="center"/>
            <w:hideMark/>
          </w:tcPr>
          <w:p w14:paraId="13324A2C" w14:textId="77777777" w:rsidR="00A2124B" w:rsidRPr="00205367" w:rsidRDefault="00A2124B" w:rsidP="008A5C11">
            <w:pPr>
              <w:rPr>
                <w:color w:val="000000"/>
              </w:rPr>
            </w:pPr>
            <w:r w:rsidRPr="00205367">
              <w:rPr>
                <w:color w:val="000000"/>
              </w:rPr>
              <w:t>160-224 мм</w:t>
            </w:r>
          </w:p>
        </w:tc>
        <w:tc>
          <w:tcPr>
            <w:tcW w:w="1775" w:type="dxa"/>
            <w:vMerge/>
            <w:vAlign w:val="center"/>
            <w:hideMark/>
          </w:tcPr>
          <w:p w14:paraId="0B54484A" w14:textId="77777777" w:rsidR="00A2124B" w:rsidRPr="00205367" w:rsidRDefault="00A2124B" w:rsidP="008A5C11">
            <w:pPr>
              <w:rPr>
                <w:color w:val="000000"/>
              </w:rPr>
            </w:pPr>
          </w:p>
        </w:tc>
        <w:tc>
          <w:tcPr>
            <w:tcW w:w="2466" w:type="dxa"/>
            <w:shd w:val="clear" w:color="auto" w:fill="auto"/>
            <w:vAlign w:val="center"/>
            <w:hideMark/>
          </w:tcPr>
          <w:p w14:paraId="3B65EB3E" w14:textId="77777777" w:rsidR="00A2124B" w:rsidRPr="00C17EC2" w:rsidRDefault="00A2124B" w:rsidP="008A5C11">
            <w:pPr>
              <w:jc w:val="center"/>
              <w:rPr>
                <w:color w:val="000000"/>
              </w:rPr>
            </w:pPr>
            <w:r w:rsidRPr="00C17EC2">
              <w:rPr>
                <w:color w:val="000000"/>
              </w:rPr>
              <w:t>34 272</w:t>
            </w:r>
          </w:p>
        </w:tc>
      </w:tr>
      <w:tr w:rsidR="00A2124B" w:rsidRPr="00205367" w14:paraId="49146E51" w14:textId="77777777" w:rsidTr="001C56BD">
        <w:trPr>
          <w:trHeight w:val="276"/>
        </w:trPr>
        <w:tc>
          <w:tcPr>
            <w:tcW w:w="1297" w:type="dxa"/>
            <w:shd w:val="clear" w:color="auto" w:fill="auto"/>
            <w:vAlign w:val="center"/>
            <w:hideMark/>
          </w:tcPr>
          <w:p w14:paraId="6F50777E" w14:textId="77777777" w:rsidR="00A2124B" w:rsidRPr="00205367" w:rsidRDefault="00A2124B" w:rsidP="008A5C11">
            <w:pPr>
              <w:jc w:val="center"/>
              <w:rPr>
                <w:color w:val="000000"/>
              </w:rPr>
            </w:pPr>
            <w:r>
              <w:rPr>
                <w:color w:val="000000"/>
              </w:rPr>
              <w:t>6</w:t>
            </w:r>
            <w:r w:rsidRPr="00205367">
              <w:rPr>
                <w:color w:val="000000"/>
              </w:rPr>
              <w:t>.2.2.1.4.</w:t>
            </w:r>
          </w:p>
        </w:tc>
        <w:tc>
          <w:tcPr>
            <w:tcW w:w="4106" w:type="dxa"/>
            <w:shd w:val="clear" w:color="auto" w:fill="auto"/>
            <w:vAlign w:val="center"/>
            <w:hideMark/>
          </w:tcPr>
          <w:p w14:paraId="7D051421" w14:textId="77777777" w:rsidR="00A2124B" w:rsidRPr="00205367" w:rsidRDefault="00A2124B" w:rsidP="008A5C11">
            <w:pPr>
              <w:rPr>
                <w:color w:val="000000"/>
              </w:rPr>
            </w:pPr>
            <w:r w:rsidRPr="00205367">
              <w:rPr>
                <w:color w:val="000000"/>
              </w:rPr>
              <w:t>225-314 мм</w:t>
            </w:r>
          </w:p>
        </w:tc>
        <w:tc>
          <w:tcPr>
            <w:tcW w:w="1775" w:type="dxa"/>
            <w:vMerge/>
            <w:vAlign w:val="center"/>
            <w:hideMark/>
          </w:tcPr>
          <w:p w14:paraId="46E243D4" w14:textId="77777777" w:rsidR="00A2124B" w:rsidRPr="00205367" w:rsidRDefault="00A2124B" w:rsidP="008A5C11">
            <w:pPr>
              <w:rPr>
                <w:color w:val="000000"/>
              </w:rPr>
            </w:pPr>
          </w:p>
        </w:tc>
        <w:tc>
          <w:tcPr>
            <w:tcW w:w="2466" w:type="dxa"/>
            <w:shd w:val="clear" w:color="auto" w:fill="auto"/>
            <w:vAlign w:val="center"/>
            <w:hideMark/>
          </w:tcPr>
          <w:p w14:paraId="7150F002" w14:textId="77777777" w:rsidR="00A2124B" w:rsidRPr="00C17EC2" w:rsidRDefault="00A2124B" w:rsidP="008A5C11">
            <w:pPr>
              <w:jc w:val="center"/>
              <w:rPr>
                <w:color w:val="000000"/>
              </w:rPr>
            </w:pPr>
            <w:r w:rsidRPr="00C17EC2">
              <w:rPr>
                <w:color w:val="000000"/>
              </w:rPr>
              <w:t>34 606</w:t>
            </w:r>
          </w:p>
        </w:tc>
      </w:tr>
      <w:tr w:rsidR="00A2124B" w:rsidRPr="00205367" w14:paraId="42F16E96" w14:textId="77777777" w:rsidTr="001C56BD">
        <w:trPr>
          <w:trHeight w:val="276"/>
        </w:trPr>
        <w:tc>
          <w:tcPr>
            <w:tcW w:w="1297" w:type="dxa"/>
            <w:shd w:val="clear" w:color="auto" w:fill="auto"/>
            <w:vAlign w:val="center"/>
            <w:hideMark/>
          </w:tcPr>
          <w:p w14:paraId="2FD9015A" w14:textId="77777777" w:rsidR="00A2124B" w:rsidRPr="00205367" w:rsidRDefault="00A2124B" w:rsidP="008A5C11">
            <w:pPr>
              <w:jc w:val="center"/>
              <w:rPr>
                <w:color w:val="000000"/>
              </w:rPr>
            </w:pPr>
            <w:r>
              <w:rPr>
                <w:color w:val="000000"/>
              </w:rPr>
              <w:t>6</w:t>
            </w:r>
            <w:r w:rsidRPr="00205367">
              <w:rPr>
                <w:color w:val="000000"/>
              </w:rPr>
              <w:t>.2.2.1.5.</w:t>
            </w:r>
          </w:p>
        </w:tc>
        <w:tc>
          <w:tcPr>
            <w:tcW w:w="4106" w:type="dxa"/>
            <w:shd w:val="clear" w:color="auto" w:fill="auto"/>
            <w:vAlign w:val="center"/>
            <w:hideMark/>
          </w:tcPr>
          <w:p w14:paraId="3315B110" w14:textId="77777777" w:rsidR="00A2124B" w:rsidRPr="00205367" w:rsidRDefault="00A2124B" w:rsidP="008A5C11">
            <w:pPr>
              <w:rPr>
                <w:color w:val="000000"/>
              </w:rPr>
            </w:pPr>
            <w:r w:rsidRPr="00205367">
              <w:rPr>
                <w:color w:val="000000"/>
              </w:rPr>
              <w:t>315-399 мм</w:t>
            </w:r>
          </w:p>
        </w:tc>
        <w:tc>
          <w:tcPr>
            <w:tcW w:w="1775" w:type="dxa"/>
            <w:vMerge/>
            <w:vAlign w:val="center"/>
            <w:hideMark/>
          </w:tcPr>
          <w:p w14:paraId="623684B5" w14:textId="77777777" w:rsidR="00A2124B" w:rsidRPr="00205367" w:rsidRDefault="00A2124B" w:rsidP="008A5C11">
            <w:pPr>
              <w:rPr>
                <w:color w:val="000000"/>
              </w:rPr>
            </w:pPr>
          </w:p>
        </w:tc>
        <w:tc>
          <w:tcPr>
            <w:tcW w:w="2466" w:type="dxa"/>
            <w:shd w:val="clear" w:color="auto" w:fill="auto"/>
            <w:vAlign w:val="center"/>
            <w:hideMark/>
          </w:tcPr>
          <w:p w14:paraId="608E020C" w14:textId="77777777" w:rsidR="00A2124B" w:rsidRPr="00C17EC2" w:rsidRDefault="00A2124B" w:rsidP="008A5C11">
            <w:pPr>
              <w:jc w:val="center"/>
              <w:rPr>
                <w:color w:val="000000"/>
              </w:rPr>
            </w:pPr>
            <w:r w:rsidRPr="00C17EC2">
              <w:rPr>
                <w:color w:val="000000"/>
              </w:rPr>
              <w:t>36 088</w:t>
            </w:r>
          </w:p>
        </w:tc>
      </w:tr>
      <w:tr w:rsidR="00A2124B" w:rsidRPr="00026984" w14:paraId="3BD3A642" w14:textId="77777777" w:rsidTr="001C56BD">
        <w:trPr>
          <w:trHeight w:val="276"/>
        </w:trPr>
        <w:tc>
          <w:tcPr>
            <w:tcW w:w="1297" w:type="dxa"/>
            <w:shd w:val="clear" w:color="auto" w:fill="auto"/>
            <w:vAlign w:val="center"/>
            <w:hideMark/>
          </w:tcPr>
          <w:p w14:paraId="432C3D5E" w14:textId="77777777" w:rsidR="00A2124B" w:rsidRPr="00205367" w:rsidRDefault="00A2124B" w:rsidP="008A5C11">
            <w:pPr>
              <w:jc w:val="center"/>
              <w:rPr>
                <w:color w:val="000000"/>
              </w:rPr>
            </w:pPr>
            <w:r>
              <w:rPr>
                <w:color w:val="000000"/>
              </w:rPr>
              <w:t>6</w:t>
            </w:r>
            <w:r w:rsidRPr="00205367">
              <w:rPr>
                <w:color w:val="000000"/>
              </w:rPr>
              <w:t>.2.2.1.6.</w:t>
            </w:r>
          </w:p>
        </w:tc>
        <w:tc>
          <w:tcPr>
            <w:tcW w:w="4106" w:type="dxa"/>
            <w:shd w:val="clear" w:color="auto" w:fill="auto"/>
            <w:vAlign w:val="center"/>
            <w:hideMark/>
          </w:tcPr>
          <w:p w14:paraId="133B26ED" w14:textId="77777777" w:rsidR="00A2124B" w:rsidRPr="00205367" w:rsidRDefault="00A2124B" w:rsidP="008A5C11">
            <w:pPr>
              <w:rPr>
                <w:color w:val="000000"/>
              </w:rPr>
            </w:pPr>
            <w:r w:rsidRPr="00205367">
              <w:rPr>
                <w:color w:val="000000"/>
              </w:rPr>
              <w:t>400 мм и выше</w:t>
            </w:r>
          </w:p>
        </w:tc>
        <w:tc>
          <w:tcPr>
            <w:tcW w:w="1775" w:type="dxa"/>
            <w:vMerge/>
            <w:vAlign w:val="center"/>
            <w:hideMark/>
          </w:tcPr>
          <w:p w14:paraId="5F511B87" w14:textId="77777777" w:rsidR="00A2124B" w:rsidRPr="00205367" w:rsidRDefault="00A2124B" w:rsidP="008A5C11">
            <w:pPr>
              <w:rPr>
                <w:color w:val="000000"/>
              </w:rPr>
            </w:pPr>
          </w:p>
        </w:tc>
        <w:tc>
          <w:tcPr>
            <w:tcW w:w="2466" w:type="dxa"/>
            <w:shd w:val="clear" w:color="auto" w:fill="auto"/>
            <w:vAlign w:val="center"/>
            <w:hideMark/>
          </w:tcPr>
          <w:p w14:paraId="4599E42F" w14:textId="77777777" w:rsidR="00A2124B" w:rsidRPr="00C17EC2" w:rsidRDefault="00A2124B" w:rsidP="008A5C11">
            <w:pPr>
              <w:jc w:val="center"/>
              <w:rPr>
                <w:color w:val="000000"/>
              </w:rPr>
            </w:pPr>
            <w:r w:rsidRPr="00C17EC2">
              <w:rPr>
                <w:color w:val="000000"/>
              </w:rPr>
              <w:t>59 566</w:t>
            </w:r>
          </w:p>
        </w:tc>
      </w:tr>
      <w:tr w:rsidR="00A2124B" w:rsidRPr="00205367" w14:paraId="156AA5AF" w14:textId="77777777" w:rsidTr="001C56BD">
        <w:trPr>
          <w:trHeight w:val="612"/>
        </w:trPr>
        <w:tc>
          <w:tcPr>
            <w:tcW w:w="1297" w:type="dxa"/>
            <w:shd w:val="clear" w:color="auto" w:fill="auto"/>
            <w:vAlign w:val="center"/>
            <w:hideMark/>
          </w:tcPr>
          <w:p w14:paraId="419DFAE2" w14:textId="77777777" w:rsidR="00A2124B" w:rsidRPr="00205367" w:rsidRDefault="00A2124B" w:rsidP="008A5C11">
            <w:pPr>
              <w:jc w:val="center"/>
              <w:rPr>
                <w:color w:val="000000"/>
              </w:rPr>
            </w:pPr>
            <w:r>
              <w:rPr>
                <w:color w:val="000000"/>
              </w:rPr>
              <w:t>6</w:t>
            </w:r>
            <w:r w:rsidRPr="00205367">
              <w:rPr>
                <w:color w:val="000000"/>
              </w:rPr>
              <w:t>.2.2.</w:t>
            </w:r>
            <w:r>
              <w:rPr>
                <w:color w:val="000000"/>
              </w:rPr>
              <w:t>2</w:t>
            </w:r>
            <w:r w:rsidRPr="00205367">
              <w:rPr>
                <w:color w:val="000000"/>
              </w:rPr>
              <w:t>.</w:t>
            </w:r>
          </w:p>
        </w:tc>
        <w:tc>
          <w:tcPr>
            <w:tcW w:w="8347" w:type="dxa"/>
            <w:gridSpan w:val="3"/>
            <w:shd w:val="clear" w:color="auto" w:fill="auto"/>
            <w:vAlign w:val="center"/>
            <w:hideMark/>
          </w:tcPr>
          <w:p w14:paraId="64AE7FD3" w14:textId="77777777" w:rsidR="00A2124B" w:rsidRPr="00205367" w:rsidRDefault="00A2124B" w:rsidP="008A5C11">
            <w:pPr>
              <w:rPr>
                <w:color w:val="000000"/>
              </w:rPr>
            </w:pPr>
            <w:r w:rsidRPr="004623D7">
              <w:rPr>
                <w:color w:val="000000"/>
              </w:rPr>
              <w:t>с давлением</w:t>
            </w:r>
            <w:r>
              <w:rPr>
                <w:color w:val="000000"/>
              </w:rPr>
              <w:t xml:space="preserve"> от</w:t>
            </w:r>
            <w:r w:rsidRPr="004623D7">
              <w:rPr>
                <w:color w:val="000000"/>
              </w:rPr>
              <w:t xml:space="preserve"> 0,6 МПа до 1,2 МПа в газопроводе, в который осуществляется врезка, </w:t>
            </w:r>
            <w:r>
              <w:rPr>
                <w:color w:val="000000"/>
              </w:rPr>
              <w:t xml:space="preserve">наружным </w:t>
            </w:r>
            <w:r w:rsidRPr="004623D7">
              <w:rPr>
                <w:color w:val="000000"/>
              </w:rPr>
              <w:t>диаметром:</w:t>
            </w:r>
          </w:p>
        </w:tc>
      </w:tr>
      <w:tr w:rsidR="00A2124B" w:rsidRPr="001A368A" w14:paraId="1F35FBEE" w14:textId="77777777" w:rsidTr="001C56BD">
        <w:trPr>
          <w:trHeight w:val="276"/>
        </w:trPr>
        <w:tc>
          <w:tcPr>
            <w:tcW w:w="1297" w:type="dxa"/>
            <w:shd w:val="clear" w:color="auto" w:fill="auto"/>
            <w:vAlign w:val="center"/>
            <w:hideMark/>
          </w:tcPr>
          <w:p w14:paraId="3762F0DC" w14:textId="77777777" w:rsidR="00A2124B" w:rsidRPr="00205367" w:rsidRDefault="00A2124B" w:rsidP="008A5C11">
            <w:pPr>
              <w:jc w:val="center"/>
              <w:rPr>
                <w:color w:val="000000"/>
              </w:rPr>
            </w:pPr>
            <w:r>
              <w:rPr>
                <w:color w:val="000000"/>
              </w:rPr>
              <w:t>6</w:t>
            </w:r>
            <w:r w:rsidRPr="00205367">
              <w:rPr>
                <w:color w:val="000000"/>
              </w:rPr>
              <w:t>.2.2.</w:t>
            </w:r>
            <w:r>
              <w:rPr>
                <w:color w:val="000000"/>
              </w:rPr>
              <w:t>2</w:t>
            </w:r>
            <w:r w:rsidRPr="00205367">
              <w:rPr>
                <w:color w:val="000000"/>
              </w:rPr>
              <w:t>.1.</w:t>
            </w:r>
          </w:p>
        </w:tc>
        <w:tc>
          <w:tcPr>
            <w:tcW w:w="4106" w:type="dxa"/>
            <w:shd w:val="clear" w:color="auto" w:fill="auto"/>
            <w:vAlign w:val="center"/>
            <w:hideMark/>
          </w:tcPr>
          <w:p w14:paraId="69BEE9EE" w14:textId="77777777" w:rsidR="00A2124B" w:rsidRPr="00205367" w:rsidRDefault="00A2124B" w:rsidP="008A5C11">
            <w:pPr>
              <w:rPr>
                <w:color w:val="000000"/>
              </w:rPr>
            </w:pPr>
            <w:r w:rsidRPr="00205367">
              <w:rPr>
                <w:color w:val="000000"/>
              </w:rPr>
              <w:t>109 мм и менее</w:t>
            </w:r>
          </w:p>
        </w:tc>
        <w:tc>
          <w:tcPr>
            <w:tcW w:w="1775" w:type="dxa"/>
            <w:vMerge w:val="restart"/>
            <w:shd w:val="clear" w:color="auto" w:fill="auto"/>
            <w:vAlign w:val="center"/>
            <w:hideMark/>
          </w:tcPr>
          <w:p w14:paraId="5C2150A3" w14:textId="77777777" w:rsidR="00A2124B" w:rsidRPr="00205367" w:rsidRDefault="00A2124B" w:rsidP="008A5C11">
            <w:pPr>
              <w:jc w:val="center"/>
              <w:rPr>
                <w:color w:val="000000"/>
              </w:rPr>
            </w:pPr>
            <w:r w:rsidRPr="00205367">
              <w:rPr>
                <w:color w:val="000000"/>
              </w:rPr>
              <w:t>руб. за 1 присоединение</w:t>
            </w:r>
          </w:p>
        </w:tc>
        <w:tc>
          <w:tcPr>
            <w:tcW w:w="2466" w:type="dxa"/>
            <w:shd w:val="clear" w:color="auto" w:fill="auto"/>
            <w:vAlign w:val="center"/>
            <w:hideMark/>
          </w:tcPr>
          <w:p w14:paraId="051F5CC1" w14:textId="77777777" w:rsidR="00A2124B" w:rsidRPr="00C17EC2" w:rsidRDefault="00A2124B" w:rsidP="008A5C11">
            <w:pPr>
              <w:jc w:val="center"/>
              <w:rPr>
                <w:color w:val="000000"/>
              </w:rPr>
            </w:pPr>
            <w:r w:rsidRPr="00C17EC2">
              <w:rPr>
                <w:color w:val="000000"/>
              </w:rPr>
              <w:t>27 149</w:t>
            </w:r>
          </w:p>
        </w:tc>
      </w:tr>
      <w:tr w:rsidR="00A2124B" w:rsidRPr="001A368A" w14:paraId="0F0CF45B" w14:textId="77777777" w:rsidTr="001C56BD">
        <w:trPr>
          <w:trHeight w:val="276"/>
        </w:trPr>
        <w:tc>
          <w:tcPr>
            <w:tcW w:w="1297" w:type="dxa"/>
            <w:shd w:val="clear" w:color="auto" w:fill="auto"/>
            <w:vAlign w:val="center"/>
            <w:hideMark/>
          </w:tcPr>
          <w:p w14:paraId="750EAC8E" w14:textId="77777777" w:rsidR="00A2124B" w:rsidRPr="00205367" w:rsidRDefault="00A2124B" w:rsidP="008A5C11">
            <w:pPr>
              <w:jc w:val="center"/>
              <w:rPr>
                <w:color w:val="000000"/>
              </w:rPr>
            </w:pPr>
            <w:r>
              <w:rPr>
                <w:color w:val="000000"/>
              </w:rPr>
              <w:t>6</w:t>
            </w:r>
            <w:r w:rsidRPr="00205367">
              <w:rPr>
                <w:color w:val="000000"/>
              </w:rPr>
              <w:t>.2.2.</w:t>
            </w:r>
            <w:r>
              <w:rPr>
                <w:color w:val="000000"/>
              </w:rPr>
              <w:t>2</w:t>
            </w:r>
            <w:r w:rsidRPr="00205367">
              <w:rPr>
                <w:color w:val="000000"/>
              </w:rPr>
              <w:t>.2.</w:t>
            </w:r>
          </w:p>
        </w:tc>
        <w:tc>
          <w:tcPr>
            <w:tcW w:w="4106" w:type="dxa"/>
            <w:shd w:val="clear" w:color="auto" w:fill="auto"/>
            <w:vAlign w:val="center"/>
            <w:hideMark/>
          </w:tcPr>
          <w:p w14:paraId="4EFEAE49" w14:textId="77777777" w:rsidR="00A2124B" w:rsidRPr="00205367" w:rsidRDefault="00A2124B" w:rsidP="008A5C11">
            <w:pPr>
              <w:rPr>
                <w:color w:val="000000"/>
              </w:rPr>
            </w:pPr>
            <w:r w:rsidRPr="00205367">
              <w:rPr>
                <w:color w:val="000000"/>
              </w:rPr>
              <w:t>110-159 мм</w:t>
            </w:r>
          </w:p>
        </w:tc>
        <w:tc>
          <w:tcPr>
            <w:tcW w:w="1775" w:type="dxa"/>
            <w:vMerge/>
            <w:vAlign w:val="center"/>
            <w:hideMark/>
          </w:tcPr>
          <w:p w14:paraId="1B70F32C" w14:textId="77777777" w:rsidR="00A2124B" w:rsidRPr="00205367" w:rsidRDefault="00A2124B" w:rsidP="008A5C11">
            <w:pPr>
              <w:rPr>
                <w:color w:val="000000"/>
              </w:rPr>
            </w:pPr>
          </w:p>
        </w:tc>
        <w:tc>
          <w:tcPr>
            <w:tcW w:w="2466" w:type="dxa"/>
            <w:shd w:val="clear" w:color="auto" w:fill="auto"/>
            <w:vAlign w:val="center"/>
            <w:hideMark/>
          </w:tcPr>
          <w:p w14:paraId="572DB1DB" w14:textId="77777777" w:rsidR="00A2124B" w:rsidRPr="00C17EC2" w:rsidRDefault="00A2124B" w:rsidP="008A5C11">
            <w:pPr>
              <w:jc w:val="center"/>
              <w:rPr>
                <w:color w:val="000000"/>
              </w:rPr>
            </w:pPr>
            <w:r w:rsidRPr="00C17EC2">
              <w:rPr>
                <w:color w:val="000000"/>
              </w:rPr>
              <w:t>36 222</w:t>
            </w:r>
          </w:p>
        </w:tc>
      </w:tr>
      <w:tr w:rsidR="00A2124B" w:rsidRPr="001A368A" w14:paraId="36D12061" w14:textId="77777777" w:rsidTr="001C56BD">
        <w:trPr>
          <w:trHeight w:val="276"/>
        </w:trPr>
        <w:tc>
          <w:tcPr>
            <w:tcW w:w="1297" w:type="dxa"/>
            <w:shd w:val="clear" w:color="auto" w:fill="auto"/>
            <w:vAlign w:val="center"/>
            <w:hideMark/>
          </w:tcPr>
          <w:p w14:paraId="7F06F9B5" w14:textId="77777777" w:rsidR="00A2124B" w:rsidRPr="00205367" w:rsidRDefault="00A2124B" w:rsidP="008A5C11">
            <w:pPr>
              <w:jc w:val="center"/>
              <w:rPr>
                <w:color w:val="000000"/>
              </w:rPr>
            </w:pPr>
            <w:r>
              <w:rPr>
                <w:color w:val="000000"/>
              </w:rPr>
              <w:t>6</w:t>
            </w:r>
            <w:r w:rsidRPr="00205367">
              <w:rPr>
                <w:color w:val="000000"/>
              </w:rPr>
              <w:t>.2.2.</w:t>
            </w:r>
            <w:r>
              <w:rPr>
                <w:color w:val="000000"/>
              </w:rPr>
              <w:t>2</w:t>
            </w:r>
            <w:r w:rsidRPr="00205367">
              <w:rPr>
                <w:color w:val="000000"/>
              </w:rPr>
              <w:t>.3.</w:t>
            </w:r>
          </w:p>
        </w:tc>
        <w:tc>
          <w:tcPr>
            <w:tcW w:w="4106" w:type="dxa"/>
            <w:shd w:val="clear" w:color="auto" w:fill="auto"/>
            <w:vAlign w:val="center"/>
            <w:hideMark/>
          </w:tcPr>
          <w:p w14:paraId="49A68CDD" w14:textId="77777777" w:rsidR="00A2124B" w:rsidRPr="00205367" w:rsidRDefault="00A2124B" w:rsidP="008A5C11">
            <w:pPr>
              <w:rPr>
                <w:color w:val="000000"/>
              </w:rPr>
            </w:pPr>
            <w:r w:rsidRPr="00205367">
              <w:rPr>
                <w:color w:val="000000"/>
              </w:rPr>
              <w:t>160-224 мм</w:t>
            </w:r>
          </w:p>
        </w:tc>
        <w:tc>
          <w:tcPr>
            <w:tcW w:w="1775" w:type="dxa"/>
            <w:vMerge/>
            <w:vAlign w:val="center"/>
            <w:hideMark/>
          </w:tcPr>
          <w:p w14:paraId="1576DAB9" w14:textId="77777777" w:rsidR="00A2124B" w:rsidRPr="00205367" w:rsidRDefault="00A2124B" w:rsidP="008A5C11">
            <w:pPr>
              <w:rPr>
                <w:color w:val="000000"/>
              </w:rPr>
            </w:pPr>
          </w:p>
        </w:tc>
        <w:tc>
          <w:tcPr>
            <w:tcW w:w="2466" w:type="dxa"/>
            <w:shd w:val="clear" w:color="auto" w:fill="auto"/>
            <w:vAlign w:val="center"/>
            <w:hideMark/>
          </w:tcPr>
          <w:p w14:paraId="0BB195EB" w14:textId="77777777" w:rsidR="00A2124B" w:rsidRPr="00C17EC2" w:rsidRDefault="00A2124B" w:rsidP="008A5C11">
            <w:pPr>
              <w:jc w:val="center"/>
              <w:rPr>
                <w:color w:val="000000"/>
              </w:rPr>
            </w:pPr>
            <w:r w:rsidRPr="00C17EC2">
              <w:rPr>
                <w:color w:val="000000"/>
              </w:rPr>
              <w:t>66 617</w:t>
            </w:r>
          </w:p>
        </w:tc>
      </w:tr>
      <w:bookmarkEnd w:id="76"/>
    </w:tbl>
    <w:p w14:paraId="1090899F" w14:textId="77777777" w:rsidR="00B7665B" w:rsidRDefault="00B7665B" w:rsidP="00FF2C53">
      <w:pPr>
        <w:tabs>
          <w:tab w:val="left" w:pos="3686"/>
          <w:tab w:val="left" w:pos="9498"/>
        </w:tabs>
        <w:ind w:left="-3734" w:right="-1" w:firstLine="9830"/>
        <w:rPr>
          <w:color w:val="000000" w:themeColor="text1"/>
        </w:rPr>
      </w:pPr>
    </w:p>
    <w:p w14:paraId="32261C03" w14:textId="77777777" w:rsidR="00FF2C53" w:rsidRDefault="00FF2C53" w:rsidP="0099088D">
      <w:pPr>
        <w:tabs>
          <w:tab w:val="left" w:pos="5580"/>
          <w:tab w:val="left" w:pos="9498"/>
        </w:tabs>
        <w:ind w:left="-284" w:right="-569" w:firstLine="851"/>
        <w:rPr>
          <w:color w:val="000000" w:themeColor="text1"/>
        </w:rPr>
      </w:pPr>
    </w:p>
    <w:p w14:paraId="408C3F07" w14:textId="415879F7" w:rsidR="00BA7227" w:rsidRDefault="00BA7227" w:rsidP="00BA7227">
      <w:pPr>
        <w:tabs>
          <w:tab w:val="left" w:pos="5580"/>
          <w:tab w:val="left" w:pos="9498"/>
        </w:tabs>
        <w:ind w:left="-3734" w:right="-569" w:firstLine="10255"/>
        <w:rPr>
          <w:color w:val="000000" w:themeColor="text1"/>
        </w:rPr>
      </w:pPr>
    </w:p>
    <w:p w14:paraId="7A4BCCDF" w14:textId="61DE58C8" w:rsidR="007C6A45" w:rsidRDefault="007C6A45" w:rsidP="00BA7227">
      <w:pPr>
        <w:tabs>
          <w:tab w:val="left" w:pos="5580"/>
          <w:tab w:val="left" w:pos="9498"/>
        </w:tabs>
        <w:ind w:left="-3734" w:right="-569" w:firstLine="10255"/>
        <w:rPr>
          <w:color w:val="000000" w:themeColor="text1"/>
        </w:rPr>
      </w:pPr>
    </w:p>
    <w:p w14:paraId="2A00D9A2" w14:textId="7DA9E1AE" w:rsidR="007C6A45" w:rsidRDefault="007C6A45" w:rsidP="00BA7227">
      <w:pPr>
        <w:tabs>
          <w:tab w:val="left" w:pos="5580"/>
          <w:tab w:val="left" w:pos="9498"/>
        </w:tabs>
        <w:ind w:left="-3734" w:right="-569" w:firstLine="10255"/>
        <w:rPr>
          <w:color w:val="000000" w:themeColor="text1"/>
        </w:rPr>
      </w:pPr>
    </w:p>
    <w:p w14:paraId="4518C571" w14:textId="1C408A4E" w:rsidR="007C6A45" w:rsidRPr="00081AD4" w:rsidRDefault="007C6A45" w:rsidP="001C56BD">
      <w:pPr>
        <w:tabs>
          <w:tab w:val="left" w:pos="3686"/>
          <w:tab w:val="left" w:pos="9498"/>
        </w:tabs>
        <w:ind w:left="-3734" w:right="-1" w:firstLine="8270"/>
        <w:rPr>
          <w:color w:val="000000" w:themeColor="text1"/>
        </w:rPr>
      </w:pPr>
      <w:r w:rsidRPr="00081AD4">
        <w:rPr>
          <w:color w:val="000000" w:themeColor="text1"/>
        </w:rPr>
        <w:t xml:space="preserve">Приложение № </w:t>
      </w:r>
      <w:r>
        <w:rPr>
          <w:color w:val="000000" w:themeColor="text1"/>
        </w:rPr>
        <w:t>1</w:t>
      </w:r>
      <w:r>
        <w:rPr>
          <w:color w:val="000000" w:themeColor="text1"/>
        </w:rPr>
        <w:t>7</w:t>
      </w:r>
      <w:r>
        <w:rPr>
          <w:color w:val="000000" w:themeColor="text1"/>
        </w:rPr>
        <w:t xml:space="preserve"> к протоколу</w:t>
      </w:r>
      <w:r w:rsidRPr="00081AD4">
        <w:rPr>
          <w:color w:val="000000" w:themeColor="text1"/>
        </w:rPr>
        <w:t xml:space="preserve"> № </w:t>
      </w:r>
      <w:r>
        <w:rPr>
          <w:color w:val="000000" w:themeColor="text1"/>
        </w:rPr>
        <w:t>88</w:t>
      </w:r>
    </w:p>
    <w:p w14:paraId="625B5817" w14:textId="77777777" w:rsidR="007C6A45" w:rsidRPr="00081AD4" w:rsidRDefault="007C6A45" w:rsidP="001C56BD">
      <w:pPr>
        <w:tabs>
          <w:tab w:val="left" w:pos="3686"/>
          <w:tab w:val="left" w:pos="9498"/>
        </w:tabs>
        <w:ind w:left="-3734" w:right="-1" w:firstLine="8270"/>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654F549A" w14:textId="77777777" w:rsidR="007C6A45" w:rsidRPr="00081AD4" w:rsidRDefault="007C6A45" w:rsidP="001C56BD">
      <w:pPr>
        <w:tabs>
          <w:tab w:val="left" w:pos="3686"/>
          <w:tab w:val="left" w:pos="9498"/>
        </w:tabs>
        <w:ind w:left="-3734" w:right="-1" w:firstLine="8270"/>
        <w:rPr>
          <w:color w:val="000000" w:themeColor="text1"/>
        </w:rPr>
      </w:pPr>
      <w:r w:rsidRPr="00081AD4">
        <w:rPr>
          <w:color w:val="000000" w:themeColor="text1"/>
        </w:rPr>
        <w:t>энергетической комиссии</w:t>
      </w:r>
    </w:p>
    <w:p w14:paraId="2F6D8784" w14:textId="7306971E" w:rsidR="007C6A45" w:rsidRDefault="007C6A45" w:rsidP="001C56BD">
      <w:pPr>
        <w:tabs>
          <w:tab w:val="left" w:pos="3686"/>
          <w:tab w:val="left" w:pos="9498"/>
        </w:tabs>
        <w:ind w:left="-3734" w:right="-1" w:firstLine="8270"/>
        <w:rPr>
          <w:color w:val="000000" w:themeColor="text1"/>
        </w:rPr>
      </w:pPr>
      <w:r w:rsidRPr="00081AD4">
        <w:rPr>
          <w:color w:val="000000" w:themeColor="text1"/>
        </w:rPr>
        <w:t xml:space="preserve">Кузбасса от </w:t>
      </w:r>
      <w:r>
        <w:rPr>
          <w:color w:val="000000" w:themeColor="text1"/>
        </w:rPr>
        <w:t>23</w:t>
      </w:r>
      <w:r w:rsidRPr="00081AD4">
        <w:rPr>
          <w:color w:val="000000" w:themeColor="text1"/>
        </w:rPr>
        <w:t>.</w:t>
      </w:r>
      <w:r>
        <w:rPr>
          <w:color w:val="000000" w:themeColor="text1"/>
        </w:rPr>
        <w:t>12</w:t>
      </w:r>
      <w:r w:rsidRPr="00081AD4">
        <w:rPr>
          <w:color w:val="000000" w:themeColor="text1"/>
        </w:rPr>
        <w:t>.202</w:t>
      </w:r>
      <w:r>
        <w:rPr>
          <w:color w:val="000000" w:themeColor="text1"/>
        </w:rPr>
        <w:t>1</w:t>
      </w:r>
    </w:p>
    <w:p w14:paraId="5EE0505C" w14:textId="5E77BA01" w:rsidR="007C6A45" w:rsidRDefault="007C6A45" w:rsidP="001C56BD">
      <w:pPr>
        <w:tabs>
          <w:tab w:val="left" w:pos="3686"/>
          <w:tab w:val="left" w:pos="9498"/>
        </w:tabs>
        <w:ind w:left="-3734" w:right="-1" w:firstLine="8270"/>
        <w:rPr>
          <w:color w:val="000000" w:themeColor="text1"/>
        </w:rPr>
      </w:pPr>
    </w:p>
    <w:p w14:paraId="32279760" w14:textId="33E6FDA4" w:rsidR="007C6A45" w:rsidRDefault="007C6A45" w:rsidP="007C6A45">
      <w:pPr>
        <w:tabs>
          <w:tab w:val="left" w:pos="3686"/>
          <w:tab w:val="left" w:pos="9498"/>
        </w:tabs>
        <w:ind w:left="-3734" w:right="-1" w:firstLine="10113"/>
        <w:rPr>
          <w:color w:val="000000" w:themeColor="text1"/>
        </w:rPr>
      </w:pPr>
    </w:p>
    <w:p w14:paraId="3F9D4628" w14:textId="0F99549C" w:rsidR="007C6A45" w:rsidRDefault="007C6A45" w:rsidP="007C6A45">
      <w:pPr>
        <w:tabs>
          <w:tab w:val="left" w:pos="3686"/>
          <w:tab w:val="left" w:pos="9498"/>
        </w:tabs>
        <w:ind w:left="-3734" w:right="-1" w:firstLine="10113"/>
        <w:rPr>
          <w:color w:val="000000" w:themeColor="text1"/>
        </w:rPr>
      </w:pPr>
    </w:p>
    <w:p w14:paraId="474F4EA2" w14:textId="77777777" w:rsidR="001C56BD" w:rsidRPr="00305460" w:rsidRDefault="001C56BD" w:rsidP="001C56BD">
      <w:pPr>
        <w:jc w:val="center"/>
        <w:rPr>
          <w:b/>
          <w:bCs/>
          <w:sz w:val="28"/>
          <w:szCs w:val="28"/>
        </w:rPr>
      </w:pPr>
      <w:r w:rsidRPr="00305460">
        <w:rPr>
          <w:b/>
          <w:bCs/>
          <w:sz w:val="28"/>
          <w:szCs w:val="28"/>
        </w:rPr>
        <w:t>Экспертное заключение</w:t>
      </w:r>
    </w:p>
    <w:p w14:paraId="4888721F" w14:textId="77777777" w:rsidR="001C56BD" w:rsidRPr="00305460" w:rsidRDefault="001C56BD" w:rsidP="001C56BD">
      <w:pPr>
        <w:jc w:val="center"/>
        <w:rPr>
          <w:b/>
          <w:bCs/>
          <w:sz w:val="28"/>
          <w:szCs w:val="28"/>
        </w:rPr>
      </w:pPr>
      <w:r w:rsidRPr="00305460">
        <w:rPr>
          <w:b/>
          <w:bCs/>
          <w:sz w:val="28"/>
          <w:szCs w:val="28"/>
        </w:rPr>
        <w:t>Региональной энергетической комиссии Кузбасса</w:t>
      </w:r>
    </w:p>
    <w:p w14:paraId="358EDDDD" w14:textId="77777777" w:rsidR="001C56BD" w:rsidRPr="00305460" w:rsidRDefault="001C56BD" w:rsidP="001C56BD">
      <w:pPr>
        <w:jc w:val="center"/>
        <w:rPr>
          <w:sz w:val="28"/>
          <w:szCs w:val="28"/>
        </w:rPr>
      </w:pPr>
      <w:r w:rsidRPr="00305460">
        <w:rPr>
          <w:sz w:val="28"/>
          <w:szCs w:val="28"/>
        </w:rPr>
        <w:t>по материалам, представленным АО «Кузбассэнерго»</w:t>
      </w:r>
      <w:r w:rsidRPr="00305460">
        <w:rPr>
          <w:sz w:val="28"/>
          <w:szCs w:val="28"/>
        </w:rPr>
        <w:br/>
        <w:t xml:space="preserve"> (филиал «Кемеровская теплосетевая компания»), </w:t>
      </w:r>
    </w:p>
    <w:p w14:paraId="44E22F84" w14:textId="77777777" w:rsidR="001C56BD" w:rsidRPr="00305460" w:rsidRDefault="001C56BD" w:rsidP="001C56BD">
      <w:pPr>
        <w:jc w:val="center"/>
        <w:rPr>
          <w:sz w:val="28"/>
          <w:szCs w:val="28"/>
        </w:rPr>
      </w:pPr>
      <w:r w:rsidRPr="00305460">
        <w:rPr>
          <w:sz w:val="28"/>
          <w:szCs w:val="28"/>
        </w:rPr>
        <w:t>для утверждения инвестиционной программы в сфере теплоснабжения</w:t>
      </w:r>
    </w:p>
    <w:p w14:paraId="3445B8B1" w14:textId="77777777" w:rsidR="001C56BD" w:rsidRPr="00305460" w:rsidRDefault="001C56BD" w:rsidP="001C56BD">
      <w:pPr>
        <w:jc w:val="center"/>
        <w:rPr>
          <w:sz w:val="28"/>
          <w:szCs w:val="28"/>
        </w:rPr>
      </w:pPr>
      <w:r w:rsidRPr="00305460">
        <w:rPr>
          <w:sz w:val="28"/>
          <w:szCs w:val="28"/>
        </w:rPr>
        <w:t>на 2022 - 2031 годы</w:t>
      </w:r>
    </w:p>
    <w:p w14:paraId="71CB1AB1" w14:textId="77777777" w:rsidR="001C56BD" w:rsidRPr="00305460" w:rsidRDefault="001C56BD" w:rsidP="001C56BD">
      <w:pPr>
        <w:spacing w:line="276" w:lineRule="auto"/>
        <w:ind w:left="-142" w:firstLine="505"/>
        <w:jc w:val="both"/>
        <w:rPr>
          <w:sz w:val="28"/>
          <w:szCs w:val="28"/>
        </w:rPr>
      </w:pPr>
    </w:p>
    <w:p w14:paraId="17CBE194" w14:textId="77777777" w:rsidR="001C56BD" w:rsidRPr="00305460" w:rsidRDefault="001C56BD" w:rsidP="001C56BD">
      <w:pPr>
        <w:spacing w:line="276" w:lineRule="auto"/>
        <w:ind w:left="-142" w:firstLine="505"/>
        <w:jc w:val="both"/>
        <w:rPr>
          <w:sz w:val="28"/>
          <w:szCs w:val="28"/>
        </w:rPr>
      </w:pPr>
      <w:r w:rsidRPr="00305460">
        <w:rPr>
          <w:sz w:val="28"/>
          <w:szCs w:val="28"/>
        </w:rPr>
        <w:t>Нормативно-методической основой проведения анализа материалов, представленных АО «Кузбассэнерго» (филиал «Кемеровская теплосетевая компания»)</w:t>
      </w:r>
      <w:r w:rsidRPr="00305460">
        <w:rPr>
          <w:bCs/>
          <w:sz w:val="28"/>
          <w:szCs w:val="28"/>
        </w:rPr>
        <w:t xml:space="preserve"> </w:t>
      </w:r>
      <w:r w:rsidRPr="00305460">
        <w:rPr>
          <w:sz w:val="28"/>
          <w:szCs w:val="28"/>
        </w:rPr>
        <w:t>являются:</w:t>
      </w:r>
    </w:p>
    <w:p w14:paraId="0399A630" w14:textId="77777777" w:rsidR="001C56BD" w:rsidRPr="00305460" w:rsidRDefault="001C56BD" w:rsidP="001C56BD">
      <w:pPr>
        <w:spacing w:line="276" w:lineRule="auto"/>
        <w:ind w:left="-142" w:firstLine="505"/>
        <w:jc w:val="both"/>
        <w:rPr>
          <w:sz w:val="28"/>
          <w:szCs w:val="28"/>
        </w:rPr>
      </w:pPr>
      <w:r w:rsidRPr="00305460">
        <w:rPr>
          <w:sz w:val="28"/>
          <w:szCs w:val="28"/>
        </w:rPr>
        <w:t>- Гражданский кодекс Российской Федерации;</w:t>
      </w:r>
    </w:p>
    <w:p w14:paraId="3889347D" w14:textId="77777777" w:rsidR="001C56BD" w:rsidRPr="00305460" w:rsidRDefault="001C56BD" w:rsidP="001C56BD">
      <w:pPr>
        <w:spacing w:line="276" w:lineRule="auto"/>
        <w:ind w:left="-142" w:firstLine="505"/>
        <w:jc w:val="both"/>
        <w:rPr>
          <w:sz w:val="28"/>
          <w:szCs w:val="28"/>
        </w:rPr>
      </w:pPr>
      <w:r w:rsidRPr="00305460">
        <w:rPr>
          <w:sz w:val="28"/>
          <w:szCs w:val="28"/>
        </w:rPr>
        <w:t>- Приказ ФСТ России от 13.06.2013 № 760-э «Об утверждении методических указаний по расчету регулируемых цен (тарифов) в сфере теплоснабжения»;</w:t>
      </w:r>
    </w:p>
    <w:p w14:paraId="02AF69F8" w14:textId="77777777" w:rsidR="001C56BD" w:rsidRPr="00305460" w:rsidRDefault="001C56BD" w:rsidP="001C56BD">
      <w:pPr>
        <w:spacing w:line="276" w:lineRule="auto"/>
        <w:ind w:left="-142" w:firstLine="505"/>
        <w:jc w:val="both"/>
        <w:rPr>
          <w:sz w:val="28"/>
          <w:szCs w:val="28"/>
        </w:rPr>
      </w:pPr>
      <w:r w:rsidRPr="00305460">
        <w:rPr>
          <w:sz w:val="28"/>
          <w:szCs w:val="28"/>
        </w:rPr>
        <w:t>- Налоговый кодекс Российской Федерации (в дальнейшем НК РФ);</w:t>
      </w:r>
    </w:p>
    <w:p w14:paraId="1E80F84F" w14:textId="77777777" w:rsidR="001C56BD" w:rsidRPr="00305460" w:rsidRDefault="001C56BD" w:rsidP="001C56BD">
      <w:pPr>
        <w:spacing w:line="276" w:lineRule="auto"/>
        <w:ind w:left="-142" w:firstLine="505"/>
        <w:jc w:val="both"/>
        <w:rPr>
          <w:sz w:val="28"/>
          <w:szCs w:val="28"/>
        </w:rPr>
      </w:pPr>
      <w:r w:rsidRPr="00305460">
        <w:rPr>
          <w:sz w:val="28"/>
          <w:szCs w:val="28"/>
        </w:rPr>
        <w:t>- Трудовой Кодекс Российской Федерации (в дальнейшем ТК РФ);</w:t>
      </w:r>
    </w:p>
    <w:p w14:paraId="54C29E6E" w14:textId="77777777" w:rsidR="001C56BD" w:rsidRPr="00305460" w:rsidRDefault="001C56BD" w:rsidP="001C56BD">
      <w:pPr>
        <w:spacing w:line="276" w:lineRule="auto"/>
        <w:ind w:left="-142" w:firstLine="505"/>
        <w:jc w:val="both"/>
        <w:rPr>
          <w:sz w:val="28"/>
          <w:szCs w:val="28"/>
        </w:rPr>
      </w:pPr>
      <w:r w:rsidRPr="00305460">
        <w:rPr>
          <w:sz w:val="28"/>
          <w:szCs w:val="28"/>
        </w:rPr>
        <w:t>- Федеральный закон от 27.07.2010 № 190-ФЗ «О теплоснабжении»;</w:t>
      </w:r>
    </w:p>
    <w:p w14:paraId="4944C77D" w14:textId="77777777" w:rsidR="001C56BD" w:rsidRPr="00305460" w:rsidRDefault="001C56BD" w:rsidP="001C56BD">
      <w:pPr>
        <w:spacing w:line="276" w:lineRule="auto"/>
        <w:ind w:left="-142" w:firstLine="505"/>
        <w:jc w:val="both"/>
        <w:rPr>
          <w:sz w:val="28"/>
          <w:szCs w:val="28"/>
        </w:rPr>
      </w:pPr>
      <w:r w:rsidRPr="00305460">
        <w:rPr>
          <w:sz w:val="28"/>
          <w:szCs w:val="28"/>
        </w:rPr>
        <w:t>- Федеральный Закон от 17.08.1995 № 147-ФЗ «О естественных монополиях»;</w:t>
      </w:r>
    </w:p>
    <w:p w14:paraId="6EA5E4F8" w14:textId="77777777" w:rsidR="001C56BD" w:rsidRPr="00305460" w:rsidRDefault="001C56BD" w:rsidP="001C56BD">
      <w:pPr>
        <w:tabs>
          <w:tab w:val="num" w:pos="360"/>
          <w:tab w:val="num" w:pos="1080"/>
        </w:tabs>
        <w:spacing w:line="276" w:lineRule="auto"/>
        <w:ind w:left="-142" w:firstLine="505"/>
        <w:jc w:val="both"/>
        <w:rPr>
          <w:sz w:val="28"/>
          <w:szCs w:val="28"/>
        </w:rPr>
      </w:pPr>
      <w:r w:rsidRPr="00305460">
        <w:rPr>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6D4DE0C6" w14:textId="77777777" w:rsidR="001C56BD" w:rsidRPr="00305460" w:rsidRDefault="001C56BD" w:rsidP="001C56BD">
      <w:pPr>
        <w:tabs>
          <w:tab w:val="num" w:pos="360"/>
          <w:tab w:val="num" w:pos="1080"/>
        </w:tabs>
        <w:spacing w:line="276" w:lineRule="auto"/>
        <w:ind w:left="-142" w:firstLine="505"/>
        <w:jc w:val="both"/>
        <w:rPr>
          <w:sz w:val="28"/>
          <w:szCs w:val="28"/>
        </w:rPr>
      </w:pPr>
      <w:r w:rsidRPr="00305460">
        <w:rPr>
          <w:sz w:val="28"/>
          <w:szCs w:val="28"/>
        </w:rPr>
        <w:t>- Постановление Правительства Российской Федерации 22.10.2012 №1075 «О ценообразовании в сфере теплоснабжения»;</w:t>
      </w:r>
    </w:p>
    <w:p w14:paraId="5FB4EE4F" w14:textId="77777777" w:rsidR="001C56BD" w:rsidRPr="00305460" w:rsidRDefault="001C56BD" w:rsidP="001C56BD">
      <w:pPr>
        <w:tabs>
          <w:tab w:val="num" w:pos="360"/>
          <w:tab w:val="num" w:pos="1080"/>
        </w:tabs>
        <w:spacing w:line="276" w:lineRule="auto"/>
        <w:ind w:left="-142" w:firstLine="505"/>
        <w:jc w:val="both"/>
        <w:rPr>
          <w:sz w:val="28"/>
          <w:szCs w:val="28"/>
        </w:rPr>
      </w:pPr>
      <w:r w:rsidRPr="00305460">
        <w:rPr>
          <w:sz w:val="28"/>
          <w:szCs w:val="28"/>
        </w:rPr>
        <w:t>- Приказ Министерства строительства и жилищно-коммунального хозяйства Российской Федерации от 28.08. 2014 №506/пр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3B273992" w14:textId="77777777" w:rsidR="001C56BD" w:rsidRPr="00305460" w:rsidRDefault="001C56BD" w:rsidP="001C56BD">
      <w:pPr>
        <w:spacing w:line="276" w:lineRule="auto"/>
        <w:ind w:firstLine="567"/>
        <w:jc w:val="both"/>
        <w:rPr>
          <w:sz w:val="28"/>
          <w:szCs w:val="28"/>
        </w:rPr>
      </w:pPr>
      <w:r w:rsidRPr="00305460">
        <w:rPr>
          <w:sz w:val="28"/>
          <w:szCs w:val="28"/>
        </w:rPr>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6AD86CF4" w14:textId="77777777" w:rsidR="001C56BD" w:rsidRPr="00305460" w:rsidRDefault="001C56BD" w:rsidP="001C56BD">
      <w:pPr>
        <w:spacing w:line="276" w:lineRule="auto"/>
        <w:ind w:firstLine="567"/>
        <w:jc w:val="both"/>
        <w:rPr>
          <w:sz w:val="25"/>
          <w:szCs w:val="25"/>
        </w:rPr>
      </w:pPr>
    </w:p>
    <w:p w14:paraId="0BD8C175" w14:textId="77777777" w:rsidR="001C56BD" w:rsidRPr="00305460" w:rsidRDefault="001C56BD" w:rsidP="001C56BD">
      <w:pPr>
        <w:spacing w:line="276" w:lineRule="auto"/>
        <w:ind w:firstLine="567"/>
        <w:jc w:val="both"/>
        <w:rPr>
          <w:sz w:val="25"/>
          <w:szCs w:val="25"/>
        </w:rPr>
      </w:pPr>
    </w:p>
    <w:p w14:paraId="15825FE0" w14:textId="77777777" w:rsidR="001C56BD" w:rsidRPr="00305460" w:rsidRDefault="001C56BD" w:rsidP="001C56BD">
      <w:pPr>
        <w:tabs>
          <w:tab w:val="left" w:pos="720"/>
        </w:tabs>
        <w:spacing w:line="276" w:lineRule="auto"/>
        <w:ind w:firstLine="709"/>
        <w:jc w:val="both"/>
        <w:rPr>
          <w:sz w:val="28"/>
          <w:szCs w:val="28"/>
        </w:rPr>
      </w:pPr>
      <w:r w:rsidRPr="00305460">
        <w:rPr>
          <w:sz w:val="28"/>
          <w:szCs w:val="28"/>
        </w:rPr>
        <w:t>АО «Кузбассэнерго» (филиал «Кемеровская теплосетевая компания») (далее Предприятие) представило в Региональную энергетическую комиссию Кузбасса заявление с просьбой об утверждении инвестиционной программы на 2022-2031 годы.</w:t>
      </w:r>
    </w:p>
    <w:p w14:paraId="45A4DAF5" w14:textId="77777777" w:rsidR="001C56BD" w:rsidRPr="00305460" w:rsidRDefault="001C56BD" w:rsidP="001C56BD">
      <w:pPr>
        <w:tabs>
          <w:tab w:val="num" w:pos="360"/>
          <w:tab w:val="num" w:pos="1080"/>
        </w:tabs>
        <w:spacing w:line="276" w:lineRule="auto"/>
        <w:ind w:left="-142" w:firstLine="505"/>
        <w:jc w:val="both"/>
        <w:rPr>
          <w:sz w:val="28"/>
          <w:szCs w:val="28"/>
        </w:rPr>
      </w:pPr>
      <w:r w:rsidRPr="00305460">
        <w:rPr>
          <w:sz w:val="28"/>
          <w:szCs w:val="28"/>
        </w:rPr>
        <w:t xml:space="preserve">Предприятие представило инвестиционную программу </w:t>
      </w:r>
      <w:r w:rsidRPr="00305460">
        <w:rPr>
          <w:sz w:val="28"/>
          <w:szCs w:val="28"/>
        </w:rPr>
        <w:br/>
        <w:t xml:space="preserve">в размере 970 676,28 тыс. руб. (без НДС), в т.ч. из амортизационных отчислений 958 097,01 тыс. руб., за счет платы за подключение </w:t>
      </w:r>
      <w:r w:rsidRPr="00305460">
        <w:rPr>
          <w:sz w:val="28"/>
          <w:szCs w:val="28"/>
        </w:rPr>
        <w:br/>
        <w:t>12 579,28 тыс. руб.</w:t>
      </w:r>
    </w:p>
    <w:p w14:paraId="6070C6E3" w14:textId="77777777" w:rsidR="001C56BD" w:rsidRPr="00305460" w:rsidRDefault="001C56BD" w:rsidP="001C56BD">
      <w:pPr>
        <w:autoSpaceDE w:val="0"/>
        <w:autoSpaceDN w:val="0"/>
        <w:adjustRightInd w:val="0"/>
        <w:spacing w:line="276" w:lineRule="auto"/>
        <w:ind w:firstLine="540"/>
        <w:jc w:val="both"/>
        <w:rPr>
          <w:bCs/>
          <w:sz w:val="28"/>
          <w:szCs w:val="20"/>
        </w:rPr>
      </w:pPr>
      <w:r w:rsidRPr="00305460">
        <w:rPr>
          <w:bCs/>
          <w:sz w:val="28"/>
          <w:szCs w:val="20"/>
        </w:rPr>
        <w:t xml:space="preserve">Инвестиционная программа соответствует п. </w:t>
      </w:r>
      <w:hyperlink r:id="rId47" w:history="1">
        <w:r w:rsidRPr="00305460">
          <w:rPr>
            <w:bCs/>
            <w:sz w:val="28"/>
            <w:szCs w:val="20"/>
          </w:rPr>
          <w:t>8</w:t>
        </w:r>
      </w:hyperlink>
      <w:r w:rsidRPr="00305460">
        <w:rPr>
          <w:bCs/>
          <w:sz w:val="28"/>
          <w:szCs w:val="20"/>
        </w:rPr>
        <w:t xml:space="preserve"> - </w:t>
      </w:r>
      <w:hyperlink r:id="rId48" w:history="1">
        <w:r w:rsidRPr="00305460">
          <w:rPr>
            <w:bCs/>
            <w:sz w:val="28"/>
            <w:szCs w:val="20"/>
          </w:rPr>
          <w:t>19</w:t>
        </w:r>
      </w:hyperlink>
      <w:r w:rsidRPr="00305460">
        <w:rPr>
          <w:bCs/>
          <w:sz w:val="28"/>
          <w:szCs w:val="20"/>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w:t>
      </w:r>
      <w:r w:rsidRPr="00305460">
        <w:rPr>
          <w:bCs/>
          <w:sz w:val="28"/>
          <w:szCs w:val="20"/>
        </w:rPr>
        <w:br/>
        <w:t>от 5 мая 2014 г. №410 (далее Правила).</w:t>
      </w:r>
    </w:p>
    <w:p w14:paraId="618AE328" w14:textId="77777777" w:rsidR="001C56BD" w:rsidRPr="00305460" w:rsidRDefault="001C56BD" w:rsidP="001C56BD">
      <w:pPr>
        <w:autoSpaceDE w:val="0"/>
        <w:autoSpaceDN w:val="0"/>
        <w:adjustRightInd w:val="0"/>
        <w:spacing w:line="276" w:lineRule="auto"/>
        <w:ind w:firstLine="540"/>
        <w:jc w:val="both"/>
        <w:rPr>
          <w:bCs/>
          <w:sz w:val="28"/>
          <w:szCs w:val="20"/>
        </w:rPr>
      </w:pPr>
      <w:r w:rsidRPr="00305460">
        <w:rPr>
          <w:bCs/>
          <w:sz w:val="28"/>
          <w:szCs w:val="20"/>
        </w:rPr>
        <w:t>В соответствии с требованиями п. 21 Правил, программа согласована заместителем Главы г. Кемерово, начальник управления жилищно-коммунального хозяйства С.В. Лысенко.</w:t>
      </w:r>
    </w:p>
    <w:p w14:paraId="28395691" w14:textId="77777777" w:rsidR="001C56BD" w:rsidRPr="00305460" w:rsidRDefault="001C56BD" w:rsidP="001C56BD">
      <w:pPr>
        <w:spacing w:line="276" w:lineRule="auto"/>
        <w:ind w:firstLine="709"/>
        <w:jc w:val="both"/>
        <w:rPr>
          <w:sz w:val="28"/>
          <w:szCs w:val="28"/>
        </w:rPr>
      </w:pPr>
      <w:r w:rsidRPr="00305460">
        <w:rPr>
          <w:sz w:val="28"/>
          <w:szCs w:val="28"/>
        </w:rPr>
        <w:t>В качестве обосновывающих материалов представлены концессионное соглашение, сметные расчеты.</w:t>
      </w:r>
    </w:p>
    <w:p w14:paraId="3ABAB4C5" w14:textId="77777777" w:rsidR="001C56BD" w:rsidRPr="00305460" w:rsidRDefault="001C56BD" w:rsidP="001C56BD">
      <w:pPr>
        <w:tabs>
          <w:tab w:val="left" w:pos="720"/>
        </w:tabs>
        <w:spacing w:line="276" w:lineRule="auto"/>
        <w:ind w:firstLine="709"/>
        <w:jc w:val="both"/>
        <w:rPr>
          <w:sz w:val="28"/>
          <w:szCs w:val="28"/>
        </w:rPr>
      </w:pPr>
      <w:r w:rsidRPr="00305460">
        <w:rPr>
          <w:sz w:val="28"/>
          <w:szCs w:val="28"/>
        </w:rPr>
        <w:t>Обоснованность стоимостных показателей (сметных расчетов), включаемых экспертами в инвестиционную программу, проверена с помощью программного комплекса ГРАНД-Смета. В результате проверки экспертами стоимость мероприятий признана обоснованной.</w:t>
      </w:r>
    </w:p>
    <w:p w14:paraId="27B5B6F8" w14:textId="77777777" w:rsidR="001C56BD" w:rsidRPr="00305460" w:rsidRDefault="001C56BD" w:rsidP="001C56BD">
      <w:pPr>
        <w:tabs>
          <w:tab w:val="left" w:pos="720"/>
        </w:tabs>
        <w:spacing w:line="276" w:lineRule="auto"/>
        <w:ind w:firstLine="709"/>
        <w:jc w:val="both"/>
        <w:rPr>
          <w:bCs/>
          <w:kern w:val="32"/>
          <w:sz w:val="28"/>
          <w:szCs w:val="28"/>
        </w:rPr>
      </w:pPr>
      <w:r w:rsidRPr="00305460">
        <w:rPr>
          <w:bCs/>
          <w:kern w:val="32"/>
          <w:sz w:val="28"/>
          <w:szCs w:val="28"/>
        </w:rPr>
        <w:t>Экспертами объем финансирования, в том числе разбивка по источникам финансирования, приняты согласно заключенному концессионному соглашению №4 от 01.11.2021 в отношении объектов системы теплоснабжения Кемеровского городского округа, с учетом ранее выданных Региональной энергетической комиссией Кузбасса долгосрочных параметров регулирования для заключения концессионного соглашения. Расходы на строительство тепловых сетей в целях подключения новых потребителей были скорректированы в соответствии с объемами капитальных вложений, учтенных при расчете платы за подключение к системе теплоснабжения предприятия в расчете на единицу мощности подключаемой тепловой нагрузки на 2022 год, установленной постановлением Региональной энергетической комиссии Кузбасса от 07.12.2021 №634.</w:t>
      </w:r>
    </w:p>
    <w:p w14:paraId="013913ED" w14:textId="77777777" w:rsidR="001C56BD" w:rsidRPr="00305460" w:rsidRDefault="001C56BD" w:rsidP="001C56BD">
      <w:pPr>
        <w:tabs>
          <w:tab w:val="left" w:pos="720"/>
        </w:tabs>
        <w:spacing w:line="276" w:lineRule="auto"/>
        <w:ind w:firstLine="709"/>
        <w:jc w:val="both"/>
        <w:rPr>
          <w:sz w:val="28"/>
          <w:szCs w:val="28"/>
        </w:rPr>
      </w:pPr>
      <w:r w:rsidRPr="00305460">
        <w:rPr>
          <w:sz w:val="28"/>
          <w:szCs w:val="28"/>
        </w:rPr>
        <w:t>Проанализировав представленные обосновывающие документы, экспертная группа, считает предложенные мероприятия обоснованными и предлагает утвердить инвестиционную программу на 2022-2031 годы принять в размере 968 127,989 тыс. руб. (без НДС), в т.ч. из амортизационных отчислений 958 097,009 тыс. руб., за счет платы за подключение 10 030,980 тыс. руб. Финансирование по годам инвестиционной программы представлено в таблице:</w:t>
      </w:r>
    </w:p>
    <w:tbl>
      <w:tblPr>
        <w:tblW w:w="10870"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1430"/>
        <w:gridCol w:w="697"/>
        <w:gridCol w:w="809"/>
        <w:gridCol w:w="851"/>
        <w:gridCol w:w="706"/>
        <w:gridCol w:w="851"/>
        <w:gridCol w:w="850"/>
        <w:gridCol w:w="851"/>
        <w:gridCol w:w="709"/>
        <w:gridCol w:w="706"/>
        <w:gridCol w:w="706"/>
        <w:gridCol w:w="711"/>
        <w:gridCol w:w="709"/>
      </w:tblGrid>
      <w:tr w:rsidR="001C56BD" w:rsidRPr="00305460" w14:paraId="69400151" w14:textId="77777777" w:rsidTr="008A5C11">
        <w:trPr>
          <w:trHeight w:val="458"/>
        </w:trPr>
        <w:tc>
          <w:tcPr>
            <w:tcW w:w="284" w:type="dxa"/>
            <w:vMerge w:val="restart"/>
            <w:shd w:val="clear" w:color="auto" w:fill="auto"/>
            <w:tcMar>
              <w:left w:w="28" w:type="dxa"/>
              <w:right w:w="28" w:type="dxa"/>
            </w:tcMar>
            <w:vAlign w:val="center"/>
            <w:hideMark/>
          </w:tcPr>
          <w:p w14:paraId="05BE17AF" w14:textId="77777777" w:rsidR="001C56BD" w:rsidRPr="00305460" w:rsidRDefault="001C56BD" w:rsidP="008A5C11">
            <w:pPr>
              <w:jc w:val="center"/>
              <w:rPr>
                <w:color w:val="000000"/>
                <w:sz w:val="14"/>
                <w:szCs w:val="14"/>
              </w:rPr>
            </w:pPr>
            <w:r w:rsidRPr="00305460">
              <w:rPr>
                <w:color w:val="000000"/>
                <w:sz w:val="14"/>
                <w:szCs w:val="14"/>
              </w:rPr>
              <w:t>N п/п</w:t>
            </w:r>
          </w:p>
        </w:tc>
        <w:tc>
          <w:tcPr>
            <w:tcW w:w="1430" w:type="dxa"/>
            <w:vMerge w:val="restart"/>
            <w:shd w:val="clear" w:color="auto" w:fill="auto"/>
            <w:tcMar>
              <w:left w:w="28" w:type="dxa"/>
              <w:right w:w="28" w:type="dxa"/>
            </w:tcMar>
            <w:vAlign w:val="center"/>
            <w:hideMark/>
          </w:tcPr>
          <w:p w14:paraId="689F4AF9" w14:textId="77777777" w:rsidR="001C56BD" w:rsidRPr="00305460" w:rsidRDefault="001C56BD" w:rsidP="008A5C11">
            <w:pPr>
              <w:jc w:val="center"/>
              <w:rPr>
                <w:color w:val="000000"/>
                <w:sz w:val="14"/>
                <w:szCs w:val="14"/>
              </w:rPr>
            </w:pPr>
            <w:r w:rsidRPr="00305460">
              <w:rPr>
                <w:color w:val="000000"/>
                <w:sz w:val="14"/>
                <w:szCs w:val="14"/>
              </w:rPr>
              <w:t>Источники финансирования</w:t>
            </w:r>
          </w:p>
        </w:tc>
        <w:tc>
          <w:tcPr>
            <w:tcW w:w="9156" w:type="dxa"/>
            <w:gridSpan w:val="12"/>
            <w:vMerge w:val="restart"/>
            <w:shd w:val="clear" w:color="auto" w:fill="auto"/>
            <w:tcMar>
              <w:left w:w="28" w:type="dxa"/>
              <w:right w:w="28" w:type="dxa"/>
            </w:tcMar>
            <w:vAlign w:val="center"/>
            <w:hideMark/>
          </w:tcPr>
          <w:p w14:paraId="420C12D9" w14:textId="77777777" w:rsidR="001C56BD" w:rsidRPr="00305460" w:rsidRDefault="001C56BD" w:rsidP="008A5C11">
            <w:pPr>
              <w:jc w:val="center"/>
              <w:rPr>
                <w:color w:val="000000"/>
                <w:sz w:val="14"/>
                <w:szCs w:val="14"/>
              </w:rPr>
            </w:pPr>
            <w:r w:rsidRPr="00305460">
              <w:rPr>
                <w:color w:val="000000"/>
                <w:sz w:val="14"/>
                <w:szCs w:val="14"/>
              </w:rPr>
              <w:t>Расходы на реализацию инвестиционной программы (тыс. руб.)</w:t>
            </w:r>
          </w:p>
          <w:p w14:paraId="643BE7FF" w14:textId="77777777" w:rsidR="001C56BD" w:rsidRPr="00305460" w:rsidRDefault="001C56BD" w:rsidP="008A5C11">
            <w:pPr>
              <w:jc w:val="center"/>
              <w:rPr>
                <w:color w:val="000000"/>
                <w:sz w:val="14"/>
                <w:szCs w:val="14"/>
              </w:rPr>
            </w:pPr>
            <w:r w:rsidRPr="00305460">
              <w:rPr>
                <w:color w:val="000000"/>
                <w:sz w:val="14"/>
                <w:szCs w:val="14"/>
              </w:rPr>
              <w:t>(без НДС)</w:t>
            </w:r>
          </w:p>
        </w:tc>
      </w:tr>
      <w:tr w:rsidR="001C56BD" w:rsidRPr="00305460" w14:paraId="6D005214" w14:textId="77777777" w:rsidTr="008A5C11">
        <w:trPr>
          <w:trHeight w:val="458"/>
        </w:trPr>
        <w:tc>
          <w:tcPr>
            <w:tcW w:w="284" w:type="dxa"/>
            <w:vMerge/>
            <w:tcMar>
              <w:left w:w="28" w:type="dxa"/>
              <w:right w:w="28" w:type="dxa"/>
            </w:tcMar>
            <w:vAlign w:val="center"/>
            <w:hideMark/>
          </w:tcPr>
          <w:p w14:paraId="577F7EE7" w14:textId="77777777" w:rsidR="001C56BD" w:rsidRPr="00305460" w:rsidRDefault="001C56BD" w:rsidP="008A5C11">
            <w:pPr>
              <w:rPr>
                <w:color w:val="000000"/>
                <w:sz w:val="14"/>
                <w:szCs w:val="14"/>
              </w:rPr>
            </w:pPr>
          </w:p>
        </w:tc>
        <w:tc>
          <w:tcPr>
            <w:tcW w:w="1430" w:type="dxa"/>
            <w:vMerge/>
            <w:tcMar>
              <w:left w:w="28" w:type="dxa"/>
              <w:right w:w="28" w:type="dxa"/>
            </w:tcMar>
            <w:vAlign w:val="center"/>
            <w:hideMark/>
          </w:tcPr>
          <w:p w14:paraId="51345522" w14:textId="77777777" w:rsidR="001C56BD" w:rsidRPr="00305460" w:rsidRDefault="001C56BD" w:rsidP="008A5C11">
            <w:pPr>
              <w:rPr>
                <w:color w:val="000000"/>
                <w:sz w:val="14"/>
                <w:szCs w:val="14"/>
              </w:rPr>
            </w:pPr>
          </w:p>
        </w:tc>
        <w:tc>
          <w:tcPr>
            <w:tcW w:w="9156" w:type="dxa"/>
            <w:gridSpan w:val="12"/>
            <w:vMerge/>
            <w:tcMar>
              <w:left w:w="28" w:type="dxa"/>
              <w:right w:w="28" w:type="dxa"/>
            </w:tcMar>
            <w:vAlign w:val="center"/>
            <w:hideMark/>
          </w:tcPr>
          <w:p w14:paraId="5FB2E4CC" w14:textId="77777777" w:rsidR="001C56BD" w:rsidRPr="00305460" w:rsidRDefault="001C56BD" w:rsidP="008A5C11">
            <w:pPr>
              <w:rPr>
                <w:color w:val="000000"/>
                <w:sz w:val="14"/>
                <w:szCs w:val="14"/>
              </w:rPr>
            </w:pPr>
          </w:p>
        </w:tc>
      </w:tr>
      <w:tr w:rsidR="001C56BD" w:rsidRPr="00305460" w14:paraId="3BAB5C5B" w14:textId="77777777" w:rsidTr="008A5C11">
        <w:trPr>
          <w:trHeight w:val="60"/>
        </w:trPr>
        <w:tc>
          <w:tcPr>
            <w:tcW w:w="284" w:type="dxa"/>
            <w:vMerge/>
            <w:tcMar>
              <w:left w:w="28" w:type="dxa"/>
              <w:right w:w="28" w:type="dxa"/>
            </w:tcMar>
            <w:vAlign w:val="center"/>
            <w:hideMark/>
          </w:tcPr>
          <w:p w14:paraId="4059BFA7" w14:textId="77777777" w:rsidR="001C56BD" w:rsidRPr="00305460" w:rsidRDefault="001C56BD" w:rsidP="008A5C11">
            <w:pPr>
              <w:rPr>
                <w:color w:val="000000"/>
                <w:sz w:val="14"/>
                <w:szCs w:val="14"/>
              </w:rPr>
            </w:pPr>
          </w:p>
        </w:tc>
        <w:tc>
          <w:tcPr>
            <w:tcW w:w="1430" w:type="dxa"/>
            <w:vMerge/>
            <w:tcMar>
              <w:left w:w="28" w:type="dxa"/>
              <w:right w:w="28" w:type="dxa"/>
            </w:tcMar>
            <w:vAlign w:val="center"/>
            <w:hideMark/>
          </w:tcPr>
          <w:p w14:paraId="4E1A4335" w14:textId="77777777" w:rsidR="001C56BD" w:rsidRPr="00305460" w:rsidRDefault="001C56BD" w:rsidP="008A5C11">
            <w:pPr>
              <w:rPr>
                <w:color w:val="000000"/>
                <w:sz w:val="14"/>
                <w:szCs w:val="14"/>
              </w:rPr>
            </w:pPr>
          </w:p>
        </w:tc>
        <w:tc>
          <w:tcPr>
            <w:tcW w:w="697" w:type="dxa"/>
            <w:shd w:val="clear" w:color="auto" w:fill="auto"/>
            <w:tcMar>
              <w:left w:w="28" w:type="dxa"/>
              <w:right w:w="28" w:type="dxa"/>
            </w:tcMar>
            <w:vAlign w:val="center"/>
            <w:hideMark/>
          </w:tcPr>
          <w:p w14:paraId="6091246A" w14:textId="77777777" w:rsidR="001C56BD" w:rsidRPr="00305460" w:rsidRDefault="001C56BD" w:rsidP="008A5C11">
            <w:pPr>
              <w:jc w:val="center"/>
              <w:rPr>
                <w:color w:val="000000"/>
                <w:sz w:val="14"/>
                <w:szCs w:val="14"/>
              </w:rPr>
            </w:pPr>
            <w:r w:rsidRPr="00305460">
              <w:rPr>
                <w:color w:val="000000"/>
                <w:sz w:val="14"/>
                <w:szCs w:val="14"/>
              </w:rPr>
              <w:t xml:space="preserve">по видам </w:t>
            </w:r>
            <w:proofErr w:type="gramStart"/>
            <w:r w:rsidRPr="00305460">
              <w:rPr>
                <w:color w:val="000000"/>
                <w:sz w:val="14"/>
                <w:szCs w:val="14"/>
              </w:rPr>
              <w:t>деятель-ности</w:t>
            </w:r>
            <w:proofErr w:type="gramEnd"/>
          </w:p>
        </w:tc>
        <w:tc>
          <w:tcPr>
            <w:tcW w:w="809" w:type="dxa"/>
            <w:vMerge w:val="restart"/>
            <w:shd w:val="clear" w:color="auto" w:fill="auto"/>
            <w:tcMar>
              <w:left w:w="28" w:type="dxa"/>
              <w:right w:w="28" w:type="dxa"/>
            </w:tcMar>
            <w:vAlign w:val="center"/>
            <w:hideMark/>
          </w:tcPr>
          <w:p w14:paraId="3B2EE062" w14:textId="77777777" w:rsidR="001C56BD" w:rsidRPr="00305460" w:rsidRDefault="001C56BD" w:rsidP="008A5C11">
            <w:pPr>
              <w:jc w:val="center"/>
              <w:rPr>
                <w:color w:val="000000"/>
                <w:sz w:val="14"/>
                <w:szCs w:val="14"/>
              </w:rPr>
            </w:pPr>
            <w:r w:rsidRPr="00305460">
              <w:rPr>
                <w:color w:val="000000"/>
                <w:sz w:val="14"/>
                <w:szCs w:val="14"/>
              </w:rPr>
              <w:t>Всего</w:t>
            </w:r>
          </w:p>
        </w:tc>
        <w:tc>
          <w:tcPr>
            <w:tcW w:w="7650" w:type="dxa"/>
            <w:gridSpan w:val="10"/>
            <w:shd w:val="clear" w:color="auto" w:fill="auto"/>
            <w:tcMar>
              <w:left w:w="28" w:type="dxa"/>
              <w:right w:w="28" w:type="dxa"/>
            </w:tcMar>
            <w:vAlign w:val="center"/>
            <w:hideMark/>
          </w:tcPr>
          <w:p w14:paraId="1062DC55" w14:textId="77777777" w:rsidR="001C56BD" w:rsidRPr="00305460" w:rsidRDefault="001C56BD" w:rsidP="008A5C11">
            <w:pPr>
              <w:jc w:val="center"/>
              <w:rPr>
                <w:color w:val="000000"/>
                <w:sz w:val="14"/>
                <w:szCs w:val="14"/>
              </w:rPr>
            </w:pPr>
            <w:r w:rsidRPr="00305460">
              <w:rPr>
                <w:color w:val="000000"/>
                <w:sz w:val="14"/>
                <w:szCs w:val="14"/>
              </w:rPr>
              <w:t>по годам реализации инвестпрограммы</w:t>
            </w:r>
          </w:p>
        </w:tc>
      </w:tr>
      <w:tr w:rsidR="001C56BD" w:rsidRPr="00305460" w14:paraId="58893A98" w14:textId="77777777" w:rsidTr="008A5C11">
        <w:trPr>
          <w:trHeight w:val="20"/>
        </w:trPr>
        <w:tc>
          <w:tcPr>
            <w:tcW w:w="284" w:type="dxa"/>
            <w:vMerge/>
            <w:tcMar>
              <w:left w:w="28" w:type="dxa"/>
              <w:right w:w="28" w:type="dxa"/>
            </w:tcMar>
            <w:vAlign w:val="center"/>
            <w:hideMark/>
          </w:tcPr>
          <w:p w14:paraId="3802E0BB" w14:textId="77777777" w:rsidR="001C56BD" w:rsidRPr="00305460" w:rsidRDefault="001C56BD" w:rsidP="008A5C11">
            <w:pPr>
              <w:rPr>
                <w:color w:val="000000"/>
                <w:sz w:val="14"/>
                <w:szCs w:val="14"/>
              </w:rPr>
            </w:pPr>
          </w:p>
        </w:tc>
        <w:tc>
          <w:tcPr>
            <w:tcW w:w="1430" w:type="dxa"/>
            <w:vMerge/>
            <w:tcMar>
              <w:left w:w="28" w:type="dxa"/>
              <w:right w:w="28" w:type="dxa"/>
            </w:tcMar>
            <w:vAlign w:val="center"/>
            <w:hideMark/>
          </w:tcPr>
          <w:p w14:paraId="61743F52" w14:textId="77777777" w:rsidR="001C56BD" w:rsidRPr="00305460" w:rsidRDefault="001C56BD" w:rsidP="008A5C11">
            <w:pPr>
              <w:rPr>
                <w:color w:val="000000"/>
                <w:sz w:val="14"/>
                <w:szCs w:val="14"/>
              </w:rPr>
            </w:pPr>
          </w:p>
        </w:tc>
        <w:tc>
          <w:tcPr>
            <w:tcW w:w="697" w:type="dxa"/>
            <w:shd w:val="clear" w:color="auto" w:fill="auto"/>
            <w:tcMar>
              <w:left w:w="28" w:type="dxa"/>
              <w:right w:w="28" w:type="dxa"/>
            </w:tcMar>
            <w:vAlign w:val="center"/>
            <w:hideMark/>
          </w:tcPr>
          <w:p w14:paraId="43AE2161" w14:textId="77777777" w:rsidR="001C56BD" w:rsidRPr="00305460" w:rsidRDefault="001C56BD" w:rsidP="008A5C11">
            <w:pPr>
              <w:jc w:val="center"/>
              <w:rPr>
                <w:color w:val="000000"/>
                <w:sz w:val="14"/>
                <w:szCs w:val="14"/>
              </w:rPr>
            </w:pPr>
            <w:r w:rsidRPr="00305460">
              <w:rPr>
                <w:color w:val="000000"/>
                <w:sz w:val="14"/>
                <w:szCs w:val="14"/>
              </w:rPr>
              <w:t>Тепло-снабже-ние</w:t>
            </w:r>
          </w:p>
        </w:tc>
        <w:tc>
          <w:tcPr>
            <w:tcW w:w="809" w:type="dxa"/>
            <w:vMerge/>
            <w:tcMar>
              <w:left w:w="28" w:type="dxa"/>
              <w:right w:w="28" w:type="dxa"/>
            </w:tcMar>
            <w:vAlign w:val="center"/>
            <w:hideMark/>
          </w:tcPr>
          <w:p w14:paraId="0A4351FF" w14:textId="77777777" w:rsidR="001C56BD" w:rsidRPr="00305460" w:rsidRDefault="001C56BD" w:rsidP="008A5C11">
            <w:pPr>
              <w:rPr>
                <w:color w:val="000000"/>
                <w:sz w:val="14"/>
                <w:szCs w:val="14"/>
              </w:rPr>
            </w:pPr>
          </w:p>
        </w:tc>
        <w:tc>
          <w:tcPr>
            <w:tcW w:w="851" w:type="dxa"/>
            <w:shd w:val="clear" w:color="auto" w:fill="auto"/>
            <w:tcMar>
              <w:left w:w="28" w:type="dxa"/>
              <w:right w:w="28" w:type="dxa"/>
            </w:tcMar>
            <w:vAlign w:val="center"/>
            <w:hideMark/>
          </w:tcPr>
          <w:p w14:paraId="53AD4940" w14:textId="77777777" w:rsidR="001C56BD" w:rsidRPr="00305460" w:rsidRDefault="001C56BD" w:rsidP="008A5C11">
            <w:pPr>
              <w:jc w:val="center"/>
              <w:rPr>
                <w:color w:val="000000"/>
                <w:sz w:val="14"/>
                <w:szCs w:val="14"/>
              </w:rPr>
            </w:pPr>
            <w:r w:rsidRPr="00305460">
              <w:rPr>
                <w:color w:val="000000"/>
                <w:sz w:val="14"/>
                <w:szCs w:val="14"/>
              </w:rPr>
              <w:t>2022</w:t>
            </w:r>
          </w:p>
        </w:tc>
        <w:tc>
          <w:tcPr>
            <w:tcW w:w="706" w:type="dxa"/>
            <w:shd w:val="clear" w:color="auto" w:fill="auto"/>
            <w:tcMar>
              <w:left w:w="28" w:type="dxa"/>
              <w:right w:w="28" w:type="dxa"/>
            </w:tcMar>
            <w:vAlign w:val="center"/>
            <w:hideMark/>
          </w:tcPr>
          <w:p w14:paraId="39DFFD22" w14:textId="77777777" w:rsidR="001C56BD" w:rsidRPr="00305460" w:rsidRDefault="001C56BD" w:rsidP="008A5C11">
            <w:pPr>
              <w:jc w:val="center"/>
              <w:rPr>
                <w:color w:val="000000"/>
                <w:sz w:val="14"/>
                <w:szCs w:val="14"/>
              </w:rPr>
            </w:pPr>
            <w:r w:rsidRPr="00305460">
              <w:rPr>
                <w:color w:val="000000"/>
                <w:sz w:val="14"/>
                <w:szCs w:val="14"/>
              </w:rPr>
              <w:t>2023</w:t>
            </w:r>
          </w:p>
        </w:tc>
        <w:tc>
          <w:tcPr>
            <w:tcW w:w="851" w:type="dxa"/>
            <w:shd w:val="clear" w:color="auto" w:fill="auto"/>
            <w:tcMar>
              <w:left w:w="28" w:type="dxa"/>
              <w:right w:w="28" w:type="dxa"/>
            </w:tcMar>
            <w:vAlign w:val="center"/>
            <w:hideMark/>
          </w:tcPr>
          <w:p w14:paraId="60FED5DE" w14:textId="77777777" w:rsidR="001C56BD" w:rsidRPr="00305460" w:rsidRDefault="001C56BD" w:rsidP="008A5C11">
            <w:pPr>
              <w:jc w:val="center"/>
              <w:rPr>
                <w:color w:val="000000"/>
                <w:sz w:val="14"/>
                <w:szCs w:val="14"/>
              </w:rPr>
            </w:pPr>
            <w:r w:rsidRPr="00305460">
              <w:rPr>
                <w:color w:val="000000"/>
                <w:sz w:val="14"/>
                <w:szCs w:val="14"/>
              </w:rPr>
              <w:t>2024</w:t>
            </w:r>
          </w:p>
        </w:tc>
        <w:tc>
          <w:tcPr>
            <w:tcW w:w="850" w:type="dxa"/>
            <w:shd w:val="clear" w:color="auto" w:fill="auto"/>
            <w:tcMar>
              <w:left w:w="28" w:type="dxa"/>
              <w:right w:w="28" w:type="dxa"/>
            </w:tcMar>
            <w:vAlign w:val="center"/>
            <w:hideMark/>
          </w:tcPr>
          <w:p w14:paraId="2B5FA1A8" w14:textId="77777777" w:rsidR="001C56BD" w:rsidRPr="00305460" w:rsidRDefault="001C56BD" w:rsidP="008A5C11">
            <w:pPr>
              <w:jc w:val="center"/>
              <w:rPr>
                <w:color w:val="000000"/>
                <w:sz w:val="14"/>
                <w:szCs w:val="14"/>
              </w:rPr>
            </w:pPr>
            <w:r w:rsidRPr="00305460">
              <w:rPr>
                <w:color w:val="000000"/>
                <w:sz w:val="14"/>
                <w:szCs w:val="14"/>
              </w:rPr>
              <w:t>2025</w:t>
            </w:r>
          </w:p>
        </w:tc>
        <w:tc>
          <w:tcPr>
            <w:tcW w:w="851" w:type="dxa"/>
            <w:shd w:val="clear" w:color="auto" w:fill="auto"/>
            <w:tcMar>
              <w:left w:w="28" w:type="dxa"/>
              <w:right w:w="28" w:type="dxa"/>
            </w:tcMar>
            <w:vAlign w:val="center"/>
            <w:hideMark/>
          </w:tcPr>
          <w:p w14:paraId="0EC9751D" w14:textId="77777777" w:rsidR="001C56BD" w:rsidRPr="00305460" w:rsidRDefault="001C56BD" w:rsidP="008A5C11">
            <w:pPr>
              <w:jc w:val="center"/>
              <w:rPr>
                <w:color w:val="000000"/>
                <w:sz w:val="14"/>
                <w:szCs w:val="14"/>
              </w:rPr>
            </w:pPr>
            <w:r w:rsidRPr="00305460">
              <w:rPr>
                <w:color w:val="000000"/>
                <w:sz w:val="14"/>
                <w:szCs w:val="14"/>
              </w:rPr>
              <w:t>2026</w:t>
            </w:r>
          </w:p>
        </w:tc>
        <w:tc>
          <w:tcPr>
            <w:tcW w:w="709" w:type="dxa"/>
            <w:shd w:val="clear" w:color="auto" w:fill="auto"/>
            <w:tcMar>
              <w:left w:w="28" w:type="dxa"/>
              <w:right w:w="28" w:type="dxa"/>
            </w:tcMar>
            <w:vAlign w:val="center"/>
            <w:hideMark/>
          </w:tcPr>
          <w:p w14:paraId="619E8D29" w14:textId="77777777" w:rsidR="001C56BD" w:rsidRPr="00305460" w:rsidRDefault="001C56BD" w:rsidP="008A5C11">
            <w:pPr>
              <w:jc w:val="center"/>
              <w:rPr>
                <w:color w:val="000000"/>
                <w:sz w:val="14"/>
                <w:szCs w:val="14"/>
              </w:rPr>
            </w:pPr>
            <w:r w:rsidRPr="00305460">
              <w:rPr>
                <w:color w:val="000000"/>
                <w:sz w:val="14"/>
                <w:szCs w:val="14"/>
              </w:rPr>
              <w:t>2027</w:t>
            </w:r>
          </w:p>
        </w:tc>
        <w:tc>
          <w:tcPr>
            <w:tcW w:w="706" w:type="dxa"/>
            <w:shd w:val="clear" w:color="auto" w:fill="auto"/>
            <w:tcMar>
              <w:left w:w="28" w:type="dxa"/>
              <w:right w:w="28" w:type="dxa"/>
            </w:tcMar>
            <w:vAlign w:val="center"/>
            <w:hideMark/>
          </w:tcPr>
          <w:p w14:paraId="1A9A3D81" w14:textId="77777777" w:rsidR="001C56BD" w:rsidRPr="00305460" w:rsidRDefault="001C56BD" w:rsidP="008A5C11">
            <w:pPr>
              <w:jc w:val="center"/>
              <w:rPr>
                <w:color w:val="000000"/>
                <w:sz w:val="14"/>
                <w:szCs w:val="14"/>
              </w:rPr>
            </w:pPr>
            <w:r w:rsidRPr="00305460">
              <w:rPr>
                <w:color w:val="000000"/>
                <w:sz w:val="14"/>
                <w:szCs w:val="14"/>
              </w:rPr>
              <w:t>2028</w:t>
            </w:r>
          </w:p>
        </w:tc>
        <w:tc>
          <w:tcPr>
            <w:tcW w:w="706" w:type="dxa"/>
            <w:shd w:val="clear" w:color="auto" w:fill="auto"/>
            <w:tcMar>
              <w:left w:w="28" w:type="dxa"/>
              <w:right w:w="28" w:type="dxa"/>
            </w:tcMar>
            <w:vAlign w:val="center"/>
            <w:hideMark/>
          </w:tcPr>
          <w:p w14:paraId="2A364F03" w14:textId="77777777" w:rsidR="001C56BD" w:rsidRPr="00305460" w:rsidRDefault="001C56BD" w:rsidP="008A5C11">
            <w:pPr>
              <w:jc w:val="center"/>
              <w:rPr>
                <w:color w:val="000000"/>
                <w:sz w:val="14"/>
                <w:szCs w:val="14"/>
              </w:rPr>
            </w:pPr>
            <w:r w:rsidRPr="00305460">
              <w:rPr>
                <w:color w:val="000000"/>
                <w:sz w:val="14"/>
                <w:szCs w:val="14"/>
              </w:rPr>
              <w:t>2029</w:t>
            </w:r>
          </w:p>
        </w:tc>
        <w:tc>
          <w:tcPr>
            <w:tcW w:w="711" w:type="dxa"/>
            <w:shd w:val="clear" w:color="auto" w:fill="auto"/>
            <w:tcMar>
              <w:left w:w="28" w:type="dxa"/>
              <w:right w:w="28" w:type="dxa"/>
            </w:tcMar>
            <w:vAlign w:val="center"/>
            <w:hideMark/>
          </w:tcPr>
          <w:p w14:paraId="0081F512" w14:textId="77777777" w:rsidR="001C56BD" w:rsidRPr="00305460" w:rsidRDefault="001C56BD" w:rsidP="008A5C11">
            <w:pPr>
              <w:jc w:val="center"/>
              <w:rPr>
                <w:color w:val="000000"/>
                <w:sz w:val="14"/>
                <w:szCs w:val="14"/>
              </w:rPr>
            </w:pPr>
            <w:r w:rsidRPr="00305460">
              <w:rPr>
                <w:color w:val="000000"/>
                <w:sz w:val="14"/>
                <w:szCs w:val="14"/>
              </w:rPr>
              <w:t>2030</w:t>
            </w:r>
          </w:p>
        </w:tc>
        <w:tc>
          <w:tcPr>
            <w:tcW w:w="709" w:type="dxa"/>
            <w:shd w:val="clear" w:color="auto" w:fill="auto"/>
            <w:tcMar>
              <w:left w:w="28" w:type="dxa"/>
              <w:right w:w="28" w:type="dxa"/>
            </w:tcMar>
            <w:vAlign w:val="center"/>
            <w:hideMark/>
          </w:tcPr>
          <w:p w14:paraId="14A351E3" w14:textId="77777777" w:rsidR="001C56BD" w:rsidRPr="00305460" w:rsidRDefault="001C56BD" w:rsidP="008A5C11">
            <w:pPr>
              <w:jc w:val="center"/>
              <w:rPr>
                <w:color w:val="000000"/>
                <w:sz w:val="14"/>
                <w:szCs w:val="14"/>
              </w:rPr>
            </w:pPr>
            <w:r w:rsidRPr="00305460">
              <w:rPr>
                <w:color w:val="000000"/>
                <w:sz w:val="14"/>
                <w:szCs w:val="14"/>
              </w:rPr>
              <w:t>2031</w:t>
            </w:r>
          </w:p>
        </w:tc>
      </w:tr>
      <w:tr w:rsidR="001C56BD" w:rsidRPr="00305460" w14:paraId="48006EFA" w14:textId="77777777" w:rsidTr="008A5C11">
        <w:trPr>
          <w:trHeight w:val="20"/>
        </w:trPr>
        <w:tc>
          <w:tcPr>
            <w:tcW w:w="284" w:type="dxa"/>
            <w:shd w:val="clear" w:color="auto" w:fill="auto"/>
            <w:tcMar>
              <w:left w:w="28" w:type="dxa"/>
              <w:right w:w="28" w:type="dxa"/>
            </w:tcMar>
            <w:vAlign w:val="center"/>
            <w:hideMark/>
          </w:tcPr>
          <w:p w14:paraId="2399C95A" w14:textId="77777777" w:rsidR="001C56BD" w:rsidRPr="00305460" w:rsidRDefault="001C56BD" w:rsidP="008A5C11">
            <w:pPr>
              <w:jc w:val="center"/>
              <w:rPr>
                <w:color w:val="000000"/>
                <w:sz w:val="14"/>
                <w:szCs w:val="14"/>
              </w:rPr>
            </w:pPr>
            <w:r w:rsidRPr="00305460">
              <w:rPr>
                <w:color w:val="000000"/>
                <w:sz w:val="14"/>
                <w:szCs w:val="14"/>
              </w:rPr>
              <w:t>1</w:t>
            </w:r>
          </w:p>
        </w:tc>
        <w:tc>
          <w:tcPr>
            <w:tcW w:w="1430" w:type="dxa"/>
            <w:shd w:val="clear" w:color="auto" w:fill="auto"/>
            <w:tcMar>
              <w:left w:w="28" w:type="dxa"/>
              <w:right w:w="28" w:type="dxa"/>
            </w:tcMar>
            <w:vAlign w:val="center"/>
            <w:hideMark/>
          </w:tcPr>
          <w:p w14:paraId="5DCE41AF" w14:textId="77777777" w:rsidR="001C56BD" w:rsidRPr="00305460" w:rsidRDefault="001C56BD" w:rsidP="008A5C11">
            <w:pPr>
              <w:jc w:val="center"/>
              <w:rPr>
                <w:color w:val="000000"/>
                <w:sz w:val="14"/>
                <w:szCs w:val="14"/>
              </w:rPr>
            </w:pPr>
            <w:r w:rsidRPr="00305460">
              <w:rPr>
                <w:color w:val="000000"/>
                <w:sz w:val="14"/>
                <w:szCs w:val="14"/>
              </w:rPr>
              <w:t>2</w:t>
            </w:r>
          </w:p>
        </w:tc>
        <w:tc>
          <w:tcPr>
            <w:tcW w:w="697" w:type="dxa"/>
            <w:shd w:val="clear" w:color="auto" w:fill="auto"/>
            <w:tcMar>
              <w:left w:w="28" w:type="dxa"/>
              <w:right w:w="28" w:type="dxa"/>
            </w:tcMar>
            <w:vAlign w:val="center"/>
            <w:hideMark/>
          </w:tcPr>
          <w:p w14:paraId="4CBAB50F" w14:textId="77777777" w:rsidR="001C56BD" w:rsidRPr="00305460" w:rsidRDefault="001C56BD" w:rsidP="008A5C11">
            <w:pPr>
              <w:jc w:val="center"/>
              <w:rPr>
                <w:color w:val="000000"/>
                <w:sz w:val="14"/>
                <w:szCs w:val="14"/>
              </w:rPr>
            </w:pPr>
            <w:r w:rsidRPr="00305460">
              <w:rPr>
                <w:color w:val="000000"/>
                <w:sz w:val="14"/>
                <w:szCs w:val="14"/>
              </w:rPr>
              <w:t>3</w:t>
            </w:r>
          </w:p>
        </w:tc>
        <w:tc>
          <w:tcPr>
            <w:tcW w:w="809" w:type="dxa"/>
            <w:shd w:val="clear" w:color="auto" w:fill="auto"/>
            <w:tcMar>
              <w:left w:w="28" w:type="dxa"/>
              <w:right w:w="28" w:type="dxa"/>
            </w:tcMar>
            <w:vAlign w:val="center"/>
            <w:hideMark/>
          </w:tcPr>
          <w:p w14:paraId="31C0DC2A" w14:textId="77777777" w:rsidR="001C56BD" w:rsidRPr="00305460" w:rsidRDefault="001C56BD" w:rsidP="008A5C11">
            <w:pPr>
              <w:jc w:val="center"/>
              <w:rPr>
                <w:color w:val="000000"/>
                <w:sz w:val="14"/>
                <w:szCs w:val="14"/>
              </w:rPr>
            </w:pPr>
            <w:r w:rsidRPr="00305460">
              <w:rPr>
                <w:color w:val="000000"/>
                <w:sz w:val="14"/>
                <w:szCs w:val="14"/>
              </w:rPr>
              <w:t>4</w:t>
            </w:r>
          </w:p>
        </w:tc>
        <w:tc>
          <w:tcPr>
            <w:tcW w:w="851" w:type="dxa"/>
            <w:tcBorders>
              <w:bottom w:val="single" w:sz="4" w:space="0" w:color="auto"/>
            </w:tcBorders>
            <w:shd w:val="clear" w:color="auto" w:fill="auto"/>
            <w:tcMar>
              <w:left w:w="28" w:type="dxa"/>
              <w:right w:w="28" w:type="dxa"/>
            </w:tcMar>
            <w:vAlign w:val="center"/>
            <w:hideMark/>
          </w:tcPr>
          <w:p w14:paraId="4ECAF752" w14:textId="77777777" w:rsidR="001C56BD" w:rsidRPr="00305460" w:rsidRDefault="001C56BD" w:rsidP="008A5C11">
            <w:pPr>
              <w:jc w:val="center"/>
              <w:rPr>
                <w:color w:val="000000"/>
                <w:sz w:val="14"/>
                <w:szCs w:val="14"/>
              </w:rPr>
            </w:pPr>
            <w:r w:rsidRPr="00305460">
              <w:rPr>
                <w:color w:val="000000"/>
                <w:sz w:val="14"/>
                <w:szCs w:val="14"/>
              </w:rPr>
              <w:t>5</w:t>
            </w:r>
          </w:p>
        </w:tc>
        <w:tc>
          <w:tcPr>
            <w:tcW w:w="706" w:type="dxa"/>
            <w:tcBorders>
              <w:bottom w:val="single" w:sz="4" w:space="0" w:color="auto"/>
            </w:tcBorders>
            <w:shd w:val="clear" w:color="auto" w:fill="auto"/>
            <w:tcMar>
              <w:left w:w="28" w:type="dxa"/>
              <w:right w:w="28" w:type="dxa"/>
            </w:tcMar>
            <w:vAlign w:val="center"/>
            <w:hideMark/>
          </w:tcPr>
          <w:p w14:paraId="5B7EEA3E" w14:textId="77777777" w:rsidR="001C56BD" w:rsidRPr="00305460" w:rsidRDefault="001C56BD" w:rsidP="008A5C11">
            <w:pPr>
              <w:jc w:val="center"/>
              <w:rPr>
                <w:color w:val="000000"/>
                <w:sz w:val="14"/>
                <w:szCs w:val="14"/>
              </w:rPr>
            </w:pPr>
            <w:r w:rsidRPr="00305460">
              <w:rPr>
                <w:color w:val="000000"/>
                <w:sz w:val="14"/>
                <w:szCs w:val="14"/>
              </w:rPr>
              <w:t>6</w:t>
            </w:r>
          </w:p>
        </w:tc>
        <w:tc>
          <w:tcPr>
            <w:tcW w:w="851" w:type="dxa"/>
            <w:tcBorders>
              <w:bottom w:val="single" w:sz="4" w:space="0" w:color="auto"/>
            </w:tcBorders>
            <w:shd w:val="clear" w:color="auto" w:fill="auto"/>
            <w:tcMar>
              <w:left w:w="28" w:type="dxa"/>
              <w:right w:w="28" w:type="dxa"/>
            </w:tcMar>
            <w:vAlign w:val="center"/>
            <w:hideMark/>
          </w:tcPr>
          <w:p w14:paraId="2EED241E" w14:textId="77777777" w:rsidR="001C56BD" w:rsidRPr="00305460" w:rsidRDefault="001C56BD" w:rsidP="008A5C11">
            <w:pPr>
              <w:jc w:val="center"/>
              <w:rPr>
                <w:color w:val="000000"/>
                <w:sz w:val="14"/>
                <w:szCs w:val="14"/>
              </w:rPr>
            </w:pPr>
            <w:r w:rsidRPr="00305460">
              <w:rPr>
                <w:color w:val="000000"/>
                <w:sz w:val="14"/>
                <w:szCs w:val="14"/>
              </w:rPr>
              <w:t>7</w:t>
            </w:r>
          </w:p>
        </w:tc>
        <w:tc>
          <w:tcPr>
            <w:tcW w:w="850" w:type="dxa"/>
            <w:tcBorders>
              <w:bottom w:val="single" w:sz="4" w:space="0" w:color="auto"/>
            </w:tcBorders>
            <w:shd w:val="clear" w:color="auto" w:fill="auto"/>
            <w:tcMar>
              <w:left w:w="28" w:type="dxa"/>
              <w:right w:w="28" w:type="dxa"/>
            </w:tcMar>
            <w:vAlign w:val="center"/>
            <w:hideMark/>
          </w:tcPr>
          <w:p w14:paraId="5A8F5356" w14:textId="77777777" w:rsidR="001C56BD" w:rsidRPr="00305460" w:rsidRDefault="001C56BD" w:rsidP="008A5C11">
            <w:pPr>
              <w:jc w:val="center"/>
              <w:rPr>
                <w:color w:val="000000"/>
                <w:sz w:val="14"/>
                <w:szCs w:val="14"/>
              </w:rPr>
            </w:pPr>
            <w:r w:rsidRPr="00305460">
              <w:rPr>
                <w:color w:val="000000"/>
                <w:sz w:val="14"/>
                <w:szCs w:val="14"/>
              </w:rPr>
              <w:t>8</w:t>
            </w:r>
          </w:p>
        </w:tc>
        <w:tc>
          <w:tcPr>
            <w:tcW w:w="851" w:type="dxa"/>
            <w:tcBorders>
              <w:bottom w:val="single" w:sz="4" w:space="0" w:color="auto"/>
            </w:tcBorders>
            <w:shd w:val="clear" w:color="auto" w:fill="auto"/>
            <w:tcMar>
              <w:left w:w="28" w:type="dxa"/>
              <w:right w:w="28" w:type="dxa"/>
            </w:tcMar>
            <w:vAlign w:val="center"/>
            <w:hideMark/>
          </w:tcPr>
          <w:p w14:paraId="477CEC2C" w14:textId="77777777" w:rsidR="001C56BD" w:rsidRPr="00305460" w:rsidRDefault="001C56BD" w:rsidP="008A5C11">
            <w:pPr>
              <w:jc w:val="center"/>
              <w:rPr>
                <w:color w:val="000000"/>
                <w:sz w:val="14"/>
                <w:szCs w:val="14"/>
              </w:rPr>
            </w:pPr>
            <w:r w:rsidRPr="00305460">
              <w:rPr>
                <w:color w:val="000000"/>
                <w:sz w:val="14"/>
                <w:szCs w:val="14"/>
              </w:rPr>
              <w:t>9</w:t>
            </w:r>
          </w:p>
        </w:tc>
        <w:tc>
          <w:tcPr>
            <w:tcW w:w="709" w:type="dxa"/>
            <w:tcBorders>
              <w:bottom w:val="single" w:sz="4" w:space="0" w:color="auto"/>
            </w:tcBorders>
            <w:shd w:val="clear" w:color="auto" w:fill="auto"/>
            <w:tcMar>
              <w:left w:w="28" w:type="dxa"/>
              <w:right w:w="28" w:type="dxa"/>
            </w:tcMar>
            <w:vAlign w:val="center"/>
            <w:hideMark/>
          </w:tcPr>
          <w:p w14:paraId="1E7D3D56" w14:textId="77777777" w:rsidR="001C56BD" w:rsidRPr="00305460" w:rsidRDefault="001C56BD" w:rsidP="008A5C11">
            <w:pPr>
              <w:jc w:val="center"/>
              <w:rPr>
                <w:color w:val="000000"/>
                <w:sz w:val="14"/>
                <w:szCs w:val="14"/>
              </w:rPr>
            </w:pPr>
            <w:r w:rsidRPr="00305460">
              <w:rPr>
                <w:color w:val="000000"/>
                <w:sz w:val="14"/>
                <w:szCs w:val="14"/>
              </w:rPr>
              <w:t>10</w:t>
            </w:r>
          </w:p>
        </w:tc>
        <w:tc>
          <w:tcPr>
            <w:tcW w:w="706" w:type="dxa"/>
            <w:tcBorders>
              <w:bottom w:val="single" w:sz="4" w:space="0" w:color="auto"/>
            </w:tcBorders>
            <w:shd w:val="clear" w:color="auto" w:fill="auto"/>
            <w:tcMar>
              <w:left w:w="28" w:type="dxa"/>
              <w:right w:w="28" w:type="dxa"/>
            </w:tcMar>
            <w:vAlign w:val="center"/>
            <w:hideMark/>
          </w:tcPr>
          <w:p w14:paraId="45A6CE8E" w14:textId="77777777" w:rsidR="001C56BD" w:rsidRPr="00305460" w:rsidRDefault="001C56BD" w:rsidP="008A5C11">
            <w:pPr>
              <w:jc w:val="center"/>
              <w:rPr>
                <w:color w:val="000000"/>
                <w:sz w:val="14"/>
                <w:szCs w:val="14"/>
              </w:rPr>
            </w:pPr>
            <w:r w:rsidRPr="00305460">
              <w:rPr>
                <w:color w:val="000000"/>
                <w:sz w:val="14"/>
                <w:szCs w:val="14"/>
              </w:rPr>
              <w:t>11</w:t>
            </w:r>
          </w:p>
        </w:tc>
        <w:tc>
          <w:tcPr>
            <w:tcW w:w="706" w:type="dxa"/>
            <w:tcBorders>
              <w:bottom w:val="single" w:sz="4" w:space="0" w:color="auto"/>
            </w:tcBorders>
            <w:shd w:val="clear" w:color="auto" w:fill="auto"/>
            <w:tcMar>
              <w:left w:w="28" w:type="dxa"/>
              <w:right w:w="28" w:type="dxa"/>
            </w:tcMar>
            <w:vAlign w:val="center"/>
            <w:hideMark/>
          </w:tcPr>
          <w:p w14:paraId="2B4EEDE9" w14:textId="77777777" w:rsidR="001C56BD" w:rsidRPr="00305460" w:rsidRDefault="001C56BD" w:rsidP="008A5C11">
            <w:pPr>
              <w:jc w:val="center"/>
              <w:rPr>
                <w:color w:val="000000"/>
                <w:sz w:val="14"/>
                <w:szCs w:val="14"/>
              </w:rPr>
            </w:pPr>
            <w:r w:rsidRPr="00305460">
              <w:rPr>
                <w:color w:val="000000"/>
                <w:sz w:val="14"/>
                <w:szCs w:val="14"/>
              </w:rPr>
              <w:t>12</w:t>
            </w:r>
          </w:p>
        </w:tc>
        <w:tc>
          <w:tcPr>
            <w:tcW w:w="711" w:type="dxa"/>
            <w:tcBorders>
              <w:bottom w:val="single" w:sz="4" w:space="0" w:color="auto"/>
            </w:tcBorders>
            <w:shd w:val="clear" w:color="auto" w:fill="auto"/>
            <w:tcMar>
              <w:left w:w="28" w:type="dxa"/>
              <w:right w:w="28" w:type="dxa"/>
            </w:tcMar>
            <w:vAlign w:val="center"/>
            <w:hideMark/>
          </w:tcPr>
          <w:p w14:paraId="0E09D2B2" w14:textId="77777777" w:rsidR="001C56BD" w:rsidRPr="00305460" w:rsidRDefault="001C56BD" w:rsidP="008A5C11">
            <w:pPr>
              <w:jc w:val="center"/>
              <w:rPr>
                <w:color w:val="000000"/>
                <w:sz w:val="14"/>
                <w:szCs w:val="14"/>
              </w:rPr>
            </w:pPr>
            <w:r w:rsidRPr="00305460">
              <w:rPr>
                <w:color w:val="000000"/>
                <w:sz w:val="14"/>
                <w:szCs w:val="14"/>
              </w:rPr>
              <w:t>13</w:t>
            </w:r>
          </w:p>
        </w:tc>
        <w:tc>
          <w:tcPr>
            <w:tcW w:w="709" w:type="dxa"/>
            <w:tcBorders>
              <w:bottom w:val="single" w:sz="4" w:space="0" w:color="auto"/>
            </w:tcBorders>
            <w:shd w:val="clear" w:color="auto" w:fill="auto"/>
            <w:tcMar>
              <w:left w:w="28" w:type="dxa"/>
              <w:right w:w="28" w:type="dxa"/>
            </w:tcMar>
            <w:vAlign w:val="center"/>
            <w:hideMark/>
          </w:tcPr>
          <w:p w14:paraId="29E4C258" w14:textId="77777777" w:rsidR="001C56BD" w:rsidRPr="00305460" w:rsidRDefault="001C56BD" w:rsidP="008A5C11">
            <w:pPr>
              <w:jc w:val="center"/>
              <w:rPr>
                <w:color w:val="000000"/>
                <w:sz w:val="14"/>
                <w:szCs w:val="14"/>
              </w:rPr>
            </w:pPr>
            <w:r w:rsidRPr="00305460">
              <w:rPr>
                <w:color w:val="000000"/>
                <w:sz w:val="14"/>
                <w:szCs w:val="14"/>
              </w:rPr>
              <w:t>14</w:t>
            </w:r>
          </w:p>
        </w:tc>
      </w:tr>
      <w:tr w:rsidR="001C56BD" w:rsidRPr="00305460" w14:paraId="22A95A0D" w14:textId="77777777" w:rsidTr="008A5C11">
        <w:trPr>
          <w:trHeight w:val="20"/>
        </w:trPr>
        <w:tc>
          <w:tcPr>
            <w:tcW w:w="284" w:type="dxa"/>
            <w:shd w:val="clear" w:color="auto" w:fill="auto"/>
            <w:tcMar>
              <w:left w:w="28" w:type="dxa"/>
              <w:right w:w="28" w:type="dxa"/>
            </w:tcMar>
            <w:vAlign w:val="center"/>
            <w:hideMark/>
          </w:tcPr>
          <w:p w14:paraId="53AE51D3" w14:textId="77777777" w:rsidR="001C56BD" w:rsidRPr="00305460" w:rsidRDefault="001C56BD" w:rsidP="008A5C11">
            <w:pPr>
              <w:jc w:val="center"/>
              <w:rPr>
                <w:color w:val="000000"/>
                <w:sz w:val="14"/>
                <w:szCs w:val="14"/>
              </w:rPr>
            </w:pPr>
            <w:r w:rsidRPr="00305460">
              <w:rPr>
                <w:color w:val="000000"/>
                <w:sz w:val="14"/>
                <w:szCs w:val="14"/>
              </w:rPr>
              <w:t xml:space="preserve">   1.</w:t>
            </w:r>
          </w:p>
        </w:tc>
        <w:tc>
          <w:tcPr>
            <w:tcW w:w="1430" w:type="dxa"/>
            <w:shd w:val="clear" w:color="auto" w:fill="auto"/>
            <w:tcMar>
              <w:left w:w="28" w:type="dxa"/>
              <w:right w:w="28" w:type="dxa"/>
            </w:tcMar>
            <w:vAlign w:val="center"/>
            <w:hideMark/>
          </w:tcPr>
          <w:p w14:paraId="6185DFCC" w14:textId="77777777" w:rsidR="001C56BD" w:rsidRPr="00305460" w:rsidRDefault="001C56BD" w:rsidP="008A5C11">
            <w:pPr>
              <w:jc w:val="center"/>
              <w:rPr>
                <w:color w:val="000000"/>
                <w:sz w:val="14"/>
                <w:szCs w:val="14"/>
              </w:rPr>
            </w:pPr>
            <w:r w:rsidRPr="00305460">
              <w:rPr>
                <w:color w:val="000000"/>
                <w:sz w:val="14"/>
                <w:szCs w:val="14"/>
              </w:rPr>
              <w:t>Собственные средства</w:t>
            </w:r>
          </w:p>
        </w:tc>
        <w:tc>
          <w:tcPr>
            <w:tcW w:w="697" w:type="dxa"/>
            <w:shd w:val="clear" w:color="000000" w:fill="FFFFFF"/>
            <w:tcMar>
              <w:left w:w="28" w:type="dxa"/>
              <w:right w:w="28" w:type="dxa"/>
            </w:tcMar>
            <w:vAlign w:val="center"/>
            <w:hideMark/>
          </w:tcPr>
          <w:p w14:paraId="67E76E46" w14:textId="77777777" w:rsidR="001C56BD" w:rsidRPr="00305460" w:rsidRDefault="001C56BD" w:rsidP="008A5C11">
            <w:pPr>
              <w:jc w:val="center"/>
              <w:rPr>
                <w:color w:val="000000"/>
                <w:sz w:val="14"/>
                <w:szCs w:val="14"/>
              </w:rPr>
            </w:pPr>
            <w:r w:rsidRPr="00305460">
              <w:rPr>
                <w:color w:val="000000"/>
                <w:sz w:val="14"/>
                <w:szCs w:val="14"/>
              </w:rPr>
              <w:t>968 127,989</w:t>
            </w:r>
          </w:p>
        </w:tc>
        <w:tc>
          <w:tcPr>
            <w:tcW w:w="809" w:type="dxa"/>
            <w:shd w:val="clear" w:color="000000" w:fill="FFFFFF"/>
            <w:tcMar>
              <w:left w:w="28" w:type="dxa"/>
              <w:right w:w="28" w:type="dxa"/>
            </w:tcMar>
            <w:vAlign w:val="center"/>
            <w:hideMark/>
          </w:tcPr>
          <w:p w14:paraId="347E531D" w14:textId="77777777" w:rsidR="001C56BD" w:rsidRPr="00305460" w:rsidRDefault="001C56BD" w:rsidP="008A5C11">
            <w:pPr>
              <w:jc w:val="center"/>
              <w:rPr>
                <w:color w:val="000000"/>
                <w:sz w:val="14"/>
                <w:szCs w:val="14"/>
              </w:rPr>
            </w:pPr>
            <w:r w:rsidRPr="00305460">
              <w:rPr>
                <w:color w:val="000000"/>
                <w:sz w:val="14"/>
                <w:szCs w:val="14"/>
              </w:rPr>
              <w:t>968 127,989</w:t>
            </w:r>
          </w:p>
        </w:tc>
        <w:tc>
          <w:tcPr>
            <w:tcW w:w="851"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D4757A6" w14:textId="77777777" w:rsidR="001C56BD" w:rsidRPr="00305460" w:rsidRDefault="001C56BD" w:rsidP="008A5C11">
            <w:pPr>
              <w:jc w:val="center"/>
              <w:rPr>
                <w:sz w:val="14"/>
                <w:szCs w:val="14"/>
              </w:rPr>
            </w:pPr>
            <w:r w:rsidRPr="00305460">
              <w:rPr>
                <w:sz w:val="14"/>
                <w:szCs w:val="14"/>
              </w:rPr>
              <w:t>137 993,413</w:t>
            </w:r>
          </w:p>
        </w:tc>
        <w:tc>
          <w:tcPr>
            <w:tcW w:w="7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4FA6C85" w14:textId="77777777" w:rsidR="001C56BD" w:rsidRPr="00305460" w:rsidRDefault="001C56BD" w:rsidP="008A5C11">
            <w:pPr>
              <w:jc w:val="center"/>
              <w:rPr>
                <w:sz w:val="14"/>
                <w:szCs w:val="14"/>
              </w:rPr>
            </w:pPr>
            <w:r w:rsidRPr="00305460">
              <w:rPr>
                <w:sz w:val="14"/>
                <w:szCs w:val="14"/>
              </w:rPr>
              <w:t>91 961,063</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62215D6" w14:textId="77777777" w:rsidR="001C56BD" w:rsidRPr="00305460" w:rsidRDefault="001C56BD" w:rsidP="008A5C11">
            <w:pPr>
              <w:jc w:val="center"/>
              <w:rPr>
                <w:sz w:val="14"/>
                <w:szCs w:val="14"/>
              </w:rPr>
            </w:pPr>
            <w:r w:rsidRPr="00305460">
              <w:rPr>
                <w:sz w:val="14"/>
                <w:szCs w:val="14"/>
              </w:rPr>
              <w:t>110 977,567</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4ACA5AF" w14:textId="77777777" w:rsidR="001C56BD" w:rsidRPr="00305460" w:rsidRDefault="001C56BD" w:rsidP="008A5C11">
            <w:pPr>
              <w:jc w:val="center"/>
              <w:rPr>
                <w:sz w:val="14"/>
                <w:szCs w:val="14"/>
              </w:rPr>
            </w:pPr>
            <w:r w:rsidRPr="00305460">
              <w:rPr>
                <w:sz w:val="14"/>
                <w:szCs w:val="14"/>
              </w:rPr>
              <w:t>136 970,154</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E5CF6A0" w14:textId="77777777" w:rsidR="001C56BD" w:rsidRPr="00305460" w:rsidRDefault="001C56BD" w:rsidP="008A5C11">
            <w:pPr>
              <w:jc w:val="center"/>
              <w:rPr>
                <w:sz w:val="14"/>
                <w:szCs w:val="14"/>
              </w:rPr>
            </w:pPr>
            <w:r w:rsidRPr="00305460">
              <w:rPr>
                <w:sz w:val="14"/>
                <w:szCs w:val="14"/>
              </w:rPr>
              <w:t>128 016,477</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F6E3FFB" w14:textId="77777777" w:rsidR="001C56BD" w:rsidRPr="00305460" w:rsidRDefault="001C56BD" w:rsidP="008A5C11">
            <w:pPr>
              <w:jc w:val="center"/>
              <w:rPr>
                <w:sz w:val="14"/>
                <w:szCs w:val="14"/>
              </w:rPr>
            </w:pPr>
            <w:r w:rsidRPr="00305460">
              <w:rPr>
                <w:sz w:val="14"/>
                <w:szCs w:val="14"/>
              </w:rPr>
              <w:t>81 346,278</w:t>
            </w:r>
          </w:p>
        </w:tc>
        <w:tc>
          <w:tcPr>
            <w:tcW w:w="7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3992A39" w14:textId="77777777" w:rsidR="001C56BD" w:rsidRPr="00305460" w:rsidRDefault="001C56BD" w:rsidP="008A5C11">
            <w:pPr>
              <w:jc w:val="center"/>
              <w:rPr>
                <w:sz w:val="14"/>
                <w:szCs w:val="14"/>
              </w:rPr>
            </w:pPr>
            <w:r w:rsidRPr="00305460">
              <w:rPr>
                <w:sz w:val="14"/>
                <w:szCs w:val="14"/>
              </w:rPr>
              <w:t>68 181,940</w:t>
            </w:r>
          </w:p>
        </w:tc>
        <w:tc>
          <w:tcPr>
            <w:tcW w:w="7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5F57C5C" w14:textId="77777777" w:rsidR="001C56BD" w:rsidRPr="00305460" w:rsidRDefault="001C56BD" w:rsidP="008A5C11">
            <w:pPr>
              <w:jc w:val="center"/>
              <w:rPr>
                <w:sz w:val="14"/>
                <w:szCs w:val="14"/>
              </w:rPr>
            </w:pPr>
            <w:r w:rsidRPr="00305460">
              <w:rPr>
                <w:sz w:val="14"/>
                <w:szCs w:val="14"/>
              </w:rPr>
              <w:t>82 752,076</w:t>
            </w:r>
          </w:p>
        </w:tc>
        <w:tc>
          <w:tcPr>
            <w:tcW w:w="71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5B0C357" w14:textId="77777777" w:rsidR="001C56BD" w:rsidRPr="00305460" w:rsidRDefault="001C56BD" w:rsidP="008A5C11">
            <w:pPr>
              <w:jc w:val="center"/>
              <w:rPr>
                <w:sz w:val="14"/>
                <w:szCs w:val="14"/>
              </w:rPr>
            </w:pPr>
            <w:r w:rsidRPr="00305460">
              <w:rPr>
                <w:sz w:val="14"/>
                <w:szCs w:val="14"/>
              </w:rPr>
              <w:t>61 183,750</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942CC6D" w14:textId="77777777" w:rsidR="001C56BD" w:rsidRPr="00305460" w:rsidRDefault="001C56BD" w:rsidP="008A5C11">
            <w:pPr>
              <w:jc w:val="center"/>
              <w:rPr>
                <w:sz w:val="14"/>
                <w:szCs w:val="14"/>
              </w:rPr>
            </w:pPr>
            <w:r w:rsidRPr="00305460">
              <w:rPr>
                <w:sz w:val="14"/>
                <w:szCs w:val="14"/>
              </w:rPr>
              <w:t>68 745,271</w:t>
            </w:r>
          </w:p>
        </w:tc>
      </w:tr>
      <w:tr w:rsidR="001C56BD" w:rsidRPr="00305460" w14:paraId="0A321B0E" w14:textId="77777777" w:rsidTr="008A5C11">
        <w:trPr>
          <w:trHeight w:val="20"/>
        </w:trPr>
        <w:tc>
          <w:tcPr>
            <w:tcW w:w="284" w:type="dxa"/>
            <w:shd w:val="clear" w:color="auto" w:fill="auto"/>
            <w:tcMar>
              <w:left w:w="28" w:type="dxa"/>
              <w:right w:w="28" w:type="dxa"/>
            </w:tcMar>
            <w:vAlign w:val="center"/>
            <w:hideMark/>
          </w:tcPr>
          <w:p w14:paraId="55F06024" w14:textId="77777777" w:rsidR="001C56BD" w:rsidRPr="00305460" w:rsidRDefault="001C56BD" w:rsidP="008A5C11">
            <w:pPr>
              <w:jc w:val="center"/>
              <w:rPr>
                <w:color w:val="000000"/>
                <w:sz w:val="14"/>
                <w:szCs w:val="14"/>
              </w:rPr>
            </w:pPr>
            <w:r w:rsidRPr="00305460">
              <w:rPr>
                <w:color w:val="000000"/>
                <w:sz w:val="14"/>
                <w:szCs w:val="14"/>
              </w:rPr>
              <w:t>1.1.</w:t>
            </w:r>
          </w:p>
        </w:tc>
        <w:tc>
          <w:tcPr>
            <w:tcW w:w="1430" w:type="dxa"/>
            <w:shd w:val="clear" w:color="auto" w:fill="auto"/>
            <w:tcMar>
              <w:left w:w="28" w:type="dxa"/>
              <w:right w:w="28" w:type="dxa"/>
            </w:tcMar>
            <w:vAlign w:val="center"/>
            <w:hideMark/>
          </w:tcPr>
          <w:p w14:paraId="01A5207F" w14:textId="77777777" w:rsidR="001C56BD" w:rsidRPr="00305460" w:rsidRDefault="001C56BD" w:rsidP="008A5C11">
            <w:pPr>
              <w:jc w:val="center"/>
              <w:rPr>
                <w:color w:val="000000"/>
                <w:sz w:val="14"/>
                <w:szCs w:val="14"/>
              </w:rPr>
            </w:pPr>
            <w:r w:rsidRPr="00305460">
              <w:rPr>
                <w:color w:val="000000"/>
                <w:sz w:val="14"/>
                <w:szCs w:val="14"/>
              </w:rPr>
              <w:t>амортизационные отчисления</w:t>
            </w:r>
          </w:p>
        </w:tc>
        <w:tc>
          <w:tcPr>
            <w:tcW w:w="697" w:type="dxa"/>
            <w:shd w:val="clear" w:color="auto" w:fill="auto"/>
            <w:tcMar>
              <w:left w:w="28" w:type="dxa"/>
              <w:right w:w="28" w:type="dxa"/>
            </w:tcMar>
            <w:vAlign w:val="center"/>
            <w:hideMark/>
          </w:tcPr>
          <w:p w14:paraId="36DC4C54" w14:textId="77777777" w:rsidR="001C56BD" w:rsidRPr="00305460" w:rsidRDefault="001C56BD" w:rsidP="008A5C11">
            <w:pPr>
              <w:jc w:val="center"/>
              <w:rPr>
                <w:color w:val="000000"/>
                <w:sz w:val="14"/>
                <w:szCs w:val="14"/>
              </w:rPr>
            </w:pPr>
            <w:r w:rsidRPr="00305460">
              <w:rPr>
                <w:color w:val="000000"/>
                <w:sz w:val="14"/>
                <w:szCs w:val="14"/>
              </w:rPr>
              <w:t>958 097,009</w:t>
            </w:r>
          </w:p>
        </w:tc>
        <w:tc>
          <w:tcPr>
            <w:tcW w:w="809" w:type="dxa"/>
            <w:shd w:val="clear" w:color="auto" w:fill="auto"/>
            <w:tcMar>
              <w:left w:w="28" w:type="dxa"/>
              <w:right w:w="28" w:type="dxa"/>
            </w:tcMar>
            <w:vAlign w:val="center"/>
            <w:hideMark/>
          </w:tcPr>
          <w:p w14:paraId="3C690217" w14:textId="77777777" w:rsidR="001C56BD" w:rsidRPr="00305460" w:rsidRDefault="001C56BD" w:rsidP="008A5C11">
            <w:pPr>
              <w:jc w:val="center"/>
              <w:rPr>
                <w:color w:val="000000"/>
                <w:sz w:val="14"/>
                <w:szCs w:val="14"/>
              </w:rPr>
            </w:pPr>
            <w:r w:rsidRPr="00305460">
              <w:rPr>
                <w:color w:val="000000"/>
                <w:sz w:val="14"/>
                <w:szCs w:val="14"/>
              </w:rPr>
              <w:t>958 097,009</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3820DEA" w14:textId="77777777" w:rsidR="001C56BD" w:rsidRPr="00305460" w:rsidRDefault="001C56BD" w:rsidP="008A5C11">
            <w:pPr>
              <w:jc w:val="center"/>
              <w:rPr>
                <w:bCs/>
                <w:sz w:val="14"/>
                <w:szCs w:val="14"/>
              </w:rPr>
            </w:pPr>
            <w:r w:rsidRPr="00305460">
              <w:rPr>
                <w:bCs/>
                <w:sz w:val="14"/>
                <w:szCs w:val="14"/>
              </w:rPr>
              <w:t>127 962,433</w:t>
            </w:r>
          </w:p>
        </w:tc>
        <w:tc>
          <w:tcPr>
            <w:tcW w:w="70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F5C9084" w14:textId="77777777" w:rsidR="001C56BD" w:rsidRPr="00305460" w:rsidRDefault="001C56BD" w:rsidP="008A5C11">
            <w:pPr>
              <w:jc w:val="center"/>
              <w:rPr>
                <w:bCs/>
                <w:sz w:val="14"/>
                <w:szCs w:val="14"/>
              </w:rPr>
            </w:pPr>
            <w:r w:rsidRPr="00305460">
              <w:rPr>
                <w:bCs/>
                <w:sz w:val="14"/>
                <w:szCs w:val="14"/>
              </w:rPr>
              <w:t>91 961,063</w:t>
            </w:r>
          </w:p>
        </w:tc>
        <w:tc>
          <w:tcPr>
            <w:tcW w:w="851"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D20EEDF" w14:textId="77777777" w:rsidR="001C56BD" w:rsidRPr="00305460" w:rsidRDefault="001C56BD" w:rsidP="008A5C11">
            <w:pPr>
              <w:jc w:val="center"/>
              <w:rPr>
                <w:bCs/>
                <w:sz w:val="14"/>
                <w:szCs w:val="14"/>
              </w:rPr>
            </w:pPr>
            <w:r w:rsidRPr="00305460">
              <w:rPr>
                <w:bCs/>
                <w:sz w:val="14"/>
                <w:szCs w:val="14"/>
              </w:rPr>
              <w:t>110 977,567</w:t>
            </w:r>
          </w:p>
        </w:tc>
        <w:tc>
          <w:tcPr>
            <w:tcW w:w="85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378AF76" w14:textId="77777777" w:rsidR="001C56BD" w:rsidRPr="00305460" w:rsidRDefault="001C56BD" w:rsidP="008A5C11">
            <w:pPr>
              <w:jc w:val="center"/>
              <w:rPr>
                <w:bCs/>
                <w:sz w:val="14"/>
                <w:szCs w:val="14"/>
              </w:rPr>
            </w:pPr>
            <w:r w:rsidRPr="00305460">
              <w:rPr>
                <w:bCs/>
                <w:sz w:val="14"/>
                <w:szCs w:val="14"/>
              </w:rPr>
              <w:t>136 970,154</w:t>
            </w:r>
          </w:p>
        </w:tc>
        <w:tc>
          <w:tcPr>
            <w:tcW w:w="851"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7F02287" w14:textId="77777777" w:rsidR="001C56BD" w:rsidRPr="00305460" w:rsidRDefault="001C56BD" w:rsidP="008A5C11">
            <w:pPr>
              <w:jc w:val="center"/>
              <w:rPr>
                <w:bCs/>
                <w:sz w:val="14"/>
                <w:szCs w:val="14"/>
              </w:rPr>
            </w:pPr>
            <w:r w:rsidRPr="00305460">
              <w:rPr>
                <w:bCs/>
                <w:sz w:val="14"/>
                <w:szCs w:val="14"/>
              </w:rPr>
              <w:t>128 016,477</w:t>
            </w:r>
          </w:p>
        </w:tc>
        <w:tc>
          <w:tcPr>
            <w:tcW w:w="7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26954A8" w14:textId="77777777" w:rsidR="001C56BD" w:rsidRPr="00305460" w:rsidRDefault="001C56BD" w:rsidP="008A5C11">
            <w:pPr>
              <w:jc w:val="center"/>
              <w:rPr>
                <w:bCs/>
                <w:sz w:val="14"/>
                <w:szCs w:val="14"/>
              </w:rPr>
            </w:pPr>
            <w:r w:rsidRPr="00305460">
              <w:rPr>
                <w:bCs/>
                <w:sz w:val="14"/>
                <w:szCs w:val="14"/>
              </w:rPr>
              <w:t>81 346,278</w:t>
            </w:r>
          </w:p>
        </w:tc>
        <w:tc>
          <w:tcPr>
            <w:tcW w:w="70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DE19309" w14:textId="77777777" w:rsidR="001C56BD" w:rsidRPr="00305460" w:rsidRDefault="001C56BD" w:rsidP="008A5C11">
            <w:pPr>
              <w:jc w:val="center"/>
              <w:rPr>
                <w:bCs/>
                <w:sz w:val="14"/>
                <w:szCs w:val="14"/>
              </w:rPr>
            </w:pPr>
            <w:r w:rsidRPr="00305460">
              <w:rPr>
                <w:bCs/>
                <w:sz w:val="14"/>
                <w:szCs w:val="14"/>
              </w:rPr>
              <w:t>68 181,940</w:t>
            </w:r>
          </w:p>
        </w:tc>
        <w:tc>
          <w:tcPr>
            <w:tcW w:w="70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1D2B097" w14:textId="77777777" w:rsidR="001C56BD" w:rsidRPr="00305460" w:rsidRDefault="001C56BD" w:rsidP="008A5C11">
            <w:pPr>
              <w:jc w:val="center"/>
              <w:rPr>
                <w:bCs/>
                <w:sz w:val="14"/>
                <w:szCs w:val="14"/>
              </w:rPr>
            </w:pPr>
            <w:r w:rsidRPr="00305460">
              <w:rPr>
                <w:bCs/>
                <w:sz w:val="14"/>
                <w:szCs w:val="14"/>
              </w:rPr>
              <w:t>82 752,076</w:t>
            </w:r>
          </w:p>
        </w:tc>
        <w:tc>
          <w:tcPr>
            <w:tcW w:w="711"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ACD4F0B" w14:textId="77777777" w:rsidR="001C56BD" w:rsidRPr="00305460" w:rsidRDefault="001C56BD" w:rsidP="008A5C11">
            <w:pPr>
              <w:jc w:val="center"/>
              <w:rPr>
                <w:bCs/>
                <w:sz w:val="14"/>
                <w:szCs w:val="14"/>
              </w:rPr>
            </w:pPr>
            <w:r w:rsidRPr="00305460">
              <w:rPr>
                <w:bCs/>
                <w:sz w:val="14"/>
                <w:szCs w:val="14"/>
              </w:rPr>
              <w:t>61 183,750</w:t>
            </w:r>
          </w:p>
        </w:tc>
        <w:tc>
          <w:tcPr>
            <w:tcW w:w="7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15E500F" w14:textId="77777777" w:rsidR="001C56BD" w:rsidRPr="00305460" w:rsidRDefault="001C56BD" w:rsidP="008A5C11">
            <w:pPr>
              <w:jc w:val="center"/>
              <w:rPr>
                <w:bCs/>
                <w:sz w:val="14"/>
                <w:szCs w:val="14"/>
              </w:rPr>
            </w:pPr>
            <w:r w:rsidRPr="00305460">
              <w:rPr>
                <w:bCs/>
                <w:sz w:val="14"/>
                <w:szCs w:val="14"/>
              </w:rPr>
              <w:t>68 745,271</w:t>
            </w:r>
          </w:p>
        </w:tc>
      </w:tr>
      <w:tr w:rsidR="001C56BD" w:rsidRPr="00305460" w14:paraId="42A68830" w14:textId="77777777" w:rsidTr="008A5C11">
        <w:trPr>
          <w:trHeight w:val="20"/>
        </w:trPr>
        <w:tc>
          <w:tcPr>
            <w:tcW w:w="284" w:type="dxa"/>
            <w:shd w:val="clear" w:color="auto" w:fill="auto"/>
            <w:tcMar>
              <w:left w:w="28" w:type="dxa"/>
              <w:right w:w="28" w:type="dxa"/>
            </w:tcMar>
            <w:vAlign w:val="center"/>
            <w:hideMark/>
          </w:tcPr>
          <w:p w14:paraId="3F44A620" w14:textId="77777777" w:rsidR="001C56BD" w:rsidRPr="00305460" w:rsidRDefault="001C56BD" w:rsidP="008A5C11">
            <w:pPr>
              <w:jc w:val="center"/>
              <w:rPr>
                <w:color w:val="000000"/>
                <w:sz w:val="14"/>
                <w:szCs w:val="14"/>
              </w:rPr>
            </w:pPr>
            <w:r w:rsidRPr="00305460">
              <w:rPr>
                <w:color w:val="000000"/>
                <w:sz w:val="14"/>
                <w:szCs w:val="14"/>
              </w:rPr>
              <w:t>1.2.</w:t>
            </w:r>
          </w:p>
        </w:tc>
        <w:tc>
          <w:tcPr>
            <w:tcW w:w="1430" w:type="dxa"/>
            <w:shd w:val="clear" w:color="auto" w:fill="auto"/>
            <w:tcMar>
              <w:left w:w="28" w:type="dxa"/>
              <w:right w:w="28" w:type="dxa"/>
            </w:tcMar>
            <w:vAlign w:val="center"/>
            <w:hideMark/>
          </w:tcPr>
          <w:p w14:paraId="47A602C0" w14:textId="77777777" w:rsidR="001C56BD" w:rsidRPr="00305460" w:rsidRDefault="001C56BD" w:rsidP="008A5C11">
            <w:pPr>
              <w:jc w:val="center"/>
              <w:rPr>
                <w:color w:val="000000"/>
                <w:sz w:val="14"/>
                <w:szCs w:val="14"/>
              </w:rPr>
            </w:pPr>
            <w:r w:rsidRPr="00305460">
              <w:rPr>
                <w:color w:val="000000"/>
                <w:sz w:val="14"/>
                <w:szCs w:val="14"/>
              </w:rPr>
              <w:t>прибыль, направленная на инвестиции</w:t>
            </w:r>
          </w:p>
        </w:tc>
        <w:tc>
          <w:tcPr>
            <w:tcW w:w="697" w:type="dxa"/>
            <w:shd w:val="clear" w:color="auto" w:fill="auto"/>
            <w:tcMar>
              <w:left w:w="28" w:type="dxa"/>
              <w:right w:w="28" w:type="dxa"/>
            </w:tcMar>
            <w:vAlign w:val="center"/>
            <w:hideMark/>
          </w:tcPr>
          <w:p w14:paraId="46C45385" w14:textId="77777777" w:rsidR="001C56BD" w:rsidRPr="00305460" w:rsidRDefault="001C56BD" w:rsidP="008A5C11">
            <w:pPr>
              <w:jc w:val="center"/>
              <w:rPr>
                <w:color w:val="000000"/>
                <w:sz w:val="14"/>
                <w:szCs w:val="14"/>
              </w:rPr>
            </w:pPr>
            <w:r w:rsidRPr="00305460">
              <w:rPr>
                <w:color w:val="000000"/>
                <w:sz w:val="14"/>
                <w:szCs w:val="14"/>
              </w:rPr>
              <w:t>0,000</w:t>
            </w:r>
          </w:p>
        </w:tc>
        <w:tc>
          <w:tcPr>
            <w:tcW w:w="809" w:type="dxa"/>
            <w:shd w:val="clear" w:color="auto" w:fill="auto"/>
            <w:tcMar>
              <w:left w:w="28" w:type="dxa"/>
              <w:right w:w="28" w:type="dxa"/>
            </w:tcMar>
            <w:vAlign w:val="center"/>
            <w:hideMark/>
          </w:tcPr>
          <w:p w14:paraId="74C4F200" w14:textId="77777777" w:rsidR="001C56BD" w:rsidRPr="00305460" w:rsidRDefault="001C56BD" w:rsidP="008A5C11">
            <w:pPr>
              <w:jc w:val="center"/>
              <w:rPr>
                <w:color w:val="000000"/>
                <w:sz w:val="14"/>
                <w:szCs w:val="14"/>
              </w:rPr>
            </w:pPr>
            <w:r w:rsidRPr="00305460">
              <w:rPr>
                <w:color w:val="000000"/>
                <w:sz w:val="14"/>
                <w:szCs w:val="14"/>
              </w:rPr>
              <w:t>0,000</w:t>
            </w:r>
          </w:p>
        </w:tc>
        <w:tc>
          <w:tcPr>
            <w:tcW w:w="851" w:type="dxa"/>
            <w:shd w:val="clear" w:color="auto" w:fill="auto"/>
            <w:tcMar>
              <w:left w:w="28" w:type="dxa"/>
              <w:right w:w="28" w:type="dxa"/>
            </w:tcMar>
            <w:vAlign w:val="center"/>
            <w:hideMark/>
          </w:tcPr>
          <w:p w14:paraId="4284DE4A" w14:textId="77777777" w:rsidR="001C56BD" w:rsidRPr="00305460" w:rsidRDefault="001C56BD" w:rsidP="008A5C11">
            <w:pPr>
              <w:jc w:val="center"/>
              <w:rPr>
                <w:color w:val="000000"/>
                <w:sz w:val="14"/>
                <w:szCs w:val="14"/>
              </w:rPr>
            </w:pPr>
            <w:r w:rsidRPr="00305460">
              <w:rPr>
                <w:color w:val="000000"/>
                <w:sz w:val="14"/>
                <w:szCs w:val="14"/>
              </w:rPr>
              <w:t>0,000</w:t>
            </w:r>
          </w:p>
        </w:tc>
        <w:tc>
          <w:tcPr>
            <w:tcW w:w="706" w:type="dxa"/>
            <w:shd w:val="clear" w:color="000000" w:fill="FFFFFF"/>
            <w:tcMar>
              <w:left w:w="28" w:type="dxa"/>
              <w:right w:w="28" w:type="dxa"/>
            </w:tcMar>
            <w:vAlign w:val="center"/>
            <w:hideMark/>
          </w:tcPr>
          <w:p w14:paraId="7E50931F" w14:textId="77777777" w:rsidR="001C56BD" w:rsidRPr="00305460" w:rsidRDefault="001C56BD" w:rsidP="008A5C11">
            <w:pPr>
              <w:jc w:val="center"/>
              <w:rPr>
                <w:color w:val="000000"/>
                <w:sz w:val="14"/>
                <w:szCs w:val="14"/>
              </w:rPr>
            </w:pPr>
            <w:r w:rsidRPr="00305460">
              <w:rPr>
                <w:color w:val="000000"/>
                <w:sz w:val="14"/>
                <w:szCs w:val="14"/>
              </w:rPr>
              <w:t>0,000</w:t>
            </w:r>
          </w:p>
        </w:tc>
        <w:tc>
          <w:tcPr>
            <w:tcW w:w="851" w:type="dxa"/>
            <w:shd w:val="clear" w:color="auto" w:fill="auto"/>
            <w:tcMar>
              <w:left w:w="28" w:type="dxa"/>
              <w:right w:w="28" w:type="dxa"/>
            </w:tcMar>
            <w:vAlign w:val="center"/>
            <w:hideMark/>
          </w:tcPr>
          <w:p w14:paraId="74290F15" w14:textId="77777777" w:rsidR="001C56BD" w:rsidRPr="00305460" w:rsidRDefault="001C56BD" w:rsidP="008A5C11">
            <w:pPr>
              <w:jc w:val="center"/>
              <w:rPr>
                <w:color w:val="000000"/>
                <w:sz w:val="14"/>
                <w:szCs w:val="14"/>
              </w:rPr>
            </w:pPr>
            <w:r w:rsidRPr="00305460">
              <w:rPr>
                <w:color w:val="000000"/>
                <w:sz w:val="14"/>
                <w:szCs w:val="14"/>
              </w:rPr>
              <w:t>0,000</w:t>
            </w:r>
          </w:p>
        </w:tc>
        <w:tc>
          <w:tcPr>
            <w:tcW w:w="850" w:type="dxa"/>
            <w:shd w:val="clear" w:color="auto" w:fill="auto"/>
            <w:tcMar>
              <w:left w:w="28" w:type="dxa"/>
              <w:right w:w="28" w:type="dxa"/>
            </w:tcMar>
            <w:vAlign w:val="center"/>
            <w:hideMark/>
          </w:tcPr>
          <w:p w14:paraId="66349E86" w14:textId="77777777" w:rsidR="001C56BD" w:rsidRPr="00305460" w:rsidRDefault="001C56BD" w:rsidP="008A5C11">
            <w:pPr>
              <w:jc w:val="center"/>
              <w:rPr>
                <w:color w:val="000000"/>
                <w:sz w:val="14"/>
                <w:szCs w:val="14"/>
              </w:rPr>
            </w:pPr>
            <w:r w:rsidRPr="00305460">
              <w:rPr>
                <w:color w:val="000000"/>
                <w:sz w:val="14"/>
                <w:szCs w:val="14"/>
              </w:rPr>
              <w:t>0,000</w:t>
            </w:r>
          </w:p>
        </w:tc>
        <w:tc>
          <w:tcPr>
            <w:tcW w:w="851" w:type="dxa"/>
            <w:shd w:val="clear" w:color="auto" w:fill="auto"/>
            <w:tcMar>
              <w:left w:w="28" w:type="dxa"/>
              <w:right w:w="28" w:type="dxa"/>
            </w:tcMar>
            <w:vAlign w:val="center"/>
            <w:hideMark/>
          </w:tcPr>
          <w:p w14:paraId="0BB26B4D" w14:textId="77777777" w:rsidR="001C56BD" w:rsidRPr="00305460" w:rsidRDefault="001C56BD" w:rsidP="008A5C11">
            <w:pPr>
              <w:jc w:val="center"/>
              <w:rPr>
                <w:color w:val="000000"/>
                <w:sz w:val="14"/>
                <w:szCs w:val="14"/>
              </w:rPr>
            </w:pPr>
            <w:r w:rsidRPr="00305460">
              <w:rPr>
                <w:color w:val="000000"/>
                <w:sz w:val="14"/>
                <w:szCs w:val="14"/>
              </w:rPr>
              <w:t>0,000</w:t>
            </w:r>
          </w:p>
        </w:tc>
        <w:tc>
          <w:tcPr>
            <w:tcW w:w="709" w:type="dxa"/>
            <w:shd w:val="clear" w:color="auto" w:fill="auto"/>
            <w:tcMar>
              <w:left w:w="28" w:type="dxa"/>
              <w:right w:w="28" w:type="dxa"/>
            </w:tcMar>
            <w:vAlign w:val="center"/>
            <w:hideMark/>
          </w:tcPr>
          <w:p w14:paraId="56CB1CAC" w14:textId="77777777" w:rsidR="001C56BD" w:rsidRPr="00305460" w:rsidRDefault="001C56BD" w:rsidP="008A5C11">
            <w:pPr>
              <w:jc w:val="center"/>
              <w:rPr>
                <w:color w:val="000000"/>
                <w:sz w:val="14"/>
                <w:szCs w:val="14"/>
              </w:rPr>
            </w:pPr>
            <w:r w:rsidRPr="00305460">
              <w:rPr>
                <w:color w:val="000000"/>
                <w:sz w:val="14"/>
                <w:szCs w:val="14"/>
              </w:rPr>
              <w:t>0,000</w:t>
            </w:r>
          </w:p>
        </w:tc>
        <w:tc>
          <w:tcPr>
            <w:tcW w:w="706" w:type="dxa"/>
            <w:shd w:val="clear" w:color="auto" w:fill="auto"/>
            <w:tcMar>
              <w:left w:w="28" w:type="dxa"/>
              <w:right w:w="28" w:type="dxa"/>
            </w:tcMar>
            <w:vAlign w:val="center"/>
            <w:hideMark/>
          </w:tcPr>
          <w:p w14:paraId="4917D910" w14:textId="77777777" w:rsidR="001C56BD" w:rsidRPr="00305460" w:rsidRDefault="001C56BD" w:rsidP="008A5C11">
            <w:pPr>
              <w:jc w:val="center"/>
              <w:rPr>
                <w:color w:val="000000"/>
                <w:sz w:val="14"/>
                <w:szCs w:val="14"/>
              </w:rPr>
            </w:pPr>
            <w:r w:rsidRPr="00305460">
              <w:rPr>
                <w:color w:val="000000"/>
                <w:sz w:val="14"/>
                <w:szCs w:val="14"/>
              </w:rPr>
              <w:t>0,000</w:t>
            </w:r>
          </w:p>
        </w:tc>
        <w:tc>
          <w:tcPr>
            <w:tcW w:w="706" w:type="dxa"/>
            <w:shd w:val="clear" w:color="auto" w:fill="auto"/>
            <w:tcMar>
              <w:left w:w="28" w:type="dxa"/>
              <w:right w:w="28" w:type="dxa"/>
            </w:tcMar>
            <w:vAlign w:val="center"/>
            <w:hideMark/>
          </w:tcPr>
          <w:p w14:paraId="32EF07D7" w14:textId="77777777" w:rsidR="001C56BD" w:rsidRPr="00305460" w:rsidRDefault="001C56BD" w:rsidP="008A5C11">
            <w:pPr>
              <w:jc w:val="center"/>
              <w:rPr>
                <w:color w:val="000000"/>
                <w:sz w:val="14"/>
                <w:szCs w:val="14"/>
              </w:rPr>
            </w:pPr>
            <w:r w:rsidRPr="00305460">
              <w:rPr>
                <w:color w:val="000000"/>
                <w:sz w:val="14"/>
                <w:szCs w:val="14"/>
              </w:rPr>
              <w:t>0,000</w:t>
            </w:r>
          </w:p>
        </w:tc>
        <w:tc>
          <w:tcPr>
            <w:tcW w:w="711" w:type="dxa"/>
            <w:shd w:val="clear" w:color="auto" w:fill="auto"/>
            <w:tcMar>
              <w:left w:w="28" w:type="dxa"/>
              <w:right w:w="28" w:type="dxa"/>
            </w:tcMar>
            <w:vAlign w:val="center"/>
            <w:hideMark/>
          </w:tcPr>
          <w:p w14:paraId="170C9275" w14:textId="77777777" w:rsidR="001C56BD" w:rsidRPr="00305460" w:rsidRDefault="001C56BD" w:rsidP="008A5C11">
            <w:pPr>
              <w:jc w:val="center"/>
              <w:rPr>
                <w:color w:val="000000"/>
                <w:sz w:val="14"/>
                <w:szCs w:val="14"/>
              </w:rPr>
            </w:pPr>
            <w:r w:rsidRPr="00305460">
              <w:rPr>
                <w:color w:val="000000"/>
                <w:sz w:val="14"/>
                <w:szCs w:val="14"/>
              </w:rPr>
              <w:t>0,000</w:t>
            </w:r>
          </w:p>
        </w:tc>
        <w:tc>
          <w:tcPr>
            <w:tcW w:w="709" w:type="dxa"/>
            <w:shd w:val="clear" w:color="auto" w:fill="auto"/>
            <w:tcMar>
              <w:left w:w="28" w:type="dxa"/>
              <w:right w:w="28" w:type="dxa"/>
            </w:tcMar>
            <w:vAlign w:val="center"/>
            <w:hideMark/>
          </w:tcPr>
          <w:p w14:paraId="585B53B1" w14:textId="77777777" w:rsidR="001C56BD" w:rsidRPr="00305460" w:rsidRDefault="001C56BD" w:rsidP="008A5C11">
            <w:pPr>
              <w:jc w:val="center"/>
              <w:rPr>
                <w:color w:val="000000"/>
                <w:sz w:val="14"/>
                <w:szCs w:val="14"/>
              </w:rPr>
            </w:pPr>
            <w:r w:rsidRPr="00305460">
              <w:rPr>
                <w:color w:val="000000"/>
                <w:sz w:val="14"/>
                <w:szCs w:val="14"/>
              </w:rPr>
              <w:t>0,000</w:t>
            </w:r>
          </w:p>
        </w:tc>
      </w:tr>
      <w:tr w:rsidR="001C56BD" w:rsidRPr="00305460" w14:paraId="5A792593" w14:textId="77777777" w:rsidTr="008A5C11">
        <w:trPr>
          <w:trHeight w:val="20"/>
        </w:trPr>
        <w:tc>
          <w:tcPr>
            <w:tcW w:w="284" w:type="dxa"/>
            <w:shd w:val="clear" w:color="auto" w:fill="auto"/>
            <w:tcMar>
              <w:left w:w="28" w:type="dxa"/>
              <w:right w:w="28" w:type="dxa"/>
            </w:tcMar>
            <w:vAlign w:val="center"/>
            <w:hideMark/>
          </w:tcPr>
          <w:p w14:paraId="09C37FF1" w14:textId="77777777" w:rsidR="001C56BD" w:rsidRPr="00305460" w:rsidRDefault="001C56BD" w:rsidP="008A5C11">
            <w:pPr>
              <w:jc w:val="center"/>
              <w:rPr>
                <w:color w:val="000000"/>
                <w:sz w:val="14"/>
                <w:szCs w:val="14"/>
              </w:rPr>
            </w:pPr>
            <w:r w:rsidRPr="00305460">
              <w:rPr>
                <w:color w:val="000000"/>
                <w:sz w:val="14"/>
                <w:szCs w:val="14"/>
              </w:rPr>
              <w:t>1.3.</w:t>
            </w:r>
          </w:p>
        </w:tc>
        <w:tc>
          <w:tcPr>
            <w:tcW w:w="1430" w:type="dxa"/>
            <w:shd w:val="clear" w:color="auto" w:fill="auto"/>
            <w:tcMar>
              <w:left w:w="28" w:type="dxa"/>
              <w:right w:w="28" w:type="dxa"/>
            </w:tcMar>
            <w:vAlign w:val="center"/>
            <w:hideMark/>
          </w:tcPr>
          <w:p w14:paraId="2C10069C" w14:textId="77777777" w:rsidR="001C56BD" w:rsidRPr="00305460" w:rsidRDefault="001C56BD" w:rsidP="008A5C11">
            <w:pPr>
              <w:jc w:val="center"/>
              <w:rPr>
                <w:color w:val="000000"/>
                <w:sz w:val="14"/>
                <w:szCs w:val="14"/>
              </w:rPr>
            </w:pPr>
            <w:r w:rsidRPr="00305460">
              <w:rPr>
                <w:color w:val="000000"/>
                <w:sz w:val="14"/>
                <w:szCs w:val="14"/>
              </w:rPr>
              <w:t>средства, полученные за счет платы за подключение</w:t>
            </w:r>
          </w:p>
        </w:tc>
        <w:tc>
          <w:tcPr>
            <w:tcW w:w="697" w:type="dxa"/>
            <w:shd w:val="clear" w:color="auto" w:fill="auto"/>
            <w:noWrap/>
            <w:tcMar>
              <w:left w:w="28" w:type="dxa"/>
              <w:right w:w="28" w:type="dxa"/>
            </w:tcMar>
            <w:vAlign w:val="center"/>
            <w:hideMark/>
          </w:tcPr>
          <w:p w14:paraId="7DDA6223" w14:textId="77777777" w:rsidR="001C56BD" w:rsidRPr="00305460" w:rsidRDefault="001C56BD" w:rsidP="008A5C11">
            <w:pPr>
              <w:jc w:val="center"/>
              <w:rPr>
                <w:color w:val="000000"/>
                <w:sz w:val="14"/>
                <w:szCs w:val="14"/>
              </w:rPr>
            </w:pPr>
            <w:r w:rsidRPr="00305460">
              <w:rPr>
                <w:color w:val="000000"/>
                <w:sz w:val="14"/>
                <w:szCs w:val="14"/>
              </w:rPr>
              <w:t>10 030,980</w:t>
            </w:r>
          </w:p>
        </w:tc>
        <w:tc>
          <w:tcPr>
            <w:tcW w:w="809" w:type="dxa"/>
            <w:shd w:val="clear" w:color="auto" w:fill="auto"/>
            <w:noWrap/>
            <w:tcMar>
              <w:left w:w="28" w:type="dxa"/>
              <w:right w:w="28" w:type="dxa"/>
            </w:tcMar>
            <w:vAlign w:val="center"/>
            <w:hideMark/>
          </w:tcPr>
          <w:p w14:paraId="3DF3E641" w14:textId="77777777" w:rsidR="001C56BD" w:rsidRPr="00305460" w:rsidRDefault="001C56BD" w:rsidP="008A5C11">
            <w:pPr>
              <w:jc w:val="center"/>
              <w:rPr>
                <w:color w:val="000000"/>
                <w:sz w:val="14"/>
                <w:szCs w:val="14"/>
              </w:rPr>
            </w:pPr>
            <w:r w:rsidRPr="00305460">
              <w:rPr>
                <w:color w:val="000000"/>
                <w:sz w:val="14"/>
                <w:szCs w:val="14"/>
              </w:rPr>
              <w:t>10 030,980</w:t>
            </w:r>
          </w:p>
        </w:tc>
        <w:tc>
          <w:tcPr>
            <w:tcW w:w="851" w:type="dxa"/>
            <w:shd w:val="clear" w:color="auto" w:fill="auto"/>
            <w:noWrap/>
            <w:tcMar>
              <w:left w:w="28" w:type="dxa"/>
              <w:right w:w="28" w:type="dxa"/>
            </w:tcMar>
            <w:vAlign w:val="center"/>
            <w:hideMark/>
          </w:tcPr>
          <w:p w14:paraId="50D52A19" w14:textId="77777777" w:rsidR="001C56BD" w:rsidRPr="00305460" w:rsidRDefault="001C56BD" w:rsidP="008A5C11">
            <w:pPr>
              <w:jc w:val="center"/>
              <w:rPr>
                <w:color w:val="000000"/>
                <w:sz w:val="14"/>
                <w:szCs w:val="14"/>
              </w:rPr>
            </w:pPr>
            <w:r w:rsidRPr="00305460">
              <w:rPr>
                <w:color w:val="000000"/>
                <w:sz w:val="14"/>
                <w:szCs w:val="14"/>
              </w:rPr>
              <w:t>10 030,980</w:t>
            </w:r>
          </w:p>
        </w:tc>
        <w:tc>
          <w:tcPr>
            <w:tcW w:w="706" w:type="dxa"/>
            <w:shd w:val="clear" w:color="000000" w:fill="FFFFFF"/>
            <w:tcMar>
              <w:left w:w="28" w:type="dxa"/>
              <w:right w:w="28" w:type="dxa"/>
            </w:tcMar>
            <w:vAlign w:val="center"/>
            <w:hideMark/>
          </w:tcPr>
          <w:p w14:paraId="1CBCDCCC" w14:textId="77777777" w:rsidR="001C56BD" w:rsidRPr="00305460" w:rsidRDefault="001C56BD" w:rsidP="008A5C11">
            <w:pPr>
              <w:jc w:val="center"/>
              <w:rPr>
                <w:color w:val="000000"/>
                <w:sz w:val="14"/>
                <w:szCs w:val="14"/>
              </w:rPr>
            </w:pPr>
            <w:r w:rsidRPr="00305460">
              <w:rPr>
                <w:color w:val="000000"/>
                <w:sz w:val="14"/>
                <w:szCs w:val="14"/>
              </w:rPr>
              <w:t>0,000</w:t>
            </w:r>
          </w:p>
        </w:tc>
        <w:tc>
          <w:tcPr>
            <w:tcW w:w="851" w:type="dxa"/>
            <w:shd w:val="clear" w:color="000000" w:fill="FFFFFF"/>
            <w:tcMar>
              <w:left w:w="28" w:type="dxa"/>
              <w:right w:w="28" w:type="dxa"/>
            </w:tcMar>
            <w:vAlign w:val="center"/>
            <w:hideMark/>
          </w:tcPr>
          <w:p w14:paraId="146F3E2D" w14:textId="77777777" w:rsidR="001C56BD" w:rsidRPr="00305460" w:rsidRDefault="001C56BD" w:rsidP="008A5C11">
            <w:pPr>
              <w:jc w:val="center"/>
              <w:rPr>
                <w:color w:val="000000"/>
                <w:sz w:val="14"/>
                <w:szCs w:val="14"/>
              </w:rPr>
            </w:pPr>
            <w:r w:rsidRPr="00305460">
              <w:rPr>
                <w:color w:val="000000"/>
                <w:sz w:val="14"/>
                <w:szCs w:val="14"/>
              </w:rPr>
              <w:t>0,000</w:t>
            </w:r>
          </w:p>
        </w:tc>
        <w:tc>
          <w:tcPr>
            <w:tcW w:w="850" w:type="dxa"/>
            <w:shd w:val="clear" w:color="000000" w:fill="FFFFFF"/>
            <w:tcMar>
              <w:left w:w="28" w:type="dxa"/>
              <w:right w:w="28" w:type="dxa"/>
            </w:tcMar>
            <w:vAlign w:val="center"/>
            <w:hideMark/>
          </w:tcPr>
          <w:p w14:paraId="0AB10371" w14:textId="77777777" w:rsidR="001C56BD" w:rsidRPr="00305460" w:rsidRDefault="001C56BD" w:rsidP="008A5C11">
            <w:pPr>
              <w:jc w:val="center"/>
              <w:rPr>
                <w:color w:val="000000"/>
                <w:sz w:val="14"/>
                <w:szCs w:val="14"/>
              </w:rPr>
            </w:pPr>
            <w:r w:rsidRPr="00305460">
              <w:rPr>
                <w:color w:val="000000"/>
                <w:sz w:val="14"/>
                <w:szCs w:val="14"/>
              </w:rPr>
              <w:t>0,000</w:t>
            </w:r>
          </w:p>
        </w:tc>
        <w:tc>
          <w:tcPr>
            <w:tcW w:w="851" w:type="dxa"/>
            <w:shd w:val="clear" w:color="000000" w:fill="FFFFFF"/>
            <w:tcMar>
              <w:left w:w="28" w:type="dxa"/>
              <w:right w:w="28" w:type="dxa"/>
            </w:tcMar>
            <w:vAlign w:val="center"/>
            <w:hideMark/>
          </w:tcPr>
          <w:p w14:paraId="43DDB747" w14:textId="77777777" w:rsidR="001C56BD" w:rsidRPr="00305460" w:rsidRDefault="001C56BD" w:rsidP="008A5C11">
            <w:pPr>
              <w:jc w:val="center"/>
              <w:rPr>
                <w:color w:val="000000"/>
                <w:sz w:val="14"/>
                <w:szCs w:val="14"/>
              </w:rPr>
            </w:pPr>
            <w:r w:rsidRPr="00305460">
              <w:rPr>
                <w:color w:val="000000"/>
                <w:sz w:val="14"/>
                <w:szCs w:val="14"/>
              </w:rPr>
              <w:t>0,000</w:t>
            </w:r>
          </w:p>
        </w:tc>
        <w:tc>
          <w:tcPr>
            <w:tcW w:w="709" w:type="dxa"/>
            <w:shd w:val="clear" w:color="000000" w:fill="FFFFFF"/>
            <w:tcMar>
              <w:left w:w="28" w:type="dxa"/>
              <w:right w:w="28" w:type="dxa"/>
            </w:tcMar>
            <w:vAlign w:val="center"/>
            <w:hideMark/>
          </w:tcPr>
          <w:p w14:paraId="2BCD0599" w14:textId="77777777" w:rsidR="001C56BD" w:rsidRPr="00305460" w:rsidRDefault="001C56BD" w:rsidP="008A5C11">
            <w:pPr>
              <w:jc w:val="center"/>
              <w:rPr>
                <w:color w:val="000000"/>
                <w:sz w:val="14"/>
                <w:szCs w:val="14"/>
              </w:rPr>
            </w:pPr>
            <w:r w:rsidRPr="00305460">
              <w:rPr>
                <w:color w:val="000000"/>
                <w:sz w:val="14"/>
                <w:szCs w:val="14"/>
              </w:rPr>
              <w:t>0,000</w:t>
            </w:r>
          </w:p>
        </w:tc>
        <w:tc>
          <w:tcPr>
            <w:tcW w:w="706" w:type="dxa"/>
            <w:shd w:val="clear" w:color="000000" w:fill="FFFFFF"/>
            <w:tcMar>
              <w:left w:w="28" w:type="dxa"/>
              <w:right w:w="28" w:type="dxa"/>
            </w:tcMar>
            <w:vAlign w:val="center"/>
            <w:hideMark/>
          </w:tcPr>
          <w:p w14:paraId="735C7A26" w14:textId="77777777" w:rsidR="001C56BD" w:rsidRPr="00305460" w:rsidRDefault="001C56BD" w:rsidP="008A5C11">
            <w:pPr>
              <w:jc w:val="center"/>
              <w:rPr>
                <w:color w:val="000000"/>
                <w:sz w:val="14"/>
                <w:szCs w:val="14"/>
              </w:rPr>
            </w:pPr>
            <w:r w:rsidRPr="00305460">
              <w:rPr>
                <w:color w:val="000000"/>
                <w:sz w:val="14"/>
                <w:szCs w:val="14"/>
              </w:rPr>
              <w:t>0,000</w:t>
            </w:r>
          </w:p>
        </w:tc>
        <w:tc>
          <w:tcPr>
            <w:tcW w:w="706" w:type="dxa"/>
            <w:shd w:val="clear" w:color="000000" w:fill="FFFFFF"/>
            <w:tcMar>
              <w:left w:w="28" w:type="dxa"/>
              <w:right w:w="28" w:type="dxa"/>
            </w:tcMar>
            <w:vAlign w:val="center"/>
            <w:hideMark/>
          </w:tcPr>
          <w:p w14:paraId="3DC6ED28" w14:textId="77777777" w:rsidR="001C56BD" w:rsidRPr="00305460" w:rsidRDefault="001C56BD" w:rsidP="008A5C11">
            <w:pPr>
              <w:jc w:val="center"/>
              <w:rPr>
                <w:color w:val="000000"/>
                <w:sz w:val="14"/>
                <w:szCs w:val="14"/>
              </w:rPr>
            </w:pPr>
            <w:r w:rsidRPr="00305460">
              <w:rPr>
                <w:color w:val="000000"/>
                <w:sz w:val="14"/>
                <w:szCs w:val="14"/>
              </w:rPr>
              <w:t>0,000</w:t>
            </w:r>
          </w:p>
        </w:tc>
        <w:tc>
          <w:tcPr>
            <w:tcW w:w="711" w:type="dxa"/>
            <w:shd w:val="clear" w:color="000000" w:fill="FFFFFF"/>
            <w:tcMar>
              <w:left w:w="28" w:type="dxa"/>
              <w:right w:w="28" w:type="dxa"/>
            </w:tcMar>
            <w:vAlign w:val="center"/>
            <w:hideMark/>
          </w:tcPr>
          <w:p w14:paraId="1384D9FF" w14:textId="77777777" w:rsidR="001C56BD" w:rsidRPr="00305460" w:rsidRDefault="001C56BD" w:rsidP="008A5C11">
            <w:pPr>
              <w:jc w:val="center"/>
              <w:rPr>
                <w:color w:val="000000"/>
                <w:sz w:val="14"/>
                <w:szCs w:val="14"/>
              </w:rPr>
            </w:pPr>
            <w:r w:rsidRPr="00305460">
              <w:rPr>
                <w:color w:val="000000"/>
                <w:sz w:val="14"/>
                <w:szCs w:val="14"/>
              </w:rPr>
              <w:t>0,000</w:t>
            </w:r>
          </w:p>
        </w:tc>
        <w:tc>
          <w:tcPr>
            <w:tcW w:w="709" w:type="dxa"/>
            <w:shd w:val="clear" w:color="000000" w:fill="FFFFFF"/>
            <w:tcMar>
              <w:left w:w="28" w:type="dxa"/>
              <w:right w:w="28" w:type="dxa"/>
            </w:tcMar>
            <w:vAlign w:val="center"/>
            <w:hideMark/>
          </w:tcPr>
          <w:p w14:paraId="6AABC388" w14:textId="77777777" w:rsidR="001C56BD" w:rsidRPr="00305460" w:rsidRDefault="001C56BD" w:rsidP="008A5C11">
            <w:pPr>
              <w:jc w:val="center"/>
              <w:rPr>
                <w:color w:val="000000"/>
                <w:sz w:val="14"/>
                <w:szCs w:val="14"/>
              </w:rPr>
            </w:pPr>
            <w:r w:rsidRPr="00305460">
              <w:rPr>
                <w:color w:val="000000"/>
                <w:sz w:val="14"/>
                <w:szCs w:val="14"/>
              </w:rPr>
              <w:t>0,000</w:t>
            </w:r>
          </w:p>
        </w:tc>
      </w:tr>
      <w:tr w:rsidR="001C56BD" w:rsidRPr="00305460" w14:paraId="498E007A" w14:textId="77777777" w:rsidTr="008A5C11">
        <w:trPr>
          <w:trHeight w:val="20"/>
        </w:trPr>
        <w:tc>
          <w:tcPr>
            <w:tcW w:w="284" w:type="dxa"/>
            <w:shd w:val="clear" w:color="auto" w:fill="auto"/>
            <w:tcMar>
              <w:left w:w="28" w:type="dxa"/>
              <w:right w:w="28" w:type="dxa"/>
            </w:tcMar>
            <w:vAlign w:val="center"/>
            <w:hideMark/>
          </w:tcPr>
          <w:p w14:paraId="74A36B31" w14:textId="77777777" w:rsidR="001C56BD" w:rsidRPr="00305460" w:rsidRDefault="001C56BD" w:rsidP="008A5C11">
            <w:pPr>
              <w:jc w:val="center"/>
              <w:rPr>
                <w:color w:val="000000"/>
                <w:sz w:val="14"/>
                <w:szCs w:val="14"/>
              </w:rPr>
            </w:pPr>
            <w:r w:rsidRPr="00305460">
              <w:rPr>
                <w:color w:val="000000"/>
                <w:sz w:val="14"/>
                <w:szCs w:val="14"/>
              </w:rPr>
              <w:t>1.4.</w:t>
            </w:r>
          </w:p>
        </w:tc>
        <w:tc>
          <w:tcPr>
            <w:tcW w:w="1430" w:type="dxa"/>
            <w:shd w:val="clear" w:color="auto" w:fill="auto"/>
            <w:tcMar>
              <w:left w:w="28" w:type="dxa"/>
              <w:right w:w="28" w:type="dxa"/>
            </w:tcMar>
            <w:vAlign w:val="center"/>
            <w:hideMark/>
          </w:tcPr>
          <w:p w14:paraId="3C541B21" w14:textId="77777777" w:rsidR="001C56BD" w:rsidRPr="00305460" w:rsidRDefault="001C56BD" w:rsidP="008A5C11">
            <w:pPr>
              <w:jc w:val="center"/>
              <w:rPr>
                <w:color w:val="000000"/>
                <w:sz w:val="14"/>
                <w:szCs w:val="14"/>
              </w:rPr>
            </w:pPr>
            <w:r w:rsidRPr="00305460">
              <w:rPr>
                <w:color w:val="000000"/>
                <w:sz w:val="14"/>
                <w:szCs w:val="14"/>
              </w:rPr>
              <w:t>прочие собственные средства, в т.ч. средства от эмиссии ценных бумаг</w:t>
            </w:r>
          </w:p>
        </w:tc>
        <w:tc>
          <w:tcPr>
            <w:tcW w:w="697" w:type="dxa"/>
            <w:shd w:val="clear" w:color="auto" w:fill="auto"/>
            <w:tcMar>
              <w:left w:w="28" w:type="dxa"/>
              <w:right w:w="28" w:type="dxa"/>
            </w:tcMar>
            <w:vAlign w:val="center"/>
            <w:hideMark/>
          </w:tcPr>
          <w:p w14:paraId="01A1A339" w14:textId="77777777" w:rsidR="001C56BD" w:rsidRPr="00305460" w:rsidRDefault="001C56BD" w:rsidP="008A5C11">
            <w:pPr>
              <w:jc w:val="center"/>
              <w:rPr>
                <w:color w:val="000000"/>
                <w:sz w:val="14"/>
                <w:szCs w:val="14"/>
              </w:rPr>
            </w:pPr>
            <w:r w:rsidRPr="00305460">
              <w:rPr>
                <w:color w:val="000000"/>
                <w:sz w:val="14"/>
                <w:szCs w:val="14"/>
              </w:rPr>
              <w:t>0,000</w:t>
            </w:r>
          </w:p>
        </w:tc>
        <w:tc>
          <w:tcPr>
            <w:tcW w:w="809" w:type="dxa"/>
            <w:shd w:val="clear" w:color="auto" w:fill="auto"/>
            <w:tcMar>
              <w:left w:w="28" w:type="dxa"/>
              <w:right w:w="28" w:type="dxa"/>
            </w:tcMar>
            <w:vAlign w:val="center"/>
            <w:hideMark/>
          </w:tcPr>
          <w:p w14:paraId="30FF7A34" w14:textId="77777777" w:rsidR="001C56BD" w:rsidRPr="00305460" w:rsidRDefault="001C56BD" w:rsidP="008A5C11">
            <w:pPr>
              <w:jc w:val="center"/>
              <w:rPr>
                <w:color w:val="000000"/>
                <w:sz w:val="14"/>
                <w:szCs w:val="14"/>
              </w:rPr>
            </w:pPr>
            <w:r w:rsidRPr="00305460">
              <w:rPr>
                <w:color w:val="000000"/>
                <w:sz w:val="14"/>
                <w:szCs w:val="14"/>
              </w:rPr>
              <w:t>0,000</w:t>
            </w:r>
          </w:p>
        </w:tc>
        <w:tc>
          <w:tcPr>
            <w:tcW w:w="851" w:type="dxa"/>
            <w:shd w:val="clear" w:color="auto" w:fill="auto"/>
            <w:tcMar>
              <w:left w:w="28" w:type="dxa"/>
              <w:right w:w="28" w:type="dxa"/>
            </w:tcMar>
            <w:vAlign w:val="center"/>
            <w:hideMark/>
          </w:tcPr>
          <w:p w14:paraId="53FFF515" w14:textId="77777777" w:rsidR="001C56BD" w:rsidRPr="00305460" w:rsidRDefault="001C56BD" w:rsidP="008A5C11">
            <w:pPr>
              <w:jc w:val="center"/>
              <w:rPr>
                <w:color w:val="000000"/>
                <w:sz w:val="14"/>
                <w:szCs w:val="14"/>
              </w:rPr>
            </w:pPr>
            <w:r w:rsidRPr="00305460">
              <w:rPr>
                <w:color w:val="000000"/>
                <w:sz w:val="14"/>
                <w:szCs w:val="14"/>
              </w:rPr>
              <w:t>0,000</w:t>
            </w:r>
          </w:p>
        </w:tc>
        <w:tc>
          <w:tcPr>
            <w:tcW w:w="706" w:type="dxa"/>
            <w:shd w:val="clear" w:color="000000" w:fill="FFFFFF"/>
            <w:tcMar>
              <w:left w:w="28" w:type="dxa"/>
              <w:right w:w="28" w:type="dxa"/>
            </w:tcMar>
            <w:vAlign w:val="center"/>
            <w:hideMark/>
          </w:tcPr>
          <w:p w14:paraId="1D6A03F4" w14:textId="77777777" w:rsidR="001C56BD" w:rsidRPr="00305460" w:rsidRDefault="001C56BD" w:rsidP="008A5C11">
            <w:pPr>
              <w:jc w:val="center"/>
              <w:rPr>
                <w:color w:val="000000"/>
                <w:sz w:val="14"/>
                <w:szCs w:val="14"/>
              </w:rPr>
            </w:pPr>
            <w:r w:rsidRPr="00305460">
              <w:rPr>
                <w:color w:val="000000"/>
                <w:sz w:val="14"/>
                <w:szCs w:val="14"/>
              </w:rPr>
              <w:t>0,000</w:t>
            </w:r>
          </w:p>
        </w:tc>
        <w:tc>
          <w:tcPr>
            <w:tcW w:w="851" w:type="dxa"/>
            <w:shd w:val="clear" w:color="auto" w:fill="auto"/>
            <w:tcMar>
              <w:left w:w="28" w:type="dxa"/>
              <w:right w:w="28" w:type="dxa"/>
            </w:tcMar>
            <w:vAlign w:val="center"/>
            <w:hideMark/>
          </w:tcPr>
          <w:p w14:paraId="07267738" w14:textId="77777777" w:rsidR="001C56BD" w:rsidRPr="00305460" w:rsidRDefault="001C56BD" w:rsidP="008A5C11">
            <w:pPr>
              <w:jc w:val="center"/>
              <w:rPr>
                <w:color w:val="000000"/>
                <w:sz w:val="14"/>
                <w:szCs w:val="14"/>
              </w:rPr>
            </w:pPr>
            <w:r w:rsidRPr="00305460">
              <w:rPr>
                <w:color w:val="000000"/>
                <w:sz w:val="14"/>
                <w:szCs w:val="14"/>
              </w:rPr>
              <w:t>0,000</w:t>
            </w:r>
          </w:p>
        </w:tc>
        <w:tc>
          <w:tcPr>
            <w:tcW w:w="850" w:type="dxa"/>
            <w:shd w:val="clear" w:color="auto" w:fill="auto"/>
            <w:tcMar>
              <w:left w:w="28" w:type="dxa"/>
              <w:right w:w="28" w:type="dxa"/>
            </w:tcMar>
            <w:vAlign w:val="center"/>
            <w:hideMark/>
          </w:tcPr>
          <w:p w14:paraId="69B84F12" w14:textId="77777777" w:rsidR="001C56BD" w:rsidRPr="00305460" w:rsidRDefault="001C56BD" w:rsidP="008A5C11">
            <w:pPr>
              <w:jc w:val="center"/>
              <w:rPr>
                <w:color w:val="000000"/>
                <w:sz w:val="14"/>
                <w:szCs w:val="14"/>
              </w:rPr>
            </w:pPr>
            <w:r w:rsidRPr="00305460">
              <w:rPr>
                <w:color w:val="000000"/>
                <w:sz w:val="14"/>
                <w:szCs w:val="14"/>
              </w:rPr>
              <w:t>0,000</w:t>
            </w:r>
          </w:p>
        </w:tc>
        <w:tc>
          <w:tcPr>
            <w:tcW w:w="851" w:type="dxa"/>
            <w:shd w:val="clear" w:color="auto" w:fill="auto"/>
            <w:tcMar>
              <w:left w:w="28" w:type="dxa"/>
              <w:right w:w="28" w:type="dxa"/>
            </w:tcMar>
            <w:vAlign w:val="center"/>
            <w:hideMark/>
          </w:tcPr>
          <w:p w14:paraId="5EBE5A6D" w14:textId="77777777" w:rsidR="001C56BD" w:rsidRPr="00305460" w:rsidRDefault="001C56BD" w:rsidP="008A5C11">
            <w:pPr>
              <w:jc w:val="center"/>
              <w:rPr>
                <w:color w:val="000000"/>
                <w:sz w:val="14"/>
                <w:szCs w:val="14"/>
              </w:rPr>
            </w:pPr>
            <w:r w:rsidRPr="00305460">
              <w:rPr>
                <w:color w:val="000000"/>
                <w:sz w:val="14"/>
                <w:szCs w:val="14"/>
              </w:rPr>
              <w:t>0,000</w:t>
            </w:r>
          </w:p>
        </w:tc>
        <w:tc>
          <w:tcPr>
            <w:tcW w:w="709" w:type="dxa"/>
            <w:shd w:val="clear" w:color="auto" w:fill="auto"/>
            <w:tcMar>
              <w:left w:w="28" w:type="dxa"/>
              <w:right w:w="28" w:type="dxa"/>
            </w:tcMar>
            <w:vAlign w:val="center"/>
            <w:hideMark/>
          </w:tcPr>
          <w:p w14:paraId="479FEF39" w14:textId="77777777" w:rsidR="001C56BD" w:rsidRPr="00305460" w:rsidRDefault="001C56BD" w:rsidP="008A5C11">
            <w:pPr>
              <w:jc w:val="center"/>
              <w:rPr>
                <w:color w:val="000000"/>
                <w:sz w:val="14"/>
                <w:szCs w:val="14"/>
              </w:rPr>
            </w:pPr>
            <w:r w:rsidRPr="00305460">
              <w:rPr>
                <w:color w:val="000000"/>
                <w:sz w:val="14"/>
                <w:szCs w:val="14"/>
              </w:rPr>
              <w:t>0,000</w:t>
            </w:r>
          </w:p>
        </w:tc>
        <w:tc>
          <w:tcPr>
            <w:tcW w:w="706" w:type="dxa"/>
            <w:shd w:val="clear" w:color="auto" w:fill="auto"/>
            <w:tcMar>
              <w:left w:w="28" w:type="dxa"/>
              <w:right w:w="28" w:type="dxa"/>
            </w:tcMar>
            <w:vAlign w:val="center"/>
            <w:hideMark/>
          </w:tcPr>
          <w:p w14:paraId="5DA93F90" w14:textId="77777777" w:rsidR="001C56BD" w:rsidRPr="00305460" w:rsidRDefault="001C56BD" w:rsidP="008A5C11">
            <w:pPr>
              <w:jc w:val="center"/>
              <w:rPr>
                <w:color w:val="000000"/>
                <w:sz w:val="14"/>
                <w:szCs w:val="14"/>
              </w:rPr>
            </w:pPr>
            <w:r w:rsidRPr="00305460">
              <w:rPr>
                <w:color w:val="000000"/>
                <w:sz w:val="14"/>
                <w:szCs w:val="14"/>
              </w:rPr>
              <w:t>0,000</w:t>
            </w:r>
          </w:p>
        </w:tc>
        <w:tc>
          <w:tcPr>
            <w:tcW w:w="706" w:type="dxa"/>
            <w:shd w:val="clear" w:color="auto" w:fill="auto"/>
            <w:tcMar>
              <w:left w:w="28" w:type="dxa"/>
              <w:right w:w="28" w:type="dxa"/>
            </w:tcMar>
            <w:vAlign w:val="center"/>
            <w:hideMark/>
          </w:tcPr>
          <w:p w14:paraId="40F859B2" w14:textId="77777777" w:rsidR="001C56BD" w:rsidRPr="00305460" w:rsidRDefault="001C56BD" w:rsidP="008A5C11">
            <w:pPr>
              <w:jc w:val="center"/>
              <w:rPr>
                <w:color w:val="000000"/>
                <w:sz w:val="14"/>
                <w:szCs w:val="14"/>
              </w:rPr>
            </w:pPr>
            <w:r w:rsidRPr="00305460">
              <w:rPr>
                <w:color w:val="000000"/>
                <w:sz w:val="14"/>
                <w:szCs w:val="14"/>
              </w:rPr>
              <w:t>0,000</w:t>
            </w:r>
          </w:p>
        </w:tc>
        <w:tc>
          <w:tcPr>
            <w:tcW w:w="711" w:type="dxa"/>
            <w:shd w:val="clear" w:color="auto" w:fill="auto"/>
            <w:tcMar>
              <w:left w:w="28" w:type="dxa"/>
              <w:right w:w="28" w:type="dxa"/>
            </w:tcMar>
            <w:vAlign w:val="center"/>
            <w:hideMark/>
          </w:tcPr>
          <w:p w14:paraId="1295C81A" w14:textId="77777777" w:rsidR="001C56BD" w:rsidRPr="00305460" w:rsidRDefault="001C56BD" w:rsidP="008A5C11">
            <w:pPr>
              <w:jc w:val="center"/>
              <w:rPr>
                <w:color w:val="000000"/>
                <w:sz w:val="14"/>
                <w:szCs w:val="14"/>
              </w:rPr>
            </w:pPr>
            <w:r w:rsidRPr="00305460">
              <w:rPr>
                <w:color w:val="000000"/>
                <w:sz w:val="14"/>
                <w:szCs w:val="14"/>
              </w:rPr>
              <w:t>0,000</w:t>
            </w:r>
          </w:p>
        </w:tc>
        <w:tc>
          <w:tcPr>
            <w:tcW w:w="709" w:type="dxa"/>
            <w:shd w:val="clear" w:color="auto" w:fill="auto"/>
            <w:tcMar>
              <w:left w:w="28" w:type="dxa"/>
              <w:right w:w="28" w:type="dxa"/>
            </w:tcMar>
            <w:vAlign w:val="center"/>
            <w:hideMark/>
          </w:tcPr>
          <w:p w14:paraId="172A3709" w14:textId="77777777" w:rsidR="001C56BD" w:rsidRPr="00305460" w:rsidRDefault="001C56BD" w:rsidP="008A5C11">
            <w:pPr>
              <w:jc w:val="center"/>
              <w:rPr>
                <w:color w:val="000000"/>
                <w:sz w:val="14"/>
                <w:szCs w:val="14"/>
              </w:rPr>
            </w:pPr>
            <w:r w:rsidRPr="00305460">
              <w:rPr>
                <w:color w:val="000000"/>
                <w:sz w:val="14"/>
                <w:szCs w:val="14"/>
              </w:rPr>
              <w:t>0,000</w:t>
            </w:r>
          </w:p>
        </w:tc>
      </w:tr>
      <w:tr w:rsidR="001C56BD" w:rsidRPr="00305460" w14:paraId="10DD2F86" w14:textId="77777777" w:rsidTr="008A5C11">
        <w:trPr>
          <w:trHeight w:val="20"/>
        </w:trPr>
        <w:tc>
          <w:tcPr>
            <w:tcW w:w="284" w:type="dxa"/>
            <w:shd w:val="clear" w:color="auto" w:fill="auto"/>
            <w:tcMar>
              <w:left w:w="28" w:type="dxa"/>
              <w:right w:w="28" w:type="dxa"/>
            </w:tcMar>
            <w:vAlign w:val="center"/>
            <w:hideMark/>
          </w:tcPr>
          <w:p w14:paraId="67B5289A" w14:textId="77777777" w:rsidR="001C56BD" w:rsidRPr="00305460" w:rsidRDefault="001C56BD" w:rsidP="008A5C11">
            <w:pPr>
              <w:jc w:val="center"/>
              <w:rPr>
                <w:color w:val="000000"/>
                <w:sz w:val="14"/>
                <w:szCs w:val="14"/>
              </w:rPr>
            </w:pPr>
            <w:r w:rsidRPr="00305460">
              <w:rPr>
                <w:color w:val="000000"/>
                <w:sz w:val="14"/>
                <w:szCs w:val="14"/>
              </w:rPr>
              <w:t xml:space="preserve">   2.</w:t>
            </w:r>
          </w:p>
        </w:tc>
        <w:tc>
          <w:tcPr>
            <w:tcW w:w="1430" w:type="dxa"/>
            <w:shd w:val="clear" w:color="auto" w:fill="auto"/>
            <w:tcMar>
              <w:left w:w="28" w:type="dxa"/>
              <w:right w:w="28" w:type="dxa"/>
            </w:tcMar>
            <w:vAlign w:val="center"/>
            <w:hideMark/>
          </w:tcPr>
          <w:p w14:paraId="2BE38572" w14:textId="77777777" w:rsidR="001C56BD" w:rsidRPr="00305460" w:rsidRDefault="001C56BD" w:rsidP="008A5C11">
            <w:pPr>
              <w:jc w:val="center"/>
              <w:rPr>
                <w:color w:val="000000"/>
                <w:sz w:val="14"/>
                <w:szCs w:val="14"/>
              </w:rPr>
            </w:pPr>
            <w:r w:rsidRPr="00305460">
              <w:rPr>
                <w:color w:val="000000"/>
                <w:sz w:val="14"/>
                <w:szCs w:val="14"/>
              </w:rPr>
              <w:t>Привлеченные средства</w:t>
            </w:r>
          </w:p>
        </w:tc>
        <w:tc>
          <w:tcPr>
            <w:tcW w:w="697" w:type="dxa"/>
            <w:shd w:val="clear" w:color="auto" w:fill="auto"/>
            <w:tcMar>
              <w:left w:w="28" w:type="dxa"/>
              <w:right w:w="28" w:type="dxa"/>
            </w:tcMar>
            <w:vAlign w:val="center"/>
            <w:hideMark/>
          </w:tcPr>
          <w:p w14:paraId="528336A9" w14:textId="77777777" w:rsidR="001C56BD" w:rsidRPr="00305460" w:rsidRDefault="001C56BD" w:rsidP="008A5C11">
            <w:pPr>
              <w:jc w:val="center"/>
              <w:rPr>
                <w:color w:val="000000"/>
                <w:sz w:val="14"/>
                <w:szCs w:val="14"/>
              </w:rPr>
            </w:pPr>
            <w:r w:rsidRPr="00305460">
              <w:rPr>
                <w:color w:val="000000"/>
                <w:sz w:val="14"/>
                <w:szCs w:val="14"/>
              </w:rPr>
              <w:t>0,000</w:t>
            </w:r>
          </w:p>
        </w:tc>
        <w:tc>
          <w:tcPr>
            <w:tcW w:w="809" w:type="dxa"/>
            <w:shd w:val="clear" w:color="auto" w:fill="auto"/>
            <w:tcMar>
              <w:left w:w="28" w:type="dxa"/>
              <w:right w:w="28" w:type="dxa"/>
            </w:tcMar>
            <w:vAlign w:val="center"/>
            <w:hideMark/>
          </w:tcPr>
          <w:p w14:paraId="0ED4DFD8" w14:textId="77777777" w:rsidR="001C56BD" w:rsidRPr="00305460" w:rsidRDefault="001C56BD" w:rsidP="008A5C11">
            <w:pPr>
              <w:jc w:val="center"/>
              <w:rPr>
                <w:color w:val="000000"/>
                <w:sz w:val="14"/>
                <w:szCs w:val="14"/>
              </w:rPr>
            </w:pPr>
            <w:r w:rsidRPr="00305460">
              <w:rPr>
                <w:color w:val="000000"/>
                <w:sz w:val="14"/>
                <w:szCs w:val="14"/>
              </w:rPr>
              <w:t>0,000</w:t>
            </w:r>
          </w:p>
        </w:tc>
        <w:tc>
          <w:tcPr>
            <w:tcW w:w="851" w:type="dxa"/>
            <w:shd w:val="clear" w:color="auto" w:fill="auto"/>
            <w:tcMar>
              <w:left w:w="28" w:type="dxa"/>
              <w:right w:w="28" w:type="dxa"/>
            </w:tcMar>
            <w:vAlign w:val="center"/>
            <w:hideMark/>
          </w:tcPr>
          <w:p w14:paraId="179C0AE8" w14:textId="77777777" w:rsidR="001C56BD" w:rsidRPr="00305460" w:rsidRDefault="001C56BD" w:rsidP="008A5C11">
            <w:pPr>
              <w:jc w:val="center"/>
              <w:rPr>
                <w:color w:val="000000"/>
                <w:sz w:val="14"/>
                <w:szCs w:val="14"/>
              </w:rPr>
            </w:pPr>
            <w:r w:rsidRPr="00305460">
              <w:rPr>
                <w:color w:val="000000"/>
                <w:sz w:val="14"/>
                <w:szCs w:val="14"/>
              </w:rPr>
              <w:t>0,000</w:t>
            </w:r>
          </w:p>
        </w:tc>
        <w:tc>
          <w:tcPr>
            <w:tcW w:w="706" w:type="dxa"/>
            <w:shd w:val="clear" w:color="000000" w:fill="FFFFFF"/>
            <w:tcMar>
              <w:left w:w="28" w:type="dxa"/>
              <w:right w:w="28" w:type="dxa"/>
            </w:tcMar>
            <w:vAlign w:val="center"/>
            <w:hideMark/>
          </w:tcPr>
          <w:p w14:paraId="585B2AEA" w14:textId="77777777" w:rsidR="001C56BD" w:rsidRPr="00305460" w:rsidRDefault="001C56BD" w:rsidP="008A5C11">
            <w:pPr>
              <w:jc w:val="center"/>
              <w:rPr>
                <w:color w:val="000000"/>
                <w:sz w:val="14"/>
                <w:szCs w:val="14"/>
              </w:rPr>
            </w:pPr>
            <w:r w:rsidRPr="00305460">
              <w:rPr>
                <w:color w:val="000000"/>
                <w:sz w:val="14"/>
                <w:szCs w:val="14"/>
              </w:rPr>
              <w:t>0,000</w:t>
            </w:r>
          </w:p>
        </w:tc>
        <w:tc>
          <w:tcPr>
            <w:tcW w:w="851" w:type="dxa"/>
            <w:shd w:val="clear" w:color="auto" w:fill="auto"/>
            <w:tcMar>
              <w:left w:w="28" w:type="dxa"/>
              <w:right w:w="28" w:type="dxa"/>
            </w:tcMar>
            <w:vAlign w:val="center"/>
            <w:hideMark/>
          </w:tcPr>
          <w:p w14:paraId="3C8A3B89" w14:textId="77777777" w:rsidR="001C56BD" w:rsidRPr="00305460" w:rsidRDefault="001C56BD" w:rsidP="008A5C11">
            <w:pPr>
              <w:jc w:val="center"/>
              <w:rPr>
                <w:color w:val="000000"/>
                <w:sz w:val="14"/>
                <w:szCs w:val="14"/>
              </w:rPr>
            </w:pPr>
            <w:r w:rsidRPr="00305460">
              <w:rPr>
                <w:color w:val="000000"/>
                <w:sz w:val="14"/>
                <w:szCs w:val="14"/>
              </w:rPr>
              <w:t>0,000</w:t>
            </w:r>
          </w:p>
        </w:tc>
        <w:tc>
          <w:tcPr>
            <w:tcW w:w="850" w:type="dxa"/>
            <w:shd w:val="clear" w:color="auto" w:fill="auto"/>
            <w:tcMar>
              <w:left w:w="28" w:type="dxa"/>
              <w:right w:w="28" w:type="dxa"/>
            </w:tcMar>
            <w:vAlign w:val="center"/>
            <w:hideMark/>
          </w:tcPr>
          <w:p w14:paraId="1E1AB929" w14:textId="77777777" w:rsidR="001C56BD" w:rsidRPr="00305460" w:rsidRDefault="001C56BD" w:rsidP="008A5C11">
            <w:pPr>
              <w:jc w:val="center"/>
              <w:rPr>
                <w:color w:val="000000"/>
                <w:sz w:val="14"/>
                <w:szCs w:val="14"/>
              </w:rPr>
            </w:pPr>
            <w:r w:rsidRPr="00305460">
              <w:rPr>
                <w:color w:val="000000"/>
                <w:sz w:val="14"/>
                <w:szCs w:val="14"/>
              </w:rPr>
              <w:t>0,000</w:t>
            </w:r>
          </w:p>
        </w:tc>
        <w:tc>
          <w:tcPr>
            <w:tcW w:w="851" w:type="dxa"/>
            <w:shd w:val="clear" w:color="auto" w:fill="auto"/>
            <w:tcMar>
              <w:left w:w="28" w:type="dxa"/>
              <w:right w:w="28" w:type="dxa"/>
            </w:tcMar>
            <w:vAlign w:val="center"/>
            <w:hideMark/>
          </w:tcPr>
          <w:p w14:paraId="023E0AD4" w14:textId="77777777" w:rsidR="001C56BD" w:rsidRPr="00305460" w:rsidRDefault="001C56BD" w:rsidP="008A5C11">
            <w:pPr>
              <w:jc w:val="center"/>
              <w:rPr>
                <w:color w:val="000000"/>
                <w:sz w:val="14"/>
                <w:szCs w:val="14"/>
              </w:rPr>
            </w:pPr>
            <w:r w:rsidRPr="00305460">
              <w:rPr>
                <w:color w:val="000000"/>
                <w:sz w:val="14"/>
                <w:szCs w:val="14"/>
              </w:rPr>
              <w:t>0,000</w:t>
            </w:r>
          </w:p>
        </w:tc>
        <w:tc>
          <w:tcPr>
            <w:tcW w:w="709" w:type="dxa"/>
            <w:shd w:val="clear" w:color="auto" w:fill="auto"/>
            <w:tcMar>
              <w:left w:w="28" w:type="dxa"/>
              <w:right w:w="28" w:type="dxa"/>
            </w:tcMar>
            <w:vAlign w:val="center"/>
            <w:hideMark/>
          </w:tcPr>
          <w:p w14:paraId="21320B95" w14:textId="77777777" w:rsidR="001C56BD" w:rsidRPr="00305460" w:rsidRDefault="001C56BD" w:rsidP="008A5C11">
            <w:pPr>
              <w:jc w:val="center"/>
              <w:rPr>
                <w:color w:val="000000"/>
                <w:sz w:val="14"/>
                <w:szCs w:val="14"/>
              </w:rPr>
            </w:pPr>
            <w:r w:rsidRPr="00305460">
              <w:rPr>
                <w:color w:val="000000"/>
                <w:sz w:val="14"/>
                <w:szCs w:val="14"/>
              </w:rPr>
              <w:t>0,000</w:t>
            </w:r>
          </w:p>
        </w:tc>
        <w:tc>
          <w:tcPr>
            <w:tcW w:w="706" w:type="dxa"/>
            <w:shd w:val="clear" w:color="auto" w:fill="auto"/>
            <w:tcMar>
              <w:left w:w="28" w:type="dxa"/>
              <w:right w:w="28" w:type="dxa"/>
            </w:tcMar>
            <w:vAlign w:val="center"/>
            <w:hideMark/>
          </w:tcPr>
          <w:p w14:paraId="17F31F30" w14:textId="77777777" w:rsidR="001C56BD" w:rsidRPr="00305460" w:rsidRDefault="001C56BD" w:rsidP="008A5C11">
            <w:pPr>
              <w:jc w:val="center"/>
              <w:rPr>
                <w:color w:val="000000"/>
                <w:sz w:val="14"/>
                <w:szCs w:val="14"/>
              </w:rPr>
            </w:pPr>
            <w:r w:rsidRPr="00305460">
              <w:rPr>
                <w:color w:val="000000"/>
                <w:sz w:val="14"/>
                <w:szCs w:val="14"/>
              </w:rPr>
              <w:t>0,000</w:t>
            </w:r>
          </w:p>
        </w:tc>
        <w:tc>
          <w:tcPr>
            <w:tcW w:w="706" w:type="dxa"/>
            <w:shd w:val="clear" w:color="auto" w:fill="auto"/>
            <w:tcMar>
              <w:left w:w="28" w:type="dxa"/>
              <w:right w:w="28" w:type="dxa"/>
            </w:tcMar>
            <w:vAlign w:val="center"/>
            <w:hideMark/>
          </w:tcPr>
          <w:p w14:paraId="65002690" w14:textId="77777777" w:rsidR="001C56BD" w:rsidRPr="00305460" w:rsidRDefault="001C56BD" w:rsidP="008A5C11">
            <w:pPr>
              <w:jc w:val="center"/>
              <w:rPr>
                <w:color w:val="000000"/>
                <w:sz w:val="14"/>
                <w:szCs w:val="14"/>
              </w:rPr>
            </w:pPr>
            <w:r w:rsidRPr="00305460">
              <w:rPr>
                <w:color w:val="000000"/>
                <w:sz w:val="14"/>
                <w:szCs w:val="14"/>
              </w:rPr>
              <w:t>0,000</w:t>
            </w:r>
          </w:p>
        </w:tc>
        <w:tc>
          <w:tcPr>
            <w:tcW w:w="711" w:type="dxa"/>
            <w:shd w:val="clear" w:color="auto" w:fill="auto"/>
            <w:tcMar>
              <w:left w:w="28" w:type="dxa"/>
              <w:right w:w="28" w:type="dxa"/>
            </w:tcMar>
            <w:vAlign w:val="center"/>
            <w:hideMark/>
          </w:tcPr>
          <w:p w14:paraId="51D45002" w14:textId="77777777" w:rsidR="001C56BD" w:rsidRPr="00305460" w:rsidRDefault="001C56BD" w:rsidP="008A5C11">
            <w:pPr>
              <w:jc w:val="center"/>
              <w:rPr>
                <w:color w:val="000000"/>
                <w:sz w:val="14"/>
                <w:szCs w:val="14"/>
              </w:rPr>
            </w:pPr>
            <w:r w:rsidRPr="00305460">
              <w:rPr>
                <w:color w:val="000000"/>
                <w:sz w:val="14"/>
                <w:szCs w:val="14"/>
              </w:rPr>
              <w:t>0,000</w:t>
            </w:r>
          </w:p>
        </w:tc>
        <w:tc>
          <w:tcPr>
            <w:tcW w:w="709" w:type="dxa"/>
            <w:shd w:val="clear" w:color="auto" w:fill="auto"/>
            <w:tcMar>
              <w:left w:w="28" w:type="dxa"/>
              <w:right w:w="28" w:type="dxa"/>
            </w:tcMar>
            <w:vAlign w:val="center"/>
            <w:hideMark/>
          </w:tcPr>
          <w:p w14:paraId="590E3391" w14:textId="77777777" w:rsidR="001C56BD" w:rsidRPr="00305460" w:rsidRDefault="001C56BD" w:rsidP="008A5C11">
            <w:pPr>
              <w:jc w:val="center"/>
              <w:rPr>
                <w:color w:val="000000"/>
                <w:sz w:val="14"/>
                <w:szCs w:val="14"/>
              </w:rPr>
            </w:pPr>
            <w:r w:rsidRPr="00305460">
              <w:rPr>
                <w:color w:val="000000"/>
                <w:sz w:val="14"/>
                <w:szCs w:val="14"/>
              </w:rPr>
              <w:t>0,000</w:t>
            </w:r>
          </w:p>
        </w:tc>
      </w:tr>
      <w:tr w:rsidR="001C56BD" w:rsidRPr="00305460" w14:paraId="4EBFE97C" w14:textId="77777777" w:rsidTr="008A5C11">
        <w:trPr>
          <w:trHeight w:val="20"/>
        </w:trPr>
        <w:tc>
          <w:tcPr>
            <w:tcW w:w="284" w:type="dxa"/>
            <w:shd w:val="clear" w:color="auto" w:fill="auto"/>
            <w:tcMar>
              <w:left w:w="28" w:type="dxa"/>
              <w:right w:w="28" w:type="dxa"/>
            </w:tcMar>
            <w:vAlign w:val="center"/>
            <w:hideMark/>
          </w:tcPr>
          <w:p w14:paraId="1074E619" w14:textId="77777777" w:rsidR="001C56BD" w:rsidRPr="00305460" w:rsidRDefault="001C56BD" w:rsidP="008A5C11">
            <w:pPr>
              <w:jc w:val="center"/>
              <w:rPr>
                <w:color w:val="000000"/>
                <w:sz w:val="14"/>
                <w:szCs w:val="14"/>
              </w:rPr>
            </w:pPr>
            <w:r w:rsidRPr="00305460">
              <w:rPr>
                <w:color w:val="000000"/>
                <w:sz w:val="14"/>
                <w:szCs w:val="14"/>
              </w:rPr>
              <w:t>2.1.</w:t>
            </w:r>
          </w:p>
        </w:tc>
        <w:tc>
          <w:tcPr>
            <w:tcW w:w="1430" w:type="dxa"/>
            <w:shd w:val="clear" w:color="auto" w:fill="auto"/>
            <w:tcMar>
              <w:left w:w="28" w:type="dxa"/>
              <w:right w:w="28" w:type="dxa"/>
            </w:tcMar>
            <w:vAlign w:val="center"/>
            <w:hideMark/>
          </w:tcPr>
          <w:p w14:paraId="6FAC0C52" w14:textId="77777777" w:rsidR="001C56BD" w:rsidRPr="00305460" w:rsidRDefault="001C56BD" w:rsidP="008A5C11">
            <w:pPr>
              <w:jc w:val="center"/>
              <w:rPr>
                <w:color w:val="000000"/>
                <w:sz w:val="14"/>
                <w:szCs w:val="14"/>
              </w:rPr>
            </w:pPr>
            <w:r w:rsidRPr="00305460">
              <w:rPr>
                <w:color w:val="000000"/>
                <w:sz w:val="14"/>
                <w:szCs w:val="14"/>
              </w:rPr>
              <w:t>кредиты</w:t>
            </w:r>
          </w:p>
        </w:tc>
        <w:tc>
          <w:tcPr>
            <w:tcW w:w="697" w:type="dxa"/>
            <w:shd w:val="clear" w:color="auto" w:fill="auto"/>
            <w:tcMar>
              <w:left w:w="28" w:type="dxa"/>
              <w:right w:w="28" w:type="dxa"/>
            </w:tcMar>
            <w:vAlign w:val="center"/>
            <w:hideMark/>
          </w:tcPr>
          <w:p w14:paraId="36618B51" w14:textId="77777777" w:rsidR="001C56BD" w:rsidRPr="00305460" w:rsidRDefault="001C56BD" w:rsidP="008A5C11">
            <w:pPr>
              <w:jc w:val="center"/>
              <w:rPr>
                <w:color w:val="000000"/>
                <w:sz w:val="14"/>
                <w:szCs w:val="14"/>
              </w:rPr>
            </w:pPr>
            <w:r w:rsidRPr="00305460">
              <w:rPr>
                <w:color w:val="000000"/>
                <w:sz w:val="14"/>
                <w:szCs w:val="14"/>
              </w:rPr>
              <w:t>0,000</w:t>
            </w:r>
          </w:p>
        </w:tc>
        <w:tc>
          <w:tcPr>
            <w:tcW w:w="809" w:type="dxa"/>
            <w:shd w:val="clear" w:color="auto" w:fill="auto"/>
            <w:tcMar>
              <w:left w:w="28" w:type="dxa"/>
              <w:right w:w="28" w:type="dxa"/>
            </w:tcMar>
            <w:vAlign w:val="center"/>
            <w:hideMark/>
          </w:tcPr>
          <w:p w14:paraId="572A810F" w14:textId="77777777" w:rsidR="001C56BD" w:rsidRPr="00305460" w:rsidRDefault="001C56BD" w:rsidP="008A5C11">
            <w:pPr>
              <w:jc w:val="center"/>
              <w:rPr>
                <w:color w:val="000000"/>
                <w:sz w:val="14"/>
                <w:szCs w:val="14"/>
              </w:rPr>
            </w:pPr>
            <w:r w:rsidRPr="00305460">
              <w:rPr>
                <w:color w:val="000000"/>
                <w:sz w:val="14"/>
                <w:szCs w:val="14"/>
              </w:rPr>
              <w:t>0,000</w:t>
            </w:r>
          </w:p>
        </w:tc>
        <w:tc>
          <w:tcPr>
            <w:tcW w:w="851" w:type="dxa"/>
            <w:shd w:val="clear" w:color="auto" w:fill="auto"/>
            <w:tcMar>
              <w:left w:w="28" w:type="dxa"/>
              <w:right w:w="28" w:type="dxa"/>
            </w:tcMar>
            <w:vAlign w:val="center"/>
            <w:hideMark/>
          </w:tcPr>
          <w:p w14:paraId="14A6061A" w14:textId="77777777" w:rsidR="001C56BD" w:rsidRPr="00305460" w:rsidRDefault="001C56BD" w:rsidP="008A5C11">
            <w:pPr>
              <w:jc w:val="center"/>
              <w:rPr>
                <w:color w:val="000000"/>
                <w:sz w:val="14"/>
                <w:szCs w:val="14"/>
              </w:rPr>
            </w:pPr>
            <w:r w:rsidRPr="00305460">
              <w:rPr>
                <w:color w:val="000000"/>
                <w:sz w:val="14"/>
                <w:szCs w:val="14"/>
              </w:rPr>
              <w:t>0,000</w:t>
            </w:r>
          </w:p>
        </w:tc>
        <w:tc>
          <w:tcPr>
            <w:tcW w:w="706" w:type="dxa"/>
            <w:shd w:val="clear" w:color="000000" w:fill="FFFFFF"/>
            <w:tcMar>
              <w:left w:w="28" w:type="dxa"/>
              <w:right w:w="28" w:type="dxa"/>
            </w:tcMar>
            <w:vAlign w:val="center"/>
            <w:hideMark/>
          </w:tcPr>
          <w:p w14:paraId="4044CB44" w14:textId="77777777" w:rsidR="001C56BD" w:rsidRPr="00305460" w:rsidRDefault="001C56BD" w:rsidP="008A5C11">
            <w:pPr>
              <w:jc w:val="center"/>
              <w:rPr>
                <w:color w:val="000000"/>
                <w:sz w:val="14"/>
                <w:szCs w:val="14"/>
              </w:rPr>
            </w:pPr>
            <w:r w:rsidRPr="00305460">
              <w:rPr>
                <w:color w:val="000000"/>
                <w:sz w:val="14"/>
                <w:szCs w:val="14"/>
              </w:rPr>
              <w:t>0,000</w:t>
            </w:r>
          </w:p>
        </w:tc>
        <w:tc>
          <w:tcPr>
            <w:tcW w:w="851" w:type="dxa"/>
            <w:shd w:val="clear" w:color="auto" w:fill="auto"/>
            <w:tcMar>
              <w:left w:w="28" w:type="dxa"/>
              <w:right w:w="28" w:type="dxa"/>
            </w:tcMar>
            <w:vAlign w:val="center"/>
            <w:hideMark/>
          </w:tcPr>
          <w:p w14:paraId="2A36D5E8" w14:textId="77777777" w:rsidR="001C56BD" w:rsidRPr="00305460" w:rsidRDefault="001C56BD" w:rsidP="008A5C11">
            <w:pPr>
              <w:jc w:val="center"/>
              <w:rPr>
                <w:color w:val="000000"/>
                <w:sz w:val="14"/>
                <w:szCs w:val="14"/>
              </w:rPr>
            </w:pPr>
            <w:r w:rsidRPr="00305460">
              <w:rPr>
                <w:color w:val="000000"/>
                <w:sz w:val="14"/>
                <w:szCs w:val="14"/>
              </w:rPr>
              <w:t>0,000</w:t>
            </w:r>
          </w:p>
        </w:tc>
        <w:tc>
          <w:tcPr>
            <w:tcW w:w="850" w:type="dxa"/>
            <w:shd w:val="clear" w:color="auto" w:fill="auto"/>
            <w:tcMar>
              <w:left w:w="28" w:type="dxa"/>
              <w:right w:w="28" w:type="dxa"/>
            </w:tcMar>
            <w:vAlign w:val="center"/>
            <w:hideMark/>
          </w:tcPr>
          <w:p w14:paraId="14B8F5D5" w14:textId="77777777" w:rsidR="001C56BD" w:rsidRPr="00305460" w:rsidRDefault="001C56BD" w:rsidP="008A5C11">
            <w:pPr>
              <w:jc w:val="center"/>
              <w:rPr>
                <w:color w:val="000000"/>
                <w:sz w:val="14"/>
                <w:szCs w:val="14"/>
              </w:rPr>
            </w:pPr>
            <w:r w:rsidRPr="00305460">
              <w:rPr>
                <w:color w:val="000000"/>
                <w:sz w:val="14"/>
                <w:szCs w:val="14"/>
              </w:rPr>
              <w:t>0,000</w:t>
            </w:r>
          </w:p>
        </w:tc>
        <w:tc>
          <w:tcPr>
            <w:tcW w:w="851" w:type="dxa"/>
            <w:shd w:val="clear" w:color="auto" w:fill="auto"/>
            <w:tcMar>
              <w:left w:w="28" w:type="dxa"/>
              <w:right w:w="28" w:type="dxa"/>
            </w:tcMar>
            <w:vAlign w:val="center"/>
            <w:hideMark/>
          </w:tcPr>
          <w:p w14:paraId="16BBA9F9" w14:textId="77777777" w:rsidR="001C56BD" w:rsidRPr="00305460" w:rsidRDefault="001C56BD" w:rsidP="008A5C11">
            <w:pPr>
              <w:jc w:val="center"/>
              <w:rPr>
                <w:color w:val="000000"/>
                <w:sz w:val="14"/>
                <w:szCs w:val="14"/>
              </w:rPr>
            </w:pPr>
            <w:r w:rsidRPr="00305460">
              <w:rPr>
                <w:color w:val="000000"/>
                <w:sz w:val="14"/>
                <w:szCs w:val="14"/>
              </w:rPr>
              <w:t>0,000</w:t>
            </w:r>
          </w:p>
        </w:tc>
        <w:tc>
          <w:tcPr>
            <w:tcW w:w="709" w:type="dxa"/>
            <w:shd w:val="clear" w:color="auto" w:fill="auto"/>
            <w:tcMar>
              <w:left w:w="28" w:type="dxa"/>
              <w:right w:w="28" w:type="dxa"/>
            </w:tcMar>
            <w:vAlign w:val="center"/>
            <w:hideMark/>
          </w:tcPr>
          <w:p w14:paraId="387474C6" w14:textId="77777777" w:rsidR="001C56BD" w:rsidRPr="00305460" w:rsidRDefault="001C56BD" w:rsidP="008A5C11">
            <w:pPr>
              <w:jc w:val="center"/>
              <w:rPr>
                <w:color w:val="000000"/>
                <w:sz w:val="14"/>
                <w:szCs w:val="14"/>
              </w:rPr>
            </w:pPr>
            <w:r w:rsidRPr="00305460">
              <w:rPr>
                <w:color w:val="000000"/>
                <w:sz w:val="14"/>
                <w:szCs w:val="14"/>
              </w:rPr>
              <w:t>0,000</w:t>
            </w:r>
          </w:p>
        </w:tc>
        <w:tc>
          <w:tcPr>
            <w:tcW w:w="706" w:type="dxa"/>
            <w:shd w:val="clear" w:color="auto" w:fill="auto"/>
            <w:tcMar>
              <w:left w:w="28" w:type="dxa"/>
              <w:right w:w="28" w:type="dxa"/>
            </w:tcMar>
            <w:vAlign w:val="center"/>
            <w:hideMark/>
          </w:tcPr>
          <w:p w14:paraId="66B0960F" w14:textId="77777777" w:rsidR="001C56BD" w:rsidRPr="00305460" w:rsidRDefault="001C56BD" w:rsidP="008A5C11">
            <w:pPr>
              <w:jc w:val="center"/>
              <w:rPr>
                <w:color w:val="000000"/>
                <w:sz w:val="14"/>
                <w:szCs w:val="14"/>
              </w:rPr>
            </w:pPr>
            <w:r w:rsidRPr="00305460">
              <w:rPr>
                <w:color w:val="000000"/>
                <w:sz w:val="14"/>
                <w:szCs w:val="14"/>
              </w:rPr>
              <w:t>0,000</w:t>
            </w:r>
          </w:p>
        </w:tc>
        <w:tc>
          <w:tcPr>
            <w:tcW w:w="706" w:type="dxa"/>
            <w:shd w:val="clear" w:color="auto" w:fill="auto"/>
            <w:tcMar>
              <w:left w:w="28" w:type="dxa"/>
              <w:right w:w="28" w:type="dxa"/>
            </w:tcMar>
            <w:vAlign w:val="center"/>
            <w:hideMark/>
          </w:tcPr>
          <w:p w14:paraId="1F79BE41" w14:textId="77777777" w:rsidR="001C56BD" w:rsidRPr="00305460" w:rsidRDefault="001C56BD" w:rsidP="008A5C11">
            <w:pPr>
              <w:jc w:val="center"/>
              <w:rPr>
                <w:color w:val="000000"/>
                <w:sz w:val="14"/>
                <w:szCs w:val="14"/>
              </w:rPr>
            </w:pPr>
            <w:r w:rsidRPr="00305460">
              <w:rPr>
                <w:color w:val="000000"/>
                <w:sz w:val="14"/>
                <w:szCs w:val="14"/>
              </w:rPr>
              <w:t>0,000</w:t>
            </w:r>
          </w:p>
        </w:tc>
        <w:tc>
          <w:tcPr>
            <w:tcW w:w="711" w:type="dxa"/>
            <w:shd w:val="clear" w:color="auto" w:fill="auto"/>
            <w:tcMar>
              <w:left w:w="28" w:type="dxa"/>
              <w:right w:w="28" w:type="dxa"/>
            </w:tcMar>
            <w:vAlign w:val="center"/>
            <w:hideMark/>
          </w:tcPr>
          <w:p w14:paraId="1C84804F" w14:textId="77777777" w:rsidR="001C56BD" w:rsidRPr="00305460" w:rsidRDefault="001C56BD" w:rsidP="008A5C11">
            <w:pPr>
              <w:jc w:val="center"/>
              <w:rPr>
                <w:color w:val="000000"/>
                <w:sz w:val="14"/>
                <w:szCs w:val="14"/>
              </w:rPr>
            </w:pPr>
            <w:r w:rsidRPr="00305460">
              <w:rPr>
                <w:color w:val="000000"/>
                <w:sz w:val="14"/>
                <w:szCs w:val="14"/>
              </w:rPr>
              <w:t>0,000</w:t>
            </w:r>
          </w:p>
        </w:tc>
        <w:tc>
          <w:tcPr>
            <w:tcW w:w="709" w:type="dxa"/>
            <w:shd w:val="clear" w:color="auto" w:fill="auto"/>
            <w:tcMar>
              <w:left w:w="28" w:type="dxa"/>
              <w:right w:w="28" w:type="dxa"/>
            </w:tcMar>
            <w:vAlign w:val="center"/>
            <w:hideMark/>
          </w:tcPr>
          <w:p w14:paraId="223B0F1F" w14:textId="77777777" w:rsidR="001C56BD" w:rsidRPr="00305460" w:rsidRDefault="001C56BD" w:rsidP="008A5C11">
            <w:pPr>
              <w:jc w:val="center"/>
              <w:rPr>
                <w:color w:val="000000"/>
                <w:sz w:val="14"/>
                <w:szCs w:val="14"/>
              </w:rPr>
            </w:pPr>
            <w:r w:rsidRPr="00305460">
              <w:rPr>
                <w:color w:val="000000"/>
                <w:sz w:val="14"/>
                <w:szCs w:val="14"/>
              </w:rPr>
              <w:t>0,000</w:t>
            </w:r>
          </w:p>
        </w:tc>
      </w:tr>
      <w:tr w:rsidR="001C56BD" w:rsidRPr="00305460" w14:paraId="018BC46C" w14:textId="77777777" w:rsidTr="008A5C11">
        <w:trPr>
          <w:trHeight w:val="20"/>
        </w:trPr>
        <w:tc>
          <w:tcPr>
            <w:tcW w:w="284" w:type="dxa"/>
            <w:shd w:val="clear" w:color="auto" w:fill="auto"/>
            <w:tcMar>
              <w:left w:w="28" w:type="dxa"/>
              <w:right w:w="28" w:type="dxa"/>
            </w:tcMar>
            <w:vAlign w:val="center"/>
            <w:hideMark/>
          </w:tcPr>
          <w:p w14:paraId="336D0FFE" w14:textId="77777777" w:rsidR="001C56BD" w:rsidRPr="00305460" w:rsidRDefault="001C56BD" w:rsidP="008A5C11">
            <w:pPr>
              <w:jc w:val="center"/>
              <w:rPr>
                <w:color w:val="000000"/>
                <w:sz w:val="14"/>
                <w:szCs w:val="14"/>
              </w:rPr>
            </w:pPr>
            <w:r w:rsidRPr="00305460">
              <w:rPr>
                <w:color w:val="000000"/>
                <w:sz w:val="14"/>
                <w:szCs w:val="14"/>
              </w:rPr>
              <w:t>2.2.</w:t>
            </w:r>
          </w:p>
        </w:tc>
        <w:tc>
          <w:tcPr>
            <w:tcW w:w="1430" w:type="dxa"/>
            <w:shd w:val="clear" w:color="auto" w:fill="auto"/>
            <w:tcMar>
              <w:left w:w="28" w:type="dxa"/>
              <w:right w:w="28" w:type="dxa"/>
            </w:tcMar>
            <w:vAlign w:val="center"/>
            <w:hideMark/>
          </w:tcPr>
          <w:p w14:paraId="7A0B43DC" w14:textId="77777777" w:rsidR="001C56BD" w:rsidRPr="00305460" w:rsidRDefault="001C56BD" w:rsidP="008A5C11">
            <w:pPr>
              <w:jc w:val="center"/>
              <w:rPr>
                <w:color w:val="000000"/>
                <w:sz w:val="14"/>
                <w:szCs w:val="14"/>
              </w:rPr>
            </w:pPr>
            <w:r w:rsidRPr="00305460">
              <w:rPr>
                <w:color w:val="000000"/>
                <w:sz w:val="14"/>
                <w:szCs w:val="14"/>
              </w:rPr>
              <w:t>займы организаций</w:t>
            </w:r>
          </w:p>
        </w:tc>
        <w:tc>
          <w:tcPr>
            <w:tcW w:w="697" w:type="dxa"/>
            <w:shd w:val="clear" w:color="auto" w:fill="auto"/>
            <w:tcMar>
              <w:left w:w="28" w:type="dxa"/>
              <w:right w:w="28" w:type="dxa"/>
            </w:tcMar>
            <w:vAlign w:val="center"/>
            <w:hideMark/>
          </w:tcPr>
          <w:p w14:paraId="1D373ECB" w14:textId="77777777" w:rsidR="001C56BD" w:rsidRPr="00305460" w:rsidRDefault="001C56BD" w:rsidP="008A5C11">
            <w:pPr>
              <w:jc w:val="center"/>
              <w:rPr>
                <w:color w:val="000000"/>
                <w:sz w:val="14"/>
                <w:szCs w:val="14"/>
              </w:rPr>
            </w:pPr>
            <w:r w:rsidRPr="00305460">
              <w:rPr>
                <w:color w:val="000000"/>
                <w:sz w:val="14"/>
                <w:szCs w:val="14"/>
              </w:rPr>
              <w:t>0,000</w:t>
            </w:r>
          </w:p>
        </w:tc>
        <w:tc>
          <w:tcPr>
            <w:tcW w:w="809" w:type="dxa"/>
            <w:shd w:val="clear" w:color="auto" w:fill="auto"/>
            <w:tcMar>
              <w:left w:w="28" w:type="dxa"/>
              <w:right w:w="28" w:type="dxa"/>
            </w:tcMar>
            <w:vAlign w:val="center"/>
            <w:hideMark/>
          </w:tcPr>
          <w:p w14:paraId="6B70AC90" w14:textId="77777777" w:rsidR="001C56BD" w:rsidRPr="00305460" w:rsidRDefault="001C56BD" w:rsidP="008A5C11">
            <w:pPr>
              <w:jc w:val="center"/>
              <w:rPr>
                <w:color w:val="000000"/>
                <w:sz w:val="14"/>
                <w:szCs w:val="14"/>
              </w:rPr>
            </w:pPr>
            <w:r w:rsidRPr="00305460">
              <w:rPr>
                <w:color w:val="000000"/>
                <w:sz w:val="14"/>
                <w:szCs w:val="14"/>
              </w:rPr>
              <w:t>0,000</w:t>
            </w:r>
          </w:p>
        </w:tc>
        <w:tc>
          <w:tcPr>
            <w:tcW w:w="851" w:type="dxa"/>
            <w:shd w:val="clear" w:color="auto" w:fill="auto"/>
            <w:tcMar>
              <w:left w:w="28" w:type="dxa"/>
              <w:right w:w="28" w:type="dxa"/>
            </w:tcMar>
            <w:vAlign w:val="center"/>
            <w:hideMark/>
          </w:tcPr>
          <w:p w14:paraId="5C9900B4" w14:textId="77777777" w:rsidR="001C56BD" w:rsidRPr="00305460" w:rsidRDefault="001C56BD" w:rsidP="008A5C11">
            <w:pPr>
              <w:jc w:val="center"/>
              <w:rPr>
                <w:color w:val="000000"/>
                <w:sz w:val="14"/>
                <w:szCs w:val="14"/>
              </w:rPr>
            </w:pPr>
            <w:r w:rsidRPr="00305460">
              <w:rPr>
                <w:color w:val="000000"/>
                <w:sz w:val="14"/>
                <w:szCs w:val="14"/>
              </w:rPr>
              <w:t>0,000</w:t>
            </w:r>
          </w:p>
        </w:tc>
        <w:tc>
          <w:tcPr>
            <w:tcW w:w="706" w:type="dxa"/>
            <w:shd w:val="clear" w:color="000000" w:fill="FFFFFF"/>
            <w:tcMar>
              <w:left w:w="28" w:type="dxa"/>
              <w:right w:w="28" w:type="dxa"/>
            </w:tcMar>
            <w:vAlign w:val="center"/>
            <w:hideMark/>
          </w:tcPr>
          <w:p w14:paraId="74BCE4E9" w14:textId="77777777" w:rsidR="001C56BD" w:rsidRPr="00305460" w:rsidRDefault="001C56BD" w:rsidP="008A5C11">
            <w:pPr>
              <w:jc w:val="center"/>
              <w:rPr>
                <w:color w:val="000000"/>
                <w:sz w:val="14"/>
                <w:szCs w:val="14"/>
              </w:rPr>
            </w:pPr>
            <w:r w:rsidRPr="00305460">
              <w:rPr>
                <w:color w:val="000000"/>
                <w:sz w:val="14"/>
                <w:szCs w:val="14"/>
              </w:rPr>
              <w:t>0,000</w:t>
            </w:r>
          </w:p>
        </w:tc>
        <w:tc>
          <w:tcPr>
            <w:tcW w:w="851" w:type="dxa"/>
            <w:shd w:val="clear" w:color="auto" w:fill="auto"/>
            <w:tcMar>
              <w:left w:w="28" w:type="dxa"/>
              <w:right w:w="28" w:type="dxa"/>
            </w:tcMar>
            <w:vAlign w:val="center"/>
            <w:hideMark/>
          </w:tcPr>
          <w:p w14:paraId="0DA6B197" w14:textId="77777777" w:rsidR="001C56BD" w:rsidRPr="00305460" w:rsidRDefault="001C56BD" w:rsidP="008A5C11">
            <w:pPr>
              <w:jc w:val="center"/>
              <w:rPr>
                <w:color w:val="000000"/>
                <w:sz w:val="14"/>
                <w:szCs w:val="14"/>
              </w:rPr>
            </w:pPr>
            <w:r w:rsidRPr="00305460">
              <w:rPr>
                <w:color w:val="000000"/>
                <w:sz w:val="14"/>
                <w:szCs w:val="14"/>
              </w:rPr>
              <w:t>0,000</w:t>
            </w:r>
          </w:p>
        </w:tc>
        <w:tc>
          <w:tcPr>
            <w:tcW w:w="850" w:type="dxa"/>
            <w:shd w:val="clear" w:color="auto" w:fill="auto"/>
            <w:tcMar>
              <w:left w:w="28" w:type="dxa"/>
              <w:right w:w="28" w:type="dxa"/>
            </w:tcMar>
            <w:vAlign w:val="center"/>
            <w:hideMark/>
          </w:tcPr>
          <w:p w14:paraId="4EF7938B" w14:textId="77777777" w:rsidR="001C56BD" w:rsidRPr="00305460" w:rsidRDefault="001C56BD" w:rsidP="008A5C11">
            <w:pPr>
              <w:jc w:val="center"/>
              <w:rPr>
                <w:color w:val="000000"/>
                <w:sz w:val="14"/>
                <w:szCs w:val="14"/>
              </w:rPr>
            </w:pPr>
            <w:r w:rsidRPr="00305460">
              <w:rPr>
                <w:color w:val="000000"/>
                <w:sz w:val="14"/>
                <w:szCs w:val="14"/>
              </w:rPr>
              <w:t>0,000</w:t>
            </w:r>
          </w:p>
        </w:tc>
        <w:tc>
          <w:tcPr>
            <w:tcW w:w="851" w:type="dxa"/>
            <w:shd w:val="clear" w:color="auto" w:fill="auto"/>
            <w:tcMar>
              <w:left w:w="28" w:type="dxa"/>
              <w:right w:w="28" w:type="dxa"/>
            </w:tcMar>
            <w:vAlign w:val="center"/>
            <w:hideMark/>
          </w:tcPr>
          <w:p w14:paraId="0AE4235A" w14:textId="77777777" w:rsidR="001C56BD" w:rsidRPr="00305460" w:rsidRDefault="001C56BD" w:rsidP="008A5C11">
            <w:pPr>
              <w:jc w:val="center"/>
              <w:rPr>
                <w:color w:val="000000"/>
                <w:sz w:val="14"/>
                <w:szCs w:val="14"/>
              </w:rPr>
            </w:pPr>
            <w:r w:rsidRPr="00305460">
              <w:rPr>
                <w:color w:val="000000"/>
                <w:sz w:val="14"/>
                <w:szCs w:val="14"/>
              </w:rPr>
              <w:t>0,000</w:t>
            </w:r>
          </w:p>
        </w:tc>
        <w:tc>
          <w:tcPr>
            <w:tcW w:w="709" w:type="dxa"/>
            <w:shd w:val="clear" w:color="auto" w:fill="auto"/>
            <w:tcMar>
              <w:left w:w="28" w:type="dxa"/>
              <w:right w:w="28" w:type="dxa"/>
            </w:tcMar>
            <w:vAlign w:val="center"/>
            <w:hideMark/>
          </w:tcPr>
          <w:p w14:paraId="6D2CDDBA" w14:textId="77777777" w:rsidR="001C56BD" w:rsidRPr="00305460" w:rsidRDefault="001C56BD" w:rsidP="008A5C11">
            <w:pPr>
              <w:jc w:val="center"/>
              <w:rPr>
                <w:color w:val="000000"/>
                <w:sz w:val="14"/>
                <w:szCs w:val="14"/>
              </w:rPr>
            </w:pPr>
            <w:r w:rsidRPr="00305460">
              <w:rPr>
                <w:color w:val="000000"/>
                <w:sz w:val="14"/>
                <w:szCs w:val="14"/>
              </w:rPr>
              <w:t>0,000</w:t>
            </w:r>
          </w:p>
        </w:tc>
        <w:tc>
          <w:tcPr>
            <w:tcW w:w="706" w:type="dxa"/>
            <w:shd w:val="clear" w:color="auto" w:fill="auto"/>
            <w:tcMar>
              <w:left w:w="28" w:type="dxa"/>
              <w:right w:w="28" w:type="dxa"/>
            </w:tcMar>
            <w:vAlign w:val="center"/>
            <w:hideMark/>
          </w:tcPr>
          <w:p w14:paraId="6D4324F3" w14:textId="77777777" w:rsidR="001C56BD" w:rsidRPr="00305460" w:rsidRDefault="001C56BD" w:rsidP="008A5C11">
            <w:pPr>
              <w:jc w:val="center"/>
              <w:rPr>
                <w:color w:val="000000"/>
                <w:sz w:val="14"/>
                <w:szCs w:val="14"/>
              </w:rPr>
            </w:pPr>
            <w:r w:rsidRPr="00305460">
              <w:rPr>
                <w:color w:val="000000"/>
                <w:sz w:val="14"/>
                <w:szCs w:val="14"/>
              </w:rPr>
              <w:t>0,000</w:t>
            </w:r>
          </w:p>
        </w:tc>
        <w:tc>
          <w:tcPr>
            <w:tcW w:w="706" w:type="dxa"/>
            <w:shd w:val="clear" w:color="auto" w:fill="auto"/>
            <w:tcMar>
              <w:left w:w="28" w:type="dxa"/>
              <w:right w:w="28" w:type="dxa"/>
            </w:tcMar>
            <w:vAlign w:val="center"/>
            <w:hideMark/>
          </w:tcPr>
          <w:p w14:paraId="43ED6C32" w14:textId="77777777" w:rsidR="001C56BD" w:rsidRPr="00305460" w:rsidRDefault="001C56BD" w:rsidP="008A5C11">
            <w:pPr>
              <w:jc w:val="center"/>
              <w:rPr>
                <w:color w:val="000000"/>
                <w:sz w:val="14"/>
                <w:szCs w:val="14"/>
              </w:rPr>
            </w:pPr>
            <w:r w:rsidRPr="00305460">
              <w:rPr>
                <w:color w:val="000000"/>
                <w:sz w:val="14"/>
                <w:szCs w:val="14"/>
              </w:rPr>
              <w:t>0,000</w:t>
            </w:r>
          </w:p>
        </w:tc>
        <w:tc>
          <w:tcPr>
            <w:tcW w:w="711" w:type="dxa"/>
            <w:shd w:val="clear" w:color="auto" w:fill="auto"/>
            <w:tcMar>
              <w:left w:w="28" w:type="dxa"/>
              <w:right w:w="28" w:type="dxa"/>
            </w:tcMar>
            <w:vAlign w:val="center"/>
            <w:hideMark/>
          </w:tcPr>
          <w:p w14:paraId="065CA5FD" w14:textId="77777777" w:rsidR="001C56BD" w:rsidRPr="00305460" w:rsidRDefault="001C56BD" w:rsidP="008A5C11">
            <w:pPr>
              <w:jc w:val="center"/>
              <w:rPr>
                <w:color w:val="000000"/>
                <w:sz w:val="14"/>
                <w:szCs w:val="14"/>
              </w:rPr>
            </w:pPr>
            <w:r w:rsidRPr="00305460">
              <w:rPr>
                <w:color w:val="000000"/>
                <w:sz w:val="14"/>
                <w:szCs w:val="14"/>
              </w:rPr>
              <w:t>0,000</w:t>
            </w:r>
          </w:p>
        </w:tc>
        <w:tc>
          <w:tcPr>
            <w:tcW w:w="709" w:type="dxa"/>
            <w:shd w:val="clear" w:color="auto" w:fill="auto"/>
            <w:tcMar>
              <w:left w:w="28" w:type="dxa"/>
              <w:right w:w="28" w:type="dxa"/>
            </w:tcMar>
            <w:vAlign w:val="center"/>
            <w:hideMark/>
          </w:tcPr>
          <w:p w14:paraId="2B589D00" w14:textId="77777777" w:rsidR="001C56BD" w:rsidRPr="00305460" w:rsidRDefault="001C56BD" w:rsidP="008A5C11">
            <w:pPr>
              <w:jc w:val="center"/>
              <w:rPr>
                <w:color w:val="000000"/>
                <w:sz w:val="14"/>
                <w:szCs w:val="14"/>
              </w:rPr>
            </w:pPr>
            <w:r w:rsidRPr="00305460">
              <w:rPr>
                <w:color w:val="000000"/>
                <w:sz w:val="14"/>
                <w:szCs w:val="14"/>
              </w:rPr>
              <w:t>0,000</w:t>
            </w:r>
          </w:p>
        </w:tc>
      </w:tr>
      <w:tr w:rsidR="001C56BD" w:rsidRPr="00305460" w14:paraId="10C17E83" w14:textId="77777777" w:rsidTr="008A5C11">
        <w:trPr>
          <w:trHeight w:val="20"/>
        </w:trPr>
        <w:tc>
          <w:tcPr>
            <w:tcW w:w="284" w:type="dxa"/>
            <w:shd w:val="clear" w:color="auto" w:fill="auto"/>
            <w:tcMar>
              <w:left w:w="28" w:type="dxa"/>
              <w:right w:w="28" w:type="dxa"/>
            </w:tcMar>
            <w:vAlign w:val="center"/>
            <w:hideMark/>
          </w:tcPr>
          <w:p w14:paraId="69FB1848" w14:textId="77777777" w:rsidR="001C56BD" w:rsidRPr="00305460" w:rsidRDefault="001C56BD" w:rsidP="008A5C11">
            <w:pPr>
              <w:jc w:val="center"/>
              <w:rPr>
                <w:color w:val="000000"/>
                <w:sz w:val="14"/>
                <w:szCs w:val="14"/>
              </w:rPr>
            </w:pPr>
            <w:r w:rsidRPr="00305460">
              <w:rPr>
                <w:color w:val="000000"/>
                <w:sz w:val="14"/>
                <w:szCs w:val="14"/>
              </w:rPr>
              <w:t>2.3.</w:t>
            </w:r>
          </w:p>
        </w:tc>
        <w:tc>
          <w:tcPr>
            <w:tcW w:w="1430" w:type="dxa"/>
            <w:shd w:val="clear" w:color="auto" w:fill="auto"/>
            <w:tcMar>
              <w:left w:w="28" w:type="dxa"/>
              <w:right w:w="28" w:type="dxa"/>
            </w:tcMar>
            <w:vAlign w:val="center"/>
            <w:hideMark/>
          </w:tcPr>
          <w:p w14:paraId="60DF7313" w14:textId="77777777" w:rsidR="001C56BD" w:rsidRPr="00305460" w:rsidRDefault="001C56BD" w:rsidP="008A5C11">
            <w:pPr>
              <w:jc w:val="center"/>
              <w:rPr>
                <w:color w:val="000000"/>
                <w:sz w:val="14"/>
                <w:szCs w:val="14"/>
              </w:rPr>
            </w:pPr>
            <w:r w:rsidRPr="00305460">
              <w:rPr>
                <w:color w:val="000000"/>
                <w:sz w:val="14"/>
                <w:szCs w:val="14"/>
              </w:rPr>
              <w:t>прочие привлеченные средства</w:t>
            </w:r>
          </w:p>
        </w:tc>
        <w:tc>
          <w:tcPr>
            <w:tcW w:w="697" w:type="dxa"/>
            <w:shd w:val="clear" w:color="auto" w:fill="auto"/>
            <w:tcMar>
              <w:left w:w="28" w:type="dxa"/>
              <w:right w:w="28" w:type="dxa"/>
            </w:tcMar>
            <w:vAlign w:val="center"/>
            <w:hideMark/>
          </w:tcPr>
          <w:p w14:paraId="774E7AF0" w14:textId="77777777" w:rsidR="001C56BD" w:rsidRPr="00305460" w:rsidRDefault="001C56BD" w:rsidP="008A5C11">
            <w:pPr>
              <w:jc w:val="center"/>
              <w:rPr>
                <w:color w:val="000000"/>
                <w:sz w:val="14"/>
                <w:szCs w:val="14"/>
              </w:rPr>
            </w:pPr>
            <w:r w:rsidRPr="00305460">
              <w:rPr>
                <w:color w:val="000000"/>
                <w:sz w:val="14"/>
                <w:szCs w:val="14"/>
              </w:rPr>
              <w:t>0,000</w:t>
            </w:r>
          </w:p>
        </w:tc>
        <w:tc>
          <w:tcPr>
            <w:tcW w:w="809" w:type="dxa"/>
            <w:shd w:val="clear" w:color="auto" w:fill="auto"/>
            <w:tcMar>
              <w:left w:w="28" w:type="dxa"/>
              <w:right w:w="28" w:type="dxa"/>
            </w:tcMar>
            <w:vAlign w:val="center"/>
            <w:hideMark/>
          </w:tcPr>
          <w:p w14:paraId="18CF3DA1" w14:textId="77777777" w:rsidR="001C56BD" w:rsidRPr="00305460" w:rsidRDefault="001C56BD" w:rsidP="008A5C11">
            <w:pPr>
              <w:jc w:val="center"/>
              <w:rPr>
                <w:color w:val="000000"/>
                <w:sz w:val="14"/>
                <w:szCs w:val="14"/>
              </w:rPr>
            </w:pPr>
            <w:r w:rsidRPr="00305460">
              <w:rPr>
                <w:color w:val="000000"/>
                <w:sz w:val="14"/>
                <w:szCs w:val="14"/>
              </w:rPr>
              <w:t>0,000</w:t>
            </w:r>
          </w:p>
        </w:tc>
        <w:tc>
          <w:tcPr>
            <w:tcW w:w="851" w:type="dxa"/>
            <w:shd w:val="clear" w:color="auto" w:fill="auto"/>
            <w:tcMar>
              <w:left w:w="28" w:type="dxa"/>
              <w:right w:w="28" w:type="dxa"/>
            </w:tcMar>
            <w:vAlign w:val="center"/>
            <w:hideMark/>
          </w:tcPr>
          <w:p w14:paraId="617C0774" w14:textId="77777777" w:rsidR="001C56BD" w:rsidRPr="00305460" w:rsidRDefault="001C56BD" w:rsidP="008A5C11">
            <w:pPr>
              <w:jc w:val="center"/>
              <w:rPr>
                <w:color w:val="000000"/>
                <w:sz w:val="14"/>
                <w:szCs w:val="14"/>
              </w:rPr>
            </w:pPr>
            <w:r w:rsidRPr="00305460">
              <w:rPr>
                <w:color w:val="000000"/>
                <w:sz w:val="14"/>
                <w:szCs w:val="14"/>
              </w:rPr>
              <w:t>0,000</w:t>
            </w:r>
          </w:p>
        </w:tc>
        <w:tc>
          <w:tcPr>
            <w:tcW w:w="706" w:type="dxa"/>
            <w:shd w:val="clear" w:color="000000" w:fill="FFFFFF"/>
            <w:tcMar>
              <w:left w:w="28" w:type="dxa"/>
              <w:right w:w="28" w:type="dxa"/>
            </w:tcMar>
            <w:vAlign w:val="center"/>
            <w:hideMark/>
          </w:tcPr>
          <w:p w14:paraId="6E36CF4B" w14:textId="77777777" w:rsidR="001C56BD" w:rsidRPr="00305460" w:rsidRDefault="001C56BD" w:rsidP="008A5C11">
            <w:pPr>
              <w:jc w:val="center"/>
              <w:rPr>
                <w:color w:val="000000"/>
                <w:sz w:val="14"/>
                <w:szCs w:val="14"/>
              </w:rPr>
            </w:pPr>
            <w:r w:rsidRPr="00305460">
              <w:rPr>
                <w:color w:val="000000"/>
                <w:sz w:val="14"/>
                <w:szCs w:val="14"/>
              </w:rPr>
              <w:t>0,000</w:t>
            </w:r>
          </w:p>
        </w:tc>
        <w:tc>
          <w:tcPr>
            <w:tcW w:w="851" w:type="dxa"/>
            <w:shd w:val="clear" w:color="auto" w:fill="auto"/>
            <w:tcMar>
              <w:left w:w="28" w:type="dxa"/>
              <w:right w:w="28" w:type="dxa"/>
            </w:tcMar>
            <w:vAlign w:val="center"/>
            <w:hideMark/>
          </w:tcPr>
          <w:p w14:paraId="47BB6E80" w14:textId="77777777" w:rsidR="001C56BD" w:rsidRPr="00305460" w:rsidRDefault="001C56BD" w:rsidP="008A5C11">
            <w:pPr>
              <w:jc w:val="center"/>
              <w:rPr>
                <w:color w:val="000000"/>
                <w:sz w:val="14"/>
                <w:szCs w:val="14"/>
              </w:rPr>
            </w:pPr>
            <w:r w:rsidRPr="00305460">
              <w:rPr>
                <w:color w:val="000000"/>
                <w:sz w:val="14"/>
                <w:szCs w:val="14"/>
              </w:rPr>
              <w:t>0,000</w:t>
            </w:r>
          </w:p>
        </w:tc>
        <w:tc>
          <w:tcPr>
            <w:tcW w:w="850" w:type="dxa"/>
            <w:shd w:val="clear" w:color="auto" w:fill="auto"/>
            <w:tcMar>
              <w:left w:w="28" w:type="dxa"/>
              <w:right w:w="28" w:type="dxa"/>
            </w:tcMar>
            <w:vAlign w:val="center"/>
            <w:hideMark/>
          </w:tcPr>
          <w:p w14:paraId="7C8B00E2" w14:textId="77777777" w:rsidR="001C56BD" w:rsidRPr="00305460" w:rsidRDefault="001C56BD" w:rsidP="008A5C11">
            <w:pPr>
              <w:jc w:val="center"/>
              <w:rPr>
                <w:color w:val="000000"/>
                <w:sz w:val="14"/>
                <w:szCs w:val="14"/>
              </w:rPr>
            </w:pPr>
            <w:r w:rsidRPr="00305460">
              <w:rPr>
                <w:color w:val="000000"/>
                <w:sz w:val="14"/>
                <w:szCs w:val="14"/>
              </w:rPr>
              <w:t>0,000</w:t>
            </w:r>
          </w:p>
        </w:tc>
        <w:tc>
          <w:tcPr>
            <w:tcW w:w="851" w:type="dxa"/>
            <w:shd w:val="clear" w:color="auto" w:fill="auto"/>
            <w:tcMar>
              <w:left w:w="28" w:type="dxa"/>
              <w:right w:w="28" w:type="dxa"/>
            </w:tcMar>
            <w:vAlign w:val="center"/>
            <w:hideMark/>
          </w:tcPr>
          <w:p w14:paraId="7BADDCE0" w14:textId="77777777" w:rsidR="001C56BD" w:rsidRPr="00305460" w:rsidRDefault="001C56BD" w:rsidP="008A5C11">
            <w:pPr>
              <w:jc w:val="center"/>
              <w:rPr>
                <w:color w:val="000000"/>
                <w:sz w:val="14"/>
                <w:szCs w:val="14"/>
              </w:rPr>
            </w:pPr>
            <w:r w:rsidRPr="00305460">
              <w:rPr>
                <w:color w:val="000000"/>
                <w:sz w:val="14"/>
                <w:szCs w:val="14"/>
              </w:rPr>
              <w:t>0,000</w:t>
            </w:r>
          </w:p>
        </w:tc>
        <w:tc>
          <w:tcPr>
            <w:tcW w:w="709" w:type="dxa"/>
            <w:shd w:val="clear" w:color="auto" w:fill="auto"/>
            <w:tcMar>
              <w:left w:w="28" w:type="dxa"/>
              <w:right w:w="28" w:type="dxa"/>
            </w:tcMar>
            <w:vAlign w:val="center"/>
            <w:hideMark/>
          </w:tcPr>
          <w:p w14:paraId="57FF8A77" w14:textId="77777777" w:rsidR="001C56BD" w:rsidRPr="00305460" w:rsidRDefault="001C56BD" w:rsidP="008A5C11">
            <w:pPr>
              <w:jc w:val="center"/>
              <w:rPr>
                <w:color w:val="000000"/>
                <w:sz w:val="14"/>
                <w:szCs w:val="14"/>
              </w:rPr>
            </w:pPr>
            <w:r w:rsidRPr="00305460">
              <w:rPr>
                <w:color w:val="000000"/>
                <w:sz w:val="14"/>
                <w:szCs w:val="14"/>
              </w:rPr>
              <w:t>0,000</w:t>
            </w:r>
          </w:p>
        </w:tc>
        <w:tc>
          <w:tcPr>
            <w:tcW w:w="706" w:type="dxa"/>
            <w:shd w:val="clear" w:color="auto" w:fill="auto"/>
            <w:tcMar>
              <w:left w:w="28" w:type="dxa"/>
              <w:right w:w="28" w:type="dxa"/>
            </w:tcMar>
            <w:vAlign w:val="center"/>
            <w:hideMark/>
          </w:tcPr>
          <w:p w14:paraId="016FD246" w14:textId="77777777" w:rsidR="001C56BD" w:rsidRPr="00305460" w:rsidRDefault="001C56BD" w:rsidP="008A5C11">
            <w:pPr>
              <w:jc w:val="center"/>
              <w:rPr>
                <w:color w:val="000000"/>
                <w:sz w:val="14"/>
                <w:szCs w:val="14"/>
              </w:rPr>
            </w:pPr>
            <w:r w:rsidRPr="00305460">
              <w:rPr>
                <w:color w:val="000000"/>
                <w:sz w:val="14"/>
                <w:szCs w:val="14"/>
              </w:rPr>
              <w:t>0,000</w:t>
            </w:r>
          </w:p>
        </w:tc>
        <w:tc>
          <w:tcPr>
            <w:tcW w:w="706" w:type="dxa"/>
            <w:shd w:val="clear" w:color="auto" w:fill="auto"/>
            <w:tcMar>
              <w:left w:w="28" w:type="dxa"/>
              <w:right w:w="28" w:type="dxa"/>
            </w:tcMar>
            <w:vAlign w:val="center"/>
            <w:hideMark/>
          </w:tcPr>
          <w:p w14:paraId="39E26F24" w14:textId="77777777" w:rsidR="001C56BD" w:rsidRPr="00305460" w:rsidRDefault="001C56BD" w:rsidP="008A5C11">
            <w:pPr>
              <w:jc w:val="center"/>
              <w:rPr>
                <w:color w:val="000000"/>
                <w:sz w:val="14"/>
                <w:szCs w:val="14"/>
              </w:rPr>
            </w:pPr>
            <w:r w:rsidRPr="00305460">
              <w:rPr>
                <w:color w:val="000000"/>
                <w:sz w:val="14"/>
                <w:szCs w:val="14"/>
              </w:rPr>
              <w:t>0,000</w:t>
            </w:r>
          </w:p>
        </w:tc>
        <w:tc>
          <w:tcPr>
            <w:tcW w:w="711" w:type="dxa"/>
            <w:shd w:val="clear" w:color="auto" w:fill="auto"/>
            <w:tcMar>
              <w:left w:w="28" w:type="dxa"/>
              <w:right w:w="28" w:type="dxa"/>
            </w:tcMar>
            <w:vAlign w:val="center"/>
            <w:hideMark/>
          </w:tcPr>
          <w:p w14:paraId="3ECE9C42" w14:textId="77777777" w:rsidR="001C56BD" w:rsidRPr="00305460" w:rsidRDefault="001C56BD" w:rsidP="008A5C11">
            <w:pPr>
              <w:jc w:val="center"/>
              <w:rPr>
                <w:color w:val="000000"/>
                <w:sz w:val="14"/>
                <w:szCs w:val="14"/>
              </w:rPr>
            </w:pPr>
            <w:r w:rsidRPr="00305460">
              <w:rPr>
                <w:color w:val="000000"/>
                <w:sz w:val="14"/>
                <w:szCs w:val="14"/>
              </w:rPr>
              <w:t>0,000</w:t>
            </w:r>
          </w:p>
        </w:tc>
        <w:tc>
          <w:tcPr>
            <w:tcW w:w="709" w:type="dxa"/>
            <w:shd w:val="clear" w:color="auto" w:fill="auto"/>
            <w:tcMar>
              <w:left w:w="28" w:type="dxa"/>
              <w:right w:w="28" w:type="dxa"/>
            </w:tcMar>
            <w:vAlign w:val="center"/>
            <w:hideMark/>
          </w:tcPr>
          <w:p w14:paraId="174D6FAA" w14:textId="77777777" w:rsidR="001C56BD" w:rsidRPr="00305460" w:rsidRDefault="001C56BD" w:rsidP="008A5C11">
            <w:pPr>
              <w:jc w:val="center"/>
              <w:rPr>
                <w:color w:val="000000"/>
                <w:sz w:val="14"/>
                <w:szCs w:val="14"/>
              </w:rPr>
            </w:pPr>
            <w:r w:rsidRPr="00305460">
              <w:rPr>
                <w:color w:val="000000"/>
                <w:sz w:val="14"/>
                <w:szCs w:val="14"/>
              </w:rPr>
              <w:t>0,000</w:t>
            </w:r>
          </w:p>
        </w:tc>
      </w:tr>
      <w:tr w:rsidR="001C56BD" w:rsidRPr="00305460" w14:paraId="5AC70417" w14:textId="77777777" w:rsidTr="008A5C11">
        <w:trPr>
          <w:trHeight w:val="20"/>
        </w:trPr>
        <w:tc>
          <w:tcPr>
            <w:tcW w:w="284" w:type="dxa"/>
            <w:shd w:val="clear" w:color="auto" w:fill="auto"/>
            <w:tcMar>
              <w:left w:w="28" w:type="dxa"/>
              <w:right w:w="28" w:type="dxa"/>
            </w:tcMar>
            <w:vAlign w:val="center"/>
            <w:hideMark/>
          </w:tcPr>
          <w:p w14:paraId="6A1F3271" w14:textId="77777777" w:rsidR="001C56BD" w:rsidRPr="00305460" w:rsidRDefault="001C56BD" w:rsidP="008A5C11">
            <w:pPr>
              <w:jc w:val="center"/>
              <w:rPr>
                <w:color w:val="000000"/>
                <w:sz w:val="14"/>
                <w:szCs w:val="14"/>
              </w:rPr>
            </w:pPr>
            <w:r w:rsidRPr="00305460">
              <w:rPr>
                <w:color w:val="000000"/>
                <w:sz w:val="14"/>
                <w:szCs w:val="14"/>
              </w:rPr>
              <w:t xml:space="preserve">   3.</w:t>
            </w:r>
          </w:p>
        </w:tc>
        <w:tc>
          <w:tcPr>
            <w:tcW w:w="1430" w:type="dxa"/>
            <w:shd w:val="clear" w:color="auto" w:fill="auto"/>
            <w:tcMar>
              <w:left w:w="28" w:type="dxa"/>
              <w:right w:w="28" w:type="dxa"/>
            </w:tcMar>
            <w:vAlign w:val="center"/>
            <w:hideMark/>
          </w:tcPr>
          <w:p w14:paraId="49DF047F" w14:textId="77777777" w:rsidR="001C56BD" w:rsidRPr="00305460" w:rsidRDefault="001C56BD" w:rsidP="008A5C11">
            <w:pPr>
              <w:jc w:val="center"/>
              <w:rPr>
                <w:color w:val="000000"/>
                <w:sz w:val="14"/>
                <w:szCs w:val="14"/>
              </w:rPr>
            </w:pPr>
            <w:r w:rsidRPr="00305460">
              <w:rPr>
                <w:color w:val="000000"/>
                <w:sz w:val="14"/>
                <w:szCs w:val="14"/>
              </w:rPr>
              <w:t>Бюджетное финансирование</w:t>
            </w:r>
          </w:p>
        </w:tc>
        <w:tc>
          <w:tcPr>
            <w:tcW w:w="697" w:type="dxa"/>
            <w:shd w:val="clear" w:color="auto" w:fill="auto"/>
            <w:tcMar>
              <w:left w:w="28" w:type="dxa"/>
              <w:right w:w="28" w:type="dxa"/>
            </w:tcMar>
            <w:vAlign w:val="center"/>
            <w:hideMark/>
          </w:tcPr>
          <w:p w14:paraId="0BBC681D" w14:textId="77777777" w:rsidR="001C56BD" w:rsidRPr="00305460" w:rsidRDefault="001C56BD" w:rsidP="008A5C11">
            <w:pPr>
              <w:jc w:val="center"/>
              <w:rPr>
                <w:color w:val="000000"/>
                <w:sz w:val="14"/>
                <w:szCs w:val="14"/>
              </w:rPr>
            </w:pPr>
            <w:r w:rsidRPr="00305460">
              <w:rPr>
                <w:color w:val="000000"/>
                <w:sz w:val="14"/>
                <w:szCs w:val="14"/>
              </w:rPr>
              <w:t>0,000</w:t>
            </w:r>
          </w:p>
        </w:tc>
        <w:tc>
          <w:tcPr>
            <w:tcW w:w="809" w:type="dxa"/>
            <w:shd w:val="clear" w:color="auto" w:fill="auto"/>
            <w:tcMar>
              <w:left w:w="28" w:type="dxa"/>
              <w:right w:w="28" w:type="dxa"/>
            </w:tcMar>
            <w:vAlign w:val="center"/>
            <w:hideMark/>
          </w:tcPr>
          <w:p w14:paraId="55F2CA32" w14:textId="77777777" w:rsidR="001C56BD" w:rsidRPr="00305460" w:rsidRDefault="001C56BD" w:rsidP="008A5C11">
            <w:pPr>
              <w:jc w:val="center"/>
              <w:rPr>
                <w:color w:val="000000"/>
                <w:sz w:val="14"/>
                <w:szCs w:val="14"/>
              </w:rPr>
            </w:pPr>
            <w:r w:rsidRPr="00305460">
              <w:rPr>
                <w:color w:val="000000"/>
                <w:sz w:val="14"/>
                <w:szCs w:val="14"/>
              </w:rPr>
              <w:t>0,000</w:t>
            </w:r>
          </w:p>
        </w:tc>
        <w:tc>
          <w:tcPr>
            <w:tcW w:w="851" w:type="dxa"/>
            <w:shd w:val="clear" w:color="auto" w:fill="auto"/>
            <w:tcMar>
              <w:left w:w="28" w:type="dxa"/>
              <w:right w:w="28" w:type="dxa"/>
            </w:tcMar>
            <w:vAlign w:val="center"/>
            <w:hideMark/>
          </w:tcPr>
          <w:p w14:paraId="5E43B9B4" w14:textId="77777777" w:rsidR="001C56BD" w:rsidRPr="00305460" w:rsidRDefault="001C56BD" w:rsidP="008A5C11">
            <w:pPr>
              <w:jc w:val="center"/>
              <w:rPr>
                <w:color w:val="000000"/>
                <w:sz w:val="14"/>
                <w:szCs w:val="14"/>
              </w:rPr>
            </w:pPr>
            <w:r w:rsidRPr="00305460">
              <w:rPr>
                <w:color w:val="000000"/>
                <w:sz w:val="14"/>
                <w:szCs w:val="14"/>
              </w:rPr>
              <w:t>0,000</w:t>
            </w:r>
          </w:p>
        </w:tc>
        <w:tc>
          <w:tcPr>
            <w:tcW w:w="706" w:type="dxa"/>
            <w:shd w:val="clear" w:color="000000" w:fill="FFFFFF"/>
            <w:tcMar>
              <w:left w:w="28" w:type="dxa"/>
              <w:right w:w="28" w:type="dxa"/>
            </w:tcMar>
            <w:vAlign w:val="center"/>
            <w:hideMark/>
          </w:tcPr>
          <w:p w14:paraId="67380A8D" w14:textId="77777777" w:rsidR="001C56BD" w:rsidRPr="00305460" w:rsidRDefault="001C56BD" w:rsidP="008A5C11">
            <w:pPr>
              <w:jc w:val="center"/>
              <w:rPr>
                <w:color w:val="000000"/>
                <w:sz w:val="14"/>
                <w:szCs w:val="14"/>
              </w:rPr>
            </w:pPr>
            <w:r w:rsidRPr="00305460">
              <w:rPr>
                <w:color w:val="000000"/>
                <w:sz w:val="14"/>
                <w:szCs w:val="14"/>
              </w:rPr>
              <w:t>0,000</w:t>
            </w:r>
          </w:p>
        </w:tc>
        <w:tc>
          <w:tcPr>
            <w:tcW w:w="851" w:type="dxa"/>
            <w:shd w:val="clear" w:color="auto" w:fill="auto"/>
            <w:tcMar>
              <w:left w:w="28" w:type="dxa"/>
              <w:right w:w="28" w:type="dxa"/>
            </w:tcMar>
            <w:vAlign w:val="center"/>
            <w:hideMark/>
          </w:tcPr>
          <w:p w14:paraId="6BF9AD18" w14:textId="77777777" w:rsidR="001C56BD" w:rsidRPr="00305460" w:rsidRDefault="001C56BD" w:rsidP="008A5C11">
            <w:pPr>
              <w:jc w:val="center"/>
              <w:rPr>
                <w:color w:val="000000"/>
                <w:sz w:val="14"/>
                <w:szCs w:val="14"/>
              </w:rPr>
            </w:pPr>
            <w:r w:rsidRPr="00305460">
              <w:rPr>
                <w:color w:val="000000"/>
                <w:sz w:val="14"/>
                <w:szCs w:val="14"/>
              </w:rPr>
              <w:t>0,000</w:t>
            </w:r>
          </w:p>
        </w:tc>
        <w:tc>
          <w:tcPr>
            <w:tcW w:w="850" w:type="dxa"/>
            <w:shd w:val="clear" w:color="auto" w:fill="auto"/>
            <w:tcMar>
              <w:left w:w="28" w:type="dxa"/>
              <w:right w:w="28" w:type="dxa"/>
            </w:tcMar>
            <w:vAlign w:val="center"/>
            <w:hideMark/>
          </w:tcPr>
          <w:p w14:paraId="647264CF" w14:textId="77777777" w:rsidR="001C56BD" w:rsidRPr="00305460" w:rsidRDefault="001C56BD" w:rsidP="008A5C11">
            <w:pPr>
              <w:jc w:val="center"/>
              <w:rPr>
                <w:color w:val="000000"/>
                <w:sz w:val="14"/>
                <w:szCs w:val="14"/>
              </w:rPr>
            </w:pPr>
            <w:r w:rsidRPr="00305460">
              <w:rPr>
                <w:color w:val="000000"/>
                <w:sz w:val="14"/>
                <w:szCs w:val="14"/>
              </w:rPr>
              <w:t>0,000</w:t>
            </w:r>
          </w:p>
        </w:tc>
        <w:tc>
          <w:tcPr>
            <w:tcW w:w="851" w:type="dxa"/>
            <w:shd w:val="clear" w:color="auto" w:fill="auto"/>
            <w:tcMar>
              <w:left w:w="28" w:type="dxa"/>
              <w:right w:w="28" w:type="dxa"/>
            </w:tcMar>
            <w:vAlign w:val="center"/>
            <w:hideMark/>
          </w:tcPr>
          <w:p w14:paraId="1392330B" w14:textId="77777777" w:rsidR="001C56BD" w:rsidRPr="00305460" w:rsidRDefault="001C56BD" w:rsidP="008A5C11">
            <w:pPr>
              <w:jc w:val="center"/>
              <w:rPr>
                <w:color w:val="000000"/>
                <w:sz w:val="14"/>
                <w:szCs w:val="14"/>
              </w:rPr>
            </w:pPr>
            <w:r w:rsidRPr="00305460">
              <w:rPr>
                <w:color w:val="000000"/>
                <w:sz w:val="14"/>
                <w:szCs w:val="14"/>
              </w:rPr>
              <w:t>0,000</w:t>
            </w:r>
          </w:p>
        </w:tc>
        <w:tc>
          <w:tcPr>
            <w:tcW w:w="709" w:type="dxa"/>
            <w:shd w:val="clear" w:color="auto" w:fill="auto"/>
            <w:tcMar>
              <w:left w:w="28" w:type="dxa"/>
              <w:right w:w="28" w:type="dxa"/>
            </w:tcMar>
            <w:vAlign w:val="center"/>
            <w:hideMark/>
          </w:tcPr>
          <w:p w14:paraId="6ABCD84D" w14:textId="77777777" w:rsidR="001C56BD" w:rsidRPr="00305460" w:rsidRDefault="001C56BD" w:rsidP="008A5C11">
            <w:pPr>
              <w:jc w:val="center"/>
              <w:rPr>
                <w:color w:val="000000"/>
                <w:sz w:val="14"/>
                <w:szCs w:val="14"/>
              </w:rPr>
            </w:pPr>
            <w:r w:rsidRPr="00305460">
              <w:rPr>
                <w:color w:val="000000"/>
                <w:sz w:val="14"/>
                <w:szCs w:val="14"/>
              </w:rPr>
              <w:t>0,000</w:t>
            </w:r>
          </w:p>
        </w:tc>
        <w:tc>
          <w:tcPr>
            <w:tcW w:w="706" w:type="dxa"/>
            <w:shd w:val="clear" w:color="auto" w:fill="auto"/>
            <w:tcMar>
              <w:left w:w="28" w:type="dxa"/>
              <w:right w:w="28" w:type="dxa"/>
            </w:tcMar>
            <w:vAlign w:val="center"/>
            <w:hideMark/>
          </w:tcPr>
          <w:p w14:paraId="69C301B9" w14:textId="77777777" w:rsidR="001C56BD" w:rsidRPr="00305460" w:rsidRDefault="001C56BD" w:rsidP="008A5C11">
            <w:pPr>
              <w:jc w:val="center"/>
              <w:rPr>
                <w:color w:val="000000"/>
                <w:sz w:val="14"/>
                <w:szCs w:val="14"/>
              </w:rPr>
            </w:pPr>
            <w:r w:rsidRPr="00305460">
              <w:rPr>
                <w:color w:val="000000"/>
                <w:sz w:val="14"/>
                <w:szCs w:val="14"/>
              </w:rPr>
              <w:t>0,000</w:t>
            </w:r>
          </w:p>
        </w:tc>
        <w:tc>
          <w:tcPr>
            <w:tcW w:w="706" w:type="dxa"/>
            <w:shd w:val="clear" w:color="auto" w:fill="auto"/>
            <w:tcMar>
              <w:left w:w="28" w:type="dxa"/>
              <w:right w:w="28" w:type="dxa"/>
            </w:tcMar>
            <w:vAlign w:val="center"/>
            <w:hideMark/>
          </w:tcPr>
          <w:p w14:paraId="79260ACB" w14:textId="77777777" w:rsidR="001C56BD" w:rsidRPr="00305460" w:rsidRDefault="001C56BD" w:rsidP="008A5C11">
            <w:pPr>
              <w:jc w:val="center"/>
              <w:rPr>
                <w:color w:val="000000"/>
                <w:sz w:val="14"/>
                <w:szCs w:val="14"/>
              </w:rPr>
            </w:pPr>
            <w:r w:rsidRPr="00305460">
              <w:rPr>
                <w:color w:val="000000"/>
                <w:sz w:val="14"/>
                <w:szCs w:val="14"/>
              </w:rPr>
              <w:t>0,000</w:t>
            </w:r>
          </w:p>
        </w:tc>
        <w:tc>
          <w:tcPr>
            <w:tcW w:w="711" w:type="dxa"/>
            <w:shd w:val="clear" w:color="auto" w:fill="auto"/>
            <w:tcMar>
              <w:left w:w="28" w:type="dxa"/>
              <w:right w:w="28" w:type="dxa"/>
            </w:tcMar>
            <w:vAlign w:val="center"/>
            <w:hideMark/>
          </w:tcPr>
          <w:p w14:paraId="4378FFDD" w14:textId="77777777" w:rsidR="001C56BD" w:rsidRPr="00305460" w:rsidRDefault="001C56BD" w:rsidP="008A5C11">
            <w:pPr>
              <w:jc w:val="center"/>
              <w:rPr>
                <w:color w:val="000000"/>
                <w:sz w:val="14"/>
                <w:szCs w:val="14"/>
              </w:rPr>
            </w:pPr>
            <w:r w:rsidRPr="00305460">
              <w:rPr>
                <w:color w:val="000000"/>
                <w:sz w:val="14"/>
                <w:szCs w:val="14"/>
              </w:rPr>
              <w:t>0,000</w:t>
            </w:r>
          </w:p>
        </w:tc>
        <w:tc>
          <w:tcPr>
            <w:tcW w:w="709" w:type="dxa"/>
            <w:shd w:val="clear" w:color="auto" w:fill="auto"/>
            <w:tcMar>
              <w:left w:w="28" w:type="dxa"/>
              <w:right w:w="28" w:type="dxa"/>
            </w:tcMar>
            <w:vAlign w:val="center"/>
            <w:hideMark/>
          </w:tcPr>
          <w:p w14:paraId="13FC8D57" w14:textId="77777777" w:rsidR="001C56BD" w:rsidRPr="00305460" w:rsidRDefault="001C56BD" w:rsidP="008A5C11">
            <w:pPr>
              <w:jc w:val="center"/>
              <w:rPr>
                <w:color w:val="000000"/>
                <w:sz w:val="14"/>
                <w:szCs w:val="14"/>
              </w:rPr>
            </w:pPr>
            <w:r w:rsidRPr="00305460">
              <w:rPr>
                <w:color w:val="000000"/>
                <w:sz w:val="14"/>
                <w:szCs w:val="14"/>
              </w:rPr>
              <w:t>0,000</w:t>
            </w:r>
          </w:p>
        </w:tc>
      </w:tr>
      <w:tr w:rsidR="001C56BD" w:rsidRPr="00305460" w14:paraId="3465792D" w14:textId="77777777" w:rsidTr="008A5C11">
        <w:trPr>
          <w:trHeight w:val="20"/>
        </w:trPr>
        <w:tc>
          <w:tcPr>
            <w:tcW w:w="284" w:type="dxa"/>
            <w:shd w:val="clear" w:color="auto" w:fill="auto"/>
            <w:tcMar>
              <w:left w:w="28" w:type="dxa"/>
              <w:right w:w="28" w:type="dxa"/>
            </w:tcMar>
            <w:vAlign w:val="center"/>
            <w:hideMark/>
          </w:tcPr>
          <w:p w14:paraId="1FF4DD1E" w14:textId="77777777" w:rsidR="001C56BD" w:rsidRPr="00305460" w:rsidRDefault="001C56BD" w:rsidP="008A5C11">
            <w:pPr>
              <w:jc w:val="center"/>
              <w:rPr>
                <w:color w:val="000000"/>
                <w:sz w:val="14"/>
                <w:szCs w:val="14"/>
              </w:rPr>
            </w:pPr>
            <w:r w:rsidRPr="00305460">
              <w:rPr>
                <w:color w:val="000000"/>
                <w:sz w:val="14"/>
                <w:szCs w:val="14"/>
              </w:rPr>
              <w:t xml:space="preserve">   4.</w:t>
            </w:r>
          </w:p>
        </w:tc>
        <w:tc>
          <w:tcPr>
            <w:tcW w:w="1430" w:type="dxa"/>
            <w:shd w:val="clear" w:color="auto" w:fill="auto"/>
            <w:tcMar>
              <w:left w:w="28" w:type="dxa"/>
              <w:right w:w="28" w:type="dxa"/>
            </w:tcMar>
            <w:vAlign w:val="center"/>
            <w:hideMark/>
          </w:tcPr>
          <w:p w14:paraId="0FD39DEB" w14:textId="77777777" w:rsidR="001C56BD" w:rsidRPr="00305460" w:rsidRDefault="001C56BD" w:rsidP="008A5C11">
            <w:pPr>
              <w:jc w:val="center"/>
              <w:rPr>
                <w:color w:val="000000"/>
                <w:sz w:val="14"/>
                <w:szCs w:val="14"/>
              </w:rPr>
            </w:pPr>
            <w:r w:rsidRPr="00305460">
              <w:rPr>
                <w:color w:val="000000"/>
                <w:sz w:val="14"/>
                <w:szCs w:val="14"/>
              </w:rPr>
              <w:t>Прочие источники финансирования, в т.ч. лизинг</w:t>
            </w:r>
          </w:p>
        </w:tc>
        <w:tc>
          <w:tcPr>
            <w:tcW w:w="697" w:type="dxa"/>
            <w:shd w:val="clear" w:color="auto" w:fill="auto"/>
            <w:tcMar>
              <w:left w:w="28" w:type="dxa"/>
              <w:right w:w="28" w:type="dxa"/>
            </w:tcMar>
            <w:vAlign w:val="center"/>
            <w:hideMark/>
          </w:tcPr>
          <w:p w14:paraId="445E07ED" w14:textId="77777777" w:rsidR="001C56BD" w:rsidRPr="00305460" w:rsidRDefault="001C56BD" w:rsidP="008A5C11">
            <w:pPr>
              <w:jc w:val="center"/>
              <w:rPr>
                <w:color w:val="000000"/>
                <w:sz w:val="14"/>
                <w:szCs w:val="14"/>
              </w:rPr>
            </w:pPr>
            <w:r w:rsidRPr="00305460">
              <w:rPr>
                <w:color w:val="000000"/>
                <w:sz w:val="14"/>
                <w:szCs w:val="14"/>
              </w:rPr>
              <w:t>0,000</w:t>
            </w:r>
          </w:p>
        </w:tc>
        <w:tc>
          <w:tcPr>
            <w:tcW w:w="809" w:type="dxa"/>
            <w:shd w:val="clear" w:color="auto" w:fill="auto"/>
            <w:tcMar>
              <w:left w:w="28" w:type="dxa"/>
              <w:right w:w="28" w:type="dxa"/>
            </w:tcMar>
            <w:vAlign w:val="center"/>
            <w:hideMark/>
          </w:tcPr>
          <w:p w14:paraId="6662FAD8" w14:textId="77777777" w:rsidR="001C56BD" w:rsidRPr="00305460" w:rsidRDefault="001C56BD" w:rsidP="008A5C11">
            <w:pPr>
              <w:jc w:val="center"/>
              <w:rPr>
                <w:color w:val="000000"/>
                <w:sz w:val="14"/>
                <w:szCs w:val="14"/>
              </w:rPr>
            </w:pPr>
            <w:r w:rsidRPr="00305460">
              <w:rPr>
                <w:color w:val="000000"/>
                <w:sz w:val="14"/>
                <w:szCs w:val="14"/>
              </w:rPr>
              <w:t>0,000</w:t>
            </w:r>
          </w:p>
        </w:tc>
        <w:tc>
          <w:tcPr>
            <w:tcW w:w="851" w:type="dxa"/>
            <w:shd w:val="clear" w:color="auto" w:fill="auto"/>
            <w:tcMar>
              <w:left w:w="28" w:type="dxa"/>
              <w:right w:w="28" w:type="dxa"/>
            </w:tcMar>
            <w:vAlign w:val="center"/>
            <w:hideMark/>
          </w:tcPr>
          <w:p w14:paraId="7E3E11F2" w14:textId="77777777" w:rsidR="001C56BD" w:rsidRPr="00305460" w:rsidRDefault="001C56BD" w:rsidP="008A5C11">
            <w:pPr>
              <w:jc w:val="center"/>
              <w:rPr>
                <w:color w:val="000000"/>
                <w:sz w:val="14"/>
                <w:szCs w:val="14"/>
              </w:rPr>
            </w:pPr>
            <w:r w:rsidRPr="00305460">
              <w:rPr>
                <w:color w:val="000000"/>
                <w:sz w:val="14"/>
                <w:szCs w:val="14"/>
              </w:rPr>
              <w:t>0,000</w:t>
            </w:r>
          </w:p>
        </w:tc>
        <w:tc>
          <w:tcPr>
            <w:tcW w:w="706" w:type="dxa"/>
            <w:shd w:val="clear" w:color="000000" w:fill="FFFFFF"/>
            <w:tcMar>
              <w:left w:w="28" w:type="dxa"/>
              <w:right w:w="28" w:type="dxa"/>
            </w:tcMar>
            <w:vAlign w:val="center"/>
            <w:hideMark/>
          </w:tcPr>
          <w:p w14:paraId="2E437D2E" w14:textId="77777777" w:rsidR="001C56BD" w:rsidRPr="00305460" w:rsidRDefault="001C56BD" w:rsidP="008A5C11">
            <w:pPr>
              <w:jc w:val="center"/>
              <w:rPr>
                <w:color w:val="000000"/>
                <w:sz w:val="14"/>
                <w:szCs w:val="14"/>
              </w:rPr>
            </w:pPr>
            <w:r w:rsidRPr="00305460">
              <w:rPr>
                <w:color w:val="000000"/>
                <w:sz w:val="14"/>
                <w:szCs w:val="14"/>
              </w:rPr>
              <w:t>0,000</w:t>
            </w:r>
          </w:p>
        </w:tc>
        <w:tc>
          <w:tcPr>
            <w:tcW w:w="851" w:type="dxa"/>
            <w:shd w:val="clear" w:color="auto" w:fill="auto"/>
            <w:tcMar>
              <w:left w:w="28" w:type="dxa"/>
              <w:right w:w="28" w:type="dxa"/>
            </w:tcMar>
            <w:vAlign w:val="center"/>
            <w:hideMark/>
          </w:tcPr>
          <w:p w14:paraId="6E2628BF" w14:textId="77777777" w:rsidR="001C56BD" w:rsidRPr="00305460" w:rsidRDefault="001C56BD" w:rsidP="008A5C11">
            <w:pPr>
              <w:jc w:val="center"/>
              <w:rPr>
                <w:color w:val="000000"/>
                <w:sz w:val="14"/>
                <w:szCs w:val="14"/>
              </w:rPr>
            </w:pPr>
            <w:r w:rsidRPr="00305460">
              <w:rPr>
                <w:color w:val="000000"/>
                <w:sz w:val="14"/>
                <w:szCs w:val="14"/>
              </w:rPr>
              <w:t>0,000</w:t>
            </w:r>
          </w:p>
        </w:tc>
        <w:tc>
          <w:tcPr>
            <w:tcW w:w="850" w:type="dxa"/>
            <w:shd w:val="clear" w:color="auto" w:fill="auto"/>
            <w:tcMar>
              <w:left w:w="28" w:type="dxa"/>
              <w:right w:w="28" w:type="dxa"/>
            </w:tcMar>
            <w:vAlign w:val="center"/>
            <w:hideMark/>
          </w:tcPr>
          <w:p w14:paraId="48F61BD3" w14:textId="77777777" w:rsidR="001C56BD" w:rsidRPr="00305460" w:rsidRDefault="001C56BD" w:rsidP="008A5C11">
            <w:pPr>
              <w:jc w:val="center"/>
              <w:rPr>
                <w:color w:val="000000"/>
                <w:sz w:val="14"/>
                <w:szCs w:val="14"/>
              </w:rPr>
            </w:pPr>
            <w:r w:rsidRPr="00305460">
              <w:rPr>
                <w:color w:val="000000"/>
                <w:sz w:val="14"/>
                <w:szCs w:val="14"/>
              </w:rPr>
              <w:t>0,000</w:t>
            </w:r>
          </w:p>
        </w:tc>
        <w:tc>
          <w:tcPr>
            <w:tcW w:w="851" w:type="dxa"/>
            <w:shd w:val="clear" w:color="auto" w:fill="auto"/>
            <w:tcMar>
              <w:left w:w="28" w:type="dxa"/>
              <w:right w:w="28" w:type="dxa"/>
            </w:tcMar>
            <w:vAlign w:val="center"/>
            <w:hideMark/>
          </w:tcPr>
          <w:p w14:paraId="249651FC" w14:textId="77777777" w:rsidR="001C56BD" w:rsidRPr="00305460" w:rsidRDefault="001C56BD" w:rsidP="008A5C11">
            <w:pPr>
              <w:jc w:val="center"/>
              <w:rPr>
                <w:color w:val="000000"/>
                <w:sz w:val="14"/>
                <w:szCs w:val="14"/>
              </w:rPr>
            </w:pPr>
            <w:r w:rsidRPr="00305460">
              <w:rPr>
                <w:color w:val="000000"/>
                <w:sz w:val="14"/>
                <w:szCs w:val="14"/>
              </w:rPr>
              <w:t>0,000</w:t>
            </w:r>
          </w:p>
        </w:tc>
        <w:tc>
          <w:tcPr>
            <w:tcW w:w="709" w:type="dxa"/>
            <w:shd w:val="clear" w:color="auto" w:fill="auto"/>
            <w:tcMar>
              <w:left w:w="28" w:type="dxa"/>
              <w:right w:w="28" w:type="dxa"/>
            </w:tcMar>
            <w:vAlign w:val="center"/>
            <w:hideMark/>
          </w:tcPr>
          <w:p w14:paraId="35D3EC57" w14:textId="77777777" w:rsidR="001C56BD" w:rsidRPr="00305460" w:rsidRDefault="001C56BD" w:rsidP="008A5C11">
            <w:pPr>
              <w:jc w:val="center"/>
              <w:rPr>
                <w:color w:val="000000"/>
                <w:sz w:val="14"/>
                <w:szCs w:val="14"/>
              </w:rPr>
            </w:pPr>
            <w:r w:rsidRPr="00305460">
              <w:rPr>
                <w:color w:val="000000"/>
                <w:sz w:val="14"/>
                <w:szCs w:val="14"/>
              </w:rPr>
              <w:t>0,000</w:t>
            </w:r>
          </w:p>
        </w:tc>
        <w:tc>
          <w:tcPr>
            <w:tcW w:w="706" w:type="dxa"/>
            <w:shd w:val="clear" w:color="auto" w:fill="auto"/>
            <w:tcMar>
              <w:left w:w="28" w:type="dxa"/>
              <w:right w:w="28" w:type="dxa"/>
            </w:tcMar>
            <w:vAlign w:val="center"/>
            <w:hideMark/>
          </w:tcPr>
          <w:p w14:paraId="1E1E9D80" w14:textId="77777777" w:rsidR="001C56BD" w:rsidRPr="00305460" w:rsidRDefault="001C56BD" w:rsidP="008A5C11">
            <w:pPr>
              <w:jc w:val="center"/>
              <w:rPr>
                <w:color w:val="000000"/>
                <w:sz w:val="14"/>
                <w:szCs w:val="14"/>
              </w:rPr>
            </w:pPr>
            <w:r w:rsidRPr="00305460">
              <w:rPr>
                <w:color w:val="000000"/>
                <w:sz w:val="14"/>
                <w:szCs w:val="14"/>
              </w:rPr>
              <w:t>0,000</w:t>
            </w:r>
          </w:p>
        </w:tc>
        <w:tc>
          <w:tcPr>
            <w:tcW w:w="706" w:type="dxa"/>
            <w:shd w:val="clear" w:color="auto" w:fill="auto"/>
            <w:tcMar>
              <w:left w:w="28" w:type="dxa"/>
              <w:right w:w="28" w:type="dxa"/>
            </w:tcMar>
            <w:vAlign w:val="center"/>
            <w:hideMark/>
          </w:tcPr>
          <w:p w14:paraId="178CED73" w14:textId="77777777" w:rsidR="001C56BD" w:rsidRPr="00305460" w:rsidRDefault="001C56BD" w:rsidP="008A5C11">
            <w:pPr>
              <w:jc w:val="center"/>
              <w:rPr>
                <w:color w:val="000000"/>
                <w:sz w:val="14"/>
                <w:szCs w:val="14"/>
              </w:rPr>
            </w:pPr>
            <w:r w:rsidRPr="00305460">
              <w:rPr>
                <w:color w:val="000000"/>
                <w:sz w:val="14"/>
                <w:szCs w:val="14"/>
              </w:rPr>
              <w:t>0,000</w:t>
            </w:r>
          </w:p>
        </w:tc>
        <w:tc>
          <w:tcPr>
            <w:tcW w:w="711" w:type="dxa"/>
            <w:shd w:val="clear" w:color="auto" w:fill="auto"/>
            <w:tcMar>
              <w:left w:w="28" w:type="dxa"/>
              <w:right w:w="28" w:type="dxa"/>
            </w:tcMar>
            <w:vAlign w:val="center"/>
            <w:hideMark/>
          </w:tcPr>
          <w:p w14:paraId="147E263A" w14:textId="77777777" w:rsidR="001C56BD" w:rsidRPr="00305460" w:rsidRDefault="001C56BD" w:rsidP="008A5C11">
            <w:pPr>
              <w:jc w:val="center"/>
              <w:rPr>
                <w:color w:val="000000"/>
                <w:sz w:val="14"/>
                <w:szCs w:val="14"/>
              </w:rPr>
            </w:pPr>
            <w:r w:rsidRPr="00305460">
              <w:rPr>
                <w:color w:val="000000"/>
                <w:sz w:val="14"/>
                <w:szCs w:val="14"/>
              </w:rPr>
              <w:t>0,000</w:t>
            </w:r>
          </w:p>
        </w:tc>
        <w:tc>
          <w:tcPr>
            <w:tcW w:w="709" w:type="dxa"/>
            <w:shd w:val="clear" w:color="auto" w:fill="auto"/>
            <w:tcMar>
              <w:left w:w="28" w:type="dxa"/>
              <w:right w:w="28" w:type="dxa"/>
            </w:tcMar>
            <w:vAlign w:val="center"/>
            <w:hideMark/>
          </w:tcPr>
          <w:p w14:paraId="468D438E" w14:textId="77777777" w:rsidR="001C56BD" w:rsidRPr="00305460" w:rsidRDefault="001C56BD" w:rsidP="008A5C11">
            <w:pPr>
              <w:jc w:val="center"/>
              <w:rPr>
                <w:color w:val="000000"/>
                <w:sz w:val="14"/>
                <w:szCs w:val="14"/>
              </w:rPr>
            </w:pPr>
            <w:r w:rsidRPr="00305460">
              <w:rPr>
                <w:color w:val="000000"/>
                <w:sz w:val="14"/>
                <w:szCs w:val="14"/>
              </w:rPr>
              <w:t>0,000</w:t>
            </w:r>
          </w:p>
        </w:tc>
      </w:tr>
      <w:tr w:rsidR="001C56BD" w:rsidRPr="00305460" w14:paraId="6182D695" w14:textId="77777777" w:rsidTr="008A5C11">
        <w:trPr>
          <w:trHeight w:val="20"/>
        </w:trPr>
        <w:tc>
          <w:tcPr>
            <w:tcW w:w="284" w:type="dxa"/>
            <w:shd w:val="clear" w:color="auto" w:fill="auto"/>
            <w:tcMar>
              <w:left w:w="28" w:type="dxa"/>
              <w:right w:w="28" w:type="dxa"/>
            </w:tcMar>
            <w:vAlign w:val="center"/>
            <w:hideMark/>
          </w:tcPr>
          <w:p w14:paraId="33E67DFA" w14:textId="77777777" w:rsidR="001C56BD" w:rsidRPr="00305460" w:rsidRDefault="001C56BD" w:rsidP="008A5C11">
            <w:pPr>
              <w:jc w:val="center"/>
              <w:rPr>
                <w:color w:val="000000"/>
                <w:sz w:val="14"/>
                <w:szCs w:val="14"/>
              </w:rPr>
            </w:pPr>
            <w:r w:rsidRPr="00305460">
              <w:rPr>
                <w:color w:val="000000"/>
                <w:sz w:val="14"/>
                <w:szCs w:val="14"/>
              </w:rPr>
              <w:t> </w:t>
            </w:r>
          </w:p>
        </w:tc>
        <w:tc>
          <w:tcPr>
            <w:tcW w:w="1430" w:type="dxa"/>
            <w:shd w:val="clear" w:color="auto" w:fill="auto"/>
            <w:tcMar>
              <w:left w:w="28" w:type="dxa"/>
              <w:right w:w="28" w:type="dxa"/>
            </w:tcMar>
            <w:vAlign w:val="center"/>
            <w:hideMark/>
          </w:tcPr>
          <w:p w14:paraId="2C7BB65D" w14:textId="77777777" w:rsidR="001C56BD" w:rsidRPr="00305460" w:rsidRDefault="001C56BD" w:rsidP="008A5C11">
            <w:pPr>
              <w:jc w:val="center"/>
              <w:rPr>
                <w:color w:val="000000"/>
                <w:sz w:val="14"/>
                <w:szCs w:val="14"/>
              </w:rPr>
            </w:pPr>
            <w:r w:rsidRPr="00305460">
              <w:rPr>
                <w:color w:val="000000"/>
                <w:sz w:val="14"/>
                <w:szCs w:val="14"/>
              </w:rPr>
              <w:t>ИТОГО по программе</w:t>
            </w:r>
          </w:p>
        </w:tc>
        <w:tc>
          <w:tcPr>
            <w:tcW w:w="697" w:type="dxa"/>
            <w:shd w:val="clear" w:color="000000" w:fill="FFFFFF"/>
            <w:tcMar>
              <w:left w:w="28" w:type="dxa"/>
              <w:right w:w="28" w:type="dxa"/>
            </w:tcMar>
            <w:vAlign w:val="center"/>
            <w:hideMark/>
          </w:tcPr>
          <w:p w14:paraId="210FDFC2" w14:textId="77777777" w:rsidR="001C56BD" w:rsidRPr="00305460" w:rsidRDefault="001C56BD" w:rsidP="008A5C11">
            <w:pPr>
              <w:jc w:val="center"/>
              <w:rPr>
                <w:sz w:val="14"/>
                <w:szCs w:val="14"/>
              </w:rPr>
            </w:pPr>
            <w:r w:rsidRPr="00305460">
              <w:rPr>
                <w:sz w:val="14"/>
                <w:szCs w:val="14"/>
              </w:rPr>
              <w:t>968 127,989</w:t>
            </w:r>
          </w:p>
        </w:tc>
        <w:tc>
          <w:tcPr>
            <w:tcW w:w="809" w:type="dxa"/>
            <w:shd w:val="clear" w:color="000000" w:fill="FFFFFF"/>
            <w:tcMar>
              <w:left w:w="28" w:type="dxa"/>
              <w:right w:w="28" w:type="dxa"/>
            </w:tcMar>
            <w:vAlign w:val="center"/>
            <w:hideMark/>
          </w:tcPr>
          <w:p w14:paraId="7907E45F" w14:textId="77777777" w:rsidR="001C56BD" w:rsidRPr="00305460" w:rsidRDefault="001C56BD" w:rsidP="008A5C11">
            <w:pPr>
              <w:jc w:val="center"/>
              <w:rPr>
                <w:color w:val="000000"/>
                <w:sz w:val="14"/>
                <w:szCs w:val="14"/>
              </w:rPr>
            </w:pPr>
            <w:r w:rsidRPr="00305460">
              <w:rPr>
                <w:color w:val="000000"/>
                <w:sz w:val="14"/>
                <w:szCs w:val="14"/>
              </w:rPr>
              <w:t>968 127,989</w:t>
            </w:r>
          </w:p>
        </w:tc>
        <w:tc>
          <w:tcPr>
            <w:tcW w:w="851"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ED11AFB" w14:textId="77777777" w:rsidR="001C56BD" w:rsidRPr="00305460" w:rsidRDefault="001C56BD" w:rsidP="008A5C11">
            <w:pPr>
              <w:jc w:val="center"/>
              <w:rPr>
                <w:sz w:val="14"/>
                <w:szCs w:val="14"/>
              </w:rPr>
            </w:pPr>
            <w:r w:rsidRPr="00305460">
              <w:rPr>
                <w:sz w:val="14"/>
                <w:szCs w:val="14"/>
              </w:rPr>
              <w:t>137 993,413</w:t>
            </w:r>
          </w:p>
        </w:tc>
        <w:tc>
          <w:tcPr>
            <w:tcW w:w="7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704DC6E" w14:textId="77777777" w:rsidR="001C56BD" w:rsidRPr="00305460" w:rsidRDefault="001C56BD" w:rsidP="008A5C11">
            <w:pPr>
              <w:jc w:val="center"/>
              <w:rPr>
                <w:sz w:val="14"/>
                <w:szCs w:val="14"/>
              </w:rPr>
            </w:pPr>
            <w:r w:rsidRPr="00305460">
              <w:rPr>
                <w:sz w:val="14"/>
                <w:szCs w:val="14"/>
              </w:rPr>
              <w:t>91 961,063</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0897295" w14:textId="77777777" w:rsidR="001C56BD" w:rsidRPr="00305460" w:rsidRDefault="001C56BD" w:rsidP="008A5C11">
            <w:pPr>
              <w:jc w:val="center"/>
              <w:rPr>
                <w:sz w:val="14"/>
                <w:szCs w:val="14"/>
              </w:rPr>
            </w:pPr>
            <w:r w:rsidRPr="00305460">
              <w:rPr>
                <w:sz w:val="14"/>
                <w:szCs w:val="14"/>
              </w:rPr>
              <w:t>110 977,567</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3FD731B" w14:textId="77777777" w:rsidR="001C56BD" w:rsidRPr="00305460" w:rsidRDefault="001C56BD" w:rsidP="008A5C11">
            <w:pPr>
              <w:jc w:val="center"/>
              <w:rPr>
                <w:sz w:val="14"/>
                <w:szCs w:val="14"/>
              </w:rPr>
            </w:pPr>
            <w:r w:rsidRPr="00305460">
              <w:rPr>
                <w:sz w:val="14"/>
                <w:szCs w:val="14"/>
              </w:rPr>
              <w:t>136 970,154</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D359665" w14:textId="77777777" w:rsidR="001C56BD" w:rsidRPr="00305460" w:rsidRDefault="001C56BD" w:rsidP="008A5C11">
            <w:pPr>
              <w:jc w:val="center"/>
              <w:rPr>
                <w:sz w:val="14"/>
                <w:szCs w:val="14"/>
              </w:rPr>
            </w:pPr>
            <w:r w:rsidRPr="00305460">
              <w:rPr>
                <w:sz w:val="14"/>
                <w:szCs w:val="14"/>
              </w:rPr>
              <w:t>128 016,477</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BD77462" w14:textId="77777777" w:rsidR="001C56BD" w:rsidRPr="00305460" w:rsidRDefault="001C56BD" w:rsidP="008A5C11">
            <w:pPr>
              <w:jc w:val="center"/>
              <w:rPr>
                <w:sz w:val="14"/>
                <w:szCs w:val="14"/>
              </w:rPr>
            </w:pPr>
            <w:r w:rsidRPr="00305460">
              <w:rPr>
                <w:sz w:val="14"/>
                <w:szCs w:val="14"/>
              </w:rPr>
              <w:t>81 346,278</w:t>
            </w:r>
          </w:p>
        </w:tc>
        <w:tc>
          <w:tcPr>
            <w:tcW w:w="7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398CFB0" w14:textId="77777777" w:rsidR="001C56BD" w:rsidRPr="00305460" w:rsidRDefault="001C56BD" w:rsidP="008A5C11">
            <w:pPr>
              <w:jc w:val="center"/>
              <w:rPr>
                <w:sz w:val="14"/>
                <w:szCs w:val="14"/>
              </w:rPr>
            </w:pPr>
            <w:r w:rsidRPr="00305460">
              <w:rPr>
                <w:sz w:val="14"/>
                <w:szCs w:val="14"/>
              </w:rPr>
              <w:t>68 181,940</w:t>
            </w:r>
          </w:p>
        </w:tc>
        <w:tc>
          <w:tcPr>
            <w:tcW w:w="7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8643E9E" w14:textId="77777777" w:rsidR="001C56BD" w:rsidRPr="00305460" w:rsidRDefault="001C56BD" w:rsidP="008A5C11">
            <w:pPr>
              <w:jc w:val="center"/>
              <w:rPr>
                <w:sz w:val="14"/>
                <w:szCs w:val="14"/>
              </w:rPr>
            </w:pPr>
            <w:r w:rsidRPr="00305460">
              <w:rPr>
                <w:sz w:val="14"/>
                <w:szCs w:val="14"/>
              </w:rPr>
              <w:t>82 752,076</w:t>
            </w:r>
          </w:p>
        </w:tc>
        <w:tc>
          <w:tcPr>
            <w:tcW w:w="71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8C32FA1" w14:textId="77777777" w:rsidR="001C56BD" w:rsidRPr="00305460" w:rsidRDefault="001C56BD" w:rsidP="008A5C11">
            <w:pPr>
              <w:jc w:val="center"/>
              <w:rPr>
                <w:sz w:val="14"/>
                <w:szCs w:val="14"/>
              </w:rPr>
            </w:pPr>
            <w:r w:rsidRPr="00305460">
              <w:rPr>
                <w:sz w:val="14"/>
                <w:szCs w:val="14"/>
              </w:rPr>
              <w:t>61 183,750</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3071379" w14:textId="77777777" w:rsidR="001C56BD" w:rsidRPr="00305460" w:rsidRDefault="001C56BD" w:rsidP="008A5C11">
            <w:pPr>
              <w:jc w:val="center"/>
              <w:rPr>
                <w:sz w:val="14"/>
                <w:szCs w:val="14"/>
              </w:rPr>
            </w:pPr>
            <w:r w:rsidRPr="00305460">
              <w:rPr>
                <w:sz w:val="14"/>
                <w:szCs w:val="14"/>
              </w:rPr>
              <w:t>68 745,271</w:t>
            </w:r>
          </w:p>
        </w:tc>
      </w:tr>
    </w:tbl>
    <w:p w14:paraId="736EF2DC" w14:textId="77777777" w:rsidR="001C56BD" w:rsidRPr="00305460" w:rsidRDefault="001C56BD" w:rsidP="001C56BD">
      <w:pPr>
        <w:spacing w:line="276" w:lineRule="auto"/>
        <w:ind w:firstLine="567"/>
        <w:jc w:val="both"/>
        <w:rPr>
          <w:sz w:val="25"/>
          <w:szCs w:val="25"/>
        </w:rPr>
      </w:pPr>
    </w:p>
    <w:p w14:paraId="0267CEDF" w14:textId="77777777" w:rsidR="001C56BD" w:rsidRPr="00305460" w:rsidRDefault="001C56BD" w:rsidP="001C56BD">
      <w:pPr>
        <w:spacing w:line="276" w:lineRule="auto"/>
        <w:ind w:firstLine="708"/>
        <w:jc w:val="both"/>
        <w:rPr>
          <w:bCs/>
          <w:sz w:val="28"/>
          <w:szCs w:val="20"/>
        </w:rPr>
      </w:pPr>
      <w:r w:rsidRPr="00305460">
        <w:rPr>
          <w:bCs/>
          <w:sz w:val="28"/>
          <w:szCs w:val="28"/>
        </w:rPr>
        <w:t xml:space="preserve">Перечень мероприятий, подлежащих выполнению </w:t>
      </w:r>
      <w:r w:rsidRPr="00305460">
        <w:rPr>
          <w:bCs/>
          <w:sz w:val="28"/>
          <w:szCs w:val="28"/>
        </w:rPr>
        <w:br/>
        <w:t>в 2022-2031 годах приведен в приложении к настоящему экспертному заключению.</w:t>
      </w:r>
    </w:p>
    <w:p w14:paraId="6377F8AE" w14:textId="77777777" w:rsidR="001C56BD" w:rsidRPr="00305460" w:rsidRDefault="001C56BD" w:rsidP="001C56BD">
      <w:pPr>
        <w:ind w:firstLine="567"/>
        <w:jc w:val="both"/>
        <w:rPr>
          <w:sz w:val="25"/>
          <w:szCs w:val="25"/>
        </w:rPr>
      </w:pPr>
    </w:p>
    <w:p w14:paraId="0C8C29D8" w14:textId="77777777" w:rsidR="001C56BD" w:rsidRPr="00305460" w:rsidRDefault="001C56BD" w:rsidP="001C56BD">
      <w:pPr>
        <w:tabs>
          <w:tab w:val="left" w:pos="0"/>
          <w:tab w:val="left" w:pos="900"/>
        </w:tabs>
        <w:jc w:val="both"/>
        <w:rPr>
          <w:b/>
          <w:sz w:val="28"/>
          <w:szCs w:val="28"/>
        </w:rPr>
      </w:pPr>
    </w:p>
    <w:p w14:paraId="782E0CE5" w14:textId="77777777" w:rsidR="001C56BD" w:rsidRPr="00305460" w:rsidRDefault="001C56BD" w:rsidP="001C56BD">
      <w:pPr>
        <w:jc w:val="both"/>
        <w:rPr>
          <w:sz w:val="20"/>
          <w:szCs w:val="20"/>
        </w:rPr>
      </w:pPr>
    </w:p>
    <w:p w14:paraId="19B1ADB2" w14:textId="77777777" w:rsidR="001C56BD" w:rsidRPr="00305460" w:rsidRDefault="001C56BD" w:rsidP="001C56BD">
      <w:pPr>
        <w:jc w:val="both"/>
        <w:rPr>
          <w:sz w:val="20"/>
          <w:szCs w:val="20"/>
        </w:rPr>
        <w:sectPr w:rsidR="001C56BD" w:rsidRPr="00305460" w:rsidSect="009310D5">
          <w:headerReference w:type="default" r:id="rId49"/>
          <w:pgSz w:w="11906" w:h="16838"/>
          <w:pgMar w:top="567" w:right="1418" w:bottom="567" w:left="1559" w:header="709" w:footer="709" w:gutter="0"/>
          <w:cols w:space="708"/>
          <w:titlePg/>
          <w:docGrid w:linePitch="360"/>
        </w:sectPr>
      </w:pPr>
    </w:p>
    <w:p w14:paraId="50614CEC" w14:textId="77777777" w:rsidR="001C56BD" w:rsidRPr="00305460" w:rsidRDefault="001C56BD" w:rsidP="001C56BD">
      <w:pPr>
        <w:ind w:left="284" w:right="536"/>
        <w:jc w:val="right"/>
        <w:rPr>
          <w:sz w:val="28"/>
          <w:szCs w:val="28"/>
        </w:rPr>
      </w:pPr>
      <w:bookmarkStart w:id="77" w:name="_Hlk22730685"/>
      <w:r w:rsidRPr="00305460">
        <w:rPr>
          <w:sz w:val="28"/>
          <w:szCs w:val="28"/>
        </w:rPr>
        <w:t>Приложение</w:t>
      </w:r>
    </w:p>
    <w:p w14:paraId="3FD0C99C" w14:textId="77777777" w:rsidR="001C56BD" w:rsidRPr="00305460" w:rsidRDefault="001C56BD" w:rsidP="001C56BD">
      <w:pPr>
        <w:autoSpaceDE w:val="0"/>
        <w:autoSpaceDN w:val="0"/>
        <w:adjustRightInd w:val="0"/>
        <w:jc w:val="center"/>
        <w:rPr>
          <w:b/>
          <w:color w:val="000000"/>
          <w:sz w:val="28"/>
          <w:szCs w:val="28"/>
        </w:rPr>
      </w:pPr>
      <w:r w:rsidRPr="00305460">
        <w:rPr>
          <w:b/>
          <w:bCs/>
          <w:sz w:val="28"/>
          <w:szCs w:val="28"/>
        </w:rPr>
        <w:t xml:space="preserve">Инвестиционная программа в сфере теплоснабжения </w:t>
      </w:r>
      <w:r w:rsidRPr="00305460">
        <w:rPr>
          <w:b/>
          <w:color w:val="000000"/>
          <w:sz w:val="28"/>
          <w:szCs w:val="28"/>
        </w:rPr>
        <w:t xml:space="preserve">АО «Кузбассэнерго» </w:t>
      </w:r>
    </w:p>
    <w:p w14:paraId="47D33146" w14:textId="77777777" w:rsidR="001C56BD" w:rsidRPr="00305460" w:rsidRDefault="001C56BD" w:rsidP="001C56BD">
      <w:pPr>
        <w:autoSpaceDE w:val="0"/>
        <w:autoSpaceDN w:val="0"/>
        <w:adjustRightInd w:val="0"/>
        <w:jc w:val="center"/>
        <w:rPr>
          <w:b/>
          <w:bCs/>
          <w:sz w:val="28"/>
          <w:szCs w:val="28"/>
        </w:rPr>
      </w:pPr>
      <w:r w:rsidRPr="00305460">
        <w:rPr>
          <w:b/>
          <w:color w:val="000000"/>
          <w:sz w:val="28"/>
          <w:szCs w:val="28"/>
        </w:rPr>
        <w:t xml:space="preserve">(филиал «Кемеровская теплосетевая компания») </w:t>
      </w:r>
      <w:r w:rsidRPr="00305460">
        <w:rPr>
          <w:b/>
          <w:sz w:val="28"/>
          <w:szCs w:val="28"/>
        </w:rPr>
        <w:t>на 2022</w:t>
      </w:r>
      <w:r w:rsidRPr="00305460">
        <w:rPr>
          <w:b/>
          <w:color w:val="000000"/>
          <w:sz w:val="28"/>
          <w:szCs w:val="28"/>
        </w:rPr>
        <w:t xml:space="preserve"> - 2031 годы</w:t>
      </w:r>
    </w:p>
    <w:tbl>
      <w:tblPr>
        <w:tblW w:w="5134" w:type="pct"/>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6"/>
        <w:gridCol w:w="881"/>
        <w:gridCol w:w="918"/>
        <w:gridCol w:w="837"/>
        <w:gridCol w:w="864"/>
        <w:gridCol w:w="410"/>
        <w:gridCol w:w="604"/>
        <w:gridCol w:w="730"/>
        <w:gridCol w:w="419"/>
        <w:gridCol w:w="419"/>
        <w:gridCol w:w="24"/>
        <w:gridCol w:w="36"/>
        <w:gridCol w:w="655"/>
        <w:gridCol w:w="36"/>
        <w:gridCol w:w="24"/>
        <w:gridCol w:w="526"/>
        <w:gridCol w:w="15"/>
        <w:gridCol w:w="24"/>
        <w:gridCol w:w="607"/>
        <w:gridCol w:w="523"/>
        <w:gridCol w:w="12"/>
        <w:gridCol w:w="643"/>
        <w:gridCol w:w="21"/>
        <w:gridCol w:w="637"/>
        <w:gridCol w:w="652"/>
        <w:gridCol w:w="652"/>
        <w:gridCol w:w="652"/>
        <w:gridCol w:w="48"/>
        <w:gridCol w:w="607"/>
        <w:gridCol w:w="45"/>
        <w:gridCol w:w="469"/>
        <w:gridCol w:w="658"/>
        <w:gridCol w:w="520"/>
        <w:gridCol w:w="526"/>
      </w:tblGrid>
      <w:tr w:rsidR="001C56BD" w:rsidRPr="00305460" w14:paraId="18B95D64" w14:textId="77777777" w:rsidTr="008A5C11">
        <w:trPr>
          <w:trHeight w:val="65"/>
        </w:trPr>
        <w:tc>
          <w:tcPr>
            <w:tcW w:w="86" w:type="pct"/>
            <w:vMerge w:val="restart"/>
            <w:shd w:val="clear" w:color="auto" w:fill="auto"/>
            <w:tcMar>
              <w:left w:w="17" w:type="dxa"/>
              <w:right w:w="17" w:type="dxa"/>
            </w:tcMar>
            <w:vAlign w:val="center"/>
            <w:hideMark/>
          </w:tcPr>
          <w:p w14:paraId="0C162ED6" w14:textId="77777777" w:rsidR="001C56BD" w:rsidRPr="00305460" w:rsidRDefault="001C56BD" w:rsidP="008A5C11">
            <w:pPr>
              <w:jc w:val="center"/>
              <w:rPr>
                <w:bCs/>
                <w:sz w:val="13"/>
                <w:szCs w:val="13"/>
              </w:rPr>
            </w:pPr>
            <w:r w:rsidRPr="00305460">
              <w:rPr>
                <w:bCs/>
                <w:sz w:val="13"/>
                <w:szCs w:val="13"/>
              </w:rPr>
              <w:t>№</w:t>
            </w:r>
            <w:r w:rsidRPr="00305460">
              <w:rPr>
                <w:bCs/>
                <w:sz w:val="13"/>
                <w:szCs w:val="13"/>
              </w:rPr>
              <w:br/>
              <w:t>п/п</w:t>
            </w:r>
          </w:p>
        </w:tc>
        <w:tc>
          <w:tcPr>
            <w:tcW w:w="295" w:type="pct"/>
            <w:vMerge w:val="restart"/>
            <w:shd w:val="clear" w:color="auto" w:fill="auto"/>
            <w:tcMar>
              <w:left w:w="17" w:type="dxa"/>
              <w:right w:w="17" w:type="dxa"/>
            </w:tcMar>
            <w:vAlign w:val="center"/>
            <w:hideMark/>
          </w:tcPr>
          <w:p w14:paraId="4A0F8A81" w14:textId="77777777" w:rsidR="001C56BD" w:rsidRPr="00305460" w:rsidRDefault="001C56BD" w:rsidP="008A5C11">
            <w:pPr>
              <w:jc w:val="center"/>
              <w:rPr>
                <w:bCs/>
                <w:sz w:val="13"/>
                <w:szCs w:val="13"/>
              </w:rPr>
            </w:pPr>
            <w:r w:rsidRPr="00305460">
              <w:rPr>
                <w:bCs/>
                <w:sz w:val="13"/>
                <w:szCs w:val="13"/>
              </w:rPr>
              <w:t>Наименование</w:t>
            </w:r>
            <w:r w:rsidRPr="00305460">
              <w:rPr>
                <w:bCs/>
                <w:sz w:val="13"/>
                <w:szCs w:val="13"/>
              </w:rPr>
              <w:br/>
              <w:t>мероприятий</w:t>
            </w:r>
          </w:p>
        </w:tc>
        <w:tc>
          <w:tcPr>
            <w:tcW w:w="307" w:type="pct"/>
            <w:vMerge w:val="restart"/>
            <w:shd w:val="clear" w:color="auto" w:fill="auto"/>
            <w:tcMar>
              <w:left w:w="17" w:type="dxa"/>
              <w:right w:w="17" w:type="dxa"/>
            </w:tcMar>
            <w:vAlign w:val="center"/>
            <w:hideMark/>
          </w:tcPr>
          <w:p w14:paraId="51414AA2" w14:textId="77777777" w:rsidR="001C56BD" w:rsidRPr="00305460" w:rsidRDefault="001C56BD" w:rsidP="008A5C11">
            <w:pPr>
              <w:jc w:val="center"/>
              <w:rPr>
                <w:bCs/>
                <w:sz w:val="13"/>
                <w:szCs w:val="13"/>
              </w:rPr>
            </w:pPr>
            <w:r w:rsidRPr="00305460">
              <w:rPr>
                <w:bCs/>
                <w:sz w:val="13"/>
                <w:szCs w:val="13"/>
              </w:rPr>
              <w:t>Обоснование необходимости (цель реализации)</w:t>
            </w:r>
          </w:p>
        </w:tc>
        <w:tc>
          <w:tcPr>
            <w:tcW w:w="280" w:type="pct"/>
            <w:vMerge w:val="restart"/>
            <w:shd w:val="clear" w:color="auto" w:fill="auto"/>
            <w:tcMar>
              <w:left w:w="17" w:type="dxa"/>
              <w:right w:w="17" w:type="dxa"/>
            </w:tcMar>
            <w:vAlign w:val="center"/>
            <w:hideMark/>
          </w:tcPr>
          <w:p w14:paraId="50D9058A" w14:textId="77777777" w:rsidR="001C56BD" w:rsidRPr="00305460" w:rsidRDefault="001C56BD" w:rsidP="008A5C11">
            <w:pPr>
              <w:jc w:val="center"/>
              <w:rPr>
                <w:bCs/>
                <w:sz w:val="13"/>
                <w:szCs w:val="13"/>
              </w:rPr>
            </w:pPr>
            <w:r w:rsidRPr="00305460">
              <w:rPr>
                <w:bCs/>
                <w:sz w:val="13"/>
                <w:szCs w:val="13"/>
              </w:rPr>
              <w:t>Описание и место расположения</w:t>
            </w:r>
            <w:r w:rsidRPr="00305460">
              <w:rPr>
                <w:bCs/>
                <w:sz w:val="13"/>
                <w:szCs w:val="13"/>
              </w:rPr>
              <w:br/>
              <w:t>объекта</w:t>
            </w:r>
          </w:p>
        </w:tc>
        <w:tc>
          <w:tcPr>
            <w:tcW w:w="872" w:type="pct"/>
            <w:gridSpan w:val="4"/>
            <w:shd w:val="clear" w:color="auto" w:fill="auto"/>
            <w:tcMar>
              <w:left w:w="17" w:type="dxa"/>
              <w:right w:w="17" w:type="dxa"/>
            </w:tcMar>
            <w:vAlign w:val="center"/>
            <w:hideMark/>
          </w:tcPr>
          <w:p w14:paraId="30B64D0F" w14:textId="77777777" w:rsidR="001C56BD" w:rsidRPr="00305460" w:rsidRDefault="001C56BD" w:rsidP="008A5C11">
            <w:pPr>
              <w:jc w:val="center"/>
              <w:rPr>
                <w:bCs/>
                <w:sz w:val="13"/>
                <w:szCs w:val="13"/>
              </w:rPr>
            </w:pPr>
            <w:r w:rsidRPr="00305460">
              <w:rPr>
                <w:bCs/>
                <w:sz w:val="13"/>
                <w:szCs w:val="13"/>
              </w:rPr>
              <w:t>Основные технические характеристики</w:t>
            </w:r>
          </w:p>
        </w:tc>
        <w:tc>
          <w:tcPr>
            <w:tcW w:w="140" w:type="pct"/>
            <w:vMerge w:val="restart"/>
            <w:shd w:val="clear" w:color="auto" w:fill="auto"/>
            <w:tcMar>
              <w:left w:w="17" w:type="dxa"/>
              <w:right w:w="17" w:type="dxa"/>
            </w:tcMar>
            <w:vAlign w:val="center"/>
            <w:hideMark/>
          </w:tcPr>
          <w:p w14:paraId="5CB70EB1" w14:textId="77777777" w:rsidR="001C56BD" w:rsidRPr="00305460" w:rsidRDefault="001C56BD" w:rsidP="008A5C11">
            <w:pPr>
              <w:ind w:left="-27"/>
              <w:jc w:val="center"/>
              <w:rPr>
                <w:bCs/>
                <w:sz w:val="13"/>
                <w:szCs w:val="13"/>
              </w:rPr>
            </w:pPr>
            <w:r w:rsidRPr="00305460">
              <w:rPr>
                <w:bCs/>
                <w:sz w:val="13"/>
                <w:szCs w:val="13"/>
              </w:rPr>
              <w:t xml:space="preserve">Год начала </w:t>
            </w:r>
            <w:proofErr w:type="gramStart"/>
            <w:r w:rsidRPr="00305460">
              <w:rPr>
                <w:bCs/>
                <w:sz w:val="13"/>
                <w:szCs w:val="13"/>
              </w:rPr>
              <w:t>реали-зации</w:t>
            </w:r>
            <w:proofErr w:type="gramEnd"/>
            <w:r w:rsidRPr="00305460">
              <w:rPr>
                <w:bCs/>
                <w:sz w:val="13"/>
                <w:szCs w:val="13"/>
              </w:rPr>
              <w:t xml:space="preserve"> меро-при-ятия</w:t>
            </w:r>
          </w:p>
        </w:tc>
        <w:tc>
          <w:tcPr>
            <w:tcW w:w="140" w:type="pct"/>
            <w:vMerge w:val="restart"/>
            <w:shd w:val="clear" w:color="auto" w:fill="auto"/>
            <w:tcMar>
              <w:left w:w="17" w:type="dxa"/>
              <w:right w:w="17" w:type="dxa"/>
            </w:tcMar>
            <w:vAlign w:val="center"/>
            <w:hideMark/>
          </w:tcPr>
          <w:p w14:paraId="75BB78C2" w14:textId="77777777" w:rsidR="001C56BD" w:rsidRPr="00305460" w:rsidRDefault="001C56BD" w:rsidP="008A5C11">
            <w:pPr>
              <w:ind w:left="-3"/>
              <w:jc w:val="center"/>
              <w:rPr>
                <w:bCs/>
                <w:sz w:val="13"/>
                <w:szCs w:val="13"/>
              </w:rPr>
            </w:pPr>
            <w:r w:rsidRPr="00305460">
              <w:rPr>
                <w:bCs/>
                <w:sz w:val="13"/>
                <w:szCs w:val="13"/>
              </w:rPr>
              <w:t xml:space="preserve">Год </w:t>
            </w:r>
            <w:proofErr w:type="gramStart"/>
            <w:r w:rsidRPr="00305460">
              <w:rPr>
                <w:bCs/>
                <w:sz w:val="13"/>
                <w:szCs w:val="13"/>
              </w:rPr>
              <w:t>окон-чания</w:t>
            </w:r>
            <w:proofErr w:type="gramEnd"/>
            <w:r w:rsidRPr="00305460">
              <w:rPr>
                <w:bCs/>
                <w:sz w:val="13"/>
                <w:szCs w:val="13"/>
              </w:rPr>
              <w:t xml:space="preserve"> реали-зации меро-при-ятия</w:t>
            </w:r>
          </w:p>
        </w:tc>
        <w:tc>
          <w:tcPr>
            <w:tcW w:w="2879" w:type="pct"/>
            <w:gridSpan w:val="24"/>
            <w:tcMar>
              <w:left w:w="17" w:type="dxa"/>
              <w:right w:w="17" w:type="dxa"/>
            </w:tcMar>
            <w:vAlign w:val="center"/>
          </w:tcPr>
          <w:p w14:paraId="3414B03A" w14:textId="77777777" w:rsidR="001C56BD" w:rsidRPr="00305460" w:rsidRDefault="001C56BD" w:rsidP="008A5C11">
            <w:pPr>
              <w:jc w:val="center"/>
              <w:rPr>
                <w:bCs/>
                <w:sz w:val="13"/>
                <w:szCs w:val="13"/>
              </w:rPr>
            </w:pPr>
            <w:r w:rsidRPr="00305460">
              <w:rPr>
                <w:bCs/>
                <w:sz w:val="13"/>
                <w:szCs w:val="13"/>
              </w:rPr>
              <w:t>Расходы на реализацию мероприятий в прогнозных ценах, тыс. руб. (с НДС)</w:t>
            </w:r>
          </w:p>
        </w:tc>
      </w:tr>
      <w:tr w:rsidR="001C56BD" w:rsidRPr="00305460" w14:paraId="1E24472C" w14:textId="77777777" w:rsidTr="008A5C11">
        <w:trPr>
          <w:trHeight w:val="902"/>
        </w:trPr>
        <w:tc>
          <w:tcPr>
            <w:tcW w:w="86" w:type="pct"/>
            <w:vMerge/>
            <w:shd w:val="clear" w:color="auto" w:fill="auto"/>
            <w:tcMar>
              <w:left w:w="17" w:type="dxa"/>
              <w:right w:w="17" w:type="dxa"/>
            </w:tcMar>
            <w:vAlign w:val="center"/>
            <w:hideMark/>
          </w:tcPr>
          <w:p w14:paraId="1A408146" w14:textId="77777777" w:rsidR="001C56BD" w:rsidRPr="00305460" w:rsidRDefault="001C56BD" w:rsidP="008A5C11">
            <w:pPr>
              <w:rPr>
                <w:bCs/>
                <w:sz w:val="13"/>
                <w:szCs w:val="13"/>
              </w:rPr>
            </w:pPr>
          </w:p>
        </w:tc>
        <w:tc>
          <w:tcPr>
            <w:tcW w:w="295" w:type="pct"/>
            <w:vMerge/>
            <w:shd w:val="clear" w:color="auto" w:fill="auto"/>
            <w:tcMar>
              <w:left w:w="17" w:type="dxa"/>
              <w:right w:w="17" w:type="dxa"/>
            </w:tcMar>
            <w:vAlign w:val="center"/>
            <w:hideMark/>
          </w:tcPr>
          <w:p w14:paraId="37AC19E5" w14:textId="77777777" w:rsidR="001C56BD" w:rsidRPr="00305460" w:rsidRDefault="001C56BD" w:rsidP="008A5C11">
            <w:pPr>
              <w:rPr>
                <w:bCs/>
                <w:sz w:val="13"/>
                <w:szCs w:val="13"/>
              </w:rPr>
            </w:pPr>
          </w:p>
        </w:tc>
        <w:tc>
          <w:tcPr>
            <w:tcW w:w="307" w:type="pct"/>
            <w:vMerge/>
            <w:shd w:val="clear" w:color="auto" w:fill="auto"/>
            <w:tcMar>
              <w:left w:w="17" w:type="dxa"/>
              <w:right w:w="17" w:type="dxa"/>
            </w:tcMar>
            <w:vAlign w:val="center"/>
            <w:hideMark/>
          </w:tcPr>
          <w:p w14:paraId="606A3A42" w14:textId="77777777" w:rsidR="001C56BD" w:rsidRPr="00305460" w:rsidRDefault="001C56BD" w:rsidP="008A5C11">
            <w:pPr>
              <w:rPr>
                <w:bCs/>
                <w:sz w:val="13"/>
                <w:szCs w:val="13"/>
              </w:rPr>
            </w:pPr>
          </w:p>
        </w:tc>
        <w:tc>
          <w:tcPr>
            <w:tcW w:w="280" w:type="pct"/>
            <w:vMerge/>
            <w:shd w:val="clear" w:color="auto" w:fill="auto"/>
            <w:tcMar>
              <w:left w:w="17" w:type="dxa"/>
              <w:right w:w="17" w:type="dxa"/>
            </w:tcMar>
            <w:vAlign w:val="center"/>
            <w:hideMark/>
          </w:tcPr>
          <w:p w14:paraId="6649EE89" w14:textId="77777777" w:rsidR="001C56BD" w:rsidRPr="00305460" w:rsidRDefault="001C56BD" w:rsidP="008A5C11">
            <w:pPr>
              <w:rPr>
                <w:bCs/>
                <w:sz w:val="13"/>
                <w:szCs w:val="13"/>
              </w:rPr>
            </w:pPr>
          </w:p>
        </w:tc>
        <w:tc>
          <w:tcPr>
            <w:tcW w:w="289" w:type="pct"/>
            <w:vMerge w:val="restart"/>
            <w:shd w:val="clear" w:color="auto" w:fill="auto"/>
            <w:tcMar>
              <w:left w:w="17" w:type="dxa"/>
              <w:right w:w="17" w:type="dxa"/>
            </w:tcMar>
            <w:vAlign w:val="center"/>
            <w:hideMark/>
          </w:tcPr>
          <w:p w14:paraId="3D50E193" w14:textId="77777777" w:rsidR="001C56BD" w:rsidRPr="00305460" w:rsidRDefault="001C56BD" w:rsidP="008A5C11">
            <w:pPr>
              <w:jc w:val="center"/>
              <w:rPr>
                <w:bCs/>
                <w:sz w:val="13"/>
                <w:szCs w:val="13"/>
              </w:rPr>
            </w:pPr>
            <w:r w:rsidRPr="00305460">
              <w:rPr>
                <w:bCs/>
                <w:sz w:val="13"/>
                <w:szCs w:val="13"/>
              </w:rPr>
              <w:t xml:space="preserve">Наименование показателя (мощность, протяженность, диаметр </w:t>
            </w:r>
          </w:p>
          <w:p w14:paraId="62EA9C24" w14:textId="77777777" w:rsidR="001C56BD" w:rsidRPr="00305460" w:rsidRDefault="001C56BD" w:rsidP="008A5C11">
            <w:pPr>
              <w:jc w:val="center"/>
              <w:rPr>
                <w:bCs/>
                <w:sz w:val="13"/>
                <w:szCs w:val="13"/>
              </w:rPr>
            </w:pPr>
            <w:r w:rsidRPr="00305460">
              <w:rPr>
                <w:bCs/>
                <w:sz w:val="13"/>
                <w:szCs w:val="13"/>
              </w:rPr>
              <w:t>и т.п.)</w:t>
            </w:r>
          </w:p>
        </w:tc>
        <w:tc>
          <w:tcPr>
            <w:tcW w:w="137" w:type="pct"/>
            <w:vMerge w:val="restart"/>
            <w:shd w:val="clear" w:color="auto" w:fill="auto"/>
            <w:tcMar>
              <w:left w:w="17" w:type="dxa"/>
              <w:right w:w="17" w:type="dxa"/>
            </w:tcMar>
            <w:vAlign w:val="center"/>
            <w:hideMark/>
          </w:tcPr>
          <w:p w14:paraId="5D7505D1" w14:textId="77777777" w:rsidR="001C56BD" w:rsidRPr="00305460" w:rsidRDefault="001C56BD" w:rsidP="008A5C11">
            <w:pPr>
              <w:ind w:left="-108" w:right="-108"/>
              <w:jc w:val="center"/>
              <w:rPr>
                <w:bCs/>
                <w:sz w:val="13"/>
                <w:szCs w:val="13"/>
              </w:rPr>
            </w:pPr>
            <w:r w:rsidRPr="00305460">
              <w:rPr>
                <w:bCs/>
                <w:sz w:val="13"/>
                <w:szCs w:val="13"/>
              </w:rPr>
              <w:t>Ед.</w:t>
            </w:r>
            <w:r w:rsidRPr="00305460">
              <w:rPr>
                <w:bCs/>
                <w:sz w:val="13"/>
                <w:szCs w:val="13"/>
              </w:rPr>
              <w:br/>
              <w:t>изм.</w:t>
            </w:r>
          </w:p>
        </w:tc>
        <w:tc>
          <w:tcPr>
            <w:tcW w:w="446" w:type="pct"/>
            <w:gridSpan w:val="2"/>
            <w:shd w:val="clear" w:color="auto" w:fill="auto"/>
            <w:tcMar>
              <w:left w:w="17" w:type="dxa"/>
              <w:right w:w="17" w:type="dxa"/>
            </w:tcMar>
            <w:vAlign w:val="center"/>
            <w:hideMark/>
          </w:tcPr>
          <w:p w14:paraId="6D6CFC9D" w14:textId="77777777" w:rsidR="001C56BD" w:rsidRPr="00305460" w:rsidRDefault="001C56BD" w:rsidP="008A5C11">
            <w:pPr>
              <w:jc w:val="center"/>
              <w:rPr>
                <w:bCs/>
                <w:sz w:val="13"/>
                <w:szCs w:val="13"/>
              </w:rPr>
            </w:pPr>
            <w:r w:rsidRPr="00305460">
              <w:rPr>
                <w:bCs/>
                <w:sz w:val="13"/>
                <w:szCs w:val="13"/>
              </w:rPr>
              <w:t>Значение показателя</w:t>
            </w:r>
          </w:p>
        </w:tc>
        <w:tc>
          <w:tcPr>
            <w:tcW w:w="140" w:type="pct"/>
            <w:vMerge/>
            <w:shd w:val="clear" w:color="auto" w:fill="auto"/>
            <w:tcMar>
              <w:left w:w="17" w:type="dxa"/>
              <w:right w:w="17" w:type="dxa"/>
            </w:tcMar>
            <w:vAlign w:val="center"/>
            <w:hideMark/>
          </w:tcPr>
          <w:p w14:paraId="0923FD23" w14:textId="77777777" w:rsidR="001C56BD" w:rsidRPr="00305460" w:rsidRDefault="001C56BD" w:rsidP="008A5C11">
            <w:pPr>
              <w:rPr>
                <w:bCs/>
                <w:sz w:val="13"/>
                <w:szCs w:val="13"/>
              </w:rPr>
            </w:pPr>
          </w:p>
        </w:tc>
        <w:tc>
          <w:tcPr>
            <w:tcW w:w="140" w:type="pct"/>
            <w:vMerge/>
            <w:shd w:val="clear" w:color="auto" w:fill="auto"/>
            <w:tcMar>
              <w:left w:w="17" w:type="dxa"/>
              <w:right w:w="17" w:type="dxa"/>
            </w:tcMar>
            <w:vAlign w:val="center"/>
            <w:hideMark/>
          </w:tcPr>
          <w:p w14:paraId="44B2E2FC" w14:textId="77777777" w:rsidR="001C56BD" w:rsidRPr="00305460" w:rsidRDefault="001C56BD" w:rsidP="008A5C11">
            <w:pPr>
              <w:rPr>
                <w:bCs/>
                <w:sz w:val="13"/>
                <w:szCs w:val="13"/>
              </w:rPr>
            </w:pPr>
          </w:p>
        </w:tc>
        <w:tc>
          <w:tcPr>
            <w:tcW w:w="239" w:type="pct"/>
            <w:gridSpan w:val="3"/>
            <w:shd w:val="clear" w:color="auto" w:fill="auto"/>
            <w:tcMar>
              <w:left w:w="17" w:type="dxa"/>
              <w:right w:w="17" w:type="dxa"/>
            </w:tcMar>
            <w:vAlign w:val="center"/>
            <w:hideMark/>
          </w:tcPr>
          <w:p w14:paraId="1DBAAB06" w14:textId="77777777" w:rsidR="001C56BD" w:rsidRPr="00305460" w:rsidRDefault="001C56BD" w:rsidP="008A5C11">
            <w:pPr>
              <w:jc w:val="center"/>
              <w:rPr>
                <w:bCs/>
                <w:sz w:val="13"/>
                <w:szCs w:val="13"/>
              </w:rPr>
            </w:pPr>
            <w:r w:rsidRPr="00305460">
              <w:rPr>
                <w:bCs/>
                <w:sz w:val="13"/>
                <w:szCs w:val="13"/>
              </w:rPr>
              <w:t>Всего</w:t>
            </w:r>
          </w:p>
        </w:tc>
        <w:tc>
          <w:tcPr>
            <w:tcW w:w="196" w:type="pct"/>
            <w:gridSpan w:val="3"/>
            <w:shd w:val="clear" w:color="auto" w:fill="auto"/>
            <w:tcMar>
              <w:left w:w="17" w:type="dxa"/>
              <w:right w:w="17" w:type="dxa"/>
            </w:tcMar>
            <w:vAlign w:val="center"/>
            <w:hideMark/>
          </w:tcPr>
          <w:p w14:paraId="1D3FD7FA" w14:textId="77777777" w:rsidR="001C56BD" w:rsidRPr="00305460" w:rsidRDefault="001C56BD" w:rsidP="008A5C11">
            <w:pPr>
              <w:jc w:val="center"/>
              <w:rPr>
                <w:bCs/>
                <w:sz w:val="13"/>
                <w:szCs w:val="13"/>
              </w:rPr>
            </w:pPr>
            <w:r w:rsidRPr="00305460">
              <w:rPr>
                <w:bCs/>
                <w:sz w:val="13"/>
                <w:szCs w:val="13"/>
              </w:rPr>
              <w:t xml:space="preserve">Профи-нанси-ровано </w:t>
            </w:r>
          </w:p>
          <w:p w14:paraId="354D60A5" w14:textId="77777777" w:rsidR="001C56BD" w:rsidRPr="00305460" w:rsidRDefault="001C56BD" w:rsidP="008A5C11">
            <w:pPr>
              <w:jc w:val="center"/>
              <w:rPr>
                <w:bCs/>
                <w:sz w:val="13"/>
                <w:szCs w:val="13"/>
              </w:rPr>
            </w:pPr>
            <w:r w:rsidRPr="00305460">
              <w:rPr>
                <w:bCs/>
                <w:sz w:val="13"/>
                <w:szCs w:val="13"/>
              </w:rPr>
              <w:t>к 2022</w:t>
            </w:r>
          </w:p>
        </w:tc>
        <w:tc>
          <w:tcPr>
            <w:tcW w:w="2095" w:type="pct"/>
            <w:gridSpan w:val="16"/>
            <w:shd w:val="clear" w:color="auto" w:fill="auto"/>
            <w:tcMar>
              <w:left w:w="17" w:type="dxa"/>
              <w:right w:w="17" w:type="dxa"/>
            </w:tcMar>
            <w:vAlign w:val="center"/>
            <w:hideMark/>
          </w:tcPr>
          <w:p w14:paraId="74817713" w14:textId="77777777" w:rsidR="001C56BD" w:rsidRPr="00305460" w:rsidRDefault="001C56BD" w:rsidP="008A5C11">
            <w:pPr>
              <w:jc w:val="center"/>
              <w:rPr>
                <w:sz w:val="13"/>
                <w:szCs w:val="13"/>
              </w:rPr>
            </w:pPr>
            <w:r w:rsidRPr="00305460">
              <w:rPr>
                <w:bCs/>
                <w:sz w:val="13"/>
                <w:szCs w:val="13"/>
              </w:rPr>
              <w:t>в т.ч. по годам</w:t>
            </w:r>
          </w:p>
        </w:tc>
        <w:tc>
          <w:tcPr>
            <w:tcW w:w="174" w:type="pct"/>
            <w:tcMar>
              <w:left w:w="17" w:type="dxa"/>
              <w:right w:w="17" w:type="dxa"/>
            </w:tcMar>
          </w:tcPr>
          <w:p w14:paraId="25C20BA4" w14:textId="77777777" w:rsidR="001C56BD" w:rsidRPr="00305460" w:rsidRDefault="001C56BD" w:rsidP="008A5C11">
            <w:pPr>
              <w:jc w:val="center"/>
              <w:rPr>
                <w:sz w:val="13"/>
                <w:szCs w:val="13"/>
              </w:rPr>
            </w:pPr>
            <w:r w:rsidRPr="00305460">
              <w:rPr>
                <w:sz w:val="13"/>
                <w:szCs w:val="13"/>
              </w:rPr>
              <w:t>Остаток финан-сирова-ния</w:t>
            </w:r>
          </w:p>
        </w:tc>
        <w:tc>
          <w:tcPr>
            <w:tcW w:w="176" w:type="pct"/>
            <w:tcMar>
              <w:left w:w="17" w:type="dxa"/>
              <w:right w:w="17" w:type="dxa"/>
            </w:tcMar>
          </w:tcPr>
          <w:p w14:paraId="2045503F" w14:textId="77777777" w:rsidR="001C56BD" w:rsidRPr="00305460" w:rsidRDefault="001C56BD" w:rsidP="008A5C11">
            <w:pPr>
              <w:ind w:left="-30" w:right="-34"/>
              <w:jc w:val="center"/>
              <w:rPr>
                <w:bCs/>
                <w:sz w:val="13"/>
                <w:szCs w:val="13"/>
              </w:rPr>
            </w:pPr>
            <w:r w:rsidRPr="00305460">
              <w:rPr>
                <w:bCs/>
                <w:sz w:val="13"/>
                <w:szCs w:val="13"/>
              </w:rPr>
              <w:t>в т.</w:t>
            </w:r>
            <w:r w:rsidRPr="00305460">
              <w:rPr>
                <w:sz w:val="13"/>
                <w:szCs w:val="13"/>
              </w:rPr>
              <w:t xml:space="preserve">ч. за счет платы за </w:t>
            </w:r>
            <w:proofErr w:type="gramStart"/>
            <w:r w:rsidRPr="00305460">
              <w:rPr>
                <w:sz w:val="13"/>
                <w:szCs w:val="13"/>
              </w:rPr>
              <w:t>подклю-чение</w:t>
            </w:r>
            <w:proofErr w:type="gramEnd"/>
          </w:p>
        </w:tc>
      </w:tr>
      <w:tr w:rsidR="001C56BD" w:rsidRPr="00305460" w14:paraId="0031E7A7" w14:textId="77777777" w:rsidTr="008A5C11">
        <w:trPr>
          <w:trHeight w:val="562"/>
        </w:trPr>
        <w:tc>
          <w:tcPr>
            <w:tcW w:w="86" w:type="pct"/>
            <w:vMerge/>
            <w:shd w:val="clear" w:color="auto" w:fill="auto"/>
            <w:tcMar>
              <w:left w:w="17" w:type="dxa"/>
              <w:right w:w="17" w:type="dxa"/>
            </w:tcMar>
            <w:vAlign w:val="center"/>
            <w:hideMark/>
          </w:tcPr>
          <w:p w14:paraId="70CB24FE" w14:textId="77777777" w:rsidR="001C56BD" w:rsidRPr="00305460" w:rsidRDefault="001C56BD" w:rsidP="008A5C11">
            <w:pPr>
              <w:rPr>
                <w:bCs/>
                <w:sz w:val="13"/>
                <w:szCs w:val="13"/>
              </w:rPr>
            </w:pPr>
          </w:p>
        </w:tc>
        <w:tc>
          <w:tcPr>
            <w:tcW w:w="295" w:type="pct"/>
            <w:vMerge/>
            <w:shd w:val="clear" w:color="auto" w:fill="auto"/>
            <w:tcMar>
              <w:left w:w="17" w:type="dxa"/>
              <w:right w:w="17" w:type="dxa"/>
            </w:tcMar>
            <w:vAlign w:val="center"/>
            <w:hideMark/>
          </w:tcPr>
          <w:p w14:paraId="3C572573" w14:textId="77777777" w:rsidR="001C56BD" w:rsidRPr="00305460" w:rsidRDefault="001C56BD" w:rsidP="008A5C11">
            <w:pPr>
              <w:rPr>
                <w:bCs/>
                <w:sz w:val="13"/>
                <w:szCs w:val="13"/>
              </w:rPr>
            </w:pPr>
          </w:p>
        </w:tc>
        <w:tc>
          <w:tcPr>
            <w:tcW w:w="307" w:type="pct"/>
            <w:vMerge/>
            <w:shd w:val="clear" w:color="auto" w:fill="auto"/>
            <w:tcMar>
              <w:left w:w="17" w:type="dxa"/>
              <w:right w:w="17" w:type="dxa"/>
            </w:tcMar>
            <w:vAlign w:val="center"/>
            <w:hideMark/>
          </w:tcPr>
          <w:p w14:paraId="76448C4F" w14:textId="77777777" w:rsidR="001C56BD" w:rsidRPr="00305460" w:rsidRDefault="001C56BD" w:rsidP="008A5C11">
            <w:pPr>
              <w:rPr>
                <w:bCs/>
                <w:sz w:val="13"/>
                <w:szCs w:val="13"/>
              </w:rPr>
            </w:pPr>
          </w:p>
        </w:tc>
        <w:tc>
          <w:tcPr>
            <w:tcW w:w="280" w:type="pct"/>
            <w:vMerge/>
            <w:shd w:val="clear" w:color="auto" w:fill="auto"/>
            <w:tcMar>
              <w:left w:w="17" w:type="dxa"/>
              <w:right w:w="17" w:type="dxa"/>
            </w:tcMar>
            <w:vAlign w:val="center"/>
            <w:hideMark/>
          </w:tcPr>
          <w:p w14:paraId="3EC7A33E" w14:textId="77777777" w:rsidR="001C56BD" w:rsidRPr="00305460" w:rsidRDefault="001C56BD" w:rsidP="008A5C11">
            <w:pPr>
              <w:rPr>
                <w:bCs/>
                <w:sz w:val="13"/>
                <w:szCs w:val="13"/>
              </w:rPr>
            </w:pPr>
          </w:p>
        </w:tc>
        <w:tc>
          <w:tcPr>
            <w:tcW w:w="289" w:type="pct"/>
            <w:vMerge/>
            <w:shd w:val="clear" w:color="auto" w:fill="auto"/>
            <w:tcMar>
              <w:left w:w="17" w:type="dxa"/>
              <w:right w:w="17" w:type="dxa"/>
            </w:tcMar>
            <w:vAlign w:val="center"/>
            <w:hideMark/>
          </w:tcPr>
          <w:p w14:paraId="0BCE54C6" w14:textId="77777777" w:rsidR="001C56BD" w:rsidRPr="00305460" w:rsidRDefault="001C56BD" w:rsidP="008A5C11">
            <w:pPr>
              <w:rPr>
                <w:bCs/>
                <w:sz w:val="13"/>
                <w:szCs w:val="13"/>
              </w:rPr>
            </w:pPr>
          </w:p>
        </w:tc>
        <w:tc>
          <w:tcPr>
            <w:tcW w:w="137" w:type="pct"/>
            <w:vMerge/>
            <w:shd w:val="clear" w:color="auto" w:fill="auto"/>
            <w:tcMar>
              <w:left w:w="17" w:type="dxa"/>
              <w:right w:w="17" w:type="dxa"/>
            </w:tcMar>
            <w:vAlign w:val="center"/>
            <w:hideMark/>
          </w:tcPr>
          <w:p w14:paraId="0596DBD7" w14:textId="77777777" w:rsidR="001C56BD" w:rsidRPr="00305460" w:rsidRDefault="001C56BD" w:rsidP="008A5C11">
            <w:pPr>
              <w:rPr>
                <w:bCs/>
                <w:sz w:val="13"/>
                <w:szCs w:val="13"/>
              </w:rPr>
            </w:pPr>
          </w:p>
        </w:tc>
        <w:tc>
          <w:tcPr>
            <w:tcW w:w="202" w:type="pct"/>
            <w:shd w:val="clear" w:color="auto" w:fill="auto"/>
            <w:tcMar>
              <w:left w:w="17" w:type="dxa"/>
              <w:right w:w="17" w:type="dxa"/>
            </w:tcMar>
            <w:vAlign w:val="center"/>
            <w:hideMark/>
          </w:tcPr>
          <w:p w14:paraId="077C8B85" w14:textId="77777777" w:rsidR="001C56BD" w:rsidRPr="00305460" w:rsidRDefault="001C56BD" w:rsidP="008A5C11">
            <w:pPr>
              <w:jc w:val="center"/>
              <w:rPr>
                <w:bCs/>
                <w:sz w:val="13"/>
                <w:szCs w:val="13"/>
              </w:rPr>
            </w:pPr>
            <w:r w:rsidRPr="00305460">
              <w:rPr>
                <w:bCs/>
                <w:sz w:val="13"/>
                <w:szCs w:val="13"/>
              </w:rPr>
              <w:t xml:space="preserve">до </w:t>
            </w:r>
            <w:proofErr w:type="gramStart"/>
            <w:r w:rsidRPr="00305460">
              <w:rPr>
                <w:bCs/>
                <w:sz w:val="13"/>
                <w:szCs w:val="13"/>
              </w:rPr>
              <w:t>реа-лизации</w:t>
            </w:r>
            <w:proofErr w:type="gramEnd"/>
            <w:r w:rsidRPr="00305460">
              <w:rPr>
                <w:bCs/>
                <w:sz w:val="13"/>
                <w:szCs w:val="13"/>
              </w:rPr>
              <w:t xml:space="preserve"> меро-приятия</w:t>
            </w:r>
          </w:p>
        </w:tc>
        <w:tc>
          <w:tcPr>
            <w:tcW w:w="244" w:type="pct"/>
            <w:shd w:val="clear" w:color="auto" w:fill="auto"/>
            <w:tcMar>
              <w:left w:w="17" w:type="dxa"/>
              <w:right w:w="17" w:type="dxa"/>
            </w:tcMar>
            <w:vAlign w:val="center"/>
            <w:hideMark/>
          </w:tcPr>
          <w:p w14:paraId="50011A93" w14:textId="77777777" w:rsidR="001C56BD" w:rsidRPr="00305460" w:rsidRDefault="001C56BD" w:rsidP="008A5C11">
            <w:pPr>
              <w:jc w:val="center"/>
              <w:rPr>
                <w:bCs/>
                <w:sz w:val="13"/>
                <w:szCs w:val="13"/>
              </w:rPr>
            </w:pPr>
            <w:r w:rsidRPr="00305460">
              <w:rPr>
                <w:bCs/>
                <w:sz w:val="13"/>
                <w:szCs w:val="13"/>
              </w:rPr>
              <w:t xml:space="preserve">после реализации </w:t>
            </w:r>
            <w:proofErr w:type="gramStart"/>
            <w:r w:rsidRPr="00305460">
              <w:rPr>
                <w:bCs/>
                <w:sz w:val="13"/>
                <w:szCs w:val="13"/>
              </w:rPr>
              <w:t>меро-приятия</w:t>
            </w:r>
            <w:proofErr w:type="gramEnd"/>
          </w:p>
        </w:tc>
        <w:tc>
          <w:tcPr>
            <w:tcW w:w="140" w:type="pct"/>
            <w:shd w:val="clear" w:color="auto" w:fill="auto"/>
            <w:tcMar>
              <w:left w:w="17" w:type="dxa"/>
              <w:right w:w="17" w:type="dxa"/>
            </w:tcMar>
            <w:vAlign w:val="center"/>
            <w:hideMark/>
          </w:tcPr>
          <w:p w14:paraId="55654827" w14:textId="77777777" w:rsidR="001C56BD" w:rsidRPr="00305460" w:rsidRDefault="001C56BD" w:rsidP="008A5C11">
            <w:pPr>
              <w:rPr>
                <w:bCs/>
                <w:sz w:val="13"/>
                <w:szCs w:val="13"/>
              </w:rPr>
            </w:pPr>
          </w:p>
        </w:tc>
        <w:tc>
          <w:tcPr>
            <w:tcW w:w="140" w:type="pct"/>
            <w:shd w:val="clear" w:color="auto" w:fill="auto"/>
            <w:tcMar>
              <w:left w:w="17" w:type="dxa"/>
              <w:right w:w="17" w:type="dxa"/>
            </w:tcMar>
            <w:vAlign w:val="center"/>
            <w:hideMark/>
          </w:tcPr>
          <w:p w14:paraId="298DD656" w14:textId="77777777" w:rsidR="001C56BD" w:rsidRPr="00305460" w:rsidRDefault="001C56BD" w:rsidP="008A5C11">
            <w:pPr>
              <w:rPr>
                <w:bCs/>
                <w:sz w:val="13"/>
                <w:szCs w:val="13"/>
              </w:rPr>
            </w:pPr>
          </w:p>
        </w:tc>
        <w:tc>
          <w:tcPr>
            <w:tcW w:w="239" w:type="pct"/>
            <w:gridSpan w:val="3"/>
            <w:shd w:val="clear" w:color="auto" w:fill="auto"/>
            <w:tcMar>
              <w:left w:w="17" w:type="dxa"/>
              <w:right w:w="17" w:type="dxa"/>
            </w:tcMar>
            <w:vAlign w:val="center"/>
            <w:hideMark/>
          </w:tcPr>
          <w:p w14:paraId="416476BC" w14:textId="77777777" w:rsidR="001C56BD" w:rsidRPr="00305460" w:rsidRDefault="001C56BD" w:rsidP="008A5C11">
            <w:pPr>
              <w:rPr>
                <w:bCs/>
                <w:sz w:val="13"/>
                <w:szCs w:val="13"/>
              </w:rPr>
            </w:pPr>
          </w:p>
        </w:tc>
        <w:tc>
          <w:tcPr>
            <w:tcW w:w="196" w:type="pct"/>
            <w:gridSpan w:val="3"/>
            <w:shd w:val="clear" w:color="auto" w:fill="auto"/>
            <w:tcMar>
              <w:left w:w="17" w:type="dxa"/>
              <w:right w:w="17" w:type="dxa"/>
            </w:tcMar>
            <w:vAlign w:val="center"/>
            <w:hideMark/>
          </w:tcPr>
          <w:p w14:paraId="462BEDCD" w14:textId="77777777" w:rsidR="001C56BD" w:rsidRPr="00305460" w:rsidRDefault="001C56BD" w:rsidP="008A5C11">
            <w:pPr>
              <w:rPr>
                <w:bCs/>
                <w:sz w:val="13"/>
                <w:szCs w:val="13"/>
              </w:rPr>
            </w:pPr>
          </w:p>
        </w:tc>
        <w:tc>
          <w:tcPr>
            <w:tcW w:w="216" w:type="pct"/>
            <w:gridSpan w:val="3"/>
            <w:shd w:val="clear" w:color="auto" w:fill="auto"/>
            <w:tcMar>
              <w:left w:w="17" w:type="dxa"/>
              <w:right w:w="17" w:type="dxa"/>
            </w:tcMar>
            <w:vAlign w:val="center"/>
          </w:tcPr>
          <w:p w14:paraId="1E4EB3B5" w14:textId="77777777" w:rsidR="001C56BD" w:rsidRPr="00305460" w:rsidRDefault="001C56BD" w:rsidP="008A5C11">
            <w:pPr>
              <w:jc w:val="center"/>
              <w:rPr>
                <w:bCs/>
                <w:sz w:val="13"/>
                <w:szCs w:val="13"/>
              </w:rPr>
            </w:pPr>
            <w:r w:rsidRPr="00305460">
              <w:rPr>
                <w:bCs/>
                <w:sz w:val="13"/>
                <w:szCs w:val="13"/>
              </w:rPr>
              <w:t>2022</w:t>
            </w:r>
          </w:p>
        </w:tc>
        <w:tc>
          <w:tcPr>
            <w:tcW w:w="179" w:type="pct"/>
            <w:gridSpan w:val="2"/>
            <w:shd w:val="clear" w:color="auto" w:fill="auto"/>
            <w:tcMar>
              <w:left w:w="17" w:type="dxa"/>
              <w:right w:w="17" w:type="dxa"/>
            </w:tcMar>
            <w:vAlign w:val="center"/>
          </w:tcPr>
          <w:p w14:paraId="4C50DF40" w14:textId="77777777" w:rsidR="001C56BD" w:rsidRPr="00305460" w:rsidRDefault="001C56BD" w:rsidP="008A5C11">
            <w:pPr>
              <w:jc w:val="center"/>
              <w:rPr>
                <w:bCs/>
                <w:sz w:val="13"/>
                <w:szCs w:val="13"/>
              </w:rPr>
            </w:pPr>
            <w:r w:rsidRPr="00305460">
              <w:rPr>
                <w:bCs/>
                <w:sz w:val="13"/>
                <w:szCs w:val="13"/>
              </w:rPr>
              <w:t>2023</w:t>
            </w:r>
          </w:p>
        </w:tc>
        <w:tc>
          <w:tcPr>
            <w:tcW w:w="222" w:type="pct"/>
            <w:gridSpan w:val="2"/>
            <w:shd w:val="clear" w:color="auto" w:fill="auto"/>
            <w:tcMar>
              <w:left w:w="17" w:type="dxa"/>
              <w:right w:w="17" w:type="dxa"/>
            </w:tcMar>
            <w:vAlign w:val="center"/>
          </w:tcPr>
          <w:p w14:paraId="55917271" w14:textId="77777777" w:rsidR="001C56BD" w:rsidRPr="00305460" w:rsidRDefault="001C56BD" w:rsidP="008A5C11">
            <w:pPr>
              <w:jc w:val="center"/>
              <w:rPr>
                <w:bCs/>
                <w:sz w:val="13"/>
                <w:szCs w:val="13"/>
              </w:rPr>
            </w:pPr>
            <w:r w:rsidRPr="00305460">
              <w:rPr>
                <w:bCs/>
                <w:sz w:val="13"/>
                <w:szCs w:val="13"/>
              </w:rPr>
              <w:t>2024</w:t>
            </w:r>
          </w:p>
        </w:tc>
        <w:tc>
          <w:tcPr>
            <w:tcW w:w="213" w:type="pct"/>
            <w:tcMar>
              <w:left w:w="17" w:type="dxa"/>
              <w:right w:w="17" w:type="dxa"/>
            </w:tcMar>
            <w:vAlign w:val="center"/>
          </w:tcPr>
          <w:p w14:paraId="47E02ADF" w14:textId="77777777" w:rsidR="001C56BD" w:rsidRPr="00305460" w:rsidRDefault="001C56BD" w:rsidP="008A5C11">
            <w:pPr>
              <w:ind w:left="-14"/>
              <w:jc w:val="center"/>
              <w:rPr>
                <w:bCs/>
                <w:sz w:val="13"/>
                <w:szCs w:val="13"/>
              </w:rPr>
            </w:pPr>
            <w:r w:rsidRPr="00305460">
              <w:rPr>
                <w:bCs/>
                <w:sz w:val="13"/>
                <w:szCs w:val="13"/>
              </w:rPr>
              <w:t>2025</w:t>
            </w:r>
          </w:p>
        </w:tc>
        <w:tc>
          <w:tcPr>
            <w:tcW w:w="218" w:type="pct"/>
            <w:tcMar>
              <w:left w:w="17" w:type="dxa"/>
              <w:right w:w="17" w:type="dxa"/>
            </w:tcMar>
            <w:vAlign w:val="center"/>
          </w:tcPr>
          <w:p w14:paraId="7DD99456" w14:textId="77777777" w:rsidR="001C56BD" w:rsidRPr="00305460" w:rsidRDefault="001C56BD" w:rsidP="008A5C11">
            <w:pPr>
              <w:jc w:val="center"/>
              <w:rPr>
                <w:bCs/>
                <w:sz w:val="13"/>
                <w:szCs w:val="13"/>
              </w:rPr>
            </w:pPr>
            <w:r w:rsidRPr="00305460">
              <w:rPr>
                <w:bCs/>
                <w:sz w:val="13"/>
                <w:szCs w:val="13"/>
              </w:rPr>
              <w:t>2026</w:t>
            </w:r>
          </w:p>
        </w:tc>
        <w:tc>
          <w:tcPr>
            <w:tcW w:w="218" w:type="pct"/>
            <w:tcMar>
              <w:left w:w="17" w:type="dxa"/>
              <w:right w:w="17" w:type="dxa"/>
            </w:tcMar>
            <w:vAlign w:val="center"/>
          </w:tcPr>
          <w:p w14:paraId="1F1C9397" w14:textId="77777777" w:rsidR="001C56BD" w:rsidRPr="00305460" w:rsidRDefault="001C56BD" w:rsidP="008A5C11">
            <w:pPr>
              <w:jc w:val="center"/>
              <w:rPr>
                <w:bCs/>
                <w:sz w:val="13"/>
                <w:szCs w:val="13"/>
              </w:rPr>
            </w:pPr>
            <w:r w:rsidRPr="00305460">
              <w:rPr>
                <w:bCs/>
                <w:sz w:val="13"/>
                <w:szCs w:val="13"/>
              </w:rPr>
              <w:t>2027</w:t>
            </w:r>
          </w:p>
        </w:tc>
        <w:tc>
          <w:tcPr>
            <w:tcW w:w="218" w:type="pct"/>
            <w:tcMar>
              <w:left w:w="17" w:type="dxa"/>
              <w:right w:w="17" w:type="dxa"/>
            </w:tcMar>
            <w:vAlign w:val="center"/>
          </w:tcPr>
          <w:p w14:paraId="2656D482" w14:textId="77777777" w:rsidR="001C56BD" w:rsidRPr="00305460" w:rsidRDefault="001C56BD" w:rsidP="008A5C11">
            <w:pPr>
              <w:jc w:val="center"/>
              <w:rPr>
                <w:bCs/>
                <w:sz w:val="13"/>
                <w:szCs w:val="13"/>
              </w:rPr>
            </w:pPr>
            <w:r w:rsidRPr="00305460">
              <w:rPr>
                <w:bCs/>
                <w:sz w:val="13"/>
                <w:szCs w:val="13"/>
              </w:rPr>
              <w:t>2028</w:t>
            </w:r>
          </w:p>
        </w:tc>
        <w:tc>
          <w:tcPr>
            <w:tcW w:w="218" w:type="pct"/>
            <w:gridSpan w:val="2"/>
            <w:tcMar>
              <w:left w:w="17" w:type="dxa"/>
              <w:right w:w="17" w:type="dxa"/>
            </w:tcMar>
            <w:vAlign w:val="center"/>
          </w:tcPr>
          <w:p w14:paraId="6C235218" w14:textId="77777777" w:rsidR="001C56BD" w:rsidRPr="00305460" w:rsidRDefault="001C56BD" w:rsidP="008A5C11">
            <w:pPr>
              <w:jc w:val="center"/>
              <w:rPr>
                <w:bCs/>
                <w:sz w:val="13"/>
                <w:szCs w:val="13"/>
              </w:rPr>
            </w:pPr>
            <w:r w:rsidRPr="00305460">
              <w:rPr>
                <w:bCs/>
                <w:sz w:val="13"/>
                <w:szCs w:val="13"/>
              </w:rPr>
              <w:t>2029</w:t>
            </w:r>
          </w:p>
        </w:tc>
        <w:tc>
          <w:tcPr>
            <w:tcW w:w="172" w:type="pct"/>
            <w:gridSpan w:val="2"/>
            <w:tcMar>
              <w:left w:w="17" w:type="dxa"/>
              <w:right w:w="17" w:type="dxa"/>
            </w:tcMar>
            <w:vAlign w:val="center"/>
          </w:tcPr>
          <w:p w14:paraId="22115EE1" w14:textId="77777777" w:rsidR="001C56BD" w:rsidRPr="00305460" w:rsidRDefault="001C56BD" w:rsidP="008A5C11">
            <w:pPr>
              <w:jc w:val="center"/>
              <w:rPr>
                <w:bCs/>
                <w:sz w:val="13"/>
                <w:szCs w:val="13"/>
              </w:rPr>
            </w:pPr>
            <w:r w:rsidRPr="00305460">
              <w:rPr>
                <w:bCs/>
                <w:sz w:val="13"/>
                <w:szCs w:val="13"/>
              </w:rPr>
              <w:t>2030</w:t>
            </w:r>
          </w:p>
        </w:tc>
        <w:tc>
          <w:tcPr>
            <w:tcW w:w="219" w:type="pct"/>
            <w:tcMar>
              <w:left w:w="17" w:type="dxa"/>
              <w:right w:w="17" w:type="dxa"/>
            </w:tcMar>
            <w:vAlign w:val="center"/>
          </w:tcPr>
          <w:p w14:paraId="0F719078" w14:textId="77777777" w:rsidR="001C56BD" w:rsidRPr="00305460" w:rsidRDefault="001C56BD" w:rsidP="008A5C11">
            <w:pPr>
              <w:jc w:val="center"/>
              <w:rPr>
                <w:bCs/>
                <w:sz w:val="13"/>
                <w:szCs w:val="13"/>
              </w:rPr>
            </w:pPr>
            <w:r w:rsidRPr="00305460">
              <w:rPr>
                <w:bCs/>
                <w:sz w:val="13"/>
                <w:szCs w:val="13"/>
              </w:rPr>
              <w:t>2031</w:t>
            </w:r>
          </w:p>
        </w:tc>
        <w:tc>
          <w:tcPr>
            <w:tcW w:w="174" w:type="pct"/>
            <w:tcMar>
              <w:left w:w="17" w:type="dxa"/>
              <w:right w:w="17" w:type="dxa"/>
            </w:tcMar>
          </w:tcPr>
          <w:p w14:paraId="12BFFDF3" w14:textId="77777777" w:rsidR="001C56BD" w:rsidRPr="00305460" w:rsidRDefault="001C56BD" w:rsidP="008A5C11">
            <w:pPr>
              <w:rPr>
                <w:bCs/>
                <w:sz w:val="13"/>
                <w:szCs w:val="13"/>
              </w:rPr>
            </w:pPr>
          </w:p>
        </w:tc>
        <w:tc>
          <w:tcPr>
            <w:tcW w:w="176" w:type="pct"/>
            <w:tcMar>
              <w:left w:w="17" w:type="dxa"/>
              <w:right w:w="17" w:type="dxa"/>
            </w:tcMar>
          </w:tcPr>
          <w:p w14:paraId="6A7E0926" w14:textId="77777777" w:rsidR="001C56BD" w:rsidRPr="00305460" w:rsidRDefault="001C56BD" w:rsidP="008A5C11">
            <w:pPr>
              <w:rPr>
                <w:bCs/>
                <w:sz w:val="13"/>
                <w:szCs w:val="13"/>
              </w:rPr>
            </w:pPr>
          </w:p>
        </w:tc>
      </w:tr>
      <w:tr w:rsidR="001C56BD" w:rsidRPr="00305460" w14:paraId="2FF81DB2" w14:textId="77777777" w:rsidTr="008A5C11">
        <w:trPr>
          <w:trHeight w:val="56"/>
        </w:trPr>
        <w:tc>
          <w:tcPr>
            <w:tcW w:w="86" w:type="pct"/>
            <w:shd w:val="clear" w:color="auto" w:fill="auto"/>
            <w:tcMar>
              <w:left w:w="17" w:type="dxa"/>
              <w:right w:w="17" w:type="dxa"/>
            </w:tcMar>
            <w:vAlign w:val="center"/>
          </w:tcPr>
          <w:p w14:paraId="159093EA" w14:textId="77777777" w:rsidR="001C56BD" w:rsidRPr="00305460" w:rsidRDefault="001C56BD" w:rsidP="008A5C11">
            <w:pPr>
              <w:jc w:val="center"/>
              <w:rPr>
                <w:bCs/>
                <w:sz w:val="13"/>
                <w:szCs w:val="13"/>
              </w:rPr>
            </w:pPr>
            <w:r w:rsidRPr="00305460">
              <w:rPr>
                <w:bCs/>
                <w:sz w:val="13"/>
                <w:szCs w:val="13"/>
              </w:rPr>
              <w:t>1</w:t>
            </w:r>
          </w:p>
        </w:tc>
        <w:tc>
          <w:tcPr>
            <w:tcW w:w="295" w:type="pct"/>
            <w:shd w:val="clear" w:color="auto" w:fill="auto"/>
            <w:tcMar>
              <w:left w:w="17" w:type="dxa"/>
              <w:right w:w="17" w:type="dxa"/>
            </w:tcMar>
            <w:vAlign w:val="center"/>
          </w:tcPr>
          <w:p w14:paraId="66872BDC" w14:textId="77777777" w:rsidR="001C56BD" w:rsidRPr="00305460" w:rsidRDefault="001C56BD" w:rsidP="008A5C11">
            <w:pPr>
              <w:jc w:val="center"/>
              <w:rPr>
                <w:bCs/>
                <w:sz w:val="13"/>
                <w:szCs w:val="13"/>
              </w:rPr>
            </w:pPr>
            <w:r w:rsidRPr="00305460">
              <w:rPr>
                <w:bCs/>
                <w:sz w:val="13"/>
                <w:szCs w:val="13"/>
              </w:rPr>
              <w:t>2</w:t>
            </w:r>
          </w:p>
        </w:tc>
        <w:tc>
          <w:tcPr>
            <w:tcW w:w="307" w:type="pct"/>
            <w:shd w:val="clear" w:color="auto" w:fill="auto"/>
            <w:tcMar>
              <w:left w:w="17" w:type="dxa"/>
              <w:right w:w="17" w:type="dxa"/>
            </w:tcMar>
            <w:vAlign w:val="center"/>
          </w:tcPr>
          <w:p w14:paraId="6AAA7370" w14:textId="77777777" w:rsidR="001C56BD" w:rsidRPr="00305460" w:rsidRDefault="001C56BD" w:rsidP="008A5C11">
            <w:pPr>
              <w:jc w:val="center"/>
              <w:rPr>
                <w:bCs/>
                <w:sz w:val="13"/>
                <w:szCs w:val="13"/>
              </w:rPr>
            </w:pPr>
            <w:r w:rsidRPr="00305460">
              <w:rPr>
                <w:bCs/>
                <w:sz w:val="13"/>
                <w:szCs w:val="13"/>
              </w:rPr>
              <w:t>3</w:t>
            </w:r>
          </w:p>
        </w:tc>
        <w:tc>
          <w:tcPr>
            <w:tcW w:w="280" w:type="pct"/>
            <w:shd w:val="clear" w:color="auto" w:fill="auto"/>
            <w:tcMar>
              <w:left w:w="17" w:type="dxa"/>
              <w:right w:w="17" w:type="dxa"/>
            </w:tcMar>
            <w:vAlign w:val="center"/>
          </w:tcPr>
          <w:p w14:paraId="281B7DE9" w14:textId="77777777" w:rsidR="001C56BD" w:rsidRPr="00305460" w:rsidRDefault="001C56BD" w:rsidP="008A5C11">
            <w:pPr>
              <w:jc w:val="center"/>
              <w:rPr>
                <w:bCs/>
                <w:sz w:val="13"/>
                <w:szCs w:val="13"/>
              </w:rPr>
            </w:pPr>
            <w:r w:rsidRPr="00305460">
              <w:rPr>
                <w:bCs/>
                <w:sz w:val="13"/>
                <w:szCs w:val="13"/>
              </w:rPr>
              <w:t>4</w:t>
            </w:r>
          </w:p>
        </w:tc>
        <w:tc>
          <w:tcPr>
            <w:tcW w:w="289" w:type="pct"/>
            <w:shd w:val="clear" w:color="auto" w:fill="auto"/>
            <w:tcMar>
              <w:left w:w="17" w:type="dxa"/>
              <w:right w:w="17" w:type="dxa"/>
            </w:tcMar>
            <w:vAlign w:val="center"/>
          </w:tcPr>
          <w:p w14:paraId="41BA0E8A" w14:textId="77777777" w:rsidR="001C56BD" w:rsidRPr="00305460" w:rsidRDefault="001C56BD" w:rsidP="008A5C11">
            <w:pPr>
              <w:jc w:val="center"/>
              <w:rPr>
                <w:bCs/>
                <w:sz w:val="13"/>
                <w:szCs w:val="13"/>
              </w:rPr>
            </w:pPr>
            <w:r w:rsidRPr="00305460">
              <w:rPr>
                <w:bCs/>
                <w:sz w:val="13"/>
                <w:szCs w:val="13"/>
              </w:rPr>
              <w:t>5</w:t>
            </w:r>
          </w:p>
        </w:tc>
        <w:tc>
          <w:tcPr>
            <w:tcW w:w="137" w:type="pct"/>
            <w:shd w:val="clear" w:color="auto" w:fill="auto"/>
            <w:tcMar>
              <w:left w:w="17" w:type="dxa"/>
              <w:right w:w="17" w:type="dxa"/>
            </w:tcMar>
            <w:vAlign w:val="center"/>
          </w:tcPr>
          <w:p w14:paraId="19CC9522" w14:textId="77777777" w:rsidR="001C56BD" w:rsidRPr="00305460" w:rsidRDefault="001C56BD" w:rsidP="008A5C11">
            <w:pPr>
              <w:jc w:val="center"/>
              <w:rPr>
                <w:bCs/>
                <w:sz w:val="13"/>
                <w:szCs w:val="13"/>
              </w:rPr>
            </w:pPr>
            <w:r w:rsidRPr="00305460">
              <w:rPr>
                <w:bCs/>
                <w:sz w:val="13"/>
                <w:szCs w:val="13"/>
              </w:rPr>
              <w:t>6</w:t>
            </w:r>
          </w:p>
        </w:tc>
        <w:tc>
          <w:tcPr>
            <w:tcW w:w="202" w:type="pct"/>
            <w:shd w:val="clear" w:color="auto" w:fill="auto"/>
            <w:tcMar>
              <w:left w:w="17" w:type="dxa"/>
              <w:right w:w="17" w:type="dxa"/>
            </w:tcMar>
            <w:vAlign w:val="center"/>
          </w:tcPr>
          <w:p w14:paraId="5881FA63" w14:textId="77777777" w:rsidR="001C56BD" w:rsidRPr="00305460" w:rsidRDefault="001C56BD" w:rsidP="008A5C11">
            <w:pPr>
              <w:jc w:val="center"/>
              <w:rPr>
                <w:bCs/>
                <w:sz w:val="13"/>
                <w:szCs w:val="13"/>
              </w:rPr>
            </w:pPr>
            <w:r w:rsidRPr="00305460">
              <w:rPr>
                <w:bCs/>
                <w:sz w:val="13"/>
                <w:szCs w:val="13"/>
              </w:rPr>
              <w:t>7</w:t>
            </w:r>
          </w:p>
        </w:tc>
        <w:tc>
          <w:tcPr>
            <w:tcW w:w="244" w:type="pct"/>
            <w:shd w:val="clear" w:color="auto" w:fill="auto"/>
            <w:tcMar>
              <w:left w:w="17" w:type="dxa"/>
              <w:right w:w="17" w:type="dxa"/>
            </w:tcMar>
            <w:vAlign w:val="center"/>
          </w:tcPr>
          <w:p w14:paraId="0D6F9B48" w14:textId="77777777" w:rsidR="001C56BD" w:rsidRPr="00305460" w:rsidRDefault="001C56BD" w:rsidP="008A5C11">
            <w:pPr>
              <w:jc w:val="center"/>
              <w:rPr>
                <w:bCs/>
                <w:sz w:val="13"/>
                <w:szCs w:val="13"/>
              </w:rPr>
            </w:pPr>
            <w:r w:rsidRPr="00305460">
              <w:rPr>
                <w:bCs/>
                <w:sz w:val="13"/>
                <w:szCs w:val="13"/>
              </w:rPr>
              <w:t>8</w:t>
            </w:r>
          </w:p>
        </w:tc>
        <w:tc>
          <w:tcPr>
            <w:tcW w:w="140" w:type="pct"/>
            <w:shd w:val="clear" w:color="auto" w:fill="auto"/>
            <w:tcMar>
              <w:left w:w="17" w:type="dxa"/>
              <w:right w:w="17" w:type="dxa"/>
            </w:tcMar>
            <w:vAlign w:val="center"/>
          </w:tcPr>
          <w:p w14:paraId="0DA4E18A" w14:textId="77777777" w:rsidR="001C56BD" w:rsidRPr="00305460" w:rsidRDefault="001C56BD" w:rsidP="008A5C11">
            <w:pPr>
              <w:jc w:val="center"/>
              <w:rPr>
                <w:bCs/>
                <w:sz w:val="13"/>
                <w:szCs w:val="13"/>
              </w:rPr>
            </w:pPr>
            <w:r w:rsidRPr="00305460">
              <w:rPr>
                <w:bCs/>
                <w:sz w:val="13"/>
                <w:szCs w:val="13"/>
              </w:rPr>
              <w:t>9</w:t>
            </w:r>
          </w:p>
        </w:tc>
        <w:tc>
          <w:tcPr>
            <w:tcW w:w="140" w:type="pct"/>
            <w:shd w:val="clear" w:color="auto" w:fill="auto"/>
            <w:tcMar>
              <w:left w:w="17" w:type="dxa"/>
              <w:right w:w="17" w:type="dxa"/>
            </w:tcMar>
            <w:vAlign w:val="center"/>
          </w:tcPr>
          <w:p w14:paraId="096D3072" w14:textId="77777777" w:rsidR="001C56BD" w:rsidRPr="00305460" w:rsidRDefault="001C56BD" w:rsidP="008A5C11">
            <w:pPr>
              <w:jc w:val="center"/>
              <w:rPr>
                <w:bCs/>
                <w:sz w:val="13"/>
                <w:szCs w:val="13"/>
              </w:rPr>
            </w:pPr>
            <w:r w:rsidRPr="00305460">
              <w:rPr>
                <w:bCs/>
                <w:sz w:val="13"/>
                <w:szCs w:val="13"/>
              </w:rPr>
              <w:t>10</w:t>
            </w:r>
          </w:p>
        </w:tc>
        <w:tc>
          <w:tcPr>
            <w:tcW w:w="239" w:type="pct"/>
            <w:gridSpan w:val="3"/>
            <w:shd w:val="clear" w:color="auto" w:fill="auto"/>
            <w:tcMar>
              <w:left w:w="17" w:type="dxa"/>
              <w:right w:w="17" w:type="dxa"/>
            </w:tcMar>
            <w:vAlign w:val="center"/>
          </w:tcPr>
          <w:p w14:paraId="3CE83991" w14:textId="77777777" w:rsidR="001C56BD" w:rsidRPr="00305460" w:rsidRDefault="001C56BD" w:rsidP="008A5C11">
            <w:pPr>
              <w:jc w:val="center"/>
              <w:rPr>
                <w:bCs/>
                <w:sz w:val="13"/>
                <w:szCs w:val="13"/>
              </w:rPr>
            </w:pPr>
            <w:r w:rsidRPr="00305460">
              <w:rPr>
                <w:bCs/>
                <w:sz w:val="13"/>
                <w:szCs w:val="13"/>
              </w:rPr>
              <w:t>11</w:t>
            </w:r>
          </w:p>
        </w:tc>
        <w:tc>
          <w:tcPr>
            <w:tcW w:w="196" w:type="pct"/>
            <w:gridSpan w:val="3"/>
            <w:shd w:val="clear" w:color="auto" w:fill="auto"/>
            <w:tcMar>
              <w:left w:w="17" w:type="dxa"/>
              <w:right w:w="17" w:type="dxa"/>
            </w:tcMar>
            <w:vAlign w:val="center"/>
          </w:tcPr>
          <w:p w14:paraId="33F53356" w14:textId="77777777" w:rsidR="001C56BD" w:rsidRPr="00305460" w:rsidRDefault="001C56BD" w:rsidP="008A5C11">
            <w:pPr>
              <w:jc w:val="center"/>
              <w:rPr>
                <w:bCs/>
                <w:sz w:val="13"/>
                <w:szCs w:val="13"/>
              </w:rPr>
            </w:pPr>
            <w:r w:rsidRPr="00305460">
              <w:rPr>
                <w:bCs/>
                <w:sz w:val="13"/>
                <w:szCs w:val="13"/>
              </w:rPr>
              <w:t>12</w:t>
            </w:r>
          </w:p>
        </w:tc>
        <w:tc>
          <w:tcPr>
            <w:tcW w:w="216" w:type="pct"/>
            <w:gridSpan w:val="3"/>
            <w:shd w:val="clear" w:color="auto" w:fill="auto"/>
            <w:tcMar>
              <w:left w:w="17" w:type="dxa"/>
              <w:right w:w="17" w:type="dxa"/>
            </w:tcMar>
            <w:vAlign w:val="center"/>
          </w:tcPr>
          <w:p w14:paraId="60BF44E7" w14:textId="77777777" w:rsidR="001C56BD" w:rsidRPr="00305460" w:rsidRDefault="001C56BD" w:rsidP="008A5C11">
            <w:pPr>
              <w:jc w:val="center"/>
              <w:rPr>
                <w:bCs/>
                <w:sz w:val="13"/>
                <w:szCs w:val="13"/>
              </w:rPr>
            </w:pPr>
            <w:r w:rsidRPr="00305460">
              <w:rPr>
                <w:bCs/>
                <w:sz w:val="13"/>
                <w:szCs w:val="13"/>
              </w:rPr>
              <w:t>13</w:t>
            </w:r>
          </w:p>
        </w:tc>
        <w:tc>
          <w:tcPr>
            <w:tcW w:w="179" w:type="pct"/>
            <w:gridSpan w:val="2"/>
            <w:shd w:val="clear" w:color="auto" w:fill="auto"/>
            <w:tcMar>
              <w:left w:w="17" w:type="dxa"/>
              <w:right w:w="17" w:type="dxa"/>
            </w:tcMar>
            <w:vAlign w:val="center"/>
          </w:tcPr>
          <w:p w14:paraId="24C349E1" w14:textId="77777777" w:rsidR="001C56BD" w:rsidRPr="00305460" w:rsidRDefault="001C56BD" w:rsidP="008A5C11">
            <w:pPr>
              <w:jc w:val="center"/>
              <w:rPr>
                <w:bCs/>
                <w:sz w:val="13"/>
                <w:szCs w:val="13"/>
              </w:rPr>
            </w:pPr>
            <w:r w:rsidRPr="00305460">
              <w:rPr>
                <w:bCs/>
                <w:sz w:val="13"/>
                <w:szCs w:val="13"/>
              </w:rPr>
              <w:t>14</w:t>
            </w:r>
          </w:p>
        </w:tc>
        <w:tc>
          <w:tcPr>
            <w:tcW w:w="222" w:type="pct"/>
            <w:gridSpan w:val="2"/>
            <w:shd w:val="clear" w:color="auto" w:fill="auto"/>
            <w:tcMar>
              <w:left w:w="17" w:type="dxa"/>
              <w:right w:w="17" w:type="dxa"/>
            </w:tcMar>
            <w:vAlign w:val="center"/>
          </w:tcPr>
          <w:p w14:paraId="72F60F28" w14:textId="77777777" w:rsidR="001C56BD" w:rsidRPr="00305460" w:rsidRDefault="001C56BD" w:rsidP="008A5C11">
            <w:pPr>
              <w:jc w:val="center"/>
              <w:rPr>
                <w:bCs/>
                <w:sz w:val="13"/>
                <w:szCs w:val="13"/>
              </w:rPr>
            </w:pPr>
            <w:r w:rsidRPr="00305460">
              <w:rPr>
                <w:bCs/>
                <w:sz w:val="13"/>
                <w:szCs w:val="13"/>
              </w:rPr>
              <w:t>15</w:t>
            </w:r>
          </w:p>
        </w:tc>
        <w:tc>
          <w:tcPr>
            <w:tcW w:w="213" w:type="pct"/>
            <w:tcMar>
              <w:left w:w="17" w:type="dxa"/>
              <w:right w:w="17" w:type="dxa"/>
            </w:tcMar>
            <w:vAlign w:val="center"/>
          </w:tcPr>
          <w:p w14:paraId="64B06A3D" w14:textId="77777777" w:rsidR="001C56BD" w:rsidRPr="00305460" w:rsidRDefault="001C56BD" w:rsidP="008A5C11">
            <w:pPr>
              <w:jc w:val="center"/>
              <w:rPr>
                <w:bCs/>
                <w:sz w:val="13"/>
                <w:szCs w:val="13"/>
              </w:rPr>
            </w:pPr>
            <w:r w:rsidRPr="00305460">
              <w:rPr>
                <w:bCs/>
                <w:sz w:val="13"/>
                <w:szCs w:val="13"/>
              </w:rPr>
              <w:t>16</w:t>
            </w:r>
          </w:p>
        </w:tc>
        <w:tc>
          <w:tcPr>
            <w:tcW w:w="218" w:type="pct"/>
            <w:tcMar>
              <w:left w:w="17" w:type="dxa"/>
              <w:right w:w="17" w:type="dxa"/>
            </w:tcMar>
            <w:vAlign w:val="center"/>
          </w:tcPr>
          <w:p w14:paraId="5EE897FA" w14:textId="77777777" w:rsidR="001C56BD" w:rsidRPr="00305460" w:rsidRDefault="001C56BD" w:rsidP="008A5C11">
            <w:pPr>
              <w:jc w:val="center"/>
              <w:rPr>
                <w:bCs/>
                <w:sz w:val="13"/>
                <w:szCs w:val="13"/>
              </w:rPr>
            </w:pPr>
            <w:r w:rsidRPr="00305460">
              <w:rPr>
                <w:bCs/>
                <w:sz w:val="13"/>
                <w:szCs w:val="13"/>
              </w:rPr>
              <w:t>17</w:t>
            </w:r>
          </w:p>
        </w:tc>
        <w:tc>
          <w:tcPr>
            <w:tcW w:w="218" w:type="pct"/>
            <w:tcMar>
              <w:left w:w="17" w:type="dxa"/>
              <w:right w:w="17" w:type="dxa"/>
            </w:tcMar>
            <w:vAlign w:val="center"/>
          </w:tcPr>
          <w:p w14:paraId="1C1B284A" w14:textId="77777777" w:rsidR="001C56BD" w:rsidRPr="00305460" w:rsidRDefault="001C56BD" w:rsidP="008A5C11">
            <w:pPr>
              <w:jc w:val="center"/>
              <w:rPr>
                <w:bCs/>
                <w:sz w:val="13"/>
                <w:szCs w:val="13"/>
              </w:rPr>
            </w:pPr>
            <w:r w:rsidRPr="00305460">
              <w:rPr>
                <w:bCs/>
                <w:sz w:val="13"/>
                <w:szCs w:val="13"/>
              </w:rPr>
              <w:t>18</w:t>
            </w:r>
          </w:p>
        </w:tc>
        <w:tc>
          <w:tcPr>
            <w:tcW w:w="218" w:type="pct"/>
            <w:tcMar>
              <w:left w:w="17" w:type="dxa"/>
              <w:right w:w="17" w:type="dxa"/>
            </w:tcMar>
            <w:vAlign w:val="center"/>
          </w:tcPr>
          <w:p w14:paraId="58E569E3" w14:textId="77777777" w:rsidR="001C56BD" w:rsidRPr="00305460" w:rsidRDefault="001C56BD" w:rsidP="008A5C11">
            <w:pPr>
              <w:jc w:val="center"/>
              <w:rPr>
                <w:bCs/>
                <w:sz w:val="13"/>
                <w:szCs w:val="13"/>
              </w:rPr>
            </w:pPr>
            <w:r w:rsidRPr="00305460">
              <w:rPr>
                <w:bCs/>
                <w:sz w:val="13"/>
                <w:szCs w:val="13"/>
              </w:rPr>
              <w:t>19</w:t>
            </w:r>
          </w:p>
        </w:tc>
        <w:tc>
          <w:tcPr>
            <w:tcW w:w="218" w:type="pct"/>
            <w:gridSpan w:val="2"/>
            <w:tcMar>
              <w:left w:w="17" w:type="dxa"/>
              <w:right w:w="17" w:type="dxa"/>
            </w:tcMar>
            <w:vAlign w:val="center"/>
          </w:tcPr>
          <w:p w14:paraId="741BFC7C" w14:textId="77777777" w:rsidR="001C56BD" w:rsidRPr="00305460" w:rsidRDefault="001C56BD" w:rsidP="008A5C11">
            <w:pPr>
              <w:jc w:val="center"/>
              <w:rPr>
                <w:bCs/>
                <w:sz w:val="13"/>
                <w:szCs w:val="13"/>
              </w:rPr>
            </w:pPr>
            <w:r w:rsidRPr="00305460">
              <w:rPr>
                <w:bCs/>
                <w:sz w:val="13"/>
                <w:szCs w:val="13"/>
              </w:rPr>
              <w:t>20</w:t>
            </w:r>
          </w:p>
        </w:tc>
        <w:tc>
          <w:tcPr>
            <w:tcW w:w="172" w:type="pct"/>
            <w:gridSpan w:val="2"/>
            <w:tcMar>
              <w:left w:w="17" w:type="dxa"/>
              <w:right w:w="17" w:type="dxa"/>
            </w:tcMar>
            <w:vAlign w:val="center"/>
          </w:tcPr>
          <w:p w14:paraId="70B204C6" w14:textId="77777777" w:rsidR="001C56BD" w:rsidRPr="00305460" w:rsidRDefault="001C56BD" w:rsidP="008A5C11">
            <w:pPr>
              <w:jc w:val="center"/>
              <w:rPr>
                <w:bCs/>
                <w:sz w:val="13"/>
                <w:szCs w:val="13"/>
              </w:rPr>
            </w:pPr>
            <w:r w:rsidRPr="00305460">
              <w:rPr>
                <w:bCs/>
                <w:sz w:val="13"/>
                <w:szCs w:val="13"/>
              </w:rPr>
              <w:t>21</w:t>
            </w:r>
          </w:p>
        </w:tc>
        <w:tc>
          <w:tcPr>
            <w:tcW w:w="219" w:type="pct"/>
            <w:tcMar>
              <w:left w:w="17" w:type="dxa"/>
              <w:right w:w="17" w:type="dxa"/>
            </w:tcMar>
            <w:vAlign w:val="center"/>
          </w:tcPr>
          <w:p w14:paraId="786E1723" w14:textId="77777777" w:rsidR="001C56BD" w:rsidRPr="00305460" w:rsidRDefault="001C56BD" w:rsidP="008A5C11">
            <w:pPr>
              <w:jc w:val="center"/>
              <w:rPr>
                <w:bCs/>
                <w:sz w:val="13"/>
                <w:szCs w:val="13"/>
              </w:rPr>
            </w:pPr>
            <w:r w:rsidRPr="00305460">
              <w:rPr>
                <w:bCs/>
                <w:sz w:val="13"/>
                <w:szCs w:val="13"/>
              </w:rPr>
              <w:t>22</w:t>
            </w:r>
          </w:p>
        </w:tc>
        <w:tc>
          <w:tcPr>
            <w:tcW w:w="174" w:type="pct"/>
            <w:tcMar>
              <w:left w:w="17" w:type="dxa"/>
              <w:right w:w="17" w:type="dxa"/>
            </w:tcMar>
            <w:vAlign w:val="center"/>
          </w:tcPr>
          <w:p w14:paraId="327A999E" w14:textId="77777777" w:rsidR="001C56BD" w:rsidRPr="00305460" w:rsidRDefault="001C56BD" w:rsidP="008A5C11">
            <w:pPr>
              <w:jc w:val="center"/>
              <w:rPr>
                <w:bCs/>
                <w:sz w:val="13"/>
                <w:szCs w:val="13"/>
              </w:rPr>
            </w:pPr>
            <w:r w:rsidRPr="00305460">
              <w:rPr>
                <w:bCs/>
                <w:sz w:val="13"/>
                <w:szCs w:val="13"/>
              </w:rPr>
              <w:t>23</w:t>
            </w:r>
          </w:p>
        </w:tc>
        <w:tc>
          <w:tcPr>
            <w:tcW w:w="176" w:type="pct"/>
            <w:tcMar>
              <w:left w:w="17" w:type="dxa"/>
              <w:right w:w="17" w:type="dxa"/>
            </w:tcMar>
            <w:vAlign w:val="center"/>
          </w:tcPr>
          <w:p w14:paraId="24641EA3" w14:textId="77777777" w:rsidR="001C56BD" w:rsidRPr="00305460" w:rsidRDefault="001C56BD" w:rsidP="008A5C11">
            <w:pPr>
              <w:jc w:val="center"/>
              <w:rPr>
                <w:bCs/>
                <w:sz w:val="13"/>
                <w:szCs w:val="13"/>
              </w:rPr>
            </w:pPr>
            <w:r w:rsidRPr="00305460">
              <w:rPr>
                <w:bCs/>
                <w:sz w:val="13"/>
                <w:szCs w:val="13"/>
              </w:rPr>
              <w:t>24</w:t>
            </w:r>
          </w:p>
        </w:tc>
      </w:tr>
      <w:tr w:rsidR="001C56BD" w:rsidRPr="00305460" w14:paraId="4E027748" w14:textId="77777777" w:rsidTr="008A5C11">
        <w:trPr>
          <w:trHeight w:val="56"/>
        </w:trPr>
        <w:tc>
          <w:tcPr>
            <w:tcW w:w="5000" w:type="pct"/>
            <w:gridSpan w:val="34"/>
            <w:tcMar>
              <w:left w:w="17" w:type="dxa"/>
              <w:right w:w="17" w:type="dxa"/>
            </w:tcMar>
          </w:tcPr>
          <w:p w14:paraId="5C97FE45" w14:textId="77777777" w:rsidR="001C56BD" w:rsidRPr="00305460" w:rsidRDefault="001C56BD" w:rsidP="008A5C11">
            <w:pPr>
              <w:rPr>
                <w:sz w:val="13"/>
                <w:szCs w:val="13"/>
              </w:rPr>
            </w:pPr>
            <w:r w:rsidRPr="00305460">
              <w:rPr>
                <w:sz w:val="13"/>
                <w:szCs w:val="13"/>
              </w:rPr>
              <w:t>Группа 1. Строительство, реконструкция или модернизация объектов в целях подключения потребителей:</w:t>
            </w:r>
          </w:p>
        </w:tc>
      </w:tr>
      <w:tr w:rsidR="001C56BD" w:rsidRPr="00305460" w14:paraId="4E05427C" w14:textId="77777777" w:rsidTr="008A5C11">
        <w:trPr>
          <w:trHeight w:val="56"/>
        </w:trPr>
        <w:tc>
          <w:tcPr>
            <w:tcW w:w="5000" w:type="pct"/>
            <w:gridSpan w:val="34"/>
            <w:tcMar>
              <w:left w:w="17" w:type="dxa"/>
              <w:right w:w="17" w:type="dxa"/>
            </w:tcMar>
          </w:tcPr>
          <w:p w14:paraId="4FA6D34E" w14:textId="77777777" w:rsidR="001C56BD" w:rsidRPr="00305460" w:rsidRDefault="001C56BD" w:rsidP="008A5C11">
            <w:pPr>
              <w:rPr>
                <w:sz w:val="13"/>
                <w:szCs w:val="13"/>
              </w:rPr>
            </w:pPr>
            <w:r w:rsidRPr="00305460">
              <w:rPr>
                <w:sz w:val="13"/>
                <w:szCs w:val="13"/>
              </w:rPr>
              <w:t>1.1. Строительство новых тепловых сетей в целях подключения потребителей</w:t>
            </w:r>
          </w:p>
        </w:tc>
      </w:tr>
      <w:tr w:rsidR="001C56BD" w:rsidRPr="00305460" w14:paraId="6B34CD1B" w14:textId="77777777" w:rsidTr="008A5C11">
        <w:trPr>
          <w:trHeight w:val="56"/>
        </w:trPr>
        <w:tc>
          <w:tcPr>
            <w:tcW w:w="86" w:type="pct"/>
            <w:vMerge w:val="restart"/>
            <w:shd w:val="clear" w:color="auto" w:fill="auto"/>
            <w:tcMar>
              <w:left w:w="17" w:type="dxa"/>
              <w:right w:w="17" w:type="dxa"/>
            </w:tcMar>
            <w:vAlign w:val="center"/>
          </w:tcPr>
          <w:p w14:paraId="3AD45F25" w14:textId="77777777" w:rsidR="001C56BD" w:rsidRPr="00305460" w:rsidRDefault="001C56BD" w:rsidP="008A5C11">
            <w:pPr>
              <w:jc w:val="center"/>
              <w:rPr>
                <w:sz w:val="12"/>
                <w:szCs w:val="12"/>
              </w:rPr>
            </w:pPr>
            <w:bookmarkStart w:id="78" w:name="_Hlk89683833"/>
            <w:r w:rsidRPr="00305460">
              <w:rPr>
                <w:sz w:val="12"/>
                <w:szCs w:val="12"/>
              </w:rPr>
              <w:t>1.1.1.</w:t>
            </w:r>
          </w:p>
        </w:tc>
        <w:tc>
          <w:tcPr>
            <w:tcW w:w="295" w:type="pct"/>
            <w:vMerge w:val="restart"/>
            <w:shd w:val="clear" w:color="auto" w:fill="auto"/>
            <w:tcMar>
              <w:left w:w="17" w:type="dxa"/>
              <w:right w:w="17" w:type="dxa"/>
            </w:tcMar>
            <w:vAlign w:val="center"/>
          </w:tcPr>
          <w:p w14:paraId="0052EEF4" w14:textId="77777777" w:rsidR="001C56BD" w:rsidRPr="00305460" w:rsidRDefault="001C56BD" w:rsidP="008A5C11">
            <w:pPr>
              <w:rPr>
                <w:sz w:val="12"/>
                <w:szCs w:val="12"/>
              </w:rPr>
            </w:pPr>
            <w:r w:rsidRPr="00305460">
              <w:rPr>
                <w:sz w:val="12"/>
                <w:szCs w:val="12"/>
              </w:rPr>
              <w:t xml:space="preserve">Строительство тепловых сетей </w:t>
            </w:r>
          </w:p>
        </w:tc>
        <w:tc>
          <w:tcPr>
            <w:tcW w:w="307" w:type="pct"/>
            <w:vMerge w:val="restart"/>
            <w:shd w:val="clear" w:color="auto" w:fill="auto"/>
            <w:tcMar>
              <w:left w:w="17" w:type="dxa"/>
              <w:right w:w="17" w:type="dxa"/>
            </w:tcMar>
            <w:vAlign w:val="center"/>
          </w:tcPr>
          <w:p w14:paraId="08A5B852" w14:textId="77777777" w:rsidR="001C56BD" w:rsidRPr="00305460" w:rsidRDefault="001C56BD" w:rsidP="008A5C11">
            <w:pPr>
              <w:jc w:val="center"/>
              <w:rPr>
                <w:sz w:val="12"/>
                <w:szCs w:val="12"/>
              </w:rPr>
            </w:pPr>
            <w:r w:rsidRPr="00305460">
              <w:rPr>
                <w:sz w:val="12"/>
                <w:szCs w:val="12"/>
              </w:rPr>
              <w:t xml:space="preserve">Подключение потребителей Заводского района </w:t>
            </w:r>
            <w:r w:rsidRPr="00305460">
              <w:rPr>
                <w:sz w:val="12"/>
                <w:szCs w:val="12"/>
              </w:rPr>
              <w:br/>
              <w:t>г. Кемерово</w:t>
            </w:r>
          </w:p>
        </w:tc>
        <w:tc>
          <w:tcPr>
            <w:tcW w:w="280" w:type="pct"/>
            <w:vMerge w:val="restart"/>
            <w:shd w:val="clear" w:color="auto" w:fill="auto"/>
            <w:tcMar>
              <w:left w:w="17" w:type="dxa"/>
              <w:right w:w="17" w:type="dxa"/>
            </w:tcMar>
            <w:vAlign w:val="center"/>
          </w:tcPr>
          <w:p w14:paraId="589CE5AD" w14:textId="77777777" w:rsidR="001C56BD" w:rsidRPr="00305460" w:rsidRDefault="001C56BD" w:rsidP="008A5C11">
            <w:pPr>
              <w:jc w:val="center"/>
              <w:rPr>
                <w:sz w:val="12"/>
                <w:szCs w:val="12"/>
              </w:rPr>
            </w:pPr>
            <w:r w:rsidRPr="00305460">
              <w:rPr>
                <w:sz w:val="12"/>
                <w:szCs w:val="12"/>
              </w:rPr>
              <w:t>Кемеровский городской округ, Заводской район</w:t>
            </w:r>
          </w:p>
        </w:tc>
        <w:tc>
          <w:tcPr>
            <w:tcW w:w="289" w:type="pct"/>
            <w:shd w:val="clear" w:color="auto" w:fill="auto"/>
            <w:tcMar>
              <w:left w:w="17" w:type="dxa"/>
              <w:right w:w="17" w:type="dxa"/>
            </w:tcMar>
            <w:vAlign w:val="center"/>
          </w:tcPr>
          <w:p w14:paraId="1623F56F" w14:textId="77777777" w:rsidR="001C56BD" w:rsidRPr="00305460" w:rsidRDefault="001C56BD" w:rsidP="008A5C11">
            <w:pPr>
              <w:jc w:val="center"/>
              <w:rPr>
                <w:color w:val="000000"/>
                <w:sz w:val="12"/>
                <w:szCs w:val="12"/>
              </w:rPr>
            </w:pPr>
            <w:r w:rsidRPr="00305460">
              <w:rPr>
                <w:color w:val="000000"/>
                <w:sz w:val="12"/>
                <w:szCs w:val="12"/>
              </w:rPr>
              <w:t>мощность</w:t>
            </w:r>
          </w:p>
        </w:tc>
        <w:tc>
          <w:tcPr>
            <w:tcW w:w="137" w:type="pct"/>
            <w:shd w:val="clear" w:color="auto" w:fill="auto"/>
            <w:tcMar>
              <w:left w:w="17" w:type="dxa"/>
              <w:right w:w="17" w:type="dxa"/>
            </w:tcMar>
            <w:vAlign w:val="center"/>
          </w:tcPr>
          <w:p w14:paraId="7C8B5479" w14:textId="77777777" w:rsidR="001C56BD" w:rsidRPr="00305460" w:rsidRDefault="001C56BD" w:rsidP="008A5C11">
            <w:pPr>
              <w:jc w:val="center"/>
              <w:rPr>
                <w:color w:val="000000"/>
                <w:sz w:val="12"/>
                <w:szCs w:val="12"/>
              </w:rPr>
            </w:pPr>
            <w:r w:rsidRPr="00305460">
              <w:rPr>
                <w:color w:val="000000"/>
                <w:sz w:val="12"/>
                <w:szCs w:val="12"/>
              </w:rPr>
              <w:t>Гкал/</w:t>
            </w:r>
          </w:p>
          <w:p w14:paraId="0834AC28" w14:textId="77777777" w:rsidR="001C56BD" w:rsidRPr="00305460" w:rsidRDefault="001C56BD" w:rsidP="008A5C11">
            <w:pPr>
              <w:jc w:val="center"/>
              <w:rPr>
                <w:color w:val="000000"/>
                <w:sz w:val="12"/>
                <w:szCs w:val="12"/>
              </w:rPr>
            </w:pPr>
            <w:r w:rsidRPr="00305460">
              <w:rPr>
                <w:color w:val="000000"/>
                <w:sz w:val="12"/>
                <w:szCs w:val="12"/>
              </w:rPr>
              <w:t>час</w:t>
            </w:r>
          </w:p>
        </w:tc>
        <w:tc>
          <w:tcPr>
            <w:tcW w:w="202" w:type="pct"/>
            <w:vMerge w:val="restart"/>
            <w:shd w:val="clear" w:color="auto" w:fill="auto"/>
            <w:tcMar>
              <w:left w:w="17" w:type="dxa"/>
              <w:right w:w="17" w:type="dxa"/>
            </w:tcMar>
            <w:vAlign w:val="center"/>
          </w:tcPr>
          <w:p w14:paraId="67BD3A4B" w14:textId="77777777" w:rsidR="001C56BD" w:rsidRPr="00305460" w:rsidRDefault="001C56BD" w:rsidP="008A5C11">
            <w:pPr>
              <w:jc w:val="center"/>
              <w:rPr>
                <w:sz w:val="12"/>
                <w:szCs w:val="12"/>
              </w:rPr>
            </w:pPr>
            <w:r w:rsidRPr="00305460">
              <w:rPr>
                <w:sz w:val="12"/>
                <w:szCs w:val="12"/>
              </w:rPr>
              <w:t>-</w:t>
            </w:r>
          </w:p>
        </w:tc>
        <w:tc>
          <w:tcPr>
            <w:tcW w:w="244" w:type="pct"/>
            <w:shd w:val="clear" w:color="auto" w:fill="auto"/>
            <w:tcMar>
              <w:left w:w="17" w:type="dxa"/>
              <w:right w:w="17" w:type="dxa"/>
            </w:tcMar>
            <w:vAlign w:val="center"/>
          </w:tcPr>
          <w:p w14:paraId="61723F30" w14:textId="77777777" w:rsidR="001C56BD" w:rsidRPr="00305460" w:rsidRDefault="001C56BD" w:rsidP="008A5C11">
            <w:pPr>
              <w:jc w:val="center"/>
              <w:rPr>
                <w:sz w:val="12"/>
                <w:szCs w:val="12"/>
              </w:rPr>
            </w:pPr>
            <w:r w:rsidRPr="00305460">
              <w:rPr>
                <w:sz w:val="12"/>
                <w:szCs w:val="12"/>
              </w:rPr>
              <w:t>0,18</w:t>
            </w:r>
          </w:p>
        </w:tc>
        <w:tc>
          <w:tcPr>
            <w:tcW w:w="140" w:type="pct"/>
            <w:vMerge w:val="restart"/>
            <w:shd w:val="clear" w:color="auto" w:fill="auto"/>
            <w:tcMar>
              <w:left w:w="17" w:type="dxa"/>
              <w:right w:w="17" w:type="dxa"/>
            </w:tcMar>
            <w:vAlign w:val="center"/>
          </w:tcPr>
          <w:p w14:paraId="76EEFC83" w14:textId="77777777" w:rsidR="001C56BD" w:rsidRPr="00305460" w:rsidRDefault="001C56BD" w:rsidP="008A5C11">
            <w:pPr>
              <w:jc w:val="center"/>
              <w:rPr>
                <w:sz w:val="12"/>
                <w:szCs w:val="12"/>
              </w:rPr>
            </w:pPr>
            <w:r w:rsidRPr="00305460">
              <w:rPr>
                <w:sz w:val="12"/>
                <w:szCs w:val="12"/>
              </w:rPr>
              <w:t>2022</w:t>
            </w:r>
          </w:p>
        </w:tc>
        <w:tc>
          <w:tcPr>
            <w:tcW w:w="140" w:type="pct"/>
            <w:vMerge w:val="restart"/>
            <w:shd w:val="clear" w:color="auto" w:fill="auto"/>
            <w:tcMar>
              <w:left w:w="17" w:type="dxa"/>
              <w:right w:w="17" w:type="dxa"/>
            </w:tcMar>
            <w:vAlign w:val="center"/>
          </w:tcPr>
          <w:p w14:paraId="495A12E5" w14:textId="77777777" w:rsidR="001C56BD" w:rsidRPr="00305460" w:rsidRDefault="001C56BD" w:rsidP="008A5C11">
            <w:pPr>
              <w:jc w:val="center"/>
              <w:rPr>
                <w:sz w:val="12"/>
                <w:szCs w:val="12"/>
              </w:rPr>
            </w:pPr>
            <w:r w:rsidRPr="00305460">
              <w:rPr>
                <w:sz w:val="12"/>
                <w:szCs w:val="12"/>
              </w:rPr>
              <w:t>2022</w:t>
            </w:r>
          </w:p>
        </w:tc>
        <w:tc>
          <w:tcPr>
            <w:tcW w:w="239" w:type="pct"/>
            <w:gridSpan w:val="3"/>
            <w:vMerge w:val="restart"/>
            <w:shd w:val="clear" w:color="000000" w:fill="FFFFFF"/>
            <w:tcMar>
              <w:left w:w="17" w:type="dxa"/>
              <w:right w:w="17" w:type="dxa"/>
            </w:tcMar>
            <w:vAlign w:val="center"/>
          </w:tcPr>
          <w:p w14:paraId="1F93A4D9" w14:textId="77777777" w:rsidR="001C56BD" w:rsidRPr="00305460" w:rsidRDefault="001C56BD" w:rsidP="008A5C11">
            <w:pPr>
              <w:jc w:val="center"/>
              <w:rPr>
                <w:sz w:val="12"/>
                <w:szCs w:val="12"/>
              </w:rPr>
            </w:pPr>
            <w:r w:rsidRPr="00305460">
              <w:rPr>
                <w:sz w:val="12"/>
                <w:szCs w:val="12"/>
              </w:rPr>
              <w:t>3429,900</w:t>
            </w:r>
          </w:p>
        </w:tc>
        <w:tc>
          <w:tcPr>
            <w:tcW w:w="196" w:type="pct"/>
            <w:gridSpan w:val="3"/>
            <w:vMerge w:val="restart"/>
            <w:shd w:val="clear" w:color="auto" w:fill="auto"/>
            <w:tcMar>
              <w:left w:w="17" w:type="dxa"/>
              <w:right w:w="17" w:type="dxa"/>
            </w:tcMar>
            <w:vAlign w:val="center"/>
          </w:tcPr>
          <w:p w14:paraId="7E27E182" w14:textId="77777777" w:rsidR="001C56BD" w:rsidRPr="00305460" w:rsidRDefault="001C56BD" w:rsidP="008A5C11">
            <w:pPr>
              <w:jc w:val="center"/>
              <w:rPr>
                <w:sz w:val="12"/>
                <w:szCs w:val="12"/>
              </w:rPr>
            </w:pPr>
            <w:r w:rsidRPr="00305460">
              <w:rPr>
                <w:sz w:val="12"/>
                <w:szCs w:val="12"/>
              </w:rPr>
              <w:t>0,000</w:t>
            </w:r>
          </w:p>
        </w:tc>
        <w:tc>
          <w:tcPr>
            <w:tcW w:w="216" w:type="pct"/>
            <w:gridSpan w:val="3"/>
            <w:vMerge w:val="restart"/>
            <w:shd w:val="clear" w:color="000000" w:fill="FFFFFF"/>
            <w:tcMar>
              <w:left w:w="17" w:type="dxa"/>
              <w:right w:w="17" w:type="dxa"/>
            </w:tcMar>
            <w:vAlign w:val="center"/>
          </w:tcPr>
          <w:p w14:paraId="5B033FC5" w14:textId="77777777" w:rsidR="001C56BD" w:rsidRPr="00305460" w:rsidRDefault="001C56BD" w:rsidP="008A5C11">
            <w:pPr>
              <w:jc w:val="center"/>
              <w:rPr>
                <w:sz w:val="12"/>
                <w:szCs w:val="12"/>
              </w:rPr>
            </w:pPr>
            <w:r w:rsidRPr="00305460">
              <w:rPr>
                <w:sz w:val="12"/>
                <w:szCs w:val="12"/>
              </w:rPr>
              <w:t>3429,900</w:t>
            </w:r>
          </w:p>
        </w:tc>
        <w:tc>
          <w:tcPr>
            <w:tcW w:w="179" w:type="pct"/>
            <w:gridSpan w:val="2"/>
            <w:vMerge w:val="restart"/>
            <w:shd w:val="clear" w:color="auto" w:fill="auto"/>
            <w:tcMar>
              <w:left w:w="17" w:type="dxa"/>
              <w:right w:w="17" w:type="dxa"/>
            </w:tcMar>
            <w:vAlign w:val="center"/>
          </w:tcPr>
          <w:p w14:paraId="26B25909" w14:textId="77777777" w:rsidR="001C56BD" w:rsidRPr="00305460" w:rsidRDefault="001C56BD" w:rsidP="008A5C11">
            <w:pPr>
              <w:jc w:val="center"/>
              <w:rPr>
                <w:sz w:val="12"/>
                <w:szCs w:val="12"/>
              </w:rPr>
            </w:pPr>
            <w:r w:rsidRPr="00305460">
              <w:rPr>
                <w:sz w:val="12"/>
                <w:szCs w:val="12"/>
              </w:rPr>
              <w:t>0,000</w:t>
            </w:r>
          </w:p>
        </w:tc>
        <w:tc>
          <w:tcPr>
            <w:tcW w:w="222" w:type="pct"/>
            <w:gridSpan w:val="2"/>
            <w:vMerge w:val="restart"/>
            <w:shd w:val="clear" w:color="auto" w:fill="auto"/>
            <w:tcMar>
              <w:left w:w="17" w:type="dxa"/>
              <w:right w:w="17" w:type="dxa"/>
            </w:tcMar>
            <w:vAlign w:val="center"/>
          </w:tcPr>
          <w:p w14:paraId="230E7A66" w14:textId="77777777" w:rsidR="001C56BD" w:rsidRPr="00305460" w:rsidRDefault="001C56BD" w:rsidP="008A5C11">
            <w:pPr>
              <w:jc w:val="center"/>
              <w:rPr>
                <w:sz w:val="12"/>
                <w:szCs w:val="12"/>
              </w:rPr>
            </w:pPr>
            <w:r w:rsidRPr="00305460">
              <w:rPr>
                <w:sz w:val="12"/>
                <w:szCs w:val="12"/>
              </w:rPr>
              <w:t>0,000</w:t>
            </w:r>
          </w:p>
        </w:tc>
        <w:tc>
          <w:tcPr>
            <w:tcW w:w="213" w:type="pct"/>
            <w:vMerge w:val="restart"/>
            <w:shd w:val="clear" w:color="auto" w:fill="auto"/>
            <w:tcMar>
              <w:left w:w="17" w:type="dxa"/>
              <w:right w:w="17" w:type="dxa"/>
            </w:tcMar>
            <w:vAlign w:val="center"/>
          </w:tcPr>
          <w:p w14:paraId="7D7A6382" w14:textId="77777777" w:rsidR="001C56BD" w:rsidRPr="00305460" w:rsidRDefault="001C56BD" w:rsidP="008A5C11">
            <w:pPr>
              <w:jc w:val="center"/>
              <w:rPr>
                <w:sz w:val="12"/>
                <w:szCs w:val="12"/>
              </w:rPr>
            </w:pPr>
            <w:r w:rsidRPr="00305460">
              <w:rPr>
                <w:sz w:val="12"/>
                <w:szCs w:val="12"/>
              </w:rPr>
              <w:t>0,000</w:t>
            </w:r>
          </w:p>
        </w:tc>
        <w:tc>
          <w:tcPr>
            <w:tcW w:w="218" w:type="pct"/>
            <w:vMerge w:val="restart"/>
            <w:tcMar>
              <w:left w:w="17" w:type="dxa"/>
              <w:right w:w="17" w:type="dxa"/>
            </w:tcMar>
            <w:vAlign w:val="center"/>
          </w:tcPr>
          <w:p w14:paraId="5B4864DE" w14:textId="77777777" w:rsidR="001C56BD" w:rsidRPr="00305460" w:rsidRDefault="001C56BD" w:rsidP="008A5C11">
            <w:pPr>
              <w:jc w:val="center"/>
              <w:rPr>
                <w:sz w:val="12"/>
                <w:szCs w:val="12"/>
                <w:highlight w:val="red"/>
              </w:rPr>
            </w:pPr>
            <w:r w:rsidRPr="00305460">
              <w:rPr>
                <w:sz w:val="12"/>
                <w:szCs w:val="12"/>
              </w:rPr>
              <w:t>0,000</w:t>
            </w:r>
          </w:p>
        </w:tc>
        <w:tc>
          <w:tcPr>
            <w:tcW w:w="218" w:type="pct"/>
            <w:vMerge w:val="restart"/>
            <w:tcMar>
              <w:left w:w="17" w:type="dxa"/>
              <w:right w:w="17" w:type="dxa"/>
            </w:tcMar>
            <w:vAlign w:val="center"/>
          </w:tcPr>
          <w:p w14:paraId="03526F32" w14:textId="77777777" w:rsidR="001C56BD" w:rsidRPr="00305460" w:rsidRDefault="001C56BD" w:rsidP="008A5C11">
            <w:pPr>
              <w:jc w:val="center"/>
              <w:rPr>
                <w:sz w:val="12"/>
                <w:szCs w:val="12"/>
                <w:highlight w:val="red"/>
              </w:rPr>
            </w:pPr>
            <w:r w:rsidRPr="00305460">
              <w:rPr>
                <w:sz w:val="12"/>
                <w:szCs w:val="12"/>
              </w:rPr>
              <w:t>0,000</w:t>
            </w:r>
          </w:p>
        </w:tc>
        <w:tc>
          <w:tcPr>
            <w:tcW w:w="218" w:type="pct"/>
            <w:vMerge w:val="restart"/>
            <w:tcMar>
              <w:left w:w="17" w:type="dxa"/>
              <w:right w:w="17" w:type="dxa"/>
            </w:tcMar>
            <w:vAlign w:val="center"/>
          </w:tcPr>
          <w:p w14:paraId="0C807CC7" w14:textId="77777777" w:rsidR="001C56BD" w:rsidRPr="00305460" w:rsidRDefault="001C56BD" w:rsidP="008A5C11">
            <w:pPr>
              <w:jc w:val="center"/>
              <w:rPr>
                <w:sz w:val="12"/>
                <w:szCs w:val="12"/>
              </w:rPr>
            </w:pPr>
            <w:r w:rsidRPr="00305460">
              <w:rPr>
                <w:sz w:val="12"/>
                <w:szCs w:val="12"/>
              </w:rPr>
              <w:t>0,000</w:t>
            </w:r>
          </w:p>
        </w:tc>
        <w:tc>
          <w:tcPr>
            <w:tcW w:w="218" w:type="pct"/>
            <w:gridSpan w:val="2"/>
            <w:vMerge w:val="restart"/>
            <w:tcMar>
              <w:left w:w="17" w:type="dxa"/>
              <w:right w:w="17" w:type="dxa"/>
            </w:tcMar>
            <w:vAlign w:val="center"/>
          </w:tcPr>
          <w:p w14:paraId="383F86D5" w14:textId="77777777" w:rsidR="001C56BD" w:rsidRPr="00305460" w:rsidRDefault="001C56BD" w:rsidP="008A5C11">
            <w:pPr>
              <w:jc w:val="center"/>
              <w:rPr>
                <w:sz w:val="12"/>
                <w:szCs w:val="12"/>
              </w:rPr>
            </w:pPr>
            <w:r w:rsidRPr="00305460">
              <w:rPr>
                <w:sz w:val="12"/>
                <w:szCs w:val="12"/>
              </w:rPr>
              <w:t>0,000</w:t>
            </w:r>
          </w:p>
        </w:tc>
        <w:tc>
          <w:tcPr>
            <w:tcW w:w="172" w:type="pct"/>
            <w:gridSpan w:val="2"/>
            <w:vMerge w:val="restart"/>
            <w:tcMar>
              <w:left w:w="17" w:type="dxa"/>
              <w:right w:w="17" w:type="dxa"/>
            </w:tcMar>
            <w:vAlign w:val="center"/>
          </w:tcPr>
          <w:p w14:paraId="78246E1C" w14:textId="77777777" w:rsidR="001C56BD" w:rsidRPr="00305460" w:rsidRDefault="001C56BD" w:rsidP="008A5C11">
            <w:pPr>
              <w:jc w:val="center"/>
              <w:rPr>
                <w:sz w:val="12"/>
                <w:szCs w:val="12"/>
              </w:rPr>
            </w:pPr>
            <w:r w:rsidRPr="00305460">
              <w:rPr>
                <w:sz w:val="12"/>
                <w:szCs w:val="12"/>
              </w:rPr>
              <w:t>0,000</w:t>
            </w:r>
          </w:p>
        </w:tc>
        <w:tc>
          <w:tcPr>
            <w:tcW w:w="219" w:type="pct"/>
            <w:vMerge w:val="restart"/>
            <w:tcMar>
              <w:left w:w="17" w:type="dxa"/>
              <w:right w:w="17" w:type="dxa"/>
            </w:tcMar>
            <w:vAlign w:val="center"/>
          </w:tcPr>
          <w:p w14:paraId="28A129CD" w14:textId="77777777" w:rsidR="001C56BD" w:rsidRPr="00305460" w:rsidRDefault="001C56BD" w:rsidP="008A5C11">
            <w:pPr>
              <w:jc w:val="center"/>
              <w:rPr>
                <w:sz w:val="12"/>
                <w:szCs w:val="12"/>
              </w:rPr>
            </w:pPr>
            <w:r w:rsidRPr="00305460">
              <w:rPr>
                <w:sz w:val="12"/>
                <w:szCs w:val="12"/>
              </w:rPr>
              <w:t>0,000</w:t>
            </w:r>
          </w:p>
        </w:tc>
        <w:tc>
          <w:tcPr>
            <w:tcW w:w="174" w:type="pct"/>
            <w:vMerge w:val="restart"/>
            <w:tcMar>
              <w:left w:w="17" w:type="dxa"/>
              <w:right w:w="17" w:type="dxa"/>
            </w:tcMar>
            <w:vAlign w:val="center"/>
          </w:tcPr>
          <w:p w14:paraId="49CD5A3D" w14:textId="77777777" w:rsidR="001C56BD" w:rsidRPr="00305460" w:rsidRDefault="001C56BD" w:rsidP="008A5C11">
            <w:pPr>
              <w:jc w:val="center"/>
              <w:rPr>
                <w:sz w:val="12"/>
                <w:szCs w:val="12"/>
              </w:rPr>
            </w:pPr>
            <w:r w:rsidRPr="00305460">
              <w:rPr>
                <w:sz w:val="12"/>
                <w:szCs w:val="12"/>
              </w:rPr>
              <w:t>0,000</w:t>
            </w:r>
          </w:p>
        </w:tc>
        <w:tc>
          <w:tcPr>
            <w:tcW w:w="176" w:type="pct"/>
            <w:vMerge w:val="restart"/>
            <w:shd w:val="clear" w:color="000000" w:fill="FFFFFF"/>
            <w:tcMar>
              <w:left w:w="17" w:type="dxa"/>
              <w:right w:w="17" w:type="dxa"/>
            </w:tcMar>
            <w:vAlign w:val="center"/>
          </w:tcPr>
          <w:p w14:paraId="660BBBE9" w14:textId="77777777" w:rsidR="001C56BD" w:rsidRPr="00305460" w:rsidRDefault="001C56BD" w:rsidP="008A5C11">
            <w:pPr>
              <w:jc w:val="center"/>
              <w:rPr>
                <w:sz w:val="12"/>
                <w:szCs w:val="12"/>
              </w:rPr>
            </w:pPr>
            <w:r w:rsidRPr="00305460">
              <w:rPr>
                <w:sz w:val="12"/>
                <w:szCs w:val="12"/>
              </w:rPr>
              <w:t>3429,900</w:t>
            </w:r>
          </w:p>
        </w:tc>
      </w:tr>
      <w:tr w:rsidR="001C56BD" w:rsidRPr="00305460" w14:paraId="424DA985" w14:textId="77777777" w:rsidTr="008A5C11">
        <w:trPr>
          <w:trHeight w:val="98"/>
        </w:trPr>
        <w:tc>
          <w:tcPr>
            <w:tcW w:w="86" w:type="pct"/>
            <w:vMerge/>
            <w:shd w:val="clear" w:color="auto" w:fill="auto"/>
            <w:tcMar>
              <w:left w:w="17" w:type="dxa"/>
              <w:right w:w="17" w:type="dxa"/>
            </w:tcMar>
            <w:vAlign w:val="center"/>
          </w:tcPr>
          <w:p w14:paraId="63AD817D" w14:textId="77777777" w:rsidR="001C56BD" w:rsidRPr="00305460" w:rsidRDefault="001C56BD" w:rsidP="008A5C11">
            <w:pPr>
              <w:jc w:val="center"/>
              <w:rPr>
                <w:sz w:val="12"/>
                <w:szCs w:val="12"/>
              </w:rPr>
            </w:pPr>
          </w:p>
        </w:tc>
        <w:tc>
          <w:tcPr>
            <w:tcW w:w="295" w:type="pct"/>
            <w:vMerge/>
            <w:shd w:val="clear" w:color="auto" w:fill="auto"/>
            <w:tcMar>
              <w:left w:w="17" w:type="dxa"/>
              <w:right w:w="17" w:type="dxa"/>
            </w:tcMar>
            <w:vAlign w:val="center"/>
          </w:tcPr>
          <w:p w14:paraId="124D7BD8" w14:textId="77777777" w:rsidR="001C56BD" w:rsidRPr="00305460" w:rsidRDefault="001C56BD" w:rsidP="008A5C11">
            <w:pPr>
              <w:rPr>
                <w:sz w:val="12"/>
                <w:szCs w:val="12"/>
              </w:rPr>
            </w:pPr>
          </w:p>
        </w:tc>
        <w:tc>
          <w:tcPr>
            <w:tcW w:w="307" w:type="pct"/>
            <w:vMerge/>
            <w:shd w:val="clear" w:color="auto" w:fill="auto"/>
            <w:tcMar>
              <w:left w:w="17" w:type="dxa"/>
              <w:right w:w="17" w:type="dxa"/>
            </w:tcMar>
            <w:vAlign w:val="center"/>
          </w:tcPr>
          <w:p w14:paraId="4194C25E" w14:textId="77777777" w:rsidR="001C56BD" w:rsidRPr="00305460" w:rsidRDefault="001C56BD" w:rsidP="008A5C11">
            <w:pPr>
              <w:jc w:val="center"/>
              <w:rPr>
                <w:sz w:val="12"/>
                <w:szCs w:val="12"/>
              </w:rPr>
            </w:pPr>
          </w:p>
        </w:tc>
        <w:tc>
          <w:tcPr>
            <w:tcW w:w="280" w:type="pct"/>
            <w:vMerge/>
            <w:shd w:val="clear" w:color="auto" w:fill="auto"/>
            <w:tcMar>
              <w:left w:w="17" w:type="dxa"/>
              <w:right w:w="17" w:type="dxa"/>
            </w:tcMar>
            <w:vAlign w:val="center"/>
          </w:tcPr>
          <w:p w14:paraId="02F17322" w14:textId="77777777" w:rsidR="001C56BD" w:rsidRPr="00305460" w:rsidRDefault="001C56BD" w:rsidP="008A5C11">
            <w:pPr>
              <w:jc w:val="center"/>
              <w:rPr>
                <w:sz w:val="12"/>
                <w:szCs w:val="12"/>
              </w:rPr>
            </w:pPr>
          </w:p>
        </w:tc>
        <w:tc>
          <w:tcPr>
            <w:tcW w:w="289" w:type="pct"/>
            <w:shd w:val="clear" w:color="auto" w:fill="auto"/>
            <w:tcMar>
              <w:left w:w="17" w:type="dxa"/>
              <w:right w:w="17" w:type="dxa"/>
            </w:tcMar>
            <w:vAlign w:val="center"/>
          </w:tcPr>
          <w:p w14:paraId="03DA90CF" w14:textId="77777777" w:rsidR="001C56BD" w:rsidRPr="00305460" w:rsidRDefault="001C56BD" w:rsidP="008A5C11">
            <w:pPr>
              <w:jc w:val="center"/>
              <w:rPr>
                <w:color w:val="000000"/>
                <w:sz w:val="12"/>
                <w:szCs w:val="12"/>
              </w:rPr>
            </w:pPr>
            <w:r w:rsidRPr="00305460">
              <w:rPr>
                <w:color w:val="000000"/>
                <w:sz w:val="12"/>
                <w:szCs w:val="12"/>
              </w:rPr>
              <w:t>протяженность</w:t>
            </w:r>
          </w:p>
        </w:tc>
        <w:tc>
          <w:tcPr>
            <w:tcW w:w="137" w:type="pct"/>
            <w:shd w:val="clear" w:color="auto" w:fill="auto"/>
            <w:tcMar>
              <w:left w:w="17" w:type="dxa"/>
              <w:right w:w="17" w:type="dxa"/>
            </w:tcMar>
            <w:vAlign w:val="center"/>
          </w:tcPr>
          <w:p w14:paraId="72F2042E" w14:textId="77777777" w:rsidR="001C56BD" w:rsidRPr="00305460" w:rsidRDefault="001C56BD" w:rsidP="008A5C11">
            <w:pPr>
              <w:jc w:val="center"/>
              <w:rPr>
                <w:color w:val="000000"/>
                <w:sz w:val="12"/>
                <w:szCs w:val="12"/>
              </w:rPr>
            </w:pPr>
            <w:r w:rsidRPr="00305460">
              <w:rPr>
                <w:color w:val="000000"/>
                <w:sz w:val="12"/>
                <w:szCs w:val="12"/>
              </w:rPr>
              <w:t>м</w:t>
            </w:r>
          </w:p>
        </w:tc>
        <w:tc>
          <w:tcPr>
            <w:tcW w:w="202" w:type="pct"/>
            <w:vMerge/>
            <w:shd w:val="clear" w:color="auto" w:fill="auto"/>
            <w:tcMar>
              <w:left w:w="17" w:type="dxa"/>
              <w:right w:w="17" w:type="dxa"/>
            </w:tcMar>
            <w:vAlign w:val="center"/>
          </w:tcPr>
          <w:p w14:paraId="49974546" w14:textId="77777777" w:rsidR="001C56BD" w:rsidRPr="00305460" w:rsidRDefault="001C56BD" w:rsidP="008A5C11">
            <w:pPr>
              <w:jc w:val="center"/>
              <w:rPr>
                <w:sz w:val="12"/>
                <w:szCs w:val="12"/>
              </w:rPr>
            </w:pPr>
          </w:p>
        </w:tc>
        <w:tc>
          <w:tcPr>
            <w:tcW w:w="244" w:type="pct"/>
            <w:shd w:val="clear" w:color="auto" w:fill="auto"/>
            <w:tcMar>
              <w:left w:w="17" w:type="dxa"/>
              <w:right w:w="17" w:type="dxa"/>
            </w:tcMar>
            <w:vAlign w:val="center"/>
          </w:tcPr>
          <w:p w14:paraId="4B4960A0" w14:textId="77777777" w:rsidR="001C56BD" w:rsidRPr="00305460" w:rsidRDefault="001C56BD" w:rsidP="008A5C11">
            <w:pPr>
              <w:jc w:val="center"/>
              <w:rPr>
                <w:sz w:val="12"/>
                <w:szCs w:val="12"/>
              </w:rPr>
            </w:pPr>
            <w:r w:rsidRPr="00305460">
              <w:rPr>
                <w:sz w:val="12"/>
                <w:szCs w:val="12"/>
              </w:rPr>
              <w:t>75</w:t>
            </w:r>
          </w:p>
        </w:tc>
        <w:tc>
          <w:tcPr>
            <w:tcW w:w="140" w:type="pct"/>
            <w:vMerge/>
            <w:shd w:val="clear" w:color="auto" w:fill="auto"/>
            <w:tcMar>
              <w:left w:w="17" w:type="dxa"/>
              <w:right w:w="17" w:type="dxa"/>
            </w:tcMar>
            <w:vAlign w:val="center"/>
          </w:tcPr>
          <w:p w14:paraId="590CBDEE" w14:textId="77777777" w:rsidR="001C56BD" w:rsidRPr="00305460" w:rsidRDefault="001C56BD" w:rsidP="008A5C11">
            <w:pPr>
              <w:jc w:val="center"/>
              <w:rPr>
                <w:sz w:val="12"/>
                <w:szCs w:val="12"/>
              </w:rPr>
            </w:pPr>
          </w:p>
        </w:tc>
        <w:tc>
          <w:tcPr>
            <w:tcW w:w="140" w:type="pct"/>
            <w:vMerge/>
            <w:shd w:val="clear" w:color="auto" w:fill="auto"/>
            <w:tcMar>
              <w:left w:w="17" w:type="dxa"/>
              <w:right w:w="17" w:type="dxa"/>
            </w:tcMar>
            <w:vAlign w:val="center"/>
          </w:tcPr>
          <w:p w14:paraId="58DF2B33" w14:textId="77777777" w:rsidR="001C56BD" w:rsidRPr="00305460" w:rsidRDefault="001C56BD" w:rsidP="008A5C11">
            <w:pPr>
              <w:jc w:val="center"/>
              <w:rPr>
                <w:sz w:val="12"/>
                <w:szCs w:val="12"/>
              </w:rPr>
            </w:pPr>
          </w:p>
        </w:tc>
        <w:tc>
          <w:tcPr>
            <w:tcW w:w="239" w:type="pct"/>
            <w:gridSpan w:val="3"/>
            <w:vMerge/>
            <w:tcMar>
              <w:left w:w="17" w:type="dxa"/>
              <w:right w:w="17" w:type="dxa"/>
            </w:tcMar>
            <w:vAlign w:val="center"/>
          </w:tcPr>
          <w:p w14:paraId="04893845" w14:textId="77777777" w:rsidR="001C56BD" w:rsidRPr="00305460" w:rsidRDefault="001C56BD" w:rsidP="008A5C11">
            <w:pPr>
              <w:jc w:val="center"/>
              <w:rPr>
                <w:sz w:val="12"/>
                <w:szCs w:val="12"/>
              </w:rPr>
            </w:pPr>
          </w:p>
        </w:tc>
        <w:tc>
          <w:tcPr>
            <w:tcW w:w="196" w:type="pct"/>
            <w:gridSpan w:val="3"/>
            <w:vMerge/>
            <w:shd w:val="clear" w:color="auto" w:fill="auto"/>
            <w:tcMar>
              <w:left w:w="17" w:type="dxa"/>
              <w:right w:w="17" w:type="dxa"/>
            </w:tcMar>
            <w:vAlign w:val="center"/>
          </w:tcPr>
          <w:p w14:paraId="1F406265" w14:textId="77777777" w:rsidR="001C56BD" w:rsidRPr="00305460" w:rsidRDefault="001C56BD" w:rsidP="008A5C11">
            <w:pPr>
              <w:jc w:val="center"/>
              <w:rPr>
                <w:sz w:val="12"/>
                <w:szCs w:val="12"/>
              </w:rPr>
            </w:pPr>
          </w:p>
        </w:tc>
        <w:tc>
          <w:tcPr>
            <w:tcW w:w="216" w:type="pct"/>
            <w:gridSpan w:val="3"/>
            <w:vMerge/>
            <w:tcMar>
              <w:left w:w="17" w:type="dxa"/>
              <w:right w:w="17" w:type="dxa"/>
            </w:tcMar>
            <w:vAlign w:val="center"/>
          </w:tcPr>
          <w:p w14:paraId="040B806E" w14:textId="77777777" w:rsidR="001C56BD" w:rsidRPr="00305460" w:rsidRDefault="001C56BD" w:rsidP="008A5C11">
            <w:pPr>
              <w:jc w:val="center"/>
              <w:rPr>
                <w:sz w:val="12"/>
                <w:szCs w:val="12"/>
              </w:rPr>
            </w:pPr>
          </w:p>
        </w:tc>
        <w:tc>
          <w:tcPr>
            <w:tcW w:w="179" w:type="pct"/>
            <w:gridSpan w:val="2"/>
            <w:vMerge/>
            <w:shd w:val="clear" w:color="auto" w:fill="auto"/>
            <w:tcMar>
              <w:left w:w="17" w:type="dxa"/>
              <w:right w:w="17" w:type="dxa"/>
            </w:tcMar>
            <w:vAlign w:val="center"/>
          </w:tcPr>
          <w:p w14:paraId="484AB73B" w14:textId="77777777" w:rsidR="001C56BD" w:rsidRPr="00305460" w:rsidRDefault="001C56BD" w:rsidP="008A5C11">
            <w:pPr>
              <w:jc w:val="center"/>
              <w:rPr>
                <w:sz w:val="12"/>
                <w:szCs w:val="12"/>
              </w:rPr>
            </w:pPr>
          </w:p>
        </w:tc>
        <w:tc>
          <w:tcPr>
            <w:tcW w:w="222" w:type="pct"/>
            <w:gridSpan w:val="2"/>
            <w:vMerge/>
            <w:shd w:val="clear" w:color="auto" w:fill="auto"/>
            <w:tcMar>
              <w:left w:w="17" w:type="dxa"/>
              <w:right w:w="17" w:type="dxa"/>
            </w:tcMar>
            <w:vAlign w:val="center"/>
          </w:tcPr>
          <w:p w14:paraId="75641FE8" w14:textId="77777777" w:rsidR="001C56BD" w:rsidRPr="00305460" w:rsidRDefault="001C56BD" w:rsidP="008A5C11">
            <w:pPr>
              <w:jc w:val="center"/>
              <w:rPr>
                <w:sz w:val="12"/>
                <w:szCs w:val="12"/>
              </w:rPr>
            </w:pPr>
          </w:p>
        </w:tc>
        <w:tc>
          <w:tcPr>
            <w:tcW w:w="213" w:type="pct"/>
            <w:vMerge/>
            <w:shd w:val="clear" w:color="auto" w:fill="auto"/>
            <w:tcMar>
              <w:left w:w="17" w:type="dxa"/>
              <w:right w:w="17" w:type="dxa"/>
            </w:tcMar>
            <w:vAlign w:val="center"/>
          </w:tcPr>
          <w:p w14:paraId="1D290071" w14:textId="77777777" w:rsidR="001C56BD" w:rsidRPr="00305460" w:rsidRDefault="001C56BD" w:rsidP="008A5C11">
            <w:pPr>
              <w:jc w:val="center"/>
              <w:rPr>
                <w:sz w:val="12"/>
                <w:szCs w:val="12"/>
              </w:rPr>
            </w:pPr>
          </w:p>
        </w:tc>
        <w:tc>
          <w:tcPr>
            <w:tcW w:w="218" w:type="pct"/>
            <w:vMerge/>
            <w:tcMar>
              <w:left w:w="17" w:type="dxa"/>
              <w:right w:w="17" w:type="dxa"/>
            </w:tcMar>
            <w:vAlign w:val="center"/>
          </w:tcPr>
          <w:p w14:paraId="4902BDF3" w14:textId="77777777" w:rsidR="001C56BD" w:rsidRPr="00305460" w:rsidRDefault="001C56BD" w:rsidP="008A5C11">
            <w:pPr>
              <w:jc w:val="center"/>
              <w:rPr>
                <w:sz w:val="12"/>
                <w:szCs w:val="12"/>
                <w:highlight w:val="red"/>
              </w:rPr>
            </w:pPr>
          </w:p>
        </w:tc>
        <w:tc>
          <w:tcPr>
            <w:tcW w:w="218" w:type="pct"/>
            <w:vMerge/>
            <w:tcMar>
              <w:left w:w="17" w:type="dxa"/>
              <w:right w:w="17" w:type="dxa"/>
            </w:tcMar>
            <w:vAlign w:val="center"/>
          </w:tcPr>
          <w:p w14:paraId="093DF763" w14:textId="77777777" w:rsidR="001C56BD" w:rsidRPr="00305460" w:rsidRDefault="001C56BD" w:rsidP="008A5C11">
            <w:pPr>
              <w:jc w:val="center"/>
              <w:rPr>
                <w:sz w:val="12"/>
                <w:szCs w:val="12"/>
                <w:highlight w:val="red"/>
              </w:rPr>
            </w:pPr>
          </w:p>
        </w:tc>
        <w:tc>
          <w:tcPr>
            <w:tcW w:w="218" w:type="pct"/>
            <w:vMerge/>
            <w:tcMar>
              <w:left w:w="17" w:type="dxa"/>
              <w:right w:w="17" w:type="dxa"/>
            </w:tcMar>
            <w:vAlign w:val="center"/>
          </w:tcPr>
          <w:p w14:paraId="294837DB" w14:textId="77777777" w:rsidR="001C56BD" w:rsidRPr="00305460" w:rsidRDefault="001C56BD" w:rsidP="008A5C11">
            <w:pPr>
              <w:jc w:val="center"/>
              <w:rPr>
                <w:sz w:val="12"/>
                <w:szCs w:val="12"/>
              </w:rPr>
            </w:pPr>
          </w:p>
        </w:tc>
        <w:tc>
          <w:tcPr>
            <w:tcW w:w="218" w:type="pct"/>
            <w:gridSpan w:val="2"/>
            <w:vMerge/>
            <w:tcMar>
              <w:left w:w="17" w:type="dxa"/>
              <w:right w:w="17" w:type="dxa"/>
            </w:tcMar>
            <w:vAlign w:val="center"/>
          </w:tcPr>
          <w:p w14:paraId="52938A73" w14:textId="77777777" w:rsidR="001C56BD" w:rsidRPr="00305460" w:rsidRDefault="001C56BD" w:rsidP="008A5C11">
            <w:pPr>
              <w:jc w:val="center"/>
              <w:rPr>
                <w:sz w:val="12"/>
                <w:szCs w:val="12"/>
              </w:rPr>
            </w:pPr>
          </w:p>
        </w:tc>
        <w:tc>
          <w:tcPr>
            <w:tcW w:w="172" w:type="pct"/>
            <w:gridSpan w:val="2"/>
            <w:vMerge/>
            <w:tcMar>
              <w:left w:w="17" w:type="dxa"/>
              <w:right w:w="17" w:type="dxa"/>
            </w:tcMar>
            <w:vAlign w:val="center"/>
          </w:tcPr>
          <w:p w14:paraId="013338F8" w14:textId="77777777" w:rsidR="001C56BD" w:rsidRPr="00305460" w:rsidRDefault="001C56BD" w:rsidP="008A5C11">
            <w:pPr>
              <w:jc w:val="center"/>
              <w:rPr>
                <w:sz w:val="12"/>
                <w:szCs w:val="12"/>
              </w:rPr>
            </w:pPr>
          </w:p>
        </w:tc>
        <w:tc>
          <w:tcPr>
            <w:tcW w:w="219" w:type="pct"/>
            <w:vMerge/>
            <w:tcMar>
              <w:left w:w="17" w:type="dxa"/>
              <w:right w:w="17" w:type="dxa"/>
            </w:tcMar>
            <w:vAlign w:val="center"/>
          </w:tcPr>
          <w:p w14:paraId="251D37BF" w14:textId="77777777" w:rsidR="001C56BD" w:rsidRPr="00305460" w:rsidRDefault="001C56BD" w:rsidP="008A5C11">
            <w:pPr>
              <w:jc w:val="center"/>
              <w:rPr>
                <w:sz w:val="12"/>
                <w:szCs w:val="12"/>
              </w:rPr>
            </w:pPr>
          </w:p>
        </w:tc>
        <w:tc>
          <w:tcPr>
            <w:tcW w:w="174" w:type="pct"/>
            <w:vMerge/>
            <w:tcMar>
              <w:left w:w="17" w:type="dxa"/>
              <w:right w:w="17" w:type="dxa"/>
            </w:tcMar>
            <w:vAlign w:val="center"/>
          </w:tcPr>
          <w:p w14:paraId="6CF04FF6" w14:textId="77777777" w:rsidR="001C56BD" w:rsidRPr="00305460" w:rsidRDefault="001C56BD" w:rsidP="008A5C11">
            <w:pPr>
              <w:jc w:val="center"/>
              <w:rPr>
                <w:sz w:val="12"/>
                <w:szCs w:val="12"/>
              </w:rPr>
            </w:pPr>
          </w:p>
        </w:tc>
        <w:tc>
          <w:tcPr>
            <w:tcW w:w="176" w:type="pct"/>
            <w:vMerge/>
            <w:tcMar>
              <w:left w:w="17" w:type="dxa"/>
              <w:right w:w="17" w:type="dxa"/>
            </w:tcMar>
            <w:vAlign w:val="center"/>
          </w:tcPr>
          <w:p w14:paraId="5A3870D6" w14:textId="77777777" w:rsidR="001C56BD" w:rsidRPr="00305460" w:rsidRDefault="001C56BD" w:rsidP="008A5C11">
            <w:pPr>
              <w:jc w:val="center"/>
              <w:rPr>
                <w:sz w:val="12"/>
                <w:szCs w:val="12"/>
              </w:rPr>
            </w:pPr>
          </w:p>
        </w:tc>
      </w:tr>
      <w:tr w:rsidR="001C56BD" w:rsidRPr="00305460" w14:paraId="5BE7278D" w14:textId="77777777" w:rsidTr="008A5C11">
        <w:trPr>
          <w:trHeight w:val="56"/>
        </w:trPr>
        <w:tc>
          <w:tcPr>
            <w:tcW w:w="86" w:type="pct"/>
            <w:vMerge/>
            <w:shd w:val="clear" w:color="auto" w:fill="auto"/>
            <w:tcMar>
              <w:left w:w="17" w:type="dxa"/>
              <w:right w:w="17" w:type="dxa"/>
            </w:tcMar>
            <w:vAlign w:val="center"/>
          </w:tcPr>
          <w:p w14:paraId="386D1CBF" w14:textId="77777777" w:rsidR="001C56BD" w:rsidRPr="00305460" w:rsidRDefault="001C56BD" w:rsidP="008A5C11">
            <w:pPr>
              <w:jc w:val="center"/>
              <w:rPr>
                <w:sz w:val="12"/>
                <w:szCs w:val="12"/>
              </w:rPr>
            </w:pPr>
          </w:p>
        </w:tc>
        <w:tc>
          <w:tcPr>
            <w:tcW w:w="295" w:type="pct"/>
            <w:vMerge/>
            <w:shd w:val="clear" w:color="auto" w:fill="auto"/>
            <w:tcMar>
              <w:left w:w="17" w:type="dxa"/>
              <w:right w:w="17" w:type="dxa"/>
            </w:tcMar>
            <w:vAlign w:val="center"/>
          </w:tcPr>
          <w:p w14:paraId="4CF4A586" w14:textId="77777777" w:rsidR="001C56BD" w:rsidRPr="00305460" w:rsidRDefault="001C56BD" w:rsidP="008A5C11">
            <w:pPr>
              <w:rPr>
                <w:sz w:val="12"/>
                <w:szCs w:val="12"/>
              </w:rPr>
            </w:pPr>
          </w:p>
        </w:tc>
        <w:tc>
          <w:tcPr>
            <w:tcW w:w="307" w:type="pct"/>
            <w:vMerge/>
            <w:shd w:val="clear" w:color="auto" w:fill="auto"/>
            <w:tcMar>
              <w:left w:w="17" w:type="dxa"/>
              <w:right w:w="17" w:type="dxa"/>
            </w:tcMar>
            <w:vAlign w:val="center"/>
          </w:tcPr>
          <w:p w14:paraId="607EF339" w14:textId="77777777" w:rsidR="001C56BD" w:rsidRPr="00305460" w:rsidRDefault="001C56BD" w:rsidP="008A5C11">
            <w:pPr>
              <w:jc w:val="center"/>
              <w:rPr>
                <w:sz w:val="12"/>
                <w:szCs w:val="12"/>
              </w:rPr>
            </w:pPr>
          </w:p>
        </w:tc>
        <w:tc>
          <w:tcPr>
            <w:tcW w:w="280" w:type="pct"/>
            <w:vMerge/>
            <w:shd w:val="clear" w:color="auto" w:fill="auto"/>
            <w:tcMar>
              <w:left w:w="17" w:type="dxa"/>
              <w:right w:w="17" w:type="dxa"/>
            </w:tcMar>
            <w:vAlign w:val="center"/>
          </w:tcPr>
          <w:p w14:paraId="0145C0FB" w14:textId="77777777" w:rsidR="001C56BD" w:rsidRPr="00305460" w:rsidRDefault="001C56BD" w:rsidP="008A5C11">
            <w:pPr>
              <w:jc w:val="center"/>
              <w:rPr>
                <w:sz w:val="12"/>
                <w:szCs w:val="12"/>
              </w:rPr>
            </w:pPr>
          </w:p>
        </w:tc>
        <w:tc>
          <w:tcPr>
            <w:tcW w:w="289" w:type="pct"/>
            <w:shd w:val="clear" w:color="auto" w:fill="auto"/>
            <w:tcMar>
              <w:left w:w="17" w:type="dxa"/>
              <w:right w:w="17" w:type="dxa"/>
            </w:tcMar>
            <w:vAlign w:val="center"/>
          </w:tcPr>
          <w:p w14:paraId="6C09068B" w14:textId="77777777" w:rsidR="001C56BD" w:rsidRPr="00305460" w:rsidRDefault="001C56BD" w:rsidP="008A5C11">
            <w:pPr>
              <w:jc w:val="center"/>
              <w:rPr>
                <w:color w:val="000000"/>
                <w:sz w:val="12"/>
                <w:szCs w:val="12"/>
              </w:rPr>
            </w:pPr>
            <w:r w:rsidRPr="00305460">
              <w:rPr>
                <w:color w:val="000000"/>
                <w:sz w:val="12"/>
                <w:szCs w:val="12"/>
              </w:rPr>
              <w:t>диаметр</w:t>
            </w:r>
          </w:p>
        </w:tc>
        <w:tc>
          <w:tcPr>
            <w:tcW w:w="137" w:type="pct"/>
            <w:shd w:val="clear" w:color="auto" w:fill="auto"/>
            <w:tcMar>
              <w:left w:w="17" w:type="dxa"/>
              <w:right w:w="17" w:type="dxa"/>
            </w:tcMar>
            <w:vAlign w:val="center"/>
          </w:tcPr>
          <w:p w14:paraId="314CE687" w14:textId="77777777" w:rsidR="001C56BD" w:rsidRPr="00305460" w:rsidRDefault="001C56BD" w:rsidP="008A5C11">
            <w:pPr>
              <w:jc w:val="center"/>
              <w:rPr>
                <w:color w:val="000000"/>
                <w:sz w:val="12"/>
                <w:szCs w:val="12"/>
              </w:rPr>
            </w:pPr>
            <w:r w:rsidRPr="00305460">
              <w:rPr>
                <w:color w:val="000000"/>
                <w:sz w:val="12"/>
                <w:szCs w:val="12"/>
              </w:rPr>
              <w:t>мм</w:t>
            </w:r>
          </w:p>
        </w:tc>
        <w:tc>
          <w:tcPr>
            <w:tcW w:w="202" w:type="pct"/>
            <w:vMerge/>
            <w:shd w:val="clear" w:color="auto" w:fill="auto"/>
            <w:tcMar>
              <w:left w:w="17" w:type="dxa"/>
              <w:right w:w="17" w:type="dxa"/>
            </w:tcMar>
            <w:vAlign w:val="center"/>
          </w:tcPr>
          <w:p w14:paraId="6E349AF0" w14:textId="77777777" w:rsidR="001C56BD" w:rsidRPr="00305460" w:rsidRDefault="001C56BD" w:rsidP="008A5C11">
            <w:pPr>
              <w:jc w:val="center"/>
              <w:rPr>
                <w:sz w:val="12"/>
                <w:szCs w:val="12"/>
              </w:rPr>
            </w:pPr>
          </w:p>
        </w:tc>
        <w:tc>
          <w:tcPr>
            <w:tcW w:w="244" w:type="pct"/>
            <w:shd w:val="clear" w:color="auto" w:fill="auto"/>
            <w:tcMar>
              <w:left w:w="17" w:type="dxa"/>
              <w:right w:w="17" w:type="dxa"/>
            </w:tcMar>
            <w:vAlign w:val="center"/>
          </w:tcPr>
          <w:p w14:paraId="7328D77B" w14:textId="77777777" w:rsidR="001C56BD" w:rsidRPr="00305460" w:rsidRDefault="001C56BD" w:rsidP="008A5C11">
            <w:pPr>
              <w:jc w:val="center"/>
              <w:rPr>
                <w:sz w:val="12"/>
                <w:szCs w:val="12"/>
              </w:rPr>
            </w:pPr>
            <w:r w:rsidRPr="00305460">
              <w:rPr>
                <w:sz w:val="12"/>
                <w:szCs w:val="12"/>
              </w:rPr>
              <w:t>50</w:t>
            </w:r>
          </w:p>
        </w:tc>
        <w:tc>
          <w:tcPr>
            <w:tcW w:w="140" w:type="pct"/>
            <w:vMerge/>
            <w:shd w:val="clear" w:color="auto" w:fill="auto"/>
            <w:tcMar>
              <w:left w:w="17" w:type="dxa"/>
              <w:right w:w="17" w:type="dxa"/>
            </w:tcMar>
            <w:vAlign w:val="center"/>
          </w:tcPr>
          <w:p w14:paraId="00DF71EA" w14:textId="77777777" w:rsidR="001C56BD" w:rsidRPr="00305460" w:rsidRDefault="001C56BD" w:rsidP="008A5C11">
            <w:pPr>
              <w:jc w:val="center"/>
              <w:rPr>
                <w:sz w:val="12"/>
                <w:szCs w:val="12"/>
              </w:rPr>
            </w:pPr>
          </w:p>
        </w:tc>
        <w:tc>
          <w:tcPr>
            <w:tcW w:w="140" w:type="pct"/>
            <w:vMerge/>
            <w:shd w:val="clear" w:color="auto" w:fill="auto"/>
            <w:tcMar>
              <w:left w:w="17" w:type="dxa"/>
              <w:right w:w="17" w:type="dxa"/>
            </w:tcMar>
            <w:vAlign w:val="center"/>
          </w:tcPr>
          <w:p w14:paraId="1721C499" w14:textId="77777777" w:rsidR="001C56BD" w:rsidRPr="00305460" w:rsidRDefault="001C56BD" w:rsidP="008A5C11">
            <w:pPr>
              <w:jc w:val="center"/>
              <w:rPr>
                <w:sz w:val="12"/>
                <w:szCs w:val="12"/>
              </w:rPr>
            </w:pPr>
          </w:p>
        </w:tc>
        <w:tc>
          <w:tcPr>
            <w:tcW w:w="239" w:type="pct"/>
            <w:gridSpan w:val="3"/>
            <w:vMerge/>
            <w:tcMar>
              <w:left w:w="17" w:type="dxa"/>
              <w:right w:w="17" w:type="dxa"/>
            </w:tcMar>
            <w:vAlign w:val="center"/>
          </w:tcPr>
          <w:p w14:paraId="057FE9F8" w14:textId="77777777" w:rsidR="001C56BD" w:rsidRPr="00305460" w:rsidRDefault="001C56BD" w:rsidP="008A5C11">
            <w:pPr>
              <w:jc w:val="center"/>
              <w:rPr>
                <w:sz w:val="12"/>
                <w:szCs w:val="12"/>
              </w:rPr>
            </w:pPr>
          </w:p>
        </w:tc>
        <w:tc>
          <w:tcPr>
            <w:tcW w:w="196" w:type="pct"/>
            <w:gridSpan w:val="3"/>
            <w:vMerge/>
            <w:shd w:val="clear" w:color="auto" w:fill="auto"/>
            <w:tcMar>
              <w:left w:w="17" w:type="dxa"/>
              <w:right w:w="17" w:type="dxa"/>
            </w:tcMar>
            <w:vAlign w:val="center"/>
          </w:tcPr>
          <w:p w14:paraId="173F798B" w14:textId="77777777" w:rsidR="001C56BD" w:rsidRPr="00305460" w:rsidRDefault="001C56BD" w:rsidP="008A5C11">
            <w:pPr>
              <w:jc w:val="center"/>
              <w:rPr>
                <w:sz w:val="12"/>
                <w:szCs w:val="12"/>
              </w:rPr>
            </w:pPr>
          </w:p>
        </w:tc>
        <w:tc>
          <w:tcPr>
            <w:tcW w:w="216" w:type="pct"/>
            <w:gridSpan w:val="3"/>
            <w:vMerge/>
            <w:tcMar>
              <w:left w:w="17" w:type="dxa"/>
              <w:right w:w="17" w:type="dxa"/>
            </w:tcMar>
            <w:vAlign w:val="center"/>
          </w:tcPr>
          <w:p w14:paraId="79268C4B" w14:textId="77777777" w:rsidR="001C56BD" w:rsidRPr="00305460" w:rsidRDefault="001C56BD" w:rsidP="008A5C11">
            <w:pPr>
              <w:jc w:val="center"/>
              <w:rPr>
                <w:sz w:val="12"/>
                <w:szCs w:val="12"/>
              </w:rPr>
            </w:pPr>
          </w:p>
        </w:tc>
        <w:tc>
          <w:tcPr>
            <w:tcW w:w="179" w:type="pct"/>
            <w:gridSpan w:val="2"/>
            <w:vMerge/>
            <w:shd w:val="clear" w:color="auto" w:fill="auto"/>
            <w:tcMar>
              <w:left w:w="17" w:type="dxa"/>
              <w:right w:w="17" w:type="dxa"/>
            </w:tcMar>
            <w:vAlign w:val="center"/>
          </w:tcPr>
          <w:p w14:paraId="56E103AE" w14:textId="77777777" w:rsidR="001C56BD" w:rsidRPr="00305460" w:rsidRDefault="001C56BD" w:rsidP="008A5C11">
            <w:pPr>
              <w:jc w:val="center"/>
              <w:rPr>
                <w:sz w:val="12"/>
                <w:szCs w:val="12"/>
              </w:rPr>
            </w:pPr>
          </w:p>
        </w:tc>
        <w:tc>
          <w:tcPr>
            <w:tcW w:w="222" w:type="pct"/>
            <w:gridSpan w:val="2"/>
            <w:vMerge/>
            <w:shd w:val="clear" w:color="auto" w:fill="auto"/>
            <w:tcMar>
              <w:left w:w="17" w:type="dxa"/>
              <w:right w:w="17" w:type="dxa"/>
            </w:tcMar>
            <w:vAlign w:val="center"/>
          </w:tcPr>
          <w:p w14:paraId="11571822" w14:textId="77777777" w:rsidR="001C56BD" w:rsidRPr="00305460" w:rsidRDefault="001C56BD" w:rsidP="008A5C11">
            <w:pPr>
              <w:jc w:val="center"/>
              <w:rPr>
                <w:sz w:val="12"/>
                <w:szCs w:val="12"/>
              </w:rPr>
            </w:pPr>
          </w:p>
        </w:tc>
        <w:tc>
          <w:tcPr>
            <w:tcW w:w="213" w:type="pct"/>
            <w:vMerge/>
            <w:shd w:val="clear" w:color="auto" w:fill="auto"/>
            <w:tcMar>
              <w:left w:w="17" w:type="dxa"/>
              <w:right w:w="17" w:type="dxa"/>
            </w:tcMar>
            <w:vAlign w:val="center"/>
          </w:tcPr>
          <w:p w14:paraId="554595BC" w14:textId="77777777" w:rsidR="001C56BD" w:rsidRPr="00305460" w:rsidRDefault="001C56BD" w:rsidP="008A5C11">
            <w:pPr>
              <w:jc w:val="center"/>
              <w:rPr>
                <w:sz w:val="12"/>
                <w:szCs w:val="12"/>
              </w:rPr>
            </w:pPr>
          </w:p>
        </w:tc>
        <w:tc>
          <w:tcPr>
            <w:tcW w:w="218" w:type="pct"/>
            <w:vMerge/>
            <w:tcMar>
              <w:left w:w="17" w:type="dxa"/>
              <w:right w:w="17" w:type="dxa"/>
            </w:tcMar>
            <w:vAlign w:val="center"/>
          </w:tcPr>
          <w:p w14:paraId="698E2EC7" w14:textId="77777777" w:rsidR="001C56BD" w:rsidRPr="00305460" w:rsidRDefault="001C56BD" w:rsidP="008A5C11">
            <w:pPr>
              <w:jc w:val="center"/>
              <w:rPr>
                <w:sz w:val="12"/>
                <w:szCs w:val="12"/>
                <w:highlight w:val="red"/>
              </w:rPr>
            </w:pPr>
          </w:p>
        </w:tc>
        <w:tc>
          <w:tcPr>
            <w:tcW w:w="218" w:type="pct"/>
            <w:vMerge/>
            <w:tcMar>
              <w:left w:w="17" w:type="dxa"/>
              <w:right w:w="17" w:type="dxa"/>
            </w:tcMar>
            <w:vAlign w:val="center"/>
          </w:tcPr>
          <w:p w14:paraId="0EA56E33" w14:textId="77777777" w:rsidR="001C56BD" w:rsidRPr="00305460" w:rsidRDefault="001C56BD" w:rsidP="008A5C11">
            <w:pPr>
              <w:jc w:val="center"/>
              <w:rPr>
                <w:sz w:val="12"/>
                <w:szCs w:val="12"/>
                <w:highlight w:val="red"/>
              </w:rPr>
            </w:pPr>
          </w:p>
        </w:tc>
        <w:tc>
          <w:tcPr>
            <w:tcW w:w="218" w:type="pct"/>
            <w:vMerge/>
            <w:tcMar>
              <w:left w:w="17" w:type="dxa"/>
              <w:right w:w="17" w:type="dxa"/>
            </w:tcMar>
            <w:vAlign w:val="center"/>
          </w:tcPr>
          <w:p w14:paraId="7B814F33" w14:textId="77777777" w:rsidR="001C56BD" w:rsidRPr="00305460" w:rsidRDefault="001C56BD" w:rsidP="008A5C11">
            <w:pPr>
              <w:jc w:val="center"/>
              <w:rPr>
                <w:sz w:val="12"/>
                <w:szCs w:val="12"/>
              </w:rPr>
            </w:pPr>
          </w:p>
        </w:tc>
        <w:tc>
          <w:tcPr>
            <w:tcW w:w="218" w:type="pct"/>
            <w:gridSpan w:val="2"/>
            <w:vMerge/>
            <w:tcMar>
              <w:left w:w="17" w:type="dxa"/>
              <w:right w:w="17" w:type="dxa"/>
            </w:tcMar>
            <w:vAlign w:val="center"/>
          </w:tcPr>
          <w:p w14:paraId="2AC84BF8" w14:textId="77777777" w:rsidR="001C56BD" w:rsidRPr="00305460" w:rsidRDefault="001C56BD" w:rsidP="008A5C11">
            <w:pPr>
              <w:jc w:val="center"/>
              <w:rPr>
                <w:sz w:val="12"/>
                <w:szCs w:val="12"/>
              </w:rPr>
            </w:pPr>
          </w:p>
        </w:tc>
        <w:tc>
          <w:tcPr>
            <w:tcW w:w="172" w:type="pct"/>
            <w:gridSpan w:val="2"/>
            <w:vMerge/>
            <w:tcMar>
              <w:left w:w="17" w:type="dxa"/>
              <w:right w:w="17" w:type="dxa"/>
            </w:tcMar>
            <w:vAlign w:val="center"/>
          </w:tcPr>
          <w:p w14:paraId="6117270F" w14:textId="77777777" w:rsidR="001C56BD" w:rsidRPr="00305460" w:rsidRDefault="001C56BD" w:rsidP="008A5C11">
            <w:pPr>
              <w:jc w:val="center"/>
              <w:rPr>
                <w:sz w:val="12"/>
                <w:szCs w:val="12"/>
              </w:rPr>
            </w:pPr>
          </w:p>
        </w:tc>
        <w:tc>
          <w:tcPr>
            <w:tcW w:w="219" w:type="pct"/>
            <w:vMerge/>
            <w:tcMar>
              <w:left w:w="17" w:type="dxa"/>
              <w:right w:w="17" w:type="dxa"/>
            </w:tcMar>
            <w:vAlign w:val="center"/>
          </w:tcPr>
          <w:p w14:paraId="50424C9B" w14:textId="77777777" w:rsidR="001C56BD" w:rsidRPr="00305460" w:rsidRDefault="001C56BD" w:rsidP="008A5C11">
            <w:pPr>
              <w:jc w:val="center"/>
              <w:rPr>
                <w:sz w:val="12"/>
                <w:szCs w:val="12"/>
              </w:rPr>
            </w:pPr>
          </w:p>
        </w:tc>
        <w:tc>
          <w:tcPr>
            <w:tcW w:w="174" w:type="pct"/>
            <w:vMerge/>
            <w:tcMar>
              <w:left w:w="17" w:type="dxa"/>
              <w:right w:w="17" w:type="dxa"/>
            </w:tcMar>
            <w:vAlign w:val="center"/>
          </w:tcPr>
          <w:p w14:paraId="1A81AE34" w14:textId="77777777" w:rsidR="001C56BD" w:rsidRPr="00305460" w:rsidRDefault="001C56BD" w:rsidP="008A5C11">
            <w:pPr>
              <w:jc w:val="center"/>
              <w:rPr>
                <w:sz w:val="12"/>
                <w:szCs w:val="12"/>
              </w:rPr>
            </w:pPr>
          </w:p>
        </w:tc>
        <w:tc>
          <w:tcPr>
            <w:tcW w:w="176" w:type="pct"/>
            <w:vMerge/>
            <w:tcMar>
              <w:left w:w="17" w:type="dxa"/>
              <w:right w:w="17" w:type="dxa"/>
            </w:tcMar>
            <w:vAlign w:val="center"/>
          </w:tcPr>
          <w:p w14:paraId="7C04B6D6" w14:textId="77777777" w:rsidR="001C56BD" w:rsidRPr="00305460" w:rsidRDefault="001C56BD" w:rsidP="008A5C11">
            <w:pPr>
              <w:jc w:val="center"/>
              <w:rPr>
                <w:sz w:val="12"/>
                <w:szCs w:val="12"/>
              </w:rPr>
            </w:pPr>
          </w:p>
        </w:tc>
      </w:tr>
      <w:tr w:rsidR="001C56BD" w:rsidRPr="00305460" w14:paraId="5940509A" w14:textId="77777777" w:rsidTr="008A5C11">
        <w:trPr>
          <w:trHeight w:val="273"/>
        </w:trPr>
        <w:tc>
          <w:tcPr>
            <w:tcW w:w="86" w:type="pct"/>
            <w:vMerge w:val="restart"/>
            <w:shd w:val="clear" w:color="auto" w:fill="auto"/>
            <w:tcMar>
              <w:left w:w="17" w:type="dxa"/>
              <w:right w:w="17" w:type="dxa"/>
            </w:tcMar>
            <w:vAlign w:val="center"/>
          </w:tcPr>
          <w:p w14:paraId="4DE53725" w14:textId="77777777" w:rsidR="001C56BD" w:rsidRPr="00305460" w:rsidRDefault="001C56BD" w:rsidP="008A5C11">
            <w:pPr>
              <w:jc w:val="center"/>
              <w:rPr>
                <w:sz w:val="12"/>
                <w:szCs w:val="12"/>
              </w:rPr>
            </w:pPr>
            <w:r w:rsidRPr="00305460">
              <w:rPr>
                <w:sz w:val="12"/>
                <w:szCs w:val="12"/>
              </w:rPr>
              <w:t>1.1.2.</w:t>
            </w:r>
          </w:p>
        </w:tc>
        <w:tc>
          <w:tcPr>
            <w:tcW w:w="295" w:type="pct"/>
            <w:vMerge w:val="restart"/>
            <w:shd w:val="clear" w:color="auto" w:fill="auto"/>
            <w:tcMar>
              <w:left w:w="17" w:type="dxa"/>
              <w:right w:w="17" w:type="dxa"/>
            </w:tcMar>
            <w:vAlign w:val="center"/>
          </w:tcPr>
          <w:p w14:paraId="6D8167FF" w14:textId="77777777" w:rsidR="001C56BD" w:rsidRPr="00305460" w:rsidRDefault="001C56BD" w:rsidP="008A5C11">
            <w:pPr>
              <w:rPr>
                <w:sz w:val="12"/>
                <w:szCs w:val="12"/>
              </w:rPr>
            </w:pPr>
            <w:r w:rsidRPr="00305460">
              <w:rPr>
                <w:sz w:val="12"/>
                <w:szCs w:val="12"/>
              </w:rPr>
              <w:t xml:space="preserve">Строительство тепловых сетей </w:t>
            </w:r>
          </w:p>
        </w:tc>
        <w:tc>
          <w:tcPr>
            <w:tcW w:w="307" w:type="pct"/>
            <w:vMerge w:val="restart"/>
            <w:shd w:val="clear" w:color="auto" w:fill="auto"/>
            <w:tcMar>
              <w:left w:w="17" w:type="dxa"/>
              <w:right w:w="17" w:type="dxa"/>
            </w:tcMar>
            <w:vAlign w:val="center"/>
          </w:tcPr>
          <w:p w14:paraId="187F8E83" w14:textId="77777777" w:rsidR="001C56BD" w:rsidRPr="00305460" w:rsidRDefault="001C56BD" w:rsidP="008A5C11">
            <w:pPr>
              <w:jc w:val="center"/>
              <w:rPr>
                <w:sz w:val="12"/>
                <w:szCs w:val="12"/>
              </w:rPr>
            </w:pPr>
            <w:r w:rsidRPr="00305460">
              <w:rPr>
                <w:sz w:val="12"/>
                <w:szCs w:val="12"/>
              </w:rPr>
              <w:t xml:space="preserve">Подключение потребителей Кировского района </w:t>
            </w:r>
            <w:r w:rsidRPr="00305460">
              <w:rPr>
                <w:sz w:val="12"/>
                <w:szCs w:val="12"/>
              </w:rPr>
              <w:br/>
              <w:t>г. Кемерово</w:t>
            </w:r>
          </w:p>
        </w:tc>
        <w:tc>
          <w:tcPr>
            <w:tcW w:w="280" w:type="pct"/>
            <w:vMerge w:val="restart"/>
            <w:shd w:val="clear" w:color="auto" w:fill="auto"/>
            <w:tcMar>
              <w:left w:w="17" w:type="dxa"/>
              <w:right w:w="17" w:type="dxa"/>
            </w:tcMar>
            <w:vAlign w:val="center"/>
          </w:tcPr>
          <w:p w14:paraId="708AE837" w14:textId="77777777" w:rsidR="001C56BD" w:rsidRPr="00305460" w:rsidRDefault="001C56BD" w:rsidP="008A5C11">
            <w:pPr>
              <w:jc w:val="center"/>
              <w:rPr>
                <w:sz w:val="12"/>
                <w:szCs w:val="12"/>
              </w:rPr>
            </w:pPr>
            <w:r w:rsidRPr="00305460">
              <w:rPr>
                <w:sz w:val="12"/>
                <w:szCs w:val="12"/>
              </w:rPr>
              <w:t>Кемеровский городской округ, Кировский район</w:t>
            </w:r>
          </w:p>
        </w:tc>
        <w:tc>
          <w:tcPr>
            <w:tcW w:w="289" w:type="pct"/>
            <w:shd w:val="clear" w:color="auto" w:fill="auto"/>
            <w:tcMar>
              <w:left w:w="17" w:type="dxa"/>
              <w:right w:w="17" w:type="dxa"/>
            </w:tcMar>
            <w:vAlign w:val="center"/>
          </w:tcPr>
          <w:p w14:paraId="1BFB81C4" w14:textId="77777777" w:rsidR="001C56BD" w:rsidRPr="00305460" w:rsidRDefault="001C56BD" w:rsidP="008A5C11">
            <w:pPr>
              <w:jc w:val="center"/>
              <w:rPr>
                <w:color w:val="000000"/>
                <w:sz w:val="12"/>
                <w:szCs w:val="12"/>
              </w:rPr>
            </w:pPr>
            <w:r w:rsidRPr="00305460">
              <w:rPr>
                <w:color w:val="000000"/>
                <w:sz w:val="12"/>
                <w:szCs w:val="12"/>
              </w:rPr>
              <w:t>мощность</w:t>
            </w:r>
          </w:p>
        </w:tc>
        <w:tc>
          <w:tcPr>
            <w:tcW w:w="137" w:type="pct"/>
            <w:shd w:val="clear" w:color="auto" w:fill="auto"/>
            <w:tcMar>
              <w:left w:w="17" w:type="dxa"/>
              <w:right w:w="17" w:type="dxa"/>
            </w:tcMar>
            <w:vAlign w:val="center"/>
          </w:tcPr>
          <w:p w14:paraId="1AADF261" w14:textId="77777777" w:rsidR="001C56BD" w:rsidRPr="00305460" w:rsidRDefault="001C56BD" w:rsidP="008A5C11">
            <w:pPr>
              <w:jc w:val="center"/>
              <w:rPr>
                <w:color w:val="000000"/>
                <w:sz w:val="12"/>
                <w:szCs w:val="12"/>
              </w:rPr>
            </w:pPr>
            <w:r w:rsidRPr="00305460">
              <w:rPr>
                <w:color w:val="000000"/>
                <w:sz w:val="12"/>
                <w:szCs w:val="12"/>
              </w:rPr>
              <w:t>Гкал/</w:t>
            </w:r>
          </w:p>
          <w:p w14:paraId="1E38333B" w14:textId="77777777" w:rsidR="001C56BD" w:rsidRPr="00305460" w:rsidRDefault="001C56BD" w:rsidP="008A5C11">
            <w:pPr>
              <w:jc w:val="center"/>
              <w:rPr>
                <w:color w:val="000000"/>
                <w:sz w:val="12"/>
                <w:szCs w:val="12"/>
              </w:rPr>
            </w:pPr>
            <w:r w:rsidRPr="00305460">
              <w:rPr>
                <w:color w:val="000000"/>
                <w:sz w:val="12"/>
                <w:szCs w:val="12"/>
              </w:rPr>
              <w:t>час</w:t>
            </w:r>
          </w:p>
        </w:tc>
        <w:tc>
          <w:tcPr>
            <w:tcW w:w="202" w:type="pct"/>
            <w:vMerge w:val="restart"/>
            <w:shd w:val="clear" w:color="auto" w:fill="auto"/>
            <w:tcMar>
              <w:left w:w="17" w:type="dxa"/>
              <w:right w:w="17" w:type="dxa"/>
            </w:tcMar>
            <w:vAlign w:val="center"/>
          </w:tcPr>
          <w:p w14:paraId="6D12168D" w14:textId="77777777" w:rsidR="001C56BD" w:rsidRPr="00305460" w:rsidRDefault="001C56BD" w:rsidP="008A5C11">
            <w:pPr>
              <w:jc w:val="center"/>
              <w:rPr>
                <w:sz w:val="12"/>
                <w:szCs w:val="12"/>
              </w:rPr>
            </w:pPr>
            <w:r w:rsidRPr="00305460">
              <w:rPr>
                <w:sz w:val="12"/>
                <w:szCs w:val="12"/>
              </w:rPr>
              <w:t>-</w:t>
            </w:r>
          </w:p>
        </w:tc>
        <w:tc>
          <w:tcPr>
            <w:tcW w:w="244" w:type="pct"/>
            <w:shd w:val="clear" w:color="auto" w:fill="auto"/>
            <w:tcMar>
              <w:left w:w="17" w:type="dxa"/>
              <w:right w:w="17" w:type="dxa"/>
            </w:tcMar>
            <w:vAlign w:val="center"/>
          </w:tcPr>
          <w:p w14:paraId="69F8214C" w14:textId="77777777" w:rsidR="001C56BD" w:rsidRPr="00305460" w:rsidRDefault="001C56BD" w:rsidP="008A5C11">
            <w:pPr>
              <w:jc w:val="center"/>
              <w:rPr>
                <w:sz w:val="12"/>
                <w:szCs w:val="12"/>
              </w:rPr>
            </w:pPr>
            <w:r w:rsidRPr="00305460">
              <w:rPr>
                <w:sz w:val="12"/>
                <w:szCs w:val="12"/>
              </w:rPr>
              <w:t>0,18</w:t>
            </w:r>
          </w:p>
        </w:tc>
        <w:tc>
          <w:tcPr>
            <w:tcW w:w="140" w:type="pct"/>
            <w:vMerge w:val="restart"/>
            <w:shd w:val="clear" w:color="auto" w:fill="auto"/>
            <w:tcMar>
              <w:left w:w="17" w:type="dxa"/>
              <w:right w:w="17" w:type="dxa"/>
            </w:tcMar>
            <w:vAlign w:val="center"/>
          </w:tcPr>
          <w:p w14:paraId="6F224709" w14:textId="77777777" w:rsidR="001C56BD" w:rsidRPr="00305460" w:rsidRDefault="001C56BD" w:rsidP="008A5C11">
            <w:pPr>
              <w:jc w:val="center"/>
              <w:rPr>
                <w:sz w:val="12"/>
                <w:szCs w:val="12"/>
              </w:rPr>
            </w:pPr>
            <w:r w:rsidRPr="00305460">
              <w:rPr>
                <w:sz w:val="12"/>
                <w:szCs w:val="12"/>
              </w:rPr>
              <w:t>2022</w:t>
            </w:r>
          </w:p>
        </w:tc>
        <w:tc>
          <w:tcPr>
            <w:tcW w:w="140" w:type="pct"/>
            <w:vMerge w:val="restart"/>
            <w:shd w:val="clear" w:color="auto" w:fill="auto"/>
            <w:tcMar>
              <w:left w:w="17" w:type="dxa"/>
              <w:right w:w="17" w:type="dxa"/>
            </w:tcMar>
            <w:vAlign w:val="center"/>
          </w:tcPr>
          <w:p w14:paraId="110C09BA" w14:textId="77777777" w:rsidR="001C56BD" w:rsidRPr="00305460" w:rsidRDefault="001C56BD" w:rsidP="008A5C11">
            <w:pPr>
              <w:jc w:val="center"/>
              <w:rPr>
                <w:sz w:val="12"/>
                <w:szCs w:val="12"/>
              </w:rPr>
            </w:pPr>
            <w:r w:rsidRPr="00305460">
              <w:rPr>
                <w:sz w:val="12"/>
                <w:szCs w:val="12"/>
              </w:rPr>
              <w:t>2022</w:t>
            </w:r>
          </w:p>
        </w:tc>
        <w:tc>
          <w:tcPr>
            <w:tcW w:w="239" w:type="pct"/>
            <w:gridSpan w:val="3"/>
            <w:vMerge w:val="restart"/>
            <w:shd w:val="clear" w:color="000000" w:fill="FFFFFF"/>
            <w:tcMar>
              <w:left w:w="17" w:type="dxa"/>
              <w:right w:w="17" w:type="dxa"/>
            </w:tcMar>
            <w:vAlign w:val="center"/>
          </w:tcPr>
          <w:p w14:paraId="15DDD5F3" w14:textId="77777777" w:rsidR="001C56BD" w:rsidRPr="00305460" w:rsidRDefault="001C56BD" w:rsidP="008A5C11">
            <w:pPr>
              <w:jc w:val="center"/>
              <w:rPr>
                <w:sz w:val="12"/>
                <w:szCs w:val="12"/>
              </w:rPr>
            </w:pPr>
            <w:r w:rsidRPr="00305460">
              <w:rPr>
                <w:sz w:val="12"/>
                <w:szCs w:val="12"/>
              </w:rPr>
              <w:t>1907,470</w:t>
            </w:r>
          </w:p>
        </w:tc>
        <w:tc>
          <w:tcPr>
            <w:tcW w:w="196" w:type="pct"/>
            <w:gridSpan w:val="3"/>
            <w:vMerge w:val="restart"/>
            <w:shd w:val="clear" w:color="auto" w:fill="auto"/>
            <w:tcMar>
              <w:left w:w="17" w:type="dxa"/>
              <w:right w:w="17" w:type="dxa"/>
            </w:tcMar>
            <w:vAlign w:val="center"/>
          </w:tcPr>
          <w:p w14:paraId="7A6599A6" w14:textId="77777777" w:rsidR="001C56BD" w:rsidRPr="00305460" w:rsidRDefault="001C56BD" w:rsidP="008A5C11">
            <w:pPr>
              <w:jc w:val="center"/>
              <w:rPr>
                <w:sz w:val="12"/>
                <w:szCs w:val="12"/>
              </w:rPr>
            </w:pPr>
            <w:r w:rsidRPr="00305460">
              <w:rPr>
                <w:sz w:val="12"/>
                <w:szCs w:val="12"/>
              </w:rPr>
              <w:t>0,000</w:t>
            </w:r>
          </w:p>
        </w:tc>
        <w:tc>
          <w:tcPr>
            <w:tcW w:w="216" w:type="pct"/>
            <w:gridSpan w:val="3"/>
            <w:vMerge w:val="restart"/>
            <w:shd w:val="clear" w:color="000000" w:fill="FFFFFF"/>
            <w:tcMar>
              <w:left w:w="17" w:type="dxa"/>
              <w:right w:w="17" w:type="dxa"/>
            </w:tcMar>
            <w:vAlign w:val="center"/>
          </w:tcPr>
          <w:p w14:paraId="26C4755C" w14:textId="77777777" w:rsidR="001C56BD" w:rsidRPr="00305460" w:rsidRDefault="001C56BD" w:rsidP="008A5C11">
            <w:pPr>
              <w:jc w:val="center"/>
              <w:rPr>
                <w:sz w:val="12"/>
                <w:szCs w:val="12"/>
              </w:rPr>
            </w:pPr>
            <w:r w:rsidRPr="00305460">
              <w:rPr>
                <w:sz w:val="12"/>
                <w:szCs w:val="12"/>
              </w:rPr>
              <w:t>1907,470</w:t>
            </w:r>
          </w:p>
        </w:tc>
        <w:tc>
          <w:tcPr>
            <w:tcW w:w="179" w:type="pct"/>
            <w:gridSpan w:val="2"/>
            <w:vMerge w:val="restart"/>
            <w:shd w:val="clear" w:color="auto" w:fill="auto"/>
            <w:tcMar>
              <w:left w:w="17" w:type="dxa"/>
              <w:right w:w="17" w:type="dxa"/>
            </w:tcMar>
            <w:vAlign w:val="center"/>
          </w:tcPr>
          <w:p w14:paraId="59D70E3B" w14:textId="77777777" w:rsidR="001C56BD" w:rsidRPr="00305460" w:rsidRDefault="001C56BD" w:rsidP="008A5C11">
            <w:pPr>
              <w:jc w:val="center"/>
              <w:rPr>
                <w:sz w:val="12"/>
                <w:szCs w:val="12"/>
              </w:rPr>
            </w:pPr>
            <w:r w:rsidRPr="00305460">
              <w:rPr>
                <w:sz w:val="12"/>
                <w:szCs w:val="12"/>
              </w:rPr>
              <w:t>0,000</w:t>
            </w:r>
          </w:p>
        </w:tc>
        <w:tc>
          <w:tcPr>
            <w:tcW w:w="222" w:type="pct"/>
            <w:gridSpan w:val="2"/>
            <w:vMerge w:val="restart"/>
            <w:shd w:val="clear" w:color="auto" w:fill="auto"/>
            <w:tcMar>
              <w:left w:w="17" w:type="dxa"/>
              <w:right w:w="17" w:type="dxa"/>
            </w:tcMar>
            <w:vAlign w:val="center"/>
          </w:tcPr>
          <w:p w14:paraId="2A49D609" w14:textId="77777777" w:rsidR="001C56BD" w:rsidRPr="00305460" w:rsidRDefault="001C56BD" w:rsidP="008A5C11">
            <w:pPr>
              <w:jc w:val="center"/>
              <w:rPr>
                <w:sz w:val="12"/>
                <w:szCs w:val="12"/>
              </w:rPr>
            </w:pPr>
            <w:r w:rsidRPr="00305460">
              <w:rPr>
                <w:sz w:val="12"/>
                <w:szCs w:val="12"/>
              </w:rPr>
              <w:t>0,000</w:t>
            </w:r>
          </w:p>
        </w:tc>
        <w:tc>
          <w:tcPr>
            <w:tcW w:w="213" w:type="pct"/>
            <w:vMerge w:val="restart"/>
            <w:shd w:val="clear" w:color="auto" w:fill="auto"/>
            <w:tcMar>
              <w:left w:w="17" w:type="dxa"/>
              <w:right w:w="17" w:type="dxa"/>
            </w:tcMar>
            <w:vAlign w:val="center"/>
          </w:tcPr>
          <w:p w14:paraId="6DA4E09F" w14:textId="77777777" w:rsidR="001C56BD" w:rsidRPr="00305460" w:rsidRDefault="001C56BD" w:rsidP="008A5C11">
            <w:pPr>
              <w:jc w:val="center"/>
              <w:rPr>
                <w:sz w:val="12"/>
                <w:szCs w:val="12"/>
              </w:rPr>
            </w:pPr>
            <w:r w:rsidRPr="00305460">
              <w:rPr>
                <w:sz w:val="12"/>
                <w:szCs w:val="12"/>
              </w:rPr>
              <w:t>0,000</w:t>
            </w:r>
          </w:p>
        </w:tc>
        <w:tc>
          <w:tcPr>
            <w:tcW w:w="218" w:type="pct"/>
            <w:vMerge w:val="restart"/>
            <w:tcMar>
              <w:left w:w="17" w:type="dxa"/>
              <w:right w:w="17" w:type="dxa"/>
            </w:tcMar>
            <w:vAlign w:val="center"/>
          </w:tcPr>
          <w:p w14:paraId="694A2D4B" w14:textId="77777777" w:rsidR="001C56BD" w:rsidRPr="00305460" w:rsidRDefault="001C56BD" w:rsidP="008A5C11">
            <w:pPr>
              <w:jc w:val="center"/>
              <w:rPr>
                <w:sz w:val="12"/>
                <w:szCs w:val="12"/>
                <w:highlight w:val="red"/>
              </w:rPr>
            </w:pPr>
            <w:r w:rsidRPr="00305460">
              <w:rPr>
                <w:sz w:val="12"/>
                <w:szCs w:val="12"/>
              </w:rPr>
              <w:t>0,000</w:t>
            </w:r>
          </w:p>
        </w:tc>
        <w:tc>
          <w:tcPr>
            <w:tcW w:w="218" w:type="pct"/>
            <w:vMerge w:val="restart"/>
            <w:tcMar>
              <w:left w:w="17" w:type="dxa"/>
              <w:right w:w="17" w:type="dxa"/>
            </w:tcMar>
            <w:vAlign w:val="center"/>
          </w:tcPr>
          <w:p w14:paraId="5DB88810" w14:textId="77777777" w:rsidR="001C56BD" w:rsidRPr="00305460" w:rsidRDefault="001C56BD" w:rsidP="008A5C11">
            <w:pPr>
              <w:jc w:val="center"/>
              <w:rPr>
                <w:sz w:val="12"/>
                <w:szCs w:val="12"/>
                <w:highlight w:val="red"/>
              </w:rPr>
            </w:pPr>
            <w:r w:rsidRPr="00305460">
              <w:rPr>
                <w:sz w:val="12"/>
                <w:szCs w:val="12"/>
              </w:rPr>
              <w:t>0,000</w:t>
            </w:r>
          </w:p>
        </w:tc>
        <w:tc>
          <w:tcPr>
            <w:tcW w:w="218" w:type="pct"/>
            <w:vMerge w:val="restart"/>
            <w:tcMar>
              <w:left w:w="17" w:type="dxa"/>
              <w:right w:w="17" w:type="dxa"/>
            </w:tcMar>
            <w:vAlign w:val="center"/>
          </w:tcPr>
          <w:p w14:paraId="0B48A449" w14:textId="77777777" w:rsidR="001C56BD" w:rsidRPr="00305460" w:rsidRDefault="001C56BD" w:rsidP="008A5C11">
            <w:pPr>
              <w:jc w:val="center"/>
              <w:rPr>
                <w:sz w:val="12"/>
                <w:szCs w:val="12"/>
              </w:rPr>
            </w:pPr>
            <w:r w:rsidRPr="00305460">
              <w:rPr>
                <w:sz w:val="12"/>
                <w:szCs w:val="12"/>
              </w:rPr>
              <w:t>0,000</w:t>
            </w:r>
          </w:p>
        </w:tc>
        <w:tc>
          <w:tcPr>
            <w:tcW w:w="218" w:type="pct"/>
            <w:gridSpan w:val="2"/>
            <w:vMerge w:val="restart"/>
            <w:tcMar>
              <w:left w:w="17" w:type="dxa"/>
              <w:right w:w="17" w:type="dxa"/>
            </w:tcMar>
            <w:vAlign w:val="center"/>
          </w:tcPr>
          <w:p w14:paraId="7CD32928" w14:textId="77777777" w:rsidR="001C56BD" w:rsidRPr="00305460" w:rsidRDefault="001C56BD" w:rsidP="008A5C11">
            <w:pPr>
              <w:jc w:val="center"/>
              <w:rPr>
                <w:sz w:val="12"/>
                <w:szCs w:val="12"/>
              </w:rPr>
            </w:pPr>
            <w:r w:rsidRPr="00305460">
              <w:rPr>
                <w:sz w:val="12"/>
                <w:szCs w:val="12"/>
              </w:rPr>
              <w:t>0,000</w:t>
            </w:r>
          </w:p>
        </w:tc>
        <w:tc>
          <w:tcPr>
            <w:tcW w:w="172" w:type="pct"/>
            <w:gridSpan w:val="2"/>
            <w:vMerge w:val="restart"/>
            <w:tcMar>
              <w:left w:w="17" w:type="dxa"/>
              <w:right w:w="17" w:type="dxa"/>
            </w:tcMar>
            <w:vAlign w:val="center"/>
          </w:tcPr>
          <w:p w14:paraId="4BDEDCEA" w14:textId="77777777" w:rsidR="001C56BD" w:rsidRPr="00305460" w:rsidRDefault="001C56BD" w:rsidP="008A5C11">
            <w:pPr>
              <w:jc w:val="center"/>
              <w:rPr>
                <w:sz w:val="12"/>
                <w:szCs w:val="12"/>
              </w:rPr>
            </w:pPr>
            <w:r w:rsidRPr="00305460">
              <w:rPr>
                <w:sz w:val="12"/>
                <w:szCs w:val="12"/>
              </w:rPr>
              <w:t>0,000</w:t>
            </w:r>
          </w:p>
        </w:tc>
        <w:tc>
          <w:tcPr>
            <w:tcW w:w="219" w:type="pct"/>
            <w:vMerge w:val="restart"/>
            <w:tcMar>
              <w:left w:w="17" w:type="dxa"/>
              <w:right w:w="17" w:type="dxa"/>
            </w:tcMar>
            <w:vAlign w:val="center"/>
          </w:tcPr>
          <w:p w14:paraId="3FCDE0BD" w14:textId="77777777" w:rsidR="001C56BD" w:rsidRPr="00305460" w:rsidRDefault="001C56BD" w:rsidP="008A5C11">
            <w:pPr>
              <w:jc w:val="center"/>
              <w:rPr>
                <w:sz w:val="12"/>
                <w:szCs w:val="12"/>
              </w:rPr>
            </w:pPr>
            <w:r w:rsidRPr="00305460">
              <w:rPr>
                <w:sz w:val="12"/>
                <w:szCs w:val="12"/>
              </w:rPr>
              <w:t>0,000</w:t>
            </w:r>
          </w:p>
        </w:tc>
        <w:tc>
          <w:tcPr>
            <w:tcW w:w="174" w:type="pct"/>
            <w:vMerge w:val="restart"/>
            <w:tcMar>
              <w:left w:w="17" w:type="dxa"/>
              <w:right w:w="17" w:type="dxa"/>
            </w:tcMar>
            <w:vAlign w:val="center"/>
          </w:tcPr>
          <w:p w14:paraId="5833836F" w14:textId="77777777" w:rsidR="001C56BD" w:rsidRPr="00305460" w:rsidRDefault="001C56BD" w:rsidP="008A5C11">
            <w:pPr>
              <w:jc w:val="center"/>
              <w:rPr>
                <w:sz w:val="12"/>
                <w:szCs w:val="12"/>
              </w:rPr>
            </w:pPr>
            <w:r w:rsidRPr="00305460">
              <w:rPr>
                <w:sz w:val="12"/>
                <w:szCs w:val="12"/>
              </w:rPr>
              <w:t>0,000</w:t>
            </w:r>
          </w:p>
        </w:tc>
        <w:tc>
          <w:tcPr>
            <w:tcW w:w="176" w:type="pct"/>
            <w:vMerge w:val="restart"/>
            <w:shd w:val="clear" w:color="000000" w:fill="FFFFFF"/>
            <w:tcMar>
              <w:left w:w="17" w:type="dxa"/>
              <w:right w:w="17" w:type="dxa"/>
            </w:tcMar>
            <w:vAlign w:val="center"/>
          </w:tcPr>
          <w:p w14:paraId="4B460BD2" w14:textId="77777777" w:rsidR="001C56BD" w:rsidRPr="00305460" w:rsidRDefault="001C56BD" w:rsidP="008A5C11">
            <w:pPr>
              <w:jc w:val="center"/>
              <w:rPr>
                <w:sz w:val="12"/>
                <w:szCs w:val="12"/>
              </w:rPr>
            </w:pPr>
            <w:r w:rsidRPr="00305460">
              <w:rPr>
                <w:sz w:val="12"/>
                <w:szCs w:val="12"/>
              </w:rPr>
              <w:t>1907,470</w:t>
            </w:r>
          </w:p>
        </w:tc>
      </w:tr>
      <w:tr w:rsidR="001C56BD" w:rsidRPr="00305460" w14:paraId="35C790D4" w14:textId="77777777" w:rsidTr="008A5C11">
        <w:trPr>
          <w:trHeight w:val="98"/>
        </w:trPr>
        <w:tc>
          <w:tcPr>
            <w:tcW w:w="86" w:type="pct"/>
            <w:vMerge/>
            <w:shd w:val="clear" w:color="auto" w:fill="auto"/>
            <w:tcMar>
              <w:left w:w="17" w:type="dxa"/>
              <w:right w:w="17" w:type="dxa"/>
            </w:tcMar>
            <w:vAlign w:val="center"/>
          </w:tcPr>
          <w:p w14:paraId="13611192" w14:textId="77777777" w:rsidR="001C56BD" w:rsidRPr="00305460" w:rsidRDefault="001C56BD" w:rsidP="008A5C11">
            <w:pPr>
              <w:jc w:val="center"/>
              <w:rPr>
                <w:sz w:val="12"/>
                <w:szCs w:val="12"/>
              </w:rPr>
            </w:pPr>
          </w:p>
        </w:tc>
        <w:tc>
          <w:tcPr>
            <w:tcW w:w="295" w:type="pct"/>
            <w:vMerge/>
            <w:shd w:val="clear" w:color="auto" w:fill="auto"/>
            <w:tcMar>
              <w:left w:w="17" w:type="dxa"/>
              <w:right w:w="17" w:type="dxa"/>
            </w:tcMar>
            <w:vAlign w:val="center"/>
          </w:tcPr>
          <w:p w14:paraId="0DEBB78D" w14:textId="77777777" w:rsidR="001C56BD" w:rsidRPr="00305460" w:rsidRDefault="001C56BD" w:rsidP="008A5C11">
            <w:pPr>
              <w:rPr>
                <w:sz w:val="12"/>
                <w:szCs w:val="12"/>
              </w:rPr>
            </w:pPr>
          </w:p>
        </w:tc>
        <w:tc>
          <w:tcPr>
            <w:tcW w:w="307" w:type="pct"/>
            <w:vMerge/>
            <w:shd w:val="clear" w:color="auto" w:fill="auto"/>
            <w:tcMar>
              <w:left w:w="17" w:type="dxa"/>
              <w:right w:w="17" w:type="dxa"/>
            </w:tcMar>
            <w:vAlign w:val="center"/>
          </w:tcPr>
          <w:p w14:paraId="26ED67D4" w14:textId="77777777" w:rsidR="001C56BD" w:rsidRPr="00305460" w:rsidRDefault="001C56BD" w:rsidP="008A5C11">
            <w:pPr>
              <w:jc w:val="center"/>
              <w:rPr>
                <w:sz w:val="12"/>
                <w:szCs w:val="12"/>
              </w:rPr>
            </w:pPr>
          </w:p>
        </w:tc>
        <w:tc>
          <w:tcPr>
            <w:tcW w:w="280" w:type="pct"/>
            <w:vMerge/>
            <w:shd w:val="clear" w:color="auto" w:fill="auto"/>
            <w:tcMar>
              <w:left w:w="17" w:type="dxa"/>
              <w:right w:w="17" w:type="dxa"/>
            </w:tcMar>
            <w:vAlign w:val="center"/>
          </w:tcPr>
          <w:p w14:paraId="7CB4EE0E" w14:textId="77777777" w:rsidR="001C56BD" w:rsidRPr="00305460" w:rsidRDefault="001C56BD" w:rsidP="008A5C11">
            <w:pPr>
              <w:jc w:val="center"/>
              <w:rPr>
                <w:sz w:val="12"/>
                <w:szCs w:val="12"/>
              </w:rPr>
            </w:pPr>
          </w:p>
        </w:tc>
        <w:tc>
          <w:tcPr>
            <w:tcW w:w="289" w:type="pct"/>
            <w:shd w:val="clear" w:color="auto" w:fill="auto"/>
            <w:tcMar>
              <w:left w:w="17" w:type="dxa"/>
              <w:right w:w="17" w:type="dxa"/>
            </w:tcMar>
            <w:vAlign w:val="center"/>
          </w:tcPr>
          <w:p w14:paraId="441D7836" w14:textId="77777777" w:rsidR="001C56BD" w:rsidRPr="00305460" w:rsidRDefault="001C56BD" w:rsidP="008A5C11">
            <w:pPr>
              <w:jc w:val="center"/>
              <w:rPr>
                <w:color w:val="000000"/>
                <w:sz w:val="12"/>
                <w:szCs w:val="12"/>
              </w:rPr>
            </w:pPr>
            <w:r w:rsidRPr="00305460">
              <w:rPr>
                <w:color w:val="000000"/>
                <w:sz w:val="12"/>
                <w:szCs w:val="12"/>
              </w:rPr>
              <w:t>протяженность</w:t>
            </w:r>
          </w:p>
        </w:tc>
        <w:tc>
          <w:tcPr>
            <w:tcW w:w="137" w:type="pct"/>
            <w:shd w:val="clear" w:color="auto" w:fill="auto"/>
            <w:tcMar>
              <w:left w:w="17" w:type="dxa"/>
              <w:right w:w="17" w:type="dxa"/>
            </w:tcMar>
            <w:vAlign w:val="center"/>
          </w:tcPr>
          <w:p w14:paraId="39998376" w14:textId="77777777" w:rsidR="001C56BD" w:rsidRPr="00305460" w:rsidRDefault="001C56BD" w:rsidP="008A5C11">
            <w:pPr>
              <w:jc w:val="center"/>
              <w:rPr>
                <w:color w:val="000000"/>
                <w:sz w:val="12"/>
                <w:szCs w:val="12"/>
              </w:rPr>
            </w:pPr>
            <w:r w:rsidRPr="00305460">
              <w:rPr>
                <w:color w:val="000000"/>
                <w:sz w:val="12"/>
                <w:szCs w:val="12"/>
              </w:rPr>
              <w:t>м</w:t>
            </w:r>
          </w:p>
        </w:tc>
        <w:tc>
          <w:tcPr>
            <w:tcW w:w="202" w:type="pct"/>
            <w:vMerge/>
            <w:shd w:val="clear" w:color="auto" w:fill="auto"/>
            <w:tcMar>
              <w:left w:w="17" w:type="dxa"/>
              <w:right w:w="17" w:type="dxa"/>
            </w:tcMar>
            <w:vAlign w:val="center"/>
          </w:tcPr>
          <w:p w14:paraId="51552985" w14:textId="77777777" w:rsidR="001C56BD" w:rsidRPr="00305460" w:rsidRDefault="001C56BD" w:rsidP="008A5C11">
            <w:pPr>
              <w:jc w:val="center"/>
              <w:rPr>
                <w:sz w:val="12"/>
                <w:szCs w:val="12"/>
              </w:rPr>
            </w:pPr>
          </w:p>
        </w:tc>
        <w:tc>
          <w:tcPr>
            <w:tcW w:w="244" w:type="pct"/>
            <w:shd w:val="clear" w:color="auto" w:fill="auto"/>
            <w:tcMar>
              <w:left w:w="17" w:type="dxa"/>
              <w:right w:w="17" w:type="dxa"/>
            </w:tcMar>
            <w:vAlign w:val="center"/>
          </w:tcPr>
          <w:p w14:paraId="4B26C37C" w14:textId="77777777" w:rsidR="001C56BD" w:rsidRPr="00305460" w:rsidRDefault="001C56BD" w:rsidP="008A5C11">
            <w:pPr>
              <w:jc w:val="center"/>
              <w:rPr>
                <w:sz w:val="12"/>
                <w:szCs w:val="12"/>
              </w:rPr>
            </w:pPr>
            <w:r w:rsidRPr="00305460">
              <w:rPr>
                <w:sz w:val="12"/>
                <w:szCs w:val="12"/>
              </w:rPr>
              <w:t>75</w:t>
            </w:r>
          </w:p>
        </w:tc>
        <w:tc>
          <w:tcPr>
            <w:tcW w:w="140" w:type="pct"/>
            <w:vMerge/>
            <w:shd w:val="clear" w:color="auto" w:fill="auto"/>
            <w:tcMar>
              <w:left w:w="17" w:type="dxa"/>
              <w:right w:w="17" w:type="dxa"/>
            </w:tcMar>
            <w:vAlign w:val="center"/>
          </w:tcPr>
          <w:p w14:paraId="292642AA" w14:textId="77777777" w:rsidR="001C56BD" w:rsidRPr="00305460" w:rsidRDefault="001C56BD" w:rsidP="008A5C11">
            <w:pPr>
              <w:jc w:val="center"/>
              <w:rPr>
                <w:sz w:val="12"/>
                <w:szCs w:val="12"/>
              </w:rPr>
            </w:pPr>
          </w:p>
        </w:tc>
        <w:tc>
          <w:tcPr>
            <w:tcW w:w="140" w:type="pct"/>
            <w:vMerge/>
            <w:shd w:val="clear" w:color="auto" w:fill="auto"/>
            <w:tcMar>
              <w:left w:w="17" w:type="dxa"/>
              <w:right w:w="17" w:type="dxa"/>
            </w:tcMar>
            <w:vAlign w:val="center"/>
          </w:tcPr>
          <w:p w14:paraId="3BD84CB3" w14:textId="77777777" w:rsidR="001C56BD" w:rsidRPr="00305460" w:rsidRDefault="001C56BD" w:rsidP="008A5C11">
            <w:pPr>
              <w:jc w:val="center"/>
              <w:rPr>
                <w:sz w:val="12"/>
                <w:szCs w:val="12"/>
              </w:rPr>
            </w:pPr>
          </w:p>
        </w:tc>
        <w:tc>
          <w:tcPr>
            <w:tcW w:w="239" w:type="pct"/>
            <w:gridSpan w:val="3"/>
            <w:vMerge/>
            <w:tcMar>
              <w:left w:w="17" w:type="dxa"/>
              <w:right w:w="17" w:type="dxa"/>
            </w:tcMar>
            <w:vAlign w:val="center"/>
          </w:tcPr>
          <w:p w14:paraId="740339CE" w14:textId="77777777" w:rsidR="001C56BD" w:rsidRPr="00305460" w:rsidRDefault="001C56BD" w:rsidP="008A5C11">
            <w:pPr>
              <w:jc w:val="center"/>
              <w:rPr>
                <w:sz w:val="12"/>
                <w:szCs w:val="12"/>
              </w:rPr>
            </w:pPr>
          </w:p>
        </w:tc>
        <w:tc>
          <w:tcPr>
            <w:tcW w:w="196" w:type="pct"/>
            <w:gridSpan w:val="3"/>
            <w:vMerge/>
            <w:shd w:val="clear" w:color="auto" w:fill="auto"/>
            <w:tcMar>
              <w:left w:w="17" w:type="dxa"/>
              <w:right w:w="17" w:type="dxa"/>
            </w:tcMar>
            <w:vAlign w:val="center"/>
          </w:tcPr>
          <w:p w14:paraId="3ACD7851" w14:textId="77777777" w:rsidR="001C56BD" w:rsidRPr="00305460" w:rsidRDefault="001C56BD" w:rsidP="008A5C11">
            <w:pPr>
              <w:jc w:val="center"/>
              <w:rPr>
                <w:sz w:val="12"/>
                <w:szCs w:val="12"/>
              </w:rPr>
            </w:pPr>
          </w:p>
        </w:tc>
        <w:tc>
          <w:tcPr>
            <w:tcW w:w="216" w:type="pct"/>
            <w:gridSpan w:val="3"/>
            <w:vMerge/>
            <w:tcMar>
              <w:left w:w="17" w:type="dxa"/>
              <w:right w:w="17" w:type="dxa"/>
            </w:tcMar>
            <w:vAlign w:val="center"/>
          </w:tcPr>
          <w:p w14:paraId="778D853A" w14:textId="77777777" w:rsidR="001C56BD" w:rsidRPr="00305460" w:rsidRDefault="001C56BD" w:rsidP="008A5C11">
            <w:pPr>
              <w:jc w:val="center"/>
              <w:rPr>
                <w:sz w:val="12"/>
                <w:szCs w:val="12"/>
              </w:rPr>
            </w:pPr>
          </w:p>
        </w:tc>
        <w:tc>
          <w:tcPr>
            <w:tcW w:w="179" w:type="pct"/>
            <w:gridSpan w:val="2"/>
            <w:vMerge/>
            <w:shd w:val="clear" w:color="auto" w:fill="auto"/>
            <w:tcMar>
              <w:left w:w="17" w:type="dxa"/>
              <w:right w:w="17" w:type="dxa"/>
            </w:tcMar>
            <w:vAlign w:val="center"/>
          </w:tcPr>
          <w:p w14:paraId="0B3CFF0E" w14:textId="77777777" w:rsidR="001C56BD" w:rsidRPr="00305460" w:rsidRDefault="001C56BD" w:rsidP="008A5C11">
            <w:pPr>
              <w:jc w:val="center"/>
              <w:rPr>
                <w:sz w:val="12"/>
                <w:szCs w:val="12"/>
              </w:rPr>
            </w:pPr>
          </w:p>
        </w:tc>
        <w:tc>
          <w:tcPr>
            <w:tcW w:w="222" w:type="pct"/>
            <w:gridSpan w:val="2"/>
            <w:vMerge/>
            <w:shd w:val="clear" w:color="auto" w:fill="auto"/>
            <w:tcMar>
              <w:left w:w="17" w:type="dxa"/>
              <w:right w:w="17" w:type="dxa"/>
            </w:tcMar>
            <w:vAlign w:val="center"/>
          </w:tcPr>
          <w:p w14:paraId="3E116EAA" w14:textId="77777777" w:rsidR="001C56BD" w:rsidRPr="00305460" w:rsidRDefault="001C56BD" w:rsidP="008A5C11">
            <w:pPr>
              <w:jc w:val="center"/>
              <w:rPr>
                <w:sz w:val="12"/>
                <w:szCs w:val="12"/>
              </w:rPr>
            </w:pPr>
          </w:p>
        </w:tc>
        <w:tc>
          <w:tcPr>
            <w:tcW w:w="213" w:type="pct"/>
            <w:vMerge/>
            <w:shd w:val="clear" w:color="auto" w:fill="auto"/>
            <w:tcMar>
              <w:left w:w="17" w:type="dxa"/>
              <w:right w:w="17" w:type="dxa"/>
            </w:tcMar>
            <w:vAlign w:val="center"/>
          </w:tcPr>
          <w:p w14:paraId="3DCF3A89" w14:textId="77777777" w:rsidR="001C56BD" w:rsidRPr="00305460" w:rsidRDefault="001C56BD" w:rsidP="008A5C11">
            <w:pPr>
              <w:jc w:val="center"/>
              <w:rPr>
                <w:sz w:val="12"/>
                <w:szCs w:val="12"/>
              </w:rPr>
            </w:pPr>
          </w:p>
        </w:tc>
        <w:tc>
          <w:tcPr>
            <w:tcW w:w="218" w:type="pct"/>
            <w:vMerge/>
            <w:tcMar>
              <w:left w:w="17" w:type="dxa"/>
              <w:right w:w="17" w:type="dxa"/>
            </w:tcMar>
            <w:vAlign w:val="center"/>
          </w:tcPr>
          <w:p w14:paraId="52057E3F" w14:textId="77777777" w:rsidR="001C56BD" w:rsidRPr="00305460" w:rsidRDefault="001C56BD" w:rsidP="008A5C11">
            <w:pPr>
              <w:jc w:val="center"/>
              <w:rPr>
                <w:sz w:val="12"/>
                <w:szCs w:val="12"/>
                <w:highlight w:val="red"/>
              </w:rPr>
            </w:pPr>
          </w:p>
        </w:tc>
        <w:tc>
          <w:tcPr>
            <w:tcW w:w="218" w:type="pct"/>
            <w:vMerge/>
            <w:tcMar>
              <w:left w:w="17" w:type="dxa"/>
              <w:right w:w="17" w:type="dxa"/>
            </w:tcMar>
            <w:vAlign w:val="center"/>
          </w:tcPr>
          <w:p w14:paraId="37C926FB" w14:textId="77777777" w:rsidR="001C56BD" w:rsidRPr="00305460" w:rsidRDefault="001C56BD" w:rsidP="008A5C11">
            <w:pPr>
              <w:jc w:val="center"/>
              <w:rPr>
                <w:sz w:val="12"/>
                <w:szCs w:val="12"/>
                <w:highlight w:val="red"/>
              </w:rPr>
            </w:pPr>
          </w:p>
        </w:tc>
        <w:tc>
          <w:tcPr>
            <w:tcW w:w="218" w:type="pct"/>
            <w:vMerge/>
            <w:tcMar>
              <w:left w:w="17" w:type="dxa"/>
              <w:right w:w="17" w:type="dxa"/>
            </w:tcMar>
            <w:vAlign w:val="center"/>
          </w:tcPr>
          <w:p w14:paraId="3AE93AD5" w14:textId="77777777" w:rsidR="001C56BD" w:rsidRPr="00305460" w:rsidRDefault="001C56BD" w:rsidP="008A5C11">
            <w:pPr>
              <w:jc w:val="center"/>
              <w:rPr>
                <w:sz w:val="12"/>
                <w:szCs w:val="12"/>
              </w:rPr>
            </w:pPr>
          </w:p>
        </w:tc>
        <w:tc>
          <w:tcPr>
            <w:tcW w:w="218" w:type="pct"/>
            <w:gridSpan w:val="2"/>
            <w:vMerge/>
            <w:tcMar>
              <w:left w:w="17" w:type="dxa"/>
              <w:right w:w="17" w:type="dxa"/>
            </w:tcMar>
            <w:vAlign w:val="center"/>
          </w:tcPr>
          <w:p w14:paraId="2082DA71" w14:textId="77777777" w:rsidR="001C56BD" w:rsidRPr="00305460" w:rsidRDefault="001C56BD" w:rsidP="008A5C11">
            <w:pPr>
              <w:jc w:val="center"/>
              <w:rPr>
                <w:sz w:val="12"/>
                <w:szCs w:val="12"/>
              </w:rPr>
            </w:pPr>
          </w:p>
        </w:tc>
        <w:tc>
          <w:tcPr>
            <w:tcW w:w="172" w:type="pct"/>
            <w:gridSpan w:val="2"/>
            <w:vMerge/>
            <w:tcMar>
              <w:left w:w="17" w:type="dxa"/>
              <w:right w:w="17" w:type="dxa"/>
            </w:tcMar>
            <w:vAlign w:val="center"/>
          </w:tcPr>
          <w:p w14:paraId="5702EB74" w14:textId="77777777" w:rsidR="001C56BD" w:rsidRPr="00305460" w:rsidRDefault="001C56BD" w:rsidP="008A5C11">
            <w:pPr>
              <w:jc w:val="center"/>
              <w:rPr>
                <w:sz w:val="12"/>
                <w:szCs w:val="12"/>
              </w:rPr>
            </w:pPr>
          </w:p>
        </w:tc>
        <w:tc>
          <w:tcPr>
            <w:tcW w:w="219" w:type="pct"/>
            <w:vMerge/>
            <w:tcMar>
              <w:left w:w="17" w:type="dxa"/>
              <w:right w:w="17" w:type="dxa"/>
            </w:tcMar>
            <w:vAlign w:val="center"/>
          </w:tcPr>
          <w:p w14:paraId="260FA925" w14:textId="77777777" w:rsidR="001C56BD" w:rsidRPr="00305460" w:rsidRDefault="001C56BD" w:rsidP="008A5C11">
            <w:pPr>
              <w:jc w:val="center"/>
              <w:rPr>
                <w:sz w:val="12"/>
                <w:szCs w:val="12"/>
              </w:rPr>
            </w:pPr>
          </w:p>
        </w:tc>
        <w:tc>
          <w:tcPr>
            <w:tcW w:w="174" w:type="pct"/>
            <w:vMerge/>
            <w:tcMar>
              <w:left w:w="17" w:type="dxa"/>
              <w:right w:w="17" w:type="dxa"/>
            </w:tcMar>
            <w:vAlign w:val="center"/>
          </w:tcPr>
          <w:p w14:paraId="41D8A86A" w14:textId="77777777" w:rsidR="001C56BD" w:rsidRPr="00305460" w:rsidRDefault="001C56BD" w:rsidP="008A5C11">
            <w:pPr>
              <w:jc w:val="center"/>
              <w:rPr>
                <w:sz w:val="12"/>
                <w:szCs w:val="12"/>
              </w:rPr>
            </w:pPr>
          </w:p>
        </w:tc>
        <w:tc>
          <w:tcPr>
            <w:tcW w:w="176" w:type="pct"/>
            <w:vMerge/>
            <w:tcMar>
              <w:left w:w="17" w:type="dxa"/>
              <w:right w:w="17" w:type="dxa"/>
            </w:tcMar>
            <w:vAlign w:val="center"/>
          </w:tcPr>
          <w:p w14:paraId="2FC1B849" w14:textId="77777777" w:rsidR="001C56BD" w:rsidRPr="00305460" w:rsidRDefault="001C56BD" w:rsidP="008A5C11">
            <w:pPr>
              <w:jc w:val="center"/>
              <w:rPr>
                <w:sz w:val="12"/>
                <w:szCs w:val="12"/>
              </w:rPr>
            </w:pPr>
          </w:p>
        </w:tc>
      </w:tr>
      <w:tr w:rsidR="001C56BD" w:rsidRPr="00305460" w14:paraId="7644010D" w14:textId="77777777" w:rsidTr="008A5C11">
        <w:trPr>
          <w:trHeight w:val="64"/>
        </w:trPr>
        <w:tc>
          <w:tcPr>
            <w:tcW w:w="86" w:type="pct"/>
            <w:vMerge/>
            <w:shd w:val="clear" w:color="auto" w:fill="auto"/>
            <w:tcMar>
              <w:left w:w="17" w:type="dxa"/>
              <w:right w:w="17" w:type="dxa"/>
            </w:tcMar>
            <w:vAlign w:val="center"/>
          </w:tcPr>
          <w:p w14:paraId="440BD35B" w14:textId="77777777" w:rsidR="001C56BD" w:rsidRPr="00305460" w:rsidRDefault="001C56BD" w:rsidP="008A5C11">
            <w:pPr>
              <w:jc w:val="center"/>
              <w:rPr>
                <w:sz w:val="12"/>
                <w:szCs w:val="12"/>
              </w:rPr>
            </w:pPr>
          </w:p>
        </w:tc>
        <w:tc>
          <w:tcPr>
            <w:tcW w:w="295" w:type="pct"/>
            <w:vMerge/>
            <w:shd w:val="clear" w:color="auto" w:fill="auto"/>
            <w:tcMar>
              <w:left w:w="17" w:type="dxa"/>
              <w:right w:w="17" w:type="dxa"/>
            </w:tcMar>
            <w:vAlign w:val="center"/>
          </w:tcPr>
          <w:p w14:paraId="14B828B2" w14:textId="77777777" w:rsidR="001C56BD" w:rsidRPr="00305460" w:rsidRDefault="001C56BD" w:rsidP="008A5C11">
            <w:pPr>
              <w:rPr>
                <w:sz w:val="12"/>
                <w:szCs w:val="12"/>
              </w:rPr>
            </w:pPr>
          </w:p>
        </w:tc>
        <w:tc>
          <w:tcPr>
            <w:tcW w:w="307" w:type="pct"/>
            <w:vMerge/>
            <w:shd w:val="clear" w:color="auto" w:fill="auto"/>
            <w:tcMar>
              <w:left w:w="17" w:type="dxa"/>
              <w:right w:w="17" w:type="dxa"/>
            </w:tcMar>
            <w:vAlign w:val="center"/>
          </w:tcPr>
          <w:p w14:paraId="77FDF7F2" w14:textId="77777777" w:rsidR="001C56BD" w:rsidRPr="00305460" w:rsidRDefault="001C56BD" w:rsidP="008A5C11">
            <w:pPr>
              <w:jc w:val="center"/>
              <w:rPr>
                <w:sz w:val="12"/>
                <w:szCs w:val="12"/>
              </w:rPr>
            </w:pPr>
          </w:p>
        </w:tc>
        <w:tc>
          <w:tcPr>
            <w:tcW w:w="280" w:type="pct"/>
            <w:vMerge/>
            <w:shd w:val="clear" w:color="auto" w:fill="auto"/>
            <w:tcMar>
              <w:left w:w="17" w:type="dxa"/>
              <w:right w:w="17" w:type="dxa"/>
            </w:tcMar>
            <w:vAlign w:val="center"/>
          </w:tcPr>
          <w:p w14:paraId="651E0376" w14:textId="77777777" w:rsidR="001C56BD" w:rsidRPr="00305460" w:rsidRDefault="001C56BD" w:rsidP="008A5C11">
            <w:pPr>
              <w:jc w:val="center"/>
              <w:rPr>
                <w:sz w:val="12"/>
                <w:szCs w:val="12"/>
              </w:rPr>
            </w:pPr>
          </w:p>
        </w:tc>
        <w:tc>
          <w:tcPr>
            <w:tcW w:w="289" w:type="pct"/>
            <w:shd w:val="clear" w:color="auto" w:fill="auto"/>
            <w:tcMar>
              <w:left w:w="17" w:type="dxa"/>
              <w:right w:w="17" w:type="dxa"/>
            </w:tcMar>
            <w:vAlign w:val="center"/>
          </w:tcPr>
          <w:p w14:paraId="4B77AC25" w14:textId="77777777" w:rsidR="001C56BD" w:rsidRPr="00305460" w:rsidRDefault="001C56BD" w:rsidP="008A5C11">
            <w:pPr>
              <w:jc w:val="center"/>
              <w:rPr>
                <w:color w:val="000000"/>
                <w:sz w:val="12"/>
                <w:szCs w:val="12"/>
              </w:rPr>
            </w:pPr>
            <w:r w:rsidRPr="00305460">
              <w:rPr>
                <w:color w:val="000000"/>
                <w:sz w:val="12"/>
                <w:szCs w:val="12"/>
              </w:rPr>
              <w:t>диаметр</w:t>
            </w:r>
          </w:p>
        </w:tc>
        <w:tc>
          <w:tcPr>
            <w:tcW w:w="137" w:type="pct"/>
            <w:shd w:val="clear" w:color="auto" w:fill="auto"/>
            <w:tcMar>
              <w:left w:w="17" w:type="dxa"/>
              <w:right w:w="17" w:type="dxa"/>
            </w:tcMar>
            <w:vAlign w:val="center"/>
          </w:tcPr>
          <w:p w14:paraId="4913DEF5" w14:textId="77777777" w:rsidR="001C56BD" w:rsidRPr="00305460" w:rsidRDefault="001C56BD" w:rsidP="008A5C11">
            <w:pPr>
              <w:jc w:val="center"/>
              <w:rPr>
                <w:color w:val="000000"/>
                <w:sz w:val="12"/>
                <w:szCs w:val="12"/>
              </w:rPr>
            </w:pPr>
            <w:r w:rsidRPr="00305460">
              <w:rPr>
                <w:color w:val="000000"/>
                <w:sz w:val="12"/>
                <w:szCs w:val="12"/>
              </w:rPr>
              <w:t>мм</w:t>
            </w:r>
          </w:p>
        </w:tc>
        <w:tc>
          <w:tcPr>
            <w:tcW w:w="202" w:type="pct"/>
            <w:vMerge/>
            <w:shd w:val="clear" w:color="auto" w:fill="auto"/>
            <w:tcMar>
              <w:left w:w="17" w:type="dxa"/>
              <w:right w:w="17" w:type="dxa"/>
            </w:tcMar>
            <w:vAlign w:val="center"/>
          </w:tcPr>
          <w:p w14:paraId="1A5D3CD7" w14:textId="77777777" w:rsidR="001C56BD" w:rsidRPr="00305460" w:rsidRDefault="001C56BD" w:rsidP="008A5C11">
            <w:pPr>
              <w:jc w:val="center"/>
              <w:rPr>
                <w:sz w:val="12"/>
                <w:szCs w:val="12"/>
              </w:rPr>
            </w:pPr>
          </w:p>
        </w:tc>
        <w:tc>
          <w:tcPr>
            <w:tcW w:w="244" w:type="pct"/>
            <w:shd w:val="clear" w:color="auto" w:fill="auto"/>
            <w:tcMar>
              <w:left w:w="17" w:type="dxa"/>
              <w:right w:w="17" w:type="dxa"/>
            </w:tcMar>
            <w:vAlign w:val="center"/>
          </w:tcPr>
          <w:p w14:paraId="05F3C3CC" w14:textId="77777777" w:rsidR="001C56BD" w:rsidRPr="00305460" w:rsidRDefault="001C56BD" w:rsidP="008A5C11">
            <w:pPr>
              <w:jc w:val="center"/>
              <w:rPr>
                <w:sz w:val="12"/>
                <w:szCs w:val="12"/>
              </w:rPr>
            </w:pPr>
            <w:r w:rsidRPr="00305460">
              <w:rPr>
                <w:sz w:val="12"/>
                <w:szCs w:val="12"/>
              </w:rPr>
              <w:t>50</w:t>
            </w:r>
          </w:p>
        </w:tc>
        <w:tc>
          <w:tcPr>
            <w:tcW w:w="140" w:type="pct"/>
            <w:vMerge/>
            <w:shd w:val="clear" w:color="auto" w:fill="auto"/>
            <w:tcMar>
              <w:left w:w="17" w:type="dxa"/>
              <w:right w:w="17" w:type="dxa"/>
            </w:tcMar>
            <w:vAlign w:val="center"/>
          </w:tcPr>
          <w:p w14:paraId="73AB2BB8" w14:textId="77777777" w:rsidR="001C56BD" w:rsidRPr="00305460" w:rsidRDefault="001C56BD" w:rsidP="008A5C11">
            <w:pPr>
              <w:jc w:val="center"/>
              <w:rPr>
                <w:sz w:val="12"/>
                <w:szCs w:val="12"/>
              </w:rPr>
            </w:pPr>
          </w:p>
        </w:tc>
        <w:tc>
          <w:tcPr>
            <w:tcW w:w="140" w:type="pct"/>
            <w:vMerge/>
            <w:shd w:val="clear" w:color="auto" w:fill="auto"/>
            <w:tcMar>
              <w:left w:w="17" w:type="dxa"/>
              <w:right w:w="17" w:type="dxa"/>
            </w:tcMar>
            <w:vAlign w:val="center"/>
          </w:tcPr>
          <w:p w14:paraId="08B91E0B" w14:textId="77777777" w:rsidR="001C56BD" w:rsidRPr="00305460" w:rsidRDefault="001C56BD" w:rsidP="008A5C11">
            <w:pPr>
              <w:jc w:val="center"/>
              <w:rPr>
                <w:sz w:val="12"/>
                <w:szCs w:val="12"/>
              </w:rPr>
            </w:pPr>
          </w:p>
        </w:tc>
        <w:tc>
          <w:tcPr>
            <w:tcW w:w="239" w:type="pct"/>
            <w:gridSpan w:val="3"/>
            <w:vMerge/>
            <w:tcMar>
              <w:left w:w="17" w:type="dxa"/>
              <w:right w:w="17" w:type="dxa"/>
            </w:tcMar>
            <w:vAlign w:val="center"/>
          </w:tcPr>
          <w:p w14:paraId="40C24A90" w14:textId="77777777" w:rsidR="001C56BD" w:rsidRPr="00305460" w:rsidRDefault="001C56BD" w:rsidP="008A5C11">
            <w:pPr>
              <w:jc w:val="center"/>
              <w:rPr>
                <w:sz w:val="12"/>
                <w:szCs w:val="12"/>
              </w:rPr>
            </w:pPr>
          </w:p>
        </w:tc>
        <w:tc>
          <w:tcPr>
            <w:tcW w:w="196" w:type="pct"/>
            <w:gridSpan w:val="3"/>
            <w:vMerge/>
            <w:shd w:val="clear" w:color="auto" w:fill="auto"/>
            <w:tcMar>
              <w:left w:w="17" w:type="dxa"/>
              <w:right w:w="17" w:type="dxa"/>
            </w:tcMar>
            <w:vAlign w:val="center"/>
          </w:tcPr>
          <w:p w14:paraId="78B3437C" w14:textId="77777777" w:rsidR="001C56BD" w:rsidRPr="00305460" w:rsidRDefault="001C56BD" w:rsidP="008A5C11">
            <w:pPr>
              <w:jc w:val="center"/>
              <w:rPr>
                <w:sz w:val="12"/>
                <w:szCs w:val="12"/>
              </w:rPr>
            </w:pPr>
          </w:p>
        </w:tc>
        <w:tc>
          <w:tcPr>
            <w:tcW w:w="216" w:type="pct"/>
            <w:gridSpan w:val="3"/>
            <w:vMerge/>
            <w:tcMar>
              <w:left w:w="17" w:type="dxa"/>
              <w:right w:w="17" w:type="dxa"/>
            </w:tcMar>
            <w:vAlign w:val="center"/>
          </w:tcPr>
          <w:p w14:paraId="1030EFB3" w14:textId="77777777" w:rsidR="001C56BD" w:rsidRPr="00305460" w:rsidRDefault="001C56BD" w:rsidP="008A5C11">
            <w:pPr>
              <w:jc w:val="center"/>
              <w:rPr>
                <w:sz w:val="12"/>
                <w:szCs w:val="12"/>
              </w:rPr>
            </w:pPr>
          </w:p>
        </w:tc>
        <w:tc>
          <w:tcPr>
            <w:tcW w:w="179" w:type="pct"/>
            <w:gridSpan w:val="2"/>
            <w:vMerge/>
            <w:shd w:val="clear" w:color="auto" w:fill="auto"/>
            <w:tcMar>
              <w:left w:w="17" w:type="dxa"/>
              <w:right w:w="17" w:type="dxa"/>
            </w:tcMar>
            <w:vAlign w:val="center"/>
          </w:tcPr>
          <w:p w14:paraId="40685F0C" w14:textId="77777777" w:rsidR="001C56BD" w:rsidRPr="00305460" w:rsidRDefault="001C56BD" w:rsidP="008A5C11">
            <w:pPr>
              <w:jc w:val="center"/>
              <w:rPr>
                <w:sz w:val="12"/>
                <w:szCs w:val="12"/>
              </w:rPr>
            </w:pPr>
          </w:p>
        </w:tc>
        <w:tc>
          <w:tcPr>
            <w:tcW w:w="222" w:type="pct"/>
            <w:gridSpan w:val="2"/>
            <w:vMerge/>
            <w:shd w:val="clear" w:color="auto" w:fill="auto"/>
            <w:tcMar>
              <w:left w:w="17" w:type="dxa"/>
              <w:right w:w="17" w:type="dxa"/>
            </w:tcMar>
            <w:vAlign w:val="center"/>
          </w:tcPr>
          <w:p w14:paraId="7F1331F6" w14:textId="77777777" w:rsidR="001C56BD" w:rsidRPr="00305460" w:rsidRDefault="001C56BD" w:rsidP="008A5C11">
            <w:pPr>
              <w:jc w:val="center"/>
              <w:rPr>
                <w:sz w:val="12"/>
                <w:szCs w:val="12"/>
              </w:rPr>
            </w:pPr>
          </w:p>
        </w:tc>
        <w:tc>
          <w:tcPr>
            <w:tcW w:w="213" w:type="pct"/>
            <w:vMerge/>
            <w:shd w:val="clear" w:color="auto" w:fill="auto"/>
            <w:tcMar>
              <w:left w:w="17" w:type="dxa"/>
              <w:right w:w="17" w:type="dxa"/>
            </w:tcMar>
            <w:vAlign w:val="center"/>
          </w:tcPr>
          <w:p w14:paraId="1E70AC12" w14:textId="77777777" w:rsidR="001C56BD" w:rsidRPr="00305460" w:rsidRDefault="001C56BD" w:rsidP="008A5C11">
            <w:pPr>
              <w:jc w:val="center"/>
              <w:rPr>
                <w:sz w:val="12"/>
                <w:szCs w:val="12"/>
              </w:rPr>
            </w:pPr>
          </w:p>
        </w:tc>
        <w:tc>
          <w:tcPr>
            <w:tcW w:w="218" w:type="pct"/>
            <w:vMerge/>
            <w:tcMar>
              <w:left w:w="17" w:type="dxa"/>
              <w:right w:w="17" w:type="dxa"/>
            </w:tcMar>
            <w:vAlign w:val="center"/>
          </w:tcPr>
          <w:p w14:paraId="6385F233" w14:textId="77777777" w:rsidR="001C56BD" w:rsidRPr="00305460" w:rsidRDefault="001C56BD" w:rsidP="008A5C11">
            <w:pPr>
              <w:jc w:val="center"/>
              <w:rPr>
                <w:sz w:val="12"/>
                <w:szCs w:val="12"/>
                <w:highlight w:val="red"/>
              </w:rPr>
            </w:pPr>
          </w:p>
        </w:tc>
        <w:tc>
          <w:tcPr>
            <w:tcW w:w="218" w:type="pct"/>
            <w:vMerge/>
            <w:tcMar>
              <w:left w:w="17" w:type="dxa"/>
              <w:right w:w="17" w:type="dxa"/>
            </w:tcMar>
            <w:vAlign w:val="center"/>
          </w:tcPr>
          <w:p w14:paraId="24A96931" w14:textId="77777777" w:rsidR="001C56BD" w:rsidRPr="00305460" w:rsidRDefault="001C56BD" w:rsidP="008A5C11">
            <w:pPr>
              <w:jc w:val="center"/>
              <w:rPr>
                <w:sz w:val="12"/>
                <w:szCs w:val="12"/>
                <w:highlight w:val="red"/>
              </w:rPr>
            </w:pPr>
          </w:p>
        </w:tc>
        <w:tc>
          <w:tcPr>
            <w:tcW w:w="218" w:type="pct"/>
            <w:vMerge/>
            <w:tcMar>
              <w:left w:w="17" w:type="dxa"/>
              <w:right w:w="17" w:type="dxa"/>
            </w:tcMar>
            <w:vAlign w:val="center"/>
          </w:tcPr>
          <w:p w14:paraId="12354E67" w14:textId="77777777" w:rsidR="001C56BD" w:rsidRPr="00305460" w:rsidRDefault="001C56BD" w:rsidP="008A5C11">
            <w:pPr>
              <w:jc w:val="center"/>
              <w:rPr>
                <w:sz w:val="12"/>
                <w:szCs w:val="12"/>
              </w:rPr>
            </w:pPr>
          </w:p>
        </w:tc>
        <w:tc>
          <w:tcPr>
            <w:tcW w:w="218" w:type="pct"/>
            <w:gridSpan w:val="2"/>
            <w:vMerge/>
            <w:tcMar>
              <w:left w:w="17" w:type="dxa"/>
              <w:right w:w="17" w:type="dxa"/>
            </w:tcMar>
            <w:vAlign w:val="center"/>
          </w:tcPr>
          <w:p w14:paraId="220D717A" w14:textId="77777777" w:rsidR="001C56BD" w:rsidRPr="00305460" w:rsidRDefault="001C56BD" w:rsidP="008A5C11">
            <w:pPr>
              <w:jc w:val="center"/>
              <w:rPr>
                <w:sz w:val="12"/>
                <w:szCs w:val="12"/>
              </w:rPr>
            </w:pPr>
          </w:p>
        </w:tc>
        <w:tc>
          <w:tcPr>
            <w:tcW w:w="172" w:type="pct"/>
            <w:gridSpan w:val="2"/>
            <w:vMerge/>
            <w:tcMar>
              <w:left w:w="17" w:type="dxa"/>
              <w:right w:w="17" w:type="dxa"/>
            </w:tcMar>
            <w:vAlign w:val="center"/>
          </w:tcPr>
          <w:p w14:paraId="78C727AA" w14:textId="77777777" w:rsidR="001C56BD" w:rsidRPr="00305460" w:rsidRDefault="001C56BD" w:rsidP="008A5C11">
            <w:pPr>
              <w:jc w:val="center"/>
              <w:rPr>
                <w:sz w:val="12"/>
                <w:szCs w:val="12"/>
              </w:rPr>
            </w:pPr>
          </w:p>
        </w:tc>
        <w:tc>
          <w:tcPr>
            <w:tcW w:w="219" w:type="pct"/>
            <w:vMerge/>
            <w:tcMar>
              <w:left w:w="17" w:type="dxa"/>
              <w:right w:w="17" w:type="dxa"/>
            </w:tcMar>
            <w:vAlign w:val="center"/>
          </w:tcPr>
          <w:p w14:paraId="0B499681" w14:textId="77777777" w:rsidR="001C56BD" w:rsidRPr="00305460" w:rsidRDefault="001C56BD" w:rsidP="008A5C11">
            <w:pPr>
              <w:jc w:val="center"/>
              <w:rPr>
                <w:sz w:val="12"/>
                <w:szCs w:val="12"/>
              </w:rPr>
            </w:pPr>
          </w:p>
        </w:tc>
        <w:tc>
          <w:tcPr>
            <w:tcW w:w="174" w:type="pct"/>
            <w:vMerge/>
            <w:tcMar>
              <w:left w:w="17" w:type="dxa"/>
              <w:right w:w="17" w:type="dxa"/>
            </w:tcMar>
            <w:vAlign w:val="center"/>
          </w:tcPr>
          <w:p w14:paraId="211F7C27" w14:textId="77777777" w:rsidR="001C56BD" w:rsidRPr="00305460" w:rsidRDefault="001C56BD" w:rsidP="008A5C11">
            <w:pPr>
              <w:jc w:val="center"/>
              <w:rPr>
                <w:sz w:val="12"/>
                <w:szCs w:val="12"/>
              </w:rPr>
            </w:pPr>
          </w:p>
        </w:tc>
        <w:tc>
          <w:tcPr>
            <w:tcW w:w="176" w:type="pct"/>
            <w:vMerge/>
            <w:tcMar>
              <w:left w:w="17" w:type="dxa"/>
              <w:right w:w="17" w:type="dxa"/>
            </w:tcMar>
            <w:vAlign w:val="center"/>
          </w:tcPr>
          <w:p w14:paraId="4FEA9ADD" w14:textId="77777777" w:rsidR="001C56BD" w:rsidRPr="00305460" w:rsidRDefault="001C56BD" w:rsidP="008A5C11">
            <w:pPr>
              <w:jc w:val="center"/>
              <w:rPr>
                <w:sz w:val="12"/>
                <w:szCs w:val="12"/>
              </w:rPr>
            </w:pPr>
          </w:p>
        </w:tc>
      </w:tr>
      <w:tr w:rsidR="001C56BD" w:rsidRPr="00305460" w14:paraId="5DBF4942" w14:textId="77777777" w:rsidTr="008A5C11">
        <w:trPr>
          <w:trHeight w:val="273"/>
        </w:trPr>
        <w:tc>
          <w:tcPr>
            <w:tcW w:w="86" w:type="pct"/>
            <w:vMerge w:val="restart"/>
            <w:shd w:val="clear" w:color="auto" w:fill="auto"/>
            <w:tcMar>
              <w:left w:w="17" w:type="dxa"/>
              <w:right w:w="17" w:type="dxa"/>
            </w:tcMar>
            <w:vAlign w:val="center"/>
          </w:tcPr>
          <w:p w14:paraId="29E937BA" w14:textId="77777777" w:rsidR="001C56BD" w:rsidRPr="00305460" w:rsidRDefault="001C56BD" w:rsidP="008A5C11">
            <w:pPr>
              <w:jc w:val="center"/>
              <w:rPr>
                <w:sz w:val="12"/>
                <w:szCs w:val="12"/>
              </w:rPr>
            </w:pPr>
            <w:r w:rsidRPr="00305460">
              <w:rPr>
                <w:sz w:val="12"/>
                <w:szCs w:val="12"/>
              </w:rPr>
              <w:t>1.1.3.</w:t>
            </w:r>
          </w:p>
        </w:tc>
        <w:tc>
          <w:tcPr>
            <w:tcW w:w="295" w:type="pct"/>
            <w:vMerge w:val="restart"/>
            <w:shd w:val="clear" w:color="auto" w:fill="auto"/>
            <w:tcMar>
              <w:left w:w="17" w:type="dxa"/>
              <w:right w:w="17" w:type="dxa"/>
            </w:tcMar>
            <w:vAlign w:val="center"/>
          </w:tcPr>
          <w:p w14:paraId="730B928A" w14:textId="77777777" w:rsidR="001C56BD" w:rsidRPr="00305460" w:rsidRDefault="001C56BD" w:rsidP="008A5C11">
            <w:pPr>
              <w:rPr>
                <w:sz w:val="12"/>
                <w:szCs w:val="12"/>
              </w:rPr>
            </w:pPr>
            <w:r w:rsidRPr="00305460">
              <w:rPr>
                <w:sz w:val="12"/>
                <w:szCs w:val="12"/>
              </w:rPr>
              <w:t xml:space="preserve">Строительство тепловых сетей </w:t>
            </w:r>
          </w:p>
        </w:tc>
        <w:tc>
          <w:tcPr>
            <w:tcW w:w="307" w:type="pct"/>
            <w:vMerge w:val="restart"/>
            <w:shd w:val="clear" w:color="auto" w:fill="auto"/>
            <w:tcMar>
              <w:left w:w="17" w:type="dxa"/>
              <w:right w:w="17" w:type="dxa"/>
            </w:tcMar>
            <w:vAlign w:val="center"/>
          </w:tcPr>
          <w:p w14:paraId="1E01AC46" w14:textId="77777777" w:rsidR="001C56BD" w:rsidRPr="00305460" w:rsidRDefault="001C56BD" w:rsidP="008A5C11">
            <w:pPr>
              <w:jc w:val="center"/>
              <w:rPr>
                <w:sz w:val="12"/>
                <w:szCs w:val="12"/>
              </w:rPr>
            </w:pPr>
            <w:r w:rsidRPr="00305460">
              <w:rPr>
                <w:sz w:val="12"/>
                <w:szCs w:val="12"/>
              </w:rPr>
              <w:t>Подключение потребителей Ленинского района</w:t>
            </w:r>
            <w:r w:rsidRPr="00305460">
              <w:rPr>
                <w:sz w:val="12"/>
                <w:szCs w:val="12"/>
              </w:rPr>
              <w:br/>
              <w:t>г. Кемерово</w:t>
            </w:r>
          </w:p>
        </w:tc>
        <w:tc>
          <w:tcPr>
            <w:tcW w:w="280" w:type="pct"/>
            <w:vMerge w:val="restart"/>
            <w:shd w:val="clear" w:color="auto" w:fill="auto"/>
            <w:tcMar>
              <w:left w:w="17" w:type="dxa"/>
              <w:right w:w="17" w:type="dxa"/>
            </w:tcMar>
            <w:vAlign w:val="center"/>
          </w:tcPr>
          <w:p w14:paraId="413AC1E3" w14:textId="77777777" w:rsidR="001C56BD" w:rsidRPr="00305460" w:rsidRDefault="001C56BD" w:rsidP="008A5C11">
            <w:pPr>
              <w:jc w:val="center"/>
              <w:rPr>
                <w:sz w:val="12"/>
                <w:szCs w:val="12"/>
              </w:rPr>
            </w:pPr>
            <w:r w:rsidRPr="00305460">
              <w:rPr>
                <w:sz w:val="12"/>
                <w:szCs w:val="12"/>
              </w:rPr>
              <w:t>Кемеровский городской округ, Ленинский район</w:t>
            </w:r>
          </w:p>
        </w:tc>
        <w:tc>
          <w:tcPr>
            <w:tcW w:w="289" w:type="pct"/>
            <w:shd w:val="clear" w:color="auto" w:fill="auto"/>
            <w:tcMar>
              <w:left w:w="17" w:type="dxa"/>
              <w:right w:w="17" w:type="dxa"/>
            </w:tcMar>
            <w:vAlign w:val="center"/>
          </w:tcPr>
          <w:p w14:paraId="062CEDBF" w14:textId="77777777" w:rsidR="001C56BD" w:rsidRPr="00305460" w:rsidRDefault="001C56BD" w:rsidP="008A5C11">
            <w:pPr>
              <w:jc w:val="center"/>
              <w:rPr>
                <w:color w:val="000000"/>
                <w:sz w:val="12"/>
                <w:szCs w:val="12"/>
              </w:rPr>
            </w:pPr>
            <w:r w:rsidRPr="00305460">
              <w:rPr>
                <w:color w:val="000000"/>
                <w:sz w:val="12"/>
                <w:szCs w:val="12"/>
              </w:rPr>
              <w:t>мощность</w:t>
            </w:r>
          </w:p>
        </w:tc>
        <w:tc>
          <w:tcPr>
            <w:tcW w:w="137" w:type="pct"/>
            <w:shd w:val="clear" w:color="auto" w:fill="auto"/>
            <w:tcMar>
              <w:left w:w="17" w:type="dxa"/>
              <w:right w:w="17" w:type="dxa"/>
            </w:tcMar>
            <w:vAlign w:val="center"/>
          </w:tcPr>
          <w:p w14:paraId="04A9686B" w14:textId="77777777" w:rsidR="001C56BD" w:rsidRPr="00305460" w:rsidRDefault="001C56BD" w:rsidP="008A5C11">
            <w:pPr>
              <w:jc w:val="center"/>
              <w:rPr>
                <w:color w:val="000000"/>
                <w:sz w:val="12"/>
                <w:szCs w:val="12"/>
              </w:rPr>
            </w:pPr>
            <w:r w:rsidRPr="00305460">
              <w:rPr>
                <w:color w:val="000000"/>
                <w:sz w:val="12"/>
                <w:szCs w:val="12"/>
              </w:rPr>
              <w:t>Гкал/</w:t>
            </w:r>
          </w:p>
          <w:p w14:paraId="721794E7" w14:textId="77777777" w:rsidR="001C56BD" w:rsidRPr="00305460" w:rsidRDefault="001C56BD" w:rsidP="008A5C11">
            <w:pPr>
              <w:jc w:val="center"/>
              <w:rPr>
                <w:color w:val="000000"/>
                <w:sz w:val="12"/>
                <w:szCs w:val="12"/>
              </w:rPr>
            </w:pPr>
            <w:r w:rsidRPr="00305460">
              <w:rPr>
                <w:color w:val="000000"/>
                <w:sz w:val="12"/>
                <w:szCs w:val="12"/>
              </w:rPr>
              <w:t>час</w:t>
            </w:r>
          </w:p>
        </w:tc>
        <w:tc>
          <w:tcPr>
            <w:tcW w:w="202" w:type="pct"/>
            <w:vMerge w:val="restart"/>
            <w:shd w:val="clear" w:color="auto" w:fill="auto"/>
            <w:tcMar>
              <w:left w:w="17" w:type="dxa"/>
              <w:right w:w="17" w:type="dxa"/>
            </w:tcMar>
            <w:vAlign w:val="center"/>
          </w:tcPr>
          <w:p w14:paraId="0DB85F6D" w14:textId="77777777" w:rsidR="001C56BD" w:rsidRPr="00305460" w:rsidRDefault="001C56BD" w:rsidP="008A5C11">
            <w:pPr>
              <w:jc w:val="center"/>
              <w:rPr>
                <w:sz w:val="12"/>
                <w:szCs w:val="12"/>
              </w:rPr>
            </w:pPr>
            <w:r w:rsidRPr="00305460">
              <w:rPr>
                <w:sz w:val="12"/>
                <w:szCs w:val="12"/>
              </w:rPr>
              <w:t>-</w:t>
            </w:r>
          </w:p>
        </w:tc>
        <w:tc>
          <w:tcPr>
            <w:tcW w:w="244" w:type="pct"/>
            <w:shd w:val="clear" w:color="auto" w:fill="auto"/>
            <w:tcMar>
              <w:left w:w="17" w:type="dxa"/>
              <w:right w:w="17" w:type="dxa"/>
            </w:tcMar>
            <w:vAlign w:val="center"/>
          </w:tcPr>
          <w:p w14:paraId="753195A9" w14:textId="77777777" w:rsidR="001C56BD" w:rsidRPr="00305460" w:rsidRDefault="001C56BD" w:rsidP="008A5C11">
            <w:pPr>
              <w:jc w:val="center"/>
              <w:rPr>
                <w:sz w:val="12"/>
                <w:szCs w:val="12"/>
              </w:rPr>
            </w:pPr>
            <w:r w:rsidRPr="00305460">
              <w:rPr>
                <w:sz w:val="12"/>
                <w:szCs w:val="12"/>
              </w:rPr>
              <w:t>0,18</w:t>
            </w:r>
          </w:p>
        </w:tc>
        <w:tc>
          <w:tcPr>
            <w:tcW w:w="140" w:type="pct"/>
            <w:vMerge w:val="restart"/>
            <w:shd w:val="clear" w:color="auto" w:fill="auto"/>
            <w:tcMar>
              <w:left w:w="17" w:type="dxa"/>
              <w:right w:w="17" w:type="dxa"/>
            </w:tcMar>
            <w:vAlign w:val="center"/>
          </w:tcPr>
          <w:p w14:paraId="0A477606" w14:textId="77777777" w:rsidR="001C56BD" w:rsidRPr="00305460" w:rsidRDefault="001C56BD" w:rsidP="008A5C11">
            <w:pPr>
              <w:jc w:val="center"/>
              <w:rPr>
                <w:sz w:val="12"/>
                <w:szCs w:val="12"/>
              </w:rPr>
            </w:pPr>
            <w:r w:rsidRPr="00305460">
              <w:rPr>
                <w:sz w:val="12"/>
                <w:szCs w:val="12"/>
              </w:rPr>
              <w:t>2022</w:t>
            </w:r>
          </w:p>
        </w:tc>
        <w:tc>
          <w:tcPr>
            <w:tcW w:w="140" w:type="pct"/>
            <w:vMerge w:val="restart"/>
            <w:shd w:val="clear" w:color="auto" w:fill="auto"/>
            <w:tcMar>
              <w:left w:w="17" w:type="dxa"/>
              <w:right w:w="17" w:type="dxa"/>
            </w:tcMar>
            <w:vAlign w:val="center"/>
          </w:tcPr>
          <w:p w14:paraId="728780F2" w14:textId="77777777" w:rsidR="001C56BD" w:rsidRPr="00305460" w:rsidRDefault="001C56BD" w:rsidP="008A5C11">
            <w:pPr>
              <w:jc w:val="center"/>
              <w:rPr>
                <w:sz w:val="12"/>
                <w:szCs w:val="12"/>
              </w:rPr>
            </w:pPr>
            <w:r w:rsidRPr="00305460">
              <w:rPr>
                <w:sz w:val="12"/>
                <w:szCs w:val="12"/>
              </w:rPr>
              <w:t>2022</w:t>
            </w:r>
          </w:p>
        </w:tc>
        <w:tc>
          <w:tcPr>
            <w:tcW w:w="239" w:type="pct"/>
            <w:gridSpan w:val="3"/>
            <w:vMerge w:val="restart"/>
            <w:shd w:val="clear" w:color="000000" w:fill="FFFFFF"/>
            <w:tcMar>
              <w:left w:w="17" w:type="dxa"/>
              <w:right w:w="17" w:type="dxa"/>
            </w:tcMar>
            <w:vAlign w:val="center"/>
          </w:tcPr>
          <w:p w14:paraId="536AA9AA" w14:textId="77777777" w:rsidR="001C56BD" w:rsidRPr="00305460" w:rsidRDefault="001C56BD" w:rsidP="008A5C11">
            <w:pPr>
              <w:jc w:val="center"/>
              <w:rPr>
                <w:sz w:val="12"/>
                <w:szCs w:val="12"/>
              </w:rPr>
            </w:pPr>
            <w:r w:rsidRPr="00305460">
              <w:rPr>
                <w:sz w:val="12"/>
                <w:szCs w:val="12"/>
              </w:rPr>
              <w:t>6699,800</w:t>
            </w:r>
          </w:p>
        </w:tc>
        <w:tc>
          <w:tcPr>
            <w:tcW w:w="196" w:type="pct"/>
            <w:gridSpan w:val="3"/>
            <w:vMerge w:val="restart"/>
            <w:shd w:val="clear" w:color="auto" w:fill="auto"/>
            <w:tcMar>
              <w:left w:w="17" w:type="dxa"/>
              <w:right w:w="17" w:type="dxa"/>
            </w:tcMar>
            <w:vAlign w:val="center"/>
          </w:tcPr>
          <w:p w14:paraId="3DFBD25F" w14:textId="77777777" w:rsidR="001C56BD" w:rsidRPr="00305460" w:rsidRDefault="001C56BD" w:rsidP="008A5C11">
            <w:pPr>
              <w:jc w:val="center"/>
              <w:rPr>
                <w:sz w:val="12"/>
                <w:szCs w:val="12"/>
              </w:rPr>
            </w:pPr>
            <w:r w:rsidRPr="00305460">
              <w:rPr>
                <w:sz w:val="12"/>
                <w:szCs w:val="12"/>
              </w:rPr>
              <w:t>0,000</w:t>
            </w:r>
          </w:p>
        </w:tc>
        <w:tc>
          <w:tcPr>
            <w:tcW w:w="216" w:type="pct"/>
            <w:gridSpan w:val="3"/>
            <w:vMerge w:val="restart"/>
            <w:shd w:val="clear" w:color="000000" w:fill="FFFFFF"/>
            <w:tcMar>
              <w:left w:w="17" w:type="dxa"/>
              <w:right w:w="17" w:type="dxa"/>
            </w:tcMar>
            <w:vAlign w:val="center"/>
          </w:tcPr>
          <w:p w14:paraId="00C26AC5" w14:textId="77777777" w:rsidR="001C56BD" w:rsidRPr="00305460" w:rsidRDefault="001C56BD" w:rsidP="008A5C11">
            <w:pPr>
              <w:jc w:val="center"/>
              <w:rPr>
                <w:sz w:val="12"/>
                <w:szCs w:val="12"/>
              </w:rPr>
            </w:pPr>
            <w:r w:rsidRPr="00305460">
              <w:rPr>
                <w:sz w:val="12"/>
                <w:szCs w:val="12"/>
              </w:rPr>
              <w:t>6699,800</w:t>
            </w:r>
          </w:p>
        </w:tc>
        <w:tc>
          <w:tcPr>
            <w:tcW w:w="179" w:type="pct"/>
            <w:gridSpan w:val="2"/>
            <w:vMerge w:val="restart"/>
            <w:shd w:val="clear" w:color="auto" w:fill="auto"/>
            <w:tcMar>
              <w:left w:w="17" w:type="dxa"/>
              <w:right w:w="17" w:type="dxa"/>
            </w:tcMar>
            <w:vAlign w:val="center"/>
          </w:tcPr>
          <w:p w14:paraId="3D86BC64" w14:textId="77777777" w:rsidR="001C56BD" w:rsidRPr="00305460" w:rsidRDefault="001C56BD" w:rsidP="008A5C11">
            <w:pPr>
              <w:jc w:val="center"/>
              <w:rPr>
                <w:sz w:val="12"/>
                <w:szCs w:val="12"/>
              </w:rPr>
            </w:pPr>
            <w:r w:rsidRPr="00305460">
              <w:rPr>
                <w:sz w:val="12"/>
                <w:szCs w:val="12"/>
              </w:rPr>
              <w:t>0,000</w:t>
            </w:r>
          </w:p>
        </w:tc>
        <w:tc>
          <w:tcPr>
            <w:tcW w:w="222" w:type="pct"/>
            <w:gridSpan w:val="2"/>
            <w:vMerge w:val="restart"/>
            <w:shd w:val="clear" w:color="auto" w:fill="auto"/>
            <w:tcMar>
              <w:left w:w="17" w:type="dxa"/>
              <w:right w:w="17" w:type="dxa"/>
            </w:tcMar>
            <w:vAlign w:val="center"/>
          </w:tcPr>
          <w:p w14:paraId="74F62457" w14:textId="77777777" w:rsidR="001C56BD" w:rsidRPr="00305460" w:rsidRDefault="001C56BD" w:rsidP="008A5C11">
            <w:pPr>
              <w:jc w:val="center"/>
              <w:rPr>
                <w:sz w:val="12"/>
                <w:szCs w:val="12"/>
              </w:rPr>
            </w:pPr>
            <w:r w:rsidRPr="00305460">
              <w:rPr>
                <w:sz w:val="12"/>
                <w:szCs w:val="12"/>
              </w:rPr>
              <w:t>0,000</w:t>
            </w:r>
          </w:p>
        </w:tc>
        <w:tc>
          <w:tcPr>
            <w:tcW w:w="213" w:type="pct"/>
            <w:vMerge w:val="restart"/>
            <w:shd w:val="clear" w:color="auto" w:fill="auto"/>
            <w:tcMar>
              <w:left w:w="17" w:type="dxa"/>
              <w:right w:w="17" w:type="dxa"/>
            </w:tcMar>
            <w:vAlign w:val="center"/>
          </w:tcPr>
          <w:p w14:paraId="21DD0502" w14:textId="77777777" w:rsidR="001C56BD" w:rsidRPr="00305460" w:rsidRDefault="001C56BD" w:rsidP="008A5C11">
            <w:pPr>
              <w:jc w:val="center"/>
              <w:rPr>
                <w:sz w:val="12"/>
                <w:szCs w:val="12"/>
              </w:rPr>
            </w:pPr>
            <w:r w:rsidRPr="00305460">
              <w:rPr>
                <w:sz w:val="12"/>
                <w:szCs w:val="12"/>
              </w:rPr>
              <w:t>0,000</w:t>
            </w:r>
          </w:p>
        </w:tc>
        <w:tc>
          <w:tcPr>
            <w:tcW w:w="218" w:type="pct"/>
            <w:vMerge w:val="restart"/>
            <w:tcMar>
              <w:left w:w="17" w:type="dxa"/>
              <w:right w:w="17" w:type="dxa"/>
            </w:tcMar>
            <w:vAlign w:val="center"/>
          </w:tcPr>
          <w:p w14:paraId="3715EAAE" w14:textId="77777777" w:rsidR="001C56BD" w:rsidRPr="00305460" w:rsidRDefault="001C56BD" w:rsidP="008A5C11">
            <w:pPr>
              <w:jc w:val="center"/>
              <w:rPr>
                <w:sz w:val="12"/>
                <w:szCs w:val="12"/>
                <w:highlight w:val="red"/>
              </w:rPr>
            </w:pPr>
            <w:r w:rsidRPr="00305460">
              <w:rPr>
                <w:sz w:val="12"/>
                <w:szCs w:val="12"/>
              </w:rPr>
              <w:t>0,000</w:t>
            </w:r>
          </w:p>
        </w:tc>
        <w:tc>
          <w:tcPr>
            <w:tcW w:w="218" w:type="pct"/>
            <w:vMerge w:val="restart"/>
            <w:tcMar>
              <w:left w:w="17" w:type="dxa"/>
              <w:right w:w="17" w:type="dxa"/>
            </w:tcMar>
            <w:vAlign w:val="center"/>
          </w:tcPr>
          <w:p w14:paraId="5ED8DD97" w14:textId="77777777" w:rsidR="001C56BD" w:rsidRPr="00305460" w:rsidRDefault="001C56BD" w:rsidP="008A5C11">
            <w:pPr>
              <w:jc w:val="center"/>
              <w:rPr>
                <w:sz w:val="12"/>
                <w:szCs w:val="12"/>
                <w:highlight w:val="red"/>
              </w:rPr>
            </w:pPr>
            <w:r w:rsidRPr="00305460">
              <w:rPr>
                <w:sz w:val="12"/>
                <w:szCs w:val="12"/>
              </w:rPr>
              <w:t>0,000</w:t>
            </w:r>
          </w:p>
        </w:tc>
        <w:tc>
          <w:tcPr>
            <w:tcW w:w="218" w:type="pct"/>
            <w:vMerge w:val="restart"/>
            <w:tcMar>
              <w:left w:w="17" w:type="dxa"/>
              <w:right w:w="17" w:type="dxa"/>
            </w:tcMar>
            <w:vAlign w:val="center"/>
          </w:tcPr>
          <w:p w14:paraId="40B9D587" w14:textId="77777777" w:rsidR="001C56BD" w:rsidRPr="00305460" w:rsidRDefault="001C56BD" w:rsidP="008A5C11">
            <w:pPr>
              <w:jc w:val="center"/>
              <w:rPr>
                <w:sz w:val="12"/>
                <w:szCs w:val="12"/>
              </w:rPr>
            </w:pPr>
            <w:r w:rsidRPr="00305460">
              <w:rPr>
                <w:sz w:val="12"/>
                <w:szCs w:val="12"/>
              </w:rPr>
              <w:t>0,000</w:t>
            </w:r>
          </w:p>
        </w:tc>
        <w:tc>
          <w:tcPr>
            <w:tcW w:w="218" w:type="pct"/>
            <w:gridSpan w:val="2"/>
            <w:vMerge w:val="restart"/>
            <w:tcMar>
              <w:left w:w="17" w:type="dxa"/>
              <w:right w:w="17" w:type="dxa"/>
            </w:tcMar>
            <w:vAlign w:val="center"/>
          </w:tcPr>
          <w:p w14:paraId="3441768F" w14:textId="77777777" w:rsidR="001C56BD" w:rsidRPr="00305460" w:rsidRDefault="001C56BD" w:rsidP="008A5C11">
            <w:pPr>
              <w:jc w:val="center"/>
              <w:rPr>
                <w:sz w:val="12"/>
                <w:szCs w:val="12"/>
              </w:rPr>
            </w:pPr>
            <w:r w:rsidRPr="00305460">
              <w:rPr>
                <w:sz w:val="12"/>
                <w:szCs w:val="12"/>
              </w:rPr>
              <w:t>0,000</w:t>
            </w:r>
          </w:p>
        </w:tc>
        <w:tc>
          <w:tcPr>
            <w:tcW w:w="172" w:type="pct"/>
            <w:gridSpan w:val="2"/>
            <w:vMerge w:val="restart"/>
            <w:tcMar>
              <w:left w:w="17" w:type="dxa"/>
              <w:right w:w="17" w:type="dxa"/>
            </w:tcMar>
            <w:vAlign w:val="center"/>
          </w:tcPr>
          <w:p w14:paraId="4E6E0F9C" w14:textId="77777777" w:rsidR="001C56BD" w:rsidRPr="00305460" w:rsidRDefault="001C56BD" w:rsidP="008A5C11">
            <w:pPr>
              <w:jc w:val="center"/>
              <w:rPr>
                <w:sz w:val="12"/>
                <w:szCs w:val="12"/>
              </w:rPr>
            </w:pPr>
            <w:r w:rsidRPr="00305460">
              <w:rPr>
                <w:sz w:val="12"/>
                <w:szCs w:val="12"/>
              </w:rPr>
              <w:t>0,000</w:t>
            </w:r>
          </w:p>
        </w:tc>
        <w:tc>
          <w:tcPr>
            <w:tcW w:w="219" w:type="pct"/>
            <w:vMerge w:val="restart"/>
            <w:tcMar>
              <w:left w:w="17" w:type="dxa"/>
              <w:right w:w="17" w:type="dxa"/>
            </w:tcMar>
            <w:vAlign w:val="center"/>
          </w:tcPr>
          <w:p w14:paraId="6F59AE55" w14:textId="77777777" w:rsidR="001C56BD" w:rsidRPr="00305460" w:rsidRDefault="001C56BD" w:rsidP="008A5C11">
            <w:pPr>
              <w:jc w:val="center"/>
              <w:rPr>
                <w:sz w:val="12"/>
                <w:szCs w:val="12"/>
              </w:rPr>
            </w:pPr>
            <w:r w:rsidRPr="00305460">
              <w:rPr>
                <w:sz w:val="12"/>
                <w:szCs w:val="12"/>
              </w:rPr>
              <w:t>0,000</w:t>
            </w:r>
          </w:p>
        </w:tc>
        <w:tc>
          <w:tcPr>
            <w:tcW w:w="174" w:type="pct"/>
            <w:vMerge w:val="restart"/>
            <w:tcMar>
              <w:left w:w="17" w:type="dxa"/>
              <w:right w:w="17" w:type="dxa"/>
            </w:tcMar>
            <w:vAlign w:val="center"/>
          </w:tcPr>
          <w:p w14:paraId="5E81EAD6" w14:textId="77777777" w:rsidR="001C56BD" w:rsidRPr="00305460" w:rsidRDefault="001C56BD" w:rsidP="008A5C11">
            <w:pPr>
              <w:jc w:val="center"/>
              <w:rPr>
                <w:sz w:val="12"/>
                <w:szCs w:val="12"/>
              </w:rPr>
            </w:pPr>
            <w:r w:rsidRPr="00305460">
              <w:rPr>
                <w:sz w:val="12"/>
                <w:szCs w:val="12"/>
              </w:rPr>
              <w:t>0,000</w:t>
            </w:r>
          </w:p>
        </w:tc>
        <w:tc>
          <w:tcPr>
            <w:tcW w:w="176" w:type="pct"/>
            <w:vMerge w:val="restart"/>
            <w:shd w:val="clear" w:color="000000" w:fill="FFFFFF"/>
            <w:tcMar>
              <w:left w:w="17" w:type="dxa"/>
              <w:right w:w="17" w:type="dxa"/>
            </w:tcMar>
            <w:vAlign w:val="center"/>
          </w:tcPr>
          <w:p w14:paraId="391B0C9A" w14:textId="77777777" w:rsidR="001C56BD" w:rsidRPr="00305460" w:rsidRDefault="001C56BD" w:rsidP="008A5C11">
            <w:pPr>
              <w:jc w:val="center"/>
              <w:rPr>
                <w:sz w:val="12"/>
                <w:szCs w:val="12"/>
              </w:rPr>
            </w:pPr>
            <w:r w:rsidRPr="00305460">
              <w:rPr>
                <w:sz w:val="12"/>
                <w:szCs w:val="12"/>
              </w:rPr>
              <w:t>6699,800</w:t>
            </w:r>
          </w:p>
        </w:tc>
      </w:tr>
      <w:tr w:rsidR="001C56BD" w:rsidRPr="00305460" w14:paraId="5683A882" w14:textId="77777777" w:rsidTr="008A5C11">
        <w:trPr>
          <w:trHeight w:val="98"/>
        </w:trPr>
        <w:tc>
          <w:tcPr>
            <w:tcW w:w="86" w:type="pct"/>
            <w:vMerge/>
            <w:shd w:val="clear" w:color="auto" w:fill="auto"/>
            <w:tcMar>
              <w:left w:w="17" w:type="dxa"/>
              <w:right w:w="17" w:type="dxa"/>
            </w:tcMar>
            <w:vAlign w:val="center"/>
          </w:tcPr>
          <w:p w14:paraId="0E6A569A" w14:textId="77777777" w:rsidR="001C56BD" w:rsidRPr="00305460" w:rsidRDefault="001C56BD" w:rsidP="008A5C11">
            <w:pPr>
              <w:jc w:val="center"/>
              <w:rPr>
                <w:sz w:val="13"/>
                <w:szCs w:val="13"/>
              </w:rPr>
            </w:pPr>
          </w:p>
        </w:tc>
        <w:tc>
          <w:tcPr>
            <w:tcW w:w="295" w:type="pct"/>
            <w:vMerge/>
            <w:shd w:val="clear" w:color="auto" w:fill="auto"/>
            <w:tcMar>
              <w:left w:w="17" w:type="dxa"/>
              <w:right w:w="17" w:type="dxa"/>
            </w:tcMar>
            <w:vAlign w:val="center"/>
          </w:tcPr>
          <w:p w14:paraId="2088FB75" w14:textId="77777777" w:rsidR="001C56BD" w:rsidRPr="00305460" w:rsidRDefault="001C56BD" w:rsidP="008A5C11">
            <w:pPr>
              <w:rPr>
                <w:sz w:val="13"/>
                <w:szCs w:val="13"/>
              </w:rPr>
            </w:pPr>
          </w:p>
        </w:tc>
        <w:tc>
          <w:tcPr>
            <w:tcW w:w="307" w:type="pct"/>
            <w:vMerge/>
            <w:shd w:val="clear" w:color="auto" w:fill="auto"/>
            <w:tcMar>
              <w:left w:w="17" w:type="dxa"/>
              <w:right w:w="17" w:type="dxa"/>
            </w:tcMar>
            <w:vAlign w:val="center"/>
          </w:tcPr>
          <w:p w14:paraId="4223831B" w14:textId="77777777" w:rsidR="001C56BD" w:rsidRPr="00305460" w:rsidRDefault="001C56BD" w:rsidP="008A5C11">
            <w:pPr>
              <w:jc w:val="center"/>
              <w:rPr>
                <w:color w:val="000000"/>
                <w:sz w:val="13"/>
                <w:szCs w:val="13"/>
              </w:rPr>
            </w:pPr>
          </w:p>
        </w:tc>
        <w:tc>
          <w:tcPr>
            <w:tcW w:w="280" w:type="pct"/>
            <w:vMerge/>
            <w:shd w:val="clear" w:color="auto" w:fill="auto"/>
            <w:tcMar>
              <w:left w:w="17" w:type="dxa"/>
              <w:right w:w="17" w:type="dxa"/>
            </w:tcMar>
            <w:vAlign w:val="center"/>
          </w:tcPr>
          <w:p w14:paraId="67698736" w14:textId="77777777" w:rsidR="001C56BD" w:rsidRPr="00305460" w:rsidRDefault="001C56BD" w:rsidP="008A5C11">
            <w:pPr>
              <w:jc w:val="center"/>
              <w:rPr>
                <w:color w:val="000000"/>
                <w:sz w:val="13"/>
                <w:szCs w:val="13"/>
              </w:rPr>
            </w:pPr>
          </w:p>
        </w:tc>
        <w:tc>
          <w:tcPr>
            <w:tcW w:w="289" w:type="pct"/>
            <w:shd w:val="clear" w:color="auto" w:fill="auto"/>
            <w:tcMar>
              <w:left w:w="17" w:type="dxa"/>
              <w:right w:w="17" w:type="dxa"/>
            </w:tcMar>
            <w:vAlign w:val="center"/>
          </w:tcPr>
          <w:p w14:paraId="56750BBE" w14:textId="77777777" w:rsidR="001C56BD" w:rsidRPr="00305460" w:rsidRDefault="001C56BD" w:rsidP="008A5C11">
            <w:pPr>
              <w:jc w:val="center"/>
              <w:rPr>
                <w:color w:val="000000"/>
                <w:sz w:val="12"/>
                <w:szCs w:val="12"/>
              </w:rPr>
            </w:pPr>
            <w:r w:rsidRPr="00305460">
              <w:rPr>
                <w:color w:val="000000"/>
                <w:sz w:val="12"/>
                <w:szCs w:val="12"/>
              </w:rPr>
              <w:t>протяженность</w:t>
            </w:r>
          </w:p>
        </w:tc>
        <w:tc>
          <w:tcPr>
            <w:tcW w:w="137" w:type="pct"/>
            <w:shd w:val="clear" w:color="auto" w:fill="auto"/>
            <w:tcMar>
              <w:left w:w="17" w:type="dxa"/>
              <w:right w:w="17" w:type="dxa"/>
            </w:tcMar>
            <w:vAlign w:val="center"/>
          </w:tcPr>
          <w:p w14:paraId="63504BCB" w14:textId="77777777" w:rsidR="001C56BD" w:rsidRPr="00305460" w:rsidRDefault="001C56BD" w:rsidP="008A5C11">
            <w:pPr>
              <w:jc w:val="center"/>
              <w:rPr>
                <w:color w:val="000000"/>
                <w:sz w:val="12"/>
                <w:szCs w:val="12"/>
              </w:rPr>
            </w:pPr>
            <w:r w:rsidRPr="00305460">
              <w:rPr>
                <w:color w:val="000000"/>
                <w:sz w:val="12"/>
                <w:szCs w:val="12"/>
              </w:rPr>
              <w:t>м</w:t>
            </w:r>
          </w:p>
        </w:tc>
        <w:tc>
          <w:tcPr>
            <w:tcW w:w="202" w:type="pct"/>
            <w:vMerge/>
            <w:shd w:val="clear" w:color="auto" w:fill="auto"/>
            <w:tcMar>
              <w:left w:w="17" w:type="dxa"/>
              <w:right w:w="17" w:type="dxa"/>
            </w:tcMar>
            <w:vAlign w:val="center"/>
          </w:tcPr>
          <w:p w14:paraId="1A78876F" w14:textId="77777777" w:rsidR="001C56BD" w:rsidRPr="00305460" w:rsidRDefault="001C56BD" w:rsidP="008A5C11">
            <w:pPr>
              <w:jc w:val="center"/>
              <w:rPr>
                <w:sz w:val="12"/>
                <w:szCs w:val="12"/>
              </w:rPr>
            </w:pPr>
          </w:p>
        </w:tc>
        <w:tc>
          <w:tcPr>
            <w:tcW w:w="244" w:type="pct"/>
            <w:shd w:val="clear" w:color="auto" w:fill="auto"/>
            <w:tcMar>
              <w:left w:w="17" w:type="dxa"/>
              <w:right w:w="17" w:type="dxa"/>
            </w:tcMar>
            <w:vAlign w:val="center"/>
          </w:tcPr>
          <w:p w14:paraId="1CF07B41" w14:textId="77777777" w:rsidR="001C56BD" w:rsidRPr="00305460" w:rsidRDefault="001C56BD" w:rsidP="008A5C11">
            <w:pPr>
              <w:jc w:val="center"/>
              <w:rPr>
                <w:sz w:val="12"/>
                <w:szCs w:val="12"/>
              </w:rPr>
            </w:pPr>
            <w:r w:rsidRPr="00305460">
              <w:rPr>
                <w:sz w:val="12"/>
                <w:szCs w:val="12"/>
              </w:rPr>
              <w:t>75</w:t>
            </w:r>
          </w:p>
        </w:tc>
        <w:tc>
          <w:tcPr>
            <w:tcW w:w="140" w:type="pct"/>
            <w:vMerge/>
            <w:shd w:val="clear" w:color="auto" w:fill="auto"/>
            <w:tcMar>
              <w:left w:w="17" w:type="dxa"/>
              <w:right w:w="17" w:type="dxa"/>
            </w:tcMar>
            <w:vAlign w:val="center"/>
          </w:tcPr>
          <w:p w14:paraId="50B51C7E" w14:textId="77777777" w:rsidR="001C56BD" w:rsidRPr="00305460" w:rsidRDefault="001C56BD" w:rsidP="008A5C11">
            <w:pPr>
              <w:jc w:val="center"/>
              <w:rPr>
                <w:sz w:val="13"/>
                <w:szCs w:val="13"/>
              </w:rPr>
            </w:pPr>
          </w:p>
        </w:tc>
        <w:tc>
          <w:tcPr>
            <w:tcW w:w="140" w:type="pct"/>
            <w:vMerge/>
            <w:shd w:val="clear" w:color="auto" w:fill="auto"/>
            <w:tcMar>
              <w:left w:w="17" w:type="dxa"/>
              <w:right w:w="17" w:type="dxa"/>
            </w:tcMar>
            <w:vAlign w:val="center"/>
          </w:tcPr>
          <w:p w14:paraId="4F12EA3C" w14:textId="77777777" w:rsidR="001C56BD" w:rsidRPr="00305460" w:rsidRDefault="001C56BD" w:rsidP="008A5C11">
            <w:pPr>
              <w:jc w:val="center"/>
              <w:rPr>
                <w:sz w:val="13"/>
                <w:szCs w:val="13"/>
              </w:rPr>
            </w:pPr>
          </w:p>
        </w:tc>
        <w:tc>
          <w:tcPr>
            <w:tcW w:w="239" w:type="pct"/>
            <w:gridSpan w:val="3"/>
            <w:vMerge/>
            <w:shd w:val="clear" w:color="auto" w:fill="auto"/>
            <w:tcMar>
              <w:left w:w="17" w:type="dxa"/>
              <w:right w:w="17" w:type="dxa"/>
            </w:tcMar>
            <w:vAlign w:val="center"/>
          </w:tcPr>
          <w:p w14:paraId="23B0DF2F" w14:textId="77777777" w:rsidR="001C56BD" w:rsidRPr="00305460" w:rsidRDefault="001C56BD" w:rsidP="008A5C11">
            <w:pPr>
              <w:jc w:val="center"/>
              <w:rPr>
                <w:sz w:val="13"/>
                <w:szCs w:val="13"/>
              </w:rPr>
            </w:pPr>
          </w:p>
        </w:tc>
        <w:tc>
          <w:tcPr>
            <w:tcW w:w="196" w:type="pct"/>
            <w:gridSpan w:val="3"/>
            <w:vMerge/>
            <w:shd w:val="clear" w:color="auto" w:fill="auto"/>
            <w:tcMar>
              <w:left w:w="17" w:type="dxa"/>
              <w:right w:w="17" w:type="dxa"/>
            </w:tcMar>
            <w:vAlign w:val="center"/>
          </w:tcPr>
          <w:p w14:paraId="536ECA51" w14:textId="77777777" w:rsidR="001C56BD" w:rsidRPr="00305460" w:rsidRDefault="001C56BD" w:rsidP="008A5C11">
            <w:pPr>
              <w:jc w:val="center"/>
              <w:rPr>
                <w:sz w:val="13"/>
                <w:szCs w:val="13"/>
              </w:rPr>
            </w:pPr>
          </w:p>
        </w:tc>
        <w:tc>
          <w:tcPr>
            <w:tcW w:w="216" w:type="pct"/>
            <w:gridSpan w:val="3"/>
            <w:vMerge/>
            <w:shd w:val="clear" w:color="auto" w:fill="auto"/>
            <w:tcMar>
              <w:left w:w="17" w:type="dxa"/>
              <w:right w:w="17" w:type="dxa"/>
            </w:tcMar>
            <w:vAlign w:val="center"/>
          </w:tcPr>
          <w:p w14:paraId="5C5460C3" w14:textId="77777777" w:rsidR="001C56BD" w:rsidRPr="00305460" w:rsidRDefault="001C56BD" w:rsidP="008A5C11">
            <w:pPr>
              <w:jc w:val="center"/>
              <w:rPr>
                <w:sz w:val="13"/>
                <w:szCs w:val="13"/>
              </w:rPr>
            </w:pPr>
          </w:p>
        </w:tc>
        <w:tc>
          <w:tcPr>
            <w:tcW w:w="179" w:type="pct"/>
            <w:gridSpan w:val="2"/>
            <w:vMerge/>
            <w:shd w:val="clear" w:color="auto" w:fill="auto"/>
            <w:tcMar>
              <w:left w:w="17" w:type="dxa"/>
              <w:right w:w="17" w:type="dxa"/>
            </w:tcMar>
            <w:vAlign w:val="center"/>
          </w:tcPr>
          <w:p w14:paraId="2C1102CA" w14:textId="77777777" w:rsidR="001C56BD" w:rsidRPr="00305460" w:rsidRDefault="001C56BD" w:rsidP="008A5C11">
            <w:pPr>
              <w:jc w:val="center"/>
              <w:rPr>
                <w:sz w:val="13"/>
                <w:szCs w:val="13"/>
              </w:rPr>
            </w:pPr>
          </w:p>
        </w:tc>
        <w:tc>
          <w:tcPr>
            <w:tcW w:w="222" w:type="pct"/>
            <w:gridSpan w:val="2"/>
            <w:vMerge/>
            <w:shd w:val="clear" w:color="auto" w:fill="auto"/>
            <w:tcMar>
              <w:left w:w="17" w:type="dxa"/>
              <w:right w:w="17" w:type="dxa"/>
            </w:tcMar>
            <w:vAlign w:val="center"/>
          </w:tcPr>
          <w:p w14:paraId="23A4D314" w14:textId="77777777" w:rsidR="001C56BD" w:rsidRPr="00305460" w:rsidRDefault="001C56BD" w:rsidP="008A5C11">
            <w:pPr>
              <w:jc w:val="center"/>
              <w:rPr>
                <w:sz w:val="13"/>
                <w:szCs w:val="13"/>
              </w:rPr>
            </w:pPr>
          </w:p>
        </w:tc>
        <w:tc>
          <w:tcPr>
            <w:tcW w:w="213" w:type="pct"/>
            <w:vMerge/>
            <w:shd w:val="clear" w:color="auto" w:fill="auto"/>
            <w:tcMar>
              <w:left w:w="17" w:type="dxa"/>
              <w:right w:w="17" w:type="dxa"/>
            </w:tcMar>
            <w:vAlign w:val="center"/>
          </w:tcPr>
          <w:p w14:paraId="05427BFD" w14:textId="77777777" w:rsidR="001C56BD" w:rsidRPr="00305460" w:rsidRDefault="001C56BD" w:rsidP="008A5C11">
            <w:pPr>
              <w:jc w:val="center"/>
              <w:rPr>
                <w:sz w:val="13"/>
                <w:szCs w:val="13"/>
              </w:rPr>
            </w:pPr>
          </w:p>
        </w:tc>
        <w:tc>
          <w:tcPr>
            <w:tcW w:w="218" w:type="pct"/>
            <w:vMerge/>
            <w:tcMar>
              <w:left w:w="17" w:type="dxa"/>
              <w:right w:w="17" w:type="dxa"/>
            </w:tcMar>
            <w:vAlign w:val="center"/>
          </w:tcPr>
          <w:p w14:paraId="629B4497" w14:textId="77777777" w:rsidR="001C56BD" w:rsidRPr="00305460" w:rsidRDefault="001C56BD" w:rsidP="008A5C11">
            <w:pPr>
              <w:jc w:val="center"/>
              <w:rPr>
                <w:sz w:val="13"/>
                <w:szCs w:val="13"/>
                <w:highlight w:val="red"/>
              </w:rPr>
            </w:pPr>
          </w:p>
        </w:tc>
        <w:tc>
          <w:tcPr>
            <w:tcW w:w="218" w:type="pct"/>
            <w:vMerge/>
            <w:tcMar>
              <w:left w:w="17" w:type="dxa"/>
              <w:right w:w="17" w:type="dxa"/>
            </w:tcMar>
            <w:vAlign w:val="center"/>
          </w:tcPr>
          <w:p w14:paraId="79A35115" w14:textId="77777777" w:rsidR="001C56BD" w:rsidRPr="00305460" w:rsidRDefault="001C56BD" w:rsidP="008A5C11">
            <w:pPr>
              <w:jc w:val="center"/>
              <w:rPr>
                <w:sz w:val="13"/>
                <w:szCs w:val="13"/>
                <w:highlight w:val="red"/>
              </w:rPr>
            </w:pPr>
          </w:p>
        </w:tc>
        <w:tc>
          <w:tcPr>
            <w:tcW w:w="218" w:type="pct"/>
            <w:vMerge/>
            <w:tcMar>
              <w:left w:w="17" w:type="dxa"/>
              <w:right w:w="17" w:type="dxa"/>
            </w:tcMar>
            <w:vAlign w:val="center"/>
          </w:tcPr>
          <w:p w14:paraId="096A98FB" w14:textId="77777777" w:rsidR="001C56BD" w:rsidRPr="00305460" w:rsidRDefault="001C56BD" w:rsidP="008A5C11">
            <w:pPr>
              <w:jc w:val="center"/>
              <w:rPr>
                <w:sz w:val="13"/>
                <w:szCs w:val="13"/>
              </w:rPr>
            </w:pPr>
          </w:p>
        </w:tc>
        <w:tc>
          <w:tcPr>
            <w:tcW w:w="218" w:type="pct"/>
            <w:gridSpan w:val="2"/>
            <w:vMerge/>
            <w:tcMar>
              <w:left w:w="17" w:type="dxa"/>
              <w:right w:w="17" w:type="dxa"/>
            </w:tcMar>
          </w:tcPr>
          <w:p w14:paraId="597B7C85" w14:textId="77777777" w:rsidR="001C56BD" w:rsidRPr="00305460" w:rsidRDefault="001C56BD" w:rsidP="008A5C11">
            <w:pPr>
              <w:jc w:val="center"/>
              <w:rPr>
                <w:sz w:val="13"/>
                <w:szCs w:val="13"/>
              </w:rPr>
            </w:pPr>
          </w:p>
        </w:tc>
        <w:tc>
          <w:tcPr>
            <w:tcW w:w="172" w:type="pct"/>
            <w:gridSpan w:val="2"/>
            <w:vMerge/>
            <w:tcMar>
              <w:left w:w="17" w:type="dxa"/>
              <w:right w:w="17" w:type="dxa"/>
            </w:tcMar>
          </w:tcPr>
          <w:p w14:paraId="7164E204" w14:textId="77777777" w:rsidR="001C56BD" w:rsidRPr="00305460" w:rsidRDefault="001C56BD" w:rsidP="008A5C11">
            <w:pPr>
              <w:jc w:val="center"/>
              <w:rPr>
                <w:sz w:val="13"/>
                <w:szCs w:val="13"/>
              </w:rPr>
            </w:pPr>
          </w:p>
        </w:tc>
        <w:tc>
          <w:tcPr>
            <w:tcW w:w="219" w:type="pct"/>
            <w:vMerge/>
            <w:tcMar>
              <w:left w:w="17" w:type="dxa"/>
              <w:right w:w="17" w:type="dxa"/>
            </w:tcMar>
          </w:tcPr>
          <w:p w14:paraId="463F9C47" w14:textId="77777777" w:rsidR="001C56BD" w:rsidRPr="00305460" w:rsidRDefault="001C56BD" w:rsidP="008A5C11">
            <w:pPr>
              <w:jc w:val="center"/>
              <w:rPr>
                <w:sz w:val="13"/>
                <w:szCs w:val="13"/>
              </w:rPr>
            </w:pPr>
          </w:p>
        </w:tc>
        <w:tc>
          <w:tcPr>
            <w:tcW w:w="174" w:type="pct"/>
            <w:vMerge/>
            <w:tcMar>
              <w:left w:w="17" w:type="dxa"/>
              <w:right w:w="17" w:type="dxa"/>
            </w:tcMar>
            <w:vAlign w:val="center"/>
          </w:tcPr>
          <w:p w14:paraId="115B2E22" w14:textId="77777777" w:rsidR="001C56BD" w:rsidRPr="00305460" w:rsidRDefault="001C56BD" w:rsidP="008A5C11">
            <w:pPr>
              <w:jc w:val="center"/>
              <w:rPr>
                <w:sz w:val="13"/>
                <w:szCs w:val="13"/>
              </w:rPr>
            </w:pPr>
          </w:p>
        </w:tc>
        <w:tc>
          <w:tcPr>
            <w:tcW w:w="176" w:type="pct"/>
            <w:vMerge/>
            <w:tcMar>
              <w:left w:w="17" w:type="dxa"/>
              <w:right w:w="17" w:type="dxa"/>
            </w:tcMar>
            <w:vAlign w:val="center"/>
          </w:tcPr>
          <w:p w14:paraId="720575C3" w14:textId="77777777" w:rsidR="001C56BD" w:rsidRPr="00305460" w:rsidRDefault="001C56BD" w:rsidP="008A5C11">
            <w:pPr>
              <w:jc w:val="center"/>
              <w:rPr>
                <w:sz w:val="13"/>
                <w:szCs w:val="13"/>
              </w:rPr>
            </w:pPr>
          </w:p>
        </w:tc>
      </w:tr>
      <w:tr w:rsidR="001C56BD" w:rsidRPr="00305460" w14:paraId="17ADBBB1" w14:textId="77777777" w:rsidTr="008A5C11">
        <w:trPr>
          <w:trHeight w:val="64"/>
        </w:trPr>
        <w:tc>
          <w:tcPr>
            <w:tcW w:w="86" w:type="pct"/>
            <w:vMerge/>
            <w:shd w:val="clear" w:color="auto" w:fill="auto"/>
            <w:tcMar>
              <w:left w:w="17" w:type="dxa"/>
              <w:right w:w="17" w:type="dxa"/>
            </w:tcMar>
            <w:vAlign w:val="center"/>
          </w:tcPr>
          <w:p w14:paraId="13E46802" w14:textId="77777777" w:rsidR="001C56BD" w:rsidRPr="00305460" w:rsidRDefault="001C56BD" w:rsidP="008A5C11">
            <w:pPr>
              <w:jc w:val="center"/>
              <w:rPr>
                <w:sz w:val="13"/>
                <w:szCs w:val="13"/>
              </w:rPr>
            </w:pPr>
          </w:p>
        </w:tc>
        <w:tc>
          <w:tcPr>
            <w:tcW w:w="295" w:type="pct"/>
            <w:vMerge/>
            <w:shd w:val="clear" w:color="auto" w:fill="auto"/>
            <w:tcMar>
              <w:left w:w="17" w:type="dxa"/>
              <w:right w:w="17" w:type="dxa"/>
            </w:tcMar>
            <w:vAlign w:val="center"/>
          </w:tcPr>
          <w:p w14:paraId="3C76D3F7" w14:textId="77777777" w:rsidR="001C56BD" w:rsidRPr="00305460" w:rsidRDefault="001C56BD" w:rsidP="008A5C11">
            <w:pPr>
              <w:rPr>
                <w:sz w:val="13"/>
                <w:szCs w:val="13"/>
              </w:rPr>
            </w:pPr>
          </w:p>
        </w:tc>
        <w:tc>
          <w:tcPr>
            <w:tcW w:w="307" w:type="pct"/>
            <w:vMerge/>
            <w:shd w:val="clear" w:color="auto" w:fill="auto"/>
            <w:tcMar>
              <w:left w:w="17" w:type="dxa"/>
              <w:right w:w="17" w:type="dxa"/>
            </w:tcMar>
            <w:vAlign w:val="center"/>
          </w:tcPr>
          <w:p w14:paraId="35AE9042" w14:textId="77777777" w:rsidR="001C56BD" w:rsidRPr="00305460" w:rsidRDefault="001C56BD" w:rsidP="008A5C11">
            <w:pPr>
              <w:jc w:val="center"/>
              <w:rPr>
                <w:color w:val="000000"/>
                <w:sz w:val="13"/>
                <w:szCs w:val="13"/>
              </w:rPr>
            </w:pPr>
          </w:p>
        </w:tc>
        <w:tc>
          <w:tcPr>
            <w:tcW w:w="280" w:type="pct"/>
            <w:vMerge/>
            <w:shd w:val="clear" w:color="auto" w:fill="auto"/>
            <w:tcMar>
              <w:left w:w="17" w:type="dxa"/>
              <w:right w:w="17" w:type="dxa"/>
            </w:tcMar>
            <w:vAlign w:val="center"/>
          </w:tcPr>
          <w:p w14:paraId="04E1128A" w14:textId="77777777" w:rsidR="001C56BD" w:rsidRPr="00305460" w:rsidRDefault="001C56BD" w:rsidP="008A5C11">
            <w:pPr>
              <w:jc w:val="center"/>
              <w:rPr>
                <w:color w:val="000000"/>
                <w:sz w:val="13"/>
                <w:szCs w:val="13"/>
              </w:rPr>
            </w:pPr>
          </w:p>
        </w:tc>
        <w:tc>
          <w:tcPr>
            <w:tcW w:w="289" w:type="pct"/>
            <w:shd w:val="clear" w:color="auto" w:fill="auto"/>
            <w:tcMar>
              <w:left w:w="17" w:type="dxa"/>
              <w:right w:w="17" w:type="dxa"/>
            </w:tcMar>
            <w:vAlign w:val="center"/>
          </w:tcPr>
          <w:p w14:paraId="4990F473" w14:textId="77777777" w:rsidR="001C56BD" w:rsidRPr="00305460" w:rsidRDefault="001C56BD" w:rsidP="008A5C11">
            <w:pPr>
              <w:jc w:val="center"/>
              <w:rPr>
                <w:color w:val="000000"/>
                <w:sz w:val="12"/>
                <w:szCs w:val="12"/>
              </w:rPr>
            </w:pPr>
            <w:r w:rsidRPr="00305460">
              <w:rPr>
                <w:color w:val="000000"/>
                <w:sz w:val="12"/>
                <w:szCs w:val="12"/>
              </w:rPr>
              <w:t>диаметр</w:t>
            </w:r>
          </w:p>
        </w:tc>
        <w:tc>
          <w:tcPr>
            <w:tcW w:w="137" w:type="pct"/>
            <w:shd w:val="clear" w:color="auto" w:fill="auto"/>
            <w:tcMar>
              <w:left w:w="17" w:type="dxa"/>
              <w:right w:w="17" w:type="dxa"/>
            </w:tcMar>
            <w:vAlign w:val="center"/>
          </w:tcPr>
          <w:p w14:paraId="58FEC215" w14:textId="77777777" w:rsidR="001C56BD" w:rsidRPr="00305460" w:rsidRDefault="001C56BD" w:rsidP="008A5C11">
            <w:pPr>
              <w:jc w:val="center"/>
              <w:rPr>
                <w:color w:val="000000"/>
                <w:sz w:val="12"/>
                <w:szCs w:val="12"/>
              </w:rPr>
            </w:pPr>
            <w:r w:rsidRPr="00305460">
              <w:rPr>
                <w:color w:val="000000"/>
                <w:sz w:val="12"/>
                <w:szCs w:val="12"/>
              </w:rPr>
              <w:t>мм</w:t>
            </w:r>
          </w:p>
        </w:tc>
        <w:tc>
          <w:tcPr>
            <w:tcW w:w="202" w:type="pct"/>
            <w:vMerge/>
            <w:shd w:val="clear" w:color="auto" w:fill="auto"/>
            <w:tcMar>
              <w:left w:w="17" w:type="dxa"/>
              <w:right w:w="17" w:type="dxa"/>
            </w:tcMar>
            <w:vAlign w:val="center"/>
          </w:tcPr>
          <w:p w14:paraId="40688575" w14:textId="77777777" w:rsidR="001C56BD" w:rsidRPr="00305460" w:rsidRDefault="001C56BD" w:rsidP="008A5C11">
            <w:pPr>
              <w:jc w:val="center"/>
              <w:rPr>
                <w:sz w:val="12"/>
                <w:szCs w:val="12"/>
              </w:rPr>
            </w:pPr>
          </w:p>
        </w:tc>
        <w:tc>
          <w:tcPr>
            <w:tcW w:w="244" w:type="pct"/>
            <w:shd w:val="clear" w:color="auto" w:fill="auto"/>
            <w:tcMar>
              <w:left w:w="17" w:type="dxa"/>
              <w:right w:w="17" w:type="dxa"/>
            </w:tcMar>
            <w:vAlign w:val="center"/>
          </w:tcPr>
          <w:p w14:paraId="04D4AD94" w14:textId="77777777" w:rsidR="001C56BD" w:rsidRPr="00305460" w:rsidRDefault="001C56BD" w:rsidP="008A5C11">
            <w:pPr>
              <w:jc w:val="center"/>
              <w:rPr>
                <w:sz w:val="12"/>
                <w:szCs w:val="12"/>
              </w:rPr>
            </w:pPr>
            <w:r w:rsidRPr="00305460">
              <w:rPr>
                <w:sz w:val="12"/>
                <w:szCs w:val="12"/>
              </w:rPr>
              <w:t>50</w:t>
            </w:r>
          </w:p>
        </w:tc>
        <w:tc>
          <w:tcPr>
            <w:tcW w:w="140" w:type="pct"/>
            <w:vMerge/>
            <w:shd w:val="clear" w:color="auto" w:fill="auto"/>
            <w:tcMar>
              <w:left w:w="17" w:type="dxa"/>
              <w:right w:w="17" w:type="dxa"/>
            </w:tcMar>
            <w:vAlign w:val="center"/>
          </w:tcPr>
          <w:p w14:paraId="6E13B299" w14:textId="77777777" w:rsidR="001C56BD" w:rsidRPr="00305460" w:rsidRDefault="001C56BD" w:rsidP="008A5C11">
            <w:pPr>
              <w:jc w:val="center"/>
              <w:rPr>
                <w:sz w:val="13"/>
                <w:szCs w:val="13"/>
              </w:rPr>
            </w:pPr>
          </w:p>
        </w:tc>
        <w:tc>
          <w:tcPr>
            <w:tcW w:w="140" w:type="pct"/>
            <w:vMerge/>
            <w:shd w:val="clear" w:color="auto" w:fill="auto"/>
            <w:tcMar>
              <w:left w:w="17" w:type="dxa"/>
              <w:right w:w="17" w:type="dxa"/>
            </w:tcMar>
            <w:vAlign w:val="center"/>
          </w:tcPr>
          <w:p w14:paraId="04B77B64" w14:textId="77777777" w:rsidR="001C56BD" w:rsidRPr="00305460" w:rsidRDefault="001C56BD" w:rsidP="008A5C11">
            <w:pPr>
              <w:jc w:val="center"/>
              <w:rPr>
                <w:sz w:val="13"/>
                <w:szCs w:val="13"/>
              </w:rPr>
            </w:pPr>
          </w:p>
        </w:tc>
        <w:tc>
          <w:tcPr>
            <w:tcW w:w="239" w:type="pct"/>
            <w:gridSpan w:val="3"/>
            <w:vMerge/>
            <w:shd w:val="clear" w:color="auto" w:fill="auto"/>
            <w:tcMar>
              <w:left w:w="17" w:type="dxa"/>
              <w:right w:w="17" w:type="dxa"/>
            </w:tcMar>
            <w:vAlign w:val="center"/>
          </w:tcPr>
          <w:p w14:paraId="0E055CB6" w14:textId="77777777" w:rsidR="001C56BD" w:rsidRPr="00305460" w:rsidRDefault="001C56BD" w:rsidP="008A5C11">
            <w:pPr>
              <w:jc w:val="center"/>
              <w:rPr>
                <w:sz w:val="13"/>
                <w:szCs w:val="13"/>
              </w:rPr>
            </w:pPr>
          </w:p>
        </w:tc>
        <w:tc>
          <w:tcPr>
            <w:tcW w:w="196" w:type="pct"/>
            <w:gridSpan w:val="3"/>
            <w:vMerge/>
            <w:shd w:val="clear" w:color="auto" w:fill="auto"/>
            <w:tcMar>
              <w:left w:w="17" w:type="dxa"/>
              <w:right w:w="17" w:type="dxa"/>
            </w:tcMar>
            <w:vAlign w:val="center"/>
          </w:tcPr>
          <w:p w14:paraId="7EC25A20" w14:textId="77777777" w:rsidR="001C56BD" w:rsidRPr="00305460" w:rsidRDefault="001C56BD" w:rsidP="008A5C11">
            <w:pPr>
              <w:jc w:val="center"/>
              <w:rPr>
                <w:sz w:val="13"/>
                <w:szCs w:val="13"/>
              </w:rPr>
            </w:pPr>
          </w:p>
        </w:tc>
        <w:tc>
          <w:tcPr>
            <w:tcW w:w="216" w:type="pct"/>
            <w:gridSpan w:val="3"/>
            <w:vMerge/>
            <w:shd w:val="clear" w:color="auto" w:fill="auto"/>
            <w:tcMar>
              <w:left w:w="17" w:type="dxa"/>
              <w:right w:w="17" w:type="dxa"/>
            </w:tcMar>
            <w:vAlign w:val="center"/>
          </w:tcPr>
          <w:p w14:paraId="01087DAE" w14:textId="77777777" w:rsidR="001C56BD" w:rsidRPr="00305460" w:rsidRDefault="001C56BD" w:rsidP="008A5C11">
            <w:pPr>
              <w:jc w:val="center"/>
              <w:rPr>
                <w:sz w:val="13"/>
                <w:szCs w:val="13"/>
              </w:rPr>
            </w:pPr>
          </w:p>
        </w:tc>
        <w:tc>
          <w:tcPr>
            <w:tcW w:w="179" w:type="pct"/>
            <w:gridSpan w:val="2"/>
            <w:vMerge/>
            <w:shd w:val="clear" w:color="auto" w:fill="auto"/>
            <w:tcMar>
              <w:left w:w="17" w:type="dxa"/>
              <w:right w:w="17" w:type="dxa"/>
            </w:tcMar>
            <w:vAlign w:val="center"/>
          </w:tcPr>
          <w:p w14:paraId="3DCA4006" w14:textId="77777777" w:rsidR="001C56BD" w:rsidRPr="00305460" w:rsidRDefault="001C56BD" w:rsidP="008A5C11">
            <w:pPr>
              <w:jc w:val="center"/>
              <w:rPr>
                <w:sz w:val="13"/>
                <w:szCs w:val="13"/>
              </w:rPr>
            </w:pPr>
          </w:p>
        </w:tc>
        <w:tc>
          <w:tcPr>
            <w:tcW w:w="222" w:type="pct"/>
            <w:gridSpan w:val="2"/>
            <w:vMerge/>
            <w:shd w:val="clear" w:color="auto" w:fill="auto"/>
            <w:tcMar>
              <w:left w:w="17" w:type="dxa"/>
              <w:right w:w="17" w:type="dxa"/>
            </w:tcMar>
            <w:vAlign w:val="center"/>
          </w:tcPr>
          <w:p w14:paraId="1306E86C" w14:textId="77777777" w:rsidR="001C56BD" w:rsidRPr="00305460" w:rsidRDefault="001C56BD" w:rsidP="008A5C11">
            <w:pPr>
              <w:jc w:val="center"/>
              <w:rPr>
                <w:sz w:val="13"/>
                <w:szCs w:val="13"/>
              </w:rPr>
            </w:pPr>
          </w:p>
        </w:tc>
        <w:tc>
          <w:tcPr>
            <w:tcW w:w="213" w:type="pct"/>
            <w:vMerge/>
            <w:shd w:val="clear" w:color="auto" w:fill="auto"/>
            <w:tcMar>
              <w:left w:w="17" w:type="dxa"/>
              <w:right w:w="17" w:type="dxa"/>
            </w:tcMar>
            <w:vAlign w:val="center"/>
          </w:tcPr>
          <w:p w14:paraId="0B0F25B2" w14:textId="77777777" w:rsidR="001C56BD" w:rsidRPr="00305460" w:rsidRDefault="001C56BD" w:rsidP="008A5C11">
            <w:pPr>
              <w:jc w:val="center"/>
              <w:rPr>
                <w:sz w:val="13"/>
                <w:szCs w:val="13"/>
              </w:rPr>
            </w:pPr>
          </w:p>
        </w:tc>
        <w:tc>
          <w:tcPr>
            <w:tcW w:w="218" w:type="pct"/>
            <w:vMerge/>
            <w:tcMar>
              <w:left w:w="17" w:type="dxa"/>
              <w:right w:w="17" w:type="dxa"/>
            </w:tcMar>
            <w:vAlign w:val="center"/>
          </w:tcPr>
          <w:p w14:paraId="5F25C274" w14:textId="77777777" w:rsidR="001C56BD" w:rsidRPr="00305460" w:rsidRDefault="001C56BD" w:rsidP="008A5C11">
            <w:pPr>
              <w:jc w:val="center"/>
              <w:rPr>
                <w:sz w:val="13"/>
                <w:szCs w:val="13"/>
                <w:highlight w:val="red"/>
              </w:rPr>
            </w:pPr>
          </w:p>
        </w:tc>
        <w:tc>
          <w:tcPr>
            <w:tcW w:w="218" w:type="pct"/>
            <w:vMerge/>
            <w:tcMar>
              <w:left w:w="17" w:type="dxa"/>
              <w:right w:w="17" w:type="dxa"/>
            </w:tcMar>
            <w:vAlign w:val="center"/>
          </w:tcPr>
          <w:p w14:paraId="46A1BD19" w14:textId="77777777" w:rsidR="001C56BD" w:rsidRPr="00305460" w:rsidRDefault="001C56BD" w:rsidP="008A5C11">
            <w:pPr>
              <w:jc w:val="center"/>
              <w:rPr>
                <w:sz w:val="13"/>
                <w:szCs w:val="13"/>
                <w:highlight w:val="red"/>
              </w:rPr>
            </w:pPr>
          </w:p>
        </w:tc>
        <w:tc>
          <w:tcPr>
            <w:tcW w:w="218" w:type="pct"/>
            <w:vMerge/>
            <w:tcMar>
              <w:left w:w="17" w:type="dxa"/>
              <w:right w:w="17" w:type="dxa"/>
            </w:tcMar>
            <w:vAlign w:val="center"/>
          </w:tcPr>
          <w:p w14:paraId="45E04392" w14:textId="77777777" w:rsidR="001C56BD" w:rsidRPr="00305460" w:rsidRDefault="001C56BD" w:rsidP="008A5C11">
            <w:pPr>
              <w:jc w:val="center"/>
              <w:rPr>
                <w:sz w:val="13"/>
                <w:szCs w:val="13"/>
              </w:rPr>
            </w:pPr>
          </w:p>
        </w:tc>
        <w:tc>
          <w:tcPr>
            <w:tcW w:w="218" w:type="pct"/>
            <w:gridSpan w:val="2"/>
            <w:vMerge/>
            <w:tcMar>
              <w:left w:w="17" w:type="dxa"/>
              <w:right w:w="17" w:type="dxa"/>
            </w:tcMar>
          </w:tcPr>
          <w:p w14:paraId="478D0990" w14:textId="77777777" w:rsidR="001C56BD" w:rsidRPr="00305460" w:rsidRDefault="001C56BD" w:rsidP="008A5C11">
            <w:pPr>
              <w:jc w:val="center"/>
              <w:rPr>
                <w:sz w:val="13"/>
                <w:szCs w:val="13"/>
              </w:rPr>
            </w:pPr>
          </w:p>
        </w:tc>
        <w:tc>
          <w:tcPr>
            <w:tcW w:w="172" w:type="pct"/>
            <w:gridSpan w:val="2"/>
            <w:vMerge/>
            <w:tcMar>
              <w:left w:w="17" w:type="dxa"/>
              <w:right w:w="17" w:type="dxa"/>
            </w:tcMar>
          </w:tcPr>
          <w:p w14:paraId="08B4A4C5" w14:textId="77777777" w:rsidR="001C56BD" w:rsidRPr="00305460" w:rsidRDefault="001C56BD" w:rsidP="008A5C11">
            <w:pPr>
              <w:jc w:val="center"/>
              <w:rPr>
                <w:sz w:val="13"/>
                <w:szCs w:val="13"/>
              </w:rPr>
            </w:pPr>
          </w:p>
        </w:tc>
        <w:tc>
          <w:tcPr>
            <w:tcW w:w="219" w:type="pct"/>
            <w:vMerge/>
            <w:tcMar>
              <w:left w:w="17" w:type="dxa"/>
              <w:right w:w="17" w:type="dxa"/>
            </w:tcMar>
          </w:tcPr>
          <w:p w14:paraId="1521C9AC" w14:textId="77777777" w:rsidR="001C56BD" w:rsidRPr="00305460" w:rsidRDefault="001C56BD" w:rsidP="008A5C11">
            <w:pPr>
              <w:jc w:val="center"/>
              <w:rPr>
                <w:sz w:val="13"/>
                <w:szCs w:val="13"/>
              </w:rPr>
            </w:pPr>
          </w:p>
        </w:tc>
        <w:tc>
          <w:tcPr>
            <w:tcW w:w="174" w:type="pct"/>
            <w:vMerge/>
            <w:tcMar>
              <w:left w:w="17" w:type="dxa"/>
              <w:right w:w="17" w:type="dxa"/>
            </w:tcMar>
            <w:vAlign w:val="center"/>
          </w:tcPr>
          <w:p w14:paraId="4C42967D" w14:textId="77777777" w:rsidR="001C56BD" w:rsidRPr="00305460" w:rsidRDefault="001C56BD" w:rsidP="008A5C11">
            <w:pPr>
              <w:jc w:val="center"/>
              <w:rPr>
                <w:sz w:val="13"/>
                <w:szCs w:val="13"/>
              </w:rPr>
            </w:pPr>
          </w:p>
        </w:tc>
        <w:tc>
          <w:tcPr>
            <w:tcW w:w="176" w:type="pct"/>
            <w:vMerge/>
            <w:tcMar>
              <w:left w:w="17" w:type="dxa"/>
              <w:right w:w="17" w:type="dxa"/>
            </w:tcMar>
            <w:vAlign w:val="center"/>
          </w:tcPr>
          <w:p w14:paraId="31940C6F" w14:textId="77777777" w:rsidR="001C56BD" w:rsidRPr="00305460" w:rsidRDefault="001C56BD" w:rsidP="008A5C11">
            <w:pPr>
              <w:jc w:val="center"/>
              <w:rPr>
                <w:sz w:val="13"/>
                <w:szCs w:val="13"/>
              </w:rPr>
            </w:pPr>
          </w:p>
        </w:tc>
      </w:tr>
      <w:tr w:rsidR="001C56BD" w:rsidRPr="00305460" w14:paraId="2EBB1966" w14:textId="77777777" w:rsidTr="008A5C11">
        <w:trPr>
          <w:trHeight w:val="56"/>
        </w:trPr>
        <w:tc>
          <w:tcPr>
            <w:tcW w:w="5000" w:type="pct"/>
            <w:gridSpan w:val="34"/>
            <w:tcMar>
              <w:left w:w="17" w:type="dxa"/>
              <w:right w:w="17" w:type="dxa"/>
            </w:tcMar>
          </w:tcPr>
          <w:p w14:paraId="7F064612" w14:textId="77777777" w:rsidR="001C56BD" w:rsidRPr="00305460" w:rsidRDefault="001C56BD" w:rsidP="008A5C11">
            <w:pPr>
              <w:rPr>
                <w:sz w:val="13"/>
                <w:szCs w:val="13"/>
              </w:rPr>
            </w:pPr>
            <w:r w:rsidRPr="00305460">
              <w:rPr>
                <w:sz w:val="13"/>
                <w:szCs w:val="13"/>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1C56BD" w:rsidRPr="00305460" w14:paraId="1ABDDEA4" w14:textId="77777777" w:rsidTr="008A5C11">
        <w:trPr>
          <w:trHeight w:val="56"/>
        </w:trPr>
        <w:tc>
          <w:tcPr>
            <w:tcW w:w="5000" w:type="pct"/>
            <w:gridSpan w:val="34"/>
            <w:tcMar>
              <w:left w:w="17" w:type="dxa"/>
              <w:right w:w="17" w:type="dxa"/>
            </w:tcMar>
          </w:tcPr>
          <w:p w14:paraId="5ACA3771" w14:textId="77777777" w:rsidR="001C56BD" w:rsidRPr="00305460" w:rsidRDefault="001C56BD" w:rsidP="008A5C11">
            <w:pPr>
              <w:rPr>
                <w:sz w:val="13"/>
                <w:szCs w:val="13"/>
              </w:rPr>
            </w:pPr>
            <w:r w:rsidRPr="00305460">
              <w:rPr>
                <w:sz w:val="13"/>
                <w:szCs w:val="13"/>
              </w:rPr>
              <w:t>1.3. Увеличение пропускной способности существующих тепловых сетей в целях подключения потребителей</w:t>
            </w:r>
          </w:p>
        </w:tc>
      </w:tr>
      <w:tr w:rsidR="001C56BD" w:rsidRPr="00305460" w14:paraId="51C059DB" w14:textId="77777777" w:rsidTr="008A5C11">
        <w:trPr>
          <w:trHeight w:val="56"/>
        </w:trPr>
        <w:tc>
          <w:tcPr>
            <w:tcW w:w="5000" w:type="pct"/>
            <w:gridSpan w:val="34"/>
            <w:tcMar>
              <w:left w:w="17" w:type="dxa"/>
              <w:right w:w="17" w:type="dxa"/>
            </w:tcMar>
          </w:tcPr>
          <w:p w14:paraId="01130556" w14:textId="77777777" w:rsidR="001C56BD" w:rsidRPr="00305460" w:rsidRDefault="001C56BD" w:rsidP="008A5C11">
            <w:pPr>
              <w:rPr>
                <w:sz w:val="13"/>
                <w:szCs w:val="13"/>
              </w:rPr>
            </w:pPr>
            <w:r w:rsidRPr="00305460">
              <w:rPr>
                <w:sz w:val="13"/>
                <w:szCs w:val="13"/>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bookmarkEnd w:id="78"/>
      <w:tr w:rsidR="001C56BD" w:rsidRPr="00305460" w14:paraId="16DEF786" w14:textId="77777777" w:rsidTr="008A5C11">
        <w:trPr>
          <w:trHeight w:val="47"/>
        </w:trPr>
        <w:tc>
          <w:tcPr>
            <w:tcW w:w="2128" w:type="pct"/>
            <w:gridSpan w:val="11"/>
            <w:shd w:val="clear" w:color="auto" w:fill="auto"/>
            <w:tcMar>
              <w:left w:w="17" w:type="dxa"/>
              <w:right w:w="17" w:type="dxa"/>
            </w:tcMar>
            <w:vAlign w:val="center"/>
          </w:tcPr>
          <w:p w14:paraId="5B440771" w14:textId="77777777" w:rsidR="001C56BD" w:rsidRPr="00305460" w:rsidRDefault="001C56BD" w:rsidP="008A5C11">
            <w:pPr>
              <w:rPr>
                <w:sz w:val="13"/>
                <w:szCs w:val="13"/>
              </w:rPr>
            </w:pPr>
            <w:r w:rsidRPr="00305460">
              <w:rPr>
                <w:sz w:val="13"/>
                <w:szCs w:val="13"/>
              </w:rPr>
              <w:t>Всего по группе 1.</w:t>
            </w:r>
          </w:p>
        </w:tc>
        <w:tc>
          <w:tcPr>
            <w:tcW w:w="243" w:type="pct"/>
            <w:gridSpan w:val="3"/>
            <w:shd w:val="clear" w:color="auto" w:fill="auto"/>
            <w:tcMar>
              <w:left w:w="17" w:type="dxa"/>
              <w:right w:w="17" w:type="dxa"/>
            </w:tcMar>
            <w:vAlign w:val="center"/>
          </w:tcPr>
          <w:p w14:paraId="5BDE5A08" w14:textId="77777777" w:rsidR="001C56BD" w:rsidRPr="00305460" w:rsidRDefault="001C56BD" w:rsidP="008A5C11">
            <w:pPr>
              <w:jc w:val="center"/>
              <w:rPr>
                <w:sz w:val="13"/>
                <w:szCs w:val="13"/>
              </w:rPr>
            </w:pPr>
            <w:r w:rsidRPr="00305460">
              <w:rPr>
                <w:sz w:val="13"/>
                <w:szCs w:val="13"/>
              </w:rPr>
              <w:t>12037,170</w:t>
            </w:r>
          </w:p>
        </w:tc>
        <w:tc>
          <w:tcPr>
            <w:tcW w:w="189" w:type="pct"/>
            <w:gridSpan w:val="3"/>
            <w:shd w:val="clear" w:color="auto" w:fill="auto"/>
            <w:tcMar>
              <w:left w:w="17" w:type="dxa"/>
              <w:right w:w="17" w:type="dxa"/>
            </w:tcMar>
            <w:vAlign w:val="center"/>
          </w:tcPr>
          <w:p w14:paraId="7C30D8E4" w14:textId="77777777" w:rsidR="001C56BD" w:rsidRPr="00305460" w:rsidRDefault="001C56BD" w:rsidP="008A5C11">
            <w:pPr>
              <w:jc w:val="center"/>
              <w:rPr>
                <w:sz w:val="13"/>
                <w:szCs w:val="13"/>
              </w:rPr>
            </w:pPr>
            <w:r w:rsidRPr="00305460">
              <w:rPr>
                <w:sz w:val="13"/>
                <w:szCs w:val="13"/>
              </w:rPr>
              <w:t>0,000</w:t>
            </w:r>
          </w:p>
        </w:tc>
        <w:tc>
          <w:tcPr>
            <w:tcW w:w="211" w:type="pct"/>
            <w:gridSpan w:val="2"/>
            <w:shd w:val="clear" w:color="auto" w:fill="auto"/>
            <w:tcMar>
              <w:left w:w="17" w:type="dxa"/>
              <w:right w:w="17" w:type="dxa"/>
            </w:tcMar>
            <w:vAlign w:val="center"/>
          </w:tcPr>
          <w:p w14:paraId="78FDA9EC" w14:textId="77777777" w:rsidR="001C56BD" w:rsidRPr="00305460" w:rsidRDefault="001C56BD" w:rsidP="008A5C11">
            <w:pPr>
              <w:ind w:hanging="40"/>
              <w:jc w:val="center"/>
              <w:rPr>
                <w:sz w:val="13"/>
                <w:szCs w:val="13"/>
              </w:rPr>
            </w:pPr>
            <w:r w:rsidRPr="00305460">
              <w:rPr>
                <w:sz w:val="13"/>
                <w:szCs w:val="13"/>
              </w:rPr>
              <w:t>12037,170</w:t>
            </w:r>
          </w:p>
        </w:tc>
        <w:tc>
          <w:tcPr>
            <w:tcW w:w="179" w:type="pct"/>
            <w:gridSpan w:val="2"/>
            <w:shd w:val="clear" w:color="auto" w:fill="auto"/>
            <w:tcMar>
              <w:left w:w="17" w:type="dxa"/>
              <w:right w:w="17" w:type="dxa"/>
            </w:tcMar>
            <w:vAlign w:val="center"/>
          </w:tcPr>
          <w:p w14:paraId="366CAFC2" w14:textId="77777777" w:rsidR="001C56BD" w:rsidRPr="00305460" w:rsidRDefault="001C56BD" w:rsidP="008A5C11">
            <w:pPr>
              <w:jc w:val="center"/>
              <w:rPr>
                <w:sz w:val="13"/>
                <w:szCs w:val="13"/>
              </w:rPr>
            </w:pPr>
            <w:r w:rsidRPr="00305460">
              <w:rPr>
                <w:sz w:val="13"/>
                <w:szCs w:val="13"/>
              </w:rPr>
              <w:t>0,000</w:t>
            </w:r>
          </w:p>
        </w:tc>
        <w:tc>
          <w:tcPr>
            <w:tcW w:w="222" w:type="pct"/>
            <w:gridSpan w:val="2"/>
            <w:shd w:val="clear" w:color="auto" w:fill="auto"/>
            <w:tcMar>
              <w:left w:w="17" w:type="dxa"/>
              <w:right w:w="17" w:type="dxa"/>
            </w:tcMar>
            <w:vAlign w:val="center"/>
          </w:tcPr>
          <w:p w14:paraId="029F640C" w14:textId="77777777" w:rsidR="001C56BD" w:rsidRPr="00305460" w:rsidRDefault="001C56BD" w:rsidP="008A5C11">
            <w:pPr>
              <w:jc w:val="center"/>
              <w:rPr>
                <w:sz w:val="13"/>
                <w:szCs w:val="13"/>
              </w:rPr>
            </w:pPr>
            <w:r w:rsidRPr="00305460">
              <w:rPr>
                <w:sz w:val="13"/>
                <w:szCs w:val="13"/>
              </w:rPr>
              <w:t>0,000</w:t>
            </w:r>
          </w:p>
        </w:tc>
        <w:tc>
          <w:tcPr>
            <w:tcW w:w="213" w:type="pct"/>
            <w:shd w:val="clear" w:color="auto" w:fill="auto"/>
            <w:tcMar>
              <w:left w:w="17" w:type="dxa"/>
              <w:right w:w="17" w:type="dxa"/>
            </w:tcMar>
            <w:vAlign w:val="center"/>
          </w:tcPr>
          <w:p w14:paraId="37CDC72C" w14:textId="77777777" w:rsidR="001C56BD" w:rsidRPr="00305460" w:rsidRDefault="001C56BD" w:rsidP="008A5C11">
            <w:pPr>
              <w:jc w:val="center"/>
              <w:rPr>
                <w:color w:val="000000"/>
                <w:sz w:val="13"/>
                <w:szCs w:val="13"/>
              </w:rPr>
            </w:pPr>
            <w:r w:rsidRPr="00305460">
              <w:rPr>
                <w:sz w:val="13"/>
                <w:szCs w:val="13"/>
              </w:rPr>
              <w:t>0,000</w:t>
            </w:r>
          </w:p>
        </w:tc>
        <w:tc>
          <w:tcPr>
            <w:tcW w:w="218" w:type="pct"/>
            <w:tcMar>
              <w:left w:w="17" w:type="dxa"/>
              <w:right w:w="17" w:type="dxa"/>
            </w:tcMar>
            <w:vAlign w:val="center"/>
          </w:tcPr>
          <w:p w14:paraId="6C5EC045" w14:textId="77777777" w:rsidR="001C56BD" w:rsidRPr="00305460" w:rsidRDefault="001C56BD" w:rsidP="008A5C11">
            <w:pPr>
              <w:jc w:val="center"/>
              <w:rPr>
                <w:color w:val="000000"/>
                <w:sz w:val="13"/>
                <w:szCs w:val="13"/>
              </w:rPr>
            </w:pPr>
            <w:r w:rsidRPr="00305460">
              <w:rPr>
                <w:sz w:val="13"/>
                <w:szCs w:val="13"/>
              </w:rPr>
              <w:t>0,000</w:t>
            </w:r>
          </w:p>
        </w:tc>
        <w:tc>
          <w:tcPr>
            <w:tcW w:w="218" w:type="pct"/>
            <w:tcMar>
              <w:left w:w="17" w:type="dxa"/>
              <w:right w:w="17" w:type="dxa"/>
            </w:tcMar>
            <w:vAlign w:val="center"/>
          </w:tcPr>
          <w:p w14:paraId="0A030D62" w14:textId="77777777" w:rsidR="001C56BD" w:rsidRPr="00305460" w:rsidRDefault="001C56BD" w:rsidP="008A5C11">
            <w:pPr>
              <w:jc w:val="center"/>
              <w:rPr>
                <w:color w:val="000000"/>
                <w:sz w:val="13"/>
                <w:szCs w:val="13"/>
              </w:rPr>
            </w:pPr>
            <w:r w:rsidRPr="00305460">
              <w:rPr>
                <w:sz w:val="13"/>
                <w:szCs w:val="13"/>
              </w:rPr>
              <w:t>0,000</w:t>
            </w:r>
          </w:p>
        </w:tc>
        <w:tc>
          <w:tcPr>
            <w:tcW w:w="234" w:type="pct"/>
            <w:gridSpan w:val="2"/>
            <w:tcMar>
              <w:left w:w="17" w:type="dxa"/>
              <w:right w:w="17" w:type="dxa"/>
            </w:tcMar>
            <w:vAlign w:val="center"/>
          </w:tcPr>
          <w:p w14:paraId="322514E3" w14:textId="77777777" w:rsidR="001C56BD" w:rsidRPr="00305460" w:rsidRDefault="001C56BD" w:rsidP="008A5C11">
            <w:pPr>
              <w:jc w:val="center"/>
              <w:rPr>
                <w:sz w:val="13"/>
                <w:szCs w:val="13"/>
              </w:rPr>
            </w:pPr>
            <w:r w:rsidRPr="00305460">
              <w:rPr>
                <w:sz w:val="13"/>
                <w:szCs w:val="13"/>
              </w:rPr>
              <w:t>0,000</w:t>
            </w:r>
          </w:p>
        </w:tc>
        <w:tc>
          <w:tcPr>
            <w:tcW w:w="218" w:type="pct"/>
            <w:gridSpan w:val="2"/>
            <w:tcMar>
              <w:left w:w="17" w:type="dxa"/>
              <w:right w:w="17" w:type="dxa"/>
            </w:tcMar>
            <w:vAlign w:val="center"/>
          </w:tcPr>
          <w:p w14:paraId="539F095A" w14:textId="77777777" w:rsidR="001C56BD" w:rsidRPr="00305460" w:rsidRDefault="001C56BD" w:rsidP="008A5C11">
            <w:pPr>
              <w:jc w:val="center"/>
              <w:rPr>
                <w:color w:val="000000"/>
                <w:sz w:val="13"/>
                <w:szCs w:val="13"/>
              </w:rPr>
            </w:pPr>
            <w:r w:rsidRPr="00305460">
              <w:rPr>
                <w:sz w:val="13"/>
                <w:szCs w:val="13"/>
              </w:rPr>
              <w:t>0,000</w:t>
            </w:r>
          </w:p>
        </w:tc>
        <w:tc>
          <w:tcPr>
            <w:tcW w:w="156" w:type="pct"/>
            <w:tcMar>
              <w:left w:w="17" w:type="dxa"/>
              <w:right w:w="17" w:type="dxa"/>
            </w:tcMar>
            <w:vAlign w:val="center"/>
          </w:tcPr>
          <w:p w14:paraId="1736A713" w14:textId="77777777" w:rsidR="001C56BD" w:rsidRPr="00305460" w:rsidRDefault="001C56BD" w:rsidP="008A5C11">
            <w:pPr>
              <w:jc w:val="center"/>
              <w:rPr>
                <w:color w:val="000000"/>
                <w:sz w:val="13"/>
                <w:szCs w:val="13"/>
              </w:rPr>
            </w:pPr>
            <w:r w:rsidRPr="00305460">
              <w:rPr>
                <w:sz w:val="13"/>
                <w:szCs w:val="13"/>
              </w:rPr>
              <w:t>0,000</w:t>
            </w:r>
          </w:p>
        </w:tc>
        <w:tc>
          <w:tcPr>
            <w:tcW w:w="219" w:type="pct"/>
            <w:tcMar>
              <w:left w:w="17" w:type="dxa"/>
              <w:right w:w="17" w:type="dxa"/>
            </w:tcMar>
            <w:vAlign w:val="center"/>
          </w:tcPr>
          <w:p w14:paraId="26B45487" w14:textId="77777777" w:rsidR="001C56BD" w:rsidRPr="00305460" w:rsidRDefault="001C56BD" w:rsidP="008A5C11">
            <w:pPr>
              <w:jc w:val="center"/>
              <w:rPr>
                <w:sz w:val="13"/>
                <w:szCs w:val="13"/>
              </w:rPr>
            </w:pPr>
            <w:r w:rsidRPr="00305460">
              <w:rPr>
                <w:sz w:val="13"/>
                <w:szCs w:val="13"/>
              </w:rPr>
              <w:t>0,000</w:t>
            </w:r>
          </w:p>
        </w:tc>
        <w:tc>
          <w:tcPr>
            <w:tcW w:w="174" w:type="pct"/>
            <w:tcMar>
              <w:left w:w="17" w:type="dxa"/>
              <w:right w:w="17" w:type="dxa"/>
            </w:tcMar>
            <w:vAlign w:val="center"/>
          </w:tcPr>
          <w:p w14:paraId="6F1B839A" w14:textId="77777777" w:rsidR="001C56BD" w:rsidRPr="00305460" w:rsidRDefault="001C56BD" w:rsidP="008A5C11">
            <w:pPr>
              <w:jc w:val="center"/>
              <w:rPr>
                <w:sz w:val="13"/>
                <w:szCs w:val="13"/>
              </w:rPr>
            </w:pPr>
            <w:r w:rsidRPr="00305460">
              <w:rPr>
                <w:sz w:val="13"/>
                <w:szCs w:val="13"/>
              </w:rPr>
              <w:t>0,000</w:t>
            </w:r>
          </w:p>
        </w:tc>
        <w:tc>
          <w:tcPr>
            <w:tcW w:w="176" w:type="pct"/>
            <w:tcMar>
              <w:left w:w="17" w:type="dxa"/>
              <w:right w:w="17" w:type="dxa"/>
            </w:tcMar>
            <w:vAlign w:val="center"/>
          </w:tcPr>
          <w:p w14:paraId="0D948C81" w14:textId="77777777" w:rsidR="001C56BD" w:rsidRPr="00305460" w:rsidRDefault="001C56BD" w:rsidP="008A5C11">
            <w:pPr>
              <w:ind w:hanging="46"/>
              <w:jc w:val="center"/>
              <w:rPr>
                <w:sz w:val="13"/>
                <w:szCs w:val="13"/>
              </w:rPr>
            </w:pPr>
            <w:r w:rsidRPr="00305460">
              <w:rPr>
                <w:sz w:val="13"/>
                <w:szCs w:val="13"/>
              </w:rPr>
              <w:t>12037,170</w:t>
            </w:r>
          </w:p>
        </w:tc>
      </w:tr>
      <w:tr w:rsidR="001C56BD" w:rsidRPr="00305460" w14:paraId="2FBCF432" w14:textId="77777777" w:rsidTr="008A5C11">
        <w:trPr>
          <w:trHeight w:val="37"/>
        </w:trPr>
        <w:tc>
          <w:tcPr>
            <w:tcW w:w="5000" w:type="pct"/>
            <w:gridSpan w:val="34"/>
            <w:tcMar>
              <w:left w:w="17" w:type="dxa"/>
              <w:right w:w="17" w:type="dxa"/>
            </w:tcMar>
          </w:tcPr>
          <w:p w14:paraId="02CA8E2D" w14:textId="77777777" w:rsidR="001C56BD" w:rsidRPr="00305460" w:rsidRDefault="001C56BD" w:rsidP="008A5C11">
            <w:pPr>
              <w:rPr>
                <w:sz w:val="13"/>
                <w:szCs w:val="13"/>
              </w:rPr>
            </w:pPr>
            <w:r w:rsidRPr="00305460">
              <w:rPr>
                <w:sz w:val="13"/>
                <w:szCs w:val="13"/>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1C56BD" w:rsidRPr="00305460" w14:paraId="14C93EDE" w14:textId="77777777" w:rsidTr="008A5C11">
        <w:trPr>
          <w:trHeight w:val="47"/>
        </w:trPr>
        <w:tc>
          <w:tcPr>
            <w:tcW w:w="2128" w:type="pct"/>
            <w:gridSpan w:val="11"/>
            <w:shd w:val="clear" w:color="auto" w:fill="auto"/>
            <w:tcMar>
              <w:left w:w="17" w:type="dxa"/>
              <w:right w:w="17" w:type="dxa"/>
            </w:tcMar>
            <w:vAlign w:val="center"/>
          </w:tcPr>
          <w:p w14:paraId="7EF0DD35" w14:textId="77777777" w:rsidR="001C56BD" w:rsidRPr="00305460" w:rsidRDefault="001C56BD" w:rsidP="008A5C11">
            <w:pPr>
              <w:rPr>
                <w:sz w:val="13"/>
                <w:szCs w:val="13"/>
              </w:rPr>
            </w:pPr>
            <w:r w:rsidRPr="00305460">
              <w:rPr>
                <w:sz w:val="13"/>
                <w:szCs w:val="13"/>
              </w:rPr>
              <w:t>Всего по группе 2.</w:t>
            </w:r>
          </w:p>
        </w:tc>
        <w:tc>
          <w:tcPr>
            <w:tcW w:w="243" w:type="pct"/>
            <w:gridSpan w:val="3"/>
            <w:shd w:val="clear" w:color="auto" w:fill="auto"/>
            <w:tcMar>
              <w:left w:w="17" w:type="dxa"/>
              <w:right w:w="17" w:type="dxa"/>
            </w:tcMar>
            <w:vAlign w:val="center"/>
          </w:tcPr>
          <w:p w14:paraId="79633030" w14:textId="77777777" w:rsidR="001C56BD" w:rsidRPr="00305460" w:rsidRDefault="001C56BD" w:rsidP="008A5C11">
            <w:pPr>
              <w:jc w:val="center"/>
              <w:rPr>
                <w:sz w:val="13"/>
                <w:szCs w:val="13"/>
              </w:rPr>
            </w:pPr>
            <w:r w:rsidRPr="00305460">
              <w:rPr>
                <w:sz w:val="13"/>
                <w:szCs w:val="13"/>
              </w:rPr>
              <w:t>0,000</w:t>
            </w:r>
          </w:p>
        </w:tc>
        <w:tc>
          <w:tcPr>
            <w:tcW w:w="189" w:type="pct"/>
            <w:gridSpan w:val="3"/>
            <w:shd w:val="clear" w:color="auto" w:fill="auto"/>
            <w:tcMar>
              <w:left w:w="17" w:type="dxa"/>
              <w:right w:w="17" w:type="dxa"/>
            </w:tcMar>
            <w:vAlign w:val="center"/>
          </w:tcPr>
          <w:p w14:paraId="6D3C9E0A" w14:textId="77777777" w:rsidR="001C56BD" w:rsidRPr="00305460" w:rsidRDefault="001C56BD" w:rsidP="008A5C11">
            <w:pPr>
              <w:jc w:val="center"/>
              <w:rPr>
                <w:sz w:val="13"/>
                <w:szCs w:val="13"/>
              </w:rPr>
            </w:pPr>
            <w:r w:rsidRPr="00305460">
              <w:rPr>
                <w:sz w:val="13"/>
                <w:szCs w:val="13"/>
              </w:rPr>
              <w:t>0,000</w:t>
            </w:r>
          </w:p>
        </w:tc>
        <w:tc>
          <w:tcPr>
            <w:tcW w:w="211" w:type="pct"/>
            <w:gridSpan w:val="2"/>
            <w:shd w:val="clear" w:color="auto" w:fill="auto"/>
            <w:tcMar>
              <w:left w:w="17" w:type="dxa"/>
              <w:right w:w="17" w:type="dxa"/>
            </w:tcMar>
            <w:vAlign w:val="center"/>
          </w:tcPr>
          <w:p w14:paraId="4987E888" w14:textId="77777777" w:rsidR="001C56BD" w:rsidRPr="00305460" w:rsidRDefault="001C56BD" w:rsidP="008A5C11">
            <w:pPr>
              <w:jc w:val="center"/>
              <w:rPr>
                <w:color w:val="000000"/>
                <w:sz w:val="13"/>
                <w:szCs w:val="13"/>
              </w:rPr>
            </w:pPr>
            <w:r w:rsidRPr="00305460">
              <w:rPr>
                <w:sz w:val="13"/>
                <w:szCs w:val="13"/>
              </w:rPr>
              <w:t>0,000</w:t>
            </w:r>
          </w:p>
        </w:tc>
        <w:tc>
          <w:tcPr>
            <w:tcW w:w="179" w:type="pct"/>
            <w:gridSpan w:val="2"/>
            <w:shd w:val="clear" w:color="auto" w:fill="auto"/>
            <w:tcMar>
              <w:left w:w="17" w:type="dxa"/>
              <w:right w:w="17" w:type="dxa"/>
            </w:tcMar>
            <w:vAlign w:val="center"/>
          </w:tcPr>
          <w:p w14:paraId="7DF08FD4" w14:textId="77777777" w:rsidR="001C56BD" w:rsidRPr="00305460" w:rsidRDefault="001C56BD" w:rsidP="008A5C11">
            <w:pPr>
              <w:jc w:val="center"/>
              <w:rPr>
                <w:sz w:val="13"/>
                <w:szCs w:val="13"/>
              </w:rPr>
            </w:pPr>
            <w:r w:rsidRPr="00305460">
              <w:rPr>
                <w:sz w:val="13"/>
                <w:szCs w:val="13"/>
              </w:rPr>
              <w:t>0,000</w:t>
            </w:r>
          </w:p>
        </w:tc>
        <w:tc>
          <w:tcPr>
            <w:tcW w:w="222" w:type="pct"/>
            <w:gridSpan w:val="2"/>
            <w:shd w:val="clear" w:color="auto" w:fill="auto"/>
            <w:tcMar>
              <w:left w:w="17" w:type="dxa"/>
              <w:right w:w="17" w:type="dxa"/>
            </w:tcMar>
            <w:vAlign w:val="center"/>
          </w:tcPr>
          <w:p w14:paraId="10CAC3D6" w14:textId="77777777" w:rsidR="001C56BD" w:rsidRPr="00305460" w:rsidRDefault="001C56BD" w:rsidP="008A5C11">
            <w:pPr>
              <w:jc w:val="center"/>
              <w:rPr>
                <w:sz w:val="13"/>
                <w:szCs w:val="13"/>
              </w:rPr>
            </w:pPr>
            <w:r w:rsidRPr="00305460">
              <w:rPr>
                <w:sz w:val="13"/>
                <w:szCs w:val="13"/>
              </w:rPr>
              <w:t>0,000</w:t>
            </w:r>
          </w:p>
        </w:tc>
        <w:tc>
          <w:tcPr>
            <w:tcW w:w="213" w:type="pct"/>
            <w:shd w:val="clear" w:color="auto" w:fill="auto"/>
            <w:tcMar>
              <w:left w:w="17" w:type="dxa"/>
              <w:right w:w="17" w:type="dxa"/>
            </w:tcMar>
            <w:vAlign w:val="center"/>
          </w:tcPr>
          <w:p w14:paraId="4DC79A1F" w14:textId="77777777" w:rsidR="001C56BD" w:rsidRPr="00305460" w:rsidRDefault="001C56BD" w:rsidP="008A5C11">
            <w:pPr>
              <w:jc w:val="center"/>
              <w:rPr>
                <w:color w:val="000000"/>
                <w:sz w:val="13"/>
                <w:szCs w:val="13"/>
              </w:rPr>
            </w:pPr>
            <w:r w:rsidRPr="00305460">
              <w:rPr>
                <w:sz w:val="13"/>
                <w:szCs w:val="13"/>
              </w:rPr>
              <w:t>0,000</w:t>
            </w:r>
          </w:p>
        </w:tc>
        <w:tc>
          <w:tcPr>
            <w:tcW w:w="218" w:type="pct"/>
            <w:tcMar>
              <w:left w:w="17" w:type="dxa"/>
              <w:right w:w="17" w:type="dxa"/>
            </w:tcMar>
            <w:vAlign w:val="center"/>
          </w:tcPr>
          <w:p w14:paraId="7D7065A2" w14:textId="77777777" w:rsidR="001C56BD" w:rsidRPr="00305460" w:rsidRDefault="001C56BD" w:rsidP="008A5C11">
            <w:pPr>
              <w:jc w:val="center"/>
              <w:rPr>
                <w:color w:val="000000"/>
                <w:sz w:val="13"/>
                <w:szCs w:val="13"/>
              </w:rPr>
            </w:pPr>
            <w:r w:rsidRPr="00305460">
              <w:rPr>
                <w:sz w:val="13"/>
                <w:szCs w:val="13"/>
              </w:rPr>
              <w:t>0,000</w:t>
            </w:r>
          </w:p>
        </w:tc>
        <w:tc>
          <w:tcPr>
            <w:tcW w:w="218" w:type="pct"/>
            <w:tcMar>
              <w:left w:w="17" w:type="dxa"/>
              <w:right w:w="17" w:type="dxa"/>
            </w:tcMar>
            <w:vAlign w:val="center"/>
          </w:tcPr>
          <w:p w14:paraId="5BF7F7E7" w14:textId="77777777" w:rsidR="001C56BD" w:rsidRPr="00305460" w:rsidRDefault="001C56BD" w:rsidP="008A5C11">
            <w:pPr>
              <w:jc w:val="center"/>
              <w:rPr>
                <w:color w:val="000000"/>
                <w:sz w:val="13"/>
                <w:szCs w:val="13"/>
              </w:rPr>
            </w:pPr>
            <w:r w:rsidRPr="00305460">
              <w:rPr>
                <w:sz w:val="13"/>
                <w:szCs w:val="13"/>
              </w:rPr>
              <w:t>0,000</w:t>
            </w:r>
          </w:p>
        </w:tc>
        <w:tc>
          <w:tcPr>
            <w:tcW w:w="234" w:type="pct"/>
            <w:gridSpan w:val="2"/>
            <w:tcMar>
              <w:left w:w="17" w:type="dxa"/>
              <w:right w:w="17" w:type="dxa"/>
            </w:tcMar>
            <w:vAlign w:val="center"/>
          </w:tcPr>
          <w:p w14:paraId="52EE4317" w14:textId="77777777" w:rsidR="001C56BD" w:rsidRPr="00305460" w:rsidRDefault="001C56BD" w:rsidP="008A5C11">
            <w:pPr>
              <w:jc w:val="center"/>
              <w:rPr>
                <w:sz w:val="13"/>
                <w:szCs w:val="13"/>
              </w:rPr>
            </w:pPr>
            <w:r w:rsidRPr="00305460">
              <w:rPr>
                <w:sz w:val="13"/>
                <w:szCs w:val="13"/>
              </w:rPr>
              <w:t>0,000</w:t>
            </w:r>
          </w:p>
        </w:tc>
        <w:tc>
          <w:tcPr>
            <w:tcW w:w="218" w:type="pct"/>
            <w:gridSpan w:val="2"/>
            <w:tcMar>
              <w:left w:w="17" w:type="dxa"/>
              <w:right w:w="17" w:type="dxa"/>
            </w:tcMar>
            <w:vAlign w:val="center"/>
          </w:tcPr>
          <w:p w14:paraId="1990B1F5" w14:textId="77777777" w:rsidR="001C56BD" w:rsidRPr="00305460" w:rsidRDefault="001C56BD" w:rsidP="008A5C11">
            <w:pPr>
              <w:jc w:val="center"/>
              <w:rPr>
                <w:color w:val="000000"/>
                <w:sz w:val="13"/>
                <w:szCs w:val="13"/>
              </w:rPr>
            </w:pPr>
            <w:r w:rsidRPr="00305460">
              <w:rPr>
                <w:sz w:val="13"/>
                <w:szCs w:val="13"/>
              </w:rPr>
              <w:t>0,000</w:t>
            </w:r>
          </w:p>
        </w:tc>
        <w:tc>
          <w:tcPr>
            <w:tcW w:w="156" w:type="pct"/>
            <w:tcMar>
              <w:left w:w="17" w:type="dxa"/>
              <w:right w:w="17" w:type="dxa"/>
            </w:tcMar>
            <w:vAlign w:val="center"/>
          </w:tcPr>
          <w:p w14:paraId="5F07CD5B" w14:textId="77777777" w:rsidR="001C56BD" w:rsidRPr="00305460" w:rsidRDefault="001C56BD" w:rsidP="008A5C11">
            <w:pPr>
              <w:jc w:val="center"/>
              <w:rPr>
                <w:color w:val="000000"/>
                <w:sz w:val="13"/>
                <w:szCs w:val="13"/>
              </w:rPr>
            </w:pPr>
            <w:r w:rsidRPr="00305460">
              <w:rPr>
                <w:sz w:val="13"/>
                <w:szCs w:val="13"/>
              </w:rPr>
              <w:t>0,000</w:t>
            </w:r>
          </w:p>
        </w:tc>
        <w:tc>
          <w:tcPr>
            <w:tcW w:w="219" w:type="pct"/>
            <w:tcMar>
              <w:left w:w="17" w:type="dxa"/>
              <w:right w:w="17" w:type="dxa"/>
            </w:tcMar>
            <w:vAlign w:val="center"/>
          </w:tcPr>
          <w:p w14:paraId="495E1598" w14:textId="77777777" w:rsidR="001C56BD" w:rsidRPr="00305460" w:rsidRDefault="001C56BD" w:rsidP="008A5C11">
            <w:pPr>
              <w:jc w:val="center"/>
              <w:rPr>
                <w:sz w:val="13"/>
                <w:szCs w:val="13"/>
              </w:rPr>
            </w:pPr>
            <w:r w:rsidRPr="00305460">
              <w:rPr>
                <w:sz w:val="13"/>
                <w:szCs w:val="13"/>
              </w:rPr>
              <w:t>0,000</w:t>
            </w:r>
          </w:p>
        </w:tc>
        <w:tc>
          <w:tcPr>
            <w:tcW w:w="174" w:type="pct"/>
            <w:tcMar>
              <w:left w:w="17" w:type="dxa"/>
              <w:right w:w="17" w:type="dxa"/>
            </w:tcMar>
            <w:vAlign w:val="center"/>
          </w:tcPr>
          <w:p w14:paraId="396F3386" w14:textId="77777777" w:rsidR="001C56BD" w:rsidRPr="00305460" w:rsidRDefault="001C56BD" w:rsidP="008A5C11">
            <w:pPr>
              <w:jc w:val="center"/>
              <w:rPr>
                <w:sz w:val="13"/>
                <w:szCs w:val="13"/>
              </w:rPr>
            </w:pPr>
            <w:r w:rsidRPr="00305460">
              <w:rPr>
                <w:sz w:val="13"/>
                <w:szCs w:val="13"/>
              </w:rPr>
              <w:t>0,000</w:t>
            </w:r>
          </w:p>
        </w:tc>
        <w:tc>
          <w:tcPr>
            <w:tcW w:w="176" w:type="pct"/>
            <w:tcMar>
              <w:left w:w="17" w:type="dxa"/>
              <w:right w:w="17" w:type="dxa"/>
            </w:tcMar>
            <w:vAlign w:val="center"/>
          </w:tcPr>
          <w:p w14:paraId="7A186435" w14:textId="77777777" w:rsidR="001C56BD" w:rsidRPr="00305460" w:rsidRDefault="001C56BD" w:rsidP="008A5C11">
            <w:pPr>
              <w:jc w:val="center"/>
              <w:rPr>
                <w:sz w:val="13"/>
                <w:szCs w:val="13"/>
              </w:rPr>
            </w:pPr>
            <w:r w:rsidRPr="00305460">
              <w:rPr>
                <w:sz w:val="13"/>
                <w:szCs w:val="13"/>
              </w:rPr>
              <w:t>0,000</w:t>
            </w:r>
          </w:p>
        </w:tc>
      </w:tr>
      <w:tr w:rsidR="001C56BD" w:rsidRPr="00305460" w14:paraId="733CF03A" w14:textId="77777777" w:rsidTr="008A5C11">
        <w:trPr>
          <w:trHeight w:val="56"/>
        </w:trPr>
        <w:tc>
          <w:tcPr>
            <w:tcW w:w="5000" w:type="pct"/>
            <w:gridSpan w:val="34"/>
            <w:tcMar>
              <w:left w:w="17" w:type="dxa"/>
              <w:right w:w="17" w:type="dxa"/>
            </w:tcMar>
          </w:tcPr>
          <w:p w14:paraId="077D76A3" w14:textId="77777777" w:rsidR="001C56BD" w:rsidRPr="00305460" w:rsidRDefault="001C56BD" w:rsidP="008A5C11">
            <w:pPr>
              <w:rPr>
                <w:sz w:val="13"/>
                <w:szCs w:val="13"/>
              </w:rPr>
            </w:pPr>
            <w:r w:rsidRPr="00305460">
              <w:rPr>
                <w:sz w:val="13"/>
                <w:szCs w:val="13"/>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1C56BD" w:rsidRPr="00305460" w14:paraId="30BA5E06" w14:textId="77777777" w:rsidTr="008A5C11">
        <w:trPr>
          <w:trHeight w:val="86"/>
        </w:trPr>
        <w:tc>
          <w:tcPr>
            <w:tcW w:w="5000" w:type="pct"/>
            <w:gridSpan w:val="34"/>
            <w:tcMar>
              <w:left w:w="17" w:type="dxa"/>
              <w:right w:w="17" w:type="dxa"/>
            </w:tcMar>
          </w:tcPr>
          <w:p w14:paraId="03D8D6F0" w14:textId="77777777" w:rsidR="001C56BD" w:rsidRPr="00305460" w:rsidRDefault="001C56BD" w:rsidP="008A5C11">
            <w:pPr>
              <w:rPr>
                <w:sz w:val="13"/>
                <w:szCs w:val="13"/>
              </w:rPr>
            </w:pPr>
            <w:r w:rsidRPr="00305460">
              <w:rPr>
                <w:sz w:val="13"/>
                <w:szCs w:val="13"/>
              </w:rPr>
              <w:t>3.1. Реконструкция или модернизация существующих тепловых сетей</w:t>
            </w:r>
          </w:p>
        </w:tc>
      </w:tr>
      <w:tr w:rsidR="001C56BD" w:rsidRPr="00305460" w14:paraId="27293F3B" w14:textId="77777777" w:rsidTr="008A5C11">
        <w:trPr>
          <w:trHeight w:val="897"/>
        </w:trPr>
        <w:tc>
          <w:tcPr>
            <w:tcW w:w="86" w:type="pct"/>
            <w:shd w:val="clear" w:color="auto" w:fill="auto"/>
            <w:tcMar>
              <w:left w:w="17" w:type="dxa"/>
              <w:right w:w="17" w:type="dxa"/>
            </w:tcMar>
            <w:vAlign w:val="center"/>
          </w:tcPr>
          <w:p w14:paraId="78B5E5CA" w14:textId="77777777" w:rsidR="001C56BD" w:rsidRPr="00305460" w:rsidRDefault="001C56BD" w:rsidP="008A5C11">
            <w:pPr>
              <w:jc w:val="center"/>
              <w:rPr>
                <w:sz w:val="12"/>
                <w:szCs w:val="12"/>
              </w:rPr>
            </w:pPr>
            <w:r w:rsidRPr="00305460">
              <w:rPr>
                <w:sz w:val="12"/>
                <w:szCs w:val="12"/>
              </w:rPr>
              <w:t>3.1.1.</w:t>
            </w:r>
          </w:p>
        </w:tc>
        <w:tc>
          <w:tcPr>
            <w:tcW w:w="295" w:type="pct"/>
            <w:shd w:val="clear" w:color="auto" w:fill="auto"/>
            <w:tcMar>
              <w:left w:w="17" w:type="dxa"/>
              <w:right w:w="17" w:type="dxa"/>
            </w:tcMar>
            <w:vAlign w:val="center"/>
          </w:tcPr>
          <w:p w14:paraId="753D7FE0" w14:textId="77777777" w:rsidR="001C56BD" w:rsidRPr="00305460" w:rsidRDefault="001C56BD" w:rsidP="008A5C11">
            <w:pPr>
              <w:rPr>
                <w:sz w:val="12"/>
                <w:szCs w:val="12"/>
              </w:rPr>
            </w:pPr>
            <w:r w:rsidRPr="00305460">
              <w:rPr>
                <w:sz w:val="12"/>
                <w:szCs w:val="12"/>
              </w:rPr>
              <w:t>Реконструкция тепловой сети с реестровым номером 759645</w:t>
            </w:r>
          </w:p>
        </w:tc>
        <w:tc>
          <w:tcPr>
            <w:tcW w:w="307" w:type="pct"/>
            <w:shd w:val="clear" w:color="000000" w:fill="FFFFFF"/>
            <w:tcMar>
              <w:left w:w="17" w:type="dxa"/>
              <w:right w:w="17" w:type="dxa"/>
            </w:tcMar>
            <w:vAlign w:val="center"/>
          </w:tcPr>
          <w:p w14:paraId="535F9A34" w14:textId="77777777" w:rsidR="001C56BD" w:rsidRPr="00305460" w:rsidRDefault="001C56BD" w:rsidP="008A5C11">
            <w:pPr>
              <w:jc w:val="center"/>
              <w:rPr>
                <w:color w:val="000000"/>
                <w:sz w:val="12"/>
                <w:szCs w:val="12"/>
              </w:rPr>
            </w:pPr>
            <w:r w:rsidRPr="00305460">
              <w:rPr>
                <w:color w:val="000000"/>
                <w:sz w:val="12"/>
                <w:szCs w:val="12"/>
              </w:rPr>
              <w:t>Повышение надежности услуг теплоснабжения, повышение энергетической эффективности</w:t>
            </w:r>
          </w:p>
        </w:tc>
        <w:tc>
          <w:tcPr>
            <w:tcW w:w="280" w:type="pct"/>
            <w:shd w:val="clear" w:color="auto" w:fill="auto"/>
            <w:tcMar>
              <w:left w:w="17" w:type="dxa"/>
              <w:right w:w="17" w:type="dxa"/>
            </w:tcMar>
            <w:vAlign w:val="center"/>
          </w:tcPr>
          <w:p w14:paraId="15AB910A" w14:textId="77777777" w:rsidR="001C56BD" w:rsidRPr="00305460" w:rsidRDefault="001C56BD" w:rsidP="008A5C11">
            <w:pPr>
              <w:jc w:val="center"/>
              <w:rPr>
                <w:sz w:val="12"/>
                <w:szCs w:val="12"/>
              </w:rPr>
            </w:pPr>
            <w:r w:rsidRPr="00305460">
              <w:rPr>
                <w:sz w:val="12"/>
                <w:szCs w:val="12"/>
              </w:rPr>
              <w:t xml:space="preserve">Кемеровский городской округ, Кировский район, ул. 40 лет Октября, ТК 22. </w:t>
            </w:r>
          </w:p>
        </w:tc>
        <w:tc>
          <w:tcPr>
            <w:tcW w:w="289" w:type="pct"/>
            <w:shd w:val="clear" w:color="auto" w:fill="auto"/>
            <w:tcMar>
              <w:left w:w="17" w:type="dxa"/>
              <w:right w:w="17" w:type="dxa"/>
            </w:tcMar>
            <w:vAlign w:val="center"/>
          </w:tcPr>
          <w:p w14:paraId="71E7DF6E" w14:textId="77777777" w:rsidR="001C56BD" w:rsidRPr="00305460" w:rsidRDefault="001C56BD" w:rsidP="008A5C11">
            <w:pPr>
              <w:jc w:val="center"/>
              <w:rPr>
                <w:color w:val="000000"/>
                <w:sz w:val="12"/>
                <w:szCs w:val="12"/>
              </w:rPr>
            </w:pPr>
            <w:r w:rsidRPr="00305460">
              <w:rPr>
                <w:color w:val="000000"/>
                <w:sz w:val="12"/>
                <w:szCs w:val="12"/>
              </w:rPr>
              <w:t>Технические характеристики</w:t>
            </w:r>
          </w:p>
        </w:tc>
        <w:tc>
          <w:tcPr>
            <w:tcW w:w="137" w:type="pct"/>
            <w:shd w:val="clear" w:color="auto" w:fill="auto"/>
            <w:tcMar>
              <w:left w:w="17" w:type="dxa"/>
              <w:right w:w="17" w:type="dxa"/>
            </w:tcMar>
            <w:vAlign w:val="center"/>
          </w:tcPr>
          <w:p w14:paraId="67738501" w14:textId="77777777" w:rsidR="001C56BD" w:rsidRPr="00305460" w:rsidRDefault="001C56BD" w:rsidP="008A5C11">
            <w:pPr>
              <w:jc w:val="center"/>
              <w:rPr>
                <w:color w:val="000000"/>
                <w:sz w:val="12"/>
                <w:szCs w:val="12"/>
              </w:rPr>
            </w:pPr>
            <w:r w:rsidRPr="00305460">
              <w:rPr>
                <w:color w:val="000000"/>
                <w:sz w:val="12"/>
                <w:szCs w:val="12"/>
              </w:rPr>
              <w:t>-</w:t>
            </w:r>
          </w:p>
        </w:tc>
        <w:tc>
          <w:tcPr>
            <w:tcW w:w="202" w:type="pct"/>
            <w:shd w:val="clear" w:color="auto" w:fill="auto"/>
            <w:tcMar>
              <w:left w:w="17" w:type="dxa"/>
              <w:right w:w="17" w:type="dxa"/>
            </w:tcMar>
            <w:vAlign w:val="center"/>
          </w:tcPr>
          <w:p w14:paraId="55C275EB" w14:textId="77777777" w:rsidR="001C56BD" w:rsidRPr="00305460" w:rsidRDefault="001C56BD" w:rsidP="008A5C11">
            <w:pPr>
              <w:jc w:val="center"/>
              <w:rPr>
                <w:sz w:val="12"/>
                <w:szCs w:val="12"/>
              </w:rPr>
            </w:pPr>
            <w:r w:rsidRPr="00305460">
              <w:rPr>
                <w:sz w:val="12"/>
                <w:szCs w:val="12"/>
              </w:rPr>
              <w:t xml:space="preserve">Канал-кирпич, опоры-хомутовые приварные, запорная арматура - стальная клиновая, антикоррозийная защита-лак БТ, труба-сталь 20, изоляция - </w:t>
            </w:r>
            <w:proofErr w:type="gramStart"/>
            <w:r w:rsidRPr="00305460">
              <w:rPr>
                <w:sz w:val="12"/>
                <w:szCs w:val="12"/>
              </w:rPr>
              <w:t>мин.маты</w:t>
            </w:r>
            <w:proofErr w:type="gramEnd"/>
            <w:r w:rsidRPr="00305460">
              <w:rPr>
                <w:sz w:val="12"/>
                <w:szCs w:val="12"/>
              </w:rPr>
              <w:t xml:space="preserve"> </w:t>
            </w:r>
          </w:p>
        </w:tc>
        <w:tc>
          <w:tcPr>
            <w:tcW w:w="244" w:type="pct"/>
            <w:shd w:val="clear" w:color="auto" w:fill="auto"/>
            <w:tcMar>
              <w:left w:w="17" w:type="dxa"/>
              <w:right w:w="17" w:type="dxa"/>
            </w:tcMar>
            <w:vAlign w:val="center"/>
          </w:tcPr>
          <w:p w14:paraId="20328A32" w14:textId="77777777" w:rsidR="001C56BD" w:rsidRPr="00305460" w:rsidRDefault="001C56BD" w:rsidP="008A5C11">
            <w:pPr>
              <w:jc w:val="center"/>
              <w:rPr>
                <w:sz w:val="12"/>
                <w:szCs w:val="12"/>
              </w:rPr>
            </w:pPr>
            <w:r w:rsidRPr="00305460">
              <w:rPr>
                <w:sz w:val="12"/>
                <w:szCs w:val="12"/>
              </w:rPr>
              <w:t xml:space="preserve">Канал-ж/б лотки, опоры-хомутовые с диэлектрической прокладкой, запорная арматура - кран шаровый, антикоррозийная защита-мастика Вектор 1214, 1025, труба-сталь 09Г2С, изоляция - маты прошивные, </w:t>
            </w:r>
            <w:proofErr w:type="gramStart"/>
            <w:r w:rsidRPr="00305460">
              <w:rPr>
                <w:sz w:val="12"/>
                <w:szCs w:val="12"/>
              </w:rPr>
              <w:t>стеклоплас-тик</w:t>
            </w:r>
            <w:proofErr w:type="gramEnd"/>
            <w:r w:rsidRPr="00305460">
              <w:rPr>
                <w:sz w:val="12"/>
                <w:szCs w:val="12"/>
              </w:rPr>
              <w:t xml:space="preserve">  </w:t>
            </w:r>
          </w:p>
        </w:tc>
        <w:tc>
          <w:tcPr>
            <w:tcW w:w="140" w:type="pct"/>
            <w:shd w:val="clear" w:color="auto" w:fill="auto"/>
            <w:tcMar>
              <w:left w:w="17" w:type="dxa"/>
              <w:right w:w="17" w:type="dxa"/>
            </w:tcMar>
            <w:vAlign w:val="center"/>
          </w:tcPr>
          <w:p w14:paraId="4DEC6120" w14:textId="77777777" w:rsidR="001C56BD" w:rsidRPr="00305460" w:rsidRDefault="001C56BD" w:rsidP="008A5C11">
            <w:pPr>
              <w:jc w:val="center"/>
              <w:rPr>
                <w:sz w:val="12"/>
                <w:szCs w:val="12"/>
              </w:rPr>
            </w:pPr>
            <w:r w:rsidRPr="00305460">
              <w:rPr>
                <w:sz w:val="12"/>
                <w:szCs w:val="12"/>
              </w:rPr>
              <w:t>2022</w:t>
            </w:r>
          </w:p>
        </w:tc>
        <w:tc>
          <w:tcPr>
            <w:tcW w:w="140" w:type="pct"/>
            <w:shd w:val="clear" w:color="auto" w:fill="auto"/>
            <w:tcMar>
              <w:left w:w="17" w:type="dxa"/>
              <w:right w:w="17" w:type="dxa"/>
            </w:tcMar>
            <w:vAlign w:val="center"/>
          </w:tcPr>
          <w:p w14:paraId="0056F4FA" w14:textId="77777777" w:rsidR="001C56BD" w:rsidRPr="00305460" w:rsidRDefault="001C56BD" w:rsidP="008A5C11">
            <w:pPr>
              <w:jc w:val="center"/>
              <w:rPr>
                <w:sz w:val="12"/>
                <w:szCs w:val="12"/>
              </w:rPr>
            </w:pPr>
            <w:r w:rsidRPr="00305460">
              <w:rPr>
                <w:sz w:val="12"/>
                <w:szCs w:val="12"/>
              </w:rPr>
              <w:t>2031</w:t>
            </w:r>
          </w:p>
        </w:tc>
        <w:tc>
          <w:tcPr>
            <w:tcW w:w="239" w:type="pct"/>
            <w:gridSpan w:val="3"/>
            <w:shd w:val="clear" w:color="auto" w:fill="auto"/>
            <w:tcMar>
              <w:left w:w="17" w:type="dxa"/>
              <w:right w:w="17" w:type="dxa"/>
            </w:tcMar>
            <w:vAlign w:val="center"/>
          </w:tcPr>
          <w:p w14:paraId="2300C0F6" w14:textId="77777777" w:rsidR="001C56BD" w:rsidRPr="00305460" w:rsidRDefault="001C56BD" w:rsidP="008A5C11">
            <w:pPr>
              <w:jc w:val="center"/>
              <w:rPr>
                <w:sz w:val="12"/>
                <w:szCs w:val="12"/>
              </w:rPr>
            </w:pPr>
            <w:r w:rsidRPr="00305460">
              <w:rPr>
                <w:sz w:val="12"/>
                <w:szCs w:val="12"/>
              </w:rPr>
              <w:t>9297,807</w:t>
            </w:r>
          </w:p>
        </w:tc>
        <w:tc>
          <w:tcPr>
            <w:tcW w:w="196" w:type="pct"/>
            <w:gridSpan w:val="3"/>
            <w:shd w:val="clear" w:color="auto" w:fill="auto"/>
            <w:tcMar>
              <w:left w:w="17" w:type="dxa"/>
              <w:right w:w="17" w:type="dxa"/>
            </w:tcMar>
            <w:vAlign w:val="center"/>
          </w:tcPr>
          <w:p w14:paraId="6EF7624D" w14:textId="77777777" w:rsidR="001C56BD" w:rsidRPr="00305460" w:rsidRDefault="001C56BD" w:rsidP="008A5C11">
            <w:pPr>
              <w:jc w:val="center"/>
              <w:rPr>
                <w:sz w:val="12"/>
                <w:szCs w:val="12"/>
              </w:rPr>
            </w:pPr>
            <w:r w:rsidRPr="00305460">
              <w:rPr>
                <w:sz w:val="12"/>
                <w:szCs w:val="12"/>
              </w:rPr>
              <w:t>0,000</w:t>
            </w:r>
          </w:p>
        </w:tc>
        <w:tc>
          <w:tcPr>
            <w:tcW w:w="216" w:type="pct"/>
            <w:gridSpan w:val="3"/>
            <w:shd w:val="clear" w:color="auto" w:fill="auto"/>
            <w:tcMar>
              <w:left w:w="17" w:type="dxa"/>
              <w:right w:w="17" w:type="dxa"/>
            </w:tcMar>
            <w:vAlign w:val="center"/>
          </w:tcPr>
          <w:p w14:paraId="23831065" w14:textId="77777777" w:rsidR="001C56BD" w:rsidRPr="00305460" w:rsidRDefault="001C56BD" w:rsidP="008A5C11">
            <w:pPr>
              <w:jc w:val="center"/>
              <w:rPr>
                <w:sz w:val="12"/>
                <w:szCs w:val="12"/>
              </w:rPr>
            </w:pPr>
            <w:r w:rsidRPr="00305460">
              <w:rPr>
                <w:sz w:val="12"/>
                <w:szCs w:val="12"/>
              </w:rPr>
              <w:t>4763,273</w:t>
            </w:r>
          </w:p>
        </w:tc>
        <w:tc>
          <w:tcPr>
            <w:tcW w:w="179" w:type="pct"/>
            <w:gridSpan w:val="2"/>
            <w:shd w:val="clear" w:color="auto" w:fill="auto"/>
            <w:tcMar>
              <w:left w:w="17" w:type="dxa"/>
              <w:right w:w="17" w:type="dxa"/>
            </w:tcMar>
            <w:vAlign w:val="center"/>
          </w:tcPr>
          <w:p w14:paraId="7618C63C" w14:textId="77777777" w:rsidR="001C56BD" w:rsidRPr="00305460" w:rsidRDefault="001C56BD" w:rsidP="008A5C11">
            <w:pPr>
              <w:jc w:val="center"/>
              <w:rPr>
                <w:sz w:val="12"/>
                <w:szCs w:val="12"/>
              </w:rPr>
            </w:pPr>
            <w:r w:rsidRPr="00305460">
              <w:rPr>
                <w:sz w:val="12"/>
                <w:szCs w:val="12"/>
              </w:rPr>
              <w:t>0,000</w:t>
            </w:r>
          </w:p>
        </w:tc>
        <w:tc>
          <w:tcPr>
            <w:tcW w:w="222" w:type="pct"/>
            <w:gridSpan w:val="2"/>
            <w:shd w:val="clear" w:color="auto" w:fill="auto"/>
            <w:tcMar>
              <w:left w:w="17" w:type="dxa"/>
              <w:right w:w="17" w:type="dxa"/>
            </w:tcMar>
            <w:vAlign w:val="center"/>
          </w:tcPr>
          <w:p w14:paraId="2F79D9F1" w14:textId="77777777" w:rsidR="001C56BD" w:rsidRPr="00305460" w:rsidRDefault="001C56BD" w:rsidP="008A5C11">
            <w:pPr>
              <w:jc w:val="center"/>
              <w:rPr>
                <w:sz w:val="12"/>
                <w:szCs w:val="12"/>
              </w:rPr>
            </w:pPr>
            <w:r w:rsidRPr="00305460">
              <w:rPr>
                <w:sz w:val="12"/>
                <w:szCs w:val="12"/>
              </w:rPr>
              <w:t>0,000</w:t>
            </w:r>
          </w:p>
        </w:tc>
        <w:tc>
          <w:tcPr>
            <w:tcW w:w="213" w:type="pct"/>
            <w:shd w:val="clear" w:color="auto" w:fill="auto"/>
            <w:tcMar>
              <w:left w:w="17" w:type="dxa"/>
              <w:right w:w="17" w:type="dxa"/>
            </w:tcMar>
            <w:vAlign w:val="center"/>
          </w:tcPr>
          <w:p w14:paraId="70AACCFD"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6386E8F7"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49A42AAA"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3A059AEB" w14:textId="77777777" w:rsidR="001C56BD" w:rsidRPr="00305460" w:rsidRDefault="001C56BD" w:rsidP="008A5C11">
            <w:pPr>
              <w:jc w:val="center"/>
              <w:rPr>
                <w:sz w:val="12"/>
                <w:szCs w:val="12"/>
              </w:rPr>
            </w:pPr>
            <w:r w:rsidRPr="00305460">
              <w:rPr>
                <w:sz w:val="12"/>
                <w:szCs w:val="12"/>
              </w:rPr>
              <w:t>0,000</w:t>
            </w:r>
          </w:p>
        </w:tc>
        <w:tc>
          <w:tcPr>
            <w:tcW w:w="218" w:type="pct"/>
            <w:gridSpan w:val="2"/>
            <w:shd w:val="clear" w:color="auto" w:fill="auto"/>
            <w:tcMar>
              <w:left w:w="17" w:type="dxa"/>
              <w:right w:w="17" w:type="dxa"/>
            </w:tcMar>
            <w:vAlign w:val="center"/>
          </w:tcPr>
          <w:p w14:paraId="0414F713" w14:textId="77777777" w:rsidR="001C56BD" w:rsidRPr="00305460" w:rsidRDefault="001C56BD" w:rsidP="008A5C11">
            <w:pPr>
              <w:jc w:val="center"/>
              <w:rPr>
                <w:sz w:val="12"/>
                <w:szCs w:val="12"/>
              </w:rPr>
            </w:pPr>
            <w:r w:rsidRPr="00305460">
              <w:rPr>
                <w:sz w:val="12"/>
                <w:szCs w:val="12"/>
              </w:rPr>
              <w:t>0,000</w:t>
            </w:r>
          </w:p>
        </w:tc>
        <w:tc>
          <w:tcPr>
            <w:tcW w:w="172" w:type="pct"/>
            <w:gridSpan w:val="2"/>
            <w:shd w:val="clear" w:color="auto" w:fill="auto"/>
            <w:tcMar>
              <w:left w:w="17" w:type="dxa"/>
              <w:right w:w="17" w:type="dxa"/>
            </w:tcMar>
            <w:vAlign w:val="center"/>
          </w:tcPr>
          <w:p w14:paraId="3357553E" w14:textId="77777777" w:rsidR="001C56BD" w:rsidRPr="00305460" w:rsidRDefault="001C56BD" w:rsidP="008A5C11">
            <w:pPr>
              <w:jc w:val="center"/>
              <w:rPr>
                <w:sz w:val="12"/>
                <w:szCs w:val="12"/>
              </w:rPr>
            </w:pPr>
            <w:r w:rsidRPr="00305460">
              <w:rPr>
                <w:sz w:val="12"/>
                <w:szCs w:val="12"/>
              </w:rPr>
              <w:t>0,000</w:t>
            </w:r>
          </w:p>
        </w:tc>
        <w:tc>
          <w:tcPr>
            <w:tcW w:w="219" w:type="pct"/>
            <w:shd w:val="clear" w:color="auto" w:fill="auto"/>
            <w:tcMar>
              <w:left w:w="17" w:type="dxa"/>
              <w:right w:w="17" w:type="dxa"/>
            </w:tcMar>
            <w:vAlign w:val="center"/>
          </w:tcPr>
          <w:p w14:paraId="386DEDFC" w14:textId="77777777" w:rsidR="001C56BD" w:rsidRPr="00305460" w:rsidRDefault="001C56BD" w:rsidP="008A5C11">
            <w:pPr>
              <w:jc w:val="center"/>
              <w:rPr>
                <w:sz w:val="12"/>
                <w:szCs w:val="12"/>
              </w:rPr>
            </w:pPr>
            <w:r w:rsidRPr="00305460">
              <w:rPr>
                <w:sz w:val="12"/>
                <w:szCs w:val="12"/>
              </w:rPr>
              <w:t>4534,534</w:t>
            </w:r>
          </w:p>
        </w:tc>
        <w:tc>
          <w:tcPr>
            <w:tcW w:w="174" w:type="pct"/>
            <w:shd w:val="clear" w:color="auto" w:fill="auto"/>
            <w:tcMar>
              <w:left w:w="17" w:type="dxa"/>
              <w:right w:w="17" w:type="dxa"/>
            </w:tcMar>
            <w:vAlign w:val="center"/>
          </w:tcPr>
          <w:p w14:paraId="6C4FBACE" w14:textId="77777777" w:rsidR="001C56BD" w:rsidRPr="00305460" w:rsidRDefault="001C56BD" w:rsidP="008A5C11">
            <w:pPr>
              <w:jc w:val="center"/>
              <w:rPr>
                <w:sz w:val="12"/>
                <w:szCs w:val="12"/>
              </w:rPr>
            </w:pPr>
            <w:r w:rsidRPr="00305460">
              <w:rPr>
                <w:sz w:val="12"/>
                <w:szCs w:val="12"/>
              </w:rPr>
              <w:t>0,000</w:t>
            </w:r>
          </w:p>
        </w:tc>
        <w:tc>
          <w:tcPr>
            <w:tcW w:w="176" w:type="pct"/>
            <w:shd w:val="clear" w:color="auto" w:fill="auto"/>
            <w:tcMar>
              <w:left w:w="17" w:type="dxa"/>
              <w:right w:w="17" w:type="dxa"/>
            </w:tcMar>
            <w:vAlign w:val="center"/>
          </w:tcPr>
          <w:p w14:paraId="49BE5E02" w14:textId="77777777" w:rsidR="001C56BD" w:rsidRPr="00305460" w:rsidRDefault="001C56BD" w:rsidP="008A5C11">
            <w:pPr>
              <w:jc w:val="center"/>
              <w:rPr>
                <w:sz w:val="12"/>
                <w:szCs w:val="12"/>
              </w:rPr>
            </w:pPr>
            <w:r w:rsidRPr="00305460">
              <w:rPr>
                <w:sz w:val="12"/>
                <w:szCs w:val="12"/>
              </w:rPr>
              <w:t>0,000</w:t>
            </w:r>
          </w:p>
        </w:tc>
      </w:tr>
      <w:tr w:rsidR="001C56BD" w:rsidRPr="00305460" w14:paraId="72D13C34" w14:textId="77777777" w:rsidTr="008A5C11">
        <w:trPr>
          <w:trHeight w:val="694"/>
        </w:trPr>
        <w:tc>
          <w:tcPr>
            <w:tcW w:w="86" w:type="pct"/>
            <w:shd w:val="clear" w:color="auto" w:fill="auto"/>
            <w:tcMar>
              <w:left w:w="17" w:type="dxa"/>
              <w:right w:w="17" w:type="dxa"/>
            </w:tcMar>
            <w:vAlign w:val="center"/>
          </w:tcPr>
          <w:p w14:paraId="746B7F5D" w14:textId="77777777" w:rsidR="001C56BD" w:rsidRPr="00305460" w:rsidRDefault="001C56BD" w:rsidP="008A5C11">
            <w:pPr>
              <w:jc w:val="center"/>
              <w:rPr>
                <w:bCs/>
                <w:sz w:val="12"/>
                <w:szCs w:val="12"/>
              </w:rPr>
            </w:pPr>
            <w:r w:rsidRPr="00305460">
              <w:rPr>
                <w:bCs/>
                <w:sz w:val="12"/>
                <w:szCs w:val="12"/>
              </w:rPr>
              <w:t>1</w:t>
            </w:r>
          </w:p>
        </w:tc>
        <w:tc>
          <w:tcPr>
            <w:tcW w:w="295" w:type="pct"/>
            <w:shd w:val="clear" w:color="auto" w:fill="auto"/>
            <w:tcMar>
              <w:left w:w="17" w:type="dxa"/>
              <w:right w:w="17" w:type="dxa"/>
            </w:tcMar>
            <w:vAlign w:val="center"/>
          </w:tcPr>
          <w:p w14:paraId="5B02172F" w14:textId="77777777" w:rsidR="001C56BD" w:rsidRPr="00305460" w:rsidRDefault="001C56BD" w:rsidP="008A5C11">
            <w:pPr>
              <w:jc w:val="center"/>
              <w:rPr>
                <w:bCs/>
                <w:sz w:val="12"/>
                <w:szCs w:val="12"/>
              </w:rPr>
            </w:pPr>
            <w:r w:rsidRPr="00305460">
              <w:rPr>
                <w:bCs/>
                <w:sz w:val="12"/>
                <w:szCs w:val="12"/>
              </w:rPr>
              <w:t>2</w:t>
            </w:r>
          </w:p>
        </w:tc>
        <w:tc>
          <w:tcPr>
            <w:tcW w:w="307" w:type="pct"/>
            <w:shd w:val="clear" w:color="auto" w:fill="auto"/>
            <w:tcMar>
              <w:left w:w="17" w:type="dxa"/>
              <w:right w:w="17" w:type="dxa"/>
            </w:tcMar>
            <w:vAlign w:val="center"/>
          </w:tcPr>
          <w:p w14:paraId="7A403E69" w14:textId="77777777" w:rsidR="001C56BD" w:rsidRPr="00305460" w:rsidRDefault="001C56BD" w:rsidP="008A5C11">
            <w:pPr>
              <w:jc w:val="center"/>
              <w:rPr>
                <w:bCs/>
                <w:sz w:val="12"/>
                <w:szCs w:val="12"/>
              </w:rPr>
            </w:pPr>
            <w:r w:rsidRPr="00305460">
              <w:rPr>
                <w:bCs/>
                <w:sz w:val="12"/>
                <w:szCs w:val="12"/>
              </w:rPr>
              <w:t>3</w:t>
            </w:r>
          </w:p>
        </w:tc>
        <w:tc>
          <w:tcPr>
            <w:tcW w:w="280" w:type="pct"/>
            <w:shd w:val="clear" w:color="auto" w:fill="auto"/>
            <w:tcMar>
              <w:left w:w="17" w:type="dxa"/>
              <w:right w:w="17" w:type="dxa"/>
            </w:tcMar>
            <w:vAlign w:val="center"/>
          </w:tcPr>
          <w:p w14:paraId="0DA74845" w14:textId="77777777" w:rsidR="001C56BD" w:rsidRPr="00305460" w:rsidRDefault="001C56BD" w:rsidP="008A5C11">
            <w:pPr>
              <w:jc w:val="center"/>
              <w:rPr>
                <w:bCs/>
                <w:sz w:val="12"/>
                <w:szCs w:val="12"/>
              </w:rPr>
            </w:pPr>
            <w:r w:rsidRPr="00305460">
              <w:rPr>
                <w:bCs/>
                <w:sz w:val="12"/>
                <w:szCs w:val="12"/>
              </w:rPr>
              <w:t>4</w:t>
            </w:r>
          </w:p>
        </w:tc>
        <w:tc>
          <w:tcPr>
            <w:tcW w:w="289" w:type="pct"/>
            <w:shd w:val="clear" w:color="auto" w:fill="auto"/>
            <w:tcMar>
              <w:left w:w="17" w:type="dxa"/>
              <w:right w:w="17" w:type="dxa"/>
            </w:tcMar>
            <w:vAlign w:val="center"/>
          </w:tcPr>
          <w:p w14:paraId="658C37EF" w14:textId="77777777" w:rsidR="001C56BD" w:rsidRPr="00305460" w:rsidRDefault="001C56BD" w:rsidP="008A5C11">
            <w:pPr>
              <w:jc w:val="center"/>
              <w:rPr>
                <w:bCs/>
                <w:sz w:val="12"/>
                <w:szCs w:val="12"/>
              </w:rPr>
            </w:pPr>
            <w:r w:rsidRPr="00305460">
              <w:rPr>
                <w:bCs/>
                <w:sz w:val="12"/>
                <w:szCs w:val="12"/>
              </w:rPr>
              <w:t>5</w:t>
            </w:r>
          </w:p>
        </w:tc>
        <w:tc>
          <w:tcPr>
            <w:tcW w:w="137" w:type="pct"/>
            <w:shd w:val="clear" w:color="auto" w:fill="auto"/>
            <w:tcMar>
              <w:left w:w="17" w:type="dxa"/>
              <w:right w:w="17" w:type="dxa"/>
            </w:tcMar>
            <w:vAlign w:val="center"/>
          </w:tcPr>
          <w:p w14:paraId="4F4AC6DB" w14:textId="77777777" w:rsidR="001C56BD" w:rsidRPr="00305460" w:rsidRDefault="001C56BD" w:rsidP="008A5C11">
            <w:pPr>
              <w:jc w:val="center"/>
              <w:rPr>
                <w:bCs/>
                <w:sz w:val="12"/>
                <w:szCs w:val="12"/>
              </w:rPr>
            </w:pPr>
            <w:r w:rsidRPr="00305460">
              <w:rPr>
                <w:bCs/>
                <w:sz w:val="12"/>
                <w:szCs w:val="12"/>
              </w:rPr>
              <w:t>6</w:t>
            </w:r>
          </w:p>
        </w:tc>
        <w:tc>
          <w:tcPr>
            <w:tcW w:w="202" w:type="pct"/>
            <w:shd w:val="clear" w:color="auto" w:fill="auto"/>
            <w:tcMar>
              <w:left w:w="17" w:type="dxa"/>
              <w:right w:w="17" w:type="dxa"/>
            </w:tcMar>
            <w:vAlign w:val="center"/>
          </w:tcPr>
          <w:p w14:paraId="02BBA324" w14:textId="77777777" w:rsidR="001C56BD" w:rsidRPr="00305460" w:rsidRDefault="001C56BD" w:rsidP="008A5C11">
            <w:pPr>
              <w:jc w:val="center"/>
              <w:rPr>
                <w:bCs/>
                <w:sz w:val="12"/>
                <w:szCs w:val="12"/>
              </w:rPr>
            </w:pPr>
            <w:r w:rsidRPr="00305460">
              <w:rPr>
                <w:bCs/>
                <w:sz w:val="12"/>
                <w:szCs w:val="12"/>
              </w:rPr>
              <w:t>7</w:t>
            </w:r>
          </w:p>
        </w:tc>
        <w:tc>
          <w:tcPr>
            <w:tcW w:w="244" w:type="pct"/>
            <w:shd w:val="clear" w:color="auto" w:fill="auto"/>
            <w:tcMar>
              <w:left w:w="17" w:type="dxa"/>
              <w:right w:w="17" w:type="dxa"/>
            </w:tcMar>
            <w:vAlign w:val="center"/>
          </w:tcPr>
          <w:p w14:paraId="736E5EE9" w14:textId="77777777" w:rsidR="001C56BD" w:rsidRPr="00305460" w:rsidRDefault="001C56BD" w:rsidP="008A5C11">
            <w:pPr>
              <w:jc w:val="center"/>
              <w:rPr>
                <w:bCs/>
                <w:sz w:val="12"/>
                <w:szCs w:val="12"/>
              </w:rPr>
            </w:pPr>
            <w:r w:rsidRPr="00305460">
              <w:rPr>
                <w:bCs/>
                <w:sz w:val="12"/>
                <w:szCs w:val="12"/>
              </w:rPr>
              <w:t>8</w:t>
            </w:r>
          </w:p>
        </w:tc>
        <w:tc>
          <w:tcPr>
            <w:tcW w:w="140" w:type="pct"/>
            <w:shd w:val="clear" w:color="auto" w:fill="auto"/>
            <w:tcMar>
              <w:left w:w="17" w:type="dxa"/>
              <w:right w:w="17" w:type="dxa"/>
            </w:tcMar>
            <w:vAlign w:val="center"/>
          </w:tcPr>
          <w:p w14:paraId="6C3C11BF" w14:textId="77777777" w:rsidR="001C56BD" w:rsidRPr="00305460" w:rsidRDefault="001C56BD" w:rsidP="008A5C11">
            <w:pPr>
              <w:jc w:val="center"/>
              <w:rPr>
                <w:bCs/>
                <w:sz w:val="12"/>
                <w:szCs w:val="12"/>
              </w:rPr>
            </w:pPr>
            <w:r w:rsidRPr="00305460">
              <w:rPr>
                <w:bCs/>
                <w:sz w:val="12"/>
                <w:szCs w:val="12"/>
              </w:rPr>
              <w:t>9</w:t>
            </w:r>
          </w:p>
        </w:tc>
        <w:tc>
          <w:tcPr>
            <w:tcW w:w="140" w:type="pct"/>
            <w:shd w:val="clear" w:color="auto" w:fill="auto"/>
            <w:tcMar>
              <w:left w:w="17" w:type="dxa"/>
              <w:right w:w="17" w:type="dxa"/>
            </w:tcMar>
            <w:vAlign w:val="center"/>
          </w:tcPr>
          <w:p w14:paraId="5781BBF4" w14:textId="77777777" w:rsidR="001C56BD" w:rsidRPr="00305460" w:rsidRDefault="001C56BD" w:rsidP="008A5C11">
            <w:pPr>
              <w:jc w:val="center"/>
              <w:rPr>
                <w:bCs/>
                <w:sz w:val="12"/>
                <w:szCs w:val="12"/>
              </w:rPr>
            </w:pPr>
            <w:r w:rsidRPr="00305460">
              <w:rPr>
                <w:bCs/>
                <w:sz w:val="12"/>
                <w:szCs w:val="12"/>
              </w:rPr>
              <w:t>10</w:t>
            </w:r>
          </w:p>
        </w:tc>
        <w:tc>
          <w:tcPr>
            <w:tcW w:w="239" w:type="pct"/>
            <w:gridSpan w:val="3"/>
            <w:shd w:val="clear" w:color="auto" w:fill="auto"/>
            <w:tcMar>
              <w:left w:w="17" w:type="dxa"/>
              <w:right w:w="17" w:type="dxa"/>
            </w:tcMar>
            <w:vAlign w:val="center"/>
          </w:tcPr>
          <w:p w14:paraId="27146B50" w14:textId="77777777" w:rsidR="001C56BD" w:rsidRPr="00305460" w:rsidRDefault="001C56BD" w:rsidP="008A5C11">
            <w:pPr>
              <w:jc w:val="center"/>
              <w:rPr>
                <w:bCs/>
                <w:sz w:val="12"/>
                <w:szCs w:val="12"/>
              </w:rPr>
            </w:pPr>
            <w:r w:rsidRPr="00305460">
              <w:rPr>
                <w:bCs/>
                <w:sz w:val="12"/>
                <w:szCs w:val="12"/>
              </w:rPr>
              <w:t>11</w:t>
            </w:r>
          </w:p>
        </w:tc>
        <w:tc>
          <w:tcPr>
            <w:tcW w:w="196" w:type="pct"/>
            <w:gridSpan w:val="3"/>
            <w:shd w:val="clear" w:color="auto" w:fill="auto"/>
            <w:tcMar>
              <w:left w:w="17" w:type="dxa"/>
              <w:right w:w="17" w:type="dxa"/>
            </w:tcMar>
            <w:vAlign w:val="center"/>
          </w:tcPr>
          <w:p w14:paraId="5565B693" w14:textId="77777777" w:rsidR="001C56BD" w:rsidRPr="00305460" w:rsidRDefault="001C56BD" w:rsidP="008A5C11">
            <w:pPr>
              <w:jc w:val="center"/>
              <w:rPr>
                <w:bCs/>
                <w:sz w:val="12"/>
                <w:szCs w:val="12"/>
              </w:rPr>
            </w:pPr>
            <w:r w:rsidRPr="00305460">
              <w:rPr>
                <w:bCs/>
                <w:sz w:val="12"/>
                <w:szCs w:val="12"/>
              </w:rPr>
              <w:t>12</w:t>
            </w:r>
          </w:p>
        </w:tc>
        <w:tc>
          <w:tcPr>
            <w:tcW w:w="216" w:type="pct"/>
            <w:gridSpan w:val="3"/>
            <w:shd w:val="clear" w:color="auto" w:fill="auto"/>
            <w:tcMar>
              <w:left w:w="17" w:type="dxa"/>
              <w:right w:w="17" w:type="dxa"/>
            </w:tcMar>
            <w:vAlign w:val="center"/>
          </w:tcPr>
          <w:p w14:paraId="3A1A0F6D" w14:textId="77777777" w:rsidR="001C56BD" w:rsidRPr="00305460" w:rsidRDefault="001C56BD" w:rsidP="008A5C11">
            <w:pPr>
              <w:jc w:val="center"/>
              <w:rPr>
                <w:bCs/>
                <w:sz w:val="12"/>
                <w:szCs w:val="12"/>
              </w:rPr>
            </w:pPr>
            <w:r w:rsidRPr="00305460">
              <w:rPr>
                <w:bCs/>
                <w:sz w:val="12"/>
                <w:szCs w:val="12"/>
              </w:rPr>
              <w:t>13</w:t>
            </w:r>
          </w:p>
        </w:tc>
        <w:tc>
          <w:tcPr>
            <w:tcW w:w="179" w:type="pct"/>
            <w:gridSpan w:val="2"/>
            <w:shd w:val="clear" w:color="auto" w:fill="auto"/>
            <w:tcMar>
              <w:left w:w="17" w:type="dxa"/>
              <w:right w:w="17" w:type="dxa"/>
            </w:tcMar>
            <w:vAlign w:val="center"/>
          </w:tcPr>
          <w:p w14:paraId="14CEA344" w14:textId="77777777" w:rsidR="001C56BD" w:rsidRPr="00305460" w:rsidRDefault="001C56BD" w:rsidP="008A5C11">
            <w:pPr>
              <w:jc w:val="center"/>
              <w:rPr>
                <w:bCs/>
                <w:sz w:val="12"/>
                <w:szCs w:val="12"/>
              </w:rPr>
            </w:pPr>
            <w:r w:rsidRPr="00305460">
              <w:rPr>
                <w:bCs/>
                <w:sz w:val="12"/>
                <w:szCs w:val="12"/>
              </w:rPr>
              <w:t>14</w:t>
            </w:r>
          </w:p>
        </w:tc>
        <w:tc>
          <w:tcPr>
            <w:tcW w:w="222" w:type="pct"/>
            <w:gridSpan w:val="2"/>
            <w:shd w:val="clear" w:color="auto" w:fill="auto"/>
            <w:tcMar>
              <w:left w:w="17" w:type="dxa"/>
              <w:right w:w="17" w:type="dxa"/>
            </w:tcMar>
            <w:vAlign w:val="center"/>
          </w:tcPr>
          <w:p w14:paraId="565A12F0" w14:textId="77777777" w:rsidR="001C56BD" w:rsidRPr="00305460" w:rsidRDefault="001C56BD" w:rsidP="008A5C11">
            <w:pPr>
              <w:jc w:val="center"/>
              <w:rPr>
                <w:bCs/>
                <w:sz w:val="12"/>
                <w:szCs w:val="12"/>
              </w:rPr>
            </w:pPr>
            <w:r w:rsidRPr="00305460">
              <w:rPr>
                <w:bCs/>
                <w:sz w:val="12"/>
                <w:szCs w:val="12"/>
              </w:rPr>
              <w:t>15</w:t>
            </w:r>
          </w:p>
        </w:tc>
        <w:tc>
          <w:tcPr>
            <w:tcW w:w="213" w:type="pct"/>
            <w:tcMar>
              <w:left w:w="17" w:type="dxa"/>
              <w:right w:w="17" w:type="dxa"/>
            </w:tcMar>
            <w:vAlign w:val="center"/>
          </w:tcPr>
          <w:p w14:paraId="5895539C" w14:textId="77777777" w:rsidR="001C56BD" w:rsidRPr="00305460" w:rsidRDefault="001C56BD" w:rsidP="008A5C11">
            <w:pPr>
              <w:jc w:val="center"/>
              <w:rPr>
                <w:bCs/>
                <w:sz w:val="12"/>
                <w:szCs w:val="12"/>
              </w:rPr>
            </w:pPr>
            <w:r w:rsidRPr="00305460">
              <w:rPr>
                <w:bCs/>
                <w:sz w:val="12"/>
                <w:szCs w:val="12"/>
              </w:rPr>
              <w:t>16</w:t>
            </w:r>
          </w:p>
        </w:tc>
        <w:tc>
          <w:tcPr>
            <w:tcW w:w="218" w:type="pct"/>
            <w:tcMar>
              <w:left w:w="17" w:type="dxa"/>
              <w:right w:w="17" w:type="dxa"/>
            </w:tcMar>
            <w:vAlign w:val="center"/>
          </w:tcPr>
          <w:p w14:paraId="73B55A04" w14:textId="77777777" w:rsidR="001C56BD" w:rsidRPr="00305460" w:rsidRDefault="001C56BD" w:rsidP="008A5C11">
            <w:pPr>
              <w:jc w:val="center"/>
              <w:rPr>
                <w:bCs/>
                <w:sz w:val="12"/>
                <w:szCs w:val="12"/>
              </w:rPr>
            </w:pPr>
            <w:r w:rsidRPr="00305460">
              <w:rPr>
                <w:bCs/>
                <w:sz w:val="12"/>
                <w:szCs w:val="12"/>
              </w:rPr>
              <w:t>17</w:t>
            </w:r>
          </w:p>
        </w:tc>
        <w:tc>
          <w:tcPr>
            <w:tcW w:w="218" w:type="pct"/>
            <w:tcMar>
              <w:left w:w="17" w:type="dxa"/>
              <w:right w:w="17" w:type="dxa"/>
            </w:tcMar>
            <w:vAlign w:val="center"/>
          </w:tcPr>
          <w:p w14:paraId="0F4B3D33" w14:textId="77777777" w:rsidR="001C56BD" w:rsidRPr="00305460" w:rsidRDefault="001C56BD" w:rsidP="008A5C11">
            <w:pPr>
              <w:jc w:val="center"/>
              <w:rPr>
                <w:bCs/>
                <w:sz w:val="12"/>
                <w:szCs w:val="12"/>
              </w:rPr>
            </w:pPr>
            <w:r w:rsidRPr="00305460">
              <w:rPr>
                <w:bCs/>
                <w:sz w:val="12"/>
                <w:szCs w:val="12"/>
              </w:rPr>
              <w:t>18</w:t>
            </w:r>
          </w:p>
        </w:tc>
        <w:tc>
          <w:tcPr>
            <w:tcW w:w="218" w:type="pct"/>
            <w:tcMar>
              <w:left w:w="17" w:type="dxa"/>
              <w:right w:w="17" w:type="dxa"/>
            </w:tcMar>
            <w:vAlign w:val="center"/>
          </w:tcPr>
          <w:p w14:paraId="547776D0" w14:textId="77777777" w:rsidR="001C56BD" w:rsidRPr="00305460" w:rsidRDefault="001C56BD" w:rsidP="008A5C11">
            <w:pPr>
              <w:jc w:val="center"/>
              <w:rPr>
                <w:bCs/>
                <w:sz w:val="12"/>
                <w:szCs w:val="12"/>
              </w:rPr>
            </w:pPr>
            <w:r w:rsidRPr="00305460">
              <w:rPr>
                <w:bCs/>
                <w:sz w:val="12"/>
                <w:szCs w:val="12"/>
              </w:rPr>
              <w:t>19</w:t>
            </w:r>
          </w:p>
        </w:tc>
        <w:tc>
          <w:tcPr>
            <w:tcW w:w="218" w:type="pct"/>
            <w:gridSpan w:val="2"/>
            <w:tcMar>
              <w:left w:w="17" w:type="dxa"/>
              <w:right w:w="17" w:type="dxa"/>
            </w:tcMar>
            <w:vAlign w:val="center"/>
          </w:tcPr>
          <w:p w14:paraId="0615E6A1" w14:textId="77777777" w:rsidR="001C56BD" w:rsidRPr="00305460" w:rsidRDefault="001C56BD" w:rsidP="008A5C11">
            <w:pPr>
              <w:jc w:val="center"/>
              <w:rPr>
                <w:bCs/>
                <w:sz w:val="12"/>
                <w:szCs w:val="12"/>
              </w:rPr>
            </w:pPr>
            <w:r w:rsidRPr="00305460">
              <w:rPr>
                <w:bCs/>
                <w:sz w:val="12"/>
                <w:szCs w:val="12"/>
              </w:rPr>
              <w:t>20</w:t>
            </w:r>
          </w:p>
        </w:tc>
        <w:tc>
          <w:tcPr>
            <w:tcW w:w="172" w:type="pct"/>
            <w:gridSpan w:val="2"/>
            <w:tcMar>
              <w:left w:w="17" w:type="dxa"/>
              <w:right w:w="17" w:type="dxa"/>
            </w:tcMar>
            <w:vAlign w:val="center"/>
          </w:tcPr>
          <w:p w14:paraId="113D5288" w14:textId="77777777" w:rsidR="001C56BD" w:rsidRPr="00305460" w:rsidRDefault="001C56BD" w:rsidP="008A5C11">
            <w:pPr>
              <w:jc w:val="center"/>
              <w:rPr>
                <w:bCs/>
                <w:sz w:val="12"/>
                <w:szCs w:val="12"/>
              </w:rPr>
            </w:pPr>
            <w:r w:rsidRPr="00305460">
              <w:rPr>
                <w:bCs/>
                <w:sz w:val="12"/>
                <w:szCs w:val="12"/>
              </w:rPr>
              <w:t>21</w:t>
            </w:r>
          </w:p>
        </w:tc>
        <w:tc>
          <w:tcPr>
            <w:tcW w:w="219" w:type="pct"/>
            <w:tcMar>
              <w:left w:w="17" w:type="dxa"/>
              <w:right w:w="17" w:type="dxa"/>
            </w:tcMar>
            <w:vAlign w:val="center"/>
          </w:tcPr>
          <w:p w14:paraId="7893ED0A" w14:textId="77777777" w:rsidR="001C56BD" w:rsidRPr="00305460" w:rsidRDefault="001C56BD" w:rsidP="008A5C11">
            <w:pPr>
              <w:jc w:val="center"/>
              <w:rPr>
                <w:bCs/>
                <w:sz w:val="12"/>
                <w:szCs w:val="12"/>
              </w:rPr>
            </w:pPr>
            <w:r w:rsidRPr="00305460">
              <w:rPr>
                <w:bCs/>
                <w:sz w:val="12"/>
                <w:szCs w:val="12"/>
              </w:rPr>
              <w:t>22</w:t>
            </w:r>
          </w:p>
        </w:tc>
        <w:tc>
          <w:tcPr>
            <w:tcW w:w="174" w:type="pct"/>
            <w:tcMar>
              <w:left w:w="17" w:type="dxa"/>
              <w:right w:w="17" w:type="dxa"/>
            </w:tcMar>
            <w:vAlign w:val="center"/>
          </w:tcPr>
          <w:p w14:paraId="5DF99D54" w14:textId="77777777" w:rsidR="001C56BD" w:rsidRPr="00305460" w:rsidRDefault="001C56BD" w:rsidP="008A5C11">
            <w:pPr>
              <w:jc w:val="center"/>
              <w:rPr>
                <w:bCs/>
                <w:sz w:val="12"/>
                <w:szCs w:val="12"/>
              </w:rPr>
            </w:pPr>
            <w:r w:rsidRPr="00305460">
              <w:rPr>
                <w:bCs/>
                <w:sz w:val="12"/>
                <w:szCs w:val="12"/>
              </w:rPr>
              <w:t>23</w:t>
            </w:r>
          </w:p>
        </w:tc>
        <w:tc>
          <w:tcPr>
            <w:tcW w:w="176" w:type="pct"/>
            <w:tcMar>
              <w:left w:w="17" w:type="dxa"/>
              <w:right w:w="17" w:type="dxa"/>
            </w:tcMar>
            <w:vAlign w:val="center"/>
          </w:tcPr>
          <w:p w14:paraId="4C1593BB" w14:textId="77777777" w:rsidR="001C56BD" w:rsidRPr="00305460" w:rsidRDefault="001C56BD" w:rsidP="008A5C11">
            <w:pPr>
              <w:jc w:val="center"/>
              <w:rPr>
                <w:bCs/>
                <w:sz w:val="12"/>
                <w:szCs w:val="12"/>
              </w:rPr>
            </w:pPr>
            <w:r w:rsidRPr="00305460">
              <w:rPr>
                <w:bCs/>
                <w:sz w:val="12"/>
                <w:szCs w:val="12"/>
              </w:rPr>
              <w:t>24</w:t>
            </w:r>
          </w:p>
        </w:tc>
      </w:tr>
      <w:tr w:rsidR="001C56BD" w:rsidRPr="00305460" w14:paraId="60E3D52B" w14:textId="77777777" w:rsidTr="008A5C11">
        <w:trPr>
          <w:trHeight w:val="897"/>
        </w:trPr>
        <w:tc>
          <w:tcPr>
            <w:tcW w:w="86" w:type="pct"/>
            <w:shd w:val="clear" w:color="auto" w:fill="auto"/>
            <w:tcMar>
              <w:left w:w="17" w:type="dxa"/>
              <w:right w:w="17" w:type="dxa"/>
            </w:tcMar>
            <w:vAlign w:val="center"/>
          </w:tcPr>
          <w:p w14:paraId="5FFF9DD6" w14:textId="77777777" w:rsidR="001C56BD" w:rsidRPr="00305460" w:rsidRDefault="001C56BD" w:rsidP="008A5C11">
            <w:pPr>
              <w:jc w:val="center"/>
              <w:rPr>
                <w:sz w:val="12"/>
                <w:szCs w:val="12"/>
              </w:rPr>
            </w:pPr>
            <w:r w:rsidRPr="00305460">
              <w:rPr>
                <w:sz w:val="12"/>
                <w:szCs w:val="12"/>
              </w:rPr>
              <w:t>3.1.2.</w:t>
            </w:r>
          </w:p>
        </w:tc>
        <w:tc>
          <w:tcPr>
            <w:tcW w:w="295" w:type="pct"/>
            <w:shd w:val="clear" w:color="auto" w:fill="auto"/>
            <w:tcMar>
              <w:left w:w="17" w:type="dxa"/>
              <w:right w:w="17" w:type="dxa"/>
            </w:tcMar>
            <w:vAlign w:val="center"/>
          </w:tcPr>
          <w:p w14:paraId="6C56F9D3" w14:textId="77777777" w:rsidR="001C56BD" w:rsidRPr="00305460" w:rsidRDefault="001C56BD" w:rsidP="008A5C11">
            <w:pPr>
              <w:rPr>
                <w:sz w:val="12"/>
                <w:szCs w:val="12"/>
              </w:rPr>
            </w:pPr>
            <w:r w:rsidRPr="00305460">
              <w:rPr>
                <w:sz w:val="12"/>
                <w:szCs w:val="12"/>
              </w:rPr>
              <w:t>Реконструкция тепловой сети с реестровым номером 759665</w:t>
            </w:r>
          </w:p>
        </w:tc>
        <w:tc>
          <w:tcPr>
            <w:tcW w:w="307" w:type="pct"/>
            <w:shd w:val="clear" w:color="000000" w:fill="FFFFFF"/>
            <w:tcMar>
              <w:left w:w="17" w:type="dxa"/>
              <w:right w:w="17" w:type="dxa"/>
            </w:tcMar>
            <w:vAlign w:val="center"/>
          </w:tcPr>
          <w:p w14:paraId="5FBB00BF" w14:textId="77777777" w:rsidR="001C56BD" w:rsidRPr="00305460" w:rsidRDefault="001C56BD" w:rsidP="008A5C11">
            <w:pPr>
              <w:jc w:val="center"/>
              <w:rPr>
                <w:sz w:val="12"/>
                <w:szCs w:val="12"/>
              </w:rPr>
            </w:pPr>
            <w:r w:rsidRPr="00305460">
              <w:rPr>
                <w:color w:val="000000"/>
                <w:sz w:val="12"/>
                <w:szCs w:val="12"/>
              </w:rPr>
              <w:t>Повышение надежности услуг теплоснабжения, повышение энергетической эффективности</w:t>
            </w:r>
          </w:p>
        </w:tc>
        <w:tc>
          <w:tcPr>
            <w:tcW w:w="280" w:type="pct"/>
            <w:shd w:val="clear" w:color="auto" w:fill="auto"/>
            <w:tcMar>
              <w:left w:w="17" w:type="dxa"/>
              <w:right w:w="17" w:type="dxa"/>
            </w:tcMar>
            <w:vAlign w:val="center"/>
          </w:tcPr>
          <w:p w14:paraId="24188B36" w14:textId="77777777" w:rsidR="001C56BD" w:rsidRPr="00305460" w:rsidRDefault="001C56BD" w:rsidP="008A5C11">
            <w:pPr>
              <w:jc w:val="center"/>
              <w:rPr>
                <w:sz w:val="12"/>
                <w:szCs w:val="12"/>
              </w:rPr>
            </w:pPr>
            <w:r w:rsidRPr="00305460">
              <w:rPr>
                <w:sz w:val="12"/>
                <w:szCs w:val="12"/>
              </w:rPr>
              <w:t>Кемеровский городской округ, Кировский район, ул. Металлистов, от ТК 58</w:t>
            </w:r>
          </w:p>
        </w:tc>
        <w:tc>
          <w:tcPr>
            <w:tcW w:w="289" w:type="pct"/>
            <w:shd w:val="clear" w:color="auto" w:fill="auto"/>
            <w:tcMar>
              <w:left w:w="17" w:type="dxa"/>
              <w:right w:w="17" w:type="dxa"/>
            </w:tcMar>
            <w:vAlign w:val="center"/>
          </w:tcPr>
          <w:p w14:paraId="5CA158B4" w14:textId="77777777" w:rsidR="001C56BD" w:rsidRPr="00305460" w:rsidRDefault="001C56BD" w:rsidP="008A5C11">
            <w:pPr>
              <w:jc w:val="center"/>
              <w:rPr>
                <w:sz w:val="12"/>
                <w:szCs w:val="12"/>
              </w:rPr>
            </w:pPr>
            <w:r w:rsidRPr="00305460">
              <w:rPr>
                <w:color w:val="000000"/>
                <w:sz w:val="12"/>
                <w:szCs w:val="12"/>
              </w:rPr>
              <w:t>Технические характеристики</w:t>
            </w:r>
          </w:p>
        </w:tc>
        <w:tc>
          <w:tcPr>
            <w:tcW w:w="137" w:type="pct"/>
            <w:shd w:val="clear" w:color="auto" w:fill="auto"/>
            <w:tcMar>
              <w:left w:w="17" w:type="dxa"/>
              <w:right w:w="17" w:type="dxa"/>
            </w:tcMar>
            <w:vAlign w:val="center"/>
          </w:tcPr>
          <w:p w14:paraId="34D4D32C" w14:textId="77777777" w:rsidR="001C56BD" w:rsidRPr="00305460" w:rsidRDefault="001C56BD" w:rsidP="008A5C11">
            <w:pPr>
              <w:jc w:val="center"/>
              <w:rPr>
                <w:color w:val="000000"/>
                <w:sz w:val="12"/>
                <w:szCs w:val="12"/>
              </w:rPr>
            </w:pPr>
          </w:p>
        </w:tc>
        <w:tc>
          <w:tcPr>
            <w:tcW w:w="202" w:type="pct"/>
            <w:shd w:val="clear" w:color="auto" w:fill="auto"/>
            <w:tcMar>
              <w:left w:w="17" w:type="dxa"/>
              <w:right w:w="17" w:type="dxa"/>
            </w:tcMar>
            <w:vAlign w:val="center"/>
          </w:tcPr>
          <w:p w14:paraId="63B61A65" w14:textId="77777777" w:rsidR="001C56BD" w:rsidRPr="00305460" w:rsidRDefault="001C56BD" w:rsidP="008A5C11">
            <w:pPr>
              <w:jc w:val="center"/>
              <w:rPr>
                <w:sz w:val="12"/>
                <w:szCs w:val="12"/>
              </w:rPr>
            </w:pPr>
            <w:r w:rsidRPr="00305460">
              <w:rPr>
                <w:sz w:val="12"/>
                <w:szCs w:val="12"/>
              </w:rPr>
              <w:t xml:space="preserve">Канал-кирпич, опоры-хомутовые приварные, запорная арматура - стальная клиновая, антикоррозийная защита-лак БТ, труба-сталь 20, изоляция - мин. маты </w:t>
            </w:r>
          </w:p>
        </w:tc>
        <w:tc>
          <w:tcPr>
            <w:tcW w:w="244" w:type="pct"/>
            <w:shd w:val="clear" w:color="auto" w:fill="auto"/>
            <w:tcMar>
              <w:left w:w="17" w:type="dxa"/>
              <w:right w:w="17" w:type="dxa"/>
            </w:tcMar>
            <w:vAlign w:val="center"/>
          </w:tcPr>
          <w:p w14:paraId="5C1F859B" w14:textId="77777777" w:rsidR="001C56BD" w:rsidRPr="00305460" w:rsidRDefault="001C56BD" w:rsidP="008A5C11">
            <w:pPr>
              <w:jc w:val="center"/>
              <w:rPr>
                <w:sz w:val="12"/>
                <w:szCs w:val="12"/>
              </w:rPr>
            </w:pPr>
            <w:r w:rsidRPr="00305460">
              <w:rPr>
                <w:sz w:val="12"/>
                <w:szCs w:val="12"/>
              </w:rPr>
              <w:t xml:space="preserve">Канал-ж/б лотки, опоры-хомутовые с диэлектрической прокладкой, запорная арматура - кран шаровый, антикоррозийная защита-мастика Вектор 1214, 1025, труба-сталь 09Г2С, изоляция - маты прошивные, </w:t>
            </w:r>
            <w:proofErr w:type="gramStart"/>
            <w:r w:rsidRPr="00305460">
              <w:rPr>
                <w:sz w:val="12"/>
                <w:szCs w:val="12"/>
              </w:rPr>
              <w:t>стеклоплас-тик</w:t>
            </w:r>
            <w:proofErr w:type="gramEnd"/>
            <w:r w:rsidRPr="00305460">
              <w:rPr>
                <w:sz w:val="12"/>
                <w:szCs w:val="12"/>
              </w:rPr>
              <w:t xml:space="preserve">  </w:t>
            </w:r>
          </w:p>
        </w:tc>
        <w:tc>
          <w:tcPr>
            <w:tcW w:w="140" w:type="pct"/>
            <w:shd w:val="clear" w:color="auto" w:fill="auto"/>
            <w:tcMar>
              <w:left w:w="17" w:type="dxa"/>
              <w:right w:w="17" w:type="dxa"/>
            </w:tcMar>
            <w:vAlign w:val="center"/>
          </w:tcPr>
          <w:p w14:paraId="4055813F" w14:textId="77777777" w:rsidR="001C56BD" w:rsidRPr="00305460" w:rsidRDefault="001C56BD" w:rsidP="008A5C11">
            <w:pPr>
              <w:jc w:val="center"/>
              <w:rPr>
                <w:sz w:val="12"/>
                <w:szCs w:val="12"/>
              </w:rPr>
            </w:pPr>
            <w:r w:rsidRPr="00305460">
              <w:rPr>
                <w:sz w:val="12"/>
                <w:szCs w:val="12"/>
              </w:rPr>
              <w:t>2026</w:t>
            </w:r>
          </w:p>
        </w:tc>
        <w:tc>
          <w:tcPr>
            <w:tcW w:w="140" w:type="pct"/>
            <w:shd w:val="clear" w:color="auto" w:fill="auto"/>
            <w:tcMar>
              <w:left w:w="17" w:type="dxa"/>
              <w:right w:w="17" w:type="dxa"/>
            </w:tcMar>
            <w:vAlign w:val="center"/>
          </w:tcPr>
          <w:p w14:paraId="2B4C23FB" w14:textId="77777777" w:rsidR="001C56BD" w:rsidRPr="00305460" w:rsidRDefault="001C56BD" w:rsidP="008A5C11">
            <w:pPr>
              <w:jc w:val="center"/>
              <w:rPr>
                <w:sz w:val="12"/>
                <w:szCs w:val="12"/>
              </w:rPr>
            </w:pPr>
            <w:r w:rsidRPr="00305460">
              <w:rPr>
                <w:sz w:val="12"/>
                <w:szCs w:val="12"/>
              </w:rPr>
              <w:t>2027</w:t>
            </w:r>
          </w:p>
        </w:tc>
        <w:tc>
          <w:tcPr>
            <w:tcW w:w="239" w:type="pct"/>
            <w:gridSpan w:val="3"/>
            <w:shd w:val="clear" w:color="auto" w:fill="auto"/>
            <w:tcMar>
              <w:left w:w="17" w:type="dxa"/>
              <w:right w:w="17" w:type="dxa"/>
            </w:tcMar>
            <w:vAlign w:val="center"/>
          </w:tcPr>
          <w:p w14:paraId="230D22B6" w14:textId="77777777" w:rsidR="001C56BD" w:rsidRPr="00305460" w:rsidRDefault="001C56BD" w:rsidP="008A5C11">
            <w:pPr>
              <w:jc w:val="center"/>
              <w:rPr>
                <w:sz w:val="12"/>
                <w:szCs w:val="12"/>
              </w:rPr>
            </w:pPr>
            <w:r w:rsidRPr="00305460">
              <w:rPr>
                <w:sz w:val="12"/>
                <w:szCs w:val="12"/>
              </w:rPr>
              <w:t>13478,194</w:t>
            </w:r>
          </w:p>
        </w:tc>
        <w:tc>
          <w:tcPr>
            <w:tcW w:w="196" w:type="pct"/>
            <w:gridSpan w:val="3"/>
            <w:shd w:val="clear" w:color="auto" w:fill="auto"/>
            <w:tcMar>
              <w:left w:w="17" w:type="dxa"/>
              <w:right w:w="17" w:type="dxa"/>
            </w:tcMar>
            <w:vAlign w:val="center"/>
          </w:tcPr>
          <w:p w14:paraId="49F96161" w14:textId="77777777" w:rsidR="001C56BD" w:rsidRPr="00305460" w:rsidRDefault="001C56BD" w:rsidP="008A5C11">
            <w:pPr>
              <w:jc w:val="center"/>
              <w:rPr>
                <w:sz w:val="12"/>
                <w:szCs w:val="12"/>
              </w:rPr>
            </w:pPr>
            <w:r w:rsidRPr="00305460">
              <w:rPr>
                <w:sz w:val="12"/>
                <w:szCs w:val="12"/>
              </w:rPr>
              <w:t>0,000</w:t>
            </w:r>
          </w:p>
        </w:tc>
        <w:tc>
          <w:tcPr>
            <w:tcW w:w="216" w:type="pct"/>
            <w:gridSpan w:val="3"/>
            <w:shd w:val="clear" w:color="auto" w:fill="auto"/>
            <w:tcMar>
              <w:left w:w="17" w:type="dxa"/>
              <w:right w:w="17" w:type="dxa"/>
            </w:tcMar>
            <w:vAlign w:val="center"/>
          </w:tcPr>
          <w:p w14:paraId="7F19A817" w14:textId="77777777" w:rsidR="001C56BD" w:rsidRPr="00305460" w:rsidRDefault="001C56BD" w:rsidP="008A5C11">
            <w:pPr>
              <w:jc w:val="center"/>
              <w:rPr>
                <w:sz w:val="12"/>
                <w:szCs w:val="12"/>
              </w:rPr>
            </w:pPr>
            <w:r w:rsidRPr="00305460">
              <w:rPr>
                <w:sz w:val="12"/>
                <w:szCs w:val="12"/>
              </w:rPr>
              <w:t>0,000</w:t>
            </w:r>
          </w:p>
        </w:tc>
        <w:tc>
          <w:tcPr>
            <w:tcW w:w="179" w:type="pct"/>
            <w:gridSpan w:val="2"/>
            <w:shd w:val="clear" w:color="auto" w:fill="auto"/>
            <w:tcMar>
              <w:left w:w="17" w:type="dxa"/>
              <w:right w:w="17" w:type="dxa"/>
            </w:tcMar>
            <w:vAlign w:val="center"/>
          </w:tcPr>
          <w:p w14:paraId="1652831A" w14:textId="77777777" w:rsidR="001C56BD" w:rsidRPr="00305460" w:rsidRDefault="001C56BD" w:rsidP="008A5C11">
            <w:pPr>
              <w:jc w:val="center"/>
              <w:rPr>
                <w:sz w:val="12"/>
                <w:szCs w:val="12"/>
              </w:rPr>
            </w:pPr>
            <w:r w:rsidRPr="00305460">
              <w:rPr>
                <w:sz w:val="12"/>
                <w:szCs w:val="12"/>
              </w:rPr>
              <w:t>0,000</w:t>
            </w:r>
          </w:p>
        </w:tc>
        <w:tc>
          <w:tcPr>
            <w:tcW w:w="222" w:type="pct"/>
            <w:gridSpan w:val="2"/>
            <w:shd w:val="clear" w:color="auto" w:fill="auto"/>
            <w:tcMar>
              <w:left w:w="17" w:type="dxa"/>
              <w:right w:w="17" w:type="dxa"/>
            </w:tcMar>
            <w:vAlign w:val="center"/>
          </w:tcPr>
          <w:p w14:paraId="767C42F3" w14:textId="77777777" w:rsidR="001C56BD" w:rsidRPr="00305460" w:rsidRDefault="001C56BD" w:rsidP="008A5C11">
            <w:pPr>
              <w:jc w:val="center"/>
              <w:rPr>
                <w:sz w:val="12"/>
                <w:szCs w:val="12"/>
              </w:rPr>
            </w:pPr>
            <w:r w:rsidRPr="00305460">
              <w:rPr>
                <w:sz w:val="12"/>
                <w:szCs w:val="12"/>
              </w:rPr>
              <w:t>0,000</w:t>
            </w:r>
          </w:p>
        </w:tc>
        <w:tc>
          <w:tcPr>
            <w:tcW w:w="213" w:type="pct"/>
            <w:shd w:val="clear" w:color="auto" w:fill="auto"/>
            <w:tcMar>
              <w:left w:w="17" w:type="dxa"/>
              <w:right w:w="17" w:type="dxa"/>
            </w:tcMar>
            <w:vAlign w:val="center"/>
          </w:tcPr>
          <w:p w14:paraId="1821618F"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53A87966" w14:textId="77777777" w:rsidR="001C56BD" w:rsidRPr="00305460" w:rsidRDefault="001C56BD" w:rsidP="008A5C11">
            <w:pPr>
              <w:jc w:val="center"/>
              <w:rPr>
                <w:sz w:val="12"/>
                <w:szCs w:val="12"/>
              </w:rPr>
            </w:pPr>
            <w:r w:rsidRPr="00305460">
              <w:rPr>
                <w:sz w:val="12"/>
                <w:szCs w:val="12"/>
              </w:rPr>
              <w:t>9261,624</w:t>
            </w:r>
          </w:p>
        </w:tc>
        <w:tc>
          <w:tcPr>
            <w:tcW w:w="218" w:type="pct"/>
            <w:shd w:val="clear" w:color="auto" w:fill="auto"/>
            <w:tcMar>
              <w:left w:w="17" w:type="dxa"/>
              <w:right w:w="17" w:type="dxa"/>
            </w:tcMar>
            <w:vAlign w:val="center"/>
          </w:tcPr>
          <w:p w14:paraId="01461EB7" w14:textId="77777777" w:rsidR="001C56BD" w:rsidRPr="00305460" w:rsidRDefault="001C56BD" w:rsidP="008A5C11">
            <w:pPr>
              <w:jc w:val="center"/>
              <w:rPr>
                <w:sz w:val="12"/>
                <w:szCs w:val="12"/>
              </w:rPr>
            </w:pPr>
            <w:r w:rsidRPr="00305460">
              <w:rPr>
                <w:sz w:val="12"/>
                <w:szCs w:val="12"/>
              </w:rPr>
              <w:t>4216,570</w:t>
            </w:r>
          </w:p>
        </w:tc>
        <w:tc>
          <w:tcPr>
            <w:tcW w:w="218" w:type="pct"/>
            <w:shd w:val="clear" w:color="auto" w:fill="auto"/>
            <w:tcMar>
              <w:left w:w="17" w:type="dxa"/>
              <w:right w:w="17" w:type="dxa"/>
            </w:tcMar>
            <w:vAlign w:val="center"/>
          </w:tcPr>
          <w:p w14:paraId="7A151217" w14:textId="77777777" w:rsidR="001C56BD" w:rsidRPr="00305460" w:rsidRDefault="001C56BD" w:rsidP="008A5C11">
            <w:pPr>
              <w:jc w:val="center"/>
              <w:rPr>
                <w:sz w:val="12"/>
                <w:szCs w:val="12"/>
              </w:rPr>
            </w:pPr>
            <w:r w:rsidRPr="00305460">
              <w:rPr>
                <w:sz w:val="12"/>
                <w:szCs w:val="12"/>
              </w:rPr>
              <w:t>0,000</w:t>
            </w:r>
          </w:p>
        </w:tc>
        <w:tc>
          <w:tcPr>
            <w:tcW w:w="218" w:type="pct"/>
            <w:gridSpan w:val="2"/>
            <w:shd w:val="clear" w:color="auto" w:fill="auto"/>
            <w:tcMar>
              <w:left w:w="17" w:type="dxa"/>
              <w:right w:w="17" w:type="dxa"/>
            </w:tcMar>
            <w:vAlign w:val="center"/>
          </w:tcPr>
          <w:p w14:paraId="156404BB" w14:textId="77777777" w:rsidR="001C56BD" w:rsidRPr="00305460" w:rsidRDefault="001C56BD" w:rsidP="008A5C11">
            <w:pPr>
              <w:jc w:val="center"/>
              <w:rPr>
                <w:sz w:val="12"/>
                <w:szCs w:val="12"/>
              </w:rPr>
            </w:pPr>
            <w:r w:rsidRPr="00305460">
              <w:rPr>
                <w:sz w:val="12"/>
                <w:szCs w:val="12"/>
              </w:rPr>
              <w:t>0,000</w:t>
            </w:r>
          </w:p>
        </w:tc>
        <w:tc>
          <w:tcPr>
            <w:tcW w:w="172" w:type="pct"/>
            <w:gridSpan w:val="2"/>
            <w:shd w:val="clear" w:color="auto" w:fill="auto"/>
            <w:tcMar>
              <w:left w:w="17" w:type="dxa"/>
              <w:right w:w="17" w:type="dxa"/>
            </w:tcMar>
            <w:vAlign w:val="center"/>
          </w:tcPr>
          <w:p w14:paraId="39162910" w14:textId="77777777" w:rsidR="001C56BD" w:rsidRPr="00305460" w:rsidRDefault="001C56BD" w:rsidP="008A5C11">
            <w:pPr>
              <w:jc w:val="center"/>
              <w:rPr>
                <w:sz w:val="12"/>
                <w:szCs w:val="12"/>
              </w:rPr>
            </w:pPr>
            <w:r w:rsidRPr="00305460">
              <w:rPr>
                <w:sz w:val="12"/>
                <w:szCs w:val="12"/>
              </w:rPr>
              <w:t>0,000</w:t>
            </w:r>
          </w:p>
        </w:tc>
        <w:tc>
          <w:tcPr>
            <w:tcW w:w="219" w:type="pct"/>
            <w:shd w:val="clear" w:color="auto" w:fill="auto"/>
            <w:tcMar>
              <w:left w:w="17" w:type="dxa"/>
              <w:right w:w="17" w:type="dxa"/>
            </w:tcMar>
            <w:vAlign w:val="center"/>
          </w:tcPr>
          <w:p w14:paraId="22322E52" w14:textId="77777777" w:rsidR="001C56BD" w:rsidRPr="00305460" w:rsidRDefault="001C56BD" w:rsidP="008A5C11">
            <w:pPr>
              <w:jc w:val="center"/>
              <w:rPr>
                <w:sz w:val="12"/>
                <w:szCs w:val="12"/>
              </w:rPr>
            </w:pPr>
            <w:r w:rsidRPr="00305460">
              <w:rPr>
                <w:sz w:val="12"/>
                <w:szCs w:val="12"/>
              </w:rPr>
              <w:t>0,000</w:t>
            </w:r>
          </w:p>
        </w:tc>
        <w:tc>
          <w:tcPr>
            <w:tcW w:w="174" w:type="pct"/>
            <w:shd w:val="clear" w:color="auto" w:fill="auto"/>
            <w:tcMar>
              <w:left w:w="17" w:type="dxa"/>
              <w:right w:w="17" w:type="dxa"/>
            </w:tcMar>
            <w:vAlign w:val="center"/>
          </w:tcPr>
          <w:p w14:paraId="7A27BBA7" w14:textId="77777777" w:rsidR="001C56BD" w:rsidRPr="00305460" w:rsidRDefault="001C56BD" w:rsidP="008A5C11">
            <w:pPr>
              <w:jc w:val="center"/>
              <w:rPr>
                <w:sz w:val="12"/>
                <w:szCs w:val="12"/>
              </w:rPr>
            </w:pPr>
            <w:r w:rsidRPr="00305460">
              <w:rPr>
                <w:sz w:val="12"/>
                <w:szCs w:val="12"/>
              </w:rPr>
              <w:t>0,000</w:t>
            </w:r>
          </w:p>
        </w:tc>
        <w:tc>
          <w:tcPr>
            <w:tcW w:w="176" w:type="pct"/>
            <w:shd w:val="clear" w:color="auto" w:fill="auto"/>
            <w:tcMar>
              <w:left w:w="17" w:type="dxa"/>
              <w:right w:w="17" w:type="dxa"/>
            </w:tcMar>
            <w:vAlign w:val="center"/>
          </w:tcPr>
          <w:p w14:paraId="6156FAE4" w14:textId="77777777" w:rsidR="001C56BD" w:rsidRPr="00305460" w:rsidRDefault="001C56BD" w:rsidP="008A5C11">
            <w:pPr>
              <w:jc w:val="center"/>
              <w:rPr>
                <w:sz w:val="12"/>
                <w:szCs w:val="12"/>
              </w:rPr>
            </w:pPr>
            <w:r w:rsidRPr="00305460">
              <w:rPr>
                <w:sz w:val="12"/>
                <w:szCs w:val="12"/>
              </w:rPr>
              <w:t>0,000</w:t>
            </w:r>
          </w:p>
        </w:tc>
      </w:tr>
      <w:tr w:rsidR="001C56BD" w:rsidRPr="00305460" w14:paraId="6153F48F" w14:textId="77777777" w:rsidTr="008A5C11">
        <w:trPr>
          <w:trHeight w:val="897"/>
        </w:trPr>
        <w:tc>
          <w:tcPr>
            <w:tcW w:w="86" w:type="pct"/>
            <w:shd w:val="clear" w:color="auto" w:fill="auto"/>
            <w:tcMar>
              <w:left w:w="17" w:type="dxa"/>
              <w:right w:w="17" w:type="dxa"/>
            </w:tcMar>
            <w:vAlign w:val="center"/>
          </w:tcPr>
          <w:p w14:paraId="1F75B262" w14:textId="77777777" w:rsidR="001C56BD" w:rsidRPr="00305460" w:rsidRDefault="001C56BD" w:rsidP="008A5C11">
            <w:pPr>
              <w:jc w:val="center"/>
              <w:rPr>
                <w:sz w:val="12"/>
                <w:szCs w:val="12"/>
              </w:rPr>
            </w:pPr>
            <w:r w:rsidRPr="00305460">
              <w:rPr>
                <w:sz w:val="12"/>
                <w:szCs w:val="12"/>
              </w:rPr>
              <w:t>3.1.3.</w:t>
            </w:r>
          </w:p>
        </w:tc>
        <w:tc>
          <w:tcPr>
            <w:tcW w:w="295" w:type="pct"/>
            <w:shd w:val="clear" w:color="auto" w:fill="auto"/>
            <w:tcMar>
              <w:left w:w="17" w:type="dxa"/>
              <w:right w:w="17" w:type="dxa"/>
            </w:tcMar>
            <w:vAlign w:val="center"/>
          </w:tcPr>
          <w:p w14:paraId="01491254" w14:textId="77777777" w:rsidR="001C56BD" w:rsidRPr="00305460" w:rsidRDefault="001C56BD" w:rsidP="008A5C11">
            <w:pPr>
              <w:rPr>
                <w:sz w:val="12"/>
                <w:szCs w:val="12"/>
              </w:rPr>
            </w:pPr>
            <w:r w:rsidRPr="00305460">
              <w:rPr>
                <w:sz w:val="12"/>
                <w:szCs w:val="12"/>
              </w:rPr>
              <w:t>Реконструкция тепловой сети с реестровым номером 759602</w:t>
            </w:r>
          </w:p>
        </w:tc>
        <w:tc>
          <w:tcPr>
            <w:tcW w:w="307" w:type="pct"/>
            <w:shd w:val="clear" w:color="000000" w:fill="FFFFFF"/>
            <w:tcMar>
              <w:left w:w="17" w:type="dxa"/>
              <w:right w:w="17" w:type="dxa"/>
            </w:tcMar>
            <w:vAlign w:val="center"/>
          </w:tcPr>
          <w:p w14:paraId="6B50C0E2" w14:textId="77777777" w:rsidR="001C56BD" w:rsidRPr="00305460" w:rsidRDefault="001C56BD" w:rsidP="008A5C11">
            <w:pPr>
              <w:jc w:val="center"/>
              <w:rPr>
                <w:sz w:val="12"/>
                <w:szCs w:val="12"/>
              </w:rPr>
            </w:pPr>
            <w:r w:rsidRPr="00305460">
              <w:rPr>
                <w:color w:val="000000"/>
                <w:sz w:val="12"/>
                <w:szCs w:val="12"/>
              </w:rPr>
              <w:t>Повышение надежности услуг теплоснабжения, повышение энергетической эффективности</w:t>
            </w:r>
          </w:p>
        </w:tc>
        <w:tc>
          <w:tcPr>
            <w:tcW w:w="280" w:type="pct"/>
            <w:shd w:val="clear" w:color="auto" w:fill="auto"/>
            <w:tcMar>
              <w:left w:w="17" w:type="dxa"/>
              <w:right w:w="17" w:type="dxa"/>
            </w:tcMar>
            <w:vAlign w:val="center"/>
          </w:tcPr>
          <w:p w14:paraId="140489ED" w14:textId="77777777" w:rsidR="001C56BD" w:rsidRPr="00305460" w:rsidRDefault="001C56BD" w:rsidP="008A5C11">
            <w:pPr>
              <w:jc w:val="center"/>
              <w:rPr>
                <w:sz w:val="12"/>
                <w:szCs w:val="12"/>
              </w:rPr>
            </w:pPr>
            <w:r w:rsidRPr="00305460">
              <w:rPr>
                <w:sz w:val="12"/>
                <w:szCs w:val="12"/>
              </w:rPr>
              <w:t xml:space="preserve"> Кемеровский городской округ, Кировский район, северо-восточнее пересечения ул. Таежная и ул. Стройгородок, </w:t>
            </w:r>
            <w:proofErr w:type="gramStart"/>
            <w:r w:rsidRPr="00305460">
              <w:rPr>
                <w:sz w:val="12"/>
                <w:szCs w:val="12"/>
              </w:rPr>
              <w:t>теплоснабже-ние</w:t>
            </w:r>
            <w:proofErr w:type="gramEnd"/>
          </w:p>
        </w:tc>
        <w:tc>
          <w:tcPr>
            <w:tcW w:w="289" w:type="pct"/>
            <w:shd w:val="clear" w:color="auto" w:fill="auto"/>
            <w:tcMar>
              <w:left w:w="17" w:type="dxa"/>
              <w:right w:w="17" w:type="dxa"/>
            </w:tcMar>
            <w:vAlign w:val="center"/>
          </w:tcPr>
          <w:p w14:paraId="0D2C16CD" w14:textId="77777777" w:rsidR="001C56BD" w:rsidRPr="00305460" w:rsidRDefault="001C56BD" w:rsidP="008A5C11">
            <w:pPr>
              <w:jc w:val="center"/>
              <w:rPr>
                <w:sz w:val="12"/>
                <w:szCs w:val="12"/>
              </w:rPr>
            </w:pPr>
            <w:r w:rsidRPr="00305460">
              <w:rPr>
                <w:color w:val="000000"/>
                <w:sz w:val="12"/>
                <w:szCs w:val="12"/>
              </w:rPr>
              <w:t>Технические характеристики</w:t>
            </w:r>
          </w:p>
        </w:tc>
        <w:tc>
          <w:tcPr>
            <w:tcW w:w="137" w:type="pct"/>
            <w:shd w:val="clear" w:color="auto" w:fill="auto"/>
            <w:tcMar>
              <w:left w:w="17" w:type="dxa"/>
              <w:right w:w="17" w:type="dxa"/>
            </w:tcMar>
            <w:vAlign w:val="center"/>
          </w:tcPr>
          <w:p w14:paraId="6F7377CF" w14:textId="77777777" w:rsidR="001C56BD" w:rsidRPr="00305460" w:rsidRDefault="001C56BD" w:rsidP="008A5C11">
            <w:pPr>
              <w:jc w:val="center"/>
              <w:rPr>
                <w:color w:val="000000"/>
                <w:sz w:val="12"/>
                <w:szCs w:val="12"/>
              </w:rPr>
            </w:pPr>
          </w:p>
        </w:tc>
        <w:tc>
          <w:tcPr>
            <w:tcW w:w="202" w:type="pct"/>
            <w:shd w:val="clear" w:color="auto" w:fill="auto"/>
            <w:tcMar>
              <w:left w:w="17" w:type="dxa"/>
              <w:right w:w="17" w:type="dxa"/>
            </w:tcMar>
            <w:vAlign w:val="center"/>
          </w:tcPr>
          <w:p w14:paraId="3BC82906" w14:textId="77777777" w:rsidR="001C56BD" w:rsidRPr="00305460" w:rsidRDefault="001C56BD" w:rsidP="008A5C11">
            <w:pPr>
              <w:jc w:val="center"/>
              <w:rPr>
                <w:sz w:val="12"/>
                <w:szCs w:val="12"/>
              </w:rPr>
            </w:pPr>
            <w:r w:rsidRPr="00305460">
              <w:rPr>
                <w:sz w:val="12"/>
                <w:szCs w:val="12"/>
              </w:rPr>
              <w:t xml:space="preserve">Канал-кирпич, опоры-хомутовые приварные, запорная арматура - стальная клиновая, антикоррозийная защита-лак БТ, труба-сталь 20, изоляция - мин. маты </w:t>
            </w:r>
          </w:p>
        </w:tc>
        <w:tc>
          <w:tcPr>
            <w:tcW w:w="244" w:type="pct"/>
            <w:shd w:val="clear" w:color="auto" w:fill="auto"/>
            <w:tcMar>
              <w:left w:w="17" w:type="dxa"/>
              <w:right w:w="17" w:type="dxa"/>
            </w:tcMar>
            <w:vAlign w:val="center"/>
          </w:tcPr>
          <w:p w14:paraId="08DAA985" w14:textId="77777777" w:rsidR="001C56BD" w:rsidRPr="00305460" w:rsidRDefault="001C56BD" w:rsidP="008A5C11">
            <w:pPr>
              <w:jc w:val="center"/>
              <w:rPr>
                <w:sz w:val="12"/>
                <w:szCs w:val="12"/>
              </w:rPr>
            </w:pPr>
            <w:r w:rsidRPr="00305460">
              <w:rPr>
                <w:sz w:val="12"/>
                <w:szCs w:val="12"/>
              </w:rPr>
              <w:t xml:space="preserve">Канал-ж/б лотки, опоры-хомутовые с диэлектрической прокладкой, запорная арматура - кран шаровый, антикоррозийная защита-мастика Вектор 1214, 1025, труба-сталь 09Г2С, изоляция - маты прошивные, </w:t>
            </w:r>
            <w:proofErr w:type="gramStart"/>
            <w:r w:rsidRPr="00305460">
              <w:rPr>
                <w:sz w:val="12"/>
                <w:szCs w:val="12"/>
              </w:rPr>
              <w:t>стеклоплас-тик</w:t>
            </w:r>
            <w:proofErr w:type="gramEnd"/>
            <w:r w:rsidRPr="00305460">
              <w:rPr>
                <w:sz w:val="12"/>
                <w:szCs w:val="12"/>
              </w:rPr>
              <w:t xml:space="preserve">  </w:t>
            </w:r>
          </w:p>
        </w:tc>
        <w:tc>
          <w:tcPr>
            <w:tcW w:w="140" w:type="pct"/>
            <w:shd w:val="clear" w:color="auto" w:fill="auto"/>
            <w:tcMar>
              <w:left w:w="17" w:type="dxa"/>
              <w:right w:w="17" w:type="dxa"/>
            </w:tcMar>
            <w:vAlign w:val="center"/>
          </w:tcPr>
          <w:p w14:paraId="47A5FABB" w14:textId="77777777" w:rsidR="001C56BD" w:rsidRPr="00305460" w:rsidRDefault="001C56BD" w:rsidP="008A5C11">
            <w:pPr>
              <w:jc w:val="center"/>
              <w:rPr>
                <w:sz w:val="12"/>
                <w:szCs w:val="12"/>
              </w:rPr>
            </w:pPr>
            <w:r w:rsidRPr="00305460">
              <w:rPr>
                <w:sz w:val="12"/>
                <w:szCs w:val="12"/>
              </w:rPr>
              <w:t>2023</w:t>
            </w:r>
          </w:p>
        </w:tc>
        <w:tc>
          <w:tcPr>
            <w:tcW w:w="140" w:type="pct"/>
            <w:shd w:val="clear" w:color="auto" w:fill="auto"/>
            <w:tcMar>
              <w:left w:w="17" w:type="dxa"/>
              <w:right w:w="17" w:type="dxa"/>
            </w:tcMar>
            <w:vAlign w:val="center"/>
          </w:tcPr>
          <w:p w14:paraId="4590A03D" w14:textId="77777777" w:rsidR="001C56BD" w:rsidRPr="00305460" w:rsidRDefault="001C56BD" w:rsidP="008A5C11">
            <w:pPr>
              <w:jc w:val="center"/>
              <w:rPr>
                <w:sz w:val="12"/>
                <w:szCs w:val="12"/>
              </w:rPr>
            </w:pPr>
            <w:r w:rsidRPr="00305460">
              <w:rPr>
                <w:sz w:val="12"/>
                <w:szCs w:val="12"/>
              </w:rPr>
              <w:t>2026</w:t>
            </w:r>
          </w:p>
        </w:tc>
        <w:tc>
          <w:tcPr>
            <w:tcW w:w="239" w:type="pct"/>
            <w:gridSpan w:val="3"/>
            <w:shd w:val="clear" w:color="auto" w:fill="auto"/>
            <w:tcMar>
              <w:left w:w="17" w:type="dxa"/>
              <w:right w:w="17" w:type="dxa"/>
            </w:tcMar>
            <w:vAlign w:val="center"/>
          </w:tcPr>
          <w:p w14:paraId="586028DD" w14:textId="77777777" w:rsidR="001C56BD" w:rsidRPr="00305460" w:rsidRDefault="001C56BD" w:rsidP="008A5C11">
            <w:pPr>
              <w:jc w:val="center"/>
              <w:rPr>
                <w:sz w:val="12"/>
                <w:szCs w:val="12"/>
              </w:rPr>
            </w:pPr>
            <w:r w:rsidRPr="00305460">
              <w:rPr>
                <w:sz w:val="12"/>
                <w:szCs w:val="12"/>
              </w:rPr>
              <w:t>26336,825</w:t>
            </w:r>
          </w:p>
        </w:tc>
        <w:tc>
          <w:tcPr>
            <w:tcW w:w="196" w:type="pct"/>
            <w:gridSpan w:val="3"/>
            <w:shd w:val="clear" w:color="auto" w:fill="auto"/>
            <w:tcMar>
              <w:left w:w="17" w:type="dxa"/>
              <w:right w:w="17" w:type="dxa"/>
            </w:tcMar>
            <w:vAlign w:val="center"/>
          </w:tcPr>
          <w:p w14:paraId="7C0C84EB" w14:textId="77777777" w:rsidR="001C56BD" w:rsidRPr="00305460" w:rsidRDefault="001C56BD" w:rsidP="008A5C11">
            <w:pPr>
              <w:jc w:val="center"/>
              <w:rPr>
                <w:sz w:val="12"/>
                <w:szCs w:val="12"/>
              </w:rPr>
            </w:pPr>
            <w:r w:rsidRPr="00305460">
              <w:rPr>
                <w:sz w:val="12"/>
                <w:szCs w:val="12"/>
              </w:rPr>
              <w:t>0,000</w:t>
            </w:r>
          </w:p>
        </w:tc>
        <w:tc>
          <w:tcPr>
            <w:tcW w:w="216" w:type="pct"/>
            <w:gridSpan w:val="3"/>
            <w:shd w:val="clear" w:color="auto" w:fill="auto"/>
            <w:tcMar>
              <w:left w:w="17" w:type="dxa"/>
              <w:right w:w="17" w:type="dxa"/>
            </w:tcMar>
            <w:vAlign w:val="center"/>
          </w:tcPr>
          <w:p w14:paraId="07541506" w14:textId="77777777" w:rsidR="001C56BD" w:rsidRPr="00305460" w:rsidRDefault="001C56BD" w:rsidP="008A5C11">
            <w:pPr>
              <w:jc w:val="center"/>
              <w:rPr>
                <w:sz w:val="12"/>
                <w:szCs w:val="12"/>
              </w:rPr>
            </w:pPr>
            <w:r w:rsidRPr="00305460">
              <w:rPr>
                <w:sz w:val="12"/>
                <w:szCs w:val="12"/>
              </w:rPr>
              <w:t>0,000</w:t>
            </w:r>
          </w:p>
        </w:tc>
        <w:tc>
          <w:tcPr>
            <w:tcW w:w="179" w:type="pct"/>
            <w:gridSpan w:val="2"/>
            <w:shd w:val="clear" w:color="auto" w:fill="auto"/>
            <w:tcMar>
              <w:left w:w="17" w:type="dxa"/>
              <w:right w:w="17" w:type="dxa"/>
            </w:tcMar>
            <w:vAlign w:val="center"/>
          </w:tcPr>
          <w:p w14:paraId="3FB73F27" w14:textId="77777777" w:rsidR="001C56BD" w:rsidRPr="00305460" w:rsidRDefault="001C56BD" w:rsidP="008A5C11">
            <w:pPr>
              <w:jc w:val="center"/>
              <w:rPr>
                <w:sz w:val="12"/>
                <w:szCs w:val="12"/>
              </w:rPr>
            </w:pPr>
            <w:r w:rsidRPr="00305460">
              <w:rPr>
                <w:sz w:val="12"/>
                <w:szCs w:val="12"/>
              </w:rPr>
              <w:t>7238,412</w:t>
            </w:r>
          </w:p>
        </w:tc>
        <w:tc>
          <w:tcPr>
            <w:tcW w:w="222" w:type="pct"/>
            <w:gridSpan w:val="2"/>
            <w:shd w:val="clear" w:color="auto" w:fill="auto"/>
            <w:tcMar>
              <w:left w:w="17" w:type="dxa"/>
              <w:right w:w="17" w:type="dxa"/>
            </w:tcMar>
            <w:vAlign w:val="center"/>
          </w:tcPr>
          <w:p w14:paraId="73FE88F1" w14:textId="77777777" w:rsidR="001C56BD" w:rsidRPr="00305460" w:rsidRDefault="001C56BD" w:rsidP="008A5C11">
            <w:pPr>
              <w:jc w:val="center"/>
              <w:rPr>
                <w:sz w:val="12"/>
                <w:szCs w:val="12"/>
              </w:rPr>
            </w:pPr>
            <w:r w:rsidRPr="00305460">
              <w:rPr>
                <w:sz w:val="12"/>
                <w:szCs w:val="12"/>
              </w:rPr>
              <w:t>4598,808</w:t>
            </w:r>
          </w:p>
        </w:tc>
        <w:tc>
          <w:tcPr>
            <w:tcW w:w="213" w:type="pct"/>
            <w:shd w:val="clear" w:color="auto" w:fill="auto"/>
            <w:tcMar>
              <w:left w:w="17" w:type="dxa"/>
              <w:right w:w="17" w:type="dxa"/>
            </w:tcMar>
            <w:vAlign w:val="center"/>
          </w:tcPr>
          <w:p w14:paraId="06D87439" w14:textId="77777777" w:rsidR="001C56BD" w:rsidRPr="00305460" w:rsidRDefault="001C56BD" w:rsidP="008A5C11">
            <w:pPr>
              <w:jc w:val="center"/>
              <w:rPr>
                <w:sz w:val="12"/>
                <w:szCs w:val="12"/>
              </w:rPr>
            </w:pPr>
            <w:r w:rsidRPr="00305460">
              <w:rPr>
                <w:sz w:val="12"/>
                <w:szCs w:val="12"/>
              </w:rPr>
              <w:t>4008,468</w:t>
            </w:r>
          </w:p>
        </w:tc>
        <w:tc>
          <w:tcPr>
            <w:tcW w:w="218" w:type="pct"/>
            <w:shd w:val="clear" w:color="auto" w:fill="auto"/>
            <w:tcMar>
              <w:left w:w="17" w:type="dxa"/>
              <w:right w:w="17" w:type="dxa"/>
            </w:tcMar>
            <w:vAlign w:val="center"/>
          </w:tcPr>
          <w:p w14:paraId="38EF6D20" w14:textId="77777777" w:rsidR="001C56BD" w:rsidRPr="00305460" w:rsidRDefault="001C56BD" w:rsidP="008A5C11">
            <w:pPr>
              <w:jc w:val="center"/>
              <w:rPr>
                <w:sz w:val="12"/>
                <w:szCs w:val="12"/>
              </w:rPr>
            </w:pPr>
            <w:r w:rsidRPr="00305460">
              <w:rPr>
                <w:sz w:val="12"/>
                <w:szCs w:val="12"/>
              </w:rPr>
              <w:t>10491,137</w:t>
            </w:r>
          </w:p>
        </w:tc>
        <w:tc>
          <w:tcPr>
            <w:tcW w:w="218" w:type="pct"/>
            <w:shd w:val="clear" w:color="auto" w:fill="auto"/>
            <w:tcMar>
              <w:left w:w="17" w:type="dxa"/>
              <w:right w:w="17" w:type="dxa"/>
            </w:tcMar>
            <w:vAlign w:val="center"/>
          </w:tcPr>
          <w:p w14:paraId="543A23DD"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557EBAD0" w14:textId="77777777" w:rsidR="001C56BD" w:rsidRPr="00305460" w:rsidRDefault="001C56BD" w:rsidP="008A5C11">
            <w:pPr>
              <w:jc w:val="center"/>
              <w:rPr>
                <w:sz w:val="12"/>
                <w:szCs w:val="12"/>
              </w:rPr>
            </w:pPr>
            <w:r w:rsidRPr="00305460">
              <w:rPr>
                <w:sz w:val="12"/>
                <w:szCs w:val="12"/>
              </w:rPr>
              <w:t>0,000</w:t>
            </w:r>
          </w:p>
        </w:tc>
        <w:tc>
          <w:tcPr>
            <w:tcW w:w="218" w:type="pct"/>
            <w:gridSpan w:val="2"/>
            <w:shd w:val="clear" w:color="auto" w:fill="auto"/>
            <w:tcMar>
              <w:left w:w="17" w:type="dxa"/>
              <w:right w:w="17" w:type="dxa"/>
            </w:tcMar>
            <w:vAlign w:val="center"/>
          </w:tcPr>
          <w:p w14:paraId="79D19C1E" w14:textId="77777777" w:rsidR="001C56BD" w:rsidRPr="00305460" w:rsidRDefault="001C56BD" w:rsidP="008A5C11">
            <w:pPr>
              <w:jc w:val="center"/>
              <w:rPr>
                <w:sz w:val="12"/>
                <w:szCs w:val="12"/>
              </w:rPr>
            </w:pPr>
            <w:r w:rsidRPr="00305460">
              <w:rPr>
                <w:sz w:val="12"/>
                <w:szCs w:val="12"/>
              </w:rPr>
              <w:t>0,000</w:t>
            </w:r>
          </w:p>
        </w:tc>
        <w:tc>
          <w:tcPr>
            <w:tcW w:w="172" w:type="pct"/>
            <w:gridSpan w:val="2"/>
            <w:shd w:val="clear" w:color="auto" w:fill="auto"/>
            <w:tcMar>
              <w:left w:w="17" w:type="dxa"/>
              <w:right w:w="17" w:type="dxa"/>
            </w:tcMar>
            <w:vAlign w:val="center"/>
          </w:tcPr>
          <w:p w14:paraId="795F33F0" w14:textId="77777777" w:rsidR="001C56BD" w:rsidRPr="00305460" w:rsidRDefault="001C56BD" w:rsidP="008A5C11">
            <w:pPr>
              <w:jc w:val="center"/>
              <w:rPr>
                <w:sz w:val="12"/>
                <w:szCs w:val="12"/>
              </w:rPr>
            </w:pPr>
            <w:r w:rsidRPr="00305460">
              <w:rPr>
                <w:sz w:val="12"/>
                <w:szCs w:val="12"/>
              </w:rPr>
              <w:t>0,000</w:t>
            </w:r>
          </w:p>
        </w:tc>
        <w:tc>
          <w:tcPr>
            <w:tcW w:w="219" w:type="pct"/>
            <w:shd w:val="clear" w:color="auto" w:fill="auto"/>
            <w:tcMar>
              <w:left w:w="17" w:type="dxa"/>
              <w:right w:w="17" w:type="dxa"/>
            </w:tcMar>
            <w:vAlign w:val="center"/>
          </w:tcPr>
          <w:p w14:paraId="545886EE" w14:textId="77777777" w:rsidR="001C56BD" w:rsidRPr="00305460" w:rsidRDefault="001C56BD" w:rsidP="008A5C11">
            <w:pPr>
              <w:jc w:val="center"/>
              <w:rPr>
                <w:sz w:val="12"/>
                <w:szCs w:val="12"/>
              </w:rPr>
            </w:pPr>
            <w:r w:rsidRPr="00305460">
              <w:rPr>
                <w:sz w:val="12"/>
                <w:szCs w:val="12"/>
              </w:rPr>
              <w:t>0,000</w:t>
            </w:r>
          </w:p>
        </w:tc>
        <w:tc>
          <w:tcPr>
            <w:tcW w:w="174" w:type="pct"/>
            <w:shd w:val="clear" w:color="auto" w:fill="auto"/>
            <w:tcMar>
              <w:left w:w="17" w:type="dxa"/>
              <w:right w:w="17" w:type="dxa"/>
            </w:tcMar>
            <w:vAlign w:val="center"/>
          </w:tcPr>
          <w:p w14:paraId="633D4554" w14:textId="77777777" w:rsidR="001C56BD" w:rsidRPr="00305460" w:rsidRDefault="001C56BD" w:rsidP="008A5C11">
            <w:pPr>
              <w:jc w:val="center"/>
              <w:rPr>
                <w:sz w:val="12"/>
                <w:szCs w:val="12"/>
              </w:rPr>
            </w:pPr>
            <w:r w:rsidRPr="00305460">
              <w:rPr>
                <w:sz w:val="12"/>
                <w:szCs w:val="12"/>
              </w:rPr>
              <w:t>0,000</w:t>
            </w:r>
          </w:p>
        </w:tc>
        <w:tc>
          <w:tcPr>
            <w:tcW w:w="176" w:type="pct"/>
            <w:shd w:val="clear" w:color="auto" w:fill="auto"/>
            <w:tcMar>
              <w:left w:w="17" w:type="dxa"/>
              <w:right w:w="17" w:type="dxa"/>
            </w:tcMar>
            <w:vAlign w:val="center"/>
          </w:tcPr>
          <w:p w14:paraId="4099A4CC" w14:textId="77777777" w:rsidR="001C56BD" w:rsidRPr="00305460" w:rsidRDefault="001C56BD" w:rsidP="008A5C11">
            <w:pPr>
              <w:jc w:val="center"/>
              <w:rPr>
                <w:sz w:val="12"/>
                <w:szCs w:val="12"/>
              </w:rPr>
            </w:pPr>
            <w:r w:rsidRPr="00305460">
              <w:rPr>
                <w:sz w:val="12"/>
                <w:szCs w:val="12"/>
              </w:rPr>
              <w:t>0,000</w:t>
            </w:r>
          </w:p>
        </w:tc>
      </w:tr>
      <w:tr w:rsidR="001C56BD" w:rsidRPr="00305460" w14:paraId="2AEA3688" w14:textId="77777777" w:rsidTr="008A5C11">
        <w:trPr>
          <w:trHeight w:val="897"/>
        </w:trPr>
        <w:tc>
          <w:tcPr>
            <w:tcW w:w="86" w:type="pct"/>
            <w:shd w:val="clear" w:color="auto" w:fill="auto"/>
            <w:tcMar>
              <w:left w:w="17" w:type="dxa"/>
              <w:right w:w="17" w:type="dxa"/>
            </w:tcMar>
            <w:vAlign w:val="center"/>
          </w:tcPr>
          <w:p w14:paraId="6CD9F29B" w14:textId="77777777" w:rsidR="001C56BD" w:rsidRPr="00305460" w:rsidRDefault="001C56BD" w:rsidP="008A5C11">
            <w:pPr>
              <w:jc w:val="center"/>
              <w:rPr>
                <w:sz w:val="12"/>
                <w:szCs w:val="12"/>
              </w:rPr>
            </w:pPr>
            <w:r w:rsidRPr="00305460">
              <w:rPr>
                <w:sz w:val="12"/>
                <w:szCs w:val="12"/>
              </w:rPr>
              <w:t>3.1.4.</w:t>
            </w:r>
          </w:p>
        </w:tc>
        <w:tc>
          <w:tcPr>
            <w:tcW w:w="295" w:type="pct"/>
            <w:shd w:val="clear" w:color="auto" w:fill="auto"/>
            <w:tcMar>
              <w:left w:w="17" w:type="dxa"/>
              <w:right w:w="17" w:type="dxa"/>
            </w:tcMar>
            <w:vAlign w:val="center"/>
          </w:tcPr>
          <w:p w14:paraId="003D0A4A" w14:textId="77777777" w:rsidR="001C56BD" w:rsidRPr="00305460" w:rsidRDefault="001C56BD" w:rsidP="008A5C11">
            <w:pPr>
              <w:rPr>
                <w:sz w:val="12"/>
                <w:szCs w:val="12"/>
              </w:rPr>
            </w:pPr>
            <w:r w:rsidRPr="00305460">
              <w:rPr>
                <w:sz w:val="12"/>
                <w:szCs w:val="12"/>
              </w:rPr>
              <w:t>Реконструкция тепловой сети с реестровым номером 759161</w:t>
            </w:r>
          </w:p>
        </w:tc>
        <w:tc>
          <w:tcPr>
            <w:tcW w:w="307" w:type="pct"/>
            <w:shd w:val="clear" w:color="000000" w:fill="FFFFFF"/>
            <w:tcMar>
              <w:left w:w="17" w:type="dxa"/>
              <w:right w:w="17" w:type="dxa"/>
            </w:tcMar>
            <w:vAlign w:val="center"/>
          </w:tcPr>
          <w:p w14:paraId="40C0749A" w14:textId="77777777" w:rsidR="001C56BD" w:rsidRPr="00305460" w:rsidRDefault="001C56BD" w:rsidP="008A5C11">
            <w:pPr>
              <w:jc w:val="center"/>
              <w:rPr>
                <w:sz w:val="12"/>
                <w:szCs w:val="12"/>
              </w:rPr>
            </w:pPr>
            <w:r w:rsidRPr="00305460">
              <w:rPr>
                <w:color w:val="000000"/>
                <w:sz w:val="12"/>
                <w:szCs w:val="12"/>
              </w:rPr>
              <w:t>Повышение надежности услуг теплоснабжения, повышение энергетической эффективности</w:t>
            </w:r>
          </w:p>
        </w:tc>
        <w:tc>
          <w:tcPr>
            <w:tcW w:w="280" w:type="pct"/>
            <w:shd w:val="clear" w:color="auto" w:fill="auto"/>
            <w:tcMar>
              <w:left w:w="17" w:type="dxa"/>
              <w:right w:w="17" w:type="dxa"/>
            </w:tcMar>
            <w:vAlign w:val="center"/>
          </w:tcPr>
          <w:p w14:paraId="324608DF" w14:textId="77777777" w:rsidR="001C56BD" w:rsidRPr="00305460" w:rsidRDefault="001C56BD" w:rsidP="008A5C11">
            <w:pPr>
              <w:jc w:val="center"/>
              <w:rPr>
                <w:sz w:val="12"/>
                <w:szCs w:val="12"/>
              </w:rPr>
            </w:pPr>
            <w:r w:rsidRPr="00305460">
              <w:rPr>
                <w:sz w:val="12"/>
                <w:szCs w:val="12"/>
              </w:rPr>
              <w:t>Кемеровский городской округ, Кировский район, южнее пересечения ул.</w:t>
            </w:r>
            <w:proofErr w:type="gramStart"/>
            <w:r w:rsidRPr="00305460">
              <w:rPr>
                <w:sz w:val="12"/>
                <w:szCs w:val="12"/>
              </w:rPr>
              <w:t>Инициатив-ная</w:t>
            </w:r>
            <w:proofErr w:type="gramEnd"/>
            <w:r w:rsidRPr="00305460">
              <w:rPr>
                <w:sz w:val="12"/>
                <w:szCs w:val="12"/>
              </w:rPr>
              <w:t>, и ул.Алексан-дрова, теплоснабже-ние</w:t>
            </w:r>
          </w:p>
        </w:tc>
        <w:tc>
          <w:tcPr>
            <w:tcW w:w="289" w:type="pct"/>
            <w:shd w:val="clear" w:color="auto" w:fill="auto"/>
            <w:tcMar>
              <w:left w:w="17" w:type="dxa"/>
              <w:right w:w="17" w:type="dxa"/>
            </w:tcMar>
            <w:vAlign w:val="center"/>
          </w:tcPr>
          <w:p w14:paraId="43CF1B78" w14:textId="77777777" w:rsidR="001C56BD" w:rsidRPr="00305460" w:rsidRDefault="001C56BD" w:rsidP="008A5C11">
            <w:pPr>
              <w:jc w:val="center"/>
              <w:rPr>
                <w:sz w:val="12"/>
                <w:szCs w:val="12"/>
              </w:rPr>
            </w:pPr>
            <w:r w:rsidRPr="00305460">
              <w:rPr>
                <w:color w:val="000000"/>
                <w:sz w:val="12"/>
                <w:szCs w:val="12"/>
              </w:rPr>
              <w:t>Технические характеристики</w:t>
            </w:r>
          </w:p>
        </w:tc>
        <w:tc>
          <w:tcPr>
            <w:tcW w:w="137" w:type="pct"/>
            <w:shd w:val="clear" w:color="auto" w:fill="auto"/>
            <w:tcMar>
              <w:left w:w="17" w:type="dxa"/>
              <w:right w:w="17" w:type="dxa"/>
            </w:tcMar>
            <w:vAlign w:val="center"/>
          </w:tcPr>
          <w:p w14:paraId="7B5D96DE" w14:textId="77777777" w:rsidR="001C56BD" w:rsidRPr="00305460" w:rsidRDefault="001C56BD" w:rsidP="008A5C11">
            <w:pPr>
              <w:jc w:val="center"/>
              <w:rPr>
                <w:color w:val="000000"/>
                <w:sz w:val="12"/>
                <w:szCs w:val="12"/>
              </w:rPr>
            </w:pPr>
          </w:p>
        </w:tc>
        <w:tc>
          <w:tcPr>
            <w:tcW w:w="202" w:type="pct"/>
            <w:shd w:val="clear" w:color="auto" w:fill="auto"/>
            <w:tcMar>
              <w:left w:w="17" w:type="dxa"/>
              <w:right w:w="17" w:type="dxa"/>
            </w:tcMar>
            <w:vAlign w:val="center"/>
          </w:tcPr>
          <w:p w14:paraId="5071BF67" w14:textId="77777777" w:rsidR="001C56BD" w:rsidRPr="00305460" w:rsidRDefault="001C56BD" w:rsidP="008A5C11">
            <w:pPr>
              <w:rPr>
                <w:sz w:val="12"/>
                <w:szCs w:val="12"/>
              </w:rPr>
            </w:pPr>
            <w:r w:rsidRPr="00305460">
              <w:rPr>
                <w:sz w:val="12"/>
                <w:szCs w:val="12"/>
              </w:rPr>
              <w:t xml:space="preserve">Канал-кирпич, опоры-хомутовые приварные, запорная арматура - стальная клиновая, антикоррозийная защита-лак БТ, труба-сталь 20, изоляция - мин. маты </w:t>
            </w:r>
          </w:p>
        </w:tc>
        <w:tc>
          <w:tcPr>
            <w:tcW w:w="244" w:type="pct"/>
            <w:shd w:val="clear" w:color="auto" w:fill="auto"/>
            <w:tcMar>
              <w:left w:w="17" w:type="dxa"/>
              <w:right w:w="17" w:type="dxa"/>
            </w:tcMar>
            <w:vAlign w:val="center"/>
          </w:tcPr>
          <w:p w14:paraId="36C8BCE4" w14:textId="77777777" w:rsidR="001C56BD" w:rsidRPr="00305460" w:rsidRDefault="001C56BD" w:rsidP="008A5C11">
            <w:pPr>
              <w:rPr>
                <w:sz w:val="12"/>
                <w:szCs w:val="12"/>
              </w:rPr>
            </w:pPr>
            <w:r w:rsidRPr="00305460">
              <w:rPr>
                <w:sz w:val="12"/>
                <w:szCs w:val="12"/>
              </w:rPr>
              <w:t xml:space="preserve">Канал-ж/б лотки, опоры-хомутовые с диэлектрической прокладкой, запорная арматура - кран шаровый, антикоррозийная защита-мастика Вектор 1214, 1025, труба-сталь 09Г2С, изоляция - маты прошивные, </w:t>
            </w:r>
            <w:proofErr w:type="gramStart"/>
            <w:r w:rsidRPr="00305460">
              <w:rPr>
                <w:sz w:val="12"/>
                <w:szCs w:val="12"/>
              </w:rPr>
              <w:t>стеклоплас-тик</w:t>
            </w:r>
            <w:proofErr w:type="gramEnd"/>
            <w:r w:rsidRPr="00305460">
              <w:rPr>
                <w:sz w:val="12"/>
                <w:szCs w:val="12"/>
              </w:rPr>
              <w:t xml:space="preserve">  </w:t>
            </w:r>
          </w:p>
        </w:tc>
        <w:tc>
          <w:tcPr>
            <w:tcW w:w="140" w:type="pct"/>
            <w:shd w:val="clear" w:color="auto" w:fill="auto"/>
            <w:tcMar>
              <w:left w:w="17" w:type="dxa"/>
              <w:right w:w="17" w:type="dxa"/>
            </w:tcMar>
            <w:vAlign w:val="center"/>
          </w:tcPr>
          <w:p w14:paraId="4E0354F0" w14:textId="77777777" w:rsidR="001C56BD" w:rsidRPr="00305460" w:rsidRDefault="001C56BD" w:rsidP="008A5C11">
            <w:pPr>
              <w:jc w:val="center"/>
              <w:rPr>
                <w:sz w:val="12"/>
                <w:szCs w:val="12"/>
              </w:rPr>
            </w:pPr>
            <w:r w:rsidRPr="00305460">
              <w:rPr>
                <w:sz w:val="12"/>
                <w:szCs w:val="12"/>
              </w:rPr>
              <w:t>2029</w:t>
            </w:r>
          </w:p>
        </w:tc>
        <w:tc>
          <w:tcPr>
            <w:tcW w:w="140" w:type="pct"/>
            <w:shd w:val="clear" w:color="auto" w:fill="auto"/>
            <w:tcMar>
              <w:left w:w="17" w:type="dxa"/>
              <w:right w:w="17" w:type="dxa"/>
            </w:tcMar>
            <w:vAlign w:val="center"/>
          </w:tcPr>
          <w:p w14:paraId="70DE5A6B" w14:textId="77777777" w:rsidR="001C56BD" w:rsidRPr="00305460" w:rsidRDefault="001C56BD" w:rsidP="008A5C11">
            <w:pPr>
              <w:jc w:val="center"/>
              <w:rPr>
                <w:sz w:val="12"/>
                <w:szCs w:val="12"/>
              </w:rPr>
            </w:pPr>
            <w:r w:rsidRPr="00305460">
              <w:rPr>
                <w:sz w:val="12"/>
                <w:szCs w:val="12"/>
              </w:rPr>
              <w:t>2029</w:t>
            </w:r>
          </w:p>
        </w:tc>
        <w:tc>
          <w:tcPr>
            <w:tcW w:w="239" w:type="pct"/>
            <w:gridSpan w:val="3"/>
            <w:shd w:val="clear" w:color="auto" w:fill="auto"/>
            <w:tcMar>
              <w:left w:w="17" w:type="dxa"/>
              <w:right w:w="17" w:type="dxa"/>
            </w:tcMar>
            <w:vAlign w:val="center"/>
          </w:tcPr>
          <w:p w14:paraId="1D3FB5E8" w14:textId="77777777" w:rsidR="001C56BD" w:rsidRPr="00305460" w:rsidRDefault="001C56BD" w:rsidP="008A5C11">
            <w:pPr>
              <w:jc w:val="center"/>
              <w:rPr>
                <w:sz w:val="12"/>
                <w:szCs w:val="12"/>
              </w:rPr>
            </w:pPr>
            <w:r w:rsidRPr="00305460">
              <w:rPr>
                <w:sz w:val="12"/>
                <w:szCs w:val="12"/>
              </w:rPr>
              <w:t>10061,388</w:t>
            </w:r>
          </w:p>
        </w:tc>
        <w:tc>
          <w:tcPr>
            <w:tcW w:w="196" w:type="pct"/>
            <w:gridSpan w:val="3"/>
            <w:shd w:val="clear" w:color="auto" w:fill="auto"/>
            <w:tcMar>
              <w:left w:w="17" w:type="dxa"/>
              <w:right w:w="17" w:type="dxa"/>
            </w:tcMar>
            <w:vAlign w:val="center"/>
          </w:tcPr>
          <w:p w14:paraId="303242A6" w14:textId="77777777" w:rsidR="001C56BD" w:rsidRPr="00305460" w:rsidRDefault="001C56BD" w:rsidP="008A5C11">
            <w:pPr>
              <w:jc w:val="center"/>
              <w:rPr>
                <w:sz w:val="12"/>
                <w:szCs w:val="12"/>
              </w:rPr>
            </w:pPr>
            <w:r w:rsidRPr="00305460">
              <w:rPr>
                <w:sz w:val="12"/>
                <w:szCs w:val="12"/>
              </w:rPr>
              <w:t>0,000</w:t>
            </w:r>
          </w:p>
        </w:tc>
        <w:tc>
          <w:tcPr>
            <w:tcW w:w="216" w:type="pct"/>
            <w:gridSpan w:val="3"/>
            <w:shd w:val="clear" w:color="auto" w:fill="auto"/>
            <w:tcMar>
              <w:left w:w="17" w:type="dxa"/>
              <w:right w:w="17" w:type="dxa"/>
            </w:tcMar>
            <w:vAlign w:val="center"/>
          </w:tcPr>
          <w:p w14:paraId="1333AB15" w14:textId="77777777" w:rsidR="001C56BD" w:rsidRPr="00305460" w:rsidRDefault="001C56BD" w:rsidP="008A5C11">
            <w:pPr>
              <w:jc w:val="center"/>
              <w:rPr>
                <w:sz w:val="12"/>
                <w:szCs w:val="12"/>
              </w:rPr>
            </w:pPr>
            <w:r w:rsidRPr="00305460">
              <w:rPr>
                <w:sz w:val="12"/>
                <w:szCs w:val="12"/>
              </w:rPr>
              <w:t>0,000</w:t>
            </w:r>
          </w:p>
        </w:tc>
        <w:tc>
          <w:tcPr>
            <w:tcW w:w="179" w:type="pct"/>
            <w:gridSpan w:val="2"/>
            <w:shd w:val="clear" w:color="auto" w:fill="auto"/>
            <w:tcMar>
              <w:left w:w="17" w:type="dxa"/>
              <w:right w:w="17" w:type="dxa"/>
            </w:tcMar>
            <w:vAlign w:val="center"/>
          </w:tcPr>
          <w:p w14:paraId="4036F0C3" w14:textId="77777777" w:rsidR="001C56BD" w:rsidRPr="00305460" w:rsidRDefault="001C56BD" w:rsidP="008A5C11">
            <w:pPr>
              <w:jc w:val="center"/>
              <w:rPr>
                <w:sz w:val="12"/>
                <w:szCs w:val="12"/>
              </w:rPr>
            </w:pPr>
            <w:r w:rsidRPr="00305460">
              <w:rPr>
                <w:sz w:val="12"/>
                <w:szCs w:val="12"/>
              </w:rPr>
              <w:t>0,000</w:t>
            </w:r>
          </w:p>
        </w:tc>
        <w:tc>
          <w:tcPr>
            <w:tcW w:w="222" w:type="pct"/>
            <w:gridSpan w:val="2"/>
            <w:shd w:val="clear" w:color="auto" w:fill="auto"/>
            <w:tcMar>
              <w:left w:w="17" w:type="dxa"/>
              <w:right w:w="17" w:type="dxa"/>
            </w:tcMar>
            <w:vAlign w:val="center"/>
          </w:tcPr>
          <w:p w14:paraId="16BF4228" w14:textId="77777777" w:rsidR="001C56BD" w:rsidRPr="00305460" w:rsidRDefault="001C56BD" w:rsidP="008A5C11">
            <w:pPr>
              <w:jc w:val="center"/>
              <w:rPr>
                <w:sz w:val="12"/>
                <w:szCs w:val="12"/>
              </w:rPr>
            </w:pPr>
            <w:r w:rsidRPr="00305460">
              <w:rPr>
                <w:sz w:val="12"/>
                <w:szCs w:val="12"/>
              </w:rPr>
              <w:t>0,000</w:t>
            </w:r>
          </w:p>
        </w:tc>
        <w:tc>
          <w:tcPr>
            <w:tcW w:w="213" w:type="pct"/>
            <w:shd w:val="clear" w:color="auto" w:fill="auto"/>
            <w:tcMar>
              <w:left w:w="17" w:type="dxa"/>
              <w:right w:w="17" w:type="dxa"/>
            </w:tcMar>
            <w:vAlign w:val="center"/>
          </w:tcPr>
          <w:p w14:paraId="4259BFCA"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081F7843"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3A554794"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74A7DD2B" w14:textId="77777777" w:rsidR="001C56BD" w:rsidRPr="00305460" w:rsidRDefault="001C56BD" w:rsidP="008A5C11">
            <w:pPr>
              <w:jc w:val="center"/>
              <w:rPr>
                <w:sz w:val="12"/>
                <w:szCs w:val="12"/>
              </w:rPr>
            </w:pPr>
            <w:r w:rsidRPr="00305460">
              <w:rPr>
                <w:sz w:val="12"/>
                <w:szCs w:val="12"/>
              </w:rPr>
              <w:t>0,000</w:t>
            </w:r>
          </w:p>
        </w:tc>
        <w:tc>
          <w:tcPr>
            <w:tcW w:w="218" w:type="pct"/>
            <w:gridSpan w:val="2"/>
            <w:shd w:val="clear" w:color="auto" w:fill="auto"/>
            <w:tcMar>
              <w:left w:w="17" w:type="dxa"/>
              <w:right w:w="17" w:type="dxa"/>
            </w:tcMar>
            <w:vAlign w:val="center"/>
          </w:tcPr>
          <w:p w14:paraId="66DCA3BE" w14:textId="77777777" w:rsidR="001C56BD" w:rsidRPr="00305460" w:rsidRDefault="001C56BD" w:rsidP="008A5C11">
            <w:pPr>
              <w:jc w:val="center"/>
              <w:rPr>
                <w:sz w:val="12"/>
                <w:szCs w:val="12"/>
              </w:rPr>
            </w:pPr>
            <w:r w:rsidRPr="00305460">
              <w:rPr>
                <w:sz w:val="12"/>
                <w:szCs w:val="12"/>
              </w:rPr>
              <w:t>10061,388</w:t>
            </w:r>
          </w:p>
        </w:tc>
        <w:tc>
          <w:tcPr>
            <w:tcW w:w="172" w:type="pct"/>
            <w:gridSpan w:val="2"/>
            <w:shd w:val="clear" w:color="auto" w:fill="auto"/>
            <w:tcMar>
              <w:left w:w="17" w:type="dxa"/>
              <w:right w:w="17" w:type="dxa"/>
            </w:tcMar>
            <w:vAlign w:val="center"/>
          </w:tcPr>
          <w:p w14:paraId="3982AA3B" w14:textId="77777777" w:rsidR="001C56BD" w:rsidRPr="00305460" w:rsidRDefault="001C56BD" w:rsidP="008A5C11">
            <w:pPr>
              <w:jc w:val="center"/>
              <w:rPr>
                <w:sz w:val="12"/>
                <w:szCs w:val="12"/>
              </w:rPr>
            </w:pPr>
            <w:r w:rsidRPr="00305460">
              <w:rPr>
                <w:sz w:val="12"/>
                <w:szCs w:val="12"/>
              </w:rPr>
              <w:t>0,000</w:t>
            </w:r>
          </w:p>
        </w:tc>
        <w:tc>
          <w:tcPr>
            <w:tcW w:w="219" w:type="pct"/>
            <w:shd w:val="clear" w:color="auto" w:fill="auto"/>
            <w:tcMar>
              <w:left w:w="17" w:type="dxa"/>
              <w:right w:w="17" w:type="dxa"/>
            </w:tcMar>
            <w:vAlign w:val="center"/>
          </w:tcPr>
          <w:p w14:paraId="64C97D16" w14:textId="77777777" w:rsidR="001C56BD" w:rsidRPr="00305460" w:rsidRDefault="001C56BD" w:rsidP="008A5C11">
            <w:pPr>
              <w:jc w:val="center"/>
              <w:rPr>
                <w:sz w:val="12"/>
                <w:szCs w:val="12"/>
              </w:rPr>
            </w:pPr>
            <w:r w:rsidRPr="00305460">
              <w:rPr>
                <w:sz w:val="12"/>
                <w:szCs w:val="12"/>
              </w:rPr>
              <w:t>0,000</w:t>
            </w:r>
          </w:p>
        </w:tc>
        <w:tc>
          <w:tcPr>
            <w:tcW w:w="174" w:type="pct"/>
            <w:shd w:val="clear" w:color="auto" w:fill="auto"/>
            <w:tcMar>
              <w:left w:w="17" w:type="dxa"/>
              <w:right w:w="17" w:type="dxa"/>
            </w:tcMar>
            <w:vAlign w:val="center"/>
          </w:tcPr>
          <w:p w14:paraId="20D0A529" w14:textId="77777777" w:rsidR="001C56BD" w:rsidRPr="00305460" w:rsidRDefault="001C56BD" w:rsidP="008A5C11">
            <w:pPr>
              <w:jc w:val="center"/>
              <w:rPr>
                <w:sz w:val="12"/>
                <w:szCs w:val="12"/>
              </w:rPr>
            </w:pPr>
            <w:r w:rsidRPr="00305460">
              <w:rPr>
                <w:sz w:val="12"/>
                <w:szCs w:val="12"/>
              </w:rPr>
              <w:t>0,000</w:t>
            </w:r>
          </w:p>
        </w:tc>
        <w:tc>
          <w:tcPr>
            <w:tcW w:w="176" w:type="pct"/>
            <w:shd w:val="clear" w:color="auto" w:fill="auto"/>
            <w:tcMar>
              <w:left w:w="17" w:type="dxa"/>
              <w:right w:w="17" w:type="dxa"/>
            </w:tcMar>
            <w:vAlign w:val="center"/>
          </w:tcPr>
          <w:p w14:paraId="7F5CEC82" w14:textId="77777777" w:rsidR="001C56BD" w:rsidRPr="00305460" w:rsidRDefault="001C56BD" w:rsidP="008A5C11">
            <w:pPr>
              <w:jc w:val="center"/>
              <w:rPr>
                <w:sz w:val="12"/>
                <w:szCs w:val="12"/>
              </w:rPr>
            </w:pPr>
            <w:r w:rsidRPr="00305460">
              <w:rPr>
                <w:sz w:val="12"/>
                <w:szCs w:val="12"/>
              </w:rPr>
              <w:t>0,000</w:t>
            </w:r>
          </w:p>
        </w:tc>
      </w:tr>
      <w:tr w:rsidR="001C56BD" w:rsidRPr="00305460" w14:paraId="348B7FC6" w14:textId="77777777" w:rsidTr="008A5C11">
        <w:trPr>
          <w:trHeight w:val="461"/>
        </w:trPr>
        <w:tc>
          <w:tcPr>
            <w:tcW w:w="86" w:type="pct"/>
            <w:shd w:val="clear" w:color="auto" w:fill="auto"/>
            <w:tcMar>
              <w:left w:w="17" w:type="dxa"/>
              <w:right w:w="17" w:type="dxa"/>
            </w:tcMar>
            <w:vAlign w:val="center"/>
          </w:tcPr>
          <w:p w14:paraId="763ACA42" w14:textId="77777777" w:rsidR="001C56BD" w:rsidRPr="00305460" w:rsidRDefault="001C56BD" w:rsidP="008A5C11">
            <w:pPr>
              <w:jc w:val="center"/>
              <w:rPr>
                <w:bCs/>
                <w:sz w:val="12"/>
                <w:szCs w:val="12"/>
              </w:rPr>
            </w:pPr>
            <w:r w:rsidRPr="00305460">
              <w:rPr>
                <w:bCs/>
                <w:sz w:val="12"/>
                <w:szCs w:val="12"/>
              </w:rPr>
              <w:t>1</w:t>
            </w:r>
          </w:p>
        </w:tc>
        <w:tc>
          <w:tcPr>
            <w:tcW w:w="295" w:type="pct"/>
            <w:shd w:val="clear" w:color="auto" w:fill="auto"/>
            <w:tcMar>
              <w:left w:w="17" w:type="dxa"/>
              <w:right w:w="17" w:type="dxa"/>
            </w:tcMar>
            <w:vAlign w:val="center"/>
          </w:tcPr>
          <w:p w14:paraId="486E316C" w14:textId="77777777" w:rsidR="001C56BD" w:rsidRPr="00305460" w:rsidRDefault="001C56BD" w:rsidP="008A5C11">
            <w:pPr>
              <w:jc w:val="center"/>
              <w:rPr>
                <w:bCs/>
                <w:sz w:val="12"/>
                <w:szCs w:val="12"/>
              </w:rPr>
            </w:pPr>
            <w:r w:rsidRPr="00305460">
              <w:rPr>
                <w:bCs/>
                <w:sz w:val="12"/>
                <w:szCs w:val="12"/>
              </w:rPr>
              <w:t>2</w:t>
            </w:r>
          </w:p>
        </w:tc>
        <w:tc>
          <w:tcPr>
            <w:tcW w:w="307" w:type="pct"/>
            <w:shd w:val="clear" w:color="auto" w:fill="auto"/>
            <w:tcMar>
              <w:left w:w="17" w:type="dxa"/>
              <w:right w:w="17" w:type="dxa"/>
            </w:tcMar>
            <w:vAlign w:val="center"/>
          </w:tcPr>
          <w:p w14:paraId="466AE85B" w14:textId="77777777" w:rsidR="001C56BD" w:rsidRPr="00305460" w:rsidRDefault="001C56BD" w:rsidP="008A5C11">
            <w:pPr>
              <w:jc w:val="center"/>
              <w:rPr>
                <w:bCs/>
                <w:sz w:val="12"/>
                <w:szCs w:val="12"/>
              </w:rPr>
            </w:pPr>
            <w:r w:rsidRPr="00305460">
              <w:rPr>
                <w:bCs/>
                <w:sz w:val="12"/>
                <w:szCs w:val="12"/>
              </w:rPr>
              <w:t>3</w:t>
            </w:r>
          </w:p>
        </w:tc>
        <w:tc>
          <w:tcPr>
            <w:tcW w:w="280" w:type="pct"/>
            <w:shd w:val="clear" w:color="auto" w:fill="auto"/>
            <w:tcMar>
              <w:left w:w="17" w:type="dxa"/>
              <w:right w:w="17" w:type="dxa"/>
            </w:tcMar>
            <w:vAlign w:val="center"/>
          </w:tcPr>
          <w:p w14:paraId="0E60C906" w14:textId="77777777" w:rsidR="001C56BD" w:rsidRPr="00305460" w:rsidRDefault="001C56BD" w:rsidP="008A5C11">
            <w:pPr>
              <w:jc w:val="center"/>
              <w:rPr>
                <w:bCs/>
                <w:sz w:val="12"/>
                <w:szCs w:val="12"/>
              </w:rPr>
            </w:pPr>
            <w:r w:rsidRPr="00305460">
              <w:rPr>
                <w:bCs/>
                <w:sz w:val="12"/>
                <w:szCs w:val="12"/>
              </w:rPr>
              <w:t>4</w:t>
            </w:r>
          </w:p>
        </w:tc>
        <w:tc>
          <w:tcPr>
            <w:tcW w:w="289" w:type="pct"/>
            <w:shd w:val="clear" w:color="auto" w:fill="auto"/>
            <w:tcMar>
              <w:left w:w="17" w:type="dxa"/>
              <w:right w:w="17" w:type="dxa"/>
            </w:tcMar>
            <w:vAlign w:val="center"/>
          </w:tcPr>
          <w:p w14:paraId="320C961D" w14:textId="77777777" w:rsidR="001C56BD" w:rsidRPr="00305460" w:rsidRDefault="001C56BD" w:rsidP="008A5C11">
            <w:pPr>
              <w:jc w:val="center"/>
              <w:rPr>
                <w:bCs/>
                <w:sz w:val="12"/>
                <w:szCs w:val="12"/>
              </w:rPr>
            </w:pPr>
            <w:r w:rsidRPr="00305460">
              <w:rPr>
                <w:bCs/>
                <w:sz w:val="12"/>
                <w:szCs w:val="12"/>
              </w:rPr>
              <w:t>5</w:t>
            </w:r>
          </w:p>
        </w:tc>
        <w:tc>
          <w:tcPr>
            <w:tcW w:w="137" w:type="pct"/>
            <w:shd w:val="clear" w:color="auto" w:fill="auto"/>
            <w:tcMar>
              <w:left w:w="17" w:type="dxa"/>
              <w:right w:w="17" w:type="dxa"/>
            </w:tcMar>
            <w:vAlign w:val="center"/>
          </w:tcPr>
          <w:p w14:paraId="27E7B373" w14:textId="77777777" w:rsidR="001C56BD" w:rsidRPr="00305460" w:rsidRDefault="001C56BD" w:rsidP="008A5C11">
            <w:pPr>
              <w:jc w:val="center"/>
              <w:rPr>
                <w:bCs/>
                <w:sz w:val="12"/>
                <w:szCs w:val="12"/>
              </w:rPr>
            </w:pPr>
            <w:r w:rsidRPr="00305460">
              <w:rPr>
                <w:bCs/>
                <w:sz w:val="12"/>
                <w:szCs w:val="12"/>
              </w:rPr>
              <w:t>6</w:t>
            </w:r>
          </w:p>
        </w:tc>
        <w:tc>
          <w:tcPr>
            <w:tcW w:w="202" w:type="pct"/>
            <w:shd w:val="clear" w:color="auto" w:fill="auto"/>
            <w:tcMar>
              <w:left w:w="17" w:type="dxa"/>
              <w:right w:w="17" w:type="dxa"/>
            </w:tcMar>
            <w:vAlign w:val="center"/>
          </w:tcPr>
          <w:p w14:paraId="7EDBFF3E" w14:textId="77777777" w:rsidR="001C56BD" w:rsidRPr="00305460" w:rsidRDefault="001C56BD" w:rsidP="008A5C11">
            <w:pPr>
              <w:jc w:val="center"/>
              <w:rPr>
                <w:bCs/>
                <w:sz w:val="12"/>
                <w:szCs w:val="12"/>
              </w:rPr>
            </w:pPr>
            <w:r w:rsidRPr="00305460">
              <w:rPr>
                <w:bCs/>
                <w:sz w:val="12"/>
                <w:szCs w:val="12"/>
              </w:rPr>
              <w:t>7</w:t>
            </w:r>
          </w:p>
        </w:tc>
        <w:tc>
          <w:tcPr>
            <w:tcW w:w="244" w:type="pct"/>
            <w:shd w:val="clear" w:color="auto" w:fill="auto"/>
            <w:tcMar>
              <w:left w:w="17" w:type="dxa"/>
              <w:right w:w="17" w:type="dxa"/>
            </w:tcMar>
            <w:vAlign w:val="center"/>
          </w:tcPr>
          <w:p w14:paraId="58DBDDC4" w14:textId="77777777" w:rsidR="001C56BD" w:rsidRPr="00305460" w:rsidRDefault="001C56BD" w:rsidP="008A5C11">
            <w:pPr>
              <w:jc w:val="center"/>
              <w:rPr>
                <w:bCs/>
                <w:sz w:val="12"/>
                <w:szCs w:val="12"/>
              </w:rPr>
            </w:pPr>
            <w:r w:rsidRPr="00305460">
              <w:rPr>
                <w:bCs/>
                <w:sz w:val="12"/>
                <w:szCs w:val="12"/>
              </w:rPr>
              <w:t>8</w:t>
            </w:r>
          </w:p>
        </w:tc>
        <w:tc>
          <w:tcPr>
            <w:tcW w:w="140" w:type="pct"/>
            <w:shd w:val="clear" w:color="auto" w:fill="auto"/>
            <w:tcMar>
              <w:left w:w="17" w:type="dxa"/>
              <w:right w:w="17" w:type="dxa"/>
            </w:tcMar>
            <w:vAlign w:val="center"/>
          </w:tcPr>
          <w:p w14:paraId="05D785F1" w14:textId="77777777" w:rsidR="001C56BD" w:rsidRPr="00305460" w:rsidRDefault="001C56BD" w:rsidP="008A5C11">
            <w:pPr>
              <w:jc w:val="center"/>
              <w:rPr>
                <w:bCs/>
                <w:sz w:val="12"/>
                <w:szCs w:val="12"/>
              </w:rPr>
            </w:pPr>
            <w:r w:rsidRPr="00305460">
              <w:rPr>
                <w:bCs/>
                <w:sz w:val="12"/>
                <w:szCs w:val="12"/>
              </w:rPr>
              <w:t>9</w:t>
            </w:r>
          </w:p>
        </w:tc>
        <w:tc>
          <w:tcPr>
            <w:tcW w:w="140" w:type="pct"/>
            <w:shd w:val="clear" w:color="auto" w:fill="auto"/>
            <w:tcMar>
              <w:left w:w="17" w:type="dxa"/>
              <w:right w:w="17" w:type="dxa"/>
            </w:tcMar>
            <w:vAlign w:val="center"/>
          </w:tcPr>
          <w:p w14:paraId="383A2AF2" w14:textId="77777777" w:rsidR="001C56BD" w:rsidRPr="00305460" w:rsidRDefault="001C56BD" w:rsidP="008A5C11">
            <w:pPr>
              <w:jc w:val="center"/>
              <w:rPr>
                <w:bCs/>
                <w:sz w:val="12"/>
                <w:szCs w:val="12"/>
              </w:rPr>
            </w:pPr>
            <w:r w:rsidRPr="00305460">
              <w:rPr>
                <w:bCs/>
                <w:sz w:val="12"/>
                <w:szCs w:val="12"/>
              </w:rPr>
              <w:t>10</w:t>
            </w:r>
          </w:p>
        </w:tc>
        <w:tc>
          <w:tcPr>
            <w:tcW w:w="239" w:type="pct"/>
            <w:gridSpan w:val="3"/>
            <w:shd w:val="clear" w:color="auto" w:fill="auto"/>
            <w:tcMar>
              <w:left w:w="17" w:type="dxa"/>
              <w:right w:w="17" w:type="dxa"/>
            </w:tcMar>
            <w:vAlign w:val="center"/>
          </w:tcPr>
          <w:p w14:paraId="2A8E48D4" w14:textId="77777777" w:rsidR="001C56BD" w:rsidRPr="00305460" w:rsidRDefault="001C56BD" w:rsidP="008A5C11">
            <w:pPr>
              <w:jc w:val="center"/>
              <w:rPr>
                <w:bCs/>
                <w:sz w:val="12"/>
                <w:szCs w:val="12"/>
              </w:rPr>
            </w:pPr>
            <w:r w:rsidRPr="00305460">
              <w:rPr>
                <w:bCs/>
                <w:sz w:val="12"/>
                <w:szCs w:val="12"/>
              </w:rPr>
              <w:t>11</w:t>
            </w:r>
          </w:p>
        </w:tc>
        <w:tc>
          <w:tcPr>
            <w:tcW w:w="196" w:type="pct"/>
            <w:gridSpan w:val="3"/>
            <w:shd w:val="clear" w:color="auto" w:fill="auto"/>
            <w:tcMar>
              <w:left w:w="17" w:type="dxa"/>
              <w:right w:w="17" w:type="dxa"/>
            </w:tcMar>
            <w:vAlign w:val="center"/>
          </w:tcPr>
          <w:p w14:paraId="2F8CA85C" w14:textId="77777777" w:rsidR="001C56BD" w:rsidRPr="00305460" w:rsidRDefault="001C56BD" w:rsidP="008A5C11">
            <w:pPr>
              <w:jc w:val="center"/>
              <w:rPr>
                <w:bCs/>
                <w:sz w:val="12"/>
                <w:szCs w:val="12"/>
              </w:rPr>
            </w:pPr>
            <w:r w:rsidRPr="00305460">
              <w:rPr>
                <w:bCs/>
                <w:sz w:val="12"/>
                <w:szCs w:val="12"/>
              </w:rPr>
              <w:t>12</w:t>
            </w:r>
          </w:p>
        </w:tc>
        <w:tc>
          <w:tcPr>
            <w:tcW w:w="216" w:type="pct"/>
            <w:gridSpan w:val="3"/>
            <w:shd w:val="clear" w:color="auto" w:fill="auto"/>
            <w:tcMar>
              <w:left w:w="17" w:type="dxa"/>
              <w:right w:w="17" w:type="dxa"/>
            </w:tcMar>
            <w:vAlign w:val="center"/>
          </w:tcPr>
          <w:p w14:paraId="4223A5DE" w14:textId="77777777" w:rsidR="001C56BD" w:rsidRPr="00305460" w:rsidRDefault="001C56BD" w:rsidP="008A5C11">
            <w:pPr>
              <w:jc w:val="center"/>
              <w:rPr>
                <w:bCs/>
                <w:sz w:val="12"/>
                <w:szCs w:val="12"/>
              </w:rPr>
            </w:pPr>
            <w:r w:rsidRPr="00305460">
              <w:rPr>
                <w:bCs/>
                <w:sz w:val="12"/>
                <w:szCs w:val="12"/>
              </w:rPr>
              <w:t>13</w:t>
            </w:r>
          </w:p>
        </w:tc>
        <w:tc>
          <w:tcPr>
            <w:tcW w:w="179" w:type="pct"/>
            <w:gridSpan w:val="2"/>
            <w:shd w:val="clear" w:color="auto" w:fill="auto"/>
            <w:tcMar>
              <w:left w:w="17" w:type="dxa"/>
              <w:right w:w="17" w:type="dxa"/>
            </w:tcMar>
            <w:vAlign w:val="center"/>
          </w:tcPr>
          <w:p w14:paraId="6C9F0452" w14:textId="77777777" w:rsidR="001C56BD" w:rsidRPr="00305460" w:rsidRDefault="001C56BD" w:rsidP="008A5C11">
            <w:pPr>
              <w:jc w:val="center"/>
              <w:rPr>
                <w:bCs/>
                <w:sz w:val="12"/>
                <w:szCs w:val="12"/>
              </w:rPr>
            </w:pPr>
            <w:r w:rsidRPr="00305460">
              <w:rPr>
                <w:bCs/>
                <w:sz w:val="12"/>
                <w:szCs w:val="12"/>
              </w:rPr>
              <w:t>14</w:t>
            </w:r>
          </w:p>
        </w:tc>
        <w:tc>
          <w:tcPr>
            <w:tcW w:w="222" w:type="pct"/>
            <w:gridSpan w:val="2"/>
            <w:shd w:val="clear" w:color="auto" w:fill="auto"/>
            <w:tcMar>
              <w:left w:w="17" w:type="dxa"/>
              <w:right w:w="17" w:type="dxa"/>
            </w:tcMar>
            <w:vAlign w:val="center"/>
          </w:tcPr>
          <w:p w14:paraId="2B75B35A" w14:textId="77777777" w:rsidR="001C56BD" w:rsidRPr="00305460" w:rsidRDefault="001C56BD" w:rsidP="008A5C11">
            <w:pPr>
              <w:jc w:val="center"/>
              <w:rPr>
                <w:bCs/>
                <w:sz w:val="12"/>
                <w:szCs w:val="12"/>
              </w:rPr>
            </w:pPr>
            <w:r w:rsidRPr="00305460">
              <w:rPr>
                <w:bCs/>
                <w:sz w:val="12"/>
                <w:szCs w:val="12"/>
              </w:rPr>
              <w:t>15</w:t>
            </w:r>
          </w:p>
        </w:tc>
        <w:tc>
          <w:tcPr>
            <w:tcW w:w="213" w:type="pct"/>
            <w:tcMar>
              <w:left w:w="17" w:type="dxa"/>
              <w:right w:w="17" w:type="dxa"/>
            </w:tcMar>
            <w:vAlign w:val="center"/>
          </w:tcPr>
          <w:p w14:paraId="5D6E5D62" w14:textId="77777777" w:rsidR="001C56BD" w:rsidRPr="00305460" w:rsidRDefault="001C56BD" w:rsidP="008A5C11">
            <w:pPr>
              <w:jc w:val="center"/>
              <w:rPr>
                <w:bCs/>
                <w:sz w:val="12"/>
                <w:szCs w:val="12"/>
              </w:rPr>
            </w:pPr>
            <w:r w:rsidRPr="00305460">
              <w:rPr>
                <w:bCs/>
                <w:sz w:val="12"/>
                <w:szCs w:val="12"/>
              </w:rPr>
              <w:t>16</w:t>
            </w:r>
          </w:p>
        </w:tc>
        <w:tc>
          <w:tcPr>
            <w:tcW w:w="218" w:type="pct"/>
            <w:tcMar>
              <w:left w:w="17" w:type="dxa"/>
              <w:right w:w="17" w:type="dxa"/>
            </w:tcMar>
            <w:vAlign w:val="center"/>
          </w:tcPr>
          <w:p w14:paraId="6E0162B3" w14:textId="77777777" w:rsidR="001C56BD" w:rsidRPr="00305460" w:rsidRDefault="001C56BD" w:rsidP="008A5C11">
            <w:pPr>
              <w:jc w:val="center"/>
              <w:rPr>
                <w:bCs/>
                <w:sz w:val="12"/>
                <w:szCs w:val="12"/>
              </w:rPr>
            </w:pPr>
            <w:r w:rsidRPr="00305460">
              <w:rPr>
                <w:bCs/>
                <w:sz w:val="12"/>
                <w:szCs w:val="12"/>
              </w:rPr>
              <w:t>17</w:t>
            </w:r>
          </w:p>
        </w:tc>
        <w:tc>
          <w:tcPr>
            <w:tcW w:w="218" w:type="pct"/>
            <w:tcMar>
              <w:left w:w="17" w:type="dxa"/>
              <w:right w:w="17" w:type="dxa"/>
            </w:tcMar>
            <w:vAlign w:val="center"/>
          </w:tcPr>
          <w:p w14:paraId="46344EA9" w14:textId="77777777" w:rsidR="001C56BD" w:rsidRPr="00305460" w:rsidRDefault="001C56BD" w:rsidP="008A5C11">
            <w:pPr>
              <w:jc w:val="center"/>
              <w:rPr>
                <w:bCs/>
                <w:sz w:val="12"/>
                <w:szCs w:val="12"/>
              </w:rPr>
            </w:pPr>
            <w:r w:rsidRPr="00305460">
              <w:rPr>
                <w:bCs/>
                <w:sz w:val="12"/>
                <w:szCs w:val="12"/>
              </w:rPr>
              <w:t>18</w:t>
            </w:r>
          </w:p>
        </w:tc>
        <w:tc>
          <w:tcPr>
            <w:tcW w:w="218" w:type="pct"/>
            <w:tcMar>
              <w:left w:w="17" w:type="dxa"/>
              <w:right w:w="17" w:type="dxa"/>
            </w:tcMar>
            <w:vAlign w:val="center"/>
          </w:tcPr>
          <w:p w14:paraId="5FBA76F2" w14:textId="77777777" w:rsidR="001C56BD" w:rsidRPr="00305460" w:rsidRDefault="001C56BD" w:rsidP="008A5C11">
            <w:pPr>
              <w:jc w:val="center"/>
              <w:rPr>
                <w:bCs/>
                <w:sz w:val="12"/>
                <w:szCs w:val="12"/>
              </w:rPr>
            </w:pPr>
            <w:r w:rsidRPr="00305460">
              <w:rPr>
                <w:bCs/>
                <w:sz w:val="12"/>
                <w:szCs w:val="12"/>
              </w:rPr>
              <w:t>19</w:t>
            </w:r>
          </w:p>
        </w:tc>
        <w:tc>
          <w:tcPr>
            <w:tcW w:w="218" w:type="pct"/>
            <w:gridSpan w:val="2"/>
            <w:tcMar>
              <w:left w:w="17" w:type="dxa"/>
              <w:right w:w="17" w:type="dxa"/>
            </w:tcMar>
            <w:vAlign w:val="center"/>
          </w:tcPr>
          <w:p w14:paraId="0F71FBAE" w14:textId="77777777" w:rsidR="001C56BD" w:rsidRPr="00305460" w:rsidRDefault="001C56BD" w:rsidP="008A5C11">
            <w:pPr>
              <w:jc w:val="center"/>
              <w:rPr>
                <w:bCs/>
                <w:sz w:val="12"/>
                <w:szCs w:val="12"/>
              </w:rPr>
            </w:pPr>
            <w:r w:rsidRPr="00305460">
              <w:rPr>
                <w:bCs/>
                <w:sz w:val="12"/>
                <w:szCs w:val="12"/>
              </w:rPr>
              <w:t>20</w:t>
            </w:r>
          </w:p>
        </w:tc>
        <w:tc>
          <w:tcPr>
            <w:tcW w:w="172" w:type="pct"/>
            <w:gridSpan w:val="2"/>
            <w:tcMar>
              <w:left w:w="17" w:type="dxa"/>
              <w:right w:w="17" w:type="dxa"/>
            </w:tcMar>
            <w:vAlign w:val="center"/>
          </w:tcPr>
          <w:p w14:paraId="22D10CEB" w14:textId="77777777" w:rsidR="001C56BD" w:rsidRPr="00305460" w:rsidRDefault="001C56BD" w:rsidP="008A5C11">
            <w:pPr>
              <w:jc w:val="center"/>
              <w:rPr>
                <w:bCs/>
                <w:sz w:val="12"/>
                <w:szCs w:val="12"/>
              </w:rPr>
            </w:pPr>
            <w:r w:rsidRPr="00305460">
              <w:rPr>
                <w:bCs/>
                <w:sz w:val="12"/>
                <w:szCs w:val="12"/>
              </w:rPr>
              <w:t>21</w:t>
            </w:r>
          </w:p>
        </w:tc>
        <w:tc>
          <w:tcPr>
            <w:tcW w:w="219" w:type="pct"/>
            <w:tcMar>
              <w:left w:w="17" w:type="dxa"/>
              <w:right w:w="17" w:type="dxa"/>
            </w:tcMar>
            <w:vAlign w:val="center"/>
          </w:tcPr>
          <w:p w14:paraId="48E94A85" w14:textId="77777777" w:rsidR="001C56BD" w:rsidRPr="00305460" w:rsidRDefault="001C56BD" w:rsidP="008A5C11">
            <w:pPr>
              <w:jc w:val="center"/>
              <w:rPr>
                <w:bCs/>
                <w:sz w:val="12"/>
                <w:szCs w:val="12"/>
              </w:rPr>
            </w:pPr>
            <w:r w:rsidRPr="00305460">
              <w:rPr>
                <w:bCs/>
                <w:sz w:val="12"/>
                <w:szCs w:val="12"/>
              </w:rPr>
              <w:t>22</w:t>
            </w:r>
          </w:p>
        </w:tc>
        <w:tc>
          <w:tcPr>
            <w:tcW w:w="174" w:type="pct"/>
            <w:tcMar>
              <w:left w:w="17" w:type="dxa"/>
              <w:right w:w="17" w:type="dxa"/>
            </w:tcMar>
            <w:vAlign w:val="center"/>
          </w:tcPr>
          <w:p w14:paraId="38DC9E2B" w14:textId="77777777" w:rsidR="001C56BD" w:rsidRPr="00305460" w:rsidRDefault="001C56BD" w:rsidP="008A5C11">
            <w:pPr>
              <w:jc w:val="center"/>
              <w:rPr>
                <w:bCs/>
                <w:sz w:val="12"/>
                <w:szCs w:val="12"/>
              </w:rPr>
            </w:pPr>
            <w:r w:rsidRPr="00305460">
              <w:rPr>
                <w:bCs/>
                <w:sz w:val="12"/>
                <w:szCs w:val="12"/>
              </w:rPr>
              <w:t>23</w:t>
            </w:r>
          </w:p>
        </w:tc>
        <w:tc>
          <w:tcPr>
            <w:tcW w:w="176" w:type="pct"/>
            <w:tcMar>
              <w:left w:w="17" w:type="dxa"/>
              <w:right w:w="17" w:type="dxa"/>
            </w:tcMar>
            <w:vAlign w:val="center"/>
          </w:tcPr>
          <w:p w14:paraId="02ACA6E6" w14:textId="77777777" w:rsidR="001C56BD" w:rsidRPr="00305460" w:rsidRDefault="001C56BD" w:rsidP="008A5C11">
            <w:pPr>
              <w:jc w:val="center"/>
              <w:rPr>
                <w:bCs/>
                <w:sz w:val="12"/>
                <w:szCs w:val="12"/>
              </w:rPr>
            </w:pPr>
            <w:r w:rsidRPr="00305460">
              <w:rPr>
                <w:bCs/>
                <w:sz w:val="12"/>
                <w:szCs w:val="12"/>
              </w:rPr>
              <w:t>24</w:t>
            </w:r>
          </w:p>
        </w:tc>
      </w:tr>
      <w:tr w:rsidR="001C56BD" w:rsidRPr="00305460" w14:paraId="35D623BD" w14:textId="77777777" w:rsidTr="008A5C11">
        <w:trPr>
          <w:trHeight w:val="897"/>
        </w:trPr>
        <w:tc>
          <w:tcPr>
            <w:tcW w:w="86" w:type="pct"/>
            <w:shd w:val="clear" w:color="auto" w:fill="auto"/>
            <w:tcMar>
              <w:left w:w="17" w:type="dxa"/>
              <w:right w:w="17" w:type="dxa"/>
            </w:tcMar>
            <w:vAlign w:val="center"/>
          </w:tcPr>
          <w:p w14:paraId="66B1ADF0" w14:textId="77777777" w:rsidR="001C56BD" w:rsidRPr="00305460" w:rsidRDefault="001C56BD" w:rsidP="008A5C11">
            <w:pPr>
              <w:jc w:val="center"/>
              <w:rPr>
                <w:sz w:val="12"/>
                <w:szCs w:val="12"/>
              </w:rPr>
            </w:pPr>
            <w:r w:rsidRPr="00305460">
              <w:rPr>
                <w:sz w:val="12"/>
                <w:szCs w:val="12"/>
              </w:rPr>
              <w:t>3.1.5.</w:t>
            </w:r>
          </w:p>
        </w:tc>
        <w:tc>
          <w:tcPr>
            <w:tcW w:w="295" w:type="pct"/>
            <w:shd w:val="clear" w:color="auto" w:fill="auto"/>
            <w:tcMar>
              <w:left w:w="17" w:type="dxa"/>
              <w:right w:w="17" w:type="dxa"/>
            </w:tcMar>
            <w:vAlign w:val="center"/>
          </w:tcPr>
          <w:p w14:paraId="496ACD51" w14:textId="77777777" w:rsidR="001C56BD" w:rsidRPr="00305460" w:rsidRDefault="001C56BD" w:rsidP="008A5C11">
            <w:pPr>
              <w:rPr>
                <w:sz w:val="12"/>
                <w:szCs w:val="12"/>
              </w:rPr>
            </w:pPr>
            <w:r w:rsidRPr="00305460">
              <w:rPr>
                <w:sz w:val="12"/>
                <w:szCs w:val="12"/>
              </w:rPr>
              <w:t>Реконструкция тепловой сети с реестровым номером 733823</w:t>
            </w:r>
          </w:p>
        </w:tc>
        <w:tc>
          <w:tcPr>
            <w:tcW w:w="307" w:type="pct"/>
            <w:shd w:val="clear" w:color="000000" w:fill="FFFFFF"/>
            <w:tcMar>
              <w:left w:w="17" w:type="dxa"/>
              <w:right w:w="17" w:type="dxa"/>
            </w:tcMar>
            <w:vAlign w:val="center"/>
          </w:tcPr>
          <w:p w14:paraId="2153834E" w14:textId="77777777" w:rsidR="001C56BD" w:rsidRPr="00305460" w:rsidRDefault="001C56BD" w:rsidP="008A5C11">
            <w:pPr>
              <w:jc w:val="center"/>
              <w:rPr>
                <w:sz w:val="12"/>
                <w:szCs w:val="12"/>
              </w:rPr>
            </w:pPr>
            <w:r w:rsidRPr="00305460">
              <w:rPr>
                <w:color w:val="000000"/>
                <w:sz w:val="12"/>
                <w:szCs w:val="12"/>
              </w:rPr>
              <w:t>Повышение надежности услуг теплоснабжения, повышение энергетической эффективности</w:t>
            </w:r>
          </w:p>
        </w:tc>
        <w:tc>
          <w:tcPr>
            <w:tcW w:w="280" w:type="pct"/>
            <w:shd w:val="clear" w:color="auto" w:fill="auto"/>
            <w:tcMar>
              <w:left w:w="17" w:type="dxa"/>
              <w:right w:w="17" w:type="dxa"/>
            </w:tcMar>
            <w:vAlign w:val="center"/>
          </w:tcPr>
          <w:p w14:paraId="1BE109E0" w14:textId="77777777" w:rsidR="001C56BD" w:rsidRPr="00305460" w:rsidRDefault="001C56BD" w:rsidP="008A5C11">
            <w:pPr>
              <w:jc w:val="center"/>
              <w:rPr>
                <w:sz w:val="12"/>
                <w:szCs w:val="12"/>
              </w:rPr>
            </w:pPr>
            <w:r w:rsidRPr="00305460">
              <w:rPr>
                <w:sz w:val="12"/>
                <w:szCs w:val="12"/>
              </w:rPr>
              <w:t xml:space="preserve">Кемеровский городской округ, Кировский район, юго-западнее пересечения ул. Ушакова и ул.40 лет Октября, </w:t>
            </w:r>
            <w:proofErr w:type="gramStart"/>
            <w:r w:rsidRPr="00305460">
              <w:rPr>
                <w:sz w:val="12"/>
                <w:szCs w:val="12"/>
              </w:rPr>
              <w:t>теплоснабже-ние</w:t>
            </w:r>
            <w:proofErr w:type="gramEnd"/>
          </w:p>
        </w:tc>
        <w:tc>
          <w:tcPr>
            <w:tcW w:w="289" w:type="pct"/>
            <w:shd w:val="clear" w:color="auto" w:fill="auto"/>
            <w:tcMar>
              <w:left w:w="17" w:type="dxa"/>
              <w:right w:w="17" w:type="dxa"/>
            </w:tcMar>
            <w:vAlign w:val="center"/>
          </w:tcPr>
          <w:p w14:paraId="2344953E" w14:textId="77777777" w:rsidR="001C56BD" w:rsidRPr="00305460" w:rsidRDefault="001C56BD" w:rsidP="008A5C11">
            <w:pPr>
              <w:jc w:val="center"/>
              <w:rPr>
                <w:sz w:val="12"/>
                <w:szCs w:val="12"/>
              </w:rPr>
            </w:pPr>
            <w:r w:rsidRPr="00305460">
              <w:rPr>
                <w:color w:val="000000"/>
                <w:sz w:val="12"/>
                <w:szCs w:val="12"/>
              </w:rPr>
              <w:t>Технические характеристики</w:t>
            </w:r>
          </w:p>
        </w:tc>
        <w:tc>
          <w:tcPr>
            <w:tcW w:w="137" w:type="pct"/>
            <w:shd w:val="clear" w:color="auto" w:fill="auto"/>
            <w:tcMar>
              <w:left w:w="17" w:type="dxa"/>
              <w:right w:w="17" w:type="dxa"/>
            </w:tcMar>
            <w:vAlign w:val="center"/>
          </w:tcPr>
          <w:p w14:paraId="191E2E36" w14:textId="77777777" w:rsidR="001C56BD" w:rsidRPr="00305460" w:rsidRDefault="001C56BD" w:rsidP="008A5C11">
            <w:pPr>
              <w:jc w:val="center"/>
              <w:rPr>
                <w:color w:val="000000"/>
                <w:sz w:val="12"/>
                <w:szCs w:val="12"/>
              </w:rPr>
            </w:pPr>
          </w:p>
        </w:tc>
        <w:tc>
          <w:tcPr>
            <w:tcW w:w="202" w:type="pct"/>
            <w:shd w:val="clear" w:color="auto" w:fill="auto"/>
            <w:tcMar>
              <w:left w:w="17" w:type="dxa"/>
              <w:right w:w="17" w:type="dxa"/>
            </w:tcMar>
            <w:vAlign w:val="center"/>
          </w:tcPr>
          <w:p w14:paraId="35DF9A6B" w14:textId="77777777" w:rsidR="001C56BD" w:rsidRPr="00305460" w:rsidRDefault="001C56BD" w:rsidP="008A5C11">
            <w:pPr>
              <w:jc w:val="center"/>
              <w:rPr>
                <w:sz w:val="12"/>
                <w:szCs w:val="12"/>
              </w:rPr>
            </w:pPr>
            <w:r w:rsidRPr="00305460">
              <w:rPr>
                <w:sz w:val="12"/>
                <w:szCs w:val="12"/>
              </w:rPr>
              <w:t xml:space="preserve">Канал-кирпич, опоры-хомутовые приварные, запорная арматура - стальная клиновая, антикоррозийная защита-лак БТ, труба-сталь 20, изоляция - мин. маты </w:t>
            </w:r>
          </w:p>
        </w:tc>
        <w:tc>
          <w:tcPr>
            <w:tcW w:w="244" w:type="pct"/>
            <w:shd w:val="clear" w:color="auto" w:fill="auto"/>
            <w:tcMar>
              <w:left w:w="17" w:type="dxa"/>
              <w:right w:w="17" w:type="dxa"/>
            </w:tcMar>
            <w:vAlign w:val="center"/>
          </w:tcPr>
          <w:p w14:paraId="5E33DBAD" w14:textId="77777777" w:rsidR="001C56BD" w:rsidRPr="00305460" w:rsidRDefault="001C56BD" w:rsidP="008A5C11">
            <w:pPr>
              <w:jc w:val="center"/>
              <w:rPr>
                <w:sz w:val="12"/>
                <w:szCs w:val="12"/>
              </w:rPr>
            </w:pPr>
            <w:r w:rsidRPr="00305460">
              <w:rPr>
                <w:sz w:val="12"/>
                <w:szCs w:val="12"/>
              </w:rPr>
              <w:t xml:space="preserve">Канал-ж/б лотки, опоры-хомутовые с диэлектрической прокладкой, запорная арматура - кран шаровый, антикоррозийная защита-мастика Вектор 1214, 1025, труба-сталь 09Г2С, изоляция - маты прошивные, </w:t>
            </w:r>
            <w:proofErr w:type="gramStart"/>
            <w:r w:rsidRPr="00305460">
              <w:rPr>
                <w:sz w:val="12"/>
                <w:szCs w:val="12"/>
              </w:rPr>
              <w:t>стеклоплас-тик</w:t>
            </w:r>
            <w:proofErr w:type="gramEnd"/>
            <w:r w:rsidRPr="00305460">
              <w:rPr>
                <w:sz w:val="12"/>
                <w:szCs w:val="12"/>
              </w:rPr>
              <w:t xml:space="preserve">  </w:t>
            </w:r>
          </w:p>
        </w:tc>
        <w:tc>
          <w:tcPr>
            <w:tcW w:w="140" w:type="pct"/>
            <w:shd w:val="clear" w:color="auto" w:fill="auto"/>
            <w:tcMar>
              <w:left w:w="17" w:type="dxa"/>
              <w:right w:w="17" w:type="dxa"/>
            </w:tcMar>
            <w:vAlign w:val="center"/>
          </w:tcPr>
          <w:p w14:paraId="067F6FC4" w14:textId="77777777" w:rsidR="001C56BD" w:rsidRPr="00305460" w:rsidRDefault="001C56BD" w:rsidP="008A5C11">
            <w:pPr>
              <w:jc w:val="center"/>
              <w:rPr>
                <w:sz w:val="12"/>
                <w:szCs w:val="12"/>
              </w:rPr>
            </w:pPr>
            <w:r w:rsidRPr="00305460">
              <w:rPr>
                <w:sz w:val="12"/>
                <w:szCs w:val="12"/>
              </w:rPr>
              <w:t>2025</w:t>
            </w:r>
          </w:p>
        </w:tc>
        <w:tc>
          <w:tcPr>
            <w:tcW w:w="140" w:type="pct"/>
            <w:shd w:val="clear" w:color="auto" w:fill="auto"/>
            <w:tcMar>
              <w:left w:w="17" w:type="dxa"/>
              <w:right w:w="17" w:type="dxa"/>
            </w:tcMar>
            <w:vAlign w:val="center"/>
          </w:tcPr>
          <w:p w14:paraId="61EF659A" w14:textId="77777777" w:rsidR="001C56BD" w:rsidRPr="00305460" w:rsidRDefault="001C56BD" w:rsidP="008A5C11">
            <w:pPr>
              <w:jc w:val="center"/>
              <w:rPr>
                <w:sz w:val="12"/>
                <w:szCs w:val="12"/>
              </w:rPr>
            </w:pPr>
            <w:r w:rsidRPr="00305460">
              <w:rPr>
                <w:sz w:val="12"/>
                <w:szCs w:val="12"/>
              </w:rPr>
              <w:t>2031</w:t>
            </w:r>
          </w:p>
        </w:tc>
        <w:tc>
          <w:tcPr>
            <w:tcW w:w="239" w:type="pct"/>
            <w:gridSpan w:val="3"/>
            <w:shd w:val="clear" w:color="auto" w:fill="auto"/>
            <w:tcMar>
              <w:left w:w="17" w:type="dxa"/>
              <w:right w:w="17" w:type="dxa"/>
            </w:tcMar>
            <w:vAlign w:val="center"/>
          </w:tcPr>
          <w:p w14:paraId="3819B603" w14:textId="77777777" w:rsidR="001C56BD" w:rsidRPr="00305460" w:rsidRDefault="001C56BD" w:rsidP="008A5C11">
            <w:pPr>
              <w:jc w:val="center"/>
              <w:rPr>
                <w:sz w:val="12"/>
                <w:szCs w:val="12"/>
              </w:rPr>
            </w:pPr>
            <w:r w:rsidRPr="00305460">
              <w:rPr>
                <w:sz w:val="12"/>
                <w:szCs w:val="12"/>
              </w:rPr>
              <w:t>51147,200</w:t>
            </w:r>
          </w:p>
        </w:tc>
        <w:tc>
          <w:tcPr>
            <w:tcW w:w="196" w:type="pct"/>
            <w:gridSpan w:val="3"/>
            <w:shd w:val="clear" w:color="auto" w:fill="auto"/>
            <w:tcMar>
              <w:left w:w="17" w:type="dxa"/>
              <w:right w:w="17" w:type="dxa"/>
            </w:tcMar>
            <w:vAlign w:val="center"/>
          </w:tcPr>
          <w:p w14:paraId="4D686E9A" w14:textId="77777777" w:rsidR="001C56BD" w:rsidRPr="00305460" w:rsidRDefault="001C56BD" w:rsidP="008A5C11">
            <w:pPr>
              <w:jc w:val="center"/>
              <w:rPr>
                <w:sz w:val="12"/>
                <w:szCs w:val="12"/>
              </w:rPr>
            </w:pPr>
            <w:r w:rsidRPr="00305460">
              <w:rPr>
                <w:sz w:val="12"/>
                <w:szCs w:val="12"/>
              </w:rPr>
              <w:t>0,000</w:t>
            </w:r>
          </w:p>
        </w:tc>
        <w:tc>
          <w:tcPr>
            <w:tcW w:w="216" w:type="pct"/>
            <w:gridSpan w:val="3"/>
            <w:shd w:val="clear" w:color="auto" w:fill="auto"/>
            <w:tcMar>
              <w:left w:w="17" w:type="dxa"/>
              <w:right w:w="17" w:type="dxa"/>
            </w:tcMar>
            <w:vAlign w:val="center"/>
          </w:tcPr>
          <w:p w14:paraId="3A67D7CC" w14:textId="77777777" w:rsidR="001C56BD" w:rsidRPr="00305460" w:rsidRDefault="001C56BD" w:rsidP="008A5C11">
            <w:pPr>
              <w:jc w:val="center"/>
              <w:rPr>
                <w:sz w:val="12"/>
                <w:szCs w:val="12"/>
              </w:rPr>
            </w:pPr>
            <w:r w:rsidRPr="00305460">
              <w:rPr>
                <w:sz w:val="12"/>
                <w:szCs w:val="12"/>
              </w:rPr>
              <w:t>0,000</w:t>
            </w:r>
          </w:p>
        </w:tc>
        <w:tc>
          <w:tcPr>
            <w:tcW w:w="179" w:type="pct"/>
            <w:gridSpan w:val="2"/>
            <w:shd w:val="clear" w:color="auto" w:fill="auto"/>
            <w:tcMar>
              <w:left w:w="17" w:type="dxa"/>
              <w:right w:w="17" w:type="dxa"/>
            </w:tcMar>
            <w:vAlign w:val="center"/>
          </w:tcPr>
          <w:p w14:paraId="3CCE7C62" w14:textId="77777777" w:rsidR="001C56BD" w:rsidRPr="00305460" w:rsidRDefault="001C56BD" w:rsidP="008A5C11">
            <w:pPr>
              <w:jc w:val="center"/>
              <w:rPr>
                <w:sz w:val="12"/>
                <w:szCs w:val="12"/>
              </w:rPr>
            </w:pPr>
            <w:r w:rsidRPr="00305460">
              <w:rPr>
                <w:sz w:val="12"/>
                <w:szCs w:val="12"/>
              </w:rPr>
              <w:t>0,000</w:t>
            </w:r>
          </w:p>
        </w:tc>
        <w:tc>
          <w:tcPr>
            <w:tcW w:w="222" w:type="pct"/>
            <w:gridSpan w:val="2"/>
            <w:shd w:val="clear" w:color="auto" w:fill="auto"/>
            <w:tcMar>
              <w:left w:w="17" w:type="dxa"/>
              <w:right w:w="17" w:type="dxa"/>
            </w:tcMar>
            <w:vAlign w:val="center"/>
          </w:tcPr>
          <w:p w14:paraId="58869C2F" w14:textId="77777777" w:rsidR="001C56BD" w:rsidRPr="00305460" w:rsidRDefault="001C56BD" w:rsidP="008A5C11">
            <w:pPr>
              <w:jc w:val="center"/>
              <w:rPr>
                <w:sz w:val="12"/>
                <w:szCs w:val="12"/>
              </w:rPr>
            </w:pPr>
            <w:r w:rsidRPr="00305460">
              <w:rPr>
                <w:sz w:val="12"/>
                <w:szCs w:val="12"/>
              </w:rPr>
              <w:t>0,000</w:t>
            </w:r>
          </w:p>
        </w:tc>
        <w:tc>
          <w:tcPr>
            <w:tcW w:w="213" w:type="pct"/>
            <w:shd w:val="clear" w:color="auto" w:fill="auto"/>
            <w:tcMar>
              <w:left w:w="17" w:type="dxa"/>
              <w:right w:w="17" w:type="dxa"/>
            </w:tcMar>
            <w:vAlign w:val="center"/>
          </w:tcPr>
          <w:p w14:paraId="3F229615" w14:textId="77777777" w:rsidR="001C56BD" w:rsidRPr="00305460" w:rsidRDefault="001C56BD" w:rsidP="008A5C11">
            <w:pPr>
              <w:jc w:val="center"/>
              <w:rPr>
                <w:sz w:val="12"/>
                <w:szCs w:val="12"/>
              </w:rPr>
            </w:pPr>
            <w:r w:rsidRPr="00305460">
              <w:rPr>
                <w:sz w:val="12"/>
                <w:szCs w:val="12"/>
              </w:rPr>
              <w:t>2457,960</w:t>
            </w:r>
          </w:p>
        </w:tc>
        <w:tc>
          <w:tcPr>
            <w:tcW w:w="218" w:type="pct"/>
            <w:shd w:val="clear" w:color="auto" w:fill="auto"/>
            <w:tcMar>
              <w:left w:w="17" w:type="dxa"/>
              <w:right w:w="17" w:type="dxa"/>
            </w:tcMar>
            <w:vAlign w:val="center"/>
          </w:tcPr>
          <w:p w14:paraId="2CE489C2"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5685A10E" w14:textId="77777777" w:rsidR="001C56BD" w:rsidRPr="00305460" w:rsidRDefault="001C56BD" w:rsidP="008A5C11">
            <w:pPr>
              <w:jc w:val="center"/>
              <w:rPr>
                <w:sz w:val="12"/>
                <w:szCs w:val="12"/>
              </w:rPr>
            </w:pPr>
            <w:r w:rsidRPr="00305460">
              <w:rPr>
                <w:sz w:val="12"/>
                <w:szCs w:val="12"/>
              </w:rPr>
              <w:t>4062,048</w:t>
            </w:r>
          </w:p>
        </w:tc>
        <w:tc>
          <w:tcPr>
            <w:tcW w:w="218" w:type="pct"/>
            <w:shd w:val="clear" w:color="auto" w:fill="auto"/>
            <w:tcMar>
              <w:left w:w="17" w:type="dxa"/>
              <w:right w:w="17" w:type="dxa"/>
            </w:tcMar>
            <w:vAlign w:val="center"/>
          </w:tcPr>
          <w:p w14:paraId="5F807E29" w14:textId="77777777" w:rsidR="001C56BD" w:rsidRPr="00305460" w:rsidRDefault="001C56BD" w:rsidP="008A5C11">
            <w:pPr>
              <w:jc w:val="center"/>
              <w:rPr>
                <w:sz w:val="12"/>
                <w:szCs w:val="12"/>
              </w:rPr>
            </w:pPr>
            <w:r w:rsidRPr="00305460">
              <w:rPr>
                <w:sz w:val="12"/>
                <w:szCs w:val="12"/>
              </w:rPr>
              <w:t>17274,972</w:t>
            </w:r>
          </w:p>
        </w:tc>
        <w:tc>
          <w:tcPr>
            <w:tcW w:w="218" w:type="pct"/>
            <w:gridSpan w:val="2"/>
            <w:shd w:val="clear" w:color="auto" w:fill="auto"/>
            <w:tcMar>
              <w:left w:w="17" w:type="dxa"/>
              <w:right w:w="17" w:type="dxa"/>
            </w:tcMar>
            <w:vAlign w:val="center"/>
          </w:tcPr>
          <w:p w14:paraId="5F74D032" w14:textId="77777777" w:rsidR="001C56BD" w:rsidRPr="00305460" w:rsidRDefault="001C56BD" w:rsidP="008A5C11">
            <w:pPr>
              <w:jc w:val="center"/>
              <w:rPr>
                <w:sz w:val="12"/>
                <w:szCs w:val="12"/>
              </w:rPr>
            </w:pPr>
            <w:r w:rsidRPr="00305460">
              <w:rPr>
                <w:sz w:val="12"/>
                <w:szCs w:val="12"/>
              </w:rPr>
              <w:t>3236,244</w:t>
            </w:r>
          </w:p>
        </w:tc>
        <w:tc>
          <w:tcPr>
            <w:tcW w:w="172" w:type="pct"/>
            <w:gridSpan w:val="2"/>
            <w:shd w:val="clear" w:color="auto" w:fill="auto"/>
            <w:tcMar>
              <w:left w:w="17" w:type="dxa"/>
              <w:right w:w="17" w:type="dxa"/>
            </w:tcMar>
            <w:vAlign w:val="center"/>
          </w:tcPr>
          <w:p w14:paraId="1F63FE2F" w14:textId="77777777" w:rsidR="001C56BD" w:rsidRPr="00305460" w:rsidRDefault="001C56BD" w:rsidP="008A5C11">
            <w:pPr>
              <w:jc w:val="center"/>
              <w:rPr>
                <w:sz w:val="12"/>
                <w:szCs w:val="12"/>
              </w:rPr>
            </w:pPr>
            <w:r w:rsidRPr="00305460">
              <w:rPr>
                <w:sz w:val="12"/>
                <w:szCs w:val="12"/>
              </w:rPr>
              <w:t>13375,332</w:t>
            </w:r>
          </w:p>
        </w:tc>
        <w:tc>
          <w:tcPr>
            <w:tcW w:w="219" w:type="pct"/>
            <w:shd w:val="clear" w:color="auto" w:fill="auto"/>
            <w:tcMar>
              <w:left w:w="17" w:type="dxa"/>
              <w:right w:w="17" w:type="dxa"/>
            </w:tcMar>
            <w:vAlign w:val="center"/>
          </w:tcPr>
          <w:p w14:paraId="5A1B19C1" w14:textId="77777777" w:rsidR="001C56BD" w:rsidRPr="00305460" w:rsidRDefault="001C56BD" w:rsidP="008A5C11">
            <w:pPr>
              <w:jc w:val="center"/>
              <w:rPr>
                <w:sz w:val="12"/>
                <w:szCs w:val="12"/>
              </w:rPr>
            </w:pPr>
            <w:r w:rsidRPr="00305460">
              <w:rPr>
                <w:sz w:val="12"/>
                <w:szCs w:val="12"/>
              </w:rPr>
              <w:t>10740,644</w:t>
            </w:r>
          </w:p>
        </w:tc>
        <w:tc>
          <w:tcPr>
            <w:tcW w:w="174" w:type="pct"/>
            <w:shd w:val="clear" w:color="auto" w:fill="auto"/>
            <w:tcMar>
              <w:left w:w="17" w:type="dxa"/>
              <w:right w:w="17" w:type="dxa"/>
            </w:tcMar>
            <w:vAlign w:val="center"/>
          </w:tcPr>
          <w:p w14:paraId="5CB7E24B" w14:textId="77777777" w:rsidR="001C56BD" w:rsidRPr="00305460" w:rsidRDefault="001C56BD" w:rsidP="008A5C11">
            <w:pPr>
              <w:jc w:val="center"/>
              <w:rPr>
                <w:sz w:val="12"/>
                <w:szCs w:val="12"/>
              </w:rPr>
            </w:pPr>
            <w:r w:rsidRPr="00305460">
              <w:rPr>
                <w:sz w:val="12"/>
                <w:szCs w:val="12"/>
              </w:rPr>
              <w:t>0,000</w:t>
            </w:r>
          </w:p>
        </w:tc>
        <w:tc>
          <w:tcPr>
            <w:tcW w:w="176" w:type="pct"/>
            <w:shd w:val="clear" w:color="auto" w:fill="auto"/>
            <w:tcMar>
              <w:left w:w="17" w:type="dxa"/>
              <w:right w:w="17" w:type="dxa"/>
            </w:tcMar>
            <w:vAlign w:val="center"/>
          </w:tcPr>
          <w:p w14:paraId="157147A4" w14:textId="77777777" w:rsidR="001C56BD" w:rsidRPr="00305460" w:rsidRDefault="001C56BD" w:rsidP="008A5C11">
            <w:pPr>
              <w:jc w:val="center"/>
              <w:rPr>
                <w:sz w:val="12"/>
                <w:szCs w:val="12"/>
              </w:rPr>
            </w:pPr>
            <w:r w:rsidRPr="00305460">
              <w:rPr>
                <w:sz w:val="12"/>
                <w:szCs w:val="12"/>
              </w:rPr>
              <w:t>0,000</w:t>
            </w:r>
          </w:p>
        </w:tc>
      </w:tr>
      <w:tr w:rsidR="001C56BD" w:rsidRPr="00305460" w14:paraId="4F2C48F5" w14:textId="77777777" w:rsidTr="008A5C11">
        <w:trPr>
          <w:trHeight w:val="897"/>
        </w:trPr>
        <w:tc>
          <w:tcPr>
            <w:tcW w:w="86" w:type="pct"/>
            <w:shd w:val="clear" w:color="auto" w:fill="auto"/>
            <w:tcMar>
              <w:left w:w="17" w:type="dxa"/>
              <w:right w:w="17" w:type="dxa"/>
            </w:tcMar>
            <w:vAlign w:val="center"/>
          </w:tcPr>
          <w:p w14:paraId="7325D63C" w14:textId="77777777" w:rsidR="001C56BD" w:rsidRPr="00305460" w:rsidRDefault="001C56BD" w:rsidP="008A5C11">
            <w:pPr>
              <w:jc w:val="center"/>
              <w:rPr>
                <w:sz w:val="12"/>
                <w:szCs w:val="12"/>
              </w:rPr>
            </w:pPr>
            <w:r w:rsidRPr="00305460">
              <w:rPr>
                <w:sz w:val="12"/>
                <w:szCs w:val="12"/>
              </w:rPr>
              <w:t>3.1.6.</w:t>
            </w:r>
          </w:p>
        </w:tc>
        <w:tc>
          <w:tcPr>
            <w:tcW w:w="295" w:type="pct"/>
            <w:shd w:val="clear" w:color="auto" w:fill="auto"/>
            <w:tcMar>
              <w:left w:w="17" w:type="dxa"/>
              <w:right w:w="17" w:type="dxa"/>
            </w:tcMar>
            <w:vAlign w:val="center"/>
          </w:tcPr>
          <w:p w14:paraId="0D98AE11" w14:textId="77777777" w:rsidR="001C56BD" w:rsidRPr="00305460" w:rsidRDefault="001C56BD" w:rsidP="008A5C11">
            <w:pPr>
              <w:rPr>
                <w:sz w:val="12"/>
                <w:szCs w:val="12"/>
              </w:rPr>
            </w:pPr>
            <w:r w:rsidRPr="00305460">
              <w:rPr>
                <w:sz w:val="12"/>
                <w:szCs w:val="12"/>
              </w:rPr>
              <w:t>Реконструкция тепловой сети с реестровым номером 759070</w:t>
            </w:r>
          </w:p>
        </w:tc>
        <w:tc>
          <w:tcPr>
            <w:tcW w:w="307" w:type="pct"/>
            <w:shd w:val="clear" w:color="000000" w:fill="FFFFFF"/>
            <w:tcMar>
              <w:left w:w="17" w:type="dxa"/>
              <w:right w:w="17" w:type="dxa"/>
            </w:tcMar>
            <w:vAlign w:val="center"/>
          </w:tcPr>
          <w:p w14:paraId="355A75CD" w14:textId="77777777" w:rsidR="001C56BD" w:rsidRPr="00305460" w:rsidRDefault="001C56BD" w:rsidP="008A5C11">
            <w:pPr>
              <w:jc w:val="center"/>
              <w:rPr>
                <w:sz w:val="12"/>
                <w:szCs w:val="12"/>
              </w:rPr>
            </w:pPr>
            <w:r w:rsidRPr="00305460">
              <w:rPr>
                <w:color w:val="000000"/>
                <w:sz w:val="12"/>
                <w:szCs w:val="12"/>
              </w:rPr>
              <w:t>Повышение надежности услуг теплоснабжения, повышение энергетической эффективности</w:t>
            </w:r>
          </w:p>
        </w:tc>
        <w:tc>
          <w:tcPr>
            <w:tcW w:w="280" w:type="pct"/>
            <w:shd w:val="clear" w:color="auto" w:fill="auto"/>
            <w:tcMar>
              <w:left w:w="17" w:type="dxa"/>
              <w:right w:w="17" w:type="dxa"/>
            </w:tcMar>
            <w:vAlign w:val="center"/>
          </w:tcPr>
          <w:p w14:paraId="6A661914" w14:textId="77777777" w:rsidR="001C56BD" w:rsidRPr="00305460" w:rsidRDefault="001C56BD" w:rsidP="008A5C11">
            <w:pPr>
              <w:jc w:val="center"/>
              <w:rPr>
                <w:sz w:val="12"/>
                <w:szCs w:val="12"/>
              </w:rPr>
            </w:pPr>
            <w:r w:rsidRPr="00305460">
              <w:rPr>
                <w:sz w:val="12"/>
                <w:szCs w:val="12"/>
              </w:rPr>
              <w:t>Кемеровский городской округ, Кировский район, ул. Леонова</w:t>
            </w:r>
          </w:p>
        </w:tc>
        <w:tc>
          <w:tcPr>
            <w:tcW w:w="289" w:type="pct"/>
            <w:shd w:val="clear" w:color="auto" w:fill="auto"/>
            <w:tcMar>
              <w:left w:w="17" w:type="dxa"/>
              <w:right w:w="17" w:type="dxa"/>
            </w:tcMar>
            <w:vAlign w:val="center"/>
          </w:tcPr>
          <w:p w14:paraId="69DD0BC6" w14:textId="77777777" w:rsidR="001C56BD" w:rsidRPr="00305460" w:rsidRDefault="001C56BD" w:rsidP="008A5C11">
            <w:pPr>
              <w:jc w:val="center"/>
              <w:rPr>
                <w:sz w:val="12"/>
                <w:szCs w:val="12"/>
              </w:rPr>
            </w:pPr>
            <w:r w:rsidRPr="00305460">
              <w:rPr>
                <w:color w:val="000000"/>
                <w:sz w:val="12"/>
                <w:szCs w:val="12"/>
              </w:rPr>
              <w:t>Технические характеристики</w:t>
            </w:r>
          </w:p>
        </w:tc>
        <w:tc>
          <w:tcPr>
            <w:tcW w:w="137" w:type="pct"/>
            <w:shd w:val="clear" w:color="auto" w:fill="auto"/>
            <w:tcMar>
              <w:left w:w="17" w:type="dxa"/>
              <w:right w:w="17" w:type="dxa"/>
            </w:tcMar>
            <w:vAlign w:val="center"/>
          </w:tcPr>
          <w:p w14:paraId="6019A044" w14:textId="77777777" w:rsidR="001C56BD" w:rsidRPr="00305460" w:rsidRDefault="001C56BD" w:rsidP="008A5C11">
            <w:pPr>
              <w:jc w:val="center"/>
              <w:rPr>
                <w:color w:val="000000"/>
                <w:sz w:val="12"/>
                <w:szCs w:val="12"/>
              </w:rPr>
            </w:pPr>
          </w:p>
        </w:tc>
        <w:tc>
          <w:tcPr>
            <w:tcW w:w="202" w:type="pct"/>
            <w:shd w:val="clear" w:color="auto" w:fill="auto"/>
            <w:tcMar>
              <w:left w:w="17" w:type="dxa"/>
              <w:right w:w="17" w:type="dxa"/>
            </w:tcMar>
            <w:vAlign w:val="center"/>
          </w:tcPr>
          <w:p w14:paraId="52263BC6" w14:textId="77777777" w:rsidR="001C56BD" w:rsidRPr="00305460" w:rsidRDefault="001C56BD" w:rsidP="008A5C11">
            <w:pPr>
              <w:jc w:val="center"/>
              <w:rPr>
                <w:sz w:val="12"/>
                <w:szCs w:val="12"/>
              </w:rPr>
            </w:pPr>
            <w:r w:rsidRPr="00305460">
              <w:rPr>
                <w:sz w:val="12"/>
                <w:szCs w:val="12"/>
              </w:rPr>
              <w:t xml:space="preserve">Канал-ж/б лотки (непроходной канал), опоры приварные, запорная арматура - стальная клиновая, антикоррозийная защита-лак БТ, труба-сталь 20, изоляция - мин. маты       </w:t>
            </w:r>
          </w:p>
        </w:tc>
        <w:tc>
          <w:tcPr>
            <w:tcW w:w="244" w:type="pct"/>
            <w:shd w:val="clear" w:color="auto" w:fill="auto"/>
            <w:tcMar>
              <w:left w:w="17" w:type="dxa"/>
              <w:right w:w="17" w:type="dxa"/>
            </w:tcMar>
            <w:vAlign w:val="center"/>
          </w:tcPr>
          <w:p w14:paraId="1FD00A6D" w14:textId="77777777" w:rsidR="001C56BD" w:rsidRPr="00305460" w:rsidRDefault="001C56BD" w:rsidP="008A5C11">
            <w:pPr>
              <w:jc w:val="center"/>
              <w:rPr>
                <w:sz w:val="12"/>
                <w:szCs w:val="12"/>
              </w:rPr>
            </w:pPr>
            <w:r w:rsidRPr="00305460">
              <w:rPr>
                <w:sz w:val="12"/>
                <w:szCs w:val="12"/>
              </w:rPr>
              <w:t xml:space="preserve">Канал-ж/б лотки (непроходной канал), опоры-хомутовые с диэлектрической прокладкой, запорная арматура - краны шаровые, антикоррозийная защита-мастика Вектор 1025, 1214, труба-сталь 09Г2С, изоляция - маты прошивные, </w:t>
            </w:r>
            <w:proofErr w:type="gramStart"/>
            <w:r w:rsidRPr="00305460">
              <w:rPr>
                <w:sz w:val="12"/>
                <w:szCs w:val="12"/>
              </w:rPr>
              <w:t>стеклоплас-тик</w:t>
            </w:r>
            <w:proofErr w:type="gramEnd"/>
            <w:r w:rsidRPr="00305460">
              <w:rPr>
                <w:sz w:val="12"/>
                <w:szCs w:val="12"/>
              </w:rPr>
              <w:t xml:space="preserve">  </w:t>
            </w:r>
          </w:p>
        </w:tc>
        <w:tc>
          <w:tcPr>
            <w:tcW w:w="140" w:type="pct"/>
            <w:shd w:val="clear" w:color="auto" w:fill="auto"/>
            <w:tcMar>
              <w:left w:w="17" w:type="dxa"/>
              <w:right w:w="17" w:type="dxa"/>
            </w:tcMar>
            <w:vAlign w:val="center"/>
          </w:tcPr>
          <w:p w14:paraId="0B2CB5DE" w14:textId="77777777" w:rsidR="001C56BD" w:rsidRPr="00305460" w:rsidRDefault="001C56BD" w:rsidP="008A5C11">
            <w:pPr>
              <w:jc w:val="center"/>
              <w:rPr>
                <w:sz w:val="12"/>
                <w:szCs w:val="12"/>
              </w:rPr>
            </w:pPr>
            <w:r w:rsidRPr="00305460">
              <w:rPr>
                <w:sz w:val="12"/>
                <w:szCs w:val="12"/>
              </w:rPr>
              <w:t>2023</w:t>
            </w:r>
          </w:p>
        </w:tc>
        <w:tc>
          <w:tcPr>
            <w:tcW w:w="140" w:type="pct"/>
            <w:shd w:val="clear" w:color="auto" w:fill="auto"/>
            <w:tcMar>
              <w:left w:w="17" w:type="dxa"/>
              <w:right w:w="17" w:type="dxa"/>
            </w:tcMar>
            <w:vAlign w:val="center"/>
          </w:tcPr>
          <w:p w14:paraId="4D49B6F3" w14:textId="77777777" w:rsidR="001C56BD" w:rsidRPr="00305460" w:rsidRDefault="001C56BD" w:rsidP="008A5C11">
            <w:pPr>
              <w:jc w:val="center"/>
              <w:rPr>
                <w:sz w:val="12"/>
                <w:szCs w:val="12"/>
              </w:rPr>
            </w:pPr>
            <w:r w:rsidRPr="00305460">
              <w:rPr>
                <w:sz w:val="12"/>
                <w:szCs w:val="12"/>
              </w:rPr>
              <w:t>2023</w:t>
            </w:r>
          </w:p>
        </w:tc>
        <w:tc>
          <w:tcPr>
            <w:tcW w:w="239" w:type="pct"/>
            <w:gridSpan w:val="3"/>
            <w:shd w:val="clear" w:color="auto" w:fill="auto"/>
            <w:tcMar>
              <w:left w:w="17" w:type="dxa"/>
              <w:right w:w="17" w:type="dxa"/>
            </w:tcMar>
            <w:vAlign w:val="center"/>
          </w:tcPr>
          <w:p w14:paraId="1FFC760D" w14:textId="77777777" w:rsidR="001C56BD" w:rsidRPr="00305460" w:rsidRDefault="001C56BD" w:rsidP="008A5C11">
            <w:pPr>
              <w:jc w:val="center"/>
              <w:rPr>
                <w:sz w:val="12"/>
                <w:szCs w:val="12"/>
              </w:rPr>
            </w:pPr>
            <w:r w:rsidRPr="00305460">
              <w:rPr>
                <w:sz w:val="12"/>
                <w:szCs w:val="12"/>
              </w:rPr>
              <w:t>3579,180</w:t>
            </w:r>
          </w:p>
        </w:tc>
        <w:tc>
          <w:tcPr>
            <w:tcW w:w="196" w:type="pct"/>
            <w:gridSpan w:val="3"/>
            <w:shd w:val="clear" w:color="auto" w:fill="auto"/>
            <w:tcMar>
              <w:left w:w="17" w:type="dxa"/>
              <w:right w:w="17" w:type="dxa"/>
            </w:tcMar>
            <w:vAlign w:val="center"/>
          </w:tcPr>
          <w:p w14:paraId="3349882C" w14:textId="77777777" w:rsidR="001C56BD" w:rsidRPr="00305460" w:rsidRDefault="001C56BD" w:rsidP="008A5C11">
            <w:pPr>
              <w:jc w:val="center"/>
              <w:rPr>
                <w:sz w:val="12"/>
                <w:szCs w:val="12"/>
              </w:rPr>
            </w:pPr>
            <w:r w:rsidRPr="00305460">
              <w:rPr>
                <w:sz w:val="12"/>
                <w:szCs w:val="12"/>
              </w:rPr>
              <w:t>0,000</w:t>
            </w:r>
          </w:p>
        </w:tc>
        <w:tc>
          <w:tcPr>
            <w:tcW w:w="216" w:type="pct"/>
            <w:gridSpan w:val="3"/>
            <w:shd w:val="clear" w:color="auto" w:fill="auto"/>
            <w:tcMar>
              <w:left w:w="17" w:type="dxa"/>
              <w:right w:w="17" w:type="dxa"/>
            </w:tcMar>
            <w:vAlign w:val="center"/>
          </w:tcPr>
          <w:p w14:paraId="26F9C359" w14:textId="77777777" w:rsidR="001C56BD" w:rsidRPr="00305460" w:rsidRDefault="001C56BD" w:rsidP="008A5C11">
            <w:pPr>
              <w:jc w:val="center"/>
              <w:rPr>
                <w:sz w:val="12"/>
                <w:szCs w:val="12"/>
              </w:rPr>
            </w:pPr>
            <w:r w:rsidRPr="00305460">
              <w:rPr>
                <w:sz w:val="12"/>
                <w:szCs w:val="12"/>
              </w:rPr>
              <w:t>0,000</w:t>
            </w:r>
          </w:p>
        </w:tc>
        <w:tc>
          <w:tcPr>
            <w:tcW w:w="179" w:type="pct"/>
            <w:gridSpan w:val="2"/>
            <w:shd w:val="clear" w:color="auto" w:fill="auto"/>
            <w:tcMar>
              <w:left w:w="17" w:type="dxa"/>
              <w:right w:w="17" w:type="dxa"/>
            </w:tcMar>
            <w:vAlign w:val="center"/>
          </w:tcPr>
          <w:p w14:paraId="56C7EC1F" w14:textId="77777777" w:rsidR="001C56BD" w:rsidRPr="00305460" w:rsidRDefault="001C56BD" w:rsidP="008A5C11">
            <w:pPr>
              <w:jc w:val="center"/>
              <w:rPr>
                <w:sz w:val="12"/>
                <w:szCs w:val="12"/>
              </w:rPr>
            </w:pPr>
            <w:r w:rsidRPr="00305460">
              <w:rPr>
                <w:sz w:val="12"/>
                <w:szCs w:val="12"/>
              </w:rPr>
              <w:t>3579,180</w:t>
            </w:r>
          </w:p>
        </w:tc>
        <w:tc>
          <w:tcPr>
            <w:tcW w:w="222" w:type="pct"/>
            <w:gridSpan w:val="2"/>
            <w:shd w:val="clear" w:color="auto" w:fill="auto"/>
            <w:tcMar>
              <w:left w:w="17" w:type="dxa"/>
              <w:right w:w="17" w:type="dxa"/>
            </w:tcMar>
            <w:vAlign w:val="center"/>
          </w:tcPr>
          <w:p w14:paraId="4EBA4358" w14:textId="77777777" w:rsidR="001C56BD" w:rsidRPr="00305460" w:rsidRDefault="001C56BD" w:rsidP="008A5C11">
            <w:pPr>
              <w:jc w:val="center"/>
              <w:rPr>
                <w:sz w:val="12"/>
                <w:szCs w:val="12"/>
              </w:rPr>
            </w:pPr>
            <w:r w:rsidRPr="00305460">
              <w:rPr>
                <w:sz w:val="12"/>
                <w:szCs w:val="12"/>
              </w:rPr>
              <w:t>0,000</w:t>
            </w:r>
          </w:p>
        </w:tc>
        <w:tc>
          <w:tcPr>
            <w:tcW w:w="213" w:type="pct"/>
            <w:shd w:val="clear" w:color="auto" w:fill="auto"/>
            <w:tcMar>
              <w:left w:w="17" w:type="dxa"/>
              <w:right w:w="17" w:type="dxa"/>
            </w:tcMar>
            <w:vAlign w:val="center"/>
          </w:tcPr>
          <w:p w14:paraId="5AB657E4"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2056A643"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3735296A"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0D828F84" w14:textId="77777777" w:rsidR="001C56BD" w:rsidRPr="00305460" w:rsidRDefault="001C56BD" w:rsidP="008A5C11">
            <w:pPr>
              <w:jc w:val="center"/>
              <w:rPr>
                <w:sz w:val="12"/>
                <w:szCs w:val="12"/>
              </w:rPr>
            </w:pPr>
            <w:r w:rsidRPr="00305460">
              <w:rPr>
                <w:sz w:val="12"/>
                <w:szCs w:val="12"/>
              </w:rPr>
              <w:t>0,000</w:t>
            </w:r>
          </w:p>
        </w:tc>
        <w:tc>
          <w:tcPr>
            <w:tcW w:w="218" w:type="pct"/>
            <w:gridSpan w:val="2"/>
            <w:shd w:val="clear" w:color="auto" w:fill="auto"/>
            <w:tcMar>
              <w:left w:w="17" w:type="dxa"/>
              <w:right w:w="17" w:type="dxa"/>
            </w:tcMar>
            <w:vAlign w:val="center"/>
          </w:tcPr>
          <w:p w14:paraId="64C883C8" w14:textId="77777777" w:rsidR="001C56BD" w:rsidRPr="00305460" w:rsidRDefault="001C56BD" w:rsidP="008A5C11">
            <w:pPr>
              <w:jc w:val="center"/>
              <w:rPr>
                <w:sz w:val="12"/>
                <w:szCs w:val="12"/>
              </w:rPr>
            </w:pPr>
            <w:r w:rsidRPr="00305460">
              <w:rPr>
                <w:sz w:val="12"/>
                <w:szCs w:val="12"/>
              </w:rPr>
              <w:t>0,000</w:t>
            </w:r>
          </w:p>
        </w:tc>
        <w:tc>
          <w:tcPr>
            <w:tcW w:w="172" w:type="pct"/>
            <w:gridSpan w:val="2"/>
            <w:shd w:val="clear" w:color="auto" w:fill="auto"/>
            <w:tcMar>
              <w:left w:w="17" w:type="dxa"/>
              <w:right w:w="17" w:type="dxa"/>
            </w:tcMar>
            <w:vAlign w:val="center"/>
          </w:tcPr>
          <w:p w14:paraId="7B747EC6" w14:textId="77777777" w:rsidR="001C56BD" w:rsidRPr="00305460" w:rsidRDefault="001C56BD" w:rsidP="008A5C11">
            <w:pPr>
              <w:jc w:val="center"/>
              <w:rPr>
                <w:sz w:val="12"/>
                <w:szCs w:val="12"/>
              </w:rPr>
            </w:pPr>
            <w:r w:rsidRPr="00305460">
              <w:rPr>
                <w:sz w:val="12"/>
                <w:szCs w:val="12"/>
              </w:rPr>
              <w:t>0,000</w:t>
            </w:r>
          </w:p>
        </w:tc>
        <w:tc>
          <w:tcPr>
            <w:tcW w:w="219" w:type="pct"/>
            <w:shd w:val="clear" w:color="auto" w:fill="auto"/>
            <w:tcMar>
              <w:left w:w="17" w:type="dxa"/>
              <w:right w:w="17" w:type="dxa"/>
            </w:tcMar>
            <w:vAlign w:val="center"/>
          </w:tcPr>
          <w:p w14:paraId="3F305A15" w14:textId="77777777" w:rsidR="001C56BD" w:rsidRPr="00305460" w:rsidRDefault="001C56BD" w:rsidP="008A5C11">
            <w:pPr>
              <w:jc w:val="center"/>
              <w:rPr>
                <w:sz w:val="12"/>
                <w:szCs w:val="12"/>
              </w:rPr>
            </w:pPr>
            <w:r w:rsidRPr="00305460">
              <w:rPr>
                <w:sz w:val="12"/>
                <w:szCs w:val="12"/>
              </w:rPr>
              <w:t>0,000</w:t>
            </w:r>
          </w:p>
        </w:tc>
        <w:tc>
          <w:tcPr>
            <w:tcW w:w="174" w:type="pct"/>
            <w:shd w:val="clear" w:color="auto" w:fill="auto"/>
            <w:tcMar>
              <w:left w:w="17" w:type="dxa"/>
              <w:right w:w="17" w:type="dxa"/>
            </w:tcMar>
            <w:vAlign w:val="center"/>
          </w:tcPr>
          <w:p w14:paraId="3CFC9DB0" w14:textId="77777777" w:rsidR="001C56BD" w:rsidRPr="00305460" w:rsidRDefault="001C56BD" w:rsidP="008A5C11">
            <w:pPr>
              <w:jc w:val="center"/>
              <w:rPr>
                <w:sz w:val="12"/>
                <w:szCs w:val="12"/>
              </w:rPr>
            </w:pPr>
            <w:r w:rsidRPr="00305460">
              <w:rPr>
                <w:sz w:val="12"/>
                <w:szCs w:val="12"/>
              </w:rPr>
              <w:t>0,000</w:t>
            </w:r>
          </w:p>
        </w:tc>
        <w:tc>
          <w:tcPr>
            <w:tcW w:w="176" w:type="pct"/>
            <w:shd w:val="clear" w:color="auto" w:fill="auto"/>
            <w:tcMar>
              <w:left w:w="17" w:type="dxa"/>
              <w:right w:w="17" w:type="dxa"/>
            </w:tcMar>
            <w:vAlign w:val="center"/>
          </w:tcPr>
          <w:p w14:paraId="423A3C68" w14:textId="77777777" w:rsidR="001C56BD" w:rsidRPr="00305460" w:rsidRDefault="001C56BD" w:rsidP="008A5C11">
            <w:pPr>
              <w:jc w:val="center"/>
              <w:rPr>
                <w:sz w:val="12"/>
                <w:szCs w:val="12"/>
              </w:rPr>
            </w:pPr>
            <w:r w:rsidRPr="00305460">
              <w:rPr>
                <w:sz w:val="12"/>
                <w:szCs w:val="12"/>
              </w:rPr>
              <w:t>0,000</w:t>
            </w:r>
          </w:p>
        </w:tc>
      </w:tr>
      <w:tr w:rsidR="001C56BD" w:rsidRPr="00305460" w14:paraId="3D7F8F13" w14:textId="77777777" w:rsidTr="008A5C11">
        <w:trPr>
          <w:trHeight w:val="897"/>
        </w:trPr>
        <w:tc>
          <w:tcPr>
            <w:tcW w:w="86" w:type="pct"/>
            <w:shd w:val="clear" w:color="auto" w:fill="auto"/>
            <w:tcMar>
              <w:left w:w="17" w:type="dxa"/>
              <w:right w:w="17" w:type="dxa"/>
            </w:tcMar>
            <w:vAlign w:val="center"/>
          </w:tcPr>
          <w:p w14:paraId="70F7BD69" w14:textId="77777777" w:rsidR="001C56BD" w:rsidRPr="00305460" w:rsidRDefault="001C56BD" w:rsidP="008A5C11">
            <w:pPr>
              <w:jc w:val="center"/>
              <w:rPr>
                <w:sz w:val="12"/>
                <w:szCs w:val="12"/>
              </w:rPr>
            </w:pPr>
            <w:r w:rsidRPr="00305460">
              <w:rPr>
                <w:sz w:val="12"/>
                <w:szCs w:val="12"/>
              </w:rPr>
              <w:t>3.1.7.</w:t>
            </w:r>
          </w:p>
        </w:tc>
        <w:tc>
          <w:tcPr>
            <w:tcW w:w="295" w:type="pct"/>
            <w:shd w:val="clear" w:color="auto" w:fill="auto"/>
            <w:tcMar>
              <w:left w:w="17" w:type="dxa"/>
              <w:right w:w="17" w:type="dxa"/>
            </w:tcMar>
            <w:vAlign w:val="center"/>
          </w:tcPr>
          <w:p w14:paraId="6B2A6040" w14:textId="77777777" w:rsidR="001C56BD" w:rsidRPr="00305460" w:rsidRDefault="001C56BD" w:rsidP="008A5C11">
            <w:pPr>
              <w:rPr>
                <w:sz w:val="12"/>
                <w:szCs w:val="12"/>
              </w:rPr>
            </w:pPr>
            <w:r w:rsidRPr="00305460">
              <w:rPr>
                <w:sz w:val="12"/>
                <w:szCs w:val="12"/>
              </w:rPr>
              <w:t>Реконструкция тепловой сети с реестровым номером 759103</w:t>
            </w:r>
          </w:p>
        </w:tc>
        <w:tc>
          <w:tcPr>
            <w:tcW w:w="307" w:type="pct"/>
            <w:shd w:val="clear" w:color="000000" w:fill="FFFFFF"/>
            <w:tcMar>
              <w:left w:w="17" w:type="dxa"/>
              <w:right w:w="17" w:type="dxa"/>
            </w:tcMar>
            <w:vAlign w:val="center"/>
          </w:tcPr>
          <w:p w14:paraId="53BB61DF" w14:textId="77777777" w:rsidR="001C56BD" w:rsidRPr="00305460" w:rsidRDefault="001C56BD" w:rsidP="008A5C11">
            <w:pPr>
              <w:jc w:val="center"/>
              <w:rPr>
                <w:sz w:val="12"/>
                <w:szCs w:val="12"/>
              </w:rPr>
            </w:pPr>
            <w:r w:rsidRPr="00305460">
              <w:rPr>
                <w:color w:val="000000"/>
                <w:sz w:val="12"/>
                <w:szCs w:val="12"/>
              </w:rPr>
              <w:t>Повышение надежности услуг теплоснабжения, повышение энергетической эффективности</w:t>
            </w:r>
          </w:p>
        </w:tc>
        <w:tc>
          <w:tcPr>
            <w:tcW w:w="280" w:type="pct"/>
            <w:shd w:val="clear" w:color="auto" w:fill="auto"/>
            <w:tcMar>
              <w:left w:w="17" w:type="dxa"/>
              <w:right w:w="17" w:type="dxa"/>
            </w:tcMar>
            <w:vAlign w:val="center"/>
          </w:tcPr>
          <w:p w14:paraId="56A69422" w14:textId="77777777" w:rsidR="001C56BD" w:rsidRPr="00305460" w:rsidRDefault="001C56BD" w:rsidP="008A5C11">
            <w:pPr>
              <w:jc w:val="center"/>
              <w:rPr>
                <w:sz w:val="12"/>
                <w:szCs w:val="12"/>
              </w:rPr>
            </w:pPr>
            <w:r w:rsidRPr="00305460">
              <w:rPr>
                <w:sz w:val="12"/>
                <w:szCs w:val="12"/>
              </w:rPr>
              <w:t>Кемеровский городской округ, Кировский район, ул. Инициативная</w:t>
            </w:r>
          </w:p>
        </w:tc>
        <w:tc>
          <w:tcPr>
            <w:tcW w:w="289" w:type="pct"/>
            <w:shd w:val="clear" w:color="auto" w:fill="auto"/>
            <w:tcMar>
              <w:left w:w="17" w:type="dxa"/>
              <w:right w:w="17" w:type="dxa"/>
            </w:tcMar>
            <w:vAlign w:val="center"/>
          </w:tcPr>
          <w:p w14:paraId="4F8DBA50" w14:textId="77777777" w:rsidR="001C56BD" w:rsidRPr="00305460" w:rsidRDefault="001C56BD" w:rsidP="008A5C11">
            <w:pPr>
              <w:jc w:val="center"/>
              <w:rPr>
                <w:sz w:val="12"/>
                <w:szCs w:val="12"/>
              </w:rPr>
            </w:pPr>
            <w:r w:rsidRPr="00305460">
              <w:rPr>
                <w:color w:val="000000"/>
                <w:sz w:val="12"/>
                <w:szCs w:val="12"/>
              </w:rPr>
              <w:t>Технические характеристики</w:t>
            </w:r>
          </w:p>
        </w:tc>
        <w:tc>
          <w:tcPr>
            <w:tcW w:w="137" w:type="pct"/>
            <w:shd w:val="clear" w:color="auto" w:fill="auto"/>
            <w:tcMar>
              <w:left w:w="17" w:type="dxa"/>
              <w:right w:w="17" w:type="dxa"/>
            </w:tcMar>
            <w:vAlign w:val="center"/>
          </w:tcPr>
          <w:p w14:paraId="0B31605D" w14:textId="77777777" w:rsidR="001C56BD" w:rsidRPr="00305460" w:rsidRDefault="001C56BD" w:rsidP="008A5C11">
            <w:pPr>
              <w:jc w:val="center"/>
              <w:rPr>
                <w:color w:val="000000"/>
                <w:sz w:val="12"/>
                <w:szCs w:val="12"/>
              </w:rPr>
            </w:pPr>
          </w:p>
        </w:tc>
        <w:tc>
          <w:tcPr>
            <w:tcW w:w="202" w:type="pct"/>
            <w:shd w:val="clear" w:color="auto" w:fill="auto"/>
            <w:tcMar>
              <w:left w:w="17" w:type="dxa"/>
              <w:right w:w="17" w:type="dxa"/>
            </w:tcMar>
            <w:vAlign w:val="center"/>
          </w:tcPr>
          <w:p w14:paraId="004A8656" w14:textId="77777777" w:rsidR="001C56BD" w:rsidRPr="00305460" w:rsidRDefault="001C56BD" w:rsidP="008A5C11">
            <w:pPr>
              <w:jc w:val="center"/>
              <w:rPr>
                <w:sz w:val="12"/>
                <w:szCs w:val="12"/>
              </w:rPr>
            </w:pPr>
            <w:r w:rsidRPr="00305460">
              <w:rPr>
                <w:sz w:val="12"/>
                <w:szCs w:val="12"/>
              </w:rPr>
              <w:t xml:space="preserve">Канал-ж/б лотки (непроходной канал), опоры приварные, запорная арматура - стальная клиновая, антикоррозийная защита-лак БТ, труба-сталь 20, изоляция - мин. маты          </w:t>
            </w:r>
          </w:p>
        </w:tc>
        <w:tc>
          <w:tcPr>
            <w:tcW w:w="244" w:type="pct"/>
            <w:shd w:val="clear" w:color="auto" w:fill="auto"/>
            <w:tcMar>
              <w:left w:w="17" w:type="dxa"/>
              <w:right w:w="17" w:type="dxa"/>
            </w:tcMar>
            <w:vAlign w:val="center"/>
          </w:tcPr>
          <w:p w14:paraId="46104DB6" w14:textId="77777777" w:rsidR="001C56BD" w:rsidRPr="00305460" w:rsidRDefault="001C56BD" w:rsidP="008A5C11">
            <w:pPr>
              <w:jc w:val="center"/>
              <w:rPr>
                <w:sz w:val="12"/>
                <w:szCs w:val="12"/>
              </w:rPr>
            </w:pPr>
            <w:r w:rsidRPr="00305460">
              <w:rPr>
                <w:sz w:val="12"/>
                <w:szCs w:val="12"/>
              </w:rPr>
              <w:t xml:space="preserve">Канал-ж/б лотки, опоры-хомутовые с диэлектрической прокладкой, запорная арматура - кран шаровый, антикоррозийная защита-мастика Вектор 1214, 1025, труба-сталь 09Г2С, изоляция - маты прошивные, </w:t>
            </w:r>
            <w:proofErr w:type="gramStart"/>
            <w:r w:rsidRPr="00305460">
              <w:rPr>
                <w:sz w:val="12"/>
                <w:szCs w:val="12"/>
              </w:rPr>
              <w:t>стеклоплас-тик</w:t>
            </w:r>
            <w:proofErr w:type="gramEnd"/>
          </w:p>
        </w:tc>
        <w:tc>
          <w:tcPr>
            <w:tcW w:w="140" w:type="pct"/>
            <w:shd w:val="clear" w:color="auto" w:fill="auto"/>
            <w:tcMar>
              <w:left w:w="17" w:type="dxa"/>
              <w:right w:w="17" w:type="dxa"/>
            </w:tcMar>
            <w:vAlign w:val="center"/>
          </w:tcPr>
          <w:p w14:paraId="7A8208FF" w14:textId="77777777" w:rsidR="001C56BD" w:rsidRPr="00305460" w:rsidRDefault="001C56BD" w:rsidP="008A5C11">
            <w:pPr>
              <w:jc w:val="center"/>
              <w:rPr>
                <w:sz w:val="12"/>
                <w:szCs w:val="12"/>
              </w:rPr>
            </w:pPr>
            <w:r w:rsidRPr="00305460">
              <w:rPr>
                <w:sz w:val="12"/>
                <w:szCs w:val="12"/>
              </w:rPr>
              <w:t>2025</w:t>
            </w:r>
          </w:p>
        </w:tc>
        <w:tc>
          <w:tcPr>
            <w:tcW w:w="140" w:type="pct"/>
            <w:shd w:val="clear" w:color="auto" w:fill="auto"/>
            <w:tcMar>
              <w:left w:w="17" w:type="dxa"/>
              <w:right w:w="17" w:type="dxa"/>
            </w:tcMar>
            <w:vAlign w:val="center"/>
          </w:tcPr>
          <w:p w14:paraId="69A00A9B" w14:textId="77777777" w:rsidR="001C56BD" w:rsidRPr="00305460" w:rsidRDefault="001C56BD" w:rsidP="008A5C11">
            <w:pPr>
              <w:jc w:val="center"/>
              <w:rPr>
                <w:sz w:val="12"/>
                <w:szCs w:val="12"/>
              </w:rPr>
            </w:pPr>
            <w:r w:rsidRPr="00305460">
              <w:rPr>
                <w:sz w:val="12"/>
                <w:szCs w:val="12"/>
              </w:rPr>
              <w:t>2025</w:t>
            </w:r>
          </w:p>
        </w:tc>
        <w:tc>
          <w:tcPr>
            <w:tcW w:w="239" w:type="pct"/>
            <w:gridSpan w:val="3"/>
            <w:shd w:val="clear" w:color="auto" w:fill="auto"/>
            <w:tcMar>
              <w:left w:w="17" w:type="dxa"/>
              <w:right w:w="17" w:type="dxa"/>
            </w:tcMar>
            <w:vAlign w:val="center"/>
          </w:tcPr>
          <w:p w14:paraId="3BC3D2C5" w14:textId="77777777" w:rsidR="001C56BD" w:rsidRPr="00305460" w:rsidRDefault="001C56BD" w:rsidP="008A5C11">
            <w:pPr>
              <w:jc w:val="center"/>
              <w:rPr>
                <w:sz w:val="12"/>
                <w:szCs w:val="12"/>
              </w:rPr>
            </w:pPr>
            <w:r w:rsidRPr="00305460">
              <w:rPr>
                <w:sz w:val="12"/>
                <w:szCs w:val="12"/>
              </w:rPr>
              <w:t>6830,724</w:t>
            </w:r>
          </w:p>
        </w:tc>
        <w:tc>
          <w:tcPr>
            <w:tcW w:w="196" w:type="pct"/>
            <w:gridSpan w:val="3"/>
            <w:shd w:val="clear" w:color="auto" w:fill="auto"/>
            <w:tcMar>
              <w:left w:w="17" w:type="dxa"/>
              <w:right w:w="17" w:type="dxa"/>
            </w:tcMar>
            <w:vAlign w:val="center"/>
          </w:tcPr>
          <w:p w14:paraId="6279B013" w14:textId="77777777" w:rsidR="001C56BD" w:rsidRPr="00305460" w:rsidRDefault="001C56BD" w:rsidP="008A5C11">
            <w:pPr>
              <w:jc w:val="center"/>
              <w:rPr>
                <w:sz w:val="12"/>
                <w:szCs w:val="12"/>
              </w:rPr>
            </w:pPr>
            <w:r w:rsidRPr="00305460">
              <w:rPr>
                <w:sz w:val="12"/>
                <w:szCs w:val="12"/>
              </w:rPr>
              <w:t>0,000</w:t>
            </w:r>
          </w:p>
        </w:tc>
        <w:tc>
          <w:tcPr>
            <w:tcW w:w="216" w:type="pct"/>
            <w:gridSpan w:val="3"/>
            <w:shd w:val="clear" w:color="auto" w:fill="auto"/>
            <w:tcMar>
              <w:left w:w="17" w:type="dxa"/>
              <w:right w:w="17" w:type="dxa"/>
            </w:tcMar>
            <w:vAlign w:val="center"/>
          </w:tcPr>
          <w:p w14:paraId="7164A0F1" w14:textId="77777777" w:rsidR="001C56BD" w:rsidRPr="00305460" w:rsidRDefault="001C56BD" w:rsidP="008A5C11">
            <w:pPr>
              <w:jc w:val="center"/>
              <w:rPr>
                <w:sz w:val="12"/>
                <w:szCs w:val="12"/>
              </w:rPr>
            </w:pPr>
            <w:r w:rsidRPr="00305460">
              <w:rPr>
                <w:sz w:val="12"/>
                <w:szCs w:val="12"/>
              </w:rPr>
              <w:t>0,000</w:t>
            </w:r>
          </w:p>
        </w:tc>
        <w:tc>
          <w:tcPr>
            <w:tcW w:w="179" w:type="pct"/>
            <w:gridSpan w:val="2"/>
            <w:shd w:val="clear" w:color="auto" w:fill="auto"/>
            <w:tcMar>
              <w:left w:w="17" w:type="dxa"/>
              <w:right w:w="17" w:type="dxa"/>
            </w:tcMar>
            <w:vAlign w:val="center"/>
          </w:tcPr>
          <w:p w14:paraId="3C7F27CD" w14:textId="77777777" w:rsidR="001C56BD" w:rsidRPr="00305460" w:rsidRDefault="001C56BD" w:rsidP="008A5C11">
            <w:pPr>
              <w:jc w:val="center"/>
              <w:rPr>
                <w:sz w:val="12"/>
                <w:szCs w:val="12"/>
              </w:rPr>
            </w:pPr>
            <w:r w:rsidRPr="00305460">
              <w:rPr>
                <w:sz w:val="12"/>
                <w:szCs w:val="12"/>
              </w:rPr>
              <w:t>0,000</w:t>
            </w:r>
          </w:p>
        </w:tc>
        <w:tc>
          <w:tcPr>
            <w:tcW w:w="222" w:type="pct"/>
            <w:gridSpan w:val="2"/>
            <w:shd w:val="clear" w:color="auto" w:fill="auto"/>
            <w:tcMar>
              <w:left w:w="17" w:type="dxa"/>
              <w:right w:w="17" w:type="dxa"/>
            </w:tcMar>
            <w:vAlign w:val="center"/>
          </w:tcPr>
          <w:p w14:paraId="7526ACD3" w14:textId="77777777" w:rsidR="001C56BD" w:rsidRPr="00305460" w:rsidRDefault="001C56BD" w:rsidP="008A5C11">
            <w:pPr>
              <w:jc w:val="center"/>
              <w:rPr>
                <w:sz w:val="12"/>
                <w:szCs w:val="12"/>
              </w:rPr>
            </w:pPr>
            <w:r w:rsidRPr="00305460">
              <w:rPr>
                <w:sz w:val="12"/>
                <w:szCs w:val="12"/>
              </w:rPr>
              <w:t>0,000</w:t>
            </w:r>
          </w:p>
        </w:tc>
        <w:tc>
          <w:tcPr>
            <w:tcW w:w="213" w:type="pct"/>
            <w:shd w:val="clear" w:color="auto" w:fill="auto"/>
            <w:tcMar>
              <w:left w:w="17" w:type="dxa"/>
              <w:right w:w="17" w:type="dxa"/>
            </w:tcMar>
            <w:vAlign w:val="center"/>
          </w:tcPr>
          <w:p w14:paraId="67C1142F" w14:textId="77777777" w:rsidR="001C56BD" w:rsidRPr="00305460" w:rsidRDefault="001C56BD" w:rsidP="008A5C11">
            <w:pPr>
              <w:jc w:val="center"/>
              <w:rPr>
                <w:sz w:val="12"/>
                <w:szCs w:val="12"/>
              </w:rPr>
            </w:pPr>
            <w:r w:rsidRPr="00305460">
              <w:rPr>
                <w:sz w:val="12"/>
                <w:szCs w:val="12"/>
              </w:rPr>
              <w:t>6830,724</w:t>
            </w:r>
          </w:p>
        </w:tc>
        <w:tc>
          <w:tcPr>
            <w:tcW w:w="218" w:type="pct"/>
            <w:shd w:val="clear" w:color="auto" w:fill="auto"/>
            <w:tcMar>
              <w:left w:w="17" w:type="dxa"/>
              <w:right w:w="17" w:type="dxa"/>
            </w:tcMar>
            <w:vAlign w:val="center"/>
          </w:tcPr>
          <w:p w14:paraId="753040E3"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5736414B"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5773CBC3" w14:textId="77777777" w:rsidR="001C56BD" w:rsidRPr="00305460" w:rsidRDefault="001C56BD" w:rsidP="008A5C11">
            <w:pPr>
              <w:jc w:val="center"/>
              <w:rPr>
                <w:sz w:val="12"/>
                <w:szCs w:val="12"/>
              </w:rPr>
            </w:pPr>
            <w:r w:rsidRPr="00305460">
              <w:rPr>
                <w:sz w:val="12"/>
                <w:szCs w:val="12"/>
              </w:rPr>
              <w:t>0,000</w:t>
            </w:r>
          </w:p>
        </w:tc>
        <w:tc>
          <w:tcPr>
            <w:tcW w:w="218" w:type="pct"/>
            <w:gridSpan w:val="2"/>
            <w:shd w:val="clear" w:color="auto" w:fill="auto"/>
            <w:tcMar>
              <w:left w:w="17" w:type="dxa"/>
              <w:right w:w="17" w:type="dxa"/>
            </w:tcMar>
            <w:vAlign w:val="center"/>
          </w:tcPr>
          <w:p w14:paraId="105CD8CD" w14:textId="77777777" w:rsidR="001C56BD" w:rsidRPr="00305460" w:rsidRDefault="001C56BD" w:rsidP="008A5C11">
            <w:pPr>
              <w:jc w:val="center"/>
              <w:rPr>
                <w:sz w:val="12"/>
                <w:szCs w:val="12"/>
              </w:rPr>
            </w:pPr>
            <w:r w:rsidRPr="00305460">
              <w:rPr>
                <w:sz w:val="12"/>
                <w:szCs w:val="12"/>
              </w:rPr>
              <w:t>0,000</w:t>
            </w:r>
          </w:p>
        </w:tc>
        <w:tc>
          <w:tcPr>
            <w:tcW w:w="172" w:type="pct"/>
            <w:gridSpan w:val="2"/>
            <w:shd w:val="clear" w:color="auto" w:fill="auto"/>
            <w:tcMar>
              <w:left w:w="17" w:type="dxa"/>
              <w:right w:w="17" w:type="dxa"/>
            </w:tcMar>
            <w:vAlign w:val="center"/>
          </w:tcPr>
          <w:p w14:paraId="54F5E599" w14:textId="77777777" w:rsidR="001C56BD" w:rsidRPr="00305460" w:rsidRDefault="001C56BD" w:rsidP="008A5C11">
            <w:pPr>
              <w:jc w:val="center"/>
              <w:rPr>
                <w:sz w:val="12"/>
                <w:szCs w:val="12"/>
              </w:rPr>
            </w:pPr>
            <w:r w:rsidRPr="00305460">
              <w:rPr>
                <w:sz w:val="12"/>
                <w:szCs w:val="12"/>
              </w:rPr>
              <w:t>0,000</w:t>
            </w:r>
          </w:p>
        </w:tc>
        <w:tc>
          <w:tcPr>
            <w:tcW w:w="219" w:type="pct"/>
            <w:shd w:val="clear" w:color="auto" w:fill="auto"/>
            <w:tcMar>
              <w:left w:w="17" w:type="dxa"/>
              <w:right w:w="17" w:type="dxa"/>
            </w:tcMar>
            <w:vAlign w:val="center"/>
          </w:tcPr>
          <w:p w14:paraId="7875F01A" w14:textId="77777777" w:rsidR="001C56BD" w:rsidRPr="00305460" w:rsidRDefault="001C56BD" w:rsidP="008A5C11">
            <w:pPr>
              <w:jc w:val="center"/>
              <w:rPr>
                <w:sz w:val="12"/>
                <w:szCs w:val="12"/>
              </w:rPr>
            </w:pPr>
            <w:r w:rsidRPr="00305460">
              <w:rPr>
                <w:sz w:val="12"/>
                <w:szCs w:val="12"/>
              </w:rPr>
              <w:t>0,000</w:t>
            </w:r>
          </w:p>
        </w:tc>
        <w:tc>
          <w:tcPr>
            <w:tcW w:w="174" w:type="pct"/>
            <w:shd w:val="clear" w:color="auto" w:fill="auto"/>
            <w:tcMar>
              <w:left w:w="17" w:type="dxa"/>
              <w:right w:w="17" w:type="dxa"/>
            </w:tcMar>
            <w:vAlign w:val="center"/>
          </w:tcPr>
          <w:p w14:paraId="5F890743" w14:textId="77777777" w:rsidR="001C56BD" w:rsidRPr="00305460" w:rsidRDefault="001C56BD" w:rsidP="008A5C11">
            <w:pPr>
              <w:jc w:val="center"/>
              <w:rPr>
                <w:sz w:val="12"/>
                <w:szCs w:val="12"/>
              </w:rPr>
            </w:pPr>
            <w:r w:rsidRPr="00305460">
              <w:rPr>
                <w:sz w:val="12"/>
                <w:szCs w:val="12"/>
              </w:rPr>
              <w:t>0,000</w:t>
            </w:r>
          </w:p>
        </w:tc>
        <w:tc>
          <w:tcPr>
            <w:tcW w:w="176" w:type="pct"/>
            <w:shd w:val="clear" w:color="auto" w:fill="auto"/>
            <w:tcMar>
              <w:left w:w="17" w:type="dxa"/>
              <w:right w:w="17" w:type="dxa"/>
            </w:tcMar>
            <w:vAlign w:val="center"/>
          </w:tcPr>
          <w:p w14:paraId="26E86BE2" w14:textId="77777777" w:rsidR="001C56BD" w:rsidRPr="00305460" w:rsidRDefault="001C56BD" w:rsidP="008A5C11">
            <w:pPr>
              <w:jc w:val="center"/>
              <w:rPr>
                <w:sz w:val="12"/>
                <w:szCs w:val="12"/>
              </w:rPr>
            </w:pPr>
            <w:r w:rsidRPr="00305460">
              <w:rPr>
                <w:sz w:val="12"/>
                <w:szCs w:val="12"/>
              </w:rPr>
              <w:t>0,000</w:t>
            </w:r>
          </w:p>
        </w:tc>
      </w:tr>
      <w:tr w:rsidR="001C56BD" w:rsidRPr="00305460" w14:paraId="4C32E8E0" w14:textId="77777777" w:rsidTr="008A5C11">
        <w:trPr>
          <w:trHeight w:val="897"/>
        </w:trPr>
        <w:tc>
          <w:tcPr>
            <w:tcW w:w="86" w:type="pct"/>
            <w:shd w:val="clear" w:color="auto" w:fill="auto"/>
            <w:tcMar>
              <w:left w:w="17" w:type="dxa"/>
              <w:right w:w="17" w:type="dxa"/>
            </w:tcMar>
            <w:vAlign w:val="center"/>
          </w:tcPr>
          <w:p w14:paraId="61A09ACD" w14:textId="77777777" w:rsidR="001C56BD" w:rsidRPr="00305460" w:rsidRDefault="001C56BD" w:rsidP="008A5C11">
            <w:pPr>
              <w:jc w:val="center"/>
              <w:rPr>
                <w:bCs/>
                <w:sz w:val="12"/>
                <w:szCs w:val="12"/>
              </w:rPr>
            </w:pPr>
            <w:r w:rsidRPr="00305460">
              <w:rPr>
                <w:bCs/>
                <w:sz w:val="12"/>
                <w:szCs w:val="12"/>
              </w:rPr>
              <w:t>1</w:t>
            </w:r>
          </w:p>
        </w:tc>
        <w:tc>
          <w:tcPr>
            <w:tcW w:w="295" w:type="pct"/>
            <w:shd w:val="clear" w:color="auto" w:fill="auto"/>
            <w:tcMar>
              <w:left w:w="17" w:type="dxa"/>
              <w:right w:w="17" w:type="dxa"/>
            </w:tcMar>
            <w:vAlign w:val="center"/>
          </w:tcPr>
          <w:p w14:paraId="695F8E93" w14:textId="77777777" w:rsidR="001C56BD" w:rsidRPr="00305460" w:rsidRDefault="001C56BD" w:rsidP="008A5C11">
            <w:pPr>
              <w:jc w:val="center"/>
              <w:rPr>
                <w:bCs/>
                <w:sz w:val="12"/>
                <w:szCs w:val="12"/>
              </w:rPr>
            </w:pPr>
            <w:r w:rsidRPr="00305460">
              <w:rPr>
                <w:bCs/>
                <w:sz w:val="12"/>
                <w:szCs w:val="12"/>
              </w:rPr>
              <w:t>2</w:t>
            </w:r>
          </w:p>
        </w:tc>
        <w:tc>
          <w:tcPr>
            <w:tcW w:w="307" w:type="pct"/>
            <w:shd w:val="clear" w:color="auto" w:fill="auto"/>
            <w:tcMar>
              <w:left w:w="17" w:type="dxa"/>
              <w:right w:w="17" w:type="dxa"/>
            </w:tcMar>
            <w:vAlign w:val="center"/>
          </w:tcPr>
          <w:p w14:paraId="11ED9105" w14:textId="77777777" w:rsidR="001C56BD" w:rsidRPr="00305460" w:rsidRDefault="001C56BD" w:rsidP="008A5C11">
            <w:pPr>
              <w:jc w:val="center"/>
              <w:rPr>
                <w:bCs/>
                <w:sz w:val="12"/>
                <w:szCs w:val="12"/>
              </w:rPr>
            </w:pPr>
            <w:r w:rsidRPr="00305460">
              <w:rPr>
                <w:bCs/>
                <w:sz w:val="12"/>
                <w:szCs w:val="12"/>
              </w:rPr>
              <w:t>3</w:t>
            </w:r>
          </w:p>
        </w:tc>
        <w:tc>
          <w:tcPr>
            <w:tcW w:w="280" w:type="pct"/>
            <w:shd w:val="clear" w:color="auto" w:fill="auto"/>
            <w:tcMar>
              <w:left w:w="17" w:type="dxa"/>
              <w:right w:w="17" w:type="dxa"/>
            </w:tcMar>
            <w:vAlign w:val="center"/>
          </w:tcPr>
          <w:p w14:paraId="61E12AB5" w14:textId="77777777" w:rsidR="001C56BD" w:rsidRPr="00305460" w:rsidRDefault="001C56BD" w:rsidP="008A5C11">
            <w:pPr>
              <w:jc w:val="center"/>
              <w:rPr>
                <w:bCs/>
                <w:sz w:val="12"/>
                <w:szCs w:val="12"/>
              </w:rPr>
            </w:pPr>
            <w:r w:rsidRPr="00305460">
              <w:rPr>
                <w:bCs/>
                <w:sz w:val="12"/>
                <w:szCs w:val="12"/>
              </w:rPr>
              <w:t>4</w:t>
            </w:r>
          </w:p>
        </w:tc>
        <w:tc>
          <w:tcPr>
            <w:tcW w:w="289" w:type="pct"/>
            <w:shd w:val="clear" w:color="auto" w:fill="auto"/>
            <w:tcMar>
              <w:left w:w="17" w:type="dxa"/>
              <w:right w:w="17" w:type="dxa"/>
            </w:tcMar>
            <w:vAlign w:val="center"/>
          </w:tcPr>
          <w:p w14:paraId="16303CF2" w14:textId="77777777" w:rsidR="001C56BD" w:rsidRPr="00305460" w:rsidRDefault="001C56BD" w:rsidP="008A5C11">
            <w:pPr>
              <w:jc w:val="center"/>
              <w:rPr>
                <w:bCs/>
                <w:sz w:val="12"/>
                <w:szCs w:val="12"/>
              </w:rPr>
            </w:pPr>
            <w:r w:rsidRPr="00305460">
              <w:rPr>
                <w:bCs/>
                <w:sz w:val="12"/>
                <w:szCs w:val="12"/>
              </w:rPr>
              <w:t>5</w:t>
            </w:r>
          </w:p>
        </w:tc>
        <w:tc>
          <w:tcPr>
            <w:tcW w:w="137" w:type="pct"/>
            <w:shd w:val="clear" w:color="auto" w:fill="auto"/>
            <w:tcMar>
              <w:left w:w="17" w:type="dxa"/>
              <w:right w:w="17" w:type="dxa"/>
            </w:tcMar>
            <w:vAlign w:val="center"/>
          </w:tcPr>
          <w:p w14:paraId="539EC590" w14:textId="77777777" w:rsidR="001C56BD" w:rsidRPr="00305460" w:rsidRDefault="001C56BD" w:rsidP="008A5C11">
            <w:pPr>
              <w:jc w:val="center"/>
              <w:rPr>
                <w:bCs/>
                <w:sz w:val="12"/>
                <w:szCs w:val="12"/>
              </w:rPr>
            </w:pPr>
            <w:r w:rsidRPr="00305460">
              <w:rPr>
                <w:bCs/>
                <w:sz w:val="12"/>
                <w:szCs w:val="12"/>
              </w:rPr>
              <w:t>6</w:t>
            </w:r>
          </w:p>
        </w:tc>
        <w:tc>
          <w:tcPr>
            <w:tcW w:w="202" w:type="pct"/>
            <w:shd w:val="clear" w:color="auto" w:fill="auto"/>
            <w:tcMar>
              <w:left w:w="17" w:type="dxa"/>
              <w:right w:w="17" w:type="dxa"/>
            </w:tcMar>
            <w:vAlign w:val="center"/>
          </w:tcPr>
          <w:p w14:paraId="0D0E0141" w14:textId="77777777" w:rsidR="001C56BD" w:rsidRPr="00305460" w:rsidRDefault="001C56BD" w:rsidP="008A5C11">
            <w:pPr>
              <w:jc w:val="center"/>
              <w:rPr>
                <w:bCs/>
                <w:sz w:val="12"/>
                <w:szCs w:val="12"/>
              </w:rPr>
            </w:pPr>
            <w:r w:rsidRPr="00305460">
              <w:rPr>
                <w:bCs/>
                <w:sz w:val="12"/>
                <w:szCs w:val="12"/>
              </w:rPr>
              <w:t>7</w:t>
            </w:r>
          </w:p>
        </w:tc>
        <w:tc>
          <w:tcPr>
            <w:tcW w:w="244" w:type="pct"/>
            <w:shd w:val="clear" w:color="auto" w:fill="auto"/>
            <w:tcMar>
              <w:left w:w="17" w:type="dxa"/>
              <w:right w:w="17" w:type="dxa"/>
            </w:tcMar>
            <w:vAlign w:val="center"/>
          </w:tcPr>
          <w:p w14:paraId="6D52C937" w14:textId="77777777" w:rsidR="001C56BD" w:rsidRPr="00305460" w:rsidRDefault="001C56BD" w:rsidP="008A5C11">
            <w:pPr>
              <w:jc w:val="center"/>
              <w:rPr>
                <w:bCs/>
                <w:sz w:val="12"/>
                <w:szCs w:val="12"/>
              </w:rPr>
            </w:pPr>
            <w:r w:rsidRPr="00305460">
              <w:rPr>
                <w:bCs/>
                <w:sz w:val="12"/>
                <w:szCs w:val="12"/>
              </w:rPr>
              <w:t>8</w:t>
            </w:r>
          </w:p>
        </w:tc>
        <w:tc>
          <w:tcPr>
            <w:tcW w:w="140" w:type="pct"/>
            <w:shd w:val="clear" w:color="auto" w:fill="auto"/>
            <w:tcMar>
              <w:left w:w="17" w:type="dxa"/>
              <w:right w:w="17" w:type="dxa"/>
            </w:tcMar>
            <w:vAlign w:val="center"/>
          </w:tcPr>
          <w:p w14:paraId="1BFE4270" w14:textId="77777777" w:rsidR="001C56BD" w:rsidRPr="00305460" w:rsidRDefault="001C56BD" w:rsidP="008A5C11">
            <w:pPr>
              <w:jc w:val="center"/>
              <w:rPr>
                <w:bCs/>
                <w:sz w:val="12"/>
                <w:szCs w:val="12"/>
              </w:rPr>
            </w:pPr>
            <w:r w:rsidRPr="00305460">
              <w:rPr>
                <w:bCs/>
                <w:sz w:val="12"/>
                <w:szCs w:val="12"/>
              </w:rPr>
              <w:t>9</w:t>
            </w:r>
          </w:p>
        </w:tc>
        <w:tc>
          <w:tcPr>
            <w:tcW w:w="140" w:type="pct"/>
            <w:shd w:val="clear" w:color="auto" w:fill="auto"/>
            <w:tcMar>
              <w:left w:w="17" w:type="dxa"/>
              <w:right w:w="17" w:type="dxa"/>
            </w:tcMar>
            <w:vAlign w:val="center"/>
          </w:tcPr>
          <w:p w14:paraId="0447751E" w14:textId="77777777" w:rsidR="001C56BD" w:rsidRPr="00305460" w:rsidRDefault="001C56BD" w:rsidP="008A5C11">
            <w:pPr>
              <w:jc w:val="center"/>
              <w:rPr>
                <w:bCs/>
                <w:sz w:val="12"/>
                <w:szCs w:val="12"/>
              </w:rPr>
            </w:pPr>
            <w:r w:rsidRPr="00305460">
              <w:rPr>
                <w:bCs/>
                <w:sz w:val="12"/>
                <w:szCs w:val="12"/>
              </w:rPr>
              <w:t>10</w:t>
            </w:r>
          </w:p>
        </w:tc>
        <w:tc>
          <w:tcPr>
            <w:tcW w:w="239" w:type="pct"/>
            <w:gridSpan w:val="3"/>
            <w:shd w:val="clear" w:color="auto" w:fill="auto"/>
            <w:tcMar>
              <w:left w:w="17" w:type="dxa"/>
              <w:right w:w="17" w:type="dxa"/>
            </w:tcMar>
            <w:vAlign w:val="center"/>
          </w:tcPr>
          <w:p w14:paraId="4464BCBE" w14:textId="77777777" w:rsidR="001C56BD" w:rsidRPr="00305460" w:rsidRDefault="001C56BD" w:rsidP="008A5C11">
            <w:pPr>
              <w:jc w:val="center"/>
              <w:rPr>
                <w:bCs/>
                <w:sz w:val="12"/>
                <w:szCs w:val="12"/>
              </w:rPr>
            </w:pPr>
            <w:r w:rsidRPr="00305460">
              <w:rPr>
                <w:bCs/>
                <w:sz w:val="12"/>
                <w:szCs w:val="12"/>
              </w:rPr>
              <w:t>11</w:t>
            </w:r>
          </w:p>
        </w:tc>
        <w:tc>
          <w:tcPr>
            <w:tcW w:w="196" w:type="pct"/>
            <w:gridSpan w:val="3"/>
            <w:shd w:val="clear" w:color="auto" w:fill="auto"/>
            <w:tcMar>
              <w:left w:w="17" w:type="dxa"/>
              <w:right w:w="17" w:type="dxa"/>
            </w:tcMar>
            <w:vAlign w:val="center"/>
          </w:tcPr>
          <w:p w14:paraId="67A98B61" w14:textId="77777777" w:rsidR="001C56BD" w:rsidRPr="00305460" w:rsidRDefault="001C56BD" w:rsidP="008A5C11">
            <w:pPr>
              <w:jc w:val="center"/>
              <w:rPr>
                <w:bCs/>
                <w:sz w:val="12"/>
                <w:szCs w:val="12"/>
              </w:rPr>
            </w:pPr>
            <w:r w:rsidRPr="00305460">
              <w:rPr>
                <w:bCs/>
                <w:sz w:val="12"/>
                <w:szCs w:val="12"/>
              </w:rPr>
              <w:t>12</w:t>
            </w:r>
          </w:p>
        </w:tc>
        <w:tc>
          <w:tcPr>
            <w:tcW w:w="216" w:type="pct"/>
            <w:gridSpan w:val="3"/>
            <w:shd w:val="clear" w:color="auto" w:fill="auto"/>
            <w:tcMar>
              <w:left w:w="17" w:type="dxa"/>
              <w:right w:w="17" w:type="dxa"/>
            </w:tcMar>
            <w:vAlign w:val="center"/>
          </w:tcPr>
          <w:p w14:paraId="6E54F794" w14:textId="77777777" w:rsidR="001C56BD" w:rsidRPr="00305460" w:rsidRDefault="001C56BD" w:rsidP="008A5C11">
            <w:pPr>
              <w:jc w:val="center"/>
              <w:rPr>
                <w:bCs/>
                <w:sz w:val="12"/>
                <w:szCs w:val="12"/>
              </w:rPr>
            </w:pPr>
            <w:r w:rsidRPr="00305460">
              <w:rPr>
                <w:bCs/>
                <w:sz w:val="12"/>
                <w:szCs w:val="12"/>
              </w:rPr>
              <w:t>13</w:t>
            </w:r>
          </w:p>
        </w:tc>
        <w:tc>
          <w:tcPr>
            <w:tcW w:w="179" w:type="pct"/>
            <w:gridSpan w:val="2"/>
            <w:shd w:val="clear" w:color="auto" w:fill="auto"/>
            <w:tcMar>
              <w:left w:w="17" w:type="dxa"/>
              <w:right w:w="17" w:type="dxa"/>
            </w:tcMar>
            <w:vAlign w:val="center"/>
          </w:tcPr>
          <w:p w14:paraId="4CAAE5D2" w14:textId="77777777" w:rsidR="001C56BD" w:rsidRPr="00305460" w:rsidRDefault="001C56BD" w:rsidP="008A5C11">
            <w:pPr>
              <w:jc w:val="center"/>
              <w:rPr>
                <w:bCs/>
                <w:sz w:val="12"/>
                <w:szCs w:val="12"/>
              </w:rPr>
            </w:pPr>
            <w:r w:rsidRPr="00305460">
              <w:rPr>
                <w:bCs/>
                <w:sz w:val="12"/>
                <w:szCs w:val="12"/>
              </w:rPr>
              <w:t>14</w:t>
            </w:r>
          </w:p>
        </w:tc>
        <w:tc>
          <w:tcPr>
            <w:tcW w:w="222" w:type="pct"/>
            <w:gridSpan w:val="2"/>
            <w:shd w:val="clear" w:color="auto" w:fill="auto"/>
            <w:tcMar>
              <w:left w:w="17" w:type="dxa"/>
              <w:right w:w="17" w:type="dxa"/>
            </w:tcMar>
            <w:vAlign w:val="center"/>
          </w:tcPr>
          <w:p w14:paraId="533F8945" w14:textId="77777777" w:rsidR="001C56BD" w:rsidRPr="00305460" w:rsidRDefault="001C56BD" w:rsidP="008A5C11">
            <w:pPr>
              <w:jc w:val="center"/>
              <w:rPr>
                <w:bCs/>
                <w:sz w:val="12"/>
                <w:szCs w:val="12"/>
              </w:rPr>
            </w:pPr>
            <w:r w:rsidRPr="00305460">
              <w:rPr>
                <w:bCs/>
                <w:sz w:val="12"/>
                <w:szCs w:val="12"/>
              </w:rPr>
              <w:t>15</w:t>
            </w:r>
          </w:p>
        </w:tc>
        <w:tc>
          <w:tcPr>
            <w:tcW w:w="213" w:type="pct"/>
            <w:tcMar>
              <w:left w:w="17" w:type="dxa"/>
              <w:right w:w="17" w:type="dxa"/>
            </w:tcMar>
            <w:vAlign w:val="center"/>
          </w:tcPr>
          <w:p w14:paraId="4782100E" w14:textId="77777777" w:rsidR="001C56BD" w:rsidRPr="00305460" w:rsidRDefault="001C56BD" w:rsidP="008A5C11">
            <w:pPr>
              <w:jc w:val="center"/>
              <w:rPr>
                <w:bCs/>
                <w:sz w:val="12"/>
                <w:szCs w:val="12"/>
              </w:rPr>
            </w:pPr>
            <w:r w:rsidRPr="00305460">
              <w:rPr>
                <w:bCs/>
                <w:sz w:val="12"/>
                <w:szCs w:val="12"/>
              </w:rPr>
              <w:t>16</w:t>
            </w:r>
          </w:p>
        </w:tc>
        <w:tc>
          <w:tcPr>
            <w:tcW w:w="218" w:type="pct"/>
            <w:tcMar>
              <w:left w:w="17" w:type="dxa"/>
              <w:right w:w="17" w:type="dxa"/>
            </w:tcMar>
            <w:vAlign w:val="center"/>
          </w:tcPr>
          <w:p w14:paraId="63AEC9D1" w14:textId="77777777" w:rsidR="001C56BD" w:rsidRPr="00305460" w:rsidRDefault="001C56BD" w:rsidP="008A5C11">
            <w:pPr>
              <w:jc w:val="center"/>
              <w:rPr>
                <w:bCs/>
                <w:sz w:val="12"/>
                <w:szCs w:val="12"/>
              </w:rPr>
            </w:pPr>
            <w:r w:rsidRPr="00305460">
              <w:rPr>
                <w:bCs/>
                <w:sz w:val="12"/>
                <w:szCs w:val="12"/>
              </w:rPr>
              <w:t>17</w:t>
            </w:r>
          </w:p>
        </w:tc>
        <w:tc>
          <w:tcPr>
            <w:tcW w:w="218" w:type="pct"/>
            <w:tcMar>
              <w:left w:w="17" w:type="dxa"/>
              <w:right w:w="17" w:type="dxa"/>
            </w:tcMar>
            <w:vAlign w:val="center"/>
          </w:tcPr>
          <w:p w14:paraId="438143DF" w14:textId="77777777" w:rsidR="001C56BD" w:rsidRPr="00305460" w:rsidRDefault="001C56BD" w:rsidP="008A5C11">
            <w:pPr>
              <w:jc w:val="center"/>
              <w:rPr>
                <w:bCs/>
                <w:sz w:val="12"/>
                <w:szCs w:val="12"/>
              </w:rPr>
            </w:pPr>
            <w:r w:rsidRPr="00305460">
              <w:rPr>
                <w:bCs/>
                <w:sz w:val="12"/>
                <w:szCs w:val="12"/>
              </w:rPr>
              <w:t>18</w:t>
            </w:r>
          </w:p>
        </w:tc>
        <w:tc>
          <w:tcPr>
            <w:tcW w:w="218" w:type="pct"/>
            <w:tcMar>
              <w:left w:w="17" w:type="dxa"/>
              <w:right w:w="17" w:type="dxa"/>
            </w:tcMar>
            <w:vAlign w:val="center"/>
          </w:tcPr>
          <w:p w14:paraId="51159FE5" w14:textId="77777777" w:rsidR="001C56BD" w:rsidRPr="00305460" w:rsidRDefault="001C56BD" w:rsidP="008A5C11">
            <w:pPr>
              <w:jc w:val="center"/>
              <w:rPr>
                <w:bCs/>
                <w:sz w:val="12"/>
                <w:szCs w:val="12"/>
              </w:rPr>
            </w:pPr>
            <w:r w:rsidRPr="00305460">
              <w:rPr>
                <w:bCs/>
                <w:sz w:val="12"/>
                <w:szCs w:val="12"/>
              </w:rPr>
              <w:t>19</w:t>
            </w:r>
          </w:p>
        </w:tc>
        <w:tc>
          <w:tcPr>
            <w:tcW w:w="218" w:type="pct"/>
            <w:gridSpan w:val="2"/>
            <w:tcMar>
              <w:left w:w="17" w:type="dxa"/>
              <w:right w:w="17" w:type="dxa"/>
            </w:tcMar>
            <w:vAlign w:val="center"/>
          </w:tcPr>
          <w:p w14:paraId="45A404E2" w14:textId="77777777" w:rsidR="001C56BD" w:rsidRPr="00305460" w:rsidRDefault="001C56BD" w:rsidP="008A5C11">
            <w:pPr>
              <w:jc w:val="center"/>
              <w:rPr>
                <w:bCs/>
                <w:sz w:val="12"/>
                <w:szCs w:val="12"/>
              </w:rPr>
            </w:pPr>
            <w:r w:rsidRPr="00305460">
              <w:rPr>
                <w:bCs/>
                <w:sz w:val="12"/>
                <w:szCs w:val="12"/>
              </w:rPr>
              <w:t>20</w:t>
            </w:r>
          </w:p>
        </w:tc>
        <w:tc>
          <w:tcPr>
            <w:tcW w:w="172" w:type="pct"/>
            <w:gridSpan w:val="2"/>
            <w:tcMar>
              <w:left w:w="17" w:type="dxa"/>
              <w:right w:w="17" w:type="dxa"/>
            </w:tcMar>
            <w:vAlign w:val="center"/>
          </w:tcPr>
          <w:p w14:paraId="405C3322" w14:textId="77777777" w:rsidR="001C56BD" w:rsidRPr="00305460" w:rsidRDefault="001C56BD" w:rsidP="008A5C11">
            <w:pPr>
              <w:jc w:val="center"/>
              <w:rPr>
                <w:bCs/>
                <w:sz w:val="12"/>
                <w:szCs w:val="12"/>
              </w:rPr>
            </w:pPr>
            <w:r w:rsidRPr="00305460">
              <w:rPr>
                <w:bCs/>
                <w:sz w:val="12"/>
                <w:szCs w:val="12"/>
              </w:rPr>
              <w:t>21</w:t>
            </w:r>
          </w:p>
        </w:tc>
        <w:tc>
          <w:tcPr>
            <w:tcW w:w="219" w:type="pct"/>
            <w:tcMar>
              <w:left w:w="17" w:type="dxa"/>
              <w:right w:w="17" w:type="dxa"/>
            </w:tcMar>
            <w:vAlign w:val="center"/>
          </w:tcPr>
          <w:p w14:paraId="2C2281CF" w14:textId="77777777" w:rsidR="001C56BD" w:rsidRPr="00305460" w:rsidRDefault="001C56BD" w:rsidP="008A5C11">
            <w:pPr>
              <w:jc w:val="center"/>
              <w:rPr>
                <w:bCs/>
                <w:sz w:val="12"/>
                <w:szCs w:val="12"/>
              </w:rPr>
            </w:pPr>
            <w:r w:rsidRPr="00305460">
              <w:rPr>
                <w:bCs/>
                <w:sz w:val="12"/>
                <w:szCs w:val="12"/>
              </w:rPr>
              <w:t>22</w:t>
            </w:r>
          </w:p>
        </w:tc>
        <w:tc>
          <w:tcPr>
            <w:tcW w:w="174" w:type="pct"/>
            <w:tcMar>
              <w:left w:w="17" w:type="dxa"/>
              <w:right w:w="17" w:type="dxa"/>
            </w:tcMar>
            <w:vAlign w:val="center"/>
          </w:tcPr>
          <w:p w14:paraId="42DAAF9A" w14:textId="77777777" w:rsidR="001C56BD" w:rsidRPr="00305460" w:rsidRDefault="001C56BD" w:rsidP="008A5C11">
            <w:pPr>
              <w:jc w:val="center"/>
              <w:rPr>
                <w:bCs/>
                <w:sz w:val="12"/>
                <w:szCs w:val="12"/>
              </w:rPr>
            </w:pPr>
            <w:r w:rsidRPr="00305460">
              <w:rPr>
                <w:bCs/>
                <w:sz w:val="12"/>
                <w:szCs w:val="12"/>
              </w:rPr>
              <w:t>23</w:t>
            </w:r>
          </w:p>
        </w:tc>
        <w:tc>
          <w:tcPr>
            <w:tcW w:w="176" w:type="pct"/>
            <w:tcMar>
              <w:left w:w="17" w:type="dxa"/>
              <w:right w:w="17" w:type="dxa"/>
            </w:tcMar>
            <w:vAlign w:val="center"/>
          </w:tcPr>
          <w:p w14:paraId="5A8F72C5" w14:textId="77777777" w:rsidR="001C56BD" w:rsidRPr="00305460" w:rsidRDefault="001C56BD" w:rsidP="008A5C11">
            <w:pPr>
              <w:jc w:val="center"/>
              <w:rPr>
                <w:bCs/>
                <w:sz w:val="12"/>
                <w:szCs w:val="12"/>
              </w:rPr>
            </w:pPr>
            <w:r w:rsidRPr="00305460">
              <w:rPr>
                <w:bCs/>
                <w:sz w:val="12"/>
                <w:szCs w:val="12"/>
              </w:rPr>
              <w:t>24</w:t>
            </w:r>
          </w:p>
        </w:tc>
      </w:tr>
      <w:tr w:rsidR="001C56BD" w:rsidRPr="00305460" w14:paraId="3A7E38A6" w14:textId="77777777" w:rsidTr="008A5C11">
        <w:trPr>
          <w:trHeight w:val="897"/>
        </w:trPr>
        <w:tc>
          <w:tcPr>
            <w:tcW w:w="86" w:type="pct"/>
            <w:shd w:val="clear" w:color="auto" w:fill="auto"/>
            <w:tcMar>
              <w:left w:w="17" w:type="dxa"/>
              <w:right w:w="17" w:type="dxa"/>
            </w:tcMar>
            <w:vAlign w:val="center"/>
          </w:tcPr>
          <w:p w14:paraId="581CB623" w14:textId="77777777" w:rsidR="001C56BD" w:rsidRPr="00305460" w:rsidRDefault="001C56BD" w:rsidP="008A5C11">
            <w:pPr>
              <w:jc w:val="center"/>
              <w:rPr>
                <w:sz w:val="12"/>
                <w:szCs w:val="12"/>
              </w:rPr>
            </w:pPr>
            <w:r w:rsidRPr="00305460">
              <w:rPr>
                <w:sz w:val="12"/>
                <w:szCs w:val="12"/>
              </w:rPr>
              <w:t>3.1.8.</w:t>
            </w:r>
          </w:p>
        </w:tc>
        <w:tc>
          <w:tcPr>
            <w:tcW w:w="295" w:type="pct"/>
            <w:shd w:val="clear" w:color="auto" w:fill="auto"/>
            <w:tcMar>
              <w:left w:w="17" w:type="dxa"/>
              <w:right w:w="17" w:type="dxa"/>
            </w:tcMar>
            <w:vAlign w:val="center"/>
          </w:tcPr>
          <w:p w14:paraId="6084319B" w14:textId="77777777" w:rsidR="001C56BD" w:rsidRPr="00305460" w:rsidRDefault="001C56BD" w:rsidP="008A5C11">
            <w:pPr>
              <w:rPr>
                <w:sz w:val="12"/>
                <w:szCs w:val="12"/>
              </w:rPr>
            </w:pPr>
            <w:r w:rsidRPr="00305460">
              <w:rPr>
                <w:sz w:val="12"/>
                <w:szCs w:val="12"/>
              </w:rPr>
              <w:t>Реконструкция тепловой сети с реестровым номером 759023</w:t>
            </w:r>
          </w:p>
        </w:tc>
        <w:tc>
          <w:tcPr>
            <w:tcW w:w="307" w:type="pct"/>
            <w:shd w:val="clear" w:color="000000" w:fill="FFFFFF"/>
            <w:tcMar>
              <w:left w:w="17" w:type="dxa"/>
              <w:right w:w="17" w:type="dxa"/>
            </w:tcMar>
            <w:vAlign w:val="center"/>
          </w:tcPr>
          <w:p w14:paraId="4A6FFFCB" w14:textId="77777777" w:rsidR="001C56BD" w:rsidRPr="00305460" w:rsidRDefault="001C56BD" w:rsidP="008A5C11">
            <w:pPr>
              <w:jc w:val="center"/>
              <w:rPr>
                <w:sz w:val="12"/>
                <w:szCs w:val="12"/>
              </w:rPr>
            </w:pPr>
            <w:r w:rsidRPr="00305460">
              <w:rPr>
                <w:color w:val="000000"/>
                <w:sz w:val="12"/>
                <w:szCs w:val="12"/>
              </w:rPr>
              <w:t>Повышение надежности услуг теплоснабжения, повышение энергетической эффективности</w:t>
            </w:r>
          </w:p>
        </w:tc>
        <w:tc>
          <w:tcPr>
            <w:tcW w:w="280" w:type="pct"/>
            <w:shd w:val="clear" w:color="auto" w:fill="auto"/>
            <w:tcMar>
              <w:left w:w="17" w:type="dxa"/>
              <w:right w:w="17" w:type="dxa"/>
            </w:tcMar>
            <w:vAlign w:val="center"/>
          </w:tcPr>
          <w:p w14:paraId="45B4EB95" w14:textId="77777777" w:rsidR="001C56BD" w:rsidRPr="00305460" w:rsidRDefault="001C56BD" w:rsidP="008A5C11">
            <w:pPr>
              <w:jc w:val="center"/>
              <w:rPr>
                <w:sz w:val="12"/>
                <w:szCs w:val="12"/>
              </w:rPr>
            </w:pPr>
            <w:r w:rsidRPr="00305460">
              <w:rPr>
                <w:sz w:val="12"/>
                <w:szCs w:val="12"/>
              </w:rPr>
              <w:t>Кемеровский городской округ, Кировский район, ул. 40 лет Октября, ТК 38</w:t>
            </w:r>
          </w:p>
        </w:tc>
        <w:tc>
          <w:tcPr>
            <w:tcW w:w="289" w:type="pct"/>
            <w:shd w:val="clear" w:color="auto" w:fill="auto"/>
            <w:tcMar>
              <w:left w:w="17" w:type="dxa"/>
              <w:right w:w="17" w:type="dxa"/>
            </w:tcMar>
            <w:vAlign w:val="center"/>
          </w:tcPr>
          <w:p w14:paraId="48BE8EFE" w14:textId="77777777" w:rsidR="001C56BD" w:rsidRPr="00305460" w:rsidRDefault="001C56BD" w:rsidP="008A5C11">
            <w:pPr>
              <w:jc w:val="center"/>
              <w:rPr>
                <w:sz w:val="12"/>
                <w:szCs w:val="12"/>
              </w:rPr>
            </w:pPr>
            <w:r w:rsidRPr="00305460">
              <w:rPr>
                <w:color w:val="000000"/>
                <w:sz w:val="12"/>
                <w:szCs w:val="12"/>
              </w:rPr>
              <w:t>Технические характеристики</w:t>
            </w:r>
          </w:p>
        </w:tc>
        <w:tc>
          <w:tcPr>
            <w:tcW w:w="137" w:type="pct"/>
            <w:shd w:val="clear" w:color="auto" w:fill="auto"/>
            <w:tcMar>
              <w:left w:w="17" w:type="dxa"/>
              <w:right w:w="17" w:type="dxa"/>
            </w:tcMar>
            <w:vAlign w:val="center"/>
          </w:tcPr>
          <w:p w14:paraId="51807446" w14:textId="77777777" w:rsidR="001C56BD" w:rsidRPr="00305460" w:rsidRDefault="001C56BD" w:rsidP="008A5C11">
            <w:pPr>
              <w:jc w:val="center"/>
              <w:rPr>
                <w:color w:val="000000"/>
                <w:sz w:val="12"/>
                <w:szCs w:val="12"/>
              </w:rPr>
            </w:pPr>
          </w:p>
        </w:tc>
        <w:tc>
          <w:tcPr>
            <w:tcW w:w="202" w:type="pct"/>
            <w:shd w:val="clear" w:color="auto" w:fill="auto"/>
            <w:tcMar>
              <w:left w:w="17" w:type="dxa"/>
              <w:right w:w="17" w:type="dxa"/>
            </w:tcMar>
            <w:vAlign w:val="center"/>
          </w:tcPr>
          <w:p w14:paraId="47F97EA4" w14:textId="77777777" w:rsidR="001C56BD" w:rsidRPr="00305460" w:rsidRDefault="001C56BD" w:rsidP="008A5C11">
            <w:pPr>
              <w:jc w:val="center"/>
              <w:rPr>
                <w:sz w:val="12"/>
                <w:szCs w:val="12"/>
              </w:rPr>
            </w:pPr>
            <w:r w:rsidRPr="00305460">
              <w:rPr>
                <w:sz w:val="12"/>
                <w:szCs w:val="12"/>
              </w:rPr>
              <w:t xml:space="preserve">Канал-ж/б лотки (непроходной канал), опоры приварные, запорная арматура - стальная клиновая, антикоррозийная защита-лак БТ, труба-сталь 20, изоляция - мин. маты          </w:t>
            </w:r>
          </w:p>
        </w:tc>
        <w:tc>
          <w:tcPr>
            <w:tcW w:w="244" w:type="pct"/>
            <w:shd w:val="clear" w:color="auto" w:fill="auto"/>
            <w:tcMar>
              <w:left w:w="17" w:type="dxa"/>
              <w:right w:w="17" w:type="dxa"/>
            </w:tcMar>
            <w:vAlign w:val="center"/>
          </w:tcPr>
          <w:p w14:paraId="497C31EB" w14:textId="77777777" w:rsidR="001C56BD" w:rsidRPr="00305460" w:rsidRDefault="001C56BD" w:rsidP="008A5C11">
            <w:pPr>
              <w:jc w:val="center"/>
              <w:rPr>
                <w:sz w:val="12"/>
                <w:szCs w:val="12"/>
              </w:rPr>
            </w:pPr>
            <w:r w:rsidRPr="00305460">
              <w:rPr>
                <w:sz w:val="12"/>
                <w:szCs w:val="12"/>
              </w:rPr>
              <w:t>Канал-ж/б лотки, опоры-хомутовые с диэлектрической прокладкой, запорная арматура - кран шаровый, антикоррозийная защита-мастика Вектор 1214, 1025, труба-сталь 09Г2С, изоляция - маты прошивные, стеклоплас тик</w:t>
            </w:r>
          </w:p>
        </w:tc>
        <w:tc>
          <w:tcPr>
            <w:tcW w:w="140" w:type="pct"/>
            <w:shd w:val="clear" w:color="auto" w:fill="auto"/>
            <w:tcMar>
              <w:left w:w="17" w:type="dxa"/>
              <w:right w:w="17" w:type="dxa"/>
            </w:tcMar>
            <w:vAlign w:val="center"/>
          </w:tcPr>
          <w:p w14:paraId="3C93E421" w14:textId="77777777" w:rsidR="001C56BD" w:rsidRPr="00305460" w:rsidRDefault="001C56BD" w:rsidP="008A5C11">
            <w:pPr>
              <w:jc w:val="center"/>
              <w:rPr>
                <w:sz w:val="12"/>
                <w:szCs w:val="12"/>
              </w:rPr>
            </w:pPr>
            <w:r w:rsidRPr="00305460">
              <w:rPr>
                <w:sz w:val="12"/>
                <w:szCs w:val="12"/>
              </w:rPr>
              <w:t>2024</w:t>
            </w:r>
          </w:p>
        </w:tc>
        <w:tc>
          <w:tcPr>
            <w:tcW w:w="140" w:type="pct"/>
            <w:shd w:val="clear" w:color="auto" w:fill="auto"/>
            <w:tcMar>
              <w:left w:w="17" w:type="dxa"/>
              <w:right w:w="17" w:type="dxa"/>
            </w:tcMar>
            <w:vAlign w:val="center"/>
          </w:tcPr>
          <w:p w14:paraId="10A3A513" w14:textId="77777777" w:rsidR="001C56BD" w:rsidRPr="00305460" w:rsidRDefault="001C56BD" w:rsidP="008A5C11">
            <w:pPr>
              <w:jc w:val="center"/>
              <w:rPr>
                <w:sz w:val="12"/>
                <w:szCs w:val="12"/>
              </w:rPr>
            </w:pPr>
            <w:r w:rsidRPr="00305460">
              <w:rPr>
                <w:sz w:val="12"/>
                <w:szCs w:val="12"/>
              </w:rPr>
              <w:t>2024</w:t>
            </w:r>
          </w:p>
        </w:tc>
        <w:tc>
          <w:tcPr>
            <w:tcW w:w="239" w:type="pct"/>
            <w:gridSpan w:val="3"/>
            <w:shd w:val="clear" w:color="auto" w:fill="auto"/>
            <w:tcMar>
              <w:left w:w="17" w:type="dxa"/>
              <w:right w:w="17" w:type="dxa"/>
            </w:tcMar>
            <w:vAlign w:val="center"/>
          </w:tcPr>
          <w:p w14:paraId="710090A2" w14:textId="77777777" w:rsidR="001C56BD" w:rsidRPr="00305460" w:rsidRDefault="001C56BD" w:rsidP="008A5C11">
            <w:pPr>
              <w:jc w:val="center"/>
              <w:rPr>
                <w:sz w:val="12"/>
                <w:szCs w:val="12"/>
              </w:rPr>
            </w:pPr>
            <w:r w:rsidRPr="00305460">
              <w:rPr>
                <w:sz w:val="12"/>
                <w:szCs w:val="12"/>
              </w:rPr>
              <w:t>6849,900</w:t>
            </w:r>
          </w:p>
        </w:tc>
        <w:tc>
          <w:tcPr>
            <w:tcW w:w="196" w:type="pct"/>
            <w:gridSpan w:val="3"/>
            <w:shd w:val="clear" w:color="auto" w:fill="auto"/>
            <w:tcMar>
              <w:left w:w="17" w:type="dxa"/>
              <w:right w:w="17" w:type="dxa"/>
            </w:tcMar>
            <w:vAlign w:val="center"/>
          </w:tcPr>
          <w:p w14:paraId="3DB982AD" w14:textId="77777777" w:rsidR="001C56BD" w:rsidRPr="00305460" w:rsidRDefault="001C56BD" w:rsidP="008A5C11">
            <w:pPr>
              <w:jc w:val="center"/>
              <w:rPr>
                <w:sz w:val="12"/>
                <w:szCs w:val="12"/>
              </w:rPr>
            </w:pPr>
            <w:r w:rsidRPr="00305460">
              <w:rPr>
                <w:sz w:val="12"/>
                <w:szCs w:val="12"/>
              </w:rPr>
              <w:t>0,000</w:t>
            </w:r>
          </w:p>
        </w:tc>
        <w:tc>
          <w:tcPr>
            <w:tcW w:w="216" w:type="pct"/>
            <w:gridSpan w:val="3"/>
            <w:shd w:val="clear" w:color="auto" w:fill="auto"/>
            <w:tcMar>
              <w:left w:w="17" w:type="dxa"/>
              <w:right w:w="17" w:type="dxa"/>
            </w:tcMar>
            <w:vAlign w:val="center"/>
          </w:tcPr>
          <w:p w14:paraId="10D6E903" w14:textId="77777777" w:rsidR="001C56BD" w:rsidRPr="00305460" w:rsidRDefault="001C56BD" w:rsidP="008A5C11">
            <w:pPr>
              <w:jc w:val="center"/>
              <w:rPr>
                <w:sz w:val="12"/>
                <w:szCs w:val="12"/>
              </w:rPr>
            </w:pPr>
            <w:r w:rsidRPr="00305460">
              <w:rPr>
                <w:sz w:val="12"/>
                <w:szCs w:val="12"/>
              </w:rPr>
              <w:t>0,000</w:t>
            </w:r>
          </w:p>
        </w:tc>
        <w:tc>
          <w:tcPr>
            <w:tcW w:w="179" w:type="pct"/>
            <w:gridSpan w:val="2"/>
            <w:shd w:val="clear" w:color="auto" w:fill="auto"/>
            <w:tcMar>
              <w:left w:w="17" w:type="dxa"/>
              <w:right w:w="17" w:type="dxa"/>
            </w:tcMar>
            <w:vAlign w:val="center"/>
          </w:tcPr>
          <w:p w14:paraId="1FB5DA7B" w14:textId="77777777" w:rsidR="001C56BD" w:rsidRPr="00305460" w:rsidRDefault="001C56BD" w:rsidP="008A5C11">
            <w:pPr>
              <w:jc w:val="center"/>
              <w:rPr>
                <w:sz w:val="12"/>
                <w:szCs w:val="12"/>
              </w:rPr>
            </w:pPr>
            <w:r w:rsidRPr="00305460">
              <w:rPr>
                <w:sz w:val="12"/>
                <w:szCs w:val="12"/>
              </w:rPr>
              <w:t>0,000</w:t>
            </w:r>
          </w:p>
        </w:tc>
        <w:tc>
          <w:tcPr>
            <w:tcW w:w="222" w:type="pct"/>
            <w:gridSpan w:val="2"/>
            <w:shd w:val="clear" w:color="auto" w:fill="auto"/>
            <w:tcMar>
              <w:left w:w="17" w:type="dxa"/>
              <w:right w:w="17" w:type="dxa"/>
            </w:tcMar>
            <w:vAlign w:val="center"/>
          </w:tcPr>
          <w:p w14:paraId="1E8B519D" w14:textId="77777777" w:rsidR="001C56BD" w:rsidRPr="00305460" w:rsidRDefault="001C56BD" w:rsidP="008A5C11">
            <w:pPr>
              <w:jc w:val="center"/>
              <w:rPr>
                <w:sz w:val="12"/>
                <w:szCs w:val="12"/>
              </w:rPr>
            </w:pPr>
            <w:r w:rsidRPr="00305460">
              <w:rPr>
                <w:sz w:val="12"/>
                <w:szCs w:val="12"/>
              </w:rPr>
              <w:t>6849,900</w:t>
            </w:r>
          </w:p>
        </w:tc>
        <w:tc>
          <w:tcPr>
            <w:tcW w:w="213" w:type="pct"/>
            <w:shd w:val="clear" w:color="auto" w:fill="auto"/>
            <w:tcMar>
              <w:left w:w="17" w:type="dxa"/>
              <w:right w:w="17" w:type="dxa"/>
            </w:tcMar>
            <w:vAlign w:val="center"/>
          </w:tcPr>
          <w:p w14:paraId="61C6BEF6"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2098D5C9"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224E4182"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2F33E8A0" w14:textId="77777777" w:rsidR="001C56BD" w:rsidRPr="00305460" w:rsidRDefault="001C56BD" w:rsidP="008A5C11">
            <w:pPr>
              <w:jc w:val="center"/>
              <w:rPr>
                <w:sz w:val="12"/>
                <w:szCs w:val="12"/>
              </w:rPr>
            </w:pPr>
            <w:r w:rsidRPr="00305460">
              <w:rPr>
                <w:sz w:val="12"/>
                <w:szCs w:val="12"/>
              </w:rPr>
              <w:t>0,000</w:t>
            </w:r>
          </w:p>
        </w:tc>
        <w:tc>
          <w:tcPr>
            <w:tcW w:w="218" w:type="pct"/>
            <w:gridSpan w:val="2"/>
            <w:shd w:val="clear" w:color="auto" w:fill="auto"/>
            <w:tcMar>
              <w:left w:w="17" w:type="dxa"/>
              <w:right w:w="17" w:type="dxa"/>
            </w:tcMar>
            <w:vAlign w:val="center"/>
          </w:tcPr>
          <w:p w14:paraId="75701824" w14:textId="77777777" w:rsidR="001C56BD" w:rsidRPr="00305460" w:rsidRDefault="001C56BD" w:rsidP="008A5C11">
            <w:pPr>
              <w:jc w:val="center"/>
              <w:rPr>
                <w:sz w:val="12"/>
                <w:szCs w:val="12"/>
              </w:rPr>
            </w:pPr>
            <w:r w:rsidRPr="00305460">
              <w:rPr>
                <w:sz w:val="12"/>
                <w:szCs w:val="12"/>
              </w:rPr>
              <w:t>0,000</w:t>
            </w:r>
          </w:p>
        </w:tc>
        <w:tc>
          <w:tcPr>
            <w:tcW w:w="172" w:type="pct"/>
            <w:gridSpan w:val="2"/>
            <w:shd w:val="clear" w:color="auto" w:fill="auto"/>
            <w:tcMar>
              <w:left w:w="17" w:type="dxa"/>
              <w:right w:w="17" w:type="dxa"/>
            </w:tcMar>
            <w:vAlign w:val="center"/>
          </w:tcPr>
          <w:p w14:paraId="685B0AFF" w14:textId="77777777" w:rsidR="001C56BD" w:rsidRPr="00305460" w:rsidRDefault="001C56BD" w:rsidP="008A5C11">
            <w:pPr>
              <w:jc w:val="center"/>
              <w:rPr>
                <w:sz w:val="12"/>
                <w:szCs w:val="12"/>
              </w:rPr>
            </w:pPr>
            <w:r w:rsidRPr="00305460">
              <w:rPr>
                <w:sz w:val="12"/>
                <w:szCs w:val="12"/>
              </w:rPr>
              <w:t>0,000</w:t>
            </w:r>
          </w:p>
        </w:tc>
        <w:tc>
          <w:tcPr>
            <w:tcW w:w="219" w:type="pct"/>
            <w:shd w:val="clear" w:color="auto" w:fill="auto"/>
            <w:tcMar>
              <w:left w:w="17" w:type="dxa"/>
              <w:right w:w="17" w:type="dxa"/>
            </w:tcMar>
            <w:vAlign w:val="center"/>
          </w:tcPr>
          <w:p w14:paraId="07C1C476" w14:textId="77777777" w:rsidR="001C56BD" w:rsidRPr="00305460" w:rsidRDefault="001C56BD" w:rsidP="008A5C11">
            <w:pPr>
              <w:jc w:val="center"/>
              <w:rPr>
                <w:sz w:val="12"/>
                <w:szCs w:val="12"/>
              </w:rPr>
            </w:pPr>
            <w:r w:rsidRPr="00305460">
              <w:rPr>
                <w:sz w:val="12"/>
                <w:szCs w:val="12"/>
              </w:rPr>
              <w:t>0,000</w:t>
            </w:r>
          </w:p>
        </w:tc>
        <w:tc>
          <w:tcPr>
            <w:tcW w:w="174" w:type="pct"/>
            <w:shd w:val="clear" w:color="auto" w:fill="auto"/>
            <w:tcMar>
              <w:left w:w="17" w:type="dxa"/>
              <w:right w:w="17" w:type="dxa"/>
            </w:tcMar>
            <w:vAlign w:val="center"/>
          </w:tcPr>
          <w:p w14:paraId="2F9AA4F5" w14:textId="77777777" w:rsidR="001C56BD" w:rsidRPr="00305460" w:rsidRDefault="001C56BD" w:rsidP="008A5C11">
            <w:pPr>
              <w:jc w:val="center"/>
              <w:rPr>
                <w:sz w:val="12"/>
                <w:szCs w:val="12"/>
              </w:rPr>
            </w:pPr>
            <w:r w:rsidRPr="00305460">
              <w:rPr>
                <w:sz w:val="12"/>
                <w:szCs w:val="12"/>
              </w:rPr>
              <w:t>0,000</w:t>
            </w:r>
          </w:p>
        </w:tc>
        <w:tc>
          <w:tcPr>
            <w:tcW w:w="176" w:type="pct"/>
            <w:shd w:val="clear" w:color="auto" w:fill="auto"/>
            <w:tcMar>
              <w:left w:w="17" w:type="dxa"/>
              <w:right w:w="17" w:type="dxa"/>
            </w:tcMar>
            <w:vAlign w:val="center"/>
          </w:tcPr>
          <w:p w14:paraId="5AB7066C" w14:textId="77777777" w:rsidR="001C56BD" w:rsidRPr="00305460" w:rsidRDefault="001C56BD" w:rsidP="008A5C11">
            <w:pPr>
              <w:jc w:val="center"/>
              <w:rPr>
                <w:sz w:val="12"/>
                <w:szCs w:val="12"/>
              </w:rPr>
            </w:pPr>
            <w:r w:rsidRPr="00305460">
              <w:rPr>
                <w:sz w:val="12"/>
                <w:szCs w:val="12"/>
              </w:rPr>
              <w:t>0,000</w:t>
            </w:r>
          </w:p>
        </w:tc>
      </w:tr>
      <w:tr w:rsidR="001C56BD" w:rsidRPr="00305460" w14:paraId="6DAAA97D" w14:textId="77777777" w:rsidTr="008A5C11">
        <w:trPr>
          <w:trHeight w:val="897"/>
        </w:trPr>
        <w:tc>
          <w:tcPr>
            <w:tcW w:w="86" w:type="pct"/>
            <w:shd w:val="clear" w:color="auto" w:fill="auto"/>
            <w:tcMar>
              <w:left w:w="17" w:type="dxa"/>
              <w:right w:w="17" w:type="dxa"/>
            </w:tcMar>
            <w:vAlign w:val="center"/>
          </w:tcPr>
          <w:p w14:paraId="175002DC" w14:textId="77777777" w:rsidR="001C56BD" w:rsidRPr="00305460" w:rsidRDefault="001C56BD" w:rsidP="008A5C11">
            <w:pPr>
              <w:jc w:val="center"/>
              <w:rPr>
                <w:sz w:val="12"/>
                <w:szCs w:val="12"/>
              </w:rPr>
            </w:pPr>
            <w:r w:rsidRPr="00305460">
              <w:rPr>
                <w:sz w:val="12"/>
                <w:szCs w:val="12"/>
              </w:rPr>
              <w:t>3.1.9.</w:t>
            </w:r>
          </w:p>
        </w:tc>
        <w:tc>
          <w:tcPr>
            <w:tcW w:w="295" w:type="pct"/>
            <w:shd w:val="clear" w:color="auto" w:fill="auto"/>
            <w:tcMar>
              <w:left w:w="17" w:type="dxa"/>
              <w:right w:w="17" w:type="dxa"/>
            </w:tcMar>
            <w:vAlign w:val="center"/>
          </w:tcPr>
          <w:p w14:paraId="738A817E" w14:textId="77777777" w:rsidR="001C56BD" w:rsidRPr="00305460" w:rsidRDefault="001C56BD" w:rsidP="008A5C11">
            <w:pPr>
              <w:rPr>
                <w:sz w:val="12"/>
                <w:szCs w:val="12"/>
              </w:rPr>
            </w:pPr>
            <w:r w:rsidRPr="00305460">
              <w:rPr>
                <w:sz w:val="12"/>
                <w:szCs w:val="12"/>
              </w:rPr>
              <w:t>Реконструкция тепловой сети с реестровым номером 759681</w:t>
            </w:r>
          </w:p>
        </w:tc>
        <w:tc>
          <w:tcPr>
            <w:tcW w:w="307" w:type="pct"/>
            <w:shd w:val="clear" w:color="000000" w:fill="FFFFFF"/>
            <w:tcMar>
              <w:left w:w="17" w:type="dxa"/>
              <w:right w:w="17" w:type="dxa"/>
            </w:tcMar>
            <w:vAlign w:val="center"/>
          </w:tcPr>
          <w:p w14:paraId="2396BB3B" w14:textId="77777777" w:rsidR="001C56BD" w:rsidRPr="00305460" w:rsidRDefault="001C56BD" w:rsidP="008A5C11">
            <w:pPr>
              <w:jc w:val="center"/>
              <w:rPr>
                <w:sz w:val="12"/>
                <w:szCs w:val="12"/>
              </w:rPr>
            </w:pPr>
            <w:r w:rsidRPr="00305460">
              <w:rPr>
                <w:color w:val="000000"/>
                <w:sz w:val="12"/>
                <w:szCs w:val="12"/>
              </w:rPr>
              <w:t>Повышение надежности услуг теплоснабжения, повышение энергетической эффективности</w:t>
            </w:r>
          </w:p>
        </w:tc>
        <w:tc>
          <w:tcPr>
            <w:tcW w:w="280" w:type="pct"/>
            <w:shd w:val="clear" w:color="auto" w:fill="auto"/>
            <w:tcMar>
              <w:left w:w="17" w:type="dxa"/>
              <w:right w:w="17" w:type="dxa"/>
            </w:tcMar>
            <w:vAlign w:val="center"/>
          </w:tcPr>
          <w:p w14:paraId="68999508" w14:textId="77777777" w:rsidR="001C56BD" w:rsidRPr="00305460" w:rsidRDefault="001C56BD" w:rsidP="008A5C11">
            <w:pPr>
              <w:jc w:val="center"/>
              <w:rPr>
                <w:sz w:val="12"/>
                <w:szCs w:val="12"/>
              </w:rPr>
            </w:pPr>
            <w:r w:rsidRPr="00305460">
              <w:rPr>
                <w:sz w:val="12"/>
                <w:szCs w:val="12"/>
              </w:rPr>
              <w:t>Кемеровский городской округ, Кировский район, ул. Инициативная, Квартал 21, 21а от ТК II-36; ТК II-47</w:t>
            </w:r>
          </w:p>
        </w:tc>
        <w:tc>
          <w:tcPr>
            <w:tcW w:w="289" w:type="pct"/>
            <w:shd w:val="clear" w:color="auto" w:fill="auto"/>
            <w:tcMar>
              <w:left w:w="17" w:type="dxa"/>
              <w:right w:w="17" w:type="dxa"/>
            </w:tcMar>
            <w:vAlign w:val="center"/>
          </w:tcPr>
          <w:p w14:paraId="66F74280" w14:textId="77777777" w:rsidR="001C56BD" w:rsidRPr="00305460" w:rsidRDefault="001C56BD" w:rsidP="008A5C11">
            <w:pPr>
              <w:jc w:val="center"/>
              <w:rPr>
                <w:sz w:val="12"/>
                <w:szCs w:val="12"/>
              </w:rPr>
            </w:pPr>
            <w:r w:rsidRPr="00305460">
              <w:rPr>
                <w:color w:val="000000"/>
                <w:sz w:val="12"/>
                <w:szCs w:val="12"/>
              </w:rPr>
              <w:t>Технические характеристики</w:t>
            </w:r>
          </w:p>
        </w:tc>
        <w:tc>
          <w:tcPr>
            <w:tcW w:w="137" w:type="pct"/>
            <w:shd w:val="clear" w:color="auto" w:fill="auto"/>
            <w:tcMar>
              <w:left w:w="17" w:type="dxa"/>
              <w:right w:w="17" w:type="dxa"/>
            </w:tcMar>
            <w:vAlign w:val="center"/>
          </w:tcPr>
          <w:p w14:paraId="36BF063C" w14:textId="77777777" w:rsidR="001C56BD" w:rsidRPr="00305460" w:rsidRDefault="001C56BD" w:rsidP="008A5C11">
            <w:pPr>
              <w:jc w:val="center"/>
              <w:rPr>
                <w:color w:val="000000"/>
                <w:sz w:val="12"/>
                <w:szCs w:val="12"/>
              </w:rPr>
            </w:pPr>
          </w:p>
        </w:tc>
        <w:tc>
          <w:tcPr>
            <w:tcW w:w="202" w:type="pct"/>
            <w:shd w:val="clear" w:color="auto" w:fill="auto"/>
            <w:tcMar>
              <w:left w:w="17" w:type="dxa"/>
              <w:right w:w="17" w:type="dxa"/>
            </w:tcMar>
            <w:vAlign w:val="center"/>
          </w:tcPr>
          <w:p w14:paraId="595F0E8D" w14:textId="77777777" w:rsidR="001C56BD" w:rsidRPr="00305460" w:rsidRDefault="001C56BD" w:rsidP="008A5C11">
            <w:pPr>
              <w:jc w:val="center"/>
              <w:rPr>
                <w:sz w:val="12"/>
                <w:szCs w:val="12"/>
              </w:rPr>
            </w:pPr>
            <w:r w:rsidRPr="00305460">
              <w:rPr>
                <w:sz w:val="12"/>
                <w:szCs w:val="12"/>
              </w:rPr>
              <w:t>Канал-кирпич (непроходной канал),</w:t>
            </w:r>
            <w:r w:rsidRPr="00305460">
              <w:rPr>
                <w:sz w:val="12"/>
                <w:szCs w:val="12"/>
              </w:rPr>
              <w:br/>
              <w:t xml:space="preserve">опоры </w:t>
            </w:r>
            <w:proofErr w:type="gramStart"/>
            <w:r w:rsidRPr="00305460">
              <w:rPr>
                <w:sz w:val="12"/>
                <w:szCs w:val="12"/>
              </w:rPr>
              <w:t>привар-ные</w:t>
            </w:r>
            <w:proofErr w:type="gramEnd"/>
            <w:r w:rsidRPr="00305460">
              <w:rPr>
                <w:sz w:val="12"/>
                <w:szCs w:val="12"/>
              </w:rPr>
              <w:t xml:space="preserve">, запорная арматура-стальная клиновая, антикоррозийная защита-лак БТ, труба-сталь 20, изоляция-мин. маты.       </w:t>
            </w:r>
          </w:p>
        </w:tc>
        <w:tc>
          <w:tcPr>
            <w:tcW w:w="244" w:type="pct"/>
            <w:shd w:val="clear" w:color="auto" w:fill="auto"/>
            <w:tcMar>
              <w:left w:w="17" w:type="dxa"/>
              <w:right w:w="17" w:type="dxa"/>
            </w:tcMar>
            <w:vAlign w:val="center"/>
          </w:tcPr>
          <w:p w14:paraId="2EBE2080" w14:textId="77777777" w:rsidR="001C56BD" w:rsidRPr="00305460" w:rsidRDefault="001C56BD" w:rsidP="008A5C11">
            <w:pPr>
              <w:jc w:val="center"/>
              <w:rPr>
                <w:sz w:val="12"/>
                <w:szCs w:val="12"/>
              </w:rPr>
            </w:pPr>
            <w:r w:rsidRPr="00305460">
              <w:rPr>
                <w:sz w:val="12"/>
                <w:szCs w:val="12"/>
              </w:rPr>
              <w:t xml:space="preserve">Канал-ж/б лотки, опоры-хомутовые с диэлектрической прокладкой, запорная арматура - кран шаровый, антикоррозийная защита-мастика Вектор 1214, 1025, труба-сталь 09Г2С, изоляция - маты прошивные, </w:t>
            </w:r>
            <w:proofErr w:type="gramStart"/>
            <w:r w:rsidRPr="00305460">
              <w:rPr>
                <w:sz w:val="12"/>
                <w:szCs w:val="12"/>
              </w:rPr>
              <w:t>стеклоплас-тик</w:t>
            </w:r>
            <w:proofErr w:type="gramEnd"/>
            <w:r w:rsidRPr="00305460">
              <w:rPr>
                <w:sz w:val="12"/>
                <w:szCs w:val="12"/>
              </w:rPr>
              <w:t xml:space="preserve">  </w:t>
            </w:r>
          </w:p>
        </w:tc>
        <w:tc>
          <w:tcPr>
            <w:tcW w:w="140" w:type="pct"/>
            <w:shd w:val="clear" w:color="auto" w:fill="auto"/>
            <w:tcMar>
              <w:left w:w="17" w:type="dxa"/>
              <w:right w:w="17" w:type="dxa"/>
            </w:tcMar>
            <w:vAlign w:val="center"/>
          </w:tcPr>
          <w:p w14:paraId="4EF189D8" w14:textId="77777777" w:rsidR="001C56BD" w:rsidRPr="00305460" w:rsidRDefault="001C56BD" w:rsidP="008A5C11">
            <w:pPr>
              <w:jc w:val="center"/>
              <w:rPr>
                <w:sz w:val="12"/>
                <w:szCs w:val="12"/>
              </w:rPr>
            </w:pPr>
            <w:r w:rsidRPr="00305460">
              <w:rPr>
                <w:sz w:val="12"/>
                <w:szCs w:val="12"/>
              </w:rPr>
              <w:t>2022</w:t>
            </w:r>
          </w:p>
        </w:tc>
        <w:tc>
          <w:tcPr>
            <w:tcW w:w="140" w:type="pct"/>
            <w:shd w:val="clear" w:color="auto" w:fill="auto"/>
            <w:tcMar>
              <w:left w:w="17" w:type="dxa"/>
              <w:right w:w="17" w:type="dxa"/>
            </w:tcMar>
            <w:vAlign w:val="center"/>
          </w:tcPr>
          <w:p w14:paraId="2341F7EA" w14:textId="77777777" w:rsidR="001C56BD" w:rsidRPr="00305460" w:rsidRDefault="001C56BD" w:rsidP="008A5C11">
            <w:pPr>
              <w:jc w:val="center"/>
              <w:rPr>
                <w:sz w:val="12"/>
                <w:szCs w:val="12"/>
              </w:rPr>
            </w:pPr>
            <w:r w:rsidRPr="00305460">
              <w:rPr>
                <w:sz w:val="12"/>
                <w:szCs w:val="12"/>
              </w:rPr>
              <w:t>2027</w:t>
            </w:r>
          </w:p>
        </w:tc>
        <w:tc>
          <w:tcPr>
            <w:tcW w:w="239" w:type="pct"/>
            <w:gridSpan w:val="3"/>
            <w:shd w:val="clear" w:color="auto" w:fill="auto"/>
            <w:tcMar>
              <w:left w:w="17" w:type="dxa"/>
              <w:right w:w="17" w:type="dxa"/>
            </w:tcMar>
            <w:vAlign w:val="center"/>
          </w:tcPr>
          <w:p w14:paraId="34D09AAF" w14:textId="77777777" w:rsidR="001C56BD" w:rsidRPr="00305460" w:rsidRDefault="001C56BD" w:rsidP="008A5C11">
            <w:pPr>
              <w:jc w:val="center"/>
              <w:rPr>
                <w:sz w:val="12"/>
                <w:szCs w:val="12"/>
              </w:rPr>
            </w:pPr>
            <w:r w:rsidRPr="00305460">
              <w:rPr>
                <w:sz w:val="12"/>
                <w:szCs w:val="12"/>
              </w:rPr>
              <w:t>132172,650</w:t>
            </w:r>
          </w:p>
        </w:tc>
        <w:tc>
          <w:tcPr>
            <w:tcW w:w="196" w:type="pct"/>
            <w:gridSpan w:val="3"/>
            <w:shd w:val="clear" w:color="auto" w:fill="auto"/>
            <w:tcMar>
              <w:left w:w="17" w:type="dxa"/>
              <w:right w:w="17" w:type="dxa"/>
            </w:tcMar>
            <w:vAlign w:val="center"/>
          </w:tcPr>
          <w:p w14:paraId="41CAFAC6" w14:textId="77777777" w:rsidR="001C56BD" w:rsidRPr="00305460" w:rsidRDefault="001C56BD" w:rsidP="008A5C11">
            <w:pPr>
              <w:jc w:val="center"/>
              <w:rPr>
                <w:sz w:val="12"/>
                <w:szCs w:val="12"/>
              </w:rPr>
            </w:pPr>
            <w:r w:rsidRPr="00305460">
              <w:rPr>
                <w:sz w:val="12"/>
                <w:szCs w:val="12"/>
              </w:rPr>
              <w:t>0,000</w:t>
            </w:r>
          </w:p>
        </w:tc>
        <w:tc>
          <w:tcPr>
            <w:tcW w:w="216" w:type="pct"/>
            <w:gridSpan w:val="3"/>
            <w:shd w:val="clear" w:color="auto" w:fill="auto"/>
            <w:tcMar>
              <w:left w:w="17" w:type="dxa"/>
              <w:right w:w="17" w:type="dxa"/>
            </w:tcMar>
            <w:vAlign w:val="center"/>
          </w:tcPr>
          <w:p w14:paraId="2303578C" w14:textId="77777777" w:rsidR="001C56BD" w:rsidRPr="00305460" w:rsidRDefault="001C56BD" w:rsidP="008A5C11">
            <w:pPr>
              <w:jc w:val="center"/>
              <w:rPr>
                <w:sz w:val="12"/>
                <w:szCs w:val="12"/>
              </w:rPr>
            </w:pPr>
            <w:r w:rsidRPr="00305460">
              <w:rPr>
                <w:sz w:val="12"/>
                <w:szCs w:val="12"/>
              </w:rPr>
              <w:t>43793,400</w:t>
            </w:r>
          </w:p>
        </w:tc>
        <w:tc>
          <w:tcPr>
            <w:tcW w:w="179" w:type="pct"/>
            <w:gridSpan w:val="2"/>
            <w:shd w:val="clear" w:color="auto" w:fill="auto"/>
            <w:tcMar>
              <w:left w:w="17" w:type="dxa"/>
              <w:right w:w="17" w:type="dxa"/>
            </w:tcMar>
            <w:vAlign w:val="center"/>
          </w:tcPr>
          <w:p w14:paraId="524252A0" w14:textId="77777777" w:rsidR="001C56BD" w:rsidRPr="00305460" w:rsidRDefault="001C56BD" w:rsidP="008A5C11">
            <w:pPr>
              <w:jc w:val="center"/>
              <w:rPr>
                <w:sz w:val="12"/>
                <w:szCs w:val="12"/>
              </w:rPr>
            </w:pPr>
            <w:r w:rsidRPr="00305460">
              <w:rPr>
                <w:sz w:val="12"/>
                <w:szCs w:val="12"/>
              </w:rPr>
              <w:t>11952,786</w:t>
            </w:r>
          </w:p>
        </w:tc>
        <w:tc>
          <w:tcPr>
            <w:tcW w:w="222" w:type="pct"/>
            <w:gridSpan w:val="2"/>
            <w:shd w:val="clear" w:color="auto" w:fill="auto"/>
            <w:tcMar>
              <w:left w:w="17" w:type="dxa"/>
              <w:right w:w="17" w:type="dxa"/>
            </w:tcMar>
            <w:vAlign w:val="center"/>
          </w:tcPr>
          <w:p w14:paraId="5568A9E0" w14:textId="77777777" w:rsidR="001C56BD" w:rsidRPr="00305460" w:rsidRDefault="001C56BD" w:rsidP="008A5C11">
            <w:pPr>
              <w:jc w:val="center"/>
              <w:rPr>
                <w:sz w:val="12"/>
                <w:szCs w:val="12"/>
              </w:rPr>
            </w:pPr>
            <w:r w:rsidRPr="00305460">
              <w:rPr>
                <w:sz w:val="12"/>
                <w:szCs w:val="12"/>
              </w:rPr>
              <w:t>4400,796</w:t>
            </w:r>
          </w:p>
        </w:tc>
        <w:tc>
          <w:tcPr>
            <w:tcW w:w="213" w:type="pct"/>
            <w:shd w:val="clear" w:color="auto" w:fill="auto"/>
            <w:tcMar>
              <w:left w:w="17" w:type="dxa"/>
              <w:right w:w="17" w:type="dxa"/>
            </w:tcMar>
            <w:vAlign w:val="center"/>
          </w:tcPr>
          <w:p w14:paraId="2B49E9D7" w14:textId="77777777" w:rsidR="001C56BD" w:rsidRPr="00305460" w:rsidRDefault="001C56BD" w:rsidP="008A5C11">
            <w:pPr>
              <w:jc w:val="center"/>
              <w:rPr>
                <w:sz w:val="12"/>
                <w:szCs w:val="12"/>
              </w:rPr>
            </w:pPr>
            <w:r w:rsidRPr="00305460">
              <w:rPr>
                <w:sz w:val="12"/>
                <w:szCs w:val="12"/>
              </w:rPr>
              <w:t>12536,280</w:t>
            </w:r>
          </w:p>
        </w:tc>
        <w:tc>
          <w:tcPr>
            <w:tcW w:w="218" w:type="pct"/>
            <w:shd w:val="clear" w:color="auto" w:fill="auto"/>
            <w:tcMar>
              <w:left w:w="17" w:type="dxa"/>
              <w:right w:w="17" w:type="dxa"/>
            </w:tcMar>
            <w:vAlign w:val="center"/>
          </w:tcPr>
          <w:p w14:paraId="4D9CB36C" w14:textId="77777777" w:rsidR="001C56BD" w:rsidRPr="00305460" w:rsidRDefault="001C56BD" w:rsidP="008A5C11">
            <w:pPr>
              <w:jc w:val="center"/>
              <w:rPr>
                <w:sz w:val="12"/>
                <w:szCs w:val="12"/>
              </w:rPr>
            </w:pPr>
            <w:r w:rsidRPr="00305460">
              <w:rPr>
                <w:sz w:val="12"/>
                <w:szCs w:val="12"/>
              </w:rPr>
              <w:t>36365,868</w:t>
            </w:r>
          </w:p>
        </w:tc>
        <w:tc>
          <w:tcPr>
            <w:tcW w:w="218" w:type="pct"/>
            <w:shd w:val="clear" w:color="auto" w:fill="auto"/>
            <w:tcMar>
              <w:left w:w="17" w:type="dxa"/>
              <w:right w:w="17" w:type="dxa"/>
            </w:tcMar>
            <w:vAlign w:val="center"/>
          </w:tcPr>
          <w:p w14:paraId="0F9C19AB" w14:textId="77777777" w:rsidR="001C56BD" w:rsidRPr="00305460" w:rsidRDefault="001C56BD" w:rsidP="008A5C11">
            <w:pPr>
              <w:jc w:val="center"/>
              <w:rPr>
                <w:sz w:val="12"/>
                <w:szCs w:val="12"/>
              </w:rPr>
            </w:pPr>
            <w:r w:rsidRPr="00305460">
              <w:rPr>
                <w:sz w:val="12"/>
                <w:szCs w:val="12"/>
              </w:rPr>
              <w:t>23123,520</w:t>
            </w:r>
          </w:p>
        </w:tc>
        <w:tc>
          <w:tcPr>
            <w:tcW w:w="218" w:type="pct"/>
            <w:shd w:val="clear" w:color="auto" w:fill="auto"/>
            <w:tcMar>
              <w:left w:w="17" w:type="dxa"/>
              <w:right w:w="17" w:type="dxa"/>
            </w:tcMar>
            <w:vAlign w:val="center"/>
          </w:tcPr>
          <w:p w14:paraId="72916A05" w14:textId="77777777" w:rsidR="001C56BD" w:rsidRPr="00305460" w:rsidRDefault="001C56BD" w:rsidP="008A5C11">
            <w:pPr>
              <w:jc w:val="center"/>
              <w:rPr>
                <w:sz w:val="12"/>
                <w:szCs w:val="12"/>
              </w:rPr>
            </w:pPr>
            <w:r w:rsidRPr="00305460">
              <w:rPr>
                <w:sz w:val="12"/>
                <w:szCs w:val="12"/>
              </w:rPr>
              <w:t>0,000</w:t>
            </w:r>
          </w:p>
        </w:tc>
        <w:tc>
          <w:tcPr>
            <w:tcW w:w="218" w:type="pct"/>
            <w:gridSpan w:val="2"/>
            <w:shd w:val="clear" w:color="auto" w:fill="auto"/>
            <w:tcMar>
              <w:left w:w="17" w:type="dxa"/>
              <w:right w:w="17" w:type="dxa"/>
            </w:tcMar>
            <w:vAlign w:val="center"/>
          </w:tcPr>
          <w:p w14:paraId="4F9D24CC" w14:textId="77777777" w:rsidR="001C56BD" w:rsidRPr="00305460" w:rsidRDefault="001C56BD" w:rsidP="008A5C11">
            <w:pPr>
              <w:jc w:val="center"/>
              <w:rPr>
                <w:sz w:val="12"/>
                <w:szCs w:val="12"/>
              </w:rPr>
            </w:pPr>
            <w:r w:rsidRPr="00305460">
              <w:rPr>
                <w:sz w:val="12"/>
                <w:szCs w:val="12"/>
              </w:rPr>
              <w:t>0,000</w:t>
            </w:r>
          </w:p>
        </w:tc>
        <w:tc>
          <w:tcPr>
            <w:tcW w:w="172" w:type="pct"/>
            <w:gridSpan w:val="2"/>
            <w:shd w:val="clear" w:color="auto" w:fill="auto"/>
            <w:tcMar>
              <w:left w:w="17" w:type="dxa"/>
              <w:right w:w="17" w:type="dxa"/>
            </w:tcMar>
            <w:vAlign w:val="center"/>
          </w:tcPr>
          <w:p w14:paraId="5A997E00" w14:textId="77777777" w:rsidR="001C56BD" w:rsidRPr="00305460" w:rsidRDefault="001C56BD" w:rsidP="008A5C11">
            <w:pPr>
              <w:jc w:val="center"/>
              <w:rPr>
                <w:sz w:val="12"/>
                <w:szCs w:val="12"/>
              </w:rPr>
            </w:pPr>
            <w:r w:rsidRPr="00305460">
              <w:rPr>
                <w:sz w:val="12"/>
                <w:szCs w:val="12"/>
              </w:rPr>
              <w:t>0,000</w:t>
            </w:r>
          </w:p>
        </w:tc>
        <w:tc>
          <w:tcPr>
            <w:tcW w:w="219" w:type="pct"/>
            <w:shd w:val="clear" w:color="auto" w:fill="auto"/>
            <w:tcMar>
              <w:left w:w="17" w:type="dxa"/>
              <w:right w:w="17" w:type="dxa"/>
            </w:tcMar>
            <w:vAlign w:val="center"/>
          </w:tcPr>
          <w:p w14:paraId="4D83A250" w14:textId="77777777" w:rsidR="001C56BD" w:rsidRPr="00305460" w:rsidRDefault="001C56BD" w:rsidP="008A5C11">
            <w:pPr>
              <w:jc w:val="center"/>
              <w:rPr>
                <w:sz w:val="12"/>
                <w:szCs w:val="12"/>
              </w:rPr>
            </w:pPr>
            <w:r w:rsidRPr="00305460">
              <w:rPr>
                <w:sz w:val="12"/>
                <w:szCs w:val="12"/>
              </w:rPr>
              <w:t>0,000</w:t>
            </w:r>
          </w:p>
        </w:tc>
        <w:tc>
          <w:tcPr>
            <w:tcW w:w="174" w:type="pct"/>
            <w:shd w:val="clear" w:color="auto" w:fill="auto"/>
            <w:tcMar>
              <w:left w:w="17" w:type="dxa"/>
              <w:right w:w="17" w:type="dxa"/>
            </w:tcMar>
            <w:vAlign w:val="center"/>
          </w:tcPr>
          <w:p w14:paraId="4DF6A882" w14:textId="77777777" w:rsidR="001C56BD" w:rsidRPr="00305460" w:rsidRDefault="001C56BD" w:rsidP="008A5C11">
            <w:pPr>
              <w:jc w:val="center"/>
              <w:rPr>
                <w:sz w:val="12"/>
                <w:szCs w:val="12"/>
              </w:rPr>
            </w:pPr>
            <w:r w:rsidRPr="00305460">
              <w:rPr>
                <w:sz w:val="12"/>
                <w:szCs w:val="12"/>
              </w:rPr>
              <w:t>0,000</w:t>
            </w:r>
          </w:p>
        </w:tc>
        <w:tc>
          <w:tcPr>
            <w:tcW w:w="176" w:type="pct"/>
            <w:shd w:val="clear" w:color="auto" w:fill="auto"/>
            <w:tcMar>
              <w:left w:w="17" w:type="dxa"/>
              <w:right w:w="17" w:type="dxa"/>
            </w:tcMar>
            <w:vAlign w:val="center"/>
          </w:tcPr>
          <w:p w14:paraId="0AAB6E14" w14:textId="77777777" w:rsidR="001C56BD" w:rsidRPr="00305460" w:rsidRDefault="001C56BD" w:rsidP="008A5C11">
            <w:pPr>
              <w:jc w:val="center"/>
              <w:rPr>
                <w:sz w:val="12"/>
                <w:szCs w:val="12"/>
              </w:rPr>
            </w:pPr>
            <w:r w:rsidRPr="00305460">
              <w:rPr>
                <w:sz w:val="12"/>
                <w:szCs w:val="12"/>
              </w:rPr>
              <w:t>0,000</w:t>
            </w:r>
          </w:p>
        </w:tc>
      </w:tr>
      <w:tr w:rsidR="001C56BD" w:rsidRPr="00305460" w14:paraId="12817542" w14:textId="77777777" w:rsidTr="008A5C11">
        <w:trPr>
          <w:trHeight w:val="897"/>
        </w:trPr>
        <w:tc>
          <w:tcPr>
            <w:tcW w:w="86" w:type="pct"/>
            <w:shd w:val="clear" w:color="auto" w:fill="auto"/>
            <w:tcMar>
              <w:left w:w="17" w:type="dxa"/>
              <w:right w:w="17" w:type="dxa"/>
            </w:tcMar>
            <w:vAlign w:val="center"/>
          </w:tcPr>
          <w:p w14:paraId="47351167" w14:textId="77777777" w:rsidR="001C56BD" w:rsidRPr="00305460" w:rsidRDefault="001C56BD" w:rsidP="008A5C11">
            <w:pPr>
              <w:jc w:val="center"/>
              <w:rPr>
                <w:sz w:val="12"/>
                <w:szCs w:val="12"/>
              </w:rPr>
            </w:pPr>
            <w:r w:rsidRPr="00305460">
              <w:rPr>
                <w:sz w:val="12"/>
                <w:szCs w:val="12"/>
              </w:rPr>
              <w:t>3.1.10.</w:t>
            </w:r>
          </w:p>
        </w:tc>
        <w:tc>
          <w:tcPr>
            <w:tcW w:w="295" w:type="pct"/>
            <w:shd w:val="clear" w:color="auto" w:fill="auto"/>
            <w:tcMar>
              <w:left w:w="17" w:type="dxa"/>
              <w:right w:w="17" w:type="dxa"/>
            </w:tcMar>
            <w:vAlign w:val="center"/>
          </w:tcPr>
          <w:p w14:paraId="59E972F5" w14:textId="77777777" w:rsidR="001C56BD" w:rsidRPr="00305460" w:rsidRDefault="001C56BD" w:rsidP="008A5C11">
            <w:pPr>
              <w:rPr>
                <w:sz w:val="12"/>
                <w:szCs w:val="12"/>
              </w:rPr>
            </w:pPr>
            <w:r w:rsidRPr="00305460">
              <w:rPr>
                <w:sz w:val="12"/>
                <w:szCs w:val="12"/>
              </w:rPr>
              <w:t>Реконструкция тепловой сети с реестровым номером 759642</w:t>
            </w:r>
          </w:p>
        </w:tc>
        <w:tc>
          <w:tcPr>
            <w:tcW w:w="307" w:type="pct"/>
            <w:shd w:val="clear" w:color="000000" w:fill="FFFFFF"/>
            <w:tcMar>
              <w:left w:w="17" w:type="dxa"/>
              <w:right w:w="17" w:type="dxa"/>
            </w:tcMar>
            <w:vAlign w:val="center"/>
          </w:tcPr>
          <w:p w14:paraId="6BEC1956" w14:textId="77777777" w:rsidR="001C56BD" w:rsidRPr="00305460" w:rsidRDefault="001C56BD" w:rsidP="008A5C11">
            <w:pPr>
              <w:jc w:val="center"/>
              <w:rPr>
                <w:sz w:val="12"/>
                <w:szCs w:val="12"/>
              </w:rPr>
            </w:pPr>
            <w:r w:rsidRPr="00305460">
              <w:rPr>
                <w:color w:val="000000"/>
                <w:sz w:val="12"/>
                <w:szCs w:val="12"/>
              </w:rPr>
              <w:t>Повышение надежности услуг теплоснабжения, повышение энергетической эффективности</w:t>
            </w:r>
          </w:p>
        </w:tc>
        <w:tc>
          <w:tcPr>
            <w:tcW w:w="280" w:type="pct"/>
            <w:shd w:val="clear" w:color="auto" w:fill="auto"/>
            <w:tcMar>
              <w:left w:w="17" w:type="dxa"/>
              <w:right w:w="17" w:type="dxa"/>
            </w:tcMar>
            <w:vAlign w:val="center"/>
          </w:tcPr>
          <w:p w14:paraId="5B94ED81" w14:textId="77777777" w:rsidR="001C56BD" w:rsidRPr="00305460" w:rsidRDefault="001C56BD" w:rsidP="008A5C11">
            <w:pPr>
              <w:jc w:val="center"/>
              <w:rPr>
                <w:sz w:val="12"/>
                <w:szCs w:val="12"/>
              </w:rPr>
            </w:pPr>
            <w:r w:rsidRPr="00305460">
              <w:rPr>
                <w:sz w:val="12"/>
                <w:szCs w:val="12"/>
              </w:rPr>
              <w:t>Кемеровский городской округ, Кировский район, квартал "к", (ул. Попова), литер "А"</w:t>
            </w:r>
          </w:p>
        </w:tc>
        <w:tc>
          <w:tcPr>
            <w:tcW w:w="289" w:type="pct"/>
            <w:shd w:val="clear" w:color="auto" w:fill="auto"/>
            <w:tcMar>
              <w:left w:w="17" w:type="dxa"/>
              <w:right w:w="17" w:type="dxa"/>
            </w:tcMar>
            <w:vAlign w:val="center"/>
          </w:tcPr>
          <w:p w14:paraId="7B68520A" w14:textId="77777777" w:rsidR="001C56BD" w:rsidRPr="00305460" w:rsidRDefault="001C56BD" w:rsidP="008A5C11">
            <w:pPr>
              <w:jc w:val="center"/>
              <w:rPr>
                <w:sz w:val="12"/>
                <w:szCs w:val="12"/>
              </w:rPr>
            </w:pPr>
            <w:r w:rsidRPr="00305460">
              <w:rPr>
                <w:color w:val="000000"/>
                <w:sz w:val="12"/>
                <w:szCs w:val="12"/>
              </w:rPr>
              <w:t>Технические характеристики</w:t>
            </w:r>
          </w:p>
        </w:tc>
        <w:tc>
          <w:tcPr>
            <w:tcW w:w="137" w:type="pct"/>
            <w:shd w:val="clear" w:color="auto" w:fill="auto"/>
            <w:tcMar>
              <w:left w:w="17" w:type="dxa"/>
              <w:right w:w="17" w:type="dxa"/>
            </w:tcMar>
            <w:vAlign w:val="center"/>
          </w:tcPr>
          <w:p w14:paraId="6C204437" w14:textId="77777777" w:rsidR="001C56BD" w:rsidRPr="00305460" w:rsidRDefault="001C56BD" w:rsidP="008A5C11">
            <w:pPr>
              <w:jc w:val="center"/>
              <w:rPr>
                <w:color w:val="000000"/>
                <w:sz w:val="12"/>
                <w:szCs w:val="12"/>
              </w:rPr>
            </w:pPr>
          </w:p>
        </w:tc>
        <w:tc>
          <w:tcPr>
            <w:tcW w:w="202" w:type="pct"/>
            <w:shd w:val="clear" w:color="auto" w:fill="auto"/>
            <w:tcMar>
              <w:left w:w="17" w:type="dxa"/>
              <w:right w:w="17" w:type="dxa"/>
            </w:tcMar>
            <w:vAlign w:val="center"/>
          </w:tcPr>
          <w:p w14:paraId="2CE5D21D" w14:textId="77777777" w:rsidR="001C56BD" w:rsidRPr="00305460" w:rsidRDefault="001C56BD" w:rsidP="008A5C11">
            <w:pPr>
              <w:jc w:val="center"/>
              <w:rPr>
                <w:sz w:val="12"/>
                <w:szCs w:val="12"/>
              </w:rPr>
            </w:pPr>
            <w:r w:rsidRPr="00305460">
              <w:rPr>
                <w:sz w:val="12"/>
                <w:szCs w:val="12"/>
              </w:rPr>
              <w:t>Канал-кирпич (непроходной канал</w:t>
            </w:r>
            <w:proofErr w:type="gramStart"/>
            <w:r w:rsidRPr="00305460">
              <w:rPr>
                <w:sz w:val="12"/>
                <w:szCs w:val="12"/>
              </w:rPr>
              <w:t>),опоры</w:t>
            </w:r>
            <w:proofErr w:type="gramEnd"/>
            <w:r w:rsidRPr="00305460">
              <w:rPr>
                <w:sz w:val="12"/>
                <w:szCs w:val="12"/>
              </w:rPr>
              <w:t xml:space="preserve"> привар-ные, запорная арматура-стальная клиновая, антикоррозийная защита-лак БТ, труба-сталь 20, изоляция-мин. маты.       </w:t>
            </w:r>
          </w:p>
        </w:tc>
        <w:tc>
          <w:tcPr>
            <w:tcW w:w="244" w:type="pct"/>
            <w:shd w:val="clear" w:color="auto" w:fill="auto"/>
            <w:tcMar>
              <w:left w:w="17" w:type="dxa"/>
              <w:right w:w="17" w:type="dxa"/>
            </w:tcMar>
            <w:vAlign w:val="center"/>
          </w:tcPr>
          <w:p w14:paraId="07BA7E2D" w14:textId="77777777" w:rsidR="001C56BD" w:rsidRPr="00305460" w:rsidRDefault="001C56BD" w:rsidP="008A5C11">
            <w:pPr>
              <w:jc w:val="center"/>
              <w:rPr>
                <w:sz w:val="12"/>
                <w:szCs w:val="12"/>
              </w:rPr>
            </w:pPr>
            <w:r w:rsidRPr="00305460">
              <w:rPr>
                <w:sz w:val="12"/>
                <w:szCs w:val="12"/>
              </w:rPr>
              <w:t xml:space="preserve">Канал-ж/б лотки, опоры-хомутовые с диэлектрической прокладкой, запорная арматура - кран шаровый, антикоррозийная защита-мастика Вектор 1214, 1025, труба-сталь 09Г2С, изоляция - маты прошивные, </w:t>
            </w:r>
            <w:proofErr w:type="gramStart"/>
            <w:r w:rsidRPr="00305460">
              <w:rPr>
                <w:sz w:val="12"/>
                <w:szCs w:val="12"/>
              </w:rPr>
              <w:t>стеклоплас-тик</w:t>
            </w:r>
            <w:proofErr w:type="gramEnd"/>
            <w:r w:rsidRPr="00305460">
              <w:rPr>
                <w:sz w:val="12"/>
                <w:szCs w:val="12"/>
              </w:rPr>
              <w:t xml:space="preserve">  </w:t>
            </w:r>
          </w:p>
        </w:tc>
        <w:tc>
          <w:tcPr>
            <w:tcW w:w="140" w:type="pct"/>
            <w:shd w:val="clear" w:color="auto" w:fill="auto"/>
            <w:tcMar>
              <w:left w:w="17" w:type="dxa"/>
              <w:right w:w="17" w:type="dxa"/>
            </w:tcMar>
            <w:vAlign w:val="center"/>
          </w:tcPr>
          <w:p w14:paraId="18873D72" w14:textId="77777777" w:rsidR="001C56BD" w:rsidRPr="00305460" w:rsidRDefault="001C56BD" w:rsidP="008A5C11">
            <w:pPr>
              <w:jc w:val="center"/>
              <w:rPr>
                <w:sz w:val="12"/>
                <w:szCs w:val="12"/>
              </w:rPr>
            </w:pPr>
            <w:r w:rsidRPr="00305460">
              <w:rPr>
                <w:sz w:val="12"/>
                <w:szCs w:val="12"/>
              </w:rPr>
              <w:t>2024</w:t>
            </w:r>
          </w:p>
        </w:tc>
        <w:tc>
          <w:tcPr>
            <w:tcW w:w="140" w:type="pct"/>
            <w:shd w:val="clear" w:color="auto" w:fill="auto"/>
            <w:tcMar>
              <w:left w:w="17" w:type="dxa"/>
              <w:right w:w="17" w:type="dxa"/>
            </w:tcMar>
            <w:vAlign w:val="center"/>
          </w:tcPr>
          <w:p w14:paraId="174D01A1" w14:textId="77777777" w:rsidR="001C56BD" w:rsidRPr="00305460" w:rsidRDefault="001C56BD" w:rsidP="008A5C11">
            <w:pPr>
              <w:jc w:val="center"/>
              <w:rPr>
                <w:sz w:val="12"/>
                <w:szCs w:val="12"/>
              </w:rPr>
            </w:pPr>
            <w:r w:rsidRPr="00305460">
              <w:rPr>
                <w:sz w:val="12"/>
                <w:szCs w:val="12"/>
              </w:rPr>
              <w:t>2031</w:t>
            </w:r>
          </w:p>
        </w:tc>
        <w:tc>
          <w:tcPr>
            <w:tcW w:w="239" w:type="pct"/>
            <w:gridSpan w:val="3"/>
            <w:shd w:val="clear" w:color="auto" w:fill="auto"/>
            <w:tcMar>
              <w:left w:w="17" w:type="dxa"/>
              <w:right w:w="17" w:type="dxa"/>
            </w:tcMar>
            <w:vAlign w:val="center"/>
          </w:tcPr>
          <w:p w14:paraId="00442E59" w14:textId="77777777" w:rsidR="001C56BD" w:rsidRPr="00305460" w:rsidRDefault="001C56BD" w:rsidP="008A5C11">
            <w:pPr>
              <w:jc w:val="center"/>
              <w:rPr>
                <w:sz w:val="12"/>
                <w:szCs w:val="12"/>
              </w:rPr>
            </w:pPr>
            <w:r w:rsidRPr="00305460">
              <w:rPr>
                <w:sz w:val="12"/>
                <w:szCs w:val="12"/>
              </w:rPr>
              <w:t>13332,544</w:t>
            </w:r>
          </w:p>
        </w:tc>
        <w:tc>
          <w:tcPr>
            <w:tcW w:w="196" w:type="pct"/>
            <w:gridSpan w:val="3"/>
            <w:shd w:val="clear" w:color="auto" w:fill="auto"/>
            <w:tcMar>
              <w:left w:w="17" w:type="dxa"/>
              <w:right w:w="17" w:type="dxa"/>
            </w:tcMar>
            <w:vAlign w:val="center"/>
          </w:tcPr>
          <w:p w14:paraId="52B2A9EE" w14:textId="77777777" w:rsidR="001C56BD" w:rsidRPr="00305460" w:rsidRDefault="001C56BD" w:rsidP="008A5C11">
            <w:pPr>
              <w:jc w:val="center"/>
              <w:rPr>
                <w:sz w:val="12"/>
                <w:szCs w:val="12"/>
              </w:rPr>
            </w:pPr>
            <w:r w:rsidRPr="00305460">
              <w:rPr>
                <w:sz w:val="12"/>
                <w:szCs w:val="12"/>
              </w:rPr>
              <w:t>0,000</w:t>
            </w:r>
          </w:p>
        </w:tc>
        <w:tc>
          <w:tcPr>
            <w:tcW w:w="216" w:type="pct"/>
            <w:gridSpan w:val="3"/>
            <w:shd w:val="clear" w:color="auto" w:fill="auto"/>
            <w:tcMar>
              <w:left w:w="17" w:type="dxa"/>
              <w:right w:w="17" w:type="dxa"/>
            </w:tcMar>
            <w:vAlign w:val="center"/>
          </w:tcPr>
          <w:p w14:paraId="2B2DDFA3" w14:textId="77777777" w:rsidR="001C56BD" w:rsidRPr="00305460" w:rsidRDefault="001C56BD" w:rsidP="008A5C11">
            <w:pPr>
              <w:jc w:val="center"/>
              <w:rPr>
                <w:sz w:val="12"/>
                <w:szCs w:val="12"/>
              </w:rPr>
            </w:pPr>
            <w:r w:rsidRPr="00305460">
              <w:rPr>
                <w:sz w:val="12"/>
                <w:szCs w:val="12"/>
              </w:rPr>
              <w:t>0,000</w:t>
            </w:r>
          </w:p>
        </w:tc>
        <w:tc>
          <w:tcPr>
            <w:tcW w:w="179" w:type="pct"/>
            <w:gridSpan w:val="2"/>
            <w:shd w:val="clear" w:color="auto" w:fill="auto"/>
            <w:tcMar>
              <w:left w:w="17" w:type="dxa"/>
              <w:right w:w="17" w:type="dxa"/>
            </w:tcMar>
            <w:vAlign w:val="center"/>
          </w:tcPr>
          <w:p w14:paraId="19E93FB7" w14:textId="77777777" w:rsidR="001C56BD" w:rsidRPr="00305460" w:rsidRDefault="001C56BD" w:rsidP="008A5C11">
            <w:pPr>
              <w:jc w:val="center"/>
              <w:rPr>
                <w:sz w:val="12"/>
                <w:szCs w:val="12"/>
              </w:rPr>
            </w:pPr>
            <w:r w:rsidRPr="00305460">
              <w:rPr>
                <w:sz w:val="12"/>
                <w:szCs w:val="12"/>
              </w:rPr>
              <w:t>0,000</w:t>
            </w:r>
          </w:p>
        </w:tc>
        <w:tc>
          <w:tcPr>
            <w:tcW w:w="222" w:type="pct"/>
            <w:gridSpan w:val="2"/>
            <w:shd w:val="clear" w:color="auto" w:fill="auto"/>
            <w:tcMar>
              <w:left w:w="17" w:type="dxa"/>
              <w:right w:w="17" w:type="dxa"/>
            </w:tcMar>
            <w:vAlign w:val="center"/>
          </w:tcPr>
          <w:p w14:paraId="243E1E9B" w14:textId="77777777" w:rsidR="001C56BD" w:rsidRPr="00305460" w:rsidRDefault="001C56BD" w:rsidP="008A5C11">
            <w:pPr>
              <w:jc w:val="center"/>
              <w:rPr>
                <w:sz w:val="12"/>
                <w:szCs w:val="12"/>
              </w:rPr>
            </w:pPr>
            <w:r w:rsidRPr="00305460">
              <w:rPr>
                <w:sz w:val="12"/>
                <w:szCs w:val="12"/>
              </w:rPr>
              <w:t>11409,504</w:t>
            </w:r>
          </w:p>
        </w:tc>
        <w:tc>
          <w:tcPr>
            <w:tcW w:w="213" w:type="pct"/>
            <w:shd w:val="clear" w:color="auto" w:fill="auto"/>
            <w:tcMar>
              <w:left w:w="17" w:type="dxa"/>
              <w:right w:w="17" w:type="dxa"/>
            </w:tcMar>
            <w:vAlign w:val="center"/>
          </w:tcPr>
          <w:p w14:paraId="7E28F2F3"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03FD61E5"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2AA14D5C"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09217A9F" w14:textId="77777777" w:rsidR="001C56BD" w:rsidRPr="00305460" w:rsidRDefault="001C56BD" w:rsidP="008A5C11">
            <w:pPr>
              <w:jc w:val="center"/>
              <w:rPr>
                <w:sz w:val="12"/>
                <w:szCs w:val="12"/>
              </w:rPr>
            </w:pPr>
            <w:r w:rsidRPr="00305460">
              <w:rPr>
                <w:sz w:val="12"/>
                <w:szCs w:val="12"/>
              </w:rPr>
              <w:t>0,000</w:t>
            </w:r>
          </w:p>
        </w:tc>
        <w:tc>
          <w:tcPr>
            <w:tcW w:w="218" w:type="pct"/>
            <w:gridSpan w:val="2"/>
            <w:shd w:val="clear" w:color="auto" w:fill="auto"/>
            <w:tcMar>
              <w:left w:w="17" w:type="dxa"/>
              <w:right w:w="17" w:type="dxa"/>
            </w:tcMar>
            <w:vAlign w:val="center"/>
          </w:tcPr>
          <w:p w14:paraId="6469E214" w14:textId="77777777" w:rsidR="001C56BD" w:rsidRPr="00305460" w:rsidRDefault="001C56BD" w:rsidP="008A5C11">
            <w:pPr>
              <w:jc w:val="center"/>
              <w:rPr>
                <w:sz w:val="12"/>
                <w:szCs w:val="12"/>
              </w:rPr>
            </w:pPr>
            <w:r w:rsidRPr="00305460">
              <w:rPr>
                <w:sz w:val="12"/>
                <w:szCs w:val="12"/>
              </w:rPr>
              <w:t>0,000</w:t>
            </w:r>
          </w:p>
        </w:tc>
        <w:tc>
          <w:tcPr>
            <w:tcW w:w="172" w:type="pct"/>
            <w:gridSpan w:val="2"/>
            <w:shd w:val="clear" w:color="auto" w:fill="auto"/>
            <w:tcMar>
              <w:left w:w="17" w:type="dxa"/>
              <w:right w:w="17" w:type="dxa"/>
            </w:tcMar>
            <w:vAlign w:val="center"/>
          </w:tcPr>
          <w:p w14:paraId="4D12FB92" w14:textId="77777777" w:rsidR="001C56BD" w:rsidRPr="00305460" w:rsidRDefault="001C56BD" w:rsidP="008A5C11">
            <w:pPr>
              <w:jc w:val="center"/>
              <w:rPr>
                <w:sz w:val="12"/>
                <w:szCs w:val="12"/>
              </w:rPr>
            </w:pPr>
            <w:r w:rsidRPr="00305460">
              <w:rPr>
                <w:sz w:val="12"/>
                <w:szCs w:val="12"/>
              </w:rPr>
              <w:t>0,000</w:t>
            </w:r>
          </w:p>
        </w:tc>
        <w:tc>
          <w:tcPr>
            <w:tcW w:w="219" w:type="pct"/>
            <w:shd w:val="clear" w:color="auto" w:fill="auto"/>
            <w:tcMar>
              <w:left w:w="17" w:type="dxa"/>
              <w:right w:w="17" w:type="dxa"/>
            </w:tcMar>
            <w:vAlign w:val="center"/>
          </w:tcPr>
          <w:p w14:paraId="6C49F5DD" w14:textId="77777777" w:rsidR="001C56BD" w:rsidRPr="00305460" w:rsidRDefault="001C56BD" w:rsidP="008A5C11">
            <w:pPr>
              <w:jc w:val="center"/>
              <w:rPr>
                <w:sz w:val="12"/>
                <w:szCs w:val="12"/>
              </w:rPr>
            </w:pPr>
            <w:r w:rsidRPr="00305460">
              <w:rPr>
                <w:sz w:val="12"/>
                <w:szCs w:val="12"/>
              </w:rPr>
              <w:t>1923,040</w:t>
            </w:r>
          </w:p>
        </w:tc>
        <w:tc>
          <w:tcPr>
            <w:tcW w:w="174" w:type="pct"/>
            <w:shd w:val="clear" w:color="auto" w:fill="auto"/>
            <w:tcMar>
              <w:left w:w="17" w:type="dxa"/>
              <w:right w:w="17" w:type="dxa"/>
            </w:tcMar>
            <w:vAlign w:val="center"/>
          </w:tcPr>
          <w:p w14:paraId="6C6A19B7" w14:textId="77777777" w:rsidR="001C56BD" w:rsidRPr="00305460" w:rsidRDefault="001C56BD" w:rsidP="008A5C11">
            <w:pPr>
              <w:jc w:val="center"/>
              <w:rPr>
                <w:sz w:val="12"/>
                <w:szCs w:val="12"/>
              </w:rPr>
            </w:pPr>
            <w:r w:rsidRPr="00305460">
              <w:rPr>
                <w:sz w:val="12"/>
                <w:szCs w:val="12"/>
              </w:rPr>
              <w:t>0,000</w:t>
            </w:r>
          </w:p>
        </w:tc>
        <w:tc>
          <w:tcPr>
            <w:tcW w:w="176" w:type="pct"/>
            <w:shd w:val="clear" w:color="auto" w:fill="auto"/>
            <w:tcMar>
              <w:left w:w="17" w:type="dxa"/>
              <w:right w:w="17" w:type="dxa"/>
            </w:tcMar>
            <w:vAlign w:val="center"/>
          </w:tcPr>
          <w:p w14:paraId="3D697A31" w14:textId="77777777" w:rsidR="001C56BD" w:rsidRPr="00305460" w:rsidRDefault="001C56BD" w:rsidP="008A5C11">
            <w:pPr>
              <w:jc w:val="center"/>
              <w:rPr>
                <w:sz w:val="12"/>
                <w:szCs w:val="12"/>
              </w:rPr>
            </w:pPr>
            <w:r w:rsidRPr="00305460">
              <w:rPr>
                <w:sz w:val="12"/>
                <w:szCs w:val="12"/>
              </w:rPr>
              <w:t>0,000</w:t>
            </w:r>
          </w:p>
        </w:tc>
      </w:tr>
      <w:tr w:rsidR="001C56BD" w:rsidRPr="00305460" w14:paraId="22295ACB" w14:textId="77777777" w:rsidTr="008A5C11">
        <w:trPr>
          <w:trHeight w:val="897"/>
        </w:trPr>
        <w:tc>
          <w:tcPr>
            <w:tcW w:w="86" w:type="pct"/>
            <w:shd w:val="clear" w:color="auto" w:fill="auto"/>
            <w:tcMar>
              <w:left w:w="17" w:type="dxa"/>
              <w:right w:w="17" w:type="dxa"/>
            </w:tcMar>
            <w:vAlign w:val="center"/>
          </w:tcPr>
          <w:p w14:paraId="0B7C1516" w14:textId="77777777" w:rsidR="001C56BD" w:rsidRPr="00305460" w:rsidRDefault="001C56BD" w:rsidP="008A5C11">
            <w:pPr>
              <w:jc w:val="center"/>
              <w:rPr>
                <w:bCs/>
                <w:sz w:val="12"/>
                <w:szCs w:val="12"/>
              </w:rPr>
            </w:pPr>
            <w:r w:rsidRPr="00305460">
              <w:rPr>
                <w:bCs/>
                <w:sz w:val="12"/>
                <w:szCs w:val="12"/>
              </w:rPr>
              <w:t>1</w:t>
            </w:r>
          </w:p>
        </w:tc>
        <w:tc>
          <w:tcPr>
            <w:tcW w:w="295" w:type="pct"/>
            <w:shd w:val="clear" w:color="auto" w:fill="auto"/>
            <w:tcMar>
              <w:left w:w="17" w:type="dxa"/>
              <w:right w:w="17" w:type="dxa"/>
            </w:tcMar>
            <w:vAlign w:val="center"/>
          </w:tcPr>
          <w:p w14:paraId="324191A2" w14:textId="77777777" w:rsidR="001C56BD" w:rsidRPr="00305460" w:rsidRDefault="001C56BD" w:rsidP="008A5C11">
            <w:pPr>
              <w:jc w:val="center"/>
              <w:rPr>
                <w:bCs/>
                <w:sz w:val="12"/>
                <w:szCs w:val="12"/>
              </w:rPr>
            </w:pPr>
            <w:r w:rsidRPr="00305460">
              <w:rPr>
                <w:bCs/>
                <w:sz w:val="12"/>
                <w:szCs w:val="12"/>
              </w:rPr>
              <w:t>2</w:t>
            </w:r>
          </w:p>
        </w:tc>
        <w:tc>
          <w:tcPr>
            <w:tcW w:w="307" w:type="pct"/>
            <w:shd w:val="clear" w:color="auto" w:fill="auto"/>
            <w:tcMar>
              <w:left w:w="17" w:type="dxa"/>
              <w:right w:w="17" w:type="dxa"/>
            </w:tcMar>
            <w:vAlign w:val="center"/>
          </w:tcPr>
          <w:p w14:paraId="187CC6E0" w14:textId="77777777" w:rsidR="001C56BD" w:rsidRPr="00305460" w:rsidRDefault="001C56BD" w:rsidP="008A5C11">
            <w:pPr>
              <w:jc w:val="center"/>
              <w:rPr>
                <w:bCs/>
                <w:sz w:val="12"/>
                <w:szCs w:val="12"/>
              </w:rPr>
            </w:pPr>
            <w:r w:rsidRPr="00305460">
              <w:rPr>
                <w:bCs/>
                <w:sz w:val="12"/>
                <w:szCs w:val="12"/>
              </w:rPr>
              <w:t>3</w:t>
            </w:r>
          </w:p>
        </w:tc>
        <w:tc>
          <w:tcPr>
            <w:tcW w:w="280" w:type="pct"/>
            <w:shd w:val="clear" w:color="auto" w:fill="auto"/>
            <w:tcMar>
              <w:left w:w="17" w:type="dxa"/>
              <w:right w:w="17" w:type="dxa"/>
            </w:tcMar>
            <w:vAlign w:val="center"/>
          </w:tcPr>
          <w:p w14:paraId="05E63CBF" w14:textId="77777777" w:rsidR="001C56BD" w:rsidRPr="00305460" w:rsidRDefault="001C56BD" w:rsidP="008A5C11">
            <w:pPr>
              <w:jc w:val="center"/>
              <w:rPr>
                <w:bCs/>
                <w:sz w:val="12"/>
                <w:szCs w:val="12"/>
              </w:rPr>
            </w:pPr>
            <w:r w:rsidRPr="00305460">
              <w:rPr>
                <w:bCs/>
                <w:sz w:val="12"/>
                <w:szCs w:val="12"/>
              </w:rPr>
              <w:t>4</w:t>
            </w:r>
          </w:p>
        </w:tc>
        <w:tc>
          <w:tcPr>
            <w:tcW w:w="289" w:type="pct"/>
            <w:shd w:val="clear" w:color="auto" w:fill="auto"/>
            <w:tcMar>
              <w:left w:w="17" w:type="dxa"/>
              <w:right w:w="17" w:type="dxa"/>
            </w:tcMar>
            <w:vAlign w:val="center"/>
          </w:tcPr>
          <w:p w14:paraId="6CB515CB" w14:textId="77777777" w:rsidR="001C56BD" w:rsidRPr="00305460" w:rsidRDefault="001C56BD" w:rsidP="008A5C11">
            <w:pPr>
              <w:jc w:val="center"/>
              <w:rPr>
                <w:bCs/>
                <w:sz w:val="12"/>
                <w:szCs w:val="12"/>
              </w:rPr>
            </w:pPr>
            <w:r w:rsidRPr="00305460">
              <w:rPr>
                <w:bCs/>
                <w:sz w:val="12"/>
                <w:szCs w:val="12"/>
              </w:rPr>
              <w:t>5</w:t>
            </w:r>
          </w:p>
        </w:tc>
        <w:tc>
          <w:tcPr>
            <w:tcW w:w="137" w:type="pct"/>
            <w:shd w:val="clear" w:color="auto" w:fill="auto"/>
            <w:tcMar>
              <w:left w:w="17" w:type="dxa"/>
              <w:right w:w="17" w:type="dxa"/>
            </w:tcMar>
            <w:vAlign w:val="center"/>
          </w:tcPr>
          <w:p w14:paraId="7A12059A" w14:textId="77777777" w:rsidR="001C56BD" w:rsidRPr="00305460" w:rsidRDefault="001C56BD" w:rsidP="008A5C11">
            <w:pPr>
              <w:jc w:val="center"/>
              <w:rPr>
                <w:bCs/>
                <w:sz w:val="12"/>
                <w:szCs w:val="12"/>
              </w:rPr>
            </w:pPr>
            <w:r w:rsidRPr="00305460">
              <w:rPr>
                <w:bCs/>
                <w:sz w:val="12"/>
                <w:szCs w:val="12"/>
              </w:rPr>
              <w:t>6</w:t>
            </w:r>
          </w:p>
        </w:tc>
        <w:tc>
          <w:tcPr>
            <w:tcW w:w="202" w:type="pct"/>
            <w:shd w:val="clear" w:color="auto" w:fill="auto"/>
            <w:tcMar>
              <w:left w:w="17" w:type="dxa"/>
              <w:right w:w="17" w:type="dxa"/>
            </w:tcMar>
            <w:vAlign w:val="center"/>
          </w:tcPr>
          <w:p w14:paraId="206DE4B3" w14:textId="77777777" w:rsidR="001C56BD" w:rsidRPr="00305460" w:rsidRDefault="001C56BD" w:rsidP="008A5C11">
            <w:pPr>
              <w:jc w:val="center"/>
              <w:rPr>
                <w:bCs/>
                <w:sz w:val="12"/>
                <w:szCs w:val="12"/>
              </w:rPr>
            </w:pPr>
            <w:r w:rsidRPr="00305460">
              <w:rPr>
                <w:bCs/>
                <w:sz w:val="12"/>
                <w:szCs w:val="12"/>
              </w:rPr>
              <w:t>7</w:t>
            </w:r>
          </w:p>
        </w:tc>
        <w:tc>
          <w:tcPr>
            <w:tcW w:w="244" w:type="pct"/>
            <w:shd w:val="clear" w:color="auto" w:fill="auto"/>
            <w:tcMar>
              <w:left w:w="17" w:type="dxa"/>
              <w:right w:w="17" w:type="dxa"/>
            </w:tcMar>
            <w:vAlign w:val="center"/>
          </w:tcPr>
          <w:p w14:paraId="32EB7554" w14:textId="77777777" w:rsidR="001C56BD" w:rsidRPr="00305460" w:rsidRDefault="001C56BD" w:rsidP="008A5C11">
            <w:pPr>
              <w:jc w:val="center"/>
              <w:rPr>
                <w:bCs/>
                <w:sz w:val="12"/>
                <w:szCs w:val="12"/>
              </w:rPr>
            </w:pPr>
            <w:r w:rsidRPr="00305460">
              <w:rPr>
                <w:bCs/>
                <w:sz w:val="12"/>
                <w:szCs w:val="12"/>
              </w:rPr>
              <w:t>8</w:t>
            </w:r>
          </w:p>
        </w:tc>
        <w:tc>
          <w:tcPr>
            <w:tcW w:w="140" w:type="pct"/>
            <w:shd w:val="clear" w:color="auto" w:fill="auto"/>
            <w:tcMar>
              <w:left w:w="17" w:type="dxa"/>
              <w:right w:w="17" w:type="dxa"/>
            </w:tcMar>
            <w:vAlign w:val="center"/>
          </w:tcPr>
          <w:p w14:paraId="0E00EA3D" w14:textId="77777777" w:rsidR="001C56BD" w:rsidRPr="00305460" w:rsidRDefault="001C56BD" w:rsidP="008A5C11">
            <w:pPr>
              <w:jc w:val="center"/>
              <w:rPr>
                <w:bCs/>
                <w:sz w:val="12"/>
                <w:szCs w:val="12"/>
              </w:rPr>
            </w:pPr>
            <w:r w:rsidRPr="00305460">
              <w:rPr>
                <w:bCs/>
                <w:sz w:val="12"/>
                <w:szCs w:val="12"/>
              </w:rPr>
              <w:t>9</w:t>
            </w:r>
          </w:p>
        </w:tc>
        <w:tc>
          <w:tcPr>
            <w:tcW w:w="140" w:type="pct"/>
            <w:shd w:val="clear" w:color="auto" w:fill="auto"/>
            <w:tcMar>
              <w:left w:w="17" w:type="dxa"/>
              <w:right w:w="17" w:type="dxa"/>
            </w:tcMar>
            <w:vAlign w:val="center"/>
          </w:tcPr>
          <w:p w14:paraId="5426EE04" w14:textId="77777777" w:rsidR="001C56BD" w:rsidRPr="00305460" w:rsidRDefault="001C56BD" w:rsidP="008A5C11">
            <w:pPr>
              <w:jc w:val="center"/>
              <w:rPr>
                <w:bCs/>
                <w:sz w:val="12"/>
                <w:szCs w:val="12"/>
              </w:rPr>
            </w:pPr>
            <w:r w:rsidRPr="00305460">
              <w:rPr>
                <w:bCs/>
                <w:sz w:val="12"/>
                <w:szCs w:val="12"/>
              </w:rPr>
              <w:t>10</w:t>
            </w:r>
          </w:p>
        </w:tc>
        <w:tc>
          <w:tcPr>
            <w:tcW w:w="239" w:type="pct"/>
            <w:gridSpan w:val="3"/>
            <w:shd w:val="clear" w:color="auto" w:fill="auto"/>
            <w:tcMar>
              <w:left w:w="17" w:type="dxa"/>
              <w:right w:w="17" w:type="dxa"/>
            </w:tcMar>
            <w:vAlign w:val="center"/>
          </w:tcPr>
          <w:p w14:paraId="7485F0B5" w14:textId="77777777" w:rsidR="001C56BD" w:rsidRPr="00305460" w:rsidRDefault="001C56BD" w:rsidP="008A5C11">
            <w:pPr>
              <w:jc w:val="center"/>
              <w:rPr>
                <w:bCs/>
                <w:sz w:val="12"/>
                <w:szCs w:val="12"/>
              </w:rPr>
            </w:pPr>
            <w:r w:rsidRPr="00305460">
              <w:rPr>
                <w:bCs/>
                <w:sz w:val="12"/>
                <w:szCs w:val="12"/>
              </w:rPr>
              <w:t>11</w:t>
            </w:r>
          </w:p>
        </w:tc>
        <w:tc>
          <w:tcPr>
            <w:tcW w:w="196" w:type="pct"/>
            <w:gridSpan w:val="3"/>
            <w:shd w:val="clear" w:color="auto" w:fill="auto"/>
            <w:tcMar>
              <w:left w:w="17" w:type="dxa"/>
              <w:right w:w="17" w:type="dxa"/>
            </w:tcMar>
            <w:vAlign w:val="center"/>
          </w:tcPr>
          <w:p w14:paraId="5170471D" w14:textId="77777777" w:rsidR="001C56BD" w:rsidRPr="00305460" w:rsidRDefault="001C56BD" w:rsidP="008A5C11">
            <w:pPr>
              <w:jc w:val="center"/>
              <w:rPr>
                <w:bCs/>
                <w:sz w:val="12"/>
                <w:szCs w:val="12"/>
              </w:rPr>
            </w:pPr>
            <w:r w:rsidRPr="00305460">
              <w:rPr>
                <w:bCs/>
                <w:sz w:val="12"/>
                <w:szCs w:val="12"/>
              </w:rPr>
              <w:t>12</w:t>
            </w:r>
          </w:p>
        </w:tc>
        <w:tc>
          <w:tcPr>
            <w:tcW w:w="216" w:type="pct"/>
            <w:gridSpan w:val="3"/>
            <w:shd w:val="clear" w:color="auto" w:fill="auto"/>
            <w:tcMar>
              <w:left w:w="17" w:type="dxa"/>
              <w:right w:w="17" w:type="dxa"/>
            </w:tcMar>
            <w:vAlign w:val="center"/>
          </w:tcPr>
          <w:p w14:paraId="5B650B03" w14:textId="77777777" w:rsidR="001C56BD" w:rsidRPr="00305460" w:rsidRDefault="001C56BD" w:rsidP="008A5C11">
            <w:pPr>
              <w:jc w:val="center"/>
              <w:rPr>
                <w:bCs/>
                <w:sz w:val="12"/>
                <w:szCs w:val="12"/>
              </w:rPr>
            </w:pPr>
            <w:r w:rsidRPr="00305460">
              <w:rPr>
                <w:bCs/>
                <w:sz w:val="12"/>
                <w:szCs w:val="12"/>
              </w:rPr>
              <w:t>13</w:t>
            </w:r>
          </w:p>
        </w:tc>
        <w:tc>
          <w:tcPr>
            <w:tcW w:w="179" w:type="pct"/>
            <w:gridSpan w:val="2"/>
            <w:shd w:val="clear" w:color="auto" w:fill="auto"/>
            <w:tcMar>
              <w:left w:w="17" w:type="dxa"/>
              <w:right w:w="17" w:type="dxa"/>
            </w:tcMar>
            <w:vAlign w:val="center"/>
          </w:tcPr>
          <w:p w14:paraId="4E644602" w14:textId="77777777" w:rsidR="001C56BD" w:rsidRPr="00305460" w:rsidRDefault="001C56BD" w:rsidP="008A5C11">
            <w:pPr>
              <w:jc w:val="center"/>
              <w:rPr>
                <w:bCs/>
                <w:sz w:val="12"/>
                <w:szCs w:val="12"/>
              </w:rPr>
            </w:pPr>
            <w:r w:rsidRPr="00305460">
              <w:rPr>
                <w:bCs/>
                <w:sz w:val="12"/>
                <w:szCs w:val="12"/>
              </w:rPr>
              <w:t>14</w:t>
            </w:r>
          </w:p>
        </w:tc>
        <w:tc>
          <w:tcPr>
            <w:tcW w:w="222" w:type="pct"/>
            <w:gridSpan w:val="2"/>
            <w:shd w:val="clear" w:color="auto" w:fill="auto"/>
            <w:tcMar>
              <w:left w:w="17" w:type="dxa"/>
              <w:right w:w="17" w:type="dxa"/>
            </w:tcMar>
            <w:vAlign w:val="center"/>
          </w:tcPr>
          <w:p w14:paraId="77DEA559" w14:textId="77777777" w:rsidR="001C56BD" w:rsidRPr="00305460" w:rsidRDefault="001C56BD" w:rsidP="008A5C11">
            <w:pPr>
              <w:jc w:val="center"/>
              <w:rPr>
                <w:bCs/>
                <w:sz w:val="12"/>
                <w:szCs w:val="12"/>
              </w:rPr>
            </w:pPr>
            <w:r w:rsidRPr="00305460">
              <w:rPr>
                <w:bCs/>
                <w:sz w:val="12"/>
                <w:szCs w:val="12"/>
              </w:rPr>
              <w:t>15</w:t>
            </w:r>
          </w:p>
        </w:tc>
        <w:tc>
          <w:tcPr>
            <w:tcW w:w="213" w:type="pct"/>
            <w:tcMar>
              <w:left w:w="17" w:type="dxa"/>
              <w:right w:w="17" w:type="dxa"/>
            </w:tcMar>
            <w:vAlign w:val="center"/>
          </w:tcPr>
          <w:p w14:paraId="337A3361" w14:textId="77777777" w:rsidR="001C56BD" w:rsidRPr="00305460" w:rsidRDefault="001C56BD" w:rsidP="008A5C11">
            <w:pPr>
              <w:jc w:val="center"/>
              <w:rPr>
                <w:bCs/>
                <w:sz w:val="12"/>
                <w:szCs w:val="12"/>
              </w:rPr>
            </w:pPr>
            <w:r w:rsidRPr="00305460">
              <w:rPr>
                <w:bCs/>
                <w:sz w:val="12"/>
                <w:szCs w:val="12"/>
              </w:rPr>
              <w:t>16</w:t>
            </w:r>
          </w:p>
        </w:tc>
        <w:tc>
          <w:tcPr>
            <w:tcW w:w="218" w:type="pct"/>
            <w:tcMar>
              <w:left w:w="17" w:type="dxa"/>
              <w:right w:w="17" w:type="dxa"/>
            </w:tcMar>
            <w:vAlign w:val="center"/>
          </w:tcPr>
          <w:p w14:paraId="7211E761" w14:textId="77777777" w:rsidR="001C56BD" w:rsidRPr="00305460" w:rsidRDefault="001C56BD" w:rsidP="008A5C11">
            <w:pPr>
              <w:jc w:val="center"/>
              <w:rPr>
                <w:bCs/>
                <w:sz w:val="12"/>
                <w:szCs w:val="12"/>
              </w:rPr>
            </w:pPr>
            <w:r w:rsidRPr="00305460">
              <w:rPr>
                <w:bCs/>
                <w:sz w:val="12"/>
                <w:szCs w:val="12"/>
              </w:rPr>
              <w:t>17</w:t>
            </w:r>
          </w:p>
        </w:tc>
        <w:tc>
          <w:tcPr>
            <w:tcW w:w="218" w:type="pct"/>
            <w:tcMar>
              <w:left w:w="17" w:type="dxa"/>
              <w:right w:w="17" w:type="dxa"/>
            </w:tcMar>
            <w:vAlign w:val="center"/>
          </w:tcPr>
          <w:p w14:paraId="33E65798" w14:textId="77777777" w:rsidR="001C56BD" w:rsidRPr="00305460" w:rsidRDefault="001C56BD" w:rsidP="008A5C11">
            <w:pPr>
              <w:jc w:val="center"/>
              <w:rPr>
                <w:bCs/>
                <w:sz w:val="12"/>
                <w:szCs w:val="12"/>
              </w:rPr>
            </w:pPr>
            <w:r w:rsidRPr="00305460">
              <w:rPr>
                <w:bCs/>
                <w:sz w:val="12"/>
                <w:szCs w:val="12"/>
              </w:rPr>
              <w:t>18</w:t>
            </w:r>
          </w:p>
        </w:tc>
        <w:tc>
          <w:tcPr>
            <w:tcW w:w="218" w:type="pct"/>
            <w:tcMar>
              <w:left w:w="17" w:type="dxa"/>
              <w:right w:w="17" w:type="dxa"/>
            </w:tcMar>
            <w:vAlign w:val="center"/>
          </w:tcPr>
          <w:p w14:paraId="26BB36AA" w14:textId="77777777" w:rsidR="001C56BD" w:rsidRPr="00305460" w:rsidRDefault="001C56BD" w:rsidP="008A5C11">
            <w:pPr>
              <w:jc w:val="center"/>
              <w:rPr>
                <w:bCs/>
                <w:sz w:val="12"/>
                <w:szCs w:val="12"/>
              </w:rPr>
            </w:pPr>
            <w:r w:rsidRPr="00305460">
              <w:rPr>
                <w:bCs/>
                <w:sz w:val="12"/>
                <w:szCs w:val="12"/>
              </w:rPr>
              <w:t>19</w:t>
            </w:r>
          </w:p>
        </w:tc>
        <w:tc>
          <w:tcPr>
            <w:tcW w:w="218" w:type="pct"/>
            <w:gridSpan w:val="2"/>
            <w:tcMar>
              <w:left w:w="17" w:type="dxa"/>
              <w:right w:w="17" w:type="dxa"/>
            </w:tcMar>
            <w:vAlign w:val="center"/>
          </w:tcPr>
          <w:p w14:paraId="772CE66E" w14:textId="77777777" w:rsidR="001C56BD" w:rsidRPr="00305460" w:rsidRDefault="001C56BD" w:rsidP="008A5C11">
            <w:pPr>
              <w:jc w:val="center"/>
              <w:rPr>
                <w:bCs/>
                <w:sz w:val="12"/>
                <w:szCs w:val="12"/>
              </w:rPr>
            </w:pPr>
            <w:r w:rsidRPr="00305460">
              <w:rPr>
                <w:bCs/>
                <w:sz w:val="12"/>
                <w:szCs w:val="12"/>
              </w:rPr>
              <w:t>20</w:t>
            </w:r>
          </w:p>
        </w:tc>
        <w:tc>
          <w:tcPr>
            <w:tcW w:w="172" w:type="pct"/>
            <w:gridSpan w:val="2"/>
            <w:tcMar>
              <w:left w:w="17" w:type="dxa"/>
              <w:right w:w="17" w:type="dxa"/>
            </w:tcMar>
            <w:vAlign w:val="center"/>
          </w:tcPr>
          <w:p w14:paraId="1090FF87" w14:textId="77777777" w:rsidR="001C56BD" w:rsidRPr="00305460" w:rsidRDefault="001C56BD" w:rsidP="008A5C11">
            <w:pPr>
              <w:jc w:val="center"/>
              <w:rPr>
                <w:bCs/>
                <w:sz w:val="12"/>
                <w:szCs w:val="12"/>
              </w:rPr>
            </w:pPr>
            <w:r w:rsidRPr="00305460">
              <w:rPr>
                <w:bCs/>
                <w:sz w:val="12"/>
                <w:szCs w:val="12"/>
              </w:rPr>
              <w:t>21</w:t>
            </w:r>
          </w:p>
        </w:tc>
        <w:tc>
          <w:tcPr>
            <w:tcW w:w="219" w:type="pct"/>
            <w:tcMar>
              <w:left w:w="17" w:type="dxa"/>
              <w:right w:w="17" w:type="dxa"/>
            </w:tcMar>
            <w:vAlign w:val="center"/>
          </w:tcPr>
          <w:p w14:paraId="25A7915F" w14:textId="77777777" w:rsidR="001C56BD" w:rsidRPr="00305460" w:rsidRDefault="001C56BD" w:rsidP="008A5C11">
            <w:pPr>
              <w:jc w:val="center"/>
              <w:rPr>
                <w:bCs/>
                <w:sz w:val="12"/>
                <w:szCs w:val="12"/>
              </w:rPr>
            </w:pPr>
            <w:r w:rsidRPr="00305460">
              <w:rPr>
                <w:bCs/>
                <w:sz w:val="12"/>
                <w:szCs w:val="12"/>
              </w:rPr>
              <w:t>22</w:t>
            </w:r>
          </w:p>
        </w:tc>
        <w:tc>
          <w:tcPr>
            <w:tcW w:w="174" w:type="pct"/>
            <w:tcMar>
              <w:left w:w="17" w:type="dxa"/>
              <w:right w:w="17" w:type="dxa"/>
            </w:tcMar>
            <w:vAlign w:val="center"/>
          </w:tcPr>
          <w:p w14:paraId="2880AD40" w14:textId="77777777" w:rsidR="001C56BD" w:rsidRPr="00305460" w:rsidRDefault="001C56BD" w:rsidP="008A5C11">
            <w:pPr>
              <w:jc w:val="center"/>
              <w:rPr>
                <w:bCs/>
                <w:sz w:val="12"/>
                <w:szCs w:val="12"/>
              </w:rPr>
            </w:pPr>
            <w:r w:rsidRPr="00305460">
              <w:rPr>
                <w:bCs/>
                <w:sz w:val="12"/>
                <w:szCs w:val="12"/>
              </w:rPr>
              <w:t>23</w:t>
            </w:r>
          </w:p>
        </w:tc>
        <w:tc>
          <w:tcPr>
            <w:tcW w:w="176" w:type="pct"/>
            <w:tcMar>
              <w:left w:w="17" w:type="dxa"/>
              <w:right w:w="17" w:type="dxa"/>
            </w:tcMar>
            <w:vAlign w:val="center"/>
          </w:tcPr>
          <w:p w14:paraId="6B832B84" w14:textId="77777777" w:rsidR="001C56BD" w:rsidRPr="00305460" w:rsidRDefault="001C56BD" w:rsidP="008A5C11">
            <w:pPr>
              <w:jc w:val="center"/>
              <w:rPr>
                <w:bCs/>
                <w:sz w:val="12"/>
                <w:szCs w:val="12"/>
              </w:rPr>
            </w:pPr>
            <w:r w:rsidRPr="00305460">
              <w:rPr>
                <w:bCs/>
                <w:sz w:val="12"/>
                <w:szCs w:val="12"/>
              </w:rPr>
              <w:t>24</w:t>
            </w:r>
          </w:p>
        </w:tc>
      </w:tr>
      <w:tr w:rsidR="001C56BD" w:rsidRPr="00305460" w14:paraId="19C3CFF3" w14:textId="77777777" w:rsidTr="008A5C11">
        <w:trPr>
          <w:trHeight w:val="897"/>
        </w:trPr>
        <w:tc>
          <w:tcPr>
            <w:tcW w:w="86" w:type="pct"/>
            <w:shd w:val="clear" w:color="auto" w:fill="auto"/>
            <w:tcMar>
              <w:left w:w="17" w:type="dxa"/>
              <w:right w:w="17" w:type="dxa"/>
            </w:tcMar>
            <w:vAlign w:val="center"/>
          </w:tcPr>
          <w:p w14:paraId="278CF0B2" w14:textId="77777777" w:rsidR="001C56BD" w:rsidRPr="00305460" w:rsidRDefault="001C56BD" w:rsidP="008A5C11">
            <w:pPr>
              <w:jc w:val="center"/>
              <w:rPr>
                <w:sz w:val="12"/>
                <w:szCs w:val="12"/>
              </w:rPr>
            </w:pPr>
            <w:r w:rsidRPr="00305460">
              <w:rPr>
                <w:sz w:val="12"/>
                <w:szCs w:val="12"/>
              </w:rPr>
              <w:t>3.1.11.</w:t>
            </w:r>
          </w:p>
        </w:tc>
        <w:tc>
          <w:tcPr>
            <w:tcW w:w="295" w:type="pct"/>
            <w:shd w:val="clear" w:color="auto" w:fill="auto"/>
            <w:tcMar>
              <w:left w:w="17" w:type="dxa"/>
              <w:right w:w="17" w:type="dxa"/>
            </w:tcMar>
            <w:vAlign w:val="center"/>
          </w:tcPr>
          <w:p w14:paraId="64FA930F" w14:textId="77777777" w:rsidR="001C56BD" w:rsidRPr="00305460" w:rsidRDefault="001C56BD" w:rsidP="008A5C11">
            <w:pPr>
              <w:rPr>
                <w:sz w:val="12"/>
                <w:szCs w:val="12"/>
              </w:rPr>
            </w:pPr>
            <w:r w:rsidRPr="00305460">
              <w:rPr>
                <w:sz w:val="12"/>
                <w:szCs w:val="12"/>
              </w:rPr>
              <w:t>Реконструкция тепловой сети с реестровым номером 776962</w:t>
            </w:r>
          </w:p>
        </w:tc>
        <w:tc>
          <w:tcPr>
            <w:tcW w:w="307" w:type="pct"/>
            <w:shd w:val="clear" w:color="000000" w:fill="FFFFFF"/>
            <w:tcMar>
              <w:left w:w="17" w:type="dxa"/>
              <w:right w:w="17" w:type="dxa"/>
            </w:tcMar>
            <w:vAlign w:val="center"/>
          </w:tcPr>
          <w:p w14:paraId="7BE8A1B4" w14:textId="77777777" w:rsidR="001C56BD" w:rsidRPr="00305460" w:rsidRDefault="001C56BD" w:rsidP="008A5C11">
            <w:pPr>
              <w:jc w:val="center"/>
              <w:rPr>
                <w:sz w:val="12"/>
                <w:szCs w:val="12"/>
              </w:rPr>
            </w:pPr>
            <w:r w:rsidRPr="00305460">
              <w:rPr>
                <w:color w:val="000000"/>
                <w:sz w:val="12"/>
                <w:szCs w:val="12"/>
              </w:rPr>
              <w:t>Повышение надежности услуг теплоснабжения, повышение энергетической эффективности</w:t>
            </w:r>
          </w:p>
        </w:tc>
        <w:tc>
          <w:tcPr>
            <w:tcW w:w="280" w:type="pct"/>
            <w:shd w:val="clear" w:color="auto" w:fill="auto"/>
            <w:tcMar>
              <w:left w:w="17" w:type="dxa"/>
              <w:right w:w="17" w:type="dxa"/>
            </w:tcMar>
            <w:vAlign w:val="center"/>
          </w:tcPr>
          <w:p w14:paraId="26906EE1" w14:textId="77777777" w:rsidR="001C56BD" w:rsidRPr="00305460" w:rsidRDefault="001C56BD" w:rsidP="008A5C11">
            <w:pPr>
              <w:jc w:val="center"/>
              <w:rPr>
                <w:sz w:val="12"/>
                <w:szCs w:val="12"/>
              </w:rPr>
            </w:pPr>
            <w:r w:rsidRPr="00305460">
              <w:rPr>
                <w:sz w:val="12"/>
                <w:szCs w:val="12"/>
              </w:rPr>
              <w:t xml:space="preserve">Кемеровский городской округ, Ленинский район, квартал №16, в границах просп. Московский, б-р Строителей, просп. Октябрьский, ул. Волгоградская </w:t>
            </w:r>
          </w:p>
        </w:tc>
        <w:tc>
          <w:tcPr>
            <w:tcW w:w="289" w:type="pct"/>
            <w:shd w:val="clear" w:color="auto" w:fill="auto"/>
            <w:tcMar>
              <w:left w:w="17" w:type="dxa"/>
              <w:right w:w="17" w:type="dxa"/>
            </w:tcMar>
            <w:vAlign w:val="center"/>
          </w:tcPr>
          <w:p w14:paraId="0DFA6437" w14:textId="77777777" w:rsidR="001C56BD" w:rsidRPr="00305460" w:rsidRDefault="001C56BD" w:rsidP="008A5C11">
            <w:pPr>
              <w:jc w:val="center"/>
              <w:rPr>
                <w:sz w:val="12"/>
                <w:szCs w:val="12"/>
              </w:rPr>
            </w:pPr>
            <w:r w:rsidRPr="00305460">
              <w:rPr>
                <w:color w:val="000000"/>
                <w:sz w:val="12"/>
                <w:szCs w:val="12"/>
              </w:rPr>
              <w:t>Технические характеристики</w:t>
            </w:r>
          </w:p>
        </w:tc>
        <w:tc>
          <w:tcPr>
            <w:tcW w:w="137" w:type="pct"/>
            <w:shd w:val="clear" w:color="auto" w:fill="auto"/>
            <w:tcMar>
              <w:left w:w="17" w:type="dxa"/>
              <w:right w:w="17" w:type="dxa"/>
            </w:tcMar>
            <w:vAlign w:val="center"/>
          </w:tcPr>
          <w:p w14:paraId="59E3477A" w14:textId="77777777" w:rsidR="001C56BD" w:rsidRPr="00305460" w:rsidRDefault="001C56BD" w:rsidP="008A5C11">
            <w:pPr>
              <w:jc w:val="center"/>
              <w:rPr>
                <w:color w:val="000000"/>
                <w:sz w:val="12"/>
                <w:szCs w:val="12"/>
              </w:rPr>
            </w:pPr>
          </w:p>
        </w:tc>
        <w:tc>
          <w:tcPr>
            <w:tcW w:w="202" w:type="pct"/>
            <w:shd w:val="clear" w:color="auto" w:fill="auto"/>
            <w:tcMar>
              <w:left w:w="17" w:type="dxa"/>
              <w:right w:w="17" w:type="dxa"/>
            </w:tcMar>
            <w:vAlign w:val="center"/>
          </w:tcPr>
          <w:p w14:paraId="7F3A07AE" w14:textId="77777777" w:rsidR="001C56BD" w:rsidRPr="00305460" w:rsidRDefault="001C56BD" w:rsidP="008A5C11">
            <w:pPr>
              <w:jc w:val="center"/>
              <w:rPr>
                <w:sz w:val="12"/>
                <w:szCs w:val="12"/>
              </w:rPr>
            </w:pPr>
            <w:r w:rsidRPr="00305460">
              <w:rPr>
                <w:sz w:val="12"/>
                <w:szCs w:val="12"/>
              </w:rPr>
              <w:t>Канал-кирпич (непроходной канал),</w:t>
            </w:r>
            <w:r w:rsidRPr="00305460">
              <w:rPr>
                <w:sz w:val="12"/>
                <w:szCs w:val="12"/>
              </w:rPr>
              <w:br/>
              <w:t xml:space="preserve">опоры </w:t>
            </w:r>
            <w:proofErr w:type="gramStart"/>
            <w:r w:rsidRPr="00305460">
              <w:rPr>
                <w:sz w:val="12"/>
                <w:szCs w:val="12"/>
              </w:rPr>
              <w:t>привар-ные</w:t>
            </w:r>
            <w:proofErr w:type="gramEnd"/>
            <w:r w:rsidRPr="00305460">
              <w:rPr>
                <w:sz w:val="12"/>
                <w:szCs w:val="12"/>
              </w:rPr>
              <w:t xml:space="preserve">, запорная арматура-стальная клиновая, антикоррозийная защита-лак БТ, труба-сталь 20, изоляция-мин. маты.       </w:t>
            </w:r>
          </w:p>
        </w:tc>
        <w:tc>
          <w:tcPr>
            <w:tcW w:w="244" w:type="pct"/>
            <w:shd w:val="clear" w:color="auto" w:fill="auto"/>
            <w:tcMar>
              <w:left w:w="17" w:type="dxa"/>
              <w:right w:w="17" w:type="dxa"/>
            </w:tcMar>
            <w:vAlign w:val="center"/>
          </w:tcPr>
          <w:p w14:paraId="7045A1C8" w14:textId="77777777" w:rsidR="001C56BD" w:rsidRPr="00305460" w:rsidRDefault="001C56BD" w:rsidP="008A5C11">
            <w:pPr>
              <w:jc w:val="center"/>
              <w:rPr>
                <w:sz w:val="12"/>
                <w:szCs w:val="12"/>
              </w:rPr>
            </w:pPr>
            <w:r w:rsidRPr="00305460">
              <w:rPr>
                <w:sz w:val="12"/>
                <w:szCs w:val="12"/>
              </w:rPr>
              <w:t xml:space="preserve">Канал-ж/б лотки, опоры-хомутовые с диэлектрической прокладкой, запорная арматура - кран шаровый, антикоррозийная защита-мастика Вектор 1214, 1025, труба-сталь 09Г2С, изоляция - маты прошивные, </w:t>
            </w:r>
            <w:proofErr w:type="gramStart"/>
            <w:r w:rsidRPr="00305460">
              <w:rPr>
                <w:sz w:val="12"/>
                <w:szCs w:val="12"/>
              </w:rPr>
              <w:t>стеклоплас-тик</w:t>
            </w:r>
            <w:proofErr w:type="gramEnd"/>
            <w:r w:rsidRPr="00305460">
              <w:rPr>
                <w:sz w:val="12"/>
                <w:szCs w:val="12"/>
              </w:rPr>
              <w:t xml:space="preserve">  </w:t>
            </w:r>
          </w:p>
        </w:tc>
        <w:tc>
          <w:tcPr>
            <w:tcW w:w="140" w:type="pct"/>
            <w:shd w:val="clear" w:color="auto" w:fill="auto"/>
            <w:tcMar>
              <w:left w:w="17" w:type="dxa"/>
              <w:right w:w="17" w:type="dxa"/>
            </w:tcMar>
            <w:vAlign w:val="center"/>
          </w:tcPr>
          <w:p w14:paraId="3A5C745C" w14:textId="77777777" w:rsidR="001C56BD" w:rsidRPr="00305460" w:rsidRDefault="001C56BD" w:rsidP="008A5C11">
            <w:pPr>
              <w:jc w:val="center"/>
              <w:rPr>
                <w:sz w:val="12"/>
                <w:szCs w:val="12"/>
              </w:rPr>
            </w:pPr>
            <w:r w:rsidRPr="00305460">
              <w:rPr>
                <w:sz w:val="12"/>
                <w:szCs w:val="12"/>
              </w:rPr>
              <w:t>2025</w:t>
            </w:r>
          </w:p>
        </w:tc>
        <w:tc>
          <w:tcPr>
            <w:tcW w:w="140" w:type="pct"/>
            <w:shd w:val="clear" w:color="auto" w:fill="auto"/>
            <w:tcMar>
              <w:left w:w="17" w:type="dxa"/>
              <w:right w:w="17" w:type="dxa"/>
            </w:tcMar>
            <w:vAlign w:val="center"/>
          </w:tcPr>
          <w:p w14:paraId="07E8CD42" w14:textId="77777777" w:rsidR="001C56BD" w:rsidRPr="00305460" w:rsidRDefault="001C56BD" w:rsidP="008A5C11">
            <w:pPr>
              <w:jc w:val="center"/>
              <w:rPr>
                <w:sz w:val="12"/>
                <w:szCs w:val="12"/>
              </w:rPr>
            </w:pPr>
            <w:r w:rsidRPr="00305460">
              <w:rPr>
                <w:sz w:val="12"/>
                <w:szCs w:val="12"/>
              </w:rPr>
              <w:t>2031</w:t>
            </w:r>
          </w:p>
        </w:tc>
        <w:tc>
          <w:tcPr>
            <w:tcW w:w="239" w:type="pct"/>
            <w:gridSpan w:val="3"/>
            <w:shd w:val="clear" w:color="auto" w:fill="auto"/>
            <w:tcMar>
              <w:left w:w="17" w:type="dxa"/>
              <w:right w:w="17" w:type="dxa"/>
            </w:tcMar>
            <w:vAlign w:val="center"/>
          </w:tcPr>
          <w:p w14:paraId="09171CAB" w14:textId="77777777" w:rsidR="001C56BD" w:rsidRPr="00305460" w:rsidRDefault="001C56BD" w:rsidP="008A5C11">
            <w:pPr>
              <w:jc w:val="center"/>
              <w:rPr>
                <w:sz w:val="12"/>
                <w:szCs w:val="12"/>
              </w:rPr>
            </w:pPr>
            <w:r w:rsidRPr="00305460">
              <w:rPr>
                <w:sz w:val="12"/>
                <w:szCs w:val="12"/>
              </w:rPr>
              <w:t>106061,450</w:t>
            </w:r>
          </w:p>
        </w:tc>
        <w:tc>
          <w:tcPr>
            <w:tcW w:w="196" w:type="pct"/>
            <w:gridSpan w:val="3"/>
            <w:shd w:val="clear" w:color="auto" w:fill="auto"/>
            <w:tcMar>
              <w:left w:w="17" w:type="dxa"/>
              <w:right w:w="17" w:type="dxa"/>
            </w:tcMar>
            <w:vAlign w:val="center"/>
          </w:tcPr>
          <w:p w14:paraId="56B38EBB" w14:textId="77777777" w:rsidR="001C56BD" w:rsidRPr="00305460" w:rsidRDefault="001C56BD" w:rsidP="008A5C11">
            <w:pPr>
              <w:jc w:val="center"/>
              <w:rPr>
                <w:sz w:val="12"/>
                <w:szCs w:val="12"/>
              </w:rPr>
            </w:pPr>
            <w:r w:rsidRPr="00305460">
              <w:rPr>
                <w:sz w:val="12"/>
                <w:szCs w:val="12"/>
              </w:rPr>
              <w:t>0,000</w:t>
            </w:r>
          </w:p>
        </w:tc>
        <w:tc>
          <w:tcPr>
            <w:tcW w:w="216" w:type="pct"/>
            <w:gridSpan w:val="3"/>
            <w:shd w:val="clear" w:color="auto" w:fill="auto"/>
            <w:tcMar>
              <w:left w:w="17" w:type="dxa"/>
              <w:right w:w="17" w:type="dxa"/>
            </w:tcMar>
            <w:vAlign w:val="center"/>
          </w:tcPr>
          <w:p w14:paraId="41778821" w14:textId="77777777" w:rsidR="001C56BD" w:rsidRPr="00305460" w:rsidRDefault="001C56BD" w:rsidP="008A5C11">
            <w:pPr>
              <w:jc w:val="center"/>
              <w:rPr>
                <w:sz w:val="12"/>
                <w:szCs w:val="12"/>
              </w:rPr>
            </w:pPr>
            <w:r w:rsidRPr="00305460">
              <w:rPr>
                <w:sz w:val="12"/>
                <w:szCs w:val="12"/>
              </w:rPr>
              <w:t>0,000</w:t>
            </w:r>
          </w:p>
        </w:tc>
        <w:tc>
          <w:tcPr>
            <w:tcW w:w="179" w:type="pct"/>
            <w:gridSpan w:val="2"/>
            <w:shd w:val="clear" w:color="auto" w:fill="auto"/>
            <w:tcMar>
              <w:left w:w="17" w:type="dxa"/>
              <w:right w:w="17" w:type="dxa"/>
            </w:tcMar>
            <w:vAlign w:val="center"/>
          </w:tcPr>
          <w:p w14:paraId="21AE3EEB" w14:textId="77777777" w:rsidR="001C56BD" w:rsidRPr="00305460" w:rsidRDefault="001C56BD" w:rsidP="008A5C11">
            <w:pPr>
              <w:jc w:val="center"/>
              <w:rPr>
                <w:sz w:val="12"/>
                <w:szCs w:val="12"/>
              </w:rPr>
            </w:pPr>
            <w:r w:rsidRPr="00305460">
              <w:rPr>
                <w:sz w:val="12"/>
                <w:szCs w:val="12"/>
              </w:rPr>
              <w:t>0,000</w:t>
            </w:r>
          </w:p>
        </w:tc>
        <w:tc>
          <w:tcPr>
            <w:tcW w:w="222" w:type="pct"/>
            <w:gridSpan w:val="2"/>
            <w:shd w:val="clear" w:color="auto" w:fill="auto"/>
            <w:tcMar>
              <w:left w:w="17" w:type="dxa"/>
              <w:right w:w="17" w:type="dxa"/>
            </w:tcMar>
            <w:vAlign w:val="center"/>
          </w:tcPr>
          <w:p w14:paraId="34B08A8C" w14:textId="77777777" w:rsidR="001C56BD" w:rsidRPr="00305460" w:rsidRDefault="001C56BD" w:rsidP="008A5C11">
            <w:pPr>
              <w:jc w:val="center"/>
              <w:rPr>
                <w:sz w:val="12"/>
                <w:szCs w:val="12"/>
              </w:rPr>
            </w:pPr>
            <w:r w:rsidRPr="00305460">
              <w:rPr>
                <w:sz w:val="12"/>
                <w:szCs w:val="12"/>
              </w:rPr>
              <w:t>0,000</w:t>
            </w:r>
          </w:p>
        </w:tc>
        <w:tc>
          <w:tcPr>
            <w:tcW w:w="213" w:type="pct"/>
            <w:shd w:val="clear" w:color="auto" w:fill="auto"/>
            <w:tcMar>
              <w:left w:w="17" w:type="dxa"/>
              <w:right w:w="17" w:type="dxa"/>
            </w:tcMar>
            <w:vAlign w:val="center"/>
          </w:tcPr>
          <w:p w14:paraId="73BFFA24" w14:textId="77777777" w:rsidR="001C56BD" w:rsidRPr="00305460" w:rsidRDefault="001C56BD" w:rsidP="008A5C11">
            <w:pPr>
              <w:jc w:val="center"/>
              <w:rPr>
                <w:sz w:val="12"/>
                <w:szCs w:val="12"/>
              </w:rPr>
            </w:pPr>
            <w:r w:rsidRPr="00305460">
              <w:rPr>
                <w:sz w:val="12"/>
                <w:szCs w:val="12"/>
              </w:rPr>
              <w:t>19538,724</w:t>
            </w:r>
          </w:p>
        </w:tc>
        <w:tc>
          <w:tcPr>
            <w:tcW w:w="218" w:type="pct"/>
            <w:shd w:val="clear" w:color="auto" w:fill="auto"/>
            <w:tcMar>
              <w:left w:w="17" w:type="dxa"/>
              <w:right w:w="17" w:type="dxa"/>
            </w:tcMar>
            <w:vAlign w:val="center"/>
          </w:tcPr>
          <w:p w14:paraId="26EC3CC1" w14:textId="77777777" w:rsidR="001C56BD" w:rsidRPr="00305460" w:rsidRDefault="001C56BD" w:rsidP="008A5C11">
            <w:pPr>
              <w:jc w:val="center"/>
              <w:rPr>
                <w:sz w:val="12"/>
                <w:szCs w:val="12"/>
              </w:rPr>
            </w:pPr>
            <w:r w:rsidRPr="00305460">
              <w:rPr>
                <w:sz w:val="12"/>
                <w:szCs w:val="12"/>
              </w:rPr>
              <w:t>24322,006</w:t>
            </w:r>
          </w:p>
        </w:tc>
        <w:tc>
          <w:tcPr>
            <w:tcW w:w="218" w:type="pct"/>
            <w:shd w:val="clear" w:color="auto" w:fill="auto"/>
            <w:tcMar>
              <w:left w:w="17" w:type="dxa"/>
              <w:right w:w="17" w:type="dxa"/>
            </w:tcMar>
            <w:vAlign w:val="center"/>
          </w:tcPr>
          <w:p w14:paraId="4FE36D63" w14:textId="77777777" w:rsidR="001C56BD" w:rsidRPr="00305460" w:rsidRDefault="001C56BD" w:rsidP="008A5C11">
            <w:pPr>
              <w:jc w:val="center"/>
              <w:rPr>
                <w:sz w:val="12"/>
                <w:szCs w:val="12"/>
              </w:rPr>
            </w:pPr>
            <w:r w:rsidRPr="00305460">
              <w:rPr>
                <w:sz w:val="12"/>
                <w:szCs w:val="12"/>
              </w:rPr>
              <w:t>15721,068</w:t>
            </w:r>
          </w:p>
        </w:tc>
        <w:tc>
          <w:tcPr>
            <w:tcW w:w="218" w:type="pct"/>
            <w:shd w:val="clear" w:color="auto" w:fill="auto"/>
            <w:tcMar>
              <w:left w:w="17" w:type="dxa"/>
              <w:right w:w="17" w:type="dxa"/>
            </w:tcMar>
            <w:vAlign w:val="center"/>
          </w:tcPr>
          <w:p w14:paraId="62E84E6C" w14:textId="77777777" w:rsidR="001C56BD" w:rsidRPr="00305460" w:rsidRDefault="001C56BD" w:rsidP="008A5C11">
            <w:pPr>
              <w:jc w:val="center"/>
              <w:rPr>
                <w:sz w:val="12"/>
                <w:szCs w:val="12"/>
              </w:rPr>
            </w:pPr>
            <w:r w:rsidRPr="00305460">
              <w:rPr>
                <w:sz w:val="12"/>
                <w:szCs w:val="12"/>
              </w:rPr>
              <w:t>0,000</w:t>
            </w:r>
          </w:p>
        </w:tc>
        <w:tc>
          <w:tcPr>
            <w:tcW w:w="218" w:type="pct"/>
            <w:gridSpan w:val="2"/>
            <w:shd w:val="clear" w:color="auto" w:fill="auto"/>
            <w:tcMar>
              <w:left w:w="17" w:type="dxa"/>
              <w:right w:w="17" w:type="dxa"/>
            </w:tcMar>
            <w:vAlign w:val="center"/>
          </w:tcPr>
          <w:p w14:paraId="05156ED0" w14:textId="77777777" w:rsidR="001C56BD" w:rsidRPr="00305460" w:rsidRDefault="001C56BD" w:rsidP="008A5C11">
            <w:pPr>
              <w:jc w:val="center"/>
              <w:rPr>
                <w:sz w:val="12"/>
                <w:szCs w:val="12"/>
              </w:rPr>
            </w:pPr>
            <w:r w:rsidRPr="00305460">
              <w:rPr>
                <w:sz w:val="12"/>
                <w:szCs w:val="12"/>
              </w:rPr>
              <w:t>0,000</w:t>
            </w:r>
          </w:p>
        </w:tc>
        <w:tc>
          <w:tcPr>
            <w:tcW w:w="172" w:type="pct"/>
            <w:gridSpan w:val="2"/>
            <w:shd w:val="clear" w:color="auto" w:fill="auto"/>
            <w:tcMar>
              <w:left w:w="17" w:type="dxa"/>
              <w:right w:w="17" w:type="dxa"/>
            </w:tcMar>
            <w:vAlign w:val="center"/>
          </w:tcPr>
          <w:p w14:paraId="2248D26B" w14:textId="77777777" w:rsidR="001C56BD" w:rsidRPr="00305460" w:rsidRDefault="001C56BD" w:rsidP="008A5C11">
            <w:pPr>
              <w:jc w:val="center"/>
              <w:rPr>
                <w:sz w:val="12"/>
                <w:szCs w:val="12"/>
              </w:rPr>
            </w:pPr>
            <w:r w:rsidRPr="00305460">
              <w:rPr>
                <w:sz w:val="12"/>
                <w:szCs w:val="12"/>
              </w:rPr>
              <w:t>19383,792</w:t>
            </w:r>
          </w:p>
        </w:tc>
        <w:tc>
          <w:tcPr>
            <w:tcW w:w="219" w:type="pct"/>
            <w:shd w:val="clear" w:color="auto" w:fill="auto"/>
            <w:tcMar>
              <w:left w:w="17" w:type="dxa"/>
              <w:right w:w="17" w:type="dxa"/>
            </w:tcMar>
            <w:vAlign w:val="center"/>
          </w:tcPr>
          <w:p w14:paraId="5EBD16D4" w14:textId="77777777" w:rsidR="001C56BD" w:rsidRPr="00305460" w:rsidRDefault="001C56BD" w:rsidP="008A5C11">
            <w:pPr>
              <w:jc w:val="center"/>
              <w:rPr>
                <w:sz w:val="12"/>
                <w:szCs w:val="12"/>
              </w:rPr>
            </w:pPr>
            <w:r w:rsidRPr="00305460">
              <w:rPr>
                <w:sz w:val="12"/>
                <w:szCs w:val="12"/>
              </w:rPr>
              <w:t>27095,860</w:t>
            </w:r>
          </w:p>
        </w:tc>
        <w:tc>
          <w:tcPr>
            <w:tcW w:w="174" w:type="pct"/>
            <w:shd w:val="clear" w:color="auto" w:fill="auto"/>
            <w:tcMar>
              <w:left w:w="17" w:type="dxa"/>
              <w:right w:w="17" w:type="dxa"/>
            </w:tcMar>
            <w:vAlign w:val="center"/>
          </w:tcPr>
          <w:p w14:paraId="1721B98E" w14:textId="77777777" w:rsidR="001C56BD" w:rsidRPr="00305460" w:rsidRDefault="001C56BD" w:rsidP="008A5C11">
            <w:pPr>
              <w:jc w:val="center"/>
              <w:rPr>
                <w:sz w:val="12"/>
                <w:szCs w:val="12"/>
              </w:rPr>
            </w:pPr>
            <w:r w:rsidRPr="00305460">
              <w:rPr>
                <w:sz w:val="12"/>
                <w:szCs w:val="12"/>
              </w:rPr>
              <w:t>0,000</w:t>
            </w:r>
          </w:p>
        </w:tc>
        <w:tc>
          <w:tcPr>
            <w:tcW w:w="176" w:type="pct"/>
            <w:shd w:val="clear" w:color="auto" w:fill="auto"/>
            <w:tcMar>
              <w:left w:w="17" w:type="dxa"/>
              <w:right w:w="17" w:type="dxa"/>
            </w:tcMar>
            <w:vAlign w:val="center"/>
          </w:tcPr>
          <w:p w14:paraId="03D83DB4" w14:textId="77777777" w:rsidR="001C56BD" w:rsidRPr="00305460" w:rsidRDefault="001C56BD" w:rsidP="008A5C11">
            <w:pPr>
              <w:jc w:val="center"/>
              <w:rPr>
                <w:sz w:val="12"/>
                <w:szCs w:val="12"/>
              </w:rPr>
            </w:pPr>
            <w:r w:rsidRPr="00305460">
              <w:rPr>
                <w:sz w:val="12"/>
                <w:szCs w:val="12"/>
              </w:rPr>
              <w:t>0,000</w:t>
            </w:r>
          </w:p>
        </w:tc>
      </w:tr>
      <w:tr w:rsidR="001C56BD" w:rsidRPr="00305460" w14:paraId="1A51ED4A" w14:textId="77777777" w:rsidTr="008A5C11">
        <w:trPr>
          <w:trHeight w:val="897"/>
        </w:trPr>
        <w:tc>
          <w:tcPr>
            <w:tcW w:w="86" w:type="pct"/>
            <w:shd w:val="clear" w:color="auto" w:fill="auto"/>
            <w:tcMar>
              <w:left w:w="17" w:type="dxa"/>
              <w:right w:w="17" w:type="dxa"/>
            </w:tcMar>
            <w:vAlign w:val="center"/>
          </w:tcPr>
          <w:p w14:paraId="080D618A" w14:textId="77777777" w:rsidR="001C56BD" w:rsidRPr="00305460" w:rsidRDefault="001C56BD" w:rsidP="008A5C11">
            <w:pPr>
              <w:jc w:val="center"/>
              <w:rPr>
                <w:sz w:val="12"/>
                <w:szCs w:val="12"/>
              </w:rPr>
            </w:pPr>
            <w:r w:rsidRPr="00305460">
              <w:rPr>
                <w:sz w:val="12"/>
                <w:szCs w:val="12"/>
              </w:rPr>
              <w:t>3.1.12.</w:t>
            </w:r>
          </w:p>
        </w:tc>
        <w:tc>
          <w:tcPr>
            <w:tcW w:w="295" w:type="pct"/>
            <w:shd w:val="clear" w:color="auto" w:fill="auto"/>
            <w:tcMar>
              <w:left w:w="17" w:type="dxa"/>
              <w:right w:w="17" w:type="dxa"/>
            </w:tcMar>
            <w:vAlign w:val="center"/>
          </w:tcPr>
          <w:p w14:paraId="0463B0D2" w14:textId="77777777" w:rsidR="001C56BD" w:rsidRPr="00305460" w:rsidRDefault="001C56BD" w:rsidP="008A5C11">
            <w:pPr>
              <w:rPr>
                <w:sz w:val="12"/>
                <w:szCs w:val="12"/>
              </w:rPr>
            </w:pPr>
            <w:r w:rsidRPr="00305460">
              <w:rPr>
                <w:sz w:val="12"/>
                <w:szCs w:val="12"/>
              </w:rPr>
              <w:t>Реконструкция тепловой сети с реестровым номером 777204</w:t>
            </w:r>
          </w:p>
        </w:tc>
        <w:tc>
          <w:tcPr>
            <w:tcW w:w="307" w:type="pct"/>
            <w:shd w:val="clear" w:color="000000" w:fill="FFFFFF"/>
            <w:tcMar>
              <w:left w:w="17" w:type="dxa"/>
              <w:right w:w="17" w:type="dxa"/>
            </w:tcMar>
            <w:vAlign w:val="center"/>
          </w:tcPr>
          <w:p w14:paraId="7F8318EA" w14:textId="77777777" w:rsidR="001C56BD" w:rsidRPr="00305460" w:rsidRDefault="001C56BD" w:rsidP="008A5C11">
            <w:pPr>
              <w:jc w:val="center"/>
              <w:rPr>
                <w:sz w:val="12"/>
                <w:szCs w:val="12"/>
              </w:rPr>
            </w:pPr>
            <w:r w:rsidRPr="00305460">
              <w:rPr>
                <w:color w:val="000000"/>
                <w:sz w:val="12"/>
                <w:szCs w:val="12"/>
              </w:rPr>
              <w:t>Повышение надежности услуг теплоснабжения, повышение энергетической эффективности</w:t>
            </w:r>
          </w:p>
        </w:tc>
        <w:tc>
          <w:tcPr>
            <w:tcW w:w="280" w:type="pct"/>
            <w:shd w:val="clear" w:color="auto" w:fill="auto"/>
            <w:tcMar>
              <w:left w:w="17" w:type="dxa"/>
              <w:right w:w="17" w:type="dxa"/>
            </w:tcMar>
            <w:vAlign w:val="center"/>
          </w:tcPr>
          <w:p w14:paraId="635FC4CA" w14:textId="77777777" w:rsidR="001C56BD" w:rsidRPr="00305460" w:rsidRDefault="001C56BD" w:rsidP="008A5C11">
            <w:pPr>
              <w:jc w:val="center"/>
              <w:rPr>
                <w:sz w:val="12"/>
                <w:szCs w:val="12"/>
              </w:rPr>
            </w:pPr>
            <w:r w:rsidRPr="00305460">
              <w:rPr>
                <w:sz w:val="12"/>
                <w:szCs w:val="12"/>
              </w:rPr>
              <w:t>Кемеровский городской округ, Ленинский район, квартал 18, литер А</w:t>
            </w:r>
          </w:p>
        </w:tc>
        <w:tc>
          <w:tcPr>
            <w:tcW w:w="289" w:type="pct"/>
            <w:shd w:val="clear" w:color="auto" w:fill="auto"/>
            <w:tcMar>
              <w:left w:w="17" w:type="dxa"/>
              <w:right w:w="17" w:type="dxa"/>
            </w:tcMar>
            <w:vAlign w:val="center"/>
          </w:tcPr>
          <w:p w14:paraId="6C0D55EB" w14:textId="77777777" w:rsidR="001C56BD" w:rsidRPr="00305460" w:rsidRDefault="001C56BD" w:rsidP="008A5C11">
            <w:pPr>
              <w:jc w:val="center"/>
              <w:rPr>
                <w:sz w:val="12"/>
                <w:szCs w:val="12"/>
              </w:rPr>
            </w:pPr>
            <w:r w:rsidRPr="00305460">
              <w:rPr>
                <w:color w:val="000000"/>
                <w:sz w:val="12"/>
                <w:szCs w:val="12"/>
              </w:rPr>
              <w:t>Технические характеристики</w:t>
            </w:r>
          </w:p>
        </w:tc>
        <w:tc>
          <w:tcPr>
            <w:tcW w:w="137" w:type="pct"/>
            <w:shd w:val="clear" w:color="auto" w:fill="auto"/>
            <w:tcMar>
              <w:left w:w="17" w:type="dxa"/>
              <w:right w:w="17" w:type="dxa"/>
            </w:tcMar>
            <w:vAlign w:val="center"/>
          </w:tcPr>
          <w:p w14:paraId="56A5FEB9" w14:textId="77777777" w:rsidR="001C56BD" w:rsidRPr="00305460" w:rsidRDefault="001C56BD" w:rsidP="008A5C11">
            <w:pPr>
              <w:jc w:val="center"/>
              <w:rPr>
                <w:color w:val="000000"/>
                <w:sz w:val="12"/>
                <w:szCs w:val="12"/>
              </w:rPr>
            </w:pPr>
          </w:p>
        </w:tc>
        <w:tc>
          <w:tcPr>
            <w:tcW w:w="202" w:type="pct"/>
            <w:shd w:val="clear" w:color="auto" w:fill="auto"/>
            <w:tcMar>
              <w:left w:w="17" w:type="dxa"/>
              <w:right w:w="17" w:type="dxa"/>
            </w:tcMar>
            <w:vAlign w:val="center"/>
          </w:tcPr>
          <w:p w14:paraId="3929DDD8" w14:textId="77777777" w:rsidR="001C56BD" w:rsidRPr="00305460" w:rsidRDefault="001C56BD" w:rsidP="008A5C11">
            <w:pPr>
              <w:jc w:val="center"/>
              <w:rPr>
                <w:sz w:val="12"/>
                <w:szCs w:val="12"/>
              </w:rPr>
            </w:pPr>
            <w:r w:rsidRPr="00305460">
              <w:rPr>
                <w:sz w:val="12"/>
                <w:szCs w:val="12"/>
              </w:rPr>
              <w:t>Канал-кирпич (непроходной канал),</w:t>
            </w:r>
            <w:r w:rsidRPr="00305460">
              <w:rPr>
                <w:sz w:val="12"/>
                <w:szCs w:val="12"/>
              </w:rPr>
              <w:br/>
              <w:t xml:space="preserve">опоры </w:t>
            </w:r>
            <w:proofErr w:type="gramStart"/>
            <w:r w:rsidRPr="00305460">
              <w:rPr>
                <w:sz w:val="12"/>
                <w:szCs w:val="12"/>
              </w:rPr>
              <w:t>привар-ные</w:t>
            </w:r>
            <w:proofErr w:type="gramEnd"/>
            <w:r w:rsidRPr="00305460">
              <w:rPr>
                <w:sz w:val="12"/>
                <w:szCs w:val="12"/>
              </w:rPr>
              <w:t xml:space="preserve">, запорная арматура-стальная клиновая, антикоррозийная защита-лак БТ, труба-сталь 20, изоляция-мин. маты.       </w:t>
            </w:r>
          </w:p>
        </w:tc>
        <w:tc>
          <w:tcPr>
            <w:tcW w:w="244" w:type="pct"/>
            <w:shd w:val="clear" w:color="auto" w:fill="auto"/>
            <w:tcMar>
              <w:left w:w="17" w:type="dxa"/>
              <w:right w:w="17" w:type="dxa"/>
            </w:tcMar>
            <w:vAlign w:val="center"/>
          </w:tcPr>
          <w:p w14:paraId="16306AC2" w14:textId="77777777" w:rsidR="001C56BD" w:rsidRPr="00305460" w:rsidRDefault="001C56BD" w:rsidP="008A5C11">
            <w:pPr>
              <w:jc w:val="center"/>
              <w:rPr>
                <w:sz w:val="12"/>
                <w:szCs w:val="12"/>
              </w:rPr>
            </w:pPr>
            <w:r w:rsidRPr="00305460">
              <w:rPr>
                <w:sz w:val="12"/>
                <w:szCs w:val="12"/>
              </w:rPr>
              <w:t xml:space="preserve">Канал-ж/б лотки, опоры-хомутовые с диэлектрической прокладкой, запорная арматура - кран шаровый, антикоррозийная защита-мастика Вектор 1214, 1025, труба-сталь 09Г2С, изоляция - маты прошивные, </w:t>
            </w:r>
            <w:proofErr w:type="gramStart"/>
            <w:r w:rsidRPr="00305460">
              <w:rPr>
                <w:sz w:val="12"/>
                <w:szCs w:val="12"/>
              </w:rPr>
              <w:t>стеклоплас-тик</w:t>
            </w:r>
            <w:proofErr w:type="gramEnd"/>
            <w:r w:rsidRPr="00305460">
              <w:rPr>
                <w:sz w:val="12"/>
                <w:szCs w:val="12"/>
              </w:rPr>
              <w:t xml:space="preserve">  </w:t>
            </w:r>
          </w:p>
        </w:tc>
        <w:tc>
          <w:tcPr>
            <w:tcW w:w="140" w:type="pct"/>
            <w:shd w:val="clear" w:color="auto" w:fill="auto"/>
            <w:tcMar>
              <w:left w:w="17" w:type="dxa"/>
              <w:right w:w="17" w:type="dxa"/>
            </w:tcMar>
            <w:vAlign w:val="center"/>
          </w:tcPr>
          <w:p w14:paraId="5A7C4C4C" w14:textId="77777777" w:rsidR="001C56BD" w:rsidRPr="00305460" w:rsidRDefault="001C56BD" w:rsidP="008A5C11">
            <w:pPr>
              <w:jc w:val="center"/>
              <w:rPr>
                <w:sz w:val="12"/>
                <w:szCs w:val="12"/>
              </w:rPr>
            </w:pPr>
            <w:r w:rsidRPr="00305460">
              <w:rPr>
                <w:sz w:val="12"/>
                <w:szCs w:val="12"/>
              </w:rPr>
              <w:t>2025</w:t>
            </w:r>
          </w:p>
        </w:tc>
        <w:tc>
          <w:tcPr>
            <w:tcW w:w="140" w:type="pct"/>
            <w:shd w:val="clear" w:color="auto" w:fill="auto"/>
            <w:tcMar>
              <w:left w:w="17" w:type="dxa"/>
              <w:right w:w="17" w:type="dxa"/>
            </w:tcMar>
            <w:vAlign w:val="center"/>
          </w:tcPr>
          <w:p w14:paraId="6D87E5CF" w14:textId="77777777" w:rsidR="001C56BD" w:rsidRPr="00305460" w:rsidRDefault="001C56BD" w:rsidP="008A5C11">
            <w:pPr>
              <w:jc w:val="center"/>
              <w:rPr>
                <w:sz w:val="12"/>
                <w:szCs w:val="12"/>
              </w:rPr>
            </w:pPr>
            <w:r w:rsidRPr="00305460">
              <w:rPr>
                <w:sz w:val="12"/>
                <w:szCs w:val="12"/>
              </w:rPr>
              <w:t>2028</w:t>
            </w:r>
          </w:p>
        </w:tc>
        <w:tc>
          <w:tcPr>
            <w:tcW w:w="239" w:type="pct"/>
            <w:gridSpan w:val="3"/>
            <w:shd w:val="clear" w:color="auto" w:fill="auto"/>
            <w:tcMar>
              <w:left w:w="17" w:type="dxa"/>
              <w:right w:w="17" w:type="dxa"/>
            </w:tcMar>
            <w:vAlign w:val="center"/>
          </w:tcPr>
          <w:p w14:paraId="11882D1D" w14:textId="77777777" w:rsidR="001C56BD" w:rsidRPr="00305460" w:rsidRDefault="001C56BD" w:rsidP="008A5C11">
            <w:pPr>
              <w:jc w:val="center"/>
              <w:rPr>
                <w:sz w:val="12"/>
                <w:szCs w:val="12"/>
              </w:rPr>
            </w:pPr>
            <w:r w:rsidRPr="00305460">
              <w:rPr>
                <w:sz w:val="12"/>
                <w:szCs w:val="12"/>
              </w:rPr>
              <w:t>48858,588</w:t>
            </w:r>
          </w:p>
        </w:tc>
        <w:tc>
          <w:tcPr>
            <w:tcW w:w="196" w:type="pct"/>
            <w:gridSpan w:val="3"/>
            <w:shd w:val="clear" w:color="auto" w:fill="auto"/>
            <w:tcMar>
              <w:left w:w="17" w:type="dxa"/>
              <w:right w:w="17" w:type="dxa"/>
            </w:tcMar>
            <w:vAlign w:val="center"/>
          </w:tcPr>
          <w:p w14:paraId="30376F34" w14:textId="77777777" w:rsidR="001C56BD" w:rsidRPr="00305460" w:rsidRDefault="001C56BD" w:rsidP="008A5C11">
            <w:pPr>
              <w:jc w:val="center"/>
              <w:rPr>
                <w:sz w:val="12"/>
                <w:szCs w:val="12"/>
              </w:rPr>
            </w:pPr>
            <w:r w:rsidRPr="00305460">
              <w:rPr>
                <w:sz w:val="12"/>
                <w:szCs w:val="12"/>
              </w:rPr>
              <w:t>0,000</w:t>
            </w:r>
          </w:p>
        </w:tc>
        <w:tc>
          <w:tcPr>
            <w:tcW w:w="216" w:type="pct"/>
            <w:gridSpan w:val="3"/>
            <w:shd w:val="clear" w:color="auto" w:fill="auto"/>
            <w:tcMar>
              <w:left w:w="17" w:type="dxa"/>
              <w:right w:w="17" w:type="dxa"/>
            </w:tcMar>
            <w:vAlign w:val="center"/>
          </w:tcPr>
          <w:p w14:paraId="59B1E42C" w14:textId="77777777" w:rsidR="001C56BD" w:rsidRPr="00305460" w:rsidRDefault="001C56BD" w:rsidP="008A5C11">
            <w:pPr>
              <w:jc w:val="center"/>
              <w:rPr>
                <w:sz w:val="12"/>
                <w:szCs w:val="12"/>
              </w:rPr>
            </w:pPr>
            <w:r w:rsidRPr="00305460">
              <w:rPr>
                <w:sz w:val="12"/>
                <w:szCs w:val="12"/>
              </w:rPr>
              <w:t>0,000</w:t>
            </w:r>
          </w:p>
        </w:tc>
        <w:tc>
          <w:tcPr>
            <w:tcW w:w="179" w:type="pct"/>
            <w:gridSpan w:val="2"/>
            <w:shd w:val="clear" w:color="auto" w:fill="auto"/>
            <w:tcMar>
              <w:left w:w="17" w:type="dxa"/>
              <w:right w:w="17" w:type="dxa"/>
            </w:tcMar>
            <w:vAlign w:val="center"/>
          </w:tcPr>
          <w:p w14:paraId="188B545D" w14:textId="77777777" w:rsidR="001C56BD" w:rsidRPr="00305460" w:rsidRDefault="001C56BD" w:rsidP="008A5C11">
            <w:pPr>
              <w:jc w:val="center"/>
              <w:rPr>
                <w:sz w:val="12"/>
                <w:szCs w:val="12"/>
              </w:rPr>
            </w:pPr>
            <w:r w:rsidRPr="00305460">
              <w:rPr>
                <w:sz w:val="12"/>
                <w:szCs w:val="12"/>
              </w:rPr>
              <w:t>0,000</w:t>
            </w:r>
          </w:p>
        </w:tc>
        <w:tc>
          <w:tcPr>
            <w:tcW w:w="222" w:type="pct"/>
            <w:gridSpan w:val="2"/>
            <w:shd w:val="clear" w:color="auto" w:fill="auto"/>
            <w:tcMar>
              <w:left w:w="17" w:type="dxa"/>
              <w:right w:w="17" w:type="dxa"/>
            </w:tcMar>
            <w:vAlign w:val="center"/>
          </w:tcPr>
          <w:p w14:paraId="3430283C" w14:textId="77777777" w:rsidR="001C56BD" w:rsidRPr="00305460" w:rsidRDefault="001C56BD" w:rsidP="008A5C11">
            <w:pPr>
              <w:jc w:val="center"/>
              <w:rPr>
                <w:sz w:val="12"/>
                <w:szCs w:val="12"/>
              </w:rPr>
            </w:pPr>
            <w:r w:rsidRPr="00305460">
              <w:rPr>
                <w:sz w:val="12"/>
                <w:szCs w:val="12"/>
              </w:rPr>
              <w:t>0,000</w:t>
            </w:r>
          </w:p>
        </w:tc>
        <w:tc>
          <w:tcPr>
            <w:tcW w:w="213" w:type="pct"/>
            <w:shd w:val="clear" w:color="auto" w:fill="auto"/>
            <w:tcMar>
              <w:left w:w="17" w:type="dxa"/>
              <w:right w:w="17" w:type="dxa"/>
            </w:tcMar>
            <w:vAlign w:val="center"/>
          </w:tcPr>
          <w:p w14:paraId="36846555" w14:textId="77777777" w:rsidR="001C56BD" w:rsidRPr="00305460" w:rsidRDefault="001C56BD" w:rsidP="008A5C11">
            <w:pPr>
              <w:jc w:val="center"/>
              <w:rPr>
                <w:sz w:val="12"/>
                <w:szCs w:val="12"/>
              </w:rPr>
            </w:pPr>
            <w:r w:rsidRPr="00305460">
              <w:rPr>
                <w:sz w:val="12"/>
                <w:szCs w:val="12"/>
              </w:rPr>
              <w:t>25446,144</w:t>
            </w:r>
          </w:p>
        </w:tc>
        <w:tc>
          <w:tcPr>
            <w:tcW w:w="218" w:type="pct"/>
            <w:shd w:val="clear" w:color="auto" w:fill="auto"/>
            <w:tcMar>
              <w:left w:w="17" w:type="dxa"/>
              <w:right w:w="17" w:type="dxa"/>
            </w:tcMar>
            <w:vAlign w:val="center"/>
          </w:tcPr>
          <w:p w14:paraId="10303810"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24E36A8C"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437B4132" w14:textId="77777777" w:rsidR="001C56BD" w:rsidRPr="00305460" w:rsidRDefault="001C56BD" w:rsidP="008A5C11">
            <w:pPr>
              <w:jc w:val="center"/>
              <w:rPr>
                <w:sz w:val="12"/>
                <w:szCs w:val="12"/>
              </w:rPr>
            </w:pPr>
            <w:r w:rsidRPr="00305460">
              <w:rPr>
                <w:sz w:val="12"/>
                <w:szCs w:val="12"/>
              </w:rPr>
              <w:t>23412,444</w:t>
            </w:r>
          </w:p>
        </w:tc>
        <w:tc>
          <w:tcPr>
            <w:tcW w:w="218" w:type="pct"/>
            <w:gridSpan w:val="2"/>
            <w:shd w:val="clear" w:color="auto" w:fill="auto"/>
            <w:tcMar>
              <w:left w:w="17" w:type="dxa"/>
              <w:right w:w="17" w:type="dxa"/>
            </w:tcMar>
            <w:vAlign w:val="center"/>
          </w:tcPr>
          <w:p w14:paraId="6A80E7D0" w14:textId="77777777" w:rsidR="001C56BD" w:rsidRPr="00305460" w:rsidRDefault="001C56BD" w:rsidP="008A5C11">
            <w:pPr>
              <w:jc w:val="center"/>
              <w:rPr>
                <w:sz w:val="12"/>
                <w:szCs w:val="12"/>
              </w:rPr>
            </w:pPr>
            <w:r w:rsidRPr="00305460">
              <w:rPr>
                <w:sz w:val="12"/>
                <w:szCs w:val="12"/>
              </w:rPr>
              <w:t>0,000</w:t>
            </w:r>
          </w:p>
        </w:tc>
        <w:tc>
          <w:tcPr>
            <w:tcW w:w="172" w:type="pct"/>
            <w:gridSpan w:val="2"/>
            <w:shd w:val="clear" w:color="auto" w:fill="auto"/>
            <w:tcMar>
              <w:left w:w="17" w:type="dxa"/>
              <w:right w:w="17" w:type="dxa"/>
            </w:tcMar>
            <w:vAlign w:val="center"/>
          </w:tcPr>
          <w:p w14:paraId="6E4A0FCB" w14:textId="77777777" w:rsidR="001C56BD" w:rsidRPr="00305460" w:rsidRDefault="001C56BD" w:rsidP="008A5C11">
            <w:pPr>
              <w:jc w:val="center"/>
              <w:rPr>
                <w:sz w:val="12"/>
                <w:szCs w:val="12"/>
              </w:rPr>
            </w:pPr>
            <w:r w:rsidRPr="00305460">
              <w:rPr>
                <w:sz w:val="12"/>
                <w:szCs w:val="12"/>
              </w:rPr>
              <w:t>0,000</w:t>
            </w:r>
          </w:p>
        </w:tc>
        <w:tc>
          <w:tcPr>
            <w:tcW w:w="219" w:type="pct"/>
            <w:shd w:val="clear" w:color="auto" w:fill="auto"/>
            <w:tcMar>
              <w:left w:w="17" w:type="dxa"/>
              <w:right w:w="17" w:type="dxa"/>
            </w:tcMar>
            <w:vAlign w:val="center"/>
          </w:tcPr>
          <w:p w14:paraId="2A4CDAE7" w14:textId="77777777" w:rsidR="001C56BD" w:rsidRPr="00305460" w:rsidRDefault="001C56BD" w:rsidP="008A5C11">
            <w:pPr>
              <w:jc w:val="center"/>
              <w:rPr>
                <w:sz w:val="12"/>
                <w:szCs w:val="12"/>
              </w:rPr>
            </w:pPr>
            <w:r w:rsidRPr="00305460">
              <w:rPr>
                <w:sz w:val="12"/>
                <w:szCs w:val="12"/>
              </w:rPr>
              <w:t>0,000</w:t>
            </w:r>
          </w:p>
        </w:tc>
        <w:tc>
          <w:tcPr>
            <w:tcW w:w="174" w:type="pct"/>
            <w:shd w:val="clear" w:color="auto" w:fill="auto"/>
            <w:tcMar>
              <w:left w:w="17" w:type="dxa"/>
              <w:right w:w="17" w:type="dxa"/>
            </w:tcMar>
            <w:vAlign w:val="center"/>
          </w:tcPr>
          <w:p w14:paraId="6176A902" w14:textId="77777777" w:rsidR="001C56BD" w:rsidRPr="00305460" w:rsidRDefault="001C56BD" w:rsidP="008A5C11">
            <w:pPr>
              <w:jc w:val="center"/>
              <w:rPr>
                <w:sz w:val="12"/>
                <w:szCs w:val="12"/>
              </w:rPr>
            </w:pPr>
            <w:r w:rsidRPr="00305460">
              <w:rPr>
                <w:sz w:val="12"/>
                <w:szCs w:val="12"/>
              </w:rPr>
              <w:t>0,000</w:t>
            </w:r>
          </w:p>
        </w:tc>
        <w:tc>
          <w:tcPr>
            <w:tcW w:w="176" w:type="pct"/>
            <w:shd w:val="clear" w:color="auto" w:fill="auto"/>
            <w:tcMar>
              <w:left w:w="17" w:type="dxa"/>
              <w:right w:w="17" w:type="dxa"/>
            </w:tcMar>
            <w:vAlign w:val="center"/>
          </w:tcPr>
          <w:p w14:paraId="203E8A72" w14:textId="77777777" w:rsidR="001C56BD" w:rsidRPr="00305460" w:rsidRDefault="001C56BD" w:rsidP="008A5C11">
            <w:pPr>
              <w:jc w:val="center"/>
              <w:rPr>
                <w:sz w:val="12"/>
                <w:szCs w:val="12"/>
              </w:rPr>
            </w:pPr>
            <w:r w:rsidRPr="00305460">
              <w:rPr>
                <w:sz w:val="12"/>
                <w:szCs w:val="12"/>
              </w:rPr>
              <w:t>0,000</w:t>
            </w:r>
          </w:p>
        </w:tc>
      </w:tr>
      <w:tr w:rsidR="001C56BD" w:rsidRPr="00305460" w14:paraId="7690555D" w14:textId="77777777" w:rsidTr="008A5C11">
        <w:trPr>
          <w:trHeight w:val="897"/>
        </w:trPr>
        <w:tc>
          <w:tcPr>
            <w:tcW w:w="86" w:type="pct"/>
            <w:shd w:val="clear" w:color="auto" w:fill="auto"/>
            <w:tcMar>
              <w:left w:w="17" w:type="dxa"/>
              <w:right w:w="17" w:type="dxa"/>
            </w:tcMar>
            <w:vAlign w:val="center"/>
          </w:tcPr>
          <w:p w14:paraId="5408FA5C" w14:textId="77777777" w:rsidR="001C56BD" w:rsidRPr="00305460" w:rsidRDefault="001C56BD" w:rsidP="008A5C11">
            <w:pPr>
              <w:jc w:val="center"/>
              <w:rPr>
                <w:sz w:val="12"/>
                <w:szCs w:val="12"/>
              </w:rPr>
            </w:pPr>
            <w:r w:rsidRPr="00305460">
              <w:rPr>
                <w:sz w:val="12"/>
                <w:szCs w:val="12"/>
              </w:rPr>
              <w:t>3.1.13.</w:t>
            </w:r>
          </w:p>
        </w:tc>
        <w:tc>
          <w:tcPr>
            <w:tcW w:w="295" w:type="pct"/>
            <w:shd w:val="clear" w:color="auto" w:fill="auto"/>
            <w:tcMar>
              <w:left w:w="17" w:type="dxa"/>
              <w:right w:w="17" w:type="dxa"/>
            </w:tcMar>
            <w:vAlign w:val="center"/>
          </w:tcPr>
          <w:p w14:paraId="77798A63" w14:textId="77777777" w:rsidR="001C56BD" w:rsidRPr="00305460" w:rsidRDefault="001C56BD" w:rsidP="008A5C11">
            <w:pPr>
              <w:rPr>
                <w:sz w:val="12"/>
                <w:szCs w:val="12"/>
              </w:rPr>
            </w:pPr>
            <w:r w:rsidRPr="00305460">
              <w:rPr>
                <w:sz w:val="12"/>
                <w:szCs w:val="12"/>
              </w:rPr>
              <w:t>Реконструкция тепловой сети с реестровым номером 774941</w:t>
            </w:r>
          </w:p>
        </w:tc>
        <w:tc>
          <w:tcPr>
            <w:tcW w:w="307" w:type="pct"/>
            <w:shd w:val="clear" w:color="000000" w:fill="FFFFFF"/>
            <w:tcMar>
              <w:left w:w="17" w:type="dxa"/>
              <w:right w:w="17" w:type="dxa"/>
            </w:tcMar>
            <w:vAlign w:val="center"/>
          </w:tcPr>
          <w:p w14:paraId="0CBEF88C" w14:textId="77777777" w:rsidR="001C56BD" w:rsidRPr="00305460" w:rsidRDefault="001C56BD" w:rsidP="008A5C11">
            <w:pPr>
              <w:jc w:val="center"/>
              <w:rPr>
                <w:sz w:val="12"/>
                <w:szCs w:val="12"/>
              </w:rPr>
            </w:pPr>
            <w:r w:rsidRPr="00305460">
              <w:rPr>
                <w:color w:val="000000"/>
                <w:sz w:val="12"/>
                <w:szCs w:val="12"/>
              </w:rPr>
              <w:t>Повышение надежности услуг теплоснабжения, повышение энергетической эффективности</w:t>
            </w:r>
          </w:p>
        </w:tc>
        <w:tc>
          <w:tcPr>
            <w:tcW w:w="280" w:type="pct"/>
            <w:shd w:val="clear" w:color="auto" w:fill="auto"/>
            <w:tcMar>
              <w:left w:w="17" w:type="dxa"/>
              <w:right w:w="17" w:type="dxa"/>
            </w:tcMar>
            <w:vAlign w:val="center"/>
          </w:tcPr>
          <w:p w14:paraId="1551BAA6" w14:textId="77777777" w:rsidR="001C56BD" w:rsidRPr="00305460" w:rsidRDefault="001C56BD" w:rsidP="008A5C11">
            <w:pPr>
              <w:jc w:val="center"/>
              <w:rPr>
                <w:sz w:val="12"/>
                <w:szCs w:val="12"/>
              </w:rPr>
            </w:pPr>
            <w:r w:rsidRPr="00305460">
              <w:rPr>
                <w:sz w:val="12"/>
                <w:szCs w:val="12"/>
              </w:rPr>
              <w:t>Кемеровский городской округ, Ленинский район, квартал №20, в границах просп. Ленина, ул. Ворошилова, просп. Химиков, ул. Волгоградская</w:t>
            </w:r>
          </w:p>
        </w:tc>
        <w:tc>
          <w:tcPr>
            <w:tcW w:w="289" w:type="pct"/>
            <w:shd w:val="clear" w:color="auto" w:fill="auto"/>
            <w:tcMar>
              <w:left w:w="17" w:type="dxa"/>
              <w:right w:w="17" w:type="dxa"/>
            </w:tcMar>
            <w:vAlign w:val="center"/>
          </w:tcPr>
          <w:p w14:paraId="7B723716" w14:textId="77777777" w:rsidR="001C56BD" w:rsidRPr="00305460" w:rsidRDefault="001C56BD" w:rsidP="008A5C11">
            <w:pPr>
              <w:jc w:val="center"/>
              <w:rPr>
                <w:sz w:val="12"/>
                <w:szCs w:val="12"/>
              </w:rPr>
            </w:pPr>
            <w:r w:rsidRPr="00305460">
              <w:rPr>
                <w:color w:val="000000"/>
                <w:sz w:val="12"/>
                <w:szCs w:val="12"/>
              </w:rPr>
              <w:t>Технические характеристики</w:t>
            </w:r>
          </w:p>
        </w:tc>
        <w:tc>
          <w:tcPr>
            <w:tcW w:w="137" w:type="pct"/>
            <w:shd w:val="clear" w:color="auto" w:fill="auto"/>
            <w:tcMar>
              <w:left w:w="17" w:type="dxa"/>
              <w:right w:w="17" w:type="dxa"/>
            </w:tcMar>
            <w:vAlign w:val="center"/>
          </w:tcPr>
          <w:p w14:paraId="67B83D74" w14:textId="77777777" w:rsidR="001C56BD" w:rsidRPr="00305460" w:rsidRDefault="001C56BD" w:rsidP="008A5C11">
            <w:pPr>
              <w:jc w:val="center"/>
              <w:rPr>
                <w:color w:val="000000"/>
                <w:sz w:val="12"/>
                <w:szCs w:val="12"/>
              </w:rPr>
            </w:pPr>
          </w:p>
        </w:tc>
        <w:tc>
          <w:tcPr>
            <w:tcW w:w="202" w:type="pct"/>
            <w:shd w:val="clear" w:color="auto" w:fill="auto"/>
            <w:tcMar>
              <w:left w:w="17" w:type="dxa"/>
              <w:right w:w="17" w:type="dxa"/>
            </w:tcMar>
            <w:vAlign w:val="center"/>
          </w:tcPr>
          <w:p w14:paraId="221A6BBA" w14:textId="77777777" w:rsidR="001C56BD" w:rsidRPr="00305460" w:rsidRDefault="001C56BD" w:rsidP="008A5C11">
            <w:pPr>
              <w:jc w:val="center"/>
              <w:rPr>
                <w:sz w:val="12"/>
                <w:szCs w:val="12"/>
              </w:rPr>
            </w:pPr>
            <w:r w:rsidRPr="00305460">
              <w:rPr>
                <w:sz w:val="12"/>
                <w:szCs w:val="12"/>
              </w:rPr>
              <w:t xml:space="preserve">Канал-ж/б лотки (непроходной канал), опоры </w:t>
            </w:r>
            <w:proofErr w:type="gramStart"/>
            <w:r w:rsidRPr="00305460">
              <w:rPr>
                <w:sz w:val="12"/>
                <w:szCs w:val="12"/>
              </w:rPr>
              <w:t>привар-ные</w:t>
            </w:r>
            <w:proofErr w:type="gramEnd"/>
            <w:r w:rsidRPr="00305460">
              <w:rPr>
                <w:sz w:val="12"/>
                <w:szCs w:val="12"/>
              </w:rPr>
              <w:t xml:space="preserve">, запорная арматура - стальная клиновая, антикоррозийная защита-лак БТ, труба-сталь 20, изоляция - мин. маты   </w:t>
            </w:r>
          </w:p>
        </w:tc>
        <w:tc>
          <w:tcPr>
            <w:tcW w:w="244" w:type="pct"/>
            <w:shd w:val="clear" w:color="auto" w:fill="auto"/>
            <w:tcMar>
              <w:left w:w="17" w:type="dxa"/>
              <w:right w:w="17" w:type="dxa"/>
            </w:tcMar>
            <w:vAlign w:val="center"/>
          </w:tcPr>
          <w:p w14:paraId="6AA37737" w14:textId="77777777" w:rsidR="001C56BD" w:rsidRPr="00305460" w:rsidRDefault="001C56BD" w:rsidP="008A5C11">
            <w:pPr>
              <w:jc w:val="center"/>
              <w:rPr>
                <w:sz w:val="12"/>
                <w:szCs w:val="12"/>
              </w:rPr>
            </w:pPr>
            <w:r w:rsidRPr="00305460">
              <w:rPr>
                <w:sz w:val="12"/>
                <w:szCs w:val="12"/>
              </w:rPr>
              <w:t xml:space="preserve">Канал-ж/б лотки (непроходной канал), опоры-хомутовые с диэлектрической прокладкой, запорная арматура - краны шаровые, антикоррозийная защита-мастика Вектор1025, 1214, труба-сталь 09Г2С, изоляция - маты прошивные, </w:t>
            </w:r>
            <w:proofErr w:type="gramStart"/>
            <w:r w:rsidRPr="00305460">
              <w:rPr>
                <w:sz w:val="12"/>
                <w:szCs w:val="12"/>
              </w:rPr>
              <w:t>стеклоплас-тик</w:t>
            </w:r>
            <w:proofErr w:type="gramEnd"/>
            <w:r w:rsidRPr="00305460">
              <w:rPr>
                <w:sz w:val="12"/>
                <w:szCs w:val="12"/>
              </w:rPr>
              <w:t xml:space="preserve">  </w:t>
            </w:r>
          </w:p>
        </w:tc>
        <w:tc>
          <w:tcPr>
            <w:tcW w:w="140" w:type="pct"/>
            <w:shd w:val="clear" w:color="auto" w:fill="auto"/>
            <w:tcMar>
              <w:left w:w="17" w:type="dxa"/>
              <w:right w:w="17" w:type="dxa"/>
            </w:tcMar>
            <w:vAlign w:val="center"/>
          </w:tcPr>
          <w:p w14:paraId="1C215F1C" w14:textId="77777777" w:rsidR="001C56BD" w:rsidRPr="00305460" w:rsidRDefault="001C56BD" w:rsidP="008A5C11">
            <w:pPr>
              <w:jc w:val="center"/>
              <w:rPr>
                <w:sz w:val="12"/>
                <w:szCs w:val="12"/>
              </w:rPr>
            </w:pPr>
            <w:r w:rsidRPr="00305460">
              <w:rPr>
                <w:sz w:val="12"/>
                <w:szCs w:val="12"/>
              </w:rPr>
              <w:t>2024</w:t>
            </w:r>
          </w:p>
        </w:tc>
        <w:tc>
          <w:tcPr>
            <w:tcW w:w="140" w:type="pct"/>
            <w:shd w:val="clear" w:color="auto" w:fill="auto"/>
            <w:tcMar>
              <w:left w:w="17" w:type="dxa"/>
              <w:right w:w="17" w:type="dxa"/>
            </w:tcMar>
            <w:vAlign w:val="center"/>
          </w:tcPr>
          <w:p w14:paraId="474A7EC0" w14:textId="77777777" w:rsidR="001C56BD" w:rsidRPr="00305460" w:rsidRDefault="001C56BD" w:rsidP="008A5C11">
            <w:pPr>
              <w:jc w:val="center"/>
              <w:rPr>
                <w:sz w:val="12"/>
                <w:szCs w:val="12"/>
              </w:rPr>
            </w:pPr>
            <w:r w:rsidRPr="00305460">
              <w:rPr>
                <w:sz w:val="12"/>
                <w:szCs w:val="12"/>
              </w:rPr>
              <w:t>2029</w:t>
            </w:r>
          </w:p>
        </w:tc>
        <w:tc>
          <w:tcPr>
            <w:tcW w:w="239" w:type="pct"/>
            <w:gridSpan w:val="3"/>
            <w:shd w:val="clear" w:color="auto" w:fill="auto"/>
            <w:tcMar>
              <w:left w:w="17" w:type="dxa"/>
              <w:right w:w="17" w:type="dxa"/>
            </w:tcMar>
            <w:vAlign w:val="center"/>
          </w:tcPr>
          <w:p w14:paraId="0FED73D4" w14:textId="77777777" w:rsidR="001C56BD" w:rsidRPr="00305460" w:rsidRDefault="001C56BD" w:rsidP="008A5C11">
            <w:pPr>
              <w:jc w:val="center"/>
              <w:rPr>
                <w:sz w:val="12"/>
                <w:szCs w:val="12"/>
              </w:rPr>
            </w:pPr>
            <w:r w:rsidRPr="00305460">
              <w:rPr>
                <w:sz w:val="12"/>
                <w:szCs w:val="12"/>
              </w:rPr>
              <w:t>56470,639</w:t>
            </w:r>
          </w:p>
        </w:tc>
        <w:tc>
          <w:tcPr>
            <w:tcW w:w="196" w:type="pct"/>
            <w:gridSpan w:val="3"/>
            <w:shd w:val="clear" w:color="auto" w:fill="auto"/>
            <w:tcMar>
              <w:left w:w="17" w:type="dxa"/>
              <w:right w:w="17" w:type="dxa"/>
            </w:tcMar>
            <w:vAlign w:val="center"/>
          </w:tcPr>
          <w:p w14:paraId="23814AF5" w14:textId="77777777" w:rsidR="001C56BD" w:rsidRPr="00305460" w:rsidRDefault="001C56BD" w:rsidP="008A5C11">
            <w:pPr>
              <w:jc w:val="center"/>
              <w:rPr>
                <w:sz w:val="12"/>
                <w:szCs w:val="12"/>
              </w:rPr>
            </w:pPr>
            <w:r w:rsidRPr="00305460">
              <w:rPr>
                <w:sz w:val="12"/>
                <w:szCs w:val="12"/>
              </w:rPr>
              <w:t>0,000</w:t>
            </w:r>
          </w:p>
        </w:tc>
        <w:tc>
          <w:tcPr>
            <w:tcW w:w="216" w:type="pct"/>
            <w:gridSpan w:val="3"/>
            <w:shd w:val="clear" w:color="auto" w:fill="auto"/>
            <w:tcMar>
              <w:left w:w="17" w:type="dxa"/>
              <w:right w:w="17" w:type="dxa"/>
            </w:tcMar>
            <w:vAlign w:val="center"/>
          </w:tcPr>
          <w:p w14:paraId="322562A9" w14:textId="77777777" w:rsidR="001C56BD" w:rsidRPr="00305460" w:rsidRDefault="001C56BD" w:rsidP="008A5C11">
            <w:pPr>
              <w:jc w:val="center"/>
              <w:rPr>
                <w:sz w:val="12"/>
                <w:szCs w:val="12"/>
              </w:rPr>
            </w:pPr>
            <w:r w:rsidRPr="00305460">
              <w:rPr>
                <w:sz w:val="12"/>
                <w:szCs w:val="12"/>
              </w:rPr>
              <w:t>0,000</w:t>
            </w:r>
          </w:p>
        </w:tc>
        <w:tc>
          <w:tcPr>
            <w:tcW w:w="179" w:type="pct"/>
            <w:gridSpan w:val="2"/>
            <w:shd w:val="clear" w:color="auto" w:fill="auto"/>
            <w:tcMar>
              <w:left w:w="17" w:type="dxa"/>
              <w:right w:w="17" w:type="dxa"/>
            </w:tcMar>
            <w:vAlign w:val="center"/>
          </w:tcPr>
          <w:p w14:paraId="5F46B613" w14:textId="77777777" w:rsidR="001C56BD" w:rsidRPr="00305460" w:rsidRDefault="001C56BD" w:rsidP="008A5C11">
            <w:pPr>
              <w:jc w:val="center"/>
              <w:rPr>
                <w:sz w:val="12"/>
                <w:szCs w:val="12"/>
              </w:rPr>
            </w:pPr>
            <w:r w:rsidRPr="00305460">
              <w:rPr>
                <w:sz w:val="12"/>
                <w:szCs w:val="12"/>
              </w:rPr>
              <w:t>0,000</w:t>
            </w:r>
          </w:p>
        </w:tc>
        <w:tc>
          <w:tcPr>
            <w:tcW w:w="222" w:type="pct"/>
            <w:gridSpan w:val="2"/>
            <w:shd w:val="clear" w:color="auto" w:fill="auto"/>
            <w:tcMar>
              <w:left w:w="17" w:type="dxa"/>
              <w:right w:w="17" w:type="dxa"/>
            </w:tcMar>
            <w:vAlign w:val="center"/>
          </w:tcPr>
          <w:p w14:paraId="36C3D816" w14:textId="77777777" w:rsidR="001C56BD" w:rsidRPr="00305460" w:rsidRDefault="001C56BD" w:rsidP="008A5C11">
            <w:pPr>
              <w:jc w:val="center"/>
              <w:rPr>
                <w:sz w:val="12"/>
                <w:szCs w:val="12"/>
              </w:rPr>
            </w:pPr>
            <w:r w:rsidRPr="00305460">
              <w:rPr>
                <w:sz w:val="12"/>
                <w:szCs w:val="12"/>
              </w:rPr>
              <w:t>13811,695</w:t>
            </w:r>
          </w:p>
        </w:tc>
        <w:tc>
          <w:tcPr>
            <w:tcW w:w="213" w:type="pct"/>
            <w:shd w:val="clear" w:color="auto" w:fill="auto"/>
            <w:tcMar>
              <w:left w:w="17" w:type="dxa"/>
              <w:right w:w="17" w:type="dxa"/>
            </w:tcMar>
            <w:vAlign w:val="center"/>
          </w:tcPr>
          <w:p w14:paraId="12458E06" w14:textId="77777777" w:rsidR="001C56BD" w:rsidRPr="00305460" w:rsidRDefault="001C56BD" w:rsidP="008A5C11">
            <w:pPr>
              <w:jc w:val="center"/>
              <w:rPr>
                <w:sz w:val="12"/>
                <w:szCs w:val="12"/>
              </w:rPr>
            </w:pPr>
            <w:r w:rsidRPr="00305460">
              <w:rPr>
                <w:sz w:val="12"/>
                <w:szCs w:val="12"/>
              </w:rPr>
              <w:t>6267,821</w:t>
            </w:r>
          </w:p>
        </w:tc>
        <w:tc>
          <w:tcPr>
            <w:tcW w:w="218" w:type="pct"/>
            <w:shd w:val="clear" w:color="auto" w:fill="auto"/>
            <w:tcMar>
              <w:left w:w="17" w:type="dxa"/>
              <w:right w:w="17" w:type="dxa"/>
            </w:tcMar>
            <w:vAlign w:val="center"/>
          </w:tcPr>
          <w:p w14:paraId="11664157"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1AE5732F"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6F809DF9" w14:textId="77777777" w:rsidR="001C56BD" w:rsidRPr="00305460" w:rsidRDefault="001C56BD" w:rsidP="008A5C11">
            <w:pPr>
              <w:jc w:val="center"/>
              <w:rPr>
                <w:sz w:val="12"/>
                <w:szCs w:val="12"/>
              </w:rPr>
            </w:pPr>
            <w:r w:rsidRPr="00305460">
              <w:rPr>
                <w:sz w:val="12"/>
                <w:szCs w:val="12"/>
              </w:rPr>
              <w:t>0,000</w:t>
            </w:r>
          </w:p>
        </w:tc>
        <w:tc>
          <w:tcPr>
            <w:tcW w:w="218" w:type="pct"/>
            <w:gridSpan w:val="2"/>
            <w:shd w:val="clear" w:color="auto" w:fill="auto"/>
            <w:tcMar>
              <w:left w:w="17" w:type="dxa"/>
              <w:right w:w="17" w:type="dxa"/>
            </w:tcMar>
            <w:vAlign w:val="center"/>
          </w:tcPr>
          <w:p w14:paraId="343959BC" w14:textId="77777777" w:rsidR="001C56BD" w:rsidRPr="00305460" w:rsidRDefault="001C56BD" w:rsidP="008A5C11">
            <w:pPr>
              <w:jc w:val="center"/>
              <w:rPr>
                <w:sz w:val="12"/>
                <w:szCs w:val="12"/>
              </w:rPr>
            </w:pPr>
            <w:r w:rsidRPr="00305460">
              <w:rPr>
                <w:sz w:val="12"/>
                <w:szCs w:val="12"/>
              </w:rPr>
              <w:t>36391,123</w:t>
            </w:r>
          </w:p>
        </w:tc>
        <w:tc>
          <w:tcPr>
            <w:tcW w:w="172" w:type="pct"/>
            <w:gridSpan w:val="2"/>
            <w:shd w:val="clear" w:color="auto" w:fill="auto"/>
            <w:tcMar>
              <w:left w:w="17" w:type="dxa"/>
              <w:right w:w="17" w:type="dxa"/>
            </w:tcMar>
            <w:vAlign w:val="center"/>
          </w:tcPr>
          <w:p w14:paraId="173459F1" w14:textId="77777777" w:rsidR="001C56BD" w:rsidRPr="00305460" w:rsidRDefault="001C56BD" w:rsidP="008A5C11">
            <w:pPr>
              <w:jc w:val="center"/>
              <w:rPr>
                <w:sz w:val="12"/>
                <w:szCs w:val="12"/>
              </w:rPr>
            </w:pPr>
            <w:r w:rsidRPr="00305460">
              <w:rPr>
                <w:sz w:val="12"/>
                <w:szCs w:val="12"/>
              </w:rPr>
              <w:t>0,000</w:t>
            </w:r>
          </w:p>
        </w:tc>
        <w:tc>
          <w:tcPr>
            <w:tcW w:w="219" w:type="pct"/>
            <w:shd w:val="clear" w:color="auto" w:fill="auto"/>
            <w:tcMar>
              <w:left w:w="17" w:type="dxa"/>
              <w:right w:w="17" w:type="dxa"/>
            </w:tcMar>
            <w:vAlign w:val="center"/>
          </w:tcPr>
          <w:p w14:paraId="4E6B2175" w14:textId="77777777" w:rsidR="001C56BD" w:rsidRPr="00305460" w:rsidRDefault="001C56BD" w:rsidP="008A5C11">
            <w:pPr>
              <w:jc w:val="center"/>
              <w:rPr>
                <w:sz w:val="12"/>
                <w:szCs w:val="12"/>
              </w:rPr>
            </w:pPr>
            <w:r w:rsidRPr="00305460">
              <w:rPr>
                <w:sz w:val="12"/>
                <w:szCs w:val="12"/>
              </w:rPr>
              <w:t>0,000</w:t>
            </w:r>
          </w:p>
        </w:tc>
        <w:tc>
          <w:tcPr>
            <w:tcW w:w="174" w:type="pct"/>
            <w:shd w:val="clear" w:color="auto" w:fill="auto"/>
            <w:tcMar>
              <w:left w:w="17" w:type="dxa"/>
              <w:right w:w="17" w:type="dxa"/>
            </w:tcMar>
            <w:vAlign w:val="center"/>
          </w:tcPr>
          <w:p w14:paraId="7EEF541A" w14:textId="77777777" w:rsidR="001C56BD" w:rsidRPr="00305460" w:rsidRDefault="001C56BD" w:rsidP="008A5C11">
            <w:pPr>
              <w:jc w:val="center"/>
              <w:rPr>
                <w:sz w:val="12"/>
                <w:szCs w:val="12"/>
              </w:rPr>
            </w:pPr>
            <w:r w:rsidRPr="00305460">
              <w:rPr>
                <w:sz w:val="12"/>
                <w:szCs w:val="12"/>
              </w:rPr>
              <w:t>0,000</w:t>
            </w:r>
          </w:p>
        </w:tc>
        <w:tc>
          <w:tcPr>
            <w:tcW w:w="176" w:type="pct"/>
            <w:shd w:val="clear" w:color="auto" w:fill="auto"/>
            <w:tcMar>
              <w:left w:w="17" w:type="dxa"/>
              <w:right w:w="17" w:type="dxa"/>
            </w:tcMar>
            <w:vAlign w:val="center"/>
          </w:tcPr>
          <w:p w14:paraId="3E7A580A" w14:textId="77777777" w:rsidR="001C56BD" w:rsidRPr="00305460" w:rsidRDefault="001C56BD" w:rsidP="008A5C11">
            <w:pPr>
              <w:jc w:val="center"/>
              <w:rPr>
                <w:sz w:val="12"/>
                <w:szCs w:val="12"/>
              </w:rPr>
            </w:pPr>
            <w:r w:rsidRPr="00305460">
              <w:rPr>
                <w:sz w:val="12"/>
                <w:szCs w:val="12"/>
              </w:rPr>
              <w:t>0,000</w:t>
            </w:r>
          </w:p>
        </w:tc>
      </w:tr>
      <w:tr w:rsidR="001C56BD" w:rsidRPr="00305460" w14:paraId="2E26E97D" w14:textId="77777777" w:rsidTr="008A5C11">
        <w:trPr>
          <w:trHeight w:val="552"/>
        </w:trPr>
        <w:tc>
          <w:tcPr>
            <w:tcW w:w="86" w:type="pct"/>
            <w:shd w:val="clear" w:color="auto" w:fill="auto"/>
            <w:tcMar>
              <w:left w:w="17" w:type="dxa"/>
              <w:right w:w="17" w:type="dxa"/>
            </w:tcMar>
            <w:vAlign w:val="center"/>
          </w:tcPr>
          <w:p w14:paraId="1A27D9E8" w14:textId="77777777" w:rsidR="001C56BD" w:rsidRPr="00305460" w:rsidRDefault="001C56BD" w:rsidP="008A5C11">
            <w:pPr>
              <w:jc w:val="center"/>
              <w:rPr>
                <w:bCs/>
                <w:sz w:val="12"/>
                <w:szCs w:val="12"/>
              </w:rPr>
            </w:pPr>
            <w:r w:rsidRPr="00305460">
              <w:rPr>
                <w:bCs/>
                <w:sz w:val="12"/>
                <w:szCs w:val="12"/>
              </w:rPr>
              <w:t>1</w:t>
            </w:r>
          </w:p>
        </w:tc>
        <w:tc>
          <w:tcPr>
            <w:tcW w:w="295" w:type="pct"/>
            <w:shd w:val="clear" w:color="auto" w:fill="auto"/>
            <w:tcMar>
              <w:left w:w="17" w:type="dxa"/>
              <w:right w:w="17" w:type="dxa"/>
            </w:tcMar>
            <w:vAlign w:val="center"/>
          </w:tcPr>
          <w:p w14:paraId="05DF5C59" w14:textId="77777777" w:rsidR="001C56BD" w:rsidRPr="00305460" w:rsidRDefault="001C56BD" w:rsidP="008A5C11">
            <w:pPr>
              <w:jc w:val="center"/>
              <w:rPr>
                <w:bCs/>
                <w:sz w:val="12"/>
                <w:szCs w:val="12"/>
              </w:rPr>
            </w:pPr>
            <w:r w:rsidRPr="00305460">
              <w:rPr>
                <w:bCs/>
                <w:sz w:val="12"/>
                <w:szCs w:val="12"/>
              </w:rPr>
              <w:t>2</w:t>
            </w:r>
          </w:p>
        </w:tc>
        <w:tc>
          <w:tcPr>
            <w:tcW w:w="307" w:type="pct"/>
            <w:shd w:val="clear" w:color="auto" w:fill="auto"/>
            <w:tcMar>
              <w:left w:w="17" w:type="dxa"/>
              <w:right w:w="17" w:type="dxa"/>
            </w:tcMar>
            <w:vAlign w:val="center"/>
          </w:tcPr>
          <w:p w14:paraId="64E6653F" w14:textId="77777777" w:rsidR="001C56BD" w:rsidRPr="00305460" w:rsidRDefault="001C56BD" w:rsidP="008A5C11">
            <w:pPr>
              <w:jc w:val="center"/>
              <w:rPr>
                <w:bCs/>
                <w:sz w:val="12"/>
                <w:szCs w:val="12"/>
              </w:rPr>
            </w:pPr>
            <w:r w:rsidRPr="00305460">
              <w:rPr>
                <w:bCs/>
                <w:sz w:val="12"/>
                <w:szCs w:val="12"/>
              </w:rPr>
              <w:t>3</w:t>
            </w:r>
          </w:p>
        </w:tc>
        <w:tc>
          <w:tcPr>
            <w:tcW w:w="280" w:type="pct"/>
            <w:shd w:val="clear" w:color="auto" w:fill="auto"/>
            <w:tcMar>
              <w:left w:w="17" w:type="dxa"/>
              <w:right w:w="17" w:type="dxa"/>
            </w:tcMar>
            <w:vAlign w:val="center"/>
          </w:tcPr>
          <w:p w14:paraId="75C71473" w14:textId="77777777" w:rsidR="001C56BD" w:rsidRPr="00305460" w:rsidRDefault="001C56BD" w:rsidP="008A5C11">
            <w:pPr>
              <w:jc w:val="center"/>
              <w:rPr>
                <w:bCs/>
                <w:sz w:val="12"/>
                <w:szCs w:val="12"/>
              </w:rPr>
            </w:pPr>
            <w:r w:rsidRPr="00305460">
              <w:rPr>
                <w:bCs/>
                <w:sz w:val="12"/>
                <w:szCs w:val="12"/>
              </w:rPr>
              <w:t>4</w:t>
            </w:r>
          </w:p>
        </w:tc>
        <w:tc>
          <w:tcPr>
            <w:tcW w:w="289" w:type="pct"/>
            <w:shd w:val="clear" w:color="auto" w:fill="auto"/>
            <w:tcMar>
              <w:left w:w="17" w:type="dxa"/>
              <w:right w:w="17" w:type="dxa"/>
            </w:tcMar>
            <w:vAlign w:val="center"/>
          </w:tcPr>
          <w:p w14:paraId="71687590" w14:textId="77777777" w:rsidR="001C56BD" w:rsidRPr="00305460" w:rsidRDefault="001C56BD" w:rsidP="008A5C11">
            <w:pPr>
              <w:jc w:val="center"/>
              <w:rPr>
                <w:bCs/>
                <w:sz w:val="12"/>
                <w:szCs w:val="12"/>
              </w:rPr>
            </w:pPr>
            <w:r w:rsidRPr="00305460">
              <w:rPr>
                <w:bCs/>
                <w:sz w:val="12"/>
                <w:szCs w:val="12"/>
              </w:rPr>
              <w:t>5</w:t>
            </w:r>
          </w:p>
        </w:tc>
        <w:tc>
          <w:tcPr>
            <w:tcW w:w="137" w:type="pct"/>
            <w:shd w:val="clear" w:color="auto" w:fill="auto"/>
            <w:tcMar>
              <w:left w:w="17" w:type="dxa"/>
              <w:right w:w="17" w:type="dxa"/>
            </w:tcMar>
            <w:vAlign w:val="center"/>
          </w:tcPr>
          <w:p w14:paraId="4F7303D5" w14:textId="77777777" w:rsidR="001C56BD" w:rsidRPr="00305460" w:rsidRDefault="001C56BD" w:rsidP="008A5C11">
            <w:pPr>
              <w:jc w:val="center"/>
              <w:rPr>
                <w:bCs/>
                <w:sz w:val="12"/>
                <w:szCs w:val="12"/>
              </w:rPr>
            </w:pPr>
            <w:r w:rsidRPr="00305460">
              <w:rPr>
                <w:bCs/>
                <w:sz w:val="12"/>
                <w:szCs w:val="12"/>
              </w:rPr>
              <w:t>6</w:t>
            </w:r>
          </w:p>
        </w:tc>
        <w:tc>
          <w:tcPr>
            <w:tcW w:w="202" w:type="pct"/>
            <w:shd w:val="clear" w:color="auto" w:fill="auto"/>
            <w:tcMar>
              <w:left w:w="17" w:type="dxa"/>
              <w:right w:w="17" w:type="dxa"/>
            </w:tcMar>
            <w:vAlign w:val="center"/>
          </w:tcPr>
          <w:p w14:paraId="0A66D939" w14:textId="77777777" w:rsidR="001C56BD" w:rsidRPr="00305460" w:rsidRDefault="001C56BD" w:rsidP="008A5C11">
            <w:pPr>
              <w:jc w:val="center"/>
              <w:rPr>
                <w:bCs/>
                <w:sz w:val="12"/>
                <w:szCs w:val="12"/>
              </w:rPr>
            </w:pPr>
            <w:r w:rsidRPr="00305460">
              <w:rPr>
                <w:bCs/>
                <w:sz w:val="12"/>
                <w:szCs w:val="12"/>
              </w:rPr>
              <w:t>7</w:t>
            </w:r>
          </w:p>
        </w:tc>
        <w:tc>
          <w:tcPr>
            <w:tcW w:w="244" w:type="pct"/>
            <w:shd w:val="clear" w:color="auto" w:fill="auto"/>
            <w:tcMar>
              <w:left w:w="17" w:type="dxa"/>
              <w:right w:w="17" w:type="dxa"/>
            </w:tcMar>
            <w:vAlign w:val="center"/>
          </w:tcPr>
          <w:p w14:paraId="26A82731" w14:textId="77777777" w:rsidR="001C56BD" w:rsidRPr="00305460" w:rsidRDefault="001C56BD" w:rsidP="008A5C11">
            <w:pPr>
              <w:jc w:val="center"/>
              <w:rPr>
                <w:bCs/>
                <w:sz w:val="12"/>
                <w:szCs w:val="12"/>
              </w:rPr>
            </w:pPr>
            <w:r w:rsidRPr="00305460">
              <w:rPr>
                <w:bCs/>
                <w:sz w:val="12"/>
                <w:szCs w:val="12"/>
              </w:rPr>
              <w:t>8</w:t>
            </w:r>
          </w:p>
        </w:tc>
        <w:tc>
          <w:tcPr>
            <w:tcW w:w="140" w:type="pct"/>
            <w:shd w:val="clear" w:color="auto" w:fill="auto"/>
            <w:tcMar>
              <w:left w:w="17" w:type="dxa"/>
              <w:right w:w="17" w:type="dxa"/>
            </w:tcMar>
            <w:vAlign w:val="center"/>
          </w:tcPr>
          <w:p w14:paraId="1BF44138" w14:textId="77777777" w:rsidR="001C56BD" w:rsidRPr="00305460" w:rsidRDefault="001C56BD" w:rsidP="008A5C11">
            <w:pPr>
              <w:jc w:val="center"/>
              <w:rPr>
                <w:bCs/>
                <w:sz w:val="12"/>
                <w:szCs w:val="12"/>
              </w:rPr>
            </w:pPr>
            <w:r w:rsidRPr="00305460">
              <w:rPr>
                <w:bCs/>
                <w:sz w:val="12"/>
                <w:szCs w:val="12"/>
              </w:rPr>
              <w:t>9</w:t>
            </w:r>
          </w:p>
        </w:tc>
        <w:tc>
          <w:tcPr>
            <w:tcW w:w="140" w:type="pct"/>
            <w:shd w:val="clear" w:color="auto" w:fill="auto"/>
            <w:tcMar>
              <w:left w:w="17" w:type="dxa"/>
              <w:right w:w="17" w:type="dxa"/>
            </w:tcMar>
            <w:vAlign w:val="center"/>
          </w:tcPr>
          <w:p w14:paraId="0476C096" w14:textId="77777777" w:rsidR="001C56BD" w:rsidRPr="00305460" w:rsidRDefault="001C56BD" w:rsidP="008A5C11">
            <w:pPr>
              <w:jc w:val="center"/>
              <w:rPr>
                <w:bCs/>
                <w:sz w:val="12"/>
                <w:szCs w:val="12"/>
              </w:rPr>
            </w:pPr>
            <w:r w:rsidRPr="00305460">
              <w:rPr>
                <w:bCs/>
                <w:sz w:val="12"/>
                <w:szCs w:val="12"/>
              </w:rPr>
              <w:t>10</w:t>
            </w:r>
          </w:p>
        </w:tc>
        <w:tc>
          <w:tcPr>
            <w:tcW w:w="239" w:type="pct"/>
            <w:gridSpan w:val="3"/>
            <w:shd w:val="clear" w:color="auto" w:fill="auto"/>
            <w:tcMar>
              <w:left w:w="17" w:type="dxa"/>
              <w:right w:w="17" w:type="dxa"/>
            </w:tcMar>
            <w:vAlign w:val="center"/>
          </w:tcPr>
          <w:p w14:paraId="5AC6F9A8" w14:textId="77777777" w:rsidR="001C56BD" w:rsidRPr="00305460" w:rsidRDefault="001C56BD" w:rsidP="008A5C11">
            <w:pPr>
              <w:jc w:val="center"/>
              <w:rPr>
                <w:bCs/>
                <w:sz w:val="12"/>
                <w:szCs w:val="12"/>
              </w:rPr>
            </w:pPr>
            <w:r w:rsidRPr="00305460">
              <w:rPr>
                <w:bCs/>
                <w:sz w:val="12"/>
                <w:szCs w:val="12"/>
              </w:rPr>
              <w:t>11</w:t>
            </w:r>
          </w:p>
        </w:tc>
        <w:tc>
          <w:tcPr>
            <w:tcW w:w="196" w:type="pct"/>
            <w:gridSpan w:val="3"/>
            <w:shd w:val="clear" w:color="auto" w:fill="auto"/>
            <w:tcMar>
              <w:left w:w="17" w:type="dxa"/>
              <w:right w:w="17" w:type="dxa"/>
            </w:tcMar>
            <w:vAlign w:val="center"/>
          </w:tcPr>
          <w:p w14:paraId="1E648098" w14:textId="77777777" w:rsidR="001C56BD" w:rsidRPr="00305460" w:rsidRDefault="001C56BD" w:rsidP="008A5C11">
            <w:pPr>
              <w:jc w:val="center"/>
              <w:rPr>
                <w:bCs/>
                <w:sz w:val="12"/>
                <w:szCs w:val="12"/>
              </w:rPr>
            </w:pPr>
            <w:r w:rsidRPr="00305460">
              <w:rPr>
                <w:bCs/>
                <w:sz w:val="12"/>
                <w:szCs w:val="12"/>
              </w:rPr>
              <w:t>12</w:t>
            </w:r>
          </w:p>
        </w:tc>
        <w:tc>
          <w:tcPr>
            <w:tcW w:w="216" w:type="pct"/>
            <w:gridSpan w:val="3"/>
            <w:shd w:val="clear" w:color="auto" w:fill="auto"/>
            <w:tcMar>
              <w:left w:w="17" w:type="dxa"/>
              <w:right w:w="17" w:type="dxa"/>
            </w:tcMar>
            <w:vAlign w:val="center"/>
          </w:tcPr>
          <w:p w14:paraId="10A6038A" w14:textId="77777777" w:rsidR="001C56BD" w:rsidRPr="00305460" w:rsidRDefault="001C56BD" w:rsidP="008A5C11">
            <w:pPr>
              <w:jc w:val="center"/>
              <w:rPr>
                <w:bCs/>
                <w:sz w:val="12"/>
                <w:szCs w:val="12"/>
              </w:rPr>
            </w:pPr>
            <w:r w:rsidRPr="00305460">
              <w:rPr>
                <w:bCs/>
                <w:sz w:val="12"/>
                <w:szCs w:val="12"/>
              </w:rPr>
              <w:t>13</w:t>
            </w:r>
          </w:p>
        </w:tc>
        <w:tc>
          <w:tcPr>
            <w:tcW w:w="179" w:type="pct"/>
            <w:gridSpan w:val="2"/>
            <w:shd w:val="clear" w:color="auto" w:fill="auto"/>
            <w:tcMar>
              <w:left w:w="17" w:type="dxa"/>
              <w:right w:w="17" w:type="dxa"/>
            </w:tcMar>
            <w:vAlign w:val="center"/>
          </w:tcPr>
          <w:p w14:paraId="4BE28113" w14:textId="77777777" w:rsidR="001C56BD" w:rsidRPr="00305460" w:rsidRDefault="001C56BD" w:rsidP="008A5C11">
            <w:pPr>
              <w:jc w:val="center"/>
              <w:rPr>
                <w:bCs/>
                <w:sz w:val="12"/>
                <w:szCs w:val="12"/>
              </w:rPr>
            </w:pPr>
            <w:r w:rsidRPr="00305460">
              <w:rPr>
                <w:bCs/>
                <w:sz w:val="12"/>
                <w:szCs w:val="12"/>
              </w:rPr>
              <w:t>14</w:t>
            </w:r>
          </w:p>
        </w:tc>
        <w:tc>
          <w:tcPr>
            <w:tcW w:w="222" w:type="pct"/>
            <w:gridSpan w:val="2"/>
            <w:shd w:val="clear" w:color="auto" w:fill="auto"/>
            <w:tcMar>
              <w:left w:w="17" w:type="dxa"/>
              <w:right w:w="17" w:type="dxa"/>
            </w:tcMar>
            <w:vAlign w:val="center"/>
          </w:tcPr>
          <w:p w14:paraId="4B7E9BBB" w14:textId="77777777" w:rsidR="001C56BD" w:rsidRPr="00305460" w:rsidRDefault="001C56BD" w:rsidP="008A5C11">
            <w:pPr>
              <w:jc w:val="center"/>
              <w:rPr>
                <w:bCs/>
                <w:sz w:val="12"/>
                <w:szCs w:val="12"/>
              </w:rPr>
            </w:pPr>
            <w:r w:rsidRPr="00305460">
              <w:rPr>
                <w:bCs/>
                <w:sz w:val="12"/>
                <w:szCs w:val="12"/>
              </w:rPr>
              <w:t>15</w:t>
            </w:r>
          </w:p>
        </w:tc>
        <w:tc>
          <w:tcPr>
            <w:tcW w:w="213" w:type="pct"/>
            <w:tcMar>
              <w:left w:w="17" w:type="dxa"/>
              <w:right w:w="17" w:type="dxa"/>
            </w:tcMar>
            <w:vAlign w:val="center"/>
          </w:tcPr>
          <w:p w14:paraId="53292901" w14:textId="77777777" w:rsidR="001C56BD" w:rsidRPr="00305460" w:rsidRDefault="001C56BD" w:rsidP="008A5C11">
            <w:pPr>
              <w:jc w:val="center"/>
              <w:rPr>
                <w:bCs/>
                <w:sz w:val="12"/>
                <w:szCs w:val="12"/>
              </w:rPr>
            </w:pPr>
            <w:r w:rsidRPr="00305460">
              <w:rPr>
                <w:bCs/>
                <w:sz w:val="12"/>
                <w:szCs w:val="12"/>
              </w:rPr>
              <w:t>16</w:t>
            </w:r>
          </w:p>
        </w:tc>
        <w:tc>
          <w:tcPr>
            <w:tcW w:w="218" w:type="pct"/>
            <w:tcMar>
              <w:left w:w="17" w:type="dxa"/>
              <w:right w:w="17" w:type="dxa"/>
            </w:tcMar>
            <w:vAlign w:val="center"/>
          </w:tcPr>
          <w:p w14:paraId="6D16DD8F" w14:textId="77777777" w:rsidR="001C56BD" w:rsidRPr="00305460" w:rsidRDefault="001C56BD" w:rsidP="008A5C11">
            <w:pPr>
              <w:jc w:val="center"/>
              <w:rPr>
                <w:bCs/>
                <w:sz w:val="12"/>
                <w:szCs w:val="12"/>
              </w:rPr>
            </w:pPr>
            <w:r w:rsidRPr="00305460">
              <w:rPr>
                <w:bCs/>
                <w:sz w:val="12"/>
                <w:szCs w:val="12"/>
              </w:rPr>
              <w:t>17</w:t>
            </w:r>
          </w:p>
        </w:tc>
        <w:tc>
          <w:tcPr>
            <w:tcW w:w="218" w:type="pct"/>
            <w:tcMar>
              <w:left w:w="17" w:type="dxa"/>
              <w:right w:w="17" w:type="dxa"/>
            </w:tcMar>
            <w:vAlign w:val="center"/>
          </w:tcPr>
          <w:p w14:paraId="213E9AC2" w14:textId="77777777" w:rsidR="001C56BD" w:rsidRPr="00305460" w:rsidRDefault="001C56BD" w:rsidP="008A5C11">
            <w:pPr>
              <w:jc w:val="center"/>
              <w:rPr>
                <w:bCs/>
                <w:sz w:val="12"/>
                <w:szCs w:val="12"/>
              </w:rPr>
            </w:pPr>
            <w:r w:rsidRPr="00305460">
              <w:rPr>
                <w:bCs/>
                <w:sz w:val="12"/>
                <w:szCs w:val="12"/>
              </w:rPr>
              <w:t>18</w:t>
            </w:r>
          </w:p>
        </w:tc>
        <w:tc>
          <w:tcPr>
            <w:tcW w:w="218" w:type="pct"/>
            <w:tcMar>
              <w:left w:w="17" w:type="dxa"/>
              <w:right w:w="17" w:type="dxa"/>
            </w:tcMar>
            <w:vAlign w:val="center"/>
          </w:tcPr>
          <w:p w14:paraId="79C3B5DA" w14:textId="77777777" w:rsidR="001C56BD" w:rsidRPr="00305460" w:rsidRDefault="001C56BD" w:rsidP="008A5C11">
            <w:pPr>
              <w:jc w:val="center"/>
              <w:rPr>
                <w:bCs/>
                <w:sz w:val="12"/>
                <w:szCs w:val="12"/>
              </w:rPr>
            </w:pPr>
            <w:r w:rsidRPr="00305460">
              <w:rPr>
                <w:bCs/>
                <w:sz w:val="12"/>
                <w:szCs w:val="12"/>
              </w:rPr>
              <w:t>19</w:t>
            </w:r>
          </w:p>
        </w:tc>
        <w:tc>
          <w:tcPr>
            <w:tcW w:w="218" w:type="pct"/>
            <w:gridSpan w:val="2"/>
            <w:tcMar>
              <w:left w:w="17" w:type="dxa"/>
              <w:right w:w="17" w:type="dxa"/>
            </w:tcMar>
            <w:vAlign w:val="center"/>
          </w:tcPr>
          <w:p w14:paraId="642460EF" w14:textId="77777777" w:rsidR="001C56BD" w:rsidRPr="00305460" w:rsidRDefault="001C56BD" w:rsidP="008A5C11">
            <w:pPr>
              <w:jc w:val="center"/>
              <w:rPr>
                <w:bCs/>
                <w:sz w:val="12"/>
                <w:szCs w:val="12"/>
              </w:rPr>
            </w:pPr>
            <w:r w:rsidRPr="00305460">
              <w:rPr>
                <w:bCs/>
                <w:sz w:val="12"/>
                <w:szCs w:val="12"/>
              </w:rPr>
              <w:t>20</w:t>
            </w:r>
          </w:p>
        </w:tc>
        <w:tc>
          <w:tcPr>
            <w:tcW w:w="172" w:type="pct"/>
            <w:gridSpan w:val="2"/>
            <w:tcMar>
              <w:left w:w="17" w:type="dxa"/>
              <w:right w:w="17" w:type="dxa"/>
            </w:tcMar>
            <w:vAlign w:val="center"/>
          </w:tcPr>
          <w:p w14:paraId="62A78AA9" w14:textId="77777777" w:rsidR="001C56BD" w:rsidRPr="00305460" w:rsidRDefault="001C56BD" w:rsidP="008A5C11">
            <w:pPr>
              <w:jc w:val="center"/>
              <w:rPr>
                <w:bCs/>
                <w:sz w:val="12"/>
                <w:szCs w:val="12"/>
              </w:rPr>
            </w:pPr>
            <w:r w:rsidRPr="00305460">
              <w:rPr>
                <w:bCs/>
                <w:sz w:val="12"/>
                <w:szCs w:val="12"/>
              </w:rPr>
              <w:t>21</w:t>
            </w:r>
          </w:p>
        </w:tc>
        <w:tc>
          <w:tcPr>
            <w:tcW w:w="219" w:type="pct"/>
            <w:tcMar>
              <w:left w:w="17" w:type="dxa"/>
              <w:right w:w="17" w:type="dxa"/>
            </w:tcMar>
            <w:vAlign w:val="center"/>
          </w:tcPr>
          <w:p w14:paraId="507F6D6E" w14:textId="77777777" w:rsidR="001C56BD" w:rsidRPr="00305460" w:rsidRDefault="001C56BD" w:rsidP="008A5C11">
            <w:pPr>
              <w:jc w:val="center"/>
              <w:rPr>
                <w:bCs/>
                <w:sz w:val="12"/>
                <w:szCs w:val="12"/>
              </w:rPr>
            </w:pPr>
            <w:r w:rsidRPr="00305460">
              <w:rPr>
                <w:bCs/>
                <w:sz w:val="12"/>
                <w:szCs w:val="12"/>
              </w:rPr>
              <w:t>22</w:t>
            </w:r>
          </w:p>
        </w:tc>
        <w:tc>
          <w:tcPr>
            <w:tcW w:w="174" w:type="pct"/>
            <w:tcMar>
              <w:left w:w="17" w:type="dxa"/>
              <w:right w:w="17" w:type="dxa"/>
            </w:tcMar>
            <w:vAlign w:val="center"/>
          </w:tcPr>
          <w:p w14:paraId="4395EE5A" w14:textId="77777777" w:rsidR="001C56BD" w:rsidRPr="00305460" w:rsidRDefault="001C56BD" w:rsidP="008A5C11">
            <w:pPr>
              <w:jc w:val="center"/>
              <w:rPr>
                <w:bCs/>
                <w:sz w:val="12"/>
                <w:szCs w:val="12"/>
              </w:rPr>
            </w:pPr>
            <w:r w:rsidRPr="00305460">
              <w:rPr>
                <w:bCs/>
                <w:sz w:val="12"/>
                <w:szCs w:val="12"/>
              </w:rPr>
              <w:t>23</w:t>
            </w:r>
          </w:p>
        </w:tc>
        <w:tc>
          <w:tcPr>
            <w:tcW w:w="176" w:type="pct"/>
            <w:tcMar>
              <w:left w:w="17" w:type="dxa"/>
              <w:right w:w="17" w:type="dxa"/>
            </w:tcMar>
            <w:vAlign w:val="center"/>
          </w:tcPr>
          <w:p w14:paraId="69E5C0EB" w14:textId="77777777" w:rsidR="001C56BD" w:rsidRPr="00305460" w:rsidRDefault="001C56BD" w:rsidP="008A5C11">
            <w:pPr>
              <w:jc w:val="center"/>
              <w:rPr>
                <w:bCs/>
                <w:sz w:val="12"/>
                <w:szCs w:val="12"/>
              </w:rPr>
            </w:pPr>
            <w:r w:rsidRPr="00305460">
              <w:rPr>
                <w:bCs/>
                <w:sz w:val="12"/>
                <w:szCs w:val="12"/>
              </w:rPr>
              <w:t>24</w:t>
            </w:r>
          </w:p>
        </w:tc>
      </w:tr>
      <w:tr w:rsidR="001C56BD" w:rsidRPr="00305460" w14:paraId="150ED69B" w14:textId="77777777" w:rsidTr="008A5C11">
        <w:trPr>
          <w:trHeight w:val="897"/>
        </w:trPr>
        <w:tc>
          <w:tcPr>
            <w:tcW w:w="86" w:type="pct"/>
            <w:shd w:val="clear" w:color="auto" w:fill="auto"/>
            <w:tcMar>
              <w:left w:w="17" w:type="dxa"/>
              <w:right w:w="17" w:type="dxa"/>
            </w:tcMar>
            <w:vAlign w:val="center"/>
          </w:tcPr>
          <w:p w14:paraId="25D82C64" w14:textId="77777777" w:rsidR="001C56BD" w:rsidRPr="00305460" w:rsidRDefault="001C56BD" w:rsidP="008A5C11">
            <w:pPr>
              <w:jc w:val="center"/>
              <w:rPr>
                <w:sz w:val="12"/>
                <w:szCs w:val="12"/>
              </w:rPr>
            </w:pPr>
            <w:r w:rsidRPr="00305460">
              <w:rPr>
                <w:sz w:val="12"/>
                <w:szCs w:val="12"/>
              </w:rPr>
              <w:t>3.1.14.</w:t>
            </w:r>
          </w:p>
        </w:tc>
        <w:tc>
          <w:tcPr>
            <w:tcW w:w="295" w:type="pct"/>
            <w:shd w:val="clear" w:color="auto" w:fill="auto"/>
            <w:tcMar>
              <w:left w:w="17" w:type="dxa"/>
              <w:right w:w="17" w:type="dxa"/>
            </w:tcMar>
            <w:vAlign w:val="center"/>
          </w:tcPr>
          <w:p w14:paraId="712BB2D8" w14:textId="77777777" w:rsidR="001C56BD" w:rsidRPr="00305460" w:rsidRDefault="001C56BD" w:rsidP="008A5C11">
            <w:pPr>
              <w:rPr>
                <w:sz w:val="12"/>
                <w:szCs w:val="12"/>
              </w:rPr>
            </w:pPr>
            <w:r w:rsidRPr="00305460">
              <w:rPr>
                <w:sz w:val="12"/>
                <w:szCs w:val="12"/>
              </w:rPr>
              <w:t>Реконструкция тепловой сети с реестровым номером 776982</w:t>
            </w:r>
          </w:p>
        </w:tc>
        <w:tc>
          <w:tcPr>
            <w:tcW w:w="307" w:type="pct"/>
            <w:shd w:val="clear" w:color="000000" w:fill="FFFFFF"/>
            <w:tcMar>
              <w:left w:w="17" w:type="dxa"/>
              <w:right w:w="17" w:type="dxa"/>
            </w:tcMar>
            <w:vAlign w:val="center"/>
          </w:tcPr>
          <w:p w14:paraId="3479035A" w14:textId="77777777" w:rsidR="001C56BD" w:rsidRPr="00305460" w:rsidRDefault="001C56BD" w:rsidP="008A5C11">
            <w:pPr>
              <w:jc w:val="center"/>
              <w:rPr>
                <w:sz w:val="12"/>
                <w:szCs w:val="12"/>
              </w:rPr>
            </w:pPr>
            <w:r w:rsidRPr="00305460">
              <w:rPr>
                <w:color w:val="000000"/>
                <w:sz w:val="12"/>
                <w:szCs w:val="12"/>
              </w:rPr>
              <w:t>Повышение надежности услуг теплоснабжения, повышение энергетической эффективности</w:t>
            </w:r>
          </w:p>
        </w:tc>
        <w:tc>
          <w:tcPr>
            <w:tcW w:w="280" w:type="pct"/>
            <w:shd w:val="clear" w:color="auto" w:fill="auto"/>
            <w:tcMar>
              <w:left w:w="17" w:type="dxa"/>
              <w:right w:w="17" w:type="dxa"/>
            </w:tcMar>
            <w:vAlign w:val="center"/>
          </w:tcPr>
          <w:p w14:paraId="21826957" w14:textId="77777777" w:rsidR="001C56BD" w:rsidRPr="00305460" w:rsidRDefault="001C56BD" w:rsidP="008A5C11">
            <w:pPr>
              <w:jc w:val="center"/>
              <w:rPr>
                <w:sz w:val="12"/>
                <w:szCs w:val="12"/>
              </w:rPr>
            </w:pPr>
            <w:r w:rsidRPr="00305460">
              <w:rPr>
                <w:sz w:val="12"/>
                <w:szCs w:val="12"/>
              </w:rPr>
              <w:t>Кемеровский городской округ, Ленинский район, 25 м северо-восточнее жилого дома №131 по прос. Ленина</w:t>
            </w:r>
          </w:p>
        </w:tc>
        <w:tc>
          <w:tcPr>
            <w:tcW w:w="289" w:type="pct"/>
            <w:shd w:val="clear" w:color="auto" w:fill="auto"/>
            <w:tcMar>
              <w:left w:w="17" w:type="dxa"/>
              <w:right w:w="17" w:type="dxa"/>
            </w:tcMar>
            <w:vAlign w:val="center"/>
          </w:tcPr>
          <w:p w14:paraId="230FF9B0" w14:textId="77777777" w:rsidR="001C56BD" w:rsidRPr="00305460" w:rsidRDefault="001C56BD" w:rsidP="008A5C11">
            <w:pPr>
              <w:jc w:val="center"/>
              <w:rPr>
                <w:sz w:val="12"/>
                <w:szCs w:val="12"/>
              </w:rPr>
            </w:pPr>
            <w:r w:rsidRPr="00305460">
              <w:rPr>
                <w:color w:val="000000"/>
                <w:sz w:val="12"/>
                <w:szCs w:val="12"/>
              </w:rPr>
              <w:t>Технические характеристики</w:t>
            </w:r>
          </w:p>
        </w:tc>
        <w:tc>
          <w:tcPr>
            <w:tcW w:w="137" w:type="pct"/>
            <w:shd w:val="clear" w:color="auto" w:fill="auto"/>
            <w:tcMar>
              <w:left w:w="17" w:type="dxa"/>
              <w:right w:w="17" w:type="dxa"/>
            </w:tcMar>
            <w:vAlign w:val="center"/>
          </w:tcPr>
          <w:p w14:paraId="36EA8890" w14:textId="77777777" w:rsidR="001C56BD" w:rsidRPr="00305460" w:rsidRDefault="001C56BD" w:rsidP="008A5C11">
            <w:pPr>
              <w:jc w:val="center"/>
              <w:rPr>
                <w:color w:val="000000"/>
                <w:sz w:val="12"/>
                <w:szCs w:val="12"/>
              </w:rPr>
            </w:pPr>
          </w:p>
        </w:tc>
        <w:tc>
          <w:tcPr>
            <w:tcW w:w="202" w:type="pct"/>
            <w:shd w:val="clear" w:color="auto" w:fill="auto"/>
            <w:tcMar>
              <w:left w:w="17" w:type="dxa"/>
              <w:right w:w="17" w:type="dxa"/>
            </w:tcMar>
            <w:vAlign w:val="center"/>
          </w:tcPr>
          <w:p w14:paraId="5E85DBEB" w14:textId="77777777" w:rsidR="001C56BD" w:rsidRPr="00305460" w:rsidRDefault="001C56BD" w:rsidP="008A5C11">
            <w:pPr>
              <w:jc w:val="center"/>
              <w:rPr>
                <w:sz w:val="12"/>
                <w:szCs w:val="12"/>
              </w:rPr>
            </w:pPr>
            <w:r w:rsidRPr="00305460">
              <w:rPr>
                <w:sz w:val="12"/>
                <w:szCs w:val="12"/>
              </w:rPr>
              <w:t xml:space="preserve">Канал-ж/б лотки (непроходной канал), опоры </w:t>
            </w:r>
            <w:proofErr w:type="gramStart"/>
            <w:r w:rsidRPr="00305460">
              <w:rPr>
                <w:sz w:val="12"/>
                <w:szCs w:val="12"/>
              </w:rPr>
              <w:t>привар-ные</w:t>
            </w:r>
            <w:proofErr w:type="gramEnd"/>
            <w:r w:rsidRPr="00305460">
              <w:rPr>
                <w:sz w:val="12"/>
                <w:szCs w:val="12"/>
              </w:rPr>
              <w:t xml:space="preserve">, запорная арматура - стальная клиновая, антикоррозийная защита-лак БТ, труба-сталь 20, изоляция - мин. маты   </w:t>
            </w:r>
          </w:p>
        </w:tc>
        <w:tc>
          <w:tcPr>
            <w:tcW w:w="244" w:type="pct"/>
            <w:shd w:val="clear" w:color="auto" w:fill="auto"/>
            <w:tcMar>
              <w:left w:w="17" w:type="dxa"/>
              <w:right w:w="17" w:type="dxa"/>
            </w:tcMar>
            <w:vAlign w:val="center"/>
          </w:tcPr>
          <w:p w14:paraId="5052BDE2" w14:textId="77777777" w:rsidR="001C56BD" w:rsidRPr="00305460" w:rsidRDefault="001C56BD" w:rsidP="008A5C11">
            <w:pPr>
              <w:jc w:val="center"/>
              <w:rPr>
                <w:sz w:val="12"/>
                <w:szCs w:val="12"/>
              </w:rPr>
            </w:pPr>
            <w:r w:rsidRPr="00305460">
              <w:rPr>
                <w:sz w:val="12"/>
                <w:szCs w:val="12"/>
              </w:rPr>
              <w:t xml:space="preserve">Канал-ж/б лотки (непроходной канал), опоры-хомутовые с диэлектрической прокладкой, запорная арматура - краны шаровые, антикоррозийная защита-мастика Вектор1025, 1214, труба-сталь 09Г2С, изоляция - маты прошивные, </w:t>
            </w:r>
            <w:proofErr w:type="gramStart"/>
            <w:r w:rsidRPr="00305460">
              <w:rPr>
                <w:sz w:val="12"/>
                <w:szCs w:val="12"/>
              </w:rPr>
              <w:t>стеклоплас-тик</w:t>
            </w:r>
            <w:proofErr w:type="gramEnd"/>
            <w:r w:rsidRPr="00305460">
              <w:rPr>
                <w:sz w:val="12"/>
                <w:szCs w:val="12"/>
              </w:rPr>
              <w:t xml:space="preserve">  </w:t>
            </w:r>
          </w:p>
        </w:tc>
        <w:tc>
          <w:tcPr>
            <w:tcW w:w="140" w:type="pct"/>
            <w:shd w:val="clear" w:color="auto" w:fill="auto"/>
            <w:tcMar>
              <w:left w:w="17" w:type="dxa"/>
              <w:right w:w="17" w:type="dxa"/>
            </w:tcMar>
            <w:vAlign w:val="center"/>
          </w:tcPr>
          <w:p w14:paraId="114B5614" w14:textId="77777777" w:rsidR="001C56BD" w:rsidRPr="00305460" w:rsidRDefault="001C56BD" w:rsidP="008A5C11">
            <w:pPr>
              <w:jc w:val="center"/>
              <w:rPr>
                <w:sz w:val="12"/>
                <w:szCs w:val="12"/>
              </w:rPr>
            </w:pPr>
            <w:r w:rsidRPr="00305460">
              <w:rPr>
                <w:sz w:val="12"/>
                <w:szCs w:val="12"/>
              </w:rPr>
              <w:t>2023</w:t>
            </w:r>
          </w:p>
        </w:tc>
        <w:tc>
          <w:tcPr>
            <w:tcW w:w="140" w:type="pct"/>
            <w:shd w:val="clear" w:color="auto" w:fill="auto"/>
            <w:tcMar>
              <w:left w:w="17" w:type="dxa"/>
              <w:right w:w="17" w:type="dxa"/>
            </w:tcMar>
            <w:vAlign w:val="center"/>
          </w:tcPr>
          <w:p w14:paraId="123201FA" w14:textId="77777777" w:rsidR="001C56BD" w:rsidRPr="00305460" w:rsidRDefault="001C56BD" w:rsidP="008A5C11">
            <w:pPr>
              <w:jc w:val="center"/>
              <w:rPr>
                <w:sz w:val="12"/>
                <w:szCs w:val="12"/>
              </w:rPr>
            </w:pPr>
            <w:r w:rsidRPr="00305460">
              <w:rPr>
                <w:sz w:val="12"/>
                <w:szCs w:val="12"/>
              </w:rPr>
              <w:t>2023</w:t>
            </w:r>
          </w:p>
        </w:tc>
        <w:tc>
          <w:tcPr>
            <w:tcW w:w="239" w:type="pct"/>
            <w:gridSpan w:val="3"/>
            <w:shd w:val="clear" w:color="auto" w:fill="auto"/>
            <w:tcMar>
              <w:left w:w="17" w:type="dxa"/>
              <w:right w:w="17" w:type="dxa"/>
            </w:tcMar>
            <w:vAlign w:val="center"/>
          </w:tcPr>
          <w:p w14:paraId="23829CF4" w14:textId="77777777" w:rsidR="001C56BD" w:rsidRPr="00305460" w:rsidRDefault="001C56BD" w:rsidP="008A5C11">
            <w:pPr>
              <w:jc w:val="center"/>
              <w:rPr>
                <w:sz w:val="12"/>
                <w:szCs w:val="12"/>
              </w:rPr>
            </w:pPr>
            <w:r w:rsidRPr="00305460">
              <w:rPr>
                <w:sz w:val="12"/>
                <w:szCs w:val="12"/>
              </w:rPr>
              <w:t>10383,826</w:t>
            </w:r>
          </w:p>
        </w:tc>
        <w:tc>
          <w:tcPr>
            <w:tcW w:w="196" w:type="pct"/>
            <w:gridSpan w:val="3"/>
            <w:shd w:val="clear" w:color="auto" w:fill="auto"/>
            <w:tcMar>
              <w:left w:w="17" w:type="dxa"/>
              <w:right w:w="17" w:type="dxa"/>
            </w:tcMar>
            <w:vAlign w:val="center"/>
          </w:tcPr>
          <w:p w14:paraId="64CBFAE7" w14:textId="77777777" w:rsidR="001C56BD" w:rsidRPr="00305460" w:rsidRDefault="001C56BD" w:rsidP="008A5C11">
            <w:pPr>
              <w:jc w:val="center"/>
              <w:rPr>
                <w:sz w:val="12"/>
                <w:szCs w:val="12"/>
              </w:rPr>
            </w:pPr>
            <w:r w:rsidRPr="00305460">
              <w:rPr>
                <w:sz w:val="12"/>
                <w:szCs w:val="12"/>
              </w:rPr>
              <w:t>0,000</w:t>
            </w:r>
          </w:p>
        </w:tc>
        <w:tc>
          <w:tcPr>
            <w:tcW w:w="216" w:type="pct"/>
            <w:gridSpan w:val="3"/>
            <w:shd w:val="clear" w:color="auto" w:fill="auto"/>
            <w:tcMar>
              <w:left w:w="17" w:type="dxa"/>
              <w:right w:w="17" w:type="dxa"/>
            </w:tcMar>
            <w:vAlign w:val="center"/>
          </w:tcPr>
          <w:p w14:paraId="00656DF4" w14:textId="77777777" w:rsidR="001C56BD" w:rsidRPr="00305460" w:rsidRDefault="001C56BD" w:rsidP="008A5C11">
            <w:pPr>
              <w:jc w:val="center"/>
              <w:rPr>
                <w:sz w:val="12"/>
                <w:szCs w:val="12"/>
              </w:rPr>
            </w:pPr>
            <w:r w:rsidRPr="00305460">
              <w:rPr>
                <w:sz w:val="12"/>
                <w:szCs w:val="12"/>
              </w:rPr>
              <w:t>0,000</w:t>
            </w:r>
          </w:p>
        </w:tc>
        <w:tc>
          <w:tcPr>
            <w:tcW w:w="179" w:type="pct"/>
            <w:gridSpan w:val="2"/>
            <w:shd w:val="clear" w:color="auto" w:fill="auto"/>
            <w:tcMar>
              <w:left w:w="17" w:type="dxa"/>
              <w:right w:w="17" w:type="dxa"/>
            </w:tcMar>
            <w:vAlign w:val="center"/>
          </w:tcPr>
          <w:p w14:paraId="4E37CAAF" w14:textId="77777777" w:rsidR="001C56BD" w:rsidRPr="00305460" w:rsidRDefault="001C56BD" w:rsidP="008A5C11">
            <w:pPr>
              <w:jc w:val="center"/>
              <w:rPr>
                <w:sz w:val="12"/>
                <w:szCs w:val="12"/>
              </w:rPr>
            </w:pPr>
            <w:r w:rsidRPr="00305460">
              <w:rPr>
                <w:sz w:val="12"/>
                <w:szCs w:val="12"/>
              </w:rPr>
              <w:t>10383,826</w:t>
            </w:r>
          </w:p>
        </w:tc>
        <w:tc>
          <w:tcPr>
            <w:tcW w:w="222" w:type="pct"/>
            <w:gridSpan w:val="2"/>
            <w:shd w:val="clear" w:color="auto" w:fill="auto"/>
            <w:tcMar>
              <w:left w:w="17" w:type="dxa"/>
              <w:right w:w="17" w:type="dxa"/>
            </w:tcMar>
            <w:vAlign w:val="center"/>
          </w:tcPr>
          <w:p w14:paraId="4D677963" w14:textId="77777777" w:rsidR="001C56BD" w:rsidRPr="00305460" w:rsidRDefault="001C56BD" w:rsidP="008A5C11">
            <w:pPr>
              <w:jc w:val="center"/>
              <w:rPr>
                <w:sz w:val="12"/>
                <w:szCs w:val="12"/>
              </w:rPr>
            </w:pPr>
            <w:r w:rsidRPr="00305460">
              <w:rPr>
                <w:sz w:val="12"/>
                <w:szCs w:val="12"/>
              </w:rPr>
              <w:t>0,000</w:t>
            </w:r>
          </w:p>
        </w:tc>
        <w:tc>
          <w:tcPr>
            <w:tcW w:w="213" w:type="pct"/>
            <w:shd w:val="clear" w:color="auto" w:fill="auto"/>
            <w:tcMar>
              <w:left w:w="17" w:type="dxa"/>
              <w:right w:w="17" w:type="dxa"/>
            </w:tcMar>
            <w:vAlign w:val="center"/>
          </w:tcPr>
          <w:p w14:paraId="15A89CB7"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0090D27B"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4EE75C6C"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1CD18DBA" w14:textId="77777777" w:rsidR="001C56BD" w:rsidRPr="00305460" w:rsidRDefault="001C56BD" w:rsidP="008A5C11">
            <w:pPr>
              <w:jc w:val="center"/>
              <w:rPr>
                <w:sz w:val="12"/>
                <w:szCs w:val="12"/>
              </w:rPr>
            </w:pPr>
            <w:r w:rsidRPr="00305460">
              <w:rPr>
                <w:sz w:val="12"/>
                <w:szCs w:val="12"/>
              </w:rPr>
              <w:t>0,000</w:t>
            </w:r>
          </w:p>
        </w:tc>
        <w:tc>
          <w:tcPr>
            <w:tcW w:w="218" w:type="pct"/>
            <w:gridSpan w:val="2"/>
            <w:shd w:val="clear" w:color="auto" w:fill="auto"/>
            <w:tcMar>
              <w:left w:w="17" w:type="dxa"/>
              <w:right w:w="17" w:type="dxa"/>
            </w:tcMar>
            <w:vAlign w:val="center"/>
          </w:tcPr>
          <w:p w14:paraId="2E36EC7E" w14:textId="77777777" w:rsidR="001C56BD" w:rsidRPr="00305460" w:rsidRDefault="001C56BD" w:rsidP="008A5C11">
            <w:pPr>
              <w:jc w:val="center"/>
              <w:rPr>
                <w:sz w:val="12"/>
                <w:szCs w:val="12"/>
              </w:rPr>
            </w:pPr>
            <w:r w:rsidRPr="00305460">
              <w:rPr>
                <w:sz w:val="12"/>
                <w:szCs w:val="12"/>
              </w:rPr>
              <w:t>0,000</w:t>
            </w:r>
          </w:p>
        </w:tc>
        <w:tc>
          <w:tcPr>
            <w:tcW w:w="172" w:type="pct"/>
            <w:gridSpan w:val="2"/>
            <w:shd w:val="clear" w:color="auto" w:fill="auto"/>
            <w:tcMar>
              <w:left w:w="17" w:type="dxa"/>
              <w:right w:w="17" w:type="dxa"/>
            </w:tcMar>
            <w:vAlign w:val="center"/>
          </w:tcPr>
          <w:p w14:paraId="0C1B6209" w14:textId="77777777" w:rsidR="001C56BD" w:rsidRPr="00305460" w:rsidRDefault="001C56BD" w:rsidP="008A5C11">
            <w:pPr>
              <w:jc w:val="center"/>
              <w:rPr>
                <w:sz w:val="12"/>
                <w:szCs w:val="12"/>
              </w:rPr>
            </w:pPr>
            <w:r w:rsidRPr="00305460">
              <w:rPr>
                <w:sz w:val="12"/>
                <w:szCs w:val="12"/>
              </w:rPr>
              <w:t>0,000</w:t>
            </w:r>
          </w:p>
        </w:tc>
        <w:tc>
          <w:tcPr>
            <w:tcW w:w="219" w:type="pct"/>
            <w:shd w:val="clear" w:color="auto" w:fill="auto"/>
            <w:tcMar>
              <w:left w:w="17" w:type="dxa"/>
              <w:right w:w="17" w:type="dxa"/>
            </w:tcMar>
            <w:vAlign w:val="center"/>
          </w:tcPr>
          <w:p w14:paraId="118CB8F5" w14:textId="77777777" w:rsidR="001C56BD" w:rsidRPr="00305460" w:rsidRDefault="001C56BD" w:rsidP="008A5C11">
            <w:pPr>
              <w:jc w:val="center"/>
              <w:rPr>
                <w:sz w:val="12"/>
                <w:szCs w:val="12"/>
              </w:rPr>
            </w:pPr>
            <w:r w:rsidRPr="00305460">
              <w:rPr>
                <w:sz w:val="12"/>
                <w:szCs w:val="12"/>
              </w:rPr>
              <w:t>0,000</w:t>
            </w:r>
          </w:p>
        </w:tc>
        <w:tc>
          <w:tcPr>
            <w:tcW w:w="174" w:type="pct"/>
            <w:shd w:val="clear" w:color="auto" w:fill="auto"/>
            <w:tcMar>
              <w:left w:w="17" w:type="dxa"/>
              <w:right w:w="17" w:type="dxa"/>
            </w:tcMar>
            <w:vAlign w:val="center"/>
          </w:tcPr>
          <w:p w14:paraId="5EA03FA1" w14:textId="77777777" w:rsidR="001C56BD" w:rsidRPr="00305460" w:rsidRDefault="001C56BD" w:rsidP="008A5C11">
            <w:pPr>
              <w:jc w:val="center"/>
              <w:rPr>
                <w:sz w:val="12"/>
                <w:szCs w:val="12"/>
              </w:rPr>
            </w:pPr>
            <w:r w:rsidRPr="00305460">
              <w:rPr>
                <w:sz w:val="12"/>
                <w:szCs w:val="12"/>
              </w:rPr>
              <w:t>0,000</w:t>
            </w:r>
          </w:p>
        </w:tc>
        <w:tc>
          <w:tcPr>
            <w:tcW w:w="176" w:type="pct"/>
            <w:shd w:val="clear" w:color="auto" w:fill="auto"/>
            <w:tcMar>
              <w:left w:w="17" w:type="dxa"/>
              <w:right w:w="17" w:type="dxa"/>
            </w:tcMar>
            <w:vAlign w:val="center"/>
          </w:tcPr>
          <w:p w14:paraId="44B5FF45" w14:textId="77777777" w:rsidR="001C56BD" w:rsidRPr="00305460" w:rsidRDefault="001C56BD" w:rsidP="008A5C11">
            <w:pPr>
              <w:jc w:val="center"/>
              <w:rPr>
                <w:sz w:val="12"/>
                <w:szCs w:val="12"/>
              </w:rPr>
            </w:pPr>
            <w:r w:rsidRPr="00305460">
              <w:rPr>
                <w:sz w:val="12"/>
                <w:szCs w:val="12"/>
              </w:rPr>
              <w:t>0,000</w:t>
            </w:r>
          </w:p>
        </w:tc>
      </w:tr>
      <w:tr w:rsidR="001C56BD" w:rsidRPr="00305460" w14:paraId="6FC4F471" w14:textId="77777777" w:rsidTr="008A5C11">
        <w:trPr>
          <w:trHeight w:val="897"/>
        </w:trPr>
        <w:tc>
          <w:tcPr>
            <w:tcW w:w="86" w:type="pct"/>
            <w:shd w:val="clear" w:color="auto" w:fill="auto"/>
            <w:tcMar>
              <w:left w:w="17" w:type="dxa"/>
              <w:right w:w="17" w:type="dxa"/>
            </w:tcMar>
            <w:vAlign w:val="center"/>
          </w:tcPr>
          <w:p w14:paraId="754BB84B" w14:textId="77777777" w:rsidR="001C56BD" w:rsidRPr="00305460" w:rsidRDefault="001C56BD" w:rsidP="008A5C11">
            <w:pPr>
              <w:jc w:val="center"/>
              <w:rPr>
                <w:sz w:val="12"/>
                <w:szCs w:val="12"/>
              </w:rPr>
            </w:pPr>
            <w:r w:rsidRPr="00305460">
              <w:rPr>
                <w:sz w:val="12"/>
                <w:szCs w:val="12"/>
              </w:rPr>
              <w:t>3.1.15.</w:t>
            </w:r>
          </w:p>
        </w:tc>
        <w:tc>
          <w:tcPr>
            <w:tcW w:w="295" w:type="pct"/>
            <w:shd w:val="clear" w:color="auto" w:fill="auto"/>
            <w:tcMar>
              <w:left w:w="17" w:type="dxa"/>
              <w:right w:w="17" w:type="dxa"/>
            </w:tcMar>
            <w:vAlign w:val="center"/>
          </w:tcPr>
          <w:p w14:paraId="74EA1A17" w14:textId="77777777" w:rsidR="001C56BD" w:rsidRPr="00305460" w:rsidRDefault="001C56BD" w:rsidP="008A5C11">
            <w:pPr>
              <w:rPr>
                <w:sz w:val="12"/>
                <w:szCs w:val="12"/>
              </w:rPr>
            </w:pPr>
            <w:r w:rsidRPr="00305460">
              <w:rPr>
                <w:sz w:val="12"/>
                <w:szCs w:val="12"/>
              </w:rPr>
              <w:t>Реконструкция тепловой сети с реестровым номером 776981</w:t>
            </w:r>
          </w:p>
        </w:tc>
        <w:tc>
          <w:tcPr>
            <w:tcW w:w="307" w:type="pct"/>
            <w:shd w:val="clear" w:color="000000" w:fill="FFFFFF"/>
            <w:tcMar>
              <w:left w:w="17" w:type="dxa"/>
              <w:right w:w="17" w:type="dxa"/>
            </w:tcMar>
            <w:vAlign w:val="center"/>
          </w:tcPr>
          <w:p w14:paraId="53F7E681" w14:textId="77777777" w:rsidR="001C56BD" w:rsidRPr="00305460" w:rsidRDefault="001C56BD" w:rsidP="008A5C11">
            <w:pPr>
              <w:jc w:val="center"/>
              <w:rPr>
                <w:sz w:val="12"/>
                <w:szCs w:val="12"/>
              </w:rPr>
            </w:pPr>
            <w:r w:rsidRPr="00305460">
              <w:rPr>
                <w:color w:val="000000"/>
                <w:sz w:val="12"/>
                <w:szCs w:val="12"/>
              </w:rPr>
              <w:t>Повышение надежности услуг теплоснабжения, повышение энергетической эффективности</w:t>
            </w:r>
          </w:p>
        </w:tc>
        <w:tc>
          <w:tcPr>
            <w:tcW w:w="280" w:type="pct"/>
            <w:shd w:val="clear" w:color="auto" w:fill="auto"/>
            <w:tcMar>
              <w:left w:w="17" w:type="dxa"/>
              <w:right w:w="17" w:type="dxa"/>
            </w:tcMar>
            <w:vAlign w:val="center"/>
          </w:tcPr>
          <w:p w14:paraId="6852D055" w14:textId="77777777" w:rsidR="001C56BD" w:rsidRPr="00305460" w:rsidRDefault="001C56BD" w:rsidP="008A5C11">
            <w:pPr>
              <w:jc w:val="center"/>
              <w:rPr>
                <w:sz w:val="12"/>
                <w:szCs w:val="12"/>
              </w:rPr>
            </w:pPr>
            <w:r w:rsidRPr="00305460">
              <w:rPr>
                <w:sz w:val="12"/>
                <w:szCs w:val="12"/>
              </w:rPr>
              <w:t>Кемеровский городской округ, Ленинский район, квартал №22, в границах просп. Ленина, просп. Ленинградский, просп. Химиков, б-р Строителей</w:t>
            </w:r>
          </w:p>
        </w:tc>
        <w:tc>
          <w:tcPr>
            <w:tcW w:w="289" w:type="pct"/>
            <w:shd w:val="clear" w:color="auto" w:fill="auto"/>
            <w:tcMar>
              <w:left w:w="17" w:type="dxa"/>
              <w:right w:w="17" w:type="dxa"/>
            </w:tcMar>
            <w:vAlign w:val="center"/>
          </w:tcPr>
          <w:p w14:paraId="4C0F352E" w14:textId="77777777" w:rsidR="001C56BD" w:rsidRPr="00305460" w:rsidRDefault="001C56BD" w:rsidP="008A5C11">
            <w:pPr>
              <w:jc w:val="center"/>
              <w:rPr>
                <w:sz w:val="12"/>
                <w:szCs w:val="12"/>
              </w:rPr>
            </w:pPr>
            <w:r w:rsidRPr="00305460">
              <w:rPr>
                <w:color w:val="000000"/>
                <w:sz w:val="12"/>
                <w:szCs w:val="12"/>
              </w:rPr>
              <w:t>Технические характеристики</w:t>
            </w:r>
          </w:p>
        </w:tc>
        <w:tc>
          <w:tcPr>
            <w:tcW w:w="137" w:type="pct"/>
            <w:shd w:val="clear" w:color="auto" w:fill="auto"/>
            <w:tcMar>
              <w:left w:w="17" w:type="dxa"/>
              <w:right w:w="17" w:type="dxa"/>
            </w:tcMar>
            <w:vAlign w:val="center"/>
          </w:tcPr>
          <w:p w14:paraId="7E77F98D" w14:textId="77777777" w:rsidR="001C56BD" w:rsidRPr="00305460" w:rsidRDefault="001C56BD" w:rsidP="008A5C11">
            <w:pPr>
              <w:jc w:val="center"/>
              <w:rPr>
                <w:color w:val="000000"/>
                <w:sz w:val="12"/>
                <w:szCs w:val="12"/>
              </w:rPr>
            </w:pPr>
          </w:p>
        </w:tc>
        <w:tc>
          <w:tcPr>
            <w:tcW w:w="202" w:type="pct"/>
            <w:shd w:val="clear" w:color="auto" w:fill="auto"/>
            <w:tcMar>
              <w:left w:w="17" w:type="dxa"/>
              <w:right w:w="17" w:type="dxa"/>
            </w:tcMar>
            <w:vAlign w:val="center"/>
          </w:tcPr>
          <w:p w14:paraId="5BADA03D" w14:textId="77777777" w:rsidR="001C56BD" w:rsidRPr="00305460" w:rsidRDefault="001C56BD" w:rsidP="008A5C11">
            <w:pPr>
              <w:jc w:val="center"/>
              <w:rPr>
                <w:sz w:val="12"/>
                <w:szCs w:val="12"/>
              </w:rPr>
            </w:pPr>
            <w:r w:rsidRPr="00305460">
              <w:rPr>
                <w:sz w:val="12"/>
                <w:szCs w:val="12"/>
              </w:rPr>
              <w:t xml:space="preserve">Канал-ж/б лотки (непроходной канал), опоры </w:t>
            </w:r>
            <w:proofErr w:type="gramStart"/>
            <w:r w:rsidRPr="00305460">
              <w:rPr>
                <w:sz w:val="12"/>
                <w:szCs w:val="12"/>
              </w:rPr>
              <w:t>привар-ные</w:t>
            </w:r>
            <w:proofErr w:type="gramEnd"/>
            <w:r w:rsidRPr="00305460">
              <w:rPr>
                <w:sz w:val="12"/>
                <w:szCs w:val="12"/>
              </w:rPr>
              <w:t xml:space="preserve">, запорная арматура - стальная клиновая, антикоррозийная защита-лак БТ, труба-сталь 20, изоляция - мин. маты       </w:t>
            </w:r>
          </w:p>
        </w:tc>
        <w:tc>
          <w:tcPr>
            <w:tcW w:w="244" w:type="pct"/>
            <w:shd w:val="clear" w:color="auto" w:fill="auto"/>
            <w:tcMar>
              <w:left w:w="17" w:type="dxa"/>
              <w:right w:w="17" w:type="dxa"/>
            </w:tcMar>
            <w:vAlign w:val="center"/>
          </w:tcPr>
          <w:p w14:paraId="2EE9347B" w14:textId="77777777" w:rsidR="001C56BD" w:rsidRPr="00305460" w:rsidRDefault="001C56BD" w:rsidP="008A5C11">
            <w:pPr>
              <w:jc w:val="center"/>
              <w:rPr>
                <w:sz w:val="12"/>
                <w:szCs w:val="12"/>
              </w:rPr>
            </w:pPr>
            <w:r w:rsidRPr="00305460">
              <w:rPr>
                <w:sz w:val="12"/>
                <w:szCs w:val="12"/>
              </w:rPr>
              <w:t xml:space="preserve">Канал-ж/б лотки (непроходной канал), опоры-хомутовые с диэлектрической прокладкой, запорная арматура - краны шаровые, антикоррозийная защита-мастика Вектор 1025, </w:t>
            </w:r>
            <w:proofErr w:type="gramStart"/>
            <w:r w:rsidRPr="00305460">
              <w:rPr>
                <w:sz w:val="12"/>
                <w:szCs w:val="12"/>
              </w:rPr>
              <w:t>1214,  труба</w:t>
            </w:r>
            <w:proofErr w:type="gramEnd"/>
            <w:r w:rsidRPr="00305460">
              <w:rPr>
                <w:sz w:val="12"/>
                <w:szCs w:val="12"/>
              </w:rPr>
              <w:t xml:space="preserve">-сталь 09Г2С, изоляция - маты прошивные, стеклоплас-тик  </w:t>
            </w:r>
          </w:p>
        </w:tc>
        <w:tc>
          <w:tcPr>
            <w:tcW w:w="140" w:type="pct"/>
            <w:shd w:val="clear" w:color="auto" w:fill="auto"/>
            <w:tcMar>
              <w:left w:w="17" w:type="dxa"/>
              <w:right w:w="17" w:type="dxa"/>
            </w:tcMar>
            <w:vAlign w:val="center"/>
          </w:tcPr>
          <w:p w14:paraId="438F10E0" w14:textId="77777777" w:rsidR="001C56BD" w:rsidRPr="00305460" w:rsidRDefault="001C56BD" w:rsidP="008A5C11">
            <w:pPr>
              <w:jc w:val="center"/>
              <w:rPr>
                <w:sz w:val="12"/>
                <w:szCs w:val="12"/>
              </w:rPr>
            </w:pPr>
            <w:r w:rsidRPr="00305460">
              <w:rPr>
                <w:sz w:val="12"/>
                <w:szCs w:val="12"/>
              </w:rPr>
              <w:t>2022</w:t>
            </w:r>
          </w:p>
        </w:tc>
        <w:tc>
          <w:tcPr>
            <w:tcW w:w="140" w:type="pct"/>
            <w:shd w:val="clear" w:color="auto" w:fill="auto"/>
            <w:tcMar>
              <w:left w:w="17" w:type="dxa"/>
              <w:right w:w="17" w:type="dxa"/>
            </w:tcMar>
            <w:vAlign w:val="center"/>
          </w:tcPr>
          <w:p w14:paraId="62873212" w14:textId="77777777" w:rsidR="001C56BD" w:rsidRPr="00305460" w:rsidRDefault="001C56BD" w:rsidP="008A5C11">
            <w:pPr>
              <w:jc w:val="center"/>
              <w:rPr>
                <w:sz w:val="12"/>
                <w:szCs w:val="12"/>
              </w:rPr>
            </w:pPr>
            <w:r w:rsidRPr="00305460">
              <w:rPr>
                <w:sz w:val="12"/>
                <w:szCs w:val="12"/>
              </w:rPr>
              <w:t>2027</w:t>
            </w:r>
          </w:p>
        </w:tc>
        <w:tc>
          <w:tcPr>
            <w:tcW w:w="239" w:type="pct"/>
            <w:gridSpan w:val="3"/>
            <w:shd w:val="clear" w:color="auto" w:fill="auto"/>
            <w:tcMar>
              <w:left w:w="17" w:type="dxa"/>
              <w:right w:w="17" w:type="dxa"/>
            </w:tcMar>
            <w:vAlign w:val="center"/>
          </w:tcPr>
          <w:p w14:paraId="7798CE6D" w14:textId="77777777" w:rsidR="001C56BD" w:rsidRPr="00305460" w:rsidRDefault="001C56BD" w:rsidP="008A5C11">
            <w:pPr>
              <w:jc w:val="center"/>
              <w:rPr>
                <w:sz w:val="12"/>
                <w:szCs w:val="12"/>
              </w:rPr>
            </w:pPr>
            <w:r w:rsidRPr="00305460">
              <w:rPr>
                <w:sz w:val="12"/>
                <w:szCs w:val="12"/>
              </w:rPr>
              <w:t>66483,455</w:t>
            </w:r>
          </w:p>
        </w:tc>
        <w:tc>
          <w:tcPr>
            <w:tcW w:w="196" w:type="pct"/>
            <w:gridSpan w:val="3"/>
            <w:shd w:val="clear" w:color="auto" w:fill="auto"/>
            <w:tcMar>
              <w:left w:w="17" w:type="dxa"/>
              <w:right w:w="17" w:type="dxa"/>
            </w:tcMar>
            <w:vAlign w:val="center"/>
          </w:tcPr>
          <w:p w14:paraId="3C342F66" w14:textId="77777777" w:rsidR="001C56BD" w:rsidRPr="00305460" w:rsidRDefault="001C56BD" w:rsidP="008A5C11">
            <w:pPr>
              <w:jc w:val="center"/>
              <w:rPr>
                <w:sz w:val="12"/>
                <w:szCs w:val="12"/>
              </w:rPr>
            </w:pPr>
            <w:r w:rsidRPr="00305460">
              <w:rPr>
                <w:sz w:val="12"/>
                <w:szCs w:val="12"/>
              </w:rPr>
              <w:t>0,000</w:t>
            </w:r>
          </w:p>
        </w:tc>
        <w:tc>
          <w:tcPr>
            <w:tcW w:w="216" w:type="pct"/>
            <w:gridSpan w:val="3"/>
            <w:shd w:val="clear" w:color="auto" w:fill="auto"/>
            <w:tcMar>
              <w:left w:w="17" w:type="dxa"/>
              <w:right w:w="17" w:type="dxa"/>
            </w:tcMar>
            <w:vAlign w:val="center"/>
          </w:tcPr>
          <w:p w14:paraId="390B2303" w14:textId="77777777" w:rsidR="001C56BD" w:rsidRPr="00305460" w:rsidRDefault="001C56BD" w:rsidP="008A5C11">
            <w:pPr>
              <w:jc w:val="center"/>
              <w:rPr>
                <w:sz w:val="12"/>
                <w:szCs w:val="12"/>
              </w:rPr>
            </w:pPr>
            <w:r w:rsidRPr="00305460">
              <w:rPr>
                <w:sz w:val="12"/>
                <w:szCs w:val="12"/>
              </w:rPr>
              <w:t>11983,235</w:t>
            </w:r>
          </w:p>
        </w:tc>
        <w:tc>
          <w:tcPr>
            <w:tcW w:w="179" w:type="pct"/>
            <w:gridSpan w:val="2"/>
            <w:shd w:val="clear" w:color="auto" w:fill="auto"/>
            <w:tcMar>
              <w:left w:w="17" w:type="dxa"/>
              <w:right w:w="17" w:type="dxa"/>
            </w:tcMar>
            <w:vAlign w:val="center"/>
          </w:tcPr>
          <w:p w14:paraId="7B4B0473" w14:textId="77777777" w:rsidR="001C56BD" w:rsidRPr="00305460" w:rsidRDefault="001C56BD" w:rsidP="008A5C11">
            <w:pPr>
              <w:jc w:val="center"/>
              <w:rPr>
                <w:sz w:val="12"/>
                <w:szCs w:val="12"/>
              </w:rPr>
            </w:pPr>
            <w:r w:rsidRPr="00305460">
              <w:rPr>
                <w:sz w:val="12"/>
                <w:szCs w:val="12"/>
              </w:rPr>
              <w:t>21729,504</w:t>
            </w:r>
          </w:p>
        </w:tc>
        <w:tc>
          <w:tcPr>
            <w:tcW w:w="222" w:type="pct"/>
            <w:gridSpan w:val="2"/>
            <w:shd w:val="clear" w:color="auto" w:fill="auto"/>
            <w:tcMar>
              <w:left w:w="17" w:type="dxa"/>
              <w:right w:w="17" w:type="dxa"/>
            </w:tcMar>
            <w:vAlign w:val="center"/>
          </w:tcPr>
          <w:p w14:paraId="07F6B23B" w14:textId="77777777" w:rsidR="001C56BD" w:rsidRPr="00305460" w:rsidRDefault="001C56BD" w:rsidP="008A5C11">
            <w:pPr>
              <w:jc w:val="center"/>
              <w:rPr>
                <w:sz w:val="12"/>
                <w:szCs w:val="12"/>
              </w:rPr>
            </w:pPr>
            <w:r w:rsidRPr="00305460">
              <w:rPr>
                <w:sz w:val="12"/>
                <w:szCs w:val="12"/>
              </w:rPr>
              <w:t>10234,860</w:t>
            </w:r>
          </w:p>
        </w:tc>
        <w:tc>
          <w:tcPr>
            <w:tcW w:w="213" w:type="pct"/>
            <w:shd w:val="clear" w:color="auto" w:fill="auto"/>
            <w:tcMar>
              <w:left w:w="17" w:type="dxa"/>
              <w:right w:w="17" w:type="dxa"/>
            </w:tcMar>
            <w:vAlign w:val="center"/>
          </w:tcPr>
          <w:p w14:paraId="1E203E0E"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55F9508A" w14:textId="77777777" w:rsidR="001C56BD" w:rsidRPr="00305460" w:rsidRDefault="001C56BD" w:rsidP="008A5C11">
            <w:pPr>
              <w:jc w:val="center"/>
              <w:rPr>
                <w:sz w:val="12"/>
                <w:szCs w:val="12"/>
              </w:rPr>
            </w:pPr>
            <w:r w:rsidRPr="00305460">
              <w:rPr>
                <w:sz w:val="12"/>
                <w:szCs w:val="12"/>
              </w:rPr>
              <w:t>16789,932</w:t>
            </w:r>
          </w:p>
        </w:tc>
        <w:tc>
          <w:tcPr>
            <w:tcW w:w="218" w:type="pct"/>
            <w:shd w:val="clear" w:color="auto" w:fill="auto"/>
            <w:tcMar>
              <w:left w:w="17" w:type="dxa"/>
              <w:right w:w="17" w:type="dxa"/>
            </w:tcMar>
            <w:vAlign w:val="center"/>
          </w:tcPr>
          <w:p w14:paraId="5893937A" w14:textId="77777777" w:rsidR="001C56BD" w:rsidRPr="00305460" w:rsidRDefault="001C56BD" w:rsidP="008A5C11">
            <w:pPr>
              <w:jc w:val="center"/>
              <w:rPr>
                <w:sz w:val="12"/>
                <w:szCs w:val="12"/>
              </w:rPr>
            </w:pPr>
            <w:r w:rsidRPr="00305460">
              <w:rPr>
                <w:sz w:val="12"/>
                <w:szCs w:val="12"/>
              </w:rPr>
              <w:t>5745,924</w:t>
            </w:r>
          </w:p>
        </w:tc>
        <w:tc>
          <w:tcPr>
            <w:tcW w:w="218" w:type="pct"/>
            <w:shd w:val="clear" w:color="auto" w:fill="auto"/>
            <w:tcMar>
              <w:left w:w="17" w:type="dxa"/>
              <w:right w:w="17" w:type="dxa"/>
            </w:tcMar>
            <w:vAlign w:val="center"/>
          </w:tcPr>
          <w:p w14:paraId="308D84E4" w14:textId="77777777" w:rsidR="001C56BD" w:rsidRPr="00305460" w:rsidRDefault="001C56BD" w:rsidP="008A5C11">
            <w:pPr>
              <w:jc w:val="center"/>
              <w:rPr>
                <w:sz w:val="12"/>
                <w:szCs w:val="12"/>
              </w:rPr>
            </w:pPr>
            <w:r w:rsidRPr="00305460">
              <w:rPr>
                <w:sz w:val="12"/>
                <w:szCs w:val="12"/>
              </w:rPr>
              <w:t>0,000</w:t>
            </w:r>
          </w:p>
        </w:tc>
        <w:tc>
          <w:tcPr>
            <w:tcW w:w="218" w:type="pct"/>
            <w:gridSpan w:val="2"/>
            <w:shd w:val="clear" w:color="auto" w:fill="auto"/>
            <w:tcMar>
              <w:left w:w="17" w:type="dxa"/>
              <w:right w:w="17" w:type="dxa"/>
            </w:tcMar>
            <w:vAlign w:val="center"/>
          </w:tcPr>
          <w:p w14:paraId="402FE2F0" w14:textId="77777777" w:rsidR="001C56BD" w:rsidRPr="00305460" w:rsidRDefault="001C56BD" w:rsidP="008A5C11">
            <w:pPr>
              <w:jc w:val="center"/>
              <w:rPr>
                <w:sz w:val="12"/>
                <w:szCs w:val="12"/>
              </w:rPr>
            </w:pPr>
            <w:r w:rsidRPr="00305460">
              <w:rPr>
                <w:sz w:val="12"/>
                <w:szCs w:val="12"/>
              </w:rPr>
              <w:t>0,000</w:t>
            </w:r>
          </w:p>
        </w:tc>
        <w:tc>
          <w:tcPr>
            <w:tcW w:w="172" w:type="pct"/>
            <w:gridSpan w:val="2"/>
            <w:shd w:val="clear" w:color="auto" w:fill="auto"/>
            <w:tcMar>
              <w:left w:w="17" w:type="dxa"/>
              <w:right w:w="17" w:type="dxa"/>
            </w:tcMar>
            <w:vAlign w:val="center"/>
          </w:tcPr>
          <w:p w14:paraId="0821EF4D" w14:textId="77777777" w:rsidR="001C56BD" w:rsidRPr="00305460" w:rsidRDefault="001C56BD" w:rsidP="008A5C11">
            <w:pPr>
              <w:jc w:val="center"/>
              <w:rPr>
                <w:sz w:val="12"/>
                <w:szCs w:val="12"/>
              </w:rPr>
            </w:pPr>
            <w:r w:rsidRPr="00305460">
              <w:rPr>
                <w:sz w:val="12"/>
                <w:szCs w:val="12"/>
              </w:rPr>
              <w:t>0,000</w:t>
            </w:r>
          </w:p>
        </w:tc>
        <w:tc>
          <w:tcPr>
            <w:tcW w:w="219" w:type="pct"/>
            <w:shd w:val="clear" w:color="auto" w:fill="auto"/>
            <w:tcMar>
              <w:left w:w="17" w:type="dxa"/>
              <w:right w:w="17" w:type="dxa"/>
            </w:tcMar>
            <w:vAlign w:val="center"/>
          </w:tcPr>
          <w:p w14:paraId="18E615D9" w14:textId="77777777" w:rsidR="001C56BD" w:rsidRPr="00305460" w:rsidRDefault="001C56BD" w:rsidP="008A5C11">
            <w:pPr>
              <w:jc w:val="center"/>
              <w:rPr>
                <w:sz w:val="12"/>
                <w:szCs w:val="12"/>
              </w:rPr>
            </w:pPr>
            <w:r w:rsidRPr="00305460">
              <w:rPr>
                <w:sz w:val="12"/>
                <w:szCs w:val="12"/>
              </w:rPr>
              <w:t>0,000</w:t>
            </w:r>
          </w:p>
        </w:tc>
        <w:tc>
          <w:tcPr>
            <w:tcW w:w="174" w:type="pct"/>
            <w:shd w:val="clear" w:color="auto" w:fill="auto"/>
            <w:tcMar>
              <w:left w:w="17" w:type="dxa"/>
              <w:right w:w="17" w:type="dxa"/>
            </w:tcMar>
            <w:vAlign w:val="center"/>
          </w:tcPr>
          <w:p w14:paraId="4DE0D423" w14:textId="77777777" w:rsidR="001C56BD" w:rsidRPr="00305460" w:rsidRDefault="001C56BD" w:rsidP="008A5C11">
            <w:pPr>
              <w:jc w:val="center"/>
              <w:rPr>
                <w:sz w:val="12"/>
                <w:szCs w:val="12"/>
              </w:rPr>
            </w:pPr>
            <w:r w:rsidRPr="00305460">
              <w:rPr>
                <w:sz w:val="12"/>
                <w:szCs w:val="12"/>
              </w:rPr>
              <w:t>0,000</w:t>
            </w:r>
          </w:p>
        </w:tc>
        <w:tc>
          <w:tcPr>
            <w:tcW w:w="176" w:type="pct"/>
            <w:shd w:val="clear" w:color="auto" w:fill="auto"/>
            <w:tcMar>
              <w:left w:w="17" w:type="dxa"/>
              <w:right w:w="17" w:type="dxa"/>
            </w:tcMar>
            <w:vAlign w:val="center"/>
          </w:tcPr>
          <w:p w14:paraId="4537264B" w14:textId="77777777" w:rsidR="001C56BD" w:rsidRPr="00305460" w:rsidRDefault="001C56BD" w:rsidP="008A5C11">
            <w:pPr>
              <w:jc w:val="center"/>
              <w:rPr>
                <w:sz w:val="12"/>
                <w:szCs w:val="12"/>
              </w:rPr>
            </w:pPr>
            <w:r w:rsidRPr="00305460">
              <w:rPr>
                <w:sz w:val="12"/>
                <w:szCs w:val="12"/>
              </w:rPr>
              <w:t>0,000</w:t>
            </w:r>
          </w:p>
        </w:tc>
      </w:tr>
      <w:tr w:rsidR="001C56BD" w:rsidRPr="00305460" w14:paraId="3F1DE36F" w14:textId="77777777" w:rsidTr="008A5C11">
        <w:trPr>
          <w:trHeight w:val="897"/>
        </w:trPr>
        <w:tc>
          <w:tcPr>
            <w:tcW w:w="86" w:type="pct"/>
            <w:shd w:val="clear" w:color="auto" w:fill="auto"/>
            <w:tcMar>
              <w:left w:w="17" w:type="dxa"/>
              <w:right w:w="17" w:type="dxa"/>
            </w:tcMar>
            <w:vAlign w:val="center"/>
          </w:tcPr>
          <w:p w14:paraId="71E29426" w14:textId="77777777" w:rsidR="001C56BD" w:rsidRPr="00305460" w:rsidRDefault="001C56BD" w:rsidP="008A5C11">
            <w:pPr>
              <w:jc w:val="center"/>
              <w:rPr>
                <w:sz w:val="12"/>
                <w:szCs w:val="12"/>
              </w:rPr>
            </w:pPr>
            <w:r w:rsidRPr="00305460">
              <w:rPr>
                <w:sz w:val="12"/>
                <w:szCs w:val="12"/>
              </w:rPr>
              <w:t>3.1.16.</w:t>
            </w:r>
          </w:p>
        </w:tc>
        <w:tc>
          <w:tcPr>
            <w:tcW w:w="295" w:type="pct"/>
            <w:shd w:val="clear" w:color="auto" w:fill="auto"/>
            <w:tcMar>
              <w:left w:w="17" w:type="dxa"/>
              <w:right w:w="17" w:type="dxa"/>
            </w:tcMar>
            <w:vAlign w:val="center"/>
          </w:tcPr>
          <w:p w14:paraId="1C5A74D0" w14:textId="77777777" w:rsidR="001C56BD" w:rsidRPr="00305460" w:rsidRDefault="001C56BD" w:rsidP="008A5C11">
            <w:pPr>
              <w:rPr>
                <w:sz w:val="12"/>
                <w:szCs w:val="12"/>
              </w:rPr>
            </w:pPr>
            <w:r w:rsidRPr="00305460">
              <w:rPr>
                <w:sz w:val="12"/>
                <w:szCs w:val="12"/>
              </w:rPr>
              <w:t>Реконструкция тепловой сети с реестровым номером 776342</w:t>
            </w:r>
          </w:p>
        </w:tc>
        <w:tc>
          <w:tcPr>
            <w:tcW w:w="307" w:type="pct"/>
            <w:shd w:val="clear" w:color="000000" w:fill="FFFFFF"/>
            <w:tcMar>
              <w:left w:w="17" w:type="dxa"/>
              <w:right w:w="17" w:type="dxa"/>
            </w:tcMar>
            <w:vAlign w:val="center"/>
          </w:tcPr>
          <w:p w14:paraId="553FFE8B" w14:textId="77777777" w:rsidR="001C56BD" w:rsidRPr="00305460" w:rsidRDefault="001C56BD" w:rsidP="008A5C11">
            <w:pPr>
              <w:jc w:val="center"/>
              <w:rPr>
                <w:sz w:val="12"/>
                <w:szCs w:val="12"/>
              </w:rPr>
            </w:pPr>
            <w:r w:rsidRPr="00305460">
              <w:rPr>
                <w:color w:val="000000"/>
                <w:sz w:val="12"/>
                <w:szCs w:val="12"/>
              </w:rPr>
              <w:t>Повышение надежности услуг теплоснабжения, повышение энергетической эффективности</w:t>
            </w:r>
          </w:p>
        </w:tc>
        <w:tc>
          <w:tcPr>
            <w:tcW w:w="280" w:type="pct"/>
            <w:shd w:val="clear" w:color="auto" w:fill="auto"/>
            <w:tcMar>
              <w:left w:w="17" w:type="dxa"/>
              <w:right w:w="17" w:type="dxa"/>
            </w:tcMar>
            <w:vAlign w:val="center"/>
          </w:tcPr>
          <w:p w14:paraId="1314F011" w14:textId="77777777" w:rsidR="001C56BD" w:rsidRPr="00305460" w:rsidRDefault="001C56BD" w:rsidP="008A5C11">
            <w:pPr>
              <w:jc w:val="center"/>
              <w:rPr>
                <w:sz w:val="12"/>
                <w:szCs w:val="12"/>
              </w:rPr>
            </w:pPr>
            <w:r w:rsidRPr="00305460">
              <w:rPr>
                <w:sz w:val="12"/>
                <w:szCs w:val="12"/>
              </w:rPr>
              <w:t>Кемеровский городской округ, Ленинский район, квартал 27 (пересечение пр. Ленина и пр. Комсомольский)</w:t>
            </w:r>
          </w:p>
        </w:tc>
        <w:tc>
          <w:tcPr>
            <w:tcW w:w="289" w:type="pct"/>
            <w:shd w:val="clear" w:color="auto" w:fill="auto"/>
            <w:tcMar>
              <w:left w:w="17" w:type="dxa"/>
              <w:right w:w="17" w:type="dxa"/>
            </w:tcMar>
            <w:vAlign w:val="center"/>
          </w:tcPr>
          <w:p w14:paraId="254A804A" w14:textId="77777777" w:rsidR="001C56BD" w:rsidRPr="00305460" w:rsidRDefault="001C56BD" w:rsidP="008A5C11">
            <w:pPr>
              <w:jc w:val="center"/>
              <w:rPr>
                <w:sz w:val="12"/>
                <w:szCs w:val="12"/>
              </w:rPr>
            </w:pPr>
            <w:r w:rsidRPr="00305460">
              <w:rPr>
                <w:color w:val="000000"/>
                <w:sz w:val="12"/>
                <w:szCs w:val="12"/>
              </w:rPr>
              <w:t>Технические характеристики</w:t>
            </w:r>
          </w:p>
        </w:tc>
        <w:tc>
          <w:tcPr>
            <w:tcW w:w="137" w:type="pct"/>
            <w:shd w:val="clear" w:color="auto" w:fill="auto"/>
            <w:tcMar>
              <w:left w:w="17" w:type="dxa"/>
              <w:right w:w="17" w:type="dxa"/>
            </w:tcMar>
            <w:vAlign w:val="center"/>
          </w:tcPr>
          <w:p w14:paraId="36284EA1" w14:textId="77777777" w:rsidR="001C56BD" w:rsidRPr="00305460" w:rsidRDefault="001C56BD" w:rsidP="008A5C11">
            <w:pPr>
              <w:jc w:val="center"/>
              <w:rPr>
                <w:color w:val="000000"/>
                <w:sz w:val="12"/>
                <w:szCs w:val="12"/>
              </w:rPr>
            </w:pPr>
          </w:p>
        </w:tc>
        <w:tc>
          <w:tcPr>
            <w:tcW w:w="202" w:type="pct"/>
            <w:shd w:val="clear" w:color="auto" w:fill="auto"/>
            <w:tcMar>
              <w:left w:w="17" w:type="dxa"/>
              <w:right w:w="17" w:type="dxa"/>
            </w:tcMar>
            <w:vAlign w:val="center"/>
          </w:tcPr>
          <w:p w14:paraId="435D55B9" w14:textId="77777777" w:rsidR="001C56BD" w:rsidRPr="00305460" w:rsidRDefault="001C56BD" w:rsidP="008A5C11">
            <w:pPr>
              <w:jc w:val="center"/>
              <w:rPr>
                <w:sz w:val="12"/>
                <w:szCs w:val="12"/>
              </w:rPr>
            </w:pPr>
            <w:r w:rsidRPr="00305460">
              <w:rPr>
                <w:sz w:val="12"/>
                <w:szCs w:val="12"/>
              </w:rPr>
              <w:t xml:space="preserve">Канал-ж/б лотки (непроходной канал), опоры </w:t>
            </w:r>
            <w:proofErr w:type="gramStart"/>
            <w:r w:rsidRPr="00305460">
              <w:rPr>
                <w:sz w:val="12"/>
                <w:szCs w:val="12"/>
              </w:rPr>
              <w:t>привар-ные</w:t>
            </w:r>
            <w:proofErr w:type="gramEnd"/>
            <w:r w:rsidRPr="00305460">
              <w:rPr>
                <w:sz w:val="12"/>
                <w:szCs w:val="12"/>
              </w:rPr>
              <w:t xml:space="preserve">, запорная арматура - стальная клиновая, антикоррозийная защита-лак БТ, труба-сталь 20, изоляция - мин. маты       </w:t>
            </w:r>
          </w:p>
        </w:tc>
        <w:tc>
          <w:tcPr>
            <w:tcW w:w="244" w:type="pct"/>
            <w:shd w:val="clear" w:color="auto" w:fill="auto"/>
            <w:tcMar>
              <w:left w:w="17" w:type="dxa"/>
              <w:right w:w="17" w:type="dxa"/>
            </w:tcMar>
            <w:vAlign w:val="center"/>
          </w:tcPr>
          <w:p w14:paraId="6EAE6EE0" w14:textId="77777777" w:rsidR="001C56BD" w:rsidRPr="00305460" w:rsidRDefault="001C56BD" w:rsidP="008A5C11">
            <w:pPr>
              <w:jc w:val="center"/>
              <w:rPr>
                <w:sz w:val="12"/>
                <w:szCs w:val="12"/>
              </w:rPr>
            </w:pPr>
            <w:r w:rsidRPr="00305460">
              <w:rPr>
                <w:sz w:val="12"/>
                <w:szCs w:val="12"/>
              </w:rPr>
              <w:t xml:space="preserve">Канал-ж/б лотки (непроходной канал), опоры-хомутовые с диэлектрической прокладкой, запорная арматура - краны шаровые, антикоррозийная защита-мастика Вектор 1025, 1214, труба-сталь 09Г2С, изоляция - маты прошивные, </w:t>
            </w:r>
            <w:proofErr w:type="gramStart"/>
            <w:r w:rsidRPr="00305460">
              <w:rPr>
                <w:sz w:val="12"/>
                <w:szCs w:val="12"/>
              </w:rPr>
              <w:t>стеклоплас-тик</w:t>
            </w:r>
            <w:proofErr w:type="gramEnd"/>
            <w:r w:rsidRPr="00305460">
              <w:rPr>
                <w:sz w:val="12"/>
                <w:szCs w:val="12"/>
              </w:rPr>
              <w:t xml:space="preserve">  </w:t>
            </w:r>
          </w:p>
        </w:tc>
        <w:tc>
          <w:tcPr>
            <w:tcW w:w="140" w:type="pct"/>
            <w:shd w:val="clear" w:color="auto" w:fill="auto"/>
            <w:tcMar>
              <w:left w:w="17" w:type="dxa"/>
              <w:right w:w="17" w:type="dxa"/>
            </w:tcMar>
            <w:vAlign w:val="center"/>
          </w:tcPr>
          <w:p w14:paraId="34E06AF5" w14:textId="77777777" w:rsidR="001C56BD" w:rsidRPr="00305460" w:rsidRDefault="001C56BD" w:rsidP="008A5C11">
            <w:pPr>
              <w:jc w:val="center"/>
              <w:rPr>
                <w:sz w:val="12"/>
                <w:szCs w:val="12"/>
              </w:rPr>
            </w:pPr>
            <w:r w:rsidRPr="00305460">
              <w:rPr>
                <w:sz w:val="12"/>
                <w:szCs w:val="12"/>
              </w:rPr>
              <w:t>2022</w:t>
            </w:r>
          </w:p>
        </w:tc>
        <w:tc>
          <w:tcPr>
            <w:tcW w:w="140" w:type="pct"/>
            <w:shd w:val="clear" w:color="auto" w:fill="auto"/>
            <w:tcMar>
              <w:left w:w="17" w:type="dxa"/>
              <w:right w:w="17" w:type="dxa"/>
            </w:tcMar>
            <w:vAlign w:val="center"/>
          </w:tcPr>
          <w:p w14:paraId="2073FBEB" w14:textId="77777777" w:rsidR="001C56BD" w:rsidRPr="00305460" w:rsidRDefault="001C56BD" w:rsidP="008A5C11">
            <w:pPr>
              <w:jc w:val="center"/>
              <w:rPr>
                <w:sz w:val="12"/>
                <w:szCs w:val="12"/>
              </w:rPr>
            </w:pPr>
            <w:r w:rsidRPr="00305460">
              <w:rPr>
                <w:sz w:val="12"/>
                <w:szCs w:val="12"/>
              </w:rPr>
              <w:t>2024</w:t>
            </w:r>
          </w:p>
        </w:tc>
        <w:tc>
          <w:tcPr>
            <w:tcW w:w="239" w:type="pct"/>
            <w:gridSpan w:val="3"/>
            <w:shd w:val="clear" w:color="auto" w:fill="auto"/>
            <w:tcMar>
              <w:left w:w="17" w:type="dxa"/>
              <w:right w:w="17" w:type="dxa"/>
            </w:tcMar>
            <w:vAlign w:val="center"/>
          </w:tcPr>
          <w:p w14:paraId="1C9421B7" w14:textId="77777777" w:rsidR="001C56BD" w:rsidRPr="00305460" w:rsidRDefault="001C56BD" w:rsidP="008A5C11">
            <w:pPr>
              <w:jc w:val="center"/>
              <w:rPr>
                <w:sz w:val="12"/>
                <w:szCs w:val="12"/>
              </w:rPr>
            </w:pPr>
            <w:r w:rsidRPr="00305460">
              <w:rPr>
                <w:sz w:val="12"/>
                <w:szCs w:val="12"/>
              </w:rPr>
              <w:t>39811,525</w:t>
            </w:r>
          </w:p>
        </w:tc>
        <w:tc>
          <w:tcPr>
            <w:tcW w:w="196" w:type="pct"/>
            <w:gridSpan w:val="3"/>
            <w:shd w:val="clear" w:color="auto" w:fill="auto"/>
            <w:tcMar>
              <w:left w:w="17" w:type="dxa"/>
              <w:right w:w="17" w:type="dxa"/>
            </w:tcMar>
            <w:vAlign w:val="center"/>
          </w:tcPr>
          <w:p w14:paraId="79DE3DEC" w14:textId="77777777" w:rsidR="001C56BD" w:rsidRPr="00305460" w:rsidRDefault="001C56BD" w:rsidP="008A5C11">
            <w:pPr>
              <w:jc w:val="center"/>
              <w:rPr>
                <w:sz w:val="12"/>
                <w:szCs w:val="12"/>
              </w:rPr>
            </w:pPr>
            <w:r w:rsidRPr="00305460">
              <w:rPr>
                <w:sz w:val="12"/>
                <w:szCs w:val="12"/>
              </w:rPr>
              <w:t>0,000</w:t>
            </w:r>
          </w:p>
        </w:tc>
        <w:tc>
          <w:tcPr>
            <w:tcW w:w="216" w:type="pct"/>
            <w:gridSpan w:val="3"/>
            <w:shd w:val="clear" w:color="auto" w:fill="auto"/>
            <w:tcMar>
              <w:left w:w="17" w:type="dxa"/>
              <w:right w:w="17" w:type="dxa"/>
            </w:tcMar>
            <w:vAlign w:val="center"/>
          </w:tcPr>
          <w:p w14:paraId="5DFA7BC5" w14:textId="77777777" w:rsidR="001C56BD" w:rsidRPr="00305460" w:rsidRDefault="001C56BD" w:rsidP="008A5C11">
            <w:pPr>
              <w:jc w:val="center"/>
              <w:rPr>
                <w:sz w:val="12"/>
                <w:szCs w:val="12"/>
              </w:rPr>
            </w:pPr>
            <w:r w:rsidRPr="00305460">
              <w:rPr>
                <w:sz w:val="12"/>
                <w:szCs w:val="12"/>
              </w:rPr>
              <w:t>17817,996</w:t>
            </w:r>
          </w:p>
        </w:tc>
        <w:tc>
          <w:tcPr>
            <w:tcW w:w="179" w:type="pct"/>
            <w:gridSpan w:val="2"/>
            <w:shd w:val="clear" w:color="auto" w:fill="auto"/>
            <w:tcMar>
              <w:left w:w="17" w:type="dxa"/>
              <w:right w:w="17" w:type="dxa"/>
            </w:tcMar>
            <w:vAlign w:val="center"/>
          </w:tcPr>
          <w:p w14:paraId="6D6B2A47" w14:textId="77777777" w:rsidR="001C56BD" w:rsidRPr="00305460" w:rsidRDefault="001C56BD" w:rsidP="008A5C11">
            <w:pPr>
              <w:jc w:val="center"/>
              <w:rPr>
                <w:sz w:val="12"/>
                <w:szCs w:val="12"/>
              </w:rPr>
            </w:pPr>
            <w:r w:rsidRPr="00305460">
              <w:rPr>
                <w:sz w:val="12"/>
                <w:szCs w:val="12"/>
              </w:rPr>
              <w:t>0,000</w:t>
            </w:r>
          </w:p>
        </w:tc>
        <w:tc>
          <w:tcPr>
            <w:tcW w:w="222" w:type="pct"/>
            <w:gridSpan w:val="2"/>
            <w:shd w:val="clear" w:color="auto" w:fill="auto"/>
            <w:tcMar>
              <w:left w:w="17" w:type="dxa"/>
              <w:right w:w="17" w:type="dxa"/>
            </w:tcMar>
            <w:vAlign w:val="center"/>
          </w:tcPr>
          <w:p w14:paraId="4341CD58" w14:textId="77777777" w:rsidR="001C56BD" w:rsidRPr="00305460" w:rsidRDefault="001C56BD" w:rsidP="008A5C11">
            <w:pPr>
              <w:jc w:val="center"/>
              <w:rPr>
                <w:sz w:val="12"/>
                <w:szCs w:val="12"/>
              </w:rPr>
            </w:pPr>
            <w:r w:rsidRPr="00305460">
              <w:rPr>
                <w:sz w:val="12"/>
                <w:szCs w:val="12"/>
              </w:rPr>
              <w:t>21993,529</w:t>
            </w:r>
          </w:p>
        </w:tc>
        <w:tc>
          <w:tcPr>
            <w:tcW w:w="213" w:type="pct"/>
            <w:shd w:val="clear" w:color="auto" w:fill="auto"/>
            <w:tcMar>
              <w:left w:w="17" w:type="dxa"/>
              <w:right w:w="17" w:type="dxa"/>
            </w:tcMar>
            <w:vAlign w:val="center"/>
          </w:tcPr>
          <w:p w14:paraId="4E6F8402"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27280ECE"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46CCB2A7"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35EE84E3" w14:textId="77777777" w:rsidR="001C56BD" w:rsidRPr="00305460" w:rsidRDefault="001C56BD" w:rsidP="008A5C11">
            <w:pPr>
              <w:jc w:val="center"/>
              <w:rPr>
                <w:sz w:val="12"/>
                <w:szCs w:val="12"/>
              </w:rPr>
            </w:pPr>
            <w:r w:rsidRPr="00305460">
              <w:rPr>
                <w:sz w:val="12"/>
                <w:szCs w:val="12"/>
              </w:rPr>
              <w:t>0,000</w:t>
            </w:r>
          </w:p>
        </w:tc>
        <w:tc>
          <w:tcPr>
            <w:tcW w:w="218" w:type="pct"/>
            <w:gridSpan w:val="2"/>
            <w:shd w:val="clear" w:color="auto" w:fill="auto"/>
            <w:tcMar>
              <w:left w:w="17" w:type="dxa"/>
              <w:right w:w="17" w:type="dxa"/>
            </w:tcMar>
            <w:vAlign w:val="center"/>
          </w:tcPr>
          <w:p w14:paraId="1A6CD89A" w14:textId="77777777" w:rsidR="001C56BD" w:rsidRPr="00305460" w:rsidRDefault="001C56BD" w:rsidP="008A5C11">
            <w:pPr>
              <w:jc w:val="center"/>
              <w:rPr>
                <w:sz w:val="12"/>
                <w:szCs w:val="12"/>
              </w:rPr>
            </w:pPr>
            <w:r w:rsidRPr="00305460">
              <w:rPr>
                <w:sz w:val="12"/>
                <w:szCs w:val="12"/>
              </w:rPr>
              <w:t>0,000</w:t>
            </w:r>
          </w:p>
        </w:tc>
        <w:tc>
          <w:tcPr>
            <w:tcW w:w="172" w:type="pct"/>
            <w:gridSpan w:val="2"/>
            <w:shd w:val="clear" w:color="auto" w:fill="auto"/>
            <w:tcMar>
              <w:left w:w="17" w:type="dxa"/>
              <w:right w:w="17" w:type="dxa"/>
            </w:tcMar>
            <w:vAlign w:val="center"/>
          </w:tcPr>
          <w:p w14:paraId="5CBE4125" w14:textId="77777777" w:rsidR="001C56BD" w:rsidRPr="00305460" w:rsidRDefault="001C56BD" w:rsidP="008A5C11">
            <w:pPr>
              <w:jc w:val="center"/>
              <w:rPr>
                <w:sz w:val="12"/>
                <w:szCs w:val="12"/>
              </w:rPr>
            </w:pPr>
            <w:r w:rsidRPr="00305460">
              <w:rPr>
                <w:sz w:val="12"/>
                <w:szCs w:val="12"/>
              </w:rPr>
              <w:t>0,000</w:t>
            </w:r>
          </w:p>
        </w:tc>
        <w:tc>
          <w:tcPr>
            <w:tcW w:w="219" w:type="pct"/>
            <w:shd w:val="clear" w:color="auto" w:fill="auto"/>
            <w:tcMar>
              <w:left w:w="17" w:type="dxa"/>
              <w:right w:w="17" w:type="dxa"/>
            </w:tcMar>
            <w:vAlign w:val="center"/>
          </w:tcPr>
          <w:p w14:paraId="09D600EF" w14:textId="77777777" w:rsidR="001C56BD" w:rsidRPr="00305460" w:rsidRDefault="001C56BD" w:rsidP="008A5C11">
            <w:pPr>
              <w:jc w:val="center"/>
              <w:rPr>
                <w:sz w:val="12"/>
                <w:szCs w:val="12"/>
              </w:rPr>
            </w:pPr>
            <w:r w:rsidRPr="00305460">
              <w:rPr>
                <w:sz w:val="12"/>
                <w:szCs w:val="12"/>
              </w:rPr>
              <w:t>0,000</w:t>
            </w:r>
          </w:p>
        </w:tc>
        <w:tc>
          <w:tcPr>
            <w:tcW w:w="174" w:type="pct"/>
            <w:shd w:val="clear" w:color="auto" w:fill="auto"/>
            <w:tcMar>
              <w:left w:w="17" w:type="dxa"/>
              <w:right w:w="17" w:type="dxa"/>
            </w:tcMar>
            <w:vAlign w:val="center"/>
          </w:tcPr>
          <w:p w14:paraId="71EE9827" w14:textId="77777777" w:rsidR="001C56BD" w:rsidRPr="00305460" w:rsidRDefault="001C56BD" w:rsidP="008A5C11">
            <w:pPr>
              <w:jc w:val="center"/>
              <w:rPr>
                <w:sz w:val="12"/>
                <w:szCs w:val="12"/>
              </w:rPr>
            </w:pPr>
            <w:r w:rsidRPr="00305460">
              <w:rPr>
                <w:sz w:val="12"/>
                <w:szCs w:val="12"/>
              </w:rPr>
              <w:t>0,000</w:t>
            </w:r>
          </w:p>
        </w:tc>
        <w:tc>
          <w:tcPr>
            <w:tcW w:w="176" w:type="pct"/>
            <w:shd w:val="clear" w:color="auto" w:fill="auto"/>
            <w:tcMar>
              <w:left w:w="17" w:type="dxa"/>
              <w:right w:w="17" w:type="dxa"/>
            </w:tcMar>
            <w:vAlign w:val="center"/>
          </w:tcPr>
          <w:p w14:paraId="69500D5F" w14:textId="77777777" w:rsidR="001C56BD" w:rsidRPr="00305460" w:rsidRDefault="001C56BD" w:rsidP="008A5C11">
            <w:pPr>
              <w:jc w:val="center"/>
              <w:rPr>
                <w:sz w:val="12"/>
                <w:szCs w:val="12"/>
              </w:rPr>
            </w:pPr>
            <w:r w:rsidRPr="00305460">
              <w:rPr>
                <w:sz w:val="12"/>
                <w:szCs w:val="12"/>
              </w:rPr>
              <w:t>0,000</w:t>
            </w:r>
          </w:p>
        </w:tc>
      </w:tr>
      <w:tr w:rsidR="001C56BD" w:rsidRPr="00305460" w14:paraId="3727E3EB" w14:textId="77777777" w:rsidTr="008A5C11">
        <w:trPr>
          <w:trHeight w:val="897"/>
        </w:trPr>
        <w:tc>
          <w:tcPr>
            <w:tcW w:w="86" w:type="pct"/>
            <w:shd w:val="clear" w:color="auto" w:fill="auto"/>
            <w:tcMar>
              <w:left w:w="17" w:type="dxa"/>
              <w:right w:w="17" w:type="dxa"/>
            </w:tcMar>
            <w:vAlign w:val="center"/>
          </w:tcPr>
          <w:p w14:paraId="78AADEB4" w14:textId="77777777" w:rsidR="001C56BD" w:rsidRPr="00305460" w:rsidRDefault="001C56BD" w:rsidP="008A5C11">
            <w:pPr>
              <w:jc w:val="center"/>
              <w:rPr>
                <w:bCs/>
                <w:sz w:val="12"/>
                <w:szCs w:val="12"/>
              </w:rPr>
            </w:pPr>
            <w:r w:rsidRPr="00305460">
              <w:rPr>
                <w:bCs/>
                <w:sz w:val="12"/>
                <w:szCs w:val="12"/>
              </w:rPr>
              <w:t>1</w:t>
            </w:r>
          </w:p>
        </w:tc>
        <w:tc>
          <w:tcPr>
            <w:tcW w:w="295" w:type="pct"/>
            <w:shd w:val="clear" w:color="auto" w:fill="auto"/>
            <w:tcMar>
              <w:left w:w="17" w:type="dxa"/>
              <w:right w:w="17" w:type="dxa"/>
            </w:tcMar>
            <w:vAlign w:val="center"/>
          </w:tcPr>
          <w:p w14:paraId="4E2EA73C" w14:textId="77777777" w:rsidR="001C56BD" w:rsidRPr="00305460" w:rsidRDefault="001C56BD" w:rsidP="008A5C11">
            <w:pPr>
              <w:jc w:val="center"/>
              <w:rPr>
                <w:bCs/>
                <w:sz w:val="12"/>
                <w:szCs w:val="12"/>
              </w:rPr>
            </w:pPr>
            <w:r w:rsidRPr="00305460">
              <w:rPr>
                <w:bCs/>
                <w:sz w:val="12"/>
                <w:szCs w:val="12"/>
              </w:rPr>
              <w:t>2</w:t>
            </w:r>
          </w:p>
        </w:tc>
        <w:tc>
          <w:tcPr>
            <w:tcW w:w="307" w:type="pct"/>
            <w:shd w:val="clear" w:color="auto" w:fill="auto"/>
            <w:tcMar>
              <w:left w:w="17" w:type="dxa"/>
              <w:right w:w="17" w:type="dxa"/>
            </w:tcMar>
            <w:vAlign w:val="center"/>
          </w:tcPr>
          <w:p w14:paraId="6ED28EC6" w14:textId="77777777" w:rsidR="001C56BD" w:rsidRPr="00305460" w:rsidRDefault="001C56BD" w:rsidP="008A5C11">
            <w:pPr>
              <w:jc w:val="center"/>
              <w:rPr>
                <w:bCs/>
                <w:sz w:val="12"/>
                <w:szCs w:val="12"/>
              </w:rPr>
            </w:pPr>
            <w:r w:rsidRPr="00305460">
              <w:rPr>
                <w:bCs/>
                <w:sz w:val="12"/>
                <w:szCs w:val="12"/>
              </w:rPr>
              <w:t>3</w:t>
            </w:r>
          </w:p>
        </w:tc>
        <w:tc>
          <w:tcPr>
            <w:tcW w:w="280" w:type="pct"/>
            <w:shd w:val="clear" w:color="auto" w:fill="auto"/>
            <w:tcMar>
              <w:left w:w="17" w:type="dxa"/>
              <w:right w:w="17" w:type="dxa"/>
            </w:tcMar>
            <w:vAlign w:val="center"/>
          </w:tcPr>
          <w:p w14:paraId="1EBC23F0" w14:textId="77777777" w:rsidR="001C56BD" w:rsidRPr="00305460" w:rsidRDefault="001C56BD" w:rsidP="008A5C11">
            <w:pPr>
              <w:jc w:val="center"/>
              <w:rPr>
                <w:bCs/>
                <w:sz w:val="12"/>
                <w:szCs w:val="12"/>
              </w:rPr>
            </w:pPr>
            <w:r w:rsidRPr="00305460">
              <w:rPr>
                <w:bCs/>
                <w:sz w:val="12"/>
                <w:szCs w:val="12"/>
              </w:rPr>
              <w:t>4</w:t>
            </w:r>
          </w:p>
        </w:tc>
        <w:tc>
          <w:tcPr>
            <w:tcW w:w="289" w:type="pct"/>
            <w:shd w:val="clear" w:color="auto" w:fill="auto"/>
            <w:tcMar>
              <w:left w:w="17" w:type="dxa"/>
              <w:right w:w="17" w:type="dxa"/>
            </w:tcMar>
            <w:vAlign w:val="center"/>
          </w:tcPr>
          <w:p w14:paraId="32BB7825" w14:textId="77777777" w:rsidR="001C56BD" w:rsidRPr="00305460" w:rsidRDefault="001C56BD" w:rsidP="008A5C11">
            <w:pPr>
              <w:jc w:val="center"/>
              <w:rPr>
                <w:bCs/>
                <w:sz w:val="12"/>
                <w:szCs w:val="12"/>
              </w:rPr>
            </w:pPr>
            <w:r w:rsidRPr="00305460">
              <w:rPr>
                <w:bCs/>
                <w:sz w:val="12"/>
                <w:szCs w:val="12"/>
              </w:rPr>
              <w:t>5</w:t>
            </w:r>
          </w:p>
        </w:tc>
        <w:tc>
          <w:tcPr>
            <w:tcW w:w="137" w:type="pct"/>
            <w:shd w:val="clear" w:color="auto" w:fill="auto"/>
            <w:tcMar>
              <w:left w:w="17" w:type="dxa"/>
              <w:right w:w="17" w:type="dxa"/>
            </w:tcMar>
            <w:vAlign w:val="center"/>
          </w:tcPr>
          <w:p w14:paraId="5CFCE1A1" w14:textId="77777777" w:rsidR="001C56BD" w:rsidRPr="00305460" w:rsidRDefault="001C56BD" w:rsidP="008A5C11">
            <w:pPr>
              <w:jc w:val="center"/>
              <w:rPr>
                <w:bCs/>
                <w:sz w:val="12"/>
                <w:szCs w:val="12"/>
              </w:rPr>
            </w:pPr>
            <w:r w:rsidRPr="00305460">
              <w:rPr>
                <w:bCs/>
                <w:sz w:val="12"/>
                <w:szCs w:val="12"/>
              </w:rPr>
              <w:t>6</w:t>
            </w:r>
          </w:p>
        </w:tc>
        <w:tc>
          <w:tcPr>
            <w:tcW w:w="202" w:type="pct"/>
            <w:shd w:val="clear" w:color="auto" w:fill="auto"/>
            <w:tcMar>
              <w:left w:w="17" w:type="dxa"/>
              <w:right w:w="17" w:type="dxa"/>
            </w:tcMar>
            <w:vAlign w:val="center"/>
          </w:tcPr>
          <w:p w14:paraId="6C68D48C" w14:textId="77777777" w:rsidR="001C56BD" w:rsidRPr="00305460" w:rsidRDefault="001C56BD" w:rsidP="008A5C11">
            <w:pPr>
              <w:jc w:val="center"/>
              <w:rPr>
                <w:bCs/>
                <w:sz w:val="12"/>
                <w:szCs w:val="12"/>
              </w:rPr>
            </w:pPr>
            <w:r w:rsidRPr="00305460">
              <w:rPr>
                <w:bCs/>
                <w:sz w:val="12"/>
                <w:szCs w:val="12"/>
              </w:rPr>
              <w:t>7</w:t>
            </w:r>
          </w:p>
        </w:tc>
        <w:tc>
          <w:tcPr>
            <w:tcW w:w="244" w:type="pct"/>
            <w:shd w:val="clear" w:color="auto" w:fill="auto"/>
            <w:tcMar>
              <w:left w:w="17" w:type="dxa"/>
              <w:right w:w="17" w:type="dxa"/>
            </w:tcMar>
            <w:vAlign w:val="center"/>
          </w:tcPr>
          <w:p w14:paraId="0CAEF0C1" w14:textId="77777777" w:rsidR="001C56BD" w:rsidRPr="00305460" w:rsidRDefault="001C56BD" w:rsidP="008A5C11">
            <w:pPr>
              <w:jc w:val="center"/>
              <w:rPr>
                <w:bCs/>
                <w:sz w:val="12"/>
                <w:szCs w:val="12"/>
              </w:rPr>
            </w:pPr>
            <w:r w:rsidRPr="00305460">
              <w:rPr>
                <w:bCs/>
                <w:sz w:val="12"/>
                <w:szCs w:val="12"/>
              </w:rPr>
              <w:t>8</w:t>
            </w:r>
          </w:p>
        </w:tc>
        <w:tc>
          <w:tcPr>
            <w:tcW w:w="140" w:type="pct"/>
            <w:shd w:val="clear" w:color="auto" w:fill="auto"/>
            <w:tcMar>
              <w:left w:w="17" w:type="dxa"/>
              <w:right w:w="17" w:type="dxa"/>
            </w:tcMar>
            <w:vAlign w:val="center"/>
          </w:tcPr>
          <w:p w14:paraId="2E56D330" w14:textId="77777777" w:rsidR="001C56BD" w:rsidRPr="00305460" w:rsidRDefault="001C56BD" w:rsidP="008A5C11">
            <w:pPr>
              <w:jc w:val="center"/>
              <w:rPr>
                <w:bCs/>
                <w:sz w:val="12"/>
                <w:szCs w:val="12"/>
              </w:rPr>
            </w:pPr>
            <w:r w:rsidRPr="00305460">
              <w:rPr>
                <w:bCs/>
                <w:sz w:val="12"/>
                <w:szCs w:val="12"/>
              </w:rPr>
              <w:t>9</w:t>
            </w:r>
          </w:p>
        </w:tc>
        <w:tc>
          <w:tcPr>
            <w:tcW w:w="140" w:type="pct"/>
            <w:shd w:val="clear" w:color="auto" w:fill="auto"/>
            <w:tcMar>
              <w:left w:w="17" w:type="dxa"/>
              <w:right w:w="17" w:type="dxa"/>
            </w:tcMar>
            <w:vAlign w:val="center"/>
          </w:tcPr>
          <w:p w14:paraId="53F09F52" w14:textId="77777777" w:rsidR="001C56BD" w:rsidRPr="00305460" w:rsidRDefault="001C56BD" w:rsidP="008A5C11">
            <w:pPr>
              <w:jc w:val="center"/>
              <w:rPr>
                <w:bCs/>
                <w:sz w:val="12"/>
                <w:szCs w:val="12"/>
              </w:rPr>
            </w:pPr>
            <w:r w:rsidRPr="00305460">
              <w:rPr>
                <w:bCs/>
                <w:sz w:val="12"/>
                <w:szCs w:val="12"/>
              </w:rPr>
              <w:t>10</w:t>
            </w:r>
          </w:p>
        </w:tc>
        <w:tc>
          <w:tcPr>
            <w:tcW w:w="239" w:type="pct"/>
            <w:gridSpan w:val="3"/>
            <w:shd w:val="clear" w:color="auto" w:fill="auto"/>
            <w:tcMar>
              <w:left w:w="17" w:type="dxa"/>
              <w:right w:w="17" w:type="dxa"/>
            </w:tcMar>
            <w:vAlign w:val="center"/>
          </w:tcPr>
          <w:p w14:paraId="511CE02F" w14:textId="77777777" w:rsidR="001C56BD" w:rsidRPr="00305460" w:rsidRDefault="001C56BD" w:rsidP="008A5C11">
            <w:pPr>
              <w:jc w:val="center"/>
              <w:rPr>
                <w:bCs/>
                <w:sz w:val="12"/>
                <w:szCs w:val="12"/>
              </w:rPr>
            </w:pPr>
            <w:r w:rsidRPr="00305460">
              <w:rPr>
                <w:bCs/>
                <w:sz w:val="12"/>
                <w:szCs w:val="12"/>
              </w:rPr>
              <w:t>11</w:t>
            </w:r>
          </w:p>
        </w:tc>
        <w:tc>
          <w:tcPr>
            <w:tcW w:w="196" w:type="pct"/>
            <w:gridSpan w:val="3"/>
            <w:shd w:val="clear" w:color="auto" w:fill="auto"/>
            <w:tcMar>
              <w:left w:w="17" w:type="dxa"/>
              <w:right w:w="17" w:type="dxa"/>
            </w:tcMar>
            <w:vAlign w:val="center"/>
          </w:tcPr>
          <w:p w14:paraId="5BD14B48" w14:textId="77777777" w:rsidR="001C56BD" w:rsidRPr="00305460" w:rsidRDefault="001C56BD" w:rsidP="008A5C11">
            <w:pPr>
              <w:jc w:val="center"/>
              <w:rPr>
                <w:bCs/>
                <w:sz w:val="12"/>
                <w:szCs w:val="12"/>
              </w:rPr>
            </w:pPr>
            <w:r w:rsidRPr="00305460">
              <w:rPr>
                <w:bCs/>
                <w:sz w:val="12"/>
                <w:szCs w:val="12"/>
              </w:rPr>
              <w:t>12</w:t>
            </w:r>
          </w:p>
        </w:tc>
        <w:tc>
          <w:tcPr>
            <w:tcW w:w="216" w:type="pct"/>
            <w:gridSpan w:val="3"/>
            <w:shd w:val="clear" w:color="auto" w:fill="auto"/>
            <w:tcMar>
              <w:left w:w="17" w:type="dxa"/>
              <w:right w:w="17" w:type="dxa"/>
            </w:tcMar>
            <w:vAlign w:val="center"/>
          </w:tcPr>
          <w:p w14:paraId="0741EBB1" w14:textId="77777777" w:rsidR="001C56BD" w:rsidRPr="00305460" w:rsidRDefault="001C56BD" w:rsidP="008A5C11">
            <w:pPr>
              <w:jc w:val="center"/>
              <w:rPr>
                <w:bCs/>
                <w:sz w:val="12"/>
                <w:szCs w:val="12"/>
              </w:rPr>
            </w:pPr>
            <w:r w:rsidRPr="00305460">
              <w:rPr>
                <w:bCs/>
                <w:sz w:val="12"/>
                <w:szCs w:val="12"/>
              </w:rPr>
              <w:t>13</w:t>
            </w:r>
          </w:p>
        </w:tc>
        <w:tc>
          <w:tcPr>
            <w:tcW w:w="179" w:type="pct"/>
            <w:gridSpan w:val="2"/>
            <w:shd w:val="clear" w:color="auto" w:fill="auto"/>
            <w:tcMar>
              <w:left w:w="17" w:type="dxa"/>
              <w:right w:w="17" w:type="dxa"/>
            </w:tcMar>
            <w:vAlign w:val="center"/>
          </w:tcPr>
          <w:p w14:paraId="06FB9350" w14:textId="77777777" w:rsidR="001C56BD" w:rsidRPr="00305460" w:rsidRDefault="001C56BD" w:rsidP="008A5C11">
            <w:pPr>
              <w:jc w:val="center"/>
              <w:rPr>
                <w:bCs/>
                <w:sz w:val="12"/>
                <w:szCs w:val="12"/>
              </w:rPr>
            </w:pPr>
            <w:r w:rsidRPr="00305460">
              <w:rPr>
                <w:bCs/>
                <w:sz w:val="12"/>
                <w:szCs w:val="12"/>
              </w:rPr>
              <w:t>14</w:t>
            </w:r>
          </w:p>
        </w:tc>
        <w:tc>
          <w:tcPr>
            <w:tcW w:w="222" w:type="pct"/>
            <w:gridSpan w:val="2"/>
            <w:shd w:val="clear" w:color="auto" w:fill="auto"/>
            <w:tcMar>
              <w:left w:w="17" w:type="dxa"/>
              <w:right w:w="17" w:type="dxa"/>
            </w:tcMar>
            <w:vAlign w:val="center"/>
          </w:tcPr>
          <w:p w14:paraId="7C4F0567" w14:textId="77777777" w:rsidR="001C56BD" w:rsidRPr="00305460" w:rsidRDefault="001C56BD" w:rsidP="008A5C11">
            <w:pPr>
              <w:jc w:val="center"/>
              <w:rPr>
                <w:bCs/>
                <w:sz w:val="12"/>
                <w:szCs w:val="12"/>
              </w:rPr>
            </w:pPr>
            <w:r w:rsidRPr="00305460">
              <w:rPr>
                <w:bCs/>
                <w:sz w:val="12"/>
                <w:szCs w:val="12"/>
              </w:rPr>
              <w:t>15</w:t>
            </w:r>
          </w:p>
        </w:tc>
        <w:tc>
          <w:tcPr>
            <w:tcW w:w="213" w:type="pct"/>
            <w:tcMar>
              <w:left w:w="17" w:type="dxa"/>
              <w:right w:w="17" w:type="dxa"/>
            </w:tcMar>
            <w:vAlign w:val="center"/>
          </w:tcPr>
          <w:p w14:paraId="7E8F3A19" w14:textId="77777777" w:rsidR="001C56BD" w:rsidRPr="00305460" w:rsidRDefault="001C56BD" w:rsidP="008A5C11">
            <w:pPr>
              <w:jc w:val="center"/>
              <w:rPr>
                <w:bCs/>
                <w:sz w:val="12"/>
                <w:szCs w:val="12"/>
              </w:rPr>
            </w:pPr>
            <w:r w:rsidRPr="00305460">
              <w:rPr>
                <w:bCs/>
                <w:sz w:val="12"/>
                <w:szCs w:val="12"/>
              </w:rPr>
              <w:t>16</w:t>
            </w:r>
          </w:p>
        </w:tc>
        <w:tc>
          <w:tcPr>
            <w:tcW w:w="218" w:type="pct"/>
            <w:tcMar>
              <w:left w:w="17" w:type="dxa"/>
              <w:right w:w="17" w:type="dxa"/>
            </w:tcMar>
            <w:vAlign w:val="center"/>
          </w:tcPr>
          <w:p w14:paraId="57B4D0AF" w14:textId="77777777" w:rsidR="001C56BD" w:rsidRPr="00305460" w:rsidRDefault="001C56BD" w:rsidP="008A5C11">
            <w:pPr>
              <w:jc w:val="center"/>
              <w:rPr>
                <w:bCs/>
                <w:sz w:val="12"/>
                <w:szCs w:val="12"/>
              </w:rPr>
            </w:pPr>
            <w:r w:rsidRPr="00305460">
              <w:rPr>
                <w:bCs/>
                <w:sz w:val="12"/>
                <w:szCs w:val="12"/>
              </w:rPr>
              <w:t>17</w:t>
            </w:r>
          </w:p>
        </w:tc>
        <w:tc>
          <w:tcPr>
            <w:tcW w:w="218" w:type="pct"/>
            <w:tcMar>
              <w:left w:w="17" w:type="dxa"/>
              <w:right w:w="17" w:type="dxa"/>
            </w:tcMar>
            <w:vAlign w:val="center"/>
          </w:tcPr>
          <w:p w14:paraId="4EB6B04D" w14:textId="77777777" w:rsidR="001C56BD" w:rsidRPr="00305460" w:rsidRDefault="001C56BD" w:rsidP="008A5C11">
            <w:pPr>
              <w:jc w:val="center"/>
              <w:rPr>
                <w:bCs/>
                <w:sz w:val="12"/>
                <w:szCs w:val="12"/>
              </w:rPr>
            </w:pPr>
            <w:r w:rsidRPr="00305460">
              <w:rPr>
                <w:bCs/>
                <w:sz w:val="12"/>
                <w:szCs w:val="12"/>
              </w:rPr>
              <w:t>18</w:t>
            </w:r>
          </w:p>
        </w:tc>
        <w:tc>
          <w:tcPr>
            <w:tcW w:w="218" w:type="pct"/>
            <w:tcMar>
              <w:left w:w="17" w:type="dxa"/>
              <w:right w:w="17" w:type="dxa"/>
            </w:tcMar>
            <w:vAlign w:val="center"/>
          </w:tcPr>
          <w:p w14:paraId="519654EF" w14:textId="77777777" w:rsidR="001C56BD" w:rsidRPr="00305460" w:rsidRDefault="001C56BD" w:rsidP="008A5C11">
            <w:pPr>
              <w:jc w:val="center"/>
              <w:rPr>
                <w:bCs/>
                <w:sz w:val="12"/>
                <w:szCs w:val="12"/>
              </w:rPr>
            </w:pPr>
            <w:r w:rsidRPr="00305460">
              <w:rPr>
                <w:bCs/>
                <w:sz w:val="12"/>
                <w:szCs w:val="12"/>
              </w:rPr>
              <w:t>19</w:t>
            </w:r>
          </w:p>
        </w:tc>
        <w:tc>
          <w:tcPr>
            <w:tcW w:w="218" w:type="pct"/>
            <w:gridSpan w:val="2"/>
            <w:tcMar>
              <w:left w:w="17" w:type="dxa"/>
              <w:right w:w="17" w:type="dxa"/>
            </w:tcMar>
            <w:vAlign w:val="center"/>
          </w:tcPr>
          <w:p w14:paraId="0F45424C" w14:textId="77777777" w:rsidR="001C56BD" w:rsidRPr="00305460" w:rsidRDefault="001C56BD" w:rsidP="008A5C11">
            <w:pPr>
              <w:jc w:val="center"/>
              <w:rPr>
                <w:bCs/>
                <w:sz w:val="12"/>
                <w:szCs w:val="12"/>
              </w:rPr>
            </w:pPr>
            <w:r w:rsidRPr="00305460">
              <w:rPr>
                <w:bCs/>
                <w:sz w:val="12"/>
                <w:szCs w:val="12"/>
              </w:rPr>
              <w:t>20</w:t>
            </w:r>
          </w:p>
        </w:tc>
        <w:tc>
          <w:tcPr>
            <w:tcW w:w="172" w:type="pct"/>
            <w:gridSpan w:val="2"/>
            <w:tcMar>
              <w:left w:w="17" w:type="dxa"/>
              <w:right w:w="17" w:type="dxa"/>
            </w:tcMar>
            <w:vAlign w:val="center"/>
          </w:tcPr>
          <w:p w14:paraId="6F0D1F8B" w14:textId="77777777" w:rsidR="001C56BD" w:rsidRPr="00305460" w:rsidRDefault="001C56BD" w:rsidP="008A5C11">
            <w:pPr>
              <w:jc w:val="center"/>
              <w:rPr>
                <w:bCs/>
                <w:sz w:val="12"/>
                <w:szCs w:val="12"/>
              </w:rPr>
            </w:pPr>
            <w:r w:rsidRPr="00305460">
              <w:rPr>
                <w:bCs/>
                <w:sz w:val="12"/>
                <w:szCs w:val="12"/>
              </w:rPr>
              <w:t>21</w:t>
            </w:r>
          </w:p>
        </w:tc>
        <w:tc>
          <w:tcPr>
            <w:tcW w:w="219" w:type="pct"/>
            <w:tcMar>
              <w:left w:w="17" w:type="dxa"/>
              <w:right w:w="17" w:type="dxa"/>
            </w:tcMar>
            <w:vAlign w:val="center"/>
          </w:tcPr>
          <w:p w14:paraId="658011B4" w14:textId="77777777" w:rsidR="001C56BD" w:rsidRPr="00305460" w:rsidRDefault="001C56BD" w:rsidP="008A5C11">
            <w:pPr>
              <w:jc w:val="center"/>
              <w:rPr>
                <w:bCs/>
                <w:sz w:val="12"/>
                <w:szCs w:val="12"/>
              </w:rPr>
            </w:pPr>
            <w:r w:rsidRPr="00305460">
              <w:rPr>
                <w:bCs/>
                <w:sz w:val="12"/>
                <w:szCs w:val="12"/>
              </w:rPr>
              <w:t>22</w:t>
            </w:r>
          </w:p>
        </w:tc>
        <w:tc>
          <w:tcPr>
            <w:tcW w:w="174" w:type="pct"/>
            <w:tcMar>
              <w:left w:w="17" w:type="dxa"/>
              <w:right w:w="17" w:type="dxa"/>
            </w:tcMar>
            <w:vAlign w:val="center"/>
          </w:tcPr>
          <w:p w14:paraId="7D340A1E" w14:textId="77777777" w:rsidR="001C56BD" w:rsidRPr="00305460" w:rsidRDefault="001C56BD" w:rsidP="008A5C11">
            <w:pPr>
              <w:jc w:val="center"/>
              <w:rPr>
                <w:bCs/>
                <w:sz w:val="12"/>
                <w:szCs w:val="12"/>
              </w:rPr>
            </w:pPr>
            <w:r w:rsidRPr="00305460">
              <w:rPr>
                <w:bCs/>
                <w:sz w:val="12"/>
                <w:szCs w:val="12"/>
              </w:rPr>
              <w:t>23</w:t>
            </w:r>
          </w:p>
        </w:tc>
        <w:tc>
          <w:tcPr>
            <w:tcW w:w="176" w:type="pct"/>
            <w:tcMar>
              <w:left w:w="17" w:type="dxa"/>
              <w:right w:w="17" w:type="dxa"/>
            </w:tcMar>
            <w:vAlign w:val="center"/>
          </w:tcPr>
          <w:p w14:paraId="50751809" w14:textId="77777777" w:rsidR="001C56BD" w:rsidRPr="00305460" w:rsidRDefault="001C56BD" w:rsidP="008A5C11">
            <w:pPr>
              <w:jc w:val="center"/>
              <w:rPr>
                <w:bCs/>
                <w:sz w:val="12"/>
                <w:szCs w:val="12"/>
              </w:rPr>
            </w:pPr>
            <w:r w:rsidRPr="00305460">
              <w:rPr>
                <w:bCs/>
                <w:sz w:val="12"/>
                <w:szCs w:val="12"/>
              </w:rPr>
              <w:t>24</w:t>
            </w:r>
          </w:p>
        </w:tc>
      </w:tr>
      <w:tr w:rsidR="001C56BD" w:rsidRPr="00305460" w14:paraId="77EFEA11" w14:textId="77777777" w:rsidTr="008A5C11">
        <w:trPr>
          <w:trHeight w:val="897"/>
        </w:trPr>
        <w:tc>
          <w:tcPr>
            <w:tcW w:w="86" w:type="pct"/>
            <w:shd w:val="clear" w:color="auto" w:fill="auto"/>
            <w:tcMar>
              <w:left w:w="17" w:type="dxa"/>
              <w:right w:w="17" w:type="dxa"/>
            </w:tcMar>
            <w:vAlign w:val="center"/>
          </w:tcPr>
          <w:p w14:paraId="105F6F43" w14:textId="77777777" w:rsidR="001C56BD" w:rsidRPr="00305460" w:rsidRDefault="001C56BD" w:rsidP="008A5C11">
            <w:pPr>
              <w:jc w:val="center"/>
              <w:rPr>
                <w:sz w:val="12"/>
                <w:szCs w:val="12"/>
              </w:rPr>
            </w:pPr>
            <w:r w:rsidRPr="00305460">
              <w:rPr>
                <w:sz w:val="12"/>
                <w:szCs w:val="12"/>
              </w:rPr>
              <w:t>3.1.17.</w:t>
            </w:r>
          </w:p>
        </w:tc>
        <w:tc>
          <w:tcPr>
            <w:tcW w:w="295" w:type="pct"/>
            <w:shd w:val="clear" w:color="auto" w:fill="auto"/>
            <w:tcMar>
              <w:left w:w="17" w:type="dxa"/>
              <w:right w:w="17" w:type="dxa"/>
            </w:tcMar>
            <w:vAlign w:val="center"/>
          </w:tcPr>
          <w:p w14:paraId="383C1C5B" w14:textId="77777777" w:rsidR="001C56BD" w:rsidRPr="00305460" w:rsidRDefault="001C56BD" w:rsidP="008A5C11">
            <w:pPr>
              <w:rPr>
                <w:sz w:val="12"/>
                <w:szCs w:val="12"/>
              </w:rPr>
            </w:pPr>
            <w:r w:rsidRPr="00305460">
              <w:rPr>
                <w:sz w:val="12"/>
                <w:szCs w:val="12"/>
              </w:rPr>
              <w:t>Реконструкция тепловой сети с реестровым номером 777203</w:t>
            </w:r>
          </w:p>
        </w:tc>
        <w:tc>
          <w:tcPr>
            <w:tcW w:w="307" w:type="pct"/>
            <w:shd w:val="clear" w:color="000000" w:fill="FFFFFF"/>
            <w:tcMar>
              <w:left w:w="17" w:type="dxa"/>
              <w:right w:w="17" w:type="dxa"/>
            </w:tcMar>
            <w:vAlign w:val="center"/>
          </w:tcPr>
          <w:p w14:paraId="75189FAE" w14:textId="77777777" w:rsidR="001C56BD" w:rsidRPr="00305460" w:rsidRDefault="001C56BD" w:rsidP="008A5C11">
            <w:pPr>
              <w:jc w:val="center"/>
              <w:rPr>
                <w:sz w:val="12"/>
                <w:szCs w:val="12"/>
              </w:rPr>
            </w:pPr>
            <w:r w:rsidRPr="00305460">
              <w:rPr>
                <w:color w:val="000000"/>
                <w:sz w:val="12"/>
                <w:szCs w:val="12"/>
              </w:rPr>
              <w:t>Повышение надежности услуг теплоснабжения, повышение энергетической эффективности</w:t>
            </w:r>
          </w:p>
        </w:tc>
        <w:tc>
          <w:tcPr>
            <w:tcW w:w="280" w:type="pct"/>
            <w:shd w:val="clear" w:color="auto" w:fill="auto"/>
            <w:tcMar>
              <w:left w:w="17" w:type="dxa"/>
              <w:right w:w="17" w:type="dxa"/>
            </w:tcMar>
            <w:vAlign w:val="center"/>
          </w:tcPr>
          <w:p w14:paraId="4CB2C122" w14:textId="77777777" w:rsidR="001C56BD" w:rsidRPr="00305460" w:rsidRDefault="001C56BD" w:rsidP="008A5C11">
            <w:pPr>
              <w:jc w:val="center"/>
              <w:rPr>
                <w:sz w:val="12"/>
                <w:szCs w:val="12"/>
              </w:rPr>
            </w:pPr>
            <w:r w:rsidRPr="00305460">
              <w:rPr>
                <w:sz w:val="12"/>
                <w:szCs w:val="12"/>
              </w:rPr>
              <w:t>Кемеровский городской округ, 20 м западнее жилого дома №28 по пр. Ленинградский</w:t>
            </w:r>
          </w:p>
        </w:tc>
        <w:tc>
          <w:tcPr>
            <w:tcW w:w="289" w:type="pct"/>
            <w:shd w:val="clear" w:color="auto" w:fill="auto"/>
            <w:tcMar>
              <w:left w:w="17" w:type="dxa"/>
              <w:right w:w="17" w:type="dxa"/>
            </w:tcMar>
            <w:vAlign w:val="center"/>
          </w:tcPr>
          <w:p w14:paraId="00A816FD" w14:textId="77777777" w:rsidR="001C56BD" w:rsidRPr="00305460" w:rsidRDefault="001C56BD" w:rsidP="008A5C11">
            <w:pPr>
              <w:jc w:val="center"/>
              <w:rPr>
                <w:sz w:val="12"/>
                <w:szCs w:val="12"/>
              </w:rPr>
            </w:pPr>
            <w:r w:rsidRPr="00305460">
              <w:rPr>
                <w:color w:val="000000"/>
                <w:sz w:val="12"/>
                <w:szCs w:val="12"/>
              </w:rPr>
              <w:t>Технические характеристики</w:t>
            </w:r>
          </w:p>
        </w:tc>
        <w:tc>
          <w:tcPr>
            <w:tcW w:w="137" w:type="pct"/>
            <w:shd w:val="clear" w:color="auto" w:fill="auto"/>
            <w:tcMar>
              <w:left w:w="17" w:type="dxa"/>
              <w:right w:w="17" w:type="dxa"/>
            </w:tcMar>
            <w:vAlign w:val="center"/>
          </w:tcPr>
          <w:p w14:paraId="4B868F06" w14:textId="77777777" w:rsidR="001C56BD" w:rsidRPr="00305460" w:rsidRDefault="001C56BD" w:rsidP="008A5C11">
            <w:pPr>
              <w:jc w:val="center"/>
              <w:rPr>
                <w:color w:val="000000"/>
                <w:sz w:val="12"/>
                <w:szCs w:val="12"/>
              </w:rPr>
            </w:pPr>
          </w:p>
        </w:tc>
        <w:tc>
          <w:tcPr>
            <w:tcW w:w="202" w:type="pct"/>
            <w:shd w:val="clear" w:color="auto" w:fill="auto"/>
            <w:tcMar>
              <w:left w:w="17" w:type="dxa"/>
              <w:right w:w="17" w:type="dxa"/>
            </w:tcMar>
            <w:vAlign w:val="center"/>
          </w:tcPr>
          <w:p w14:paraId="0429ABFB" w14:textId="77777777" w:rsidR="001C56BD" w:rsidRPr="00305460" w:rsidRDefault="001C56BD" w:rsidP="008A5C11">
            <w:pPr>
              <w:jc w:val="center"/>
              <w:rPr>
                <w:sz w:val="12"/>
                <w:szCs w:val="12"/>
              </w:rPr>
            </w:pPr>
            <w:r w:rsidRPr="00305460">
              <w:rPr>
                <w:sz w:val="12"/>
                <w:szCs w:val="12"/>
              </w:rPr>
              <w:t xml:space="preserve">Канал-ж/б лотки (непроходной канал), опоры </w:t>
            </w:r>
            <w:proofErr w:type="gramStart"/>
            <w:r w:rsidRPr="00305460">
              <w:rPr>
                <w:sz w:val="12"/>
                <w:szCs w:val="12"/>
              </w:rPr>
              <w:t>привар-ные</w:t>
            </w:r>
            <w:proofErr w:type="gramEnd"/>
            <w:r w:rsidRPr="00305460">
              <w:rPr>
                <w:sz w:val="12"/>
                <w:szCs w:val="12"/>
              </w:rPr>
              <w:t xml:space="preserve">, запорная арматура - стальная клиновая, антикоррозийная защита-лак БТ, труба-сталь 20, изоляция - мин. маты       </w:t>
            </w:r>
          </w:p>
        </w:tc>
        <w:tc>
          <w:tcPr>
            <w:tcW w:w="244" w:type="pct"/>
            <w:shd w:val="clear" w:color="auto" w:fill="auto"/>
            <w:tcMar>
              <w:left w:w="17" w:type="dxa"/>
              <w:right w:w="17" w:type="dxa"/>
            </w:tcMar>
            <w:vAlign w:val="center"/>
          </w:tcPr>
          <w:p w14:paraId="4DB7701C" w14:textId="77777777" w:rsidR="001C56BD" w:rsidRPr="00305460" w:rsidRDefault="001C56BD" w:rsidP="008A5C11">
            <w:pPr>
              <w:jc w:val="center"/>
              <w:rPr>
                <w:sz w:val="12"/>
                <w:szCs w:val="12"/>
              </w:rPr>
            </w:pPr>
            <w:r w:rsidRPr="00305460">
              <w:rPr>
                <w:sz w:val="12"/>
                <w:szCs w:val="12"/>
              </w:rPr>
              <w:t xml:space="preserve">Канал-ж/б лотки (непроходной канал), опоры-хомутовые с диэлектрической прокладкой, запорная арматура - краны шаровые, антикоррозийная защита-мастика Вектор 1025, 1214, труба-сталь 09Г2С, изоляция - маты прошивные, </w:t>
            </w:r>
            <w:proofErr w:type="gramStart"/>
            <w:r w:rsidRPr="00305460">
              <w:rPr>
                <w:sz w:val="12"/>
                <w:szCs w:val="12"/>
              </w:rPr>
              <w:t>стеклоплас-тик</w:t>
            </w:r>
            <w:proofErr w:type="gramEnd"/>
            <w:r w:rsidRPr="00305460">
              <w:rPr>
                <w:sz w:val="12"/>
                <w:szCs w:val="12"/>
              </w:rPr>
              <w:t xml:space="preserve">  </w:t>
            </w:r>
          </w:p>
        </w:tc>
        <w:tc>
          <w:tcPr>
            <w:tcW w:w="140" w:type="pct"/>
            <w:shd w:val="clear" w:color="auto" w:fill="auto"/>
            <w:tcMar>
              <w:left w:w="17" w:type="dxa"/>
              <w:right w:w="17" w:type="dxa"/>
            </w:tcMar>
            <w:vAlign w:val="center"/>
          </w:tcPr>
          <w:p w14:paraId="1154B74B" w14:textId="77777777" w:rsidR="001C56BD" w:rsidRPr="00305460" w:rsidRDefault="001C56BD" w:rsidP="008A5C11">
            <w:pPr>
              <w:jc w:val="center"/>
              <w:rPr>
                <w:sz w:val="12"/>
                <w:szCs w:val="12"/>
              </w:rPr>
            </w:pPr>
            <w:r w:rsidRPr="00305460">
              <w:rPr>
                <w:sz w:val="12"/>
                <w:szCs w:val="12"/>
              </w:rPr>
              <w:t>2026</w:t>
            </w:r>
          </w:p>
        </w:tc>
        <w:tc>
          <w:tcPr>
            <w:tcW w:w="140" w:type="pct"/>
            <w:shd w:val="clear" w:color="auto" w:fill="auto"/>
            <w:tcMar>
              <w:left w:w="17" w:type="dxa"/>
              <w:right w:w="17" w:type="dxa"/>
            </w:tcMar>
            <w:vAlign w:val="center"/>
          </w:tcPr>
          <w:p w14:paraId="7A0878E8" w14:textId="77777777" w:rsidR="001C56BD" w:rsidRPr="00305460" w:rsidRDefault="001C56BD" w:rsidP="008A5C11">
            <w:pPr>
              <w:jc w:val="center"/>
              <w:rPr>
                <w:sz w:val="12"/>
                <w:szCs w:val="12"/>
              </w:rPr>
            </w:pPr>
            <w:r w:rsidRPr="00305460">
              <w:rPr>
                <w:sz w:val="12"/>
                <w:szCs w:val="12"/>
              </w:rPr>
              <w:t>2026</w:t>
            </w:r>
          </w:p>
        </w:tc>
        <w:tc>
          <w:tcPr>
            <w:tcW w:w="239" w:type="pct"/>
            <w:gridSpan w:val="3"/>
            <w:shd w:val="clear" w:color="auto" w:fill="auto"/>
            <w:tcMar>
              <w:left w:w="17" w:type="dxa"/>
              <w:right w:w="17" w:type="dxa"/>
            </w:tcMar>
            <w:vAlign w:val="center"/>
          </w:tcPr>
          <w:p w14:paraId="3213531E" w14:textId="77777777" w:rsidR="001C56BD" w:rsidRPr="00305460" w:rsidRDefault="001C56BD" w:rsidP="008A5C11">
            <w:pPr>
              <w:jc w:val="center"/>
              <w:rPr>
                <w:sz w:val="12"/>
                <w:szCs w:val="12"/>
              </w:rPr>
            </w:pPr>
            <w:r w:rsidRPr="00305460">
              <w:rPr>
                <w:sz w:val="12"/>
                <w:szCs w:val="12"/>
              </w:rPr>
              <w:t>8573,202</w:t>
            </w:r>
          </w:p>
        </w:tc>
        <w:tc>
          <w:tcPr>
            <w:tcW w:w="196" w:type="pct"/>
            <w:gridSpan w:val="3"/>
            <w:shd w:val="clear" w:color="auto" w:fill="auto"/>
            <w:tcMar>
              <w:left w:w="17" w:type="dxa"/>
              <w:right w:w="17" w:type="dxa"/>
            </w:tcMar>
            <w:vAlign w:val="center"/>
          </w:tcPr>
          <w:p w14:paraId="2A688309" w14:textId="77777777" w:rsidR="001C56BD" w:rsidRPr="00305460" w:rsidRDefault="001C56BD" w:rsidP="008A5C11">
            <w:pPr>
              <w:jc w:val="center"/>
              <w:rPr>
                <w:sz w:val="12"/>
                <w:szCs w:val="12"/>
              </w:rPr>
            </w:pPr>
            <w:r w:rsidRPr="00305460">
              <w:rPr>
                <w:sz w:val="12"/>
                <w:szCs w:val="12"/>
              </w:rPr>
              <w:t>0,000</w:t>
            </w:r>
          </w:p>
        </w:tc>
        <w:tc>
          <w:tcPr>
            <w:tcW w:w="216" w:type="pct"/>
            <w:gridSpan w:val="3"/>
            <w:shd w:val="clear" w:color="auto" w:fill="auto"/>
            <w:tcMar>
              <w:left w:w="17" w:type="dxa"/>
              <w:right w:w="17" w:type="dxa"/>
            </w:tcMar>
            <w:vAlign w:val="center"/>
          </w:tcPr>
          <w:p w14:paraId="0677C1A5" w14:textId="77777777" w:rsidR="001C56BD" w:rsidRPr="00305460" w:rsidRDefault="001C56BD" w:rsidP="008A5C11">
            <w:pPr>
              <w:jc w:val="center"/>
              <w:rPr>
                <w:sz w:val="12"/>
                <w:szCs w:val="12"/>
              </w:rPr>
            </w:pPr>
            <w:r w:rsidRPr="00305460">
              <w:rPr>
                <w:sz w:val="12"/>
                <w:szCs w:val="12"/>
              </w:rPr>
              <w:t>0,000</w:t>
            </w:r>
          </w:p>
        </w:tc>
        <w:tc>
          <w:tcPr>
            <w:tcW w:w="179" w:type="pct"/>
            <w:gridSpan w:val="2"/>
            <w:shd w:val="clear" w:color="auto" w:fill="auto"/>
            <w:tcMar>
              <w:left w:w="17" w:type="dxa"/>
              <w:right w:w="17" w:type="dxa"/>
            </w:tcMar>
            <w:vAlign w:val="center"/>
          </w:tcPr>
          <w:p w14:paraId="3B4C9475" w14:textId="77777777" w:rsidR="001C56BD" w:rsidRPr="00305460" w:rsidRDefault="001C56BD" w:rsidP="008A5C11">
            <w:pPr>
              <w:jc w:val="center"/>
              <w:rPr>
                <w:sz w:val="12"/>
                <w:szCs w:val="12"/>
              </w:rPr>
            </w:pPr>
            <w:r w:rsidRPr="00305460">
              <w:rPr>
                <w:sz w:val="12"/>
                <w:szCs w:val="12"/>
              </w:rPr>
              <w:t>0,000</w:t>
            </w:r>
          </w:p>
        </w:tc>
        <w:tc>
          <w:tcPr>
            <w:tcW w:w="222" w:type="pct"/>
            <w:gridSpan w:val="2"/>
            <w:shd w:val="clear" w:color="auto" w:fill="auto"/>
            <w:tcMar>
              <w:left w:w="17" w:type="dxa"/>
              <w:right w:w="17" w:type="dxa"/>
            </w:tcMar>
            <w:vAlign w:val="center"/>
          </w:tcPr>
          <w:p w14:paraId="03E82B38" w14:textId="77777777" w:rsidR="001C56BD" w:rsidRPr="00305460" w:rsidRDefault="001C56BD" w:rsidP="008A5C11">
            <w:pPr>
              <w:jc w:val="center"/>
              <w:rPr>
                <w:sz w:val="12"/>
                <w:szCs w:val="12"/>
              </w:rPr>
            </w:pPr>
            <w:r w:rsidRPr="00305460">
              <w:rPr>
                <w:sz w:val="12"/>
                <w:szCs w:val="12"/>
              </w:rPr>
              <w:t>0,000</w:t>
            </w:r>
          </w:p>
        </w:tc>
        <w:tc>
          <w:tcPr>
            <w:tcW w:w="213" w:type="pct"/>
            <w:shd w:val="clear" w:color="auto" w:fill="auto"/>
            <w:tcMar>
              <w:left w:w="17" w:type="dxa"/>
              <w:right w:w="17" w:type="dxa"/>
            </w:tcMar>
            <w:vAlign w:val="center"/>
          </w:tcPr>
          <w:p w14:paraId="7CCEA73B"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1EF282DD" w14:textId="77777777" w:rsidR="001C56BD" w:rsidRPr="00305460" w:rsidRDefault="001C56BD" w:rsidP="008A5C11">
            <w:pPr>
              <w:jc w:val="center"/>
              <w:rPr>
                <w:sz w:val="12"/>
                <w:szCs w:val="12"/>
              </w:rPr>
            </w:pPr>
            <w:r w:rsidRPr="00305460">
              <w:rPr>
                <w:sz w:val="12"/>
                <w:szCs w:val="12"/>
              </w:rPr>
              <w:t>8573,202</w:t>
            </w:r>
          </w:p>
        </w:tc>
        <w:tc>
          <w:tcPr>
            <w:tcW w:w="218" w:type="pct"/>
            <w:shd w:val="clear" w:color="auto" w:fill="auto"/>
            <w:tcMar>
              <w:left w:w="17" w:type="dxa"/>
              <w:right w:w="17" w:type="dxa"/>
            </w:tcMar>
            <w:vAlign w:val="center"/>
          </w:tcPr>
          <w:p w14:paraId="589318A6"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1E257345" w14:textId="77777777" w:rsidR="001C56BD" w:rsidRPr="00305460" w:rsidRDefault="001C56BD" w:rsidP="008A5C11">
            <w:pPr>
              <w:jc w:val="center"/>
              <w:rPr>
                <w:sz w:val="12"/>
                <w:szCs w:val="12"/>
              </w:rPr>
            </w:pPr>
            <w:r w:rsidRPr="00305460">
              <w:rPr>
                <w:sz w:val="12"/>
                <w:szCs w:val="12"/>
              </w:rPr>
              <w:t>0,000</w:t>
            </w:r>
          </w:p>
        </w:tc>
        <w:tc>
          <w:tcPr>
            <w:tcW w:w="218" w:type="pct"/>
            <w:gridSpan w:val="2"/>
            <w:shd w:val="clear" w:color="auto" w:fill="auto"/>
            <w:tcMar>
              <w:left w:w="17" w:type="dxa"/>
              <w:right w:w="17" w:type="dxa"/>
            </w:tcMar>
            <w:vAlign w:val="center"/>
          </w:tcPr>
          <w:p w14:paraId="1DC3E52D" w14:textId="77777777" w:rsidR="001C56BD" w:rsidRPr="00305460" w:rsidRDefault="001C56BD" w:rsidP="008A5C11">
            <w:pPr>
              <w:jc w:val="center"/>
              <w:rPr>
                <w:sz w:val="12"/>
                <w:szCs w:val="12"/>
              </w:rPr>
            </w:pPr>
            <w:r w:rsidRPr="00305460">
              <w:rPr>
                <w:sz w:val="12"/>
                <w:szCs w:val="12"/>
              </w:rPr>
              <w:t>0,000</w:t>
            </w:r>
          </w:p>
        </w:tc>
        <w:tc>
          <w:tcPr>
            <w:tcW w:w="172" w:type="pct"/>
            <w:gridSpan w:val="2"/>
            <w:shd w:val="clear" w:color="auto" w:fill="auto"/>
            <w:tcMar>
              <w:left w:w="17" w:type="dxa"/>
              <w:right w:w="17" w:type="dxa"/>
            </w:tcMar>
            <w:vAlign w:val="center"/>
          </w:tcPr>
          <w:p w14:paraId="7F3BB148" w14:textId="77777777" w:rsidR="001C56BD" w:rsidRPr="00305460" w:rsidRDefault="001C56BD" w:rsidP="008A5C11">
            <w:pPr>
              <w:jc w:val="center"/>
              <w:rPr>
                <w:sz w:val="12"/>
                <w:szCs w:val="12"/>
              </w:rPr>
            </w:pPr>
            <w:r w:rsidRPr="00305460">
              <w:rPr>
                <w:sz w:val="12"/>
                <w:szCs w:val="12"/>
              </w:rPr>
              <w:t>0,000</w:t>
            </w:r>
          </w:p>
        </w:tc>
        <w:tc>
          <w:tcPr>
            <w:tcW w:w="219" w:type="pct"/>
            <w:shd w:val="clear" w:color="auto" w:fill="auto"/>
            <w:tcMar>
              <w:left w:w="17" w:type="dxa"/>
              <w:right w:w="17" w:type="dxa"/>
            </w:tcMar>
            <w:vAlign w:val="center"/>
          </w:tcPr>
          <w:p w14:paraId="300D115E" w14:textId="77777777" w:rsidR="001C56BD" w:rsidRPr="00305460" w:rsidRDefault="001C56BD" w:rsidP="008A5C11">
            <w:pPr>
              <w:jc w:val="center"/>
              <w:rPr>
                <w:sz w:val="12"/>
                <w:szCs w:val="12"/>
              </w:rPr>
            </w:pPr>
            <w:r w:rsidRPr="00305460">
              <w:rPr>
                <w:sz w:val="12"/>
                <w:szCs w:val="12"/>
              </w:rPr>
              <w:t>0,000</w:t>
            </w:r>
          </w:p>
        </w:tc>
        <w:tc>
          <w:tcPr>
            <w:tcW w:w="174" w:type="pct"/>
            <w:shd w:val="clear" w:color="auto" w:fill="auto"/>
            <w:tcMar>
              <w:left w:w="17" w:type="dxa"/>
              <w:right w:w="17" w:type="dxa"/>
            </w:tcMar>
            <w:vAlign w:val="center"/>
          </w:tcPr>
          <w:p w14:paraId="00600085" w14:textId="77777777" w:rsidR="001C56BD" w:rsidRPr="00305460" w:rsidRDefault="001C56BD" w:rsidP="008A5C11">
            <w:pPr>
              <w:jc w:val="center"/>
              <w:rPr>
                <w:sz w:val="12"/>
                <w:szCs w:val="12"/>
              </w:rPr>
            </w:pPr>
            <w:r w:rsidRPr="00305460">
              <w:rPr>
                <w:sz w:val="12"/>
                <w:szCs w:val="12"/>
              </w:rPr>
              <w:t>0,000</w:t>
            </w:r>
          </w:p>
        </w:tc>
        <w:tc>
          <w:tcPr>
            <w:tcW w:w="176" w:type="pct"/>
            <w:shd w:val="clear" w:color="auto" w:fill="auto"/>
            <w:tcMar>
              <w:left w:w="17" w:type="dxa"/>
              <w:right w:w="17" w:type="dxa"/>
            </w:tcMar>
            <w:vAlign w:val="center"/>
          </w:tcPr>
          <w:p w14:paraId="7E0098B9" w14:textId="77777777" w:rsidR="001C56BD" w:rsidRPr="00305460" w:rsidRDefault="001C56BD" w:rsidP="008A5C11">
            <w:pPr>
              <w:jc w:val="center"/>
              <w:rPr>
                <w:sz w:val="12"/>
                <w:szCs w:val="12"/>
              </w:rPr>
            </w:pPr>
            <w:r w:rsidRPr="00305460">
              <w:rPr>
                <w:sz w:val="12"/>
                <w:szCs w:val="12"/>
              </w:rPr>
              <w:t>0,000</w:t>
            </w:r>
          </w:p>
        </w:tc>
      </w:tr>
      <w:tr w:rsidR="001C56BD" w:rsidRPr="00305460" w14:paraId="566C94B0" w14:textId="77777777" w:rsidTr="008A5C11">
        <w:trPr>
          <w:trHeight w:val="897"/>
        </w:trPr>
        <w:tc>
          <w:tcPr>
            <w:tcW w:w="86" w:type="pct"/>
            <w:shd w:val="clear" w:color="auto" w:fill="auto"/>
            <w:tcMar>
              <w:left w:w="17" w:type="dxa"/>
              <w:right w:w="17" w:type="dxa"/>
            </w:tcMar>
            <w:vAlign w:val="center"/>
          </w:tcPr>
          <w:p w14:paraId="49F375F4" w14:textId="77777777" w:rsidR="001C56BD" w:rsidRPr="00305460" w:rsidRDefault="001C56BD" w:rsidP="008A5C11">
            <w:pPr>
              <w:jc w:val="center"/>
              <w:rPr>
                <w:sz w:val="12"/>
                <w:szCs w:val="12"/>
              </w:rPr>
            </w:pPr>
            <w:r w:rsidRPr="00305460">
              <w:rPr>
                <w:sz w:val="12"/>
                <w:szCs w:val="12"/>
              </w:rPr>
              <w:t>3.1.18.</w:t>
            </w:r>
          </w:p>
        </w:tc>
        <w:tc>
          <w:tcPr>
            <w:tcW w:w="295" w:type="pct"/>
            <w:shd w:val="clear" w:color="auto" w:fill="auto"/>
            <w:tcMar>
              <w:left w:w="17" w:type="dxa"/>
              <w:right w:w="17" w:type="dxa"/>
            </w:tcMar>
            <w:vAlign w:val="center"/>
          </w:tcPr>
          <w:p w14:paraId="1C00DB26" w14:textId="77777777" w:rsidR="001C56BD" w:rsidRPr="00305460" w:rsidRDefault="001C56BD" w:rsidP="008A5C11">
            <w:pPr>
              <w:rPr>
                <w:sz w:val="12"/>
                <w:szCs w:val="12"/>
              </w:rPr>
            </w:pPr>
            <w:r w:rsidRPr="00305460">
              <w:rPr>
                <w:sz w:val="12"/>
                <w:szCs w:val="12"/>
              </w:rPr>
              <w:t>Реконструкция тепловой сети с реестровым номером 777264</w:t>
            </w:r>
          </w:p>
        </w:tc>
        <w:tc>
          <w:tcPr>
            <w:tcW w:w="307" w:type="pct"/>
            <w:shd w:val="clear" w:color="000000" w:fill="FFFFFF"/>
            <w:tcMar>
              <w:left w:w="17" w:type="dxa"/>
              <w:right w:w="17" w:type="dxa"/>
            </w:tcMar>
            <w:vAlign w:val="center"/>
          </w:tcPr>
          <w:p w14:paraId="67E3FB8C" w14:textId="77777777" w:rsidR="001C56BD" w:rsidRPr="00305460" w:rsidRDefault="001C56BD" w:rsidP="008A5C11">
            <w:pPr>
              <w:jc w:val="center"/>
              <w:rPr>
                <w:sz w:val="12"/>
                <w:szCs w:val="12"/>
              </w:rPr>
            </w:pPr>
            <w:r w:rsidRPr="00305460">
              <w:rPr>
                <w:color w:val="000000"/>
                <w:sz w:val="12"/>
                <w:szCs w:val="12"/>
              </w:rPr>
              <w:t>Повышение надежности услуг теплоснабжения, повышение энергетической эффективности</w:t>
            </w:r>
          </w:p>
        </w:tc>
        <w:tc>
          <w:tcPr>
            <w:tcW w:w="280" w:type="pct"/>
            <w:shd w:val="clear" w:color="auto" w:fill="auto"/>
            <w:tcMar>
              <w:left w:w="17" w:type="dxa"/>
              <w:right w:w="17" w:type="dxa"/>
            </w:tcMar>
            <w:vAlign w:val="center"/>
          </w:tcPr>
          <w:p w14:paraId="30361349" w14:textId="77777777" w:rsidR="001C56BD" w:rsidRPr="00305460" w:rsidRDefault="001C56BD" w:rsidP="008A5C11">
            <w:pPr>
              <w:jc w:val="center"/>
              <w:rPr>
                <w:sz w:val="12"/>
                <w:szCs w:val="12"/>
              </w:rPr>
            </w:pPr>
            <w:r w:rsidRPr="00305460">
              <w:rPr>
                <w:sz w:val="12"/>
                <w:szCs w:val="12"/>
              </w:rPr>
              <w:t>Кемеровский городской округ, Заводский район, квартал №1 (ул. Ульяны Громовой, ул. Глинки, 5, ул. Космическая, 6)</w:t>
            </w:r>
          </w:p>
        </w:tc>
        <w:tc>
          <w:tcPr>
            <w:tcW w:w="289" w:type="pct"/>
            <w:shd w:val="clear" w:color="auto" w:fill="auto"/>
            <w:tcMar>
              <w:left w:w="17" w:type="dxa"/>
              <w:right w:w="17" w:type="dxa"/>
            </w:tcMar>
            <w:vAlign w:val="center"/>
          </w:tcPr>
          <w:p w14:paraId="258EA0CD" w14:textId="77777777" w:rsidR="001C56BD" w:rsidRPr="00305460" w:rsidRDefault="001C56BD" w:rsidP="008A5C11">
            <w:pPr>
              <w:jc w:val="center"/>
              <w:rPr>
                <w:sz w:val="12"/>
                <w:szCs w:val="12"/>
              </w:rPr>
            </w:pPr>
            <w:r w:rsidRPr="00305460">
              <w:rPr>
                <w:color w:val="000000"/>
                <w:sz w:val="12"/>
                <w:szCs w:val="12"/>
              </w:rPr>
              <w:t>Технические характеристики</w:t>
            </w:r>
          </w:p>
        </w:tc>
        <w:tc>
          <w:tcPr>
            <w:tcW w:w="137" w:type="pct"/>
            <w:shd w:val="clear" w:color="auto" w:fill="auto"/>
            <w:tcMar>
              <w:left w:w="17" w:type="dxa"/>
              <w:right w:w="17" w:type="dxa"/>
            </w:tcMar>
            <w:vAlign w:val="center"/>
          </w:tcPr>
          <w:p w14:paraId="6BBBA4AC" w14:textId="77777777" w:rsidR="001C56BD" w:rsidRPr="00305460" w:rsidRDefault="001C56BD" w:rsidP="008A5C11">
            <w:pPr>
              <w:jc w:val="center"/>
              <w:rPr>
                <w:color w:val="000000"/>
                <w:sz w:val="12"/>
                <w:szCs w:val="12"/>
              </w:rPr>
            </w:pPr>
          </w:p>
        </w:tc>
        <w:tc>
          <w:tcPr>
            <w:tcW w:w="202" w:type="pct"/>
            <w:shd w:val="clear" w:color="auto" w:fill="auto"/>
            <w:tcMar>
              <w:left w:w="17" w:type="dxa"/>
              <w:right w:w="17" w:type="dxa"/>
            </w:tcMar>
            <w:vAlign w:val="center"/>
          </w:tcPr>
          <w:p w14:paraId="18A95046" w14:textId="77777777" w:rsidR="001C56BD" w:rsidRPr="00305460" w:rsidRDefault="001C56BD" w:rsidP="008A5C11">
            <w:pPr>
              <w:jc w:val="center"/>
              <w:rPr>
                <w:sz w:val="12"/>
                <w:szCs w:val="12"/>
              </w:rPr>
            </w:pPr>
            <w:r w:rsidRPr="00305460">
              <w:rPr>
                <w:sz w:val="12"/>
                <w:szCs w:val="12"/>
              </w:rPr>
              <w:t xml:space="preserve">Канал-кирпич, опоры-хомутовые привар-ные, запорная арматура - стальная клиновая, антикоррозийная защита-лак БТ, труба-сталь 20, изоляция - </w:t>
            </w:r>
            <w:proofErr w:type="gramStart"/>
            <w:r w:rsidRPr="00305460">
              <w:rPr>
                <w:sz w:val="12"/>
                <w:szCs w:val="12"/>
              </w:rPr>
              <w:t>мин.м</w:t>
            </w:r>
            <w:proofErr w:type="gramEnd"/>
            <w:r w:rsidRPr="00305460">
              <w:rPr>
                <w:sz w:val="12"/>
                <w:szCs w:val="12"/>
              </w:rPr>
              <w:t xml:space="preserve"> аты </w:t>
            </w:r>
          </w:p>
        </w:tc>
        <w:tc>
          <w:tcPr>
            <w:tcW w:w="244" w:type="pct"/>
            <w:shd w:val="clear" w:color="auto" w:fill="auto"/>
            <w:tcMar>
              <w:left w:w="17" w:type="dxa"/>
              <w:right w:w="17" w:type="dxa"/>
            </w:tcMar>
            <w:vAlign w:val="center"/>
          </w:tcPr>
          <w:p w14:paraId="32795596" w14:textId="77777777" w:rsidR="001C56BD" w:rsidRPr="00305460" w:rsidRDefault="001C56BD" w:rsidP="008A5C11">
            <w:pPr>
              <w:jc w:val="center"/>
              <w:rPr>
                <w:sz w:val="12"/>
                <w:szCs w:val="12"/>
              </w:rPr>
            </w:pPr>
            <w:r w:rsidRPr="00305460">
              <w:rPr>
                <w:sz w:val="12"/>
                <w:szCs w:val="12"/>
              </w:rPr>
              <w:t xml:space="preserve">Канал-ж/б лотки, опоры-хомутовые с диэлектрической прокладкой, запорная арматура - кран шаровый, антикоррозийная защита-мастика Вектор 1214, 1025, труба-сталь 09Г2С, изоляция - маты прошивные, </w:t>
            </w:r>
            <w:proofErr w:type="gramStart"/>
            <w:r w:rsidRPr="00305460">
              <w:rPr>
                <w:sz w:val="12"/>
                <w:szCs w:val="12"/>
              </w:rPr>
              <w:t>стеклоплас-тик</w:t>
            </w:r>
            <w:proofErr w:type="gramEnd"/>
            <w:r w:rsidRPr="00305460">
              <w:rPr>
                <w:sz w:val="12"/>
                <w:szCs w:val="12"/>
              </w:rPr>
              <w:t xml:space="preserve">  </w:t>
            </w:r>
          </w:p>
        </w:tc>
        <w:tc>
          <w:tcPr>
            <w:tcW w:w="140" w:type="pct"/>
            <w:shd w:val="clear" w:color="auto" w:fill="auto"/>
            <w:tcMar>
              <w:left w:w="17" w:type="dxa"/>
              <w:right w:w="17" w:type="dxa"/>
            </w:tcMar>
            <w:vAlign w:val="center"/>
          </w:tcPr>
          <w:p w14:paraId="73D53242" w14:textId="77777777" w:rsidR="001C56BD" w:rsidRPr="00305460" w:rsidRDefault="001C56BD" w:rsidP="008A5C11">
            <w:pPr>
              <w:jc w:val="center"/>
              <w:rPr>
                <w:sz w:val="12"/>
                <w:szCs w:val="12"/>
              </w:rPr>
            </w:pPr>
            <w:r w:rsidRPr="00305460">
              <w:rPr>
                <w:sz w:val="12"/>
                <w:szCs w:val="12"/>
              </w:rPr>
              <w:t>2031</w:t>
            </w:r>
          </w:p>
        </w:tc>
        <w:tc>
          <w:tcPr>
            <w:tcW w:w="140" w:type="pct"/>
            <w:shd w:val="clear" w:color="auto" w:fill="auto"/>
            <w:tcMar>
              <w:left w:w="17" w:type="dxa"/>
              <w:right w:w="17" w:type="dxa"/>
            </w:tcMar>
            <w:vAlign w:val="center"/>
          </w:tcPr>
          <w:p w14:paraId="54F5F4DA" w14:textId="77777777" w:rsidR="001C56BD" w:rsidRPr="00305460" w:rsidRDefault="001C56BD" w:rsidP="008A5C11">
            <w:pPr>
              <w:jc w:val="center"/>
              <w:rPr>
                <w:sz w:val="12"/>
                <w:szCs w:val="12"/>
              </w:rPr>
            </w:pPr>
            <w:r w:rsidRPr="00305460">
              <w:rPr>
                <w:sz w:val="12"/>
                <w:szCs w:val="12"/>
              </w:rPr>
              <w:t>2031</w:t>
            </w:r>
          </w:p>
        </w:tc>
        <w:tc>
          <w:tcPr>
            <w:tcW w:w="239" w:type="pct"/>
            <w:gridSpan w:val="3"/>
            <w:shd w:val="clear" w:color="auto" w:fill="auto"/>
            <w:tcMar>
              <w:left w:w="17" w:type="dxa"/>
              <w:right w:w="17" w:type="dxa"/>
            </w:tcMar>
            <w:vAlign w:val="center"/>
          </w:tcPr>
          <w:p w14:paraId="7ABF382B" w14:textId="77777777" w:rsidR="001C56BD" w:rsidRPr="00305460" w:rsidRDefault="001C56BD" w:rsidP="008A5C11">
            <w:pPr>
              <w:jc w:val="center"/>
              <w:rPr>
                <w:sz w:val="12"/>
                <w:szCs w:val="12"/>
              </w:rPr>
            </w:pPr>
            <w:r w:rsidRPr="00305460">
              <w:rPr>
                <w:sz w:val="12"/>
                <w:szCs w:val="12"/>
              </w:rPr>
              <w:t>8602,392</w:t>
            </w:r>
          </w:p>
        </w:tc>
        <w:tc>
          <w:tcPr>
            <w:tcW w:w="196" w:type="pct"/>
            <w:gridSpan w:val="3"/>
            <w:shd w:val="clear" w:color="auto" w:fill="auto"/>
            <w:tcMar>
              <w:left w:w="17" w:type="dxa"/>
              <w:right w:w="17" w:type="dxa"/>
            </w:tcMar>
            <w:vAlign w:val="center"/>
          </w:tcPr>
          <w:p w14:paraId="14DAB5D2" w14:textId="77777777" w:rsidR="001C56BD" w:rsidRPr="00305460" w:rsidRDefault="001C56BD" w:rsidP="008A5C11">
            <w:pPr>
              <w:jc w:val="center"/>
              <w:rPr>
                <w:sz w:val="12"/>
                <w:szCs w:val="12"/>
              </w:rPr>
            </w:pPr>
            <w:r w:rsidRPr="00305460">
              <w:rPr>
                <w:sz w:val="12"/>
                <w:szCs w:val="12"/>
              </w:rPr>
              <w:t>0,000</w:t>
            </w:r>
          </w:p>
        </w:tc>
        <w:tc>
          <w:tcPr>
            <w:tcW w:w="216" w:type="pct"/>
            <w:gridSpan w:val="3"/>
            <w:shd w:val="clear" w:color="auto" w:fill="auto"/>
            <w:tcMar>
              <w:left w:w="17" w:type="dxa"/>
              <w:right w:w="17" w:type="dxa"/>
            </w:tcMar>
            <w:vAlign w:val="center"/>
          </w:tcPr>
          <w:p w14:paraId="257DF7DB" w14:textId="77777777" w:rsidR="001C56BD" w:rsidRPr="00305460" w:rsidRDefault="001C56BD" w:rsidP="008A5C11">
            <w:pPr>
              <w:jc w:val="center"/>
              <w:rPr>
                <w:sz w:val="12"/>
                <w:szCs w:val="12"/>
              </w:rPr>
            </w:pPr>
            <w:r w:rsidRPr="00305460">
              <w:rPr>
                <w:sz w:val="12"/>
                <w:szCs w:val="12"/>
              </w:rPr>
              <w:t>0,000</w:t>
            </w:r>
          </w:p>
        </w:tc>
        <w:tc>
          <w:tcPr>
            <w:tcW w:w="179" w:type="pct"/>
            <w:gridSpan w:val="2"/>
            <w:shd w:val="clear" w:color="auto" w:fill="auto"/>
            <w:tcMar>
              <w:left w:w="17" w:type="dxa"/>
              <w:right w:w="17" w:type="dxa"/>
            </w:tcMar>
            <w:vAlign w:val="center"/>
          </w:tcPr>
          <w:p w14:paraId="6C9A59BB" w14:textId="77777777" w:rsidR="001C56BD" w:rsidRPr="00305460" w:rsidRDefault="001C56BD" w:rsidP="008A5C11">
            <w:pPr>
              <w:jc w:val="center"/>
              <w:rPr>
                <w:sz w:val="12"/>
                <w:szCs w:val="12"/>
              </w:rPr>
            </w:pPr>
            <w:r w:rsidRPr="00305460">
              <w:rPr>
                <w:sz w:val="12"/>
                <w:szCs w:val="12"/>
              </w:rPr>
              <w:t>0,000</w:t>
            </w:r>
          </w:p>
        </w:tc>
        <w:tc>
          <w:tcPr>
            <w:tcW w:w="222" w:type="pct"/>
            <w:gridSpan w:val="2"/>
            <w:shd w:val="clear" w:color="auto" w:fill="auto"/>
            <w:tcMar>
              <w:left w:w="17" w:type="dxa"/>
              <w:right w:w="17" w:type="dxa"/>
            </w:tcMar>
            <w:vAlign w:val="center"/>
          </w:tcPr>
          <w:p w14:paraId="78715E94" w14:textId="77777777" w:rsidR="001C56BD" w:rsidRPr="00305460" w:rsidRDefault="001C56BD" w:rsidP="008A5C11">
            <w:pPr>
              <w:jc w:val="center"/>
              <w:rPr>
                <w:sz w:val="12"/>
                <w:szCs w:val="12"/>
              </w:rPr>
            </w:pPr>
            <w:r w:rsidRPr="00305460">
              <w:rPr>
                <w:sz w:val="12"/>
                <w:szCs w:val="12"/>
              </w:rPr>
              <w:t>0,000</w:t>
            </w:r>
          </w:p>
        </w:tc>
        <w:tc>
          <w:tcPr>
            <w:tcW w:w="213" w:type="pct"/>
            <w:shd w:val="clear" w:color="auto" w:fill="auto"/>
            <w:tcMar>
              <w:left w:w="17" w:type="dxa"/>
              <w:right w:w="17" w:type="dxa"/>
            </w:tcMar>
            <w:vAlign w:val="center"/>
          </w:tcPr>
          <w:p w14:paraId="30465984"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15E4D946"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07700E60"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70E43856" w14:textId="77777777" w:rsidR="001C56BD" w:rsidRPr="00305460" w:rsidRDefault="001C56BD" w:rsidP="008A5C11">
            <w:pPr>
              <w:jc w:val="center"/>
              <w:rPr>
                <w:sz w:val="12"/>
                <w:szCs w:val="12"/>
              </w:rPr>
            </w:pPr>
            <w:r w:rsidRPr="00305460">
              <w:rPr>
                <w:sz w:val="12"/>
                <w:szCs w:val="12"/>
              </w:rPr>
              <w:t>0,000</w:t>
            </w:r>
          </w:p>
        </w:tc>
        <w:tc>
          <w:tcPr>
            <w:tcW w:w="218" w:type="pct"/>
            <w:gridSpan w:val="2"/>
            <w:shd w:val="clear" w:color="auto" w:fill="auto"/>
            <w:tcMar>
              <w:left w:w="17" w:type="dxa"/>
              <w:right w:w="17" w:type="dxa"/>
            </w:tcMar>
            <w:vAlign w:val="center"/>
          </w:tcPr>
          <w:p w14:paraId="7E5235AC" w14:textId="77777777" w:rsidR="001C56BD" w:rsidRPr="00305460" w:rsidRDefault="001C56BD" w:rsidP="008A5C11">
            <w:pPr>
              <w:jc w:val="center"/>
              <w:rPr>
                <w:sz w:val="12"/>
                <w:szCs w:val="12"/>
              </w:rPr>
            </w:pPr>
            <w:r w:rsidRPr="00305460">
              <w:rPr>
                <w:sz w:val="12"/>
                <w:szCs w:val="12"/>
              </w:rPr>
              <w:t>0,000</w:t>
            </w:r>
          </w:p>
        </w:tc>
        <w:tc>
          <w:tcPr>
            <w:tcW w:w="172" w:type="pct"/>
            <w:gridSpan w:val="2"/>
            <w:shd w:val="clear" w:color="auto" w:fill="auto"/>
            <w:tcMar>
              <w:left w:w="17" w:type="dxa"/>
              <w:right w:w="17" w:type="dxa"/>
            </w:tcMar>
            <w:vAlign w:val="center"/>
          </w:tcPr>
          <w:p w14:paraId="32E20032" w14:textId="77777777" w:rsidR="001C56BD" w:rsidRPr="00305460" w:rsidRDefault="001C56BD" w:rsidP="008A5C11">
            <w:pPr>
              <w:jc w:val="center"/>
              <w:rPr>
                <w:sz w:val="12"/>
                <w:szCs w:val="12"/>
              </w:rPr>
            </w:pPr>
            <w:r w:rsidRPr="00305460">
              <w:rPr>
                <w:sz w:val="12"/>
                <w:szCs w:val="12"/>
              </w:rPr>
              <w:t>0,000</w:t>
            </w:r>
          </w:p>
        </w:tc>
        <w:tc>
          <w:tcPr>
            <w:tcW w:w="219" w:type="pct"/>
            <w:shd w:val="clear" w:color="auto" w:fill="auto"/>
            <w:tcMar>
              <w:left w:w="17" w:type="dxa"/>
              <w:right w:w="17" w:type="dxa"/>
            </w:tcMar>
            <w:vAlign w:val="center"/>
          </w:tcPr>
          <w:p w14:paraId="232E499E" w14:textId="77777777" w:rsidR="001C56BD" w:rsidRPr="00305460" w:rsidRDefault="001C56BD" w:rsidP="008A5C11">
            <w:pPr>
              <w:jc w:val="center"/>
              <w:rPr>
                <w:sz w:val="12"/>
                <w:szCs w:val="12"/>
              </w:rPr>
            </w:pPr>
            <w:r w:rsidRPr="00305460">
              <w:rPr>
                <w:sz w:val="12"/>
                <w:szCs w:val="12"/>
              </w:rPr>
              <w:t>8602,392</w:t>
            </w:r>
          </w:p>
        </w:tc>
        <w:tc>
          <w:tcPr>
            <w:tcW w:w="174" w:type="pct"/>
            <w:shd w:val="clear" w:color="auto" w:fill="auto"/>
            <w:tcMar>
              <w:left w:w="17" w:type="dxa"/>
              <w:right w:w="17" w:type="dxa"/>
            </w:tcMar>
            <w:vAlign w:val="center"/>
          </w:tcPr>
          <w:p w14:paraId="41CB08DE" w14:textId="77777777" w:rsidR="001C56BD" w:rsidRPr="00305460" w:rsidRDefault="001C56BD" w:rsidP="008A5C11">
            <w:pPr>
              <w:jc w:val="center"/>
              <w:rPr>
                <w:sz w:val="12"/>
                <w:szCs w:val="12"/>
              </w:rPr>
            </w:pPr>
            <w:r w:rsidRPr="00305460">
              <w:rPr>
                <w:sz w:val="12"/>
                <w:szCs w:val="12"/>
              </w:rPr>
              <w:t>0,000</w:t>
            </w:r>
          </w:p>
        </w:tc>
        <w:tc>
          <w:tcPr>
            <w:tcW w:w="176" w:type="pct"/>
            <w:shd w:val="clear" w:color="auto" w:fill="auto"/>
            <w:tcMar>
              <w:left w:w="17" w:type="dxa"/>
              <w:right w:w="17" w:type="dxa"/>
            </w:tcMar>
            <w:vAlign w:val="center"/>
          </w:tcPr>
          <w:p w14:paraId="251FF7A7" w14:textId="77777777" w:rsidR="001C56BD" w:rsidRPr="00305460" w:rsidRDefault="001C56BD" w:rsidP="008A5C11">
            <w:pPr>
              <w:jc w:val="center"/>
              <w:rPr>
                <w:sz w:val="12"/>
                <w:szCs w:val="12"/>
              </w:rPr>
            </w:pPr>
            <w:r w:rsidRPr="00305460">
              <w:rPr>
                <w:sz w:val="12"/>
                <w:szCs w:val="12"/>
              </w:rPr>
              <w:t>0,000</w:t>
            </w:r>
          </w:p>
        </w:tc>
      </w:tr>
      <w:tr w:rsidR="001C56BD" w:rsidRPr="00305460" w14:paraId="7DABC43C" w14:textId="77777777" w:rsidTr="008A5C11">
        <w:trPr>
          <w:trHeight w:val="897"/>
        </w:trPr>
        <w:tc>
          <w:tcPr>
            <w:tcW w:w="86" w:type="pct"/>
            <w:shd w:val="clear" w:color="auto" w:fill="auto"/>
            <w:tcMar>
              <w:left w:w="17" w:type="dxa"/>
              <w:right w:w="17" w:type="dxa"/>
            </w:tcMar>
            <w:vAlign w:val="center"/>
          </w:tcPr>
          <w:p w14:paraId="1E9107AB" w14:textId="77777777" w:rsidR="001C56BD" w:rsidRPr="00305460" w:rsidRDefault="001C56BD" w:rsidP="008A5C11">
            <w:pPr>
              <w:jc w:val="center"/>
              <w:rPr>
                <w:sz w:val="12"/>
                <w:szCs w:val="12"/>
              </w:rPr>
            </w:pPr>
            <w:r w:rsidRPr="00305460">
              <w:rPr>
                <w:sz w:val="12"/>
                <w:szCs w:val="12"/>
              </w:rPr>
              <w:t>3.1.19.</w:t>
            </w:r>
          </w:p>
        </w:tc>
        <w:tc>
          <w:tcPr>
            <w:tcW w:w="295" w:type="pct"/>
            <w:shd w:val="clear" w:color="auto" w:fill="auto"/>
            <w:tcMar>
              <w:left w:w="17" w:type="dxa"/>
              <w:right w:w="17" w:type="dxa"/>
            </w:tcMar>
            <w:vAlign w:val="center"/>
          </w:tcPr>
          <w:p w14:paraId="3CDFFBE5" w14:textId="77777777" w:rsidR="001C56BD" w:rsidRPr="00305460" w:rsidRDefault="001C56BD" w:rsidP="008A5C11">
            <w:pPr>
              <w:rPr>
                <w:sz w:val="12"/>
                <w:szCs w:val="12"/>
              </w:rPr>
            </w:pPr>
            <w:r w:rsidRPr="00305460">
              <w:rPr>
                <w:sz w:val="12"/>
                <w:szCs w:val="12"/>
              </w:rPr>
              <w:t>Реконструкция тепловой сети с реестровым номером 777269</w:t>
            </w:r>
          </w:p>
        </w:tc>
        <w:tc>
          <w:tcPr>
            <w:tcW w:w="307" w:type="pct"/>
            <w:shd w:val="clear" w:color="000000" w:fill="FFFFFF"/>
            <w:tcMar>
              <w:left w:w="17" w:type="dxa"/>
              <w:right w:w="17" w:type="dxa"/>
            </w:tcMar>
            <w:vAlign w:val="center"/>
          </w:tcPr>
          <w:p w14:paraId="77CF52AF" w14:textId="77777777" w:rsidR="001C56BD" w:rsidRPr="00305460" w:rsidRDefault="001C56BD" w:rsidP="008A5C11">
            <w:pPr>
              <w:jc w:val="center"/>
              <w:rPr>
                <w:sz w:val="12"/>
                <w:szCs w:val="12"/>
              </w:rPr>
            </w:pPr>
            <w:r w:rsidRPr="00305460">
              <w:rPr>
                <w:color w:val="000000"/>
                <w:sz w:val="12"/>
                <w:szCs w:val="12"/>
              </w:rPr>
              <w:t>Повышение надежности услуг теплоснабжения, повышение энергетической эффективности</w:t>
            </w:r>
          </w:p>
        </w:tc>
        <w:tc>
          <w:tcPr>
            <w:tcW w:w="280" w:type="pct"/>
            <w:shd w:val="clear" w:color="auto" w:fill="auto"/>
            <w:tcMar>
              <w:left w:w="17" w:type="dxa"/>
              <w:right w:w="17" w:type="dxa"/>
            </w:tcMar>
            <w:vAlign w:val="center"/>
          </w:tcPr>
          <w:p w14:paraId="67A40340" w14:textId="77777777" w:rsidR="001C56BD" w:rsidRPr="00305460" w:rsidRDefault="001C56BD" w:rsidP="008A5C11">
            <w:pPr>
              <w:jc w:val="center"/>
              <w:rPr>
                <w:sz w:val="12"/>
                <w:szCs w:val="12"/>
              </w:rPr>
            </w:pPr>
            <w:r w:rsidRPr="00305460">
              <w:rPr>
                <w:sz w:val="12"/>
                <w:szCs w:val="12"/>
              </w:rPr>
              <w:t>Кемеровский городской округ, Заводский район, квартал №</w:t>
            </w:r>
            <w:proofErr w:type="gramStart"/>
            <w:r w:rsidRPr="00305460">
              <w:rPr>
                <w:sz w:val="12"/>
                <w:szCs w:val="12"/>
              </w:rPr>
              <w:t>2 ,</w:t>
            </w:r>
            <w:proofErr w:type="gramEnd"/>
            <w:r w:rsidRPr="00305460">
              <w:rPr>
                <w:sz w:val="12"/>
                <w:szCs w:val="12"/>
              </w:rPr>
              <w:t xml:space="preserve"> в границах ул. Базовая, ул. Патриотов, ул. Ульяны Громовой, ул. Космическая</w:t>
            </w:r>
          </w:p>
        </w:tc>
        <w:tc>
          <w:tcPr>
            <w:tcW w:w="289" w:type="pct"/>
            <w:shd w:val="clear" w:color="auto" w:fill="auto"/>
            <w:tcMar>
              <w:left w:w="17" w:type="dxa"/>
              <w:right w:w="17" w:type="dxa"/>
            </w:tcMar>
            <w:vAlign w:val="center"/>
          </w:tcPr>
          <w:p w14:paraId="1A1D9BDF" w14:textId="77777777" w:rsidR="001C56BD" w:rsidRPr="00305460" w:rsidRDefault="001C56BD" w:rsidP="008A5C11">
            <w:pPr>
              <w:jc w:val="center"/>
              <w:rPr>
                <w:sz w:val="12"/>
                <w:szCs w:val="12"/>
              </w:rPr>
            </w:pPr>
            <w:r w:rsidRPr="00305460">
              <w:rPr>
                <w:color w:val="000000"/>
                <w:sz w:val="12"/>
                <w:szCs w:val="12"/>
              </w:rPr>
              <w:t>Технические характеристики</w:t>
            </w:r>
          </w:p>
        </w:tc>
        <w:tc>
          <w:tcPr>
            <w:tcW w:w="137" w:type="pct"/>
            <w:shd w:val="clear" w:color="auto" w:fill="auto"/>
            <w:tcMar>
              <w:left w:w="17" w:type="dxa"/>
              <w:right w:w="17" w:type="dxa"/>
            </w:tcMar>
            <w:vAlign w:val="center"/>
          </w:tcPr>
          <w:p w14:paraId="7CF189E2" w14:textId="77777777" w:rsidR="001C56BD" w:rsidRPr="00305460" w:rsidRDefault="001C56BD" w:rsidP="008A5C11">
            <w:pPr>
              <w:jc w:val="center"/>
              <w:rPr>
                <w:color w:val="000000"/>
                <w:sz w:val="12"/>
                <w:szCs w:val="12"/>
              </w:rPr>
            </w:pPr>
          </w:p>
        </w:tc>
        <w:tc>
          <w:tcPr>
            <w:tcW w:w="202" w:type="pct"/>
            <w:shd w:val="clear" w:color="auto" w:fill="auto"/>
            <w:tcMar>
              <w:left w:w="17" w:type="dxa"/>
              <w:right w:w="17" w:type="dxa"/>
            </w:tcMar>
            <w:vAlign w:val="center"/>
          </w:tcPr>
          <w:p w14:paraId="59439511" w14:textId="77777777" w:rsidR="001C56BD" w:rsidRPr="00305460" w:rsidRDefault="001C56BD" w:rsidP="008A5C11">
            <w:pPr>
              <w:jc w:val="center"/>
              <w:rPr>
                <w:sz w:val="12"/>
                <w:szCs w:val="12"/>
              </w:rPr>
            </w:pPr>
            <w:r w:rsidRPr="00305460">
              <w:rPr>
                <w:sz w:val="12"/>
                <w:szCs w:val="12"/>
              </w:rPr>
              <w:t xml:space="preserve">Канал-кирпич, опоры-хомутовые </w:t>
            </w:r>
            <w:proofErr w:type="gramStart"/>
            <w:r w:rsidRPr="00305460">
              <w:rPr>
                <w:sz w:val="12"/>
                <w:szCs w:val="12"/>
              </w:rPr>
              <w:t>привар-ные</w:t>
            </w:r>
            <w:proofErr w:type="gramEnd"/>
            <w:r w:rsidRPr="00305460">
              <w:rPr>
                <w:sz w:val="12"/>
                <w:szCs w:val="12"/>
              </w:rPr>
              <w:t xml:space="preserve">, запорная арматура - стальная клиновая, антикоррозийная защита-лак БТ, труба-сталь 20, изоляция - мин. маты </w:t>
            </w:r>
          </w:p>
        </w:tc>
        <w:tc>
          <w:tcPr>
            <w:tcW w:w="244" w:type="pct"/>
            <w:shd w:val="clear" w:color="auto" w:fill="auto"/>
            <w:tcMar>
              <w:left w:w="17" w:type="dxa"/>
              <w:right w:w="17" w:type="dxa"/>
            </w:tcMar>
            <w:vAlign w:val="center"/>
          </w:tcPr>
          <w:p w14:paraId="10BA91A8" w14:textId="77777777" w:rsidR="001C56BD" w:rsidRPr="00305460" w:rsidRDefault="001C56BD" w:rsidP="008A5C11">
            <w:pPr>
              <w:jc w:val="center"/>
              <w:rPr>
                <w:sz w:val="12"/>
                <w:szCs w:val="12"/>
              </w:rPr>
            </w:pPr>
            <w:r w:rsidRPr="00305460">
              <w:rPr>
                <w:sz w:val="12"/>
                <w:szCs w:val="12"/>
              </w:rPr>
              <w:t xml:space="preserve">Канал-ж/б лотки, опоры-хомутовые с диэлектрической прокладкой, запорная арматура - кран шаровый, антикоррозийная защита-мастика Вектор 1214, 1025, труба-сталь 09Г2С, изоляция - маты прошивные, </w:t>
            </w:r>
            <w:proofErr w:type="gramStart"/>
            <w:r w:rsidRPr="00305460">
              <w:rPr>
                <w:sz w:val="12"/>
                <w:szCs w:val="12"/>
              </w:rPr>
              <w:t>стеклоплас-тик</w:t>
            </w:r>
            <w:proofErr w:type="gramEnd"/>
          </w:p>
        </w:tc>
        <w:tc>
          <w:tcPr>
            <w:tcW w:w="140" w:type="pct"/>
            <w:shd w:val="clear" w:color="auto" w:fill="auto"/>
            <w:tcMar>
              <w:left w:w="17" w:type="dxa"/>
              <w:right w:w="17" w:type="dxa"/>
            </w:tcMar>
            <w:vAlign w:val="center"/>
          </w:tcPr>
          <w:p w14:paraId="6072A3C2" w14:textId="77777777" w:rsidR="001C56BD" w:rsidRPr="00305460" w:rsidRDefault="001C56BD" w:rsidP="008A5C11">
            <w:pPr>
              <w:jc w:val="center"/>
              <w:rPr>
                <w:sz w:val="12"/>
                <w:szCs w:val="12"/>
              </w:rPr>
            </w:pPr>
            <w:r w:rsidRPr="00305460">
              <w:rPr>
                <w:sz w:val="12"/>
                <w:szCs w:val="12"/>
              </w:rPr>
              <w:t>2022</w:t>
            </w:r>
          </w:p>
        </w:tc>
        <w:tc>
          <w:tcPr>
            <w:tcW w:w="140" w:type="pct"/>
            <w:shd w:val="clear" w:color="auto" w:fill="auto"/>
            <w:tcMar>
              <w:left w:w="17" w:type="dxa"/>
              <w:right w:w="17" w:type="dxa"/>
            </w:tcMar>
            <w:vAlign w:val="center"/>
          </w:tcPr>
          <w:p w14:paraId="29013F7E" w14:textId="77777777" w:rsidR="001C56BD" w:rsidRPr="00305460" w:rsidRDefault="001C56BD" w:rsidP="008A5C11">
            <w:pPr>
              <w:jc w:val="center"/>
              <w:rPr>
                <w:sz w:val="12"/>
                <w:szCs w:val="12"/>
              </w:rPr>
            </w:pPr>
            <w:r w:rsidRPr="00305460">
              <w:rPr>
                <w:sz w:val="12"/>
                <w:szCs w:val="12"/>
              </w:rPr>
              <w:t>2024</w:t>
            </w:r>
          </w:p>
        </w:tc>
        <w:tc>
          <w:tcPr>
            <w:tcW w:w="239" w:type="pct"/>
            <w:gridSpan w:val="3"/>
            <w:shd w:val="clear" w:color="auto" w:fill="auto"/>
            <w:tcMar>
              <w:left w:w="17" w:type="dxa"/>
              <w:right w:w="17" w:type="dxa"/>
            </w:tcMar>
            <w:vAlign w:val="center"/>
          </w:tcPr>
          <w:p w14:paraId="2FED7B79" w14:textId="77777777" w:rsidR="001C56BD" w:rsidRPr="00305460" w:rsidRDefault="001C56BD" w:rsidP="008A5C11">
            <w:pPr>
              <w:jc w:val="center"/>
              <w:rPr>
                <w:sz w:val="12"/>
                <w:szCs w:val="12"/>
              </w:rPr>
            </w:pPr>
            <w:r w:rsidRPr="00305460">
              <w:rPr>
                <w:sz w:val="12"/>
                <w:szCs w:val="12"/>
              </w:rPr>
              <w:t>23127,552</w:t>
            </w:r>
          </w:p>
        </w:tc>
        <w:tc>
          <w:tcPr>
            <w:tcW w:w="196" w:type="pct"/>
            <w:gridSpan w:val="3"/>
            <w:shd w:val="clear" w:color="auto" w:fill="auto"/>
            <w:tcMar>
              <w:left w:w="17" w:type="dxa"/>
              <w:right w:w="17" w:type="dxa"/>
            </w:tcMar>
            <w:vAlign w:val="center"/>
          </w:tcPr>
          <w:p w14:paraId="44A69B5C" w14:textId="77777777" w:rsidR="001C56BD" w:rsidRPr="00305460" w:rsidRDefault="001C56BD" w:rsidP="008A5C11">
            <w:pPr>
              <w:jc w:val="center"/>
              <w:rPr>
                <w:sz w:val="12"/>
                <w:szCs w:val="12"/>
              </w:rPr>
            </w:pPr>
            <w:r w:rsidRPr="00305460">
              <w:rPr>
                <w:sz w:val="12"/>
                <w:szCs w:val="12"/>
              </w:rPr>
              <w:t>0,000</w:t>
            </w:r>
          </w:p>
        </w:tc>
        <w:tc>
          <w:tcPr>
            <w:tcW w:w="216" w:type="pct"/>
            <w:gridSpan w:val="3"/>
            <w:shd w:val="clear" w:color="auto" w:fill="auto"/>
            <w:tcMar>
              <w:left w:w="17" w:type="dxa"/>
              <w:right w:w="17" w:type="dxa"/>
            </w:tcMar>
            <w:vAlign w:val="center"/>
          </w:tcPr>
          <w:p w14:paraId="46A3006C" w14:textId="77777777" w:rsidR="001C56BD" w:rsidRPr="00305460" w:rsidRDefault="001C56BD" w:rsidP="008A5C11">
            <w:pPr>
              <w:jc w:val="center"/>
              <w:rPr>
                <w:sz w:val="12"/>
                <w:szCs w:val="12"/>
              </w:rPr>
            </w:pPr>
            <w:r w:rsidRPr="00305460">
              <w:rPr>
                <w:sz w:val="12"/>
                <w:szCs w:val="12"/>
              </w:rPr>
              <w:t>18502,428</w:t>
            </w:r>
          </w:p>
        </w:tc>
        <w:tc>
          <w:tcPr>
            <w:tcW w:w="179" w:type="pct"/>
            <w:gridSpan w:val="2"/>
            <w:shd w:val="clear" w:color="auto" w:fill="auto"/>
            <w:tcMar>
              <w:left w:w="17" w:type="dxa"/>
              <w:right w:w="17" w:type="dxa"/>
            </w:tcMar>
            <w:vAlign w:val="center"/>
          </w:tcPr>
          <w:p w14:paraId="76540D91" w14:textId="77777777" w:rsidR="001C56BD" w:rsidRPr="00305460" w:rsidRDefault="001C56BD" w:rsidP="008A5C11">
            <w:pPr>
              <w:jc w:val="center"/>
              <w:rPr>
                <w:sz w:val="12"/>
                <w:szCs w:val="12"/>
              </w:rPr>
            </w:pPr>
            <w:r w:rsidRPr="00305460">
              <w:rPr>
                <w:sz w:val="12"/>
                <w:szCs w:val="12"/>
              </w:rPr>
              <w:t>0,000</w:t>
            </w:r>
          </w:p>
        </w:tc>
        <w:tc>
          <w:tcPr>
            <w:tcW w:w="222" w:type="pct"/>
            <w:gridSpan w:val="2"/>
            <w:shd w:val="clear" w:color="auto" w:fill="auto"/>
            <w:tcMar>
              <w:left w:w="17" w:type="dxa"/>
              <w:right w:w="17" w:type="dxa"/>
            </w:tcMar>
            <w:vAlign w:val="center"/>
          </w:tcPr>
          <w:p w14:paraId="119967D1" w14:textId="77777777" w:rsidR="001C56BD" w:rsidRPr="00305460" w:rsidRDefault="001C56BD" w:rsidP="008A5C11">
            <w:pPr>
              <w:jc w:val="center"/>
              <w:rPr>
                <w:sz w:val="12"/>
                <w:szCs w:val="12"/>
              </w:rPr>
            </w:pPr>
            <w:r w:rsidRPr="00305460">
              <w:rPr>
                <w:sz w:val="12"/>
                <w:szCs w:val="12"/>
              </w:rPr>
              <w:t>4625,124</w:t>
            </w:r>
          </w:p>
        </w:tc>
        <w:tc>
          <w:tcPr>
            <w:tcW w:w="213" w:type="pct"/>
            <w:shd w:val="clear" w:color="auto" w:fill="auto"/>
            <w:tcMar>
              <w:left w:w="17" w:type="dxa"/>
              <w:right w:w="17" w:type="dxa"/>
            </w:tcMar>
            <w:vAlign w:val="center"/>
          </w:tcPr>
          <w:p w14:paraId="45308562"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7179CCE0"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68B5AA21"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1C4C9E77" w14:textId="77777777" w:rsidR="001C56BD" w:rsidRPr="00305460" w:rsidRDefault="001C56BD" w:rsidP="008A5C11">
            <w:pPr>
              <w:jc w:val="center"/>
              <w:rPr>
                <w:sz w:val="12"/>
                <w:szCs w:val="12"/>
              </w:rPr>
            </w:pPr>
            <w:r w:rsidRPr="00305460">
              <w:rPr>
                <w:sz w:val="12"/>
                <w:szCs w:val="12"/>
              </w:rPr>
              <w:t>0,000</w:t>
            </w:r>
          </w:p>
        </w:tc>
        <w:tc>
          <w:tcPr>
            <w:tcW w:w="218" w:type="pct"/>
            <w:gridSpan w:val="2"/>
            <w:shd w:val="clear" w:color="auto" w:fill="auto"/>
            <w:tcMar>
              <w:left w:w="17" w:type="dxa"/>
              <w:right w:w="17" w:type="dxa"/>
            </w:tcMar>
            <w:vAlign w:val="center"/>
          </w:tcPr>
          <w:p w14:paraId="4267F2FA" w14:textId="77777777" w:rsidR="001C56BD" w:rsidRPr="00305460" w:rsidRDefault="001C56BD" w:rsidP="008A5C11">
            <w:pPr>
              <w:jc w:val="center"/>
              <w:rPr>
                <w:sz w:val="12"/>
                <w:szCs w:val="12"/>
              </w:rPr>
            </w:pPr>
            <w:r w:rsidRPr="00305460">
              <w:rPr>
                <w:sz w:val="12"/>
                <w:szCs w:val="12"/>
              </w:rPr>
              <w:t>0,000</w:t>
            </w:r>
          </w:p>
        </w:tc>
        <w:tc>
          <w:tcPr>
            <w:tcW w:w="172" w:type="pct"/>
            <w:gridSpan w:val="2"/>
            <w:shd w:val="clear" w:color="auto" w:fill="auto"/>
            <w:tcMar>
              <w:left w:w="17" w:type="dxa"/>
              <w:right w:w="17" w:type="dxa"/>
            </w:tcMar>
            <w:vAlign w:val="center"/>
          </w:tcPr>
          <w:p w14:paraId="28E1400E" w14:textId="77777777" w:rsidR="001C56BD" w:rsidRPr="00305460" w:rsidRDefault="001C56BD" w:rsidP="008A5C11">
            <w:pPr>
              <w:jc w:val="center"/>
              <w:rPr>
                <w:sz w:val="12"/>
                <w:szCs w:val="12"/>
              </w:rPr>
            </w:pPr>
            <w:r w:rsidRPr="00305460">
              <w:rPr>
                <w:sz w:val="12"/>
                <w:szCs w:val="12"/>
              </w:rPr>
              <w:t>0,000</w:t>
            </w:r>
          </w:p>
        </w:tc>
        <w:tc>
          <w:tcPr>
            <w:tcW w:w="219" w:type="pct"/>
            <w:shd w:val="clear" w:color="auto" w:fill="auto"/>
            <w:tcMar>
              <w:left w:w="17" w:type="dxa"/>
              <w:right w:w="17" w:type="dxa"/>
            </w:tcMar>
            <w:vAlign w:val="center"/>
          </w:tcPr>
          <w:p w14:paraId="64632DC1" w14:textId="77777777" w:rsidR="001C56BD" w:rsidRPr="00305460" w:rsidRDefault="001C56BD" w:rsidP="008A5C11">
            <w:pPr>
              <w:jc w:val="center"/>
              <w:rPr>
                <w:sz w:val="12"/>
                <w:szCs w:val="12"/>
              </w:rPr>
            </w:pPr>
            <w:r w:rsidRPr="00305460">
              <w:rPr>
                <w:sz w:val="12"/>
                <w:szCs w:val="12"/>
              </w:rPr>
              <w:t>0,000</w:t>
            </w:r>
          </w:p>
        </w:tc>
        <w:tc>
          <w:tcPr>
            <w:tcW w:w="174" w:type="pct"/>
            <w:shd w:val="clear" w:color="auto" w:fill="auto"/>
            <w:tcMar>
              <w:left w:w="17" w:type="dxa"/>
              <w:right w:w="17" w:type="dxa"/>
            </w:tcMar>
            <w:vAlign w:val="center"/>
          </w:tcPr>
          <w:p w14:paraId="4BDF28B1" w14:textId="77777777" w:rsidR="001C56BD" w:rsidRPr="00305460" w:rsidRDefault="001C56BD" w:rsidP="008A5C11">
            <w:pPr>
              <w:jc w:val="center"/>
              <w:rPr>
                <w:sz w:val="12"/>
                <w:szCs w:val="12"/>
              </w:rPr>
            </w:pPr>
            <w:r w:rsidRPr="00305460">
              <w:rPr>
                <w:sz w:val="12"/>
                <w:szCs w:val="12"/>
              </w:rPr>
              <w:t>0,000</w:t>
            </w:r>
          </w:p>
        </w:tc>
        <w:tc>
          <w:tcPr>
            <w:tcW w:w="176" w:type="pct"/>
            <w:shd w:val="clear" w:color="auto" w:fill="auto"/>
            <w:tcMar>
              <w:left w:w="17" w:type="dxa"/>
              <w:right w:w="17" w:type="dxa"/>
            </w:tcMar>
            <w:vAlign w:val="center"/>
          </w:tcPr>
          <w:p w14:paraId="4B28F780" w14:textId="77777777" w:rsidR="001C56BD" w:rsidRPr="00305460" w:rsidRDefault="001C56BD" w:rsidP="008A5C11">
            <w:pPr>
              <w:jc w:val="center"/>
              <w:rPr>
                <w:sz w:val="12"/>
                <w:szCs w:val="12"/>
              </w:rPr>
            </w:pPr>
            <w:r w:rsidRPr="00305460">
              <w:rPr>
                <w:sz w:val="12"/>
                <w:szCs w:val="12"/>
              </w:rPr>
              <w:t>0,000</w:t>
            </w:r>
          </w:p>
        </w:tc>
      </w:tr>
      <w:tr w:rsidR="001C56BD" w:rsidRPr="00305460" w14:paraId="314EF678" w14:textId="77777777" w:rsidTr="008A5C11">
        <w:trPr>
          <w:trHeight w:val="897"/>
        </w:trPr>
        <w:tc>
          <w:tcPr>
            <w:tcW w:w="86" w:type="pct"/>
            <w:shd w:val="clear" w:color="auto" w:fill="auto"/>
            <w:tcMar>
              <w:left w:w="17" w:type="dxa"/>
              <w:right w:w="17" w:type="dxa"/>
            </w:tcMar>
            <w:vAlign w:val="center"/>
          </w:tcPr>
          <w:p w14:paraId="419430BA" w14:textId="77777777" w:rsidR="001C56BD" w:rsidRPr="00305460" w:rsidRDefault="001C56BD" w:rsidP="008A5C11">
            <w:pPr>
              <w:jc w:val="center"/>
              <w:rPr>
                <w:bCs/>
                <w:sz w:val="12"/>
                <w:szCs w:val="12"/>
              </w:rPr>
            </w:pPr>
            <w:r w:rsidRPr="00305460">
              <w:rPr>
                <w:bCs/>
                <w:sz w:val="12"/>
                <w:szCs w:val="12"/>
              </w:rPr>
              <w:t>1</w:t>
            </w:r>
          </w:p>
        </w:tc>
        <w:tc>
          <w:tcPr>
            <w:tcW w:w="295" w:type="pct"/>
            <w:shd w:val="clear" w:color="auto" w:fill="auto"/>
            <w:tcMar>
              <w:left w:w="17" w:type="dxa"/>
              <w:right w:w="17" w:type="dxa"/>
            </w:tcMar>
            <w:vAlign w:val="center"/>
          </w:tcPr>
          <w:p w14:paraId="6D1E1E05" w14:textId="77777777" w:rsidR="001C56BD" w:rsidRPr="00305460" w:rsidRDefault="001C56BD" w:rsidP="008A5C11">
            <w:pPr>
              <w:jc w:val="center"/>
              <w:rPr>
                <w:bCs/>
                <w:sz w:val="12"/>
                <w:szCs w:val="12"/>
              </w:rPr>
            </w:pPr>
            <w:r w:rsidRPr="00305460">
              <w:rPr>
                <w:bCs/>
                <w:sz w:val="12"/>
                <w:szCs w:val="12"/>
              </w:rPr>
              <w:t>2</w:t>
            </w:r>
          </w:p>
        </w:tc>
        <w:tc>
          <w:tcPr>
            <w:tcW w:w="307" w:type="pct"/>
            <w:shd w:val="clear" w:color="auto" w:fill="auto"/>
            <w:tcMar>
              <w:left w:w="17" w:type="dxa"/>
              <w:right w:w="17" w:type="dxa"/>
            </w:tcMar>
            <w:vAlign w:val="center"/>
          </w:tcPr>
          <w:p w14:paraId="3772867A" w14:textId="77777777" w:rsidR="001C56BD" w:rsidRPr="00305460" w:rsidRDefault="001C56BD" w:rsidP="008A5C11">
            <w:pPr>
              <w:jc w:val="center"/>
              <w:rPr>
                <w:bCs/>
                <w:sz w:val="12"/>
                <w:szCs w:val="12"/>
              </w:rPr>
            </w:pPr>
            <w:r w:rsidRPr="00305460">
              <w:rPr>
                <w:bCs/>
                <w:sz w:val="12"/>
                <w:szCs w:val="12"/>
              </w:rPr>
              <w:t>3</w:t>
            </w:r>
          </w:p>
        </w:tc>
        <w:tc>
          <w:tcPr>
            <w:tcW w:w="280" w:type="pct"/>
            <w:shd w:val="clear" w:color="auto" w:fill="auto"/>
            <w:tcMar>
              <w:left w:w="17" w:type="dxa"/>
              <w:right w:w="17" w:type="dxa"/>
            </w:tcMar>
            <w:vAlign w:val="center"/>
          </w:tcPr>
          <w:p w14:paraId="3F9DB616" w14:textId="77777777" w:rsidR="001C56BD" w:rsidRPr="00305460" w:rsidRDefault="001C56BD" w:rsidP="008A5C11">
            <w:pPr>
              <w:jc w:val="center"/>
              <w:rPr>
                <w:bCs/>
                <w:sz w:val="12"/>
                <w:szCs w:val="12"/>
              </w:rPr>
            </w:pPr>
            <w:r w:rsidRPr="00305460">
              <w:rPr>
                <w:bCs/>
                <w:sz w:val="12"/>
                <w:szCs w:val="12"/>
              </w:rPr>
              <w:t>4</w:t>
            </w:r>
          </w:p>
        </w:tc>
        <w:tc>
          <w:tcPr>
            <w:tcW w:w="289" w:type="pct"/>
            <w:shd w:val="clear" w:color="auto" w:fill="auto"/>
            <w:tcMar>
              <w:left w:w="17" w:type="dxa"/>
              <w:right w:w="17" w:type="dxa"/>
            </w:tcMar>
            <w:vAlign w:val="center"/>
          </w:tcPr>
          <w:p w14:paraId="205F3393" w14:textId="77777777" w:rsidR="001C56BD" w:rsidRPr="00305460" w:rsidRDefault="001C56BD" w:rsidP="008A5C11">
            <w:pPr>
              <w:jc w:val="center"/>
              <w:rPr>
                <w:bCs/>
                <w:sz w:val="12"/>
                <w:szCs w:val="12"/>
              </w:rPr>
            </w:pPr>
            <w:r w:rsidRPr="00305460">
              <w:rPr>
                <w:bCs/>
                <w:sz w:val="12"/>
                <w:szCs w:val="12"/>
              </w:rPr>
              <w:t>5</w:t>
            </w:r>
          </w:p>
        </w:tc>
        <w:tc>
          <w:tcPr>
            <w:tcW w:w="137" w:type="pct"/>
            <w:shd w:val="clear" w:color="auto" w:fill="auto"/>
            <w:tcMar>
              <w:left w:w="17" w:type="dxa"/>
              <w:right w:w="17" w:type="dxa"/>
            </w:tcMar>
            <w:vAlign w:val="center"/>
          </w:tcPr>
          <w:p w14:paraId="7F4A501C" w14:textId="77777777" w:rsidR="001C56BD" w:rsidRPr="00305460" w:rsidRDefault="001C56BD" w:rsidP="008A5C11">
            <w:pPr>
              <w:jc w:val="center"/>
              <w:rPr>
                <w:bCs/>
                <w:sz w:val="12"/>
                <w:szCs w:val="12"/>
              </w:rPr>
            </w:pPr>
            <w:r w:rsidRPr="00305460">
              <w:rPr>
                <w:bCs/>
                <w:sz w:val="12"/>
                <w:szCs w:val="12"/>
              </w:rPr>
              <w:t>6</w:t>
            </w:r>
          </w:p>
        </w:tc>
        <w:tc>
          <w:tcPr>
            <w:tcW w:w="202" w:type="pct"/>
            <w:shd w:val="clear" w:color="auto" w:fill="auto"/>
            <w:tcMar>
              <w:left w:w="17" w:type="dxa"/>
              <w:right w:w="17" w:type="dxa"/>
            </w:tcMar>
            <w:vAlign w:val="center"/>
          </w:tcPr>
          <w:p w14:paraId="60F04DD6" w14:textId="77777777" w:rsidR="001C56BD" w:rsidRPr="00305460" w:rsidRDefault="001C56BD" w:rsidP="008A5C11">
            <w:pPr>
              <w:jc w:val="center"/>
              <w:rPr>
                <w:bCs/>
                <w:sz w:val="12"/>
                <w:szCs w:val="12"/>
              </w:rPr>
            </w:pPr>
            <w:r w:rsidRPr="00305460">
              <w:rPr>
                <w:bCs/>
                <w:sz w:val="12"/>
                <w:szCs w:val="12"/>
              </w:rPr>
              <w:t>7</w:t>
            </w:r>
          </w:p>
        </w:tc>
        <w:tc>
          <w:tcPr>
            <w:tcW w:w="244" w:type="pct"/>
            <w:shd w:val="clear" w:color="auto" w:fill="auto"/>
            <w:tcMar>
              <w:left w:w="17" w:type="dxa"/>
              <w:right w:w="17" w:type="dxa"/>
            </w:tcMar>
            <w:vAlign w:val="center"/>
          </w:tcPr>
          <w:p w14:paraId="7DE6FAC2" w14:textId="77777777" w:rsidR="001C56BD" w:rsidRPr="00305460" w:rsidRDefault="001C56BD" w:rsidP="008A5C11">
            <w:pPr>
              <w:jc w:val="center"/>
              <w:rPr>
                <w:bCs/>
                <w:sz w:val="12"/>
                <w:szCs w:val="12"/>
              </w:rPr>
            </w:pPr>
            <w:r w:rsidRPr="00305460">
              <w:rPr>
                <w:bCs/>
                <w:sz w:val="12"/>
                <w:szCs w:val="12"/>
              </w:rPr>
              <w:t>8</w:t>
            </w:r>
          </w:p>
        </w:tc>
        <w:tc>
          <w:tcPr>
            <w:tcW w:w="140" w:type="pct"/>
            <w:shd w:val="clear" w:color="auto" w:fill="auto"/>
            <w:tcMar>
              <w:left w:w="17" w:type="dxa"/>
              <w:right w:w="17" w:type="dxa"/>
            </w:tcMar>
            <w:vAlign w:val="center"/>
          </w:tcPr>
          <w:p w14:paraId="212ED386" w14:textId="77777777" w:rsidR="001C56BD" w:rsidRPr="00305460" w:rsidRDefault="001C56BD" w:rsidP="008A5C11">
            <w:pPr>
              <w:jc w:val="center"/>
              <w:rPr>
                <w:bCs/>
                <w:sz w:val="12"/>
                <w:szCs w:val="12"/>
              </w:rPr>
            </w:pPr>
            <w:r w:rsidRPr="00305460">
              <w:rPr>
                <w:bCs/>
                <w:sz w:val="12"/>
                <w:szCs w:val="12"/>
              </w:rPr>
              <w:t>9</w:t>
            </w:r>
          </w:p>
        </w:tc>
        <w:tc>
          <w:tcPr>
            <w:tcW w:w="140" w:type="pct"/>
            <w:shd w:val="clear" w:color="auto" w:fill="auto"/>
            <w:tcMar>
              <w:left w:w="17" w:type="dxa"/>
              <w:right w:w="17" w:type="dxa"/>
            </w:tcMar>
            <w:vAlign w:val="center"/>
          </w:tcPr>
          <w:p w14:paraId="1C7576A7" w14:textId="77777777" w:rsidR="001C56BD" w:rsidRPr="00305460" w:rsidRDefault="001C56BD" w:rsidP="008A5C11">
            <w:pPr>
              <w:jc w:val="center"/>
              <w:rPr>
                <w:bCs/>
                <w:sz w:val="12"/>
                <w:szCs w:val="12"/>
              </w:rPr>
            </w:pPr>
            <w:r w:rsidRPr="00305460">
              <w:rPr>
                <w:bCs/>
                <w:sz w:val="12"/>
                <w:szCs w:val="12"/>
              </w:rPr>
              <w:t>10</w:t>
            </w:r>
          </w:p>
        </w:tc>
        <w:tc>
          <w:tcPr>
            <w:tcW w:w="239" w:type="pct"/>
            <w:gridSpan w:val="3"/>
            <w:shd w:val="clear" w:color="auto" w:fill="auto"/>
            <w:tcMar>
              <w:left w:w="17" w:type="dxa"/>
              <w:right w:w="17" w:type="dxa"/>
            </w:tcMar>
            <w:vAlign w:val="center"/>
          </w:tcPr>
          <w:p w14:paraId="61559645" w14:textId="77777777" w:rsidR="001C56BD" w:rsidRPr="00305460" w:rsidRDefault="001C56BD" w:rsidP="008A5C11">
            <w:pPr>
              <w:jc w:val="center"/>
              <w:rPr>
                <w:bCs/>
                <w:sz w:val="12"/>
                <w:szCs w:val="12"/>
              </w:rPr>
            </w:pPr>
            <w:r w:rsidRPr="00305460">
              <w:rPr>
                <w:bCs/>
                <w:sz w:val="12"/>
                <w:szCs w:val="12"/>
              </w:rPr>
              <w:t>11</w:t>
            </w:r>
          </w:p>
        </w:tc>
        <w:tc>
          <w:tcPr>
            <w:tcW w:w="196" w:type="pct"/>
            <w:gridSpan w:val="3"/>
            <w:shd w:val="clear" w:color="auto" w:fill="auto"/>
            <w:tcMar>
              <w:left w:w="17" w:type="dxa"/>
              <w:right w:w="17" w:type="dxa"/>
            </w:tcMar>
            <w:vAlign w:val="center"/>
          </w:tcPr>
          <w:p w14:paraId="2B72B859" w14:textId="77777777" w:rsidR="001C56BD" w:rsidRPr="00305460" w:rsidRDefault="001C56BD" w:rsidP="008A5C11">
            <w:pPr>
              <w:jc w:val="center"/>
              <w:rPr>
                <w:bCs/>
                <w:sz w:val="12"/>
                <w:szCs w:val="12"/>
              </w:rPr>
            </w:pPr>
            <w:r w:rsidRPr="00305460">
              <w:rPr>
                <w:bCs/>
                <w:sz w:val="12"/>
                <w:szCs w:val="12"/>
              </w:rPr>
              <w:t>12</w:t>
            </w:r>
          </w:p>
        </w:tc>
        <w:tc>
          <w:tcPr>
            <w:tcW w:w="216" w:type="pct"/>
            <w:gridSpan w:val="3"/>
            <w:shd w:val="clear" w:color="auto" w:fill="auto"/>
            <w:tcMar>
              <w:left w:w="17" w:type="dxa"/>
              <w:right w:w="17" w:type="dxa"/>
            </w:tcMar>
            <w:vAlign w:val="center"/>
          </w:tcPr>
          <w:p w14:paraId="6B16FBA8" w14:textId="77777777" w:rsidR="001C56BD" w:rsidRPr="00305460" w:rsidRDefault="001C56BD" w:rsidP="008A5C11">
            <w:pPr>
              <w:jc w:val="center"/>
              <w:rPr>
                <w:bCs/>
                <w:sz w:val="12"/>
                <w:szCs w:val="12"/>
              </w:rPr>
            </w:pPr>
            <w:r w:rsidRPr="00305460">
              <w:rPr>
                <w:bCs/>
                <w:sz w:val="12"/>
                <w:szCs w:val="12"/>
              </w:rPr>
              <w:t>13</w:t>
            </w:r>
          </w:p>
        </w:tc>
        <w:tc>
          <w:tcPr>
            <w:tcW w:w="179" w:type="pct"/>
            <w:gridSpan w:val="2"/>
            <w:shd w:val="clear" w:color="auto" w:fill="auto"/>
            <w:tcMar>
              <w:left w:w="17" w:type="dxa"/>
              <w:right w:w="17" w:type="dxa"/>
            </w:tcMar>
            <w:vAlign w:val="center"/>
          </w:tcPr>
          <w:p w14:paraId="6BC14740" w14:textId="77777777" w:rsidR="001C56BD" w:rsidRPr="00305460" w:rsidRDefault="001C56BD" w:rsidP="008A5C11">
            <w:pPr>
              <w:jc w:val="center"/>
              <w:rPr>
                <w:bCs/>
                <w:sz w:val="12"/>
                <w:szCs w:val="12"/>
              </w:rPr>
            </w:pPr>
            <w:r w:rsidRPr="00305460">
              <w:rPr>
                <w:bCs/>
                <w:sz w:val="12"/>
                <w:szCs w:val="12"/>
              </w:rPr>
              <w:t>14</w:t>
            </w:r>
          </w:p>
        </w:tc>
        <w:tc>
          <w:tcPr>
            <w:tcW w:w="222" w:type="pct"/>
            <w:gridSpan w:val="2"/>
            <w:shd w:val="clear" w:color="auto" w:fill="auto"/>
            <w:tcMar>
              <w:left w:w="17" w:type="dxa"/>
              <w:right w:w="17" w:type="dxa"/>
            </w:tcMar>
            <w:vAlign w:val="center"/>
          </w:tcPr>
          <w:p w14:paraId="70D75FC1" w14:textId="77777777" w:rsidR="001C56BD" w:rsidRPr="00305460" w:rsidRDefault="001C56BD" w:rsidP="008A5C11">
            <w:pPr>
              <w:jc w:val="center"/>
              <w:rPr>
                <w:bCs/>
                <w:sz w:val="12"/>
                <w:szCs w:val="12"/>
              </w:rPr>
            </w:pPr>
            <w:r w:rsidRPr="00305460">
              <w:rPr>
                <w:bCs/>
                <w:sz w:val="12"/>
                <w:szCs w:val="12"/>
              </w:rPr>
              <w:t>15</w:t>
            </w:r>
          </w:p>
        </w:tc>
        <w:tc>
          <w:tcPr>
            <w:tcW w:w="213" w:type="pct"/>
            <w:tcMar>
              <w:left w:w="17" w:type="dxa"/>
              <w:right w:w="17" w:type="dxa"/>
            </w:tcMar>
            <w:vAlign w:val="center"/>
          </w:tcPr>
          <w:p w14:paraId="1181528C" w14:textId="77777777" w:rsidR="001C56BD" w:rsidRPr="00305460" w:rsidRDefault="001C56BD" w:rsidP="008A5C11">
            <w:pPr>
              <w:jc w:val="center"/>
              <w:rPr>
                <w:bCs/>
                <w:sz w:val="12"/>
                <w:szCs w:val="12"/>
              </w:rPr>
            </w:pPr>
            <w:r w:rsidRPr="00305460">
              <w:rPr>
                <w:bCs/>
                <w:sz w:val="12"/>
                <w:szCs w:val="12"/>
              </w:rPr>
              <w:t>16</w:t>
            </w:r>
          </w:p>
        </w:tc>
        <w:tc>
          <w:tcPr>
            <w:tcW w:w="218" w:type="pct"/>
            <w:tcMar>
              <w:left w:w="17" w:type="dxa"/>
              <w:right w:w="17" w:type="dxa"/>
            </w:tcMar>
            <w:vAlign w:val="center"/>
          </w:tcPr>
          <w:p w14:paraId="294879D6" w14:textId="77777777" w:rsidR="001C56BD" w:rsidRPr="00305460" w:rsidRDefault="001C56BD" w:rsidP="008A5C11">
            <w:pPr>
              <w:jc w:val="center"/>
              <w:rPr>
                <w:bCs/>
                <w:sz w:val="12"/>
                <w:szCs w:val="12"/>
              </w:rPr>
            </w:pPr>
            <w:r w:rsidRPr="00305460">
              <w:rPr>
                <w:bCs/>
                <w:sz w:val="12"/>
                <w:szCs w:val="12"/>
              </w:rPr>
              <w:t>17</w:t>
            </w:r>
          </w:p>
        </w:tc>
        <w:tc>
          <w:tcPr>
            <w:tcW w:w="218" w:type="pct"/>
            <w:tcMar>
              <w:left w:w="17" w:type="dxa"/>
              <w:right w:w="17" w:type="dxa"/>
            </w:tcMar>
            <w:vAlign w:val="center"/>
          </w:tcPr>
          <w:p w14:paraId="5C76CA53" w14:textId="77777777" w:rsidR="001C56BD" w:rsidRPr="00305460" w:rsidRDefault="001C56BD" w:rsidP="008A5C11">
            <w:pPr>
              <w:jc w:val="center"/>
              <w:rPr>
                <w:bCs/>
                <w:sz w:val="12"/>
                <w:szCs w:val="12"/>
              </w:rPr>
            </w:pPr>
            <w:r w:rsidRPr="00305460">
              <w:rPr>
                <w:bCs/>
                <w:sz w:val="12"/>
                <w:szCs w:val="12"/>
              </w:rPr>
              <w:t>18</w:t>
            </w:r>
          </w:p>
        </w:tc>
        <w:tc>
          <w:tcPr>
            <w:tcW w:w="218" w:type="pct"/>
            <w:tcMar>
              <w:left w:w="17" w:type="dxa"/>
              <w:right w:w="17" w:type="dxa"/>
            </w:tcMar>
            <w:vAlign w:val="center"/>
          </w:tcPr>
          <w:p w14:paraId="543CCC36" w14:textId="77777777" w:rsidR="001C56BD" w:rsidRPr="00305460" w:rsidRDefault="001C56BD" w:rsidP="008A5C11">
            <w:pPr>
              <w:jc w:val="center"/>
              <w:rPr>
                <w:bCs/>
                <w:sz w:val="12"/>
                <w:szCs w:val="12"/>
              </w:rPr>
            </w:pPr>
            <w:r w:rsidRPr="00305460">
              <w:rPr>
                <w:bCs/>
                <w:sz w:val="12"/>
                <w:szCs w:val="12"/>
              </w:rPr>
              <w:t>19</w:t>
            </w:r>
          </w:p>
        </w:tc>
        <w:tc>
          <w:tcPr>
            <w:tcW w:w="218" w:type="pct"/>
            <w:gridSpan w:val="2"/>
            <w:tcMar>
              <w:left w:w="17" w:type="dxa"/>
              <w:right w:w="17" w:type="dxa"/>
            </w:tcMar>
            <w:vAlign w:val="center"/>
          </w:tcPr>
          <w:p w14:paraId="3B730956" w14:textId="77777777" w:rsidR="001C56BD" w:rsidRPr="00305460" w:rsidRDefault="001C56BD" w:rsidP="008A5C11">
            <w:pPr>
              <w:jc w:val="center"/>
              <w:rPr>
                <w:bCs/>
                <w:sz w:val="12"/>
                <w:szCs w:val="12"/>
              </w:rPr>
            </w:pPr>
            <w:r w:rsidRPr="00305460">
              <w:rPr>
                <w:bCs/>
                <w:sz w:val="12"/>
                <w:szCs w:val="12"/>
              </w:rPr>
              <w:t>20</w:t>
            </w:r>
          </w:p>
        </w:tc>
        <w:tc>
          <w:tcPr>
            <w:tcW w:w="172" w:type="pct"/>
            <w:gridSpan w:val="2"/>
            <w:tcMar>
              <w:left w:w="17" w:type="dxa"/>
              <w:right w:w="17" w:type="dxa"/>
            </w:tcMar>
            <w:vAlign w:val="center"/>
          </w:tcPr>
          <w:p w14:paraId="4739FA4A" w14:textId="77777777" w:rsidR="001C56BD" w:rsidRPr="00305460" w:rsidRDefault="001C56BD" w:rsidP="008A5C11">
            <w:pPr>
              <w:jc w:val="center"/>
              <w:rPr>
                <w:bCs/>
                <w:sz w:val="12"/>
                <w:szCs w:val="12"/>
              </w:rPr>
            </w:pPr>
            <w:r w:rsidRPr="00305460">
              <w:rPr>
                <w:bCs/>
                <w:sz w:val="12"/>
                <w:szCs w:val="12"/>
              </w:rPr>
              <w:t>21</w:t>
            </w:r>
          </w:p>
        </w:tc>
        <w:tc>
          <w:tcPr>
            <w:tcW w:w="219" w:type="pct"/>
            <w:tcMar>
              <w:left w:w="17" w:type="dxa"/>
              <w:right w:w="17" w:type="dxa"/>
            </w:tcMar>
            <w:vAlign w:val="center"/>
          </w:tcPr>
          <w:p w14:paraId="1643BEC1" w14:textId="77777777" w:rsidR="001C56BD" w:rsidRPr="00305460" w:rsidRDefault="001C56BD" w:rsidP="008A5C11">
            <w:pPr>
              <w:jc w:val="center"/>
              <w:rPr>
                <w:bCs/>
                <w:sz w:val="12"/>
                <w:szCs w:val="12"/>
              </w:rPr>
            </w:pPr>
            <w:r w:rsidRPr="00305460">
              <w:rPr>
                <w:bCs/>
                <w:sz w:val="12"/>
                <w:szCs w:val="12"/>
              </w:rPr>
              <w:t>22</w:t>
            </w:r>
          </w:p>
        </w:tc>
        <w:tc>
          <w:tcPr>
            <w:tcW w:w="174" w:type="pct"/>
            <w:tcMar>
              <w:left w:w="17" w:type="dxa"/>
              <w:right w:w="17" w:type="dxa"/>
            </w:tcMar>
            <w:vAlign w:val="center"/>
          </w:tcPr>
          <w:p w14:paraId="3FF9ABBC" w14:textId="77777777" w:rsidR="001C56BD" w:rsidRPr="00305460" w:rsidRDefault="001C56BD" w:rsidP="008A5C11">
            <w:pPr>
              <w:jc w:val="center"/>
              <w:rPr>
                <w:bCs/>
                <w:sz w:val="12"/>
                <w:szCs w:val="12"/>
              </w:rPr>
            </w:pPr>
            <w:r w:rsidRPr="00305460">
              <w:rPr>
                <w:bCs/>
                <w:sz w:val="12"/>
                <w:szCs w:val="12"/>
              </w:rPr>
              <w:t>23</w:t>
            </w:r>
          </w:p>
        </w:tc>
        <w:tc>
          <w:tcPr>
            <w:tcW w:w="176" w:type="pct"/>
            <w:tcMar>
              <w:left w:w="17" w:type="dxa"/>
              <w:right w:w="17" w:type="dxa"/>
            </w:tcMar>
            <w:vAlign w:val="center"/>
          </w:tcPr>
          <w:p w14:paraId="683E18EC" w14:textId="77777777" w:rsidR="001C56BD" w:rsidRPr="00305460" w:rsidRDefault="001C56BD" w:rsidP="008A5C11">
            <w:pPr>
              <w:jc w:val="center"/>
              <w:rPr>
                <w:bCs/>
                <w:sz w:val="12"/>
                <w:szCs w:val="12"/>
              </w:rPr>
            </w:pPr>
            <w:r w:rsidRPr="00305460">
              <w:rPr>
                <w:bCs/>
                <w:sz w:val="12"/>
                <w:szCs w:val="12"/>
              </w:rPr>
              <w:t>24</w:t>
            </w:r>
          </w:p>
        </w:tc>
      </w:tr>
      <w:tr w:rsidR="001C56BD" w:rsidRPr="00305460" w14:paraId="3A50F17D" w14:textId="77777777" w:rsidTr="008A5C11">
        <w:trPr>
          <w:trHeight w:val="897"/>
        </w:trPr>
        <w:tc>
          <w:tcPr>
            <w:tcW w:w="86" w:type="pct"/>
            <w:shd w:val="clear" w:color="auto" w:fill="auto"/>
            <w:tcMar>
              <w:left w:w="17" w:type="dxa"/>
              <w:right w:w="17" w:type="dxa"/>
            </w:tcMar>
            <w:vAlign w:val="center"/>
          </w:tcPr>
          <w:p w14:paraId="3D52202D" w14:textId="77777777" w:rsidR="001C56BD" w:rsidRPr="00305460" w:rsidRDefault="001C56BD" w:rsidP="008A5C11">
            <w:pPr>
              <w:jc w:val="center"/>
              <w:rPr>
                <w:sz w:val="12"/>
                <w:szCs w:val="12"/>
              </w:rPr>
            </w:pPr>
            <w:r w:rsidRPr="00305460">
              <w:rPr>
                <w:sz w:val="12"/>
                <w:szCs w:val="12"/>
              </w:rPr>
              <w:t>3.1.20.</w:t>
            </w:r>
          </w:p>
        </w:tc>
        <w:tc>
          <w:tcPr>
            <w:tcW w:w="295" w:type="pct"/>
            <w:shd w:val="clear" w:color="auto" w:fill="auto"/>
            <w:tcMar>
              <w:left w:w="17" w:type="dxa"/>
              <w:right w:w="17" w:type="dxa"/>
            </w:tcMar>
            <w:vAlign w:val="center"/>
          </w:tcPr>
          <w:p w14:paraId="12A93C3C" w14:textId="77777777" w:rsidR="001C56BD" w:rsidRPr="00305460" w:rsidRDefault="001C56BD" w:rsidP="008A5C11">
            <w:pPr>
              <w:rPr>
                <w:sz w:val="12"/>
                <w:szCs w:val="12"/>
              </w:rPr>
            </w:pPr>
            <w:r w:rsidRPr="00305460">
              <w:rPr>
                <w:sz w:val="12"/>
                <w:szCs w:val="12"/>
              </w:rPr>
              <w:t>Реконструкция тепловой сети с реестровым номером 777223</w:t>
            </w:r>
          </w:p>
        </w:tc>
        <w:tc>
          <w:tcPr>
            <w:tcW w:w="307" w:type="pct"/>
            <w:shd w:val="clear" w:color="000000" w:fill="FFFFFF"/>
            <w:tcMar>
              <w:left w:w="17" w:type="dxa"/>
              <w:right w:w="17" w:type="dxa"/>
            </w:tcMar>
            <w:vAlign w:val="center"/>
          </w:tcPr>
          <w:p w14:paraId="01789421" w14:textId="77777777" w:rsidR="001C56BD" w:rsidRPr="00305460" w:rsidRDefault="001C56BD" w:rsidP="008A5C11">
            <w:pPr>
              <w:jc w:val="center"/>
              <w:rPr>
                <w:sz w:val="12"/>
                <w:szCs w:val="12"/>
              </w:rPr>
            </w:pPr>
            <w:r w:rsidRPr="00305460">
              <w:rPr>
                <w:color w:val="000000"/>
                <w:sz w:val="12"/>
                <w:szCs w:val="12"/>
              </w:rPr>
              <w:t>Повышение надежности услуг теплоснабжения, повышение энергетической эффективности</w:t>
            </w:r>
          </w:p>
        </w:tc>
        <w:tc>
          <w:tcPr>
            <w:tcW w:w="280" w:type="pct"/>
            <w:shd w:val="clear" w:color="auto" w:fill="auto"/>
            <w:tcMar>
              <w:left w:w="17" w:type="dxa"/>
              <w:right w:w="17" w:type="dxa"/>
            </w:tcMar>
            <w:vAlign w:val="center"/>
          </w:tcPr>
          <w:p w14:paraId="09D770A9" w14:textId="77777777" w:rsidR="001C56BD" w:rsidRPr="00305460" w:rsidRDefault="001C56BD" w:rsidP="008A5C11">
            <w:pPr>
              <w:jc w:val="center"/>
              <w:rPr>
                <w:sz w:val="12"/>
                <w:szCs w:val="12"/>
              </w:rPr>
            </w:pPr>
            <w:r w:rsidRPr="00305460">
              <w:rPr>
                <w:sz w:val="12"/>
                <w:szCs w:val="12"/>
              </w:rPr>
              <w:t xml:space="preserve">Кемеровский городской округ, Заводский район, квартал №8, </w:t>
            </w:r>
            <w:r w:rsidRPr="00305460">
              <w:rPr>
                <w:sz w:val="12"/>
                <w:szCs w:val="12"/>
              </w:rPr>
              <w:br/>
              <w:t>в границах ул. Космическая, ул. Радищева, ул. Патриотов, ул. Сергея Тюленина</w:t>
            </w:r>
          </w:p>
        </w:tc>
        <w:tc>
          <w:tcPr>
            <w:tcW w:w="289" w:type="pct"/>
            <w:shd w:val="clear" w:color="auto" w:fill="auto"/>
            <w:tcMar>
              <w:left w:w="17" w:type="dxa"/>
              <w:right w:w="17" w:type="dxa"/>
            </w:tcMar>
            <w:vAlign w:val="center"/>
          </w:tcPr>
          <w:p w14:paraId="2909BF7D" w14:textId="77777777" w:rsidR="001C56BD" w:rsidRPr="00305460" w:rsidRDefault="001C56BD" w:rsidP="008A5C11">
            <w:pPr>
              <w:jc w:val="center"/>
              <w:rPr>
                <w:sz w:val="12"/>
                <w:szCs w:val="12"/>
              </w:rPr>
            </w:pPr>
            <w:r w:rsidRPr="00305460">
              <w:rPr>
                <w:color w:val="000000"/>
                <w:sz w:val="12"/>
                <w:szCs w:val="12"/>
              </w:rPr>
              <w:t>Технические характеристики</w:t>
            </w:r>
          </w:p>
        </w:tc>
        <w:tc>
          <w:tcPr>
            <w:tcW w:w="137" w:type="pct"/>
            <w:shd w:val="clear" w:color="auto" w:fill="auto"/>
            <w:tcMar>
              <w:left w:w="17" w:type="dxa"/>
              <w:right w:w="17" w:type="dxa"/>
            </w:tcMar>
            <w:vAlign w:val="center"/>
          </w:tcPr>
          <w:p w14:paraId="7603F74F" w14:textId="77777777" w:rsidR="001C56BD" w:rsidRPr="00305460" w:rsidRDefault="001C56BD" w:rsidP="008A5C11">
            <w:pPr>
              <w:jc w:val="center"/>
              <w:rPr>
                <w:color w:val="000000"/>
                <w:sz w:val="12"/>
                <w:szCs w:val="12"/>
              </w:rPr>
            </w:pPr>
          </w:p>
        </w:tc>
        <w:tc>
          <w:tcPr>
            <w:tcW w:w="202" w:type="pct"/>
            <w:shd w:val="clear" w:color="auto" w:fill="auto"/>
            <w:tcMar>
              <w:left w:w="17" w:type="dxa"/>
              <w:right w:w="17" w:type="dxa"/>
            </w:tcMar>
            <w:vAlign w:val="center"/>
          </w:tcPr>
          <w:p w14:paraId="1133928B" w14:textId="77777777" w:rsidR="001C56BD" w:rsidRPr="00305460" w:rsidRDefault="001C56BD" w:rsidP="008A5C11">
            <w:pPr>
              <w:jc w:val="center"/>
              <w:rPr>
                <w:sz w:val="12"/>
                <w:szCs w:val="12"/>
              </w:rPr>
            </w:pPr>
            <w:r w:rsidRPr="00305460">
              <w:rPr>
                <w:sz w:val="12"/>
                <w:szCs w:val="12"/>
              </w:rPr>
              <w:t xml:space="preserve">Канал-кирпич, опоры-хомутовые </w:t>
            </w:r>
            <w:proofErr w:type="gramStart"/>
            <w:r w:rsidRPr="00305460">
              <w:rPr>
                <w:sz w:val="12"/>
                <w:szCs w:val="12"/>
              </w:rPr>
              <w:t>привар-ные</w:t>
            </w:r>
            <w:proofErr w:type="gramEnd"/>
            <w:r w:rsidRPr="00305460">
              <w:rPr>
                <w:sz w:val="12"/>
                <w:szCs w:val="12"/>
              </w:rPr>
              <w:t xml:space="preserve">, запорная арматура - стальная клиновая, антикоррозийная защита-лак БТ, труба-сталь 20, изоляция - мин. маты </w:t>
            </w:r>
          </w:p>
        </w:tc>
        <w:tc>
          <w:tcPr>
            <w:tcW w:w="244" w:type="pct"/>
            <w:shd w:val="clear" w:color="auto" w:fill="auto"/>
            <w:tcMar>
              <w:left w:w="17" w:type="dxa"/>
              <w:right w:w="17" w:type="dxa"/>
            </w:tcMar>
            <w:vAlign w:val="center"/>
          </w:tcPr>
          <w:p w14:paraId="02898B88" w14:textId="77777777" w:rsidR="001C56BD" w:rsidRPr="00305460" w:rsidRDefault="001C56BD" w:rsidP="008A5C11">
            <w:pPr>
              <w:jc w:val="center"/>
              <w:rPr>
                <w:sz w:val="12"/>
                <w:szCs w:val="12"/>
              </w:rPr>
            </w:pPr>
            <w:r w:rsidRPr="00305460">
              <w:rPr>
                <w:sz w:val="12"/>
                <w:szCs w:val="12"/>
              </w:rPr>
              <w:t xml:space="preserve">Канал-ж/б лотки, опоры-хомутовые с диэлектрической прокладкой, запорная арматура - кран шаровый, антикоррозийная защита-мастика Вектор 1214, 1025, труба-сталь 09Г2С, изоляция - маты прошивные, </w:t>
            </w:r>
            <w:proofErr w:type="gramStart"/>
            <w:r w:rsidRPr="00305460">
              <w:rPr>
                <w:sz w:val="12"/>
                <w:szCs w:val="12"/>
              </w:rPr>
              <w:t>стеклоплас-тик</w:t>
            </w:r>
            <w:proofErr w:type="gramEnd"/>
            <w:r w:rsidRPr="00305460">
              <w:rPr>
                <w:sz w:val="12"/>
                <w:szCs w:val="12"/>
              </w:rPr>
              <w:t xml:space="preserve">  </w:t>
            </w:r>
          </w:p>
        </w:tc>
        <w:tc>
          <w:tcPr>
            <w:tcW w:w="140" w:type="pct"/>
            <w:shd w:val="clear" w:color="auto" w:fill="auto"/>
            <w:tcMar>
              <w:left w:w="17" w:type="dxa"/>
              <w:right w:w="17" w:type="dxa"/>
            </w:tcMar>
            <w:vAlign w:val="center"/>
          </w:tcPr>
          <w:p w14:paraId="71BA9A40" w14:textId="77777777" w:rsidR="001C56BD" w:rsidRPr="00305460" w:rsidRDefault="001C56BD" w:rsidP="008A5C11">
            <w:pPr>
              <w:jc w:val="center"/>
              <w:rPr>
                <w:sz w:val="12"/>
                <w:szCs w:val="12"/>
              </w:rPr>
            </w:pPr>
            <w:r w:rsidRPr="00305460">
              <w:rPr>
                <w:sz w:val="12"/>
                <w:szCs w:val="12"/>
              </w:rPr>
              <w:t>2031</w:t>
            </w:r>
          </w:p>
        </w:tc>
        <w:tc>
          <w:tcPr>
            <w:tcW w:w="140" w:type="pct"/>
            <w:shd w:val="clear" w:color="auto" w:fill="auto"/>
            <w:tcMar>
              <w:left w:w="17" w:type="dxa"/>
              <w:right w:w="17" w:type="dxa"/>
            </w:tcMar>
            <w:vAlign w:val="center"/>
          </w:tcPr>
          <w:p w14:paraId="1EBC6BC9" w14:textId="77777777" w:rsidR="001C56BD" w:rsidRPr="00305460" w:rsidRDefault="001C56BD" w:rsidP="008A5C11">
            <w:pPr>
              <w:jc w:val="center"/>
              <w:rPr>
                <w:sz w:val="12"/>
                <w:szCs w:val="12"/>
              </w:rPr>
            </w:pPr>
            <w:r w:rsidRPr="00305460">
              <w:rPr>
                <w:sz w:val="12"/>
                <w:szCs w:val="12"/>
              </w:rPr>
              <w:t>2031</w:t>
            </w:r>
          </w:p>
        </w:tc>
        <w:tc>
          <w:tcPr>
            <w:tcW w:w="239" w:type="pct"/>
            <w:gridSpan w:val="3"/>
            <w:shd w:val="clear" w:color="auto" w:fill="auto"/>
            <w:tcMar>
              <w:left w:w="17" w:type="dxa"/>
              <w:right w:w="17" w:type="dxa"/>
            </w:tcMar>
            <w:vAlign w:val="center"/>
          </w:tcPr>
          <w:p w14:paraId="3D7FC307" w14:textId="77777777" w:rsidR="001C56BD" w:rsidRPr="00305460" w:rsidRDefault="001C56BD" w:rsidP="008A5C11">
            <w:pPr>
              <w:jc w:val="center"/>
              <w:rPr>
                <w:sz w:val="12"/>
                <w:szCs w:val="12"/>
              </w:rPr>
            </w:pPr>
            <w:r w:rsidRPr="00305460">
              <w:rPr>
                <w:sz w:val="12"/>
                <w:szCs w:val="12"/>
              </w:rPr>
              <w:t>12648,012</w:t>
            </w:r>
          </w:p>
        </w:tc>
        <w:tc>
          <w:tcPr>
            <w:tcW w:w="196" w:type="pct"/>
            <w:gridSpan w:val="3"/>
            <w:shd w:val="clear" w:color="auto" w:fill="auto"/>
            <w:tcMar>
              <w:left w:w="17" w:type="dxa"/>
              <w:right w:w="17" w:type="dxa"/>
            </w:tcMar>
            <w:vAlign w:val="center"/>
          </w:tcPr>
          <w:p w14:paraId="6969C88B" w14:textId="77777777" w:rsidR="001C56BD" w:rsidRPr="00305460" w:rsidRDefault="001C56BD" w:rsidP="008A5C11">
            <w:pPr>
              <w:jc w:val="center"/>
              <w:rPr>
                <w:sz w:val="12"/>
                <w:szCs w:val="12"/>
              </w:rPr>
            </w:pPr>
            <w:r w:rsidRPr="00305460">
              <w:rPr>
                <w:sz w:val="12"/>
                <w:szCs w:val="12"/>
              </w:rPr>
              <w:t>0,000</w:t>
            </w:r>
          </w:p>
        </w:tc>
        <w:tc>
          <w:tcPr>
            <w:tcW w:w="216" w:type="pct"/>
            <w:gridSpan w:val="3"/>
            <w:shd w:val="clear" w:color="auto" w:fill="auto"/>
            <w:tcMar>
              <w:left w:w="17" w:type="dxa"/>
              <w:right w:w="17" w:type="dxa"/>
            </w:tcMar>
            <w:vAlign w:val="center"/>
          </w:tcPr>
          <w:p w14:paraId="1A3F7702" w14:textId="77777777" w:rsidR="001C56BD" w:rsidRPr="00305460" w:rsidRDefault="001C56BD" w:rsidP="008A5C11">
            <w:pPr>
              <w:jc w:val="center"/>
              <w:rPr>
                <w:sz w:val="12"/>
                <w:szCs w:val="12"/>
              </w:rPr>
            </w:pPr>
            <w:r w:rsidRPr="00305460">
              <w:rPr>
                <w:sz w:val="12"/>
                <w:szCs w:val="12"/>
              </w:rPr>
              <w:t>0,000</w:t>
            </w:r>
          </w:p>
        </w:tc>
        <w:tc>
          <w:tcPr>
            <w:tcW w:w="179" w:type="pct"/>
            <w:gridSpan w:val="2"/>
            <w:shd w:val="clear" w:color="auto" w:fill="auto"/>
            <w:tcMar>
              <w:left w:w="17" w:type="dxa"/>
              <w:right w:w="17" w:type="dxa"/>
            </w:tcMar>
            <w:vAlign w:val="center"/>
          </w:tcPr>
          <w:p w14:paraId="0FC53A88" w14:textId="77777777" w:rsidR="001C56BD" w:rsidRPr="00305460" w:rsidRDefault="001C56BD" w:rsidP="008A5C11">
            <w:pPr>
              <w:jc w:val="center"/>
              <w:rPr>
                <w:sz w:val="12"/>
                <w:szCs w:val="12"/>
              </w:rPr>
            </w:pPr>
            <w:r w:rsidRPr="00305460">
              <w:rPr>
                <w:sz w:val="12"/>
                <w:szCs w:val="12"/>
              </w:rPr>
              <w:t>0,000</w:t>
            </w:r>
          </w:p>
        </w:tc>
        <w:tc>
          <w:tcPr>
            <w:tcW w:w="222" w:type="pct"/>
            <w:gridSpan w:val="2"/>
            <w:shd w:val="clear" w:color="auto" w:fill="auto"/>
            <w:tcMar>
              <w:left w:w="17" w:type="dxa"/>
              <w:right w:w="17" w:type="dxa"/>
            </w:tcMar>
            <w:vAlign w:val="center"/>
          </w:tcPr>
          <w:p w14:paraId="1C632CBB" w14:textId="77777777" w:rsidR="001C56BD" w:rsidRPr="00305460" w:rsidRDefault="001C56BD" w:rsidP="008A5C11">
            <w:pPr>
              <w:jc w:val="center"/>
              <w:rPr>
                <w:sz w:val="12"/>
                <w:szCs w:val="12"/>
              </w:rPr>
            </w:pPr>
            <w:r w:rsidRPr="00305460">
              <w:rPr>
                <w:sz w:val="12"/>
                <w:szCs w:val="12"/>
              </w:rPr>
              <w:t>0,000</w:t>
            </w:r>
          </w:p>
        </w:tc>
        <w:tc>
          <w:tcPr>
            <w:tcW w:w="213" w:type="pct"/>
            <w:shd w:val="clear" w:color="auto" w:fill="auto"/>
            <w:tcMar>
              <w:left w:w="17" w:type="dxa"/>
              <w:right w:w="17" w:type="dxa"/>
            </w:tcMar>
            <w:vAlign w:val="center"/>
          </w:tcPr>
          <w:p w14:paraId="23B7B3B0"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597531CA"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0003FDD6"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342D99FD" w14:textId="77777777" w:rsidR="001C56BD" w:rsidRPr="00305460" w:rsidRDefault="001C56BD" w:rsidP="008A5C11">
            <w:pPr>
              <w:jc w:val="center"/>
              <w:rPr>
                <w:sz w:val="12"/>
                <w:szCs w:val="12"/>
              </w:rPr>
            </w:pPr>
            <w:r w:rsidRPr="00305460">
              <w:rPr>
                <w:sz w:val="12"/>
                <w:szCs w:val="12"/>
              </w:rPr>
              <w:t>0,000</w:t>
            </w:r>
          </w:p>
        </w:tc>
        <w:tc>
          <w:tcPr>
            <w:tcW w:w="218" w:type="pct"/>
            <w:gridSpan w:val="2"/>
            <w:shd w:val="clear" w:color="auto" w:fill="auto"/>
            <w:tcMar>
              <w:left w:w="17" w:type="dxa"/>
              <w:right w:w="17" w:type="dxa"/>
            </w:tcMar>
            <w:vAlign w:val="center"/>
          </w:tcPr>
          <w:p w14:paraId="54794EEF" w14:textId="77777777" w:rsidR="001C56BD" w:rsidRPr="00305460" w:rsidRDefault="001C56BD" w:rsidP="008A5C11">
            <w:pPr>
              <w:jc w:val="center"/>
              <w:rPr>
                <w:sz w:val="12"/>
                <w:szCs w:val="12"/>
              </w:rPr>
            </w:pPr>
            <w:r w:rsidRPr="00305460">
              <w:rPr>
                <w:sz w:val="12"/>
                <w:szCs w:val="12"/>
              </w:rPr>
              <w:t>0,000</w:t>
            </w:r>
          </w:p>
        </w:tc>
        <w:tc>
          <w:tcPr>
            <w:tcW w:w="172" w:type="pct"/>
            <w:gridSpan w:val="2"/>
            <w:shd w:val="clear" w:color="auto" w:fill="auto"/>
            <w:tcMar>
              <w:left w:w="17" w:type="dxa"/>
              <w:right w:w="17" w:type="dxa"/>
            </w:tcMar>
            <w:vAlign w:val="center"/>
          </w:tcPr>
          <w:p w14:paraId="4CD60E30" w14:textId="77777777" w:rsidR="001C56BD" w:rsidRPr="00305460" w:rsidRDefault="001C56BD" w:rsidP="008A5C11">
            <w:pPr>
              <w:jc w:val="center"/>
              <w:rPr>
                <w:sz w:val="12"/>
                <w:szCs w:val="12"/>
              </w:rPr>
            </w:pPr>
            <w:r w:rsidRPr="00305460">
              <w:rPr>
                <w:sz w:val="12"/>
                <w:szCs w:val="12"/>
              </w:rPr>
              <w:t>0,000</w:t>
            </w:r>
          </w:p>
        </w:tc>
        <w:tc>
          <w:tcPr>
            <w:tcW w:w="219" w:type="pct"/>
            <w:shd w:val="clear" w:color="auto" w:fill="auto"/>
            <w:tcMar>
              <w:left w:w="17" w:type="dxa"/>
              <w:right w:w="17" w:type="dxa"/>
            </w:tcMar>
            <w:vAlign w:val="center"/>
          </w:tcPr>
          <w:p w14:paraId="4AEB240C" w14:textId="77777777" w:rsidR="001C56BD" w:rsidRPr="00305460" w:rsidRDefault="001C56BD" w:rsidP="008A5C11">
            <w:pPr>
              <w:jc w:val="center"/>
              <w:rPr>
                <w:sz w:val="12"/>
                <w:szCs w:val="12"/>
              </w:rPr>
            </w:pPr>
            <w:r w:rsidRPr="00305460">
              <w:rPr>
                <w:sz w:val="12"/>
                <w:szCs w:val="12"/>
              </w:rPr>
              <w:t>12648,012</w:t>
            </w:r>
          </w:p>
        </w:tc>
        <w:tc>
          <w:tcPr>
            <w:tcW w:w="174" w:type="pct"/>
            <w:shd w:val="clear" w:color="auto" w:fill="auto"/>
            <w:tcMar>
              <w:left w:w="17" w:type="dxa"/>
              <w:right w:w="17" w:type="dxa"/>
            </w:tcMar>
            <w:vAlign w:val="center"/>
          </w:tcPr>
          <w:p w14:paraId="39D2CDAE" w14:textId="77777777" w:rsidR="001C56BD" w:rsidRPr="00305460" w:rsidRDefault="001C56BD" w:rsidP="008A5C11">
            <w:pPr>
              <w:jc w:val="center"/>
              <w:rPr>
                <w:sz w:val="12"/>
                <w:szCs w:val="12"/>
              </w:rPr>
            </w:pPr>
            <w:r w:rsidRPr="00305460">
              <w:rPr>
                <w:sz w:val="12"/>
                <w:szCs w:val="12"/>
              </w:rPr>
              <w:t>0,000</w:t>
            </w:r>
          </w:p>
        </w:tc>
        <w:tc>
          <w:tcPr>
            <w:tcW w:w="176" w:type="pct"/>
            <w:shd w:val="clear" w:color="auto" w:fill="auto"/>
            <w:tcMar>
              <w:left w:w="17" w:type="dxa"/>
              <w:right w:w="17" w:type="dxa"/>
            </w:tcMar>
            <w:vAlign w:val="center"/>
          </w:tcPr>
          <w:p w14:paraId="67296693" w14:textId="77777777" w:rsidR="001C56BD" w:rsidRPr="00305460" w:rsidRDefault="001C56BD" w:rsidP="008A5C11">
            <w:pPr>
              <w:jc w:val="center"/>
              <w:rPr>
                <w:sz w:val="12"/>
                <w:szCs w:val="12"/>
              </w:rPr>
            </w:pPr>
            <w:r w:rsidRPr="00305460">
              <w:rPr>
                <w:sz w:val="12"/>
                <w:szCs w:val="12"/>
              </w:rPr>
              <w:t>0,000</w:t>
            </w:r>
          </w:p>
        </w:tc>
      </w:tr>
      <w:tr w:rsidR="001C56BD" w:rsidRPr="00305460" w14:paraId="474F59C8" w14:textId="77777777" w:rsidTr="008A5C11">
        <w:trPr>
          <w:trHeight w:val="897"/>
        </w:trPr>
        <w:tc>
          <w:tcPr>
            <w:tcW w:w="86" w:type="pct"/>
            <w:shd w:val="clear" w:color="auto" w:fill="auto"/>
            <w:tcMar>
              <w:left w:w="17" w:type="dxa"/>
              <w:right w:w="17" w:type="dxa"/>
            </w:tcMar>
            <w:vAlign w:val="center"/>
          </w:tcPr>
          <w:p w14:paraId="4E4D2B51" w14:textId="77777777" w:rsidR="001C56BD" w:rsidRPr="00305460" w:rsidRDefault="001C56BD" w:rsidP="008A5C11">
            <w:pPr>
              <w:jc w:val="center"/>
              <w:rPr>
                <w:sz w:val="12"/>
                <w:szCs w:val="12"/>
              </w:rPr>
            </w:pPr>
            <w:r w:rsidRPr="00305460">
              <w:rPr>
                <w:sz w:val="12"/>
                <w:szCs w:val="12"/>
              </w:rPr>
              <w:t>3.1.21.</w:t>
            </w:r>
          </w:p>
        </w:tc>
        <w:tc>
          <w:tcPr>
            <w:tcW w:w="295" w:type="pct"/>
            <w:shd w:val="clear" w:color="auto" w:fill="auto"/>
            <w:tcMar>
              <w:left w:w="17" w:type="dxa"/>
              <w:right w:w="17" w:type="dxa"/>
            </w:tcMar>
            <w:vAlign w:val="center"/>
          </w:tcPr>
          <w:p w14:paraId="01839347" w14:textId="77777777" w:rsidR="001C56BD" w:rsidRPr="00305460" w:rsidRDefault="001C56BD" w:rsidP="008A5C11">
            <w:pPr>
              <w:rPr>
                <w:sz w:val="12"/>
                <w:szCs w:val="12"/>
              </w:rPr>
            </w:pPr>
            <w:r w:rsidRPr="00305460">
              <w:rPr>
                <w:color w:val="000000"/>
                <w:sz w:val="12"/>
                <w:szCs w:val="12"/>
              </w:rPr>
              <w:t>Реконструкция тепловой сети с реестровым номером</w:t>
            </w:r>
            <w:r w:rsidRPr="00305460">
              <w:rPr>
                <w:sz w:val="12"/>
                <w:szCs w:val="12"/>
              </w:rPr>
              <w:t xml:space="preserve"> 777282</w:t>
            </w:r>
          </w:p>
        </w:tc>
        <w:tc>
          <w:tcPr>
            <w:tcW w:w="307" w:type="pct"/>
            <w:shd w:val="clear" w:color="000000" w:fill="FFFFFF"/>
            <w:tcMar>
              <w:left w:w="17" w:type="dxa"/>
              <w:right w:w="17" w:type="dxa"/>
            </w:tcMar>
            <w:vAlign w:val="center"/>
          </w:tcPr>
          <w:p w14:paraId="2FB5BDE5" w14:textId="77777777" w:rsidR="001C56BD" w:rsidRPr="00305460" w:rsidRDefault="001C56BD" w:rsidP="008A5C11">
            <w:pPr>
              <w:jc w:val="center"/>
              <w:rPr>
                <w:sz w:val="12"/>
                <w:szCs w:val="12"/>
              </w:rPr>
            </w:pPr>
            <w:r w:rsidRPr="00305460">
              <w:rPr>
                <w:color w:val="000000"/>
                <w:sz w:val="12"/>
                <w:szCs w:val="12"/>
              </w:rPr>
              <w:t>Повышение надежности услуг теплоснабжения, повышение энергетической эффективности</w:t>
            </w:r>
          </w:p>
        </w:tc>
        <w:tc>
          <w:tcPr>
            <w:tcW w:w="280" w:type="pct"/>
            <w:shd w:val="clear" w:color="auto" w:fill="auto"/>
            <w:tcMar>
              <w:left w:w="17" w:type="dxa"/>
              <w:right w:w="17" w:type="dxa"/>
            </w:tcMar>
            <w:vAlign w:val="center"/>
          </w:tcPr>
          <w:p w14:paraId="6A42CF62" w14:textId="77777777" w:rsidR="001C56BD" w:rsidRPr="00305460" w:rsidRDefault="001C56BD" w:rsidP="008A5C11">
            <w:pPr>
              <w:jc w:val="center"/>
              <w:rPr>
                <w:sz w:val="12"/>
                <w:szCs w:val="12"/>
              </w:rPr>
            </w:pPr>
            <w:r w:rsidRPr="00305460">
              <w:rPr>
                <w:sz w:val="12"/>
                <w:szCs w:val="12"/>
              </w:rPr>
              <w:t>Кемеровский городской округ, Заводский район, квартал №10, в границах ул. Веры Волошиной, ул. Радищева, ул. 1-я линия, ул. Базовая</w:t>
            </w:r>
          </w:p>
        </w:tc>
        <w:tc>
          <w:tcPr>
            <w:tcW w:w="289" w:type="pct"/>
            <w:shd w:val="clear" w:color="auto" w:fill="auto"/>
            <w:tcMar>
              <w:left w:w="17" w:type="dxa"/>
              <w:right w:w="17" w:type="dxa"/>
            </w:tcMar>
            <w:vAlign w:val="center"/>
          </w:tcPr>
          <w:p w14:paraId="201ADC1A" w14:textId="77777777" w:rsidR="001C56BD" w:rsidRPr="00305460" w:rsidRDefault="001C56BD" w:rsidP="008A5C11">
            <w:pPr>
              <w:jc w:val="center"/>
              <w:rPr>
                <w:sz w:val="12"/>
                <w:szCs w:val="12"/>
              </w:rPr>
            </w:pPr>
            <w:r w:rsidRPr="00305460">
              <w:rPr>
                <w:color w:val="000000"/>
                <w:sz w:val="12"/>
                <w:szCs w:val="12"/>
              </w:rPr>
              <w:t>Технические характеристики</w:t>
            </w:r>
          </w:p>
        </w:tc>
        <w:tc>
          <w:tcPr>
            <w:tcW w:w="137" w:type="pct"/>
            <w:shd w:val="clear" w:color="auto" w:fill="auto"/>
            <w:tcMar>
              <w:left w:w="17" w:type="dxa"/>
              <w:right w:w="17" w:type="dxa"/>
            </w:tcMar>
            <w:vAlign w:val="center"/>
          </w:tcPr>
          <w:p w14:paraId="417A860C" w14:textId="77777777" w:rsidR="001C56BD" w:rsidRPr="00305460" w:rsidRDefault="001C56BD" w:rsidP="008A5C11">
            <w:pPr>
              <w:jc w:val="center"/>
              <w:rPr>
                <w:color w:val="000000"/>
                <w:sz w:val="12"/>
                <w:szCs w:val="12"/>
              </w:rPr>
            </w:pPr>
          </w:p>
        </w:tc>
        <w:tc>
          <w:tcPr>
            <w:tcW w:w="202" w:type="pct"/>
            <w:shd w:val="clear" w:color="auto" w:fill="auto"/>
            <w:tcMar>
              <w:left w:w="17" w:type="dxa"/>
              <w:right w:w="17" w:type="dxa"/>
            </w:tcMar>
            <w:vAlign w:val="center"/>
          </w:tcPr>
          <w:p w14:paraId="14754178" w14:textId="77777777" w:rsidR="001C56BD" w:rsidRPr="00305460" w:rsidRDefault="001C56BD" w:rsidP="008A5C11">
            <w:pPr>
              <w:jc w:val="center"/>
              <w:rPr>
                <w:sz w:val="12"/>
                <w:szCs w:val="12"/>
              </w:rPr>
            </w:pPr>
            <w:r w:rsidRPr="00305460">
              <w:rPr>
                <w:sz w:val="12"/>
                <w:szCs w:val="12"/>
              </w:rPr>
              <w:t xml:space="preserve">Канал-кирпич, опоры-хомутовые привар-ные, запорная арматура - стальная клиновая, антикоррозийная защита-лак БТ, труба-сталь 20, изоляция - </w:t>
            </w:r>
            <w:proofErr w:type="gramStart"/>
            <w:r w:rsidRPr="00305460">
              <w:rPr>
                <w:sz w:val="12"/>
                <w:szCs w:val="12"/>
              </w:rPr>
              <w:t>мин.маты</w:t>
            </w:r>
            <w:proofErr w:type="gramEnd"/>
            <w:r w:rsidRPr="00305460">
              <w:rPr>
                <w:sz w:val="12"/>
                <w:szCs w:val="12"/>
              </w:rPr>
              <w:t xml:space="preserve"> </w:t>
            </w:r>
          </w:p>
        </w:tc>
        <w:tc>
          <w:tcPr>
            <w:tcW w:w="244" w:type="pct"/>
            <w:shd w:val="clear" w:color="auto" w:fill="auto"/>
            <w:tcMar>
              <w:left w:w="17" w:type="dxa"/>
              <w:right w:w="17" w:type="dxa"/>
            </w:tcMar>
            <w:vAlign w:val="center"/>
          </w:tcPr>
          <w:p w14:paraId="715D5A87" w14:textId="77777777" w:rsidR="001C56BD" w:rsidRPr="00305460" w:rsidRDefault="001C56BD" w:rsidP="008A5C11">
            <w:pPr>
              <w:jc w:val="center"/>
              <w:rPr>
                <w:sz w:val="12"/>
                <w:szCs w:val="12"/>
              </w:rPr>
            </w:pPr>
            <w:r w:rsidRPr="00305460">
              <w:rPr>
                <w:sz w:val="12"/>
                <w:szCs w:val="12"/>
              </w:rPr>
              <w:t xml:space="preserve">Канал-ж/б лотки, опоры-хомутовые с диэлектрической прокладкой, запорная арматура - кран шаровый, антикоррозийная защита-мастика Вектор 1214, 1025, труба-сталь 09Г2С, изоляция - маты прошивные, </w:t>
            </w:r>
            <w:proofErr w:type="gramStart"/>
            <w:r w:rsidRPr="00305460">
              <w:rPr>
                <w:sz w:val="12"/>
                <w:szCs w:val="12"/>
              </w:rPr>
              <w:t>стеклоплас-тик</w:t>
            </w:r>
            <w:proofErr w:type="gramEnd"/>
            <w:r w:rsidRPr="00305460">
              <w:rPr>
                <w:sz w:val="12"/>
                <w:szCs w:val="12"/>
              </w:rPr>
              <w:t xml:space="preserve">  </w:t>
            </w:r>
          </w:p>
        </w:tc>
        <w:tc>
          <w:tcPr>
            <w:tcW w:w="140" w:type="pct"/>
            <w:shd w:val="clear" w:color="auto" w:fill="auto"/>
            <w:tcMar>
              <w:left w:w="17" w:type="dxa"/>
              <w:right w:w="17" w:type="dxa"/>
            </w:tcMar>
            <w:vAlign w:val="center"/>
          </w:tcPr>
          <w:p w14:paraId="2566E741" w14:textId="77777777" w:rsidR="001C56BD" w:rsidRPr="00305460" w:rsidRDefault="001C56BD" w:rsidP="008A5C11">
            <w:pPr>
              <w:jc w:val="center"/>
              <w:rPr>
                <w:sz w:val="12"/>
                <w:szCs w:val="12"/>
              </w:rPr>
            </w:pPr>
            <w:r w:rsidRPr="00305460">
              <w:rPr>
                <w:sz w:val="12"/>
                <w:szCs w:val="12"/>
              </w:rPr>
              <w:t>2027</w:t>
            </w:r>
          </w:p>
        </w:tc>
        <w:tc>
          <w:tcPr>
            <w:tcW w:w="140" w:type="pct"/>
            <w:shd w:val="clear" w:color="auto" w:fill="auto"/>
            <w:tcMar>
              <w:left w:w="17" w:type="dxa"/>
              <w:right w:w="17" w:type="dxa"/>
            </w:tcMar>
            <w:vAlign w:val="center"/>
          </w:tcPr>
          <w:p w14:paraId="77C265FA" w14:textId="77777777" w:rsidR="001C56BD" w:rsidRPr="00305460" w:rsidRDefault="001C56BD" w:rsidP="008A5C11">
            <w:pPr>
              <w:jc w:val="center"/>
              <w:rPr>
                <w:sz w:val="12"/>
                <w:szCs w:val="12"/>
              </w:rPr>
            </w:pPr>
            <w:r w:rsidRPr="00305460">
              <w:rPr>
                <w:sz w:val="12"/>
                <w:szCs w:val="12"/>
              </w:rPr>
              <w:t>2027</w:t>
            </w:r>
          </w:p>
        </w:tc>
        <w:tc>
          <w:tcPr>
            <w:tcW w:w="239" w:type="pct"/>
            <w:gridSpan w:val="3"/>
            <w:shd w:val="clear" w:color="auto" w:fill="auto"/>
            <w:tcMar>
              <w:left w:w="17" w:type="dxa"/>
              <w:right w:w="17" w:type="dxa"/>
            </w:tcMar>
            <w:vAlign w:val="center"/>
          </w:tcPr>
          <w:p w14:paraId="77CF1EF4" w14:textId="77777777" w:rsidR="001C56BD" w:rsidRPr="00305460" w:rsidRDefault="001C56BD" w:rsidP="008A5C11">
            <w:pPr>
              <w:jc w:val="center"/>
              <w:rPr>
                <w:sz w:val="12"/>
                <w:szCs w:val="12"/>
              </w:rPr>
            </w:pPr>
            <w:r w:rsidRPr="00305460">
              <w:rPr>
                <w:sz w:val="12"/>
                <w:szCs w:val="12"/>
              </w:rPr>
              <w:t>9550,296</w:t>
            </w:r>
          </w:p>
        </w:tc>
        <w:tc>
          <w:tcPr>
            <w:tcW w:w="196" w:type="pct"/>
            <w:gridSpan w:val="3"/>
            <w:shd w:val="clear" w:color="auto" w:fill="auto"/>
            <w:tcMar>
              <w:left w:w="17" w:type="dxa"/>
              <w:right w:w="17" w:type="dxa"/>
            </w:tcMar>
            <w:vAlign w:val="center"/>
          </w:tcPr>
          <w:p w14:paraId="5FE36FA6" w14:textId="77777777" w:rsidR="001C56BD" w:rsidRPr="00305460" w:rsidRDefault="001C56BD" w:rsidP="008A5C11">
            <w:pPr>
              <w:jc w:val="center"/>
              <w:rPr>
                <w:sz w:val="12"/>
                <w:szCs w:val="12"/>
              </w:rPr>
            </w:pPr>
            <w:r w:rsidRPr="00305460">
              <w:rPr>
                <w:sz w:val="12"/>
                <w:szCs w:val="12"/>
              </w:rPr>
              <w:t>0,000</w:t>
            </w:r>
          </w:p>
        </w:tc>
        <w:tc>
          <w:tcPr>
            <w:tcW w:w="216" w:type="pct"/>
            <w:gridSpan w:val="3"/>
            <w:shd w:val="clear" w:color="auto" w:fill="auto"/>
            <w:tcMar>
              <w:left w:w="17" w:type="dxa"/>
              <w:right w:w="17" w:type="dxa"/>
            </w:tcMar>
            <w:vAlign w:val="center"/>
          </w:tcPr>
          <w:p w14:paraId="333F1AA2" w14:textId="77777777" w:rsidR="001C56BD" w:rsidRPr="00305460" w:rsidRDefault="001C56BD" w:rsidP="008A5C11">
            <w:pPr>
              <w:jc w:val="center"/>
              <w:rPr>
                <w:sz w:val="12"/>
                <w:szCs w:val="12"/>
              </w:rPr>
            </w:pPr>
            <w:r w:rsidRPr="00305460">
              <w:rPr>
                <w:sz w:val="12"/>
                <w:szCs w:val="12"/>
              </w:rPr>
              <w:t>0,000</w:t>
            </w:r>
          </w:p>
        </w:tc>
        <w:tc>
          <w:tcPr>
            <w:tcW w:w="179" w:type="pct"/>
            <w:gridSpan w:val="2"/>
            <w:shd w:val="clear" w:color="auto" w:fill="auto"/>
            <w:tcMar>
              <w:left w:w="17" w:type="dxa"/>
              <w:right w:w="17" w:type="dxa"/>
            </w:tcMar>
            <w:vAlign w:val="center"/>
          </w:tcPr>
          <w:p w14:paraId="16ED7ED6" w14:textId="77777777" w:rsidR="001C56BD" w:rsidRPr="00305460" w:rsidRDefault="001C56BD" w:rsidP="008A5C11">
            <w:pPr>
              <w:jc w:val="center"/>
              <w:rPr>
                <w:sz w:val="12"/>
                <w:szCs w:val="12"/>
              </w:rPr>
            </w:pPr>
            <w:r w:rsidRPr="00305460">
              <w:rPr>
                <w:sz w:val="12"/>
                <w:szCs w:val="12"/>
              </w:rPr>
              <w:t>0,000</w:t>
            </w:r>
          </w:p>
        </w:tc>
        <w:tc>
          <w:tcPr>
            <w:tcW w:w="222" w:type="pct"/>
            <w:gridSpan w:val="2"/>
            <w:shd w:val="clear" w:color="auto" w:fill="auto"/>
            <w:tcMar>
              <w:left w:w="17" w:type="dxa"/>
              <w:right w:w="17" w:type="dxa"/>
            </w:tcMar>
            <w:vAlign w:val="center"/>
          </w:tcPr>
          <w:p w14:paraId="3027A43F" w14:textId="77777777" w:rsidR="001C56BD" w:rsidRPr="00305460" w:rsidRDefault="001C56BD" w:rsidP="008A5C11">
            <w:pPr>
              <w:jc w:val="center"/>
              <w:rPr>
                <w:sz w:val="12"/>
                <w:szCs w:val="12"/>
              </w:rPr>
            </w:pPr>
            <w:r w:rsidRPr="00305460">
              <w:rPr>
                <w:sz w:val="12"/>
                <w:szCs w:val="12"/>
              </w:rPr>
              <w:t>0,000</w:t>
            </w:r>
          </w:p>
        </w:tc>
        <w:tc>
          <w:tcPr>
            <w:tcW w:w="213" w:type="pct"/>
            <w:shd w:val="clear" w:color="auto" w:fill="auto"/>
            <w:tcMar>
              <w:left w:w="17" w:type="dxa"/>
              <w:right w:w="17" w:type="dxa"/>
            </w:tcMar>
            <w:vAlign w:val="center"/>
          </w:tcPr>
          <w:p w14:paraId="7BD4C9D1"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2D4F5B53"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586F577E" w14:textId="77777777" w:rsidR="001C56BD" w:rsidRPr="00305460" w:rsidRDefault="001C56BD" w:rsidP="008A5C11">
            <w:pPr>
              <w:jc w:val="center"/>
              <w:rPr>
                <w:sz w:val="12"/>
                <w:szCs w:val="12"/>
              </w:rPr>
            </w:pPr>
            <w:r w:rsidRPr="00305460">
              <w:rPr>
                <w:sz w:val="12"/>
                <w:szCs w:val="12"/>
              </w:rPr>
              <w:t>9550,296</w:t>
            </w:r>
          </w:p>
        </w:tc>
        <w:tc>
          <w:tcPr>
            <w:tcW w:w="218" w:type="pct"/>
            <w:shd w:val="clear" w:color="auto" w:fill="auto"/>
            <w:tcMar>
              <w:left w:w="17" w:type="dxa"/>
              <w:right w:w="17" w:type="dxa"/>
            </w:tcMar>
            <w:vAlign w:val="center"/>
          </w:tcPr>
          <w:p w14:paraId="427C5C88" w14:textId="77777777" w:rsidR="001C56BD" w:rsidRPr="00305460" w:rsidRDefault="001C56BD" w:rsidP="008A5C11">
            <w:pPr>
              <w:jc w:val="center"/>
              <w:rPr>
                <w:sz w:val="12"/>
                <w:szCs w:val="12"/>
              </w:rPr>
            </w:pPr>
            <w:r w:rsidRPr="00305460">
              <w:rPr>
                <w:sz w:val="12"/>
                <w:szCs w:val="12"/>
              </w:rPr>
              <w:t>0,000</w:t>
            </w:r>
          </w:p>
        </w:tc>
        <w:tc>
          <w:tcPr>
            <w:tcW w:w="218" w:type="pct"/>
            <w:gridSpan w:val="2"/>
            <w:shd w:val="clear" w:color="auto" w:fill="auto"/>
            <w:tcMar>
              <w:left w:w="17" w:type="dxa"/>
              <w:right w:w="17" w:type="dxa"/>
            </w:tcMar>
            <w:vAlign w:val="center"/>
          </w:tcPr>
          <w:p w14:paraId="37F6AC7E" w14:textId="77777777" w:rsidR="001C56BD" w:rsidRPr="00305460" w:rsidRDefault="001C56BD" w:rsidP="008A5C11">
            <w:pPr>
              <w:jc w:val="center"/>
              <w:rPr>
                <w:sz w:val="12"/>
                <w:szCs w:val="12"/>
              </w:rPr>
            </w:pPr>
            <w:r w:rsidRPr="00305460">
              <w:rPr>
                <w:sz w:val="12"/>
                <w:szCs w:val="12"/>
              </w:rPr>
              <w:t>0,000</w:t>
            </w:r>
          </w:p>
        </w:tc>
        <w:tc>
          <w:tcPr>
            <w:tcW w:w="172" w:type="pct"/>
            <w:gridSpan w:val="2"/>
            <w:shd w:val="clear" w:color="auto" w:fill="auto"/>
            <w:tcMar>
              <w:left w:w="17" w:type="dxa"/>
              <w:right w:w="17" w:type="dxa"/>
            </w:tcMar>
            <w:vAlign w:val="center"/>
          </w:tcPr>
          <w:p w14:paraId="0D442482" w14:textId="77777777" w:rsidR="001C56BD" w:rsidRPr="00305460" w:rsidRDefault="001C56BD" w:rsidP="008A5C11">
            <w:pPr>
              <w:jc w:val="center"/>
              <w:rPr>
                <w:sz w:val="12"/>
                <w:szCs w:val="12"/>
              </w:rPr>
            </w:pPr>
            <w:r w:rsidRPr="00305460">
              <w:rPr>
                <w:sz w:val="12"/>
                <w:szCs w:val="12"/>
              </w:rPr>
              <w:t>0,000</w:t>
            </w:r>
          </w:p>
        </w:tc>
        <w:tc>
          <w:tcPr>
            <w:tcW w:w="219" w:type="pct"/>
            <w:shd w:val="clear" w:color="auto" w:fill="auto"/>
            <w:tcMar>
              <w:left w:w="17" w:type="dxa"/>
              <w:right w:w="17" w:type="dxa"/>
            </w:tcMar>
            <w:vAlign w:val="center"/>
          </w:tcPr>
          <w:p w14:paraId="0A3954B0" w14:textId="77777777" w:rsidR="001C56BD" w:rsidRPr="00305460" w:rsidRDefault="001C56BD" w:rsidP="008A5C11">
            <w:pPr>
              <w:jc w:val="center"/>
              <w:rPr>
                <w:sz w:val="12"/>
                <w:szCs w:val="12"/>
              </w:rPr>
            </w:pPr>
            <w:r w:rsidRPr="00305460">
              <w:rPr>
                <w:sz w:val="12"/>
                <w:szCs w:val="12"/>
              </w:rPr>
              <w:t>0,000</w:t>
            </w:r>
          </w:p>
        </w:tc>
        <w:tc>
          <w:tcPr>
            <w:tcW w:w="174" w:type="pct"/>
            <w:shd w:val="clear" w:color="auto" w:fill="auto"/>
            <w:tcMar>
              <w:left w:w="17" w:type="dxa"/>
              <w:right w:w="17" w:type="dxa"/>
            </w:tcMar>
            <w:vAlign w:val="center"/>
          </w:tcPr>
          <w:p w14:paraId="5472A606" w14:textId="77777777" w:rsidR="001C56BD" w:rsidRPr="00305460" w:rsidRDefault="001C56BD" w:rsidP="008A5C11">
            <w:pPr>
              <w:jc w:val="center"/>
              <w:rPr>
                <w:sz w:val="12"/>
                <w:szCs w:val="12"/>
              </w:rPr>
            </w:pPr>
            <w:r w:rsidRPr="00305460">
              <w:rPr>
                <w:sz w:val="12"/>
                <w:szCs w:val="12"/>
              </w:rPr>
              <w:t>0,000</w:t>
            </w:r>
          </w:p>
        </w:tc>
        <w:tc>
          <w:tcPr>
            <w:tcW w:w="176" w:type="pct"/>
            <w:shd w:val="clear" w:color="auto" w:fill="auto"/>
            <w:tcMar>
              <w:left w:w="17" w:type="dxa"/>
              <w:right w:w="17" w:type="dxa"/>
            </w:tcMar>
            <w:vAlign w:val="center"/>
          </w:tcPr>
          <w:p w14:paraId="4D5815F6" w14:textId="77777777" w:rsidR="001C56BD" w:rsidRPr="00305460" w:rsidRDefault="001C56BD" w:rsidP="008A5C11">
            <w:pPr>
              <w:jc w:val="center"/>
              <w:rPr>
                <w:sz w:val="12"/>
                <w:szCs w:val="12"/>
              </w:rPr>
            </w:pPr>
            <w:r w:rsidRPr="00305460">
              <w:rPr>
                <w:sz w:val="12"/>
                <w:szCs w:val="12"/>
              </w:rPr>
              <w:t>0,000</w:t>
            </w:r>
          </w:p>
        </w:tc>
      </w:tr>
      <w:tr w:rsidR="001C56BD" w:rsidRPr="00305460" w14:paraId="65A3AD6E" w14:textId="77777777" w:rsidTr="008A5C11">
        <w:trPr>
          <w:trHeight w:val="897"/>
        </w:trPr>
        <w:tc>
          <w:tcPr>
            <w:tcW w:w="86" w:type="pct"/>
            <w:shd w:val="clear" w:color="auto" w:fill="auto"/>
            <w:tcMar>
              <w:left w:w="17" w:type="dxa"/>
              <w:right w:w="17" w:type="dxa"/>
            </w:tcMar>
            <w:vAlign w:val="center"/>
          </w:tcPr>
          <w:p w14:paraId="4A341836" w14:textId="77777777" w:rsidR="001C56BD" w:rsidRPr="00305460" w:rsidRDefault="001C56BD" w:rsidP="008A5C11">
            <w:pPr>
              <w:jc w:val="center"/>
              <w:rPr>
                <w:sz w:val="12"/>
                <w:szCs w:val="12"/>
              </w:rPr>
            </w:pPr>
            <w:r w:rsidRPr="00305460">
              <w:rPr>
                <w:sz w:val="12"/>
                <w:szCs w:val="12"/>
              </w:rPr>
              <w:t>3.1.22.</w:t>
            </w:r>
          </w:p>
        </w:tc>
        <w:tc>
          <w:tcPr>
            <w:tcW w:w="295" w:type="pct"/>
            <w:shd w:val="clear" w:color="auto" w:fill="auto"/>
            <w:tcMar>
              <w:left w:w="17" w:type="dxa"/>
              <w:right w:w="17" w:type="dxa"/>
            </w:tcMar>
            <w:vAlign w:val="center"/>
          </w:tcPr>
          <w:p w14:paraId="4B919F31" w14:textId="77777777" w:rsidR="001C56BD" w:rsidRPr="00305460" w:rsidRDefault="001C56BD" w:rsidP="008A5C11">
            <w:pPr>
              <w:rPr>
                <w:sz w:val="12"/>
                <w:szCs w:val="12"/>
              </w:rPr>
            </w:pPr>
            <w:r w:rsidRPr="00305460">
              <w:rPr>
                <w:color w:val="000000"/>
                <w:sz w:val="12"/>
                <w:szCs w:val="12"/>
              </w:rPr>
              <w:t>Реконструкция тепловой сети с реестровым номером</w:t>
            </w:r>
            <w:r w:rsidRPr="00305460">
              <w:rPr>
                <w:sz w:val="12"/>
                <w:szCs w:val="12"/>
              </w:rPr>
              <w:t xml:space="preserve"> 777445</w:t>
            </w:r>
          </w:p>
        </w:tc>
        <w:tc>
          <w:tcPr>
            <w:tcW w:w="307" w:type="pct"/>
            <w:shd w:val="clear" w:color="000000" w:fill="FFFFFF"/>
            <w:tcMar>
              <w:left w:w="17" w:type="dxa"/>
              <w:right w:w="17" w:type="dxa"/>
            </w:tcMar>
            <w:vAlign w:val="center"/>
          </w:tcPr>
          <w:p w14:paraId="2C94F0E5" w14:textId="77777777" w:rsidR="001C56BD" w:rsidRPr="00305460" w:rsidRDefault="001C56BD" w:rsidP="008A5C11">
            <w:pPr>
              <w:jc w:val="center"/>
              <w:rPr>
                <w:sz w:val="12"/>
                <w:szCs w:val="12"/>
              </w:rPr>
            </w:pPr>
            <w:r w:rsidRPr="00305460">
              <w:rPr>
                <w:color w:val="000000"/>
                <w:sz w:val="12"/>
                <w:szCs w:val="12"/>
              </w:rPr>
              <w:t>Повышение надежности услуг теплоснабжения, повышение энергетической эффективности</w:t>
            </w:r>
          </w:p>
        </w:tc>
        <w:tc>
          <w:tcPr>
            <w:tcW w:w="280" w:type="pct"/>
            <w:shd w:val="clear" w:color="auto" w:fill="auto"/>
            <w:tcMar>
              <w:left w:w="17" w:type="dxa"/>
              <w:right w:w="17" w:type="dxa"/>
            </w:tcMar>
            <w:vAlign w:val="center"/>
          </w:tcPr>
          <w:p w14:paraId="68EA4FB7" w14:textId="77777777" w:rsidR="001C56BD" w:rsidRPr="00305460" w:rsidRDefault="001C56BD" w:rsidP="008A5C11">
            <w:pPr>
              <w:jc w:val="center"/>
              <w:rPr>
                <w:sz w:val="12"/>
                <w:szCs w:val="12"/>
              </w:rPr>
            </w:pPr>
            <w:r w:rsidRPr="00305460">
              <w:rPr>
                <w:sz w:val="12"/>
                <w:szCs w:val="12"/>
              </w:rPr>
              <w:t xml:space="preserve">Кемеровский городской округ, Заводский район, квартал №21, в границах </w:t>
            </w:r>
            <w:proofErr w:type="gramStart"/>
            <w:r w:rsidRPr="00305460">
              <w:rPr>
                <w:sz w:val="12"/>
                <w:szCs w:val="12"/>
              </w:rPr>
              <w:t>просп.Ленина</w:t>
            </w:r>
            <w:proofErr w:type="gramEnd"/>
            <w:r w:rsidRPr="00305460">
              <w:rPr>
                <w:sz w:val="12"/>
                <w:szCs w:val="12"/>
              </w:rPr>
              <w:t>, ул. Мичурина, ул. Сибиряков-Гвардейцев, р. Искитимка</w:t>
            </w:r>
          </w:p>
        </w:tc>
        <w:tc>
          <w:tcPr>
            <w:tcW w:w="289" w:type="pct"/>
            <w:shd w:val="clear" w:color="auto" w:fill="auto"/>
            <w:tcMar>
              <w:left w:w="17" w:type="dxa"/>
              <w:right w:w="17" w:type="dxa"/>
            </w:tcMar>
            <w:vAlign w:val="center"/>
          </w:tcPr>
          <w:p w14:paraId="0001071C" w14:textId="77777777" w:rsidR="001C56BD" w:rsidRPr="00305460" w:rsidRDefault="001C56BD" w:rsidP="008A5C11">
            <w:pPr>
              <w:jc w:val="center"/>
              <w:rPr>
                <w:sz w:val="12"/>
                <w:szCs w:val="12"/>
              </w:rPr>
            </w:pPr>
            <w:r w:rsidRPr="00305460">
              <w:rPr>
                <w:color w:val="000000"/>
                <w:sz w:val="12"/>
                <w:szCs w:val="12"/>
              </w:rPr>
              <w:t>Технические характеристики</w:t>
            </w:r>
          </w:p>
        </w:tc>
        <w:tc>
          <w:tcPr>
            <w:tcW w:w="137" w:type="pct"/>
            <w:shd w:val="clear" w:color="auto" w:fill="auto"/>
            <w:tcMar>
              <w:left w:w="17" w:type="dxa"/>
              <w:right w:w="17" w:type="dxa"/>
            </w:tcMar>
            <w:vAlign w:val="center"/>
          </w:tcPr>
          <w:p w14:paraId="427A78AA" w14:textId="77777777" w:rsidR="001C56BD" w:rsidRPr="00305460" w:rsidRDefault="001C56BD" w:rsidP="008A5C11">
            <w:pPr>
              <w:jc w:val="center"/>
              <w:rPr>
                <w:color w:val="000000"/>
                <w:sz w:val="12"/>
                <w:szCs w:val="12"/>
              </w:rPr>
            </w:pPr>
          </w:p>
        </w:tc>
        <w:tc>
          <w:tcPr>
            <w:tcW w:w="202" w:type="pct"/>
            <w:shd w:val="clear" w:color="auto" w:fill="auto"/>
            <w:tcMar>
              <w:left w:w="17" w:type="dxa"/>
              <w:right w:w="17" w:type="dxa"/>
            </w:tcMar>
            <w:vAlign w:val="center"/>
          </w:tcPr>
          <w:p w14:paraId="6F73F423" w14:textId="77777777" w:rsidR="001C56BD" w:rsidRPr="00305460" w:rsidRDefault="001C56BD" w:rsidP="008A5C11">
            <w:pPr>
              <w:jc w:val="center"/>
              <w:rPr>
                <w:sz w:val="12"/>
                <w:szCs w:val="12"/>
              </w:rPr>
            </w:pPr>
            <w:r w:rsidRPr="00305460">
              <w:rPr>
                <w:sz w:val="12"/>
                <w:szCs w:val="12"/>
              </w:rPr>
              <w:t xml:space="preserve">Канал-кирпич, опоры-хомутовые </w:t>
            </w:r>
            <w:proofErr w:type="gramStart"/>
            <w:r w:rsidRPr="00305460">
              <w:rPr>
                <w:sz w:val="12"/>
                <w:szCs w:val="12"/>
              </w:rPr>
              <w:t>привар-ные</w:t>
            </w:r>
            <w:proofErr w:type="gramEnd"/>
            <w:r w:rsidRPr="00305460">
              <w:rPr>
                <w:sz w:val="12"/>
                <w:szCs w:val="12"/>
              </w:rPr>
              <w:t xml:space="preserve">, запорная арматура - стальная клиновая, антикоррозийная защита-лак БТ, труба-сталь 20, изоляция - мин. маты </w:t>
            </w:r>
          </w:p>
        </w:tc>
        <w:tc>
          <w:tcPr>
            <w:tcW w:w="244" w:type="pct"/>
            <w:shd w:val="clear" w:color="auto" w:fill="auto"/>
            <w:tcMar>
              <w:left w:w="17" w:type="dxa"/>
              <w:right w:w="17" w:type="dxa"/>
            </w:tcMar>
            <w:vAlign w:val="center"/>
          </w:tcPr>
          <w:p w14:paraId="4E69DD5F" w14:textId="77777777" w:rsidR="001C56BD" w:rsidRPr="00305460" w:rsidRDefault="001C56BD" w:rsidP="008A5C11">
            <w:pPr>
              <w:jc w:val="center"/>
              <w:rPr>
                <w:sz w:val="12"/>
                <w:szCs w:val="12"/>
              </w:rPr>
            </w:pPr>
            <w:r w:rsidRPr="00305460">
              <w:rPr>
                <w:sz w:val="12"/>
                <w:szCs w:val="12"/>
              </w:rPr>
              <w:t xml:space="preserve">Канал-ж/б лотки, опоры-хомутовые с диэлектрической прокладкой, запорная арматура - кран шаровый, антикоррозийная защита-мастика Вектор 1214, 1025, труба-сталь 09Г2С, изоляция - маты прошивные, </w:t>
            </w:r>
            <w:proofErr w:type="gramStart"/>
            <w:r w:rsidRPr="00305460">
              <w:rPr>
                <w:sz w:val="12"/>
                <w:szCs w:val="12"/>
              </w:rPr>
              <w:t>стеклоплас-тик</w:t>
            </w:r>
            <w:proofErr w:type="gramEnd"/>
            <w:r w:rsidRPr="00305460">
              <w:rPr>
                <w:sz w:val="12"/>
                <w:szCs w:val="12"/>
              </w:rPr>
              <w:t xml:space="preserve">  </w:t>
            </w:r>
          </w:p>
        </w:tc>
        <w:tc>
          <w:tcPr>
            <w:tcW w:w="140" w:type="pct"/>
            <w:shd w:val="clear" w:color="auto" w:fill="auto"/>
            <w:tcMar>
              <w:left w:w="17" w:type="dxa"/>
              <w:right w:w="17" w:type="dxa"/>
            </w:tcMar>
            <w:vAlign w:val="center"/>
          </w:tcPr>
          <w:p w14:paraId="4E5E6CB0" w14:textId="77777777" w:rsidR="001C56BD" w:rsidRPr="00305460" w:rsidRDefault="001C56BD" w:rsidP="008A5C11">
            <w:pPr>
              <w:jc w:val="center"/>
              <w:rPr>
                <w:sz w:val="12"/>
                <w:szCs w:val="12"/>
              </w:rPr>
            </w:pPr>
            <w:r w:rsidRPr="00305460">
              <w:rPr>
                <w:sz w:val="12"/>
                <w:szCs w:val="12"/>
              </w:rPr>
              <w:t>2028</w:t>
            </w:r>
          </w:p>
        </w:tc>
        <w:tc>
          <w:tcPr>
            <w:tcW w:w="140" w:type="pct"/>
            <w:shd w:val="clear" w:color="auto" w:fill="auto"/>
            <w:tcMar>
              <w:left w:w="17" w:type="dxa"/>
              <w:right w:w="17" w:type="dxa"/>
            </w:tcMar>
            <w:vAlign w:val="center"/>
          </w:tcPr>
          <w:p w14:paraId="177C7A5A" w14:textId="77777777" w:rsidR="001C56BD" w:rsidRPr="00305460" w:rsidRDefault="001C56BD" w:rsidP="008A5C11">
            <w:pPr>
              <w:jc w:val="center"/>
              <w:rPr>
                <w:sz w:val="12"/>
                <w:szCs w:val="12"/>
              </w:rPr>
            </w:pPr>
            <w:r w:rsidRPr="00305460">
              <w:rPr>
                <w:sz w:val="12"/>
                <w:szCs w:val="12"/>
              </w:rPr>
              <w:t>2028</w:t>
            </w:r>
          </w:p>
        </w:tc>
        <w:tc>
          <w:tcPr>
            <w:tcW w:w="239" w:type="pct"/>
            <w:gridSpan w:val="3"/>
            <w:shd w:val="clear" w:color="auto" w:fill="auto"/>
            <w:tcMar>
              <w:left w:w="17" w:type="dxa"/>
              <w:right w:w="17" w:type="dxa"/>
            </w:tcMar>
            <w:vAlign w:val="center"/>
          </w:tcPr>
          <w:p w14:paraId="1D6E7D14" w14:textId="77777777" w:rsidR="001C56BD" w:rsidRPr="00305460" w:rsidRDefault="001C56BD" w:rsidP="008A5C11">
            <w:pPr>
              <w:jc w:val="center"/>
              <w:rPr>
                <w:sz w:val="12"/>
                <w:szCs w:val="12"/>
              </w:rPr>
            </w:pPr>
            <w:r w:rsidRPr="00305460">
              <w:rPr>
                <w:sz w:val="12"/>
                <w:szCs w:val="12"/>
              </w:rPr>
              <w:t>9536,604</w:t>
            </w:r>
          </w:p>
        </w:tc>
        <w:tc>
          <w:tcPr>
            <w:tcW w:w="196" w:type="pct"/>
            <w:gridSpan w:val="3"/>
            <w:shd w:val="clear" w:color="auto" w:fill="auto"/>
            <w:tcMar>
              <w:left w:w="17" w:type="dxa"/>
              <w:right w:w="17" w:type="dxa"/>
            </w:tcMar>
            <w:vAlign w:val="center"/>
          </w:tcPr>
          <w:p w14:paraId="32C12C74" w14:textId="77777777" w:rsidR="001C56BD" w:rsidRPr="00305460" w:rsidRDefault="001C56BD" w:rsidP="008A5C11">
            <w:pPr>
              <w:jc w:val="center"/>
              <w:rPr>
                <w:sz w:val="12"/>
                <w:szCs w:val="12"/>
              </w:rPr>
            </w:pPr>
            <w:r w:rsidRPr="00305460">
              <w:rPr>
                <w:sz w:val="12"/>
                <w:szCs w:val="12"/>
              </w:rPr>
              <w:t>0,000</w:t>
            </w:r>
          </w:p>
        </w:tc>
        <w:tc>
          <w:tcPr>
            <w:tcW w:w="216" w:type="pct"/>
            <w:gridSpan w:val="3"/>
            <w:shd w:val="clear" w:color="auto" w:fill="auto"/>
            <w:tcMar>
              <w:left w:w="17" w:type="dxa"/>
              <w:right w:w="17" w:type="dxa"/>
            </w:tcMar>
            <w:vAlign w:val="center"/>
          </w:tcPr>
          <w:p w14:paraId="37D31CDB" w14:textId="77777777" w:rsidR="001C56BD" w:rsidRPr="00305460" w:rsidRDefault="001C56BD" w:rsidP="008A5C11">
            <w:pPr>
              <w:jc w:val="center"/>
              <w:rPr>
                <w:sz w:val="12"/>
                <w:szCs w:val="12"/>
              </w:rPr>
            </w:pPr>
            <w:r w:rsidRPr="00305460">
              <w:rPr>
                <w:sz w:val="12"/>
                <w:szCs w:val="12"/>
              </w:rPr>
              <w:t>0,000</w:t>
            </w:r>
          </w:p>
        </w:tc>
        <w:tc>
          <w:tcPr>
            <w:tcW w:w="179" w:type="pct"/>
            <w:gridSpan w:val="2"/>
            <w:shd w:val="clear" w:color="auto" w:fill="auto"/>
            <w:tcMar>
              <w:left w:w="17" w:type="dxa"/>
              <w:right w:w="17" w:type="dxa"/>
            </w:tcMar>
            <w:vAlign w:val="center"/>
          </w:tcPr>
          <w:p w14:paraId="3906D8AC" w14:textId="77777777" w:rsidR="001C56BD" w:rsidRPr="00305460" w:rsidRDefault="001C56BD" w:rsidP="008A5C11">
            <w:pPr>
              <w:jc w:val="center"/>
              <w:rPr>
                <w:sz w:val="12"/>
                <w:szCs w:val="12"/>
              </w:rPr>
            </w:pPr>
            <w:r w:rsidRPr="00305460">
              <w:rPr>
                <w:sz w:val="12"/>
                <w:szCs w:val="12"/>
              </w:rPr>
              <w:t>0,000</w:t>
            </w:r>
          </w:p>
        </w:tc>
        <w:tc>
          <w:tcPr>
            <w:tcW w:w="222" w:type="pct"/>
            <w:gridSpan w:val="2"/>
            <w:shd w:val="clear" w:color="auto" w:fill="auto"/>
            <w:tcMar>
              <w:left w:w="17" w:type="dxa"/>
              <w:right w:w="17" w:type="dxa"/>
            </w:tcMar>
            <w:vAlign w:val="center"/>
          </w:tcPr>
          <w:p w14:paraId="56B31387" w14:textId="77777777" w:rsidR="001C56BD" w:rsidRPr="00305460" w:rsidRDefault="001C56BD" w:rsidP="008A5C11">
            <w:pPr>
              <w:jc w:val="center"/>
              <w:rPr>
                <w:sz w:val="12"/>
                <w:szCs w:val="12"/>
              </w:rPr>
            </w:pPr>
            <w:r w:rsidRPr="00305460">
              <w:rPr>
                <w:sz w:val="12"/>
                <w:szCs w:val="12"/>
              </w:rPr>
              <w:t>0,000</w:t>
            </w:r>
          </w:p>
        </w:tc>
        <w:tc>
          <w:tcPr>
            <w:tcW w:w="213" w:type="pct"/>
            <w:shd w:val="clear" w:color="auto" w:fill="auto"/>
            <w:tcMar>
              <w:left w:w="17" w:type="dxa"/>
              <w:right w:w="17" w:type="dxa"/>
            </w:tcMar>
            <w:vAlign w:val="center"/>
          </w:tcPr>
          <w:p w14:paraId="2F01021A"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54BA740A"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1002803F"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4AFEB7D8" w14:textId="77777777" w:rsidR="001C56BD" w:rsidRPr="00305460" w:rsidRDefault="001C56BD" w:rsidP="008A5C11">
            <w:pPr>
              <w:jc w:val="center"/>
              <w:rPr>
                <w:sz w:val="12"/>
                <w:szCs w:val="12"/>
              </w:rPr>
            </w:pPr>
            <w:r w:rsidRPr="00305460">
              <w:rPr>
                <w:sz w:val="12"/>
                <w:szCs w:val="12"/>
              </w:rPr>
              <w:t>9536,604</w:t>
            </w:r>
          </w:p>
        </w:tc>
        <w:tc>
          <w:tcPr>
            <w:tcW w:w="218" w:type="pct"/>
            <w:gridSpan w:val="2"/>
            <w:shd w:val="clear" w:color="auto" w:fill="auto"/>
            <w:tcMar>
              <w:left w:w="17" w:type="dxa"/>
              <w:right w:w="17" w:type="dxa"/>
            </w:tcMar>
            <w:vAlign w:val="center"/>
          </w:tcPr>
          <w:p w14:paraId="28DFB3D6" w14:textId="77777777" w:rsidR="001C56BD" w:rsidRPr="00305460" w:rsidRDefault="001C56BD" w:rsidP="008A5C11">
            <w:pPr>
              <w:jc w:val="center"/>
              <w:rPr>
                <w:sz w:val="12"/>
                <w:szCs w:val="12"/>
              </w:rPr>
            </w:pPr>
            <w:r w:rsidRPr="00305460">
              <w:rPr>
                <w:sz w:val="12"/>
                <w:szCs w:val="12"/>
              </w:rPr>
              <w:t>0,000</w:t>
            </w:r>
          </w:p>
        </w:tc>
        <w:tc>
          <w:tcPr>
            <w:tcW w:w="172" w:type="pct"/>
            <w:gridSpan w:val="2"/>
            <w:shd w:val="clear" w:color="auto" w:fill="auto"/>
            <w:tcMar>
              <w:left w:w="17" w:type="dxa"/>
              <w:right w:w="17" w:type="dxa"/>
            </w:tcMar>
            <w:vAlign w:val="center"/>
          </w:tcPr>
          <w:p w14:paraId="2902CE78" w14:textId="77777777" w:rsidR="001C56BD" w:rsidRPr="00305460" w:rsidRDefault="001C56BD" w:rsidP="008A5C11">
            <w:pPr>
              <w:jc w:val="center"/>
              <w:rPr>
                <w:sz w:val="12"/>
                <w:szCs w:val="12"/>
              </w:rPr>
            </w:pPr>
            <w:r w:rsidRPr="00305460">
              <w:rPr>
                <w:sz w:val="12"/>
                <w:szCs w:val="12"/>
              </w:rPr>
              <w:t>0,000</w:t>
            </w:r>
          </w:p>
        </w:tc>
        <w:tc>
          <w:tcPr>
            <w:tcW w:w="219" w:type="pct"/>
            <w:shd w:val="clear" w:color="auto" w:fill="auto"/>
            <w:tcMar>
              <w:left w:w="17" w:type="dxa"/>
              <w:right w:w="17" w:type="dxa"/>
            </w:tcMar>
            <w:vAlign w:val="center"/>
          </w:tcPr>
          <w:p w14:paraId="6BB78E22" w14:textId="77777777" w:rsidR="001C56BD" w:rsidRPr="00305460" w:rsidRDefault="001C56BD" w:rsidP="008A5C11">
            <w:pPr>
              <w:jc w:val="center"/>
              <w:rPr>
                <w:sz w:val="12"/>
                <w:szCs w:val="12"/>
              </w:rPr>
            </w:pPr>
            <w:r w:rsidRPr="00305460">
              <w:rPr>
                <w:sz w:val="12"/>
                <w:szCs w:val="12"/>
              </w:rPr>
              <w:t>0,000</w:t>
            </w:r>
          </w:p>
        </w:tc>
        <w:tc>
          <w:tcPr>
            <w:tcW w:w="174" w:type="pct"/>
            <w:shd w:val="clear" w:color="auto" w:fill="auto"/>
            <w:tcMar>
              <w:left w:w="17" w:type="dxa"/>
              <w:right w:w="17" w:type="dxa"/>
            </w:tcMar>
            <w:vAlign w:val="center"/>
          </w:tcPr>
          <w:p w14:paraId="7BD4A58F" w14:textId="77777777" w:rsidR="001C56BD" w:rsidRPr="00305460" w:rsidRDefault="001C56BD" w:rsidP="008A5C11">
            <w:pPr>
              <w:jc w:val="center"/>
              <w:rPr>
                <w:sz w:val="12"/>
                <w:szCs w:val="12"/>
              </w:rPr>
            </w:pPr>
            <w:r w:rsidRPr="00305460">
              <w:rPr>
                <w:sz w:val="12"/>
                <w:szCs w:val="12"/>
              </w:rPr>
              <w:t>0,000</w:t>
            </w:r>
          </w:p>
        </w:tc>
        <w:tc>
          <w:tcPr>
            <w:tcW w:w="176" w:type="pct"/>
            <w:shd w:val="clear" w:color="auto" w:fill="auto"/>
            <w:tcMar>
              <w:left w:w="17" w:type="dxa"/>
              <w:right w:w="17" w:type="dxa"/>
            </w:tcMar>
            <w:vAlign w:val="center"/>
          </w:tcPr>
          <w:p w14:paraId="27E05EDB" w14:textId="77777777" w:rsidR="001C56BD" w:rsidRPr="00305460" w:rsidRDefault="001C56BD" w:rsidP="008A5C11">
            <w:pPr>
              <w:jc w:val="center"/>
              <w:rPr>
                <w:sz w:val="12"/>
                <w:szCs w:val="12"/>
              </w:rPr>
            </w:pPr>
            <w:r w:rsidRPr="00305460">
              <w:rPr>
                <w:sz w:val="12"/>
                <w:szCs w:val="12"/>
              </w:rPr>
              <w:t>0,000</w:t>
            </w:r>
          </w:p>
        </w:tc>
      </w:tr>
      <w:tr w:rsidR="001C56BD" w:rsidRPr="00305460" w14:paraId="22D8FC23" w14:textId="77777777" w:rsidTr="008A5C11">
        <w:trPr>
          <w:trHeight w:val="897"/>
        </w:trPr>
        <w:tc>
          <w:tcPr>
            <w:tcW w:w="86" w:type="pct"/>
            <w:shd w:val="clear" w:color="auto" w:fill="auto"/>
            <w:tcMar>
              <w:left w:w="17" w:type="dxa"/>
              <w:right w:w="17" w:type="dxa"/>
            </w:tcMar>
            <w:vAlign w:val="center"/>
          </w:tcPr>
          <w:p w14:paraId="534145CD" w14:textId="77777777" w:rsidR="001C56BD" w:rsidRPr="00305460" w:rsidRDefault="001C56BD" w:rsidP="008A5C11">
            <w:pPr>
              <w:jc w:val="center"/>
              <w:rPr>
                <w:bCs/>
                <w:sz w:val="12"/>
                <w:szCs w:val="12"/>
              </w:rPr>
            </w:pPr>
            <w:r w:rsidRPr="00305460">
              <w:rPr>
                <w:bCs/>
                <w:sz w:val="12"/>
                <w:szCs w:val="12"/>
              </w:rPr>
              <w:t>1</w:t>
            </w:r>
          </w:p>
        </w:tc>
        <w:tc>
          <w:tcPr>
            <w:tcW w:w="295" w:type="pct"/>
            <w:shd w:val="clear" w:color="auto" w:fill="auto"/>
            <w:tcMar>
              <w:left w:w="17" w:type="dxa"/>
              <w:right w:w="17" w:type="dxa"/>
            </w:tcMar>
            <w:vAlign w:val="center"/>
          </w:tcPr>
          <w:p w14:paraId="0A1FB872" w14:textId="77777777" w:rsidR="001C56BD" w:rsidRPr="00305460" w:rsidRDefault="001C56BD" w:rsidP="008A5C11">
            <w:pPr>
              <w:jc w:val="center"/>
              <w:rPr>
                <w:bCs/>
                <w:sz w:val="12"/>
                <w:szCs w:val="12"/>
              </w:rPr>
            </w:pPr>
            <w:r w:rsidRPr="00305460">
              <w:rPr>
                <w:bCs/>
                <w:sz w:val="12"/>
                <w:szCs w:val="12"/>
              </w:rPr>
              <w:t>2</w:t>
            </w:r>
          </w:p>
        </w:tc>
        <w:tc>
          <w:tcPr>
            <w:tcW w:w="307" w:type="pct"/>
            <w:shd w:val="clear" w:color="auto" w:fill="auto"/>
            <w:tcMar>
              <w:left w:w="17" w:type="dxa"/>
              <w:right w:w="17" w:type="dxa"/>
            </w:tcMar>
            <w:vAlign w:val="center"/>
          </w:tcPr>
          <w:p w14:paraId="7DF3A143" w14:textId="77777777" w:rsidR="001C56BD" w:rsidRPr="00305460" w:rsidRDefault="001C56BD" w:rsidP="008A5C11">
            <w:pPr>
              <w:jc w:val="center"/>
              <w:rPr>
                <w:bCs/>
                <w:sz w:val="12"/>
                <w:szCs w:val="12"/>
              </w:rPr>
            </w:pPr>
            <w:r w:rsidRPr="00305460">
              <w:rPr>
                <w:bCs/>
                <w:sz w:val="12"/>
                <w:szCs w:val="12"/>
              </w:rPr>
              <w:t>3</w:t>
            </w:r>
          </w:p>
        </w:tc>
        <w:tc>
          <w:tcPr>
            <w:tcW w:w="280" w:type="pct"/>
            <w:shd w:val="clear" w:color="auto" w:fill="auto"/>
            <w:tcMar>
              <w:left w:w="17" w:type="dxa"/>
              <w:right w:w="17" w:type="dxa"/>
            </w:tcMar>
            <w:vAlign w:val="center"/>
          </w:tcPr>
          <w:p w14:paraId="067E7BDB" w14:textId="77777777" w:rsidR="001C56BD" w:rsidRPr="00305460" w:rsidRDefault="001C56BD" w:rsidP="008A5C11">
            <w:pPr>
              <w:jc w:val="center"/>
              <w:rPr>
                <w:bCs/>
                <w:sz w:val="12"/>
                <w:szCs w:val="12"/>
              </w:rPr>
            </w:pPr>
            <w:r w:rsidRPr="00305460">
              <w:rPr>
                <w:bCs/>
                <w:sz w:val="12"/>
                <w:szCs w:val="12"/>
              </w:rPr>
              <w:t>4</w:t>
            </w:r>
          </w:p>
        </w:tc>
        <w:tc>
          <w:tcPr>
            <w:tcW w:w="289" w:type="pct"/>
            <w:shd w:val="clear" w:color="auto" w:fill="auto"/>
            <w:tcMar>
              <w:left w:w="17" w:type="dxa"/>
              <w:right w:w="17" w:type="dxa"/>
            </w:tcMar>
            <w:vAlign w:val="center"/>
          </w:tcPr>
          <w:p w14:paraId="3D62456B" w14:textId="77777777" w:rsidR="001C56BD" w:rsidRPr="00305460" w:rsidRDefault="001C56BD" w:rsidP="008A5C11">
            <w:pPr>
              <w:jc w:val="center"/>
              <w:rPr>
                <w:bCs/>
                <w:sz w:val="12"/>
                <w:szCs w:val="12"/>
              </w:rPr>
            </w:pPr>
            <w:r w:rsidRPr="00305460">
              <w:rPr>
                <w:bCs/>
                <w:sz w:val="12"/>
                <w:szCs w:val="12"/>
              </w:rPr>
              <w:t>5</w:t>
            </w:r>
          </w:p>
        </w:tc>
        <w:tc>
          <w:tcPr>
            <w:tcW w:w="137" w:type="pct"/>
            <w:shd w:val="clear" w:color="auto" w:fill="auto"/>
            <w:tcMar>
              <w:left w:w="17" w:type="dxa"/>
              <w:right w:w="17" w:type="dxa"/>
            </w:tcMar>
            <w:vAlign w:val="center"/>
          </w:tcPr>
          <w:p w14:paraId="7E0DF0EF" w14:textId="77777777" w:rsidR="001C56BD" w:rsidRPr="00305460" w:rsidRDefault="001C56BD" w:rsidP="008A5C11">
            <w:pPr>
              <w:jc w:val="center"/>
              <w:rPr>
                <w:bCs/>
                <w:sz w:val="12"/>
                <w:szCs w:val="12"/>
              </w:rPr>
            </w:pPr>
            <w:r w:rsidRPr="00305460">
              <w:rPr>
                <w:bCs/>
                <w:sz w:val="12"/>
                <w:szCs w:val="12"/>
              </w:rPr>
              <w:t>6</w:t>
            </w:r>
          </w:p>
        </w:tc>
        <w:tc>
          <w:tcPr>
            <w:tcW w:w="202" w:type="pct"/>
            <w:shd w:val="clear" w:color="auto" w:fill="auto"/>
            <w:tcMar>
              <w:left w:w="17" w:type="dxa"/>
              <w:right w:w="17" w:type="dxa"/>
            </w:tcMar>
            <w:vAlign w:val="center"/>
          </w:tcPr>
          <w:p w14:paraId="77E10392" w14:textId="77777777" w:rsidR="001C56BD" w:rsidRPr="00305460" w:rsidRDefault="001C56BD" w:rsidP="008A5C11">
            <w:pPr>
              <w:jc w:val="center"/>
              <w:rPr>
                <w:bCs/>
                <w:sz w:val="12"/>
                <w:szCs w:val="12"/>
              </w:rPr>
            </w:pPr>
            <w:r w:rsidRPr="00305460">
              <w:rPr>
                <w:bCs/>
                <w:sz w:val="12"/>
                <w:szCs w:val="12"/>
              </w:rPr>
              <w:t>7</w:t>
            </w:r>
          </w:p>
        </w:tc>
        <w:tc>
          <w:tcPr>
            <w:tcW w:w="244" w:type="pct"/>
            <w:shd w:val="clear" w:color="auto" w:fill="auto"/>
            <w:tcMar>
              <w:left w:w="17" w:type="dxa"/>
              <w:right w:w="17" w:type="dxa"/>
            </w:tcMar>
            <w:vAlign w:val="center"/>
          </w:tcPr>
          <w:p w14:paraId="0E52F6E5" w14:textId="77777777" w:rsidR="001C56BD" w:rsidRPr="00305460" w:rsidRDefault="001C56BD" w:rsidP="008A5C11">
            <w:pPr>
              <w:jc w:val="center"/>
              <w:rPr>
                <w:bCs/>
                <w:sz w:val="12"/>
                <w:szCs w:val="12"/>
              </w:rPr>
            </w:pPr>
            <w:r w:rsidRPr="00305460">
              <w:rPr>
                <w:bCs/>
                <w:sz w:val="12"/>
                <w:szCs w:val="12"/>
              </w:rPr>
              <w:t>8</w:t>
            </w:r>
          </w:p>
        </w:tc>
        <w:tc>
          <w:tcPr>
            <w:tcW w:w="140" w:type="pct"/>
            <w:shd w:val="clear" w:color="auto" w:fill="auto"/>
            <w:tcMar>
              <w:left w:w="17" w:type="dxa"/>
              <w:right w:w="17" w:type="dxa"/>
            </w:tcMar>
            <w:vAlign w:val="center"/>
          </w:tcPr>
          <w:p w14:paraId="1FD6769A" w14:textId="77777777" w:rsidR="001C56BD" w:rsidRPr="00305460" w:rsidRDefault="001C56BD" w:rsidP="008A5C11">
            <w:pPr>
              <w:jc w:val="center"/>
              <w:rPr>
                <w:bCs/>
                <w:sz w:val="12"/>
                <w:szCs w:val="12"/>
              </w:rPr>
            </w:pPr>
            <w:r w:rsidRPr="00305460">
              <w:rPr>
                <w:bCs/>
                <w:sz w:val="12"/>
                <w:szCs w:val="12"/>
              </w:rPr>
              <w:t>9</w:t>
            </w:r>
          </w:p>
        </w:tc>
        <w:tc>
          <w:tcPr>
            <w:tcW w:w="140" w:type="pct"/>
            <w:shd w:val="clear" w:color="auto" w:fill="auto"/>
            <w:tcMar>
              <w:left w:w="17" w:type="dxa"/>
              <w:right w:w="17" w:type="dxa"/>
            </w:tcMar>
            <w:vAlign w:val="center"/>
          </w:tcPr>
          <w:p w14:paraId="0190A965" w14:textId="77777777" w:rsidR="001C56BD" w:rsidRPr="00305460" w:rsidRDefault="001C56BD" w:rsidP="008A5C11">
            <w:pPr>
              <w:jc w:val="center"/>
              <w:rPr>
                <w:bCs/>
                <w:sz w:val="12"/>
                <w:szCs w:val="12"/>
              </w:rPr>
            </w:pPr>
            <w:r w:rsidRPr="00305460">
              <w:rPr>
                <w:bCs/>
                <w:sz w:val="12"/>
                <w:szCs w:val="12"/>
              </w:rPr>
              <w:t>10</w:t>
            </w:r>
          </w:p>
        </w:tc>
        <w:tc>
          <w:tcPr>
            <w:tcW w:w="239" w:type="pct"/>
            <w:gridSpan w:val="3"/>
            <w:shd w:val="clear" w:color="auto" w:fill="auto"/>
            <w:tcMar>
              <w:left w:w="17" w:type="dxa"/>
              <w:right w:w="17" w:type="dxa"/>
            </w:tcMar>
            <w:vAlign w:val="center"/>
          </w:tcPr>
          <w:p w14:paraId="25BF4B0E" w14:textId="77777777" w:rsidR="001C56BD" w:rsidRPr="00305460" w:rsidRDefault="001C56BD" w:rsidP="008A5C11">
            <w:pPr>
              <w:jc w:val="center"/>
              <w:rPr>
                <w:bCs/>
                <w:sz w:val="12"/>
                <w:szCs w:val="12"/>
              </w:rPr>
            </w:pPr>
            <w:r w:rsidRPr="00305460">
              <w:rPr>
                <w:bCs/>
                <w:sz w:val="12"/>
                <w:szCs w:val="12"/>
              </w:rPr>
              <w:t>11</w:t>
            </w:r>
          </w:p>
        </w:tc>
        <w:tc>
          <w:tcPr>
            <w:tcW w:w="196" w:type="pct"/>
            <w:gridSpan w:val="3"/>
            <w:shd w:val="clear" w:color="auto" w:fill="auto"/>
            <w:tcMar>
              <w:left w:w="17" w:type="dxa"/>
              <w:right w:w="17" w:type="dxa"/>
            </w:tcMar>
            <w:vAlign w:val="center"/>
          </w:tcPr>
          <w:p w14:paraId="36AF16E1" w14:textId="77777777" w:rsidR="001C56BD" w:rsidRPr="00305460" w:rsidRDefault="001C56BD" w:rsidP="008A5C11">
            <w:pPr>
              <w:jc w:val="center"/>
              <w:rPr>
                <w:bCs/>
                <w:sz w:val="12"/>
                <w:szCs w:val="12"/>
              </w:rPr>
            </w:pPr>
            <w:r w:rsidRPr="00305460">
              <w:rPr>
                <w:bCs/>
                <w:sz w:val="12"/>
                <w:szCs w:val="12"/>
              </w:rPr>
              <w:t>12</w:t>
            </w:r>
          </w:p>
        </w:tc>
        <w:tc>
          <w:tcPr>
            <w:tcW w:w="216" w:type="pct"/>
            <w:gridSpan w:val="3"/>
            <w:shd w:val="clear" w:color="auto" w:fill="auto"/>
            <w:tcMar>
              <w:left w:w="17" w:type="dxa"/>
              <w:right w:w="17" w:type="dxa"/>
            </w:tcMar>
            <w:vAlign w:val="center"/>
          </w:tcPr>
          <w:p w14:paraId="760D7CF4" w14:textId="77777777" w:rsidR="001C56BD" w:rsidRPr="00305460" w:rsidRDefault="001C56BD" w:rsidP="008A5C11">
            <w:pPr>
              <w:jc w:val="center"/>
              <w:rPr>
                <w:bCs/>
                <w:sz w:val="12"/>
                <w:szCs w:val="12"/>
              </w:rPr>
            </w:pPr>
            <w:r w:rsidRPr="00305460">
              <w:rPr>
                <w:bCs/>
                <w:sz w:val="12"/>
                <w:szCs w:val="12"/>
              </w:rPr>
              <w:t>13</w:t>
            </w:r>
          </w:p>
        </w:tc>
        <w:tc>
          <w:tcPr>
            <w:tcW w:w="179" w:type="pct"/>
            <w:gridSpan w:val="2"/>
            <w:shd w:val="clear" w:color="auto" w:fill="auto"/>
            <w:tcMar>
              <w:left w:w="17" w:type="dxa"/>
              <w:right w:w="17" w:type="dxa"/>
            </w:tcMar>
            <w:vAlign w:val="center"/>
          </w:tcPr>
          <w:p w14:paraId="7E7FA29C" w14:textId="77777777" w:rsidR="001C56BD" w:rsidRPr="00305460" w:rsidRDefault="001C56BD" w:rsidP="008A5C11">
            <w:pPr>
              <w:jc w:val="center"/>
              <w:rPr>
                <w:bCs/>
                <w:sz w:val="12"/>
                <w:szCs w:val="12"/>
              </w:rPr>
            </w:pPr>
            <w:r w:rsidRPr="00305460">
              <w:rPr>
                <w:bCs/>
                <w:sz w:val="12"/>
                <w:szCs w:val="12"/>
              </w:rPr>
              <w:t>14</w:t>
            </w:r>
          </w:p>
        </w:tc>
        <w:tc>
          <w:tcPr>
            <w:tcW w:w="222" w:type="pct"/>
            <w:gridSpan w:val="2"/>
            <w:shd w:val="clear" w:color="auto" w:fill="auto"/>
            <w:tcMar>
              <w:left w:w="17" w:type="dxa"/>
              <w:right w:w="17" w:type="dxa"/>
            </w:tcMar>
            <w:vAlign w:val="center"/>
          </w:tcPr>
          <w:p w14:paraId="018E3230" w14:textId="77777777" w:rsidR="001C56BD" w:rsidRPr="00305460" w:rsidRDefault="001C56BD" w:rsidP="008A5C11">
            <w:pPr>
              <w:jc w:val="center"/>
              <w:rPr>
                <w:bCs/>
                <w:sz w:val="12"/>
                <w:szCs w:val="12"/>
              </w:rPr>
            </w:pPr>
            <w:r w:rsidRPr="00305460">
              <w:rPr>
                <w:bCs/>
                <w:sz w:val="12"/>
                <w:szCs w:val="12"/>
              </w:rPr>
              <w:t>15</w:t>
            </w:r>
          </w:p>
        </w:tc>
        <w:tc>
          <w:tcPr>
            <w:tcW w:w="213" w:type="pct"/>
            <w:tcMar>
              <w:left w:w="17" w:type="dxa"/>
              <w:right w:w="17" w:type="dxa"/>
            </w:tcMar>
            <w:vAlign w:val="center"/>
          </w:tcPr>
          <w:p w14:paraId="47280420" w14:textId="77777777" w:rsidR="001C56BD" w:rsidRPr="00305460" w:rsidRDefault="001C56BD" w:rsidP="008A5C11">
            <w:pPr>
              <w:jc w:val="center"/>
              <w:rPr>
                <w:bCs/>
                <w:sz w:val="12"/>
                <w:szCs w:val="12"/>
              </w:rPr>
            </w:pPr>
            <w:r w:rsidRPr="00305460">
              <w:rPr>
                <w:bCs/>
                <w:sz w:val="12"/>
                <w:szCs w:val="12"/>
              </w:rPr>
              <w:t>16</w:t>
            </w:r>
          </w:p>
        </w:tc>
        <w:tc>
          <w:tcPr>
            <w:tcW w:w="218" w:type="pct"/>
            <w:tcMar>
              <w:left w:w="17" w:type="dxa"/>
              <w:right w:w="17" w:type="dxa"/>
            </w:tcMar>
            <w:vAlign w:val="center"/>
          </w:tcPr>
          <w:p w14:paraId="65330B4D" w14:textId="77777777" w:rsidR="001C56BD" w:rsidRPr="00305460" w:rsidRDefault="001C56BD" w:rsidP="008A5C11">
            <w:pPr>
              <w:jc w:val="center"/>
              <w:rPr>
                <w:bCs/>
                <w:sz w:val="12"/>
                <w:szCs w:val="12"/>
              </w:rPr>
            </w:pPr>
            <w:r w:rsidRPr="00305460">
              <w:rPr>
                <w:bCs/>
                <w:sz w:val="12"/>
                <w:szCs w:val="12"/>
              </w:rPr>
              <w:t>17</w:t>
            </w:r>
          </w:p>
        </w:tc>
        <w:tc>
          <w:tcPr>
            <w:tcW w:w="218" w:type="pct"/>
            <w:tcMar>
              <w:left w:w="17" w:type="dxa"/>
              <w:right w:w="17" w:type="dxa"/>
            </w:tcMar>
            <w:vAlign w:val="center"/>
          </w:tcPr>
          <w:p w14:paraId="72457FCE" w14:textId="77777777" w:rsidR="001C56BD" w:rsidRPr="00305460" w:rsidRDefault="001C56BD" w:rsidP="008A5C11">
            <w:pPr>
              <w:jc w:val="center"/>
              <w:rPr>
                <w:bCs/>
                <w:sz w:val="12"/>
                <w:szCs w:val="12"/>
              </w:rPr>
            </w:pPr>
            <w:r w:rsidRPr="00305460">
              <w:rPr>
                <w:bCs/>
                <w:sz w:val="12"/>
                <w:szCs w:val="12"/>
              </w:rPr>
              <w:t>18</w:t>
            </w:r>
          </w:p>
        </w:tc>
        <w:tc>
          <w:tcPr>
            <w:tcW w:w="218" w:type="pct"/>
            <w:tcMar>
              <w:left w:w="17" w:type="dxa"/>
              <w:right w:w="17" w:type="dxa"/>
            </w:tcMar>
            <w:vAlign w:val="center"/>
          </w:tcPr>
          <w:p w14:paraId="6F45052F" w14:textId="77777777" w:rsidR="001C56BD" w:rsidRPr="00305460" w:rsidRDefault="001C56BD" w:rsidP="008A5C11">
            <w:pPr>
              <w:jc w:val="center"/>
              <w:rPr>
                <w:bCs/>
                <w:sz w:val="12"/>
                <w:szCs w:val="12"/>
              </w:rPr>
            </w:pPr>
            <w:r w:rsidRPr="00305460">
              <w:rPr>
                <w:bCs/>
                <w:sz w:val="12"/>
                <w:szCs w:val="12"/>
              </w:rPr>
              <w:t>19</w:t>
            </w:r>
          </w:p>
        </w:tc>
        <w:tc>
          <w:tcPr>
            <w:tcW w:w="218" w:type="pct"/>
            <w:gridSpan w:val="2"/>
            <w:tcMar>
              <w:left w:w="17" w:type="dxa"/>
              <w:right w:w="17" w:type="dxa"/>
            </w:tcMar>
            <w:vAlign w:val="center"/>
          </w:tcPr>
          <w:p w14:paraId="45E4C5F3" w14:textId="77777777" w:rsidR="001C56BD" w:rsidRPr="00305460" w:rsidRDefault="001C56BD" w:rsidP="008A5C11">
            <w:pPr>
              <w:jc w:val="center"/>
              <w:rPr>
                <w:bCs/>
                <w:sz w:val="12"/>
                <w:szCs w:val="12"/>
              </w:rPr>
            </w:pPr>
            <w:r w:rsidRPr="00305460">
              <w:rPr>
                <w:bCs/>
                <w:sz w:val="12"/>
                <w:szCs w:val="12"/>
              </w:rPr>
              <w:t>20</w:t>
            </w:r>
          </w:p>
        </w:tc>
        <w:tc>
          <w:tcPr>
            <w:tcW w:w="172" w:type="pct"/>
            <w:gridSpan w:val="2"/>
            <w:tcMar>
              <w:left w:w="17" w:type="dxa"/>
              <w:right w:w="17" w:type="dxa"/>
            </w:tcMar>
            <w:vAlign w:val="center"/>
          </w:tcPr>
          <w:p w14:paraId="748AC813" w14:textId="77777777" w:rsidR="001C56BD" w:rsidRPr="00305460" w:rsidRDefault="001C56BD" w:rsidP="008A5C11">
            <w:pPr>
              <w:jc w:val="center"/>
              <w:rPr>
                <w:bCs/>
                <w:sz w:val="12"/>
                <w:szCs w:val="12"/>
              </w:rPr>
            </w:pPr>
            <w:r w:rsidRPr="00305460">
              <w:rPr>
                <w:bCs/>
                <w:sz w:val="12"/>
                <w:szCs w:val="12"/>
              </w:rPr>
              <w:t>21</w:t>
            </w:r>
          </w:p>
        </w:tc>
        <w:tc>
          <w:tcPr>
            <w:tcW w:w="219" w:type="pct"/>
            <w:tcMar>
              <w:left w:w="17" w:type="dxa"/>
              <w:right w:w="17" w:type="dxa"/>
            </w:tcMar>
            <w:vAlign w:val="center"/>
          </w:tcPr>
          <w:p w14:paraId="0B2A8814" w14:textId="77777777" w:rsidR="001C56BD" w:rsidRPr="00305460" w:rsidRDefault="001C56BD" w:rsidP="008A5C11">
            <w:pPr>
              <w:jc w:val="center"/>
              <w:rPr>
                <w:bCs/>
                <w:sz w:val="12"/>
                <w:szCs w:val="12"/>
              </w:rPr>
            </w:pPr>
            <w:r w:rsidRPr="00305460">
              <w:rPr>
                <w:bCs/>
                <w:sz w:val="12"/>
                <w:szCs w:val="12"/>
              </w:rPr>
              <w:t>22</w:t>
            </w:r>
          </w:p>
        </w:tc>
        <w:tc>
          <w:tcPr>
            <w:tcW w:w="174" w:type="pct"/>
            <w:tcMar>
              <w:left w:w="17" w:type="dxa"/>
              <w:right w:w="17" w:type="dxa"/>
            </w:tcMar>
            <w:vAlign w:val="center"/>
          </w:tcPr>
          <w:p w14:paraId="79B30E73" w14:textId="77777777" w:rsidR="001C56BD" w:rsidRPr="00305460" w:rsidRDefault="001C56BD" w:rsidP="008A5C11">
            <w:pPr>
              <w:jc w:val="center"/>
              <w:rPr>
                <w:bCs/>
                <w:sz w:val="12"/>
                <w:szCs w:val="12"/>
              </w:rPr>
            </w:pPr>
            <w:r w:rsidRPr="00305460">
              <w:rPr>
                <w:bCs/>
                <w:sz w:val="12"/>
                <w:szCs w:val="12"/>
              </w:rPr>
              <w:t>23</w:t>
            </w:r>
          </w:p>
        </w:tc>
        <w:tc>
          <w:tcPr>
            <w:tcW w:w="176" w:type="pct"/>
            <w:tcMar>
              <w:left w:w="17" w:type="dxa"/>
              <w:right w:w="17" w:type="dxa"/>
            </w:tcMar>
            <w:vAlign w:val="center"/>
          </w:tcPr>
          <w:p w14:paraId="653E51E7" w14:textId="77777777" w:rsidR="001C56BD" w:rsidRPr="00305460" w:rsidRDefault="001C56BD" w:rsidP="008A5C11">
            <w:pPr>
              <w:jc w:val="center"/>
              <w:rPr>
                <w:bCs/>
                <w:sz w:val="12"/>
                <w:szCs w:val="12"/>
              </w:rPr>
            </w:pPr>
            <w:r w:rsidRPr="00305460">
              <w:rPr>
                <w:bCs/>
                <w:sz w:val="12"/>
                <w:szCs w:val="12"/>
              </w:rPr>
              <w:t>24</w:t>
            </w:r>
          </w:p>
        </w:tc>
      </w:tr>
      <w:tr w:rsidR="001C56BD" w:rsidRPr="00305460" w14:paraId="38D4F9FE" w14:textId="77777777" w:rsidTr="008A5C11">
        <w:trPr>
          <w:trHeight w:val="897"/>
        </w:trPr>
        <w:tc>
          <w:tcPr>
            <w:tcW w:w="86" w:type="pct"/>
            <w:shd w:val="clear" w:color="auto" w:fill="auto"/>
            <w:tcMar>
              <w:left w:w="17" w:type="dxa"/>
              <w:right w:w="17" w:type="dxa"/>
            </w:tcMar>
            <w:vAlign w:val="center"/>
          </w:tcPr>
          <w:p w14:paraId="794D8FCC" w14:textId="77777777" w:rsidR="001C56BD" w:rsidRPr="00305460" w:rsidRDefault="001C56BD" w:rsidP="008A5C11">
            <w:pPr>
              <w:jc w:val="center"/>
              <w:rPr>
                <w:sz w:val="12"/>
                <w:szCs w:val="12"/>
              </w:rPr>
            </w:pPr>
            <w:r w:rsidRPr="00305460">
              <w:rPr>
                <w:sz w:val="12"/>
                <w:szCs w:val="12"/>
              </w:rPr>
              <w:t>3.1.23.</w:t>
            </w:r>
          </w:p>
        </w:tc>
        <w:tc>
          <w:tcPr>
            <w:tcW w:w="295" w:type="pct"/>
            <w:shd w:val="clear" w:color="auto" w:fill="auto"/>
            <w:tcMar>
              <w:left w:w="17" w:type="dxa"/>
              <w:right w:w="17" w:type="dxa"/>
            </w:tcMar>
            <w:vAlign w:val="center"/>
          </w:tcPr>
          <w:p w14:paraId="2F927115" w14:textId="77777777" w:rsidR="001C56BD" w:rsidRPr="00305460" w:rsidRDefault="001C56BD" w:rsidP="008A5C11">
            <w:pPr>
              <w:rPr>
                <w:sz w:val="12"/>
                <w:szCs w:val="12"/>
              </w:rPr>
            </w:pPr>
            <w:r w:rsidRPr="00305460">
              <w:rPr>
                <w:color w:val="000000"/>
                <w:sz w:val="12"/>
                <w:szCs w:val="12"/>
              </w:rPr>
              <w:t>Реконструкция тепловой сети с реестровым номером</w:t>
            </w:r>
            <w:r w:rsidRPr="00305460">
              <w:rPr>
                <w:sz w:val="12"/>
                <w:szCs w:val="12"/>
              </w:rPr>
              <w:t xml:space="preserve"> 777423</w:t>
            </w:r>
          </w:p>
        </w:tc>
        <w:tc>
          <w:tcPr>
            <w:tcW w:w="307" w:type="pct"/>
            <w:shd w:val="clear" w:color="000000" w:fill="FFFFFF"/>
            <w:tcMar>
              <w:left w:w="17" w:type="dxa"/>
              <w:right w:w="17" w:type="dxa"/>
            </w:tcMar>
            <w:vAlign w:val="center"/>
          </w:tcPr>
          <w:p w14:paraId="200902BB" w14:textId="77777777" w:rsidR="001C56BD" w:rsidRPr="00305460" w:rsidRDefault="001C56BD" w:rsidP="008A5C11">
            <w:pPr>
              <w:jc w:val="center"/>
              <w:rPr>
                <w:sz w:val="12"/>
                <w:szCs w:val="12"/>
              </w:rPr>
            </w:pPr>
            <w:r w:rsidRPr="00305460">
              <w:rPr>
                <w:color w:val="000000"/>
                <w:sz w:val="12"/>
                <w:szCs w:val="12"/>
              </w:rPr>
              <w:t>Повышение надежности услуг теплоснабжения, повышение энергетической эффективности</w:t>
            </w:r>
          </w:p>
        </w:tc>
        <w:tc>
          <w:tcPr>
            <w:tcW w:w="280" w:type="pct"/>
            <w:shd w:val="clear" w:color="auto" w:fill="auto"/>
            <w:tcMar>
              <w:left w:w="17" w:type="dxa"/>
              <w:right w:w="17" w:type="dxa"/>
            </w:tcMar>
            <w:vAlign w:val="center"/>
          </w:tcPr>
          <w:p w14:paraId="14BA7A15" w14:textId="77777777" w:rsidR="001C56BD" w:rsidRPr="00305460" w:rsidRDefault="001C56BD" w:rsidP="008A5C11">
            <w:pPr>
              <w:jc w:val="center"/>
              <w:rPr>
                <w:sz w:val="12"/>
                <w:szCs w:val="12"/>
              </w:rPr>
            </w:pPr>
            <w:r w:rsidRPr="00305460">
              <w:rPr>
                <w:sz w:val="12"/>
                <w:szCs w:val="12"/>
              </w:rPr>
              <w:t xml:space="preserve">Кемеровский городской округ, Заводский район, квартал №21, в границах </w:t>
            </w:r>
            <w:r w:rsidRPr="00305460">
              <w:rPr>
                <w:sz w:val="12"/>
                <w:szCs w:val="12"/>
              </w:rPr>
              <w:br/>
              <w:t>пр-т Ленина, ул. Мичурина, ул. Сарыгина, ул. Пролетарская</w:t>
            </w:r>
          </w:p>
        </w:tc>
        <w:tc>
          <w:tcPr>
            <w:tcW w:w="289" w:type="pct"/>
            <w:shd w:val="clear" w:color="auto" w:fill="auto"/>
            <w:tcMar>
              <w:left w:w="17" w:type="dxa"/>
              <w:right w:w="17" w:type="dxa"/>
            </w:tcMar>
            <w:vAlign w:val="center"/>
          </w:tcPr>
          <w:p w14:paraId="50EA294E" w14:textId="77777777" w:rsidR="001C56BD" w:rsidRPr="00305460" w:rsidRDefault="001C56BD" w:rsidP="008A5C11">
            <w:pPr>
              <w:jc w:val="center"/>
              <w:rPr>
                <w:sz w:val="12"/>
                <w:szCs w:val="12"/>
              </w:rPr>
            </w:pPr>
            <w:r w:rsidRPr="00305460">
              <w:rPr>
                <w:color w:val="000000"/>
                <w:sz w:val="12"/>
                <w:szCs w:val="12"/>
              </w:rPr>
              <w:t>Технические характеристики</w:t>
            </w:r>
          </w:p>
        </w:tc>
        <w:tc>
          <w:tcPr>
            <w:tcW w:w="137" w:type="pct"/>
            <w:shd w:val="clear" w:color="auto" w:fill="auto"/>
            <w:tcMar>
              <w:left w:w="17" w:type="dxa"/>
              <w:right w:w="17" w:type="dxa"/>
            </w:tcMar>
            <w:vAlign w:val="center"/>
          </w:tcPr>
          <w:p w14:paraId="423F7F96" w14:textId="77777777" w:rsidR="001C56BD" w:rsidRPr="00305460" w:rsidRDefault="001C56BD" w:rsidP="008A5C11">
            <w:pPr>
              <w:jc w:val="center"/>
              <w:rPr>
                <w:color w:val="000000"/>
                <w:sz w:val="12"/>
                <w:szCs w:val="12"/>
              </w:rPr>
            </w:pPr>
          </w:p>
        </w:tc>
        <w:tc>
          <w:tcPr>
            <w:tcW w:w="202" w:type="pct"/>
            <w:shd w:val="clear" w:color="auto" w:fill="auto"/>
            <w:tcMar>
              <w:left w:w="17" w:type="dxa"/>
              <w:right w:w="17" w:type="dxa"/>
            </w:tcMar>
            <w:vAlign w:val="center"/>
          </w:tcPr>
          <w:p w14:paraId="190E66B3" w14:textId="77777777" w:rsidR="001C56BD" w:rsidRPr="00305460" w:rsidRDefault="001C56BD" w:rsidP="008A5C11">
            <w:pPr>
              <w:jc w:val="center"/>
              <w:rPr>
                <w:sz w:val="12"/>
                <w:szCs w:val="12"/>
              </w:rPr>
            </w:pPr>
            <w:r w:rsidRPr="00305460">
              <w:rPr>
                <w:sz w:val="12"/>
                <w:szCs w:val="12"/>
              </w:rPr>
              <w:t xml:space="preserve">Канал-кирпич, опоры-хомутовые </w:t>
            </w:r>
            <w:proofErr w:type="gramStart"/>
            <w:r w:rsidRPr="00305460">
              <w:rPr>
                <w:sz w:val="12"/>
                <w:szCs w:val="12"/>
              </w:rPr>
              <w:t>привар-ные</w:t>
            </w:r>
            <w:proofErr w:type="gramEnd"/>
            <w:r w:rsidRPr="00305460">
              <w:rPr>
                <w:sz w:val="12"/>
                <w:szCs w:val="12"/>
              </w:rPr>
              <w:t xml:space="preserve">, запорная арматура - стальная клиновая, антикоррозийная защита-лак БТ, труба-сталь 20, изоляция - мин. маты </w:t>
            </w:r>
          </w:p>
        </w:tc>
        <w:tc>
          <w:tcPr>
            <w:tcW w:w="244" w:type="pct"/>
            <w:shd w:val="clear" w:color="auto" w:fill="auto"/>
            <w:tcMar>
              <w:left w:w="17" w:type="dxa"/>
              <w:right w:w="17" w:type="dxa"/>
            </w:tcMar>
            <w:vAlign w:val="center"/>
          </w:tcPr>
          <w:p w14:paraId="5886A643" w14:textId="77777777" w:rsidR="001C56BD" w:rsidRPr="00305460" w:rsidRDefault="001C56BD" w:rsidP="008A5C11">
            <w:pPr>
              <w:jc w:val="center"/>
              <w:rPr>
                <w:sz w:val="12"/>
                <w:szCs w:val="12"/>
              </w:rPr>
            </w:pPr>
            <w:r w:rsidRPr="00305460">
              <w:rPr>
                <w:sz w:val="12"/>
                <w:szCs w:val="12"/>
              </w:rPr>
              <w:t xml:space="preserve">Канал-ж/б лотки, опоры-хомутовые с диэлектрической прокладкой, запорная арматура - кран шаровый, антикоррозийная защита-мастика Вектор 1214, 1025, труба-сталь 09Г2С, изоляция - маты прошивные, </w:t>
            </w:r>
            <w:proofErr w:type="gramStart"/>
            <w:r w:rsidRPr="00305460">
              <w:rPr>
                <w:sz w:val="12"/>
                <w:szCs w:val="12"/>
              </w:rPr>
              <w:t>стеклоплас-тик</w:t>
            </w:r>
            <w:proofErr w:type="gramEnd"/>
            <w:r w:rsidRPr="00305460">
              <w:rPr>
                <w:sz w:val="12"/>
                <w:szCs w:val="12"/>
              </w:rPr>
              <w:t xml:space="preserve">  </w:t>
            </w:r>
          </w:p>
        </w:tc>
        <w:tc>
          <w:tcPr>
            <w:tcW w:w="140" w:type="pct"/>
            <w:shd w:val="clear" w:color="auto" w:fill="auto"/>
            <w:tcMar>
              <w:left w:w="17" w:type="dxa"/>
              <w:right w:w="17" w:type="dxa"/>
            </w:tcMar>
            <w:vAlign w:val="center"/>
          </w:tcPr>
          <w:p w14:paraId="40A52BE3" w14:textId="77777777" w:rsidR="001C56BD" w:rsidRPr="00305460" w:rsidRDefault="001C56BD" w:rsidP="008A5C11">
            <w:pPr>
              <w:jc w:val="center"/>
              <w:rPr>
                <w:sz w:val="12"/>
                <w:szCs w:val="12"/>
              </w:rPr>
            </w:pPr>
            <w:r w:rsidRPr="00305460">
              <w:rPr>
                <w:sz w:val="12"/>
                <w:szCs w:val="12"/>
              </w:rPr>
              <w:t>2025</w:t>
            </w:r>
          </w:p>
        </w:tc>
        <w:tc>
          <w:tcPr>
            <w:tcW w:w="140" w:type="pct"/>
            <w:shd w:val="clear" w:color="auto" w:fill="auto"/>
            <w:tcMar>
              <w:left w:w="17" w:type="dxa"/>
              <w:right w:w="17" w:type="dxa"/>
            </w:tcMar>
            <w:vAlign w:val="center"/>
          </w:tcPr>
          <w:p w14:paraId="1B916B40" w14:textId="77777777" w:rsidR="001C56BD" w:rsidRPr="00305460" w:rsidRDefault="001C56BD" w:rsidP="008A5C11">
            <w:pPr>
              <w:jc w:val="center"/>
              <w:rPr>
                <w:sz w:val="12"/>
                <w:szCs w:val="12"/>
              </w:rPr>
            </w:pPr>
            <w:r w:rsidRPr="00305460">
              <w:rPr>
                <w:sz w:val="12"/>
                <w:szCs w:val="12"/>
              </w:rPr>
              <w:t>2026</w:t>
            </w:r>
          </w:p>
        </w:tc>
        <w:tc>
          <w:tcPr>
            <w:tcW w:w="239" w:type="pct"/>
            <w:gridSpan w:val="3"/>
            <w:shd w:val="clear" w:color="auto" w:fill="auto"/>
            <w:tcMar>
              <w:left w:w="17" w:type="dxa"/>
              <w:right w:w="17" w:type="dxa"/>
            </w:tcMar>
            <w:vAlign w:val="center"/>
          </w:tcPr>
          <w:p w14:paraId="34CC2A2D" w14:textId="77777777" w:rsidR="001C56BD" w:rsidRPr="00305460" w:rsidRDefault="001C56BD" w:rsidP="008A5C11">
            <w:pPr>
              <w:jc w:val="center"/>
              <w:rPr>
                <w:sz w:val="12"/>
                <w:szCs w:val="12"/>
              </w:rPr>
            </w:pPr>
            <w:r w:rsidRPr="00305460">
              <w:rPr>
                <w:sz w:val="12"/>
                <w:szCs w:val="12"/>
              </w:rPr>
              <w:t>20876,076</w:t>
            </w:r>
          </w:p>
        </w:tc>
        <w:tc>
          <w:tcPr>
            <w:tcW w:w="196" w:type="pct"/>
            <w:gridSpan w:val="3"/>
            <w:shd w:val="clear" w:color="auto" w:fill="auto"/>
            <w:tcMar>
              <w:left w:w="17" w:type="dxa"/>
              <w:right w:w="17" w:type="dxa"/>
            </w:tcMar>
            <w:vAlign w:val="center"/>
          </w:tcPr>
          <w:p w14:paraId="177AD578" w14:textId="77777777" w:rsidR="001C56BD" w:rsidRPr="00305460" w:rsidRDefault="001C56BD" w:rsidP="008A5C11">
            <w:pPr>
              <w:jc w:val="center"/>
              <w:rPr>
                <w:sz w:val="12"/>
                <w:szCs w:val="12"/>
              </w:rPr>
            </w:pPr>
            <w:r w:rsidRPr="00305460">
              <w:rPr>
                <w:sz w:val="12"/>
                <w:szCs w:val="12"/>
              </w:rPr>
              <w:t>0,000</w:t>
            </w:r>
          </w:p>
        </w:tc>
        <w:tc>
          <w:tcPr>
            <w:tcW w:w="216" w:type="pct"/>
            <w:gridSpan w:val="3"/>
            <w:shd w:val="clear" w:color="auto" w:fill="auto"/>
            <w:tcMar>
              <w:left w:w="17" w:type="dxa"/>
              <w:right w:w="17" w:type="dxa"/>
            </w:tcMar>
            <w:vAlign w:val="center"/>
          </w:tcPr>
          <w:p w14:paraId="5E5C1D41" w14:textId="77777777" w:rsidR="001C56BD" w:rsidRPr="00305460" w:rsidRDefault="001C56BD" w:rsidP="008A5C11">
            <w:pPr>
              <w:jc w:val="center"/>
              <w:rPr>
                <w:sz w:val="12"/>
                <w:szCs w:val="12"/>
              </w:rPr>
            </w:pPr>
            <w:r w:rsidRPr="00305460">
              <w:rPr>
                <w:sz w:val="12"/>
                <w:szCs w:val="12"/>
              </w:rPr>
              <w:t>0,000</w:t>
            </w:r>
          </w:p>
        </w:tc>
        <w:tc>
          <w:tcPr>
            <w:tcW w:w="179" w:type="pct"/>
            <w:gridSpan w:val="2"/>
            <w:shd w:val="clear" w:color="auto" w:fill="auto"/>
            <w:tcMar>
              <w:left w:w="17" w:type="dxa"/>
              <w:right w:w="17" w:type="dxa"/>
            </w:tcMar>
            <w:vAlign w:val="center"/>
          </w:tcPr>
          <w:p w14:paraId="0EDB3D74" w14:textId="77777777" w:rsidR="001C56BD" w:rsidRPr="00305460" w:rsidRDefault="001C56BD" w:rsidP="008A5C11">
            <w:pPr>
              <w:jc w:val="center"/>
              <w:rPr>
                <w:sz w:val="12"/>
                <w:szCs w:val="12"/>
              </w:rPr>
            </w:pPr>
            <w:r w:rsidRPr="00305460">
              <w:rPr>
                <w:sz w:val="12"/>
                <w:szCs w:val="12"/>
              </w:rPr>
              <w:t>0,000</w:t>
            </w:r>
          </w:p>
        </w:tc>
        <w:tc>
          <w:tcPr>
            <w:tcW w:w="222" w:type="pct"/>
            <w:gridSpan w:val="2"/>
            <w:shd w:val="clear" w:color="auto" w:fill="auto"/>
            <w:tcMar>
              <w:left w:w="17" w:type="dxa"/>
              <w:right w:w="17" w:type="dxa"/>
            </w:tcMar>
            <w:vAlign w:val="center"/>
          </w:tcPr>
          <w:p w14:paraId="0BD141C4" w14:textId="77777777" w:rsidR="001C56BD" w:rsidRPr="00305460" w:rsidRDefault="001C56BD" w:rsidP="008A5C11">
            <w:pPr>
              <w:jc w:val="center"/>
              <w:rPr>
                <w:sz w:val="12"/>
                <w:szCs w:val="12"/>
              </w:rPr>
            </w:pPr>
            <w:r w:rsidRPr="00305460">
              <w:rPr>
                <w:sz w:val="12"/>
                <w:szCs w:val="12"/>
              </w:rPr>
              <w:t>0,000</w:t>
            </w:r>
          </w:p>
        </w:tc>
        <w:tc>
          <w:tcPr>
            <w:tcW w:w="213" w:type="pct"/>
            <w:shd w:val="clear" w:color="auto" w:fill="auto"/>
            <w:tcMar>
              <w:left w:w="17" w:type="dxa"/>
              <w:right w:w="17" w:type="dxa"/>
            </w:tcMar>
            <w:vAlign w:val="center"/>
          </w:tcPr>
          <w:p w14:paraId="75D4BFA3" w14:textId="77777777" w:rsidR="001C56BD" w:rsidRPr="00305460" w:rsidRDefault="001C56BD" w:rsidP="008A5C11">
            <w:pPr>
              <w:jc w:val="center"/>
              <w:rPr>
                <w:sz w:val="12"/>
                <w:szCs w:val="12"/>
              </w:rPr>
            </w:pPr>
            <w:r w:rsidRPr="00305460">
              <w:rPr>
                <w:sz w:val="12"/>
                <w:szCs w:val="12"/>
              </w:rPr>
              <w:t>6583,920</w:t>
            </w:r>
          </w:p>
        </w:tc>
        <w:tc>
          <w:tcPr>
            <w:tcW w:w="218" w:type="pct"/>
            <w:shd w:val="clear" w:color="auto" w:fill="auto"/>
            <w:tcMar>
              <w:left w:w="17" w:type="dxa"/>
              <w:right w:w="17" w:type="dxa"/>
            </w:tcMar>
            <w:vAlign w:val="center"/>
          </w:tcPr>
          <w:p w14:paraId="7DC8BC55" w14:textId="77777777" w:rsidR="001C56BD" w:rsidRPr="00305460" w:rsidRDefault="001C56BD" w:rsidP="008A5C11">
            <w:pPr>
              <w:jc w:val="center"/>
              <w:rPr>
                <w:sz w:val="12"/>
                <w:szCs w:val="12"/>
              </w:rPr>
            </w:pPr>
            <w:r w:rsidRPr="00305460">
              <w:rPr>
                <w:sz w:val="12"/>
                <w:szCs w:val="12"/>
              </w:rPr>
              <w:t>14292,156</w:t>
            </w:r>
          </w:p>
        </w:tc>
        <w:tc>
          <w:tcPr>
            <w:tcW w:w="218" w:type="pct"/>
            <w:shd w:val="clear" w:color="auto" w:fill="auto"/>
            <w:tcMar>
              <w:left w:w="17" w:type="dxa"/>
              <w:right w:w="17" w:type="dxa"/>
            </w:tcMar>
            <w:vAlign w:val="center"/>
          </w:tcPr>
          <w:p w14:paraId="18EE0D48"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7F803521" w14:textId="77777777" w:rsidR="001C56BD" w:rsidRPr="00305460" w:rsidRDefault="001C56BD" w:rsidP="008A5C11">
            <w:pPr>
              <w:jc w:val="center"/>
              <w:rPr>
                <w:sz w:val="12"/>
                <w:szCs w:val="12"/>
              </w:rPr>
            </w:pPr>
            <w:r w:rsidRPr="00305460">
              <w:rPr>
                <w:sz w:val="12"/>
                <w:szCs w:val="12"/>
              </w:rPr>
              <w:t>0,000</w:t>
            </w:r>
          </w:p>
        </w:tc>
        <w:tc>
          <w:tcPr>
            <w:tcW w:w="218" w:type="pct"/>
            <w:gridSpan w:val="2"/>
            <w:shd w:val="clear" w:color="auto" w:fill="auto"/>
            <w:tcMar>
              <w:left w:w="17" w:type="dxa"/>
              <w:right w:w="17" w:type="dxa"/>
            </w:tcMar>
            <w:vAlign w:val="center"/>
          </w:tcPr>
          <w:p w14:paraId="7483391B" w14:textId="77777777" w:rsidR="001C56BD" w:rsidRPr="00305460" w:rsidRDefault="001C56BD" w:rsidP="008A5C11">
            <w:pPr>
              <w:jc w:val="center"/>
              <w:rPr>
                <w:sz w:val="12"/>
                <w:szCs w:val="12"/>
              </w:rPr>
            </w:pPr>
            <w:r w:rsidRPr="00305460">
              <w:rPr>
                <w:sz w:val="12"/>
                <w:szCs w:val="12"/>
              </w:rPr>
              <w:t>0,000</w:t>
            </w:r>
          </w:p>
        </w:tc>
        <w:tc>
          <w:tcPr>
            <w:tcW w:w="172" w:type="pct"/>
            <w:gridSpan w:val="2"/>
            <w:shd w:val="clear" w:color="auto" w:fill="auto"/>
            <w:tcMar>
              <w:left w:w="17" w:type="dxa"/>
              <w:right w:w="17" w:type="dxa"/>
            </w:tcMar>
            <w:vAlign w:val="center"/>
          </w:tcPr>
          <w:p w14:paraId="6932C667" w14:textId="77777777" w:rsidR="001C56BD" w:rsidRPr="00305460" w:rsidRDefault="001C56BD" w:rsidP="008A5C11">
            <w:pPr>
              <w:jc w:val="center"/>
              <w:rPr>
                <w:sz w:val="12"/>
                <w:szCs w:val="12"/>
              </w:rPr>
            </w:pPr>
            <w:r w:rsidRPr="00305460">
              <w:rPr>
                <w:sz w:val="12"/>
                <w:szCs w:val="12"/>
              </w:rPr>
              <w:t>0,000</w:t>
            </w:r>
          </w:p>
        </w:tc>
        <w:tc>
          <w:tcPr>
            <w:tcW w:w="219" w:type="pct"/>
            <w:shd w:val="clear" w:color="auto" w:fill="auto"/>
            <w:tcMar>
              <w:left w:w="17" w:type="dxa"/>
              <w:right w:w="17" w:type="dxa"/>
            </w:tcMar>
            <w:vAlign w:val="center"/>
          </w:tcPr>
          <w:p w14:paraId="5BF25886" w14:textId="77777777" w:rsidR="001C56BD" w:rsidRPr="00305460" w:rsidRDefault="001C56BD" w:rsidP="008A5C11">
            <w:pPr>
              <w:jc w:val="center"/>
              <w:rPr>
                <w:sz w:val="12"/>
                <w:szCs w:val="12"/>
              </w:rPr>
            </w:pPr>
            <w:r w:rsidRPr="00305460">
              <w:rPr>
                <w:sz w:val="12"/>
                <w:szCs w:val="12"/>
              </w:rPr>
              <w:t>0,000</w:t>
            </w:r>
          </w:p>
        </w:tc>
        <w:tc>
          <w:tcPr>
            <w:tcW w:w="174" w:type="pct"/>
            <w:shd w:val="clear" w:color="auto" w:fill="auto"/>
            <w:tcMar>
              <w:left w:w="17" w:type="dxa"/>
              <w:right w:w="17" w:type="dxa"/>
            </w:tcMar>
            <w:vAlign w:val="center"/>
          </w:tcPr>
          <w:p w14:paraId="7B3AF739" w14:textId="77777777" w:rsidR="001C56BD" w:rsidRPr="00305460" w:rsidRDefault="001C56BD" w:rsidP="008A5C11">
            <w:pPr>
              <w:jc w:val="center"/>
              <w:rPr>
                <w:sz w:val="12"/>
                <w:szCs w:val="12"/>
              </w:rPr>
            </w:pPr>
            <w:r w:rsidRPr="00305460">
              <w:rPr>
                <w:sz w:val="12"/>
                <w:szCs w:val="12"/>
              </w:rPr>
              <w:t>0,000</w:t>
            </w:r>
          </w:p>
        </w:tc>
        <w:tc>
          <w:tcPr>
            <w:tcW w:w="176" w:type="pct"/>
            <w:shd w:val="clear" w:color="auto" w:fill="auto"/>
            <w:tcMar>
              <w:left w:w="17" w:type="dxa"/>
              <w:right w:w="17" w:type="dxa"/>
            </w:tcMar>
            <w:vAlign w:val="center"/>
          </w:tcPr>
          <w:p w14:paraId="202B5127" w14:textId="77777777" w:rsidR="001C56BD" w:rsidRPr="00305460" w:rsidRDefault="001C56BD" w:rsidP="008A5C11">
            <w:pPr>
              <w:jc w:val="center"/>
              <w:rPr>
                <w:sz w:val="12"/>
                <w:szCs w:val="12"/>
              </w:rPr>
            </w:pPr>
            <w:r w:rsidRPr="00305460">
              <w:rPr>
                <w:sz w:val="12"/>
                <w:szCs w:val="12"/>
              </w:rPr>
              <w:t>0,000</w:t>
            </w:r>
          </w:p>
        </w:tc>
      </w:tr>
      <w:tr w:rsidR="001C56BD" w:rsidRPr="00305460" w14:paraId="48F87E79" w14:textId="77777777" w:rsidTr="008A5C11">
        <w:trPr>
          <w:trHeight w:val="897"/>
        </w:trPr>
        <w:tc>
          <w:tcPr>
            <w:tcW w:w="86" w:type="pct"/>
            <w:shd w:val="clear" w:color="auto" w:fill="auto"/>
            <w:tcMar>
              <w:left w:w="17" w:type="dxa"/>
              <w:right w:w="17" w:type="dxa"/>
            </w:tcMar>
            <w:vAlign w:val="center"/>
          </w:tcPr>
          <w:p w14:paraId="5D876149" w14:textId="77777777" w:rsidR="001C56BD" w:rsidRPr="00305460" w:rsidRDefault="001C56BD" w:rsidP="008A5C11">
            <w:pPr>
              <w:jc w:val="center"/>
              <w:rPr>
                <w:sz w:val="12"/>
                <w:szCs w:val="12"/>
              </w:rPr>
            </w:pPr>
            <w:r w:rsidRPr="00305460">
              <w:rPr>
                <w:sz w:val="12"/>
                <w:szCs w:val="12"/>
              </w:rPr>
              <w:t>3.1.24.</w:t>
            </w:r>
          </w:p>
        </w:tc>
        <w:tc>
          <w:tcPr>
            <w:tcW w:w="295" w:type="pct"/>
            <w:shd w:val="clear" w:color="auto" w:fill="auto"/>
            <w:tcMar>
              <w:left w:w="17" w:type="dxa"/>
              <w:right w:w="17" w:type="dxa"/>
            </w:tcMar>
            <w:vAlign w:val="center"/>
          </w:tcPr>
          <w:p w14:paraId="2DAC0975" w14:textId="77777777" w:rsidR="001C56BD" w:rsidRPr="00305460" w:rsidRDefault="001C56BD" w:rsidP="008A5C11">
            <w:pPr>
              <w:rPr>
                <w:sz w:val="12"/>
                <w:szCs w:val="12"/>
              </w:rPr>
            </w:pPr>
            <w:r w:rsidRPr="00305460">
              <w:rPr>
                <w:color w:val="000000"/>
                <w:sz w:val="12"/>
                <w:szCs w:val="12"/>
              </w:rPr>
              <w:t>Реконструкция тепловой сети с реестровым номером</w:t>
            </w:r>
            <w:r w:rsidRPr="00305460">
              <w:rPr>
                <w:sz w:val="12"/>
                <w:szCs w:val="12"/>
              </w:rPr>
              <w:t xml:space="preserve"> 777194</w:t>
            </w:r>
          </w:p>
        </w:tc>
        <w:tc>
          <w:tcPr>
            <w:tcW w:w="307" w:type="pct"/>
            <w:shd w:val="clear" w:color="000000" w:fill="FFFFFF"/>
            <w:tcMar>
              <w:left w:w="17" w:type="dxa"/>
              <w:right w:w="17" w:type="dxa"/>
            </w:tcMar>
            <w:vAlign w:val="center"/>
          </w:tcPr>
          <w:p w14:paraId="3BF3A279" w14:textId="77777777" w:rsidR="001C56BD" w:rsidRPr="00305460" w:rsidRDefault="001C56BD" w:rsidP="008A5C11">
            <w:pPr>
              <w:jc w:val="center"/>
              <w:rPr>
                <w:sz w:val="12"/>
                <w:szCs w:val="12"/>
              </w:rPr>
            </w:pPr>
            <w:r w:rsidRPr="00305460">
              <w:rPr>
                <w:color w:val="000000"/>
                <w:sz w:val="12"/>
                <w:szCs w:val="12"/>
              </w:rPr>
              <w:t>Повышение надежности услуг теплоснабжения, повышение энергетической эффективности</w:t>
            </w:r>
          </w:p>
        </w:tc>
        <w:tc>
          <w:tcPr>
            <w:tcW w:w="280" w:type="pct"/>
            <w:shd w:val="clear" w:color="auto" w:fill="auto"/>
            <w:tcMar>
              <w:left w:w="17" w:type="dxa"/>
              <w:right w:w="17" w:type="dxa"/>
            </w:tcMar>
            <w:vAlign w:val="center"/>
          </w:tcPr>
          <w:p w14:paraId="0CACD50D" w14:textId="77777777" w:rsidR="001C56BD" w:rsidRPr="00305460" w:rsidRDefault="001C56BD" w:rsidP="008A5C11">
            <w:pPr>
              <w:jc w:val="center"/>
              <w:rPr>
                <w:sz w:val="12"/>
                <w:szCs w:val="12"/>
              </w:rPr>
            </w:pPr>
            <w:r w:rsidRPr="00305460">
              <w:rPr>
                <w:sz w:val="12"/>
                <w:szCs w:val="12"/>
              </w:rPr>
              <w:t xml:space="preserve">Кемеровский городской </w:t>
            </w:r>
            <w:proofErr w:type="gramStart"/>
            <w:r w:rsidRPr="00305460">
              <w:rPr>
                <w:sz w:val="12"/>
                <w:szCs w:val="12"/>
              </w:rPr>
              <w:t>округ ,</w:t>
            </w:r>
            <w:proofErr w:type="gramEnd"/>
            <w:r w:rsidRPr="00305460">
              <w:rPr>
                <w:sz w:val="12"/>
                <w:szCs w:val="12"/>
              </w:rPr>
              <w:t xml:space="preserve"> Заводский район, квартал 60 (ФПК)</w:t>
            </w:r>
          </w:p>
        </w:tc>
        <w:tc>
          <w:tcPr>
            <w:tcW w:w="289" w:type="pct"/>
            <w:shd w:val="clear" w:color="auto" w:fill="auto"/>
            <w:tcMar>
              <w:left w:w="17" w:type="dxa"/>
              <w:right w:w="17" w:type="dxa"/>
            </w:tcMar>
            <w:vAlign w:val="center"/>
          </w:tcPr>
          <w:p w14:paraId="5D760613" w14:textId="77777777" w:rsidR="001C56BD" w:rsidRPr="00305460" w:rsidRDefault="001C56BD" w:rsidP="008A5C11">
            <w:pPr>
              <w:jc w:val="center"/>
              <w:rPr>
                <w:sz w:val="12"/>
                <w:szCs w:val="12"/>
              </w:rPr>
            </w:pPr>
            <w:r w:rsidRPr="00305460">
              <w:rPr>
                <w:color w:val="000000"/>
                <w:sz w:val="12"/>
                <w:szCs w:val="12"/>
              </w:rPr>
              <w:t>Технические характеристики</w:t>
            </w:r>
          </w:p>
        </w:tc>
        <w:tc>
          <w:tcPr>
            <w:tcW w:w="137" w:type="pct"/>
            <w:shd w:val="clear" w:color="auto" w:fill="auto"/>
            <w:tcMar>
              <w:left w:w="17" w:type="dxa"/>
              <w:right w:w="17" w:type="dxa"/>
            </w:tcMar>
            <w:vAlign w:val="center"/>
          </w:tcPr>
          <w:p w14:paraId="13D3E324" w14:textId="77777777" w:rsidR="001C56BD" w:rsidRPr="00305460" w:rsidRDefault="001C56BD" w:rsidP="008A5C11">
            <w:pPr>
              <w:jc w:val="center"/>
              <w:rPr>
                <w:color w:val="000000"/>
                <w:sz w:val="12"/>
                <w:szCs w:val="12"/>
              </w:rPr>
            </w:pPr>
          </w:p>
        </w:tc>
        <w:tc>
          <w:tcPr>
            <w:tcW w:w="202" w:type="pct"/>
            <w:shd w:val="clear" w:color="auto" w:fill="auto"/>
            <w:tcMar>
              <w:left w:w="17" w:type="dxa"/>
              <w:right w:w="17" w:type="dxa"/>
            </w:tcMar>
            <w:vAlign w:val="center"/>
          </w:tcPr>
          <w:p w14:paraId="42BDA68F" w14:textId="77777777" w:rsidR="001C56BD" w:rsidRPr="00305460" w:rsidRDefault="001C56BD" w:rsidP="008A5C11">
            <w:pPr>
              <w:jc w:val="center"/>
              <w:rPr>
                <w:sz w:val="12"/>
                <w:szCs w:val="12"/>
              </w:rPr>
            </w:pPr>
            <w:r w:rsidRPr="00305460">
              <w:rPr>
                <w:sz w:val="12"/>
                <w:szCs w:val="12"/>
              </w:rPr>
              <w:t xml:space="preserve">Канал-кирпич, опоры-хомутовые </w:t>
            </w:r>
            <w:proofErr w:type="gramStart"/>
            <w:r w:rsidRPr="00305460">
              <w:rPr>
                <w:sz w:val="12"/>
                <w:szCs w:val="12"/>
              </w:rPr>
              <w:t>привар-ные</w:t>
            </w:r>
            <w:proofErr w:type="gramEnd"/>
            <w:r w:rsidRPr="00305460">
              <w:rPr>
                <w:sz w:val="12"/>
                <w:szCs w:val="12"/>
              </w:rPr>
              <w:t xml:space="preserve">, запорная арматура - стальная клиновая, антикоррозийная защита-лак БТ, труба-сталь 20, изоляция - мин. маты </w:t>
            </w:r>
          </w:p>
        </w:tc>
        <w:tc>
          <w:tcPr>
            <w:tcW w:w="244" w:type="pct"/>
            <w:shd w:val="clear" w:color="auto" w:fill="auto"/>
            <w:tcMar>
              <w:left w:w="17" w:type="dxa"/>
              <w:right w:w="17" w:type="dxa"/>
            </w:tcMar>
            <w:vAlign w:val="center"/>
          </w:tcPr>
          <w:p w14:paraId="00AB848F" w14:textId="77777777" w:rsidR="001C56BD" w:rsidRPr="00305460" w:rsidRDefault="001C56BD" w:rsidP="008A5C11">
            <w:pPr>
              <w:jc w:val="center"/>
              <w:rPr>
                <w:sz w:val="12"/>
                <w:szCs w:val="12"/>
              </w:rPr>
            </w:pPr>
            <w:r w:rsidRPr="00305460">
              <w:rPr>
                <w:sz w:val="12"/>
                <w:szCs w:val="12"/>
              </w:rPr>
              <w:t xml:space="preserve">Канал-ж/б лотки, опоры-хомутовые с диэлектрической прокладкой, запорная арматура - кран шаровый, антикоррозийная защита-мастика Вектор 1214, 1025, труба-сталь 09Г2С, изоляция - маты прошивные, </w:t>
            </w:r>
            <w:proofErr w:type="gramStart"/>
            <w:r w:rsidRPr="00305460">
              <w:rPr>
                <w:sz w:val="12"/>
                <w:szCs w:val="12"/>
              </w:rPr>
              <w:t>стеклоплас-тик</w:t>
            </w:r>
            <w:proofErr w:type="gramEnd"/>
            <w:r w:rsidRPr="00305460">
              <w:rPr>
                <w:sz w:val="12"/>
                <w:szCs w:val="12"/>
              </w:rPr>
              <w:t xml:space="preserve">  </w:t>
            </w:r>
          </w:p>
        </w:tc>
        <w:tc>
          <w:tcPr>
            <w:tcW w:w="140" w:type="pct"/>
            <w:shd w:val="clear" w:color="auto" w:fill="auto"/>
            <w:tcMar>
              <w:left w:w="17" w:type="dxa"/>
              <w:right w:w="17" w:type="dxa"/>
            </w:tcMar>
            <w:vAlign w:val="center"/>
          </w:tcPr>
          <w:p w14:paraId="4F0915CD" w14:textId="77777777" w:rsidR="001C56BD" w:rsidRPr="00305460" w:rsidRDefault="001C56BD" w:rsidP="008A5C11">
            <w:pPr>
              <w:jc w:val="center"/>
              <w:rPr>
                <w:sz w:val="12"/>
                <w:szCs w:val="12"/>
              </w:rPr>
            </w:pPr>
            <w:r w:rsidRPr="00305460">
              <w:rPr>
                <w:sz w:val="12"/>
                <w:szCs w:val="12"/>
              </w:rPr>
              <w:t>2030</w:t>
            </w:r>
          </w:p>
        </w:tc>
        <w:tc>
          <w:tcPr>
            <w:tcW w:w="140" w:type="pct"/>
            <w:shd w:val="clear" w:color="auto" w:fill="auto"/>
            <w:tcMar>
              <w:left w:w="17" w:type="dxa"/>
              <w:right w:w="17" w:type="dxa"/>
            </w:tcMar>
            <w:vAlign w:val="center"/>
          </w:tcPr>
          <w:p w14:paraId="2A9627A0" w14:textId="77777777" w:rsidR="001C56BD" w:rsidRPr="00305460" w:rsidRDefault="001C56BD" w:rsidP="008A5C11">
            <w:pPr>
              <w:jc w:val="center"/>
              <w:rPr>
                <w:sz w:val="12"/>
                <w:szCs w:val="12"/>
              </w:rPr>
            </w:pPr>
            <w:r w:rsidRPr="00305460">
              <w:rPr>
                <w:sz w:val="12"/>
                <w:szCs w:val="12"/>
              </w:rPr>
              <w:t>2030</w:t>
            </w:r>
          </w:p>
        </w:tc>
        <w:tc>
          <w:tcPr>
            <w:tcW w:w="239" w:type="pct"/>
            <w:gridSpan w:val="3"/>
            <w:shd w:val="clear" w:color="auto" w:fill="auto"/>
            <w:tcMar>
              <w:left w:w="17" w:type="dxa"/>
              <w:right w:w="17" w:type="dxa"/>
            </w:tcMar>
            <w:vAlign w:val="center"/>
          </w:tcPr>
          <w:p w14:paraId="5D7AF55F" w14:textId="77777777" w:rsidR="001C56BD" w:rsidRPr="00305460" w:rsidRDefault="001C56BD" w:rsidP="008A5C11">
            <w:pPr>
              <w:jc w:val="center"/>
              <w:rPr>
                <w:sz w:val="12"/>
                <w:szCs w:val="12"/>
              </w:rPr>
            </w:pPr>
            <w:r w:rsidRPr="00305460">
              <w:rPr>
                <w:sz w:val="12"/>
                <w:szCs w:val="12"/>
              </w:rPr>
              <w:t>21201,336</w:t>
            </w:r>
          </w:p>
        </w:tc>
        <w:tc>
          <w:tcPr>
            <w:tcW w:w="196" w:type="pct"/>
            <w:gridSpan w:val="3"/>
            <w:shd w:val="clear" w:color="auto" w:fill="auto"/>
            <w:tcMar>
              <w:left w:w="17" w:type="dxa"/>
              <w:right w:w="17" w:type="dxa"/>
            </w:tcMar>
            <w:vAlign w:val="center"/>
          </w:tcPr>
          <w:p w14:paraId="51242BF5" w14:textId="77777777" w:rsidR="001C56BD" w:rsidRPr="00305460" w:rsidRDefault="001C56BD" w:rsidP="008A5C11">
            <w:pPr>
              <w:jc w:val="center"/>
              <w:rPr>
                <w:sz w:val="12"/>
                <w:szCs w:val="12"/>
              </w:rPr>
            </w:pPr>
            <w:r w:rsidRPr="00305460">
              <w:rPr>
                <w:sz w:val="12"/>
                <w:szCs w:val="12"/>
              </w:rPr>
              <w:t>0,000</w:t>
            </w:r>
          </w:p>
        </w:tc>
        <w:tc>
          <w:tcPr>
            <w:tcW w:w="216" w:type="pct"/>
            <w:gridSpan w:val="3"/>
            <w:shd w:val="clear" w:color="auto" w:fill="auto"/>
            <w:tcMar>
              <w:left w:w="17" w:type="dxa"/>
              <w:right w:w="17" w:type="dxa"/>
            </w:tcMar>
            <w:vAlign w:val="center"/>
          </w:tcPr>
          <w:p w14:paraId="73B725CD" w14:textId="77777777" w:rsidR="001C56BD" w:rsidRPr="00305460" w:rsidRDefault="001C56BD" w:rsidP="008A5C11">
            <w:pPr>
              <w:jc w:val="center"/>
              <w:rPr>
                <w:sz w:val="12"/>
                <w:szCs w:val="12"/>
              </w:rPr>
            </w:pPr>
            <w:r w:rsidRPr="00305460">
              <w:rPr>
                <w:sz w:val="12"/>
                <w:szCs w:val="12"/>
              </w:rPr>
              <w:t>0,000</w:t>
            </w:r>
          </w:p>
        </w:tc>
        <w:tc>
          <w:tcPr>
            <w:tcW w:w="179" w:type="pct"/>
            <w:gridSpan w:val="2"/>
            <w:shd w:val="clear" w:color="auto" w:fill="auto"/>
            <w:tcMar>
              <w:left w:w="17" w:type="dxa"/>
              <w:right w:w="17" w:type="dxa"/>
            </w:tcMar>
            <w:vAlign w:val="center"/>
          </w:tcPr>
          <w:p w14:paraId="54321478" w14:textId="77777777" w:rsidR="001C56BD" w:rsidRPr="00305460" w:rsidRDefault="001C56BD" w:rsidP="008A5C11">
            <w:pPr>
              <w:jc w:val="center"/>
              <w:rPr>
                <w:sz w:val="12"/>
                <w:szCs w:val="12"/>
              </w:rPr>
            </w:pPr>
            <w:r w:rsidRPr="00305460">
              <w:rPr>
                <w:sz w:val="12"/>
                <w:szCs w:val="12"/>
              </w:rPr>
              <w:t>0,000</w:t>
            </w:r>
          </w:p>
        </w:tc>
        <w:tc>
          <w:tcPr>
            <w:tcW w:w="222" w:type="pct"/>
            <w:gridSpan w:val="2"/>
            <w:shd w:val="clear" w:color="auto" w:fill="auto"/>
            <w:tcMar>
              <w:left w:w="17" w:type="dxa"/>
              <w:right w:w="17" w:type="dxa"/>
            </w:tcMar>
            <w:vAlign w:val="center"/>
          </w:tcPr>
          <w:p w14:paraId="2048281F" w14:textId="77777777" w:rsidR="001C56BD" w:rsidRPr="00305460" w:rsidRDefault="001C56BD" w:rsidP="008A5C11">
            <w:pPr>
              <w:jc w:val="center"/>
              <w:rPr>
                <w:sz w:val="12"/>
                <w:szCs w:val="12"/>
              </w:rPr>
            </w:pPr>
            <w:r w:rsidRPr="00305460">
              <w:rPr>
                <w:sz w:val="12"/>
                <w:szCs w:val="12"/>
              </w:rPr>
              <w:t>0,000</w:t>
            </w:r>
          </w:p>
        </w:tc>
        <w:tc>
          <w:tcPr>
            <w:tcW w:w="213" w:type="pct"/>
            <w:shd w:val="clear" w:color="auto" w:fill="auto"/>
            <w:tcMar>
              <w:left w:w="17" w:type="dxa"/>
              <w:right w:w="17" w:type="dxa"/>
            </w:tcMar>
            <w:vAlign w:val="center"/>
          </w:tcPr>
          <w:p w14:paraId="0B37EFA7"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7BF18A98"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7C5EDA82"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5DF19FA4" w14:textId="77777777" w:rsidR="001C56BD" w:rsidRPr="00305460" w:rsidRDefault="001C56BD" w:rsidP="008A5C11">
            <w:pPr>
              <w:jc w:val="center"/>
              <w:rPr>
                <w:sz w:val="12"/>
                <w:szCs w:val="12"/>
              </w:rPr>
            </w:pPr>
            <w:r w:rsidRPr="00305460">
              <w:rPr>
                <w:sz w:val="12"/>
                <w:szCs w:val="12"/>
              </w:rPr>
              <w:t>0,000</w:t>
            </w:r>
          </w:p>
        </w:tc>
        <w:tc>
          <w:tcPr>
            <w:tcW w:w="218" w:type="pct"/>
            <w:gridSpan w:val="2"/>
            <w:shd w:val="clear" w:color="auto" w:fill="auto"/>
            <w:tcMar>
              <w:left w:w="17" w:type="dxa"/>
              <w:right w:w="17" w:type="dxa"/>
            </w:tcMar>
            <w:vAlign w:val="center"/>
          </w:tcPr>
          <w:p w14:paraId="19863E82" w14:textId="77777777" w:rsidR="001C56BD" w:rsidRPr="00305460" w:rsidRDefault="001C56BD" w:rsidP="008A5C11">
            <w:pPr>
              <w:jc w:val="center"/>
              <w:rPr>
                <w:sz w:val="12"/>
                <w:szCs w:val="12"/>
              </w:rPr>
            </w:pPr>
            <w:r w:rsidRPr="00305460">
              <w:rPr>
                <w:sz w:val="12"/>
                <w:szCs w:val="12"/>
              </w:rPr>
              <w:t>0,000</w:t>
            </w:r>
          </w:p>
        </w:tc>
        <w:tc>
          <w:tcPr>
            <w:tcW w:w="172" w:type="pct"/>
            <w:gridSpan w:val="2"/>
            <w:shd w:val="clear" w:color="auto" w:fill="auto"/>
            <w:tcMar>
              <w:left w:w="17" w:type="dxa"/>
              <w:right w:w="17" w:type="dxa"/>
            </w:tcMar>
            <w:vAlign w:val="center"/>
          </w:tcPr>
          <w:p w14:paraId="4E18B23B" w14:textId="77777777" w:rsidR="001C56BD" w:rsidRPr="00305460" w:rsidRDefault="001C56BD" w:rsidP="008A5C11">
            <w:pPr>
              <w:jc w:val="center"/>
              <w:rPr>
                <w:sz w:val="12"/>
                <w:szCs w:val="12"/>
              </w:rPr>
            </w:pPr>
            <w:r w:rsidRPr="00305460">
              <w:rPr>
                <w:sz w:val="12"/>
                <w:szCs w:val="12"/>
              </w:rPr>
              <w:t>21201,336</w:t>
            </w:r>
          </w:p>
        </w:tc>
        <w:tc>
          <w:tcPr>
            <w:tcW w:w="219" w:type="pct"/>
            <w:shd w:val="clear" w:color="auto" w:fill="auto"/>
            <w:tcMar>
              <w:left w:w="17" w:type="dxa"/>
              <w:right w:w="17" w:type="dxa"/>
            </w:tcMar>
            <w:vAlign w:val="center"/>
          </w:tcPr>
          <w:p w14:paraId="247A5355" w14:textId="77777777" w:rsidR="001C56BD" w:rsidRPr="00305460" w:rsidRDefault="001C56BD" w:rsidP="008A5C11">
            <w:pPr>
              <w:jc w:val="center"/>
              <w:rPr>
                <w:sz w:val="12"/>
                <w:szCs w:val="12"/>
              </w:rPr>
            </w:pPr>
            <w:r w:rsidRPr="00305460">
              <w:rPr>
                <w:sz w:val="12"/>
                <w:szCs w:val="12"/>
              </w:rPr>
              <w:t>0,000</w:t>
            </w:r>
          </w:p>
        </w:tc>
        <w:tc>
          <w:tcPr>
            <w:tcW w:w="174" w:type="pct"/>
            <w:shd w:val="clear" w:color="auto" w:fill="auto"/>
            <w:tcMar>
              <w:left w:w="17" w:type="dxa"/>
              <w:right w:w="17" w:type="dxa"/>
            </w:tcMar>
            <w:vAlign w:val="center"/>
          </w:tcPr>
          <w:p w14:paraId="03DBABD0" w14:textId="77777777" w:rsidR="001C56BD" w:rsidRPr="00305460" w:rsidRDefault="001C56BD" w:rsidP="008A5C11">
            <w:pPr>
              <w:jc w:val="center"/>
              <w:rPr>
                <w:sz w:val="12"/>
                <w:szCs w:val="12"/>
              </w:rPr>
            </w:pPr>
            <w:r w:rsidRPr="00305460">
              <w:rPr>
                <w:sz w:val="12"/>
                <w:szCs w:val="12"/>
              </w:rPr>
              <w:t>0,000</w:t>
            </w:r>
          </w:p>
        </w:tc>
        <w:tc>
          <w:tcPr>
            <w:tcW w:w="176" w:type="pct"/>
            <w:shd w:val="clear" w:color="auto" w:fill="auto"/>
            <w:tcMar>
              <w:left w:w="17" w:type="dxa"/>
              <w:right w:w="17" w:type="dxa"/>
            </w:tcMar>
            <w:vAlign w:val="center"/>
          </w:tcPr>
          <w:p w14:paraId="1D5B0C6D" w14:textId="77777777" w:rsidR="001C56BD" w:rsidRPr="00305460" w:rsidRDefault="001C56BD" w:rsidP="008A5C11">
            <w:pPr>
              <w:jc w:val="center"/>
              <w:rPr>
                <w:sz w:val="12"/>
                <w:szCs w:val="12"/>
              </w:rPr>
            </w:pPr>
            <w:r w:rsidRPr="00305460">
              <w:rPr>
                <w:sz w:val="12"/>
                <w:szCs w:val="12"/>
              </w:rPr>
              <w:t>0,000</w:t>
            </w:r>
          </w:p>
        </w:tc>
      </w:tr>
      <w:tr w:rsidR="001C56BD" w:rsidRPr="00305460" w14:paraId="78098C3C" w14:textId="77777777" w:rsidTr="008A5C11">
        <w:trPr>
          <w:trHeight w:val="897"/>
        </w:trPr>
        <w:tc>
          <w:tcPr>
            <w:tcW w:w="86" w:type="pct"/>
            <w:shd w:val="clear" w:color="auto" w:fill="auto"/>
            <w:tcMar>
              <w:left w:w="17" w:type="dxa"/>
              <w:right w:w="17" w:type="dxa"/>
            </w:tcMar>
            <w:vAlign w:val="center"/>
          </w:tcPr>
          <w:p w14:paraId="0018CFBD" w14:textId="77777777" w:rsidR="001C56BD" w:rsidRPr="00305460" w:rsidRDefault="001C56BD" w:rsidP="008A5C11">
            <w:pPr>
              <w:jc w:val="center"/>
              <w:rPr>
                <w:sz w:val="12"/>
                <w:szCs w:val="12"/>
              </w:rPr>
            </w:pPr>
            <w:r w:rsidRPr="00305460">
              <w:rPr>
                <w:sz w:val="12"/>
                <w:szCs w:val="12"/>
              </w:rPr>
              <w:t>3.1.25.</w:t>
            </w:r>
          </w:p>
        </w:tc>
        <w:tc>
          <w:tcPr>
            <w:tcW w:w="295" w:type="pct"/>
            <w:shd w:val="clear" w:color="auto" w:fill="auto"/>
            <w:tcMar>
              <w:left w:w="17" w:type="dxa"/>
              <w:right w:w="17" w:type="dxa"/>
            </w:tcMar>
            <w:vAlign w:val="center"/>
          </w:tcPr>
          <w:p w14:paraId="52E628BA" w14:textId="77777777" w:rsidR="001C56BD" w:rsidRPr="00305460" w:rsidRDefault="001C56BD" w:rsidP="008A5C11">
            <w:pPr>
              <w:rPr>
                <w:sz w:val="12"/>
                <w:szCs w:val="12"/>
              </w:rPr>
            </w:pPr>
            <w:r w:rsidRPr="00305460">
              <w:rPr>
                <w:color w:val="000000"/>
                <w:sz w:val="12"/>
                <w:szCs w:val="12"/>
              </w:rPr>
              <w:t>Реконструкция тепловой сети с реестровым номером</w:t>
            </w:r>
            <w:r w:rsidRPr="00305460">
              <w:rPr>
                <w:sz w:val="12"/>
                <w:szCs w:val="12"/>
              </w:rPr>
              <w:t xml:space="preserve"> 777272</w:t>
            </w:r>
          </w:p>
        </w:tc>
        <w:tc>
          <w:tcPr>
            <w:tcW w:w="307" w:type="pct"/>
            <w:shd w:val="clear" w:color="000000" w:fill="FFFFFF"/>
            <w:tcMar>
              <w:left w:w="17" w:type="dxa"/>
              <w:right w:w="17" w:type="dxa"/>
            </w:tcMar>
            <w:vAlign w:val="center"/>
          </w:tcPr>
          <w:p w14:paraId="62B541B5" w14:textId="77777777" w:rsidR="001C56BD" w:rsidRPr="00305460" w:rsidRDefault="001C56BD" w:rsidP="008A5C11">
            <w:pPr>
              <w:jc w:val="center"/>
              <w:rPr>
                <w:sz w:val="12"/>
                <w:szCs w:val="12"/>
              </w:rPr>
            </w:pPr>
            <w:r w:rsidRPr="00305460">
              <w:rPr>
                <w:color w:val="000000"/>
                <w:sz w:val="12"/>
                <w:szCs w:val="12"/>
              </w:rPr>
              <w:t>Повышение надежности услуг теплоснабжения, повышение энергетической эффективности</w:t>
            </w:r>
          </w:p>
        </w:tc>
        <w:tc>
          <w:tcPr>
            <w:tcW w:w="280" w:type="pct"/>
            <w:shd w:val="clear" w:color="auto" w:fill="auto"/>
            <w:tcMar>
              <w:left w:w="17" w:type="dxa"/>
              <w:right w:w="17" w:type="dxa"/>
            </w:tcMar>
            <w:vAlign w:val="center"/>
          </w:tcPr>
          <w:p w14:paraId="5EA6B7EF" w14:textId="77777777" w:rsidR="001C56BD" w:rsidRPr="00305460" w:rsidRDefault="001C56BD" w:rsidP="008A5C11">
            <w:pPr>
              <w:jc w:val="center"/>
              <w:rPr>
                <w:sz w:val="12"/>
                <w:szCs w:val="12"/>
              </w:rPr>
            </w:pPr>
            <w:r w:rsidRPr="00305460">
              <w:rPr>
                <w:sz w:val="12"/>
                <w:szCs w:val="12"/>
              </w:rPr>
              <w:t xml:space="preserve">Кемеровский городской округ, Заводский район, квартал №3, в границах ул. Базовая, </w:t>
            </w:r>
            <w:r w:rsidRPr="00305460">
              <w:rPr>
                <w:sz w:val="12"/>
                <w:szCs w:val="12"/>
              </w:rPr>
              <w:br/>
              <w:t xml:space="preserve">ул. Патриотов, </w:t>
            </w:r>
            <w:r w:rsidRPr="00305460">
              <w:rPr>
                <w:sz w:val="12"/>
                <w:szCs w:val="12"/>
              </w:rPr>
              <w:br/>
              <w:t xml:space="preserve">ул. Ульяны Громовой, </w:t>
            </w:r>
            <w:r w:rsidRPr="00305460">
              <w:rPr>
                <w:sz w:val="12"/>
                <w:szCs w:val="12"/>
              </w:rPr>
              <w:br/>
              <w:t>ул. Веры Волошиной</w:t>
            </w:r>
          </w:p>
        </w:tc>
        <w:tc>
          <w:tcPr>
            <w:tcW w:w="289" w:type="pct"/>
            <w:shd w:val="clear" w:color="auto" w:fill="auto"/>
            <w:tcMar>
              <w:left w:w="17" w:type="dxa"/>
              <w:right w:w="17" w:type="dxa"/>
            </w:tcMar>
            <w:vAlign w:val="center"/>
          </w:tcPr>
          <w:p w14:paraId="3CEB3D57" w14:textId="77777777" w:rsidR="001C56BD" w:rsidRPr="00305460" w:rsidRDefault="001C56BD" w:rsidP="008A5C11">
            <w:pPr>
              <w:jc w:val="center"/>
              <w:rPr>
                <w:sz w:val="12"/>
                <w:szCs w:val="12"/>
              </w:rPr>
            </w:pPr>
            <w:r w:rsidRPr="00305460">
              <w:rPr>
                <w:color w:val="000000"/>
                <w:sz w:val="12"/>
                <w:szCs w:val="12"/>
              </w:rPr>
              <w:t>Технические характеристики</w:t>
            </w:r>
          </w:p>
        </w:tc>
        <w:tc>
          <w:tcPr>
            <w:tcW w:w="137" w:type="pct"/>
            <w:shd w:val="clear" w:color="auto" w:fill="auto"/>
            <w:tcMar>
              <w:left w:w="17" w:type="dxa"/>
              <w:right w:w="17" w:type="dxa"/>
            </w:tcMar>
            <w:vAlign w:val="center"/>
          </w:tcPr>
          <w:p w14:paraId="279D1391" w14:textId="77777777" w:rsidR="001C56BD" w:rsidRPr="00305460" w:rsidRDefault="001C56BD" w:rsidP="008A5C11">
            <w:pPr>
              <w:jc w:val="center"/>
              <w:rPr>
                <w:color w:val="000000"/>
                <w:sz w:val="12"/>
                <w:szCs w:val="12"/>
              </w:rPr>
            </w:pPr>
          </w:p>
        </w:tc>
        <w:tc>
          <w:tcPr>
            <w:tcW w:w="202" w:type="pct"/>
            <w:shd w:val="clear" w:color="auto" w:fill="auto"/>
            <w:tcMar>
              <w:left w:w="17" w:type="dxa"/>
              <w:right w:w="17" w:type="dxa"/>
            </w:tcMar>
            <w:vAlign w:val="center"/>
          </w:tcPr>
          <w:p w14:paraId="500456CD" w14:textId="77777777" w:rsidR="001C56BD" w:rsidRPr="00305460" w:rsidRDefault="001C56BD" w:rsidP="008A5C11">
            <w:pPr>
              <w:jc w:val="center"/>
              <w:rPr>
                <w:sz w:val="12"/>
                <w:szCs w:val="12"/>
              </w:rPr>
            </w:pPr>
            <w:r w:rsidRPr="00305460">
              <w:rPr>
                <w:sz w:val="12"/>
                <w:szCs w:val="12"/>
              </w:rPr>
              <w:t xml:space="preserve">Канал-кирпич, опоры-хомутовые </w:t>
            </w:r>
            <w:proofErr w:type="gramStart"/>
            <w:r w:rsidRPr="00305460">
              <w:rPr>
                <w:sz w:val="12"/>
                <w:szCs w:val="12"/>
              </w:rPr>
              <w:t>привар-ные</w:t>
            </w:r>
            <w:proofErr w:type="gramEnd"/>
            <w:r w:rsidRPr="00305460">
              <w:rPr>
                <w:sz w:val="12"/>
                <w:szCs w:val="12"/>
              </w:rPr>
              <w:t xml:space="preserve">, запорная арматура - стальная клиновая, антикоррозийная защита-лак БТ, труба-сталь 20, изоляция - мин. маты </w:t>
            </w:r>
          </w:p>
        </w:tc>
        <w:tc>
          <w:tcPr>
            <w:tcW w:w="244" w:type="pct"/>
            <w:shd w:val="clear" w:color="auto" w:fill="auto"/>
            <w:tcMar>
              <w:left w:w="17" w:type="dxa"/>
              <w:right w:w="17" w:type="dxa"/>
            </w:tcMar>
            <w:vAlign w:val="center"/>
          </w:tcPr>
          <w:p w14:paraId="5182C7FE" w14:textId="77777777" w:rsidR="001C56BD" w:rsidRPr="00305460" w:rsidRDefault="001C56BD" w:rsidP="008A5C11">
            <w:pPr>
              <w:jc w:val="center"/>
              <w:rPr>
                <w:sz w:val="12"/>
                <w:szCs w:val="12"/>
              </w:rPr>
            </w:pPr>
            <w:r w:rsidRPr="00305460">
              <w:rPr>
                <w:sz w:val="12"/>
                <w:szCs w:val="12"/>
              </w:rPr>
              <w:t xml:space="preserve">Канал-ж/б лотки, опоры-хомутовые с диэлектрической прокладкой, запорная арматура - кран шаровый, антикоррозийная защита-мастика Вектор 1214, 1025, труба-сталь 09Г2С, изоляция - маты прошивные, </w:t>
            </w:r>
            <w:proofErr w:type="gramStart"/>
            <w:r w:rsidRPr="00305460">
              <w:rPr>
                <w:sz w:val="12"/>
                <w:szCs w:val="12"/>
              </w:rPr>
              <w:t>стеклоплас-тик</w:t>
            </w:r>
            <w:proofErr w:type="gramEnd"/>
            <w:r w:rsidRPr="00305460">
              <w:rPr>
                <w:sz w:val="12"/>
                <w:szCs w:val="12"/>
              </w:rPr>
              <w:t xml:space="preserve">  </w:t>
            </w:r>
          </w:p>
        </w:tc>
        <w:tc>
          <w:tcPr>
            <w:tcW w:w="140" w:type="pct"/>
            <w:shd w:val="clear" w:color="auto" w:fill="auto"/>
            <w:tcMar>
              <w:left w:w="17" w:type="dxa"/>
              <w:right w:w="17" w:type="dxa"/>
            </w:tcMar>
            <w:vAlign w:val="center"/>
          </w:tcPr>
          <w:p w14:paraId="213F4D17" w14:textId="77777777" w:rsidR="001C56BD" w:rsidRPr="00305460" w:rsidRDefault="001C56BD" w:rsidP="008A5C11">
            <w:pPr>
              <w:jc w:val="center"/>
              <w:rPr>
                <w:sz w:val="12"/>
                <w:szCs w:val="12"/>
              </w:rPr>
            </w:pPr>
            <w:r w:rsidRPr="00305460">
              <w:rPr>
                <w:sz w:val="12"/>
                <w:szCs w:val="12"/>
              </w:rPr>
              <w:t>2026</w:t>
            </w:r>
          </w:p>
        </w:tc>
        <w:tc>
          <w:tcPr>
            <w:tcW w:w="140" w:type="pct"/>
            <w:shd w:val="clear" w:color="auto" w:fill="auto"/>
            <w:tcMar>
              <w:left w:w="17" w:type="dxa"/>
              <w:right w:w="17" w:type="dxa"/>
            </w:tcMar>
            <w:vAlign w:val="center"/>
          </w:tcPr>
          <w:p w14:paraId="147D41D3" w14:textId="77777777" w:rsidR="001C56BD" w:rsidRPr="00305460" w:rsidRDefault="001C56BD" w:rsidP="008A5C11">
            <w:pPr>
              <w:jc w:val="center"/>
              <w:rPr>
                <w:sz w:val="12"/>
                <w:szCs w:val="12"/>
              </w:rPr>
            </w:pPr>
            <w:r w:rsidRPr="00305460">
              <w:rPr>
                <w:sz w:val="12"/>
                <w:szCs w:val="12"/>
              </w:rPr>
              <w:t>2029</w:t>
            </w:r>
          </w:p>
        </w:tc>
        <w:tc>
          <w:tcPr>
            <w:tcW w:w="239" w:type="pct"/>
            <w:gridSpan w:val="3"/>
            <w:shd w:val="clear" w:color="auto" w:fill="auto"/>
            <w:tcMar>
              <w:left w:w="17" w:type="dxa"/>
              <w:right w:w="17" w:type="dxa"/>
            </w:tcMar>
            <w:vAlign w:val="center"/>
          </w:tcPr>
          <w:p w14:paraId="245306A8" w14:textId="77777777" w:rsidR="001C56BD" w:rsidRPr="00305460" w:rsidRDefault="001C56BD" w:rsidP="008A5C11">
            <w:pPr>
              <w:jc w:val="center"/>
              <w:rPr>
                <w:sz w:val="12"/>
                <w:szCs w:val="12"/>
              </w:rPr>
            </w:pPr>
            <w:r w:rsidRPr="00305460">
              <w:rPr>
                <w:sz w:val="12"/>
                <w:szCs w:val="12"/>
              </w:rPr>
              <w:t>32748,228</w:t>
            </w:r>
          </w:p>
        </w:tc>
        <w:tc>
          <w:tcPr>
            <w:tcW w:w="196" w:type="pct"/>
            <w:gridSpan w:val="3"/>
            <w:shd w:val="clear" w:color="auto" w:fill="auto"/>
            <w:tcMar>
              <w:left w:w="17" w:type="dxa"/>
              <w:right w:w="17" w:type="dxa"/>
            </w:tcMar>
            <w:vAlign w:val="center"/>
          </w:tcPr>
          <w:p w14:paraId="20332E0E" w14:textId="77777777" w:rsidR="001C56BD" w:rsidRPr="00305460" w:rsidRDefault="001C56BD" w:rsidP="008A5C11">
            <w:pPr>
              <w:jc w:val="center"/>
              <w:rPr>
                <w:sz w:val="12"/>
                <w:szCs w:val="12"/>
              </w:rPr>
            </w:pPr>
            <w:r w:rsidRPr="00305460">
              <w:rPr>
                <w:sz w:val="12"/>
                <w:szCs w:val="12"/>
              </w:rPr>
              <w:t>0,000</w:t>
            </w:r>
          </w:p>
        </w:tc>
        <w:tc>
          <w:tcPr>
            <w:tcW w:w="216" w:type="pct"/>
            <w:gridSpan w:val="3"/>
            <w:shd w:val="clear" w:color="auto" w:fill="auto"/>
            <w:tcMar>
              <w:left w:w="17" w:type="dxa"/>
              <w:right w:w="17" w:type="dxa"/>
            </w:tcMar>
            <w:vAlign w:val="center"/>
          </w:tcPr>
          <w:p w14:paraId="667A8C73" w14:textId="77777777" w:rsidR="001C56BD" w:rsidRPr="00305460" w:rsidRDefault="001C56BD" w:rsidP="008A5C11">
            <w:pPr>
              <w:jc w:val="center"/>
              <w:rPr>
                <w:sz w:val="12"/>
                <w:szCs w:val="12"/>
              </w:rPr>
            </w:pPr>
            <w:r w:rsidRPr="00305460">
              <w:rPr>
                <w:sz w:val="12"/>
                <w:szCs w:val="12"/>
              </w:rPr>
              <w:t>0,000</w:t>
            </w:r>
          </w:p>
        </w:tc>
        <w:tc>
          <w:tcPr>
            <w:tcW w:w="179" w:type="pct"/>
            <w:gridSpan w:val="2"/>
            <w:shd w:val="clear" w:color="auto" w:fill="auto"/>
            <w:tcMar>
              <w:left w:w="17" w:type="dxa"/>
              <w:right w:w="17" w:type="dxa"/>
            </w:tcMar>
            <w:vAlign w:val="center"/>
          </w:tcPr>
          <w:p w14:paraId="066B0EEB" w14:textId="77777777" w:rsidR="001C56BD" w:rsidRPr="00305460" w:rsidRDefault="001C56BD" w:rsidP="008A5C11">
            <w:pPr>
              <w:jc w:val="center"/>
              <w:rPr>
                <w:sz w:val="12"/>
                <w:szCs w:val="12"/>
              </w:rPr>
            </w:pPr>
            <w:r w:rsidRPr="00305460">
              <w:rPr>
                <w:sz w:val="12"/>
                <w:szCs w:val="12"/>
              </w:rPr>
              <w:t>0,000</w:t>
            </w:r>
          </w:p>
        </w:tc>
        <w:tc>
          <w:tcPr>
            <w:tcW w:w="222" w:type="pct"/>
            <w:gridSpan w:val="2"/>
            <w:shd w:val="clear" w:color="auto" w:fill="auto"/>
            <w:tcMar>
              <w:left w:w="17" w:type="dxa"/>
              <w:right w:w="17" w:type="dxa"/>
            </w:tcMar>
            <w:vAlign w:val="center"/>
          </w:tcPr>
          <w:p w14:paraId="5427F981" w14:textId="77777777" w:rsidR="001C56BD" w:rsidRPr="00305460" w:rsidRDefault="001C56BD" w:rsidP="008A5C11">
            <w:pPr>
              <w:jc w:val="center"/>
              <w:rPr>
                <w:sz w:val="12"/>
                <w:szCs w:val="12"/>
              </w:rPr>
            </w:pPr>
            <w:r w:rsidRPr="00305460">
              <w:rPr>
                <w:sz w:val="12"/>
                <w:szCs w:val="12"/>
              </w:rPr>
              <w:t>0,000</w:t>
            </w:r>
          </w:p>
        </w:tc>
        <w:tc>
          <w:tcPr>
            <w:tcW w:w="213" w:type="pct"/>
            <w:shd w:val="clear" w:color="auto" w:fill="auto"/>
            <w:tcMar>
              <w:left w:w="17" w:type="dxa"/>
              <w:right w:w="17" w:type="dxa"/>
            </w:tcMar>
            <w:vAlign w:val="center"/>
          </w:tcPr>
          <w:p w14:paraId="1C9BA32E"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19CFE2F8" w14:textId="77777777" w:rsidR="001C56BD" w:rsidRPr="00305460" w:rsidRDefault="001C56BD" w:rsidP="008A5C11">
            <w:pPr>
              <w:jc w:val="center"/>
              <w:rPr>
                <w:sz w:val="12"/>
                <w:szCs w:val="12"/>
              </w:rPr>
            </w:pPr>
            <w:r w:rsidRPr="00305460">
              <w:rPr>
                <w:sz w:val="12"/>
                <w:szCs w:val="12"/>
              </w:rPr>
              <w:t>15444,180</w:t>
            </w:r>
          </w:p>
        </w:tc>
        <w:tc>
          <w:tcPr>
            <w:tcW w:w="218" w:type="pct"/>
            <w:shd w:val="clear" w:color="auto" w:fill="auto"/>
            <w:tcMar>
              <w:left w:w="17" w:type="dxa"/>
              <w:right w:w="17" w:type="dxa"/>
            </w:tcMar>
            <w:vAlign w:val="center"/>
          </w:tcPr>
          <w:p w14:paraId="574313F7"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4361DCB2" w14:textId="77777777" w:rsidR="001C56BD" w:rsidRPr="00305460" w:rsidRDefault="001C56BD" w:rsidP="008A5C11">
            <w:pPr>
              <w:jc w:val="center"/>
              <w:rPr>
                <w:sz w:val="12"/>
                <w:szCs w:val="12"/>
              </w:rPr>
            </w:pPr>
            <w:r w:rsidRPr="00305460">
              <w:rPr>
                <w:sz w:val="12"/>
                <w:szCs w:val="12"/>
              </w:rPr>
              <w:t>0,000</w:t>
            </w:r>
          </w:p>
        </w:tc>
        <w:tc>
          <w:tcPr>
            <w:tcW w:w="218" w:type="pct"/>
            <w:gridSpan w:val="2"/>
            <w:shd w:val="clear" w:color="auto" w:fill="auto"/>
            <w:tcMar>
              <w:left w:w="17" w:type="dxa"/>
              <w:right w:w="17" w:type="dxa"/>
            </w:tcMar>
            <w:vAlign w:val="center"/>
          </w:tcPr>
          <w:p w14:paraId="1C5C7D12" w14:textId="77777777" w:rsidR="001C56BD" w:rsidRPr="00305460" w:rsidRDefault="001C56BD" w:rsidP="008A5C11">
            <w:pPr>
              <w:jc w:val="center"/>
              <w:rPr>
                <w:sz w:val="12"/>
                <w:szCs w:val="12"/>
              </w:rPr>
            </w:pPr>
            <w:r w:rsidRPr="00305460">
              <w:rPr>
                <w:sz w:val="12"/>
                <w:szCs w:val="12"/>
              </w:rPr>
              <w:t>17304,048</w:t>
            </w:r>
          </w:p>
        </w:tc>
        <w:tc>
          <w:tcPr>
            <w:tcW w:w="172" w:type="pct"/>
            <w:gridSpan w:val="2"/>
            <w:shd w:val="clear" w:color="auto" w:fill="auto"/>
            <w:tcMar>
              <w:left w:w="17" w:type="dxa"/>
              <w:right w:w="17" w:type="dxa"/>
            </w:tcMar>
            <w:vAlign w:val="center"/>
          </w:tcPr>
          <w:p w14:paraId="2336DE4D" w14:textId="77777777" w:rsidR="001C56BD" w:rsidRPr="00305460" w:rsidRDefault="001C56BD" w:rsidP="008A5C11">
            <w:pPr>
              <w:jc w:val="center"/>
              <w:rPr>
                <w:sz w:val="12"/>
                <w:szCs w:val="12"/>
              </w:rPr>
            </w:pPr>
            <w:r w:rsidRPr="00305460">
              <w:rPr>
                <w:sz w:val="12"/>
                <w:szCs w:val="12"/>
              </w:rPr>
              <w:t>0,000</w:t>
            </w:r>
          </w:p>
        </w:tc>
        <w:tc>
          <w:tcPr>
            <w:tcW w:w="219" w:type="pct"/>
            <w:shd w:val="clear" w:color="auto" w:fill="auto"/>
            <w:tcMar>
              <w:left w:w="17" w:type="dxa"/>
              <w:right w:w="17" w:type="dxa"/>
            </w:tcMar>
            <w:vAlign w:val="center"/>
          </w:tcPr>
          <w:p w14:paraId="0AFB03BF" w14:textId="77777777" w:rsidR="001C56BD" w:rsidRPr="00305460" w:rsidRDefault="001C56BD" w:rsidP="008A5C11">
            <w:pPr>
              <w:jc w:val="center"/>
              <w:rPr>
                <w:sz w:val="12"/>
                <w:szCs w:val="12"/>
              </w:rPr>
            </w:pPr>
            <w:r w:rsidRPr="00305460">
              <w:rPr>
                <w:sz w:val="12"/>
                <w:szCs w:val="12"/>
              </w:rPr>
              <w:t>0,000</w:t>
            </w:r>
          </w:p>
        </w:tc>
        <w:tc>
          <w:tcPr>
            <w:tcW w:w="174" w:type="pct"/>
            <w:shd w:val="clear" w:color="auto" w:fill="auto"/>
            <w:tcMar>
              <w:left w:w="17" w:type="dxa"/>
              <w:right w:w="17" w:type="dxa"/>
            </w:tcMar>
            <w:vAlign w:val="center"/>
          </w:tcPr>
          <w:p w14:paraId="5ACB6CB5" w14:textId="77777777" w:rsidR="001C56BD" w:rsidRPr="00305460" w:rsidRDefault="001C56BD" w:rsidP="008A5C11">
            <w:pPr>
              <w:jc w:val="center"/>
              <w:rPr>
                <w:sz w:val="12"/>
                <w:szCs w:val="12"/>
              </w:rPr>
            </w:pPr>
            <w:r w:rsidRPr="00305460">
              <w:rPr>
                <w:sz w:val="12"/>
                <w:szCs w:val="12"/>
              </w:rPr>
              <w:t>0,000</w:t>
            </w:r>
          </w:p>
        </w:tc>
        <w:tc>
          <w:tcPr>
            <w:tcW w:w="176" w:type="pct"/>
            <w:shd w:val="clear" w:color="auto" w:fill="auto"/>
            <w:tcMar>
              <w:left w:w="17" w:type="dxa"/>
              <w:right w:w="17" w:type="dxa"/>
            </w:tcMar>
            <w:vAlign w:val="center"/>
          </w:tcPr>
          <w:p w14:paraId="4916500B" w14:textId="77777777" w:rsidR="001C56BD" w:rsidRPr="00305460" w:rsidRDefault="001C56BD" w:rsidP="008A5C11">
            <w:pPr>
              <w:jc w:val="center"/>
              <w:rPr>
                <w:sz w:val="12"/>
                <w:szCs w:val="12"/>
              </w:rPr>
            </w:pPr>
            <w:r w:rsidRPr="00305460">
              <w:rPr>
                <w:sz w:val="12"/>
                <w:szCs w:val="12"/>
              </w:rPr>
              <w:t>0,000</w:t>
            </w:r>
          </w:p>
        </w:tc>
      </w:tr>
      <w:tr w:rsidR="001C56BD" w:rsidRPr="00305460" w14:paraId="6CA43C85" w14:textId="77777777" w:rsidTr="008A5C11">
        <w:trPr>
          <w:trHeight w:val="897"/>
        </w:trPr>
        <w:tc>
          <w:tcPr>
            <w:tcW w:w="86" w:type="pct"/>
            <w:shd w:val="clear" w:color="auto" w:fill="auto"/>
            <w:tcMar>
              <w:left w:w="17" w:type="dxa"/>
              <w:right w:w="17" w:type="dxa"/>
            </w:tcMar>
            <w:vAlign w:val="center"/>
          </w:tcPr>
          <w:p w14:paraId="2155DCA0" w14:textId="77777777" w:rsidR="001C56BD" w:rsidRPr="00305460" w:rsidRDefault="001C56BD" w:rsidP="008A5C11">
            <w:pPr>
              <w:jc w:val="center"/>
              <w:rPr>
                <w:bCs/>
                <w:sz w:val="12"/>
                <w:szCs w:val="12"/>
              </w:rPr>
            </w:pPr>
            <w:r w:rsidRPr="00305460">
              <w:rPr>
                <w:bCs/>
                <w:sz w:val="12"/>
                <w:szCs w:val="12"/>
              </w:rPr>
              <w:t>1</w:t>
            </w:r>
          </w:p>
        </w:tc>
        <w:tc>
          <w:tcPr>
            <w:tcW w:w="295" w:type="pct"/>
            <w:shd w:val="clear" w:color="auto" w:fill="auto"/>
            <w:tcMar>
              <w:left w:w="17" w:type="dxa"/>
              <w:right w:w="17" w:type="dxa"/>
            </w:tcMar>
            <w:vAlign w:val="center"/>
          </w:tcPr>
          <w:p w14:paraId="75FD9F4B" w14:textId="77777777" w:rsidR="001C56BD" w:rsidRPr="00305460" w:rsidRDefault="001C56BD" w:rsidP="008A5C11">
            <w:pPr>
              <w:jc w:val="center"/>
              <w:rPr>
                <w:bCs/>
                <w:sz w:val="12"/>
                <w:szCs w:val="12"/>
              </w:rPr>
            </w:pPr>
            <w:r w:rsidRPr="00305460">
              <w:rPr>
                <w:bCs/>
                <w:sz w:val="12"/>
                <w:szCs w:val="12"/>
              </w:rPr>
              <w:t>2</w:t>
            </w:r>
          </w:p>
        </w:tc>
        <w:tc>
          <w:tcPr>
            <w:tcW w:w="307" w:type="pct"/>
            <w:shd w:val="clear" w:color="auto" w:fill="auto"/>
            <w:tcMar>
              <w:left w:w="17" w:type="dxa"/>
              <w:right w:w="17" w:type="dxa"/>
            </w:tcMar>
            <w:vAlign w:val="center"/>
          </w:tcPr>
          <w:p w14:paraId="1DD4F0CA" w14:textId="77777777" w:rsidR="001C56BD" w:rsidRPr="00305460" w:rsidRDefault="001C56BD" w:rsidP="008A5C11">
            <w:pPr>
              <w:jc w:val="center"/>
              <w:rPr>
                <w:bCs/>
                <w:sz w:val="12"/>
                <w:szCs w:val="12"/>
              </w:rPr>
            </w:pPr>
            <w:r w:rsidRPr="00305460">
              <w:rPr>
                <w:bCs/>
                <w:sz w:val="12"/>
                <w:szCs w:val="12"/>
              </w:rPr>
              <w:t>3</w:t>
            </w:r>
          </w:p>
        </w:tc>
        <w:tc>
          <w:tcPr>
            <w:tcW w:w="280" w:type="pct"/>
            <w:shd w:val="clear" w:color="auto" w:fill="auto"/>
            <w:tcMar>
              <w:left w:w="17" w:type="dxa"/>
              <w:right w:w="17" w:type="dxa"/>
            </w:tcMar>
            <w:vAlign w:val="center"/>
          </w:tcPr>
          <w:p w14:paraId="0D2648A2" w14:textId="77777777" w:rsidR="001C56BD" w:rsidRPr="00305460" w:rsidRDefault="001C56BD" w:rsidP="008A5C11">
            <w:pPr>
              <w:jc w:val="center"/>
              <w:rPr>
                <w:bCs/>
                <w:sz w:val="12"/>
                <w:szCs w:val="12"/>
              </w:rPr>
            </w:pPr>
            <w:r w:rsidRPr="00305460">
              <w:rPr>
                <w:bCs/>
                <w:sz w:val="12"/>
                <w:szCs w:val="12"/>
              </w:rPr>
              <w:t>4</w:t>
            </w:r>
          </w:p>
        </w:tc>
        <w:tc>
          <w:tcPr>
            <w:tcW w:w="289" w:type="pct"/>
            <w:shd w:val="clear" w:color="auto" w:fill="auto"/>
            <w:tcMar>
              <w:left w:w="17" w:type="dxa"/>
              <w:right w:w="17" w:type="dxa"/>
            </w:tcMar>
            <w:vAlign w:val="center"/>
          </w:tcPr>
          <w:p w14:paraId="10BD1AC3" w14:textId="77777777" w:rsidR="001C56BD" w:rsidRPr="00305460" w:rsidRDefault="001C56BD" w:rsidP="008A5C11">
            <w:pPr>
              <w:jc w:val="center"/>
              <w:rPr>
                <w:bCs/>
                <w:sz w:val="12"/>
                <w:szCs w:val="12"/>
              </w:rPr>
            </w:pPr>
            <w:r w:rsidRPr="00305460">
              <w:rPr>
                <w:bCs/>
                <w:sz w:val="12"/>
                <w:szCs w:val="12"/>
              </w:rPr>
              <w:t>5</w:t>
            </w:r>
          </w:p>
        </w:tc>
        <w:tc>
          <w:tcPr>
            <w:tcW w:w="137" w:type="pct"/>
            <w:shd w:val="clear" w:color="auto" w:fill="auto"/>
            <w:tcMar>
              <w:left w:w="17" w:type="dxa"/>
              <w:right w:w="17" w:type="dxa"/>
            </w:tcMar>
            <w:vAlign w:val="center"/>
          </w:tcPr>
          <w:p w14:paraId="41B86F40" w14:textId="77777777" w:rsidR="001C56BD" w:rsidRPr="00305460" w:rsidRDefault="001C56BD" w:rsidP="008A5C11">
            <w:pPr>
              <w:jc w:val="center"/>
              <w:rPr>
                <w:bCs/>
                <w:sz w:val="12"/>
                <w:szCs w:val="12"/>
              </w:rPr>
            </w:pPr>
            <w:r w:rsidRPr="00305460">
              <w:rPr>
                <w:bCs/>
                <w:sz w:val="12"/>
                <w:szCs w:val="12"/>
              </w:rPr>
              <w:t>6</w:t>
            </w:r>
          </w:p>
        </w:tc>
        <w:tc>
          <w:tcPr>
            <w:tcW w:w="202" w:type="pct"/>
            <w:shd w:val="clear" w:color="auto" w:fill="auto"/>
            <w:tcMar>
              <w:left w:w="17" w:type="dxa"/>
              <w:right w:w="17" w:type="dxa"/>
            </w:tcMar>
            <w:vAlign w:val="center"/>
          </w:tcPr>
          <w:p w14:paraId="5B90BDDE" w14:textId="77777777" w:rsidR="001C56BD" w:rsidRPr="00305460" w:rsidRDefault="001C56BD" w:rsidP="008A5C11">
            <w:pPr>
              <w:jc w:val="center"/>
              <w:rPr>
                <w:bCs/>
                <w:sz w:val="12"/>
                <w:szCs w:val="12"/>
              </w:rPr>
            </w:pPr>
            <w:r w:rsidRPr="00305460">
              <w:rPr>
                <w:bCs/>
                <w:sz w:val="12"/>
                <w:szCs w:val="12"/>
              </w:rPr>
              <w:t>7</w:t>
            </w:r>
          </w:p>
        </w:tc>
        <w:tc>
          <w:tcPr>
            <w:tcW w:w="244" w:type="pct"/>
            <w:shd w:val="clear" w:color="auto" w:fill="auto"/>
            <w:tcMar>
              <w:left w:w="17" w:type="dxa"/>
              <w:right w:w="17" w:type="dxa"/>
            </w:tcMar>
            <w:vAlign w:val="center"/>
          </w:tcPr>
          <w:p w14:paraId="5AD0E2C3" w14:textId="77777777" w:rsidR="001C56BD" w:rsidRPr="00305460" w:rsidRDefault="001C56BD" w:rsidP="008A5C11">
            <w:pPr>
              <w:jc w:val="center"/>
              <w:rPr>
                <w:bCs/>
                <w:sz w:val="12"/>
                <w:szCs w:val="12"/>
              </w:rPr>
            </w:pPr>
            <w:r w:rsidRPr="00305460">
              <w:rPr>
                <w:bCs/>
                <w:sz w:val="12"/>
                <w:szCs w:val="12"/>
              </w:rPr>
              <w:t>8</w:t>
            </w:r>
          </w:p>
        </w:tc>
        <w:tc>
          <w:tcPr>
            <w:tcW w:w="140" w:type="pct"/>
            <w:shd w:val="clear" w:color="auto" w:fill="auto"/>
            <w:tcMar>
              <w:left w:w="17" w:type="dxa"/>
              <w:right w:w="17" w:type="dxa"/>
            </w:tcMar>
            <w:vAlign w:val="center"/>
          </w:tcPr>
          <w:p w14:paraId="1A982903" w14:textId="77777777" w:rsidR="001C56BD" w:rsidRPr="00305460" w:rsidRDefault="001C56BD" w:rsidP="008A5C11">
            <w:pPr>
              <w:jc w:val="center"/>
              <w:rPr>
                <w:bCs/>
                <w:sz w:val="12"/>
                <w:szCs w:val="12"/>
              </w:rPr>
            </w:pPr>
            <w:r w:rsidRPr="00305460">
              <w:rPr>
                <w:bCs/>
                <w:sz w:val="12"/>
                <w:szCs w:val="12"/>
              </w:rPr>
              <w:t>9</w:t>
            </w:r>
          </w:p>
        </w:tc>
        <w:tc>
          <w:tcPr>
            <w:tcW w:w="140" w:type="pct"/>
            <w:shd w:val="clear" w:color="auto" w:fill="auto"/>
            <w:tcMar>
              <w:left w:w="17" w:type="dxa"/>
              <w:right w:w="17" w:type="dxa"/>
            </w:tcMar>
            <w:vAlign w:val="center"/>
          </w:tcPr>
          <w:p w14:paraId="5A6A0738" w14:textId="77777777" w:rsidR="001C56BD" w:rsidRPr="00305460" w:rsidRDefault="001C56BD" w:rsidP="008A5C11">
            <w:pPr>
              <w:jc w:val="center"/>
              <w:rPr>
                <w:bCs/>
                <w:sz w:val="12"/>
                <w:szCs w:val="12"/>
              </w:rPr>
            </w:pPr>
            <w:r w:rsidRPr="00305460">
              <w:rPr>
                <w:bCs/>
                <w:sz w:val="12"/>
                <w:szCs w:val="12"/>
              </w:rPr>
              <w:t>10</w:t>
            </w:r>
          </w:p>
        </w:tc>
        <w:tc>
          <w:tcPr>
            <w:tcW w:w="239" w:type="pct"/>
            <w:gridSpan w:val="3"/>
            <w:shd w:val="clear" w:color="auto" w:fill="auto"/>
            <w:tcMar>
              <w:left w:w="17" w:type="dxa"/>
              <w:right w:w="17" w:type="dxa"/>
            </w:tcMar>
            <w:vAlign w:val="center"/>
          </w:tcPr>
          <w:p w14:paraId="30A3D2DA" w14:textId="77777777" w:rsidR="001C56BD" w:rsidRPr="00305460" w:rsidRDefault="001C56BD" w:rsidP="008A5C11">
            <w:pPr>
              <w:jc w:val="center"/>
              <w:rPr>
                <w:bCs/>
                <w:sz w:val="12"/>
                <w:szCs w:val="12"/>
              </w:rPr>
            </w:pPr>
            <w:r w:rsidRPr="00305460">
              <w:rPr>
                <w:bCs/>
                <w:sz w:val="12"/>
                <w:szCs w:val="12"/>
              </w:rPr>
              <w:t>11</w:t>
            </w:r>
          </w:p>
        </w:tc>
        <w:tc>
          <w:tcPr>
            <w:tcW w:w="196" w:type="pct"/>
            <w:gridSpan w:val="3"/>
            <w:shd w:val="clear" w:color="auto" w:fill="auto"/>
            <w:tcMar>
              <w:left w:w="17" w:type="dxa"/>
              <w:right w:w="17" w:type="dxa"/>
            </w:tcMar>
            <w:vAlign w:val="center"/>
          </w:tcPr>
          <w:p w14:paraId="17DCB111" w14:textId="77777777" w:rsidR="001C56BD" w:rsidRPr="00305460" w:rsidRDefault="001C56BD" w:rsidP="008A5C11">
            <w:pPr>
              <w:jc w:val="center"/>
              <w:rPr>
                <w:bCs/>
                <w:sz w:val="12"/>
                <w:szCs w:val="12"/>
              </w:rPr>
            </w:pPr>
            <w:r w:rsidRPr="00305460">
              <w:rPr>
                <w:bCs/>
                <w:sz w:val="12"/>
                <w:szCs w:val="12"/>
              </w:rPr>
              <w:t>12</w:t>
            </w:r>
          </w:p>
        </w:tc>
        <w:tc>
          <w:tcPr>
            <w:tcW w:w="216" w:type="pct"/>
            <w:gridSpan w:val="3"/>
            <w:shd w:val="clear" w:color="auto" w:fill="auto"/>
            <w:tcMar>
              <w:left w:w="17" w:type="dxa"/>
              <w:right w:w="17" w:type="dxa"/>
            </w:tcMar>
            <w:vAlign w:val="center"/>
          </w:tcPr>
          <w:p w14:paraId="088191AD" w14:textId="77777777" w:rsidR="001C56BD" w:rsidRPr="00305460" w:rsidRDefault="001C56BD" w:rsidP="008A5C11">
            <w:pPr>
              <w:jc w:val="center"/>
              <w:rPr>
                <w:bCs/>
                <w:sz w:val="12"/>
                <w:szCs w:val="12"/>
              </w:rPr>
            </w:pPr>
            <w:r w:rsidRPr="00305460">
              <w:rPr>
                <w:bCs/>
                <w:sz w:val="12"/>
                <w:szCs w:val="12"/>
              </w:rPr>
              <w:t>13</w:t>
            </w:r>
          </w:p>
        </w:tc>
        <w:tc>
          <w:tcPr>
            <w:tcW w:w="179" w:type="pct"/>
            <w:gridSpan w:val="2"/>
            <w:shd w:val="clear" w:color="auto" w:fill="auto"/>
            <w:tcMar>
              <w:left w:w="17" w:type="dxa"/>
              <w:right w:w="17" w:type="dxa"/>
            </w:tcMar>
            <w:vAlign w:val="center"/>
          </w:tcPr>
          <w:p w14:paraId="6DBE4BAC" w14:textId="77777777" w:rsidR="001C56BD" w:rsidRPr="00305460" w:rsidRDefault="001C56BD" w:rsidP="008A5C11">
            <w:pPr>
              <w:jc w:val="center"/>
              <w:rPr>
                <w:bCs/>
                <w:sz w:val="12"/>
                <w:szCs w:val="12"/>
              </w:rPr>
            </w:pPr>
            <w:r w:rsidRPr="00305460">
              <w:rPr>
                <w:bCs/>
                <w:sz w:val="12"/>
                <w:szCs w:val="12"/>
              </w:rPr>
              <w:t>14</w:t>
            </w:r>
          </w:p>
        </w:tc>
        <w:tc>
          <w:tcPr>
            <w:tcW w:w="222" w:type="pct"/>
            <w:gridSpan w:val="2"/>
            <w:shd w:val="clear" w:color="auto" w:fill="auto"/>
            <w:tcMar>
              <w:left w:w="17" w:type="dxa"/>
              <w:right w:w="17" w:type="dxa"/>
            </w:tcMar>
            <w:vAlign w:val="center"/>
          </w:tcPr>
          <w:p w14:paraId="3869FDAC" w14:textId="77777777" w:rsidR="001C56BD" w:rsidRPr="00305460" w:rsidRDefault="001C56BD" w:rsidP="008A5C11">
            <w:pPr>
              <w:jc w:val="center"/>
              <w:rPr>
                <w:bCs/>
                <w:sz w:val="12"/>
                <w:szCs w:val="12"/>
              </w:rPr>
            </w:pPr>
            <w:r w:rsidRPr="00305460">
              <w:rPr>
                <w:bCs/>
                <w:sz w:val="12"/>
                <w:szCs w:val="12"/>
              </w:rPr>
              <w:t>15</w:t>
            </w:r>
          </w:p>
        </w:tc>
        <w:tc>
          <w:tcPr>
            <w:tcW w:w="213" w:type="pct"/>
            <w:tcMar>
              <w:left w:w="17" w:type="dxa"/>
              <w:right w:w="17" w:type="dxa"/>
            </w:tcMar>
            <w:vAlign w:val="center"/>
          </w:tcPr>
          <w:p w14:paraId="55357072" w14:textId="77777777" w:rsidR="001C56BD" w:rsidRPr="00305460" w:rsidRDefault="001C56BD" w:rsidP="008A5C11">
            <w:pPr>
              <w:jc w:val="center"/>
              <w:rPr>
                <w:bCs/>
                <w:sz w:val="12"/>
                <w:szCs w:val="12"/>
              </w:rPr>
            </w:pPr>
            <w:r w:rsidRPr="00305460">
              <w:rPr>
                <w:bCs/>
                <w:sz w:val="12"/>
                <w:szCs w:val="12"/>
              </w:rPr>
              <w:t>16</w:t>
            </w:r>
          </w:p>
        </w:tc>
        <w:tc>
          <w:tcPr>
            <w:tcW w:w="218" w:type="pct"/>
            <w:tcMar>
              <w:left w:w="17" w:type="dxa"/>
              <w:right w:w="17" w:type="dxa"/>
            </w:tcMar>
            <w:vAlign w:val="center"/>
          </w:tcPr>
          <w:p w14:paraId="7E27B1C2" w14:textId="77777777" w:rsidR="001C56BD" w:rsidRPr="00305460" w:rsidRDefault="001C56BD" w:rsidP="008A5C11">
            <w:pPr>
              <w:jc w:val="center"/>
              <w:rPr>
                <w:bCs/>
                <w:sz w:val="12"/>
                <w:szCs w:val="12"/>
              </w:rPr>
            </w:pPr>
            <w:r w:rsidRPr="00305460">
              <w:rPr>
                <w:bCs/>
                <w:sz w:val="12"/>
                <w:szCs w:val="12"/>
              </w:rPr>
              <w:t>17</w:t>
            </w:r>
          </w:p>
        </w:tc>
        <w:tc>
          <w:tcPr>
            <w:tcW w:w="218" w:type="pct"/>
            <w:tcMar>
              <w:left w:w="17" w:type="dxa"/>
              <w:right w:w="17" w:type="dxa"/>
            </w:tcMar>
            <w:vAlign w:val="center"/>
          </w:tcPr>
          <w:p w14:paraId="53DB5257" w14:textId="77777777" w:rsidR="001C56BD" w:rsidRPr="00305460" w:rsidRDefault="001C56BD" w:rsidP="008A5C11">
            <w:pPr>
              <w:jc w:val="center"/>
              <w:rPr>
                <w:bCs/>
                <w:sz w:val="12"/>
                <w:szCs w:val="12"/>
              </w:rPr>
            </w:pPr>
            <w:r w:rsidRPr="00305460">
              <w:rPr>
                <w:bCs/>
                <w:sz w:val="12"/>
                <w:szCs w:val="12"/>
              </w:rPr>
              <w:t>18</w:t>
            </w:r>
          </w:p>
        </w:tc>
        <w:tc>
          <w:tcPr>
            <w:tcW w:w="218" w:type="pct"/>
            <w:tcMar>
              <w:left w:w="17" w:type="dxa"/>
              <w:right w:w="17" w:type="dxa"/>
            </w:tcMar>
            <w:vAlign w:val="center"/>
          </w:tcPr>
          <w:p w14:paraId="1FF2BEFB" w14:textId="77777777" w:rsidR="001C56BD" w:rsidRPr="00305460" w:rsidRDefault="001C56BD" w:rsidP="008A5C11">
            <w:pPr>
              <w:jc w:val="center"/>
              <w:rPr>
                <w:bCs/>
                <w:sz w:val="12"/>
                <w:szCs w:val="12"/>
              </w:rPr>
            </w:pPr>
            <w:r w:rsidRPr="00305460">
              <w:rPr>
                <w:bCs/>
                <w:sz w:val="12"/>
                <w:szCs w:val="12"/>
              </w:rPr>
              <w:t>19</w:t>
            </w:r>
          </w:p>
        </w:tc>
        <w:tc>
          <w:tcPr>
            <w:tcW w:w="218" w:type="pct"/>
            <w:gridSpan w:val="2"/>
            <w:tcMar>
              <w:left w:w="17" w:type="dxa"/>
              <w:right w:w="17" w:type="dxa"/>
            </w:tcMar>
            <w:vAlign w:val="center"/>
          </w:tcPr>
          <w:p w14:paraId="3E9561D3" w14:textId="77777777" w:rsidR="001C56BD" w:rsidRPr="00305460" w:rsidRDefault="001C56BD" w:rsidP="008A5C11">
            <w:pPr>
              <w:jc w:val="center"/>
              <w:rPr>
                <w:bCs/>
                <w:sz w:val="12"/>
                <w:szCs w:val="12"/>
              </w:rPr>
            </w:pPr>
            <w:r w:rsidRPr="00305460">
              <w:rPr>
                <w:bCs/>
                <w:sz w:val="12"/>
                <w:szCs w:val="12"/>
              </w:rPr>
              <w:t>20</w:t>
            </w:r>
          </w:p>
        </w:tc>
        <w:tc>
          <w:tcPr>
            <w:tcW w:w="172" w:type="pct"/>
            <w:gridSpan w:val="2"/>
            <w:tcMar>
              <w:left w:w="17" w:type="dxa"/>
              <w:right w:w="17" w:type="dxa"/>
            </w:tcMar>
            <w:vAlign w:val="center"/>
          </w:tcPr>
          <w:p w14:paraId="03D6AFCD" w14:textId="77777777" w:rsidR="001C56BD" w:rsidRPr="00305460" w:rsidRDefault="001C56BD" w:rsidP="008A5C11">
            <w:pPr>
              <w:jc w:val="center"/>
              <w:rPr>
                <w:bCs/>
                <w:sz w:val="12"/>
                <w:szCs w:val="12"/>
              </w:rPr>
            </w:pPr>
            <w:r w:rsidRPr="00305460">
              <w:rPr>
                <w:bCs/>
                <w:sz w:val="12"/>
                <w:szCs w:val="12"/>
              </w:rPr>
              <w:t>21</w:t>
            </w:r>
          </w:p>
        </w:tc>
        <w:tc>
          <w:tcPr>
            <w:tcW w:w="219" w:type="pct"/>
            <w:tcMar>
              <w:left w:w="17" w:type="dxa"/>
              <w:right w:w="17" w:type="dxa"/>
            </w:tcMar>
            <w:vAlign w:val="center"/>
          </w:tcPr>
          <w:p w14:paraId="5E22FE46" w14:textId="77777777" w:rsidR="001C56BD" w:rsidRPr="00305460" w:rsidRDefault="001C56BD" w:rsidP="008A5C11">
            <w:pPr>
              <w:jc w:val="center"/>
              <w:rPr>
                <w:bCs/>
                <w:sz w:val="12"/>
                <w:szCs w:val="12"/>
              </w:rPr>
            </w:pPr>
            <w:r w:rsidRPr="00305460">
              <w:rPr>
                <w:bCs/>
                <w:sz w:val="12"/>
                <w:szCs w:val="12"/>
              </w:rPr>
              <w:t>22</w:t>
            </w:r>
          </w:p>
        </w:tc>
        <w:tc>
          <w:tcPr>
            <w:tcW w:w="174" w:type="pct"/>
            <w:tcMar>
              <w:left w:w="17" w:type="dxa"/>
              <w:right w:w="17" w:type="dxa"/>
            </w:tcMar>
            <w:vAlign w:val="center"/>
          </w:tcPr>
          <w:p w14:paraId="7F81A31C" w14:textId="77777777" w:rsidR="001C56BD" w:rsidRPr="00305460" w:rsidRDefault="001C56BD" w:rsidP="008A5C11">
            <w:pPr>
              <w:jc w:val="center"/>
              <w:rPr>
                <w:bCs/>
                <w:sz w:val="12"/>
                <w:szCs w:val="12"/>
              </w:rPr>
            </w:pPr>
            <w:r w:rsidRPr="00305460">
              <w:rPr>
                <w:bCs/>
                <w:sz w:val="12"/>
                <w:szCs w:val="12"/>
              </w:rPr>
              <w:t>23</w:t>
            </w:r>
          </w:p>
        </w:tc>
        <w:tc>
          <w:tcPr>
            <w:tcW w:w="176" w:type="pct"/>
            <w:tcMar>
              <w:left w:w="17" w:type="dxa"/>
              <w:right w:w="17" w:type="dxa"/>
            </w:tcMar>
            <w:vAlign w:val="center"/>
          </w:tcPr>
          <w:p w14:paraId="2B5B67A7" w14:textId="77777777" w:rsidR="001C56BD" w:rsidRPr="00305460" w:rsidRDefault="001C56BD" w:rsidP="008A5C11">
            <w:pPr>
              <w:jc w:val="center"/>
              <w:rPr>
                <w:bCs/>
                <w:sz w:val="12"/>
                <w:szCs w:val="12"/>
              </w:rPr>
            </w:pPr>
            <w:r w:rsidRPr="00305460">
              <w:rPr>
                <w:bCs/>
                <w:sz w:val="12"/>
                <w:szCs w:val="12"/>
              </w:rPr>
              <w:t>24</w:t>
            </w:r>
          </w:p>
        </w:tc>
      </w:tr>
      <w:tr w:rsidR="001C56BD" w:rsidRPr="00305460" w14:paraId="614009A4" w14:textId="77777777" w:rsidTr="008A5C11">
        <w:trPr>
          <w:trHeight w:val="897"/>
        </w:trPr>
        <w:tc>
          <w:tcPr>
            <w:tcW w:w="86" w:type="pct"/>
            <w:shd w:val="clear" w:color="auto" w:fill="auto"/>
            <w:tcMar>
              <w:left w:w="17" w:type="dxa"/>
              <w:right w:w="17" w:type="dxa"/>
            </w:tcMar>
            <w:vAlign w:val="center"/>
          </w:tcPr>
          <w:p w14:paraId="73B2A5C3" w14:textId="77777777" w:rsidR="001C56BD" w:rsidRPr="00305460" w:rsidRDefault="001C56BD" w:rsidP="008A5C11">
            <w:pPr>
              <w:jc w:val="center"/>
              <w:rPr>
                <w:sz w:val="12"/>
                <w:szCs w:val="12"/>
              </w:rPr>
            </w:pPr>
            <w:r w:rsidRPr="00305460">
              <w:rPr>
                <w:sz w:val="12"/>
                <w:szCs w:val="12"/>
              </w:rPr>
              <w:t>3.1.26.</w:t>
            </w:r>
          </w:p>
        </w:tc>
        <w:tc>
          <w:tcPr>
            <w:tcW w:w="295" w:type="pct"/>
            <w:shd w:val="clear" w:color="auto" w:fill="auto"/>
            <w:tcMar>
              <w:left w:w="17" w:type="dxa"/>
              <w:right w:w="17" w:type="dxa"/>
            </w:tcMar>
            <w:vAlign w:val="center"/>
          </w:tcPr>
          <w:p w14:paraId="278E15F7" w14:textId="77777777" w:rsidR="001C56BD" w:rsidRPr="00305460" w:rsidRDefault="001C56BD" w:rsidP="008A5C11">
            <w:pPr>
              <w:rPr>
                <w:sz w:val="12"/>
                <w:szCs w:val="12"/>
              </w:rPr>
            </w:pPr>
            <w:r w:rsidRPr="00305460">
              <w:rPr>
                <w:color w:val="000000"/>
                <w:sz w:val="12"/>
                <w:szCs w:val="12"/>
              </w:rPr>
              <w:t>Реконструкция тепловой сети с реестровым номером</w:t>
            </w:r>
            <w:r w:rsidRPr="00305460">
              <w:rPr>
                <w:sz w:val="12"/>
                <w:szCs w:val="12"/>
              </w:rPr>
              <w:t xml:space="preserve"> 777274</w:t>
            </w:r>
          </w:p>
        </w:tc>
        <w:tc>
          <w:tcPr>
            <w:tcW w:w="307" w:type="pct"/>
            <w:shd w:val="clear" w:color="000000" w:fill="FFFFFF"/>
            <w:tcMar>
              <w:left w:w="17" w:type="dxa"/>
              <w:right w:w="17" w:type="dxa"/>
            </w:tcMar>
            <w:vAlign w:val="center"/>
          </w:tcPr>
          <w:p w14:paraId="10ED5C68" w14:textId="77777777" w:rsidR="001C56BD" w:rsidRPr="00305460" w:rsidRDefault="001C56BD" w:rsidP="008A5C11">
            <w:pPr>
              <w:jc w:val="center"/>
              <w:rPr>
                <w:sz w:val="12"/>
                <w:szCs w:val="12"/>
              </w:rPr>
            </w:pPr>
            <w:r w:rsidRPr="00305460">
              <w:rPr>
                <w:color w:val="000000"/>
                <w:sz w:val="12"/>
                <w:szCs w:val="12"/>
              </w:rPr>
              <w:t>Повышение надежности услуг теплоснабжения, повышение энергетической эффективности</w:t>
            </w:r>
          </w:p>
        </w:tc>
        <w:tc>
          <w:tcPr>
            <w:tcW w:w="280" w:type="pct"/>
            <w:shd w:val="clear" w:color="auto" w:fill="auto"/>
            <w:tcMar>
              <w:left w:w="17" w:type="dxa"/>
              <w:right w:w="17" w:type="dxa"/>
            </w:tcMar>
            <w:vAlign w:val="center"/>
          </w:tcPr>
          <w:p w14:paraId="7CFEB3AE" w14:textId="77777777" w:rsidR="001C56BD" w:rsidRPr="00305460" w:rsidRDefault="001C56BD" w:rsidP="008A5C11">
            <w:pPr>
              <w:jc w:val="center"/>
              <w:rPr>
                <w:sz w:val="12"/>
                <w:szCs w:val="12"/>
              </w:rPr>
            </w:pPr>
            <w:r w:rsidRPr="00305460">
              <w:rPr>
                <w:sz w:val="12"/>
                <w:szCs w:val="12"/>
              </w:rPr>
              <w:t xml:space="preserve">Кемеровский городской округ, Заводский район, квартал №3, в границах ул. Веры Волошиной, ул. Ульяны Громовой, </w:t>
            </w:r>
            <w:r w:rsidRPr="00305460">
              <w:rPr>
                <w:sz w:val="12"/>
                <w:szCs w:val="12"/>
              </w:rPr>
              <w:br/>
              <w:t>ул. Патриотов, ул. Сергея Тюленина</w:t>
            </w:r>
          </w:p>
        </w:tc>
        <w:tc>
          <w:tcPr>
            <w:tcW w:w="289" w:type="pct"/>
            <w:shd w:val="clear" w:color="auto" w:fill="auto"/>
            <w:tcMar>
              <w:left w:w="17" w:type="dxa"/>
              <w:right w:w="17" w:type="dxa"/>
            </w:tcMar>
            <w:vAlign w:val="center"/>
          </w:tcPr>
          <w:p w14:paraId="5240195D" w14:textId="77777777" w:rsidR="001C56BD" w:rsidRPr="00305460" w:rsidRDefault="001C56BD" w:rsidP="008A5C11">
            <w:pPr>
              <w:jc w:val="center"/>
              <w:rPr>
                <w:sz w:val="12"/>
                <w:szCs w:val="12"/>
              </w:rPr>
            </w:pPr>
            <w:r w:rsidRPr="00305460">
              <w:rPr>
                <w:color w:val="000000"/>
                <w:sz w:val="12"/>
                <w:szCs w:val="12"/>
              </w:rPr>
              <w:t>Технические характеристики</w:t>
            </w:r>
          </w:p>
        </w:tc>
        <w:tc>
          <w:tcPr>
            <w:tcW w:w="137" w:type="pct"/>
            <w:shd w:val="clear" w:color="auto" w:fill="auto"/>
            <w:tcMar>
              <w:left w:w="17" w:type="dxa"/>
              <w:right w:w="17" w:type="dxa"/>
            </w:tcMar>
            <w:vAlign w:val="center"/>
          </w:tcPr>
          <w:p w14:paraId="0019E812" w14:textId="77777777" w:rsidR="001C56BD" w:rsidRPr="00305460" w:rsidRDefault="001C56BD" w:rsidP="008A5C11">
            <w:pPr>
              <w:jc w:val="center"/>
              <w:rPr>
                <w:color w:val="000000"/>
                <w:sz w:val="12"/>
                <w:szCs w:val="12"/>
              </w:rPr>
            </w:pPr>
          </w:p>
        </w:tc>
        <w:tc>
          <w:tcPr>
            <w:tcW w:w="202" w:type="pct"/>
            <w:shd w:val="clear" w:color="auto" w:fill="auto"/>
            <w:tcMar>
              <w:left w:w="17" w:type="dxa"/>
              <w:right w:w="17" w:type="dxa"/>
            </w:tcMar>
            <w:vAlign w:val="center"/>
          </w:tcPr>
          <w:p w14:paraId="7CE8A180" w14:textId="77777777" w:rsidR="001C56BD" w:rsidRPr="00305460" w:rsidRDefault="001C56BD" w:rsidP="008A5C11">
            <w:pPr>
              <w:jc w:val="center"/>
              <w:rPr>
                <w:sz w:val="12"/>
                <w:szCs w:val="12"/>
              </w:rPr>
            </w:pPr>
            <w:r w:rsidRPr="00305460">
              <w:rPr>
                <w:sz w:val="12"/>
                <w:szCs w:val="12"/>
              </w:rPr>
              <w:t xml:space="preserve">Канал-кирпич, опоры-хомутовые </w:t>
            </w:r>
            <w:proofErr w:type="gramStart"/>
            <w:r w:rsidRPr="00305460">
              <w:rPr>
                <w:sz w:val="12"/>
                <w:szCs w:val="12"/>
              </w:rPr>
              <w:t>привар-ные</w:t>
            </w:r>
            <w:proofErr w:type="gramEnd"/>
            <w:r w:rsidRPr="00305460">
              <w:rPr>
                <w:sz w:val="12"/>
                <w:szCs w:val="12"/>
              </w:rPr>
              <w:t xml:space="preserve">, запорная арматура - стальная клиновая, антикоррозийная защита-лак БТ, труба-сталь 20, изоляция - мин. маты </w:t>
            </w:r>
          </w:p>
        </w:tc>
        <w:tc>
          <w:tcPr>
            <w:tcW w:w="244" w:type="pct"/>
            <w:shd w:val="clear" w:color="auto" w:fill="auto"/>
            <w:tcMar>
              <w:left w:w="17" w:type="dxa"/>
              <w:right w:w="17" w:type="dxa"/>
            </w:tcMar>
            <w:vAlign w:val="center"/>
          </w:tcPr>
          <w:p w14:paraId="038896BA" w14:textId="77777777" w:rsidR="001C56BD" w:rsidRPr="00305460" w:rsidRDefault="001C56BD" w:rsidP="008A5C11">
            <w:pPr>
              <w:jc w:val="center"/>
              <w:rPr>
                <w:sz w:val="12"/>
                <w:szCs w:val="12"/>
              </w:rPr>
            </w:pPr>
            <w:r w:rsidRPr="00305460">
              <w:rPr>
                <w:sz w:val="12"/>
                <w:szCs w:val="12"/>
              </w:rPr>
              <w:t xml:space="preserve">Канал-ж/б лотки, опоры-хомутовые с диэлектрической прокладкой, запорная арматура - кран шаровый, антикоррозийная защита-мастика Вектор 1214, 1025, труба-сталь 09Г2С, изоляция - маты прошивные, </w:t>
            </w:r>
            <w:proofErr w:type="gramStart"/>
            <w:r w:rsidRPr="00305460">
              <w:rPr>
                <w:sz w:val="12"/>
                <w:szCs w:val="12"/>
              </w:rPr>
              <w:t>стеклоплас-тик</w:t>
            </w:r>
            <w:proofErr w:type="gramEnd"/>
            <w:r w:rsidRPr="00305460">
              <w:rPr>
                <w:sz w:val="12"/>
                <w:szCs w:val="12"/>
              </w:rPr>
              <w:t xml:space="preserve">  </w:t>
            </w:r>
          </w:p>
        </w:tc>
        <w:tc>
          <w:tcPr>
            <w:tcW w:w="140" w:type="pct"/>
            <w:shd w:val="clear" w:color="auto" w:fill="auto"/>
            <w:tcMar>
              <w:left w:w="17" w:type="dxa"/>
              <w:right w:w="17" w:type="dxa"/>
            </w:tcMar>
            <w:vAlign w:val="center"/>
          </w:tcPr>
          <w:p w14:paraId="2A0B1BFD" w14:textId="77777777" w:rsidR="001C56BD" w:rsidRPr="00305460" w:rsidRDefault="001C56BD" w:rsidP="008A5C11">
            <w:pPr>
              <w:jc w:val="center"/>
              <w:rPr>
                <w:sz w:val="12"/>
                <w:szCs w:val="12"/>
              </w:rPr>
            </w:pPr>
            <w:r w:rsidRPr="00305460">
              <w:rPr>
                <w:sz w:val="12"/>
                <w:szCs w:val="12"/>
              </w:rPr>
              <w:t>2029</w:t>
            </w:r>
          </w:p>
        </w:tc>
        <w:tc>
          <w:tcPr>
            <w:tcW w:w="140" w:type="pct"/>
            <w:shd w:val="clear" w:color="auto" w:fill="auto"/>
            <w:tcMar>
              <w:left w:w="17" w:type="dxa"/>
              <w:right w:w="17" w:type="dxa"/>
            </w:tcMar>
            <w:vAlign w:val="center"/>
          </w:tcPr>
          <w:p w14:paraId="073D7827" w14:textId="77777777" w:rsidR="001C56BD" w:rsidRPr="00305460" w:rsidRDefault="001C56BD" w:rsidP="008A5C11">
            <w:pPr>
              <w:jc w:val="center"/>
              <w:rPr>
                <w:sz w:val="12"/>
                <w:szCs w:val="12"/>
              </w:rPr>
            </w:pPr>
            <w:r w:rsidRPr="00305460">
              <w:rPr>
                <w:sz w:val="12"/>
                <w:szCs w:val="12"/>
              </w:rPr>
              <w:t>2030</w:t>
            </w:r>
          </w:p>
        </w:tc>
        <w:tc>
          <w:tcPr>
            <w:tcW w:w="239" w:type="pct"/>
            <w:gridSpan w:val="3"/>
            <w:shd w:val="clear" w:color="auto" w:fill="auto"/>
            <w:tcMar>
              <w:left w:w="17" w:type="dxa"/>
              <w:right w:w="17" w:type="dxa"/>
            </w:tcMar>
            <w:vAlign w:val="center"/>
          </w:tcPr>
          <w:p w14:paraId="5C372F55" w14:textId="77777777" w:rsidR="001C56BD" w:rsidRPr="00305460" w:rsidRDefault="001C56BD" w:rsidP="008A5C11">
            <w:pPr>
              <w:jc w:val="center"/>
              <w:rPr>
                <w:sz w:val="12"/>
                <w:szCs w:val="12"/>
              </w:rPr>
            </w:pPr>
            <w:r w:rsidRPr="00305460">
              <w:rPr>
                <w:sz w:val="12"/>
                <w:szCs w:val="12"/>
              </w:rPr>
              <w:t>19121,556</w:t>
            </w:r>
          </w:p>
        </w:tc>
        <w:tc>
          <w:tcPr>
            <w:tcW w:w="196" w:type="pct"/>
            <w:gridSpan w:val="3"/>
            <w:shd w:val="clear" w:color="auto" w:fill="auto"/>
            <w:tcMar>
              <w:left w:w="17" w:type="dxa"/>
              <w:right w:w="17" w:type="dxa"/>
            </w:tcMar>
            <w:vAlign w:val="center"/>
          </w:tcPr>
          <w:p w14:paraId="4C1FAE70" w14:textId="77777777" w:rsidR="001C56BD" w:rsidRPr="00305460" w:rsidRDefault="001C56BD" w:rsidP="008A5C11">
            <w:pPr>
              <w:jc w:val="center"/>
              <w:rPr>
                <w:sz w:val="12"/>
                <w:szCs w:val="12"/>
              </w:rPr>
            </w:pPr>
            <w:r w:rsidRPr="00305460">
              <w:rPr>
                <w:sz w:val="12"/>
                <w:szCs w:val="12"/>
              </w:rPr>
              <w:t>0,000</w:t>
            </w:r>
          </w:p>
        </w:tc>
        <w:tc>
          <w:tcPr>
            <w:tcW w:w="216" w:type="pct"/>
            <w:gridSpan w:val="3"/>
            <w:shd w:val="clear" w:color="auto" w:fill="auto"/>
            <w:tcMar>
              <w:left w:w="17" w:type="dxa"/>
              <w:right w:w="17" w:type="dxa"/>
            </w:tcMar>
            <w:vAlign w:val="center"/>
          </w:tcPr>
          <w:p w14:paraId="7673E15D" w14:textId="77777777" w:rsidR="001C56BD" w:rsidRPr="00305460" w:rsidRDefault="001C56BD" w:rsidP="008A5C11">
            <w:pPr>
              <w:jc w:val="center"/>
              <w:rPr>
                <w:sz w:val="12"/>
                <w:szCs w:val="12"/>
              </w:rPr>
            </w:pPr>
            <w:r w:rsidRPr="00305460">
              <w:rPr>
                <w:sz w:val="12"/>
                <w:szCs w:val="12"/>
              </w:rPr>
              <w:t>0,000</w:t>
            </w:r>
          </w:p>
        </w:tc>
        <w:tc>
          <w:tcPr>
            <w:tcW w:w="179" w:type="pct"/>
            <w:gridSpan w:val="2"/>
            <w:shd w:val="clear" w:color="auto" w:fill="auto"/>
            <w:tcMar>
              <w:left w:w="17" w:type="dxa"/>
              <w:right w:w="17" w:type="dxa"/>
            </w:tcMar>
            <w:vAlign w:val="center"/>
          </w:tcPr>
          <w:p w14:paraId="5699B574" w14:textId="77777777" w:rsidR="001C56BD" w:rsidRPr="00305460" w:rsidRDefault="001C56BD" w:rsidP="008A5C11">
            <w:pPr>
              <w:jc w:val="center"/>
              <w:rPr>
                <w:sz w:val="12"/>
                <w:szCs w:val="12"/>
              </w:rPr>
            </w:pPr>
            <w:r w:rsidRPr="00305460">
              <w:rPr>
                <w:sz w:val="12"/>
                <w:szCs w:val="12"/>
              </w:rPr>
              <w:t>0,000</w:t>
            </w:r>
          </w:p>
        </w:tc>
        <w:tc>
          <w:tcPr>
            <w:tcW w:w="222" w:type="pct"/>
            <w:gridSpan w:val="2"/>
            <w:shd w:val="clear" w:color="auto" w:fill="auto"/>
            <w:tcMar>
              <w:left w:w="17" w:type="dxa"/>
              <w:right w:w="17" w:type="dxa"/>
            </w:tcMar>
            <w:vAlign w:val="center"/>
          </w:tcPr>
          <w:p w14:paraId="61D308F7" w14:textId="77777777" w:rsidR="001C56BD" w:rsidRPr="00305460" w:rsidRDefault="001C56BD" w:rsidP="008A5C11">
            <w:pPr>
              <w:jc w:val="center"/>
              <w:rPr>
                <w:sz w:val="12"/>
                <w:szCs w:val="12"/>
              </w:rPr>
            </w:pPr>
            <w:r w:rsidRPr="00305460">
              <w:rPr>
                <w:sz w:val="12"/>
                <w:szCs w:val="12"/>
              </w:rPr>
              <w:t>0,000</w:t>
            </w:r>
          </w:p>
        </w:tc>
        <w:tc>
          <w:tcPr>
            <w:tcW w:w="213" w:type="pct"/>
            <w:shd w:val="clear" w:color="auto" w:fill="auto"/>
            <w:tcMar>
              <w:left w:w="17" w:type="dxa"/>
              <w:right w:w="17" w:type="dxa"/>
            </w:tcMar>
            <w:vAlign w:val="center"/>
          </w:tcPr>
          <w:p w14:paraId="780BE629"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7B89AB73"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6B836505"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2AC74F9A" w14:textId="77777777" w:rsidR="001C56BD" w:rsidRPr="00305460" w:rsidRDefault="001C56BD" w:rsidP="008A5C11">
            <w:pPr>
              <w:jc w:val="center"/>
              <w:rPr>
                <w:sz w:val="12"/>
                <w:szCs w:val="12"/>
              </w:rPr>
            </w:pPr>
            <w:r w:rsidRPr="00305460">
              <w:rPr>
                <w:sz w:val="12"/>
                <w:szCs w:val="12"/>
              </w:rPr>
              <w:t>0,000</w:t>
            </w:r>
          </w:p>
        </w:tc>
        <w:tc>
          <w:tcPr>
            <w:tcW w:w="218" w:type="pct"/>
            <w:gridSpan w:val="2"/>
            <w:shd w:val="clear" w:color="auto" w:fill="auto"/>
            <w:tcMar>
              <w:left w:w="17" w:type="dxa"/>
              <w:right w:w="17" w:type="dxa"/>
            </w:tcMar>
            <w:vAlign w:val="center"/>
          </w:tcPr>
          <w:p w14:paraId="3B45983E" w14:textId="77777777" w:rsidR="001C56BD" w:rsidRPr="00305460" w:rsidRDefault="001C56BD" w:rsidP="008A5C11">
            <w:pPr>
              <w:jc w:val="center"/>
              <w:rPr>
                <w:sz w:val="12"/>
                <w:szCs w:val="12"/>
              </w:rPr>
            </w:pPr>
            <w:r w:rsidRPr="00305460">
              <w:rPr>
                <w:sz w:val="12"/>
                <w:szCs w:val="12"/>
              </w:rPr>
              <w:t>11073,432</w:t>
            </w:r>
          </w:p>
        </w:tc>
        <w:tc>
          <w:tcPr>
            <w:tcW w:w="172" w:type="pct"/>
            <w:gridSpan w:val="2"/>
            <w:shd w:val="clear" w:color="auto" w:fill="auto"/>
            <w:tcMar>
              <w:left w:w="17" w:type="dxa"/>
              <w:right w:w="17" w:type="dxa"/>
            </w:tcMar>
            <w:vAlign w:val="center"/>
          </w:tcPr>
          <w:p w14:paraId="77EE5F6E" w14:textId="77777777" w:rsidR="001C56BD" w:rsidRPr="00305460" w:rsidRDefault="001C56BD" w:rsidP="008A5C11">
            <w:pPr>
              <w:jc w:val="center"/>
              <w:rPr>
                <w:sz w:val="12"/>
                <w:szCs w:val="12"/>
              </w:rPr>
            </w:pPr>
            <w:r w:rsidRPr="00305460">
              <w:rPr>
                <w:sz w:val="12"/>
                <w:szCs w:val="12"/>
              </w:rPr>
              <w:t>8048,124</w:t>
            </w:r>
          </w:p>
        </w:tc>
        <w:tc>
          <w:tcPr>
            <w:tcW w:w="219" w:type="pct"/>
            <w:shd w:val="clear" w:color="auto" w:fill="auto"/>
            <w:tcMar>
              <w:left w:w="17" w:type="dxa"/>
              <w:right w:w="17" w:type="dxa"/>
            </w:tcMar>
            <w:vAlign w:val="center"/>
          </w:tcPr>
          <w:p w14:paraId="0ED00828" w14:textId="77777777" w:rsidR="001C56BD" w:rsidRPr="00305460" w:rsidRDefault="001C56BD" w:rsidP="008A5C11">
            <w:pPr>
              <w:jc w:val="center"/>
              <w:rPr>
                <w:sz w:val="12"/>
                <w:szCs w:val="12"/>
              </w:rPr>
            </w:pPr>
            <w:r w:rsidRPr="00305460">
              <w:rPr>
                <w:sz w:val="12"/>
                <w:szCs w:val="12"/>
              </w:rPr>
              <w:t>0,000</w:t>
            </w:r>
          </w:p>
        </w:tc>
        <w:tc>
          <w:tcPr>
            <w:tcW w:w="174" w:type="pct"/>
            <w:shd w:val="clear" w:color="auto" w:fill="auto"/>
            <w:tcMar>
              <w:left w:w="17" w:type="dxa"/>
              <w:right w:w="17" w:type="dxa"/>
            </w:tcMar>
            <w:vAlign w:val="center"/>
          </w:tcPr>
          <w:p w14:paraId="5DD5B07C" w14:textId="77777777" w:rsidR="001C56BD" w:rsidRPr="00305460" w:rsidRDefault="001C56BD" w:rsidP="008A5C11">
            <w:pPr>
              <w:jc w:val="center"/>
              <w:rPr>
                <w:sz w:val="12"/>
                <w:szCs w:val="12"/>
              </w:rPr>
            </w:pPr>
            <w:r w:rsidRPr="00305460">
              <w:rPr>
                <w:sz w:val="12"/>
                <w:szCs w:val="12"/>
              </w:rPr>
              <w:t>0,000</w:t>
            </w:r>
          </w:p>
        </w:tc>
        <w:tc>
          <w:tcPr>
            <w:tcW w:w="176" w:type="pct"/>
            <w:shd w:val="clear" w:color="auto" w:fill="auto"/>
            <w:tcMar>
              <w:left w:w="17" w:type="dxa"/>
              <w:right w:w="17" w:type="dxa"/>
            </w:tcMar>
            <w:vAlign w:val="center"/>
          </w:tcPr>
          <w:p w14:paraId="69E06999" w14:textId="77777777" w:rsidR="001C56BD" w:rsidRPr="00305460" w:rsidRDefault="001C56BD" w:rsidP="008A5C11">
            <w:pPr>
              <w:jc w:val="center"/>
              <w:rPr>
                <w:sz w:val="12"/>
                <w:szCs w:val="12"/>
              </w:rPr>
            </w:pPr>
            <w:r w:rsidRPr="00305460">
              <w:rPr>
                <w:sz w:val="12"/>
                <w:szCs w:val="12"/>
              </w:rPr>
              <w:t>0,000</w:t>
            </w:r>
          </w:p>
        </w:tc>
      </w:tr>
      <w:tr w:rsidR="001C56BD" w:rsidRPr="00305460" w14:paraId="09C9ECCF" w14:textId="77777777" w:rsidTr="008A5C11">
        <w:trPr>
          <w:trHeight w:val="897"/>
        </w:trPr>
        <w:tc>
          <w:tcPr>
            <w:tcW w:w="86" w:type="pct"/>
            <w:shd w:val="clear" w:color="auto" w:fill="auto"/>
            <w:tcMar>
              <w:left w:w="17" w:type="dxa"/>
              <w:right w:w="17" w:type="dxa"/>
            </w:tcMar>
            <w:vAlign w:val="center"/>
          </w:tcPr>
          <w:p w14:paraId="70BECA77" w14:textId="77777777" w:rsidR="001C56BD" w:rsidRPr="00305460" w:rsidRDefault="001C56BD" w:rsidP="008A5C11">
            <w:pPr>
              <w:jc w:val="center"/>
              <w:rPr>
                <w:sz w:val="12"/>
                <w:szCs w:val="12"/>
              </w:rPr>
            </w:pPr>
            <w:r w:rsidRPr="00305460">
              <w:rPr>
                <w:sz w:val="12"/>
                <w:szCs w:val="12"/>
              </w:rPr>
              <w:t>3.1.27.</w:t>
            </w:r>
          </w:p>
        </w:tc>
        <w:tc>
          <w:tcPr>
            <w:tcW w:w="295" w:type="pct"/>
            <w:shd w:val="clear" w:color="auto" w:fill="auto"/>
            <w:tcMar>
              <w:left w:w="17" w:type="dxa"/>
              <w:right w:w="17" w:type="dxa"/>
            </w:tcMar>
            <w:vAlign w:val="center"/>
          </w:tcPr>
          <w:p w14:paraId="626A3B07" w14:textId="77777777" w:rsidR="001C56BD" w:rsidRPr="00305460" w:rsidRDefault="001C56BD" w:rsidP="008A5C11">
            <w:pPr>
              <w:rPr>
                <w:sz w:val="12"/>
                <w:szCs w:val="12"/>
              </w:rPr>
            </w:pPr>
            <w:r w:rsidRPr="00305460">
              <w:rPr>
                <w:color w:val="000000"/>
                <w:sz w:val="12"/>
                <w:szCs w:val="12"/>
              </w:rPr>
              <w:t>Реконструкция тепловой сети с реестровым номером</w:t>
            </w:r>
            <w:r w:rsidRPr="00305460">
              <w:rPr>
                <w:sz w:val="12"/>
                <w:szCs w:val="12"/>
              </w:rPr>
              <w:t xml:space="preserve"> 777202</w:t>
            </w:r>
          </w:p>
        </w:tc>
        <w:tc>
          <w:tcPr>
            <w:tcW w:w="307" w:type="pct"/>
            <w:shd w:val="clear" w:color="000000" w:fill="FFFFFF"/>
            <w:tcMar>
              <w:left w:w="17" w:type="dxa"/>
              <w:right w:w="17" w:type="dxa"/>
            </w:tcMar>
            <w:vAlign w:val="center"/>
          </w:tcPr>
          <w:p w14:paraId="206768DE" w14:textId="77777777" w:rsidR="001C56BD" w:rsidRPr="00305460" w:rsidRDefault="001C56BD" w:rsidP="008A5C11">
            <w:pPr>
              <w:jc w:val="center"/>
              <w:rPr>
                <w:sz w:val="12"/>
                <w:szCs w:val="12"/>
              </w:rPr>
            </w:pPr>
            <w:r w:rsidRPr="00305460">
              <w:rPr>
                <w:color w:val="000000"/>
                <w:sz w:val="12"/>
                <w:szCs w:val="12"/>
              </w:rPr>
              <w:t>Повышение надежности услуг теплоснабжения, повышение энергетической эффективности</w:t>
            </w:r>
          </w:p>
        </w:tc>
        <w:tc>
          <w:tcPr>
            <w:tcW w:w="280" w:type="pct"/>
            <w:shd w:val="clear" w:color="auto" w:fill="auto"/>
            <w:tcMar>
              <w:left w:w="17" w:type="dxa"/>
              <w:right w:w="17" w:type="dxa"/>
            </w:tcMar>
            <w:vAlign w:val="center"/>
          </w:tcPr>
          <w:p w14:paraId="3A2EC0A6" w14:textId="77777777" w:rsidR="001C56BD" w:rsidRPr="00305460" w:rsidRDefault="001C56BD" w:rsidP="008A5C11">
            <w:pPr>
              <w:jc w:val="center"/>
              <w:rPr>
                <w:sz w:val="12"/>
                <w:szCs w:val="12"/>
              </w:rPr>
            </w:pPr>
            <w:r w:rsidRPr="00305460">
              <w:rPr>
                <w:sz w:val="12"/>
                <w:szCs w:val="12"/>
              </w:rPr>
              <w:t>Кемеровский городской округ, Заводский район, квартал №7</w:t>
            </w:r>
            <w:r w:rsidRPr="00305460">
              <w:rPr>
                <w:sz w:val="12"/>
                <w:szCs w:val="12"/>
              </w:rPr>
              <w:br/>
              <w:t xml:space="preserve"> (ул. Космическая, 14а)</w:t>
            </w:r>
          </w:p>
        </w:tc>
        <w:tc>
          <w:tcPr>
            <w:tcW w:w="289" w:type="pct"/>
            <w:shd w:val="clear" w:color="auto" w:fill="auto"/>
            <w:tcMar>
              <w:left w:w="17" w:type="dxa"/>
              <w:right w:w="17" w:type="dxa"/>
            </w:tcMar>
            <w:vAlign w:val="center"/>
          </w:tcPr>
          <w:p w14:paraId="2EA17C65" w14:textId="77777777" w:rsidR="001C56BD" w:rsidRPr="00305460" w:rsidRDefault="001C56BD" w:rsidP="008A5C11">
            <w:pPr>
              <w:jc w:val="center"/>
              <w:rPr>
                <w:sz w:val="12"/>
                <w:szCs w:val="12"/>
              </w:rPr>
            </w:pPr>
            <w:r w:rsidRPr="00305460">
              <w:rPr>
                <w:color w:val="000000"/>
                <w:sz w:val="12"/>
                <w:szCs w:val="12"/>
              </w:rPr>
              <w:t>Технические характеристики</w:t>
            </w:r>
          </w:p>
        </w:tc>
        <w:tc>
          <w:tcPr>
            <w:tcW w:w="137" w:type="pct"/>
            <w:shd w:val="clear" w:color="auto" w:fill="auto"/>
            <w:tcMar>
              <w:left w:w="17" w:type="dxa"/>
              <w:right w:w="17" w:type="dxa"/>
            </w:tcMar>
            <w:vAlign w:val="center"/>
          </w:tcPr>
          <w:p w14:paraId="042DEB3D" w14:textId="77777777" w:rsidR="001C56BD" w:rsidRPr="00305460" w:rsidRDefault="001C56BD" w:rsidP="008A5C11">
            <w:pPr>
              <w:jc w:val="center"/>
              <w:rPr>
                <w:color w:val="000000"/>
                <w:sz w:val="12"/>
                <w:szCs w:val="12"/>
              </w:rPr>
            </w:pPr>
          </w:p>
        </w:tc>
        <w:tc>
          <w:tcPr>
            <w:tcW w:w="202" w:type="pct"/>
            <w:shd w:val="clear" w:color="auto" w:fill="auto"/>
            <w:tcMar>
              <w:left w:w="17" w:type="dxa"/>
              <w:right w:w="17" w:type="dxa"/>
            </w:tcMar>
            <w:vAlign w:val="center"/>
          </w:tcPr>
          <w:p w14:paraId="70A62DA4" w14:textId="77777777" w:rsidR="001C56BD" w:rsidRPr="00305460" w:rsidRDefault="001C56BD" w:rsidP="008A5C11">
            <w:pPr>
              <w:jc w:val="center"/>
              <w:rPr>
                <w:sz w:val="12"/>
                <w:szCs w:val="12"/>
              </w:rPr>
            </w:pPr>
            <w:r w:rsidRPr="00305460">
              <w:rPr>
                <w:sz w:val="12"/>
                <w:szCs w:val="12"/>
              </w:rPr>
              <w:t xml:space="preserve">Канал-кирпич, опоры-хомутовые приварные, запорная арматура - стальная клиновая, антикоррозийная защита-лак БТ, труба-сталь 20, изоляция - мин. маты </w:t>
            </w:r>
          </w:p>
        </w:tc>
        <w:tc>
          <w:tcPr>
            <w:tcW w:w="244" w:type="pct"/>
            <w:shd w:val="clear" w:color="auto" w:fill="auto"/>
            <w:tcMar>
              <w:left w:w="17" w:type="dxa"/>
              <w:right w:w="17" w:type="dxa"/>
            </w:tcMar>
            <w:vAlign w:val="center"/>
          </w:tcPr>
          <w:p w14:paraId="3231EC68" w14:textId="77777777" w:rsidR="001C56BD" w:rsidRPr="00305460" w:rsidRDefault="001C56BD" w:rsidP="008A5C11">
            <w:pPr>
              <w:jc w:val="center"/>
              <w:rPr>
                <w:sz w:val="12"/>
                <w:szCs w:val="12"/>
              </w:rPr>
            </w:pPr>
            <w:r w:rsidRPr="00305460">
              <w:rPr>
                <w:sz w:val="12"/>
                <w:szCs w:val="12"/>
              </w:rPr>
              <w:t xml:space="preserve">Канал-ж/б лотки, опоры-хомутовые с диэлектрической прокладкой, запорная арматура - кран шаровый, антикоррозийная защита-мастика Вектор 1214, 1025, труба-сталь 09Г2С, изоляция - маты прошивные, </w:t>
            </w:r>
            <w:proofErr w:type="gramStart"/>
            <w:r w:rsidRPr="00305460">
              <w:rPr>
                <w:sz w:val="12"/>
                <w:szCs w:val="12"/>
              </w:rPr>
              <w:t>стеклоплас-тик</w:t>
            </w:r>
            <w:proofErr w:type="gramEnd"/>
            <w:r w:rsidRPr="00305460">
              <w:rPr>
                <w:sz w:val="12"/>
                <w:szCs w:val="12"/>
              </w:rPr>
              <w:t xml:space="preserve">  </w:t>
            </w:r>
          </w:p>
        </w:tc>
        <w:tc>
          <w:tcPr>
            <w:tcW w:w="140" w:type="pct"/>
            <w:shd w:val="clear" w:color="auto" w:fill="auto"/>
            <w:tcMar>
              <w:left w:w="17" w:type="dxa"/>
              <w:right w:w="17" w:type="dxa"/>
            </w:tcMar>
            <w:vAlign w:val="center"/>
          </w:tcPr>
          <w:p w14:paraId="40472720" w14:textId="77777777" w:rsidR="001C56BD" w:rsidRPr="00305460" w:rsidRDefault="001C56BD" w:rsidP="008A5C11">
            <w:pPr>
              <w:jc w:val="center"/>
              <w:rPr>
                <w:sz w:val="12"/>
                <w:szCs w:val="12"/>
              </w:rPr>
            </w:pPr>
            <w:r w:rsidRPr="00305460">
              <w:rPr>
                <w:sz w:val="12"/>
                <w:szCs w:val="12"/>
              </w:rPr>
              <w:t>2025</w:t>
            </w:r>
          </w:p>
        </w:tc>
        <w:tc>
          <w:tcPr>
            <w:tcW w:w="140" w:type="pct"/>
            <w:shd w:val="clear" w:color="auto" w:fill="auto"/>
            <w:tcMar>
              <w:left w:w="17" w:type="dxa"/>
              <w:right w:w="17" w:type="dxa"/>
            </w:tcMar>
            <w:vAlign w:val="center"/>
          </w:tcPr>
          <w:p w14:paraId="04B4CC32" w14:textId="77777777" w:rsidR="001C56BD" w:rsidRPr="00305460" w:rsidRDefault="001C56BD" w:rsidP="008A5C11">
            <w:pPr>
              <w:jc w:val="center"/>
              <w:rPr>
                <w:sz w:val="12"/>
                <w:szCs w:val="12"/>
              </w:rPr>
            </w:pPr>
            <w:r w:rsidRPr="00305460">
              <w:rPr>
                <w:sz w:val="12"/>
                <w:szCs w:val="12"/>
              </w:rPr>
              <w:t>2025</w:t>
            </w:r>
          </w:p>
        </w:tc>
        <w:tc>
          <w:tcPr>
            <w:tcW w:w="239" w:type="pct"/>
            <w:gridSpan w:val="3"/>
            <w:shd w:val="clear" w:color="auto" w:fill="auto"/>
            <w:tcMar>
              <w:left w:w="17" w:type="dxa"/>
              <w:right w:w="17" w:type="dxa"/>
            </w:tcMar>
            <w:vAlign w:val="center"/>
          </w:tcPr>
          <w:p w14:paraId="270A5E47" w14:textId="77777777" w:rsidR="001C56BD" w:rsidRPr="00305460" w:rsidRDefault="001C56BD" w:rsidP="008A5C11">
            <w:pPr>
              <w:jc w:val="center"/>
              <w:rPr>
                <w:sz w:val="12"/>
                <w:szCs w:val="12"/>
              </w:rPr>
            </w:pPr>
            <w:r w:rsidRPr="00305460">
              <w:rPr>
                <w:sz w:val="12"/>
                <w:szCs w:val="12"/>
              </w:rPr>
              <w:t>33275,160</w:t>
            </w:r>
          </w:p>
        </w:tc>
        <w:tc>
          <w:tcPr>
            <w:tcW w:w="196" w:type="pct"/>
            <w:gridSpan w:val="3"/>
            <w:shd w:val="clear" w:color="auto" w:fill="auto"/>
            <w:tcMar>
              <w:left w:w="17" w:type="dxa"/>
              <w:right w:w="17" w:type="dxa"/>
            </w:tcMar>
            <w:vAlign w:val="center"/>
          </w:tcPr>
          <w:p w14:paraId="53CF818A" w14:textId="77777777" w:rsidR="001C56BD" w:rsidRPr="00305460" w:rsidRDefault="001C56BD" w:rsidP="008A5C11">
            <w:pPr>
              <w:jc w:val="center"/>
              <w:rPr>
                <w:sz w:val="12"/>
                <w:szCs w:val="12"/>
              </w:rPr>
            </w:pPr>
            <w:r w:rsidRPr="00305460">
              <w:rPr>
                <w:sz w:val="12"/>
                <w:szCs w:val="12"/>
              </w:rPr>
              <w:t>0,000</w:t>
            </w:r>
          </w:p>
        </w:tc>
        <w:tc>
          <w:tcPr>
            <w:tcW w:w="216" w:type="pct"/>
            <w:gridSpan w:val="3"/>
            <w:shd w:val="clear" w:color="auto" w:fill="auto"/>
            <w:tcMar>
              <w:left w:w="17" w:type="dxa"/>
              <w:right w:w="17" w:type="dxa"/>
            </w:tcMar>
            <w:vAlign w:val="center"/>
          </w:tcPr>
          <w:p w14:paraId="5AA96A5E" w14:textId="77777777" w:rsidR="001C56BD" w:rsidRPr="00305460" w:rsidRDefault="001C56BD" w:rsidP="008A5C11">
            <w:pPr>
              <w:jc w:val="center"/>
              <w:rPr>
                <w:sz w:val="12"/>
                <w:szCs w:val="12"/>
              </w:rPr>
            </w:pPr>
            <w:r w:rsidRPr="00305460">
              <w:rPr>
                <w:sz w:val="12"/>
                <w:szCs w:val="12"/>
              </w:rPr>
              <w:t>0,000</w:t>
            </w:r>
          </w:p>
        </w:tc>
        <w:tc>
          <w:tcPr>
            <w:tcW w:w="179" w:type="pct"/>
            <w:gridSpan w:val="2"/>
            <w:shd w:val="clear" w:color="auto" w:fill="auto"/>
            <w:tcMar>
              <w:left w:w="17" w:type="dxa"/>
              <w:right w:w="17" w:type="dxa"/>
            </w:tcMar>
            <w:vAlign w:val="center"/>
          </w:tcPr>
          <w:p w14:paraId="30626CD2" w14:textId="77777777" w:rsidR="001C56BD" w:rsidRPr="00305460" w:rsidRDefault="001C56BD" w:rsidP="008A5C11">
            <w:pPr>
              <w:jc w:val="center"/>
              <w:rPr>
                <w:sz w:val="12"/>
                <w:szCs w:val="12"/>
              </w:rPr>
            </w:pPr>
            <w:r w:rsidRPr="00305460">
              <w:rPr>
                <w:sz w:val="12"/>
                <w:szCs w:val="12"/>
              </w:rPr>
              <w:t>0,000</w:t>
            </w:r>
          </w:p>
        </w:tc>
        <w:tc>
          <w:tcPr>
            <w:tcW w:w="222" w:type="pct"/>
            <w:gridSpan w:val="2"/>
            <w:shd w:val="clear" w:color="auto" w:fill="auto"/>
            <w:tcMar>
              <w:left w:w="17" w:type="dxa"/>
              <w:right w:w="17" w:type="dxa"/>
            </w:tcMar>
            <w:vAlign w:val="center"/>
          </w:tcPr>
          <w:p w14:paraId="4AF57181" w14:textId="77777777" w:rsidR="001C56BD" w:rsidRPr="00305460" w:rsidRDefault="001C56BD" w:rsidP="008A5C11">
            <w:pPr>
              <w:jc w:val="center"/>
              <w:rPr>
                <w:sz w:val="12"/>
                <w:szCs w:val="12"/>
              </w:rPr>
            </w:pPr>
            <w:r w:rsidRPr="00305460">
              <w:rPr>
                <w:sz w:val="12"/>
                <w:szCs w:val="12"/>
              </w:rPr>
              <w:t>0,000</w:t>
            </w:r>
          </w:p>
        </w:tc>
        <w:tc>
          <w:tcPr>
            <w:tcW w:w="213" w:type="pct"/>
            <w:shd w:val="clear" w:color="auto" w:fill="auto"/>
            <w:tcMar>
              <w:left w:w="17" w:type="dxa"/>
              <w:right w:w="17" w:type="dxa"/>
            </w:tcMar>
            <w:vAlign w:val="center"/>
          </w:tcPr>
          <w:p w14:paraId="45104B10" w14:textId="77777777" w:rsidR="001C56BD" w:rsidRPr="00305460" w:rsidRDefault="001C56BD" w:rsidP="008A5C11">
            <w:pPr>
              <w:jc w:val="center"/>
              <w:rPr>
                <w:sz w:val="12"/>
                <w:szCs w:val="12"/>
              </w:rPr>
            </w:pPr>
            <w:r w:rsidRPr="00305460">
              <w:rPr>
                <w:sz w:val="12"/>
                <w:szCs w:val="12"/>
              </w:rPr>
              <w:t>33275,160</w:t>
            </w:r>
          </w:p>
        </w:tc>
        <w:tc>
          <w:tcPr>
            <w:tcW w:w="218" w:type="pct"/>
            <w:shd w:val="clear" w:color="auto" w:fill="auto"/>
            <w:tcMar>
              <w:left w:w="17" w:type="dxa"/>
              <w:right w:w="17" w:type="dxa"/>
            </w:tcMar>
            <w:vAlign w:val="center"/>
          </w:tcPr>
          <w:p w14:paraId="1D1C7F8E"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69561CC9"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279B3FAF" w14:textId="77777777" w:rsidR="001C56BD" w:rsidRPr="00305460" w:rsidRDefault="001C56BD" w:rsidP="008A5C11">
            <w:pPr>
              <w:jc w:val="center"/>
              <w:rPr>
                <w:sz w:val="12"/>
                <w:szCs w:val="12"/>
              </w:rPr>
            </w:pPr>
            <w:r w:rsidRPr="00305460">
              <w:rPr>
                <w:sz w:val="12"/>
                <w:szCs w:val="12"/>
              </w:rPr>
              <w:t>0,000</w:t>
            </w:r>
          </w:p>
        </w:tc>
        <w:tc>
          <w:tcPr>
            <w:tcW w:w="218" w:type="pct"/>
            <w:gridSpan w:val="2"/>
            <w:shd w:val="clear" w:color="auto" w:fill="auto"/>
            <w:tcMar>
              <w:left w:w="17" w:type="dxa"/>
              <w:right w:w="17" w:type="dxa"/>
            </w:tcMar>
            <w:vAlign w:val="center"/>
          </w:tcPr>
          <w:p w14:paraId="09E6EF4C" w14:textId="77777777" w:rsidR="001C56BD" w:rsidRPr="00305460" w:rsidRDefault="001C56BD" w:rsidP="008A5C11">
            <w:pPr>
              <w:jc w:val="center"/>
              <w:rPr>
                <w:sz w:val="12"/>
                <w:szCs w:val="12"/>
              </w:rPr>
            </w:pPr>
            <w:r w:rsidRPr="00305460">
              <w:rPr>
                <w:sz w:val="12"/>
                <w:szCs w:val="12"/>
              </w:rPr>
              <w:t>0,000</w:t>
            </w:r>
          </w:p>
        </w:tc>
        <w:tc>
          <w:tcPr>
            <w:tcW w:w="172" w:type="pct"/>
            <w:gridSpan w:val="2"/>
            <w:shd w:val="clear" w:color="auto" w:fill="auto"/>
            <w:tcMar>
              <w:left w:w="17" w:type="dxa"/>
              <w:right w:w="17" w:type="dxa"/>
            </w:tcMar>
            <w:vAlign w:val="center"/>
          </w:tcPr>
          <w:p w14:paraId="7B76FE76" w14:textId="77777777" w:rsidR="001C56BD" w:rsidRPr="00305460" w:rsidRDefault="001C56BD" w:rsidP="008A5C11">
            <w:pPr>
              <w:jc w:val="center"/>
              <w:rPr>
                <w:sz w:val="12"/>
                <w:szCs w:val="12"/>
              </w:rPr>
            </w:pPr>
            <w:r w:rsidRPr="00305460">
              <w:rPr>
                <w:sz w:val="12"/>
                <w:szCs w:val="12"/>
              </w:rPr>
              <w:t>0,000</w:t>
            </w:r>
          </w:p>
        </w:tc>
        <w:tc>
          <w:tcPr>
            <w:tcW w:w="219" w:type="pct"/>
            <w:shd w:val="clear" w:color="auto" w:fill="auto"/>
            <w:tcMar>
              <w:left w:w="17" w:type="dxa"/>
              <w:right w:w="17" w:type="dxa"/>
            </w:tcMar>
            <w:vAlign w:val="center"/>
          </w:tcPr>
          <w:p w14:paraId="1F0CFC7D" w14:textId="77777777" w:rsidR="001C56BD" w:rsidRPr="00305460" w:rsidRDefault="001C56BD" w:rsidP="008A5C11">
            <w:pPr>
              <w:jc w:val="center"/>
              <w:rPr>
                <w:sz w:val="12"/>
                <w:szCs w:val="12"/>
              </w:rPr>
            </w:pPr>
            <w:r w:rsidRPr="00305460">
              <w:rPr>
                <w:sz w:val="12"/>
                <w:szCs w:val="12"/>
              </w:rPr>
              <w:t>0,000</w:t>
            </w:r>
          </w:p>
        </w:tc>
        <w:tc>
          <w:tcPr>
            <w:tcW w:w="174" w:type="pct"/>
            <w:shd w:val="clear" w:color="auto" w:fill="auto"/>
            <w:tcMar>
              <w:left w:w="17" w:type="dxa"/>
              <w:right w:w="17" w:type="dxa"/>
            </w:tcMar>
            <w:vAlign w:val="center"/>
          </w:tcPr>
          <w:p w14:paraId="503F188F" w14:textId="77777777" w:rsidR="001C56BD" w:rsidRPr="00305460" w:rsidRDefault="001C56BD" w:rsidP="008A5C11">
            <w:pPr>
              <w:jc w:val="center"/>
              <w:rPr>
                <w:sz w:val="12"/>
                <w:szCs w:val="12"/>
              </w:rPr>
            </w:pPr>
            <w:r w:rsidRPr="00305460">
              <w:rPr>
                <w:sz w:val="12"/>
                <w:szCs w:val="12"/>
              </w:rPr>
              <w:t>0,000</w:t>
            </w:r>
          </w:p>
        </w:tc>
        <w:tc>
          <w:tcPr>
            <w:tcW w:w="176" w:type="pct"/>
            <w:shd w:val="clear" w:color="auto" w:fill="auto"/>
            <w:tcMar>
              <w:left w:w="17" w:type="dxa"/>
              <w:right w:w="17" w:type="dxa"/>
            </w:tcMar>
            <w:vAlign w:val="center"/>
          </w:tcPr>
          <w:p w14:paraId="1F9DF4ED" w14:textId="77777777" w:rsidR="001C56BD" w:rsidRPr="00305460" w:rsidRDefault="001C56BD" w:rsidP="008A5C11">
            <w:pPr>
              <w:jc w:val="center"/>
              <w:rPr>
                <w:sz w:val="12"/>
                <w:szCs w:val="12"/>
              </w:rPr>
            </w:pPr>
            <w:r w:rsidRPr="00305460">
              <w:rPr>
                <w:sz w:val="12"/>
                <w:szCs w:val="12"/>
              </w:rPr>
              <w:t>0,000</w:t>
            </w:r>
          </w:p>
        </w:tc>
      </w:tr>
      <w:tr w:rsidR="001C56BD" w:rsidRPr="00305460" w14:paraId="250B5DCB" w14:textId="77777777" w:rsidTr="008A5C11">
        <w:trPr>
          <w:trHeight w:val="897"/>
        </w:trPr>
        <w:tc>
          <w:tcPr>
            <w:tcW w:w="86" w:type="pct"/>
            <w:shd w:val="clear" w:color="auto" w:fill="auto"/>
            <w:tcMar>
              <w:left w:w="17" w:type="dxa"/>
              <w:right w:w="17" w:type="dxa"/>
            </w:tcMar>
            <w:vAlign w:val="center"/>
          </w:tcPr>
          <w:p w14:paraId="228E8A55" w14:textId="77777777" w:rsidR="001C56BD" w:rsidRPr="00305460" w:rsidRDefault="001C56BD" w:rsidP="008A5C11">
            <w:pPr>
              <w:jc w:val="center"/>
              <w:rPr>
                <w:sz w:val="12"/>
                <w:szCs w:val="12"/>
              </w:rPr>
            </w:pPr>
            <w:r w:rsidRPr="00305460">
              <w:rPr>
                <w:sz w:val="12"/>
                <w:szCs w:val="12"/>
              </w:rPr>
              <w:t>3.1.28.</w:t>
            </w:r>
          </w:p>
        </w:tc>
        <w:tc>
          <w:tcPr>
            <w:tcW w:w="295" w:type="pct"/>
            <w:shd w:val="clear" w:color="auto" w:fill="auto"/>
            <w:tcMar>
              <w:left w:w="17" w:type="dxa"/>
              <w:right w:w="17" w:type="dxa"/>
            </w:tcMar>
            <w:vAlign w:val="center"/>
          </w:tcPr>
          <w:p w14:paraId="515D9D25" w14:textId="77777777" w:rsidR="001C56BD" w:rsidRPr="00305460" w:rsidRDefault="001C56BD" w:rsidP="008A5C11">
            <w:pPr>
              <w:rPr>
                <w:sz w:val="12"/>
                <w:szCs w:val="12"/>
              </w:rPr>
            </w:pPr>
            <w:r w:rsidRPr="00305460">
              <w:rPr>
                <w:color w:val="000000"/>
                <w:sz w:val="12"/>
                <w:szCs w:val="12"/>
              </w:rPr>
              <w:t>Реконструкция тепловой сети с реестровым номером</w:t>
            </w:r>
            <w:r w:rsidRPr="00305460">
              <w:rPr>
                <w:sz w:val="12"/>
                <w:szCs w:val="12"/>
              </w:rPr>
              <w:t xml:space="preserve"> 777281</w:t>
            </w:r>
          </w:p>
        </w:tc>
        <w:tc>
          <w:tcPr>
            <w:tcW w:w="307" w:type="pct"/>
            <w:shd w:val="clear" w:color="000000" w:fill="FFFFFF"/>
            <w:tcMar>
              <w:left w:w="17" w:type="dxa"/>
              <w:right w:w="17" w:type="dxa"/>
            </w:tcMar>
            <w:vAlign w:val="center"/>
          </w:tcPr>
          <w:p w14:paraId="0F626C1C" w14:textId="77777777" w:rsidR="001C56BD" w:rsidRPr="00305460" w:rsidRDefault="001C56BD" w:rsidP="008A5C11">
            <w:pPr>
              <w:jc w:val="center"/>
              <w:rPr>
                <w:sz w:val="12"/>
                <w:szCs w:val="12"/>
              </w:rPr>
            </w:pPr>
            <w:r w:rsidRPr="00305460">
              <w:rPr>
                <w:color w:val="000000"/>
                <w:sz w:val="12"/>
                <w:szCs w:val="12"/>
              </w:rPr>
              <w:t>Повышение надежности услуг теплоснабжения, повышение энергетической эффективности</w:t>
            </w:r>
          </w:p>
        </w:tc>
        <w:tc>
          <w:tcPr>
            <w:tcW w:w="280" w:type="pct"/>
            <w:shd w:val="clear" w:color="auto" w:fill="auto"/>
            <w:tcMar>
              <w:left w:w="17" w:type="dxa"/>
              <w:right w:w="17" w:type="dxa"/>
            </w:tcMar>
            <w:vAlign w:val="center"/>
          </w:tcPr>
          <w:p w14:paraId="4DDA3594" w14:textId="77777777" w:rsidR="001C56BD" w:rsidRPr="00305460" w:rsidRDefault="001C56BD" w:rsidP="008A5C11">
            <w:pPr>
              <w:jc w:val="center"/>
              <w:rPr>
                <w:sz w:val="12"/>
                <w:szCs w:val="12"/>
              </w:rPr>
            </w:pPr>
            <w:r w:rsidRPr="00305460">
              <w:rPr>
                <w:sz w:val="12"/>
                <w:szCs w:val="12"/>
              </w:rPr>
              <w:t>Кемеровский городской округ, Заводский район, квартал №9, в границах ул. Радищева, ул. Веры Волошиной, ул. Сергея Тюленина, ул. Патриотов</w:t>
            </w:r>
          </w:p>
        </w:tc>
        <w:tc>
          <w:tcPr>
            <w:tcW w:w="289" w:type="pct"/>
            <w:shd w:val="clear" w:color="auto" w:fill="auto"/>
            <w:tcMar>
              <w:left w:w="17" w:type="dxa"/>
              <w:right w:w="17" w:type="dxa"/>
            </w:tcMar>
            <w:vAlign w:val="center"/>
          </w:tcPr>
          <w:p w14:paraId="47464C93" w14:textId="77777777" w:rsidR="001C56BD" w:rsidRPr="00305460" w:rsidRDefault="001C56BD" w:rsidP="008A5C11">
            <w:pPr>
              <w:jc w:val="center"/>
              <w:rPr>
                <w:sz w:val="12"/>
                <w:szCs w:val="12"/>
              </w:rPr>
            </w:pPr>
            <w:r w:rsidRPr="00305460">
              <w:rPr>
                <w:color w:val="000000"/>
                <w:sz w:val="12"/>
                <w:szCs w:val="12"/>
              </w:rPr>
              <w:t>Технические характеристики</w:t>
            </w:r>
          </w:p>
        </w:tc>
        <w:tc>
          <w:tcPr>
            <w:tcW w:w="137" w:type="pct"/>
            <w:shd w:val="clear" w:color="auto" w:fill="auto"/>
            <w:tcMar>
              <w:left w:w="17" w:type="dxa"/>
              <w:right w:w="17" w:type="dxa"/>
            </w:tcMar>
            <w:vAlign w:val="center"/>
          </w:tcPr>
          <w:p w14:paraId="6EF48D20" w14:textId="77777777" w:rsidR="001C56BD" w:rsidRPr="00305460" w:rsidRDefault="001C56BD" w:rsidP="008A5C11">
            <w:pPr>
              <w:jc w:val="center"/>
              <w:rPr>
                <w:color w:val="000000"/>
                <w:sz w:val="12"/>
                <w:szCs w:val="12"/>
              </w:rPr>
            </w:pPr>
          </w:p>
        </w:tc>
        <w:tc>
          <w:tcPr>
            <w:tcW w:w="202" w:type="pct"/>
            <w:shd w:val="clear" w:color="auto" w:fill="auto"/>
            <w:tcMar>
              <w:left w:w="17" w:type="dxa"/>
              <w:right w:w="17" w:type="dxa"/>
            </w:tcMar>
            <w:vAlign w:val="center"/>
          </w:tcPr>
          <w:p w14:paraId="36D6E9C7" w14:textId="77777777" w:rsidR="001C56BD" w:rsidRPr="00305460" w:rsidRDefault="001C56BD" w:rsidP="008A5C11">
            <w:pPr>
              <w:jc w:val="center"/>
              <w:rPr>
                <w:sz w:val="12"/>
                <w:szCs w:val="12"/>
              </w:rPr>
            </w:pPr>
            <w:r w:rsidRPr="00305460">
              <w:rPr>
                <w:sz w:val="12"/>
                <w:szCs w:val="12"/>
              </w:rPr>
              <w:t xml:space="preserve">Канал-кирпич, опоры-хомутовые </w:t>
            </w:r>
            <w:proofErr w:type="gramStart"/>
            <w:r w:rsidRPr="00305460">
              <w:rPr>
                <w:sz w:val="12"/>
                <w:szCs w:val="12"/>
              </w:rPr>
              <w:t>привар-ные</w:t>
            </w:r>
            <w:proofErr w:type="gramEnd"/>
            <w:r w:rsidRPr="00305460">
              <w:rPr>
                <w:sz w:val="12"/>
                <w:szCs w:val="12"/>
              </w:rPr>
              <w:t xml:space="preserve">, запорная арматура - стальная клиновая, антикоррозийная защита-лак БТ, труба-сталь 20, изоляция - мин. маты </w:t>
            </w:r>
          </w:p>
        </w:tc>
        <w:tc>
          <w:tcPr>
            <w:tcW w:w="244" w:type="pct"/>
            <w:shd w:val="clear" w:color="auto" w:fill="auto"/>
            <w:tcMar>
              <w:left w:w="17" w:type="dxa"/>
              <w:right w:w="17" w:type="dxa"/>
            </w:tcMar>
            <w:vAlign w:val="center"/>
          </w:tcPr>
          <w:p w14:paraId="6DD35986" w14:textId="77777777" w:rsidR="001C56BD" w:rsidRPr="00305460" w:rsidRDefault="001C56BD" w:rsidP="008A5C11">
            <w:pPr>
              <w:jc w:val="center"/>
              <w:rPr>
                <w:sz w:val="12"/>
                <w:szCs w:val="12"/>
              </w:rPr>
            </w:pPr>
            <w:r w:rsidRPr="00305460">
              <w:rPr>
                <w:sz w:val="12"/>
                <w:szCs w:val="12"/>
              </w:rPr>
              <w:t xml:space="preserve">Канал-ж/б лотки, опоры-хомутовые с диэлектрической прокладкой, запорная арматура - кран шаровый, антикоррозийная защита-мастика Вектор 1214, 1025, труба-сталь 09Г2С, изоляция - маты прошивные, </w:t>
            </w:r>
            <w:proofErr w:type="gramStart"/>
            <w:r w:rsidRPr="00305460">
              <w:rPr>
                <w:sz w:val="12"/>
                <w:szCs w:val="12"/>
              </w:rPr>
              <w:t>стеклоплас-тик</w:t>
            </w:r>
            <w:proofErr w:type="gramEnd"/>
            <w:r w:rsidRPr="00305460">
              <w:rPr>
                <w:sz w:val="12"/>
                <w:szCs w:val="12"/>
              </w:rPr>
              <w:t xml:space="preserve">  </w:t>
            </w:r>
          </w:p>
        </w:tc>
        <w:tc>
          <w:tcPr>
            <w:tcW w:w="140" w:type="pct"/>
            <w:shd w:val="clear" w:color="auto" w:fill="auto"/>
            <w:tcMar>
              <w:left w:w="17" w:type="dxa"/>
              <w:right w:w="17" w:type="dxa"/>
            </w:tcMar>
            <w:vAlign w:val="center"/>
          </w:tcPr>
          <w:p w14:paraId="601E488A" w14:textId="77777777" w:rsidR="001C56BD" w:rsidRPr="00305460" w:rsidRDefault="001C56BD" w:rsidP="008A5C11">
            <w:pPr>
              <w:jc w:val="center"/>
              <w:rPr>
                <w:sz w:val="12"/>
                <w:szCs w:val="12"/>
              </w:rPr>
            </w:pPr>
            <w:r w:rsidRPr="00305460">
              <w:rPr>
                <w:sz w:val="12"/>
                <w:szCs w:val="12"/>
              </w:rPr>
              <w:t>2025</w:t>
            </w:r>
          </w:p>
        </w:tc>
        <w:tc>
          <w:tcPr>
            <w:tcW w:w="140" w:type="pct"/>
            <w:shd w:val="clear" w:color="auto" w:fill="auto"/>
            <w:tcMar>
              <w:left w:w="17" w:type="dxa"/>
              <w:right w:w="17" w:type="dxa"/>
            </w:tcMar>
            <w:vAlign w:val="center"/>
          </w:tcPr>
          <w:p w14:paraId="04D1AE7A" w14:textId="77777777" w:rsidR="001C56BD" w:rsidRPr="00305460" w:rsidRDefault="001C56BD" w:rsidP="008A5C11">
            <w:pPr>
              <w:jc w:val="center"/>
              <w:rPr>
                <w:sz w:val="12"/>
                <w:szCs w:val="12"/>
              </w:rPr>
            </w:pPr>
            <w:r w:rsidRPr="00305460">
              <w:rPr>
                <w:sz w:val="12"/>
                <w:szCs w:val="12"/>
              </w:rPr>
              <w:t>2025</w:t>
            </w:r>
          </w:p>
        </w:tc>
        <w:tc>
          <w:tcPr>
            <w:tcW w:w="239" w:type="pct"/>
            <w:gridSpan w:val="3"/>
            <w:shd w:val="clear" w:color="auto" w:fill="auto"/>
            <w:tcMar>
              <w:left w:w="17" w:type="dxa"/>
              <w:right w:w="17" w:type="dxa"/>
            </w:tcMar>
            <w:vAlign w:val="center"/>
          </w:tcPr>
          <w:p w14:paraId="7B1F37B6" w14:textId="77777777" w:rsidR="001C56BD" w:rsidRPr="00305460" w:rsidRDefault="001C56BD" w:rsidP="008A5C11">
            <w:pPr>
              <w:jc w:val="center"/>
              <w:rPr>
                <w:sz w:val="12"/>
                <w:szCs w:val="12"/>
              </w:rPr>
            </w:pPr>
            <w:r w:rsidRPr="00305460">
              <w:rPr>
                <w:sz w:val="12"/>
                <w:szCs w:val="12"/>
              </w:rPr>
              <w:t>23215,584</w:t>
            </w:r>
          </w:p>
        </w:tc>
        <w:tc>
          <w:tcPr>
            <w:tcW w:w="196" w:type="pct"/>
            <w:gridSpan w:val="3"/>
            <w:shd w:val="clear" w:color="auto" w:fill="auto"/>
            <w:tcMar>
              <w:left w:w="17" w:type="dxa"/>
              <w:right w:w="17" w:type="dxa"/>
            </w:tcMar>
            <w:vAlign w:val="center"/>
          </w:tcPr>
          <w:p w14:paraId="77A94690" w14:textId="77777777" w:rsidR="001C56BD" w:rsidRPr="00305460" w:rsidRDefault="001C56BD" w:rsidP="008A5C11">
            <w:pPr>
              <w:jc w:val="center"/>
              <w:rPr>
                <w:sz w:val="12"/>
                <w:szCs w:val="12"/>
              </w:rPr>
            </w:pPr>
            <w:r w:rsidRPr="00305460">
              <w:rPr>
                <w:sz w:val="12"/>
                <w:szCs w:val="12"/>
              </w:rPr>
              <w:t>0,000</w:t>
            </w:r>
          </w:p>
        </w:tc>
        <w:tc>
          <w:tcPr>
            <w:tcW w:w="216" w:type="pct"/>
            <w:gridSpan w:val="3"/>
            <w:shd w:val="clear" w:color="auto" w:fill="auto"/>
            <w:tcMar>
              <w:left w:w="17" w:type="dxa"/>
              <w:right w:w="17" w:type="dxa"/>
            </w:tcMar>
            <w:vAlign w:val="center"/>
          </w:tcPr>
          <w:p w14:paraId="3404EF7C" w14:textId="77777777" w:rsidR="001C56BD" w:rsidRPr="00305460" w:rsidRDefault="001C56BD" w:rsidP="008A5C11">
            <w:pPr>
              <w:jc w:val="center"/>
              <w:rPr>
                <w:sz w:val="12"/>
                <w:szCs w:val="12"/>
              </w:rPr>
            </w:pPr>
            <w:r w:rsidRPr="00305460">
              <w:rPr>
                <w:sz w:val="12"/>
                <w:szCs w:val="12"/>
              </w:rPr>
              <w:t>0,000</w:t>
            </w:r>
          </w:p>
        </w:tc>
        <w:tc>
          <w:tcPr>
            <w:tcW w:w="179" w:type="pct"/>
            <w:gridSpan w:val="2"/>
            <w:shd w:val="clear" w:color="auto" w:fill="auto"/>
            <w:tcMar>
              <w:left w:w="17" w:type="dxa"/>
              <w:right w:w="17" w:type="dxa"/>
            </w:tcMar>
            <w:vAlign w:val="center"/>
          </w:tcPr>
          <w:p w14:paraId="3C64348D" w14:textId="77777777" w:rsidR="001C56BD" w:rsidRPr="00305460" w:rsidRDefault="001C56BD" w:rsidP="008A5C11">
            <w:pPr>
              <w:jc w:val="center"/>
              <w:rPr>
                <w:sz w:val="12"/>
                <w:szCs w:val="12"/>
              </w:rPr>
            </w:pPr>
            <w:r w:rsidRPr="00305460">
              <w:rPr>
                <w:sz w:val="12"/>
                <w:szCs w:val="12"/>
              </w:rPr>
              <w:t>0,000</w:t>
            </w:r>
          </w:p>
        </w:tc>
        <w:tc>
          <w:tcPr>
            <w:tcW w:w="222" w:type="pct"/>
            <w:gridSpan w:val="2"/>
            <w:shd w:val="clear" w:color="auto" w:fill="auto"/>
            <w:tcMar>
              <w:left w:w="17" w:type="dxa"/>
              <w:right w:w="17" w:type="dxa"/>
            </w:tcMar>
            <w:vAlign w:val="center"/>
          </w:tcPr>
          <w:p w14:paraId="6B40CA28" w14:textId="77777777" w:rsidR="001C56BD" w:rsidRPr="00305460" w:rsidRDefault="001C56BD" w:rsidP="008A5C11">
            <w:pPr>
              <w:jc w:val="center"/>
              <w:rPr>
                <w:sz w:val="12"/>
                <w:szCs w:val="12"/>
              </w:rPr>
            </w:pPr>
            <w:r w:rsidRPr="00305460">
              <w:rPr>
                <w:sz w:val="12"/>
                <w:szCs w:val="12"/>
              </w:rPr>
              <w:t>0,000</w:t>
            </w:r>
          </w:p>
        </w:tc>
        <w:tc>
          <w:tcPr>
            <w:tcW w:w="213" w:type="pct"/>
            <w:shd w:val="clear" w:color="auto" w:fill="auto"/>
            <w:tcMar>
              <w:left w:w="17" w:type="dxa"/>
              <w:right w:w="17" w:type="dxa"/>
            </w:tcMar>
            <w:vAlign w:val="center"/>
          </w:tcPr>
          <w:p w14:paraId="2F983E91" w14:textId="77777777" w:rsidR="001C56BD" w:rsidRPr="00305460" w:rsidRDefault="001C56BD" w:rsidP="008A5C11">
            <w:pPr>
              <w:jc w:val="center"/>
              <w:rPr>
                <w:sz w:val="12"/>
                <w:szCs w:val="12"/>
              </w:rPr>
            </w:pPr>
            <w:r w:rsidRPr="00305460">
              <w:rPr>
                <w:sz w:val="12"/>
                <w:szCs w:val="12"/>
              </w:rPr>
              <w:t>23215,584</w:t>
            </w:r>
          </w:p>
        </w:tc>
        <w:tc>
          <w:tcPr>
            <w:tcW w:w="218" w:type="pct"/>
            <w:shd w:val="clear" w:color="auto" w:fill="auto"/>
            <w:tcMar>
              <w:left w:w="17" w:type="dxa"/>
              <w:right w:w="17" w:type="dxa"/>
            </w:tcMar>
            <w:vAlign w:val="center"/>
          </w:tcPr>
          <w:p w14:paraId="7EA51903"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1EBD8E37"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69058CD9" w14:textId="77777777" w:rsidR="001C56BD" w:rsidRPr="00305460" w:rsidRDefault="001C56BD" w:rsidP="008A5C11">
            <w:pPr>
              <w:jc w:val="center"/>
              <w:rPr>
                <w:sz w:val="12"/>
                <w:szCs w:val="12"/>
              </w:rPr>
            </w:pPr>
            <w:r w:rsidRPr="00305460">
              <w:rPr>
                <w:sz w:val="12"/>
                <w:szCs w:val="12"/>
              </w:rPr>
              <w:t>0,000</w:t>
            </w:r>
          </w:p>
        </w:tc>
        <w:tc>
          <w:tcPr>
            <w:tcW w:w="218" w:type="pct"/>
            <w:gridSpan w:val="2"/>
            <w:shd w:val="clear" w:color="auto" w:fill="auto"/>
            <w:tcMar>
              <w:left w:w="17" w:type="dxa"/>
              <w:right w:w="17" w:type="dxa"/>
            </w:tcMar>
            <w:vAlign w:val="center"/>
          </w:tcPr>
          <w:p w14:paraId="14F95BDE" w14:textId="77777777" w:rsidR="001C56BD" w:rsidRPr="00305460" w:rsidRDefault="001C56BD" w:rsidP="008A5C11">
            <w:pPr>
              <w:jc w:val="center"/>
              <w:rPr>
                <w:sz w:val="12"/>
                <w:szCs w:val="12"/>
              </w:rPr>
            </w:pPr>
            <w:r w:rsidRPr="00305460">
              <w:rPr>
                <w:sz w:val="12"/>
                <w:szCs w:val="12"/>
              </w:rPr>
              <w:t>0,000</w:t>
            </w:r>
          </w:p>
        </w:tc>
        <w:tc>
          <w:tcPr>
            <w:tcW w:w="172" w:type="pct"/>
            <w:gridSpan w:val="2"/>
            <w:shd w:val="clear" w:color="auto" w:fill="auto"/>
            <w:tcMar>
              <w:left w:w="17" w:type="dxa"/>
              <w:right w:w="17" w:type="dxa"/>
            </w:tcMar>
            <w:vAlign w:val="center"/>
          </w:tcPr>
          <w:p w14:paraId="3D4610DE" w14:textId="77777777" w:rsidR="001C56BD" w:rsidRPr="00305460" w:rsidRDefault="001C56BD" w:rsidP="008A5C11">
            <w:pPr>
              <w:jc w:val="center"/>
              <w:rPr>
                <w:sz w:val="12"/>
                <w:szCs w:val="12"/>
              </w:rPr>
            </w:pPr>
            <w:r w:rsidRPr="00305460">
              <w:rPr>
                <w:sz w:val="12"/>
                <w:szCs w:val="12"/>
              </w:rPr>
              <w:t>0,000</w:t>
            </w:r>
          </w:p>
        </w:tc>
        <w:tc>
          <w:tcPr>
            <w:tcW w:w="219" w:type="pct"/>
            <w:shd w:val="clear" w:color="auto" w:fill="auto"/>
            <w:tcMar>
              <w:left w:w="17" w:type="dxa"/>
              <w:right w:w="17" w:type="dxa"/>
            </w:tcMar>
            <w:vAlign w:val="center"/>
          </w:tcPr>
          <w:p w14:paraId="4401D77C" w14:textId="77777777" w:rsidR="001C56BD" w:rsidRPr="00305460" w:rsidRDefault="001C56BD" w:rsidP="008A5C11">
            <w:pPr>
              <w:jc w:val="center"/>
              <w:rPr>
                <w:sz w:val="12"/>
                <w:szCs w:val="12"/>
              </w:rPr>
            </w:pPr>
            <w:r w:rsidRPr="00305460">
              <w:rPr>
                <w:sz w:val="12"/>
                <w:szCs w:val="12"/>
              </w:rPr>
              <w:t>0,000</w:t>
            </w:r>
          </w:p>
        </w:tc>
        <w:tc>
          <w:tcPr>
            <w:tcW w:w="174" w:type="pct"/>
            <w:shd w:val="clear" w:color="auto" w:fill="auto"/>
            <w:tcMar>
              <w:left w:w="17" w:type="dxa"/>
              <w:right w:w="17" w:type="dxa"/>
            </w:tcMar>
            <w:vAlign w:val="center"/>
          </w:tcPr>
          <w:p w14:paraId="15B48ACA" w14:textId="77777777" w:rsidR="001C56BD" w:rsidRPr="00305460" w:rsidRDefault="001C56BD" w:rsidP="008A5C11">
            <w:pPr>
              <w:jc w:val="center"/>
              <w:rPr>
                <w:sz w:val="12"/>
                <w:szCs w:val="12"/>
              </w:rPr>
            </w:pPr>
            <w:r w:rsidRPr="00305460">
              <w:rPr>
                <w:sz w:val="12"/>
                <w:szCs w:val="12"/>
              </w:rPr>
              <w:t>0,000</w:t>
            </w:r>
          </w:p>
        </w:tc>
        <w:tc>
          <w:tcPr>
            <w:tcW w:w="176" w:type="pct"/>
            <w:shd w:val="clear" w:color="auto" w:fill="auto"/>
            <w:tcMar>
              <w:left w:w="17" w:type="dxa"/>
              <w:right w:w="17" w:type="dxa"/>
            </w:tcMar>
            <w:vAlign w:val="center"/>
          </w:tcPr>
          <w:p w14:paraId="4A3D1996" w14:textId="77777777" w:rsidR="001C56BD" w:rsidRPr="00305460" w:rsidRDefault="001C56BD" w:rsidP="008A5C11">
            <w:pPr>
              <w:jc w:val="center"/>
              <w:rPr>
                <w:sz w:val="12"/>
                <w:szCs w:val="12"/>
              </w:rPr>
            </w:pPr>
            <w:r w:rsidRPr="00305460">
              <w:rPr>
                <w:sz w:val="12"/>
                <w:szCs w:val="12"/>
              </w:rPr>
              <w:t>0,000</w:t>
            </w:r>
          </w:p>
        </w:tc>
      </w:tr>
      <w:tr w:rsidR="001C56BD" w:rsidRPr="00305460" w14:paraId="4FEDD284" w14:textId="77777777" w:rsidTr="008A5C11">
        <w:trPr>
          <w:trHeight w:val="897"/>
        </w:trPr>
        <w:tc>
          <w:tcPr>
            <w:tcW w:w="86" w:type="pct"/>
            <w:shd w:val="clear" w:color="auto" w:fill="auto"/>
            <w:tcMar>
              <w:left w:w="17" w:type="dxa"/>
              <w:right w:w="17" w:type="dxa"/>
            </w:tcMar>
            <w:vAlign w:val="center"/>
          </w:tcPr>
          <w:p w14:paraId="401A0778" w14:textId="77777777" w:rsidR="001C56BD" w:rsidRPr="00305460" w:rsidRDefault="001C56BD" w:rsidP="008A5C11">
            <w:pPr>
              <w:jc w:val="center"/>
              <w:rPr>
                <w:bCs/>
                <w:sz w:val="12"/>
                <w:szCs w:val="12"/>
              </w:rPr>
            </w:pPr>
            <w:r w:rsidRPr="00305460">
              <w:rPr>
                <w:bCs/>
                <w:sz w:val="12"/>
                <w:szCs w:val="12"/>
              </w:rPr>
              <w:t>1</w:t>
            </w:r>
          </w:p>
        </w:tc>
        <w:tc>
          <w:tcPr>
            <w:tcW w:w="295" w:type="pct"/>
            <w:shd w:val="clear" w:color="auto" w:fill="auto"/>
            <w:tcMar>
              <w:left w:w="17" w:type="dxa"/>
              <w:right w:w="17" w:type="dxa"/>
            </w:tcMar>
            <w:vAlign w:val="center"/>
          </w:tcPr>
          <w:p w14:paraId="419D4E73" w14:textId="77777777" w:rsidR="001C56BD" w:rsidRPr="00305460" w:rsidRDefault="001C56BD" w:rsidP="008A5C11">
            <w:pPr>
              <w:jc w:val="center"/>
              <w:rPr>
                <w:bCs/>
                <w:sz w:val="12"/>
                <w:szCs w:val="12"/>
              </w:rPr>
            </w:pPr>
            <w:r w:rsidRPr="00305460">
              <w:rPr>
                <w:bCs/>
                <w:sz w:val="12"/>
                <w:szCs w:val="12"/>
              </w:rPr>
              <w:t>2</w:t>
            </w:r>
          </w:p>
        </w:tc>
        <w:tc>
          <w:tcPr>
            <w:tcW w:w="307" w:type="pct"/>
            <w:shd w:val="clear" w:color="auto" w:fill="auto"/>
            <w:tcMar>
              <w:left w:w="17" w:type="dxa"/>
              <w:right w:w="17" w:type="dxa"/>
            </w:tcMar>
            <w:vAlign w:val="center"/>
          </w:tcPr>
          <w:p w14:paraId="4AD77309" w14:textId="77777777" w:rsidR="001C56BD" w:rsidRPr="00305460" w:rsidRDefault="001C56BD" w:rsidP="008A5C11">
            <w:pPr>
              <w:jc w:val="center"/>
              <w:rPr>
                <w:bCs/>
                <w:sz w:val="12"/>
                <w:szCs w:val="12"/>
              </w:rPr>
            </w:pPr>
            <w:r w:rsidRPr="00305460">
              <w:rPr>
                <w:bCs/>
                <w:sz w:val="12"/>
                <w:szCs w:val="12"/>
              </w:rPr>
              <w:t>3</w:t>
            </w:r>
          </w:p>
        </w:tc>
        <w:tc>
          <w:tcPr>
            <w:tcW w:w="280" w:type="pct"/>
            <w:shd w:val="clear" w:color="auto" w:fill="auto"/>
            <w:tcMar>
              <w:left w:w="17" w:type="dxa"/>
              <w:right w:w="17" w:type="dxa"/>
            </w:tcMar>
            <w:vAlign w:val="center"/>
          </w:tcPr>
          <w:p w14:paraId="4664F144" w14:textId="77777777" w:rsidR="001C56BD" w:rsidRPr="00305460" w:rsidRDefault="001C56BD" w:rsidP="008A5C11">
            <w:pPr>
              <w:jc w:val="center"/>
              <w:rPr>
                <w:bCs/>
                <w:sz w:val="12"/>
                <w:szCs w:val="12"/>
              </w:rPr>
            </w:pPr>
            <w:r w:rsidRPr="00305460">
              <w:rPr>
                <w:bCs/>
                <w:sz w:val="12"/>
                <w:szCs w:val="12"/>
              </w:rPr>
              <w:t>4</w:t>
            </w:r>
          </w:p>
        </w:tc>
        <w:tc>
          <w:tcPr>
            <w:tcW w:w="289" w:type="pct"/>
            <w:shd w:val="clear" w:color="auto" w:fill="auto"/>
            <w:tcMar>
              <w:left w:w="17" w:type="dxa"/>
              <w:right w:w="17" w:type="dxa"/>
            </w:tcMar>
            <w:vAlign w:val="center"/>
          </w:tcPr>
          <w:p w14:paraId="2988A51B" w14:textId="77777777" w:rsidR="001C56BD" w:rsidRPr="00305460" w:rsidRDefault="001C56BD" w:rsidP="008A5C11">
            <w:pPr>
              <w:jc w:val="center"/>
              <w:rPr>
                <w:bCs/>
                <w:sz w:val="12"/>
                <w:szCs w:val="12"/>
              </w:rPr>
            </w:pPr>
            <w:r w:rsidRPr="00305460">
              <w:rPr>
                <w:bCs/>
                <w:sz w:val="12"/>
                <w:szCs w:val="12"/>
              </w:rPr>
              <w:t>5</w:t>
            </w:r>
          </w:p>
        </w:tc>
        <w:tc>
          <w:tcPr>
            <w:tcW w:w="137" w:type="pct"/>
            <w:shd w:val="clear" w:color="auto" w:fill="auto"/>
            <w:tcMar>
              <w:left w:w="17" w:type="dxa"/>
              <w:right w:w="17" w:type="dxa"/>
            </w:tcMar>
            <w:vAlign w:val="center"/>
          </w:tcPr>
          <w:p w14:paraId="7A32C9C2" w14:textId="77777777" w:rsidR="001C56BD" w:rsidRPr="00305460" w:rsidRDefault="001C56BD" w:rsidP="008A5C11">
            <w:pPr>
              <w:jc w:val="center"/>
              <w:rPr>
                <w:bCs/>
                <w:sz w:val="12"/>
                <w:szCs w:val="12"/>
              </w:rPr>
            </w:pPr>
            <w:r w:rsidRPr="00305460">
              <w:rPr>
                <w:bCs/>
                <w:sz w:val="12"/>
                <w:szCs w:val="12"/>
              </w:rPr>
              <w:t>6</w:t>
            </w:r>
          </w:p>
        </w:tc>
        <w:tc>
          <w:tcPr>
            <w:tcW w:w="202" w:type="pct"/>
            <w:shd w:val="clear" w:color="auto" w:fill="auto"/>
            <w:tcMar>
              <w:left w:w="17" w:type="dxa"/>
              <w:right w:w="17" w:type="dxa"/>
            </w:tcMar>
            <w:vAlign w:val="center"/>
          </w:tcPr>
          <w:p w14:paraId="09730639" w14:textId="77777777" w:rsidR="001C56BD" w:rsidRPr="00305460" w:rsidRDefault="001C56BD" w:rsidP="008A5C11">
            <w:pPr>
              <w:jc w:val="center"/>
              <w:rPr>
                <w:bCs/>
                <w:sz w:val="12"/>
                <w:szCs w:val="12"/>
              </w:rPr>
            </w:pPr>
            <w:r w:rsidRPr="00305460">
              <w:rPr>
                <w:bCs/>
                <w:sz w:val="12"/>
                <w:szCs w:val="12"/>
              </w:rPr>
              <w:t>7</w:t>
            </w:r>
          </w:p>
        </w:tc>
        <w:tc>
          <w:tcPr>
            <w:tcW w:w="244" w:type="pct"/>
            <w:shd w:val="clear" w:color="auto" w:fill="auto"/>
            <w:tcMar>
              <w:left w:w="17" w:type="dxa"/>
              <w:right w:w="17" w:type="dxa"/>
            </w:tcMar>
            <w:vAlign w:val="center"/>
          </w:tcPr>
          <w:p w14:paraId="1CC27E2B" w14:textId="77777777" w:rsidR="001C56BD" w:rsidRPr="00305460" w:rsidRDefault="001C56BD" w:rsidP="008A5C11">
            <w:pPr>
              <w:jc w:val="center"/>
              <w:rPr>
                <w:bCs/>
                <w:sz w:val="12"/>
                <w:szCs w:val="12"/>
              </w:rPr>
            </w:pPr>
            <w:r w:rsidRPr="00305460">
              <w:rPr>
                <w:bCs/>
                <w:sz w:val="12"/>
                <w:szCs w:val="12"/>
              </w:rPr>
              <w:t>8</w:t>
            </w:r>
          </w:p>
        </w:tc>
        <w:tc>
          <w:tcPr>
            <w:tcW w:w="140" w:type="pct"/>
            <w:shd w:val="clear" w:color="auto" w:fill="auto"/>
            <w:tcMar>
              <w:left w:w="17" w:type="dxa"/>
              <w:right w:w="17" w:type="dxa"/>
            </w:tcMar>
            <w:vAlign w:val="center"/>
          </w:tcPr>
          <w:p w14:paraId="6C6EF9B5" w14:textId="77777777" w:rsidR="001C56BD" w:rsidRPr="00305460" w:rsidRDefault="001C56BD" w:rsidP="008A5C11">
            <w:pPr>
              <w:jc w:val="center"/>
              <w:rPr>
                <w:bCs/>
                <w:sz w:val="12"/>
                <w:szCs w:val="12"/>
              </w:rPr>
            </w:pPr>
            <w:r w:rsidRPr="00305460">
              <w:rPr>
                <w:bCs/>
                <w:sz w:val="12"/>
                <w:szCs w:val="12"/>
              </w:rPr>
              <w:t>9</w:t>
            </w:r>
          </w:p>
        </w:tc>
        <w:tc>
          <w:tcPr>
            <w:tcW w:w="140" w:type="pct"/>
            <w:shd w:val="clear" w:color="auto" w:fill="auto"/>
            <w:tcMar>
              <w:left w:w="17" w:type="dxa"/>
              <w:right w:w="17" w:type="dxa"/>
            </w:tcMar>
            <w:vAlign w:val="center"/>
          </w:tcPr>
          <w:p w14:paraId="786E7688" w14:textId="77777777" w:rsidR="001C56BD" w:rsidRPr="00305460" w:rsidRDefault="001C56BD" w:rsidP="008A5C11">
            <w:pPr>
              <w:jc w:val="center"/>
              <w:rPr>
                <w:bCs/>
                <w:sz w:val="12"/>
                <w:szCs w:val="12"/>
              </w:rPr>
            </w:pPr>
            <w:r w:rsidRPr="00305460">
              <w:rPr>
                <w:bCs/>
                <w:sz w:val="12"/>
                <w:szCs w:val="12"/>
              </w:rPr>
              <w:t>10</w:t>
            </w:r>
          </w:p>
        </w:tc>
        <w:tc>
          <w:tcPr>
            <w:tcW w:w="239" w:type="pct"/>
            <w:gridSpan w:val="3"/>
            <w:shd w:val="clear" w:color="auto" w:fill="auto"/>
            <w:tcMar>
              <w:left w:w="17" w:type="dxa"/>
              <w:right w:w="17" w:type="dxa"/>
            </w:tcMar>
            <w:vAlign w:val="center"/>
          </w:tcPr>
          <w:p w14:paraId="40C64142" w14:textId="77777777" w:rsidR="001C56BD" w:rsidRPr="00305460" w:rsidRDefault="001C56BD" w:rsidP="008A5C11">
            <w:pPr>
              <w:jc w:val="center"/>
              <w:rPr>
                <w:bCs/>
                <w:sz w:val="12"/>
                <w:szCs w:val="12"/>
              </w:rPr>
            </w:pPr>
            <w:r w:rsidRPr="00305460">
              <w:rPr>
                <w:bCs/>
                <w:sz w:val="12"/>
                <w:szCs w:val="12"/>
              </w:rPr>
              <w:t>11</w:t>
            </w:r>
          </w:p>
        </w:tc>
        <w:tc>
          <w:tcPr>
            <w:tcW w:w="196" w:type="pct"/>
            <w:gridSpan w:val="3"/>
            <w:shd w:val="clear" w:color="auto" w:fill="auto"/>
            <w:tcMar>
              <w:left w:w="17" w:type="dxa"/>
              <w:right w:w="17" w:type="dxa"/>
            </w:tcMar>
            <w:vAlign w:val="center"/>
          </w:tcPr>
          <w:p w14:paraId="10C25294" w14:textId="77777777" w:rsidR="001C56BD" w:rsidRPr="00305460" w:rsidRDefault="001C56BD" w:rsidP="008A5C11">
            <w:pPr>
              <w:jc w:val="center"/>
              <w:rPr>
                <w:bCs/>
                <w:sz w:val="12"/>
                <w:szCs w:val="12"/>
              </w:rPr>
            </w:pPr>
            <w:r w:rsidRPr="00305460">
              <w:rPr>
                <w:bCs/>
                <w:sz w:val="12"/>
                <w:szCs w:val="12"/>
              </w:rPr>
              <w:t>12</w:t>
            </w:r>
          </w:p>
        </w:tc>
        <w:tc>
          <w:tcPr>
            <w:tcW w:w="216" w:type="pct"/>
            <w:gridSpan w:val="3"/>
            <w:shd w:val="clear" w:color="auto" w:fill="auto"/>
            <w:tcMar>
              <w:left w:w="17" w:type="dxa"/>
              <w:right w:w="17" w:type="dxa"/>
            </w:tcMar>
            <w:vAlign w:val="center"/>
          </w:tcPr>
          <w:p w14:paraId="09E6A3D4" w14:textId="77777777" w:rsidR="001C56BD" w:rsidRPr="00305460" w:rsidRDefault="001C56BD" w:rsidP="008A5C11">
            <w:pPr>
              <w:jc w:val="center"/>
              <w:rPr>
                <w:bCs/>
                <w:sz w:val="12"/>
                <w:szCs w:val="12"/>
              </w:rPr>
            </w:pPr>
            <w:r w:rsidRPr="00305460">
              <w:rPr>
                <w:bCs/>
                <w:sz w:val="12"/>
                <w:szCs w:val="12"/>
              </w:rPr>
              <w:t>13</w:t>
            </w:r>
          </w:p>
        </w:tc>
        <w:tc>
          <w:tcPr>
            <w:tcW w:w="179" w:type="pct"/>
            <w:gridSpan w:val="2"/>
            <w:shd w:val="clear" w:color="auto" w:fill="auto"/>
            <w:tcMar>
              <w:left w:w="17" w:type="dxa"/>
              <w:right w:w="17" w:type="dxa"/>
            </w:tcMar>
            <w:vAlign w:val="center"/>
          </w:tcPr>
          <w:p w14:paraId="7027A7FF" w14:textId="77777777" w:rsidR="001C56BD" w:rsidRPr="00305460" w:rsidRDefault="001C56BD" w:rsidP="008A5C11">
            <w:pPr>
              <w:jc w:val="center"/>
              <w:rPr>
                <w:bCs/>
                <w:sz w:val="12"/>
                <w:szCs w:val="12"/>
              </w:rPr>
            </w:pPr>
            <w:r w:rsidRPr="00305460">
              <w:rPr>
                <w:bCs/>
                <w:sz w:val="12"/>
                <w:szCs w:val="12"/>
              </w:rPr>
              <w:t>14</w:t>
            </w:r>
          </w:p>
        </w:tc>
        <w:tc>
          <w:tcPr>
            <w:tcW w:w="222" w:type="pct"/>
            <w:gridSpan w:val="2"/>
            <w:shd w:val="clear" w:color="auto" w:fill="auto"/>
            <w:tcMar>
              <w:left w:w="17" w:type="dxa"/>
              <w:right w:w="17" w:type="dxa"/>
            </w:tcMar>
            <w:vAlign w:val="center"/>
          </w:tcPr>
          <w:p w14:paraId="3C64D361" w14:textId="77777777" w:rsidR="001C56BD" w:rsidRPr="00305460" w:rsidRDefault="001C56BD" w:rsidP="008A5C11">
            <w:pPr>
              <w:jc w:val="center"/>
              <w:rPr>
                <w:bCs/>
                <w:sz w:val="12"/>
                <w:szCs w:val="12"/>
              </w:rPr>
            </w:pPr>
            <w:r w:rsidRPr="00305460">
              <w:rPr>
                <w:bCs/>
                <w:sz w:val="12"/>
                <w:szCs w:val="12"/>
              </w:rPr>
              <w:t>15</w:t>
            </w:r>
          </w:p>
        </w:tc>
        <w:tc>
          <w:tcPr>
            <w:tcW w:w="213" w:type="pct"/>
            <w:tcMar>
              <w:left w:w="17" w:type="dxa"/>
              <w:right w:w="17" w:type="dxa"/>
            </w:tcMar>
            <w:vAlign w:val="center"/>
          </w:tcPr>
          <w:p w14:paraId="030DFFE4" w14:textId="77777777" w:rsidR="001C56BD" w:rsidRPr="00305460" w:rsidRDefault="001C56BD" w:rsidP="008A5C11">
            <w:pPr>
              <w:jc w:val="center"/>
              <w:rPr>
                <w:bCs/>
                <w:sz w:val="12"/>
                <w:szCs w:val="12"/>
              </w:rPr>
            </w:pPr>
            <w:r w:rsidRPr="00305460">
              <w:rPr>
                <w:bCs/>
                <w:sz w:val="12"/>
                <w:szCs w:val="12"/>
              </w:rPr>
              <w:t>16</w:t>
            </w:r>
          </w:p>
        </w:tc>
        <w:tc>
          <w:tcPr>
            <w:tcW w:w="218" w:type="pct"/>
            <w:tcMar>
              <w:left w:w="17" w:type="dxa"/>
              <w:right w:w="17" w:type="dxa"/>
            </w:tcMar>
            <w:vAlign w:val="center"/>
          </w:tcPr>
          <w:p w14:paraId="4B1E8487" w14:textId="77777777" w:rsidR="001C56BD" w:rsidRPr="00305460" w:rsidRDefault="001C56BD" w:rsidP="008A5C11">
            <w:pPr>
              <w:jc w:val="center"/>
              <w:rPr>
                <w:bCs/>
                <w:sz w:val="12"/>
                <w:szCs w:val="12"/>
              </w:rPr>
            </w:pPr>
            <w:r w:rsidRPr="00305460">
              <w:rPr>
                <w:bCs/>
                <w:sz w:val="12"/>
                <w:szCs w:val="12"/>
              </w:rPr>
              <w:t>17</w:t>
            </w:r>
          </w:p>
        </w:tc>
        <w:tc>
          <w:tcPr>
            <w:tcW w:w="218" w:type="pct"/>
            <w:tcMar>
              <w:left w:w="17" w:type="dxa"/>
              <w:right w:w="17" w:type="dxa"/>
            </w:tcMar>
            <w:vAlign w:val="center"/>
          </w:tcPr>
          <w:p w14:paraId="6CCEF972" w14:textId="77777777" w:rsidR="001C56BD" w:rsidRPr="00305460" w:rsidRDefault="001C56BD" w:rsidP="008A5C11">
            <w:pPr>
              <w:jc w:val="center"/>
              <w:rPr>
                <w:bCs/>
                <w:sz w:val="12"/>
                <w:szCs w:val="12"/>
              </w:rPr>
            </w:pPr>
            <w:r w:rsidRPr="00305460">
              <w:rPr>
                <w:bCs/>
                <w:sz w:val="12"/>
                <w:szCs w:val="12"/>
              </w:rPr>
              <w:t>18</w:t>
            </w:r>
          </w:p>
        </w:tc>
        <w:tc>
          <w:tcPr>
            <w:tcW w:w="218" w:type="pct"/>
            <w:tcMar>
              <w:left w:w="17" w:type="dxa"/>
              <w:right w:w="17" w:type="dxa"/>
            </w:tcMar>
            <w:vAlign w:val="center"/>
          </w:tcPr>
          <w:p w14:paraId="5B44896B" w14:textId="77777777" w:rsidR="001C56BD" w:rsidRPr="00305460" w:rsidRDefault="001C56BD" w:rsidP="008A5C11">
            <w:pPr>
              <w:jc w:val="center"/>
              <w:rPr>
                <w:bCs/>
                <w:sz w:val="12"/>
                <w:szCs w:val="12"/>
              </w:rPr>
            </w:pPr>
            <w:r w:rsidRPr="00305460">
              <w:rPr>
                <w:bCs/>
                <w:sz w:val="12"/>
                <w:szCs w:val="12"/>
              </w:rPr>
              <w:t>19</w:t>
            </w:r>
          </w:p>
        </w:tc>
        <w:tc>
          <w:tcPr>
            <w:tcW w:w="218" w:type="pct"/>
            <w:gridSpan w:val="2"/>
            <w:tcMar>
              <w:left w:w="17" w:type="dxa"/>
              <w:right w:w="17" w:type="dxa"/>
            </w:tcMar>
            <w:vAlign w:val="center"/>
          </w:tcPr>
          <w:p w14:paraId="6F58A336" w14:textId="77777777" w:rsidR="001C56BD" w:rsidRPr="00305460" w:rsidRDefault="001C56BD" w:rsidP="008A5C11">
            <w:pPr>
              <w:jc w:val="center"/>
              <w:rPr>
                <w:bCs/>
                <w:sz w:val="12"/>
                <w:szCs w:val="12"/>
              </w:rPr>
            </w:pPr>
            <w:r w:rsidRPr="00305460">
              <w:rPr>
                <w:bCs/>
                <w:sz w:val="12"/>
                <w:szCs w:val="12"/>
              </w:rPr>
              <w:t>20</w:t>
            </w:r>
          </w:p>
        </w:tc>
        <w:tc>
          <w:tcPr>
            <w:tcW w:w="172" w:type="pct"/>
            <w:gridSpan w:val="2"/>
            <w:tcMar>
              <w:left w:w="17" w:type="dxa"/>
              <w:right w:w="17" w:type="dxa"/>
            </w:tcMar>
            <w:vAlign w:val="center"/>
          </w:tcPr>
          <w:p w14:paraId="367A4A8D" w14:textId="77777777" w:rsidR="001C56BD" w:rsidRPr="00305460" w:rsidRDefault="001C56BD" w:rsidP="008A5C11">
            <w:pPr>
              <w:jc w:val="center"/>
              <w:rPr>
                <w:bCs/>
                <w:sz w:val="12"/>
                <w:szCs w:val="12"/>
              </w:rPr>
            </w:pPr>
            <w:r w:rsidRPr="00305460">
              <w:rPr>
                <w:bCs/>
                <w:sz w:val="12"/>
                <w:szCs w:val="12"/>
              </w:rPr>
              <w:t>21</w:t>
            </w:r>
          </w:p>
        </w:tc>
        <w:tc>
          <w:tcPr>
            <w:tcW w:w="219" w:type="pct"/>
            <w:tcMar>
              <w:left w:w="17" w:type="dxa"/>
              <w:right w:w="17" w:type="dxa"/>
            </w:tcMar>
            <w:vAlign w:val="center"/>
          </w:tcPr>
          <w:p w14:paraId="0C8AC77C" w14:textId="77777777" w:rsidR="001C56BD" w:rsidRPr="00305460" w:rsidRDefault="001C56BD" w:rsidP="008A5C11">
            <w:pPr>
              <w:jc w:val="center"/>
              <w:rPr>
                <w:bCs/>
                <w:sz w:val="12"/>
                <w:szCs w:val="12"/>
              </w:rPr>
            </w:pPr>
            <w:r w:rsidRPr="00305460">
              <w:rPr>
                <w:bCs/>
                <w:sz w:val="12"/>
                <w:szCs w:val="12"/>
              </w:rPr>
              <w:t>22</w:t>
            </w:r>
          </w:p>
        </w:tc>
        <w:tc>
          <w:tcPr>
            <w:tcW w:w="174" w:type="pct"/>
            <w:tcMar>
              <w:left w:w="17" w:type="dxa"/>
              <w:right w:w="17" w:type="dxa"/>
            </w:tcMar>
            <w:vAlign w:val="center"/>
          </w:tcPr>
          <w:p w14:paraId="4313A5BB" w14:textId="77777777" w:rsidR="001C56BD" w:rsidRPr="00305460" w:rsidRDefault="001C56BD" w:rsidP="008A5C11">
            <w:pPr>
              <w:jc w:val="center"/>
              <w:rPr>
                <w:bCs/>
                <w:sz w:val="12"/>
                <w:szCs w:val="12"/>
              </w:rPr>
            </w:pPr>
            <w:r w:rsidRPr="00305460">
              <w:rPr>
                <w:bCs/>
                <w:sz w:val="12"/>
                <w:szCs w:val="12"/>
              </w:rPr>
              <w:t>23</w:t>
            </w:r>
          </w:p>
        </w:tc>
        <w:tc>
          <w:tcPr>
            <w:tcW w:w="176" w:type="pct"/>
            <w:tcMar>
              <w:left w:w="17" w:type="dxa"/>
              <w:right w:w="17" w:type="dxa"/>
            </w:tcMar>
            <w:vAlign w:val="center"/>
          </w:tcPr>
          <w:p w14:paraId="63C9CDEC" w14:textId="77777777" w:rsidR="001C56BD" w:rsidRPr="00305460" w:rsidRDefault="001C56BD" w:rsidP="008A5C11">
            <w:pPr>
              <w:jc w:val="center"/>
              <w:rPr>
                <w:bCs/>
                <w:sz w:val="12"/>
                <w:szCs w:val="12"/>
              </w:rPr>
            </w:pPr>
            <w:r w:rsidRPr="00305460">
              <w:rPr>
                <w:bCs/>
                <w:sz w:val="12"/>
                <w:szCs w:val="12"/>
              </w:rPr>
              <w:t>24</w:t>
            </w:r>
          </w:p>
        </w:tc>
      </w:tr>
      <w:tr w:rsidR="001C56BD" w:rsidRPr="00305460" w14:paraId="27DC8B5D" w14:textId="77777777" w:rsidTr="008A5C11">
        <w:trPr>
          <w:trHeight w:val="897"/>
        </w:trPr>
        <w:tc>
          <w:tcPr>
            <w:tcW w:w="86" w:type="pct"/>
            <w:shd w:val="clear" w:color="auto" w:fill="auto"/>
            <w:tcMar>
              <w:left w:w="17" w:type="dxa"/>
              <w:right w:w="17" w:type="dxa"/>
            </w:tcMar>
            <w:vAlign w:val="center"/>
          </w:tcPr>
          <w:p w14:paraId="71B1EE7D" w14:textId="77777777" w:rsidR="001C56BD" w:rsidRPr="00305460" w:rsidRDefault="001C56BD" w:rsidP="008A5C11">
            <w:pPr>
              <w:jc w:val="center"/>
              <w:rPr>
                <w:sz w:val="12"/>
                <w:szCs w:val="12"/>
              </w:rPr>
            </w:pPr>
            <w:r w:rsidRPr="00305460">
              <w:rPr>
                <w:sz w:val="12"/>
                <w:szCs w:val="12"/>
              </w:rPr>
              <w:t>3.1.29.</w:t>
            </w:r>
          </w:p>
        </w:tc>
        <w:tc>
          <w:tcPr>
            <w:tcW w:w="295" w:type="pct"/>
            <w:shd w:val="clear" w:color="auto" w:fill="auto"/>
            <w:tcMar>
              <w:left w:w="17" w:type="dxa"/>
              <w:right w:w="17" w:type="dxa"/>
            </w:tcMar>
            <w:vAlign w:val="center"/>
          </w:tcPr>
          <w:p w14:paraId="521717C3" w14:textId="77777777" w:rsidR="001C56BD" w:rsidRPr="00305460" w:rsidRDefault="001C56BD" w:rsidP="008A5C11">
            <w:pPr>
              <w:rPr>
                <w:sz w:val="12"/>
                <w:szCs w:val="12"/>
              </w:rPr>
            </w:pPr>
            <w:r w:rsidRPr="00305460">
              <w:rPr>
                <w:color w:val="000000"/>
                <w:sz w:val="12"/>
                <w:szCs w:val="12"/>
              </w:rPr>
              <w:t>Реконструкция тепловой сети с реестровым номером</w:t>
            </w:r>
            <w:r w:rsidRPr="00305460">
              <w:rPr>
                <w:sz w:val="12"/>
                <w:szCs w:val="12"/>
              </w:rPr>
              <w:t xml:space="preserve"> 777301</w:t>
            </w:r>
          </w:p>
        </w:tc>
        <w:tc>
          <w:tcPr>
            <w:tcW w:w="307" w:type="pct"/>
            <w:shd w:val="clear" w:color="000000" w:fill="FFFFFF"/>
            <w:tcMar>
              <w:left w:w="17" w:type="dxa"/>
              <w:right w:w="17" w:type="dxa"/>
            </w:tcMar>
            <w:vAlign w:val="center"/>
          </w:tcPr>
          <w:p w14:paraId="5AF77279" w14:textId="77777777" w:rsidR="001C56BD" w:rsidRPr="00305460" w:rsidRDefault="001C56BD" w:rsidP="008A5C11">
            <w:pPr>
              <w:jc w:val="center"/>
              <w:rPr>
                <w:sz w:val="12"/>
                <w:szCs w:val="12"/>
              </w:rPr>
            </w:pPr>
            <w:r w:rsidRPr="00305460">
              <w:rPr>
                <w:color w:val="000000"/>
                <w:sz w:val="12"/>
                <w:szCs w:val="12"/>
              </w:rPr>
              <w:t>Повышение надежности услуг теплоснабжения, повышение энергетической эффективности</w:t>
            </w:r>
          </w:p>
        </w:tc>
        <w:tc>
          <w:tcPr>
            <w:tcW w:w="280" w:type="pct"/>
            <w:shd w:val="clear" w:color="auto" w:fill="auto"/>
            <w:tcMar>
              <w:left w:w="17" w:type="dxa"/>
              <w:right w:w="17" w:type="dxa"/>
            </w:tcMar>
            <w:vAlign w:val="center"/>
          </w:tcPr>
          <w:p w14:paraId="61EF759B" w14:textId="77777777" w:rsidR="001C56BD" w:rsidRPr="00305460" w:rsidRDefault="001C56BD" w:rsidP="008A5C11">
            <w:pPr>
              <w:jc w:val="center"/>
              <w:rPr>
                <w:sz w:val="12"/>
                <w:szCs w:val="12"/>
              </w:rPr>
            </w:pPr>
            <w:r w:rsidRPr="00305460">
              <w:rPr>
                <w:sz w:val="12"/>
                <w:szCs w:val="12"/>
              </w:rPr>
              <w:t>Кемеровский городской округ, Заводский район, квартал № 11, 12, в границах ул. Космическая, ул. Юрия Двужильного, ул. Баумана, ул. Радищева</w:t>
            </w:r>
          </w:p>
        </w:tc>
        <w:tc>
          <w:tcPr>
            <w:tcW w:w="289" w:type="pct"/>
            <w:shd w:val="clear" w:color="auto" w:fill="auto"/>
            <w:tcMar>
              <w:left w:w="17" w:type="dxa"/>
              <w:right w:w="17" w:type="dxa"/>
            </w:tcMar>
            <w:vAlign w:val="center"/>
          </w:tcPr>
          <w:p w14:paraId="3A7F997E" w14:textId="77777777" w:rsidR="001C56BD" w:rsidRPr="00305460" w:rsidRDefault="001C56BD" w:rsidP="008A5C11">
            <w:pPr>
              <w:jc w:val="center"/>
              <w:rPr>
                <w:sz w:val="12"/>
                <w:szCs w:val="12"/>
              </w:rPr>
            </w:pPr>
            <w:r w:rsidRPr="00305460">
              <w:rPr>
                <w:color w:val="000000"/>
                <w:sz w:val="12"/>
                <w:szCs w:val="12"/>
              </w:rPr>
              <w:t>Технические характеристики</w:t>
            </w:r>
          </w:p>
        </w:tc>
        <w:tc>
          <w:tcPr>
            <w:tcW w:w="137" w:type="pct"/>
            <w:shd w:val="clear" w:color="auto" w:fill="auto"/>
            <w:tcMar>
              <w:left w:w="17" w:type="dxa"/>
              <w:right w:w="17" w:type="dxa"/>
            </w:tcMar>
            <w:vAlign w:val="center"/>
          </w:tcPr>
          <w:p w14:paraId="4C305CFA" w14:textId="77777777" w:rsidR="001C56BD" w:rsidRPr="00305460" w:rsidRDefault="001C56BD" w:rsidP="008A5C11">
            <w:pPr>
              <w:jc w:val="center"/>
              <w:rPr>
                <w:color w:val="000000"/>
                <w:sz w:val="12"/>
                <w:szCs w:val="12"/>
              </w:rPr>
            </w:pPr>
          </w:p>
        </w:tc>
        <w:tc>
          <w:tcPr>
            <w:tcW w:w="202" w:type="pct"/>
            <w:shd w:val="clear" w:color="auto" w:fill="auto"/>
            <w:tcMar>
              <w:left w:w="17" w:type="dxa"/>
              <w:right w:w="17" w:type="dxa"/>
            </w:tcMar>
            <w:vAlign w:val="center"/>
          </w:tcPr>
          <w:p w14:paraId="766BB35D" w14:textId="77777777" w:rsidR="001C56BD" w:rsidRPr="00305460" w:rsidRDefault="001C56BD" w:rsidP="008A5C11">
            <w:pPr>
              <w:jc w:val="center"/>
              <w:rPr>
                <w:sz w:val="12"/>
                <w:szCs w:val="12"/>
              </w:rPr>
            </w:pPr>
            <w:r w:rsidRPr="00305460">
              <w:rPr>
                <w:sz w:val="12"/>
                <w:szCs w:val="12"/>
              </w:rPr>
              <w:t xml:space="preserve">Канал-кирпич, опоры-хомутовые </w:t>
            </w:r>
            <w:proofErr w:type="gramStart"/>
            <w:r w:rsidRPr="00305460">
              <w:rPr>
                <w:sz w:val="12"/>
                <w:szCs w:val="12"/>
              </w:rPr>
              <w:t>привар-ные</w:t>
            </w:r>
            <w:proofErr w:type="gramEnd"/>
            <w:r w:rsidRPr="00305460">
              <w:rPr>
                <w:sz w:val="12"/>
                <w:szCs w:val="12"/>
              </w:rPr>
              <w:t xml:space="preserve">, запорная арматура - стальная клиновая, антикоррозийная защита-лак БТ, труба-сталь 20, изоляция - мин. маты </w:t>
            </w:r>
          </w:p>
        </w:tc>
        <w:tc>
          <w:tcPr>
            <w:tcW w:w="244" w:type="pct"/>
            <w:shd w:val="clear" w:color="auto" w:fill="auto"/>
            <w:tcMar>
              <w:left w:w="17" w:type="dxa"/>
              <w:right w:w="17" w:type="dxa"/>
            </w:tcMar>
            <w:vAlign w:val="center"/>
          </w:tcPr>
          <w:p w14:paraId="1CCD011B" w14:textId="77777777" w:rsidR="001C56BD" w:rsidRPr="00305460" w:rsidRDefault="001C56BD" w:rsidP="008A5C11">
            <w:pPr>
              <w:jc w:val="center"/>
              <w:rPr>
                <w:sz w:val="12"/>
                <w:szCs w:val="12"/>
              </w:rPr>
            </w:pPr>
            <w:r w:rsidRPr="00305460">
              <w:rPr>
                <w:sz w:val="12"/>
                <w:szCs w:val="12"/>
              </w:rPr>
              <w:t xml:space="preserve">Канал-ж/б лотки, опоры-хомутовые с диэлектрической прокладкой, запорная арматура - кран шаровый, антикоррозийная защита-мастика Вектор 1214, 1025, труба-сталь 09Г2С, изоляция - маты прошивные, </w:t>
            </w:r>
            <w:proofErr w:type="gramStart"/>
            <w:r w:rsidRPr="00305460">
              <w:rPr>
                <w:sz w:val="12"/>
                <w:szCs w:val="12"/>
              </w:rPr>
              <w:t>стеклоплас-тик</w:t>
            </w:r>
            <w:proofErr w:type="gramEnd"/>
            <w:r w:rsidRPr="00305460">
              <w:rPr>
                <w:sz w:val="12"/>
                <w:szCs w:val="12"/>
              </w:rPr>
              <w:t xml:space="preserve">  </w:t>
            </w:r>
          </w:p>
        </w:tc>
        <w:tc>
          <w:tcPr>
            <w:tcW w:w="140" w:type="pct"/>
            <w:shd w:val="clear" w:color="auto" w:fill="auto"/>
            <w:tcMar>
              <w:left w:w="17" w:type="dxa"/>
              <w:right w:w="17" w:type="dxa"/>
            </w:tcMar>
            <w:vAlign w:val="center"/>
          </w:tcPr>
          <w:p w14:paraId="7FB02845" w14:textId="77777777" w:rsidR="001C56BD" w:rsidRPr="00305460" w:rsidRDefault="001C56BD" w:rsidP="008A5C11">
            <w:pPr>
              <w:jc w:val="center"/>
              <w:rPr>
                <w:sz w:val="12"/>
                <w:szCs w:val="12"/>
              </w:rPr>
            </w:pPr>
            <w:r w:rsidRPr="00305460">
              <w:rPr>
                <w:sz w:val="12"/>
                <w:szCs w:val="12"/>
              </w:rPr>
              <w:t>2023</w:t>
            </w:r>
          </w:p>
        </w:tc>
        <w:tc>
          <w:tcPr>
            <w:tcW w:w="140" w:type="pct"/>
            <w:shd w:val="clear" w:color="auto" w:fill="auto"/>
            <w:tcMar>
              <w:left w:w="17" w:type="dxa"/>
              <w:right w:w="17" w:type="dxa"/>
            </w:tcMar>
            <w:vAlign w:val="center"/>
          </w:tcPr>
          <w:p w14:paraId="2405D980" w14:textId="77777777" w:rsidR="001C56BD" w:rsidRPr="00305460" w:rsidRDefault="001C56BD" w:rsidP="008A5C11">
            <w:pPr>
              <w:jc w:val="center"/>
              <w:rPr>
                <w:sz w:val="12"/>
                <w:szCs w:val="12"/>
              </w:rPr>
            </w:pPr>
            <w:r w:rsidRPr="00305460">
              <w:rPr>
                <w:sz w:val="12"/>
                <w:szCs w:val="12"/>
              </w:rPr>
              <w:t>2023</w:t>
            </w:r>
          </w:p>
        </w:tc>
        <w:tc>
          <w:tcPr>
            <w:tcW w:w="239" w:type="pct"/>
            <w:gridSpan w:val="3"/>
            <w:shd w:val="clear" w:color="auto" w:fill="auto"/>
            <w:tcMar>
              <w:left w:w="17" w:type="dxa"/>
              <w:right w:w="17" w:type="dxa"/>
            </w:tcMar>
            <w:vAlign w:val="center"/>
          </w:tcPr>
          <w:p w14:paraId="0F75D5D9" w14:textId="77777777" w:rsidR="001C56BD" w:rsidRPr="00305460" w:rsidRDefault="001C56BD" w:rsidP="008A5C11">
            <w:pPr>
              <w:jc w:val="center"/>
              <w:rPr>
                <w:sz w:val="12"/>
                <w:szCs w:val="12"/>
              </w:rPr>
            </w:pPr>
            <w:r w:rsidRPr="00305460">
              <w:rPr>
                <w:sz w:val="12"/>
                <w:szCs w:val="12"/>
              </w:rPr>
              <w:t>20638,572</w:t>
            </w:r>
          </w:p>
        </w:tc>
        <w:tc>
          <w:tcPr>
            <w:tcW w:w="196" w:type="pct"/>
            <w:gridSpan w:val="3"/>
            <w:shd w:val="clear" w:color="auto" w:fill="auto"/>
            <w:tcMar>
              <w:left w:w="17" w:type="dxa"/>
              <w:right w:w="17" w:type="dxa"/>
            </w:tcMar>
            <w:vAlign w:val="center"/>
          </w:tcPr>
          <w:p w14:paraId="3699B136" w14:textId="77777777" w:rsidR="001C56BD" w:rsidRPr="00305460" w:rsidRDefault="001C56BD" w:rsidP="008A5C11">
            <w:pPr>
              <w:jc w:val="center"/>
              <w:rPr>
                <w:sz w:val="12"/>
                <w:szCs w:val="12"/>
              </w:rPr>
            </w:pPr>
            <w:r w:rsidRPr="00305460">
              <w:rPr>
                <w:sz w:val="12"/>
                <w:szCs w:val="12"/>
              </w:rPr>
              <w:t>0,000</w:t>
            </w:r>
          </w:p>
        </w:tc>
        <w:tc>
          <w:tcPr>
            <w:tcW w:w="216" w:type="pct"/>
            <w:gridSpan w:val="3"/>
            <w:shd w:val="clear" w:color="auto" w:fill="auto"/>
            <w:tcMar>
              <w:left w:w="17" w:type="dxa"/>
              <w:right w:w="17" w:type="dxa"/>
            </w:tcMar>
            <w:vAlign w:val="center"/>
          </w:tcPr>
          <w:p w14:paraId="4130341E" w14:textId="77777777" w:rsidR="001C56BD" w:rsidRPr="00305460" w:rsidRDefault="001C56BD" w:rsidP="008A5C11">
            <w:pPr>
              <w:jc w:val="center"/>
              <w:rPr>
                <w:sz w:val="12"/>
                <w:szCs w:val="12"/>
              </w:rPr>
            </w:pPr>
            <w:r w:rsidRPr="00305460">
              <w:rPr>
                <w:sz w:val="12"/>
                <w:szCs w:val="12"/>
              </w:rPr>
              <w:t>0,000</w:t>
            </w:r>
          </w:p>
        </w:tc>
        <w:tc>
          <w:tcPr>
            <w:tcW w:w="179" w:type="pct"/>
            <w:gridSpan w:val="2"/>
            <w:shd w:val="clear" w:color="auto" w:fill="auto"/>
            <w:tcMar>
              <w:left w:w="17" w:type="dxa"/>
              <w:right w:w="17" w:type="dxa"/>
            </w:tcMar>
            <w:vAlign w:val="center"/>
          </w:tcPr>
          <w:p w14:paraId="714C3205" w14:textId="77777777" w:rsidR="001C56BD" w:rsidRPr="00305460" w:rsidRDefault="001C56BD" w:rsidP="008A5C11">
            <w:pPr>
              <w:jc w:val="center"/>
              <w:rPr>
                <w:sz w:val="12"/>
                <w:szCs w:val="12"/>
              </w:rPr>
            </w:pPr>
            <w:r w:rsidRPr="00305460">
              <w:rPr>
                <w:sz w:val="12"/>
                <w:szCs w:val="12"/>
              </w:rPr>
              <w:t>20638,572</w:t>
            </w:r>
          </w:p>
        </w:tc>
        <w:tc>
          <w:tcPr>
            <w:tcW w:w="222" w:type="pct"/>
            <w:gridSpan w:val="2"/>
            <w:shd w:val="clear" w:color="auto" w:fill="auto"/>
            <w:tcMar>
              <w:left w:w="17" w:type="dxa"/>
              <w:right w:w="17" w:type="dxa"/>
            </w:tcMar>
            <w:vAlign w:val="center"/>
          </w:tcPr>
          <w:p w14:paraId="1327E2D4" w14:textId="77777777" w:rsidR="001C56BD" w:rsidRPr="00305460" w:rsidRDefault="001C56BD" w:rsidP="008A5C11">
            <w:pPr>
              <w:jc w:val="center"/>
              <w:rPr>
                <w:sz w:val="12"/>
                <w:szCs w:val="12"/>
              </w:rPr>
            </w:pPr>
            <w:r w:rsidRPr="00305460">
              <w:rPr>
                <w:sz w:val="12"/>
                <w:szCs w:val="12"/>
              </w:rPr>
              <w:t>0,000</w:t>
            </w:r>
          </w:p>
        </w:tc>
        <w:tc>
          <w:tcPr>
            <w:tcW w:w="213" w:type="pct"/>
            <w:shd w:val="clear" w:color="auto" w:fill="auto"/>
            <w:tcMar>
              <w:left w:w="17" w:type="dxa"/>
              <w:right w:w="17" w:type="dxa"/>
            </w:tcMar>
            <w:vAlign w:val="center"/>
          </w:tcPr>
          <w:p w14:paraId="7C359FFA"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3047262B"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34900C46"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1533AC4E" w14:textId="77777777" w:rsidR="001C56BD" w:rsidRPr="00305460" w:rsidRDefault="001C56BD" w:rsidP="008A5C11">
            <w:pPr>
              <w:jc w:val="center"/>
              <w:rPr>
                <w:sz w:val="12"/>
                <w:szCs w:val="12"/>
              </w:rPr>
            </w:pPr>
            <w:r w:rsidRPr="00305460">
              <w:rPr>
                <w:sz w:val="12"/>
                <w:szCs w:val="12"/>
              </w:rPr>
              <w:t>0,000</w:t>
            </w:r>
          </w:p>
        </w:tc>
        <w:tc>
          <w:tcPr>
            <w:tcW w:w="218" w:type="pct"/>
            <w:gridSpan w:val="2"/>
            <w:shd w:val="clear" w:color="auto" w:fill="auto"/>
            <w:tcMar>
              <w:left w:w="17" w:type="dxa"/>
              <w:right w:w="17" w:type="dxa"/>
            </w:tcMar>
            <w:vAlign w:val="center"/>
          </w:tcPr>
          <w:p w14:paraId="7A65DBC3" w14:textId="77777777" w:rsidR="001C56BD" w:rsidRPr="00305460" w:rsidRDefault="001C56BD" w:rsidP="008A5C11">
            <w:pPr>
              <w:jc w:val="center"/>
              <w:rPr>
                <w:sz w:val="12"/>
                <w:szCs w:val="12"/>
              </w:rPr>
            </w:pPr>
            <w:r w:rsidRPr="00305460">
              <w:rPr>
                <w:sz w:val="12"/>
                <w:szCs w:val="12"/>
              </w:rPr>
              <w:t>0,000</w:t>
            </w:r>
          </w:p>
        </w:tc>
        <w:tc>
          <w:tcPr>
            <w:tcW w:w="172" w:type="pct"/>
            <w:gridSpan w:val="2"/>
            <w:shd w:val="clear" w:color="auto" w:fill="auto"/>
            <w:tcMar>
              <w:left w:w="17" w:type="dxa"/>
              <w:right w:w="17" w:type="dxa"/>
            </w:tcMar>
            <w:vAlign w:val="center"/>
          </w:tcPr>
          <w:p w14:paraId="30ACC738" w14:textId="77777777" w:rsidR="001C56BD" w:rsidRPr="00305460" w:rsidRDefault="001C56BD" w:rsidP="008A5C11">
            <w:pPr>
              <w:jc w:val="center"/>
              <w:rPr>
                <w:sz w:val="12"/>
                <w:szCs w:val="12"/>
              </w:rPr>
            </w:pPr>
            <w:r w:rsidRPr="00305460">
              <w:rPr>
                <w:sz w:val="12"/>
                <w:szCs w:val="12"/>
              </w:rPr>
              <w:t>0,000</w:t>
            </w:r>
          </w:p>
        </w:tc>
        <w:tc>
          <w:tcPr>
            <w:tcW w:w="219" w:type="pct"/>
            <w:shd w:val="clear" w:color="auto" w:fill="auto"/>
            <w:tcMar>
              <w:left w:w="17" w:type="dxa"/>
              <w:right w:w="17" w:type="dxa"/>
            </w:tcMar>
            <w:vAlign w:val="center"/>
          </w:tcPr>
          <w:p w14:paraId="6F638117" w14:textId="77777777" w:rsidR="001C56BD" w:rsidRPr="00305460" w:rsidRDefault="001C56BD" w:rsidP="008A5C11">
            <w:pPr>
              <w:jc w:val="center"/>
              <w:rPr>
                <w:sz w:val="12"/>
                <w:szCs w:val="12"/>
              </w:rPr>
            </w:pPr>
            <w:r w:rsidRPr="00305460">
              <w:rPr>
                <w:sz w:val="12"/>
                <w:szCs w:val="12"/>
              </w:rPr>
              <w:t>0,000</w:t>
            </w:r>
          </w:p>
        </w:tc>
        <w:tc>
          <w:tcPr>
            <w:tcW w:w="174" w:type="pct"/>
            <w:shd w:val="clear" w:color="auto" w:fill="auto"/>
            <w:tcMar>
              <w:left w:w="17" w:type="dxa"/>
              <w:right w:w="17" w:type="dxa"/>
            </w:tcMar>
            <w:vAlign w:val="center"/>
          </w:tcPr>
          <w:p w14:paraId="575C2FB6" w14:textId="77777777" w:rsidR="001C56BD" w:rsidRPr="00305460" w:rsidRDefault="001C56BD" w:rsidP="008A5C11">
            <w:pPr>
              <w:jc w:val="center"/>
              <w:rPr>
                <w:sz w:val="12"/>
                <w:szCs w:val="12"/>
              </w:rPr>
            </w:pPr>
            <w:r w:rsidRPr="00305460">
              <w:rPr>
                <w:sz w:val="12"/>
                <w:szCs w:val="12"/>
              </w:rPr>
              <w:t>0,000</w:t>
            </w:r>
          </w:p>
        </w:tc>
        <w:tc>
          <w:tcPr>
            <w:tcW w:w="176" w:type="pct"/>
            <w:shd w:val="clear" w:color="auto" w:fill="auto"/>
            <w:tcMar>
              <w:left w:w="17" w:type="dxa"/>
              <w:right w:w="17" w:type="dxa"/>
            </w:tcMar>
            <w:vAlign w:val="center"/>
          </w:tcPr>
          <w:p w14:paraId="069F49BD" w14:textId="77777777" w:rsidR="001C56BD" w:rsidRPr="00305460" w:rsidRDefault="001C56BD" w:rsidP="008A5C11">
            <w:pPr>
              <w:jc w:val="center"/>
              <w:rPr>
                <w:sz w:val="12"/>
                <w:szCs w:val="12"/>
              </w:rPr>
            </w:pPr>
            <w:r w:rsidRPr="00305460">
              <w:rPr>
                <w:sz w:val="12"/>
                <w:szCs w:val="12"/>
              </w:rPr>
              <w:t>0,000</w:t>
            </w:r>
          </w:p>
        </w:tc>
      </w:tr>
      <w:tr w:rsidR="001C56BD" w:rsidRPr="00305460" w14:paraId="73C882DE" w14:textId="77777777" w:rsidTr="008A5C11">
        <w:trPr>
          <w:trHeight w:val="897"/>
        </w:trPr>
        <w:tc>
          <w:tcPr>
            <w:tcW w:w="86" w:type="pct"/>
            <w:shd w:val="clear" w:color="auto" w:fill="auto"/>
            <w:tcMar>
              <w:left w:w="17" w:type="dxa"/>
              <w:right w:w="17" w:type="dxa"/>
            </w:tcMar>
            <w:vAlign w:val="center"/>
          </w:tcPr>
          <w:p w14:paraId="52DB2EFF" w14:textId="77777777" w:rsidR="001C56BD" w:rsidRPr="00305460" w:rsidRDefault="001C56BD" w:rsidP="008A5C11">
            <w:pPr>
              <w:jc w:val="center"/>
              <w:rPr>
                <w:sz w:val="12"/>
                <w:szCs w:val="12"/>
              </w:rPr>
            </w:pPr>
            <w:r w:rsidRPr="00305460">
              <w:rPr>
                <w:sz w:val="12"/>
                <w:szCs w:val="12"/>
              </w:rPr>
              <w:t>3.1.30.</w:t>
            </w:r>
          </w:p>
        </w:tc>
        <w:tc>
          <w:tcPr>
            <w:tcW w:w="295" w:type="pct"/>
            <w:shd w:val="clear" w:color="auto" w:fill="auto"/>
            <w:tcMar>
              <w:left w:w="17" w:type="dxa"/>
              <w:right w:w="17" w:type="dxa"/>
            </w:tcMar>
            <w:vAlign w:val="center"/>
          </w:tcPr>
          <w:p w14:paraId="3DA6E007" w14:textId="77777777" w:rsidR="001C56BD" w:rsidRPr="00305460" w:rsidRDefault="001C56BD" w:rsidP="008A5C11">
            <w:pPr>
              <w:rPr>
                <w:sz w:val="12"/>
                <w:szCs w:val="12"/>
              </w:rPr>
            </w:pPr>
            <w:r w:rsidRPr="00305460">
              <w:rPr>
                <w:color w:val="000000"/>
                <w:sz w:val="12"/>
                <w:szCs w:val="12"/>
              </w:rPr>
              <w:t>Реконструкция тепловой сети с реестровым номером</w:t>
            </w:r>
            <w:r w:rsidRPr="00305460">
              <w:rPr>
                <w:sz w:val="12"/>
                <w:szCs w:val="12"/>
              </w:rPr>
              <w:t xml:space="preserve"> 777388</w:t>
            </w:r>
          </w:p>
        </w:tc>
        <w:tc>
          <w:tcPr>
            <w:tcW w:w="307" w:type="pct"/>
            <w:shd w:val="clear" w:color="000000" w:fill="FFFFFF"/>
            <w:tcMar>
              <w:left w:w="17" w:type="dxa"/>
              <w:right w:w="17" w:type="dxa"/>
            </w:tcMar>
            <w:vAlign w:val="center"/>
          </w:tcPr>
          <w:p w14:paraId="45ED3BE4" w14:textId="77777777" w:rsidR="001C56BD" w:rsidRPr="00305460" w:rsidRDefault="001C56BD" w:rsidP="008A5C11">
            <w:pPr>
              <w:jc w:val="center"/>
              <w:rPr>
                <w:sz w:val="12"/>
                <w:szCs w:val="12"/>
              </w:rPr>
            </w:pPr>
            <w:r w:rsidRPr="00305460">
              <w:rPr>
                <w:color w:val="000000"/>
                <w:sz w:val="12"/>
                <w:szCs w:val="12"/>
              </w:rPr>
              <w:t>Повышение надежности услуг теплоснабжения, повышение энергетической эффективности</w:t>
            </w:r>
          </w:p>
        </w:tc>
        <w:tc>
          <w:tcPr>
            <w:tcW w:w="280" w:type="pct"/>
            <w:shd w:val="clear" w:color="auto" w:fill="auto"/>
            <w:tcMar>
              <w:left w:w="17" w:type="dxa"/>
              <w:right w:w="17" w:type="dxa"/>
            </w:tcMar>
            <w:vAlign w:val="center"/>
          </w:tcPr>
          <w:p w14:paraId="391F8161" w14:textId="77777777" w:rsidR="001C56BD" w:rsidRPr="00305460" w:rsidRDefault="001C56BD" w:rsidP="008A5C11">
            <w:pPr>
              <w:jc w:val="center"/>
              <w:rPr>
                <w:sz w:val="12"/>
                <w:szCs w:val="12"/>
              </w:rPr>
            </w:pPr>
            <w:r w:rsidRPr="00305460">
              <w:rPr>
                <w:sz w:val="12"/>
                <w:szCs w:val="12"/>
              </w:rPr>
              <w:t>Кемеровский городской округ, Заводский район, квартал № 54, в границах ул. Сибиряков-Гвардейцев, ул. Мичурина, ул. Федоровского, ул. Пролетарская</w:t>
            </w:r>
          </w:p>
        </w:tc>
        <w:tc>
          <w:tcPr>
            <w:tcW w:w="289" w:type="pct"/>
            <w:shd w:val="clear" w:color="auto" w:fill="auto"/>
            <w:tcMar>
              <w:left w:w="17" w:type="dxa"/>
              <w:right w:w="17" w:type="dxa"/>
            </w:tcMar>
            <w:vAlign w:val="center"/>
          </w:tcPr>
          <w:p w14:paraId="08B34121" w14:textId="77777777" w:rsidR="001C56BD" w:rsidRPr="00305460" w:rsidRDefault="001C56BD" w:rsidP="008A5C11">
            <w:pPr>
              <w:jc w:val="center"/>
              <w:rPr>
                <w:sz w:val="12"/>
                <w:szCs w:val="12"/>
              </w:rPr>
            </w:pPr>
            <w:r w:rsidRPr="00305460">
              <w:rPr>
                <w:color w:val="000000"/>
                <w:sz w:val="12"/>
                <w:szCs w:val="12"/>
              </w:rPr>
              <w:t>Технические характеристики</w:t>
            </w:r>
          </w:p>
        </w:tc>
        <w:tc>
          <w:tcPr>
            <w:tcW w:w="137" w:type="pct"/>
            <w:shd w:val="clear" w:color="auto" w:fill="auto"/>
            <w:tcMar>
              <w:left w:w="17" w:type="dxa"/>
              <w:right w:w="17" w:type="dxa"/>
            </w:tcMar>
            <w:vAlign w:val="center"/>
          </w:tcPr>
          <w:p w14:paraId="5FD64F20" w14:textId="77777777" w:rsidR="001C56BD" w:rsidRPr="00305460" w:rsidRDefault="001C56BD" w:rsidP="008A5C11">
            <w:pPr>
              <w:jc w:val="center"/>
              <w:rPr>
                <w:color w:val="000000"/>
                <w:sz w:val="12"/>
                <w:szCs w:val="12"/>
              </w:rPr>
            </w:pPr>
          </w:p>
        </w:tc>
        <w:tc>
          <w:tcPr>
            <w:tcW w:w="202" w:type="pct"/>
            <w:shd w:val="clear" w:color="auto" w:fill="auto"/>
            <w:tcMar>
              <w:left w:w="17" w:type="dxa"/>
              <w:right w:w="17" w:type="dxa"/>
            </w:tcMar>
            <w:vAlign w:val="center"/>
          </w:tcPr>
          <w:p w14:paraId="3BA66B0C" w14:textId="77777777" w:rsidR="001C56BD" w:rsidRPr="00305460" w:rsidRDefault="001C56BD" w:rsidP="008A5C11">
            <w:pPr>
              <w:jc w:val="center"/>
              <w:rPr>
                <w:sz w:val="12"/>
                <w:szCs w:val="12"/>
              </w:rPr>
            </w:pPr>
            <w:r w:rsidRPr="00305460">
              <w:rPr>
                <w:sz w:val="12"/>
                <w:szCs w:val="12"/>
              </w:rPr>
              <w:t xml:space="preserve">Канал-кирпич, опоры-хомутовые </w:t>
            </w:r>
            <w:proofErr w:type="gramStart"/>
            <w:r w:rsidRPr="00305460">
              <w:rPr>
                <w:sz w:val="12"/>
                <w:szCs w:val="12"/>
              </w:rPr>
              <w:t>привар-ные</w:t>
            </w:r>
            <w:proofErr w:type="gramEnd"/>
            <w:r w:rsidRPr="00305460">
              <w:rPr>
                <w:sz w:val="12"/>
                <w:szCs w:val="12"/>
              </w:rPr>
              <w:t xml:space="preserve">, запорная арматура - стальная клиновая, антикоррозийная защита-лак БТ, труба-сталь 20, изоляция - мин. маты </w:t>
            </w:r>
          </w:p>
        </w:tc>
        <w:tc>
          <w:tcPr>
            <w:tcW w:w="244" w:type="pct"/>
            <w:shd w:val="clear" w:color="auto" w:fill="auto"/>
            <w:tcMar>
              <w:left w:w="17" w:type="dxa"/>
              <w:right w:w="17" w:type="dxa"/>
            </w:tcMar>
            <w:vAlign w:val="center"/>
          </w:tcPr>
          <w:p w14:paraId="7A657ED4" w14:textId="77777777" w:rsidR="001C56BD" w:rsidRPr="00305460" w:rsidRDefault="001C56BD" w:rsidP="008A5C11">
            <w:pPr>
              <w:jc w:val="center"/>
              <w:rPr>
                <w:sz w:val="12"/>
                <w:szCs w:val="12"/>
              </w:rPr>
            </w:pPr>
            <w:r w:rsidRPr="00305460">
              <w:rPr>
                <w:sz w:val="12"/>
                <w:szCs w:val="12"/>
              </w:rPr>
              <w:t xml:space="preserve">Канал-ж/б лотки, опоры-хомутовые с диэлектрической прокладкой, запорная арматура - кран шаровый, антикоррозийная защита-мастика Вектор 1214, 1025, труба-сталь 09Г2С, изоляция - маты прошивные, </w:t>
            </w:r>
            <w:proofErr w:type="gramStart"/>
            <w:r w:rsidRPr="00305460">
              <w:rPr>
                <w:sz w:val="12"/>
                <w:szCs w:val="12"/>
              </w:rPr>
              <w:t>стеклоплас-тик</w:t>
            </w:r>
            <w:proofErr w:type="gramEnd"/>
            <w:r w:rsidRPr="00305460">
              <w:rPr>
                <w:sz w:val="12"/>
                <w:szCs w:val="12"/>
              </w:rPr>
              <w:t xml:space="preserve">  </w:t>
            </w:r>
          </w:p>
        </w:tc>
        <w:tc>
          <w:tcPr>
            <w:tcW w:w="140" w:type="pct"/>
            <w:shd w:val="clear" w:color="auto" w:fill="auto"/>
            <w:tcMar>
              <w:left w:w="17" w:type="dxa"/>
              <w:right w:w="17" w:type="dxa"/>
            </w:tcMar>
            <w:vAlign w:val="center"/>
          </w:tcPr>
          <w:p w14:paraId="22BF7232" w14:textId="77777777" w:rsidR="001C56BD" w:rsidRPr="00305460" w:rsidRDefault="001C56BD" w:rsidP="008A5C11">
            <w:pPr>
              <w:jc w:val="center"/>
              <w:rPr>
                <w:sz w:val="12"/>
                <w:szCs w:val="12"/>
              </w:rPr>
            </w:pPr>
            <w:r w:rsidRPr="00305460">
              <w:rPr>
                <w:sz w:val="12"/>
                <w:szCs w:val="12"/>
              </w:rPr>
              <w:t>2023</w:t>
            </w:r>
          </w:p>
        </w:tc>
        <w:tc>
          <w:tcPr>
            <w:tcW w:w="140" w:type="pct"/>
            <w:shd w:val="clear" w:color="auto" w:fill="auto"/>
            <w:tcMar>
              <w:left w:w="17" w:type="dxa"/>
              <w:right w:w="17" w:type="dxa"/>
            </w:tcMar>
            <w:vAlign w:val="center"/>
          </w:tcPr>
          <w:p w14:paraId="258CA04A" w14:textId="77777777" w:rsidR="001C56BD" w:rsidRPr="00305460" w:rsidRDefault="001C56BD" w:rsidP="008A5C11">
            <w:pPr>
              <w:jc w:val="center"/>
              <w:rPr>
                <w:sz w:val="12"/>
                <w:szCs w:val="12"/>
              </w:rPr>
            </w:pPr>
            <w:r w:rsidRPr="00305460">
              <w:rPr>
                <w:sz w:val="12"/>
                <w:szCs w:val="12"/>
              </w:rPr>
              <w:t>2027</w:t>
            </w:r>
          </w:p>
        </w:tc>
        <w:tc>
          <w:tcPr>
            <w:tcW w:w="239" w:type="pct"/>
            <w:gridSpan w:val="3"/>
            <w:shd w:val="clear" w:color="auto" w:fill="auto"/>
            <w:tcMar>
              <w:left w:w="17" w:type="dxa"/>
              <w:right w:w="17" w:type="dxa"/>
            </w:tcMar>
            <w:vAlign w:val="center"/>
          </w:tcPr>
          <w:p w14:paraId="1EEDEC3C" w14:textId="77777777" w:rsidR="001C56BD" w:rsidRPr="00305460" w:rsidRDefault="001C56BD" w:rsidP="008A5C11">
            <w:pPr>
              <w:jc w:val="center"/>
              <w:rPr>
                <w:sz w:val="12"/>
                <w:szCs w:val="12"/>
              </w:rPr>
            </w:pPr>
            <w:r w:rsidRPr="00305460">
              <w:rPr>
                <w:sz w:val="12"/>
                <w:szCs w:val="12"/>
              </w:rPr>
              <w:t>33396,492</w:t>
            </w:r>
          </w:p>
        </w:tc>
        <w:tc>
          <w:tcPr>
            <w:tcW w:w="196" w:type="pct"/>
            <w:gridSpan w:val="3"/>
            <w:shd w:val="clear" w:color="auto" w:fill="auto"/>
            <w:tcMar>
              <w:left w:w="17" w:type="dxa"/>
              <w:right w:w="17" w:type="dxa"/>
            </w:tcMar>
            <w:vAlign w:val="center"/>
          </w:tcPr>
          <w:p w14:paraId="288C79DD" w14:textId="77777777" w:rsidR="001C56BD" w:rsidRPr="00305460" w:rsidRDefault="001C56BD" w:rsidP="008A5C11">
            <w:pPr>
              <w:jc w:val="center"/>
              <w:rPr>
                <w:sz w:val="12"/>
                <w:szCs w:val="12"/>
              </w:rPr>
            </w:pPr>
            <w:r w:rsidRPr="00305460">
              <w:rPr>
                <w:sz w:val="12"/>
                <w:szCs w:val="12"/>
              </w:rPr>
              <w:t>0,000</w:t>
            </w:r>
          </w:p>
        </w:tc>
        <w:tc>
          <w:tcPr>
            <w:tcW w:w="216" w:type="pct"/>
            <w:gridSpan w:val="3"/>
            <w:shd w:val="clear" w:color="auto" w:fill="auto"/>
            <w:tcMar>
              <w:left w:w="17" w:type="dxa"/>
              <w:right w:w="17" w:type="dxa"/>
            </w:tcMar>
            <w:vAlign w:val="center"/>
          </w:tcPr>
          <w:p w14:paraId="302BD260" w14:textId="77777777" w:rsidR="001C56BD" w:rsidRPr="00305460" w:rsidRDefault="001C56BD" w:rsidP="008A5C11">
            <w:pPr>
              <w:jc w:val="center"/>
              <w:rPr>
                <w:sz w:val="12"/>
                <w:szCs w:val="12"/>
              </w:rPr>
            </w:pPr>
            <w:r w:rsidRPr="00305460">
              <w:rPr>
                <w:sz w:val="12"/>
                <w:szCs w:val="12"/>
              </w:rPr>
              <w:t>0,000</w:t>
            </w:r>
          </w:p>
        </w:tc>
        <w:tc>
          <w:tcPr>
            <w:tcW w:w="179" w:type="pct"/>
            <w:gridSpan w:val="2"/>
            <w:shd w:val="clear" w:color="auto" w:fill="auto"/>
            <w:tcMar>
              <w:left w:w="17" w:type="dxa"/>
              <w:right w:w="17" w:type="dxa"/>
            </w:tcMar>
            <w:vAlign w:val="center"/>
          </w:tcPr>
          <w:p w14:paraId="1C328478" w14:textId="77777777" w:rsidR="001C56BD" w:rsidRPr="00305460" w:rsidRDefault="001C56BD" w:rsidP="008A5C11">
            <w:pPr>
              <w:jc w:val="center"/>
              <w:rPr>
                <w:sz w:val="12"/>
                <w:szCs w:val="12"/>
              </w:rPr>
            </w:pPr>
            <w:r w:rsidRPr="00305460">
              <w:rPr>
                <w:sz w:val="12"/>
                <w:szCs w:val="12"/>
              </w:rPr>
              <w:t>20373,732</w:t>
            </w:r>
          </w:p>
        </w:tc>
        <w:tc>
          <w:tcPr>
            <w:tcW w:w="222" w:type="pct"/>
            <w:gridSpan w:val="2"/>
            <w:shd w:val="clear" w:color="auto" w:fill="auto"/>
            <w:tcMar>
              <w:left w:w="17" w:type="dxa"/>
              <w:right w:w="17" w:type="dxa"/>
            </w:tcMar>
            <w:vAlign w:val="center"/>
          </w:tcPr>
          <w:p w14:paraId="5910B008" w14:textId="77777777" w:rsidR="001C56BD" w:rsidRPr="00305460" w:rsidRDefault="001C56BD" w:rsidP="008A5C11">
            <w:pPr>
              <w:jc w:val="center"/>
              <w:rPr>
                <w:sz w:val="12"/>
                <w:szCs w:val="12"/>
              </w:rPr>
            </w:pPr>
            <w:r w:rsidRPr="00305460">
              <w:rPr>
                <w:sz w:val="12"/>
                <w:szCs w:val="12"/>
              </w:rPr>
              <w:t>0,000</w:t>
            </w:r>
          </w:p>
        </w:tc>
        <w:tc>
          <w:tcPr>
            <w:tcW w:w="213" w:type="pct"/>
            <w:shd w:val="clear" w:color="auto" w:fill="auto"/>
            <w:tcMar>
              <w:left w:w="17" w:type="dxa"/>
              <w:right w:w="17" w:type="dxa"/>
            </w:tcMar>
            <w:vAlign w:val="center"/>
          </w:tcPr>
          <w:p w14:paraId="703E04D6"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164C6F18"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0D4EAE2F" w14:textId="77777777" w:rsidR="001C56BD" w:rsidRPr="00305460" w:rsidRDefault="001C56BD" w:rsidP="008A5C11">
            <w:pPr>
              <w:jc w:val="center"/>
              <w:rPr>
                <w:sz w:val="12"/>
                <w:szCs w:val="12"/>
              </w:rPr>
            </w:pPr>
            <w:r w:rsidRPr="00305460">
              <w:rPr>
                <w:sz w:val="12"/>
                <w:szCs w:val="12"/>
              </w:rPr>
              <w:t>13022,760</w:t>
            </w:r>
          </w:p>
        </w:tc>
        <w:tc>
          <w:tcPr>
            <w:tcW w:w="218" w:type="pct"/>
            <w:shd w:val="clear" w:color="auto" w:fill="auto"/>
            <w:tcMar>
              <w:left w:w="17" w:type="dxa"/>
              <w:right w:w="17" w:type="dxa"/>
            </w:tcMar>
            <w:vAlign w:val="center"/>
          </w:tcPr>
          <w:p w14:paraId="1E7CF8F9" w14:textId="77777777" w:rsidR="001C56BD" w:rsidRPr="00305460" w:rsidRDefault="001C56BD" w:rsidP="008A5C11">
            <w:pPr>
              <w:jc w:val="center"/>
              <w:rPr>
                <w:sz w:val="12"/>
                <w:szCs w:val="12"/>
              </w:rPr>
            </w:pPr>
            <w:r w:rsidRPr="00305460">
              <w:rPr>
                <w:sz w:val="12"/>
                <w:szCs w:val="12"/>
              </w:rPr>
              <w:t>0,000</w:t>
            </w:r>
          </w:p>
        </w:tc>
        <w:tc>
          <w:tcPr>
            <w:tcW w:w="218" w:type="pct"/>
            <w:gridSpan w:val="2"/>
            <w:shd w:val="clear" w:color="auto" w:fill="auto"/>
            <w:tcMar>
              <w:left w:w="17" w:type="dxa"/>
              <w:right w:w="17" w:type="dxa"/>
            </w:tcMar>
            <w:vAlign w:val="center"/>
          </w:tcPr>
          <w:p w14:paraId="3B682F44" w14:textId="77777777" w:rsidR="001C56BD" w:rsidRPr="00305460" w:rsidRDefault="001C56BD" w:rsidP="008A5C11">
            <w:pPr>
              <w:jc w:val="center"/>
              <w:rPr>
                <w:sz w:val="12"/>
                <w:szCs w:val="12"/>
              </w:rPr>
            </w:pPr>
            <w:r w:rsidRPr="00305460">
              <w:rPr>
                <w:sz w:val="12"/>
                <w:szCs w:val="12"/>
              </w:rPr>
              <w:t>0,000</w:t>
            </w:r>
          </w:p>
        </w:tc>
        <w:tc>
          <w:tcPr>
            <w:tcW w:w="172" w:type="pct"/>
            <w:gridSpan w:val="2"/>
            <w:shd w:val="clear" w:color="auto" w:fill="auto"/>
            <w:tcMar>
              <w:left w:w="17" w:type="dxa"/>
              <w:right w:w="17" w:type="dxa"/>
            </w:tcMar>
            <w:vAlign w:val="center"/>
          </w:tcPr>
          <w:p w14:paraId="26EA1022" w14:textId="77777777" w:rsidR="001C56BD" w:rsidRPr="00305460" w:rsidRDefault="001C56BD" w:rsidP="008A5C11">
            <w:pPr>
              <w:jc w:val="center"/>
              <w:rPr>
                <w:sz w:val="12"/>
                <w:szCs w:val="12"/>
              </w:rPr>
            </w:pPr>
            <w:r w:rsidRPr="00305460">
              <w:rPr>
                <w:sz w:val="12"/>
                <w:szCs w:val="12"/>
              </w:rPr>
              <w:t>0,000</w:t>
            </w:r>
          </w:p>
        </w:tc>
        <w:tc>
          <w:tcPr>
            <w:tcW w:w="219" w:type="pct"/>
            <w:shd w:val="clear" w:color="auto" w:fill="auto"/>
            <w:tcMar>
              <w:left w:w="17" w:type="dxa"/>
              <w:right w:w="17" w:type="dxa"/>
            </w:tcMar>
            <w:vAlign w:val="center"/>
          </w:tcPr>
          <w:p w14:paraId="7C79A650" w14:textId="77777777" w:rsidR="001C56BD" w:rsidRPr="00305460" w:rsidRDefault="001C56BD" w:rsidP="008A5C11">
            <w:pPr>
              <w:jc w:val="center"/>
              <w:rPr>
                <w:sz w:val="12"/>
                <w:szCs w:val="12"/>
              </w:rPr>
            </w:pPr>
            <w:r w:rsidRPr="00305460">
              <w:rPr>
                <w:sz w:val="12"/>
                <w:szCs w:val="12"/>
              </w:rPr>
              <w:t>0,000</w:t>
            </w:r>
          </w:p>
        </w:tc>
        <w:tc>
          <w:tcPr>
            <w:tcW w:w="174" w:type="pct"/>
            <w:shd w:val="clear" w:color="auto" w:fill="auto"/>
            <w:tcMar>
              <w:left w:w="17" w:type="dxa"/>
              <w:right w:w="17" w:type="dxa"/>
            </w:tcMar>
            <w:vAlign w:val="center"/>
          </w:tcPr>
          <w:p w14:paraId="61EE5395" w14:textId="77777777" w:rsidR="001C56BD" w:rsidRPr="00305460" w:rsidRDefault="001C56BD" w:rsidP="008A5C11">
            <w:pPr>
              <w:jc w:val="center"/>
              <w:rPr>
                <w:sz w:val="12"/>
                <w:szCs w:val="12"/>
              </w:rPr>
            </w:pPr>
            <w:r w:rsidRPr="00305460">
              <w:rPr>
                <w:sz w:val="12"/>
                <w:szCs w:val="12"/>
              </w:rPr>
              <w:t>0,000</w:t>
            </w:r>
          </w:p>
        </w:tc>
        <w:tc>
          <w:tcPr>
            <w:tcW w:w="176" w:type="pct"/>
            <w:shd w:val="clear" w:color="auto" w:fill="auto"/>
            <w:tcMar>
              <w:left w:w="17" w:type="dxa"/>
              <w:right w:w="17" w:type="dxa"/>
            </w:tcMar>
            <w:vAlign w:val="center"/>
          </w:tcPr>
          <w:p w14:paraId="0F09532C" w14:textId="77777777" w:rsidR="001C56BD" w:rsidRPr="00305460" w:rsidRDefault="001C56BD" w:rsidP="008A5C11">
            <w:pPr>
              <w:jc w:val="center"/>
              <w:rPr>
                <w:sz w:val="12"/>
                <w:szCs w:val="12"/>
              </w:rPr>
            </w:pPr>
            <w:r w:rsidRPr="00305460">
              <w:rPr>
                <w:sz w:val="12"/>
                <w:szCs w:val="12"/>
              </w:rPr>
              <w:t>0,000</w:t>
            </w:r>
          </w:p>
        </w:tc>
      </w:tr>
      <w:tr w:rsidR="001C56BD" w:rsidRPr="00305460" w14:paraId="1CD62DB3" w14:textId="77777777" w:rsidTr="008A5C11">
        <w:trPr>
          <w:trHeight w:val="897"/>
        </w:trPr>
        <w:tc>
          <w:tcPr>
            <w:tcW w:w="86" w:type="pct"/>
            <w:shd w:val="clear" w:color="auto" w:fill="auto"/>
            <w:tcMar>
              <w:left w:w="17" w:type="dxa"/>
              <w:right w:w="17" w:type="dxa"/>
            </w:tcMar>
            <w:vAlign w:val="center"/>
          </w:tcPr>
          <w:p w14:paraId="6E516E37" w14:textId="77777777" w:rsidR="001C56BD" w:rsidRPr="00305460" w:rsidRDefault="001C56BD" w:rsidP="008A5C11">
            <w:pPr>
              <w:jc w:val="center"/>
              <w:rPr>
                <w:sz w:val="12"/>
                <w:szCs w:val="12"/>
              </w:rPr>
            </w:pPr>
            <w:r w:rsidRPr="00305460">
              <w:rPr>
                <w:sz w:val="12"/>
                <w:szCs w:val="12"/>
              </w:rPr>
              <w:t>3.1.31.</w:t>
            </w:r>
          </w:p>
        </w:tc>
        <w:tc>
          <w:tcPr>
            <w:tcW w:w="295" w:type="pct"/>
            <w:shd w:val="clear" w:color="auto" w:fill="auto"/>
            <w:tcMar>
              <w:left w:w="17" w:type="dxa"/>
              <w:right w:w="17" w:type="dxa"/>
            </w:tcMar>
            <w:vAlign w:val="center"/>
          </w:tcPr>
          <w:p w14:paraId="44FE1FA7" w14:textId="77777777" w:rsidR="001C56BD" w:rsidRPr="00305460" w:rsidRDefault="001C56BD" w:rsidP="008A5C11">
            <w:pPr>
              <w:rPr>
                <w:sz w:val="12"/>
                <w:szCs w:val="12"/>
              </w:rPr>
            </w:pPr>
            <w:r w:rsidRPr="00305460">
              <w:rPr>
                <w:color w:val="000000"/>
                <w:sz w:val="12"/>
                <w:szCs w:val="12"/>
              </w:rPr>
              <w:t>Реконструкция тепловой сети с реестровым номером</w:t>
            </w:r>
            <w:r w:rsidRPr="00305460">
              <w:rPr>
                <w:sz w:val="12"/>
                <w:szCs w:val="12"/>
              </w:rPr>
              <w:t xml:space="preserve"> 777390</w:t>
            </w:r>
          </w:p>
        </w:tc>
        <w:tc>
          <w:tcPr>
            <w:tcW w:w="307" w:type="pct"/>
            <w:shd w:val="clear" w:color="000000" w:fill="FFFFFF"/>
            <w:tcMar>
              <w:left w:w="17" w:type="dxa"/>
              <w:right w:w="17" w:type="dxa"/>
            </w:tcMar>
            <w:vAlign w:val="center"/>
          </w:tcPr>
          <w:p w14:paraId="64112441" w14:textId="77777777" w:rsidR="001C56BD" w:rsidRPr="00305460" w:rsidRDefault="001C56BD" w:rsidP="008A5C11">
            <w:pPr>
              <w:jc w:val="center"/>
              <w:rPr>
                <w:sz w:val="12"/>
                <w:szCs w:val="12"/>
              </w:rPr>
            </w:pPr>
            <w:r w:rsidRPr="00305460">
              <w:rPr>
                <w:color w:val="000000"/>
                <w:sz w:val="12"/>
                <w:szCs w:val="12"/>
              </w:rPr>
              <w:t>Повышение надежности услуг теплоснабжения, повышение энергетической эффективности</w:t>
            </w:r>
          </w:p>
        </w:tc>
        <w:tc>
          <w:tcPr>
            <w:tcW w:w="280" w:type="pct"/>
            <w:shd w:val="clear" w:color="auto" w:fill="auto"/>
            <w:tcMar>
              <w:left w:w="17" w:type="dxa"/>
              <w:right w:w="17" w:type="dxa"/>
            </w:tcMar>
            <w:vAlign w:val="center"/>
          </w:tcPr>
          <w:p w14:paraId="00A8C29C" w14:textId="77777777" w:rsidR="001C56BD" w:rsidRPr="00305460" w:rsidRDefault="001C56BD" w:rsidP="008A5C11">
            <w:pPr>
              <w:jc w:val="center"/>
              <w:rPr>
                <w:sz w:val="12"/>
                <w:szCs w:val="12"/>
              </w:rPr>
            </w:pPr>
            <w:r w:rsidRPr="00305460">
              <w:rPr>
                <w:sz w:val="12"/>
                <w:szCs w:val="12"/>
              </w:rPr>
              <w:t>Кемеровский городской округ, Заводский район, квартал № 59, в границах ул. Свободы, ул. Каменская, пр-т Молодежный</w:t>
            </w:r>
          </w:p>
        </w:tc>
        <w:tc>
          <w:tcPr>
            <w:tcW w:w="289" w:type="pct"/>
            <w:shd w:val="clear" w:color="auto" w:fill="auto"/>
            <w:tcMar>
              <w:left w:w="17" w:type="dxa"/>
              <w:right w:w="17" w:type="dxa"/>
            </w:tcMar>
            <w:vAlign w:val="center"/>
          </w:tcPr>
          <w:p w14:paraId="653E8AD9" w14:textId="77777777" w:rsidR="001C56BD" w:rsidRPr="00305460" w:rsidRDefault="001C56BD" w:rsidP="008A5C11">
            <w:pPr>
              <w:jc w:val="center"/>
              <w:rPr>
                <w:sz w:val="12"/>
                <w:szCs w:val="12"/>
              </w:rPr>
            </w:pPr>
            <w:r w:rsidRPr="00305460">
              <w:rPr>
                <w:color w:val="000000"/>
                <w:sz w:val="12"/>
                <w:szCs w:val="12"/>
              </w:rPr>
              <w:t>Технические характеристики</w:t>
            </w:r>
          </w:p>
        </w:tc>
        <w:tc>
          <w:tcPr>
            <w:tcW w:w="137" w:type="pct"/>
            <w:shd w:val="clear" w:color="auto" w:fill="auto"/>
            <w:tcMar>
              <w:left w:w="17" w:type="dxa"/>
              <w:right w:w="17" w:type="dxa"/>
            </w:tcMar>
            <w:vAlign w:val="center"/>
          </w:tcPr>
          <w:p w14:paraId="2B619F2B" w14:textId="77777777" w:rsidR="001C56BD" w:rsidRPr="00305460" w:rsidRDefault="001C56BD" w:rsidP="008A5C11">
            <w:pPr>
              <w:jc w:val="center"/>
              <w:rPr>
                <w:color w:val="000000"/>
                <w:sz w:val="12"/>
                <w:szCs w:val="12"/>
              </w:rPr>
            </w:pPr>
          </w:p>
        </w:tc>
        <w:tc>
          <w:tcPr>
            <w:tcW w:w="202" w:type="pct"/>
            <w:shd w:val="clear" w:color="auto" w:fill="auto"/>
            <w:tcMar>
              <w:left w:w="17" w:type="dxa"/>
              <w:right w:w="17" w:type="dxa"/>
            </w:tcMar>
            <w:vAlign w:val="center"/>
          </w:tcPr>
          <w:p w14:paraId="5B240EFC" w14:textId="77777777" w:rsidR="001C56BD" w:rsidRPr="00305460" w:rsidRDefault="001C56BD" w:rsidP="008A5C11">
            <w:pPr>
              <w:jc w:val="center"/>
              <w:rPr>
                <w:sz w:val="12"/>
                <w:szCs w:val="12"/>
              </w:rPr>
            </w:pPr>
            <w:r w:rsidRPr="00305460">
              <w:rPr>
                <w:sz w:val="12"/>
                <w:szCs w:val="12"/>
              </w:rPr>
              <w:t xml:space="preserve">Канал-ж/б лотки, опоры-хомутовые приварные, запорная арматура - стальная клиновая, антикоррозийная защита-лак БТ, труба-сталь 20, изоляция - мин. маты </w:t>
            </w:r>
          </w:p>
        </w:tc>
        <w:tc>
          <w:tcPr>
            <w:tcW w:w="244" w:type="pct"/>
            <w:shd w:val="clear" w:color="auto" w:fill="auto"/>
            <w:tcMar>
              <w:left w:w="17" w:type="dxa"/>
              <w:right w:w="17" w:type="dxa"/>
            </w:tcMar>
            <w:vAlign w:val="center"/>
          </w:tcPr>
          <w:p w14:paraId="115FB5A3" w14:textId="77777777" w:rsidR="001C56BD" w:rsidRPr="00305460" w:rsidRDefault="001C56BD" w:rsidP="008A5C11">
            <w:pPr>
              <w:jc w:val="center"/>
              <w:rPr>
                <w:sz w:val="12"/>
                <w:szCs w:val="12"/>
              </w:rPr>
            </w:pPr>
            <w:r w:rsidRPr="00305460">
              <w:rPr>
                <w:sz w:val="12"/>
                <w:szCs w:val="12"/>
              </w:rPr>
              <w:t xml:space="preserve">Канал-ж/б лотки, опоры-хомутовые с диэлектрической прокладкой, запорная арматура - кран шаровый, антикоррозийная защита-мастика Вектор 1214, 1025, труба-сталь 09Г2С, изоляция - маты прошивные, </w:t>
            </w:r>
            <w:proofErr w:type="gramStart"/>
            <w:r w:rsidRPr="00305460">
              <w:rPr>
                <w:sz w:val="12"/>
                <w:szCs w:val="12"/>
              </w:rPr>
              <w:t>стеклоплас-тик</w:t>
            </w:r>
            <w:proofErr w:type="gramEnd"/>
            <w:r w:rsidRPr="00305460">
              <w:rPr>
                <w:sz w:val="12"/>
                <w:szCs w:val="12"/>
              </w:rPr>
              <w:t xml:space="preserve">  </w:t>
            </w:r>
          </w:p>
        </w:tc>
        <w:tc>
          <w:tcPr>
            <w:tcW w:w="140" w:type="pct"/>
            <w:shd w:val="clear" w:color="auto" w:fill="auto"/>
            <w:tcMar>
              <w:left w:w="17" w:type="dxa"/>
              <w:right w:w="17" w:type="dxa"/>
            </w:tcMar>
            <w:vAlign w:val="center"/>
          </w:tcPr>
          <w:p w14:paraId="1FC7EAC2" w14:textId="77777777" w:rsidR="001C56BD" w:rsidRPr="00305460" w:rsidRDefault="001C56BD" w:rsidP="008A5C11">
            <w:pPr>
              <w:jc w:val="center"/>
              <w:rPr>
                <w:sz w:val="12"/>
                <w:szCs w:val="12"/>
              </w:rPr>
            </w:pPr>
            <w:r w:rsidRPr="00305460">
              <w:rPr>
                <w:sz w:val="12"/>
                <w:szCs w:val="12"/>
              </w:rPr>
              <w:t>2022</w:t>
            </w:r>
          </w:p>
        </w:tc>
        <w:tc>
          <w:tcPr>
            <w:tcW w:w="140" w:type="pct"/>
            <w:shd w:val="clear" w:color="auto" w:fill="auto"/>
            <w:tcMar>
              <w:left w:w="17" w:type="dxa"/>
              <w:right w:w="17" w:type="dxa"/>
            </w:tcMar>
            <w:vAlign w:val="center"/>
          </w:tcPr>
          <w:p w14:paraId="5385E553" w14:textId="77777777" w:rsidR="001C56BD" w:rsidRPr="00305460" w:rsidRDefault="001C56BD" w:rsidP="008A5C11">
            <w:pPr>
              <w:jc w:val="center"/>
              <w:rPr>
                <w:sz w:val="12"/>
                <w:szCs w:val="12"/>
              </w:rPr>
            </w:pPr>
            <w:r w:rsidRPr="00305460">
              <w:rPr>
                <w:sz w:val="12"/>
                <w:szCs w:val="12"/>
              </w:rPr>
              <w:t>2028</w:t>
            </w:r>
          </w:p>
        </w:tc>
        <w:tc>
          <w:tcPr>
            <w:tcW w:w="239" w:type="pct"/>
            <w:gridSpan w:val="3"/>
            <w:shd w:val="clear" w:color="auto" w:fill="auto"/>
            <w:tcMar>
              <w:left w:w="17" w:type="dxa"/>
              <w:right w:w="17" w:type="dxa"/>
            </w:tcMar>
            <w:vAlign w:val="center"/>
          </w:tcPr>
          <w:p w14:paraId="52BB7A9E" w14:textId="77777777" w:rsidR="001C56BD" w:rsidRPr="00305460" w:rsidRDefault="001C56BD" w:rsidP="008A5C11">
            <w:pPr>
              <w:jc w:val="center"/>
              <w:rPr>
                <w:sz w:val="12"/>
                <w:szCs w:val="12"/>
              </w:rPr>
            </w:pPr>
            <w:r w:rsidRPr="00305460">
              <w:rPr>
                <w:sz w:val="12"/>
                <w:szCs w:val="12"/>
              </w:rPr>
              <w:t>77331,552</w:t>
            </w:r>
          </w:p>
        </w:tc>
        <w:tc>
          <w:tcPr>
            <w:tcW w:w="196" w:type="pct"/>
            <w:gridSpan w:val="3"/>
            <w:shd w:val="clear" w:color="auto" w:fill="auto"/>
            <w:tcMar>
              <w:left w:w="17" w:type="dxa"/>
              <w:right w:w="17" w:type="dxa"/>
            </w:tcMar>
            <w:vAlign w:val="center"/>
          </w:tcPr>
          <w:p w14:paraId="7D5BD497" w14:textId="77777777" w:rsidR="001C56BD" w:rsidRPr="00305460" w:rsidRDefault="001C56BD" w:rsidP="008A5C11">
            <w:pPr>
              <w:jc w:val="center"/>
              <w:rPr>
                <w:sz w:val="12"/>
                <w:szCs w:val="12"/>
              </w:rPr>
            </w:pPr>
            <w:r w:rsidRPr="00305460">
              <w:rPr>
                <w:sz w:val="12"/>
                <w:szCs w:val="12"/>
              </w:rPr>
              <w:t>0,000</w:t>
            </w:r>
          </w:p>
        </w:tc>
        <w:tc>
          <w:tcPr>
            <w:tcW w:w="216" w:type="pct"/>
            <w:gridSpan w:val="3"/>
            <w:shd w:val="clear" w:color="auto" w:fill="auto"/>
            <w:tcMar>
              <w:left w:w="17" w:type="dxa"/>
              <w:right w:w="17" w:type="dxa"/>
            </w:tcMar>
            <w:vAlign w:val="center"/>
          </w:tcPr>
          <w:p w14:paraId="46F792DA" w14:textId="77777777" w:rsidR="001C56BD" w:rsidRPr="00305460" w:rsidRDefault="001C56BD" w:rsidP="008A5C11">
            <w:pPr>
              <w:jc w:val="center"/>
              <w:rPr>
                <w:sz w:val="12"/>
                <w:szCs w:val="12"/>
              </w:rPr>
            </w:pPr>
            <w:r w:rsidRPr="00305460">
              <w:rPr>
                <w:sz w:val="12"/>
                <w:szCs w:val="12"/>
              </w:rPr>
              <w:t>45941,160</w:t>
            </w:r>
          </w:p>
        </w:tc>
        <w:tc>
          <w:tcPr>
            <w:tcW w:w="179" w:type="pct"/>
            <w:gridSpan w:val="2"/>
            <w:shd w:val="clear" w:color="auto" w:fill="auto"/>
            <w:tcMar>
              <w:left w:w="17" w:type="dxa"/>
              <w:right w:w="17" w:type="dxa"/>
            </w:tcMar>
            <w:vAlign w:val="center"/>
          </w:tcPr>
          <w:p w14:paraId="22C9818D" w14:textId="77777777" w:rsidR="001C56BD" w:rsidRPr="00305460" w:rsidRDefault="001C56BD" w:rsidP="008A5C11">
            <w:pPr>
              <w:jc w:val="center"/>
              <w:rPr>
                <w:sz w:val="12"/>
                <w:szCs w:val="12"/>
              </w:rPr>
            </w:pPr>
            <w:r w:rsidRPr="00305460">
              <w:rPr>
                <w:sz w:val="12"/>
                <w:szCs w:val="12"/>
              </w:rPr>
              <w:t>0,000</w:t>
            </w:r>
          </w:p>
        </w:tc>
        <w:tc>
          <w:tcPr>
            <w:tcW w:w="222" w:type="pct"/>
            <w:gridSpan w:val="2"/>
            <w:shd w:val="clear" w:color="auto" w:fill="auto"/>
            <w:tcMar>
              <w:left w:w="17" w:type="dxa"/>
              <w:right w:w="17" w:type="dxa"/>
            </w:tcMar>
            <w:vAlign w:val="center"/>
          </w:tcPr>
          <w:p w14:paraId="277BB539" w14:textId="77777777" w:rsidR="001C56BD" w:rsidRPr="00305460" w:rsidRDefault="001C56BD" w:rsidP="008A5C11">
            <w:pPr>
              <w:jc w:val="center"/>
              <w:rPr>
                <w:sz w:val="12"/>
                <w:szCs w:val="12"/>
              </w:rPr>
            </w:pPr>
            <w:r w:rsidRPr="00305460">
              <w:rPr>
                <w:sz w:val="12"/>
                <w:szCs w:val="12"/>
              </w:rPr>
              <w:t>19253,064</w:t>
            </w:r>
          </w:p>
        </w:tc>
        <w:tc>
          <w:tcPr>
            <w:tcW w:w="213" w:type="pct"/>
            <w:shd w:val="clear" w:color="auto" w:fill="auto"/>
            <w:tcMar>
              <w:left w:w="17" w:type="dxa"/>
              <w:right w:w="17" w:type="dxa"/>
            </w:tcMar>
            <w:vAlign w:val="center"/>
          </w:tcPr>
          <w:p w14:paraId="4FE40B9F"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7A9EAA46"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33F745A1"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3036F141" w14:textId="77777777" w:rsidR="001C56BD" w:rsidRPr="00305460" w:rsidRDefault="001C56BD" w:rsidP="008A5C11">
            <w:pPr>
              <w:jc w:val="center"/>
              <w:rPr>
                <w:sz w:val="12"/>
                <w:szCs w:val="12"/>
              </w:rPr>
            </w:pPr>
            <w:r w:rsidRPr="00305460">
              <w:rPr>
                <w:sz w:val="12"/>
                <w:szCs w:val="12"/>
              </w:rPr>
              <w:t>12137,328</w:t>
            </w:r>
          </w:p>
        </w:tc>
        <w:tc>
          <w:tcPr>
            <w:tcW w:w="218" w:type="pct"/>
            <w:gridSpan w:val="2"/>
            <w:shd w:val="clear" w:color="auto" w:fill="auto"/>
            <w:tcMar>
              <w:left w:w="17" w:type="dxa"/>
              <w:right w:w="17" w:type="dxa"/>
            </w:tcMar>
            <w:vAlign w:val="center"/>
          </w:tcPr>
          <w:p w14:paraId="46D21431" w14:textId="77777777" w:rsidR="001C56BD" w:rsidRPr="00305460" w:rsidRDefault="001C56BD" w:rsidP="008A5C11">
            <w:pPr>
              <w:jc w:val="center"/>
              <w:rPr>
                <w:sz w:val="12"/>
                <w:szCs w:val="12"/>
              </w:rPr>
            </w:pPr>
            <w:r w:rsidRPr="00305460">
              <w:rPr>
                <w:sz w:val="12"/>
                <w:szCs w:val="12"/>
              </w:rPr>
              <w:t>0,000</w:t>
            </w:r>
          </w:p>
        </w:tc>
        <w:tc>
          <w:tcPr>
            <w:tcW w:w="172" w:type="pct"/>
            <w:gridSpan w:val="2"/>
            <w:shd w:val="clear" w:color="auto" w:fill="auto"/>
            <w:tcMar>
              <w:left w:w="17" w:type="dxa"/>
              <w:right w:w="17" w:type="dxa"/>
            </w:tcMar>
            <w:vAlign w:val="center"/>
          </w:tcPr>
          <w:p w14:paraId="045D83E1" w14:textId="77777777" w:rsidR="001C56BD" w:rsidRPr="00305460" w:rsidRDefault="001C56BD" w:rsidP="008A5C11">
            <w:pPr>
              <w:jc w:val="center"/>
              <w:rPr>
                <w:sz w:val="12"/>
                <w:szCs w:val="12"/>
              </w:rPr>
            </w:pPr>
            <w:r w:rsidRPr="00305460">
              <w:rPr>
                <w:sz w:val="12"/>
                <w:szCs w:val="12"/>
              </w:rPr>
              <w:t>0,000</w:t>
            </w:r>
          </w:p>
        </w:tc>
        <w:tc>
          <w:tcPr>
            <w:tcW w:w="219" w:type="pct"/>
            <w:shd w:val="clear" w:color="auto" w:fill="auto"/>
            <w:tcMar>
              <w:left w:w="17" w:type="dxa"/>
              <w:right w:w="17" w:type="dxa"/>
            </w:tcMar>
            <w:vAlign w:val="center"/>
          </w:tcPr>
          <w:p w14:paraId="12990DAE" w14:textId="77777777" w:rsidR="001C56BD" w:rsidRPr="00305460" w:rsidRDefault="001C56BD" w:rsidP="008A5C11">
            <w:pPr>
              <w:jc w:val="center"/>
              <w:rPr>
                <w:sz w:val="12"/>
                <w:szCs w:val="12"/>
              </w:rPr>
            </w:pPr>
            <w:r w:rsidRPr="00305460">
              <w:rPr>
                <w:sz w:val="12"/>
                <w:szCs w:val="12"/>
              </w:rPr>
              <w:t>0,000</w:t>
            </w:r>
          </w:p>
        </w:tc>
        <w:tc>
          <w:tcPr>
            <w:tcW w:w="174" w:type="pct"/>
            <w:shd w:val="clear" w:color="auto" w:fill="auto"/>
            <w:tcMar>
              <w:left w:w="17" w:type="dxa"/>
              <w:right w:w="17" w:type="dxa"/>
            </w:tcMar>
            <w:vAlign w:val="center"/>
          </w:tcPr>
          <w:p w14:paraId="14AE95DE" w14:textId="77777777" w:rsidR="001C56BD" w:rsidRPr="00305460" w:rsidRDefault="001C56BD" w:rsidP="008A5C11">
            <w:pPr>
              <w:jc w:val="center"/>
              <w:rPr>
                <w:sz w:val="12"/>
                <w:szCs w:val="12"/>
              </w:rPr>
            </w:pPr>
            <w:r w:rsidRPr="00305460">
              <w:rPr>
                <w:sz w:val="12"/>
                <w:szCs w:val="12"/>
              </w:rPr>
              <w:t>0,000</w:t>
            </w:r>
          </w:p>
        </w:tc>
        <w:tc>
          <w:tcPr>
            <w:tcW w:w="176" w:type="pct"/>
            <w:shd w:val="clear" w:color="auto" w:fill="auto"/>
            <w:tcMar>
              <w:left w:w="17" w:type="dxa"/>
              <w:right w:w="17" w:type="dxa"/>
            </w:tcMar>
            <w:vAlign w:val="center"/>
          </w:tcPr>
          <w:p w14:paraId="08B82E55" w14:textId="77777777" w:rsidR="001C56BD" w:rsidRPr="00305460" w:rsidRDefault="001C56BD" w:rsidP="008A5C11">
            <w:pPr>
              <w:jc w:val="center"/>
              <w:rPr>
                <w:sz w:val="12"/>
                <w:szCs w:val="12"/>
              </w:rPr>
            </w:pPr>
            <w:r w:rsidRPr="00305460">
              <w:rPr>
                <w:sz w:val="12"/>
                <w:szCs w:val="12"/>
              </w:rPr>
              <w:t>0,000</w:t>
            </w:r>
          </w:p>
        </w:tc>
      </w:tr>
      <w:tr w:rsidR="001C56BD" w:rsidRPr="00305460" w14:paraId="63591AC3" w14:textId="77777777" w:rsidTr="008A5C11">
        <w:trPr>
          <w:trHeight w:val="897"/>
        </w:trPr>
        <w:tc>
          <w:tcPr>
            <w:tcW w:w="86" w:type="pct"/>
            <w:shd w:val="clear" w:color="auto" w:fill="auto"/>
            <w:tcMar>
              <w:left w:w="17" w:type="dxa"/>
              <w:right w:w="17" w:type="dxa"/>
            </w:tcMar>
            <w:vAlign w:val="center"/>
          </w:tcPr>
          <w:p w14:paraId="5FA3F60E" w14:textId="77777777" w:rsidR="001C56BD" w:rsidRPr="00305460" w:rsidRDefault="001C56BD" w:rsidP="008A5C11">
            <w:pPr>
              <w:jc w:val="center"/>
              <w:rPr>
                <w:bCs/>
                <w:sz w:val="12"/>
                <w:szCs w:val="12"/>
              </w:rPr>
            </w:pPr>
            <w:r w:rsidRPr="00305460">
              <w:rPr>
                <w:bCs/>
                <w:sz w:val="12"/>
                <w:szCs w:val="12"/>
              </w:rPr>
              <w:t>1</w:t>
            </w:r>
          </w:p>
        </w:tc>
        <w:tc>
          <w:tcPr>
            <w:tcW w:w="295" w:type="pct"/>
            <w:shd w:val="clear" w:color="auto" w:fill="auto"/>
            <w:tcMar>
              <w:left w:w="17" w:type="dxa"/>
              <w:right w:w="17" w:type="dxa"/>
            </w:tcMar>
            <w:vAlign w:val="center"/>
          </w:tcPr>
          <w:p w14:paraId="3023629C" w14:textId="77777777" w:rsidR="001C56BD" w:rsidRPr="00305460" w:rsidRDefault="001C56BD" w:rsidP="008A5C11">
            <w:pPr>
              <w:jc w:val="center"/>
              <w:rPr>
                <w:bCs/>
                <w:sz w:val="12"/>
                <w:szCs w:val="12"/>
              </w:rPr>
            </w:pPr>
            <w:r w:rsidRPr="00305460">
              <w:rPr>
                <w:bCs/>
                <w:sz w:val="12"/>
                <w:szCs w:val="12"/>
              </w:rPr>
              <w:t>2</w:t>
            </w:r>
          </w:p>
        </w:tc>
        <w:tc>
          <w:tcPr>
            <w:tcW w:w="307" w:type="pct"/>
            <w:shd w:val="clear" w:color="auto" w:fill="auto"/>
            <w:tcMar>
              <w:left w:w="17" w:type="dxa"/>
              <w:right w:w="17" w:type="dxa"/>
            </w:tcMar>
            <w:vAlign w:val="center"/>
          </w:tcPr>
          <w:p w14:paraId="588AC73F" w14:textId="77777777" w:rsidR="001C56BD" w:rsidRPr="00305460" w:rsidRDefault="001C56BD" w:rsidP="008A5C11">
            <w:pPr>
              <w:jc w:val="center"/>
              <w:rPr>
                <w:bCs/>
                <w:sz w:val="12"/>
                <w:szCs w:val="12"/>
              </w:rPr>
            </w:pPr>
            <w:r w:rsidRPr="00305460">
              <w:rPr>
                <w:bCs/>
                <w:sz w:val="12"/>
                <w:szCs w:val="12"/>
              </w:rPr>
              <w:t>3</w:t>
            </w:r>
          </w:p>
        </w:tc>
        <w:tc>
          <w:tcPr>
            <w:tcW w:w="280" w:type="pct"/>
            <w:shd w:val="clear" w:color="auto" w:fill="auto"/>
            <w:tcMar>
              <w:left w:w="17" w:type="dxa"/>
              <w:right w:w="17" w:type="dxa"/>
            </w:tcMar>
            <w:vAlign w:val="center"/>
          </w:tcPr>
          <w:p w14:paraId="5F0AAE27" w14:textId="77777777" w:rsidR="001C56BD" w:rsidRPr="00305460" w:rsidRDefault="001C56BD" w:rsidP="008A5C11">
            <w:pPr>
              <w:jc w:val="center"/>
              <w:rPr>
                <w:bCs/>
                <w:sz w:val="12"/>
                <w:szCs w:val="12"/>
              </w:rPr>
            </w:pPr>
            <w:r w:rsidRPr="00305460">
              <w:rPr>
                <w:bCs/>
                <w:sz w:val="12"/>
                <w:szCs w:val="12"/>
              </w:rPr>
              <w:t>4</w:t>
            </w:r>
          </w:p>
        </w:tc>
        <w:tc>
          <w:tcPr>
            <w:tcW w:w="289" w:type="pct"/>
            <w:shd w:val="clear" w:color="auto" w:fill="auto"/>
            <w:tcMar>
              <w:left w:w="17" w:type="dxa"/>
              <w:right w:w="17" w:type="dxa"/>
            </w:tcMar>
            <w:vAlign w:val="center"/>
          </w:tcPr>
          <w:p w14:paraId="37C7E815" w14:textId="77777777" w:rsidR="001C56BD" w:rsidRPr="00305460" w:rsidRDefault="001C56BD" w:rsidP="008A5C11">
            <w:pPr>
              <w:jc w:val="center"/>
              <w:rPr>
                <w:bCs/>
                <w:sz w:val="12"/>
                <w:szCs w:val="12"/>
              </w:rPr>
            </w:pPr>
            <w:r w:rsidRPr="00305460">
              <w:rPr>
                <w:bCs/>
                <w:sz w:val="12"/>
                <w:szCs w:val="12"/>
              </w:rPr>
              <w:t>5</w:t>
            </w:r>
          </w:p>
        </w:tc>
        <w:tc>
          <w:tcPr>
            <w:tcW w:w="137" w:type="pct"/>
            <w:shd w:val="clear" w:color="auto" w:fill="auto"/>
            <w:tcMar>
              <w:left w:w="17" w:type="dxa"/>
              <w:right w:w="17" w:type="dxa"/>
            </w:tcMar>
            <w:vAlign w:val="center"/>
          </w:tcPr>
          <w:p w14:paraId="0B1F4646" w14:textId="77777777" w:rsidR="001C56BD" w:rsidRPr="00305460" w:rsidRDefault="001C56BD" w:rsidP="008A5C11">
            <w:pPr>
              <w:jc w:val="center"/>
              <w:rPr>
                <w:bCs/>
                <w:sz w:val="12"/>
                <w:szCs w:val="12"/>
              </w:rPr>
            </w:pPr>
            <w:r w:rsidRPr="00305460">
              <w:rPr>
                <w:bCs/>
                <w:sz w:val="12"/>
                <w:szCs w:val="12"/>
              </w:rPr>
              <w:t>6</w:t>
            </w:r>
          </w:p>
        </w:tc>
        <w:tc>
          <w:tcPr>
            <w:tcW w:w="202" w:type="pct"/>
            <w:shd w:val="clear" w:color="auto" w:fill="auto"/>
            <w:tcMar>
              <w:left w:w="17" w:type="dxa"/>
              <w:right w:w="17" w:type="dxa"/>
            </w:tcMar>
            <w:vAlign w:val="center"/>
          </w:tcPr>
          <w:p w14:paraId="49D79A56" w14:textId="77777777" w:rsidR="001C56BD" w:rsidRPr="00305460" w:rsidRDefault="001C56BD" w:rsidP="008A5C11">
            <w:pPr>
              <w:jc w:val="center"/>
              <w:rPr>
                <w:bCs/>
                <w:sz w:val="12"/>
                <w:szCs w:val="12"/>
              </w:rPr>
            </w:pPr>
            <w:r w:rsidRPr="00305460">
              <w:rPr>
                <w:bCs/>
                <w:sz w:val="12"/>
                <w:szCs w:val="12"/>
              </w:rPr>
              <w:t>7</w:t>
            </w:r>
          </w:p>
        </w:tc>
        <w:tc>
          <w:tcPr>
            <w:tcW w:w="244" w:type="pct"/>
            <w:shd w:val="clear" w:color="auto" w:fill="auto"/>
            <w:tcMar>
              <w:left w:w="17" w:type="dxa"/>
              <w:right w:w="17" w:type="dxa"/>
            </w:tcMar>
            <w:vAlign w:val="center"/>
          </w:tcPr>
          <w:p w14:paraId="6F48A3D7" w14:textId="77777777" w:rsidR="001C56BD" w:rsidRPr="00305460" w:rsidRDefault="001C56BD" w:rsidP="008A5C11">
            <w:pPr>
              <w:jc w:val="center"/>
              <w:rPr>
                <w:bCs/>
                <w:sz w:val="12"/>
                <w:szCs w:val="12"/>
              </w:rPr>
            </w:pPr>
            <w:r w:rsidRPr="00305460">
              <w:rPr>
                <w:bCs/>
                <w:sz w:val="12"/>
                <w:szCs w:val="12"/>
              </w:rPr>
              <w:t>8</w:t>
            </w:r>
          </w:p>
        </w:tc>
        <w:tc>
          <w:tcPr>
            <w:tcW w:w="140" w:type="pct"/>
            <w:shd w:val="clear" w:color="auto" w:fill="auto"/>
            <w:tcMar>
              <w:left w:w="17" w:type="dxa"/>
              <w:right w:w="17" w:type="dxa"/>
            </w:tcMar>
            <w:vAlign w:val="center"/>
          </w:tcPr>
          <w:p w14:paraId="50C25DB3" w14:textId="77777777" w:rsidR="001C56BD" w:rsidRPr="00305460" w:rsidRDefault="001C56BD" w:rsidP="008A5C11">
            <w:pPr>
              <w:jc w:val="center"/>
              <w:rPr>
                <w:bCs/>
                <w:sz w:val="12"/>
                <w:szCs w:val="12"/>
              </w:rPr>
            </w:pPr>
            <w:r w:rsidRPr="00305460">
              <w:rPr>
                <w:bCs/>
                <w:sz w:val="12"/>
                <w:szCs w:val="12"/>
              </w:rPr>
              <w:t>9</w:t>
            </w:r>
          </w:p>
        </w:tc>
        <w:tc>
          <w:tcPr>
            <w:tcW w:w="140" w:type="pct"/>
            <w:shd w:val="clear" w:color="auto" w:fill="auto"/>
            <w:tcMar>
              <w:left w:w="17" w:type="dxa"/>
              <w:right w:w="17" w:type="dxa"/>
            </w:tcMar>
            <w:vAlign w:val="center"/>
          </w:tcPr>
          <w:p w14:paraId="4B9179C3" w14:textId="77777777" w:rsidR="001C56BD" w:rsidRPr="00305460" w:rsidRDefault="001C56BD" w:rsidP="008A5C11">
            <w:pPr>
              <w:jc w:val="center"/>
              <w:rPr>
                <w:bCs/>
                <w:sz w:val="12"/>
                <w:szCs w:val="12"/>
              </w:rPr>
            </w:pPr>
            <w:r w:rsidRPr="00305460">
              <w:rPr>
                <w:bCs/>
                <w:sz w:val="12"/>
                <w:szCs w:val="12"/>
              </w:rPr>
              <w:t>10</w:t>
            </w:r>
          </w:p>
        </w:tc>
        <w:tc>
          <w:tcPr>
            <w:tcW w:w="239" w:type="pct"/>
            <w:gridSpan w:val="3"/>
            <w:shd w:val="clear" w:color="auto" w:fill="auto"/>
            <w:tcMar>
              <w:left w:w="17" w:type="dxa"/>
              <w:right w:w="17" w:type="dxa"/>
            </w:tcMar>
            <w:vAlign w:val="center"/>
          </w:tcPr>
          <w:p w14:paraId="26F91099" w14:textId="77777777" w:rsidR="001C56BD" w:rsidRPr="00305460" w:rsidRDefault="001C56BD" w:rsidP="008A5C11">
            <w:pPr>
              <w:jc w:val="center"/>
              <w:rPr>
                <w:bCs/>
                <w:sz w:val="12"/>
                <w:szCs w:val="12"/>
              </w:rPr>
            </w:pPr>
            <w:r w:rsidRPr="00305460">
              <w:rPr>
                <w:bCs/>
                <w:sz w:val="12"/>
                <w:szCs w:val="12"/>
              </w:rPr>
              <w:t>11</w:t>
            </w:r>
          </w:p>
        </w:tc>
        <w:tc>
          <w:tcPr>
            <w:tcW w:w="196" w:type="pct"/>
            <w:gridSpan w:val="3"/>
            <w:shd w:val="clear" w:color="auto" w:fill="auto"/>
            <w:tcMar>
              <w:left w:w="17" w:type="dxa"/>
              <w:right w:w="17" w:type="dxa"/>
            </w:tcMar>
            <w:vAlign w:val="center"/>
          </w:tcPr>
          <w:p w14:paraId="3BFE807E" w14:textId="77777777" w:rsidR="001C56BD" w:rsidRPr="00305460" w:rsidRDefault="001C56BD" w:rsidP="008A5C11">
            <w:pPr>
              <w:jc w:val="center"/>
              <w:rPr>
                <w:bCs/>
                <w:sz w:val="12"/>
                <w:szCs w:val="12"/>
              </w:rPr>
            </w:pPr>
            <w:r w:rsidRPr="00305460">
              <w:rPr>
                <w:bCs/>
                <w:sz w:val="12"/>
                <w:szCs w:val="12"/>
              </w:rPr>
              <w:t>12</w:t>
            </w:r>
          </w:p>
        </w:tc>
        <w:tc>
          <w:tcPr>
            <w:tcW w:w="216" w:type="pct"/>
            <w:gridSpan w:val="3"/>
            <w:shd w:val="clear" w:color="auto" w:fill="auto"/>
            <w:tcMar>
              <w:left w:w="17" w:type="dxa"/>
              <w:right w:w="17" w:type="dxa"/>
            </w:tcMar>
            <w:vAlign w:val="center"/>
          </w:tcPr>
          <w:p w14:paraId="2D94437B" w14:textId="77777777" w:rsidR="001C56BD" w:rsidRPr="00305460" w:rsidRDefault="001C56BD" w:rsidP="008A5C11">
            <w:pPr>
              <w:jc w:val="center"/>
              <w:rPr>
                <w:bCs/>
                <w:sz w:val="12"/>
                <w:szCs w:val="12"/>
              </w:rPr>
            </w:pPr>
            <w:r w:rsidRPr="00305460">
              <w:rPr>
                <w:bCs/>
                <w:sz w:val="12"/>
                <w:szCs w:val="12"/>
              </w:rPr>
              <w:t>13</w:t>
            </w:r>
          </w:p>
        </w:tc>
        <w:tc>
          <w:tcPr>
            <w:tcW w:w="179" w:type="pct"/>
            <w:gridSpan w:val="2"/>
            <w:shd w:val="clear" w:color="auto" w:fill="auto"/>
            <w:tcMar>
              <w:left w:w="17" w:type="dxa"/>
              <w:right w:w="17" w:type="dxa"/>
            </w:tcMar>
            <w:vAlign w:val="center"/>
          </w:tcPr>
          <w:p w14:paraId="2BED9A21" w14:textId="77777777" w:rsidR="001C56BD" w:rsidRPr="00305460" w:rsidRDefault="001C56BD" w:rsidP="008A5C11">
            <w:pPr>
              <w:jc w:val="center"/>
              <w:rPr>
                <w:bCs/>
                <w:sz w:val="12"/>
                <w:szCs w:val="12"/>
              </w:rPr>
            </w:pPr>
            <w:r w:rsidRPr="00305460">
              <w:rPr>
                <w:bCs/>
                <w:sz w:val="12"/>
                <w:szCs w:val="12"/>
              </w:rPr>
              <w:t>14</w:t>
            </w:r>
          </w:p>
        </w:tc>
        <w:tc>
          <w:tcPr>
            <w:tcW w:w="222" w:type="pct"/>
            <w:gridSpan w:val="2"/>
            <w:shd w:val="clear" w:color="auto" w:fill="auto"/>
            <w:tcMar>
              <w:left w:w="17" w:type="dxa"/>
              <w:right w:w="17" w:type="dxa"/>
            </w:tcMar>
            <w:vAlign w:val="center"/>
          </w:tcPr>
          <w:p w14:paraId="553EB2A9" w14:textId="77777777" w:rsidR="001C56BD" w:rsidRPr="00305460" w:rsidRDefault="001C56BD" w:rsidP="008A5C11">
            <w:pPr>
              <w:jc w:val="center"/>
              <w:rPr>
                <w:bCs/>
                <w:sz w:val="12"/>
                <w:szCs w:val="12"/>
              </w:rPr>
            </w:pPr>
            <w:r w:rsidRPr="00305460">
              <w:rPr>
                <w:bCs/>
                <w:sz w:val="12"/>
                <w:szCs w:val="12"/>
              </w:rPr>
              <w:t>15</w:t>
            </w:r>
          </w:p>
        </w:tc>
        <w:tc>
          <w:tcPr>
            <w:tcW w:w="213" w:type="pct"/>
            <w:tcMar>
              <w:left w:w="17" w:type="dxa"/>
              <w:right w:w="17" w:type="dxa"/>
            </w:tcMar>
            <w:vAlign w:val="center"/>
          </w:tcPr>
          <w:p w14:paraId="6158F2F5" w14:textId="77777777" w:rsidR="001C56BD" w:rsidRPr="00305460" w:rsidRDefault="001C56BD" w:rsidP="008A5C11">
            <w:pPr>
              <w:jc w:val="center"/>
              <w:rPr>
                <w:bCs/>
                <w:sz w:val="12"/>
                <w:szCs w:val="12"/>
              </w:rPr>
            </w:pPr>
            <w:r w:rsidRPr="00305460">
              <w:rPr>
                <w:bCs/>
                <w:sz w:val="12"/>
                <w:szCs w:val="12"/>
              </w:rPr>
              <w:t>16</w:t>
            </w:r>
          </w:p>
        </w:tc>
        <w:tc>
          <w:tcPr>
            <w:tcW w:w="218" w:type="pct"/>
            <w:tcMar>
              <w:left w:w="17" w:type="dxa"/>
              <w:right w:w="17" w:type="dxa"/>
            </w:tcMar>
            <w:vAlign w:val="center"/>
          </w:tcPr>
          <w:p w14:paraId="2C6D7A9F" w14:textId="77777777" w:rsidR="001C56BD" w:rsidRPr="00305460" w:rsidRDefault="001C56BD" w:rsidP="008A5C11">
            <w:pPr>
              <w:jc w:val="center"/>
              <w:rPr>
                <w:bCs/>
                <w:sz w:val="12"/>
                <w:szCs w:val="12"/>
              </w:rPr>
            </w:pPr>
            <w:r w:rsidRPr="00305460">
              <w:rPr>
                <w:bCs/>
                <w:sz w:val="12"/>
                <w:szCs w:val="12"/>
              </w:rPr>
              <w:t>17</w:t>
            </w:r>
          </w:p>
        </w:tc>
        <w:tc>
          <w:tcPr>
            <w:tcW w:w="218" w:type="pct"/>
            <w:tcMar>
              <w:left w:w="17" w:type="dxa"/>
              <w:right w:w="17" w:type="dxa"/>
            </w:tcMar>
            <w:vAlign w:val="center"/>
          </w:tcPr>
          <w:p w14:paraId="7F05E286" w14:textId="77777777" w:rsidR="001C56BD" w:rsidRPr="00305460" w:rsidRDefault="001C56BD" w:rsidP="008A5C11">
            <w:pPr>
              <w:jc w:val="center"/>
              <w:rPr>
                <w:bCs/>
                <w:sz w:val="12"/>
                <w:szCs w:val="12"/>
              </w:rPr>
            </w:pPr>
            <w:r w:rsidRPr="00305460">
              <w:rPr>
                <w:bCs/>
                <w:sz w:val="12"/>
                <w:szCs w:val="12"/>
              </w:rPr>
              <w:t>18</w:t>
            </w:r>
          </w:p>
        </w:tc>
        <w:tc>
          <w:tcPr>
            <w:tcW w:w="218" w:type="pct"/>
            <w:tcMar>
              <w:left w:w="17" w:type="dxa"/>
              <w:right w:w="17" w:type="dxa"/>
            </w:tcMar>
            <w:vAlign w:val="center"/>
          </w:tcPr>
          <w:p w14:paraId="1FD03ACC" w14:textId="77777777" w:rsidR="001C56BD" w:rsidRPr="00305460" w:rsidRDefault="001C56BD" w:rsidP="008A5C11">
            <w:pPr>
              <w:jc w:val="center"/>
              <w:rPr>
                <w:bCs/>
                <w:sz w:val="12"/>
                <w:szCs w:val="12"/>
              </w:rPr>
            </w:pPr>
            <w:r w:rsidRPr="00305460">
              <w:rPr>
                <w:bCs/>
                <w:sz w:val="12"/>
                <w:szCs w:val="12"/>
              </w:rPr>
              <w:t>19</w:t>
            </w:r>
          </w:p>
        </w:tc>
        <w:tc>
          <w:tcPr>
            <w:tcW w:w="218" w:type="pct"/>
            <w:gridSpan w:val="2"/>
            <w:tcMar>
              <w:left w:w="17" w:type="dxa"/>
              <w:right w:w="17" w:type="dxa"/>
            </w:tcMar>
            <w:vAlign w:val="center"/>
          </w:tcPr>
          <w:p w14:paraId="126C715D" w14:textId="77777777" w:rsidR="001C56BD" w:rsidRPr="00305460" w:rsidRDefault="001C56BD" w:rsidP="008A5C11">
            <w:pPr>
              <w:jc w:val="center"/>
              <w:rPr>
                <w:bCs/>
                <w:sz w:val="12"/>
                <w:szCs w:val="12"/>
              </w:rPr>
            </w:pPr>
            <w:r w:rsidRPr="00305460">
              <w:rPr>
                <w:bCs/>
                <w:sz w:val="12"/>
                <w:szCs w:val="12"/>
              </w:rPr>
              <w:t>20</w:t>
            </w:r>
          </w:p>
        </w:tc>
        <w:tc>
          <w:tcPr>
            <w:tcW w:w="172" w:type="pct"/>
            <w:gridSpan w:val="2"/>
            <w:tcMar>
              <w:left w:w="17" w:type="dxa"/>
              <w:right w:w="17" w:type="dxa"/>
            </w:tcMar>
            <w:vAlign w:val="center"/>
          </w:tcPr>
          <w:p w14:paraId="6545BAAD" w14:textId="77777777" w:rsidR="001C56BD" w:rsidRPr="00305460" w:rsidRDefault="001C56BD" w:rsidP="008A5C11">
            <w:pPr>
              <w:jc w:val="center"/>
              <w:rPr>
                <w:bCs/>
                <w:sz w:val="12"/>
                <w:szCs w:val="12"/>
              </w:rPr>
            </w:pPr>
            <w:r w:rsidRPr="00305460">
              <w:rPr>
                <w:bCs/>
                <w:sz w:val="12"/>
                <w:szCs w:val="12"/>
              </w:rPr>
              <w:t>21</w:t>
            </w:r>
          </w:p>
        </w:tc>
        <w:tc>
          <w:tcPr>
            <w:tcW w:w="219" w:type="pct"/>
            <w:tcMar>
              <w:left w:w="17" w:type="dxa"/>
              <w:right w:w="17" w:type="dxa"/>
            </w:tcMar>
            <w:vAlign w:val="center"/>
          </w:tcPr>
          <w:p w14:paraId="3F175A09" w14:textId="77777777" w:rsidR="001C56BD" w:rsidRPr="00305460" w:rsidRDefault="001C56BD" w:rsidP="008A5C11">
            <w:pPr>
              <w:jc w:val="center"/>
              <w:rPr>
                <w:bCs/>
                <w:sz w:val="12"/>
                <w:szCs w:val="12"/>
              </w:rPr>
            </w:pPr>
            <w:r w:rsidRPr="00305460">
              <w:rPr>
                <w:bCs/>
                <w:sz w:val="12"/>
                <w:szCs w:val="12"/>
              </w:rPr>
              <w:t>22</w:t>
            </w:r>
          </w:p>
        </w:tc>
        <w:tc>
          <w:tcPr>
            <w:tcW w:w="174" w:type="pct"/>
            <w:tcMar>
              <w:left w:w="17" w:type="dxa"/>
              <w:right w:w="17" w:type="dxa"/>
            </w:tcMar>
            <w:vAlign w:val="center"/>
          </w:tcPr>
          <w:p w14:paraId="7DE5E747" w14:textId="77777777" w:rsidR="001C56BD" w:rsidRPr="00305460" w:rsidRDefault="001C56BD" w:rsidP="008A5C11">
            <w:pPr>
              <w:jc w:val="center"/>
              <w:rPr>
                <w:bCs/>
                <w:sz w:val="12"/>
                <w:szCs w:val="12"/>
              </w:rPr>
            </w:pPr>
            <w:r w:rsidRPr="00305460">
              <w:rPr>
                <w:bCs/>
                <w:sz w:val="12"/>
                <w:szCs w:val="12"/>
              </w:rPr>
              <w:t>23</w:t>
            </w:r>
          </w:p>
        </w:tc>
        <w:tc>
          <w:tcPr>
            <w:tcW w:w="176" w:type="pct"/>
            <w:tcMar>
              <w:left w:w="17" w:type="dxa"/>
              <w:right w:w="17" w:type="dxa"/>
            </w:tcMar>
            <w:vAlign w:val="center"/>
          </w:tcPr>
          <w:p w14:paraId="77E69117" w14:textId="77777777" w:rsidR="001C56BD" w:rsidRPr="00305460" w:rsidRDefault="001C56BD" w:rsidP="008A5C11">
            <w:pPr>
              <w:jc w:val="center"/>
              <w:rPr>
                <w:bCs/>
                <w:sz w:val="12"/>
                <w:szCs w:val="12"/>
              </w:rPr>
            </w:pPr>
            <w:r w:rsidRPr="00305460">
              <w:rPr>
                <w:bCs/>
                <w:sz w:val="12"/>
                <w:szCs w:val="12"/>
              </w:rPr>
              <w:t>24</w:t>
            </w:r>
          </w:p>
        </w:tc>
      </w:tr>
      <w:tr w:rsidR="001C56BD" w:rsidRPr="00305460" w14:paraId="0FA96E76" w14:textId="77777777" w:rsidTr="008A5C11">
        <w:trPr>
          <w:trHeight w:val="897"/>
        </w:trPr>
        <w:tc>
          <w:tcPr>
            <w:tcW w:w="86" w:type="pct"/>
            <w:shd w:val="clear" w:color="auto" w:fill="auto"/>
            <w:tcMar>
              <w:left w:w="17" w:type="dxa"/>
              <w:right w:w="17" w:type="dxa"/>
            </w:tcMar>
            <w:vAlign w:val="center"/>
          </w:tcPr>
          <w:p w14:paraId="6C648AF8" w14:textId="77777777" w:rsidR="001C56BD" w:rsidRPr="00305460" w:rsidRDefault="001C56BD" w:rsidP="008A5C11">
            <w:pPr>
              <w:jc w:val="center"/>
              <w:rPr>
                <w:sz w:val="12"/>
                <w:szCs w:val="12"/>
              </w:rPr>
            </w:pPr>
            <w:r w:rsidRPr="00305460">
              <w:rPr>
                <w:sz w:val="12"/>
                <w:szCs w:val="12"/>
              </w:rPr>
              <w:t>3.1.32.</w:t>
            </w:r>
          </w:p>
        </w:tc>
        <w:tc>
          <w:tcPr>
            <w:tcW w:w="295" w:type="pct"/>
            <w:shd w:val="clear" w:color="auto" w:fill="auto"/>
            <w:tcMar>
              <w:left w:w="17" w:type="dxa"/>
              <w:right w:w="17" w:type="dxa"/>
            </w:tcMar>
            <w:vAlign w:val="center"/>
          </w:tcPr>
          <w:p w14:paraId="68344E04" w14:textId="77777777" w:rsidR="001C56BD" w:rsidRPr="00305460" w:rsidRDefault="001C56BD" w:rsidP="008A5C11">
            <w:pPr>
              <w:rPr>
                <w:sz w:val="12"/>
                <w:szCs w:val="12"/>
              </w:rPr>
            </w:pPr>
            <w:r w:rsidRPr="00305460">
              <w:rPr>
                <w:color w:val="000000"/>
                <w:sz w:val="12"/>
                <w:szCs w:val="12"/>
              </w:rPr>
              <w:t>Реконструкция тепловой сети с реестровым номером</w:t>
            </w:r>
            <w:r w:rsidRPr="00305460">
              <w:rPr>
                <w:sz w:val="12"/>
                <w:szCs w:val="12"/>
              </w:rPr>
              <w:t xml:space="preserve"> 777384</w:t>
            </w:r>
          </w:p>
        </w:tc>
        <w:tc>
          <w:tcPr>
            <w:tcW w:w="307" w:type="pct"/>
            <w:shd w:val="clear" w:color="000000" w:fill="FFFFFF"/>
            <w:tcMar>
              <w:left w:w="17" w:type="dxa"/>
              <w:right w:w="17" w:type="dxa"/>
            </w:tcMar>
            <w:vAlign w:val="center"/>
          </w:tcPr>
          <w:p w14:paraId="39A1EE75" w14:textId="77777777" w:rsidR="001C56BD" w:rsidRPr="00305460" w:rsidRDefault="001C56BD" w:rsidP="008A5C11">
            <w:pPr>
              <w:jc w:val="center"/>
              <w:rPr>
                <w:sz w:val="12"/>
                <w:szCs w:val="12"/>
              </w:rPr>
            </w:pPr>
            <w:r w:rsidRPr="00305460">
              <w:rPr>
                <w:color w:val="000000"/>
                <w:sz w:val="12"/>
                <w:szCs w:val="12"/>
              </w:rPr>
              <w:t>Повышение надежности услуг теплоснабжения, повышение энергетической эффективности</w:t>
            </w:r>
          </w:p>
        </w:tc>
        <w:tc>
          <w:tcPr>
            <w:tcW w:w="280" w:type="pct"/>
            <w:shd w:val="clear" w:color="auto" w:fill="auto"/>
            <w:tcMar>
              <w:left w:w="17" w:type="dxa"/>
              <w:right w:w="17" w:type="dxa"/>
            </w:tcMar>
            <w:vAlign w:val="center"/>
          </w:tcPr>
          <w:p w14:paraId="1445D3C6" w14:textId="77777777" w:rsidR="001C56BD" w:rsidRPr="00305460" w:rsidRDefault="001C56BD" w:rsidP="008A5C11">
            <w:pPr>
              <w:jc w:val="center"/>
              <w:rPr>
                <w:sz w:val="12"/>
                <w:szCs w:val="12"/>
              </w:rPr>
            </w:pPr>
            <w:r w:rsidRPr="00305460">
              <w:rPr>
                <w:sz w:val="12"/>
                <w:szCs w:val="12"/>
              </w:rPr>
              <w:t>Кемеровский городской округ, Заводский район, ул. Юрия Двужильного,2</w:t>
            </w:r>
          </w:p>
        </w:tc>
        <w:tc>
          <w:tcPr>
            <w:tcW w:w="289" w:type="pct"/>
            <w:shd w:val="clear" w:color="auto" w:fill="auto"/>
            <w:tcMar>
              <w:left w:w="17" w:type="dxa"/>
              <w:right w:w="17" w:type="dxa"/>
            </w:tcMar>
            <w:vAlign w:val="center"/>
          </w:tcPr>
          <w:p w14:paraId="55DA2187" w14:textId="77777777" w:rsidR="001C56BD" w:rsidRPr="00305460" w:rsidRDefault="001C56BD" w:rsidP="008A5C11">
            <w:pPr>
              <w:jc w:val="center"/>
              <w:rPr>
                <w:sz w:val="12"/>
                <w:szCs w:val="12"/>
              </w:rPr>
            </w:pPr>
            <w:r w:rsidRPr="00305460">
              <w:rPr>
                <w:color w:val="000000"/>
                <w:sz w:val="12"/>
                <w:szCs w:val="12"/>
              </w:rPr>
              <w:t>Технические характеристики</w:t>
            </w:r>
          </w:p>
        </w:tc>
        <w:tc>
          <w:tcPr>
            <w:tcW w:w="137" w:type="pct"/>
            <w:shd w:val="clear" w:color="auto" w:fill="auto"/>
            <w:tcMar>
              <w:left w:w="17" w:type="dxa"/>
              <w:right w:w="17" w:type="dxa"/>
            </w:tcMar>
            <w:vAlign w:val="center"/>
          </w:tcPr>
          <w:p w14:paraId="2C4526A3" w14:textId="77777777" w:rsidR="001C56BD" w:rsidRPr="00305460" w:rsidRDefault="001C56BD" w:rsidP="008A5C11">
            <w:pPr>
              <w:jc w:val="center"/>
              <w:rPr>
                <w:color w:val="000000"/>
                <w:sz w:val="12"/>
                <w:szCs w:val="12"/>
              </w:rPr>
            </w:pPr>
          </w:p>
        </w:tc>
        <w:tc>
          <w:tcPr>
            <w:tcW w:w="202" w:type="pct"/>
            <w:shd w:val="clear" w:color="auto" w:fill="auto"/>
            <w:tcMar>
              <w:left w:w="17" w:type="dxa"/>
              <w:right w:w="17" w:type="dxa"/>
            </w:tcMar>
            <w:vAlign w:val="center"/>
          </w:tcPr>
          <w:p w14:paraId="73E818F3" w14:textId="77777777" w:rsidR="001C56BD" w:rsidRPr="00305460" w:rsidRDefault="001C56BD" w:rsidP="008A5C11">
            <w:pPr>
              <w:jc w:val="center"/>
              <w:rPr>
                <w:sz w:val="12"/>
                <w:szCs w:val="12"/>
              </w:rPr>
            </w:pPr>
            <w:r w:rsidRPr="00305460">
              <w:rPr>
                <w:sz w:val="12"/>
                <w:szCs w:val="12"/>
              </w:rPr>
              <w:t xml:space="preserve">Канал-кирпич, опоры-хомутовые приварные, запорная арматура - стальная клиновая, антикоррозийная защита-лак БТ, труба-сталь 20, изоляция - мин. маты </w:t>
            </w:r>
          </w:p>
        </w:tc>
        <w:tc>
          <w:tcPr>
            <w:tcW w:w="244" w:type="pct"/>
            <w:shd w:val="clear" w:color="auto" w:fill="auto"/>
            <w:tcMar>
              <w:left w:w="17" w:type="dxa"/>
              <w:right w:w="17" w:type="dxa"/>
            </w:tcMar>
            <w:vAlign w:val="center"/>
          </w:tcPr>
          <w:p w14:paraId="2A120509" w14:textId="77777777" w:rsidR="001C56BD" w:rsidRPr="00305460" w:rsidRDefault="001C56BD" w:rsidP="008A5C11">
            <w:pPr>
              <w:jc w:val="center"/>
              <w:rPr>
                <w:sz w:val="12"/>
                <w:szCs w:val="12"/>
              </w:rPr>
            </w:pPr>
            <w:r w:rsidRPr="00305460">
              <w:rPr>
                <w:sz w:val="12"/>
                <w:szCs w:val="12"/>
              </w:rPr>
              <w:t xml:space="preserve">Канал-ж/б лотки, опоры-хомутовые с диэлектрической прокладкой, запорная арматура - кран шаровый, антикоррозийная защита-мастика Вектор 1214, 1025, труба-сталь 09Г2С, изоляция - маты прошивные, </w:t>
            </w:r>
            <w:proofErr w:type="gramStart"/>
            <w:r w:rsidRPr="00305460">
              <w:rPr>
                <w:sz w:val="12"/>
                <w:szCs w:val="12"/>
              </w:rPr>
              <w:t>стеклоплас-тик</w:t>
            </w:r>
            <w:proofErr w:type="gramEnd"/>
            <w:r w:rsidRPr="00305460">
              <w:rPr>
                <w:sz w:val="12"/>
                <w:szCs w:val="12"/>
              </w:rPr>
              <w:t xml:space="preserve">  </w:t>
            </w:r>
          </w:p>
        </w:tc>
        <w:tc>
          <w:tcPr>
            <w:tcW w:w="140" w:type="pct"/>
            <w:shd w:val="clear" w:color="auto" w:fill="auto"/>
            <w:tcMar>
              <w:left w:w="17" w:type="dxa"/>
              <w:right w:w="17" w:type="dxa"/>
            </w:tcMar>
            <w:vAlign w:val="center"/>
          </w:tcPr>
          <w:p w14:paraId="1057ED55" w14:textId="77777777" w:rsidR="001C56BD" w:rsidRPr="00305460" w:rsidRDefault="001C56BD" w:rsidP="008A5C11">
            <w:pPr>
              <w:jc w:val="center"/>
              <w:rPr>
                <w:sz w:val="12"/>
                <w:szCs w:val="12"/>
              </w:rPr>
            </w:pPr>
            <w:r w:rsidRPr="00305460">
              <w:rPr>
                <w:sz w:val="12"/>
                <w:szCs w:val="12"/>
              </w:rPr>
              <w:t>2027</w:t>
            </w:r>
          </w:p>
        </w:tc>
        <w:tc>
          <w:tcPr>
            <w:tcW w:w="140" w:type="pct"/>
            <w:shd w:val="clear" w:color="auto" w:fill="auto"/>
            <w:tcMar>
              <w:left w:w="17" w:type="dxa"/>
              <w:right w:w="17" w:type="dxa"/>
            </w:tcMar>
            <w:vAlign w:val="center"/>
          </w:tcPr>
          <w:p w14:paraId="18389F29" w14:textId="77777777" w:rsidR="001C56BD" w:rsidRPr="00305460" w:rsidRDefault="001C56BD" w:rsidP="008A5C11">
            <w:pPr>
              <w:jc w:val="center"/>
              <w:rPr>
                <w:sz w:val="12"/>
                <w:szCs w:val="12"/>
              </w:rPr>
            </w:pPr>
            <w:r w:rsidRPr="00305460">
              <w:rPr>
                <w:sz w:val="12"/>
                <w:szCs w:val="12"/>
              </w:rPr>
              <w:t>2027</w:t>
            </w:r>
          </w:p>
        </w:tc>
        <w:tc>
          <w:tcPr>
            <w:tcW w:w="239" w:type="pct"/>
            <w:gridSpan w:val="3"/>
            <w:shd w:val="clear" w:color="auto" w:fill="auto"/>
            <w:tcMar>
              <w:left w:w="17" w:type="dxa"/>
              <w:right w:w="17" w:type="dxa"/>
            </w:tcMar>
            <w:vAlign w:val="center"/>
          </w:tcPr>
          <w:p w14:paraId="4F3EB419" w14:textId="77777777" w:rsidR="001C56BD" w:rsidRPr="00305460" w:rsidRDefault="001C56BD" w:rsidP="008A5C11">
            <w:pPr>
              <w:jc w:val="center"/>
              <w:rPr>
                <w:sz w:val="12"/>
                <w:szCs w:val="12"/>
              </w:rPr>
            </w:pPr>
            <w:r w:rsidRPr="00305460">
              <w:rPr>
                <w:sz w:val="12"/>
                <w:szCs w:val="12"/>
              </w:rPr>
              <w:t>8251,800</w:t>
            </w:r>
          </w:p>
        </w:tc>
        <w:tc>
          <w:tcPr>
            <w:tcW w:w="196" w:type="pct"/>
            <w:gridSpan w:val="3"/>
            <w:shd w:val="clear" w:color="auto" w:fill="auto"/>
            <w:tcMar>
              <w:left w:w="17" w:type="dxa"/>
              <w:right w:w="17" w:type="dxa"/>
            </w:tcMar>
            <w:vAlign w:val="center"/>
          </w:tcPr>
          <w:p w14:paraId="338FF282" w14:textId="77777777" w:rsidR="001C56BD" w:rsidRPr="00305460" w:rsidRDefault="001C56BD" w:rsidP="008A5C11">
            <w:pPr>
              <w:jc w:val="center"/>
              <w:rPr>
                <w:sz w:val="12"/>
                <w:szCs w:val="12"/>
              </w:rPr>
            </w:pPr>
            <w:r w:rsidRPr="00305460">
              <w:rPr>
                <w:sz w:val="12"/>
                <w:szCs w:val="12"/>
              </w:rPr>
              <w:t>0,000</w:t>
            </w:r>
          </w:p>
        </w:tc>
        <w:tc>
          <w:tcPr>
            <w:tcW w:w="216" w:type="pct"/>
            <w:gridSpan w:val="3"/>
            <w:shd w:val="clear" w:color="auto" w:fill="auto"/>
            <w:tcMar>
              <w:left w:w="17" w:type="dxa"/>
              <w:right w:w="17" w:type="dxa"/>
            </w:tcMar>
            <w:vAlign w:val="center"/>
          </w:tcPr>
          <w:p w14:paraId="34572D62" w14:textId="77777777" w:rsidR="001C56BD" w:rsidRPr="00305460" w:rsidRDefault="001C56BD" w:rsidP="008A5C11">
            <w:pPr>
              <w:jc w:val="center"/>
              <w:rPr>
                <w:sz w:val="12"/>
                <w:szCs w:val="12"/>
              </w:rPr>
            </w:pPr>
            <w:r w:rsidRPr="00305460">
              <w:rPr>
                <w:sz w:val="12"/>
                <w:szCs w:val="12"/>
              </w:rPr>
              <w:t>0,000</w:t>
            </w:r>
          </w:p>
        </w:tc>
        <w:tc>
          <w:tcPr>
            <w:tcW w:w="179" w:type="pct"/>
            <w:gridSpan w:val="2"/>
            <w:shd w:val="clear" w:color="auto" w:fill="auto"/>
            <w:tcMar>
              <w:left w:w="17" w:type="dxa"/>
              <w:right w:w="17" w:type="dxa"/>
            </w:tcMar>
            <w:vAlign w:val="center"/>
          </w:tcPr>
          <w:p w14:paraId="0F74DF5F" w14:textId="77777777" w:rsidR="001C56BD" w:rsidRPr="00305460" w:rsidRDefault="001C56BD" w:rsidP="008A5C11">
            <w:pPr>
              <w:jc w:val="center"/>
              <w:rPr>
                <w:sz w:val="12"/>
                <w:szCs w:val="12"/>
              </w:rPr>
            </w:pPr>
            <w:r w:rsidRPr="00305460">
              <w:rPr>
                <w:sz w:val="12"/>
                <w:szCs w:val="12"/>
              </w:rPr>
              <w:t>0,000</w:t>
            </w:r>
          </w:p>
        </w:tc>
        <w:tc>
          <w:tcPr>
            <w:tcW w:w="222" w:type="pct"/>
            <w:gridSpan w:val="2"/>
            <w:shd w:val="clear" w:color="auto" w:fill="auto"/>
            <w:tcMar>
              <w:left w:w="17" w:type="dxa"/>
              <w:right w:w="17" w:type="dxa"/>
            </w:tcMar>
            <w:vAlign w:val="center"/>
          </w:tcPr>
          <w:p w14:paraId="11AA0007" w14:textId="77777777" w:rsidR="001C56BD" w:rsidRPr="00305460" w:rsidRDefault="001C56BD" w:rsidP="008A5C11">
            <w:pPr>
              <w:jc w:val="center"/>
              <w:rPr>
                <w:sz w:val="12"/>
                <w:szCs w:val="12"/>
              </w:rPr>
            </w:pPr>
            <w:r w:rsidRPr="00305460">
              <w:rPr>
                <w:sz w:val="12"/>
                <w:szCs w:val="12"/>
              </w:rPr>
              <w:t>0,000</w:t>
            </w:r>
          </w:p>
        </w:tc>
        <w:tc>
          <w:tcPr>
            <w:tcW w:w="213" w:type="pct"/>
            <w:shd w:val="clear" w:color="auto" w:fill="auto"/>
            <w:tcMar>
              <w:left w:w="17" w:type="dxa"/>
              <w:right w:w="17" w:type="dxa"/>
            </w:tcMar>
            <w:vAlign w:val="center"/>
          </w:tcPr>
          <w:p w14:paraId="41CFCF14"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5C48177E"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54BA25D2" w14:textId="77777777" w:rsidR="001C56BD" w:rsidRPr="00305460" w:rsidRDefault="001C56BD" w:rsidP="008A5C11">
            <w:pPr>
              <w:jc w:val="center"/>
              <w:rPr>
                <w:sz w:val="12"/>
                <w:szCs w:val="12"/>
              </w:rPr>
            </w:pPr>
            <w:r w:rsidRPr="00305460">
              <w:rPr>
                <w:sz w:val="12"/>
                <w:szCs w:val="12"/>
              </w:rPr>
              <w:t>8251,800</w:t>
            </w:r>
          </w:p>
        </w:tc>
        <w:tc>
          <w:tcPr>
            <w:tcW w:w="218" w:type="pct"/>
            <w:shd w:val="clear" w:color="auto" w:fill="auto"/>
            <w:tcMar>
              <w:left w:w="17" w:type="dxa"/>
              <w:right w:w="17" w:type="dxa"/>
            </w:tcMar>
            <w:vAlign w:val="center"/>
          </w:tcPr>
          <w:p w14:paraId="0449DC75" w14:textId="77777777" w:rsidR="001C56BD" w:rsidRPr="00305460" w:rsidRDefault="001C56BD" w:rsidP="008A5C11">
            <w:pPr>
              <w:jc w:val="center"/>
              <w:rPr>
                <w:sz w:val="12"/>
                <w:szCs w:val="12"/>
              </w:rPr>
            </w:pPr>
            <w:r w:rsidRPr="00305460">
              <w:rPr>
                <w:sz w:val="12"/>
                <w:szCs w:val="12"/>
              </w:rPr>
              <w:t>0,000</w:t>
            </w:r>
          </w:p>
        </w:tc>
        <w:tc>
          <w:tcPr>
            <w:tcW w:w="218" w:type="pct"/>
            <w:gridSpan w:val="2"/>
            <w:shd w:val="clear" w:color="auto" w:fill="auto"/>
            <w:tcMar>
              <w:left w:w="17" w:type="dxa"/>
              <w:right w:w="17" w:type="dxa"/>
            </w:tcMar>
            <w:vAlign w:val="center"/>
          </w:tcPr>
          <w:p w14:paraId="209B2EF3" w14:textId="77777777" w:rsidR="001C56BD" w:rsidRPr="00305460" w:rsidRDefault="001C56BD" w:rsidP="008A5C11">
            <w:pPr>
              <w:jc w:val="center"/>
              <w:rPr>
                <w:sz w:val="12"/>
                <w:szCs w:val="12"/>
              </w:rPr>
            </w:pPr>
            <w:r w:rsidRPr="00305460">
              <w:rPr>
                <w:sz w:val="12"/>
                <w:szCs w:val="12"/>
              </w:rPr>
              <w:t>0,000</w:t>
            </w:r>
          </w:p>
        </w:tc>
        <w:tc>
          <w:tcPr>
            <w:tcW w:w="172" w:type="pct"/>
            <w:gridSpan w:val="2"/>
            <w:shd w:val="clear" w:color="auto" w:fill="auto"/>
            <w:tcMar>
              <w:left w:w="17" w:type="dxa"/>
              <w:right w:w="17" w:type="dxa"/>
            </w:tcMar>
            <w:vAlign w:val="center"/>
          </w:tcPr>
          <w:p w14:paraId="7C64EDD3" w14:textId="77777777" w:rsidR="001C56BD" w:rsidRPr="00305460" w:rsidRDefault="001C56BD" w:rsidP="008A5C11">
            <w:pPr>
              <w:jc w:val="center"/>
              <w:rPr>
                <w:sz w:val="12"/>
                <w:szCs w:val="12"/>
              </w:rPr>
            </w:pPr>
            <w:r w:rsidRPr="00305460">
              <w:rPr>
                <w:sz w:val="12"/>
                <w:szCs w:val="12"/>
              </w:rPr>
              <w:t>0,000</w:t>
            </w:r>
          </w:p>
        </w:tc>
        <w:tc>
          <w:tcPr>
            <w:tcW w:w="219" w:type="pct"/>
            <w:shd w:val="clear" w:color="auto" w:fill="auto"/>
            <w:tcMar>
              <w:left w:w="17" w:type="dxa"/>
              <w:right w:w="17" w:type="dxa"/>
            </w:tcMar>
            <w:vAlign w:val="center"/>
          </w:tcPr>
          <w:p w14:paraId="4704B7C8" w14:textId="77777777" w:rsidR="001C56BD" w:rsidRPr="00305460" w:rsidRDefault="001C56BD" w:rsidP="008A5C11">
            <w:pPr>
              <w:jc w:val="center"/>
              <w:rPr>
                <w:sz w:val="12"/>
                <w:szCs w:val="12"/>
              </w:rPr>
            </w:pPr>
            <w:r w:rsidRPr="00305460">
              <w:rPr>
                <w:sz w:val="12"/>
                <w:szCs w:val="12"/>
              </w:rPr>
              <w:t>0,000</w:t>
            </w:r>
          </w:p>
        </w:tc>
        <w:tc>
          <w:tcPr>
            <w:tcW w:w="174" w:type="pct"/>
            <w:shd w:val="clear" w:color="auto" w:fill="auto"/>
            <w:tcMar>
              <w:left w:w="17" w:type="dxa"/>
              <w:right w:w="17" w:type="dxa"/>
            </w:tcMar>
            <w:vAlign w:val="center"/>
          </w:tcPr>
          <w:p w14:paraId="1B0B3E83" w14:textId="77777777" w:rsidR="001C56BD" w:rsidRPr="00305460" w:rsidRDefault="001C56BD" w:rsidP="008A5C11">
            <w:pPr>
              <w:jc w:val="center"/>
              <w:rPr>
                <w:sz w:val="12"/>
                <w:szCs w:val="12"/>
              </w:rPr>
            </w:pPr>
            <w:r w:rsidRPr="00305460">
              <w:rPr>
                <w:sz w:val="12"/>
                <w:szCs w:val="12"/>
              </w:rPr>
              <w:t>0,000</w:t>
            </w:r>
          </w:p>
        </w:tc>
        <w:tc>
          <w:tcPr>
            <w:tcW w:w="176" w:type="pct"/>
            <w:shd w:val="clear" w:color="auto" w:fill="auto"/>
            <w:tcMar>
              <w:left w:w="17" w:type="dxa"/>
              <w:right w:w="17" w:type="dxa"/>
            </w:tcMar>
            <w:vAlign w:val="center"/>
          </w:tcPr>
          <w:p w14:paraId="1969ECAD" w14:textId="77777777" w:rsidR="001C56BD" w:rsidRPr="00305460" w:rsidRDefault="001C56BD" w:rsidP="008A5C11">
            <w:pPr>
              <w:jc w:val="center"/>
              <w:rPr>
                <w:sz w:val="12"/>
                <w:szCs w:val="12"/>
              </w:rPr>
            </w:pPr>
            <w:r w:rsidRPr="00305460">
              <w:rPr>
                <w:sz w:val="12"/>
                <w:szCs w:val="12"/>
              </w:rPr>
              <w:t>0,000</w:t>
            </w:r>
          </w:p>
        </w:tc>
      </w:tr>
      <w:tr w:rsidR="001C56BD" w:rsidRPr="00305460" w14:paraId="66248CD7" w14:textId="77777777" w:rsidTr="008A5C11">
        <w:trPr>
          <w:trHeight w:val="897"/>
        </w:trPr>
        <w:tc>
          <w:tcPr>
            <w:tcW w:w="86" w:type="pct"/>
            <w:shd w:val="clear" w:color="auto" w:fill="auto"/>
            <w:tcMar>
              <w:left w:w="17" w:type="dxa"/>
              <w:right w:w="17" w:type="dxa"/>
            </w:tcMar>
            <w:vAlign w:val="center"/>
          </w:tcPr>
          <w:p w14:paraId="71FF4E86" w14:textId="77777777" w:rsidR="001C56BD" w:rsidRPr="00305460" w:rsidRDefault="001C56BD" w:rsidP="008A5C11">
            <w:pPr>
              <w:jc w:val="center"/>
              <w:rPr>
                <w:sz w:val="12"/>
                <w:szCs w:val="12"/>
              </w:rPr>
            </w:pPr>
            <w:r w:rsidRPr="00305460">
              <w:rPr>
                <w:sz w:val="12"/>
                <w:szCs w:val="12"/>
              </w:rPr>
              <w:t>3.1.33.</w:t>
            </w:r>
          </w:p>
        </w:tc>
        <w:tc>
          <w:tcPr>
            <w:tcW w:w="295" w:type="pct"/>
            <w:shd w:val="clear" w:color="auto" w:fill="auto"/>
            <w:tcMar>
              <w:left w:w="17" w:type="dxa"/>
              <w:right w:w="17" w:type="dxa"/>
            </w:tcMar>
            <w:vAlign w:val="center"/>
          </w:tcPr>
          <w:p w14:paraId="6A746A94" w14:textId="77777777" w:rsidR="001C56BD" w:rsidRPr="00305460" w:rsidRDefault="001C56BD" w:rsidP="008A5C11">
            <w:pPr>
              <w:rPr>
                <w:sz w:val="12"/>
                <w:szCs w:val="12"/>
              </w:rPr>
            </w:pPr>
            <w:r w:rsidRPr="00305460">
              <w:rPr>
                <w:color w:val="000000"/>
                <w:sz w:val="12"/>
                <w:szCs w:val="12"/>
              </w:rPr>
              <w:t>Реконструкция тепловой сети с реестровым номером</w:t>
            </w:r>
            <w:r w:rsidRPr="00305460">
              <w:rPr>
                <w:sz w:val="12"/>
                <w:szCs w:val="12"/>
              </w:rPr>
              <w:t xml:space="preserve"> 777402</w:t>
            </w:r>
          </w:p>
        </w:tc>
        <w:tc>
          <w:tcPr>
            <w:tcW w:w="307" w:type="pct"/>
            <w:shd w:val="clear" w:color="000000" w:fill="FFFFFF"/>
            <w:tcMar>
              <w:left w:w="17" w:type="dxa"/>
              <w:right w:w="17" w:type="dxa"/>
            </w:tcMar>
            <w:vAlign w:val="center"/>
          </w:tcPr>
          <w:p w14:paraId="0F29B25E" w14:textId="77777777" w:rsidR="001C56BD" w:rsidRPr="00305460" w:rsidRDefault="001C56BD" w:rsidP="008A5C11">
            <w:pPr>
              <w:jc w:val="center"/>
              <w:rPr>
                <w:sz w:val="12"/>
                <w:szCs w:val="12"/>
              </w:rPr>
            </w:pPr>
            <w:r w:rsidRPr="00305460">
              <w:rPr>
                <w:color w:val="000000"/>
                <w:sz w:val="12"/>
                <w:szCs w:val="12"/>
              </w:rPr>
              <w:t>Повышение надежности услуг теплоснабжения, повышение энергетической эффективности</w:t>
            </w:r>
          </w:p>
        </w:tc>
        <w:tc>
          <w:tcPr>
            <w:tcW w:w="280" w:type="pct"/>
            <w:shd w:val="clear" w:color="auto" w:fill="auto"/>
            <w:tcMar>
              <w:left w:w="17" w:type="dxa"/>
              <w:right w:w="17" w:type="dxa"/>
            </w:tcMar>
            <w:vAlign w:val="center"/>
          </w:tcPr>
          <w:p w14:paraId="4DAC8AA0" w14:textId="77777777" w:rsidR="001C56BD" w:rsidRPr="00305460" w:rsidRDefault="001C56BD" w:rsidP="008A5C11">
            <w:pPr>
              <w:jc w:val="center"/>
              <w:rPr>
                <w:sz w:val="12"/>
                <w:szCs w:val="12"/>
              </w:rPr>
            </w:pPr>
            <w:r w:rsidRPr="00305460">
              <w:rPr>
                <w:sz w:val="12"/>
                <w:szCs w:val="12"/>
              </w:rPr>
              <w:t>Кемеровский городской округ, Заводский район, квартал №53, ул. Сибиряков-Гвардейцев, ул. Пролетарская, ул. Федоровского, просп. Кузнецкий</w:t>
            </w:r>
          </w:p>
        </w:tc>
        <w:tc>
          <w:tcPr>
            <w:tcW w:w="289" w:type="pct"/>
            <w:shd w:val="clear" w:color="auto" w:fill="auto"/>
            <w:tcMar>
              <w:left w:w="17" w:type="dxa"/>
              <w:right w:w="17" w:type="dxa"/>
            </w:tcMar>
            <w:vAlign w:val="center"/>
          </w:tcPr>
          <w:p w14:paraId="6F4F0B17" w14:textId="77777777" w:rsidR="001C56BD" w:rsidRPr="00305460" w:rsidRDefault="001C56BD" w:rsidP="008A5C11">
            <w:pPr>
              <w:jc w:val="center"/>
              <w:rPr>
                <w:sz w:val="12"/>
                <w:szCs w:val="12"/>
              </w:rPr>
            </w:pPr>
            <w:r w:rsidRPr="00305460">
              <w:rPr>
                <w:color w:val="000000"/>
                <w:sz w:val="12"/>
                <w:szCs w:val="12"/>
              </w:rPr>
              <w:t>Технические характеристики</w:t>
            </w:r>
          </w:p>
        </w:tc>
        <w:tc>
          <w:tcPr>
            <w:tcW w:w="137" w:type="pct"/>
            <w:shd w:val="clear" w:color="auto" w:fill="auto"/>
            <w:tcMar>
              <w:left w:w="17" w:type="dxa"/>
              <w:right w:w="17" w:type="dxa"/>
            </w:tcMar>
            <w:vAlign w:val="center"/>
          </w:tcPr>
          <w:p w14:paraId="466971EF" w14:textId="77777777" w:rsidR="001C56BD" w:rsidRPr="00305460" w:rsidRDefault="001C56BD" w:rsidP="008A5C11">
            <w:pPr>
              <w:jc w:val="center"/>
              <w:rPr>
                <w:color w:val="000000"/>
                <w:sz w:val="12"/>
                <w:szCs w:val="12"/>
              </w:rPr>
            </w:pPr>
          </w:p>
        </w:tc>
        <w:tc>
          <w:tcPr>
            <w:tcW w:w="202" w:type="pct"/>
            <w:shd w:val="clear" w:color="auto" w:fill="auto"/>
            <w:tcMar>
              <w:left w:w="17" w:type="dxa"/>
              <w:right w:w="17" w:type="dxa"/>
            </w:tcMar>
            <w:vAlign w:val="center"/>
          </w:tcPr>
          <w:p w14:paraId="5644ABF9" w14:textId="77777777" w:rsidR="001C56BD" w:rsidRPr="00305460" w:rsidRDefault="001C56BD" w:rsidP="008A5C11">
            <w:pPr>
              <w:jc w:val="center"/>
              <w:rPr>
                <w:sz w:val="12"/>
                <w:szCs w:val="12"/>
              </w:rPr>
            </w:pPr>
            <w:r w:rsidRPr="00305460">
              <w:rPr>
                <w:sz w:val="12"/>
                <w:szCs w:val="12"/>
              </w:rPr>
              <w:t xml:space="preserve">Канал-кирпич, опоры-хомутовые </w:t>
            </w:r>
            <w:proofErr w:type="gramStart"/>
            <w:r w:rsidRPr="00305460">
              <w:rPr>
                <w:sz w:val="12"/>
                <w:szCs w:val="12"/>
              </w:rPr>
              <w:t>привар-ные</w:t>
            </w:r>
            <w:proofErr w:type="gramEnd"/>
            <w:r w:rsidRPr="00305460">
              <w:rPr>
                <w:sz w:val="12"/>
                <w:szCs w:val="12"/>
              </w:rPr>
              <w:t xml:space="preserve">, запорная арматура - стальная клиновая, антикоррозийная защита-лак БТ, труба-сталь 20, изоляция - мин. маты </w:t>
            </w:r>
          </w:p>
        </w:tc>
        <w:tc>
          <w:tcPr>
            <w:tcW w:w="244" w:type="pct"/>
            <w:shd w:val="clear" w:color="auto" w:fill="auto"/>
            <w:tcMar>
              <w:left w:w="17" w:type="dxa"/>
              <w:right w:w="17" w:type="dxa"/>
            </w:tcMar>
            <w:vAlign w:val="center"/>
          </w:tcPr>
          <w:p w14:paraId="23865A9B" w14:textId="77777777" w:rsidR="001C56BD" w:rsidRPr="00305460" w:rsidRDefault="001C56BD" w:rsidP="008A5C11">
            <w:pPr>
              <w:jc w:val="center"/>
              <w:rPr>
                <w:sz w:val="12"/>
                <w:szCs w:val="12"/>
              </w:rPr>
            </w:pPr>
            <w:r w:rsidRPr="00305460">
              <w:rPr>
                <w:sz w:val="12"/>
                <w:szCs w:val="12"/>
              </w:rPr>
              <w:t xml:space="preserve">Канал-ж/б лотки, опоры-хомутовые с диэлектрической прокладкой, запорная арматура - кран шаровый, антикоррозийная защита-мастика Вектор 1214, 1025, труба-сталь 09Г2С, изоляция - маты прошивные, </w:t>
            </w:r>
            <w:proofErr w:type="gramStart"/>
            <w:r w:rsidRPr="00305460">
              <w:rPr>
                <w:sz w:val="12"/>
                <w:szCs w:val="12"/>
              </w:rPr>
              <w:t>стеклоплас-тик</w:t>
            </w:r>
            <w:proofErr w:type="gramEnd"/>
            <w:r w:rsidRPr="00305460">
              <w:rPr>
                <w:sz w:val="12"/>
                <w:szCs w:val="12"/>
              </w:rPr>
              <w:t xml:space="preserve">  </w:t>
            </w:r>
          </w:p>
        </w:tc>
        <w:tc>
          <w:tcPr>
            <w:tcW w:w="140" w:type="pct"/>
            <w:shd w:val="clear" w:color="auto" w:fill="auto"/>
            <w:tcMar>
              <w:left w:w="17" w:type="dxa"/>
              <w:right w:w="17" w:type="dxa"/>
            </w:tcMar>
            <w:vAlign w:val="center"/>
          </w:tcPr>
          <w:p w14:paraId="744EBC67" w14:textId="77777777" w:rsidR="001C56BD" w:rsidRPr="00305460" w:rsidRDefault="001C56BD" w:rsidP="008A5C11">
            <w:pPr>
              <w:jc w:val="center"/>
              <w:rPr>
                <w:sz w:val="12"/>
                <w:szCs w:val="12"/>
              </w:rPr>
            </w:pPr>
            <w:r w:rsidRPr="00305460">
              <w:rPr>
                <w:sz w:val="12"/>
                <w:szCs w:val="12"/>
              </w:rPr>
              <w:t>2024</w:t>
            </w:r>
          </w:p>
        </w:tc>
        <w:tc>
          <w:tcPr>
            <w:tcW w:w="140" w:type="pct"/>
            <w:shd w:val="clear" w:color="auto" w:fill="auto"/>
            <w:tcMar>
              <w:left w:w="17" w:type="dxa"/>
              <w:right w:w="17" w:type="dxa"/>
            </w:tcMar>
            <w:vAlign w:val="center"/>
          </w:tcPr>
          <w:p w14:paraId="0B9EC24B" w14:textId="77777777" w:rsidR="001C56BD" w:rsidRPr="00305460" w:rsidRDefault="001C56BD" w:rsidP="008A5C11">
            <w:pPr>
              <w:jc w:val="center"/>
              <w:rPr>
                <w:sz w:val="12"/>
                <w:szCs w:val="12"/>
              </w:rPr>
            </w:pPr>
            <w:r w:rsidRPr="00305460">
              <w:rPr>
                <w:sz w:val="12"/>
                <w:szCs w:val="12"/>
              </w:rPr>
              <w:t>2024</w:t>
            </w:r>
          </w:p>
        </w:tc>
        <w:tc>
          <w:tcPr>
            <w:tcW w:w="239" w:type="pct"/>
            <w:gridSpan w:val="3"/>
            <w:shd w:val="clear" w:color="auto" w:fill="auto"/>
            <w:tcMar>
              <w:left w:w="17" w:type="dxa"/>
              <w:right w:w="17" w:type="dxa"/>
            </w:tcMar>
            <w:vAlign w:val="center"/>
          </w:tcPr>
          <w:p w14:paraId="649068EC" w14:textId="77777777" w:rsidR="001C56BD" w:rsidRPr="00305460" w:rsidRDefault="001C56BD" w:rsidP="008A5C11">
            <w:pPr>
              <w:jc w:val="center"/>
              <w:rPr>
                <w:sz w:val="12"/>
                <w:szCs w:val="12"/>
              </w:rPr>
            </w:pPr>
            <w:r w:rsidRPr="00305460">
              <w:rPr>
                <w:sz w:val="12"/>
                <w:szCs w:val="12"/>
              </w:rPr>
              <w:t>12194,136</w:t>
            </w:r>
          </w:p>
        </w:tc>
        <w:tc>
          <w:tcPr>
            <w:tcW w:w="196" w:type="pct"/>
            <w:gridSpan w:val="3"/>
            <w:shd w:val="clear" w:color="auto" w:fill="auto"/>
            <w:tcMar>
              <w:left w:w="17" w:type="dxa"/>
              <w:right w:w="17" w:type="dxa"/>
            </w:tcMar>
            <w:vAlign w:val="center"/>
          </w:tcPr>
          <w:p w14:paraId="13160FFC" w14:textId="77777777" w:rsidR="001C56BD" w:rsidRPr="00305460" w:rsidRDefault="001C56BD" w:rsidP="008A5C11">
            <w:pPr>
              <w:jc w:val="center"/>
              <w:rPr>
                <w:sz w:val="12"/>
                <w:szCs w:val="12"/>
              </w:rPr>
            </w:pPr>
            <w:r w:rsidRPr="00305460">
              <w:rPr>
                <w:sz w:val="12"/>
                <w:szCs w:val="12"/>
              </w:rPr>
              <w:t>0,000</w:t>
            </w:r>
          </w:p>
        </w:tc>
        <w:tc>
          <w:tcPr>
            <w:tcW w:w="216" w:type="pct"/>
            <w:gridSpan w:val="3"/>
            <w:shd w:val="clear" w:color="auto" w:fill="auto"/>
            <w:tcMar>
              <w:left w:w="17" w:type="dxa"/>
              <w:right w:w="17" w:type="dxa"/>
            </w:tcMar>
            <w:vAlign w:val="center"/>
          </w:tcPr>
          <w:p w14:paraId="506FFFC0" w14:textId="77777777" w:rsidR="001C56BD" w:rsidRPr="00305460" w:rsidRDefault="001C56BD" w:rsidP="008A5C11">
            <w:pPr>
              <w:jc w:val="center"/>
              <w:rPr>
                <w:sz w:val="12"/>
                <w:szCs w:val="12"/>
              </w:rPr>
            </w:pPr>
            <w:r w:rsidRPr="00305460">
              <w:rPr>
                <w:sz w:val="12"/>
                <w:szCs w:val="12"/>
              </w:rPr>
              <w:t>0,000</w:t>
            </w:r>
          </w:p>
        </w:tc>
        <w:tc>
          <w:tcPr>
            <w:tcW w:w="179" w:type="pct"/>
            <w:gridSpan w:val="2"/>
            <w:shd w:val="clear" w:color="auto" w:fill="auto"/>
            <w:tcMar>
              <w:left w:w="17" w:type="dxa"/>
              <w:right w:w="17" w:type="dxa"/>
            </w:tcMar>
            <w:vAlign w:val="center"/>
          </w:tcPr>
          <w:p w14:paraId="73B35458" w14:textId="77777777" w:rsidR="001C56BD" w:rsidRPr="00305460" w:rsidRDefault="001C56BD" w:rsidP="008A5C11">
            <w:pPr>
              <w:jc w:val="center"/>
              <w:rPr>
                <w:sz w:val="12"/>
                <w:szCs w:val="12"/>
              </w:rPr>
            </w:pPr>
            <w:r w:rsidRPr="00305460">
              <w:rPr>
                <w:sz w:val="12"/>
                <w:szCs w:val="12"/>
              </w:rPr>
              <w:t>0,000</w:t>
            </w:r>
          </w:p>
        </w:tc>
        <w:tc>
          <w:tcPr>
            <w:tcW w:w="222" w:type="pct"/>
            <w:gridSpan w:val="2"/>
            <w:shd w:val="clear" w:color="auto" w:fill="auto"/>
            <w:tcMar>
              <w:left w:w="17" w:type="dxa"/>
              <w:right w:w="17" w:type="dxa"/>
            </w:tcMar>
            <w:vAlign w:val="center"/>
          </w:tcPr>
          <w:p w14:paraId="41B7ADE1" w14:textId="77777777" w:rsidR="001C56BD" w:rsidRPr="00305460" w:rsidRDefault="001C56BD" w:rsidP="008A5C11">
            <w:pPr>
              <w:jc w:val="center"/>
              <w:rPr>
                <w:sz w:val="12"/>
                <w:szCs w:val="12"/>
              </w:rPr>
            </w:pPr>
            <w:r w:rsidRPr="00305460">
              <w:rPr>
                <w:sz w:val="12"/>
                <w:szCs w:val="12"/>
              </w:rPr>
              <w:t>12194,136</w:t>
            </w:r>
          </w:p>
        </w:tc>
        <w:tc>
          <w:tcPr>
            <w:tcW w:w="213" w:type="pct"/>
            <w:shd w:val="clear" w:color="auto" w:fill="auto"/>
            <w:tcMar>
              <w:left w:w="17" w:type="dxa"/>
              <w:right w:w="17" w:type="dxa"/>
            </w:tcMar>
            <w:vAlign w:val="center"/>
          </w:tcPr>
          <w:p w14:paraId="3E965898"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28D1A07A"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0D063952"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42D1BFD4" w14:textId="77777777" w:rsidR="001C56BD" w:rsidRPr="00305460" w:rsidRDefault="001C56BD" w:rsidP="008A5C11">
            <w:pPr>
              <w:jc w:val="center"/>
              <w:rPr>
                <w:sz w:val="12"/>
                <w:szCs w:val="12"/>
              </w:rPr>
            </w:pPr>
            <w:r w:rsidRPr="00305460">
              <w:rPr>
                <w:sz w:val="12"/>
                <w:szCs w:val="12"/>
              </w:rPr>
              <w:t>0,000</w:t>
            </w:r>
          </w:p>
        </w:tc>
        <w:tc>
          <w:tcPr>
            <w:tcW w:w="218" w:type="pct"/>
            <w:gridSpan w:val="2"/>
            <w:shd w:val="clear" w:color="auto" w:fill="auto"/>
            <w:tcMar>
              <w:left w:w="17" w:type="dxa"/>
              <w:right w:w="17" w:type="dxa"/>
            </w:tcMar>
            <w:vAlign w:val="center"/>
          </w:tcPr>
          <w:p w14:paraId="03B8F4F9" w14:textId="77777777" w:rsidR="001C56BD" w:rsidRPr="00305460" w:rsidRDefault="001C56BD" w:rsidP="008A5C11">
            <w:pPr>
              <w:jc w:val="center"/>
              <w:rPr>
                <w:sz w:val="12"/>
                <w:szCs w:val="12"/>
              </w:rPr>
            </w:pPr>
            <w:r w:rsidRPr="00305460">
              <w:rPr>
                <w:sz w:val="12"/>
                <w:szCs w:val="12"/>
              </w:rPr>
              <w:t>0,000</w:t>
            </w:r>
          </w:p>
        </w:tc>
        <w:tc>
          <w:tcPr>
            <w:tcW w:w="172" w:type="pct"/>
            <w:gridSpan w:val="2"/>
            <w:shd w:val="clear" w:color="auto" w:fill="auto"/>
            <w:tcMar>
              <w:left w:w="17" w:type="dxa"/>
              <w:right w:w="17" w:type="dxa"/>
            </w:tcMar>
            <w:vAlign w:val="center"/>
          </w:tcPr>
          <w:p w14:paraId="699A9679" w14:textId="77777777" w:rsidR="001C56BD" w:rsidRPr="00305460" w:rsidRDefault="001C56BD" w:rsidP="008A5C11">
            <w:pPr>
              <w:jc w:val="center"/>
              <w:rPr>
                <w:sz w:val="12"/>
                <w:szCs w:val="12"/>
              </w:rPr>
            </w:pPr>
            <w:r w:rsidRPr="00305460">
              <w:rPr>
                <w:sz w:val="12"/>
                <w:szCs w:val="12"/>
              </w:rPr>
              <w:t>0,000</w:t>
            </w:r>
          </w:p>
        </w:tc>
        <w:tc>
          <w:tcPr>
            <w:tcW w:w="219" w:type="pct"/>
            <w:shd w:val="clear" w:color="auto" w:fill="auto"/>
            <w:tcMar>
              <w:left w:w="17" w:type="dxa"/>
              <w:right w:w="17" w:type="dxa"/>
            </w:tcMar>
            <w:vAlign w:val="center"/>
          </w:tcPr>
          <w:p w14:paraId="6A8B8BA0" w14:textId="77777777" w:rsidR="001C56BD" w:rsidRPr="00305460" w:rsidRDefault="001C56BD" w:rsidP="008A5C11">
            <w:pPr>
              <w:jc w:val="center"/>
              <w:rPr>
                <w:sz w:val="12"/>
                <w:szCs w:val="12"/>
              </w:rPr>
            </w:pPr>
            <w:r w:rsidRPr="00305460">
              <w:rPr>
                <w:sz w:val="12"/>
                <w:szCs w:val="12"/>
              </w:rPr>
              <w:t>0,000</w:t>
            </w:r>
          </w:p>
        </w:tc>
        <w:tc>
          <w:tcPr>
            <w:tcW w:w="174" w:type="pct"/>
            <w:shd w:val="clear" w:color="auto" w:fill="auto"/>
            <w:tcMar>
              <w:left w:w="17" w:type="dxa"/>
              <w:right w:w="17" w:type="dxa"/>
            </w:tcMar>
            <w:vAlign w:val="center"/>
          </w:tcPr>
          <w:p w14:paraId="06787A01" w14:textId="77777777" w:rsidR="001C56BD" w:rsidRPr="00305460" w:rsidRDefault="001C56BD" w:rsidP="008A5C11">
            <w:pPr>
              <w:jc w:val="center"/>
              <w:rPr>
                <w:sz w:val="12"/>
                <w:szCs w:val="12"/>
              </w:rPr>
            </w:pPr>
            <w:r w:rsidRPr="00305460">
              <w:rPr>
                <w:sz w:val="12"/>
                <w:szCs w:val="12"/>
              </w:rPr>
              <w:t>0,000</w:t>
            </w:r>
          </w:p>
        </w:tc>
        <w:tc>
          <w:tcPr>
            <w:tcW w:w="176" w:type="pct"/>
            <w:shd w:val="clear" w:color="auto" w:fill="auto"/>
            <w:tcMar>
              <w:left w:w="17" w:type="dxa"/>
              <w:right w:w="17" w:type="dxa"/>
            </w:tcMar>
            <w:vAlign w:val="center"/>
          </w:tcPr>
          <w:p w14:paraId="56ED3C06" w14:textId="77777777" w:rsidR="001C56BD" w:rsidRPr="00305460" w:rsidRDefault="001C56BD" w:rsidP="008A5C11">
            <w:pPr>
              <w:jc w:val="center"/>
              <w:rPr>
                <w:sz w:val="12"/>
                <w:szCs w:val="12"/>
              </w:rPr>
            </w:pPr>
            <w:r w:rsidRPr="00305460">
              <w:rPr>
                <w:sz w:val="12"/>
                <w:szCs w:val="12"/>
              </w:rPr>
              <w:t>0,000</w:t>
            </w:r>
          </w:p>
        </w:tc>
      </w:tr>
      <w:tr w:rsidR="001C56BD" w:rsidRPr="00305460" w14:paraId="659031EC" w14:textId="77777777" w:rsidTr="008A5C11">
        <w:trPr>
          <w:trHeight w:val="897"/>
        </w:trPr>
        <w:tc>
          <w:tcPr>
            <w:tcW w:w="86" w:type="pct"/>
            <w:shd w:val="clear" w:color="auto" w:fill="auto"/>
            <w:tcMar>
              <w:left w:w="17" w:type="dxa"/>
              <w:right w:w="17" w:type="dxa"/>
            </w:tcMar>
            <w:vAlign w:val="center"/>
          </w:tcPr>
          <w:p w14:paraId="233C0C11" w14:textId="77777777" w:rsidR="001C56BD" w:rsidRPr="00305460" w:rsidRDefault="001C56BD" w:rsidP="008A5C11">
            <w:pPr>
              <w:jc w:val="center"/>
              <w:rPr>
                <w:sz w:val="12"/>
                <w:szCs w:val="12"/>
              </w:rPr>
            </w:pPr>
            <w:r w:rsidRPr="00305460">
              <w:rPr>
                <w:sz w:val="12"/>
                <w:szCs w:val="12"/>
              </w:rPr>
              <w:t>3.1.34.</w:t>
            </w:r>
          </w:p>
        </w:tc>
        <w:tc>
          <w:tcPr>
            <w:tcW w:w="295" w:type="pct"/>
            <w:shd w:val="clear" w:color="auto" w:fill="auto"/>
            <w:tcMar>
              <w:left w:w="17" w:type="dxa"/>
              <w:right w:w="17" w:type="dxa"/>
            </w:tcMar>
            <w:vAlign w:val="center"/>
          </w:tcPr>
          <w:p w14:paraId="51A7BA99" w14:textId="77777777" w:rsidR="001C56BD" w:rsidRPr="00305460" w:rsidRDefault="001C56BD" w:rsidP="008A5C11">
            <w:pPr>
              <w:rPr>
                <w:sz w:val="12"/>
                <w:szCs w:val="12"/>
              </w:rPr>
            </w:pPr>
            <w:r w:rsidRPr="00305460">
              <w:rPr>
                <w:color w:val="000000"/>
                <w:sz w:val="12"/>
                <w:szCs w:val="12"/>
              </w:rPr>
              <w:t>Реконструкция тепловой сети с реестровым номером</w:t>
            </w:r>
            <w:r w:rsidRPr="00305460">
              <w:rPr>
                <w:sz w:val="12"/>
                <w:szCs w:val="12"/>
              </w:rPr>
              <w:t xml:space="preserve"> 773022</w:t>
            </w:r>
          </w:p>
        </w:tc>
        <w:tc>
          <w:tcPr>
            <w:tcW w:w="307" w:type="pct"/>
            <w:shd w:val="clear" w:color="000000" w:fill="FFFFFF"/>
            <w:tcMar>
              <w:left w:w="17" w:type="dxa"/>
              <w:right w:w="17" w:type="dxa"/>
            </w:tcMar>
            <w:vAlign w:val="center"/>
          </w:tcPr>
          <w:p w14:paraId="2AAE51EE" w14:textId="77777777" w:rsidR="001C56BD" w:rsidRPr="00305460" w:rsidRDefault="001C56BD" w:rsidP="008A5C11">
            <w:pPr>
              <w:jc w:val="center"/>
              <w:rPr>
                <w:sz w:val="12"/>
                <w:szCs w:val="12"/>
              </w:rPr>
            </w:pPr>
            <w:r w:rsidRPr="00305460">
              <w:rPr>
                <w:color w:val="000000"/>
                <w:sz w:val="12"/>
                <w:szCs w:val="12"/>
              </w:rPr>
              <w:t>Повышение надежности услуг теплоснабжения, повышение энергетической эффективности</w:t>
            </w:r>
          </w:p>
        </w:tc>
        <w:tc>
          <w:tcPr>
            <w:tcW w:w="280" w:type="pct"/>
            <w:shd w:val="clear" w:color="auto" w:fill="auto"/>
            <w:tcMar>
              <w:left w:w="17" w:type="dxa"/>
              <w:right w:w="17" w:type="dxa"/>
            </w:tcMar>
            <w:vAlign w:val="center"/>
          </w:tcPr>
          <w:p w14:paraId="7C89E2D6" w14:textId="77777777" w:rsidR="001C56BD" w:rsidRPr="00305460" w:rsidRDefault="001C56BD" w:rsidP="008A5C11">
            <w:pPr>
              <w:jc w:val="center"/>
              <w:rPr>
                <w:sz w:val="12"/>
                <w:szCs w:val="12"/>
              </w:rPr>
            </w:pPr>
            <w:r w:rsidRPr="00305460">
              <w:rPr>
                <w:sz w:val="12"/>
                <w:szCs w:val="12"/>
              </w:rPr>
              <w:t>Кемеровский городской округ, Центральный район, квартал 11а</w:t>
            </w:r>
          </w:p>
        </w:tc>
        <w:tc>
          <w:tcPr>
            <w:tcW w:w="289" w:type="pct"/>
            <w:shd w:val="clear" w:color="auto" w:fill="auto"/>
            <w:tcMar>
              <w:left w:w="17" w:type="dxa"/>
              <w:right w:w="17" w:type="dxa"/>
            </w:tcMar>
            <w:vAlign w:val="center"/>
          </w:tcPr>
          <w:p w14:paraId="50D0219B" w14:textId="77777777" w:rsidR="001C56BD" w:rsidRPr="00305460" w:rsidRDefault="001C56BD" w:rsidP="008A5C11">
            <w:pPr>
              <w:jc w:val="center"/>
              <w:rPr>
                <w:sz w:val="12"/>
                <w:szCs w:val="12"/>
              </w:rPr>
            </w:pPr>
            <w:r w:rsidRPr="00305460">
              <w:rPr>
                <w:color w:val="000000"/>
                <w:sz w:val="12"/>
                <w:szCs w:val="12"/>
              </w:rPr>
              <w:t>Технические характеристики</w:t>
            </w:r>
          </w:p>
        </w:tc>
        <w:tc>
          <w:tcPr>
            <w:tcW w:w="137" w:type="pct"/>
            <w:shd w:val="clear" w:color="auto" w:fill="auto"/>
            <w:tcMar>
              <w:left w:w="17" w:type="dxa"/>
              <w:right w:w="17" w:type="dxa"/>
            </w:tcMar>
            <w:vAlign w:val="center"/>
          </w:tcPr>
          <w:p w14:paraId="5BA60682" w14:textId="77777777" w:rsidR="001C56BD" w:rsidRPr="00305460" w:rsidRDefault="001C56BD" w:rsidP="008A5C11">
            <w:pPr>
              <w:jc w:val="center"/>
              <w:rPr>
                <w:color w:val="000000"/>
                <w:sz w:val="12"/>
                <w:szCs w:val="12"/>
              </w:rPr>
            </w:pPr>
          </w:p>
        </w:tc>
        <w:tc>
          <w:tcPr>
            <w:tcW w:w="202" w:type="pct"/>
            <w:shd w:val="clear" w:color="auto" w:fill="auto"/>
            <w:tcMar>
              <w:left w:w="17" w:type="dxa"/>
              <w:right w:w="17" w:type="dxa"/>
            </w:tcMar>
            <w:vAlign w:val="center"/>
          </w:tcPr>
          <w:p w14:paraId="0B5482D8" w14:textId="77777777" w:rsidR="001C56BD" w:rsidRPr="00305460" w:rsidRDefault="001C56BD" w:rsidP="008A5C11">
            <w:pPr>
              <w:jc w:val="center"/>
              <w:rPr>
                <w:sz w:val="12"/>
                <w:szCs w:val="12"/>
              </w:rPr>
            </w:pPr>
            <w:r w:rsidRPr="00305460">
              <w:rPr>
                <w:sz w:val="12"/>
                <w:szCs w:val="12"/>
              </w:rPr>
              <w:t>Канал-ж/б лотки (непроходной канал),</w:t>
            </w:r>
            <w:r w:rsidRPr="00305460">
              <w:rPr>
                <w:sz w:val="12"/>
                <w:szCs w:val="12"/>
              </w:rPr>
              <w:br/>
              <w:t xml:space="preserve">опоры </w:t>
            </w:r>
            <w:proofErr w:type="gramStart"/>
            <w:r w:rsidRPr="00305460">
              <w:rPr>
                <w:sz w:val="12"/>
                <w:szCs w:val="12"/>
              </w:rPr>
              <w:t>привар-ные</w:t>
            </w:r>
            <w:proofErr w:type="gramEnd"/>
            <w:r w:rsidRPr="00305460">
              <w:rPr>
                <w:sz w:val="12"/>
                <w:szCs w:val="12"/>
              </w:rPr>
              <w:t xml:space="preserve">, запорная арматура-стальная клиновая, антикоррозийная защита-лак БТ, труба-сталь 20, изоляция-мин. маты.       </w:t>
            </w:r>
          </w:p>
        </w:tc>
        <w:tc>
          <w:tcPr>
            <w:tcW w:w="244" w:type="pct"/>
            <w:shd w:val="clear" w:color="auto" w:fill="auto"/>
            <w:tcMar>
              <w:left w:w="17" w:type="dxa"/>
              <w:right w:w="17" w:type="dxa"/>
            </w:tcMar>
            <w:vAlign w:val="center"/>
          </w:tcPr>
          <w:p w14:paraId="442C553C" w14:textId="77777777" w:rsidR="001C56BD" w:rsidRPr="00305460" w:rsidRDefault="001C56BD" w:rsidP="008A5C11">
            <w:pPr>
              <w:jc w:val="center"/>
              <w:rPr>
                <w:sz w:val="12"/>
                <w:szCs w:val="12"/>
              </w:rPr>
            </w:pPr>
            <w:r w:rsidRPr="00305460">
              <w:rPr>
                <w:sz w:val="12"/>
                <w:szCs w:val="12"/>
              </w:rPr>
              <w:t xml:space="preserve">Канал-ж/б лотки, опоры-хомутовые с диэлектрической прокладкой, запорная арматура - кран шаровый, антикоррозийная защита-мастика Вектор 1214, 1025, труба-сталь 09Г2С, изоляция - маты прошивные, </w:t>
            </w:r>
            <w:proofErr w:type="gramStart"/>
            <w:r w:rsidRPr="00305460">
              <w:rPr>
                <w:sz w:val="12"/>
                <w:szCs w:val="12"/>
              </w:rPr>
              <w:t>стеклоплас-тик</w:t>
            </w:r>
            <w:proofErr w:type="gramEnd"/>
            <w:r w:rsidRPr="00305460">
              <w:rPr>
                <w:sz w:val="12"/>
                <w:szCs w:val="12"/>
              </w:rPr>
              <w:t xml:space="preserve">  </w:t>
            </w:r>
          </w:p>
        </w:tc>
        <w:tc>
          <w:tcPr>
            <w:tcW w:w="140" w:type="pct"/>
            <w:shd w:val="clear" w:color="auto" w:fill="auto"/>
            <w:tcMar>
              <w:left w:w="17" w:type="dxa"/>
              <w:right w:w="17" w:type="dxa"/>
            </w:tcMar>
            <w:vAlign w:val="center"/>
          </w:tcPr>
          <w:p w14:paraId="73CEC48C" w14:textId="77777777" w:rsidR="001C56BD" w:rsidRPr="00305460" w:rsidRDefault="001C56BD" w:rsidP="008A5C11">
            <w:pPr>
              <w:jc w:val="center"/>
              <w:rPr>
                <w:sz w:val="12"/>
                <w:szCs w:val="12"/>
              </w:rPr>
            </w:pPr>
            <w:r w:rsidRPr="00305460">
              <w:rPr>
                <w:sz w:val="12"/>
                <w:szCs w:val="12"/>
              </w:rPr>
              <w:t>2026</w:t>
            </w:r>
          </w:p>
        </w:tc>
        <w:tc>
          <w:tcPr>
            <w:tcW w:w="140" w:type="pct"/>
            <w:shd w:val="clear" w:color="auto" w:fill="auto"/>
            <w:tcMar>
              <w:left w:w="17" w:type="dxa"/>
              <w:right w:w="17" w:type="dxa"/>
            </w:tcMar>
            <w:vAlign w:val="center"/>
          </w:tcPr>
          <w:p w14:paraId="5E572253" w14:textId="77777777" w:rsidR="001C56BD" w:rsidRPr="00305460" w:rsidRDefault="001C56BD" w:rsidP="008A5C11">
            <w:pPr>
              <w:jc w:val="center"/>
              <w:rPr>
                <w:sz w:val="12"/>
                <w:szCs w:val="12"/>
              </w:rPr>
            </w:pPr>
            <w:r w:rsidRPr="00305460">
              <w:rPr>
                <w:sz w:val="12"/>
                <w:szCs w:val="12"/>
              </w:rPr>
              <w:t>2026</w:t>
            </w:r>
          </w:p>
        </w:tc>
        <w:tc>
          <w:tcPr>
            <w:tcW w:w="239" w:type="pct"/>
            <w:gridSpan w:val="3"/>
            <w:shd w:val="clear" w:color="auto" w:fill="auto"/>
            <w:tcMar>
              <w:left w:w="17" w:type="dxa"/>
              <w:right w:w="17" w:type="dxa"/>
            </w:tcMar>
            <w:vAlign w:val="center"/>
          </w:tcPr>
          <w:p w14:paraId="4FCCA08B" w14:textId="77777777" w:rsidR="001C56BD" w:rsidRPr="00305460" w:rsidRDefault="001C56BD" w:rsidP="008A5C11">
            <w:pPr>
              <w:jc w:val="center"/>
              <w:rPr>
                <w:sz w:val="12"/>
                <w:szCs w:val="12"/>
              </w:rPr>
            </w:pPr>
            <w:r w:rsidRPr="00305460">
              <w:rPr>
                <w:sz w:val="12"/>
                <w:szCs w:val="12"/>
              </w:rPr>
              <w:t>6114,984</w:t>
            </w:r>
          </w:p>
        </w:tc>
        <w:tc>
          <w:tcPr>
            <w:tcW w:w="196" w:type="pct"/>
            <w:gridSpan w:val="3"/>
            <w:shd w:val="clear" w:color="auto" w:fill="auto"/>
            <w:tcMar>
              <w:left w:w="17" w:type="dxa"/>
              <w:right w:w="17" w:type="dxa"/>
            </w:tcMar>
            <w:vAlign w:val="center"/>
          </w:tcPr>
          <w:p w14:paraId="7837DEE4" w14:textId="77777777" w:rsidR="001C56BD" w:rsidRPr="00305460" w:rsidRDefault="001C56BD" w:rsidP="008A5C11">
            <w:pPr>
              <w:jc w:val="center"/>
              <w:rPr>
                <w:sz w:val="12"/>
                <w:szCs w:val="12"/>
              </w:rPr>
            </w:pPr>
            <w:r w:rsidRPr="00305460">
              <w:rPr>
                <w:sz w:val="12"/>
                <w:szCs w:val="12"/>
              </w:rPr>
              <w:t>0,000</w:t>
            </w:r>
          </w:p>
        </w:tc>
        <w:tc>
          <w:tcPr>
            <w:tcW w:w="216" w:type="pct"/>
            <w:gridSpan w:val="3"/>
            <w:shd w:val="clear" w:color="auto" w:fill="auto"/>
            <w:tcMar>
              <w:left w:w="17" w:type="dxa"/>
              <w:right w:w="17" w:type="dxa"/>
            </w:tcMar>
            <w:vAlign w:val="center"/>
          </w:tcPr>
          <w:p w14:paraId="126ECE56" w14:textId="77777777" w:rsidR="001C56BD" w:rsidRPr="00305460" w:rsidRDefault="001C56BD" w:rsidP="008A5C11">
            <w:pPr>
              <w:jc w:val="center"/>
              <w:rPr>
                <w:sz w:val="12"/>
                <w:szCs w:val="12"/>
              </w:rPr>
            </w:pPr>
            <w:r w:rsidRPr="00305460">
              <w:rPr>
                <w:sz w:val="12"/>
                <w:szCs w:val="12"/>
              </w:rPr>
              <w:t>0,000</w:t>
            </w:r>
          </w:p>
        </w:tc>
        <w:tc>
          <w:tcPr>
            <w:tcW w:w="179" w:type="pct"/>
            <w:gridSpan w:val="2"/>
            <w:shd w:val="clear" w:color="auto" w:fill="auto"/>
            <w:tcMar>
              <w:left w:w="17" w:type="dxa"/>
              <w:right w:w="17" w:type="dxa"/>
            </w:tcMar>
            <w:vAlign w:val="center"/>
          </w:tcPr>
          <w:p w14:paraId="3FEE764F" w14:textId="77777777" w:rsidR="001C56BD" w:rsidRPr="00305460" w:rsidRDefault="001C56BD" w:rsidP="008A5C11">
            <w:pPr>
              <w:jc w:val="center"/>
              <w:rPr>
                <w:sz w:val="12"/>
                <w:szCs w:val="12"/>
              </w:rPr>
            </w:pPr>
            <w:r w:rsidRPr="00305460">
              <w:rPr>
                <w:sz w:val="12"/>
                <w:szCs w:val="12"/>
              </w:rPr>
              <w:t>0,000</w:t>
            </w:r>
          </w:p>
        </w:tc>
        <w:tc>
          <w:tcPr>
            <w:tcW w:w="222" w:type="pct"/>
            <w:gridSpan w:val="2"/>
            <w:shd w:val="clear" w:color="auto" w:fill="auto"/>
            <w:tcMar>
              <w:left w:w="17" w:type="dxa"/>
              <w:right w:w="17" w:type="dxa"/>
            </w:tcMar>
            <w:vAlign w:val="center"/>
          </w:tcPr>
          <w:p w14:paraId="3A3D8FF6" w14:textId="77777777" w:rsidR="001C56BD" w:rsidRPr="00305460" w:rsidRDefault="001C56BD" w:rsidP="008A5C11">
            <w:pPr>
              <w:jc w:val="center"/>
              <w:rPr>
                <w:sz w:val="12"/>
                <w:szCs w:val="12"/>
              </w:rPr>
            </w:pPr>
            <w:r w:rsidRPr="00305460">
              <w:rPr>
                <w:sz w:val="12"/>
                <w:szCs w:val="12"/>
              </w:rPr>
              <w:t>0,000</w:t>
            </w:r>
          </w:p>
        </w:tc>
        <w:tc>
          <w:tcPr>
            <w:tcW w:w="213" w:type="pct"/>
            <w:shd w:val="clear" w:color="auto" w:fill="auto"/>
            <w:tcMar>
              <w:left w:w="17" w:type="dxa"/>
              <w:right w:w="17" w:type="dxa"/>
            </w:tcMar>
            <w:vAlign w:val="center"/>
          </w:tcPr>
          <w:p w14:paraId="66C8B358"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3C953526" w14:textId="77777777" w:rsidR="001C56BD" w:rsidRPr="00305460" w:rsidRDefault="001C56BD" w:rsidP="008A5C11">
            <w:pPr>
              <w:jc w:val="center"/>
              <w:rPr>
                <w:sz w:val="12"/>
                <w:szCs w:val="12"/>
              </w:rPr>
            </w:pPr>
            <w:r w:rsidRPr="00305460">
              <w:rPr>
                <w:sz w:val="12"/>
                <w:szCs w:val="12"/>
              </w:rPr>
              <w:t>6114,984</w:t>
            </w:r>
          </w:p>
        </w:tc>
        <w:tc>
          <w:tcPr>
            <w:tcW w:w="218" w:type="pct"/>
            <w:shd w:val="clear" w:color="auto" w:fill="auto"/>
            <w:tcMar>
              <w:left w:w="17" w:type="dxa"/>
              <w:right w:w="17" w:type="dxa"/>
            </w:tcMar>
            <w:vAlign w:val="center"/>
          </w:tcPr>
          <w:p w14:paraId="4324C826"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751F2F5F" w14:textId="77777777" w:rsidR="001C56BD" w:rsidRPr="00305460" w:rsidRDefault="001C56BD" w:rsidP="008A5C11">
            <w:pPr>
              <w:jc w:val="center"/>
              <w:rPr>
                <w:sz w:val="12"/>
                <w:szCs w:val="12"/>
              </w:rPr>
            </w:pPr>
            <w:r w:rsidRPr="00305460">
              <w:rPr>
                <w:sz w:val="12"/>
                <w:szCs w:val="12"/>
              </w:rPr>
              <w:t>0,000</w:t>
            </w:r>
          </w:p>
        </w:tc>
        <w:tc>
          <w:tcPr>
            <w:tcW w:w="218" w:type="pct"/>
            <w:gridSpan w:val="2"/>
            <w:shd w:val="clear" w:color="auto" w:fill="auto"/>
            <w:tcMar>
              <w:left w:w="17" w:type="dxa"/>
              <w:right w:w="17" w:type="dxa"/>
            </w:tcMar>
            <w:vAlign w:val="center"/>
          </w:tcPr>
          <w:p w14:paraId="486939FC" w14:textId="77777777" w:rsidR="001C56BD" w:rsidRPr="00305460" w:rsidRDefault="001C56BD" w:rsidP="008A5C11">
            <w:pPr>
              <w:jc w:val="center"/>
              <w:rPr>
                <w:sz w:val="12"/>
                <w:szCs w:val="12"/>
              </w:rPr>
            </w:pPr>
            <w:r w:rsidRPr="00305460">
              <w:rPr>
                <w:sz w:val="12"/>
                <w:szCs w:val="12"/>
              </w:rPr>
              <w:t>0,000</w:t>
            </w:r>
          </w:p>
        </w:tc>
        <w:tc>
          <w:tcPr>
            <w:tcW w:w="172" w:type="pct"/>
            <w:gridSpan w:val="2"/>
            <w:shd w:val="clear" w:color="auto" w:fill="auto"/>
            <w:tcMar>
              <w:left w:w="17" w:type="dxa"/>
              <w:right w:w="17" w:type="dxa"/>
            </w:tcMar>
            <w:vAlign w:val="center"/>
          </w:tcPr>
          <w:p w14:paraId="07E256BC" w14:textId="77777777" w:rsidR="001C56BD" w:rsidRPr="00305460" w:rsidRDefault="001C56BD" w:rsidP="008A5C11">
            <w:pPr>
              <w:jc w:val="center"/>
              <w:rPr>
                <w:sz w:val="12"/>
                <w:szCs w:val="12"/>
              </w:rPr>
            </w:pPr>
            <w:r w:rsidRPr="00305460">
              <w:rPr>
                <w:sz w:val="12"/>
                <w:szCs w:val="12"/>
              </w:rPr>
              <w:t>0,000</w:t>
            </w:r>
          </w:p>
        </w:tc>
        <w:tc>
          <w:tcPr>
            <w:tcW w:w="219" w:type="pct"/>
            <w:shd w:val="clear" w:color="auto" w:fill="auto"/>
            <w:tcMar>
              <w:left w:w="17" w:type="dxa"/>
              <w:right w:w="17" w:type="dxa"/>
            </w:tcMar>
            <w:vAlign w:val="center"/>
          </w:tcPr>
          <w:p w14:paraId="11262A24" w14:textId="77777777" w:rsidR="001C56BD" w:rsidRPr="00305460" w:rsidRDefault="001C56BD" w:rsidP="008A5C11">
            <w:pPr>
              <w:jc w:val="center"/>
              <w:rPr>
                <w:sz w:val="12"/>
                <w:szCs w:val="12"/>
              </w:rPr>
            </w:pPr>
            <w:r w:rsidRPr="00305460">
              <w:rPr>
                <w:sz w:val="12"/>
                <w:szCs w:val="12"/>
              </w:rPr>
              <w:t>0,000</w:t>
            </w:r>
          </w:p>
        </w:tc>
        <w:tc>
          <w:tcPr>
            <w:tcW w:w="174" w:type="pct"/>
            <w:shd w:val="clear" w:color="auto" w:fill="auto"/>
            <w:tcMar>
              <w:left w:w="17" w:type="dxa"/>
              <w:right w:w="17" w:type="dxa"/>
            </w:tcMar>
            <w:vAlign w:val="center"/>
          </w:tcPr>
          <w:p w14:paraId="002B5144" w14:textId="77777777" w:rsidR="001C56BD" w:rsidRPr="00305460" w:rsidRDefault="001C56BD" w:rsidP="008A5C11">
            <w:pPr>
              <w:jc w:val="center"/>
              <w:rPr>
                <w:sz w:val="12"/>
                <w:szCs w:val="12"/>
              </w:rPr>
            </w:pPr>
            <w:r w:rsidRPr="00305460">
              <w:rPr>
                <w:sz w:val="12"/>
                <w:szCs w:val="12"/>
              </w:rPr>
              <w:t>0,000</w:t>
            </w:r>
          </w:p>
        </w:tc>
        <w:tc>
          <w:tcPr>
            <w:tcW w:w="176" w:type="pct"/>
            <w:shd w:val="clear" w:color="auto" w:fill="auto"/>
            <w:tcMar>
              <w:left w:w="17" w:type="dxa"/>
              <w:right w:w="17" w:type="dxa"/>
            </w:tcMar>
            <w:vAlign w:val="center"/>
          </w:tcPr>
          <w:p w14:paraId="18D95B4C" w14:textId="77777777" w:rsidR="001C56BD" w:rsidRPr="00305460" w:rsidRDefault="001C56BD" w:rsidP="008A5C11">
            <w:pPr>
              <w:jc w:val="center"/>
              <w:rPr>
                <w:sz w:val="12"/>
                <w:szCs w:val="12"/>
              </w:rPr>
            </w:pPr>
            <w:r w:rsidRPr="00305460">
              <w:rPr>
                <w:sz w:val="12"/>
                <w:szCs w:val="12"/>
              </w:rPr>
              <w:t>0,000</w:t>
            </w:r>
          </w:p>
        </w:tc>
      </w:tr>
      <w:tr w:rsidR="001C56BD" w:rsidRPr="00305460" w14:paraId="18099E48" w14:textId="77777777" w:rsidTr="008A5C11">
        <w:trPr>
          <w:trHeight w:val="897"/>
        </w:trPr>
        <w:tc>
          <w:tcPr>
            <w:tcW w:w="86" w:type="pct"/>
            <w:shd w:val="clear" w:color="auto" w:fill="auto"/>
            <w:tcMar>
              <w:left w:w="17" w:type="dxa"/>
              <w:right w:w="17" w:type="dxa"/>
            </w:tcMar>
            <w:vAlign w:val="center"/>
          </w:tcPr>
          <w:p w14:paraId="67D82599" w14:textId="77777777" w:rsidR="001C56BD" w:rsidRPr="00305460" w:rsidRDefault="001C56BD" w:rsidP="008A5C11">
            <w:pPr>
              <w:jc w:val="center"/>
              <w:rPr>
                <w:bCs/>
                <w:sz w:val="12"/>
                <w:szCs w:val="12"/>
              </w:rPr>
            </w:pPr>
            <w:r w:rsidRPr="00305460">
              <w:rPr>
                <w:bCs/>
                <w:sz w:val="12"/>
                <w:szCs w:val="12"/>
              </w:rPr>
              <w:t>1</w:t>
            </w:r>
          </w:p>
        </w:tc>
        <w:tc>
          <w:tcPr>
            <w:tcW w:w="295" w:type="pct"/>
            <w:shd w:val="clear" w:color="auto" w:fill="auto"/>
            <w:tcMar>
              <w:left w:w="17" w:type="dxa"/>
              <w:right w:w="17" w:type="dxa"/>
            </w:tcMar>
            <w:vAlign w:val="center"/>
          </w:tcPr>
          <w:p w14:paraId="6A273C17" w14:textId="77777777" w:rsidR="001C56BD" w:rsidRPr="00305460" w:rsidRDefault="001C56BD" w:rsidP="008A5C11">
            <w:pPr>
              <w:jc w:val="center"/>
              <w:rPr>
                <w:bCs/>
                <w:sz w:val="12"/>
                <w:szCs w:val="12"/>
              </w:rPr>
            </w:pPr>
            <w:r w:rsidRPr="00305460">
              <w:rPr>
                <w:bCs/>
                <w:sz w:val="12"/>
                <w:szCs w:val="12"/>
              </w:rPr>
              <w:t>2</w:t>
            </w:r>
          </w:p>
        </w:tc>
        <w:tc>
          <w:tcPr>
            <w:tcW w:w="307" w:type="pct"/>
            <w:shd w:val="clear" w:color="auto" w:fill="auto"/>
            <w:tcMar>
              <w:left w:w="17" w:type="dxa"/>
              <w:right w:w="17" w:type="dxa"/>
            </w:tcMar>
            <w:vAlign w:val="center"/>
          </w:tcPr>
          <w:p w14:paraId="7E393291" w14:textId="77777777" w:rsidR="001C56BD" w:rsidRPr="00305460" w:rsidRDefault="001C56BD" w:rsidP="008A5C11">
            <w:pPr>
              <w:jc w:val="center"/>
              <w:rPr>
                <w:bCs/>
                <w:sz w:val="12"/>
                <w:szCs w:val="12"/>
              </w:rPr>
            </w:pPr>
            <w:r w:rsidRPr="00305460">
              <w:rPr>
                <w:bCs/>
                <w:sz w:val="12"/>
                <w:szCs w:val="12"/>
              </w:rPr>
              <w:t>3</w:t>
            </w:r>
          </w:p>
        </w:tc>
        <w:tc>
          <w:tcPr>
            <w:tcW w:w="280" w:type="pct"/>
            <w:shd w:val="clear" w:color="auto" w:fill="auto"/>
            <w:tcMar>
              <w:left w:w="17" w:type="dxa"/>
              <w:right w:w="17" w:type="dxa"/>
            </w:tcMar>
            <w:vAlign w:val="center"/>
          </w:tcPr>
          <w:p w14:paraId="7355DA4F" w14:textId="77777777" w:rsidR="001C56BD" w:rsidRPr="00305460" w:rsidRDefault="001C56BD" w:rsidP="008A5C11">
            <w:pPr>
              <w:jc w:val="center"/>
              <w:rPr>
                <w:bCs/>
                <w:sz w:val="12"/>
                <w:szCs w:val="12"/>
              </w:rPr>
            </w:pPr>
            <w:r w:rsidRPr="00305460">
              <w:rPr>
                <w:bCs/>
                <w:sz w:val="12"/>
                <w:szCs w:val="12"/>
              </w:rPr>
              <w:t>4</w:t>
            </w:r>
          </w:p>
        </w:tc>
        <w:tc>
          <w:tcPr>
            <w:tcW w:w="289" w:type="pct"/>
            <w:shd w:val="clear" w:color="auto" w:fill="auto"/>
            <w:tcMar>
              <w:left w:w="17" w:type="dxa"/>
              <w:right w:w="17" w:type="dxa"/>
            </w:tcMar>
            <w:vAlign w:val="center"/>
          </w:tcPr>
          <w:p w14:paraId="3FA50FCC" w14:textId="77777777" w:rsidR="001C56BD" w:rsidRPr="00305460" w:rsidRDefault="001C56BD" w:rsidP="008A5C11">
            <w:pPr>
              <w:jc w:val="center"/>
              <w:rPr>
                <w:bCs/>
                <w:sz w:val="12"/>
                <w:szCs w:val="12"/>
              </w:rPr>
            </w:pPr>
            <w:r w:rsidRPr="00305460">
              <w:rPr>
                <w:bCs/>
                <w:sz w:val="12"/>
                <w:szCs w:val="12"/>
              </w:rPr>
              <w:t>5</w:t>
            </w:r>
          </w:p>
        </w:tc>
        <w:tc>
          <w:tcPr>
            <w:tcW w:w="137" w:type="pct"/>
            <w:shd w:val="clear" w:color="auto" w:fill="auto"/>
            <w:tcMar>
              <w:left w:w="17" w:type="dxa"/>
              <w:right w:w="17" w:type="dxa"/>
            </w:tcMar>
            <w:vAlign w:val="center"/>
          </w:tcPr>
          <w:p w14:paraId="3A5BCBC4" w14:textId="77777777" w:rsidR="001C56BD" w:rsidRPr="00305460" w:rsidRDefault="001C56BD" w:rsidP="008A5C11">
            <w:pPr>
              <w:jc w:val="center"/>
              <w:rPr>
                <w:bCs/>
                <w:sz w:val="12"/>
                <w:szCs w:val="12"/>
              </w:rPr>
            </w:pPr>
            <w:r w:rsidRPr="00305460">
              <w:rPr>
                <w:bCs/>
                <w:sz w:val="12"/>
                <w:szCs w:val="12"/>
              </w:rPr>
              <w:t>6</w:t>
            </w:r>
          </w:p>
        </w:tc>
        <w:tc>
          <w:tcPr>
            <w:tcW w:w="202" w:type="pct"/>
            <w:shd w:val="clear" w:color="auto" w:fill="auto"/>
            <w:tcMar>
              <w:left w:w="17" w:type="dxa"/>
              <w:right w:w="17" w:type="dxa"/>
            </w:tcMar>
            <w:vAlign w:val="center"/>
          </w:tcPr>
          <w:p w14:paraId="6EA5030E" w14:textId="77777777" w:rsidR="001C56BD" w:rsidRPr="00305460" w:rsidRDefault="001C56BD" w:rsidP="008A5C11">
            <w:pPr>
              <w:jc w:val="center"/>
              <w:rPr>
                <w:bCs/>
                <w:sz w:val="12"/>
                <w:szCs w:val="12"/>
              </w:rPr>
            </w:pPr>
            <w:r w:rsidRPr="00305460">
              <w:rPr>
                <w:bCs/>
                <w:sz w:val="12"/>
                <w:szCs w:val="12"/>
              </w:rPr>
              <w:t>7</w:t>
            </w:r>
          </w:p>
        </w:tc>
        <w:tc>
          <w:tcPr>
            <w:tcW w:w="244" w:type="pct"/>
            <w:shd w:val="clear" w:color="auto" w:fill="auto"/>
            <w:tcMar>
              <w:left w:w="17" w:type="dxa"/>
              <w:right w:w="17" w:type="dxa"/>
            </w:tcMar>
            <w:vAlign w:val="center"/>
          </w:tcPr>
          <w:p w14:paraId="4B731CA8" w14:textId="77777777" w:rsidR="001C56BD" w:rsidRPr="00305460" w:rsidRDefault="001C56BD" w:rsidP="008A5C11">
            <w:pPr>
              <w:jc w:val="center"/>
              <w:rPr>
                <w:bCs/>
                <w:sz w:val="12"/>
                <w:szCs w:val="12"/>
              </w:rPr>
            </w:pPr>
            <w:r w:rsidRPr="00305460">
              <w:rPr>
                <w:bCs/>
                <w:sz w:val="12"/>
                <w:szCs w:val="12"/>
              </w:rPr>
              <w:t>8</w:t>
            </w:r>
          </w:p>
        </w:tc>
        <w:tc>
          <w:tcPr>
            <w:tcW w:w="140" w:type="pct"/>
            <w:shd w:val="clear" w:color="auto" w:fill="auto"/>
            <w:tcMar>
              <w:left w:w="17" w:type="dxa"/>
              <w:right w:w="17" w:type="dxa"/>
            </w:tcMar>
            <w:vAlign w:val="center"/>
          </w:tcPr>
          <w:p w14:paraId="1A1F3A84" w14:textId="77777777" w:rsidR="001C56BD" w:rsidRPr="00305460" w:rsidRDefault="001C56BD" w:rsidP="008A5C11">
            <w:pPr>
              <w:jc w:val="center"/>
              <w:rPr>
                <w:bCs/>
                <w:sz w:val="12"/>
                <w:szCs w:val="12"/>
              </w:rPr>
            </w:pPr>
            <w:r w:rsidRPr="00305460">
              <w:rPr>
                <w:bCs/>
                <w:sz w:val="12"/>
                <w:szCs w:val="12"/>
              </w:rPr>
              <w:t>9</w:t>
            </w:r>
          </w:p>
        </w:tc>
        <w:tc>
          <w:tcPr>
            <w:tcW w:w="140" w:type="pct"/>
            <w:shd w:val="clear" w:color="auto" w:fill="auto"/>
            <w:tcMar>
              <w:left w:w="17" w:type="dxa"/>
              <w:right w:w="17" w:type="dxa"/>
            </w:tcMar>
            <w:vAlign w:val="center"/>
          </w:tcPr>
          <w:p w14:paraId="3B14997E" w14:textId="77777777" w:rsidR="001C56BD" w:rsidRPr="00305460" w:rsidRDefault="001C56BD" w:rsidP="008A5C11">
            <w:pPr>
              <w:jc w:val="center"/>
              <w:rPr>
                <w:bCs/>
                <w:sz w:val="12"/>
                <w:szCs w:val="12"/>
              </w:rPr>
            </w:pPr>
            <w:r w:rsidRPr="00305460">
              <w:rPr>
                <w:bCs/>
                <w:sz w:val="12"/>
                <w:szCs w:val="12"/>
              </w:rPr>
              <w:t>10</w:t>
            </w:r>
          </w:p>
        </w:tc>
        <w:tc>
          <w:tcPr>
            <w:tcW w:w="239" w:type="pct"/>
            <w:gridSpan w:val="3"/>
            <w:shd w:val="clear" w:color="auto" w:fill="auto"/>
            <w:tcMar>
              <w:left w:w="17" w:type="dxa"/>
              <w:right w:w="17" w:type="dxa"/>
            </w:tcMar>
            <w:vAlign w:val="center"/>
          </w:tcPr>
          <w:p w14:paraId="205151D0" w14:textId="77777777" w:rsidR="001C56BD" w:rsidRPr="00305460" w:rsidRDefault="001C56BD" w:rsidP="008A5C11">
            <w:pPr>
              <w:jc w:val="center"/>
              <w:rPr>
                <w:bCs/>
                <w:sz w:val="12"/>
                <w:szCs w:val="12"/>
              </w:rPr>
            </w:pPr>
            <w:r w:rsidRPr="00305460">
              <w:rPr>
                <w:bCs/>
                <w:sz w:val="12"/>
                <w:szCs w:val="12"/>
              </w:rPr>
              <w:t>11</w:t>
            </w:r>
          </w:p>
        </w:tc>
        <w:tc>
          <w:tcPr>
            <w:tcW w:w="196" w:type="pct"/>
            <w:gridSpan w:val="3"/>
            <w:shd w:val="clear" w:color="auto" w:fill="auto"/>
            <w:tcMar>
              <w:left w:w="17" w:type="dxa"/>
              <w:right w:w="17" w:type="dxa"/>
            </w:tcMar>
            <w:vAlign w:val="center"/>
          </w:tcPr>
          <w:p w14:paraId="6ABC66A3" w14:textId="77777777" w:rsidR="001C56BD" w:rsidRPr="00305460" w:rsidRDefault="001C56BD" w:rsidP="008A5C11">
            <w:pPr>
              <w:jc w:val="center"/>
              <w:rPr>
                <w:bCs/>
                <w:sz w:val="12"/>
                <w:szCs w:val="12"/>
              </w:rPr>
            </w:pPr>
            <w:r w:rsidRPr="00305460">
              <w:rPr>
                <w:bCs/>
                <w:sz w:val="12"/>
                <w:szCs w:val="12"/>
              </w:rPr>
              <w:t>12</w:t>
            </w:r>
          </w:p>
        </w:tc>
        <w:tc>
          <w:tcPr>
            <w:tcW w:w="216" w:type="pct"/>
            <w:gridSpan w:val="3"/>
            <w:shd w:val="clear" w:color="auto" w:fill="auto"/>
            <w:tcMar>
              <w:left w:w="17" w:type="dxa"/>
              <w:right w:w="17" w:type="dxa"/>
            </w:tcMar>
            <w:vAlign w:val="center"/>
          </w:tcPr>
          <w:p w14:paraId="58BA5F65" w14:textId="77777777" w:rsidR="001C56BD" w:rsidRPr="00305460" w:rsidRDefault="001C56BD" w:rsidP="008A5C11">
            <w:pPr>
              <w:jc w:val="center"/>
              <w:rPr>
                <w:bCs/>
                <w:sz w:val="12"/>
                <w:szCs w:val="12"/>
              </w:rPr>
            </w:pPr>
            <w:r w:rsidRPr="00305460">
              <w:rPr>
                <w:bCs/>
                <w:sz w:val="12"/>
                <w:szCs w:val="12"/>
              </w:rPr>
              <w:t>13</w:t>
            </w:r>
          </w:p>
        </w:tc>
        <w:tc>
          <w:tcPr>
            <w:tcW w:w="179" w:type="pct"/>
            <w:gridSpan w:val="2"/>
            <w:shd w:val="clear" w:color="auto" w:fill="auto"/>
            <w:tcMar>
              <w:left w:w="17" w:type="dxa"/>
              <w:right w:w="17" w:type="dxa"/>
            </w:tcMar>
            <w:vAlign w:val="center"/>
          </w:tcPr>
          <w:p w14:paraId="00EA79EA" w14:textId="77777777" w:rsidR="001C56BD" w:rsidRPr="00305460" w:rsidRDefault="001C56BD" w:rsidP="008A5C11">
            <w:pPr>
              <w:jc w:val="center"/>
              <w:rPr>
                <w:bCs/>
                <w:sz w:val="12"/>
                <w:szCs w:val="12"/>
              </w:rPr>
            </w:pPr>
            <w:r w:rsidRPr="00305460">
              <w:rPr>
                <w:bCs/>
                <w:sz w:val="12"/>
                <w:szCs w:val="12"/>
              </w:rPr>
              <w:t>14</w:t>
            </w:r>
          </w:p>
        </w:tc>
        <w:tc>
          <w:tcPr>
            <w:tcW w:w="222" w:type="pct"/>
            <w:gridSpan w:val="2"/>
            <w:shd w:val="clear" w:color="auto" w:fill="auto"/>
            <w:tcMar>
              <w:left w:w="17" w:type="dxa"/>
              <w:right w:w="17" w:type="dxa"/>
            </w:tcMar>
            <w:vAlign w:val="center"/>
          </w:tcPr>
          <w:p w14:paraId="3E53BFC7" w14:textId="77777777" w:rsidR="001C56BD" w:rsidRPr="00305460" w:rsidRDefault="001C56BD" w:rsidP="008A5C11">
            <w:pPr>
              <w:jc w:val="center"/>
              <w:rPr>
                <w:bCs/>
                <w:sz w:val="12"/>
                <w:szCs w:val="12"/>
              </w:rPr>
            </w:pPr>
            <w:r w:rsidRPr="00305460">
              <w:rPr>
                <w:bCs/>
                <w:sz w:val="12"/>
                <w:szCs w:val="12"/>
              </w:rPr>
              <w:t>15</w:t>
            </w:r>
          </w:p>
        </w:tc>
        <w:tc>
          <w:tcPr>
            <w:tcW w:w="213" w:type="pct"/>
            <w:tcMar>
              <w:left w:w="17" w:type="dxa"/>
              <w:right w:w="17" w:type="dxa"/>
            </w:tcMar>
            <w:vAlign w:val="center"/>
          </w:tcPr>
          <w:p w14:paraId="2DF110DC" w14:textId="77777777" w:rsidR="001C56BD" w:rsidRPr="00305460" w:rsidRDefault="001C56BD" w:rsidP="008A5C11">
            <w:pPr>
              <w:jc w:val="center"/>
              <w:rPr>
                <w:bCs/>
                <w:sz w:val="12"/>
                <w:szCs w:val="12"/>
              </w:rPr>
            </w:pPr>
            <w:r w:rsidRPr="00305460">
              <w:rPr>
                <w:bCs/>
                <w:sz w:val="12"/>
                <w:szCs w:val="12"/>
              </w:rPr>
              <w:t>16</w:t>
            </w:r>
          </w:p>
        </w:tc>
        <w:tc>
          <w:tcPr>
            <w:tcW w:w="218" w:type="pct"/>
            <w:tcMar>
              <w:left w:w="17" w:type="dxa"/>
              <w:right w:w="17" w:type="dxa"/>
            </w:tcMar>
            <w:vAlign w:val="center"/>
          </w:tcPr>
          <w:p w14:paraId="14208584" w14:textId="77777777" w:rsidR="001C56BD" w:rsidRPr="00305460" w:rsidRDefault="001C56BD" w:rsidP="008A5C11">
            <w:pPr>
              <w:jc w:val="center"/>
              <w:rPr>
                <w:bCs/>
                <w:sz w:val="12"/>
                <w:szCs w:val="12"/>
              </w:rPr>
            </w:pPr>
            <w:r w:rsidRPr="00305460">
              <w:rPr>
                <w:bCs/>
                <w:sz w:val="12"/>
                <w:szCs w:val="12"/>
              </w:rPr>
              <w:t>17</w:t>
            </w:r>
          </w:p>
        </w:tc>
        <w:tc>
          <w:tcPr>
            <w:tcW w:w="218" w:type="pct"/>
            <w:tcMar>
              <w:left w:w="17" w:type="dxa"/>
              <w:right w:w="17" w:type="dxa"/>
            </w:tcMar>
            <w:vAlign w:val="center"/>
          </w:tcPr>
          <w:p w14:paraId="3EAED845" w14:textId="77777777" w:rsidR="001C56BD" w:rsidRPr="00305460" w:rsidRDefault="001C56BD" w:rsidP="008A5C11">
            <w:pPr>
              <w:jc w:val="center"/>
              <w:rPr>
                <w:bCs/>
                <w:sz w:val="12"/>
                <w:szCs w:val="12"/>
              </w:rPr>
            </w:pPr>
            <w:r w:rsidRPr="00305460">
              <w:rPr>
                <w:bCs/>
                <w:sz w:val="12"/>
                <w:szCs w:val="12"/>
              </w:rPr>
              <w:t>18</w:t>
            </w:r>
          </w:p>
        </w:tc>
        <w:tc>
          <w:tcPr>
            <w:tcW w:w="218" w:type="pct"/>
            <w:tcMar>
              <w:left w:w="17" w:type="dxa"/>
              <w:right w:w="17" w:type="dxa"/>
            </w:tcMar>
            <w:vAlign w:val="center"/>
          </w:tcPr>
          <w:p w14:paraId="54AB9533" w14:textId="77777777" w:rsidR="001C56BD" w:rsidRPr="00305460" w:rsidRDefault="001C56BD" w:rsidP="008A5C11">
            <w:pPr>
              <w:jc w:val="center"/>
              <w:rPr>
                <w:bCs/>
                <w:sz w:val="12"/>
                <w:szCs w:val="12"/>
              </w:rPr>
            </w:pPr>
            <w:r w:rsidRPr="00305460">
              <w:rPr>
                <w:bCs/>
                <w:sz w:val="12"/>
                <w:szCs w:val="12"/>
              </w:rPr>
              <w:t>19</w:t>
            </w:r>
          </w:p>
        </w:tc>
        <w:tc>
          <w:tcPr>
            <w:tcW w:w="218" w:type="pct"/>
            <w:gridSpan w:val="2"/>
            <w:tcMar>
              <w:left w:w="17" w:type="dxa"/>
              <w:right w:w="17" w:type="dxa"/>
            </w:tcMar>
            <w:vAlign w:val="center"/>
          </w:tcPr>
          <w:p w14:paraId="55879FF7" w14:textId="77777777" w:rsidR="001C56BD" w:rsidRPr="00305460" w:rsidRDefault="001C56BD" w:rsidP="008A5C11">
            <w:pPr>
              <w:jc w:val="center"/>
              <w:rPr>
                <w:bCs/>
                <w:sz w:val="12"/>
                <w:szCs w:val="12"/>
              </w:rPr>
            </w:pPr>
            <w:r w:rsidRPr="00305460">
              <w:rPr>
                <w:bCs/>
                <w:sz w:val="12"/>
                <w:szCs w:val="12"/>
              </w:rPr>
              <w:t>20</w:t>
            </w:r>
          </w:p>
        </w:tc>
        <w:tc>
          <w:tcPr>
            <w:tcW w:w="172" w:type="pct"/>
            <w:gridSpan w:val="2"/>
            <w:tcMar>
              <w:left w:w="17" w:type="dxa"/>
              <w:right w:w="17" w:type="dxa"/>
            </w:tcMar>
            <w:vAlign w:val="center"/>
          </w:tcPr>
          <w:p w14:paraId="4F10A9C9" w14:textId="77777777" w:rsidR="001C56BD" w:rsidRPr="00305460" w:rsidRDefault="001C56BD" w:rsidP="008A5C11">
            <w:pPr>
              <w:jc w:val="center"/>
              <w:rPr>
                <w:bCs/>
                <w:sz w:val="12"/>
                <w:szCs w:val="12"/>
              </w:rPr>
            </w:pPr>
            <w:r w:rsidRPr="00305460">
              <w:rPr>
                <w:bCs/>
                <w:sz w:val="12"/>
                <w:szCs w:val="12"/>
              </w:rPr>
              <w:t>21</w:t>
            </w:r>
          </w:p>
        </w:tc>
        <w:tc>
          <w:tcPr>
            <w:tcW w:w="219" w:type="pct"/>
            <w:tcMar>
              <w:left w:w="17" w:type="dxa"/>
              <w:right w:w="17" w:type="dxa"/>
            </w:tcMar>
            <w:vAlign w:val="center"/>
          </w:tcPr>
          <w:p w14:paraId="4D4E62CE" w14:textId="77777777" w:rsidR="001C56BD" w:rsidRPr="00305460" w:rsidRDefault="001C56BD" w:rsidP="008A5C11">
            <w:pPr>
              <w:jc w:val="center"/>
              <w:rPr>
                <w:bCs/>
                <w:sz w:val="12"/>
                <w:szCs w:val="12"/>
              </w:rPr>
            </w:pPr>
            <w:r w:rsidRPr="00305460">
              <w:rPr>
                <w:bCs/>
                <w:sz w:val="12"/>
                <w:szCs w:val="12"/>
              </w:rPr>
              <w:t>22</w:t>
            </w:r>
          </w:p>
        </w:tc>
        <w:tc>
          <w:tcPr>
            <w:tcW w:w="174" w:type="pct"/>
            <w:tcMar>
              <w:left w:w="17" w:type="dxa"/>
              <w:right w:w="17" w:type="dxa"/>
            </w:tcMar>
            <w:vAlign w:val="center"/>
          </w:tcPr>
          <w:p w14:paraId="53314A0F" w14:textId="77777777" w:rsidR="001C56BD" w:rsidRPr="00305460" w:rsidRDefault="001C56BD" w:rsidP="008A5C11">
            <w:pPr>
              <w:jc w:val="center"/>
              <w:rPr>
                <w:bCs/>
                <w:sz w:val="12"/>
                <w:szCs w:val="12"/>
              </w:rPr>
            </w:pPr>
            <w:r w:rsidRPr="00305460">
              <w:rPr>
                <w:bCs/>
                <w:sz w:val="12"/>
                <w:szCs w:val="12"/>
              </w:rPr>
              <w:t>23</w:t>
            </w:r>
          </w:p>
        </w:tc>
        <w:tc>
          <w:tcPr>
            <w:tcW w:w="176" w:type="pct"/>
            <w:tcMar>
              <w:left w:w="17" w:type="dxa"/>
              <w:right w:w="17" w:type="dxa"/>
            </w:tcMar>
            <w:vAlign w:val="center"/>
          </w:tcPr>
          <w:p w14:paraId="24F2F765" w14:textId="77777777" w:rsidR="001C56BD" w:rsidRPr="00305460" w:rsidRDefault="001C56BD" w:rsidP="008A5C11">
            <w:pPr>
              <w:jc w:val="center"/>
              <w:rPr>
                <w:bCs/>
                <w:sz w:val="12"/>
                <w:szCs w:val="12"/>
              </w:rPr>
            </w:pPr>
            <w:r w:rsidRPr="00305460">
              <w:rPr>
                <w:bCs/>
                <w:sz w:val="12"/>
                <w:szCs w:val="12"/>
              </w:rPr>
              <w:t>24</w:t>
            </w:r>
          </w:p>
        </w:tc>
      </w:tr>
      <w:tr w:rsidR="001C56BD" w:rsidRPr="00305460" w14:paraId="1945AB06" w14:textId="77777777" w:rsidTr="008A5C11">
        <w:trPr>
          <w:trHeight w:val="897"/>
        </w:trPr>
        <w:tc>
          <w:tcPr>
            <w:tcW w:w="86" w:type="pct"/>
            <w:shd w:val="clear" w:color="auto" w:fill="auto"/>
            <w:tcMar>
              <w:left w:w="17" w:type="dxa"/>
              <w:right w:w="17" w:type="dxa"/>
            </w:tcMar>
            <w:vAlign w:val="center"/>
          </w:tcPr>
          <w:p w14:paraId="4409F9A9" w14:textId="77777777" w:rsidR="001C56BD" w:rsidRPr="00305460" w:rsidRDefault="001C56BD" w:rsidP="008A5C11">
            <w:pPr>
              <w:jc w:val="center"/>
              <w:rPr>
                <w:sz w:val="12"/>
                <w:szCs w:val="12"/>
              </w:rPr>
            </w:pPr>
            <w:r w:rsidRPr="00305460">
              <w:rPr>
                <w:sz w:val="12"/>
                <w:szCs w:val="12"/>
              </w:rPr>
              <w:t>3.1.35.</w:t>
            </w:r>
          </w:p>
        </w:tc>
        <w:tc>
          <w:tcPr>
            <w:tcW w:w="295" w:type="pct"/>
            <w:shd w:val="clear" w:color="auto" w:fill="auto"/>
            <w:tcMar>
              <w:left w:w="17" w:type="dxa"/>
              <w:right w:w="17" w:type="dxa"/>
            </w:tcMar>
            <w:vAlign w:val="center"/>
          </w:tcPr>
          <w:p w14:paraId="4DBBA980" w14:textId="77777777" w:rsidR="001C56BD" w:rsidRPr="00305460" w:rsidRDefault="001C56BD" w:rsidP="008A5C11">
            <w:pPr>
              <w:rPr>
                <w:sz w:val="12"/>
                <w:szCs w:val="12"/>
              </w:rPr>
            </w:pPr>
            <w:r w:rsidRPr="00305460">
              <w:rPr>
                <w:color w:val="000000"/>
                <w:sz w:val="12"/>
                <w:szCs w:val="12"/>
              </w:rPr>
              <w:t>Реконструкция тепловой сети с реестровым номером</w:t>
            </w:r>
            <w:r w:rsidRPr="00305460">
              <w:rPr>
                <w:sz w:val="12"/>
                <w:szCs w:val="12"/>
              </w:rPr>
              <w:t xml:space="preserve"> 773221</w:t>
            </w:r>
          </w:p>
        </w:tc>
        <w:tc>
          <w:tcPr>
            <w:tcW w:w="307" w:type="pct"/>
            <w:shd w:val="clear" w:color="000000" w:fill="FFFFFF"/>
            <w:tcMar>
              <w:left w:w="17" w:type="dxa"/>
              <w:right w:w="17" w:type="dxa"/>
            </w:tcMar>
            <w:vAlign w:val="center"/>
          </w:tcPr>
          <w:p w14:paraId="33627CED" w14:textId="77777777" w:rsidR="001C56BD" w:rsidRPr="00305460" w:rsidRDefault="001C56BD" w:rsidP="008A5C11">
            <w:pPr>
              <w:jc w:val="center"/>
              <w:rPr>
                <w:sz w:val="12"/>
                <w:szCs w:val="12"/>
              </w:rPr>
            </w:pPr>
            <w:r w:rsidRPr="00305460">
              <w:rPr>
                <w:color w:val="000000"/>
                <w:sz w:val="12"/>
                <w:szCs w:val="12"/>
              </w:rPr>
              <w:t>Повышение надежности услуг теплоснабжения, повышение энергетической эффективности</w:t>
            </w:r>
          </w:p>
        </w:tc>
        <w:tc>
          <w:tcPr>
            <w:tcW w:w="280" w:type="pct"/>
            <w:shd w:val="clear" w:color="auto" w:fill="auto"/>
            <w:tcMar>
              <w:left w:w="17" w:type="dxa"/>
              <w:right w:w="17" w:type="dxa"/>
            </w:tcMar>
            <w:vAlign w:val="center"/>
          </w:tcPr>
          <w:p w14:paraId="645F5960" w14:textId="77777777" w:rsidR="001C56BD" w:rsidRPr="00305460" w:rsidRDefault="001C56BD" w:rsidP="008A5C11">
            <w:pPr>
              <w:jc w:val="center"/>
              <w:rPr>
                <w:sz w:val="12"/>
                <w:szCs w:val="12"/>
              </w:rPr>
            </w:pPr>
            <w:r w:rsidRPr="00305460">
              <w:rPr>
                <w:sz w:val="12"/>
                <w:szCs w:val="12"/>
              </w:rPr>
              <w:t>Кемеровский городской округ, Центральный район, Квартал 18, 21 м северо-западнее жилого дома №22 по ул. Красная</w:t>
            </w:r>
          </w:p>
        </w:tc>
        <w:tc>
          <w:tcPr>
            <w:tcW w:w="289" w:type="pct"/>
            <w:shd w:val="clear" w:color="auto" w:fill="auto"/>
            <w:tcMar>
              <w:left w:w="17" w:type="dxa"/>
              <w:right w:w="17" w:type="dxa"/>
            </w:tcMar>
            <w:vAlign w:val="center"/>
          </w:tcPr>
          <w:p w14:paraId="38F4AA71" w14:textId="77777777" w:rsidR="001C56BD" w:rsidRPr="00305460" w:rsidRDefault="001C56BD" w:rsidP="008A5C11">
            <w:pPr>
              <w:jc w:val="center"/>
              <w:rPr>
                <w:sz w:val="12"/>
                <w:szCs w:val="12"/>
              </w:rPr>
            </w:pPr>
            <w:r w:rsidRPr="00305460">
              <w:rPr>
                <w:color w:val="000000"/>
                <w:sz w:val="12"/>
                <w:szCs w:val="12"/>
              </w:rPr>
              <w:t>Технические характеристики</w:t>
            </w:r>
          </w:p>
        </w:tc>
        <w:tc>
          <w:tcPr>
            <w:tcW w:w="137" w:type="pct"/>
            <w:shd w:val="clear" w:color="auto" w:fill="auto"/>
            <w:tcMar>
              <w:left w:w="17" w:type="dxa"/>
              <w:right w:w="17" w:type="dxa"/>
            </w:tcMar>
            <w:vAlign w:val="center"/>
          </w:tcPr>
          <w:p w14:paraId="1D3B807A" w14:textId="77777777" w:rsidR="001C56BD" w:rsidRPr="00305460" w:rsidRDefault="001C56BD" w:rsidP="008A5C11">
            <w:pPr>
              <w:jc w:val="center"/>
              <w:rPr>
                <w:color w:val="000000"/>
                <w:sz w:val="12"/>
                <w:szCs w:val="12"/>
              </w:rPr>
            </w:pPr>
          </w:p>
        </w:tc>
        <w:tc>
          <w:tcPr>
            <w:tcW w:w="202" w:type="pct"/>
            <w:shd w:val="clear" w:color="auto" w:fill="auto"/>
            <w:tcMar>
              <w:left w:w="17" w:type="dxa"/>
              <w:right w:w="17" w:type="dxa"/>
            </w:tcMar>
            <w:vAlign w:val="center"/>
          </w:tcPr>
          <w:p w14:paraId="0EBC907B" w14:textId="77777777" w:rsidR="001C56BD" w:rsidRPr="00305460" w:rsidRDefault="001C56BD" w:rsidP="008A5C11">
            <w:pPr>
              <w:jc w:val="center"/>
              <w:rPr>
                <w:sz w:val="12"/>
                <w:szCs w:val="12"/>
              </w:rPr>
            </w:pPr>
            <w:r w:rsidRPr="00305460">
              <w:rPr>
                <w:sz w:val="12"/>
                <w:szCs w:val="12"/>
              </w:rPr>
              <w:t>Канал-кирпич (непроходной канал),</w:t>
            </w:r>
            <w:r w:rsidRPr="00305460">
              <w:rPr>
                <w:sz w:val="12"/>
                <w:szCs w:val="12"/>
              </w:rPr>
              <w:br/>
              <w:t xml:space="preserve">опоры </w:t>
            </w:r>
            <w:proofErr w:type="gramStart"/>
            <w:r w:rsidRPr="00305460">
              <w:rPr>
                <w:sz w:val="12"/>
                <w:szCs w:val="12"/>
              </w:rPr>
              <w:t>привар-ные</w:t>
            </w:r>
            <w:proofErr w:type="gramEnd"/>
            <w:r w:rsidRPr="00305460">
              <w:rPr>
                <w:sz w:val="12"/>
                <w:szCs w:val="12"/>
              </w:rPr>
              <w:t xml:space="preserve">, запорная арматура-стальная клиновая, антикоррозийная защита-лак БТ, труба-сталь 20, изоляция-мин. маты.       </w:t>
            </w:r>
          </w:p>
        </w:tc>
        <w:tc>
          <w:tcPr>
            <w:tcW w:w="244" w:type="pct"/>
            <w:shd w:val="clear" w:color="auto" w:fill="auto"/>
            <w:tcMar>
              <w:left w:w="17" w:type="dxa"/>
              <w:right w:w="17" w:type="dxa"/>
            </w:tcMar>
            <w:vAlign w:val="center"/>
          </w:tcPr>
          <w:p w14:paraId="72FF6F16" w14:textId="77777777" w:rsidR="001C56BD" w:rsidRPr="00305460" w:rsidRDefault="001C56BD" w:rsidP="008A5C11">
            <w:pPr>
              <w:jc w:val="center"/>
              <w:rPr>
                <w:sz w:val="12"/>
                <w:szCs w:val="12"/>
              </w:rPr>
            </w:pPr>
            <w:r w:rsidRPr="00305460">
              <w:rPr>
                <w:sz w:val="12"/>
                <w:szCs w:val="12"/>
              </w:rPr>
              <w:t xml:space="preserve">Канал-ж/б лотки, опоры-хомутовые с диэлектрической прокладкой, запорная арматура - кран шаровый, антикоррозийная защита-мастика Вектор 1214, 1025, труба-сталь 09Г2С, изоляция - маты прошивные, </w:t>
            </w:r>
            <w:proofErr w:type="gramStart"/>
            <w:r w:rsidRPr="00305460">
              <w:rPr>
                <w:sz w:val="12"/>
                <w:szCs w:val="12"/>
              </w:rPr>
              <w:t>стеклоплас-тик</w:t>
            </w:r>
            <w:proofErr w:type="gramEnd"/>
            <w:r w:rsidRPr="00305460">
              <w:rPr>
                <w:sz w:val="12"/>
                <w:szCs w:val="12"/>
              </w:rPr>
              <w:t xml:space="preserve">  </w:t>
            </w:r>
          </w:p>
        </w:tc>
        <w:tc>
          <w:tcPr>
            <w:tcW w:w="140" w:type="pct"/>
            <w:shd w:val="clear" w:color="auto" w:fill="auto"/>
            <w:tcMar>
              <w:left w:w="17" w:type="dxa"/>
              <w:right w:w="17" w:type="dxa"/>
            </w:tcMar>
            <w:vAlign w:val="center"/>
          </w:tcPr>
          <w:p w14:paraId="4C5585DE" w14:textId="77777777" w:rsidR="001C56BD" w:rsidRPr="00305460" w:rsidRDefault="001C56BD" w:rsidP="008A5C11">
            <w:pPr>
              <w:jc w:val="center"/>
              <w:rPr>
                <w:sz w:val="12"/>
                <w:szCs w:val="12"/>
              </w:rPr>
            </w:pPr>
            <w:r w:rsidRPr="00305460">
              <w:rPr>
                <w:sz w:val="12"/>
                <w:szCs w:val="12"/>
              </w:rPr>
              <w:t>2024</w:t>
            </w:r>
          </w:p>
        </w:tc>
        <w:tc>
          <w:tcPr>
            <w:tcW w:w="140" w:type="pct"/>
            <w:shd w:val="clear" w:color="auto" w:fill="auto"/>
            <w:tcMar>
              <w:left w:w="17" w:type="dxa"/>
              <w:right w:w="17" w:type="dxa"/>
            </w:tcMar>
            <w:vAlign w:val="center"/>
          </w:tcPr>
          <w:p w14:paraId="07FD7EA0" w14:textId="77777777" w:rsidR="001C56BD" w:rsidRPr="00305460" w:rsidRDefault="001C56BD" w:rsidP="008A5C11">
            <w:pPr>
              <w:jc w:val="center"/>
              <w:rPr>
                <w:sz w:val="12"/>
                <w:szCs w:val="12"/>
              </w:rPr>
            </w:pPr>
            <w:r w:rsidRPr="00305460">
              <w:rPr>
                <w:sz w:val="12"/>
                <w:szCs w:val="12"/>
              </w:rPr>
              <w:t>2024</w:t>
            </w:r>
          </w:p>
        </w:tc>
        <w:tc>
          <w:tcPr>
            <w:tcW w:w="239" w:type="pct"/>
            <w:gridSpan w:val="3"/>
            <w:shd w:val="clear" w:color="auto" w:fill="auto"/>
            <w:tcMar>
              <w:left w:w="17" w:type="dxa"/>
              <w:right w:w="17" w:type="dxa"/>
            </w:tcMar>
            <w:vAlign w:val="center"/>
          </w:tcPr>
          <w:p w14:paraId="22EF85F6" w14:textId="77777777" w:rsidR="001C56BD" w:rsidRPr="00305460" w:rsidRDefault="001C56BD" w:rsidP="008A5C11">
            <w:pPr>
              <w:jc w:val="center"/>
              <w:rPr>
                <w:sz w:val="12"/>
                <w:szCs w:val="12"/>
              </w:rPr>
            </w:pPr>
            <w:r w:rsidRPr="00305460">
              <w:rPr>
                <w:sz w:val="12"/>
                <w:szCs w:val="12"/>
              </w:rPr>
              <w:t>1498,680</w:t>
            </w:r>
          </w:p>
        </w:tc>
        <w:tc>
          <w:tcPr>
            <w:tcW w:w="196" w:type="pct"/>
            <w:gridSpan w:val="3"/>
            <w:shd w:val="clear" w:color="auto" w:fill="auto"/>
            <w:tcMar>
              <w:left w:w="17" w:type="dxa"/>
              <w:right w:w="17" w:type="dxa"/>
            </w:tcMar>
            <w:vAlign w:val="center"/>
          </w:tcPr>
          <w:p w14:paraId="59F2ECEE" w14:textId="77777777" w:rsidR="001C56BD" w:rsidRPr="00305460" w:rsidRDefault="001C56BD" w:rsidP="008A5C11">
            <w:pPr>
              <w:jc w:val="center"/>
              <w:rPr>
                <w:sz w:val="12"/>
                <w:szCs w:val="12"/>
              </w:rPr>
            </w:pPr>
            <w:r w:rsidRPr="00305460">
              <w:rPr>
                <w:sz w:val="12"/>
                <w:szCs w:val="12"/>
              </w:rPr>
              <w:t>0,000</w:t>
            </w:r>
          </w:p>
        </w:tc>
        <w:tc>
          <w:tcPr>
            <w:tcW w:w="216" w:type="pct"/>
            <w:gridSpan w:val="3"/>
            <w:shd w:val="clear" w:color="auto" w:fill="auto"/>
            <w:tcMar>
              <w:left w:w="17" w:type="dxa"/>
              <w:right w:w="17" w:type="dxa"/>
            </w:tcMar>
            <w:vAlign w:val="center"/>
          </w:tcPr>
          <w:p w14:paraId="57785A00" w14:textId="77777777" w:rsidR="001C56BD" w:rsidRPr="00305460" w:rsidRDefault="001C56BD" w:rsidP="008A5C11">
            <w:pPr>
              <w:jc w:val="center"/>
              <w:rPr>
                <w:sz w:val="12"/>
                <w:szCs w:val="12"/>
              </w:rPr>
            </w:pPr>
            <w:r w:rsidRPr="00305460">
              <w:rPr>
                <w:sz w:val="12"/>
                <w:szCs w:val="12"/>
              </w:rPr>
              <w:t>0,000</w:t>
            </w:r>
          </w:p>
        </w:tc>
        <w:tc>
          <w:tcPr>
            <w:tcW w:w="179" w:type="pct"/>
            <w:gridSpan w:val="2"/>
            <w:shd w:val="clear" w:color="auto" w:fill="auto"/>
            <w:tcMar>
              <w:left w:w="17" w:type="dxa"/>
              <w:right w:w="17" w:type="dxa"/>
            </w:tcMar>
            <w:vAlign w:val="center"/>
          </w:tcPr>
          <w:p w14:paraId="3F218F49" w14:textId="77777777" w:rsidR="001C56BD" w:rsidRPr="00305460" w:rsidRDefault="001C56BD" w:rsidP="008A5C11">
            <w:pPr>
              <w:jc w:val="center"/>
              <w:rPr>
                <w:sz w:val="12"/>
                <w:szCs w:val="12"/>
              </w:rPr>
            </w:pPr>
            <w:r w:rsidRPr="00305460">
              <w:rPr>
                <w:sz w:val="12"/>
                <w:szCs w:val="12"/>
              </w:rPr>
              <w:t>0,000</w:t>
            </w:r>
          </w:p>
        </w:tc>
        <w:tc>
          <w:tcPr>
            <w:tcW w:w="222" w:type="pct"/>
            <w:gridSpan w:val="2"/>
            <w:shd w:val="clear" w:color="auto" w:fill="auto"/>
            <w:tcMar>
              <w:left w:w="17" w:type="dxa"/>
              <w:right w:w="17" w:type="dxa"/>
            </w:tcMar>
            <w:vAlign w:val="center"/>
          </w:tcPr>
          <w:p w14:paraId="0582C2D5" w14:textId="77777777" w:rsidR="001C56BD" w:rsidRPr="00305460" w:rsidRDefault="001C56BD" w:rsidP="008A5C11">
            <w:pPr>
              <w:jc w:val="center"/>
              <w:rPr>
                <w:sz w:val="12"/>
                <w:szCs w:val="12"/>
              </w:rPr>
            </w:pPr>
            <w:r w:rsidRPr="00305460">
              <w:rPr>
                <w:sz w:val="12"/>
                <w:szCs w:val="12"/>
              </w:rPr>
              <w:t>1498,680</w:t>
            </w:r>
          </w:p>
        </w:tc>
        <w:tc>
          <w:tcPr>
            <w:tcW w:w="213" w:type="pct"/>
            <w:shd w:val="clear" w:color="auto" w:fill="auto"/>
            <w:tcMar>
              <w:left w:w="17" w:type="dxa"/>
              <w:right w:w="17" w:type="dxa"/>
            </w:tcMar>
            <w:vAlign w:val="center"/>
          </w:tcPr>
          <w:p w14:paraId="04791AA8"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35005821"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6941AD32"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179E54BF" w14:textId="77777777" w:rsidR="001C56BD" w:rsidRPr="00305460" w:rsidRDefault="001C56BD" w:rsidP="008A5C11">
            <w:pPr>
              <w:jc w:val="center"/>
              <w:rPr>
                <w:sz w:val="12"/>
                <w:szCs w:val="12"/>
              </w:rPr>
            </w:pPr>
            <w:r w:rsidRPr="00305460">
              <w:rPr>
                <w:sz w:val="12"/>
                <w:szCs w:val="12"/>
              </w:rPr>
              <w:t>0,000</w:t>
            </w:r>
          </w:p>
        </w:tc>
        <w:tc>
          <w:tcPr>
            <w:tcW w:w="218" w:type="pct"/>
            <w:gridSpan w:val="2"/>
            <w:shd w:val="clear" w:color="auto" w:fill="auto"/>
            <w:tcMar>
              <w:left w:w="17" w:type="dxa"/>
              <w:right w:w="17" w:type="dxa"/>
            </w:tcMar>
            <w:vAlign w:val="center"/>
          </w:tcPr>
          <w:p w14:paraId="3025E759" w14:textId="77777777" w:rsidR="001C56BD" w:rsidRPr="00305460" w:rsidRDefault="001C56BD" w:rsidP="008A5C11">
            <w:pPr>
              <w:jc w:val="center"/>
              <w:rPr>
                <w:sz w:val="12"/>
                <w:szCs w:val="12"/>
              </w:rPr>
            </w:pPr>
            <w:r w:rsidRPr="00305460">
              <w:rPr>
                <w:sz w:val="12"/>
                <w:szCs w:val="12"/>
              </w:rPr>
              <w:t>0,000</w:t>
            </w:r>
          </w:p>
        </w:tc>
        <w:tc>
          <w:tcPr>
            <w:tcW w:w="172" w:type="pct"/>
            <w:gridSpan w:val="2"/>
            <w:shd w:val="clear" w:color="auto" w:fill="auto"/>
            <w:tcMar>
              <w:left w:w="17" w:type="dxa"/>
              <w:right w:w="17" w:type="dxa"/>
            </w:tcMar>
            <w:vAlign w:val="center"/>
          </w:tcPr>
          <w:p w14:paraId="39291182" w14:textId="77777777" w:rsidR="001C56BD" w:rsidRPr="00305460" w:rsidRDefault="001C56BD" w:rsidP="008A5C11">
            <w:pPr>
              <w:jc w:val="center"/>
              <w:rPr>
                <w:sz w:val="12"/>
                <w:szCs w:val="12"/>
              </w:rPr>
            </w:pPr>
            <w:r w:rsidRPr="00305460">
              <w:rPr>
                <w:sz w:val="12"/>
                <w:szCs w:val="12"/>
              </w:rPr>
              <w:t>0,000</w:t>
            </w:r>
          </w:p>
        </w:tc>
        <w:tc>
          <w:tcPr>
            <w:tcW w:w="219" w:type="pct"/>
            <w:shd w:val="clear" w:color="auto" w:fill="auto"/>
            <w:tcMar>
              <w:left w:w="17" w:type="dxa"/>
              <w:right w:w="17" w:type="dxa"/>
            </w:tcMar>
            <w:vAlign w:val="center"/>
          </w:tcPr>
          <w:p w14:paraId="77916956" w14:textId="77777777" w:rsidR="001C56BD" w:rsidRPr="00305460" w:rsidRDefault="001C56BD" w:rsidP="008A5C11">
            <w:pPr>
              <w:jc w:val="center"/>
              <w:rPr>
                <w:sz w:val="12"/>
                <w:szCs w:val="12"/>
              </w:rPr>
            </w:pPr>
            <w:r w:rsidRPr="00305460">
              <w:rPr>
                <w:sz w:val="12"/>
                <w:szCs w:val="12"/>
              </w:rPr>
              <w:t>0,000</w:t>
            </w:r>
          </w:p>
        </w:tc>
        <w:tc>
          <w:tcPr>
            <w:tcW w:w="174" w:type="pct"/>
            <w:shd w:val="clear" w:color="auto" w:fill="auto"/>
            <w:tcMar>
              <w:left w:w="17" w:type="dxa"/>
              <w:right w:w="17" w:type="dxa"/>
            </w:tcMar>
            <w:vAlign w:val="center"/>
          </w:tcPr>
          <w:p w14:paraId="20830287" w14:textId="77777777" w:rsidR="001C56BD" w:rsidRPr="00305460" w:rsidRDefault="001C56BD" w:rsidP="008A5C11">
            <w:pPr>
              <w:jc w:val="center"/>
              <w:rPr>
                <w:sz w:val="12"/>
                <w:szCs w:val="12"/>
              </w:rPr>
            </w:pPr>
            <w:r w:rsidRPr="00305460">
              <w:rPr>
                <w:sz w:val="12"/>
                <w:szCs w:val="12"/>
              </w:rPr>
              <w:t>0,000</w:t>
            </w:r>
          </w:p>
        </w:tc>
        <w:tc>
          <w:tcPr>
            <w:tcW w:w="176" w:type="pct"/>
            <w:shd w:val="clear" w:color="auto" w:fill="auto"/>
            <w:tcMar>
              <w:left w:w="17" w:type="dxa"/>
              <w:right w:w="17" w:type="dxa"/>
            </w:tcMar>
            <w:vAlign w:val="center"/>
          </w:tcPr>
          <w:p w14:paraId="5D04B94D" w14:textId="77777777" w:rsidR="001C56BD" w:rsidRPr="00305460" w:rsidRDefault="001C56BD" w:rsidP="008A5C11">
            <w:pPr>
              <w:jc w:val="center"/>
              <w:rPr>
                <w:sz w:val="12"/>
                <w:szCs w:val="12"/>
              </w:rPr>
            </w:pPr>
            <w:r w:rsidRPr="00305460">
              <w:rPr>
                <w:sz w:val="12"/>
                <w:szCs w:val="12"/>
              </w:rPr>
              <w:t>0,000</w:t>
            </w:r>
          </w:p>
        </w:tc>
      </w:tr>
      <w:tr w:rsidR="001C56BD" w:rsidRPr="00305460" w14:paraId="58B01965" w14:textId="77777777" w:rsidTr="008A5C11">
        <w:trPr>
          <w:trHeight w:val="897"/>
        </w:trPr>
        <w:tc>
          <w:tcPr>
            <w:tcW w:w="86" w:type="pct"/>
            <w:shd w:val="clear" w:color="auto" w:fill="auto"/>
            <w:tcMar>
              <w:left w:w="17" w:type="dxa"/>
              <w:right w:w="17" w:type="dxa"/>
            </w:tcMar>
            <w:vAlign w:val="center"/>
          </w:tcPr>
          <w:p w14:paraId="20BEB5CF" w14:textId="77777777" w:rsidR="001C56BD" w:rsidRPr="00305460" w:rsidRDefault="001C56BD" w:rsidP="008A5C11">
            <w:pPr>
              <w:jc w:val="center"/>
              <w:rPr>
                <w:sz w:val="12"/>
                <w:szCs w:val="12"/>
              </w:rPr>
            </w:pPr>
            <w:r w:rsidRPr="00305460">
              <w:rPr>
                <w:sz w:val="12"/>
                <w:szCs w:val="12"/>
              </w:rPr>
              <w:t>3.1.36.</w:t>
            </w:r>
          </w:p>
        </w:tc>
        <w:tc>
          <w:tcPr>
            <w:tcW w:w="295" w:type="pct"/>
            <w:shd w:val="clear" w:color="auto" w:fill="auto"/>
            <w:tcMar>
              <w:left w:w="17" w:type="dxa"/>
              <w:right w:w="17" w:type="dxa"/>
            </w:tcMar>
            <w:vAlign w:val="center"/>
          </w:tcPr>
          <w:p w14:paraId="4F519B9E" w14:textId="77777777" w:rsidR="001C56BD" w:rsidRPr="00305460" w:rsidRDefault="001C56BD" w:rsidP="008A5C11">
            <w:pPr>
              <w:rPr>
                <w:sz w:val="12"/>
                <w:szCs w:val="12"/>
              </w:rPr>
            </w:pPr>
            <w:r w:rsidRPr="00305460">
              <w:rPr>
                <w:color w:val="000000"/>
                <w:sz w:val="12"/>
                <w:szCs w:val="12"/>
              </w:rPr>
              <w:t>Реконструкция тепловой сети с реестровым номером</w:t>
            </w:r>
            <w:r w:rsidRPr="00305460">
              <w:rPr>
                <w:sz w:val="12"/>
                <w:szCs w:val="12"/>
              </w:rPr>
              <w:t xml:space="preserve"> 773241</w:t>
            </w:r>
          </w:p>
        </w:tc>
        <w:tc>
          <w:tcPr>
            <w:tcW w:w="307" w:type="pct"/>
            <w:shd w:val="clear" w:color="000000" w:fill="FFFFFF"/>
            <w:tcMar>
              <w:left w:w="17" w:type="dxa"/>
              <w:right w:w="17" w:type="dxa"/>
            </w:tcMar>
            <w:vAlign w:val="center"/>
          </w:tcPr>
          <w:p w14:paraId="08CBD8F0" w14:textId="77777777" w:rsidR="001C56BD" w:rsidRPr="00305460" w:rsidRDefault="001C56BD" w:rsidP="008A5C11">
            <w:pPr>
              <w:jc w:val="center"/>
              <w:rPr>
                <w:sz w:val="12"/>
                <w:szCs w:val="12"/>
              </w:rPr>
            </w:pPr>
            <w:r w:rsidRPr="00305460">
              <w:rPr>
                <w:color w:val="000000"/>
                <w:sz w:val="12"/>
                <w:szCs w:val="12"/>
              </w:rPr>
              <w:t>Повышение надежности услуг теплоснабжения, повышение энергетической эффективности</w:t>
            </w:r>
          </w:p>
        </w:tc>
        <w:tc>
          <w:tcPr>
            <w:tcW w:w="280" w:type="pct"/>
            <w:shd w:val="clear" w:color="auto" w:fill="auto"/>
            <w:tcMar>
              <w:left w:w="17" w:type="dxa"/>
              <w:right w:w="17" w:type="dxa"/>
            </w:tcMar>
            <w:vAlign w:val="center"/>
          </w:tcPr>
          <w:p w14:paraId="0F4E2F2E" w14:textId="77777777" w:rsidR="001C56BD" w:rsidRPr="00305460" w:rsidRDefault="001C56BD" w:rsidP="008A5C11">
            <w:pPr>
              <w:jc w:val="center"/>
              <w:rPr>
                <w:sz w:val="12"/>
                <w:szCs w:val="12"/>
              </w:rPr>
            </w:pPr>
            <w:r w:rsidRPr="00305460">
              <w:rPr>
                <w:sz w:val="12"/>
                <w:szCs w:val="12"/>
              </w:rPr>
              <w:t>Кемеровский городской округ, Центральный район, Квартал 19 от ТК IV-62</w:t>
            </w:r>
          </w:p>
        </w:tc>
        <w:tc>
          <w:tcPr>
            <w:tcW w:w="289" w:type="pct"/>
            <w:shd w:val="clear" w:color="auto" w:fill="auto"/>
            <w:tcMar>
              <w:left w:w="17" w:type="dxa"/>
              <w:right w:w="17" w:type="dxa"/>
            </w:tcMar>
            <w:vAlign w:val="center"/>
          </w:tcPr>
          <w:p w14:paraId="4574AFD5" w14:textId="77777777" w:rsidR="001C56BD" w:rsidRPr="00305460" w:rsidRDefault="001C56BD" w:rsidP="008A5C11">
            <w:pPr>
              <w:jc w:val="center"/>
              <w:rPr>
                <w:sz w:val="12"/>
                <w:szCs w:val="12"/>
              </w:rPr>
            </w:pPr>
            <w:r w:rsidRPr="00305460">
              <w:rPr>
                <w:color w:val="000000"/>
                <w:sz w:val="12"/>
                <w:szCs w:val="12"/>
              </w:rPr>
              <w:t>Технические характеристики</w:t>
            </w:r>
          </w:p>
        </w:tc>
        <w:tc>
          <w:tcPr>
            <w:tcW w:w="137" w:type="pct"/>
            <w:shd w:val="clear" w:color="auto" w:fill="auto"/>
            <w:tcMar>
              <w:left w:w="17" w:type="dxa"/>
              <w:right w:w="17" w:type="dxa"/>
            </w:tcMar>
            <w:vAlign w:val="center"/>
          </w:tcPr>
          <w:p w14:paraId="288A5A18" w14:textId="77777777" w:rsidR="001C56BD" w:rsidRPr="00305460" w:rsidRDefault="001C56BD" w:rsidP="008A5C11">
            <w:pPr>
              <w:jc w:val="center"/>
              <w:rPr>
                <w:color w:val="000000"/>
                <w:sz w:val="12"/>
                <w:szCs w:val="12"/>
              </w:rPr>
            </w:pPr>
          </w:p>
        </w:tc>
        <w:tc>
          <w:tcPr>
            <w:tcW w:w="202" w:type="pct"/>
            <w:shd w:val="clear" w:color="auto" w:fill="auto"/>
            <w:tcMar>
              <w:left w:w="17" w:type="dxa"/>
              <w:right w:w="17" w:type="dxa"/>
            </w:tcMar>
            <w:vAlign w:val="center"/>
          </w:tcPr>
          <w:p w14:paraId="5EAF0AC8" w14:textId="77777777" w:rsidR="001C56BD" w:rsidRPr="00305460" w:rsidRDefault="001C56BD" w:rsidP="008A5C11">
            <w:pPr>
              <w:jc w:val="center"/>
              <w:rPr>
                <w:sz w:val="12"/>
                <w:szCs w:val="12"/>
              </w:rPr>
            </w:pPr>
            <w:r w:rsidRPr="00305460">
              <w:rPr>
                <w:sz w:val="12"/>
                <w:szCs w:val="12"/>
              </w:rPr>
              <w:t>Канал-кирпич (непроходной канал),</w:t>
            </w:r>
            <w:r w:rsidRPr="00305460">
              <w:rPr>
                <w:sz w:val="12"/>
                <w:szCs w:val="12"/>
              </w:rPr>
              <w:br/>
              <w:t xml:space="preserve">опоры </w:t>
            </w:r>
            <w:proofErr w:type="gramStart"/>
            <w:r w:rsidRPr="00305460">
              <w:rPr>
                <w:sz w:val="12"/>
                <w:szCs w:val="12"/>
              </w:rPr>
              <w:t>привар-ные</w:t>
            </w:r>
            <w:proofErr w:type="gramEnd"/>
            <w:r w:rsidRPr="00305460">
              <w:rPr>
                <w:sz w:val="12"/>
                <w:szCs w:val="12"/>
              </w:rPr>
              <w:t xml:space="preserve">, запорная арматура-стальная клиновая, антикоррозийная защита-лак БТ, труба-сталь 20, изоляция-мин. маты.       </w:t>
            </w:r>
          </w:p>
        </w:tc>
        <w:tc>
          <w:tcPr>
            <w:tcW w:w="244" w:type="pct"/>
            <w:shd w:val="clear" w:color="auto" w:fill="auto"/>
            <w:tcMar>
              <w:left w:w="17" w:type="dxa"/>
              <w:right w:w="17" w:type="dxa"/>
            </w:tcMar>
            <w:vAlign w:val="center"/>
          </w:tcPr>
          <w:p w14:paraId="7C3D801B" w14:textId="77777777" w:rsidR="001C56BD" w:rsidRPr="00305460" w:rsidRDefault="001C56BD" w:rsidP="008A5C11">
            <w:pPr>
              <w:jc w:val="center"/>
              <w:rPr>
                <w:sz w:val="12"/>
                <w:szCs w:val="12"/>
              </w:rPr>
            </w:pPr>
            <w:r w:rsidRPr="00305460">
              <w:rPr>
                <w:sz w:val="12"/>
                <w:szCs w:val="12"/>
              </w:rPr>
              <w:t xml:space="preserve">Канал-ж/б лотки, опоры-хомутовые с диэлектрической прокладкой, запорная арматура - кран шаровый, антикоррозийная защита-мастика Вектор 1214, 1025, труба-сталь 09Г2С, изоляция - маты прошивные, </w:t>
            </w:r>
            <w:proofErr w:type="gramStart"/>
            <w:r w:rsidRPr="00305460">
              <w:rPr>
                <w:sz w:val="12"/>
                <w:szCs w:val="12"/>
              </w:rPr>
              <w:t>стеклоплас-тик</w:t>
            </w:r>
            <w:proofErr w:type="gramEnd"/>
            <w:r w:rsidRPr="00305460">
              <w:rPr>
                <w:sz w:val="12"/>
                <w:szCs w:val="12"/>
              </w:rPr>
              <w:t xml:space="preserve">  </w:t>
            </w:r>
          </w:p>
        </w:tc>
        <w:tc>
          <w:tcPr>
            <w:tcW w:w="140" w:type="pct"/>
            <w:shd w:val="clear" w:color="auto" w:fill="auto"/>
            <w:tcMar>
              <w:left w:w="17" w:type="dxa"/>
              <w:right w:w="17" w:type="dxa"/>
            </w:tcMar>
            <w:vAlign w:val="center"/>
          </w:tcPr>
          <w:p w14:paraId="5E6889C3" w14:textId="77777777" w:rsidR="001C56BD" w:rsidRPr="00305460" w:rsidRDefault="001C56BD" w:rsidP="008A5C11">
            <w:pPr>
              <w:jc w:val="center"/>
              <w:rPr>
                <w:sz w:val="12"/>
                <w:szCs w:val="12"/>
              </w:rPr>
            </w:pPr>
            <w:r w:rsidRPr="00305460">
              <w:rPr>
                <w:sz w:val="12"/>
                <w:szCs w:val="12"/>
              </w:rPr>
              <w:t>2024</w:t>
            </w:r>
          </w:p>
        </w:tc>
        <w:tc>
          <w:tcPr>
            <w:tcW w:w="140" w:type="pct"/>
            <w:shd w:val="clear" w:color="auto" w:fill="auto"/>
            <w:tcMar>
              <w:left w:w="17" w:type="dxa"/>
              <w:right w:w="17" w:type="dxa"/>
            </w:tcMar>
            <w:vAlign w:val="center"/>
          </w:tcPr>
          <w:p w14:paraId="6B79E4B7" w14:textId="77777777" w:rsidR="001C56BD" w:rsidRPr="00305460" w:rsidRDefault="001C56BD" w:rsidP="008A5C11">
            <w:pPr>
              <w:jc w:val="center"/>
              <w:rPr>
                <w:sz w:val="12"/>
                <w:szCs w:val="12"/>
              </w:rPr>
            </w:pPr>
            <w:r w:rsidRPr="00305460">
              <w:rPr>
                <w:sz w:val="12"/>
                <w:szCs w:val="12"/>
              </w:rPr>
              <w:t>2024</w:t>
            </w:r>
          </w:p>
        </w:tc>
        <w:tc>
          <w:tcPr>
            <w:tcW w:w="239" w:type="pct"/>
            <w:gridSpan w:val="3"/>
            <w:shd w:val="clear" w:color="auto" w:fill="auto"/>
            <w:tcMar>
              <w:left w:w="17" w:type="dxa"/>
              <w:right w:w="17" w:type="dxa"/>
            </w:tcMar>
            <w:vAlign w:val="center"/>
          </w:tcPr>
          <w:p w14:paraId="3E482961" w14:textId="77777777" w:rsidR="001C56BD" w:rsidRPr="00305460" w:rsidRDefault="001C56BD" w:rsidP="008A5C11">
            <w:pPr>
              <w:jc w:val="center"/>
              <w:rPr>
                <w:sz w:val="12"/>
                <w:szCs w:val="12"/>
              </w:rPr>
            </w:pPr>
            <w:r w:rsidRPr="00305460">
              <w:rPr>
                <w:sz w:val="12"/>
                <w:szCs w:val="12"/>
              </w:rPr>
              <w:t>3316,080</w:t>
            </w:r>
          </w:p>
        </w:tc>
        <w:tc>
          <w:tcPr>
            <w:tcW w:w="196" w:type="pct"/>
            <w:gridSpan w:val="3"/>
            <w:shd w:val="clear" w:color="auto" w:fill="auto"/>
            <w:tcMar>
              <w:left w:w="17" w:type="dxa"/>
              <w:right w:w="17" w:type="dxa"/>
            </w:tcMar>
            <w:vAlign w:val="center"/>
          </w:tcPr>
          <w:p w14:paraId="71685377" w14:textId="77777777" w:rsidR="001C56BD" w:rsidRPr="00305460" w:rsidRDefault="001C56BD" w:rsidP="008A5C11">
            <w:pPr>
              <w:jc w:val="center"/>
              <w:rPr>
                <w:sz w:val="12"/>
                <w:szCs w:val="12"/>
              </w:rPr>
            </w:pPr>
            <w:r w:rsidRPr="00305460">
              <w:rPr>
                <w:sz w:val="12"/>
                <w:szCs w:val="12"/>
              </w:rPr>
              <w:t>0,000</w:t>
            </w:r>
          </w:p>
        </w:tc>
        <w:tc>
          <w:tcPr>
            <w:tcW w:w="216" w:type="pct"/>
            <w:gridSpan w:val="3"/>
            <w:shd w:val="clear" w:color="auto" w:fill="auto"/>
            <w:tcMar>
              <w:left w:w="17" w:type="dxa"/>
              <w:right w:w="17" w:type="dxa"/>
            </w:tcMar>
            <w:vAlign w:val="center"/>
          </w:tcPr>
          <w:p w14:paraId="4A56E548" w14:textId="77777777" w:rsidR="001C56BD" w:rsidRPr="00305460" w:rsidRDefault="001C56BD" w:rsidP="008A5C11">
            <w:pPr>
              <w:jc w:val="center"/>
              <w:rPr>
                <w:sz w:val="12"/>
                <w:szCs w:val="12"/>
              </w:rPr>
            </w:pPr>
            <w:r w:rsidRPr="00305460">
              <w:rPr>
                <w:sz w:val="12"/>
                <w:szCs w:val="12"/>
              </w:rPr>
              <w:t>0,000</w:t>
            </w:r>
          </w:p>
        </w:tc>
        <w:tc>
          <w:tcPr>
            <w:tcW w:w="179" w:type="pct"/>
            <w:gridSpan w:val="2"/>
            <w:shd w:val="clear" w:color="auto" w:fill="auto"/>
            <w:tcMar>
              <w:left w:w="17" w:type="dxa"/>
              <w:right w:w="17" w:type="dxa"/>
            </w:tcMar>
            <w:vAlign w:val="center"/>
          </w:tcPr>
          <w:p w14:paraId="02A6C81D" w14:textId="77777777" w:rsidR="001C56BD" w:rsidRPr="00305460" w:rsidRDefault="001C56BD" w:rsidP="008A5C11">
            <w:pPr>
              <w:jc w:val="center"/>
              <w:rPr>
                <w:sz w:val="12"/>
                <w:szCs w:val="12"/>
              </w:rPr>
            </w:pPr>
            <w:r w:rsidRPr="00305460">
              <w:rPr>
                <w:sz w:val="12"/>
                <w:szCs w:val="12"/>
              </w:rPr>
              <w:t>0,000</w:t>
            </w:r>
          </w:p>
        </w:tc>
        <w:tc>
          <w:tcPr>
            <w:tcW w:w="222" w:type="pct"/>
            <w:gridSpan w:val="2"/>
            <w:shd w:val="clear" w:color="auto" w:fill="auto"/>
            <w:tcMar>
              <w:left w:w="17" w:type="dxa"/>
              <w:right w:w="17" w:type="dxa"/>
            </w:tcMar>
            <w:vAlign w:val="center"/>
          </w:tcPr>
          <w:p w14:paraId="5357A28D" w14:textId="77777777" w:rsidR="001C56BD" w:rsidRPr="00305460" w:rsidRDefault="001C56BD" w:rsidP="008A5C11">
            <w:pPr>
              <w:jc w:val="center"/>
              <w:rPr>
                <w:sz w:val="12"/>
                <w:szCs w:val="12"/>
              </w:rPr>
            </w:pPr>
            <w:r w:rsidRPr="00305460">
              <w:rPr>
                <w:sz w:val="12"/>
                <w:szCs w:val="12"/>
              </w:rPr>
              <w:t>3316,080</w:t>
            </w:r>
          </w:p>
        </w:tc>
        <w:tc>
          <w:tcPr>
            <w:tcW w:w="213" w:type="pct"/>
            <w:shd w:val="clear" w:color="auto" w:fill="auto"/>
            <w:tcMar>
              <w:left w:w="17" w:type="dxa"/>
              <w:right w:w="17" w:type="dxa"/>
            </w:tcMar>
            <w:vAlign w:val="center"/>
          </w:tcPr>
          <w:p w14:paraId="6403E6E5"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04BDD0B6"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00FC90B7"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7448719A" w14:textId="77777777" w:rsidR="001C56BD" w:rsidRPr="00305460" w:rsidRDefault="001C56BD" w:rsidP="008A5C11">
            <w:pPr>
              <w:jc w:val="center"/>
              <w:rPr>
                <w:sz w:val="12"/>
                <w:szCs w:val="12"/>
              </w:rPr>
            </w:pPr>
            <w:r w:rsidRPr="00305460">
              <w:rPr>
                <w:sz w:val="12"/>
                <w:szCs w:val="12"/>
              </w:rPr>
              <w:t>0,000</w:t>
            </w:r>
          </w:p>
        </w:tc>
        <w:tc>
          <w:tcPr>
            <w:tcW w:w="218" w:type="pct"/>
            <w:gridSpan w:val="2"/>
            <w:shd w:val="clear" w:color="auto" w:fill="auto"/>
            <w:tcMar>
              <w:left w:w="17" w:type="dxa"/>
              <w:right w:w="17" w:type="dxa"/>
            </w:tcMar>
            <w:vAlign w:val="center"/>
          </w:tcPr>
          <w:p w14:paraId="1A3B18D6" w14:textId="77777777" w:rsidR="001C56BD" w:rsidRPr="00305460" w:rsidRDefault="001C56BD" w:rsidP="008A5C11">
            <w:pPr>
              <w:jc w:val="center"/>
              <w:rPr>
                <w:sz w:val="12"/>
                <w:szCs w:val="12"/>
              </w:rPr>
            </w:pPr>
            <w:r w:rsidRPr="00305460">
              <w:rPr>
                <w:sz w:val="12"/>
                <w:szCs w:val="12"/>
              </w:rPr>
              <w:t>0,000</w:t>
            </w:r>
          </w:p>
        </w:tc>
        <w:tc>
          <w:tcPr>
            <w:tcW w:w="172" w:type="pct"/>
            <w:gridSpan w:val="2"/>
            <w:shd w:val="clear" w:color="auto" w:fill="auto"/>
            <w:tcMar>
              <w:left w:w="17" w:type="dxa"/>
              <w:right w:w="17" w:type="dxa"/>
            </w:tcMar>
            <w:vAlign w:val="center"/>
          </w:tcPr>
          <w:p w14:paraId="68347A5E" w14:textId="77777777" w:rsidR="001C56BD" w:rsidRPr="00305460" w:rsidRDefault="001C56BD" w:rsidP="008A5C11">
            <w:pPr>
              <w:jc w:val="center"/>
              <w:rPr>
                <w:sz w:val="12"/>
                <w:szCs w:val="12"/>
              </w:rPr>
            </w:pPr>
            <w:r w:rsidRPr="00305460">
              <w:rPr>
                <w:sz w:val="12"/>
                <w:szCs w:val="12"/>
              </w:rPr>
              <w:t>0,000</w:t>
            </w:r>
          </w:p>
        </w:tc>
        <w:tc>
          <w:tcPr>
            <w:tcW w:w="219" w:type="pct"/>
            <w:shd w:val="clear" w:color="auto" w:fill="auto"/>
            <w:tcMar>
              <w:left w:w="17" w:type="dxa"/>
              <w:right w:w="17" w:type="dxa"/>
            </w:tcMar>
            <w:vAlign w:val="center"/>
          </w:tcPr>
          <w:p w14:paraId="404763EE" w14:textId="77777777" w:rsidR="001C56BD" w:rsidRPr="00305460" w:rsidRDefault="001C56BD" w:rsidP="008A5C11">
            <w:pPr>
              <w:jc w:val="center"/>
              <w:rPr>
                <w:sz w:val="12"/>
                <w:szCs w:val="12"/>
              </w:rPr>
            </w:pPr>
            <w:r w:rsidRPr="00305460">
              <w:rPr>
                <w:sz w:val="12"/>
                <w:szCs w:val="12"/>
              </w:rPr>
              <w:t>0,000</w:t>
            </w:r>
          </w:p>
        </w:tc>
        <w:tc>
          <w:tcPr>
            <w:tcW w:w="174" w:type="pct"/>
            <w:shd w:val="clear" w:color="auto" w:fill="auto"/>
            <w:tcMar>
              <w:left w:w="17" w:type="dxa"/>
              <w:right w:w="17" w:type="dxa"/>
            </w:tcMar>
            <w:vAlign w:val="center"/>
          </w:tcPr>
          <w:p w14:paraId="0DD17E00" w14:textId="77777777" w:rsidR="001C56BD" w:rsidRPr="00305460" w:rsidRDefault="001C56BD" w:rsidP="008A5C11">
            <w:pPr>
              <w:jc w:val="center"/>
              <w:rPr>
                <w:sz w:val="12"/>
                <w:szCs w:val="12"/>
              </w:rPr>
            </w:pPr>
            <w:r w:rsidRPr="00305460">
              <w:rPr>
                <w:sz w:val="12"/>
                <w:szCs w:val="12"/>
              </w:rPr>
              <w:t>0,000</w:t>
            </w:r>
          </w:p>
        </w:tc>
        <w:tc>
          <w:tcPr>
            <w:tcW w:w="176" w:type="pct"/>
            <w:shd w:val="clear" w:color="auto" w:fill="auto"/>
            <w:tcMar>
              <w:left w:w="17" w:type="dxa"/>
              <w:right w:w="17" w:type="dxa"/>
            </w:tcMar>
            <w:vAlign w:val="center"/>
          </w:tcPr>
          <w:p w14:paraId="38DB85FD" w14:textId="77777777" w:rsidR="001C56BD" w:rsidRPr="00305460" w:rsidRDefault="001C56BD" w:rsidP="008A5C11">
            <w:pPr>
              <w:jc w:val="center"/>
              <w:rPr>
                <w:sz w:val="12"/>
                <w:szCs w:val="12"/>
              </w:rPr>
            </w:pPr>
            <w:r w:rsidRPr="00305460">
              <w:rPr>
                <w:sz w:val="12"/>
                <w:szCs w:val="12"/>
              </w:rPr>
              <w:t>0,000</w:t>
            </w:r>
          </w:p>
        </w:tc>
      </w:tr>
      <w:tr w:rsidR="001C56BD" w:rsidRPr="00305460" w14:paraId="22355F71" w14:textId="77777777" w:rsidTr="008A5C11">
        <w:trPr>
          <w:trHeight w:val="897"/>
        </w:trPr>
        <w:tc>
          <w:tcPr>
            <w:tcW w:w="86" w:type="pct"/>
            <w:shd w:val="clear" w:color="auto" w:fill="auto"/>
            <w:tcMar>
              <w:left w:w="17" w:type="dxa"/>
              <w:right w:w="17" w:type="dxa"/>
            </w:tcMar>
            <w:vAlign w:val="center"/>
          </w:tcPr>
          <w:p w14:paraId="76CB1367" w14:textId="77777777" w:rsidR="001C56BD" w:rsidRPr="00305460" w:rsidRDefault="001C56BD" w:rsidP="008A5C11">
            <w:pPr>
              <w:jc w:val="center"/>
              <w:rPr>
                <w:sz w:val="12"/>
                <w:szCs w:val="12"/>
              </w:rPr>
            </w:pPr>
            <w:r w:rsidRPr="00305460">
              <w:rPr>
                <w:sz w:val="12"/>
                <w:szCs w:val="12"/>
              </w:rPr>
              <w:t>3.1.37.</w:t>
            </w:r>
          </w:p>
        </w:tc>
        <w:tc>
          <w:tcPr>
            <w:tcW w:w="295" w:type="pct"/>
            <w:shd w:val="clear" w:color="auto" w:fill="auto"/>
            <w:tcMar>
              <w:left w:w="17" w:type="dxa"/>
              <w:right w:w="17" w:type="dxa"/>
            </w:tcMar>
            <w:vAlign w:val="center"/>
          </w:tcPr>
          <w:p w14:paraId="67B43CD8" w14:textId="77777777" w:rsidR="001C56BD" w:rsidRPr="00305460" w:rsidRDefault="001C56BD" w:rsidP="008A5C11">
            <w:pPr>
              <w:rPr>
                <w:sz w:val="12"/>
                <w:szCs w:val="12"/>
              </w:rPr>
            </w:pPr>
            <w:r w:rsidRPr="00305460">
              <w:rPr>
                <w:color w:val="000000"/>
                <w:sz w:val="12"/>
                <w:szCs w:val="12"/>
              </w:rPr>
              <w:t>Реконструкция тепловой сети с реестровым номером</w:t>
            </w:r>
            <w:r w:rsidRPr="00305460">
              <w:rPr>
                <w:sz w:val="12"/>
                <w:szCs w:val="12"/>
              </w:rPr>
              <w:t xml:space="preserve"> 773281</w:t>
            </w:r>
          </w:p>
        </w:tc>
        <w:tc>
          <w:tcPr>
            <w:tcW w:w="307" w:type="pct"/>
            <w:shd w:val="clear" w:color="000000" w:fill="FFFFFF"/>
            <w:tcMar>
              <w:left w:w="17" w:type="dxa"/>
              <w:right w:w="17" w:type="dxa"/>
            </w:tcMar>
            <w:vAlign w:val="center"/>
          </w:tcPr>
          <w:p w14:paraId="088F1000" w14:textId="77777777" w:rsidR="001C56BD" w:rsidRPr="00305460" w:rsidRDefault="001C56BD" w:rsidP="008A5C11">
            <w:pPr>
              <w:jc w:val="center"/>
              <w:rPr>
                <w:sz w:val="12"/>
                <w:szCs w:val="12"/>
              </w:rPr>
            </w:pPr>
            <w:r w:rsidRPr="00305460">
              <w:rPr>
                <w:color w:val="000000"/>
                <w:sz w:val="12"/>
                <w:szCs w:val="12"/>
              </w:rPr>
              <w:t>Повышение надежности услуг теплоснабжения, повышение энергетической эффективности</w:t>
            </w:r>
          </w:p>
        </w:tc>
        <w:tc>
          <w:tcPr>
            <w:tcW w:w="280" w:type="pct"/>
            <w:shd w:val="clear" w:color="auto" w:fill="auto"/>
            <w:tcMar>
              <w:left w:w="17" w:type="dxa"/>
              <w:right w:w="17" w:type="dxa"/>
            </w:tcMar>
            <w:vAlign w:val="center"/>
          </w:tcPr>
          <w:p w14:paraId="73658832" w14:textId="77777777" w:rsidR="001C56BD" w:rsidRPr="00305460" w:rsidRDefault="001C56BD" w:rsidP="008A5C11">
            <w:pPr>
              <w:jc w:val="center"/>
              <w:rPr>
                <w:sz w:val="12"/>
                <w:szCs w:val="12"/>
              </w:rPr>
            </w:pPr>
            <w:r w:rsidRPr="00305460">
              <w:rPr>
                <w:sz w:val="12"/>
                <w:szCs w:val="12"/>
              </w:rPr>
              <w:t>Кемеровский городской округ, Центральный район, Квартал 20 от ТК IV-2, ТК III-41</w:t>
            </w:r>
          </w:p>
        </w:tc>
        <w:tc>
          <w:tcPr>
            <w:tcW w:w="289" w:type="pct"/>
            <w:shd w:val="clear" w:color="auto" w:fill="auto"/>
            <w:tcMar>
              <w:left w:w="17" w:type="dxa"/>
              <w:right w:w="17" w:type="dxa"/>
            </w:tcMar>
            <w:vAlign w:val="center"/>
          </w:tcPr>
          <w:p w14:paraId="1926C8D9" w14:textId="77777777" w:rsidR="001C56BD" w:rsidRPr="00305460" w:rsidRDefault="001C56BD" w:rsidP="008A5C11">
            <w:pPr>
              <w:jc w:val="center"/>
              <w:rPr>
                <w:sz w:val="12"/>
                <w:szCs w:val="12"/>
              </w:rPr>
            </w:pPr>
            <w:r w:rsidRPr="00305460">
              <w:rPr>
                <w:color w:val="000000"/>
                <w:sz w:val="12"/>
                <w:szCs w:val="12"/>
              </w:rPr>
              <w:t>Технические характеристики</w:t>
            </w:r>
          </w:p>
        </w:tc>
        <w:tc>
          <w:tcPr>
            <w:tcW w:w="137" w:type="pct"/>
            <w:shd w:val="clear" w:color="auto" w:fill="auto"/>
            <w:tcMar>
              <w:left w:w="17" w:type="dxa"/>
              <w:right w:w="17" w:type="dxa"/>
            </w:tcMar>
            <w:vAlign w:val="center"/>
          </w:tcPr>
          <w:p w14:paraId="7FF3E8D9" w14:textId="77777777" w:rsidR="001C56BD" w:rsidRPr="00305460" w:rsidRDefault="001C56BD" w:rsidP="008A5C11">
            <w:pPr>
              <w:jc w:val="center"/>
              <w:rPr>
                <w:color w:val="000000"/>
                <w:sz w:val="12"/>
                <w:szCs w:val="12"/>
              </w:rPr>
            </w:pPr>
          </w:p>
        </w:tc>
        <w:tc>
          <w:tcPr>
            <w:tcW w:w="202" w:type="pct"/>
            <w:shd w:val="clear" w:color="auto" w:fill="auto"/>
            <w:tcMar>
              <w:left w:w="17" w:type="dxa"/>
              <w:right w:w="17" w:type="dxa"/>
            </w:tcMar>
            <w:vAlign w:val="center"/>
          </w:tcPr>
          <w:p w14:paraId="4B38B9A1" w14:textId="77777777" w:rsidR="001C56BD" w:rsidRPr="00305460" w:rsidRDefault="001C56BD" w:rsidP="008A5C11">
            <w:pPr>
              <w:jc w:val="center"/>
              <w:rPr>
                <w:sz w:val="12"/>
                <w:szCs w:val="12"/>
              </w:rPr>
            </w:pPr>
            <w:r w:rsidRPr="00305460">
              <w:rPr>
                <w:sz w:val="12"/>
                <w:szCs w:val="12"/>
              </w:rPr>
              <w:t>Канал-кирпич (непроходной канал</w:t>
            </w:r>
            <w:proofErr w:type="gramStart"/>
            <w:r w:rsidRPr="00305460">
              <w:rPr>
                <w:sz w:val="12"/>
                <w:szCs w:val="12"/>
              </w:rPr>
              <w:t>),опоры</w:t>
            </w:r>
            <w:proofErr w:type="gramEnd"/>
            <w:r w:rsidRPr="00305460">
              <w:rPr>
                <w:sz w:val="12"/>
                <w:szCs w:val="12"/>
              </w:rPr>
              <w:t xml:space="preserve"> приварные, запорная арматура-стальная клиновая, антикоррозийная защита-лак БТ, труба-сталь 20, изоляция-мин. маты.       </w:t>
            </w:r>
          </w:p>
        </w:tc>
        <w:tc>
          <w:tcPr>
            <w:tcW w:w="244" w:type="pct"/>
            <w:shd w:val="clear" w:color="auto" w:fill="auto"/>
            <w:tcMar>
              <w:left w:w="17" w:type="dxa"/>
              <w:right w:w="17" w:type="dxa"/>
            </w:tcMar>
            <w:vAlign w:val="center"/>
          </w:tcPr>
          <w:p w14:paraId="5A36256F" w14:textId="77777777" w:rsidR="001C56BD" w:rsidRPr="00305460" w:rsidRDefault="001C56BD" w:rsidP="008A5C11">
            <w:pPr>
              <w:jc w:val="center"/>
              <w:rPr>
                <w:sz w:val="12"/>
                <w:szCs w:val="12"/>
              </w:rPr>
            </w:pPr>
            <w:r w:rsidRPr="00305460">
              <w:rPr>
                <w:sz w:val="12"/>
                <w:szCs w:val="12"/>
              </w:rPr>
              <w:t xml:space="preserve">Канал-ж/б лотки, опоры-хомутовые с диэлектрической прокладкой, запорная арматура - кран шаровый, антикоррозийная защита-мастика Вектор 1214, 1025, труба-сталь 09Г2С, изоляция - маты прошивные, </w:t>
            </w:r>
            <w:proofErr w:type="gramStart"/>
            <w:r w:rsidRPr="00305460">
              <w:rPr>
                <w:sz w:val="12"/>
                <w:szCs w:val="12"/>
              </w:rPr>
              <w:t>стеклоплас-тик</w:t>
            </w:r>
            <w:proofErr w:type="gramEnd"/>
            <w:r w:rsidRPr="00305460">
              <w:rPr>
                <w:sz w:val="12"/>
                <w:szCs w:val="12"/>
              </w:rPr>
              <w:t xml:space="preserve">  </w:t>
            </w:r>
          </w:p>
        </w:tc>
        <w:tc>
          <w:tcPr>
            <w:tcW w:w="140" w:type="pct"/>
            <w:shd w:val="clear" w:color="auto" w:fill="auto"/>
            <w:tcMar>
              <w:left w:w="17" w:type="dxa"/>
              <w:right w:w="17" w:type="dxa"/>
            </w:tcMar>
            <w:vAlign w:val="center"/>
          </w:tcPr>
          <w:p w14:paraId="6A470C42" w14:textId="77777777" w:rsidR="001C56BD" w:rsidRPr="00305460" w:rsidRDefault="001C56BD" w:rsidP="008A5C11">
            <w:pPr>
              <w:jc w:val="center"/>
              <w:rPr>
                <w:sz w:val="12"/>
                <w:szCs w:val="12"/>
              </w:rPr>
            </w:pPr>
            <w:r w:rsidRPr="00305460">
              <w:rPr>
                <w:sz w:val="12"/>
                <w:szCs w:val="12"/>
              </w:rPr>
              <w:t>2023</w:t>
            </w:r>
          </w:p>
        </w:tc>
        <w:tc>
          <w:tcPr>
            <w:tcW w:w="140" w:type="pct"/>
            <w:shd w:val="clear" w:color="auto" w:fill="auto"/>
            <w:tcMar>
              <w:left w:w="17" w:type="dxa"/>
              <w:right w:w="17" w:type="dxa"/>
            </w:tcMar>
            <w:vAlign w:val="center"/>
          </w:tcPr>
          <w:p w14:paraId="42AE2042" w14:textId="77777777" w:rsidR="001C56BD" w:rsidRPr="00305460" w:rsidRDefault="001C56BD" w:rsidP="008A5C11">
            <w:pPr>
              <w:jc w:val="center"/>
              <w:rPr>
                <w:sz w:val="12"/>
                <w:szCs w:val="12"/>
              </w:rPr>
            </w:pPr>
            <w:r w:rsidRPr="00305460">
              <w:rPr>
                <w:sz w:val="12"/>
                <w:szCs w:val="12"/>
              </w:rPr>
              <w:t>2029</w:t>
            </w:r>
          </w:p>
        </w:tc>
        <w:tc>
          <w:tcPr>
            <w:tcW w:w="239" w:type="pct"/>
            <w:gridSpan w:val="3"/>
            <w:shd w:val="clear" w:color="auto" w:fill="auto"/>
            <w:tcMar>
              <w:left w:w="17" w:type="dxa"/>
              <w:right w:w="17" w:type="dxa"/>
            </w:tcMar>
            <w:vAlign w:val="center"/>
          </w:tcPr>
          <w:p w14:paraId="2D186D7A" w14:textId="77777777" w:rsidR="001C56BD" w:rsidRPr="00305460" w:rsidRDefault="001C56BD" w:rsidP="008A5C11">
            <w:pPr>
              <w:jc w:val="center"/>
              <w:rPr>
                <w:sz w:val="12"/>
                <w:szCs w:val="12"/>
              </w:rPr>
            </w:pPr>
            <w:r w:rsidRPr="00305460">
              <w:rPr>
                <w:sz w:val="12"/>
                <w:szCs w:val="12"/>
              </w:rPr>
              <w:t>9776,268</w:t>
            </w:r>
          </w:p>
        </w:tc>
        <w:tc>
          <w:tcPr>
            <w:tcW w:w="196" w:type="pct"/>
            <w:gridSpan w:val="3"/>
            <w:shd w:val="clear" w:color="auto" w:fill="auto"/>
            <w:tcMar>
              <w:left w:w="17" w:type="dxa"/>
              <w:right w:w="17" w:type="dxa"/>
            </w:tcMar>
            <w:vAlign w:val="center"/>
          </w:tcPr>
          <w:p w14:paraId="1D2CB192" w14:textId="77777777" w:rsidR="001C56BD" w:rsidRPr="00305460" w:rsidRDefault="001C56BD" w:rsidP="008A5C11">
            <w:pPr>
              <w:jc w:val="center"/>
              <w:rPr>
                <w:sz w:val="12"/>
                <w:szCs w:val="12"/>
              </w:rPr>
            </w:pPr>
            <w:r w:rsidRPr="00305460">
              <w:rPr>
                <w:sz w:val="12"/>
                <w:szCs w:val="12"/>
              </w:rPr>
              <w:t>0,000</w:t>
            </w:r>
          </w:p>
        </w:tc>
        <w:tc>
          <w:tcPr>
            <w:tcW w:w="216" w:type="pct"/>
            <w:gridSpan w:val="3"/>
            <w:shd w:val="clear" w:color="auto" w:fill="auto"/>
            <w:tcMar>
              <w:left w:w="17" w:type="dxa"/>
              <w:right w:w="17" w:type="dxa"/>
            </w:tcMar>
            <w:vAlign w:val="center"/>
          </w:tcPr>
          <w:p w14:paraId="56A4F61E" w14:textId="77777777" w:rsidR="001C56BD" w:rsidRPr="00305460" w:rsidRDefault="001C56BD" w:rsidP="008A5C11">
            <w:pPr>
              <w:jc w:val="center"/>
              <w:rPr>
                <w:sz w:val="12"/>
                <w:szCs w:val="12"/>
              </w:rPr>
            </w:pPr>
            <w:r w:rsidRPr="00305460">
              <w:rPr>
                <w:sz w:val="12"/>
                <w:szCs w:val="12"/>
              </w:rPr>
              <w:t>0,000</w:t>
            </w:r>
          </w:p>
        </w:tc>
        <w:tc>
          <w:tcPr>
            <w:tcW w:w="179" w:type="pct"/>
            <w:gridSpan w:val="2"/>
            <w:shd w:val="clear" w:color="auto" w:fill="auto"/>
            <w:tcMar>
              <w:left w:w="17" w:type="dxa"/>
              <w:right w:w="17" w:type="dxa"/>
            </w:tcMar>
            <w:vAlign w:val="center"/>
          </w:tcPr>
          <w:p w14:paraId="1182D310" w14:textId="77777777" w:rsidR="001C56BD" w:rsidRPr="00305460" w:rsidRDefault="001C56BD" w:rsidP="008A5C11">
            <w:pPr>
              <w:jc w:val="center"/>
              <w:rPr>
                <w:sz w:val="12"/>
                <w:szCs w:val="12"/>
              </w:rPr>
            </w:pPr>
            <w:r w:rsidRPr="00305460">
              <w:rPr>
                <w:sz w:val="12"/>
                <w:szCs w:val="12"/>
              </w:rPr>
              <w:t>2917,080</w:t>
            </w:r>
          </w:p>
        </w:tc>
        <w:tc>
          <w:tcPr>
            <w:tcW w:w="222" w:type="pct"/>
            <w:gridSpan w:val="2"/>
            <w:shd w:val="clear" w:color="auto" w:fill="auto"/>
            <w:tcMar>
              <w:left w:w="17" w:type="dxa"/>
              <w:right w:w="17" w:type="dxa"/>
            </w:tcMar>
            <w:vAlign w:val="center"/>
          </w:tcPr>
          <w:p w14:paraId="62E7D172" w14:textId="77777777" w:rsidR="001C56BD" w:rsidRPr="00305460" w:rsidRDefault="001C56BD" w:rsidP="008A5C11">
            <w:pPr>
              <w:jc w:val="center"/>
              <w:rPr>
                <w:sz w:val="12"/>
                <w:szCs w:val="12"/>
              </w:rPr>
            </w:pPr>
            <w:r w:rsidRPr="00305460">
              <w:rPr>
                <w:sz w:val="12"/>
                <w:szCs w:val="12"/>
              </w:rPr>
              <w:t>0,000</w:t>
            </w:r>
          </w:p>
        </w:tc>
        <w:tc>
          <w:tcPr>
            <w:tcW w:w="213" w:type="pct"/>
            <w:shd w:val="clear" w:color="auto" w:fill="auto"/>
            <w:tcMar>
              <w:left w:w="17" w:type="dxa"/>
              <w:right w:w="17" w:type="dxa"/>
            </w:tcMar>
            <w:vAlign w:val="center"/>
          </w:tcPr>
          <w:p w14:paraId="725AEAF0"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24F3E1F0"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3B2F8BA1"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2A0C785B" w14:textId="77777777" w:rsidR="001C56BD" w:rsidRPr="00305460" w:rsidRDefault="001C56BD" w:rsidP="008A5C11">
            <w:pPr>
              <w:jc w:val="center"/>
              <w:rPr>
                <w:sz w:val="12"/>
                <w:szCs w:val="12"/>
              </w:rPr>
            </w:pPr>
            <w:r w:rsidRPr="00305460">
              <w:rPr>
                <w:sz w:val="12"/>
                <w:szCs w:val="12"/>
              </w:rPr>
              <w:t>4329,540</w:t>
            </w:r>
          </w:p>
        </w:tc>
        <w:tc>
          <w:tcPr>
            <w:tcW w:w="218" w:type="pct"/>
            <w:gridSpan w:val="2"/>
            <w:shd w:val="clear" w:color="auto" w:fill="auto"/>
            <w:tcMar>
              <w:left w:w="17" w:type="dxa"/>
              <w:right w:w="17" w:type="dxa"/>
            </w:tcMar>
            <w:vAlign w:val="center"/>
          </w:tcPr>
          <w:p w14:paraId="3B71FEDF" w14:textId="77777777" w:rsidR="001C56BD" w:rsidRPr="00305460" w:rsidRDefault="001C56BD" w:rsidP="008A5C11">
            <w:pPr>
              <w:jc w:val="center"/>
              <w:rPr>
                <w:sz w:val="12"/>
                <w:szCs w:val="12"/>
              </w:rPr>
            </w:pPr>
            <w:r w:rsidRPr="00305460">
              <w:rPr>
                <w:sz w:val="12"/>
                <w:szCs w:val="12"/>
              </w:rPr>
              <w:t>2529,648</w:t>
            </w:r>
          </w:p>
        </w:tc>
        <w:tc>
          <w:tcPr>
            <w:tcW w:w="172" w:type="pct"/>
            <w:gridSpan w:val="2"/>
            <w:shd w:val="clear" w:color="auto" w:fill="auto"/>
            <w:tcMar>
              <w:left w:w="17" w:type="dxa"/>
              <w:right w:w="17" w:type="dxa"/>
            </w:tcMar>
            <w:vAlign w:val="center"/>
          </w:tcPr>
          <w:p w14:paraId="1F4B7340" w14:textId="77777777" w:rsidR="001C56BD" w:rsidRPr="00305460" w:rsidRDefault="001C56BD" w:rsidP="008A5C11">
            <w:pPr>
              <w:jc w:val="center"/>
              <w:rPr>
                <w:sz w:val="12"/>
                <w:szCs w:val="12"/>
              </w:rPr>
            </w:pPr>
            <w:r w:rsidRPr="00305460">
              <w:rPr>
                <w:sz w:val="12"/>
                <w:szCs w:val="12"/>
              </w:rPr>
              <w:t>0,000</w:t>
            </w:r>
          </w:p>
        </w:tc>
        <w:tc>
          <w:tcPr>
            <w:tcW w:w="219" w:type="pct"/>
            <w:shd w:val="clear" w:color="auto" w:fill="auto"/>
            <w:tcMar>
              <w:left w:w="17" w:type="dxa"/>
              <w:right w:w="17" w:type="dxa"/>
            </w:tcMar>
            <w:vAlign w:val="center"/>
          </w:tcPr>
          <w:p w14:paraId="2C91279B" w14:textId="77777777" w:rsidR="001C56BD" w:rsidRPr="00305460" w:rsidRDefault="001C56BD" w:rsidP="008A5C11">
            <w:pPr>
              <w:jc w:val="center"/>
              <w:rPr>
                <w:sz w:val="12"/>
                <w:szCs w:val="12"/>
              </w:rPr>
            </w:pPr>
            <w:r w:rsidRPr="00305460">
              <w:rPr>
                <w:sz w:val="12"/>
                <w:szCs w:val="12"/>
              </w:rPr>
              <w:t>0,000</w:t>
            </w:r>
          </w:p>
        </w:tc>
        <w:tc>
          <w:tcPr>
            <w:tcW w:w="174" w:type="pct"/>
            <w:shd w:val="clear" w:color="auto" w:fill="auto"/>
            <w:tcMar>
              <w:left w:w="17" w:type="dxa"/>
              <w:right w:w="17" w:type="dxa"/>
            </w:tcMar>
            <w:vAlign w:val="center"/>
          </w:tcPr>
          <w:p w14:paraId="57A9387A" w14:textId="77777777" w:rsidR="001C56BD" w:rsidRPr="00305460" w:rsidRDefault="001C56BD" w:rsidP="008A5C11">
            <w:pPr>
              <w:jc w:val="center"/>
              <w:rPr>
                <w:sz w:val="12"/>
                <w:szCs w:val="12"/>
              </w:rPr>
            </w:pPr>
            <w:r w:rsidRPr="00305460">
              <w:rPr>
                <w:sz w:val="12"/>
                <w:szCs w:val="12"/>
              </w:rPr>
              <w:t>0,000</w:t>
            </w:r>
          </w:p>
        </w:tc>
        <w:tc>
          <w:tcPr>
            <w:tcW w:w="176" w:type="pct"/>
            <w:shd w:val="clear" w:color="auto" w:fill="auto"/>
            <w:tcMar>
              <w:left w:w="17" w:type="dxa"/>
              <w:right w:w="17" w:type="dxa"/>
            </w:tcMar>
            <w:vAlign w:val="center"/>
          </w:tcPr>
          <w:p w14:paraId="11E891FD" w14:textId="77777777" w:rsidR="001C56BD" w:rsidRPr="00305460" w:rsidRDefault="001C56BD" w:rsidP="008A5C11">
            <w:pPr>
              <w:jc w:val="center"/>
              <w:rPr>
                <w:sz w:val="12"/>
                <w:szCs w:val="12"/>
              </w:rPr>
            </w:pPr>
            <w:r w:rsidRPr="00305460">
              <w:rPr>
                <w:sz w:val="12"/>
                <w:szCs w:val="12"/>
              </w:rPr>
              <w:t>0,000</w:t>
            </w:r>
          </w:p>
        </w:tc>
      </w:tr>
      <w:tr w:rsidR="001C56BD" w:rsidRPr="00305460" w14:paraId="7FF90DB2" w14:textId="77777777" w:rsidTr="008A5C11">
        <w:trPr>
          <w:trHeight w:val="897"/>
        </w:trPr>
        <w:tc>
          <w:tcPr>
            <w:tcW w:w="86" w:type="pct"/>
            <w:shd w:val="clear" w:color="auto" w:fill="auto"/>
            <w:tcMar>
              <w:left w:w="17" w:type="dxa"/>
              <w:right w:w="17" w:type="dxa"/>
            </w:tcMar>
            <w:vAlign w:val="center"/>
          </w:tcPr>
          <w:p w14:paraId="749B454B" w14:textId="77777777" w:rsidR="001C56BD" w:rsidRPr="00305460" w:rsidRDefault="001C56BD" w:rsidP="008A5C11">
            <w:pPr>
              <w:jc w:val="center"/>
              <w:rPr>
                <w:bCs/>
                <w:sz w:val="12"/>
                <w:szCs w:val="12"/>
              </w:rPr>
            </w:pPr>
            <w:r w:rsidRPr="00305460">
              <w:rPr>
                <w:bCs/>
                <w:sz w:val="12"/>
                <w:szCs w:val="12"/>
              </w:rPr>
              <w:t>1</w:t>
            </w:r>
          </w:p>
        </w:tc>
        <w:tc>
          <w:tcPr>
            <w:tcW w:w="295" w:type="pct"/>
            <w:shd w:val="clear" w:color="auto" w:fill="auto"/>
            <w:tcMar>
              <w:left w:w="17" w:type="dxa"/>
              <w:right w:w="17" w:type="dxa"/>
            </w:tcMar>
            <w:vAlign w:val="center"/>
          </w:tcPr>
          <w:p w14:paraId="03BE46E2" w14:textId="77777777" w:rsidR="001C56BD" w:rsidRPr="00305460" w:rsidRDefault="001C56BD" w:rsidP="008A5C11">
            <w:pPr>
              <w:jc w:val="center"/>
              <w:rPr>
                <w:bCs/>
                <w:sz w:val="12"/>
                <w:szCs w:val="12"/>
              </w:rPr>
            </w:pPr>
            <w:r w:rsidRPr="00305460">
              <w:rPr>
                <w:bCs/>
                <w:sz w:val="12"/>
                <w:szCs w:val="12"/>
              </w:rPr>
              <w:t>2</w:t>
            </w:r>
          </w:p>
        </w:tc>
        <w:tc>
          <w:tcPr>
            <w:tcW w:w="307" w:type="pct"/>
            <w:shd w:val="clear" w:color="auto" w:fill="auto"/>
            <w:tcMar>
              <w:left w:w="17" w:type="dxa"/>
              <w:right w:w="17" w:type="dxa"/>
            </w:tcMar>
            <w:vAlign w:val="center"/>
          </w:tcPr>
          <w:p w14:paraId="35B210A9" w14:textId="77777777" w:rsidR="001C56BD" w:rsidRPr="00305460" w:rsidRDefault="001C56BD" w:rsidP="008A5C11">
            <w:pPr>
              <w:jc w:val="center"/>
              <w:rPr>
                <w:bCs/>
                <w:sz w:val="12"/>
                <w:szCs w:val="12"/>
              </w:rPr>
            </w:pPr>
            <w:r w:rsidRPr="00305460">
              <w:rPr>
                <w:bCs/>
                <w:sz w:val="12"/>
                <w:szCs w:val="12"/>
              </w:rPr>
              <w:t>3</w:t>
            </w:r>
          </w:p>
        </w:tc>
        <w:tc>
          <w:tcPr>
            <w:tcW w:w="280" w:type="pct"/>
            <w:shd w:val="clear" w:color="auto" w:fill="auto"/>
            <w:tcMar>
              <w:left w:w="17" w:type="dxa"/>
              <w:right w:w="17" w:type="dxa"/>
            </w:tcMar>
            <w:vAlign w:val="center"/>
          </w:tcPr>
          <w:p w14:paraId="0B3604F4" w14:textId="77777777" w:rsidR="001C56BD" w:rsidRPr="00305460" w:rsidRDefault="001C56BD" w:rsidP="008A5C11">
            <w:pPr>
              <w:jc w:val="center"/>
              <w:rPr>
                <w:bCs/>
                <w:sz w:val="12"/>
                <w:szCs w:val="12"/>
              </w:rPr>
            </w:pPr>
            <w:r w:rsidRPr="00305460">
              <w:rPr>
                <w:bCs/>
                <w:sz w:val="12"/>
                <w:szCs w:val="12"/>
              </w:rPr>
              <w:t>4</w:t>
            </w:r>
          </w:p>
        </w:tc>
        <w:tc>
          <w:tcPr>
            <w:tcW w:w="289" w:type="pct"/>
            <w:shd w:val="clear" w:color="auto" w:fill="auto"/>
            <w:tcMar>
              <w:left w:w="17" w:type="dxa"/>
              <w:right w:w="17" w:type="dxa"/>
            </w:tcMar>
            <w:vAlign w:val="center"/>
          </w:tcPr>
          <w:p w14:paraId="3268CB26" w14:textId="77777777" w:rsidR="001C56BD" w:rsidRPr="00305460" w:rsidRDefault="001C56BD" w:rsidP="008A5C11">
            <w:pPr>
              <w:jc w:val="center"/>
              <w:rPr>
                <w:bCs/>
                <w:sz w:val="12"/>
                <w:szCs w:val="12"/>
              </w:rPr>
            </w:pPr>
            <w:r w:rsidRPr="00305460">
              <w:rPr>
                <w:bCs/>
                <w:sz w:val="12"/>
                <w:szCs w:val="12"/>
              </w:rPr>
              <w:t>5</w:t>
            </w:r>
          </w:p>
        </w:tc>
        <w:tc>
          <w:tcPr>
            <w:tcW w:w="137" w:type="pct"/>
            <w:shd w:val="clear" w:color="auto" w:fill="auto"/>
            <w:tcMar>
              <w:left w:w="17" w:type="dxa"/>
              <w:right w:w="17" w:type="dxa"/>
            </w:tcMar>
            <w:vAlign w:val="center"/>
          </w:tcPr>
          <w:p w14:paraId="794647B8" w14:textId="77777777" w:rsidR="001C56BD" w:rsidRPr="00305460" w:rsidRDefault="001C56BD" w:rsidP="008A5C11">
            <w:pPr>
              <w:jc w:val="center"/>
              <w:rPr>
                <w:bCs/>
                <w:sz w:val="12"/>
                <w:szCs w:val="12"/>
              </w:rPr>
            </w:pPr>
            <w:r w:rsidRPr="00305460">
              <w:rPr>
                <w:bCs/>
                <w:sz w:val="12"/>
                <w:szCs w:val="12"/>
              </w:rPr>
              <w:t>6</w:t>
            </w:r>
          </w:p>
        </w:tc>
        <w:tc>
          <w:tcPr>
            <w:tcW w:w="202" w:type="pct"/>
            <w:shd w:val="clear" w:color="auto" w:fill="auto"/>
            <w:tcMar>
              <w:left w:w="17" w:type="dxa"/>
              <w:right w:w="17" w:type="dxa"/>
            </w:tcMar>
            <w:vAlign w:val="center"/>
          </w:tcPr>
          <w:p w14:paraId="183A52A9" w14:textId="77777777" w:rsidR="001C56BD" w:rsidRPr="00305460" w:rsidRDefault="001C56BD" w:rsidP="008A5C11">
            <w:pPr>
              <w:jc w:val="center"/>
              <w:rPr>
                <w:bCs/>
                <w:sz w:val="12"/>
                <w:szCs w:val="12"/>
              </w:rPr>
            </w:pPr>
            <w:r w:rsidRPr="00305460">
              <w:rPr>
                <w:bCs/>
                <w:sz w:val="12"/>
                <w:szCs w:val="12"/>
              </w:rPr>
              <w:t>7</w:t>
            </w:r>
          </w:p>
        </w:tc>
        <w:tc>
          <w:tcPr>
            <w:tcW w:w="244" w:type="pct"/>
            <w:shd w:val="clear" w:color="auto" w:fill="auto"/>
            <w:tcMar>
              <w:left w:w="17" w:type="dxa"/>
              <w:right w:w="17" w:type="dxa"/>
            </w:tcMar>
            <w:vAlign w:val="center"/>
          </w:tcPr>
          <w:p w14:paraId="1081D7C4" w14:textId="77777777" w:rsidR="001C56BD" w:rsidRPr="00305460" w:rsidRDefault="001C56BD" w:rsidP="008A5C11">
            <w:pPr>
              <w:jc w:val="center"/>
              <w:rPr>
                <w:bCs/>
                <w:sz w:val="12"/>
                <w:szCs w:val="12"/>
              </w:rPr>
            </w:pPr>
            <w:r w:rsidRPr="00305460">
              <w:rPr>
                <w:bCs/>
                <w:sz w:val="12"/>
                <w:szCs w:val="12"/>
              </w:rPr>
              <w:t>8</w:t>
            </w:r>
          </w:p>
        </w:tc>
        <w:tc>
          <w:tcPr>
            <w:tcW w:w="140" w:type="pct"/>
            <w:shd w:val="clear" w:color="auto" w:fill="auto"/>
            <w:tcMar>
              <w:left w:w="17" w:type="dxa"/>
              <w:right w:w="17" w:type="dxa"/>
            </w:tcMar>
            <w:vAlign w:val="center"/>
          </w:tcPr>
          <w:p w14:paraId="603F40C9" w14:textId="77777777" w:rsidR="001C56BD" w:rsidRPr="00305460" w:rsidRDefault="001C56BD" w:rsidP="008A5C11">
            <w:pPr>
              <w:jc w:val="center"/>
              <w:rPr>
                <w:bCs/>
                <w:sz w:val="12"/>
                <w:szCs w:val="12"/>
              </w:rPr>
            </w:pPr>
            <w:r w:rsidRPr="00305460">
              <w:rPr>
                <w:bCs/>
                <w:sz w:val="12"/>
                <w:szCs w:val="12"/>
              </w:rPr>
              <w:t>9</w:t>
            </w:r>
          </w:p>
        </w:tc>
        <w:tc>
          <w:tcPr>
            <w:tcW w:w="140" w:type="pct"/>
            <w:shd w:val="clear" w:color="auto" w:fill="auto"/>
            <w:tcMar>
              <w:left w:w="17" w:type="dxa"/>
              <w:right w:w="17" w:type="dxa"/>
            </w:tcMar>
            <w:vAlign w:val="center"/>
          </w:tcPr>
          <w:p w14:paraId="75A53CE7" w14:textId="77777777" w:rsidR="001C56BD" w:rsidRPr="00305460" w:rsidRDefault="001C56BD" w:rsidP="008A5C11">
            <w:pPr>
              <w:jc w:val="center"/>
              <w:rPr>
                <w:bCs/>
                <w:sz w:val="12"/>
                <w:szCs w:val="12"/>
              </w:rPr>
            </w:pPr>
            <w:r w:rsidRPr="00305460">
              <w:rPr>
                <w:bCs/>
                <w:sz w:val="12"/>
                <w:szCs w:val="12"/>
              </w:rPr>
              <w:t>10</w:t>
            </w:r>
          </w:p>
        </w:tc>
        <w:tc>
          <w:tcPr>
            <w:tcW w:w="239" w:type="pct"/>
            <w:gridSpan w:val="3"/>
            <w:shd w:val="clear" w:color="auto" w:fill="auto"/>
            <w:tcMar>
              <w:left w:w="17" w:type="dxa"/>
              <w:right w:w="17" w:type="dxa"/>
            </w:tcMar>
            <w:vAlign w:val="center"/>
          </w:tcPr>
          <w:p w14:paraId="5F1E5A9C" w14:textId="77777777" w:rsidR="001C56BD" w:rsidRPr="00305460" w:rsidRDefault="001C56BD" w:rsidP="008A5C11">
            <w:pPr>
              <w:jc w:val="center"/>
              <w:rPr>
                <w:bCs/>
                <w:sz w:val="12"/>
                <w:szCs w:val="12"/>
              </w:rPr>
            </w:pPr>
            <w:r w:rsidRPr="00305460">
              <w:rPr>
                <w:bCs/>
                <w:sz w:val="12"/>
                <w:szCs w:val="12"/>
              </w:rPr>
              <w:t>11</w:t>
            </w:r>
          </w:p>
        </w:tc>
        <w:tc>
          <w:tcPr>
            <w:tcW w:w="196" w:type="pct"/>
            <w:gridSpan w:val="3"/>
            <w:shd w:val="clear" w:color="auto" w:fill="auto"/>
            <w:tcMar>
              <w:left w:w="17" w:type="dxa"/>
              <w:right w:w="17" w:type="dxa"/>
            </w:tcMar>
            <w:vAlign w:val="center"/>
          </w:tcPr>
          <w:p w14:paraId="2A86F3B5" w14:textId="77777777" w:rsidR="001C56BD" w:rsidRPr="00305460" w:rsidRDefault="001C56BD" w:rsidP="008A5C11">
            <w:pPr>
              <w:jc w:val="center"/>
              <w:rPr>
                <w:bCs/>
                <w:sz w:val="12"/>
                <w:szCs w:val="12"/>
              </w:rPr>
            </w:pPr>
            <w:r w:rsidRPr="00305460">
              <w:rPr>
                <w:bCs/>
                <w:sz w:val="12"/>
                <w:szCs w:val="12"/>
              </w:rPr>
              <w:t>12</w:t>
            </w:r>
          </w:p>
        </w:tc>
        <w:tc>
          <w:tcPr>
            <w:tcW w:w="216" w:type="pct"/>
            <w:gridSpan w:val="3"/>
            <w:shd w:val="clear" w:color="auto" w:fill="auto"/>
            <w:tcMar>
              <w:left w:w="17" w:type="dxa"/>
              <w:right w:w="17" w:type="dxa"/>
            </w:tcMar>
            <w:vAlign w:val="center"/>
          </w:tcPr>
          <w:p w14:paraId="164022D9" w14:textId="77777777" w:rsidR="001C56BD" w:rsidRPr="00305460" w:rsidRDefault="001C56BD" w:rsidP="008A5C11">
            <w:pPr>
              <w:jc w:val="center"/>
              <w:rPr>
                <w:bCs/>
                <w:sz w:val="12"/>
                <w:szCs w:val="12"/>
              </w:rPr>
            </w:pPr>
            <w:r w:rsidRPr="00305460">
              <w:rPr>
                <w:bCs/>
                <w:sz w:val="12"/>
                <w:szCs w:val="12"/>
              </w:rPr>
              <w:t>13</w:t>
            </w:r>
          </w:p>
        </w:tc>
        <w:tc>
          <w:tcPr>
            <w:tcW w:w="179" w:type="pct"/>
            <w:gridSpan w:val="2"/>
            <w:shd w:val="clear" w:color="auto" w:fill="auto"/>
            <w:tcMar>
              <w:left w:w="17" w:type="dxa"/>
              <w:right w:w="17" w:type="dxa"/>
            </w:tcMar>
            <w:vAlign w:val="center"/>
          </w:tcPr>
          <w:p w14:paraId="3585AC3C" w14:textId="77777777" w:rsidR="001C56BD" w:rsidRPr="00305460" w:rsidRDefault="001C56BD" w:rsidP="008A5C11">
            <w:pPr>
              <w:jc w:val="center"/>
              <w:rPr>
                <w:bCs/>
                <w:sz w:val="12"/>
                <w:szCs w:val="12"/>
              </w:rPr>
            </w:pPr>
            <w:r w:rsidRPr="00305460">
              <w:rPr>
                <w:bCs/>
                <w:sz w:val="12"/>
                <w:szCs w:val="12"/>
              </w:rPr>
              <w:t>14</w:t>
            </w:r>
          </w:p>
        </w:tc>
        <w:tc>
          <w:tcPr>
            <w:tcW w:w="222" w:type="pct"/>
            <w:gridSpan w:val="2"/>
            <w:shd w:val="clear" w:color="auto" w:fill="auto"/>
            <w:tcMar>
              <w:left w:w="17" w:type="dxa"/>
              <w:right w:w="17" w:type="dxa"/>
            </w:tcMar>
            <w:vAlign w:val="center"/>
          </w:tcPr>
          <w:p w14:paraId="642D459F" w14:textId="77777777" w:rsidR="001C56BD" w:rsidRPr="00305460" w:rsidRDefault="001C56BD" w:rsidP="008A5C11">
            <w:pPr>
              <w:jc w:val="center"/>
              <w:rPr>
                <w:bCs/>
                <w:sz w:val="12"/>
                <w:szCs w:val="12"/>
              </w:rPr>
            </w:pPr>
            <w:r w:rsidRPr="00305460">
              <w:rPr>
                <w:bCs/>
                <w:sz w:val="12"/>
                <w:szCs w:val="12"/>
              </w:rPr>
              <w:t>15</w:t>
            </w:r>
          </w:p>
        </w:tc>
        <w:tc>
          <w:tcPr>
            <w:tcW w:w="213" w:type="pct"/>
            <w:tcMar>
              <w:left w:w="17" w:type="dxa"/>
              <w:right w:w="17" w:type="dxa"/>
            </w:tcMar>
            <w:vAlign w:val="center"/>
          </w:tcPr>
          <w:p w14:paraId="37D4DE12" w14:textId="77777777" w:rsidR="001C56BD" w:rsidRPr="00305460" w:rsidRDefault="001C56BD" w:rsidP="008A5C11">
            <w:pPr>
              <w:jc w:val="center"/>
              <w:rPr>
                <w:bCs/>
                <w:sz w:val="12"/>
                <w:szCs w:val="12"/>
              </w:rPr>
            </w:pPr>
            <w:r w:rsidRPr="00305460">
              <w:rPr>
                <w:bCs/>
                <w:sz w:val="12"/>
                <w:szCs w:val="12"/>
              </w:rPr>
              <w:t>16</w:t>
            </w:r>
          </w:p>
        </w:tc>
        <w:tc>
          <w:tcPr>
            <w:tcW w:w="218" w:type="pct"/>
            <w:tcMar>
              <w:left w:w="17" w:type="dxa"/>
              <w:right w:w="17" w:type="dxa"/>
            </w:tcMar>
            <w:vAlign w:val="center"/>
          </w:tcPr>
          <w:p w14:paraId="7C58354C" w14:textId="77777777" w:rsidR="001C56BD" w:rsidRPr="00305460" w:rsidRDefault="001C56BD" w:rsidP="008A5C11">
            <w:pPr>
              <w:jc w:val="center"/>
              <w:rPr>
                <w:bCs/>
                <w:sz w:val="12"/>
                <w:szCs w:val="12"/>
              </w:rPr>
            </w:pPr>
            <w:r w:rsidRPr="00305460">
              <w:rPr>
                <w:bCs/>
                <w:sz w:val="12"/>
                <w:szCs w:val="12"/>
              </w:rPr>
              <w:t>17</w:t>
            </w:r>
          </w:p>
        </w:tc>
        <w:tc>
          <w:tcPr>
            <w:tcW w:w="218" w:type="pct"/>
            <w:tcMar>
              <w:left w:w="17" w:type="dxa"/>
              <w:right w:w="17" w:type="dxa"/>
            </w:tcMar>
            <w:vAlign w:val="center"/>
          </w:tcPr>
          <w:p w14:paraId="5F019FDD" w14:textId="77777777" w:rsidR="001C56BD" w:rsidRPr="00305460" w:rsidRDefault="001C56BD" w:rsidP="008A5C11">
            <w:pPr>
              <w:jc w:val="center"/>
              <w:rPr>
                <w:bCs/>
                <w:sz w:val="12"/>
                <w:szCs w:val="12"/>
              </w:rPr>
            </w:pPr>
            <w:r w:rsidRPr="00305460">
              <w:rPr>
                <w:bCs/>
                <w:sz w:val="12"/>
                <w:szCs w:val="12"/>
              </w:rPr>
              <w:t>18</w:t>
            </w:r>
          </w:p>
        </w:tc>
        <w:tc>
          <w:tcPr>
            <w:tcW w:w="218" w:type="pct"/>
            <w:tcMar>
              <w:left w:w="17" w:type="dxa"/>
              <w:right w:w="17" w:type="dxa"/>
            </w:tcMar>
            <w:vAlign w:val="center"/>
          </w:tcPr>
          <w:p w14:paraId="5C5ED9D8" w14:textId="77777777" w:rsidR="001C56BD" w:rsidRPr="00305460" w:rsidRDefault="001C56BD" w:rsidP="008A5C11">
            <w:pPr>
              <w:jc w:val="center"/>
              <w:rPr>
                <w:bCs/>
                <w:sz w:val="12"/>
                <w:szCs w:val="12"/>
              </w:rPr>
            </w:pPr>
            <w:r w:rsidRPr="00305460">
              <w:rPr>
                <w:bCs/>
                <w:sz w:val="12"/>
                <w:szCs w:val="12"/>
              </w:rPr>
              <w:t>19</w:t>
            </w:r>
          </w:p>
        </w:tc>
        <w:tc>
          <w:tcPr>
            <w:tcW w:w="218" w:type="pct"/>
            <w:gridSpan w:val="2"/>
            <w:tcMar>
              <w:left w:w="17" w:type="dxa"/>
              <w:right w:w="17" w:type="dxa"/>
            </w:tcMar>
            <w:vAlign w:val="center"/>
          </w:tcPr>
          <w:p w14:paraId="3DD81746" w14:textId="77777777" w:rsidR="001C56BD" w:rsidRPr="00305460" w:rsidRDefault="001C56BD" w:rsidP="008A5C11">
            <w:pPr>
              <w:jc w:val="center"/>
              <w:rPr>
                <w:bCs/>
                <w:sz w:val="12"/>
                <w:szCs w:val="12"/>
              </w:rPr>
            </w:pPr>
            <w:r w:rsidRPr="00305460">
              <w:rPr>
                <w:bCs/>
                <w:sz w:val="12"/>
                <w:szCs w:val="12"/>
              </w:rPr>
              <w:t>20</w:t>
            </w:r>
          </w:p>
        </w:tc>
        <w:tc>
          <w:tcPr>
            <w:tcW w:w="172" w:type="pct"/>
            <w:gridSpan w:val="2"/>
            <w:tcMar>
              <w:left w:w="17" w:type="dxa"/>
              <w:right w:w="17" w:type="dxa"/>
            </w:tcMar>
            <w:vAlign w:val="center"/>
          </w:tcPr>
          <w:p w14:paraId="2601B02C" w14:textId="77777777" w:rsidR="001C56BD" w:rsidRPr="00305460" w:rsidRDefault="001C56BD" w:rsidP="008A5C11">
            <w:pPr>
              <w:jc w:val="center"/>
              <w:rPr>
                <w:bCs/>
                <w:sz w:val="12"/>
                <w:szCs w:val="12"/>
              </w:rPr>
            </w:pPr>
            <w:r w:rsidRPr="00305460">
              <w:rPr>
                <w:bCs/>
                <w:sz w:val="12"/>
                <w:szCs w:val="12"/>
              </w:rPr>
              <w:t>21</w:t>
            </w:r>
          </w:p>
        </w:tc>
        <w:tc>
          <w:tcPr>
            <w:tcW w:w="219" w:type="pct"/>
            <w:tcMar>
              <w:left w:w="17" w:type="dxa"/>
              <w:right w:w="17" w:type="dxa"/>
            </w:tcMar>
            <w:vAlign w:val="center"/>
          </w:tcPr>
          <w:p w14:paraId="29D0565C" w14:textId="77777777" w:rsidR="001C56BD" w:rsidRPr="00305460" w:rsidRDefault="001C56BD" w:rsidP="008A5C11">
            <w:pPr>
              <w:jc w:val="center"/>
              <w:rPr>
                <w:bCs/>
                <w:sz w:val="12"/>
                <w:szCs w:val="12"/>
              </w:rPr>
            </w:pPr>
            <w:r w:rsidRPr="00305460">
              <w:rPr>
                <w:bCs/>
                <w:sz w:val="12"/>
                <w:szCs w:val="12"/>
              </w:rPr>
              <w:t>22</w:t>
            </w:r>
          </w:p>
        </w:tc>
        <w:tc>
          <w:tcPr>
            <w:tcW w:w="174" w:type="pct"/>
            <w:tcMar>
              <w:left w:w="17" w:type="dxa"/>
              <w:right w:w="17" w:type="dxa"/>
            </w:tcMar>
            <w:vAlign w:val="center"/>
          </w:tcPr>
          <w:p w14:paraId="388DE11D" w14:textId="77777777" w:rsidR="001C56BD" w:rsidRPr="00305460" w:rsidRDefault="001C56BD" w:rsidP="008A5C11">
            <w:pPr>
              <w:jc w:val="center"/>
              <w:rPr>
                <w:bCs/>
                <w:sz w:val="12"/>
                <w:szCs w:val="12"/>
              </w:rPr>
            </w:pPr>
            <w:r w:rsidRPr="00305460">
              <w:rPr>
                <w:bCs/>
                <w:sz w:val="12"/>
                <w:szCs w:val="12"/>
              </w:rPr>
              <w:t>23</w:t>
            </w:r>
          </w:p>
        </w:tc>
        <w:tc>
          <w:tcPr>
            <w:tcW w:w="176" w:type="pct"/>
            <w:tcMar>
              <w:left w:w="17" w:type="dxa"/>
              <w:right w:w="17" w:type="dxa"/>
            </w:tcMar>
            <w:vAlign w:val="center"/>
          </w:tcPr>
          <w:p w14:paraId="3601D945" w14:textId="77777777" w:rsidR="001C56BD" w:rsidRPr="00305460" w:rsidRDefault="001C56BD" w:rsidP="008A5C11">
            <w:pPr>
              <w:jc w:val="center"/>
              <w:rPr>
                <w:bCs/>
                <w:sz w:val="12"/>
                <w:szCs w:val="12"/>
              </w:rPr>
            </w:pPr>
            <w:r w:rsidRPr="00305460">
              <w:rPr>
                <w:bCs/>
                <w:sz w:val="12"/>
                <w:szCs w:val="12"/>
              </w:rPr>
              <w:t>24</w:t>
            </w:r>
          </w:p>
        </w:tc>
      </w:tr>
      <w:tr w:rsidR="001C56BD" w:rsidRPr="00305460" w14:paraId="30F80E47" w14:textId="77777777" w:rsidTr="008A5C11">
        <w:trPr>
          <w:trHeight w:val="897"/>
        </w:trPr>
        <w:tc>
          <w:tcPr>
            <w:tcW w:w="86" w:type="pct"/>
            <w:shd w:val="clear" w:color="auto" w:fill="auto"/>
            <w:tcMar>
              <w:left w:w="17" w:type="dxa"/>
              <w:right w:w="17" w:type="dxa"/>
            </w:tcMar>
            <w:vAlign w:val="center"/>
          </w:tcPr>
          <w:p w14:paraId="108F5982" w14:textId="77777777" w:rsidR="001C56BD" w:rsidRPr="00305460" w:rsidRDefault="001C56BD" w:rsidP="008A5C11">
            <w:pPr>
              <w:jc w:val="center"/>
              <w:rPr>
                <w:sz w:val="12"/>
                <w:szCs w:val="12"/>
              </w:rPr>
            </w:pPr>
            <w:r w:rsidRPr="00305460">
              <w:rPr>
                <w:sz w:val="12"/>
                <w:szCs w:val="12"/>
              </w:rPr>
              <w:t>3.1.38.</w:t>
            </w:r>
          </w:p>
        </w:tc>
        <w:tc>
          <w:tcPr>
            <w:tcW w:w="295" w:type="pct"/>
            <w:shd w:val="clear" w:color="auto" w:fill="auto"/>
            <w:tcMar>
              <w:left w:w="17" w:type="dxa"/>
              <w:right w:w="17" w:type="dxa"/>
            </w:tcMar>
            <w:vAlign w:val="center"/>
          </w:tcPr>
          <w:p w14:paraId="66697CCF" w14:textId="77777777" w:rsidR="001C56BD" w:rsidRPr="00305460" w:rsidRDefault="001C56BD" w:rsidP="008A5C11">
            <w:pPr>
              <w:rPr>
                <w:sz w:val="12"/>
                <w:szCs w:val="12"/>
              </w:rPr>
            </w:pPr>
            <w:r w:rsidRPr="00305460">
              <w:rPr>
                <w:color w:val="000000"/>
                <w:sz w:val="12"/>
                <w:szCs w:val="12"/>
              </w:rPr>
              <w:t>Реконструкция тепловой сети с реестровым номером</w:t>
            </w:r>
            <w:r w:rsidRPr="00305460">
              <w:rPr>
                <w:sz w:val="12"/>
                <w:szCs w:val="12"/>
              </w:rPr>
              <w:t xml:space="preserve"> 773481</w:t>
            </w:r>
          </w:p>
        </w:tc>
        <w:tc>
          <w:tcPr>
            <w:tcW w:w="307" w:type="pct"/>
            <w:shd w:val="clear" w:color="000000" w:fill="FFFFFF"/>
            <w:tcMar>
              <w:left w:w="17" w:type="dxa"/>
              <w:right w:w="17" w:type="dxa"/>
            </w:tcMar>
            <w:vAlign w:val="center"/>
          </w:tcPr>
          <w:p w14:paraId="77E5EDF5" w14:textId="77777777" w:rsidR="001C56BD" w:rsidRPr="00305460" w:rsidRDefault="001C56BD" w:rsidP="008A5C11">
            <w:pPr>
              <w:jc w:val="center"/>
              <w:rPr>
                <w:sz w:val="12"/>
                <w:szCs w:val="12"/>
              </w:rPr>
            </w:pPr>
            <w:r w:rsidRPr="00305460">
              <w:rPr>
                <w:color w:val="000000"/>
                <w:sz w:val="12"/>
                <w:szCs w:val="12"/>
              </w:rPr>
              <w:t>Повышение надежности услуг теплоснабжения, повышение энергетической эффективности</w:t>
            </w:r>
          </w:p>
        </w:tc>
        <w:tc>
          <w:tcPr>
            <w:tcW w:w="280" w:type="pct"/>
            <w:shd w:val="clear" w:color="auto" w:fill="auto"/>
            <w:tcMar>
              <w:left w:w="17" w:type="dxa"/>
              <w:right w:w="17" w:type="dxa"/>
            </w:tcMar>
            <w:vAlign w:val="center"/>
          </w:tcPr>
          <w:p w14:paraId="4AE6CB43" w14:textId="77777777" w:rsidR="001C56BD" w:rsidRPr="00305460" w:rsidRDefault="001C56BD" w:rsidP="008A5C11">
            <w:pPr>
              <w:jc w:val="center"/>
              <w:rPr>
                <w:sz w:val="12"/>
                <w:szCs w:val="12"/>
              </w:rPr>
            </w:pPr>
            <w:r w:rsidRPr="00305460">
              <w:rPr>
                <w:sz w:val="12"/>
                <w:szCs w:val="12"/>
              </w:rPr>
              <w:t>Кемеровский городской округ, Центральный район, ул. Красноармейская (квартал №39) от ТК II №18</w:t>
            </w:r>
          </w:p>
        </w:tc>
        <w:tc>
          <w:tcPr>
            <w:tcW w:w="289" w:type="pct"/>
            <w:shd w:val="clear" w:color="auto" w:fill="auto"/>
            <w:tcMar>
              <w:left w:w="17" w:type="dxa"/>
              <w:right w:w="17" w:type="dxa"/>
            </w:tcMar>
            <w:vAlign w:val="center"/>
          </w:tcPr>
          <w:p w14:paraId="13109B8A" w14:textId="77777777" w:rsidR="001C56BD" w:rsidRPr="00305460" w:rsidRDefault="001C56BD" w:rsidP="008A5C11">
            <w:pPr>
              <w:jc w:val="center"/>
              <w:rPr>
                <w:sz w:val="12"/>
                <w:szCs w:val="12"/>
              </w:rPr>
            </w:pPr>
            <w:r w:rsidRPr="00305460">
              <w:rPr>
                <w:color w:val="000000"/>
                <w:sz w:val="12"/>
                <w:szCs w:val="12"/>
              </w:rPr>
              <w:t>Технические характеристики</w:t>
            </w:r>
          </w:p>
        </w:tc>
        <w:tc>
          <w:tcPr>
            <w:tcW w:w="137" w:type="pct"/>
            <w:shd w:val="clear" w:color="auto" w:fill="auto"/>
            <w:tcMar>
              <w:left w:w="17" w:type="dxa"/>
              <w:right w:w="17" w:type="dxa"/>
            </w:tcMar>
            <w:vAlign w:val="center"/>
          </w:tcPr>
          <w:p w14:paraId="7F2BBA92" w14:textId="77777777" w:rsidR="001C56BD" w:rsidRPr="00305460" w:rsidRDefault="001C56BD" w:rsidP="008A5C11">
            <w:pPr>
              <w:jc w:val="center"/>
              <w:rPr>
                <w:color w:val="000000"/>
                <w:sz w:val="12"/>
                <w:szCs w:val="12"/>
              </w:rPr>
            </w:pPr>
          </w:p>
        </w:tc>
        <w:tc>
          <w:tcPr>
            <w:tcW w:w="202" w:type="pct"/>
            <w:shd w:val="clear" w:color="auto" w:fill="auto"/>
            <w:tcMar>
              <w:left w:w="17" w:type="dxa"/>
              <w:right w:w="17" w:type="dxa"/>
            </w:tcMar>
            <w:vAlign w:val="center"/>
          </w:tcPr>
          <w:p w14:paraId="4BA17125" w14:textId="77777777" w:rsidR="001C56BD" w:rsidRPr="00305460" w:rsidRDefault="001C56BD" w:rsidP="008A5C11">
            <w:pPr>
              <w:jc w:val="center"/>
              <w:rPr>
                <w:sz w:val="12"/>
                <w:szCs w:val="12"/>
              </w:rPr>
            </w:pPr>
            <w:r w:rsidRPr="00305460">
              <w:rPr>
                <w:sz w:val="12"/>
                <w:szCs w:val="12"/>
              </w:rPr>
              <w:t>Канал-кирпич (непроходной канал),</w:t>
            </w:r>
            <w:r w:rsidRPr="00305460">
              <w:rPr>
                <w:sz w:val="12"/>
                <w:szCs w:val="12"/>
              </w:rPr>
              <w:br/>
              <w:t xml:space="preserve">опоры приварные, запорная арматура-стальная клиновая, антикоррозийная защита-лак БТ, труба-сталь 20, изоляция-мин. маты.       </w:t>
            </w:r>
          </w:p>
        </w:tc>
        <w:tc>
          <w:tcPr>
            <w:tcW w:w="244" w:type="pct"/>
            <w:shd w:val="clear" w:color="auto" w:fill="auto"/>
            <w:tcMar>
              <w:left w:w="17" w:type="dxa"/>
              <w:right w:w="17" w:type="dxa"/>
            </w:tcMar>
            <w:vAlign w:val="center"/>
          </w:tcPr>
          <w:p w14:paraId="0B7E66E5" w14:textId="77777777" w:rsidR="001C56BD" w:rsidRPr="00305460" w:rsidRDefault="001C56BD" w:rsidP="008A5C11">
            <w:pPr>
              <w:jc w:val="center"/>
              <w:rPr>
                <w:sz w:val="12"/>
                <w:szCs w:val="12"/>
              </w:rPr>
            </w:pPr>
            <w:r w:rsidRPr="00305460">
              <w:rPr>
                <w:sz w:val="12"/>
                <w:szCs w:val="12"/>
              </w:rPr>
              <w:t xml:space="preserve">Канал-ж/б лотки (непроходной канал), опоры- хомутовые с диэлектрической прокладкой, запорная арматура-кран шаровый, антикоррозийная защита-мастика Вектор 1214, 1025, труба-сталь 09Г2С, изоляция- маты </w:t>
            </w:r>
            <w:proofErr w:type="gramStart"/>
            <w:r w:rsidRPr="00305460">
              <w:rPr>
                <w:sz w:val="12"/>
                <w:szCs w:val="12"/>
              </w:rPr>
              <w:t>прошивные,стеклоплас</w:t>
            </w:r>
            <w:proofErr w:type="gramEnd"/>
            <w:r w:rsidRPr="00305460">
              <w:rPr>
                <w:sz w:val="12"/>
                <w:szCs w:val="12"/>
              </w:rPr>
              <w:t>-тик</w:t>
            </w:r>
          </w:p>
        </w:tc>
        <w:tc>
          <w:tcPr>
            <w:tcW w:w="140" w:type="pct"/>
            <w:shd w:val="clear" w:color="auto" w:fill="auto"/>
            <w:tcMar>
              <w:left w:w="17" w:type="dxa"/>
              <w:right w:w="17" w:type="dxa"/>
            </w:tcMar>
            <w:vAlign w:val="center"/>
          </w:tcPr>
          <w:p w14:paraId="0B3E197D" w14:textId="77777777" w:rsidR="001C56BD" w:rsidRPr="00305460" w:rsidRDefault="001C56BD" w:rsidP="008A5C11">
            <w:pPr>
              <w:jc w:val="center"/>
              <w:rPr>
                <w:sz w:val="12"/>
                <w:szCs w:val="12"/>
              </w:rPr>
            </w:pPr>
            <w:r w:rsidRPr="00305460">
              <w:rPr>
                <w:sz w:val="12"/>
                <w:szCs w:val="12"/>
              </w:rPr>
              <w:t>2022</w:t>
            </w:r>
          </w:p>
        </w:tc>
        <w:tc>
          <w:tcPr>
            <w:tcW w:w="140" w:type="pct"/>
            <w:shd w:val="clear" w:color="auto" w:fill="auto"/>
            <w:tcMar>
              <w:left w:w="17" w:type="dxa"/>
              <w:right w:w="17" w:type="dxa"/>
            </w:tcMar>
            <w:vAlign w:val="center"/>
          </w:tcPr>
          <w:p w14:paraId="68649006" w14:textId="77777777" w:rsidR="001C56BD" w:rsidRPr="00305460" w:rsidRDefault="001C56BD" w:rsidP="008A5C11">
            <w:pPr>
              <w:jc w:val="center"/>
              <w:rPr>
                <w:sz w:val="12"/>
                <w:szCs w:val="12"/>
              </w:rPr>
            </w:pPr>
            <w:r w:rsidRPr="00305460">
              <w:rPr>
                <w:sz w:val="12"/>
                <w:szCs w:val="12"/>
              </w:rPr>
              <w:t>2022</w:t>
            </w:r>
          </w:p>
        </w:tc>
        <w:tc>
          <w:tcPr>
            <w:tcW w:w="239" w:type="pct"/>
            <w:gridSpan w:val="3"/>
            <w:shd w:val="clear" w:color="auto" w:fill="auto"/>
            <w:tcMar>
              <w:left w:w="17" w:type="dxa"/>
              <w:right w:w="17" w:type="dxa"/>
            </w:tcMar>
            <w:vAlign w:val="center"/>
          </w:tcPr>
          <w:p w14:paraId="74F6182F" w14:textId="77777777" w:rsidR="001C56BD" w:rsidRPr="00305460" w:rsidRDefault="001C56BD" w:rsidP="008A5C11">
            <w:pPr>
              <w:jc w:val="center"/>
              <w:rPr>
                <w:sz w:val="12"/>
                <w:szCs w:val="12"/>
              </w:rPr>
            </w:pPr>
            <w:r w:rsidRPr="00305460">
              <w:rPr>
                <w:sz w:val="12"/>
                <w:szCs w:val="12"/>
              </w:rPr>
              <w:t>6614,076</w:t>
            </w:r>
          </w:p>
        </w:tc>
        <w:tc>
          <w:tcPr>
            <w:tcW w:w="196" w:type="pct"/>
            <w:gridSpan w:val="3"/>
            <w:shd w:val="clear" w:color="auto" w:fill="auto"/>
            <w:tcMar>
              <w:left w:w="17" w:type="dxa"/>
              <w:right w:w="17" w:type="dxa"/>
            </w:tcMar>
            <w:vAlign w:val="center"/>
          </w:tcPr>
          <w:p w14:paraId="200AB365" w14:textId="77777777" w:rsidR="001C56BD" w:rsidRPr="00305460" w:rsidRDefault="001C56BD" w:rsidP="008A5C11">
            <w:pPr>
              <w:jc w:val="center"/>
              <w:rPr>
                <w:sz w:val="12"/>
                <w:szCs w:val="12"/>
              </w:rPr>
            </w:pPr>
            <w:r w:rsidRPr="00305460">
              <w:rPr>
                <w:sz w:val="12"/>
                <w:szCs w:val="12"/>
              </w:rPr>
              <w:t>0,000</w:t>
            </w:r>
          </w:p>
        </w:tc>
        <w:tc>
          <w:tcPr>
            <w:tcW w:w="216" w:type="pct"/>
            <w:gridSpan w:val="3"/>
            <w:shd w:val="clear" w:color="auto" w:fill="auto"/>
            <w:tcMar>
              <w:left w:w="17" w:type="dxa"/>
              <w:right w:w="17" w:type="dxa"/>
            </w:tcMar>
            <w:vAlign w:val="center"/>
          </w:tcPr>
          <w:p w14:paraId="5590E7F5" w14:textId="77777777" w:rsidR="001C56BD" w:rsidRPr="00305460" w:rsidRDefault="001C56BD" w:rsidP="008A5C11">
            <w:pPr>
              <w:jc w:val="center"/>
              <w:rPr>
                <w:sz w:val="12"/>
                <w:szCs w:val="12"/>
              </w:rPr>
            </w:pPr>
            <w:r w:rsidRPr="00305460">
              <w:rPr>
                <w:sz w:val="12"/>
                <w:szCs w:val="12"/>
              </w:rPr>
              <w:t>6614,076</w:t>
            </w:r>
          </w:p>
        </w:tc>
        <w:tc>
          <w:tcPr>
            <w:tcW w:w="179" w:type="pct"/>
            <w:gridSpan w:val="2"/>
            <w:shd w:val="clear" w:color="auto" w:fill="auto"/>
            <w:tcMar>
              <w:left w:w="17" w:type="dxa"/>
              <w:right w:w="17" w:type="dxa"/>
            </w:tcMar>
            <w:vAlign w:val="center"/>
          </w:tcPr>
          <w:p w14:paraId="331F79AC" w14:textId="77777777" w:rsidR="001C56BD" w:rsidRPr="00305460" w:rsidRDefault="001C56BD" w:rsidP="008A5C11">
            <w:pPr>
              <w:jc w:val="center"/>
              <w:rPr>
                <w:sz w:val="12"/>
                <w:szCs w:val="12"/>
              </w:rPr>
            </w:pPr>
            <w:r w:rsidRPr="00305460">
              <w:rPr>
                <w:sz w:val="12"/>
                <w:szCs w:val="12"/>
              </w:rPr>
              <w:t>0,000</w:t>
            </w:r>
          </w:p>
        </w:tc>
        <w:tc>
          <w:tcPr>
            <w:tcW w:w="222" w:type="pct"/>
            <w:gridSpan w:val="2"/>
            <w:shd w:val="clear" w:color="auto" w:fill="auto"/>
            <w:tcMar>
              <w:left w:w="17" w:type="dxa"/>
              <w:right w:w="17" w:type="dxa"/>
            </w:tcMar>
            <w:vAlign w:val="center"/>
          </w:tcPr>
          <w:p w14:paraId="598B82E4" w14:textId="77777777" w:rsidR="001C56BD" w:rsidRPr="00305460" w:rsidRDefault="001C56BD" w:rsidP="008A5C11">
            <w:pPr>
              <w:jc w:val="center"/>
              <w:rPr>
                <w:sz w:val="12"/>
                <w:szCs w:val="12"/>
              </w:rPr>
            </w:pPr>
            <w:r w:rsidRPr="00305460">
              <w:rPr>
                <w:sz w:val="12"/>
                <w:szCs w:val="12"/>
              </w:rPr>
              <w:t>0,000</w:t>
            </w:r>
          </w:p>
        </w:tc>
        <w:tc>
          <w:tcPr>
            <w:tcW w:w="213" w:type="pct"/>
            <w:shd w:val="clear" w:color="auto" w:fill="auto"/>
            <w:tcMar>
              <w:left w:w="17" w:type="dxa"/>
              <w:right w:w="17" w:type="dxa"/>
            </w:tcMar>
            <w:vAlign w:val="center"/>
          </w:tcPr>
          <w:p w14:paraId="582942A3"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41EE50F0"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6EA3EC57"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21AEA7B0" w14:textId="77777777" w:rsidR="001C56BD" w:rsidRPr="00305460" w:rsidRDefault="001C56BD" w:rsidP="008A5C11">
            <w:pPr>
              <w:jc w:val="center"/>
              <w:rPr>
                <w:sz w:val="12"/>
                <w:szCs w:val="12"/>
              </w:rPr>
            </w:pPr>
            <w:r w:rsidRPr="00305460">
              <w:rPr>
                <w:sz w:val="12"/>
                <w:szCs w:val="12"/>
              </w:rPr>
              <w:t>0,000</w:t>
            </w:r>
          </w:p>
        </w:tc>
        <w:tc>
          <w:tcPr>
            <w:tcW w:w="218" w:type="pct"/>
            <w:gridSpan w:val="2"/>
            <w:shd w:val="clear" w:color="auto" w:fill="auto"/>
            <w:tcMar>
              <w:left w:w="17" w:type="dxa"/>
              <w:right w:w="17" w:type="dxa"/>
            </w:tcMar>
            <w:vAlign w:val="center"/>
          </w:tcPr>
          <w:p w14:paraId="4463DBEF" w14:textId="77777777" w:rsidR="001C56BD" w:rsidRPr="00305460" w:rsidRDefault="001C56BD" w:rsidP="008A5C11">
            <w:pPr>
              <w:jc w:val="center"/>
              <w:rPr>
                <w:sz w:val="12"/>
                <w:szCs w:val="12"/>
              </w:rPr>
            </w:pPr>
            <w:r w:rsidRPr="00305460">
              <w:rPr>
                <w:sz w:val="12"/>
                <w:szCs w:val="12"/>
              </w:rPr>
              <w:t>0,000</w:t>
            </w:r>
          </w:p>
        </w:tc>
        <w:tc>
          <w:tcPr>
            <w:tcW w:w="172" w:type="pct"/>
            <w:gridSpan w:val="2"/>
            <w:shd w:val="clear" w:color="auto" w:fill="auto"/>
            <w:tcMar>
              <w:left w:w="17" w:type="dxa"/>
              <w:right w:w="17" w:type="dxa"/>
            </w:tcMar>
            <w:vAlign w:val="center"/>
          </w:tcPr>
          <w:p w14:paraId="45F9473A" w14:textId="77777777" w:rsidR="001C56BD" w:rsidRPr="00305460" w:rsidRDefault="001C56BD" w:rsidP="008A5C11">
            <w:pPr>
              <w:jc w:val="center"/>
              <w:rPr>
                <w:sz w:val="12"/>
                <w:szCs w:val="12"/>
              </w:rPr>
            </w:pPr>
            <w:r w:rsidRPr="00305460">
              <w:rPr>
                <w:sz w:val="12"/>
                <w:szCs w:val="12"/>
              </w:rPr>
              <w:t>0,000</w:t>
            </w:r>
          </w:p>
        </w:tc>
        <w:tc>
          <w:tcPr>
            <w:tcW w:w="219" w:type="pct"/>
            <w:shd w:val="clear" w:color="auto" w:fill="auto"/>
            <w:tcMar>
              <w:left w:w="17" w:type="dxa"/>
              <w:right w:w="17" w:type="dxa"/>
            </w:tcMar>
            <w:vAlign w:val="center"/>
          </w:tcPr>
          <w:p w14:paraId="072E4907" w14:textId="77777777" w:rsidR="001C56BD" w:rsidRPr="00305460" w:rsidRDefault="001C56BD" w:rsidP="008A5C11">
            <w:pPr>
              <w:jc w:val="center"/>
              <w:rPr>
                <w:sz w:val="12"/>
                <w:szCs w:val="12"/>
              </w:rPr>
            </w:pPr>
            <w:r w:rsidRPr="00305460">
              <w:rPr>
                <w:sz w:val="12"/>
                <w:szCs w:val="12"/>
              </w:rPr>
              <w:t>0,000</w:t>
            </w:r>
          </w:p>
        </w:tc>
        <w:tc>
          <w:tcPr>
            <w:tcW w:w="174" w:type="pct"/>
            <w:shd w:val="clear" w:color="auto" w:fill="auto"/>
            <w:tcMar>
              <w:left w:w="17" w:type="dxa"/>
              <w:right w:w="17" w:type="dxa"/>
            </w:tcMar>
            <w:vAlign w:val="center"/>
          </w:tcPr>
          <w:p w14:paraId="15B43390" w14:textId="77777777" w:rsidR="001C56BD" w:rsidRPr="00305460" w:rsidRDefault="001C56BD" w:rsidP="008A5C11">
            <w:pPr>
              <w:jc w:val="center"/>
              <w:rPr>
                <w:sz w:val="12"/>
                <w:szCs w:val="12"/>
              </w:rPr>
            </w:pPr>
            <w:r w:rsidRPr="00305460">
              <w:rPr>
                <w:sz w:val="12"/>
                <w:szCs w:val="12"/>
              </w:rPr>
              <w:t>0,000</w:t>
            </w:r>
          </w:p>
        </w:tc>
        <w:tc>
          <w:tcPr>
            <w:tcW w:w="176" w:type="pct"/>
            <w:shd w:val="clear" w:color="auto" w:fill="auto"/>
            <w:tcMar>
              <w:left w:w="17" w:type="dxa"/>
              <w:right w:w="17" w:type="dxa"/>
            </w:tcMar>
            <w:vAlign w:val="center"/>
          </w:tcPr>
          <w:p w14:paraId="3D2AE09F" w14:textId="77777777" w:rsidR="001C56BD" w:rsidRPr="00305460" w:rsidRDefault="001C56BD" w:rsidP="008A5C11">
            <w:pPr>
              <w:jc w:val="center"/>
              <w:rPr>
                <w:sz w:val="12"/>
                <w:szCs w:val="12"/>
              </w:rPr>
            </w:pPr>
            <w:r w:rsidRPr="00305460">
              <w:rPr>
                <w:sz w:val="12"/>
                <w:szCs w:val="12"/>
              </w:rPr>
              <w:t>0,000</w:t>
            </w:r>
          </w:p>
        </w:tc>
      </w:tr>
      <w:tr w:rsidR="001C56BD" w:rsidRPr="00305460" w14:paraId="38DBEE6A" w14:textId="77777777" w:rsidTr="008A5C11">
        <w:trPr>
          <w:trHeight w:val="897"/>
        </w:trPr>
        <w:tc>
          <w:tcPr>
            <w:tcW w:w="86" w:type="pct"/>
            <w:shd w:val="clear" w:color="auto" w:fill="auto"/>
            <w:tcMar>
              <w:left w:w="17" w:type="dxa"/>
              <w:right w:w="17" w:type="dxa"/>
            </w:tcMar>
            <w:vAlign w:val="center"/>
          </w:tcPr>
          <w:p w14:paraId="37487D74" w14:textId="77777777" w:rsidR="001C56BD" w:rsidRPr="00305460" w:rsidRDefault="001C56BD" w:rsidP="008A5C11">
            <w:pPr>
              <w:jc w:val="center"/>
              <w:rPr>
                <w:sz w:val="12"/>
                <w:szCs w:val="12"/>
              </w:rPr>
            </w:pPr>
            <w:r w:rsidRPr="00305460">
              <w:rPr>
                <w:sz w:val="12"/>
                <w:szCs w:val="12"/>
              </w:rPr>
              <w:t>3.1.39.</w:t>
            </w:r>
          </w:p>
        </w:tc>
        <w:tc>
          <w:tcPr>
            <w:tcW w:w="295" w:type="pct"/>
            <w:shd w:val="clear" w:color="auto" w:fill="auto"/>
            <w:tcMar>
              <w:left w:w="17" w:type="dxa"/>
              <w:right w:w="17" w:type="dxa"/>
            </w:tcMar>
            <w:vAlign w:val="center"/>
          </w:tcPr>
          <w:p w14:paraId="7301A5CD" w14:textId="77777777" w:rsidR="001C56BD" w:rsidRPr="00305460" w:rsidRDefault="001C56BD" w:rsidP="008A5C11">
            <w:pPr>
              <w:rPr>
                <w:sz w:val="12"/>
                <w:szCs w:val="12"/>
              </w:rPr>
            </w:pPr>
            <w:r w:rsidRPr="00305460">
              <w:rPr>
                <w:color w:val="000000"/>
                <w:sz w:val="12"/>
                <w:szCs w:val="12"/>
              </w:rPr>
              <w:t>Реконструкция тепловой сети с реестровым номером</w:t>
            </w:r>
            <w:r w:rsidRPr="00305460">
              <w:rPr>
                <w:sz w:val="12"/>
                <w:szCs w:val="12"/>
              </w:rPr>
              <w:t xml:space="preserve"> 773562</w:t>
            </w:r>
          </w:p>
        </w:tc>
        <w:tc>
          <w:tcPr>
            <w:tcW w:w="307" w:type="pct"/>
            <w:shd w:val="clear" w:color="000000" w:fill="FFFFFF"/>
            <w:tcMar>
              <w:left w:w="17" w:type="dxa"/>
              <w:right w:w="17" w:type="dxa"/>
            </w:tcMar>
            <w:vAlign w:val="center"/>
          </w:tcPr>
          <w:p w14:paraId="2142A16F" w14:textId="77777777" w:rsidR="001C56BD" w:rsidRPr="00305460" w:rsidRDefault="001C56BD" w:rsidP="008A5C11">
            <w:pPr>
              <w:jc w:val="center"/>
              <w:rPr>
                <w:sz w:val="12"/>
                <w:szCs w:val="12"/>
              </w:rPr>
            </w:pPr>
            <w:r w:rsidRPr="00305460">
              <w:rPr>
                <w:color w:val="000000"/>
                <w:sz w:val="12"/>
                <w:szCs w:val="12"/>
              </w:rPr>
              <w:t>Повышение надежности услуг теплоснабжения, повышение энергетической эффективности</w:t>
            </w:r>
          </w:p>
        </w:tc>
        <w:tc>
          <w:tcPr>
            <w:tcW w:w="280" w:type="pct"/>
            <w:shd w:val="clear" w:color="auto" w:fill="auto"/>
            <w:tcMar>
              <w:left w:w="17" w:type="dxa"/>
              <w:right w:w="17" w:type="dxa"/>
            </w:tcMar>
            <w:vAlign w:val="center"/>
          </w:tcPr>
          <w:p w14:paraId="1437F1D3" w14:textId="77777777" w:rsidR="001C56BD" w:rsidRPr="00305460" w:rsidRDefault="001C56BD" w:rsidP="008A5C11">
            <w:pPr>
              <w:jc w:val="center"/>
              <w:rPr>
                <w:sz w:val="12"/>
                <w:szCs w:val="12"/>
              </w:rPr>
            </w:pPr>
            <w:r w:rsidRPr="00305460">
              <w:rPr>
                <w:sz w:val="12"/>
                <w:szCs w:val="12"/>
              </w:rPr>
              <w:t>Кемеровский городской округ, Центральный район, квартал 44, 34м северо-восточнее жилого дома №95а по ул. Красноармейская</w:t>
            </w:r>
          </w:p>
        </w:tc>
        <w:tc>
          <w:tcPr>
            <w:tcW w:w="289" w:type="pct"/>
            <w:shd w:val="clear" w:color="auto" w:fill="auto"/>
            <w:tcMar>
              <w:left w:w="17" w:type="dxa"/>
              <w:right w:w="17" w:type="dxa"/>
            </w:tcMar>
            <w:vAlign w:val="center"/>
          </w:tcPr>
          <w:p w14:paraId="4144DE9B" w14:textId="77777777" w:rsidR="001C56BD" w:rsidRPr="00305460" w:rsidRDefault="001C56BD" w:rsidP="008A5C11">
            <w:pPr>
              <w:jc w:val="center"/>
              <w:rPr>
                <w:sz w:val="12"/>
                <w:szCs w:val="12"/>
              </w:rPr>
            </w:pPr>
            <w:r w:rsidRPr="00305460">
              <w:rPr>
                <w:color w:val="000000"/>
                <w:sz w:val="12"/>
                <w:szCs w:val="12"/>
              </w:rPr>
              <w:t>Технические характеристики</w:t>
            </w:r>
          </w:p>
        </w:tc>
        <w:tc>
          <w:tcPr>
            <w:tcW w:w="137" w:type="pct"/>
            <w:shd w:val="clear" w:color="auto" w:fill="auto"/>
            <w:tcMar>
              <w:left w:w="17" w:type="dxa"/>
              <w:right w:w="17" w:type="dxa"/>
            </w:tcMar>
            <w:vAlign w:val="center"/>
          </w:tcPr>
          <w:p w14:paraId="0A1CA792" w14:textId="77777777" w:rsidR="001C56BD" w:rsidRPr="00305460" w:rsidRDefault="001C56BD" w:rsidP="008A5C11">
            <w:pPr>
              <w:jc w:val="center"/>
              <w:rPr>
                <w:color w:val="000000"/>
                <w:sz w:val="12"/>
                <w:szCs w:val="12"/>
              </w:rPr>
            </w:pPr>
          </w:p>
        </w:tc>
        <w:tc>
          <w:tcPr>
            <w:tcW w:w="202" w:type="pct"/>
            <w:shd w:val="clear" w:color="auto" w:fill="auto"/>
            <w:tcMar>
              <w:left w:w="17" w:type="dxa"/>
              <w:right w:w="17" w:type="dxa"/>
            </w:tcMar>
            <w:vAlign w:val="center"/>
          </w:tcPr>
          <w:p w14:paraId="0855358E" w14:textId="77777777" w:rsidR="001C56BD" w:rsidRPr="00305460" w:rsidRDefault="001C56BD" w:rsidP="008A5C11">
            <w:pPr>
              <w:jc w:val="center"/>
              <w:rPr>
                <w:sz w:val="12"/>
                <w:szCs w:val="12"/>
              </w:rPr>
            </w:pPr>
            <w:r w:rsidRPr="00305460">
              <w:rPr>
                <w:sz w:val="12"/>
                <w:szCs w:val="12"/>
              </w:rPr>
              <w:t>Канал-кирпич (непроходной канал),</w:t>
            </w:r>
            <w:r w:rsidRPr="00305460">
              <w:rPr>
                <w:sz w:val="12"/>
                <w:szCs w:val="12"/>
              </w:rPr>
              <w:br/>
              <w:t xml:space="preserve">опоры </w:t>
            </w:r>
            <w:proofErr w:type="gramStart"/>
            <w:r w:rsidRPr="00305460">
              <w:rPr>
                <w:sz w:val="12"/>
                <w:szCs w:val="12"/>
              </w:rPr>
              <w:t>привар-ные</w:t>
            </w:r>
            <w:proofErr w:type="gramEnd"/>
            <w:r w:rsidRPr="00305460">
              <w:rPr>
                <w:sz w:val="12"/>
                <w:szCs w:val="12"/>
              </w:rPr>
              <w:t xml:space="preserve">, запорная арматура-стальная клиновая, антикоррозийная защита-лак БТ, труба-сталь 20, изоляция-мин. маты.     </w:t>
            </w:r>
          </w:p>
        </w:tc>
        <w:tc>
          <w:tcPr>
            <w:tcW w:w="244" w:type="pct"/>
            <w:shd w:val="clear" w:color="auto" w:fill="auto"/>
            <w:tcMar>
              <w:left w:w="17" w:type="dxa"/>
              <w:right w:w="17" w:type="dxa"/>
            </w:tcMar>
            <w:vAlign w:val="center"/>
          </w:tcPr>
          <w:p w14:paraId="47F42DD3" w14:textId="77777777" w:rsidR="001C56BD" w:rsidRPr="00305460" w:rsidRDefault="001C56BD" w:rsidP="008A5C11">
            <w:pPr>
              <w:jc w:val="center"/>
              <w:rPr>
                <w:sz w:val="12"/>
                <w:szCs w:val="12"/>
              </w:rPr>
            </w:pPr>
            <w:r w:rsidRPr="00305460">
              <w:rPr>
                <w:sz w:val="12"/>
                <w:szCs w:val="12"/>
              </w:rPr>
              <w:t xml:space="preserve">Канал-ж/б лотки, опоры-хомутовые с диэлектрической прокладкой, запорная арматура - кран шаровый, антикоррозийная защита-мастика Вектор 1214, 1025, труба-сталь 09Г2С, изоляция - маты прошивные, </w:t>
            </w:r>
            <w:proofErr w:type="gramStart"/>
            <w:r w:rsidRPr="00305460">
              <w:rPr>
                <w:sz w:val="12"/>
                <w:szCs w:val="12"/>
              </w:rPr>
              <w:t>стеклоплас-тик</w:t>
            </w:r>
            <w:proofErr w:type="gramEnd"/>
            <w:r w:rsidRPr="00305460">
              <w:rPr>
                <w:sz w:val="12"/>
                <w:szCs w:val="12"/>
              </w:rPr>
              <w:t xml:space="preserve">  </w:t>
            </w:r>
          </w:p>
        </w:tc>
        <w:tc>
          <w:tcPr>
            <w:tcW w:w="140" w:type="pct"/>
            <w:shd w:val="clear" w:color="auto" w:fill="auto"/>
            <w:tcMar>
              <w:left w:w="17" w:type="dxa"/>
              <w:right w:w="17" w:type="dxa"/>
            </w:tcMar>
            <w:vAlign w:val="center"/>
          </w:tcPr>
          <w:p w14:paraId="7D8EDC0E" w14:textId="77777777" w:rsidR="001C56BD" w:rsidRPr="00305460" w:rsidRDefault="001C56BD" w:rsidP="008A5C11">
            <w:pPr>
              <w:jc w:val="center"/>
              <w:rPr>
                <w:sz w:val="12"/>
                <w:szCs w:val="12"/>
              </w:rPr>
            </w:pPr>
            <w:r w:rsidRPr="00305460">
              <w:rPr>
                <w:sz w:val="12"/>
                <w:szCs w:val="12"/>
              </w:rPr>
              <w:t>2023</w:t>
            </w:r>
          </w:p>
        </w:tc>
        <w:tc>
          <w:tcPr>
            <w:tcW w:w="140" w:type="pct"/>
            <w:shd w:val="clear" w:color="auto" w:fill="auto"/>
            <w:tcMar>
              <w:left w:w="17" w:type="dxa"/>
              <w:right w:w="17" w:type="dxa"/>
            </w:tcMar>
            <w:vAlign w:val="center"/>
          </w:tcPr>
          <w:p w14:paraId="6C9CEE35" w14:textId="77777777" w:rsidR="001C56BD" w:rsidRPr="00305460" w:rsidRDefault="001C56BD" w:rsidP="008A5C11">
            <w:pPr>
              <w:jc w:val="center"/>
              <w:rPr>
                <w:sz w:val="12"/>
                <w:szCs w:val="12"/>
              </w:rPr>
            </w:pPr>
            <w:r w:rsidRPr="00305460">
              <w:rPr>
                <w:sz w:val="12"/>
                <w:szCs w:val="12"/>
              </w:rPr>
              <w:t>2029</w:t>
            </w:r>
          </w:p>
        </w:tc>
        <w:tc>
          <w:tcPr>
            <w:tcW w:w="239" w:type="pct"/>
            <w:gridSpan w:val="3"/>
            <w:shd w:val="clear" w:color="auto" w:fill="auto"/>
            <w:tcMar>
              <w:left w:w="17" w:type="dxa"/>
              <w:right w:w="17" w:type="dxa"/>
            </w:tcMar>
            <w:vAlign w:val="center"/>
          </w:tcPr>
          <w:p w14:paraId="5B6B6176" w14:textId="77777777" w:rsidR="001C56BD" w:rsidRPr="00305460" w:rsidRDefault="001C56BD" w:rsidP="008A5C11">
            <w:pPr>
              <w:jc w:val="center"/>
              <w:rPr>
                <w:sz w:val="12"/>
                <w:szCs w:val="12"/>
              </w:rPr>
            </w:pPr>
            <w:r w:rsidRPr="00305460">
              <w:rPr>
                <w:sz w:val="12"/>
                <w:szCs w:val="12"/>
              </w:rPr>
              <w:t>9377,232</w:t>
            </w:r>
          </w:p>
        </w:tc>
        <w:tc>
          <w:tcPr>
            <w:tcW w:w="196" w:type="pct"/>
            <w:gridSpan w:val="3"/>
            <w:shd w:val="clear" w:color="auto" w:fill="auto"/>
            <w:tcMar>
              <w:left w:w="17" w:type="dxa"/>
              <w:right w:w="17" w:type="dxa"/>
            </w:tcMar>
            <w:vAlign w:val="center"/>
          </w:tcPr>
          <w:p w14:paraId="4186CF99" w14:textId="77777777" w:rsidR="001C56BD" w:rsidRPr="00305460" w:rsidRDefault="001C56BD" w:rsidP="008A5C11">
            <w:pPr>
              <w:jc w:val="center"/>
              <w:rPr>
                <w:sz w:val="12"/>
                <w:szCs w:val="12"/>
              </w:rPr>
            </w:pPr>
            <w:r w:rsidRPr="00305460">
              <w:rPr>
                <w:sz w:val="12"/>
                <w:szCs w:val="12"/>
              </w:rPr>
              <w:t>0,000</w:t>
            </w:r>
          </w:p>
        </w:tc>
        <w:tc>
          <w:tcPr>
            <w:tcW w:w="216" w:type="pct"/>
            <w:gridSpan w:val="3"/>
            <w:shd w:val="clear" w:color="auto" w:fill="auto"/>
            <w:tcMar>
              <w:left w:w="17" w:type="dxa"/>
              <w:right w:w="17" w:type="dxa"/>
            </w:tcMar>
            <w:vAlign w:val="center"/>
          </w:tcPr>
          <w:p w14:paraId="6BD6F15A" w14:textId="77777777" w:rsidR="001C56BD" w:rsidRPr="00305460" w:rsidRDefault="001C56BD" w:rsidP="008A5C11">
            <w:pPr>
              <w:jc w:val="center"/>
              <w:rPr>
                <w:sz w:val="12"/>
                <w:szCs w:val="12"/>
              </w:rPr>
            </w:pPr>
            <w:r w:rsidRPr="00305460">
              <w:rPr>
                <w:sz w:val="12"/>
                <w:szCs w:val="12"/>
              </w:rPr>
              <w:t>0,000</w:t>
            </w:r>
          </w:p>
        </w:tc>
        <w:tc>
          <w:tcPr>
            <w:tcW w:w="179" w:type="pct"/>
            <w:gridSpan w:val="2"/>
            <w:shd w:val="clear" w:color="auto" w:fill="auto"/>
            <w:tcMar>
              <w:left w:w="17" w:type="dxa"/>
              <w:right w:w="17" w:type="dxa"/>
            </w:tcMar>
            <w:vAlign w:val="center"/>
          </w:tcPr>
          <w:p w14:paraId="2FF6028E" w14:textId="77777777" w:rsidR="001C56BD" w:rsidRPr="00305460" w:rsidRDefault="001C56BD" w:rsidP="008A5C11">
            <w:pPr>
              <w:jc w:val="center"/>
              <w:rPr>
                <w:sz w:val="12"/>
                <w:szCs w:val="12"/>
              </w:rPr>
            </w:pPr>
            <w:r w:rsidRPr="00305460">
              <w:rPr>
                <w:sz w:val="12"/>
                <w:szCs w:val="12"/>
              </w:rPr>
              <w:t>2731,404</w:t>
            </w:r>
          </w:p>
        </w:tc>
        <w:tc>
          <w:tcPr>
            <w:tcW w:w="222" w:type="pct"/>
            <w:gridSpan w:val="2"/>
            <w:shd w:val="clear" w:color="auto" w:fill="auto"/>
            <w:tcMar>
              <w:left w:w="17" w:type="dxa"/>
              <w:right w:w="17" w:type="dxa"/>
            </w:tcMar>
            <w:vAlign w:val="center"/>
          </w:tcPr>
          <w:p w14:paraId="0BCCDAFB" w14:textId="77777777" w:rsidR="001C56BD" w:rsidRPr="00305460" w:rsidRDefault="001C56BD" w:rsidP="008A5C11">
            <w:pPr>
              <w:jc w:val="center"/>
              <w:rPr>
                <w:sz w:val="12"/>
                <w:szCs w:val="12"/>
              </w:rPr>
            </w:pPr>
            <w:r w:rsidRPr="00305460">
              <w:rPr>
                <w:sz w:val="12"/>
                <w:szCs w:val="12"/>
              </w:rPr>
              <w:t>0,000</w:t>
            </w:r>
          </w:p>
        </w:tc>
        <w:tc>
          <w:tcPr>
            <w:tcW w:w="213" w:type="pct"/>
            <w:shd w:val="clear" w:color="auto" w:fill="auto"/>
            <w:tcMar>
              <w:left w:w="17" w:type="dxa"/>
              <w:right w:w="17" w:type="dxa"/>
            </w:tcMar>
            <w:vAlign w:val="center"/>
          </w:tcPr>
          <w:p w14:paraId="4CF9770C"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1958D31D"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7FA7CB82"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63374178" w14:textId="77777777" w:rsidR="001C56BD" w:rsidRPr="00305460" w:rsidRDefault="001C56BD" w:rsidP="008A5C11">
            <w:pPr>
              <w:jc w:val="center"/>
              <w:rPr>
                <w:sz w:val="12"/>
                <w:szCs w:val="12"/>
              </w:rPr>
            </w:pPr>
            <w:r w:rsidRPr="00305460">
              <w:rPr>
                <w:sz w:val="12"/>
                <w:szCs w:val="12"/>
              </w:rPr>
              <w:t>0,000</w:t>
            </w:r>
          </w:p>
        </w:tc>
        <w:tc>
          <w:tcPr>
            <w:tcW w:w="218" w:type="pct"/>
            <w:gridSpan w:val="2"/>
            <w:shd w:val="clear" w:color="auto" w:fill="auto"/>
            <w:tcMar>
              <w:left w:w="17" w:type="dxa"/>
              <w:right w:w="17" w:type="dxa"/>
            </w:tcMar>
            <w:vAlign w:val="center"/>
          </w:tcPr>
          <w:p w14:paraId="59D7938D" w14:textId="77777777" w:rsidR="001C56BD" w:rsidRPr="00305460" w:rsidRDefault="001C56BD" w:rsidP="008A5C11">
            <w:pPr>
              <w:jc w:val="center"/>
              <w:rPr>
                <w:sz w:val="12"/>
                <w:szCs w:val="12"/>
              </w:rPr>
            </w:pPr>
            <w:r w:rsidRPr="00305460">
              <w:rPr>
                <w:sz w:val="12"/>
                <w:szCs w:val="12"/>
              </w:rPr>
              <w:t>6645,828</w:t>
            </w:r>
          </w:p>
        </w:tc>
        <w:tc>
          <w:tcPr>
            <w:tcW w:w="172" w:type="pct"/>
            <w:gridSpan w:val="2"/>
            <w:shd w:val="clear" w:color="auto" w:fill="auto"/>
            <w:tcMar>
              <w:left w:w="17" w:type="dxa"/>
              <w:right w:w="17" w:type="dxa"/>
            </w:tcMar>
            <w:vAlign w:val="center"/>
          </w:tcPr>
          <w:p w14:paraId="3E4464D6" w14:textId="77777777" w:rsidR="001C56BD" w:rsidRPr="00305460" w:rsidRDefault="001C56BD" w:rsidP="008A5C11">
            <w:pPr>
              <w:jc w:val="center"/>
              <w:rPr>
                <w:sz w:val="12"/>
                <w:szCs w:val="12"/>
              </w:rPr>
            </w:pPr>
            <w:r w:rsidRPr="00305460">
              <w:rPr>
                <w:sz w:val="12"/>
                <w:szCs w:val="12"/>
              </w:rPr>
              <w:t>0,000</w:t>
            </w:r>
          </w:p>
        </w:tc>
        <w:tc>
          <w:tcPr>
            <w:tcW w:w="219" w:type="pct"/>
            <w:shd w:val="clear" w:color="auto" w:fill="auto"/>
            <w:tcMar>
              <w:left w:w="17" w:type="dxa"/>
              <w:right w:w="17" w:type="dxa"/>
            </w:tcMar>
            <w:vAlign w:val="center"/>
          </w:tcPr>
          <w:p w14:paraId="60DD2CB3" w14:textId="77777777" w:rsidR="001C56BD" w:rsidRPr="00305460" w:rsidRDefault="001C56BD" w:rsidP="008A5C11">
            <w:pPr>
              <w:jc w:val="center"/>
              <w:rPr>
                <w:sz w:val="12"/>
                <w:szCs w:val="12"/>
              </w:rPr>
            </w:pPr>
            <w:r w:rsidRPr="00305460">
              <w:rPr>
                <w:sz w:val="12"/>
                <w:szCs w:val="12"/>
              </w:rPr>
              <w:t>0,000</w:t>
            </w:r>
          </w:p>
        </w:tc>
        <w:tc>
          <w:tcPr>
            <w:tcW w:w="174" w:type="pct"/>
            <w:shd w:val="clear" w:color="auto" w:fill="auto"/>
            <w:tcMar>
              <w:left w:w="17" w:type="dxa"/>
              <w:right w:w="17" w:type="dxa"/>
            </w:tcMar>
            <w:vAlign w:val="center"/>
          </w:tcPr>
          <w:p w14:paraId="2008A965" w14:textId="77777777" w:rsidR="001C56BD" w:rsidRPr="00305460" w:rsidRDefault="001C56BD" w:rsidP="008A5C11">
            <w:pPr>
              <w:jc w:val="center"/>
              <w:rPr>
                <w:sz w:val="12"/>
                <w:szCs w:val="12"/>
              </w:rPr>
            </w:pPr>
            <w:r w:rsidRPr="00305460">
              <w:rPr>
                <w:sz w:val="12"/>
                <w:szCs w:val="12"/>
              </w:rPr>
              <w:t>0,000</w:t>
            </w:r>
          </w:p>
        </w:tc>
        <w:tc>
          <w:tcPr>
            <w:tcW w:w="176" w:type="pct"/>
            <w:shd w:val="clear" w:color="auto" w:fill="auto"/>
            <w:tcMar>
              <w:left w:w="17" w:type="dxa"/>
              <w:right w:w="17" w:type="dxa"/>
            </w:tcMar>
            <w:vAlign w:val="center"/>
          </w:tcPr>
          <w:p w14:paraId="07573D6B" w14:textId="77777777" w:rsidR="001C56BD" w:rsidRPr="00305460" w:rsidRDefault="001C56BD" w:rsidP="008A5C11">
            <w:pPr>
              <w:jc w:val="center"/>
              <w:rPr>
                <w:sz w:val="12"/>
                <w:szCs w:val="12"/>
              </w:rPr>
            </w:pPr>
            <w:r w:rsidRPr="00305460">
              <w:rPr>
                <w:sz w:val="12"/>
                <w:szCs w:val="12"/>
              </w:rPr>
              <w:t>0,000</w:t>
            </w:r>
          </w:p>
        </w:tc>
      </w:tr>
      <w:tr w:rsidR="001C56BD" w:rsidRPr="00305460" w14:paraId="5CA25026" w14:textId="77777777" w:rsidTr="008A5C11">
        <w:trPr>
          <w:trHeight w:val="897"/>
        </w:trPr>
        <w:tc>
          <w:tcPr>
            <w:tcW w:w="86" w:type="pct"/>
            <w:shd w:val="clear" w:color="auto" w:fill="auto"/>
            <w:tcMar>
              <w:left w:w="17" w:type="dxa"/>
              <w:right w:w="17" w:type="dxa"/>
            </w:tcMar>
            <w:vAlign w:val="center"/>
          </w:tcPr>
          <w:p w14:paraId="6856295A" w14:textId="77777777" w:rsidR="001C56BD" w:rsidRPr="00305460" w:rsidRDefault="001C56BD" w:rsidP="008A5C11">
            <w:pPr>
              <w:jc w:val="center"/>
              <w:rPr>
                <w:sz w:val="12"/>
                <w:szCs w:val="12"/>
              </w:rPr>
            </w:pPr>
            <w:r w:rsidRPr="00305460">
              <w:rPr>
                <w:sz w:val="12"/>
                <w:szCs w:val="12"/>
              </w:rPr>
              <w:t>3.1.40.</w:t>
            </w:r>
          </w:p>
        </w:tc>
        <w:tc>
          <w:tcPr>
            <w:tcW w:w="295" w:type="pct"/>
            <w:shd w:val="clear" w:color="auto" w:fill="auto"/>
            <w:tcMar>
              <w:left w:w="17" w:type="dxa"/>
              <w:right w:w="17" w:type="dxa"/>
            </w:tcMar>
            <w:vAlign w:val="center"/>
          </w:tcPr>
          <w:p w14:paraId="4C7D6186" w14:textId="77777777" w:rsidR="001C56BD" w:rsidRPr="00305460" w:rsidRDefault="001C56BD" w:rsidP="008A5C11">
            <w:pPr>
              <w:rPr>
                <w:sz w:val="12"/>
                <w:szCs w:val="12"/>
              </w:rPr>
            </w:pPr>
            <w:r w:rsidRPr="00305460">
              <w:rPr>
                <w:color w:val="000000"/>
                <w:sz w:val="12"/>
                <w:szCs w:val="12"/>
              </w:rPr>
              <w:t>Реконструкция тепловой сети с реестровым номером</w:t>
            </w:r>
            <w:r w:rsidRPr="00305460">
              <w:rPr>
                <w:sz w:val="12"/>
                <w:szCs w:val="12"/>
              </w:rPr>
              <w:t xml:space="preserve"> 773621</w:t>
            </w:r>
          </w:p>
        </w:tc>
        <w:tc>
          <w:tcPr>
            <w:tcW w:w="307" w:type="pct"/>
            <w:shd w:val="clear" w:color="000000" w:fill="FFFFFF"/>
            <w:tcMar>
              <w:left w:w="17" w:type="dxa"/>
              <w:right w:w="17" w:type="dxa"/>
            </w:tcMar>
            <w:vAlign w:val="center"/>
          </w:tcPr>
          <w:p w14:paraId="011326E1" w14:textId="77777777" w:rsidR="001C56BD" w:rsidRPr="00305460" w:rsidRDefault="001C56BD" w:rsidP="008A5C11">
            <w:pPr>
              <w:jc w:val="center"/>
              <w:rPr>
                <w:sz w:val="12"/>
                <w:szCs w:val="12"/>
              </w:rPr>
            </w:pPr>
            <w:r w:rsidRPr="00305460">
              <w:rPr>
                <w:color w:val="000000"/>
                <w:sz w:val="12"/>
                <w:szCs w:val="12"/>
              </w:rPr>
              <w:t>Повышение надежности услуг теплоснабжения, повышение энергетической эффективности</w:t>
            </w:r>
          </w:p>
        </w:tc>
        <w:tc>
          <w:tcPr>
            <w:tcW w:w="280" w:type="pct"/>
            <w:shd w:val="clear" w:color="auto" w:fill="auto"/>
            <w:tcMar>
              <w:left w:w="17" w:type="dxa"/>
              <w:right w:w="17" w:type="dxa"/>
            </w:tcMar>
            <w:vAlign w:val="center"/>
          </w:tcPr>
          <w:p w14:paraId="56C72701" w14:textId="77777777" w:rsidR="001C56BD" w:rsidRPr="00305460" w:rsidRDefault="001C56BD" w:rsidP="008A5C11">
            <w:pPr>
              <w:jc w:val="center"/>
              <w:rPr>
                <w:sz w:val="12"/>
                <w:szCs w:val="12"/>
              </w:rPr>
            </w:pPr>
            <w:r w:rsidRPr="00305460">
              <w:rPr>
                <w:sz w:val="12"/>
                <w:szCs w:val="12"/>
              </w:rPr>
              <w:t>Кемеровский городской округ, Центральный район, 12м. восточнее жилого дома №90а по пр-ту Ленина</w:t>
            </w:r>
          </w:p>
        </w:tc>
        <w:tc>
          <w:tcPr>
            <w:tcW w:w="289" w:type="pct"/>
            <w:shd w:val="clear" w:color="auto" w:fill="auto"/>
            <w:tcMar>
              <w:left w:w="17" w:type="dxa"/>
              <w:right w:w="17" w:type="dxa"/>
            </w:tcMar>
            <w:vAlign w:val="center"/>
          </w:tcPr>
          <w:p w14:paraId="31304415" w14:textId="77777777" w:rsidR="001C56BD" w:rsidRPr="00305460" w:rsidRDefault="001C56BD" w:rsidP="008A5C11">
            <w:pPr>
              <w:jc w:val="center"/>
              <w:rPr>
                <w:sz w:val="12"/>
                <w:szCs w:val="12"/>
              </w:rPr>
            </w:pPr>
            <w:r w:rsidRPr="00305460">
              <w:rPr>
                <w:color w:val="000000"/>
                <w:sz w:val="12"/>
                <w:szCs w:val="12"/>
              </w:rPr>
              <w:t>Технические характеристики</w:t>
            </w:r>
          </w:p>
        </w:tc>
        <w:tc>
          <w:tcPr>
            <w:tcW w:w="137" w:type="pct"/>
            <w:shd w:val="clear" w:color="auto" w:fill="auto"/>
            <w:tcMar>
              <w:left w:w="17" w:type="dxa"/>
              <w:right w:w="17" w:type="dxa"/>
            </w:tcMar>
            <w:vAlign w:val="center"/>
          </w:tcPr>
          <w:p w14:paraId="23B09C18" w14:textId="77777777" w:rsidR="001C56BD" w:rsidRPr="00305460" w:rsidRDefault="001C56BD" w:rsidP="008A5C11">
            <w:pPr>
              <w:jc w:val="center"/>
              <w:rPr>
                <w:color w:val="000000"/>
                <w:sz w:val="12"/>
                <w:szCs w:val="12"/>
              </w:rPr>
            </w:pPr>
          </w:p>
        </w:tc>
        <w:tc>
          <w:tcPr>
            <w:tcW w:w="202" w:type="pct"/>
            <w:shd w:val="clear" w:color="auto" w:fill="auto"/>
            <w:tcMar>
              <w:left w:w="17" w:type="dxa"/>
              <w:right w:w="17" w:type="dxa"/>
            </w:tcMar>
            <w:vAlign w:val="center"/>
          </w:tcPr>
          <w:p w14:paraId="4960FC9D" w14:textId="77777777" w:rsidR="001C56BD" w:rsidRPr="00305460" w:rsidRDefault="001C56BD" w:rsidP="008A5C11">
            <w:pPr>
              <w:jc w:val="center"/>
              <w:rPr>
                <w:sz w:val="12"/>
                <w:szCs w:val="12"/>
              </w:rPr>
            </w:pPr>
            <w:r w:rsidRPr="00305460">
              <w:rPr>
                <w:sz w:val="12"/>
                <w:szCs w:val="12"/>
              </w:rPr>
              <w:t>Канал-ж/б лотки (непроходной канал),</w:t>
            </w:r>
            <w:r w:rsidRPr="00305460">
              <w:rPr>
                <w:sz w:val="12"/>
                <w:szCs w:val="12"/>
              </w:rPr>
              <w:br/>
              <w:t xml:space="preserve">опоры приварные, запорная арматура-стальная клиновая, антикоррозийная защита-лак БТ, труба-сталь 20, изоляция-мин. маты.      </w:t>
            </w:r>
          </w:p>
        </w:tc>
        <w:tc>
          <w:tcPr>
            <w:tcW w:w="244" w:type="pct"/>
            <w:shd w:val="clear" w:color="auto" w:fill="auto"/>
            <w:tcMar>
              <w:left w:w="17" w:type="dxa"/>
              <w:right w:w="17" w:type="dxa"/>
            </w:tcMar>
            <w:vAlign w:val="center"/>
          </w:tcPr>
          <w:p w14:paraId="28C80035" w14:textId="77777777" w:rsidR="001C56BD" w:rsidRPr="00305460" w:rsidRDefault="001C56BD" w:rsidP="008A5C11">
            <w:pPr>
              <w:jc w:val="center"/>
              <w:rPr>
                <w:sz w:val="12"/>
                <w:szCs w:val="12"/>
              </w:rPr>
            </w:pPr>
            <w:r w:rsidRPr="00305460">
              <w:rPr>
                <w:sz w:val="12"/>
                <w:szCs w:val="12"/>
              </w:rPr>
              <w:t xml:space="preserve">Канал-ж/б лотки, опоры-хомутовые с диэлектрической прокладкой, запорная арматура - кран шаровый, антикоррозийная защита-мастика Вектор 1214, 1025, труба-сталь 09Г2С, изоляция - маты прошивные, </w:t>
            </w:r>
            <w:proofErr w:type="gramStart"/>
            <w:r w:rsidRPr="00305460">
              <w:rPr>
                <w:sz w:val="12"/>
                <w:szCs w:val="12"/>
              </w:rPr>
              <w:t>стеклоплас-тик</w:t>
            </w:r>
            <w:proofErr w:type="gramEnd"/>
            <w:r w:rsidRPr="00305460">
              <w:rPr>
                <w:sz w:val="12"/>
                <w:szCs w:val="12"/>
              </w:rPr>
              <w:t xml:space="preserve">  </w:t>
            </w:r>
          </w:p>
        </w:tc>
        <w:tc>
          <w:tcPr>
            <w:tcW w:w="140" w:type="pct"/>
            <w:shd w:val="clear" w:color="auto" w:fill="auto"/>
            <w:tcMar>
              <w:left w:w="17" w:type="dxa"/>
              <w:right w:w="17" w:type="dxa"/>
            </w:tcMar>
            <w:vAlign w:val="center"/>
          </w:tcPr>
          <w:p w14:paraId="1BBCBDAF" w14:textId="77777777" w:rsidR="001C56BD" w:rsidRPr="00305460" w:rsidRDefault="001C56BD" w:rsidP="008A5C11">
            <w:pPr>
              <w:jc w:val="center"/>
              <w:rPr>
                <w:sz w:val="12"/>
                <w:szCs w:val="12"/>
              </w:rPr>
            </w:pPr>
            <w:r w:rsidRPr="00305460">
              <w:rPr>
                <w:sz w:val="12"/>
                <w:szCs w:val="12"/>
              </w:rPr>
              <w:t>2029</w:t>
            </w:r>
          </w:p>
        </w:tc>
        <w:tc>
          <w:tcPr>
            <w:tcW w:w="140" w:type="pct"/>
            <w:shd w:val="clear" w:color="auto" w:fill="auto"/>
            <w:tcMar>
              <w:left w:w="17" w:type="dxa"/>
              <w:right w:w="17" w:type="dxa"/>
            </w:tcMar>
            <w:vAlign w:val="center"/>
          </w:tcPr>
          <w:p w14:paraId="32C5A08B" w14:textId="77777777" w:rsidR="001C56BD" w:rsidRPr="00305460" w:rsidRDefault="001C56BD" w:rsidP="008A5C11">
            <w:pPr>
              <w:jc w:val="center"/>
              <w:rPr>
                <w:sz w:val="12"/>
                <w:szCs w:val="12"/>
              </w:rPr>
            </w:pPr>
            <w:r w:rsidRPr="00305460">
              <w:rPr>
                <w:sz w:val="12"/>
                <w:szCs w:val="12"/>
              </w:rPr>
              <w:t>2030</w:t>
            </w:r>
          </w:p>
        </w:tc>
        <w:tc>
          <w:tcPr>
            <w:tcW w:w="239" w:type="pct"/>
            <w:gridSpan w:val="3"/>
            <w:shd w:val="clear" w:color="auto" w:fill="auto"/>
            <w:tcMar>
              <w:left w:w="17" w:type="dxa"/>
              <w:right w:w="17" w:type="dxa"/>
            </w:tcMar>
            <w:vAlign w:val="center"/>
          </w:tcPr>
          <w:p w14:paraId="62ACB049" w14:textId="77777777" w:rsidR="001C56BD" w:rsidRPr="00305460" w:rsidRDefault="001C56BD" w:rsidP="008A5C11">
            <w:pPr>
              <w:jc w:val="center"/>
              <w:rPr>
                <w:sz w:val="12"/>
                <w:szCs w:val="12"/>
              </w:rPr>
            </w:pPr>
            <w:r w:rsidRPr="00305460">
              <w:rPr>
                <w:sz w:val="12"/>
                <w:szCs w:val="12"/>
              </w:rPr>
              <w:t>14213,952</w:t>
            </w:r>
          </w:p>
        </w:tc>
        <w:tc>
          <w:tcPr>
            <w:tcW w:w="196" w:type="pct"/>
            <w:gridSpan w:val="3"/>
            <w:shd w:val="clear" w:color="auto" w:fill="auto"/>
            <w:tcMar>
              <w:left w:w="17" w:type="dxa"/>
              <w:right w:w="17" w:type="dxa"/>
            </w:tcMar>
            <w:vAlign w:val="center"/>
          </w:tcPr>
          <w:p w14:paraId="15F3DEC7" w14:textId="77777777" w:rsidR="001C56BD" w:rsidRPr="00305460" w:rsidRDefault="001C56BD" w:rsidP="008A5C11">
            <w:pPr>
              <w:jc w:val="center"/>
              <w:rPr>
                <w:sz w:val="12"/>
                <w:szCs w:val="12"/>
              </w:rPr>
            </w:pPr>
            <w:r w:rsidRPr="00305460">
              <w:rPr>
                <w:sz w:val="12"/>
                <w:szCs w:val="12"/>
              </w:rPr>
              <w:t>0,000</w:t>
            </w:r>
          </w:p>
        </w:tc>
        <w:tc>
          <w:tcPr>
            <w:tcW w:w="216" w:type="pct"/>
            <w:gridSpan w:val="3"/>
            <w:shd w:val="clear" w:color="auto" w:fill="auto"/>
            <w:tcMar>
              <w:left w:w="17" w:type="dxa"/>
              <w:right w:w="17" w:type="dxa"/>
            </w:tcMar>
            <w:vAlign w:val="center"/>
          </w:tcPr>
          <w:p w14:paraId="47B62E3E" w14:textId="77777777" w:rsidR="001C56BD" w:rsidRPr="00305460" w:rsidRDefault="001C56BD" w:rsidP="008A5C11">
            <w:pPr>
              <w:jc w:val="center"/>
              <w:rPr>
                <w:sz w:val="12"/>
                <w:szCs w:val="12"/>
              </w:rPr>
            </w:pPr>
            <w:r w:rsidRPr="00305460">
              <w:rPr>
                <w:sz w:val="12"/>
                <w:szCs w:val="12"/>
              </w:rPr>
              <w:t>0,000</w:t>
            </w:r>
          </w:p>
        </w:tc>
        <w:tc>
          <w:tcPr>
            <w:tcW w:w="179" w:type="pct"/>
            <w:gridSpan w:val="2"/>
            <w:shd w:val="clear" w:color="auto" w:fill="auto"/>
            <w:tcMar>
              <w:left w:w="17" w:type="dxa"/>
              <w:right w:w="17" w:type="dxa"/>
            </w:tcMar>
            <w:vAlign w:val="center"/>
          </w:tcPr>
          <w:p w14:paraId="3318D1F9" w14:textId="77777777" w:rsidR="001C56BD" w:rsidRPr="00305460" w:rsidRDefault="001C56BD" w:rsidP="008A5C11">
            <w:pPr>
              <w:jc w:val="center"/>
              <w:rPr>
                <w:sz w:val="12"/>
                <w:szCs w:val="12"/>
              </w:rPr>
            </w:pPr>
            <w:r w:rsidRPr="00305460">
              <w:rPr>
                <w:sz w:val="12"/>
                <w:szCs w:val="12"/>
              </w:rPr>
              <w:t>0,000</w:t>
            </w:r>
          </w:p>
        </w:tc>
        <w:tc>
          <w:tcPr>
            <w:tcW w:w="222" w:type="pct"/>
            <w:gridSpan w:val="2"/>
            <w:shd w:val="clear" w:color="auto" w:fill="auto"/>
            <w:tcMar>
              <w:left w:w="17" w:type="dxa"/>
              <w:right w:w="17" w:type="dxa"/>
            </w:tcMar>
            <w:vAlign w:val="center"/>
          </w:tcPr>
          <w:p w14:paraId="5A3C01F1" w14:textId="77777777" w:rsidR="001C56BD" w:rsidRPr="00305460" w:rsidRDefault="001C56BD" w:rsidP="008A5C11">
            <w:pPr>
              <w:jc w:val="center"/>
              <w:rPr>
                <w:sz w:val="12"/>
                <w:szCs w:val="12"/>
              </w:rPr>
            </w:pPr>
            <w:r w:rsidRPr="00305460">
              <w:rPr>
                <w:sz w:val="12"/>
                <w:szCs w:val="12"/>
              </w:rPr>
              <w:t>0,000</w:t>
            </w:r>
          </w:p>
        </w:tc>
        <w:tc>
          <w:tcPr>
            <w:tcW w:w="213" w:type="pct"/>
            <w:shd w:val="clear" w:color="auto" w:fill="auto"/>
            <w:tcMar>
              <w:left w:w="17" w:type="dxa"/>
              <w:right w:w="17" w:type="dxa"/>
            </w:tcMar>
            <w:vAlign w:val="center"/>
          </w:tcPr>
          <w:p w14:paraId="4B235524"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258610B5"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233BC64C"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47332395" w14:textId="77777777" w:rsidR="001C56BD" w:rsidRPr="00305460" w:rsidRDefault="001C56BD" w:rsidP="008A5C11">
            <w:pPr>
              <w:jc w:val="center"/>
              <w:rPr>
                <w:sz w:val="12"/>
                <w:szCs w:val="12"/>
              </w:rPr>
            </w:pPr>
            <w:r w:rsidRPr="00305460">
              <w:rPr>
                <w:sz w:val="12"/>
                <w:szCs w:val="12"/>
              </w:rPr>
              <w:t>0,000</w:t>
            </w:r>
          </w:p>
        </w:tc>
        <w:tc>
          <w:tcPr>
            <w:tcW w:w="218" w:type="pct"/>
            <w:gridSpan w:val="2"/>
            <w:shd w:val="clear" w:color="auto" w:fill="auto"/>
            <w:tcMar>
              <w:left w:w="17" w:type="dxa"/>
              <w:right w:w="17" w:type="dxa"/>
            </w:tcMar>
            <w:vAlign w:val="center"/>
          </w:tcPr>
          <w:p w14:paraId="0FE8DA08" w14:textId="77777777" w:rsidR="001C56BD" w:rsidRPr="00305460" w:rsidRDefault="001C56BD" w:rsidP="008A5C11">
            <w:pPr>
              <w:jc w:val="center"/>
              <w:rPr>
                <w:sz w:val="12"/>
                <w:szCs w:val="12"/>
              </w:rPr>
            </w:pPr>
            <w:r w:rsidRPr="00305460">
              <w:rPr>
                <w:sz w:val="12"/>
                <w:szCs w:val="12"/>
              </w:rPr>
              <w:t>2802,036</w:t>
            </w:r>
          </w:p>
        </w:tc>
        <w:tc>
          <w:tcPr>
            <w:tcW w:w="172" w:type="pct"/>
            <w:gridSpan w:val="2"/>
            <w:shd w:val="clear" w:color="auto" w:fill="auto"/>
            <w:tcMar>
              <w:left w:w="17" w:type="dxa"/>
              <w:right w:w="17" w:type="dxa"/>
            </w:tcMar>
            <w:vAlign w:val="center"/>
          </w:tcPr>
          <w:p w14:paraId="730122A5" w14:textId="77777777" w:rsidR="001C56BD" w:rsidRPr="00305460" w:rsidRDefault="001C56BD" w:rsidP="008A5C11">
            <w:pPr>
              <w:jc w:val="center"/>
              <w:rPr>
                <w:sz w:val="12"/>
                <w:szCs w:val="12"/>
              </w:rPr>
            </w:pPr>
            <w:r w:rsidRPr="00305460">
              <w:rPr>
                <w:sz w:val="12"/>
                <w:szCs w:val="12"/>
              </w:rPr>
              <w:t>11411,916</w:t>
            </w:r>
          </w:p>
        </w:tc>
        <w:tc>
          <w:tcPr>
            <w:tcW w:w="219" w:type="pct"/>
            <w:shd w:val="clear" w:color="auto" w:fill="auto"/>
            <w:tcMar>
              <w:left w:w="17" w:type="dxa"/>
              <w:right w:w="17" w:type="dxa"/>
            </w:tcMar>
            <w:vAlign w:val="center"/>
          </w:tcPr>
          <w:p w14:paraId="0D9B078F" w14:textId="77777777" w:rsidR="001C56BD" w:rsidRPr="00305460" w:rsidRDefault="001C56BD" w:rsidP="008A5C11">
            <w:pPr>
              <w:jc w:val="center"/>
              <w:rPr>
                <w:sz w:val="12"/>
                <w:szCs w:val="12"/>
              </w:rPr>
            </w:pPr>
            <w:r w:rsidRPr="00305460">
              <w:rPr>
                <w:sz w:val="12"/>
                <w:szCs w:val="12"/>
              </w:rPr>
              <w:t>0,000</w:t>
            </w:r>
          </w:p>
        </w:tc>
        <w:tc>
          <w:tcPr>
            <w:tcW w:w="174" w:type="pct"/>
            <w:shd w:val="clear" w:color="auto" w:fill="auto"/>
            <w:tcMar>
              <w:left w:w="17" w:type="dxa"/>
              <w:right w:w="17" w:type="dxa"/>
            </w:tcMar>
            <w:vAlign w:val="center"/>
          </w:tcPr>
          <w:p w14:paraId="0F7DB6EB" w14:textId="77777777" w:rsidR="001C56BD" w:rsidRPr="00305460" w:rsidRDefault="001C56BD" w:rsidP="008A5C11">
            <w:pPr>
              <w:jc w:val="center"/>
              <w:rPr>
                <w:sz w:val="12"/>
                <w:szCs w:val="12"/>
              </w:rPr>
            </w:pPr>
            <w:r w:rsidRPr="00305460">
              <w:rPr>
                <w:sz w:val="12"/>
                <w:szCs w:val="12"/>
              </w:rPr>
              <w:t>0,000</w:t>
            </w:r>
          </w:p>
        </w:tc>
        <w:tc>
          <w:tcPr>
            <w:tcW w:w="176" w:type="pct"/>
            <w:shd w:val="clear" w:color="auto" w:fill="auto"/>
            <w:tcMar>
              <w:left w:w="17" w:type="dxa"/>
              <w:right w:w="17" w:type="dxa"/>
            </w:tcMar>
            <w:vAlign w:val="center"/>
          </w:tcPr>
          <w:p w14:paraId="64DF1129" w14:textId="77777777" w:rsidR="001C56BD" w:rsidRPr="00305460" w:rsidRDefault="001C56BD" w:rsidP="008A5C11">
            <w:pPr>
              <w:jc w:val="center"/>
              <w:rPr>
                <w:sz w:val="12"/>
                <w:szCs w:val="12"/>
              </w:rPr>
            </w:pPr>
            <w:r w:rsidRPr="00305460">
              <w:rPr>
                <w:sz w:val="12"/>
                <w:szCs w:val="12"/>
              </w:rPr>
              <w:t>0,000</w:t>
            </w:r>
          </w:p>
        </w:tc>
      </w:tr>
      <w:tr w:rsidR="001C56BD" w:rsidRPr="00305460" w14:paraId="15B6CDEA" w14:textId="77777777" w:rsidTr="008A5C11">
        <w:trPr>
          <w:trHeight w:val="897"/>
        </w:trPr>
        <w:tc>
          <w:tcPr>
            <w:tcW w:w="86" w:type="pct"/>
            <w:shd w:val="clear" w:color="auto" w:fill="auto"/>
            <w:tcMar>
              <w:left w:w="17" w:type="dxa"/>
              <w:right w:w="17" w:type="dxa"/>
            </w:tcMar>
            <w:vAlign w:val="center"/>
          </w:tcPr>
          <w:p w14:paraId="59E99E1D" w14:textId="77777777" w:rsidR="001C56BD" w:rsidRPr="00305460" w:rsidRDefault="001C56BD" w:rsidP="008A5C11">
            <w:pPr>
              <w:jc w:val="center"/>
              <w:rPr>
                <w:bCs/>
                <w:sz w:val="12"/>
                <w:szCs w:val="12"/>
              </w:rPr>
            </w:pPr>
            <w:r w:rsidRPr="00305460">
              <w:rPr>
                <w:bCs/>
                <w:sz w:val="12"/>
                <w:szCs w:val="12"/>
              </w:rPr>
              <w:t>1</w:t>
            </w:r>
          </w:p>
        </w:tc>
        <w:tc>
          <w:tcPr>
            <w:tcW w:w="295" w:type="pct"/>
            <w:shd w:val="clear" w:color="auto" w:fill="auto"/>
            <w:tcMar>
              <w:left w:w="17" w:type="dxa"/>
              <w:right w:w="17" w:type="dxa"/>
            </w:tcMar>
            <w:vAlign w:val="center"/>
          </w:tcPr>
          <w:p w14:paraId="7263B658" w14:textId="77777777" w:rsidR="001C56BD" w:rsidRPr="00305460" w:rsidRDefault="001C56BD" w:rsidP="008A5C11">
            <w:pPr>
              <w:jc w:val="center"/>
              <w:rPr>
                <w:bCs/>
                <w:sz w:val="12"/>
                <w:szCs w:val="12"/>
              </w:rPr>
            </w:pPr>
            <w:r w:rsidRPr="00305460">
              <w:rPr>
                <w:bCs/>
                <w:sz w:val="12"/>
                <w:szCs w:val="12"/>
              </w:rPr>
              <w:t>2</w:t>
            </w:r>
          </w:p>
        </w:tc>
        <w:tc>
          <w:tcPr>
            <w:tcW w:w="307" w:type="pct"/>
            <w:shd w:val="clear" w:color="auto" w:fill="auto"/>
            <w:tcMar>
              <w:left w:w="17" w:type="dxa"/>
              <w:right w:w="17" w:type="dxa"/>
            </w:tcMar>
            <w:vAlign w:val="center"/>
          </w:tcPr>
          <w:p w14:paraId="765738D0" w14:textId="77777777" w:rsidR="001C56BD" w:rsidRPr="00305460" w:rsidRDefault="001C56BD" w:rsidP="008A5C11">
            <w:pPr>
              <w:jc w:val="center"/>
              <w:rPr>
                <w:bCs/>
                <w:sz w:val="12"/>
                <w:szCs w:val="12"/>
              </w:rPr>
            </w:pPr>
            <w:r w:rsidRPr="00305460">
              <w:rPr>
                <w:bCs/>
                <w:sz w:val="12"/>
                <w:szCs w:val="12"/>
              </w:rPr>
              <w:t>3</w:t>
            </w:r>
          </w:p>
        </w:tc>
        <w:tc>
          <w:tcPr>
            <w:tcW w:w="280" w:type="pct"/>
            <w:shd w:val="clear" w:color="auto" w:fill="auto"/>
            <w:tcMar>
              <w:left w:w="17" w:type="dxa"/>
              <w:right w:w="17" w:type="dxa"/>
            </w:tcMar>
            <w:vAlign w:val="center"/>
          </w:tcPr>
          <w:p w14:paraId="0B2B84AB" w14:textId="77777777" w:rsidR="001C56BD" w:rsidRPr="00305460" w:rsidRDefault="001C56BD" w:rsidP="008A5C11">
            <w:pPr>
              <w:jc w:val="center"/>
              <w:rPr>
                <w:bCs/>
                <w:sz w:val="12"/>
                <w:szCs w:val="12"/>
              </w:rPr>
            </w:pPr>
            <w:r w:rsidRPr="00305460">
              <w:rPr>
                <w:bCs/>
                <w:sz w:val="12"/>
                <w:szCs w:val="12"/>
              </w:rPr>
              <w:t>4</w:t>
            </w:r>
          </w:p>
        </w:tc>
        <w:tc>
          <w:tcPr>
            <w:tcW w:w="289" w:type="pct"/>
            <w:shd w:val="clear" w:color="auto" w:fill="auto"/>
            <w:tcMar>
              <w:left w:w="17" w:type="dxa"/>
              <w:right w:w="17" w:type="dxa"/>
            </w:tcMar>
            <w:vAlign w:val="center"/>
          </w:tcPr>
          <w:p w14:paraId="1F8D4666" w14:textId="77777777" w:rsidR="001C56BD" w:rsidRPr="00305460" w:rsidRDefault="001C56BD" w:rsidP="008A5C11">
            <w:pPr>
              <w:jc w:val="center"/>
              <w:rPr>
                <w:bCs/>
                <w:sz w:val="12"/>
                <w:szCs w:val="12"/>
              </w:rPr>
            </w:pPr>
            <w:r w:rsidRPr="00305460">
              <w:rPr>
                <w:bCs/>
                <w:sz w:val="12"/>
                <w:szCs w:val="12"/>
              </w:rPr>
              <w:t>5</w:t>
            </w:r>
          </w:p>
        </w:tc>
        <w:tc>
          <w:tcPr>
            <w:tcW w:w="137" w:type="pct"/>
            <w:shd w:val="clear" w:color="auto" w:fill="auto"/>
            <w:tcMar>
              <w:left w:w="17" w:type="dxa"/>
              <w:right w:w="17" w:type="dxa"/>
            </w:tcMar>
            <w:vAlign w:val="center"/>
          </w:tcPr>
          <w:p w14:paraId="09D28C54" w14:textId="77777777" w:rsidR="001C56BD" w:rsidRPr="00305460" w:rsidRDefault="001C56BD" w:rsidP="008A5C11">
            <w:pPr>
              <w:jc w:val="center"/>
              <w:rPr>
                <w:bCs/>
                <w:sz w:val="12"/>
                <w:szCs w:val="12"/>
              </w:rPr>
            </w:pPr>
            <w:r w:rsidRPr="00305460">
              <w:rPr>
                <w:bCs/>
                <w:sz w:val="12"/>
                <w:szCs w:val="12"/>
              </w:rPr>
              <w:t>6</w:t>
            </w:r>
          </w:p>
        </w:tc>
        <w:tc>
          <w:tcPr>
            <w:tcW w:w="202" w:type="pct"/>
            <w:shd w:val="clear" w:color="auto" w:fill="auto"/>
            <w:tcMar>
              <w:left w:w="17" w:type="dxa"/>
              <w:right w:w="17" w:type="dxa"/>
            </w:tcMar>
            <w:vAlign w:val="center"/>
          </w:tcPr>
          <w:p w14:paraId="6D5E1AC0" w14:textId="77777777" w:rsidR="001C56BD" w:rsidRPr="00305460" w:rsidRDefault="001C56BD" w:rsidP="008A5C11">
            <w:pPr>
              <w:jc w:val="center"/>
              <w:rPr>
                <w:bCs/>
                <w:sz w:val="12"/>
                <w:szCs w:val="12"/>
              </w:rPr>
            </w:pPr>
            <w:r w:rsidRPr="00305460">
              <w:rPr>
                <w:bCs/>
                <w:sz w:val="12"/>
                <w:szCs w:val="12"/>
              </w:rPr>
              <w:t>7</w:t>
            </w:r>
          </w:p>
        </w:tc>
        <w:tc>
          <w:tcPr>
            <w:tcW w:w="244" w:type="pct"/>
            <w:shd w:val="clear" w:color="auto" w:fill="auto"/>
            <w:tcMar>
              <w:left w:w="17" w:type="dxa"/>
              <w:right w:w="17" w:type="dxa"/>
            </w:tcMar>
            <w:vAlign w:val="center"/>
          </w:tcPr>
          <w:p w14:paraId="4E352658" w14:textId="77777777" w:rsidR="001C56BD" w:rsidRPr="00305460" w:rsidRDefault="001C56BD" w:rsidP="008A5C11">
            <w:pPr>
              <w:jc w:val="center"/>
              <w:rPr>
                <w:bCs/>
                <w:sz w:val="12"/>
                <w:szCs w:val="12"/>
              </w:rPr>
            </w:pPr>
            <w:r w:rsidRPr="00305460">
              <w:rPr>
                <w:bCs/>
                <w:sz w:val="12"/>
                <w:szCs w:val="12"/>
              </w:rPr>
              <w:t>8</w:t>
            </w:r>
          </w:p>
        </w:tc>
        <w:tc>
          <w:tcPr>
            <w:tcW w:w="140" w:type="pct"/>
            <w:shd w:val="clear" w:color="auto" w:fill="auto"/>
            <w:tcMar>
              <w:left w:w="17" w:type="dxa"/>
              <w:right w:w="17" w:type="dxa"/>
            </w:tcMar>
            <w:vAlign w:val="center"/>
          </w:tcPr>
          <w:p w14:paraId="680CDBB4" w14:textId="77777777" w:rsidR="001C56BD" w:rsidRPr="00305460" w:rsidRDefault="001C56BD" w:rsidP="008A5C11">
            <w:pPr>
              <w:jc w:val="center"/>
              <w:rPr>
                <w:bCs/>
                <w:sz w:val="12"/>
                <w:szCs w:val="12"/>
              </w:rPr>
            </w:pPr>
            <w:r w:rsidRPr="00305460">
              <w:rPr>
                <w:bCs/>
                <w:sz w:val="12"/>
                <w:szCs w:val="12"/>
              </w:rPr>
              <w:t>9</w:t>
            </w:r>
          </w:p>
        </w:tc>
        <w:tc>
          <w:tcPr>
            <w:tcW w:w="140" w:type="pct"/>
            <w:shd w:val="clear" w:color="auto" w:fill="auto"/>
            <w:tcMar>
              <w:left w:w="17" w:type="dxa"/>
              <w:right w:w="17" w:type="dxa"/>
            </w:tcMar>
            <w:vAlign w:val="center"/>
          </w:tcPr>
          <w:p w14:paraId="50556B25" w14:textId="77777777" w:rsidR="001C56BD" w:rsidRPr="00305460" w:rsidRDefault="001C56BD" w:rsidP="008A5C11">
            <w:pPr>
              <w:jc w:val="center"/>
              <w:rPr>
                <w:bCs/>
                <w:sz w:val="12"/>
                <w:szCs w:val="12"/>
              </w:rPr>
            </w:pPr>
            <w:r w:rsidRPr="00305460">
              <w:rPr>
                <w:bCs/>
                <w:sz w:val="12"/>
                <w:szCs w:val="12"/>
              </w:rPr>
              <w:t>10</w:t>
            </w:r>
          </w:p>
        </w:tc>
        <w:tc>
          <w:tcPr>
            <w:tcW w:w="239" w:type="pct"/>
            <w:gridSpan w:val="3"/>
            <w:shd w:val="clear" w:color="auto" w:fill="auto"/>
            <w:tcMar>
              <w:left w:w="17" w:type="dxa"/>
              <w:right w:w="17" w:type="dxa"/>
            </w:tcMar>
            <w:vAlign w:val="center"/>
          </w:tcPr>
          <w:p w14:paraId="77FC53B6" w14:textId="77777777" w:rsidR="001C56BD" w:rsidRPr="00305460" w:rsidRDefault="001C56BD" w:rsidP="008A5C11">
            <w:pPr>
              <w:jc w:val="center"/>
              <w:rPr>
                <w:bCs/>
                <w:sz w:val="12"/>
                <w:szCs w:val="12"/>
              </w:rPr>
            </w:pPr>
            <w:r w:rsidRPr="00305460">
              <w:rPr>
                <w:bCs/>
                <w:sz w:val="12"/>
                <w:szCs w:val="12"/>
              </w:rPr>
              <w:t>11</w:t>
            </w:r>
          </w:p>
        </w:tc>
        <w:tc>
          <w:tcPr>
            <w:tcW w:w="196" w:type="pct"/>
            <w:gridSpan w:val="3"/>
            <w:shd w:val="clear" w:color="auto" w:fill="auto"/>
            <w:tcMar>
              <w:left w:w="17" w:type="dxa"/>
              <w:right w:w="17" w:type="dxa"/>
            </w:tcMar>
            <w:vAlign w:val="center"/>
          </w:tcPr>
          <w:p w14:paraId="26247530" w14:textId="77777777" w:rsidR="001C56BD" w:rsidRPr="00305460" w:rsidRDefault="001C56BD" w:rsidP="008A5C11">
            <w:pPr>
              <w:jc w:val="center"/>
              <w:rPr>
                <w:bCs/>
                <w:sz w:val="12"/>
                <w:szCs w:val="12"/>
              </w:rPr>
            </w:pPr>
            <w:r w:rsidRPr="00305460">
              <w:rPr>
                <w:bCs/>
                <w:sz w:val="12"/>
                <w:szCs w:val="12"/>
              </w:rPr>
              <w:t>12</w:t>
            </w:r>
          </w:p>
        </w:tc>
        <w:tc>
          <w:tcPr>
            <w:tcW w:w="216" w:type="pct"/>
            <w:gridSpan w:val="3"/>
            <w:shd w:val="clear" w:color="auto" w:fill="auto"/>
            <w:tcMar>
              <w:left w:w="17" w:type="dxa"/>
              <w:right w:w="17" w:type="dxa"/>
            </w:tcMar>
            <w:vAlign w:val="center"/>
          </w:tcPr>
          <w:p w14:paraId="5FB086E1" w14:textId="77777777" w:rsidR="001C56BD" w:rsidRPr="00305460" w:rsidRDefault="001C56BD" w:rsidP="008A5C11">
            <w:pPr>
              <w:jc w:val="center"/>
              <w:rPr>
                <w:bCs/>
                <w:sz w:val="12"/>
                <w:szCs w:val="12"/>
              </w:rPr>
            </w:pPr>
            <w:r w:rsidRPr="00305460">
              <w:rPr>
                <w:bCs/>
                <w:sz w:val="12"/>
                <w:szCs w:val="12"/>
              </w:rPr>
              <w:t>13</w:t>
            </w:r>
          </w:p>
        </w:tc>
        <w:tc>
          <w:tcPr>
            <w:tcW w:w="179" w:type="pct"/>
            <w:gridSpan w:val="2"/>
            <w:shd w:val="clear" w:color="auto" w:fill="auto"/>
            <w:tcMar>
              <w:left w:w="17" w:type="dxa"/>
              <w:right w:w="17" w:type="dxa"/>
            </w:tcMar>
            <w:vAlign w:val="center"/>
          </w:tcPr>
          <w:p w14:paraId="12335AC8" w14:textId="77777777" w:rsidR="001C56BD" w:rsidRPr="00305460" w:rsidRDefault="001C56BD" w:rsidP="008A5C11">
            <w:pPr>
              <w:jc w:val="center"/>
              <w:rPr>
                <w:bCs/>
                <w:sz w:val="12"/>
                <w:szCs w:val="12"/>
              </w:rPr>
            </w:pPr>
            <w:r w:rsidRPr="00305460">
              <w:rPr>
                <w:bCs/>
                <w:sz w:val="12"/>
                <w:szCs w:val="12"/>
              </w:rPr>
              <w:t>14</w:t>
            </w:r>
          </w:p>
        </w:tc>
        <w:tc>
          <w:tcPr>
            <w:tcW w:w="222" w:type="pct"/>
            <w:gridSpan w:val="2"/>
            <w:shd w:val="clear" w:color="auto" w:fill="auto"/>
            <w:tcMar>
              <w:left w:w="17" w:type="dxa"/>
              <w:right w:w="17" w:type="dxa"/>
            </w:tcMar>
            <w:vAlign w:val="center"/>
          </w:tcPr>
          <w:p w14:paraId="572E537E" w14:textId="77777777" w:rsidR="001C56BD" w:rsidRPr="00305460" w:rsidRDefault="001C56BD" w:rsidP="008A5C11">
            <w:pPr>
              <w:jc w:val="center"/>
              <w:rPr>
                <w:bCs/>
                <w:sz w:val="12"/>
                <w:szCs w:val="12"/>
              </w:rPr>
            </w:pPr>
            <w:r w:rsidRPr="00305460">
              <w:rPr>
                <w:bCs/>
                <w:sz w:val="12"/>
                <w:szCs w:val="12"/>
              </w:rPr>
              <w:t>15</w:t>
            </w:r>
          </w:p>
        </w:tc>
        <w:tc>
          <w:tcPr>
            <w:tcW w:w="213" w:type="pct"/>
            <w:tcMar>
              <w:left w:w="17" w:type="dxa"/>
              <w:right w:w="17" w:type="dxa"/>
            </w:tcMar>
            <w:vAlign w:val="center"/>
          </w:tcPr>
          <w:p w14:paraId="2745E264" w14:textId="77777777" w:rsidR="001C56BD" w:rsidRPr="00305460" w:rsidRDefault="001C56BD" w:rsidP="008A5C11">
            <w:pPr>
              <w:jc w:val="center"/>
              <w:rPr>
                <w:bCs/>
                <w:sz w:val="12"/>
                <w:szCs w:val="12"/>
              </w:rPr>
            </w:pPr>
            <w:r w:rsidRPr="00305460">
              <w:rPr>
                <w:bCs/>
                <w:sz w:val="12"/>
                <w:szCs w:val="12"/>
              </w:rPr>
              <w:t>16</w:t>
            </w:r>
          </w:p>
        </w:tc>
        <w:tc>
          <w:tcPr>
            <w:tcW w:w="218" w:type="pct"/>
            <w:tcMar>
              <w:left w:w="17" w:type="dxa"/>
              <w:right w:w="17" w:type="dxa"/>
            </w:tcMar>
            <w:vAlign w:val="center"/>
          </w:tcPr>
          <w:p w14:paraId="3F0AD318" w14:textId="77777777" w:rsidR="001C56BD" w:rsidRPr="00305460" w:rsidRDefault="001C56BD" w:rsidP="008A5C11">
            <w:pPr>
              <w:jc w:val="center"/>
              <w:rPr>
                <w:bCs/>
                <w:sz w:val="12"/>
                <w:szCs w:val="12"/>
              </w:rPr>
            </w:pPr>
            <w:r w:rsidRPr="00305460">
              <w:rPr>
                <w:bCs/>
                <w:sz w:val="12"/>
                <w:szCs w:val="12"/>
              </w:rPr>
              <w:t>17</w:t>
            </w:r>
          </w:p>
        </w:tc>
        <w:tc>
          <w:tcPr>
            <w:tcW w:w="218" w:type="pct"/>
            <w:tcMar>
              <w:left w:w="17" w:type="dxa"/>
              <w:right w:w="17" w:type="dxa"/>
            </w:tcMar>
            <w:vAlign w:val="center"/>
          </w:tcPr>
          <w:p w14:paraId="1D512579" w14:textId="77777777" w:rsidR="001C56BD" w:rsidRPr="00305460" w:rsidRDefault="001C56BD" w:rsidP="008A5C11">
            <w:pPr>
              <w:jc w:val="center"/>
              <w:rPr>
                <w:bCs/>
                <w:sz w:val="12"/>
                <w:szCs w:val="12"/>
              </w:rPr>
            </w:pPr>
            <w:r w:rsidRPr="00305460">
              <w:rPr>
                <w:bCs/>
                <w:sz w:val="12"/>
                <w:szCs w:val="12"/>
              </w:rPr>
              <w:t>18</w:t>
            </w:r>
          </w:p>
        </w:tc>
        <w:tc>
          <w:tcPr>
            <w:tcW w:w="218" w:type="pct"/>
            <w:tcMar>
              <w:left w:w="17" w:type="dxa"/>
              <w:right w:w="17" w:type="dxa"/>
            </w:tcMar>
            <w:vAlign w:val="center"/>
          </w:tcPr>
          <w:p w14:paraId="4D17600F" w14:textId="77777777" w:rsidR="001C56BD" w:rsidRPr="00305460" w:rsidRDefault="001C56BD" w:rsidP="008A5C11">
            <w:pPr>
              <w:jc w:val="center"/>
              <w:rPr>
                <w:bCs/>
                <w:sz w:val="12"/>
                <w:szCs w:val="12"/>
              </w:rPr>
            </w:pPr>
            <w:r w:rsidRPr="00305460">
              <w:rPr>
                <w:bCs/>
                <w:sz w:val="12"/>
                <w:szCs w:val="12"/>
              </w:rPr>
              <w:t>19</w:t>
            </w:r>
          </w:p>
        </w:tc>
        <w:tc>
          <w:tcPr>
            <w:tcW w:w="218" w:type="pct"/>
            <w:gridSpan w:val="2"/>
            <w:tcMar>
              <w:left w:w="17" w:type="dxa"/>
              <w:right w:w="17" w:type="dxa"/>
            </w:tcMar>
            <w:vAlign w:val="center"/>
          </w:tcPr>
          <w:p w14:paraId="14CCF5C5" w14:textId="77777777" w:rsidR="001C56BD" w:rsidRPr="00305460" w:rsidRDefault="001C56BD" w:rsidP="008A5C11">
            <w:pPr>
              <w:jc w:val="center"/>
              <w:rPr>
                <w:bCs/>
                <w:sz w:val="12"/>
                <w:szCs w:val="12"/>
              </w:rPr>
            </w:pPr>
            <w:r w:rsidRPr="00305460">
              <w:rPr>
                <w:bCs/>
                <w:sz w:val="12"/>
                <w:szCs w:val="12"/>
              </w:rPr>
              <w:t>20</w:t>
            </w:r>
          </w:p>
        </w:tc>
        <w:tc>
          <w:tcPr>
            <w:tcW w:w="172" w:type="pct"/>
            <w:gridSpan w:val="2"/>
            <w:tcMar>
              <w:left w:w="17" w:type="dxa"/>
              <w:right w:w="17" w:type="dxa"/>
            </w:tcMar>
            <w:vAlign w:val="center"/>
          </w:tcPr>
          <w:p w14:paraId="15FD43A3" w14:textId="77777777" w:rsidR="001C56BD" w:rsidRPr="00305460" w:rsidRDefault="001C56BD" w:rsidP="008A5C11">
            <w:pPr>
              <w:jc w:val="center"/>
              <w:rPr>
                <w:bCs/>
                <w:sz w:val="12"/>
                <w:szCs w:val="12"/>
              </w:rPr>
            </w:pPr>
            <w:r w:rsidRPr="00305460">
              <w:rPr>
                <w:bCs/>
                <w:sz w:val="12"/>
                <w:szCs w:val="12"/>
              </w:rPr>
              <w:t>21</w:t>
            </w:r>
          </w:p>
        </w:tc>
        <w:tc>
          <w:tcPr>
            <w:tcW w:w="219" w:type="pct"/>
            <w:tcMar>
              <w:left w:w="17" w:type="dxa"/>
              <w:right w:w="17" w:type="dxa"/>
            </w:tcMar>
            <w:vAlign w:val="center"/>
          </w:tcPr>
          <w:p w14:paraId="3018791E" w14:textId="77777777" w:rsidR="001C56BD" w:rsidRPr="00305460" w:rsidRDefault="001C56BD" w:rsidP="008A5C11">
            <w:pPr>
              <w:jc w:val="center"/>
              <w:rPr>
                <w:bCs/>
                <w:sz w:val="12"/>
                <w:szCs w:val="12"/>
              </w:rPr>
            </w:pPr>
            <w:r w:rsidRPr="00305460">
              <w:rPr>
                <w:bCs/>
                <w:sz w:val="12"/>
                <w:szCs w:val="12"/>
              </w:rPr>
              <w:t>22</w:t>
            </w:r>
          </w:p>
        </w:tc>
        <w:tc>
          <w:tcPr>
            <w:tcW w:w="174" w:type="pct"/>
            <w:tcMar>
              <w:left w:w="17" w:type="dxa"/>
              <w:right w:w="17" w:type="dxa"/>
            </w:tcMar>
            <w:vAlign w:val="center"/>
          </w:tcPr>
          <w:p w14:paraId="35EB3084" w14:textId="77777777" w:rsidR="001C56BD" w:rsidRPr="00305460" w:rsidRDefault="001C56BD" w:rsidP="008A5C11">
            <w:pPr>
              <w:jc w:val="center"/>
              <w:rPr>
                <w:bCs/>
                <w:sz w:val="12"/>
                <w:szCs w:val="12"/>
              </w:rPr>
            </w:pPr>
            <w:r w:rsidRPr="00305460">
              <w:rPr>
                <w:bCs/>
                <w:sz w:val="12"/>
                <w:szCs w:val="12"/>
              </w:rPr>
              <w:t>23</w:t>
            </w:r>
          </w:p>
        </w:tc>
        <w:tc>
          <w:tcPr>
            <w:tcW w:w="176" w:type="pct"/>
            <w:tcMar>
              <w:left w:w="17" w:type="dxa"/>
              <w:right w:w="17" w:type="dxa"/>
            </w:tcMar>
            <w:vAlign w:val="center"/>
          </w:tcPr>
          <w:p w14:paraId="1AB10FC6" w14:textId="77777777" w:rsidR="001C56BD" w:rsidRPr="00305460" w:rsidRDefault="001C56BD" w:rsidP="008A5C11">
            <w:pPr>
              <w:jc w:val="center"/>
              <w:rPr>
                <w:bCs/>
                <w:sz w:val="12"/>
                <w:szCs w:val="12"/>
              </w:rPr>
            </w:pPr>
            <w:r w:rsidRPr="00305460">
              <w:rPr>
                <w:bCs/>
                <w:sz w:val="12"/>
                <w:szCs w:val="12"/>
              </w:rPr>
              <w:t>24</w:t>
            </w:r>
          </w:p>
        </w:tc>
      </w:tr>
      <w:tr w:rsidR="001C56BD" w:rsidRPr="00305460" w14:paraId="08A61CCA" w14:textId="77777777" w:rsidTr="008A5C11">
        <w:trPr>
          <w:trHeight w:val="897"/>
        </w:trPr>
        <w:tc>
          <w:tcPr>
            <w:tcW w:w="86" w:type="pct"/>
            <w:shd w:val="clear" w:color="auto" w:fill="auto"/>
            <w:tcMar>
              <w:left w:w="17" w:type="dxa"/>
              <w:right w:w="17" w:type="dxa"/>
            </w:tcMar>
            <w:vAlign w:val="center"/>
          </w:tcPr>
          <w:p w14:paraId="21063937" w14:textId="77777777" w:rsidR="001C56BD" w:rsidRPr="00305460" w:rsidRDefault="001C56BD" w:rsidP="008A5C11">
            <w:pPr>
              <w:jc w:val="center"/>
              <w:rPr>
                <w:sz w:val="12"/>
                <w:szCs w:val="12"/>
              </w:rPr>
            </w:pPr>
            <w:r w:rsidRPr="00305460">
              <w:rPr>
                <w:sz w:val="12"/>
                <w:szCs w:val="12"/>
              </w:rPr>
              <w:t>3.1.41.</w:t>
            </w:r>
          </w:p>
        </w:tc>
        <w:tc>
          <w:tcPr>
            <w:tcW w:w="295" w:type="pct"/>
            <w:shd w:val="clear" w:color="auto" w:fill="auto"/>
            <w:tcMar>
              <w:left w:w="17" w:type="dxa"/>
              <w:right w:w="17" w:type="dxa"/>
            </w:tcMar>
            <w:vAlign w:val="center"/>
          </w:tcPr>
          <w:p w14:paraId="06CDB718" w14:textId="77777777" w:rsidR="001C56BD" w:rsidRPr="00305460" w:rsidRDefault="001C56BD" w:rsidP="008A5C11">
            <w:pPr>
              <w:rPr>
                <w:sz w:val="12"/>
                <w:szCs w:val="12"/>
              </w:rPr>
            </w:pPr>
            <w:r w:rsidRPr="00305460">
              <w:rPr>
                <w:color w:val="000000"/>
                <w:sz w:val="12"/>
                <w:szCs w:val="12"/>
              </w:rPr>
              <w:t>Реконструкция тепловой сети с реестровым номером</w:t>
            </w:r>
            <w:r w:rsidRPr="00305460">
              <w:rPr>
                <w:sz w:val="12"/>
                <w:szCs w:val="12"/>
              </w:rPr>
              <w:t xml:space="preserve"> 773641</w:t>
            </w:r>
          </w:p>
        </w:tc>
        <w:tc>
          <w:tcPr>
            <w:tcW w:w="307" w:type="pct"/>
            <w:shd w:val="clear" w:color="000000" w:fill="FFFFFF"/>
            <w:tcMar>
              <w:left w:w="17" w:type="dxa"/>
              <w:right w:w="17" w:type="dxa"/>
            </w:tcMar>
            <w:vAlign w:val="center"/>
          </w:tcPr>
          <w:p w14:paraId="1CF5CB78" w14:textId="77777777" w:rsidR="001C56BD" w:rsidRPr="00305460" w:rsidRDefault="001C56BD" w:rsidP="008A5C11">
            <w:pPr>
              <w:jc w:val="center"/>
              <w:rPr>
                <w:sz w:val="12"/>
                <w:szCs w:val="12"/>
              </w:rPr>
            </w:pPr>
            <w:r w:rsidRPr="00305460">
              <w:rPr>
                <w:color w:val="000000"/>
                <w:sz w:val="12"/>
                <w:szCs w:val="12"/>
              </w:rPr>
              <w:t>Повышение надежности услуг теплоснабжения, повышение энергетической эффективности</w:t>
            </w:r>
          </w:p>
        </w:tc>
        <w:tc>
          <w:tcPr>
            <w:tcW w:w="280" w:type="pct"/>
            <w:shd w:val="clear" w:color="auto" w:fill="auto"/>
            <w:tcMar>
              <w:left w:w="17" w:type="dxa"/>
              <w:right w:w="17" w:type="dxa"/>
            </w:tcMar>
            <w:vAlign w:val="center"/>
          </w:tcPr>
          <w:p w14:paraId="1C8B7378" w14:textId="77777777" w:rsidR="001C56BD" w:rsidRPr="00305460" w:rsidRDefault="001C56BD" w:rsidP="008A5C11">
            <w:pPr>
              <w:jc w:val="center"/>
              <w:rPr>
                <w:sz w:val="12"/>
                <w:szCs w:val="12"/>
              </w:rPr>
            </w:pPr>
            <w:r w:rsidRPr="00305460">
              <w:rPr>
                <w:sz w:val="12"/>
                <w:szCs w:val="12"/>
              </w:rPr>
              <w:t>Кемеровский городской округ, Центральный район, 40м. севернее жилого дома №73 по проспекту Ленина</w:t>
            </w:r>
          </w:p>
        </w:tc>
        <w:tc>
          <w:tcPr>
            <w:tcW w:w="289" w:type="pct"/>
            <w:shd w:val="clear" w:color="auto" w:fill="auto"/>
            <w:tcMar>
              <w:left w:w="17" w:type="dxa"/>
              <w:right w:w="17" w:type="dxa"/>
            </w:tcMar>
            <w:vAlign w:val="center"/>
          </w:tcPr>
          <w:p w14:paraId="2CD970E7" w14:textId="77777777" w:rsidR="001C56BD" w:rsidRPr="00305460" w:rsidRDefault="001C56BD" w:rsidP="008A5C11">
            <w:pPr>
              <w:jc w:val="center"/>
              <w:rPr>
                <w:sz w:val="12"/>
                <w:szCs w:val="12"/>
              </w:rPr>
            </w:pPr>
            <w:r w:rsidRPr="00305460">
              <w:rPr>
                <w:color w:val="000000"/>
                <w:sz w:val="12"/>
                <w:szCs w:val="12"/>
              </w:rPr>
              <w:t>Технические характеристики</w:t>
            </w:r>
          </w:p>
        </w:tc>
        <w:tc>
          <w:tcPr>
            <w:tcW w:w="137" w:type="pct"/>
            <w:shd w:val="clear" w:color="auto" w:fill="auto"/>
            <w:tcMar>
              <w:left w:w="17" w:type="dxa"/>
              <w:right w:w="17" w:type="dxa"/>
            </w:tcMar>
            <w:vAlign w:val="center"/>
          </w:tcPr>
          <w:p w14:paraId="2CCD0B23" w14:textId="77777777" w:rsidR="001C56BD" w:rsidRPr="00305460" w:rsidRDefault="001C56BD" w:rsidP="008A5C11">
            <w:pPr>
              <w:jc w:val="center"/>
              <w:rPr>
                <w:color w:val="000000"/>
                <w:sz w:val="12"/>
                <w:szCs w:val="12"/>
              </w:rPr>
            </w:pPr>
          </w:p>
        </w:tc>
        <w:tc>
          <w:tcPr>
            <w:tcW w:w="202" w:type="pct"/>
            <w:shd w:val="clear" w:color="auto" w:fill="auto"/>
            <w:tcMar>
              <w:left w:w="17" w:type="dxa"/>
              <w:right w:w="17" w:type="dxa"/>
            </w:tcMar>
            <w:vAlign w:val="center"/>
          </w:tcPr>
          <w:p w14:paraId="5131008D" w14:textId="77777777" w:rsidR="001C56BD" w:rsidRPr="00305460" w:rsidRDefault="001C56BD" w:rsidP="008A5C11">
            <w:pPr>
              <w:jc w:val="center"/>
              <w:rPr>
                <w:sz w:val="12"/>
                <w:szCs w:val="12"/>
              </w:rPr>
            </w:pPr>
            <w:r w:rsidRPr="00305460">
              <w:rPr>
                <w:sz w:val="12"/>
                <w:szCs w:val="12"/>
              </w:rPr>
              <w:t>Канал-ж/б лотки (непроходной канал),</w:t>
            </w:r>
            <w:r w:rsidRPr="00305460">
              <w:rPr>
                <w:sz w:val="12"/>
                <w:szCs w:val="12"/>
              </w:rPr>
              <w:br/>
              <w:t xml:space="preserve">опоры приварные, запорная арматура-стальная клиновая, антикоррозийная защита-лак БТ, труба-сталь 20, изоляция-мин. маты.       </w:t>
            </w:r>
          </w:p>
        </w:tc>
        <w:tc>
          <w:tcPr>
            <w:tcW w:w="244" w:type="pct"/>
            <w:shd w:val="clear" w:color="auto" w:fill="auto"/>
            <w:tcMar>
              <w:left w:w="17" w:type="dxa"/>
              <w:right w:w="17" w:type="dxa"/>
            </w:tcMar>
            <w:vAlign w:val="center"/>
          </w:tcPr>
          <w:p w14:paraId="5FEEFBF6" w14:textId="77777777" w:rsidR="001C56BD" w:rsidRPr="00305460" w:rsidRDefault="001C56BD" w:rsidP="008A5C11">
            <w:pPr>
              <w:jc w:val="center"/>
              <w:rPr>
                <w:sz w:val="12"/>
                <w:szCs w:val="12"/>
              </w:rPr>
            </w:pPr>
            <w:r w:rsidRPr="00305460">
              <w:rPr>
                <w:sz w:val="12"/>
                <w:szCs w:val="12"/>
              </w:rPr>
              <w:t xml:space="preserve">Канал-ж/б лотки (непроходной канал), опоры- хомутовые с диэлектрической прокладкой, запорная арматура-кран шаровый, антикоррозийная защита-мастика Вектор 1214, 1025, труба-сталь 09Г2С, изоляция- маты </w:t>
            </w:r>
            <w:proofErr w:type="gramStart"/>
            <w:r w:rsidRPr="00305460">
              <w:rPr>
                <w:sz w:val="12"/>
                <w:szCs w:val="12"/>
              </w:rPr>
              <w:t>прошивные,стеклоплас</w:t>
            </w:r>
            <w:proofErr w:type="gramEnd"/>
            <w:r w:rsidRPr="00305460">
              <w:rPr>
                <w:sz w:val="12"/>
                <w:szCs w:val="12"/>
              </w:rPr>
              <w:t>-тик.</w:t>
            </w:r>
          </w:p>
        </w:tc>
        <w:tc>
          <w:tcPr>
            <w:tcW w:w="140" w:type="pct"/>
            <w:shd w:val="clear" w:color="auto" w:fill="auto"/>
            <w:tcMar>
              <w:left w:w="17" w:type="dxa"/>
              <w:right w:w="17" w:type="dxa"/>
            </w:tcMar>
            <w:vAlign w:val="center"/>
          </w:tcPr>
          <w:p w14:paraId="6E44E4EE" w14:textId="77777777" w:rsidR="001C56BD" w:rsidRPr="00305460" w:rsidRDefault="001C56BD" w:rsidP="008A5C11">
            <w:pPr>
              <w:jc w:val="center"/>
              <w:rPr>
                <w:sz w:val="12"/>
                <w:szCs w:val="12"/>
              </w:rPr>
            </w:pPr>
            <w:r w:rsidRPr="00305460">
              <w:rPr>
                <w:sz w:val="12"/>
                <w:szCs w:val="12"/>
              </w:rPr>
              <w:t>2026</w:t>
            </w:r>
          </w:p>
        </w:tc>
        <w:tc>
          <w:tcPr>
            <w:tcW w:w="140" w:type="pct"/>
            <w:shd w:val="clear" w:color="auto" w:fill="auto"/>
            <w:tcMar>
              <w:left w:w="17" w:type="dxa"/>
              <w:right w:w="17" w:type="dxa"/>
            </w:tcMar>
            <w:vAlign w:val="center"/>
          </w:tcPr>
          <w:p w14:paraId="640F731F" w14:textId="77777777" w:rsidR="001C56BD" w:rsidRPr="00305460" w:rsidRDefault="001C56BD" w:rsidP="008A5C11">
            <w:pPr>
              <w:jc w:val="center"/>
              <w:rPr>
                <w:sz w:val="12"/>
                <w:szCs w:val="12"/>
              </w:rPr>
            </w:pPr>
            <w:r w:rsidRPr="00305460">
              <w:rPr>
                <w:sz w:val="12"/>
                <w:szCs w:val="12"/>
              </w:rPr>
              <w:t>2031</w:t>
            </w:r>
          </w:p>
        </w:tc>
        <w:tc>
          <w:tcPr>
            <w:tcW w:w="239" w:type="pct"/>
            <w:gridSpan w:val="3"/>
            <w:shd w:val="clear" w:color="auto" w:fill="auto"/>
            <w:tcMar>
              <w:left w:w="17" w:type="dxa"/>
              <w:right w:w="17" w:type="dxa"/>
            </w:tcMar>
            <w:vAlign w:val="center"/>
          </w:tcPr>
          <w:p w14:paraId="3FC0656C" w14:textId="77777777" w:rsidR="001C56BD" w:rsidRPr="00305460" w:rsidRDefault="001C56BD" w:rsidP="008A5C11">
            <w:pPr>
              <w:jc w:val="center"/>
              <w:rPr>
                <w:sz w:val="12"/>
                <w:szCs w:val="12"/>
              </w:rPr>
            </w:pPr>
            <w:r w:rsidRPr="00305460">
              <w:rPr>
                <w:sz w:val="12"/>
                <w:szCs w:val="12"/>
              </w:rPr>
              <w:t>16520,112</w:t>
            </w:r>
          </w:p>
        </w:tc>
        <w:tc>
          <w:tcPr>
            <w:tcW w:w="196" w:type="pct"/>
            <w:gridSpan w:val="3"/>
            <w:shd w:val="clear" w:color="auto" w:fill="auto"/>
            <w:tcMar>
              <w:left w:w="17" w:type="dxa"/>
              <w:right w:w="17" w:type="dxa"/>
            </w:tcMar>
            <w:vAlign w:val="center"/>
          </w:tcPr>
          <w:p w14:paraId="52FFAF0F" w14:textId="77777777" w:rsidR="001C56BD" w:rsidRPr="00305460" w:rsidRDefault="001C56BD" w:rsidP="008A5C11">
            <w:pPr>
              <w:jc w:val="center"/>
              <w:rPr>
                <w:sz w:val="12"/>
                <w:szCs w:val="12"/>
              </w:rPr>
            </w:pPr>
            <w:r w:rsidRPr="00305460">
              <w:rPr>
                <w:sz w:val="12"/>
                <w:szCs w:val="12"/>
              </w:rPr>
              <w:t>0,000</w:t>
            </w:r>
          </w:p>
        </w:tc>
        <w:tc>
          <w:tcPr>
            <w:tcW w:w="216" w:type="pct"/>
            <w:gridSpan w:val="3"/>
            <w:shd w:val="clear" w:color="auto" w:fill="auto"/>
            <w:tcMar>
              <w:left w:w="17" w:type="dxa"/>
              <w:right w:w="17" w:type="dxa"/>
            </w:tcMar>
            <w:vAlign w:val="center"/>
          </w:tcPr>
          <w:p w14:paraId="35EBAF96" w14:textId="77777777" w:rsidR="001C56BD" w:rsidRPr="00305460" w:rsidRDefault="001C56BD" w:rsidP="008A5C11">
            <w:pPr>
              <w:jc w:val="center"/>
              <w:rPr>
                <w:sz w:val="12"/>
                <w:szCs w:val="12"/>
              </w:rPr>
            </w:pPr>
            <w:r w:rsidRPr="00305460">
              <w:rPr>
                <w:sz w:val="12"/>
                <w:szCs w:val="12"/>
              </w:rPr>
              <w:t>0,000</w:t>
            </w:r>
          </w:p>
        </w:tc>
        <w:tc>
          <w:tcPr>
            <w:tcW w:w="179" w:type="pct"/>
            <w:gridSpan w:val="2"/>
            <w:shd w:val="clear" w:color="auto" w:fill="auto"/>
            <w:tcMar>
              <w:left w:w="17" w:type="dxa"/>
              <w:right w:w="17" w:type="dxa"/>
            </w:tcMar>
            <w:vAlign w:val="center"/>
          </w:tcPr>
          <w:p w14:paraId="2DBBDEDE" w14:textId="77777777" w:rsidR="001C56BD" w:rsidRPr="00305460" w:rsidRDefault="001C56BD" w:rsidP="008A5C11">
            <w:pPr>
              <w:jc w:val="center"/>
              <w:rPr>
                <w:sz w:val="12"/>
                <w:szCs w:val="12"/>
              </w:rPr>
            </w:pPr>
            <w:r w:rsidRPr="00305460">
              <w:rPr>
                <w:sz w:val="12"/>
                <w:szCs w:val="12"/>
              </w:rPr>
              <w:t>0,000</w:t>
            </w:r>
          </w:p>
        </w:tc>
        <w:tc>
          <w:tcPr>
            <w:tcW w:w="222" w:type="pct"/>
            <w:gridSpan w:val="2"/>
            <w:shd w:val="clear" w:color="auto" w:fill="auto"/>
            <w:tcMar>
              <w:left w:w="17" w:type="dxa"/>
              <w:right w:w="17" w:type="dxa"/>
            </w:tcMar>
            <w:vAlign w:val="center"/>
          </w:tcPr>
          <w:p w14:paraId="1B61A82B" w14:textId="77777777" w:rsidR="001C56BD" w:rsidRPr="00305460" w:rsidRDefault="001C56BD" w:rsidP="008A5C11">
            <w:pPr>
              <w:jc w:val="center"/>
              <w:rPr>
                <w:sz w:val="12"/>
                <w:szCs w:val="12"/>
              </w:rPr>
            </w:pPr>
            <w:r w:rsidRPr="00305460">
              <w:rPr>
                <w:sz w:val="12"/>
                <w:szCs w:val="12"/>
              </w:rPr>
              <w:t>0,000</w:t>
            </w:r>
          </w:p>
        </w:tc>
        <w:tc>
          <w:tcPr>
            <w:tcW w:w="213" w:type="pct"/>
            <w:shd w:val="clear" w:color="auto" w:fill="auto"/>
            <w:tcMar>
              <w:left w:w="17" w:type="dxa"/>
              <w:right w:w="17" w:type="dxa"/>
            </w:tcMar>
            <w:vAlign w:val="center"/>
          </w:tcPr>
          <w:p w14:paraId="0C7D31F8"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39F2C159" w14:textId="77777777" w:rsidR="001C56BD" w:rsidRPr="00305460" w:rsidRDefault="001C56BD" w:rsidP="008A5C11">
            <w:pPr>
              <w:jc w:val="center"/>
              <w:rPr>
                <w:sz w:val="12"/>
                <w:szCs w:val="12"/>
              </w:rPr>
            </w:pPr>
            <w:r w:rsidRPr="00305460">
              <w:rPr>
                <w:sz w:val="12"/>
                <w:szCs w:val="12"/>
              </w:rPr>
              <w:t>7413,636</w:t>
            </w:r>
          </w:p>
        </w:tc>
        <w:tc>
          <w:tcPr>
            <w:tcW w:w="218" w:type="pct"/>
            <w:shd w:val="clear" w:color="auto" w:fill="auto"/>
            <w:tcMar>
              <w:left w:w="17" w:type="dxa"/>
              <w:right w:w="17" w:type="dxa"/>
            </w:tcMar>
            <w:vAlign w:val="center"/>
          </w:tcPr>
          <w:p w14:paraId="30F04D66"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0DD60246" w14:textId="77777777" w:rsidR="001C56BD" w:rsidRPr="00305460" w:rsidRDefault="001C56BD" w:rsidP="008A5C11">
            <w:pPr>
              <w:jc w:val="center"/>
              <w:rPr>
                <w:sz w:val="12"/>
                <w:szCs w:val="12"/>
              </w:rPr>
            </w:pPr>
            <w:r w:rsidRPr="00305460">
              <w:rPr>
                <w:sz w:val="12"/>
                <w:szCs w:val="12"/>
              </w:rPr>
              <w:t>0,000</w:t>
            </w:r>
          </w:p>
        </w:tc>
        <w:tc>
          <w:tcPr>
            <w:tcW w:w="218" w:type="pct"/>
            <w:gridSpan w:val="2"/>
            <w:shd w:val="clear" w:color="auto" w:fill="auto"/>
            <w:tcMar>
              <w:left w:w="17" w:type="dxa"/>
              <w:right w:w="17" w:type="dxa"/>
            </w:tcMar>
            <w:vAlign w:val="center"/>
          </w:tcPr>
          <w:p w14:paraId="6621DE17" w14:textId="77777777" w:rsidR="001C56BD" w:rsidRPr="00305460" w:rsidRDefault="001C56BD" w:rsidP="008A5C11">
            <w:pPr>
              <w:jc w:val="center"/>
              <w:rPr>
                <w:sz w:val="12"/>
                <w:szCs w:val="12"/>
              </w:rPr>
            </w:pPr>
            <w:r w:rsidRPr="00305460">
              <w:rPr>
                <w:sz w:val="12"/>
                <w:szCs w:val="12"/>
              </w:rPr>
              <w:t>0,000</w:t>
            </w:r>
          </w:p>
        </w:tc>
        <w:tc>
          <w:tcPr>
            <w:tcW w:w="172" w:type="pct"/>
            <w:gridSpan w:val="2"/>
            <w:shd w:val="clear" w:color="auto" w:fill="auto"/>
            <w:tcMar>
              <w:left w:w="17" w:type="dxa"/>
              <w:right w:w="17" w:type="dxa"/>
            </w:tcMar>
            <w:vAlign w:val="center"/>
          </w:tcPr>
          <w:p w14:paraId="3C520E12" w14:textId="77777777" w:rsidR="001C56BD" w:rsidRPr="00305460" w:rsidRDefault="001C56BD" w:rsidP="008A5C11">
            <w:pPr>
              <w:jc w:val="center"/>
              <w:rPr>
                <w:sz w:val="12"/>
                <w:szCs w:val="12"/>
              </w:rPr>
            </w:pPr>
            <w:r w:rsidRPr="00305460">
              <w:rPr>
                <w:sz w:val="12"/>
                <w:szCs w:val="12"/>
              </w:rPr>
              <w:t>0,000</w:t>
            </w:r>
          </w:p>
        </w:tc>
        <w:tc>
          <w:tcPr>
            <w:tcW w:w="219" w:type="pct"/>
            <w:shd w:val="clear" w:color="auto" w:fill="auto"/>
            <w:tcMar>
              <w:left w:w="17" w:type="dxa"/>
              <w:right w:w="17" w:type="dxa"/>
            </w:tcMar>
            <w:vAlign w:val="center"/>
          </w:tcPr>
          <w:p w14:paraId="32F289BA" w14:textId="77777777" w:rsidR="001C56BD" w:rsidRPr="00305460" w:rsidRDefault="001C56BD" w:rsidP="008A5C11">
            <w:pPr>
              <w:jc w:val="center"/>
              <w:rPr>
                <w:sz w:val="12"/>
                <w:szCs w:val="12"/>
              </w:rPr>
            </w:pPr>
            <w:r w:rsidRPr="00305460">
              <w:rPr>
                <w:sz w:val="12"/>
                <w:szCs w:val="12"/>
              </w:rPr>
              <w:t>9106,476</w:t>
            </w:r>
          </w:p>
        </w:tc>
        <w:tc>
          <w:tcPr>
            <w:tcW w:w="174" w:type="pct"/>
            <w:shd w:val="clear" w:color="auto" w:fill="auto"/>
            <w:tcMar>
              <w:left w:w="17" w:type="dxa"/>
              <w:right w:w="17" w:type="dxa"/>
            </w:tcMar>
            <w:vAlign w:val="center"/>
          </w:tcPr>
          <w:p w14:paraId="1D9A7F76" w14:textId="77777777" w:rsidR="001C56BD" w:rsidRPr="00305460" w:rsidRDefault="001C56BD" w:rsidP="008A5C11">
            <w:pPr>
              <w:jc w:val="center"/>
              <w:rPr>
                <w:sz w:val="12"/>
                <w:szCs w:val="12"/>
              </w:rPr>
            </w:pPr>
            <w:r w:rsidRPr="00305460">
              <w:rPr>
                <w:sz w:val="12"/>
                <w:szCs w:val="12"/>
              </w:rPr>
              <w:t>0,000</w:t>
            </w:r>
          </w:p>
        </w:tc>
        <w:tc>
          <w:tcPr>
            <w:tcW w:w="176" w:type="pct"/>
            <w:shd w:val="clear" w:color="auto" w:fill="auto"/>
            <w:tcMar>
              <w:left w:w="17" w:type="dxa"/>
              <w:right w:w="17" w:type="dxa"/>
            </w:tcMar>
            <w:vAlign w:val="center"/>
          </w:tcPr>
          <w:p w14:paraId="4B189201" w14:textId="77777777" w:rsidR="001C56BD" w:rsidRPr="00305460" w:rsidRDefault="001C56BD" w:rsidP="008A5C11">
            <w:pPr>
              <w:jc w:val="center"/>
              <w:rPr>
                <w:sz w:val="12"/>
                <w:szCs w:val="12"/>
              </w:rPr>
            </w:pPr>
            <w:r w:rsidRPr="00305460">
              <w:rPr>
                <w:sz w:val="12"/>
                <w:szCs w:val="12"/>
              </w:rPr>
              <w:t>0,000</w:t>
            </w:r>
          </w:p>
        </w:tc>
      </w:tr>
      <w:tr w:rsidR="001C56BD" w:rsidRPr="00305460" w14:paraId="1E771E56" w14:textId="77777777" w:rsidTr="008A5C11">
        <w:trPr>
          <w:trHeight w:val="897"/>
        </w:trPr>
        <w:tc>
          <w:tcPr>
            <w:tcW w:w="86" w:type="pct"/>
            <w:shd w:val="clear" w:color="auto" w:fill="auto"/>
            <w:tcMar>
              <w:left w:w="17" w:type="dxa"/>
              <w:right w:w="17" w:type="dxa"/>
            </w:tcMar>
            <w:vAlign w:val="center"/>
          </w:tcPr>
          <w:p w14:paraId="67AB1E7D" w14:textId="77777777" w:rsidR="001C56BD" w:rsidRPr="00305460" w:rsidRDefault="001C56BD" w:rsidP="008A5C11">
            <w:pPr>
              <w:jc w:val="center"/>
              <w:rPr>
                <w:sz w:val="12"/>
                <w:szCs w:val="12"/>
              </w:rPr>
            </w:pPr>
            <w:r w:rsidRPr="00305460">
              <w:rPr>
                <w:sz w:val="12"/>
                <w:szCs w:val="12"/>
              </w:rPr>
              <w:t>3.1.42.</w:t>
            </w:r>
          </w:p>
        </w:tc>
        <w:tc>
          <w:tcPr>
            <w:tcW w:w="295" w:type="pct"/>
            <w:shd w:val="clear" w:color="auto" w:fill="auto"/>
            <w:tcMar>
              <w:left w:w="17" w:type="dxa"/>
              <w:right w:w="17" w:type="dxa"/>
            </w:tcMar>
            <w:vAlign w:val="center"/>
          </w:tcPr>
          <w:p w14:paraId="2ABD8897" w14:textId="77777777" w:rsidR="001C56BD" w:rsidRPr="00305460" w:rsidRDefault="001C56BD" w:rsidP="008A5C11">
            <w:pPr>
              <w:rPr>
                <w:sz w:val="12"/>
                <w:szCs w:val="12"/>
              </w:rPr>
            </w:pPr>
            <w:r w:rsidRPr="00305460">
              <w:rPr>
                <w:color w:val="000000"/>
                <w:sz w:val="12"/>
                <w:szCs w:val="12"/>
              </w:rPr>
              <w:t>Реконструкция тепловой сети с реестровым номером</w:t>
            </w:r>
            <w:r w:rsidRPr="00305460">
              <w:rPr>
                <w:sz w:val="12"/>
                <w:szCs w:val="12"/>
              </w:rPr>
              <w:t xml:space="preserve"> 773781</w:t>
            </w:r>
          </w:p>
        </w:tc>
        <w:tc>
          <w:tcPr>
            <w:tcW w:w="307" w:type="pct"/>
            <w:shd w:val="clear" w:color="000000" w:fill="FFFFFF"/>
            <w:tcMar>
              <w:left w:w="17" w:type="dxa"/>
              <w:right w:w="17" w:type="dxa"/>
            </w:tcMar>
            <w:vAlign w:val="center"/>
          </w:tcPr>
          <w:p w14:paraId="442DC0E7" w14:textId="77777777" w:rsidR="001C56BD" w:rsidRPr="00305460" w:rsidRDefault="001C56BD" w:rsidP="008A5C11">
            <w:pPr>
              <w:jc w:val="center"/>
              <w:rPr>
                <w:sz w:val="12"/>
                <w:szCs w:val="12"/>
              </w:rPr>
            </w:pPr>
            <w:r w:rsidRPr="00305460">
              <w:rPr>
                <w:color w:val="000000"/>
                <w:sz w:val="12"/>
                <w:szCs w:val="12"/>
              </w:rPr>
              <w:t>Повышение надежности услуг теплоснабжения, повышение энергетической эффективности</w:t>
            </w:r>
          </w:p>
        </w:tc>
        <w:tc>
          <w:tcPr>
            <w:tcW w:w="280" w:type="pct"/>
            <w:shd w:val="clear" w:color="auto" w:fill="auto"/>
            <w:tcMar>
              <w:left w:w="17" w:type="dxa"/>
              <w:right w:w="17" w:type="dxa"/>
            </w:tcMar>
            <w:vAlign w:val="center"/>
          </w:tcPr>
          <w:p w14:paraId="2A4E32AA" w14:textId="77777777" w:rsidR="001C56BD" w:rsidRPr="00305460" w:rsidRDefault="001C56BD" w:rsidP="008A5C11">
            <w:pPr>
              <w:jc w:val="center"/>
              <w:rPr>
                <w:sz w:val="12"/>
                <w:szCs w:val="12"/>
              </w:rPr>
            </w:pPr>
            <w:r w:rsidRPr="00305460">
              <w:rPr>
                <w:sz w:val="12"/>
                <w:szCs w:val="12"/>
              </w:rPr>
              <w:t>Кемеровский городской округ, р-н Центральный, мкр-н 5, 20м. Западнее жилого дома №66б по проспекту Ленина</w:t>
            </w:r>
          </w:p>
        </w:tc>
        <w:tc>
          <w:tcPr>
            <w:tcW w:w="289" w:type="pct"/>
            <w:shd w:val="clear" w:color="auto" w:fill="auto"/>
            <w:tcMar>
              <w:left w:w="17" w:type="dxa"/>
              <w:right w:w="17" w:type="dxa"/>
            </w:tcMar>
            <w:vAlign w:val="center"/>
          </w:tcPr>
          <w:p w14:paraId="14FA67F2" w14:textId="77777777" w:rsidR="001C56BD" w:rsidRPr="00305460" w:rsidRDefault="001C56BD" w:rsidP="008A5C11">
            <w:pPr>
              <w:jc w:val="center"/>
              <w:rPr>
                <w:sz w:val="12"/>
                <w:szCs w:val="12"/>
              </w:rPr>
            </w:pPr>
            <w:r w:rsidRPr="00305460">
              <w:rPr>
                <w:color w:val="000000"/>
                <w:sz w:val="12"/>
                <w:szCs w:val="12"/>
              </w:rPr>
              <w:t>Технические характеристики</w:t>
            </w:r>
          </w:p>
        </w:tc>
        <w:tc>
          <w:tcPr>
            <w:tcW w:w="137" w:type="pct"/>
            <w:shd w:val="clear" w:color="auto" w:fill="auto"/>
            <w:tcMar>
              <w:left w:w="17" w:type="dxa"/>
              <w:right w:w="17" w:type="dxa"/>
            </w:tcMar>
            <w:vAlign w:val="center"/>
          </w:tcPr>
          <w:p w14:paraId="65726DA1" w14:textId="77777777" w:rsidR="001C56BD" w:rsidRPr="00305460" w:rsidRDefault="001C56BD" w:rsidP="008A5C11">
            <w:pPr>
              <w:jc w:val="center"/>
              <w:rPr>
                <w:color w:val="000000"/>
                <w:sz w:val="12"/>
                <w:szCs w:val="12"/>
              </w:rPr>
            </w:pPr>
          </w:p>
        </w:tc>
        <w:tc>
          <w:tcPr>
            <w:tcW w:w="202" w:type="pct"/>
            <w:shd w:val="clear" w:color="auto" w:fill="auto"/>
            <w:tcMar>
              <w:left w:w="17" w:type="dxa"/>
              <w:right w:w="17" w:type="dxa"/>
            </w:tcMar>
            <w:vAlign w:val="center"/>
          </w:tcPr>
          <w:p w14:paraId="71E49499" w14:textId="77777777" w:rsidR="001C56BD" w:rsidRPr="00305460" w:rsidRDefault="001C56BD" w:rsidP="008A5C11">
            <w:pPr>
              <w:jc w:val="center"/>
              <w:rPr>
                <w:sz w:val="12"/>
                <w:szCs w:val="12"/>
              </w:rPr>
            </w:pPr>
            <w:r w:rsidRPr="00305460">
              <w:rPr>
                <w:sz w:val="12"/>
                <w:szCs w:val="12"/>
              </w:rPr>
              <w:t>Канал-ж/б лотки (непроходной канал),</w:t>
            </w:r>
            <w:r w:rsidRPr="00305460">
              <w:rPr>
                <w:sz w:val="12"/>
                <w:szCs w:val="12"/>
              </w:rPr>
              <w:br/>
              <w:t xml:space="preserve">опоры приварные, запорная арматура-стальная клиновая, антикоррозийная защита-лак БТ, труба-сталь 20, изоляция-мин. маты.      </w:t>
            </w:r>
          </w:p>
        </w:tc>
        <w:tc>
          <w:tcPr>
            <w:tcW w:w="244" w:type="pct"/>
            <w:shd w:val="clear" w:color="auto" w:fill="auto"/>
            <w:tcMar>
              <w:left w:w="17" w:type="dxa"/>
              <w:right w:w="17" w:type="dxa"/>
            </w:tcMar>
            <w:vAlign w:val="center"/>
          </w:tcPr>
          <w:p w14:paraId="6925ACFD" w14:textId="77777777" w:rsidR="001C56BD" w:rsidRPr="00305460" w:rsidRDefault="001C56BD" w:rsidP="008A5C11">
            <w:pPr>
              <w:jc w:val="center"/>
              <w:rPr>
                <w:sz w:val="12"/>
                <w:szCs w:val="12"/>
              </w:rPr>
            </w:pPr>
            <w:r w:rsidRPr="00305460">
              <w:rPr>
                <w:sz w:val="12"/>
                <w:szCs w:val="12"/>
              </w:rPr>
              <w:t xml:space="preserve">Канал-ж/б лотки, опоры-хомутовые с диэлектрической прокладкой, запорная арматура - кран шаровый, антикоррозийная защита-мастика Вектор 1214, 1025, труба-сталь 09Г2С, изоляция - маты прошивные, </w:t>
            </w:r>
            <w:proofErr w:type="gramStart"/>
            <w:r w:rsidRPr="00305460">
              <w:rPr>
                <w:sz w:val="12"/>
                <w:szCs w:val="12"/>
              </w:rPr>
              <w:t>стеклоплас-тик</w:t>
            </w:r>
            <w:proofErr w:type="gramEnd"/>
            <w:r w:rsidRPr="00305460">
              <w:rPr>
                <w:sz w:val="12"/>
                <w:szCs w:val="12"/>
              </w:rPr>
              <w:t xml:space="preserve">  </w:t>
            </w:r>
          </w:p>
        </w:tc>
        <w:tc>
          <w:tcPr>
            <w:tcW w:w="140" w:type="pct"/>
            <w:shd w:val="clear" w:color="auto" w:fill="auto"/>
            <w:tcMar>
              <w:left w:w="17" w:type="dxa"/>
              <w:right w:w="17" w:type="dxa"/>
            </w:tcMar>
            <w:vAlign w:val="center"/>
          </w:tcPr>
          <w:p w14:paraId="656A460B" w14:textId="77777777" w:rsidR="001C56BD" w:rsidRPr="00305460" w:rsidRDefault="001C56BD" w:rsidP="008A5C11">
            <w:pPr>
              <w:jc w:val="center"/>
              <w:rPr>
                <w:sz w:val="12"/>
                <w:szCs w:val="12"/>
              </w:rPr>
            </w:pPr>
            <w:r w:rsidRPr="00305460">
              <w:rPr>
                <w:sz w:val="12"/>
                <w:szCs w:val="12"/>
              </w:rPr>
              <w:t>2025</w:t>
            </w:r>
          </w:p>
        </w:tc>
        <w:tc>
          <w:tcPr>
            <w:tcW w:w="140" w:type="pct"/>
            <w:shd w:val="clear" w:color="auto" w:fill="auto"/>
            <w:tcMar>
              <w:left w:w="17" w:type="dxa"/>
              <w:right w:w="17" w:type="dxa"/>
            </w:tcMar>
            <w:vAlign w:val="center"/>
          </w:tcPr>
          <w:p w14:paraId="390DEF8F" w14:textId="77777777" w:rsidR="001C56BD" w:rsidRPr="00305460" w:rsidRDefault="001C56BD" w:rsidP="008A5C11">
            <w:pPr>
              <w:jc w:val="center"/>
              <w:rPr>
                <w:sz w:val="12"/>
                <w:szCs w:val="12"/>
              </w:rPr>
            </w:pPr>
            <w:r w:rsidRPr="00305460">
              <w:rPr>
                <w:sz w:val="12"/>
                <w:szCs w:val="12"/>
              </w:rPr>
              <w:t>2025</w:t>
            </w:r>
          </w:p>
        </w:tc>
        <w:tc>
          <w:tcPr>
            <w:tcW w:w="239" w:type="pct"/>
            <w:gridSpan w:val="3"/>
            <w:shd w:val="clear" w:color="auto" w:fill="auto"/>
            <w:tcMar>
              <w:left w:w="17" w:type="dxa"/>
              <w:right w:w="17" w:type="dxa"/>
            </w:tcMar>
            <w:vAlign w:val="center"/>
          </w:tcPr>
          <w:p w14:paraId="66AC1970" w14:textId="77777777" w:rsidR="001C56BD" w:rsidRPr="00305460" w:rsidRDefault="001C56BD" w:rsidP="008A5C11">
            <w:pPr>
              <w:jc w:val="center"/>
              <w:rPr>
                <w:sz w:val="12"/>
                <w:szCs w:val="12"/>
              </w:rPr>
            </w:pPr>
            <w:r w:rsidRPr="00305460">
              <w:rPr>
                <w:sz w:val="12"/>
                <w:szCs w:val="12"/>
              </w:rPr>
              <w:t>24203,400</w:t>
            </w:r>
          </w:p>
        </w:tc>
        <w:tc>
          <w:tcPr>
            <w:tcW w:w="196" w:type="pct"/>
            <w:gridSpan w:val="3"/>
            <w:shd w:val="clear" w:color="auto" w:fill="auto"/>
            <w:tcMar>
              <w:left w:w="17" w:type="dxa"/>
              <w:right w:w="17" w:type="dxa"/>
            </w:tcMar>
            <w:vAlign w:val="center"/>
          </w:tcPr>
          <w:p w14:paraId="7358CB61" w14:textId="77777777" w:rsidR="001C56BD" w:rsidRPr="00305460" w:rsidRDefault="001C56BD" w:rsidP="008A5C11">
            <w:pPr>
              <w:jc w:val="center"/>
              <w:rPr>
                <w:sz w:val="12"/>
                <w:szCs w:val="12"/>
              </w:rPr>
            </w:pPr>
            <w:r w:rsidRPr="00305460">
              <w:rPr>
                <w:sz w:val="12"/>
                <w:szCs w:val="12"/>
              </w:rPr>
              <w:t>0,000</w:t>
            </w:r>
          </w:p>
        </w:tc>
        <w:tc>
          <w:tcPr>
            <w:tcW w:w="216" w:type="pct"/>
            <w:gridSpan w:val="3"/>
            <w:shd w:val="clear" w:color="auto" w:fill="auto"/>
            <w:tcMar>
              <w:left w:w="17" w:type="dxa"/>
              <w:right w:w="17" w:type="dxa"/>
            </w:tcMar>
            <w:vAlign w:val="center"/>
          </w:tcPr>
          <w:p w14:paraId="307F4572" w14:textId="77777777" w:rsidR="001C56BD" w:rsidRPr="00305460" w:rsidRDefault="001C56BD" w:rsidP="008A5C11">
            <w:pPr>
              <w:jc w:val="center"/>
              <w:rPr>
                <w:sz w:val="12"/>
                <w:szCs w:val="12"/>
              </w:rPr>
            </w:pPr>
            <w:r w:rsidRPr="00305460">
              <w:rPr>
                <w:sz w:val="12"/>
                <w:szCs w:val="12"/>
              </w:rPr>
              <w:t>0,000</w:t>
            </w:r>
          </w:p>
        </w:tc>
        <w:tc>
          <w:tcPr>
            <w:tcW w:w="179" w:type="pct"/>
            <w:gridSpan w:val="2"/>
            <w:shd w:val="clear" w:color="auto" w:fill="auto"/>
            <w:tcMar>
              <w:left w:w="17" w:type="dxa"/>
              <w:right w:w="17" w:type="dxa"/>
            </w:tcMar>
            <w:vAlign w:val="center"/>
          </w:tcPr>
          <w:p w14:paraId="1D97EDF9" w14:textId="77777777" w:rsidR="001C56BD" w:rsidRPr="00305460" w:rsidRDefault="001C56BD" w:rsidP="008A5C11">
            <w:pPr>
              <w:jc w:val="center"/>
              <w:rPr>
                <w:sz w:val="12"/>
                <w:szCs w:val="12"/>
              </w:rPr>
            </w:pPr>
            <w:r w:rsidRPr="00305460">
              <w:rPr>
                <w:sz w:val="12"/>
                <w:szCs w:val="12"/>
              </w:rPr>
              <w:t>0,000</w:t>
            </w:r>
          </w:p>
        </w:tc>
        <w:tc>
          <w:tcPr>
            <w:tcW w:w="222" w:type="pct"/>
            <w:gridSpan w:val="2"/>
            <w:shd w:val="clear" w:color="auto" w:fill="auto"/>
            <w:tcMar>
              <w:left w:w="17" w:type="dxa"/>
              <w:right w:w="17" w:type="dxa"/>
            </w:tcMar>
            <w:vAlign w:val="center"/>
          </w:tcPr>
          <w:p w14:paraId="68912ED7" w14:textId="77777777" w:rsidR="001C56BD" w:rsidRPr="00305460" w:rsidRDefault="001C56BD" w:rsidP="008A5C11">
            <w:pPr>
              <w:jc w:val="center"/>
              <w:rPr>
                <w:sz w:val="12"/>
                <w:szCs w:val="12"/>
              </w:rPr>
            </w:pPr>
            <w:r w:rsidRPr="00305460">
              <w:rPr>
                <w:sz w:val="12"/>
                <w:szCs w:val="12"/>
              </w:rPr>
              <w:t>0,000</w:t>
            </w:r>
          </w:p>
        </w:tc>
        <w:tc>
          <w:tcPr>
            <w:tcW w:w="213" w:type="pct"/>
            <w:shd w:val="clear" w:color="auto" w:fill="auto"/>
            <w:tcMar>
              <w:left w:w="17" w:type="dxa"/>
              <w:right w:w="17" w:type="dxa"/>
            </w:tcMar>
            <w:vAlign w:val="center"/>
          </w:tcPr>
          <w:p w14:paraId="24BECF97" w14:textId="77777777" w:rsidR="001C56BD" w:rsidRPr="00305460" w:rsidRDefault="001C56BD" w:rsidP="008A5C11">
            <w:pPr>
              <w:jc w:val="center"/>
              <w:rPr>
                <w:sz w:val="12"/>
                <w:szCs w:val="12"/>
              </w:rPr>
            </w:pPr>
            <w:r w:rsidRPr="00305460">
              <w:rPr>
                <w:sz w:val="12"/>
                <w:szCs w:val="12"/>
              </w:rPr>
              <w:t>24203,400</w:t>
            </w:r>
          </w:p>
        </w:tc>
        <w:tc>
          <w:tcPr>
            <w:tcW w:w="218" w:type="pct"/>
            <w:shd w:val="clear" w:color="auto" w:fill="auto"/>
            <w:tcMar>
              <w:left w:w="17" w:type="dxa"/>
              <w:right w:w="17" w:type="dxa"/>
            </w:tcMar>
            <w:vAlign w:val="center"/>
          </w:tcPr>
          <w:p w14:paraId="472E9365"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60D964BA"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0EFA2803" w14:textId="77777777" w:rsidR="001C56BD" w:rsidRPr="00305460" w:rsidRDefault="001C56BD" w:rsidP="008A5C11">
            <w:pPr>
              <w:jc w:val="center"/>
              <w:rPr>
                <w:sz w:val="12"/>
                <w:szCs w:val="12"/>
              </w:rPr>
            </w:pPr>
            <w:r w:rsidRPr="00305460">
              <w:rPr>
                <w:sz w:val="12"/>
                <w:szCs w:val="12"/>
              </w:rPr>
              <w:t>0,000</w:t>
            </w:r>
          </w:p>
        </w:tc>
        <w:tc>
          <w:tcPr>
            <w:tcW w:w="218" w:type="pct"/>
            <w:gridSpan w:val="2"/>
            <w:shd w:val="clear" w:color="auto" w:fill="auto"/>
            <w:tcMar>
              <w:left w:w="17" w:type="dxa"/>
              <w:right w:w="17" w:type="dxa"/>
            </w:tcMar>
            <w:vAlign w:val="center"/>
          </w:tcPr>
          <w:p w14:paraId="2DDDB8E8" w14:textId="77777777" w:rsidR="001C56BD" w:rsidRPr="00305460" w:rsidRDefault="001C56BD" w:rsidP="008A5C11">
            <w:pPr>
              <w:jc w:val="center"/>
              <w:rPr>
                <w:sz w:val="12"/>
                <w:szCs w:val="12"/>
              </w:rPr>
            </w:pPr>
            <w:r w:rsidRPr="00305460">
              <w:rPr>
                <w:sz w:val="12"/>
                <w:szCs w:val="12"/>
              </w:rPr>
              <w:t>0,000</w:t>
            </w:r>
          </w:p>
        </w:tc>
        <w:tc>
          <w:tcPr>
            <w:tcW w:w="172" w:type="pct"/>
            <w:gridSpan w:val="2"/>
            <w:shd w:val="clear" w:color="auto" w:fill="auto"/>
            <w:tcMar>
              <w:left w:w="17" w:type="dxa"/>
              <w:right w:w="17" w:type="dxa"/>
            </w:tcMar>
            <w:vAlign w:val="center"/>
          </w:tcPr>
          <w:p w14:paraId="2E0B7081" w14:textId="77777777" w:rsidR="001C56BD" w:rsidRPr="00305460" w:rsidRDefault="001C56BD" w:rsidP="008A5C11">
            <w:pPr>
              <w:jc w:val="center"/>
              <w:rPr>
                <w:sz w:val="12"/>
                <w:szCs w:val="12"/>
              </w:rPr>
            </w:pPr>
            <w:r w:rsidRPr="00305460">
              <w:rPr>
                <w:sz w:val="12"/>
                <w:szCs w:val="12"/>
              </w:rPr>
              <w:t>0,000</w:t>
            </w:r>
          </w:p>
        </w:tc>
        <w:tc>
          <w:tcPr>
            <w:tcW w:w="219" w:type="pct"/>
            <w:shd w:val="clear" w:color="auto" w:fill="auto"/>
            <w:tcMar>
              <w:left w:w="17" w:type="dxa"/>
              <w:right w:w="17" w:type="dxa"/>
            </w:tcMar>
            <w:vAlign w:val="center"/>
          </w:tcPr>
          <w:p w14:paraId="07E7BEA3" w14:textId="77777777" w:rsidR="001C56BD" w:rsidRPr="00305460" w:rsidRDefault="001C56BD" w:rsidP="008A5C11">
            <w:pPr>
              <w:jc w:val="center"/>
              <w:rPr>
                <w:sz w:val="12"/>
                <w:szCs w:val="12"/>
              </w:rPr>
            </w:pPr>
            <w:r w:rsidRPr="00305460">
              <w:rPr>
                <w:sz w:val="12"/>
                <w:szCs w:val="12"/>
              </w:rPr>
              <w:t>0,000</w:t>
            </w:r>
          </w:p>
        </w:tc>
        <w:tc>
          <w:tcPr>
            <w:tcW w:w="174" w:type="pct"/>
            <w:shd w:val="clear" w:color="auto" w:fill="auto"/>
            <w:tcMar>
              <w:left w:w="17" w:type="dxa"/>
              <w:right w:w="17" w:type="dxa"/>
            </w:tcMar>
            <w:vAlign w:val="center"/>
          </w:tcPr>
          <w:p w14:paraId="6089286A" w14:textId="77777777" w:rsidR="001C56BD" w:rsidRPr="00305460" w:rsidRDefault="001C56BD" w:rsidP="008A5C11">
            <w:pPr>
              <w:jc w:val="center"/>
              <w:rPr>
                <w:sz w:val="12"/>
                <w:szCs w:val="12"/>
              </w:rPr>
            </w:pPr>
            <w:r w:rsidRPr="00305460">
              <w:rPr>
                <w:sz w:val="12"/>
                <w:szCs w:val="12"/>
              </w:rPr>
              <w:t>0,000</w:t>
            </w:r>
          </w:p>
        </w:tc>
        <w:tc>
          <w:tcPr>
            <w:tcW w:w="176" w:type="pct"/>
            <w:shd w:val="clear" w:color="auto" w:fill="auto"/>
            <w:tcMar>
              <w:left w:w="17" w:type="dxa"/>
              <w:right w:w="17" w:type="dxa"/>
            </w:tcMar>
            <w:vAlign w:val="center"/>
          </w:tcPr>
          <w:p w14:paraId="08E04300" w14:textId="77777777" w:rsidR="001C56BD" w:rsidRPr="00305460" w:rsidRDefault="001C56BD" w:rsidP="008A5C11">
            <w:pPr>
              <w:jc w:val="center"/>
              <w:rPr>
                <w:sz w:val="12"/>
                <w:szCs w:val="12"/>
              </w:rPr>
            </w:pPr>
            <w:r w:rsidRPr="00305460">
              <w:rPr>
                <w:sz w:val="12"/>
                <w:szCs w:val="12"/>
              </w:rPr>
              <w:t>0,000</w:t>
            </w:r>
          </w:p>
        </w:tc>
      </w:tr>
      <w:tr w:rsidR="001C56BD" w:rsidRPr="00305460" w14:paraId="0315630D" w14:textId="77777777" w:rsidTr="008A5C11">
        <w:trPr>
          <w:trHeight w:val="897"/>
        </w:trPr>
        <w:tc>
          <w:tcPr>
            <w:tcW w:w="86" w:type="pct"/>
            <w:shd w:val="clear" w:color="auto" w:fill="auto"/>
            <w:tcMar>
              <w:left w:w="17" w:type="dxa"/>
              <w:right w:w="17" w:type="dxa"/>
            </w:tcMar>
            <w:vAlign w:val="center"/>
          </w:tcPr>
          <w:p w14:paraId="5AD379B8" w14:textId="77777777" w:rsidR="001C56BD" w:rsidRPr="00305460" w:rsidRDefault="001C56BD" w:rsidP="008A5C11">
            <w:pPr>
              <w:jc w:val="center"/>
              <w:rPr>
                <w:sz w:val="12"/>
                <w:szCs w:val="12"/>
              </w:rPr>
            </w:pPr>
            <w:r w:rsidRPr="00305460">
              <w:rPr>
                <w:sz w:val="12"/>
                <w:szCs w:val="12"/>
              </w:rPr>
              <w:t>3.1.43.</w:t>
            </w:r>
          </w:p>
        </w:tc>
        <w:tc>
          <w:tcPr>
            <w:tcW w:w="295" w:type="pct"/>
            <w:shd w:val="clear" w:color="auto" w:fill="auto"/>
            <w:tcMar>
              <w:left w:w="17" w:type="dxa"/>
              <w:right w:w="17" w:type="dxa"/>
            </w:tcMar>
            <w:vAlign w:val="center"/>
          </w:tcPr>
          <w:p w14:paraId="7DF175AF" w14:textId="77777777" w:rsidR="001C56BD" w:rsidRPr="00305460" w:rsidRDefault="001C56BD" w:rsidP="008A5C11">
            <w:pPr>
              <w:rPr>
                <w:sz w:val="12"/>
                <w:szCs w:val="12"/>
              </w:rPr>
            </w:pPr>
            <w:r w:rsidRPr="00305460">
              <w:rPr>
                <w:color w:val="000000"/>
                <w:sz w:val="12"/>
                <w:szCs w:val="12"/>
              </w:rPr>
              <w:t>Реконструкция тепловой сети с реестровым номером</w:t>
            </w:r>
            <w:r w:rsidRPr="00305460">
              <w:rPr>
                <w:sz w:val="12"/>
                <w:szCs w:val="12"/>
              </w:rPr>
              <w:t xml:space="preserve"> 773782</w:t>
            </w:r>
          </w:p>
        </w:tc>
        <w:tc>
          <w:tcPr>
            <w:tcW w:w="307" w:type="pct"/>
            <w:shd w:val="clear" w:color="000000" w:fill="FFFFFF"/>
            <w:tcMar>
              <w:left w:w="17" w:type="dxa"/>
              <w:right w:w="17" w:type="dxa"/>
            </w:tcMar>
            <w:vAlign w:val="center"/>
          </w:tcPr>
          <w:p w14:paraId="333CC5B8" w14:textId="77777777" w:rsidR="001C56BD" w:rsidRPr="00305460" w:rsidRDefault="001C56BD" w:rsidP="008A5C11">
            <w:pPr>
              <w:jc w:val="center"/>
              <w:rPr>
                <w:sz w:val="12"/>
                <w:szCs w:val="12"/>
              </w:rPr>
            </w:pPr>
            <w:r w:rsidRPr="00305460">
              <w:rPr>
                <w:color w:val="000000"/>
                <w:sz w:val="12"/>
                <w:szCs w:val="12"/>
              </w:rPr>
              <w:t>Повышение надежности услуг теплоснабжения, повышение энергетической эффективности</w:t>
            </w:r>
          </w:p>
        </w:tc>
        <w:tc>
          <w:tcPr>
            <w:tcW w:w="280" w:type="pct"/>
            <w:shd w:val="clear" w:color="auto" w:fill="auto"/>
            <w:tcMar>
              <w:left w:w="17" w:type="dxa"/>
              <w:right w:w="17" w:type="dxa"/>
            </w:tcMar>
            <w:vAlign w:val="center"/>
          </w:tcPr>
          <w:p w14:paraId="3D79E329" w14:textId="77777777" w:rsidR="001C56BD" w:rsidRPr="00305460" w:rsidRDefault="001C56BD" w:rsidP="008A5C11">
            <w:pPr>
              <w:jc w:val="center"/>
              <w:rPr>
                <w:sz w:val="12"/>
                <w:szCs w:val="12"/>
              </w:rPr>
            </w:pPr>
            <w:r w:rsidRPr="00305460">
              <w:rPr>
                <w:sz w:val="12"/>
                <w:szCs w:val="12"/>
              </w:rPr>
              <w:t>Кемеровский городской округ, Центральный район, микрорайон 5, 66м. Северо-восточнее жилого дома №7 по проспекту Октябрьский</w:t>
            </w:r>
          </w:p>
        </w:tc>
        <w:tc>
          <w:tcPr>
            <w:tcW w:w="289" w:type="pct"/>
            <w:shd w:val="clear" w:color="auto" w:fill="auto"/>
            <w:tcMar>
              <w:left w:w="17" w:type="dxa"/>
              <w:right w:w="17" w:type="dxa"/>
            </w:tcMar>
            <w:vAlign w:val="center"/>
          </w:tcPr>
          <w:p w14:paraId="080C6208" w14:textId="77777777" w:rsidR="001C56BD" w:rsidRPr="00305460" w:rsidRDefault="001C56BD" w:rsidP="008A5C11">
            <w:pPr>
              <w:jc w:val="center"/>
              <w:rPr>
                <w:sz w:val="12"/>
                <w:szCs w:val="12"/>
              </w:rPr>
            </w:pPr>
            <w:r w:rsidRPr="00305460">
              <w:rPr>
                <w:color w:val="000000"/>
                <w:sz w:val="12"/>
                <w:szCs w:val="12"/>
              </w:rPr>
              <w:t>Технические характеристики</w:t>
            </w:r>
          </w:p>
        </w:tc>
        <w:tc>
          <w:tcPr>
            <w:tcW w:w="137" w:type="pct"/>
            <w:shd w:val="clear" w:color="auto" w:fill="auto"/>
            <w:tcMar>
              <w:left w:w="17" w:type="dxa"/>
              <w:right w:w="17" w:type="dxa"/>
            </w:tcMar>
            <w:vAlign w:val="center"/>
          </w:tcPr>
          <w:p w14:paraId="5E1980FB" w14:textId="77777777" w:rsidR="001C56BD" w:rsidRPr="00305460" w:rsidRDefault="001C56BD" w:rsidP="008A5C11">
            <w:pPr>
              <w:jc w:val="center"/>
              <w:rPr>
                <w:color w:val="000000"/>
                <w:sz w:val="12"/>
                <w:szCs w:val="12"/>
              </w:rPr>
            </w:pPr>
          </w:p>
        </w:tc>
        <w:tc>
          <w:tcPr>
            <w:tcW w:w="202" w:type="pct"/>
            <w:shd w:val="clear" w:color="auto" w:fill="auto"/>
            <w:tcMar>
              <w:left w:w="17" w:type="dxa"/>
              <w:right w:w="17" w:type="dxa"/>
            </w:tcMar>
            <w:vAlign w:val="center"/>
          </w:tcPr>
          <w:p w14:paraId="1376003E" w14:textId="77777777" w:rsidR="001C56BD" w:rsidRPr="00305460" w:rsidRDefault="001C56BD" w:rsidP="008A5C11">
            <w:pPr>
              <w:jc w:val="center"/>
              <w:rPr>
                <w:sz w:val="12"/>
                <w:szCs w:val="12"/>
              </w:rPr>
            </w:pPr>
            <w:r w:rsidRPr="00305460">
              <w:rPr>
                <w:sz w:val="12"/>
                <w:szCs w:val="12"/>
              </w:rPr>
              <w:t>Канал-ж/б лотки (непроходной канал),</w:t>
            </w:r>
            <w:r w:rsidRPr="00305460">
              <w:rPr>
                <w:sz w:val="12"/>
                <w:szCs w:val="12"/>
              </w:rPr>
              <w:br/>
              <w:t xml:space="preserve">опоры приварные, запорная арматура-стальная клиновая, антикоррозийная защита-лак БТ, труба-сталь 20, изоляция-мин. маты.      </w:t>
            </w:r>
          </w:p>
        </w:tc>
        <w:tc>
          <w:tcPr>
            <w:tcW w:w="244" w:type="pct"/>
            <w:shd w:val="clear" w:color="auto" w:fill="auto"/>
            <w:tcMar>
              <w:left w:w="17" w:type="dxa"/>
              <w:right w:w="17" w:type="dxa"/>
            </w:tcMar>
            <w:vAlign w:val="center"/>
          </w:tcPr>
          <w:p w14:paraId="30F402F2" w14:textId="77777777" w:rsidR="001C56BD" w:rsidRPr="00305460" w:rsidRDefault="001C56BD" w:rsidP="008A5C11">
            <w:pPr>
              <w:jc w:val="center"/>
              <w:rPr>
                <w:sz w:val="12"/>
                <w:szCs w:val="12"/>
              </w:rPr>
            </w:pPr>
            <w:r w:rsidRPr="00305460">
              <w:rPr>
                <w:sz w:val="12"/>
                <w:szCs w:val="12"/>
              </w:rPr>
              <w:t xml:space="preserve">Канал-ж/б лотки, опоры-хомутовые с диэлектрической прокладкой, запорная арматура - кран шаровый, антикоррозийная защита-мастика Вектор 1214, 1025, труба-сталь 09Г2С, изоляция - маты прошивные, </w:t>
            </w:r>
            <w:proofErr w:type="gramStart"/>
            <w:r w:rsidRPr="00305460">
              <w:rPr>
                <w:sz w:val="12"/>
                <w:szCs w:val="12"/>
              </w:rPr>
              <w:t>стеклоплас-тик</w:t>
            </w:r>
            <w:proofErr w:type="gramEnd"/>
            <w:r w:rsidRPr="00305460">
              <w:rPr>
                <w:sz w:val="12"/>
                <w:szCs w:val="12"/>
              </w:rPr>
              <w:t xml:space="preserve">  </w:t>
            </w:r>
          </w:p>
        </w:tc>
        <w:tc>
          <w:tcPr>
            <w:tcW w:w="140" w:type="pct"/>
            <w:shd w:val="clear" w:color="auto" w:fill="auto"/>
            <w:tcMar>
              <w:left w:w="17" w:type="dxa"/>
              <w:right w:w="17" w:type="dxa"/>
            </w:tcMar>
            <w:vAlign w:val="center"/>
          </w:tcPr>
          <w:p w14:paraId="1C21CF24" w14:textId="77777777" w:rsidR="001C56BD" w:rsidRPr="00305460" w:rsidRDefault="001C56BD" w:rsidP="008A5C11">
            <w:pPr>
              <w:jc w:val="center"/>
              <w:rPr>
                <w:sz w:val="12"/>
                <w:szCs w:val="12"/>
              </w:rPr>
            </w:pPr>
            <w:r w:rsidRPr="00305460">
              <w:rPr>
                <w:sz w:val="12"/>
                <w:szCs w:val="12"/>
              </w:rPr>
              <w:t>2029</w:t>
            </w:r>
          </w:p>
        </w:tc>
        <w:tc>
          <w:tcPr>
            <w:tcW w:w="140" w:type="pct"/>
            <w:shd w:val="clear" w:color="auto" w:fill="auto"/>
            <w:tcMar>
              <w:left w:w="17" w:type="dxa"/>
              <w:right w:w="17" w:type="dxa"/>
            </w:tcMar>
            <w:vAlign w:val="center"/>
          </w:tcPr>
          <w:p w14:paraId="581447A8" w14:textId="77777777" w:rsidR="001C56BD" w:rsidRPr="00305460" w:rsidRDefault="001C56BD" w:rsidP="008A5C11">
            <w:pPr>
              <w:jc w:val="center"/>
              <w:rPr>
                <w:sz w:val="12"/>
                <w:szCs w:val="12"/>
              </w:rPr>
            </w:pPr>
            <w:r w:rsidRPr="00305460">
              <w:rPr>
                <w:sz w:val="12"/>
                <w:szCs w:val="12"/>
              </w:rPr>
              <w:t>2029</w:t>
            </w:r>
          </w:p>
        </w:tc>
        <w:tc>
          <w:tcPr>
            <w:tcW w:w="239" w:type="pct"/>
            <w:gridSpan w:val="3"/>
            <w:shd w:val="clear" w:color="auto" w:fill="auto"/>
            <w:tcMar>
              <w:left w:w="17" w:type="dxa"/>
              <w:right w:w="17" w:type="dxa"/>
            </w:tcMar>
            <w:vAlign w:val="center"/>
          </w:tcPr>
          <w:p w14:paraId="1D0DDEFC" w14:textId="77777777" w:rsidR="001C56BD" w:rsidRPr="00305460" w:rsidRDefault="001C56BD" w:rsidP="008A5C11">
            <w:pPr>
              <w:jc w:val="center"/>
              <w:rPr>
                <w:sz w:val="12"/>
                <w:szCs w:val="12"/>
              </w:rPr>
            </w:pPr>
            <w:r w:rsidRPr="00305460">
              <w:rPr>
                <w:sz w:val="12"/>
                <w:szCs w:val="12"/>
              </w:rPr>
              <w:t>9258,744</w:t>
            </w:r>
          </w:p>
        </w:tc>
        <w:tc>
          <w:tcPr>
            <w:tcW w:w="196" w:type="pct"/>
            <w:gridSpan w:val="3"/>
            <w:shd w:val="clear" w:color="auto" w:fill="auto"/>
            <w:tcMar>
              <w:left w:w="17" w:type="dxa"/>
              <w:right w:w="17" w:type="dxa"/>
            </w:tcMar>
            <w:vAlign w:val="center"/>
          </w:tcPr>
          <w:p w14:paraId="3830330D" w14:textId="77777777" w:rsidR="001C56BD" w:rsidRPr="00305460" w:rsidRDefault="001C56BD" w:rsidP="008A5C11">
            <w:pPr>
              <w:jc w:val="center"/>
              <w:rPr>
                <w:sz w:val="12"/>
                <w:szCs w:val="12"/>
              </w:rPr>
            </w:pPr>
            <w:r w:rsidRPr="00305460">
              <w:rPr>
                <w:sz w:val="12"/>
                <w:szCs w:val="12"/>
              </w:rPr>
              <w:t>0,000</w:t>
            </w:r>
          </w:p>
        </w:tc>
        <w:tc>
          <w:tcPr>
            <w:tcW w:w="216" w:type="pct"/>
            <w:gridSpan w:val="3"/>
            <w:shd w:val="clear" w:color="auto" w:fill="auto"/>
            <w:tcMar>
              <w:left w:w="17" w:type="dxa"/>
              <w:right w:w="17" w:type="dxa"/>
            </w:tcMar>
            <w:vAlign w:val="center"/>
          </w:tcPr>
          <w:p w14:paraId="2C235AD5" w14:textId="77777777" w:rsidR="001C56BD" w:rsidRPr="00305460" w:rsidRDefault="001C56BD" w:rsidP="008A5C11">
            <w:pPr>
              <w:jc w:val="center"/>
              <w:rPr>
                <w:sz w:val="12"/>
                <w:szCs w:val="12"/>
              </w:rPr>
            </w:pPr>
            <w:r w:rsidRPr="00305460">
              <w:rPr>
                <w:sz w:val="12"/>
                <w:szCs w:val="12"/>
              </w:rPr>
              <w:t>0,000</w:t>
            </w:r>
          </w:p>
        </w:tc>
        <w:tc>
          <w:tcPr>
            <w:tcW w:w="179" w:type="pct"/>
            <w:gridSpan w:val="2"/>
            <w:shd w:val="clear" w:color="auto" w:fill="auto"/>
            <w:tcMar>
              <w:left w:w="17" w:type="dxa"/>
              <w:right w:w="17" w:type="dxa"/>
            </w:tcMar>
            <w:vAlign w:val="center"/>
          </w:tcPr>
          <w:p w14:paraId="63606070" w14:textId="77777777" w:rsidR="001C56BD" w:rsidRPr="00305460" w:rsidRDefault="001C56BD" w:rsidP="008A5C11">
            <w:pPr>
              <w:jc w:val="center"/>
              <w:rPr>
                <w:sz w:val="12"/>
                <w:szCs w:val="12"/>
              </w:rPr>
            </w:pPr>
            <w:r w:rsidRPr="00305460">
              <w:rPr>
                <w:sz w:val="12"/>
                <w:szCs w:val="12"/>
              </w:rPr>
              <w:t>0,000</w:t>
            </w:r>
          </w:p>
        </w:tc>
        <w:tc>
          <w:tcPr>
            <w:tcW w:w="222" w:type="pct"/>
            <w:gridSpan w:val="2"/>
            <w:shd w:val="clear" w:color="auto" w:fill="auto"/>
            <w:tcMar>
              <w:left w:w="17" w:type="dxa"/>
              <w:right w:w="17" w:type="dxa"/>
            </w:tcMar>
            <w:vAlign w:val="center"/>
          </w:tcPr>
          <w:p w14:paraId="03609856" w14:textId="77777777" w:rsidR="001C56BD" w:rsidRPr="00305460" w:rsidRDefault="001C56BD" w:rsidP="008A5C11">
            <w:pPr>
              <w:jc w:val="center"/>
              <w:rPr>
                <w:sz w:val="12"/>
                <w:szCs w:val="12"/>
              </w:rPr>
            </w:pPr>
            <w:r w:rsidRPr="00305460">
              <w:rPr>
                <w:sz w:val="12"/>
                <w:szCs w:val="12"/>
              </w:rPr>
              <w:t>0,000</w:t>
            </w:r>
          </w:p>
        </w:tc>
        <w:tc>
          <w:tcPr>
            <w:tcW w:w="213" w:type="pct"/>
            <w:shd w:val="clear" w:color="auto" w:fill="auto"/>
            <w:tcMar>
              <w:left w:w="17" w:type="dxa"/>
              <w:right w:w="17" w:type="dxa"/>
            </w:tcMar>
            <w:vAlign w:val="center"/>
          </w:tcPr>
          <w:p w14:paraId="2BC0C115"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1CBC120E"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760D6B3D"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7BD80049" w14:textId="77777777" w:rsidR="001C56BD" w:rsidRPr="00305460" w:rsidRDefault="001C56BD" w:rsidP="008A5C11">
            <w:pPr>
              <w:jc w:val="center"/>
              <w:rPr>
                <w:sz w:val="12"/>
                <w:szCs w:val="12"/>
              </w:rPr>
            </w:pPr>
            <w:r w:rsidRPr="00305460">
              <w:rPr>
                <w:sz w:val="12"/>
                <w:szCs w:val="12"/>
              </w:rPr>
              <w:t>0,000</w:t>
            </w:r>
          </w:p>
        </w:tc>
        <w:tc>
          <w:tcPr>
            <w:tcW w:w="218" w:type="pct"/>
            <w:gridSpan w:val="2"/>
            <w:shd w:val="clear" w:color="auto" w:fill="auto"/>
            <w:tcMar>
              <w:left w:w="17" w:type="dxa"/>
              <w:right w:w="17" w:type="dxa"/>
            </w:tcMar>
            <w:vAlign w:val="center"/>
          </w:tcPr>
          <w:p w14:paraId="288FFDE9" w14:textId="77777777" w:rsidR="001C56BD" w:rsidRPr="00305460" w:rsidRDefault="001C56BD" w:rsidP="008A5C11">
            <w:pPr>
              <w:jc w:val="center"/>
              <w:rPr>
                <w:sz w:val="12"/>
                <w:szCs w:val="12"/>
              </w:rPr>
            </w:pPr>
            <w:r w:rsidRPr="00305460">
              <w:rPr>
                <w:sz w:val="12"/>
                <w:szCs w:val="12"/>
              </w:rPr>
              <w:t>9258,744</w:t>
            </w:r>
          </w:p>
        </w:tc>
        <w:tc>
          <w:tcPr>
            <w:tcW w:w="172" w:type="pct"/>
            <w:gridSpan w:val="2"/>
            <w:shd w:val="clear" w:color="auto" w:fill="auto"/>
            <w:tcMar>
              <w:left w:w="17" w:type="dxa"/>
              <w:right w:w="17" w:type="dxa"/>
            </w:tcMar>
            <w:vAlign w:val="center"/>
          </w:tcPr>
          <w:p w14:paraId="370CA431" w14:textId="77777777" w:rsidR="001C56BD" w:rsidRPr="00305460" w:rsidRDefault="001C56BD" w:rsidP="008A5C11">
            <w:pPr>
              <w:jc w:val="center"/>
              <w:rPr>
                <w:sz w:val="12"/>
                <w:szCs w:val="12"/>
              </w:rPr>
            </w:pPr>
            <w:r w:rsidRPr="00305460">
              <w:rPr>
                <w:sz w:val="12"/>
                <w:szCs w:val="12"/>
              </w:rPr>
              <w:t>0,000</w:t>
            </w:r>
          </w:p>
        </w:tc>
        <w:tc>
          <w:tcPr>
            <w:tcW w:w="219" w:type="pct"/>
            <w:shd w:val="clear" w:color="auto" w:fill="auto"/>
            <w:tcMar>
              <w:left w:w="17" w:type="dxa"/>
              <w:right w:w="17" w:type="dxa"/>
            </w:tcMar>
            <w:vAlign w:val="center"/>
          </w:tcPr>
          <w:p w14:paraId="7B03CFC0" w14:textId="77777777" w:rsidR="001C56BD" w:rsidRPr="00305460" w:rsidRDefault="001C56BD" w:rsidP="008A5C11">
            <w:pPr>
              <w:jc w:val="center"/>
              <w:rPr>
                <w:sz w:val="12"/>
                <w:szCs w:val="12"/>
              </w:rPr>
            </w:pPr>
            <w:r w:rsidRPr="00305460">
              <w:rPr>
                <w:sz w:val="12"/>
                <w:szCs w:val="12"/>
              </w:rPr>
              <w:t>0,000</w:t>
            </w:r>
          </w:p>
        </w:tc>
        <w:tc>
          <w:tcPr>
            <w:tcW w:w="174" w:type="pct"/>
            <w:shd w:val="clear" w:color="auto" w:fill="auto"/>
            <w:tcMar>
              <w:left w:w="17" w:type="dxa"/>
              <w:right w:w="17" w:type="dxa"/>
            </w:tcMar>
            <w:vAlign w:val="center"/>
          </w:tcPr>
          <w:p w14:paraId="5C4604CA" w14:textId="77777777" w:rsidR="001C56BD" w:rsidRPr="00305460" w:rsidRDefault="001C56BD" w:rsidP="008A5C11">
            <w:pPr>
              <w:jc w:val="center"/>
              <w:rPr>
                <w:sz w:val="12"/>
                <w:szCs w:val="12"/>
              </w:rPr>
            </w:pPr>
            <w:r w:rsidRPr="00305460">
              <w:rPr>
                <w:sz w:val="12"/>
                <w:szCs w:val="12"/>
              </w:rPr>
              <w:t>0,000</w:t>
            </w:r>
          </w:p>
        </w:tc>
        <w:tc>
          <w:tcPr>
            <w:tcW w:w="176" w:type="pct"/>
            <w:shd w:val="clear" w:color="auto" w:fill="auto"/>
            <w:tcMar>
              <w:left w:w="17" w:type="dxa"/>
              <w:right w:w="17" w:type="dxa"/>
            </w:tcMar>
            <w:vAlign w:val="center"/>
          </w:tcPr>
          <w:p w14:paraId="0532A5F5" w14:textId="77777777" w:rsidR="001C56BD" w:rsidRPr="00305460" w:rsidRDefault="001C56BD" w:rsidP="008A5C11">
            <w:pPr>
              <w:jc w:val="center"/>
              <w:rPr>
                <w:sz w:val="12"/>
                <w:szCs w:val="12"/>
              </w:rPr>
            </w:pPr>
            <w:r w:rsidRPr="00305460">
              <w:rPr>
                <w:sz w:val="12"/>
                <w:szCs w:val="12"/>
              </w:rPr>
              <w:t>0,000</w:t>
            </w:r>
          </w:p>
        </w:tc>
      </w:tr>
      <w:tr w:rsidR="001C56BD" w:rsidRPr="00305460" w14:paraId="1841D168" w14:textId="77777777" w:rsidTr="008A5C11">
        <w:trPr>
          <w:trHeight w:val="897"/>
        </w:trPr>
        <w:tc>
          <w:tcPr>
            <w:tcW w:w="86" w:type="pct"/>
            <w:shd w:val="clear" w:color="auto" w:fill="auto"/>
            <w:tcMar>
              <w:left w:w="17" w:type="dxa"/>
              <w:right w:w="17" w:type="dxa"/>
            </w:tcMar>
            <w:vAlign w:val="center"/>
          </w:tcPr>
          <w:p w14:paraId="6685A24B" w14:textId="77777777" w:rsidR="001C56BD" w:rsidRPr="00305460" w:rsidRDefault="001C56BD" w:rsidP="008A5C11">
            <w:pPr>
              <w:jc w:val="center"/>
              <w:rPr>
                <w:bCs/>
                <w:sz w:val="12"/>
                <w:szCs w:val="12"/>
              </w:rPr>
            </w:pPr>
            <w:r w:rsidRPr="00305460">
              <w:rPr>
                <w:bCs/>
                <w:sz w:val="12"/>
                <w:szCs w:val="12"/>
              </w:rPr>
              <w:t>1</w:t>
            </w:r>
          </w:p>
        </w:tc>
        <w:tc>
          <w:tcPr>
            <w:tcW w:w="295" w:type="pct"/>
            <w:shd w:val="clear" w:color="auto" w:fill="auto"/>
            <w:tcMar>
              <w:left w:w="17" w:type="dxa"/>
              <w:right w:w="17" w:type="dxa"/>
            </w:tcMar>
            <w:vAlign w:val="center"/>
          </w:tcPr>
          <w:p w14:paraId="2FAFF669" w14:textId="77777777" w:rsidR="001C56BD" w:rsidRPr="00305460" w:rsidRDefault="001C56BD" w:rsidP="008A5C11">
            <w:pPr>
              <w:jc w:val="center"/>
              <w:rPr>
                <w:bCs/>
                <w:sz w:val="12"/>
                <w:szCs w:val="12"/>
              </w:rPr>
            </w:pPr>
            <w:r w:rsidRPr="00305460">
              <w:rPr>
                <w:bCs/>
                <w:sz w:val="12"/>
                <w:szCs w:val="12"/>
              </w:rPr>
              <w:t>2</w:t>
            </w:r>
          </w:p>
        </w:tc>
        <w:tc>
          <w:tcPr>
            <w:tcW w:w="307" w:type="pct"/>
            <w:shd w:val="clear" w:color="auto" w:fill="auto"/>
            <w:tcMar>
              <w:left w:w="17" w:type="dxa"/>
              <w:right w:w="17" w:type="dxa"/>
            </w:tcMar>
            <w:vAlign w:val="center"/>
          </w:tcPr>
          <w:p w14:paraId="0C8CD87D" w14:textId="77777777" w:rsidR="001C56BD" w:rsidRPr="00305460" w:rsidRDefault="001C56BD" w:rsidP="008A5C11">
            <w:pPr>
              <w:jc w:val="center"/>
              <w:rPr>
                <w:bCs/>
                <w:sz w:val="12"/>
                <w:szCs w:val="12"/>
              </w:rPr>
            </w:pPr>
            <w:r w:rsidRPr="00305460">
              <w:rPr>
                <w:bCs/>
                <w:sz w:val="12"/>
                <w:szCs w:val="12"/>
              </w:rPr>
              <w:t>3</w:t>
            </w:r>
          </w:p>
        </w:tc>
        <w:tc>
          <w:tcPr>
            <w:tcW w:w="280" w:type="pct"/>
            <w:shd w:val="clear" w:color="auto" w:fill="auto"/>
            <w:tcMar>
              <w:left w:w="17" w:type="dxa"/>
              <w:right w:w="17" w:type="dxa"/>
            </w:tcMar>
            <w:vAlign w:val="center"/>
          </w:tcPr>
          <w:p w14:paraId="1259EBAF" w14:textId="77777777" w:rsidR="001C56BD" w:rsidRPr="00305460" w:rsidRDefault="001C56BD" w:rsidP="008A5C11">
            <w:pPr>
              <w:jc w:val="center"/>
              <w:rPr>
                <w:bCs/>
                <w:sz w:val="12"/>
                <w:szCs w:val="12"/>
              </w:rPr>
            </w:pPr>
            <w:r w:rsidRPr="00305460">
              <w:rPr>
                <w:bCs/>
                <w:sz w:val="12"/>
                <w:szCs w:val="12"/>
              </w:rPr>
              <w:t>4</w:t>
            </w:r>
          </w:p>
        </w:tc>
        <w:tc>
          <w:tcPr>
            <w:tcW w:w="289" w:type="pct"/>
            <w:shd w:val="clear" w:color="auto" w:fill="auto"/>
            <w:tcMar>
              <w:left w:w="17" w:type="dxa"/>
              <w:right w:w="17" w:type="dxa"/>
            </w:tcMar>
            <w:vAlign w:val="center"/>
          </w:tcPr>
          <w:p w14:paraId="1EB35BDD" w14:textId="77777777" w:rsidR="001C56BD" w:rsidRPr="00305460" w:rsidRDefault="001C56BD" w:rsidP="008A5C11">
            <w:pPr>
              <w:jc w:val="center"/>
              <w:rPr>
                <w:bCs/>
                <w:sz w:val="12"/>
                <w:szCs w:val="12"/>
              </w:rPr>
            </w:pPr>
            <w:r w:rsidRPr="00305460">
              <w:rPr>
                <w:bCs/>
                <w:sz w:val="12"/>
                <w:szCs w:val="12"/>
              </w:rPr>
              <w:t>5</w:t>
            </w:r>
          </w:p>
        </w:tc>
        <w:tc>
          <w:tcPr>
            <w:tcW w:w="137" w:type="pct"/>
            <w:shd w:val="clear" w:color="auto" w:fill="auto"/>
            <w:tcMar>
              <w:left w:w="17" w:type="dxa"/>
              <w:right w:w="17" w:type="dxa"/>
            </w:tcMar>
            <w:vAlign w:val="center"/>
          </w:tcPr>
          <w:p w14:paraId="61D7E51B" w14:textId="77777777" w:rsidR="001C56BD" w:rsidRPr="00305460" w:rsidRDefault="001C56BD" w:rsidP="008A5C11">
            <w:pPr>
              <w:jc w:val="center"/>
              <w:rPr>
                <w:bCs/>
                <w:sz w:val="12"/>
                <w:szCs w:val="12"/>
              </w:rPr>
            </w:pPr>
            <w:r w:rsidRPr="00305460">
              <w:rPr>
                <w:bCs/>
                <w:sz w:val="12"/>
                <w:szCs w:val="12"/>
              </w:rPr>
              <w:t>6</w:t>
            </w:r>
          </w:p>
        </w:tc>
        <w:tc>
          <w:tcPr>
            <w:tcW w:w="202" w:type="pct"/>
            <w:shd w:val="clear" w:color="auto" w:fill="auto"/>
            <w:tcMar>
              <w:left w:w="17" w:type="dxa"/>
              <w:right w:w="17" w:type="dxa"/>
            </w:tcMar>
            <w:vAlign w:val="center"/>
          </w:tcPr>
          <w:p w14:paraId="327D2303" w14:textId="77777777" w:rsidR="001C56BD" w:rsidRPr="00305460" w:rsidRDefault="001C56BD" w:rsidP="008A5C11">
            <w:pPr>
              <w:jc w:val="center"/>
              <w:rPr>
                <w:bCs/>
                <w:sz w:val="12"/>
                <w:szCs w:val="12"/>
              </w:rPr>
            </w:pPr>
            <w:r w:rsidRPr="00305460">
              <w:rPr>
                <w:bCs/>
                <w:sz w:val="12"/>
                <w:szCs w:val="12"/>
              </w:rPr>
              <w:t>7</w:t>
            </w:r>
          </w:p>
        </w:tc>
        <w:tc>
          <w:tcPr>
            <w:tcW w:w="244" w:type="pct"/>
            <w:shd w:val="clear" w:color="auto" w:fill="auto"/>
            <w:tcMar>
              <w:left w:w="17" w:type="dxa"/>
              <w:right w:w="17" w:type="dxa"/>
            </w:tcMar>
            <w:vAlign w:val="center"/>
          </w:tcPr>
          <w:p w14:paraId="05B4FAA4" w14:textId="77777777" w:rsidR="001C56BD" w:rsidRPr="00305460" w:rsidRDefault="001C56BD" w:rsidP="008A5C11">
            <w:pPr>
              <w:jc w:val="center"/>
              <w:rPr>
                <w:bCs/>
                <w:sz w:val="12"/>
                <w:szCs w:val="12"/>
              </w:rPr>
            </w:pPr>
            <w:r w:rsidRPr="00305460">
              <w:rPr>
                <w:bCs/>
                <w:sz w:val="12"/>
                <w:szCs w:val="12"/>
              </w:rPr>
              <w:t>8</w:t>
            </w:r>
          </w:p>
        </w:tc>
        <w:tc>
          <w:tcPr>
            <w:tcW w:w="140" w:type="pct"/>
            <w:shd w:val="clear" w:color="auto" w:fill="auto"/>
            <w:tcMar>
              <w:left w:w="17" w:type="dxa"/>
              <w:right w:w="17" w:type="dxa"/>
            </w:tcMar>
            <w:vAlign w:val="center"/>
          </w:tcPr>
          <w:p w14:paraId="0B00232C" w14:textId="77777777" w:rsidR="001C56BD" w:rsidRPr="00305460" w:rsidRDefault="001C56BD" w:rsidP="008A5C11">
            <w:pPr>
              <w:jc w:val="center"/>
              <w:rPr>
                <w:bCs/>
                <w:sz w:val="12"/>
                <w:szCs w:val="12"/>
              </w:rPr>
            </w:pPr>
            <w:r w:rsidRPr="00305460">
              <w:rPr>
                <w:bCs/>
                <w:sz w:val="12"/>
                <w:szCs w:val="12"/>
              </w:rPr>
              <w:t>9</w:t>
            </w:r>
          </w:p>
        </w:tc>
        <w:tc>
          <w:tcPr>
            <w:tcW w:w="140" w:type="pct"/>
            <w:shd w:val="clear" w:color="auto" w:fill="auto"/>
            <w:tcMar>
              <w:left w:w="17" w:type="dxa"/>
              <w:right w:w="17" w:type="dxa"/>
            </w:tcMar>
            <w:vAlign w:val="center"/>
          </w:tcPr>
          <w:p w14:paraId="1F520E4D" w14:textId="77777777" w:rsidR="001C56BD" w:rsidRPr="00305460" w:rsidRDefault="001C56BD" w:rsidP="008A5C11">
            <w:pPr>
              <w:jc w:val="center"/>
              <w:rPr>
                <w:bCs/>
                <w:sz w:val="12"/>
                <w:szCs w:val="12"/>
              </w:rPr>
            </w:pPr>
            <w:r w:rsidRPr="00305460">
              <w:rPr>
                <w:bCs/>
                <w:sz w:val="12"/>
                <w:szCs w:val="12"/>
              </w:rPr>
              <w:t>10</w:t>
            </w:r>
          </w:p>
        </w:tc>
        <w:tc>
          <w:tcPr>
            <w:tcW w:w="239" w:type="pct"/>
            <w:gridSpan w:val="3"/>
            <w:shd w:val="clear" w:color="auto" w:fill="auto"/>
            <w:tcMar>
              <w:left w:w="17" w:type="dxa"/>
              <w:right w:w="17" w:type="dxa"/>
            </w:tcMar>
            <w:vAlign w:val="center"/>
          </w:tcPr>
          <w:p w14:paraId="29FB661B" w14:textId="77777777" w:rsidR="001C56BD" w:rsidRPr="00305460" w:rsidRDefault="001C56BD" w:rsidP="008A5C11">
            <w:pPr>
              <w:jc w:val="center"/>
              <w:rPr>
                <w:bCs/>
                <w:sz w:val="12"/>
                <w:szCs w:val="12"/>
              </w:rPr>
            </w:pPr>
            <w:r w:rsidRPr="00305460">
              <w:rPr>
                <w:bCs/>
                <w:sz w:val="12"/>
                <w:szCs w:val="12"/>
              </w:rPr>
              <w:t>11</w:t>
            </w:r>
          </w:p>
        </w:tc>
        <w:tc>
          <w:tcPr>
            <w:tcW w:w="196" w:type="pct"/>
            <w:gridSpan w:val="3"/>
            <w:shd w:val="clear" w:color="auto" w:fill="auto"/>
            <w:tcMar>
              <w:left w:w="17" w:type="dxa"/>
              <w:right w:w="17" w:type="dxa"/>
            </w:tcMar>
            <w:vAlign w:val="center"/>
          </w:tcPr>
          <w:p w14:paraId="2C88F440" w14:textId="77777777" w:rsidR="001C56BD" w:rsidRPr="00305460" w:rsidRDefault="001C56BD" w:rsidP="008A5C11">
            <w:pPr>
              <w:jc w:val="center"/>
              <w:rPr>
                <w:bCs/>
                <w:sz w:val="12"/>
                <w:szCs w:val="12"/>
              </w:rPr>
            </w:pPr>
            <w:r w:rsidRPr="00305460">
              <w:rPr>
                <w:bCs/>
                <w:sz w:val="12"/>
                <w:szCs w:val="12"/>
              </w:rPr>
              <w:t>12</w:t>
            </w:r>
          </w:p>
        </w:tc>
        <w:tc>
          <w:tcPr>
            <w:tcW w:w="216" w:type="pct"/>
            <w:gridSpan w:val="3"/>
            <w:shd w:val="clear" w:color="auto" w:fill="auto"/>
            <w:tcMar>
              <w:left w:w="17" w:type="dxa"/>
              <w:right w:w="17" w:type="dxa"/>
            </w:tcMar>
            <w:vAlign w:val="center"/>
          </w:tcPr>
          <w:p w14:paraId="1D0EF7F2" w14:textId="77777777" w:rsidR="001C56BD" w:rsidRPr="00305460" w:rsidRDefault="001C56BD" w:rsidP="008A5C11">
            <w:pPr>
              <w:jc w:val="center"/>
              <w:rPr>
                <w:bCs/>
                <w:sz w:val="12"/>
                <w:szCs w:val="12"/>
              </w:rPr>
            </w:pPr>
            <w:r w:rsidRPr="00305460">
              <w:rPr>
                <w:bCs/>
                <w:sz w:val="12"/>
                <w:szCs w:val="12"/>
              </w:rPr>
              <w:t>13</w:t>
            </w:r>
          </w:p>
        </w:tc>
        <w:tc>
          <w:tcPr>
            <w:tcW w:w="179" w:type="pct"/>
            <w:gridSpan w:val="2"/>
            <w:shd w:val="clear" w:color="auto" w:fill="auto"/>
            <w:tcMar>
              <w:left w:w="17" w:type="dxa"/>
              <w:right w:w="17" w:type="dxa"/>
            </w:tcMar>
            <w:vAlign w:val="center"/>
          </w:tcPr>
          <w:p w14:paraId="624AB755" w14:textId="77777777" w:rsidR="001C56BD" w:rsidRPr="00305460" w:rsidRDefault="001C56BD" w:rsidP="008A5C11">
            <w:pPr>
              <w:jc w:val="center"/>
              <w:rPr>
                <w:bCs/>
                <w:sz w:val="12"/>
                <w:szCs w:val="12"/>
              </w:rPr>
            </w:pPr>
            <w:r w:rsidRPr="00305460">
              <w:rPr>
                <w:bCs/>
                <w:sz w:val="12"/>
                <w:szCs w:val="12"/>
              </w:rPr>
              <w:t>14</w:t>
            </w:r>
          </w:p>
        </w:tc>
        <w:tc>
          <w:tcPr>
            <w:tcW w:w="222" w:type="pct"/>
            <w:gridSpan w:val="2"/>
            <w:shd w:val="clear" w:color="auto" w:fill="auto"/>
            <w:tcMar>
              <w:left w:w="17" w:type="dxa"/>
              <w:right w:w="17" w:type="dxa"/>
            </w:tcMar>
            <w:vAlign w:val="center"/>
          </w:tcPr>
          <w:p w14:paraId="67682F76" w14:textId="77777777" w:rsidR="001C56BD" w:rsidRPr="00305460" w:rsidRDefault="001C56BD" w:rsidP="008A5C11">
            <w:pPr>
              <w:jc w:val="center"/>
              <w:rPr>
                <w:bCs/>
                <w:sz w:val="12"/>
                <w:szCs w:val="12"/>
              </w:rPr>
            </w:pPr>
            <w:r w:rsidRPr="00305460">
              <w:rPr>
                <w:bCs/>
                <w:sz w:val="12"/>
                <w:szCs w:val="12"/>
              </w:rPr>
              <w:t>15</w:t>
            </w:r>
          </w:p>
        </w:tc>
        <w:tc>
          <w:tcPr>
            <w:tcW w:w="213" w:type="pct"/>
            <w:tcMar>
              <w:left w:w="17" w:type="dxa"/>
              <w:right w:w="17" w:type="dxa"/>
            </w:tcMar>
            <w:vAlign w:val="center"/>
          </w:tcPr>
          <w:p w14:paraId="22F1BE2D" w14:textId="77777777" w:rsidR="001C56BD" w:rsidRPr="00305460" w:rsidRDefault="001C56BD" w:rsidP="008A5C11">
            <w:pPr>
              <w:jc w:val="center"/>
              <w:rPr>
                <w:bCs/>
                <w:sz w:val="12"/>
                <w:szCs w:val="12"/>
              </w:rPr>
            </w:pPr>
            <w:r w:rsidRPr="00305460">
              <w:rPr>
                <w:bCs/>
                <w:sz w:val="12"/>
                <w:szCs w:val="12"/>
              </w:rPr>
              <w:t>16</w:t>
            </w:r>
          </w:p>
        </w:tc>
        <w:tc>
          <w:tcPr>
            <w:tcW w:w="218" w:type="pct"/>
            <w:tcMar>
              <w:left w:w="17" w:type="dxa"/>
              <w:right w:w="17" w:type="dxa"/>
            </w:tcMar>
            <w:vAlign w:val="center"/>
          </w:tcPr>
          <w:p w14:paraId="2F1984F0" w14:textId="77777777" w:rsidR="001C56BD" w:rsidRPr="00305460" w:rsidRDefault="001C56BD" w:rsidP="008A5C11">
            <w:pPr>
              <w:jc w:val="center"/>
              <w:rPr>
                <w:bCs/>
                <w:sz w:val="12"/>
                <w:szCs w:val="12"/>
              </w:rPr>
            </w:pPr>
            <w:r w:rsidRPr="00305460">
              <w:rPr>
                <w:bCs/>
                <w:sz w:val="12"/>
                <w:szCs w:val="12"/>
              </w:rPr>
              <w:t>17</w:t>
            </w:r>
          </w:p>
        </w:tc>
        <w:tc>
          <w:tcPr>
            <w:tcW w:w="218" w:type="pct"/>
            <w:tcMar>
              <w:left w:w="17" w:type="dxa"/>
              <w:right w:w="17" w:type="dxa"/>
            </w:tcMar>
            <w:vAlign w:val="center"/>
          </w:tcPr>
          <w:p w14:paraId="010DB4B2" w14:textId="77777777" w:rsidR="001C56BD" w:rsidRPr="00305460" w:rsidRDefault="001C56BD" w:rsidP="008A5C11">
            <w:pPr>
              <w:jc w:val="center"/>
              <w:rPr>
                <w:bCs/>
                <w:sz w:val="12"/>
                <w:szCs w:val="12"/>
              </w:rPr>
            </w:pPr>
            <w:r w:rsidRPr="00305460">
              <w:rPr>
                <w:bCs/>
                <w:sz w:val="12"/>
                <w:szCs w:val="12"/>
              </w:rPr>
              <w:t>18</w:t>
            </w:r>
          </w:p>
        </w:tc>
        <w:tc>
          <w:tcPr>
            <w:tcW w:w="218" w:type="pct"/>
            <w:tcMar>
              <w:left w:w="17" w:type="dxa"/>
              <w:right w:w="17" w:type="dxa"/>
            </w:tcMar>
            <w:vAlign w:val="center"/>
          </w:tcPr>
          <w:p w14:paraId="05D9CB69" w14:textId="77777777" w:rsidR="001C56BD" w:rsidRPr="00305460" w:rsidRDefault="001C56BD" w:rsidP="008A5C11">
            <w:pPr>
              <w:jc w:val="center"/>
              <w:rPr>
                <w:bCs/>
                <w:sz w:val="12"/>
                <w:szCs w:val="12"/>
              </w:rPr>
            </w:pPr>
            <w:r w:rsidRPr="00305460">
              <w:rPr>
                <w:bCs/>
                <w:sz w:val="12"/>
                <w:szCs w:val="12"/>
              </w:rPr>
              <w:t>19</w:t>
            </w:r>
          </w:p>
        </w:tc>
        <w:tc>
          <w:tcPr>
            <w:tcW w:w="218" w:type="pct"/>
            <w:gridSpan w:val="2"/>
            <w:tcMar>
              <w:left w:w="17" w:type="dxa"/>
              <w:right w:w="17" w:type="dxa"/>
            </w:tcMar>
            <w:vAlign w:val="center"/>
          </w:tcPr>
          <w:p w14:paraId="0F5D3E36" w14:textId="77777777" w:rsidR="001C56BD" w:rsidRPr="00305460" w:rsidRDefault="001C56BD" w:rsidP="008A5C11">
            <w:pPr>
              <w:jc w:val="center"/>
              <w:rPr>
                <w:bCs/>
                <w:sz w:val="12"/>
                <w:szCs w:val="12"/>
              </w:rPr>
            </w:pPr>
            <w:r w:rsidRPr="00305460">
              <w:rPr>
                <w:bCs/>
                <w:sz w:val="12"/>
                <w:szCs w:val="12"/>
              </w:rPr>
              <w:t>20</w:t>
            </w:r>
          </w:p>
        </w:tc>
        <w:tc>
          <w:tcPr>
            <w:tcW w:w="172" w:type="pct"/>
            <w:gridSpan w:val="2"/>
            <w:tcMar>
              <w:left w:w="17" w:type="dxa"/>
              <w:right w:w="17" w:type="dxa"/>
            </w:tcMar>
            <w:vAlign w:val="center"/>
          </w:tcPr>
          <w:p w14:paraId="07284C09" w14:textId="77777777" w:rsidR="001C56BD" w:rsidRPr="00305460" w:rsidRDefault="001C56BD" w:rsidP="008A5C11">
            <w:pPr>
              <w:jc w:val="center"/>
              <w:rPr>
                <w:bCs/>
                <w:sz w:val="12"/>
                <w:szCs w:val="12"/>
              </w:rPr>
            </w:pPr>
            <w:r w:rsidRPr="00305460">
              <w:rPr>
                <w:bCs/>
                <w:sz w:val="12"/>
                <w:szCs w:val="12"/>
              </w:rPr>
              <w:t>21</w:t>
            </w:r>
          </w:p>
        </w:tc>
        <w:tc>
          <w:tcPr>
            <w:tcW w:w="219" w:type="pct"/>
            <w:tcMar>
              <w:left w:w="17" w:type="dxa"/>
              <w:right w:w="17" w:type="dxa"/>
            </w:tcMar>
            <w:vAlign w:val="center"/>
          </w:tcPr>
          <w:p w14:paraId="2FF9A222" w14:textId="77777777" w:rsidR="001C56BD" w:rsidRPr="00305460" w:rsidRDefault="001C56BD" w:rsidP="008A5C11">
            <w:pPr>
              <w:jc w:val="center"/>
              <w:rPr>
                <w:bCs/>
                <w:sz w:val="12"/>
                <w:szCs w:val="12"/>
              </w:rPr>
            </w:pPr>
            <w:r w:rsidRPr="00305460">
              <w:rPr>
                <w:bCs/>
                <w:sz w:val="12"/>
                <w:szCs w:val="12"/>
              </w:rPr>
              <w:t>22</w:t>
            </w:r>
          </w:p>
        </w:tc>
        <w:tc>
          <w:tcPr>
            <w:tcW w:w="174" w:type="pct"/>
            <w:tcMar>
              <w:left w:w="17" w:type="dxa"/>
              <w:right w:w="17" w:type="dxa"/>
            </w:tcMar>
            <w:vAlign w:val="center"/>
          </w:tcPr>
          <w:p w14:paraId="16CDCC79" w14:textId="77777777" w:rsidR="001C56BD" w:rsidRPr="00305460" w:rsidRDefault="001C56BD" w:rsidP="008A5C11">
            <w:pPr>
              <w:jc w:val="center"/>
              <w:rPr>
                <w:bCs/>
                <w:sz w:val="12"/>
                <w:szCs w:val="12"/>
              </w:rPr>
            </w:pPr>
            <w:r w:rsidRPr="00305460">
              <w:rPr>
                <w:bCs/>
                <w:sz w:val="12"/>
                <w:szCs w:val="12"/>
              </w:rPr>
              <w:t>23</w:t>
            </w:r>
          </w:p>
        </w:tc>
        <w:tc>
          <w:tcPr>
            <w:tcW w:w="176" w:type="pct"/>
            <w:tcMar>
              <w:left w:w="17" w:type="dxa"/>
              <w:right w:w="17" w:type="dxa"/>
            </w:tcMar>
            <w:vAlign w:val="center"/>
          </w:tcPr>
          <w:p w14:paraId="702A0D01" w14:textId="77777777" w:rsidR="001C56BD" w:rsidRPr="00305460" w:rsidRDefault="001C56BD" w:rsidP="008A5C11">
            <w:pPr>
              <w:jc w:val="center"/>
              <w:rPr>
                <w:bCs/>
                <w:sz w:val="12"/>
                <w:szCs w:val="12"/>
              </w:rPr>
            </w:pPr>
            <w:r w:rsidRPr="00305460">
              <w:rPr>
                <w:bCs/>
                <w:sz w:val="12"/>
                <w:szCs w:val="12"/>
              </w:rPr>
              <w:t>24</w:t>
            </w:r>
          </w:p>
        </w:tc>
      </w:tr>
      <w:tr w:rsidR="001C56BD" w:rsidRPr="00305460" w14:paraId="18737393" w14:textId="77777777" w:rsidTr="008A5C11">
        <w:trPr>
          <w:trHeight w:val="897"/>
        </w:trPr>
        <w:tc>
          <w:tcPr>
            <w:tcW w:w="86" w:type="pct"/>
            <w:shd w:val="clear" w:color="auto" w:fill="auto"/>
            <w:tcMar>
              <w:left w:w="17" w:type="dxa"/>
              <w:right w:w="17" w:type="dxa"/>
            </w:tcMar>
            <w:vAlign w:val="center"/>
          </w:tcPr>
          <w:p w14:paraId="300B47F1" w14:textId="77777777" w:rsidR="001C56BD" w:rsidRPr="00305460" w:rsidRDefault="001C56BD" w:rsidP="008A5C11">
            <w:pPr>
              <w:jc w:val="center"/>
              <w:rPr>
                <w:sz w:val="12"/>
                <w:szCs w:val="12"/>
              </w:rPr>
            </w:pPr>
            <w:r w:rsidRPr="00305460">
              <w:rPr>
                <w:sz w:val="12"/>
                <w:szCs w:val="12"/>
              </w:rPr>
              <w:t>3.1.44.</w:t>
            </w:r>
          </w:p>
        </w:tc>
        <w:tc>
          <w:tcPr>
            <w:tcW w:w="295" w:type="pct"/>
            <w:shd w:val="clear" w:color="auto" w:fill="auto"/>
            <w:tcMar>
              <w:left w:w="17" w:type="dxa"/>
              <w:right w:w="17" w:type="dxa"/>
            </w:tcMar>
            <w:vAlign w:val="center"/>
          </w:tcPr>
          <w:p w14:paraId="3BD3B521" w14:textId="77777777" w:rsidR="001C56BD" w:rsidRPr="00305460" w:rsidRDefault="001C56BD" w:rsidP="008A5C11">
            <w:pPr>
              <w:rPr>
                <w:sz w:val="12"/>
                <w:szCs w:val="12"/>
              </w:rPr>
            </w:pPr>
            <w:r w:rsidRPr="00305460">
              <w:rPr>
                <w:color w:val="000000"/>
                <w:sz w:val="12"/>
                <w:szCs w:val="12"/>
              </w:rPr>
              <w:t>Реконструкция тепловой сети с реестровым номером</w:t>
            </w:r>
            <w:r w:rsidRPr="00305460">
              <w:rPr>
                <w:sz w:val="12"/>
                <w:szCs w:val="12"/>
              </w:rPr>
              <w:t xml:space="preserve"> 772222</w:t>
            </w:r>
          </w:p>
        </w:tc>
        <w:tc>
          <w:tcPr>
            <w:tcW w:w="307" w:type="pct"/>
            <w:shd w:val="clear" w:color="000000" w:fill="FFFFFF"/>
            <w:tcMar>
              <w:left w:w="17" w:type="dxa"/>
              <w:right w:w="17" w:type="dxa"/>
            </w:tcMar>
            <w:vAlign w:val="center"/>
          </w:tcPr>
          <w:p w14:paraId="43D87EE4" w14:textId="77777777" w:rsidR="001C56BD" w:rsidRPr="00305460" w:rsidRDefault="001C56BD" w:rsidP="008A5C11">
            <w:pPr>
              <w:jc w:val="center"/>
              <w:rPr>
                <w:sz w:val="12"/>
                <w:szCs w:val="12"/>
              </w:rPr>
            </w:pPr>
            <w:r w:rsidRPr="00305460">
              <w:rPr>
                <w:color w:val="000000"/>
                <w:sz w:val="12"/>
                <w:szCs w:val="12"/>
              </w:rPr>
              <w:t>Повышение надежности услуг теплоснабжения, повышение энергетической эффективности</w:t>
            </w:r>
          </w:p>
        </w:tc>
        <w:tc>
          <w:tcPr>
            <w:tcW w:w="280" w:type="pct"/>
            <w:shd w:val="clear" w:color="auto" w:fill="auto"/>
            <w:tcMar>
              <w:left w:w="17" w:type="dxa"/>
              <w:right w:w="17" w:type="dxa"/>
            </w:tcMar>
            <w:vAlign w:val="center"/>
          </w:tcPr>
          <w:p w14:paraId="6388CABD" w14:textId="77777777" w:rsidR="001C56BD" w:rsidRPr="00305460" w:rsidRDefault="001C56BD" w:rsidP="008A5C11">
            <w:pPr>
              <w:jc w:val="center"/>
              <w:rPr>
                <w:sz w:val="12"/>
                <w:szCs w:val="12"/>
              </w:rPr>
            </w:pPr>
            <w:r w:rsidRPr="00305460">
              <w:rPr>
                <w:sz w:val="12"/>
                <w:szCs w:val="12"/>
              </w:rPr>
              <w:t>Кемеровский городской округ, Центральный район, Микрорайон 7, ТК 17-5</w:t>
            </w:r>
          </w:p>
        </w:tc>
        <w:tc>
          <w:tcPr>
            <w:tcW w:w="289" w:type="pct"/>
            <w:shd w:val="clear" w:color="auto" w:fill="auto"/>
            <w:tcMar>
              <w:left w:w="17" w:type="dxa"/>
              <w:right w:w="17" w:type="dxa"/>
            </w:tcMar>
            <w:vAlign w:val="center"/>
          </w:tcPr>
          <w:p w14:paraId="11D6B3AB" w14:textId="77777777" w:rsidR="001C56BD" w:rsidRPr="00305460" w:rsidRDefault="001C56BD" w:rsidP="008A5C11">
            <w:pPr>
              <w:jc w:val="center"/>
              <w:rPr>
                <w:sz w:val="12"/>
                <w:szCs w:val="12"/>
              </w:rPr>
            </w:pPr>
            <w:r w:rsidRPr="00305460">
              <w:rPr>
                <w:color w:val="000000"/>
                <w:sz w:val="12"/>
                <w:szCs w:val="12"/>
              </w:rPr>
              <w:t>Технические характеристики</w:t>
            </w:r>
          </w:p>
        </w:tc>
        <w:tc>
          <w:tcPr>
            <w:tcW w:w="137" w:type="pct"/>
            <w:shd w:val="clear" w:color="auto" w:fill="auto"/>
            <w:tcMar>
              <w:left w:w="17" w:type="dxa"/>
              <w:right w:w="17" w:type="dxa"/>
            </w:tcMar>
            <w:vAlign w:val="center"/>
          </w:tcPr>
          <w:p w14:paraId="74B75606" w14:textId="77777777" w:rsidR="001C56BD" w:rsidRPr="00305460" w:rsidRDefault="001C56BD" w:rsidP="008A5C11">
            <w:pPr>
              <w:jc w:val="center"/>
              <w:rPr>
                <w:color w:val="000000"/>
                <w:sz w:val="12"/>
                <w:szCs w:val="12"/>
              </w:rPr>
            </w:pPr>
          </w:p>
        </w:tc>
        <w:tc>
          <w:tcPr>
            <w:tcW w:w="202" w:type="pct"/>
            <w:shd w:val="clear" w:color="auto" w:fill="auto"/>
            <w:tcMar>
              <w:left w:w="17" w:type="dxa"/>
              <w:right w:w="17" w:type="dxa"/>
            </w:tcMar>
            <w:vAlign w:val="center"/>
          </w:tcPr>
          <w:p w14:paraId="386C1925" w14:textId="77777777" w:rsidR="001C56BD" w:rsidRPr="00305460" w:rsidRDefault="001C56BD" w:rsidP="008A5C11">
            <w:pPr>
              <w:jc w:val="center"/>
              <w:rPr>
                <w:sz w:val="12"/>
                <w:szCs w:val="12"/>
              </w:rPr>
            </w:pPr>
            <w:r w:rsidRPr="00305460">
              <w:rPr>
                <w:sz w:val="12"/>
                <w:szCs w:val="12"/>
              </w:rPr>
              <w:t>Канал-ж/б лотки (непроходной канал),</w:t>
            </w:r>
            <w:r w:rsidRPr="00305460">
              <w:rPr>
                <w:sz w:val="12"/>
                <w:szCs w:val="12"/>
              </w:rPr>
              <w:br/>
              <w:t xml:space="preserve">опоры приварные, запорная арматура-стальная клиновая, антикоррозийная защита-лак БТ, труба-сталь 20, изоляция-мин. маты.      </w:t>
            </w:r>
          </w:p>
        </w:tc>
        <w:tc>
          <w:tcPr>
            <w:tcW w:w="244" w:type="pct"/>
            <w:shd w:val="clear" w:color="auto" w:fill="auto"/>
            <w:tcMar>
              <w:left w:w="17" w:type="dxa"/>
              <w:right w:w="17" w:type="dxa"/>
            </w:tcMar>
            <w:vAlign w:val="center"/>
          </w:tcPr>
          <w:p w14:paraId="260D68C0" w14:textId="77777777" w:rsidR="001C56BD" w:rsidRPr="00305460" w:rsidRDefault="001C56BD" w:rsidP="008A5C11">
            <w:pPr>
              <w:jc w:val="center"/>
              <w:rPr>
                <w:sz w:val="12"/>
                <w:szCs w:val="12"/>
              </w:rPr>
            </w:pPr>
            <w:r w:rsidRPr="00305460">
              <w:rPr>
                <w:sz w:val="12"/>
                <w:szCs w:val="12"/>
              </w:rPr>
              <w:t xml:space="preserve">Канал-ж/б лотки, опоры-хомутовые с диэлектрической прокладкой, запорная арматура - кран шаровый, антикоррозийная защита-мастика Вектор 1214, 1025, труба-сталь 09Г2С, изоляция - маты прошивные, </w:t>
            </w:r>
            <w:proofErr w:type="gramStart"/>
            <w:r w:rsidRPr="00305460">
              <w:rPr>
                <w:sz w:val="12"/>
                <w:szCs w:val="12"/>
              </w:rPr>
              <w:t>стеклоплас-тик</w:t>
            </w:r>
            <w:proofErr w:type="gramEnd"/>
            <w:r w:rsidRPr="00305460">
              <w:rPr>
                <w:sz w:val="12"/>
                <w:szCs w:val="12"/>
              </w:rPr>
              <w:t xml:space="preserve"> </w:t>
            </w:r>
          </w:p>
        </w:tc>
        <w:tc>
          <w:tcPr>
            <w:tcW w:w="140" w:type="pct"/>
            <w:shd w:val="clear" w:color="auto" w:fill="auto"/>
            <w:tcMar>
              <w:left w:w="17" w:type="dxa"/>
              <w:right w:w="17" w:type="dxa"/>
            </w:tcMar>
            <w:vAlign w:val="center"/>
          </w:tcPr>
          <w:p w14:paraId="6B784C17" w14:textId="77777777" w:rsidR="001C56BD" w:rsidRPr="00305460" w:rsidRDefault="001C56BD" w:rsidP="008A5C11">
            <w:pPr>
              <w:jc w:val="center"/>
              <w:rPr>
                <w:sz w:val="12"/>
                <w:szCs w:val="12"/>
              </w:rPr>
            </w:pPr>
            <w:r w:rsidRPr="00305460">
              <w:rPr>
                <w:sz w:val="12"/>
                <w:szCs w:val="12"/>
              </w:rPr>
              <w:t>2023</w:t>
            </w:r>
          </w:p>
        </w:tc>
        <w:tc>
          <w:tcPr>
            <w:tcW w:w="140" w:type="pct"/>
            <w:shd w:val="clear" w:color="auto" w:fill="auto"/>
            <w:tcMar>
              <w:left w:w="17" w:type="dxa"/>
              <w:right w:w="17" w:type="dxa"/>
            </w:tcMar>
            <w:vAlign w:val="center"/>
          </w:tcPr>
          <w:p w14:paraId="010BECFE" w14:textId="77777777" w:rsidR="001C56BD" w:rsidRPr="00305460" w:rsidRDefault="001C56BD" w:rsidP="008A5C11">
            <w:pPr>
              <w:jc w:val="center"/>
              <w:rPr>
                <w:sz w:val="12"/>
                <w:szCs w:val="12"/>
              </w:rPr>
            </w:pPr>
            <w:r w:rsidRPr="00305460">
              <w:rPr>
                <w:sz w:val="12"/>
                <w:szCs w:val="12"/>
              </w:rPr>
              <w:t>2024</w:t>
            </w:r>
          </w:p>
        </w:tc>
        <w:tc>
          <w:tcPr>
            <w:tcW w:w="239" w:type="pct"/>
            <w:gridSpan w:val="3"/>
            <w:shd w:val="clear" w:color="auto" w:fill="auto"/>
            <w:tcMar>
              <w:left w:w="17" w:type="dxa"/>
              <w:right w:w="17" w:type="dxa"/>
            </w:tcMar>
            <w:vAlign w:val="center"/>
          </w:tcPr>
          <w:p w14:paraId="418F8FA2" w14:textId="77777777" w:rsidR="001C56BD" w:rsidRPr="00305460" w:rsidRDefault="001C56BD" w:rsidP="008A5C11">
            <w:pPr>
              <w:jc w:val="center"/>
              <w:rPr>
                <w:sz w:val="12"/>
                <w:szCs w:val="12"/>
              </w:rPr>
            </w:pPr>
            <w:r w:rsidRPr="00305460">
              <w:rPr>
                <w:sz w:val="12"/>
                <w:szCs w:val="12"/>
              </w:rPr>
              <w:t>21152,472</w:t>
            </w:r>
          </w:p>
        </w:tc>
        <w:tc>
          <w:tcPr>
            <w:tcW w:w="196" w:type="pct"/>
            <w:gridSpan w:val="3"/>
            <w:shd w:val="clear" w:color="auto" w:fill="auto"/>
            <w:tcMar>
              <w:left w:w="17" w:type="dxa"/>
              <w:right w:w="17" w:type="dxa"/>
            </w:tcMar>
            <w:vAlign w:val="center"/>
          </w:tcPr>
          <w:p w14:paraId="3B861F02" w14:textId="77777777" w:rsidR="001C56BD" w:rsidRPr="00305460" w:rsidRDefault="001C56BD" w:rsidP="008A5C11">
            <w:pPr>
              <w:jc w:val="center"/>
              <w:rPr>
                <w:sz w:val="12"/>
                <w:szCs w:val="12"/>
              </w:rPr>
            </w:pPr>
            <w:r w:rsidRPr="00305460">
              <w:rPr>
                <w:sz w:val="12"/>
                <w:szCs w:val="12"/>
              </w:rPr>
              <w:t>0,000</w:t>
            </w:r>
          </w:p>
        </w:tc>
        <w:tc>
          <w:tcPr>
            <w:tcW w:w="216" w:type="pct"/>
            <w:gridSpan w:val="3"/>
            <w:shd w:val="clear" w:color="auto" w:fill="auto"/>
            <w:tcMar>
              <w:left w:w="17" w:type="dxa"/>
              <w:right w:w="17" w:type="dxa"/>
            </w:tcMar>
            <w:vAlign w:val="center"/>
          </w:tcPr>
          <w:p w14:paraId="236056E9" w14:textId="77777777" w:rsidR="001C56BD" w:rsidRPr="00305460" w:rsidRDefault="001C56BD" w:rsidP="008A5C11">
            <w:pPr>
              <w:jc w:val="center"/>
              <w:rPr>
                <w:sz w:val="12"/>
                <w:szCs w:val="12"/>
              </w:rPr>
            </w:pPr>
            <w:r w:rsidRPr="00305460">
              <w:rPr>
                <w:sz w:val="12"/>
                <w:szCs w:val="12"/>
              </w:rPr>
              <w:t>0,000</w:t>
            </w:r>
          </w:p>
        </w:tc>
        <w:tc>
          <w:tcPr>
            <w:tcW w:w="179" w:type="pct"/>
            <w:gridSpan w:val="2"/>
            <w:shd w:val="clear" w:color="auto" w:fill="auto"/>
            <w:tcMar>
              <w:left w:w="17" w:type="dxa"/>
              <w:right w:w="17" w:type="dxa"/>
            </w:tcMar>
            <w:vAlign w:val="center"/>
          </w:tcPr>
          <w:p w14:paraId="41F2F18D" w14:textId="77777777" w:rsidR="001C56BD" w:rsidRPr="00305460" w:rsidRDefault="001C56BD" w:rsidP="008A5C11">
            <w:pPr>
              <w:jc w:val="center"/>
              <w:rPr>
                <w:sz w:val="12"/>
                <w:szCs w:val="12"/>
              </w:rPr>
            </w:pPr>
            <w:r w:rsidRPr="00305460">
              <w:rPr>
                <w:sz w:val="12"/>
                <w:szCs w:val="12"/>
              </w:rPr>
              <w:t>8808,780</w:t>
            </w:r>
          </w:p>
        </w:tc>
        <w:tc>
          <w:tcPr>
            <w:tcW w:w="222" w:type="pct"/>
            <w:gridSpan w:val="2"/>
            <w:shd w:val="clear" w:color="auto" w:fill="auto"/>
            <w:tcMar>
              <w:left w:w="17" w:type="dxa"/>
              <w:right w:w="17" w:type="dxa"/>
            </w:tcMar>
            <w:vAlign w:val="center"/>
          </w:tcPr>
          <w:p w14:paraId="20297DF3" w14:textId="77777777" w:rsidR="001C56BD" w:rsidRPr="00305460" w:rsidRDefault="001C56BD" w:rsidP="008A5C11">
            <w:pPr>
              <w:jc w:val="center"/>
              <w:rPr>
                <w:sz w:val="12"/>
                <w:szCs w:val="12"/>
              </w:rPr>
            </w:pPr>
            <w:r w:rsidRPr="00305460">
              <w:rPr>
                <w:sz w:val="12"/>
                <w:szCs w:val="12"/>
              </w:rPr>
              <w:t>12343,692</w:t>
            </w:r>
          </w:p>
        </w:tc>
        <w:tc>
          <w:tcPr>
            <w:tcW w:w="213" w:type="pct"/>
            <w:shd w:val="clear" w:color="auto" w:fill="auto"/>
            <w:tcMar>
              <w:left w:w="17" w:type="dxa"/>
              <w:right w:w="17" w:type="dxa"/>
            </w:tcMar>
            <w:vAlign w:val="center"/>
          </w:tcPr>
          <w:p w14:paraId="72D190F1"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6CB25A32"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113B18B1"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232F00C4" w14:textId="77777777" w:rsidR="001C56BD" w:rsidRPr="00305460" w:rsidRDefault="001C56BD" w:rsidP="008A5C11">
            <w:pPr>
              <w:jc w:val="center"/>
              <w:rPr>
                <w:sz w:val="12"/>
                <w:szCs w:val="12"/>
              </w:rPr>
            </w:pPr>
            <w:r w:rsidRPr="00305460">
              <w:rPr>
                <w:sz w:val="12"/>
                <w:szCs w:val="12"/>
              </w:rPr>
              <w:t>0,000</w:t>
            </w:r>
          </w:p>
        </w:tc>
        <w:tc>
          <w:tcPr>
            <w:tcW w:w="218" w:type="pct"/>
            <w:gridSpan w:val="2"/>
            <w:shd w:val="clear" w:color="auto" w:fill="auto"/>
            <w:tcMar>
              <w:left w:w="17" w:type="dxa"/>
              <w:right w:w="17" w:type="dxa"/>
            </w:tcMar>
            <w:vAlign w:val="center"/>
          </w:tcPr>
          <w:p w14:paraId="5D3D1719" w14:textId="77777777" w:rsidR="001C56BD" w:rsidRPr="00305460" w:rsidRDefault="001C56BD" w:rsidP="008A5C11">
            <w:pPr>
              <w:jc w:val="center"/>
              <w:rPr>
                <w:sz w:val="12"/>
                <w:szCs w:val="12"/>
              </w:rPr>
            </w:pPr>
            <w:r w:rsidRPr="00305460">
              <w:rPr>
                <w:sz w:val="12"/>
                <w:szCs w:val="12"/>
              </w:rPr>
              <w:t>0,000</w:t>
            </w:r>
          </w:p>
        </w:tc>
        <w:tc>
          <w:tcPr>
            <w:tcW w:w="172" w:type="pct"/>
            <w:gridSpan w:val="2"/>
            <w:shd w:val="clear" w:color="auto" w:fill="auto"/>
            <w:tcMar>
              <w:left w:w="17" w:type="dxa"/>
              <w:right w:w="17" w:type="dxa"/>
            </w:tcMar>
            <w:vAlign w:val="center"/>
          </w:tcPr>
          <w:p w14:paraId="0BAC0742" w14:textId="77777777" w:rsidR="001C56BD" w:rsidRPr="00305460" w:rsidRDefault="001C56BD" w:rsidP="008A5C11">
            <w:pPr>
              <w:jc w:val="center"/>
              <w:rPr>
                <w:sz w:val="12"/>
                <w:szCs w:val="12"/>
              </w:rPr>
            </w:pPr>
            <w:r w:rsidRPr="00305460">
              <w:rPr>
                <w:sz w:val="12"/>
                <w:szCs w:val="12"/>
              </w:rPr>
              <w:t>0,000</w:t>
            </w:r>
          </w:p>
        </w:tc>
        <w:tc>
          <w:tcPr>
            <w:tcW w:w="219" w:type="pct"/>
            <w:shd w:val="clear" w:color="auto" w:fill="auto"/>
            <w:tcMar>
              <w:left w:w="17" w:type="dxa"/>
              <w:right w:w="17" w:type="dxa"/>
            </w:tcMar>
            <w:vAlign w:val="center"/>
          </w:tcPr>
          <w:p w14:paraId="619F150A" w14:textId="77777777" w:rsidR="001C56BD" w:rsidRPr="00305460" w:rsidRDefault="001C56BD" w:rsidP="008A5C11">
            <w:pPr>
              <w:jc w:val="center"/>
              <w:rPr>
                <w:sz w:val="12"/>
                <w:szCs w:val="12"/>
              </w:rPr>
            </w:pPr>
            <w:r w:rsidRPr="00305460">
              <w:rPr>
                <w:sz w:val="12"/>
                <w:szCs w:val="12"/>
              </w:rPr>
              <w:t>0,000</w:t>
            </w:r>
          </w:p>
        </w:tc>
        <w:tc>
          <w:tcPr>
            <w:tcW w:w="174" w:type="pct"/>
            <w:shd w:val="clear" w:color="auto" w:fill="auto"/>
            <w:tcMar>
              <w:left w:w="17" w:type="dxa"/>
              <w:right w:w="17" w:type="dxa"/>
            </w:tcMar>
            <w:vAlign w:val="center"/>
          </w:tcPr>
          <w:p w14:paraId="2EF704F7" w14:textId="77777777" w:rsidR="001C56BD" w:rsidRPr="00305460" w:rsidRDefault="001C56BD" w:rsidP="008A5C11">
            <w:pPr>
              <w:jc w:val="center"/>
              <w:rPr>
                <w:sz w:val="12"/>
                <w:szCs w:val="12"/>
              </w:rPr>
            </w:pPr>
            <w:r w:rsidRPr="00305460">
              <w:rPr>
                <w:sz w:val="12"/>
                <w:szCs w:val="12"/>
              </w:rPr>
              <w:t>0,000</w:t>
            </w:r>
          </w:p>
        </w:tc>
        <w:tc>
          <w:tcPr>
            <w:tcW w:w="176" w:type="pct"/>
            <w:shd w:val="clear" w:color="auto" w:fill="auto"/>
            <w:tcMar>
              <w:left w:w="17" w:type="dxa"/>
              <w:right w:w="17" w:type="dxa"/>
            </w:tcMar>
            <w:vAlign w:val="center"/>
          </w:tcPr>
          <w:p w14:paraId="55863386" w14:textId="77777777" w:rsidR="001C56BD" w:rsidRPr="00305460" w:rsidRDefault="001C56BD" w:rsidP="008A5C11">
            <w:pPr>
              <w:jc w:val="center"/>
              <w:rPr>
                <w:sz w:val="12"/>
                <w:szCs w:val="12"/>
              </w:rPr>
            </w:pPr>
            <w:r w:rsidRPr="00305460">
              <w:rPr>
                <w:sz w:val="12"/>
                <w:szCs w:val="12"/>
              </w:rPr>
              <w:t>0,000</w:t>
            </w:r>
          </w:p>
        </w:tc>
      </w:tr>
      <w:tr w:rsidR="001C56BD" w:rsidRPr="00305460" w14:paraId="6F9A7C35" w14:textId="77777777" w:rsidTr="008A5C11">
        <w:trPr>
          <w:trHeight w:val="897"/>
        </w:trPr>
        <w:tc>
          <w:tcPr>
            <w:tcW w:w="86" w:type="pct"/>
            <w:shd w:val="clear" w:color="auto" w:fill="auto"/>
            <w:tcMar>
              <w:left w:w="17" w:type="dxa"/>
              <w:right w:w="17" w:type="dxa"/>
            </w:tcMar>
            <w:vAlign w:val="center"/>
          </w:tcPr>
          <w:p w14:paraId="2025845A" w14:textId="77777777" w:rsidR="001C56BD" w:rsidRPr="00305460" w:rsidRDefault="001C56BD" w:rsidP="008A5C11">
            <w:pPr>
              <w:jc w:val="center"/>
              <w:rPr>
                <w:sz w:val="12"/>
                <w:szCs w:val="12"/>
              </w:rPr>
            </w:pPr>
            <w:r w:rsidRPr="00305460">
              <w:rPr>
                <w:sz w:val="12"/>
                <w:szCs w:val="12"/>
              </w:rPr>
              <w:t>3.1.45.</w:t>
            </w:r>
          </w:p>
        </w:tc>
        <w:tc>
          <w:tcPr>
            <w:tcW w:w="295" w:type="pct"/>
            <w:shd w:val="clear" w:color="auto" w:fill="auto"/>
            <w:tcMar>
              <w:left w:w="17" w:type="dxa"/>
              <w:right w:w="17" w:type="dxa"/>
            </w:tcMar>
            <w:vAlign w:val="center"/>
          </w:tcPr>
          <w:p w14:paraId="5A534224" w14:textId="77777777" w:rsidR="001C56BD" w:rsidRPr="00305460" w:rsidRDefault="001C56BD" w:rsidP="008A5C11">
            <w:pPr>
              <w:rPr>
                <w:sz w:val="12"/>
                <w:szCs w:val="12"/>
              </w:rPr>
            </w:pPr>
            <w:r w:rsidRPr="00305460">
              <w:rPr>
                <w:color w:val="000000"/>
                <w:sz w:val="12"/>
                <w:szCs w:val="12"/>
              </w:rPr>
              <w:t>Реконструкция тепловой сети с реестровым номером</w:t>
            </w:r>
            <w:r w:rsidRPr="00305460">
              <w:rPr>
                <w:sz w:val="12"/>
                <w:szCs w:val="12"/>
              </w:rPr>
              <w:t xml:space="preserve"> 772562</w:t>
            </w:r>
          </w:p>
        </w:tc>
        <w:tc>
          <w:tcPr>
            <w:tcW w:w="307" w:type="pct"/>
            <w:shd w:val="clear" w:color="000000" w:fill="FFFFFF"/>
            <w:tcMar>
              <w:left w:w="17" w:type="dxa"/>
              <w:right w:w="17" w:type="dxa"/>
            </w:tcMar>
            <w:vAlign w:val="center"/>
          </w:tcPr>
          <w:p w14:paraId="471D49ED" w14:textId="77777777" w:rsidR="001C56BD" w:rsidRPr="00305460" w:rsidRDefault="001C56BD" w:rsidP="008A5C11">
            <w:pPr>
              <w:jc w:val="center"/>
              <w:rPr>
                <w:sz w:val="12"/>
                <w:szCs w:val="12"/>
              </w:rPr>
            </w:pPr>
            <w:r w:rsidRPr="00305460">
              <w:rPr>
                <w:color w:val="000000"/>
                <w:sz w:val="12"/>
                <w:szCs w:val="12"/>
              </w:rPr>
              <w:t>Повышение надежности услуг теплоснабжения, повышение энергетической эффективности</w:t>
            </w:r>
          </w:p>
        </w:tc>
        <w:tc>
          <w:tcPr>
            <w:tcW w:w="280" w:type="pct"/>
            <w:shd w:val="clear" w:color="auto" w:fill="auto"/>
            <w:tcMar>
              <w:left w:w="17" w:type="dxa"/>
              <w:right w:w="17" w:type="dxa"/>
            </w:tcMar>
            <w:vAlign w:val="center"/>
          </w:tcPr>
          <w:p w14:paraId="49A9E3B0" w14:textId="77777777" w:rsidR="001C56BD" w:rsidRPr="00305460" w:rsidRDefault="001C56BD" w:rsidP="008A5C11">
            <w:pPr>
              <w:jc w:val="center"/>
              <w:rPr>
                <w:sz w:val="12"/>
                <w:szCs w:val="12"/>
              </w:rPr>
            </w:pPr>
            <w:r w:rsidRPr="00305460">
              <w:rPr>
                <w:sz w:val="12"/>
                <w:szCs w:val="12"/>
              </w:rPr>
              <w:t>Кемеровский городской округ, мк-н 11, 40 м. севернее жилого дома №73 по проспекту Ленина</w:t>
            </w:r>
          </w:p>
        </w:tc>
        <w:tc>
          <w:tcPr>
            <w:tcW w:w="289" w:type="pct"/>
            <w:shd w:val="clear" w:color="auto" w:fill="auto"/>
            <w:tcMar>
              <w:left w:w="17" w:type="dxa"/>
              <w:right w:w="17" w:type="dxa"/>
            </w:tcMar>
            <w:vAlign w:val="center"/>
          </w:tcPr>
          <w:p w14:paraId="1590A192" w14:textId="77777777" w:rsidR="001C56BD" w:rsidRPr="00305460" w:rsidRDefault="001C56BD" w:rsidP="008A5C11">
            <w:pPr>
              <w:jc w:val="center"/>
              <w:rPr>
                <w:sz w:val="12"/>
                <w:szCs w:val="12"/>
              </w:rPr>
            </w:pPr>
            <w:r w:rsidRPr="00305460">
              <w:rPr>
                <w:color w:val="000000"/>
                <w:sz w:val="12"/>
                <w:szCs w:val="12"/>
              </w:rPr>
              <w:t>Технические характеристики</w:t>
            </w:r>
          </w:p>
        </w:tc>
        <w:tc>
          <w:tcPr>
            <w:tcW w:w="137" w:type="pct"/>
            <w:shd w:val="clear" w:color="auto" w:fill="auto"/>
            <w:tcMar>
              <w:left w:w="17" w:type="dxa"/>
              <w:right w:w="17" w:type="dxa"/>
            </w:tcMar>
            <w:vAlign w:val="center"/>
          </w:tcPr>
          <w:p w14:paraId="68930E37" w14:textId="77777777" w:rsidR="001C56BD" w:rsidRPr="00305460" w:rsidRDefault="001C56BD" w:rsidP="008A5C11">
            <w:pPr>
              <w:jc w:val="center"/>
              <w:rPr>
                <w:color w:val="000000"/>
                <w:sz w:val="12"/>
                <w:szCs w:val="12"/>
              </w:rPr>
            </w:pPr>
          </w:p>
        </w:tc>
        <w:tc>
          <w:tcPr>
            <w:tcW w:w="202" w:type="pct"/>
            <w:shd w:val="clear" w:color="auto" w:fill="auto"/>
            <w:tcMar>
              <w:left w:w="17" w:type="dxa"/>
              <w:right w:w="17" w:type="dxa"/>
            </w:tcMar>
            <w:vAlign w:val="center"/>
          </w:tcPr>
          <w:p w14:paraId="6C954C50" w14:textId="77777777" w:rsidR="001C56BD" w:rsidRPr="00305460" w:rsidRDefault="001C56BD" w:rsidP="008A5C11">
            <w:pPr>
              <w:jc w:val="center"/>
              <w:rPr>
                <w:sz w:val="12"/>
                <w:szCs w:val="12"/>
              </w:rPr>
            </w:pPr>
            <w:r w:rsidRPr="00305460">
              <w:rPr>
                <w:sz w:val="12"/>
                <w:szCs w:val="12"/>
              </w:rPr>
              <w:t>Канал-ж/б лотки (непроходной канал),</w:t>
            </w:r>
            <w:r w:rsidRPr="00305460">
              <w:rPr>
                <w:sz w:val="12"/>
                <w:szCs w:val="12"/>
              </w:rPr>
              <w:br/>
              <w:t xml:space="preserve">опоры </w:t>
            </w:r>
            <w:proofErr w:type="gramStart"/>
            <w:r w:rsidRPr="00305460">
              <w:rPr>
                <w:sz w:val="12"/>
                <w:szCs w:val="12"/>
              </w:rPr>
              <w:t>привар-ные</w:t>
            </w:r>
            <w:proofErr w:type="gramEnd"/>
            <w:r w:rsidRPr="00305460">
              <w:rPr>
                <w:sz w:val="12"/>
                <w:szCs w:val="12"/>
              </w:rPr>
              <w:t xml:space="preserve">, запорная арматура-стальная клиновая, антикоррозийная защита-лак БТ, труба-сталь 20, изоляция-мин. маты.       </w:t>
            </w:r>
          </w:p>
        </w:tc>
        <w:tc>
          <w:tcPr>
            <w:tcW w:w="244" w:type="pct"/>
            <w:shd w:val="clear" w:color="auto" w:fill="auto"/>
            <w:tcMar>
              <w:left w:w="17" w:type="dxa"/>
              <w:right w:w="17" w:type="dxa"/>
            </w:tcMar>
            <w:vAlign w:val="center"/>
          </w:tcPr>
          <w:p w14:paraId="369D8E54" w14:textId="77777777" w:rsidR="001C56BD" w:rsidRPr="00305460" w:rsidRDefault="001C56BD" w:rsidP="008A5C11">
            <w:pPr>
              <w:jc w:val="center"/>
              <w:rPr>
                <w:sz w:val="12"/>
                <w:szCs w:val="12"/>
              </w:rPr>
            </w:pPr>
            <w:r w:rsidRPr="00305460">
              <w:rPr>
                <w:sz w:val="12"/>
                <w:szCs w:val="12"/>
              </w:rPr>
              <w:t xml:space="preserve">Канал-ж/б лотки, опоры-хомутовые с диэлектрической прокладкой, запорная арматура - кран шаровый, антикоррозийная защита-мастика Вектор 1214, 1025, труба-сталь 09Г2С, изоляция - маты прошивные, </w:t>
            </w:r>
            <w:proofErr w:type="gramStart"/>
            <w:r w:rsidRPr="00305460">
              <w:rPr>
                <w:sz w:val="12"/>
                <w:szCs w:val="12"/>
              </w:rPr>
              <w:t>стеклоплас-тик</w:t>
            </w:r>
            <w:proofErr w:type="gramEnd"/>
          </w:p>
        </w:tc>
        <w:tc>
          <w:tcPr>
            <w:tcW w:w="140" w:type="pct"/>
            <w:shd w:val="clear" w:color="auto" w:fill="auto"/>
            <w:tcMar>
              <w:left w:w="17" w:type="dxa"/>
              <w:right w:w="17" w:type="dxa"/>
            </w:tcMar>
            <w:vAlign w:val="center"/>
          </w:tcPr>
          <w:p w14:paraId="5569EA55" w14:textId="77777777" w:rsidR="001C56BD" w:rsidRPr="00305460" w:rsidRDefault="001C56BD" w:rsidP="008A5C11">
            <w:pPr>
              <w:jc w:val="center"/>
              <w:rPr>
                <w:sz w:val="12"/>
                <w:szCs w:val="12"/>
              </w:rPr>
            </w:pPr>
            <w:r w:rsidRPr="00305460">
              <w:rPr>
                <w:sz w:val="12"/>
                <w:szCs w:val="12"/>
              </w:rPr>
              <w:t>2024</w:t>
            </w:r>
          </w:p>
        </w:tc>
        <w:tc>
          <w:tcPr>
            <w:tcW w:w="140" w:type="pct"/>
            <w:shd w:val="clear" w:color="auto" w:fill="auto"/>
            <w:tcMar>
              <w:left w:w="17" w:type="dxa"/>
              <w:right w:w="17" w:type="dxa"/>
            </w:tcMar>
            <w:vAlign w:val="center"/>
          </w:tcPr>
          <w:p w14:paraId="5B4F9319" w14:textId="77777777" w:rsidR="001C56BD" w:rsidRPr="00305460" w:rsidRDefault="001C56BD" w:rsidP="008A5C11">
            <w:pPr>
              <w:jc w:val="center"/>
              <w:rPr>
                <w:sz w:val="12"/>
                <w:szCs w:val="12"/>
              </w:rPr>
            </w:pPr>
            <w:r w:rsidRPr="00305460">
              <w:rPr>
                <w:sz w:val="12"/>
                <w:szCs w:val="12"/>
              </w:rPr>
              <w:t>2028</w:t>
            </w:r>
          </w:p>
        </w:tc>
        <w:tc>
          <w:tcPr>
            <w:tcW w:w="239" w:type="pct"/>
            <w:gridSpan w:val="3"/>
            <w:shd w:val="clear" w:color="auto" w:fill="auto"/>
            <w:tcMar>
              <w:left w:w="17" w:type="dxa"/>
              <w:right w:w="17" w:type="dxa"/>
            </w:tcMar>
            <w:vAlign w:val="center"/>
          </w:tcPr>
          <w:p w14:paraId="16CB0638" w14:textId="77777777" w:rsidR="001C56BD" w:rsidRPr="00305460" w:rsidRDefault="001C56BD" w:rsidP="008A5C11">
            <w:pPr>
              <w:jc w:val="center"/>
              <w:rPr>
                <w:sz w:val="12"/>
                <w:szCs w:val="12"/>
              </w:rPr>
            </w:pPr>
            <w:r w:rsidRPr="00305460">
              <w:rPr>
                <w:sz w:val="12"/>
                <w:szCs w:val="12"/>
              </w:rPr>
              <w:t>23808,828</w:t>
            </w:r>
          </w:p>
        </w:tc>
        <w:tc>
          <w:tcPr>
            <w:tcW w:w="196" w:type="pct"/>
            <w:gridSpan w:val="3"/>
            <w:shd w:val="clear" w:color="auto" w:fill="auto"/>
            <w:tcMar>
              <w:left w:w="17" w:type="dxa"/>
              <w:right w:w="17" w:type="dxa"/>
            </w:tcMar>
            <w:vAlign w:val="center"/>
          </w:tcPr>
          <w:p w14:paraId="05BA478C" w14:textId="77777777" w:rsidR="001C56BD" w:rsidRPr="00305460" w:rsidRDefault="001C56BD" w:rsidP="008A5C11">
            <w:pPr>
              <w:jc w:val="center"/>
              <w:rPr>
                <w:sz w:val="12"/>
                <w:szCs w:val="12"/>
              </w:rPr>
            </w:pPr>
            <w:r w:rsidRPr="00305460">
              <w:rPr>
                <w:sz w:val="12"/>
                <w:szCs w:val="12"/>
              </w:rPr>
              <w:t>0,000</w:t>
            </w:r>
          </w:p>
        </w:tc>
        <w:tc>
          <w:tcPr>
            <w:tcW w:w="216" w:type="pct"/>
            <w:gridSpan w:val="3"/>
            <w:shd w:val="clear" w:color="auto" w:fill="auto"/>
            <w:tcMar>
              <w:left w:w="17" w:type="dxa"/>
              <w:right w:w="17" w:type="dxa"/>
            </w:tcMar>
            <w:vAlign w:val="center"/>
          </w:tcPr>
          <w:p w14:paraId="565777FC" w14:textId="77777777" w:rsidR="001C56BD" w:rsidRPr="00305460" w:rsidRDefault="001C56BD" w:rsidP="008A5C11">
            <w:pPr>
              <w:jc w:val="center"/>
              <w:rPr>
                <w:sz w:val="12"/>
                <w:szCs w:val="12"/>
              </w:rPr>
            </w:pPr>
            <w:r w:rsidRPr="00305460">
              <w:rPr>
                <w:sz w:val="12"/>
                <w:szCs w:val="12"/>
              </w:rPr>
              <w:t>0,000</w:t>
            </w:r>
          </w:p>
        </w:tc>
        <w:tc>
          <w:tcPr>
            <w:tcW w:w="179" w:type="pct"/>
            <w:gridSpan w:val="2"/>
            <w:shd w:val="clear" w:color="auto" w:fill="auto"/>
            <w:tcMar>
              <w:left w:w="17" w:type="dxa"/>
              <w:right w:w="17" w:type="dxa"/>
            </w:tcMar>
            <w:vAlign w:val="center"/>
          </w:tcPr>
          <w:p w14:paraId="74A2EC3D" w14:textId="77777777" w:rsidR="001C56BD" w:rsidRPr="00305460" w:rsidRDefault="001C56BD" w:rsidP="008A5C11">
            <w:pPr>
              <w:jc w:val="center"/>
              <w:rPr>
                <w:sz w:val="12"/>
                <w:szCs w:val="12"/>
              </w:rPr>
            </w:pPr>
            <w:r w:rsidRPr="00305460">
              <w:rPr>
                <w:sz w:val="12"/>
                <w:szCs w:val="12"/>
              </w:rPr>
              <w:t>0,000</w:t>
            </w:r>
          </w:p>
        </w:tc>
        <w:tc>
          <w:tcPr>
            <w:tcW w:w="222" w:type="pct"/>
            <w:gridSpan w:val="2"/>
            <w:shd w:val="clear" w:color="auto" w:fill="auto"/>
            <w:tcMar>
              <w:left w:w="17" w:type="dxa"/>
              <w:right w:w="17" w:type="dxa"/>
            </w:tcMar>
            <w:vAlign w:val="center"/>
          </w:tcPr>
          <w:p w14:paraId="294DDD5E" w14:textId="77777777" w:rsidR="001C56BD" w:rsidRPr="00305460" w:rsidRDefault="001C56BD" w:rsidP="008A5C11">
            <w:pPr>
              <w:jc w:val="center"/>
              <w:rPr>
                <w:sz w:val="12"/>
                <w:szCs w:val="12"/>
              </w:rPr>
            </w:pPr>
            <w:r w:rsidRPr="00305460">
              <w:rPr>
                <w:sz w:val="12"/>
                <w:szCs w:val="12"/>
              </w:rPr>
              <w:t>6643,212</w:t>
            </w:r>
          </w:p>
        </w:tc>
        <w:tc>
          <w:tcPr>
            <w:tcW w:w="213" w:type="pct"/>
            <w:shd w:val="clear" w:color="auto" w:fill="auto"/>
            <w:tcMar>
              <w:left w:w="17" w:type="dxa"/>
              <w:right w:w="17" w:type="dxa"/>
            </w:tcMar>
            <w:vAlign w:val="center"/>
          </w:tcPr>
          <w:p w14:paraId="2B3226B5"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3E03B323"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2EFC2733" w14:textId="77777777" w:rsidR="001C56BD" w:rsidRPr="00305460" w:rsidRDefault="001C56BD" w:rsidP="008A5C11">
            <w:pPr>
              <w:jc w:val="center"/>
              <w:rPr>
                <w:sz w:val="12"/>
                <w:szCs w:val="12"/>
              </w:rPr>
            </w:pPr>
            <w:r w:rsidRPr="00305460">
              <w:rPr>
                <w:sz w:val="12"/>
                <w:szCs w:val="12"/>
              </w:rPr>
              <w:t>9288,900</w:t>
            </w:r>
          </w:p>
        </w:tc>
        <w:tc>
          <w:tcPr>
            <w:tcW w:w="218" w:type="pct"/>
            <w:shd w:val="clear" w:color="auto" w:fill="auto"/>
            <w:tcMar>
              <w:left w:w="17" w:type="dxa"/>
              <w:right w:w="17" w:type="dxa"/>
            </w:tcMar>
            <w:vAlign w:val="center"/>
          </w:tcPr>
          <w:p w14:paraId="1A788F12" w14:textId="77777777" w:rsidR="001C56BD" w:rsidRPr="00305460" w:rsidRDefault="001C56BD" w:rsidP="008A5C11">
            <w:pPr>
              <w:jc w:val="center"/>
              <w:rPr>
                <w:sz w:val="12"/>
                <w:szCs w:val="12"/>
              </w:rPr>
            </w:pPr>
            <w:r w:rsidRPr="00305460">
              <w:rPr>
                <w:sz w:val="12"/>
                <w:szCs w:val="12"/>
              </w:rPr>
              <w:t>7876,716</w:t>
            </w:r>
          </w:p>
        </w:tc>
        <w:tc>
          <w:tcPr>
            <w:tcW w:w="218" w:type="pct"/>
            <w:gridSpan w:val="2"/>
            <w:shd w:val="clear" w:color="auto" w:fill="auto"/>
            <w:tcMar>
              <w:left w:w="17" w:type="dxa"/>
              <w:right w:w="17" w:type="dxa"/>
            </w:tcMar>
            <w:vAlign w:val="center"/>
          </w:tcPr>
          <w:p w14:paraId="1E155A37" w14:textId="77777777" w:rsidR="001C56BD" w:rsidRPr="00305460" w:rsidRDefault="001C56BD" w:rsidP="008A5C11">
            <w:pPr>
              <w:jc w:val="center"/>
              <w:rPr>
                <w:sz w:val="12"/>
                <w:szCs w:val="12"/>
              </w:rPr>
            </w:pPr>
            <w:r w:rsidRPr="00305460">
              <w:rPr>
                <w:sz w:val="12"/>
                <w:szCs w:val="12"/>
              </w:rPr>
              <w:t>0,000</w:t>
            </w:r>
          </w:p>
        </w:tc>
        <w:tc>
          <w:tcPr>
            <w:tcW w:w="172" w:type="pct"/>
            <w:gridSpan w:val="2"/>
            <w:shd w:val="clear" w:color="auto" w:fill="auto"/>
            <w:tcMar>
              <w:left w:w="17" w:type="dxa"/>
              <w:right w:w="17" w:type="dxa"/>
            </w:tcMar>
            <w:vAlign w:val="center"/>
          </w:tcPr>
          <w:p w14:paraId="3432BE0F" w14:textId="77777777" w:rsidR="001C56BD" w:rsidRPr="00305460" w:rsidRDefault="001C56BD" w:rsidP="008A5C11">
            <w:pPr>
              <w:jc w:val="center"/>
              <w:rPr>
                <w:sz w:val="12"/>
                <w:szCs w:val="12"/>
              </w:rPr>
            </w:pPr>
            <w:r w:rsidRPr="00305460">
              <w:rPr>
                <w:sz w:val="12"/>
                <w:szCs w:val="12"/>
              </w:rPr>
              <w:t>0,000</w:t>
            </w:r>
          </w:p>
        </w:tc>
        <w:tc>
          <w:tcPr>
            <w:tcW w:w="219" w:type="pct"/>
            <w:shd w:val="clear" w:color="auto" w:fill="auto"/>
            <w:tcMar>
              <w:left w:w="17" w:type="dxa"/>
              <w:right w:w="17" w:type="dxa"/>
            </w:tcMar>
            <w:vAlign w:val="center"/>
          </w:tcPr>
          <w:p w14:paraId="19B20345" w14:textId="77777777" w:rsidR="001C56BD" w:rsidRPr="00305460" w:rsidRDefault="001C56BD" w:rsidP="008A5C11">
            <w:pPr>
              <w:jc w:val="center"/>
              <w:rPr>
                <w:sz w:val="12"/>
                <w:szCs w:val="12"/>
              </w:rPr>
            </w:pPr>
            <w:r w:rsidRPr="00305460">
              <w:rPr>
                <w:sz w:val="12"/>
                <w:szCs w:val="12"/>
              </w:rPr>
              <w:t>0,000</w:t>
            </w:r>
          </w:p>
        </w:tc>
        <w:tc>
          <w:tcPr>
            <w:tcW w:w="174" w:type="pct"/>
            <w:shd w:val="clear" w:color="auto" w:fill="auto"/>
            <w:tcMar>
              <w:left w:w="17" w:type="dxa"/>
              <w:right w:w="17" w:type="dxa"/>
            </w:tcMar>
            <w:vAlign w:val="center"/>
          </w:tcPr>
          <w:p w14:paraId="5D341BEC" w14:textId="77777777" w:rsidR="001C56BD" w:rsidRPr="00305460" w:rsidRDefault="001C56BD" w:rsidP="008A5C11">
            <w:pPr>
              <w:jc w:val="center"/>
              <w:rPr>
                <w:sz w:val="12"/>
                <w:szCs w:val="12"/>
              </w:rPr>
            </w:pPr>
            <w:r w:rsidRPr="00305460">
              <w:rPr>
                <w:sz w:val="12"/>
                <w:szCs w:val="12"/>
              </w:rPr>
              <w:t>0,000</w:t>
            </w:r>
          </w:p>
        </w:tc>
        <w:tc>
          <w:tcPr>
            <w:tcW w:w="176" w:type="pct"/>
            <w:shd w:val="clear" w:color="auto" w:fill="auto"/>
            <w:tcMar>
              <w:left w:w="17" w:type="dxa"/>
              <w:right w:w="17" w:type="dxa"/>
            </w:tcMar>
            <w:vAlign w:val="center"/>
          </w:tcPr>
          <w:p w14:paraId="33200CDE" w14:textId="77777777" w:rsidR="001C56BD" w:rsidRPr="00305460" w:rsidRDefault="001C56BD" w:rsidP="008A5C11">
            <w:pPr>
              <w:jc w:val="center"/>
              <w:rPr>
                <w:sz w:val="12"/>
                <w:szCs w:val="12"/>
              </w:rPr>
            </w:pPr>
            <w:r w:rsidRPr="00305460">
              <w:rPr>
                <w:sz w:val="12"/>
                <w:szCs w:val="12"/>
              </w:rPr>
              <w:t>0,000</w:t>
            </w:r>
          </w:p>
        </w:tc>
      </w:tr>
      <w:tr w:rsidR="001C56BD" w:rsidRPr="00305460" w14:paraId="565BBF33" w14:textId="77777777" w:rsidTr="008A5C11">
        <w:trPr>
          <w:trHeight w:val="897"/>
        </w:trPr>
        <w:tc>
          <w:tcPr>
            <w:tcW w:w="86" w:type="pct"/>
            <w:shd w:val="clear" w:color="auto" w:fill="auto"/>
            <w:tcMar>
              <w:left w:w="17" w:type="dxa"/>
              <w:right w:w="17" w:type="dxa"/>
            </w:tcMar>
            <w:vAlign w:val="center"/>
          </w:tcPr>
          <w:p w14:paraId="149BFC1C" w14:textId="77777777" w:rsidR="001C56BD" w:rsidRPr="00305460" w:rsidRDefault="001C56BD" w:rsidP="008A5C11">
            <w:pPr>
              <w:jc w:val="center"/>
              <w:rPr>
                <w:sz w:val="12"/>
                <w:szCs w:val="12"/>
              </w:rPr>
            </w:pPr>
            <w:r w:rsidRPr="00305460">
              <w:rPr>
                <w:sz w:val="12"/>
                <w:szCs w:val="12"/>
              </w:rPr>
              <w:t>3.1.46.</w:t>
            </w:r>
          </w:p>
        </w:tc>
        <w:tc>
          <w:tcPr>
            <w:tcW w:w="295" w:type="pct"/>
            <w:shd w:val="clear" w:color="auto" w:fill="auto"/>
            <w:tcMar>
              <w:left w:w="17" w:type="dxa"/>
              <w:right w:w="17" w:type="dxa"/>
            </w:tcMar>
            <w:vAlign w:val="center"/>
          </w:tcPr>
          <w:p w14:paraId="3F238594" w14:textId="77777777" w:rsidR="001C56BD" w:rsidRPr="00305460" w:rsidRDefault="001C56BD" w:rsidP="008A5C11">
            <w:pPr>
              <w:rPr>
                <w:sz w:val="12"/>
                <w:szCs w:val="12"/>
              </w:rPr>
            </w:pPr>
            <w:r w:rsidRPr="00305460">
              <w:rPr>
                <w:color w:val="000000"/>
                <w:sz w:val="12"/>
                <w:szCs w:val="12"/>
              </w:rPr>
              <w:t>Реконструкция тепловой сети с реестровым номером</w:t>
            </w:r>
            <w:r w:rsidRPr="00305460">
              <w:rPr>
                <w:sz w:val="12"/>
                <w:szCs w:val="12"/>
              </w:rPr>
              <w:t xml:space="preserve"> 772544</w:t>
            </w:r>
          </w:p>
        </w:tc>
        <w:tc>
          <w:tcPr>
            <w:tcW w:w="307" w:type="pct"/>
            <w:shd w:val="clear" w:color="000000" w:fill="FFFFFF"/>
            <w:tcMar>
              <w:left w:w="17" w:type="dxa"/>
              <w:right w:w="17" w:type="dxa"/>
            </w:tcMar>
            <w:vAlign w:val="center"/>
          </w:tcPr>
          <w:p w14:paraId="50C85C93" w14:textId="77777777" w:rsidR="001C56BD" w:rsidRPr="00305460" w:rsidRDefault="001C56BD" w:rsidP="008A5C11">
            <w:pPr>
              <w:jc w:val="center"/>
              <w:rPr>
                <w:sz w:val="12"/>
                <w:szCs w:val="12"/>
              </w:rPr>
            </w:pPr>
            <w:r w:rsidRPr="00305460">
              <w:rPr>
                <w:color w:val="000000"/>
                <w:sz w:val="12"/>
                <w:szCs w:val="12"/>
              </w:rPr>
              <w:t>Повышение надежности услуг теплоснабжения, повышение энергетической эффективности</w:t>
            </w:r>
          </w:p>
        </w:tc>
        <w:tc>
          <w:tcPr>
            <w:tcW w:w="280" w:type="pct"/>
            <w:shd w:val="clear" w:color="auto" w:fill="auto"/>
            <w:tcMar>
              <w:left w:w="17" w:type="dxa"/>
              <w:right w:w="17" w:type="dxa"/>
            </w:tcMar>
            <w:vAlign w:val="center"/>
          </w:tcPr>
          <w:p w14:paraId="31945D21" w14:textId="77777777" w:rsidR="001C56BD" w:rsidRPr="00305460" w:rsidRDefault="001C56BD" w:rsidP="008A5C11">
            <w:pPr>
              <w:jc w:val="center"/>
              <w:rPr>
                <w:sz w:val="12"/>
                <w:szCs w:val="12"/>
              </w:rPr>
            </w:pPr>
            <w:r w:rsidRPr="00305460">
              <w:rPr>
                <w:sz w:val="12"/>
                <w:szCs w:val="12"/>
              </w:rPr>
              <w:t>Кемеровский городской округ, 22м севернее здания №90а по проспекту Ленина</w:t>
            </w:r>
          </w:p>
        </w:tc>
        <w:tc>
          <w:tcPr>
            <w:tcW w:w="289" w:type="pct"/>
            <w:shd w:val="clear" w:color="auto" w:fill="auto"/>
            <w:tcMar>
              <w:left w:w="17" w:type="dxa"/>
              <w:right w:w="17" w:type="dxa"/>
            </w:tcMar>
            <w:vAlign w:val="center"/>
          </w:tcPr>
          <w:p w14:paraId="23C579C8" w14:textId="77777777" w:rsidR="001C56BD" w:rsidRPr="00305460" w:rsidRDefault="001C56BD" w:rsidP="008A5C11">
            <w:pPr>
              <w:jc w:val="center"/>
              <w:rPr>
                <w:sz w:val="12"/>
                <w:szCs w:val="12"/>
              </w:rPr>
            </w:pPr>
            <w:r w:rsidRPr="00305460">
              <w:rPr>
                <w:color w:val="000000"/>
                <w:sz w:val="12"/>
                <w:szCs w:val="12"/>
              </w:rPr>
              <w:t>Технические характеристики</w:t>
            </w:r>
          </w:p>
        </w:tc>
        <w:tc>
          <w:tcPr>
            <w:tcW w:w="137" w:type="pct"/>
            <w:shd w:val="clear" w:color="auto" w:fill="auto"/>
            <w:tcMar>
              <w:left w:w="17" w:type="dxa"/>
              <w:right w:w="17" w:type="dxa"/>
            </w:tcMar>
            <w:vAlign w:val="center"/>
          </w:tcPr>
          <w:p w14:paraId="69DDA95F" w14:textId="77777777" w:rsidR="001C56BD" w:rsidRPr="00305460" w:rsidRDefault="001C56BD" w:rsidP="008A5C11">
            <w:pPr>
              <w:jc w:val="center"/>
              <w:rPr>
                <w:color w:val="000000"/>
                <w:sz w:val="12"/>
                <w:szCs w:val="12"/>
              </w:rPr>
            </w:pPr>
          </w:p>
        </w:tc>
        <w:tc>
          <w:tcPr>
            <w:tcW w:w="202" w:type="pct"/>
            <w:shd w:val="clear" w:color="auto" w:fill="auto"/>
            <w:tcMar>
              <w:left w:w="17" w:type="dxa"/>
              <w:right w:w="17" w:type="dxa"/>
            </w:tcMar>
            <w:vAlign w:val="center"/>
          </w:tcPr>
          <w:p w14:paraId="77B798CB" w14:textId="77777777" w:rsidR="001C56BD" w:rsidRPr="00305460" w:rsidRDefault="001C56BD" w:rsidP="008A5C11">
            <w:pPr>
              <w:jc w:val="center"/>
              <w:rPr>
                <w:sz w:val="12"/>
                <w:szCs w:val="12"/>
              </w:rPr>
            </w:pPr>
            <w:r w:rsidRPr="00305460">
              <w:rPr>
                <w:sz w:val="12"/>
                <w:szCs w:val="12"/>
              </w:rPr>
              <w:t>Канал-ж/б лотки (непроходной канал),</w:t>
            </w:r>
            <w:r w:rsidRPr="00305460">
              <w:rPr>
                <w:sz w:val="12"/>
                <w:szCs w:val="12"/>
              </w:rPr>
              <w:br/>
              <w:t xml:space="preserve">опоры приварные, запорная арматура-стальная клиновая, антикоррозийная защита-лак БТ, труба-сталь 20, изоляция-мин. маты.       </w:t>
            </w:r>
          </w:p>
        </w:tc>
        <w:tc>
          <w:tcPr>
            <w:tcW w:w="244" w:type="pct"/>
            <w:shd w:val="clear" w:color="auto" w:fill="auto"/>
            <w:tcMar>
              <w:left w:w="17" w:type="dxa"/>
              <w:right w:w="17" w:type="dxa"/>
            </w:tcMar>
            <w:vAlign w:val="center"/>
          </w:tcPr>
          <w:p w14:paraId="596DAA8A" w14:textId="77777777" w:rsidR="001C56BD" w:rsidRPr="00305460" w:rsidRDefault="001C56BD" w:rsidP="008A5C11">
            <w:pPr>
              <w:jc w:val="center"/>
              <w:rPr>
                <w:sz w:val="12"/>
                <w:szCs w:val="12"/>
              </w:rPr>
            </w:pPr>
            <w:r w:rsidRPr="00305460">
              <w:rPr>
                <w:sz w:val="12"/>
                <w:szCs w:val="12"/>
              </w:rPr>
              <w:t xml:space="preserve">Канал-ж/б лотки, опоры-хомутовые с диэлектрической прокладкой, запорная арматура - кран шаровый, антикоррозийная защита-мастика Вектор 1214, 1025, труба-сталь 09Г2С, изоляция - маты прошивные, </w:t>
            </w:r>
            <w:proofErr w:type="gramStart"/>
            <w:r w:rsidRPr="00305460">
              <w:rPr>
                <w:sz w:val="12"/>
                <w:szCs w:val="12"/>
              </w:rPr>
              <w:t>стеклоплас-тик</w:t>
            </w:r>
            <w:proofErr w:type="gramEnd"/>
            <w:r w:rsidRPr="00305460">
              <w:rPr>
                <w:sz w:val="12"/>
                <w:szCs w:val="12"/>
              </w:rPr>
              <w:t xml:space="preserve"> </w:t>
            </w:r>
          </w:p>
        </w:tc>
        <w:tc>
          <w:tcPr>
            <w:tcW w:w="140" w:type="pct"/>
            <w:shd w:val="clear" w:color="auto" w:fill="auto"/>
            <w:tcMar>
              <w:left w:w="17" w:type="dxa"/>
              <w:right w:w="17" w:type="dxa"/>
            </w:tcMar>
            <w:vAlign w:val="center"/>
          </w:tcPr>
          <w:p w14:paraId="5F3467A4" w14:textId="77777777" w:rsidR="001C56BD" w:rsidRPr="00305460" w:rsidRDefault="001C56BD" w:rsidP="008A5C11">
            <w:pPr>
              <w:jc w:val="center"/>
              <w:rPr>
                <w:sz w:val="12"/>
                <w:szCs w:val="12"/>
              </w:rPr>
            </w:pPr>
            <w:r w:rsidRPr="00305460">
              <w:rPr>
                <w:sz w:val="12"/>
                <w:szCs w:val="12"/>
              </w:rPr>
              <w:t>2028</w:t>
            </w:r>
          </w:p>
        </w:tc>
        <w:tc>
          <w:tcPr>
            <w:tcW w:w="140" w:type="pct"/>
            <w:shd w:val="clear" w:color="auto" w:fill="auto"/>
            <w:tcMar>
              <w:left w:w="17" w:type="dxa"/>
              <w:right w:w="17" w:type="dxa"/>
            </w:tcMar>
            <w:vAlign w:val="center"/>
          </w:tcPr>
          <w:p w14:paraId="7878F3EA" w14:textId="77777777" w:rsidR="001C56BD" w:rsidRPr="00305460" w:rsidRDefault="001C56BD" w:rsidP="008A5C11">
            <w:pPr>
              <w:jc w:val="center"/>
              <w:rPr>
                <w:sz w:val="12"/>
                <w:szCs w:val="12"/>
              </w:rPr>
            </w:pPr>
            <w:r w:rsidRPr="00305460">
              <w:rPr>
                <w:sz w:val="12"/>
                <w:szCs w:val="12"/>
              </w:rPr>
              <w:t>2028</w:t>
            </w:r>
          </w:p>
        </w:tc>
        <w:tc>
          <w:tcPr>
            <w:tcW w:w="239" w:type="pct"/>
            <w:gridSpan w:val="3"/>
            <w:shd w:val="clear" w:color="auto" w:fill="auto"/>
            <w:tcMar>
              <w:left w:w="17" w:type="dxa"/>
              <w:right w:w="17" w:type="dxa"/>
            </w:tcMar>
            <w:vAlign w:val="center"/>
          </w:tcPr>
          <w:p w14:paraId="53324314" w14:textId="77777777" w:rsidR="001C56BD" w:rsidRPr="00305460" w:rsidRDefault="001C56BD" w:rsidP="008A5C11">
            <w:pPr>
              <w:jc w:val="center"/>
              <w:rPr>
                <w:sz w:val="12"/>
                <w:szCs w:val="12"/>
              </w:rPr>
            </w:pPr>
            <w:r w:rsidRPr="00305460">
              <w:rPr>
                <w:sz w:val="12"/>
                <w:szCs w:val="12"/>
              </w:rPr>
              <w:t>7250,724</w:t>
            </w:r>
          </w:p>
        </w:tc>
        <w:tc>
          <w:tcPr>
            <w:tcW w:w="196" w:type="pct"/>
            <w:gridSpan w:val="3"/>
            <w:shd w:val="clear" w:color="auto" w:fill="auto"/>
            <w:tcMar>
              <w:left w:w="17" w:type="dxa"/>
              <w:right w:w="17" w:type="dxa"/>
            </w:tcMar>
            <w:vAlign w:val="center"/>
          </w:tcPr>
          <w:p w14:paraId="4A4445D5" w14:textId="77777777" w:rsidR="001C56BD" w:rsidRPr="00305460" w:rsidRDefault="001C56BD" w:rsidP="008A5C11">
            <w:pPr>
              <w:jc w:val="center"/>
              <w:rPr>
                <w:sz w:val="12"/>
                <w:szCs w:val="12"/>
              </w:rPr>
            </w:pPr>
            <w:r w:rsidRPr="00305460">
              <w:rPr>
                <w:sz w:val="12"/>
                <w:szCs w:val="12"/>
              </w:rPr>
              <w:t>0,000</w:t>
            </w:r>
          </w:p>
        </w:tc>
        <w:tc>
          <w:tcPr>
            <w:tcW w:w="216" w:type="pct"/>
            <w:gridSpan w:val="3"/>
            <w:shd w:val="clear" w:color="auto" w:fill="auto"/>
            <w:tcMar>
              <w:left w:w="17" w:type="dxa"/>
              <w:right w:w="17" w:type="dxa"/>
            </w:tcMar>
            <w:vAlign w:val="center"/>
          </w:tcPr>
          <w:p w14:paraId="3837E7FA" w14:textId="77777777" w:rsidR="001C56BD" w:rsidRPr="00305460" w:rsidRDefault="001C56BD" w:rsidP="008A5C11">
            <w:pPr>
              <w:jc w:val="center"/>
              <w:rPr>
                <w:sz w:val="12"/>
                <w:szCs w:val="12"/>
              </w:rPr>
            </w:pPr>
            <w:r w:rsidRPr="00305460">
              <w:rPr>
                <w:sz w:val="12"/>
                <w:szCs w:val="12"/>
              </w:rPr>
              <w:t>0,000</w:t>
            </w:r>
          </w:p>
        </w:tc>
        <w:tc>
          <w:tcPr>
            <w:tcW w:w="179" w:type="pct"/>
            <w:gridSpan w:val="2"/>
            <w:shd w:val="clear" w:color="auto" w:fill="auto"/>
            <w:tcMar>
              <w:left w:w="17" w:type="dxa"/>
              <w:right w:w="17" w:type="dxa"/>
            </w:tcMar>
            <w:vAlign w:val="center"/>
          </w:tcPr>
          <w:p w14:paraId="53CB355D" w14:textId="77777777" w:rsidR="001C56BD" w:rsidRPr="00305460" w:rsidRDefault="001C56BD" w:rsidP="008A5C11">
            <w:pPr>
              <w:jc w:val="center"/>
              <w:rPr>
                <w:sz w:val="12"/>
                <w:szCs w:val="12"/>
              </w:rPr>
            </w:pPr>
            <w:r w:rsidRPr="00305460">
              <w:rPr>
                <w:sz w:val="12"/>
                <w:szCs w:val="12"/>
              </w:rPr>
              <w:t>0,000</w:t>
            </w:r>
          </w:p>
        </w:tc>
        <w:tc>
          <w:tcPr>
            <w:tcW w:w="222" w:type="pct"/>
            <w:gridSpan w:val="2"/>
            <w:shd w:val="clear" w:color="auto" w:fill="auto"/>
            <w:tcMar>
              <w:left w:w="17" w:type="dxa"/>
              <w:right w:w="17" w:type="dxa"/>
            </w:tcMar>
            <w:vAlign w:val="center"/>
          </w:tcPr>
          <w:p w14:paraId="35CB1EEE" w14:textId="77777777" w:rsidR="001C56BD" w:rsidRPr="00305460" w:rsidRDefault="001C56BD" w:rsidP="008A5C11">
            <w:pPr>
              <w:jc w:val="center"/>
              <w:rPr>
                <w:sz w:val="12"/>
                <w:szCs w:val="12"/>
              </w:rPr>
            </w:pPr>
            <w:r w:rsidRPr="00305460">
              <w:rPr>
                <w:sz w:val="12"/>
                <w:szCs w:val="12"/>
              </w:rPr>
              <w:t>0,000</w:t>
            </w:r>
          </w:p>
        </w:tc>
        <w:tc>
          <w:tcPr>
            <w:tcW w:w="213" w:type="pct"/>
            <w:shd w:val="clear" w:color="auto" w:fill="auto"/>
            <w:tcMar>
              <w:left w:w="17" w:type="dxa"/>
              <w:right w:w="17" w:type="dxa"/>
            </w:tcMar>
            <w:vAlign w:val="center"/>
          </w:tcPr>
          <w:p w14:paraId="4C6E6AC0"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43021CDE"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431A57AD"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64A25852" w14:textId="77777777" w:rsidR="001C56BD" w:rsidRPr="00305460" w:rsidRDefault="001C56BD" w:rsidP="008A5C11">
            <w:pPr>
              <w:jc w:val="center"/>
              <w:rPr>
                <w:sz w:val="12"/>
                <w:szCs w:val="12"/>
              </w:rPr>
            </w:pPr>
            <w:r w:rsidRPr="00305460">
              <w:rPr>
                <w:sz w:val="12"/>
                <w:szCs w:val="12"/>
              </w:rPr>
              <w:t>7250,724</w:t>
            </w:r>
          </w:p>
        </w:tc>
        <w:tc>
          <w:tcPr>
            <w:tcW w:w="218" w:type="pct"/>
            <w:gridSpan w:val="2"/>
            <w:shd w:val="clear" w:color="auto" w:fill="auto"/>
            <w:tcMar>
              <w:left w:w="17" w:type="dxa"/>
              <w:right w:w="17" w:type="dxa"/>
            </w:tcMar>
            <w:vAlign w:val="center"/>
          </w:tcPr>
          <w:p w14:paraId="43231EC6" w14:textId="77777777" w:rsidR="001C56BD" w:rsidRPr="00305460" w:rsidRDefault="001C56BD" w:rsidP="008A5C11">
            <w:pPr>
              <w:jc w:val="center"/>
              <w:rPr>
                <w:sz w:val="12"/>
                <w:szCs w:val="12"/>
              </w:rPr>
            </w:pPr>
            <w:r w:rsidRPr="00305460">
              <w:rPr>
                <w:sz w:val="12"/>
                <w:szCs w:val="12"/>
              </w:rPr>
              <w:t>0,000</w:t>
            </w:r>
          </w:p>
        </w:tc>
        <w:tc>
          <w:tcPr>
            <w:tcW w:w="172" w:type="pct"/>
            <w:gridSpan w:val="2"/>
            <w:shd w:val="clear" w:color="auto" w:fill="auto"/>
            <w:tcMar>
              <w:left w:w="17" w:type="dxa"/>
              <w:right w:w="17" w:type="dxa"/>
            </w:tcMar>
            <w:vAlign w:val="center"/>
          </w:tcPr>
          <w:p w14:paraId="35607BBB" w14:textId="77777777" w:rsidR="001C56BD" w:rsidRPr="00305460" w:rsidRDefault="001C56BD" w:rsidP="008A5C11">
            <w:pPr>
              <w:jc w:val="center"/>
              <w:rPr>
                <w:sz w:val="12"/>
                <w:szCs w:val="12"/>
              </w:rPr>
            </w:pPr>
            <w:r w:rsidRPr="00305460">
              <w:rPr>
                <w:sz w:val="12"/>
                <w:szCs w:val="12"/>
              </w:rPr>
              <w:t>0,000</w:t>
            </w:r>
          </w:p>
        </w:tc>
        <w:tc>
          <w:tcPr>
            <w:tcW w:w="219" w:type="pct"/>
            <w:shd w:val="clear" w:color="auto" w:fill="auto"/>
            <w:tcMar>
              <w:left w:w="17" w:type="dxa"/>
              <w:right w:w="17" w:type="dxa"/>
            </w:tcMar>
            <w:vAlign w:val="center"/>
          </w:tcPr>
          <w:p w14:paraId="51777AB1" w14:textId="77777777" w:rsidR="001C56BD" w:rsidRPr="00305460" w:rsidRDefault="001C56BD" w:rsidP="008A5C11">
            <w:pPr>
              <w:jc w:val="center"/>
              <w:rPr>
                <w:sz w:val="12"/>
                <w:szCs w:val="12"/>
              </w:rPr>
            </w:pPr>
            <w:r w:rsidRPr="00305460">
              <w:rPr>
                <w:sz w:val="12"/>
                <w:szCs w:val="12"/>
              </w:rPr>
              <w:t>0,000</w:t>
            </w:r>
          </w:p>
        </w:tc>
        <w:tc>
          <w:tcPr>
            <w:tcW w:w="174" w:type="pct"/>
            <w:shd w:val="clear" w:color="auto" w:fill="auto"/>
            <w:tcMar>
              <w:left w:w="17" w:type="dxa"/>
              <w:right w:w="17" w:type="dxa"/>
            </w:tcMar>
            <w:vAlign w:val="center"/>
          </w:tcPr>
          <w:p w14:paraId="6FAAB642" w14:textId="77777777" w:rsidR="001C56BD" w:rsidRPr="00305460" w:rsidRDefault="001C56BD" w:rsidP="008A5C11">
            <w:pPr>
              <w:jc w:val="center"/>
              <w:rPr>
                <w:sz w:val="12"/>
                <w:szCs w:val="12"/>
              </w:rPr>
            </w:pPr>
            <w:r w:rsidRPr="00305460">
              <w:rPr>
                <w:sz w:val="12"/>
                <w:szCs w:val="12"/>
              </w:rPr>
              <w:t>0,000</w:t>
            </w:r>
          </w:p>
        </w:tc>
        <w:tc>
          <w:tcPr>
            <w:tcW w:w="176" w:type="pct"/>
            <w:shd w:val="clear" w:color="auto" w:fill="auto"/>
            <w:tcMar>
              <w:left w:w="17" w:type="dxa"/>
              <w:right w:w="17" w:type="dxa"/>
            </w:tcMar>
            <w:vAlign w:val="center"/>
          </w:tcPr>
          <w:p w14:paraId="031EF9A4" w14:textId="77777777" w:rsidR="001C56BD" w:rsidRPr="00305460" w:rsidRDefault="001C56BD" w:rsidP="008A5C11">
            <w:pPr>
              <w:jc w:val="center"/>
              <w:rPr>
                <w:sz w:val="12"/>
                <w:szCs w:val="12"/>
              </w:rPr>
            </w:pPr>
            <w:r w:rsidRPr="00305460">
              <w:rPr>
                <w:sz w:val="12"/>
                <w:szCs w:val="12"/>
              </w:rPr>
              <w:t>0,000</w:t>
            </w:r>
          </w:p>
        </w:tc>
      </w:tr>
      <w:tr w:rsidR="001C56BD" w:rsidRPr="00305460" w14:paraId="4630A281" w14:textId="77777777" w:rsidTr="008A5C11">
        <w:trPr>
          <w:trHeight w:val="897"/>
        </w:trPr>
        <w:tc>
          <w:tcPr>
            <w:tcW w:w="86" w:type="pct"/>
            <w:shd w:val="clear" w:color="auto" w:fill="auto"/>
            <w:tcMar>
              <w:left w:w="17" w:type="dxa"/>
              <w:right w:w="17" w:type="dxa"/>
            </w:tcMar>
            <w:vAlign w:val="center"/>
          </w:tcPr>
          <w:p w14:paraId="18C2F155" w14:textId="77777777" w:rsidR="001C56BD" w:rsidRPr="00305460" w:rsidRDefault="001C56BD" w:rsidP="008A5C11">
            <w:pPr>
              <w:jc w:val="center"/>
              <w:rPr>
                <w:bCs/>
                <w:sz w:val="12"/>
                <w:szCs w:val="12"/>
              </w:rPr>
            </w:pPr>
            <w:r w:rsidRPr="00305460">
              <w:rPr>
                <w:bCs/>
                <w:sz w:val="12"/>
                <w:szCs w:val="12"/>
              </w:rPr>
              <w:t>1</w:t>
            </w:r>
          </w:p>
        </w:tc>
        <w:tc>
          <w:tcPr>
            <w:tcW w:w="295" w:type="pct"/>
            <w:shd w:val="clear" w:color="auto" w:fill="auto"/>
            <w:tcMar>
              <w:left w:w="17" w:type="dxa"/>
              <w:right w:w="17" w:type="dxa"/>
            </w:tcMar>
            <w:vAlign w:val="center"/>
          </w:tcPr>
          <w:p w14:paraId="09B10048" w14:textId="77777777" w:rsidR="001C56BD" w:rsidRPr="00305460" w:rsidRDefault="001C56BD" w:rsidP="008A5C11">
            <w:pPr>
              <w:jc w:val="center"/>
              <w:rPr>
                <w:bCs/>
                <w:sz w:val="12"/>
                <w:szCs w:val="12"/>
              </w:rPr>
            </w:pPr>
            <w:r w:rsidRPr="00305460">
              <w:rPr>
                <w:bCs/>
                <w:sz w:val="12"/>
                <w:szCs w:val="12"/>
              </w:rPr>
              <w:t>2</w:t>
            </w:r>
          </w:p>
        </w:tc>
        <w:tc>
          <w:tcPr>
            <w:tcW w:w="307" w:type="pct"/>
            <w:shd w:val="clear" w:color="auto" w:fill="auto"/>
            <w:tcMar>
              <w:left w:w="17" w:type="dxa"/>
              <w:right w:w="17" w:type="dxa"/>
            </w:tcMar>
            <w:vAlign w:val="center"/>
          </w:tcPr>
          <w:p w14:paraId="666478AF" w14:textId="77777777" w:rsidR="001C56BD" w:rsidRPr="00305460" w:rsidRDefault="001C56BD" w:rsidP="008A5C11">
            <w:pPr>
              <w:jc w:val="center"/>
              <w:rPr>
                <w:bCs/>
                <w:sz w:val="12"/>
                <w:szCs w:val="12"/>
              </w:rPr>
            </w:pPr>
            <w:r w:rsidRPr="00305460">
              <w:rPr>
                <w:bCs/>
                <w:sz w:val="12"/>
                <w:szCs w:val="12"/>
              </w:rPr>
              <w:t>3</w:t>
            </w:r>
          </w:p>
        </w:tc>
        <w:tc>
          <w:tcPr>
            <w:tcW w:w="280" w:type="pct"/>
            <w:shd w:val="clear" w:color="auto" w:fill="auto"/>
            <w:tcMar>
              <w:left w:w="17" w:type="dxa"/>
              <w:right w:w="17" w:type="dxa"/>
            </w:tcMar>
            <w:vAlign w:val="center"/>
          </w:tcPr>
          <w:p w14:paraId="3776CA0F" w14:textId="77777777" w:rsidR="001C56BD" w:rsidRPr="00305460" w:rsidRDefault="001C56BD" w:rsidP="008A5C11">
            <w:pPr>
              <w:jc w:val="center"/>
              <w:rPr>
                <w:bCs/>
                <w:sz w:val="12"/>
                <w:szCs w:val="12"/>
              </w:rPr>
            </w:pPr>
            <w:r w:rsidRPr="00305460">
              <w:rPr>
                <w:bCs/>
                <w:sz w:val="12"/>
                <w:szCs w:val="12"/>
              </w:rPr>
              <w:t>4</w:t>
            </w:r>
          </w:p>
        </w:tc>
        <w:tc>
          <w:tcPr>
            <w:tcW w:w="289" w:type="pct"/>
            <w:shd w:val="clear" w:color="auto" w:fill="auto"/>
            <w:tcMar>
              <w:left w:w="17" w:type="dxa"/>
              <w:right w:w="17" w:type="dxa"/>
            </w:tcMar>
            <w:vAlign w:val="center"/>
          </w:tcPr>
          <w:p w14:paraId="63327E49" w14:textId="77777777" w:rsidR="001C56BD" w:rsidRPr="00305460" w:rsidRDefault="001C56BD" w:rsidP="008A5C11">
            <w:pPr>
              <w:jc w:val="center"/>
              <w:rPr>
                <w:bCs/>
                <w:sz w:val="12"/>
                <w:szCs w:val="12"/>
              </w:rPr>
            </w:pPr>
            <w:r w:rsidRPr="00305460">
              <w:rPr>
                <w:bCs/>
                <w:sz w:val="12"/>
                <w:szCs w:val="12"/>
              </w:rPr>
              <w:t>5</w:t>
            </w:r>
          </w:p>
        </w:tc>
        <w:tc>
          <w:tcPr>
            <w:tcW w:w="137" w:type="pct"/>
            <w:shd w:val="clear" w:color="auto" w:fill="auto"/>
            <w:tcMar>
              <w:left w:w="17" w:type="dxa"/>
              <w:right w:w="17" w:type="dxa"/>
            </w:tcMar>
            <w:vAlign w:val="center"/>
          </w:tcPr>
          <w:p w14:paraId="23239262" w14:textId="77777777" w:rsidR="001C56BD" w:rsidRPr="00305460" w:rsidRDefault="001C56BD" w:rsidP="008A5C11">
            <w:pPr>
              <w:jc w:val="center"/>
              <w:rPr>
                <w:bCs/>
                <w:sz w:val="12"/>
                <w:szCs w:val="12"/>
              </w:rPr>
            </w:pPr>
            <w:r w:rsidRPr="00305460">
              <w:rPr>
                <w:bCs/>
                <w:sz w:val="12"/>
                <w:szCs w:val="12"/>
              </w:rPr>
              <w:t>6</w:t>
            </w:r>
          </w:p>
        </w:tc>
        <w:tc>
          <w:tcPr>
            <w:tcW w:w="202" w:type="pct"/>
            <w:shd w:val="clear" w:color="auto" w:fill="auto"/>
            <w:tcMar>
              <w:left w:w="17" w:type="dxa"/>
              <w:right w:w="17" w:type="dxa"/>
            </w:tcMar>
            <w:vAlign w:val="center"/>
          </w:tcPr>
          <w:p w14:paraId="26B3879B" w14:textId="77777777" w:rsidR="001C56BD" w:rsidRPr="00305460" w:rsidRDefault="001C56BD" w:rsidP="008A5C11">
            <w:pPr>
              <w:jc w:val="center"/>
              <w:rPr>
                <w:bCs/>
                <w:sz w:val="12"/>
                <w:szCs w:val="12"/>
              </w:rPr>
            </w:pPr>
            <w:r w:rsidRPr="00305460">
              <w:rPr>
                <w:bCs/>
                <w:sz w:val="12"/>
                <w:szCs w:val="12"/>
              </w:rPr>
              <w:t>7</w:t>
            </w:r>
          </w:p>
        </w:tc>
        <w:tc>
          <w:tcPr>
            <w:tcW w:w="244" w:type="pct"/>
            <w:shd w:val="clear" w:color="auto" w:fill="auto"/>
            <w:tcMar>
              <w:left w:w="17" w:type="dxa"/>
              <w:right w:w="17" w:type="dxa"/>
            </w:tcMar>
            <w:vAlign w:val="center"/>
          </w:tcPr>
          <w:p w14:paraId="5065FC28" w14:textId="77777777" w:rsidR="001C56BD" w:rsidRPr="00305460" w:rsidRDefault="001C56BD" w:rsidP="008A5C11">
            <w:pPr>
              <w:jc w:val="center"/>
              <w:rPr>
                <w:bCs/>
                <w:sz w:val="12"/>
                <w:szCs w:val="12"/>
              </w:rPr>
            </w:pPr>
            <w:r w:rsidRPr="00305460">
              <w:rPr>
                <w:bCs/>
                <w:sz w:val="12"/>
                <w:szCs w:val="12"/>
              </w:rPr>
              <w:t>8</w:t>
            </w:r>
          </w:p>
        </w:tc>
        <w:tc>
          <w:tcPr>
            <w:tcW w:w="140" w:type="pct"/>
            <w:shd w:val="clear" w:color="auto" w:fill="auto"/>
            <w:tcMar>
              <w:left w:w="17" w:type="dxa"/>
              <w:right w:w="17" w:type="dxa"/>
            </w:tcMar>
            <w:vAlign w:val="center"/>
          </w:tcPr>
          <w:p w14:paraId="738762DE" w14:textId="77777777" w:rsidR="001C56BD" w:rsidRPr="00305460" w:rsidRDefault="001C56BD" w:rsidP="008A5C11">
            <w:pPr>
              <w:jc w:val="center"/>
              <w:rPr>
                <w:bCs/>
                <w:sz w:val="12"/>
                <w:szCs w:val="12"/>
              </w:rPr>
            </w:pPr>
            <w:r w:rsidRPr="00305460">
              <w:rPr>
                <w:bCs/>
                <w:sz w:val="12"/>
                <w:szCs w:val="12"/>
              </w:rPr>
              <w:t>9</w:t>
            </w:r>
          </w:p>
        </w:tc>
        <w:tc>
          <w:tcPr>
            <w:tcW w:w="140" w:type="pct"/>
            <w:shd w:val="clear" w:color="auto" w:fill="auto"/>
            <w:tcMar>
              <w:left w:w="17" w:type="dxa"/>
              <w:right w:w="17" w:type="dxa"/>
            </w:tcMar>
            <w:vAlign w:val="center"/>
          </w:tcPr>
          <w:p w14:paraId="2BE8E4C6" w14:textId="77777777" w:rsidR="001C56BD" w:rsidRPr="00305460" w:rsidRDefault="001C56BD" w:rsidP="008A5C11">
            <w:pPr>
              <w:jc w:val="center"/>
              <w:rPr>
                <w:bCs/>
                <w:sz w:val="12"/>
                <w:szCs w:val="12"/>
              </w:rPr>
            </w:pPr>
            <w:r w:rsidRPr="00305460">
              <w:rPr>
                <w:bCs/>
                <w:sz w:val="12"/>
                <w:szCs w:val="12"/>
              </w:rPr>
              <w:t>10</w:t>
            </w:r>
          </w:p>
        </w:tc>
        <w:tc>
          <w:tcPr>
            <w:tcW w:w="239" w:type="pct"/>
            <w:gridSpan w:val="3"/>
            <w:shd w:val="clear" w:color="auto" w:fill="auto"/>
            <w:tcMar>
              <w:left w:w="17" w:type="dxa"/>
              <w:right w:w="17" w:type="dxa"/>
            </w:tcMar>
            <w:vAlign w:val="center"/>
          </w:tcPr>
          <w:p w14:paraId="209D38CD" w14:textId="77777777" w:rsidR="001C56BD" w:rsidRPr="00305460" w:rsidRDefault="001C56BD" w:rsidP="008A5C11">
            <w:pPr>
              <w:jc w:val="center"/>
              <w:rPr>
                <w:bCs/>
                <w:sz w:val="12"/>
                <w:szCs w:val="12"/>
              </w:rPr>
            </w:pPr>
            <w:r w:rsidRPr="00305460">
              <w:rPr>
                <w:bCs/>
                <w:sz w:val="12"/>
                <w:szCs w:val="12"/>
              </w:rPr>
              <w:t>11</w:t>
            </w:r>
          </w:p>
        </w:tc>
        <w:tc>
          <w:tcPr>
            <w:tcW w:w="196" w:type="pct"/>
            <w:gridSpan w:val="3"/>
            <w:shd w:val="clear" w:color="auto" w:fill="auto"/>
            <w:tcMar>
              <w:left w:w="17" w:type="dxa"/>
              <w:right w:w="17" w:type="dxa"/>
            </w:tcMar>
            <w:vAlign w:val="center"/>
          </w:tcPr>
          <w:p w14:paraId="4A98E524" w14:textId="77777777" w:rsidR="001C56BD" w:rsidRPr="00305460" w:rsidRDefault="001C56BD" w:rsidP="008A5C11">
            <w:pPr>
              <w:jc w:val="center"/>
              <w:rPr>
                <w:bCs/>
                <w:sz w:val="12"/>
                <w:szCs w:val="12"/>
              </w:rPr>
            </w:pPr>
            <w:r w:rsidRPr="00305460">
              <w:rPr>
                <w:bCs/>
                <w:sz w:val="12"/>
                <w:szCs w:val="12"/>
              </w:rPr>
              <w:t>12</w:t>
            </w:r>
          </w:p>
        </w:tc>
        <w:tc>
          <w:tcPr>
            <w:tcW w:w="216" w:type="pct"/>
            <w:gridSpan w:val="3"/>
            <w:shd w:val="clear" w:color="auto" w:fill="auto"/>
            <w:tcMar>
              <w:left w:w="17" w:type="dxa"/>
              <w:right w:w="17" w:type="dxa"/>
            </w:tcMar>
            <w:vAlign w:val="center"/>
          </w:tcPr>
          <w:p w14:paraId="669B79A8" w14:textId="77777777" w:rsidR="001C56BD" w:rsidRPr="00305460" w:rsidRDefault="001C56BD" w:rsidP="008A5C11">
            <w:pPr>
              <w:jc w:val="center"/>
              <w:rPr>
                <w:bCs/>
                <w:sz w:val="12"/>
                <w:szCs w:val="12"/>
              </w:rPr>
            </w:pPr>
            <w:r w:rsidRPr="00305460">
              <w:rPr>
                <w:bCs/>
                <w:sz w:val="12"/>
                <w:szCs w:val="12"/>
              </w:rPr>
              <w:t>13</w:t>
            </w:r>
          </w:p>
        </w:tc>
        <w:tc>
          <w:tcPr>
            <w:tcW w:w="179" w:type="pct"/>
            <w:gridSpan w:val="2"/>
            <w:shd w:val="clear" w:color="auto" w:fill="auto"/>
            <w:tcMar>
              <w:left w:w="17" w:type="dxa"/>
              <w:right w:w="17" w:type="dxa"/>
            </w:tcMar>
            <w:vAlign w:val="center"/>
          </w:tcPr>
          <w:p w14:paraId="75970B3A" w14:textId="77777777" w:rsidR="001C56BD" w:rsidRPr="00305460" w:rsidRDefault="001C56BD" w:rsidP="008A5C11">
            <w:pPr>
              <w:jc w:val="center"/>
              <w:rPr>
                <w:bCs/>
                <w:sz w:val="12"/>
                <w:szCs w:val="12"/>
              </w:rPr>
            </w:pPr>
            <w:r w:rsidRPr="00305460">
              <w:rPr>
                <w:bCs/>
                <w:sz w:val="12"/>
                <w:szCs w:val="12"/>
              </w:rPr>
              <w:t>14</w:t>
            </w:r>
          </w:p>
        </w:tc>
        <w:tc>
          <w:tcPr>
            <w:tcW w:w="222" w:type="pct"/>
            <w:gridSpan w:val="2"/>
            <w:shd w:val="clear" w:color="auto" w:fill="auto"/>
            <w:tcMar>
              <w:left w:w="17" w:type="dxa"/>
              <w:right w:w="17" w:type="dxa"/>
            </w:tcMar>
            <w:vAlign w:val="center"/>
          </w:tcPr>
          <w:p w14:paraId="3E96B12C" w14:textId="77777777" w:rsidR="001C56BD" w:rsidRPr="00305460" w:rsidRDefault="001C56BD" w:rsidP="008A5C11">
            <w:pPr>
              <w:jc w:val="center"/>
              <w:rPr>
                <w:bCs/>
                <w:sz w:val="12"/>
                <w:szCs w:val="12"/>
              </w:rPr>
            </w:pPr>
            <w:r w:rsidRPr="00305460">
              <w:rPr>
                <w:bCs/>
                <w:sz w:val="12"/>
                <w:szCs w:val="12"/>
              </w:rPr>
              <w:t>15</w:t>
            </w:r>
          </w:p>
        </w:tc>
        <w:tc>
          <w:tcPr>
            <w:tcW w:w="213" w:type="pct"/>
            <w:tcMar>
              <w:left w:w="17" w:type="dxa"/>
              <w:right w:w="17" w:type="dxa"/>
            </w:tcMar>
            <w:vAlign w:val="center"/>
          </w:tcPr>
          <w:p w14:paraId="3617BDA0" w14:textId="77777777" w:rsidR="001C56BD" w:rsidRPr="00305460" w:rsidRDefault="001C56BD" w:rsidP="008A5C11">
            <w:pPr>
              <w:jc w:val="center"/>
              <w:rPr>
                <w:bCs/>
                <w:sz w:val="12"/>
                <w:szCs w:val="12"/>
              </w:rPr>
            </w:pPr>
            <w:r w:rsidRPr="00305460">
              <w:rPr>
                <w:bCs/>
                <w:sz w:val="12"/>
                <w:szCs w:val="12"/>
              </w:rPr>
              <w:t>16</w:t>
            </w:r>
          </w:p>
        </w:tc>
        <w:tc>
          <w:tcPr>
            <w:tcW w:w="218" w:type="pct"/>
            <w:tcMar>
              <w:left w:w="17" w:type="dxa"/>
              <w:right w:w="17" w:type="dxa"/>
            </w:tcMar>
            <w:vAlign w:val="center"/>
          </w:tcPr>
          <w:p w14:paraId="47D27865" w14:textId="77777777" w:rsidR="001C56BD" w:rsidRPr="00305460" w:rsidRDefault="001C56BD" w:rsidP="008A5C11">
            <w:pPr>
              <w:jc w:val="center"/>
              <w:rPr>
                <w:bCs/>
                <w:sz w:val="12"/>
                <w:szCs w:val="12"/>
              </w:rPr>
            </w:pPr>
            <w:r w:rsidRPr="00305460">
              <w:rPr>
                <w:bCs/>
                <w:sz w:val="12"/>
                <w:szCs w:val="12"/>
              </w:rPr>
              <w:t>17</w:t>
            </w:r>
          </w:p>
        </w:tc>
        <w:tc>
          <w:tcPr>
            <w:tcW w:w="218" w:type="pct"/>
            <w:tcMar>
              <w:left w:w="17" w:type="dxa"/>
              <w:right w:w="17" w:type="dxa"/>
            </w:tcMar>
            <w:vAlign w:val="center"/>
          </w:tcPr>
          <w:p w14:paraId="7061894A" w14:textId="77777777" w:rsidR="001C56BD" w:rsidRPr="00305460" w:rsidRDefault="001C56BD" w:rsidP="008A5C11">
            <w:pPr>
              <w:jc w:val="center"/>
              <w:rPr>
                <w:bCs/>
                <w:sz w:val="12"/>
                <w:szCs w:val="12"/>
              </w:rPr>
            </w:pPr>
            <w:r w:rsidRPr="00305460">
              <w:rPr>
                <w:bCs/>
                <w:sz w:val="12"/>
                <w:szCs w:val="12"/>
              </w:rPr>
              <w:t>18</w:t>
            </w:r>
          </w:p>
        </w:tc>
        <w:tc>
          <w:tcPr>
            <w:tcW w:w="218" w:type="pct"/>
            <w:tcMar>
              <w:left w:w="17" w:type="dxa"/>
              <w:right w:w="17" w:type="dxa"/>
            </w:tcMar>
            <w:vAlign w:val="center"/>
          </w:tcPr>
          <w:p w14:paraId="68DCCA7A" w14:textId="77777777" w:rsidR="001C56BD" w:rsidRPr="00305460" w:rsidRDefault="001C56BD" w:rsidP="008A5C11">
            <w:pPr>
              <w:jc w:val="center"/>
              <w:rPr>
                <w:bCs/>
                <w:sz w:val="12"/>
                <w:szCs w:val="12"/>
              </w:rPr>
            </w:pPr>
            <w:r w:rsidRPr="00305460">
              <w:rPr>
                <w:bCs/>
                <w:sz w:val="12"/>
                <w:szCs w:val="12"/>
              </w:rPr>
              <w:t>19</w:t>
            </w:r>
          </w:p>
        </w:tc>
        <w:tc>
          <w:tcPr>
            <w:tcW w:w="218" w:type="pct"/>
            <w:gridSpan w:val="2"/>
            <w:tcMar>
              <w:left w:w="17" w:type="dxa"/>
              <w:right w:w="17" w:type="dxa"/>
            </w:tcMar>
            <w:vAlign w:val="center"/>
          </w:tcPr>
          <w:p w14:paraId="7950880D" w14:textId="77777777" w:rsidR="001C56BD" w:rsidRPr="00305460" w:rsidRDefault="001C56BD" w:rsidP="008A5C11">
            <w:pPr>
              <w:jc w:val="center"/>
              <w:rPr>
                <w:bCs/>
                <w:sz w:val="12"/>
                <w:szCs w:val="12"/>
              </w:rPr>
            </w:pPr>
            <w:r w:rsidRPr="00305460">
              <w:rPr>
                <w:bCs/>
                <w:sz w:val="12"/>
                <w:szCs w:val="12"/>
              </w:rPr>
              <w:t>20</w:t>
            </w:r>
          </w:p>
        </w:tc>
        <w:tc>
          <w:tcPr>
            <w:tcW w:w="172" w:type="pct"/>
            <w:gridSpan w:val="2"/>
            <w:tcMar>
              <w:left w:w="17" w:type="dxa"/>
              <w:right w:w="17" w:type="dxa"/>
            </w:tcMar>
            <w:vAlign w:val="center"/>
          </w:tcPr>
          <w:p w14:paraId="218063D8" w14:textId="77777777" w:rsidR="001C56BD" w:rsidRPr="00305460" w:rsidRDefault="001C56BD" w:rsidP="008A5C11">
            <w:pPr>
              <w:jc w:val="center"/>
              <w:rPr>
                <w:bCs/>
                <w:sz w:val="12"/>
                <w:szCs w:val="12"/>
              </w:rPr>
            </w:pPr>
            <w:r w:rsidRPr="00305460">
              <w:rPr>
                <w:bCs/>
                <w:sz w:val="12"/>
                <w:szCs w:val="12"/>
              </w:rPr>
              <w:t>21</w:t>
            </w:r>
          </w:p>
        </w:tc>
        <w:tc>
          <w:tcPr>
            <w:tcW w:w="219" w:type="pct"/>
            <w:tcMar>
              <w:left w:w="17" w:type="dxa"/>
              <w:right w:w="17" w:type="dxa"/>
            </w:tcMar>
            <w:vAlign w:val="center"/>
          </w:tcPr>
          <w:p w14:paraId="55831887" w14:textId="77777777" w:rsidR="001C56BD" w:rsidRPr="00305460" w:rsidRDefault="001C56BD" w:rsidP="008A5C11">
            <w:pPr>
              <w:jc w:val="center"/>
              <w:rPr>
                <w:bCs/>
                <w:sz w:val="12"/>
                <w:szCs w:val="12"/>
              </w:rPr>
            </w:pPr>
            <w:r w:rsidRPr="00305460">
              <w:rPr>
                <w:bCs/>
                <w:sz w:val="12"/>
                <w:szCs w:val="12"/>
              </w:rPr>
              <w:t>22</w:t>
            </w:r>
          </w:p>
        </w:tc>
        <w:tc>
          <w:tcPr>
            <w:tcW w:w="174" w:type="pct"/>
            <w:tcMar>
              <w:left w:w="17" w:type="dxa"/>
              <w:right w:w="17" w:type="dxa"/>
            </w:tcMar>
            <w:vAlign w:val="center"/>
          </w:tcPr>
          <w:p w14:paraId="2150E2B0" w14:textId="77777777" w:rsidR="001C56BD" w:rsidRPr="00305460" w:rsidRDefault="001C56BD" w:rsidP="008A5C11">
            <w:pPr>
              <w:jc w:val="center"/>
              <w:rPr>
                <w:bCs/>
                <w:sz w:val="12"/>
                <w:szCs w:val="12"/>
              </w:rPr>
            </w:pPr>
            <w:r w:rsidRPr="00305460">
              <w:rPr>
                <w:bCs/>
                <w:sz w:val="12"/>
                <w:szCs w:val="12"/>
              </w:rPr>
              <w:t>23</w:t>
            </w:r>
          </w:p>
        </w:tc>
        <w:tc>
          <w:tcPr>
            <w:tcW w:w="176" w:type="pct"/>
            <w:tcMar>
              <w:left w:w="17" w:type="dxa"/>
              <w:right w:w="17" w:type="dxa"/>
            </w:tcMar>
            <w:vAlign w:val="center"/>
          </w:tcPr>
          <w:p w14:paraId="37154624" w14:textId="77777777" w:rsidR="001C56BD" w:rsidRPr="00305460" w:rsidRDefault="001C56BD" w:rsidP="008A5C11">
            <w:pPr>
              <w:jc w:val="center"/>
              <w:rPr>
                <w:bCs/>
                <w:sz w:val="12"/>
                <w:szCs w:val="12"/>
              </w:rPr>
            </w:pPr>
            <w:r w:rsidRPr="00305460">
              <w:rPr>
                <w:bCs/>
                <w:sz w:val="12"/>
                <w:szCs w:val="12"/>
              </w:rPr>
              <w:t>24</w:t>
            </w:r>
          </w:p>
        </w:tc>
      </w:tr>
      <w:tr w:rsidR="001C56BD" w:rsidRPr="00305460" w14:paraId="656B8513" w14:textId="77777777" w:rsidTr="008A5C11">
        <w:trPr>
          <w:trHeight w:val="897"/>
        </w:trPr>
        <w:tc>
          <w:tcPr>
            <w:tcW w:w="86" w:type="pct"/>
            <w:shd w:val="clear" w:color="auto" w:fill="auto"/>
            <w:tcMar>
              <w:left w:w="17" w:type="dxa"/>
              <w:right w:w="17" w:type="dxa"/>
            </w:tcMar>
            <w:vAlign w:val="center"/>
          </w:tcPr>
          <w:p w14:paraId="52D6F705" w14:textId="77777777" w:rsidR="001C56BD" w:rsidRPr="00305460" w:rsidRDefault="001C56BD" w:rsidP="008A5C11">
            <w:pPr>
              <w:jc w:val="center"/>
              <w:rPr>
                <w:sz w:val="12"/>
                <w:szCs w:val="12"/>
              </w:rPr>
            </w:pPr>
            <w:r w:rsidRPr="00305460">
              <w:rPr>
                <w:sz w:val="12"/>
                <w:szCs w:val="12"/>
              </w:rPr>
              <w:t>3.1.47.</w:t>
            </w:r>
          </w:p>
        </w:tc>
        <w:tc>
          <w:tcPr>
            <w:tcW w:w="295" w:type="pct"/>
            <w:shd w:val="clear" w:color="auto" w:fill="auto"/>
            <w:tcMar>
              <w:left w:w="17" w:type="dxa"/>
              <w:right w:w="17" w:type="dxa"/>
            </w:tcMar>
            <w:vAlign w:val="center"/>
          </w:tcPr>
          <w:p w14:paraId="1BCF5196" w14:textId="77777777" w:rsidR="001C56BD" w:rsidRPr="00305460" w:rsidRDefault="001C56BD" w:rsidP="008A5C11">
            <w:pPr>
              <w:rPr>
                <w:sz w:val="12"/>
                <w:szCs w:val="12"/>
              </w:rPr>
            </w:pPr>
            <w:r w:rsidRPr="00305460">
              <w:rPr>
                <w:color w:val="000000"/>
                <w:sz w:val="12"/>
                <w:szCs w:val="12"/>
              </w:rPr>
              <w:t>Реконструкция тепловой сети с реестровым номером</w:t>
            </w:r>
            <w:r w:rsidRPr="00305460">
              <w:rPr>
                <w:sz w:val="12"/>
                <w:szCs w:val="12"/>
              </w:rPr>
              <w:t xml:space="preserve"> 772462</w:t>
            </w:r>
          </w:p>
        </w:tc>
        <w:tc>
          <w:tcPr>
            <w:tcW w:w="307" w:type="pct"/>
            <w:shd w:val="clear" w:color="000000" w:fill="FFFFFF"/>
            <w:tcMar>
              <w:left w:w="17" w:type="dxa"/>
              <w:right w:w="17" w:type="dxa"/>
            </w:tcMar>
            <w:vAlign w:val="center"/>
          </w:tcPr>
          <w:p w14:paraId="7B79A801" w14:textId="77777777" w:rsidR="001C56BD" w:rsidRPr="00305460" w:rsidRDefault="001C56BD" w:rsidP="008A5C11">
            <w:pPr>
              <w:jc w:val="center"/>
              <w:rPr>
                <w:sz w:val="12"/>
                <w:szCs w:val="12"/>
              </w:rPr>
            </w:pPr>
            <w:r w:rsidRPr="00305460">
              <w:rPr>
                <w:color w:val="000000"/>
                <w:sz w:val="12"/>
                <w:szCs w:val="12"/>
              </w:rPr>
              <w:t>Повышение надежности услуг теплоснабжения, повышение энергетической эффективности</w:t>
            </w:r>
          </w:p>
        </w:tc>
        <w:tc>
          <w:tcPr>
            <w:tcW w:w="280" w:type="pct"/>
            <w:shd w:val="clear" w:color="auto" w:fill="auto"/>
            <w:tcMar>
              <w:left w:w="17" w:type="dxa"/>
              <w:right w:w="17" w:type="dxa"/>
            </w:tcMar>
            <w:vAlign w:val="center"/>
          </w:tcPr>
          <w:p w14:paraId="052F1744" w14:textId="77777777" w:rsidR="001C56BD" w:rsidRPr="00305460" w:rsidRDefault="001C56BD" w:rsidP="008A5C11">
            <w:pPr>
              <w:jc w:val="center"/>
              <w:rPr>
                <w:sz w:val="12"/>
                <w:szCs w:val="12"/>
              </w:rPr>
            </w:pPr>
            <w:r w:rsidRPr="00305460">
              <w:rPr>
                <w:sz w:val="12"/>
                <w:szCs w:val="12"/>
              </w:rPr>
              <w:t>Кемеровский городской округ, Центральный район, Квартал 1</w:t>
            </w:r>
          </w:p>
        </w:tc>
        <w:tc>
          <w:tcPr>
            <w:tcW w:w="289" w:type="pct"/>
            <w:shd w:val="clear" w:color="auto" w:fill="auto"/>
            <w:tcMar>
              <w:left w:w="17" w:type="dxa"/>
              <w:right w:w="17" w:type="dxa"/>
            </w:tcMar>
            <w:vAlign w:val="center"/>
          </w:tcPr>
          <w:p w14:paraId="7A9C4A91" w14:textId="77777777" w:rsidR="001C56BD" w:rsidRPr="00305460" w:rsidRDefault="001C56BD" w:rsidP="008A5C11">
            <w:pPr>
              <w:jc w:val="center"/>
              <w:rPr>
                <w:sz w:val="12"/>
                <w:szCs w:val="12"/>
              </w:rPr>
            </w:pPr>
            <w:r w:rsidRPr="00305460">
              <w:rPr>
                <w:color w:val="000000"/>
                <w:sz w:val="12"/>
                <w:szCs w:val="12"/>
              </w:rPr>
              <w:t>Технические характеристики</w:t>
            </w:r>
          </w:p>
        </w:tc>
        <w:tc>
          <w:tcPr>
            <w:tcW w:w="137" w:type="pct"/>
            <w:shd w:val="clear" w:color="auto" w:fill="auto"/>
            <w:tcMar>
              <w:left w:w="17" w:type="dxa"/>
              <w:right w:w="17" w:type="dxa"/>
            </w:tcMar>
            <w:vAlign w:val="center"/>
          </w:tcPr>
          <w:p w14:paraId="58E585B9" w14:textId="77777777" w:rsidR="001C56BD" w:rsidRPr="00305460" w:rsidRDefault="001C56BD" w:rsidP="008A5C11">
            <w:pPr>
              <w:jc w:val="center"/>
              <w:rPr>
                <w:color w:val="000000"/>
                <w:sz w:val="12"/>
                <w:szCs w:val="12"/>
              </w:rPr>
            </w:pPr>
          </w:p>
        </w:tc>
        <w:tc>
          <w:tcPr>
            <w:tcW w:w="202" w:type="pct"/>
            <w:shd w:val="clear" w:color="auto" w:fill="auto"/>
            <w:tcMar>
              <w:left w:w="17" w:type="dxa"/>
              <w:right w:w="17" w:type="dxa"/>
            </w:tcMar>
            <w:vAlign w:val="center"/>
          </w:tcPr>
          <w:p w14:paraId="7847FD85" w14:textId="77777777" w:rsidR="001C56BD" w:rsidRPr="00305460" w:rsidRDefault="001C56BD" w:rsidP="008A5C11">
            <w:pPr>
              <w:jc w:val="center"/>
              <w:rPr>
                <w:sz w:val="12"/>
                <w:szCs w:val="12"/>
              </w:rPr>
            </w:pPr>
            <w:r w:rsidRPr="00305460">
              <w:rPr>
                <w:sz w:val="12"/>
                <w:szCs w:val="12"/>
              </w:rPr>
              <w:t>Канал-кирпич (непроходной канал),</w:t>
            </w:r>
            <w:r w:rsidRPr="00305460">
              <w:rPr>
                <w:sz w:val="12"/>
                <w:szCs w:val="12"/>
              </w:rPr>
              <w:br/>
              <w:t xml:space="preserve">опоры приварные, запорная арматура-стальная клиновая, антикоррозийная защита-лак БТ, труба-сталь 20, изоляция-мин. маты.       </w:t>
            </w:r>
          </w:p>
        </w:tc>
        <w:tc>
          <w:tcPr>
            <w:tcW w:w="244" w:type="pct"/>
            <w:shd w:val="clear" w:color="auto" w:fill="auto"/>
            <w:tcMar>
              <w:left w:w="17" w:type="dxa"/>
              <w:right w:w="17" w:type="dxa"/>
            </w:tcMar>
            <w:vAlign w:val="center"/>
          </w:tcPr>
          <w:p w14:paraId="7CD5C60F" w14:textId="77777777" w:rsidR="001C56BD" w:rsidRPr="00305460" w:rsidRDefault="001C56BD" w:rsidP="008A5C11">
            <w:pPr>
              <w:jc w:val="center"/>
              <w:rPr>
                <w:sz w:val="12"/>
                <w:szCs w:val="12"/>
              </w:rPr>
            </w:pPr>
            <w:r w:rsidRPr="00305460">
              <w:rPr>
                <w:sz w:val="12"/>
                <w:szCs w:val="12"/>
              </w:rPr>
              <w:t xml:space="preserve">Канал-ж/б лотки, опоры-хомутовые с диэлектрической прокладкой, запорная арматура - кран шаровый, антикоррозийная защита-мастика Вектор 1214, 1025, труба-сталь 09Г2С, изоляция - маты прошивные, </w:t>
            </w:r>
            <w:proofErr w:type="gramStart"/>
            <w:r w:rsidRPr="00305460">
              <w:rPr>
                <w:sz w:val="12"/>
                <w:szCs w:val="12"/>
              </w:rPr>
              <w:t>стеклоплас-тик</w:t>
            </w:r>
            <w:proofErr w:type="gramEnd"/>
            <w:r w:rsidRPr="00305460">
              <w:rPr>
                <w:sz w:val="12"/>
                <w:szCs w:val="12"/>
              </w:rPr>
              <w:t xml:space="preserve">  </w:t>
            </w:r>
          </w:p>
        </w:tc>
        <w:tc>
          <w:tcPr>
            <w:tcW w:w="140" w:type="pct"/>
            <w:shd w:val="clear" w:color="auto" w:fill="auto"/>
            <w:tcMar>
              <w:left w:w="17" w:type="dxa"/>
              <w:right w:w="17" w:type="dxa"/>
            </w:tcMar>
            <w:vAlign w:val="center"/>
          </w:tcPr>
          <w:p w14:paraId="301C1946" w14:textId="77777777" w:rsidR="001C56BD" w:rsidRPr="00305460" w:rsidRDefault="001C56BD" w:rsidP="008A5C11">
            <w:pPr>
              <w:jc w:val="center"/>
              <w:rPr>
                <w:sz w:val="12"/>
                <w:szCs w:val="12"/>
              </w:rPr>
            </w:pPr>
            <w:r w:rsidRPr="00305460">
              <w:rPr>
                <w:sz w:val="12"/>
                <w:szCs w:val="12"/>
              </w:rPr>
              <w:t>2031</w:t>
            </w:r>
          </w:p>
        </w:tc>
        <w:tc>
          <w:tcPr>
            <w:tcW w:w="140" w:type="pct"/>
            <w:shd w:val="clear" w:color="auto" w:fill="auto"/>
            <w:tcMar>
              <w:left w:w="17" w:type="dxa"/>
              <w:right w:w="17" w:type="dxa"/>
            </w:tcMar>
            <w:vAlign w:val="center"/>
          </w:tcPr>
          <w:p w14:paraId="41025497" w14:textId="77777777" w:rsidR="001C56BD" w:rsidRPr="00305460" w:rsidRDefault="001C56BD" w:rsidP="008A5C11">
            <w:pPr>
              <w:jc w:val="center"/>
              <w:rPr>
                <w:sz w:val="12"/>
                <w:szCs w:val="12"/>
              </w:rPr>
            </w:pPr>
            <w:r w:rsidRPr="00305460">
              <w:rPr>
                <w:sz w:val="12"/>
                <w:szCs w:val="12"/>
              </w:rPr>
              <w:t>2031</w:t>
            </w:r>
          </w:p>
        </w:tc>
        <w:tc>
          <w:tcPr>
            <w:tcW w:w="239" w:type="pct"/>
            <w:gridSpan w:val="3"/>
            <w:shd w:val="clear" w:color="auto" w:fill="auto"/>
            <w:tcMar>
              <w:left w:w="17" w:type="dxa"/>
              <w:right w:w="17" w:type="dxa"/>
            </w:tcMar>
            <w:vAlign w:val="center"/>
          </w:tcPr>
          <w:p w14:paraId="11740D9C" w14:textId="77777777" w:rsidR="001C56BD" w:rsidRPr="00305460" w:rsidRDefault="001C56BD" w:rsidP="008A5C11">
            <w:pPr>
              <w:jc w:val="center"/>
              <w:rPr>
                <w:sz w:val="12"/>
                <w:szCs w:val="12"/>
              </w:rPr>
            </w:pPr>
            <w:r w:rsidRPr="00305460">
              <w:rPr>
                <w:sz w:val="12"/>
                <w:szCs w:val="12"/>
              </w:rPr>
              <w:t>7843,368</w:t>
            </w:r>
          </w:p>
        </w:tc>
        <w:tc>
          <w:tcPr>
            <w:tcW w:w="196" w:type="pct"/>
            <w:gridSpan w:val="3"/>
            <w:shd w:val="clear" w:color="auto" w:fill="auto"/>
            <w:tcMar>
              <w:left w:w="17" w:type="dxa"/>
              <w:right w:w="17" w:type="dxa"/>
            </w:tcMar>
            <w:vAlign w:val="center"/>
          </w:tcPr>
          <w:p w14:paraId="2C3ACA9A" w14:textId="77777777" w:rsidR="001C56BD" w:rsidRPr="00305460" w:rsidRDefault="001C56BD" w:rsidP="008A5C11">
            <w:pPr>
              <w:jc w:val="center"/>
              <w:rPr>
                <w:sz w:val="12"/>
                <w:szCs w:val="12"/>
              </w:rPr>
            </w:pPr>
            <w:r w:rsidRPr="00305460">
              <w:rPr>
                <w:sz w:val="12"/>
                <w:szCs w:val="12"/>
              </w:rPr>
              <w:t>0,000</w:t>
            </w:r>
          </w:p>
        </w:tc>
        <w:tc>
          <w:tcPr>
            <w:tcW w:w="216" w:type="pct"/>
            <w:gridSpan w:val="3"/>
            <w:shd w:val="clear" w:color="auto" w:fill="auto"/>
            <w:tcMar>
              <w:left w:w="17" w:type="dxa"/>
              <w:right w:w="17" w:type="dxa"/>
            </w:tcMar>
            <w:vAlign w:val="center"/>
          </w:tcPr>
          <w:p w14:paraId="667B40DF" w14:textId="77777777" w:rsidR="001C56BD" w:rsidRPr="00305460" w:rsidRDefault="001C56BD" w:rsidP="008A5C11">
            <w:pPr>
              <w:jc w:val="center"/>
              <w:rPr>
                <w:sz w:val="12"/>
                <w:szCs w:val="12"/>
              </w:rPr>
            </w:pPr>
            <w:r w:rsidRPr="00305460">
              <w:rPr>
                <w:sz w:val="12"/>
                <w:szCs w:val="12"/>
              </w:rPr>
              <w:t>0,000</w:t>
            </w:r>
          </w:p>
        </w:tc>
        <w:tc>
          <w:tcPr>
            <w:tcW w:w="179" w:type="pct"/>
            <w:gridSpan w:val="2"/>
            <w:shd w:val="clear" w:color="auto" w:fill="auto"/>
            <w:tcMar>
              <w:left w:w="17" w:type="dxa"/>
              <w:right w:w="17" w:type="dxa"/>
            </w:tcMar>
            <w:vAlign w:val="center"/>
          </w:tcPr>
          <w:p w14:paraId="21749D6E" w14:textId="77777777" w:rsidR="001C56BD" w:rsidRPr="00305460" w:rsidRDefault="001C56BD" w:rsidP="008A5C11">
            <w:pPr>
              <w:jc w:val="center"/>
              <w:rPr>
                <w:sz w:val="12"/>
                <w:szCs w:val="12"/>
              </w:rPr>
            </w:pPr>
            <w:r w:rsidRPr="00305460">
              <w:rPr>
                <w:sz w:val="12"/>
                <w:szCs w:val="12"/>
              </w:rPr>
              <w:t>0,000</w:t>
            </w:r>
          </w:p>
        </w:tc>
        <w:tc>
          <w:tcPr>
            <w:tcW w:w="222" w:type="pct"/>
            <w:gridSpan w:val="2"/>
            <w:shd w:val="clear" w:color="auto" w:fill="auto"/>
            <w:tcMar>
              <w:left w:w="17" w:type="dxa"/>
              <w:right w:w="17" w:type="dxa"/>
            </w:tcMar>
            <w:vAlign w:val="center"/>
          </w:tcPr>
          <w:p w14:paraId="11C84674" w14:textId="77777777" w:rsidR="001C56BD" w:rsidRPr="00305460" w:rsidRDefault="001C56BD" w:rsidP="008A5C11">
            <w:pPr>
              <w:jc w:val="center"/>
              <w:rPr>
                <w:sz w:val="12"/>
                <w:szCs w:val="12"/>
              </w:rPr>
            </w:pPr>
            <w:r w:rsidRPr="00305460">
              <w:rPr>
                <w:sz w:val="12"/>
                <w:szCs w:val="12"/>
              </w:rPr>
              <w:t>0,000</w:t>
            </w:r>
          </w:p>
        </w:tc>
        <w:tc>
          <w:tcPr>
            <w:tcW w:w="213" w:type="pct"/>
            <w:shd w:val="clear" w:color="auto" w:fill="auto"/>
            <w:tcMar>
              <w:left w:w="17" w:type="dxa"/>
              <w:right w:w="17" w:type="dxa"/>
            </w:tcMar>
            <w:vAlign w:val="center"/>
          </w:tcPr>
          <w:p w14:paraId="4B437A2D"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76B2E65D"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483C6BB4"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50FCC436" w14:textId="77777777" w:rsidR="001C56BD" w:rsidRPr="00305460" w:rsidRDefault="001C56BD" w:rsidP="008A5C11">
            <w:pPr>
              <w:jc w:val="center"/>
              <w:rPr>
                <w:sz w:val="12"/>
                <w:szCs w:val="12"/>
              </w:rPr>
            </w:pPr>
            <w:r w:rsidRPr="00305460">
              <w:rPr>
                <w:sz w:val="12"/>
                <w:szCs w:val="12"/>
              </w:rPr>
              <w:t>0,000</w:t>
            </w:r>
          </w:p>
        </w:tc>
        <w:tc>
          <w:tcPr>
            <w:tcW w:w="218" w:type="pct"/>
            <w:gridSpan w:val="2"/>
            <w:shd w:val="clear" w:color="auto" w:fill="auto"/>
            <w:tcMar>
              <w:left w:w="17" w:type="dxa"/>
              <w:right w:w="17" w:type="dxa"/>
            </w:tcMar>
            <w:vAlign w:val="center"/>
          </w:tcPr>
          <w:p w14:paraId="0C003412" w14:textId="77777777" w:rsidR="001C56BD" w:rsidRPr="00305460" w:rsidRDefault="001C56BD" w:rsidP="008A5C11">
            <w:pPr>
              <w:jc w:val="center"/>
              <w:rPr>
                <w:sz w:val="12"/>
                <w:szCs w:val="12"/>
              </w:rPr>
            </w:pPr>
            <w:r w:rsidRPr="00305460">
              <w:rPr>
                <w:sz w:val="12"/>
                <w:szCs w:val="12"/>
              </w:rPr>
              <w:t>0,000</w:t>
            </w:r>
          </w:p>
        </w:tc>
        <w:tc>
          <w:tcPr>
            <w:tcW w:w="172" w:type="pct"/>
            <w:gridSpan w:val="2"/>
            <w:shd w:val="clear" w:color="auto" w:fill="auto"/>
            <w:tcMar>
              <w:left w:w="17" w:type="dxa"/>
              <w:right w:w="17" w:type="dxa"/>
            </w:tcMar>
            <w:vAlign w:val="center"/>
          </w:tcPr>
          <w:p w14:paraId="7EDA51F4" w14:textId="77777777" w:rsidR="001C56BD" w:rsidRPr="00305460" w:rsidRDefault="001C56BD" w:rsidP="008A5C11">
            <w:pPr>
              <w:jc w:val="center"/>
              <w:rPr>
                <w:sz w:val="12"/>
                <w:szCs w:val="12"/>
              </w:rPr>
            </w:pPr>
            <w:r w:rsidRPr="00305460">
              <w:rPr>
                <w:sz w:val="12"/>
                <w:szCs w:val="12"/>
              </w:rPr>
              <w:t>0,000</w:t>
            </w:r>
          </w:p>
        </w:tc>
        <w:tc>
          <w:tcPr>
            <w:tcW w:w="219" w:type="pct"/>
            <w:shd w:val="clear" w:color="auto" w:fill="auto"/>
            <w:tcMar>
              <w:left w:w="17" w:type="dxa"/>
              <w:right w:w="17" w:type="dxa"/>
            </w:tcMar>
            <w:vAlign w:val="center"/>
          </w:tcPr>
          <w:p w14:paraId="1886FF6B" w14:textId="77777777" w:rsidR="001C56BD" w:rsidRPr="00305460" w:rsidRDefault="001C56BD" w:rsidP="008A5C11">
            <w:pPr>
              <w:jc w:val="center"/>
              <w:rPr>
                <w:sz w:val="12"/>
                <w:szCs w:val="12"/>
              </w:rPr>
            </w:pPr>
            <w:r w:rsidRPr="00305460">
              <w:rPr>
                <w:sz w:val="12"/>
                <w:szCs w:val="12"/>
              </w:rPr>
              <w:t>7843,368</w:t>
            </w:r>
          </w:p>
        </w:tc>
        <w:tc>
          <w:tcPr>
            <w:tcW w:w="174" w:type="pct"/>
            <w:shd w:val="clear" w:color="auto" w:fill="auto"/>
            <w:tcMar>
              <w:left w:w="17" w:type="dxa"/>
              <w:right w:w="17" w:type="dxa"/>
            </w:tcMar>
            <w:vAlign w:val="center"/>
          </w:tcPr>
          <w:p w14:paraId="0E01766E" w14:textId="77777777" w:rsidR="001C56BD" w:rsidRPr="00305460" w:rsidRDefault="001C56BD" w:rsidP="008A5C11">
            <w:pPr>
              <w:jc w:val="center"/>
              <w:rPr>
                <w:sz w:val="12"/>
                <w:szCs w:val="12"/>
              </w:rPr>
            </w:pPr>
            <w:r w:rsidRPr="00305460">
              <w:rPr>
                <w:sz w:val="12"/>
                <w:szCs w:val="12"/>
              </w:rPr>
              <w:t>0,000</w:t>
            </w:r>
          </w:p>
        </w:tc>
        <w:tc>
          <w:tcPr>
            <w:tcW w:w="176" w:type="pct"/>
            <w:shd w:val="clear" w:color="auto" w:fill="auto"/>
            <w:tcMar>
              <w:left w:w="17" w:type="dxa"/>
              <w:right w:w="17" w:type="dxa"/>
            </w:tcMar>
            <w:vAlign w:val="center"/>
          </w:tcPr>
          <w:p w14:paraId="6929032B" w14:textId="77777777" w:rsidR="001C56BD" w:rsidRPr="00305460" w:rsidRDefault="001C56BD" w:rsidP="008A5C11">
            <w:pPr>
              <w:jc w:val="center"/>
              <w:rPr>
                <w:sz w:val="12"/>
                <w:szCs w:val="12"/>
              </w:rPr>
            </w:pPr>
            <w:r w:rsidRPr="00305460">
              <w:rPr>
                <w:sz w:val="12"/>
                <w:szCs w:val="12"/>
              </w:rPr>
              <w:t>0,000</w:t>
            </w:r>
          </w:p>
        </w:tc>
      </w:tr>
      <w:tr w:rsidR="001C56BD" w:rsidRPr="00305460" w14:paraId="60A3A87D" w14:textId="77777777" w:rsidTr="008A5C11">
        <w:trPr>
          <w:trHeight w:val="897"/>
        </w:trPr>
        <w:tc>
          <w:tcPr>
            <w:tcW w:w="86" w:type="pct"/>
            <w:shd w:val="clear" w:color="auto" w:fill="auto"/>
            <w:tcMar>
              <w:left w:w="17" w:type="dxa"/>
              <w:right w:w="17" w:type="dxa"/>
            </w:tcMar>
            <w:vAlign w:val="center"/>
          </w:tcPr>
          <w:p w14:paraId="68DD1ECA" w14:textId="77777777" w:rsidR="001C56BD" w:rsidRPr="00305460" w:rsidRDefault="001C56BD" w:rsidP="008A5C11">
            <w:pPr>
              <w:jc w:val="center"/>
              <w:rPr>
                <w:sz w:val="12"/>
                <w:szCs w:val="12"/>
              </w:rPr>
            </w:pPr>
            <w:r w:rsidRPr="00305460">
              <w:rPr>
                <w:sz w:val="12"/>
                <w:szCs w:val="12"/>
              </w:rPr>
              <w:t>3.1.48.</w:t>
            </w:r>
          </w:p>
        </w:tc>
        <w:tc>
          <w:tcPr>
            <w:tcW w:w="295" w:type="pct"/>
            <w:shd w:val="clear" w:color="auto" w:fill="auto"/>
            <w:tcMar>
              <w:left w:w="17" w:type="dxa"/>
              <w:right w:w="17" w:type="dxa"/>
            </w:tcMar>
            <w:vAlign w:val="center"/>
          </w:tcPr>
          <w:p w14:paraId="05F31303" w14:textId="77777777" w:rsidR="001C56BD" w:rsidRPr="00305460" w:rsidRDefault="001C56BD" w:rsidP="008A5C11">
            <w:pPr>
              <w:rPr>
                <w:sz w:val="12"/>
                <w:szCs w:val="12"/>
              </w:rPr>
            </w:pPr>
            <w:r w:rsidRPr="00305460">
              <w:rPr>
                <w:color w:val="000000"/>
                <w:sz w:val="12"/>
                <w:szCs w:val="12"/>
              </w:rPr>
              <w:t>Реконструкция тепловой сети с реестровым номером</w:t>
            </w:r>
            <w:r w:rsidRPr="00305460">
              <w:rPr>
                <w:sz w:val="12"/>
                <w:szCs w:val="12"/>
              </w:rPr>
              <w:t xml:space="preserve"> 772701</w:t>
            </w:r>
          </w:p>
        </w:tc>
        <w:tc>
          <w:tcPr>
            <w:tcW w:w="307" w:type="pct"/>
            <w:shd w:val="clear" w:color="000000" w:fill="FFFFFF"/>
            <w:tcMar>
              <w:left w:w="17" w:type="dxa"/>
              <w:right w:w="17" w:type="dxa"/>
            </w:tcMar>
            <w:vAlign w:val="center"/>
          </w:tcPr>
          <w:p w14:paraId="592D1595" w14:textId="77777777" w:rsidR="001C56BD" w:rsidRPr="00305460" w:rsidRDefault="001C56BD" w:rsidP="008A5C11">
            <w:pPr>
              <w:jc w:val="center"/>
              <w:rPr>
                <w:sz w:val="12"/>
                <w:szCs w:val="12"/>
              </w:rPr>
            </w:pPr>
            <w:r w:rsidRPr="00305460">
              <w:rPr>
                <w:color w:val="000000"/>
                <w:sz w:val="12"/>
                <w:szCs w:val="12"/>
              </w:rPr>
              <w:t>Повышение надежности услуг теплоснабжения, повышение энергетической эффективности</w:t>
            </w:r>
          </w:p>
        </w:tc>
        <w:tc>
          <w:tcPr>
            <w:tcW w:w="280" w:type="pct"/>
            <w:shd w:val="clear" w:color="auto" w:fill="auto"/>
            <w:tcMar>
              <w:left w:w="17" w:type="dxa"/>
              <w:right w:w="17" w:type="dxa"/>
            </w:tcMar>
            <w:vAlign w:val="center"/>
          </w:tcPr>
          <w:p w14:paraId="31A1D783" w14:textId="77777777" w:rsidR="001C56BD" w:rsidRPr="00305460" w:rsidRDefault="001C56BD" w:rsidP="008A5C11">
            <w:pPr>
              <w:jc w:val="center"/>
              <w:rPr>
                <w:sz w:val="12"/>
                <w:szCs w:val="12"/>
              </w:rPr>
            </w:pPr>
            <w:r w:rsidRPr="00305460">
              <w:rPr>
                <w:sz w:val="12"/>
                <w:szCs w:val="12"/>
              </w:rPr>
              <w:t>Кемеровский городской округ, Центральный район, Квартал 14, 23м юго-западнее жилого дома №6 по ул. Васильева</w:t>
            </w:r>
          </w:p>
        </w:tc>
        <w:tc>
          <w:tcPr>
            <w:tcW w:w="289" w:type="pct"/>
            <w:shd w:val="clear" w:color="auto" w:fill="auto"/>
            <w:tcMar>
              <w:left w:w="17" w:type="dxa"/>
              <w:right w:w="17" w:type="dxa"/>
            </w:tcMar>
            <w:vAlign w:val="center"/>
          </w:tcPr>
          <w:p w14:paraId="28D58306" w14:textId="77777777" w:rsidR="001C56BD" w:rsidRPr="00305460" w:rsidRDefault="001C56BD" w:rsidP="008A5C11">
            <w:pPr>
              <w:jc w:val="center"/>
              <w:rPr>
                <w:sz w:val="12"/>
                <w:szCs w:val="12"/>
              </w:rPr>
            </w:pPr>
            <w:r w:rsidRPr="00305460">
              <w:rPr>
                <w:color w:val="000000"/>
                <w:sz w:val="12"/>
                <w:szCs w:val="12"/>
              </w:rPr>
              <w:t>Технические характеристики</w:t>
            </w:r>
          </w:p>
        </w:tc>
        <w:tc>
          <w:tcPr>
            <w:tcW w:w="137" w:type="pct"/>
            <w:shd w:val="clear" w:color="auto" w:fill="auto"/>
            <w:tcMar>
              <w:left w:w="17" w:type="dxa"/>
              <w:right w:w="17" w:type="dxa"/>
            </w:tcMar>
            <w:vAlign w:val="center"/>
          </w:tcPr>
          <w:p w14:paraId="22104D21" w14:textId="77777777" w:rsidR="001C56BD" w:rsidRPr="00305460" w:rsidRDefault="001C56BD" w:rsidP="008A5C11">
            <w:pPr>
              <w:jc w:val="center"/>
              <w:rPr>
                <w:color w:val="000000"/>
                <w:sz w:val="12"/>
                <w:szCs w:val="12"/>
              </w:rPr>
            </w:pPr>
          </w:p>
        </w:tc>
        <w:tc>
          <w:tcPr>
            <w:tcW w:w="202" w:type="pct"/>
            <w:shd w:val="clear" w:color="auto" w:fill="auto"/>
            <w:tcMar>
              <w:left w:w="17" w:type="dxa"/>
              <w:right w:w="17" w:type="dxa"/>
            </w:tcMar>
            <w:vAlign w:val="center"/>
          </w:tcPr>
          <w:p w14:paraId="666BBD8F" w14:textId="77777777" w:rsidR="001C56BD" w:rsidRPr="00305460" w:rsidRDefault="001C56BD" w:rsidP="008A5C11">
            <w:pPr>
              <w:jc w:val="center"/>
              <w:rPr>
                <w:sz w:val="12"/>
                <w:szCs w:val="12"/>
              </w:rPr>
            </w:pPr>
            <w:r w:rsidRPr="00305460">
              <w:rPr>
                <w:sz w:val="12"/>
                <w:szCs w:val="12"/>
              </w:rPr>
              <w:t xml:space="preserve">Бесканаль-ная прокладка, опоры приварные, запорная арматура-стальная клиновая, антикоррозийная защита-лак БТ, труба-сталь 20, изоляция-мин. маты.       </w:t>
            </w:r>
          </w:p>
        </w:tc>
        <w:tc>
          <w:tcPr>
            <w:tcW w:w="244" w:type="pct"/>
            <w:shd w:val="clear" w:color="auto" w:fill="auto"/>
            <w:tcMar>
              <w:left w:w="17" w:type="dxa"/>
              <w:right w:w="17" w:type="dxa"/>
            </w:tcMar>
            <w:vAlign w:val="center"/>
          </w:tcPr>
          <w:p w14:paraId="4E53F73B" w14:textId="77777777" w:rsidR="001C56BD" w:rsidRPr="00305460" w:rsidRDefault="001C56BD" w:rsidP="008A5C11">
            <w:pPr>
              <w:jc w:val="center"/>
              <w:rPr>
                <w:sz w:val="12"/>
                <w:szCs w:val="12"/>
              </w:rPr>
            </w:pPr>
            <w:r w:rsidRPr="00305460">
              <w:rPr>
                <w:sz w:val="12"/>
                <w:szCs w:val="12"/>
              </w:rPr>
              <w:t xml:space="preserve">Канал-ж/б лотки, опоры-хомутовые с диэлектрической прокладкой, запорная арматура - кран шаровый, антикоррозийная защита-мастика Вектор 1214, 1025, труба-сталь 09Г2С, изоляция - маты прошивные, </w:t>
            </w:r>
            <w:proofErr w:type="gramStart"/>
            <w:r w:rsidRPr="00305460">
              <w:rPr>
                <w:sz w:val="12"/>
                <w:szCs w:val="12"/>
              </w:rPr>
              <w:t>стеклоплас-тик</w:t>
            </w:r>
            <w:proofErr w:type="gramEnd"/>
            <w:r w:rsidRPr="00305460">
              <w:rPr>
                <w:sz w:val="12"/>
                <w:szCs w:val="12"/>
              </w:rPr>
              <w:t xml:space="preserve">  </w:t>
            </w:r>
          </w:p>
        </w:tc>
        <w:tc>
          <w:tcPr>
            <w:tcW w:w="140" w:type="pct"/>
            <w:shd w:val="clear" w:color="auto" w:fill="auto"/>
            <w:tcMar>
              <w:left w:w="17" w:type="dxa"/>
              <w:right w:w="17" w:type="dxa"/>
            </w:tcMar>
            <w:vAlign w:val="center"/>
          </w:tcPr>
          <w:p w14:paraId="06407BF0" w14:textId="77777777" w:rsidR="001C56BD" w:rsidRPr="00305460" w:rsidRDefault="001C56BD" w:rsidP="008A5C11">
            <w:pPr>
              <w:jc w:val="center"/>
              <w:rPr>
                <w:sz w:val="12"/>
                <w:szCs w:val="12"/>
              </w:rPr>
            </w:pPr>
            <w:r w:rsidRPr="00305460">
              <w:rPr>
                <w:sz w:val="12"/>
                <w:szCs w:val="12"/>
              </w:rPr>
              <w:t>2022</w:t>
            </w:r>
          </w:p>
        </w:tc>
        <w:tc>
          <w:tcPr>
            <w:tcW w:w="140" w:type="pct"/>
            <w:shd w:val="clear" w:color="auto" w:fill="auto"/>
            <w:tcMar>
              <w:left w:w="17" w:type="dxa"/>
              <w:right w:w="17" w:type="dxa"/>
            </w:tcMar>
            <w:vAlign w:val="center"/>
          </w:tcPr>
          <w:p w14:paraId="72DF5012" w14:textId="77777777" w:rsidR="001C56BD" w:rsidRPr="00305460" w:rsidRDefault="001C56BD" w:rsidP="008A5C11">
            <w:pPr>
              <w:jc w:val="center"/>
              <w:rPr>
                <w:sz w:val="12"/>
                <w:szCs w:val="12"/>
              </w:rPr>
            </w:pPr>
            <w:r w:rsidRPr="00305460">
              <w:rPr>
                <w:sz w:val="12"/>
                <w:szCs w:val="12"/>
              </w:rPr>
              <w:t>2022</w:t>
            </w:r>
          </w:p>
        </w:tc>
        <w:tc>
          <w:tcPr>
            <w:tcW w:w="239" w:type="pct"/>
            <w:gridSpan w:val="3"/>
            <w:shd w:val="clear" w:color="auto" w:fill="auto"/>
            <w:tcMar>
              <w:left w:w="17" w:type="dxa"/>
              <w:right w:w="17" w:type="dxa"/>
            </w:tcMar>
            <w:vAlign w:val="center"/>
          </w:tcPr>
          <w:p w14:paraId="7C0FB0FB" w14:textId="77777777" w:rsidR="001C56BD" w:rsidRPr="00305460" w:rsidRDefault="001C56BD" w:rsidP="008A5C11">
            <w:pPr>
              <w:jc w:val="center"/>
              <w:rPr>
                <w:sz w:val="12"/>
                <w:szCs w:val="12"/>
              </w:rPr>
            </w:pPr>
            <w:r w:rsidRPr="00305460">
              <w:rPr>
                <w:sz w:val="12"/>
                <w:szCs w:val="12"/>
              </w:rPr>
              <w:t>4139,352</w:t>
            </w:r>
          </w:p>
        </w:tc>
        <w:tc>
          <w:tcPr>
            <w:tcW w:w="196" w:type="pct"/>
            <w:gridSpan w:val="3"/>
            <w:shd w:val="clear" w:color="auto" w:fill="auto"/>
            <w:tcMar>
              <w:left w:w="17" w:type="dxa"/>
              <w:right w:w="17" w:type="dxa"/>
            </w:tcMar>
            <w:vAlign w:val="center"/>
          </w:tcPr>
          <w:p w14:paraId="01058380" w14:textId="77777777" w:rsidR="001C56BD" w:rsidRPr="00305460" w:rsidRDefault="001C56BD" w:rsidP="008A5C11">
            <w:pPr>
              <w:jc w:val="center"/>
              <w:rPr>
                <w:sz w:val="12"/>
                <w:szCs w:val="12"/>
              </w:rPr>
            </w:pPr>
            <w:r w:rsidRPr="00305460">
              <w:rPr>
                <w:sz w:val="12"/>
                <w:szCs w:val="12"/>
              </w:rPr>
              <w:t>0,000</w:t>
            </w:r>
          </w:p>
        </w:tc>
        <w:tc>
          <w:tcPr>
            <w:tcW w:w="216" w:type="pct"/>
            <w:gridSpan w:val="3"/>
            <w:shd w:val="clear" w:color="auto" w:fill="auto"/>
            <w:tcMar>
              <w:left w:w="17" w:type="dxa"/>
              <w:right w:w="17" w:type="dxa"/>
            </w:tcMar>
            <w:vAlign w:val="center"/>
          </w:tcPr>
          <w:p w14:paraId="4B9271C8" w14:textId="77777777" w:rsidR="001C56BD" w:rsidRPr="00305460" w:rsidRDefault="001C56BD" w:rsidP="008A5C11">
            <w:pPr>
              <w:jc w:val="center"/>
              <w:rPr>
                <w:sz w:val="12"/>
                <w:szCs w:val="12"/>
              </w:rPr>
            </w:pPr>
            <w:r w:rsidRPr="00305460">
              <w:rPr>
                <w:sz w:val="12"/>
                <w:szCs w:val="12"/>
              </w:rPr>
              <w:t>4139,352</w:t>
            </w:r>
          </w:p>
        </w:tc>
        <w:tc>
          <w:tcPr>
            <w:tcW w:w="179" w:type="pct"/>
            <w:gridSpan w:val="2"/>
            <w:shd w:val="clear" w:color="auto" w:fill="auto"/>
            <w:tcMar>
              <w:left w:w="17" w:type="dxa"/>
              <w:right w:w="17" w:type="dxa"/>
            </w:tcMar>
            <w:vAlign w:val="center"/>
          </w:tcPr>
          <w:p w14:paraId="4C23ECE8" w14:textId="77777777" w:rsidR="001C56BD" w:rsidRPr="00305460" w:rsidRDefault="001C56BD" w:rsidP="008A5C11">
            <w:pPr>
              <w:jc w:val="center"/>
              <w:rPr>
                <w:sz w:val="12"/>
                <w:szCs w:val="12"/>
              </w:rPr>
            </w:pPr>
            <w:r w:rsidRPr="00305460">
              <w:rPr>
                <w:sz w:val="12"/>
                <w:szCs w:val="12"/>
              </w:rPr>
              <w:t>0,000</w:t>
            </w:r>
          </w:p>
        </w:tc>
        <w:tc>
          <w:tcPr>
            <w:tcW w:w="222" w:type="pct"/>
            <w:gridSpan w:val="2"/>
            <w:shd w:val="clear" w:color="auto" w:fill="auto"/>
            <w:tcMar>
              <w:left w:w="17" w:type="dxa"/>
              <w:right w:w="17" w:type="dxa"/>
            </w:tcMar>
            <w:vAlign w:val="center"/>
          </w:tcPr>
          <w:p w14:paraId="19447120" w14:textId="77777777" w:rsidR="001C56BD" w:rsidRPr="00305460" w:rsidRDefault="001C56BD" w:rsidP="008A5C11">
            <w:pPr>
              <w:jc w:val="center"/>
              <w:rPr>
                <w:sz w:val="12"/>
                <w:szCs w:val="12"/>
              </w:rPr>
            </w:pPr>
            <w:r w:rsidRPr="00305460">
              <w:rPr>
                <w:sz w:val="12"/>
                <w:szCs w:val="12"/>
              </w:rPr>
              <w:t>0,000</w:t>
            </w:r>
          </w:p>
        </w:tc>
        <w:tc>
          <w:tcPr>
            <w:tcW w:w="213" w:type="pct"/>
            <w:shd w:val="clear" w:color="auto" w:fill="auto"/>
            <w:tcMar>
              <w:left w:w="17" w:type="dxa"/>
              <w:right w:w="17" w:type="dxa"/>
            </w:tcMar>
            <w:vAlign w:val="center"/>
          </w:tcPr>
          <w:p w14:paraId="71B4A13A"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399A2EA6"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6AFC6474"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6FA6A149" w14:textId="77777777" w:rsidR="001C56BD" w:rsidRPr="00305460" w:rsidRDefault="001C56BD" w:rsidP="008A5C11">
            <w:pPr>
              <w:jc w:val="center"/>
              <w:rPr>
                <w:sz w:val="12"/>
                <w:szCs w:val="12"/>
              </w:rPr>
            </w:pPr>
            <w:r w:rsidRPr="00305460">
              <w:rPr>
                <w:sz w:val="12"/>
                <w:szCs w:val="12"/>
              </w:rPr>
              <w:t>0,000</w:t>
            </w:r>
          </w:p>
        </w:tc>
        <w:tc>
          <w:tcPr>
            <w:tcW w:w="218" w:type="pct"/>
            <w:gridSpan w:val="2"/>
            <w:shd w:val="clear" w:color="auto" w:fill="auto"/>
            <w:tcMar>
              <w:left w:w="17" w:type="dxa"/>
              <w:right w:w="17" w:type="dxa"/>
            </w:tcMar>
            <w:vAlign w:val="center"/>
          </w:tcPr>
          <w:p w14:paraId="66866421" w14:textId="77777777" w:rsidR="001C56BD" w:rsidRPr="00305460" w:rsidRDefault="001C56BD" w:rsidP="008A5C11">
            <w:pPr>
              <w:jc w:val="center"/>
              <w:rPr>
                <w:sz w:val="12"/>
                <w:szCs w:val="12"/>
              </w:rPr>
            </w:pPr>
            <w:r w:rsidRPr="00305460">
              <w:rPr>
                <w:sz w:val="12"/>
                <w:szCs w:val="12"/>
              </w:rPr>
              <w:t>0,000</w:t>
            </w:r>
          </w:p>
        </w:tc>
        <w:tc>
          <w:tcPr>
            <w:tcW w:w="172" w:type="pct"/>
            <w:gridSpan w:val="2"/>
            <w:shd w:val="clear" w:color="auto" w:fill="auto"/>
            <w:tcMar>
              <w:left w:w="17" w:type="dxa"/>
              <w:right w:w="17" w:type="dxa"/>
            </w:tcMar>
            <w:vAlign w:val="center"/>
          </w:tcPr>
          <w:p w14:paraId="4CBC3482" w14:textId="77777777" w:rsidR="001C56BD" w:rsidRPr="00305460" w:rsidRDefault="001C56BD" w:rsidP="008A5C11">
            <w:pPr>
              <w:jc w:val="center"/>
              <w:rPr>
                <w:sz w:val="12"/>
                <w:szCs w:val="12"/>
              </w:rPr>
            </w:pPr>
            <w:r w:rsidRPr="00305460">
              <w:rPr>
                <w:sz w:val="12"/>
                <w:szCs w:val="12"/>
              </w:rPr>
              <w:t>0,000</w:t>
            </w:r>
          </w:p>
        </w:tc>
        <w:tc>
          <w:tcPr>
            <w:tcW w:w="219" w:type="pct"/>
            <w:shd w:val="clear" w:color="auto" w:fill="auto"/>
            <w:tcMar>
              <w:left w:w="17" w:type="dxa"/>
              <w:right w:w="17" w:type="dxa"/>
            </w:tcMar>
            <w:vAlign w:val="center"/>
          </w:tcPr>
          <w:p w14:paraId="6B3735FE" w14:textId="77777777" w:rsidR="001C56BD" w:rsidRPr="00305460" w:rsidRDefault="001C56BD" w:rsidP="008A5C11">
            <w:pPr>
              <w:jc w:val="center"/>
              <w:rPr>
                <w:sz w:val="12"/>
                <w:szCs w:val="12"/>
              </w:rPr>
            </w:pPr>
            <w:r w:rsidRPr="00305460">
              <w:rPr>
                <w:sz w:val="12"/>
                <w:szCs w:val="12"/>
              </w:rPr>
              <w:t>0,000</w:t>
            </w:r>
          </w:p>
        </w:tc>
        <w:tc>
          <w:tcPr>
            <w:tcW w:w="174" w:type="pct"/>
            <w:shd w:val="clear" w:color="auto" w:fill="auto"/>
            <w:tcMar>
              <w:left w:w="17" w:type="dxa"/>
              <w:right w:w="17" w:type="dxa"/>
            </w:tcMar>
            <w:vAlign w:val="center"/>
          </w:tcPr>
          <w:p w14:paraId="401F3826" w14:textId="77777777" w:rsidR="001C56BD" w:rsidRPr="00305460" w:rsidRDefault="001C56BD" w:rsidP="008A5C11">
            <w:pPr>
              <w:jc w:val="center"/>
              <w:rPr>
                <w:sz w:val="12"/>
                <w:szCs w:val="12"/>
              </w:rPr>
            </w:pPr>
            <w:r w:rsidRPr="00305460">
              <w:rPr>
                <w:sz w:val="12"/>
                <w:szCs w:val="12"/>
              </w:rPr>
              <w:t>0,000</w:t>
            </w:r>
          </w:p>
        </w:tc>
        <w:tc>
          <w:tcPr>
            <w:tcW w:w="176" w:type="pct"/>
            <w:shd w:val="clear" w:color="auto" w:fill="auto"/>
            <w:tcMar>
              <w:left w:w="17" w:type="dxa"/>
              <w:right w:w="17" w:type="dxa"/>
            </w:tcMar>
            <w:vAlign w:val="center"/>
          </w:tcPr>
          <w:p w14:paraId="08B9F2C8" w14:textId="77777777" w:rsidR="001C56BD" w:rsidRPr="00305460" w:rsidRDefault="001C56BD" w:rsidP="008A5C11">
            <w:pPr>
              <w:jc w:val="center"/>
              <w:rPr>
                <w:sz w:val="12"/>
                <w:szCs w:val="12"/>
              </w:rPr>
            </w:pPr>
            <w:r w:rsidRPr="00305460">
              <w:rPr>
                <w:sz w:val="12"/>
                <w:szCs w:val="12"/>
              </w:rPr>
              <w:t>0,000</w:t>
            </w:r>
          </w:p>
        </w:tc>
      </w:tr>
      <w:tr w:rsidR="001C56BD" w:rsidRPr="00305460" w14:paraId="610363DF" w14:textId="77777777" w:rsidTr="008A5C11">
        <w:trPr>
          <w:trHeight w:val="897"/>
        </w:trPr>
        <w:tc>
          <w:tcPr>
            <w:tcW w:w="86" w:type="pct"/>
            <w:shd w:val="clear" w:color="auto" w:fill="auto"/>
            <w:tcMar>
              <w:left w:w="17" w:type="dxa"/>
              <w:right w:w="17" w:type="dxa"/>
            </w:tcMar>
            <w:vAlign w:val="center"/>
          </w:tcPr>
          <w:p w14:paraId="0183A858" w14:textId="77777777" w:rsidR="001C56BD" w:rsidRPr="00305460" w:rsidRDefault="001C56BD" w:rsidP="008A5C11">
            <w:pPr>
              <w:jc w:val="center"/>
              <w:rPr>
                <w:sz w:val="12"/>
                <w:szCs w:val="12"/>
              </w:rPr>
            </w:pPr>
            <w:r w:rsidRPr="00305460">
              <w:rPr>
                <w:sz w:val="12"/>
                <w:szCs w:val="12"/>
              </w:rPr>
              <w:t>3.1.49.</w:t>
            </w:r>
          </w:p>
        </w:tc>
        <w:tc>
          <w:tcPr>
            <w:tcW w:w="295" w:type="pct"/>
            <w:shd w:val="clear" w:color="auto" w:fill="auto"/>
            <w:tcMar>
              <w:left w:w="17" w:type="dxa"/>
              <w:right w:w="17" w:type="dxa"/>
            </w:tcMar>
            <w:vAlign w:val="center"/>
          </w:tcPr>
          <w:p w14:paraId="32DDDEC8" w14:textId="77777777" w:rsidR="001C56BD" w:rsidRPr="00305460" w:rsidRDefault="001C56BD" w:rsidP="008A5C11">
            <w:pPr>
              <w:rPr>
                <w:sz w:val="12"/>
                <w:szCs w:val="12"/>
              </w:rPr>
            </w:pPr>
            <w:r w:rsidRPr="00305460">
              <w:rPr>
                <w:color w:val="000000"/>
                <w:sz w:val="12"/>
                <w:szCs w:val="12"/>
              </w:rPr>
              <w:t>Реконструкция тепловой сети с реестровым номером</w:t>
            </w:r>
            <w:r w:rsidRPr="00305460">
              <w:rPr>
                <w:sz w:val="12"/>
                <w:szCs w:val="12"/>
              </w:rPr>
              <w:t xml:space="preserve"> 773681</w:t>
            </w:r>
          </w:p>
        </w:tc>
        <w:tc>
          <w:tcPr>
            <w:tcW w:w="307" w:type="pct"/>
            <w:shd w:val="clear" w:color="000000" w:fill="FFFFFF"/>
            <w:tcMar>
              <w:left w:w="17" w:type="dxa"/>
              <w:right w:w="17" w:type="dxa"/>
            </w:tcMar>
            <w:vAlign w:val="center"/>
          </w:tcPr>
          <w:p w14:paraId="04B87BF2" w14:textId="77777777" w:rsidR="001C56BD" w:rsidRPr="00305460" w:rsidRDefault="001C56BD" w:rsidP="008A5C11">
            <w:pPr>
              <w:jc w:val="center"/>
              <w:rPr>
                <w:sz w:val="12"/>
                <w:szCs w:val="12"/>
              </w:rPr>
            </w:pPr>
            <w:r w:rsidRPr="00305460">
              <w:rPr>
                <w:color w:val="000000"/>
                <w:sz w:val="12"/>
                <w:szCs w:val="12"/>
              </w:rPr>
              <w:t>Повышение надежности услуг теплоснабжения, повышение энергетической эффективности</w:t>
            </w:r>
          </w:p>
        </w:tc>
        <w:tc>
          <w:tcPr>
            <w:tcW w:w="280" w:type="pct"/>
            <w:shd w:val="clear" w:color="auto" w:fill="auto"/>
            <w:tcMar>
              <w:left w:w="17" w:type="dxa"/>
              <w:right w:w="17" w:type="dxa"/>
            </w:tcMar>
            <w:vAlign w:val="center"/>
          </w:tcPr>
          <w:p w14:paraId="3477B75D" w14:textId="77777777" w:rsidR="001C56BD" w:rsidRPr="00305460" w:rsidRDefault="001C56BD" w:rsidP="008A5C11">
            <w:pPr>
              <w:jc w:val="center"/>
              <w:rPr>
                <w:sz w:val="12"/>
                <w:szCs w:val="12"/>
              </w:rPr>
            </w:pPr>
            <w:r w:rsidRPr="00305460">
              <w:rPr>
                <w:sz w:val="12"/>
                <w:szCs w:val="12"/>
              </w:rPr>
              <w:t>Кемеровский городской округ, Центральный район, микрорайон 3 (пр. Октябрьский, 53/1, пр. Ленина, 90/3, 90/4а)</w:t>
            </w:r>
          </w:p>
        </w:tc>
        <w:tc>
          <w:tcPr>
            <w:tcW w:w="289" w:type="pct"/>
            <w:shd w:val="clear" w:color="auto" w:fill="auto"/>
            <w:tcMar>
              <w:left w:w="17" w:type="dxa"/>
              <w:right w:w="17" w:type="dxa"/>
            </w:tcMar>
            <w:vAlign w:val="center"/>
          </w:tcPr>
          <w:p w14:paraId="6FC22EB4" w14:textId="77777777" w:rsidR="001C56BD" w:rsidRPr="00305460" w:rsidRDefault="001C56BD" w:rsidP="008A5C11">
            <w:pPr>
              <w:jc w:val="center"/>
              <w:rPr>
                <w:sz w:val="12"/>
                <w:szCs w:val="12"/>
              </w:rPr>
            </w:pPr>
            <w:r w:rsidRPr="00305460">
              <w:rPr>
                <w:color w:val="000000"/>
                <w:sz w:val="12"/>
                <w:szCs w:val="12"/>
              </w:rPr>
              <w:t>Технические характеристики</w:t>
            </w:r>
          </w:p>
        </w:tc>
        <w:tc>
          <w:tcPr>
            <w:tcW w:w="137" w:type="pct"/>
            <w:shd w:val="clear" w:color="auto" w:fill="auto"/>
            <w:tcMar>
              <w:left w:w="17" w:type="dxa"/>
              <w:right w:w="17" w:type="dxa"/>
            </w:tcMar>
            <w:vAlign w:val="center"/>
          </w:tcPr>
          <w:p w14:paraId="0786B5A1" w14:textId="77777777" w:rsidR="001C56BD" w:rsidRPr="00305460" w:rsidRDefault="001C56BD" w:rsidP="008A5C11">
            <w:pPr>
              <w:jc w:val="center"/>
              <w:rPr>
                <w:color w:val="000000"/>
                <w:sz w:val="12"/>
                <w:szCs w:val="12"/>
              </w:rPr>
            </w:pPr>
          </w:p>
        </w:tc>
        <w:tc>
          <w:tcPr>
            <w:tcW w:w="202" w:type="pct"/>
            <w:shd w:val="clear" w:color="auto" w:fill="auto"/>
            <w:tcMar>
              <w:left w:w="17" w:type="dxa"/>
              <w:right w:w="17" w:type="dxa"/>
            </w:tcMar>
            <w:vAlign w:val="center"/>
          </w:tcPr>
          <w:p w14:paraId="55F29184" w14:textId="77777777" w:rsidR="001C56BD" w:rsidRPr="00305460" w:rsidRDefault="001C56BD" w:rsidP="008A5C11">
            <w:pPr>
              <w:jc w:val="center"/>
              <w:rPr>
                <w:sz w:val="12"/>
                <w:szCs w:val="12"/>
              </w:rPr>
            </w:pPr>
            <w:r w:rsidRPr="00305460">
              <w:rPr>
                <w:sz w:val="12"/>
                <w:szCs w:val="12"/>
              </w:rPr>
              <w:t xml:space="preserve">Бесканальная </w:t>
            </w:r>
            <w:proofErr w:type="gramStart"/>
            <w:r w:rsidRPr="00305460">
              <w:rPr>
                <w:sz w:val="12"/>
                <w:szCs w:val="12"/>
              </w:rPr>
              <w:t>прокладка,опоры</w:t>
            </w:r>
            <w:proofErr w:type="gramEnd"/>
            <w:r w:rsidRPr="00305460">
              <w:rPr>
                <w:sz w:val="12"/>
                <w:szCs w:val="12"/>
              </w:rPr>
              <w:t xml:space="preserve"> привар-ные, запорная арматура-стальная клиновая, антикоррозийная защита-лак БТ, труба-сталь 20, изоляция-мин. маты.       </w:t>
            </w:r>
          </w:p>
        </w:tc>
        <w:tc>
          <w:tcPr>
            <w:tcW w:w="244" w:type="pct"/>
            <w:shd w:val="clear" w:color="auto" w:fill="auto"/>
            <w:tcMar>
              <w:left w:w="17" w:type="dxa"/>
              <w:right w:w="17" w:type="dxa"/>
            </w:tcMar>
            <w:vAlign w:val="center"/>
          </w:tcPr>
          <w:p w14:paraId="55C55F5A" w14:textId="77777777" w:rsidR="001C56BD" w:rsidRPr="00305460" w:rsidRDefault="001C56BD" w:rsidP="008A5C11">
            <w:pPr>
              <w:jc w:val="center"/>
              <w:rPr>
                <w:sz w:val="12"/>
                <w:szCs w:val="12"/>
              </w:rPr>
            </w:pPr>
            <w:r w:rsidRPr="00305460">
              <w:rPr>
                <w:sz w:val="12"/>
                <w:szCs w:val="12"/>
              </w:rPr>
              <w:t xml:space="preserve">Канал-ж/б лотки, опоры-хомутовые с диэлектрической прокладкой, запорная арматура - кран шаровый, антикоррозийная защита-мастика Вектор 1214, 1025, труба-сталь 09Г2С, изоляция - маты прошивные, </w:t>
            </w:r>
            <w:proofErr w:type="gramStart"/>
            <w:r w:rsidRPr="00305460">
              <w:rPr>
                <w:sz w:val="12"/>
                <w:szCs w:val="12"/>
              </w:rPr>
              <w:t>стеклоплас-тик</w:t>
            </w:r>
            <w:proofErr w:type="gramEnd"/>
            <w:r w:rsidRPr="00305460">
              <w:rPr>
                <w:sz w:val="12"/>
                <w:szCs w:val="12"/>
              </w:rPr>
              <w:t xml:space="preserve">  </w:t>
            </w:r>
          </w:p>
        </w:tc>
        <w:tc>
          <w:tcPr>
            <w:tcW w:w="140" w:type="pct"/>
            <w:shd w:val="clear" w:color="auto" w:fill="auto"/>
            <w:tcMar>
              <w:left w:w="17" w:type="dxa"/>
              <w:right w:w="17" w:type="dxa"/>
            </w:tcMar>
            <w:vAlign w:val="center"/>
          </w:tcPr>
          <w:p w14:paraId="0FE7D6D7" w14:textId="77777777" w:rsidR="001C56BD" w:rsidRPr="00305460" w:rsidRDefault="001C56BD" w:rsidP="008A5C11">
            <w:pPr>
              <w:jc w:val="center"/>
              <w:rPr>
                <w:sz w:val="12"/>
                <w:szCs w:val="12"/>
              </w:rPr>
            </w:pPr>
            <w:r w:rsidRPr="00305460">
              <w:rPr>
                <w:sz w:val="12"/>
                <w:szCs w:val="12"/>
              </w:rPr>
              <w:t>2026</w:t>
            </w:r>
          </w:p>
        </w:tc>
        <w:tc>
          <w:tcPr>
            <w:tcW w:w="140" w:type="pct"/>
            <w:shd w:val="clear" w:color="auto" w:fill="auto"/>
            <w:tcMar>
              <w:left w:w="17" w:type="dxa"/>
              <w:right w:w="17" w:type="dxa"/>
            </w:tcMar>
            <w:vAlign w:val="center"/>
          </w:tcPr>
          <w:p w14:paraId="4C29B319" w14:textId="77777777" w:rsidR="001C56BD" w:rsidRPr="00305460" w:rsidRDefault="001C56BD" w:rsidP="008A5C11">
            <w:pPr>
              <w:jc w:val="center"/>
              <w:rPr>
                <w:sz w:val="12"/>
                <w:szCs w:val="12"/>
              </w:rPr>
            </w:pPr>
            <w:r w:rsidRPr="00305460">
              <w:rPr>
                <w:sz w:val="12"/>
                <w:szCs w:val="12"/>
              </w:rPr>
              <w:t>2026</w:t>
            </w:r>
          </w:p>
        </w:tc>
        <w:tc>
          <w:tcPr>
            <w:tcW w:w="239" w:type="pct"/>
            <w:gridSpan w:val="3"/>
            <w:shd w:val="clear" w:color="auto" w:fill="auto"/>
            <w:tcMar>
              <w:left w:w="17" w:type="dxa"/>
              <w:right w:w="17" w:type="dxa"/>
            </w:tcMar>
            <w:vAlign w:val="center"/>
          </w:tcPr>
          <w:p w14:paraId="76C89A60" w14:textId="77777777" w:rsidR="001C56BD" w:rsidRPr="00305460" w:rsidRDefault="001C56BD" w:rsidP="008A5C11">
            <w:pPr>
              <w:jc w:val="center"/>
              <w:rPr>
                <w:sz w:val="12"/>
                <w:szCs w:val="12"/>
              </w:rPr>
            </w:pPr>
            <w:r w:rsidRPr="00305460">
              <w:rPr>
                <w:sz w:val="12"/>
                <w:szCs w:val="12"/>
              </w:rPr>
              <w:t>4551,048</w:t>
            </w:r>
          </w:p>
        </w:tc>
        <w:tc>
          <w:tcPr>
            <w:tcW w:w="196" w:type="pct"/>
            <w:gridSpan w:val="3"/>
            <w:shd w:val="clear" w:color="auto" w:fill="auto"/>
            <w:tcMar>
              <w:left w:w="17" w:type="dxa"/>
              <w:right w:w="17" w:type="dxa"/>
            </w:tcMar>
            <w:vAlign w:val="center"/>
          </w:tcPr>
          <w:p w14:paraId="08D73BFB" w14:textId="77777777" w:rsidR="001C56BD" w:rsidRPr="00305460" w:rsidRDefault="001C56BD" w:rsidP="008A5C11">
            <w:pPr>
              <w:jc w:val="center"/>
              <w:rPr>
                <w:sz w:val="12"/>
                <w:szCs w:val="12"/>
              </w:rPr>
            </w:pPr>
            <w:r w:rsidRPr="00305460">
              <w:rPr>
                <w:sz w:val="12"/>
                <w:szCs w:val="12"/>
              </w:rPr>
              <w:t>0,000</w:t>
            </w:r>
          </w:p>
        </w:tc>
        <w:tc>
          <w:tcPr>
            <w:tcW w:w="216" w:type="pct"/>
            <w:gridSpan w:val="3"/>
            <w:shd w:val="clear" w:color="auto" w:fill="auto"/>
            <w:tcMar>
              <w:left w:w="17" w:type="dxa"/>
              <w:right w:w="17" w:type="dxa"/>
            </w:tcMar>
            <w:vAlign w:val="center"/>
          </w:tcPr>
          <w:p w14:paraId="4424BD43" w14:textId="77777777" w:rsidR="001C56BD" w:rsidRPr="00305460" w:rsidRDefault="001C56BD" w:rsidP="008A5C11">
            <w:pPr>
              <w:jc w:val="center"/>
              <w:rPr>
                <w:sz w:val="12"/>
                <w:szCs w:val="12"/>
              </w:rPr>
            </w:pPr>
            <w:r w:rsidRPr="00305460">
              <w:rPr>
                <w:sz w:val="12"/>
                <w:szCs w:val="12"/>
              </w:rPr>
              <w:t>0,000</w:t>
            </w:r>
          </w:p>
        </w:tc>
        <w:tc>
          <w:tcPr>
            <w:tcW w:w="179" w:type="pct"/>
            <w:gridSpan w:val="2"/>
            <w:shd w:val="clear" w:color="auto" w:fill="auto"/>
            <w:tcMar>
              <w:left w:w="17" w:type="dxa"/>
              <w:right w:w="17" w:type="dxa"/>
            </w:tcMar>
            <w:vAlign w:val="center"/>
          </w:tcPr>
          <w:p w14:paraId="507D8C34" w14:textId="77777777" w:rsidR="001C56BD" w:rsidRPr="00305460" w:rsidRDefault="001C56BD" w:rsidP="008A5C11">
            <w:pPr>
              <w:jc w:val="center"/>
              <w:rPr>
                <w:sz w:val="12"/>
                <w:szCs w:val="12"/>
              </w:rPr>
            </w:pPr>
            <w:r w:rsidRPr="00305460">
              <w:rPr>
                <w:sz w:val="12"/>
                <w:szCs w:val="12"/>
              </w:rPr>
              <w:t>0,000</w:t>
            </w:r>
          </w:p>
        </w:tc>
        <w:tc>
          <w:tcPr>
            <w:tcW w:w="222" w:type="pct"/>
            <w:gridSpan w:val="2"/>
            <w:shd w:val="clear" w:color="auto" w:fill="auto"/>
            <w:tcMar>
              <w:left w:w="17" w:type="dxa"/>
              <w:right w:w="17" w:type="dxa"/>
            </w:tcMar>
            <w:vAlign w:val="center"/>
          </w:tcPr>
          <w:p w14:paraId="7B789110" w14:textId="77777777" w:rsidR="001C56BD" w:rsidRPr="00305460" w:rsidRDefault="001C56BD" w:rsidP="008A5C11">
            <w:pPr>
              <w:jc w:val="center"/>
              <w:rPr>
                <w:sz w:val="12"/>
                <w:szCs w:val="12"/>
              </w:rPr>
            </w:pPr>
            <w:r w:rsidRPr="00305460">
              <w:rPr>
                <w:sz w:val="12"/>
                <w:szCs w:val="12"/>
              </w:rPr>
              <w:t>0,000</w:t>
            </w:r>
          </w:p>
        </w:tc>
        <w:tc>
          <w:tcPr>
            <w:tcW w:w="213" w:type="pct"/>
            <w:shd w:val="clear" w:color="auto" w:fill="auto"/>
            <w:tcMar>
              <w:left w:w="17" w:type="dxa"/>
              <w:right w:w="17" w:type="dxa"/>
            </w:tcMar>
            <w:vAlign w:val="center"/>
          </w:tcPr>
          <w:p w14:paraId="5B61FB69"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58F6DADD" w14:textId="77777777" w:rsidR="001C56BD" w:rsidRPr="00305460" w:rsidRDefault="001C56BD" w:rsidP="008A5C11">
            <w:pPr>
              <w:jc w:val="center"/>
              <w:rPr>
                <w:sz w:val="12"/>
                <w:szCs w:val="12"/>
              </w:rPr>
            </w:pPr>
            <w:r w:rsidRPr="00305460">
              <w:rPr>
                <w:sz w:val="12"/>
                <w:szCs w:val="12"/>
              </w:rPr>
              <w:t>4551,048</w:t>
            </w:r>
          </w:p>
        </w:tc>
        <w:tc>
          <w:tcPr>
            <w:tcW w:w="218" w:type="pct"/>
            <w:shd w:val="clear" w:color="auto" w:fill="auto"/>
            <w:tcMar>
              <w:left w:w="17" w:type="dxa"/>
              <w:right w:w="17" w:type="dxa"/>
            </w:tcMar>
            <w:vAlign w:val="center"/>
          </w:tcPr>
          <w:p w14:paraId="11372375"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0B580ACF" w14:textId="77777777" w:rsidR="001C56BD" w:rsidRPr="00305460" w:rsidRDefault="001C56BD" w:rsidP="008A5C11">
            <w:pPr>
              <w:jc w:val="center"/>
              <w:rPr>
                <w:sz w:val="12"/>
                <w:szCs w:val="12"/>
              </w:rPr>
            </w:pPr>
            <w:r w:rsidRPr="00305460">
              <w:rPr>
                <w:sz w:val="12"/>
                <w:szCs w:val="12"/>
              </w:rPr>
              <w:t>0,000</w:t>
            </w:r>
          </w:p>
        </w:tc>
        <w:tc>
          <w:tcPr>
            <w:tcW w:w="218" w:type="pct"/>
            <w:gridSpan w:val="2"/>
            <w:shd w:val="clear" w:color="auto" w:fill="auto"/>
            <w:tcMar>
              <w:left w:w="17" w:type="dxa"/>
              <w:right w:w="17" w:type="dxa"/>
            </w:tcMar>
            <w:vAlign w:val="center"/>
          </w:tcPr>
          <w:p w14:paraId="4BA36FBB" w14:textId="77777777" w:rsidR="001C56BD" w:rsidRPr="00305460" w:rsidRDefault="001C56BD" w:rsidP="008A5C11">
            <w:pPr>
              <w:jc w:val="center"/>
              <w:rPr>
                <w:sz w:val="12"/>
                <w:szCs w:val="12"/>
              </w:rPr>
            </w:pPr>
            <w:r w:rsidRPr="00305460">
              <w:rPr>
                <w:sz w:val="12"/>
                <w:szCs w:val="12"/>
              </w:rPr>
              <w:t>0,000</w:t>
            </w:r>
          </w:p>
        </w:tc>
        <w:tc>
          <w:tcPr>
            <w:tcW w:w="172" w:type="pct"/>
            <w:gridSpan w:val="2"/>
            <w:shd w:val="clear" w:color="auto" w:fill="auto"/>
            <w:tcMar>
              <w:left w:w="17" w:type="dxa"/>
              <w:right w:w="17" w:type="dxa"/>
            </w:tcMar>
            <w:vAlign w:val="center"/>
          </w:tcPr>
          <w:p w14:paraId="58022C2E" w14:textId="77777777" w:rsidR="001C56BD" w:rsidRPr="00305460" w:rsidRDefault="001C56BD" w:rsidP="008A5C11">
            <w:pPr>
              <w:jc w:val="center"/>
              <w:rPr>
                <w:sz w:val="12"/>
                <w:szCs w:val="12"/>
              </w:rPr>
            </w:pPr>
            <w:r w:rsidRPr="00305460">
              <w:rPr>
                <w:sz w:val="12"/>
                <w:szCs w:val="12"/>
              </w:rPr>
              <w:t>0,000</w:t>
            </w:r>
          </w:p>
        </w:tc>
        <w:tc>
          <w:tcPr>
            <w:tcW w:w="219" w:type="pct"/>
            <w:shd w:val="clear" w:color="auto" w:fill="auto"/>
            <w:tcMar>
              <w:left w:w="17" w:type="dxa"/>
              <w:right w:w="17" w:type="dxa"/>
            </w:tcMar>
            <w:vAlign w:val="center"/>
          </w:tcPr>
          <w:p w14:paraId="6665B2FB" w14:textId="77777777" w:rsidR="001C56BD" w:rsidRPr="00305460" w:rsidRDefault="001C56BD" w:rsidP="008A5C11">
            <w:pPr>
              <w:jc w:val="center"/>
              <w:rPr>
                <w:sz w:val="12"/>
                <w:szCs w:val="12"/>
              </w:rPr>
            </w:pPr>
            <w:r w:rsidRPr="00305460">
              <w:rPr>
                <w:sz w:val="12"/>
                <w:szCs w:val="12"/>
              </w:rPr>
              <w:t>0,000</w:t>
            </w:r>
          </w:p>
        </w:tc>
        <w:tc>
          <w:tcPr>
            <w:tcW w:w="174" w:type="pct"/>
            <w:shd w:val="clear" w:color="auto" w:fill="auto"/>
            <w:tcMar>
              <w:left w:w="17" w:type="dxa"/>
              <w:right w:w="17" w:type="dxa"/>
            </w:tcMar>
            <w:vAlign w:val="center"/>
          </w:tcPr>
          <w:p w14:paraId="669031F4" w14:textId="77777777" w:rsidR="001C56BD" w:rsidRPr="00305460" w:rsidRDefault="001C56BD" w:rsidP="008A5C11">
            <w:pPr>
              <w:jc w:val="center"/>
              <w:rPr>
                <w:sz w:val="12"/>
                <w:szCs w:val="12"/>
              </w:rPr>
            </w:pPr>
            <w:r w:rsidRPr="00305460">
              <w:rPr>
                <w:sz w:val="12"/>
                <w:szCs w:val="12"/>
              </w:rPr>
              <w:t>0,000</w:t>
            </w:r>
          </w:p>
        </w:tc>
        <w:tc>
          <w:tcPr>
            <w:tcW w:w="176" w:type="pct"/>
            <w:shd w:val="clear" w:color="auto" w:fill="auto"/>
            <w:tcMar>
              <w:left w:w="17" w:type="dxa"/>
              <w:right w:w="17" w:type="dxa"/>
            </w:tcMar>
            <w:vAlign w:val="center"/>
          </w:tcPr>
          <w:p w14:paraId="44D957A0" w14:textId="77777777" w:rsidR="001C56BD" w:rsidRPr="00305460" w:rsidRDefault="001C56BD" w:rsidP="008A5C11">
            <w:pPr>
              <w:jc w:val="center"/>
              <w:rPr>
                <w:sz w:val="12"/>
                <w:szCs w:val="12"/>
              </w:rPr>
            </w:pPr>
            <w:r w:rsidRPr="00305460">
              <w:rPr>
                <w:sz w:val="12"/>
                <w:szCs w:val="12"/>
              </w:rPr>
              <w:t>0,000</w:t>
            </w:r>
          </w:p>
        </w:tc>
      </w:tr>
      <w:tr w:rsidR="001C56BD" w:rsidRPr="00305460" w14:paraId="11180310" w14:textId="77777777" w:rsidTr="008A5C11">
        <w:trPr>
          <w:trHeight w:val="897"/>
        </w:trPr>
        <w:tc>
          <w:tcPr>
            <w:tcW w:w="86" w:type="pct"/>
            <w:shd w:val="clear" w:color="auto" w:fill="auto"/>
            <w:tcMar>
              <w:left w:w="17" w:type="dxa"/>
              <w:right w:w="17" w:type="dxa"/>
            </w:tcMar>
            <w:vAlign w:val="center"/>
          </w:tcPr>
          <w:p w14:paraId="5A1B5E8B" w14:textId="77777777" w:rsidR="001C56BD" w:rsidRPr="00305460" w:rsidRDefault="001C56BD" w:rsidP="008A5C11">
            <w:pPr>
              <w:jc w:val="center"/>
              <w:rPr>
                <w:bCs/>
                <w:sz w:val="12"/>
                <w:szCs w:val="12"/>
              </w:rPr>
            </w:pPr>
            <w:r w:rsidRPr="00305460">
              <w:rPr>
                <w:bCs/>
                <w:sz w:val="12"/>
                <w:szCs w:val="12"/>
              </w:rPr>
              <w:t>1</w:t>
            </w:r>
          </w:p>
        </w:tc>
        <w:tc>
          <w:tcPr>
            <w:tcW w:w="295" w:type="pct"/>
            <w:shd w:val="clear" w:color="auto" w:fill="auto"/>
            <w:tcMar>
              <w:left w:w="17" w:type="dxa"/>
              <w:right w:w="17" w:type="dxa"/>
            </w:tcMar>
            <w:vAlign w:val="center"/>
          </w:tcPr>
          <w:p w14:paraId="6706CFFD" w14:textId="77777777" w:rsidR="001C56BD" w:rsidRPr="00305460" w:rsidRDefault="001C56BD" w:rsidP="008A5C11">
            <w:pPr>
              <w:jc w:val="center"/>
              <w:rPr>
                <w:bCs/>
                <w:sz w:val="12"/>
                <w:szCs w:val="12"/>
              </w:rPr>
            </w:pPr>
            <w:r w:rsidRPr="00305460">
              <w:rPr>
                <w:bCs/>
                <w:sz w:val="12"/>
                <w:szCs w:val="12"/>
              </w:rPr>
              <w:t>2</w:t>
            </w:r>
          </w:p>
        </w:tc>
        <w:tc>
          <w:tcPr>
            <w:tcW w:w="307" w:type="pct"/>
            <w:shd w:val="clear" w:color="auto" w:fill="auto"/>
            <w:tcMar>
              <w:left w:w="17" w:type="dxa"/>
              <w:right w:w="17" w:type="dxa"/>
            </w:tcMar>
            <w:vAlign w:val="center"/>
          </w:tcPr>
          <w:p w14:paraId="0B66006B" w14:textId="77777777" w:rsidR="001C56BD" w:rsidRPr="00305460" w:rsidRDefault="001C56BD" w:rsidP="008A5C11">
            <w:pPr>
              <w:jc w:val="center"/>
              <w:rPr>
                <w:bCs/>
                <w:sz w:val="12"/>
                <w:szCs w:val="12"/>
              </w:rPr>
            </w:pPr>
            <w:r w:rsidRPr="00305460">
              <w:rPr>
                <w:bCs/>
                <w:sz w:val="12"/>
                <w:szCs w:val="12"/>
              </w:rPr>
              <w:t>3</w:t>
            </w:r>
          </w:p>
        </w:tc>
        <w:tc>
          <w:tcPr>
            <w:tcW w:w="280" w:type="pct"/>
            <w:shd w:val="clear" w:color="auto" w:fill="auto"/>
            <w:tcMar>
              <w:left w:w="17" w:type="dxa"/>
              <w:right w:w="17" w:type="dxa"/>
            </w:tcMar>
            <w:vAlign w:val="center"/>
          </w:tcPr>
          <w:p w14:paraId="632AC4BD" w14:textId="77777777" w:rsidR="001C56BD" w:rsidRPr="00305460" w:rsidRDefault="001C56BD" w:rsidP="008A5C11">
            <w:pPr>
              <w:jc w:val="center"/>
              <w:rPr>
                <w:bCs/>
                <w:sz w:val="12"/>
                <w:szCs w:val="12"/>
              </w:rPr>
            </w:pPr>
            <w:r w:rsidRPr="00305460">
              <w:rPr>
                <w:bCs/>
                <w:sz w:val="12"/>
                <w:szCs w:val="12"/>
              </w:rPr>
              <w:t>4</w:t>
            </w:r>
          </w:p>
        </w:tc>
        <w:tc>
          <w:tcPr>
            <w:tcW w:w="289" w:type="pct"/>
            <w:shd w:val="clear" w:color="auto" w:fill="auto"/>
            <w:tcMar>
              <w:left w:w="17" w:type="dxa"/>
              <w:right w:w="17" w:type="dxa"/>
            </w:tcMar>
            <w:vAlign w:val="center"/>
          </w:tcPr>
          <w:p w14:paraId="7ACA6584" w14:textId="77777777" w:rsidR="001C56BD" w:rsidRPr="00305460" w:rsidRDefault="001C56BD" w:rsidP="008A5C11">
            <w:pPr>
              <w:jc w:val="center"/>
              <w:rPr>
                <w:bCs/>
                <w:sz w:val="12"/>
                <w:szCs w:val="12"/>
              </w:rPr>
            </w:pPr>
            <w:r w:rsidRPr="00305460">
              <w:rPr>
                <w:bCs/>
                <w:sz w:val="12"/>
                <w:szCs w:val="12"/>
              </w:rPr>
              <w:t>5</w:t>
            </w:r>
          </w:p>
        </w:tc>
        <w:tc>
          <w:tcPr>
            <w:tcW w:w="137" w:type="pct"/>
            <w:shd w:val="clear" w:color="auto" w:fill="auto"/>
            <w:tcMar>
              <w:left w:w="17" w:type="dxa"/>
              <w:right w:w="17" w:type="dxa"/>
            </w:tcMar>
            <w:vAlign w:val="center"/>
          </w:tcPr>
          <w:p w14:paraId="41A57782" w14:textId="77777777" w:rsidR="001C56BD" w:rsidRPr="00305460" w:rsidRDefault="001C56BD" w:rsidP="008A5C11">
            <w:pPr>
              <w:jc w:val="center"/>
              <w:rPr>
                <w:bCs/>
                <w:sz w:val="12"/>
                <w:szCs w:val="12"/>
              </w:rPr>
            </w:pPr>
            <w:r w:rsidRPr="00305460">
              <w:rPr>
                <w:bCs/>
                <w:sz w:val="12"/>
                <w:szCs w:val="12"/>
              </w:rPr>
              <w:t>6</w:t>
            </w:r>
          </w:p>
        </w:tc>
        <w:tc>
          <w:tcPr>
            <w:tcW w:w="202" w:type="pct"/>
            <w:shd w:val="clear" w:color="auto" w:fill="auto"/>
            <w:tcMar>
              <w:left w:w="17" w:type="dxa"/>
              <w:right w:w="17" w:type="dxa"/>
            </w:tcMar>
            <w:vAlign w:val="center"/>
          </w:tcPr>
          <w:p w14:paraId="03E68821" w14:textId="77777777" w:rsidR="001C56BD" w:rsidRPr="00305460" w:rsidRDefault="001C56BD" w:rsidP="008A5C11">
            <w:pPr>
              <w:jc w:val="center"/>
              <w:rPr>
                <w:bCs/>
                <w:sz w:val="12"/>
                <w:szCs w:val="12"/>
              </w:rPr>
            </w:pPr>
            <w:r w:rsidRPr="00305460">
              <w:rPr>
                <w:bCs/>
                <w:sz w:val="12"/>
                <w:szCs w:val="12"/>
              </w:rPr>
              <w:t>7</w:t>
            </w:r>
          </w:p>
        </w:tc>
        <w:tc>
          <w:tcPr>
            <w:tcW w:w="244" w:type="pct"/>
            <w:shd w:val="clear" w:color="auto" w:fill="auto"/>
            <w:tcMar>
              <w:left w:w="17" w:type="dxa"/>
              <w:right w:w="17" w:type="dxa"/>
            </w:tcMar>
            <w:vAlign w:val="center"/>
          </w:tcPr>
          <w:p w14:paraId="3E00FB8E" w14:textId="77777777" w:rsidR="001C56BD" w:rsidRPr="00305460" w:rsidRDefault="001C56BD" w:rsidP="008A5C11">
            <w:pPr>
              <w:jc w:val="center"/>
              <w:rPr>
                <w:bCs/>
                <w:sz w:val="12"/>
                <w:szCs w:val="12"/>
              </w:rPr>
            </w:pPr>
            <w:r w:rsidRPr="00305460">
              <w:rPr>
                <w:bCs/>
                <w:sz w:val="12"/>
                <w:szCs w:val="12"/>
              </w:rPr>
              <w:t>8</w:t>
            </w:r>
          </w:p>
        </w:tc>
        <w:tc>
          <w:tcPr>
            <w:tcW w:w="140" w:type="pct"/>
            <w:shd w:val="clear" w:color="auto" w:fill="auto"/>
            <w:tcMar>
              <w:left w:w="17" w:type="dxa"/>
              <w:right w:w="17" w:type="dxa"/>
            </w:tcMar>
            <w:vAlign w:val="center"/>
          </w:tcPr>
          <w:p w14:paraId="46BF5ED0" w14:textId="77777777" w:rsidR="001C56BD" w:rsidRPr="00305460" w:rsidRDefault="001C56BD" w:rsidP="008A5C11">
            <w:pPr>
              <w:jc w:val="center"/>
              <w:rPr>
                <w:bCs/>
                <w:sz w:val="12"/>
                <w:szCs w:val="12"/>
              </w:rPr>
            </w:pPr>
            <w:r w:rsidRPr="00305460">
              <w:rPr>
                <w:bCs/>
                <w:sz w:val="12"/>
                <w:szCs w:val="12"/>
              </w:rPr>
              <w:t>9</w:t>
            </w:r>
          </w:p>
        </w:tc>
        <w:tc>
          <w:tcPr>
            <w:tcW w:w="140" w:type="pct"/>
            <w:shd w:val="clear" w:color="auto" w:fill="auto"/>
            <w:tcMar>
              <w:left w:w="17" w:type="dxa"/>
              <w:right w:w="17" w:type="dxa"/>
            </w:tcMar>
            <w:vAlign w:val="center"/>
          </w:tcPr>
          <w:p w14:paraId="36A51E71" w14:textId="77777777" w:rsidR="001C56BD" w:rsidRPr="00305460" w:rsidRDefault="001C56BD" w:rsidP="008A5C11">
            <w:pPr>
              <w:jc w:val="center"/>
              <w:rPr>
                <w:bCs/>
                <w:sz w:val="12"/>
                <w:szCs w:val="12"/>
              </w:rPr>
            </w:pPr>
            <w:r w:rsidRPr="00305460">
              <w:rPr>
                <w:bCs/>
                <w:sz w:val="12"/>
                <w:szCs w:val="12"/>
              </w:rPr>
              <w:t>10</w:t>
            </w:r>
          </w:p>
        </w:tc>
        <w:tc>
          <w:tcPr>
            <w:tcW w:w="239" w:type="pct"/>
            <w:gridSpan w:val="3"/>
            <w:shd w:val="clear" w:color="auto" w:fill="auto"/>
            <w:tcMar>
              <w:left w:w="17" w:type="dxa"/>
              <w:right w:w="17" w:type="dxa"/>
            </w:tcMar>
            <w:vAlign w:val="center"/>
          </w:tcPr>
          <w:p w14:paraId="778D9676" w14:textId="77777777" w:rsidR="001C56BD" w:rsidRPr="00305460" w:rsidRDefault="001C56BD" w:rsidP="008A5C11">
            <w:pPr>
              <w:jc w:val="center"/>
              <w:rPr>
                <w:bCs/>
                <w:sz w:val="12"/>
                <w:szCs w:val="12"/>
              </w:rPr>
            </w:pPr>
            <w:r w:rsidRPr="00305460">
              <w:rPr>
                <w:bCs/>
                <w:sz w:val="12"/>
                <w:szCs w:val="12"/>
              </w:rPr>
              <w:t>11</w:t>
            </w:r>
          </w:p>
        </w:tc>
        <w:tc>
          <w:tcPr>
            <w:tcW w:w="196" w:type="pct"/>
            <w:gridSpan w:val="3"/>
            <w:shd w:val="clear" w:color="auto" w:fill="auto"/>
            <w:tcMar>
              <w:left w:w="17" w:type="dxa"/>
              <w:right w:w="17" w:type="dxa"/>
            </w:tcMar>
            <w:vAlign w:val="center"/>
          </w:tcPr>
          <w:p w14:paraId="0DD21CAA" w14:textId="77777777" w:rsidR="001C56BD" w:rsidRPr="00305460" w:rsidRDefault="001C56BD" w:rsidP="008A5C11">
            <w:pPr>
              <w:jc w:val="center"/>
              <w:rPr>
                <w:bCs/>
                <w:sz w:val="12"/>
                <w:szCs w:val="12"/>
              </w:rPr>
            </w:pPr>
            <w:r w:rsidRPr="00305460">
              <w:rPr>
                <w:bCs/>
                <w:sz w:val="12"/>
                <w:szCs w:val="12"/>
              </w:rPr>
              <w:t>12</w:t>
            </w:r>
          </w:p>
        </w:tc>
        <w:tc>
          <w:tcPr>
            <w:tcW w:w="216" w:type="pct"/>
            <w:gridSpan w:val="3"/>
            <w:shd w:val="clear" w:color="auto" w:fill="auto"/>
            <w:tcMar>
              <w:left w:w="17" w:type="dxa"/>
              <w:right w:w="17" w:type="dxa"/>
            </w:tcMar>
            <w:vAlign w:val="center"/>
          </w:tcPr>
          <w:p w14:paraId="50A25988" w14:textId="77777777" w:rsidR="001C56BD" w:rsidRPr="00305460" w:rsidRDefault="001C56BD" w:rsidP="008A5C11">
            <w:pPr>
              <w:jc w:val="center"/>
              <w:rPr>
                <w:bCs/>
                <w:sz w:val="12"/>
                <w:szCs w:val="12"/>
              </w:rPr>
            </w:pPr>
            <w:r w:rsidRPr="00305460">
              <w:rPr>
                <w:bCs/>
                <w:sz w:val="12"/>
                <w:szCs w:val="12"/>
              </w:rPr>
              <w:t>13</w:t>
            </w:r>
          </w:p>
        </w:tc>
        <w:tc>
          <w:tcPr>
            <w:tcW w:w="179" w:type="pct"/>
            <w:gridSpan w:val="2"/>
            <w:shd w:val="clear" w:color="auto" w:fill="auto"/>
            <w:tcMar>
              <w:left w:w="17" w:type="dxa"/>
              <w:right w:w="17" w:type="dxa"/>
            </w:tcMar>
            <w:vAlign w:val="center"/>
          </w:tcPr>
          <w:p w14:paraId="7F51A3F3" w14:textId="77777777" w:rsidR="001C56BD" w:rsidRPr="00305460" w:rsidRDefault="001C56BD" w:rsidP="008A5C11">
            <w:pPr>
              <w:jc w:val="center"/>
              <w:rPr>
                <w:bCs/>
                <w:sz w:val="12"/>
                <w:szCs w:val="12"/>
              </w:rPr>
            </w:pPr>
            <w:r w:rsidRPr="00305460">
              <w:rPr>
                <w:bCs/>
                <w:sz w:val="12"/>
                <w:szCs w:val="12"/>
              </w:rPr>
              <w:t>14</w:t>
            </w:r>
          </w:p>
        </w:tc>
        <w:tc>
          <w:tcPr>
            <w:tcW w:w="222" w:type="pct"/>
            <w:gridSpan w:val="2"/>
            <w:shd w:val="clear" w:color="auto" w:fill="auto"/>
            <w:tcMar>
              <w:left w:w="17" w:type="dxa"/>
              <w:right w:w="17" w:type="dxa"/>
            </w:tcMar>
            <w:vAlign w:val="center"/>
          </w:tcPr>
          <w:p w14:paraId="7A0B908B" w14:textId="77777777" w:rsidR="001C56BD" w:rsidRPr="00305460" w:rsidRDefault="001C56BD" w:rsidP="008A5C11">
            <w:pPr>
              <w:jc w:val="center"/>
              <w:rPr>
                <w:bCs/>
                <w:sz w:val="12"/>
                <w:szCs w:val="12"/>
              </w:rPr>
            </w:pPr>
            <w:r w:rsidRPr="00305460">
              <w:rPr>
                <w:bCs/>
                <w:sz w:val="12"/>
                <w:szCs w:val="12"/>
              </w:rPr>
              <w:t>15</w:t>
            </w:r>
          </w:p>
        </w:tc>
        <w:tc>
          <w:tcPr>
            <w:tcW w:w="213" w:type="pct"/>
            <w:tcMar>
              <w:left w:w="17" w:type="dxa"/>
              <w:right w:w="17" w:type="dxa"/>
            </w:tcMar>
            <w:vAlign w:val="center"/>
          </w:tcPr>
          <w:p w14:paraId="28B51AA9" w14:textId="77777777" w:rsidR="001C56BD" w:rsidRPr="00305460" w:rsidRDefault="001C56BD" w:rsidP="008A5C11">
            <w:pPr>
              <w:jc w:val="center"/>
              <w:rPr>
                <w:bCs/>
                <w:sz w:val="12"/>
                <w:szCs w:val="12"/>
              </w:rPr>
            </w:pPr>
            <w:r w:rsidRPr="00305460">
              <w:rPr>
                <w:bCs/>
                <w:sz w:val="12"/>
                <w:szCs w:val="12"/>
              </w:rPr>
              <w:t>16</w:t>
            </w:r>
          </w:p>
        </w:tc>
        <w:tc>
          <w:tcPr>
            <w:tcW w:w="218" w:type="pct"/>
            <w:tcMar>
              <w:left w:w="17" w:type="dxa"/>
              <w:right w:w="17" w:type="dxa"/>
            </w:tcMar>
            <w:vAlign w:val="center"/>
          </w:tcPr>
          <w:p w14:paraId="46CC8A1B" w14:textId="77777777" w:rsidR="001C56BD" w:rsidRPr="00305460" w:rsidRDefault="001C56BD" w:rsidP="008A5C11">
            <w:pPr>
              <w:jc w:val="center"/>
              <w:rPr>
                <w:bCs/>
                <w:sz w:val="12"/>
                <w:szCs w:val="12"/>
              </w:rPr>
            </w:pPr>
            <w:r w:rsidRPr="00305460">
              <w:rPr>
                <w:bCs/>
                <w:sz w:val="12"/>
                <w:szCs w:val="12"/>
              </w:rPr>
              <w:t>17</w:t>
            </w:r>
          </w:p>
        </w:tc>
        <w:tc>
          <w:tcPr>
            <w:tcW w:w="218" w:type="pct"/>
            <w:tcMar>
              <w:left w:w="17" w:type="dxa"/>
              <w:right w:w="17" w:type="dxa"/>
            </w:tcMar>
            <w:vAlign w:val="center"/>
          </w:tcPr>
          <w:p w14:paraId="2FDAF6F1" w14:textId="77777777" w:rsidR="001C56BD" w:rsidRPr="00305460" w:rsidRDefault="001C56BD" w:rsidP="008A5C11">
            <w:pPr>
              <w:jc w:val="center"/>
              <w:rPr>
                <w:bCs/>
                <w:sz w:val="12"/>
                <w:szCs w:val="12"/>
              </w:rPr>
            </w:pPr>
            <w:r w:rsidRPr="00305460">
              <w:rPr>
                <w:bCs/>
                <w:sz w:val="12"/>
                <w:szCs w:val="12"/>
              </w:rPr>
              <w:t>18</w:t>
            </w:r>
          </w:p>
        </w:tc>
        <w:tc>
          <w:tcPr>
            <w:tcW w:w="218" w:type="pct"/>
            <w:tcMar>
              <w:left w:w="17" w:type="dxa"/>
              <w:right w:w="17" w:type="dxa"/>
            </w:tcMar>
            <w:vAlign w:val="center"/>
          </w:tcPr>
          <w:p w14:paraId="7E4039D0" w14:textId="77777777" w:rsidR="001C56BD" w:rsidRPr="00305460" w:rsidRDefault="001C56BD" w:rsidP="008A5C11">
            <w:pPr>
              <w:jc w:val="center"/>
              <w:rPr>
                <w:bCs/>
                <w:sz w:val="12"/>
                <w:szCs w:val="12"/>
              </w:rPr>
            </w:pPr>
            <w:r w:rsidRPr="00305460">
              <w:rPr>
                <w:bCs/>
                <w:sz w:val="12"/>
                <w:szCs w:val="12"/>
              </w:rPr>
              <w:t>19</w:t>
            </w:r>
          </w:p>
        </w:tc>
        <w:tc>
          <w:tcPr>
            <w:tcW w:w="218" w:type="pct"/>
            <w:gridSpan w:val="2"/>
            <w:tcMar>
              <w:left w:w="17" w:type="dxa"/>
              <w:right w:w="17" w:type="dxa"/>
            </w:tcMar>
            <w:vAlign w:val="center"/>
          </w:tcPr>
          <w:p w14:paraId="00F6DE99" w14:textId="77777777" w:rsidR="001C56BD" w:rsidRPr="00305460" w:rsidRDefault="001C56BD" w:rsidP="008A5C11">
            <w:pPr>
              <w:jc w:val="center"/>
              <w:rPr>
                <w:bCs/>
                <w:sz w:val="12"/>
                <w:szCs w:val="12"/>
              </w:rPr>
            </w:pPr>
            <w:r w:rsidRPr="00305460">
              <w:rPr>
                <w:bCs/>
                <w:sz w:val="12"/>
                <w:szCs w:val="12"/>
              </w:rPr>
              <w:t>20</w:t>
            </w:r>
          </w:p>
        </w:tc>
        <w:tc>
          <w:tcPr>
            <w:tcW w:w="172" w:type="pct"/>
            <w:gridSpan w:val="2"/>
            <w:tcMar>
              <w:left w:w="17" w:type="dxa"/>
              <w:right w:w="17" w:type="dxa"/>
            </w:tcMar>
            <w:vAlign w:val="center"/>
          </w:tcPr>
          <w:p w14:paraId="19C634C7" w14:textId="77777777" w:rsidR="001C56BD" w:rsidRPr="00305460" w:rsidRDefault="001C56BD" w:rsidP="008A5C11">
            <w:pPr>
              <w:jc w:val="center"/>
              <w:rPr>
                <w:bCs/>
                <w:sz w:val="12"/>
                <w:szCs w:val="12"/>
              </w:rPr>
            </w:pPr>
            <w:r w:rsidRPr="00305460">
              <w:rPr>
                <w:bCs/>
                <w:sz w:val="12"/>
                <w:szCs w:val="12"/>
              </w:rPr>
              <w:t>21</w:t>
            </w:r>
          </w:p>
        </w:tc>
        <w:tc>
          <w:tcPr>
            <w:tcW w:w="219" w:type="pct"/>
            <w:tcMar>
              <w:left w:w="17" w:type="dxa"/>
              <w:right w:w="17" w:type="dxa"/>
            </w:tcMar>
            <w:vAlign w:val="center"/>
          </w:tcPr>
          <w:p w14:paraId="63E37BAD" w14:textId="77777777" w:rsidR="001C56BD" w:rsidRPr="00305460" w:rsidRDefault="001C56BD" w:rsidP="008A5C11">
            <w:pPr>
              <w:jc w:val="center"/>
              <w:rPr>
                <w:bCs/>
                <w:sz w:val="12"/>
                <w:szCs w:val="12"/>
              </w:rPr>
            </w:pPr>
            <w:r w:rsidRPr="00305460">
              <w:rPr>
                <w:bCs/>
                <w:sz w:val="12"/>
                <w:szCs w:val="12"/>
              </w:rPr>
              <w:t>22</w:t>
            </w:r>
          </w:p>
        </w:tc>
        <w:tc>
          <w:tcPr>
            <w:tcW w:w="174" w:type="pct"/>
            <w:tcMar>
              <w:left w:w="17" w:type="dxa"/>
              <w:right w:w="17" w:type="dxa"/>
            </w:tcMar>
            <w:vAlign w:val="center"/>
          </w:tcPr>
          <w:p w14:paraId="290C88D5" w14:textId="77777777" w:rsidR="001C56BD" w:rsidRPr="00305460" w:rsidRDefault="001C56BD" w:rsidP="008A5C11">
            <w:pPr>
              <w:jc w:val="center"/>
              <w:rPr>
                <w:bCs/>
                <w:sz w:val="12"/>
                <w:szCs w:val="12"/>
              </w:rPr>
            </w:pPr>
            <w:r w:rsidRPr="00305460">
              <w:rPr>
                <w:bCs/>
                <w:sz w:val="12"/>
                <w:szCs w:val="12"/>
              </w:rPr>
              <w:t>23</w:t>
            </w:r>
          </w:p>
        </w:tc>
        <w:tc>
          <w:tcPr>
            <w:tcW w:w="176" w:type="pct"/>
            <w:tcMar>
              <w:left w:w="17" w:type="dxa"/>
              <w:right w:w="17" w:type="dxa"/>
            </w:tcMar>
            <w:vAlign w:val="center"/>
          </w:tcPr>
          <w:p w14:paraId="60EA219A" w14:textId="77777777" w:rsidR="001C56BD" w:rsidRPr="00305460" w:rsidRDefault="001C56BD" w:rsidP="008A5C11">
            <w:pPr>
              <w:jc w:val="center"/>
              <w:rPr>
                <w:bCs/>
                <w:sz w:val="12"/>
                <w:szCs w:val="12"/>
              </w:rPr>
            </w:pPr>
            <w:r w:rsidRPr="00305460">
              <w:rPr>
                <w:bCs/>
                <w:sz w:val="12"/>
                <w:szCs w:val="12"/>
              </w:rPr>
              <w:t>24</w:t>
            </w:r>
          </w:p>
        </w:tc>
      </w:tr>
      <w:tr w:rsidR="001C56BD" w:rsidRPr="00305460" w14:paraId="6184BC11" w14:textId="77777777" w:rsidTr="008A5C11">
        <w:trPr>
          <w:trHeight w:val="897"/>
        </w:trPr>
        <w:tc>
          <w:tcPr>
            <w:tcW w:w="86" w:type="pct"/>
            <w:shd w:val="clear" w:color="auto" w:fill="auto"/>
            <w:tcMar>
              <w:left w:w="17" w:type="dxa"/>
              <w:right w:w="17" w:type="dxa"/>
            </w:tcMar>
            <w:vAlign w:val="center"/>
          </w:tcPr>
          <w:p w14:paraId="613A48CA" w14:textId="77777777" w:rsidR="001C56BD" w:rsidRPr="00305460" w:rsidRDefault="001C56BD" w:rsidP="008A5C11">
            <w:pPr>
              <w:jc w:val="center"/>
              <w:rPr>
                <w:sz w:val="12"/>
                <w:szCs w:val="12"/>
              </w:rPr>
            </w:pPr>
            <w:r w:rsidRPr="00305460">
              <w:rPr>
                <w:sz w:val="12"/>
                <w:szCs w:val="12"/>
              </w:rPr>
              <w:t>3.1.50.</w:t>
            </w:r>
          </w:p>
        </w:tc>
        <w:tc>
          <w:tcPr>
            <w:tcW w:w="295" w:type="pct"/>
            <w:shd w:val="clear" w:color="000000" w:fill="FFFFFF"/>
            <w:tcMar>
              <w:left w:w="17" w:type="dxa"/>
              <w:right w:w="17" w:type="dxa"/>
            </w:tcMar>
            <w:vAlign w:val="center"/>
          </w:tcPr>
          <w:p w14:paraId="14074E45" w14:textId="77777777" w:rsidR="001C56BD" w:rsidRPr="00305460" w:rsidRDefault="001C56BD" w:rsidP="008A5C11">
            <w:pPr>
              <w:rPr>
                <w:sz w:val="12"/>
                <w:szCs w:val="12"/>
              </w:rPr>
            </w:pPr>
            <w:r w:rsidRPr="00305460">
              <w:rPr>
                <w:color w:val="000000"/>
                <w:sz w:val="12"/>
                <w:szCs w:val="12"/>
              </w:rPr>
              <w:t>Реконструкция тепловой сети с реестровым номером</w:t>
            </w:r>
            <w:r w:rsidRPr="00305460">
              <w:rPr>
                <w:sz w:val="12"/>
                <w:szCs w:val="12"/>
              </w:rPr>
              <w:t xml:space="preserve"> 773181</w:t>
            </w:r>
          </w:p>
        </w:tc>
        <w:tc>
          <w:tcPr>
            <w:tcW w:w="307" w:type="pct"/>
            <w:shd w:val="clear" w:color="000000" w:fill="FFFFFF"/>
            <w:tcMar>
              <w:left w:w="17" w:type="dxa"/>
              <w:right w:w="17" w:type="dxa"/>
            </w:tcMar>
            <w:vAlign w:val="center"/>
          </w:tcPr>
          <w:p w14:paraId="77525B38" w14:textId="77777777" w:rsidR="001C56BD" w:rsidRPr="00305460" w:rsidRDefault="001C56BD" w:rsidP="008A5C11">
            <w:pPr>
              <w:jc w:val="center"/>
              <w:rPr>
                <w:sz w:val="12"/>
                <w:szCs w:val="12"/>
              </w:rPr>
            </w:pPr>
            <w:r w:rsidRPr="00305460">
              <w:rPr>
                <w:color w:val="000000"/>
                <w:sz w:val="12"/>
                <w:szCs w:val="12"/>
              </w:rPr>
              <w:t>Повышение надежности услуг теплоснабжения, повышение энергетической эффективности</w:t>
            </w:r>
          </w:p>
        </w:tc>
        <w:tc>
          <w:tcPr>
            <w:tcW w:w="280" w:type="pct"/>
            <w:shd w:val="clear" w:color="000000" w:fill="FFFFFF"/>
            <w:tcMar>
              <w:left w:w="17" w:type="dxa"/>
              <w:right w:w="17" w:type="dxa"/>
            </w:tcMar>
            <w:vAlign w:val="center"/>
          </w:tcPr>
          <w:p w14:paraId="2D826F5A" w14:textId="77777777" w:rsidR="001C56BD" w:rsidRPr="00305460" w:rsidRDefault="001C56BD" w:rsidP="008A5C11">
            <w:pPr>
              <w:jc w:val="center"/>
              <w:rPr>
                <w:sz w:val="12"/>
                <w:szCs w:val="12"/>
              </w:rPr>
            </w:pPr>
            <w:r w:rsidRPr="00305460">
              <w:rPr>
                <w:sz w:val="12"/>
                <w:szCs w:val="12"/>
              </w:rPr>
              <w:t>Кемеровский городской округ, р-н Центральный, 60м, севернее жилого дома №37 по проспекту Октябрьский</w:t>
            </w:r>
          </w:p>
        </w:tc>
        <w:tc>
          <w:tcPr>
            <w:tcW w:w="289" w:type="pct"/>
            <w:shd w:val="clear" w:color="auto" w:fill="auto"/>
            <w:tcMar>
              <w:left w:w="17" w:type="dxa"/>
              <w:right w:w="17" w:type="dxa"/>
            </w:tcMar>
            <w:vAlign w:val="center"/>
          </w:tcPr>
          <w:p w14:paraId="7FF69AD8" w14:textId="77777777" w:rsidR="001C56BD" w:rsidRPr="00305460" w:rsidRDefault="001C56BD" w:rsidP="008A5C11">
            <w:pPr>
              <w:jc w:val="center"/>
              <w:rPr>
                <w:sz w:val="12"/>
                <w:szCs w:val="12"/>
              </w:rPr>
            </w:pPr>
            <w:r w:rsidRPr="00305460">
              <w:rPr>
                <w:color w:val="000000"/>
                <w:sz w:val="12"/>
                <w:szCs w:val="12"/>
              </w:rPr>
              <w:t>Технические характеристики</w:t>
            </w:r>
          </w:p>
        </w:tc>
        <w:tc>
          <w:tcPr>
            <w:tcW w:w="137" w:type="pct"/>
            <w:shd w:val="clear" w:color="auto" w:fill="auto"/>
            <w:tcMar>
              <w:left w:w="17" w:type="dxa"/>
              <w:right w:w="17" w:type="dxa"/>
            </w:tcMar>
            <w:vAlign w:val="center"/>
          </w:tcPr>
          <w:p w14:paraId="329F57CA" w14:textId="77777777" w:rsidR="001C56BD" w:rsidRPr="00305460" w:rsidRDefault="001C56BD" w:rsidP="008A5C11">
            <w:pPr>
              <w:jc w:val="center"/>
              <w:rPr>
                <w:color w:val="000000"/>
                <w:sz w:val="12"/>
                <w:szCs w:val="12"/>
              </w:rPr>
            </w:pPr>
          </w:p>
        </w:tc>
        <w:tc>
          <w:tcPr>
            <w:tcW w:w="202" w:type="pct"/>
            <w:shd w:val="clear" w:color="auto" w:fill="auto"/>
            <w:tcMar>
              <w:left w:w="17" w:type="dxa"/>
              <w:right w:w="17" w:type="dxa"/>
            </w:tcMar>
            <w:vAlign w:val="center"/>
          </w:tcPr>
          <w:p w14:paraId="25F7BC06" w14:textId="77777777" w:rsidR="001C56BD" w:rsidRPr="00305460" w:rsidRDefault="001C56BD" w:rsidP="008A5C11">
            <w:pPr>
              <w:jc w:val="center"/>
              <w:rPr>
                <w:sz w:val="12"/>
                <w:szCs w:val="12"/>
              </w:rPr>
            </w:pPr>
            <w:r w:rsidRPr="00305460">
              <w:rPr>
                <w:sz w:val="12"/>
                <w:szCs w:val="12"/>
              </w:rPr>
              <w:t xml:space="preserve">Бесканальная </w:t>
            </w:r>
            <w:proofErr w:type="gramStart"/>
            <w:r w:rsidRPr="00305460">
              <w:rPr>
                <w:sz w:val="12"/>
                <w:szCs w:val="12"/>
              </w:rPr>
              <w:t>прокладка,опоры</w:t>
            </w:r>
            <w:proofErr w:type="gramEnd"/>
            <w:r w:rsidRPr="00305460">
              <w:rPr>
                <w:sz w:val="12"/>
                <w:szCs w:val="12"/>
              </w:rPr>
              <w:t xml:space="preserve"> привар-ные, запорная арматура-стальная клиновая, антикоррозийная защита-лак БТ, труба-сталь 20, изоляция-мин. маты.       </w:t>
            </w:r>
          </w:p>
        </w:tc>
        <w:tc>
          <w:tcPr>
            <w:tcW w:w="244" w:type="pct"/>
            <w:shd w:val="clear" w:color="auto" w:fill="auto"/>
            <w:tcMar>
              <w:left w:w="17" w:type="dxa"/>
              <w:right w:w="17" w:type="dxa"/>
            </w:tcMar>
            <w:vAlign w:val="center"/>
          </w:tcPr>
          <w:p w14:paraId="2BF4EB47" w14:textId="77777777" w:rsidR="001C56BD" w:rsidRPr="00305460" w:rsidRDefault="001C56BD" w:rsidP="008A5C11">
            <w:pPr>
              <w:jc w:val="center"/>
              <w:rPr>
                <w:sz w:val="12"/>
                <w:szCs w:val="12"/>
              </w:rPr>
            </w:pPr>
            <w:r w:rsidRPr="00305460">
              <w:rPr>
                <w:sz w:val="12"/>
                <w:szCs w:val="12"/>
              </w:rPr>
              <w:t xml:space="preserve">Канал-ж/б лотки, опоры-хомутовые с диэлектрической прокладкой, запорная арматура - кран шаровый, антикоррозийная защита-мастика Вектор 1214, 1025, труба-сталь 09Г2С, изоляция - маты прошивные, </w:t>
            </w:r>
            <w:proofErr w:type="gramStart"/>
            <w:r w:rsidRPr="00305460">
              <w:rPr>
                <w:sz w:val="12"/>
                <w:szCs w:val="12"/>
              </w:rPr>
              <w:t>стеклоплас-тик</w:t>
            </w:r>
            <w:proofErr w:type="gramEnd"/>
            <w:r w:rsidRPr="00305460">
              <w:rPr>
                <w:sz w:val="12"/>
                <w:szCs w:val="12"/>
              </w:rPr>
              <w:t xml:space="preserve">  </w:t>
            </w:r>
          </w:p>
        </w:tc>
        <w:tc>
          <w:tcPr>
            <w:tcW w:w="140" w:type="pct"/>
            <w:shd w:val="clear" w:color="auto" w:fill="auto"/>
            <w:tcMar>
              <w:left w:w="17" w:type="dxa"/>
              <w:right w:w="17" w:type="dxa"/>
            </w:tcMar>
            <w:vAlign w:val="center"/>
          </w:tcPr>
          <w:p w14:paraId="6DF2C600" w14:textId="77777777" w:rsidR="001C56BD" w:rsidRPr="00305460" w:rsidRDefault="001C56BD" w:rsidP="008A5C11">
            <w:pPr>
              <w:jc w:val="center"/>
              <w:rPr>
                <w:sz w:val="12"/>
                <w:szCs w:val="12"/>
              </w:rPr>
            </w:pPr>
            <w:r w:rsidRPr="00305460">
              <w:rPr>
                <w:sz w:val="12"/>
                <w:szCs w:val="12"/>
              </w:rPr>
              <w:t>2027</w:t>
            </w:r>
          </w:p>
        </w:tc>
        <w:tc>
          <w:tcPr>
            <w:tcW w:w="140" w:type="pct"/>
            <w:shd w:val="clear" w:color="auto" w:fill="auto"/>
            <w:tcMar>
              <w:left w:w="17" w:type="dxa"/>
              <w:right w:w="17" w:type="dxa"/>
            </w:tcMar>
            <w:vAlign w:val="center"/>
          </w:tcPr>
          <w:p w14:paraId="15A2EB95" w14:textId="77777777" w:rsidR="001C56BD" w:rsidRPr="00305460" w:rsidRDefault="001C56BD" w:rsidP="008A5C11">
            <w:pPr>
              <w:jc w:val="center"/>
              <w:rPr>
                <w:sz w:val="12"/>
                <w:szCs w:val="12"/>
              </w:rPr>
            </w:pPr>
            <w:r w:rsidRPr="00305460">
              <w:rPr>
                <w:sz w:val="12"/>
                <w:szCs w:val="12"/>
              </w:rPr>
              <w:t>2027</w:t>
            </w:r>
          </w:p>
        </w:tc>
        <w:tc>
          <w:tcPr>
            <w:tcW w:w="239" w:type="pct"/>
            <w:gridSpan w:val="3"/>
            <w:shd w:val="clear" w:color="auto" w:fill="auto"/>
            <w:tcMar>
              <w:left w:w="17" w:type="dxa"/>
              <w:right w:w="17" w:type="dxa"/>
            </w:tcMar>
            <w:vAlign w:val="center"/>
          </w:tcPr>
          <w:p w14:paraId="26347717" w14:textId="77777777" w:rsidR="001C56BD" w:rsidRPr="00305460" w:rsidRDefault="001C56BD" w:rsidP="008A5C11">
            <w:pPr>
              <w:jc w:val="center"/>
              <w:rPr>
                <w:sz w:val="12"/>
                <w:szCs w:val="12"/>
              </w:rPr>
            </w:pPr>
            <w:r w:rsidRPr="00305460">
              <w:rPr>
                <w:sz w:val="12"/>
                <w:szCs w:val="12"/>
              </w:rPr>
              <w:t>4632,648</w:t>
            </w:r>
          </w:p>
        </w:tc>
        <w:tc>
          <w:tcPr>
            <w:tcW w:w="196" w:type="pct"/>
            <w:gridSpan w:val="3"/>
            <w:shd w:val="clear" w:color="auto" w:fill="auto"/>
            <w:tcMar>
              <w:left w:w="17" w:type="dxa"/>
              <w:right w:w="17" w:type="dxa"/>
            </w:tcMar>
            <w:vAlign w:val="center"/>
          </w:tcPr>
          <w:p w14:paraId="45C97D87" w14:textId="77777777" w:rsidR="001C56BD" w:rsidRPr="00305460" w:rsidRDefault="001C56BD" w:rsidP="008A5C11">
            <w:pPr>
              <w:jc w:val="center"/>
              <w:rPr>
                <w:sz w:val="12"/>
                <w:szCs w:val="12"/>
              </w:rPr>
            </w:pPr>
            <w:r w:rsidRPr="00305460">
              <w:rPr>
                <w:sz w:val="12"/>
                <w:szCs w:val="12"/>
              </w:rPr>
              <w:t>0,000</w:t>
            </w:r>
          </w:p>
        </w:tc>
        <w:tc>
          <w:tcPr>
            <w:tcW w:w="216" w:type="pct"/>
            <w:gridSpan w:val="3"/>
            <w:shd w:val="clear" w:color="auto" w:fill="auto"/>
            <w:tcMar>
              <w:left w:w="17" w:type="dxa"/>
              <w:right w:w="17" w:type="dxa"/>
            </w:tcMar>
            <w:vAlign w:val="center"/>
          </w:tcPr>
          <w:p w14:paraId="5DE18B84" w14:textId="77777777" w:rsidR="001C56BD" w:rsidRPr="00305460" w:rsidRDefault="001C56BD" w:rsidP="008A5C11">
            <w:pPr>
              <w:jc w:val="center"/>
              <w:rPr>
                <w:sz w:val="12"/>
                <w:szCs w:val="12"/>
              </w:rPr>
            </w:pPr>
            <w:r w:rsidRPr="00305460">
              <w:rPr>
                <w:sz w:val="12"/>
                <w:szCs w:val="12"/>
              </w:rPr>
              <w:t>0,000</w:t>
            </w:r>
          </w:p>
        </w:tc>
        <w:tc>
          <w:tcPr>
            <w:tcW w:w="179" w:type="pct"/>
            <w:gridSpan w:val="2"/>
            <w:shd w:val="clear" w:color="auto" w:fill="auto"/>
            <w:tcMar>
              <w:left w:w="17" w:type="dxa"/>
              <w:right w:w="17" w:type="dxa"/>
            </w:tcMar>
            <w:vAlign w:val="center"/>
          </w:tcPr>
          <w:p w14:paraId="30B2413D" w14:textId="77777777" w:rsidR="001C56BD" w:rsidRPr="00305460" w:rsidRDefault="001C56BD" w:rsidP="008A5C11">
            <w:pPr>
              <w:jc w:val="center"/>
              <w:rPr>
                <w:sz w:val="12"/>
                <w:szCs w:val="12"/>
              </w:rPr>
            </w:pPr>
            <w:r w:rsidRPr="00305460">
              <w:rPr>
                <w:sz w:val="12"/>
                <w:szCs w:val="12"/>
              </w:rPr>
              <w:t>0,000</w:t>
            </w:r>
          </w:p>
        </w:tc>
        <w:tc>
          <w:tcPr>
            <w:tcW w:w="222" w:type="pct"/>
            <w:gridSpan w:val="2"/>
            <w:shd w:val="clear" w:color="auto" w:fill="auto"/>
            <w:tcMar>
              <w:left w:w="17" w:type="dxa"/>
              <w:right w:w="17" w:type="dxa"/>
            </w:tcMar>
            <w:vAlign w:val="center"/>
          </w:tcPr>
          <w:p w14:paraId="417D856C" w14:textId="77777777" w:rsidR="001C56BD" w:rsidRPr="00305460" w:rsidRDefault="001C56BD" w:rsidP="008A5C11">
            <w:pPr>
              <w:jc w:val="center"/>
              <w:rPr>
                <w:sz w:val="12"/>
                <w:szCs w:val="12"/>
              </w:rPr>
            </w:pPr>
            <w:r w:rsidRPr="00305460">
              <w:rPr>
                <w:sz w:val="12"/>
                <w:szCs w:val="12"/>
              </w:rPr>
              <w:t>0,000</w:t>
            </w:r>
          </w:p>
        </w:tc>
        <w:tc>
          <w:tcPr>
            <w:tcW w:w="213" w:type="pct"/>
            <w:shd w:val="clear" w:color="auto" w:fill="auto"/>
            <w:tcMar>
              <w:left w:w="17" w:type="dxa"/>
              <w:right w:w="17" w:type="dxa"/>
            </w:tcMar>
            <w:vAlign w:val="center"/>
          </w:tcPr>
          <w:p w14:paraId="077445EC"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12AB1F5E" w14:textId="77777777" w:rsidR="001C56BD" w:rsidRPr="00305460" w:rsidRDefault="001C56BD" w:rsidP="008A5C11">
            <w:pPr>
              <w:jc w:val="center"/>
              <w:rPr>
                <w:sz w:val="12"/>
                <w:szCs w:val="12"/>
              </w:rPr>
            </w:pPr>
            <w:r w:rsidRPr="00305460">
              <w:rPr>
                <w:sz w:val="12"/>
                <w:szCs w:val="12"/>
              </w:rPr>
              <w:t>0,000</w:t>
            </w:r>
          </w:p>
        </w:tc>
        <w:tc>
          <w:tcPr>
            <w:tcW w:w="218" w:type="pct"/>
            <w:shd w:val="clear" w:color="auto" w:fill="auto"/>
            <w:tcMar>
              <w:left w:w="17" w:type="dxa"/>
              <w:right w:w="17" w:type="dxa"/>
            </w:tcMar>
            <w:vAlign w:val="center"/>
          </w:tcPr>
          <w:p w14:paraId="49DF0834" w14:textId="77777777" w:rsidR="001C56BD" w:rsidRPr="00305460" w:rsidRDefault="001C56BD" w:rsidP="008A5C11">
            <w:pPr>
              <w:jc w:val="center"/>
              <w:rPr>
                <w:sz w:val="12"/>
                <w:szCs w:val="12"/>
              </w:rPr>
            </w:pPr>
            <w:r w:rsidRPr="00305460">
              <w:rPr>
                <w:sz w:val="12"/>
                <w:szCs w:val="12"/>
              </w:rPr>
              <w:t>4632,648</w:t>
            </w:r>
          </w:p>
        </w:tc>
        <w:tc>
          <w:tcPr>
            <w:tcW w:w="218" w:type="pct"/>
            <w:shd w:val="clear" w:color="auto" w:fill="auto"/>
            <w:tcMar>
              <w:left w:w="17" w:type="dxa"/>
              <w:right w:w="17" w:type="dxa"/>
            </w:tcMar>
            <w:vAlign w:val="center"/>
          </w:tcPr>
          <w:p w14:paraId="0C4A8F6E" w14:textId="77777777" w:rsidR="001C56BD" w:rsidRPr="00305460" w:rsidRDefault="001C56BD" w:rsidP="008A5C11">
            <w:pPr>
              <w:jc w:val="center"/>
              <w:rPr>
                <w:sz w:val="12"/>
                <w:szCs w:val="12"/>
              </w:rPr>
            </w:pPr>
            <w:r w:rsidRPr="00305460">
              <w:rPr>
                <w:sz w:val="12"/>
                <w:szCs w:val="12"/>
              </w:rPr>
              <w:t>0,000</w:t>
            </w:r>
          </w:p>
        </w:tc>
        <w:tc>
          <w:tcPr>
            <w:tcW w:w="218" w:type="pct"/>
            <w:gridSpan w:val="2"/>
            <w:shd w:val="clear" w:color="auto" w:fill="auto"/>
            <w:tcMar>
              <w:left w:w="17" w:type="dxa"/>
              <w:right w:w="17" w:type="dxa"/>
            </w:tcMar>
            <w:vAlign w:val="center"/>
          </w:tcPr>
          <w:p w14:paraId="236D2EF4" w14:textId="77777777" w:rsidR="001C56BD" w:rsidRPr="00305460" w:rsidRDefault="001C56BD" w:rsidP="008A5C11">
            <w:pPr>
              <w:jc w:val="center"/>
              <w:rPr>
                <w:sz w:val="12"/>
                <w:szCs w:val="12"/>
              </w:rPr>
            </w:pPr>
            <w:r w:rsidRPr="00305460">
              <w:rPr>
                <w:sz w:val="12"/>
                <w:szCs w:val="12"/>
              </w:rPr>
              <w:t>0,000</w:t>
            </w:r>
          </w:p>
        </w:tc>
        <w:tc>
          <w:tcPr>
            <w:tcW w:w="172" w:type="pct"/>
            <w:gridSpan w:val="2"/>
            <w:shd w:val="clear" w:color="auto" w:fill="auto"/>
            <w:tcMar>
              <w:left w:w="17" w:type="dxa"/>
              <w:right w:w="17" w:type="dxa"/>
            </w:tcMar>
            <w:vAlign w:val="center"/>
          </w:tcPr>
          <w:p w14:paraId="2EAEFEC3" w14:textId="77777777" w:rsidR="001C56BD" w:rsidRPr="00305460" w:rsidRDefault="001C56BD" w:rsidP="008A5C11">
            <w:pPr>
              <w:jc w:val="center"/>
              <w:rPr>
                <w:sz w:val="12"/>
                <w:szCs w:val="12"/>
              </w:rPr>
            </w:pPr>
            <w:r w:rsidRPr="00305460">
              <w:rPr>
                <w:sz w:val="12"/>
                <w:szCs w:val="12"/>
              </w:rPr>
              <w:t>0,000</w:t>
            </w:r>
          </w:p>
        </w:tc>
        <w:tc>
          <w:tcPr>
            <w:tcW w:w="219" w:type="pct"/>
            <w:shd w:val="clear" w:color="auto" w:fill="auto"/>
            <w:tcMar>
              <w:left w:w="17" w:type="dxa"/>
              <w:right w:w="17" w:type="dxa"/>
            </w:tcMar>
            <w:vAlign w:val="center"/>
          </w:tcPr>
          <w:p w14:paraId="0A705A8E" w14:textId="77777777" w:rsidR="001C56BD" w:rsidRPr="00305460" w:rsidRDefault="001C56BD" w:rsidP="008A5C11">
            <w:pPr>
              <w:jc w:val="center"/>
              <w:rPr>
                <w:sz w:val="12"/>
                <w:szCs w:val="12"/>
              </w:rPr>
            </w:pPr>
            <w:r w:rsidRPr="00305460">
              <w:rPr>
                <w:sz w:val="12"/>
                <w:szCs w:val="12"/>
              </w:rPr>
              <w:t>0,000</w:t>
            </w:r>
          </w:p>
        </w:tc>
        <w:tc>
          <w:tcPr>
            <w:tcW w:w="174" w:type="pct"/>
            <w:shd w:val="clear" w:color="auto" w:fill="auto"/>
            <w:tcMar>
              <w:left w:w="17" w:type="dxa"/>
              <w:right w:w="17" w:type="dxa"/>
            </w:tcMar>
            <w:vAlign w:val="center"/>
          </w:tcPr>
          <w:p w14:paraId="134EB9A7" w14:textId="77777777" w:rsidR="001C56BD" w:rsidRPr="00305460" w:rsidRDefault="001C56BD" w:rsidP="008A5C11">
            <w:pPr>
              <w:jc w:val="center"/>
              <w:rPr>
                <w:sz w:val="12"/>
                <w:szCs w:val="12"/>
              </w:rPr>
            </w:pPr>
            <w:r w:rsidRPr="00305460">
              <w:rPr>
                <w:sz w:val="12"/>
                <w:szCs w:val="12"/>
              </w:rPr>
              <w:t>0,000</w:t>
            </w:r>
          </w:p>
        </w:tc>
        <w:tc>
          <w:tcPr>
            <w:tcW w:w="176" w:type="pct"/>
            <w:shd w:val="clear" w:color="auto" w:fill="auto"/>
            <w:tcMar>
              <w:left w:w="17" w:type="dxa"/>
              <w:right w:w="17" w:type="dxa"/>
            </w:tcMar>
            <w:vAlign w:val="center"/>
          </w:tcPr>
          <w:p w14:paraId="4E34FAC2" w14:textId="77777777" w:rsidR="001C56BD" w:rsidRPr="00305460" w:rsidRDefault="001C56BD" w:rsidP="008A5C11">
            <w:pPr>
              <w:jc w:val="center"/>
              <w:rPr>
                <w:sz w:val="12"/>
                <w:szCs w:val="12"/>
              </w:rPr>
            </w:pPr>
            <w:r w:rsidRPr="00305460">
              <w:rPr>
                <w:sz w:val="12"/>
                <w:szCs w:val="12"/>
              </w:rPr>
              <w:t>0,000</w:t>
            </w:r>
          </w:p>
        </w:tc>
      </w:tr>
      <w:tr w:rsidR="001C56BD" w:rsidRPr="00305460" w14:paraId="0EBE5EC1" w14:textId="77777777" w:rsidTr="008A5C11">
        <w:trPr>
          <w:trHeight w:val="70"/>
        </w:trPr>
        <w:tc>
          <w:tcPr>
            <w:tcW w:w="5000" w:type="pct"/>
            <w:gridSpan w:val="34"/>
            <w:tcMar>
              <w:left w:w="17" w:type="dxa"/>
              <w:right w:w="17" w:type="dxa"/>
            </w:tcMar>
          </w:tcPr>
          <w:p w14:paraId="3C2FBEFA" w14:textId="77777777" w:rsidR="001C56BD" w:rsidRPr="00305460" w:rsidRDefault="001C56BD" w:rsidP="008A5C11">
            <w:pPr>
              <w:rPr>
                <w:sz w:val="13"/>
                <w:szCs w:val="13"/>
              </w:rPr>
            </w:pPr>
            <w:r w:rsidRPr="00305460">
              <w:rPr>
                <w:sz w:val="13"/>
                <w:szCs w:val="13"/>
              </w:rPr>
              <w:t>3.2. Реконструкция или модернизация существующих объектов системы централизованного теплоснабжения, за исключением тепловых сетей</w:t>
            </w:r>
          </w:p>
        </w:tc>
      </w:tr>
      <w:tr w:rsidR="001C56BD" w:rsidRPr="00305460" w14:paraId="30486B9C" w14:textId="77777777" w:rsidTr="008A5C11">
        <w:trPr>
          <w:trHeight w:val="47"/>
        </w:trPr>
        <w:tc>
          <w:tcPr>
            <w:tcW w:w="2140" w:type="pct"/>
            <w:gridSpan w:val="12"/>
            <w:shd w:val="clear" w:color="auto" w:fill="auto"/>
            <w:tcMar>
              <w:left w:w="17" w:type="dxa"/>
              <w:right w:w="17" w:type="dxa"/>
            </w:tcMar>
            <w:vAlign w:val="center"/>
          </w:tcPr>
          <w:p w14:paraId="3845D51A" w14:textId="77777777" w:rsidR="001C56BD" w:rsidRPr="00305460" w:rsidRDefault="001C56BD" w:rsidP="008A5C11">
            <w:pPr>
              <w:rPr>
                <w:sz w:val="13"/>
                <w:szCs w:val="13"/>
              </w:rPr>
            </w:pPr>
            <w:r w:rsidRPr="00305460">
              <w:rPr>
                <w:sz w:val="13"/>
                <w:szCs w:val="13"/>
              </w:rPr>
              <w:t>Всего по группе 3.</w:t>
            </w:r>
          </w:p>
        </w:tc>
        <w:tc>
          <w:tcPr>
            <w:tcW w:w="239" w:type="pct"/>
            <w:gridSpan w:val="3"/>
            <w:shd w:val="clear" w:color="auto" w:fill="auto"/>
            <w:tcMar>
              <w:left w:w="17" w:type="dxa"/>
              <w:right w:w="17" w:type="dxa"/>
            </w:tcMar>
            <w:vAlign w:val="center"/>
          </w:tcPr>
          <w:p w14:paraId="6A0D08C1" w14:textId="77777777" w:rsidR="001C56BD" w:rsidRPr="00305460" w:rsidRDefault="001C56BD" w:rsidP="008A5C11">
            <w:pPr>
              <w:jc w:val="center"/>
              <w:rPr>
                <w:color w:val="000000"/>
                <w:sz w:val="12"/>
                <w:szCs w:val="12"/>
              </w:rPr>
            </w:pPr>
            <w:r w:rsidRPr="00305460">
              <w:rPr>
                <w:color w:val="000000"/>
                <w:sz w:val="12"/>
                <w:szCs w:val="12"/>
              </w:rPr>
              <w:t>1149716,413</w:t>
            </w:r>
          </w:p>
        </w:tc>
        <w:tc>
          <w:tcPr>
            <w:tcW w:w="189" w:type="pct"/>
            <w:gridSpan w:val="3"/>
            <w:shd w:val="clear" w:color="auto" w:fill="auto"/>
            <w:tcMar>
              <w:left w:w="17" w:type="dxa"/>
              <w:right w:w="17" w:type="dxa"/>
            </w:tcMar>
            <w:vAlign w:val="center"/>
          </w:tcPr>
          <w:p w14:paraId="1115CACE" w14:textId="77777777" w:rsidR="001C56BD" w:rsidRPr="00305460" w:rsidRDefault="001C56BD" w:rsidP="008A5C11">
            <w:pPr>
              <w:jc w:val="center"/>
              <w:rPr>
                <w:color w:val="000000"/>
                <w:sz w:val="12"/>
                <w:szCs w:val="12"/>
              </w:rPr>
            </w:pPr>
            <w:r w:rsidRPr="00305460">
              <w:rPr>
                <w:color w:val="000000"/>
                <w:sz w:val="12"/>
                <w:szCs w:val="12"/>
              </w:rPr>
              <w:t>0,000</w:t>
            </w:r>
          </w:p>
        </w:tc>
        <w:tc>
          <w:tcPr>
            <w:tcW w:w="203" w:type="pct"/>
            <w:shd w:val="clear" w:color="auto" w:fill="auto"/>
            <w:tcMar>
              <w:left w:w="17" w:type="dxa"/>
              <w:right w:w="17" w:type="dxa"/>
            </w:tcMar>
            <w:vAlign w:val="center"/>
          </w:tcPr>
          <w:p w14:paraId="0C11E987" w14:textId="77777777" w:rsidR="001C56BD" w:rsidRPr="00305460" w:rsidRDefault="001C56BD" w:rsidP="008A5C11">
            <w:pPr>
              <w:jc w:val="center"/>
              <w:rPr>
                <w:color w:val="000000"/>
                <w:sz w:val="12"/>
                <w:szCs w:val="12"/>
              </w:rPr>
            </w:pPr>
            <w:r w:rsidRPr="00305460">
              <w:rPr>
                <w:color w:val="000000"/>
                <w:sz w:val="12"/>
                <w:szCs w:val="12"/>
              </w:rPr>
              <w:t>153554,920</w:t>
            </w:r>
          </w:p>
        </w:tc>
        <w:tc>
          <w:tcPr>
            <w:tcW w:w="175" w:type="pct"/>
            <w:shd w:val="clear" w:color="auto" w:fill="auto"/>
            <w:tcMar>
              <w:left w:w="17" w:type="dxa"/>
              <w:right w:w="17" w:type="dxa"/>
            </w:tcMar>
            <w:vAlign w:val="center"/>
          </w:tcPr>
          <w:p w14:paraId="2638855C" w14:textId="77777777" w:rsidR="001C56BD" w:rsidRPr="00305460" w:rsidRDefault="001C56BD" w:rsidP="008A5C11">
            <w:pPr>
              <w:jc w:val="center"/>
              <w:rPr>
                <w:color w:val="000000"/>
                <w:sz w:val="12"/>
                <w:szCs w:val="12"/>
              </w:rPr>
            </w:pPr>
            <w:r w:rsidRPr="00305460">
              <w:rPr>
                <w:color w:val="000000"/>
                <w:sz w:val="12"/>
                <w:szCs w:val="12"/>
              </w:rPr>
              <w:t>110353,276</w:t>
            </w:r>
          </w:p>
        </w:tc>
        <w:tc>
          <w:tcPr>
            <w:tcW w:w="219" w:type="pct"/>
            <w:gridSpan w:val="2"/>
            <w:shd w:val="clear" w:color="auto" w:fill="auto"/>
            <w:tcMar>
              <w:left w:w="17" w:type="dxa"/>
              <w:right w:w="17" w:type="dxa"/>
            </w:tcMar>
            <w:vAlign w:val="center"/>
          </w:tcPr>
          <w:p w14:paraId="6160DF6E" w14:textId="77777777" w:rsidR="001C56BD" w:rsidRPr="00305460" w:rsidRDefault="001C56BD" w:rsidP="008A5C11">
            <w:pPr>
              <w:jc w:val="center"/>
              <w:rPr>
                <w:color w:val="000000"/>
                <w:sz w:val="12"/>
                <w:szCs w:val="12"/>
              </w:rPr>
            </w:pPr>
            <w:r w:rsidRPr="00305460">
              <w:rPr>
                <w:color w:val="000000"/>
                <w:sz w:val="12"/>
                <w:szCs w:val="12"/>
              </w:rPr>
              <w:t>133173,080</w:t>
            </w:r>
          </w:p>
        </w:tc>
        <w:tc>
          <w:tcPr>
            <w:tcW w:w="220" w:type="pct"/>
            <w:gridSpan w:val="2"/>
            <w:shd w:val="clear" w:color="auto" w:fill="auto"/>
            <w:tcMar>
              <w:left w:w="17" w:type="dxa"/>
              <w:right w:w="17" w:type="dxa"/>
            </w:tcMar>
            <w:vAlign w:val="center"/>
          </w:tcPr>
          <w:p w14:paraId="5C6863F6" w14:textId="77777777" w:rsidR="001C56BD" w:rsidRPr="00305460" w:rsidRDefault="001C56BD" w:rsidP="008A5C11">
            <w:pPr>
              <w:jc w:val="center"/>
              <w:rPr>
                <w:color w:val="000000"/>
                <w:sz w:val="12"/>
                <w:szCs w:val="12"/>
              </w:rPr>
            </w:pPr>
            <w:r w:rsidRPr="00305460">
              <w:rPr>
                <w:color w:val="000000"/>
                <w:sz w:val="12"/>
                <w:szCs w:val="12"/>
              </w:rPr>
              <w:t>164364,185</w:t>
            </w:r>
          </w:p>
        </w:tc>
        <w:tc>
          <w:tcPr>
            <w:tcW w:w="218" w:type="pct"/>
            <w:shd w:val="clear" w:color="auto" w:fill="auto"/>
            <w:tcMar>
              <w:left w:w="17" w:type="dxa"/>
              <w:right w:w="17" w:type="dxa"/>
            </w:tcMar>
            <w:vAlign w:val="center"/>
          </w:tcPr>
          <w:p w14:paraId="2BCFCEE0" w14:textId="77777777" w:rsidR="001C56BD" w:rsidRPr="00305460" w:rsidRDefault="001C56BD" w:rsidP="008A5C11">
            <w:pPr>
              <w:jc w:val="center"/>
              <w:rPr>
                <w:color w:val="000000"/>
                <w:sz w:val="12"/>
                <w:szCs w:val="12"/>
              </w:rPr>
            </w:pPr>
            <w:r w:rsidRPr="00305460">
              <w:rPr>
                <w:color w:val="000000"/>
                <w:sz w:val="12"/>
                <w:szCs w:val="12"/>
              </w:rPr>
              <w:t>153619,773</w:t>
            </w:r>
          </w:p>
        </w:tc>
        <w:tc>
          <w:tcPr>
            <w:tcW w:w="218" w:type="pct"/>
            <w:shd w:val="clear" w:color="auto" w:fill="auto"/>
            <w:tcMar>
              <w:left w:w="17" w:type="dxa"/>
              <w:right w:w="17" w:type="dxa"/>
            </w:tcMar>
            <w:vAlign w:val="center"/>
          </w:tcPr>
          <w:p w14:paraId="5E40408A" w14:textId="77777777" w:rsidR="001C56BD" w:rsidRPr="00305460" w:rsidRDefault="001C56BD" w:rsidP="008A5C11">
            <w:pPr>
              <w:jc w:val="center"/>
              <w:rPr>
                <w:color w:val="000000"/>
                <w:sz w:val="12"/>
                <w:szCs w:val="12"/>
              </w:rPr>
            </w:pPr>
            <w:r w:rsidRPr="00305460">
              <w:rPr>
                <w:color w:val="000000"/>
                <w:sz w:val="12"/>
                <w:szCs w:val="12"/>
              </w:rPr>
              <w:t>97615,534</w:t>
            </w:r>
          </w:p>
        </w:tc>
        <w:tc>
          <w:tcPr>
            <w:tcW w:w="218" w:type="pct"/>
            <w:shd w:val="clear" w:color="auto" w:fill="auto"/>
            <w:tcMar>
              <w:left w:w="17" w:type="dxa"/>
              <w:right w:w="17" w:type="dxa"/>
            </w:tcMar>
            <w:vAlign w:val="center"/>
          </w:tcPr>
          <w:p w14:paraId="61F8CDD1" w14:textId="77777777" w:rsidR="001C56BD" w:rsidRPr="00305460" w:rsidRDefault="001C56BD" w:rsidP="008A5C11">
            <w:pPr>
              <w:jc w:val="center"/>
              <w:rPr>
                <w:color w:val="000000"/>
                <w:sz w:val="12"/>
                <w:szCs w:val="12"/>
              </w:rPr>
            </w:pPr>
            <w:r w:rsidRPr="00305460">
              <w:rPr>
                <w:color w:val="000000"/>
                <w:sz w:val="12"/>
                <w:szCs w:val="12"/>
              </w:rPr>
              <w:t>81818,328</w:t>
            </w:r>
          </w:p>
        </w:tc>
        <w:tc>
          <w:tcPr>
            <w:tcW w:w="219" w:type="pct"/>
            <w:gridSpan w:val="2"/>
            <w:shd w:val="clear" w:color="auto" w:fill="auto"/>
            <w:tcMar>
              <w:left w:w="17" w:type="dxa"/>
              <w:right w:w="17" w:type="dxa"/>
            </w:tcMar>
            <w:vAlign w:val="center"/>
          </w:tcPr>
          <w:p w14:paraId="20FCA30B" w14:textId="77777777" w:rsidR="001C56BD" w:rsidRPr="00305460" w:rsidRDefault="001C56BD" w:rsidP="008A5C11">
            <w:pPr>
              <w:jc w:val="center"/>
              <w:rPr>
                <w:color w:val="000000"/>
                <w:sz w:val="12"/>
                <w:szCs w:val="12"/>
              </w:rPr>
            </w:pPr>
            <w:r w:rsidRPr="00305460">
              <w:rPr>
                <w:color w:val="000000"/>
                <w:sz w:val="12"/>
                <w:szCs w:val="12"/>
              </w:rPr>
              <w:t>99302,491</w:t>
            </w:r>
          </w:p>
        </w:tc>
        <w:tc>
          <w:tcPr>
            <w:tcW w:w="170" w:type="pct"/>
            <w:gridSpan w:val="2"/>
            <w:shd w:val="clear" w:color="auto" w:fill="auto"/>
            <w:tcMar>
              <w:left w:w="17" w:type="dxa"/>
              <w:right w:w="17" w:type="dxa"/>
            </w:tcMar>
            <w:vAlign w:val="center"/>
          </w:tcPr>
          <w:p w14:paraId="1707A7DA" w14:textId="77777777" w:rsidR="001C56BD" w:rsidRPr="00305460" w:rsidRDefault="001C56BD" w:rsidP="008A5C11">
            <w:pPr>
              <w:jc w:val="center"/>
              <w:rPr>
                <w:color w:val="000000"/>
                <w:sz w:val="12"/>
                <w:szCs w:val="12"/>
              </w:rPr>
            </w:pPr>
            <w:r w:rsidRPr="00305460">
              <w:rPr>
                <w:color w:val="000000"/>
                <w:sz w:val="12"/>
                <w:szCs w:val="12"/>
              </w:rPr>
              <w:t>73420,500</w:t>
            </w:r>
          </w:p>
        </w:tc>
        <w:tc>
          <w:tcPr>
            <w:tcW w:w="219" w:type="pct"/>
            <w:shd w:val="clear" w:color="auto" w:fill="auto"/>
            <w:tcMar>
              <w:left w:w="17" w:type="dxa"/>
              <w:right w:w="17" w:type="dxa"/>
            </w:tcMar>
            <w:vAlign w:val="center"/>
          </w:tcPr>
          <w:p w14:paraId="1BBF1B48" w14:textId="77777777" w:rsidR="001C56BD" w:rsidRPr="00305460" w:rsidRDefault="001C56BD" w:rsidP="008A5C11">
            <w:pPr>
              <w:jc w:val="center"/>
              <w:rPr>
                <w:color w:val="000000"/>
                <w:sz w:val="12"/>
                <w:szCs w:val="12"/>
              </w:rPr>
            </w:pPr>
            <w:r w:rsidRPr="00305460">
              <w:rPr>
                <w:color w:val="000000"/>
                <w:sz w:val="12"/>
                <w:szCs w:val="12"/>
              </w:rPr>
              <w:t>82494,326</w:t>
            </w:r>
          </w:p>
        </w:tc>
        <w:tc>
          <w:tcPr>
            <w:tcW w:w="174" w:type="pct"/>
            <w:shd w:val="clear" w:color="auto" w:fill="auto"/>
            <w:tcMar>
              <w:left w:w="17" w:type="dxa"/>
              <w:right w:w="17" w:type="dxa"/>
            </w:tcMar>
            <w:vAlign w:val="center"/>
          </w:tcPr>
          <w:p w14:paraId="0D865EC5" w14:textId="77777777" w:rsidR="001C56BD" w:rsidRPr="00305460" w:rsidRDefault="001C56BD" w:rsidP="008A5C11">
            <w:pPr>
              <w:ind w:hanging="91"/>
              <w:jc w:val="center"/>
              <w:rPr>
                <w:color w:val="000000"/>
                <w:sz w:val="13"/>
                <w:szCs w:val="13"/>
              </w:rPr>
            </w:pPr>
            <w:r w:rsidRPr="00305460">
              <w:rPr>
                <w:color w:val="000000"/>
                <w:sz w:val="13"/>
                <w:szCs w:val="13"/>
              </w:rPr>
              <w:t>0,00</w:t>
            </w:r>
          </w:p>
        </w:tc>
        <w:tc>
          <w:tcPr>
            <w:tcW w:w="176" w:type="pct"/>
            <w:shd w:val="clear" w:color="auto" w:fill="auto"/>
            <w:tcMar>
              <w:left w:w="17" w:type="dxa"/>
              <w:right w:w="17" w:type="dxa"/>
            </w:tcMar>
            <w:vAlign w:val="center"/>
          </w:tcPr>
          <w:p w14:paraId="76EE5539" w14:textId="77777777" w:rsidR="001C56BD" w:rsidRPr="00305460" w:rsidRDefault="001C56BD" w:rsidP="008A5C11">
            <w:pPr>
              <w:ind w:hanging="91"/>
              <w:jc w:val="center"/>
              <w:rPr>
                <w:color w:val="000000"/>
                <w:sz w:val="13"/>
                <w:szCs w:val="13"/>
              </w:rPr>
            </w:pPr>
            <w:r w:rsidRPr="00305460">
              <w:rPr>
                <w:color w:val="000000"/>
                <w:sz w:val="13"/>
                <w:szCs w:val="13"/>
              </w:rPr>
              <w:t>0,00</w:t>
            </w:r>
          </w:p>
        </w:tc>
      </w:tr>
      <w:tr w:rsidR="001C56BD" w:rsidRPr="00305460" w14:paraId="0D1C8420" w14:textId="77777777" w:rsidTr="008A5C11">
        <w:trPr>
          <w:trHeight w:val="47"/>
        </w:trPr>
        <w:tc>
          <w:tcPr>
            <w:tcW w:w="5000" w:type="pct"/>
            <w:gridSpan w:val="34"/>
            <w:tcMar>
              <w:left w:w="17" w:type="dxa"/>
              <w:right w:w="17" w:type="dxa"/>
            </w:tcMar>
          </w:tcPr>
          <w:p w14:paraId="65551BE8" w14:textId="77777777" w:rsidR="001C56BD" w:rsidRPr="00305460" w:rsidRDefault="001C56BD" w:rsidP="008A5C11">
            <w:pPr>
              <w:rPr>
                <w:sz w:val="13"/>
                <w:szCs w:val="13"/>
              </w:rPr>
            </w:pPr>
            <w:r w:rsidRPr="00305460">
              <w:rPr>
                <w:bCs/>
                <w:sz w:val="13"/>
                <w:szCs w:val="13"/>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1C56BD" w:rsidRPr="00305460" w14:paraId="492E5A24" w14:textId="77777777" w:rsidTr="008A5C11">
        <w:trPr>
          <w:trHeight w:val="47"/>
        </w:trPr>
        <w:tc>
          <w:tcPr>
            <w:tcW w:w="2140" w:type="pct"/>
            <w:gridSpan w:val="12"/>
            <w:shd w:val="clear" w:color="auto" w:fill="auto"/>
            <w:tcMar>
              <w:left w:w="17" w:type="dxa"/>
              <w:right w:w="17" w:type="dxa"/>
            </w:tcMar>
            <w:vAlign w:val="center"/>
          </w:tcPr>
          <w:p w14:paraId="1A05883C" w14:textId="77777777" w:rsidR="001C56BD" w:rsidRPr="00305460" w:rsidRDefault="001C56BD" w:rsidP="008A5C11">
            <w:pPr>
              <w:rPr>
                <w:sz w:val="13"/>
                <w:szCs w:val="13"/>
              </w:rPr>
            </w:pPr>
            <w:r w:rsidRPr="00305460">
              <w:rPr>
                <w:sz w:val="13"/>
                <w:szCs w:val="13"/>
              </w:rPr>
              <w:t>Всего по группе 4.</w:t>
            </w:r>
          </w:p>
        </w:tc>
        <w:tc>
          <w:tcPr>
            <w:tcW w:w="239" w:type="pct"/>
            <w:gridSpan w:val="3"/>
            <w:shd w:val="clear" w:color="auto" w:fill="auto"/>
            <w:tcMar>
              <w:left w:w="17" w:type="dxa"/>
              <w:right w:w="17" w:type="dxa"/>
            </w:tcMar>
            <w:vAlign w:val="center"/>
          </w:tcPr>
          <w:p w14:paraId="614819A5" w14:textId="77777777" w:rsidR="001C56BD" w:rsidRPr="00305460" w:rsidRDefault="001C56BD" w:rsidP="008A5C11">
            <w:pPr>
              <w:jc w:val="center"/>
              <w:rPr>
                <w:sz w:val="13"/>
                <w:szCs w:val="13"/>
              </w:rPr>
            </w:pPr>
            <w:r w:rsidRPr="00305460">
              <w:rPr>
                <w:sz w:val="13"/>
                <w:szCs w:val="13"/>
              </w:rPr>
              <w:t>0,000</w:t>
            </w:r>
          </w:p>
        </w:tc>
        <w:tc>
          <w:tcPr>
            <w:tcW w:w="189" w:type="pct"/>
            <w:gridSpan w:val="3"/>
            <w:shd w:val="clear" w:color="auto" w:fill="auto"/>
            <w:tcMar>
              <w:left w:w="17" w:type="dxa"/>
              <w:right w:w="17" w:type="dxa"/>
            </w:tcMar>
            <w:vAlign w:val="center"/>
          </w:tcPr>
          <w:p w14:paraId="260CC375" w14:textId="77777777" w:rsidR="001C56BD" w:rsidRPr="00305460" w:rsidRDefault="001C56BD" w:rsidP="008A5C11">
            <w:pPr>
              <w:jc w:val="center"/>
              <w:rPr>
                <w:sz w:val="12"/>
                <w:szCs w:val="12"/>
              </w:rPr>
            </w:pPr>
            <w:r w:rsidRPr="00305460">
              <w:rPr>
                <w:sz w:val="12"/>
                <w:szCs w:val="12"/>
              </w:rPr>
              <w:t>0,000</w:t>
            </w:r>
          </w:p>
        </w:tc>
        <w:tc>
          <w:tcPr>
            <w:tcW w:w="203" w:type="pct"/>
            <w:shd w:val="clear" w:color="auto" w:fill="auto"/>
            <w:tcMar>
              <w:left w:w="17" w:type="dxa"/>
              <w:right w:w="17" w:type="dxa"/>
            </w:tcMar>
            <w:vAlign w:val="center"/>
          </w:tcPr>
          <w:p w14:paraId="52B3244A" w14:textId="77777777" w:rsidR="001C56BD" w:rsidRPr="00305460" w:rsidRDefault="001C56BD" w:rsidP="008A5C11">
            <w:pPr>
              <w:jc w:val="center"/>
              <w:rPr>
                <w:sz w:val="12"/>
                <w:szCs w:val="12"/>
              </w:rPr>
            </w:pPr>
            <w:r w:rsidRPr="00305460">
              <w:rPr>
                <w:sz w:val="12"/>
                <w:szCs w:val="12"/>
              </w:rPr>
              <w:t>0,000</w:t>
            </w:r>
          </w:p>
        </w:tc>
        <w:tc>
          <w:tcPr>
            <w:tcW w:w="175" w:type="pct"/>
            <w:shd w:val="clear" w:color="auto" w:fill="auto"/>
            <w:tcMar>
              <w:left w:w="17" w:type="dxa"/>
              <w:right w:w="17" w:type="dxa"/>
            </w:tcMar>
            <w:vAlign w:val="center"/>
          </w:tcPr>
          <w:p w14:paraId="3D83FAFB" w14:textId="77777777" w:rsidR="001C56BD" w:rsidRPr="00305460" w:rsidRDefault="001C56BD" w:rsidP="008A5C11">
            <w:pPr>
              <w:jc w:val="center"/>
              <w:rPr>
                <w:sz w:val="12"/>
                <w:szCs w:val="12"/>
              </w:rPr>
            </w:pPr>
            <w:r w:rsidRPr="00305460">
              <w:rPr>
                <w:sz w:val="12"/>
                <w:szCs w:val="12"/>
              </w:rPr>
              <w:t>0,000</w:t>
            </w:r>
          </w:p>
        </w:tc>
        <w:tc>
          <w:tcPr>
            <w:tcW w:w="219" w:type="pct"/>
            <w:gridSpan w:val="2"/>
            <w:shd w:val="clear" w:color="auto" w:fill="auto"/>
            <w:tcMar>
              <w:left w:w="17" w:type="dxa"/>
              <w:right w:w="17" w:type="dxa"/>
            </w:tcMar>
            <w:vAlign w:val="center"/>
          </w:tcPr>
          <w:p w14:paraId="0B404FB2" w14:textId="77777777" w:rsidR="001C56BD" w:rsidRPr="00305460" w:rsidRDefault="001C56BD" w:rsidP="008A5C11">
            <w:pPr>
              <w:jc w:val="center"/>
              <w:rPr>
                <w:sz w:val="12"/>
                <w:szCs w:val="12"/>
              </w:rPr>
            </w:pPr>
            <w:r w:rsidRPr="00305460">
              <w:rPr>
                <w:sz w:val="12"/>
                <w:szCs w:val="12"/>
              </w:rPr>
              <w:t>0,000</w:t>
            </w:r>
          </w:p>
        </w:tc>
        <w:tc>
          <w:tcPr>
            <w:tcW w:w="220" w:type="pct"/>
            <w:gridSpan w:val="2"/>
            <w:shd w:val="clear" w:color="auto" w:fill="auto"/>
            <w:tcMar>
              <w:left w:w="17" w:type="dxa"/>
              <w:right w:w="17" w:type="dxa"/>
            </w:tcMar>
            <w:vAlign w:val="center"/>
          </w:tcPr>
          <w:p w14:paraId="3D3E1158" w14:textId="77777777" w:rsidR="001C56BD" w:rsidRPr="00305460" w:rsidRDefault="001C56BD" w:rsidP="008A5C11">
            <w:pPr>
              <w:jc w:val="center"/>
              <w:rPr>
                <w:sz w:val="12"/>
                <w:szCs w:val="12"/>
              </w:rPr>
            </w:pPr>
            <w:r w:rsidRPr="00305460">
              <w:rPr>
                <w:sz w:val="12"/>
                <w:szCs w:val="12"/>
              </w:rPr>
              <w:t>0,000</w:t>
            </w:r>
          </w:p>
        </w:tc>
        <w:tc>
          <w:tcPr>
            <w:tcW w:w="218" w:type="pct"/>
            <w:tcMar>
              <w:left w:w="17" w:type="dxa"/>
              <w:right w:w="17" w:type="dxa"/>
            </w:tcMar>
            <w:vAlign w:val="center"/>
          </w:tcPr>
          <w:p w14:paraId="112C20DB" w14:textId="77777777" w:rsidR="001C56BD" w:rsidRPr="00305460" w:rsidRDefault="001C56BD" w:rsidP="008A5C11">
            <w:pPr>
              <w:jc w:val="center"/>
              <w:rPr>
                <w:sz w:val="12"/>
                <w:szCs w:val="12"/>
              </w:rPr>
            </w:pPr>
            <w:r w:rsidRPr="00305460">
              <w:rPr>
                <w:sz w:val="12"/>
                <w:szCs w:val="12"/>
              </w:rPr>
              <w:t>0,000</w:t>
            </w:r>
          </w:p>
        </w:tc>
        <w:tc>
          <w:tcPr>
            <w:tcW w:w="218" w:type="pct"/>
            <w:tcMar>
              <w:left w:w="17" w:type="dxa"/>
              <w:right w:w="17" w:type="dxa"/>
            </w:tcMar>
            <w:vAlign w:val="center"/>
          </w:tcPr>
          <w:p w14:paraId="64F53AC3" w14:textId="77777777" w:rsidR="001C56BD" w:rsidRPr="00305460" w:rsidRDefault="001C56BD" w:rsidP="008A5C11">
            <w:pPr>
              <w:jc w:val="center"/>
              <w:rPr>
                <w:sz w:val="12"/>
                <w:szCs w:val="12"/>
              </w:rPr>
            </w:pPr>
            <w:r w:rsidRPr="00305460">
              <w:rPr>
                <w:sz w:val="12"/>
                <w:szCs w:val="12"/>
              </w:rPr>
              <w:t>0,000</w:t>
            </w:r>
          </w:p>
        </w:tc>
        <w:tc>
          <w:tcPr>
            <w:tcW w:w="218" w:type="pct"/>
            <w:tcMar>
              <w:left w:w="17" w:type="dxa"/>
              <w:right w:w="17" w:type="dxa"/>
            </w:tcMar>
            <w:vAlign w:val="center"/>
          </w:tcPr>
          <w:p w14:paraId="2EDC3670" w14:textId="77777777" w:rsidR="001C56BD" w:rsidRPr="00305460" w:rsidRDefault="001C56BD" w:rsidP="008A5C11">
            <w:pPr>
              <w:jc w:val="center"/>
              <w:rPr>
                <w:sz w:val="12"/>
                <w:szCs w:val="12"/>
              </w:rPr>
            </w:pPr>
            <w:r w:rsidRPr="00305460">
              <w:rPr>
                <w:sz w:val="12"/>
                <w:szCs w:val="12"/>
              </w:rPr>
              <w:t>0,000</w:t>
            </w:r>
          </w:p>
        </w:tc>
        <w:tc>
          <w:tcPr>
            <w:tcW w:w="219" w:type="pct"/>
            <w:gridSpan w:val="2"/>
            <w:tcMar>
              <w:left w:w="17" w:type="dxa"/>
              <w:right w:w="17" w:type="dxa"/>
            </w:tcMar>
            <w:vAlign w:val="center"/>
          </w:tcPr>
          <w:p w14:paraId="51213A3B" w14:textId="77777777" w:rsidR="001C56BD" w:rsidRPr="00305460" w:rsidRDefault="001C56BD" w:rsidP="008A5C11">
            <w:pPr>
              <w:jc w:val="center"/>
              <w:rPr>
                <w:sz w:val="12"/>
                <w:szCs w:val="12"/>
              </w:rPr>
            </w:pPr>
            <w:r w:rsidRPr="00305460">
              <w:rPr>
                <w:sz w:val="12"/>
                <w:szCs w:val="12"/>
              </w:rPr>
              <w:t>0,000</w:t>
            </w:r>
          </w:p>
        </w:tc>
        <w:tc>
          <w:tcPr>
            <w:tcW w:w="170" w:type="pct"/>
            <w:gridSpan w:val="2"/>
            <w:tcMar>
              <w:left w:w="17" w:type="dxa"/>
              <w:right w:w="17" w:type="dxa"/>
            </w:tcMar>
            <w:vAlign w:val="center"/>
          </w:tcPr>
          <w:p w14:paraId="02C3D795" w14:textId="77777777" w:rsidR="001C56BD" w:rsidRPr="00305460" w:rsidRDefault="001C56BD" w:rsidP="008A5C11">
            <w:pPr>
              <w:jc w:val="center"/>
              <w:rPr>
                <w:sz w:val="12"/>
                <w:szCs w:val="12"/>
              </w:rPr>
            </w:pPr>
            <w:r w:rsidRPr="00305460">
              <w:rPr>
                <w:sz w:val="12"/>
                <w:szCs w:val="12"/>
              </w:rPr>
              <w:t>0,000</w:t>
            </w:r>
          </w:p>
        </w:tc>
        <w:tc>
          <w:tcPr>
            <w:tcW w:w="219" w:type="pct"/>
            <w:tcMar>
              <w:left w:w="17" w:type="dxa"/>
              <w:right w:w="17" w:type="dxa"/>
            </w:tcMar>
            <w:vAlign w:val="center"/>
          </w:tcPr>
          <w:p w14:paraId="2E32230E" w14:textId="77777777" w:rsidR="001C56BD" w:rsidRPr="00305460" w:rsidRDefault="001C56BD" w:rsidP="008A5C11">
            <w:pPr>
              <w:jc w:val="center"/>
              <w:rPr>
                <w:sz w:val="12"/>
                <w:szCs w:val="12"/>
              </w:rPr>
            </w:pPr>
            <w:r w:rsidRPr="00305460">
              <w:rPr>
                <w:sz w:val="12"/>
                <w:szCs w:val="12"/>
              </w:rPr>
              <w:t>0,000</w:t>
            </w:r>
          </w:p>
        </w:tc>
        <w:tc>
          <w:tcPr>
            <w:tcW w:w="174" w:type="pct"/>
            <w:tcMar>
              <w:left w:w="17" w:type="dxa"/>
              <w:right w:w="17" w:type="dxa"/>
            </w:tcMar>
            <w:vAlign w:val="center"/>
          </w:tcPr>
          <w:p w14:paraId="5477A535" w14:textId="77777777" w:rsidR="001C56BD" w:rsidRPr="00305460" w:rsidRDefault="001C56BD" w:rsidP="008A5C11">
            <w:pPr>
              <w:jc w:val="center"/>
              <w:rPr>
                <w:sz w:val="12"/>
                <w:szCs w:val="12"/>
              </w:rPr>
            </w:pPr>
            <w:r w:rsidRPr="00305460">
              <w:rPr>
                <w:sz w:val="12"/>
                <w:szCs w:val="12"/>
              </w:rPr>
              <w:t>0,000</w:t>
            </w:r>
          </w:p>
        </w:tc>
        <w:tc>
          <w:tcPr>
            <w:tcW w:w="176" w:type="pct"/>
            <w:tcMar>
              <w:left w:w="17" w:type="dxa"/>
              <w:right w:w="17" w:type="dxa"/>
            </w:tcMar>
            <w:vAlign w:val="center"/>
          </w:tcPr>
          <w:p w14:paraId="0D09B9EC" w14:textId="77777777" w:rsidR="001C56BD" w:rsidRPr="00305460" w:rsidRDefault="001C56BD" w:rsidP="008A5C11">
            <w:pPr>
              <w:jc w:val="center"/>
              <w:rPr>
                <w:sz w:val="12"/>
                <w:szCs w:val="12"/>
              </w:rPr>
            </w:pPr>
            <w:r w:rsidRPr="00305460">
              <w:rPr>
                <w:sz w:val="12"/>
                <w:szCs w:val="12"/>
              </w:rPr>
              <w:t>0,000</w:t>
            </w:r>
          </w:p>
        </w:tc>
      </w:tr>
      <w:tr w:rsidR="001C56BD" w:rsidRPr="00305460" w14:paraId="7A73922F" w14:textId="77777777" w:rsidTr="008A5C11">
        <w:trPr>
          <w:trHeight w:val="122"/>
        </w:trPr>
        <w:tc>
          <w:tcPr>
            <w:tcW w:w="5000" w:type="pct"/>
            <w:gridSpan w:val="34"/>
            <w:tcMar>
              <w:left w:w="17" w:type="dxa"/>
              <w:right w:w="17" w:type="dxa"/>
            </w:tcMar>
          </w:tcPr>
          <w:p w14:paraId="1244F4E4" w14:textId="77777777" w:rsidR="001C56BD" w:rsidRPr="00305460" w:rsidRDefault="001C56BD" w:rsidP="008A5C11">
            <w:pPr>
              <w:rPr>
                <w:bCs/>
                <w:sz w:val="13"/>
                <w:szCs w:val="13"/>
              </w:rPr>
            </w:pPr>
            <w:r w:rsidRPr="00305460">
              <w:rPr>
                <w:bCs/>
                <w:sz w:val="13"/>
                <w:szCs w:val="13"/>
              </w:rPr>
              <w:t>Группа 5. Вывод из эксплуатации, консервация и демонтаж объектов системы централизованного теплоснабжения</w:t>
            </w:r>
          </w:p>
        </w:tc>
      </w:tr>
      <w:tr w:rsidR="001C56BD" w:rsidRPr="00305460" w14:paraId="523B2316" w14:textId="77777777" w:rsidTr="008A5C11">
        <w:trPr>
          <w:trHeight w:val="96"/>
        </w:trPr>
        <w:tc>
          <w:tcPr>
            <w:tcW w:w="5000" w:type="pct"/>
            <w:gridSpan w:val="34"/>
            <w:tcMar>
              <w:left w:w="17" w:type="dxa"/>
              <w:right w:w="17" w:type="dxa"/>
            </w:tcMar>
          </w:tcPr>
          <w:p w14:paraId="3EBC2097" w14:textId="77777777" w:rsidR="001C56BD" w:rsidRPr="00305460" w:rsidRDefault="001C56BD" w:rsidP="008A5C11">
            <w:pPr>
              <w:rPr>
                <w:bCs/>
                <w:sz w:val="13"/>
                <w:szCs w:val="13"/>
              </w:rPr>
            </w:pPr>
            <w:r w:rsidRPr="00305460">
              <w:rPr>
                <w:bCs/>
                <w:sz w:val="13"/>
                <w:szCs w:val="13"/>
              </w:rPr>
              <w:t>5.1. Вывод из эксплуатации, консервация и демонтаж тепловых сетей</w:t>
            </w:r>
          </w:p>
        </w:tc>
      </w:tr>
      <w:tr w:rsidR="001C56BD" w:rsidRPr="00305460" w14:paraId="2C8E4063" w14:textId="77777777" w:rsidTr="008A5C11">
        <w:trPr>
          <w:trHeight w:val="60"/>
        </w:trPr>
        <w:tc>
          <w:tcPr>
            <w:tcW w:w="5000" w:type="pct"/>
            <w:gridSpan w:val="34"/>
            <w:tcMar>
              <w:left w:w="17" w:type="dxa"/>
              <w:right w:w="17" w:type="dxa"/>
            </w:tcMar>
          </w:tcPr>
          <w:p w14:paraId="41BDE1DA" w14:textId="77777777" w:rsidR="001C56BD" w:rsidRPr="00305460" w:rsidRDefault="001C56BD" w:rsidP="008A5C11">
            <w:pPr>
              <w:rPr>
                <w:bCs/>
                <w:sz w:val="13"/>
                <w:szCs w:val="13"/>
              </w:rPr>
            </w:pPr>
            <w:r w:rsidRPr="00305460">
              <w:rPr>
                <w:bCs/>
                <w:sz w:val="13"/>
                <w:szCs w:val="13"/>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1C56BD" w:rsidRPr="00305460" w14:paraId="13725C40" w14:textId="77777777" w:rsidTr="008A5C11">
        <w:trPr>
          <w:trHeight w:val="47"/>
        </w:trPr>
        <w:tc>
          <w:tcPr>
            <w:tcW w:w="2140" w:type="pct"/>
            <w:gridSpan w:val="12"/>
            <w:shd w:val="clear" w:color="auto" w:fill="auto"/>
            <w:tcMar>
              <w:left w:w="17" w:type="dxa"/>
              <w:right w:w="17" w:type="dxa"/>
            </w:tcMar>
            <w:vAlign w:val="center"/>
            <w:hideMark/>
          </w:tcPr>
          <w:p w14:paraId="6848E7C9" w14:textId="77777777" w:rsidR="001C56BD" w:rsidRPr="00305460" w:rsidRDefault="001C56BD" w:rsidP="008A5C11">
            <w:pPr>
              <w:rPr>
                <w:sz w:val="13"/>
                <w:szCs w:val="13"/>
              </w:rPr>
            </w:pPr>
            <w:r w:rsidRPr="00305460">
              <w:rPr>
                <w:sz w:val="13"/>
                <w:szCs w:val="13"/>
              </w:rPr>
              <w:t>Всего по группе 5.</w:t>
            </w:r>
          </w:p>
        </w:tc>
        <w:tc>
          <w:tcPr>
            <w:tcW w:w="239" w:type="pct"/>
            <w:gridSpan w:val="3"/>
            <w:shd w:val="clear" w:color="auto" w:fill="auto"/>
            <w:tcMar>
              <w:left w:w="17" w:type="dxa"/>
              <w:right w:w="17" w:type="dxa"/>
            </w:tcMar>
            <w:vAlign w:val="center"/>
          </w:tcPr>
          <w:p w14:paraId="4FF0F158" w14:textId="77777777" w:rsidR="001C56BD" w:rsidRPr="00305460" w:rsidRDefault="001C56BD" w:rsidP="008A5C11">
            <w:pPr>
              <w:jc w:val="center"/>
              <w:rPr>
                <w:sz w:val="12"/>
                <w:szCs w:val="12"/>
              </w:rPr>
            </w:pPr>
            <w:r w:rsidRPr="00305460">
              <w:rPr>
                <w:sz w:val="12"/>
                <w:szCs w:val="12"/>
              </w:rPr>
              <w:t>0,000</w:t>
            </w:r>
          </w:p>
        </w:tc>
        <w:tc>
          <w:tcPr>
            <w:tcW w:w="189" w:type="pct"/>
            <w:gridSpan w:val="3"/>
            <w:shd w:val="clear" w:color="auto" w:fill="auto"/>
            <w:tcMar>
              <w:left w:w="17" w:type="dxa"/>
              <w:right w:w="17" w:type="dxa"/>
            </w:tcMar>
            <w:vAlign w:val="center"/>
          </w:tcPr>
          <w:p w14:paraId="6967A950" w14:textId="77777777" w:rsidR="001C56BD" w:rsidRPr="00305460" w:rsidRDefault="001C56BD" w:rsidP="008A5C11">
            <w:pPr>
              <w:jc w:val="center"/>
              <w:rPr>
                <w:sz w:val="12"/>
                <w:szCs w:val="12"/>
              </w:rPr>
            </w:pPr>
            <w:r w:rsidRPr="00305460">
              <w:rPr>
                <w:sz w:val="12"/>
                <w:szCs w:val="12"/>
              </w:rPr>
              <w:t>0,000</w:t>
            </w:r>
          </w:p>
        </w:tc>
        <w:tc>
          <w:tcPr>
            <w:tcW w:w="203" w:type="pct"/>
            <w:shd w:val="clear" w:color="auto" w:fill="auto"/>
            <w:tcMar>
              <w:left w:w="17" w:type="dxa"/>
              <w:right w:w="17" w:type="dxa"/>
            </w:tcMar>
            <w:vAlign w:val="center"/>
          </w:tcPr>
          <w:p w14:paraId="48D754ED" w14:textId="77777777" w:rsidR="001C56BD" w:rsidRPr="00305460" w:rsidRDefault="001C56BD" w:rsidP="008A5C11">
            <w:pPr>
              <w:jc w:val="center"/>
              <w:rPr>
                <w:sz w:val="12"/>
                <w:szCs w:val="12"/>
              </w:rPr>
            </w:pPr>
            <w:r w:rsidRPr="00305460">
              <w:rPr>
                <w:sz w:val="12"/>
                <w:szCs w:val="12"/>
              </w:rPr>
              <w:t>0,000</w:t>
            </w:r>
          </w:p>
        </w:tc>
        <w:tc>
          <w:tcPr>
            <w:tcW w:w="175" w:type="pct"/>
            <w:shd w:val="clear" w:color="auto" w:fill="auto"/>
            <w:tcMar>
              <w:left w:w="17" w:type="dxa"/>
              <w:right w:w="17" w:type="dxa"/>
            </w:tcMar>
            <w:vAlign w:val="center"/>
          </w:tcPr>
          <w:p w14:paraId="07E1F366" w14:textId="77777777" w:rsidR="001C56BD" w:rsidRPr="00305460" w:rsidRDefault="001C56BD" w:rsidP="008A5C11">
            <w:pPr>
              <w:jc w:val="center"/>
              <w:rPr>
                <w:sz w:val="12"/>
                <w:szCs w:val="12"/>
              </w:rPr>
            </w:pPr>
            <w:r w:rsidRPr="00305460">
              <w:rPr>
                <w:sz w:val="12"/>
                <w:szCs w:val="12"/>
              </w:rPr>
              <w:t>0,000</w:t>
            </w:r>
          </w:p>
        </w:tc>
        <w:tc>
          <w:tcPr>
            <w:tcW w:w="219" w:type="pct"/>
            <w:gridSpan w:val="2"/>
            <w:shd w:val="clear" w:color="auto" w:fill="auto"/>
            <w:tcMar>
              <w:left w:w="17" w:type="dxa"/>
              <w:right w:w="17" w:type="dxa"/>
            </w:tcMar>
            <w:vAlign w:val="center"/>
          </w:tcPr>
          <w:p w14:paraId="024347BB" w14:textId="77777777" w:rsidR="001C56BD" w:rsidRPr="00305460" w:rsidRDefault="001C56BD" w:rsidP="008A5C11">
            <w:pPr>
              <w:jc w:val="center"/>
              <w:rPr>
                <w:sz w:val="12"/>
                <w:szCs w:val="12"/>
              </w:rPr>
            </w:pPr>
            <w:r w:rsidRPr="00305460">
              <w:rPr>
                <w:sz w:val="12"/>
                <w:szCs w:val="12"/>
              </w:rPr>
              <w:t>0,000</w:t>
            </w:r>
          </w:p>
        </w:tc>
        <w:tc>
          <w:tcPr>
            <w:tcW w:w="220" w:type="pct"/>
            <w:gridSpan w:val="2"/>
            <w:tcMar>
              <w:left w:w="17" w:type="dxa"/>
              <w:right w:w="17" w:type="dxa"/>
            </w:tcMar>
            <w:vAlign w:val="center"/>
          </w:tcPr>
          <w:p w14:paraId="6A2382D5" w14:textId="77777777" w:rsidR="001C56BD" w:rsidRPr="00305460" w:rsidRDefault="001C56BD" w:rsidP="008A5C11">
            <w:pPr>
              <w:jc w:val="center"/>
              <w:rPr>
                <w:sz w:val="12"/>
                <w:szCs w:val="12"/>
              </w:rPr>
            </w:pPr>
            <w:r w:rsidRPr="00305460">
              <w:rPr>
                <w:sz w:val="12"/>
                <w:szCs w:val="12"/>
              </w:rPr>
              <w:t>0,000</w:t>
            </w:r>
          </w:p>
        </w:tc>
        <w:tc>
          <w:tcPr>
            <w:tcW w:w="218" w:type="pct"/>
            <w:tcMar>
              <w:left w:w="17" w:type="dxa"/>
              <w:right w:w="17" w:type="dxa"/>
            </w:tcMar>
            <w:vAlign w:val="center"/>
          </w:tcPr>
          <w:p w14:paraId="6F5F2488" w14:textId="77777777" w:rsidR="001C56BD" w:rsidRPr="00305460" w:rsidRDefault="001C56BD" w:rsidP="008A5C11">
            <w:pPr>
              <w:jc w:val="center"/>
              <w:rPr>
                <w:sz w:val="12"/>
                <w:szCs w:val="12"/>
              </w:rPr>
            </w:pPr>
            <w:r w:rsidRPr="00305460">
              <w:rPr>
                <w:sz w:val="12"/>
                <w:szCs w:val="12"/>
              </w:rPr>
              <w:t>0,000</w:t>
            </w:r>
          </w:p>
        </w:tc>
        <w:tc>
          <w:tcPr>
            <w:tcW w:w="218" w:type="pct"/>
            <w:tcMar>
              <w:left w:w="17" w:type="dxa"/>
              <w:right w:w="17" w:type="dxa"/>
            </w:tcMar>
            <w:vAlign w:val="center"/>
          </w:tcPr>
          <w:p w14:paraId="30096F9E" w14:textId="77777777" w:rsidR="001C56BD" w:rsidRPr="00305460" w:rsidRDefault="001C56BD" w:rsidP="008A5C11">
            <w:pPr>
              <w:jc w:val="center"/>
              <w:rPr>
                <w:sz w:val="12"/>
                <w:szCs w:val="12"/>
              </w:rPr>
            </w:pPr>
            <w:r w:rsidRPr="00305460">
              <w:rPr>
                <w:sz w:val="12"/>
                <w:szCs w:val="12"/>
              </w:rPr>
              <w:t>0,000</w:t>
            </w:r>
          </w:p>
        </w:tc>
        <w:tc>
          <w:tcPr>
            <w:tcW w:w="218" w:type="pct"/>
            <w:tcMar>
              <w:left w:w="17" w:type="dxa"/>
              <w:right w:w="17" w:type="dxa"/>
            </w:tcMar>
            <w:vAlign w:val="center"/>
          </w:tcPr>
          <w:p w14:paraId="750BBDC3" w14:textId="77777777" w:rsidR="001C56BD" w:rsidRPr="00305460" w:rsidRDefault="001C56BD" w:rsidP="008A5C11">
            <w:pPr>
              <w:jc w:val="center"/>
              <w:rPr>
                <w:sz w:val="12"/>
                <w:szCs w:val="12"/>
              </w:rPr>
            </w:pPr>
            <w:r w:rsidRPr="00305460">
              <w:rPr>
                <w:sz w:val="12"/>
                <w:szCs w:val="12"/>
              </w:rPr>
              <w:t>0,000</w:t>
            </w:r>
          </w:p>
        </w:tc>
        <w:tc>
          <w:tcPr>
            <w:tcW w:w="219" w:type="pct"/>
            <w:gridSpan w:val="2"/>
            <w:tcMar>
              <w:left w:w="17" w:type="dxa"/>
              <w:right w:w="17" w:type="dxa"/>
            </w:tcMar>
            <w:vAlign w:val="center"/>
          </w:tcPr>
          <w:p w14:paraId="5E7BD8F9" w14:textId="77777777" w:rsidR="001C56BD" w:rsidRPr="00305460" w:rsidRDefault="001C56BD" w:rsidP="008A5C11">
            <w:pPr>
              <w:jc w:val="center"/>
              <w:rPr>
                <w:sz w:val="12"/>
                <w:szCs w:val="12"/>
              </w:rPr>
            </w:pPr>
            <w:r w:rsidRPr="00305460">
              <w:rPr>
                <w:sz w:val="12"/>
                <w:szCs w:val="12"/>
              </w:rPr>
              <w:t>0,000</w:t>
            </w:r>
          </w:p>
        </w:tc>
        <w:tc>
          <w:tcPr>
            <w:tcW w:w="170" w:type="pct"/>
            <w:gridSpan w:val="2"/>
            <w:tcMar>
              <w:left w:w="17" w:type="dxa"/>
              <w:right w:w="17" w:type="dxa"/>
            </w:tcMar>
            <w:vAlign w:val="center"/>
          </w:tcPr>
          <w:p w14:paraId="503FC177" w14:textId="77777777" w:rsidR="001C56BD" w:rsidRPr="00305460" w:rsidRDefault="001C56BD" w:rsidP="008A5C11">
            <w:pPr>
              <w:jc w:val="center"/>
              <w:rPr>
                <w:sz w:val="12"/>
                <w:szCs w:val="12"/>
              </w:rPr>
            </w:pPr>
            <w:r w:rsidRPr="00305460">
              <w:rPr>
                <w:sz w:val="12"/>
                <w:szCs w:val="12"/>
              </w:rPr>
              <w:t>0,000</w:t>
            </w:r>
          </w:p>
        </w:tc>
        <w:tc>
          <w:tcPr>
            <w:tcW w:w="219" w:type="pct"/>
            <w:tcMar>
              <w:left w:w="17" w:type="dxa"/>
              <w:right w:w="17" w:type="dxa"/>
            </w:tcMar>
            <w:vAlign w:val="center"/>
          </w:tcPr>
          <w:p w14:paraId="38EDD97B" w14:textId="77777777" w:rsidR="001C56BD" w:rsidRPr="00305460" w:rsidRDefault="001C56BD" w:rsidP="008A5C11">
            <w:pPr>
              <w:jc w:val="center"/>
              <w:rPr>
                <w:sz w:val="12"/>
                <w:szCs w:val="12"/>
              </w:rPr>
            </w:pPr>
            <w:r w:rsidRPr="00305460">
              <w:rPr>
                <w:sz w:val="12"/>
                <w:szCs w:val="12"/>
              </w:rPr>
              <w:t>0,000</w:t>
            </w:r>
          </w:p>
        </w:tc>
        <w:tc>
          <w:tcPr>
            <w:tcW w:w="174" w:type="pct"/>
            <w:tcMar>
              <w:left w:w="17" w:type="dxa"/>
              <w:right w:w="17" w:type="dxa"/>
            </w:tcMar>
            <w:vAlign w:val="center"/>
          </w:tcPr>
          <w:p w14:paraId="17BD2910" w14:textId="77777777" w:rsidR="001C56BD" w:rsidRPr="00305460" w:rsidRDefault="001C56BD" w:rsidP="008A5C11">
            <w:pPr>
              <w:jc w:val="center"/>
              <w:rPr>
                <w:sz w:val="12"/>
                <w:szCs w:val="12"/>
              </w:rPr>
            </w:pPr>
            <w:r w:rsidRPr="00305460">
              <w:rPr>
                <w:sz w:val="12"/>
                <w:szCs w:val="12"/>
              </w:rPr>
              <w:t>0,000</w:t>
            </w:r>
          </w:p>
        </w:tc>
        <w:tc>
          <w:tcPr>
            <w:tcW w:w="176" w:type="pct"/>
            <w:tcMar>
              <w:left w:w="17" w:type="dxa"/>
              <w:right w:w="17" w:type="dxa"/>
            </w:tcMar>
            <w:vAlign w:val="center"/>
          </w:tcPr>
          <w:p w14:paraId="4EDD1B6F" w14:textId="77777777" w:rsidR="001C56BD" w:rsidRPr="00305460" w:rsidRDefault="001C56BD" w:rsidP="008A5C11">
            <w:pPr>
              <w:jc w:val="center"/>
              <w:rPr>
                <w:sz w:val="12"/>
                <w:szCs w:val="12"/>
              </w:rPr>
            </w:pPr>
            <w:r w:rsidRPr="00305460">
              <w:rPr>
                <w:sz w:val="12"/>
                <w:szCs w:val="12"/>
              </w:rPr>
              <w:t>0,000</w:t>
            </w:r>
          </w:p>
        </w:tc>
      </w:tr>
      <w:tr w:rsidR="001C56BD" w:rsidRPr="00305460" w14:paraId="30D603D1" w14:textId="77777777" w:rsidTr="008A5C11">
        <w:trPr>
          <w:trHeight w:val="47"/>
        </w:trPr>
        <w:tc>
          <w:tcPr>
            <w:tcW w:w="2140" w:type="pct"/>
            <w:gridSpan w:val="12"/>
            <w:shd w:val="clear" w:color="auto" w:fill="auto"/>
            <w:tcMar>
              <w:left w:w="17" w:type="dxa"/>
              <w:right w:w="17" w:type="dxa"/>
            </w:tcMar>
            <w:vAlign w:val="center"/>
            <w:hideMark/>
          </w:tcPr>
          <w:p w14:paraId="2549BE72" w14:textId="77777777" w:rsidR="001C56BD" w:rsidRPr="00305460" w:rsidRDefault="001C56BD" w:rsidP="008A5C11">
            <w:pPr>
              <w:rPr>
                <w:sz w:val="13"/>
                <w:szCs w:val="13"/>
              </w:rPr>
            </w:pPr>
            <w:r w:rsidRPr="00305460">
              <w:rPr>
                <w:sz w:val="13"/>
                <w:szCs w:val="13"/>
              </w:rPr>
              <w:t>ИТОГО по программе</w:t>
            </w:r>
          </w:p>
        </w:tc>
        <w:tc>
          <w:tcPr>
            <w:tcW w:w="239" w:type="pct"/>
            <w:gridSpan w:val="3"/>
            <w:shd w:val="clear" w:color="auto" w:fill="auto"/>
            <w:tcMar>
              <w:left w:w="17" w:type="dxa"/>
              <w:right w:w="17" w:type="dxa"/>
            </w:tcMar>
            <w:vAlign w:val="center"/>
          </w:tcPr>
          <w:p w14:paraId="191BE1ED" w14:textId="77777777" w:rsidR="001C56BD" w:rsidRPr="00305460" w:rsidRDefault="001C56BD" w:rsidP="008A5C11">
            <w:pPr>
              <w:jc w:val="center"/>
              <w:rPr>
                <w:color w:val="000000"/>
                <w:sz w:val="12"/>
                <w:szCs w:val="12"/>
              </w:rPr>
            </w:pPr>
            <w:r w:rsidRPr="00305460">
              <w:rPr>
                <w:color w:val="000000"/>
                <w:sz w:val="12"/>
                <w:szCs w:val="12"/>
              </w:rPr>
              <w:t>1161753,583</w:t>
            </w:r>
          </w:p>
        </w:tc>
        <w:tc>
          <w:tcPr>
            <w:tcW w:w="189" w:type="pct"/>
            <w:gridSpan w:val="3"/>
            <w:shd w:val="clear" w:color="auto" w:fill="auto"/>
            <w:tcMar>
              <w:left w:w="17" w:type="dxa"/>
              <w:right w:w="17" w:type="dxa"/>
            </w:tcMar>
            <w:vAlign w:val="center"/>
          </w:tcPr>
          <w:p w14:paraId="5DB6F1A6" w14:textId="77777777" w:rsidR="001C56BD" w:rsidRPr="00305460" w:rsidRDefault="001C56BD" w:rsidP="008A5C11">
            <w:pPr>
              <w:jc w:val="center"/>
              <w:rPr>
                <w:color w:val="000000"/>
                <w:sz w:val="12"/>
                <w:szCs w:val="12"/>
              </w:rPr>
            </w:pPr>
            <w:r w:rsidRPr="00305460">
              <w:rPr>
                <w:color w:val="000000"/>
                <w:sz w:val="12"/>
                <w:szCs w:val="12"/>
              </w:rPr>
              <w:t>0,000</w:t>
            </w:r>
          </w:p>
        </w:tc>
        <w:tc>
          <w:tcPr>
            <w:tcW w:w="203" w:type="pct"/>
            <w:shd w:val="clear" w:color="auto" w:fill="auto"/>
            <w:tcMar>
              <w:left w:w="17" w:type="dxa"/>
              <w:right w:w="17" w:type="dxa"/>
            </w:tcMar>
            <w:vAlign w:val="center"/>
          </w:tcPr>
          <w:p w14:paraId="4E61621E" w14:textId="77777777" w:rsidR="001C56BD" w:rsidRPr="00305460" w:rsidRDefault="001C56BD" w:rsidP="008A5C11">
            <w:pPr>
              <w:jc w:val="center"/>
              <w:rPr>
                <w:color w:val="000000"/>
                <w:sz w:val="12"/>
                <w:szCs w:val="12"/>
              </w:rPr>
            </w:pPr>
            <w:r w:rsidRPr="00305460">
              <w:rPr>
                <w:color w:val="000000"/>
                <w:sz w:val="12"/>
                <w:szCs w:val="12"/>
              </w:rPr>
              <w:t>165592,090</w:t>
            </w:r>
          </w:p>
        </w:tc>
        <w:tc>
          <w:tcPr>
            <w:tcW w:w="175" w:type="pct"/>
            <w:shd w:val="clear" w:color="auto" w:fill="auto"/>
            <w:tcMar>
              <w:left w:w="17" w:type="dxa"/>
              <w:right w:w="17" w:type="dxa"/>
            </w:tcMar>
            <w:vAlign w:val="center"/>
          </w:tcPr>
          <w:p w14:paraId="08FDF98F" w14:textId="77777777" w:rsidR="001C56BD" w:rsidRPr="00305460" w:rsidRDefault="001C56BD" w:rsidP="008A5C11">
            <w:pPr>
              <w:jc w:val="center"/>
              <w:rPr>
                <w:color w:val="000000"/>
                <w:sz w:val="12"/>
                <w:szCs w:val="12"/>
              </w:rPr>
            </w:pPr>
            <w:r w:rsidRPr="00305460">
              <w:rPr>
                <w:color w:val="000000"/>
                <w:sz w:val="12"/>
                <w:szCs w:val="12"/>
              </w:rPr>
              <w:t>110353,276</w:t>
            </w:r>
          </w:p>
        </w:tc>
        <w:tc>
          <w:tcPr>
            <w:tcW w:w="219" w:type="pct"/>
            <w:gridSpan w:val="2"/>
            <w:shd w:val="clear" w:color="auto" w:fill="auto"/>
            <w:tcMar>
              <w:left w:w="17" w:type="dxa"/>
              <w:right w:w="17" w:type="dxa"/>
            </w:tcMar>
            <w:vAlign w:val="center"/>
          </w:tcPr>
          <w:p w14:paraId="125BA291" w14:textId="77777777" w:rsidR="001C56BD" w:rsidRPr="00305460" w:rsidRDefault="001C56BD" w:rsidP="008A5C11">
            <w:pPr>
              <w:jc w:val="center"/>
              <w:rPr>
                <w:color w:val="000000"/>
                <w:sz w:val="12"/>
                <w:szCs w:val="12"/>
              </w:rPr>
            </w:pPr>
            <w:r w:rsidRPr="00305460">
              <w:rPr>
                <w:color w:val="000000"/>
                <w:sz w:val="12"/>
                <w:szCs w:val="12"/>
              </w:rPr>
              <w:t>133173,080</w:t>
            </w:r>
          </w:p>
        </w:tc>
        <w:tc>
          <w:tcPr>
            <w:tcW w:w="220" w:type="pct"/>
            <w:gridSpan w:val="2"/>
            <w:shd w:val="clear" w:color="auto" w:fill="auto"/>
            <w:tcMar>
              <w:left w:w="17" w:type="dxa"/>
              <w:right w:w="17" w:type="dxa"/>
            </w:tcMar>
            <w:vAlign w:val="center"/>
          </w:tcPr>
          <w:p w14:paraId="60785051" w14:textId="77777777" w:rsidR="001C56BD" w:rsidRPr="00305460" w:rsidRDefault="001C56BD" w:rsidP="008A5C11">
            <w:pPr>
              <w:jc w:val="center"/>
              <w:rPr>
                <w:color w:val="000000"/>
                <w:sz w:val="12"/>
                <w:szCs w:val="12"/>
              </w:rPr>
            </w:pPr>
            <w:r w:rsidRPr="00305460">
              <w:rPr>
                <w:color w:val="000000"/>
                <w:sz w:val="12"/>
                <w:szCs w:val="12"/>
              </w:rPr>
              <w:t>164364,185</w:t>
            </w:r>
          </w:p>
        </w:tc>
        <w:tc>
          <w:tcPr>
            <w:tcW w:w="218" w:type="pct"/>
            <w:shd w:val="clear" w:color="auto" w:fill="auto"/>
            <w:tcMar>
              <w:left w:w="17" w:type="dxa"/>
              <w:right w:w="17" w:type="dxa"/>
            </w:tcMar>
            <w:vAlign w:val="center"/>
          </w:tcPr>
          <w:p w14:paraId="02AE23BF" w14:textId="77777777" w:rsidR="001C56BD" w:rsidRPr="00305460" w:rsidRDefault="001C56BD" w:rsidP="008A5C11">
            <w:pPr>
              <w:jc w:val="center"/>
              <w:rPr>
                <w:color w:val="000000"/>
                <w:sz w:val="12"/>
                <w:szCs w:val="12"/>
              </w:rPr>
            </w:pPr>
            <w:r w:rsidRPr="00305460">
              <w:rPr>
                <w:color w:val="000000"/>
                <w:sz w:val="12"/>
                <w:szCs w:val="12"/>
              </w:rPr>
              <w:t>153619,773</w:t>
            </w:r>
          </w:p>
        </w:tc>
        <w:tc>
          <w:tcPr>
            <w:tcW w:w="218" w:type="pct"/>
            <w:shd w:val="clear" w:color="auto" w:fill="auto"/>
            <w:tcMar>
              <w:left w:w="17" w:type="dxa"/>
              <w:right w:w="17" w:type="dxa"/>
            </w:tcMar>
            <w:vAlign w:val="center"/>
          </w:tcPr>
          <w:p w14:paraId="6D9E1493" w14:textId="77777777" w:rsidR="001C56BD" w:rsidRPr="00305460" w:rsidRDefault="001C56BD" w:rsidP="008A5C11">
            <w:pPr>
              <w:jc w:val="center"/>
              <w:rPr>
                <w:color w:val="000000"/>
                <w:sz w:val="12"/>
                <w:szCs w:val="12"/>
              </w:rPr>
            </w:pPr>
            <w:r w:rsidRPr="00305460">
              <w:rPr>
                <w:color w:val="000000"/>
                <w:sz w:val="12"/>
                <w:szCs w:val="12"/>
              </w:rPr>
              <w:t>97615,534</w:t>
            </w:r>
          </w:p>
        </w:tc>
        <w:tc>
          <w:tcPr>
            <w:tcW w:w="218" w:type="pct"/>
            <w:shd w:val="clear" w:color="auto" w:fill="auto"/>
            <w:tcMar>
              <w:left w:w="17" w:type="dxa"/>
              <w:right w:w="17" w:type="dxa"/>
            </w:tcMar>
            <w:vAlign w:val="center"/>
          </w:tcPr>
          <w:p w14:paraId="64884277" w14:textId="77777777" w:rsidR="001C56BD" w:rsidRPr="00305460" w:rsidRDefault="001C56BD" w:rsidP="008A5C11">
            <w:pPr>
              <w:jc w:val="center"/>
              <w:rPr>
                <w:color w:val="000000"/>
                <w:sz w:val="12"/>
                <w:szCs w:val="12"/>
              </w:rPr>
            </w:pPr>
            <w:r w:rsidRPr="00305460">
              <w:rPr>
                <w:color w:val="000000"/>
                <w:sz w:val="12"/>
                <w:szCs w:val="12"/>
              </w:rPr>
              <w:t>81818,328</w:t>
            </w:r>
          </w:p>
        </w:tc>
        <w:tc>
          <w:tcPr>
            <w:tcW w:w="219" w:type="pct"/>
            <w:gridSpan w:val="2"/>
            <w:shd w:val="clear" w:color="auto" w:fill="auto"/>
            <w:tcMar>
              <w:left w:w="17" w:type="dxa"/>
              <w:right w:w="17" w:type="dxa"/>
            </w:tcMar>
            <w:vAlign w:val="center"/>
          </w:tcPr>
          <w:p w14:paraId="5A6AB1C3" w14:textId="77777777" w:rsidR="001C56BD" w:rsidRPr="00305460" w:rsidRDefault="001C56BD" w:rsidP="008A5C11">
            <w:pPr>
              <w:jc w:val="center"/>
              <w:rPr>
                <w:color w:val="000000"/>
                <w:sz w:val="12"/>
                <w:szCs w:val="12"/>
              </w:rPr>
            </w:pPr>
            <w:r w:rsidRPr="00305460">
              <w:rPr>
                <w:color w:val="000000"/>
                <w:sz w:val="12"/>
                <w:szCs w:val="12"/>
              </w:rPr>
              <w:t>99302,491</w:t>
            </w:r>
          </w:p>
        </w:tc>
        <w:tc>
          <w:tcPr>
            <w:tcW w:w="170" w:type="pct"/>
            <w:gridSpan w:val="2"/>
            <w:shd w:val="clear" w:color="auto" w:fill="auto"/>
            <w:tcMar>
              <w:left w:w="17" w:type="dxa"/>
              <w:right w:w="17" w:type="dxa"/>
            </w:tcMar>
            <w:vAlign w:val="center"/>
          </w:tcPr>
          <w:p w14:paraId="4A325A35" w14:textId="77777777" w:rsidR="001C56BD" w:rsidRPr="00305460" w:rsidRDefault="001C56BD" w:rsidP="008A5C11">
            <w:pPr>
              <w:jc w:val="center"/>
              <w:rPr>
                <w:color w:val="000000"/>
                <w:sz w:val="12"/>
                <w:szCs w:val="12"/>
              </w:rPr>
            </w:pPr>
            <w:r w:rsidRPr="00305460">
              <w:rPr>
                <w:color w:val="000000"/>
                <w:sz w:val="12"/>
                <w:szCs w:val="12"/>
              </w:rPr>
              <w:t>73420,500</w:t>
            </w:r>
          </w:p>
        </w:tc>
        <w:tc>
          <w:tcPr>
            <w:tcW w:w="219" w:type="pct"/>
            <w:shd w:val="clear" w:color="auto" w:fill="auto"/>
            <w:tcMar>
              <w:left w:w="17" w:type="dxa"/>
              <w:right w:w="17" w:type="dxa"/>
            </w:tcMar>
            <w:vAlign w:val="center"/>
          </w:tcPr>
          <w:p w14:paraId="08BB9154" w14:textId="77777777" w:rsidR="001C56BD" w:rsidRPr="00305460" w:rsidRDefault="001C56BD" w:rsidP="008A5C11">
            <w:pPr>
              <w:jc w:val="center"/>
              <w:rPr>
                <w:color w:val="000000"/>
                <w:sz w:val="12"/>
                <w:szCs w:val="12"/>
              </w:rPr>
            </w:pPr>
            <w:r w:rsidRPr="00305460">
              <w:rPr>
                <w:color w:val="000000"/>
                <w:sz w:val="12"/>
                <w:szCs w:val="12"/>
              </w:rPr>
              <w:t>82494,326</w:t>
            </w:r>
          </w:p>
        </w:tc>
        <w:tc>
          <w:tcPr>
            <w:tcW w:w="174" w:type="pct"/>
            <w:shd w:val="clear" w:color="000000" w:fill="FFFFFF"/>
            <w:tcMar>
              <w:left w:w="17" w:type="dxa"/>
              <w:right w:w="17" w:type="dxa"/>
            </w:tcMar>
            <w:vAlign w:val="center"/>
          </w:tcPr>
          <w:p w14:paraId="1EC2F07A" w14:textId="77777777" w:rsidR="001C56BD" w:rsidRPr="00305460" w:rsidRDefault="001C56BD" w:rsidP="008A5C11">
            <w:pPr>
              <w:jc w:val="center"/>
              <w:rPr>
                <w:sz w:val="12"/>
                <w:szCs w:val="12"/>
              </w:rPr>
            </w:pPr>
            <w:r w:rsidRPr="00305460">
              <w:rPr>
                <w:sz w:val="12"/>
                <w:szCs w:val="12"/>
              </w:rPr>
              <w:t>0,000</w:t>
            </w:r>
          </w:p>
        </w:tc>
        <w:tc>
          <w:tcPr>
            <w:tcW w:w="176" w:type="pct"/>
            <w:shd w:val="clear" w:color="000000" w:fill="FFFFFF"/>
            <w:tcMar>
              <w:left w:w="17" w:type="dxa"/>
              <w:right w:w="17" w:type="dxa"/>
            </w:tcMar>
            <w:vAlign w:val="center"/>
          </w:tcPr>
          <w:p w14:paraId="37902B33" w14:textId="77777777" w:rsidR="001C56BD" w:rsidRPr="00305460" w:rsidRDefault="001C56BD" w:rsidP="008A5C11">
            <w:pPr>
              <w:ind w:hanging="35"/>
              <w:jc w:val="center"/>
              <w:rPr>
                <w:sz w:val="12"/>
                <w:szCs w:val="12"/>
              </w:rPr>
            </w:pPr>
            <w:r w:rsidRPr="00305460">
              <w:rPr>
                <w:sz w:val="12"/>
                <w:szCs w:val="12"/>
              </w:rPr>
              <w:t>12037,170</w:t>
            </w:r>
          </w:p>
        </w:tc>
      </w:tr>
    </w:tbl>
    <w:p w14:paraId="1D5D3CEC" w14:textId="77777777" w:rsidR="001C56BD" w:rsidRPr="00305460" w:rsidRDefault="001C56BD" w:rsidP="001C56BD">
      <w:pPr>
        <w:ind w:left="284" w:right="536"/>
        <w:jc w:val="center"/>
        <w:rPr>
          <w:b/>
          <w:bCs/>
          <w:sz w:val="28"/>
          <w:szCs w:val="28"/>
        </w:rPr>
      </w:pPr>
    </w:p>
    <w:bookmarkEnd w:id="77"/>
    <w:p w14:paraId="1CF6F4F7" w14:textId="77777777" w:rsidR="001C56BD" w:rsidRPr="00305460" w:rsidRDefault="001C56BD" w:rsidP="001C56BD">
      <w:pPr>
        <w:rPr>
          <w:sz w:val="20"/>
          <w:szCs w:val="20"/>
        </w:rPr>
      </w:pPr>
    </w:p>
    <w:p w14:paraId="4920694B" w14:textId="77777777" w:rsidR="001C56BD" w:rsidRDefault="001C56BD" w:rsidP="001C56BD">
      <w:pPr>
        <w:tabs>
          <w:tab w:val="left" w:pos="5580"/>
          <w:tab w:val="left" w:pos="9498"/>
        </w:tabs>
        <w:ind w:right="-569"/>
        <w:rPr>
          <w:color w:val="000000" w:themeColor="text1"/>
        </w:rPr>
        <w:sectPr w:rsidR="001C56BD" w:rsidSect="00305460">
          <w:pgSz w:w="16838" w:h="11906" w:orient="landscape"/>
          <w:pgMar w:top="1701" w:right="1134" w:bottom="850" w:left="1134" w:header="708" w:footer="708" w:gutter="0"/>
          <w:cols w:space="708"/>
          <w:docGrid w:linePitch="360"/>
        </w:sectPr>
      </w:pPr>
    </w:p>
    <w:p w14:paraId="1AFDC742" w14:textId="54159744" w:rsidR="001C56BD" w:rsidRPr="00081AD4" w:rsidRDefault="001C56BD" w:rsidP="001C56BD">
      <w:pPr>
        <w:tabs>
          <w:tab w:val="left" w:pos="3686"/>
          <w:tab w:val="left" w:pos="9498"/>
        </w:tabs>
        <w:ind w:left="-3734" w:right="-1" w:firstLine="8270"/>
        <w:rPr>
          <w:color w:val="000000" w:themeColor="text1"/>
        </w:rPr>
      </w:pPr>
      <w:r w:rsidRPr="00081AD4">
        <w:rPr>
          <w:color w:val="000000" w:themeColor="text1"/>
        </w:rPr>
        <w:t xml:space="preserve">Приложение № </w:t>
      </w:r>
      <w:r>
        <w:rPr>
          <w:color w:val="000000" w:themeColor="text1"/>
        </w:rPr>
        <w:t>1</w:t>
      </w:r>
      <w:r>
        <w:rPr>
          <w:color w:val="000000" w:themeColor="text1"/>
        </w:rPr>
        <w:t>8</w:t>
      </w:r>
      <w:r>
        <w:rPr>
          <w:color w:val="000000" w:themeColor="text1"/>
        </w:rPr>
        <w:t xml:space="preserve"> к протоколу</w:t>
      </w:r>
      <w:r w:rsidRPr="00081AD4">
        <w:rPr>
          <w:color w:val="000000" w:themeColor="text1"/>
        </w:rPr>
        <w:t xml:space="preserve"> № </w:t>
      </w:r>
      <w:r>
        <w:rPr>
          <w:color w:val="000000" w:themeColor="text1"/>
        </w:rPr>
        <w:t>88</w:t>
      </w:r>
    </w:p>
    <w:p w14:paraId="14D1E826" w14:textId="77777777" w:rsidR="001C56BD" w:rsidRPr="00081AD4" w:rsidRDefault="001C56BD" w:rsidP="001C56BD">
      <w:pPr>
        <w:tabs>
          <w:tab w:val="left" w:pos="3686"/>
          <w:tab w:val="left" w:pos="9498"/>
        </w:tabs>
        <w:ind w:left="-3734" w:right="-1" w:firstLine="8270"/>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53C3C3FC" w14:textId="77777777" w:rsidR="001C56BD" w:rsidRPr="00081AD4" w:rsidRDefault="001C56BD" w:rsidP="001C56BD">
      <w:pPr>
        <w:tabs>
          <w:tab w:val="left" w:pos="3686"/>
          <w:tab w:val="left" w:pos="9498"/>
        </w:tabs>
        <w:ind w:left="-3734" w:right="-1" w:firstLine="8270"/>
        <w:rPr>
          <w:color w:val="000000" w:themeColor="text1"/>
        </w:rPr>
      </w:pPr>
      <w:r w:rsidRPr="00081AD4">
        <w:rPr>
          <w:color w:val="000000" w:themeColor="text1"/>
        </w:rPr>
        <w:t>энергетической комиссии</w:t>
      </w:r>
    </w:p>
    <w:p w14:paraId="720ACB71" w14:textId="1F407494" w:rsidR="001C56BD" w:rsidRDefault="001C56BD" w:rsidP="001C56BD">
      <w:pPr>
        <w:autoSpaceDE w:val="0"/>
        <w:autoSpaceDN w:val="0"/>
        <w:adjustRightInd w:val="0"/>
        <w:jc w:val="center"/>
        <w:rPr>
          <w:color w:val="000000" w:themeColor="text1"/>
        </w:rPr>
      </w:pPr>
      <w:r>
        <w:rPr>
          <w:color w:val="000000" w:themeColor="text1"/>
        </w:rPr>
        <w:t xml:space="preserve">                                   </w:t>
      </w:r>
      <w:r w:rsidRPr="00081AD4">
        <w:rPr>
          <w:color w:val="000000" w:themeColor="text1"/>
        </w:rPr>
        <w:t xml:space="preserve">Кузбасса от </w:t>
      </w:r>
      <w:r>
        <w:rPr>
          <w:color w:val="000000" w:themeColor="text1"/>
        </w:rPr>
        <w:t>23</w:t>
      </w:r>
      <w:r w:rsidRPr="00081AD4">
        <w:rPr>
          <w:color w:val="000000" w:themeColor="text1"/>
        </w:rPr>
        <w:t>.</w:t>
      </w:r>
      <w:r>
        <w:rPr>
          <w:color w:val="000000" w:themeColor="text1"/>
        </w:rPr>
        <w:t>12</w:t>
      </w:r>
      <w:r w:rsidRPr="00081AD4">
        <w:rPr>
          <w:color w:val="000000" w:themeColor="text1"/>
        </w:rPr>
        <w:t>.202</w:t>
      </w:r>
      <w:r>
        <w:rPr>
          <w:color w:val="000000" w:themeColor="text1"/>
        </w:rPr>
        <w:t>1</w:t>
      </w:r>
    </w:p>
    <w:p w14:paraId="5CBD7176" w14:textId="77777777" w:rsidR="001C56BD" w:rsidRDefault="001C56BD" w:rsidP="001C56BD">
      <w:pPr>
        <w:autoSpaceDE w:val="0"/>
        <w:autoSpaceDN w:val="0"/>
        <w:adjustRightInd w:val="0"/>
        <w:jc w:val="center"/>
        <w:rPr>
          <w:b/>
          <w:color w:val="000000"/>
          <w:sz w:val="28"/>
          <w:szCs w:val="28"/>
        </w:rPr>
      </w:pPr>
    </w:p>
    <w:p w14:paraId="5FB0DD5F" w14:textId="232BA749" w:rsidR="001C56BD" w:rsidRPr="00F92667" w:rsidRDefault="001C56BD" w:rsidP="001C56BD">
      <w:pPr>
        <w:autoSpaceDE w:val="0"/>
        <w:autoSpaceDN w:val="0"/>
        <w:adjustRightInd w:val="0"/>
        <w:jc w:val="center"/>
        <w:rPr>
          <w:b/>
          <w:color w:val="000000"/>
          <w:sz w:val="28"/>
          <w:szCs w:val="28"/>
        </w:rPr>
      </w:pPr>
      <w:r w:rsidRPr="00F92667">
        <w:rPr>
          <w:b/>
          <w:color w:val="000000"/>
          <w:sz w:val="28"/>
          <w:szCs w:val="28"/>
        </w:rPr>
        <w:t xml:space="preserve">Паспорт инвестиционной программы в сфере теплоснабжения </w:t>
      </w:r>
      <w:r w:rsidRPr="00F92667">
        <w:rPr>
          <w:b/>
          <w:color w:val="000000"/>
          <w:sz w:val="28"/>
          <w:szCs w:val="28"/>
        </w:rPr>
        <w:br/>
        <w:t>АО «Кузбассэнерго» (филиал «Кемеровская теплосетевая компания»)</w:t>
      </w:r>
      <w:r w:rsidRPr="00F92667">
        <w:rPr>
          <w:b/>
          <w:color w:val="000000"/>
          <w:sz w:val="28"/>
          <w:szCs w:val="28"/>
        </w:rPr>
        <w:br/>
      </w:r>
      <w:r w:rsidRPr="00F92667">
        <w:rPr>
          <w:b/>
          <w:sz w:val="28"/>
          <w:szCs w:val="28"/>
        </w:rPr>
        <w:t>на 2022</w:t>
      </w:r>
      <w:r w:rsidRPr="00F92667">
        <w:rPr>
          <w:b/>
          <w:color w:val="000000"/>
          <w:sz w:val="28"/>
          <w:szCs w:val="28"/>
        </w:rPr>
        <w:t xml:space="preserve"> - 2031 годы</w:t>
      </w:r>
    </w:p>
    <w:p w14:paraId="1F296DAA" w14:textId="77777777" w:rsidR="001C56BD" w:rsidRPr="00F92667" w:rsidRDefault="001C56BD" w:rsidP="001C56BD">
      <w:pPr>
        <w:autoSpaceDE w:val="0"/>
        <w:autoSpaceDN w:val="0"/>
        <w:adjustRightInd w:val="0"/>
        <w:jc w:val="center"/>
        <w:rPr>
          <w:b/>
          <w:color w:val="000000"/>
          <w:sz w:val="28"/>
          <w:szCs w:val="28"/>
        </w:rPr>
      </w:pPr>
    </w:p>
    <w:p w14:paraId="1360D8AB" w14:textId="77777777" w:rsidR="001C56BD" w:rsidRPr="00F92667" w:rsidRDefault="001C56BD" w:rsidP="001C56BD">
      <w:pPr>
        <w:autoSpaceDE w:val="0"/>
        <w:autoSpaceDN w:val="0"/>
        <w:adjustRightInd w:val="0"/>
        <w:jc w:val="center"/>
        <w:rPr>
          <w:b/>
          <w:color w:val="000000"/>
          <w:sz w:val="28"/>
          <w:szCs w:val="28"/>
        </w:rPr>
      </w:pP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724"/>
        <w:gridCol w:w="4620"/>
      </w:tblGrid>
      <w:tr w:rsidR="001C56BD" w:rsidRPr="00F92667" w14:paraId="30B90CA7" w14:textId="77777777" w:rsidTr="008A5C11">
        <w:trPr>
          <w:trHeight w:val="882"/>
        </w:trPr>
        <w:tc>
          <w:tcPr>
            <w:tcW w:w="2528" w:type="pct"/>
            <w:shd w:val="clear" w:color="auto" w:fill="FFFFFF"/>
            <w:vAlign w:val="center"/>
          </w:tcPr>
          <w:p w14:paraId="0564DDA9" w14:textId="77777777" w:rsidR="001C56BD" w:rsidRPr="00F92667" w:rsidRDefault="001C56BD" w:rsidP="001C56BD">
            <w:pPr>
              <w:widowControl w:val="0"/>
              <w:numPr>
                <w:ilvl w:val="0"/>
                <w:numId w:val="17"/>
              </w:numPr>
              <w:spacing w:line="230" w:lineRule="exact"/>
              <w:ind w:left="0" w:firstLine="0"/>
              <w:jc w:val="center"/>
            </w:pPr>
            <w:r w:rsidRPr="00F92667">
              <w:rPr>
                <w:color w:val="000000"/>
              </w:rPr>
              <w:t>Наименование организации, в отношении которой разрабатывается инвестиционная программа в сфере теплоснабжения</w:t>
            </w:r>
          </w:p>
        </w:tc>
        <w:tc>
          <w:tcPr>
            <w:tcW w:w="2472" w:type="pct"/>
            <w:shd w:val="clear" w:color="auto" w:fill="FFFFFF"/>
            <w:vAlign w:val="center"/>
          </w:tcPr>
          <w:p w14:paraId="09983F17" w14:textId="77777777" w:rsidR="001C56BD" w:rsidRPr="00F92667" w:rsidRDefault="001C56BD" w:rsidP="008A5C11">
            <w:pPr>
              <w:jc w:val="center"/>
            </w:pPr>
            <w:r w:rsidRPr="00F92667">
              <w:t>Филиал АО «Кузбассэнерго»- «Кемеровская теплосетевая компания»</w:t>
            </w:r>
          </w:p>
        </w:tc>
      </w:tr>
      <w:tr w:rsidR="001C56BD" w:rsidRPr="00F92667" w14:paraId="4473CA1A" w14:textId="77777777" w:rsidTr="008A5C11">
        <w:trPr>
          <w:trHeight w:val="699"/>
        </w:trPr>
        <w:tc>
          <w:tcPr>
            <w:tcW w:w="2528" w:type="pct"/>
            <w:shd w:val="clear" w:color="auto" w:fill="FFFFFF"/>
            <w:vAlign w:val="center"/>
          </w:tcPr>
          <w:p w14:paraId="46273E74" w14:textId="77777777" w:rsidR="001C56BD" w:rsidRPr="00F92667" w:rsidRDefault="001C56BD" w:rsidP="001C56BD">
            <w:pPr>
              <w:widowControl w:val="0"/>
              <w:numPr>
                <w:ilvl w:val="0"/>
                <w:numId w:val="17"/>
              </w:numPr>
              <w:spacing w:line="200" w:lineRule="exact"/>
              <w:ind w:left="0" w:firstLine="0"/>
              <w:jc w:val="center"/>
            </w:pPr>
            <w:r w:rsidRPr="00F92667">
              <w:rPr>
                <w:color w:val="000000"/>
              </w:rPr>
              <w:t>Местонахождение регулируемой организации</w:t>
            </w:r>
          </w:p>
        </w:tc>
        <w:tc>
          <w:tcPr>
            <w:tcW w:w="2472" w:type="pct"/>
            <w:shd w:val="clear" w:color="auto" w:fill="auto"/>
            <w:vAlign w:val="center"/>
          </w:tcPr>
          <w:p w14:paraId="6A93D589" w14:textId="77777777" w:rsidR="001C56BD" w:rsidRPr="00F92667" w:rsidRDefault="001C56BD" w:rsidP="008A5C11">
            <w:pPr>
              <w:jc w:val="center"/>
            </w:pPr>
            <w:r w:rsidRPr="00F92667">
              <w:t>650000, г. Кемерово, пр-т. Кузнецкий, 30</w:t>
            </w:r>
          </w:p>
        </w:tc>
      </w:tr>
      <w:tr w:rsidR="001C56BD" w:rsidRPr="00F92667" w14:paraId="1CDD3CED" w14:textId="77777777" w:rsidTr="008A5C11">
        <w:trPr>
          <w:trHeight w:val="400"/>
        </w:trPr>
        <w:tc>
          <w:tcPr>
            <w:tcW w:w="2528" w:type="pct"/>
            <w:shd w:val="clear" w:color="auto" w:fill="FFFFFF"/>
            <w:vAlign w:val="center"/>
          </w:tcPr>
          <w:p w14:paraId="291D1F6A" w14:textId="77777777" w:rsidR="001C56BD" w:rsidRPr="00F92667" w:rsidRDefault="001C56BD" w:rsidP="001C56BD">
            <w:pPr>
              <w:widowControl w:val="0"/>
              <w:numPr>
                <w:ilvl w:val="0"/>
                <w:numId w:val="17"/>
              </w:numPr>
              <w:spacing w:line="200" w:lineRule="exact"/>
              <w:ind w:left="0" w:firstLine="0"/>
              <w:jc w:val="center"/>
            </w:pPr>
            <w:r w:rsidRPr="00F92667">
              <w:rPr>
                <w:color w:val="000000"/>
              </w:rPr>
              <w:t>Сроки реализации инвестиционной программы</w:t>
            </w:r>
          </w:p>
        </w:tc>
        <w:tc>
          <w:tcPr>
            <w:tcW w:w="2472" w:type="pct"/>
            <w:shd w:val="clear" w:color="auto" w:fill="auto"/>
            <w:vAlign w:val="center"/>
          </w:tcPr>
          <w:p w14:paraId="5D4AE26C" w14:textId="77777777" w:rsidR="001C56BD" w:rsidRPr="00F92667" w:rsidRDefault="001C56BD" w:rsidP="008A5C11">
            <w:pPr>
              <w:jc w:val="center"/>
            </w:pPr>
            <w:r w:rsidRPr="00F92667">
              <w:t>2022 - 2031 г.г.</w:t>
            </w:r>
          </w:p>
        </w:tc>
      </w:tr>
      <w:tr w:rsidR="001C56BD" w:rsidRPr="00F92667" w14:paraId="6866D913" w14:textId="77777777" w:rsidTr="008A5C11">
        <w:trPr>
          <w:trHeight w:val="110"/>
        </w:trPr>
        <w:tc>
          <w:tcPr>
            <w:tcW w:w="2528" w:type="pct"/>
            <w:shd w:val="clear" w:color="auto" w:fill="FFFFFF"/>
            <w:vAlign w:val="center"/>
          </w:tcPr>
          <w:p w14:paraId="6E7714F4" w14:textId="77777777" w:rsidR="001C56BD" w:rsidRPr="00F92667" w:rsidRDefault="001C56BD" w:rsidP="001C56BD">
            <w:pPr>
              <w:widowControl w:val="0"/>
              <w:numPr>
                <w:ilvl w:val="0"/>
                <w:numId w:val="17"/>
              </w:numPr>
              <w:spacing w:line="234" w:lineRule="exact"/>
              <w:ind w:left="0" w:firstLine="0"/>
              <w:jc w:val="center"/>
            </w:pPr>
            <w:r w:rsidRPr="00F92667">
              <w:rPr>
                <w:color w:val="000000"/>
              </w:rPr>
              <w:t>Лицо, ответственное за разработку инвестиционной программы</w:t>
            </w:r>
          </w:p>
        </w:tc>
        <w:tc>
          <w:tcPr>
            <w:tcW w:w="2472" w:type="pct"/>
            <w:shd w:val="clear" w:color="auto" w:fill="auto"/>
            <w:vAlign w:val="center"/>
          </w:tcPr>
          <w:p w14:paraId="696BD212" w14:textId="77777777" w:rsidR="001C56BD" w:rsidRPr="00F92667" w:rsidRDefault="001C56BD" w:rsidP="008A5C11">
            <w:pPr>
              <w:jc w:val="center"/>
            </w:pPr>
            <w:r w:rsidRPr="00F92667">
              <w:t>Заместитель директора по развитию Кудряшов Дмитрий Семенович</w:t>
            </w:r>
          </w:p>
        </w:tc>
      </w:tr>
      <w:tr w:rsidR="001C56BD" w:rsidRPr="00F92667" w14:paraId="6C597ACB" w14:textId="77777777" w:rsidTr="008A5C11">
        <w:trPr>
          <w:trHeight w:val="626"/>
        </w:trPr>
        <w:tc>
          <w:tcPr>
            <w:tcW w:w="2528" w:type="pct"/>
            <w:shd w:val="clear" w:color="auto" w:fill="FFFFFF"/>
            <w:vAlign w:val="center"/>
          </w:tcPr>
          <w:p w14:paraId="4CA29441" w14:textId="77777777" w:rsidR="001C56BD" w:rsidRPr="00F92667" w:rsidRDefault="001C56BD" w:rsidP="001C56BD">
            <w:pPr>
              <w:widowControl w:val="0"/>
              <w:numPr>
                <w:ilvl w:val="0"/>
                <w:numId w:val="17"/>
              </w:numPr>
              <w:spacing w:line="230" w:lineRule="exact"/>
              <w:ind w:left="0" w:firstLine="0"/>
              <w:jc w:val="center"/>
            </w:pPr>
            <w:r w:rsidRPr="00F92667">
              <w:rPr>
                <w:color w:val="000000"/>
              </w:rPr>
              <w:t>Контактная информация лица, ответственного за разработку инвестиционной программы</w:t>
            </w:r>
          </w:p>
        </w:tc>
        <w:tc>
          <w:tcPr>
            <w:tcW w:w="2472" w:type="pct"/>
            <w:shd w:val="clear" w:color="auto" w:fill="auto"/>
            <w:vAlign w:val="center"/>
          </w:tcPr>
          <w:p w14:paraId="141E601A" w14:textId="77777777" w:rsidR="001C56BD" w:rsidRPr="00F92667" w:rsidRDefault="001C56BD" w:rsidP="008A5C11">
            <w:pPr>
              <w:jc w:val="center"/>
              <w:rPr>
                <w:lang w:val="en-US"/>
              </w:rPr>
            </w:pPr>
            <w:r w:rsidRPr="00F92667">
              <w:rPr>
                <w:lang w:val="en-US"/>
              </w:rPr>
              <w:t xml:space="preserve">E-mail: KudriashovDS@sibgenco.ru; </w:t>
            </w:r>
            <w:r w:rsidRPr="00F92667">
              <w:rPr>
                <w:lang w:val="en-US"/>
              </w:rPr>
              <w:br/>
            </w:r>
            <w:r w:rsidRPr="00F92667">
              <w:t>т</w:t>
            </w:r>
            <w:r w:rsidRPr="00F92667">
              <w:rPr>
                <w:lang w:val="en-US"/>
              </w:rPr>
              <w:t>ел. (3842) 45-38-80, 8-960-905-90-34</w:t>
            </w:r>
          </w:p>
        </w:tc>
      </w:tr>
      <w:tr w:rsidR="001C56BD" w:rsidRPr="00F92667" w14:paraId="675FAD26" w14:textId="77777777" w:rsidTr="008A5C11">
        <w:trPr>
          <w:trHeight w:val="373"/>
        </w:trPr>
        <w:tc>
          <w:tcPr>
            <w:tcW w:w="2528" w:type="pct"/>
            <w:shd w:val="clear" w:color="auto" w:fill="FFFFFF"/>
            <w:vAlign w:val="center"/>
          </w:tcPr>
          <w:p w14:paraId="3FC8A42C" w14:textId="77777777" w:rsidR="001C56BD" w:rsidRPr="00F92667" w:rsidRDefault="001C56BD" w:rsidP="001C56BD">
            <w:pPr>
              <w:widowControl w:val="0"/>
              <w:numPr>
                <w:ilvl w:val="0"/>
                <w:numId w:val="17"/>
              </w:numPr>
              <w:spacing w:line="227" w:lineRule="exact"/>
              <w:ind w:left="0" w:firstLine="0"/>
              <w:jc w:val="center"/>
            </w:pPr>
            <w:r w:rsidRPr="00F92667">
              <w:rPr>
                <w:color w:val="000000"/>
              </w:rPr>
              <w:t>Наименование органа исполнительной власти субъекта РФ, утвердившего инвестиционную программу</w:t>
            </w:r>
          </w:p>
        </w:tc>
        <w:tc>
          <w:tcPr>
            <w:tcW w:w="2472" w:type="pct"/>
            <w:shd w:val="clear" w:color="auto" w:fill="auto"/>
            <w:vAlign w:val="center"/>
          </w:tcPr>
          <w:p w14:paraId="0F4F1184" w14:textId="77777777" w:rsidR="001C56BD" w:rsidRPr="00F92667" w:rsidRDefault="001C56BD" w:rsidP="008A5C11">
            <w:pPr>
              <w:jc w:val="center"/>
            </w:pPr>
            <w:r w:rsidRPr="00F92667">
              <w:t>Региональная энергетическая комиссия Кузбасса</w:t>
            </w:r>
          </w:p>
        </w:tc>
      </w:tr>
      <w:tr w:rsidR="001C56BD" w:rsidRPr="00F92667" w14:paraId="61133285" w14:textId="77777777" w:rsidTr="008A5C11">
        <w:trPr>
          <w:trHeight w:val="641"/>
        </w:trPr>
        <w:tc>
          <w:tcPr>
            <w:tcW w:w="2528" w:type="pct"/>
            <w:shd w:val="clear" w:color="auto" w:fill="FFFFFF"/>
            <w:vAlign w:val="center"/>
          </w:tcPr>
          <w:p w14:paraId="5C826D7C" w14:textId="77777777" w:rsidR="001C56BD" w:rsidRPr="00F92667" w:rsidRDefault="001C56BD" w:rsidP="001C56BD">
            <w:pPr>
              <w:widowControl w:val="0"/>
              <w:numPr>
                <w:ilvl w:val="0"/>
                <w:numId w:val="17"/>
              </w:numPr>
              <w:spacing w:line="230" w:lineRule="exact"/>
              <w:ind w:left="0" w:firstLine="0"/>
              <w:jc w:val="center"/>
            </w:pPr>
            <w:r w:rsidRPr="00F92667">
              <w:rPr>
                <w:color w:val="000000"/>
              </w:rPr>
              <w:t>Местонахождение органа, утвердившего инвестиционную программу</w:t>
            </w:r>
          </w:p>
        </w:tc>
        <w:tc>
          <w:tcPr>
            <w:tcW w:w="2472" w:type="pct"/>
            <w:shd w:val="clear" w:color="auto" w:fill="auto"/>
            <w:vAlign w:val="center"/>
          </w:tcPr>
          <w:p w14:paraId="12AF105B" w14:textId="77777777" w:rsidR="001C56BD" w:rsidRPr="00F92667" w:rsidRDefault="001C56BD" w:rsidP="008A5C11">
            <w:pPr>
              <w:jc w:val="center"/>
            </w:pPr>
            <w:r w:rsidRPr="00F92667">
              <w:t>650000, г. Кемерово, ул. Н. Островского,32</w:t>
            </w:r>
          </w:p>
        </w:tc>
      </w:tr>
      <w:tr w:rsidR="001C56BD" w:rsidRPr="00F92667" w14:paraId="279E7E96" w14:textId="77777777" w:rsidTr="008A5C11">
        <w:trPr>
          <w:trHeight w:val="637"/>
        </w:trPr>
        <w:tc>
          <w:tcPr>
            <w:tcW w:w="2528" w:type="pct"/>
            <w:shd w:val="clear" w:color="auto" w:fill="FFFFFF"/>
            <w:vAlign w:val="center"/>
          </w:tcPr>
          <w:p w14:paraId="388612C0" w14:textId="77777777" w:rsidR="001C56BD" w:rsidRPr="00F92667" w:rsidRDefault="001C56BD" w:rsidP="001C56BD">
            <w:pPr>
              <w:widowControl w:val="0"/>
              <w:numPr>
                <w:ilvl w:val="0"/>
                <w:numId w:val="17"/>
              </w:numPr>
              <w:spacing w:line="230" w:lineRule="exact"/>
              <w:ind w:left="0" w:firstLine="0"/>
              <w:jc w:val="center"/>
            </w:pPr>
            <w:r w:rsidRPr="00F92667">
              <w:rPr>
                <w:color w:val="000000"/>
              </w:rPr>
              <w:t>Должностное лицо, утвердившее инвестиционную программу</w:t>
            </w:r>
          </w:p>
        </w:tc>
        <w:tc>
          <w:tcPr>
            <w:tcW w:w="2472" w:type="pct"/>
            <w:shd w:val="clear" w:color="auto" w:fill="auto"/>
            <w:vAlign w:val="center"/>
          </w:tcPr>
          <w:p w14:paraId="0A8A21F3" w14:textId="77777777" w:rsidR="001C56BD" w:rsidRPr="00F92667" w:rsidRDefault="001C56BD" w:rsidP="008A5C11">
            <w:pPr>
              <w:jc w:val="center"/>
            </w:pPr>
            <w:r w:rsidRPr="00F92667">
              <w:t xml:space="preserve">Председатель </w:t>
            </w:r>
          </w:p>
          <w:p w14:paraId="704524B7" w14:textId="77777777" w:rsidR="001C56BD" w:rsidRPr="00F92667" w:rsidRDefault="001C56BD" w:rsidP="008A5C11">
            <w:pPr>
              <w:jc w:val="center"/>
            </w:pPr>
            <w:r w:rsidRPr="00F92667">
              <w:t>Малюта Дмитрий Владимирович</w:t>
            </w:r>
          </w:p>
        </w:tc>
      </w:tr>
      <w:tr w:rsidR="001C56BD" w:rsidRPr="00F92667" w14:paraId="46F91B3B" w14:textId="77777777" w:rsidTr="008A5C11">
        <w:trPr>
          <w:trHeight w:val="403"/>
        </w:trPr>
        <w:tc>
          <w:tcPr>
            <w:tcW w:w="2528" w:type="pct"/>
            <w:shd w:val="clear" w:color="auto" w:fill="FFFFFF"/>
            <w:vAlign w:val="center"/>
          </w:tcPr>
          <w:p w14:paraId="066B0EF2" w14:textId="77777777" w:rsidR="001C56BD" w:rsidRPr="00F92667" w:rsidRDefault="001C56BD" w:rsidP="001C56BD">
            <w:pPr>
              <w:widowControl w:val="0"/>
              <w:numPr>
                <w:ilvl w:val="0"/>
                <w:numId w:val="17"/>
              </w:numPr>
              <w:spacing w:line="200" w:lineRule="exact"/>
              <w:ind w:left="0" w:firstLine="0"/>
              <w:jc w:val="center"/>
            </w:pPr>
            <w:r w:rsidRPr="00F92667">
              <w:rPr>
                <w:color w:val="000000"/>
              </w:rPr>
              <w:t>Дата утверждения инвестиционной программы</w:t>
            </w:r>
          </w:p>
        </w:tc>
        <w:tc>
          <w:tcPr>
            <w:tcW w:w="2472" w:type="pct"/>
            <w:shd w:val="clear" w:color="auto" w:fill="auto"/>
            <w:vAlign w:val="center"/>
          </w:tcPr>
          <w:p w14:paraId="54291435" w14:textId="77777777" w:rsidR="001C56BD" w:rsidRPr="00F92667" w:rsidRDefault="001C56BD" w:rsidP="008A5C11">
            <w:pPr>
              <w:jc w:val="center"/>
            </w:pPr>
            <w:r w:rsidRPr="00F92667">
              <w:t>___.12.2021</w:t>
            </w:r>
          </w:p>
        </w:tc>
      </w:tr>
      <w:tr w:rsidR="001C56BD" w:rsidRPr="00F92667" w14:paraId="73E807EA" w14:textId="77777777" w:rsidTr="008A5C11">
        <w:trPr>
          <w:trHeight w:val="634"/>
        </w:trPr>
        <w:tc>
          <w:tcPr>
            <w:tcW w:w="2528" w:type="pct"/>
            <w:shd w:val="clear" w:color="auto" w:fill="FFFFFF"/>
            <w:vAlign w:val="center"/>
          </w:tcPr>
          <w:p w14:paraId="5D968870" w14:textId="77777777" w:rsidR="001C56BD" w:rsidRPr="00F92667" w:rsidRDefault="001C56BD" w:rsidP="001C56BD">
            <w:pPr>
              <w:widowControl w:val="0"/>
              <w:numPr>
                <w:ilvl w:val="0"/>
                <w:numId w:val="17"/>
              </w:numPr>
              <w:spacing w:line="230" w:lineRule="exact"/>
              <w:ind w:left="0" w:firstLine="0"/>
              <w:jc w:val="center"/>
            </w:pPr>
            <w:r w:rsidRPr="00F92667">
              <w:rPr>
                <w:color w:val="000000"/>
              </w:rPr>
              <w:t>Контактная информация лица, ответственного за утверждение инвестиционной программы</w:t>
            </w:r>
          </w:p>
        </w:tc>
        <w:tc>
          <w:tcPr>
            <w:tcW w:w="2472" w:type="pct"/>
            <w:shd w:val="clear" w:color="auto" w:fill="auto"/>
            <w:vAlign w:val="center"/>
          </w:tcPr>
          <w:p w14:paraId="72FD2101" w14:textId="77777777" w:rsidR="001C56BD" w:rsidRPr="00F92667" w:rsidRDefault="001C56BD" w:rsidP="008A5C11">
            <w:pPr>
              <w:jc w:val="center"/>
            </w:pPr>
            <w:r w:rsidRPr="00F92667">
              <w:t>+7 (3842) 36-28-28 </w:t>
            </w:r>
          </w:p>
        </w:tc>
      </w:tr>
      <w:tr w:rsidR="001C56BD" w:rsidRPr="00F92667" w14:paraId="2D924E44" w14:textId="77777777" w:rsidTr="008A5C11">
        <w:trPr>
          <w:trHeight w:val="634"/>
        </w:trPr>
        <w:tc>
          <w:tcPr>
            <w:tcW w:w="2528" w:type="pct"/>
            <w:shd w:val="clear" w:color="auto" w:fill="FFFFFF"/>
            <w:vAlign w:val="center"/>
          </w:tcPr>
          <w:p w14:paraId="27849338" w14:textId="77777777" w:rsidR="001C56BD" w:rsidRPr="00F92667" w:rsidRDefault="001C56BD" w:rsidP="001C56BD">
            <w:pPr>
              <w:widowControl w:val="0"/>
              <w:numPr>
                <w:ilvl w:val="0"/>
                <w:numId w:val="17"/>
              </w:numPr>
              <w:spacing w:line="230" w:lineRule="exact"/>
              <w:ind w:left="0" w:firstLine="0"/>
              <w:jc w:val="center"/>
            </w:pPr>
            <w:r w:rsidRPr="00F92667">
              <w:rPr>
                <w:color w:val="000000"/>
              </w:rPr>
              <w:t>Наименование органа местного самоуправления, согласовавшего инвестиционную программу</w:t>
            </w:r>
          </w:p>
        </w:tc>
        <w:tc>
          <w:tcPr>
            <w:tcW w:w="2472" w:type="pct"/>
            <w:shd w:val="clear" w:color="auto" w:fill="auto"/>
            <w:vAlign w:val="center"/>
          </w:tcPr>
          <w:p w14:paraId="2410A4E3" w14:textId="77777777" w:rsidR="001C56BD" w:rsidRPr="00F92667" w:rsidRDefault="001C56BD" w:rsidP="008A5C11">
            <w:pPr>
              <w:jc w:val="center"/>
            </w:pPr>
            <w:r w:rsidRPr="00F92667">
              <w:t>Администрация города Кемерово</w:t>
            </w:r>
          </w:p>
        </w:tc>
      </w:tr>
      <w:tr w:rsidR="001C56BD" w:rsidRPr="00F92667" w14:paraId="4F3DB598" w14:textId="77777777" w:rsidTr="008A5C11">
        <w:trPr>
          <w:trHeight w:val="634"/>
        </w:trPr>
        <w:tc>
          <w:tcPr>
            <w:tcW w:w="2528" w:type="pct"/>
            <w:shd w:val="clear" w:color="auto" w:fill="FFFFFF"/>
            <w:vAlign w:val="center"/>
          </w:tcPr>
          <w:p w14:paraId="60D14A36" w14:textId="77777777" w:rsidR="001C56BD" w:rsidRPr="00F92667" w:rsidRDefault="001C56BD" w:rsidP="001C56BD">
            <w:pPr>
              <w:widowControl w:val="0"/>
              <w:numPr>
                <w:ilvl w:val="0"/>
                <w:numId w:val="17"/>
              </w:numPr>
              <w:spacing w:line="234" w:lineRule="exact"/>
              <w:ind w:left="0" w:firstLine="0"/>
              <w:jc w:val="center"/>
            </w:pPr>
            <w:r w:rsidRPr="00F92667">
              <w:rPr>
                <w:color w:val="000000"/>
              </w:rPr>
              <w:t>Местонахождение органа, согласовавшего инвестиционную программу</w:t>
            </w:r>
          </w:p>
        </w:tc>
        <w:tc>
          <w:tcPr>
            <w:tcW w:w="2472" w:type="pct"/>
            <w:shd w:val="clear" w:color="auto" w:fill="auto"/>
            <w:vAlign w:val="center"/>
          </w:tcPr>
          <w:p w14:paraId="5818ECB5" w14:textId="77777777" w:rsidR="001C56BD" w:rsidRPr="00F92667" w:rsidRDefault="001C56BD" w:rsidP="008A5C11">
            <w:pPr>
              <w:jc w:val="center"/>
            </w:pPr>
            <w:r w:rsidRPr="00F92667">
              <w:t>650000, г. Кемерово пр. Советский, 54</w:t>
            </w:r>
          </w:p>
        </w:tc>
      </w:tr>
      <w:tr w:rsidR="001C56BD" w:rsidRPr="00F92667" w14:paraId="64888791" w14:textId="77777777" w:rsidTr="008A5C11">
        <w:trPr>
          <w:trHeight w:val="637"/>
        </w:trPr>
        <w:tc>
          <w:tcPr>
            <w:tcW w:w="2528" w:type="pct"/>
            <w:shd w:val="clear" w:color="auto" w:fill="FFFFFF"/>
            <w:vAlign w:val="center"/>
          </w:tcPr>
          <w:p w14:paraId="0D6C59E5" w14:textId="77777777" w:rsidR="001C56BD" w:rsidRPr="00F92667" w:rsidRDefault="001C56BD" w:rsidP="001C56BD">
            <w:pPr>
              <w:widowControl w:val="0"/>
              <w:numPr>
                <w:ilvl w:val="0"/>
                <w:numId w:val="17"/>
              </w:numPr>
              <w:spacing w:line="230" w:lineRule="exact"/>
              <w:ind w:left="0" w:firstLine="0"/>
              <w:jc w:val="center"/>
            </w:pPr>
            <w:r w:rsidRPr="00F92667">
              <w:rPr>
                <w:color w:val="000000"/>
              </w:rPr>
              <w:t>Должностное лицо, согласовавшее инвестиционную программу</w:t>
            </w:r>
          </w:p>
        </w:tc>
        <w:tc>
          <w:tcPr>
            <w:tcW w:w="2472" w:type="pct"/>
            <w:shd w:val="clear" w:color="auto" w:fill="auto"/>
            <w:vAlign w:val="center"/>
          </w:tcPr>
          <w:p w14:paraId="10C15939" w14:textId="77777777" w:rsidR="001C56BD" w:rsidRPr="00F92667" w:rsidRDefault="001C56BD" w:rsidP="008A5C11">
            <w:pPr>
              <w:jc w:val="center"/>
            </w:pPr>
            <w:bookmarkStart w:id="79" w:name="_Hlk90972564"/>
            <w:r w:rsidRPr="00F92667">
              <w:t>Заместитель Главы г. Кемерово, начальник управления жилищно-коммунального хозяйства - С.В. Лысенко</w:t>
            </w:r>
            <w:bookmarkEnd w:id="79"/>
          </w:p>
        </w:tc>
      </w:tr>
      <w:tr w:rsidR="001C56BD" w:rsidRPr="00F92667" w14:paraId="045D4418" w14:textId="77777777" w:rsidTr="008A5C11">
        <w:trPr>
          <w:trHeight w:val="688"/>
        </w:trPr>
        <w:tc>
          <w:tcPr>
            <w:tcW w:w="2528" w:type="pct"/>
            <w:shd w:val="clear" w:color="auto" w:fill="FFFFFF"/>
            <w:vAlign w:val="center"/>
          </w:tcPr>
          <w:p w14:paraId="64C5B7CA" w14:textId="77777777" w:rsidR="001C56BD" w:rsidRPr="00F92667" w:rsidRDefault="001C56BD" w:rsidP="001C56BD">
            <w:pPr>
              <w:widowControl w:val="0"/>
              <w:numPr>
                <w:ilvl w:val="0"/>
                <w:numId w:val="17"/>
              </w:numPr>
              <w:spacing w:line="200" w:lineRule="exact"/>
              <w:ind w:left="0" w:firstLine="0"/>
              <w:jc w:val="center"/>
            </w:pPr>
            <w:r w:rsidRPr="00F92667">
              <w:rPr>
                <w:color w:val="000000"/>
              </w:rPr>
              <w:t>Дата согласования инвестиционной программы</w:t>
            </w:r>
          </w:p>
        </w:tc>
        <w:tc>
          <w:tcPr>
            <w:tcW w:w="2472" w:type="pct"/>
            <w:shd w:val="clear" w:color="auto" w:fill="FFFFFF"/>
            <w:vAlign w:val="center"/>
          </w:tcPr>
          <w:p w14:paraId="1028B2BA" w14:textId="77777777" w:rsidR="001C56BD" w:rsidRPr="00F92667" w:rsidRDefault="001C56BD" w:rsidP="008A5C11">
            <w:pPr>
              <w:jc w:val="center"/>
            </w:pPr>
            <w:r w:rsidRPr="00F92667">
              <w:t>14.12.2021 </w:t>
            </w:r>
          </w:p>
        </w:tc>
      </w:tr>
      <w:tr w:rsidR="001C56BD" w:rsidRPr="00F92667" w14:paraId="5A9A3FE5" w14:textId="77777777" w:rsidTr="008A5C11">
        <w:trPr>
          <w:trHeight w:val="659"/>
        </w:trPr>
        <w:tc>
          <w:tcPr>
            <w:tcW w:w="2528" w:type="pct"/>
            <w:shd w:val="clear" w:color="auto" w:fill="FFFFFF"/>
            <w:vAlign w:val="center"/>
          </w:tcPr>
          <w:p w14:paraId="0909FAE1" w14:textId="77777777" w:rsidR="001C56BD" w:rsidRPr="00F92667" w:rsidRDefault="001C56BD" w:rsidP="001C56BD">
            <w:pPr>
              <w:widowControl w:val="0"/>
              <w:numPr>
                <w:ilvl w:val="0"/>
                <w:numId w:val="17"/>
              </w:numPr>
              <w:spacing w:line="230" w:lineRule="exact"/>
              <w:ind w:left="0" w:firstLine="0"/>
              <w:jc w:val="center"/>
            </w:pPr>
            <w:r w:rsidRPr="00F92667">
              <w:rPr>
                <w:color w:val="000000"/>
              </w:rPr>
              <w:t>Контактная информация лица, ответственного за согласование инвестиционной программы</w:t>
            </w:r>
          </w:p>
        </w:tc>
        <w:tc>
          <w:tcPr>
            <w:tcW w:w="2472" w:type="pct"/>
            <w:shd w:val="clear" w:color="auto" w:fill="FFFFFF"/>
            <w:vAlign w:val="center"/>
          </w:tcPr>
          <w:p w14:paraId="5EEA3904" w14:textId="77777777" w:rsidR="001C56BD" w:rsidRPr="00F92667" w:rsidRDefault="001C56BD" w:rsidP="008A5C11">
            <w:pPr>
              <w:jc w:val="center"/>
            </w:pPr>
            <w:r w:rsidRPr="00F92667">
              <w:t>+7 (3842) 58-39-82</w:t>
            </w:r>
          </w:p>
        </w:tc>
      </w:tr>
    </w:tbl>
    <w:p w14:paraId="6A920E2E" w14:textId="77777777" w:rsidR="001C56BD" w:rsidRPr="00F92667" w:rsidRDefault="001C56BD" w:rsidP="001C56BD">
      <w:pPr>
        <w:ind w:left="10348" w:right="-31"/>
        <w:jc w:val="center"/>
        <w:rPr>
          <w:sz w:val="28"/>
          <w:szCs w:val="28"/>
        </w:rPr>
      </w:pPr>
    </w:p>
    <w:p w14:paraId="0036DA53" w14:textId="77777777" w:rsidR="001C56BD" w:rsidRPr="00F92667" w:rsidRDefault="001C56BD" w:rsidP="001C56BD">
      <w:pPr>
        <w:ind w:left="10348" w:right="-31"/>
        <w:jc w:val="center"/>
        <w:rPr>
          <w:sz w:val="28"/>
          <w:szCs w:val="28"/>
        </w:rPr>
        <w:sectPr w:rsidR="001C56BD" w:rsidRPr="00F92667" w:rsidSect="00521EA2">
          <w:headerReference w:type="first" r:id="rId50"/>
          <w:pgSz w:w="11906" w:h="16838"/>
          <w:pgMar w:top="1134" w:right="851" w:bottom="1134" w:left="1701" w:header="708" w:footer="418" w:gutter="0"/>
          <w:cols w:space="708"/>
          <w:docGrid w:linePitch="360"/>
        </w:sectPr>
      </w:pPr>
    </w:p>
    <w:p w14:paraId="53624CEF" w14:textId="77777777" w:rsidR="001C56BD" w:rsidRPr="00F92667" w:rsidRDefault="001C56BD" w:rsidP="001C56BD">
      <w:pPr>
        <w:autoSpaceDE w:val="0"/>
        <w:autoSpaceDN w:val="0"/>
        <w:adjustRightInd w:val="0"/>
        <w:jc w:val="center"/>
        <w:rPr>
          <w:b/>
          <w:color w:val="000000"/>
          <w:sz w:val="28"/>
          <w:szCs w:val="28"/>
        </w:rPr>
      </w:pPr>
      <w:r w:rsidRPr="00F92667">
        <w:rPr>
          <w:b/>
          <w:bCs/>
          <w:sz w:val="28"/>
          <w:szCs w:val="28"/>
        </w:rPr>
        <w:t xml:space="preserve">Инвестиционная программа в сфере теплоснабжения </w:t>
      </w:r>
      <w:r w:rsidRPr="00F92667">
        <w:rPr>
          <w:b/>
          <w:color w:val="000000"/>
          <w:sz w:val="28"/>
          <w:szCs w:val="28"/>
        </w:rPr>
        <w:t xml:space="preserve">АО «Кузбассэнерго» </w:t>
      </w:r>
    </w:p>
    <w:p w14:paraId="7D2E6229" w14:textId="77777777" w:rsidR="001C56BD" w:rsidRPr="00F92667" w:rsidRDefault="001C56BD" w:rsidP="001C56BD">
      <w:pPr>
        <w:autoSpaceDE w:val="0"/>
        <w:autoSpaceDN w:val="0"/>
        <w:adjustRightInd w:val="0"/>
        <w:jc w:val="center"/>
        <w:rPr>
          <w:b/>
          <w:bCs/>
          <w:sz w:val="28"/>
          <w:szCs w:val="28"/>
        </w:rPr>
      </w:pPr>
      <w:r w:rsidRPr="00F92667">
        <w:rPr>
          <w:b/>
          <w:color w:val="000000"/>
          <w:sz w:val="28"/>
          <w:szCs w:val="28"/>
        </w:rPr>
        <w:t xml:space="preserve">(филиал «Кемеровская теплосетевая компания») </w:t>
      </w:r>
      <w:r w:rsidRPr="00F92667">
        <w:rPr>
          <w:b/>
          <w:sz w:val="28"/>
          <w:szCs w:val="28"/>
        </w:rPr>
        <w:t>на 2022</w:t>
      </w:r>
      <w:r w:rsidRPr="00F92667">
        <w:rPr>
          <w:b/>
          <w:color w:val="000000"/>
          <w:sz w:val="28"/>
          <w:szCs w:val="28"/>
        </w:rPr>
        <w:t xml:space="preserve"> - 2031 годы</w:t>
      </w:r>
    </w:p>
    <w:tbl>
      <w:tblPr>
        <w:tblW w:w="5582" w:type="pct"/>
        <w:tblInd w:w="-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
        <w:gridCol w:w="419"/>
        <w:gridCol w:w="992"/>
        <w:gridCol w:w="988"/>
        <w:gridCol w:w="839"/>
        <w:gridCol w:w="956"/>
        <w:gridCol w:w="419"/>
        <w:gridCol w:w="598"/>
        <w:gridCol w:w="712"/>
        <w:gridCol w:w="423"/>
        <w:gridCol w:w="423"/>
        <w:gridCol w:w="10"/>
        <w:gridCol w:w="696"/>
        <w:gridCol w:w="10"/>
        <w:gridCol w:w="566"/>
        <w:gridCol w:w="689"/>
        <w:gridCol w:w="13"/>
        <w:gridCol w:w="696"/>
        <w:gridCol w:w="13"/>
        <w:gridCol w:w="692"/>
        <w:gridCol w:w="13"/>
        <w:gridCol w:w="657"/>
        <w:gridCol w:w="52"/>
        <w:gridCol w:w="653"/>
        <w:gridCol w:w="52"/>
        <w:gridCol w:w="644"/>
        <w:gridCol w:w="52"/>
        <w:gridCol w:w="653"/>
        <w:gridCol w:w="52"/>
        <w:gridCol w:w="653"/>
        <w:gridCol w:w="52"/>
        <w:gridCol w:w="644"/>
        <w:gridCol w:w="52"/>
        <w:gridCol w:w="751"/>
        <w:gridCol w:w="562"/>
        <w:gridCol w:w="549"/>
      </w:tblGrid>
      <w:tr w:rsidR="001C56BD" w:rsidRPr="00F92667" w14:paraId="66CAF153" w14:textId="77777777" w:rsidTr="008A5C11">
        <w:trPr>
          <w:gridBefore w:val="1"/>
          <w:wBefore w:w="3" w:type="pct"/>
          <w:trHeight w:val="65"/>
        </w:trPr>
        <w:tc>
          <w:tcPr>
            <w:tcW w:w="129" w:type="pct"/>
            <w:vMerge w:val="restart"/>
            <w:shd w:val="clear" w:color="auto" w:fill="auto"/>
            <w:tcMar>
              <w:left w:w="17" w:type="dxa"/>
              <w:right w:w="17" w:type="dxa"/>
            </w:tcMar>
            <w:vAlign w:val="center"/>
            <w:hideMark/>
          </w:tcPr>
          <w:p w14:paraId="7778B85A" w14:textId="77777777" w:rsidR="001C56BD" w:rsidRPr="00F92667" w:rsidRDefault="001C56BD" w:rsidP="008A5C11">
            <w:pPr>
              <w:jc w:val="center"/>
              <w:rPr>
                <w:bCs/>
                <w:sz w:val="13"/>
                <w:szCs w:val="13"/>
              </w:rPr>
            </w:pPr>
            <w:r w:rsidRPr="00F92667">
              <w:rPr>
                <w:bCs/>
                <w:sz w:val="13"/>
                <w:szCs w:val="13"/>
              </w:rPr>
              <w:t>№</w:t>
            </w:r>
            <w:r w:rsidRPr="00F92667">
              <w:rPr>
                <w:bCs/>
                <w:sz w:val="13"/>
                <w:szCs w:val="13"/>
              </w:rPr>
              <w:br/>
              <w:t>п/п</w:t>
            </w:r>
          </w:p>
        </w:tc>
        <w:tc>
          <w:tcPr>
            <w:tcW w:w="305" w:type="pct"/>
            <w:vMerge w:val="restart"/>
            <w:shd w:val="clear" w:color="auto" w:fill="auto"/>
            <w:tcMar>
              <w:left w:w="17" w:type="dxa"/>
              <w:right w:w="17" w:type="dxa"/>
            </w:tcMar>
            <w:vAlign w:val="center"/>
            <w:hideMark/>
          </w:tcPr>
          <w:p w14:paraId="6D453F77" w14:textId="77777777" w:rsidR="001C56BD" w:rsidRPr="00F92667" w:rsidRDefault="001C56BD" w:rsidP="008A5C11">
            <w:pPr>
              <w:jc w:val="center"/>
              <w:rPr>
                <w:bCs/>
                <w:sz w:val="13"/>
                <w:szCs w:val="13"/>
              </w:rPr>
            </w:pPr>
            <w:r w:rsidRPr="00F92667">
              <w:rPr>
                <w:bCs/>
                <w:sz w:val="13"/>
                <w:szCs w:val="13"/>
              </w:rPr>
              <w:t>Наименование</w:t>
            </w:r>
            <w:r w:rsidRPr="00F92667">
              <w:rPr>
                <w:bCs/>
                <w:sz w:val="13"/>
                <w:szCs w:val="13"/>
              </w:rPr>
              <w:br/>
              <w:t>мероприятий</w:t>
            </w:r>
          </w:p>
        </w:tc>
        <w:tc>
          <w:tcPr>
            <w:tcW w:w="304" w:type="pct"/>
            <w:vMerge w:val="restart"/>
            <w:shd w:val="clear" w:color="auto" w:fill="auto"/>
            <w:tcMar>
              <w:left w:w="17" w:type="dxa"/>
              <w:right w:w="17" w:type="dxa"/>
            </w:tcMar>
            <w:vAlign w:val="center"/>
            <w:hideMark/>
          </w:tcPr>
          <w:p w14:paraId="14A0B24B" w14:textId="77777777" w:rsidR="001C56BD" w:rsidRPr="00F92667" w:rsidRDefault="001C56BD" w:rsidP="008A5C11">
            <w:pPr>
              <w:jc w:val="center"/>
              <w:rPr>
                <w:bCs/>
                <w:sz w:val="13"/>
                <w:szCs w:val="13"/>
              </w:rPr>
            </w:pPr>
            <w:r w:rsidRPr="00F92667">
              <w:rPr>
                <w:bCs/>
                <w:sz w:val="13"/>
                <w:szCs w:val="13"/>
              </w:rPr>
              <w:t>Обоснование необходимости (цель реализации)</w:t>
            </w:r>
          </w:p>
        </w:tc>
        <w:tc>
          <w:tcPr>
            <w:tcW w:w="258" w:type="pct"/>
            <w:vMerge w:val="restart"/>
            <w:shd w:val="clear" w:color="auto" w:fill="auto"/>
            <w:tcMar>
              <w:left w:w="17" w:type="dxa"/>
              <w:right w:w="17" w:type="dxa"/>
            </w:tcMar>
            <w:vAlign w:val="center"/>
            <w:hideMark/>
          </w:tcPr>
          <w:p w14:paraId="73E496AC" w14:textId="77777777" w:rsidR="001C56BD" w:rsidRPr="00F92667" w:rsidRDefault="001C56BD" w:rsidP="008A5C11">
            <w:pPr>
              <w:jc w:val="center"/>
              <w:rPr>
                <w:bCs/>
                <w:sz w:val="13"/>
                <w:szCs w:val="13"/>
              </w:rPr>
            </w:pPr>
            <w:r w:rsidRPr="00F92667">
              <w:rPr>
                <w:bCs/>
                <w:sz w:val="13"/>
                <w:szCs w:val="13"/>
              </w:rPr>
              <w:t>Описание и место расположения</w:t>
            </w:r>
            <w:r w:rsidRPr="00F92667">
              <w:rPr>
                <w:bCs/>
                <w:sz w:val="13"/>
                <w:szCs w:val="13"/>
              </w:rPr>
              <w:br/>
              <w:t>объекта</w:t>
            </w:r>
          </w:p>
        </w:tc>
        <w:tc>
          <w:tcPr>
            <w:tcW w:w="826" w:type="pct"/>
            <w:gridSpan w:val="4"/>
            <w:shd w:val="clear" w:color="auto" w:fill="auto"/>
            <w:tcMar>
              <w:left w:w="17" w:type="dxa"/>
              <w:right w:w="17" w:type="dxa"/>
            </w:tcMar>
            <w:vAlign w:val="center"/>
            <w:hideMark/>
          </w:tcPr>
          <w:p w14:paraId="237543DD" w14:textId="77777777" w:rsidR="001C56BD" w:rsidRPr="00F92667" w:rsidRDefault="001C56BD" w:rsidP="008A5C11">
            <w:pPr>
              <w:jc w:val="center"/>
              <w:rPr>
                <w:bCs/>
                <w:sz w:val="13"/>
                <w:szCs w:val="13"/>
              </w:rPr>
            </w:pPr>
            <w:r w:rsidRPr="00F92667">
              <w:rPr>
                <w:bCs/>
                <w:sz w:val="13"/>
                <w:szCs w:val="13"/>
              </w:rPr>
              <w:t>Основные технические характеристики</w:t>
            </w:r>
          </w:p>
        </w:tc>
        <w:tc>
          <w:tcPr>
            <w:tcW w:w="130" w:type="pct"/>
            <w:vMerge w:val="restart"/>
            <w:shd w:val="clear" w:color="auto" w:fill="auto"/>
            <w:tcMar>
              <w:left w:w="17" w:type="dxa"/>
              <w:right w:w="17" w:type="dxa"/>
            </w:tcMar>
            <w:vAlign w:val="center"/>
            <w:hideMark/>
          </w:tcPr>
          <w:p w14:paraId="64B94708" w14:textId="77777777" w:rsidR="001C56BD" w:rsidRPr="00F92667" w:rsidRDefault="001C56BD" w:rsidP="008A5C11">
            <w:pPr>
              <w:ind w:left="-27"/>
              <w:jc w:val="center"/>
              <w:rPr>
                <w:bCs/>
                <w:sz w:val="13"/>
                <w:szCs w:val="13"/>
              </w:rPr>
            </w:pPr>
            <w:r w:rsidRPr="00F92667">
              <w:rPr>
                <w:bCs/>
                <w:sz w:val="13"/>
                <w:szCs w:val="13"/>
              </w:rPr>
              <w:t xml:space="preserve">Год начала </w:t>
            </w:r>
            <w:proofErr w:type="gramStart"/>
            <w:r w:rsidRPr="00F92667">
              <w:rPr>
                <w:bCs/>
                <w:sz w:val="13"/>
                <w:szCs w:val="13"/>
              </w:rPr>
              <w:t>реали-зации</w:t>
            </w:r>
            <w:proofErr w:type="gramEnd"/>
            <w:r w:rsidRPr="00F92667">
              <w:rPr>
                <w:bCs/>
                <w:sz w:val="13"/>
                <w:szCs w:val="13"/>
              </w:rPr>
              <w:t xml:space="preserve"> меро-при-ятия</w:t>
            </w:r>
          </w:p>
        </w:tc>
        <w:tc>
          <w:tcPr>
            <w:tcW w:w="130" w:type="pct"/>
            <w:vMerge w:val="restart"/>
            <w:shd w:val="clear" w:color="auto" w:fill="auto"/>
            <w:tcMar>
              <w:left w:w="17" w:type="dxa"/>
              <w:right w:w="17" w:type="dxa"/>
            </w:tcMar>
            <w:vAlign w:val="center"/>
            <w:hideMark/>
          </w:tcPr>
          <w:p w14:paraId="32E6DE44" w14:textId="77777777" w:rsidR="001C56BD" w:rsidRPr="00F92667" w:rsidRDefault="001C56BD" w:rsidP="008A5C11">
            <w:pPr>
              <w:ind w:left="-3"/>
              <w:jc w:val="center"/>
              <w:rPr>
                <w:bCs/>
                <w:sz w:val="13"/>
                <w:szCs w:val="13"/>
              </w:rPr>
            </w:pPr>
            <w:r w:rsidRPr="00F92667">
              <w:rPr>
                <w:bCs/>
                <w:sz w:val="13"/>
                <w:szCs w:val="13"/>
              </w:rPr>
              <w:t xml:space="preserve">Год </w:t>
            </w:r>
            <w:proofErr w:type="gramStart"/>
            <w:r w:rsidRPr="00F92667">
              <w:rPr>
                <w:bCs/>
                <w:sz w:val="13"/>
                <w:szCs w:val="13"/>
              </w:rPr>
              <w:t>окон-чания</w:t>
            </w:r>
            <w:proofErr w:type="gramEnd"/>
            <w:r w:rsidRPr="00F92667">
              <w:rPr>
                <w:bCs/>
                <w:sz w:val="13"/>
                <w:szCs w:val="13"/>
              </w:rPr>
              <w:t xml:space="preserve"> реали-зации меро-при-ятия</w:t>
            </w:r>
          </w:p>
        </w:tc>
        <w:tc>
          <w:tcPr>
            <w:tcW w:w="2915" w:type="pct"/>
            <w:gridSpan w:val="25"/>
            <w:tcMar>
              <w:left w:w="17" w:type="dxa"/>
              <w:right w:w="17" w:type="dxa"/>
            </w:tcMar>
            <w:vAlign w:val="center"/>
          </w:tcPr>
          <w:p w14:paraId="5DE9A0CE" w14:textId="77777777" w:rsidR="001C56BD" w:rsidRPr="00F92667" w:rsidRDefault="001C56BD" w:rsidP="008A5C11">
            <w:pPr>
              <w:jc w:val="center"/>
              <w:rPr>
                <w:bCs/>
                <w:sz w:val="13"/>
                <w:szCs w:val="13"/>
              </w:rPr>
            </w:pPr>
            <w:r w:rsidRPr="00F92667">
              <w:rPr>
                <w:bCs/>
                <w:sz w:val="13"/>
                <w:szCs w:val="13"/>
              </w:rPr>
              <w:t>Расходы на реализацию мероприятий в прогнозных ценах, тыс. руб. (с НДС)</w:t>
            </w:r>
          </w:p>
        </w:tc>
      </w:tr>
      <w:tr w:rsidR="001C56BD" w:rsidRPr="00F92667" w14:paraId="1771DFFB" w14:textId="77777777" w:rsidTr="008A5C11">
        <w:trPr>
          <w:gridBefore w:val="1"/>
          <w:wBefore w:w="3" w:type="pct"/>
          <w:trHeight w:val="56"/>
        </w:trPr>
        <w:tc>
          <w:tcPr>
            <w:tcW w:w="129" w:type="pct"/>
            <w:vMerge/>
            <w:shd w:val="clear" w:color="auto" w:fill="auto"/>
            <w:tcMar>
              <w:left w:w="17" w:type="dxa"/>
              <w:right w:w="17" w:type="dxa"/>
            </w:tcMar>
            <w:vAlign w:val="center"/>
            <w:hideMark/>
          </w:tcPr>
          <w:p w14:paraId="1298EBF9" w14:textId="77777777" w:rsidR="001C56BD" w:rsidRPr="00F92667" w:rsidRDefault="001C56BD" w:rsidP="008A5C11">
            <w:pPr>
              <w:rPr>
                <w:bCs/>
                <w:sz w:val="13"/>
                <w:szCs w:val="13"/>
              </w:rPr>
            </w:pPr>
          </w:p>
        </w:tc>
        <w:tc>
          <w:tcPr>
            <w:tcW w:w="305" w:type="pct"/>
            <w:vMerge/>
            <w:shd w:val="clear" w:color="auto" w:fill="auto"/>
            <w:tcMar>
              <w:left w:w="17" w:type="dxa"/>
              <w:right w:w="17" w:type="dxa"/>
            </w:tcMar>
            <w:vAlign w:val="center"/>
            <w:hideMark/>
          </w:tcPr>
          <w:p w14:paraId="0FA17BBD" w14:textId="77777777" w:rsidR="001C56BD" w:rsidRPr="00F92667" w:rsidRDefault="001C56BD" w:rsidP="008A5C11">
            <w:pPr>
              <w:rPr>
                <w:bCs/>
                <w:sz w:val="13"/>
                <w:szCs w:val="13"/>
              </w:rPr>
            </w:pPr>
          </w:p>
        </w:tc>
        <w:tc>
          <w:tcPr>
            <w:tcW w:w="304" w:type="pct"/>
            <w:vMerge/>
            <w:shd w:val="clear" w:color="auto" w:fill="auto"/>
            <w:tcMar>
              <w:left w:w="17" w:type="dxa"/>
              <w:right w:w="17" w:type="dxa"/>
            </w:tcMar>
            <w:vAlign w:val="center"/>
            <w:hideMark/>
          </w:tcPr>
          <w:p w14:paraId="4114B1B1" w14:textId="77777777" w:rsidR="001C56BD" w:rsidRPr="00F92667" w:rsidRDefault="001C56BD" w:rsidP="008A5C11">
            <w:pPr>
              <w:rPr>
                <w:bCs/>
                <w:sz w:val="13"/>
                <w:szCs w:val="13"/>
              </w:rPr>
            </w:pPr>
          </w:p>
        </w:tc>
        <w:tc>
          <w:tcPr>
            <w:tcW w:w="258" w:type="pct"/>
            <w:vMerge/>
            <w:shd w:val="clear" w:color="auto" w:fill="auto"/>
            <w:tcMar>
              <w:left w:w="17" w:type="dxa"/>
              <w:right w:w="17" w:type="dxa"/>
            </w:tcMar>
            <w:vAlign w:val="center"/>
            <w:hideMark/>
          </w:tcPr>
          <w:p w14:paraId="51F19756" w14:textId="77777777" w:rsidR="001C56BD" w:rsidRPr="00F92667" w:rsidRDefault="001C56BD" w:rsidP="008A5C11">
            <w:pPr>
              <w:rPr>
                <w:bCs/>
                <w:sz w:val="13"/>
                <w:szCs w:val="13"/>
              </w:rPr>
            </w:pPr>
          </w:p>
        </w:tc>
        <w:tc>
          <w:tcPr>
            <w:tcW w:w="294" w:type="pct"/>
            <w:vMerge w:val="restart"/>
            <w:shd w:val="clear" w:color="auto" w:fill="auto"/>
            <w:tcMar>
              <w:left w:w="17" w:type="dxa"/>
              <w:right w:w="17" w:type="dxa"/>
            </w:tcMar>
            <w:vAlign w:val="center"/>
            <w:hideMark/>
          </w:tcPr>
          <w:p w14:paraId="3C479562" w14:textId="77777777" w:rsidR="001C56BD" w:rsidRPr="00F92667" w:rsidRDefault="001C56BD" w:rsidP="008A5C11">
            <w:pPr>
              <w:jc w:val="center"/>
              <w:rPr>
                <w:bCs/>
                <w:sz w:val="13"/>
                <w:szCs w:val="13"/>
              </w:rPr>
            </w:pPr>
            <w:r w:rsidRPr="00F92667">
              <w:rPr>
                <w:bCs/>
                <w:sz w:val="13"/>
                <w:szCs w:val="13"/>
              </w:rPr>
              <w:t xml:space="preserve">Наименование показателя (мощность, протяженность, диаметр </w:t>
            </w:r>
          </w:p>
          <w:p w14:paraId="213AB3F5" w14:textId="77777777" w:rsidR="001C56BD" w:rsidRPr="00F92667" w:rsidRDefault="001C56BD" w:rsidP="008A5C11">
            <w:pPr>
              <w:jc w:val="center"/>
              <w:rPr>
                <w:bCs/>
                <w:sz w:val="13"/>
                <w:szCs w:val="13"/>
              </w:rPr>
            </w:pPr>
            <w:r w:rsidRPr="00F92667">
              <w:rPr>
                <w:bCs/>
                <w:sz w:val="13"/>
                <w:szCs w:val="13"/>
              </w:rPr>
              <w:t>и т.п.)</w:t>
            </w:r>
          </w:p>
        </w:tc>
        <w:tc>
          <w:tcPr>
            <w:tcW w:w="129" w:type="pct"/>
            <w:vMerge w:val="restart"/>
            <w:shd w:val="clear" w:color="auto" w:fill="auto"/>
            <w:tcMar>
              <w:left w:w="17" w:type="dxa"/>
              <w:right w:w="17" w:type="dxa"/>
            </w:tcMar>
            <w:vAlign w:val="center"/>
            <w:hideMark/>
          </w:tcPr>
          <w:p w14:paraId="6416924C" w14:textId="77777777" w:rsidR="001C56BD" w:rsidRPr="00F92667" w:rsidRDefault="001C56BD" w:rsidP="008A5C11">
            <w:pPr>
              <w:ind w:left="-108" w:right="-108"/>
              <w:jc w:val="center"/>
              <w:rPr>
                <w:bCs/>
                <w:sz w:val="13"/>
                <w:szCs w:val="13"/>
              </w:rPr>
            </w:pPr>
            <w:r w:rsidRPr="00F92667">
              <w:rPr>
                <w:bCs/>
                <w:sz w:val="13"/>
                <w:szCs w:val="13"/>
              </w:rPr>
              <w:t>Ед.</w:t>
            </w:r>
            <w:r w:rsidRPr="00F92667">
              <w:rPr>
                <w:bCs/>
                <w:sz w:val="13"/>
                <w:szCs w:val="13"/>
              </w:rPr>
              <w:br/>
              <w:t>изм.</w:t>
            </w:r>
          </w:p>
        </w:tc>
        <w:tc>
          <w:tcPr>
            <w:tcW w:w="403" w:type="pct"/>
            <w:gridSpan w:val="2"/>
            <w:shd w:val="clear" w:color="auto" w:fill="auto"/>
            <w:tcMar>
              <w:left w:w="17" w:type="dxa"/>
              <w:right w:w="17" w:type="dxa"/>
            </w:tcMar>
            <w:vAlign w:val="center"/>
            <w:hideMark/>
          </w:tcPr>
          <w:p w14:paraId="50F754B6" w14:textId="77777777" w:rsidR="001C56BD" w:rsidRPr="00F92667" w:rsidRDefault="001C56BD" w:rsidP="008A5C11">
            <w:pPr>
              <w:jc w:val="center"/>
              <w:rPr>
                <w:bCs/>
                <w:sz w:val="13"/>
                <w:szCs w:val="13"/>
              </w:rPr>
            </w:pPr>
            <w:r w:rsidRPr="00F92667">
              <w:rPr>
                <w:bCs/>
                <w:sz w:val="13"/>
                <w:szCs w:val="13"/>
              </w:rPr>
              <w:t>Значение показателя</w:t>
            </w:r>
          </w:p>
        </w:tc>
        <w:tc>
          <w:tcPr>
            <w:tcW w:w="130" w:type="pct"/>
            <w:vMerge/>
            <w:shd w:val="clear" w:color="auto" w:fill="auto"/>
            <w:tcMar>
              <w:left w:w="17" w:type="dxa"/>
              <w:right w:w="17" w:type="dxa"/>
            </w:tcMar>
            <w:vAlign w:val="center"/>
            <w:hideMark/>
          </w:tcPr>
          <w:p w14:paraId="3B79A18F" w14:textId="77777777" w:rsidR="001C56BD" w:rsidRPr="00F92667" w:rsidRDefault="001C56BD" w:rsidP="008A5C11">
            <w:pPr>
              <w:rPr>
                <w:bCs/>
                <w:sz w:val="13"/>
                <w:szCs w:val="13"/>
              </w:rPr>
            </w:pPr>
          </w:p>
        </w:tc>
        <w:tc>
          <w:tcPr>
            <w:tcW w:w="130" w:type="pct"/>
            <w:vMerge/>
            <w:shd w:val="clear" w:color="auto" w:fill="auto"/>
            <w:tcMar>
              <w:left w:w="17" w:type="dxa"/>
              <w:right w:w="17" w:type="dxa"/>
            </w:tcMar>
            <w:vAlign w:val="center"/>
            <w:hideMark/>
          </w:tcPr>
          <w:p w14:paraId="4437C3D0" w14:textId="77777777" w:rsidR="001C56BD" w:rsidRPr="00F92667" w:rsidRDefault="001C56BD" w:rsidP="008A5C11">
            <w:pPr>
              <w:rPr>
                <w:bCs/>
                <w:sz w:val="13"/>
                <w:szCs w:val="13"/>
              </w:rPr>
            </w:pPr>
          </w:p>
        </w:tc>
        <w:tc>
          <w:tcPr>
            <w:tcW w:w="217" w:type="pct"/>
            <w:gridSpan w:val="2"/>
            <w:shd w:val="clear" w:color="auto" w:fill="auto"/>
            <w:tcMar>
              <w:left w:w="17" w:type="dxa"/>
              <w:right w:w="17" w:type="dxa"/>
            </w:tcMar>
            <w:vAlign w:val="center"/>
            <w:hideMark/>
          </w:tcPr>
          <w:p w14:paraId="2A5FECBD" w14:textId="77777777" w:rsidR="001C56BD" w:rsidRPr="00F92667" w:rsidRDefault="001C56BD" w:rsidP="008A5C11">
            <w:pPr>
              <w:jc w:val="center"/>
              <w:rPr>
                <w:bCs/>
                <w:sz w:val="13"/>
                <w:szCs w:val="13"/>
              </w:rPr>
            </w:pPr>
            <w:r w:rsidRPr="00F92667">
              <w:rPr>
                <w:bCs/>
                <w:sz w:val="13"/>
                <w:szCs w:val="13"/>
              </w:rPr>
              <w:t>Всего</w:t>
            </w:r>
          </w:p>
        </w:tc>
        <w:tc>
          <w:tcPr>
            <w:tcW w:w="177" w:type="pct"/>
            <w:gridSpan w:val="2"/>
            <w:shd w:val="clear" w:color="auto" w:fill="auto"/>
            <w:tcMar>
              <w:left w:w="17" w:type="dxa"/>
              <w:right w:w="17" w:type="dxa"/>
            </w:tcMar>
            <w:vAlign w:val="center"/>
            <w:hideMark/>
          </w:tcPr>
          <w:p w14:paraId="3D09D0E6" w14:textId="77777777" w:rsidR="001C56BD" w:rsidRPr="00F92667" w:rsidRDefault="001C56BD" w:rsidP="008A5C11">
            <w:pPr>
              <w:jc w:val="center"/>
              <w:rPr>
                <w:bCs/>
                <w:sz w:val="13"/>
                <w:szCs w:val="13"/>
              </w:rPr>
            </w:pPr>
            <w:r w:rsidRPr="00F92667">
              <w:rPr>
                <w:bCs/>
                <w:sz w:val="13"/>
                <w:szCs w:val="13"/>
              </w:rPr>
              <w:t xml:space="preserve">Профи-нанси-ровано </w:t>
            </w:r>
          </w:p>
          <w:p w14:paraId="3C9FD0E9" w14:textId="77777777" w:rsidR="001C56BD" w:rsidRPr="00F92667" w:rsidRDefault="001C56BD" w:rsidP="008A5C11">
            <w:pPr>
              <w:jc w:val="center"/>
              <w:rPr>
                <w:bCs/>
                <w:sz w:val="13"/>
                <w:szCs w:val="13"/>
              </w:rPr>
            </w:pPr>
            <w:r w:rsidRPr="00F92667">
              <w:rPr>
                <w:bCs/>
                <w:sz w:val="13"/>
                <w:szCs w:val="13"/>
              </w:rPr>
              <w:t>к 2022</w:t>
            </w:r>
          </w:p>
        </w:tc>
        <w:tc>
          <w:tcPr>
            <w:tcW w:w="2179" w:type="pct"/>
            <w:gridSpan w:val="19"/>
            <w:shd w:val="clear" w:color="auto" w:fill="auto"/>
            <w:tcMar>
              <w:left w:w="17" w:type="dxa"/>
              <w:right w:w="17" w:type="dxa"/>
            </w:tcMar>
            <w:vAlign w:val="center"/>
            <w:hideMark/>
          </w:tcPr>
          <w:p w14:paraId="5A1E4DD0" w14:textId="77777777" w:rsidR="001C56BD" w:rsidRPr="00F92667" w:rsidRDefault="001C56BD" w:rsidP="008A5C11">
            <w:pPr>
              <w:jc w:val="center"/>
              <w:rPr>
                <w:sz w:val="13"/>
                <w:szCs w:val="13"/>
              </w:rPr>
            </w:pPr>
            <w:r w:rsidRPr="00F92667">
              <w:rPr>
                <w:bCs/>
                <w:sz w:val="13"/>
                <w:szCs w:val="13"/>
              </w:rPr>
              <w:t>в т.ч. по годам</w:t>
            </w:r>
          </w:p>
        </w:tc>
        <w:tc>
          <w:tcPr>
            <w:tcW w:w="173" w:type="pct"/>
            <w:tcMar>
              <w:left w:w="17" w:type="dxa"/>
              <w:right w:w="17" w:type="dxa"/>
            </w:tcMar>
          </w:tcPr>
          <w:p w14:paraId="579C163A" w14:textId="77777777" w:rsidR="001C56BD" w:rsidRPr="00F92667" w:rsidRDefault="001C56BD" w:rsidP="008A5C11">
            <w:pPr>
              <w:jc w:val="center"/>
              <w:rPr>
                <w:sz w:val="13"/>
                <w:szCs w:val="13"/>
              </w:rPr>
            </w:pPr>
            <w:r w:rsidRPr="00F92667">
              <w:rPr>
                <w:sz w:val="13"/>
                <w:szCs w:val="13"/>
              </w:rPr>
              <w:t>Остаток финан-сирова-ния</w:t>
            </w:r>
          </w:p>
        </w:tc>
        <w:tc>
          <w:tcPr>
            <w:tcW w:w="169" w:type="pct"/>
            <w:tcMar>
              <w:left w:w="17" w:type="dxa"/>
              <w:right w:w="17" w:type="dxa"/>
            </w:tcMar>
          </w:tcPr>
          <w:p w14:paraId="1A0D9DF8" w14:textId="77777777" w:rsidR="001C56BD" w:rsidRPr="00F92667" w:rsidRDefault="001C56BD" w:rsidP="008A5C11">
            <w:pPr>
              <w:ind w:left="-30" w:right="-34"/>
              <w:jc w:val="center"/>
              <w:rPr>
                <w:bCs/>
                <w:sz w:val="13"/>
                <w:szCs w:val="13"/>
              </w:rPr>
            </w:pPr>
            <w:r w:rsidRPr="00F92667">
              <w:rPr>
                <w:bCs/>
                <w:sz w:val="13"/>
                <w:szCs w:val="13"/>
              </w:rPr>
              <w:t>в т.</w:t>
            </w:r>
            <w:r w:rsidRPr="00F92667">
              <w:rPr>
                <w:sz w:val="13"/>
                <w:szCs w:val="13"/>
              </w:rPr>
              <w:t xml:space="preserve">ч. за счет платы за </w:t>
            </w:r>
            <w:proofErr w:type="gramStart"/>
            <w:r w:rsidRPr="00F92667">
              <w:rPr>
                <w:sz w:val="13"/>
                <w:szCs w:val="13"/>
              </w:rPr>
              <w:t>подклю-чение</w:t>
            </w:r>
            <w:proofErr w:type="gramEnd"/>
          </w:p>
        </w:tc>
      </w:tr>
      <w:tr w:rsidR="001C56BD" w:rsidRPr="00F92667" w14:paraId="42A25BE3" w14:textId="77777777" w:rsidTr="008A5C11">
        <w:trPr>
          <w:gridBefore w:val="1"/>
          <w:wBefore w:w="3" w:type="pct"/>
          <w:trHeight w:val="1258"/>
        </w:trPr>
        <w:tc>
          <w:tcPr>
            <w:tcW w:w="129" w:type="pct"/>
            <w:vMerge/>
            <w:shd w:val="clear" w:color="auto" w:fill="auto"/>
            <w:tcMar>
              <w:left w:w="17" w:type="dxa"/>
              <w:right w:w="17" w:type="dxa"/>
            </w:tcMar>
            <w:vAlign w:val="center"/>
            <w:hideMark/>
          </w:tcPr>
          <w:p w14:paraId="06AA4C18" w14:textId="77777777" w:rsidR="001C56BD" w:rsidRPr="00F92667" w:rsidRDefault="001C56BD" w:rsidP="008A5C11">
            <w:pPr>
              <w:rPr>
                <w:bCs/>
                <w:sz w:val="13"/>
                <w:szCs w:val="13"/>
              </w:rPr>
            </w:pPr>
          </w:p>
        </w:tc>
        <w:tc>
          <w:tcPr>
            <w:tcW w:w="305" w:type="pct"/>
            <w:vMerge/>
            <w:shd w:val="clear" w:color="auto" w:fill="auto"/>
            <w:tcMar>
              <w:left w:w="17" w:type="dxa"/>
              <w:right w:w="17" w:type="dxa"/>
            </w:tcMar>
            <w:vAlign w:val="center"/>
            <w:hideMark/>
          </w:tcPr>
          <w:p w14:paraId="4E35F921" w14:textId="77777777" w:rsidR="001C56BD" w:rsidRPr="00F92667" w:rsidRDefault="001C56BD" w:rsidP="008A5C11">
            <w:pPr>
              <w:rPr>
                <w:bCs/>
                <w:sz w:val="13"/>
                <w:szCs w:val="13"/>
              </w:rPr>
            </w:pPr>
          </w:p>
        </w:tc>
        <w:tc>
          <w:tcPr>
            <w:tcW w:w="304" w:type="pct"/>
            <w:vMerge/>
            <w:shd w:val="clear" w:color="auto" w:fill="auto"/>
            <w:tcMar>
              <w:left w:w="17" w:type="dxa"/>
              <w:right w:w="17" w:type="dxa"/>
            </w:tcMar>
            <w:vAlign w:val="center"/>
            <w:hideMark/>
          </w:tcPr>
          <w:p w14:paraId="07A33A9D" w14:textId="77777777" w:rsidR="001C56BD" w:rsidRPr="00F92667" w:rsidRDefault="001C56BD" w:rsidP="008A5C11">
            <w:pPr>
              <w:rPr>
                <w:bCs/>
                <w:sz w:val="13"/>
                <w:szCs w:val="13"/>
              </w:rPr>
            </w:pPr>
          </w:p>
        </w:tc>
        <w:tc>
          <w:tcPr>
            <w:tcW w:w="258" w:type="pct"/>
            <w:vMerge/>
            <w:shd w:val="clear" w:color="auto" w:fill="auto"/>
            <w:tcMar>
              <w:left w:w="17" w:type="dxa"/>
              <w:right w:w="17" w:type="dxa"/>
            </w:tcMar>
            <w:vAlign w:val="center"/>
            <w:hideMark/>
          </w:tcPr>
          <w:p w14:paraId="1C0C416D" w14:textId="77777777" w:rsidR="001C56BD" w:rsidRPr="00F92667" w:rsidRDefault="001C56BD" w:rsidP="008A5C11">
            <w:pPr>
              <w:rPr>
                <w:bCs/>
                <w:sz w:val="13"/>
                <w:szCs w:val="13"/>
              </w:rPr>
            </w:pPr>
          </w:p>
        </w:tc>
        <w:tc>
          <w:tcPr>
            <w:tcW w:w="294" w:type="pct"/>
            <w:vMerge/>
            <w:shd w:val="clear" w:color="auto" w:fill="auto"/>
            <w:tcMar>
              <w:left w:w="17" w:type="dxa"/>
              <w:right w:w="17" w:type="dxa"/>
            </w:tcMar>
            <w:vAlign w:val="center"/>
            <w:hideMark/>
          </w:tcPr>
          <w:p w14:paraId="1D36A268" w14:textId="77777777" w:rsidR="001C56BD" w:rsidRPr="00F92667" w:rsidRDefault="001C56BD" w:rsidP="008A5C11">
            <w:pPr>
              <w:rPr>
                <w:bCs/>
                <w:sz w:val="13"/>
                <w:szCs w:val="13"/>
              </w:rPr>
            </w:pPr>
          </w:p>
        </w:tc>
        <w:tc>
          <w:tcPr>
            <w:tcW w:w="129" w:type="pct"/>
            <w:vMerge/>
            <w:shd w:val="clear" w:color="auto" w:fill="auto"/>
            <w:tcMar>
              <w:left w:w="17" w:type="dxa"/>
              <w:right w:w="17" w:type="dxa"/>
            </w:tcMar>
            <w:vAlign w:val="center"/>
            <w:hideMark/>
          </w:tcPr>
          <w:p w14:paraId="54011EE9" w14:textId="77777777" w:rsidR="001C56BD" w:rsidRPr="00F92667" w:rsidRDefault="001C56BD" w:rsidP="008A5C11">
            <w:pPr>
              <w:rPr>
                <w:bCs/>
                <w:sz w:val="13"/>
                <w:szCs w:val="13"/>
              </w:rPr>
            </w:pPr>
          </w:p>
        </w:tc>
        <w:tc>
          <w:tcPr>
            <w:tcW w:w="184" w:type="pct"/>
            <w:shd w:val="clear" w:color="auto" w:fill="auto"/>
            <w:tcMar>
              <w:left w:w="17" w:type="dxa"/>
              <w:right w:w="17" w:type="dxa"/>
            </w:tcMar>
            <w:vAlign w:val="center"/>
            <w:hideMark/>
          </w:tcPr>
          <w:p w14:paraId="4A0BB426" w14:textId="77777777" w:rsidR="001C56BD" w:rsidRPr="00F92667" w:rsidRDefault="001C56BD" w:rsidP="008A5C11">
            <w:pPr>
              <w:jc w:val="center"/>
              <w:rPr>
                <w:bCs/>
                <w:sz w:val="13"/>
                <w:szCs w:val="13"/>
              </w:rPr>
            </w:pPr>
            <w:r w:rsidRPr="00F92667">
              <w:rPr>
                <w:bCs/>
                <w:sz w:val="13"/>
                <w:szCs w:val="13"/>
              </w:rPr>
              <w:t xml:space="preserve">до </w:t>
            </w:r>
            <w:proofErr w:type="gramStart"/>
            <w:r w:rsidRPr="00F92667">
              <w:rPr>
                <w:bCs/>
                <w:sz w:val="13"/>
                <w:szCs w:val="13"/>
              </w:rPr>
              <w:t>реа-лизации</w:t>
            </w:r>
            <w:proofErr w:type="gramEnd"/>
            <w:r w:rsidRPr="00F92667">
              <w:rPr>
                <w:bCs/>
                <w:sz w:val="13"/>
                <w:szCs w:val="13"/>
              </w:rPr>
              <w:t xml:space="preserve"> меро-приятия</w:t>
            </w:r>
          </w:p>
        </w:tc>
        <w:tc>
          <w:tcPr>
            <w:tcW w:w="219" w:type="pct"/>
            <w:shd w:val="clear" w:color="auto" w:fill="auto"/>
            <w:tcMar>
              <w:left w:w="17" w:type="dxa"/>
              <w:right w:w="17" w:type="dxa"/>
            </w:tcMar>
            <w:vAlign w:val="center"/>
            <w:hideMark/>
          </w:tcPr>
          <w:p w14:paraId="3E0AF809" w14:textId="77777777" w:rsidR="001C56BD" w:rsidRPr="00F92667" w:rsidRDefault="001C56BD" w:rsidP="008A5C11">
            <w:pPr>
              <w:jc w:val="center"/>
              <w:rPr>
                <w:bCs/>
                <w:sz w:val="13"/>
                <w:szCs w:val="13"/>
              </w:rPr>
            </w:pPr>
            <w:r w:rsidRPr="00F92667">
              <w:rPr>
                <w:bCs/>
                <w:sz w:val="13"/>
                <w:szCs w:val="13"/>
              </w:rPr>
              <w:t xml:space="preserve">после реализации </w:t>
            </w:r>
            <w:proofErr w:type="gramStart"/>
            <w:r w:rsidRPr="00F92667">
              <w:rPr>
                <w:bCs/>
                <w:sz w:val="13"/>
                <w:szCs w:val="13"/>
              </w:rPr>
              <w:t>меро-приятия</w:t>
            </w:r>
            <w:proofErr w:type="gramEnd"/>
          </w:p>
        </w:tc>
        <w:tc>
          <w:tcPr>
            <w:tcW w:w="130" w:type="pct"/>
            <w:shd w:val="clear" w:color="auto" w:fill="auto"/>
            <w:tcMar>
              <w:left w:w="17" w:type="dxa"/>
              <w:right w:w="17" w:type="dxa"/>
            </w:tcMar>
            <w:vAlign w:val="center"/>
            <w:hideMark/>
          </w:tcPr>
          <w:p w14:paraId="45DA5021" w14:textId="77777777" w:rsidR="001C56BD" w:rsidRPr="00F92667" w:rsidRDefault="001C56BD" w:rsidP="008A5C11">
            <w:pPr>
              <w:rPr>
                <w:bCs/>
                <w:sz w:val="13"/>
                <w:szCs w:val="13"/>
              </w:rPr>
            </w:pPr>
          </w:p>
        </w:tc>
        <w:tc>
          <w:tcPr>
            <w:tcW w:w="130" w:type="pct"/>
            <w:shd w:val="clear" w:color="auto" w:fill="auto"/>
            <w:tcMar>
              <w:left w:w="17" w:type="dxa"/>
              <w:right w:w="17" w:type="dxa"/>
            </w:tcMar>
            <w:vAlign w:val="center"/>
            <w:hideMark/>
          </w:tcPr>
          <w:p w14:paraId="6340DA2D" w14:textId="77777777" w:rsidR="001C56BD" w:rsidRPr="00F92667" w:rsidRDefault="001C56BD" w:rsidP="008A5C11">
            <w:pPr>
              <w:rPr>
                <w:bCs/>
                <w:sz w:val="13"/>
                <w:szCs w:val="13"/>
              </w:rPr>
            </w:pPr>
          </w:p>
        </w:tc>
        <w:tc>
          <w:tcPr>
            <w:tcW w:w="217" w:type="pct"/>
            <w:gridSpan w:val="2"/>
            <w:shd w:val="clear" w:color="auto" w:fill="auto"/>
            <w:tcMar>
              <w:left w:w="17" w:type="dxa"/>
              <w:right w:w="17" w:type="dxa"/>
            </w:tcMar>
            <w:vAlign w:val="center"/>
            <w:hideMark/>
          </w:tcPr>
          <w:p w14:paraId="49FEE888" w14:textId="77777777" w:rsidR="001C56BD" w:rsidRPr="00F92667" w:rsidRDefault="001C56BD" w:rsidP="008A5C11">
            <w:pPr>
              <w:rPr>
                <w:bCs/>
                <w:sz w:val="13"/>
                <w:szCs w:val="13"/>
              </w:rPr>
            </w:pPr>
          </w:p>
        </w:tc>
        <w:tc>
          <w:tcPr>
            <w:tcW w:w="177" w:type="pct"/>
            <w:gridSpan w:val="2"/>
            <w:shd w:val="clear" w:color="auto" w:fill="auto"/>
            <w:tcMar>
              <w:left w:w="17" w:type="dxa"/>
              <w:right w:w="17" w:type="dxa"/>
            </w:tcMar>
            <w:vAlign w:val="center"/>
            <w:hideMark/>
          </w:tcPr>
          <w:p w14:paraId="532B90BB" w14:textId="77777777" w:rsidR="001C56BD" w:rsidRPr="00F92667" w:rsidRDefault="001C56BD" w:rsidP="008A5C11">
            <w:pPr>
              <w:rPr>
                <w:bCs/>
                <w:sz w:val="13"/>
                <w:szCs w:val="13"/>
              </w:rPr>
            </w:pPr>
          </w:p>
        </w:tc>
        <w:tc>
          <w:tcPr>
            <w:tcW w:w="212" w:type="pct"/>
            <w:shd w:val="clear" w:color="auto" w:fill="auto"/>
            <w:tcMar>
              <w:left w:w="17" w:type="dxa"/>
              <w:right w:w="17" w:type="dxa"/>
            </w:tcMar>
            <w:vAlign w:val="center"/>
          </w:tcPr>
          <w:p w14:paraId="495C4248" w14:textId="77777777" w:rsidR="001C56BD" w:rsidRPr="00F92667" w:rsidRDefault="001C56BD" w:rsidP="008A5C11">
            <w:pPr>
              <w:jc w:val="center"/>
              <w:rPr>
                <w:bCs/>
                <w:sz w:val="13"/>
                <w:szCs w:val="13"/>
              </w:rPr>
            </w:pPr>
            <w:r w:rsidRPr="00F92667">
              <w:rPr>
                <w:bCs/>
                <w:sz w:val="13"/>
                <w:szCs w:val="13"/>
              </w:rPr>
              <w:t>2022</w:t>
            </w:r>
          </w:p>
        </w:tc>
        <w:tc>
          <w:tcPr>
            <w:tcW w:w="218" w:type="pct"/>
            <w:gridSpan w:val="2"/>
            <w:shd w:val="clear" w:color="auto" w:fill="auto"/>
            <w:tcMar>
              <w:left w:w="17" w:type="dxa"/>
              <w:right w:w="17" w:type="dxa"/>
            </w:tcMar>
            <w:vAlign w:val="center"/>
          </w:tcPr>
          <w:p w14:paraId="736790A8" w14:textId="77777777" w:rsidR="001C56BD" w:rsidRPr="00F92667" w:rsidRDefault="001C56BD" w:rsidP="008A5C11">
            <w:pPr>
              <w:jc w:val="center"/>
              <w:rPr>
                <w:bCs/>
                <w:sz w:val="13"/>
                <w:szCs w:val="13"/>
              </w:rPr>
            </w:pPr>
            <w:r w:rsidRPr="00F92667">
              <w:rPr>
                <w:bCs/>
                <w:sz w:val="13"/>
                <w:szCs w:val="13"/>
              </w:rPr>
              <w:t>2023</w:t>
            </w:r>
          </w:p>
        </w:tc>
        <w:tc>
          <w:tcPr>
            <w:tcW w:w="217" w:type="pct"/>
            <w:gridSpan w:val="2"/>
            <w:shd w:val="clear" w:color="auto" w:fill="auto"/>
            <w:tcMar>
              <w:left w:w="17" w:type="dxa"/>
              <w:right w:w="17" w:type="dxa"/>
            </w:tcMar>
            <w:vAlign w:val="center"/>
          </w:tcPr>
          <w:p w14:paraId="67256854" w14:textId="77777777" w:rsidR="001C56BD" w:rsidRPr="00F92667" w:rsidRDefault="001C56BD" w:rsidP="008A5C11">
            <w:pPr>
              <w:jc w:val="center"/>
              <w:rPr>
                <w:bCs/>
                <w:sz w:val="13"/>
                <w:szCs w:val="13"/>
              </w:rPr>
            </w:pPr>
            <w:r w:rsidRPr="00F92667">
              <w:rPr>
                <w:bCs/>
                <w:sz w:val="13"/>
                <w:szCs w:val="13"/>
              </w:rPr>
              <w:t>2024</w:t>
            </w:r>
          </w:p>
        </w:tc>
        <w:tc>
          <w:tcPr>
            <w:tcW w:w="206" w:type="pct"/>
            <w:gridSpan w:val="2"/>
            <w:tcMar>
              <w:left w:w="17" w:type="dxa"/>
              <w:right w:w="17" w:type="dxa"/>
            </w:tcMar>
            <w:vAlign w:val="center"/>
          </w:tcPr>
          <w:p w14:paraId="21203C8E" w14:textId="77777777" w:rsidR="001C56BD" w:rsidRPr="00F92667" w:rsidRDefault="001C56BD" w:rsidP="008A5C11">
            <w:pPr>
              <w:ind w:left="-14"/>
              <w:jc w:val="center"/>
              <w:rPr>
                <w:bCs/>
                <w:sz w:val="13"/>
                <w:szCs w:val="13"/>
              </w:rPr>
            </w:pPr>
            <w:r w:rsidRPr="00F92667">
              <w:rPr>
                <w:bCs/>
                <w:sz w:val="13"/>
                <w:szCs w:val="13"/>
              </w:rPr>
              <w:t>2025</w:t>
            </w:r>
          </w:p>
        </w:tc>
        <w:tc>
          <w:tcPr>
            <w:tcW w:w="217" w:type="pct"/>
            <w:gridSpan w:val="2"/>
            <w:tcMar>
              <w:left w:w="17" w:type="dxa"/>
              <w:right w:w="17" w:type="dxa"/>
            </w:tcMar>
            <w:vAlign w:val="center"/>
          </w:tcPr>
          <w:p w14:paraId="6CBFC57C" w14:textId="77777777" w:rsidR="001C56BD" w:rsidRPr="00F92667" w:rsidRDefault="001C56BD" w:rsidP="008A5C11">
            <w:pPr>
              <w:jc w:val="center"/>
              <w:rPr>
                <w:bCs/>
                <w:sz w:val="13"/>
                <w:szCs w:val="13"/>
              </w:rPr>
            </w:pPr>
            <w:r w:rsidRPr="00F92667">
              <w:rPr>
                <w:bCs/>
                <w:sz w:val="13"/>
                <w:szCs w:val="13"/>
              </w:rPr>
              <w:t>2026</w:t>
            </w:r>
          </w:p>
        </w:tc>
        <w:tc>
          <w:tcPr>
            <w:tcW w:w="214" w:type="pct"/>
            <w:gridSpan w:val="2"/>
            <w:tcMar>
              <w:left w:w="17" w:type="dxa"/>
              <w:right w:w="17" w:type="dxa"/>
            </w:tcMar>
            <w:vAlign w:val="center"/>
          </w:tcPr>
          <w:p w14:paraId="14082534" w14:textId="77777777" w:rsidR="001C56BD" w:rsidRPr="00F92667" w:rsidRDefault="001C56BD" w:rsidP="008A5C11">
            <w:pPr>
              <w:jc w:val="center"/>
              <w:rPr>
                <w:bCs/>
                <w:sz w:val="13"/>
                <w:szCs w:val="13"/>
              </w:rPr>
            </w:pPr>
            <w:r w:rsidRPr="00F92667">
              <w:rPr>
                <w:bCs/>
                <w:sz w:val="13"/>
                <w:szCs w:val="13"/>
              </w:rPr>
              <w:t>2027</w:t>
            </w:r>
          </w:p>
        </w:tc>
        <w:tc>
          <w:tcPr>
            <w:tcW w:w="217" w:type="pct"/>
            <w:gridSpan w:val="2"/>
            <w:tcMar>
              <w:left w:w="17" w:type="dxa"/>
              <w:right w:w="17" w:type="dxa"/>
            </w:tcMar>
            <w:vAlign w:val="center"/>
          </w:tcPr>
          <w:p w14:paraId="1787F8CF" w14:textId="77777777" w:rsidR="001C56BD" w:rsidRPr="00F92667" w:rsidRDefault="001C56BD" w:rsidP="008A5C11">
            <w:pPr>
              <w:jc w:val="center"/>
              <w:rPr>
                <w:bCs/>
                <w:sz w:val="13"/>
                <w:szCs w:val="13"/>
              </w:rPr>
            </w:pPr>
            <w:r w:rsidRPr="00F92667">
              <w:rPr>
                <w:bCs/>
                <w:sz w:val="13"/>
                <w:szCs w:val="13"/>
              </w:rPr>
              <w:t>2028</w:t>
            </w:r>
          </w:p>
        </w:tc>
        <w:tc>
          <w:tcPr>
            <w:tcW w:w="217" w:type="pct"/>
            <w:gridSpan w:val="2"/>
            <w:tcMar>
              <w:left w:w="17" w:type="dxa"/>
              <w:right w:w="17" w:type="dxa"/>
            </w:tcMar>
            <w:vAlign w:val="center"/>
          </w:tcPr>
          <w:p w14:paraId="5660EA86" w14:textId="77777777" w:rsidR="001C56BD" w:rsidRPr="00F92667" w:rsidRDefault="001C56BD" w:rsidP="008A5C11">
            <w:pPr>
              <w:jc w:val="center"/>
              <w:rPr>
                <w:bCs/>
                <w:sz w:val="13"/>
                <w:szCs w:val="13"/>
              </w:rPr>
            </w:pPr>
            <w:r w:rsidRPr="00F92667">
              <w:rPr>
                <w:bCs/>
                <w:sz w:val="13"/>
                <w:szCs w:val="13"/>
              </w:rPr>
              <w:t>2029</w:t>
            </w:r>
          </w:p>
        </w:tc>
        <w:tc>
          <w:tcPr>
            <w:tcW w:w="214" w:type="pct"/>
            <w:gridSpan w:val="2"/>
            <w:tcMar>
              <w:left w:w="17" w:type="dxa"/>
              <w:right w:w="17" w:type="dxa"/>
            </w:tcMar>
            <w:vAlign w:val="center"/>
          </w:tcPr>
          <w:p w14:paraId="5F1201E7" w14:textId="77777777" w:rsidR="001C56BD" w:rsidRPr="00F92667" w:rsidRDefault="001C56BD" w:rsidP="008A5C11">
            <w:pPr>
              <w:jc w:val="center"/>
              <w:rPr>
                <w:bCs/>
                <w:sz w:val="13"/>
                <w:szCs w:val="13"/>
              </w:rPr>
            </w:pPr>
            <w:r w:rsidRPr="00F92667">
              <w:rPr>
                <w:bCs/>
                <w:sz w:val="13"/>
                <w:szCs w:val="13"/>
              </w:rPr>
              <w:t>2030</w:t>
            </w:r>
          </w:p>
        </w:tc>
        <w:tc>
          <w:tcPr>
            <w:tcW w:w="247" w:type="pct"/>
            <w:gridSpan w:val="2"/>
            <w:tcMar>
              <w:left w:w="17" w:type="dxa"/>
              <w:right w:w="17" w:type="dxa"/>
            </w:tcMar>
            <w:vAlign w:val="center"/>
          </w:tcPr>
          <w:p w14:paraId="50DFD1FC" w14:textId="77777777" w:rsidR="001C56BD" w:rsidRPr="00F92667" w:rsidRDefault="001C56BD" w:rsidP="008A5C11">
            <w:pPr>
              <w:jc w:val="center"/>
              <w:rPr>
                <w:bCs/>
                <w:sz w:val="13"/>
                <w:szCs w:val="13"/>
              </w:rPr>
            </w:pPr>
            <w:r w:rsidRPr="00F92667">
              <w:rPr>
                <w:bCs/>
                <w:sz w:val="13"/>
                <w:szCs w:val="13"/>
              </w:rPr>
              <w:t>2031</w:t>
            </w:r>
          </w:p>
        </w:tc>
        <w:tc>
          <w:tcPr>
            <w:tcW w:w="173" w:type="pct"/>
            <w:tcMar>
              <w:left w:w="17" w:type="dxa"/>
              <w:right w:w="17" w:type="dxa"/>
            </w:tcMar>
          </w:tcPr>
          <w:p w14:paraId="35878CEF" w14:textId="77777777" w:rsidR="001C56BD" w:rsidRPr="00F92667" w:rsidRDefault="001C56BD" w:rsidP="008A5C11">
            <w:pPr>
              <w:rPr>
                <w:bCs/>
                <w:sz w:val="13"/>
                <w:szCs w:val="13"/>
              </w:rPr>
            </w:pPr>
          </w:p>
        </w:tc>
        <w:tc>
          <w:tcPr>
            <w:tcW w:w="169" w:type="pct"/>
            <w:tcMar>
              <w:left w:w="17" w:type="dxa"/>
              <w:right w:w="17" w:type="dxa"/>
            </w:tcMar>
          </w:tcPr>
          <w:p w14:paraId="2C36853E" w14:textId="77777777" w:rsidR="001C56BD" w:rsidRPr="00F92667" w:rsidRDefault="001C56BD" w:rsidP="008A5C11">
            <w:pPr>
              <w:rPr>
                <w:bCs/>
                <w:sz w:val="13"/>
                <w:szCs w:val="13"/>
              </w:rPr>
            </w:pPr>
          </w:p>
        </w:tc>
      </w:tr>
      <w:tr w:rsidR="001C56BD" w:rsidRPr="00F92667" w14:paraId="2900DB3D" w14:textId="77777777" w:rsidTr="008A5C11">
        <w:trPr>
          <w:gridBefore w:val="1"/>
          <w:wBefore w:w="3" w:type="pct"/>
          <w:trHeight w:val="56"/>
        </w:trPr>
        <w:tc>
          <w:tcPr>
            <w:tcW w:w="129" w:type="pct"/>
            <w:shd w:val="clear" w:color="auto" w:fill="auto"/>
            <w:tcMar>
              <w:left w:w="17" w:type="dxa"/>
              <w:right w:w="17" w:type="dxa"/>
            </w:tcMar>
            <w:vAlign w:val="center"/>
          </w:tcPr>
          <w:p w14:paraId="69ABEE6D" w14:textId="77777777" w:rsidR="001C56BD" w:rsidRPr="00F92667" w:rsidRDefault="001C56BD" w:rsidP="008A5C11">
            <w:pPr>
              <w:jc w:val="center"/>
              <w:rPr>
                <w:bCs/>
                <w:sz w:val="13"/>
                <w:szCs w:val="13"/>
              </w:rPr>
            </w:pPr>
            <w:r w:rsidRPr="00F92667">
              <w:rPr>
                <w:bCs/>
                <w:sz w:val="13"/>
                <w:szCs w:val="13"/>
              </w:rPr>
              <w:t>1</w:t>
            </w:r>
          </w:p>
        </w:tc>
        <w:tc>
          <w:tcPr>
            <w:tcW w:w="305" w:type="pct"/>
            <w:shd w:val="clear" w:color="auto" w:fill="auto"/>
            <w:tcMar>
              <w:left w:w="17" w:type="dxa"/>
              <w:right w:w="17" w:type="dxa"/>
            </w:tcMar>
            <w:vAlign w:val="center"/>
          </w:tcPr>
          <w:p w14:paraId="03E6B912" w14:textId="77777777" w:rsidR="001C56BD" w:rsidRPr="00F92667" w:rsidRDefault="001C56BD" w:rsidP="008A5C11">
            <w:pPr>
              <w:jc w:val="center"/>
              <w:rPr>
                <w:bCs/>
                <w:sz w:val="13"/>
                <w:szCs w:val="13"/>
              </w:rPr>
            </w:pPr>
            <w:r w:rsidRPr="00F92667">
              <w:rPr>
                <w:bCs/>
                <w:sz w:val="13"/>
                <w:szCs w:val="13"/>
              </w:rPr>
              <w:t>2</w:t>
            </w:r>
          </w:p>
        </w:tc>
        <w:tc>
          <w:tcPr>
            <w:tcW w:w="304" w:type="pct"/>
            <w:shd w:val="clear" w:color="auto" w:fill="auto"/>
            <w:tcMar>
              <w:left w:w="17" w:type="dxa"/>
              <w:right w:w="17" w:type="dxa"/>
            </w:tcMar>
            <w:vAlign w:val="center"/>
          </w:tcPr>
          <w:p w14:paraId="4556A97A" w14:textId="77777777" w:rsidR="001C56BD" w:rsidRPr="00F92667" w:rsidRDefault="001C56BD" w:rsidP="008A5C11">
            <w:pPr>
              <w:jc w:val="center"/>
              <w:rPr>
                <w:bCs/>
                <w:sz w:val="13"/>
                <w:szCs w:val="13"/>
              </w:rPr>
            </w:pPr>
            <w:r w:rsidRPr="00F92667">
              <w:rPr>
                <w:bCs/>
                <w:sz w:val="13"/>
                <w:szCs w:val="13"/>
              </w:rPr>
              <w:t>3</w:t>
            </w:r>
          </w:p>
        </w:tc>
        <w:tc>
          <w:tcPr>
            <w:tcW w:w="258" w:type="pct"/>
            <w:shd w:val="clear" w:color="auto" w:fill="auto"/>
            <w:tcMar>
              <w:left w:w="17" w:type="dxa"/>
              <w:right w:w="17" w:type="dxa"/>
            </w:tcMar>
            <w:vAlign w:val="center"/>
          </w:tcPr>
          <w:p w14:paraId="28B0812B" w14:textId="77777777" w:rsidR="001C56BD" w:rsidRPr="00F92667" w:rsidRDefault="001C56BD" w:rsidP="008A5C11">
            <w:pPr>
              <w:jc w:val="center"/>
              <w:rPr>
                <w:bCs/>
                <w:sz w:val="13"/>
                <w:szCs w:val="13"/>
              </w:rPr>
            </w:pPr>
            <w:r w:rsidRPr="00F92667">
              <w:rPr>
                <w:bCs/>
                <w:sz w:val="13"/>
                <w:szCs w:val="13"/>
              </w:rPr>
              <w:t>4</w:t>
            </w:r>
          </w:p>
        </w:tc>
        <w:tc>
          <w:tcPr>
            <w:tcW w:w="294" w:type="pct"/>
            <w:shd w:val="clear" w:color="auto" w:fill="auto"/>
            <w:tcMar>
              <w:left w:w="17" w:type="dxa"/>
              <w:right w:w="17" w:type="dxa"/>
            </w:tcMar>
            <w:vAlign w:val="center"/>
          </w:tcPr>
          <w:p w14:paraId="16580BEA" w14:textId="77777777" w:rsidR="001C56BD" w:rsidRPr="00F92667" w:rsidRDefault="001C56BD" w:rsidP="008A5C11">
            <w:pPr>
              <w:jc w:val="center"/>
              <w:rPr>
                <w:bCs/>
                <w:sz w:val="13"/>
                <w:szCs w:val="13"/>
              </w:rPr>
            </w:pPr>
            <w:r w:rsidRPr="00F92667">
              <w:rPr>
                <w:bCs/>
                <w:sz w:val="13"/>
                <w:szCs w:val="13"/>
              </w:rPr>
              <w:t>5</w:t>
            </w:r>
          </w:p>
        </w:tc>
        <w:tc>
          <w:tcPr>
            <w:tcW w:w="129" w:type="pct"/>
            <w:shd w:val="clear" w:color="auto" w:fill="auto"/>
            <w:tcMar>
              <w:left w:w="17" w:type="dxa"/>
              <w:right w:w="17" w:type="dxa"/>
            </w:tcMar>
            <w:vAlign w:val="center"/>
          </w:tcPr>
          <w:p w14:paraId="4ACDD9D0" w14:textId="77777777" w:rsidR="001C56BD" w:rsidRPr="00F92667" w:rsidRDefault="001C56BD" w:rsidP="008A5C11">
            <w:pPr>
              <w:jc w:val="center"/>
              <w:rPr>
                <w:bCs/>
                <w:sz w:val="13"/>
                <w:szCs w:val="13"/>
              </w:rPr>
            </w:pPr>
            <w:r w:rsidRPr="00F92667">
              <w:rPr>
                <w:bCs/>
                <w:sz w:val="13"/>
                <w:szCs w:val="13"/>
              </w:rPr>
              <w:t>6</w:t>
            </w:r>
          </w:p>
        </w:tc>
        <w:tc>
          <w:tcPr>
            <w:tcW w:w="184" w:type="pct"/>
            <w:shd w:val="clear" w:color="auto" w:fill="auto"/>
            <w:tcMar>
              <w:left w:w="17" w:type="dxa"/>
              <w:right w:w="17" w:type="dxa"/>
            </w:tcMar>
            <w:vAlign w:val="center"/>
          </w:tcPr>
          <w:p w14:paraId="5629D72E" w14:textId="77777777" w:rsidR="001C56BD" w:rsidRPr="00F92667" w:rsidRDefault="001C56BD" w:rsidP="008A5C11">
            <w:pPr>
              <w:jc w:val="center"/>
              <w:rPr>
                <w:bCs/>
                <w:sz w:val="13"/>
                <w:szCs w:val="13"/>
              </w:rPr>
            </w:pPr>
            <w:r w:rsidRPr="00F92667">
              <w:rPr>
                <w:bCs/>
                <w:sz w:val="13"/>
                <w:szCs w:val="13"/>
              </w:rPr>
              <w:t>7</w:t>
            </w:r>
          </w:p>
        </w:tc>
        <w:tc>
          <w:tcPr>
            <w:tcW w:w="219" w:type="pct"/>
            <w:shd w:val="clear" w:color="auto" w:fill="auto"/>
            <w:tcMar>
              <w:left w:w="17" w:type="dxa"/>
              <w:right w:w="17" w:type="dxa"/>
            </w:tcMar>
            <w:vAlign w:val="center"/>
          </w:tcPr>
          <w:p w14:paraId="1E30D8A7" w14:textId="77777777" w:rsidR="001C56BD" w:rsidRPr="00F92667" w:rsidRDefault="001C56BD" w:rsidP="008A5C11">
            <w:pPr>
              <w:jc w:val="center"/>
              <w:rPr>
                <w:bCs/>
                <w:sz w:val="13"/>
                <w:szCs w:val="13"/>
              </w:rPr>
            </w:pPr>
            <w:r w:rsidRPr="00F92667">
              <w:rPr>
                <w:bCs/>
                <w:sz w:val="13"/>
                <w:szCs w:val="13"/>
              </w:rPr>
              <w:t>8</w:t>
            </w:r>
          </w:p>
        </w:tc>
        <w:tc>
          <w:tcPr>
            <w:tcW w:w="130" w:type="pct"/>
            <w:shd w:val="clear" w:color="auto" w:fill="auto"/>
            <w:tcMar>
              <w:left w:w="17" w:type="dxa"/>
              <w:right w:w="17" w:type="dxa"/>
            </w:tcMar>
            <w:vAlign w:val="center"/>
          </w:tcPr>
          <w:p w14:paraId="52F44972" w14:textId="77777777" w:rsidR="001C56BD" w:rsidRPr="00F92667" w:rsidRDefault="001C56BD" w:rsidP="008A5C11">
            <w:pPr>
              <w:jc w:val="center"/>
              <w:rPr>
                <w:bCs/>
                <w:sz w:val="13"/>
                <w:szCs w:val="13"/>
              </w:rPr>
            </w:pPr>
            <w:r w:rsidRPr="00F92667">
              <w:rPr>
                <w:bCs/>
                <w:sz w:val="13"/>
                <w:szCs w:val="13"/>
              </w:rPr>
              <w:t>9</w:t>
            </w:r>
          </w:p>
        </w:tc>
        <w:tc>
          <w:tcPr>
            <w:tcW w:w="130" w:type="pct"/>
            <w:shd w:val="clear" w:color="auto" w:fill="auto"/>
            <w:tcMar>
              <w:left w:w="17" w:type="dxa"/>
              <w:right w:w="17" w:type="dxa"/>
            </w:tcMar>
            <w:vAlign w:val="center"/>
          </w:tcPr>
          <w:p w14:paraId="00B27EE6" w14:textId="77777777" w:rsidR="001C56BD" w:rsidRPr="00F92667" w:rsidRDefault="001C56BD" w:rsidP="008A5C11">
            <w:pPr>
              <w:jc w:val="center"/>
              <w:rPr>
                <w:bCs/>
                <w:sz w:val="13"/>
                <w:szCs w:val="13"/>
              </w:rPr>
            </w:pPr>
            <w:r w:rsidRPr="00F92667">
              <w:rPr>
                <w:bCs/>
                <w:sz w:val="13"/>
                <w:szCs w:val="13"/>
              </w:rPr>
              <w:t>10</w:t>
            </w:r>
          </w:p>
        </w:tc>
        <w:tc>
          <w:tcPr>
            <w:tcW w:w="217" w:type="pct"/>
            <w:gridSpan w:val="2"/>
            <w:shd w:val="clear" w:color="auto" w:fill="auto"/>
            <w:tcMar>
              <w:left w:w="17" w:type="dxa"/>
              <w:right w:w="17" w:type="dxa"/>
            </w:tcMar>
            <w:vAlign w:val="center"/>
          </w:tcPr>
          <w:p w14:paraId="5ABAE0EB" w14:textId="77777777" w:rsidR="001C56BD" w:rsidRPr="00F92667" w:rsidRDefault="001C56BD" w:rsidP="008A5C11">
            <w:pPr>
              <w:jc w:val="center"/>
              <w:rPr>
                <w:bCs/>
                <w:sz w:val="13"/>
                <w:szCs w:val="13"/>
              </w:rPr>
            </w:pPr>
            <w:r w:rsidRPr="00F92667">
              <w:rPr>
                <w:bCs/>
                <w:sz w:val="13"/>
                <w:szCs w:val="13"/>
              </w:rPr>
              <w:t>11</w:t>
            </w:r>
          </w:p>
        </w:tc>
        <w:tc>
          <w:tcPr>
            <w:tcW w:w="177" w:type="pct"/>
            <w:gridSpan w:val="2"/>
            <w:shd w:val="clear" w:color="auto" w:fill="auto"/>
            <w:tcMar>
              <w:left w:w="17" w:type="dxa"/>
              <w:right w:w="17" w:type="dxa"/>
            </w:tcMar>
            <w:vAlign w:val="center"/>
          </w:tcPr>
          <w:p w14:paraId="4E538D62" w14:textId="77777777" w:rsidR="001C56BD" w:rsidRPr="00F92667" w:rsidRDefault="001C56BD" w:rsidP="008A5C11">
            <w:pPr>
              <w:jc w:val="center"/>
              <w:rPr>
                <w:bCs/>
                <w:sz w:val="13"/>
                <w:szCs w:val="13"/>
              </w:rPr>
            </w:pPr>
            <w:r w:rsidRPr="00F92667">
              <w:rPr>
                <w:bCs/>
                <w:sz w:val="13"/>
                <w:szCs w:val="13"/>
              </w:rPr>
              <w:t>12</w:t>
            </w:r>
          </w:p>
        </w:tc>
        <w:tc>
          <w:tcPr>
            <w:tcW w:w="212" w:type="pct"/>
            <w:shd w:val="clear" w:color="auto" w:fill="auto"/>
            <w:tcMar>
              <w:left w:w="17" w:type="dxa"/>
              <w:right w:w="17" w:type="dxa"/>
            </w:tcMar>
            <w:vAlign w:val="center"/>
          </w:tcPr>
          <w:p w14:paraId="7663D120" w14:textId="77777777" w:rsidR="001C56BD" w:rsidRPr="00F92667" w:rsidRDefault="001C56BD" w:rsidP="008A5C11">
            <w:pPr>
              <w:jc w:val="center"/>
              <w:rPr>
                <w:bCs/>
                <w:sz w:val="13"/>
                <w:szCs w:val="13"/>
              </w:rPr>
            </w:pPr>
            <w:r w:rsidRPr="00F92667">
              <w:rPr>
                <w:bCs/>
                <w:sz w:val="13"/>
                <w:szCs w:val="13"/>
              </w:rPr>
              <w:t>13</w:t>
            </w:r>
          </w:p>
        </w:tc>
        <w:tc>
          <w:tcPr>
            <w:tcW w:w="218" w:type="pct"/>
            <w:gridSpan w:val="2"/>
            <w:shd w:val="clear" w:color="auto" w:fill="auto"/>
            <w:tcMar>
              <w:left w:w="17" w:type="dxa"/>
              <w:right w:w="17" w:type="dxa"/>
            </w:tcMar>
            <w:vAlign w:val="center"/>
          </w:tcPr>
          <w:p w14:paraId="6E5AA15F" w14:textId="77777777" w:rsidR="001C56BD" w:rsidRPr="00F92667" w:rsidRDefault="001C56BD" w:rsidP="008A5C11">
            <w:pPr>
              <w:jc w:val="center"/>
              <w:rPr>
                <w:bCs/>
                <w:sz w:val="13"/>
                <w:szCs w:val="13"/>
              </w:rPr>
            </w:pPr>
            <w:r w:rsidRPr="00F92667">
              <w:rPr>
                <w:bCs/>
                <w:sz w:val="13"/>
                <w:szCs w:val="13"/>
              </w:rPr>
              <w:t>14</w:t>
            </w:r>
          </w:p>
        </w:tc>
        <w:tc>
          <w:tcPr>
            <w:tcW w:w="217" w:type="pct"/>
            <w:gridSpan w:val="2"/>
            <w:shd w:val="clear" w:color="auto" w:fill="auto"/>
            <w:tcMar>
              <w:left w:w="17" w:type="dxa"/>
              <w:right w:w="17" w:type="dxa"/>
            </w:tcMar>
            <w:vAlign w:val="center"/>
          </w:tcPr>
          <w:p w14:paraId="25EDB751" w14:textId="77777777" w:rsidR="001C56BD" w:rsidRPr="00F92667" w:rsidRDefault="001C56BD" w:rsidP="008A5C11">
            <w:pPr>
              <w:jc w:val="center"/>
              <w:rPr>
                <w:bCs/>
                <w:sz w:val="13"/>
                <w:szCs w:val="13"/>
              </w:rPr>
            </w:pPr>
            <w:r w:rsidRPr="00F92667">
              <w:rPr>
                <w:bCs/>
                <w:sz w:val="13"/>
                <w:szCs w:val="13"/>
              </w:rPr>
              <w:t>15</w:t>
            </w:r>
          </w:p>
        </w:tc>
        <w:tc>
          <w:tcPr>
            <w:tcW w:w="206" w:type="pct"/>
            <w:gridSpan w:val="2"/>
            <w:tcMar>
              <w:left w:w="17" w:type="dxa"/>
              <w:right w:w="17" w:type="dxa"/>
            </w:tcMar>
            <w:vAlign w:val="center"/>
          </w:tcPr>
          <w:p w14:paraId="2B9E775E" w14:textId="77777777" w:rsidR="001C56BD" w:rsidRPr="00F92667" w:rsidRDefault="001C56BD" w:rsidP="008A5C11">
            <w:pPr>
              <w:jc w:val="center"/>
              <w:rPr>
                <w:bCs/>
                <w:sz w:val="13"/>
                <w:szCs w:val="13"/>
              </w:rPr>
            </w:pPr>
            <w:r w:rsidRPr="00F92667">
              <w:rPr>
                <w:bCs/>
                <w:sz w:val="13"/>
                <w:szCs w:val="13"/>
              </w:rPr>
              <w:t>16</w:t>
            </w:r>
          </w:p>
        </w:tc>
        <w:tc>
          <w:tcPr>
            <w:tcW w:w="217" w:type="pct"/>
            <w:gridSpan w:val="2"/>
            <w:tcMar>
              <w:left w:w="17" w:type="dxa"/>
              <w:right w:w="17" w:type="dxa"/>
            </w:tcMar>
            <w:vAlign w:val="center"/>
          </w:tcPr>
          <w:p w14:paraId="79561BEC" w14:textId="77777777" w:rsidR="001C56BD" w:rsidRPr="00F92667" w:rsidRDefault="001C56BD" w:rsidP="008A5C11">
            <w:pPr>
              <w:jc w:val="center"/>
              <w:rPr>
                <w:bCs/>
                <w:sz w:val="13"/>
                <w:szCs w:val="13"/>
              </w:rPr>
            </w:pPr>
            <w:r w:rsidRPr="00F92667">
              <w:rPr>
                <w:bCs/>
                <w:sz w:val="13"/>
                <w:szCs w:val="13"/>
              </w:rPr>
              <w:t>17</w:t>
            </w:r>
          </w:p>
        </w:tc>
        <w:tc>
          <w:tcPr>
            <w:tcW w:w="214" w:type="pct"/>
            <w:gridSpan w:val="2"/>
            <w:tcMar>
              <w:left w:w="17" w:type="dxa"/>
              <w:right w:w="17" w:type="dxa"/>
            </w:tcMar>
            <w:vAlign w:val="center"/>
          </w:tcPr>
          <w:p w14:paraId="777A3793" w14:textId="77777777" w:rsidR="001C56BD" w:rsidRPr="00F92667" w:rsidRDefault="001C56BD" w:rsidP="008A5C11">
            <w:pPr>
              <w:jc w:val="center"/>
              <w:rPr>
                <w:bCs/>
                <w:sz w:val="13"/>
                <w:szCs w:val="13"/>
              </w:rPr>
            </w:pPr>
            <w:r w:rsidRPr="00F92667">
              <w:rPr>
                <w:bCs/>
                <w:sz w:val="13"/>
                <w:szCs w:val="13"/>
              </w:rPr>
              <w:t>18</w:t>
            </w:r>
          </w:p>
        </w:tc>
        <w:tc>
          <w:tcPr>
            <w:tcW w:w="217" w:type="pct"/>
            <w:gridSpan w:val="2"/>
            <w:tcMar>
              <w:left w:w="17" w:type="dxa"/>
              <w:right w:w="17" w:type="dxa"/>
            </w:tcMar>
            <w:vAlign w:val="center"/>
          </w:tcPr>
          <w:p w14:paraId="26B2F292" w14:textId="77777777" w:rsidR="001C56BD" w:rsidRPr="00F92667" w:rsidRDefault="001C56BD" w:rsidP="008A5C11">
            <w:pPr>
              <w:jc w:val="center"/>
              <w:rPr>
                <w:bCs/>
                <w:sz w:val="13"/>
                <w:szCs w:val="13"/>
              </w:rPr>
            </w:pPr>
            <w:r w:rsidRPr="00F92667">
              <w:rPr>
                <w:bCs/>
                <w:sz w:val="13"/>
                <w:szCs w:val="13"/>
              </w:rPr>
              <w:t>19</w:t>
            </w:r>
          </w:p>
        </w:tc>
        <w:tc>
          <w:tcPr>
            <w:tcW w:w="217" w:type="pct"/>
            <w:gridSpan w:val="2"/>
            <w:tcMar>
              <w:left w:w="17" w:type="dxa"/>
              <w:right w:w="17" w:type="dxa"/>
            </w:tcMar>
            <w:vAlign w:val="center"/>
          </w:tcPr>
          <w:p w14:paraId="3A10A1BB" w14:textId="77777777" w:rsidR="001C56BD" w:rsidRPr="00F92667" w:rsidRDefault="001C56BD" w:rsidP="008A5C11">
            <w:pPr>
              <w:jc w:val="center"/>
              <w:rPr>
                <w:bCs/>
                <w:sz w:val="13"/>
                <w:szCs w:val="13"/>
              </w:rPr>
            </w:pPr>
            <w:r w:rsidRPr="00F92667">
              <w:rPr>
                <w:bCs/>
                <w:sz w:val="13"/>
                <w:szCs w:val="13"/>
              </w:rPr>
              <w:t>20</w:t>
            </w:r>
          </w:p>
        </w:tc>
        <w:tc>
          <w:tcPr>
            <w:tcW w:w="214" w:type="pct"/>
            <w:gridSpan w:val="2"/>
            <w:tcMar>
              <w:left w:w="17" w:type="dxa"/>
              <w:right w:w="17" w:type="dxa"/>
            </w:tcMar>
            <w:vAlign w:val="center"/>
          </w:tcPr>
          <w:p w14:paraId="2B1962D8" w14:textId="77777777" w:rsidR="001C56BD" w:rsidRPr="00F92667" w:rsidRDefault="001C56BD" w:rsidP="008A5C11">
            <w:pPr>
              <w:jc w:val="center"/>
              <w:rPr>
                <w:bCs/>
                <w:sz w:val="13"/>
                <w:szCs w:val="13"/>
              </w:rPr>
            </w:pPr>
            <w:r w:rsidRPr="00F92667">
              <w:rPr>
                <w:bCs/>
                <w:sz w:val="13"/>
                <w:szCs w:val="13"/>
              </w:rPr>
              <w:t>21</w:t>
            </w:r>
          </w:p>
        </w:tc>
        <w:tc>
          <w:tcPr>
            <w:tcW w:w="247" w:type="pct"/>
            <w:gridSpan w:val="2"/>
            <w:tcMar>
              <w:left w:w="17" w:type="dxa"/>
              <w:right w:w="17" w:type="dxa"/>
            </w:tcMar>
            <w:vAlign w:val="center"/>
          </w:tcPr>
          <w:p w14:paraId="07F1BF21" w14:textId="77777777" w:rsidR="001C56BD" w:rsidRPr="00F92667" w:rsidRDefault="001C56BD" w:rsidP="008A5C11">
            <w:pPr>
              <w:jc w:val="center"/>
              <w:rPr>
                <w:bCs/>
                <w:sz w:val="13"/>
                <w:szCs w:val="13"/>
              </w:rPr>
            </w:pPr>
            <w:r w:rsidRPr="00F92667">
              <w:rPr>
                <w:bCs/>
                <w:sz w:val="13"/>
                <w:szCs w:val="13"/>
              </w:rPr>
              <w:t>22</w:t>
            </w:r>
          </w:p>
        </w:tc>
        <w:tc>
          <w:tcPr>
            <w:tcW w:w="173" w:type="pct"/>
            <w:tcMar>
              <w:left w:w="17" w:type="dxa"/>
              <w:right w:w="17" w:type="dxa"/>
            </w:tcMar>
            <w:vAlign w:val="center"/>
          </w:tcPr>
          <w:p w14:paraId="603E137A" w14:textId="77777777" w:rsidR="001C56BD" w:rsidRPr="00F92667" w:rsidRDefault="001C56BD" w:rsidP="008A5C11">
            <w:pPr>
              <w:jc w:val="center"/>
              <w:rPr>
                <w:bCs/>
                <w:sz w:val="13"/>
                <w:szCs w:val="13"/>
              </w:rPr>
            </w:pPr>
            <w:r w:rsidRPr="00F92667">
              <w:rPr>
                <w:bCs/>
                <w:sz w:val="13"/>
                <w:szCs w:val="13"/>
              </w:rPr>
              <w:t>23</w:t>
            </w:r>
          </w:p>
        </w:tc>
        <w:tc>
          <w:tcPr>
            <w:tcW w:w="169" w:type="pct"/>
            <w:tcMar>
              <w:left w:w="17" w:type="dxa"/>
              <w:right w:w="17" w:type="dxa"/>
            </w:tcMar>
            <w:vAlign w:val="center"/>
          </w:tcPr>
          <w:p w14:paraId="487E1BE4" w14:textId="77777777" w:rsidR="001C56BD" w:rsidRPr="00F92667" w:rsidRDefault="001C56BD" w:rsidP="008A5C11">
            <w:pPr>
              <w:jc w:val="center"/>
              <w:rPr>
                <w:bCs/>
                <w:sz w:val="13"/>
                <w:szCs w:val="13"/>
              </w:rPr>
            </w:pPr>
            <w:r w:rsidRPr="00F92667">
              <w:rPr>
                <w:bCs/>
                <w:sz w:val="13"/>
                <w:szCs w:val="13"/>
              </w:rPr>
              <w:t>24</w:t>
            </w:r>
          </w:p>
        </w:tc>
      </w:tr>
      <w:tr w:rsidR="001C56BD" w:rsidRPr="00F92667" w14:paraId="691CC417" w14:textId="77777777" w:rsidTr="008A5C11">
        <w:trPr>
          <w:gridBefore w:val="1"/>
          <w:wBefore w:w="3" w:type="pct"/>
          <w:trHeight w:val="56"/>
        </w:trPr>
        <w:tc>
          <w:tcPr>
            <w:tcW w:w="4997" w:type="pct"/>
            <w:gridSpan w:val="35"/>
            <w:tcMar>
              <w:left w:w="17" w:type="dxa"/>
              <w:right w:w="17" w:type="dxa"/>
            </w:tcMar>
          </w:tcPr>
          <w:p w14:paraId="20E76BBC" w14:textId="77777777" w:rsidR="001C56BD" w:rsidRPr="00F92667" w:rsidRDefault="001C56BD" w:rsidP="008A5C11">
            <w:pPr>
              <w:rPr>
                <w:sz w:val="13"/>
                <w:szCs w:val="13"/>
              </w:rPr>
            </w:pPr>
            <w:r w:rsidRPr="00F92667">
              <w:rPr>
                <w:sz w:val="13"/>
                <w:szCs w:val="13"/>
              </w:rPr>
              <w:t>Группа 1. Строительство, реконструкция или модернизация объектов в целях подключения потребителей:</w:t>
            </w:r>
          </w:p>
        </w:tc>
      </w:tr>
      <w:tr w:rsidR="001C56BD" w:rsidRPr="00F92667" w14:paraId="5F7FE292" w14:textId="77777777" w:rsidTr="008A5C11">
        <w:trPr>
          <w:gridBefore w:val="1"/>
          <w:wBefore w:w="3" w:type="pct"/>
          <w:trHeight w:val="56"/>
        </w:trPr>
        <w:tc>
          <w:tcPr>
            <w:tcW w:w="4997" w:type="pct"/>
            <w:gridSpan w:val="35"/>
            <w:tcMar>
              <w:left w:w="17" w:type="dxa"/>
              <w:right w:w="17" w:type="dxa"/>
            </w:tcMar>
          </w:tcPr>
          <w:p w14:paraId="0F9B9A6C" w14:textId="77777777" w:rsidR="001C56BD" w:rsidRPr="00F92667" w:rsidRDefault="001C56BD" w:rsidP="008A5C11">
            <w:pPr>
              <w:rPr>
                <w:sz w:val="13"/>
                <w:szCs w:val="13"/>
              </w:rPr>
            </w:pPr>
            <w:r w:rsidRPr="00F92667">
              <w:rPr>
                <w:sz w:val="13"/>
                <w:szCs w:val="13"/>
              </w:rPr>
              <w:t>1.1. Строительство новых тепловых сетей в целях подключения потребителей</w:t>
            </w:r>
          </w:p>
        </w:tc>
      </w:tr>
      <w:tr w:rsidR="001C56BD" w:rsidRPr="00F92667" w14:paraId="7048B6E7" w14:textId="77777777" w:rsidTr="008A5C11">
        <w:trPr>
          <w:gridBefore w:val="1"/>
          <w:wBefore w:w="3" w:type="pct"/>
          <w:trHeight w:val="56"/>
        </w:trPr>
        <w:tc>
          <w:tcPr>
            <w:tcW w:w="129" w:type="pct"/>
            <w:vMerge w:val="restart"/>
            <w:shd w:val="clear" w:color="auto" w:fill="auto"/>
            <w:tcMar>
              <w:left w:w="17" w:type="dxa"/>
              <w:right w:w="17" w:type="dxa"/>
            </w:tcMar>
            <w:vAlign w:val="center"/>
          </w:tcPr>
          <w:p w14:paraId="4823E3DD" w14:textId="77777777" w:rsidR="001C56BD" w:rsidRPr="00F92667" w:rsidRDefault="001C56BD" w:rsidP="008A5C11">
            <w:pPr>
              <w:jc w:val="center"/>
              <w:rPr>
                <w:sz w:val="12"/>
                <w:szCs w:val="12"/>
              </w:rPr>
            </w:pPr>
            <w:r w:rsidRPr="00F92667">
              <w:rPr>
                <w:sz w:val="12"/>
                <w:szCs w:val="12"/>
              </w:rPr>
              <w:t>1.1.1.</w:t>
            </w:r>
          </w:p>
        </w:tc>
        <w:tc>
          <w:tcPr>
            <w:tcW w:w="305" w:type="pct"/>
            <w:vMerge w:val="restart"/>
            <w:shd w:val="clear" w:color="auto" w:fill="auto"/>
            <w:tcMar>
              <w:left w:w="17" w:type="dxa"/>
              <w:right w:w="17" w:type="dxa"/>
            </w:tcMar>
            <w:vAlign w:val="center"/>
          </w:tcPr>
          <w:p w14:paraId="23E9738C" w14:textId="77777777" w:rsidR="001C56BD" w:rsidRPr="00F92667" w:rsidRDefault="001C56BD" w:rsidP="008A5C11">
            <w:pPr>
              <w:rPr>
                <w:sz w:val="12"/>
                <w:szCs w:val="12"/>
              </w:rPr>
            </w:pPr>
            <w:r w:rsidRPr="00F92667">
              <w:rPr>
                <w:sz w:val="12"/>
                <w:szCs w:val="12"/>
              </w:rPr>
              <w:t xml:space="preserve">Строительство тепловых сетей </w:t>
            </w:r>
          </w:p>
        </w:tc>
        <w:tc>
          <w:tcPr>
            <w:tcW w:w="304" w:type="pct"/>
            <w:vMerge w:val="restart"/>
            <w:shd w:val="clear" w:color="auto" w:fill="auto"/>
            <w:tcMar>
              <w:left w:w="17" w:type="dxa"/>
              <w:right w:w="17" w:type="dxa"/>
            </w:tcMar>
            <w:vAlign w:val="center"/>
          </w:tcPr>
          <w:p w14:paraId="4E0288AB" w14:textId="77777777" w:rsidR="001C56BD" w:rsidRPr="00F92667" w:rsidRDefault="001C56BD" w:rsidP="008A5C11">
            <w:pPr>
              <w:jc w:val="center"/>
              <w:rPr>
                <w:sz w:val="12"/>
                <w:szCs w:val="12"/>
              </w:rPr>
            </w:pPr>
            <w:r w:rsidRPr="00F92667">
              <w:rPr>
                <w:sz w:val="12"/>
                <w:szCs w:val="12"/>
              </w:rPr>
              <w:t xml:space="preserve">Подключение потребителей Заводского района </w:t>
            </w:r>
            <w:r w:rsidRPr="00F92667">
              <w:rPr>
                <w:sz w:val="12"/>
                <w:szCs w:val="12"/>
              </w:rPr>
              <w:br/>
              <w:t>г. Кемерово</w:t>
            </w:r>
          </w:p>
        </w:tc>
        <w:tc>
          <w:tcPr>
            <w:tcW w:w="258" w:type="pct"/>
            <w:vMerge w:val="restart"/>
            <w:shd w:val="clear" w:color="auto" w:fill="auto"/>
            <w:tcMar>
              <w:left w:w="17" w:type="dxa"/>
              <w:right w:w="17" w:type="dxa"/>
            </w:tcMar>
            <w:vAlign w:val="center"/>
          </w:tcPr>
          <w:p w14:paraId="5241D48C" w14:textId="77777777" w:rsidR="001C56BD" w:rsidRPr="00F92667" w:rsidRDefault="001C56BD" w:rsidP="008A5C11">
            <w:pPr>
              <w:jc w:val="center"/>
              <w:rPr>
                <w:sz w:val="12"/>
                <w:szCs w:val="12"/>
              </w:rPr>
            </w:pPr>
            <w:r w:rsidRPr="00F92667">
              <w:rPr>
                <w:sz w:val="12"/>
                <w:szCs w:val="12"/>
              </w:rPr>
              <w:t>Кемеровский городской округ, Заводской район</w:t>
            </w:r>
          </w:p>
        </w:tc>
        <w:tc>
          <w:tcPr>
            <w:tcW w:w="294" w:type="pct"/>
            <w:shd w:val="clear" w:color="auto" w:fill="auto"/>
            <w:tcMar>
              <w:left w:w="17" w:type="dxa"/>
              <w:right w:w="17" w:type="dxa"/>
            </w:tcMar>
            <w:vAlign w:val="center"/>
          </w:tcPr>
          <w:p w14:paraId="4283E330" w14:textId="77777777" w:rsidR="001C56BD" w:rsidRPr="00F92667" w:rsidRDefault="001C56BD" w:rsidP="008A5C11">
            <w:pPr>
              <w:jc w:val="center"/>
              <w:rPr>
                <w:color w:val="000000"/>
                <w:sz w:val="12"/>
                <w:szCs w:val="12"/>
              </w:rPr>
            </w:pPr>
            <w:r w:rsidRPr="00F92667">
              <w:rPr>
                <w:color w:val="000000"/>
                <w:sz w:val="12"/>
                <w:szCs w:val="12"/>
              </w:rPr>
              <w:t>мощность</w:t>
            </w:r>
          </w:p>
        </w:tc>
        <w:tc>
          <w:tcPr>
            <w:tcW w:w="129" w:type="pct"/>
            <w:shd w:val="clear" w:color="auto" w:fill="auto"/>
            <w:tcMar>
              <w:left w:w="17" w:type="dxa"/>
              <w:right w:w="17" w:type="dxa"/>
            </w:tcMar>
            <w:vAlign w:val="center"/>
          </w:tcPr>
          <w:p w14:paraId="58AF8A98" w14:textId="77777777" w:rsidR="001C56BD" w:rsidRPr="00F92667" w:rsidRDefault="001C56BD" w:rsidP="008A5C11">
            <w:pPr>
              <w:jc w:val="center"/>
              <w:rPr>
                <w:color w:val="000000"/>
                <w:sz w:val="12"/>
                <w:szCs w:val="12"/>
              </w:rPr>
            </w:pPr>
            <w:r w:rsidRPr="00F92667">
              <w:rPr>
                <w:color w:val="000000"/>
                <w:sz w:val="12"/>
                <w:szCs w:val="12"/>
              </w:rPr>
              <w:t>Гкал/</w:t>
            </w:r>
          </w:p>
          <w:p w14:paraId="6164C11C" w14:textId="77777777" w:rsidR="001C56BD" w:rsidRPr="00F92667" w:rsidRDefault="001C56BD" w:rsidP="008A5C11">
            <w:pPr>
              <w:jc w:val="center"/>
              <w:rPr>
                <w:color w:val="000000"/>
                <w:sz w:val="12"/>
                <w:szCs w:val="12"/>
              </w:rPr>
            </w:pPr>
            <w:r w:rsidRPr="00F92667">
              <w:rPr>
                <w:color w:val="000000"/>
                <w:sz w:val="12"/>
                <w:szCs w:val="12"/>
              </w:rPr>
              <w:t>час</w:t>
            </w:r>
          </w:p>
        </w:tc>
        <w:tc>
          <w:tcPr>
            <w:tcW w:w="184" w:type="pct"/>
            <w:vMerge w:val="restart"/>
            <w:shd w:val="clear" w:color="auto" w:fill="auto"/>
            <w:tcMar>
              <w:left w:w="17" w:type="dxa"/>
              <w:right w:w="17" w:type="dxa"/>
            </w:tcMar>
            <w:vAlign w:val="center"/>
          </w:tcPr>
          <w:p w14:paraId="71512B7B" w14:textId="77777777" w:rsidR="001C56BD" w:rsidRPr="00F92667" w:rsidRDefault="001C56BD" w:rsidP="008A5C11">
            <w:pPr>
              <w:jc w:val="center"/>
              <w:rPr>
                <w:sz w:val="12"/>
                <w:szCs w:val="12"/>
              </w:rPr>
            </w:pPr>
            <w:r w:rsidRPr="00F92667">
              <w:rPr>
                <w:sz w:val="12"/>
                <w:szCs w:val="12"/>
              </w:rPr>
              <w:t>-</w:t>
            </w:r>
          </w:p>
        </w:tc>
        <w:tc>
          <w:tcPr>
            <w:tcW w:w="219" w:type="pct"/>
            <w:shd w:val="clear" w:color="auto" w:fill="auto"/>
            <w:tcMar>
              <w:left w:w="17" w:type="dxa"/>
              <w:right w:w="17" w:type="dxa"/>
            </w:tcMar>
            <w:vAlign w:val="center"/>
          </w:tcPr>
          <w:p w14:paraId="51FE057E" w14:textId="77777777" w:rsidR="001C56BD" w:rsidRPr="00F92667" w:rsidRDefault="001C56BD" w:rsidP="008A5C11">
            <w:pPr>
              <w:jc w:val="center"/>
              <w:rPr>
                <w:sz w:val="12"/>
                <w:szCs w:val="12"/>
              </w:rPr>
            </w:pPr>
            <w:r w:rsidRPr="00F92667">
              <w:rPr>
                <w:sz w:val="12"/>
                <w:szCs w:val="12"/>
              </w:rPr>
              <w:t>0,18</w:t>
            </w:r>
          </w:p>
        </w:tc>
        <w:tc>
          <w:tcPr>
            <w:tcW w:w="130" w:type="pct"/>
            <w:vMerge w:val="restart"/>
            <w:shd w:val="clear" w:color="auto" w:fill="auto"/>
            <w:tcMar>
              <w:left w:w="17" w:type="dxa"/>
              <w:right w:w="17" w:type="dxa"/>
            </w:tcMar>
            <w:vAlign w:val="center"/>
          </w:tcPr>
          <w:p w14:paraId="19259DB3" w14:textId="77777777" w:rsidR="001C56BD" w:rsidRPr="00F92667" w:rsidRDefault="001C56BD" w:rsidP="008A5C11">
            <w:pPr>
              <w:jc w:val="center"/>
              <w:rPr>
                <w:sz w:val="12"/>
                <w:szCs w:val="12"/>
              </w:rPr>
            </w:pPr>
            <w:r w:rsidRPr="00F92667">
              <w:rPr>
                <w:sz w:val="12"/>
                <w:szCs w:val="12"/>
              </w:rPr>
              <w:t>2022</w:t>
            </w:r>
          </w:p>
        </w:tc>
        <w:tc>
          <w:tcPr>
            <w:tcW w:w="130" w:type="pct"/>
            <w:vMerge w:val="restart"/>
            <w:shd w:val="clear" w:color="auto" w:fill="auto"/>
            <w:tcMar>
              <w:left w:w="17" w:type="dxa"/>
              <w:right w:w="17" w:type="dxa"/>
            </w:tcMar>
            <w:vAlign w:val="center"/>
          </w:tcPr>
          <w:p w14:paraId="531F9738" w14:textId="77777777" w:rsidR="001C56BD" w:rsidRPr="00F92667" w:rsidRDefault="001C56BD" w:rsidP="008A5C11">
            <w:pPr>
              <w:jc w:val="center"/>
              <w:rPr>
                <w:sz w:val="12"/>
                <w:szCs w:val="12"/>
              </w:rPr>
            </w:pPr>
            <w:r w:rsidRPr="00F92667">
              <w:rPr>
                <w:sz w:val="12"/>
                <w:szCs w:val="12"/>
              </w:rPr>
              <w:t>2022</w:t>
            </w:r>
          </w:p>
        </w:tc>
        <w:tc>
          <w:tcPr>
            <w:tcW w:w="217" w:type="pct"/>
            <w:gridSpan w:val="2"/>
            <w:vMerge w:val="restart"/>
            <w:shd w:val="clear" w:color="000000" w:fill="FFFFFF"/>
            <w:tcMar>
              <w:left w:w="17" w:type="dxa"/>
              <w:right w:w="17" w:type="dxa"/>
            </w:tcMar>
            <w:vAlign w:val="center"/>
          </w:tcPr>
          <w:p w14:paraId="7DF92C36" w14:textId="77777777" w:rsidR="001C56BD" w:rsidRPr="00F92667" w:rsidRDefault="001C56BD" w:rsidP="008A5C11">
            <w:pPr>
              <w:jc w:val="center"/>
              <w:rPr>
                <w:sz w:val="12"/>
                <w:szCs w:val="12"/>
              </w:rPr>
            </w:pPr>
            <w:r w:rsidRPr="00F92667">
              <w:rPr>
                <w:sz w:val="12"/>
                <w:szCs w:val="12"/>
              </w:rPr>
              <w:t>3429,900</w:t>
            </w:r>
          </w:p>
        </w:tc>
        <w:tc>
          <w:tcPr>
            <w:tcW w:w="177" w:type="pct"/>
            <w:gridSpan w:val="2"/>
            <w:vMerge w:val="restart"/>
            <w:shd w:val="clear" w:color="auto" w:fill="auto"/>
            <w:tcMar>
              <w:left w:w="17" w:type="dxa"/>
              <w:right w:w="17" w:type="dxa"/>
            </w:tcMar>
            <w:vAlign w:val="center"/>
          </w:tcPr>
          <w:p w14:paraId="5B2210E5" w14:textId="77777777" w:rsidR="001C56BD" w:rsidRPr="00F92667" w:rsidRDefault="001C56BD" w:rsidP="008A5C11">
            <w:pPr>
              <w:jc w:val="center"/>
              <w:rPr>
                <w:sz w:val="12"/>
                <w:szCs w:val="12"/>
              </w:rPr>
            </w:pPr>
            <w:r w:rsidRPr="00F92667">
              <w:rPr>
                <w:sz w:val="12"/>
                <w:szCs w:val="12"/>
              </w:rPr>
              <w:t>0,000</w:t>
            </w:r>
          </w:p>
        </w:tc>
        <w:tc>
          <w:tcPr>
            <w:tcW w:w="212" w:type="pct"/>
            <w:vMerge w:val="restart"/>
            <w:shd w:val="clear" w:color="000000" w:fill="FFFFFF"/>
            <w:tcMar>
              <w:left w:w="17" w:type="dxa"/>
              <w:right w:w="17" w:type="dxa"/>
            </w:tcMar>
            <w:vAlign w:val="center"/>
          </w:tcPr>
          <w:p w14:paraId="44EF1601" w14:textId="77777777" w:rsidR="001C56BD" w:rsidRPr="00F92667" w:rsidRDefault="001C56BD" w:rsidP="008A5C11">
            <w:pPr>
              <w:jc w:val="center"/>
              <w:rPr>
                <w:sz w:val="12"/>
                <w:szCs w:val="12"/>
              </w:rPr>
            </w:pPr>
            <w:r w:rsidRPr="00F92667">
              <w:rPr>
                <w:sz w:val="12"/>
                <w:szCs w:val="12"/>
              </w:rPr>
              <w:t>3429,900</w:t>
            </w:r>
          </w:p>
        </w:tc>
        <w:tc>
          <w:tcPr>
            <w:tcW w:w="218" w:type="pct"/>
            <w:gridSpan w:val="2"/>
            <w:vMerge w:val="restart"/>
            <w:shd w:val="clear" w:color="auto" w:fill="auto"/>
            <w:tcMar>
              <w:left w:w="17" w:type="dxa"/>
              <w:right w:w="17" w:type="dxa"/>
            </w:tcMar>
            <w:vAlign w:val="center"/>
          </w:tcPr>
          <w:p w14:paraId="232C0506" w14:textId="77777777" w:rsidR="001C56BD" w:rsidRPr="00F92667" w:rsidRDefault="001C56BD" w:rsidP="008A5C11">
            <w:pPr>
              <w:jc w:val="center"/>
              <w:rPr>
                <w:sz w:val="12"/>
                <w:szCs w:val="12"/>
              </w:rPr>
            </w:pPr>
            <w:r w:rsidRPr="00F92667">
              <w:rPr>
                <w:sz w:val="12"/>
                <w:szCs w:val="12"/>
              </w:rPr>
              <w:t>0,000</w:t>
            </w:r>
          </w:p>
        </w:tc>
        <w:tc>
          <w:tcPr>
            <w:tcW w:w="217" w:type="pct"/>
            <w:gridSpan w:val="2"/>
            <w:vMerge w:val="restart"/>
            <w:shd w:val="clear" w:color="auto" w:fill="auto"/>
            <w:tcMar>
              <w:left w:w="17" w:type="dxa"/>
              <w:right w:w="17" w:type="dxa"/>
            </w:tcMar>
            <w:vAlign w:val="center"/>
          </w:tcPr>
          <w:p w14:paraId="6AC976CB" w14:textId="77777777" w:rsidR="001C56BD" w:rsidRPr="00F92667" w:rsidRDefault="001C56BD" w:rsidP="008A5C11">
            <w:pPr>
              <w:jc w:val="center"/>
              <w:rPr>
                <w:sz w:val="12"/>
                <w:szCs w:val="12"/>
              </w:rPr>
            </w:pPr>
            <w:r w:rsidRPr="00F92667">
              <w:rPr>
                <w:sz w:val="12"/>
                <w:szCs w:val="12"/>
              </w:rPr>
              <w:t>0,000</w:t>
            </w:r>
          </w:p>
        </w:tc>
        <w:tc>
          <w:tcPr>
            <w:tcW w:w="206" w:type="pct"/>
            <w:gridSpan w:val="2"/>
            <w:vMerge w:val="restart"/>
            <w:shd w:val="clear" w:color="auto" w:fill="auto"/>
            <w:tcMar>
              <w:left w:w="17" w:type="dxa"/>
              <w:right w:w="17" w:type="dxa"/>
            </w:tcMar>
            <w:vAlign w:val="center"/>
          </w:tcPr>
          <w:p w14:paraId="4DDF2BC0" w14:textId="77777777" w:rsidR="001C56BD" w:rsidRPr="00F92667" w:rsidRDefault="001C56BD" w:rsidP="008A5C11">
            <w:pPr>
              <w:jc w:val="center"/>
              <w:rPr>
                <w:sz w:val="12"/>
                <w:szCs w:val="12"/>
              </w:rPr>
            </w:pPr>
            <w:r w:rsidRPr="00F92667">
              <w:rPr>
                <w:sz w:val="12"/>
                <w:szCs w:val="12"/>
              </w:rPr>
              <w:t>0,000</w:t>
            </w:r>
          </w:p>
        </w:tc>
        <w:tc>
          <w:tcPr>
            <w:tcW w:w="217" w:type="pct"/>
            <w:gridSpan w:val="2"/>
            <w:vMerge w:val="restart"/>
            <w:tcMar>
              <w:left w:w="17" w:type="dxa"/>
              <w:right w:w="17" w:type="dxa"/>
            </w:tcMar>
            <w:vAlign w:val="center"/>
          </w:tcPr>
          <w:p w14:paraId="059E5512" w14:textId="77777777" w:rsidR="001C56BD" w:rsidRPr="00F92667" w:rsidRDefault="001C56BD" w:rsidP="008A5C11">
            <w:pPr>
              <w:jc w:val="center"/>
              <w:rPr>
                <w:sz w:val="12"/>
                <w:szCs w:val="12"/>
                <w:highlight w:val="red"/>
              </w:rPr>
            </w:pPr>
            <w:r w:rsidRPr="00F92667">
              <w:rPr>
                <w:sz w:val="12"/>
                <w:szCs w:val="12"/>
              </w:rPr>
              <w:t>0,000</w:t>
            </w:r>
          </w:p>
        </w:tc>
        <w:tc>
          <w:tcPr>
            <w:tcW w:w="214" w:type="pct"/>
            <w:gridSpan w:val="2"/>
            <w:vMerge w:val="restart"/>
            <w:tcMar>
              <w:left w:w="17" w:type="dxa"/>
              <w:right w:w="17" w:type="dxa"/>
            </w:tcMar>
            <w:vAlign w:val="center"/>
          </w:tcPr>
          <w:p w14:paraId="263251BB" w14:textId="77777777" w:rsidR="001C56BD" w:rsidRPr="00F92667" w:rsidRDefault="001C56BD" w:rsidP="008A5C11">
            <w:pPr>
              <w:jc w:val="center"/>
              <w:rPr>
                <w:sz w:val="12"/>
                <w:szCs w:val="12"/>
                <w:highlight w:val="red"/>
              </w:rPr>
            </w:pPr>
            <w:r w:rsidRPr="00F92667">
              <w:rPr>
                <w:sz w:val="12"/>
                <w:szCs w:val="12"/>
              </w:rPr>
              <w:t>0,000</w:t>
            </w:r>
          </w:p>
        </w:tc>
        <w:tc>
          <w:tcPr>
            <w:tcW w:w="217" w:type="pct"/>
            <w:gridSpan w:val="2"/>
            <w:vMerge w:val="restart"/>
            <w:tcMar>
              <w:left w:w="17" w:type="dxa"/>
              <w:right w:w="17" w:type="dxa"/>
            </w:tcMar>
            <w:vAlign w:val="center"/>
          </w:tcPr>
          <w:p w14:paraId="737643A1" w14:textId="77777777" w:rsidR="001C56BD" w:rsidRPr="00F92667" w:rsidRDefault="001C56BD" w:rsidP="008A5C11">
            <w:pPr>
              <w:jc w:val="center"/>
              <w:rPr>
                <w:sz w:val="12"/>
                <w:szCs w:val="12"/>
              </w:rPr>
            </w:pPr>
            <w:r w:rsidRPr="00F92667">
              <w:rPr>
                <w:sz w:val="12"/>
                <w:szCs w:val="12"/>
              </w:rPr>
              <w:t>0,000</w:t>
            </w:r>
          </w:p>
        </w:tc>
        <w:tc>
          <w:tcPr>
            <w:tcW w:w="217" w:type="pct"/>
            <w:gridSpan w:val="2"/>
            <w:vMerge w:val="restart"/>
            <w:tcMar>
              <w:left w:w="17" w:type="dxa"/>
              <w:right w:w="17" w:type="dxa"/>
            </w:tcMar>
            <w:vAlign w:val="center"/>
          </w:tcPr>
          <w:p w14:paraId="1B0D6962" w14:textId="77777777" w:rsidR="001C56BD" w:rsidRPr="00F92667" w:rsidRDefault="001C56BD" w:rsidP="008A5C11">
            <w:pPr>
              <w:jc w:val="center"/>
              <w:rPr>
                <w:sz w:val="12"/>
                <w:szCs w:val="12"/>
              </w:rPr>
            </w:pPr>
            <w:r w:rsidRPr="00F92667">
              <w:rPr>
                <w:sz w:val="12"/>
                <w:szCs w:val="12"/>
              </w:rPr>
              <w:t>0,000</w:t>
            </w:r>
          </w:p>
        </w:tc>
        <w:tc>
          <w:tcPr>
            <w:tcW w:w="214" w:type="pct"/>
            <w:gridSpan w:val="2"/>
            <w:vMerge w:val="restart"/>
            <w:tcMar>
              <w:left w:w="17" w:type="dxa"/>
              <w:right w:w="17" w:type="dxa"/>
            </w:tcMar>
            <w:vAlign w:val="center"/>
          </w:tcPr>
          <w:p w14:paraId="6C908BAC" w14:textId="77777777" w:rsidR="001C56BD" w:rsidRPr="00F92667" w:rsidRDefault="001C56BD" w:rsidP="008A5C11">
            <w:pPr>
              <w:jc w:val="center"/>
              <w:rPr>
                <w:sz w:val="12"/>
                <w:szCs w:val="12"/>
              </w:rPr>
            </w:pPr>
            <w:r w:rsidRPr="00F92667">
              <w:rPr>
                <w:sz w:val="12"/>
                <w:szCs w:val="12"/>
              </w:rPr>
              <w:t>0,000</w:t>
            </w:r>
          </w:p>
        </w:tc>
        <w:tc>
          <w:tcPr>
            <w:tcW w:w="247" w:type="pct"/>
            <w:gridSpan w:val="2"/>
            <w:vMerge w:val="restart"/>
            <w:tcMar>
              <w:left w:w="17" w:type="dxa"/>
              <w:right w:w="17" w:type="dxa"/>
            </w:tcMar>
            <w:vAlign w:val="center"/>
          </w:tcPr>
          <w:p w14:paraId="004B32BC" w14:textId="77777777" w:rsidR="001C56BD" w:rsidRPr="00F92667" w:rsidRDefault="001C56BD" w:rsidP="008A5C11">
            <w:pPr>
              <w:jc w:val="center"/>
              <w:rPr>
                <w:sz w:val="12"/>
                <w:szCs w:val="12"/>
              </w:rPr>
            </w:pPr>
            <w:r w:rsidRPr="00F92667">
              <w:rPr>
                <w:sz w:val="12"/>
                <w:szCs w:val="12"/>
              </w:rPr>
              <w:t>0,000</w:t>
            </w:r>
          </w:p>
        </w:tc>
        <w:tc>
          <w:tcPr>
            <w:tcW w:w="173" w:type="pct"/>
            <w:vMerge w:val="restart"/>
            <w:tcMar>
              <w:left w:w="17" w:type="dxa"/>
              <w:right w:w="17" w:type="dxa"/>
            </w:tcMar>
            <w:vAlign w:val="center"/>
          </w:tcPr>
          <w:p w14:paraId="5FE6037A" w14:textId="77777777" w:rsidR="001C56BD" w:rsidRPr="00F92667" w:rsidRDefault="001C56BD" w:rsidP="008A5C11">
            <w:pPr>
              <w:jc w:val="center"/>
              <w:rPr>
                <w:sz w:val="12"/>
                <w:szCs w:val="12"/>
              </w:rPr>
            </w:pPr>
            <w:r w:rsidRPr="00F92667">
              <w:rPr>
                <w:sz w:val="12"/>
                <w:szCs w:val="12"/>
              </w:rPr>
              <w:t>0,000</w:t>
            </w:r>
          </w:p>
        </w:tc>
        <w:tc>
          <w:tcPr>
            <w:tcW w:w="169" w:type="pct"/>
            <w:vMerge w:val="restart"/>
            <w:shd w:val="clear" w:color="000000" w:fill="FFFFFF"/>
            <w:tcMar>
              <w:left w:w="17" w:type="dxa"/>
              <w:right w:w="17" w:type="dxa"/>
            </w:tcMar>
            <w:vAlign w:val="center"/>
          </w:tcPr>
          <w:p w14:paraId="16204D78" w14:textId="77777777" w:rsidR="001C56BD" w:rsidRPr="00F92667" w:rsidRDefault="001C56BD" w:rsidP="008A5C11">
            <w:pPr>
              <w:jc w:val="center"/>
              <w:rPr>
                <w:sz w:val="12"/>
                <w:szCs w:val="12"/>
              </w:rPr>
            </w:pPr>
            <w:r w:rsidRPr="00F92667">
              <w:rPr>
                <w:sz w:val="12"/>
                <w:szCs w:val="12"/>
              </w:rPr>
              <w:t>3429,900</w:t>
            </w:r>
          </w:p>
        </w:tc>
      </w:tr>
      <w:tr w:rsidR="001C56BD" w:rsidRPr="00F92667" w14:paraId="6E2A2947" w14:textId="77777777" w:rsidTr="008A5C11">
        <w:trPr>
          <w:gridBefore w:val="1"/>
          <w:wBefore w:w="3" w:type="pct"/>
          <w:trHeight w:val="98"/>
        </w:trPr>
        <w:tc>
          <w:tcPr>
            <w:tcW w:w="129" w:type="pct"/>
            <w:vMerge/>
            <w:shd w:val="clear" w:color="auto" w:fill="auto"/>
            <w:tcMar>
              <w:left w:w="17" w:type="dxa"/>
              <w:right w:w="17" w:type="dxa"/>
            </w:tcMar>
            <w:vAlign w:val="center"/>
          </w:tcPr>
          <w:p w14:paraId="309DB29B" w14:textId="77777777" w:rsidR="001C56BD" w:rsidRPr="00F92667" w:rsidRDefault="001C56BD" w:rsidP="008A5C11">
            <w:pPr>
              <w:jc w:val="center"/>
              <w:rPr>
                <w:sz w:val="12"/>
                <w:szCs w:val="12"/>
              </w:rPr>
            </w:pPr>
          </w:p>
        </w:tc>
        <w:tc>
          <w:tcPr>
            <w:tcW w:w="305" w:type="pct"/>
            <w:vMerge/>
            <w:shd w:val="clear" w:color="auto" w:fill="auto"/>
            <w:tcMar>
              <w:left w:w="17" w:type="dxa"/>
              <w:right w:w="17" w:type="dxa"/>
            </w:tcMar>
            <w:vAlign w:val="center"/>
          </w:tcPr>
          <w:p w14:paraId="2CD9B35C" w14:textId="77777777" w:rsidR="001C56BD" w:rsidRPr="00F92667" w:rsidRDefault="001C56BD" w:rsidP="008A5C11">
            <w:pPr>
              <w:rPr>
                <w:sz w:val="12"/>
                <w:szCs w:val="12"/>
              </w:rPr>
            </w:pPr>
          </w:p>
        </w:tc>
        <w:tc>
          <w:tcPr>
            <w:tcW w:w="304" w:type="pct"/>
            <w:vMerge/>
            <w:shd w:val="clear" w:color="auto" w:fill="auto"/>
            <w:tcMar>
              <w:left w:w="17" w:type="dxa"/>
              <w:right w:w="17" w:type="dxa"/>
            </w:tcMar>
            <w:vAlign w:val="center"/>
          </w:tcPr>
          <w:p w14:paraId="36C29C1A" w14:textId="77777777" w:rsidR="001C56BD" w:rsidRPr="00F92667" w:rsidRDefault="001C56BD" w:rsidP="008A5C11">
            <w:pPr>
              <w:jc w:val="center"/>
              <w:rPr>
                <w:sz w:val="12"/>
                <w:szCs w:val="12"/>
              </w:rPr>
            </w:pPr>
          </w:p>
        </w:tc>
        <w:tc>
          <w:tcPr>
            <w:tcW w:w="258" w:type="pct"/>
            <w:vMerge/>
            <w:shd w:val="clear" w:color="auto" w:fill="auto"/>
            <w:tcMar>
              <w:left w:w="17" w:type="dxa"/>
              <w:right w:w="17" w:type="dxa"/>
            </w:tcMar>
            <w:vAlign w:val="center"/>
          </w:tcPr>
          <w:p w14:paraId="62EB5674" w14:textId="77777777" w:rsidR="001C56BD" w:rsidRPr="00F92667" w:rsidRDefault="001C56BD" w:rsidP="008A5C11">
            <w:pPr>
              <w:jc w:val="center"/>
              <w:rPr>
                <w:sz w:val="12"/>
                <w:szCs w:val="12"/>
              </w:rPr>
            </w:pPr>
          </w:p>
        </w:tc>
        <w:tc>
          <w:tcPr>
            <w:tcW w:w="294" w:type="pct"/>
            <w:shd w:val="clear" w:color="auto" w:fill="auto"/>
            <w:tcMar>
              <w:left w:w="17" w:type="dxa"/>
              <w:right w:w="17" w:type="dxa"/>
            </w:tcMar>
            <w:vAlign w:val="center"/>
          </w:tcPr>
          <w:p w14:paraId="79608524" w14:textId="77777777" w:rsidR="001C56BD" w:rsidRPr="00F92667" w:rsidRDefault="001C56BD" w:rsidP="008A5C11">
            <w:pPr>
              <w:jc w:val="center"/>
              <w:rPr>
                <w:color w:val="000000"/>
                <w:sz w:val="12"/>
                <w:szCs w:val="12"/>
              </w:rPr>
            </w:pPr>
            <w:r w:rsidRPr="00F92667">
              <w:rPr>
                <w:color w:val="000000"/>
                <w:sz w:val="12"/>
                <w:szCs w:val="12"/>
              </w:rPr>
              <w:t>протяженность</w:t>
            </w:r>
          </w:p>
        </w:tc>
        <w:tc>
          <w:tcPr>
            <w:tcW w:w="129" w:type="pct"/>
            <w:shd w:val="clear" w:color="auto" w:fill="auto"/>
            <w:tcMar>
              <w:left w:w="17" w:type="dxa"/>
              <w:right w:w="17" w:type="dxa"/>
            </w:tcMar>
            <w:vAlign w:val="center"/>
          </w:tcPr>
          <w:p w14:paraId="06E0B097" w14:textId="77777777" w:rsidR="001C56BD" w:rsidRPr="00F92667" w:rsidRDefault="001C56BD" w:rsidP="008A5C11">
            <w:pPr>
              <w:jc w:val="center"/>
              <w:rPr>
                <w:color w:val="000000"/>
                <w:sz w:val="12"/>
                <w:szCs w:val="12"/>
              </w:rPr>
            </w:pPr>
            <w:r w:rsidRPr="00F92667">
              <w:rPr>
                <w:color w:val="000000"/>
                <w:sz w:val="12"/>
                <w:szCs w:val="12"/>
              </w:rPr>
              <w:t>м</w:t>
            </w:r>
          </w:p>
        </w:tc>
        <w:tc>
          <w:tcPr>
            <w:tcW w:w="184" w:type="pct"/>
            <w:vMerge/>
            <w:shd w:val="clear" w:color="auto" w:fill="auto"/>
            <w:tcMar>
              <w:left w:w="17" w:type="dxa"/>
              <w:right w:w="17" w:type="dxa"/>
            </w:tcMar>
            <w:vAlign w:val="center"/>
          </w:tcPr>
          <w:p w14:paraId="74E343BB" w14:textId="77777777" w:rsidR="001C56BD" w:rsidRPr="00F92667" w:rsidRDefault="001C56BD" w:rsidP="008A5C11">
            <w:pPr>
              <w:jc w:val="center"/>
              <w:rPr>
                <w:sz w:val="12"/>
                <w:szCs w:val="12"/>
              </w:rPr>
            </w:pPr>
          </w:p>
        </w:tc>
        <w:tc>
          <w:tcPr>
            <w:tcW w:w="219" w:type="pct"/>
            <w:shd w:val="clear" w:color="auto" w:fill="auto"/>
            <w:tcMar>
              <w:left w:w="17" w:type="dxa"/>
              <w:right w:w="17" w:type="dxa"/>
            </w:tcMar>
            <w:vAlign w:val="center"/>
          </w:tcPr>
          <w:p w14:paraId="4DAA4396" w14:textId="77777777" w:rsidR="001C56BD" w:rsidRPr="00F92667" w:rsidRDefault="001C56BD" w:rsidP="008A5C11">
            <w:pPr>
              <w:jc w:val="center"/>
              <w:rPr>
                <w:sz w:val="12"/>
                <w:szCs w:val="12"/>
              </w:rPr>
            </w:pPr>
            <w:r w:rsidRPr="00F92667">
              <w:rPr>
                <w:sz w:val="12"/>
                <w:szCs w:val="12"/>
              </w:rPr>
              <w:t>75</w:t>
            </w:r>
          </w:p>
        </w:tc>
        <w:tc>
          <w:tcPr>
            <w:tcW w:w="130" w:type="pct"/>
            <w:vMerge/>
            <w:shd w:val="clear" w:color="auto" w:fill="auto"/>
            <w:tcMar>
              <w:left w:w="17" w:type="dxa"/>
              <w:right w:w="17" w:type="dxa"/>
            </w:tcMar>
            <w:vAlign w:val="center"/>
          </w:tcPr>
          <w:p w14:paraId="17EFA5A4" w14:textId="77777777" w:rsidR="001C56BD" w:rsidRPr="00F92667" w:rsidRDefault="001C56BD" w:rsidP="008A5C11">
            <w:pPr>
              <w:jc w:val="center"/>
              <w:rPr>
                <w:sz w:val="12"/>
                <w:szCs w:val="12"/>
              </w:rPr>
            </w:pPr>
          </w:p>
        </w:tc>
        <w:tc>
          <w:tcPr>
            <w:tcW w:w="130" w:type="pct"/>
            <w:vMerge/>
            <w:shd w:val="clear" w:color="auto" w:fill="auto"/>
            <w:tcMar>
              <w:left w:w="17" w:type="dxa"/>
              <w:right w:w="17" w:type="dxa"/>
            </w:tcMar>
            <w:vAlign w:val="center"/>
          </w:tcPr>
          <w:p w14:paraId="5FB23761" w14:textId="77777777" w:rsidR="001C56BD" w:rsidRPr="00F92667" w:rsidRDefault="001C56BD" w:rsidP="008A5C11">
            <w:pPr>
              <w:jc w:val="center"/>
              <w:rPr>
                <w:sz w:val="12"/>
                <w:szCs w:val="12"/>
              </w:rPr>
            </w:pPr>
          </w:p>
        </w:tc>
        <w:tc>
          <w:tcPr>
            <w:tcW w:w="217" w:type="pct"/>
            <w:gridSpan w:val="2"/>
            <w:vMerge/>
            <w:tcMar>
              <w:left w:w="17" w:type="dxa"/>
              <w:right w:w="17" w:type="dxa"/>
            </w:tcMar>
            <w:vAlign w:val="center"/>
          </w:tcPr>
          <w:p w14:paraId="530363EC" w14:textId="77777777" w:rsidR="001C56BD" w:rsidRPr="00F92667" w:rsidRDefault="001C56BD" w:rsidP="008A5C11">
            <w:pPr>
              <w:jc w:val="center"/>
              <w:rPr>
                <w:sz w:val="12"/>
                <w:szCs w:val="12"/>
              </w:rPr>
            </w:pPr>
          </w:p>
        </w:tc>
        <w:tc>
          <w:tcPr>
            <w:tcW w:w="177" w:type="pct"/>
            <w:gridSpan w:val="2"/>
            <w:vMerge/>
            <w:shd w:val="clear" w:color="auto" w:fill="auto"/>
            <w:tcMar>
              <w:left w:w="17" w:type="dxa"/>
              <w:right w:w="17" w:type="dxa"/>
            </w:tcMar>
            <w:vAlign w:val="center"/>
          </w:tcPr>
          <w:p w14:paraId="441D2CDA" w14:textId="77777777" w:rsidR="001C56BD" w:rsidRPr="00F92667" w:rsidRDefault="001C56BD" w:rsidP="008A5C11">
            <w:pPr>
              <w:jc w:val="center"/>
              <w:rPr>
                <w:sz w:val="12"/>
                <w:szCs w:val="12"/>
              </w:rPr>
            </w:pPr>
          </w:p>
        </w:tc>
        <w:tc>
          <w:tcPr>
            <w:tcW w:w="212" w:type="pct"/>
            <w:vMerge/>
            <w:tcMar>
              <w:left w:w="17" w:type="dxa"/>
              <w:right w:w="17" w:type="dxa"/>
            </w:tcMar>
            <w:vAlign w:val="center"/>
          </w:tcPr>
          <w:p w14:paraId="2E4E720D" w14:textId="77777777" w:rsidR="001C56BD" w:rsidRPr="00F92667" w:rsidRDefault="001C56BD" w:rsidP="008A5C11">
            <w:pPr>
              <w:jc w:val="center"/>
              <w:rPr>
                <w:sz w:val="12"/>
                <w:szCs w:val="12"/>
              </w:rPr>
            </w:pPr>
          </w:p>
        </w:tc>
        <w:tc>
          <w:tcPr>
            <w:tcW w:w="218" w:type="pct"/>
            <w:gridSpan w:val="2"/>
            <w:vMerge/>
            <w:shd w:val="clear" w:color="auto" w:fill="auto"/>
            <w:tcMar>
              <w:left w:w="17" w:type="dxa"/>
              <w:right w:w="17" w:type="dxa"/>
            </w:tcMar>
            <w:vAlign w:val="center"/>
          </w:tcPr>
          <w:p w14:paraId="127A21CF" w14:textId="77777777" w:rsidR="001C56BD" w:rsidRPr="00F92667" w:rsidRDefault="001C56BD" w:rsidP="008A5C11">
            <w:pPr>
              <w:jc w:val="center"/>
              <w:rPr>
                <w:sz w:val="12"/>
                <w:szCs w:val="12"/>
              </w:rPr>
            </w:pPr>
          </w:p>
        </w:tc>
        <w:tc>
          <w:tcPr>
            <w:tcW w:w="217" w:type="pct"/>
            <w:gridSpan w:val="2"/>
            <w:vMerge/>
            <w:shd w:val="clear" w:color="auto" w:fill="auto"/>
            <w:tcMar>
              <w:left w:w="17" w:type="dxa"/>
              <w:right w:w="17" w:type="dxa"/>
            </w:tcMar>
            <w:vAlign w:val="center"/>
          </w:tcPr>
          <w:p w14:paraId="726FC7CE" w14:textId="77777777" w:rsidR="001C56BD" w:rsidRPr="00F92667" w:rsidRDefault="001C56BD" w:rsidP="008A5C11">
            <w:pPr>
              <w:jc w:val="center"/>
              <w:rPr>
                <w:sz w:val="12"/>
                <w:szCs w:val="12"/>
              </w:rPr>
            </w:pPr>
          </w:p>
        </w:tc>
        <w:tc>
          <w:tcPr>
            <w:tcW w:w="206" w:type="pct"/>
            <w:gridSpan w:val="2"/>
            <w:vMerge/>
            <w:shd w:val="clear" w:color="auto" w:fill="auto"/>
            <w:tcMar>
              <w:left w:w="17" w:type="dxa"/>
              <w:right w:w="17" w:type="dxa"/>
            </w:tcMar>
            <w:vAlign w:val="center"/>
          </w:tcPr>
          <w:p w14:paraId="45512039" w14:textId="77777777" w:rsidR="001C56BD" w:rsidRPr="00F92667" w:rsidRDefault="001C56BD" w:rsidP="008A5C11">
            <w:pPr>
              <w:jc w:val="center"/>
              <w:rPr>
                <w:sz w:val="12"/>
                <w:szCs w:val="12"/>
              </w:rPr>
            </w:pPr>
          </w:p>
        </w:tc>
        <w:tc>
          <w:tcPr>
            <w:tcW w:w="217" w:type="pct"/>
            <w:gridSpan w:val="2"/>
            <w:vMerge/>
            <w:tcMar>
              <w:left w:w="17" w:type="dxa"/>
              <w:right w:w="17" w:type="dxa"/>
            </w:tcMar>
            <w:vAlign w:val="center"/>
          </w:tcPr>
          <w:p w14:paraId="544E043F" w14:textId="77777777" w:rsidR="001C56BD" w:rsidRPr="00F92667" w:rsidRDefault="001C56BD" w:rsidP="008A5C11">
            <w:pPr>
              <w:jc w:val="center"/>
              <w:rPr>
                <w:sz w:val="12"/>
                <w:szCs w:val="12"/>
                <w:highlight w:val="red"/>
              </w:rPr>
            </w:pPr>
          </w:p>
        </w:tc>
        <w:tc>
          <w:tcPr>
            <w:tcW w:w="214" w:type="pct"/>
            <w:gridSpan w:val="2"/>
            <w:vMerge/>
            <w:tcMar>
              <w:left w:w="17" w:type="dxa"/>
              <w:right w:w="17" w:type="dxa"/>
            </w:tcMar>
            <w:vAlign w:val="center"/>
          </w:tcPr>
          <w:p w14:paraId="5005C10C" w14:textId="77777777" w:rsidR="001C56BD" w:rsidRPr="00F92667" w:rsidRDefault="001C56BD" w:rsidP="008A5C11">
            <w:pPr>
              <w:jc w:val="center"/>
              <w:rPr>
                <w:sz w:val="12"/>
                <w:szCs w:val="12"/>
                <w:highlight w:val="red"/>
              </w:rPr>
            </w:pPr>
          </w:p>
        </w:tc>
        <w:tc>
          <w:tcPr>
            <w:tcW w:w="217" w:type="pct"/>
            <w:gridSpan w:val="2"/>
            <w:vMerge/>
            <w:tcMar>
              <w:left w:w="17" w:type="dxa"/>
              <w:right w:w="17" w:type="dxa"/>
            </w:tcMar>
            <w:vAlign w:val="center"/>
          </w:tcPr>
          <w:p w14:paraId="07CBD33D" w14:textId="77777777" w:rsidR="001C56BD" w:rsidRPr="00F92667" w:rsidRDefault="001C56BD" w:rsidP="008A5C11">
            <w:pPr>
              <w:jc w:val="center"/>
              <w:rPr>
                <w:sz w:val="12"/>
                <w:szCs w:val="12"/>
              </w:rPr>
            </w:pPr>
          </w:p>
        </w:tc>
        <w:tc>
          <w:tcPr>
            <w:tcW w:w="217" w:type="pct"/>
            <w:gridSpan w:val="2"/>
            <w:vMerge/>
            <w:tcMar>
              <w:left w:w="17" w:type="dxa"/>
              <w:right w:w="17" w:type="dxa"/>
            </w:tcMar>
            <w:vAlign w:val="center"/>
          </w:tcPr>
          <w:p w14:paraId="31737186" w14:textId="77777777" w:rsidR="001C56BD" w:rsidRPr="00F92667" w:rsidRDefault="001C56BD" w:rsidP="008A5C11">
            <w:pPr>
              <w:jc w:val="center"/>
              <w:rPr>
                <w:sz w:val="12"/>
                <w:szCs w:val="12"/>
              </w:rPr>
            </w:pPr>
          </w:p>
        </w:tc>
        <w:tc>
          <w:tcPr>
            <w:tcW w:w="214" w:type="pct"/>
            <w:gridSpan w:val="2"/>
            <w:vMerge/>
            <w:tcMar>
              <w:left w:w="17" w:type="dxa"/>
              <w:right w:w="17" w:type="dxa"/>
            </w:tcMar>
            <w:vAlign w:val="center"/>
          </w:tcPr>
          <w:p w14:paraId="34D6FB85" w14:textId="77777777" w:rsidR="001C56BD" w:rsidRPr="00F92667" w:rsidRDefault="001C56BD" w:rsidP="008A5C11">
            <w:pPr>
              <w:jc w:val="center"/>
              <w:rPr>
                <w:sz w:val="12"/>
                <w:szCs w:val="12"/>
              </w:rPr>
            </w:pPr>
          </w:p>
        </w:tc>
        <w:tc>
          <w:tcPr>
            <w:tcW w:w="247" w:type="pct"/>
            <w:gridSpan w:val="2"/>
            <w:vMerge/>
            <w:tcMar>
              <w:left w:w="17" w:type="dxa"/>
              <w:right w:w="17" w:type="dxa"/>
            </w:tcMar>
            <w:vAlign w:val="center"/>
          </w:tcPr>
          <w:p w14:paraId="367BEEFD" w14:textId="77777777" w:rsidR="001C56BD" w:rsidRPr="00F92667" w:rsidRDefault="001C56BD" w:rsidP="008A5C11">
            <w:pPr>
              <w:jc w:val="center"/>
              <w:rPr>
                <w:sz w:val="12"/>
                <w:szCs w:val="12"/>
              </w:rPr>
            </w:pPr>
          </w:p>
        </w:tc>
        <w:tc>
          <w:tcPr>
            <w:tcW w:w="173" w:type="pct"/>
            <w:vMerge/>
            <w:tcMar>
              <w:left w:w="17" w:type="dxa"/>
              <w:right w:w="17" w:type="dxa"/>
            </w:tcMar>
            <w:vAlign w:val="center"/>
          </w:tcPr>
          <w:p w14:paraId="4B8C394D" w14:textId="77777777" w:rsidR="001C56BD" w:rsidRPr="00F92667" w:rsidRDefault="001C56BD" w:rsidP="008A5C11">
            <w:pPr>
              <w:jc w:val="center"/>
              <w:rPr>
                <w:sz w:val="12"/>
                <w:szCs w:val="12"/>
              </w:rPr>
            </w:pPr>
          </w:p>
        </w:tc>
        <w:tc>
          <w:tcPr>
            <w:tcW w:w="169" w:type="pct"/>
            <w:vMerge/>
            <w:tcMar>
              <w:left w:w="17" w:type="dxa"/>
              <w:right w:w="17" w:type="dxa"/>
            </w:tcMar>
            <w:vAlign w:val="center"/>
          </w:tcPr>
          <w:p w14:paraId="5D7F0D32" w14:textId="77777777" w:rsidR="001C56BD" w:rsidRPr="00F92667" w:rsidRDefault="001C56BD" w:rsidP="008A5C11">
            <w:pPr>
              <w:jc w:val="center"/>
              <w:rPr>
                <w:sz w:val="12"/>
                <w:szCs w:val="12"/>
              </w:rPr>
            </w:pPr>
          </w:p>
        </w:tc>
      </w:tr>
      <w:tr w:rsidR="001C56BD" w:rsidRPr="00F92667" w14:paraId="4A6C2FC3" w14:textId="77777777" w:rsidTr="008A5C11">
        <w:trPr>
          <w:gridBefore w:val="1"/>
          <w:wBefore w:w="3" w:type="pct"/>
          <w:trHeight w:val="56"/>
        </w:trPr>
        <w:tc>
          <w:tcPr>
            <w:tcW w:w="129" w:type="pct"/>
            <w:vMerge/>
            <w:shd w:val="clear" w:color="auto" w:fill="auto"/>
            <w:tcMar>
              <w:left w:w="17" w:type="dxa"/>
              <w:right w:w="17" w:type="dxa"/>
            </w:tcMar>
            <w:vAlign w:val="center"/>
          </w:tcPr>
          <w:p w14:paraId="627E7B22" w14:textId="77777777" w:rsidR="001C56BD" w:rsidRPr="00F92667" w:rsidRDefault="001C56BD" w:rsidP="008A5C11">
            <w:pPr>
              <w:jc w:val="center"/>
              <w:rPr>
                <w:sz w:val="12"/>
                <w:szCs w:val="12"/>
              </w:rPr>
            </w:pPr>
          </w:p>
        </w:tc>
        <w:tc>
          <w:tcPr>
            <w:tcW w:w="305" w:type="pct"/>
            <w:vMerge/>
            <w:shd w:val="clear" w:color="auto" w:fill="auto"/>
            <w:tcMar>
              <w:left w:w="17" w:type="dxa"/>
              <w:right w:w="17" w:type="dxa"/>
            </w:tcMar>
            <w:vAlign w:val="center"/>
          </w:tcPr>
          <w:p w14:paraId="2946A863" w14:textId="77777777" w:rsidR="001C56BD" w:rsidRPr="00F92667" w:rsidRDefault="001C56BD" w:rsidP="008A5C11">
            <w:pPr>
              <w:rPr>
                <w:sz w:val="12"/>
                <w:szCs w:val="12"/>
              </w:rPr>
            </w:pPr>
          </w:p>
        </w:tc>
        <w:tc>
          <w:tcPr>
            <w:tcW w:w="304" w:type="pct"/>
            <w:vMerge/>
            <w:shd w:val="clear" w:color="auto" w:fill="auto"/>
            <w:tcMar>
              <w:left w:w="17" w:type="dxa"/>
              <w:right w:w="17" w:type="dxa"/>
            </w:tcMar>
            <w:vAlign w:val="center"/>
          </w:tcPr>
          <w:p w14:paraId="16B69A0F" w14:textId="77777777" w:rsidR="001C56BD" w:rsidRPr="00F92667" w:rsidRDefault="001C56BD" w:rsidP="008A5C11">
            <w:pPr>
              <w:jc w:val="center"/>
              <w:rPr>
                <w:sz w:val="12"/>
                <w:szCs w:val="12"/>
              </w:rPr>
            </w:pPr>
          </w:p>
        </w:tc>
        <w:tc>
          <w:tcPr>
            <w:tcW w:w="258" w:type="pct"/>
            <w:vMerge/>
            <w:shd w:val="clear" w:color="auto" w:fill="auto"/>
            <w:tcMar>
              <w:left w:w="17" w:type="dxa"/>
              <w:right w:w="17" w:type="dxa"/>
            </w:tcMar>
            <w:vAlign w:val="center"/>
          </w:tcPr>
          <w:p w14:paraId="7640FED9" w14:textId="77777777" w:rsidR="001C56BD" w:rsidRPr="00F92667" w:rsidRDefault="001C56BD" w:rsidP="008A5C11">
            <w:pPr>
              <w:jc w:val="center"/>
              <w:rPr>
                <w:sz w:val="12"/>
                <w:szCs w:val="12"/>
              </w:rPr>
            </w:pPr>
          </w:p>
        </w:tc>
        <w:tc>
          <w:tcPr>
            <w:tcW w:w="294" w:type="pct"/>
            <w:shd w:val="clear" w:color="auto" w:fill="auto"/>
            <w:tcMar>
              <w:left w:w="17" w:type="dxa"/>
              <w:right w:w="17" w:type="dxa"/>
            </w:tcMar>
            <w:vAlign w:val="center"/>
          </w:tcPr>
          <w:p w14:paraId="367DBD06" w14:textId="77777777" w:rsidR="001C56BD" w:rsidRPr="00F92667" w:rsidRDefault="001C56BD" w:rsidP="008A5C11">
            <w:pPr>
              <w:jc w:val="center"/>
              <w:rPr>
                <w:color w:val="000000"/>
                <w:sz w:val="12"/>
                <w:szCs w:val="12"/>
              </w:rPr>
            </w:pPr>
            <w:r w:rsidRPr="00F92667">
              <w:rPr>
                <w:color w:val="000000"/>
                <w:sz w:val="12"/>
                <w:szCs w:val="12"/>
              </w:rPr>
              <w:t>диаметр</w:t>
            </w:r>
          </w:p>
        </w:tc>
        <w:tc>
          <w:tcPr>
            <w:tcW w:w="129" w:type="pct"/>
            <w:shd w:val="clear" w:color="auto" w:fill="auto"/>
            <w:tcMar>
              <w:left w:w="17" w:type="dxa"/>
              <w:right w:w="17" w:type="dxa"/>
            </w:tcMar>
            <w:vAlign w:val="center"/>
          </w:tcPr>
          <w:p w14:paraId="10C96221" w14:textId="77777777" w:rsidR="001C56BD" w:rsidRPr="00F92667" w:rsidRDefault="001C56BD" w:rsidP="008A5C11">
            <w:pPr>
              <w:jc w:val="center"/>
              <w:rPr>
                <w:color w:val="000000"/>
                <w:sz w:val="12"/>
                <w:szCs w:val="12"/>
              </w:rPr>
            </w:pPr>
            <w:r w:rsidRPr="00F92667">
              <w:rPr>
                <w:color w:val="000000"/>
                <w:sz w:val="12"/>
                <w:szCs w:val="12"/>
              </w:rPr>
              <w:t>мм</w:t>
            </w:r>
          </w:p>
        </w:tc>
        <w:tc>
          <w:tcPr>
            <w:tcW w:w="184" w:type="pct"/>
            <w:vMerge/>
            <w:shd w:val="clear" w:color="auto" w:fill="auto"/>
            <w:tcMar>
              <w:left w:w="17" w:type="dxa"/>
              <w:right w:w="17" w:type="dxa"/>
            </w:tcMar>
            <w:vAlign w:val="center"/>
          </w:tcPr>
          <w:p w14:paraId="18C64264" w14:textId="77777777" w:rsidR="001C56BD" w:rsidRPr="00F92667" w:rsidRDefault="001C56BD" w:rsidP="008A5C11">
            <w:pPr>
              <w:jc w:val="center"/>
              <w:rPr>
                <w:sz w:val="12"/>
                <w:szCs w:val="12"/>
              </w:rPr>
            </w:pPr>
          </w:p>
        </w:tc>
        <w:tc>
          <w:tcPr>
            <w:tcW w:w="219" w:type="pct"/>
            <w:shd w:val="clear" w:color="auto" w:fill="auto"/>
            <w:tcMar>
              <w:left w:w="17" w:type="dxa"/>
              <w:right w:w="17" w:type="dxa"/>
            </w:tcMar>
            <w:vAlign w:val="center"/>
          </w:tcPr>
          <w:p w14:paraId="08EDA4DD" w14:textId="77777777" w:rsidR="001C56BD" w:rsidRPr="00F92667" w:rsidRDefault="001C56BD" w:rsidP="008A5C11">
            <w:pPr>
              <w:jc w:val="center"/>
              <w:rPr>
                <w:sz w:val="12"/>
                <w:szCs w:val="12"/>
              </w:rPr>
            </w:pPr>
            <w:r w:rsidRPr="00F92667">
              <w:rPr>
                <w:sz w:val="12"/>
                <w:szCs w:val="12"/>
              </w:rPr>
              <w:t>50</w:t>
            </w:r>
          </w:p>
        </w:tc>
        <w:tc>
          <w:tcPr>
            <w:tcW w:w="130" w:type="pct"/>
            <w:vMerge/>
            <w:shd w:val="clear" w:color="auto" w:fill="auto"/>
            <w:tcMar>
              <w:left w:w="17" w:type="dxa"/>
              <w:right w:w="17" w:type="dxa"/>
            </w:tcMar>
            <w:vAlign w:val="center"/>
          </w:tcPr>
          <w:p w14:paraId="1FDA5E0C" w14:textId="77777777" w:rsidR="001C56BD" w:rsidRPr="00F92667" w:rsidRDefault="001C56BD" w:rsidP="008A5C11">
            <w:pPr>
              <w:jc w:val="center"/>
              <w:rPr>
                <w:sz w:val="12"/>
                <w:szCs w:val="12"/>
              </w:rPr>
            </w:pPr>
          </w:p>
        </w:tc>
        <w:tc>
          <w:tcPr>
            <w:tcW w:w="130" w:type="pct"/>
            <w:vMerge/>
            <w:shd w:val="clear" w:color="auto" w:fill="auto"/>
            <w:tcMar>
              <w:left w:w="17" w:type="dxa"/>
              <w:right w:w="17" w:type="dxa"/>
            </w:tcMar>
            <w:vAlign w:val="center"/>
          </w:tcPr>
          <w:p w14:paraId="1756A8D6" w14:textId="77777777" w:rsidR="001C56BD" w:rsidRPr="00F92667" w:rsidRDefault="001C56BD" w:rsidP="008A5C11">
            <w:pPr>
              <w:jc w:val="center"/>
              <w:rPr>
                <w:sz w:val="12"/>
                <w:szCs w:val="12"/>
              </w:rPr>
            </w:pPr>
          </w:p>
        </w:tc>
        <w:tc>
          <w:tcPr>
            <w:tcW w:w="217" w:type="pct"/>
            <w:gridSpan w:val="2"/>
            <w:vMerge/>
            <w:tcMar>
              <w:left w:w="17" w:type="dxa"/>
              <w:right w:w="17" w:type="dxa"/>
            </w:tcMar>
            <w:vAlign w:val="center"/>
          </w:tcPr>
          <w:p w14:paraId="7297CF3D" w14:textId="77777777" w:rsidR="001C56BD" w:rsidRPr="00F92667" w:rsidRDefault="001C56BD" w:rsidP="008A5C11">
            <w:pPr>
              <w:jc w:val="center"/>
              <w:rPr>
                <w:sz w:val="12"/>
                <w:szCs w:val="12"/>
              </w:rPr>
            </w:pPr>
          </w:p>
        </w:tc>
        <w:tc>
          <w:tcPr>
            <w:tcW w:w="177" w:type="pct"/>
            <w:gridSpan w:val="2"/>
            <w:vMerge/>
            <w:shd w:val="clear" w:color="auto" w:fill="auto"/>
            <w:tcMar>
              <w:left w:w="17" w:type="dxa"/>
              <w:right w:w="17" w:type="dxa"/>
            </w:tcMar>
            <w:vAlign w:val="center"/>
          </w:tcPr>
          <w:p w14:paraId="44F64B86" w14:textId="77777777" w:rsidR="001C56BD" w:rsidRPr="00F92667" w:rsidRDefault="001C56BD" w:rsidP="008A5C11">
            <w:pPr>
              <w:jc w:val="center"/>
              <w:rPr>
                <w:sz w:val="12"/>
                <w:szCs w:val="12"/>
              </w:rPr>
            </w:pPr>
          </w:p>
        </w:tc>
        <w:tc>
          <w:tcPr>
            <w:tcW w:w="212" w:type="pct"/>
            <w:vMerge/>
            <w:tcMar>
              <w:left w:w="17" w:type="dxa"/>
              <w:right w:w="17" w:type="dxa"/>
            </w:tcMar>
            <w:vAlign w:val="center"/>
          </w:tcPr>
          <w:p w14:paraId="37BC30F7" w14:textId="77777777" w:rsidR="001C56BD" w:rsidRPr="00F92667" w:rsidRDefault="001C56BD" w:rsidP="008A5C11">
            <w:pPr>
              <w:jc w:val="center"/>
              <w:rPr>
                <w:sz w:val="12"/>
                <w:szCs w:val="12"/>
              </w:rPr>
            </w:pPr>
          </w:p>
        </w:tc>
        <w:tc>
          <w:tcPr>
            <w:tcW w:w="218" w:type="pct"/>
            <w:gridSpan w:val="2"/>
            <w:vMerge/>
            <w:shd w:val="clear" w:color="auto" w:fill="auto"/>
            <w:tcMar>
              <w:left w:w="17" w:type="dxa"/>
              <w:right w:w="17" w:type="dxa"/>
            </w:tcMar>
            <w:vAlign w:val="center"/>
          </w:tcPr>
          <w:p w14:paraId="49AF530A" w14:textId="77777777" w:rsidR="001C56BD" w:rsidRPr="00F92667" w:rsidRDefault="001C56BD" w:rsidP="008A5C11">
            <w:pPr>
              <w:jc w:val="center"/>
              <w:rPr>
                <w:sz w:val="12"/>
                <w:szCs w:val="12"/>
              </w:rPr>
            </w:pPr>
          </w:p>
        </w:tc>
        <w:tc>
          <w:tcPr>
            <w:tcW w:w="217" w:type="pct"/>
            <w:gridSpan w:val="2"/>
            <w:vMerge/>
            <w:shd w:val="clear" w:color="auto" w:fill="auto"/>
            <w:tcMar>
              <w:left w:w="17" w:type="dxa"/>
              <w:right w:w="17" w:type="dxa"/>
            </w:tcMar>
            <w:vAlign w:val="center"/>
          </w:tcPr>
          <w:p w14:paraId="66118245" w14:textId="77777777" w:rsidR="001C56BD" w:rsidRPr="00F92667" w:rsidRDefault="001C56BD" w:rsidP="008A5C11">
            <w:pPr>
              <w:jc w:val="center"/>
              <w:rPr>
                <w:sz w:val="12"/>
                <w:szCs w:val="12"/>
              </w:rPr>
            </w:pPr>
          </w:p>
        </w:tc>
        <w:tc>
          <w:tcPr>
            <w:tcW w:w="206" w:type="pct"/>
            <w:gridSpan w:val="2"/>
            <w:vMerge/>
            <w:shd w:val="clear" w:color="auto" w:fill="auto"/>
            <w:tcMar>
              <w:left w:w="17" w:type="dxa"/>
              <w:right w:w="17" w:type="dxa"/>
            </w:tcMar>
            <w:vAlign w:val="center"/>
          </w:tcPr>
          <w:p w14:paraId="48BF7086" w14:textId="77777777" w:rsidR="001C56BD" w:rsidRPr="00F92667" w:rsidRDefault="001C56BD" w:rsidP="008A5C11">
            <w:pPr>
              <w:jc w:val="center"/>
              <w:rPr>
                <w:sz w:val="12"/>
                <w:szCs w:val="12"/>
              </w:rPr>
            </w:pPr>
          </w:p>
        </w:tc>
        <w:tc>
          <w:tcPr>
            <w:tcW w:w="217" w:type="pct"/>
            <w:gridSpan w:val="2"/>
            <w:vMerge/>
            <w:tcMar>
              <w:left w:w="17" w:type="dxa"/>
              <w:right w:w="17" w:type="dxa"/>
            </w:tcMar>
            <w:vAlign w:val="center"/>
          </w:tcPr>
          <w:p w14:paraId="734CAE40" w14:textId="77777777" w:rsidR="001C56BD" w:rsidRPr="00F92667" w:rsidRDefault="001C56BD" w:rsidP="008A5C11">
            <w:pPr>
              <w:jc w:val="center"/>
              <w:rPr>
                <w:sz w:val="12"/>
                <w:szCs w:val="12"/>
                <w:highlight w:val="red"/>
              </w:rPr>
            </w:pPr>
          </w:p>
        </w:tc>
        <w:tc>
          <w:tcPr>
            <w:tcW w:w="214" w:type="pct"/>
            <w:gridSpan w:val="2"/>
            <w:vMerge/>
            <w:tcMar>
              <w:left w:w="17" w:type="dxa"/>
              <w:right w:w="17" w:type="dxa"/>
            </w:tcMar>
            <w:vAlign w:val="center"/>
          </w:tcPr>
          <w:p w14:paraId="5FC5CAD4" w14:textId="77777777" w:rsidR="001C56BD" w:rsidRPr="00F92667" w:rsidRDefault="001C56BD" w:rsidP="008A5C11">
            <w:pPr>
              <w:jc w:val="center"/>
              <w:rPr>
                <w:sz w:val="12"/>
                <w:szCs w:val="12"/>
                <w:highlight w:val="red"/>
              </w:rPr>
            </w:pPr>
          </w:p>
        </w:tc>
        <w:tc>
          <w:tcPr>
            <w:tcW w:w="217" w:type="pct"/>
            <w:gridSpan w:val="2"/>
            <w:vMerge/>
            <w:tcMar>
              <w:left w:w="17" w:type="dxa"/>
              <w:right w:w="17" w:type="dxa"/>
            </w:tcMar>
            <w:vAlign w:val="center"/>
          </w:tcPr>
          <w:p w14:paraId="42031157" w14:textId="77777777" w:rsidR="001C56BD" w:rsidRPr="00F92667" w:rsidRDefault="001C56BD" w:rsidP="008A5C11">
            <w:pPr>
              <w:jc w:val="center"/>
              <w:rPr>
                <w:sz w:val="12"/>
                <w:szCs w:val="12"/>
              </w:rPr>
            </w:pPr>
          </w:p>
        </w:tc>
        <w:tc>
          <w:tcPr>
            <w:tcW w:w="217" w:type="pct"/>
            <w:gridSpan w:val="2"/>
            <w:vMerge/>
            <w:tcMar>
              <w:left w:w="17" w:type="dxa"/>
              <w:right w:w="17" w:type="dxa"/>
            </w:tcMar>
            <w:vAlign w:val="center"/>
          </w:tcPr>
          <w:p w14:paraId="0ABD06C8" w14:textId="77777777" w:rsidR="001C56BD" w:rsidRPr="00F92667" w:rsidRDefault="001C56BD" w:rsidP="008A5C11">
            <w:pPr>
              <w:jc w:val="center"/>
              <w:rPr>
                <w:sz w:val="12"/>
                <w:szCs w:val="12"/>
              </w:rPr>
            </w:pPr>
          </w:p>
        </w:tc>
        <w:tc>
          <w:tcPr>
            <w:tcW w:w="214" w:type="pct"/>
            <w:gridSpan w:val="2"/>
            <w:vMerge/>
            <w:tcMar>
              <w:left w:w="17" w:type="dxa"/>
              <w:right w:w="17" w:type="dxa"/>
            </w:tcMar>
            <w:vAlign w:val="center"/>
          </w:tcPr>
          <w:p w14:paraId="10B9E7C6" w14:textId="77777777" w:rsidR="001C56BD" w:rsidRPr="00F92667" w:rsidRDefault="001C56BD" w:rsidP="008A5C11">
            <w:pPr>
              <w:jc w:val="center"/>
              <w:rPr>
                <w:sz w:val="12"/>
                <w:szCs w:val="12"/>
              </w:rPr>
            </w:pPr>
          </w:p>
        </w:tc>
        <w:tc>
          <w:tcPr>
            <w:tcW w:w="247" w:type="pct"/>
            <w:gridSpan w:val="2"/>
            <w:vMerge/>
            <w:tcMar>
              <w:left w:w="17" w:type="dxa"/>
              <w:right w:w="17" w:type="dxa"/>
            </w:tcMar>
            <w:vAlign w:val="center"/>
          </w:tcPr>
          <w:p w14:paraId="46FD447C" w14:textId="77777777" w:rsidR="001C56BD" w:rsidRPr="00F92667" w:rsidRDefault="001C56BD" w:rsidP="008A5C11">
            <w:pPr>
              <w:jc w:val="center"/>
              <w:rPr>
                <w:sz w:val="12"/>
                <w:szCs w:val="12"/>
              </w:rPr>
            </w:pPr>
          </w:p>
        </w:tc>
        <w:tc>
          <w:tcPr>
            <w:tcW w:w="173" w:type="pct"/>
            <w:vMerge/>
            <w:tcMar>
              <w:left w:w="17" w:type="dxa"/>
              <w:right w:w="17" w:type="dxa"/>
            </w:tcMar>
            <w:vAlign w:val="center"/>
          </w:tcPr>
          <w:p w14:paraId="7D3933AB" w14:textId="77777777" w:rsidR="001C56BD" w:rsidRPr="00F92667" w:rsidRDefault="001C56BD" w:rsidP="008A5C11">
            <w:pPr>
              <w:jc w:val="center"/>
              <w:rPr>
                <w:sz w:val="12"/>
                <w:szCs w:val="12"/>
              </w:rPr>
            </w:pPr>
          </w:p>
        </w:tc>
        <w:tc>
          <w:tcPr>
            <w:tcW w:w="169" w:type="pct"/>
            <w:vMerge/>
            <w:tcMar>
              <w:left w:w="17" w:type="dxa"/>
              <w:right w:w="17" w:type="dxa"/>
            </w:tcMar>
            <w:vAlign w:val="center"/>
          </w:tcPr>
          <w:p w14:paraId="1680132C" w14:textId="77777777" w:rsidR="001C56BD" w:rsidRPr="00F92667" w:rsidRDefault="001C56BD" w:rsidP="008A5C11">
            <w:pPr>
              <w:jc w:val="center"/>
              <w:rPr>
                <w:sz w:val="12"/>
                <w:szCs w:val="12"/>
              </w:rPr>
            </w:pPr>
          </w:p>
        </w:tc>
      </w:tr>
      <w:tr w:rsidR="001C56BD" w:rsidRPr="00F92667" w14:paraId="2A4448E9" w14:textId="77777777" w:rsidTr="008A5C11">
        <w:trPr>
          <w:gridBefore w:val="1"/>
          <w:wBefore w:w="3" w:type="pct"/>
          <w:trHeight w:val="273"/>
        </w:trPr>
        <w:tc>
          <w:tcPr>
            <w:tcW w:w="129" w:type="pct"/>
            <w:vMerge w:val="restart"/>
            <w:shd w:val="clear" w:color="auto" w:fill="auto"/>
            <w:tcMar>
              <w:left w:w="17" w:type="dxa"/>
              <w:right w:w="17" w:type="dxa"/>
            </w:tcMar>
            <w:vAlign w:val="center"/>
          </w:tcPr>
          <w:p w14:paraId="33712F32" w14:textId="77777777" w:rsidR="001C56BD" w:rsidRPr="00F92667" w:rsidRDefault="001C56BD" w:rsidP="008A5C11">
            <w:pPr>
              <w:jc w:val="center"/>
              <w:rPr>
                <w:sz w:val="12"/>
                <w:szCs w:val="12"/>
              </w:rPr>
            </w:pPr>
            <w:r w:rsidRPr="00F92667">
              <w:rPr>
                <w:sz w:val="12"/>
                <w:szCs w:val="12"/>
              </w:rPr>
              <w:t>1.1.2.</w:t>
            </w:r>
          </w:p>
        </w:tc>
        <w:tc>
          <w:tcPr>
            <w:tcW w:w="305" w:type="pct"/>
            <w:vMerge w:val="restart"/>
            <w:shd w:val="clear" w:color="auto" w:fill="auto"/>
            <w:tcMar>
              <w:left w:w="17" w:type="dxa"/>
              <w:right w:w="17" w:type="dxa"/>
            </w:tcMar>
            <w:vAlign w:val="center"/>
          </w:tcPr>
          <w:p w14:paraId="182C6576" w14:textId="77777777" w:rsidR="001C56BD" w:rsidRPr="00F92667" w:rsidRDefault="001C56BD" w:rsidP="008A5C11">
            <w:pPr>
              <w:rPr>
                <w:sz w:val="12"/>
                <w:szCs w:val="12"/>
              </w:rPr>
            </w:pPr>
            <w:r w:rsidRPr="00F92667">
              <w:rPr>
                <w:sz w:val="12"/>
                <w:szCs w:val="12"/>
              </w:rPr>
              <w:t xml:space="preserve">Строительство тепловых сетей </w:t>
            </w:r>
          </w:p>
        </w:tc>
        <w:tc>
          <w:tcPr>
            <w:tcW w:w="304" w:type="pct"/>
            <w:vMerge w:val="restart"/>
            <w:shd w:val="clear" w:color="auto" w:fill="auto"/>
            <w:tcMar>
              <w:left w:w="17" w:type="dxa"/>
              <w:right w:w="17" w:type="dxa"/>
            </w:tcMar>
            <w:vAlign w:val="center"/>
          </w:tcPr>
          <w:p w14:paraId="7A3D209A" w14:textId="77777777" w:rsidR="001C56BD" w:rsidRPr="00F92667" w:rsidRDefault="001C56BD" w:rsidP="008A5C11">
            <w:pPr>
              <w:jc w:val="center"/>
              <w:rPr>
                <w:sz w:val="12"/>
                <w:szCs w:val="12"/>
              </w:rPr>
            </w:pPr>
            <w:r w:rsidRPr="00F92667">
              <w:rPr>
                <w:sz w:val="12"/>
                <w:szCs w:val="12"/>
              </w:rPr>
              <w:t xml:space="preserve">Подключение потребителей Кировского района </w:t>
            </w:r>
            <w:r w:rsidRPr="00F92667">
              <w:rPr>
                <w:sz w:val="12"/>
                <w:szCs w:val="12"/>
              </w:rPr>
              <w:br/>
              <w:t>г. Кемерово</w:t>
            </w:r>
          </w:p>
        </w:tc>
        <w:tc>
          <w:tcPr>
            <w:tcW w:w="258" w:type="pct"/>
            <w:vMerge w:val="restart"/>
            <w:shd w:val="clear" w:color="auto" w:fill="auto"/>
            <w:tcMar>
              <w:left w:w="17" w:type="dxa"/>
              <w:right w:w="17" w:type="dxa"/>
            </w:tcMar>
            <w:vAlign w:val="center"/>
          </w:tcPr>
          <w:p w14:paraId="1618B1C1" w14:textId="77777777" w:rsidR="001C56BD" w:rsidRPr="00F92667" w:rsidRDefault="001C56BD" w:rsidP="008A5C11">
            <w:pPr>
              <w:jc w:val="center"/>
              <w:rPr>
                <w:sz w:val="12"/>
                <w:szCs w:val="12"/>
              </w:rPr>
            </w:pPr>
            <w:r w:rsidRPr="00F92667">
              <w:rPr>
                <w:sz w:val="12"/>
                <w:szCs w:val="12"/>
              </w:rPr>
              <w:t>Кемеровский городской округ, Кировский район</w:t>
            </w:r>
          </w:p>
        </w:tc>
        <w:tc>
          <w:tcPr>
            <w:tcW w:w="294" w:type="pct"/>
            <w:shd w:val="clear" w:color="auto" w:fill="auto"/>
            <w:tcMar>
              <w:left w:w="17" w:type="dxa"/>
              <w:right w:w="17" w:type="dxa"/>
            </w:tcMar>
            <w:vAlign w:val="center"/>
          </w:tcPr>
          <w:p w14:paraId="4C67EBB0" w14:textId="77777777" w:rsidR="001C56BD" w:rsidRPr="00F92667" w:rsidRDefault="001C56BD" w:rsidP="008A5C11">
            <w:pPr>
              <w:jc w:val="center"/>
              <w:rPr>
                <w:color w:val="000000"/>
                <w:sz w:val="12"/>
                <w:szCs w:val="12"/>
              </w:rPr>
            </w:pPr>
            <w:r w:rsidRPr="00F92667">
              <w:rPr>
                <w:color w:val="000000"/>
                <w:sz w:val="12"/>
                <w:szCs w:val="12"/>
              </w:rPr>
              <w:t>мощность</w:t>
            </w:r>
          </w:p>
        </w:tc>
        <w:tc>
          <w:tcPr>
            <w:tcW w:w="129" w:type="pct"/>
            <w:shd w:val="clear" w:color="auto" w:fill="auto"/>
            <w:tcMar>
              <w:left w:w="17" w:type="dxa"/>
              <w:right w:w="17" w:type="dxa"/>
            </w:tcMar>
            <w:vAlign w:val="center"/>
          </w:tcPr>
          <w:p w14:paraId="49C9B014" w14:textId="77777777" w:rsidR="001C56BD" w:rsidRPr="00F92667" w:rsidRDefault="001C56BD" w:rsidP="008A5C11">
            <w:pPr>
              <w:jc w:val="center"/>
              <w:rPr>
                <w:color w:val="000000"/>
                <w:sz w:val="12"/>
                <w:szCs w:val="12"/>
              </w:rPr>
            </w:pPr>
            <w:r w:rsidRPr="00F92667">
              <w:rPr>
                <w:color w:val="000000"/>
                <w:sz w:val="12"/>
                <w:szCs w:val="12"/>
              </w:rPr>
              <w:t>Гкал/</w:t>
            </w:r>
          </w:p>
          <w:p w14:paraId="5974D3BE" w14:textId="77777777" w:rsidR="001C56BD" w:rsidRPr="00F92667" w:rsidRDefault="001C56BD" w:rsidP="008A5C11">
            <w:pPr>
              <w:jc w:val="center"/>
              <w:rPr>
                <w:color w:val="000000"/>
                <w:sz w:val="12"/>
                <w:szCs w:val="12"/>
              </w:rPr>
            </w:pPr>
            <w:r w:rsidRPr="00F92667">
              <w:rPr>
                <w:color w:val="000000"/>
                <w:sz w:val="12"/>
                <w:szCs w:val="12"/>
              </w:rPr>
              <w:t>час</w:t>
            </w:r>
          </w:p>
        </w:tc>
        <w:tc>
          <w:tcPr>
            <w:tcW w:w="184" w:type="pct"/>
            <w:vMerge w:val="restart"/>
            <w:shd w:val="clear" w:color="auto" w:fill="auto"/>
            <w:tcMar>
              <w:left w:w="17" w:type="dxa"/>
              <w:right w:w="17" w:type="dxa"/>
            </w:tcMar>
            <w:vAlign w:val="center"/>
          </w:tcPr>
          <w:p w14:paraId="71EC101D" w14:textId="77777777" w:rsidR="001C56BD" w:rsidRPr="00F92667" w:rsidRDefault="001C56BD" w:rsidP="008A5C11">
            <w:pPr>
              <w:jc w:val="center"/>
              <w:rPr>
                <w:sz w:val="12"/>
                <w:szCs w:val="12"/>
              </w:rPr>
            </w:pPr>
            <w:r w:rsidRPr="00F92667">
              <w:rPr>
                <w:sz w:val="12"/>
                <w:szCs w:val="12"/>
              </w:rPr>
              <w:t>-</w:t>
            </w:r>
          </w:p>
        </w:tc>
        <w:tc>
          <w:tcPr>
            <w:tcW w:w="219" w:type="pct"/>
            <w:shd w:val="clear" w:color="auto" w:fill="auto"/>
            <w:tcMar>
              <w:left w:w="17" w:type="dxa"/>
              <w:right w:w="17" w:type="dxa"/>
            </w:tcMar>
            <w:vAlign w:val="center"/>
          </w:tcPr>
          <w:p w14:paraId="08331E8D" w14:textId="77777777" w:rsidR="001C56BD" w:rsidRPr="00F92667" w:rsidRDefault="001C56BD" w:rsidP="008A5C11">
            <w:pPr>
              <w:jc w:val="center"/>
              <w:rPr>
                <w:sz w:val="12"/>
                <w:szCs w:val="12"/>
              </w:rPr>
            </w:pPr>
            <w:r w:rsidRPr="00F92667">
              <w:rPr>
                <w:sz w:val="12"/>
                <w:szCs w:val="12"/>
              </w:rPr>
              <w:t>0,18</w:t>
            </w:r>
          </w:p>
        </w:tc>
        <w:tc>
          <w:tcPr>
            <w:tcW w:w="130" w:type="pct"/>
            <w:vMerge w:val="restart"/>
            <w:shd w:val="clear" w:color="auto" w:fill="auto"/>
            <w:tcMar>
              <w:left w:w="17" w:type="dxa"/>
              <w:right w:w="17" w:type="dxa"/>
            </w:tcMar>
            <w:vAlign w:val="center"/>
          </w:tcPr>
          <w:p w14:paraId="2C27BDFF" w14:textId="77777777" w:rsidR="001C56BD" w:rsidRPr="00F92667" w:rsidRDefault="001C56BD" w:rsidP="008A5C11">
            <w:pPr>
              <w:jc w:val="center"/>
              <w:rPr>
                <w:sz w:val="12"/>
                <w:szCs w:val="12"/>
              </w:rPr>
            </w:pPr>
            <w:r w:rsidRPr="00F92667">
              <w:rPr>
                <w:sz w:val="12"/>
                <w:szCs w:val="12"/>
              </w:rPr>
              <w:t>2022</w:t>
            </w:r>
          </w:p>
        </w:tc>
        <w:tc>
          <w:tcPr>
            <w:tcW w:w="130" w:type="pct"/>
            <w:vMerge w:val="restart"/>
            <w:shd w:val="clear" w:color="auto" w:fill="auto"/>
            <w:tcMar>
              <w:left w:w="17" w:type="dxa"/>
              <w:right w:w="17" w:type="dxa"/>
            </w:tcMar>
            <w:vAlign w:val="center"/>
          </w:tcPr>
          <w:p w14:paraId="0BB0B103" w14:textId="77777777" w:rsidR="001C56BD" w:rsidRPr="00F92667" w:rsidRDefault="001C56BD" w:rsidP="008A5C11">
            <w:pPr>
              <w:jc w:val="center"/>
              <w:rPr>
                <w:sz w:val="12"/>
                <w:szCs w:val="12"/>
              </w:rPr>
            </w:pPr>
            <w:r w:rsidRPr="00F92667">
              <w:rPr>
                <w:sz w:val="12"/>
                <w:szCs w:val="12"/>
              </w:rPr>
              <w:t>2022</w:t>
            </w:r>
          </w:p>
        </w:tc>
        <w:tc>
          <w:tcPr>
            <w:tcW w:w="217" w:type="pct"/>
            <w:gridSpan w:val="2"/>
            <w:vMerge w:val="restart"/>
            <w:shd w:val="clear" w:color="000000" w:fill="FFFFFF"/>
            <w:tcMar>
              <w:left w:w="17" w:type="dxa"/>
              <w:right w:w="17" w:type="dxa"/>
            </w:tcMar>
            <w:vAlign w:val="center"/>
          </w:tcPr>
          <w:p w14:paraId="14837D9C" w14:textId="77777777" w:rsidR="001C56BD" w:rsidRPr="00F92667" w:rsidRDefault="001C56BD" w:rsidP="008A5C11">
            <w:pPr>
              <w:jc w:val="center"/>
              <w:rPr>
                <w:sz w:val="12"/>
                <w:szCs w:val="12"/>
              </w:rPr>
            </w:pPr>
            <w:r w:rsidRPr="00F92667">
              <w:rPr>
                <w:sz w:val="12"/>
                <w:szCs w:val="12"/>
              </w:rPr>
              <w:t>1907,470</w:t>
            </w:r>
          </w:p>
        </w:tc>
        <w:tc>
          <w:tcPr>
            <w:tcW w:w="177" w:type="pct"/>
            <w:gridSpan w:val="2"/>
            <w:vMerge w:val="restart"/>
            <w:shd w:val="clear" w:color="auto" w:fill="auto"/>
            <w:tcMar>
              <w:left w:w="17" w:type="dxa"/>
              <w:right w:w="17" w:type="dxa"/>
            </w:tcMar>
            <w:vAlign w:val="center"/>
          </w:tcPr>
          <w:p w14:paraId="13768205" w14:textId="77777777" w:rsidR="001C56BD" w:rsidRPr="00F92667" w:rsidRDefault="001C56BD" w:rsidP="008A5C11">
            <w:pPr>
              <w:jc w:val="center"/>
              <w:rPr>
                <w:sz w:val="12"/>
                <w:szCs w:val="12"/>
              </w:rPr>
            </w:pPr>
            <w:r w:rsidRPr="00F92667">
              <w:rPr>
                <w:sz w:val="12"/>
                <w:szCs w:val="12"/>
              </w:rPr>
              <w:t>0,000</w:t>
            </w:r>
          </w:p>
        </w:tc>
        <w:tc>
          <w:tcPr>
            <w:tcW w:w="212" w:type="pct"/>
            <w:vMerge w:val="restart"/>
            <w:shd w:val="clear" w:color="000000" w:fill="FFFFFF"/>
            <w:tcMar>
              <w:left w:w="17" w:type="dxa"/>
              <w:right w:w="17" w:type="dxa"/>
            </w:tcMar>
            <w:vAlign w:val="center"/>
          </w:tcPr>
          <w:p w14:paraId="4466C412" w14:textId="77777777" w:rsidR="001C56BD" w:rsidRPr="00F92667" w:rsidRDefault="001C56BD" w:rsidP="008A5C11">
            <w:pPr>
              <w:jc w:val="center"/>
              <w:rPr>
                <w:sz w:val="12"/>
                <w:szCs w:val="12"/>
              </w:rPr>
            </w:pPr>
            <w:r w:rsidRPr="00F92667">
              <w:rPr>
                <w:sz w:val="12"/>
                <w:szCs w:val="12"/>
              </w:rPr>
              <w:t>1907,470</w:t>
            </w:r>
          </w:p>
        </w:tc>
        <w:tc>
          <w:tcPr>
            <w:tcW w:w="218" w:type="pct"/>
            <w:gridSpan w:val="2"/>
            <w:vMerge w:val="restart"/>
            <w:shd w:val="clear" w:color="auto" w:fill="auto"/>
            <w:tcMar>
              <w:left w:w="17" w:type="dxa"/>
              <w:right w:w="17" w:type="dxa"/>
            </w:tcMar>
            <w:vAlign w:val="center"/>
          </w:tcPr>
          <w:p w14:paraId="357CC09B" w14:textId="77777777" w:rsidR="001C56BD" w:rsidRPr="00F92667" w:rsidRDefault="001C56BD" w:rsidP="008A5C11">
            <w:pPr>
              <w:jc w:val="center"/>
              <w:rPr>
                <w:sz w:val="12"/>
                <w:szCs w:val="12"/>
              </w:rPr>
            </w:pPr>
            <w:r w:rsidRPr="00F92667">
              <w:rPr>
                <w:sz w:val="12"/>
                <w:szCs w:val="12"/>
              </w:rPr>
              <w:t>0,000</w:t>
            </w:r>
          </w:p>
        </w:tc>
        <w:tc>
          <w:tcPr>
            <w:tcW w:w="217" w:type="pct"/>
            <w:gridSpan w:val="2"/>
            <w:vMerge w:val="restart"/>
            <w:shd w:val="clear" w:color="auto" w:fill="auto"/>
            <w:tcMar>
              <w:left w:w="17" w:type="dxa"/>
              <w:right w:w="17" w:type="dxa"/>
            </w:tcMar>
            <w:vAlign w:val="center"/>
          </w:tcPr>
          <w:p w14:paraId="0DF5BA87" w14:textId="77777777" w:rsidR="001C56BD" w:rsidRPr="00F92667" w:rsidRDefault="001C56BD" w:rsidP="008A5C11">
            <w:pPr>
              <w:jc w:val="center"/>
              <w:rPr>
                <w:sz w:val="12"/>
                <w:szCs w:val="12"/>
              </w:rPr>
            </w:pPr>
            <w:r w:rsidRPr="00F92667">
              <w:rPr>
                <w:sz w:val="12"/>
                <w:szCs w:val="12"/>
              </w:rPr>
              <w:t>0,000</w:t>
            </w:r>
          </w:p>
        </w:tc>
        <w:tc>
          <w:tcPr>
            <w:tcW w:w="206" w:type="pct"/>
            <w:gridSpan w:val="2"/>
            <w:vMerge w:val="restart"/>
            <w:shd w:val="clear" w:color="auto" w:fill="auto"/>
            <w:tcMar>
              <w:left w:w="17" w:type="dxa"/>
              <w:right w:w="17" w:type="dxa"/>
            </w:tcMar>
            <w:vAlign w:val="center"/>
          </w:tcPr>
          <w:p w14:paraId="270173B5" w14:textId="77777777" w:rsidR="001C56BD" w:rsidRPr="00F92667" w:rsidRDefault="001C56BD" w:rsidP="008A5C11">
            <w:pPr>
              <w:jc w:val="center"/>
              <w:rPr>
                <w:sz w:val="12"/>
                <w:szCs w:val="12"/>
              </w:rPr>
            </w:pPr>
            <w:r w:rsidRPr="00F92667">
              <w:rPr>
                <w:sz w:val="12"/>
                <w:szCs w:val="12"/>
              </w:rPr>
              <w:t>0,000</w:t>
            </w:r>
          </w:p>
        </w:tc>
        <w:tc>
          <w:tcPr>
            <w:tcW w:w="217" w:type="pct"/>
            <w:gridSpan w:val="2"/>
            <w:vMerge w:val="restart"/>
            <w:tcMar>
              <w:left w:w="17" w:type="dxa"/>
              <w:right w:w="17" w:type="dxa"/>
            </w:tcMar>
            <w:vAlign w:val="center"/>
          </w:tcPr>
          <w:p w14:paraId="7DC0B619" w14:textId="77777777" w:rsidR="001C56BD" w:rsidRPr="00F92667" w:rsidRDefault="001C56BD" w:rsidP="008A5C11">
            <w:pPr>
              <w:jc w:val="center"/>
              <w:rPr>
                <w:sz w:val="12"/>
                <w:szCs w:val="12"/>
                <w:highlight w:val="red"/>
              </w:rPr>
            </w:pPr>
            <w:r w:rsidRPr="00F92667">
              <w:rPr>
                <w:sz w:val="12"/>
                <w:szCs w:val="12"/>
              </w:rPr>
              <w:t>0,000</w:t>
            </w:r>
          </w:p>
        </w:tc>
        <w:tc>
          <w:tcPr>
            <w:tcW w:w="214" w:type="pct"/>
            <w:gridSpan w:val="2"/>
            <w:vMerge w:val="restart"/>
            <w:tcMar>
              <w:left w:w="17" w:type="dxa"/>
              <w:right w:w="17" w:type="dxa"/>
            </w:tcMar>
            <w:vAlign w:val="center"/>
          </w:tcPr>
          <w:p w14:paraId="6516EAFF" w14:textId="77777777" w:rsidR="001C56BD" w:rsidRPr="00F92667" w:rsidRDefault="001C56BD" w:rsidP="008A5C11">
            <w:pPr>
              <w:jc w:val="center"/>
              <w:rPr>
                <w:sz w:val="12"/>
                <w:szCs w:val="12"/>
                <w:highlight w:val="red"/>
              </w:rPr>
            </w:pPr>
            <w:r w:rsidRPr="00F92667">
              <w:rPr>
                <w:sz w:val="12"/>
                <w:szCs w:val="12"/>
              </w:rPr>
              <w:t>0,000</w:t>
            </w:r>
          </w:p>
        </w:tc>
        <w:tc>
          <w:tcPr>
            <w:tcW w:w="217" w:type="pct"/>
            <w:gridSpan w:val="2"/>
            <w:vMerge w:val="restart"/>
            <w:tcMar>
              <w:left w:w="17" w:type="dxa"/>
              <w:right w:w="17" w:type="dxa"/>
            </w:tcMar>
            <w:vAlign w:val="center"/>
          </w:tcPr>
          <w:p w14:paraId="3B4213AD" w14:textId="77777777" w:rsidR="001C56BD" w:rsidRPr="00F92667" w:rsidRDefault="001C56BD" w:rsidP="008A5C11">
            <w:pPr>
              <w:jc w:val="center"/>
              <w:rPr>
                <w:sz w:val="12"/>
                <w:szCs w:val="12"/>
              </w:rPr>
            </w:pPr>
            <w:r w:rsidRPr="00F92667">
              <w:rPr>
                <w:sz w:val="12"/>
                <w:szCs w:val="12"/>
              </w:rPr>
              <w:t>0,000</w:t>
            </w:r>
          </w:p>
        </w:tc>
        <w:tc>
          <w:tcPr>
            <w:tcW w:w="217" w:type="pct"/>
            <w:gridSpan w:val="2"/>
            <w:vMerge w:val="restart"/>
            <w:tcMar>
              <w:left w:w="17" w:type="dxa"/>
              <w:right w:w="17" w:type="dxa"/>
            </w:tcMar>
            <w:vAlign w:val="center"/>
          </w:tcPr>
          <w:p w14:paraId="70F9A1EC" w14:textId="77777777" w:rsidR="001C56BD" w:rsidRPr="00F92667" w:rsidRDefault="001C56BD" w:rsidP="008A5C11">
            <w:pPr>
              <w:jc w:val="center"/>
              <w:rPr>
                <w:sz w:val="12"/>
                <w:szCs w:val="12"/>
              </w:rPr>
            </w:pPr>
            <w:r w:rsidRPr="00F92667">
              <w:rPr>
                <w:sz w:val="12"/>
                <w:szCs w:val="12"/>
              </w:rPr>
              <w:t>0,000</w:t>
            </w:r>
          </w:p>
        </w:tc>
        <w:tc>
          <w:tcPr>
            <w:tcW w:w="214" w:type="pct"/>
            <w:gridSpan w:val="2"/>
            <w:vMerge w:val="restart"/>
            <w:tcMar>
              <w:left w:w="17" w:type="dxa"/>
              <w:right w:w="17" w:type="dxa"/>
            </w:tcMar>
            <w:vAlign w:val="center"/>
          </w:tcPr>
          <w:p w14:paraId="33C5BEEA" w14:textId="77777777" w:rsidR="001C56BD" w:rsidRPr="00F92667" w:rsidRDefault="001C56BD" w:rsidP="008A5C11">
            <w:pPr>
              <w:jc w:val="center"/>
              <w:rPr>
                <w:sz w:val="12"/>
                <w:szCs w:val="12"/>
              </w:rPr>
            </w:pPr>
            <w:r w:rsidRPr="00F92667">
              <w:rPr>
                <w:sz w:val="12"/>
                <w:szCs w:val="12"/>
              </w:rPr>
              <w:t>0,000</w:t>
            </w:r>
          </w:p>
        </w:tc>
        <w:tc>
          <w:tcPr>
            <w:tcW w:w="247" w:type="pct"/>
            <w:gridSpan w:val="2"/>
            <w:vMerge w:val="restart"/>
            <w:tcMar>
              <w:left w:w="17" w:type="dxa"/>
              <w:right w:w="17" w:type="dxa"/>
            </w:tcMar>
            <w:vAlign w:val="center"/>
          </w:tcPr>
          <w:p w14:paraId="4439EB4D" w14:textId="77777777" w:rsidR="001C56BD" w:rsidRPr="00F92667" w:rsidRDefault="001C56BD" w:rsidP="008A5C11">
            <w:pPr>
              <w:jc w:val="center"/>
              <w:rPr>
                <w:sz w:val="12"/>
                <w:szCs w:val="12"/>
              </w:rPr>
            </w:pPr>
            <w:r w:rsidRPr="00F92667">
              <w:rPr>
                <w:sz w:val="12"/>
                <w:szCs w:val="12"/>
              </w:rPr>
              <w:t>0,000</w:t>
            </w:r>
          </w:p>
        </w:tc>
        <w:tc>
          <w:tcPr>
            <w:tcW w:w="173" w:type="pct"/>
            <w:vMerge w:val="restart"/>
            <w:tcMar>
              <w:left w:w="17" w:type="dxa"/>
              <w:right w:w="17" w:type="dxa"/>
            </w:tcMar>
            <w:vAlign w:val="center"/>
          </w:tcPr>
          <w:p w14:paraId="7D04D012" w14:textId="77777777" w:rsidR="001C56BD" w:rsidRPr="00F92667" w:rsidRDefault="001C56BD" w:rsidP="008A5C11">
            <w:pPr>
              <w:jc w:val="center"/>
              <w:rPr>
                <w:sz w:val="12"/>
                <w:szCs w:val="12"/>
              </w:rPr>
            </w:pPr>
            <w:r w:rsidRPr="00F92667">
              <w:rPr>
                <w:sz w:val="12"/>
                <w:szCs w:val="12"/>
              </w:rPr>
              <w:t>0,000</w:t>
            </w:r>
          </w:p>
        </w:tc>
        <w:tc>
          <w:tcPr>
            <w:tcW w:w="169" w:type="pct"/>
            <w:vMerge w:val="restart"/>
            <w:shd w:val="clear" w:color="000000" w:fill="FFFFFF"/>
            <w:tcMar>
              <w:left w:w="17" w:type="dxa"/>
              <w:right w:w="17" w:type="dxa"/>
            </w:tcMar>
            <w:vAlign w:val="center"/>
          </w:tcPr>
          <w:p w14:paraId="3CAF4058" w14:textId="77777777" w:rsidR="001C56BD" w:rsidRPr="00F92667" w:rsidRDefault="001C56BD" w:rsidP="008A5C11">
            <w:pPr>
              <w:jc w:val="center"/>
              <w:rPr>
                <w:sz w:val="12"/>
                <w:szCs w:val="12"/>
              </w:rPr>
            </w:pPr>
            <w:r w:rsidRPr="00F92667">
              <w:rPr>
                <w:sz w:val="12"/>
                <w:szCs w:val="12"/>
              </w:rPr>
              <w:t>1907,470</w:t>
            </w:r>
          </w:p>
        </w:tc>
      </w:tr>
      <w:tr w:rsidR="001C56BD" w:rsidRPr="00F92667" w14:paraId="6C4994AF" w14:textId="77777777" w:rsidTr="008A5C11">
        <w:trPr>
          <w:gridBefore w:val="1"/>
          <w:wBefore w:w="3" w:type="pct"/>
          <w:trHeight w:val="98"/>
        </w:trPr>
        <w:tc>
          <w:tcPr>
            <w:tcW w:w="129" w:type="pct"/>
            <w:vMerge/>
            <w:shd w:val="clear" w:color="auto" w:fill="auto"/>
            <w:tcMar>
              <w:left w:w="17" w:type="dxa"/>
              <w:right w:w="17" w:type="dxa"/>
            </w:tcMar>
            <w:vAlign w:val="center"/>
          </w:tcPr>
          <w:p w14:paraId="18ADDD6D" w14:textId="77777777" w:rsidR="001C56BD" w:rsidRPr="00F92667" w:rsidRDefault="001C56BD" w:rsidP="008A5C11">
            <w:pPr>
              <w:jc w:val="center"/>
              <w:rPr>
                <w:sz w:val="12"/>
                <w:szCs w:val="12"/>
              </w:rPr>
            </w:pPr>
          </w:p>
        </w:tc>
        <w:tc>
          <w:tcPr>
            <w:tcW w:w="305" w:type="pct"/>
            <w:vMerge/>
            <w:shd w:val="clear" w:color="auto" w:fill="auto"/>
            <w:tcMar>
              <w:left w:w="17" w:type="dxa"/>
              <w:right w:w="17" w:type="dxa"/>
            </w:tcMar>
            <w:vAlign w:val="center"/>
          </w:tcPr>
          <w:p w14:paraId="61145CB6" w14:textId="77777777" w:rsidR="001C56BD" w:rsidRPr="00F92667" w:rsidRDefault="001C56BD" w:rsidP="008A5C11">
            <w:pPr>
              <w:rPr>
                <w:sz w:val="12"/>
                <w:szCs w:val="12"/>
              </w:rPr>
            </w:pPr>
          </w:p>
        </w:tc>
        <w:tc>
          <w:tcPr>
            <w:tcW w:w="304" w:type="pct"/>
            <w:vMerge/>
            <w:shd w:val="clear" w:color="auto" w:fill="auto"/>
            <w:tcMar>
              <w:left w:w="17" w:type="dxa"/>
              <w:right w:w="17" w:type="dxa"/>
            </w:tcMar>
            <w:vAlign w:val="center"/>
          </w:tcPr>
          <w:p w14:paraId="6535A235" w14:textId="77777777" w:rsidR="001C56BD" w:rsidRPr="00F92667" w:rsidRDefault="001C56BD" w:rsidP="008A5C11">
            <w:pPr>
              <w:jc w:val="center"/>
              <w:rPr>
                <w:sz w:val="12"/>
                <w:szCs w:val="12"/>
              </w:rPr>
            </w:pPr>
          </w:p>
        </w:tc>
        <w:tc>
          <w:tcPr>
            <w:tcW w:w="258" w:type="pct"/>
            <w:vMerge/>
            <w:shd w:val="clear" w:color="auto" w:fill="auto"/>
            <w:tcMar>
              <w:left w:w="17" w:type="dxa"/>
              <w:right w:w="17" w:type="dxa"/>
            </w:tcMar>
            <w:vAlign w:val="center"/>
          </w:tcPr>
          <w:p w14:paraId="559CC144" w14:textId="77777777" w:rsidR="001C56BD" w:rsidRPr="00F92667" w:rsidRDefault="001C56BD" w:rsidP="008A5C11">
            <w:pPr>
              <w:jc w:val="center"/>
              <w:rPr>
                <w:sz w:val="12"/>
                <w:szCs w:val="12"/>
              </w:rPr>
            </w:pPr>
          </w:p>
        </w:tc>
        <w:tc>
          <w:tcPr>
            <w:tcW w:w="294" w:type="pct"/>
            <w:shd w:val="clear" w:color="auto" w:fill="auto"/>
            <w:tcMar>
              <w:left w:w="17" w:type="dxa"/>
              <w:right w:w="17" w:type="dxa"/>
            </w:tcMar>
            <w:vAlign w:val="center"/>
          </w:tcPr>
          <w:p w14:paraId="79AF2AC3" w14:textId="77777777" w:rsidR="001C56BD" w:rsidRPr="00F92667" w:rsidRDefault="001C56BD" w:rsidP="008A5C11">
            <w:pPr>
              <w:jc w:val="center"/>
              <w:rPr>
                <w:color w:val="000000"/>
                <w:sz w:val="12"/>
                <w:szCs w:val="12"/>
              </w:rPr>
            </w:pPr>
            <w:r w:rsidRPr="00F92667">
              <w:rPr>
                <w:color w:val="000000"/>
                <w:sz w:val="12"/>
                <w:szCs w:val="12"/>
              </w:rPr>
              <w:t>протяженность</w:t>
            </w:r>
          </w:p>
        </w:tc>
        <w:tc>
          <w:tcPr>
            <w:tcW w:w="129" w:type="pct"/>
            <w:shd w:val="clear" w:color="auto" w:fill="auto"/>
            <w:tcMar>
              <w:left w:w="17" w:type="dxa"/>
              <w:right w:w="17" w:type="dxa"/>
            </w:tcMar>
            <w:vAlign w:val="center"/>
          </w:tcPr>
          <w:p w14:paraId="50086B9B" w14:textId="77777777" w:rsidR="001C56BD" w:rsidRPr="00F92667" w:rsidRDefault="001C56BD" w:rsidP="008A5C11">
            <w:pPr>
              <w:jc w:val="center"/>
              <w:rPr>
                <w:color w:val="000000"/>
                <w:sz w:val="12"/>
                <w:szCs w:val="12"/>
              </w:rPr>
            </w:pPr>
            <w:r w:rsidRPr="00F92667">
              <w:rPr>
                <w:color w:val="000000"/>
                <w:sz w:val="12"/>
                <w:szCs w:val="12"/>
              </w:rPr>
              <w:t>м</w:t>
            </w:r>
          </w:p>
        </w:tc>
        <w:tc>
          <w:tcPr>
            <w:tcW w:w="184" w:type="pct"/>
            <w:vMerge/>
            <w:shd w:val="clear" w:color="auto" w:fill="auto"/>
            <w:tcMar>
              <w:left w:w="17" w:type="dxa"/>
              <w:right w:w="17" w:type="dxa"/>
            </w:tcMar>
            <w:vAlign w:val="center"/>
          </w:tcPr>
          <w:p w14:paraId="6E150162" w14:textId="77777777" w:rsidR="001C56BD" w:rsidRPr="00F92667" w:rsidRDefault="001C56BD" w:rsidP="008A5C11">
            <w:pPr>
              <w:jc w:val="center"/>
              <w:rPr>
                <w:sz w:val="12"/>
                <w:szCs w:val="12"/>
              </w:rPr>
            </w:pPr>
          </w:p>
        </w:tc>
        <w:tc>
          <w:tcPr>
            <w:tcW w:w="219" w:type="pct"/>
            <w:shd w:val="clear" w:color="auto" w:fill="auto"/>
            <w:tcMar>
              <w:left w:w="17" w:type="dxa"/>
              <w:right w:w="17" w:type="dxa"/>
            </w:tcMar>
            <w:vAlign w:val="center"/>
          </w:tcPr>
          <w:p w14:paraId="36E2F1E8" w14:textId="77777777" w:rsidR="001C56BD" w:rsidRPr="00F92667" w:rsidRDefault="001C56BD" w:rsidP="008A5C11">
            <w:pPr>
              <w:jc w:val="center"/>
              <w:rPr>
                <w:sz w:val="12"/>
                <w:szCs w:val="12"/>
              </w:rPr>
            </w:pPr>
            <w:r w:rsidRPr="00F92667">
              <w:rPr>
                <w:sz w:val="12"/>
                <w:szCs w:val="12"/>
              </w:rPr>
              <w:t>75</w:t>
            </w:r>
          </w:p>
        </w:tc>
        <w:tc>
          <w:tcPr>
            <w:tcW w:w="130" w:type="pct"/>
            <w:vMerge/>
            <w:shd w:val="clear" w:color="auto" w:fill="auto"/>
            <w:tcMar>
              <w:left w:w="17" w:type="dxa"/>
              <w:right w:w="17" w:type="dxa"/>
            </w:tcMar>
            <w:vAlign w:val="center"/>
          </w:tcPr>
          <w:p w14:paraId="3B671AF0" w14:textId="77777777" w:rsidR="001C56BD" w:rsidRPr="00F92667" w:rsidRDefault="001C56BD" w:rsidP="008A5C11">
            <w:pPr>
              <w:jc w:val="center"/>
              <w:rPr>
                <w:sz w:val="12"/>
                <w:szCs w:val="12"/>
              </w:rPr>
            </w:pPr>
          </w:p>
        </w:tc>
        <w:tc>
          <w:tcPr>
            <w:tcW w:w="130" w:type="pct"/>
            <w:vMerge/>
            <w:shd w:val="clear" w:color="auto" w:fill="auto"/>
            <w:tcMar>
              <w:left w:w="17" w:type="dxa"/>
              <w:right w:w="17" w:type="dxa"/>
            </w:tcMar>
            <w:vAlign w:val="center"/>
          </w:tcPr>
          <w:p w14:paraId="7D8131DD" w14:textId="77777777" w:rsidR="001C56BD" w:rsidRPr="00F92667" w:rsidRDefault="001C56BD" w:rsidP="008A5C11">
            <w:pPr>
              <w:jc w:val="center"/>
              <w:rPr>
                <w:sz w:val="12"/>
                <w:szCs w:val="12"/>
              </w:rPr>
            </w:pPr>
          </w:p>
        </w:tc>
        <w:tc>
          <w:tcPr>
            <w:tcW w:w="217" w:type="pct"/>
            <w:gridSpan w:val="2"/>
            <w:vMerge/>
            <w:tcMar>
              <w:left w:w="17" w:type="dxa"/>
              <w:right w:w="17" w:type="dxa"/>
            </w:tcMar>
            <w:vAlign w:val="center"/>
          </w:tcPr>
          <w:p w14:paraId="6062F2D4" w14:textId="77777777" w:rsidR="001C56BD" w:rsidRPr="00F92667" w:rsidRDefault="001C56BD" w:rsidP="008A5C11">
            <w:pPr>
              <w:jc w:val="center"/>
              <w:rPr>
                <w:sz w:val="12"/>
                <w:szCs w:val="12"/>
              </w:rPr>
            </w:pPr>
          </w:p>
        </w:tc>
        <w:tc>
          <w:tcPr>
            <w:tcW w:w="177" w:type="pct"/>
            <w:gridSpan w:val="2"/>
            <w:vMerge/>
            <w:shd w:val="clear" w:color="auto" w:fill="auto"/>
            <w:tcMar>
              <w:left w:w="17" w:type="dxa"/>
              <w:right w:w="17" w:type="dxa"/>
            </w:tcMar>
            <w:vAlign w:val="center"/>
          </w:tcPr>
          <w:p w14:paraId="4F0A9F7B" w14:textId="77777777" w:rsidR="001C56BD" w:rsidRPr="00F92667" w:rsidRDefault="001C56BD" w:rsidP="008A5C11">
            <w:pPr>
              <w:jc w:val="center"/>
              <w:rPr>
                <w:sz w:val="12"/>
                <w:szCs w:val="12"/>
              </w:rPr>
            </w:pPr>
          </w:p>
        </w:tc>
        <w:tc>
          <w:tcPr>
            <w:tcW w:w="212" w:type="pct"/>
            <w:vMerge/>
            <w:tcMar>
              <w:left w:w="17" w:type="dxa"/>
              <w:right w:w="17" w:type="dxa"/>
            </w:tcMar>
            <w:vAlign w:val="center"/>
          </w:tcPr>
          <w:p w14:paraId="6595242C" w14:textId="77777777" w:rsidR="001C56BD" w:rsidRPr="00F92667" w:rsidRDefault="001C56BD" w:rsidP="008A5C11">
            <w:pPr>
              <w:jc w:val="center"/>
              <w:rPr>
                <w:sz w:val="12"/>
                <w:szCs w:val="12"/>
              </w:rPr>
            </w:pPr>
          </w:p>
        </w:tc>
        <w:tc>
          <w:tcPr>
            <w:tcW w:w="218" w:type="pct"/>
            <w:gridSpan w:val="2"/>
            <w:vMerge/>
            <w:shd w:val="clear" w:color="auto" w:fill="auto"/>
            <w:tcMar>
              <w:left w:w="17" w:type="dxa"/>
              <w:right w:w="17" w:type="dxa"/>
            </w:tcMar>
            <w:vAlign w:val="center"/>
          </w:tcPr>
          <w:p w14:paraId="25999ACE" w14:textId="77777777" w:rsidR="001C56BD" w:rsidRPr="00F92667" w:rsidRDefault="001C56BD" w:rsidP="008A5C11">
            <w:pPr>
              <w:jc w:val="center"/>
              <w:rPr>
                <w:sz w:val="12"/>
                <w:szCs w:val="12"/>
              </w:rPr>
            </w:pPr>
          </w:p>
        </w:tc>
        <w:tc>
          <w:tcPr>
            <w:tcW w:w="217" w:type="pct"/>
            <w:gridSpan w:val="2"/>
            <w:vMerge/>
            <w:shd w:val="clear" w:color="auto" w:fill="auto"/>
            <w:tcMar>
              <w:left w:w="17" w:type="dxa"/>
              <w:right w:w="17" w:type="dxa"/>
            </w:tcMar>
            <w:vAlign w:val="center"/>
          </w:tcPr>
          <w:p w14:paraId="10D49D1E" w14:textId="77777777" w:rsidR="001C56BD" w:rsidRPr="00F92667" w:rsidRDefault="001C56BD" w:rsidP="008A5C11">
            <w:pPr>
              <w:jc w:val="center"/>
              <w:rPr>
                <w:sz w:val="12"/>
                <w:szCs w:val="12"/>
              </w:rPr>
            </w:pPr>
          </w:p>
        </w:tc>
        <w:tc>
          <w:tcPr>
            <w:tcW w:w="206" w:type="pct"/>
            <w:gridSpan w:val="2"/>
            <w:vMerge/>
            <w:shd w:val="clear" w:color="auto" w:fill="auto"/>
            <w:tcMar>
              <w:left w:w="17" w:type="dxa"/>
              <w:right w:w="17" w:type="dxa"/>
            </w:tcMar>
            <w:vAlign w:val="center"/>
          </w:tcPr>
          <w:p w14:paraId="479C37ED" w14:textId="77777777" w:rsidR="001C56BD" w:rsidRPr="00F92667" w:rsidRDefault="001C56BD" w:rsidP="008A5C11">
            <w:pPr>
              <w:jc w:val="center"/>
              <w:rPr>
                <w:sz w:val="12"/>
                <w:szCs w:val="12"/>
              </w:rPr>
            </w:pPr>
          </w:p>
        </w:tc>
        <w:tc>
          <w:tcPr>
            <w:tcW w:w="217" w:type="pct"/>
            <w:gridSpan w:val="2"/>
            <w:vMerge/>
            <w:tcMar>
              <w:left w:w="17" w:type="dxa"/>
              <w:right w:w="17" w:type="dxa"/>
            </w:tcMar>
            <w:vAlign w:val="center"/>
          </w:tcPr>
          <w:p w14:paraId="4F1A697F" w14:textId="77777777" w:rsidR="001C56BD" w:rsidRPr="00F92667" w:rsidRDefault="001C56BD" w:rsidP="008A5C11">
            <w:pPr>
              <w:jc w:val="center"/>
              <w:rPr>
                <w:sz w:val="12"/>
                <w:szCs w:val="12"/>
                <w:highlight w:val="red"/>
              </w:rPr>
            </w:pPr>
          </w:p>
        </w:tc>
        <w:tc>
          <w:tcPr>
            <w:tcW w:w="214" w:type="pct"/>
            <w:gridSpan w:val="2"/>
            <w:vMerge/>
            <w:tcMar>
              <w:left w:w="17" w:type="dxa"/>
              <w:right w:w="17" w:type="dxa"/>
            </w:tcMar>
            <w:vAlign w:val="center"/>
          </w:tcPr>
          <w:p w14:paraId="434E0447" w14:textId="77777777" w:rsidR="001C56BD" w:rsidRPr="00F92667" w:rsidRDefault="001C56BD" w:rsidP="008A5C11">
            <w:pPr>
              <w:jc w:val="center"/>
              <w:rPr>
                <w:sz w:val="12"/>
                <w:szCs w:val="12"/>
                <w:highlight w:val="red"/>
              </w:rPr>
            </w:pPr>
          </w:p>
        </w:tc>
        <w:tc>
          <w:tcPr>
            <w:tcW w:w="217" w:type="pct"/>
            <w:gridSpan w:val="2"/>
            <w:vMerge/>
            <w:tcMar>
              <w:left w:w="17" w:type="dxa"/>
              <w:right w:w="17" w:type="dxa"/>
            </w:tcMar>
            <w:vAlign w:val="center"/>
          </w:tcPr>
          <w:p w14:paraId="2306FB26" w14:textId="77777777" w:rsidR="001C56BD" w:rsidRPr="00F92667" w:rsidRDefault="001C56BD" w:rsidP="008A5C11">
            <w:pPr>
              <w:jc w:val="center"/>
              <w:rPr>
                <w:sz w:val="12"/>
                <w:szCs w:val="12"/>
              </w:rPr>
            </w:pPr>
          </w:p>
        </w:tc>
        <w:tc>
          <w:tcPr>
            <w:tcW w:w="217" w:type="pct"/>
            <w:gridSpan w:val="2"/>
            <w:vMerge/>
            <w:tcMar>
              <w:left w:w="17" w:type="dxa"/>
              <w:right w:w="17" w:type="dxa"/>
            </w:tcMar>
            <w:vAlign w:val="center"/>
          </w:tcPr>
          <w:p w14:paraId="5DDDB519" w14:textId="77777777" w:rsidR="001C56BD" w:rsidRPr="00F92667" w:rsidRDefault="001C56BD" w:rsidP="008A5C11">
            <w:pPr>
              <w:jc w:val="center"/>
              <w:rPr>
                <w:sz w:val="12"/>
                <w:szCs w:val="12"/>
              </w:rPr>
            </w:pPr>
          </w:p>
        </w:tc>
        <w:tc>
          <w:tcPr>
            <w:tcW w:w="214" w:type="pct"/>
            <w:gridSpan w:val="2"/>
            <w:vMerge/>
            <w:tcMar>
              <w:left w:w="17" w:type="dxa"/>
              <w:right w:w="17" w:type="dxa"/>
            </w:tcMar>
            <w:vAlign w:val="center"/>
          </w:tcPr>
          <w:p w14:paraId="1D796730" w14:textId="77777777" w:rsidR="001C56BD" w:rsidRPr="00F92667" w:rsidRDefault="001C56BD" w:rsidP="008A5C11">
            <w:pPr>
              <w:jc w:val="center"/>
              <w:rPr>
                <w:sz w:val="12"/>
                <w:szCs w:val="12"/>
              </w:rPr>
            </w:pPr>
          </w:p>
        </w:tc>
        <w:tc>
          <w:tcPr>
            <w:tcW w:w="247" w:type="pct"/>
            <w:gridSpan w:val="2"/>
            <w:vMerge/>
            <w:tcMar>
              <w:left w:w="17" w:type="dxa"/>
              <w:right w:w="17" w:type="dxa"/>
            </w:tcMar>
            <w:vAlign w:val="center"/>
          </w:tcPr>
          <w:p w14:paraId="55784D84" w14:textId="77777777" w:rsidR="001C56BD" w:rsidRPr="00F92667" w:rsidRDefault="001C56BD" w:rsidP="008A5C11">
            <w:pPr>
              <w:jc w:val="center"/>
              <w:rPr>
                <w:sz w:val="12"/>
                <w:szCs w:val="12"/>
              </w:rPr>
            </w:pPr>
          </w:p>
        </w:tc>
        <w:tc>
          <w:tcPr>
            <w:tcW w:w="173" w:type="pct"/>
            <w:vMerge/>
            <w:tcMar>
              <w:left w:w="17" w:type="dxa"/>
              <w:right w:w="17" w:type="dxa"/>
            </w:tcMar>
            <w:vAlign w:val="center"/>
          </w:tcPr>
          <w:p w14:paraId="034299D2" w14:textId="77777777" w:rsidR="001C56BD" w:rsidRPr="00F92667" w:rsidRDefault="001C56BD" w:rsidP="008A5C11">
            <w:pPr>
              <w:jc w:val="center"/>
              <w:rPr>
                <w:sz w:val="12"/>
                <w:szCs w:val="12"/>
              </w:rPr>
            </w:pPr>
          </w:p>
        </w:tc>
        <w:tc>
          <w:tcPr>
            <w:tcW w:w="169" w:type="pct"/>
            <w:vMerge/>
            <w:tcMar>
              <w:left w:w="17" w:type="dxa"/>
              <w:right w:w="17" w:type="dxa"/>
            </w:tcMar>
            <w:vAlign w:val="center"/>
          </w:tcPr>
          <w:p w14:paraId="2D13D11A" w14:textId="77777777" w:rsidR="001C56BD" w:rsidRPr="00F92667" w:rsidRDefault="001C56BD" w:rsidP="008A5C11">
            <w:pPr>
              <w:jc w:val="center"/>
              <w:rPr>
                <w:sz w:val="12"/>
                <w:szCs w:val="12"/>
              </w:rPr>
            </w:pPr>
          </w:p>
        </w:tc>
      </w:tr>
      <w:tr w:rsidR="001C56BD" w:rsidRPr="00F92667" w14:paraId="45FE56CD" w14:textId="77777777" w:rsidTr="008A5C11">
        <w:trPr>
          <w:gridBefore w:val="1"/>
          <w:wBefore w:w="3" w:type="pct"/>
          <w:trHeight w:val="64"/>
        </w:trPr>
        <w:tc>
          <w:tcPr>
            <w:tcW w:w="129" w:type="pct"/>
            <w:vMerge/>
            <w:shd w:val="clear" w:color="auto" w:fill="auto"/>
            <w:tcMar>
              <w:left w:w="17" w:type="dxa"/>
              <w:right w:w="17" w:type="dxa"/>
            </w:tcMar>
            <w:vAlign w:val="center"/>
          </w:tcPr>
          <w:p w14:paraId="5DD9DDEE" w14:textId="77777777" w:rsidR="001C56BD" w:rsidRPr="00F92667" w:rsidRDefault="001C56BD" w:rsidP="008A5C11">
            <w:pPr>
              <w:jc w:val="center"/>
              <w:rPr>
                <w:sz w:val="12"/>
                <w:szCs w:val="12"/>
              </w:rPr>
            </w:pPr>
          </w:p>
        </w:tc>
        <w:tc>
          <w:tcPr>
            <w:tcW w:w="305" w:type="pct"/>
            <w:vMerge/>
            <w:shd w:val="clear" w:color="auto" w:fill="auto"/>
            <w:tcMar>
              <w:left w:w="17" w:type="dxa"/>
              <w:right w:w="17" w:type="dxa"/>
            </w:tcMar>
            <w:vAlign w:val="center"/>
          </w:tcPr>
          <w:p w14:paraId="0A23E415" w14:textId="77777777" w:rsidR="001C56BD" w:rsidRPr="00F92667" w:rsidRDefault="001C56BD" w:rsidP="008A5C11">
            <w:pPr>
              <w:rPr>
                <w:sz w:val="12"/>
                <w:szCs w:val="12"/>
              </w:rPr>
            </w:pPr>
          </w:p>
        </w:tc>
        <w:tc>
          <w:tcPr>
            <w:tcW w:w="304" w:type="pct"/>
            <w:vMerge/>
            <w:shd w:val="clear" w:color="auto" w:fill="auto"/>
            <w:tcMar>
              <w:left w:w="17" w:type="dxa"/>
              <w:right w:w="17" w:type="dxa"/>
            </w:tcMar>
            <w:vAlign w:val="center"/>
          </w:tcPr>
          <w:p w14:paraId="1DF1AD55" w14:textId="77777777" w:rsidR="001C56BD" w:rsidRPr="00F92667" w:rsidRDefault="001C56BD" w:rsidP="008A5C11">
            <w:pPr>
              <w:jc w:val="center"/>
              <w:rPr>
                <w:sz w:val="12"/>
                <w:szCs w:val="12"/>
              </w:rPr>
            </w:pPr>
          </w:p>
        </w:tc>
        <w:tc>
          <w:tcPr>
            <w:tcW w:w="258" w:type="pct"/>
            <w:vMerge/>
            <w:shd w:val="clear" w:color="auto" w:fill="auto"/>
            <w:tcMar>
              <w:left w:w="17" w:type="dxa"/>
              <w:right w:w="17" w:type="dxa"/>
            </w:tcMar>
            <w:vAlign w:val="center"/>
          </w:tcPr>
          <w:p w14:paraId="5B935617" w14:textId="77777777" w:rsidR="001C56BD" w:rsidRPr="00F92667" w:rsidRDefault="001C56BD" w:rsidP="008A5C11">
            <w:pPr>
              <w:jc w:val="center"/>
              <w:rPr>
                <w:sz w:val="12"/>
                <w:szCs w:val="12"/>
              </w:rPr>
            </w:pPr>
          </w:p>
        </w:tc>
        <w:tc>
          <w:tcPr>
            <w:tcW w:w="294" w:type="pct"/>
            <w:shd w:val="clear" w:color="auto" w:fill="auto"/>
            <w:tcMar>
              <w:left w:w="17" w:type="dxa"/>
              <w:right w:w="17" w:type="dxa"/>
            </w:tcMar>
            <w:vAlign w:val="center"/>
          </w:tcPr>
          <w:p w14:paraId="3E5AA3BF" w14:textId="77777777" w:rsidR="001C56BD" w:rsidRPr="00F92667" w:rsidRDefault="001C56BD" w:rsidP="008A5C11">
            <w:pPr>
              <w:jc w:val="center"/>
              <w:rPr>
                <w:color w:val="000000"/>
                <w:sz w:val="12"/>
                <w:szCs w:val="12"/>
              </w:rPr>
            </w:pPr>
            <w:r w:rsidRPr="00F92667">
              <w:rPr>
                <w:color w:val="000000"/>
                <w:sz w:val="12"/>
                <w:szCs w:val="12"/>
              </w:rPr>
              <w:t>диаметр</w:t>
            </w:r>
          </w:p>
        </w:tc>
        <w:tc>
          <w:tcPr>
            <w:tcW w:w="129" w:type="pct"/>
            <w:shd w:val="clear" w:color="auto" w:fill="auto"/>
            <w:tcMar>
              <w:left w:w="17" w:type="dxa"/>
              <w:right w:w="17" w:type="dxa"/>
            </w:tcMar>
            <w:vAlign w:val="center"/>
          </w:tcPr>
          <w:p w14:paraId="3648A5BD" w14:textId="77777777" w:rsidR="001C56BD" w:rsidRPr="00F92667" w:rsidRDefault="001C56BD" w:rsidP="008A5C11">
            <w:pPr>
              <w:jc w:val="center"/>
              <w:rPr>
                <w:color w:val="000000"/>
                <w:sz w:val="12"/>
                <w:szCs w:val="12"/>
              </w:rPr>
            </w:pPr>
            <w:r w:rsidRPr="00F92667">
              <w:rPr>
                <w:color w:val="000000"/>
                <w:sz w:val="12"/>
                <w:szCs w:val="12"/>
              </w:rPr>
              <w:t>мм</w:t>
            </w:r>
          </w:p>
        </w:tc>
        <w:tc>
          <w:tcPr>
            <w:tcW w:w="184" w:type="pct"/>
            <w:vMerge/>
            <w:shd w:val="clear" w:color="auto" w:fill="auto"/>
            <w:tcMar>
              <w:left w:w="17" w:type="dxa"/>
              <w:right w:w="17" w:type="dxa"/>
            </w:tcMar>
            <w:vAlign w:val="center"/>
          </w:tcPr>
          <w:p w14:paraId="1C0B04DA" w14:textId="77777777" w:rsidR="001C56BD" w:rsidRPr="00F92667" w:rsidRDefault="001C56BD" w:rsidP="008A5C11">
            <w:pPr>
              <w:jc w:val="center"/>
              <w:rPr>
                <w:sz w:val="12"/>
                <w:szCs w:val="12"/>
              </w:rPr>
            </w:pPr>
          </w:p>
        </w:tc>
        <w:tc>
          <w:tcPr>
            <w:tcW w:w="219" w:type="pct"/>
            <w:shd w:val="clear" w:color="auto" w:fill="auto"/>
            <w:tcMar>
              <w:left w:w="17" w:type="dxa"/>
              <w:right w:w="17" w:type="dxa"/>
            </w:tcMar>
            <w:vAlign w:val="center"/>
          </w:tcPr>
          <w:p w14:paraId="6DC5D3B8" w14:textId="77777777" w:rsidR="001C56BD" w:rsidRPr="00F92667" w:rsidRDefault="001C56BD" w:rsidP="008A5C11">
            <w:pPr>
              <w:jc w:val="center"/>
              <w:rPr>
                <w:sz w:val="12"/>
                <w:szCs w:val="12"/>
              </w:rPr>
            </w:pPr>
            <w:r w:rsidRPr="00F92667">
              <w:rPr>
                <w:sz w:val="12"/>
                <w:szCs w:val="12"/>
              </w:rPr>
              <w:t>50</w:t>
            </w:r>
          </w:p>
        </w:tc>
        <w:tc>
          <w:tcPr>
            <w:tcW w:w="130" w:type="pct"/>
            <w:vMerge/>
            <w:shd w:val="clear" w:color="auto" w:fill="auto"/>
            <w:tcMar>
              <w:left w:w="17" w:type="dxa"/>
              <w:right w:w="17" w:type="dxa"/>
            </w:tcMar>
            <w:vAlign w:val="center"/>
          </w:tcPr>
          <w:p w14:paraId="59582058" w14:textId="77777777" w:rsidR="001C56BD" w:rsidRPr="00F92667" w:rsidRDefault="001C56BD" w:rsidP="008A5C11">
            <w:pPr>
              <w:jc w:val="center"/>
              <w:rPr>
                <w:sz w:val="12"/>
                <w:szCs w:val="12"/>
              </w:rPr>
            </w:pPr>
          </w:p>
        </w:tc>
        <w:tc>
          <w:tcPr>
            <w:tcW w:w="130" w:type="pct"/>
            <w:vMerge/>
            <w:shd w:val="clear" w:color="auto" w:fill="auto"/>
            <w:tcMar>
              <w:left w:w="17" w:type="dxa"/>
              <w:right w:w="17" w:type="dxa"/>
            </w:tcMar>
            <w:vAlign w:val="center"/>
          </w:tcPr>
          <w:p w14:paraId="24DDBC64" w14:textId="77777777" w:rsidR="001C56BD" w:rsidRPr="00F92667" w:rsidRDefault="001C56BD" w:rsidP="008A5C11">
            <w:pPr>
              <w:jc w:val="center"/>
              <w:rPr>
                <w:sz w:val="12"/>
                <w:szCs w:val="12"/>
              </w:rPr>
            </w:pPr>
          </w:p>
        </w:tc>
        <w:tc>
          <w:tcPr>
            <w:tcW w:w="217" w:type="pct"/>
            <w:gridSpan w:val="2"/>
            <w:vMerge/>
            <w:tcMar>
              <w:left w:w="17" w:type="dxa"/>
              <w:right w:w="17" w:type="dxa"/>
            </w:tcMar>
            <w:vAlign w:val="center"/>
          </w:tcPr>
          <w:p w14:paraId="69911BCC" w14:textId="77777777" w:rsidR="001C56BD" w:rsidRPr="00F92667" w:rsidRDefault="001C56BD" w:rsidP="008A5C11">
            <w:pPr>
              <w:jc w:val="center"/>
              <w:rPr>
                <w:sz w:val="12"/>
                <w:szCs w:val="12"/>
              </w:rPr>
            </w:pPr>
          </w:p>
        </w:tc>
        <w:tc>
          <w:tcPr>
            <w:tcW w:w="177" w:type="pct"/>
            <w:gridSpan w:val="2"/>
            <w:vMerge/>
            <w:shd w:val="clear" w:color="auto" w:fill="auto"/>
            <w:tcMar>
              <w:left w:w="17" w:type="dxa"/>
              <w:right w:w="17" w:type="dxa"/>
            </w:tcMar>
            <w:vAlign w:val="center"/>
          </w:tcPr>
          <w:p w14:paraId="7EE44848" w14:textId="77777777" w:rsidR="001C56BD" w:rsidRPr="00F92667" w:rsidRDefault="001C56BD" w:rsidP="008A5C11">
            <w:pPr>
              <w:jc w:val="center"/>
              <w:rPr>
                <w:sz w:val="12"/>
                <w:szCs w:val="12"/>
              </w:rPr>
            </w:pPr>
          </w:p>
        </w:tc>
        <w:tc>
          <w:tcPr>
            <w:tcW w:w="212" w:type="pct"/>
            <w:vMerge/>
            <w:tcMar>
              <w:left w:w="17" w:type="dxa"/>
              <w:right w:w="17" w:type="dxa"/>
            </w:tcMar>
            <w:vAlign w:val="center"/>
          </w:tcPr>
          <w:p w14:paraId="16B5F6EF" w14:textId="77777777" w:rsidR="001C56BD" w:rsidRPr="00F92667" w:rsidRDefault="001C56BD" w:rsidP="008A5C11">
            <w:pPr>
              <w:jc w:val="center"/>
              <w:rPr>
                <w:sz w:val="12"/>
                <w:szCs w:val="12"/>
              </w:rPr>
            </w:pPr>
          </w:p>
        </w:tc>
        <w:tc>
          <w:tcPr>
            <w:tcW w:w="218" w:type="pct"/>
            <w:gridSpan w:val="2"/>
            <w:vMerge/>
            <w:shd w:val="clear" w:color="auto" w:fill="auto"/>
            <w:tcMar>
              <w:left w:w="17" w:type="dxa"/>
              <w:right w:w="17" w:type="dxa"/>
            </w:tcMar>
            <w:vAlign w:val="center"/>
          </w:tcPr>
          <w:p w14:paraId="5DCEDD34" w14:textId="77777777" w:rsidR="001C56BD" w:rsidRPr="00F92667" w:rsidRDefault="001C56BD" w:rsidP="008A5C11">
            <w:pPr>
              <w:jc w:val="center"/>
              <w:rPr>
                <w:sz w:val="12"/>
                <w:szCs w:val="12"/>
              </w:rPr>
            </w:pPr>
          </w:p>
        </w:tc>
        <w:tc>
          <w:tcPr>
            <w:tcW w:w="217" w:type="pct"/>
            <w:gridSpan w:val="2"/>
            <w:vMerge/>
            <w:shd w:val="clear" w:color="auto" w:fill="auto"/>
            <w:tcMar>
              <w:left w:w="17" w:type="dxa"/>
              <w:right w:w="17" w:type="dxa"/>
            </w:tcMar>
            <w:vAlign w:val="center"/>
          </w:tcPr>
          <w:p w14:paraId="6408FE70" w14:textId="77777777" w:rsidR="001C56BD" w:rsidRPr="00F92667" w:rsidRDefault="001C56BD" w:rsidP="008A5C11">
            <w:pPr>
              <w:jc w:val="center"/>
              <w:rPr>
                <w:sz w:val="12"/>
                <w:szCs w:val="12"/>
              </w:rPr>
            </w:pPr>
          </w:p>
        </w:tc>
        <w:tc>
          <w:tcPr>
            <w:tcW w:w="206" w:type="pct"/>
            <w:gridSpan w:val="2"/>
            <w:vMerge/>
            <w:shd w:val="clear" w:color="auto" w:fill="auto"/>
            <w:tcMar>
              <w:left w:w="17" w:type="dxa"/>
              <w:right w:w="17" w:type="dxa"/>
            </w:tcMar>
            <w:vAlign w:val="center"/>
          </w:tcPr>
          <w:p w14:paraId="4815F3C4" w14:textId="77777777" w:rsidR="001C56BD" w:rsidRPr="00F92667" w:rsidRDefault="001C56BD" w:rsidP="008A5C11">
            <w:pPr>
              <w:jc w:val="center"/>
              <w:rPr>
                <w:sz w:val="12"/>
                <w:szCs w:val="12"/>
              </w:rPr>
            </w:pPr>
          </w:p>
        </w:tc>
        <w:tc>
          <w:tcPr>
            <w:tcW w:w="217" w:type="pct"/>
            <w:gridSpan w:val="2"/>
            <w:vMerge/>
            <w:tcMar>
              <w:left w:w="17" w:type="dxa"/>
              <w:right w:w="17" w:type="dxa"/>
            </w:tcMar>
            <w:vAlign w:val="center"/>
          </w:tcPr>
          <w:p w14:paraId="0D358152" w14:textId="77777777" w:rsidR="001C56BD" w:rsidRPr="00F92667" w:rsidRDefault="001C56BD" w:rsidP="008A5C11">
            <w:pPr>
              <w:jc w:val="center"/>
              <w:rPr>
                <w:sz w:val="12"/>
                <w:szCs w:val="12"/>
                <w:highlight w:val="red"/>
              </w:rPr>
            </w:pPr>
          </w:p>
        </w:tc>
        <w:tc>
          <w:tcPr>
            <w:tcW w:w="214" w:type="pct"/>
            <w:gridSpan w:val="2"/>
            <w:vMerge/>
            <w:tcMar>
              <w:left w:w="17" w:type="dxa"/>
              <w:right w:w="17" w:type="dxa"/>
            </w:tcMar>
            <w:vAlign w:val="center"/>
          </w:tcPr>
          <w:p w14:paraId="58AED578" w14:textId="77777777" w:rsidR="001C56BD" w:rsidRPr="00F92667" w:rsidRDefault="001C56BD" w:rsidP="008A5C11">
            <w:pPr>
              <w:jc w:val="center"/>
              <w:rPr>
                <w:sz w:val="12"/>
                <w:szCs w:val="12"/>
                <w:highlight w:val="red"/>
              </w:rPr>
            </w:pPr>
          </w:p>
        </w:tc>
        <w:tc>
          <w:tcPr>
            <w:tcW w:w="217" w:type="pct"/>
            <w:gridSpan w:val="2"/>
            <w:vMerge/>
            <w:tcMar>
              <w:left w:w="17" w:type="dxa"/>
              <w:right w:w="17" w:type="dxa"/>
            </w:tcMar>
            <w:vAlign w:val="center"/>
          </w:tcPr>
          <w:p w14:paraId="46403CA7" w14:textId="77777777" w:rsidR="001C56BD" w:rsidRPr="00F92667" w:rsidRDefault="001C56BD" w:rsidP="008A5C11">
            <w:pPr>
              <w:jc w:val="center"/>
              <w:rPr>
                <w:sz w:val="12"/>
                <w:szCs w:val="12"/>
              </w:rPr>
            </w:pPr>
          </w:p>
        </w:tc>
        <w:tc>
          <w:tcPr>
            <w:tcW w:w="217" w:type="pct"/>
            <w:gridSpan w:val="2"/>
            <w:vMerge/>
            <w:tcMar>
              <w:left w:w="17" w:type="dxa"/>
              <w:right w:w="17" w:type="dxa"/>
            </w:tcMar>
            <w:vAlign w:val="center"/>
          </w:tcPr>
          <w:p w14:paraId="2963A744" w14:textId="77777777" w:rsidR="001C56BD" w:rsidRPr="00F92667" w:rsidRDefault="001C56BD" w:rsidP="008A5C11">
            <w:pPr>
              <w:jc w:val="center"/>
              <w:rPr>
                <w:sz w:val="12"/>
                <w:szCs w:val="12"/>
              </w:rPr>
            </w:pPr>
          </w:p>
        </w:tc>
        <w:tc>
          <w:tcPr>
            <w:tcW w:w="214" w:type="pct"/>
            <w:gridSpan w:val="2"/>
            <w:vMerge/>
            <w:tcMar>
              <w:left w:w="17" w:type="dxa"/>
              <w:right w:w="17" w:type="dxa"/>
            </w:tcMar>
            <w:vAlign w:val="center"/>
          </w:tcPr>
          <w:p w14:paraId="6F1491F3" w14:textId="77777777" w:rsidR="001C56BD" w:rsidRPr="00F92667" w:rsidRDefault="001C56BD" w:rsidP="008A5C11">
            <w:pPr>
              <w:jc w:val="center"/>
              <w:rPr>
                <w:sz w:val="12"/>
                <w:szCs w:val="12"/>
              </w:rPr>
            </w:pPr>
          </w:p>
        </w:tc>
        <w:tc>
          <w:tcPr>
            <w:tcW w:w="247" w:type="pct"/>
            <w:gridSpan w:val="2"/>
            <w:vMerge/>
            <w:tcMar>
              <w:left w:w="17" w:type="dxa"/>
              <w:right w:w="17" w:type="dxa"/>
            </w:tcMar>
            <w:vAlign w:val="center"/>
          </w:tcPr>
          <w:p w14:paraId="0330049A" w14:textId="77777777" w:rsidR="001C56BD" w:rsidRPr="00F92667" w:rsidRDefault="001C56BD" w:rsidP="008A5C11">
            <w:pPr>
              <w:jc w:val="center"/>
              <w:rPr>
                <w:sz w:val="12"/>
                <w:szCs w:val="12"/>
              </w:rPr>
            </w:pPr>
          </w:p>
        </w:tc>
        <w:tc>
          <w:tcPr>
            <w:tcW w:w="173" w:type="pct"/>
            <w:vMerge/>
            <w:tcMar>
              <w:left w:w="17" w:type="dxa"/>
              <w:right w:w="17" w:type="dxa"/>
            </w:tcMar>
            <w:vAlign w:val="center"/>
          </w:tcPr>
          <w:p w14:paraId="642D3C05" w14:textId="77777777" w:rsidR="001C56BD" w:rsidRPr="00F92667" w:rsidRDefault="001C56BD" w:rsidP="008A5C11">
            <w:pPr>
              <w:jc w:val="center"/>
              <w:rPr>
                <w:sz w:val="12"/>
                <w:szCs w:val="12"/>
              </w:rPr>
            </w:pPr>
          </w:p>
        </w:tc>
        <w:tc>
          <w:tcPr>
            <w:tcW w:w="169" w:type="pct"/>
            <w:vMerge/>
            <w:tcMar>
              <w:left w:w="17" w:type="dxa"/>
              <w:right w:w="17" w:type="dxa"/>
            </w:tcMar>
            <w:vAlign w:val="center"/>
          </w:tcPr>
          <w:p w14:paraId="36646EE0" w14:textId="77777777" w:rsidR="001C56BD" w:rsidRPr="00F92667" w:rsidRDefault="001C56BD" w:rsidP="008A5C11">
            <w:pPr>
              <w:jc w:val="center"/>
              <w:rPr>
                <w:sz w:val="12"/>
                <w:szCs w:val="12"/>
              </w:rPr>
            </w:pPr>
          </w:p>
        </w:tc>
      </w:tr>
      <w:tr w:rsidR="001C56BD" w:rsidRPr="00F92667" w14:paraId="3C0373D1" w14:textId="77777777" w:rsidTr="008A5C11">
        <w:trPr>
          <w:gridBefore w:val="1"/>
          <w:wBefore w:w="3" w:type="pct"/>
          <w:trHeight w:val="273"/>
        </w:trPr>
        <w:tc>
          <w:tcPr>
            <w:tcW w:w="129" w:type="pct"/>
            <w:vMerge w:val="restart"/>
            <w:shd w:val="clear" w:color="auto" w:fill="auto"/>
            <w:tcMar>
              <w:left w:w="17" w:type="dxa"/>
              <w:right w:w="17" w:type="dxa"/>
            </w:tcMar>
            <w:vAlign w:val="center"/>
          </w:tcPr>
          <w:p w14:paraId="4954BEA1" w14:textId="77777777" w:rsidR="001C56BD" w:rsidRPr="00F92667" w:rsidRDefault="001C56BD" w:rsidP="008A5C11">
            <w:pPr>
              <w:jc w:val="center"/>
              <w:rPr>
                <w:sz w:val="12"/>
                <w:szCs w:val="12"/>
              </w:rPr>
            </w:pPr>
            <w:r w:rsidRPr="00F92667">
              <w:rPr>
                <w:sz w:val="12"/>
                <w:szCs w:val="12"/>
              </w:rPr>
              <w:t>1.1.3.</w:t>
            </w:r>
          </w:p>
        </w:tc>
        <w:tc>
          <w:tcPr>
            <w:tcW w:w="305" w:type="pct"/>
            <w:vMerge w:val="restart"/>
            <w:shd w:val="clear" w:color="auto" w:fill="auto"/>
            <w:tcMar>
              <w:left w:w="17" w:type="dxa"/>
              <w:right w:w="17" w:type="dxa"/>
            </w:tcMar>
            <w:vAlign w:val="center"/>
          </w:tcPr>
          <w:p w14:paraId="5321FD41" w14:textId="77777777" w:rsidR="001C56BD" w:rsidRPr="00F92667" w:rsidRDefault="001C56BD" w:rsidP="008A5C11">
            <w:pPr>
              <w:rPr>
                <w:sz w:val="12"/>
                <w:szCs w:val="12"/>
              </w:rPr>
            </w:pPr>
            <w:r w:rsidRPr="00F92667">
              <w:rPr>
                <w:sz w:val="12"/>
                <w:szCs w:val="12"/>
              </w:rPr>
              <w:t xml:space="preserve">Строительство тепловых сетей </w:t>
            </w:r>
          </w:p>
        </w:tc>
        <w:tc>
          <w:tcPr>
            <w:tcW w:w="304" w:type="pct"/>
            <w:vMerge w:val="restart"/>
            <w:shd w:val="clear" w:color="auto" w:fill="auto"/>
            <w:tcMar>
              <w:left w:w="17" w:type="dxa"/>
              <w:right w:w="17" w:type="dxa"/>
            </w:tcMar>
            <w:vAlign w:val="center"/>
          </w:tcPr>
          <w:p w14:paraId="59FD8D7D" w14:textId="77777777" w:rsidR="001C56BD" w:rsidRPr="00F92667" w:rsidRDefault="001C56BD" w:rsidP="008A5C11">
            <w:pPr>
              <w:jc w:val="center"/>
              <w:rPr>
                <w:sz w:val="12"/>
                <w:szCs w:val="12"/>
              </w:rPr>
            </w:pPr>
            <w:r w:rsidRPr="00F92667">
              <w:rPr>
                <w:sz w:val="12"/>
                <w:szCs w:val="12"/>
              </w:rPr>
              <w:t>Подключение потребителей Ленинского района</w:t>
            </w:r>
            <w:r w:rsidRPr="00F92667">
              <w:rPr>
                <w:sz w:val="12"/>
                <w:szCs w:val="12"/>
              </w:rPr>
              <w:br/>
              <w:t>г. Кемерово</w:t>
            </w:r>
          </w:p>
        </w:tc>
        <w:tc>
          <w:tcPr>
            <w:tcW w:w="258" w:type="pct"/>
            <w:vMerge w:val="restart"/>
            <w:shd w:val="clear" w:color="auto" w:fill="auto"/>
            <w:tcMar>
              <w:left w:w="17" w:type="dxa"/>
              <w:right w:w="17" w:type="dxa"/>
            </w:tcMar>
            <w:vAlign w:val="center"/>
          </w:tcPr>
          <w:p w14:paraId="6F29DD4F" w14:textId="77777777" w:rsidR="001C56BD" w:rsidRPr="00F92667" w:rsidRDefault="001C56BD" w:rsidP="008A5C11">
            <w:pPr>
              <w:jc w:val="center"/>
              <w:rPr>
                <w:sz w:val="12"/>
                <w:szCs w:val="12"/>
              </w:rPr>
            </w:pPr>
            <w:r w:rsidRPr="00F92667">
              <w:rPr>
                <w:sz w:val="12"/>
                <w:szCs w:val="12"/>
              </w:rPr>
              <w:t>Кемеровский городской округ, Ленинский район</w:t>
            </w:r>
          </w:p>
        </w:tc>
        <w:tc>
          <w:tcPr>
            <w:tcW w:w="294" w:type="pct"/>
            <w:shd w:val="clear" w:color="auto" w:fill="auto"/>
            <w:tcMar>
              <w:left w:w="17" w:type="dxa"/>
              <w:right w:w="17" w:type="dxa"/>
            </w:tcMar>
            <w:vAlign w:val="center"/>
          </w:tcPr>
          <w:p w14:paraId="341C04EE" w14:textId="77777777" w:rsidR="001C56BD" w:rsidRPr="00F92667" w:rsidRDefault="001C56BD" w:rsidP="008A5C11">
            <w:pPr>
              <w:jc w:val="center"/>
              <w:rPr>
                <w:color w:val="000000"/>
                <w:sz w:val="12"/>
                <w:szCs w:val="12"/>
              </w:rPr>
            </w:pPr>
            <w:r w:rsidRPr="00F92667">
              <w:rPr>
                <w:color w:val="000000"/>
                <w:sz w:val="12"/>
                <w:szCs w:val="12"/>
              </w:rPr>
              <w:t>мощность</w:t>
            </w:r>
          </w:p>
        </w:tc>
        <w:tc>
          <w:tcPr>
            <w:tcW w:w="129" w:type="pct"/>
            <w:shd w:val="clear" w:color="auto" w:fill="auto"/>
            <w:tcMar>
              <w:left w:w="17" w:type="dxa"/>
              <w:right w:w="17" w:type="dxa"/>
            </w:tcMar>
            <w:vAlign w:val="center"/>
          </w:tcPr>
          <w:p w14:paraId="31F5E139" w14:textId="77777777" w:rsidR="001C56BD" w:rsidRPr="00F92667" w:rsidRDefault="001C56BD" w:rsidP="008A5C11">
            <w:pPr>
              <w:jc w:val="center"/>
              <w:rPr>
                <w:color w:val="000000"/>
                <w:sz w:val="12"/>
                <w:szCs w:val="12"/>
              </w:rPr>
            </w:pPr>
            <w:r w:rsidRPr="00F92667">
              <w:rPr>
                <w:color w:val="000000"/>
                <w:sz w:val="12"/>
                <w:szCs w:val="12"/>
              </w:rPr>
              <w:t>Гкал/</w:t>
            </w:r>
          </w:p>
          <w:p w14:paraId="40CE1B7A" w14:textId="77777777" w:rsidR="001C56BD" w:rsidRPr="00F92667" w:rsidRDefault="001C56BD" w:rsidP="008A5C11">
            <w:pPr>
              <w:jc w:val="center"/>
              <w:rPr>
                <w:color w:val="000000"/>
                <w:sz w:val="12"/>
                <w:szCs w:val="12"/>
              </w:rPr>
            </w:pPr>
            <w:r w:rsidRPr="00F92667">
              <w:rPr>
                <w:color w:val="000000"/>
                <w:sz w:val="12"/>
                <w:szCs w:val="12"/>
              </w:rPr>
              <w:t>час</w:t>
            </w:r>
          </w:p>
        </w:tc>
        <w:tc>
          <w:tcPr>
            <w:tcW w:w="184" w:type="pct"/>
            <w:vMerge w:val="restart"/>
            <w:shd w:val="clear" w:color="auto" w:fill="auto"/>
            <w:tcMar>
              <w:left w:w="17" w:type="dxa"/>
              <w:right w:w="17" w:type="dxa"/>
            </w:tcMar>
            <w:vAlign w:val="center"/>
          </w:tcPr>
          <w:p w14:paraId="3E00F402" w14:textId="77777777" w:rsidR="001C56BD" w:rsidRPr="00F92667" w:rsidRDefault="001C56BD" w:rsidP="008A5C11">
            <w:pPr>
              <w:jc w:val="center"/>
              <w:rPr>
                <w:sz w:val="12"/>
                <w:szCs w:val="12"/>
              </w:rPr>
            </w:pPr>
            <w:r w:rsidRPr="00F92667">
              <w:rPr>
                <w:sz w:val="12"/>
                <w:szCs w:val="12"/>
              </w:rPr>
              <w:t>-</w:t>
            </w:r>
          </w:p>
        </w:tc>
        <w:tc>
          <w:tcPr>
            <w:tcW w:w="219" w:type="pct"/>
            <w:shd w:val="clear" w:color="auto" w:fill="auto"/>
            <w:tcMar>
              <w:left w:w="17" w:type="dxa"/>
              <w:right w:w="17" w:type="dxa"/>
            </w:tcMar>
            <w:vAlign w:val="center"/>
          </w:tcPr>
          <w:p w14:paraId="459DBEA7" w14:textId="77777777" w:rsidR="001C56BD" w:rsidRPr="00F92667" w:rsidRDefault="001C56BD" w:rsidP="008A5C11">
            <w:pPr>
              <w:jc w:val="center"/>
              <w:rPr>
                <w:sz w:val="12"/>
                <w:szCs w:val="12"/>
              </w:rPr>
            </w:pPr>
            <w:r w:rsidRPr="00F92667">
              <w:rPr>
                <w:sz w:val="12"/>
                <w:szCs w:val="12"/>
              </w:rPr>
              <w:t>0,18</w:t>
            </w:r>
          </w:p>
        </w:tc>
        <w:tc>
          <w:tcPr>
            <w:tcW w:w="130" w:type="pct"/>
            <w:vMerge w:val="restart"/>
            <w:shd w:val="clear" w:color="auto" w:fill="auto"/>
            <w:tcMar>
              <w:left w:w="17" w:type="dxa"/>
              <w:right w:w="17" w:type="dxa"/>
            </w:tcMar>
            <w:vAlign w:val="center"/>
          </w:tcPr>
          <w:p w14:paraId="4FA7E2E9" w14:textId="77777777" w:rsidR="001C56BD" w:rsidRPr="00F92667" w:rsidRDefault="001C56BD" w:rsidP="008A5C11">
            <w:pPr>
              <w:jc w:val="center"/>
              <w:rPr>
                <w:sz w:val="12"/>
                <w:szCs w:val="12"/>
              </w:rPr>
            </w:pPr>
            <w:r w:rsidRPr="00F92667">
              <w:rPr>
                <w:sz w:val="12"/>
                <w:szCs w:val="12"/>
              </w:rPr>
              <w:t>2022</w:t>
            </w:r>
          </w:p>
        </w:tc>
        <w:tc>
          <w:tcPr>
            <w:tcW w:w="130" w:type="pct"/>
            <w:vMerge w:val="restart"/>
            <w:shd w:val="clear" w:color="auto" w:fill="auto"/>
            <w:tcMar>
              <w:left w:w="17" w:type="dxa"/>
              <w:right w:w="17" w:type="dxa"/>
            </w:tcMar>
            <w:vAlign w:val="center"/>
          </w:tcPr>
          <w:p w14:paraId="76B8E11A" w14:textId="77777777" w:rsidR="001C56BD" w:rsidRPr="00F92667" w:rsidRDefault="001C56BD" w:rsidP="008A5C11">
            <w:pPr>
              <w:jc w:val="center"/>
              <w:rPr>
                <w:sz w:val="12"/>
                <w:szCs w:val="12"/>
              </w:rPr>
            </w:pPr>
            <w:r w:rsidRPr="00F92667">
              <w:rPr>
                <w:sz w:val="12"/>
                <w:szCs w:val="12"/>
              </w:rPr>
              <w:t>2022</w:t>
            </w:r>
          </w:p>
        </w:tc>
        <w:tc>
          <w:tcPr>
            <w:tcW w:w="217" w:type="pct"/>
            <w:gridSpan w:val="2"/>
            <w:vMerge w:val="restart"/>
            <w:shd w:val="clear" w:color="000000" w:fill="FFFFFF"/>
            <w:tcMar>
              <w:left w:w="17" w:type="dxa"/>
              <w:right w:w="17" w:type="dxa"/>
            </w:tcMar>
            <w:vAlign w:val="center"/>
          </w:tcPr>
          <w:p w14:paraId="2DA0A832" w14:textId="77777777" w:rsidR="001C56BD" w:rsidRPr="00F92667" w:rsidRDefault="001C56BD" w:rsidP="008A5C11">
            <w:pPr>
              <w:jc w:val="center"/>
              <w:rPr>
                <w:sz w:val="12"/>
                <w:szCs w:val="12"/>
              </w:rPr>
            </w:pPr>
            <w:r w:rsidRPr="00F92667">
              <w:rPr>
                <w:sz w:val="12"/>
                <w:szCs w:val="12"/>
              </w:rPr>
              <w:t>6699,800</w:t>
            </w:r>
          </w:p>
        </w:tc>
        <w:tc>
          <w:tcPr>
            <w:tcW w:w="177" w:type="pct"/>
            <w:gridSpan w:val="2"/>
            <w:vMerge w:val="restart"/>
            <w:shd w:val="clear" w:color="auto" w:fill="auto"/>
            <w:tcMar>
              <w:left w:w="17" w:type="dxa"/>
              <w:right w:w="17" w:type="dxa"/>
            </w:tcMar>
            <w:vAlign w:val="center"/>
          </w:tcPr>
          <w:p w14:paraId="0761427C" w14:textId="77777777" w:rsidR="001C56BD" w:rsidRPr="00F92667" w:rsidRDefault="001C56BD" w:rsidP="008A5C11">
            <w:pPr>
              <w:jc w:val="center"/>
              <w:rPr>
                <w:sz w:val="12"/>
                <w:szCs w:val="12"/>
              </w:rPr>
            </w:pPr>
            <w:r w:rsidRPr="00F92667">
              <w:rPr>
                <w:sz w:val="12"/>
                <w:szCs w:val="12"/>
              </w:rPr>
              <w:t>0,000</w:t>
            </w:r>
          </w:p>
        </w:tc>
        <w:tc>
          <w:tcPr>
            <w:tcW w:w="212" w:type="pct"/>
            <w:vMerge w:val="restart"/>
            <w:shd w:val="clear" w:color="000000" w:fill="FFFFFF"/>
            <w:tcMar>
              <w:left w:w="17" w:type="dxa"/>
              <w:right w:w="17" w:type="dxa"/>
            </w:tcMar>
            <w:vAlign w:val="center"/>
          </w:tcPr>
          <w:p w14:paraId="39404AFE" w14:textId="77777777" w:rsidR="001C56BD" w:rsidRPr="00F92667" w:rsidRDefault="001C56BD" w:rsidP="008A5C11">
            <w:pPr>
              <w:jc w:val="center"/>
              <w:rPr>
                <w:sz w:val="12"/>
                <w:szCs w:val="12"/>
              </w:rPr>
            </w:pPr>
            <w:r w:rsidRPr="00F92667">
              <w:rPr>
                <w:sz w:val="12"/>
                <w:szCs w:val="12"/>
              </w:rPr>
              <w:t>6699,800</w:t>
            </w:r>
          </w:p>
        </w:tc>
        <w:tc>
          <w:tcPr>
            <w:tcW w:w="218" w:type="pct"/>
            <w:gridSpan w:val="2"/>
            <w:vMerge w:val="restart"/>
            <w:shd w:val="clear" w:color="auto" w:fill="auto"/>
            <w:tcMar>
              <w:left w:w="17" w:type="dxa"/>
              <w:right w:w="17" w:type="dxa"/>
            </w:tcMar>
            <w:vAlign w:val="center"/>
          </w:tcPr>
          <w:p w14:paraId="7289B1BC" w14:textId="77777777" w:rsidR="001C56BD" w:rsidRPr="00F92667" w:rsidRDefault="001C56BD" w:rsidP="008A5C11">
            <w:pPr>
              <w:jc w:val="center"/>
              <w:rPr>
                <w:sz w:val="12"/>
                <w:szCs w:val="12"/>
              </w:rPr>
            </w:pPr>
            <w:r w:rsidRPr="00F92667">
              <w:rPr>
                <w:sz w:val="12"/>
                <w:szCs w:val="12"/>
              </w:rPr>
              <w:t>0,000</w:t>
            </w:r>
          </w:p>
        </w:tc>
        <w:tc>
          <w:tcPr>
            <w:tcW w:w="217" w:type="pct"/>
            <w:gridSpan w:val="2"/>
            <w:vMerge w:val="restart"/>
            <w:shd w:val="clear" w:color="auto" w:fill="auto"/>
            <w:tcMar>
              <w:left w:w="17" w:type="dxa"/>
              <w:right w:w="17" w:type="dxa"/>
            </w:tcMar>
            <w:vAlign w:val="center"/>
          </w:tcPr>
          <w:p w14:paraId="277473BB" w14:textId="77777777" w:rsidR="001C56BD" w:rsidRPr="00F92667" w:rsidRDefault="001C56BD" w:rsidP="008A5C11">
            <w:pPr>
              <w:jc w:val="center"/>
              <w:rPr>
                <w:sz w:val="12"/>
                <w:szCs w:val="12"/>
              </w:rPr>
            </w:pPr>
            <w:r w:rsidRPr="00F92667">
              <w:rPr>
                <w:sz w:val="12"/>
                <w:szCs w:val="12"/>
              </w:rPr>
              <w:t>0,000</w:t>
            </w:r>
          </w:p>
        </w:tc>
        <w:tc>
          <w:tcPr>
            <w:tcW w:w="206" w:type="pct"/>
            <w:gridSpan w:val="2"/>
            <w:vMerge w:val="restart"/>
            <w:shd w:val="clear" w:color="auto" w:fill="auto"/>
            <w:tcMar>
              <w:left w:w="17" w:type="dxa"/>
              <w:right w:w="17" w:type="dxa"/>
            </w:tcMar>
            <w:vAlign w:val="center"/>
          </w:tcPr>
          <w:p w14:paraId="39889F48" w14:textId="77777777" w:rsidR="001C56BD" w:rsidRPr="00F92667" w:rsidRDefault="001C56BD" w:rsidP="008A5C11">
            <w:pPr>
              <w:jc w:val="center"/>
              <w:rPr>
                <w:sz w:val="12"/>
                <w:szCs w:val="12"/>
              </w:rPr>
            </w:pPr>
            <w:r w:rsidRPr="00F92667">
              <w:rPr>
                <w:sz w:val="12"/>
                <w:szCs w:val="12"/>
              </w:rPr>
              <w:t>0,000</w:t>
            </w:r>
          </w:p>
        </w:tc>
        <w:tc>
          <w:tcPr>
            <w:tcW w:w="217" w:type="pct"/>
            <w:gridSpan w:val="2"/>
            <w:vMerge w:val="restart"/>
            <w:tcMar>
              <w:left w:w="17" w:type="dxa"/>
              <w:right w:w="17" w:type="dxa"/>
            </w:tcMar>
            <w:vAlign w:val="center"/>
          </w:tcPr>
          <w:p w14:paraId="49535889" w14:textId="77777777" w:rsidR="001C56BD" w:rsidRPr="00F92667" w:rsidRDefault="001C56BD" w:rsidP="008A5C11">
            <w:pPr>
              <w:jc w:val="center"/>
              <w:rPr>
                <w:sz w:val="12"/>
                <w:szCs w:val="12"/>
                <w:highlight w:val="red"/>
              </w:rPr>
            </w:pPr>
            <w:r w:rsidRPr="00F92667">
              <w:rPr>
                <w:sz w:val="12"/>
                <w:szCs w:val="12"/>
              </w:rPr>
              <w:t>0,000</w:t>
            </w:r>
          </w:p>
        </w:tc>
        <w:tc>
          <w:tcPr>
            <w:tcW w:w="214" w:type="pct"/>
            <w:gridSpan w:val="2"/>
            <w:vMerge w:val="restart"/>
            <w:tcMar>
              <w:left w:w="17" w:type="dxa"/>
              <w:right w:w="17" w:type="dxa"/>
            </w:tcMar>
            <w:vAlign w:val="center"/>
          </w:tcPr>
          <w:p w14:paraId="1D784F45" w14:textId="77777777" w:rsidR="001C56BD" w:rsidRPr="00F92667" w:rsidRDefault="001C56BD" w:rsidP="008A5C11">
            <w:pPr>
              <w:jc w:val="center"/>
              <w:rPr>
                <w:sz w:val="12"/>
                <w:szCs w:val="12"/>
                <w:highlight w:val="red"/>
              </w:rPr>
            </w:pPr>
            <w:r w:rsidRPr="00F92667">
              <w:rPr>
                <w:sz w:val="12"/>
                <w:szCs w:val="12"/>
              </w:rPr>
              <w:t>0,000</w:t>
            </w:r>
          </w:p>
        </w:tc>
        <w:tc>
          <w:tcPr>
            <w:tcW w:w="217" w:type="pct"/>
            <w:gridSpan w:val="2"/>
            <w:vMerge w:val="restart"/>
            <w:tcMar>
              <w:left w:w="17" w:type="dxa"/>
              <w:right w:w="17" w:type="dxa"/>
            </w:tcMar>
            <w:vAlign w:val="center"/>
          </w:tcPr>
          <w:p w14:paraId="2B85D931" w14:textId="77777777" w:rsidR="001C56BD" w:rsidRPr="00F92667" w:rsidRDefault="001C56BD" w:rsidP="008A5C11">
            <w:pPr>
              <w:jc w:val="center"/>
              <w:rPr>
                <w:sz w:val="12"/>
                <w:szCs w:val="12"/>
              </w:rPr>
            </w:pPr>
            <w:r w:rsidRPr="00F92667">
              <w:rPr>
                <w:sz w:val="12"/>
                <w:szCs w:val="12"/>
              </w:rPr>
              <w:t>0,000</w:t>
            </w:r>
          </w:p>
        </w:tc>
        <w:tc>
          <w:tcPr>
            <w:tcW w:w="217" w:type="pct"/>
            <w:gridSpan w:val="2"/>
            <w:vMerge w:val="restart"/>
            <w:tcMar>
              <w:left w:w="17" w:type="dxa"/>
              <w:right w:w="17" w:type="dxa"/>
            </w:tcMar>
            <w:vAlign w:val="center"/>
          </w:tcPr>
          <w:p w14:paraId="48E9FF72" w14:textId="77777777" w:rsidR="001C56BD" w:rsidRPr="00F92667" w:rsidRDefault="001C56BD" w:rsidP="008A5C11">
            <w:pPr>
              <w:jc w:val="center"/>
              <w:rPr>
                <w:sz w:val="12"/>
                <w:szCs w:val="12"/>
              </w:rPr>
            </w:pPr>
            <w:r w:rsidRPr="00F92667">
              <w:rPr>
                <w:sz w:val="12"/>
                <w:szCs w:val="12"/>
              </w:rPr>
              <w:t>0,000</w:t>
            </w:r>
          </w:p>
        </w:tc>
        <w:tc>
          <w:tcPr>
            <w:tcW w:w="214" w:type="pct"/>
            <w:gridSpan w:val="2"/>
            <w:vMerge w:val="restart"/>
            <w:tcMar>
              <w:left w:w="17" w:type="dxa"/>
              <w:right w:w="17" w:type="dxa"/>
            </w:tcMar>
            <w:vAlign w:val="center"/>
          </w:tcPr>
          <w:p w14:paraId="53F99FAA" w14:textId="77777777" w:rsidR="001C56BD" w:rsidRPr="00F92667" w:rsidRDefault="001C56BD" w:rsidP="008A5C11">
            <w:pPr>
              <w:jc w:val="center"/>
              <w:rPr>
                <w:sz w:val="12"/>
                <w:szCs w:val="12"/>
              </w:rPr>
            </w:pPr>
            <w:r w:rsidRPr="00F92667">
              <w:rPr>
                <w:sz w:val="12"/>
                <w:szCs w:val="12"/>
              </w:rPr>
              <w:t>0,000</w:t>
            </w:r>
          </w:p>
        </w:tc>
        <w:tc>
          <w:tcPr>
            <w:tcW w:w="247" w:type="pct"/>
            <w:gridSpan w:val="2"/>
            <w:vMerge w:val="restart"/>
            <w:tcMar>
              <w:left w:w="17" w:type="dxa"/>
              <w:right w:w="17" w:type="dxa"/>
            </w:tcMar>
            <w:vAlign w:val="center"/>
          </w:tcPr>
          <w:p w14:paraId="2A6F2223" w14:textId="77777777" w:rsidR="001C56BD" w:rsidRPr="00F92667" w:rsidRDefault="001C56BD" w:rsidP="008A5C11">
            <w:pPr>
              <w:jc w:val="center"/>
              <w:rPr>
                <w:sz w:val="12"/>
                <w:szCs w:val="12"/>
              </w:rPr>
            </w:pPr>
            <w:r w:rsidRPr="00F92667">
              <w:rPr>
                <w:sz w:val="12"/>
                <w:szCs w:val="12"/>
              </w:rPr>
              <w:t>0,000</w:t>
            </w:r>
          </w:p>
        </w:tc>
        <w:tc>
          <w:tcPr>
            <w:tcW w:w="173" w:type="pct"/>
            <w:vMerge w:val="restart"/>
            <w:tcMar>
              <w:left w:w="17" w:type="dxa"/>
              <w:right w:w="17" w:type="dxa"/>
            </w:tcMar>
            <w:vAlign w:val="center"/>
          </w:tcPr>
          <w:p w14:paraId="047D6957" w14:textId="77777777" w:rsidR="001C56BD" w:rsidRPr="00F92667" w:rsidRDefault="001C56BD" w:rsidP="008A5C11">
            <w:pPr>
              <w:jc w:val="center"/>
              <w:rPr>
                <w:sz w:val="12"/>
                <w:szCs w:val="12"/>
              </w:rPr>
            </w:pPr>
            <w:r w:rsidRPr="00F92667">
              <w:rPr>
                <w:sz w:val="12"/>
                <w:szCs w:val="12"/>
              </w:rPr>
              <w:t>0,000</w:t>
            </w:r>
          </w:p>
        </w:tc>
        <w:tc>
          <w:tcPr>
            <w:tcW w:w="169" w:type="pct"/>
            <w:vMerge w:val="restart"/>
            <w:shd w:val="clear" w:color="000000" w:fill="FFFFFF"/>
            <w:tcMar>
              <w:left w:w="17" w:type="dxa"/>
              <w:right w:w="17" w:type="dxa"/>
            </w:tcMar>
            <w:vAlign w:val="center"/>
          </w:tcPr>
          <w:p w14:paraId="5A3EF32A" w14:textId="77777777" w:rsidR="001C56BD" w:rsidRPr="00F92667" w:rsidRDefault="001C56BD" w:rsidP="008A5C11">
            <w:pPr>
              <w:jc w:val="center"/>
              <w:rPr>
                <w:sz w:val="12"/>
                <w:szCs w:val="12"/>
              </w:rPr>
            </w:pPr>
            <w:r w:rsidRPr="00F92667">
              <w:rPr>
                <w:sz w:val="12"/>
                <w:szCs w:val="12"/>
              </w:rPr>
              <w:t>6699,800</w:t>
            </w:r>
          </w:p>
        </w:tc>
      </w:tr>
      <w:tr w:rsidR="001C56BD" w:rsidRPr="00F92667" w14:paraId="64058B54" w14:textId="77777777" w:rsidTr="008A5C11">
        <w:trPr>
          <w:gridBefore w:val="1"/>
          <w:wBefore w:w="3" w:type="pct"/>
          <w:trHeight w:val="98"/>
        </w:trPr>
        <w:tc>
          <w:tcPr>
            <w:tcW w:w="129" w:type="pct"/>
            <w:vMerge/>
            <w:shd w:val="clear" w:color="auto" w:fill="auto"/>
            <w:tcMar>
              <w:left w:w="17" w:type="dxa"/>
              <w:right w:w="17" w:type="dxa"/>
            </w:tcMar>
            <w:vAlign w:val="center"/>
          </w:tcPr>
          <w:p w14:paraId="6B7EDF6E" w14:textId="77777777" w:rsidR="001C56BD" w:rsidRPr="00F92667" w:rsidRDefault="001C56BD" w:rsidP="008A5C11">
            <w:pPr>
              <w:jc w:val="center"/>
              <w:rPr>
                <w:sz w:val="13"/>
                <w:szCs w:val="13"/>
              </w:rPr>
            </w:pPr>
          </w:p>
        </w:tc>
        <w:tc>
          <w:tcPr>
            <w:tcW w:w="305" w:type="pct"/>
            <w:vMerge/>
            <w:shd w:val="clear" w:color="auto" w:fill="auto"/>
            <w:tcMar>
              <w:left w:w="17" w:type="dxa"/>
              <w:right w:w="17" w:type="dxa"/>
            </w:tcMar>
            <w:vAlign w:val="center"/>
          </w:tcPr>
          <w:p w14:paraId="7D4E7C3D" w14:textId="77777777" w:rsidR="001C56BD" w:rsidRPr="00F92667" w:rsidRDefault="001C56BD" w:rsidP="008A5C11">
            <w:pPr>
              <w:rPr>
                <w:sz w:val="13"/>
                <w:szCs w:val="13"/>
              </w:rPr>
            </w:pPr>
          </w:p>
        </w:tc>
        <w:tc>
          <w:tcPr>
            <w:tcW w:w="304" w:type="pct"/>
            <w:vMerge/>
            <w:shd w:val="clear" w:color="auto" w:fill="auto"/>
            <w:tcMar>
              <w:left w:w="17" w:type="dxa"/>
              <w:right w:w="17" w:type="dxa"/>
            </w:tcMar>
            <w:vAlign w:val="center"/>
          </w:tcPr>
          <w:p w14:paraId="470124F9" w14:textId="77777777" w:rsidR="001C56BD" w:rsidRPr="00F92667" w:rsidRDefault="001C56BD" w:rsidP="008A5C11">
            <w:pPr>
              <w:jc w:val="center"/>
              <w:rPr>
                <w:color w:val="000000"/>
                <w:sz w:val="13"/>
                <w:szCs w:val="13"/>
              </w:rPr>
            </w:pPr>
          </w:p>
        </w:tc>
        <w:tc>
          <w:tcPr>
            <w:tcW w:w="258" w:type="pct"/>
            <w:vMerge/>
            <w:shd w:val="clear" w:color="auto" w:fill="auto"/>
            <w:tcMar>
              <w:left w:w="17" w:type="dxa"/>
              <w:right w:w="17" w:type="dxa"/>
            </w:tcMar>
            <w:vAlign w:val="center"/>
          </w:tcPr>
          <w:p w14:paraId="11F44531" w14:textId="77777777" w:rsidR="001C56BD" w:rsidRPr="00F92667" w:rsidRDefault="001C56BD" w:rsidP="008A5C11">
            <w:pPr>
              <w:jc w:val="center"/>
              <w:rPr>
                <w:color w:val="000000"/>
                <w:sz w:val="13"/>
                <w:szCs w:val="13"/>
              </w:rPr>
            </w:pPr>
          </w:p>
        </w:tc>
        <w:tc>
          <w:tcPr>
            <w:tcW w:w="294" w:type="pct"/>
            <w:shd w:val="clear" w:color="auto" w:fill="auto"/>
            <w:tcMar>
              <w:left w:w="17" w:type="dxa"/>
              <w:right w:w="17" w:type="dxa"/>
            </w:tcMar>
            <w:vAlign w:val="center"/>
          </w:tcPr>
          <w:p w14:paraId="630F2F62" w14:textId="77777777" w:rsidR="001C56BD" w:rsidRPr="00F92667" w:rsidRDefault="001C56BD" w:rsidP="008A5C11">
            <w:pPr>
              <w:jc w:val="center"/>
              <w:rPr>
                <w:color w:val="000000"/>
                <w:sz w:val="12"/>
                <w:szCs w:val="12"/>
              </w:rPr>
            </w:pPr>
            <w:r w:rsidRPr="00F92667">
              <w:rPr>
                <w:color w:val="000000"/>
                <w:sz w:val="12"/>
                <w:szCs w:val="12"/>
              </w:rPr>
              <w:t>протяженность</w:t>
            </w:r>
          </w:p>
        </w:tc>
        <w:tc>
          <w:tcPr>
            <w:tcW w:w="129" w:type="pct"/>
            <w:shd w:val="clear" w:color="auto" w:fill="auto"/>
            <w:tcMar>
              <w:left w:w="17" w:type="dxa"/>
              <w:right w:w="17" w:type="dxa"/>
            </w:tcMar>
            <w:vAlign w:val="center"/>
          </w:tcPr>
          <w:p w14:paraId="5899A07C" w14:textId="77777777" w:rsidR="001C56BD" w:rsidRPr="00F92667" w:rsidRDefault="001C56BD" w:rsidP="008A5C11">
            <w:pPr>
              <w:jc w:val="center"/>
              <w:rPr>
                <w:color w:val="000000"/>
                <w:sz w:val="12"/>
                <w:szCs w:val="12"/>
              </w:rPr>
            </w:pPr>
            <w:r w:rsidRPr="00F92667">
              <w:rPr>
                <w:color w:val="000000"/>
                <w:sz w:val="12"/>
                <w:szCs w:val="12"/>
              </w:rPr>
              <w:t>м</w:t>
            </w:r>
          </w:p>
        </w:tc>
        <w:tc>
          <w:tcPr>
            <w:tcW w:w="184" w:type="pct"/>
            <w:vMerge/>
            <w:shd w:val="clear" w:color="auto" w:fill="auto"/>
            <w:tcMar>
              <w:left w:w="17" w:type="dxa"/>
              <w:right w:w="17" w:type="dxa"/>
            </w:tcMar>
            <w:vAlign w:val="center"/>
          </w:tcPr>
          <w:p w14:paraId="18AEA5BE" w14:textId="77777777" w:rsidR="001C56BD" w:rsidRPr="00F92667" w:rsidRDefault="001C56BD" w:rsidP="008A5C11">
            <w:pPr>
              <w:jc w:val="center"/>
              <w:rPr>
                <w:sz w:val="12"/>
                <w:szCs w:val="12"/>
              </w:rPr>
            </w:pPr>
          </w:p>
        </w:tc>
        <w:tc>
          <w:tcPr>
            <w:tcW w:w="219" w:type="pct"/>
            <w:shd w:val="clear" w:color="auto" w:fill="auto"/>
            <w:tcMar>
              <w:left w:w="17" w:type="dxa"/>
              <w:right w:w="17" w:type="dxa"/>
            </w:tcMar>
            <w:vAlign w:val="center"/>
          </w:tcPr>
          <w:p w14:paraId="7F1924B0" w14:textId="77777777" w:rsidR="001C56BD" w:rsidRPr="00F92667" w:rsidRDefault="001C56BD" w:rsidP="008A5C11">
            <w:pPr>
              <w:jc w:val="center"/>
              <w:rPr>
                <w:sz w:val="12"/>
                <w:szCs w:val="12"/>
              </w:rPr>
            </w:pPr>
            <w:r w:rsidRPr="00F92667">
              <w:rPr>
                <w:sz w:val="12"/>
                <w:szCs w:val="12"/>
              </w:rPr>
              <w:t>75</w:t>
            </w:r>
          </w:p>
        </w:tc>
        <w:tc>
          <w:tcPr>
            <w:tcW w:w="130" w:type="pct"/>
            <w:vMerge/>
            <w:shd w:val="clear" w:color="auto" w:fill="auto"/>
            <w:tcMar>
              <w:left w:w="17" w:type="dxa"/>
              <w:right w:w="17" w:type="dxa"/>
            </w:tcMar>
            <w:vAlign w:val="center"/>
          </w:tcPr>
          <w:p w14:paraId="02A17CC3" w14:textId="77777777" w:rsidR="001C56BD" w:rsidRPr="00F92667" w:rsidRDefault="001C56BD" w:rsidP="008A5C11">
            <w:pPr>
              <w:jc w:val="center"/>
              <w:rPr>
                <w:sz w:val="13"/>
                <w:szCs w:val="13"/>
              </w:rPr>
            </w:pPr>
          </w:p>
        </w:tc>
        <w:tc>
          <w:tcPr>
            <w:tcW w:w="130" w:type="pct"/>
            <w:vMerge/>
            <w:shd w:val="clear" w:color="auto" w:fill="auto"/>
            <w:tcMar>
              <w:left w:w="17" w:type="dxa"/>
              <w:right w:w="17" w:type="dxa"/>
            </w:tcMar>
            <w:vAlign w:val="center"/>
          </w:tcPr>
          <w:p w14:paraId="083BEC08" w14:textId="77777777" w:rsidR="001C56BD" w:rsidRPr="00F92667" w:rsidRDefault="001C56BD" w:rsidP="008A5C11">
            <w:pPr>
              <w:jc w:val="center"/>
              <w:rPr>
                <w:sz w:val="13"/>
                <w:szCs w:val="13"/>
              </w:rPr>
            </w:pPr>
          </w:p>
        </w:tc>
        <w:tc>
          <w:tcPr>
            <w:tcW w:w="217" w:type="pct"/>
            <w:gridSpan w:val="2"/>
            <w:vMerge/>
            <w:shd w:val="clear" w:color="auto" w:fill="auto"/>
            <w:tcMar>
              <w:left w:w="17" w:type="dxa"/>
              <w:right w:w="17" w:type="dxa"/>
            </w:tcMar>
            <w:vAlign w:val="center"/>
          </w:tcPr>
          <w:p w14:paraId="7DDAA24E" w14:textId="77777777" w:rsidR="001C56BD" w:rsidRPr="00F92667" w:rsidRDefault="001C56BD" w:rsidP="008A5C11">
            <w:pPr>
              <w:jc w:val="center"/>
              <w:rPr>
                <w:sz w:val="13"/>
                <w:szCs w:val="13"/>
              </w:rPr>
            </w:pPr>
          </w:p>
        </w:tc>
        <w:tc>
          <w:tcPr>
            <w:tcW w:w="177" w:type="pct"/>
            <w:gridSpan w:val="2"/>
            <w:vMerge/>
            <w:shd w:val="clear" w:color="auto" w:fill="auto"/>
            <w:tcMar>
              <w:left w:w="17" w:type="dxa"/>
              <w:right w:w="17" w:type="dxa"/>
            </w:tcMar>
            <w:vAlign w:val="center"/>
          </w:tcPr>
          <w:p w14:paraId="47919265" w14:textId="77777777" w:rsidR="001C56BD" w:rsidRPr="00F92667" w:rsidRDefault="001C56BD" w:rsidP="008A5C11">
            <w:pPr>
              <w:jc w:val="center"/>
              <w:rPr>
                <w:sz w:val="13"/>
                <w:szCs w:val="13"/>
              </w:rPr>
            </w:pPr>
          </w:p>
        </w:tc>
        <w:tc>
          <w:tcPr>
            <w:tcW w:w="212" w:type="pct"/>
            <w:vMerge/>
            <w:shd w:val="clear" w:color="auto" w:fill="auto"/>
            <w:tcMar>
              <w:left w:w="17" w:type="dxa"/>
              <w:right w:w="17" w:type="dxa"/>
            </w:tcMar>
            <w:vAlign w:val="center"/>
          </w:tcPr>
          <w:p w14:paraId="36AA185D" w14:textId="77777777" w:rsidR="001C56BD" w:rsidRPr="00F92667" w:rsidRDefault="001C56BD" w:rsidP="008A5C11">
            <w:pPr>
              <w:jc w:val="center"/>
              <w:rPr>
                <w:sz w:val="13"/>
                <w:szCs w:val="13"/>
              </w:rPr>
            </w:pPr>
          </w:p>
        </w:tc>
        <w:tc>
          <w:tcPr>
            <w:tcW w:w="218" w:type="pct"/>
            <w:gridSpan w:val="2"/>
            <w:vMerge/>
            <w:shd w:val="clear" w:color="auto" w:fill="auto"/>
            <w:tcMar>
              <w:left w:w="17" w:type="dxa"/>
              <w:right w:w="17" w:type="dxa"/>
            </w:tcMar>
            <w:vAlign w:val="center"/>
          </w:tcPr>
          <w:p w14:paraId="3675824D" w14:textId="77777777" w:rsidR="001C56BD" w:rsidRPr="00F92667" w:rsidRDefault="001C56BD" w:rsidP="008A5C11">
            <w:pPr>
              <w:jc w:val="center"/>
              <w:rPr>
                <w:sz w:val="13"/>
                <w:szCs w:val="13"/>
              </w:rPr>
            </w:pPr>
          </w:p>
        </w:tc>
        <w:tc>
          <w:tcPr>
            <w:tcW w:w="217" w:type="pct"/>
            <w:gridSpan w:val="2"/>
            <w:vMerge/>
            <w:shd w:val="clear" w:color="auto" w:fill="auto"/>
            <w:tcMar>
              <w:left w:w="17" w:type="dxa"/>
              <w:right w:w="17" w:type="dxa"/>
            </w:tcMar>
            <w:vAlign w:val="center"/>
          </w:tcPr>
          <w:p w14:paraId="551487A2" w14:textId="77777777" w:rsidR="001C56BD" w:rsidRPr="00F92667" w:rsidRDefault="001C56BD" w:rsidP="008A5C11">
            <w:pPr>
              <w:jc w:val="center"/>
              <w:rPr>
                <w:sz w:val="13"/>
                <w:szCs w:val="13"/>
              </w:rPr>
            </w:pPr>
          </w:p>
        </w:tc>
        <w:tc>
          <w:tcPr>
            <w:tcW w:w="206" w:type="pct"/>
            <w:gridSpan w:val="2"/>
            <w:vMerge/>
            <w:shd w:val="clear" w:color="auto" w:fill="auto"/>
            <w:tcMar>
              <w:left w:w="17" w:type="dxa"/>
              <w:right w:w="17" w:type="dxa"/>
            </w:tcMar>
            <w:vAlign w:val="center"/>
          </w:tcPr>
          <w:p w14:paraId="0FA42C85" w14:textId="77777777" w:rsidR="001C56BD" w:rsidRPr="00F92667" w:rsidRDefault="001C56BD" w:rsidP="008A5C11">
            <w:pPr>
              <w:jc w:val="center"/>
              <w:rPr>
                <w:sz w:val="13"/>
                <w:szCs w:val="13"/>
              </w:rPr>
            </w:pPr>
          </w:p>
        </w:tc>
        <w:tc>
          <w:tcPr>
            <w:tcW w:w="217" w:type="pct"/>
            <w:gridSpan w:val="2"/>
            <w:vMerge/>
            <w:tcMar>
              <w:left w:w="17" w:type="dxa"/>
              <w:right w:w="17" w:type="dxa"/>
            </w:tcMar>
            <w:vAlign w:val="center"/>
          </w:tcPr>
          <w:p w14:paraId="284C958D" w14:textId="77777777" w:rsidR="001C56BD" w:rsidRPr="00F92667" w:rsidRDefault="001C56BD" w:rsidP="008A5C11">
            <w:pPr>
              <w:jc w:val="center"/>
              <w:rPr>
                <w:sz w:val="13"/>
                <w:szCs w:val="13"/>
                <w:highlight w:val="red"/>
              </w:rPr>
            </w:pPr>
          </w:p>
        </w:tc>
        <w:tc>
          <w:tcPr>
            <w:tcW w:w="214" w:type="pct"/>
            <w:gridSpan w:val="2"/>
            <w:vMerge/>
            <w:tcMar>
              <w:left w:w="17" w:type="dxa"/>
              <w:right w:w="17" w:type="dxa"/>
            </w:tcMar>
            <w:vAlign w:val="center"/>
          </w:tcPr>
          <w:p w14:paraId="1D1214A5" w14:textId="77777777" w:rsidR="001C56BD" w:rsidRPr="00F92667" w:rsidRDefault="001C56BD" w:rsidP="008A5C11">
            <w:pPr>
              <w:jc w:val="center"/>
              <w:rPr>
                <w:sz w:val="13"/>
                <w:szCs w:val="13"/>
                <w:highlight w:val="red"/>
              </w:rPr>
            </w:pPr>
          </w:p>
        </w:tc>
        <w:tc>
          <w:tcPr>
            <w:tcW w:w="217" w:type="pct"/>
            <w:gridSpan w:val="2"/>
            <w:vMerge/>
            <w:tcMar>
              <w:left w:w="17" w:type="dxa"/>
              <w:right w:w="17" w:type="dxa"/>
            </w:tcMar>
            <w:vAlign w:val="center"/>
          </w:tcPr>
          <w:p w14:paraId="59AED049" w14:textId="77777777" w:rsidR="001C56BD" w:rsidRPr="00F92667" w:rsidRDefault="001C56BD" w:rsidP="008A5C11">
            <w:pPr>
              <w:jc w:val="center"/>
              <w:rPr>
                <w:sz w:val="13"/>
                <w:szCs w:val="13"/>
              </w:rPr>
            </w:pPr>
          </w:p>
        </w:tc>
        <w:tc>
          <w:tcPr>
            <w:tcW w:w="217" w:type="pct"/>
            <w:gridSpan w:val="2"/>
            <w:vMerge/>
            <w:tcMar>
              <w:left w:w="17" w:type="dxa"/>
              <w:right w:w="17" w:type="dxa"/>
            </w:tcMar>
          </w:tcPr>
          <w:p w14:paraId="22797243" w14:textId="77777777" w:rsidR="001C56BD" w:rsidRPr="00F92667" w:rsidRDefault="001C56BD" w:rsidP="008A5C11">
            <w:pPr>
              <w:jc w:val="center"/>
              <w:rPr>
                <w:sz w:val="13"/>
                <w:szCs w:val="13"/>
              </w:rPr>
            </w:pPr>
          </w:p>
        </w:tc>
        <w:tc>
          <w:tcPr>
            <w:tcW w:w="214" w:type="pct"/>
            <w:gridSpan w:val="2"/>
            <w:vMerge/>
            <w:tcMar>
              <w:left w:w="17" w:type="dxa"/>
              <w:right w:w="17" w:type="dxa"/>
            </w:tcMar>
          </w:tcPr>
          <w:p w14:paraId="282143D7" w14:textId="77777777" w:rsidR="001C56BD" w:rsidRPr="00F92667" w:rsidRDefault="001C56BD" w:rsidP="008A5C11">
            <w:pPr>
              <w:jc w:val="center"/>
              <w:rPr>
                <w:sz w:val="13"/>
                <w:szCs w:val="13"/>
              </w:rPr>
            </w:pPr>
          </w:p>
        </w:tc>
        <w:tc>
          <w:tcPr>
            <w:tcW w:w="247" w:type="pct"/>
            <w:gridSpan w:val="2"/>
            <w:vMerge/>
            <w:tcMar>
              <w:left w:w="17" w:type="dxa"/>
              <w:right w:w="17" w:type="dxa"/>
            </w:tcMar>
          </w:tcPr>
          <w:p w14:paraId="1F345E3B" w14:textId="77777777" w:rsidR="001C56BD" w:rsidRPr="00F92667" w:rsidRDefault="001C56BD" w:rsidP="008A5C11">
            <w:pPr>
              <w:jc w:val="center"/>
              <w:rPr>
                <w:sz w:val="13"/>
                <w:szCs w:val="13"/>
              </w:rPr>
            </w:pPr>
          </w:p>
        </w:tc>
        <w:tc>
          <w:tcPr>
            <w:tcW w:w="173" w:type="pct"/>
            <w:vMerge/>
            <w:tcMar>
              <w:left w:w="17" w:type="dxa"/>
              <w:right w:w="17" w:type="dxa"/>
            </w:tcMar>
            <w:vAlign w:val="center"/>
          </w:tcPr>
          <w:p w14:paraId="370FD015" w14:textId="77777777" w:rsidR="001C56BD" w:rsidRPr="00F92667" w:rsidRDefault="001C56BD" w:rsidP="008A5C11">
            <w:pPr>
              <w:jc w:val="center"/>
              <w:rPr>
                <w:sz w:val="13"/>
                <w:szCs w:val="13"/>
              </w:rPr>
            </w:pPr>
          </w:p>
        </w:tc>
        <w:tc>
          <w:tcPr>
            <w:tcW w:w="169" w:type="pct"/>
            <w:vMerge/>
            <w:tcMar>
              <w:left w:w="17" w:type="dxa"/>
              <w:right w:w="17" w:type="dxa"/>
            </w:tcMar>
            <w:vAlign w:val="center"/>
          </w:tcPr>
          <w:p w14:paraId="74AE7684" w14:textId="77777777" w:rsidR="001C56BD" w:rsidRPr="00F92667" w:rsidRDefault="001C56BD" w:rsidP="008A5C11">
            <w:pPr>
              <w:jc w:val="center"/>
              <w:rPr>
                <w:sz w:val="13"/>
                <w:szCs w:val="13"/>
              </w:rPr>
            </w:pPr>
          </w:p>
        </w:tc>
      </w:tr>
      <w:tr w:rsidR="001C56BD" w:rsidRPr="00F92667" w14:paraId="271BC2B3" w14:textId="77777777" w:rsidTr="008A5C11">
        <w:trPr>
          <w:gridBefore w:val="1"/>
          <w:wBefore w:w="3" w:type="pct"/>
          <w:trHeight w:val="64"/>
        </w:trPr>
        <w:tc>
          <w:tcPr>
            <w:tcW w:w="129" w:type="pct"/>
            <w:vMerge/>
            <w:shd w:val="clear" w:color="auto" w:fill="auto"/>
            <w:tcMar>
              <w:left w:w="17" w:type="dxa"/>
              <w:right w:w="17" w:type="dxa"/>
            </w:tcMar>
            <w:vAlign w:val="center"/>
          </w:tcPr>
          <w:p w14:paraId="43BF0C94" w14:textId="77777777" w:rsidR="001C56BD" w:rsidRPr="00F92667" w:rsidRDefault="001C56BD" w:rsidP="008A5C11">
            <w:pPr>
              <w:jc w:val="center"/>
              <w:rPr>
                <w:sz w:val="13"/>
                <w:szCs w:val="13"/>
              </w:rPr>
            </w:pPr>
          </w:p>
        </w:tc>
        <w:tc>
          <w:tcPr>
            <w:tcW w:w="305" w:type="pct"/>
            <w:vMerge/>
            <w:shd w:val="clear" w:color="auto" w:fill="auto"/>
            <w:tcMar>
              <w:left w:w="17" w:type="dxa"/>
              <w:right w:w="17" w:type="dxa"/>
            </w:tcMar>
            <w:vAlign w:val="center"/>
          </w:tcPr>
          <w:p w14:paraId="1352554C" w14:textId="77777777" w:rsidR="001C56BD" w:rsidRPr="00F92667" w:rsidRDefault="001C56BD" w:rsidP="008A5C11">
            <w:pPr>
              <w:rPr>
                <w:sz w:val="13"/>
                <w:szCs w:val="13"/>
              </w:rPr>
            </w:pPr>
          </w:p>
        </w:tc>
        <w:tc>
          <w:tcPr>
            <w:tcW w:w="304" w:type="pct"/>
            <w:vMerge/>
            <w:shd w:val="clear" w:color="auto" w:fill="auto"/>
            <w:tcMar>
              <w:left w:w="17" w:type="dxa"/>
              <w:right w:w="17" w:type="dxa"/>
            </w:tcMar>
            <w:vAlign w:val="center"/>
          </w:tcPr>
          <w:p w14:paraId="589EFBAE" w14:textId="77777777" w:rsidR="001C56BD" w:rsidRPr="00F92667" w:rsidRDefault="001C56BD" w:rsidP="008A5C11">
            <w:pPr>
              <w:jc w:val="center"/>
              <w:rPr>
                <w:color w:val="000000"/>
                <w:sz w:val="13"/>
                <w:szCs w:val="13"/>
              </w:rPr>
            </w:pPr>
          </w:p>
        </w:tc>
        <w:tc>
          <w:tcPr>
            <w:tcW w:w="258" w:type="pct"/>
            <w:vMerge/>
            <w:shd w:val="clear" w:color="auto" w:fill="auto"/>
            <w:tcMar>
              <w:left w:w="17" w:type="dxa"/>
              <w:right w:w="17" w:type="dxa"/>
            </w:tcMar>
            <w:vAlign w:val="center"/>
          </w:tcPr>
          <w:p w14:paraId="662A2F74" w14:textId="77777777" w:rsidR="001C56BD" w:rsidRPr="00F92667" w:rsidRDefault="001C56BD" w:rsidP="008A5C11">
            <w:pPr>
              <w:jc w:val="center"/>
              <w:rPr>
                <w:color w:val="000000"/>
                <w:sz w:val="13"/>
                <w:szCs w:val="13"/>
              </w:rPr>
            </w:pPr>
          </w:p>
        </w:tc>
        <w:tc>
          <w:tcPr>
            <w:tcW w:w="294" w:type="pct"/>
            <w:shd w:val="clear" w:color="auto" w:fill="auto"/>
            <w:tcMar>
              <w:left w:w="17" w:type="dxa"/>
              <w:right w:w="17" w:type="dxa"/>
            </w:tcMar>
            <w:vAlign w:val="center"/>
          </w:tcPr>
          <w:p w14:paraId="7B6B6EE5" w14:textId="77777777" w:rsidR="001C56BD" w:rsidRPr="00F92667" w:rsidRDefault="001C56BD" w:rsidP="008A5C11">
            <w:pPr>
              <w:jc w:val="center"/>
              <w:rPr>
                <w:color w:val="000000"/>
                <w:sz w:val="12"/>
                <w:szCs w:val="12"/>
              </w:rPr>
            </w:pPr>
            <w:r w:rsidRPr="00F92667">
              <w:rPr>
                <w:color w:val="000000"/>
                <w:sz w:val="12"/>
                <w:szCs w:val="12"/>
              </w:rPr>
              <w:t>диаметр</w:t>
            </w:r>
          </w:p>
        </w:tc>
        <w:tc>
          <w:tcPr>
            <w:tcW w:w="129" w:type="pct"/>
            <w:shd w:val="clear" w:color="auto" w:fill="auto"/>
            <w:tcMar>
              <w:left w:w="17" w:type="dxa"/>
              <w:right w:w="17" w:type="dxa"/>
            </w:tcMar>
            <w:vAlign w:val="center"/>
          </w:tcPr>
          <w:p w14:paraId="638A4DC3" w14:textId="77777777" w:rsidR="001C56BD" w:rsidRPr="00F92667" w:rsidRDefault="001C56BD" w:rsidP="008A5C11">
            <w:pPr>
              <w:jc w:val="center"/>
              <w:rPr>
                <w:color w:val="000000"/>
                <w:sz w:val="12"/>
                <w:szCs w:val="12"/>
              </w:rPr>
            </w:pPr>
            <w:r w:rsidRPr="00F92667">
              <w:rPr>
                <w:color w:val="000000"/>
                <w:sz w:val="12"/>
                <w:szCs w:val="12"/>
              </w:rPr>
              <w:t>мм</w:t>
            </w:r>
          </w:p>
        </w:tc>
        <w:tc>
          <w:tcPr>
            <w:tcW w:w="184" w:type="pct"/>
            <w:vMerge/>
            <w:shd w:val="clear" w:color="auto" w:fill="auto"/>
            <w:tcMar>
              <w:left w:w="17" w:type="dxa"/>
              <w:right w:w="17" w:type="dxa"/>
            </w:tcMar>
            <w:vAlign w:val="center"/>
          </w:tcPr>
          <w:p w14:paraId="4BD6145F" w14:textId="77777777" w:rsidR="001C56BD" w:rsidRPr="00F92667" w:rsidRDefault="001C56BD" w:rsidP="008A5C11">
            <w:pPr>
              <w:jc w:val="center"/>
              <w:rPr>
                <w:sz w:val="12"/>
                <w:szCs w:val="12"/>
              </w:rPr>
            </w:pPr>
          </w:p>
        </w:tc>
        <w:tc>
          <w:tcPr>
            <w:tcW w:w="219" w:type="pct"/>
            <w:shd w:val="clear" w:color="auto" w:fill="auto"/>
            <w:tcMar>
              <w:left w:w="17" w:type="dxa"/>
              <w:right w:w="17" w:type="dxa"/>
            </w:tcMar>
            <w:vAlign w:val="center"/>
          </w:tcPr>
          <w:p w14:paraId="6ED854E1" w14:textId="77777777" w:rsidR="001C56BD" w:rsidRPr="00F92667" w:rsidRDefault="001C56BD" w:rsidP="008A5C11">
            <w:pPr>
              <w:jc w:val="center"/>
              <w:rPr>
                <w:sz w:val="12"/>
                <w:szCs w:val="12"/>
              </w:rPr>
            </w:pPr>
            <w:r w:rsidRPr="00F92667">
              <w:rPr>
                <w:sz w:val="12"/>
                <w:szCs w:val="12"/>
              </w:rPr>
              <w:t>50</w:t>
            </w:r>
          </w:p>
        </w:tc>
        <w:tc>
          <w:tcPr>
            <w:tcW w:w="130" w:type="pct"/>
            <w:vMerge/>
            <w:shd w:val="clear" w:color="auto" w:fill="auto"/>
            <w:tcMar>
              <w:left w:w="17" w:type="dxa"/>
              <w:right w:w="17" w:type="dxa"/>
            </w:tcMar>
            <w:vAlign w:val="center"/>
          </w:tcPr>
          <w:p w14:paraId="7C3D29CE" w14:textId="77777777" w:rsidR="001C56BD" w:rsidRPr="00F92667" w:rsidRDefault="001C56BD" w:rsidP="008A5C11">
            <w:pPr>
              <w:jc w:val="center"/>
              <w:rPr>
                <w:sz w:val="13"/>
                <w:szCs w:val="13"/>
              </w:rPr>
            </w:pPr>
          </w:p>
        </w:tc>
        <w:tc>
          <w:tcPr>
            <w:tcW w:w="130" w:type="pct"/>
            <w:vMerge/>
            <w:shd w:val="clear" w:color="auto" w:fill="auto"/>
            <w:tcMar>
              <w:left w:w="17" w:type="dxa"/>
              <w:right w:w="17" w:type="dxa"/>
            </w:tcMar>
            <w:vAlign w:val="center"/>
          </w:tcPr>
          <w:p w14:paraId="5179BD98" w14:textId="77777777" w:rsidR="001C56BD" w:rsidRPr="00F92667" w:rsidRDefault="001C56BD" w:rsidP="008A5C11">
            <w:pPr>
              <w:jc w:val="center"/>
              <w:rPr>
                <w:sz w:val="13"/>
                <w:szCs w:val="13"/>
              </w:rPr>
            </w:pPr>
          </w:p>
        </w:tc>
        <w:tc>
          <w:tcPr>
            <w:tcW w:w="217" w:type="pct"/>
            <w:gridSpan w:val="2"/>
            <w:vMerge/>
            <w:shd w:val="clear" w:color="auto" w:fill="auto"/>
            <w:tcMar>
              <w:left w:w="17" w:type="dxa"/>
              <w:right w:w="17" w:type="dxa"/>
            </w:tcMar>
            <w:vAlign w:val="center"/>
          </w:tcPr>
          <w:p w14:paraId="466B5080" w14:textId="77777777" w:rsidR="001C56BD" w:rsidRPr="00F92667" w:rsidRDefault="001C56BD" w:rsidP="008A5C11">
            <w:pPr>
              <w:jc w:val="center"/>
              <w:rPr>
                <w:sz w:val="13"/>
                <w:szCs w:val="13"/>
              </w:rPr>
            </w:pPr>
          </w:p>
        </w:tc>
        <w:tc>
          <w:tcPr>
            <w:tcW w:w="177" w:type="pct"/>
            <w:gridSpan w:val="2"/>
            <w:vMerge/>
            <w:shd w:val="clear" w:color="auto" w:fill="auto"/>
            <w:tcMar>
              <w:left w:w="17" w:type="dxa"/>
              <w:right w:w="17" w:type="dxa"/>
            </w:tcMar>
            <w:vAlign w:val="center"/>
          </w:tcPr>
          <w:p w14:paraId="1DFC2800" w14:textId="77777777" w:rsidR="001C56BD" w:rsidRPr="00F92667" w:rsidRDefault="001C56BD" w:rsidP="008A5C11">
            <w:pPr>
              <w:jc w:val="center"/>
              <w:rPr>
                <w:sz w:val="13"/>
                <w:szCs w:val="13"/>
              </w:rPr>
            </w:pPr>
          </w:p>
        </w:tc>
        <w:tc>
          <w:tcPr>
            <w:tcW w:w="212" w:type="pct"/>
            <w:vMerge/>
            <w:shd w:val="clear" w:color="auto" w:fill="auto"/>
            <w:tcMar>
              <w:left w:w="17" w:type="dxa"/>
              <w:right w:w="17" w:type="dxa"/>
            </w:tcMar>
            <w:vAlign w:val="center"/>
          </w:tcPr>
          <w:p w14:paraId="6D97583F" w14:textId="77777777" w:rsidR="001C56BD" w:rsidRPr="00F92667" w:rsidRDefault="001C56BD" w:rsidP="008A5C11">
            <w:pPr>
              <w:jc w:val="center"/>
              <w:rPr>
                <w:sz w:val="13"/>
                <w:szCs w:val="13"/>
              </w:rPr>
            </w:pPr>
          </w:p>
        </w:tc>
        <w:tc>
          <w:tcPr>
            <w:tcW w:w="218" w:type="pct"/>
            <w:gridSpan w:val="2"/>
            <w:vMerge/>
            <w:shd w:val="clear" w:color="auto" w:fill="auto"/>
            <w:tcMar>
              <w:left w:w="17" w:type="dxa"/>
              <w:right w:w="17" w:type="dxa"/>
            </w:tcMar>
            <w:vAlign w:val="center"/>
          </w:tcPr>
          <w:p w14:paraId="62215754" w14:textId="77777777" w:rsidR="001C56BD" w:rsidRPr="00F92667" w:rsidRDefault="001C56BD" w:rsidP="008A5C11">
            <w:pPr>
              <w:jc w:val="center"/>
              <w:rPr>
                <w:sz w:val="13"/>
                <w:szCs w:val="13"/>
              </w:rPr>
            </w:pPr>
          </w:p>
        </w:tc>
        <w:tc>
          <w:tcPr>
            <w:tcW w:w="217" w:type="pct"/>
            <w:gridSpan w:val="2"/>
            <w:vMerge/>
            <w:shd w:val="clear" w:color="auto" w:fill="auto"/>
            <w:tcMar>
              <w:left w:w="17" w:type="dxa"/>
              <w:right w:w="17" w:type="dxa"/>
            </w:tcMar>
            <w:vAlign w:val="center"/>
          </w:tcPr>
          <w:p w14:paraId="342027D4" w14:textId="77777777" w:rsidR="001C56BD" w:rsidRPr="00F92667" w:rsidRDefault="001C56BD" w:rsidP="008A5C11">
            <w:pPr>
              <w:jc w:val="center"/>
              <w:rPr>
                <w:sz w:val="13"/>
                <w:szCs w:val="13"/>
              </w:rPr>
            </w:pPr>
          </w:p>
        </w:tc>
        <w:tc>
          <w:tcPr>
            <w:tcW w:w="206" w:type="pct"/>
            <w:gridSpan w:val="2"/>
            <w:vMerge/>
            <w:shd w:val="clear" w:color="auto" w:fill="auto"/>
            <w:tcMar>
              <w:left w:w="17" w:type="dxa"/>
              <w:right w:w="17" w:type="dxa"/>
            </w:tcMar>
            <w:vAlign w:val="center"/>
          </w:tcPr>
          <w:p w14:paraId="50A4C296" w14:textId="77777777" w:rsidR="001C56BD" w:rsidRPr="00F92667" w:rsidRDefault="001C56BD" w:rsidP="008A5C11">
            <w:pPr>
              <w:jc w:val="center"/>
              <w:rPr>
                <w:sz w:val="13"/>
                <w:szCs w:val="13"/>
              </w:rPr>
            </w:pPr>
          </w:p>
        </w:tc>
        <w:tc>
          <w:tcPr>
            <w:tcW w:w="217" w:type="pct"/>
            <w:gridSpan w:val="2"/>
            <w:vMerge/>
            <w:tcMar>
              <w:left w:w="17" w:type="dxa"/>
              <w:right w:w="17" w:type="dxa"/>
            </w:tcMar>
            <w:vAlign w:val="center"/>
          </w:tcPr>
          <w:p w14:paraId="5BC9D4C6" w14:textId="77777777" w:rsidR="001C56BD" w:rsidRPr="00F92667" w:rsidRDefault="001C56BD" w:rsidP="008A5C11">
            <w:pPr>
              <w:jc w:val="center"/>
              <w:rPr>
                <w:sz w:val="13"/>
                <w:szCs w:val="13"/>
                <w:highlight w:val="red"/>
              </w:rPr>
            </w:pPr>
          </w:p>
        </w:tc>
        <w:tc>
          <w:tcPr>
            <w:tcW w:w="214" w:type="pct"/>
            <w:gridSpan w:val="2"/>
            <w:vMerge/>
            <w:tcMar>
              <w:left w:w="17" w:type="dxa"/>
              <w:right w:w="17" w:type="dxa"/>
            </w:tcMar>
            <w:vAlign w:val="center"/>
          </w:tcPr>
          <w:p w14:paraId="68F4996D" w14:textId="77777777" w:rsidR="001C56BD" w:rsidRPr="00F92667" w:rsidRDefault="001C56BD" w:rsidP="008A5C11">
            <w:pPr>
              <w:jc w:val="center"/>
              <w:rPr>
                <w:sz w:val="13"/>
                <w:szCs w:val="13"/>
                <w:highlight w:val="red"/>
              </w:rPr>
            </w:pPr>
          </w:p>
        </w:tc>
        <w:tc>
          <w:tcPr>
            <w:tcW w:w="217" w:type="pct"/>
            <w:gridSpan w:val="2"/>
            <w:vMerge/>
            <w:tcMar>
              <w:left w:w="17" w:type="dxa"/>
              <w:right w:w="17" w:type="dxa"/>
            </w:tcMar>
            <w:vAlign w:val="center"/>
          </w:tcPr>
          <w:p w14:paraId="0AAEE136" w14:textId="77777777" w:rsidR="001C56BD" w:rsidRPr="00F92667" w:rsidRDefault="001C56BD" w:rsidP="008A5C11">
            <w:pPr>
              <w:jc w:val="center"/>
              <w:rPr>
                <w:sz w:val="13"/>
                <w:szCs w:val="13"/>
              </w:rPr>
            </w:pPr>
          </w:p>
        </w:tc>
        <w:tc>
          <w:tcPr>
            <w:tcW w:w="217" w:type="pct"/>
            <w:gridSpan w:val="2"/>
            <w:vMerge/>
            <w:tcMar>
              <w:left w:w="17" w:type="dxa"/>
              <w:right w:w="17" w:type="dxa"/>
            </w:tcMar>
          </w:tcPr>
          <w:p w14:paraId="72029CB2" w14:textId="77777777" w:rsidR="001C56BD" w:rsidRPr="00F92667" w:rsidRDefault="001C56BD" w:rsidP="008A5C11">
            <w:pPr>
              <w:jc w:val="center"/>
              <w:rPr>
                <w:sz w:val="13"/>
                <w:szCs w:val="13"/>
              </w:rPr>
            </w:pPr>
          </w:p>
        </w:tc>
        <w:tc>
          <w:tcPr>
            <w:tcW w:w="214" w:type="pct"/>
            <w:gridSpan w:val="2"/>
            <w:vMerge/>
            <w:tcMar>
              <w:left w:w="17" w:type="dxa"/>
              <w:right w:w="17" w:type="dxa"/>
            </w:tcMar>
          </w:tcPr>
          <w:p w14:paraId="69424ED3" w14:textId="77777777" w:rsidR="001C56BD" w:rsidRPr="00F92667" w:rsidRDefault="001C56BD" w:rsidP="008A5C11">
            <w:pPr>
              <w:jc w:val="center"/>
              <w:rPr>
                <w:sz w:val="13"/>
                <w:szCs w:val="13"/>
              </w:rPr>
            </w:pPr>
          </w:p>
        </w:tc>
        <w:tc>
          <w:tcPr>
            <w:tcW w:w="247" w:type="pct"/>
            <w:gridSpan w:val="2"/>
            <w:vMerge/>
            <w:tcMar>
              <w:left w:w="17" w:type="dxa"/>
              <w:right w:w="17" w:type="dxa"/>
            </w:tcMar>
          </w:tcPr>
          <w:p w14:paraId="2FD6DFBA" w14:textId="77777777" w:rsidR="001C56BD" w:rsidRPr="00F92667" w:rsidRDefault="001C56BD" w:rsidP="008A5C11">
            <w:pPr>
              <w:jc w:val="center"/>
              <w:rPr>
                <w:sz w:val="13"/>
                <w:szCs w:val="13"/>
              </w:rPr>
            </w:pPr>
          </w:p>
        </w:tc>
        <w:tc>
          <w:tcPr>
            <w:tcW w:w="173" w:type="pct"/>
            <w:vMerge/>
            <w:tcMar>
              <w:left w:w="17" w:type="dxa"/>
              <w:right w:w="17" w:type="dxa"/>
            </w:tcMar>
            <w:vAlign w:val="center"/>
          </w:tcPr>
          <w:p w14:paraId="6151ABB3" w14:textId="77777777" w:rsidR="001C56BD" w:rsidRPr="00F92667" w:rsidRDefault="001C56BD" w:rsidP="008A5C11">
            <w:pPr>
              <w:jc w:val="center"/>
              <w:rPr>
                <w:sz w:val="13"/>
                <w:szCs w:val="13"/>
              </w:rPr>
            </w:pPr>
          </w:p>
        </w:tc>
        <w:tc>
          <w:tcPr>
            <w:tcW w:w="169" w:type="pct"/>
            <w:vMerge/>
            <w:tcMar>
              <w:left w:w="17" w:type="dxa"/>
              <w:right w:w="17" w:type="dxa"/>
            </w:tcMar>
            <w:vAlign w:val="center"/>
          </w:tcPr>
          <w:p w14:paraId="1534D6A9" w14:textId="77777777" w:rsidR="001C56BD" w:rsidRPr="00F92667" w:rsidRDefault="001C56BD" w:rsidP="008A5C11">
            <w:pPr>
              <w:jc w:val="center"/>
              <w:rPr>
                <w:sz w:val="13"/>
                <w:szCs w:val="13"/>
              </w:rPr>
            </w:pPr>
          </w:p>
        </w:tc>
      </w:tr>
      <w:tr w:rsidR="001C56BD" w:rsidRPr="00F92667" w14:paraId="4A61C422" w14:textId="77777777" w:rsidTr="008A5C11">
        <w:trPr>
          <w:gridBefore w:val="1"/>
          <w:wBefore w:w="3" w:type="pct"/>
          <w:trHeight w:val="56"/>
        </w:trPr>
        <w:tc>
          <w:tcPr>
            <w:tcW w:w="4997" w:type="pct"/>
            <w:gridSpan w:val="35"/>
            <w:tcMar>
              <w:left w:w="17" w:type="dxa"/>
              <w:right w:w="17" w:type="dxa"/>
            </w:tcMar>
          </w:tcPr>
          <w:p w14:paraId="6F09146E" w14:textId="77777777" w:rsidR="001C56BD" w:rsidRPr="00F92667" w:rsidRDefault="001C56BD" w:rsidP="008A5C11">
            <w:pPr>
              <w:rPr>
                <w:sz w:val="13"/>
                <w:szCs w:val="13"/>
              </w:rPr>
            </w:pPr>
            <w:r w:rsidRPr="00F92667">
              <w:rPr>
                <w:sz w:val="13"/>
                <w:szCs w:val="13"/>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1C56BD" w:rsidRPr="00F92667" w14:paraId="6D5D5C0E" w14:textId="77777777" w:rsidTr="008A5C11">
        <w:trPr>
          <w:gridBefore w:val="1"/>
          <w:wBefore w:w="3" w:type="pct"/>
          <w:trHeight w:val="56"/>
        </w:trPr>
        <w:tc>
          <w:tcPr>
            <w:tcW w:w="4997" w:type="pct"/>
            <w:gridSpan w:val="35"/>
            <w:tcMar>
              <w:left w:w="17" w:type="dxa"/>
              <w:right w:w="17" w:type="dxa"/>
            </w:tcMar>
          </w:tcPr>
          <w:p w14:paraId="23AE3614" w14:textId="77777777" w:rsidR="001C56BD" w:rsidRPr="00F92667" w:rsidRDefault="001C56BD" w:rsidP="008A5C11">
            <w:pPr>
              <w:rPr>
                <w:sz w:val="13"/>
                <w:szCs w:val="13"/>
              </w:rPr>
            </w:pPr>
            <w:r w:rsidRPr="00F92667">
              <w:rPr>
                <w:sz w:val="13"/>
                <w:szCs w:val="13"/>
              </w:rPr>
              <w:t>1.3. Увеличение пропускной способности существующих тепловых сетей в целях подключения потребителей</w:t>
            </w:r>
          </w:p>
        </w:tc>
      </w:tr>
      <w:tr w:rsidR="001C56BD" w:rsidRPr="00F92667" w14:paraId="17FFAD9F" w14:textId="77777777" w:rsidTr="008A5C11">
        <w:trPr>
          <w:gridBefore w:val="1"/>
          <w:wBefore w:w="3" w:type="pct"/>
          <w:trHeight w:val="56"/>
        </w:trPr>
        <w:tc>
          <w:tcPr>
            <w:tcW w:w="4997" w:type="pct"/>
            <w:gridSpan w:val="35"/>
            <w:tcMar>
              <w:left w:w="17" w:type="dxa"/>
              <w:right w:w="17" w:type="dxa"/>
            </w:tcMar>
          </w:tcPr>
          <w:p w14:paraId="31A1672B" w14:textId="77777777" w:rsidR="001C56BD" w:rsidRPr="00F92667" w:rsidRDefault="001C56BD" w:rsidP="008A5C11">
            <w:pPr>
              <w:rPr>
                <w:sz w:val="13"/>
                <w:szCs w:val="13"/>
              </w:rPr>
            </w:pPr>
            <w:r w:rsidRPr="00F92667">
              <w:rPr>
                <w:sz w:val="13"/>
                <w:szCs w:val="13"/>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1C56BD" w:rsidRPr="00F92667" w14:paraId="1BD41A67" w14:textId="77777777" w:rsidTr="008A5C11">
        <w:trPr>
          <w:gridBefore w:val="1"/>
          <w:wBefore w:w="3" w:type="pct"/>
          <w:trHeight w:val="47"/>
        </w:trPr>
        <w:tc>
          <w:tcPr>
            <w:tcW w:w="2082" w:type="pct"/>
            <w:gridSpan w:val="10"/>
            <w:shd w:val="clear" w:color="auto" w:fill="auto"/>
            <w:tcMar>
              <w:left w:w="17" w:type="dxa"/>
              <w:right w:w="17" w:type="dxa"/>
            </w:tcMar>
            <w:vAlign w:val="center"/>
          </w:tcPr>
          <w:p w14:paraId="46B46DCD" w14:textId="77777777" w:rsidR="001C56BD" w:rsidRPr="00F92667" w:rsidRDefault="001C56BD" w:rsidP="008A5C11">
            <w:pPr>
              <w:rPr>
                <w:sz w:val="13"/>
                <w:szCs w:val="13"/>
              </w:rPr>
            </w:pPr>
            <w:r w:rsidRPr="00F92667">
              <w:rPr>
                <w:sz w:val="13"/>
                <w:szCs w:val="13"/>
              </w:rPr>
              <w:t>Всего по группе 1.</w:t>
            </w:r>
          </w:p>
        </w:tc>
        <w:tc>
          <w:tcPr>
            <w:tcW w:w="220" w:type="pct"/>
            <w:gridSpan w:val="3"/>
            <w:shd w:val="clear" w:color="auto" w:fill="auto"/>
            <w:tcMar>
              <w:left w:w="17" w:type="dxa"/>
              <w:right w:w="17" w:type="dxa"/>
            </w:tcMar>
            <w:vAlign w:val="center"/>
          </w:tcPr>
          <w:p w14:paraId="12E51E6D" w14:textId="77777777" w:rsidR="001C56BD" w:rsidRPr="00F92667" w:rsidRDefault="001C56BD" w:rsidP="008A5C11">
            <w:pPr>
              <w:jc w:val="center"/>
              <w:rPr>
                <w:sz w:val="13"/>
                <w:szCs w:val="13"/>
              </w:rPr>
            </w:pPr>
            <w:r w:rsidRPr="00F92667">
              <w:rPr>
                <w:sz w:val="13"/>
                <w:szCs w:val="13"/>
              </w:rPr>
              <w:t>12037,170</w:t>
            </w:r>
          </w:p>
        </w:tc>
        <w:tc>
          <w:tcPr>
            <w:tcW w:w="174" w:type="pct"/>
            <w:shd w:val="clear" w:color="auto" w:fill="auto"/>
            <w:tcMar>
              <w:left w:w="17" w:type="dxa"/>
              <w:right w:w="17" w:type="dxa"/>
            </w:tcMar>
            <w:vAlign w:val="center"/>
          </w:tcPr>
          <w:p w14:paraId="7ACD03FA" w14:textId="77777777" w:rsidR="001C56BD" w:rsidRPr="00F92667" w:rsidRDefault="001C56BD" w:rsidP="008A5C11">
            <w:pPr>
              <w:jc w:val="center"/>
              <w:rPr>
                <w:sz w:val="13"/>
                <w:szCs w:val="13"/>
              </w:rPr>
            </w:pPr>
            <w:r w:rsidRPr="00F92667">
              <w:rPr>
                <w:sz w:val="13"/>
                <w:szCs w:val="13"/>
              </w:rPr>
              <w:t>0,000</w:t>
            </w:r>
          </w:p>
        </w:tc>
        <w:tc>
          <w:tcPr>
            <w:tcW w:w="216" w:type="pct"/>
            <w:gridSpan w:val="2"/>
            <w:shd w:val="clear" w:color="auto" w:fill="auto"/>
            <w:tcMar>
              <w:left w:w="17" w:type="dxa"/>
              <w:right w:w="17" w:type="dxa"/>
            </w:tcMar>
            <w:vAlign w:val="center"/>
          </w:tcPr>
          <w:p w14:paraId="261E797F" w14:textId="77777777" w:rsidR="001C56BD" w:rsidRPr="00F92667" w:rsidRDefault="001C56BD" w:rsidP="008A5C11">
            <w:pPr>
              <w:ind w:hanging="40"/>
              <w:jc w:val="center"/>
              <w:rPr>
                <w:sz w:val="13"/>
                <w:szCs w:val="13"/>
              </w:rPr>
            </w:pPr>
            <w:r w:rsidRPr="00F92667">
              <w:rPr>
                <w:sz w:val="13"/>
                <w:szCs w:val="13"/>
              </w:rPr>
              <w:t>12037,170</w:t>
            </w:r>
          </w:p>
        </w:tc>
        <w:tc>
          <w:tcPr>
            <w:tcW w:w="218" w:type="pct"/>
            <w:gridSpan w:val="2"/>
            <w:shd w:val="clear" w:color="auto" w:fill="auto"/>
            <w:tcMar>
              <w:left w:w="17" w:type="dxa"/>
              <w:right w:w="17" w:type="dxa"/>
            </w:tcMar>
            <w:vAlign w:val="center"/>
          </w:tcPr>
          <w:p w14:paraId="7A27B15C" w14:textId="77777777" w:rsidR="001C56BD" w:rsidRPr="00F92667" w:rsidRDefault="001C56BD" w:rsidP="008A5C11">
            <w:pPr>
              <w:jc w:val="center"/>
              <w:rPr>
                <w:sz w:val="13"/>
                <w:szCs w:val="13"/>
              </w:rPr>
            </w:pPr>
            <w:r w:rsidRPr="00F92667">
              <w:rPr>
                <w:sz w:val="13"/>
                <w:szCs w:val="13"/>
              </w:rPr>
              <w:t>0,000</w:t>
            </w:r>
          </w:p>
        </w:tc>
        <w:tc>
          <w:tcPr>
            <w:tcW w:w="217" w:type="pct"/>
            <w:gridSpan w:val="2"/>
            <w:shd w:val="clear" w:color="auto" w:fill="auto"/>
            <w:tcMar>
              <w:left w:w="17" w:type="dxa"/>
              <w:right w:w="17" w:type="dxa"/>
            </w:tcMar>
            <w:vAlign w:val="center"/>
          </w:tcPr>
          <w:p w14:paraId="5FCC076A" w14:textId="77777777" w:rsidR="001C56BD" w:rsidRPr="00F92667" w:rsidRDefault="001C56BD" w:rsidP="008A5C11">
            <w:pPr>
              <w:jc w:val="center"/>
              <w:rPr>
                <w:sz w:val="13"/>
                <w:szCs w:val="13"/>
              </w:rPr>
            </w:pPr>
            <w:r w:rsidRPr="00F92667">
              <w:rPr>
                <w:sz w:val="13"/>
                <w:szCs w:val="13"/>
              </w:rPr>
              <w:t>0,000</w:t>
            </w:r>
          </w:p>
        </w:tc>
        <w:tc>
          <w:tcPr>
            <w:tcW w:w="218" w:type="pct"/>
            <w:gridSpan w:val="2"/>
            <w:shd w:val="clear" w:color="auto" w:fill="auto"/>
            <w:tcMar>
              <w:left w:w="17" w:type="dxa"/>
              <w:right w:w="17" w:type="dxa"/>
            </w:tcMar>
            <w:vAlign w:val="center"/>
          </w:tcPr>
          <w:p w14:paraId="3145440D" w14:textId="77777777" w:rsidR="001C56BD" w:rsidRPr="00F92667" w:rsidRDefault="001C56BD" w:rsidP="008A5C11">
            <w:pPr>
              <w:jc w:val="center"/>
              <w:rPr>
                <w:color w:val="000000"/>
                <w:sz w:val="13"/>
                <w:szCs w:val="13"/>
              </w:rPr>
            </w:pPr>
            <w:r w:rsidRPr="00F92667">
              <w:rPr>
                <w:sz w:val="13"/>
                <w:szCs w:val="13"/>
              </w:rPr>
              <w:t>0,000</w:t>
            </w:r>
          </w:p>
        </w:tc>
        <w:tc>
          <w:tcPr>
            <w:tcW w:w="217" w:type="pct"/>
            <w:gridSpan w:val="2"/>
            <w:tcMar>
              <w:left w:w="17" w:type="dxa"/>
              <w:right w:w="17" w:type="dxa"/>
            </w:tcMar>
            <w:vAlign w:val="center"/>
          </w:tcPr>
          <w:p w14:paraId="495078B2" w14:textId="77777777" w:rsidR="001C56BD" w:rsidRPr="00F92667" w:rsidRDefault="001C56BD" w:rsidP="008A5C11">
            <w:pPr>
              <w:jc w:val="center"/>
              <w:rPr>
                <w:color w:val="000000"/>
                <w:sz w:val="13"/>
                <w:szCs w:val="13"/>
              </w:rPr>
            </w:pPr>
            <w:r w:rsidRPr="00F92667">
              <w:rPr>
                <w:sz w:val="13"/>
                <w:szCs w:val="13"/>
              </w:rPr>
              <w:t>0,000</w:t>
            </w:r>
          </w:p>
        </w:tc>
        <w:tc>
          <w:tcPr>
            <w:tcW w:w="214" w:type="pct"/>
            <w:gridSpan w:val="2"/>
            <w:tcMar>
              <w:left w:w="17" w:type="dxa"/>
              <w:right w:w="17" w:type="dxa"/>
            </w:tcMar>
            <w:vAlign w:val="center"/>
          </w:tcPr>
          <w:p w14:paraId="2F331391" w14:textId="77777777" w:rsidR="001C56BD" w:rsidRPr="00F92667" w:rsidRDefault="001C56BD" w:rsidP="008A5C11">
            <w:pPr>
              <w:jc w:val="center"/>
              <w:rPr>
                <w:color w:val="000000"/>
                <w:sz w:val="13"/>
                <w:szCs w:val="13"/>
              </w:rPr>
            </w:pPr>
            <w:r w:rsidRPr="00F92667">
              <w:rPr>
                <w:sz w:val="13"/>
                <w:szCs w:val="13"/>
              </w:rPr>
              <w:t>0,000</w:t>
            </w:r>
          </w:p>
        </w:tc>
        <w:tc>
          <w:tcPr>
            <w:tcW w:w="217" w:type="pct"/>
            <w:gridSpan w:val="2"/>
            <w:tcMar>
              <w:left w:w="17" w:type="dxa"/>
              <w:right w:w="17" w:type="dxa"/>
            </w:tcMar>
            <w:vAlign w:val="center"/>
          </w:tcPr>
          <w:p w14:paraId="55825F6A" w14:textId="77777777" w:rsidR="001C56BD" w:rsidRPr="00F92667" w:rsidRDefault="001C56BD" w:rsidP="008A5C11">
            <w:pPr>
              <w:jc w:val="center"/>
              <w:rPr>
                <w:sz w:val="13"/>
                <w:szCs w:val="13"/>
              </w:rPr>
            </w:pPr>
            <w:r w:rsidRPr="00F92667">
              <w:rPr>
                <w:sz w:val="13"/>
                <w:szCs w:val="13"/>
              </w:rPr>
              <w:t>0,000</w:t>
            </w:r>
          </w:p>
        </w:tc>
        <w:tc>
          <w:tcPr>
            <w:tcW w:w="217" w:type="pct"/>
            <w:gridSpan w:val="2"/>
            <w:tcMar>
              <w:left w:w="17" w:type="dxa"/>
              <w:right w:w="17" w:type="dxa"/>
            </w:tcMar>
            <w:vAlign w:val="center"/>
          </w:tcPr>
          <w:p w14:paraId="05935920" w14:textId="77777777" w:rsidR="001C56BD" w:rsidRPr="00F92667" w:rsidRDefault="001C56BD" w:rsidP="008A5C11">
            <w:pPr>
              <w:jc w:val="center"/>
              <w:rPr>
                <w:color w:val="000000"/>
                <w:sz w:val="13"/>
                <w:szCs w:val="13"/>
              </w:rPr>
            </w:pPr>
            <w:r w:rsidRPr="00F92667">
              <w:rPr>
                <w:sz w:val="13"/>
                <w:szCs w:val="13"/>
              </w:rPr>
              <w:t>0,000</w:t>
            </w:r>
          </w:p>
        </w:tc>
        <w:tc>
          <w:tcPr>
            <w:tcW w:w="214" w:type="pct"/>
            <w:gridSpan w:val="2"/>
            <w:tcMar>
              <w:left w:w="17" w:type="dxa"/>
              <w:right w:w="17" w:type="dxa"/>
            </w:tcMar>
            <w:vAlign w:val="center"/>
          </w:tcPr>
          <w:p w14:paraId="00CEDE85" w14:textId="77777777" w:rsidR="001C56BD" w:rsidRPr="00F92667" w:rsidRDefault="001C56BD" w:rsidP="008A5C11">
            <w:pPr>
              <w:jc w:val="center"/>
              <w:rPr>
                <w:color w:val="000000"/>
                <w:sz w:val="13"/>
                <w:szCs w:val="13"/>
              </w:rPr>
            </w:pPr>
            <w:r w:rsidRPr="00F92667">
              <w:rPr>
                <w:sz w:val="13"/>
                <w:szCs w:val="13"/>
              </w:rPr>
              <w:t>0,000</w:t>
            </w:r>
          </w:p>
        </w:tc>
        <w:tc>
          <w:tcPr>
            <w:tcW w:w="231" w:type="pct"/>
            <w:tcMar>
              <w:left w:w="17" w:type="dxa"/>
              <w:right w:w="17" w:type="dxa"/>
            </w:tcMar>
            <w:vAlign w:val="center"/>
          </w:tcPr>
          <w:p w14:paraId="1B3B4925" w14:textId="77777777" w:rsidR="001C56BD" w:rsidRPr="00F92667" w:rsidRDefault="001C56BD" w:rsidP="008A5C11">
            <w:pPr>
              <w:jc w:val="center"/>
              <w:rPr>
                <w:sz w:val="13"/>
                <w:szCs w:val="13"/>
              </w:rPr>
            </w:pPr>
            <w:r w:rsidRPr="00F92667">
              <w:rPr>
                <w:sz w:val="13"/>
                <w:szCs w:val="13"/>
              </w:rPr>
              <w:t>0,000</w:t>
            </w:r>
          </w:p>
        </w:tc>
        <w:tc>
          <w:tcPr>
            <w:tcW w:w="173" w:type="pct"/>
            <w:tcMar>
              <w:left w:w="17" w:type="dxa"/>
              <w:right w:w="17" w:type="dxa"/>
            </w:tcMar>
            <w:vAlign w:val="center"/>
          </w:tcPr>
          <w:p w14:paraId="4C71C617" w14:textId="77777777" w:rsidR="001C56BD" w:rsidRPr="00F92667" w:rsidRDefault="001C56BD" w:rsidP="008A5C11">
            <w:pPr>
              <w:jc w:val="center"/>
              <w:rPr>
                <w:sz w:val="13"/>
                <w:szCs w:val="13"/>
              </w:rPr>
            </w:pPr>
            <w:r w:rsidRPr="00F92667">
              <w:rPr>
                <w:sz w:val="13"/>
                <w:szCs w:val="13"/>
              </w:rPr>
              <w:t>0,000</w:t>
            </w:r>
          </w:p>
        </w:tc>
        <w:tc>
          <w:tcPr>
            <w:tcW w:w="169" w:type="pct"/>
            <w:tcMar>
              <w:left w:w="17" w:type="dxa"/>
              <w:right w:w="17" w:type="dxa"/>
            </w:tcMar>
            <w:vAlign w:val="center"/>
          </w:tcPr>
          <w:p w14:paraId="43C947CB" w14:textId="77777777" w:rsidR="001C56BD" w:rsidRPr="00F92667" w:rsidRDefault="001C56BD" w:rsidP="008A5C11">
            <w:pPr>
              <w:ind w:hanging="46"/>
              <w:jc w:val="center"/>
              <w:rPr>
                <w:sz w:val="13"/>
                <w:szCs w:val="13"/>
              </w:rPr>
            </w:pPr>
            <w:r w:rsidRPr="00F92667">
              <w:rPr>
                <w:sz w:val="13"/>
                <w:szCs w:val="13"/>
              </w:rPr>
              <w:t>12037,170</w:t>
            </w:r>
          </w:p>
        </w:tc>
      </w:tr>
      <w:tr w:rsidR="001C56BD" w:rsidRPr="00F92667" w14:paraId="7B868052" w14:textId="77777777" w:rsidTr="008A5C11">
        <w:trPr>
          <w:gridBefore w:val="1"/>
          <w:wBefore w:w="3" w:type="pct"/>
          <w:trHeight w:val="37"/>
        </w:trPr>
        <w:tc>
          <w:tcPr>
            <w:tcW w:w="4997" w:type="pct"/>
            <w:gridSpan w:val="35"/>
            <w:tcMar>
              <w:left w:w="17" w:type="dxa"/>
              <w:right w:w="17" w:type="dxa"/>
            </w:tcMar>
          </w:tcPr>
          <w:p w14:paraId="3305AB39" w14:textId="77777777" w:rsidR="001C56BD" w:rsidRPr="00F92667" w:rsidRDefault="001C56BD" w:rsidP="008A5C11">
            <w:pPr>
              <w:rPr>
                <w:sz w:val="13"/>
                <w:szCs w:val="13"/>
              </w:rPr>
            </w:pPr>
            <w:r w:rsidRPr="00F92667">
              <w:rPr>
                <w:sz w:val="13"/>
                <w:szCs w:val="13"/>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1C56BD" w:rsidRPr="00F92667" w14:paraId="26A82968" w14:textId="77777777" w:rsidTr="008A5C11">
        <w:trPr>
          <w:gridBefore w:val="1"/>
          <w:wBefore w:w="3" w:type="pct"/>
          <w:trHeight w:val="47"/>
        </w:trPr>
        <w:tc>
          <w:tcPr>
            <w:tcW w:w="2082" w:type="pct"/>
            <w:gridSpan w:val="10"/>
            <w:shd w:val="clear" w:color="auto" w:fill="auto"/>
            <w:tcMar>
              <w:left w:w="17" w:type="dxa"/>
              <w:right w:w="17" w:type="dxa"/>
            </w:tcMar>
            <w:vAlign w:val="center"/>
          </w:tcPr>
          <w:p w14:paraId="71F5C917" w14:textId="77777777" w:rsidR="001C56BD" w:rsidRPr="00F92667" w:rsidRDefault="001C56BD" w:rsidP="008A5C11">
            <w:pPr>
              <w:rPr>
                <w:sz w:val="13"/>
                <w:szCs w:val="13"/>
              </w:rPr>
            </w:pPr>
            <w:r w:rsidRPr="00F92667">
              <w:rPr>
                <w:sz w:val="13"/>
                <w:szCs w:val="13"/>
              </w:rPr>
              <w:t>Всего по группе 2.</w:t>
            </w:r>
          </w:p>
        </w:tc>
        <w:tc>
          <w:tcPr>
            <w:tcW w:w="220" w:type="pct"/>
            <w:gridSpan w:val="3"/>
            <w:shd w:val="clear" w:color="auto" w:fill="auto"/>
            <w:tcMar>
              <w:left w:w="17" w:type="dxa"/>
              <w:right w:w="17" w:type="dxa"/>
            </w:tcMar>
            <w:vAlign w:val="center"/>
          </w:tcPr>
          <w:p w14:paraId="7D306892" w14:textId="77777777" w:rsidR="001C56BD" w:rsidRPr="00F92667" w:rsidRDefault="001C56BD" w:rsidP="008A5C11">
            <w:pPr>
              <w:jc w:val="center"/>
              <w:rPr>
                <w:sz w:val="13"/>
                <w:szCs w:val="13"/>
              </w:rPr>
            </w:pPr>
            <w:r w:rsidRPr="00F92667">
              <w:rPr>
                <w:sz w:val="13"/>
                <w:szCs w:val="13"/>
              </w:rPr>
              <w:t>0,000</w:t>
            </w:r>
          </w:p>
        </w:tc>
        <w:tc>
          <w:tcPr>
            <w:tcW w:w="174" w:type="pct"/>
            <w:shd w:val="clear" w:color="auto" w:fill="auto"/>
            <w:tcMar>
              <w:left w:w="17" w:type="dxa"/>
              <w:right w:w="17" w:type="dxa"/>
            </w:tcMar>
            <w:vAlign w:val="center"/>
          </w:tcPr>
          <w:p w14:paraId="45289490" w14:textId="77777777" w:rsidR="001C56BD" w:rsidRPr="00F92667" w:rsidRDefault="001C56BD" w:rsidP="008A5C11">
            <w:pPr>
              <w:jc w:val="center"/>
              <w:rPr>
                <w:sz w:val="13"/>
                <w:szCs w:val="13"/>
              </w:rPr>
            </w:pPr>
            <w:r w:rsidRPr="00F92667">
              <w:rPr>
                <w:sz w:val="13"/>
                <w:szCs w:val="13"/>
              </w:rPr>
              <w:t>0,000</w:t>
            </w:r>
          </w:p>
        </w:tc>
        <w:tc>
          <w:tcPr>
            <w:tcW w:w="216" w:type="pct"/>
            <w:gridSpan w:val="2"/>
            <w:shd w:val="clear" w:color="auto" w:fill="auto"/>
            <w:tcMar>
              <w:left w:w="17" w:type="dxa"/>
              <w:right w:w="17" w:type="dxa"/>
            </w:tcMar>
            <w:vAlign w:val="center"/>
          </w:tcPr>
          <w:p w14:paraId="40D824F7" w14:textId="77777777" w:rsidR="001C56BD" w:rsidRPr="00F92667" w:rsidRDefault="001C56BD" w:rsidP="008A5C11">
            <w:pPr>
              <w:jc w:val="center"/>
              <w:rPr>
                <w:color w:val="000000"/>
                <w:sz w:val="13"/>
                <w:szCs w:val="13"/>
              </w:rPr>
            </w:pPr>
            <w:r w:rsidRPr="00F92667">
              <w:rPr>
                <w:sz w:val="13"/>
                <w:szCs w:val="13"/>
              </w:rPr>
              <w:t>0,000</w:t>
            </w:r>
          </w:p>
        </w:tc>
        <w:tc>
          <w:tcPr>
            <w:tcW w:w="218" w:type="pct"/>
            <w:gridSpan w:val="2"/>
            <w:shd w:val="clear" w:color="auto" w:fill="auto"/>
            <w:tcMar>
              <w:left w:w="17" w:type="dxa"/>
              <w:right w:w="17" w:type="dxa"/>
            </w:tcMar>
            <w:vAlign w:val="center"/>
          </w:tcPr>
          <w:p w14:paraId="3F0EEA9A" w14:textId="77777777" w:rsidR="001C56BD" w:rsidRPr="00F92667" w:rsidRDefault="001C56BD" w:rsidP="008A5C11">
            <w:pPr>
              <w:jc w:val="center"/>
              <w:rPr>
                <w:sz w:val="13"/>
                <w:szCs w:val="13"/>
              </w:rPr>
            </w:pPr>
            <w:r w:rsidRPr="00F92667">
              <w:rPr>
                <w:sz w:val="13"/>
                <w:szCs w:val="13"/>
              </w:rPr>
              <w:t>0,000</w:t>
            </w:r>
          </w:p>
        </w:tc>
        <w:tc>
          <w:tcPr>
            <w:tcW w:w="217" w:type="pct"/>
            <w:gridSpan w:val="2"/>
            <w:shd w:val="clear" w:color="auto" w:fill="auto"/>
            <w:tcMar>
              <w:left w:w="17" w:type="dxa"/>
              <w:right w:w="17" w:type="dxa"/>
            </w:tcMar>
            <w:vAlign w:val="center"/>
          </w:tcPr>
          <w:p w14:paraId="3A4AEBBD" w14:textId="77777777" w:rsidR="001C56BD" w:rsidRPr="00F92667" w:rsidRDefault="001C56BD" w:rsidP="008A5C11">
            <w:pPr>
              <w:jc w:val="center"/>
              <w:rPr>
                <w:sz w:val="13"/>
                <w:szCs w:val="13"/>
              </w:rPr>
            </w:pPr>
            <w:r w:rsidRPr="00F92667">
              <w:rPr>
                <w:sz w:val="13"/>
                <w:szCs w:val="13"/>
              </w:rPr>
              <w:t>0,000</w:t>
            </w:r>
          </w:p>
        </w:tc>
        <w:tc>
          <w:tcPr>
            <w:tcW w:w="218" w:type="pct"/>
            <w:gridSpan w:val="2"/>
            <w:shd w:val="clear" w:color="auto" w:fill="auto"/>
            <w:tcMar>
              <w:left w:w="17" w:type="dxa"/>
              <w:right w:w="17" w:type="dxa"/>
            </w:tcMar>
            <w:vAlign w:val="center"/>
          </w:tcPr>
          <w:p w14:paraId="67428AAC" w14:textId="77777777" w:rsidR="001C56BD" w:rsidRPr="00F92667" w:rsidRDefault="001C56BD" w:rsidP="008A5C11">
            <w:pPr>
              <w:jc w:val="center"/>
              <w:rPr>
                <w:color w:val="000000"/>
                <w:sz w:val="13"/>
                <w:szCs w:val="13"/>
              </w:rPr>
            </w:pPr>
            <w:r w:rsidRPr="00F92667">
              <w:rPr>
                <w:sz w:val="13"/>
                <w:szCs w:val="13"/>
              </w:rPr>
              <w:t>0,000</w:t>
            </w:r>
          </w:p>
        </w:tc>
        <w:tc>
          <w:tcPr>
            <w:tcW w:w="217" w:type="pct"/>
            <w:gridSpan w:val="2"/>
            <w:tcMar>
              <w:left w:w="17" w:type="dxa"/>
              <w:right w:w="17" w:type="dxa"/>
            </w:tcMar>
            <w:vAlign w:val="center"/>
          </w:tcPr>
          <w:p w14:paraId="7ECEE097" w14:textId="77777777" w:rsidR="001C56BD" w:rsidRPr="00F92667" w:rsidRDefault="001C56BD" w:rsidP="008A5C11">
            <w:pPr>
              <w:jc w:val="center"/>
              <w:rPr>
                <w:color w:val="000000"/>
                <w:sz w:val="13"/>
                <w:szCs w:val="13"/>
              </w:rPr>
            </w:pPr>
            <w:r w:rsidRPr="00F92667">
              <w:rPr>
                <w:sz w:val="13"/>
                <w:szCs w:val="13"/>
              </w:rPr>
              <w:t>0,000</w:t>
            </w:r>
          </w:p>
        </w:tc>
        <w:tc>
          <w:tcPr>
            <w:tcW w:w="214" w:type="pct"/>
            <w:gridSpan w:val="2"/>
            <w:tcMar>
              <w:left w:w="17" w:type="dxa"/>
              <w:right w:w="17" w:type="dxa"/>
            </w:tcMar>
            <w:vAlign w:val="center"/>
          </w:tcPr>
          <w:p w14:paraId="618B0793" w14:textId="77777777" w:rsidR="001C56BD" w:rsidRPr="00F92667" w:rsidRDefault="001C56BD" w:rsidP="008A5C11">
            <w:pPr>
              <w:jc w:val="center"/>
              <w:rPr>
                <w:color w:val="000000"/>
                <w:sz w:val="13"/>
                <w:szCs w:val="13"/>
              </w:rPr>
            </w:pPr>
            <w:r w:rsidRPr="00F92667">
              <w:rPr>
                <w:sz w:val="13"/>
                <w:szCs w:val="13"/>
              </w:rPr>
              <w:t>0,000</w:t>
            </w:r>
          </w:p>
        </w:tc>
        <w:tc>
          <w:tcPr>
            <w:tcW w:w="217" w:type="pct"/>
            <w:gridSpan w:val="2"/>
            <w:tcMar>
              <w:left w:w="17" w:type="dxa"/>
              <w:right w:w="17" w:type="dxa"/>
            </w:tcMar>
            <w:vAlign w:val="center"/>
          </w:tcPr>
          <w:p w14:paraId="2DAE8305" w14:textId="77777777" w:rsidR="001C56BD" w:rsidRPr="00F92667" w:rsidRDefault="001C56BD" w:rsidP="008A5C11">
            <w:pPr>
              <w:jc w:val="center"/>
              <w:rPr>
                <w:sz w:val="13"/>
                <w:szCs w:val="13"/>
              </w:rPr>
            </w:pPr>
            <w:r w:rsidRPr="00F92667">
              <w:rPr>
                <w:sz w:val="13"/>
                <w:szCs w:val="13"/>
              </w:rPr>
              <w:t>0,000</w:t>
            </w:r>
          </w:p>
        </w:tc>
        <w:tc>
          <w:tcPr>
            <w:tcW w:w="217" w:type="pct"/>
            <w:gridSpan w:val="2"/>
            <w:tcMar>
              <w:left w:w="17" w:type="dxa"/>
              <w:right w:w="17" w:type="dxa"/>
            </w:tcMar>
            <w:vAlign w:val="center"/>
          </w:tcPr>
          <w:p w14:paraId="1AE530E2" w14:textId="77777777" w:rsidR="001C56BD" w:rsidRPr="00F92667" w:rsidRDefault="001C56BD" w:rsidP="008A5C11">
            <w:pPr>
              <w:jc w:val="center"/>
              <w:rPr>
                <w:color w:val="000000"/>
                <w:sz w:val="13"/>
                <w:szCs w:val="13"/>
              </w:rPr>
            </w:pPr>
            <w:r w:rsidRPr="00F92667">
              <w:rPr>
                <w:sz w:val="13"/>
                <w:szCs w:val="13"/>
              </w:rPr>
              <w:t>0,000</w:t>
            </w:r>
          </w:p>
        </w:tc>
        <w:tc>
          <w:tcPr>
            <w:tcW w:w="214" w:type="pct"/>
            <w:gridSpan w:val="2"/>
            <w:tcMar>
              <w:left w:w="17" w:type="dxa"/>
              <w:right w:w="17" w:type="dxa"/>
            </w:tcMar>
            <w:vAlign w:val="center"/>
          </w:tcPr>
          <w:p w14:paraId="65910E50" w14:textId="77777777" w:rsidR="001C56BD" w:rsidRPr="00F92667" w:rsidRDefault="001C56BD" w:rsidP="008A5C11">
            <w:pPr>
              <w:jc w:val="center"/>
              <w:rPr>
                <w:color w:val="000000"/>
                <w:sz w:val="13"/>
                <w:szCs w:val="13"/>
              </w:rPr>
            </w:pPr>
            <w:r w:rsidRPr="00F92667">
              <w:rPr>
                <w:sz w:val="13"/>
                <w:szCs w:val="13"/>
              </w:rPr>
              <w:t>0,000</w:t>
            </w:r>
          </w:p>
        </w:tc>
        <w:tc>
          <w:tcPr>
            <w:tcW w:w="231" w:type="pct"/>
            <w:tcMar>
              <w:left w:w="17" w:type="dxa"/>
              <w:right w:w="17" w:type="dxa"/>
            </w:tcMar>
            <w:vAlign w:val="center"/>
          </w:tcPr>
          <w:p w14:paraId="08DF0675" w14:textId="77777777" w:rsidR="001C56BD" w:rsidRPr="00F92667" w:rsidRDefault="001C56BD" w:rsidP="008A5C11">
            <w:pPr>
              <w:jc w:val="center"/>
              <w:rPr>
                <w:sz w:val="13"/>
                <w:szCs w:val="13"/>
              </w:rPr>
            </w:pPr>
            <w:r w:rsidRPr="00F92667">
              <w:rPr>
                <w:sz w:val="13"/>
                <w:szCs w:val="13"/>
              </w:rPr>
              <w:t>0,000</w:t>
            </w:r>
          </w:p>
        </w:tc>
        <w:tc>
          <w:tcPr>
            <w:tcW w:w="173" w:type="pct"/>
            <w:tcMar>
              <w:left w:w="17" w:type="dxa"/>
              <w:right w:w="17" w:type="dxa"/>
            </w:tcMar>
            <w:vAlign w:val="center"/>
          </w:tcPr>
          <w:p w14:paraId="6F075F7D" w14:textId="77777777" w:rsidR="001C56BD" w:rsidRPr="00F92667" w:rsidRDefault="001C56BD" w:rsidP="008A5C11">
            <w:pPr>
              <w:jc w:val="center"/>
              <w:rPr>
                <w:sz w:val="13"/>
                <w:szCs w:val="13"/>
              </w:rPr>
            </w:pPr>
            <w:r w:rsidRPr="00F92667">
              <w:rPr>
                <w:sz w:val="13"/>
                <w:szCs w:val="13"/>
              </w:rPr>
              <w:t>0,000</w:t>
            </w:r>
          </w:p>
        </w:tc>
        <w:tc>
          <w:tcPr>
            <w:tcW w:w="169" w:type="pct"/>
            <w:tcMar>
              <w:left w:w="17" w:type="dxa"/>
              <w:right w:w="17" w:type="dxa"/>
            </w:tcMar>
            <w:vAlign w:val="center"/>
          </w:tcPr>
          <w:p w14:paraId="08E725F7" w14:textId="77777777" w:rsidR="001C56BD" w:rsidRPr="00F92667" w:rsidRDefault="001C56BD" w:rsidP="008A5C11">
            <w:pPr>
              <w:jc w:val="center"/>
              <w:rPr>
                <w:sz w:val="13"/>
                <w:szCs w:val="13"/>
              </w:rPr>
            </w:pPr>
            <w:r w:rsidRPr="00F92667">
              <w:rPr>
                <w:sz w:val="13"/>
                <w:szCs w:val="13"/>
              </w:rPr>
              <w:t>0,000</w:t>
            </w:r>
          </w:p>
        </w:tc>
      </w:tr>
      <w:tr w:rsidR="001C56BD" w:rsidRPr="00F92667" w14:paraId="427CDDBD" w14:textId="77777777" w:rsidTr="008A5C11">
        <w:trPr>
          <w:gridBefore w:val="1"/>
          <w:wBefore w:w="3" w:type="pct"/>
          <w:trHeight w:val="56"/>
        </w:trPr>
        <w:tc>
          <w:tcPr>
            <w:tcW w:w="4997" w:type="pct"/>
            <w:gridSpan w:val="35"/>
            <w:tcMar>
              <w:left w:w="17" w:type="dxa"/>
              <w:right w:w="17" w:type="dxa"/>
            </w:tcMar>
          </w:tcPr>
          <w:p w14:paraId="1C4948DC" w14:textId="77777777" w:rsidR="001C56BD" w:rsidRPr="00F92667" w:rsidRDefault="001C56BD" w:rsidP="008A5C11">
            <w:pPr>
              <w:rPr>
                <w:sz w:val="13"/>
                <w:szCs w:val="13"/>
              </w:rPr>
            </w:pPr>
            <w:r w:rsidRPr="00F92667">
              <w:rPr>
                <w:sz w:val="13"/>
                <w:szCs w:val="13"/>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1C56BD" w:rsidRPr="00F92667" w14:paraId="5AF7EADF" w14:textId="77777777" w:rsidTr="008A5C11">
        <w:trPr>
          <w:gridBefore w:val="1"/>
          <w:wBefore w:w="3" w:type="pct"/>
          <w:trHeight w:val="86"/>
        </w:trPr>
        <w:tc>
          <w:tcPr>
            <w:tcW w:w="4997" w:type="pct"/>
            <w:gridSpan w:val="35"/>
            <w:tcMar>
              <w:left w:w="17" w:type="dxa"/>
              <w:right w:w="17" w:type="dxa"/>
            </w:tcMar>
          </w:tcPr>
          <w:p w14:paraId="4B536FE1" w14:textId="77777777" w:rsidR="001C56BD" w:rsidRPr="00F92667" w:rsidRDefault="001C56BD" w:rsidP="008A5C11">
            <w:pPr>
              <w:rPr>
                <w:sz w:val="13"/>
                <w:szCs w:val="13"/>
              </w:rPr>
            </w:pPr>
            <w:r w:rsidRPr="00F92667">
              <w:rPr>
                <w:sz w:val="13"/>
                <w:szCs w:val="13"/>
              </w:rPr>
              <w:t>3.1. Реконструкция или модернизация существующих тепловых сетей</w:t>
            </w:r>
          </w:p>
        </w:tc>
      </w:tr>
      <w:tr w:rsidR="001C56BD" w:rsidRPr="00F92667" w14:paraId="7BDC03F4" w14:textId="77777777" w:rsidTr="008A5C11">
        <w:trPr>
          <w:gridBefore w:val="1"/>
          <w:wBefore w:w="3" w:type="pct"/>
          <w:trHeight w:val="897"/>
        </w:trPr>
        <w:tc>
          <w:tcPr>
            <w:tcW w:w="129" w:type="pct"/>
            <w:shd w:val="clear" w:color="auto" w:fill="auto"/>
            <w:tcMar>
              <w:left w:w="17" w:type="dxa"/>
              <w:right w:w="17" w:type="dxa"/>
            </w:tcMar>
            <w:vAlign w:val="center"/>
          </w:tcPr>
          <w:p w14:paraId="73FA4892" w14:textId="77777777" w:rsidR="001C56BD" w:rsidRPr="00F92667" w:rsidRDefault="001C56BD" w:rsidP="008A5C11">
            <w:pPr>
              <w:jc w:val="center"/>
              <w:rPr>
                <w:sz w:val="12"/>
                <w:szCs w:val="12"/>
              </w:rPr>
            </w:pPr>
            <w:r w:rsidRPr="00F92667">
              <w:rPr>
                <w:sz w:val="12"/>
                <w:szCs w:val="12"/>
              </w:rPr>
              <w:t>3.1.1.</w:t>
            </w:r>
          </w:p>
        </w:tc>
        <w:tc>
          <w:tcPr>
            <w:tcW w:w="305" w:type="pct"/>
            <w:shd w:val="clear" w:color="auto" w:fill="auto"/>
            <w:tcMar>
              <w:left w:w="17" w:type="dxa"/>
              <w:right w:w="17" w:type="dxa"/>
            </w:tcMar>
            <w:vAlign w:val="center"/>
          </w:tcPr>
          <w:p w14:paraId="63BF07E4" w14:textId="77777777" w:rsidR="001C56BD" w:rsidRPr="00F92667" w:rsidRDefault="001C56BD" w:rsidP="008A5C11">
            <w:pPr>
              <w:rPr>
                <w:sz w:val="12"/>
                <w:szCs w:val="12"/>
              </w:rPr>
            </w:pPr>
            <w:r w:rsidRPr="00F92667">
              <w:rPr>
                <w:sz w:val="12"/>
                <w:szCs w:val="12"/>
              </w:rPr>
              <w:t>Реконструкция тепловой сети с реестровым номером 759645</w:t>
            </w:r>
          </w:p>
        </w:tc>
        <w:tc>
          <w:tcPr>
            <w:tcW w:w="304" w:type="pct"/>
            <w:shd w:val="clear" w:color="000000" w:fill="FFFFFF"/>
            <w:tcMar>
              <w:left w:w="17" w:type="dxa"/>
              <w:right w:w="17" w:type="dxa"/>
            </w:tcMar>
            <w:vAlign w:val="center"/>
          </w:tcPr>
          <w:p w14:paraId="329EA399" w14:textId="77777777" w:rsidR="001C56BD" w:rsidRPr="00F92667" w:rsidRDefault="001C56BD" w:rsidP="008A5C11">
            <w:pPr>
              <w:jc w:val="center"/>
              <w:rPr>
                <w:color w:val="000000"/>
                <w:sz w:val="12"/>
                <w:szCs w:val="12"/>
              </w:rPr>
            </w:pPr>
            <w:r w:rsidRPr="00F92667">
              <w:rPr>
                <w:color w:val="000000"/>
                <w:sz w:val="12"/>
                <w:szCs w:val="12"/>
              </w:rPr>
              <w:t>Повышение надежности услуг теплоснабжения, повышение энергетической эффективности</w:t>
            </w:r>
          </w:p>
        </w:tc>
        <w:tc>
          <w:tcPr>
            <w:tcW w:w="258" w:type="pct"/>
            <w:shd w:val="clear" w:color="auto" w:fill="auto"/>
            <w:tcMar>
              <w:left w:w="17" w:type="dxa"/>
              <w:right w:w="17" w:type="dxa"/>
            </w:tcMar>
            <w:vAlign w:val="center"/>
          </w:tcPr>
          <w:p w14:paraId="0AF70265" w14:textId="77777777" w:rsidR="001C56BD" w:rsidRPr="00F92667" w:rsidRDefault="001C56BD" w:rsidP="008A5C11">
            <w:pPr>
              <w:jc w:val="center"/>
              <w:rPr>
                <w:sz w:val="12"/>
                <w:szCs w:val="12"/>
              </w:rPr>
            </w:pPr>
            <w:r w:rsidRPr="00F92667">
              <w:rPr>
                <w:sz w:val="12"/>
                <w:szCs w:val="12"/>
              </w:rPr>
              <w:t xml:space="preserve">Кемеровский городской округ, Кировский район, ул. 40 лет Октября, ТК 22. </w:t>
            </w:r>
          </w:p>
        </w:tc>
        <w:tc>
          <w:tcPr>
            <w:tcW w:w="294" w:type="pct"/>
            <w:shd w:val="clear" w:color="auto" w:fill="auto"/>
            <w:tcMar>
              <w:left w:w="17" w:type="dxa"/>
              <w:right w:w="17" w:type="dxa"/>
            </w:tcMar>
            <w:vAlign w:val="center"/>
          </w:tcPr>
          <w:p w14:paraId="4123A00D" w14:textId="77777777" w:rsidR="001C56BD" w:rsidRPr="00F92667" w:rsidRDefault="001C56BD" w:rsidP="008A5C11">
            <w:pPr>
              <w:jc w:val="center"/>
              <w:rPr>
                <w:color w:val="000000"/>
                <w:sz w:val="12"/>
                <w:szCs w:val="12"/>
              </w:rPr>
            </w:pPr>
            <w:r w:rsidRPr="00F92667">
              <w:rPr>
                <w:color w:val="000000"/>
                <w:sz w:val="12"/>
                <w:szCs w:val="12"/>
              </w:rPr>
              <w:t>Технические характеристики</w:t>
            </w:r>
          </w:p>
        </w:tc>
        <w:tc>
          <w:tcPr>
            <w:tcW w:w="129" w:type="pct"/>
            <w:shd w:val="clear" w:color="auto" w:fill="auto"/>
            <w:tcMar>
              <w:left w:w="17" w:type="dxa"/>
              <w:right w:w="17" w:type="dxa"/>
            </w:tcMar>
            <w:vAlign w:val="center"/>
          </w:tcPr>
          <w:p w14:paraId="0EBFF7E1" w14:textId="77777777" w:rsidR="001C56BD" w:rsidRPr="00F92667" w:rsidRDefault="001C56BD" w:rsidP="008A5C11">
            <w:pPr>
              <w:jc w:val="center"/>
              <w:rPr>
                <w:color w:val="000000"/>
                <w:sz w:val="12"/>
                <w:szCs w:val="12"/>
              </w:rPr>
            </w:pPr>
            <w:r w:rsidRPr="00F92667">
              <w:rPr>
                <w:color w:val="000000"/>
                <w:sz w:val="12"/>
                <w:szCs w:val="12"/>
              </w:rPr>
              <w:t>-</w:t>
            </w:r>
          </w:p>
        </w:tc>
        <w:tc>
          <w:tcPr>
            <w:tcW w:w="184" w:type="pct"/>
            <w:shd w:val="clear" w:color="auto" w:fill="auto"/>
            <w:tcMar>
              <w:left w:w="17" w:type="dxa"/>
              <w:right w:w="17" w:type="dxa"/>
            </w:tcMar>
            <w:vAlign w:val="center"/>
          </w:tcPr>
          <w:p w14:paraId="75952E74" w14:textId="77777777" w:rsidR="001C56BD" w:rsidRPr="00F92667" w:rsidRDefault="001C56BD" w:rsidP="008A5C11">
            <w:pPr>
              <w:jc w:val="center"/>
              <w:rPr>
                <w:sz w:val="12"/>
                <w:szCs w:val="12"/>
              </w:rPr>
            </w:pPr>
            <w:r w:rsidRPr="00F92667">
              <w:rPr>
                <w:sz w:val="12"/>
                <w:szCs w:val="12"/>
              </w:rPr>
              <w:t xml:space="preserve">Канал-кирпич, опоры-хомутовые приварные, запорная арматура - стальная клиновая, антикоррозийная защита-лак БТ, труба-сталь 20, изоляция - </w:t>
            </w:r>
            <w:proofErr w:type="gramStart"/>
            <w:r w:rsidRPr="00F92667">
              <w:rPr>
                <w:sz w:val="12"/>
                <w:szCs w:val="12"/>
              </w:rPr>
              <w:t>мин.маты</w:t>
            </w:r>
            <w:proofErr w:type="gramEnd"/>
            <w:r w:rsidRPr="00F92667">
              <w:rPr>
                <w:sz w:val="12"/>
                <w:szCs w:val="12"/>
              </w:rPr>
              <w:t xml:space="preserve"> </w:t>
            </w:r>
          </w:p>
        </w:tc>
        <w:tc>
          <w:tcPr>
            <w:tcW w:w="219" w:type="pct"/>
            <w:shd w:val="clear" w:color="auto" w:fill="auto"/>
            <w:tcMar>
              <w:left w:w="17" w:type="dxa"/>
              <w:right w:w="17" w:type="dxa"/>
            </w:tcMar>
            <w:vAlign w:val="center"/>
          </w:tcPr>
          <w:p w14:paraId="77240F6C" w14:textId="77777777" w:rsidR="001C56BD" w:rsidRPr="00F92667" w:rsidRDefault="001C56BD" w:rsidP="008A5C11">
            <w:pPr>
              <w:jc w:val="center"/>
              <w:rPr>
                <w:sz w:val="12"/>
                <w:szCs w:val="12"/>
              </w:rPr>
            </w:pPr>
            <w:r w:rsidRPr="00F92667">
              <w:rPr>
                <w:sz w:val="12"/>
                <w:szCs w:val="12"/>
              </w:rPr>
              <w:t xml:space="preserve">Канал-ж/б лотки, опоры-хомутовые с диэлектрической прокладкой, запорная арматура - кран шаровый, антикоррозийная защита-мастика Вектор 1214, 1025, труба-сталь 09Г2С, изоляция - маты прошивные, </w:t>
            </w:r>
            <w:proofErr w:type="gramStart"/>
            <w:r w:rsidRPr="00F92667">
              <w:rPr>
                <w:sz w:val="12"/>
                <w:szCs w:val="12"/>
              </w:rPr>
              <w:t>стеклоплас-тик</w:t>
            </w:r>
            <w:proofErr w:type="gramEnd"/>
            <w:r w:rsidRPr="00F92667">
              <w:rPr>
                <w:sz w:val="12"/>
                <w:szCs w:val="12"/>
              </w:rPr>
              <w:t xml:space="preserve">  </w:t>
            </w:r>
          </w:p>
        </w:tc>
        <w:tc>
          <w:tcPr>
            <w:tcW w:w="130" w:type="pct"/>
            <w:shd w:val="clear" w:color="auto" w:fill="auto"/>
            <w:tcMar>
              <w:left w:w="17" w:type="dxa"/>
              <w:right w:w="17" w:type="dxa"/>
            </w:tcMar>
            <w:vAlign w:val="center"/>
          </w:tcPr>
          <w:p w14:paraId="3D70A908" w14:textId="77777777" w:rsidR="001C56BD" w:rsidRPr="00F92667" w:rsidRDefault="001C56BD" w:rsidP="008A5C11">
            <w:pPr>
              <w:jc w:val="center"/>
              <w:rPr>
                <w:sz w:val="12"/>
                <w:szCs w:val="12"/>
              </w:rPr>
            </w:pPr>
            <w:r w:rsidRPr="00F92667">
              <w:rPr>
                <w:sz w:val="12"/>
                <w:szCs w:val="12"/>
              </w:rPr>
              <w:t>2022</w:t>
            </w:r>
          </w:p>
        </w:tc>
        <w:tc>
          <w:tcPr>
            <w:tcW w:w="130" w:type="pct"/>
            <w:shd w:val="clear" w:color="auto" w:fill="auto"/>
            <w:tcMar>
              <w:left w:w="17" w:type="dxa"/>
              <w:right w:w="17" w:type="dxa"/>
            </w:tcMar>
            <w:vAlign w:val="center"/>
          </w:tcPr>
          <w:p w14:paraId="2611690E" w14:textId="77777777" w:rsidR="001C56BD" w:rsidRPr="00F92667" w:rsidRDefault="001C56BD" w:rsidP="008A5C11">
            <w:pPr>
              <w:jc w:val="center"/>
              <w:rPr>
                <w:sz w:val="12"/>
                <w:szCs w:val="12"/>
              </w:rPr>
            </w:pPr>
            <w:r w:rsidRPr="00F92667">
              <w:rPr>
                <w:sz w:val="12"/>
                <w:szCs w:val="12"/>
              </w:rPr>
              <w:t>2031</w:t>
            </w:r>
          </w:p>
        </w:tc>
        <w:tc>
          <w:tcPr>
            <w:tcW w:w="217" w:type="pct"/>
            <w:gridSpan w:val="2"/>
            <w:shd w:val="clear" w:color="auto" w:fill="auto"/>
            <w:tcMar>
              <w:left w:w="17" w:type="dxa"/>
              <w:right w:w="17" w:type="dxa"/>
            </w:tcMar>
            <w:vAlign w:val="center"/>
          </w:tcPr>
          <w:p w14:paraId="04F80D10" w14:textId="77777777" w:rsidR="001C56BD" w:rsidRPr="00F92667" w:rsidRDefault="001C56BD" w:rsidP="008A5C11">
            <w:pPr>
              <w:jc w:val="center"/>
              <w:rPr>
                <w:sz w:val="12"/>
                <w:szCs w:val="12"/>
              </w:rPr>
            </w:pPr>
            <w:r w:rsidRPr="00F92667">
              <w:rPr>
                <w:sz w:val="12"/>
                <w:szCs w:val="12"/>
              </w:rPr>
              <w:t>9297,807</w:t>
            </w:r>
          </w:p>
        </w:tc>
        <w:tc>
          <w:tcPr>
            <w:tcW w:w="177" w:type="pct"/>
            <w:gridSpan w:val="2"/>
            <w:shd w:val="clear" w:color="auto" w:fill="auto"/>
            <w:tcMar>
              <w:left w:w="17" w:type="dxa"/>
              <w:right w:w="17" w:type="dxa"/>
            </w:tcMar>
            <w:vAlign w:val="center"/>
          </w:tcPr>
          <w:p w14:paraId="3B19E386" w14:textId="77777777" w:rsidR="001C56BD" w:rsidRPr="00F92667" w:rsidRDefault="001C56BD" w:rsidP="008A5C11">
            <w:pPr>
              <w:jc w:val="center"/>
              <w:rPr>
                <w:sz w:val="12"/>
                <w:szCs w:val="12"/>
              </w:rPr>
            </w:pPr>
            <w:r w:rsidRPr="00F92667">
              <w:rPr>
                <w:sz w:val="12"/>
                <w:szCs w:val="12"/>
              </w:rPr>
              <w:t>0,000</w:t>
            </w:r>
          </w:p>
        </w:tc>
        <w:tc>
          <w:tcPr>
            <w:tcW w:w="212" w:type="pct"/>
            <w:shd w:val="clear" w:color="auto" w:fill="auto"/>
            <w:tcMar>
              <w:left w:w="17" w:type="dxa"/>
              <w:right w:w="17" w:type="dxa"/>
            </w:tcMar>
            <w:vAlign w:val="center"/>
          </w:tcPr>
          <w:p w14:paraId="6B3A54CF" w14:textId="77777777" w:rsidR="001C56BD" w:rsidRPr="00F92667" w:rsidRDefault="001C56BD" w:rsidP="008A5C11">
            <w:pPr>
              <w:jc w:val="center"/>
              <w:rPr>
                <w:sz w:val="12"/>
                <w:szCs w:val="12"/>
              </w:rPr>
            </w:pPr>
            <w:r w:rsidRPr="00F92667">
              <w:rPr>
                <w:sz w:val="12"/>
                <w:szCs w:val="12"/>
              </w:rPr>
              <w:t>4763,273</w:t>
            </w:r>
          </w:p>
        </w:tc>
        <w:tc>
          <w:tcPr>
            <w:tcW w:w="218" w:type="pct"/>
            <w:gridSpan w:val="2"/>
            <w:shd w:val="clear" w:color="auto" w:fill="auto"/>
            <w:tcMar>
              <w:left w:w="17" w:type="dxa"/>
              <w:right w:w="17" w:type="dxa"/>
            </w:tcMar>
            <w:vAlign w:val="center"/>
          </w:tcPr>
          <w:p w14:paraId="37D46DD4"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6B8635C1" w14:textId="77777777" w:rsidR="001C56BD" w:rsidRPr="00F92667" w:rsidRDefault="001C56BD" w:rsidP="008A5C11">
            <w:pPr>
              <w:jc w:val="center"/>
              <w:rPr>
                <w:sz w:val="12"/>
                <w:szCs w:val="12"/>
              </w:rPr>
            </w:pPr>
            <w:r w:rsidRPr="00F92667">
              <w:rPr>
                <w:sz w:val="12"/>
                <w:szCs w:val="12"/>
              </w:rPr>
              <w:t>0,000</w:t>
            </w:r>
          </w:p>
        </w:tc>
        <w:tc>
          <w:tcPr>
            <w:tcW w:w="206" w:type="pct"/>
            <w:gridSpan w:val="2"/>
            <w:shd w:val="clear" w:color="auto" w:fill="auto"/>
            <w:tcMar>
              <w:left w:w="17" w:type="dxa"/>
              <w:right w:w="17" w:type="dxa"/>
            </w:tcMar>
            <w:vAlign w:val="center"/>
          </w:tcPr>
          <w:p w14:paraId="16C921DB"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3D248209" w14:textId="77777777" w:rsidR="001C56BD" w:rsidRPr="00F92667" w:rsidRDefault="001C56BD" w:rsidP="008A5C11">
            <w:pPr>
              <w:jc w:val="center"/>
              <w:rPr>
                <w:sz w:val="12"/>
                <w:szCs w:val="12"/>
              </w:rPr>
            </w:pPr>
            <w:r w:rsidRPr="00F92667">
              <w:rPr>
                <w:sz w:val="12"/>
                <w:szCs w:val="12"/>
              </w:rPr>
              <w:t>0,000</w:t>
            </w:r>
          </w:p>
        </w:tc>
        <w:tc>
          <w:tcPr>
            <w:tcW w:w="214" w:type="pct"/>
            <w:gridSpan w:val="2"/>
            <w:shd w:val="clear" w:color="auto" w:fill="auto"/>
            <w:tcMar>
              <w:left w:w="17" w:type="dxa"/>
              <w:right w:w="17" w:type="dxa"/>
            </w:tcMar>
            <w:vAlign w:val="center"/>
          </w:tcPr>
          <w:p w14:paraId="3C9D64F1"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7D364AF0"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26E5CDC7" w14:textId="77777777" w:rsidR="001C56BD" w:rsidRPr="00F92667" w:rsidRDefault="001C56BD" w:rsidP="008A5C11">
            <w:pPr>
              <w:jc w:val="center"/>
              <w:rPr>
                <w:sz w:val="12"/>
                <w:szCs w:val="12"/>
              </w:rPr>
            </w:pPr>
            <w:r w:rsidRPr="00F92667">
              <w:rPr>
                <w:sz w:val="12"/>
                <w:szCs w:val="12"/>
              </w:rPr>
              <w:t>0,000</w:t>
            </w:r>
          </w:p>
        </w:tc>
        <w:tc>
          <w:tcPr>
            <w:tcW w:w="214" w:type="pct"/>
            <w:gridSpan w:val="2"/>
            <w:shd w:val="clear" w:color="auto" w:fill="auto"/>
            <w:tcMar>
              <w:left w:w="17" w:type="dxa"/>
              <w:right w:w="17" w:type="dxa"/>
            </w:tcMar>
            <w:vAlign w:val="center"/>
          </w:tcPr>
          <w:p w14:paraId="5914170B" w14:textId="77777777" w:rsidR="001C56BD" w:rsidRPr="00F92667" w:rsidRDefault="001C56BD" w:rsidP="008A5C11">
            <w:pPr>
              <w:jc w:val="center"/>
              <w:rPr>
                <w:sz w:val="12"/>
                <w:szCs w:val="12"/>
              </w:rPr>
            </w:pPr>
            <w:r w:rsidRPr="00F92667">
              <w:rPr>
                <w:sz w:val="12"/>
                <w:szCs w:val="12"/>
              </w:rPr>
              <w:t>0,000</w:t>
            </w:r>
          </w:p>
        </w:tc>
        <w:tc>
          <w:tcPr>
            <w:tcW w:w="247" w:type="pct"/>
            <w:gridSpan w:val="2"/>
            <w:shd w:val="clear" w:color="auto" w:fill="auto"/>
            <w:tcMar>
              <w:left w:w="17" w:type="dxa"/>
              <w:right w:w="17" w:type="dxa"/>
            </w:tcMar>
            <w:vAlign w:val="center"/>
          </w:tcPr>
          <w:p w14:paraId="72C4F355" w14:textId="77777777" w:rsidR="001C56BD" w:rsidRPr="00F92667" w:rsidRDefault="001C56BD" w:rsidP="008A5C11">
            <w:pPr>
              <w:jc w:val="center"/>
              <w:rPr>
                <w:sz w:val="12"/>
                <w:szCs w:val="12"/>
              </w:rPr>
            </w:pPr>
            <w:r w:rsidRPr="00F92667">
              <w:rPr>
                <w:sz w:val="12"/>
                <w:szCs w:val="12"/>
              </w:rPr>
              <w:t>4534,534</w:t>
            </w:r>
          </w:p>
        </w:tc>
        <w:tc>
          <w:tcPr>
            <w:tcW w:w="173" w:type="pct"/>
            <w:shd w:val="clear" w:color="auto" w:fill="auto"/>
            <w:tcMar>
              <w:left w:w="17" w:type="dxa"/>
              <w:right w:w="17" w:type="dxa"/>
            </w:tcMar>
            <w:vAlign w:val="center"/>
          </w:tcPr>
          <w:p w14:paraId="08B80B21" w14:textId="77777777" w:rsidR="001C56BD" w:rsidRPr="00F92667" w:rsidRDefault="001C56BD" w:rsidP="008A5C11">
            <w:pPr>
              <w:jc w:val="center"/>
              <w:rPr>
                <w:sz w:val="12"/>
                <w:szCs w:val="12"/>
              </w:rPr>
            </w:pPr>
            <w:r w:rsidRPr="00F92667">
              <w:rPr>
                <w:sz w:val="12"/>
                <w:szCs w:val="12"/>
              </w:rPr>
              <w:t>0,000</w:t>
            </w:r>
          </w:p>
        </w:tc>
        <w:tc>
          <w:tcPr>
            <w:tcW w:w="169" w:type="pct"/>
            <w:shd w:val="clear" w:color="auto" w:fill="auto"/>
            <w:tcMar>
              <w:left w:w="17" w:type="dxa"/>
              <w:right w:w="17" w:type="dxa"/>
            </w:tcMar>
            <w:vAlign w:val="center"/>
          </w:tcPr>
          <w:p w14:paraId="178F9F39" w14:textId="77777777" w:rsidR="001C56BD" w:rsidRPr="00F92667" w:rsidRDefault="001C56BD" w:rsidP="008A5C11">
            <w:pPr>
              <w:jc w:val="center"/>
              <w:rPr>
                <w:sz w:val="12"/>
                <w:szCs w:val="12"/>
              </w:rPr>
            </w:pPr>
            <w:r w:rsidRPr="00F92667">
              <w:rPr>
                <w:sz w:val="12"/>
                <w:szCs w:val="12"/>
              </w:rPr>
              <w:t>0,000</w:t>
            </w:r>
          </w:p>
        </w:tc>
      </w:tr>
      <w:tr w:rsidR="001C56BD" w:rsidRPr="00F92667" w14:paraId="633B8CB3" w14:textId="77777777" w:rsidTr="008A5C11">
        <w:trPr>
          <w:gridBefore w:val="1"/>
          <w:wBefore w:w="3" w:type="pct"/>
          <w:trHeight w:val="694"/>
        </w:trPr>
        <w:tc>
          <w:tcPr>
            <w:tcW w:w="129" w:type="pct"/>
            <w:shd w:val="clear" w:color="auto" w:fill="auto"/>
            <w:tcMar>
              <w:left w:w="17" w:type="dxa"/>
              <w:right w:w="17" w:type="dxa"/>
            </w:tcMar>
            <w:vAlign w:val="center"/>
          </w:tcPr>
          <w:p w14:paraId="429094F6" w14:textId="77777777" w:rsidR="001C56BD" w:rsidRPr="00F92667" w:rsidRDefault="001C56BD" w:rsidP="008A5C11">
            <w:pPr>
              <w:jc w:val="center"/>
              <w:rPr>
                <w:bCs/>
                <w:sz w:val="12"/>
                <w:szCs w:val="12"/>
              </w:rPr>
            </w:pPr>
            <w:r w:rsidRPr="00F92667">
              <w:rPr>
                <w:bCs/>
                <w:sz w:val="12"/>
                <w:szCs w:val="12"/>
              </w:rPr>
              <w:t>1</w:t>
            </w:r>
          </w:p>
        </w:tc>
        <w:tc>
          <w:tcPr>
            <w:tcW w:w="305" w:type="pct"/>
            <w:shd w:val="clear" w:color="auto" w:fill="auto"/>
            <w:tcMar>
              <w:left w:w="17" w:type="dxa"/>
              <w:right w:w="17" w:type="dxa"/>
            </w:tcMar>
            <w:vAlign w:val="center"/>
          </w:tcPr>
          <w:p w14:paraId="3FAF7BCE" w14:textId="77777777" w:rsidR="001C56BD" w:rsidRPr="00F92667" w:rsidRDefault="001C56BD" w:rsidP="008A5C11">
            <w:pPr>
              <w:jc w:val="center"/>
              <w:rPr>
                <w:bCs/>
                <w:sz w:val="12"/>
                <w:szCs w:val="12"/>
              </w:rPr>
            </w:pPr>
            <w:r w:rsidRPr="00F92667">
              <w:rPr>
                <w:bCs/>
                <w:sz w:val="12"/>
                <w:szCs w:val="12"/>
              </w:rPr>
              <w:t>2</w:t>
            </w:r>
          </w:p>
        </w:tc>
        <w:tc>
          <w:tcPr>
            <w:tcW w:w="304" w:type="pct"/>
            <w:shd w:val="clear" w:color="auto" w:fill="auto"/>
            <w:tcMar>
              <w:left w:w="17" w:type="dxa"/>
              <w:right w:w="17" w:type="dxa"/>
            </w:tcMar>
            <w:vAlign w:val="center"/>
          </w:tcPr>
          <w:p w14:paraId="4A2D70E4" w14:textId="77777777" w:rsidR="001C56BD" w:rsidRPr="00F92667" w:rsidRDefault="001C56BD" w:rsidP="008A5C11">
            <w:pPr>
              <w:jc w:val="center"/>
              <w:rPr>
                <w:bCs/>
                <w:sz w:val="12"/>
                <w:szCs w:val="12"/>
              </w:rPr>
            </w:pPr>
            <w:r w:rsidRPr="00F92667">
              <w:rPr>
                <w:bCs/>
                <w:sz w:val="12"/>
                <w:szCs w:val="12"/>
              </w:rPr>
              <w:t>3</w:t>
            </w:r>
          </w:p>
        </w:tc>
        <w:tc>
          <w:tcPr>
            <w:tcW w:w="258" w:type="pct"/>
            <w:shd w:val="clear" w:color="auto" w:fill="auto"/>
            <w:tcMar>
              <w:left w:w="17" w:type="dxa"/>
              <w:right w:w="17" w:type="dxa"/>
            </w:tcMar>
            <w:vAlign w:val="center"/>
          </w:tcPr>
          <w:p w14:paraId="4C50B99D" w14:textId="77777777" w:rsidR="001C56BD" w:rsidRPr="00F92667" w:rsidRDefault="001C56BD" w:rsidP="008A5C11">
            <w:pPr>
              <w:jc w:val="center"/>
              <w:rPr>
                <w:bCs/>
                <w:sz w:val="12"/>
                <w:szCs w:val="12"/>
              </w:rPr>
            </w:pPr>
            <w:r w:rsidRPr="00F92667">
              <w:rPr>
                <w:bCs/>
                <w:sz w:val="12"/>
                <w:szCs w:val="12"/>
              </w:rPr>
              <w:t>4</w:t>
            </w:r>
          </w:p>
        </w:tc>
        <w:tc>
          <w:tcPr>
            <w:tcW w:w="294" w:type="pct"/>
            <w:shd w:val="clear" w:color="auto" w:fill="auto"/>
            <w:tcMar>
              <w:left w:w="17" w:type="dxa"/>
              <w:right w:w="17" w:type="dxa"/>
            </w:tcMar>
            <w:vAlign w:val="center"/>
          </w:tcPr>
          <w:p w14:paraId="4FED8D42" w14:textId="77777777" w:rsidR="001C56BD" w:rsidRPr="00F92667" w:rsidRDefault="001C56BD" w:rsidP="008A5C11">
            <w:pPr>
              <w:jc w:val="center"/>
              <w:rPr>
                <w:bCs/>
                <w:sz w:val="12"/>
                <w:szCs w:val="12"/>
              </w:rPr>
            </w:pPr>
            <w:r w:rsidRPr="00F92667">
              <w:rPr>
                <w:bCs/>
                <w:sz w:val="12"/>
                <w:szCs w:val="12"/>
              </w:rPr>
              <w:t>5</w:t>
            </w:r>
          </w:p>
        </w:tc>
        <w:tc>
          <w:tcPr>
            <w:tcW w:w="129" w:type="pct"/>
            <w:shd w:val="clear" w:color="auto" w:fill="auto"/>
            <w:tcMar>
              <w:left w:w="17" w:type="dxa"/>
              <w:right w:w="17" w:type="dxa"/>
            </w:tcMar>
            <w:vAlign w:val="center"/>
          </w:tcPr>
          <w:p w14:paraId="6750F2EB" w14:textId="77777777" w:rsidR="001C56BD" w:rsidRPr="00F92667" w:rsidRDefault="001C56BD" w:rsidP="008A5C11">
            <w:pPr>
              <w:jc w:val="center"/>
              <w:rPr>
                <w:bCs/>
                <w:sz w:val="12"/>
                <w:szCs w:val="12"/>
              </w:rPr>
            </w:pPr>
            <w:r w:rsidRPr="00F92667">
              <w:rPr>
                <w:bCs/>
                <w:sz w:val="12"/>
                <w:szCs w:val="12"/>
              </w:rPr>
              <w:t>6</w:t>
            </w:r>
          </w:p>
        </w:tc>
        <w:tc>
          <w:tcPr>
            <w:tcW w:w="184" w:type="pct"/>
            <w:shd w:val="clear" w:color="auto" w:fill="auto"/>
            <w:tcMar>
              <w:left w:w="17" w:type="dxa"/>
              <w:right w:w="17" w:type="dxa"/>
            </w:tcMar>
            <w:vAlign w:val="center"/>
          </w:tcPr>
          <w:p w14:paraId="27840853" w14:textId="77777777" w:rsidR="001C56BD" w:rsidRPr="00F92667" w:rsidRDefault="001C56BD" w:rsidP="008A5C11">
            <w:pPr>
              <w:jc w:val="center"/>
              <w:rPr>
                <w:bCs/>
                <w:sz w:val="12"/>
                <w:szCs w:val="12"/>
              </w:rPr>
            </w:pPr>
            <w:r w:rsidRPr="00F92667">
              <w:rPr>
                <w:bCs/>
                <w:sz w:val="12"/>
                <w:szCs w:val="12"/>
              </w:rPr>
              <w:t>7</w:t>
            </w:r>
          </w:p>
        </w:tc>
        <w:tc>
          <w:tcPr>
            <w:tcW w:w="219" w:type="pct"/>
            <w:shd w:val="clear" w:color="auto" w:fill="auto"/>
            <w:tcMar>
              <w:left w:w="17" w:type="dxa"/>
              <w:right w:w="17" w:type="dxa"/>
            </w:tcMar>
            <w:vAlign w:val="center"/>
          </w:tcPr>
          <w:p w14:paraId="0F4021A9" w14:textId="77777777" w:rsidR="001C56BD" w:rsidRPr="00F92667" w:rsidRDefault="001C56BD" w:rsidP="008A5C11">
            <w:pPr>
              <w:jc w:val="center"/>
              <w:rPr>
                <w:bCs/>
                <w:sz w:val="12"/>
                <w:szCs w:val="12"/>
              </w:rPr>
            </w:pPr>
            <w:r w:rsidRPr="00F92667">
              <w:rPr>
                <w:bCs/>
                <w:sz w:val="12"/>
                <w:szCs w:val="12"/>
              </w:rPr>
              <w:t>8</w:t>
            </w:r>
          </w:p>
        </w:tc>
        <w:tc>
          <w:tcPr>
            <w:tcW w:w="130" w:type="pct"/>
            <w:shd w:val="clear" w:color="auto" w:fill="auto"/>
            <w:tcMar>
              <w:left w:w="17" w:type="dxa"/>
              <w:right w:w="17" w:type="dxa"/>
            </w:tcMar>
            <w:vAlign w:val="center"/>
          </w:tcPr>
          <w:p w14:paraId="2A580B24" w14:textId="77777777" w:rsidR="001C56BD" w:rsidRPr="00F92667" w:rsidRDefault="001C56BD" w:rsidP="008A5C11">
            <w:pPr>
              <w:jc w:val="center"/>
              <w:rPr>
                <w:bCs/>
                <w:sz w:val="12"/>
                <w:szCs w:val="12"/>
              </w:rPr>
            </w:pPr>
            <w:r w:rsidRPr="00F92667">
              <w:rPr>
                <w:bCs/>
                <w:sz w:val="12"/>
                <w:szCs w:val="12"/>
              </w:rPr>
              <w:t>9</w:t>
            </w:r>
          </w:p>
        </w:tc>
        <w:tc>
          <w:tcPr>
            <w:tcW w:w="130" w:type="pct"/>
            <w:shd w:val="clear" w:color="auto" w:fill="auto"/>
            <w:tcMar>
              <w:left w:w="17" w:type="dxa"/>
              <w:right w:w="17" w:type="dxa"/>
            </w:tcMar>
            <w:vAlign w:val="center"/>
          </w:tcPr>
          <w:p w14:paraId="0EB02724" w14:textId="77777777" w:rsidR="001C56BD" w:rsidRPr="00F92667" w:rsidRDefault="001C56BD" w:rsidP="008A5C11">
            <w:pPr>
              <w:jc w:val="center"/>
              <w:rPr>
                <w:bCs/>
                <w:sz w:val="12"/>
                <w:szCs w:val="12"/>
              </w:rPr>
            </w:pPr>
            <w:r w:rsidRPr="00F92667">
              <w:rPr>
                <w:bCs/>
                <w:sz w:val="12"/>
                <w:szCs w:val="12"/>
              </w:rPr>
              <w:t>10</w:t>
            </w:r>
          </w:p>
        </w:tc>
        <w:tc>
          <w:tcPr>
            <w:tcW w:w="217" w:type="pct"/>
            <w:gridSpan w:val="2"/>
            <w:shd w:val="clear" w:color="auto" w:fill="auto"/>
            <w:tcMar>
              <w:left w:w="17" w:type="dxa"/>
              <w:right w:w="17" w:type="dxa"/>
            </w:tcMar>
            <w:vAlign w:val="center"/>
          </w:tcPr>
          <w:p w14:paraId="16DA595C" w14:textId="77777777" w:rsidR="001C56BD" w:rsidRPr="00F92667" w:rsidRDefault="001C56BD" w:rsidP="008A5C11">
            <w:pPr>
              <w:jc w:val="center"/>
              <w:rPr>
                <w:bCs/>
                <w:sz w:val="12"/>
                <w:szCs w:val="12"/>
              </w:rPr>
            </w:pPr>
            <w:r w:rsidRPr="00F92667">
              <w:rPr>
                <w:bCs/>
                <w:sz w:val="12"/>
                <w:szCs w:val="12"/>
              </w:rPr>
              <w:t>11</w:t>
            </w:r>
          </w:p>
        </w:tc>
        <w:tc>
          <w:tcPr>
            <w:tcW w:w="177" w:type="pct"/>
            <w:gridSpan w:val="2"/>
            <w:shd w:val="clear" w:color="auto" w:fill="auto"/>
            <w:tcMar>
              <w:left w:w="17" w:type="dxa"/>
              <w:right w:w="17" w:type="dxa"/>
            </w:tcMar>
            <w:vAlign w:val="center"/>
          </w:tcPr>
          <w:p w14:paraId="51A2EAA0" w14:textId="77777777" w:rsidR="001C56BD" w:rsidRPr="00F92667" w:rsidRDefault="001C56BD" w:rsidP="008A5C11">
            <w:pPr>
              <w:jc w:val="center"/>
              <w:rPr>
                <w:bCs/>
                <w:sz w:val="12"/>
                <w:szCs w:val="12"/>
              </w:rPr>
            </w:pPr>
            <w:r w:rsidRPr="00F92667">
              <w:rPr>
                <w:bCs/>
                <w:sz w:val="12"/>
                <w:szCs w:val="12"/>
              </w:rPr>
              <w:t>12</w:t>
            </w:r>
          </w:p>
        </w:tc>
        <w:tc>
          <w:tcPr>
            <w:tcW w:w="212" w:type="pct"/>
            <w:shd w:val="clear" w:color="auto" w:fill="auto"/>
            <w:tcMar>
              <w:left w:w="17" w:type="dxa"/>
              <w:right w:w="17" w:type="dxa"/>
            </w:tcMar>
            <w:vAlign w:val="center"/>
          </w:tcPr>
          <w:p w14:paraId="720FCB8C" w14:textId="77777777" w:rsidR="001C56BD" w:rsidRPr="00F92667" w:rsidRDefault="001C56BD" w:rsidP="008A5C11">
            <w:pPr>
              <w:jc w:val="center"/>
              <w:rPr>
                <w:bCs/>
                <w:sz w:val="12"/>
                <w:szCs w:val="12"/>
              </w:rPr>
            </w:pPr>
            <w:r w:rsidRPr="00F92667">
              <w:rPr>
                <w:bCs/>
                <w:sz w:val="12"/>
                <w:szCs w:val="12"/>
              </w:rPr>
              <w:t>13</w:t>
            </w:r>
          </w:p>
        </w:tc>
        <w:tc>
          <w:tcPr>
            <w:tcW w:w="218" w:type="pct"/>
            <w:gridSpan w:val="2"/>
            <w:shd w:val="clear" w:color="auto" w:fill="auto"/>
            <w:tcMar>
              <w:left w:w="17" w:type="dxa"/>
              <w:right w:w="17" w:type="dxa"/>
            </w:tcMar>
            <w:vAlign w:val="center"/>
          </w:tcPr>
          <w:p w14:paraId="6300A860" w14:textId="77777777" w:rsidR="001C56BD" w:rsidRPr="00F92667" w:rsidRDefault="001C56BD" w:rsidP="008A5C11">
            <w:pPr>
              <w:jc w:val="center"/>
              <w:rPr>
                <w:bCs/>
                <w:sz w:val="12"/>
                <w:szCs w:val="12"/>
              </w:rPr>
            </w:pPr>
            <w:r w:rsidRPr="00F92667">
              <w:rPr>
                <w:bCs/>
                <w:sz w:val="12"/>
                <w:szCs w:val="12"/>
              </w:rPr>
              <w:t>14</w:t>
            </w:r>
          </w:p>
        </w:tc>
        <w:tc>
          <w:tcPr>
            <w:tcW w:w="217" w:type="pct"/>
            <w:gridSpan w:val="2"/>
            <w:shd w:val="clear" w:color="auto" w:fill="auto"/>
            <w:tcMar>
              <w:left w:w="17" w:type="dxa"/>
              <w:right w:w="17" w:type="dxa"/>
            </w:tcMar>
            <w:vAlign w:val="center"/>
          </w:tcPr>
          <w:p w14:paraId="2B486815" w14:textId="77777777" w:rsidR="001C56BD" w:rsidRPr="00F92667" w:rsidRDefault="001C56BD" w:rsidP="008A5C11">
            <w:pPr>
              <w:jc w:val="center"/>
              <w:rPr>
                <w:bCs/>
                <w:sz w:val="12"/>
                <w:szCs w:val="12"/>
              </w:rPr>
            </w:pPr>
            <w:r w:rsidRPr="00F92667">
              <w:rPr>
                <w:bCs/>
                <w:sz w:val="12"/>
                <w:szCs w:val="12"/>
              </w:rPr>
              <w:t>15</w:t>
            </w:r>
          </w:p>
        </w:tc>
        <w:tc>
          <w:tcPr>
            <w:tcW w:w="206" w:type="pct"/>
            <w:gridSpan w:val="2"/>
            <w:tcMar>
              <w:left w:w="17" w:type="dxa"/>
              <w:right w:w="17" w:type="dxa"/>
            </w:tcMar>
            <w:vAlign w:val="center"/>
          </w:tcPr>
          <w:p w14:paraId="13CDB51D" w14:textId="77777777" w:rsidR="001C56BD" w:rsidRPr="00F92667" w:rsidRDefault="001C56BD" w:rsidP="008A5C11">
            <w:pPr>
              <w:jc w:val="center"/>
              <w:rPr>
                <w:bCs/>
                <w:sz w:val="12"/>
                <w:szCs w:val="12"/>
              </w:rPr>
            </w:pPr>
            <w:r w:rsidRPr="00F92667">
              <w:rPr>
                <w:bCs/>
                <w:sz w:val="12"/>
                <w:szCs w:val="12"/>
              </w:rPr>
              <w:t>16</w:t>
            </w:r>
          </w:p>
        </w:tc>
        <w:tc>
          <w:tcPr>
            <w:tcW w:w="217" w:type="pct"/>
            <w:gridSpan w:val="2"/>
            <w:tcMar>
              <w:left w:w="17" w:type="dxa"/>
              <w:right w:w="17" w:type="dxa"/>
            </w:tcMar>
            <w:vAlign w:val="center"/>
          </w:tcPr>
          <w:p w14:paraId="55A9D7F3" w14:textId="77777777" w:rsidR="001C56BD" w:rsidRPr="00F92667" w:rsidRDefault="001C56BD" w:rsidP="008A5C11">
            <w:pPr>
              <w:jc w:val="center"/>
              <w:rPr>
                <w:bCs/>
                <w:sz w:val="12"/>
                <w:szCs w:val="12"/>
              </w:rPr>
            </w:pPr>
            <w:r w:rsidRPr="00F92667">
              <w:rPr>
                <w:bCs/>
                <w:sz w:val="12"/>
                <w:szCs w:val="12"/>
              </w:rPr>
              <w:t>17</w:t>
            </w:r>
          </w:p>
        </w:tc>
        <w:tc>
          <w:tcPr>
            <w:tcW w:w="214" w:type="pct"/>
            <w:gridSpan w:val="2"/>
            <w:tcMar>
              <w:left w:w="17" w:type="dxa"/>
              <w:right w:w="17" w:type="dxa"/>
            </w:tcMar>
            <w:vAlign w:val="center"/>
          </w:tcPr>
          <w:p w14:paraId="6FCE6AE1" w14:textId="77777777" w:rsidR="001C56BD" w:rsidRPr="00F92667" w:rsidRDefault="001C56BD" w:rsidP="008A5C11">
            <w:pPr>
              <w:jc w:val="center"/>
              <w:rPr>
                <w:bCs/>
                <w:sz w:val="12"/>
                <w:szCs w:val="12"/>
              </w:rPr>
            </w:pPr>
            <w:r w:rsidRPr="00F92667">
              <w:rPr>
                <w:bCs/>
                <w:sz w:val="12"/>
                <w:szCs w:val="12"/>
              </w:rPr>
              <w:t>18</w:t>
            </w:r>
          </w:p>
        </w:tc>
        <w:tc>
          <w:tcPr>
            <w:tcW w:w="217" w:type="pct"/>
            <w:gridSpan w:val="2"/>
            <w:tcMar>
              <w:left w:w="17" w:type="dxa"/>
              <w:right w:w="17" w:type="dxa"/>
            </w:tcMar>
            <w:vAlign w:val="center"/>
          </w:tcPr>
          <w:p w14:paraId="5CE71F44" w14:textId="77777777" w:rsidR="001C56BD" w:rsidRPr="00F92667" w:rsidRDefault="001C56BD" w:rsidP="008A5C11">
            <w:pPr>
              <w:jc w:val="center"/>
              <w:rPr>
                <w:bCs/>
                <w:sz w:val="12"/>
                <w:szCs w:val="12"/>
              </w:rPr>
            </w:pPr>
            <w:r w:rsidRPr="00F92667">
              <w:rPr>
                <w:bCs/>
                <w:sz w:val="12"/>
                <w:szCs w:val="12"/>
              </w:rPr>
              <w:t>19</w:t>
            </w:r>
          </w:p>
        </w:tc>
        <w:tc>
          <w:tcPr>
            <w:tcW w:w="217" w:type="pct"/>
            <w:gridSpan w:val="2"/>
            <w:tcMar>
              <w:left w:w="17" w:type="dxa"/>
              <w:right w:w="17" w:type="dxa"/>
            </w:tcMar>
            <w:vAlign w:val="center"/>
          </w:tcPr>
          <w:p w14:paraId="29A75257" w14:textId="77777777" w:rsidR="001C56BD" w:rsidRPr="00F92667" w:rsidRDefault="001C56BD" w:rsidP="008A5C11">
            <w:pPr>
              <w:jc w:val="center"/>
              <w:rPr>
                <w:bCs/>
                <w:sz w:val="12"/>
                <w:szCs w:val="12"/>
              </w:rPr>
            </w:pPr>
            <w:r w:rsidRPr="00F92667">
              <w:rPr>
                <w:bCs/>
                <w:sz w:val="12"/>
                <w:szCs w:val="12"/>
              </w:rPr>
              <w:t>20</w:t>
            </w:r>
          </w:p>
        </w:tc>
        <w:tc>
          <w:tcPr>
            <w:tcW w:w="214" w:type="pct"/>
            <w:gridSpan w:val="2"/>
            <w:tcMar>
              <w:left w:w="17" w:type="dxa"/>
              <w:right w:w="17" w:type="dxa"/>
            </w:tcMar>
            <w:vAlign w:val="center"/>
          </w:tcPr>
          <w:p w14:paraId="130E96E5" w14:textId="77777777" w:rsidR="001C56BD" w:rsidRPr="00F92667" w:rsidRDefault="001C56BD" w:rsidP="008A5C11">
            <w:pPr>
              <w:jc w:val="center"/>
              <w:rPr>
                <w:bCs/>
                <w:sz w:val="12"/>
                <w:szCs w:val="12"/>
              </w:rPr>
            </w:pPr>
            <w:r w:rsidRPr="00F92667">
              <w:rPr>
                <w:bCs/>
                <w:sz w:val="12"/>
                <w:szCs w:val="12"/>
              </w:rPr>
              <w:t>21</w:t>
            </w:r>
          </w:p>
        </w:tc>
        <w:tc>
          <w:tcPr>
            <w:tcW w:w="247" w:type="pct"/>
            <w:gridSpan w:val="2"/>
            <w:tcMar>
              <w:left w:w="17" w:type="dxa"/>
              <w:right w:w="17" w:type="dxa"/>
            </w:tcMar>
            <w:vAlign w:val="center"/>
          </w:tcPr>
          <w:p w14:paraId="31BF8704" w14:textId="77777777" w:rsidR="001C56BD" w:rsidRPr="00F92667" w:rsidRDefault="001C56BD" w:rsidP="008A5C11">
            <w:pPr>
              <w:jc w:val="center"/>
              <w:rPr>
                <w:bCs/>
                <w:sz w:val="12"/>
                <w:szCs w:val="12"/>
              </w:rPr>
            </w:pPr>
            <w:r w:rsidRPr="00F92667">
              <w:rPr>
                <w:bCs/>
                <w:sz w:val="12"/>
                <w:szCs w:val="12"/>
              </w:rPr>
              <w:t>22</w:t>
            </w:r>
          </w:p>
        </w:tc>
        <w:tc>
          <w:tcPr>
            <w:tcW w:w="173" w:type="pct"/>
            <w:tcMar>
              <w:left w:w="17" w:type="dxa"/>
              <w:right w:w="17" w:type="dxa"/>
            </w:tcMar>
            <w:vAlign w:val="center"/>
          </w:tcPr>
          <w:p w14:paraId="1BAB644B" w14:textId="77777777" w:rsidR="001C56BD" w:rsidRPr="00F92667" w:rsidRDefault="001C56BD" w:rsidP="008A5C11">
            <w:pPr>
              <w:jc w:val="center"/>
              <w:rPr>
                <w:bCs/>
                <w:sz w:val="12"/>
                <w:szCs w:val="12"/>
              </w:rPr>
            </w:pPr>
            <w:r w:rsidRPr="00F92667">
              <w:rPr>
                <w:bCs/>
                <w:sz w:val="12"/>
                <w:szCs w:val="12"/>
              </w:rPr>
              <w:t>23</w:t>
            </w:r>
          </w:p>
        </w:tc>
        <w:tc>
          <w:tcPr>
            <w:tcW w:w="169" w:type="pct"/>
            <w:tcMar>
              <w:left w:w="17" w:type="dxa"/>
              <w:right w:w="17" w:type="dxa"/>
            </w:tcMar>
            <w:vAlign w:val="center"/>
          </w:tcPr>
          <w:p w14:paraId="193361CC" w14:textId="77777777" w:rsidR="001C56BD" w:rsidRPr="00F92667" w:rsidRDefault="001C56BD" w:rsidP="008A5C11">
            <w:pPr>
              <w:jc w:val="center"/>
              <w:rPr>
                <w:bCs/>
                <w:sz w:val="12"/>
                <w:szCs w:val="12"/>
              </w:rPr>
            </w:pPr>
            <w:r w:rsidRPr="00F92667">
              <w:rPr>
                <w:bCs/>
                <w:sz w:val="12"/>
                <w:szCs w:val="12"/>
              </w:rPr>
              <w:t>24</w:t>
            </w:r>
          </w:p>
        </w:tc>
      </w:tr>
      <w:tr w:rsidR="001C56BD" w:rsidRPr="00F92667" w14:paraId="0839D52D" w14:textId="77777777" w:rsidTr="008A5C11">
        <w:trPr>
          <w:gridBefore w:val="1"/>
          <w:wBefore w:w="3" w:type="pct"/>
          <w:trHeight w:val="897"/>
        </w:trPr>
        <w:tc>
          <w:tcPr>
            <w:tcW w:w="129" w:type="pct"/>
            <w:shd w:val="clear" w:color="auto" w:fill="auto"/>
            <w:tcMar>
              <w:left w:w="17" w:type="dxa"/>
              <w:right w:w="17" w:type="dxa"/>
            </w:tcMar>
            <w:vAlign w:val="center"/>
          </w:tcPr>
          <w:p w14:paraId="7E9194B4" w14:textId="77777777" w:rsidR="001C56BD" w:rsidRPr="00F92667" w:rsidRDefault="001C56BD" w:rsidP="008A5C11">
            <w:pPr>
              <w:jc w:val="center"/>
              <w:rPr>
                <w:sz w:val="12"/>
                <w:szCs w:val="12"/>
              </w:rPr>
            </w:pPr>
            <w:r w:rsidRPr="00F92667">
              <w:rPr>
                <w:sz w:val="12"/>
                <w:szCs w:val="12"/>
              </w:rPr>
              <w:t>3.1.2.</w:t>
            </w:r>
          </w:p>
        </w:tc>
        <w:tc>
          <w:tcPr>
            <w:tcW w:w="305" w:type="pct"/>
            <w:shd w:val="clear" w:color="auto" w:fill="auto"/>
            <w:tcMar>
              <w:left w:w="17" w:type="dxa"/>
              <w:right w:w="17" w:type="dxa"/>
            </w:tcMar>
            <w:vAlign w:val="center"/>
          </w:tcPr>
          <w:p w14:paraId="3202A9E3" w14:textId="77777777" w:rsidR="001C56BD" w:rsidRPr="00F92667" w:rsidRDefault="001C56BD" w:rsidP="008A5C11">
            <w:pPr>
              <w:rPr>
                <w:sz w:val="12"/>
                <w:szCs w:val="12"/>
              </w:rPr>
            </w:pPr>
            <w:r w:rsidRPr="00F92667">
              <w:rPr>
                <w:sz w:val="12"/>
                <w:szCs w:val="12"/>
              </w:rPr>
              <w:t>Реконструкция тепловой сети с реестровым номером 759665</w:t>
            </w:r>
          </w:p>
        </w:tc>
        <w:tc>
          <w:tcPr>
            <w:tcW w:w="304" w:type="pct"/>
            <w:shd w:val="clear" w:color="000000" w:fill="FFFFFF"/>
            <w:tcMar>
              <w:left w:w="17" w:type="dxa"/>
              <w:right w:w="17" w:type="dxa"/>
            </w:tcMar>
            <w:vAlign w:val="center"/>
          </w:tcPr>
          <w:p w14:paraId="2B3C43E8" w14:textId="77777777" w:rsidR="001C56BD" w:rsidRPr="00F92667" w:rsidRDefault="001C56BD" w:rsidP="008A5C11">
            <w:pPr>
              <w:jc w:val="center"/>
              <w:rPr>
                <w:sz w:val="12"/>
                <w:szCs w:val="12"/>
              </w:rPr>
            </w:pPr>
            <w:r w:rsidRPr="00F92667">
              <w:rPr>
                <w:color w:val="000000"/>
                <w:sz w:val="12"/>
                <w:szCs w:val="12"/>
              </w:rPr>
              <w:t>Повышение надежности услуг теплоснабжения, повышение энергетической эффективности</w:t>
            </w:r>
          </w:p>
        </w:tc>
        <w:tc>
          <w:tcPr>
            <w:tcW w:w="258" w:type="pct"/>
            <w:shd w:val="clear" w:color="auto" w:fill="auto"/>
            <w:tcMar>
              <w:left w:w="17" w:type="dxa"/>
              <w:right w:w="17" w:type="dxa"/>
            </w:tcMar>
            <w:vAlign w:val="center"/>
          </w:tcPr>
          <w:p w14:paraId="4205D7F9" w14:textId="77777777" w:rsidR="001C56BD" w:rsidRPr="00F92667" w:rsidRDefault="001C56BD" w:rsidP="008A5C11">
            <w:pPr>
              <w:jc w:val="center"/>
              <w:rPr>
                <w:sz w:val="12"/>
                <w:szCs w:val="12"/>
              </w:rPr>
            </w:pPr>
            <w:r w:rsidRPr="00F92667">
              <w:rPr>
                <w:sz w:val="12"/>
                <w:szCs w:val="12"/>
              </w:rPr>
              <w:t>Кемеровский городской округ, Кировский район, ул. Металлистов, от ТК 58</w:t>
            </w:r>
          </w:p>
        </w:tc>
        <w:tc>
          <w:tcPr>
            <w:tcW w:w="294" w:type="pct"/>
            <w:shd w:val="clear" w:color="auto" w:fill="auto"/>
            <w:tcMar>
              <w:left w:w="17" w:type="dxa"/>
              <w:right w:w="17" w:type="dxa"/>
            </w:tcMar>
            <w:vAlign w:val="center"/>
          </w:tcPr>
          <w:p w14:paraId="753B4A3D" w14:textId="77777777" w:rsidR="001C56BD" w:rsidRPr="00F92667" w:rsidRDefault="001C56BD" w:rsidP="008A5C11">
            <w:pPr>
              <w:jc w:val="center"/>
              <w:rPr>
                <w:sz w:val="12"/>
                <w:szCs w:val="12"/>
              </w:rPr>
            </w:pPr>
            <w:r w:rsidRPr="00F92667">
              <w:rPr>
                <w:color w:val="000000"/>
                <w:sz w:val="12"/>
                <w:szCs w:val="12"/>
              </w:rPr>
              <w:t>Технические характеристики</w:t>
            </w:r>
          </w:p>
        </w:tc>
        <w:tc>
          <w:tcPr>
            <w:tcW w:w="129" w:type="pct"/>
            <w:shd w:val="clear" w:color="auto" w:fill="auto"/>
            <w:tcMar>
              <w:left w:w="17" w:type="dxa"/>
              <w:right w:w="17" w:type="dxa"/>
            </w:tcMar>
            <w:vAlign w:val="center"/>
          </w:tcPr>
          <w:p w14:paraId="7E9BFDBE" w14:textId="77777777" w:rsidR="001C56BD" w:rsidRPr="00F92667" w:rsidRDefault="001C56BD" w:rsidP="008A5C11">
            <w:pPr>
              <w:jc w:val="center"/>
              <w:rPr>
                <w:color w:val="000000"/>
                <w:sz w:val="12"/>
                <w:szCs w:val="12"/>
              </w:rPr>
            </w:pPr>
          </w:p>
        </w:tc>
        <w:tc>
          <w:tcPr>
            <w:tcW w:w="184" w:type="pct"/>
            <w:shd w:val="clear" w:color="auto" w:fill="auto"/>
            <w:tcMar>
              <w:left w:w="17" w:type="dxa"/>
              <w:right w:w="17" w:type="dxa"/>
            </w:tcMar>
            <w:vAlign w:val="center"/>
          </w:tcPr>
          <w:p w14:paraId="41625E54" w14:textId="77777777" w:rsidR="001C56BD" w:rsidRPr="00F92667" w:rsidRDefault="001C56BD" w:rsidP="008A5C11">
            <w:pPr>
              <w:jc w:val="center"/>
              <w:rPr>
                <w:sz w:val="12"/>
                <w:szCs w:val="12"/>
              </w:rPr>
            </w:pPr>
            <w:r w:rsidRPr="00F92667">
              <w:rPr>
                <w:sz w:val="12"/>
                <w:szCs w:val="12"/>
              </w:rPr>
              <w:t xml:space="preserve">Канал-кирпич, опоры-хомутовые приварные, запорная арматура - стальная клиновая, антикоррозийная защита-лак БТ, труба-сталь 20, изоляция - мин. маты </w:t>
            </w:r>
          </w:p>
        </w:tc>
        <w:tc>
          <w:tcPr>
            <w:tcW w:w="219" w:type="pct"/>
            <w:shd w:val="clear" w:color="auto" w:fill="auto"/>
            <w:tcMar>
              <w:left w:w="17" w:type="dxa"/>
              <w:right w:w="17" w:type="dxa"/>
            </w:tcMar>
            <w:vAlign w:val="center"/>
          </w:tcPr>
          <w:p w14:paraId="75C9A38A" w14:textId="77777777" w:rsidR="001C56BD" w:rsidRPr="00F92667" w:rsidRDefault="001C56BD" w:rsidP="008A5C11">
            <w:pPr>
              <w:jc w:val="center"/>
              <w:rPr>
                <w:sz w:val="12"/>
                <w:szCs w:val="12"/>
              </w:rPr>
            </w:pPr>
            <w:r w:rsidRPr="00F92667">
              <w:rPr>
                <w:sz w:val="12"/>
                <w:szCs w:val="12"/>
              </w:rPr>
              <w:t xml:space="preserve">Канал-ж/б лотки, опоры-хомутовые с диэлектрической прокладкой, запорная арматура - кран шаровый, антикоррозийная защита-мастика Вектор 1214, 1025, труба-сталь 09Г2С, изоляция - маты прошивные, </w:t>
            </w:r>
            <w:proofErr w:type="gramStart"/>
            <w:r w:rsidRPr="00F92667">
              <w:rPr>
                <w:sz w:val="12"/>
                <w:szCs w:val="12"/>
              </w:rPr>
              <w:t>стеклоплас-тик</w:t>
            </w:r>
            <w:proofErr w:type="gramEnd"/>
            <w:r w:rsidRPr="00F92667">
              <w:rPr>
                <w:sz w:val="12"/>
                <w:szCs w:val="12"/>
              </w:rPr>
              <w:t xml:space="preserve">  </w:t>
            </w:r>
          </w:p>
        </w:tc>
        <w:tc>
          <w:tcPr>
            <w:tcW w:w="130" w:type="pct"/>
            <w:shd w:val="clear" w:color="auto" w:fill="auto"/>
            <w:tcMar>
              <w:left w:w="17" w:type="dxa"/>
              <w:right w:w="17" w:type="dxa"/>
            </w:tcMar>
            <w:vAlign w:val="center"/>
          </w:tcPr>
          <w:p w14:paraId="5393DBF8" w14:textId="77777777" w:rsidR="001C56BD" w:rsidRPr="00F92667" w:rsidRDefault="001C56BD" w:rsidP="008A5C11">
            <w:pPr>
              <w:jc w:val="center"/>
              <w:rPr>
                <w:sz w:val="12"/>
                <w:szCs w:val="12"/>
              </w:rPr>
            </w:pPr>
            <w:r w:rsidRPr="00F92667">
              <w:rPr>
                <w:sz w:val="12"/>
                <w:szCs w:val="12"/>
              </w:rPr>
              <w:t>2026</w:t>
            </w:r>
          </w:p>
        </w:tc>
        <w:tc>
          <w:tcPr>
            <w:tcW w:w="130" w:type="pct"/>
            <w:shd w:val="clear" w:color="auto" w:fill="auto"/>
            <w:tcMar>
              <w:left w:w="17" w:type="dxa"/>
              <w:right w:w="17" w:type="dxa"/>
            </w:tcMar>
            <w:vAlign w:val="center"/>
          </w:tcPr>
          <w:p w14:paraId="6A6A963A" w14:textId="77777777" w:rsidR="001C56BD" w:rsidRPr="00F92667" w:rsidRDefault="001C56BD" w:rsidP="008A5C11">
            <w:pPr>
              <w:jc w:val="center"/>
              <w:rPr>
                <w:sz w:val="12"/>
                <w:szCs w:val="12"/>
              </w:rPr>
            </w:pPr>
            <w:r w:rsidRPr="00F92667">
              <w:rPr>
                <w:sz w:val="12"/>
                <w:szCs w:val="12"/>
              </w:rPr>
              <w:t>2027</w:t>
            </w:r>
          </w:p>
        </w:tc>
        <w:tc>
          <w:tcPr>
            <w:tcW w:w="217" w:type="pct"/>
            <w:gridSpan w:val="2"/>
            <w:shd w:val="clear" w:color="auto" w:fill="auto"/>
            <w:tcMar>
              <w:left w:w="17" w:type="dxa"/>
              <w:right w:w="17" w:type="dxa"/>
            </w:tcMar>
            <w:vAlign w:val="center"/>
          </w:tcPr>
          <w:p w14:paraId="161226CF" w14:textId="77777777" w:rsidR="001C56BD" w:rsidRPr="00F92667" w:rsidRDefault="001C56BD" w:rsidP="008A5C11">
            <w:pPr>
              <w:jc w:val="center"/>
              <w:rPr>
                <w:sz w:val="12"/>
                <w:szCs w:val="12"/>
              </w:rPr>
            </w:pPr>
            <w:r w:rsidRPr="00F92667">
              <w:rPr>
                <w:sz w:val="12"/>
                <w:szCs w:val="12"/>
              </w:rPr>
              <w:t>13478,194</w:t>
            </w:r>
          </w:p>
        </w:tc>
        <w:tc>
          <w:tcPr>
            <w:tcW w:w="177" w:type="pct"/>
            <w:gridSpan w:val="2"/>
            <w:shd w:val="clear" w:color="auto" w:fill="auto"/>
            <w:tcMar>
              <w:left w:w="17" w:type="dxa"/>
              <w:right w:w="17" w:type="dxa"/>
            </w:tcMar>
            <w:vAlign w:val="center"/>
          </w:tcPr>
          <w:p w14:paraId="516790B7" w14:textId="77777777" w:rsidR="001C56BD" w:rsidRPr="00F92667" w:rsidRDefault="001C56BD" w:rsidP="008A5C11">
            <w:pPr>
              <w:jc w:val="center"/>
              <w:rPr>
                <w:sz w:val="12"/>
                <w:szCs w:val="12"/>
              </w:rPr>
            </w:pPr>
            <w:r w:rsidRPr="00F92667">
              <w:rPr>
                <w:sz w:val="12"/>
                <w:szCs w:val="12"/>
              </w:rPr>
              <w:t>0,000</w:t>
            </w:r>
          </w:p>
        </w:tc>
        <w:tc>
          <w:tcPr>
            <w:tcW w:w="212" w:type="pct"/>
            <w:shd w:val="clear" w:color="auto" w:fill="auto"/>
            <w:tcMar>
              <w:left w:w="17" w:type="dxa"/>
              <w:right w:w="17" w:type="dxa"/>
            </w:tcMar>
            <w:vAlign w:val="center"/>
          </w:tcPr>
          <w:p w14:paraId="0D279B31" w14:textId="77777777" w:rsidR="001C56BD" w:rsidRPr="00F92667" w:rsidRDefault="001C56BD" w:rsidP="008A5C11">
            <w:pPr>
              <w:jc w:val="center"/>
              <w:rPr>
                <w:sz w:val="12"/>
                <w:szCs w:val="12"/>
              </w:rPr>
            </w:pPr>
            <w:r w:rsidRPr="00F92667">
              <w:rPr>
                <w:sz w:val="12"/>
                <w:szCs w:val="12"/>
              </w:rPr>
              <w:t>0,000</w:t>
            </w:r>
          </w:p>
        </w:tc>
        <w:tc>
          <w:tcPr>
            <w:tcW w:w="218" w:type="pct"/>
            <w:gridSpan w:val="2"/>
            <w:shd w:val="clear" w:color="auto" w:fill="auto"/>
            <w:tcMar>
              <w:left w:w="17" w:type="dxa"/>
              <w:right w:w="17" w:type="dxa"/>
            </w:tcMar>
            <w:vAlign w:val="center"/>
          </w:tcPr>
          <w:p w14:paraId="4379710E"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24F30027" w14:textId="77777777" w:rsidR="001C56BD" w:rsidRPr="00F92667" w:rsidRDefault="001C56BD" w:rsidP="008A5C11">
            <w:pPr>
              <w:jc w:val="center"/>
              <w:rPr>
                <w:sz w:val="12"/>
                <w:szCs w:val="12"/>
              </w:rPr>
            </w:pPr>
            <w:r w:rsidRPr="00F92667">
              <w:rPr>
                <w:sz w:val="12"/>
                <w:szCs w:val="12"/>
              </w:rPr>
              <w:t>0,000</w:t>
            </w:r>
          </w:p>
        </w:tc>
        <w:tc>
          <w:tcPr>
            <w:tcW w:w="206" w:type="pct"/>
            <w:gridSpan w:val="2"/>
            <w:shd w:val="clear" w:color="auto" w:fill="auto"/>
            <w:tcMar>
              <w:left w:w="17" w:type="dxa"/>
              <w:right w:w="17" w:type="dxa"/>
            </w:tcMar>
            <w:vAlign w:val="center"/>
          </w:tcPr>
          <w:p w14:paraId="19599862"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1D37B4A1" w14:textId="77777777" w:rsidR="001C56BD" w:rsidRPr="00F92667" w:rsidRDefault="001C56BD" w:rsidP="008A5C11">
            <w:pPr>
              <w:jc w:val="center"/>
              <w:rPr>
                <w:sz w:val="12"/>
                <w:szCs w:val="12"/>
              </w:rPr>
            </w:pPr>
            <w:r w:rsidRPr="00F92667">
              <w:rPr>
                <w:sz w:val="12"/>
                <w:szCs w:val="12"/>
              </w:rPr>
              <w:t>9261,624</w:t>
            </w:r>
          </w:p>
        </w:tc>
        <w:tc>
          <w:tcPr>
            <w:tcW w:w="214" w:type="pct"/>
            <w:gridSpan w:val="2"/>
            <w:shd w:val="clear" w:color="auto" w:fill="auto"/>
            <w:tcMar>
              <w:left w:w="17" w:type="dxa"/>
              <w:right w:w="17" w:type="dxa"/>
            </w:tcMar>
            <w:vAlign w:val="center"/>
          </w:tcPr>
          <w:p w14:paraId="7D1953D5" w14:textId="77777777" w:rsidR="001C56BD" w:rsidRPr="00F92667" w:rsidRDefault="001C56BD" w:rsidP="008A5C11">
            <w:pPr>
              <w:jc w:val="center"/>
              <w:rPr>
                <w:sz w:val="12"/>
                <w:szCs w:val="12"/>
              </w:rPr>
            </w:pPr>
            <w:r w:rsidRPr="00F92667">
              <w:rPr>
                <w:sz w:val="12"/>
                <w:szCs w:val="12"/>
              </w:rPr>
              <w:t>4216,570</w:t>
            </w:r>
          </w:p>
        </w:tc>
        <w:tc>
          <w:tcPr>
            <w:tcW w:w="217" w:type="pct"/>
            <w:gridSpan w:val="2"/>
            <w:shd w:val="clear" w:color="auto" w:fill="auto"/>
            <w:tcMar>
              <w:left w:w="17" w:type="dxa"/>
              <w:right w:w="17" w:type="dxa"/>
            </w:tcMar>
            <w:vAlign w:val="center"/>
          </w:tcPr>
          <w:p w14:paraId="4FB2204B"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7F8DB848" w14:textId="77777777" w:rsidR="001C56BD" w:rsidRPr="00F92667" w:rsidRDefault="001C56BD" w:rsidP="008A5C11">
            <w:pPr>
              <w:jc w:val="center"/>
              <w:rPr>
                <w:sz w:val="12"/>
                <w:szCs w:val="12"/>
              </w:rPr>
            </w:pPr>
            <w:r w:rsidRPr="00F92667">
              <w:rPr>
                <w:sz w:val="12"/>
                <w:szCs w:val="12"/>
              </w:rPr>
              <w:t>0,000</w:t>
            </w:r>
          </w:p>
        </w:tc>
        <w:tc>
          <w:tcPr>
            <w:tcW w:w="214" w:type="pct"/>
            <w:gridSpan w:val="2"/>
            <w:shd w:val="clear" w:color="auto" w:fill="auto"/>
            <w:tcMar>
              <w:left w:w="17" w:type="dxa"/>
              <w:right w:w="17" w:type="dxa"/>
            </w:tcMar>
            <w:vAlign w:val="center"/>
          </w:tcPr>
          <w:p w14:paraId="7AE39697" w14:textId="77777777" w:rsidR="001C56BD" w:rsidRPr="00F92667" w:rsidRDefault="001C56BD" w:rsidP="008A5C11">
            <w:pPr>
              <w:jc w:val="center"/>
              <w:rPr>
                <w:sz w:val="12"/>
                <w:szCs w:val="12"/>
              </w:rPr>
            </w:pPr>
            <w:r w:rsidRPr="00F92667">
              <w:rPr>
                <w:sz w:val="12"/>
                <w:szCs w:val="12"/>
              </w:rPr>
              <w:t>0,000</w:t>
            </w:r>
          </w:p>
        </w:tc>
        <w:tc>
          <w:tcPr>
            <w:tcW w:w="247" w:type="pct"/>
            <w:gridSpan w:val="2"/>
            <w:shd w:val="clear" w:color="auto" w:fill="auto"/>
            <w:tcMar>
              <w:left w:w="17" w:type="dxa"/>
              <w:right w:w="17" w:type="dxa"/>
            </w:tcMar>
            <w:vAlign w:val="center"/>
          </w:tcPr>
          <w:p w14:paraId="0815298D" w14:textId="77777777" w:rsidR="001C56BD" w:rsidRPr="00F92667" w:rsidRDefault="001C56BD" w:rsidP="008A5C11">
            <w:pPr>
              <w:jc w:val="center"/>
              <w:rPr>
                <w:sz w:val="12"/>
                <w:szCs w:val="12"/>
              </w:rPr>
            </w:pPr>
            <w:r w:rsidRPr="00F92667">
              <w:rPr>
                <w:sz w:val="12"/>
                <w:szCs w:val="12"/>
              </w:rPr>
              <w:t>0,000</w:t>
            </w:r>
          </w:p>
        </w:tc>
        <w:tc>
          <w:tcPr>
            <w:tcW w:w="173" w:type="pct"/>
            <w:shd w:val="clear" w:color="auto" w:fill="auto"/>
            <w:tcMar>
              <w:left w:w="17" w:type="dxa"/>
              <w:right w:w="17" w:type="dxa"/>
            </w:tcMar>
            <w:vAlign w:val="center"/>
          </w:tcPr>
          <w:p w14:paraId="2EE7C217" w14:textId="77777777" w:rsidR="001C56BD" w:rsidRPr="00F92667" w:rsidRDefault="001C56BD" w:rsidP="008A5C11">
            <w:pPr>
              <w:jc w:val="center"/>
              <w:rPr>
                <w:sz w:val="12"/>
                <w:szCs w:val="12"/>
              </w:rPr>
            </w:pPr>
            <w:r w:rsidRPr="00F92667">
              <w:rPr>
                <w:sz w:val="12"/>
                <w:szCs w:val="12"/>
              </w:rPr>
              <w:t>0,000</w:t>
            </w:r>
          </w:p>
        </w:tc>
        <w:tc>
          <w:tcPr>
            <w:tcW w:w="169" w:type="pct"/>
            <w:shd w:val="clear" w:color="auto" w:fill="auto"/>
            <w:tcMar>
              <w:left w:w="17" w:type="dxa"/>
              <w:right w:w="17" w:type="dxa"/>
            </w:tcMar>
            <w:vAlign w:val="center"/>
          </w:tcPr>
          <w:p w14:paraId="0C0DCB38" w14:textId="77777777" w:rsidR="001C56BD" w:rsidRPr="00F92667" w:rsidRDefault="001C56BD" w:rsidP="008A5C11">
            <w:pPr>
              <w:jc w:val="center"/>
              <w:rPr>
                <w:sz w:val="12"/>
                <w:szCs w:val="12"/>
              </w:rPr>
            </w:pPr>
            <w:r w:rsidRPr="00F92667">
              <w:rPr>
                <w:sz w:val="12"/>
                <w:szCs w:val="12"/>
              </w:rPr>
              <w:t>0,000</w:t>
            </w:r>
          </w:p>
        </w:tc>
      </w:tr>
      <w:tr w:rsidR="001C56BD" w:rsidRPr="00F92667" w14:paraId="0B35A019" w14:textId="77777777" w:rsidTr="008A5C11">
        <w:trPr>
          <w:gridBefore w:val="1"/>
          <w:wBefore w:w="3" w:type="pct"/>
          <w:trHeight w:val="897"/>
        </w:trPr>
        <w:tc>
          <w:tcPr>
            <w:tcW w:w="129" w:type="pct"/>
            <w:shd w:val="clear" w:color="auto" w:fill="auto"/>
            <w:tcMar>
              <w:left w:w="17" w:type="dxa"/>
              <w:right w:w="17" w:type="dxa"/>
            </w:tcMar>
            <w:vAlign w:val="center"/>
          </w:tcPr>
          <w:p w14:paraId="2DB3CACF" w14:textId="77777777" w:rsidR="001C56BD" w:rsidRPr="00F92667" w:rsidRDefault="001C56BD" w:rsidP="008A5C11">
            <w:pPr>
              <w:jc w:val="center"/>
              <w:rPr>
                <w:sz w:val="12"/>
                <w:szCs w:val="12"/>
              </w:rPr>
            </w:pPr>
            <w:r w:rsidRPr="00F92667">
              <w:rPr>
                <w:sz w:val="12"/>
                <w:szCs w:val="12"/>
              </w:rPr>
              <w:t>3.1.3.</w:t>
            </w:r>
          </w:p>
        </w:tc>
        <w:tc>
          <w:tcPr>
            <w:tcW w:w="305" w:type="pct"/>
            <w:shd w:val="clear" w:color="auto" w:fill="auto"/>
            <w:tcMar>
              <w:left w:w="17" w:type="dxa"/>
              <w:right w:w="17" w:type="dxa"/>
            </w:tcMar>
            <w:vAlign w:val="center"/>
          </w:tcPr>
          <w:p w14:paraId="65782829" w14:textId="77777777" w:rsidR="001C56BD" w:rsidRPr="00F92667" w:rsidRDefault="001C56BD" w:rsidP="008A5C11">
            <w:pPr>
              <w:rPr>
                <w:sz w:val="12"/>
                <w:szCs w:val="12"/>
              </w:rPr>
            </w:pPr>
            <w:r w:rsidRPr="00F92667">
              <w:rPr>
                <w:sz w:val="12"/>
                <w:szCs w:val="12"/>
              </w:rPr>
              <w:t>Реконструкция тепловой сети с реестровым номером 759602</w:t>
            </w:r>
          </w:p>
        </w:tc>
        <w:tc>
          <w:tcPr>
            <w:tcW w:w="304" w:type="pct"/>
            <w:shd w:val="clear" w:color="000000" w:fill="FFFFFF"/>
            <w:tcMar>
              <w:left w:w="17" w:type="dxa"/>
              <w:right w:w="17" w:type="dxa"/>
            </w:tcMar>
            <w:vAlign w:val="center"/>
          </w:tcPr>
          <w:p w14:paraId="4DA9993E" w14:textId="77777777" w:rsidR="001C56BD" w:rsidRPr="00F92667" w:rsidRDefault="001C56BD" w:rsidP="008A5C11">
            <w:pPr>
              <w:jc w:val="center"/>
              <w:rPr>
                <w:sz w:val="12"/>
                <w:szCs w:val="12"/>
              </w:rPr>
            </w:pPr>
            <w:r w:rsidRPr="00F92667">
              <w:rPr>
                <w:color w:val="000000"/>
                <w:sz w:val="12"/>
                <w:szCs w:val="12"/>
              </w:rPr>
              <w:t>Повышение надежности услуг теплоснабжения, повышение энергетической эффективности</w:t>
            </w:r>
          </w:p>
        </w:tc>
        <w:tc>
          <w:tcPr>
            <w:tcW w:w="258" w:type="pct"/>
            <w:shd w:val="clear" w:color="auto" w:fill="auto"/>
            <w:tcMar>
              <w:left w:w="17" w:type="dxa"/>
              <w:right w:w="17" w:type="dxa"/>
            </w:tcMar>
            <w:vAlign w:val="center"/>
          </w:tcPr>
          <w:p w14:paraId="7E68AC06" w14:textId="77777777" w:rsidR="001C56BD" w:rsidRPr="00F92667" w:rsidRDefault="001C56BD" w:rsidP="008A5C11">
            <w:pPr>
              <w:jc w:val="center"/>
              <w:rPr>
                <w:sz w:val="12"/>
                <w:szCs w:val="12"/>
              </w:rPr>
            </w:pPr>
            <w:r w:rsidRPr="00F92667">
              <w:rPr>
                <w:sz w:val="12"/>
                <w:szCs w:val="12"/>
              </w:rPr>
              <w:t xml:space="preserve"> Кемеровский городской округ, Кировский район, северо-восточнее пересечения ул. Таежная и ул. Стройгородок, </w:t>
            </w:r>
            <w:proofErr w:type="gramStart"/>
            <w:r w:rsidRPr="00F92667">
              <w:rPr>
                <w:sz w:val="12"/>
                <w:szCs w:val="12"/>
              </w:rPr>
              <w:t>теплоснабже-ние</w:t>
            </w:r>
            <w:proofErr w:type="gramEnd"/>
          </w:p>
        </w:tc>
        <w:tc>
          <w:tcPr>
            <w:tcW w:w="294" w:type="pct"/>
            <w:shd w:val="clear" w:color="auto" w:fill="auto"/>
            <w:tcMar>
              <w:left w:w="17" w:type="dxa"/>
              <w:right w:w="17" w:type="dxa"/>
            </w:tcMar>
            <w:vAlign w:val="center"/>
          </w:tcPr>
          <w:p w14:paraId="109C4D7B" w14:textId="77777777" w:rsidR="001C56BD" w:rsidRPr="00F92667" w:rsidRDefault="001C56BD" w:rsidP="008A5C11">
            <w:pPr>
              <w:jc w:val="center"/>
              <w:rPr>
                <w:sz w:val="12"/>
                <w:szCs w:val="12"/>
              </w:rPr>
            </w:pPr>
            <w:r w:rsidRPr="00F92667">
              <w:rPr>
                <w:color w:val="000000"/>
                <w:sz w:val="12"/>
                <w:szCs w:val="12"/>
              </w:rPr>
              <w:t>Технические характеристики</w:t>
            </w:r>
          </w:p>
        </w:tc>
        <w:tc>
          <w:tcPr>
            <w:tcW w:w="129" w:type="pct"/>
            <w:shd w:val="clear" w:color="auto" w:fill="auto"/>
            <w:tcMar>
              <w:left w:w="17" w:type="dxa"/>
              <w:right w:w="17" w:type="dxa"/>
            </w:tcMar>
            <w:vAlign w:val="center"/>
          </w:tcPr>
          <w:p w14:paraId="57551F5B" w14:textId="77777777" w:rsidR="001C56BD" w:rsidRPr="00F92667" w:rsidRDefault="001C56BD" w:rsidP="008A5C11">
            <w:pPr>
              <w:jc w:val="center"/>
              <w:rPr>
                <w:color w:val="000000"/>
                <w:sz w:val="12"/>
                <w:szCs w:val="12"/>
              </w:rPr>
            </w:pPr>
          </w:p>
        </w:tc>
        <w:tc>
          <w:tcPr>
            <w:tcW w:w="184" w:type="pct"/>
            <w:shd w:val="clear" w:color="auto" w:fill="auto"/>
            <w:tcMar>
              <w:left w:w="17" w:type="dxa"/>
              <w:right w:w="17" w:type="dxa"/>
            </w:tcMar>
            <w:vAlign w:val="center"/>
          </w:tcPr>
          <w:p w14:paraId="77A0BE52" w14:textId="77777777" w:rsidR="001C56BD" w:rsidRPr="00F92667" w:rsidRDefault="001C56BD" w:rsidP="008A5C11">
            <w:pPr>
              <w:jc w:val="center"/>
              <w:rPr>
                <w:sz w:val="12"/>
                <w:szCs w:val="12"/>
              </w:rPr>
            </w:pPr>
            <w:r w:rsidRPr="00F92667">
              <w:rPr>
                <w:sz w:val="12"/>
                <w:szCs w:val="12"/>
              </w:rPr>
              <w:t xml:space="preserve">Канал-кирпич, опоры-хомутовые приварные, запорная арматура - стальная клиновая, антикоррозийная защита-лак БТ, труба-сталь 20, изоляция - мин. маты </w:t>
            </w:r>
          </w:p>
        </w:tc>
        <w:tc>
          <w:tcPr>
            <w:tcW w:w="219" w:type="pct"/>
            <w:shd w:val="clear" w:color="auto" w:fill="auto"/>
            <w:tcMar>
              <w:left w:w="17" w:type="dxa"/>
              <w:right w:w="17" w:type="dxa"/>
            </w:tcMar>
            <w:vAlign w:val="center"/>
          </w:tcPr>
          <w:p w14:paraId="6CB24EF1" w14:textId="77777777" w:rsidR="001C56BD" w:rsidRPr="00F92667" w:rsidRDefault="001C56BD" w:rsidP="008A5C11">
            <w:pPr>
              <w:jc w:val="center"/>
              <w:rPr>
                <w:sz w:val="12"/>
                <w:szCs w:val="12"/>
              </w:rPr>
            </w:pPr>
            <w:r w:rsidRPr="00F92667">
              <w:rPr>
                <w:sz w:val="12"/>
                <w:szCs w:val="12"/>
              </w:rPr>
              <w:t xml:space="preserve">Канал-ж/б лотки, опоры-хомутовые с диэлектрической прокладкой, запорная арматура - кран шаровый, антикоррозийная защита-мастика Вектор 1214, 1025, труба-сталь 09Г2С, изоляция - маты прошивные, </w:t>
            </w:r>
            <w:proofErr w:type="gramStart"/>
            <w:r w:rsidRPr="00F92667">
              <w:rPr>
                <w:sz w:val="12"/>
                <w:szCs w:val="12"/>
              </w:rPr>
              <w:t>стеклоплас-тик</w:t>
            </w:r>
            <w:proofErr w:type="gramEnd"/>
            <w:r w:rsidRPr="00F92667">
              <w:rPr>
                <w:sz w:val="12"/>
                <w:szCs w:val="12"/>
              </w:rPr>
              <w:t xml:space="preserve">  </w:t>
            </w:r>
          </w:p>
        </w:tc>
        <w:tc>
          <w:tcPr>
            <w:tcW w:w="130" w:type="pct"/>
            <w:shd w:val="clear" w:color="auto" w:fill="auto"/>
            <w:tcMar>
              <w:left w:w="17" w:type="dxa"/>
              <w:right w:w="17" w:type="dxa"/>
            </w:tcMar>
            <w:vAlign w:val="center"/>
          </w:tcPr>
          <w:p w14:paraId="0F8B56D6" w14:textId="77777777" w:rsidR="001C56BD" w:rsidRPr="00F92667" w:rsidRDefault="001C56BD" w:rsidP="008A5C11">
            <w:pPr>
              <w:jc w:val="center"/>
              <w:rPr>
                <w:sz w:val="12"/>
                <w:szCs w:val="12"/>
              </w:rPr>
            </w:pPr>
            <w:r w:rsidRPr="00F92667">
              <w:rPr>
                <w:sz w:val="12"/>
                <w:szCs w:val="12"/>
              </w:rPr>
              <w:t>2023</w:t>
            </w:r>
          </w:p>
        </w:tc>
        <w:tc>
          <w:tcPr>
            <w:tcW w:w="130" w:type="pct"/>
            <w:shd w:val="clear" w:color="auto" w:fill="auto"/>
            <w:tcMar>
              <w:left w:w="17" w:type="dxa"/>
              <w:right w:w="17" w:type="dxa"/>
            </w:tcMar>
            <w:vAlign w:val="center"/>
          </w:tcPr>
          <w:p w14:paraId="6F8EF6C7" w14:textId="77777777" w:rsidR="001C56BD" w:rsidRPr="00F92667" w:rsidRDefault="001C56BD" w:rsidP="008A5C11">
            <w:pPr>
              <w:jc w:val="center"/>
              <w:rPr>
                <w:sz w:val="12"/>
                <w:szCs w:val="12"/>
              </w:rPr>
            </w:pPr>
            <w:r w:rsidRPr="00F92667">
              <w:rPr>
                <w:sz w:val="12"/>
                <w:szCs w:val="12"/>
              </w:rPr>
              <w:t>2026</w:t>
            </w:r>
          </w:p>
        </w:tc>
        <w:tc>
          <w:tcPr>
            <w:tcW w:w="217" w:type="pct"/>
            <w:gridSpan w:val="2"/>
            <w:shd w:val="clear" w:color="auto" w:fill="auto"/>
            <w:tcMar>
              <w:left w:w="17" w:type="dxa"/>
              <w:right w:w="17" w:type="dxa"/>
            </w:tcMar>
            <w:vAlign w:val="center"/>
          </w:tcPr>
          <w:p w14:paraId="5A9E227B" w14:textId="77777777" w:rsidR="001C56BD" w:rsidRPr="00F92667" w:rsidRDefault="001C56BD" w:rsidP="008A5C11">
            <w:pPr>
              <w:jc w:val="center"/>
              <w:rPr>
                <w:sz w:val="12"/>
                <w:szCs w:val="12"/>
              </w:rPr>
            </w:pPr>
            <w:r w:rsidRPr="00F92667">
              <w:rPr>
                <w:sz w:val="12"/>
                <w:szCs w:val="12"/>
              </w:rPr>
              <w:t>26336,825</w:t>
            </w:r>
          </w:p>
        </w:tc>
        <w:tc>
          <w:tcPr>
            <w:tcW w:w="177" w:type="pct"/>
            <w:gridSpan w:val="2"/>
            <w:shd w:val="clear" w:color="auto" w:fill="auto"/>
            <w:tcMar>
              <w:left w:w="17" w:type="dxa"/>
              <w:right w:w="17" w:type="dxa"/>
            </w:tcMar>
            <w:vAlign w:val="center"/>
          </w:tcPr>
          <w:p w14:paraId="7F9DC1FD" w14:textId="77777777" w:rsidR="001C56BD" w:rsidRPr="00F92667" w:rsidRDefault="001C56BD" w:rsidP="008A5C11">
            <w:pPr>
              <w:jc w:val="center"/>
              <w:rPr>
                <w:sz w:val="12"/>
                <w:szCs w:val="12"/>
              </w:rPr>
            </w:pPr>
            <w:r w:rsidRPr="00F92667">
              <w:rPr>
                <w:sz w:val="12"/>
                <w:szCs w:val="12"/>
              </w:rPr>
              <w:t>0,000</w:t>
            </w:r>
          </w:p>
        </w:tc>
        <w:tc>
          <w:tcPr>
            <w:tcW w:w="212" w:type="pct"/>
            <w:shd w:val="clear" w:color="auto" w:fill="auto"/>
            <w:tcMar>
              <w:left w:w="17" w:type="dxa"/>
              <w:right w:w="17" w:type="dxa"/>
            </w:tcMar>
            <w:vAlign w:val="center"/>
          </w:tcPr>
          <w:p w14:paraId="62280A08" w14:textId="77777777" w:rsidR="001C56BD" w:rsidRPr="00F92667" w:rsidRDefault="001C56BD" w:rsidP="008A5C11">
            <w:pPr>
              <w:jc w:val="center"/>
              <w:rPr>
                <w:sz w:val="12"/>
                <w:szCs w:val="12"/>
              </w:rPr>
            </w:pPr>
            <w:r w:rsidRPr="00F92667">
              <w:rPr>
                <w:sz w:val="12"/>
                <w:szCs w:val="12"/>
              </w:rPr>
              <w:t>0,000</w:t>
            </w:r>
          </w:p>
        </w:tc>
        <w:tc>
          <w:tcPr>
            <w:tcW w:w="218" w:type="pct"/>
            <w:gridSpan w:val="2"/>
            <w:shd w:val="clear" w:color="auto" w:fill="auto"/>
            <w:tcMar>
              <w:left w:w="17" w:type="dxa"/>
              <w:right w:w="17" w:type="dxa"/>
            </w:tcMar>
            <w:vAlign w:val="center"/>
          </w:tcPr>
          <w:p w14:paraId="3515D050" w14:textId="77777777" w:rsidR="001C56BD" w:rsidRPr="00F92667" w:rsidRDefault="001C56BD" w:rsidP="008A5C11">
            <w:pPr>
              <w:jc w:val="center"/>
              <w:rPr>
                <w:sz w:val="12"/>
                <w:szCs w:val="12"/>
              </w:rPr>
            </w:pPr>
            <w:r w:rsidRPr="00F92667">
              <w:rPr>
                <w:sz w:val="12"/>
                <w:szCs w:val="12"/>
              </w:rPr>
              <w:t>7238,412</w:t>
            </w:r>
          </w:p>
        </w:tc>
        <w:tc>
          <w:tcPr>
            <w:tcW w:w="217" w:type="pct"/>
            <w:gridSpan w:val="2"/>
            <w:shd w:val="clear" w:color="auto" w:fill="auto"/>
            <w:tcMar>
              <w:left w:w="17" w:type="dxa"/>
              <w:right w:w="17" w:type="dxa"/>
            </w:tcMar>
            <w:vAlign w:val="center"/>
          </w:tcPr>
          <w:p w14:paraId="20E56D1F" w14:textId="77777777" w:rsidR="001C56BD" w:rsidRPr="00F92667" w:rsidRDefault="001C56BD" w:rsidP="008A5C11">
            <w:pPr>
              <w:jc w:val="center"/>
              <w:rPr>
                <w:sz w:val="12"/>
                <w:szCs w:val="12"/>
              </w:rPr>
            </w:pPr>
            <w:r w:rsidRPr="00F92667">
              <w:rPr>
                <w:sz w:val="12"/>
                <w:szCs w:val="12"/>
              </w:rPr>
              <w:t>4598,808</w:t>
            </w:r>
          </w:p>
        </w:tc>
        <w:tc>
          <w:tcPr>
            <w:tcW w:w="206" w:type="pct"/>
            <w:gridSpan w:val="2"/>
            <w:shd w:val="clear" w:color="auto" w:fill="auto"/>
            <w:tcMar>
              <w:left w:w="17" w:type="dxa"/>
              <w:right w:w="17" w:type="dxa"/>
            </w:tcMar>
            <w:vAlign w:val="center"/>
          </w:tcPr>
          <w:p w14:paraId="1C9812DC" w14:textId="77777777" w:rsidR="001C56BD" w:rsidRPr="00F92667" w:rsidRDefault="001C56BD" w:rsidP="008A5C11">
            <w:pPr>
              <w:jc w:val="center"/>
              <w:rPr>
                <w:sz w:val="12"/>
                <w:szCs w:val="12"/>
              </w:rPr>
            </w:pPr>
            <w:r w:rsidRPr="00F92667">
              <w:rPr>
                <w:sz w:val="12"/>
                <w:szCs w:val="12"/>
              </w:rPr>
              <w:t>4008,468</w:t>
            </w:r>
          </w:p>
        </w:tc>
        <w:tc>
          <w:tcPr>
            <w:tcW w:w="217" w:type="pct"/>
            <w:gridSpan w:val="2"/>
            <w:shd w:val="clear" w:color="auto" w:fill="auto"/>
            <w:tcMar>
              <w:left w:w="17" w:type="dxa"/>
              <w:right w:w="17" w:type="dxa"/>
            </w:tcMar>
            <w:vAlign w:val="center"/>
          </w:tcPr>
          <w:p w14:paraId="1118382C" w14:textId="77777777" w:rsidR="001C56BD" w:rsidRPr="00F92667" w:rsidRDefault="001C56BD" w:rsidP="008A5C11">
            <w:pPr>
              <w:jc w:val="center"/>
              <w:rPr>
                <w:sz w:val="12"/>
                <w:szCs w:val="12"/>
              </w:rPr>
            </w:pPr>
            <w:r w:rsidRPr="00F92667">
              <w:rPr>
                <w:sz w:val="12"/>
                <w:szCs w:val="12"/>
              </w:rPr>
              <w:t>10491,137</w:t>
            </w:r>
          </w:p>
        </w:tc>
        <w:tc>
          <w:tcPr>
            <w:tcW w:w="214" w:type="pct"/>
            <w:gridSpan w:val="2"/>
            <w:shd w:val="clear" w:color="auto" w:fill="auto"/>
            <w:tcMar>
              <w:left w:w="17" w:type="dxa"/>
              <w:right w:w="17" w:type="dxa"/>
            </w:tcMar>
            <w:vAlign w:val="center"/>
          </w:tcPr>
          <w:p w14:paraId="692FB6F0"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668A15EA"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5A778E18" w14:textId="77777777" w:rsidR="001C56BD" w:rsidRPr="00F92667" w:rsidRDefault="001C56BD" w:rsidP="008A5C11">
            <w:pPr>
              <w:jc w:val="center"/>
              <w:rPr>
                <w:sz w:val="12"/>
                <w:szCs w:val="12"/>
              </w:rPr>
            </w:pPr>
            <w:r w:rsidRPr="00F92667">
              <w:rPr>
                <w:sz w:val="12"/>
                <w:szCs w:val="12"/>
              </w:rPr>
              <w:t>0,000</w:t>
            </w:r>
          </w:p>
        </w:tc>
        <w:tc>
          <w:tcPr>
            <w:tcW w:w="214" w:type="pct"/>
            <w:gridSpan w:val="2"/>
            <w:shd w:val="clear" w:color="auto" w:fill="auto"/>
            <w:tcMar>
              <w:left w:w="17" w:type="dxa"/>
              <w:right w:w="17" w:type="dxa"/>
            </w:tcMar>
            <w:vAlign w:val="center"/>
          </w:tcPr>
          <w:p w14:paraId="379311A0" w14:textId="77777777" w:rsidR="001C56BD" w:rsidRPr="00F92667" w:rsidRDefault="001C56BD" w:rsidP="008A5C11">
            <w:pPr>
              <w:jc w:val="center"/>
              <w:rPr>
                <w:sz w:val="12"/>
                <w:szCs w:val="12"/>
              </w:rPr>
            </w:pPr>
            <w:r w:rsidRPr="00F92667">
              <w:rPr>
                <w:sz w:val="12"/>
                <w:szCs w:val="12"/>
              </w:rPr>
              <w:t>0,000</w:t>
            </w:r>
          </w:p>
        </w:tc>
        <w:tc>
          <w:tcPr>
            <w:tcW w:w="247" w:type="pct"/>
            <w:gridSpan w:val="2"/>
            <w:shd w:val="clear" w:color="auto" w:fill="auto"/>
            <w:tcMar>
              <w:left w:w="17" w:type="dxa"/>
              <w:right w:w="17" w:type="dxa"/>
            </w:tcMar>
            <w:vAlign w:val="center"/>
          </w:tcPr>
          <w:p w14:paraId="2017F7FA" w14:textId="77777777" w:rsidR="001C56BD" w:rsidRPr="00F92667" w:rsidRDefault="001C56BD" w:rsidP="008A5C11">
            <w:pPr>
              <w:jc w:val="center"/>
              <w:rPr>
                <w:sz w:val="12"/>
                <w:szCs w:val="12"/>
              </w:rPr>
            </w:pPr>
            <w:r w:rsidRPr="00F92667">
              <w:rPr>
                <w:sz w:val="12"/>
                <w:szCs w:val="12"/>
              </w:rPr>
              <w:t>0,000</w:t>
            </w:r>
          </w:p>
        </w:tc>
        <w:tc>
          <w:tcPr>
            <w:tcW w:w="173" w:type="pct"/>
            <w:shd w:val="clear" w:color="auto" w:fill="auto"/>
            <w:tcMar>
              <w:left w:w="17" w:type="dxa"/>
              <w:right w:w="17" w:type="dxa"/>
            </w:tcMar>
            <w:vAlign w:val="center"/>
          </w:tcPr>
          <w:p w14:paraId="5290E4EC" w14:textId="77777777" w:rsidR="001C56BD" w:rsidRPr="00F92667" w:rsidRDefault="001C56BD" w:rsidP="008A5C11">
            <w:pPr>
              <w:jc w:val="center"/>
              <w:rPr>
                <w:sz w:val="12"/>
                <w:szCs w:val="12"/>
              </w:rPr>
            </w:pPr>
            <w:r w:rsidRPr="00F92667">
              <w:rPr>
                <w:sz w:val="12"/>
                <w:szCs w:val="12"/>
              </w:rPr>
              <w:t>0,000</w:t>
            </w:r>
          </w:p>
        </w:tc>
        <w:tc>
          <w:tcPr>
            <w:tcW w:w="169" w:type="pct"/>
            <w:shd w:val="clear" w:color="auto" w:fill="auto"/>
            <w:tcMar>
              <w:left w:w="17" w:type="dxa"/>
              <w:right w:w="17" w:type="dxa"/>
            </w:tcMar>
            <w:vAlign w:val="center"/>
          </w:tcPr>
          <w:p w14:paraId="1BAB06EE" w14:textId="77777777" w:rsidR="001C56BD" w:rsidRPr="00F92667" w:rsidRDefault="001C56BD" w:rsidP="008A5C11">
            <w:pPr>
              <w:jc w:val="center"/>
              <w:rPr>
                <w:sz w:val="12"/>
                <w:szCs w:val="12"/>
              </w:rPr>
            </w:pPr>
            <w:r w:rsidRPr="00F92667">
              <w:rPr>
                <w:sz w:val="12"/>
                <w:szCs w:val="12"/>
              </w:rPr>
              <w:t>0,000</w:t>
            </w:r>
          </w:p>
        </w:tc>
      </w:tr>
      <w:tr w:rsidR="001C56BD" w:rsidRPr="00F92667" w14:paraId="3C409B5F" w14:textId="77777777" w:rsidTr="008A5C11">
        <w:trPr>
          <w:gridBefore w:val="1"/>
          <w:wBefore w:w="3" w:type="pct"/>
          <w:trHeight w:val="897"/>
        </w:trPr>
        <w:tc>
          <w:tcPr>
            <w:tcW w:w="129" w:type="pct"/>
            <w:shd w:val="clear" w:color="auto" w:fill="auto"/>
            <w:tcMar>
              <w:left w:w="17" w:type="dxa"/>
              <w:right w:w="17" w:type="dxa"/>
            </w:tcMar>
            <w:vAlign w:val="center"/>
          </w:tcPr>
          <w:p w14:paraId="234B8513" w14:textId="77777777" w:rsidR="001C56BD" w:rsidRPr="00F92667" w:rsidRDefault="001C56BD" w:rsidP="008A5C11">
            <w:pPr>
              <w:jc w:val="center"/>
              <w:rPr>
                <w:sz w:val="12"/>
                <w:szCs w:val="12"/>
              </w:rPr>
            </w:pPr>
            <w:r w:rsidRPr="00F92667">
              <w:rPr>
                <w:sz w:val="12"/>
                <w:szCs w:val="12"/>
              </w:rPr>
              <w:t>3.1.4.</w:t>
            </w:r>
          </w:p>
        </w:tc>
        <w:tc>
          <w:tcPr>
            <w:tcW w:w="305" w:type="pct"/>
            <w:shd w:val="clear" w:color="auto" w:fill="auto"/>
            <w:tcMar>
              <w:left w:w="17" w:type="dxa"/>
              <w:right w:w="17" w:type="dxa"/>
            </w:tcMar>
            <w:vAlign w:val="center"/>
          </w:tcPr>
          <w:p w14:paraId="233CE0E7" w14:textId="77777777" w:rsidR="001C56BD" w:rsidRPr="00F92667" w:rsidRDefault="001C56BD" w:rsidP="008A5C11">
            <w:pPr>
              <w:rPr>
                <w:sz w:val="12"/>
                <w:szCs w:val="12"/>
              </w:rPr>
            </w:pPr>
            <w:r w:rsidRPr="00F92667">
              <w:rPr>
                <w:sz w:val="12"/>
                <w:szCs w:val="12"/>
              </w:rPr>
              <w:t>Реконструкция тепловой сети с реестровым номером 759161</w:t>
            </w:r>
          </w:p>
        </w:tc>
        <w:tc>
          <w:tcPr>
            <w:tcW w:w="304" w:type="pct"/>
            <w:shd w:val="clear" w:color="000000" w:fill="FFFFFF"/>
            <w:tcMar>
              <w:left w:w="17" w:type="dxa"/>
              <w:right w:w="17" w:type="dxa"/>
            </w:tcMar>
            <w:vAlign w:val="center"/>
          </w:tcPr>
          <w:p w14:paraId="718CBDD4" w14:textId="77777777" w:rsidR="001C56BD" w:rsidRPr="00F92667" w:rsidRDefault="001C56BD" w:rsidP="008A5C11">
            <w:pPr>
              <w:jc w:val="center"/>
              <w:rPr>
                <w:sz w:val="12"/>
                <w:szCs w:val="12"/>
              </w:rPr>
            </w:pPr>
            <w:r w:rsidRPr="00F92667">
              <w:rPr>
                <w:color w:val="000000"/>
                <w:sz w:val="12"/>
                <w:szCs w:val="12"/>
              </w:rPr>
              <w:t>Повышение надежности услуг теплоснабжения, повышение энергетической эффективности</w:t>
            </w:r>
          </w:p>
        </w:tc>
        <w:tc>
          <w:tcPr>
            <w:tcW w:w="258" w:type="pct"/>
            <w:shd w:val="clear" w:color="auto" w:fill="auto"/>
            <w:tcMar>
              <w:left w:w="17" w:type="dxa"/>
              <w:right w:w="17" w:type="dxa"/>
            </w:tcMar>
            <w:vAlign w:val="center"/>
          </w:tcPr>
          <w:p w14:paraId="3F5B6BE5" w14:textId="77777777" w:rsidR="001C56BD" w:rsidRPr="00F92667" w:rsidRDefault="001C56BD" w:rsidP="008A5C11">
            <w:pPr>
              <w:jc w:val="center"/>
              <w:rPr>
                <w:sz w:val="12"/>
                <w:szCs w:val="12"/>
              </w:rPr>
            </w:pPr>
            <w:r w:rsidRPr="00F92667">
              <w:rPr>
                <w:sz w:val="12"/>
                <w:szCs w:val="12"/>
              </w:rPr>
              <w:t>Кемеровский городской округ, Кировский район, южнее пересечения ул.</w:t>
            </w:r>
            <w:proofErr w:type="gramStart"/>
            <w:r w:rsidRPr="00F92667">
              <w:rPr>
                <w:sz w:val="12"/>
                <w:szCs w:val="12"/>
              </w:rPr>
              <w:t>Инициатив-ная</w:t>
            </w:r>
            <w:proofErr w:type="gramEnd"/>
            <w:r w:rsidRPr="00F92667">
              <w:rPr>
                <w:sz w:val="12"/>
                <w:szCs w:val="12"/>
              </w:rPr>
              <w:t>, и ул.Алексан-дрова, теплоснабже-ние</w:t>
            </w:r>
          </w:p>
        </w:tc>
        <w:tc>
          <w:tcPr>
            <w:tcW w:w="294" w:type="pct"/>
            <w:shd w:val="clear" w:color="auto" w:fill="auto"/>
            <w:tcMar>
              <w:left w:w="17" w:type="dxa"/>
              <w:right w:w="17" w:type="dxa"/>
            </w:tcMar>
            <w:vAlign w:val="center"/>
          </w:tcPr>
          <w:p w14:paraId="31471007" w14:textId="77777777" w:rsidR="001C56BD" w:rsidRPr="00F92667" w:rsidRDefault="001C56BD" w:rsidP="008A5C11">
            <w:pPr>
              <w:jc w:val="center"/>
              <w:rPr>
                <w:sz w:val="12"/>
                <w:szCs w:val="12"/>
              </w:rPr>
            </w:pPr>
            <w:r w:rsidRPr="00F92667">
              <w:rPr>
                <w:color w:val="000000"/>
                <w:sz w:val="12"/>
                <w:szCs w:val="12"/>
              </w:rPr>
              <w:t>Технические характеристики</w:t>
            </w:r>
          </w:p>
        </w:tc>
        <w:tc>
          <w:tcPr>
            <w:tcW w:w="129" w:type="pct"/>
            <w:shd w:val="clear" w:color="auto" w:fill="auto"/>
            <w:tcMar>
              <w:left w:w="17" w:type="dxa"/>
              <w:right w:w="17" w:type="dxa"/>
            </w:tcMar>
            <w:vAlign w:val="center"/>
          </w:tcPr>
          <w:p w14:paraId="0E3E9C3C" w14:textId="77777777" w:rsidR="001C56BD" w:rsidRPr="00F92667" w:rsidRDefault="001C56BD" w:rsidP="008A5C11">
            <w:pPr>
              <w:jc w:val="center"/>
              <w:rPr>
                <w:color w:val="000000"/>
                <w:sz w:val="12"/>
                <w:szCs w:val="12"/>
              </w:rPr>
            </w:pPr>
          </w:p>
        </w:tc>
        <w:tc>
          <w:tcPr>
            <w:tcW w:w="184" w:type="pct"/>
            <w:shd w:val="clear" w:color="auto" w:fill="auto"/>
            <w:tcMar>
              <w:left w:w="17" w:type="dxa"/>
              <w:right w:w="17" w:type="dxa"/>
            </w:tcMar>
            <w:vAlign w:val="center"/>
          </w:tcPr>
          <w:p w14:paraId="12FC6C69" w14:textId="77777777" w:rsidR="001C56BD" w:rsidRPr="00F92667" w:rsidRDefault="001C56BD" w:rsidP="008A5C11">
            <w:pPr>
              <w:rPr>
                <w:sz w:val="12"/>
                <w:szCs w:val="12"/>
              </w:rPr>
            </w:pPr>
            <w:r w:rsidRPr="00F92667">
              <w:rPr>
                <w:sz w:val="12"/>
                <w:szCs w:val="12"/>
              </w:rPr>
              <w:t xml:space="preserve">Канал-кирпич, опоры-хомутовые приварные, запорная арматура - стальная клиновая, антикоррозийная защита-лак БТ, труба-сталь 20, изоляция - мин. маты </w:t>
            </w:r>
          </w:p>
        </w:tc>
        <w:tc>
          <w:tcPr>
            <w:tcW w:w="219" w:type="pct"/>
            <w:shd w:val="clear" w:color="auto" w:fill="auto"/>
            <w:tcMar>
              <w:left w:w="17" w:type="dxa"/>
              <w:right w:w="17" w:type="dxa"/>
            </w:tcMar>
            <w:vAlign w:val="center"/>
          </w:tcPr>
          <w:p w14:paraId="78D7BDF9" w14:textId="77777777" w:rsidR="001C56BD" w:rsidRPr="00F92667" w:rsidRDefault="001C56BD" w:rsidP="008A5C11">
            <w:pPr>
              <w:rPr>
                <w:sz w:val="12"/>
                <w:szCs w:val="12"/>
              </w:rPr>
            </w:pPr>
            <w:r w:rsidRPr="00F92667">
              <w:rPr>
                <w:sz w:val="12"/>
                <w:szCs w:val="12"/>
              </w:rPr>
              <w:t xml:space="preserve">Канал-ж/б лотки, опоры-хомутовые с диэлектрической прокладкой, запорная арматура - кран шаровый, антикоррозийная защита-мастика Вектор 1214, 1025, труба-сталь 09Г2С, изоляция - маты прошивные, </w:t>
            </w:r>
            <w:proofErr w:type="gramStart"/>
            <w:r w:rsidRPr="00F92667">
              <w:rPr>
                <w:sz w:val="12"/>
                <w:szCs w:val="12"/>
              </w:rPr>
              <w:t>стеклоплас-тик</w:t>
            </w:r>
            <w:proofErr w:type="gramEnd"/>
            <w:r w:rsidRPr="00F92667">
              <w:rPr>
                <w:sz w:val="12"/>
                <w:szCs w:val="12"/>
              </w:rPr>
              <w:t xml:space="preserve">  </w:t>
            </w:r>
          </w:p>
        </w:tc>
        <w:tc>
          <w:tcPr>
            <w:tcW w:w="130" w:type="pct"/>
            <w:shd w:val="clear" w:color="auto" w:fill="auto"/>
            <w:tcMar>
              <w:left w:w="17" w:type="dxa"/>
              <w:right w:w="17" w:type="dxa"/>
            </w:tcMar>
            <w:vAlign w:val="center"/>
          </w:tcPr>
          <w:p w14:paraId="07A004C1" w14:textId="77777777" w:rsidR="001C56BD" w:rsidRPr="00F92667" w:rsidRDefault="001C56BD" w:rsidP="008A5C11">
            <w:pPr>
              <w:jc w:val="center"/>
              <w:rPr>
                <w:sz w:val="12"/>
                <w:szCs w:val="12"/>
              </w:rPr>
            </w:pPr>
            <w:r w:rsidRPr="00F92667">
              <w:rPr>
                <w:sz w:val="12"/>
                <w:szCs w:val="12"/>
              </w:rPr>
              <w:t>2029</w:t>
            </w:r>
          </w:p>
        </w:tc>
        <w:tc>
          <w:tcPr>
            <w:tcW w:w="130" w:type="pct"/>
            <w:shd w:val="clear" w:color="auto" w:fill="auto"/>
            <w:tcMar>
              <w:left w:w="17" w:type="dxa"/>
              <w:right w:w="17" w:type="dxa"/>
            </w:tcMar>
            <w:vAlign w:val="center"/>
          </w:tcPr>
          <w:p w14:paraId="20E30701" w14:textId="77777777" w:rsidR="001C56BD" w:rsidRPr="00F92667" w:rsidRDefault="001C56BD" w:rsidP="008A5C11">
            <w:pPr>
              <w:jc w:val="center"/>
              <w:rPr>
                <w:sz w:val="12"/>
                <w:szCs w:val="12"/>
              </w:rPr>
            </w:pPr>
            <w:r w:rsidRPr="00F92667">
              <w:rPr>
                <w:sz w:val="12"/>
                <w:szCs w:val="12"/>
              </w:rPr>
              <w:t>2029</w:t>
            </w:r>
          </w:p>
        </w:tc>
        <w:tc>
          <w:tcPr>
            <w:tcW w:w="217" w:type="pct"/>
            <w:gridSpan w:val="2"/>
            <w:shd w:val="clear" w:color="auto" w:fill="auto"/>
            <w:tcMar>
              <w:left w:w="17" w:type="dxa"/>
              <w:right w:w="17" w:type="dxa"/>
            </w:tcMar>
            <w:vAlign w:val="center"/>
          </w:tcPr>
          <w:p w14:paraId="40906F41" w14:textId="77777777" w:rsidR="001C56BD" w:rsidRPr="00F92667" w:rsidRDefault="001C56BD" w:rsidP="008A5C11">
            <w:pPr>
              <w:jc w:val="center"/>
              <w:rPr>
                <w:sz w:val="12"/>
                <w:szCs w:val="12"/>
              </w:rPr>
            </w:pPr>
            <w:r w:rsidRPr="00F92667">
              <w:rPr>
                <w:sz w:val="12"/>
                <w:szCs w:val="12"/>
              </w:rPr>
              <w:t>10061,388</w:t>
            </w:r>
          </w:p>
        </w:tc>
        <w:tc>
          <w:tcPr>
            <w:tcW w:w="177" w:type="pct"/>
            <w:gridSpan w:val="2"/>
            <w:shd w:val="clear" w:color="auto" w:fill="auto"/>
            <w:tcMar>
              <w:left w:w="17" w:type="dxa"/>
              <w:right w:w="17" w:type="dxa"/>
            </w:tcMar>
            <w:vAlign w:val="center"/>
          </w:tcPr>
          <w:p w14:paraId="0008EBCE" w14:textId="77777777" w:rsidR="001C56BD" w:rsidRPr="00F92667" w:rsidRDefault="001C56BD" w:rsidP="008A5C11">
            <w:pPr>
              <w:jc w:val="center"/>
              <w:rPr>
                <w:sz w:val="12"/>
                <w:szCs w:val="12"/>
              </w:rPr>
            </w:pPr>
            <w:r w:rsidRPr="00F92667">
              <w:rPr>
                <w:sz w:val="12"/>
                <w:szCs w:val="12"/>
              </w:rPr>
              <w:t>0,000</w:t>
            </w:r>
          </w:p>
        </w:tc>
        <w:tc>
          <w:tcPr>
            <w:tcW w:w="212" w:type="pct"/>
            <w:shd w:val="clear" w:color="auto" w:fill="auto"/>
            <w:tcMar>
              <w:left w:w="17" w:type="dxa"/>
              <w:right w:w="17" w:type="dxa"/>
            </w:tcMar>
            <w:vAlign w:val="center"/>
          </w:tcPr>
          <w:p w14:paraId="714AF37B" w14:textId="77777777" w:rsidR="001C56BD" w:rsidRPr="00F92667" w:rsidRDefault="001C56BD" w:rsidP="008A5C11">
            <w:pPr>
              <w:jc w:val="center"/>
              <w:rPr>
                <w:sz w:val="12"/>
                <w:szCs w:val="12"/>
              </w:rPr>
            </w:pPr>
            <w:r w:rsidRPr="00F92667">
              <w:rPr>
                <w:sz w:val="12"/>
                <w:szCs w:val="12"/>
              </w:rPr>
              <w:t>0,000</w:t>
            </w:r>
          </w:p>
        </w:tc>
        <w:tc>
          <w:tcPr>
            <w:tcW w:w="218" w:type="pct"/>
            <w:gridSpan w:val="2"/>
            <w:shd w:val="clear" w:color="auto" w:fill="auto"/>
            <w:tcMar>
              <w:left w:w="17" w:type="dxa"/>
              <w:right w:w="17" w:type="dxa"/>
            </w:tcMar>
            <w:vAlign w:val="center"/>
          </w:tcPr>
          <w:p w14:paraId="636BB7FC"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367E213A" w14:textId="77777777" w:rsidR="001C56BD" w:rsidRPr="00F92667" w:rsidRDefault="001C56BD" w:rsidP="008A5C11">
            <w:pPr>
              <w:jc w:val="center"/>
              <w:rPr>
                <w:sz w:val="12"/>
                <w:szCs w:val="12"/>
              </w:rPr>
            </w:pPr>
            <w:r w:rsidRPr="00F92667">
              <w:rPr>
                <w:sz w:val="12"/>
                <w:szCs w:val="12"/>
              </w:rPr>
              <w:t>0,000</w:t>
            </w:r>
          </w:p>
        </w:tc>
        <w:tc>
          <w:tcPr>
            <w:tcW w:w="206" w:type="pct"/>
            <w:gridSpan w:val="2"/>
            <w:shd w:val="clear" w:color="auto" w:fill="auto"/>
            <w:tcMar>
              <w:left w:w="17" w:type="dxa"/>
              <w:right w:w="17" w:type="dxa"/>
            </w:tcMar>
            <w:vAlign w:val="center"/>
          </w:tcPr>
          <w:p w14:paraId="1FCD9061"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2C2898B4" w14:textId="77777777" w:rsidR="001C56BD" w:rsidRPr="00F92667" w:rsidRDefault="001C56BD" w:rsidP="008A5C11">
            <w:pPr>
              <w:jc w:val="center"/>
              <w:rPr>
                <w:sz w:val="12"/>
                <w:szCs w:val="12"/>
              </w:rPr>
            </w:pPr>
            <w:r w:rsidRPr="00F92667">
              <w:rPr>
                <w:sz w:val="12"/>
                <w:szCs w:val="12"/>
              </w:rPr>
              <w:t>0,000</w:t>
            </w:r>
          </w:p>
        </w:tc>
        <w:tc>
          <w:tcPr>
            <w:tcW w:w="214" w:type="pct"/>
            <w:gridSpan w:val="2"/>
            <w:shd w:val="clear" w:color="auto" w:fill="auto"/>
            <w:tcMar>
              <w:left w:w="17" w:type="dxa"/>
              <w:right w:w="17" w:type="dxa"/>
            </w:tcMar>
            <w:vAlign w:val="center"/>
          </w:tcPr>
          <w:p w14:paraId="2C770576"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6D195210"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7F6E139D" w14:textId="77777777" w:rsidR="001C56BD" w:rsidRPr="00F92667" w:rsidRDefault="001C56BD" w:rsidP="008A5C11">
            <w:pPr>
              <w:jc w:val="center"/>
              <w:rPr>
                <w:sz w:val="12"/>
                <w:szCs w:val="12"/>
              </w:rPr>
            </w:pPr>
            <w:r w:rsidRPr="00F92667">
              <w:rPr>
                <w:sz w:val="12"/>
                <w:szCs w:val="12"/>
              </w:rPr>
              <w:t>10061,388</w:t>
            </w:r>
          </w:p>
        </w:tc>
        <w:tc>
          <w:tcPr>
            <w:tcW w:w="214" w:type="pct"/>
            <w:gridSpan w:val="2"/>
            <w:shd w:val="clear" w:color="auto" w:fill="auto"/>
            <w:tcMar>
              <w:left w:w="17" w:type="dxa"/>
              <w:right w:w="17" w:type="dxa"/>
            </w:tcMar>
            <w:vAlign w:val="center"/>
          </w:tcPr>
          <w:p w14:paraId="3CF36C24" w14:textId="77777777" w:rsidR="001C56BD" w:rsidRPr="00F92667" w:rsidRDefault="001C56BD" w:rsidP="008A5C11">
            <w:pPr>
              <w:jc w:val="center"/>
              <w:rPr>
                <w:sz w:val="12"/>
                <w:szCs w:val="12"/>
              </w:rPr>
            </w:pPr>
            <w:r w:rsidRPr="00F92667">
              <w:rPr>
                <w:sz w:val="12"/>
                <w:szCs w:val="12"/>
              </w:rPr>
              <w:t>0,000</w:t>
            </w:r>
          </w:p>
        </w:tc>
        <w:tc>
          <w:tcPr>
            <w:tcW w:w="247" w:type="pct"/>
            <w:gridSpan w:val="2"/>
            <w:shd w:val="clear" w:color="auto" w:fill="auto"/>
            <w:tcMar>
              <w:left w:w="17" w:type="dxa"/>
              <w:right w:w="17" w:type="dxa"/>
            </w:tcMar>
            <w:vAlign w:val="center"/>
          </w:tcPr>
          <w:p w14:paraId="61886F87" w14:textId="77777777" w:rsidR="001C56BD" w:rsidRPr="00F92667" w:rsidRDefault="001C56BD" w:rsidP="008A5C11">
            <w:pPr>
              <w:jc w:val="center"/>
              <w:rPr>
                <w:sz w:val="12"/>
                <w:szCs w:val="12"/>
              </w:rPr>
            </w:pPr>
            <w:r w:rsidRPr="00F92667">
              <w:rPr>
                <w:sz w:val="12"/>
                <w:szCs w:val="12"/>
              </w:rPr>
              <w:t>0,000</w:t>
            </w:r>
          </w:p>
        </w:tc>
        <w:tc>
          <w:tcPr>
            <w:tcW w:w="173" w:type="pct"/>
            <w:shd w:val="clear" w:color="auto" w:fill="auto"/>
            <w:tcMar>
              <w:left w:w="17" w:type="dxa"/>
              <w:right w:w="17" w:type="dxa"/>
            </w:tcMar>
            <w:vAlign w:val="center"/>
          </w:tcPr>
          <w:p w14:paraId="4A2B6EB3" w14:textId="77777777" w:rsidR="001C56BD" w:rsidRPr="00F92667" w:rsidRDefault="001C56BD" w:rsidP="008A5C11">
            <w:pPr>
              <w:jc w:val="center"/>
              <w:rPr>
                <w:sz w:val="12"/>
                <w:szCs w:val="12"/>
              </w:rPr>
            </w:pPr>
            <w:r w:rsidRPr="00F92667">
              <w:rPr>
                <w:sz w:val="12"/>
                <w:szCs w:val="12"/>
              </w:rPr>
              <w:t>0,000</w:t>
            </w:r>
          </w:p>
        </w:tc>
        <w:tc>
          <w:tcPr>
            <w:tcW w:w="169" w:type="pct"/>
            <w:shd w:val="clear" w:color="auto" w:fill="auto"/>
            <w:tcMar>
              <w:left w:w="17" w:type="dxa"/>
              <w:right w:w="17" w:type="dxa"/>
            </w:tcMar>
            <w:vAlign w:val="center"/>
          </w:tcPr>
          <w:p w14:paraId="7F42AF00" w14:textId="77777777" w:rsidR="001C56BD" w:rsidRPr="00F92667" w:rsidRDefault="001C56BD" w:rsidP="008A5C11">
            <w:pPr>
              <w:jc w:val="center"/>
              <w:rPr>
                <w:sz w:val="12"/>
                <w:szCs w:val="12"/>
              </w:rPr>
            </w:pPr>
            <w:r w:rsidRPr="00F92667">
              <w:rPr>
                <w:sz w:val="12"/>
                <w:szCs w:val="12"/>
              </w:rPr>
              <w:t>0,000</w:t>
            </w:r>
          </w:p>
        </w:tc>
      </w:tr>
      <w:tr w:rsidR="001C56BD" w:rsidRPr="00F92667" w14:paraId="7937ADB2" w14:textId="77777777" w:rsidTr="008A5C11">
        <w:trPr>
          <w:gridBefore w:val="1"/>
          <w:wBefore w:w="3" w:type="pct"/>
          <w:trHeight w:val="897"/>
        </w:trPr>
        <w:tc>
          <w:tcPr>
            <w:tcW w:w="129" w:type="pct"/>
            <w:shd w:val="clear" w:color="auto" w:fill="auto"/>
            <w:tcMar>
              <w:left w:w="17" w:type="dxa"/>
              <w:right w:w="17" w:type="dxa"/>
            </w:tcMar>
            <w:vAlign w:val="center"/>
          </w:tcPr>
          <w:p w14:paraId="15955578" w14:textId="77777777" w:rsidR="001C56BD" w:rsidRPr="00F92667" w:rsidRDefault="001C56BD" w:rsidP="008A5C11">
            <w:pPr>
              <w:jc w:val="center"/>
              <w:rPr>
                <w:bCs/>
                <w:sz w:val="12"/>
                <w:szCs w:val="12"/>
              </w:rPr>
            </w:pPr>
            <w:r w:rsidRPr="00F92667">
              <w:rPr>
                <w:bCs/>
                <w:sz w:val="12"/>
                <w:szCs w:val="12"/>
              </w:rPr>
              <w:t>1</w:t>
            </w:r>
          </w:p>
        </w:tc>
        <w:tc>
          <w:tcPr>
            <w:tcW w:w="305" w:type="pct"/>
            <w:shd w:val="clear" w:color="auto" w:fill="auto"/>
            <w:tcMar>
              <w:left w:w="17" w:type="dxa"/>
              <w:right w:w="17" w:type="dxa"/>
            </w:tcMar>
            <w:vAlign w:val="center"/>
          </w:tcPr>
          <w:p w14:paraId="1CFC9AC9" w14:textId="77777777" w:rsidR="001C56BD" w:rsidRPr="00F92667" w:rsidRDefault="001C56BD" w:rsidP="008A5C11">
            <w:pPr>
              <w:jc w:val="center"/>
              <w:rPr>
                <w:bCs/>
                <w:sz w:val="12"/>
                <w:szCs w:val="12"/>
              </w:rPr>
            </w:pPr>
            <w:r w:rsidRPr="00F92667">
              <w:rPr>
                <w:bCs/>
                <w:sz w:val="12"/>
                <w:szCs w:val="12"/>
              </w:rPr>
              <w:t>2</w:t>
            </w:r>
          </w:p>
        </w:tc>
        <w:tc>
          <w:tcPr>
            <w:tcW w:w="304" w:type="pct"/>
            <w:shd w:val="clear" w:color="auto" w:fill="auto"/>
            <w:tcMar>
              <w:left w:w="17" w:type="dxa"/>
              <w:right w:w="17" w:type="dxa"/>
            </w:tcMar>
            <w:vAlign w:val="center"/>
          </w:tcPr>
          <w:p w14:paraId="21CAE1B8" w14:textId="77777777" w:rsidR="001C56BD" w:rsidRPr="00F92667" w:rsidRDefault="001C56BD" w:rsidP="008A5C11">
            <w:pPr>
              <w:jc w:val="center"/>
              <w:rPr>
                <w:bCs/>
                <w:sz w:val="12"/>
                <w:szCs w:val="12"/>
              </w:rPr>
            </w:pPr>
            <w:r w:rsidRPr="00F92667">
              <w:rPr>
                <w:bCs/>
                <w:sz w:val="12"/>
                <w:szCs w:val="12"/>
              </w:rPr>
              <w:t>3</w:t>
            </w:r>
          </w:p>
        </w:tc>
        <w:tc>
          <w:tcPr>
            <w:tcW w:w="258" w:type="pct"/>
            <w:shd w:val="clear" w:color="auto" w:fill="auto"/>
            <w:tcMar>
              <w:left w:w="17" w:type="dxa"/>
              <w:right w:w="17" w:type="dxa"/>
            </w:tcMar>
            <w:vAlign w:val="center"/>
          </w:tcPr>
          <w:p w14:paraId="7F421B5E" w14:textId="77777777" w:rsidR="001C56BD" w:rsidRPr="00F92667" w:rsidRDefault="001C56BD" w:rsidP="008A5C11">
            <w:pPr>
              <w:jc w:val="center"/>
              <w:rPr>
                <w:bCs/>
                <w:sz w:val="12"/>
                <w:szCs w:val="12"/>
              </w:rPr>
            </w:pPr>
            <w:r w:rsidRPr="00F92667">
              <w:rPr>
                <w:bCs/>
                <w:sz w:val="12"/>
                <w:szCs w:val="12"/>
              </w:rPr>
              <w:t>4</w:t>
            </w:r>
          </w:p>
        </w:tc>
        <w:tc>
          <w:tcPr>
            <w:tcW w:w="294" w:type="pct"/>
            <w:shd w:val="clear" w:color="auto" w:fill="auto"/>
            <w:tcMar>
              <w:left w:w="17" w:type="dxa"/>
              <w:right w:w="17" w:type="dxa"/>
            </w:tcMar>
            <w:vAlign w:val="center"/>
          </w:tcPr>
          <w:p w14:paraId="2620E8F3" w14:textId="77777777" w:rsidR="001C56BD" w:rsidRPr="00F92667" w:rsidRDefault="001C56BD" w:rsidP="008A5C11">
            <w:pPr>
              <w:jc w:val="center"/>
              <w:rPr>
                <w:bCs/>
                <w:sz w:val="12"/>
                <w:szCs w:val="12"/>
              </w:rPr>
            </w:pPr>
            <w:r w:rsidRPr="00F92667">
              <w:rPr>
                <w:bCs/>
                <w:sz w:val="12"/>
                <w:szCs w:val="12"/>
              </w:rPr>
              <w:t>5</w:t>
            </w:r>
          </w:p>
        </w:tc>
        <w:tc>
          <w:tcPr>
            <w:tcW w:w="129" w:type="pct"/>
            <w:shd w:val="clear" w:color="auto" w:fill="auto"/>
            <w:tcMar>
              <w:left w:w="17" w:type="dxa"/>
              <w:right w:w="17" w:type="dxa"/>
            </w:tcMar>
            <w:vAlign w:val="center"/>
          </w:tcPr>
          <w:p w14:paraId="5795793C" w14:textId="77777777" w:rsidR="001C56BD" w:rsidRPr="00F92667" w:rsidRDefault="001C56BD" w:rsidP="008A5C11">
            <w:pPr>
              <w:jc w:val="center"/>
              <w:rPr>
                <w:bCs/>
                <w:sz w:val="12"/>
                <w:szCs w:val="12"/>
              </w:rPr>
            </w:pPr>
            <w:r w:rsidRPr="00F92667">
              <w:rPr>
                <w:bCs/>
                <w:sz w:val="12"/>
                <w:szCs w:val="12"/>
              </w:rPr>
              <w:t>6</w:t>
            </w:r>
          </w:p>
        </w:tc>
        <w:tc>
          <w:tcPr>
            <w:tcW w:w="184" w:type="pct"/>
            <w:shd w:val="clear" w:color="auto" w:fill="auto"/>
            <w:tcMar>
              <w:left w:w="17" w:type="dxa"/>
              <w:right w:w="17" w:type="dxa"/>
            </w:tcMar>
            <w:vAlign w:val="center"/>
          </w:tcPr>
          <w:p w14:paraId="1C58CD2A" w14:textId="77777777" w:rsidR="001C56BD" w:rsidRPr="00F92667" w:rsidRDefault="001C56BD" w:rsidP="008A5C11">
            <w:pPr>
              <w:jc w:val="center"/>
              <w:rPr>
                <w:bCs/>
                <w:sz w:val="12"/>
                <w:szCs w:val="12"/>
              </w:rPr>
            </w:pPr>
            <w:r w:rsidRPr="00F92667">
              <w:rPr>
                <w:bCs/>
                <w:sz w:val="12"/>
                <w:szCs w:val="12"/>
              </w:rPr>
              <w:t>7</w:t>
            </w:r>
          </w:p>
        </w:tc>
        <w:tc>
          <w:tcPr>
            <w:tcW w:w="219" w:type="pct"/>
            <w:shd w:val="clear" w:color="auto" w:fill="auto"/>
            <w:tcMar>
              <w:left w:w="17" w:type="dxa"/>
              <w:right w:w="17" w:type="dxa"/>
            </w:tcMar>
            <w:vAlign w:val="center"/>
          </w:tcPr>
          <w:p w14:paraId="15C379FC" w14:textId="77777777" w:rsidR="001C56BD" w:rsidRPr="00F92667" w:rsidRDefault="001C56BD" w:rsidP="008A5C11">
            <w:pPr>
              <w:jc w:val="center"/>
              <w:rPr>
                <w:bCs/>
                <w:sz w:val="12"/>
                <w:szCs w:val="12"/>
              </w:rPr>
            </w:pPr>
            <w:r w:rsidRPr="00F92667">
              <w:rPr>
                <w:bCs/>
                <w:sz w:val="12"/>
                <w:szCs w:val="12"/>
              </w:rPr>
              <w:t>8</w:t>
            </w:r>
          </w:p>
        </w:tc>
        <w:tc>
          <w:tcPr>
            <w:tcW w:w="130" w:type="pct"/>
            <w:shd w:val="clear" w:color="auto" w:fill="auto"/>
            <w:tcMar>
              <w:left w:w="17" w:type="dxa"/>
              <w:right w:w="17" w:type="dxa"/>
            </w:tcMar>
            <w:vAlign w:val="center"/>
          </w:tcPr>
          <w:p w14:paraId="072B7518" w14:textId="77777777" w:rsidR="001C56BD" w:rsidRPr="00F92667" w:rsidRDefault="001C56BD" w:rsidP="008A5C11">
            <w:pPr>
              <w:jc w:val="center"/>
              <w:rPr>
                <w:bCs/>
                <w:sz w:val="12"/>
                <w:szCs w:val="12"/>
              </w:rPr>
            </w:pPr>
            <w:r w:rsidRPr="00F92667">
              <w:rPr>
                <w:bCs/>
                <w:sz w:val="12"/>
                <w:szCs w:val="12"/>
              </w:rPr>
              <w:t>9</w:t>
            </w:r>
          </w:p>
        </w:tc>
        <w:tc>
          <w:tcPr>
            <w:tcW w:w="130" w:type="pct"/>
            <w:shd w:val="clear" w:color="auto" w:fill="auto"/>
            <w:tcMar>
              <w:left w:w="17" w:type="dxa"/>
              <w:right w:w="17" w:type="dxa"/>
            </w:tcMar>
            <w:vAlign w:val="center"/>
          </w:tcPr>
          <w:p w14:paraId="2937C434" w14:textId="77777777" w:rsidR="001C56BD" w:rsidRPr="00F92667" w:rsidRDefault="001C56BD" w:rsidP="008A5C11">
            <w:pPr>
              <w:jc w:val="center"/>
              <w:rPr>
                <w:bCs/>
                <w:sz w:val="12"/>
                <w:szCs w:val="12"/>
              </w:rPr>
            </w:pPr>
            <w:r w:rsidRPr="00F92667">
              <w:rPr>
                <w:bCs/>
                <w:sz w:val="12"/>
                <w:szCs w:val="12"/>
              </w:rPr>
              <w:t>10</w:t>
            </w:r>
          </w:p>
        </w:tc>
        <w:tc>
          <w:tcPr>
            <w:tcW w:w="217" w:type="pct"/>
            <w:gridSpan w:val="2"/>
            <w:shd w:val="clear" w:color="auto" w:fill="auto"/>
            <w:tcMar>
              <w:left w:w="17" w:type="dxa"/>
              <w:right w:w="17" w:type="dxa"/>
            </w:tcMar>
            <w:vAlign w:val="center"/>
          </w:tcPr>
          <w:p w14:paraId="5B6ED85B" w14:textId="77777777" w:rsidR="001C56BD" w:rsidRPr="00F92667" w:rsidRDefault="001C56BD" w:rsidP="008A5C11">
            <w:pPr>
              <w:jc w:val="center"/>
              <w:rPr>
                <w:bCs/>
                <w:sz w:val="12"/>
                <w:szCs w:val="12"/>
              </w:rPr>
            </w:pPr>
            <w:r w:rsidRPr="00F92667">
              <w:rPr>
                <w:bCs/>
                <w:sz w:val="12"/>
                <w:szCs w:val="12"/>
              </w:rPr>
              <w:t>11</w:t>
            </w:r>
          </w:p>
        </w:tc>
        <w:tc>
          <w:tcPr>
            <w:tcW w:w="177" w:type="pct"/>
            <w:gridSpan w:val="2"/>
            <w:shd w:val="clear" w:color="auto" w:fill="auto"/>
            <w:tcMar>
              <w:left w:w="17" w:type="dxa"/>
              <w:right w:w="17" w:type="dxa"/>
            </w:tcMar>
            <w:vAlign w:val="center"/>
          </w:tcPr>
          <w:p w14:paraId="466EF041" w14:textId="77777777" w:rsidR="001C56BD" w:rsidRPr="00F92667" w:rsidRDefault="001C56BD" w:rsidP="008A5C11">
            <w:pPr>
              <w:jc w:val="center"/>
              <w:rPr>
                <w:bCs/>
                <w:sz w:val="12"/>
                <w:szCs w:val="12"/>
              </w:rPr>
            </w:pPr>
            <w:r w:rsidRPr="00F92667">
              <w:rPr>
                <w:bCs/>
                <w:sz w:val="12"/>
                <w:szCs w:val="12"/>
              </w:rPr>
              <w:t>12</w:t>
            </w:r>
          </w:p>
        </w:tc>
        <w:tc>
          <w:tcPr>
            <w:tcW w:w="212" w:type="pct"/>
            <w:shd w:val="clear" w:color="auto" w:fill="auto"/>
            <w:tcMar>
              <w:left w:w="17" w:type="dxa"/>
              <w:right w:w="17" w:type="dxa"/>
            </w:tcMar>
            <w:vAlign w:val="center"/>
          </w:tcPr>
          <w:p w14:paraId="2903B53F" w14:textId="77777777" w:rsidR="001C56BD" w:rsidRPr="00F92667" w:rsidRDefault="001C56BD" w:rsidP="008A5C11">
            <w:pPr>
              <w:jc w:val="center"/>
              <w:rPr>
                <w:bCs/>
                <w:sz w:val="12"/>
                <w:szCs w:val="12"/>
              </w:rPr>
            </w:pPr>
            <w:r w:rsidRPr="00F92667">
              <w:rPr>
                <w:bCs/>
                <w:sz w:val="12"/>
                <w:szCs w:val="12"/>
              </w:rPr>
              <w:t>13</w:t>
            </w:r>
          </w:p>
        </w:tc>
        <w:tc>
          <w:tcPr>
            <w:tcW w:w="218" w:type="pct"/>
            <w:gridSpan w:val="2"/>
            <w:shd w:val="clear" w:color="auto" w:fill="auto"/>
            <w:tcMar>
              <w:left w:w="17" w:type="dxa"/>
              <w:right w:w="17" w:type="dxa"/>
            </w:tcMar>
            <w:vAlign w:val="center"/>
          </w:tcPr>
          <w:p w14:paraId="0E4CFE3E" w14:textId="77777777" w:rsidR="001C56BD" w:rsidRPr="00F92667" w:rsidRDefault="001C56BD" w:rsidP="008A5C11">
            <w:pPr>
              <w:jc w:val="center"/>
              <w:rPr>
                <w:bCs/>
                <w:sz w:val="12"/>
                <w:szCs w:val="12"/>
              </w:rPr>
            </w:pPr>
            <w:r w:rsidRPr="00F92667">
              <w:rPr>
                <w:bCs/>
                <w:sz w:val="12"/>
                <w:szCs w:val="12"/>
              </w:rPr>
              <w:t>14</w:t>
            </w:r>
          </w:p>
        </w:tc>
        <w:tc>
          <w:tcPr>
            <w:tcW w:w="217" w:type="pct"/>
            <w:gridSpan w:val="2"/>
            <w:shd w:val="clear" w:color="auto" w:fill="auto"/>
            <w:tcMar>
              <w:left w:w="17" w:type="dxa"/>
              <w:right w:w="17" w:type="dxa"/>
            </w:tcMar>
            <w:vAlign w:val="center"/>
          </w:tcPr>
          <w:p w14:paraId="3AC24785" w14:textId="77777777" w:rsidR="001C56BD" w:rsidRPr="00F92667" w:rsidRDefault="001C56BD" w:rsidP="008A5C11">
            <w:pPr>
              <w:jc w:val="center"/>
              <w:rPr>
                <w:bCs/>
                <w:sz w:val="12"/>
                <w:szCs w:val="12"/>
              </w:rPr>
            </w:pPr>
            <w:r w:rsidRPr="00F92667">
              <w:rPr>
                <w:bCs/>
                <w:sz w:val="12"/>
                <w:szCs w:val="12"/>
              </w:rPr>
              <w:t>15</w:t>
            </w:r>
          </w:p>
        </w:tc>
        <w:tc>
          <w:tcPr>
            <w:tcW w:w="206" w:type="pct"/>
            <w:gridSpan w:val="2"/>
            <w:tcMar>
              <w:left w:w="17" w:type="dxa"/>
              <w:right w:w="17" w:type="dxa"/>
            </w:tcMar>
            <w:vAlign w:val="center"/>
          </w:tcPr>
          <w:p w14:paraId="4A3E9F98" w14:textId="77777777" w:rsidR="001C56BD" w:rsidRPr="00F92667" w:rsidRDefault="001C56BD" w:rsidP="008A5C11">
            <w:pPr>
              <w:jc w:val="center"/>
              <w:rPr>
                <w:bCs/>
                <w:sz w:val="12"/>
                <w:szCs w:val="12"/>
              </w:rPr>
            </w:pPr>
            <w:r w:rsidRPr="00F92667">
              <w:rPr>
                <w:bCs/>
                <w:sz w:val="12"/>
                <w:szCs w:val="12"/>
              </w:rPr>
              <w:t>16</w:t>
            </w:r>
          </w:p>
        </w:tc>
        <w:tc>
          <w:tcPr>
            <w:tcW w:w="217" w:type="pct"/>
            <w:gridSpan w:val="2"/>
            <w:tcMar>
              <w:left w:w="17" w:type="dxa"/>
              <w:right w:w="17" w:type="dxa"/>
            </w:tcMar>
            <w:vAlign w:val="center"/>
          </w:tcPr>
          <w:p w14:paraId="5F7D61BC" w14:textId="77777777" w:rsidR="001C56BD" w:rsidRPr="00F92667" w:rsidRDefault="001C56BD" w:rsidP="008A5C11">
            <w:pPr>
              <w:jc w:val="center"/>
              <w:rPr>
                <w:bCs/>
                <w:sz w:val="12"/>
                <w:szCs w:val="12"/>
              </w:rPr>
            </w:pPr>
            <w:r w:rsidRPr="00F92667">
              <w:rPr>
                <w:bCs/>
                <w:sz w:val="12"/>
                <w:szCs w:val="12"/>
              </w:rPr>
              <w:t>17</w:t>
            </w:r>
          </w:p>
        </w:tc>
        <w:tc>
          <w:tcPr>
            <w:tcW w:w="214" w:type="pct"/>
            <w:gridSpan w:val="2"/>
            <w:tcMar>
              <w:left w:w="17" w:type="dxa"/>
              <w:right w:w="17" w:type="dxa"/>
            </w:tcMar>
            <w:vAlign w:val="center"/>
          </w:tcPr>
          <w:p w14:paraId="681B4921" w14:textId="77777777" w:rsidR="001C56BD" w:rsidRPr="00F92667" w:rsidRDefault="001C56BD" w:rsidP="008A5C11">
            <w:pPr>
              <w:jc w:val="center"/>
              <w:rPr>
                <w:bCs/>
                <w:sz w:val="12"/>
                <w:szCs w:val="12"/>
              </w:rPr>
            </w:pPr>
            <w:r w:rsidRPr="00F92667">
              <w:rPr>
                <w:bCs/>
                <w:sz w:val="12"/>
                <w:szCs w:val="12"/>
              </w:rPr>
              <w:t>18</w:t>
            </w:r>
          </w:p>
        </w:tc>
        <w:tc>
          <w:tcPr>
            <w:tcW w:w="217" w:type="pct"/>
            <w:gridSpan w:val="2"/>
            <w:tcMar>
              <w:left w:w="17" w:type="dxa"/>
              <w:right w:w="17" w:type="dxa"/>
            </w:tcMar>
            <w:vAlign w:val="center"/>
          </w:tcPr>
          <w:p w14:paraId="79D15D0A" w14:textId="77777777" w:rsidR="001C56BD" w:rsidRPr="00F92667" w:rsidRDefault="001C56BD" w:rsidP="008A5C11">
            <w:pPr>
              <w:jc w:val="center"/>
              <w:rPr>
                <w:bCs/>
                <w:sz w:val="12"/>
                <w:szCs w:val="12"/>
              </w:rPr>
            </w:pPr>
            <w:r w:rsidRPr="00F92667">
              <w:rPr>
                <w:bCs/>
                <w:sz w:val="12"/>
                <w:szCs w:val="12"/>
              </w:rPr>
              <w:t>19</w:t>
            </w:r>
          </w:p>
        </w:tc>
        <w:tc>
          <w:tcPr>
            <w:tcW w:w="217" w:type="pct"/>
            <w:gridSpan w:val="2"/>
            <w:tcMar>
              <w:left w:w="17" w:type="dxa"/>
              <w:right w:w="17" w:type="dxa"/>
            </w:tcMar>
            <w:vAlign w:val="center"/>
          </w:tcPr>
          <w:p w14:paraId="6FEB319B" w14:textId="77777777" w:rsidR="001C56BD" w:rsidRPr="00F92667" w:rsidRDefault="001C56BD" w:rsidP="008A5C11">
            <w:pPr>
              <w:jc w:val="center"/>
              <w:rPr>
                <w:bCs/>
                <w:sz w:val="12"/>
                <w:szCs w:val="12"/>
              </w:rPr>
            </w:pPr>
            <w:r w:rsidRPr="00F92667">
              <w:rPr>
                <w:bCs/>
                <w:sz w:val="12"/>
                <w:szCs w:val="12"/>
              </w:rPr>
              <w:t>20</w:t>
            </w:r>
          </w:p>
        </w:tc>
        <w:tc>
          <w:tcPr>
            <w:tcW w:w="214" w:type="pct"/>
            <w:gridSpan w:val="2"/>
            <w:tcMar>
              <w:left w:w="17" w:type="dxa"/>
              <w:right w:w="17" w:type="dxa"/>
            </w:tcMar>
            <w:vAlign w:val="center"/>
          </w:tcPr>
          <w:p w14:paraId="2CDAF395" w14:textId="77777777" w:rsidR="001C56BD" w:rsidRPr="00F92667" w:rsidRDefault="001C56BD" w:rsidP="008A5C11">
            <w:pPr>
              <w:jc w:val="center"/>
              <w:rPr>
                <w:bCs/>
                <w:sz w:val="12"/>
                <w:szCs w:val="12"/>
              </w:rPr>
            </w:pPr>
            <w:r w:rsidRPr="00F92667">
              <w:rPr>
                <w:bCs/>
                <w:sz w:val="12"/>
                <w:szCs w:val="12"/>
              </w:rPr>
              <w:t>21</w:t>
            </w:r>
          </w:p>
        </w:tc>
        <w:tc>
          <w:tcPr>
            <w:tcW w:w="247" w:type="pct"/>
            <w:gridSpan w:val="2"/>
            <w:tcMar>
              <w:left w:w="17" w:type="dxa"/>
              <w:right w:w="17" w:type="dxa"/>
            </w:tcMar>
            <w:vAlign w:val="center"/>
          </w:tcPr>
          <w:p w14:paraId="66BF60BC" w14:textId="77777777" w:rsidR="001C56BD" w:rsidRPr="00F92667" w:rsidRDefault="001C56BD" w:rsidP="008A5C11">
            <w:pPr>
              <w:jc w:val="center"/>
              <w:rPr>
                <w:bCs/>
                <w:sz w:val="12"/>
                <w:szCs w:val="12"/>
              </w:rPr>
            </w:pPr>
            <w:r w:rsidRPr="00F92667">
              <w:rPr>
                <w:bCs/>
                <w:sz w:val="12"/>
                <w:szCs w:val="12"/>
              </w:rPr>
              <w:t>22</w:t>
            </w:r>
          </w:p>
        </w:tc>
        <w:tc>
          <w:tcPr>
            <w:tcW w:w="173" w:type="pct"/>
            <w:tcMar>
              <w:left w:w="17" w:type="dxa"/>
              <w:right w:w="17" w:type="dxa"/>
            </w:tcMar>
            <w:vAlign w:val="center"/>
          </w:tcPr>
          <w:p w14:paraId="56EF02AF" w14:textId="77777777" w:rsidR="001C56BD" w:rsidRPr="00F92667" w:rsidRDefault="001C56BD" w:rsidP="008A5C11">
            <w:pPr>
              <w:jc w:val="center"/>
              <w:rPr>
                <w:bCs/>
                <w:sz w:val="12"/>
                <w:szCs w:val="12"/>
              </w:rPr>
            </w:pPr>
            <w:r w:rsidRPr="00F92667">
              <w:rPr>
                <w:bCs/>
                <w:sz w:val="12"/>
                <w:szCs w:val="12"/>
              </w:rPr>
              <w:t>23</w:t>
            </w:r>
          </w:p>
        </w:tc>
        <w:tc>
          <w:tcPr>
            <w:tcW w:w="169" w:type="pct"/>
            <w:tcMar>
              <w:left w:w="17" w:type="dxa"/>
              <w:right w:w="17" w:type="dxa"/>
            </w:tcMar>
            <w:vAlign w:val="center"/>
          </w:tcPr>
          <w:p w14:paraId="2A46CD1D" w14:textId="77777777" w:rsidR="001C56BD" w:rsidRPr="00F92667" w:rsidRDefault="001C56BD" w:rsidP="008A5C11">
            <w:pPr>
              <w:jc w:val="center"/>
              <w:rPr>
                <w:bCs/>
                <w:sz w:val="12"/>
                <w:szCs w:val="12"/>
              </w:rPr>
            </w:pPr>
            <w:r w:rsidRPr="00F92667">
              <w:rPr>
                <w:bCs/>
                <w:sz w:val="12"/>
                <w:szCs w:val="12"/>
              </w:rPr>
              <w:t>24</w:t>
            </w:r>
          </w:p>
        </w:tc>
      </w:tr>
      <w:tr w:rsidR="001C56BD" w:rsidRPr="00F92667" w14:paraId="40ECC9EA" w14:textId="77777777" w:rsidTr="008A5C11">
        <w:trPr>
          <w:gridBefore w:val="1"/>
          <w:wBefore w:w="3" w:type="pct"/>
          <w:trHeight w:val="897"/>
        </w:trPr>
        <w:tc>
          <w:tcPr>
            <w:tcW w:w="129" w:type="pct"/>
            <w:shd w:val="clear" w:color="auto" w:fill="auto"/>
            <w:tcMar>
              <w:left w:w="17" w:type="dxa"/>
              <w:right w:w="17" w:type="dxa"/>
            </w:tcMar>
            <w:vAlign w:val="center"/>
          </w:tcPr>
          <w:p w14:paraId="680F6F89" w14:textId="77777777" w:rsidR="001C56BD" w:rsidRPr="00F92667" w:rsidRDefault="001C56BD" w:rsidP="008A5C11">
            <w:pPr>
              <w:jc w:val="center"/>
              <w:rPr>
                <w:sz w:val="12"/>
                <w:szCs w:val="12"/>
              </w:rPr>
            </w:pPr>
            <w:r w:rsidRPr="00F92667">
              <w:rPr>
                <w:sz w:val="12"/>
                <w:szCs w:val="12"/>
              </w:rPr>
              <w:t>3.1.5.</w:t>
            </w:r>
          </w:p>
        </w:tc>
        <w:tc>
          <w:tcPr>
            <w:tcW w:w="305" w:type="pct"/>
            <w:shd w:val="clear" w:color="auto" w:fill="auto"/>
            <w:tcMar>
              <w:left w:w="17" w:type="dxa"/>
              <w:right w:w="17" w:type="dxa"/>
            </w:tcMar>
            <w:vAlign w:val="center"/>
          </w:tcPr>
          <w:p w14:paraId="3336CDEF" w14:textId="77777777" w:rsidR="001C56BD" w:rsidRPr="00F92667" w:rsidRDefault="001C56BD" w:rsidP="008A5C11">
            <w:pPr>
              <w:rPr>
                <w:sz w:val="12"/>
                <w:szCs w:val="12"/>
              </w:rPr>
            </w:pPr>
            <w:r w:rsidRPr="00F92667">
              <w:rPr>
                <w:sz w:val="12"/>
                <w:szCs w:val="12"/>
              </w:rPr>
              <w:t>Реконструкция тепловой сети с реестровым номером 733823</w:t>
            </w:r>
          </w:p>
        </w:tc>
        <w:tc>
          <w:tcPr>
            <w:tcW w:w="304" w:type="pct"/>
            <w:shd w:val="clear" w:color="000000" w:fill="FFFFFF"/>
            <w:tcMar>
              <w:left w:w="17" w:type="dxa"/>
              <w:right w:w="17" w:type="dxa"/>
            </w:tcMar>
            <w:vAlign w:val="center"/>
          </w:tcPr>
          <w:p w14:paraId="58872AA1" w14:textId="77777777" w:rsidR="001C56BD" w:rsidRPr="00F92667" w:rsidRDefault="001C56BD" w:rsidP="008A5C11">
            <w:pPr>
              <w:jc w:val="center"/>
              <w:rPr>
                <w:sz w:val="12"/>
                <w:szCs w:val="12"/>
              </w:rPr>
            </w:pPr>
            <w:r w:rsidRPr="00F92667">
              <w:rPr>
                <w:color w:val="000000"/>
                <w:sz w:val="12"/>
                <w:szCs w:val="12"/>
              </w:rPr>
              <w:t>Повышение надежности услуг теплоснабжения, повышение энергетической эффективности</w:t>
            </w:r>
          </w:p>
        </w:tc>
        <w:tc>
          <w:tcPr>
            <w:tcW w:w="258" w:type="pct"/>
            <w:shd w:val="clear" w:color="auto" w:fill="auto"/>
            <w:tcMar>
              <w:left w:w="17" w:type="dxa"/>
              <w:right w:w="17" w:type="dxa"/>
            </w:tcMar>
            <w:vAlign w:val="center"/>
          </w:tcPr>
          <w:p w14:paraId="547B5667" w14:textId="77777777" w:rsidR="001C56BD" w:rsidRPr="00F92667" w:rsidRDefault="001C56BD" w:rsidP="008A5C11">
            <w:pPr>
              <w:jc w:val="center"/>
              <w:rPr>
                <w:sz w:val="12"/>
                <w:szCs w:val="12"/>
              </w:rPr>
            </w:pPr>
            <w:r w:rsidRPr="00F92667">
              <w:rPr>
                <w:sz w:val="12"/>
                <w:szCs w:val="12"/>
              </w:rPr>
              <w:t xml:space="preserve">Кемеровский городской округ, Кировский район, юго-западнее пересечения ул. Ушакова и ул.40 лет Октября, </w:t>
            </w:r>
            <w:proofErr w:type="gramStart"/>
            <w:r w:rsidRPr="00F92667">
              <w:rPr>
                <w:sz w:val="12"/>
                <w:szCs w:val="12"/>
              </w:rPr>
              <w:t>теплоснабже-ние</w:t>
            </w:r>
            <w:proofErr w:type="gramEnd"/>
          </w:p>
        </w:tc>
        <w:tc>
          <w:tcPr>
            <w:tcW w:w="294" w:type="pct"/>
            <w:shd w:val="clear" w:color="auto" w:fill="auto"/>
            <w:tcMar>
              <w:left w:w="17" w:type="dxa"/>
              <w:right w:w="17" w:type="dxa"/>
            </w:tcMar>
            <w:vAlign w:val="center"/>
          </w:tcPr>
          <w:p w14:paraId="1AAE872F" w14:textId="77777777" w:rsidR="001C56BD" w:rsidRPr="00F92667" w:rsidRDefault="001C56BD" w:rsidP="008A5C11">
            <w:pPr>
              <w:jc w:val="center"/>
              <w:rPr>
                <w:sz w:val="12"/>
                <w:szCs w:val="12"/>
              </w:rPr>
            </w:pPr>
            <w:r w:rsidRPr="00F92667">
              <w:rPr>
                <w:color w:val="000000"/>
                <w:sz w:val="12"/>
                <w:szCs w:val="12"/>
              </w:rPr>
              <w:t>Технические характеристики</w:t>
            </w:r>
          </w:p>
        </w:tc>
        <w:tc>
          <w:tcPr>
            <w:tcW w:w="129" w:type="pct"/>
            <w:shd w:val="clear" w:color="auto" w:fill="auto"/>
            <w:tcMar>
              <w:left w:w="17" w:type="dxa"/>
              <w:right w:w="17" w:type="dxa"/>
            </w:tcMar>
            <w:vAlign w:val="center"/>
          </w:tcPr>
          <w:p w14:paraId="3484E0C7" w14:textId="77777777" w:rsidR="001C56BD" w:rsidRPr="00F92667" w:rsidRDefault="001C56BD" w:rsidP="008A5C11">
            <w:pPr>
              <w:jc w:val="center"/>
              <w:rPr>
                <w:color w:val="000000"/>
                <w:sz w:val="12"/>
                <w:szCs w:val="12"/>
              </w:rPr>
            </w:pPr>
          </w:p>
        </w:tc>
        <w:tc>
          <w:tcPr>
            <w:tcW w:w="184" w:type="pct"/>
            <w:shd w:val="clear" w:color="auto" w:fill="auto"/>
            <w:tcMar>
              <w:left w:w="17" w:type="dxa"/>
              <w:right w:w="17" w:type="dxa"/>
            </w:tcMar>
            <w:vAlign w:val="center"/>
          </w:tcPr>
          <w:p w14:paraId="68B00FCD" w14:textId="77777777" w:rsidR="001C56BD" w:rsidRPr="00F92667" w:rsidRDefault="001C56BD" w:rsidP="008A5C11">
            <w:pPr>
              <w:jc w:val="center"/>
              <w:rPr>
                <w:sz w:val="12"/>
                <w:szCs w:val="12"/>
              </w:rPr>
            </w:pPr>
            <w:r w:rsidRPr="00F92667">
              <w:rPr>
                <w:sz w:val="12"/>
                <w:szCs w:val="12"/>
              </w:rPr>
              <w:t xml:space="preserve">Канал-кирпич, опоры-хомутовые приварные, запорная арматура - стальная клиновая, антикоррозийная защита-лак БТ, труба-сталь 20, изоляция - мин. маты </w:t>
            </w:r>
          </w:p>
        </w:tc>
        <w:tc>
          <w:tcPr>
            <w:tcW w:w="219" w:type="pct"/>
            <w:shd w:val="clear" w:color="auto" w:fill="auto"/>
            <w:tcMar>
              <w:left w:w="17" w:type="dxa"/>
              <w:right w:w="17" w:type="dxa"/>
            </w:tcMar>
            <w:vAlign w:val="center"/>
          </w:tcPr>
          <w:p w14:paraId="455B1FB0" w14:textId="77777777" w:rsidR="001C56BD" w:rsidRPr="00F92667" w:rsidRDefault="001C56BD" w:rsidP="008A5C11">
            <w:pPr>
              <w:jc w:val="center"/>
              <w:rPr>
                <w:sz w:val="12"/>
                <w:szCs w:val="12"/>
              </w:rPr>
            </w:pPr>
            <w:r w:rsidRPr="00F92667">
              <w:rPr>
                <w:sz w:val="12"/>
                <w:szCs w:val="12"/>
              </w:rPr>
              <w:t xml:space="preserve">Канал-ж/б лотки, опоры-хомутовые с диэлектрической прокладкой, запорная арматура - кран шаровый, антикоррозийная защита-мастика Вектор 1214, 1025, труба-сталь 09Г2С, изоляция - маты прошивные, </w:t>
            </w:r>
            <w:proofErr w:type="gramStart"/>
            <w:r w:rsidRPr="00F92667">
              <w:rPr>
                <w:sz w:val="12"/>
                <w:szCs w:val="12"/>
              </w:rPr>
              <w:t>стеклоплас-тик</w:t>
            </w:r>
            <w:proofErr w:type="gramEnd"/>
            <w:r w:rsidRPr="00F92667">
              <w:rPr>
                <w:sz w:val="12"/>
                <w:szCs w:val="12"/>
              </w:rPr>
              <w:t xml:space="preserve">  </w:t>
            </w:r>
          </w:p>
        </w:tc>
        <w:tc>
          <w:tcPr>
            <w:tcW w:w="130" w:type="pct"/>
            <w:shd w:val="clear" w:color="auto" w:fill="auto"/>
            <w:tcMar>
              <w:left w:w="17" w:type="dxa"/>
              <w:right w:w="17" w:type="dxa"/>
            </w:tcMar>
            <w:vAlign w:val="center"/>
          </w:tcPr>
          <w:p w14:paraId="53DB7236" w14:textId="77777777" w:rsidR="001C56BD" w:rsidRPr="00F92667" w:rsidRDefault="001C56BD" w:rsidP="008A5C11">
            <w:pPr>
              <w:jc w:val="center"/>
              <w:rPr>
                <w:sz w:val="12"/>
                <w:szCs w:val="12"/>
              </w:rPr>
            </w:pPr>
            <w:r w:rsidRPr="00F92667">
              <w:rPr>
                <w:sz w:val="12"/>
                <w:szCs w:val="12"/>
              </w:rPr>
              <w:t>2025</w:t>
            </w:r>
          </w:p>
        </w:tc>
        <w:tc>
          <w:tcPr>
            <w:tcW w:w="130" w:type="pct"/>
            <w:shd w:val="clear" w:color="auto" w:fill="auto"/>
            <w:tcMar>
              <w:left w:w="17" w:type="dxa"/>
              <w:right w:w="17" w:type="dxa"/>
            </w:tcMar>
            <w:vAlign w:val="center"/>
          </w:tcPr>
          <w:p w14:paraId="24B96234" w14:textId="77777777" w:rsidR="001C56BD" w:rsidRPr="00F92667" w:rsidRDefault="001C56BD" w:rsidP="008A5C11">
            <w:pPr>
              <w:jc w:val="center"/>
              <w:rPr>
                <w:sz w:val="12"/>
                <w:szCs w:val="12"/>
              </w:rPr>
            </w:pPr>
            <w:r w:rsidRPr="00F92667">
              <w:rPr>
                <w:sz w:val="12"/>
                <w:szCs w:val="12"/>
              </w:rPr>
              <w:t>2031</w:t>
            </w:r>
          </w:p>
        </w:tc>
        <w:tc>
          <w:tcPr>
            <w:tcW w:w="217" w:type="pct"/>
            <w:gridSpan w:val="2"/>
            <w:shd w:val="clear" w:color="auto" w:fill="auto"/>
            <w:tcMar>
              <w:left w:w="17" w:type="dxa"/>
              <w:right w:w="17" w:type="dxa"/>
            </w:tcMar>
            <w:vAlign w:val="center"/>
          </w:tcPr>
          <w:p w14:paraId="76F91D89" w14:textId="77777777" w:rsidR="001C56BD" w:rsidRPr="00F92667" w:rsidRDefault="001C56BD" w:rsidP="008A5C11">
            <w:pPr>
              <w:jc w:val="center"/>
              <w:rPr>
                <w:sz w:val="12"/>
                <w:szCs w:val="12"/>
              </w:rPr>
            </w:pPr>
            <w:r w:rsidRPr="00F92667">
              <w:rPr>
                <w:sz w:val="12"/>
                <w:szCs w:val="12"/>
              </w:rPr>
              <w:t>51147,200</w:t>
            </w:r>
          </w:p>
        </w:tc>
        <w:tc>
          <w:tcPr>
            <w:tcW w:w="177" w:type="pct"/>
            <w:gridSpan w:val="2"/>
            <w:shd w:val="clear" w:color="auto" w:fill="auto"/>
            <w:tcMar>
              <w:left w:w="17" w:type="dxa"/>
              <w:right w:w="17" w:type="dxa"/>
            </w:tcMar>
            <w:vAlign w:val="center"/>
          </w:tcPr>
          <w:p w14:paraId="4DEEF6E5" w14:textId="77777777" w:rsidR="001C56BD" w:rsidRPr="00F92667" w:rsidRDefault="001C56BD" w:rsidP="008A5C11">
            <w:pPr>
              <w:jc w:val="center"/>
              <w:rPr>
                <w:sz w:val="12"/>
                <w:szCs w:val="12"/>
              </w:rPr>
            </w:pPr>
            <w:r w:rsidRPr="00F92667">
              <w:rPr>
                <w:sz w:val="12"/>
                <w:szCs w:val="12"/>
              </w:rPr>
              <w:t>0,000</w:t>
            </w:r>
          </w:p>
        </w:tc>
        <w:tc>
          <w:tcPr>
            <w:tcW w:w="212" w:type="pct"/>
            <w:shd w:val="clear" w:color="auto" w:fill="auto"/>
            <w:tcMar>
              <w:left w:w="17" w:type="dxa"/>
              <w:right w:w="17" w:type="dxa"/>
            </w:tcMar>
            <w:vAlign w:val="center"/>
          </w:tcPr>
          <w:p w14:paraId="63829F35" w14:textId="77777777" w:rsidR="001C56BD" w:rsidRPr="00F92667" w:rsidRDefault="001C56BD" w:rsidP="008A5C11">
            <w:pPr>
              <w:jc w:val="center"/>
              <w:rPr>
                <w:sz w:val="12"/>
                <w:szCs w:val="12"/>
              </w:rPr>
            </w:pPr>
            <w:r w:rsidRPr="00F92667">
              <w:rPr>
                <w:sz w:val="12"/>
                <w:szCs w:val="12"/>
              </w:rPr>
              <w:t>0,000</w:t>
            </w:r>
          </w:p>
        </w:tc>
        <w:tc>
          <w:tcPr>
            <w:tcW w:w="218" w:type="pct"/>
            <w:gridSpan w:val="2"/>
            <w:shd w:val="clear" w:color="auto" w:fill="auto"/>
            <w:tcMar>
              <w:left w:w="17" w:type="dxa"/>
              <w:right w:w="17" w:type="dxa"/>
            </w:tcMar>
            <w:vAlign w:val="center"/>
          </w:tcPr>
          <w:p w14:paraId="2522A34D"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3CDF7BCB" w14:textId="77777777" w:rsidR="001C56BD" w:rsidRPr="00F92667" w:rsidRDefault="001C56BD" w:rsidP="008A5C11">
            <w:pPr>
              <w:jc w:val="center"/>
              <w:rPr>
                <w:sz w:val="12"/>
                <w:szCs w:val="12"/>
              </w:rPr>
            </w:pPr>
            <w:r w:rsidRPr="00F92667">
              <w:rPr>
                <w:sz w:val="12"/>
                <w:szCs w:val="12"/>
              </w:rPr>
              <w:t>0,000</w:t>
            </w:r>
          </w:p>
        </w:tc>
        <w:tc>
          <w:tcPr>
            <w:tcW w:w="206" w:type="pct"/>
            <w:gridSpan w:val="2"/>
            <w:shd w:val="clear" w:color="auto" w:fill="auto"/>
            <w:tcMar>
              <w:left w:w="17" w:type="dxa"/>
              <w:right w:w="17" w:type="dxa"/>
            </w:tcMar>
            <w:vAlign w:val="center"/>
          </w:tcPr>
          <w:p w14:paraId="649CE4C6" w14:textId="77777777" w:rsidR="001C56BD" w:rsidRPr="00F92667" w:rsidRDefault="001C56BD" w:rsidP="008A5C11">
            <w:pPr>
              <w:jc w:val="center"/>
              <w:rPr>
                <w:sz w:val="12"/>
                <w:szCs w:val="12"/>
              </w:rPr>
            </w:pPr>
            <w:r w:rsidRPr="00F92667">
              <w:rPr>
                <w:sz w:val="12"/>
                <w:szCs w:val="12"/>
              </w:rPr>
              <w:t>2457,960</w:t>
            </w:r>
          </w:p>
        </w:tc>
        <w:tc>
          <w:tcPr>
            <w:tcW w:w="217" w:type="pct"/>
            <w:gridSpan w:val="2"/>
            <w:shd w:val="clear" w:color="auto" w:fill="auto"/>
            <w:tcMar>
              <w:left w:w="17" w:type="dxa"/>
              <w:right w:w="17" w:type="dxa"/>
            </w:tcMar>
            <w:vAlign w:val="center"/>
          </w:tcPr>
          <w:p w14:paraId="72016B73" w14:textId="77777777" w:rsidR="001C56BD" w:rsidRPr="00F92667" w:rsidRDefault="001C56BD" w:rsidP="008A5C11">
            <w:pPr>
              <w:jc w:val="center"/>
              <w:rPr>
                <w:sz w:val="12"/>
                <w:szCs w:val="12"/>
              </w:rPr>
            </w:pPr>
            <w:r w:rsidRPr="00F92667">
              <w:rPr>
                <w:sz w:val="12"/>
                <w:szCs w:val="12"/>
              </w:rPr>
              <w:t>0,000</w:t>
            </w:r>
          </w:p>
        </w:tc>
        <w:tc>
          <w:tcPr>
            <w:tcW w:w="214" w:type="pct"/>
            <w:gridSpan w:val="2"/>
            <w:shd w:val="clear" w:color="auto" w:fill="auto"/>
            <w:tcMar>
              <w:left w:w="17" w:type="dxa"/>
              <w:right w:w="17" w:type="dxa"/>
            </w:tcMar>
            <w:vAlign w:val="center"/>
          </w:tcPr>
          <w:p w14:paraId="3B840DB8" w14:textId="77777777" w:rsidR="001C56BD" w:rsidRPr="00F92667" w:rsidRDefault="001C56BD" w:rsidP="008A5C11">
            <w:pPr>
              <w:jc w:val="center"/>
              <w:rPr>
                <w:sz w:val="12"/>
                <w:szCs w:val="12"/>
              </w:rPr>
            </w:pPr>
            <w:r w:rsidRPr="00F92667">
              <w:rPr>
                <w:sz w:val="12"/>
                <w:szCs w:val="12"/>
              </w:rPr>
              <w:t>4062,048</w:t>
            </w:r>
          </w:p>
        </w:tc>
        <w:tc>
          <w:tcPr>
            <w:tcW w:w="217" w:type="pct"/>
            <w:gridSpan w:val="2"/>
            <w:shd w:val="clear" w:color="auto" w:fill="auto"/>
            <w:tcMar>
              <w:left w:w="17" w:type="dxa"/>
              <w:right w:w="17" w:type="dxa"/>
            </w:tcMar>
            <w:vAlign w:val="center"/>
          </w:tcPr>
          <w:p w14:paraId="540F17E5" w14:textId="77777777" w:rsidR="001C56BD" w:rsidRPr="00F92667" w:rsidRDefault="001C56BD" w:rsidP="008A5C11">
            <w:pPr>
              <w:jc w:val="center"/>
              <w:rPr>
                <w:sz w:val="12"/>
                <w:szCs w:val="12"/>
              </w:rPr>
            </w:pPr>
            <w:r w:rsidRPr="00F92667">
              <w:rPr>
                <w:sz w:val="12"/>
                <w:szCs w:val="12"/>
              </w:rPr>
              <w:t>17274,972</w:t>
            </w:r>
          </w:p>
        </w:tc>
        <w:tc>
          <w:tcPr>
            <w:tcW w:w="217" w:type="pct"/>
            <w:gridSpan w:val="2"/>
            <w:shd w:val="clear" w:color="auto" w:fill="auto"/>
            <w:tcMar>
              <w:left w:w="17" w:type="dxa"/>
              <w:right w:w="17" w:type="dxa"/>
            </w:tcMar>
            <w:vAlign w:val="center"/>
          </w:tcPr>
          <w:p w14:paraId="6214940A" w14:textId="77777777" w:rsidR="001C56BD" w:rsidRPr="00F92667" w:rsidRDefault="001C56BD" w:rsidP="008A5C11">
            <w:pPr>
              <w:jc w:val="center"/>
              <w:rPr>
                <w:sz w:val="12"/>
                <w:szCs w:val="12"/>
              </w:rPr>
            </w:pPr>
            <w:r w:rsidRPr="00F92667">
              <w:rPr>
                <w:sz w:val="12"/>
                <w:szCs w:val="12"/>
              </w:rPr>
              <w:t>3236,244</w:t>
            </w:r>
          </w:p>
        </w:tc>
        <w:tc>
          <w:tcPr>
            <w:tcW w:w="214" w:type="pct"/>
            <w:gridSpan w:val="2"/>
            <w:shd w:val="clear" w:color="auto" w:fill="auto"/>
            <w:tcMar>
              <w:left w:w="17" w:type="dxa"/>
              <w:right w:w="17" w:type="dxa"/>
            </w:tcMar>
            <w:vAlign w:val="center"/>
          </w:tcPr>
          <w:p w14:paraId="4A803A65" w14:textId="77777777" w:rsidR="001C56BD" w:rsidRPr="00F92667" w:rsidRDefault="001C56BD" w:rsidP="008A5C11">
            <w:pPr>
              <w:jc w:val="center"/>
              <w:rPr>
                <w:sz w:val="12"/>
                <w:szCs w:val="12"/>
              </w:rPr>
            </w:pPr>
            <w:r w:rsidRPr="00F92667">
              <w:rPr>
                <w:sz w:val="12"/>
                <w:szCs w:val="12"/>
              </w:rPr>
              <w:t>13375,332</w:t>
            </w:r>
          </w:p>
        </w:tc>
        <w:tc>
          <w:tcPr>
            <w:tcW w:w="247" w:type="pct"/>
            <w:gridSpan w:val="2"/>
            <w:shd w:val="clear" w:color="auto" w:fill="auto"/>
            <w:tcMar>
              <w:left w:w="17" w:type="dxa"/>
              <w:right w:w="17" w:type="dxa"/>
            </w:tcMar>
            <w:vAlign w:val="center"/>
          </w:tcPr>
          <w:p w14:paraId="344D0AB6" w14:textId="77777777" w:rsidR="001C56BD" w:rsidRPr="00F92667" w:rsidRDefault="001C56BD" w:rsidP="008A5C11">
            <w:pPr>
              <w:jc w:val="center"/>
              <w:rPr>
                <w:sz w:val="12"/>
                <w:szCs w:val="12"/>
              </w:rPr>
            </w:pPr>
            <w:r w:rsidRPr="00F92667">
              <w:rPr>
                <w:sz w:val="12"/>
                <w:szCs w:val="12"/>
              </w:rPr>
              <w:t>10740,644</w:t>
            </w:r>
          </w:p>
        </w:tc>
        <w:tc>
          <w:tcPr>
            <w:tcW w:w="173" w:type="pct"/>
            <w:shd w:val="clear" w:color="auto" w:fill="auto"/>
            <w:tcMar>
              <w:left w:w="17" w:type="dxa"/>
              <w:right w:w="17" w:type="dxa"/>
            </w:tcMar>
            <w:vAlign w:val="center"/>
          </w:tcPr>
          <w:p w14:paraId="0AA0AFAD" w14:textId="77777777" w:rsidR="001C56BD" w:rsidRPr="00F92667" w:rsidRDefault="001C56BD" w:rsidP="008A5C11">
            <w:pPr>
              <w:jc w:val="center"/>
              <w:rPr>
                <w:sz w:val="12"/>
                <w:szCs w:val="12"/>
              </w:rPr>
            </w:pPr>
            <w:r w:rsidRPr="00F92667">
              <w:rPr>
                <w:sz w:val="12"/>
                <w:szCs w:val="12"/>
              </w:rPr>
              <w:t>0,000</w:t>
            </w:r>
          </w:p>
        </w:tc>
        <w:tc>
          <w:tcPr>
            <w:tcW w:w="169" w:type="pct"/>
            <w:shd w:val="clear" w:color="auto" w:fill="auto"/>
            <w:tcMar>
              <w:left w:w="17" w:type="dxa"/>
              <w:right w:w="17" w:type="dxa"/>
            </w:tcMar>
            <w:vAlign w:val="center"/>
          </w:tcPr>
          <w:p w14:paraId="5180453B" w14:textId="77777777" w:rsidR="001C56BD" w:rsidRPr="00F92667" w:rsidRDefault="001C56BD" w:rsidP="008A5C11">
            <w:pPr>
              <w:jc w:val="center"/>
              <w:rPr>
                <w:sz w:val="12"/>
                <w:szCs w:val="12"/>
              </w:rPr>
            </w:pPr>
            <w:r w:rsidRPr="00F92667">
              <w:rPr>
                <w:sz w:val="12"/>
                <w:szCs w:val="12"/>
              </w:rPr>
              <w:t>0,000</w:t>
            </w:r>
          </w:p>
        </w:tc>
      </w:tr>
      <w:tr w:rsidR="001C56BD" w:rsidRPr="00F92667" w14:paraId="55A05F50" w14:textId="77777777" w:rsidTr="008A5C11">
        <w:trPr>
          <w:gridBefore w:val="1"/>
          <w:wBefore w:w="3" w:type="pct"/>
          <w:trHeight w:val="897"/>
        </w:trPr>
        <w:tc>
          <w:tcPr>
            <w:tcW w:w="129" w:type="pct"/>
            <w:shd w:val="clear" w:color="auto" w:fill="auto"/>
            <w:tcMar>
              <w:left w:w="17" w:type="dxa"/>
              <w:right w:w="17" w:type="dxa"/>
            </w:tcMar>
            <w:vAlign w:val="center"/>
          </w:tcPr>
          <w:p w14:paraId="570AFBE9" w14:textId="77777777" w:rsidR="001C56BD" w:rsidRPr="00F92667" w:rsidRDefault="001C56BD" w:rsidP="008A5C11">
            <w:pPr>
              <w:jc w:val="center"/>
              <w:rPr>
                <w:sz w:val="12"/>
                <w:szCs w:val="12"/>
              </w:rPr>
            </w:pPr>
            <w:r w:rsidRPr="00F92667">
              <w:rPr>
                <w:sz w:val="12"/>
                <w:szCs w:val="12"/>
              </w:rPr>
              <w:t>3.1.6.</w:t>
            </w:r>
          </w:p>
        </w:tc>
        <w:tc>
          <w:tcPr>
            <w:tcW w:w="305" w:type="pct"/>
            <w:shd w:val="clear" w:color="auto" w:fill="auto"/>
            <w:tcMar>
              <w:left w:w="17" w:type="dxa"/>
              <w:right w:w="17" w:type="dxa"/>
            </w:tcMar>
            <w:vAlign w:val="center"/>
          </w:tcPr>
          <w:p w14:paraId="5B6EF4AE" w14:textId="77777777" w:rsidR="001C56BD" w:rsidRPr="00F92667" w:rsidRDefault="001C56BD" w:rsidP="008A5C11">
            <w:pPr>
              <w:rPr>
                <w:sz w:val="12"/>
                <w:szCs w:val="12"/>
              </w:rPr>
            </w:pPr>
            <w:r w:rsidRPr="00F92667">
              <w:rPr>
                <w:sz w:val="12"/>
                <w:szCs w:val="12"/>
              </w:rPr>
              <w:t>Реконструкция тепловой сети с реестровым номером 759070</w:t>
            </w:r>
          </w:p>
        </w:tc>
        <w:tc>
          <w:tcPr>
            <w:tcW w:w="304" w:type="pct"/>
            <w:shd w:val="clear" w:color="000000" w:fill="FFFFFF"/>
            <w:tcMar>
              <w:left w:w="17" w:type="dxa"/>
              <w:right w:w="17" w:type="dxa"/>
            </w:tcMar>
            <w:vAlign w:val="center"/>
          </w:tcPr>
          <w:p w14:paraId="4AADABA6" w14:textId="77777777" w:rsidR="001C56BD" w:rsidRPr="00F92667" w:rsidRDefault="001C56BD" w:rsidP="008A5C11">
            <w:pPr>
              <w:jc w:val="center"/>
              <w:rPr>
                <w:sz w:val="12"/>
                <w:szCs w:val="12"/>
              </w:rPr>
            </w:pPr>
            <w:r w:rsidRPr="00F92667">
              <w:rPr>
                <w:color w:val="000000"/>
                <w:sz w:val="12"/>
                <w:szCs w:val="12"/>
              </w:rPr>
              <w:t>Повышение надежности услуг теплоснабжения, повышение энергетической эффективности</w:t>
            </w:r>
          </w:p>
        </w:tc>
        <w:tc>
          <w:tcPr>
            <w:tcW w:w="258" w:type="pct"/>
            <w:shd w:val="clear" w:color="auto" w:fill="auto"/>
            <w:tcMar>
              <w:left w:w="17" w:type="dxa"/>
              <w:right w:w="17" w:type="dxa"/>
            </w:tcMar>
            <w:vAlign w:val="center"/>
          </w:tcPr>
          <w:p w14:paraId="039EE37D" w14:textId="77777777" w:rsidR="001C56BD" w:rsidRPr="00F92667" w:rsidRDefault="001C56BD" w:rsidP="008A5C11">
            <w:pPr>
              <w:jc w:val="center"/>
              <w:rPr>
                <w:sz w:val="12"/>
                <w:szCs w:val="12"/>
              </w:rPr>
            </w:pPr>
            <w:r w:rsidRPr="00F92667">
              <w:rPr>
                <w:sz w:val="12"/>
                <w:szCs w:val="12"/>
              </w:rPr>
              <w:t>Кемеровский городской округ, Кировский район, ул. Леонова</w:t>
            </w:r>
          </w:p>
        </w:tc>
        <w:tc>
          <w:tcPr>
            <w:tcW w:w="294" w:type="pct"/>
            <w:shd w:val="clear" w:color="auto" w:fill="auto"/>
            <w:tcMar>
              <w:left w:w="17" w:type="dxa"/>
              <w:right w:w="17" w:type="dxa"/>
            </w:tcMar>
            <w:vAlign w:val="center"/>
          </w:tcPr>
          <w:p w14:paraId="0189E045" w14:textId="77777777" w:rsidR="001C56BD" w:rsidRPr="00F92667" w:rsidRDefault="001C56BD" w:rsidP="008A5C11">
            <w:pPr>
              <w:jc w:val="center"/>
              <w:rPr>
                <w:sz w:val="12"/>
                <w:szCs w:val="12"/>
              </w:rPr>
            </w:pPr>
            <w:r w:rsidRPr="00F92667">
              <w:rPr>
                <w:color w:val="000000"/>
                <w:sz w:val="12"/>
                <w:szCs w:val="12"/>
              </w:rPr>
              <w:t>Технические характеристики</w:t>
            </w:r>
          </w:p>
        </w:tc>
        <w:tc>
          <w:tcPr>
            <w:tcW w:w="129" w:type="pct"/>
            <w:shd w:val="clear" w:color="auto" w:fill="auto"/>
            <w:tcMar>
              <w:left w:w="17" w:type="dxa"/>
              <w:right w:w="17" w:type="dxa"/>
            </w:tcMar>
            <w:vAlign w:val="center"/>
          </w:tcPr>
          <w:p w14:paraId="216D70D7" w14:textId="77777777" w:rsidR="001C56BD" w:rsidRPr="00F92667" w:rsidRDefault="001C56BD" w:rsidP="008A5C11">
            <w:pPr>
              <w:jc w:val="center"/>
              <w:rPr>
                <w:color w:val="000000"/>
                <w:sz w:val="12"/>
                <w:szCs w:val="12"/>
              </w:rPr>
            </w:pPr>
          </w:p>
        </w:tc>
        <w:tc>
          <w:tcPr>
            <w:tcW w:w="184" w:type="pct"/>
            <w:shd w:val="clear" w:color="auto" w:fill="auto"/>
            <w:tcMar>
              <w:left w:w="17" w:type="dxa"/>
              <w:right w:w="17" w:type="dxa"/>
            </w:tcMar>
            <w:vAlign w:val="center"/>
          </w:tcPr>
          <w:p w14:paraId="7E8E9D4D" w14:textId="77777777" w:rsidR="001C56BD" w:rsidRPr="00F92667" w:rsidRDefault="001C56BD" w:rsidP="008A5C11">
            <w:pPr>
              <w:jc w:val="center"/>
              <w:rPr>
                <w:sz w:val="12"/>
                <w:szCs w:val="12"/>
              </w:rPr>
            </w:pPr>
            <w:r w:rsidRPr="00F92667">
              <w:rPr>
                <w:sz w:val="12"/>
                <w:szCs w:val="12"/>
              </w:rPr>
              <w:t xml:space="preserve">Канал-ж/б лотки (непроходной канал), опоры приварные, запорная арматура - стальная клиновая, антикоррозийная защита-лак БТ, труба-сталь 20, изоляция - мин. маты       </w:t>
            </w:r>
          </w:p>
        </w:tc>
        <w:tc>
          <w:tcPr>
            <w:tcW w:w="219" w:type="pct"/>
            <w:shd w:val="clear" w:color="auto" w:fill="auto"/>
            <w:tcMar>
              <w:left w:w="17" w:type="dxa"/>
              <w:right w:w="17" w:type="dxa"/>
            </w:tcMar>
            <w:vAlign w:val="center"/>
          </w:tcPr>
          <w:p w14:paraId="40359D54" w14:textId="77777777" w:rsidR="001C56BD" w:rsidRPr="00F92667" w:rsidRDefault="001C56BD" w:rsidP="008A5C11">
            <w:pPr>
              <w:jc w:val="center"/>
              <w:rPr>
                <w:sz w:val="12"/>
                <w:szCs w:val="12"/>
              </w:rPr>
            </w:pPr>
            <w:r w:rsidRPr="00F92667">
              <w:rPr>
                <w:sz w:val="12"/>
                <w:szCs w:val="12"/>
              </w:rPr>
              <w:t xml:space="preserve">Канал-ж/б лотки (непроходной канал), опоры-хомутовые с диэлектрической прокладкой, запорная арматура - краны шаровые, антикоррозийная защита-мастика Вектор 1025, 1214, труба-сталь 09Г2С, изоляция - маты прошивные, </w:t>
            </w:r>
            <w:proofErr w:type="gramStart"/>
            <w:r w:rsidRPr="00F92667">
              <w:rPr>
                <w:sz w:val="12"/>
                <w:szCs w:val="12"/>
              </w:rPr>
              <w:t>стеклоплас-тик</w:t>
            </w:r>
            <w:proofErr w:type="gramEnd"/>
            <w:r w:rsidRPr="00F92667">
              <w:rPr>
                <w:sz w:val="12"/>
                <w:szCs w:val="12"/>
              </w:rPr>
              <w:t xml:space="preserve">  </w:t>
            </w:r>
          </w:p>
        </w:tc>
        <w:tc>
          <w:tcPr>
            <w:tcW w:w="130" w:type="pct"/>
            <w:shd w:val="clear" w:color="auto" w:fill="auto"/>
            <w:tcMar>
              <w:left w:w="17" w:type="dxa"/>
              <w:right w:w="17" w:type="dxa"/>
            </w:tcMar>
            <w:vAlign w:val="center"/>
          </w:tcPr>
          <w:p w14:paraId="63E1759B" w14:textId="77777777" w:rsidR="001C56BD" w:rsidRPr="00F92667" w:rsidRDefault="001C56BD" w:rsidP="008A5C11">
            <w:pPr>
              <w:jc w:val="center"/>
              <w:rPr>
                <w:sz w:val="12"/>
                <w:szCs w:val="12"/>
              </w:rPr>
            </w:pPr>
            <w:r w:rsidRPr="00F92667">
              <w:rPr>
                <w:sz w:val="12"/>
                <w:szCs w:val="12"/>
              </w:rPr>
              <w:t>2023</w:t>
            </w:r>
          </w:p>
        </w:tc>
        <w:tc>
          <w:tcPr>
            <w:tcW w:w="130" w:type="pct"/>
            <w:shd w:val="clear" w:color="auto" w:fill="auto"/>
            <w:tcMar>
              <w:left w:w="17" w:type="dxa"/>
              <w:right w:w="17" w:type="dxa"/>
            </w:tcMar>
            <w:vAlign w:val="center"/>
          </w:tcPr>
          <w:p w14:paraId="5B69B032" w14:textId="77777777" w:rsidR="001C56BD" w:rsidRPr="00F92667" w:rsidRDefault="001C56BD" w:rsidP="008A5C11">
            <w:pPr>
              <w:jc w:val="center"/>
              <w:rPr>
                <w:sz w:val="12"/>
                <w:szCs w:val="12"/>
              </w:rPr>
            </w:pPr>
            <w:r w:rsidRPr="00F92667">
              <w:rPr>
                <w:sz w:val="12"/>
                <w:szCs w:val="12"/>
              </w:rPr>
              <w:t>2023</w:t>
            </w:r>
          </w:p>
        </w:tc>
        <w:tc>
          <w:tcPr>
            <w:tcW w:w="217" w:type="pct"/>
            <w:gridSpan w:val="2"/>
            <w:shd w:val="clear" w:color="auto" w:fill="auto"/>
            <w:tcMar>
              <w:left w:w="17" w:type="dxa"/>
              <w:right w:w="17" w:type="dxa"/>
            </w:tcMar>
            <w:vAlign w:val="center"/>
          </w:tcPr>
          <w:p w14:paraId="009955CB" w14:textId="77777777" w:rsidR="001C56BD" w:rsidRPr="00F92667" w:rsidRDefault="001C56BD" w:rsidP="008A5C11">
            <w:pPr>
              <w:jc w:val="center"/>
              <w:rPr>
                <w:sz w:val="12"/>
                <w:szCs w:val="12"/>
              </w:rPr>
            </w:pPr>
            <w:r w:rsidRPr="00F92667">
              <w:rPr>
                <w:sz w:val="12"/>
                <w:szCs w:val="12"/>
              </w:rPr>
              <w:t>3579,180</w:t>
            </w:r>
          </w:p>
        </w:tc>
        <w:tc>
          <w:tcPr>
            <w:tcW w:w="177" w:type="pct"/>
            <w:gridSpan w:val="2"/>
            <w:shd w:val="clear" w:color="auto" w:fill="auto"/>
            <w:tcMar>
              <w:left w:w="17" w:type="dxa"/>
              <w:right w:w="17" w:type="dxa"/>
            </w:tcMar>
            <w:vAlign w:val="center"/>
          </w:tcPr>
          <w:p w14:paraId="157D083E" w14:textId="77777777" w:rsidR="001C56BD" w:rsidRPr="00F92667" w:rsidRDefault="001C56BD" w:rsidP="008A5C11">
            <w:pPr>
              <w:jc w:val="center"/>
              <w:rPr>
                <w:sz w:val="12"/>
                <w:szCs w:val="12"/>
              </w:rPr>
            </w:pPr>
            <w:r w:rsidRPr="00F92667">
              <w:rPr>
                <w:sz w:val="12"/>
                <w:szCs w:val="12"/>
              </w:rPr>
              <w:t>0,000</w:t>
            </w:r>
          </w:p>
        </w:tc>
        <w:tc>
          <w:tcPr>
            <w:tcW w:w="212" w:type="pct"/>
            <w:shd w:val="clear" w:color="auto" w:fill="auto"/>
            <w:tcMar>
              <w:left w:w="17" w:type="dxa"/>
              <w:right w:w="17" w:type="dxa"/>
            </w:tcMar>
            <w:vAlign w:val="center"/>
          </w:tcPr>
          <w:p w14:paraId="78B1EE8A" w14:textId="77777777" w:rsidR="001C56BD" w:rsidRPr="00F92667" w:rsidRDefault="001C56BD" w:rsidP="008A5C11">
            <w:pPr>
              <w:jc w:val="center"/>
              <w:rPr>
                <w:sz w:val="12"/>
                <w:szCs w:val="12"/>
              </w:rPr>
            </w:pPr>
            <w:r w:rsidRPr="00F92667">
              <w:rPr>
                <w:sz w:val="12"/>
                <w:szCs w:val="12"/>
              </w:rPr>
              <w:t>0,000</w:t>
            </w:r>
          </w:p>
        </w:tc>
        <w:tc>
          <w:tcPr>
            <w:tcW w:w="218" w:type="pct"/>
            <w:gridSpan w:val="2"/>
            <w:shd w:val="clear" w:color="auto" w:fill="auto"/>
            <w:tcMar>
              <w:left w:w="17" w:type="dxa"/>
              <w:right w:w="17" w:type="dxa"/>
            </w:tcMar>
            <w:vAlign w:val="center"/>
          </w:tcPr>
          <w:p w14:paraId="5D191C6E" w14:textId="77777777" w:rsidR="001C56BD" w:rsidRPr="00F92667" w:rsidRDefault="001C56BD" w:rsidP="008A5C11">
            <w:pPr>
              <w:jc w:val="center"/>
              <w:rPr>
                <w:sz w:val="12"/>
                <w:szCs w:val="12"/>
              </w:rPr>
            </w:pPr>
            <w:r w:rsidRPr="00F92667">
              <w:rPr>
                <w:sz w:val="12"/>
                <w:szCs w:val="12"/>
              </w:rPr>
              <w:t>3579,180</w:t>
            </w:r>
          </w:p>
        </w:tc>
        <w:tc>
          <w:tcPr>
            <w:tcW w:w="217" w:type="pct"/>
            <w:gridSpan w:val="2"/>
            <w:shd w:val="clear" w:color="auto" w:fill="auto"/>
            <w:tcMar>
              <w:left w:w="17" w:type="dxa"/>
              <w:right w:w="17" w:type="dxa"/>
            </w:tcMar>
            <w:vAlign w:val="center"/>
          </w:tcPr>
          <w:p w14:paraId="27648699" w14:textId="77777777" w:rsidR="001C56BD" w:rsidRPr="00F92667" w:rsidRDefault="001C56BD" w:rsidP="008A5C11">
            <w:pPr>
              <w:jc w:val="center"/>
              <w:rPr>
                <w:sz w:val="12"/>
                <w:szCs w:val="12"/>
              </w:rPr>
            </w:pPr>
            <w:r w:rsidRPr="00F92667">
              <w:rPr>
                <w:sz w:val="12"/>
                <w:szCs w:val="12"/>
              </w:rPr>
              <w:t>0,000</w:t>
            </w:r>
          </w:p>
        </w:tc>
        <w:tc>
          <w:tcPr>
            <w:tcW w:w="206" w:type="pct"/>
            <w:gridSpan w:val="2"/>
            <w:shd w:val="clear" w:color="auto" w:fill="auto"/>
            <w:tcMar>
              <w:left w:w="17" w:type="dxa"/>
              <w:right w:w="17" w:type="dxa"/>
            </w:tcMar>
            <w:vAlign w:val="center"/>
          </w:tcPr>
          <w:p w14:paraId="568C5EDE"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622048D5" w14:textId="77777777" w:rsidR="001C56BD" w:rsidRPr="00F92667" w:rsidRDefault="001C56BD" w:rsidP="008A5C11">
            <w:pPr>
              <w:jc w:val="center"/>
              <w:rPr>
                <w:sz w:val="12"/>
                <w:szCs w:val="12"/>
              </w:rPr>
            </w:pPr>
            <w:r w:rsidRPr="00F92667">
              <w:rPr>
                <w:sz w:val="12"/>
                <w:szCs w:val="12"/>
              </w:rPr>
              <w:t>0,000</w:t>
            </w:r>
          </w:p>
        </w:tc>
        <w:tc>
          <w:tcPr>
            <w:tcW w:w="214" w:type="pct"/>
            <w:gridSpan w:val="2"/>
            <w:shd w:val="clear" w:color="auto" w:fill="auto"/>
            <w:tcMar>
              <w:left w:w="17" w:type="dxa"/>
              <w:right w:w="17" w:type="dxa"/>
            </w:tcMar>
            <w:vAlign w:val="center"/>
          </w:tcPr>
          <w:p w14:paraId="0B96F996"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39F199AD"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04A165CE" w14:textId="77777777" w:rsidR="001C56BD" w:rsidRPr="00F92667" w:rsidRDefault="001C56BD" w:rsidP="008A5C11">
            <w:pPr>
              <w:jc w:val="center"/>
              <w:rPr>
                <w:sz w:val="12"/>
                <w:szCs w:val="12"/>
              </w:rPr>
            </w:pPr>
            <w:r w:rsidRPr="00F92667">
              <w:rPr>
                <w:sz w:val="12"/>
                <w:szCs w:val="12"/>
              </w:rPr>
              <w:t>0,000</w:t>
            </w:r>
          </w:p>
        </w:tc>
        <w:tc>
          <w:tcPr>
            <w:tcW w:w="214" w:type="pct"/>
            <w:gridSpan w:val="2"/>
            <w:shd w:val="clear" w:color="auto" w:fill="auto"/>
            <w:tcMar>
              <w:left w:w="17" w:type="dxa"/>
              <w:right w:w="17" w:type="dxa"/>
            </w:tcMar>
            <w:vAlign w:val="center"/>
          </w:tcPr>
          <w:p w14:paraId="3ECB4F27" w14:textId="77777777" w:rsidR="001C56BD" w:rsidRPr="00F92667" w:rsidRDefault="001C56BD" w:rsidP="008A5C11">
            <w:pPr>
              <w:jc w:val="center"/>
              <w:rPr>
                <w:sz w:val="12"/>
                <w:szCs w:val="12"/>
              </w:rPr>
            </w:pPr>
            <w:r w:rsidRPr="00F92667">
              <w:rPr>
                <w:sz w:val="12"/>
                <w:szCs w:val="12"/>
              </w:rPr>
              <w:t>0,000</w:t>
            </w:r>
          </w:p>
        </w:tc>
        <w:tc>
          <w:tcPr>
            <w:tcW w:w="247" w:type="pct"/>
            <w:gridSpan w:val="2"/>
            <w:shd w:val="clear" w:color="auto" w:fill="auto"/>
            <w:tcMar>
              <w:left w:w="17" w:type="dxa"/>
              <w:right w:w="17" w:type="dxa"/>
            </w:tcMar>
            <w:vAlign w:val="center"/>
          </w:tcPr>
          <w:p w14:paraId="18A8514E" w14:textId="77777777" w:rsidR="001C56BD" w:rsidRPr="00F92667" w:rsidRDefault="001C56BD" w:rsidP="008A5C11">
            <w:pPr>
              <w:jc w:val="center"/>
              <w:rPr>
                <w:sz w:val="12"/>
                <w:szCs w:val="12"/>
              </w:rPr>
            </w:pPr>
            <w:r w:rsidRPr="00F92667">
              <w:rPr>
                <w:sz w:val="12"/>
                <w:szCs w:val="12"/>
              </w:rPr>
              <w:t>0,000</w:t>
            </w:r>
          </w:p>
        </w:tc>
        <w:tc>
          <w:tcPr>
            <w:tcW w:w="173" w:type="pct"/>
            <w:shd w:val="clear" w:color="auto" w:fill="auto"/>
            <w:tcMar>
              <w:left w:w="17" w:type="dxa"/>
              <w:right w:w="17" w:type="dxa"/>
            </w:tcMar>
            <w:vAlign w:val="center"/>
          </w:tcPr>
          <w:p w14:paraId="0C43D16A" w14:textId="77777777" w:rsidR="001C56BD" w:rsidRPr="00F92667" w:rsidRDefault="001C56BD" w:rsidP="008A5C11">
            <w:pPr>
              <w:jc w:val="center"/>
              <w:rPr>
                <w:sz w:val="12"/>
                <w:szCs w:val="12"/>
              </w:rPr>
            </w:pPr>
            <w:r w:rsidRPr="00F92667">
              <w:rPr>
                <w:sz w:val="12"/>
                <w:szCs w:val="12"/>
              </w:rPr>
              <w:t>0,000</w:t>
            </w:r>
          </w:p>
        </w:tc>
        <w:tc>
          <w:tcPr>
            <w:tcW w:w="169" w:type="pct"/>
            <w:shd w:val="clear" w:color="auto" w:fill="auto"/>
            <w:tcMar>
              <w:left w:w="17" w:type="dxa"/>
              <w:right w:w="17" w:type="dxa"/>
            </w:tcMar>
            <w:vAlign w:val="center"/>
          </w:tcPr>
          <w:p w14:paraId="20C58C34" w14:textId="77777777" w:rsidR="001C56BD" w:rsidRPr="00F92667" w:rsidRDefault="001C56BD" w:rsidP="008A5C11">
            <w:pPr>
              <w:jc w:val="center"/>
              <w:rPr>
                <w:sz w:val="12"/>
                <w:szCs w:val="12"/>
              </w:rPr>
            </w:pPr>
            <w:r w:rsidRPr="00F92667">
              <w:rPr>
                <w:sz w:val="12"/>
                <w:szCs w:val="12"/>
              </w:rPr>
              <w:t>0,000</w:t>
            </w:r>
          </w:p>
        </w:tc>
      </w:tr>
      <w:tr w:rsidR="001C56BD" w:rsidRPr="00F92667" w14:paraId="40E5011C" w14:textId="77777777" w:rsidTr="008A5C11">
        <w:trPr>
          <w:gridBefore w:val="1"/>
          <w:wBefore w:w="3" w:type="pct"/>
          <w:trHeight w:val="897"/>
        </w:trPr>
        <w:tc>
          <w:tcPr>
            <w:tcW w:w="129" w:type="pct"/>
            <w:shd w:val="clear" w:color="auto" w:fill="auto"/>
            <w:tcMar>
              <w:left w:w="17" w:type="dxa"/>
              <w:right w:w="17" w:type="dxa"/>
            </w:tcMar>
            <w:vAlign w:val="center"/>
          </w:tcPr>
          <w:p w14:paraId="0475514A" w14:textId="77777777" w:rsidR="001C56BD" w:rsidRPr="00F92667" w:rsidRDefault="001C56BD" w:rsidP="008A5C11">
            <w:pPr>
              <w:jc w:val="center"/>
              <w:rPr>
                <w:sz w:val="12"/>
                <w:szCs w:val="12"/>
              </w:rPr>
            </w:pPr>
            <w:r w:rsidRPr="00F92667">
              <w:rPr>
                <w:sz w:val="12"/>
                <w:szCs w:val="12"/>
              </w:rPr>
              <w:t>3.1.7.</w:t>
            </w:r>
          </w:p>
        </w:tc>
        <w:tc>
          <w:tcPr>
            <w:tcW w:w="305" w:type="pct"/>
            <w:shd w:val="clear" w:color="auto" w:fill="auto"/>
            <w:tcMar>
              <w:left w:w="17" w:type="dxa"/>
              <w:right w:w="17" w:type="dxa"/>
            </w:tcMar>
            <w:vAlign w:val="center"/>
          </w:tcPr>
          <w:p w14:paraId="23BC3377" w14:textId="77777777" w:rsidR="001C56BD" w:rsidRPr="00F92667" w:rsidRDefault="001C56BD" w:rsidP="008A5C11">
            <w:pPr>
              <w:rPr>
                <w:sz w:val="12"/>
                <w:szCs w:val="12"/>
              </w:rPr>
            </w:pPr>
            <w:r w:rsidRPr="00F92667">
              <w:rPr>
                <w:sz w:val="12"/>
                <w:szCs w:val="12"/>
              </w:rPr>
              <w:t>Реконструкция тепловой сети с реестровым номером 759103</w:t>
            </w:r>
          </w:p>
        </w:tc>
        <w:tc>
          <w:tcPr>
            <w:tcW w:w="304" w:type="pct"/>
            <w:shd w:val="clear" w:color="000000" w:fill="FFFFFF"/>
            <w:tcMar>
              <w:left w:w="17" w:type="dxa"/>
              <w:right w:w="17" w:type="dxa"/>
            </w:tcMar>
            <w:vAlign w:val="center"/>
          </w:tcPr>
          <w:p w14:paraId="060F1CD3" w14:textId="77777777" w:rsidR="001C56BD" w:rsidRPr="00F92667" w:rsidRDefault="001C56BD" w:rsidP="008A5C11">
            <w:pPr>
              <w:jc w:val="center"/>
              <w:rPr>
                <w:sz w:val="12"/>
                <w:szCs w:val="12"/>
              </w:rPr>
            </w:pPr>
            <w:r w:rsidRPr="00F92667">
              <w:rPr>
                <w:color w:val="000000"/>
                <w:sz w:val="12"/>
                <w:szCs w:val="12"/>
              </w:rPr>
              <w:t>Повышение надежности услуг теплоснабжения, повышение энергетической эффективности</w:t>
            </w:r>
          </w:p>
        </w:tc>
        <w:tc>
          <w:tcPr>
            <w:tcW w:w="258" w:type="pct"/>
            <w:shd w:val="clear" w:color="auto" w:fill="auto"/>
            <w:tcMar>
              <w:left w:w="17" w:type="dxa"/>
              <w:right w:w="17" w:type="dxa"/>
            </w:tcMar>
            <w:vAlign w:val="center"/>
          </w:tcPr>
          <w:p w14:paraId="0CD16DCC" w14:textId="77777777" w:rsidR="001C56BD" w:rsidRPr="00F92667" w:rsidRDefault="001C56BD" w:rsidP="008A5C11">
            <w:pPr>
              <w:jc w:val="center"/>
              <w:rPr>
                <w:sz w:val="12"/>
                <w:szCs w:val="12"/>
              </w:rPr>
            </w:pPr>
            <w:r w:rsidRPr="00F92667">
              <w:rPr>
                <w:sz w:val="12"/>
                <w:szCs w:val="12"/>
              </w:rPr>
              <w:t>Кемеровский городской округ, Кировский район, ул. Инициативная</w:t>
            </w:r>
          </w:p>
        </w:tc>
        <w:tc>
          <w:tcPr>
            <w:tcW w:w="294" w:type="pct"/>
            <w:shd w:val="clear" w:color="auto" w:fill="auto"/>
            <w:tcMar>
              <w:left w:w="17" w:type="dxa"/>
              <w:right w:w="17" w:type="dxa"/>
            </w:tcMar>
            <w:vAlign w:val="center"/>
          </w:tcPr>
          <w:p w14:paraId="596DE5DA" w14:textId="77777777" w:rsidR="001C56BD" w:rsidRPr="00F92667" w:rsidRDefault="001C56BD" w:rsidP="008A5C11">
            <w:pPr>
              <w:jc w:val="center"/>
              <w:rPr>
                <w:sz w:val="12"/>
                <w:szCs w:val="12"/>
              </w:rPr>
            </w:pPr>
            <w:r w:rsidRPr="00F92667">
              <w:rPr>
                <w:color w:val="000000"/>
                <w:sz w:val="12"/>
                <w:szCs w:val="12"/>
              </w:rPr>
              <w:t>Технические характеристики</w:t>
            </w:r>
          </w:p>
        </w:tc>
        <w:tc>
          <w:tcPr>
            <w:tcW w:w="129" w:type="pct"/>
            <w:shd w:val="clear" w:color="auto" w:fill="auto"/>
            <w:tcMar>
              <w:left w:w="17" w:type="dxa"/>
              <w:right w:w="17" w:type="dxa"/>
            </w:tcMar>
            <w:vAlign w:val="center"/>
          </w:tcPr>
          <w:p w14:paraId="6817C59E" w14:textId="77777777" w:rsidR="001C56BD" w:rsidRPr="00F92667" w:rsidRDefault="001C56BD" w:rsidP="008A5C11">
            <w:pPr>
              <w:jc w:val="center"/>
              <w:rPr>
                <w:color w:val="000000"/>
                <w:sz w:val="12"/>
                <w:szCs w:val="12"/>
              </w:rPr>
            </w:pPr>
          </w:p>
        </w:tc>
        <w:tc>
          <w:tcPr>
            <w:tcW w:w="184" w:type="pct"/>
            <w:shd w:val="clear" w:color="auto" w:fill="auto"/>
            <w:tcMar>
              <w:left w:w="17" w:type="dxa"/>
              <w:right w:w="17" w:type="dxa"/>
            </w:tcMar>
            <w:vAlign w:val="center"/>
          </w:tcPr>
          <w:p w14:paraId="73052E0A" w14:textId="77777777" w:rsidR="001C56BD" w:rsidRPr="00F92667" w:rsidRDefault="001C56BD" w:rsidP="008A5C11">
            <w:pPr>
              <w:jc w:val="center"/>
              <w:rPr>
                <w:sz w:val="12"/>
                <w:szCs w:val="12"/>
              </w:rPr>
            </w:pPr>
            <w:r w:rsidRPr="00F92667">
              <w:rPr>
                <w:sz w:val="12"/>
                <w:szCs w:val="12"/>
              </w:rPr>
              <w:t xml:space="preserve">Канал-ж/б лотки (непроходной канал), опоры приварные, запорная арматура - стальная клиновая, антикоррозийная защита-лак БТ, труба-сталь 20, изоляция - мин. маты          </w:t>
            </w:r>
          </w:p>
        </w:tc>
        <w:tc>
          <w:tcPr>
            <w:tcW w:w="219" w:type="pct"/>
            <w:shd w:val="clear" w:color="auto" w:fill="auto"/>
            <w:tcMar>
              <w:left w:w="17" w:type="dxa"/>
              <w:right w:w="17" w:type="dxa"/>
            </w:tcMar>
            <w:vAlign w:val="center"/>
          </w:tcPr>
          <w:p w14:paraId="28C42833" w14:textId="77777777" w:rsidR="001C56BD" w:rsidRPr="00F92667" w:rsidRDefault="001C56BD" w:rsidP="008A5C11">
            <w:pPr>
              <w:jc w:val="center"/>
              <w:rPr>
                <w:sz w:val="12"/>
                <w:szCs w:val="12"/>
              </w:rPr>
            </w:pPr>
            <w:r w:rsidRPr="00F92667">
              <w:rPr>
                <w:sz w:val="12"/>
                <w:szCs w:val="12"/>
              </w:rPr>
              <w:t xml:space="preserve">Канал-ж/б лотки, опоры-хомутовые с диэлектрической прокладкой, запорная арматура - кран шаровый, антикоррозийная защита-мастика Вектор 1214, 1025, труба-сталь 09Г2С, изоляция - маты прошивные, </w:t>
            </w:r>
            <w:proofErr w:type="gramStart"/>
            <w:r w:rsidRPr="00F92667">
              <w:rPr>
                <w:sz w:val="12"/>
                <w:szCs w:val="12"/>
              </w:rPr>
              <w:t>стеклоплас-тик</w:t>
            </w:r>
            <w:proofErr w:type="gramEnd"/>
          </w:p>
        </w:tc>
        <w:tc>
          <w:tcPr>
            <w:tcW w:w="130" w:type="pct"/>
            <w:shd w:val="clear" w:color="auto" w:fill="auto"/>
            <w:tcMar>
              <w:left w:w="17" w:type="dxa"/>
              <w:right w:w="17" w:type="dxa"/>
            </w:tcMar>
            <w:vAlign w:val="center"/>
          </w:tcPr>
          <w:p w14:paraId="0846FC08" w14:textId="77777777" w:rsidR="001C56BD" w:rsidRPr="00F92667" w:rsidRDefault="001C56BD" w:rsidP="008A5C11">
            <w:pPr>
              <w:jc w:val="center"/>
              <w:rPr>
                <w:sz w:val="12"/>
                <w:szCs w:val="12"/>
              </w:rPr>
            </w:pPr>
            <w:r w:rsidRPr="00F92667">
              <w:rPr>
                <w:sz w:val="12"/>
                <w:szCs w:val="12"/>
              </w:rPr>
              <w:t>2025</w:t>
            </w:r>
          </w:p>
        </w:tc>
        <w:tc>
          <w:tcPr>
            <w:tcW w:w="130" w:type="pct"/>
            <w:shd w:val="clear" w:color="auto" w:fill="auto"/>
            <w:tcMar>
              <w:left w:w="17" w:type="dxa"/>
              <w:right w:w="17" w:type="dxa"/>
            </w:tcMar>
            <w:vAlign w:val="center"/>
          </w:tcPr>
          <w:p w14:paraId="263F67AB" w14:textId="77777777" w:rsidR="001C56BD" w:rsidRPr="00F92667" w:rsidRDefault="001C56BD" w:rsidP="008A5C11">
            <w:pPr>
              <w:jc w:val="center"/>
              <w:rPr>
                <w:sz w:val="12"/>
                <w:szCs w:val="12"/>
              </w:rPr>
            </w:pPr>
            <w:r w:rsidRPr="00F92667">
              <w:rPr>
                <w:sz w:val="12"/>
                <w:szCs w:val="12"/>
              </w:rPr>
              <w:t>2025</w:t>
            </w:r>
          </w:p>
        </w:tc>
        <w:tc>
          <w:tcPr>
            <w:tcW w:w="217" w:type="pct"/>
            <w:gridSpan w:val="2"/>
            <w:shd w:val="clear" w:color="auto" w:fill="auto"/>
            <w:tcMar>
              <w:left w:w="17" w:type="dxa"/>
              <w:right w:w="17" w:type="dxa"/>
            </w:tcMar>
            <w:vAlign w:val="center"/>
          </w:tcPr>
          <w:p w14:paraId="6978DDC4" w14:textId="77777777" w:rsidR="001C56BD" w:rsidRPr="00F92667" w:rsidRDefault="001C56BD" w:rsidP="008A5C11">
            <w:pPr>
              <w:jc w:val="center"/>
              <w:rPr>
                <w:sz w:val="12"/>
                <w:szCs w:val="12"/>
              </w:rPr>
            </w:pPr>
            <w:r w:rsidRPr="00F92667">
              <w:rPr>
                <w:sz w:val="12"/>
                <w:szCs w:val="12"/>
              </w:rPr>
              <w:t>6830,724</w:t>
            </w:r>
          </w:p>
        </w:tc>
        <w:tc>
          <w:tcPr>
            <w:tcW w:w="177" w:type="pct"/>
            <w:gridSpan w:val="2"/>
            <w:shd w:val="clear" w:color="auto" w:fill="auto"/>
            <w:tcMar>
              <w:left w:w="17" w:type="dxa"/>
              <w:right w:w="17" w:type="dxa"/>
            </w:tcMar>
            <w:vAlign w:val="center"/>
          </w:tcPr>
          <w:p w14:paraId="5CE08F74" w14:textId="77777777" w:rsidR="001C56BD" w:rsidRPr="00F92667" w:rsidRDefault="001C56BD" w:rsidP="008A5C11">
            <w:pPr>
              <w:jc w:val="center"/>
              <w:rPr>
                <w:sz w:val="12"/>
                <w:szCs w:val="12"/>
              </w:rPr>
            </w:pPr>
            <w:r w:rsidRPr="00F92667">
              <w:rPr>
                <w:sz w:val="12"/>
                <w:szCs w:val="12"/>
              </w:rPr>
              <w:t>0,000</w:t>
            </w:r>
          </w:p>
        </w:tc>
        <w:tc>
          <w:tcPr>
            <w:tcW w:w="212" w:type="pct"/>
            <w:shd w:val="clear" w:color="auto" w:fill="auto"/>
            <w:tcMar>
              <w:left w:w="17" w:type="dxa"/>
              <w:right w:w="17" w:type="dxa"/>
            </w:tcMar>
            <w:vAlign w:val="center"/>
          </w:tcPr>
          <w:p w14:paraId="2DEC3A85" w14:textId="77777777" w:rsidR="001C56BD" w:rsidRPr="00F92667" w:rsidRDefault="001C56BD" w:rsidP="008A5C11">
            <w:pPr>
              <w:jc w:val="center"/>
              <w:rPr>
                <w:sz w:val="12"/>
                <w:szCs w:val="12"/>
              </w:rPr>
            </w:pPr>
            <w:r w:rsidRPr="00F92667">
              <w:rPr>
                <w:sz w:val="12"/>
                <w:szCs w:val="12"/>
              </w:rPr>
              <w:t>0,000</w:t>
            </w:r>
          </w:p>
        </w:tc>
        <w:tc>
          <w:tcPr>
            <w:tcW w:w="218" w:type="pct"/>
            <w:gridSpan w:val="2"/>
            <w:shd w:val="clear" w:color="auto" w:fill="auto"/>
            <w:tcMar>
              <w:left w:w="17" w:type="dxa"/>
              <w:right w:w="17" w:type="dxa"/>
            </w:tcMar>
            <w:vAlign w:val="center"/>
          </w:tcPr>
          <w:p w14:paraId="5A8DD0F0"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0D95721D" w14:textId="77777777" w:rsidR="001C56BD" w:rsidRPr="00F92667" w:rsidRDefault="001C56BD" w:rsidP="008A5C11">
            <w:pPr>
              <w:jc w:val="center"/>
              <w:rPr>
                <w:sz w:val="12"/>
                <w:szCs w:val="12"/>
              </w:rPr>
            </w:pPr>
            <w:r w:rsidRPr="00F92667">
              <w:rPr>
                <w:sz w:val="12"/>
                <w:szCs w:val="12"/>
              </w:rPr>
              <w:t>0,000</w:t>
            </w:r>
          </w:p>
        </w:tc>
        <w:tc>
          <w:tcPr>
            <w:tcW w:w="206" w:type="pct"/>
            <w:gridSpan w:val="2"/>
            <w:shd w:val="clear" w:color="auto" w:fill="auto"/>
            <w:tcMar>
              <w:left w:w="17" w:type="dxa"/>
              <w:right w:w="17" w:type="dxa"/>
            </w:tcMar>
            <w:vAlign w:val="center"/>
          </w:tcPr>
          <w:p w14:paraId="39477DBB" w14:textId="77777777" w:rsidR="001C56BD" w:rsidRPr="00F92667" w:rsidRDefault="001C56BD" w:rsidP="008A5C11">
            <w:pPr>
              <w:jc w:val="center"/>
              <w:rPr>
                <w:sz w:val="12"/>
                <w:szCs w:val="12"/>
              </w:rPr>
            </w:pPr>
            <w:r w:rsidRPr="00F92667">
              <w:rPr>
                <w:sz w:val="12"/>
                <w:szCs w:val="12"/>
              </w:rPr>
              <w:t>6830,724</w:t>
            </w:r>
          </w:p>
        </w:tc>
        <w:tc>
          <w:tcPr>
            <w:tcW w:w="217" w:type="pct"/>
            <w:gridSpan w:val="2"/>
            <w:shd w:val="clear" w:color="auto" w:fill="auto"/>
            <w:tcMar>
              <w:left w:w="17" w:type="dxa"/>
              <w:right w:w="17" w:type="dxa"/>
            </w:tcMar>
            <w:vAlign w:val="center"/>
          </w:tcPr>
          <w:p w14:paraId="06AF3572" w14:textId="77777777" w:rsidR="001C56BD" w:rsidRPr="00F92667" w:rsidRDefault="001C56BD" w:rsidP="008A5C11">
            <w:pPr>
              <w:jc w:val="center"/>
              <w:rPr>
                <w:sz w:val="12"/>
                <w:szCs w:val="12"/>
              </w:rPr>
            </w:pPr>
            <w:r w:rsidRPr="00F92667">
              <w:rPr>
                <w:sz w:val="12"/>
                <w:szCs w:val="12"/>
              </w:rPr>
              <w:t>0,000</w:t>
            </w:r>
          </w:p>
        </w:tc>
        <w:tc>
          <w:tcPr>
            <w:tcW w:w="214" w:type="pct"/>
            <w:gridSpan w:val="2"/>
            <w:shd w:val="clear" w:color="auto" w:fill="auto"/>
            <w:tcMar>
              <w:left w:w="17" w:type="dxa"/>
              <w:right w:w="17" w:type="dxa"/>
            </w:tcMar>
            <w:vAlign w:val="center"/>
          </w:tcPr>
          <w:p w14:paraId="0AA206F9"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04F2268C"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58BD8327" w14:textId="77777777" w:rsidR="001C56BD" w:rsidRPr="00F92667" w:rsidRDefault="001C56BD" w:rsidP="008A5C11">
            <w:pPr>
              <w:jc w:val="center"/>
              <w:rPr>
                <w:sz w:val="12"/>
                <w:szCs w:val="12"/>
              </w:rPr>
            </w:pPr>
            <w:r w:rsidRPr="00F92667">
              <w:rPr>
                <w:sz w:val="12"/>
                <w:szCs w:val="12"/>
              </w:rPr>
              <w:t>0,000</w:t>
            </w:r>
          </w:p>
        </w:tc>
        <w:tc>
          <w:tcPr>
            <w:tcW w:w="214" w:type="pct"/>
            <w:gridSpan w:val="2"/>
            <w:shd w:val="clear" w:color="auto" w:fill="auto"/>
            <w:tcMar>
              <w:left w:w="17" w:type="dxa"/>
              <w:right w:w="17" w:type="dxa"/>
            </w:tcMar>
            <w:vAlign w:val="center"/>
          </w:tcPr>
          <w:p w14:paraId="795D5524" w14:textId="77777777" w:rsidR="001C56BD" w:rsidRPr="00F92667" w:rsidRDefault="001C56BD" w:rsidP="008A5C11">
            <w:pPr>
              <w:jc w:val="center"/>
              <w:rPr>
                <w:sz w:val="12"/>
                <w:szCs w:val="12"/>
              </w:rPr>
            </w:pPr>
            <w:r w:rsidRPr="00F92667">
              <w:rPr>
                <w:sz w:val="12"/>
                <w:szCs w:val="12"/>
              </w:rPr>
              <w:t>0,000</w:t>
            </w:r>
          </w:p>
        </w:tc>
        <w:tc>
          <w:tcPr>
            <w:tcW w:w="247" w:type="pct"/>
            <w:gridSpan w:val="2"/>
            <w:shd w:val="clear" w:color="auto" w:fill="auto"/>
            <w:tcMar>
              <w:left w:w="17" w:type="dxa"/>
              <w:right w:w="17" w:type="dxa"/>
            </w:tcMar>
            <w:vAlign w:val="center"/>
          </w:tcPr>
          <w:p w14:paraId="0C984E73" w14:textId="77777777" w:rsidR="001C56BD" w:rsidRPr="00F92667" w:rsidRDefault="001C56BD" w:rsidP="008A5C11">
            <w:pPr>
              <w:jc w:val="center"/>
              <w:rPr>
                <w:sz w:val="12"/>
                <w:szCs w:val="12"/>
              </w:rPr>
            </w:pPr>
            <w:r w:rsidRPr="00F92667">
              <w:rPr>
                <w:sz w:val="12"/>
                <w:szCs w:val="12"/>
              </w:rPr>
              <w:t>0,000</w:t>
            </w:r>
          </w:p>
        </w:tc>
        <w:tc>
          <w:tcPr>
            <w:tcW w:w="173" w:type="pct"/>
            <w:shd w:val="clear" w:color="auto" w:fill="auto"/>
            <w:tcMar>
              <w:left w:w="17" w:type="dxa"/>
              <w:right w:w="17" w:type="dxa"/>
            </w:tcMar>
            <w:vAlign w:val="center"/>
          </w:tcPr>
          <w:p w14:paraId="4A065BBB" w14:textId="77777777" w:rsidR="001C56BD" w:rsidRPr="00F92667" w:rsidRDefault="001C56BD" w:rsidP="008A5C11">
            <w:pPr>
              <w:jc w:val="center"/>
              <w:rPr>
                <w:sz w:val="12"/>
                <w:szCs w:val="12"/>
              </w:rPr>
            </w:pPr>
            <w:r w:rsidRPr="00F92667">
              <w:rPr>
                <w:sz w:val="12"/>
                <w:szCs w:val="12"/>
              </w:rPr>
              <w:t>0,000</w:t>
            </w:r>
          </w:p>
        </w:tc>
        <w:tc>
          <w:tcPr>
            <w:tcW w:w="169" w:type="pct"/>
            <w:shd w:val="clear" w:color="auto" w:fill="auto"/>
            <w:tcMar>
              <w:left w:w="17" w:type="dxa"/>
              <w:right w:w="17" w:type="dxa"/>
            </w:tcMar>
            <w:vAlign w:val="center"/>
          </w:tcPr>
          <w:p w14:paraId="70F9F97C" w14:textId="77777777" w:rsidR="001C56BD" w:rsidRPr="00F92667" w:rsidRDefault="001C56BD" w:rsidP="008A5C11">
            <w:pPr>
              <w:jc w:val="center"/>
              <w:rPr>
                <w:sz w:val="12"/>
                <w:szCs w:val="12"/>
              </w:rPr>
            </w:pPr>
            <w:r w:rsidRPr="00F92667">
              <w:rPr>
                <w:sz w:val="12"/>
                <w:szCs w:val="12"/>
              </w:rPr>
              <w:t>0,000</w:t>
            </w:r>
          </w:p>
        </w:tc>
      </w:tr>
      <w:tr w:rsidR="001C56BD" w:rsidRPr="00F92667" w14:paraId="205DC17F" w14:textId="77777777" w:rsidTr="008A5C11">
        <w:trPr>
          <w:gridBefore w:val="1"/>
          <w:wBefore w:w="3" w:type="pct"/>
          <w:trHeight w:val="897"/>
        </w:trPr>
        <w:tc>
          <w:tcPr>
            <w:tcW w:w="129" w:type="pct"/>
            <w:shd w:val="clear" w:color="auto" w:fill="auto"/>
            <w:tcMar>
              <w:left w:w="17" w:type="dxa"/>
              <w:right w:w="17" w:type="dxa"/>
            </w:tcMar>
            <w:vAlign w:val="center"/>
          </w:tcPr>
          <w:p w14:paraId="2C685AC7" w14:textId="77777777" w:rsidR="001C56BD" w:rsidRPr="00F92667" w:rsidRDefault="001C56BD" w:rsidP="008A5C11">
            <w:pPr>
              <w:jc w:val="center"/>
              <w:rPr>
                <w:bCs/>
                <w:sz w:val="12"/>
                <w:szCs w:val="12"/>
              </w:rPr>
            </w:pPr>
            <w:r w:rsidRPr="00F92667">
              <w:rPr>
                <w:bCs/>
                <w:sz w:val="12"/>
                <w:szCs w:val="12"/>
              </w:rPr>
              <w:t>1</w:t>
            </w:r>
          </w:p>
        </w:tc>
        <w:tc>
          <w:tcPr>
            <w:tcW w:w="305" w:type="pct"/>
            <w:shd w:val="clear" w:color="auto" w:fill="auto"/>
            <w:tcMar>
              <w:left w:w="17" w:type="dxa"/>
              <w:right w:w="17" w:type="dxa"/>
            </w:tcMar>
            <w:vAlign w:val="center"/>
          </w:tcPr>
          <w:p w14:paraId="3A6F4256" w14:textId="77777777" w:rsidR="001C56BD" w:rsidRPr="00F92667" w:rsidRDefault="001C56BD" w:rsidP="008A5C11">
            <w:pPr>
              <w:jc w:val="center"/>
              <w:rPr>
                <w:bCs/>
                <w:sz w:val="12"/>
                <w:szCs w:val="12"/>
              </w:rPr>
            </w:pPr>
            <w:r w:rsidRPr="00F92667">
              <w:rPr>
                <w:bCs/>
                <w:sz w:val="12"/>
                <w:szCs w:val="12"/>
              </w:rPr>
              <w:t>2</w:t>
            </w:r>
          </w:p>
        </w:tc>
        <w:tc>
          <w:tcPr>
            <w:tcW w:w="304" w:type="pct"/>
            <w:shd w:val="clear" w:color="auto" w:fill="auto"/>
            <w:tcMar>
              <w:left w:w="17" w:type="dxa"/>
              <w:right w:w="17" w:type="dxa"/>
            </w:tcMar>
            <w:vAlign w:val="center"/>
          </w:tcPr>
          <w:p w14:paraId="5950A001" w14:textId="77777777" w:rsidR="001C56BD" w:rsidRPr="00F92667" w:rsidRDefault="001C56BD" w:rsidP="008A5C11">
            <w:pPr>
              <w:jc w:val="center"/>
              <w:rPr>
                <w:bCs/>
                <w:sz w:val="12"/>
                <w:szCs w:val="12"/>
              </w:rPr>
            </w:pPr>
            <w:r w:rsidRPr="00F92667">
              <w:rPr>
                <w:bCs/>
                <w:sz w:val="12"/>
                <w:szCs w:val="12"/>
              </w:rPr>
              <w:t>3</w:t>
            </w:r>
          </w:p>
        </w:tc>
        <w:tc>
          <w:tcPr>
            <w:tcW w:w="258" w:type="pct"/>
            <w:shd w:val="clear" w:color="auto" w:fill="auto"/>
            <w:tcMar>
              <w:left w:w="17" w:type="dxa"/>
              <w:right w:w="17" w:type="dxa"/>
            </w:tcMar>
            <w:vAlign w:val="center"/>
          </w:tcPr>
          <w:p w14:paraId="05171A23" w14:textId="77777777" w:rsidR="001C56BD" w:rsidRPr="00F92667" w:rsidRDefault="001C56BD" w:rsidP="008A5C11">
            <w:pPr>
              <w:jc w:val="center"/>
              <w:rPr>
                <w:bCs/>
                <w:sz w:val="12"/>
                <w:szCs w:val="12"/>
              </w:rPr>
            </w:pPr>
            <w:r w:rsidRPr="00F92667">
              <w:rPr>
                <w:bCs/>
                <w:sz w:val="12"/>
                <w:szCs w:val="12"/>
              </w:rPr>
              <w:t>4</w:t>
            </w:r>
          </w:p>
        </w:tc>
        <w:tc>
          <w:tcPr>
            <w:tcW w:w="294" w:type="pct"/>
            <w:shd w:val="clear" w:color="auto" w:fill="auto"/>
            <w:tcMar>
              <w:left w:w="17" w:type="dxa"/>
              <w:right w:w="17" w:type="dxa"/>
            </w:tcMar>
            <w:vAlign w:val="center"/>
          </w:tcPr>
          <w:p w14:paraId="62526709" w14:textId="77777777" w:rsidR="001C56BD" w:rsidRPr="00F92667" w:rsidRDefault="001C56BD" w:rsidP="008A5C11">
            <w:pPr>
              <w:jc w:val="center"/>
              <w:rPr>
                <w:bCs/>
                <w:sz w:val="12"/>
                <w:szCs w:val="12"/>
              </w:rPr>
            </w:pPr>
            <w:r w:rsidRPr="00F92667">
              <w:rPr>
                <w:bCs/>
                <w:sz w:val="12"/>
                <w:szCs w:val="12"/>
              </w:rPr>
              <w:t>5</w:t>
            </w:r>
          </w:p>
        </w:tc>
        <w:tc>
          <w:tcPr>
            <w:tcW w:w="129" w:type="pct"/>
            <w:shd w:val="clear" w:color="auto" w:fill="auto"/>
            <w:tcMar>
              <w:left w:w="17" w:type="dxa"/>
              <w:right w:w="17" w:type="dxa"/>
            </w:tcMar>
            <w:vAlign w:val="center"/>
          </w:tcPr>
          <w:p w14:paraId="0E47B890" w14:textId="77777777" w:rsidR="001C56BD" w:rsidRPr="00F92667" w:rsidRDefault="001C56BD" w:rsidP="008A5C11">
            <w:pPr>
              <w:jc w:val="center"/>
              <w:rPr>
                <w:bCs/>
                <w:sz w:val="12"/>
                <w:szCs w:val="12"/>
              </w:rPr>
            </w:pPr>
            <w:r w:rsidRPr="00F92667">
              <w:rPr>
                <w:bCs/>
                <w:sz w:val="12"/>
                <w:szCs w:val="12"/>
              </w:rPr>
              <w:t>6</w:t>
            </w:r>
          </w:p>
        </w:tc>
        <w:tc>
          <w:tcPr>
            <w:tcW w:w="184" w:type="pct"/>
            <w:shd w:val="clear" w:color="auto" w:fill="auto"/>
            <w:tcMar>
              <w:left w:w="17" w:type="dxa"/>
              <w:right w:w="17" w:type="dxa"/>
            </w:tcMar>
            <w:vAlign w:val="center"/>
          </w:tcPr>
          <w:p w14:paraId="70801C30" w14:textId="77777777" w:rsidR="001C56BD" w:rsidRPr="00F92667" w:rsidRDefault="001C56BD" w:rsidP="008A5C11">
            <w:pPr>
              <w:jc w:val="center"/>
              <w:rPr>
                <w:bCs/>
                <w:sz w:val="12"/>
                <w:szCs w:val="12"/>
              </w:rPr>
            </w:pPr>
            <w:r w:rsidRPr="00F92667">
              <w:rPr>
                <w:bCs/>
                <w:sz w:val="12"/>
                <w:szCs w:val="12"/>
              </w:rPr>
              <w:t>7</w:t>
            </w:r>
          </w:p>
        </w:tc>
        <w:tc>
          <w:tcPr>
            <w:tcW w:w="219" w:type="pct"/>
            <w:shd w:val="clear" w:color="auto" w:fill="auto"/>
            <w:tcMar>
              <w:left w:w="17" w:type="dxa"/>
              <w:right w:w="17" w:type="dxa"/>
            </w:tcMar>
            <w:vAlign w:val="center"/>
          </w:tcPr>
          <w:p w14:paraId="7DC66042" w14:textId="77777777" w:rsidR="001C56BD" w:rsidRPr="00F92667" w:rsidRDefault="001C56BD" w:rsidP="008A5C11">
            <w:pPr>
              <w:jc w:val="center"/>
              <w:rPr>
                <w:bCs/>
                <w:sz w:val="12"/>
                <w:szCs w:val="12"/>
              </w:rPr>
            </w:pPr>
            <w:r w:rsidRPr="00F92667">
              <w:rPr>
                <w:bCs/>
                <w:sz w:val="12"/>
                <w:szCs w:val="12"/>
              </w:rPr>
              <w:t>8</w:t>
            </w:r>
          </w:p>
        </w:tc>
        <w:tc>
          <w:tcPr>
            <w:tcW w:w="130" w:type="pct"/>
            <w:shd w:val="clear" w:color="auto" w:fill="auto"/>
            <w:tcMar>
              <w:left w:w="17" w:type="dxa"/>
              <w:right w:w="17" w:type="dxa"/>
            </w:tcMar>
            <w:vAlign w:val="center"/>
          </w:tcPr>
          <w:p w14:paraId="3E67C9E0" w14:textId="77777777" w:rsidR="001C56BD" w:rsidRPr="00F92667" w:rsidRDefault="001C56BD" w:rsidP="008A5C11">
            <w:pPr>
              <w:jc w:val="center"/>
              <w:rPr>
                <w:bCs/>
                <w:sz w:val="12"/>
                <w:szCs w:val="12"/>
              </w:rPr>
            </w:pPr>
            <w:r w:rsidRPr="00F92667">
              <w:rPr>
                <w:bCs/>
                <w:sz w:val="12"/>
                <w:szCs w:val="12"/>
              </w:rPr>
              <w:t>9</w:t>
            </w:r>
          </w:p>
        </w:tc>
        <w:tc>
          <w:tcPr>
            <w:tcW w:w="130" w:type="pct"/>
            <w:shd w:val="clear" w:color="auto" w:fill="auto"/>
            <w:tcMar>
              <w:left w:w="17" w:type="dxa"/>
              <w:right w:w="17" w:type="dxa"/>
            </w:tcMar>
            <w:vAlign w:val="center"/>
          </w:tcPr>
          <w:p w14:paraId="2EB860A1" w14:textId="77777777" w:rsidR="001C56BD" w:rsidRPr="00F92667" w:rsidRDefault="001C56BD" w:rsidP="008A5C11">
            <w:pPr>
              <w:jc w:val="center"/>
              <w:rPr>
                <w:bCs/>
                <w:sz w:val="12"/>
                <w:szCs w:val="12"/>
              </w:rPr>
            </w:pPr>
            <w:r w:rsidRPr="00F92667">
              <w:rPr>
                <w:bCs/>
                <w:sz w:val="12"/>
                <w:szCs w:val="12"/>
              </w:rPr>
              <w:t>10</w:t>
            </w:r>
          </w:p>
        </w:tc>
        <w:tc>
          <w:tcPr>
            <w:tcW w:w="217" w:type="pct"/>
            <w:gridSpan w:val="2"/>
            <w:shd w:val="clear" w:color="auto" w:fill="auto"/>
            <w:tcMar>
              <w:left w:w="17" w:type="dxa"/>
              <w:right w:w="17" w:type="dxa"/>
            </w:tcMar>
            <w:vAlign w:val="center"/>
          </w:tcPr>
          <w:p w14:paraId="725FDA8D" w14:textId="77777777" w:rsidR="001C56BD" w:rsidRPr="00F92667" w:rsidRDefault="001C56BD" w:rsidP="008A5C11">
            <w:pPr>
              <w:jc w:val="center"/>
              <w:rPr>
                <w:bCs/>
                <w:sz w:val="12"/>
                <w:szCs w:val="12"/>
              </w:rPr>
            </w:pPr>
            <w:r w:rsidRPr="00F92667">
              <w:rPr>
                <w:bCs/>
                <w:sz w:val="12"/>
                <w:szCs w:val="12"/>
              </w:rPr>
              <w:t>11</w:t>
            </w:r>
          </w:p>
        </w:tc>
        <w:tc>
          <w:tcPr>
            <w:tcW w:w="177" w:type="pct"/>
            <w:gridSpan w:val="2"/>
            <w:shd w:val="clear" w:color="auto" w:fill="auto"/>
            <w:tcMar>
              <w:left w:w="17" w:type="dxa"/>
              <w:right w:w="17" w:type="dxa"/>
            </w:tcMar>
            <w:vAlign w:val="center"/>
          </w:tcPr>
          <w:p w14:paraId="625039CC" w14:textId="77777777" w:rsidR="001C56BD" w:rsidRPr="00F92667" w:rsidRDefault="001C56BD" w:rsidP="008A5C11">
            <w:pPr>
              <w:jc w:val="center"/>
              <w:rPr>
                <w:bCs/>
                <w:sz w:val="12"/>
                <w:szCs w:val="12"/>
              </w:rPr>
            </w:pPr>
            <w:r w:rsidRPr="00F92667">
              <w:rPr>
                <w:bCs/>
                <w:sz w:val="12"/>
                <w:szCs w:val="12"/>
              </w:rPr>
              <w:t>12</w:t>
            </w:r>
          </w:p>
        </w:tc>
        <w:tc>
          <w:tcPr>
            <w:tcW w:w="212" w:type="pct"/>
            <w:shd w:val="clear" w:color="auto" w:fill="auto"/>
            <w:tcMar>
              <w:left w:w="17" w:type="dxa"/>
              <w:right w:w="17" w:type="dxa"/>
            </w:tcMar>
            <w:vAlign w:val="center"/>
          </w:tcPr>
          <w:p w14:paraId="3AC63A93" w14:textId="77777777" w:rsidR="001C56BD" w:rsidRPr="00F92667" w:rsidRDefault="001C56BD" w:rsidP="008A5C11">
            <w:pPr>
              <w:jc w:val="center"/>
              <w:rPr>
                <w:bCs/>
                <w:sz w:val="12"/>
                <w:szCs w:val="12"/>
              </w:rPr>
            </w:pPr>
            <w:r w:rsidRPr="00F92667">
              <w:rPr>
                <w:bCs/>
                <w:sz w:val="12"/>
                <w:szCs w:val="12"/>
              </w:rPr>
              <w:t>13</w:t>
            </w:r>
          </w:p>
        </w:tc>
        <w:tc>
          <w:tcPr>
            <w:tcW w:w="218" w:type="pct"/>
            <w:gridSpan w:val="2"/>
            <w:shd w:val="clear" w:color="auto" w:fill="auto"/>
            <w:tcMar>
              <w:left w:w="17" w:type="dxa"/>
              <w:right w:w="17" w:type="dxa"/>
            </w:tcMar>
            <w:vAlign w:val="center"/>
          </w:tcPr>
          <w:p w14:paraId="61C1EFB8" w14:textId="77777777" w:rsidR="001C56BD" w:rsidRPr="00F92667" w:rsidRDefault="001C56BD" w:rsidP="008A5C11">
            <w:pPr>
              <w:jc w:val="center"/>
              <w:rPr>
                <w:bCs/>
                <w:sz w:val="12"/>
                <w:szCs w:val="12"/>
              </w:rPr>
            </w:pPr>
            <w:r w:rsidRPr="00F92667">
              <w:rPr>
                <w:bCs/>
                <w:sz w:val="12"/>
                <w:szCs w:val="12"/>
              </w:rPr>
              <w:t>14</w:t>
            </w:r>
          </w:p>
        </w:tc>
        <w:tc>
          <w:tcPr>
            <w:tcW w:w="217" w:type="pct"/>
            <w:gridSpan w:val="2"/>
            <w:shd w:val="clear" w:color="auto" w:fill="auto"/>
            <w:tcMar>
              <w:left w:w="17" w:type="dxa"/>
              <w:right w:w="17" w:type="dxa"/>
            </w:tcMar>
            <w:vAlign w:val="center"/>
          </w:tcPr>
          <w:p w14:paraId="68164945" w14:textId="77777777" w:rsidR="001C56BD" w:rsidRPr="00F92667" w:rsidRDefault="001C56BD" w:rsidP="008A5C11">
            <w:pPr>
              <w:jc w:val="center"/>
              <w:rPr>
                <w:bCs/>
                <w:sz w:val="12"/>
                <w:szCs w:val="12"/>
              </w:rPr>
            </w:pPr>
            <w:r w:rsidRPr="00F92667">
              <w:rPr>
                <w:bCs/>
                <w:sz w:val="12"/>
                <w:szCs w:val="12"/>
              </w:rPr>
              <w:t>15</w:t>
            </w:r>
          </w:p>
        </w:tc>
        <w:tc>
          <w:tcPr>
            <w:tcW w:w="206" w:type="pct"/>
            <w:gridSpan w:val="2"/>
            <w:tcMar>
              <w:left w:w="17" w:type="dxa"/>
              <w:right w:w="17" w:type="dxa"/>
            </w:tcMar>
            <w:vAlign w:val="center"/>
          </w:tcPr>
          <w:p w14:paraId="3A05DDB1" w14:textId="77777777" w:rsidR="001C56BD" w:rsidRPr="00F92667" w:rsidRDefault="001C56BD" w:rsidP="008A5C11">
            <w:pPr>
              <w:jc w:val="center"/>
              <w:rPr>
                <w:bCs/>
                <w:sz w:val="12"/>
                <w:szCs w:val="12"/>
              </w:rPr>
            </w:pPr>
            <w:r w:rsidRPr="00F92667">
              <w:rPr>
                <w:bCs/>
                <w:sz w:val="12"/>
                <w:szCs w:val="12"/>
              </w:rPr>
              <w:t>16</w:t>
            </w:r>
          </w:p>
        </w:tc>
        <w:tc>
          <w:tcPr>
            <w:tcW w:w="217" w:type="pct"/>
            <w:gridSpan w:val="2"/>
            <w:tcMar>
              <w:left w:w="17" w:type="dxa"/>
              <w:right w:w="17" w:type="dxa"/>
            </w:tcMar>
            <w:vAlign w:val="center"/>
          </w:tcPr>
          <w:p w14:paraId="0E16B249" w14:textId="77777777" w:rsidR="001C56BD" w:rsidRPr="00F92667" w:rsidRDefault="001C56BD" w:rsidP="008A5C11">
            <w:pPr>
              <w:jc w:val="center"/>
              <w:rPr>
                <w:bCs/>
                <w:sz w:val="12"/>
                <w:szCs w:val="12"/>
              </w:rPr>
            </w:pPr>
            <w:r w:rsidRPr="00F92667">
              <w:rPr>
                <w:bCs/>
                <w:sz w:val="12"/>
                <w:szCs w:val="12"/>
              </w:rPr>
              <w:t>17</w:t>
            </w:r>
          </w:p>
        </w:tc>
        <w:tc>
          <w:tcPr>
            <w:tcW w:w="214" w:type="pct"/>
            <w:gridSpan w:val="2"/>
            <w:tcMar>
              <w:left w:w="17" w:type="dxa"/>
              <w:right w:w="17" w:type="dxa"/>
            </w:tcMar>
            <w:vAlign w:val="center"/>
          </w:tcPr>
          <w:p w14:paraId="17C24BFA" w14:textId="77777777" w:rsidR="001C56BD" w:rsidRPr="00F92667" w:rsidRDefault="001C56BD" w:rsidP="008A5C11">
            <w:pPr>
              <w:jc w:val="center"/>
              <w:rPr>
                <w:bCs/>
                <w:sz w:val="12"/>
                <w:szCs w:val="12"/>
              </w:rPr>
            </w:pPr>
            <w:r w:rsidRPr="00F92667">
              <w:rPr>
                <w:bCs/>
                <w:sz w:val="12"/>
                <w:szCs w:val="12"/>
              </w:rPr>
              <w:t>18</w:t>
            </w:r>
          </w:p>
        </w:tc>
        <w:tc>
          <w:tcPr>
            <w:tcW w:w="217" w:type="pct"/>
            <w:gridSpan w:val="2"/>
            <w:tcMar>
              <w:left w:w="17" w:type="dxa"/>
              <w:right w:w="17" w:type="dxa"/>
            </w:tcMar>
            <w:vAlign w:val="center"/>
          </w:tcPr>
          <w:p w14:paraId="13E964CE" w14:textId="77777777" w:rsidR="001C56BD" w:rsidRPr="00F92667" w:rsidRDefault="001C56BD" w:rsidP="008A5C11">
            <w:pPr>
              <w:jc w:val="center"/>
              <w:rPr>
                <w:bCs/>
                <w:sz w:val="12"/>
                <w:szCs w:val="12"/>
              </w:rPr>
            </w:pPr>
            <w:r w:rsidRPr="00F92667">
              <w:rPr>
                <w:bCs/>
                <w:sz w:val="12"/>
                <w:szCs w:val="12"/>
              </w:rPr>
              <w:t>19</w:t>
            </w:r>
          </w:p>
        </w:tc>
        <w:tc>
          <w:tcPr>
            <w:tcW w:w="217" w:type="pct"/>
            <w:gridSpan w:val="2"/>
            <w:tcMar>
              <w:left w:w="17" w:type="dxa"/>
              <w:right w:w="17" w:type="dxa"/>
            </w:tcMar>
            <w:vAlign w:val="center"/>
          </w:tcPr>
          <w:p w14:paraId="7BCCE20A" w14:textId="77777777" w:rsidR="001C56BD" w:rsidRPr="00F92667" w:rsidRDefault="001C56BD" w:rsidP="008A5C11">
            <w:pPr>
              <w:jc w:val="center"/>
              <w:rPr>
                <w:bCs/>
                <w:sz w:val="12"/>
                <w:szCs w:val="12"/>
              </w:rPr>
            </w:pPr>
            <w:r w:rsidRPr="00F92667">
              <w:rPr>
                <w:bCs/>
                <w:sz w:val="12"/>
                <w:szCs w:val="12"/>
              </w:rPr>
              <w:t>20</w:t>
            </w:r>
          </w:p>
        </w:tc>
        <w:tc>
          <w:tcPr>
            <w:tcW w:w="214" w:type="pct"/>
            <w:gridSpan w:val="2"/>
            <w:tcMar>
              <w:left w:w="17" w:type="dxa"/>
              <w:right w:w="17" w:type="dxa"/>
            </w:tcMar>
            <w:vAlign w:val="center"/>
          </w:tcPr>
          <w:p w14:paraId="7E08841A" w14:textId="77777777" w:rsidR="001C56BD" w:rsidRPr="00F92667" w:rsidRDefault="001C56BD" w:rsidP="008A5C11">
            <w:pPr>
              <w:jc w:val="center"/>
              <w:rPr>
                <w:bCs/>
                <w:sz w:val="12"/>
                <w:szCs w:val="12"/>
              </w:rPr>
            </w:pPr>
            <w:r w:rsidRPr="00F92667">
              <w:rPr>
                <w:bCs/>
                <w:sz w:val="12"/>
                <w:szCs w:val="12"/>
              </w:rPr>
              <w:t>21</w:t>
            </w:r>
          </w:p>
        </w:tc>
        <w:tc>
          <w:tcPr>
            <w:tcW w:w="247" w:type="pct"/>
            <w:gridSpan w:val="2"/>
            <w:tcMar>
              <w:left w:w="17" w:type="dxa"/>
              <w:right w:w="17" w:type="dxa"/>
            </w:tcMar>
            <w:vAlign w:val="center"/>
          </w:tcPr>
          <w:p w14:paraId="27C0DDFF" w14:textId="77777777" w:rsidR="001C56BD" w:rsidRPr="00F92667" w:rsidRDefault="001C56BD" w:rsidP="008A5C11">
            <w:pPr>
              <w:jc w:val="center"/>
              <w:rPr>
                <w:bCs/>
                <w:sz w:val="12"/>
                <w:szCs w:val="12"/>
              </w:rPr>
            </w:pPr>
            <w:r w:rsidRPr="00F92667">
              <w:rPr>
                <w:bCs/>
                <w:sz w:val="12"/>
                <w:szCs w:val="12"/>
              </w:rPr>
              <w:t>22</w:t>
            </w:r>
          </w:p>
        </w:tc>
        <w:tc>
          <w:tcPr>
            <w:tcW w:w="173" w:type="pct"/>
            <w:tcMar>
              <w:left w:w="17" w:type="dxa"/>
              <w:right w:w="17" w:type="dxa"/>
            </w:tcMar>
            <w:vAlign w:val="center"/>
          </w:tcPr>
          <w:p w14:paraId="2D113F8D" w14:textId="77777777" w:rsidR="001C56BD" w:rsidRPr="00F92667" w:rsidRDefault="001C56BD" w:rsidP="008A5C11">
            <w:pPr>
              <w:jc w:val="center"/>
              <w:rPr>
                <w:bCs/>
                <w:sz w:val="12"/>
                <w:szCs w:val="12"/>
              </w:rPr>
            </w:pPr>
            <w:r w:rsidRPr="00F92667">
              <w:rPr>
                <w:bCs/>
                <w:sz w:val="12"/>
                <w:szCs w:val="12"/>
              </w:rPr>
              <w:t>23</w:t>
            </w:r>
          </w:p>
        </w:tc>
        <w:tc>
          <w:tcPr>
            <w:tcW w:w="169" w:type="pct"/>
            <w:tcMar>
              <w:left w:w="17" w:type="dxa"/>
              <w:right w:w="17" w:type="dxa"/>
            </w:tcMar>
            <w:vAlign w:val="center"/>
          </w:tcPr>
          <w:p w14:paraId="09BFDBBE" w14:textId="77777777" w:rsidR="001C56BD" w:rsidRPr="00F92667" w:rsidRDefault="001C56BD" w:rsidP="008A5C11">
            <w:pPr>
              <w:jc w:val="center"/>
              <w:rPr>
                <w:bCs/>
                <w:sz w:val="12"/>
                <w:szCs w:val="12"/>
              </w:rPr>
            </w:pPr>
            <w:r w:rsidRPr="00F92667">
              <w:rPr>
                <w:bCs/>
                <w:sz w:val="12"/>
                <w:szCs w:val="12"/>
              </w:rPr>
              <w:t>24</w:t>
            </w:r>
          </w:p>
        </w:tc>
      </w:tr>
      <w:tr w:rsidR="001C56BD" w:rsidRPr="00F92667" w14:paraId="737C85CF" w14:textId="77777777" w:rsidTr="008A5C11">
        <w:trPr>
          <w:gridBefore w:val="1"/>
          <w:wBefore w:w="3" w:type="pct"/>
          <w:trHeight w:val="897"/>
        </w:trPr>
        <w:tc>
          <w:tcPr>
            <w:tcW w:w="129" w:type="pct"/>
            <w:shd w:val="clear" w:color="auto" w:fill="auto"/>
            <w:tcMar>
              <w:left w:w="17" w:type="dxa"/>
              <w:right w:w="17" w:type="dxa"/>
            </w:tcMar>
            <w:vAlign w:val="center"/>
          </w:tcPr>
          <w:p w14:paraId="47D4E4D3" w14:textId="77777777" w:rsidR="001C56BD" w:rsidRPr="00F92667" w:rsidRDefault="001C56BD" w:rsidP="008A5C11">
            <w:pPr>
              <w:jc w:val="center"/>
              <w:rPr>
                <w:sz w:val="12"/>
                <w:szCs w:val="12"/>
              </w:rPr>
            </w:pPr>
            <w:r w:rsidRPr="00F92667">
              <w:rPr>
                <w:sz w:val="12"/>
                <w:szCs w:val="12"/>
              </w:rPr>
              <w:t>3.1.8.</w:t>
            </w:r>
          </w:p>
        </w:tc>
        <w:tc>
          <w:tcPr>
            <w:tcW w:w="305" w:type="pct"/>
            <w:shd w:val="clear" w:color="auto" w:fill="auto"/>
            <w:tcMar>
              <w:left w:w="17" w:type="dxa"/>
              <w:right w:w="17" w:type="dxa"/>
            </w:tcMar>
            <w:vAlign w:val="center"/>
          </w:tcPr>
          <w:p w14:paraId="4D5B5BA0" w14:textId="77777777" w:rsidR="001C56BD" w:rsidRPr="00F92667" w:rsidRDefault="001C56BD" w:rsidP="008A5C11">
            <w:pPr>
              <w:rPr>
                <w:sz w:val="12"/>
                <w:szCs w:val="12"/>
              </w:rPr>
            </w:pPr>
            <w:r w:rsidRPr="00F92667">
              <w:rPr>
                <w:sz w:val="12"/>
                <w:szCs w:val="12"/>
              </w:rPr>
              <w:t>Реконструкция тепловой сети с реестровым номером 759023</w:t>
            </w:r>
          </w:p>
        </w:tc>
        <w:tc>
          <w:tcPr>
            <w:tcW w:w="304" w:type="pct"/>
            <w:shd w:val="clear" w:color="000000" w:fill="FFFFFF"/>
            <w:tcMar>
              <w:left w:w="17" w:type="dxa"/>
              <w:right w:w="17" w:type="dxa"/>
            </w:tcMar>
            <w:vAlign w:val="center"/>
          </w:tcPr>
          <w:p w14:paraId="44D6F552" w14:textId="77777777" w:rsidR="001C56BD" w:rsidRPr="00F92667" w:rsidRDefault="001C56BD" w:rsidP="008A5C11">
            <w:pPr>
              <w:jc w:val="center"/>
              <w:rPr>
                <w:sz w:val="12"/>
                <w:szCs w:val="12"/>
              </w:rPr>
            </w:pPr>
            <w:r w:rsidRPr="00F92667">
              <w:rPr>
                <w:color w:val="000000"/>
                <w:sz w:val="12"/>
                <w:szCs w:val="12"/>
              </w:rPr>
              <w:t>Повышение надежности услуг теплоснабжения, повышение энергетической эффективности</w:t>
            </w:r>
          </w:p>
        </w:tc>
        <w:tc>
          <w:tcPr>
            <w:tcW w:w="258" w:type="pct"/>
            <w:shd w:val="clear" w:color="auto" w:fill="auto"/>
            <w:tcMar>
              <w:left w:w="17" w:type="dxa"/>
              <w:right w:w="17" w:type="dxa"/>
            </w:tcMar>
            <w:vAlign w:val="center"/>
          </w:tcPr>
          <w:p w14:paraId="058E2FB9" w14:textId="77777777" w:rsidR="001C56BD" w:rsidRPr="00F92667" w:rsidRDefault="001C56BD" w:rsidP="008A5C11">
            <w:pPr>
              <w:jc w:val="center"/>
              <w:rPr>
                <w:sz w:val="12"/>
                <w:szCs w:val="12"/>
              </w:rPr>
            </w:pPr>
            <w:r w:rsidRPr="00F92667">
              <w:rPr>
                <w:sz w:val="12"/>
                <w:szCs w:val="12"/>
              </w:rPr>
              <w:t>Кемеровский городской округ, Кировский район, ул. 40 лет Октября, ТК 38</w:t>
            </w:r>
          </w:p>
        </w:tc>
        <w:tc>
          <w:tcPr>
            <w:tcW w:w="294" w:type="pct"/>
            <w:shd w:val="clear" w:color="auto" w:fill="auto"/>
            <w:tcMar>
              <w:left w:w="17" w:type="dxa"/>
              <w:right w:w="17" w:type="dxa"/>
            </w:tcMar>
            <w:vAlign w:val="center"/>
          </w:tcPr>
          <w:p w14:paraId="3AC97305" w14:textId="77777777" w:rsidR="001C56BD" w:rsidRPr="00F92667" w:rsidRDefault="001C56BD" w:rsidP="008A5C11">
            <w:pPr>
              <w:jc w:val="center"/>
              <w:rPr>
                <w:sz w:val="12"/>
                <w:szCs w:val="12"/>
              </w:rPr>
            </w:pPr>
            <w:r w:rsidRPr="00F92667">
              <w:rPr>
                <w:color w:val="000000"/>
                <w:sz w:val="12"/>
                <w:szCs w:val="12"/>
              </w:rPr>
              <w:t>Технические характеристики</w:t>
            </w:r>
          </w:p>
        </w:tc>
        <w:tc>
          <w:tcPr>
            <w:tcW w:w="129" w:type="pct"/>
            <w:shd w:val="clear" w:color="auto" w:fill="auto"/>
            <w:tcMar>
              <w:left w:w="17" w:type="dxa"/>
              <w:right w:w="17" w:type="dxa"/>
            </w:tcMar>
            <w:vAlign w:val="center"/>
          </w:tcPr>
          <w:p w14:paraId="5D4E641A" w14:textId="77777777" w:rsidR="001C56BD" w:rsidRPr="00F92667" w:rsidRDefault="001C56BD" w:rsidP="008A5C11">
            <w:pPr>
              <w:jc w:val="center"/>
              <w:rPr>
                <w:color w:val="000000"/>
                <w:sz w:val="12"/>
                <w:szCs w:val="12"/>
              </w:rPr>
            </w:pPr>
          </w:p>
        </w:tc>
        <w:tc>
          <w:tcPr>
            <w:tcW w:w="184" w:type="pct"/>
            <w:shd w:val="clear" w:color="auto" w:fill="auto"/>
            <w:tcMar>
              <w:left w:w="17" w:type="dxa"/>
              <w:right w:w="17" w:type="dxa"/>
            </w:tcMar>
            <w:vAlign w:val="center"/>
          </w:tcPr>
          <w:p w14:paraId="236318C2" w14:textId="77777777" w:rsidR="001C56BD" w:rsidRPr="00F92667" w:rsidRDefault="001C56BD" w:rsidP="008A5C11">
            <w:pPr>
              <w:jc w:val="center"/>
              <w:rPr>
                <w:sz w:val="12"/>
                <w:szCs w:val="12"/>
              </w:rPr>
            </w:pPr>
            <w:r w:rsidRPr="00F92667">
              <w:rPr>
                <w:sz w:val="12"/>
                <w:szCs w:val="12"/>
              </w:rPr>
              <w:t xml:space="preserve">Канал-ж/б лотки (непроходной канал), опоры приварные, запорная арматура - стальная клиновая, антикоррозийная защита-лак БТ, труба-сталь 20, изоляция - мин. маты          </w:t>
            </w:r>
          </w:p>
        </w:tc>
        <w:tc>
          <w:tcPr>
            <w:tcW w:w="219" w:type="pct"/>
            <w:shd w:val="clear" w:color="auto" w:fill="auto"/>
            <w:tcMar>
              <w:left w:w="17" w:type="dxa"/>
              <w:right w:w="17" w:type="dxa"/>
            </w:tcMar>
            <w:vAlign w:val="center"/>
          </w:tcPr>
          <w:p w14:paraId="2BB97FC1" w14:textId="77777777" w:rsidR="001C56BD" w:rsidRPr="00F92667" w:rsidRDefault="001C56BD" w:rsidP="008A5C11">
            <w:pPr>
              <w:jc w:val="center"/>
              <w:rPr>
                <w:sz w:val="12"/>
                <w:szCs w:val="12"/>
              </w:rPr>
            </w:pPr>
            <w:r w:rsidRPr="00F92667">
              <w:rPr>
                <w:sz w:val="12"/>
                <w:szCs w:val="12"/>
              </w:rPr>
              <w:t>Канал-ж/б лотки, опоры-хомутовые с диэлектрической прокладкой, запорная арматура - кран шаровый, антикоррозийная защита-мастика Вектор 1214, 1025, труба-сталь 09Г2С, изоляция - маты прошивные, стеклоплас тик</w:t>
            </w:r>
          </w:p>
        </w:tc>
        <w:tc>
          <w:tcPr>
            <w:tcW w:w="130" w:type="pct"/>
            <w:shd w:val="clear" w:color="auto" w:fill="auto"/>
            <w:tcMar>
              <w:left w:w="17" w:type="dxa"/>
              <w:right w:w="17" w:type="dxa"/>
            </w:tcMar>
            <w:vAlign w:val="center"/>
          </w:tcPr>
          <w:p w14:paraId="0666C836" w14:textId="77777777" w:rsidR="001C56BD" w:rsidRPr="00F92667" w:rsidRDefault="001C56BD" w:rsidP="008A5C11">
            <w:pPr>
              <w:jc w:val="center"/>
              <w:rPr>
                <w:sz w:val="12"/>
                <w:szCs w:val="12"/>
              </w:rPr>
            </w:pPr>
            <w:r w:rsidRPr="00F92667">
              <w:rPr>
                <w:sz w:val="12"/>
                <w:szCs w:val="12"/>
              </w:rPr>
              <w:t>2024</w:t>
            </w:r>
          </w:p>
        </w:tc>
        <w:tc>
          <w:tcPr>
            <w:tcW w:w="130" w:type="pct"/>
            <w:shd w:val="clear" w:color="auto" w:fill="auto"/>
            <w:tcMar>
              <w:left w:w="17" w:type="dxa"/>
              <w:right w:w="17" w:type="dxa"/>
            </w:tcMar>
            <w:vAlign w:val="center"/>
          </w:tcPr>
          <w:p w14:paraId="301B82D4" w14:textId="77777777" w:rsidR="001C56BD" w:rsidRPr="00F92667" w:rsidRDefault="001C56BD" w:rsidP="008A5C11">
            <w:pPr>
              <w:jc w:val="center"/>
              <w:rPr>
                <w:sz w:val="12"/>
                <w:szCs w:val="12"/>
              </w:rPr>
            </w:pPr>
            <w:r w:rsidRPr="00F92667">
              <w:rPr>
                <w:sz w:val="12"/>
                <w:szCs w:val="12"/>
              </w:rPr>
              <w:t>2024</w:t>
            </w:r>
          </w:p>
        </w:tc>
        <w:tc>
          <w:tcPr>
            <w:tcW w:w="217" w:type="pct"/>
            <w:gridSpan w:val="2"/>
            <w:shd w:val="clear" w:color="auto" w:fill="auto"/>
            <w:tcMar>
              <w:left w:w="17" w:type="dxa"/>
              <w:right w:w="17" w:type="dxa"/>
            </w:tcMar>
            <w:vAlign w:val="center"/>
          </w:tcPr>
          <w:p w14:paraId="2A76D63C" w14:textId="77777777" w:rsidR="001C56BD" w:rsidRPr="00F92667" w:rsidRDefault="001C56BD" w:rsidP="008A5C11">
            <w:pPr>
              <w:jc w:val="center"/>
              <w:rPr>
                <w:sz w:val="12"/>
                <w:szCs w:val="12"/>
              </w:rPr>
            </w:pPr>
            <w:r w:rsidRPr="00F92667">
              <w:rPr>
                <w:sz w:val="12"/>
                <w:szCs w:val="12"/>
              </w:rPr>
              <w:t>6849,900</w:t>
            </w:r>
          </w:p>
        </w:tc>
        <w:tc>
          <w:tcPr>
            <w:tcW w:w="177" w:type="pct"/>
            <w:gridSpan w:val="2"/>
            <w:shd w:val="clear" w:color="auto" w:fill="auto"/>
            <w:tcMar>
              <w:left w:w="17" w:type="dxa"/>
              <w:right w:w="17" w:type="dxa"/>
            </w:tcMar>
            <w:vAlign w:val="center"/>
          </w:tcPr>
          <w:p w14:paraId="2C057FC2" w14:textId="77777777" w:rsidR="001C56BD" w:rsidRPr="00F92667" w:rsidRDefault="001C56BD" w:rsidP="008A5C11">
            <w:pPr>
              <w:jc w:val="center"/>
              <w:rPr>
                <w:sz w:val="12"/>
                <w:szCs w:val="12"/>
              </w:rPr>
            </w:pPr>
            <w:r w:rsidRPr="00F92667">
              <w:rPr>
                <w:sz w:val="12"/>
                <w:szCs w:val="12"/>
              </w:rPr>
              <w:t>0,000</w:t>
            </w:r>
          </w:p>
        </w:tc>
        <w:tc>
          <w:tcPr>
            <w:tcW w:w="212" w:type="pct"/>
            <w:shd w:val="clear" w:color="auto" w:fill="auto"/>
            <w:tcMar>
              <w:left w:w="17" w:type="dxa"/>
              <w:right w:w="17" w:type="dxa"/>
            </w:tcMar>
            <w:vAlign w:val="center"/>
          </w:tcPr>
          <w:p w14:paraId="6A0305A6" w14:textId="77777777" w:rsidR="001C56BD" w:rsidRPr="00F92667" w:rsidRDefault="001C56BD" w:rsidP="008A5C11">
            <w:pPr>
              <w:jc w:val="center"/>
              <w:rPr>
                <w:sz w:val="12"/>
                <w:szCs w:val="12"/>
              </w:rPr>
            </w:pPr>
            <w:r w:rsidRPr="00F92667">
              <w:rPr>
                <w:sz w:val="12"/>
                <w:szCs w:val="12"/>
              </w:rPr>
              <w:t>0,000</w:t>
            </w:r>
          </w:p>
        </w:tc>
        <w:tc>
          <w:tcPr>
            <w:tcW w:w="218" w:type="pct"/>
            <w:gridSpan w:val="2"/>
            <w:shd w:val="clear" w:color="auto" w:fill="auto"/>
            <w:tcMar>
              <w:left w:w="17" w:type="dxa"/>
              <w:right w:w="17" w:type="dxa"/>
            </w:tcMar>
            <w:vAlign w:val="center"/>
          </w:tcPr>
          <w:p w14:paraId="10FC98C9"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457E0493" w14:textId="77777777" w:rsidR="001C56BD" w:rsidRPr="00F92667" w:rsidRDefault="001C56BD" w:rsidP="008A5C11">
            <w:pPr>
              <w:jc w:val="center"/>
              <w:rPr>
                <w:sz w:val="12"/>
                <w:szCs w:val="12"/>
              </w:rPr>
            </w:pPr>
            <w:r w:rsidRPr="00F92667">
              <w:rPr>
                <w:sz w:val="12"/>
                <w:szCs w:val="12"/>
              </w:rPr>
              <w:t>6849,900</w:t>
            </w:r>
          </w:p>
        </w:tc>
        <w:tc>
          <w:tcPr>
            <w:tcW w:w="206" w:type="pct"/>
            <w:gridSpan w:val="2"/>
            <w:shd w:val="clear" w:color="auto" w:fill="auto"/>
            <w:tcMar>
              <w:left w:w="17" w:type="dxa"/>
              <w:right w:w="17" w:type="dxa"/>
            </w:tcMar>
            <w:vAlign w:val="center"/>
          </w:tcPr>
          <w:p w14:paraId="0E826607"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3B90E03A" w14:textId="77777777" w:rsidR="001C56BD" w:rsidRPr="00F92667" w:rsidRDefault="001C56BD" w:rsidP="008A5C11">
            <w:pPr>
              <w:jc w:val="center"/>
              <w:rPr>
                <w:sz w:val="12"/>
                <w:szCs w:val="12"/>
              </w:rPr>
            </w:pPr>
            <w:r w:rsidRPr="00F92667">
              <w:rPr>
                <w:sz w:val="12"/>
                <w:szCs w:val="12"/>
              </w:rPr>
              <w:t>0,000</w:t>
            </w:r>
          </w:p>
        </w:tc>
        <w:tc>
          <w:tcPr>
            <w:tcW w:w="214" w:type="pct"/>
            <w:gridSpan w:val="2"/>
            <w:shd w:val="clear" w:color="auto" w:fill="auto"/>
            <w:tcMar>
              <w:left w:w="17" w:type="dxa"/>
              <w:right w:w="17" w:type="dxa"/>
            </w:tcMar>
            <w:vAlign w:val="center"/>
          </w:tcPr>
          <w:p w14:paraId="3FF6E810"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7E31833A"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4C844AF8" w14:textId="77777777" w:rsidR="001C56BD" w:rsidRPr="00F92667" w:rsidRDefault="001C56BD" w:rsidP="008A5C11">
            <w:pPr>
              <w:jc w:val="center"/>
              <w:rPr>
                <w:sz w:val="12"/>
                <w:szCs w:val="12"/>
              </w:rPr>
            </w:pPr>
            <w:r w:rsidRPr="00F92667">
              <w:rPr>
                <w:sz w:val="12"/>
                <w:szCs w:val="12"/>
              </w:rPr>
              <w:t>0,000</w:t>
            </w:r>
          </w:p>
        </w:tc>
        <w:tc>
          <w:tcPr>
            <w:tcW w:w="214" w:type="pct"/>
            <w:gridSpan w:val="2"/>
            <w:shd w:val="clear" w:color="auto" w:fill="auto"/>
            <w:tcMar>
              <w:left w:w="17" w:type="dxa"/>
              <w:right w:w="17" w:type="dxa"/>
            </w:tcMar>
            <w:vAlign w:val="center"/>
          </w:tcPr>
          <w:p w14:paraId="0A3CF286" w14:textId="77777777" w:rsidR="001C56BD" w:rsidRPr="00F92667" w:rsidRDefault="001C56BD" w:rsidP="008A5C11">
            <w:pPr>
              <w:jc w:val="center"/>
              <w:rPr>
                <w:sz w:val="12"/>
                <w:szCs w:val="12"/>
              </w:rPr>
            </w:pPr>
            <w:r w:rsidRPr="00F92667">
              <w:rPr>
                <w:sz w:val="12"/>
                <w:szCs w:val="12"/>
              </w:rPr>
              <w:t>0,000</w:t>
            </w:r>
          </w:p>
        </w:tc>
        <w:tc>
          <w:tcPr>
            <w:tcW w:w="247" w:type="pct"/>
            <w:gridSpan w:val="2"/>
            <w:shd w:val="clear" w:color="auto" w:fill="auto"/>
            <w:tcMar>
              <w:left w:w="17" w:type="dxa"/>
              <w:right w:w="17" w:type="dxa"/>
            </w:tcMar>
            <w:vAlign w:val="center"/>
          </w:tcPr>
          <w:p w14:paraId="5F30BDC5" w14:textId="77777777" w:rsidR="001C56BD" w:rsidRPr="00F92667" w:rsidRDefault="001C56BD" w:rsidP="008A5C11">
            <w:pPr>
              <w:jc w:val="center"/>
              <w:rPr>
                <w:sz w:val="12"/>
                <w:szCs w:val="12"/>
              </w:rPr>
            </w:pPr>
            <w:r w:rsidRPr="00F92667">
              <w:rPr>
                <w:sz w:val="12"/>
                <w:szCs w:val="12"/>
              </w:rPr>
              <w:t>0,000</w:t>
            </w:r>
          </w:p>
        </w:tc>
        <w:tc>
          <w:tcPr>
            <w:tcW w:w="173" w:type="pct"/>
            <w:shd w:val="clear" w:color="auto" w:fill="auto"/>
            <w:tcMar>
              <w:left w:w="17" w:type="dxa"/>
              <w:right w:w="17" w:type="dxa"/>
            </w:tcMar>
            <w:vAlign w:val="center"/>
          </w:tcPr>
          <w:p w14:paraId="6BED0628" w14:textId="77777777" w:rsidR="001C56BD" w:rsidRPr="00F92667" w:rsidRDefault="001C56BD" w:rsidP="008A5C11">
            <w:pPr>
              <w:jc w:val="center"/>
              <w:rPr>
                <w:sz w:val="12"/>
                <w:szCs w:val="12"/>
              </w:rPr>
            </w:pPr>
            <w:r w:rsidRPr="00F92667">
              <w:rPr>
                <w:sz w:val="12"/>
                <w:szCs w:val="12"/>
              </w:rPr>
              <w:t>0,000</w:t>
            </w:r>
          </w:p>
        </w:tc>
        <w:tc>
          <w:tcPr>
            <w:tcW w:w="169" w:type="pct"/>
            <w:shd w:val="clear" w:color="auto" w:fill="auto"/>
            <w:tcMar>
              <w:left w:w="17" w:type="dxa"/>
              <w:right w:w="17" w:type="dxa"/>
            </w:tcMar>
            <w:vAlign w:val="center"/>
          </w:tcPr>
          <w:p w14:paraId="7F121354" w14:textId="77777777" w:rsidR="001C56BD" w:rsidRPr="00F92667" w:rsidRDefault="001C56BD" w:rsidP="008A5C11">
            <w:pPr>
              <w:jc w:val="center"/>
              <w:rPr>
                <w:sz w:val="12"/>
                <w:szCs w:val="12"/>
              </w:rPr>
            </w:pPr>
            <w:r w:rsidRPr="00F92667">
              <w:rPr>
                <w:sz w:val="12"/>
                <w:szCs w:val="12"/>
              </w:rPr>
              <w:t>0,000</w:t>
            </w:r>
          </w:p>
        </w:tc>
      </w:tr>
      <w:tr w:rsidR="001C56BD" w:rsidRPr="00F92667" w14:paraId="220B2373" w14:textId="77777777" w:rsidTr="008A5C11">
        <w:trPr>
          <w:gridBefore w:val="1"/>
          <w:wBefore w:w="3" w:type="pct"/>
          <w:trHeight w:val="897"/>
        </w:trPr>
        <w:tc>
          <w:tcPr>
            <w:tcW w:w="129" w:type="pct"/>
            <w:shd w:val="clear" w:color="auto" w:fill="auto"/>
            <w:tcMar>
              <w:left w:w="17" w:type="dxa"/>
              <w:right w:w="17" w:type="dxa"/>
            </w:tcMar>
            <w:vAlign w:val="center"/>
          </w:tcPr>
          <w:p w14:paraId="0B263FA0" w14:textId="77777777" w:rsidR="001C56BD" w:rsidRPr="00F92667" w:rsidRDefault="001C56BD" w:rsidP="008A5C11">
            <w:pPr>
              <w:jc w:val="center"/>
              <w:rPr>
                <w:sz w:val="12"/>
                <w:szCs w:val="12"/>
              </w:rPr>
            </w:pPr>
            <w:r w:rsidRPr="00F92667">
              <w:rPr>
                <w:sz w:val="12"/>
                <w:szCs w:val="12"/>
              </w:rPr>
              <w:t>3.1.9.</w:t>
            </w:r>
          </w:p>
        </w:tc>
        <w:tc>
          <w:tcPr>
            <w:tcW w:w="305" w:type="pct"/>
            <w:shd w:val="clear" w:color="auto" w:fill="auto"/>
            <w:tcMar>
              <w:left w:w="17" w:type="dxa"/>
              <w:right w:w="17" w:type="dxa"/>
            </w:tcMar>
            <w:vAlign w:val="center"/>
          </w:tcPr>
          <w:p w14:paraId="5563A67B" w14:textId="77777777" w:rsidR="001C56BD" w:rsidRPr="00F92667" w:rsidRDefault="001C56BD" w:rsidP="008A5C11">
            <w:pPr>
              <w:rPr>
                <w:sz w:val="12"/>
                <w:szCs w:val="12"/>
              </w:rPr>
            </w:pPr>
            <w:r w:rsidRPr="00F92667">
              <w:rPr>
                <w:sz w:val="12"/>
                <w:szCs w:val="12"/>
              </w:rPr>
              <w:t>Реконструкция тепловой сети с реестровым номером 759681</w:t>
            </w:r>
          </w:p>
        </w:tc>
        <w:tc>
          <w:tcPr>
            <w:tcW w:w="304" w:type="pct"/>
            <w:shd w:val="clear" w:color="000000" w:fill="FFFFFF"/>
            <w:tcMar>
              <w:left w:w="17" w:type="dxa"/>
              <w:right w:w="17" w:type="dxa"/>
            </w:tcMar>
            <w:vAlign w:val="center"/>
          </w:tcPr>
          <w:p w14:paraId="6AF68FDA" w14:textId="77777777" w:rsidR="001C56BD" w:rsidRPr="00F92667" w:rsidRDefault="001C56BD" w:rsidP="008A5C11">
            <w:pPr>
              <w:jc w:val="center"/>
              <w:rPr>
                <w:sz w:val="12"/>
                <w:szCs w:val="12"/>
              </w:rPr>
            </w:pPr>
            <w:r w:rsidRPr="00F92667">
              <w:rPr>
                <w:color w:val="000000"/>
                <w:sz w:val="12"/>
                <w:szCs w:val="12"/>
              </w:rPr>
              <w:t>Повышение надежности услуг теплоснабжения, повышение энергетической эффективности</w:t>
            </w:r>
          </w:p>
        </w:tc>
        <w:tc>
          <w:tcPr>
            <w:tcW w:w="258" w:type="pct"/>
            <w:shd w:val="clear" w:color="auto" w:fill="auto"/>
            <w:tcMar>
              <w:left w:w="17" w:type="dxa"/>
              <w:right w:w="17" w:type="dxa"/>
            </w:tcMar>
            <w:vAlign w:val="center"/>
          </w:tcPr>
          <w:p w14:paraId="0FF98FDD" w14:textId="77777777" w:rsidR="001C56BD" w:rsidRPr="00F92667" w:rsidRDefault="001C56BD" w:rsidP="008A5C11">
            <w:pPr>
              <w:jc w:val="center"/>
              <w:rPr>
                <w:sz w:val="12"/>
                <w:szCs w:val="12"/>
              </w:rPr>
            </w:pPr>
            <w:r w:rsidRPr="00F92667">
              <w:rPr>
                <w:sz w:val="12"/>
                <w:szCs w:val="12"/>
              </w:rPr>
              <w:t>Кемеровский городской округ, Кировский район, ул. Инициативная, Квартал 21, 21а от ТК II-36; ТК II-47</w:t>
            </w:r>
          </w:p>
        </w:tc>
        <w:tc>
          <w:tcPr>
            <w:tcW w:w="294" w:type="pct"/>
            <w:shd w:val="clear" w:color="auto" w:fill="auto"/>
            <w:tcMar>
              <w:left w:w="17" w:type="dxa"/>
              <w:right w:w="17" w:type="dxa"/>
            </w:tcMar>
            <w:vAlign w:val="center"/>
          </w:tcPr>
          <w:p w14:paraId="7410D9E3" w14:textId="77777777" w:rsidR="001C56BD" w:rsidRPr="00F92667" w:rsidRDefault="001C56BD" w:rsidP="008A5C11">
            <w:pPr>
              <w:jc w:val="center"/>
              <w:rPr>
                <w:sz w:val="12"/>
                <w:szCs w:val="12"/>
              </w:rPr>
            </w:pPr>
            <w:r w:rsidRPr="00F92667">
              <w:rPr>
                <w:color w:val="000000"/>
                <w:sz w:val="12"/>
                <w:szCs w:val="12"/>
              </w:rPr>
              <w:t>Технические характеристики</w:t>
            </w:r>
          </w:p>
        </w:tc>
        <w:tc>
          <w:tcPr>
            <w:tcW w:w="129" w:type="pct"/>
            <w:shd w:val="clear" w:color="auto" w:fill="auto"/>
            <w:tcMar>
              <w:left w:w="17" w:type="dxa"/>
              <w:right w:w="17" w:type="dxa"/>
            </w:tcMar>
            <w:vAlign w:val="center"/>
          </w:tcPr>
          <w:p w14:paraId="4583DA0B" w14:textId="77777777" w:rsidR="001C56BD" w:rsidRPr="00F92667" w:rsidRDefault="001C56BD" w:rsidP="008A5C11">
            <w:pPr>
              <w:jc w:val="center"/>
              <w:rPr>
                <w:color w:val="000000"/>
                <w:sz w:val="12"/>
                <w:szCs w:val="12"/>
              </w:rPr>
            </w:pPr>
          </w:p>
        </w:tc>
        <w:tc>
          <w:tcPr>
            <w:tcW w:w="184" w:type="pct"/>
            <w:shd w:val="clear" w:color="auto" w:fill="auto"/>
            <w:tcMar>
              <w:left w:w="17" w:type="dxa"/>
              <w:right w:w="17" w:type="dxa"/>
            </w:tcMar>
            <w:vAlign w:val="center"/>
          </w:tcPr>
          <w:p w14:paraId="6E50A625" w14:textId="77777777" w:rsidR="001C56BD" w:rsidRPr="00F92667" w:rsidRDefault="001C56BD" w:rsidP="008A5C11">
            <w:pPr>
              <w:jc w:val="center"/>
              <w:rPr>
                <w:sz w:val="12"/>
                <w:szCs w:val="12"/>
              </w:rPr>
            </w:pPr>
            <w:r w:rsidRPr="00F92667">
              <w:rPr>
                <w:sz w:val="12"/>
                <w:szCs w:val="12"/>
              </w:rPr>
              <w:t>Канал-кирпич (непроходной канал),</w:t>
            </w:r>
            <w:r w:rsidRPr="00F92667">
              <w:rPr>
                <w:sz w:val="12"/>
                <w:szCs w:val="12"/>
              </w:rPr>
              <w:br/>
              <w:t xml:space="preserve">опоры </w:t>
            </w:r>
            <w:proofErr w:type="gramStart"/>
            <w:r w:rsidRPr="00F92667">
              <w:rPr>
                <w:sz w:val="12"/>
                <w:szCs w:val="12"/>
              </w:rPr>
              <w:t>привар-ные</w:t>
            </w:r>
            <w:proofErr w:type="gramEnd"/>
            <w:r w:rsidRPr="00F92667">
              <w:rPr>
                <w:sz w:val="12"/>
                <w:szCs w:val="12"/>
              </w:rPr>
              <w:t xml:space="preserve">, запорная арматура-стальная клиновая, антикоррозийная защита-лак БТ, труба-сталь 20, изоляция-мин. маты.       </w:t>
            </w:r>
          </w:p>
        </w:tc>
        <w:tc>
          <w:tcPr>
            <w:tcW w:w="219" w:type="pct"/>
            <w:shd w:val="clear" w:color="auto" w:fill="auto"/>
            <w:tcMar>
              <w:left w:w="17" w:type="dxa"/>
              <w:right w:w="17" w:type="dxa"/>
            </w:tcMar>
            <w:vAlign w:val="center"/>
          </w:tcPr>
          <w:p w14:paraId="2702C497" w14:textId="77777777" w:rsidR="001C56BD" w:rsidRPr="00F92667" w:rsidRDefault="001C56BD" w:rsidP="008A5C11">
            <w:pPr>
              <w:jc w:val="center"/>
              <w:rPr>
                <w:sz w:val="12"/>
                <w:szCs w:val="12"/>
              </w:rPr>
            </w:pPr>
            <w:r w:rsidRPr="00F92667">
              <w:rPr>
                <w:sz w:val="12"/>
                <w:szCs w:val="12"/>
              </w:rPr>
              <w:t xml:space="preserve">Канал-ж/б лотки, опоры-хомутовые с диэлектрической прокладкой, запорная арматура - кран шаровый, антикоррозийная защита-мастика Вектор 1214, 1025, труба-сталь 09Г2С, изоляция - маты прошивные, </w:t>
            </w:r>
            <w:proofErr w:type="gramStart"/>
            <w:r w:rsidRPr="00F92667">
              <w:rPr>
                <w:sz w:val="12"/>
                <w:szCs w:val="12"/>
              </w:rPr>
              <w:t>стеклоплас-тик</w:t>
            </w:r>
            <w:proofErr w:type="gramEnd"/>
            <w:r w:rsidRPr="00F92667">
              <w:rPr>
                <w:sz w:val="12"/>
                <w:szCs w:val="12"/>
              </w:rPr>
              <w:t xml:space="preserve">  </w:t>
            </w:r>
          </w:p>
        </w:tc>
        <w:tc>
          <w:tcPr>
            <w:tcW w:w="130" w:type="pct"/>
            <w:shd w:val="clear" w:color="auto" w:fill="auto"/>
            <w:tcMar>
              <w:left w:w="17" w:type="dxa"/>
              <w:right w:w="17" w:type="dxa"/>
            </w:tcMar>
            <w:vAlign w:val="center"/>
          </w:tcPr>
          <w:p w14:paraId="303CA51B" w14:textId="77777777" w:rsidR="001C56BD" w:rsidRPr="00F92667" w:rsidRDefault="001C56BD" w:rsidP="008A5C11">
            <w:pPr>
              <w:jc w:val="center"/>
              <w:rPr>
                <w:sz w:val="12"/>
                <w:szCs w:val="12"/>
              </w:rPr>
            </w:pPr>
            <w:r w:rsidRPr="00F92667">
              <w:rPr>
                <w:sz w:val="12"/>
                <w:szCs w:val="12"/>
              </w:rPr>
              <w:t>2022</w:t>
            </w:r>
          </w:p>
        </w:tc>
        <w:tc>
          <w:tcPr>
            <w:tcW w:w="130" w:type="pct"/>
            <w:shd w:val="clear" w:color="auto" w:fill="auto"/>
            <w:tcMar>
              <w:left w:w="17" w:type="dxa"/>
              <w:right w:w="17" w:type="dxa"/>
            </w:tcMar>
            <w:vAlign w:val="center"/>
          </w:tcPr>
          <w:p w14:paraId="2196C4E4" w14:textId="77777777" w:rsidR="001C56BD" w:rsidRPr="00F92667" w:rsidRDefault="001C56BD" w:rsidP="008A5C11">
            <w:pPr>
              <w:jc w:val="center"/>
              <w:rPr>
                <w:sz w:val="12"/>
                <w:szCs w:val="12"/>
              </w:rPr>
            </w:pPr>
            <w:r w:rsidRPr="00F92667">
              <w:rPr>
                <w:sz w:val="12"/>
                <w:szCs w:val="12"/>
              </w:rPr>
              <w:t>2027</w:t>
            </w:r>
          </w:p>
        </w:tc>
        <w:tc>
          <w:tcPr>
            <w:tcW w:w="217" w:type="pct"/>
            <w:gridSpan w:val="2"/>
            <w:shd w:val="clear" w:color="auto" w:fill="auto"/>
            <w:tcMar>
              <w:left w:w="17" w:type="dxa"/>
              <w:right w:w="17" w:type="dxa"/>
            </w:tcMar>
            <w:vAlign w:val="center"/>
          </w:tcPr>
          <w:p w14:paraId="300C2EA1" w14:textId="77777777" w:rsidR="001C56BD" w:rsidRPr="00F92667" w:rsidRDefault="001C56BD" w:rsidP="008A5C11">
            <w:pPr>
              <w:jc w:val="center"/>
              <w:rPr>
                <w:sz w:val="12"/>
                <w:szCs w:val="12"/>
              </w:rPr>
            </w:pPr>
            <w:r w:rsidRPr="00F92667">
              <w:rPr>
                <w:sz w:val="12"/>
                <w:szCs w:val="12"/>
              </w:rPr>
              <w:t>132172,650</w:t>
            </w:r>
          </w:p>
        </w:tc>
        <w:tc>
          <w:tcPr>
            <w:tcW w:w="177" w:type="pct"/>
            <w:gridSpan w:val="2"/>
            <w:shd w:val="clear" w:color="auto" w:fill="auto"/>
            <w:tcMar>
              <w:left w:w="17" w:type="dxa"/>
              <w:right w:w="17" w:type="dxa"/>
            </w:tcMar>
            <w:vAlign w:val="center"/>
          </w:tcPr>
          <w:p w14:paraId="5E659B1F" w14:textId="77777777" w:rsidR="001C56BD" w:rsidRPr="00F92667" w:rsidRDefault="001C56BD" w:rsidP="008A5C11">
            <w:pPr>
              <w:jc w:val="center"/>
              <w:rPr>
                <w:sz w:val="12"/>
                <w:szCs w:val="12"/>
              </w:rPr>
            </w:pPr>
            <w:r w:rsidRPr="00F92667">
              <w:rPr>
                <w:sz w:val="12"/>
                <w:szCs w:val="12"/>
              </w:rPr>
              <w:t>0,000</w:t>
            </w:r>
          </w:p>
        </w:tc>
        <w:tc>
          <w:tcPr>
            <w:tcW w:w="212" w:type="pct"/>
            <w:shd w:val="clear" w:color="auto" w:fill="auto"/>
            <w:tcMar>
              <w:left w:w="17" w:type="dxa"/>
              <w:right w:w="17" w:type="dxa"/>
            </w:tcMar>
            <w:vAlign w:val="center"/>
          </w:tcPr>
          <w:p w14:paraId="7AFCDCC9" w14:textId="77777777" w:rsidR="001C56BD" w:rsidRPr="00F92667" w:rsidRDefault="001C56BD" w:rsidP="008A5C11">
            <w:pPr>
              <w:jc w:val="center"/>
              <w:rPr>
                <w:sz w:val="12"/>
                <w:szCs w:val="12"/>
              </w:rPr>
            </w:pPr>
            <w:r w:rsidRPr="00F92667">
              <w:rPr>
                <w:sz w:val="12"/>
                <w:szCs w:val="12"/>
              </w:rPr>
              <w:t>43793,400</w:t>
            </w:r>
          </w:p>
        </w:tc>
        <w:tc>
          <w:tcPr>
            <w:tcW w:w="218" w:type="pct"/>
            <w:gridSpan w:val="2"/>
            <w:shd w:val="clear" w:color="auto" w:fill="auto"/>
            <w:tcMar>
              <w:left w:w="17" w:type="dxa"/>
              <w:right w:w="17" w:type="dxa"/>
            </w:tcMar>
            <w:vAlign w:val="center"/>
          </w:tcPr>
          <w:p w14:paraId="51AEF3C5" w14:textId="77777777" w:rsidR="001C56BD" w:rsidRPr="00F92667" w:rsidRDefault="001C56BD" w:rsidP="008A5C11">
            <w:pPr>
              <w:jc w:val="center"/>
              <w:rPr>
                <w:sz w:val="12"/>
                <w:szCs w:val="12"/>
              </w:rPr>
            </w:pPr>
            <w:r w:rsidRPr="00F92667">
              <w:rPr>
                <w:sz w:val="12"/>
                <w:szCs w:val="12"/>
              </w:rPr>
              <w:t>11952,786</w:t>
            </w:r>
          </w:p>
        </w:tc>
        <w:tc>
          <w:tcPr>
            <w:tcW w:w="217" w:type="pct"/>
            <w:gridSpan w:val="2"/>
            <w:shd w:val="clear" w:color="auto" w:fill="auto"/>
            <w:tcMar>
              <w:left w:w="17" w:type="dxa"/>
              <w:right w:w="17" w:type="dxa"/>
            </w:tcMar>
            <w:vAlign w:val="center"/>
          </w:tcPr>
          <w:p w14:paraId="3FCAA402" w14:textId="77777777" w:rsidR="001C56BD" w:rsidRPr="00F92667" w:rsidRDefault="001C56BD" w:rsidP="008A5C11">
            <w:pPr>
              <w:jc w:val="center"/>
              <w:rPr>
                <w:sz w:val="12"/>
                <w:szCs w:val="12"/>
              </w:rPr>
            </w:pPr>
            <w:r w:rsidRPr="00F92667">
              <w:rPr>
                <w:sz w:val="12"/>
                <w:szCs w:val="12"/>
              </w:rPr>
              <w:t>4400,796</w:t>
            </w:r>
          </w:p>
        </w:tc>
        <w:tc>
          <w:tcPr>
            <w:tcW w:w="206" w:type="pct"/>
            <w:gridSpan w:val="2"/>
            <w:shd w:val="clear" w:color="auto" w:fill="auto"/>
            <w:tcMar>
              <w:left w:w="17" w:type="dxa"/>
              <w:right w:w="17" w:type="dxa"/>
            </w:tcMar>
            <w:vAlign w:val="center"/>
          </w:tcPr>
          <w:p w14:paraId="5C02B997" w14:textId="77777777" w:rsidR="001C56BD" w:rsidRPr="00F92667" w:rsidRDefault="001C56BD" w:rsidP="008A5C11">
            <w:pPr>
              <w:jc w:val="center"/>
              <w:rPr>
                <w:sz w:val="12"/>
                <w:szCs w:val="12"/>
              </w:rPr>
            </w:pPr>
            <w:r w:rsidRPr="00F92667">
              <w:rPr>
                <w:sz w:val="12"/>
                <w:szCs w:val="12"/>
              </w:rPr>
              <w:t>12536,280</w:t>
            </w:r>
          </w:p>
        </w:tc>
        <w:tc>
          <w:tcPr>
            <w:tcW w:w="217" w:type="pct"/>
            <w:gridSpan w:val="2"/>
            <w:shd w:val="clear" w:color="auto" w:fill="auto"/>
            <w:tcMar>
              <w:left w:w="17" w:type="dxa"/>
              <w:right w:w="17" w:type="dxa"/>
            </w:tcMar>
            <w:vAlign w:val="center"/>
          </w:tcPr>
          <w:p w14:paraId="6F96C007" w14:textId="77777777" w:rsidR="001C56BD" w:rsidRPr="00F92667" w:rsidRDefault="001C56BD" w:rsidP="008A5C11">
            <w:pPr>
              <w:jc w:val="center"/>
              <w:rPr>
                <w:sz w:val="12"/>
                <w:szCs w:val="12"/>
              </w:rPr>
            </w:pPr>
            <w:r w:rsidRPr="00F92667">
              <w:rPr>
                <w:sz w:val="12"/>
                <w:szCs w:val="12"/>
              </w:rPr>
              <w:t>36365,868</w:t>
            </w:r>
          </w:p>
        </w:tc>
        <w:tc>
          <w:tcPr>
            <w:tcW w:w="214" w:type="pct"/>
            <w:gridSpan w:val="2"/>
            <w:shd w:val="clear" w:color="auto" w:fill="auto"/>
            <w:tcMar>
              <w:left w:w="17" w:type="dxa"/>
              <w:right w:w="17" w:type="dxa"/>
            </w:tcMar>
            <w:vAlign w:val="center"/>
          </w:tcPr>
          <w:p w14:paraId="0551B526" w14:textId="77777777" w:rsidR="001C56BD" w:rsidRPr="00F92667" w:rsidRDefault="001C56BD" w:rsidP="008A5C11">
            <w:pPr>
              <w:jc w:val="center"/>
              <w:rPr>
                <w:sz w:val="12"/>
                <w:szCs w:val="12"/>
              </w:rPr>
            </w:pPr>
            <w:r w:rsidRPr="00F92667">
              <w:rPr>
                <w:sz w:val="12"/>
                <w:szCs w:val="12"/>
              </w:rPr>
              <w:t>23123,520</w:t>
            </w:r>
          </w:p>
        </w:tc>
        <w:tc>
          <w:tcPr>
            <w:tcW w:w="217" w:type="pct"/>
            <w:gridSpan w:val="2"/>
            <w:shd w:val="clear" w:color="auto" w:fill="auto"/>
            <w:tcMar>
              <w:left w:w="17" w:type="dxa"/>
              <w:right w:w="17" w:type="dxa"/>
            </w:tcMar>
            <w:vAlign w:val="center"/>
          </w:tcPr>
          <w:p w14:paraId="2A9F15CC"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34140648" w14:textId="77777777" w:rsidR="001C56BD" w:rsidRPr="00F92667" w:rsidRDefault="001C56BD" w:rsidP="008A5C11">
            <w:pPr>
              <w:jc w:val="center"/>
              <w:rPr>
                <w:sz w:val="12"/>
                <w:szCs w:val="12"/>
              </w:rPr>
            </w:pPr>
            <w:r w:rsidRPr="00F92667">
              <w:rPr>
                <w:sz w:val="12"/>
                <w:szCs w:val="12"/>
              </w:rPr>
              <w:t>0,000</w:t>
            </w:r>
          </w:p>
        </w:tc>
        <w:tc>
          <w:tcPr>
            <w:tcW w:w="214" w:type="pct"/>
            <w:gridSpan w:val="2"/>
            <w:shd w:val="clear" w:color="auto" w:fill="auto"/>
            <w:tcMar>
              <w:left w:w="17" w:type="dxa"/>
              <w:right w:w="17" w:type="dxa"/>
            </w:tcMar>
            <w:vAlign w:val="center"/>
          </w:tcPr>
          <w:p w14:paraId="7F41C375" w14:textId="77777777" w:rsidR="001C56BD" w:rsidRPr="00F92667" w:rsidRDefault="001C56BD" w:rsidP="008A5C11">
            <w:pPr>
              <w:jc w:val="center"/>
              <w:rPr>
                <w:sz w:val="12"/>
                <w:szCs w:val="12"/>
              </w:rPr>
            </w:pPr>
            <w:r w:rsidRPr="00F92667">
              <w:rPr>
                <w:sz w:val="12"/>
                <w:szCs w:val="12"/>
              </w:rPr>
              <w:t>0,000</w:t>
            </w:r>
          </w:p>
        </w:tc>
        <w:tc>
          <w:tcPr>
            <w:tcW w:w="247" w:type="pct"/>
            <w:gridSpan w:val="2"/>
            <w:shd w:val="clear" w:color="auto" w:fill="auto"/>
            <w:tcMar>
              <w:left w:w="17" w:type="dxa"/>
              <w:right w:w="17" w:type="dxa"/>
            </w:tcMar>
            <w:vAlign w:val="center"/>
          </w:tcPr>
          <w:p w14:paraId="18F44E67" w14:textId="77777777" w:rsidR="001C56BD" w:rsidRPr="00F92667" w:rsidRDefault="001C56BD" w:rsidP="008A5C11">
            <w:pPr>
              <w:jc w:val="center"/>
              <w:rPr>
                <w:sz w:val="12"/>
                <w:szCs w:val="12"/>
              </w:rPr>
            </w:pPr>
            <w:r w:rsidRPr="00F92667">
              <w:rPr>
                <w:sz w:val="12"/>
                <w:szCs w:val="12"/>
              </w:rPr>
              <w:t>0,000</w:t>
            </w:r>
          </w:p>
        </w:tc>
        <w:tc>
          <w:tcPr>
            <w:tcW w:w="173" w:type="pct"/>
            <w:shd w:val="clear" w:color="auto" w:fill="auto"/>
            <w:tcMar>
              <w:left w:w="17" w:type="dxa"/>
              <w:right w:w="17" w:type="dxa"/>
            </w:tcMar>
            <w:vAlign w:val="center"/>
          </w:tcPr>
          <w:p w14:paraId="6F70724C" w14:textId="77777777" w:rsidR="001C56BD" w:rsidRPr="00F92667" w:rsidRDefault="001C56BD" w:rsidP="008A5C11">
            <w:pPr>
              <w:jc w:val="center"/>
              <w:rPr>
                <w:sz w:val="12"/>
                <w:szCs w:val="12"/>
              </w:rPr>
            </w:pPr>
            <w:r w:rsidRPr="00F92667">
              <w:rPr>
                <w:sz w:val="12"/>
                <w:szCs w:val="12"/>
              </w:rPr>
              <w:t>0,000</w:t>
            </w:r>
          </w:p>
        </w:tc>
        <w:tc>
          <w:tcPr>
            <w:tcW w:w="169" w:type="pct"/>
            <w:shd w:val="clear" w:color="auto" w:fill="auto"/>
            <w:tcMar>
              <w:left w:w="17" w:type="dxa"/>
              <w:right w:w="17" w:type="dxa"/>
            </w:tcMar>
            <w:vAlign w:val="center"/>
          </w:tcPr>
          <w:p w14:paraId="47DDC63E" w14:textId="77777777" w:rsidR="001C56BD" w:rsidRPr="00F92667" w:rsidRDefault="001C56BD" w:rsidP="008A5C11">
            <w:pPr>
              <w:jc w:val="center"/>
              <w:rPr>
                <w:sz w:val="12"/>
                <w:szCs w:val="12"/>
              </w:rPr>
            </w:pPr>
            <w:r w:rsidRPr="00F92667">
              <w:rPr>
                <w:sz w:val="12"/>
                <w:szCs w:val="12"/>
              </w:rPr>
              <w:t>0,000</w:t>
            </w:r>
          </w:p>
        </w:tc>
      </w:tr>
      <w:tr w:rsidR="001C56BD" w:rsidRPr="00F92667" w14:paraId="788656AD" w14:textId="77777777" w:rsidTr="008A5C11">
        <w:trPr>
          <w:gridBefore w:val="1"/>
          <w:wBefore w:w="3" w:type="pct"/>
          <w:trHeight w:val="897"/>
        </w:trPr>
        <w:tc>
          <w:tcPr>
            <w:tcW w:w="129" w:type="pct"/>
            <w:shd w:val="clear" w:color="auto" w:fill="auto"/>
            <w:tcMar>
              <w:left w:w="17" w:type="dxa"/>
              <w:right w:w="17" w:type="dxa"/>
            </w:tcMar>
            <w:vAlign w:val="center"/>
          </w:tcPr>
          <w:p w14:paraId="205BADF9" w14:textId="77777777" w:rsidR="001C56BD" w:rsidRPr="00F92667" w:rsidRDefault="001C56BD" w:rsidP="008A5C11">
            <w:pPr>
              <w:jc w:val="center"/>
              <w:rPr>
                <w:sz w:val="12"/>
                <w:szCs w:val="12"/>
              </w:rPr>
            </w:pPr>
            <w:r w:rsidRPr="00F92667">
              <w:rPr>
                <w:sz w:val="12"/>
                <w:szCs w:val="12"/>
              </w:rPr>
              <w:t>3.1.10.</w:t>
            </w:r>
          </w:p>
        </w:tc>
        <w:tc>
          <w:tcPr>
            <w:tcW w:w="305" w:type="pct"/>
            <w:shd w:val="clear" w:color="auto" w:fill="auto"/>
            <w:tcMar>
              <w:left w:w="17" w:type="dxa"/>
              <w:right w:w="17" w:type="dxa"/>
            </w:tcMar>
            <w:vAlign w:val="center"/>
          </w:tcPr>
          <w:p w14:paraId="782DEFF6" w14:textId="77777777" w:rsidR="001C56BD" w:rsidRPr="00F92667" w:rsidRDefault="001C56BD" w:rsidP="008A5C11">
            <w:pPr>
              <w:rPr>
                <w:sz w:val="12"/>
                <w:szCs w:val="12"/>
              </w:rPr>
            </w:pPr>
            <w:r w:rsidRPr="00F92667">
              <w:rPr>
                <w:sz w:val="12"/>
                <w:szCs w:val="12"/>
              </w:rPr>
              <w:t>Реконструкция тепловой сети с реестровым номером 759642</w:t>
            </w:r>
          </w:p>
        </w:tc>
        <w:tc>
          <w:tcPr>
            <w:tcW w:w="304" w:type="pct"/>
            <w:shd w:val="clear" w:color="000000" w:fill="FFFFFF"/>
            <w:tcMar>
              <w:left w:w="17" w:type="dxa"/>
              <w:right w:w="17" w:type="dxa"/>
            </w:tcMar>
            <w:vAlign w:val="center"/>
          </w:tcPr>
          <w:p w14:paraId="155BADA6" w14:textId="77777777" w:rsidR="001C56BD" w:rsidRPr="00F92667" w:rsidRDefault="001C56BD" w:rsidP="008A5C11">
            <w:pPr>
              <w:jc w:val="center"/>
              <w:rPr>
                <w:sz w:val="12"/>
                <w:szCs w:val="12"/>
              </w:rPr>
            </w:pPr>
            <w:r w:rsidRPr="00F92667">
              <w:rPr>
                <w:color w:val="000000"/>
                <w:sz w:val="12"/>
                <w:szCs w:val="12"/>
              </w:rPr>
              <w:t>Повышение надежности услуг теплоснабжения, повышение энергетической эффективности</w:t>
            </w:r>
          </w:p>
        </w:tc>
        <w:tc>
          <w:tcPr>
            <w:tcW w:w="258" w:type="pct"/>
            <w:shd w:val="clear" w:color="auto" w:fill="auto"/>
            <w:tcMar>
              <w:left w:w="17" w:type="dxa"/>
              <w:right w:w="17" w:type="dxa"/>
            </w:tcMar>
            <w:vAlign w:val="center"/>
          </w:tcPr>
          <w:p w14:paraId="792187C0" w14:textId="77777777" w:rsidR="001C56BD" w:rsidRPr="00F92667" w:rsidRDefault="001C56BD" w:rsidP="008A5C11">
            <w:pPr>
              <w:jc w:val="center"/>
              <w:rPr>
                <w:sz w:val="12"/>
                <w:szCs w:val="12"/>
              </w:rPr>
            </w:pPr>
            <w:r w:rsidRPr="00F92667">
              <w:rPr>
                <w:sz w:val="12"/>
                <w:szCs w:val="12"/>
              </w:rPr>
              <w:t>Кемеровский городской округ, Кировский район, квартал "к", (ул. Попова), литер "А"</w:t>
            </w:r>
          </w:p>
        </w:tc>
        <w:tc>
          <w:tcPr>
            <w:tcW w:w="294" w:type="pct"/>
            <w:shd w:val="clear" w:color="auto" w:fill="auto"/>
            <w:tcMar>
              <w:left w:w="17" w:type="dxa"/>
              <w:right w:w="17" w:type="dxa"/>
            </w:tcMar>
            <w:vAlign w:val="center"/>
          </w:tcPr>
          <w:p w14:paraId="1661D7C6" w14:textId="77777777" w:rsidR="001C56BD" w:rsidRPr="00F92667" w:rsidRDefault="001C56BD" w:rsidP="008A5C11">
            <w:pPr>
              <w:jc w:val="center"/>
              <w:rPr>
                <w:sz w:val="12"/>
                <w:szCs w:val="12"/>
              </w:rPr>
            </w:pPr>
            <w:r w:rsidRPr="00F92667">
              <w:rPr>
                <w:color w:val="000000"/>
                <w:sz w:val="12"/>
                <w:szCs w:val="12"/>
              </w:rPr>
              <w:t>Технические характеристики</w:t>
            </w:r>
          </w:p>
        </w:tc>
        <w:tc>
          <w:tcPr>
            <w:tcW w:w="129" w:type="pct"/>
            <w:shd w:val="clear" w:color="auto" w:fill="auto"/>
            <w:tcMar>
              <w:left w:w="17" w:type="dxa"/>
              <w:right w:w="17" w:type="dxa"/>
            </w:tcMar>
            <w:vAlign w:val="center"/>
          </w:tcPr>
          <w:p w14:paraId="429F86B2" w14:textId="77777777" w:rsidR="001C56BD" w:rsidRPr="00F92667" w:rsidRDefault="001C56BD" w:rsidP="008A5C11">
            <w:pPr>
              <w:jc w:val="center"/>
              <w:rPr>
                <w:color w:val="000000"/>
                <w:sz w:val="12"/>
                <w:szCs w:val="12"/>
              </w:rPr>
            </w:pPr>
          </w:p>
        </w:tc>
        <w:tc>
          <w:tcPr>
            <w:tcW w:w="184" w:type="pct"/>
            <w:shd w:val="clear" w:color="auto" w:fill="auto"/>
            <w:tcMar>
              <w:left w:w="17" w:type="dxa"/>
              <w:right w:w="17" w:type="dxa"/>
            </w:tcMar>
            <w:vAlign w:val="center"/>
          </w:tcPr>
          <w:p w14:paraId="7CFF243E" w14:textId="77777777" w:rsidR="001C56BD" w:rsidRPr="00F92667" w:rsidRDefault="001C56BD" w:rsidP="008A5C11">
            <w:pPr>
              <w:jc w:val="center"/>
              <w:rPr>
                <w:sz w:val="12"/>
                <w:szCs w:val="12"/>
              </w:rPr>
            </w:pPr>
            <w:r w:rsidRPr="00F92667">
              <w:rPr>
                <w:sz w:val="12"/>
                <w:szCs w:val="12"/>
              </w:rPr>
              <w:t>Канал-кирпич (непроходной канал</w:t>
            </w:r>
            <w:proofErr w:type="gramStart"/>
            <w:r w:rsidRPr="00F92667">
              <w:rPr>
                <w:sz w:val="12"/>
                <w:szCs w:val="12"/>
              </w:rPr>
              <w:t>),опоры</w:t>
            </w:r>
            <w:proofErr w:type="gramEnd"/>
            <w:r w:rsidRPr="00F92667">
              <w:rPr>
                <w:sz w:val="12"/>
                <w:szCs w:val="12"/>
              </w:rPr>
              <w:t xml:space="preserve"> привар-ные, запорная арматура-стальная клиновая, антикоррозийная защита-лак БТ, труба-сталь 20, изоляция-мин. маты.       </w:t>
            </w:r>
          </w:p>
        </w:tc>
        <w:tc>
          <w:tcPr>
            <w:tcW w:w="219" w:type="pct"/>
            <w:shd w:val="clear" w:color="auto" w:fill="auto"/>
            <w:tcMar>
              <w:left w:w="17" w:type="dxa"/>
              <w:right w:w="17" w:type="dxa"/>
            </w:tcMar>
            <w:vAlign w:val="center"/>
          </w:tcPr>
          <w:p w14:paraId="631E4699" w14:textId="77777777" w:rsidR="001C56BD" w:rsidRPr="00F92667" w:rsidRDefault="001C56BD" w:rsidP="008A5C11">
            <w:pPr>
              <w:jc w:val="center"/>
              <w:rPr>
                <w:sz w:val="12"/>
                <w:szCs w:val="12"/>
              </w:rPr>
            </w:pPr>
            <w:r w:rsidRPr="00F92667">
              <w:rPr>
                <w:sz w:val="12"/>
                <w:szCs w:val="12"/>
              </w:rPr>
              <w:t xml:space="preserve">Канал-ж/б лотки, опоры-хомутовые с диэлектрической прокладкой, запорная арматура - кран шаровый, антикоррозийная защита-мастика Вектор 1214, 1025, труба-сталь 09Г2С, изоляция - маты прошивные, </w:t>
            </w:r>
            <w:proofErr w:type="gramStart"/>
            <w:r w:rsidRPr="00F92667">
              <w:rPr>
                <w:sz w:val="12"/>
                <w:szCs w:val="12"/>
              </w:rPr>
              <w:t>стеклоплас-тик</w:t>
            </w:r>
            <w:proofErr w:type="gramEnd"/>
            <w:r w:rsidRPr="00F92667">
              <w:rPr>
                <w:sz w:val="12"/>
                <w:szCs w:val="12"/>
              </w:rPr>
              <w:t xml:space="preserve">  </w:t>
            </w:r>
          </w:p>
        </w:tc>
        <w:tc>
          <w:tcPr>
            <w:tcW w:w="130" w:type="pct"/>
            <w:shd w:val="clear" w:color="auto" w:fill="auto"/>
            <w:tcMar>
              <w:left w:w="17" w:type="dxa"/>
              <w:right w:w="17" w:type="dxa"/>
            </w:tcMar>
            <w:vAlign w:val="center"/>
          </w:tcPr>
          <w:p w14:paraId="1B8740F6" w14:textId="77777777" w:rsidR="001C56BD" w:rsidRPr="00F92667" w:rsidRDefault="001C56BD" w:rsidP="008A5C11">
            <w:pPr>
              <w:jc w:val="center"/>
              <w:rPr>
                <w:sz w:val="12"/>
                <w:szCs w:val="12"/>
              </w:rPr>
            </w:pPr>
            <w:r w:rsidRPr="00F92667">
              <w:rPr>
                <w:sz w:val="12"/>
                <w:szCs w:val="12"/>
              </w:rPr>
              <w:t>2024</w:t>
            </w:r>
          </w:p>
        </w:tc>
        <w:tc>
          <w:tcPr>
            <w:tcW w:w="130" w:type="pct"/>
            <w:shd w:val="clear" w:color="auto" w:fill="auto"/>
            <w:tcMar>
              <w:left w:w="17" w:type="dxa"/>
              <w:right w:w="17" w:type="dxa"/>
            </w:tcMar>
            <w:vAlign w:val="center"/>
          </w:tcPr>
          <w:p w14:paraId="2ED3EDFE" w14:textId="77777777" w:rsidR="001C56BD" w:rsidRPr="00F92667" w:rsidRDefault="001C56BD" w:rsidP="008A5C11">
            <w:pPr>
              <w:jc w:val="center"/>
              <w:rPr>
                <w:sz w:val="12"/>
                <w:szCs w:val="12"/>
              </w:rPr>
            </w:pPr>
            <w:r w:rsidRPr="00F92667">
              <w:rPr>
                <w:sz w:val="12"/>
                <w:szCs w:val="12"/>
              </w:rPr>
              <w:t>2031</w:t>
            </w:r>
          </w:p>
        </w:tc>
        <w:tc>
          <w:tcPr>
            <w:tcW w:w="217" w:type="pct"/>
            <w:gridSpan w:val="2"/>
            <w:shd w:val="clear" w:color="auto" w:fill="auto"/>
            <w:tcMar>
              <w:left w:w="17" w:type="dxa"/>
              <w:right w:w="17" w:type="dxa"/>
            </w:tcMar>
            <w:vAlign w:val="center"/>
          </w:tcPr>
          <w:p w14:paraId="135DEDD6" w14:textId="77777777" w:rsidR="001C56BD" w:rsidRPr="00F92667" w:rsidRDefault="001C56BD" w:rsidP="008A5C11">
            <w:pPr>
              <w:jc w:val="center"/>
              <w:rPr>
                <w:sz w:val="12"/>
                <w:szCs w:val="12"/>
              </w:rPr>
            </w:pPr>
            <w:r w:rsidRPr="00F92667">
              <w:rPr>
                <w:sz w:val="12"/>
                <w:szCs w:val="12"/>
              </w:rPr>
              <w:t>13332,544</w:t>
            </w:r>
          </w:p>
        </w:tc>
        <w:tc>
          <w:tcPr>
            <w:tcW w:w="177" w:type="pct"/>
            <w:gridSpan w:val="2"/>
            <w:shd w:val="clear" w:color="auto" w:fill="auto"/>
            <w:tcMar>
              <w:left w:w="17" w:type="dxa"/>
              <w:right w:w="17" w:type="dxa"/>
            </w:tcMar>
            <w:vAlign w:val="center"/>
          </w:tcPr>
          <w:p w14:paraId="1579E5F0" w14:textId="77777777" w:rsidR="001C56BD" w:rsidRPr="00F92667" w:rsidRDefault="001C56BD" w:rsidP="008A5C11">
            <w:pPr>
              <w:jc w:val="center"/>
              <w:rPr>
                <w:sz w:val="12"/>
                <w:szCs w:val="12"/>
              </w:rPr>
            </w:pPr>
            <w:r w:rsidRPr="00F92667">
              <w:rPr>
                <w:sz w:val="12"/>
                <w:szCs w:val="12"/>
              </w:rPr>
              <w:t>0,000</w:t>
            </w:r>
          </w:p>
        </w:tc>
        <w:tc>
          <w:tcPr>
            <w:tcW w:w="212" w:type="pct"/>
            <w:shd w:val="clear" w:color="auto" w:fill="auto"/>
            <w:tcMar>
              <w:left w:w="17" w:type="dxa"/>
              <w:right w:w="17" w:type="dxa"/>
            </w:tcMar>
            <w:vAlign w:val="center"/>
          </w:tcPr>
          <w:p w14:paraId="0076EEB3" w14:textId="77777777" w:rsidR="001C56BD" w:rsidRPr="00F92667" w:rsidRDefault="001C56BD" w:rsidP="008A5C11">
            <w:pPr>
              <w:jc w:val="center"/>
              <w:rPr>
                <w:sz w:val="12"/>
                <w:szCs w:val="12"/>
              </w:rPr>
            </w:pPr>
            <w:r w:rsidRPr="00F92667">
              <w:rPr>
                <w:sz w:val="12"/>
                <w:szCs w:val="12"/>
              </w:rPr>
              <w:t>0,000</w:t>
            </w:r>
          </w:p>
        </w:tc>
        <w:tc>
          <w:tcPr>
            <w:tcW w:w="218" w:type="pct"/>
            <w:gridSpan w:val="2"/>
            <w:shd w:val="clear" w:color="auto" w:fill="auto"/>
            <w:tcMar>
              <w:left w:w="17" w:type="dxa"/>
              <w:right w:w="17" w:type="dxa"/>
            </w:tcMar>
            <w:vAlign w:val="center"/>
          </w:tcPr>
          <w:p w14:paraId="6DAFF994"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13069795" w14:textId="77777777" w:rsidR="001C56BD" w:rsidRPr="00F92667" w:rsidRDefault="001C56BD" w:rsidP="008A5C11">
            <w:pPr>
              <w:jc w:val="center"/>
              <w:rPr>
                <w:sz w:val="12"/>
                <w:szCs w:val="12"/>
              </w:rPr>
            </w:pPr>
            <w:r w:rsidRPr="00F92667">
              <w:rPr>
                <w:sz w:val="12"/>
                <w:szCs w:val="12"/>
              </w:rPr>
              <w:t>11409,504</w:t>
            </w:r>
          </w:p>
        </w:tc>
        <w:tc>
          <w:tcPr>
            <w:tcW w:w="206" w:type="pct"/>
            <w:gridSpan w:val="2"/>
            <w:shd w:val="clear" w:color="auto" w:fill="auto"/>
            <w:tcMar>
              <w:left w:w="17" w:type="dxa"/>
              <w:right w:w="17" w:type="dxa"/>
            </w:tcMar>
            <w:vAlign w:val="center"/>
          </w:tcPr>
          <w:p w14:paraId="7EF1F509"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2352462B" w14:textId="77777777" w:rsidR="001C56BD" w:rsidRPr="00F92667" w:rsidRDefault="001C56BD" w:rsidP="008A5C11">
            <w:pPr>
              <w:jc w:val="center"/>
              <w:rPr>
                <w:sz w:val="12"/>
                <w:szCs w:val="12"/>
              </w:rPr>
            </w:pPr>
            <w:r w:rsidRPr="00F92667">
              <w:rPr>
                <w:sz w:val="12"/>
                <w:szCs w:val="12"/>
              </w:rPr>
              <w:t>0,000</w:t>
            </w:r>
          </w:p>
        </w:tc>
        <w:tc>
          <w:tcPr>
            <w:tcW w:w="214" w:type="pct"/>
            <w:gridSpan w:val="2"/>
            <w:shd w:val="clear" w:color="auto" w:fill="auto"/>
            <w:tcMar>
              <w:left w:w="17" w:type="dxa"/>
              <w:right w:w="17" w:type="dxa"/>
            </w:tcMar>
            <w:vAlign w:val="center"/>
          </w:tcPr>
          <w:p w14:paraId="265AA8AE"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7F05D281"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1D69A104" w14:textId="77777777" w:rsidR="001C56BD" w:rsidRPr="00F92667" w:rsidRDefault="001C56BD" w:rsidP="008A5C11">
            <w:pPr>
              <w:jc w:val="center"/>
              <w:rPr>
                <w:sz w:val="12"/>
                <w:szCs w:val="12"/>
              </w:rPr>
            </w:pPr>
            <w:r w:rsidRPr="00F92667">
              <w:rPr>
                <w:sz w:val="12"/>
                <w:szCs w:val="12"/>
              </w:rPr>
              <w:t>0,000</w:t>
            </w:r>
          </w:p>
        </w:tc>
        <w:tc>
          <w:tcPr>
            <w:tcW w:w="214" w:type="pct"/>
            <w:gridSpan w:val="2"/>
            <w:shd w:val="clear" w:color="auto" w:fill="auto"/>
            <w:tcMar>
              <w:left w:w="17" w:type="dxa"/>
              <w:right w:w="17" w:type="dxa"/>
            </w:tcMar>
            <w:vAlign w:val="center"/>
          </w:tcPr>
          <w:p w14:paraId="7852DD8F" w14:textId="77777777" w:rsidR="001C56BD" w:rsidRPr="00F92667" w:rsidRDefault="001C56BD" w:rsidP="008A5C11">
            <w:pPr>
              <w:jc w:val="center"/>
              <w:rPr>
                <w:sz w:val="12"/>
                <w:szCs w:val="12"/>
              </w:rPr>
            </w:pPr>
            <w:r w:rsidRPr="00F92667">
              <w:rPr>
                <w:sz w:val="12"/>
                <w:szCs w:val="12"/>
              </w:rPr>
              <w:t>0,000</w:t>
            </w:r>
          </w:p>
        </w:tc>
        <w:tc>
          <w:tcPr>
            <w:tcW w:w="247" w:type="pct"/>
            <w:gridSpan w:val="2"/>
            <w:shd w:val="clear" w:color="auto" w:fill="auto"/>
            <w:tcMar>
              <w:left w:w="17" w:type="dxa"/>
              <w:right w:w="17" w:type="dxa"/>
            </w:tcMar>
            <w:vAlign w:val="center"/>
          </w:tcPr>
          <w:p w14:paraId="1E0A9F40" w14:textId="77777777" w:rsidR="001C56BD" w:rsidRPr="00F92667" w:rsidRDefault="001C56BD" w:rsidP="008A5C11">
            <w:pPr>
              <w:jc w:val="center"/>
              <w:rPr>
                <w:sz w:val="12"/>
                <w:szCs w:val="12"/>
              </w:rPr>
            </w:pPr>
            <w:r w:rsidRPr="00F92667">
              <w:rPr>
                <w:sz w:val="12"/>
                <w:szCs w:val="12"/>
              </w:rPr>
              <w:t>1923,040</w:t>
            </w:r>
          </w:p>
        </w:tc>
        <w:tc>
          <w:tcPr>
            <w:tcW w:w="173" w:type="pct"/>
            <w:shd w:val="clear" w:color="auto" w:fill="auto"/>
            <w:tcMar>
              <w:left w:w="17" w:type="dxa"/>
              <w:right w:w="17" w:type="dxa"/>
            </w:tcMar>
            <w:vAlign w:val="center"/>
          </w:tcPr>
          <w:p w14:paraId="188C2E19" w14:textId="77777777" w:rsidR="001C56BD" w:rsidRPr="00F92667" w:rsidRDefault="001C56BD" w:rsidP="008A5C11">
            <w:pPr>
              <w:jc w:val="center"/>
              <w:rPr>
                <w:sz w:val="12"/>
                <w:szCs w:val="12"/>
              </w:rPr>
            </w:pPr>
            <w:r w:rsidRPr="00F92667">
              <w:rPr>
                <w:sz w:val="12"/>
                <w:szCs w:val="12"/>
              </w:rPr>
              <w:t>0,000</w:t>
            </w:r>
          </w:p>
        </w:tc>
        <w:tc>
          <w:tcPr>
            <w:tcW w:w="169" w:type="pct"/>
            <w:shd w:val="clear" w:color="auto" w:fill="auto"/>
            <w:tcMar>
              <w:left w:w="17" w:type="dxa"/>
              <w:right w:w="17" w:type="dxa"/>
            </w:tcMar>
            <w:vAlign w:val="center"/>
          </w:tcPr>
          <w:p w14:paraId="54D1325F" w14:textId="77777777" w:rsidR="001C56BD" w:rsidRPr="00F92667" w:rsidRDefault="001C56BD" w:rsidP="008A5C11">
            <w:pPr>
              <w:jc w:val="center"/>
              <w:rPr>
                <w:sz w:val="12"/>
                <w:szCs w:val="12"/>
              </w:rPr>
            </w:pPr>
            <w:r w:rsidRPr="00F92667">
              <w:rPr>
                <w:sz w:val="12"/>
                <w:szCs w:val="12"/>
              </w:rPr>
              <w:t>0,000</w:t>
            </w:r>
          </w:p>
        </w:tc>
      </w:tr>
      <w:tr w:rsidR="001C56BD" w:rsidRPr="00F92667" w14:paraId="4494E506" w14:textId="77777777" w:rsidTr="008A5C11">
        <w:trPr>
          <w:gridBefore w:val="1"/>
          <w:wBefore w:w="3" w:type="pct"/>
          <w:trHeight w:val="897"/>
        </w:trPr>
        <w:tc>
          <w:tcPr>
            <w:tcW w:w="129" w:type="pct"/>
            <w:shd w:val="clear" w:color="auto" w:fill="auto"/>
            <w:tcMar>
              <w:left w:w="17" w:type="dxa"/>
              <w:right w:w="17" w:type="dxa"/>
            </w:tcMar>
            <w:vAlign w:val="center"/>
          </w:tcPr>
          <w:p w14:paraId="54B827D4" w14:textId="77777777" w:rsidR="001C56BD" w:rsidRPr="00F92667" w:rsidRDefault="001C56BD" w:rsidP="008A5C11">
            <w:pPr>
              <w:jc w:val="center"/>
              <w:rPr>
                <w:bCs/>
                <w:sz w:val="12"/>
                <w:szCs w:val="12"/>
              </w:rPr>
            </w:pPr>
            <w:r w:rsidRPr="00F92667">
              <w:rPr>
                <w:bCs/>
                <w:sz w:val="12"/>
                <w:szCs w:val="12"/>
              </w:rPr>
              <w:t>1</w:t>
            </w:r>
          </w:p>
        </w:tc>
        <w:tc>
          <w:tcPr>
            <w:tcW w:w="305" w:type="pct"/>
            <w:shd w:val="clear" w:color="auto" w:fill="auto"/>
            <w:tcMar>
              <w:left w:w="17" w:type="dxa"/>
              <w:right w:w="17" w:type="dxa"/>
            </w:tcMar>
            <w:vAlign w:val="center"/>
          </w:tcPr>
          <w:p w14:paraId="37DCC8F5" w14:textId="77777777" w:rsidR="001C56BD" w:rsidRPr="00F92667" w:rsidRDefault="001C56BD" w:rsidP="008A5C11">
            <w:pPr>
              <w:jc w:val="center"/>
              <w:rPr>
                <w:bCs/>
                <w:sz w:val="12"/>
                <w:szCs w:val="12"/>
              </w:rPr>
            </w:pPr>
            <w:r w:rsidRPr="00F92667">
              <w:rPr>
                <w:bCs/>
                <w:sz w:val="12"/>
                <w:szCs w:val="12"/>
              </w:rPr>
              <w:t>2</w:t>
            </w:r>
          </w:p>
        </w:tc>
        <w:tc>
          <w:tcPr>
            <w:tcW w:w="304" w:type="pct"/>
            <w:shd w:val="clear" w:color="auto" w:fill="auto"/>
            <w:tcMar>
              <w:left w:w="17" w:type="dxa"/>
              <w:right w:w="17" w:type="dxa"/>
            </w:tcMar>
            <w:vAlign w:val="center"/>
          </w:tcPr>
          <w:p w14:paraId="2C1629C9" w14:textId="77777777" w:rsidR="001C56BD" w:rsidRPr="00F92667" w:rsidRDefault="001C56BD" w:rsidP="008A5C11">
            <w:pPr>
              <w:jc w:val="center"/>
              <w:rPr>
                <w:bCs/>
                <w:sz w:val="12"/>
                <w:szCs w:val="12"/>
              </w:rPr>
            </w:pPr>
            <w:r w:rsidRPr="00F92667">
              <w:rPr>
                <w:bCs/>
                <w:sz w:val="12"/>
                <w:szCs w:val="12"/>
              </w:rPr>
              <w:t>3</w:t>
            </w:r>
          </w:p>
        </w:tc>
        <w:tc>
          <w:tcPr>
            <w:tcW w:w="258" w:type="pct"/>
            <w:shd w:val="clear" w:color="auto" w:fill="auto"/>
            <w:tcMar>
              <w:left w:w="17" w:type="dxa"/>
              <w:right w:w="17" w:type="dxa"/>
            </w:tcMar>
            <w:vAlign w:val="center"/>
          </w:tcPr>
          <w:p w14:paraId="694DC222" w14:textId="77777777" w:rsidR="001C56BD" w:rsidRPr="00F92667" w:rsidRDefault="001C56BD" w:rsidP="008A5C11">
            <w:pPr>
              <w:jc w:val="center"/>
              <w:rPr>
                <w:bCs/>
                <w:sz w:val="12"/>
                <w:szCs w:val="12"/>
              </w:rPr>
            </w:pPr>
            <w:r w:rsidRPr="00F92667">
              <w:rPr>
                <w:bCs/>
                <w:sz w:val="12"/>
                <w:szCs w:val="12"/>
              </w:rPr>
              <w:t>4</w:t>
            </w:r>
          </w:p>
        </w:tc>
        <w:tc>
          <w:tcPr>
            <w:tcW w:w="294" w:type="pct"/>
            <w:shd w:val="clear" w:color="auto" w:fill="auto"/>
            <w:tcMar>
              <w:left w:w="17" w:type="dxa"/>
              <w:right w:w="17" w:type="dxa"/>
            </w:tcMar>
            <w:vAlign w:val="center"/>
          </w:tcPr>
          <w:p w14:paraId="671D8271" w14:textId="77777777" w:rsidR="001C56BD" w:rsidRPr="00F92667" w:rsidRDefault="001C56BD" w:rsidP="008A5C11">
            <w:pPr>
              <w:jc w:val="center"/>
              <w:rPr>
                <w:bCs/>
                <w:sz w:val="12"/>
                <w:szCs w:val="12"/>
              </w:rPr>
            </w:pPr>
            <w:r w:rsidRPr="00F92667">
              <w:rPr>
                <w:bCs/>
                <w:sz w:val="12"/>
                <w:szCs w:val="12"/>
              </w:rPr>
              <w:t>5</w:t>
            </w:r>
          </w:p>
        </w:tc>
        <w:tc>
          <w:tcPr>
            <w:tcW w:w="129" w:type="pct"/>
            <w:shd w:val="clear" w:color="auto" w:fill="auto"/>
            <w:tcMar>
              <w:left w:w="17" w:type="dxa"/>
              <w:right w:w="17" w:type="dxa"/>
            </w:tcMar>
            <w:vAlign w:val="center"/>
          </w:tcPr>
          <w:p w14:paraId="72221F0F" w14:textId="77777777" w:rsidR="001C56BD" w:rsidRPr="00F92667" w:rsidRDefault="001C56BD" w:rsidP="008A5C11">
            <w:pPr>
              <w:jc w:val="center"/>
              <w:rPr>
                <w:bCs/>
                <w:sz w:val="12"/>
                <w:szCs w:val="12"/>
              </w:rPr>
            </w:pPr>
            <w:r w:rsidRPr="00F92667">
              <w:rPr>
                <w:bCs/>
                <w:sz w:val="12"/>
                <w:szCs w:val="12"/>
              </w:rPr>
              <w:t>6</w:t>
            </w:r>
          </w:p>
        </w:tc>
        <w:tc>
          <w:tcPr>
            <w:tcW w:w="184" w:type="pct"/>
            <w:shd w:val="clear" w:color="auto" w:fill="auto"/>
            <w:tcMar>
              <w:left w:w="17" w:type="dxa"/>
              <w:right w:w="17" w:type="dxa"/>
            </w:tcMar>
            <w:vAlign w:val="center"/>
          </w:tcPr>
          <w:p w14:paraId="220E85E0" w14:textId="77777777" w:rsidR="001C56BD" w:rsidRPr="00F92667" w:rsidRDefault="001C56BD" w:rsidP="008A5C11">
            <w:pPr>
              <w:jc w:val="center"/>
              <w:rPr>
                <w:bCs/>
                <w:sz w:val="12"/>
                <w:szCs w:val="12"/>
              </w:rPr>
            </w:pPr>
            <w:r w:rsidRPr="00F92667">
              <w:rPr>
                <w:bCs/>
                <w:sz w:val="12"/>
                <w:szCs w:val="12"/>
              </w:rPr>
              <w:t>7</w:t>
            </w:r>
          </w:p>
        </w:tc>
        <w:tc>
          <w:tcPr>
            <w:tcW w:w="219" w:type="pct"/>
            <w:shd w:val="clear" w:color="auto" w:fill="auto"/>
            <w:tcMar>
              <w:left w:w="17" w:type="dxa"/>
              <w:right w:w="17" w:type="dxa"/>
            </w:tcMar>
            <w:vAlign w:val="center"/>
          </w:tcPr>
          <w:p w14:paraId="2232ACEE" w14:textId="77777777" w:rsidR="001C56BD" w:rsidRPr="00F92667" w:rsidRDefault="001C56BD" w:rsidP="008A5C11">
            <w:pPr>
              <w:jc w:val="center"/>
              <w:rPr>
                <w:bCs/>
                <w:sz w:val="12"/>
                <w:szCs w:val="12"/>
              </w:rPr>
            </w:pPr>
            <w:r w:rsidRPr="00F92667">
              <w:rPr>
                <w:bCs/>
                <w:sz w:val="12"/>
                <w:szCs w:val="12"/>
              </w:rPr>
              <w:t>8</w:t>
            </w:r>
          </w:p>
        </w:tc>
        <w:tc>
          <w:tcPr>
            <w:tcW w:w="130" w:type="pct"/>
            <w:shd w:val="clear" w:color="auto" w:fill="auto"/>
            <w:tcMar>
              <w:left w:w="17" w:type="dxa"/>
              <w:right w:w="17" w:type="dxa"/>
            </w:tcMar>
            <w:vAlign w:val="center"/>
          </w:tcPr>
          <w:p w14:paraId="0D20F60A" w14:textId="77777777" w:rsidR="001C56BD" w:rsidRPr="00F92667" w:rsidRDefault="001C56BD" w:rsidP="008A5C11">
            <w:pPr>
              <w:jc w:val="center"/>
              <w:rPr>
                <w:bCs/>
                <w:sz w:val="12"/>
                <w:szCs w:val="12"/>
              </w:rPr>
            </w:pPr>
            <w:r w:rsidRPr="00F92667">
              <w:rPr>
                <w:bCs/>
                <w:sz w:val="12"/>
                <w:szCs w:val="12"/>
              </w:rPr>
              <w:t>9</w:t>
            </w:r>
          </w:p>
        </w:tc>
        <w:tc>
          <w:tcPr>
            <w:tcW w:w="130" w:type="pct"/>
            <w:shd w:val="clear" w:color="auto" w:fill="auto"/>
            <w:tcMar>
              <w:left w:w="17" w:type="dxa"/>
              <w:right w:w="17" w:type="dxa"/>
            </w:tcMar>
            <w:vAlign w:val="center"/>
          </w:tcPr>
          <w:p w14:paraId="448B8D5D" w14:textId="77777777" w:rsidR="001C56BD" w:rsidRPr="00F92667" w:rsidRDefault="001C56BD" w:rsidP="008A5C11">
            <w:pPr>
              <w:jc w:val="center"/>
              <w:rPr>
                <w:bCs/>
                <w:sz w:val="12"/>
                <w:szCs w:val="12"/>
              </w:rPr>
            </w:pPr>
            <w:r w:rsidRPr="00F92667">
              <w:rPr>
                <w:bCs/>
                <w:sz w:val="12"/>
                <w:szCs w:val="12"/>
              </w:rPr>
              <w:t>10</w:t>
            </w:r>
          </w:p>
        </w:tc>
        <w:tc>
          <w:tcPr>
            <w:tcW w:w="217" w:type="pct"/>
            <w:gridSpan w:val="2"/>
            <w:shd w:val="clear" w:color="auto" w:fill="auto"/>
            <w:tcMar>
              <w:left w:w="17" w:type="dxa"/>
              <w:right w:w="17" w:type="dxa"/>
            </w:tcMar>
            <w:vAlign w:val="center"/>
          </w:tcPr>
          <w:p w14:paraId="38BAF750" w14:textId="77777777" w:rsidR="001C56BD" w:rsidRPr="00F92667" w:rsidRDefault="001C56BD" w:rsidP="008A5C11">
            <w:pPr>
              <w:jc w:val="center"/>
              <w:rPr>
                <w:bCs/>
                <w:sz w:val="12"/>
                <w:szCs w:val="12"/>
              </w:rPr>
            </w:pPr>
            <w:r w:rsidRPr="00F92667">
              <w:rPr>
                <w:bCs/>
                <w:sz w:val="12"/>
                <w:szCs w:val="12"/>
              </w:rPr>
              <w:t>11</w:t>
            </w:r>
          </w:p>
        </w:tc>
        <w:tc>
          <w:tcPr>
            <w:tcW w:w="177" w:type="pct"/>
            <w:gridSpan w:val="2"/>
            <w:shd w:val="clear" w:color="auto" w:fill="auto"/>
            <w:tcMar>
              <w:left w:w="17" w:type="dxa"/>
              <w:right w:w="17" w:type="dxa"/>
            </w:tcMar>
            <w:vAlign w:val="center"/>
          </w:tcPr>
          <w:p w14:paraId="77AE7952" w14:textId="77777777" w:rsidR="001C56BD" w:rsidRPr="00F92667" w:rsidRDefault="001C56BD" w:rsidP="008A5C11">
            <w:pPr>
              <w:jc w:val="center"/>
              <w:rPr>
                <w:bCs/>
                <w:sz w:val="12"/>
                <w:szCs w:val="12"/>
              </w:rPr>
            </w:pPr>
            <w:r w:rsidRPr="00F92667">
              <w:rPr>
                <w:bCs/>
                <w:sz w:val="12"/>
                <w:szCs w:val="12"/>
              </w:rPr>
              <w:t>12</w:t>
            </w:r>
          </w:p>
        </w:tc>
        <w:tc>
          <w:tcPr>
            <w:tcW w:w="212" w:type="pct"/>
            <w:shd w:val="clear" w:color="auto" w:fill="auto"/>
            <w:tcMar>
              <w:left w:w="17" w:type="dxa"/>
              <w:right w:w="17" w:type="dxa"/>
            </w:tcMar>
            <w:vAlign w:val="center"/>
          </w:tcPr>
          <w:p w14:paraId="7B714701" w14:textId="77777777" w:rsidR="001C56BD" w:rsidRPr="00F92667" w:rsidRDefault="001C56BD" w:rsidP="008A5C11">
            <w:pPr>
              <w:jc w:val="center"/>
              <w:rPr>
                <w:bCs/>
                <w:sz w:val="12"/>
                <w:szCs w:val="12"/>
              </w:rPr>
            </w:pPr>
            <w:r w:rsidRPr="00F92667">
              <w:rPr>
                <w:bCs/>
                <w:sz w:val="12"/>
                <w:szCs w:val="12"/>
              </w:rPr>
              <w:t>13</w:t>
            </w:r>
          </w:p>
        </w:tc>
        <w:tc>
          <w:tcPr>
            <w:tcW w:w="218" w:type="pct"/>
            <w:gridSpan w:val="2"/>
            <w:shd w:val="clear" w:color="auto" w:fill="auto"/>
            <w:tcMar>
              <w:left w:w="17" w:type="dxa"/>
              <w:right w:w="17" w:type="dxa"/>
            </w:tcMar>
            <w:vAlign w:val="center"/>
          </w:tcPr>
          <w:p w14:paraId="43BDFA42" w14:textId="77777777" w:rsidR="001C56BD" w:rsidRPr="00F92667" w:rsidRDefault="001C56BD" w:rsidP="008A5C11">
            <w:pPr>
              <w:jc w:val="center"/>
              <w:rPr>
                <w:bCs/>
                <w:sz w:val="12"/>
                <w:szCs w:val="12"/>
              </w:rPr>
            </w:pPr>
            <w:r w:rsidRPr="00F92667">
              <w:rPr>
                <w:bCs/>
                <w:sz w:val="12"/>
                <w:szCs w:val="12"/>
              </w:rPr>
              <w:t>14</w:t>
            </w:r>
          </w:p>
        </w:tc>
        <w:tc>
          <w:tcPr>
            <w:tcW w:w="217" w:type="pct"/>
            <w:gridSpan w:val="2"/>
            <w:shd w:val="clear" w:color="auto" w:fill="auto"/>
            <w:tcMar>
              <w:left w:w="17" w:type="dxa"/>
              <w:right w:w="17" w:type="dxa"/>
            </w:tcMar>
            <w:vAlign w:val="center"/>
          </w:tcPr>
          <w:p w14:paraId="6A368A6B" w14:textId="77777777" w:rsidR="001C56BD" w:rsidRPr="00F92667" w:rsidRDefault="001C56BD" w:rsidP="008A5C11">
            <w:pPr>
              <w:jc w:val="center"/>
              <w:rPr>
                <w:bCs/>
                <w:sz w:val="12"/>
                <w:szCs w:val="12"/>
              </w:rPr>
            </w:pPr>
            <w:r w:rsidRPr="00F92667">
              <w:rPr>
                <w:bCs/>
                <w:sz w:val="12"/>
                <w:szCs w:val="12"/>
              </w:rPr>
              <w:t>15</w:t>
            </w:r>
          </w:p>
        </w:tc>
        <w:tc>
          <w:tcPr>
            <w:tcW w:w="206" w:type="pct"/>
            <w:gridSpan w:val="2"/>
            <w:tcMar>
              <w:left w:w="17" w:type="dxa"/>
              <w:right w:w="17" w:type="dxa"/>
            </w:tcMar>
            <w:vAlign w:val="center"/>
          </w:tcPr>
          <w:p w14:paraId="49691FE9" w14:textId="77777777" w:rsidR="001C56BD" w:rsidRPr="00F92667" w:rsidRDefault="001C56BD" w:rsidP="008A5C11">
            <w:pPr>
              <w:jc w:val="center"/>
              <w:rPr>
                <w:bCs/>
                <w:sz w:val="12"/>
                <w:szCs w:val="12"/>
              </w:rPr>
            </w:pPr>
            <w:r w:rsidRPr="00F92667">
              <w:rPr>
                <w:bCs/>
                <w:sz w:val="12"/>
                <w:szCs w:val="12"/>
              </w:rPr>
              <w:t>16</w:t>
            </w:r>
          </w:p>
        </w:tc>
        <w:tc>
          <w:tcPr>
            <w:tcW w:w="217" w:type="pct"/>
            <w:gridSpan w:val="2"/>
            <w:tcMar>
              <w:left w:w="17" w:type="dxa"/>
              <w:right w:w="17" w:type="dxa"/>
            </w:tcMar>
            <w:vAlign w:val="center"/>
          </w:tcPr>
          <w:p w14:paraId="60F9FCD8" w14:textId="77777777" w:rsidR="001C56BD" w:rsidRPr="00F92667" w:rsidRDefault="001C56BD" w:rsidP="008A5C11">
            <w:pPr>
              <w:jc w:val="center"/>
              <w:rPr>
                <w:bCs/>
                <w:sz w:val="12"/>
                <w:szCs w:val="12"/>
              </w:rPr>
            </w:pPr>
            <w:r w:rsidRPr="00F92667">
              <w:rPr>
                <w:bCs/>
                <w:sz w:val="12"/>
                <w:szCs w:val="12"/>
              </w:rPr>
              <w:t>17</w:t>
            </w:r>
          </w:p>
        </w:tc>
        <w:tc>
          <w:tcPr>
            <w:tcW w:w="214" w:type="pct"/>
            <w:gridSpan w:val="2"/>
            <w:tcMar>
              <w:left w:w="17" w:type="dxa"/>
              <w:right w:w="17" w:type="dxa"/>
            </w:tcMar>
            <w:vAlign w:val="center"/>
          </w:tcPr>
          <w:p w14:paraId="7165C415" w14:textId="77777777" w:rsidR="001C56BD" w:rsidRPr="00F92667" w:rsidRDefault="001C56BD" w:rsidP="008A5C11">
            <w:pPr>
              <w:jc w:val="center"/>
              <w:rPr>
                <w:bCs/>
                <w:sz w:val="12"/>
                <w:szCs w:val="12"/>
              </w:rPr>
            </w:pPr>
            <w:r w:rsidRPr="00F92667">
              <w:rPr>
                <w:bCs/>
                <w:sz w:val="12"/>
                <w:szCs w:val="12"/>
              </w:rPr>
              <w:t>18</w:t>
            </w:r>
          </w:p>
        </w:tc>
        <w:tc>
          <w:tcPr>
            <w:tcW w:w="217" w:type="pct"/>
            <w:gridSpan w:val="2"/>
            <w:tcMar>
              <w:left w:w="17" w:type="dxa"/>
              <w:right w:w="17" w:type="dxa"/>
            </w:tcMar>
            <w:vAlign w:val="center"/>
          </w:tcPr>
          <w:p w14:paraId="68203CC2" w14:textId="77777777" w:rsidR="001C56BD" w:rsidRPr="00F92667" w:rsidRDefault="001C56BD" w:rsidP="008A5C11">
            <w:pPr>
              <w:jc w:val="center"/>
              <w:rPr>
                <w:bCs/>
                <w:sz w:val="12"/>
                <w:szCs w:val="12"/>
              </w:rPr>
            </w:pPr>
            <w:r w:rsidRPr="00F92667">
              <w:rPr>
                <w:bCs/>
                <w:sz w:val="12"/>
                <w:szCs w:val="12"/>
              </w:rPr>
              <w:t>19</w:t>
            </w:r>
          </w:p>
        </w:tc>
        <w:tc>
          <w:tcPr>
            <w:tcW w:w="217" w:type="pct"/>
            <w:gridSpan w:val="2"/>
            <w:tcMar>
              <w:left w:w="17" w:type="dxa"/>
              <w:right w:w="17" w:type="dxa"/>
            </w:tcMar>
            <w:vAlign w:val="center"/>
          </w:tcPr>
          <w:p w14:paraId="37C7C44E" w14:textId="77777777" w:rsidR="001C56BD" w:rsidRPr="00F92667" w:rsidRDefault="001C56BD" w:rsidP="008A5C11">
            <w:pPr>
              <w:jc w:val="center"/>
              <w:rPr>
                <w:bCs/>
                <w:sz w:val="12"/>
                <w:szCs w:val="12"/>
              </w:rPr>
            </w:pPr>
            <w:r w:rsidRPr="00F92667">
              <w:rPr>
                <w:bCs/>
                <w:sz w:val="12"/>
                <w:szCs w:val="12"/>
              </w:rPr>
              <w:t>20</w:t>
            </w:r>
          </w:p>
        </w:tc>
        <w:tc>
          <w:tcPr>
            <w:tcW w:w="214" w:type="pct"/>
            <w:gridSpan w:val="2"/>
            <w:tcMar>
              <w:left w:w="17" w:type="dxa"/>
              <w:right w:w="17" w:type="dxa"/>
            </w:tcMar>
            <w:vAlign w:val="center"/>
          </w:tcPr>
          <w:p w14:paraId="05C2B869" w14:textId="77777777" w:rsidR="001C56BD" w:rsidRPr="00F92667" w:rsidRDefault="001C56BD" w:rsidP="008A5C11">
            <w:pPr>
              <w:jc w:val="center"/>
              <w:rPr>
                <w:bCs/>
                <w:sz w:val="12"/>
                <w:szCs w:val="12"/>
              </w:rPr>
            </w:pPr>
            <w:r w:rsidRPr="00F92667">
              <w:rPr>
                <w:bCs/>
                <w:sz w:val="12"/>
                <w:szCs w:val="12"/>
              </w:rPr>
              <w:t>21</w:t>
            </w:r>
          </w:p>
        </w:tc>
        <w:tc>
          <w:tcPr>
            <w:tcW w:w="247" w:type="pct"/>
            <w:gridSpan w:val="2"/>
            <w:tcMar>
              <w:left w:w="17" w:type="dxa"/>
              <w:right w:w="17" w:type="dxa"/>
            </w:tcMar>
            <w:vAlign w:val="center"/>
          </w:tcPr>
          <w:p w14:paraId="1A293FFB" w14:textId="77777777" w:rsidR="001C56BD" w:rsidRPr="00F92667" w:rsidRDefault="001C56BD" w:rsidP="008A5C11">
            <w:pPr>
              <w:jc w:val="center"/>
              <w:rPr>
                <w:bCs/>
                <w:sz w:val="12"/>
                <w:szCs w:val="12"/>
              </w:rPr>
            </w:pPr>
            <w:r w:rsidRPr="00F92667">
              <w:rPr>
                <w:bCs/>
                <w:sz w:val="12"/>
                <w:szCs w:val="12"/>
              </w:rPr>
              <w:t>22</w:t>
            </w:r>
          </w:p>
        </w:tc>
        <w:tc>
          <w:tcPr>
            <w:tcW w:w="173" w:type="pct"/>
            <w:tcMar>
              <w:left w:w="17" w:type="dxa"/>
              <w:right w:w="17" w:type="dxa"/>
            </w:tcMar>
            <w:vAlign w:val="center"/>
          </w:tcPr>
          <w:p w14:paraId="3B883DA0" w14:textId="77777777" w:rsidR="001C56BD" w:rsidRPr="00F92667" w:rsidRDefault="001C56BD" w:rsidP="008A5C11">
            <w:pPr>
              <w:jc w:val="center"/>
              <w:rPr>
                <w:bCs/>
                <w:sz w:val="12"/>
                <w:szCs w:val="12"/>
              </w:rPr>
            </w:pPr>
            <w:r w:rsidRPr="00F92667">
              <w:rPr>
                <w:bCs/>
                <w:sz w:val="12"/>
                <w:szCs w:val="12"/>
              </w:rPr>
              <w:t>23</w:t>
            </w:r>
          </w:p>
        </w:tc>
        <w:tc>
          <w:tcPr>
            <w:tcW w:w="169" w:type="pct"/>
            <w:tcMar>
              <w:left w:w="17" w:type="dxa"/>
              <w:right w:w="17" w:type="dxa"/>
            </w:tcMar>
            <w:vAlign w:val="center"/>
          </w:tcPr>
          <w:p w14:paraId="74B0FADD" w14:textId="77777777" w:rsidR="001C56BD" w:rsidRPr="00F92667" w:rsidRDefault="001C56BD" w:rsidP="008A5C11">
            <w:pPr>
              <w:jc w:val="center"/>
              <w:rPr>
                <w:bCs/>
                <w:sz w:val="12"/>
                <w:szCs w:val="12"/>
              </w:rPr>
            </w:pPr>
            <w:r w:rsidRPr="00F92667">
              <w:rPr>
                <w:bCs/>
                <w:sz w:val="12"/>
                <w:szCs w:val="12"/>
              </w:rPr>
              <w:t>24</w:t>
            </w:r>
          </w:p>
        </w:tc>
      </w:tr>
      <w:tr w:rsidR="001C56BD" w:rsidRPr="00F92667" w14:paraId="6F2C9F47" w14:textId="77777777" w:rsidTr="008A5C11">
        <w:trPr>
          <w:gridBefore w:val="1"/>
          <w:wBefore w:w="3" w:type="pct"/>
          <w:trHeight w:val="897"/>
        </w:trPr>
        <w:tc>
          <w:tcPr>
            <w:tcW w:w="129" w:type="pct"/>
            <w:shd w:val="clear" w:color="auto" w:fill="auto"/>
            <w:tcMar>
              <w:left w:w="17" w:type="dxa"/>
              <w:right w:w="17" w:type="dxa"/>
            </w:tcMar>
            <w:vAlign w:val="center"/>
          </w:tcPr>
          <w:p w14:paraId="1F22F105" w14:textId="77777777" w:rsidR="001C56BD" w:rsidRPr="00F92667" w:rsidRDefault="001C56BD" w:rsidP="008A5C11">
            <w:pPr>
              <w:jc w:val="center"/>
              <w:rPr>
                <w:sz w:val="12"/>
                <w:szCs w:val="12"/>
              </w:rPr>
            </w:pPr>
            <w:r w:rsidRPr="00F92667">
              <w:rPr>
                <w:sz w:val="12"/>
                <w:szCs w:val="12"/>
              </w:rPr>
              <w:t>3.1.11.</w:t>
            </w:r>
          </w:p>
        </w:tc>
        <w:tc>
          <w:tcPr>
            <w:tcW w:w="305" w:type="pct"/>
            <w:shd w:val="clear" w:color="auto" w:fill="auto"/>
            <w:tcMar>
              <w:left w:w="17" w:type="dxa"/>
              <w:right w:w="17" w:type="dxa"/>
            </w:tcMar>
            <w:vAlign w:val="center"/>
          </w:tcPr>
          <w:p w14:paraId="1A851E7E" w14:textId="77777777" w:rsidR="001C56BD" w:rsidRPr="00F92667" w:rsidRDefault="001C56BD" w:rsidP="008A5C11">
            <w:pPr>
              <w:rPr>
                <w:sz w:val="12"/>
                <w:szCs w:val="12"/>
              </w:rPr>
            </w:pPr>
            <w:r w:rsidRPr="00F92667">
              <w:rPr>
                <w:sz w:val="12"/>
                <w:szCs w:val="12"/>
              </w:rPr>
              <w:t>Реконструкция тепловой сети с реестровым номером 776962</w:t>
            </w:r>
          </w:p>
        </w:tc>
        <w:tc>
          <w:tcPr>
            <w:tcW w:w="304" w:type="pct"/>
            <w:shd w:val="clear" w:color="000000" w:fill="FFFFFF"/>
            <w:tcMar>
              <w:left w:w="17" w:type="dxa"/>
              <w:right w:w="17" w:type="dxa"/>
            </w:tcMar>
            <w:vAlign w:val="center"/>
          </w:tcPr>
          <w:p w14:paraId="7FEF7ACC" w14:textId="77777777" w:rsidR="001C56BD" w:rsidRPr="00F92667" w:rsidRDefault="001C56BD" w:rsidP="008A5C11">
            <w:pPr>
              <w:jc w:val="center"/>
              <w:rPr>
                <w:sz w:val="12"/>
                <w:szCs w:val="12"/>
              </w:rPr>
            </w:pPr>
            <w:r w:rsidRPr="00F92667">
              <w:rPr>
                <w:color w:val="000000"/>
                <w:sz w:val="12"/>
                <w:szCs w:val="12"/>
              </w:rPr>
              <w:t>Повышение надежности услуг теплоснабжения, повышение энергетической эффективности</w:t>
            </w:r>
          </w:p>
        </w:tc>
        <w:tc>
          <w:tcPr>
            <w:tcW w:w="258" w:type="pct"/>
            <w:shd w:val="clear" w:color="auto" w:fill="auto"/>
            <w:tcMar>
              <w:left w:w="17" w:type="dxa"/>
              <w:right w:w="17" w:type="dxa"/>
            </w:tcMar>
            <w:vAlign w:val="center"/>
          </w:tcPr>
          <w:p w14:paraId="2146D8B3" w14:textId="77777777" w:rsidR="001C56BD" w:rsidRPr="00F92667" w:rsidRDefault="001C56BD" w:rsidP="008A5C11">
            <w:pPr>
              <w:jc w:val="center"/>
              <w:rPr>
                <w:sz w:val="12"/>
                <w:szCs w:val="12"/>
              </w:rPr>
            </w:pPr>
            <w:r w:rsidRPr="00F92667">
              <w:rPr>
                <w:sz w:val="12"/>
                <w:szCs w:val="12"/>
              </w:rPr>
              <w:t xml:space="preserve">Кемеровский городской округ, Ленинский район, квартал №16, в границах просп. Московский, б-р Строителей, просп. Октябрьский, ул. Волгоградская </w:t>
            </w:r>
          </w:p>
        </w:tc>
        <w:tc>
          <w:tcPr>
            <w:tcW w:w="294" w:type="pct"/>
            <w:shd w:val="clear" w:color="auto" w:fill="auto"/>
            <w:tcMar>
              <w:left w:w="17" w:type="dxa"/>
              <w:right w:w="17" w:type="dxa"/>
            </w:tcMar>
            <w:vAlign w:val="center"/>
          </w:tcPr>
          <w:p w14:paraId="35F416C8" w14:textId="77777777" w:rsidR="001C56BD" w:rsidRPr="00F92667" w:rsidRDefault="001C56BD" w:rsidP="008A5C11">
            <w:pPr>
              <w:jc w:val="center"/>
              <w:rPr>
                <w:sz w:val="12"/>
                <w:szCs w:val="12"/>
              </w:rPr>
            </w:pPr>
            <w:r w:rsidRPr="00F92667">
              <w:rPr>
                <w:color w:val="000000"/>
                <w:sz w:val="12"/>
                <w:szCs w:val="12"/>
              </w:rPr>
              <w:t>Технические характеристики</w:t>
            </w:r>
          </w:p>
        </w:tc>
        <w:tc>
          <w:tcPr>
            <w:tcW w:w="129" w:type="pct"/>
            <w:shd w:val="clear" w:color="auto" w:fill="auto"/>
            <w:tcMar>
              <w:left w:w="17" w:type="dxa"/>
              <w:right w:w="17" w:type="dxa"/>
            </w:tcMar>
            <w:vAlign w:val="center"/>
          </w:tcPr>
          <w:p w14:paraId="701AC2A2" w14:textId="77777777" w:rsidR="001C56BD" w:rsidRPr="00F92667" w:rsidRDefault="001C56BD" w:rsidP="008A5C11">
            <w:pPr>
              <w:jc w:val="center"/>
              <w:rPr>
                <w:color w:val="000000"/>
                <w:sz w:val="12"/>
                <w:szCs w:val="12"/>
              </w:rPr>
            </w:pPr>
          </w:p>
        </w:tc>
        <w:tc>
          <w:tcPr>
            <w:tcW w:w="184" w:type="pct"/>
            <w:shd w:val="clear" w:color="auto" w:fill="auto"/>
            <w:tcMar>
              <w:left w:w="17" w:type="dxa"/>
              <w:right w:w="17" w:type="dxa"/>
            </w:tcMar>
            <w:vAlign w:val="center"/>
          </w:tcPr>
          <w:p w14:paraId="4DA9A1BC" w14:textId="77777777" w:rsidR="001C56BD" w:rsidRPr="00F92667" w:rsidRDefault="001C56BD" w:rsidP="008A5C11">
            <w:pPr>
              <w:jc w:val="center"/>
              <w:rPr>
                <w:sz w:val="12"/>
                <w:szCs w:val="12"/>
              </w:rPr>
            </w:pPr>
            <w:r w:rsidRPr="00F92667">
              <w:rPr>
                <w:sz w:val="12"/>
                <w:szCs w:val="12"/>
              </w:rPr>
              <w:t>Канал-кирпич (непроходной канал),</w:t>
            </w:r>
            <w:r w:rsidRPr="00F92667">
              <w:rPr>
                <w:sz w:val="12"/>
                <w:szCs w:val="12"/>
              </w:rPr>
              <w:br/>
              <w:t xml:space="preserve">опоры </w:t>
            </w:r>
            <w:proofErr w:type="gramStart"/>
            <w:r w:rsidRPr="00F92667">
              <w:rPr>
                <w:sz w:val="12"/>
                <w:szCs w:val="12"/>
              </w:rPr>
              <w:t>привар-ные</w:t>
            </w:r>
            <w:proofErr w:type="gramEnd"/>
            <w:r w:rsidRPr="00F92667">
              <w:rPr>
                <w:sz w:val="12"/>
                <w:szCs w:val="12"/>
              </w:rPr>
              <w:t xml:space="preserve">, запорная арматура-стальная клиновая, антикоррозийная защита-лак БТ, труба-сталь 20, изоляция-мин. маты.       </w:t>
            </w:r>
          </w:p>
        </w:tc>
        <w:tc>
          <w:tcPr>
            <w:tcW w:w="219" w:type="pct"/>
            <w:shd w:val="clear" w:color="auto" w:fill="auto"/>
            <w:tcMar>
              <w:left w:w="17" w:type="dxa"/>
              <w:right w:w="17" w:type="dxa"/>
            </w:tcMar>
            <w:vAlign w:val="center"/>
          </w:tcPr>
          <w:p w14:paraId="7FAE7DE3" w14:textId="77777777" w:rsidR="001C56BD" w:rsidRPr="00F92667" w:rsidRDefault="001C56BD" w:rsidP="008A5C11">
            <w:pPr>
              <w:jc w:val="center"/>
              <w:rPr>
                <w:sz w:val="12"/>
                <w:szCs w:val="12"/>
              </w:rPr>
            </w:pPr>
            <w:r w:rsidRPr="00F92667">
              <w:rPr>
                <w:sz w:val="12"/>
                <w:szCs w:val="12"/>
              </w:rPr>
              <w:t xml:space="preserve">Канал-ж/б лотки, опоры-хомутовые с диэлектрической прокладкой, запорная арматура - кран шаровый, антикоррозийная защита-мастика Вектор 1214, 1025, труба-сталь 09Г2С, изоляция - маты прошивные, </w:t>
            </w:r>
            <w:proofErr w:type="gramStart"/>
            <w:r w:rsidRPr="00F92667">
              <w:rPr>
                <w:sz w:val="12"/>
                <w:szCs w:val="12"/>
              </w:rPr>
              <w:t>стеклоплас-тик</w:t>
            </w:r>
            <w:proofErr w:type="gramEnd"/>
            <w:r w:rsidRPr="00F92667">
              <w:rPr>
                <w:sz w:val="12"/>
                <w:szCs w:val="12"/>
              </w:rPr>
              <w:t xml:space="preserve">  </w:t>
            </w:r>
          </w:p>
        </w:tc>
        <w:tc>
          <w:tcPr>
            <w:tcW w:w="130" w:type="pct"/>
            <w:shd w:val="clear" w:color="auto" w:fill="auto"/>
            <w:tcMar>
              <w:left w:w="17" w:type="dxa"/>
              <w:right w:w="17" w:type="dxa"/>
            </w:tcMar>
            <w:vAlign w:val="center"/>
          </w:tcPr>
          <w:p w14:paraId="64207070" w14:textId="77777777" w:rsidR="001C56BD" w:rsidRPr="00F92667" w:rsidRDefault="001C56BD" w:rsidP="008A5C11">
            <w:pPr>
              <w:jc w:val="center"/>
              <w:rPr>
                <w:sz w:val="12"/>
                <w:szCs w:val="12"/>
              </w:rPr>
            </w:pPr>
            <w:r w:rsidRPr="00F92667">
              <w:rPr>
                <w:sz w:val="12"/>
                <w:szCs w:val="12"/>
              </w:rPr>
              <w:t>2025</w:t>
            </w:r>
          </w:p>
        </w:tc>
        <w:tc>
          <w:tcPr>
            <w:tcW w:w="130" w:type="pct"/>
            <w:shd w:val="clear" w:color="auto" w:fill="auto"/>
            <w:tcMar>
              <w:left w:w="17" w:type="dxa"/>
              <w:right w:w="17" w:type="dxa"/>
            </w:tcMar>
            <w:vAlign w:val="center"/>
          </w:tcPr>
          <w:p w14:paraId="4B866602" w14:textId="77777777" w:rsidR="001C56BD" w:rsidRPr="00F92667" w:rsidRDefault="001C56BD" w:rsidP="008A5C11">
            <w:pPr>
              <w:jc w:val="center"/>
              <w:rPr>
                <w:sz w:val="12"/>
                <w:szCs w:val="12"/>
              </w:rPr>
            </w:pPr>
            <w:r w:rsidRPr="00F92667">
              <w:rPr>
                <w:sz w:val="12"/>
                <w:szCs w:val="12"/>
              </w:rPr>
              <w:t>2031</w:t>
            </w:r>
          </w:p>
        </w:tc>
        <w:tc>
          <w:tcPr>
            <w:tcW w:w="217" w:type="pct"/>
            <w:gridSpan w:val="2"/>
            <w:shd w:val="clear" w:color="auto" w:fill="auto"/>
            <w:tcMar>
              <w:left w:w="17" w:type="dxa"/>
              <w:right w:w="17" w:type="dxa"/>
            </w:tcMar>
            <w:vAlign w:val="center"/>
          </w:tcPr>
          <w:p w14:paraId="7E043516" w14:textId="77777777" w:rsidR="001C56BD" w:rsidRPr="00F92667" w:rsidRDefault="001C56BD" w:rsidP="008A5C11">
            <w:pPr>
              <w:jc w:val="center"/>
              <w:rPr>
                <w:sz w:val="12"/>
                <w:szCs w:val="12"/>
              </w:rPr>
            </w:pPr>
            <w:r w:rsidRPr="00F92667">
              <w:rPr>
                <w:sz w:val="12"/>
                <w:szCs w:val="12"/>
              </w:rPr>
              <w:t>106061,450</w:t>
            </w:r>
          </w:p>
        </w:tc>
        <w:tc>
          <w:tcPr>
            <w:tcW w:w="177" w:type="pct"/>
            <w:gridSpan w:val="2"/>
            <w:shd w:val="clear" w:color="auto" w:fill="auto"/>
            <w:tcMar>
              <w:left w:w="17" w:type="dxa"/>
              <w:right w:w="17" w:type="dxa"/>
            </w:tcMar>
            <w:vAlign w:val="center"/>
          </w:tcPr>
          <w:p w14:paraId="02758F72" w14:textId="77777777" w:rsidR="001C56BD" w:rsidRPr="00F92667" w:rsidRDefault="001C56BD" w:rsidP="008A5C11">
            <w:pPr>
              <w:jc w:val="center"/>
              <w:rPr>
                <w:sz w:val="12"/>
                <w:szCs w:val="12"/>
              </w:rPr>
            </w:pPr>
            <w:r w:rsidRPr="00F92667">
              <w:rPr>
                <w:sz w:val="12"/>
                <w:szCs w:val="12"/>
              </w:rPr>
              <w:t>0,000</w:t>
            </w:r>
          </w:p>
        </w:tc>
        <w:tc>
          <w:tcPr>
            <w:tcW w:w="212" w:type="pct"/>
            <w:shd w:val="clear" w:color="auto" w:fill="auto"/>
            <w:tcMar>
              <w:left w:w="17" w:type="dxa"/>
              <w:right w:w="17" w:type="dxa"/>
            </w:tcMar>
            <w:vAlign w:val="center"/>
          </w:tcPr>
          <w:p w14:paraId="730CC507" w14:textId="77777777" w:rsidR="001C56BD" w:rsidRPr="00F92667" w:rsidRDefault="001C56BD" w:rsidP="008A5C11">
            <w:pPr>
              <w:jc w:val="center"/>
              <w:rPr>
                <w:sz w:val="12"/>
                <w:szCs w:val="12"/>
              </w:rPr>
            </w:pPr>
            <w:r w:rsidRPr="00F92667">
              <w:rPr>
                <w:sz w:val="12"/>
                <w:szCs w:val="12"/>
              </w:rPr>
              <w:t>0,000</w:t>
            </w:r>
          </w:p>
        </w:tc>
        <w:tc>
          <w:tcPr>
            <w:tcW w:w="218" w:type="pct"/>
            <w:gridSpan w:val="2"/>
            <w:shd w:val="clear" w:color="auto" w:fill="auto"/>
            <w:tcMar>
              <w:left w:w="17" w:type="dxa"/>
              <w:right w:w="17" w:type="dxa"/>
            </w:tcMar>
            <w:vAlign w:val="center"/>
          </w:tcPr>
          <w:p w14:paraId="4BEF9BB9"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4235F4A1" w14:textId="77777777" w:rsidR="001C56BD" w:rsidRPr="00F92667" w:rsidRDefault="001C56BD" w:rsidP="008A5C11">
            <w:pPr>
              <w:jc w:val="center"/>
              <w:rPr>
                <w:sz w:val="12"/>
                <w:szCs w:val="12"/>
              </w:rPr>
            </w:pPr>
            <w:r w:rsidRPr="00F92667">
              <w:rPr>
                <w:sz w:val="12"/>
                <w:szCs w:val="12"/>
              </w:rPr>
              <w:t>0,000</w:t>
            </w:r>
          </w:p>
        </w:tc>
        <w:tc>
          <w:tcPr>
            <w:tcW w:w="206" w:type="pct"/>
            <w:gridSpan w:val="2"/>
            <w:shd w:val="clear" w:color="auto" w:fill="auto"/>
            <w:tcMar>
              <w:left w:w="17" w:type="dxa"/>
              <w:right w:w="17" w:type="dxa"/>
            </w:tcMar>
            <w:vAlign w:val="center"/>
          </w:tcPr>
          <w:p w14:paraId="2AF697F6" w14:textId="77777777" w:rsidR="001C56BD" w:rsidRPr="00F92667" w:rsidRDefault="001C56BD" w:rsidP="008A5C11">
            <w:pPr>
              <w:jc w:val="center"/>
              <w:rPr>
                <w:sz w:val="12"/>
                <w:szCs w:val="12"/>
              </w:rPr>
            </w:pPr>
            <w:r w:rsidRPr="00F92667">
              <w:rPr>
                <w:sz w:val="12"/>
                <w:szCs w:val="12"/>
              </w:rPr>
              <w:t>19538,724</w:t>
            </w:r>
          </w:p>
        </w:tc>
        <w:tc>
          <w:tcPr>
            <w:tcW w:w="217" w:type="pct"/>
            <w:gridSpan w:val="2"/>
            <w:shd w:val="clear" w:color="auto" w:fill="auto"/>
            <w:tcMar>
              <w:left w:w="17" w:type="dxa"/>
              <w:right w:w="17" w:type="dxa"/>
            </w:tcMar>
            <w:vAlign w:val="center"/>
          </w:tcPr>
          <w:p w14:paraId="5130792E" w14:textId="77777777" w:rsidR="001C56BD" w:rsidRPr="00F92667" w:rsidRDefault="001C56BD" w:rsidP="008A5C11">
            <w:pPr>
              <w:jc w:val="center"/>
              <w:rPr>
                <w:sz w:val="12"/>
                <w:szCs w:val="12"/>
              </w:rPr>
            </w:pPr>
            <w:r w:rsidRPr="00F92667">
              <w:rPr>
                <w:sz w:val="12"/>
                <w:szCs w:val="12"/>
              </w:rPr>
              <w:t>24322,006</w:t>
            </w:r>
          </w:p>
        </w:tc>
        <w:tc>
          <w:tcPr>
            <w:tcW w:w="214" w:type="pct"/>
            <w:gridSpan w:val="2"/>
            <w:shd w:val="clear" w:color="auto" w:fill="auto"/>
            <w:tcMar>
              <w:left w:w="17" w:type="dxa"/>
              <w:right w:w="17" w:type="dxa"/>
            </w:tcMar>
            <w:vAlign w:val="center"/>
          </w:tcPr>
          <w:p w14:paraId="4BA5B81F" w14:textId="77777777" w:rsidR="001C56BD" w:rsidRPr="00F92667" w:rsidRDefault="001C56BD" w:rsidP="008A5C11">
            <w:pPr>
              <w:jc w:val="center"/>
              <w:rPr>
                <w:sz w:val="12"/>
                <w:szCs w:val="12"/>
              </w:rPr>
            </w:pPr>
            <w:r w:rsidRPr="00F92667">
              <w:rPr>
                <w:sz w:val="12"/>
                <w:szCs w:val="12"/>
              </w:rPr>
              <w:t>15721,068</w:t>
            </w:r>
          </w:p>
        </w:tc>
        <w:tc>
          <w:tcPr>
            <w:tcW w:w="217" w:type="pct"/>
            <w:gridSpan w:val="2"/>
            <w:shd w:val="clear" w:color="auto" w:fill="auto"/>
            <w:tcMar>
              <w:left w:w="17" w:type="dxa"/>
              <w:right w:w="17" w:type="dxa"/>
            </w:tcMar>
            <w:vAlign w:val="center"/>
          </w:tcPr>
          <w:p w14:paraId="2F955202"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0E77DAEA" w14:textId="77777777" w:rsidR="001C56BD" w:rsidRPr="00F92667" w:rsidRDefault="001C56BD" w:rsidP="008A5C11">
            <w:pPr>
              <w:jc w:val="center"/>
              <w:rPr>
                <w:sz w:val="12"/>
                <w:szCs w:val="12"/>
              </w:rPr>
            </w:pPr>
            <w:r w:rsidRPr="00F92667">
              <w:rPr>
                <w:sz w:val="12"/>
                <w:szCs w:val="12"/>
              </w:rPr>
              <w:t>0,000</w:t>
            </w:r>
          </w:p>
        </w:tc>
        <w:tc>
          <w:tcPr>
            <w:tcW w:w="214" w:type="pct"/>
            <w:gridSpan w:val="2"/>
            <w:shd w:val="clear" w:color="auto" w:fill="auto"/>
            <w:tcMar>
              <w:left w:w="17" w:type="dxa"/>
              <w:right w:w="17" w:type="dxa"/>
            </w:tcMar>
            <w:vAlign w:val="center"/>
          </w:tcPr>
          <w:p w14:paraId="271601BA" w14:textId="77777777" w:rsidR="001C56BD" w:rsidRPr="00F92667" w:rsidRDefault="001C56BD" w:rsidP="008A5C11">
            <w:pPr>
              <w:jc w:val="center"/>
              <w:rPr>
                <w:sz w:val="12"/>
                <w:szCs w:val="12"/>
              </w:rPr>
            </w:pPr>
            <w:r w:rsidRPr="00F92667">
              <w:rPr>
                <w:sz w:val="12"/>
                <w:szCs w:val="12"/>
              </w:rPr>
              <w:t>19383,792</w:t>
            </w:r>
          </w:p>
        </w:tc>
        <w:tc>
          <w:tcPr>
            <w:tcW w:w="247" w:type="pct"/>
            <w:gridSpan w:val="2"/>
            <w:shd w:val="clear" w:color="auto" w:fill="auto"/>
            <w:tcMar>
              <w:left w:w="17" w:type="dxa"/>
              <w:right w:w="17" w:type="dxa"/>
            </w:tcMar>
            <w:vAlign w:val="center"/>
          </w:tcPr>
          <w:p w14:paraId="124CF153" w14:textId="77777777" w:rsidR="001C56BD" w:rsidRPr="00F92667" w:rsidRDefault="001C56BD" w:rsidP="008A5C11">
            <w:pPr>
              <w:jc w:val="center"/>
              <w:rPr>
                <w:sz w:val="12"/>
                <w:szCs w:val="12"/>
              </w:rPr>
            </w:pPr>
            <w:r w:rsidRPr="00F92667">
              <w:rPr>
                <w:sz w:val="12"/>
                <w:szCs w:val="12"/>
              </w:rPr>
              <w:t>27095,860</w:t>
            </w:r>
          </w:p>
        </w:tc>
        <w:tc>
          <w:tcPr>
            <w:tcW w:w="173" w:type="pct"/>
            <w:shd w:val="clear" w:color="auto" w:fill="auto"/>
            <w:tcMar>
              <w:left w:w="17" w:type="dxa"/>
              <w:right w:w="17" w:type="dxa"/>
            </w:tcMar>
            <w:vAlign w:val="center"/>
          </w:tcPr>
          <w:p w14:paraId="2CD2ABD6" w14:textId="77777777" w:rsidR="001C56BD" w:rsidRPr="00F92667" w:rsidRDefault="001C56BD" w:rsidP="008A5C11">
            <w:pPr>
              <w:jc w:val="center"/>
              <w:rPr>
                <w:sz w:val="12"/>
                <w:szCs w:val="12"/>
              </w:rPr>
            </w:pPr>
            <w:r w:rsidRPr="00F92667">
              <w:rPr>
                <w:sz w:val="12"/>
                <w:szCs w:val="12"/>
              </w:rPr>
              <w:t>0,000</w:t>
            </w:r>
          </w:p>
        </w:tc>
        <w:tc>
          <w:tcPr>
            <w:tcW w:w="169" w:type="pct"/>
            <w:shd w:val="clear" w:color="auto" w:fill="auto"/>
            <w:tcMar>
              <w:left w:w="17" w:type="dxa"/>
              <w:right w:w="17" w:type="dxa"/>
            </w:tcMar>
            <w:vAlign w:val="center"/>
          </w:tcPr>
          <w:p w14:paraId="2916EA70" w14:textId="77777777" w:rsidR="001C56BD" w:rsidRPr="00F92667" w:rsidRDefault="001C56BD" w:rsidP="008A5C11">
            <w:pPr>
              <w:jc w:val="center"/>
              <w:rPr>
                <w:sz w:val="12"/>
                <w:szCs w:val="12"/>
              </w:rPr>
            </w:pPr>
            <w:r w:rsidRPr="00F92667">
              <w:rPr>
                <w:sz w:val="12"/>
                <w:szCs w:val="12"/>
              </w:rPr>
              <w:t>0,000</w:t>
            </w:r>
          </w:p>
        </w:tc>
      </w:tr>
      <w:tr w:rsidR="001C56BD" w:rsidRPr="00F92667" w14:paraId="47576670" w14:textId="77777777" w:rsidTr="008A5C11">
        <w:trPr>
          <w:gridBefore w:val="1"/>
          <w:wBefore w:w="3" w:type="pct"/>
          <w:trHeight w:val="897"/>
        </w:trPr>
        <w:tc>
          <w:tcPr>
            <w:tcW w:w="129" w:type="pct"/>
            <w:shd w:val="clear" w:color="auto" w:fill="auto"/>
            <w:tcMar>
              <w:left w:w="17" w:type="dxa"/>
              <w:right w:w="17" w:type="dxa"/>
            </w:tcMar>
            <w:vAlign w:val="center"/>
          </w:tcPr>
          <w:p w14:paraId="1DE769C5" w14:textId="77777777" w:rsidR="001C56BD" w:rsidRPr="00F92667" w:rsidRDefault="001C56BD" w:rsidP="008A5C11">
            <w:pPr>
              <w:jc w:val="center"/>
              <w:rPr>
                <w:sz w:val="12"/>
                <w:szCs w:val="12"/>
              </w:rPr>
            </w:pPr>
            <w:r w:rsidRPr="00F92667">
              <w:rPr>
                <w:sz w:val="12"/>
                <w:szCs w:val="12"/>
              </w:rPr>
              <w:t>3.1.12.</w:t>
            </w:r>
          </w:p>
        </w:tc>
        <w:tc>
          <w:tcPr>
            <w:tcW w:w="305" w:type="pct"/>
            <w:shd w:val="clear" w:color="auto" w:fill="auto"/>
            <w:tcMar>
              <w:left w:w="17" w:type="dxa"/>
              <w:right w:w="17" w:type="dxa"/>
            </w:tcMar>
            <w:vAlign w:val="center"/>
          </w:tcPr>
          <w:p w14:paraId="51D17186" w14:textId="77777777" w:rsidR="001C56BD" w:rsidRPr="00F92667" w:rsidRDefault="001C56BD" w:rsidP="008A5C11">
            <w:pPr>
              <w:rPr>
                <w:sz w:val="12"/>
                <w:szCs w:val="12"/>
              </w:rPr>
            </w:pPr>
            <w:r w:rsidRPr="00F92667">
              <w:rPr>
                <w:sz w:val="12"/>
                <w:szCs w:val="12"/>
              </w:rPr>
              <w:t>Реконструкция тепловой сети с реестровым номером 777204</w:t>
            </w:r>
          </w:p>
        </w:tc>
        <w:tc>
          <w:tcPr>
            <w:tcW w:w="304" w:type="pct"/>
            <w:shd w:val="clear" w:color="000000" w:fill="FFFFFF"/>
            <w:tcMar>
              <w:left w:w="17" w:type="dxa"/>
              <w:right w:w="17" w:type="dxa"/>
            </w:tcMar>
            <w:vAlign w:val="center"/>
          </w:tcPr>
          <w:p w14:paraId="6AFCFC0A" w14:textId="77777777" w:rsidR="001C56BD" w:rsidRPr="00F92667" w:rsidRDefault="001C56BD" w:rsidP="008A5C11">
            <w:pPr>
              <w:jc w:val="center"/>
              <w:rPr>
                <w:sz w:val="12"/>
                <w:szCs w:val="12"/>
              </w:rPr>
            </w:pPr>
            <w:r w:rsidRPr="00F92667">
              <w:rPr>
                <w:color w:val="000000"/>
                <w:sz w:val="12"/>
                <w:szCs w:val="12"/>
              </w:rPr>
              <w:t>Повышение надежности услуг теплоснабжения, повышение энергетической эффективности</w:t>
            </w:r>
          </w:p>
        </w:tc>
        <w:tc>
          <w:tcPr>
            <w:tcW w:w="258" w:type="pct"/>
            <w:shd w:val="clear" w:color="auto" w:fill="auto"/>
            <w:tcMar>
              <w:left w:w="17" w:type="dxa"/>
              <w:right w:w="17" w:type="dxa"/>
            </w:tcMar>
            <w:vAlign w:val="center"/>
          </w:tcPr>
          <w:p w14:paraId="065E0E16" w14:textId="77777777" w:rsidR="001C56BD" w:rsidRPr="00F92667" w:rsidRDefault="001C56BD" w:rsidP="008A5C11">
            <w:pPr>
              <w:jc w:val="center"/>
              <w:rPr>
                <w:sz w:val="12"/>
                <w:szCs w:val="12"/>
              </w:rPr>
            </w:pPr>
            <w:r w:rsidRPr="00F92667">
              <w:rPr>
                <w:sz w:val="12"/>
                <w:szCs w:val="12"/>
              </w:rPr>
              <w:t>Кемеровский городской округ, Ленинский район, квартал 18, литер А</w:t>
            </w:r>
          </w:p>
        </w:tc>
        <w:tc>
          <w:tcPr>
            <w:tcW w:w="294" w:type="pct"/>
            <w:shd w:val="clear" w:color="auto" w:fill="auto"/>
            <w:tcMar>
              <w:left w:w="17" w:type="dxa"/>
              <w:right w:w="17" w:type="dxa"/>
            </w:tcMar>
            <w:vAlign w:val="center"/>
          </w:tcPr>
          <w:p w14:paraId="614F1E9C" w14:textId="77777777" w:rsidR="001C56BD" w:rsidRPr="00F92667" w:rsidRDefault="001C56BD" w:rsidP="008A5C11">
            <w:pPr>
              <w:jc w:val="center"/>
              <w:rPr>
                <w:sz w:val="12"/>
                <w:szCs w:val="12"/>
              </w:rPr>
            </w:pPr>
            <w:r w:rsidRPr="00F92667">
              <w:rPr>
                <w:color w:val="000000"/>
                <w:sz w:val="12"/>
                <w:szCs w:val="12"/>
              </w:rPr>
              <w:t>Технические характеристики</w:t>
            </w:r>
          </w:p>
        </w:tc>
        <w:tc>
          <w:tcPr>
            <w:tcW w:w="129" w:type="pct"/>
            <w:shd w:val="clear" w:color="auto" w:fill="auto"/>
            <w:tcMar>
              <w:left w:w="17" w:type="dxa"/>
              <w:right w:w="17" w:type="dxa"/>
            </w:tcMar>
            <w:vAlign w:val="center"/>
          </w:tcPr>
          <w:p w14:paraId="33561E7D" w14:textId="77777777" w:rsidR="001C56BD" w:rsidRPr="00F92667" w:rsidRDefault="001C56BD" w:rsidP="008A5C11">
            <w:pPr>
              <w:jc w:val="center"/>
              <w:rPr>
                <w:color w:val="000000"/>
                <w:sz w:val="12"/>
                <w:szCs w:val="12"/>
              </w:rPr>
            </w:pPr>
          </w:p>
        </w:tc>
        <w:tc>
          <w:tcPr>
            <w:tcW w:w="184" w:type="pct"/>
            <w:shd w:val="clear" w:color="auto" w:fill="auto"/>
            <w:tcMar>
              <w:left w:w="17" w:type="dxa"/>
              <w:right w:w="17" w:type="dxa"/>
            </w:tcMar>
            <w:vAlign w:val="center"/>
          </w:tcPr>
          <w:p w14:paraId="09DC76C2" w14:textId="77777777" w:rsidR="001C56BD" w:rsidRPr="00F92667" w:rsidRDefault="001C56BD" w:rsidP="008A5C11">
            <w:pPr>
              <w:jc w:val="center"/>
              <w:rPr>
                <w:sz w:val="12"/>
                <w:szCs w:val="12"/>
              </w:rPr>
            </w:pPr>
            <w:r w:rsidRPr="00F92667">
              <w:rPr>
                <w:sz w:val="12"/>
                <w:szCs w:val="12"/>
              </w:rPr>
              <w:t>Канал-кирпич (непроходной канал),</w:t>
            </w:r>
            <w:r w:rsidRPr="00F92667">
              <w:rPr>
                <w:sz w:val="12"/>
                <w:szCs w:val="12"/>
              </w:rPr>
              <w:br/>
              <w:t xml:space="preserve">опоры </w:t>
            </w:r>
            <w:proofErr w:type="gramStart"/>
            <w:r w:rsidRPr="00F92667">
              <w:rPr>
                <w:sz w:val="12"/>
                <w:szCs w:val="12"/>
              </w:rPr>
              <w:t>привар-ные</w:t>
            </w:r>
            <w:proofErr w:type="gramEnd"/>
            <w:r w:rsidRPr="00F92667">
              <w:rPr>
                <w:sz w:val="12"/>
                <w:szCs w:val="12"/>
              </w:rPr>
              <w:t xml:space="preserve">, запорная арматура-стальная клиновая, антикоррозийная защита-лак БТ, труба-сталь 20, изоляция-мин. маты.       </w:t>
            </w:r>
          </w:p>
        </w:tc>
        <w:tc>
          <w:tcPr>
            <w:tcW w:w="219" w:type="pct"/>
            <w:shd w:val="clear" w:color="auto" w:fill="auto"/>
            <w:tcMar>
              <w:left w:w="17" w:type="dxa"/>
              <w:right w:w="17" w:type="dxa"/>
            </w:tcMar>
            <w:vAlign w:val="center"/>
          </w:tcPr>
          <w:p w14:paraId="69C49FAE" w14:textId="77777777" w:rsidR="001C56BD" w:rsidRPr="00F92667" w:rsidRDefault="001C56BD" w:rsidP="008A5C11">
            <w:pPr>
              <w:jc w:val="center"/>
              <w:rPr>
                <w:sz w:val="12"/>
                <w:szCs w:val="12"/>
              </w:rPr>
            </w:pPr>
            <w:r w:rsidRPr="00F92667">
              <w:rPr>
                <w:sz w:val="12"/>
                <w:szCs w:val="12"/>
              </w:rPr>
              <w:t xml:space="preserve">Канал-ж/б лотки, опоры-хомутовые с диэлектрической прокладкой, запорная арматура - кран шаровый, антикоррозийная защита-мастика Вектор 1214, 1025, труба-сталь 09Г2С, изоляция - маты прошивные, </w:t>
            </w:r>
            <w:proofErr w:type="gramStart"/>
            <w:r w:rsidRPr="00F92667">
              <w:rPr>
                <w:sz w:val="12"/>
                <w:szCs w:val="12"/>
              </w:rPr>
              <w:t>стеклоплас-тик</w:t>
            </w:r>
            <w:proofErr w:type="gramEnd"/>
            <w:r w:rsidRPr="00F92667">
              <w:rPr>
                <w:sz w:val="12"/>
                <w:szCs w:val="12"/>
              </w:rPr>
              <w:t xml:space="preserve">  </w:t>
            </w:r>
          </w:p>
        </w:tc>
        <w:tc>
          <w:tcPr>
            <w:tcW w:w="130" w:type="pct"/>
            <w:shd w:val="clear" w:color="auto" w:fill="auto"/>
            <w:tcMar>
              <w:left w:w="17" w:type="dxa"/>
              <w:right w:w="17" w:type="dxa"/>
            </w:tcMar>
            <w:vAlign w:val="center"/>
          </w:tcPr>
          <w:p w14:paraId="372EC0AF" w14:textId="77777777" w:rsidR="001C56BD" w:rsidRPr="00F92667" w:rsidRDefault="001C56BD" w:rsidP="008A5C11">
            <w:pPr>
              <w:jc w:val="center"/>
              <w:rPr>
                <w:sz w:val="12"/>
                <w:szCs w:val="12"/>
              </w:rPr>
            </w:pPr>
            <w:r w:rsidRPr="00F92667">
              <w:rPr>
                <w:sz w:val="12"/>
                <w:szCs w:val="12"/>
              </w:rPr>
              <w:t>2025</w:t>
            </w:r>
          </w:p>
        </w:tc>
        <w:tc>
          <w:tcPr>
            <w:tcW w:w="130" w:type="pct"/>
            <w:shd w:val="clear" w:color="auto" w:fill="auto"/>
            <w:tcMar>
              <w:left w:w="17" w:type="dxa"/>
              <w:right w:w="17" w:type="dxa"/>
            </w:tcMar>
            <w:vAlign w:val="center"/>
          </w:tcPr>
          <w:p w14:paraId="17A2D7B0" w14:textId="77777777" w:rsidR="001C56BD" w:rsidRPr="00F92667" w:rsidRDefault="001C56BD" w:rsidP="008A5C11">
            <w:pPr>
              <w:jc w:val="center"/>
              <w:rPr>
                <w:sz w:val="12"/>
                <w:szCs w:val="12"/>
              </w:rPr>
            </w:pPr>
            <w:r w:rsidRPr="00F92667">
              <w:rPr>
                <w:sz w:val="12"/>
                <w:szCs w:val="12"/>
              </w:rPr>
              <w:t>2028</w:t>
            </w:r>
          </w:p>
        </w:tc>
        <w:tc>
          <w:tcPr>
            <w:tcW w:w="217" w:type="pct"/>
            <w:gridSpan w:val="2"/>
            <w:shd w:val="clear" w:color="auto" w:fill="auto"/>
            <w:tcMar>
              <w:left w:w="17" w:type="dxa"/>
              <w:right w:w="17" w:type="dxa"/>
            </w:tcMar>
            <w:vAlign w:val="center"/>
          </w:tcPr>
          <w:p w14:paraId="5D3933CE" w14:textId="77777777" w:rsidR="001C56BD" w:rsidRPr="00F92667" w:rsidRDefault="001C56BD" w:rsidP="008A5C11">
            <w:pPr>
              <w:jc w:val="center"/>
              <w:rPr>
                <w:sz w:val="12"/>
                <w:szCs w:val="12"/>
              </w:rPr>
            </w:pPr>
            <w:r w:rsidRPr="00F92667">
              <w:rPr>
                <w:sz w:val="12"/>
                <w:szCs w:val="12"/>
              </w:rPr>
              <w:t>48858,588</w:t>
            </w:r>
          </w:p>
        </w:tc>
        <w:tc>
          <w:tcPr>
            <w:tcW w:w="177" w:type="pct"/>
            <w:gridSpan w:val="2"/>
            <w:shd w:val="clear" w:color="auto" w:fill="auto"/>
            <w:tcMar>
              <w:left w:w="17" w:type="dxa"/>
              <w:right w:w="17" w:type="dxa"/>
            </w:tcMar>
            <w:vAlign w:val="center"/>
          </w:tcPr>
          <w:p w14:paraId="768560DD" w14:textId="77777777" w:rsidR="001C56BD" w:rsidRPr="00F92667" w:rsidRDefault="001C56BD" w:rsidP="008A5C11">
            <w:pPr>
              <w:jc w:val="center"/>
              <w:rPr>
                <w:sz w:val="12"/>
                <w:szCs w:val="12"/>
              </w:rPr>
            </w:pPr>
            <w:r w:rsidRPr="00F92667">
              <w:rPr>
                <w:sz w:val="12"/>
                <w:szCs w:val="12"/>
              </w:rPr>
              <w:t>0,000</w:t>
            </w:r>
          </w:p>
        </w:tc>
        <w:tc>
          <w:tcPr>
            <w:tcW w:w="212" w:type="pct"/>
            <w:shd w:val="clear" w:color="auto" w:fill="auto"/>
            <w:tcMar>
              <w:left w:w="17" w:type="dxa"/>
              <w:right w:w="17" w:type="dxa"/>
            </w:tcMar>
            <w:vAlign w:val="center"/>
          </w:tcPr>
          <w:p w14:paraId="75E2083A" w14:textId="77777777" w:rsidR="001C56BD" w:rsidRPr="00F92667" w:rsidRDefault="001C56BD" w:rsidP="008A5C11">
            <w:pPr>
              <w:jc w:val="center"/>
              <w:rPr>
                <w:sz w:val="12"/>
                <w:szCs w:val="12"/>
              </w:rPr>
            </w:pPr>
            <w:r w:rsidRPr="00F92667">
              <w:rPr>
                <w:sz w:val="12"/>
                <w:szCs w:val="12"/>
              </w:rPr>
              <w:t>0,000</w:t>
            </w:r>
          </w:p>
        </w:tc>
        <w:tc>
          <w:tcPr>
            <w:tcW w:w="218" w:type="pct"/>
            <w:gridSpan w:val="2"/>
            <w:shd w:val="clear" w:color="auto" w:fill="auto"/>
            <w:tcMar>
              <w:left w:w="17" w:type="dxa"/>
              <w:right w:w="17" w:type="dxa"/>
            </w:tcMar>
            <w:vAlign w:val="center"/>
          </w:tcPr>
          <w:p w14:paraId="7B628257"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0D2F4BC1" w14:textId="77777777" w:rsidR="001C56BD" w:rsidRPr="00F92667" w:rsidRDefault="001C56BD" w:rsidP="008A5C11">
            <w:pPr>
              <w:jc w:val="center"/>
              <w:rPr>
                <w:sz w:val="12"/>
                <w:szCs w:val="12"/>
              </w:rPr>
            </w:pPr>
            <w:r w:rsidRPr="00F92667">
              <w:rPr>
                <w:sz w:val="12"/>
                <w:szCs w:val="12"/>
              </w:rPr>
              <w:t>0,000</w:t>
            </w:r>
          </w:p>
        </w:tc>
        <w:tc>
          <w:tcPr>
            <w:tcW w:w="206" w:type="pct"/>
            <w:gridSpan w:val="2"/>
            <w:shd w:val="clear" w:color="auto" w:fill="auto"/>
            <w:tcMar>
              <w:left w:w="17" w:type="dxa"/>
              <w:right w:w="17" w:type="dxa"/>
            </w:tcMar>
            <w:vAlign w:val="center"/>
          </w:tcPr>
          <w:p w14:paraId="6A79E03C" w14:textId="77777777" w:rsidR="001C56BD" w:rsidRPr="00F92667" w:rsidRDefault="001C56BD" w:rsidP="008A5C11">
            <w:pPr>
              <w:jc w:val="center"/>
              <w:rPr>
                <w:sz w:val="12"/>
                <w:szCs w:val="12"/>
              </w:rPr>
            </w:pPr>
            <w:r w:rsidRPr="00F92667">
              <w:rPr>
                <w:sz w:val="12"/>
                <w:szCs w:val="12"/>
              </w:rPr>
              <w:t>25446,144</w:t>
            </w:r>
          </w:p>
        </w:tc>
        <w:tc>
          <w:tcPr>
            <w:tcW w:w="217" w:type="pct"/>
            <w:gridSpan w:val="2"/>
            <w:shd w:val="clear" w:color="auto" w:fill="auto"/>
            <w:tcMar>
              <w:left w:w="17" w:type="dxa"/>
              <w:right w:w="17" w:type="dxa"/>
            </w:tcMar>
            <w:vAlign w:val="center"/>
          </w:tcPr>
          <w:p w14:paraId="609C55AE" w14:textId="77777777" w:rsidR="001C56BD" w:rsidRPr="00F92667" w:rsidRDefault="001C56BD" w:rsidP="008A5C11">
            <w:pPr>
              <w:jc w:val="center"/>
              <w:rPr>
                <w:sz w:val="12"/>
                <w:szCs w:val="12"/>
              </w:rPr>
            </w:pPr>
            <w:r w:rsidRPr="00F92667">
              <w:rPr>
                <w:sz w:val="12"/>
                <w:szCs w:val="12"/>
              </w:rPr>
              <w:t>0,000</w:t>
            </w:r>
          </w:p>
        </w:tc>
        <w:tc>
          <w:tcPr>
            <w:tcW w:w="214" w:type="pct"/>
            <w:gridSpan w:val="2"/>
            <w:shd w:val="clear" w:color="auto" w:fill="auto"/>
            <w:tcMar>
              <w:left w:w="17" w:type="dxa"/>
              <w:right w:w="17" w:type="dxa"/>
            </w:tcMar>
            <w:vAlign w:val="center"/>
          </w:tcPr>
          <w:p w14:paraId="688FE606"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73787102" w14:textId="77777777" w:rsidR="001C56BD" w:rsidRPr="00F92667" w:rsidRDefault="001C56BD" w:rsidP="008A5C11">
            <w:pPr>
              <w:jc w:val="center"/>
              <w:rPr>
                <w:sz w:val="12"/>
                <w:szCs w:val="12"/>
              </w:rPr>
            </w:pPr>
            <w:r w:rsidRPr="00F92667">
              <w:rPr>
                <w:sz w:val="12"/>
                <w:szCs w:val="12"/>
              </w:rPr>
              <w:t>23412,444</w:t>
            </w:r>
          </w:p>
        </w:tc>
        <w:tc>
          <w:tcPr>
            <w:tcW w:w="217" w:type="pct"/>
            <w:gridSpan w:val="2"/>
            <w:shd w:val="clear" w:color="auto" w:fill="auto"/>
            <w:tcMar>
              <w:left w:w="17" w:type="dxa"/>
              <w:right w:w="17" w:type="dxa"/>
            </w:tcMar>
            <w:vAlign w:val="center"/>
          </w:tcPr>
          <w:p w14:paraId="6E944B17" w14:textId="77777777" w:rsidR="001C56BD" w:rsidRPr="00F92667" w:rsidRDefault="001C56BD" w:rsidP="008A5C11">
            <w:pPr>
              <w:jc w:val="center"/>
              <w:rPr>
                <w:sz w:val="12"/>
                <w:szCs w:val="12"/>
              </w:rPr>
            </w:pPr>
            <w:r w:rsidRPr="00F92667">
              <w:rPr>
                <w:sz w:val="12"/>
                <w:szCs w:val="12"/>
              </w:rPr>
              <w:t>0,000</w:t>
            </w:r>
          </w:p>
        </w:tc>
        <w:tc>
          <w:tcPr>
            <w:tcW w:w="214" w:type="pct"/>
            <w:gridSpan w:val="2"/>
            <w:shd w:val="clear" w:color="auto" w:fill="auto"/>
            <w:tcMar>
              <w:left w:w="17" w:type="dxa"/>
              <w:right w:w="17" w:type="dxa"/>
            </w:tcMar>
            <w:vAlign w:val="center"/>
          </w:tcPr>
          <w:p w14:paraId="4A11AAD0" w14:textId="77777777" w:rsidR="001C56BD" w:rsidRPr="00F92667" w:rsidRDefault="001C56BD" w:rsidP="008A5C11">
            <w:pPr>
              <w:jc w:val="center"/>
              <w:rPr>
                <w:sz w:val="12"/>
                <w:szCs w:val="12"/>
              </w:rPr>
            </w:pPr>
            <w:r w:rsidRPr="00F92667">
              <w:rPr>
                <w:sz w:val="12"/>
                <w:szCs w:val="12"/>
              </w:rPr>
              <w:t>0,000</w:t>
            </w:r>
          </w:p>
        </w:tc>
        <w:tc>
          <w:tcPr>
            <w:tcW w:w="247" w:type="pct"/>
            <w:gridSpan w:val="2"/>
            <w:shd w:val="clear" w:color="auto" w:fill="auto"/>
            <w:tcMar>
              <w:left w:w="17" w:type="dxa"/>
              <w:right w:w="17" w:type="dxa"/>
            </w:tcMar>
            <w:vAlign w:val="center"/>
          </w:tcPr>
          <w:p w14:paraId="22D2D856" w14:textId="77777777" w:rsidR="001C56BD" w:rsidRPr="00F92667" w:rsidRDefault="001C56BD" w:rsidP="008A5C11">
            <w:pPr>
              <w:jc w:val="center"/>
              <w:rPr>
                <w:sz w:val="12"/>
                <w:szCs w:val="12"/>
              </w:rPr>
            </w:pPr>
            <w:r w:rsidRPr="00F92667">
              <w:rPr>
                <w:sz w:val="12"/>
                <w:szCs w:val="12"/>
              </w:rPr>
              <w:t>0,000</w:t>
            </w:r>
          </w:p>
        </w:tc>
        <w:tc>
          <w:tcPr>
            <w:tcW w:w="173" w:type="pct"/>
            <w:shd w:val="clear" w:color="auto" w:fill="auto"/>
            <w:tcMar>
              <w:left w:w="17" w:type="dxa"/>
              <w:right w:w="17" w:type="dxa"/>
            </w:tcMar>
            <w:vAlign w:val="center"/>
          </w:tcPr>
          <w:p w14:paraId="0DC22EDE" w14:textId="77777777" w:rsidR="001C56BD" w:rsidRPr="00F92667" w:rsidRDefault="001C56BD" w:rsidP="008A5C11">
            <w:pPr>
              <w:jc w:val="center"/>
              <w:rPr>
                <w:sz w:val="12"/>
                <w:szCs w:val="12"/>
              </w:rPr>
            </w:pPr>
            <w:r w:rsidRPr="00F92667">
              <w:rPr>
                <w:sz w:val="12"/>
                <w:szCs w:val="12"/>
              </w:rPr>
              <w:t>0,000</w:t>
            </w:r>
          </w:p>
        </w:tc>
        <w:tc>
          <w:tcPr>
            <w:tcW w:w="169" w:type="pct"/>
            <w:shd w:val="clear" w:color="auto" w:fill="auto"/>
            <w:tcMar>
              <w:left w:w="17" w:type="dxa"/>
              <w:right w:w="17" w:type="dxa"/>
            </w:tcMar>
            <w:vAlign w:val="center"/>
          </w:tcPr>
          <w:p w14:paraId="6D8CA308" w14:textId="77777777" w:rsidR="001C56BD" w:rsidRPr="00F92667" w:rsidRDefault="001C56BD" w:rsidP="008A5C11">
            <w:pPr>
              <w:jc w:val="center"/>
              <w:rPr>
                <w:sz w:val="12"/>
                <w:szCs w:val="12"/>
              </w:rPr>
            </w:pPr>
            <w:r w:rsidRPr="00F92667">
              <w:rPr>
                <w:sz w:val="12"/>
                <w:szCs w:val="12"/>
              </w:rPr>
              <w:t>0,000</w:t>
            </w:r>
          </w:p>
        </w:tc>
      </w:tr>
      <w:tr w:rsidR="001C56BD" w:rsidRPr="00F92667" w14:paraId="72A4E11A" w14:textId="77777777" w:rsidTr="008A5C11">
        <w:trPr>
          <w:gridBefore w:val="1"/>
          <w:wBefore w:w="3" w:type="pct"/>
          <w:trHeight w:val="897"/>
        </w:trPr>
        <w:tc>
          <w:tcPr>
            <w:tcW w:w="129" w:type="pct"/>
            <w:shd w:val="clear" w:color="auto" w:fill="auto"/>
            <w:tcMar>
              <w:left w:w="17" w:type="dxa"/>
              <w:right w:w="17" w:type="dxa"/>
            </w:tcMar>
            <w:vAlign w:val="center"/>
          </w:tcPr>
          <w:p w14:paraId="7F01AC54" w14:textId="77777777" w:rsidR="001C56BD" w:rsidRPr="00F92667" w:rsidRDefault="001C56BD" w:rsidP="008A5C11">
            <w:pPr>
              <w:jc w:val="center"/>
              <w:rPr>
                <w:sz w:val="12"/>
                <w:szCs w:val="12"/>
              </w:rPr>
            </w:pPr>
            <w:r w:rsidRPr="00F92667">
              <w:rPr>
                <w:sz w:val="12"/>
                <w:szCs w:val="12"/>
              </w:rPr>
              <w:t>3.1.13.</w:t>
            </w:r>
          </w:p>
        </w:tc>
        <w:tc>
          <w:tcPr>
            <w:tcW w:w="305" w:type="pct"/>
            <w:shd w:val="clear" w:color="auto" w:fill="auto"/>
            <w:tcMar>
              <w:left w:w="17" w:type="dxa"/>
              <w:right w:w="17" w:type="dxa"/>
            </w:tcMar>
            <w:vAlign w:val="center"/>
          </w:tcPr>
          <w:p w14:paraId="7E3D03F4" w14:textId="77777777" w:rsidR="001C56BD" w:rsidRPr="00F92667" w:rsidRDefault="001C56BD" w:rsidP="008A5C11">
            <w:pPr>
              <w:rPr>
                <w:sz w:val="12"/>
                <w:szCs w:val="12"/>
              </w:rPr>
            </w:pPr>
            <w:r w:rsidRPr="00F92667">
              <w:rPr>
                <w:sz w:val="12"/>
                <w:szCs w:val="12"/>
              </w:rPr>
              <w:t>Реконструкция тепловой сети с реестровым номером 774941</w:t>
            </w:r>
          </w:p>
        </w:tc>
        <w:tc>
          <w:tcPr>
            <w:tcW w:w="304" w:type="pct"/>
            <w:shd w:val="clear" w:color="000000" w:fill="FFFFFF"/>
            <w:tcMar>
              <w:left w:w="17" w:type="dxa"/>
              <w:right w:w="17" w:type="dxa"/>
            </w:tcMar>
            <w:vAlign w:val="center"/>
          </w:tcPr>
          <w:p w14:paraId="05CDA826" w14:textId="77777777" w:rsidR="001C56BD" w:rsidRPr="00F92667" w:rsidRDefault="001C56BD" w:rsidP="008A5C11">
            <w:pPr>
              <w:jc w:val="center"/>
              <w:rPr>
                <w:sz w:val="12"/>
                <w:szCs w:val="12"/>
              </w:rPr>
            </w:pPr>
            <w:r w:rsidRPr="00F92667">
              <w:rPr>
                <w:color w:val="000000"/>
                <w:sz w:val="12"/>
                <w:szCs w:val="12"/>
              </w:rPr>
              <w:t>Повышение надежности услуг теплоснабжения, повышение энергетической эффективности</w:t>
            </w:r>
          </w:p>
        </w:tc>
        <w:tc>
          <w:tcPr>
            <w:tcW w:w="258" w:type="pct"/>
            <w:shd w:val="clear" w:color="auto" w:fill="auto"/>
            <w:tcMar>
              <w:left w:w="17" w:type="dxa"/>
              <w:right w:w="17" w:type="dxa"/>
            </w:tcMar>
            <w:vAlign w:val="center"/>
          </w:tcPr>
          <w:p w14:paraId="3DB85AB3" w14:textId="77777777" w:rsidR="001C56BD" w:rsidRPr="00F92667" w:rsidRDefault="001C56BD" w:rsidP="008A5C11">
            <w:pPr>
              <w:jc w:val="center"/>
              <w:rPr>
                <w:sz w:val="12"/>
                <w:szCs w:val="12"/>
              </w:rPr>
            </w:pPr>
            <w:r w:rsidRPr="00F92667">
              <w:rPr>
                <w:sz w:val="12"/>
                <w:szCs w:val="12"/>
              </w:rPr>
              <w:t>Кемеровский городской округ, Ленинский район, квартал №20, в границах просп. Ленина, ул. Ворошилова, просп. Химиков, ул. Волгоградская</w:t>
            </w:r>
          </w:p>
        </w:tc>
        <w:tc>
          <w:tcPr>
            <w:tcW w:w="294" w:type="pct"/>
            <w:shd w:val="clear" w:color="auto" w:fill="auto"/>
            <w:tcMar>
              <w:left w:w="17" w:type="dxa"/>
              <w:right w:w="17" w:type="dxa"/>
            </w:tcMar>
            <w:vAlign w:val="center"/>
          </w:tcPr>
          <w:p w14:paraId="647C54E6" w14:textId="77777777" w:rsidR="001C56BD" w:rsidRPr="00F92667" w:rsidRDefault="001C56BD" w:rsidP="008A5C11">
            <w:pPr>
              <w:jc w:val="center"/>
              <w:rPr>
                <w:sz w:val="12"/>
                <w:szCs w:val="12"/>
              </w:rPr>
            </w:pPr>
            <w:r w:rsidRPr="00F92667">
              <w:rPr>
                <w:color w:val="000000"/>
                <w:sz w:val="12"/>
                <w:szCs w:val="12"/>
              </w:rPr>
              <w:t>Технические характеристики</w:t>
            </w:r>
          </w:p>
        </w:tc>
        <w:tc>
          <w:tcPr>
            <w:tcW w:w="129" w:type="pct"/>
            <w:shd w:val="clear" w:color="auto" w:fill="auto"/>
            <w:tcMar>
              <w:left w:w="17" w:type="dxa"/>
              <w:right w:w="17" w:type="dxa"/>
            </w:tcMar>
            <w:vAlign w:val="center"/>
          </w:tcPr>
          <w:p w14:paraId="10D1ED86" w14:textId="77777777" w:rsidR="001C56BD" w:rsidRPr="00F92667" w:rsidRDefault="001C56BD" w:rsidP="008A5C11">
            <w:pPr>
              <w:jc w:val="center"/>
              <w:rPr>
                <w:color w:val="000000"/>
                <w:sz w:val="12"/>
                <w:szCs w:val="12"/>
              </w:rPr>
            </w:pPr>
          </w:p>
        </w:tc>
        <w:tc>
          <w:tcPr>
            <w:tcW w:w="184" w:type="pct"/>
            <w:shd w:val="clear" w:color="auto" w:fill="auto"/>
            <w:tcMar>
              <w:left w:w="17" w:type="dxa"/>
              <w:right w:w="17" w:type="dxa"/>
            </w:tcMar>
            <w:vAlign w:val="center"/>
          </w:tcPr>
          <w:p w14:paraId="6091EBB8" w14:textId="77777777" w:rsidR="001C56BD" w:rsidRPr="00F92667" w:rsidRDefault="001C56BD" w:rsidP="008A5C11">
            <w:pPr>
              <w:jc w:val="center"/>
              <w:rPr>
                <w:sz w:val="12"/>
                <w:szCs w:val="12"/>
              </w:rPr>
            </w:pPr>
            <w:r w:rsidRPr="00F92667">
              <w:rPr>
                <w:sz w:val="12"/>
                <w:szCs w:val="12"/>
              </w:rPr>
              <w:t xml:space="preserve">Канал-ж/б лотки (непроходной канал), опоры </w:t>
            </w:r>
            <w:proofErr w:type="gramStart"/>
            <w:r w:rsidRPr="00F92667">
              <w:rPr>
                <w:sz w:val="12"/>
                <w:szCs w:val="12"/>
              </w:rPr>
              <w:t>привар-ные</w:t>
            </w:r>
            <w:proofErr w:type="gramEnd"/>
            <w:r w:rsidRPr="00F92667">
              <w:rPr>
                <w:sz w:val="12"/>
                <w:szCs w:val="12"/>
              </w:rPr>
              <w:t xml:space="preserve">, запорная арматура - стальная клиновая, антикоррозийная защита-лак БТ, труба-сталь 20, изоляция - мин. маты   </w:t>
            </w:r>
          </w:p>
        </w:tc>
        <w:tc>
          <w:tcPr>
            <w:tcW w:w="219" w:type="pct"/>
            <w:shd w:val="clear" w:color="auto" w:fill="auto"/>
            <w:tcMar>
              <w:left w:w="17" w:type="dxa"/>
              <w:right w:w="17" w:type="dxa"/>
            </w:tcMar>
            <w:vAlign w:val="center"/>
          </w:tcPr>
          <w:p w14:paraId="590CDAF8" w14:textId="77777777" w:rsidR="001C56BD" w:rsidRPr="00F92667" w:rsidRDefault="001C56BD" w:rsidP="008A5C11">
            <w:pPr>
              <w:jc w:val="center"/>
              <w:rPr>
                <w:sz w:val="12"/>
                <w:szCs w:val="12"/>
              </w:rPr>
            </w:pPr>
            <w:r w:rsidRPr="00F92667">
              <w:rPr>
                <w:sz w:val="12"/>
                <w:szCs w:val="12"/>
              </w:rPr>
              <w:t xml:space="preserve">Канал-ж/б лотки (непроходной канал), опоры-хомутовые с диэлектрической прокладкой, запорная арматура - краны шаровые, антикоррозийная защита-мастика Вектор1025, 1214, труба-сталь 09Г2С, изоляция - маты прошивные, </w:t>
            </w:r>
            <w:proofErr w:type="gramStart"/>
            <w:r w:rsidRPr="00F92667">
              <w:rPr>
                <w:sz w:val="12"/>
                <w:szCs w:val="12"/>
              </w:rPr>
              <w:t>стеклоплас-тик</w:t>
            </w:r>
            <w:proofErr w:type="gramEnd"/>
            <w:r w:rsidRPr="00F92667">
              <w:rPr>
                <w:sz w:val="12"/>
                <w:szCs w:val="12"/>
              </w:rPr>
              <w:t xml:space="preserve">  </w:t>
            </w:r>
          </w:p>
        </w:tc>
        <w:tc>
          <w:tcPr>
            <w:tcW w:w="130" w:type="pct"/>
            <w:shd w:val="clear" w:color="auto" w:fill="auto"/>
            <w:tcMar>
              <w:left w:w="17" w:type="dxa"/>
              <w:right w:w="17" w:type="dxa"/>
            </w:tcMar>
            <w:vAlign w:val="center"/>
          </w:tcPr>
          <w:p w14:paraId="5D392FDD" w14:textId="77777777" w:rsidR="001C56BD" w:rsidRPr="00F92667" w:rsidRDefault="001C56BD" w:rsidP="008A5C11">
            <w:pPr>
              <w:jc w:val="center"/>
              <w:rPr>
                <w:sz w:val="12"/>
                <w:szCs w:val="12"/>
              </w:rPr>
            </w:pPr>
            <w:r w:rsidRPr="00F92667">
              <w:rPr>
                <w:sz w:val="12"/>
                <w:szCs w:val="12"/>
              </w:rPr>
              <w:t>2024</w:t>
            </w:r>
          </w:p>
        </w:tc>
        <w:tc>
          <w:tcPr>
            <w:tcW w:w="130" w:type="pct"/>
            <w:shd w:val="clear" w:color="auto" w:fill="auto"/>
            <w:tcMar>
              <w:left w:w="17" w:type="dxa"/>
              <w:right w:w="17" w:type="dxa"/>
            </w:tcMar>
            <w:vAlign w:val="center"/>
          </w:tcPr>
          <w:p w14:paraId="75EE0DF8" w14:textId="77777777" w:rsidR="001C56BD" w:rsidRPr="00F92667" w:rsidRDefault="001C56BD" w:rsidP="008A5C11">
            <w:pPr>
              <w:jc w:val="center"/>
              <w:rPr>
                <w:sz w:val="12"/>
                <w:szCs w:val="12"/>
              </w:rPr>
            </w:pPr>
            <w:r w:rsidRPr="00F92667">
              <w:rPr>
                <w:sz w:val="12"/>
                <w:szCs w:val="12"/>
              </w:rPr>
              <w:t>2029</w:t>
            </w:r>
          </w:p>
        </w:tc>
        <w:tc>
          <w:tcPr>
            <w:tcW w:w="217" w:type="pct"/>
            <w:gridSpan w:val="2"/>
            <w:shd w:val="clear" w:color="auto" w:fill="auto"/>
            <w:tcMar>
              <w:left w:w="17" w:type="dxa"/>
              <w:right w:w="17" w:type="dxa"/>
            </w:tcMar>
            <w:vAlign w:val="center"/>
          </w:tcPr>
          <w:p w14:paraId="489AD762" w14:textId="77777777" w:rsidR="001C56BD" w:rsidRPr="00F92667" w:rsidRDefault="001C56BD" w:rsidP="008A5C11">
            <w:pPr>
              <w:jc w:val="center"/>
              <w:rPr>
                <w:sz w:val="12"/>
                <w:szCs w:val="12"/>
              </w:rPr>
            </w:pPr>
            <w:r w:rsidRPr="00F92667">
              <w:rPr>
                <w:sz w:val="12"/>
                <w:szCs w:val="12"/>
              </w:rPr>
              <w:t>56470,639</w:t>
            </w:r>
          </w:p>
        </w:tc>
        <w:tc>
          <w:tcPr>
            <w:tcW w:w="177" w:type="pct"/>
            <w:gridSpan w:val="2"/>
            <w:shd w:val="clear" w:color="auto" w:fill="auto"/>
            <w:tcMar>
              <w:left w:w="17" w:type="dxa"/>
              <w:right w:w="17" w:type="dxa"/>
            </w:tcMar>
            <w:vAlign w:val="center"/>
          </w:tcPr>
          <w:p w14:paraId="7745A0D7" w14:textId="77777777" w:rsidR="001C56BD" w:rsidRPr="00F92667" w:rsidRDefault="001C56BD" w:rsidP="008A5C11">
            <w:pPr>
              <w:jc w:val="center"/>
              <w:rPr>
                <w:sz w:val="12"/>
                <w:szCs w:val="12"/>
              </w:rPr>
            </w:pPr>
            <w:r w:rsidRPr="00F92667">
              <w:rPr>
                <w:sz w:val="12"/>
                <w:szCs w:val="12"/>
              </w:rPr>
              <w:t>0,000</w:t>
            </w:r>
          </w:p>
        </w:tc>
        <w:tc>
          <w:tcPr>
            <w:tcW w:w="212" w:type="pct"/>
            <w:shd w:val="clear" w:color="auto" w:fill="auto"/>
            <w:tcMar>
              <w:left w:w="17" w:type="dxa"/>
              <w:right w:w="17" w:type="dxa"/>
            </w:tcMar>
            <w:vAlign w:val="center"/>
          </w:tcPr>
          <w:p w14:paraId="45385AEE" w14:textId="77777777" w:rsidR="001C56BD" w:rsidRPr="00F92667" w:rsidRDefault="001C56BD" w:rsidP="008A5C11">
            <w:pPr>
              <w:jc w:val="center"/>
              <w:rPr>
                <w:sz w:val="12"/>
                <w:szCs w:val="12"/>
              </w:rPr>
            </w:pPr>
            <w:r w:rsidRPr="00F92667">
              <w:rPr>
                <w:sz w:val="12"/>
                <w:szCs w:val="12"/>
              </w:rPr>
              <w:t>0,000</w:t>
            </w:r>
          </w:p>
        </w:tc>
        <w:tc>
          <w:tcPr>
            <w:tcW w:w="218" w:type="pct"/>
            <w:gridSpan w:val="2"/>
            <w:shd w:val="clear" w:color="auto" w:fill="auto"/>
            <w:tcMar>
              <w:left w:w="17" w:type="dxa"/>
              <w:right w:w="17" w:type="dxa"/>
            </w:tcMar>
            <w:vAlign w:val="center"/>
          </w:tcPr>
          <w:p w14:paraId="1E053BFF"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49DB6FD1" w14:textId="77777777" w:rsidR="001C56BD" w:rsidRPr="00F92667" w:rsidRDefault="001C56BD" w:rsidP="008A5C11">
            <w:pPr>
              <w:jc w:val="center"/>
              <w:rPr>
                <w:sz w:val="12"/>
                <w:szCs w:val="12"/>
              </w:rPr>
            </w:pPr>
            <w:r w:rsidRPr="00F92667">
              <w:rPr>
                <w:sz w:val="12"/>
                <w:szCs w:val="12"/>
              </w:rPr>
              <w:t>13811,695</w:t>
            </w:r>
          </w:p>
        </w:tc>
        <w:tc>
          <w:tcPr>
            <w:tcW w:w="206" w:type="pct"/>
            <w:gridSpan w:val="2"/>
            <w:shd w:val="clear" w:color="auto" w:fill="auto"/>
            <w:tcMar>
              <w:left w:w="17" w:type="dxa"/>
              <w:right w:w="17" w:type="dxa"/>
            </w:tcMar>
            <w:vAlign w:val="center"/>
          </w:tcPr>
          <w:p w14:paraId="025D7806" w14:textId="77777777" w:rsidR="001C56BD" w:rsidRPr="00F92667" w:rsidRDefault="001C56BD" w:rsidP="008A5C11">
            <w:pPr>
              <w:jc w:val="center"/>
              <w:rPr>
                <w:sz w:val="12"/>
                <w:szCs w:val="12"/>
              </w:rPr>
            </w:pPr>
            <w:r w:rsidRPr="00F92667">
              <w:rPr>
                <w:sz w:val="12"/>
                <w:szCs w:val="12"/>
              </w:rPr>
              <w:t>6267,821</w:t>
            </w:r>
          </w:p>
        </w:tc>
        <w:tc>
          <w:tcPr>
            <w:tcW w:w="217" w:type="pct"/>
            <w:gridSpan w:val="2"/>
            <w:shd w:val="clear" w:color="auto" w:fill="auto"/>
            <w:tcMar>
              <w:left w:w="17" w:type="dxa"/>
              <w:right w:w="17" w:type="dxa"/>
            </w:tcMar>
            <w:vAlign w:val="center"/>
          </w:tcPr>
          <w:p w14:paraId="56D24283" w14:textId="77777777" w:rsidR="001C56BD" w:rsidRPr="00F92667" w:rsidRDefault="001C56BD" w:rsidP="008A5C11">
            <w:pPr>
              <w:jc w:val="center"/>
              <w:rPr>
                <w:sz w:val="12"/>
                <w:szCs w:val="12"/>
              </w:rPr>
            </w:pPr>
            <w:r w:rsidRPr="00F92667">
              <w:rPr>
                <w:sz w:val="12"/>
                <w:szCs w:val="12"/>
              </w:rPr>
              <w:t>0,000</w:t>
            </w:r>
          </w:p>
        </w:tc>
        <w:tc>
          <w:tcPr>
            <w:tcW w:w="214" w:type="pct"/>
            <w:gridSpan w:val="2"/>
            <w:shd w:val="clear" w:color="auto" w:fill="auto"/>
            <w:tcMar>
              <w:left w:w="17" w:type="dxa"/>
              <w:right w:w="17" w:type="dxa"/>
            </w:tcMar>
            <w:vAlign w:val="center"/>
          </w:tcPr>
          <w:p w14:paraId="5B4E8E9B"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6FC1BA2E"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761069CC" w14:textId="77777777" w:rsidR="001C56BD" w:rsidRPr="00F92667" w:rsidRDefault="001C56BD" w:rsidP="008A5C11">
            <w:pPr>
              <w:jc w:val="center"/>
              <w:rPr>
                <w:sz w:val="12"/>
                <w:szCs w:val="12"/>
              </w:rPr>
            </w:pPr>
            <w:r w:rsidRPr="00F92667">
              <w:rPr>
                <w:sz w:val="12"/>
                <w:szCs w:val="12"/>
              </w:rPr>
              <w:t>36391,123</w:t>
            </w:r>
          </w:p>
        </w:tc>
        <w:tc>
          <w:tcPr>
            <w:tcW w:w="214" w:type="pct"/>
            <w:gridSpan w:val="2"/>
            <w:shd w:val="clear" w:color="auto" w:fill="auto"/>
            <w:tcMar>
              <w:left w:w="17" w:type="dxa"/>
              <w:right w:w="17" w:type="dxa"/>
            </w:tcMar>
            <w:vAlign w:val="center"/>
          </w:tcPr>
          <w:p w14:paraId="6EB7B74F" w14:textId="77777777" w:rsidR="001C56BD" w:rsidRPr="00F92667" w:rsidRDefault="001C56BD" w:rsidP="008A5C11">
            <w:pPr>
              <w:jc w:val="center"/>
              <w:rPr>
                <w:sz w:val="12"/>
                <w:szCs w:val="12"/>
              </w:rPr>
            </w:pPr>
            <w:r w:rsidRPr="00F92667">
              <w:rPr>
                <w:sz w:val="12"/>
                <w:szCs w:val="12"/>
              </w:rPr>
              <w:t>0,000</w:t>
            </w:r>
          </w:p>
        </w:tc>
        <w:tc>
          <w:tcPr>
            <w:tcW w:w="247" w:type="pct"/>
            <w:gridSpan w:val="2"/>
            <w:shd w:val="clear" w:color="auto" w:fill="auto"/>
            <w:tcMar>
              <w:left w:w="17" w:type="dxa"/>
              <w:right w:w="17" w:type="dxa"/>
            </w:tcMar>
            <w:vAlign w:val="center"/>
          </w:tcPr>
          <w:p w14:paraId="190049D0" w14:textId="77777777" w:rsidR="001C56BD" w:rsidRPr="00F92667" w:rsidRDefault="001C56BD" w:rsidP="008A5C11">
            <w:pPr>
              <w:jc w:val="center"/>
              <w:rPr>
                <w:sz w:val="12"/>
                <w:szCs w:val="12"/>
              </w:rPr>
            </w:pPr>
            <w:r w:rsidRPr="00F92667">
              <w:rPr>
                <w:sz w:val="12"/>
                <w:szCs w:val="12"/>
              </w:rPr>
              <w:t>0,000</w:t>
            </w:r>
          </w:p>
        </w:tc>
        <w:tc>
          <w:tcPr>
            <w:tcW w:w="173" w:type="pct"/>
            <w:shd w:val="clear" w:color="auto" w:fill="auto"/>
            <w:tcMar>
              <w:left w:w="17" w:type="dxa"/>
              <w:right w:w="17" w:type="dxa"/>
            </w:tcMar>
            <w:vAlign w:val="center"/>
          </w:tcPr>
          <w:p w14:paraId="3B1C6AA2" w14:textId="77777777" w:rsidR="001C56BD" w:rsidRPr="00F92667" w:rsidRDefault="001C56BD" w:rsidP="008A5C11">
            <w:pPr>
              <w:jc w:val="center"/>
              <w:rPr>
                <w:sz w:val="12"/>
                <w:szCs w:val="12"/>
              </w:rPr>
            </w:pPr>
            <w:r w:rsidRPr="00F92667">
              <w:rPr>
                <w:sz w:val="12"/>
                <w:szCs w:val="12"/>
              </w:rPr>
              <w:t>0,000</w:t>
            </w:r>
          </w:p>
        </w:tc>
        <w:tc>
          <w:tcPr>
            <w:tcW w:w="169" w:type="pct"/>
            <w:shd w:val="clear" w:color="auto" w:fill="auto"/>
            <w:tcMar>
              <w:left w:w="17" w:type="dxa"/>
              <w:right w:w="17" w:type="dxa"/>
            </w:tcMar>
            <w:vAlign w:val="center"/>
          </w:tcPr>
          <w:p w14:paraId="4C3399EC" w14:textId="77777777" w:rsidR="001C56BD" w:rsidRPr="00F92667" w:rsidRDefault="001C56BD" w:rsidP="008A5C11">
            <w:pPr>
              <w:jc w:val="center"/>
              <w:rPr>
                <w:sz w:val="12"/>
                <w:szCs w:val="12"/>
              </w:rPr>
            </w:pPr>
            <w:r w:rsidRPr="00F92667">
              <w:rPr>
                <w:sz w:val="12"/>
                <w:szCs w:val="12"/>
              </w:rPr>
              <w:t>0,000</w:t>
            </w:r>
          </w:p>
        </w:tc>
      </w:tr>
      <w:tr w:rsidR="001C56BD" w:rsidRPr="00F92667" w14:paraId="378CF816" w14:textId="77777777" w:rsidTr="008A5C11">
        <w:trPr>
          <w:gridBefore w:val="1"/>
          <w:wBefore w:w="3" w:type="pct"/>
          <w:trHeight w:val="552"/>
        </w:trPr>
        <w:tc>
          <w:tcPr>
            <w:tcW w:w="129" w:type="pct"/>
            <w:shd w:val="clear" w:color="auto" w:fill="auto"/>
            <w:tcMar>
              <w:left w:w="17" w:type="dxa"/>
              <w:right w:w="17" w:type="dxa"/>
            </w:tcMar>
            <w:vAlign w:val="center"/>
          </w:tcPr>
          <w:p w14:paraId="3A5C91A4" w14:textId="77777777" w:rsidR="001C56BD" w:rsidRPr="00F92667" w:rsidRDefault="001C56BD" w:rsidP="008A5C11">
            <w:pPr>
              <w:jc w:val="center"/>
              <w:rPr>
                <w:bCs/>
                <w:sz w:val="12"/>
                <w:szCs w:val="12"/>
              </w:rPr>
            </w:pPr>
            <w:r w:rsidRPr="00F92667">
              <w:rPr>
                <w:bCs/>
                <w:sz w:val="12"/>
                <w:szCs w:val="12"/>
              </w:rPr>
              <w:t>1</w:t>
            </w:r>
          </w:p>
        </w:tc>
        <w:tc>
          <w:tcPr>
            <w:tcW w:w="305" w:type="pct"/>
            <w:shd w:val="clear" w:color="auto" w:fill="auto"/>
            <w:tcMar>
              <w:left w:w="17" w:type="dxa"/>
              <w:right w:w="17" w:type="dxa"/>
            </w:tcMar>
            <w:vAlign w:val="center"/>
          </w:tcPr>
          <w:p w14:paraId="0C4C0956" w14:textId="77777777" w:rsidR="001C56BD" w:rsidRPr="00F92667" w:rsidRDefault="001C56BD" w:rsidP="008A5C11">
            <w:pPr>
              <w:jc w:val="center"/>
              <w:rPr>
                <w:bCs/>
                <w:sz w:val="12"/>
                <w:szCs w:val="12"/>
              </w:rPr>
            </w:pPr>
            <w:r w:rsidRPr="00F92667">
              <w:rPr>
                <w:bCs/>
                <w:sz w:val="12"/>
                <w:szCs w:val="12"/>
              </w:rPr>
              <w:t>2</w:t>
            </w:r>
          </w:p>
        </w:tc>
        <w:tc>
          <w:tcPr>
            <w:tcW w:w="304" w:type="pct"/>
            <w:shd w:val="clear" w:color="auto" w:fill="auto"/>
            <w:tcMar>
              <w:left w:w="17" w:type="dxa"/>
              <w:right w:w="17" w:type="dxa"/>
            </w:tcMar>
            <w:vAlign w:val="center"/>
          </w:tcPr>
          <w:p w14:paraId="5C0EEA07" w14:textId="77777777" w:rsidR="001C56BD" w:rsidRPr="00F92667" w:rsidRDefault="001C56BD" w:rsidP="008A5C11">
            <w:pPr>
              <w:jc w:val="center"/>
              <w:rPr>
                <w:bCs/>
                <w:sz w:val="12"/>
                <w:szCs w:val="12"/>
              </w:rPr>
            </w:pPr>
            <w:r w:rsidRPr="00F92667">
              <w:rPr>
                <w:bCs/>
                <w:sz w:val="12"/>
                <w:szCs w:val="12"/>
              </w:rPr>
              <w:t>3</w:t>
            </w:r>
          </w:p>
        </w:tc>
        <w:tc>
          <w:tcPr>
            <w:tcW w:w="258" w:type="pct"/>
            <w:shd w:val="clear" w:color="auto" w:fill="auto"/>
            <w:tcMar>
              <w:left w:w="17" w:type="dxa"/>
              <w:right w:w="17" w:type="dxa"/>
            </w:tcMar>
            <w:vAlign w:val="center"/>
          </w:tcPr>
          <w:p w14:paraId="4334FAD1" w14:textId="77777777" w:rsidR="001C56BD" w:rsidRPr="00F92667" w:rsidRDefault="001C56BD" w:rsidP="008A5C11">
            <w:pPr>
              <w:jc w:val="center"/>
              <w:rPr>
                <w:bCs/>
                <w:sz w:val="12"/>
                <w:szCs w:val="12"/>
              </w:rPr>
            </w:pPr>
            <w:r w:rsidRPr="00F92667">
              <w:rPr>
                <w:bCs/>
                <w:sz w:val="12"/>
                <w:szCs w:val="12"/>
              </w:rPr>
              <w:t>4</w:t>
            </w:r>
          </w:p>
        </w:tc>
        <w:tc>
          <w:tcPr>
            <w:tcW w:w="294" w:type="pct"/>
            <w:shd w:val="clear" w:color="auto" w:fill="auto"/>
            <w:tcMar>
              <w:left w:w="17" w:type="dxa"/>
              <w:right w:w="17" w:type="dxa"/>
            </w:tcMar>
            <w:vAlign w:val="center"/>
          </w:tcPr>
          <w:p w14:paraId="6286E975" w14:textId="77777777" w:rsidR="001C56BD" w:rsidRPr="00F92667" w:rsidRDefault="001C56BD" w:rsidP="008A5C11">
            <w:pPr>
              <w:jc w:val="center"/>
              <w:rPr>
                <w:bCs/>
                <w:sz w:val="12"/>
                <w:szCs w:val="12"/>
              </w:rPr>
            </w:pPr>
            <w:r w:rsidRPr="00F92667">
              <w:rPr>
                <w:bCs/>
                <w:sz w:val="12"/>
                <w:szCs w:val="12"/>
              </w:rPr>
              <w:t>5</w:t>
            </w:r>
          </w:p>
        </w:tc>
        <w:tc>
          <w:tcPr>
            <w:tcW w:w="129" w:type="pct"/>
            <w:shd w:val="clear" w:color="auto" w:fill="auto"/>
            <w:tcMar>
              <w:left w:w="17" w:type="dxa"/>
              <w:right w:w="17" w:type="dxa"/>
            </w:tcMar>
            <w:vAlign w:val="center"/>
          </w:tcPr>
          <w:p w14:paraId="6CB71CEB" w14:textId="77777777" w:rsidR="001C56BD" w:rsidRPr="00F92667" w:rsidRDefault="001C56BD" w:rsidP="008A5C11">
            <w:pPr>
              <w:jc w:val="center"/>
              <w:rPr>
                <w:bCs/>
                <w:sz w:val="12"/>
                <w:szCs w:val="12"/>
              </w:rPr>
            </w:pPr>
            <w:r w:rsidRPr="00F92667">
              <w:rPr>
                <w:bCs/>
                <w:sz w:val="12"/>
                <w:szCs w:val="12"/>
              </w:rPr>
              <w:t>6</w:t>
            </w:r>
          </w:p>
        </w:tc>
        <w:tc>
          <w:tcPr>
            <w:tcW w:w="184" w:type="pct"/>
            <w:shd w:val="clear" w:color="auto" w:fill="auto"/>
            <w:tcMar>
              <w:left w:w="17" w:type="dxa"/>
              <w:right w:w="17" w:type="dxa"/>
            </w:tcMar>
            <w:vAlign w:val="center"/>
          </w:tcPr>
          <w:p w14:paraId="47DD6765" w14:textId="77777777" w:rsidR="001C56BD" w:rsidRPr="00F92667" w:rsidRDefault="001C56BD" w:rsidP="008A5C11">
            <w:pPr>
              <w:jc w:val="center"/>
              <w:rPr>
                <w:bCs/>
                <w:sz w:val="12"/>
                <w:szCs w:val="12"/>
              </w:rPr>
            </w:pPr>
            <w:r w:rsidRPr="00F92667">
              <w:rPr>
                <w:bCs/>
                <w:sz w:val="12"/>
                <w:szCs w:val="12"/>
              </w:rPr>
              <w:t>7</w:t>
            </w:r>
          </w:p>
        </w:tc>
        <w:tc>
          <w:tcPr>
            <w:tcW w:w="219" w:type="pct"/>
            <w:shd w:val="clear" w:color="auto" w:fill="auto"/>
            <w:tcMar>
              <w:left w:w="17" w:type="dxa"/>
              <w:right w:w="17" w:type="dxa"/>
            </w:tcMar>
            <w:vAlign w:val="center"/>
          </w:tcPr>
          <w:p w14:paraId="13D469A2" w14:textId="77777777" w:rsidR="001C56BD" w:rsidRPr="00F92667" w:rsidRDefault="001C56BD" w:rsidP="008A5C11">
            <w:pPr>
              <w:jc w:val="center"/>
              <w:rPr>
                <w:bCs/>
                <w:sz w:val="12"/>
                <w:szCs w:val="12"/>
              </w:rPr>
            </w:pPr>
            <w:r w:rsidRPr="00F92667">
              <w:rPr>
                <w:bCs/>
                <w:sz w:val="12"/>
                <w:szCs w:val="12"/>
              </w:rPr>
              <w:t>8</w:t>
            </w:r>
          </w:p>
        </w:tc>
        <w:tc>
          <w:tcPr>
            <w:tcW w:w="130" w:type="pct"/>
            <w:shd w:val="clear" w:color="auto" w:fill="auto"/>
            <w:tcMar>
              <w:left w:w="17" w:type="dxa"/>
              <w:right w:w="17" w:type="dxa"/>
            </w:tcMar>
            <w:vAlign w:val="center"/>
          </w:tcPr>
          <w:p w14:paraId="56E51A75" w14:textId="77777777" w:rsidR="001C56BD" w:rsidRPr="00F92667" w:rsidRDefault="001C56BD" w:rsidP="008A5C11">
            <w:pPr>
              <w:jc w:val="center"/>
              <w:rPr>
                <w:bCs/>
                <w:sz w:val="12"/>
                <w:szCs w:val="12"/>
              </w:rPr>
            </w:pPr>
            <w:r w:rsidRPr="00F92667">
              <w:rPr>
                <w:bCs/>
                <w:sz w:val="12"/>
                <w:szCs w:val="12"/>
              </w:rPr>
              <w:t>9</w:t>
            </w:r>
          </w:p>
        </w:tc>
        <w:tc>
          <w:tcPr>
            <w:tcW w:w="130" w:type="pct"/>
            <w:shd w:val="clear" w:color="auto" w:fill="auto"/>
            <w:tcMar>
              <w:left w:w="17" w:type="dxa"/>
              <w:right w:w="17" w:type="dxa"/>
            </w:tcMar>
            <w:vAlign w:val="center"/>
          </w:tcPr>
          <w:p w14:paraId="2E34D398" w14:textId="77777777" w:rsidR="001C56BD" w:rsidRPr="00F92667" w:rsidRDefault="001C56BD" w:rsidP="008A5C11">
            <w:pPr>
              <w:jc w:val="center"/>
              <w:rPr>
                <w:bCs/>
                <w:sz w:val="12"/>
                <w:szCs w:val="12"/>
              </w:rPr>
            </w:pPr>
            <w:r w:rsidRPr="00F92667">
              <w:rPr>
                <w:bCs/>
                <w:sz w:val="12"/>
                <w:szCs w:val="12"/>
              </w:rPr>
              <w:t>10</w:t>
            </w:r>
          </w:p>
        </w:tc>
        <w:tc>
          <w:tcPr>
            <w:tcW w:w="217" w:type="pct"/>
            <w:gridSpan w:val="2"/>
            <w:shd w:val="clear" w:color="auto" w:fill="auto"/>
            <w:tcMar>
              <w:left w:w="17" w:type="dxa"/>
              <w:right w:w="17" w:type="dxa"/>
            </w:tcMar>
            <w:vAlign w:val="center"/>
          </w:tcPr>
          <w:p w14:paraId="3BA646EF" w14:textId="77777777" w:rsidR="001C56BD" w:rsidRPr="00F92667" w:rsidRDefault="001C56BD" w:rsidP="008A5C11">
            <w:pPr>
              <w:jc w:val="center"/>
              <w:rPr>
                <w:bCs/>
                <w:sz w:val="12"/>
                <w:szCs w:val="12"/>
              </w:rPr>
            </w:pPr>
            <w:r w:rsidRPr="00F92667">
              <w:rPr>
                <w:bCs/>
                <w:sz w:val="12"/>
                <w:szCs w:val="12"/>
              </w:rPr>
              <w:t>11</w:t>
            </w:r>
          </w:p>
        </w:tc>
        <w:tc>
          <w:tcPr>
            <w:tcW w:w="177" w:type="pct"/>
            <w:gridSpan w:val="2"/>
            <w:shd w:val="clear" w:color="auto" w:fill="auto"/>
            <w:tcMar>
              <w:left w:w="17" w:type="dxa"/>
              <w:right w:w="17" w:type="dxa"/>
            </w:tcMar>
            <w:vAlign w:val="center"/>
          </w:tcPr>
          <w:p w14:paraId="74FC1B0F" w14:textId="77777777" w:rsidR="001C56BD" w:rsidRPr="00F92667" w:rsidRDefault="001C56BD" w:rsidP="008A5C11">
            <w:pPr>
              <w:jc w:val="center"/>
              <w:rPr>
                <w:bCs/>
                <w:sz w:val="12"/>
                <w:szCs w:val="12"/>
              </w:rPr>
            </w:pPr>
            <w:r w:rsidRPr="00F92667">
              <w:rPr>
                <w:bCs/>
                <w:sz w:val="12"/>
                <w:szCs w:val="12"/>
              </w:rPr>
              <w:t>12</w:t>
            </w:r>
          </w:p>
        </w:tc>
        <w:tc>
          <w:tcPr>
            <w:tcW w:w="212" w:type="pct"/>
            <w:shd w:val="clear" w:color="auto" w:fill="auto"/>
            <w:tcMar>
              <w:left w:w="17" w:type="dxa"/>
              <w:right w:w="17" w:type="dxa"/>
            </w:tcMar>
            <w:vAlign w:val="center"/>
          </w:tcPr>
          <w:p w14:paraId="06A6FF4C" w14:textId="77777777" w:rsidR="001C56BD" w:rsidRPr="00F92667" w:rsidRDefault="001C56BD" w:rsidP="008A5C11">
            <w:pPr>
              <w:jc w:val="center"/>
              <w:rPr>
                <w:bCs/>
                <w:sz w:val="12"/>
                <w:szCs w:val="12"/>
              </w:rPr>
            </w:pPr>
            <w:r w:rsidRPr="00F92667">
              <w:rPr>
                <w:bCs/>
                <w:sz w:val="12"/>
                <w:szCs w:val="12"/>
              </w:rPr>
              <w:t>13</w:t>
            </w:r>
          </w:p>
        </w:tc>
        <w:tc>
          <w:tcPr>
            <w:tcW w:w="218" w:type="pct"/>
            <w:gridSpan w:val="2"/>
            <w:shd w:val="clear" w:color="auto" w:fill="auto"/>
            <w:tcMar>
              <w:left w:w="17" w:type="dxa"/>
              <w:right w:w="17" w:type="dxa"/>
            </w:tcMar>
            <w:vAlign w:val="center"/>
          </w:tcPr>
          <w:p w14:paraId="4F9CA900" w14:textId="77777777" w:rsidR="001C56BD" w:rsidRPr="00F92667" w:rsidRDefault="001C56BD" w:rsidP="008A5C11">
            <w:pPr>
              <w:jc w:val="center"/>
              <w:rPr>
                <w:bCs/>
                <w:sz w:val="12"/>
                <w:szCs w:val="12"/>
              </w:rPr>
            </w:pPr>
            <w:r w:rsidRPr="00F92667">
              <w:rPr>
                <w:bCs/>
                <w:sz w:val="12"/>
                <w:szCs w:val="12"/>
              </w:rPr>
              <w:t>14</w:t>
            </w:r>
          </w:p>
        </w:tc>
        <w:tc>
          <w:tcPr>
            <w:tcW w:w="217" w:type="pct"/>
            <w:gridSpan w:val="2"/>
            <w:shd w:val="clear" w:color="auto" w:fill="auto"/>
            <w:tcMar>
              <w:left w:w="17" w:type="dxa"/>
              <w:right w:w="17" w:type="dxa"/>
            </w:tcMar>
            <w:vAlign w:val="center"/>
          </w:tcPr>
          <w:p w14:paraId="480C4D26" w14:textId="77777777" w:rsidR="001C56BD" w:rsidRPr="00F92667" w:rsidRDefault="001C56BD" w:rsidP="008A5C11">
            <w:pPr>
              <w:jc w:val="center"/>
              <w:rPr>
                <w:bCs/>
                <w:sz w:val="12"/>
                <w:szCs w:val="12"/>
              </w:rPr>
            </w:pPr>
            <w:r w:rsidRPr="00F92667">
              <w:rPr>
                <w:bCs/>
                <w:sz w:val="12"/>
                <w:szCs w:val="12"/>
              </w:rPr>
              <w:t>15</w:t>
            </w:r>
          </w:p>
        </w:tc>
        <w:tc>
          <w:tcPr>
            <w:tcW w:w="206" w:type="pct"/>
            <w:gridSpan w:val="2"/>
            <w:tcMar>
              <w:left w:w="17" w:type="dxa"/>
              <w:right w:w="17" w:type="dxa"/>
            </w:tcMar>
            <w:vAlign w:val="center"/>
          </w:tcPr>
          <w:p w14:paraId="1AF89714" w14:textId="77777777" w:rsidR="001C56BD" w:rsidRPr="00F92667" w:rsidRDefault="001C56BD" w:rsidP="008A5C11">
            <w:pPr>
              <w:jc w:val="center"/>
              <w:rPr>
                <w:bCs/>
                <w:sz w:val="12"/>
                <w:szCs w:val="12"/>
              </w:rPr>
            </w:pPr>
            <w:r w:rsidRPr="00F92667">
              <w:rPr>
                <w:bCs/>
                <w:sz w:val="12"/>
                <w:szCs w:val="12"/>
              </w:rPr>
              <w:t>16</w:t>
            </w:r>
          </w:p>
        </w:tc>
        <w:tc>
          <w:tcPr>
            <w:tcW w:w="217" w:type="pct"/>
            <w:gridSpan w:val="2"/>
            <w:tcMar>
              <w:left w:w="17" w:type="dxa"/>
              <w:right w:w="17" w:type="dxa"/>
            </w:tcMar>
            <w:vAlign w:val="center"/>
          </w:tcPr>
          <w:p w14:paraId="4DC89FCC" w14:textId="77777777" w:rsidR="001C56BD" w:rsidRPr="00F92667" w:rsidRDefault="001C56BD" w:rsidP="008A5C11">
            <w:pPr>
              <w:jc w:val="center"/>
              <w:rPr>
                <w:bCs/>
                <w:sz w:val="12"/>
                <w:szCs w:val="12"/>
              </w:rPr>
            </w:pPr>
            <w:r w:rsidRPr="00F92667">
              <w:rPr>
                <w:bCs/>
                <w:sz w:val="12"/>
                <w:szCs w:val="12"/>
              </w:rPr>
              <w:t>17</w:t>
            </w:r>
          </w:p>
        </w:tc>
        <w:tc>
          <w:tcPr>
            <w:tcW w:w="214" w:type="pct"/>
            <w:gridSpan w:val="2"/>
            <w:tcMar>
              <w:left w:w="17" w:type="dxa"/>
              <w:right w:w="17" w:type="dxa"/>
            </w:tcMar>
            <w:vAlign w:val="center"/>
          </w:tcPr>
          <w:p w14:paraId="24A74488" w14:textId="77777777" w:rsidR="001C56BD" w:rsidRPr="00F92667" w:rsidRDefault="001C56BD" w:rsidP="008A5C11">
            <w:pPr>
              <w:jc w:val="center"/>
              <w:rPr>
                <w:bCs/>
                <w:sz w:val="12"/>
                <w:szCs w:val="12"/>
              </w:rPr>
            </w:pPr>
            <w:r w:rsidRPr="00F92667">
              <w:rPr>
                <w:bCs/>
                <w:sz w:val="12"/>
                <w:szCs w:val="12"/>
              </w:rPr>
              <w:t>18</w:t>
            </w:r>
          </w:p>
        </w:tc>
        <w:tc>
          <w:tcPr>
            <w:tcW w:w="217" w:type="pct"/>
            <w:gridSpan w:val="2"/>
            <w:tcMar>
              <w:left w:w="17" w:type="dxa"/>
              <w:right w:w="17" w:type="dxa"/>
            </w:tcMar>
            <w:vAlign w:val="center"/>
          </w:tcPr>
          <w:p w14:paraId="3FFCCCB4" w14:textId="77777777" w:rsidR="001C56BD" w:rsidRPr="00F92667" w:rsidRDefault="001C56BD" w:rsidP="008A5C11">
            <w:pPr>
              <w:jc w:val="center"/>
              <w:rPr>
                <w:bCs/>
                <w:sz w:val="12"/>
                <w:szCs w:val="12"/>
              </w:rPr>
            </w:pPr>
            <w:r w:rsidRPr="00F92667">
              <w:rPr>
                <w:bCs/>
                <w:sz w:val="12"/>
                <w:szCs w:val="12"/>
              </w:rPr>
              <w:t>19</w:t>
            </w:r>
          </w:p>
        </w:tc>
        <w:tc>
          <w:tcPr>
            <w:tcW w:w="217" w:type="pct"/>
            <w:gridSpan w:val="2"/>
            <w:tcMar>
              <w:left w:w="17" w:type="dxa"/>
              <w:right w:w="17" w:type="dxa"/>
            </w:tcMar>
            <w:vAlign w:val="center"/>
          </w:tcPr>
          <w:p w14:paraId="6045F12D" w14:textId="77777777" w:rsidR="001C56BD" w:rsidRPr="00F92667" w:rsidRDefault="001C56BD" w:rsidP="008A5C11">
            <w:pPr>
              <w:jc w:val="center"/>
              <w:rPr>
                <w:bCs/>
                <w:sz w:val="12"/>
                <w:szCs w:val="12"/>
              </w:rPr>
            </w:pPr>
            <w:r w:rsidRPr="00F92667">
              <w:rPr>
                <w:bCs/>
                <w:sz w:val="12"/>
                <w:szCs w:val="12"/>
              </w:rPr>
              <w:t>20</w:t>
            </w:r>
          </w:p>
        </w:tc>
        <w:tc>
          <w:tcPr>
            <w:tcW w:w="214" w:type="pct"/>
            <w:gridSpan w:val="2"/>
            <w:tcMar>
              <w:left w:w="17" w:type="dxa"/>
              <w:right w:w="17" w:type="dxa"/>
            </w:tcMar>
            <w:vAlign w:val="center"/>
          </w:tcPr>
          <w:p w14:paraId="764238BD" w14:textId="77777777" w:rsidR="001C56BD" w:rsidRPr="00F92667" w:rsidRDefault="001C56BD" w:rsidP="008A5C11">
            <w:pPr>
              <w:jc w:val="center"/>
              <w:rPr>
                <w:bCs/>
                <w:sz w:val="12"/>
                <w:szCs w:val="12"/>
              </w:rPr>
            </w:pPr>
            <w:r w:rsidRPr="00F92667">
              <w:rPr>
                <w:bCs/>
                <w:sz w:val="12"/>
                <w:szCs w:val="12"/>
              </w:rPr>
              <w:t>21</w:t>
            </w:r>
          </w:p>
        </w:tc>
        <w:tc>
          <w:tcPr>
            <w:tcW w:w="247" w:type="pct"/>
            <w:gridSpan w:val="2"/>
            <w:tcMar>
              <w:left w:w="17" w:type="dxa"/>
              <w:right w:w="17" w:type="dxa"/>
            </w:tcMar>
            <w:vAlign w:val="center"/>
          </w:tcPr>
          <w:p w14:paraId="6587B25A" w14:textId="77777777" w:rsidR="001C56BD" w:rsidRPr="00F92667" w:rsidRDefault="001C56BD" w:rsidP="008A5C11">
            <w:pPr>
              <w:jc w:val="center"/>
              <w:rPr>
                <w:bCs/>
                <w:sz w:val="12"/>
                <w:szCs w:val="12"/>
              </w:rPr>
            </w:pPr>
            <w:r w:rsidRPr="00F92667">
              <w:rPr>
                <w:bCs/>
                <w:sz w:val="12"/>
                <w:szCs w:val="12"/>
              </w:rPr>
              <w:t>22</w:t>
            </w:r>
          </w:p>
        </w:tc>
        <w:tc>
          <w:tcPr>
            <w:tcW w:w="173" w:type="pct"/>
            <w:tcMar>
              <w:left w:w="17" w:type="dxa"/>
              <w:right w:w="17" w:type="dxa"/>
            </w:tcMar>
            <w:vAlign w:val="center"/>
          </w:tcPr>
          <w:p w14:paraId="21D2251A" w14:textId="77777777" w:rsidR="001C56BD" w:rsidRPr="00F92667" w:rsidRDefault="001C56BD" w:rsidP="008A5C11">
            <w:pPr>
              <w:jc w:val="center"/>
              <w:rPr>
                <w:bCs/>
                <w:sz w:val="12"/>
                <w:szCs w:val="12"/>
              </w:rPr>
            </w:pPr>
            <w:r w:rsidRPr="00F92667">
              <w:rPr>
                <w:bCs/>
                <w:sz w:val="12"/>
                <w:szCs w:val="12"/>
              </w:rPr>
              <w:t>23</w:t>
            </w:r>
          </w:p>
        </w:tc>
        <w:tc>
          <w:tcPr>
            <w:tcW w:w="169" w:type="pct"/>
            <w:tcMar>
              <w:left w:w="17" w:type="dxa"/>
              <w:right w:w="17" w:type="dxa"/>
            </w:tcMar>
            <w:vAlign w:val="center"/>
          </w:tcPr>
          <w:p w14:paraId="15E61A55" w14:textId="77777777" w:rsidR="001C56BD" w:rsidRPr="00F92667" w:rsidRDefault="001C56BD" w:rsidP="008A5C11">
            <w:pPr>
              <w:jc w:val="center"/>
              <w:rPr>
                <w:bCs/>
                <w:sz w:val="12"/>
                <w:szCs w:val="12"/>
              </w:rPr>
            </w:pPr>
            <w:r w:rsidRPr="00F92667">
              <w:rPr>
                <w:bCs/>
                <w:sz w:val="12"/>
                <w:szCs w:val="12"/>
              </w:rPr>
              <w:t>24</w:t>
            </w:r>
          </w:p>
        </w:tc>
      </w:tr>
      <w:tr w:rsidR="001C56BD" w:rsidRPr="00F92667" w14:paraId="1308D216" w14:textId="77777777" w:rsidTr="008A5C11">
        <w:trPr>
          <w:gridBefore w:val="1"/>
          <w:wBefore w:w="3" w:type="pct"/>
          <w:trHeight w:val="897"/>
        </w:trPr>
        <w:tc>
          <w:tcPr>
            <w:tcW w:w="129" w:type="pct"/>
            <w:shd w:val="clear" w:color="auto" w:fill="auto"/>
            <w:tcMar>
              <w:left w:w="17" w:type="dxa"/>
              <w:right w:w="17" w:type="dxa"/>
            </w:tcMar>
            <w:vAlign w:val="center"/>
          </w:tcPr>
          <w:p w14:paraId="3616293A" w14:textId="77777777" w:rsidR="001C56BD" w:rsidRPr="00F92667" w:rsidRDefault="001C56BD" w:rsidP="008A5C11">
            <w:pPr>
              <w:jc w:val="center"/>
              <w:rPr>
                <w:sz w:val="12"/>
                <w:szCs w:val="12"/>
              </w:rPr>
            </w:pPr>
            <w:r w:rsidRPr="00F92667">
              <w:rPr>
                <w:sz w:val="12"/>
                <w:szCs w:val="12"/>
              </w:rPr>
              <w:t>3.1.14.</w:t>
            </w:r>
          </w:p>
        </w:tc>
        <w:tc>
          <w:tcPr>
            <w:tcW w:w="305" w:type="pct"/>
            <w:shd w:val="clear" w:color="auto" w:fill="auto"/>
            <w:tcMar>
              <w:left w:w="17" w:type="dxa"/>
              <w:right w:w="17" w:type="dxa"/>
            </w:tcMar>
            <w:vAlign w:val="center"/>
          </w:tcPr>
          <w:p w14:paraId="0B38699E" w14:textId="77777777" w:rsidR="001C56BD" w:rsidRPr="00F92667" w:rsidRDefault="001C56BD" w:rsidP="008A5C11">
            <w:pPr>
              <w:rPr>
                <w:sz w:val="12"/>
                <w:szCs w:val="12"/>
              </w:rPr>
            </w:pPr>
            <w:r w:rsidRPr="00F92667">
              <w:rPr>
                <w:sz w:val="12"/>
                <w:szCs w:val="12"/>
              </w:rPr>
              <w:t>Реконструкция тепловой сети с реестровым номером 776982</w:t>
            </w:r>
          </w:p>
        </w:tc>
        <w:tc>
          <w:tcPr>
            <w:tcW w:w="304" w:type="pct"/>
            <w:shd w:val="clear" w:color="000000" w:fill="FFFFFF"/>
            <w:tcMar>
              <w:left w:w="17" w:type="dxa"/>
              <w:right w:w="17" w:type="dxa"/>
            </w:tcMar>
            <w:vAlign w:val="center"/>
          </w:tcPr>
          <w:p w14:paraId="0E389A2F" w14:textId="77777777" w:rsidR="001C56BD" w:rsidRPr="00F92667" w:rsidRDefault="001C56BD" w:rsidP="008A5C11">
            <w:pPr>
              <w:jc w:val="center"/>
              <w:rPr>
                <w:sz w:val="12"/>
                <w:szCs w:val="12"/>
              </w:rPr>
            </w:pPr>
            <w:r w:rsidRPr="00F92667">
              <w:rPr>
                <w:color w:val="000000"/>
                <w:sz w:val="12"/>
                <w:szCs w:val="12"/>
              </w:rPr>
              <w:t>Повышение надежности услуг теплоснабжения, повышение энергетической эффективности</w:t>
            </w:r>
          </w:p>
        </w:tc>
        <w:tc>
          <w:tcPr>
            <w:tcW w:w="258" w:type="pct"/>
            <w:shd w:val="clear" w:color="auto" w:fill="auto"/>
            <w:tcMar>
              <w:left w:w="17" w:type="dxa"/>
              <w:right w:w="17" w:type="dxa"/>
            </w:tcMar>
            <w:vAlign w:val="center"/>
          </w:tcPr>
          <w:p w14:paraId="2C7FB100" w14:textId="77777777" w:rsidR="001C56BD" w:rsidRPr="00F92667" w:rsidRDefault="001C56BD" w:rsidP="008A5C11">
            <w:pPr>
              <w:jc w:val="center"/>
              <w:rPr>
                <w:sz w:val="12"/>
                <w:szCs w:val="12"/>
              </w:rPr>
            </w:pPr>
            <w:r w:rsidRPr="00F92667">
              <w:rPr>
                <w:sz w:val="12"/>
                <w:szCs w:val="12"/>
              </w:rPr>
              <w:t>Кемеровский городской округ, Ленинский район, 25 м северо-восточнее жилого дома №131 по прос. Ленина</w:t>
            </w:r>
          </w:p>
        </w:tc>
        <w:tc>
          <w:tcPr>
            <w:tcW w:w="294" w:type="pct"/>
            <w:shd w:val="clear" w:color="auto" w:fill="auto"/>
            <w:tcMar>
              <w:left w:w="17" w:type="dxa"/>
              <w:right w:w="17" w:type="dxa"/>
            </w:tcMar>
            <w:vAlign w:val="center"/>
          </w:tcPr>
          <w:p w14:paraId="39B6221F" w14:textId="77777777" w:rsidR="001C56BD" w:rsidRPr="00F92667" w:rsidRDefault="001C56BD" w:rsidP="008A5C11">
            <w:pPr>
              <w:jc w:val="center"/>
              <w:rPr>
                <w:sz w:val="12"/>
                <w:szCs w:val="12"/>
              </w:rPr>
            </w:pPr>
            <w:r w:rsidRPr="00F92667">
              <w:rPr>
                <w:color w:val="000000"/>
                <w:sz w:val="12"/>
                <w:szCs w:val="12"/>
              </w:rPr>
              <w:t>Технические характеристики</w:t>
            </w:r>
          </w:p>
        </w:tc>
        <w:tc>
          <w:tcPr>
            <w:tcW w:w="129" w:type="pct"/>
            <w:shd w:val="clear" w:color="auto" w:fill="auto"/>
            <w:tcMar>
              <w:left w:w="17" w:type="dxa"/>
              <w:right w:w="17" w:type="dxa"/>
            </w:tcMar>
            <w:vAlign w:val="center"/>
          </w:tcPr>
          <w:p w14:paraId="1B47BFED" w14:textId="77777777" w:rsidR="001C56BD" w:rsidRPr="00F92667" w:rsidRDefault="001C56BD" w:rsidP="008A5C11">
            <w:pPr>
              <w:jc w:val="center"/>
              <w:rPr>
                <w:color w:val="000000"/>
                <w:sz w:val="12"/>
                <w:szCs w:val="12"/>
              </w:rPr>
            </w:pPr>
          </w:p>
        </w:tc>
        <w:tc>
          <w:tcPr>
            <w:tcW w:w="184" w:type="pct"/>
            <w:shd w:val="clear" w:color="auto" w:fill="auto"/>
            <w:tcMar>
              <w:left w:w="17" w:type="dxa"/>
              <w:right w:w="17" w:type="dxa"/>
            </w:tcMar>
            <w:vAlign w:val="center"/>
          </w:tcPr>
          <w:p w14:paraId="2A9AB793" w14:textId="77777777" w:rsidR="001C56BD" w:rsidRPr="00F92667" w:rsidRDefault="001C56BD" w:rsidP="008A5C11">
            <w:pPr>
              <w:jc w:val="center"/>
              <w:rPr>
                <w:sz w:val="12"/>
                <w:szCs w:val="12"/>
              </w:rPr>
            </w:pPr>
            <w:r w:rsidRPr="00F92667">
              <w:rPr>
                <w:sz w:val="12"/>
                <w:szCs w:val="12"/>
              </w:rPr>
              <w:t xml:space="preserve">Канал-ж/б лотки (непроходной канал), опоры </w:t>
            </w:r>
            <w:proofErr w:type="gramStart"/>
            <w:r w:rsidRPr="00F92667">
              <w:rPr>
                <w:sz w:val="12"/>
                <w:szCs w:val="12"/>
              </w:rPr>
              <w:t>привар-ные</w:t>
            </w:r>
            <w:proofErr w:type="gramEnd"/>
            <w:r w:rsidRPr="00F92667">
              <w:rPr>
                <w:sz w:val="12"/>
                <w:szCs w:val="12"/>
              </w:rPr>
              <w:t xml:space="preserve">, запорная арматура - стальная клиновая, антикоррозийная защита-лак БТ, труба-сталь 20, изоляция - мин. маты   </w:t>
            </w:r>
          </w:p>
        </w:tc>
        <w:tc>
          <w:tcPr>
            <w:tcW w:w="219" w:type="pct"/>
            <w:shd w:val="clear" w:color="auto" w:fill="auto"/>
            <w:tcMar>
              <w:left w:w="17" w:type="dxa"/>
              <w:right w:w="17" w:type="dxa"/>
            </w:tcMar>
            <w:vAlign w:val="center"/>
          </w:tcPr>
          <w:p w14:paraId="0C813907" w14:textId="77777777" w:rsidR="001C56BD" w:rsidRPr="00F92667" w:rsidRDefault="001C56BD" w:rsidP="008A5C11">
            <w:pPr>
              <w:jc w:val="center"/>
              <w:rPr>
                <w:sz w:val="12"/>
                <w:szCs w:val="12"/>
              </w:rPr>
            </w:pPr>
            <w:r w:rsidRPr="00F92667">
              <w:rPr>
                <w:sz w:val="12"/>
                <w:szCs w:val="12"/>
              </w:rPr>
              <w:t xml:space="preserve">Канал-ж/б лотки (непроходной канал), опоры-хомутовые с диэлектрической прокладкой, запорная арматура - краны шаровые, антикоррозийная защита-мастика Вектор1025, 1214, труба-сталь 09Г2С, изоляция - маты прошивные, </w:t>
            </w:r>
            <w:proofErr w:type="gramStart"/>
            <w:r w:rsidRPr="00F92667">
              <w:rPr>
                <w:sz w:val="12"/>
                <w:szCs w:val="12"/>
              </w:rPr>
              <w:t>стеклоплас-тик</w:t>
            </w:r>
            <w:proofErr w:type="gramEnd"/>
            <w:r w:rsidRPr="00F92667">
              <w:rPr>
                <w:sz w:val="12"/>
                <w:szCs w:val="12"/>
              </w:rPr>
              <w:t xml:space="preserve">  </w:t>
            </w:r>
          </w:p>
        </w:tc>
        <w:tc>
          <w:tcPr>
            <w:tcW w:w="130" w:type="pct"/>
            <w:shd w:val="clear" w:color="auto" w:fill="auto"/>
            <w:tcMar>
              <w:left w:w="17" w:type="dxa"/>
              <w:right w:w="17" w:type="dxa"/>
            </w:tcMar>
            <w:vAlign w:val="center"/>
          </w:tcPr>
          <w:p w14:paraId="547584FA" w14:textId="77777777" w:rsidR="001C56BD" w:rsidRPr="00F92667" w:rsidRDefault="001C56BD" w:rsidP="008A5C11">
            <w:pPr>
              <w:jc w:val="center"/>
              <w:rPr>
                <w:sz w:val="12"/>
                <w:szCs w:val="12"/>
              </w:rPr>
            </w:pPr>
            <w:r w:rsidRPr="00F92667">
              <w:rPr>
                <w:sz w:val="12"/>
                <w:szCs w:val="12"/>
              </w:rPr>
              <w:t>2023</w:t>
            </w:r>
          </w:p>
        </w:tc>
        <w:tc>
          <w:tcPr>
            <w:tcW w:w="130" w:type="pct"/>
            <w:shd w:val="clear" w:color="auto" w:fill="auto"/>
            <w:tcMar>
              <w:left w:w="17" w:type="dxa"/>
              <w:right w:w="17" w:type="dxa"/>
            </w:tcMar>
            <w:vAlign w:val="center"/>
          </w:tcPr>
          <w:p w14:paraId="3B7B56F1" w14:textId="77777777" w:rsidR="001C56BD" w:rsidRPr="00F92667" w:rsidRDefault="001C56BD" w:rsidP="008A5C11">
            <w:pPr>
              <w:jc w:val="center"/>
              <w:rPr>
                <w:sz w:val="12"/>
                <w:szCs w:val="12"/>
              </w:rPr>
            </w:pPr>
            <w:r w:rsidRPr="00F92667">
              <w:rPr>
                <w:sz w:val="12"/>
                <w:szCs w:val="12"/>
              </w:rPr>
              <w:t>2023</w:t>
            </w:r>
          </w:p>
        </w:tc>
        <w:tc>
          <w:tcPr>
            <w:tcW w:w="217" w:type="pct"/>
            <w:gridSpan w:val="2"/>
            <w:shd w:val="clear" w:color="auto" w:fill="auto"/>
            <w:tcMar>
              <w:left w:w="17" w:type="dxa"/>
              <w:right w:w="17" w:type="dxa"/>
            </w:tcMar>
            <w:vAlign w:val="center"/>
          </w:tcPr>
          <w:p w14:paraId="05C33984" w14:textId="77777777" w:rsidR="001C56BD" w:rsidRPr="00F92667" w:rsidRDefault="001C56BD" w:rsidP="008A5C11">
            <w:pPr>
              <w:jc w:val="center"/>
              <w:rPr>
                <w:sz w:val="12"/>
                <w:szCs w:val="12"/>
              </w:rPr>
            </w:pPr>
            <w:r w:rsidRPr="00F92667">
              <w:rPr>
                <w:sz w:val="12"/>
                <w:szCs w:val="12"/>
              </w:rPr>
              <w:t>10383,826</w:t>
            </w:r>
          </w:p>
        </w:tc>
        <w:tc>
          <w:tcPr>
            <w:tcW w:w="177" w:type="pct"/>
            <w:gridSpan w:val="2"/>
            <w:shd w:val="clear" w:color="auto" w:fill="auto"/>
            <w:tcMar>
              <w:left w:w="17" w:type="dxa"/>
              <w:right w:w="17" w:type="dxa"/>
            </w:tcMar>
            <w:vAlign w:val="center"/>
          </w:tcPr>
          <w:p w14:paraId="2D8227E3" w14:textId="77777777" w:rsidR="001C56BD" w:rsidRPr="00F92667" w:rsidRDefault="001C56BD" w:rsidP="008A5C11">
            <w:pPr>
              <w:jc w:val="center"/>
              <w:rPr>
                <w:sz w:val="12"/>
                <w:szCs w:val="12"/>
              </w:rPr>
            </w:pPr>
            <w:r w:rsidRPr="00F92667">
              <w:rPr>
                <w:sz w:val="12"/>
                <w:szCs w:val="12"/>
              </w:rPr>
              <w:t>0,000</w:t>
            </w:r>
          </w:p>
        </w:tc>
        <w:tc>
          <w:tcPr>
            <w:tcW w:w="212" w:type="pct"/>
            <w:shd w:val="clear" w:color="auto" w:fill="auto"/>
            <w:tcMar>
              <w:left w:w="17" w:type="dxa"/>
              <w:right w:w="17" w:type="dxa"/>
            </w:tcMar>
            <w:vAlign w:val="center"/>
          </w:tcPr>
          <w:p w14:paraId="75410C5F" w14:textId="77777777" w:rsidR="001C56BD" w:rsidRPr="00F92667" w:rsidRDefault="001C56BD" w:rsidP="008A5C11">
            <w:pPr>
              <w:jc w:val="center"/>
              <w:rPr>
                <w:sz w:val="12"/>
                <w:szCs w:val="12"/>
              </w:rPr>
            </w:pPr>
            <w:r w:rsidRPr="00F92667">
              <w:rPr>
                <w:sz w:val="12"/>
                <w:szCs w:val="12"/>
              </w:rPr>
              <w:t>0,000</w:t>
            </w:r>
          </w:p>
        </w:tc>
        <w:tc>
          <w:tcPr>
            <w:tcW w:w="218" w:type="pct"/>
            <w:gridSpan w:val="2"/>
            <w:shd w:val="clear" w:color="auto" w:fill="auto"/>
            <w:tcMar>
              <w:left w:w="17" w:type="dxa"/>
              <w:right w:w="17" w:type="dxa"/>
            </w:tcMar>
            <w:vAlign w:val="center"/>
          </w:tcPr>
          <w:p w14:paraId="5B84A1B4" w14:textId="77777777" w:rsidR="001C56BD" w:rsidRPr="00F92667" w:rsidRDefault="001C56BD" w:rsidP="008A5C11">
            <w:pPr>
              <w:jc w:val="center"/>
              <w:rPr>
                <w:sz w:val="12"/>
                <w:szCs w:val="12"/>
              </w:rPr>
            </w:pPr>
            <w:r w:rsidRPr="00F92667">
              <w:rPr>
                <w:sz w:val="12"/>
                <w:szCs w:val="12"/>
              </w:rPr>
              <w:t>10383,826</w:t>
            </w:r>
          </w:p>
        </w:tc>
        <w:tc>
          <w:tcPr>
            <w:tcW w:w="217" w:type="pct"/>
            <w:gridSpan w:val="2"/>
            <w:shd w:val="clear" w:color="auto" w:fill="auto"/>
            <w:tcMar>
              <w:left w:w="17" w:type="dxa"/>
              <w:right w:w="17" w:type="dxa"/>
            </w:tcMar>
            <w:vAlign w:val="center"/>
          </w:tcPr>
          <w:p w14:paraId="0A3C66B6" w14:textId="77777777" w:rsidR="001C56BD" w:rsidRPr="00F92667" w:rsidRDefault="001C56BD" w:rsidP="008A5C11">
            <w:pPr>
              <w:jc w:val="center"/>
              <w:rPr>
                <w:sz w:val="12"/>
                <w:szCs w:val="12"/>
              </w:rPr>
            </w:pPr>
            <w:r w:rsidRPr="00F92667">
              <w:rPr>
                <w:sz w:val="12"/>
                <w:szCs w:val="12"/>
              </w:rPr>
              <w:t>0,000</w:t>
            </w:r>
          </w:p>
        </w:tc>
        <w:tc>
          <w:tcPr>
            <w:tcW w:w="206" w:type="pct"/>
            <w:gridSpan w:val="2"/>
            <w:shd w:val="clear" w:color="auto" w:fill="auto"/>
            <w:tcMar>
              <w:left w:w="17" w:type="dxa"/>
              <w:right w:w="17" w:type="dxa"/>
            </w:tcMar>
            <w:vAlign w:val="center"/>
          </w:tcPr>
          <w:p w14:paraId="4A3D124F"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23F43166" w14:textId="77777777" w:rsidR="001C56BD" w:rsidRPr="00F92667" w:rsidRDefault="001C56BD" w:rsidP="008A5C11">
            <w:pPr>
              <w:jc w:val="center"/>
              <w:rPr>
                <w:sz w:val="12"/>
                <w:szCs w:val="12"/>
              </w:rPr>
            </w:pPr>
            <w:r w:rsidRPr="00F92667">
              <w:rPr>
                <w:sz w:val="12"/>
                <w:szCs w:val="12"/>
              </w:rPr>
              <w:t>0,000</w:t>
            </w:r>
          </w:p>
        </w:tc>
        <w:tc>
          <w:tcPr>
            <w:tcW w:w="214" w:type="pct"/>
            <w:gridSpan w:val="2"/>
            <w:shd w:val="clear" w:color="auto" w:fill="auto"/>
            <w:tcMar>
              <w:left w:w="17" w:type="dxa"/>
              <w:right w:w="17" w:type="dxa"/>
            </w:tcMar>
            <w:vAlign w:val="center"/>
          </w:tcPr>
          <w:p w14:paraId="6A17E195"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3135EE91"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7D0DF78E" w14:textId="77777777" w:rsidR="001C56BD" w:rsidRPr="00F92667" w:rsidRDefault="001C56BD" w:rsidP="008A5C11">
            <w:pPr>
              <w:jc w:val="center"/>
              <w:rPr>
                <w:sz w:val="12"/>
                <w:szCs w:val="12"/>
              </w:rPr>
            </w:pPr>
            <w:r w:rsidRPr="00F92667">
              <w:rPr>
                <w:sz w:val="12"/>
                <w:szCs w:val="12"/>
              </w:rPr>
              <w:t>0,000</w:t>
            </w:r>
          </w:p>
        </w:tc>
        <w:tc>
          <w:tcPr>
            <w:tcW w:w="214" w:type="pct"/>
            <w:gridSpan w:val="2"/>
            <w:shd w:val="clear" w:color="auto" w:fill="auto"/>
            <w:tcMar>
              <w:left w:w="17" w:type="dxa"/>
              <w:right w:w="17" w:type="dxa"/>
            </w:tcMar>
            <w:vAlign w:val="center"/>
          </w:tcPr>
          <w:p w14:paraId="1BDEFC59" w14:textId="77777777" w:rsidR="001C56BD" w:rsidRPr="00F92667" w:rsidRDefault="001C56BD" w:rsidP="008A5C11">
            <w:pPr>
              <w:jc w:val="center"/>
              <w:rPr>
                <w:sz w:val="12"/>
                <w:szCs w:val="12"/>
              </w:rPr>
            </w:pPr>
            <w:r w:rsidRPr="00F92667">
              <w:rPr>
                <w:sz w:val="12"/>
                <w:szCs w:val="12"/>
              </w:rPr>
              <w:t>0,000</w:t>
            </w:r>
          </w:p>
        </w:tc>
        <w:tc>
          <w:tcPr>
            <w:tcW w:w="247" w:type="pct"/>
            <w:gridSpan w:val="2"/>
            <w:shd w:val="clear" w:color="auto" w:fill="auto"/>
            <w:tcMar>
              <w:left w:w="17" w:type="dxa"/>
              <w:right w:w="17" w:type="dxa"/>
            </w:tcMar>
            <w:vAlign w:val="center"/>
          </w:tcPr>
          <w:p w14:paraId="54839C40" w14:textId="77777777" w:rsidR="001C56BD" w:rsidRPr="00F92667" w:rsidRDefault="001C56BD" w:rsidP="008A5C11">
            <w:pPr>
              <w:jc w:val="center"/>
              <w:rPr>
                <w:sz w:val="12"/>
                <w:szCs w:val="12"/>
              </w:rPr>
            </w:pPr>
            <w:r w:rsidRPr="00F92667">
              <w:rPr>
                <w:sz w:val="12"/>
                <w:szCs w:val="12"/>
              </w:rPr>
              <w:t>0,000</w:t>
            </w:r>
          </w:p>
        </w:tc>
        <w:tc>
          <w:tcPr>
            <w:tcW w:w="173" w:type="pct"/>
            <w:shd w:val="clear" w:color="auto" w:fill="auto"/>
            <w:tcMar>
              <w:left w:w="17" w:type="dxa"/>
              <w:right w:w="17" w:type="dxa"/>
            </w:tcMar>
            <w:vAlign w:val="center"/>
          </w:tcPr>
          <w:p w14:paraId="580E2CBF" w14:textId="77777777" w:rsidR="001C56BD" w:rsidRPr="00F92667" w:rsidRDefault="001C56BD" w:rsidP="008A5C11">
            <w:pPr>
              <w:jc w:val="center"/>
              <w:rPr>
                <w:sz w:val="12"/>
                <w:szCs w:val="12"/>
              </w:rPr>
            </w:pPr>
            <w:r w:rsidRPr="00F92667">
              <w:rPr>
                <w:sz w:val="12"/>
                <w:szCs w:val="12"/>
              </w:rPr>
              <w:t>0,000</w:t>
            </w:r>
          </w:p>
        </w:tc>
        <w:tc>
          <w:tcPr>
            <w:tcW w:w="169" w:type="pct"/>
            <w:shd w:val="clear" w:color="auto" w:fill="auto"/>
            <w:tcMar>
              <w:left w:w="17" w:type="dxa"/>
              <w:right w:w="17" w:type="dxa"/>
            </w:tcMar>
            <w:vAlign w:val="center"/>
          </w:tcPr>
          <w:p w14:paraId="32D79200" w14:textId="77777777" w:rsidR="001C56BD" w:rsidRPr="00F92667" w:rsidRDefault="001C56BD" w:rsidP="008A5C11">
            <w:pPr>
              <w:jc w:val="center"/>
              <w:rPr>
                <w:sz w:val="12"/>
                <w:szCs w:val="12"/>
              </w:rPr>
            </w:pPr>
            <w:r w:rsidRPr="00F92667">
              <w:rPr>
                <w:sz w:val="12"/>
                <w:szCs w:val="12"/>
              </w:rPr>
              <w:t>0,000</w:t>
            </w:r>
          </w:p>
        </w:tc>
      </w:tr>
      <w:tr w:rsidR="001C56BD" w:rsidRPr="00F92667" w14:paraId="6504AF52" w14:textId="77777777" w:rsidTr="008A5C11">
        <w:trPr>
          <w:gridBefore w:val="1"/>
          <w:wBefore w:w="3" w:type="pct"/>
          <w:trHeight w:val="897"/>
        </w:trPr>
        <w:tc>
          <w:tcPr>
            <w:tcW w:w="129" w:type="pct"/>
            <w:shd w:val="clear" w:color="auto" w:fill="auto"/>
            <w:tcMar>
              <w:left w:w="17" w:type="dxa"/>
              <w:right w:w="17" w:type="dxa"/>
            </w:tcMar>
            <w:vAlign w:val="center"/>
          </w:tcPr>
          <w:p w14:paraId="54703F6D" w14:textId="77777777" w:rsidR="001C56BD" w:rsidRPr="00F92667" w:rsidRDefault="001C56BD" w:rsidP="008A5C11">
            <w:pPr>
              <w:jc w:val="center"/>
              <w:rPr>
                <w:sz w:val="12"/>
                <w:szCs w:val="12"/>
              </w:rPr>
            </w:pPr>
            <w:r w:rsidRPr="00F92667">
              <w:rPr>
                <w:sz w:val="12"/>
                <w:szCs w:val="12"/>
              </w:rPr>
              <w:t>3.1.15.</w:t>
            </w:r>
          </w:p>
        </w:tc>
        <w:tc>
          <w:tcPr>
            <w:tcW w:w="305" w:type="pct"/>
            <w:shd w:val="clear" w:color="auto" w:fill="auto"/>
            <w:tcMar>
              <w:left w:w="17" w:type="dxa"/>
              <w:right w:w="17" w:type="dxa"/>
            </w:tcMar>
            <w:vAlign w:val="center"/>
          </w:tcPr>
          <w:p w14:paraId="713E2398" w14:textId="77777777" w:rsidR="001C56BD" w:rsidRPr="00F92667" w:rsidRDefault="001C56BD" w:rsidP="008A5C11">
            <w:pPr>
              <w:rPr>
                <w:sz w:val="12"/>
                <w:szCs w:val="12"/>
              </w:rPr>
            </w:pPr>
            <w:r w:rsidRPr="00F92667">
              <w:rPr>
                <w:sz w:val="12"/>
                <w:szCs w:val="12"/>
              </w:rPr>
              <w:t>Реконструкция тепловой сети с реестровым номером 776981</w:t>
            </w:r>
          </w:p>
        </w:tc>
        <w:tc>
          <w:tcPr>
            <w:tcW w:w="304" w:type="pct"/>
            <w:shd w:val="clear" w:color="000000" w:fill="FFFFFF"/>
            <w:tcMar>
              <w:left w:w="17" w:type="dxa"/>
              <w:right w:w="17" w:type="dxa"/>
            </w:tcMar>
            <w:vAlign w:val="center"/>
          </w:tcPr>
          <w:p w14:paraId="77E866BE" w14:textId="77777777" w:rsidR="001C56BD" w:rsidRPr="00F92667" w:rsidRDefault="001C56BD" w:rsidP="008A5C11">
            <w:pPr>
              <w:jc w:val="center"/>
              <w:rPr>
                <w:sz w:val="12"/>
                <w:szCs w:val="12"/>
              </w:rPr>
            </w:pPr>
            <w:r w:rsidRPr="00F92667">
              <w:rPr>
                <w:color w:val="000000"/>
                <w:sz w:val="12"/>
                <w:szCs w:val="12"/>
              </w:rPr>
              <w:t>Повышение надежности услуг теплоснабжения, повышение энергетической эффективности</w:t>
            </w:r>
          </w:p>
        </w:tc>
        <w:tc>
          <w:tcPr>
            <w:tcW w:w="258" w:type="pct"/>
            <w:shd w:val="clear" w:color="auto" w:fill="auto"/>
            <w:tcMar>
              <w:left w:w="17" w:type="dxa"/>
              <w:right w:w="17" w:type="dxa"/>
            </w:tcMar>
            <w:vAlign w:val="center"/>
          </w:tcPr>
          <w:p w14:paraId="29BA6FDA" w14:textId="77777777" w:rsidR="001C56BD" w:rsidRPr="00F92667" w:rsidRDefault="001C56BD" w:rsidP="008A5C11">
            <w:pPr>
              <w:jc w:val="center"/>
              <w:rPr>
                <w:sz w:val="12"/>
                <w:szCs w:val="12"/>
              </w:rPr>
            </w:pPr>
            <w:r w:rsidRPr="00F92667">
              <w:rPr>
                <w:sz w:val="12"/>
                <w:szCs w:val="12"/>
              </w:rPr>
              <w:t>Кемеровский городской округ, Ленинский район, квартал №22, в границах просп. Ленина, просп. Ленинградский, просп. Химиков, б-р Строителей</w:t>
            </w:r>
          </w:p>
        </w:tc>
        <w:tc>
          <w:tcPr>
            <w:tcW w:w="294" w:type="pct"/>
            <w:shd w:val="clear" w:color="auto" w:fill="auto"/>
            <w:tcMar>
              <w:left w:w="17" w:type="dxa"/>
              <w:right w:w="17" w:type="dxa"/>
            </w:tcMar>
            <w:vAlign w:val="center"/>
          </w:tcPr>
          <w:p w14:paraId="7061B62A" w14:textId="77777777" w:rsidR="001C56BD" w:rsidRPr="00F92667" w:rsidRDefault="001C56BD" w:rsidP="008A5C11">
            <w:pPr>
              <w:jc w:val="center"/>
              <w:rPr>
                <w:sz w:val="12"/>
                <w:szCs w:val="12"/>
              </w:rPr>
            </w:pPr>
            <w:r w:rsidRPr="00F92667">
              <w:rPr>
                <w:color w:val="000000"/>
                <w:sz w:val="12"/>
                <w:szCs w:val="12"/>
              </w:rPr>
              <w:t>Технические характеристики</w:t>
            </w:r>
          </w:p>
        </w:tc>
        <w:tc>
          <w:tcPr>
            <w:tcW w:w="129" w:type="pct"/>
            <w:shd w:val="clear" w:color="auto" w:fill="auto"/>
            <w:tcMar>
              <w:left w:w="17" w:type="dxa"/>
              <w:right w:w="17" w:type="dxa"/>
            </w:tcMar>
            <w:vAlign w:val="center"/>
          </w:tcPr>
          <w:p w14:paraId="6F965D65" w14:textId="77777777" w:rsidR="001C56BD" w:rsidRPr="00F92667" w:rsidRDefault="001C56BD" w:rsidP="008A5C11">
            <w:pPr>
              <w:jc w:val="center"/>
              <w:rPr>
                <w:color w:val="000000"/>
                <w:sz w:val="12"/>
                <w:szCs w:val="12"/>
              </w:rPr>
            </w:pPr>
          </w:p>
        </w:tc>
        <w:tc>
          <w:tcPr>
            <w:tcW w:w="184" w:type="pct"/>
            <w:shd w:val="clear" w:color="auto" w:fill="auto"/>
            <w:tcMar>
              <w:left w:w="17" w:type="dxa"/>
              <w:right w:w="17" w:type="dxa"/>
            </w:tcMar>
            <w:vAlign w:val="center"/>
          </w:tcPr>
          <w:p w14:paraId="7689DA82" w14:textId="77777777" w:rsidR="001C56BD" w:rsidRPr="00F92667" w:rsidRDefault="001C56BD" w:rsidP="008A5C11">
            <w:pPr>
              <w:jc w:val="center"/>
              <w:rPr>
                <w:sz w:val="12"/>
                <w:szCs w:val="12"/>
              </w:rPr>
            </w:pPr>
            <w:r w:rsidRPr="00F92667">
              <w:rPr>
                <w:sz w:val="12"/>
                <w:szCs w:val="12"/>
              </w:rPr>
              <w:t xml:space="preserve">Канал-ж/б лотки (непроходной канал), опоры </w:t>
            </w:r>
            <w:proofErr w:type="gramStart"/>
            <w:r w:rsidRPr="00F92667">
              <w:rPr>
                <w:sz w:val="12"/>
                <w:szCs w:val="12"/>
              </w:rPr>
              <w:t>привар-ные</w:t>
            </w:r>
            <w:proofErr w:type="gramEnd"/>
            <w:r w:rsidRPr="00F92667">
              <w:rPr>
                <w:sz w:val="12"/>
                <w:szCs w:val="12"/>
              </w:rPr>
              <w:t xml:space="preserve">, запорная арматура - стальная клиновая, антикоррозийная защита-лак БТ, труба-сталь 20, изоляция - мин. маты       </w:t>
            </w:r>
          </w:p>
        </w:tc>
        <w:tc>
          <w:tcPr>
            <w:tcW w:w="219" w:type="pct"/>
            <w:shd w:val="clear" w:color="auto" w:fill="auto"/>
            <w:tcMar>
              <w:left w:w="17" w:type="dxa"/>
              <w:right w:w="17" w:type="dxa"/>
            </w:tcMar>
            <w:vAlign w:val="center"/>
          </w:tcPr>
          <w:p w14:paraId="21909FF2" w14:textId="77777777" w:rsidR="001C56BD" w:rsidRPr="00F92667" w:rsidRDefault="001C56BD" w:rsidP="008A5C11">
            <w:pPr>
              <w:jc w:val="center"/>
              <w:rPr>
                <w:sz w:val="12"/>
                <w:szCs w:val="12"/>
              </w:rPr>
            </w:pPr>
            <w:r w:rsidRPr="00F92667">
              <w:rPr>
                <w:sz w:val="12"/>
                <w:szCs w:val="12"/>
              </w:rPr>
              <w:t xml:space="preserve">Канал-ж/б лотки (непроходной канал), опоры-хомутовые с диэлектрической прокладкой, запорная арматура - краны шаровые, антикоррозийная защита-мастика Вектор 1025, </w:t>
            </w:r>
            <w:proofErr w:type="gramStart"/>
            <w:r w:rsidRPr="00F92667">
              <w:rPr>
                <w:sz w:val="12"/>
                <w:szCs w:val="12"/>
              </w:rPr>
              <w:t>1214,  труба</w:t>
            </w:r>
            <w:proofErr w:type="gramEnd"/>
            <w:r w:rsidRPr="00F92667">
              <w:rPr>
                <w:sz w:val="12"/>
                <w:szCs w:val="12"/>
              </w:rPr>
              <w:t xml:space="preserve">-сталь 09Г2С, изоляция - маты прошивные, стеклоплас-тик  </w:t>
            </w:r>
          </w:p>
        </w:tc>
        <w:tc>
          <w:tcPr>
            <w:tcW w:w="130" w:type="pct"/>
            <w:shd w:val="clear" w:color="auto" w:fill="auto"/>
            <w:tcMar>
              <w:left w:w="17" w:type="dxa"/>
              <w:right w:w="17" w:type="dxa"/>
            </w:tcMar>
            <w:vAlign w:val="center"/>
          </w:tcPr>
          <w:p w14:paraId="4454BDFD" w14:textId="77777777" w:rsidR="001C56BD" w:rsidRPr="00F92667" w:rsidRDefault="001C56BD" w:rsidP="008A5C11">
            <w:pPr>
              <w:jc w:val="center"/>
              <w:rPr>
                <w:sz w:val="12"/>
                <w:szCs w:val="12"/>
              </w:rPr>
            </w:pPr>
            <w:r w:rsidRPr="00F92667">
              <w:rPr>
                <w:sz w:val="12"/>
                <w:szCs w:val="12"/>
              </w:rPr>
              <w:t>2022</w:t>
            </w:r>
          </w:p>
        </w:tc>
        <w:tc>
          <w:tcPr>
            <w:tcW w:w="130" w:type="pct"/>
            <w:shd w:val="clear" w:color="auto" w:fill="auto"/>
            <w:tcMar>
              <w:left w:w="17" w:type="dxa"/>
              <w:right w:w="17" w:type="dxa"/>
            </w:tcMar>
            <w:vAlign w:val="center"/>
          </w:tcPr>
          <w:p w14:paraId="020959CC" w14:textId="77777777" w:rsidR="001C56BD" w:rsidRPr="00F92667" w:rsidRDefault="001C56BD" w:rsidP="008A5C11">
            <w:pPr>
              <w:jc w:val="center"/>
              <w:rPr>
                <w:sz w:val="12"/>
                <w:szCs w:val="12"/>
              </w:rPr>
            </w:pPr>
            <w:r w:rsidRPr="00F92667">
              <w:rPr>
                <w:sz w:val="12"/>
                <w:szCs w:val="12"/>
              </w:rPr>
              <w:t>2027</w:t>
            </w:r>
          </w:p>
        </w:tc>
        <w:tc>
          <w:tcPr>
            <w:tcW w:w="217" w:type="pct"/>
            <w:gridSpan w:val="2"/>
            <w:shd w:val="clear" w:color="auto" w:fill="auto"/>
            <w:tcMar>
              <w:left w:w="17" w:type="dxa"/>
              <w:right w:w="17" w:type="dxa"/>
            </w:tcMar>
            <w:vAlign w:val="center"/>
          </w:tcPr>
          <w:p w14:paraId="3BC69424" w14:textId="77777777" w:rsidR="001C56BD" w:rsidRPr="00F92667" w:rsidRDefault="001C56BD" w:rsidP="008A5C11">
            <w:pPr>
              <w:jc w:val="center"/>
              <w:rPr>
                <w:sz w:val="12"/>
                <w:szCs w:val="12"/>
              </w:rPr>
            </w:pPr>
            <w:r w:rsidRPr="00F92667">
              <w:rPr>
                <w:sz w:val="12"/>
                <w:szCs w:val="12"/>
              </w:rPr>
              <w:t>66483,455</w:t>
            </w:r>
          </w:p>
        </w:tc>
        <w:tc>
          <w:tcPr>
            <w:tcW w:w="177" w:type="pct"/>
            <w:gridSpan w:val="2"/>
            <w:shd w:val="clear" w:color="auto" w:fill="auto"/>
            <w:tcMar>
              <w:left w:w="17" w:type="dxa"/>
              <w:right w:w="17" w:type="dxa"/>
            </w:tcMar>
            <w:vAlign w:val="center"/>
          </w:tcPr>
          <w:p w14:paraId="4C2E094A" w14:textId="77777777" w:rsidR="001C56BD" w:rsidRPr="00F92667" w:rsidRDefault="001C56BD" w:rsidP="008A5C11">
            <w:pPr>
              <w:jc w:val="center"/>
              <w:rPr>
                <w:sz w:val="12"/>
                <w:szCs w:val="12"/>
              </w:rPr>
            </w:pPr>
            <w:r w:rsidRPr="00F92667">
              <w:rPr>
                <w:sz w:val="12"/>
                <w:szCs w:val="12"/>
              </w:rPr>
              <w:t>0,000</w:t>
            </w:r>
          </w:p>
        </w:tc>
        <w:tc>
          <w:tcPr>
            <w:tcW w:w="212" w:type="pct"/>
            <w:shd w:val="clear" w:color="auto" w:fill="auto"/>
            <w:tcMar>
              <w:left w:w="17" w:type="dxa"/>
              <w:right w:w="17" w:type="dxa"/>
            </w:tcMar>
            <w:vAlign w:val="center"/>
          </w:tcPr>
          <w:p w14:paraId="1D272F0E" w14:textId="77777777" w:rsidR="001C56BD" w:rsidRPr="00F92667" w:rsidRDefault="001C56BD" w:rsidP="008A5C11">
            <w:pPr>
              <w:jc w:val="center"/>
              <w:rPr>
                <w:sz w:val="12"/>
                <w:szCs w:val="12"/>
              </w:rPr>
            </w:pPr>
            <w:r w:rsidRPr="00F92667">
              <w:rPr>
                <w:sz w:val="12"/>
                <w:szCs w:val="12"/>
              </w:rPr>
              <w:t>11983,235</w:t>
            </w:r>
          </w:p>
        </w:tc>
        <w:tc>
          <w:tcPr>
            <w:tcW w:w="218" w:type="pct"/>
            <w:gridSpan w:val="2"/>
            <w:shd w:val="clear" w:color="auto" w:fill="auto"/>
            <w:tcMar>
              <w:left w:w="17" w:type="dxa"/>
              <w:right w:w="17" w:type="dxa"/>
            </w:tcMar>
            <w:vAlign w:val="center"/>
          </w:tcPr>
          <w:p w14:paraId="0344F765" w14:textId="77777777" w:rsidR="001C56BD" w:rsidRPr="00F92667" w:rsidRDefault="001C56BD" w:rsidP="008A5C11">
            <w:pPr>
              <w:jc w:val="center"/>
              <w:rPr>
                <w:sz w:val="12"/>
                <w:szCs w:val="12"/>
              </w:rPr>
            </w:pPr>
            <w:r w:rsidRPr="00F92667">
              <w:rPr>
                <w:sz w:val="12"/>
                <w:szCs w:val="12"/>
              </w:rPr>
              <w:t>21729,504</w:t>
            </w:r>
          </w:p>
        </w:tc>
        <w:tc>
          <w:tcPr>
            <w:tcW w:w="217" w:type="pct"/>
            <w:gridSpan w:val="2"/>
            <w:shd w:val="clear" w:color="auto" w:fill="auto"/>
            <w:tcMar>
              <w:left w:w="17" w:type="dxa"/>
              <w:right w:w="17" w:type="dxa"/>
            </w:tcMar>
            <w:vAlign w:val="center"/>
          </w:tcPr>
          <w:p w14:paraId="07D37FDD" w14:textId="77777777" w:rsidR="001C56BD" w:rsidRPr="00F92667" w:rsidRDefault="001C56BD" w:rsidP="008A5C11">
            <w:pPr>
              <w:jc w:val="center"/>
              <w:rPr>
                <w:sz w:val="12"/>
                <w:szCs w:val="12"/>
              </w:rPr>
            </w:pPr>
            <w:r w:rsidRPr="00F92667">
              <w:rPr>
                <w:sz w:val="12"/>
                <w:szCs w:val="12"/>
              </w:rPr>
              <w:t>10234,860</w:t>
            </w:r>
          </w:p>
        </w:tc>
        <w:tc>
          <w:tcPr>
            <w:tcW w:w="206" w:type="pct"/>
            <w:gridSpan w:val="2"/>
            <w:shd w:val="clear" w:color="auto" w:fill="auto"/>
            <w:tcMar>
              <w:left w:w="17" w:type="dxa"/>
              <w:right w:w="17" w:type="dxa"/>
            </w:tcMar>
            <w:vAlign w:val="center"/>
          </w:tcPr>
          <w:p w14:paraId="57DCEE2B"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51A9D0E3" w14:textId="77777777" w:rsidR="001C56BD" w:rsidRPr="00F92667" w:rsidRDefault="001C56BD" w:rsidP="008A5C11">
            <w:pPr>
              <w:jc w:val="center"/>
              <w:rPr>
                <w:sz w:val="12"/>
                <w:szCs w:val="12"/>
              </w:rPr>
            </w:pPr>
            <w:r w:rsidRPr="00F92667">
              <w:rPr>
                <w:sz w:val="12"/>
                <w:szCs w:val="12"/>
              </w:rPr>
              <w:t>16789,932</w:t>
            </w:r>
          </w:p>
        </w:tc>
        <w:tc>
          <w:tcPr>
            <w:tcW w:w="214" w:type="pct"/>
            <w:gridSpan w:val="2"/>
            <w:shd w:val="clear" w:color="auto" w:fill="auto"/>
            <w:tcMar>
              <w:left w:w="17" w:type="dxa"/>
              <w:right w:w="17" w:type="dxa"/>
            </w:tcMar>
            <w:vAlign w:val="center"/>
          </w:tcPr>
          <w:p w14:paraId="7ABF66E2" w14:textId="77777777" w:rsidR="001C56BD" w:rsidRPr="00F92667" w:rsidRDefault="001C56BD" w:rsidP="008A5C11">
            <w:pPr>
              <w:jc w:val="center"/>
              <w:rPr>
                <w:sz w:val="12"/>
                <w:szCs w:val="12"/>
              </w:rPr>
            </w:pPr>
            <w:r w:rsidRPr="00F92667">
              <w:rPr>
                <w:sz w:val="12"/>
                <w:szCs w:val="12"/>
              </w:rPr>
              <w:t>5745,924</w:t>
            </w:r>
          </w:p>
        </w:tc>
        <w:tc>
          <w:tcPr>
            <w:tcW w:w="217" w:type="pct"/>
            <w:gridSpan w:val="2"/>
            <w:shd w:val="clear" w:color="auto" w:fill="auto"/>
            <w:tcMar>
              <w:left w:w="17" w:type="dxa"/>
              <w:right w:w="17" w:type="dxa"/>
            </w:tcMar>
            <w:vAlign w:val="center"/>
          </w:tcPr>
          <w:p w14:paraId="1BDAE4D0"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3788CB04" w14:textId="77777777" w:rsidR="001C56BD" w:rsidRPr="00F92667" w:rsidRDefault="001C56BD" w:rsidP="008A5C11">
            <w:pPr>
              <w:jc w:val="center"/>
              <w:rPr>
                <w:sz w:val="12"/>
                <w:szCs w:val="12"/>
              </w:rPr>
            </w:pPr>
            <w:r w:rsidRPr="00F92667">
              <w:rPr>
                <w:sz w:val="12"/>
                <w:szCs w:val="12"/>
              </w:rPr>
              <w:t>0,000</w:t>
            </w:r>
          </w:p>
        </w:tc>
        <w:tc>
          <w:tcPr>
            <w:tcW w:w="214" w:type="pct"/>
            <w:gridSpan w:val="2"/>
            <w:shd w:val="clear" w:color="auto" w:fill="auto"/>
            <w:tcMar>
              <w:left w:w="17" w:type="dxa"/>
              <w:right w:w="17" w:type="dxa"/>
            </w:tcMar>
            <w:vAlign w:val="center"/>
          </w:tcPr>
          <w:p w14:paraId="15E12EEC" w14:textId="77777777" w:rsidR="001C56BD" w:rsidRPr="00F92667" w:rsidRDefault="001C56BD" w:rsidP="008A5C11">
            <w:pPr>
              <w:jc w:val="center"/>
              <w:rPr>
                <w:sz w:val="12"/>
                <w:szCs w:val="12"/>
              </w:rPr>
            </w:pPr>
            <w:r w:rsidRPr="00F92667">
              <w:rPr>
                <w:sz w:val="12"/>
                <w:szCs w:val="12"/>
              </w:rPr>
              <w:t>0,000</w:t>
            </w:r>
          </w:p>
        </w:tc>
        <w:tc>
          <w:tcPr>
            <w:tcW w:w="247" w:type="pct"/>
            <w:gridSpan w:val="2"/>
            <w:shd w:val="clear" w:color="auto" w:fill="auto"/>
            <w:tcMar>
              <w:left w:w="17" w:type="dxa"/>
              <w:right w:w="17" w:type="dxa"/>
            </w:tcMar>
            <w:vAlign w:val="center"/>
          </w:tcPr>
          <w:p w14:paraId="7AD1DEBC" w14:textId="77777777" w:rsidR="001C56BD" w:rsidRPr="00F92667" w:rsidRDefault="001C56BD" w:rsidP="008A5C11">
            <w:pPr>
              <w:jc w:val="center"/>
              <w:rPr>
                <w:sz w:val="12"/>
                <w:szCs w:val="12"/>
              </w:rPr>
            </w:pPr>
            <w:r w:rsidRPr="00F92667">
              <w:rPr>
                <w:sz w:val="12"/>
                <w:szCs w:val="12"/>
              </w:rPr>
              <w:t>0,000</w:t>
            </w:r>
          </w:p>
        </w:tc>
        <w:tc>
          <w:tcPr>
            <w:tcW w:w="173" w:type="pct"/>
            <w:shd w:val="clear" w:color="auto" w:fill="auto"/>
            <w:tcMar>
              <w:left w:w="17" w:type="dxa"/>
              <w:right w:w="17" w:type="dxa"/>
            </w:tcMar>
            <w:vAlign w:val="center"/>
          </w:tcPr>
          <w:p w14:paraId="605ACBAE" w14:textId="77777777" w:rsidR="001C56BD" w:rsidRPr="00F92667" w:rsidRDefault="001C56BD" w:rsidP="008A5C11">
            <w:pPr>
              <w:jc w:val="center"/>
              <w:rPr>
                <w:sz w:val="12"/>
                <w:szCs w:val="12"/>
              </w:rPr>
            </w:pPr>
            <w:r w:rsidRPr="00F92667">
              <w:rPr>
                <w:sz w:val="12"/>
                <w:szCs w:val="12"/>
              </w:rPr>
              <w:t>0,000</w:t>
            </w:r>
          </w:p>
        </w:tc>
        <w:tc>
          <w:tcPr>
            <w:tcW w:w="169" w:type="pct"/>
            <w:shd w:val="clear" w:color="auto" w:fill="auto"/>
            <w:tcMar>
              <w:left w:w="17" w:type="dxa"/>
              <w:right w:w="17" w:type="dxa"/>
            </w:tcMar>
            <w:vAlign w:val="center"/>
          </w:tcPr>
          <w:p w14:paraId="1644B5F2" w14:textId="77777777" w:rsidR="001C56BD" w:rsidRPr="00F92667" w:rsidRDefault="001C56BD" w:rsidP="008A5C11">
            <w:pPr>
              <w:jc w:val="center"/>
              <w:rPr>
                <w:sz w:val="12"/>
                <w:szCs w:val="12"/>
              </w:rPr>
            </w:pPr>
            <w:r w:rsidRPr="00F92667">
              <w:rPr>
                <w:sz w:val="12"/>
                <w:szCs w:val="12"/>
              </w:rPr>
              <w:t>0,000</w:t>
            </w:r>
          </w:p>
        </w:tc>
      </w:tr>
      <w:tr w:rsidR="001C56BD" w:rsidRPr="00F92667" w14:paraId="3FC71DA6" w14:textId="77777777" w:rsidTr="008A5C11">
        <w:trPr>
          <w:gridBefore w:val="1"/>
          <w:wBefore w:w="3" w:type="pct"/>
          <w:trHeight w:val="897"/>
        </w:trPr>
        <w:tc>
          <w:tcPr>
            <w:tcW w:w="129" w:type="pct"/>
            <w:shd w:val="clear" w:color="auto" w:fill="auto"/>
            <w:tcMar>
              <w:left w:w="17" w:type="dxa"/>
              <w:right w:w="17" w:type="dxa"/>
            </w:tcMar>
            <w:vAlign w:val="center"/>
          </w:tcPr>
          <w:p w14:paraId="7FC6D5A5" w14:textId="77777777" w:rsidR="001C56BD" w:rsidRPr="00F92667" w:rsidRDefault="001C56BD" w:rsidP="008A5C11">
            <w:pPr>
              <w:jc w:val="center"/>
              <w:rPr>
                <w:sz w:val="12"/>
                <w:szCs w:val="12"/>
              </w:rPr>
            </w:pPr>
            <w:r w:rsidRPr="00F92667">
              <w:rPr>
                <w:sz w:val="12"/>
                <w:szCs w:val="12"/>
              </w:rPr>
              <w:t>3.1.16.</w:t>
            </w:r>
          </w:p>
        </w:tc>
        <w:tc>
          <w:tcPr>
            <w:tcW w:w="305" w:type="pct"/>
            <w:shd w:val="clear" w:color="auto" w:fill="auto"/>
            <w:tcMar>
              <w:left w:w="17" w:type="dxa"/>
              <w:right w:w="17" w:type="dxa"/>
            </w:tcMar>
            <w:vAlign w:val="center"/>
          </w:tcPr>
          <w:p w14:paraId="09FF1A9F" w14:textId="77777777" w:rsidR="001C56BD" w:rsidRPr="00F92667" w:rsidRDefault="001C56BD" w:rsidP="008A5C11">
            <w:pPr>
              <w:rPr>
                <w:sz w:val="12"/>
                <w:szCs w:val="12"/>
              </w:rPr>
            </w:pPr>
            <w:r w:rsidRPr="00F92667">
              <w:rPr>
                <w:sz w:val="12"/>
                <w:szCs w:val="12"/>
              </w:rPr>
              <w:t>Реконструкция тепловой сети с реестровым номером 776342</w:t>
            </w:r>
          </w:p>
        </w:tc>
        <w:tc>
          <w:tcPr>
            <w:tcW w:w="304" w:type="pct"/>
            <w:shd w:val="clear" w:color="000000" w:fill="FFFFFF"/>
            <w:tcMar>
              <w:left w:w="17" w:type="dxa"/>
              <w:right w:w="17" w:type="dxa"/>
            </w:tcMar>
            <w:vAlign w:val="center"/>
          </w:tcPr>
          <w:p w14:paraId="1AAD0D05" w14:textId="77777777" w:rsidR="001C56BD" w:rsidRPr="00F92667" w:rsidRDefault="001C56BD" w:rsidP="008A5C11">
            <w:pPr>
              <w:jc w:val="center"/>
              <w:rPr>
                <w:sz w:val="12"/>
                <w:szCs w:val="12"/>
              </w:rPr>
            </w:pPr>
            <w:r w:rsidRPr="00F92667">
              <w:rPr>
                <w:color w:val="000000"/>
                <w:sz w:val="12"/>
                <w:szCs w:val="12"/>
              </w:rPr>
              <w:t>Повышение надежности услуг теплоснабжения, повышение энергетической эффективности</w:t>
            </w:r>
          </w:p>
        </w:tc>
        <w:tc>
          <w:tcPr>
            <w:tcW w:w="258" w:type="pct"/>
            <w:shd w:val="clear" w:color="auto" w:fill="auto"/>
            <w:tcMar>
              <w:left w:w="17" w:type="dxa"/>
              <w:right w:w="17" w:type="dxa"/>
            </w:tcMar>
            <w:vAlign w:val="center"/>
          </w:tcPr>
          <w:p w14:paraId="7BD948B0" w14:textId="77777777" w:rsidR="001C56BD" w:rsidRPr="00F92667" w:rsidRDefault="001C56BD" w:rsidP="008A5C11">
            <w:pPr>
              <w:jc w:val="center"/>
              <w:rPr>
                <w:sz w:val="12"/>
                <w:szCs w:val="12"/>
              </w:rPr>
            </w:pPr>
            <w:r w:rsidRPr="00F92667">
              <w:rPr>
                <w:sz w:val="12"/>
                <w:szCs w:val="12"/>
              </w:rPr>
              <w:t>Кемеровский городской округ, Ленинский район, квартал 27 (пересечение пр. Ленина и пр. Комсомольский)</w:t>
            </w:r>
          </w:p>
        </w:tc>
        <w:tc>
          <w:tcPr>
            <w:tcW w:w="294" w:type="pct"/>
            <w:shd w:val="clear" w:color="auto" w:fill="auto"/>
            <w:tcMar>
              <w:left w:w="17" w:type="dxa"/>
              <w:right w:w="17" w:type="dxa"/>
            </w:tcMar>
            <w:vAlign w:val="center"/>
          </w:tcPr>
          <w:p w14:paraId="59C679E7" w14:textId="77777777" w:rsidR="001C56BD" w:rsidRPr="00F92667" w:rsidRDefault="001C56BD" w:rsidP="008A5C11">
            <w:pPr>
              <w:jc w:val="center"/>
              <w:rPr>
                <w:sz w:val="12"/>
                <w:szCs w:val="12"/>
              </w:rPr>
            </w:pPr>
            <w:r w:rsidRPr="00F92667">
              <w:rPr>
                <w:color w:val="000000"/>
                <w:sz w:val="12"/>
                <w:szCs w:val="12"/>
              </w:rPr>
              <w:t>Технические характеристики</w:t>
            </w:r>
          </w:p>
        </w:tc>
        <w:tc>
          <w:tcPr>
            <w:tcW w:w="129" w:type="pct"/>
            <w:shd w:val="clear" w:color="auto" w:fill="auto"/>
            <w:tcMar>
              <w:left w:w="17" w:type="dxa"/>
              <w:right w:w="17" w:type="dxa"/>
            </w:tcMar>
            <w:vAlign w:val="center"/>
          </w:tcPr>
          <w:p w14:paraId="2E3F7766" w14:textId="77777777" w:rsidR="001C56BD" w:rsidRPr="00F92667" w:rsidRDefault="001C56BD" w:rsidP="008A5C11">
            <w:pPr>
              <w:jc w:val="center"/>
              <w:rPr>
                <w:color w:val="000000"/>
                <w:sz w:val="12"/>
                <w:szCs w:val="12"/>
              </w:rPr>
            </w:pPr>
          </w:p>
        </w:tc>
        <w:tc>
          <w:tcPr>
            <w:tcW w:w="184" w:type="pct"/>
            <w:shd w:val="clear" w:color="auto" w:fill="auto"/>
            <w:tcMar>
              <w:left w:w="17" w:type="dxa"/>
              <w:right w:w="17" w:type="dxa"/>
            </w:tcMar>
            <w:vAlign w:val="center"/>
          </w:tcPr>
          <w:p w14:paraId="53D44DC9" w14:textId="77777777" w:rsidR="001C56BD" w:rsidRPr="00F92667" w:rsidRDefault="001C56BD" w:rsidP="008A5C11">
            <w:pPr>
              <w:jc w:val="center"/>
              <w:rPr>
                <w:sz w:val="12"/>
                <w:szCs w:val="12"/>
              </w:rPr>
            </w:pPr>
            <w:r w:rsidRPr="00F92667">
              <w:rPr>
                <w:sz w:val="12"/>
                <w:szCs w:val="12"/>
              </w:rPr>
              <w:t xml:space="preserve">Канал-ж/б лотки (непроходной канал), опоры </w:t>
            </w:r>
            <w:proofErr w:type="gramStart"/>
            <w:r w:rsidRPr="00F92667">
              <w:rPr>
                <w:sz w:val="12"/>
                <w:szCs w:val="12"/>
              </w:rPr>
              <w:t>привар-ные</w:t>
            </w:r>
            <w:proofErr w:type="gramEnd"/>
            <w:r w:rsidRPr="00F92667">
              <w:rPr>
                <w:sz w:val="12"/>
                <w:szCs w:val="12"/>
              </w:rPr>
              <w:t xml:space="preserve">, запорная арматура - стальная клиновая, антикоррозийная защита-лак БТ, труба-сталь 20, изоляция - мин. маты       </w:t>
            </w:r>
          </w:p>
        </w:tc>
        <w:tc>
          <w:tcPr>
            <w:tcW w:w="219" w:type="pct"/>
            <w:shd w:val="clear" w:color="auto" w:fill="auto"/>
            <w:tcMar>
              <w:left w:w="17" w:type="dxa"/>
              <w:right w:w="17" w:type="dxa"/>
            </w:tcMar>
            <w:vAlign w:val="center"/>
          </w:tcPr>
          <w:p w14:paraId="12B8E7AC" w14:textId="77777777" w:rsidR="001C56BD" w:rsidRPr="00F92667" w:rsidRDefault="001C56BD" w:rsidP="008A5C11">
            <w:pPr>
              <w:jc w:val="center"/>
              <w:rPr>
                <w:sz w:val="12"/>
                <w:szCs w:val="12"/>
              </w:rPr>
            </w:pPr>
            <w:r w:rsidRPr="00F92667">
              <w:rPr>
                <w:sz w:val="12"/>
                <w:szCs w:val="12"/>
              </w:rPr>
              <w:t xml:space="preserve">Канал-ж/б лотки (непроходной канал), опоры-хомутовые с диэлектрической прокладкой, запорная арматура - краны шаровые, антикоррозийная защита-мастика Вектор 1025, 1214, труба-сталь 09Г2С, изоляция - маты прошивные, </w:t>
            </w:r>
            <w:proofErr w:type="gramStart"/>
            <w:r w:rsidRPr="00F92667">
              <w:rPr>
                <w:sz w:val="12"/>
                <w:szCs w:val="12"/>
              </w:rPr>
              <w:t>стеклоплас-тик</w:t>
            </w:r>
            <w:proofErr w:type="gramEnd"/>
            <w:r w:rsidRPr="00F92667">
              <w:rPr>
                <w:sz w:val="12"/>
                <w:szCs w:val="12"/>
              </w:rPr>
              <w:t xml:space="preserve">  </w:t>
            </w:r>
          </w:p>
        </w:tc>
        <w:tc>
          <w:tcPr>
            <w:tcW w:w="130" w:type="pct"/>
            <w:shd w:val="clear" w:color="auto" w:fill="auto"/>
            <w:tcMar>
              <w:left w:w="17" w:type="dxa"/>
              <w:right w:w="17" w:type="dxa"/>
            </w:tcMar>
            <w:vAlign w:val="center"/>
          </w:tcPr>
          <w:p w14:paraId="5A9C682E" w14:textId="77777777" w:rsidR="001C56BD" w:rsidRPr="00F92667" w:rsidRDefault="001C56BD" w:rsidP="008A5C11">
            <w:pPr>
              <w:jc w:val="center"/>
              <w:rPr>
                <w:sz w:val="12"/>
                <w:szCs w:val="12"/>
              </w:rPr>
            </w:pPr>
            <w:r w:rsidRPr="00F92667">
              <w:rPr>
                <w:sz w:val="12"/>
                <w:szCs w:val="12"/>
              </w:rPr>
              <w:t>2022</w:t>
            </w:r>
          </w:p>
        </w:tc>
        <w:tc>
          <w:tcPr>
            <w:tcW w:w="130" w:type="pct"/>
            <w:shd w:val="clear" w:color="auto" w:fill="auto"/>
            <w:tcMar>
              <w:left w:w="17" w:type="dxa"/>
              <w:right w:w="17" w:type="dxa"/>
            </w:tcMar>
            <w:vAlign w:val="center"/>
          </w:tcPr>
          <w:p w14:paraId="3D559D7A" w14:textId="77777777" w:rsidR="001C56BD" w:rsidRPr="00F92667" w:rsidRDefault="001C56BD" w:rsidP="008A5C11">
            <w:pPr>
              <w:jc w:val="center"/>
              <w:rPr>
                <w:sz w:val="12"/>
                <w:szCs w:val="12"/>
              </w:rPr>
            </w:pPr>
            <w:r w:rsidRPr="00F92667">
              <w:rPr>
                <w:sz w:val="12"/>
                <w:szCs w:val="12"/>
              </w:rPr>
              <w:t>2024</w:t>
            </w:r>
          </w:p>
        </w:tc>
        <w:tc>
          <w:tcPr>
            <w:tcW w:w="217" w:type="pct"/>
            <w:gridSpan w:val="2"/>
            <w:shd w:val="clear" w:color="auto" w:fill="auto"/>
            <w:tcMar>
              <w:left w:w="17" w:type="dxa"/>
              <w:right w:w="17" w:type="dxa"/>
            </w:tcMar>
            <w:vAlign w:val="center"/>
          </w:tcPr>
          <w:p w14:paraId="18873953" w14:textId="77777777" w:rsidR="001C56BD" w:rsidRPr="00F92667" w:rsidRDefault="001C56BD" w:rsidP="008A5C11">
            <w:pPr>
              <w:jc w:val="center"/>
              <w:rPr>
                <w:sz w:val="12"/>
                <w:szCs w:val="12"/>
              </w:rPr>
            </w:pPr>
            <w:r w:rsidRPr="00F92667">
              <w:rPr>
                <w:sz w:val="12"/>
                <w:szCs w:val="12"/>
              </w:rPr>
              <w:t>39811,525</w:t>
            </w:r>
          </w:p>
        </w:tc>
        <w:tc>
          <w:tcPr>
            <w:tcW w:w="177" w:type="pct"/>
            <w:gridSpan w:val="2"/>
            <w:shd w:val="clear" w:color="auto" w:fill="auto"/>
            <w:tcMar>
              <w:left w:w="17" w:type="dxa"/>
              <w:right w:w="17" w:type="dxa"/>
            </w:tcMar>
            <w:vAlign w:val="center"/>
          </w:tcPr>
          <w:p w14:paraId="16AEDD20" w14:textId="77777777" w:rsidR="001C56BD" w:rsidRPr="00F92667" w:rsidRDefault="001C56BD" w:rsidP="008A5C11">
            <w:pPr>
              <w:jc w:val="center"/>
              <w:rPr>
                <w:sz w:val="12"/>
                <w:szCs w:val="12"/>
              </w:rPr>
            </w:pPr>
            <w:r w:rsidRPr="00F92667">
              <w:rPr>
                <w:sz w:val="12"/>
                <w:szCs w:val="12"/>
              </w:rPr>
              <w:t>0,000</w:t>
            </w:r>
          </w:p>
        </w:tc>
        <w:tc>
          <w:tcPr>
            <w:tcW w:w="212" w:type="pct"/>
            <w:shd w:val="clear" w:color="auto" w:fill="auto"/>
            <w:tcMar>
              <w:left w:w="17" w:type="dxa"/>
              <w:right w:w="17" w:type="dxa"/>
            </w:tcMar>
            <w:vAlign w:val="center"/>
          </w:tcPr>
          <w:p w14:paraId="4D65E266" w14:textId="77777777" w:rsidR="001C56BD" w:rsidRPr="00F92667" w:rsidRDefault="001C56BD" w:rsidP="008A5C11">
            <w:pPr>
              <w:jc w:val="center"/>
              <w:rPr>
                <w:sz w:val="12"/>
                <w:szCs w:val="12"/>
              </w:rPr>
            </w:pPr>
            <w:r w:rsidRPr="00F92667">
              <w:rPr>
                <w:sz w:val="12"/>
                <w:szCs w:val="12"/>
              </w:rPr>
              <w:t>17817,996</w:t>
            </w:r>
          </w:p>
        </w:tc>
        <w:tc>
          <w:tcPr>
            <w:tcW w:w="218" w:type="pct"/>
            <w:gridSpan w:val="2"/>
            <w:shd w:val="clear" w:color="auto" w:fill="auto"/>
            <w:tcMar>
              <w:left w:w="17" w:type="dxa"/>
              <w:right w:w="17" w:type="dxa"/>
            </w:tcMar>
            <w:vAlign w:val="center"/>
          </w:tcPr>
          <w:p w14:paraId="58AB51B9"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3F6B0AE9" w14:textId="77777777" w:rsidR="001C56BD" w:rsidRPr="00F92667" w:rsidRDefault="001C56BD" w:rsidP="008A5C11">
            <w:pPr>
              <w:jc w:val="center"/>
              <w:rPr>
                <w:sz w:val="12"/>
                <w:szCs w:val="12"/>
              </w:rPr>
            </w:pPr>
            <w:r w:rsidRPr="00F92667">
              <w:rPr>
                <w:sz w:val="12"/>
                <w:szCs w:val="12"/>
              </w:rPr>
              <w:t>21993,529</w:t>
            </w:r>
          </w:p>
        </w:tc>
        <w:tc>
          <w:tcPr>
            <w:tcW w:w="206" w:type="pct"/>
            <w:gridSpan w:val="2"/>
            <w:shd w:val="clear" w:color="auto" w:fill="auto"/>
            <w:tcMar>
              <w:left w:w="17" w:type="dxa"/>
              <w:right w:w="17" w:type="dxa"/>
            </w:tcMar>
            <w:vAlign w:val="center"/>
          </w:tcPr>
          <w:p w14:paraId="088E6B48"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5AB66C71" w14:textId="77777777" w:rsidR="001C56BD" w:rsidRPr="00F92667" w:rsidRDefault="001C56BD" w:rsidP="008A5C11">
            <w:pPr>
              <w:jc w:val="center"/>
              <w:rPr>
                <w:sz w:val="12"/>
                <w:szCs w:val="12"/>
              </w:rPr>
            </w:pPr>
            <w:r w:rsidRPr="00F92667">
              <w:rPr>
                <w:sz w:val="12"/>
                <w:szCs w:val="12"/>
              </w:rPr>
              <w:t>0,000</w:t>
            </w:r>
          </w:p>
        </w:tc>
        <w:tc>
          <w:tcPr>
            <w:tcW w:w="214" w:type="pct"/>
            <w:gridSpan w:val="2"/>
            <w:shd w:val="clear" w:color="auto" w:fill="auto"/>
            <w:tcMar>
              <w:left w:w="17" w:type="dxa"/>
              <w:right w:w="17" w:type="dxa"/>
            </w:tcMar>
            <w:vAlign w:val="center"/>
          </w:tcPr>
          <w:p w14:paraId="236B093D"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5C4E28FF"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3D87B58C" w14:textId="77777777" w:rsidR="001C56BD" w:rsidRPr="00F92667" w:rsidRDefault="001C56BD" w:rsidP="008A5C11">
            <w:pPr>
              <w:jc w:val="center"/>
              <w:rPr>
                <w:sz w:val="12"/>
                <w:szCs w:val="12"/>
              </w:rPr>
            </w:pPr>
            <w:r w:rsidRPr="00F92667">
              <w:rPr>
                <w:sz w:val="12"/>
                <w:szCs w:val="12"/>
              </w:rPr>
              <w:t>0,000</w:t>
            </w:r>
          </w:p>
        </w:tc>
        <w:tc>
          <w:tcPr>
            <w:tcW w:w="214" w:type="pct"/>
            <w:gridSpan w:val="2"/>
            <w:shd w:val="clear" w:color="auto" w:fill="auto"/>
            <w:tcMar>
              <w:left w:w="17" w:type="dxa"/>
              <w:right w:w="17" w:type="dxa"/>
            </w:tcMar>
            <w:vAlign w:val="center"/>
          </w:tcPr>
          <w:p w14:paraId="1A4C9FD1" w14:textId="77777777" w:rsidR="001C56BD" w:rsidRPr="00F92667" w:rsidRDefault="001C56BD" w:rsidP="008A5C11">
            <w:pPr>
              <w:jc w:val="center"/>
              <w:rPr>
                <w:sz w:val="12"/>
                <w:szCs w:val="12"/>
              </w:rPr>
            </w:pPr>
            <w:r w:rsidRPr="00F92667">
              <w:rPr>
                <w:sz w:val="12"/>
                <w:szCs w:val="12"/>
              </w:rPr>
              <w:t>0,000</w:t>
            </w:r>
          </w:p>
        </w:tc>
        <w:tc>
          <w:tcPr>
            <w:tcW w:w="247" w:type="pct"/>
            <w:gridSpan w:val="2"/>
            <w:shd w:val="clear" w:color="auto" w:fill="auto"/>
            <w:tcMar>
              <w:left w:w="17" w:type="dxa"/>
              <w:right w:w="17" w:type="dxa"/>
            </w:tcMar>
            <w:vAlign w:val="center"/>
          </w:tcPr>
          <w:p w14:paraId="089BD43E" w14:textId="77777777" w:rsidR="001C56BD" w:rsidRPr="00F92667" w:rsidRDefault="001C56BD" w:rsidP="008A5C11">
            <w:pPr>
              <w:jc w:val="center"/>
              <w:rPr>
                <w:sz w:val="12"/>
                <w:szCs w:val="12"/>
              </w:rPr>
            </w:pPr>
            <w:r w:rsidRPr="00F92667">
              <w:rPr>
                <w:sz w:val="12"/>
                <w:szCs w:val="12"/>
              </w:rPr>
              <w:t>0,000</w:t>
            </w:r>
          </w:p>
        </w:tc>
        <w:tc>
          <w:tcPr>
            <w:tcW w:w="173" w:type="pct"/>
            <w:shd w:val="clear" w:color="auto" w:fill="auto"/>
            <w:tcMar>
              <w:left w:w="17" w:type="dxa"/>
              <w:right w:w="17" w:type="dxa"/>
            </w:tcMar>
            <w:vAlign w:val="center"/>
          </w:tcPr>
          <w:p w14:paraId="5D2A14A8" w14:textId="77777777" w:rsidR="001C56BD" w:rsidRPr="00F92667" w:rsidRDefault="001C56BD" w:rsidP="008A5C11">
            <w:pPr>
              <w:jc w:val="center"/>
              <w:rPr>
                <w:sz w:val="12"/>
                <w:szCs w:val="12"/>
              </w:rPr>
            </w:pPr>
            <w:r w:rsidRPr="00F92667">
              <w:rPr>
                <w:sz w:val="12"/>
                <w:szCs w:val="12"/>
              </w:rPr>
              <w:t>0,000</w:t>
            </w:r>
          </w:p>
        </w:tc>
        <w:tc>
          <w:tcPr>
            <w:tcW w:w="169" w:type="pct"/>
            <w:shd w:val="clear" w:color="auto" w:fill="auto"/>
            <w:tcMar>
              <w:left w:w="17" w:type="dxa"/>
              <w:right w:w="17" w:type="dxa"/>
            </w:tcMar>
            <w:vAlign w:val="center"/>
          </w:tcPr>
          <w:p w14:paraId="32674B79" w14:textId="77777777" w:rsidR="001C56BD" w:rsidRPr="00F92667" w:rsidRDefault="001C56BD" w:rsidP="008A5C11">
            <w:pPr>
              <w:jc w:val="center"/>
              <w:rPr>
                <w:sz w:val="12"/>
                <w:szCs w:val="12"/>
              </w:rPr>
            </w:pPr>
            <w:r w:rsidRPr="00F92667">
              <w:rPr>
                <w:sz w:val="12"/>
                <w:szCs w:val="12"/>
              </w:rPr>
              <w:t>0,000</w:t>
            </w:r>
          </w:p>
        </w:tc>
      </w:tr>
      <w:tr w:rsidR="001C56BD" w:rsidRPr="00F92667" w14:paraId="4712BDF6" w14:textId="77777777" w:rsidTr="008A5C11">
        <w:trPr>
          <w:gridBefore w:val="1"/>
          <w:wBefore w:w="3" w:type="pct"/>
          <w:trHeight w:val="897"/>
        </w:trPr>
        <w:tc>
          <w:tcPr>
            <w:tcW w:w="129" w:type="pct"/>
            <w:shd w:val="clear" w:color="auto" w:fill="auto"/>
            <w:tcMar>
              <w:left w:w="17" w:type="dxa"/>
              <w:right w:w="17" w:type="dxa"/>
            </w:tcMar>
            <w:vAlign w:val="center"/>
          </w:tcPr>
          <w:p w14:paraId="54C94817" w14:textId="77777777" w:rsidR="001C56BD" w:rsidRPr="00F92667" w:rsidRDefault="001C56BD" w:rsidP="008A5C11">
            <w:pPr>
              <w:jc w:val="center"/>
              <w:rPr>
                <w:bCs/>
                <w:sz w:val="12"/>
                <w:szCs w:val="12"/>
              </w:rPr>
            </w:pPr>
            <w:r w:rsidRPr="00F92667">
              <w:rPr>
                <w:bCs/>
                <w:sz w:val="12"/>
                <w:szCs w:val="12"/>
              </w:rPr>
              <w:t>1</w:t>
            </w:r>
          </w:p>
        </w:tc>
        <w:tc>
          <w:tcPr>
            <w:tcW w:w="305" w:type="pct"/>
            <w:shd w:val="clear" w:color="auto" w:fill="auto"/>
            <w:tcMar>
              <w:left w:w="17" w:type="dxa"/>
              <w:right w:w="17" w:type="dxa"/>
            </w:tcMar>
            <w:vAlign w:val="center"/>
          </w:tcPr>
          <w:p w14:paraId="48DF6B94" w14:textId="77777777" w:rsidR="001C56BD" w:rsidRPr="00F92667" w:rsidRDefault="001C56BD" w:rsidP="008A5C11">
            <w:pPr>
              <w:jc w:val="center"/>
              <w:rPr>
                <w:bCs/>
                <w:sz w:val="12"/>
                <w:szCs w:val="12"/>
              </w:rPr>
            </w:pPr>
            <w:r w:rsidRPr="00F92667">
              <w:rPr>
                <w:bCs/>
                <w:sz w:val="12"/>
                <w:szCs w:val="12"/>
              </w:rPr>
              <w:t>2</w:t>
            </w:r>
          </w:p>
        </w:tc>
        <w:tc>
          <w:tcPr>
            <w:tcW w:w="304" w:type="pct"/>
            <w:shd w:val="clear" w:color="auto" w:fill="auto"/>
            <w:tcMar>
              <w:left w:w="17" w:type="dxa"/>
              <w:right w:w="17" w:type="dxa"/>
            </w:tcMar>
            <w:vAlign w:val="center"/>
          </w:tcPr>
          <w:p w14:paraId="3E2EE2B5" w14:textId="77777777" w:rsidR="001C56BD" w:rsidRPr="00F92667" w:rsidRDefault="001C56BD" w:rsidP="008A5C11">
            <w:pPr>
              <w:jc w:val="center"/>
              <w:rPr>
                <w:bCs/>
                <w:sz w:val="12"/>
                <w:szCs w:val="12"/>
              </w:rPr>
            </w:pPr>
            <w:r w:rsidRPr="00F92667">
              <w:rPr>
                <w:bCs/>
                <w:sz w:val="12"/>
                <w:szCs w:val="12"/>
              </w:rPr>
              <w:t>3</w:t>
            </w:r>
          </w:p>
        </w:tc>
        <w:tc>
          <w:tcPr>
            <w:tcW w:w="258" w:type="pct"/>
            <w:shd w:val="clear" w:color="auto" w:fill="auto"/>
            <w:tcMar>
              <w:left w:w="17" w:type="dxa"/>
              <w:right w:w="17" w:type="dxa"/>
            </w:tcMar>
            <w:vAlign w:val="center"/>
          </w:tcPr>
          <w:p w14:paraId="27BC20B5" w14:textId="77777777" w:rsidR="001C56BD" w:rsidRPr="00F92667" w:rsidRDefault="001C56BD" w:rsidP="008A5C11">
            <w:pPr>
              <w:jc w:val="center"/>
              <w:rPr>
                <w:bCs/>
                <w:sz w:val="12"/>
                <w:szCs w:val="12"/>
              </w:rPr>
            </w:pPr>
            <w:r w:rsidRPr="00F92667">
              <w:rPr>
                <w:bCs/>
                <w:sz w:val="12"/>
                <w:szCs w:val="12"/>
              </w:rPr>
              <w:t>4</w:t>
            </w:r>
          </w:p>
        </w:tc>
        <w:tc>
          <w:tcPr>
            <w:tcW w:w="294" w:type="pct"/>
            <w:shd w:val="clear" w:color="auto" w:fill="auto"/>
            <w:tcMar>
              <w:left w:w="17" w:type="dxa"/>
              <w:right w:w="17" w:type="dxa"/>
            </w:tcMar>
            <w:vAlign w:val="center"/>
          </w:tcPr>
          <w:p w14:paraId="773F8941" w14:textId="77777777" w:rsidR="001C56BD" w:rsidRPr="00F92667" w:rsidRDefault="001C56BD" w:rsidP="008A5C11">
            <w:pPr>
              <w:jc w:val="center"/>
              <w:rPr>
                <w:bCs/>
                <w:sz w:val="12"/>
                <w:szCs w:val="12"/>
              </w:rPr>
            </w:pPr>
            <w:r w:rsidRPr="00F92667">
              <w:rPr>
                <w:bCs/>
                <w:sz w:val="12"/>
                <w:szCs w:val="12"/>
              </w:rPr>
              <w:t>5</w:t>
            </w:r>
          </w:p>
        </w:tc>
        <w:tc>
          <w:tcPr>
            <w:tcW w:w="129" w:type="pct"/>
            <w:shd w:val="clear" w:color="auto" w:fill="auto"/>
            <w:tcMar>
              <w:left w:w="17" w:type="dxa"/>
              <w:right w:w="17" w:type="dxa"/>
            </w:tcMar>
            <w:vAlign w:val="center"/>
          </w:tcPr>
          <w:p w14:paraId="5B818A15" w14:textId="77777777" w:rsidR="001C56BD" w:rsidRPr="00F92667" w:rsidRDefault="001C56BD" w:rsidP="008A5C11">
            <w:pPr>
              <w:jc w:val="center"/>
              <w:rPr>
                <w:bCs/>
                <w:sz w:val="12"/>
                <w:szCs w:val="12"/>
              </w:rPr>
            </w:pPr>
            <w:r w:rsidRPr="00F92667">
              <w:rPr>
                <w:bCs/>
                <w:sz w:val="12"/>
                <w:szCs w:val="12"/>
              </w:rPr>
              <w:t>6</w:t>
            </w:r>
          </w:p>
        </w:tc>
        <w:tc>
          <w:tcPr>
            <w:tcW w:w="184" w:type="pct"/>
            <w:shd w:val="clear" w:color="auto" w:fill="auto"/>
            <w:tcMar>
              <w:left w:w="17" w:type="dxa"/>
              <w:right w:w="17" w:type="dxa"/>
            </w:tcMar>
            <w:vAlign w:val="center"/>
          </w:tcPr>
          <w:p w14:paraId="139B310E" w14:textId="77777777" w:rsidR="001C56BD" w:rsidRPr="00F92667" w:rsidRDefault="001C56BD" w:rsidP="008A5C11">
            <w:pPr>
              <w:jc w:val="center"/>
              <w:rPr>
                <w:bCs/>
                <w:sz w:val="12"/>
                <w:szCs w:val="12"/>
              </w:rPr>
            </w:pPr>
            <w:r w:rsidRPr="00F92667">
              <w:rPr>
                <w:bCs/>
                <w:sz w:val="12"/>
                <w:szCs w:val="12"/>
              </w:rPr>
              <w:t>7</w:t>
            </w:r>
          </w:p>
        </w:tc>
        <w:tc>
          <w:tcPr>
            <w:tcW w:w="219" w:type="pct"/>
            <w:shd w:val="clear" w:color="auto" w:fill="auto"/>
            <w:tcMar>
              <w:left w:w="17" w:type="dxa"/>
              <w:right w:w="17" w:type="dxa"/>
            </w:tcMar>
            <w:vAlign w:val="center"/>
          </w:tcPr>
          <w:p w14:paraId="43B5AF5E" w14:textId="77777777" w:rsidR="001C56BD" w:rsidRPr="00F92667" w:rsidRDefault="001C56BD" w:rsidP="008A5C11">
            <w:pPr>
              <w:jc w:val="center"/>
              <w:rPr>
                <w:bCs/>
                <w:sz w:val="12"/>
                <w:szCs w:val="12"/>
              </w:rPr>
            </w:pPr>
            <w:r w:rsidRPr="00F92667">
              <w:rPr>
                <w:bCs/>
                <w:sz w:val="12"/>
                <w:szCs w:val="12"/>
              </w:rPr>
              <w:t>8</w:t>
            </w:r>
          </w:p>
        </w:tc>
        <w:tc>
          <w:tcPr>
            <w:tcW w:w="130" w:type="pct"/>
            <w:shd w:val="clear" w:color="auto" w:fill="auto"/>
            <w:tcMar>
              <w:left w:w="17" w:type="dxa"/>
              <w:right w:w="17" w:type="dxa"/>
            </w:tcMar>
            <w:vAlign w:val="center"/>
          </w:tcPr>
          <w:p w14:paraId="2C15755A" w14:textId="77777777" w:rsidR="001C56BD" w:rsidRPr="00F92667" w:rsidRDefault="001C56BD" w:rsidP="008A5C11">
            <w:pPr>
              <w:jc w:val="center"/>
              <w:rPr>
                <w:bCs/>
                <w:sz w:val="12"/>
                <w:szCs w:val="12"/>
              </w:rPr>
            </w:pPr>
            <w:r w:rsidRPr="00F92667">
              <w:rPr>
                <w:bCs/>
                <w:sz w:val="12"/>
                <w:szCs w:val="12"/>
              </w:rPr>
              <w:t>9</w:t>
            </w:r>
          </w:p>
        </w:tc>
        <w:tc>
          <w:tcPr>
            <w:tcW w:w="130" w:type="pct"/>
            <w:shd w:val="clear" w:color="auto" w:fill="auto"/>
            <w:tcMar>
              <w:left w:w="17" w:type="dxa"/>
              <w:right w:w="17" w:type="dxa"/>
            </w:tcMar>
            <w:vAlign w:val="center"/>
          </w:tcPr>
          <w:p w14:paraId="4E43CD1E" w14:textId="77777777" w:rsidR="001C56BD" w:rsidRPr="00F92667" w:rsidRDefault="001C56BD" w:rsidP="008A5C11">
            <w:pPr>
              <w:jc w:val="center"/>
              <w:rPr>
                <w:bCs/>
                <w:sz w:val="12"/>
                <w:szCs w:val="12"/>
              </w:rPr>
            </w:pPr>
            <w:r w:rsidRPr="00F92667">
              <w:rPr>
                <w:bCs/>
                <w:sz w:val="12"/>
                <w:szCs w:val="12"/>
              </w:rPr>
              <w:t>10</w:t>
            </w:r>
          </w:p>
        </w:tc>
        <w:tc>
          <w:tcPr>
            <w:tcW w:w="217" w:type="pct"/>
            <w:gridSpan w:val="2"/>
            <w:shd w:val="clear" w:color="auto" w:fill="auto"/>
            <w:tcMar>
              <w:left w:w="17" w:type="dxa"/>
              <w:right w:w="17" w:type="dxa"/>
            </w:tcMar>
            <w:vAlign w:val="center"/>
          </w:tcPr>
          <w:p w14:paraId="1A20E66C" w14:textId="77777777" w:rsidR="001C56BD" w:rsidRPr="00F92667" w:rsidRDefault="001C56BD" w:rsidP="008A5C11">
            <w:pPr>
              <w:jc w:val="center"/>
              <w:rPr>
                <w:bCs/>
                <w:sz w:val="12"/>
                <w:szCs w:val="12"/>
              </w:rPr>
            </w:pPr>
            <w:r w:rsidRPr="00F92667">
              <w:rPr>
                <w:bCs/>
                <w:sz w:val="12"/>
                <w:szCs w:val="12"/>
              </w:rPr>
              <w:t>11</w:t>
            </w:r>
          </w:p>
        </w:tc>
        <w:tc>
          <w:tcPr>
            <w:tcW w:w="177" w:type="pct"/>
            <w:gridSpan w:val="2"/>
            <w:shd w:val="clear" w:color="auto" w:fill="auto"/>
            <w:tcMar>
              <w:left w:w="17" w:type="dxa"/>
              <w:right w:w="17" w:type="dxa"/>
            </w:tcMar>
            <w:vAlign w:val="center"/>
          </w:tcPr>
          <w:p w14:paraId="7B346DA3" w14:textId="77777777" w:rsidR="001C56BD" w:rsidRPr="00F92667" w:rsidRDefault="001C56BD" w:rsidP="008A5C11">
            <w:pPr>
              <w:jc w:val="center"/>
              <w:rPr>
                <w:bCs/>
                <w:sz w:val="12"/>
                <w:szCs w:val="12"/>
              </w:rPr>
            </w:pPr>
            <w:r w:rsidRPr="00F92667">
              <w:rPr>
                <w:bCs/>
                <w:sz w:val="12"/>
                <w:szCs w:val="12"/>
              </w:rPr>
              <w:t>12</w:t>
            </w:r>
          </w:p>
        </w:tc>
        <w:tc>
          <w:tcPr>
            <w:tcW w:w="212" w:type="pct"/>
            <w:shd w:val="clear" w:color="auto" w:fill="auto"/>
            <w:tcMar>
              <w:left w:w="17" w:type="dxa"/>
              <w:right w:w="17" w:type="dxa"/>
            </w:tcMar>
            <w:vAlign w:val="center"/>
          </w:tcPr>
          <w:p w14:paraId="255EED18" w14:textId="77777777" w:rsidR="001C56BD" w:rsidRPr="00F92667" w:rsidRDefault="001C56BD" w:rsidP="008A5C11">
            <w:pPr>
              <w:jc w:val="center"/>
              <w:rPr>
                <w:bCs/>
                <w:sz w:val="12"/>
                <w:szCs w:val="12"/>
              </w:rPr>
            </w:pPr>
            <w:r w:rsidRPr="00F92667">
              <w:rPr>
                <w:bCs/>
                <w:sz w:val="12"/>
                <w:szCs w:val="12"/>
              </w:rPr>
              <w:t>13</w:t>
            </w:r>
          </w:p>
        </w:tc>
        <w:tc>
          <w:tcPr>
            <w:tcW w:w="218" w:type="pct"/>
            <w:gridSpan w:val="2"/>
            <w:shd w:val="clear" w:color="auto" w:fill="auto"/>
            <w:tcMar>
              <w:left w:w="17" w:type="dxa"/>
              <w:right w:w="17" w:type="dxa"/>
            </w:tcMar>
            <w:vAlign w:val="center"/>
          </w:tcPr>
          <w:p w14:paraId="45BA7454" w14:textId="77777777" w:rsidR="001C56BD" w:rsidRPr="00F92667" w:rsidRDefault="001C56BD" w:rsidP="008A5C11">
            <w:pPr>
              <w:jc w:val="center"/>
              <w:rPr>
                <w:bCs/>
                <w:sz w:val="12"/>
                <w:szCs w:val="12"/>
              </w:rPr>
            </w:pPr>
            <w:r w:rsidRPr="00F92667">
              <w:rPr>
                <w:bCs/>
                <w:sz w:val="12"/>
                <w:szCs w:val="12"/>
              </w:rPr>
              <w:t>14</w:t>
            </w:r>
          </w:p>
        </w:tc>
        <w:tc>
          <w:tcPr>
            <w:tcW w:w="217" w:type="pct"/>
            <w:gridSpan w:val="2"/>
            <w:shd w:val="clear" w:color="auto" w:fill="auto"/>
            <w:tcMar>
              <w:left w:w="17" w:type="dxa"/>
              <w:right w:w="17" w:type="dxa"/>
            </w:tcMar>
            <w:vAlign w:val="center"/>
          </w:tcPr>
          <w:p w14:paraId="1D0DA6B7" w14:textId="77777777" w:rsidR="001C56BD" w:rsidRPr="00F92667" w:rsidRDefault="001C56BD" w:rsidP="008A5C11">
            <w:pPr>
              <w:jc w:val="center"/>
              <w:rPr>
                <w:bCs/>
                <w:sz w:val="12"/>
                <w:szCs w:val="12"/>
              </w:rPr>
            </w:pPr>
            <w:r w:rsidRPr="00F92667">
              <w:rPr>
                <w:bCs/>
                <w:sz w:val="12"/>
                <w:szCs w:val="12"/>
              </w:rPr>
              <w:t>15</w:t>
            </w:r>
          </w:p>
        </w:tc>
        <w:tc>
          <w:tcPr>
            <w:tcW w:w="206" w:type="pct"/>
            <w:gridSpan w:val="2"/>
            <w:tcMar>
              <w:left w:w="17" w:type="dxa"/>
              <w:right w:w="17" w:type="dxa"/>
            </w:tcMar>
            <w:vAlign w:val="center"/>
          </w:tcPr>
          <w:p w14:paraId="2FC1790C" w14:textId="77777777" w:rsidR="001C56BD" w:rsidRPr="00F92667" w:rsidRDefault="001C56BD" w:rsidP="008A5C11">
            <w:pPr>
              <w:jc w:val="center"/>
              <w:rPr>
                <w:bCs/>
                <w:sz w:val="12"/>
                <w:szCs w:val="12"/>
              </w:rPr>
            </w:pPr>
            <w:r w:rsidRPr="00F92667">
              <w:rPr>
                <w:bCs/>
                <w:sz w:val="12"/>
                <w:szCs w:val="12"/>
              </w:rPr>
              <w:t>16</w:t>
            </w:r>
          </w:p>
        </w:tc>
        <w:tc>
          <w:tcPr>
            <w:tcW w:w="217" w:type="pct"/>
            <w:gridSpan w:val="2"/>
            <w:tcMar>
              <w:left w:w="17" w:type="dxa"/>
              <w:right w:w="17" w:type="dxa"/>
            </w:tcMar>
            <w:vAlign w:val="center"/>
          </w:tcPr>
          <w:p w14:paraId="2C4D8E89" w14:textId="77777777" w:rsidR="001C56BD" w:rsidRPr="00F92667" w:rsidRDefault="001C56BD" w:rsidP="008A5C11">
            <w:pPr>
              <w:jc w:val="center"/>
              <w:rPr>
                <w:bCs/>
                <w:sz w:val="12"/>
                <w:szCs w:val="12"/>
              </w:rPr>
            </w:pPr>
            <w:r w:rsidRPr="00F92667">
              <w:rPr>
                <w:bCs/>
                <w:sz w:val="12"/>
                <w:szCs w:val="12"/>
              </w:rPr>
              <w:t>17</w:t>
            </w:r>
          </w:p>
        </w:tc>
        <w:tc>
          <w:tcPr>
            <w:tcW w:w="214" w:type="pct"/>
            <w:gridSpan w:val="2"/>
            <w:tcMar>
              <w:left w:w="17" w:type="dxa"/>
              <w:right w:w="17" w:type="dxa"/>
            </w:tcMar>
            <w:vAlign w:val="center"/>
          </w:tcPr>
          <w:p w14:paraId="3661FB0E" w14:textId="77777777" w:rsidR="001C56BD" w:rsidRPr="00F92667" w:rsidRDefault="001C56BD" w:rsidP="008A5C11">
            <w:pPr>
              <w:jc w:val="center"/>
              <w:rPr>
                <w:bCs/>
                <w:sz w:val="12"/>
                <w:szCs w:val="12"/>
              </w:rPr>
            </w:pPr>
            <w:r w:rsidRPr="00F92667">
              <w:rPr>
                <w:bCs/>
                <w:sz w:val="12"/>
                <w:szCs w:val="12"/>
              </w:rPr>
              <w:t>18</w:t>
            </w:r>
          </w:p>
        </w:tc>
        <w:tc>
          <w:tcPr>
            <w:tcW w:w="217" w:type="pct"/>
            <w:gridSpan w:val="2"/>
            <w:tcMar>
              <w:left w:w="17" w:type="dxa"/>
              <w:right w:w="17" w:type="dxa"/>
            </w:tcMar>
            <w:vAlign w:val="center"/>
          </w:tcPr>
          <w:p w14:paraId="67E92765" w14:textId="77777777" w:rsidR="001C56BD" w:rsidRPr="00F92667" w:rsidRDefault="001C56BD" w:rsidP="008A5C11">
            <w:pPr>
              <w:jc w:val="center"/>
              <w:rPr>
                <w:bCs/>
                <w:sz w:val="12"/>
                <w:szCs w:val="12"/>
              </w:rPr>
            </w:pPr>
            <w:r w:rsidRPr="00F92667">
              <w:rPr>
                <w:bCs/>
                <w:sz w:val="12"/>
                <w:szCs w:val="12"/>
              </w:rPr>
              <w:t>19</w:t>
            </w:r>
          </w:p>
        </w:tc>
        <w:tc>
          <w:tcPr>
            <w:tcW w:w="217" w:type="pct"/>
            <w:gridSpan w:val="2"/>
            <w:tcMar>
              <w:left w:w="17" w:type="dxa"/>
              <w:right w:w="17" w:type="dxa"/>
            </w:tcMar>
            <w:vAlign w:val="center"/>
          </w:tcPr>
          <w:p w14:paraId="76992953" w14:textId="77777777" w:rsidR="001C56BD" w:rsidRPr="00F92667" w:rsidRDefault="001C56BD" w:rsidP="008A5C11">
            <w:pPr>
              <w:jc w:val="center"/>
              <w:rPr>
                <w:bCs/>
                <w:sz w:val="12"/>
                <w:szCs w:val="12"/>
              </w:rPr>
            </w:pPr>
            <w:r w:rsidRPr="00F92667">
              <w:rPr>
                <w:bCs/>
                <w:sz w:val="12"/>
                <w:szCs w:val="12"/>
              </w:rPr>
              <w:t>20</w:t>
            </w:r>
          </w:p>
        </w:tc>
        <w:tc>
          <w:tcPr>
            <w:tcW w:w="214" w:type="pct"/>
            <w:gridSpan w:val="2"/>
            <w:tcMar>
              <w:left w:w="17" w:type="dxa"/>
              <w:right w:w="17" w:type="dxa"/>
            </w:tcMar>
            <w:vAlign w:val="center"/>
          </w:tcPr>
          <w:p w14:paraId="6CD35AF9" w14:textId="77777777" w:rsidR="001C56BD" w:rsidRPr="00F92667" w:rsidRDefault="001C56BD" w:rsidP="008A5C11">
            <w:pPr>
              <w:jc w:val="center"/>
              <w:rPr>
                <w:bCs/>
                <w:sz w:val="12"/>
                <w:szCs w:val="12"/>
              </w:rPr>
            </w:pPr>
            <w:r w:rsidRPr="00F92667">
              <w:rPr>
                <w:bCs/>
                <w:sz w:val="12"/>
                <w:szCs w:val="12"/>
              </w:rPr>
              <w:t>21</w:t>
            </w:r>
          </w:p>
        </w:tc>
        <w:tc>
          <w:tcPr>
            <w:tcW w:w="247" w:type="pct"/>
            <w:gridSpan w:val="2"/>
            <w:tcMar>
              <w:left w:w="17" w:type="dxa"/>
              <w:right w:w="17" w:type="dxa"/>
            </w:tcMar>
            <w:vAlign w:val="center"/>
          </w:tcPr>
          <w:p w14:paraId="0355EC2F" w14:textId="77777777" w:rsidR="001C56BD" w:rsidRPr="00F92667" w:rsidRDefault="001C56BD" w:rsidP="008A5C11">
            <w:pPr>
              <w:jc w:val="center"/>
              <w:rPr>
                <w:bCs/>
                <w:sz w:val="12"/>
                <w:szCs w:val="12"/>
              </w:rPr>
            </w:pPr>
            <w:r w:rsidRPr="00F92667">
              <w:rPr>
                <w:bCs/>
                <w:sz w:val="12"/>
                <w:szCs w:val="12"/>
              </w:rPr>
              <w:t>22</w:t>
            </w:r>
          </w:p>
        </w:tc>
        <w:tc>
          <w:tcPr>
            <w:tcW w:w="173" w:type="pct"/>
            <w:tcMar>
              <w:left w:w="17" w:type="dxa"/>
              <w:right w:w="17" w:type="dxa"/>
            </w:tcMar>
            <w:vAlign w:val="center"/>
          </w:tcPr>
          <w:p w14:paraId="125285F1" w14:textId="77777777" w:rsidR="001C56BD" w:rsidRPr="00F92667" w:rsidRDefault="001C56BD" w:rsidP="008A5C11">
            <w:pPr>
              <w:jc w:val="center"/>
              <w:rPr>
                <w:bCs/>
                <w:sz w:val="12"/>
                <w:szCs w:val="12"/>
              </w:rPr>
            </w:pPr>
            <w:r w:rsidRPr="00F92667">
              <w:rPr>
                <w:bCs/>
                <w:sz w:val="12"/>
                <w:szCs w:val="12"/>
              </w:rPr>
              <w:t>23</w:t>
            </w:r>
          </w:p>
        </w:tc>
        <w:tc>
          <w:tcPr>
            <w:tcW w:w="169" w:type="pct"/>
            <w:tcMar>
              <w:left w:w="17" w:type="dxa"/>
              <w:right w:w="17" w:type="dxa"/>
            </w:tcMar>
            <w:vAlign w:val="center"/>
          </w:tcPr>
          <w:p w14:paraId="02E9313E" w14:textId="77777777" w:rsidR="001C56BD" w:rsidRPr="00F92667" w:rsidRDefault="001C56BD" w:rsidP="008A5C11">
            <w:pPr>
              <w:jc w:val="center"/>
              <w:rPr>
                <w:bCs/>
                <w:sz w:val="12"/>
                <w:szCs w:val="12"/>
              </w:rPr>
            </w:pPr>
            <w:r w:rsidRPr="00F92667">
              <w:rPr>
                <w:bCs/>
                <w:sz w:val="12"/>
                <w:szCs w:val="12"/>
              </w:rPr>
              <w:t>24</w:t>
            </w:r>
          </w:p>
        </w:tc>
      </w:tr>
      <w:tr w:rsidR="001C56BD" w:rsidRPr="00F92667" w14:paraId="29704E0D" w14:textId="77777777" w:rsidTr="008A5C11">
        <w:trPr>
          <w:gridBefore w:val="1"/>
          <w:wBefore w:w="3" w:type="pct"/>
          <w:trHeight w:val="897"/>
        </w:trPr>
        <w:tc>
          <w:tcPr>
            <w:tcW w:w="129" w:type="pct"/>
            <w:shd w:val="clear" w:color="auto" w:fill="auto"/>
            <w:tcMar>
              <w:left w:w="17" w:type="dxa"/>
              <w:right w:w="17" w:type="dxa"/>
            </w:tcMar>
            <w:vAlign w:val="center"/>
          </w:tcPr>
          <w:p w14:paraId="350E672E" w14:textId="77777777" w:rsidR="001C56BD" w:rsidRPr="00F92667" w:rsidRDefault="001C56BD" w:rsidP="008A5C11">
            <w:pPr>
              <w:jc w:val="center"/>
              <w:rPr>
                <w:sz w:val="12"/>
                <w:szCs w:val="12"/>
              </w:rPr>
            </w:pPr>
            <w:r w:rsidRPr="00F92667">
              <w:rPr>
                <w:sz w:val="12"/>
                <w:szCs w:val="12"/>
              </w:rPr>
              <w:t>3.1.17.</w:t>
            </w:r>
          </w:p>
        </w:tc>
        <w:tc>
          <w:tcPr>
            <w:tcW w:w="305" w:type="pct"/>
            <w:shd w:val="clear" w:color="auto" w:fill="auto"/>
            <w:tcMar>
              <w:left w:w="17" w:type="dxa"/>
              <w:right w:w="17" w:type="dxa"/>
            </w:tcMar>
            <w:vAlign w:val="center"/>
          </w:tcPr>
          <w:p w14:paraId="04990DE8" w14:textId="77777777" w:rsidR="001C56BD" w:rsidRPr="00F92667" w:rsidRDefault="001C56BD" w:rsidP="008A5C11">
            <w:pPr>
              <w:rPr>
                <w:sz w:val="12"/>
                <w:szCs w:val="12"/>
              </w:rPr>
            </w:pPr>
            <w:r w:rsidRPr="00F92667">
              <w:rPr>
                <w:sz w:val="12"/>
                <w:szCs w:val="12"/>
              </w:rPr>
              <w:t>Реконструкция тепловой сети с реестровым номером 777203</w:t>
            </w:r>
          </w:p>
        </w:tc>
        <w:tc>
          <w:tcPr>
            <w:tcW w:w="304" w:type="pct"/>
            <w:shd w:val="clear" w:color="000000" w:fill="FFFFFF"/>
            <w:tcMar>
              <w:left w:w="17" w:type="dxa"/>
              <w:right w:w="17" w:type="dxa"/>
            </w:tcMar>
            <w:vAlign w:val="center"/>
          </w:tcPr>
          <w:p w14:paraId="7EB7279D" w14:textId="77777777" w:rsidR="001C56BD" w:rsidRPr="00F92667" w:rsidRDefault="001C56BD" w:rsidP="008A5C11">
            <w:pPr>
              <w:jc w:val="center"/>
              <w:rPr>
                <w:sz w:val="12"/>
                <w:szCs w:val="12"/>
              </w:rPr>
            </w:pPr>
            <w:r w:rsidRPr="00F92667">
              <w:rPr>
                <w:color w:val="000000"/>
                <w:sz w:val="12"/>
                <w:szCs w:val="12"/>
              </w:rPr>
              <w:t>Повышение надежности услуг теплоснабжения, повышение энергетической эффективности</w:t>
            </w:r>
          </w:p>
        </w:tc>
        <w:tc>
          <w:tcPr>
            <w:tcW w:w="258" w:type="pct"/>
            <w:shd w:val="clear" w:color="auto" w:fill="auto"/>
            <w:tcMar>
              <w:left w:w="17" w:type="dxa"/>
              <w:right w:w="17" w:type="dxa"/>
            </w:tcMar>
            <w:vAlign w:val="center"/>
          </w:tcPr>
          <w:p w14:paraId="5377A3ED" w14:textId="77777777" w:rsidR="001C56BD" w:rsidRPr="00F92667" w:rsidRDefault="001C56BD" w:rsidP="008A5C11">
            <w:pPr>
              <w:jc w:val="center"/>
              <w:rPr>
                <w:sz w:val="12"/>
                <w:szCs w:val="12"/>
              </w:rPr>
            </w:pPr>
            <w:r w:rsidRPr="00F92667">
              <w:rPr>
                <w:sz w:val="12"/>
                <w:szCs w:val="12"/>
              </w:rPr>
              <w:t>Кемеровский городской округ, 20 м западнее жилого дома №28 по пр. Ленинградский</w:t>
            </w:r>
          </w:p>
        </w:tc>
        <w:tc>
          <w:tcPr>
            <w:tcW w:w="294" w:type="pct"/>
            <w:shd w:val="clear" w:color="auto" w:fill="auto"/>
            <w:tcMar>
              <w:left w:w="17" w:type="dxa"/>
              <w:right w:w="17" w:type="dxa"/>
            </w:tcMar>
            <w:vAlign w:val="center"/>
          </w:tcPr>
          <w:p w14:paraId="2FD89889" w14:textId="77777777" w:rsidR="001C56BD" w:rsidRPr="00F92667" w:rsidRDefault="001C56BD" w:rsidP="008A5C11">
            <w:pPr>
              <w:jc w:val="center"/>
              <w:rPr>
                <w:sz w:val="12"/>
                <w:szCs w:val="12"/>
              </w:rPr>
            </w:pPr>
            <w:r w:rsidRPr="00F92667">
              <w:rPr>
                <w:color w:val="000000"/>
                <w:sz w:val="12"/>
                <w:szCs w:val="12"/>
              </w:rPr>
              <w:t>Технические характеристики</w:t>
            </w:r>
          </w:p>
        </w:tc>
        <w:tc>
          <w:tcPr>
            <w:tcW w:w="129" w:type="pct"/>
            <w:shd w:val="clear" w:color="auto" w:fill="auto"/>
            <w:tcMar>
              <w:left w:w="17" w:type="dxa"/>
              <w:right w:w="17" w:type="dxa"/>
            </w:tcMar>
            <w:vAlign w:val="center"/>
          </w:tcPr>
          <w:p w14:paraId="236086A7" w14:textId="77777777" w:rsidR="001C56BD" w:rsidRPr="00F92667" w:rsidRDefault="001C56BD" w:rsidP="008A5C11">
            <w:pPr>
              <w:jc w:val="center"/>
              <w:rPr>
                <w:color w:val="000000"/>
                <w:sz w:val="12"/>
                <w:szCs w:val="12"/>
              </w:rPr>
            </w:pPr>
          </w:p>
        </w:tc>
        <w:tc>
          <w:tcPr>
            <w:tcW w:w="184" w:type="pct"/>
            <w:shd w:val="clear" w:color="auto" w:fill="auto"/>
            <w:tcMar>
              <w:left w:w="17" w:type="dxa"/>
              <w:right w:w="17" w:type="dxa"/>
            </w:tcMar>
            <w:vAlign w:val="center"/>
          </w:tcPr>
          <w:p w14:paraId="491A8810" w14:textId="77777777" w:rsidR="001C56BD" w:rsidRPr="00F92667" w:rsidRDefault="001C56BD" w:rsidP="008A5C11">
            <w:pPr>
              <w:jc w:val="center"/>
              <w:rPr>
                <w:sz w:val="12"/>
                <w:szCs w:val="12"/>
              </w:rPr>
            </w:pPr>
            <w:r w:rsidRPr="00F92667">
              <w:rPr>
                <w:sz w:val="12"/>
                <w:szCs w:val="12"/>
              </w:rPr>
              <w:t xml:space="preserve">Канал-ж/б лотки (непроходной канал), опоры </w:t>
            </w:r>
            <w:proofErr w:type="gramStart"/>
            <w:r w:rsidRPr="00F92667">
              <w:rPr>
                <w:sz w:val="12"/>
                <w:szCs w:val="12"/>
              </w:rPr>
              <w:t>привар-ные</w:t>
            </w:r>
            <w:proofErr w:type="gramEnd"/>
            <w:r w:rsidRPr="00F92667">
              <w:rPr>
                <w:sz w:val="12"/>
                <w:szCs w:val="12"/>
              </w:rPr>
              <w:t xml:space="preserve">, запорная арматура - стальная клиновая, антикоррозийная защита-лак БТ, труба-сталь 20, изоляция - мин. маты       </w:t>
            </w:r>
          </w:p>
        </w:tc>
        <w:tc>
          <w:tcPr>
            <w:tcW w:w="219" w:type="pct"/>
            <w:shd w:val="clear" w:color="auto" w:fill="auto"/>
            <w:tcMar>
              <w:left w:w="17" w:type="dxa"/>
              <w:right w:w="17" w:type="dxa"/>
            </w:tcMar>
            <w:vAlign w:val="center"/>
          </w:tcPr>
          <w:p w14:paraId="19E2AE06" w14:textId="77777777" w:rsidR="001C56BD" w:rsidRPr="00F92667" w:rsidRDefault="001C56BD" w:rsidP="008A5C11">
            <w:pPr>
              <w:jc w:val="center"/>
              <w:rPr>
                <w:sz w:val="12"/>
                <w:szCs w:val="12"/>
              </w:rPr>
            </w:pPr>
            <w:r w:rsidRPr="00F92667">
              <w:rPr>
                <w:sz w:val="12"/>
                <w:szCs w:val="12"/>
              </w:rPr>
              <w:t xml:space="preserve">Канал-ж/б лотки (непроходной канал), опоры-хомутовые с диэлектрической прокладкой, запорная арматура - краны шаровые, антикоррозийная защита-мастика Вектор 1025, 1214, труба-сталь 09Г2С, изоляция - маты прошивные, </w:t>
            </w:r>
            <w:proofErr w:type="gramStart"/>
            <w:r w:rsidRPr="00F92667">
              <w:rPr>
                <w:sz w:val="12"/>
                <w:szCs w:val="12"/>
              </w:rPr>
              <w:t>стеклоплас-тик</w:t>
            </w:r>
            <w:proofErr w:type="gramEnd"/>
            <w:r w:rsidRPr="00F92667">
              <w:rPr>
                <w:sz w:val="12"/>
                <w:szCs w:val="12"/>
              </w:rPr>
              <w:t xml:space="preserve">  </w:t>
            </w:r>
          </w:p>
        </w:tc>
        <w:tc>
          <w:tcPr>
            <w:tcW w:w="130" w:type="pct"/>
            <w:shd w:val="clear" w:color="auto" w:fill="auto"/>
            <w:tcMar>
              <w:left w:w="17" w:type="dxa"/>
              <w:right w:w="17" w:type="dxa"/>
            </w:tcMar>
            <w:vAlign w:val="center"/>
          </w:tcPr>
          <w:p w14:paraId="283AD859" w14:textId="77777777" w:rsidR="001C56BD" w:rsidRPr="00F92667" w:rsidRDefault="001C56BD" w:rsidP="008A5C11">
            <w:pPr>
              <w:jc w:val="center"/>
              <w:rPr>
                <w:sz w:val="12"/>
                <w:szCs w:val="12"/>
              </w:rPr>
            </w:pPr>
            <w:r w:rsidRPr="00F92667">
              <w:rPr>
                <w:sz w:val="12"/>
                <w:szCs w:val="12"/>
              </w:rPr>
              <w:t>2026</w:t>
            </w:r>
          </w:p>
        </w:tc>
        <w:tc>
          <w:tcPr>
            <w:tcW w:w="130" w:type="pct"/>
            <w:shd w:val="clear" w:color="auto" w:fill="auto"/>
            <w:tcMar>
              <w:left w:w="17" w:type="dxa"/>
              <w:right w:w="17" w:type="dxa"/>
            </w:tcMar>
            <w:vAlign w:val="center"/>
          </w:tcPr>
          <w:p w14:paraId="748AA2B3" w14:textId="77777777" w:rsidR="001C56BD" w:rsidRPr="00F92667" w:rsidRDefault="001C56BD" w:rsidP="008A5C11">
            <w:pPr>
              <w:jc w:val="center"/>
              <w:rPr>
                <w:sz w:val="12"/>
                <w:szCs w:val="12"/>
              </w:rPr>
            </w:pPr>
            <w:r w:rsidRPr="00F92667">
              <w:rPr>
                <w:sz w:val="12"/>
                <w:szCs w:val="12"/>
              </w:rPr>
              <w:t>2026</w:t>
            </w:r>
          </w:p>
        </w:tc>
        <w:tc>
          <w:tcPr>
            <w:tcW w:w="217" w:type="pct"/>
            <w:gridSpan w:val="2"/>
            <w:shd w:val="clear" w:color="auto" w:fill="auto"/>
            <w:tcMar>
              <w:left w:w="17" w:type="dxa"/>
              <w:right w:w="17" w:type="dxa"/>
            </w:tcMar>
            <w:vAlign w:val="center"/>
          </w:tcPr>
          <w:p w14:paraId="05909B1A" w14:textId="77777777" w:rsidR="001C56BD" w:rsidRPr="00F92667" w:rsidRDefault="001C56BD" w:rsidP="008A5C11">
            <w:pPr>
              <w:jc w:val="center"/>
              <w:rPr>
                <w:sz w:val="12"/>
                <w:szCs w:val="12"/>
              </w:rPr>
            </w:pPr>
            <w:r w:rsidRPr="00F92667">
              <w:rPr>
                <w:sz w:val="12"/>
                <w:szCs w:val="12"/>
              </w:rPr>
              <w:t>8573,202</w:t>
            </w:r>
          </w:p>
        </w:tc>
        <w:tc>
          <w:tcPr>
            <w:tcW w:w="177" w:type="pct"/>
            <w:gridSpan w:val="2"/>
            <w:shd w:val="clear" w:color="auto" w:fill="auto"/>
            <w:tcMar>
              <w:left w:w="17" w:type="dxa"/>
              <w:right w:w="17" w:type="dxa"/>
            </w:tcMar>
            <w:vAlign w:val="center"/>
          </w:tcPr>
          <w:p w14:paraId="179AE17B" w14:textId="77777777" w:rsidR="001C56BD" w:rsidRPr="00F92667" w:rsidRDefault="001C56BD" w:rsidP="008A5C11">
            <w:pPr>
              <w:jc w:val="center"/>
              <w:rPr>
                <w:sz w:val="12"/>
                <w:szCs w:val="12"/>
              </w:rPr>
            </w:pPr>
            <w:r w:rsidRPr="00F92667">
              <w:rPr>
                <w:sz w:val="12"/>
                <w:szCs w:val="12"/>
              </w:rPr>
              <w:t>0,000</w:t>
            </w:r>
          </w:p>
        </w:tc>
        <w:tc>
          <w:tcPr>
            <w:tcW w:w="212" w:type="pct"/>
            <w:shd w:val="clear" w:color="auto" w:fill="auto"/>
            <w:tcMar>
              <w:left w:w="17" w:type="dxa"/>
              <w:right w:w="17" w:type="dxa"/>
            </w:tcMar>
            <w:vAlign w:val="center"/>
          </w:tcPr>
          <w:p w14:paraId="2BC8E588" w14:textId="77777777" w:rsidR="001C56BD" w:rsidRPr="00F92667" w:rsidRDefault="001C56BD" w:rsidP="008A5C11">
            <w:pPr>
              <w:jc w:val="center"/>
              <w:rPr>
                <w:sz w:val="12"/>
                <w:szCs w:val="12"/>
              </w:rPr>
            </w:pPr>
            <w:r w:rsidRPr="00F92667">
              <w:rPr>
                <w:sz w:val="12"/>
                <w:szCs w:val="12"/>
              </w:rPr>
              <w:t>0,000</w:t>
            </w:r>
          </w:p>
        </w:tc>
        <w:tc>
          <w:tcPr>
            <w:tcW w:w="218" w:type="pct"/>
            <w:gridSpan w:val="2"/>
            <w:shd w:val="clear" w:color="auto" w:fill="auto"/>
            <w:tcMar>
              <w:left w:w="17" w:type="dxa"/>
              <w:right w:w="17" w:type="dxa"/>
            </w:tcMar>
            <w:vAlign w:val="center"/>
          </w:tcPr>
          <w:p w14:paraId="551A4E93"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6D4531C5" w14:textId="77777777" w:rsidR="001C56BD" w:rsidRPr="00F92667" w:rsidRDefault="001C56BD" w:rsidP="008A5C11">
            <w:pPr>
              <w:jc w:val="center"/>
              <w:rPr>
                <w:sz w:val="12"/>
                <w:szCs w:val="12"/>
              </w:rPr>
            </w:pPr>
            <w:r w:rsidRPr="00F92667">
              <w:rPr>
                <w:sz w:val="12"/>
                <w:szCs w:val="12"/>
              </w:rPr>
              <w:t>0,000</w:t>
            </w:r>
          </w:p>
        </w:tc>
        <w:tc>
          <w:tcPr>
            <w:tcW w:w="206" w:type="pct"/>
            <w:gridSpan w:val="2"/>
            <w:shd w:val="clear" w:color="auto" w:fill="auto"/>
            <w:tcMar>
              <w:left w:w="17" w:type="dxa"/>
              <w:right w:w="17" w:type="dxa"/>
            </w:tcMar>
            <w:vAlign w:val="center"/>
          </w:tcPr>
          <w:p w14:paraId="129340A4"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3623809C" w14:textId="77777777" w:rsidR="001C56BD" w:rsidRPr="00F92667" w:rsidRDefault="001C56BD" w:rsidP="008A5C11">
            <w:pPr>
              <w:jc w:val="center"/>
              <w:rPr>
                <w:sz w:val="12"/>
                <w:szCs w:val="12"/>
              </w:rPr>
            </w:pPr>
            <w:r w:rsidRPr="00F92667">
              <w:rPr>
                <w:sz w:val="12"/>
                <w:szCs w:val="12"/>
              </w:rPr>
              <w:t>8573,202</w:t>
            </w:r>
          </w:p>
        </w:tc>
        <w:tc>
          <w:tcPr>
            <w:tcW w:w="214" w:type="pct"/>
            <w:gridSpan w:val="2"/>
            <w:shd w:val="clear" w:color="auto" w:fill="auto"/>
            <w:tcMar>
              <w:left w:w="17" w:type="dxa"/>
              <w:right w:w="17" w:type="dxa"/>
            </w:tcMar>
            <w:vAlign w:val="center"/>
          </w:tcPr>
          <w:p w14:paraId="0B09C0E2"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10395A46"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0348DD71" w14:textId="77777777" w:rsidR="001C56BD" w:rsidRPr="00F92667" w:rsidRDefault="001C56BD" w:rsidP="008A5C11">
            <w:pPr>
              <w:jc w:val="center"/>
              <w:rPr>
                <w:sz w:val="12"/>
                <w:szCs w:val="12"/>
              </w:rPr>
            </w:pPr>
            <w:r w:rsidRPr="00F92667">
              <w:rPr>
                <w:sz w:val="12"/>
                <w:szCs w:val="12"/>
              </w:rPr>
              <w:t>0,000</w:t>
            </w:r>
          </w:p>
        </w:tc>
        <w:tc>
          <w:tcPr>
            <w:tcW w:w="214" w:type="pct"/>
            <w:gridSpan w:val="2"/>
            <w:shd w:val="clear" w:color="auto" w:fill="auto"/>
            <w:tcMar>
              <w:left w:w="17" w:type="dxa"/>
              <w:right w:w="17" w:type="dxa"/>
            </w:tcMar>
            <w:vAlign w:val="center"/>
          </w:tcPr>
          <w:p w14:paraId="1D63D965" w14:textId="77777777" w:rsidR="001C56BD" w:rsidRPr="00F92667" w:rsidRDefault="001C56BD" w:rsidP="008A5C11">
            <w:pPr>
              <w:jc w:val="center"/>
              <w:rPr>
                <w:sz w:val="12"/>
                <w:szCs w:val="12"/>
              </w:rPr>
            </w:pPr>
            <w:r w:rsidRPr="00F92667">
              <w:rPr>
                <w:sz w:val="12"/>
                <w:szCs w:val="12"/>
              </w:rPr>
              <w:t>0,000</w:t>
            </w:r>
          </w:p>
        </w:tc>
        <w:tc>
          <w:tcPr>
            <w:tcW w:w="247" w:type="pct"/>
            <w:gridSpan w:val="2"/>
            <w:shd w:val="clear" w:color="auto" w:fill="auto"/>
            <w:tcMar>
              <w:left w:w="17" w:type="dxa"/>
              <w:right w:w="17" w:type="dxa"/>
            </w:tcMar>
            <w:vAlign w:val="center"/>
          </w:tcPr>
          <w:p w14:paraId="1A97CB04" w14:textId="77777777" w:rsidR="001C56BD" w:rsidRPr="00F92667" w:rsidRDefault="001C56BD" w:rsidP="008A5C11">
            <w:pPr>
              <w:jc w:val="center"/>
              <w:rPr>
                <w:sz w:val="12"/>
                <w:szCs w:val="12"/>
              </w:rPr>
            </w:pPr>
            <w:r w:rsidRPr="00F92667">
              <w:rPr>
                <w:sz w:val="12"/>
                <w:szCs w:val="12"/>
              </w:rPr>
              <w:t>0,000</w:t>
            </w:r>
          </w:p>
        </w:tc>
        <w:tc>
          <w:tcPr>
            <w:tcW w:w="173" w:type="pct"/>
            <w:shd w:val="clear" w:color="auto" w:fill="auto"/>
            <w:tcMar>
              <w:left w:w="17" w:type="dxa"/>
              <w:right w:w="17" w:type="dxa"/>
            </w:tcMar>
            <w:vAlign w:val="center"/>
          </w:tcPr>
          <w:p w14:paraId="4C542255" w14:textId="77777777" w:rsidR="001C56BD" w:rsidRPr="00F92667" w:rsidRDefault="001C56BD" w:rsidP="008A5C11">
            <w:pPr>
              <w:jc w:val="center"/>
              <w:rPr>
                <w:sz w:val="12"/>
                <w:szCs w:val="12"/>
              </w:rPr>
            </w:pPr>
            <w:r w:rsidRPr="00F92667">
              <w:rPr>
                <w:sz w:val="12"/>
                <w:szCs w:val="12"/>
              </w:rPr>
              <w:t>0,000</w:t>
            </w:r>
          </w:p>
        </w:tc>
        <w:tc>
          <w:tcPr>
            <w:tcW w:w="169" w:type="pct"/>
            <w:shd w:val="clear" w:color="auto" w:fill="auto"/>
            <w:tcMar>
              <w:left w:w="17" w:type="dxa"/>
              <w:right w:w="17" w:type="dxa"/>
            </w:tcMar>
            <w:vAlign w:val="center"/>
          </w:tcPr>
          <w:p w14:paraId="52B5F477" w14:textId="77777777" w:rsidR="001C56BD" w:rsidRPr="00F92667" w:rsidRDefault="001C56BD" w:rsidP="008A5C11">
            <w:pPr>
              <w:jc w:val="center"/>
              <w:rPr>
                <w:sz w:val="12"/>
                <w:szCs w:val="12"/>
              </w:rPr>
            </w:pPr>
            <w:r w:rsidRPr="00F92667">
              <w:rPr>
                <w:sz w:val="12"/>
                <w:szCs w:val="12"/>
              </w:rPr>
              <w:t>0,000</w:t>
            </w:r>
          </w:p>
        </w:tc>
      </w:tr>
      <w:tr w:rsidR="001C56BD" w:rsidRPr="00F92667" w14:paraId="57E8005D" w14:textId="77777777" w:rsidTr="008A5C11">
        <w:trPr>
          <w:gridBefore w:val="1"/>
          <w:wBefore w:w="3" w:type="pct"/>
          <w:trHeight w:val="897"/>
        </w:trPr>
        <w:tc>
          <w:tcPr>
            <w:tcW w:w="129" w:type="pct"/>
            <w:shd w:val="clear" w:color="auto" w:fill="auto"/>
            <w:tcMar>
              <w:left w:w="17" w:type="dxa"/>
              <w:right w:w="17" w:type="dxa"/>
            </w:tcMar>
            <w:vAlign w:val="center"/>
          </w:tcPr>
          <w:p w14:paraId="546F13E0" w14:textId="77777777" w:rsidR="001C56BD" w:rsidRPr="00F92667" w:rsidRDefault="001C56BD" w:rsidP="008A5C11">
            <w:pPr>
              <w:jc w:val="center"/>
              <w:rPr>
                <w:sz w:val="12"/>
                <w:szCs w:val="12"/>
              </w:rPr>
            </w:pPr>
            <w:r w:rsidRPr="00F92667">
              <w:rPr>
                <w:sz w:val="12"/>
                <w:szCs w:val="12"/>
              </w:rPr>
              <w:t>3.1.18.</w:t>
            </w:r>
          </w:p>
        </w:tc>
        <w:tc>
          <w:tcPr>
            <w:tcW w:w="305" w:type="pct"/>
            <w:shd w:val="clear" w:color="auto" w:fill="auto"/>
            <w:tcMar>
              <w:left w:w="17" w:type="dxa"/>
              <w:right w:w="17" w:type="dxa"/>
            </w:tcMar>
            <w:vAlign w:val="center"/>
          </w:tcPr>
          <w:p w14:paraId="445A5955" w14:textId="77777777" w:rsidR="001C56BD" w:rsidRPr="00F92667" w:rsidRDefault="001C56BD" w:rsidP="008A5C11">
            <w:pPr>
              <w:rPr>
                <w:sz w:val="12"/>
                <w:szCs w:val="12"/>
              </w:rPr>
            </w:pPr>
            <w:r w:rsidRPr="00F92667">
              <w:rPr>
                <w:sz w:val="12"/>
                <w:szCs w:val="12"/>
              </w:rPr>
              <w:t>Реконструкция тепловой сети с реестровым номером 777264</w:t>
            </w:r>
          </w:p>
        </w:tc>
        <w:tc>
          <w:tcPr>
            <w:tcW w:w="304" w:type="pct"/>
            <w:shd w:val="clear" w:color="000000" w:fill="FFFFFF"/>
            <w:tcMar>
              <w:left w:w="17" w:type="dxa"/>
              <w:right w:w="17" w:type="dxa"/>
            </w:tcMar>
            <w:vAlign w:val="center"/>
          </w:tcPr>
          <w:p w14:paraId="5921ED5D" w14:textId="77777777" w:rsidR="001C56BD" w:rsidRPr="00F92667" w:rsidRDefault="001C56BD" w:rsidP="008A5C11">
            <w:pPr>
              <w:jc w:val="center"/>
              <w:rPr>
                <w:sz w:val="12"/>
                <w:szCs w:val="12"/>
              </w:rPr>
            </w:pPr>
            <w:r w:rsidRPr="00F92667">
              <w:rPr>
                <w:color w:val="000000"/>
                <w:sz w:val="12"/>
                <w:szCs w:val="12"/>
              </w:rPr>
              <w:t>Повышение надежности услуг теплоснабжения, повышение энергетической эффективности</w:t>
            </w:r>
          </w:p>
        </w:tc>
        <w:tc>
          <w:tcPr>
            <w:tcW w:w="258" w:type="pct"/>
            <w:shd w:val="clear" w:color="auto" w:fill="auto"/>
            <w:tcMar>
              <w:left w:w="17" w:type="dxa"/>
              <w:right w:w="17" w:type="dxa"/>
            </w:tcMar>
            <w:vAlign w:val="center"/>
          </w:tcPr>
          <w:p w14:paraId="059C00AD" w14:textId="77777777" w:rsidR="001C56BD" w:rsidRPr="00F92667" w:rsidRDefault="001C56BD" w:rsidP="008A5C11">
            <w:pPr>
              <w:jc w:val="center"/>
              <w:rPr>
                <w:sz w:val="12"/>
                <w:szCs w:val="12"/>
              </w:rPr>
            </w:pPr>
            <w:r w:rsidRPr="00F92667">
              <w:rPr>
                <w:sz w:val="12"/>
                <w:szCs w:val="12"/>
              </w:rPr>
              <w:t>Кемеровский городской округ, Заводский район, квартал №1 (ул. Ульяны Громовой, ул. Глинки, 5, ул. Космическая, 6)</w:t>
            </w:r>
          </w:p>
        </w:tc>
        <w:tc>
          <w:tcPr>
            <w:tcW w:w="294" w:type="pct"/>
            <w:shd w:val="clear" w:color="auto" w:fill="auto"/>
            <w:tcMar>
              <w:left w:w="17" w:type="dxa"/>
              <w:right w:w="17" w:type="dxa"/>
            </w:tcMar>
            <w:vAlign w:val="center"/>
          </w:tcPr>
          <w:p w14:paraId="4CD291F0" w14:textId="77777777" w:rsidR="001C56BD" w:rsidRPr="00F92667" w:rsidRDefault="001C56BD" w:rsidP="008A5C11">
            <w:pPr>
              <w:jc w:val="center"/>
              <w:rPr>
                <w:sz w:val="12"/>
                <w:szCs w:val="12"/>
              </w:rPr>
            </w:pPr>
            <w:r w:rsidRPr="00F92667">
              <w:rPr>
                <w:color w:val="000000"/>
                <w:sz w:val="12"/>
                <w:szCs w:val="12"/>
              </w:rPr>
              <w:t>Технические характеристики</w:t>
            </w:r>
          </w:p>
        </w:tc>
        <w:tc>
          <w:tcPr>
            <w:tcW w:w="129" w:type="pct"/>
            <w:shd w:val="clear" w:color="auto" w:fill="auto"/>
            <w:tcMar>
              <w:left w:w="17" w:type="dxa"/>
              <w:right w:w="17" w:type="dxa"/>
            </w:tcMar>
            <w:vAlign w:val="center"/>
          </w:tcPr>
          <w:p w14:paraId="45357AA8" w14:textId="77777777" w:rsidR="001C56BD" w:rsidRPr="00F92667" w:rsidRDefault="001C56BD" w:rsidP="008A5C11">
            <w:pPr>
              <w:jc w:val="center"/>
              <w:rPr>
                <w:color w:val="000000"/>
                <w:sz w:val="12"/>
                <w:szCs w:val="12"/>
              </w:rPr>
            </w:pPr>
          </w:p>
        </w:tc>
        <w:tc>
          <w:tcPr>
            <w:tcW w:w="184" w:type="pct"/>
            <w:shd w:val="clear" w:color="auto" w:fill="auto"/>
            <w:tcMar>
              <w:left w:w="17" w:type="dxa"/>
              <w:right w:w="17" w:type="dxa"/>
            </w:tcMar>
            <w:vAlign w:val="center"/>
          </w:tcPr>
          <w:p w14:paraId="2FAF4A09" w14:textId="77777777" w:rsidR="001C56BD" w:rsidRPr="00F92667" w:rsidRDefault="001C56BD" w:rsidP="008A5C11">
            <w:pPr>
              <w:jc w:val="center"/>
              <w:rPr>
                <w:sz w:val="12"/>
                <w:szCs w:val="12"/>
              </w:rPr>
            </w:pPr>
            <w:r w:rsidRPr="00F92667">
              <w:rPr>
                <w:sz w:val="12"/>
                <w:szCs w:val="12"/>
              </w:rPr>
              <w:t xml:space="preserve">Канал-кирпич, опоры-хомутовые привар-ные, запорная арматура - стальная клиновая, антикоррозийная защита-лак БТ, труба-сталь 20, изоляция - </w:t>
            </w:r>
            <w:proofErr w:type="gramStart"/>
            <w:r w:rsidRPr="00F92667">
              <w:rPr>
                <w:sz w:val="12"/>
                <w:szCs w:val="12"/>
              </w:rPr>
              <w:t>мин.м</w:t>
            </w:r>
            <w:proofErr w:type="gramEnd"/>
            <w:r w:rsidRPr="00F92667">
              <w:rPr>
                <w:sz w:val="12"/>
                <w:szCs w:val="12"/>
              </w:rPr>
              <w:t xml:space="preserve"> аты </w:t>
            </w:r>
          </w:p>
        </w:tc>
        <w:tc>
          <w:tcPr>
            <w:tcW w:w="219" w:type="pct"/>
            <w:shd w:val="clear" w:color="auto" w:fill="auto"/>
            <w:tcMar>
              <w:left w:w="17" w:type="dxa"/>
              <w:right w:w="17" w:type="dxa"/>
            </w:tcMar>
            <w:vAlign w:val="center"/>
          </w:tcPr>
          <w:p w14:paraId="72B80E4A" w14:textId="77777777" w:rsidR="001C56BD" w:rsidRPr="00F92667" w:rsidRDefault="001C56BD" w:rsidP="008A5C11">
            <w:pPr>
              <w:jc w:val="center"/>
              <w:rPr>
                <w:sz w:val="12"/>
                <w:szCs w:val="12"/>
              </w:rPr>
            </w:pPr>
            <w:r w:rsidRPr="00F92667">
              <w:rPr>
                <w:sz w:val="12"/>
                <w:szCs w:val="12"/>
              </w:rPr>
              <w:t xml:space="preserve">Канал-ж/б лотки, опоры-хомутовые с диэлектрической прокладкой, запорная арматура - кран шаровый, антикоррозийная защита-мастика Вектор 1214, 1025, труба-сталь 09Г2С, изоляция - маты прошивные, </w:t>
            </w:r>
            <w:proofErr w:type="gramStart"/>
            <w:r w:rsidRPr="00F92667">
              <w:rPr>
                <w:sz w:val="12"/>
                <w:szCs w:val="12"/>
              </w:rPr>
              <w:t>стеклоплас-тик</w:t>
            </w:r>
            <w:proofErr w:type="gramEnd"/>
            <w:r w:rsidRPr="00F92667">
              <w:rPr>
                <w:sz w:val="12"/>
                <w:szCs w:val="12"/>
              </w:rPr>
              <w:t xml:space="preserve">  </w:t>
            </w:r>
          </w:p>
        </w:tc>
        <w:tc>
          <w:tcPr>
            <w:tcW w:w="130" w:type="pct"/>
            <w:shd w:val="clear" w:color="auto" w:fill="auto"/>
            <w:tcMar>
              <w:left w:w="17" w:type="dxa"/>
              <w:right w:w="17" w:type="dxa"/>
            </w:tcMar>
            <w:vAlign w:val="center"/>
          </w:tcPr>
          <w:p w14:paraId="1A09109D" w14:textId="77777777" w:rsidR="001C56BD" w:rsidRPr="00F92667" w:rsidRDefault="001C56BD" w:rsidP="008A5C11">
            <w:pPr>
              <w:jc w:val="center"/>
              <w:rPr>
                <w:sz w:val="12"/>
                <w:szCs w:val="12"/>
              </w:rPr>
            </w:pPr>
            <w:r w:rsidRPr="00F92667">
              <w:rPr>
                <w:sz w:val="12"/>
                <w:szCs w:val="12"/>
              </w:rPr>
              <w:t>2031</w:t>
            </w:r>
          </w:p>
        </w:tc>
        <w:tc>
          <w:tcPr>
            <w:tcW w:w="130" w:type="pct"/>
            <w:shd w:val="clear" w:color="auto" w:fill="auto"/>
            <w:tcMar>
              <w:left w:w="17" w:type="dxa"/>
              <w:right w:w="17" w:type="dxa"/>
            </w:tcMar>
            <w:vAlign w:val="center"/>
          </w:tcPr>
          <w:p w14:paraId="68CF27E1" w14:textId="77777777" w:rsidR="001C56BD" w:rsidRPr="00F92667" w:rsidRDefault="001C56BD" w:rsidP="008A5C11">
            <w:pPr>
              <w:jc w:val="center"/>
              <w:rPr>
                <w:sz w:val="12"/>
                <w:szCs w:val="12"/>
              </w:rPr>
            </w:pPr>
            <w:r w:rsidRPr="00F92667">
              <w:rPr>
                <w:sz w:val="12"/>
                <w:szCs w:val="12"/>
              </w:rPr>
              <w:t>2031</w:t>
            </w:r>
          </w:p>
        </w:tc>
        <w:tc>
          <w:tcPr>
            <w:tcW w:w="217" w:type="pct"/>
            <w:gridSpan w:val="2"/>
            <w:shd w:val="clear" w:color="auto" w:fill="auto"/>
            <w:tcMar>
              <w:left w:w="17" w:type="dxa"/>
              <w:right w:w="17" w:type="dxa"/>
            </w:tcMar>
            <w:vAlign w:val="center"/>
          </w:tcPr>
          <w:p w14:paraId="6E39E290" w14:textId="77777777" w:rsidR="001C56BD" w:rsidRPr="00F92667" w:rsidRDefault="001C56BD" w:rsidP="008A5C11">
            <w:pPr>
              <w:jc w:val="center"/>
              <w:rPr>
                <w:sz w:val="12"/>
                <w:szCs w:val="12"/>
              </w:rPr>
            </w:pPr>
            <w:r w:rsidRPr="00F92667">
              <w:rPr>
                <w:sz w:val="12"/>
                <w:szCs w:val="12"/>
              </w:rPr>
              <w:t>8602,392</w:t>
            </w:r>
          </w:p>
        </w:tc>
        <w:tc>
          <w:tcPr>
            <w:tcW w:w="177" w:type="pct"/>
            <w:gridSpan w:val="2"/>
            <w:shd w:val="clear" w:color="auto" w:fill="auto"/>
            <w:tcMar>
              <w:left w:w="17" w:type="dxa"/>
              <w:right w:w="17" w:type="dxa"/>
            </w:tcMar>
            <w:vAlign w:val="center"/>
          </w:tcPr>
          <w:p w14:paraId="3DB5A9DF" w14:textId="77777777" w:rsidR="001C56BD" w:rsidRPr="00F92667" w:rsidRDefault="001C56BD" w:rsidP="008A5C11">
            <w:pPr>
              <w:jc w:val="center"/>
              <w:rPr>
                <w:sz w:val="12"/>
                <w:szCs w:val="12"/>
              </w:rPr>
            </w:pPr>
            <w:r w:rsidRPr="00F92667">
              <w:rPr>
                <w:sz w:val="12"/>
                <w:szCs w:val="12"/>
              </w:rPr>
              <w:t>0,000</w:t>
            </w:r>
          </w:p>
        </w:tc>
        <w:tc>
          <w:tcPr>
            <w:tcW w:w="212" w:type="pct"/>
            <w:shd w:val="clear" w:color="auto" w:fill="auto"/>
            <w:tcMar>
              <w:left w:w="17" w:type="dxa"/>
              <w:right w:w="17" w:type="dxa"/>
            </w:tcMar>
            <w:vAlign w:val="center"/>
          </w:tcPr>
          <w:p w14:paraId="7D4297B7" w14:textId="77777777" w:rsidR="001C56BD" w:rsidRPr="00F92667" w:rsidRDefault="001C56BD" w:rsidP="008A5C11">
            <w:pPr>
              <w:jc w:val="center"/>
              <w:rPr>
                <w:sz w:val="12"/>
                <w:szCs w:val="12"/>
              </w:rPr>
            </w:pPr>
            <w:r w:rsidRPr="00F92667">
              <w:rPr>
                <w:sz w:val="12"/>
                <w:szCs w:val="12"/>
              </w:rPr>
              <w:t>0,000</w:t>
            </w:r>
          </w:p>
        </w:tc>
        <w:tc>
          <w:tcPr>
            <w:tcW w:w="218" w:type="pct"/>
            <w:gridSpan w:val="2"/>
            <w:shd w:val="clear" w:color="auto" w:fill="auto"/>
            <w:tcMar>
              <w:left w:w="17" w:type="dxa"/>
              <w:right w:w="17" w:type="dxa"/>
            </w:tcMar>
            <w:vAlign w:val="center"/>
          </w:tcPr>
          <w:p w14:paraId="7EC34129"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23A7C180" w14:textId="77777777" w:rsidR="001C56BD" w:rsidRPr="00F92667" w:rsidRDefault="001C56BD" w:rsidP="008A5C11">
            <w:pPr>
              <w:jc w:val="center"/>
              <w:rPr>
                <w:sz w:val="12"/>
                <w:szCs w:val="12"/>
              </w:rPr>
            </w:pPr>
            <w:r w:rsidRPr="00F92667">
              <w:rPr>
                <w:sz w:val="12"/>
                <w:szCs w:val="12"/>
              </w:rPr>
              <w:t>0,000</w:t>
            </w:r>
          </w:p>
        </w:tc>
        <w:tc>
          <w:tcPr>
            <w:tcW w:w="206" w:type="pct"/>
            <w:gridSpan w:val="2"/>
            <w:shd w:val="clear" w:color="auto" w:fill="auto"/>
            <w:tcMar>
              <w:left w:w="17" w:type="dxa"/>
              <w:right w:w="17" w:type="dxa"/>
            </w:tcMar>
            <w:vAlign w:val="center"/>
          </w:tcPr>
          <w:p w14:paraId="75B70BDC"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0A4EF840" w14:textId="77777777" w:rsidR="001C56BD" w:rsidRPr="00F92667" w:rsidRDefault="001C56BD" w:rsidP="008A5C11">
            <w:pPr>
              <w:jc w:val="center"/>
              <w:rPr>
                <w:sz w:val="12"/>
                <w:szCs w:val="12"/>
              </w:rPr>
            </w:pPr>
            <w:r w:rsidRPr="00F92667">
              <w:rPr>
                <w:sz w:val="12"/>
                <w:szCs w:val="12"/>
              </w:rPr>
              <w:t>0,000</w:t>
            </w:r>
          </w:p>
        </w:tc>
        <w:tc>
          <w:tcPr>
            <w:tcW w:w="214" w:type="pct"/>
            <w:gridSpan w:val="2"/>
            <w:shd w:val="clear" w:color="auto" w:fill="auto"/>
            <w:tcMar>
              <w:left w:w="17" w:type="dxa"/>
              <w:right w:w="17" w:type="dxa"/>
            </w:tcMar>
            <w:vAlign w:val="center"/>
          </w:tcPr>
          <w:p w14:paraId="12967683"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314D291A"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782E960B" w14:textId="77777777" w:rsidR="001C56BD" w:rsidRPr="00F92667" w:rsidRDefault="001C56BD" w:rsidP="008A5C11">
            <w:pPr>
              <w:jc w:val="center"/>
              <w:rPr>
                <w:sz w:val="12"/>
                <w:szCs w:val="12"/>
              </w:rPr>
            </w:pPr>
            <w:r w:rsidRPr="00F92667">
              <w:rPr>
                <w:sz w:val="12"/>
                <w:szCs w:val="12"/>
              </w:rPr>
              <w:t>0,000</w:t>
            </w:r>
          </w:p>
        </w:tc>
        <w:tc>
          <w:tcPr>
            <w:tcW w:w="214" w:type="pct"/>
            <w:gridSpan w:val="2"/>
            <w:shd w:val="clear" w:color="auto" w:fill="auto"/>
            <w:tcMar>
              <w:left w:w="17" w:type="dxa"/>
              <w:right w:w="17" w:type="dxa"/>
            </w:tcMar>
            <w:vAlign w:val="center"/>
          </w:tcPr>
          <w:p w14:paraId="2E3F2EC4" w14:textId="77777777" w:rsidR="001C56BD" w:rsidRPr="00F92667" w:rsidRDefault="001C56BD" w:rsidP="008A5C11">
            <w:pPr>
              <w:jc w:val="center"/>
              <w:rPr>
                <w:sz w:val="12"/>
                <w:szCs w:val="12"/>
              </w:rPr>
            </w:pPr>
            <w:r w:rsidRPr="00F92667">
              <w:rPr>
                <w:sz w:val="12"/>
                <w:szCs w:val="12"/>
              </w:rPr>
              <w:t>0,000</w:t>
            </w:r>
          </w:p>
        </w:tc>
        <w:tc>
          <w:tcPr>
            <w:tcW w:w="247" w:type="pct"/>
            <w:gridSpan w:val="2"/>
            <w:shd w:val="clear" w:color="auto" w:fill="auto"/>
            <w:tcMar>
              <w:left w:w="17" w:type="dxa"/>
              <w:right w:w="17" w:type="dxa"/>
            </w:tcMar>
            <w:vAlign w:val="center"/>
          </w:tcPr>
          <w:p w14:paraId="48F1D7F7" w14:textId="77777777" w:rsidR="001C56BD" w:rsidRPr="00F92667" w:rsidRDefault="001C56BD" w:rsidP="008A5C11">
            <w:pPr>
              <w:jc w:val="center"/>
              <w:rPr>
                <w:sz w:val="12"/>
                <w:szCs w:val="12"/>
              </w:rPr>
            </w:pPr>
            <w:r w:rsidRPr="00F92667">
              <w:rPr>
                <w:sz w:val="12"/>
                <w:szCs w:val="12"/>
              </w:rPr>
              <w:t>8602,392</w:t>
            </w:r>
          </w:p>
        </w:tc>
        <w:tc>
          <w:tcPr>
            <w:tcW w:w="173" w:type="pct"/>
            <w:shd w:val="clear" w:color="auto" w:fill="auto"/>
            <w:tcMar>
              <w:left w:w="17" w:type="dxa"/>
              <w:right w:w="17" w:type="dxa"/>
            </w:tcMar>
            <w:vAlign w:val="center"/>
          </w:tcPr>
          <w:p w14:paraId="00F6F281" w14:textId="77777777" w:rsidR="001C56BD" w:rsidRPr="00F92667" w:rsidRDefault="001C56BD" w:rsidP="008A5C11">
            <w:pPr>
              <w:jc w:val="center"/>
              <w:rPr>
                <w:sz w:val="12"/>
                <w:szCs w:val="12"/>
              </w:rPr>
            </w:pPr>
            <w:r w:rsidRPr="00F92667">
              <w:rPr>
                <w:sz w:val="12"/>
                <w:szCs w:val="12"/>
              </w:rPr>
              <w:t>0,000</w:t>
            </w:r>
          </w:p>
        </w:tc>
        <w:tc>
          <w:tcPr>
            <w:tcW w:w="169" w:type="pct"/>
            <w:shd w:val="clear" w:color="auto" w:fill="auto"/>
            <w:tcMar>
              <w:left w:w="17" w:type="dxa"/>
              <w:right w:w="17" w:type="dxa"/>
            </w:tcMar>
            <w:vAlign w:val="center"/>
          </w:tcPr>
          <w:p w14:paraId="1CC1F530" w14:textId="77777777" w:rsidR="001C56BD" w:rsidRPr="00F92667" w:rsidRDefault="001C56BD" w:rsidP="008A5C11">
            <w:pPr>
              <w:jc w:val="center"/>
              <w:rPr>
                <w:sz w:val="12"/>
                <w:szCs w:val="12"/>
              </w:rPr>
            </w:pPr>
            <w:r w:rsidRPr="00F92667">
              <w:rPr>
                <w:sz w:val="12"/>
                <w:szCs w:val="12"/>
              </w:rPr>
              <w:t>0,000</w:t>
            </w:r>
          </w:p>
        </w:tc>
      </w:tr>
      <w:tr w:rsidR="001C56BD" w:rsidRPr="00F92667" w14:paraId="116F4827" w14:textId="77777777" w:rsidTr="008A5C11">
        <w:trPr>
          <w:gridBefore w:val="1"/>
          <w:wBefore w:w="3" w:type="pct"/>
          <w:trHeight w:val="897"/>
        </w:trPr>
        <w:tc>
          <w:tcPr>
            <w:tcW w:w="129" w:type="pct"/>
            <w:shd w:val="clear" w:color="auto" w:fill="auto"/>
            <w:tcMar>
              <w:left w:w="17" w:type="dxa"/>
              <w:right w:w="17" w:type="dxa"/>
            </w:tcMar>
            <w:vAlign w:val="center"/>
          </w:tcPr>
          <w:p w14:paraId="7A62D187" w14:textId="77777777" w:rsidR="001C56BD" w:rsidRPr="00F92667" w:rsidRDefault="001C56BD" w:rsidP="008A5C11">
            <w:pPr>
              <w:jc w:val="center"/>
              <w:rPr>
                <w:sz w:val="12"/>
                <w:szCs w:val="12"/>
              </w:rPr>
            </w:pPr>
            <w:r w:rsidRPr="00F92667">
              <w:rPr>
                <w:sz w:val="12"/>
                <w:szCs w:val="12"/>
              </w:rPr>
              <w:t>3.1.19.</w:t>
            </w:r>
          </w:p>
        </w:tc>
        <w:tc>
          <w:tcPr>
            <w:tcW w:w="305" w:type="pct"/>
            <w:shd w:val="clear" w:color="auto" w:fill="auto"/>
            <w:tcMar>
              <w:left w:w="17" w:type="dxa"/>
              <w:right w:w="17" w:type="dxa"/>
            </w:tcMar>
            <w:vAlign w:val="center"/>
          </w:tcPr>
          <w:p w14:paraId="3C0D1331" w14:textId="77777777" w:rsidR="001C56BD" w:rsidRPr="00F92667" w:rsidRDefault="001C56BD" w:rsidP="008A5C11">
            <w:pPr>
              <w:rPr>
                <w:sz w:val="12"/>
                <w:szCs w:val="12"/>
              </w:rPr>
            </w:pPr>
            <w:r w:rsidRPr="00F92667">
              <w:rPr>
                <w:sz w:val="12"/>
                <w:szCs w:val="12"/>
              </w:rPr>
              <w:t>Реконструкция тепловой сети с реестровым номером 777269</w:t>
            </w:r>
          </w:p>
        </w:tc>
        <w:tc>
          <w:tcPr>
            <w:tcW w:w="304" w:type="pct"/>
            <w:shd w:val="clear" w:color="000000" w:fill="FFFFFF"/>
            <w:tcMar>
              <w:left w:w="17" w:type="dxa"/>
              <w:right w:w="17" w:type="dxa"/>
            </w:tcMar>
            <w:vAlign w:val="center"/>
          </w:tcPr>
          <w:p w14:paraId="5CA60F0C" w14:textId="77777777" w:rsidR="001C56BD" w:rsidRPr="00F92667" w:rsidRDefault="001C56BD" w:rsidP="008A5C11">
            <w:pPr>
              <w:jc w:val="center"/>
              <w:rPr>
                <w:sz w:val="12"/>
                <w:szCs w:val="12"/>
              </w:rPr>
            </w:pPr>
            <w:r w:rsidRPr="00F92667">
              <w:rPr>
                <w:color w:val="000000"/>
                <w:sz w:val="12"/>
                <w:szCs w:val="12"/>
              </w:rPr>
              <w:t>Повышение надежности услуг теплоснабжения, повышение энергетической эффективности</w:t>
            </w:r>
          </w:p>
        </w:tc>
        <w:tc>
          <w:tcPr>
            <w:tcW w:w="258" w:type="pct"/>
            <w:shd w:val="clear" w:color="auto" w:fill="auto"/>
            <w:tcMar>
              <w:left w:w="17" w:type="dxa"/>
              <w:right w:w="17" w:type="dxa"/>
            </w:tcMar>
            <w:vAlign w:val="center"/>
          </w:tcPr>
          <w:p w14:paraId="699C2DCD" w14:textId="77777777" w:rsidR="001C56BD" w:rsidRPr="00F92667" w:rsidRDefault="001C56BD" w:rsidP="008A5C11">
            <w:pPr>
              <w:jc w:val="center"/>
              <w:rPr>
                <w:sz w:val="12"/>
                <w:szCs w:val="12"/>
              </w:rPr>
            </w:pPr>
            <w:r w:rsidRPr="00F92667">
              <w:rPr>
                <w:sz w:val="12"/>
                <w:szCs w:val="12"/>
              </w:rPr>
              <w:t>Кемеровский городской округ, Заводский район, квартал №</w:t>
            </w:r>
            <w:proofErr w:type="gramStart"/>
            <w:r w:rsidRPr="00F92667">
              <w:rPr>
                <w:sz w:val="12"/>
                <w:szCs w:val="12"/>
              </w:rPr>
              <w:t>2 ,</w:t>
            </w:r>
            <w:proofErr w:type="gramEnd"/>
            <w:r w:rsidRPr="00F92667">
              <w:rPr>
                <w:sz w:val="12"/>
                <w:szCs w:val="12"/>
              </w:rPr>
              <w:t xml:space="preserve"> в границах ул. Базовая, ул. Патриотов, ул. Ульяны Громовой, ул. Космическая</w:t>
            </w:r>
          </w:p>
        </w:tc>
        <w:tc>
          <w:tcPr>
            <w:tcW w:w="294" w:type="pct"/>
            <w:shd w:val="clear" w:color="auto" w:fill="auto"/>
            <w:tcMar>
              <w:left w:w="17" w:type="dxa"/>
              <w:right w:w="17" w:type="dxa"/>
            </w:tcMar>
            <w:vAlign w:val="center"/>
          </w:tcPr>
          <w:p w14:paraId="279607A3" w14:textId="77777777" w:rsidR="001C56BD" w:rsidRPr="00F92667" w:rsidRDefault="001C56BD" w:rsidP="008A5C11">
            <w:pPr>
              <w:jc w:val="center"/>
              <w:rPr>
                <w:sz w:val="12"/>
                <w:szCs w:val="12"/>
              </w:rPr>
            </w:pPr>
            <w:r w:rsidRPr="00F92667">
              <w:rPr>
                <w:color w:val="000000"/>
                <w:sz w:val="12"/>
                <w:szCs w:val="12"/>
              </w:rPr>
              <w:t>Технические характеристики</w:t>
            </w:r>
          </w:p>
        </w:tc>
        <w:tc>
          <w:tcPr>
            <w:tcW w:w="129" w:type="pct"/>
            <w:shd w:val="clear" w:color="auto" w:fill="auto"/>
            <w:tcMar>
              <w:left w:w="17" w:type="dxa"/>
              <w:right w:w="17" w:type="dxa"/>
            </w:tcMar>
            <w:vAlign w:val="center"/>
          </w:tcPr>
          <w:p w14:paraId="41AFBCD9" w14:textId="77777777" w:rsidR="001C56BD" w:rsidRPr="00F92667" w:rsidRDefault="001C56BD" w:rsidP="008A5C11">
            <w:pPr>
              <w:jc w:val="center"/>
              <w:rPr>
                <w:color w:val="000000"/>
                <w:sz w:val="12"/>
                <w:szCs w:val="12"/>
              </w:rPr>
            </w:pPr>
          </w:p>
        </w:tc>
        <w:tc>
          <w:tcPr>
            <w:tcW w:w="184" w:type="pct"/>
            <w:shd w:val="clear" w:color="auto" w:fill="auto"/>
            <w:tcMar>
              <w:left w:w="17" w:type="dxa"/>
              <w:right w:w="17" w:type="dxa"/>
            </w:tcMar>
            <w:vAlign w:val="center"/>
          </w:tcPr>
          <w:p w14:paraId="0DECB95C" w14:textId="77777777" w:rsidR="001C56BD" w:rsidRPr="00F92667" w:rsidRDefault="001C56BD" w:rsidP="008A5C11">
            <w:pPr>
              <w:jc w:val="center"/>
              <w:rPr>
                <w:sz w:val="12"/>
                <w:szCs w:val="12"/>
              </w:rPr>
            </w:pPr>
            <w:r w:rsidRPr="00F92667">
              <w:rPr>
                <w:sz w:val="12"/>
                <w:szCs w:val="12"/>
              </w:rPr>
              <w:t xml:space="preserve">Канал-кирпич, опоры-хомутовые </w:t>
            </w:r>
            <w:proofErr w:type="gramStart"/>
            <w:r w:rsidRPr="00F92667">
              <w:rPr>
                <w:sz w:val="12"/>
                <w:szCs w:val="12"/>
              </w:rPr>
              <w:t>привар-ные</w:t>
            </w:r>
            <w:proofErr w:type="gramEnd"/>
            <w:r w:rsidRPr="00F92667">
              <w:rPr>
                <w:sz w:val="12"/>
                <w:szCs w:val="12"/>
              </w:rPr>
              <w:t xml:space="preserve">, запорная арматура - стальная клиновая, антикоррозийная защита-лак БТ, труба-сталь 20, изоляция - мин. маты </w:t>
            </w:r>
          </w:p>
        </w:tc>
        <w:tc>
          <w:tcPr>
            <w:tcW w:w="219" w:type="pct"/>
            <w:shd w:val="clear" w:color="auto" w:fill="auto"/>
            <w:tcMar>
              <w:left w:w="17" w:type="dxa"/>
              <w:right w:w="17" w:type="dxa"/>
            </w:tcMar>
            <w:vAlign w:val="center"/>
          </w:tcPr>
          <w:p w14:paraId="4D8FC0CF" w14:textId="77777777" w:rsidR="001C56BD" w:rsidRPr="00F92667" w:rsidRDefault="001C56BD" w:rsidP="008A5C11">
            <w:pPr>
              <w:jc w:val="center"/>
              <w:rPr>
                <w:sz w:val="12"/>
                <w:szCs w:val="12"/>
              </w:rPr>
            </w:pPr>
            <w:r w:rsidRPr="00F92667">
              <w:rPr>
                <w:sz w:val="12"/>
                <w:szCs w:val="12"/>
              </w:rPr>
              <w:t xml:space="preserve">Канал-ж/б лотки, опоры-хомутовые с диэлектрической прокладкой, запорная арматура - кран шаровый, антикоррозийная защита-мастика Вектор 1214, 1025, труба-сталь 09Г2С, изоляция - маты прошивные, </w:t>
            </w:r>
            <w:proofErr w:type="gramStart"/>
            <w:r w:rsidRPr="00F92667">
              <w:rPr>
                <w:sz w:val="12"/>
                <w:szCs w:val="12"/>
              </w:rPr>
              <w:t>стеклоплас-тик</w:t>
            </w:r>
            <w:proofErr w:type="gramEnd"/>
          </w:p>
        </w:tc>
        <w:tc>
          <w:tcPr>
            <w:tcW w:w="130" w:type="pct"/>
            <w:shd w:val="clear" w:color="auto" w:fill="auto"/>
            <w:tcMar>
              <w:left w:w="17" w:type="dxa"/>
              <w:right w:w="17" w:type="dxa"/>
            </w:tcMar>
            <w:vAlign w:val="center"/>
          </w:tcPr>
          <w:p w14:paraId="1EE49C7E" w14:textId="77777777" w:rsidR="001C56BD" w:rsidRPr="00F92667" w:rsidRDefault="001C56BD" w:rsidP="008A5C11">
            <w:pPr>
              <w:jc w:val="center"/>
              <w:rPr>
                <w:sz w:val="12"/>
                <w:szCs w:val="12"/>
              </w:rPr>
            </w:pPr>
            <w:r w:rsidRPr="00F92667">
              <w:rPr>
                <w:sz w:val="12"/>
                <w:szCs w:val="12"/>
              </w:rPr>
              <w:t>2022</w:t>
            </w:r>
          </w:p>
        </w:tc>
        <w:tc>
          <w:tcPr>
            <w:tcW w:w="130" w:type="pct"/>
            <w:shd w:val="clear" w:color="auto" w:fill="auto"/>
            <w:tcMar>
              <w:left w:w="17" w:type="dxa"/>
              <w:right w:w="17" w:type="dxa"/>
            </w:tcMar>
            <w:vAlign w:val="center"/>
          </w:tcPr>
          <w:p w14:paraId="435458B4" w14:textId="77777777" w:rsidR="001C56BD" w:rsidRPr="00F92667" w:rsidRDefault="001C56BD" w:rsidP="008A5C11">
            <w:pPr>
              <w:jc w:val="center"/>
              <w:rPr>
                <w:sz w:val="12"/>
                <w:szCs w:val="12"/>
              </w:rPr>
            </w:pPr>
            <w:r w:rsidRPr="00F92667">
              <w:rPr>
                <w:sz w:val="12"/>
                <w:szCs w:val="12"/>
              </w:rPr>
              <w:t>2024</w:t>
            </w:r>
          </w:p>
        </w:tc>
        <w:tc>
          <w:tcPr>
            <w:tcW w:w="217" w:type="pct"/>
            <w:gridSpan w:val="2"/>
            <w:shd w:val="clear" w:color="auto" w:fill="auto"/>
            <w:tcMar>
              <w:left w:w="17" w:type="dxa"/>
              <w:right w:w="17" w:type="dxa"/>
            </w:tcMar>
            <w:vAlign w:val="center"/>
          </w:tcPr>
          <w:p w14:paraId="15DBBD72" w14:textId="77777777" w:rsidR="001C56BD" w:rsidRPr="00F92667" w:rsidRDefault="001C56BD" w:rsidP="008A5C11">
            <w:pPr>
              <w:jc w:val="center"/>
              <w:rPr>
                <w:sz w:val="12"/>
                <w:szCs w:val="12"/>
              </w:rPr>
            </w:pPr>
            <w:r w:rsidRPr="00F92667">
              <w:rPr>
                <w:sz w:val="12"/>
                <w:szCs w:val="12"/>
              </w:rPr>
              <w:t>23127,552</w:t>
            </w:r>
          </w:p>
        </w:tc>
        <w:tc>
          <w:tcPr>
            <w:tcW w:w="177" w:type="pct"/>
            <w:gridSpan w:val="2"/>
            <w:shd w:val="clear" w:color="auto" w:fill="auto"/>
            <w:tcMar>
              <w:left w:w="17" w:type="dxa"/>
              <w:right w:w="17" w:type="dxa"/>
            </w:tcMar>
            <w:vAlign w:val="center"/>
          </w:tcPr>
          <w:p w14:paraId="29FF7FE7" w14:textId="77777777" w:rsidR="001C56BD" w:rsidRPr="00F92667" w:rsidRDefault="001C56BD" w:rsidP="008A5C11">
            <w:pPr>
              <w:jc w:val="center"/>
              <w:rPr>
                <w:sz w:val="12"/>
                <w:szCs w:val="12"/>
              </w:rPr>
            </w:pPr>
            <w:r w:rsidRPr="00F92667">
              <w:rPr>
                <w:sz w:val="12"/>
                <w:szCs w:val="12"/>
              </w:rPr>
              <w:t>0,000</w:t>
            </w:r>
          </w:p>
        </w:tc>
        <w:tc>
          <w:tcPr>
            <w:tcW w:w="212" w:type="pct"/>
            <w:shd w:val="clear" w:color="auto" w:fill="auto"/>
            <w:tcMar>
              <w:left w:w="17" w:type="dxa"/>
              <w:right w:w="17" w:type="dxa"/>
            </w:tcMar>
            <w:vAlign w:val="center"/>
          </w:tcPr>
          <w:p w14:paraId="49DA9151" w14:textId="77777777" w:rsidR="001C56BD" w:rsidRPr="00F92667" w:rsidRDefault="001C56BD" w:rsidP="008A5C11">
            <w:pPr>
              <w:jc w:val="center"/>
              <w:rPr>
                <w:sz w:val="12"/>
                <w:szCs w:val="12"/>
              </w:rPr>
            </w:pPr>
            <w:r w:rsidRPr="00F92667">
              <w:rPr>
                <w:sz w:val="12"/>
                <w:szCs w:val="12"/>
              </w:rPr>
              <w:t>18502,428</w:t>
            </w:r>
          </w:p>
        </w:tc>
        <w:tc>
          <w:tcPr>
            <w:tcW w:w="218" w:type="pct"/>
            <w:gridSpan w:val="2"/>
            <w:shd w:val="clear" w:color="auto" w:fill="auto"/>
            <w:tcMar>
              <w:left w:w="17" w:type="dxa"/>
              <w:right w:w="17" w:type="dxa"/>
            </w:tcMar>
            <w:vAlign w:val="center"/>
          </w:tcPr>
          <w:p w14:paraId="6105A671"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30CF2AF9" w14:textId="77777777" w:rsidR="001C56BD" w:rsidRPr="00F92667" w:rsidRDefault="001C56BD" w:rsidP="008A5C11">
            <w:pPr>
              <w:jc w:val="center"/>
              <w:rPr>
                <w:sz w:val="12"/>
                <w:szCs w:val="12"/>
              </w:rPr>
            </w:pPr>
            <w:r w:rsidRPr="00F92667">
              <w:rPr>
                <w:sz w:val="12"/>
                <w:szCs w:val="12"/>
              </w:rPr>
              <w:t>4625,124</w:t>
            </w:r>
          </w:p>
        </w:tc>
        <w:tc>
          <w:tcPr>
            <w:tcW w:w="206" w:type="pct"/>
            <w:gridSpan w:val="2"/>
            <w:shd w:val="clear" w:color="auto" w:fill="auto"/>
            <w:tcMar>
              <w:left w:w="17" w:type="dxa"/>
              <w:right w:w="17" w:type="dxa"/>
            </w:tcMar>
            <w:vAlign w:val="center"/>
          </w:tcPr>
          <w:p w14:paraId="16B057D8"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0626B497" w14:textId="77777777" w:rsidR="001C56BD" w:rsidRPr="00F92667" w:rsidRDefault="001C56BD" w:rsidP="008A5C11">
            <w:pPr>
              <w:jc w:val="center"/>
              <w:rPr>
                <w:sz w:val="12"/>
                <w:szCs w:val="12"/>
              </w:rPr>
            </w:pPr>
            <w:r w:rsidRPr="00F92667">
              <w:rPr>
                <w:sz w:val="12"/>
                <w:szCs w:val="12"/>
              </w:rPr>
              <w:t>0,000</w:t>
            </w:r>
          </w:p>
        </w:tc>
        <w:tc>
          <w:tcPr>
            <w:tcW w:w="214" w:type="pct"/>
            <w:gridSpan w:val="2"/>
            <w:shd w:val="clear" w:color="auto" w:fill="auto"/>
            <w:tcMar>
              <w:left w:w="17" w:type="dxa"/>
              <w:right w:w="17" w:type="dxa"/>
            </w:tcMar>
            <w:vAlign w:val="center"/>
          </w:tcPr>
          <w:p w14:paraId="15EAC466"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6A7D31BA"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5FE9A102" w14:textId="77777777" w:rsidR="001C56BD" w:rsidRPr="00F92667" w:rsidRDefault="001C56BD" w:rsidP="008A5C11">
            <w:pPr>
              <w:jc w:val="center"/>
              <w:rPr>
                <w:sz w:val="12"/>
                <w:szCs w:val="12"/>
              </w:rPr>
            </w:pPr>
            <w:r w:rsidRPr="00F92667">
              <w:rPr>
                <w:sz w:val="12"/>
                <w:szCs w:val="12"/>
              </w:rPr>
              <w:t>0,000</w:t>
            </w:r>
          </w:p>
        </w:tc>
        <w:tc>
          <w:tcPr>
            <w:tcW w:w="214" w:type="pct"/>
            <w:gridSpan w:val="2"/>
            <w:shd w:val="clear" w:color="auto" w:fill="auto"/>
            <w:tcMar>
              <w:left w:w="17" w:type="dxa"/>
              <w:right w:w="17" w:type="dxa"/>
            </w:tcMar>
            <w:vAlign w:val="center"/>
          </w:tcPr>
          <w:p w14:paraId="20D2ADE8" w14:textId="77777777" w:rsidR="001C56BD" w:rsidRPr="00F92667" w:rsidRDefault="001C56BD" w:rsidP="008A5C11">
            <w:pPr>
              <w:jc w:val="center"/>
              <w:rPr>
                <w:sz w:val="12"/>
                <w:szCs w:val="12"/>
              </w:rPr>
            </w:pPr>
            <w:r w:rsidRPr="00F92667">
              <w:rPr>
                <w:sz w:val="12"/>
                <w:szCs w:val="12"/>
              </w:rPr>
              <w:t>0,000</w:t>
            </w:r>
          </w:p>
        </w:tc>
        <w:tc>
          <w:tcPr>
            <w:tcW w:w="247" w:type="pct"/>
            <w:gridSpan w:val="2"/>
            <w:shd w:val="clear" w:color="auto" w:fill="auto"/>
            <w:tcMar>
              <w:left w:w="17" w:type="dxa"/>
              <w:right w:w="17" w:type="dxa"/>
            </w:tcMar>
            <w:vAlign w:val="center"/>
          </w:tcPr>
          <w:p w14:paraId="4D667180" w14:textId="77777777" w:rsidR="001C56BD" w:rsidRPr="00F92667" w:rsidRDefault="001C56BD" w:rsidP="008A5C11">
            <w:pPr>
              <w:jc w:val="center"/>
              <w:rPr>
                <w:sz w:val="12"/>
                <w:szCs w:val="12"/>
              </w:rPr>
            </w:pPr>
            <w:r w:rsidRPr="00F92667">
              <w:rPr>
                <w:sz w:val="12"/>
                <w:szCs w:val="12"/>
              </w:rPr>
              <w:t>0,000</w:t>
            </w:r>
          </w:p>
        </w:tc>
        <w:tc>
          <w:tcPr>
            <w:tcW w:w="173" w:type="pct"/>
            <w:shd w:val="clear" w:color="auto" w:fill="auto"/>
            <w:tcMar>
              <w:left w:w="17" w:type="dxa"/>
              <w:right w:w="17" w:type="dxa"/>
            </w:tcMar>
            <w:vAlign w:val="center"/>
          </w:tcPr>
          <w:p w14:paraId="6E1D1BA1" w14:textId="77777777" w:rsidR="001C56BD" w:rsidRPr="00F92667" w:rsidRDefault="001C56BD" w:rsidP="008A5C11">
            <w:pPr>
              <w:jc w:val="center"/>
              <w:rPr>
                <w:sz w:val="12"/>
                <w:szCs w:val="12"/>
              </w:rPr>
            </w:pPr>
            <w:r w:rsidRPr="00F92667">
              <w:rPr>
                <w:sz w:val="12"/>
                <w:szCs w:val="12"/>
              </w:rPr>
              <w:t>0,000</w:t>
            </w:r>
          </w:p>
        </w:tc>
        <w:tc>
          <w:tcPr>
            <w:tcW w:w="169" w:type="pct"/>
            <w:shd w:val="clear" w:color="auto" w:fill="auto"/>
            <w:tcMar>
              <w:left w:w="17" w:type="dxa"/>
              <w:right w:w="17" w:type="dxa"/>
            </w:tcMar>
            <w:vAlign w:val="center"/>
          </w:tcPr>
          <w:p w14:paraId="6DB9F169" w14:textId="77777777" w:rsidR="001C56BD" w:rsidRPr="00F92667" w:rsidRDefault="001C56BD" w:rsidP="008A5C11">
            <w:pPr>
              <w:jc w:val="center"/>
              <w:rPr>
                <w:sz w:val="12"/>
                <w:szCs w:val="12"/>
              </w:rPr>
            </w:pPr>
            <w:r w:rsidRPr="00F92667">
              <w:rPr>
                <w:sz w:val="12"/>
                <w:szCs w:val="12"/>
              </w:rPr>
              <w:t>0,000</w:t>
            </w:r>
          </w:p>
        </w:tc>
      </w:tr>
      <w:tr w:rsidR="001C56BD" w:rsidRPr="00F92667" w14:paraId="59300E36" w14:textId="77777777" w:rsidTr="008A5C11">
        <w:trPr>
          <w:gridBefore w:val="1"/>
          <w:wBefore w:w="3" w:type="pct"/>
          <w:trHeight w:val="897"/>
        </w:trPr>
        <w:tc>
          <w:tcPr>
            <w:tcW w:w="129" w:type="pct"/>
            <w:shd w:val="clear" w:color="auto" w:fill="auto"/>
            <w:tcMar>
              <w:left w:w="17" w:type="dxa"/>
              <w:right w:w="17" w:type="dxa"/>
            </w:tcMar>
            <w:vAlign w:val="center"/>
          </w:tcPr>
          <w:p w14:paraId="752FAF25" w14:textId="77777777" w:rsidR="001C56BD" w:rsidRPr="00F92667" w:rsidRDefault="001C56BD" w:rsidP="008A5C11">
            <w:pPr>
              <w:jc w:val="center"/>
              <w:rPr>
                <w:bCs/>
                <w:sz w:val="12"/>
                <w:szCs w:val="12"/>
              </w:rPr>
            </w:pPr>
            <w:r w:rsidRPr="00F92667">
              <w:rPr>
                <w:bCs/>
                <w:sz w:val="12"/>
                <w:szCs w:val="12"/>
              </w:rPr>
              <w:t>1</w:t>
            </w:r>
          </w:p>
        </w:tc>
        <w:tc>
          <w:tcPr>
            <w:tcW w:w="305" w:type="pct"/>
            <w:shd w:val="clear" w:color="auto" w:fill="auto"/>
            <w:tcMar>
              <w:left w:w="17" w:type="dxa"/>
              <w:right w:w="17" w:type="dxa"/>
            </w:tcMar>
            <w:vAlign w:val="center"/>
          </w:tcPr>
          <w:p w14:paraId="415F1A60" w14:textId="77777777" w:rsidR="001C56BD" w:rsidRPr="00F92667" w:rsidRDefault="001C56BD" w:rsidP="008A5C11">
            <w:pPr>
              <w:jc w:val="center"/>
              <w:rPr>
                <w:bCs/>
                <w:sz w:val="12"/>
                <w:szCs w:val="12"/>
              </w:rPr>
            </w:pPr>
            <w:r w:rsidRPr="00F92667">
              <w:rPr>
                <w:bCs/>
                <w:sz w:val="12"/>
                <w:szCs w:val="12"/>
              </w:rPr>
              <w:t>2</w:t>
            </w:r>
          </w:p>
        </w:tc>
        <w:tc>
          <w:tcPr>
            <w:tcW w:w="304" w:type="pct"/>
            <w:shd w:val="clear" w:color="auto" w:fill="auto"/>
            <w:tcMar>
              <w:left w:w="17" w:type="dxa"/>
              <w:right w:w="17" w:type="dxa"/>
            </w:tcMar>
            <w:vAlign w:val="center"/>
          </w:tcPr>
          <w:p w14:paraId="78839922" w14:textId="77777777" w:rsidR="001C56BD" w:rsidRPr="00F92667" w:rsidRDefault="001C56BD" w:rsidP="008A5C11">
            <w:pPr>
              <w:jc w:val="center"/>
              <w:rPr>
                <w:bCs/>
                <w:sz w:val="12"/>
                <w:szCs w:val="12"/>
              </w:rPr>
            </w:pPr>
            <w:r w:rsidRPr="00F92667">
              <w:rPr>
                <w:bCs/>
                <w:sz w:val="12"/>
                <w:szCs w:val="12"/>
              </w:rPr>
              <w:t>3</w:t>
            </w:r>
          </w:p>
        </w:tc>
        <w:tc>
          <w:tcPr>
            <w:tcW w:w="258" w:type="pct"/>
            <w:shd w:val="clear" w:color="auto" w:fill="auto"/>
            <w:tcMar>
              <w:left w:w="17" w:type="dxa"/>
              <w:right w:w="17" w:type="dxa"/>
            </w:tcMar>
            <w:vAlign w:val="center"/>
          </w:tcPr>
          <w:p w14:paraId="6B969965" w14:textId="77777777" w:rsidR="001C56BD" w:rsidRPr="00F92667" w:rsidRDefault="001C56BD" w:rsidP="008A5C11">
            <w:pPr>
              <w:jc w:val="center"/>
              <w:rPr>
                <w:bCs/>
                <w:sz w:val="12"/>
                <w:szCs w:val="12"/>
              </w:rPr>
            </w:pPr>
            <w:r w:rsidRPr="00F92667">
              <w:rPr>
                <w:bCs/>
                <w:sz w:val="12"/>
                <w:szCs w:val="12"/>
              </w:rPr>
              <w:t>4</w:t>
            </w:r>
          </w:p>
        </w:tc>
        <w:tc>
          <w:tcPr>
            <w:tcW w:w="294" w:type="pct"/>
            <w:shd w:val="clear" w:color="auto" w:fill="auto"/>
            <w:tcMar>
              <w:left w:w="17" w:type="dxa"/>
              <w:right w:w="17" w:type="dxa"/>
            </w:tcMar>
            <w:vAlign w:val="center"/>
          </w:tcPr>
          <w:p w14:paraId="0B87B533" w14:textId="77777777" w:rsidR="001C56BD" w:rsidRPr="00F92667" w:rsidRDefault="001C56BD" w:rsidP="008A5C11">
            <w:pPr>
              <w:jc w:val="center"/>
              <w:rPr>
                <w:bCs/>
                <w:sz w:val="12"/>
                <w:szCs w:val="12"/>
              </w:rPr>
            </w:pPr>
            <w:r w:rsidRPr="00F92667">
              <w:rPr>
                <w:bCs/>
                <w:sz w:val="12"/>
                <w:szCs w:val="12"/>
              </w:rPr>
              <w:t>5</w:t>
            </w:r>
          </w:p>
        </w:tc>
        <w:tc>
          <w:tcPr>
            <w:tcW w:w="129" w:type="pct"/>
            <w:shd w:val="clear" w:color="auto" w:fill="auto"/>
            <w:tcMar>
              <w:left w:w="17" w:type="dxa"/>
              <w:right w:w="17" w:type="dxa"/>
            </w:tcMar>
            <w:vAlign w:val="center"/>
          </w:tcPr>
          <w:p w14:paraId="703F2297" w14:textId="77777777" w:rsidR="001C56BD" w:rsidRPr="00F92667" w:rsidRDefault="001C56BD" w:rsidP="008A5C11">
            <w:pPr>
              <w:jc w:val="center"/>
              <w:rPr>
                <w:bCs/>
                <w:sz w:val="12"/>
                <w:szCs w:val="12"/>
              </w:rPr>
            </w:pPr>
            <w:r w:rsidRPr="00F92667">
              <w:rPr>
                <w:bCs/>
                <w:sz w:val="12"/>
                <w:szCs w:val="12"/>
              </w:rPr>
              <w:t>6</w:t>
            </w:r>
          </w:p>
        </w:tc>
        <w:tc>
          <w:tcPr>
            <w:tcW w:w="184" w:type="pct"/>
            <w:shd w:val="clear" w:color="auto" w:fill="auto"/>
            <w:tcMar>
              <w:left w:w="17" w:type="dxa"/>
              <w:right w:w="17" w:type="dxa"/>
            </w:tcMar>
            <w:vAlign w:val="center"/>
          </w:tcPr>
          <w:p w14:paraId="411EFC7B" w14:textId="77777777" w:rsidR="001C56BD" w:rsidRPr="00F92667" w:rsidRDefault="001C56BD" w:rsidP="008A5C11">
            <w:pPr>
              <w:jc w:val="center"/>
              <w:rPr>
                <w:bCs/>
                <w:sz w:val="12"/>
                <w:szCs w:val="12"/>
              </w:rPr>
            </w:pPr>
            <w:r w:rsidRPr="00F92667">
              <w:rPr>
                <w:bCs/>
                <w:sz w:val="12"/>
                <w:szCs w:val="12"/>
              </w:rPr>
              <w:t>7</w:t>
            </w:r>
          </w:p>
        </w:tc>
        <w:tc>
          <w:tcPr>
            <w:tcW w:w="219" w:type="pct"/>
            <w:shd w:val="clear" w:color="auto" w:fill="auto"/>
            <w:tcMar>
              <w:left w:w="17" w:type="dxa"/>
              <w:right w:w="17" w:type="dxa"/>
            </w:tcMar>
            <w:vAlign w:val="center"/>
          </w:tcPr>
          <w:p w14:paraId="5CC8DDD0" w14:textId="77777777" w:rsidR="001C56BD" w:rsidRPr="00F92667" w:rsidRDefault="001C56BD" w:rsidP="008A5C11">
            <w:pPr>
              <w:jc w:val="center"/>
              <w:rPr>
                <w:bCs/>
                <w:sz w:val="12"/>
                <w:szCs w:val="12"/>
              </w:rPr>
            </w:pPr>
            <w:r w:rsidRPr="00F92667">
              <w:rPr>
                <w:bCs/>
                <w:sz w:val="12"/>
                <w:szCs w:val="12"/>
              </w:rPr>
              <w:t>8</w:t>
            </w:r>
          </w:p>
        </w:tc>
        <w:tc>
          <w:tcPr>
            <w:tcW w:w="130" w:type="pct"/>
            <w:shd w:val="clear" w:color="auto" w:fill="auto"/>
            <w:tcMar>
              <w:left w:w="17" w:type="dxa"/>
              <w:right w:w="17" w:type="dxa"/>
            </w:tcMar>
            <w:vAlign w:val="center"/>
          </w:tcPr>
          <w:p w14:paraId="20F25A51" w14:textId="77777777" w:rsidR="001C56BD" w:rsidRPr="00F92667" w:rsidRDefault="001C56BD" w:rsidP="008A5C11">
            <w:pPr>
              <w:jc w:val="center"/>
              <w:rPr>
                <w:bCs/>
                <w:sz w:val="12"/>
                <w:szCs w:val="12"/>
              </w:rPr>
            </w:pPr>
            <w:r w:rsidRPr="00F92667">
              <w:rPr>
                <w:bCs/>
                <w:sz w:val="12"/>
                <w:szCs w:val="12"/>
              </w:rPr>
              <w:t>9</w:t>
            </w:r>
          </w:p>
        </w:tc>
        <w:tc>
          <w:tcPr>
            <w:tcW w:w="130" w:type="pct"/>
            <w:shd w:val="clear" w:color="auto" w:fill="auto"/>
            <w:tcMar>
              <w:left w:w="17" w:type="dxa"/>
              <w:right w:w="17" w:type="dxa"/>
            </w:tcMar>
            <w:vAlign w:val="center"/>
          </w:tcPr>
          <w:p w14:paraId="0C7FA288" w14:textId="77777777" w:rsidR="001C56BD" w:rsidRPr="00F92667" w:rsidRDefault="001C56BD" w:rsidP="008A5C11">
            <w:pPr>
              <w:jc w:val="center"/>
              <w:rPr>
                <w:bCs/>
                <w:sz w:val="12"/>
                <w:szCs w:val="12"/>
              </w:rPr>
            </w:pPr>
            <w:r w:rsidRPr="00F92667">
              <w:rPr>
                <w:bCs/>
                <w:sz w:val="12"/>
                <w:szCs w:val="12"/>
              </w:rPr>
              <w:t>10</w:t>
            </w:r>
          </w:p>
        </w:tc>
        <w:tc>
          <w:tcPr>
            <w:tcW w:w="217" w:type="pct"/>
            <w:gridSpan w:val="2"/>
            <w:shd w:val="clear" w:color="auto" w:fill="auto"/>
            <w:tcMar>
              <w:left w:w="17" w:type="dxa"/>
              <w:right w:w="17" w:type="dxa"/>
            </w:tcMar>
            <w:vAlign w:val="center"/>
          </w:tcPr>
          <w:p w14:paraId="178AEB5D" w14:textId="77777777" w:rsidR="001C56BD" w:rsidRPr="00F92667" w:rsidRDefault="001C56BD" w:rsidP="008A5C11">
            <w:pPr>
              <w:jc w:val="center"/>
              <w:rPr>
                <w:bCs/>
                <w:sz w:val="12"/>
                <w:szCs w:val="12"/>
              </w:rPr>
            </w:pPr>
            <w:r w:rsidRPr="00F92667">
              <w:rPr>
                <w:bCs/>
                <w:sz w:val="12"/>
                <w:szCs w:val="12"/>
              </w:rPr>
              <w:t>11</w:t>
            </w:r>
          </w:p>
        </w:tc>
        <w:tc>
          <w:tcPr>
            <w:tcW w:w="177" w:type="pct"/>
            <w:gridSpan w:val="2"/>
            <w:shd w:val="clear" w:color="auto" w:fill="auto"/>
            <w:tcMar>
              <w:left w:w="17" w:type="dxa"/>
              <w:right w:w="17" w:type="dxa"/>
            </w:tcMar>
            <w:vAlign w:val="center"/>
          </w:tcPr>
          <w:p w14:paraId="47740BDA" w14:textId="77777777" w:rsidR="001C56BD" w:rsidRPr="00F92667" w:rsidRDefault="001C56BD" w:rsidP="008A5C11">
            <w:pPr>
              <w:jc w:val="center"/>
              <w:rPr>
                <w:bCs/>
                <w:sz w:val="12"/>
                <w:szCs w:val="12"/>
              </w:rPr>
            </w:pPr>
            <w:r w:rsidRPr="00F92667">
              <w:rPr>
                <w:bCs/>
                <w:sz w:val="12"/>
                <w:szCs w:val="12"/>
              </w:rPr>
              <w:t>12</w:t>
            </w:r>
          </w:p>
        </w:tc>
        <w:tc>
          <w:tcPr>
            <w:tcW w:w="212" w:type="pct"/>
            <w:shd w:val="clear" w:color="auto" w:fill="auto"/>
            <w:tcMar>
              <w:left w:w="17" w:type="dxa"/>
              <w:right w:w="17" w:type="dxa"/>
            </w:tcMar>
            <w:vAlign w:val="center"/>
          </w:tcPr>
          <w:p w14:paraId="49F78575" w14:textId="77777777" w:rsidR="001C56BD" w:rsidRPr="00F92667" w:rsidRDefault="001C56BD" w:rsidP="008A5C11">
            <w:pPr>
              <w:jc w:val="center"/>
              <w:rPr>
                <w:bCs/>
                <w:sz w:val="12"/>
                <w:szCs w:val="12"/>
              </w:rPr>
            </w:pPr>
            <w:r w:rsidRPr="00F92667">
              <w:rPr>
                <w:bCs/>
                <w:sz w:val="12"/>
                <w:szCs w:val="12"/>
              </w:rPr>
              <w:t>13</w:t>
            </w:r>
          </w:p>
        </w:tc>
        <w:tc>
          <w:tcPr>
            <w:tcW w:w="218" w:type="pct"/>
            <w:gridSpan w:val="2"/>
            <w:shd w:val="clear" w:color="auto" w:fill="auto"/>
            <w:tcMar>
              <w:left w:w="17" w:type="dxa"/>
              <w:right w:w="17" w:type="dxa"/>
            </w:tcMar>
            <w:vAlign w:val="center"/>
          </w:tcPr>
          <w:p w14:paraId="37C7BC7C" w14:textId="77777777" w:rsidR="001C56BD" w:rsidRPr="00F92667" w:rsidRDefault="001C56BD" w:rsidP="008A5C11">
            <w:pPr>
              <w:jc w:val="center"/>
              <w:rPr>
                <w:bCs/>
                <w:sz w:val="12"/>
                <w:szCs w:val="12"/>
              </w:rPr>
            </w:pPr>
            <w:r w:rsidRPr="00F92667">
              <w:rPr>
                <w:bCs/>
                <w:sz w:val="12"/>
                <w:szCs w:val="12"/>
              </w:rPr>
              <w:t>14</w:t>
            </w:r>
          </w:p>
        </w:tc>
        <w:tc>
          <w:tcPr>
            <w:tcW w:w="217" w:type="pct"/>
            <w:gridSpan w:val="2"/>
            <w:shd w:val="clear" w:color="auto" w:fill="auto"/>
            <w:tcMar>
              <w:left w:w="17" w:type="dxa"/>
              <w:right w:w="17" w:type="dxa"/>
            </w:tcMar>
            <w:vAlign w:val="center"/>
          </w:tcPr>
          <w:p w14:paraId="0496B8DE" w14:textId="77777777" w:rsidR="001C56BD" w:rsidRPr="00F92667" w:rsidRDefault="001C56BD" w:rsidP="008A5C11">
            <w:pPr>
              <w:jc w:val="center"/>
              <w:rPr>
                <w:bCs/>
                <w:sz w:val="12"/>
                <w:szCs w:val="12"/>
              </w:rPr>
            </w:pPr>
            <w:r w:rsidRPr="00F92667">
              <w:rPr>
                <w:bCs/>
                <w:sz w:val="12"/>
                <w:szCs w:val="12"/>
              </w:rPr>
              <w:t>15</w:t>
            </w:r>
          </w:p>
        </w:tc>
        <w:tc>
          <w:tcPr>
            <w:tcW w:w="206" w:type="pct"/>
            <w:gridSpan w:val="2"/>
            <w:tcMar>
              <w:left w:w="17" w:type="dxa"/>
              <w:right w:w="17" w:type="dxa"/>
            </w:tcMar>
            <w:vAlign w:val="center"/>
          </w:tcPr>
          <w:p w14:paraId="253ECBA1" w14:textId="77777777" w:rsidR="001C56BD" w:rsidRPr="00F92667" w:rsidRDefault="001C56BD" w:rsidP="008A5C11">
            <w:pPr>
              <w:jc w:val="center"/>
              <w:rPr>
                <w:bCs/>
                <w:sz w:val="12"/>
                <w:szCs w:val="12"/>
              </w:rPr>
            </w:pPr>
            <w:r w:rsidRPr="00F92667">
              <w:rPr>
                <w:bCs/>
                <w:sz w:val="12"/>
                <w:szCs w:val="12"/>
              </w:rPr>
              <w:t>16</w:t>
            </w:r>
          </w:p>
        </w:tc>
        <w:tc>
          <w:tcPr>
            <w:tcW w:w="217" w:type="pct"/>
            <w:gridSpan w:val="2"/>
            <w:tcMar>
              <w:left w:w="17" w:type="dxa"/>
              <w:right w:w="17" w:type="dxa"/>
            </w:tcMar>
            <w:vAlign w:val="center"/>
          </w:tcPr>
          <w:p w14:paraId="7516B50E" w14:textId="77777777" w:rsidR="001C56BD" w:rsidRPr="00F92667" w:rsidRDefault="001C56BD" w:rsidP="008A5C11">
            <w:pPr>
              <w:jc w:val="center"/>
              <w:rPr>
                <w:bCs/>
                <w:sz w:val="12"/>
                <w:szCs w:val="12"/>
              </w:rPr>
            </w:pPr>
            <w:r w:rsidRPr="00F92667">
              <w:rPr>
                <w:bCs/>
                <w:sz w:val="12"/>
                <w:szCs w:val="12"/>
              </w:rPr>
              <w:t>17</w:t>
            </w:r>
          </w:p>
        </w:tc>
        <w:tc>
          <w:tcPr>
            <w:tcW w:w="214" w:type="pct"/>
            <w:gridSpan w:val="2"/>
            <w:tcMar>
              <w:left w:w="17" w:type="dxa"/>
              <w:right w:w="17" w:type="dxa"/>
            </w:tcMar>
            <w:vAlign w:val="center"/>
          </w:tcPr>
          <w:p w14:paraId="032CC490" w14:textId="77777777" w:rsidR="001C56BD" w:rsidRPr="00F92667" w:rsidRDefault="001C56BD" w:rsidP="008A5C11">
            <w:pPr>
              <w:jc w:val="center"/>
              <w:rPr>
                <w:bCs/>
                <w:sz w:val="12"/>
                <w:szCs w:val="12"/>
              </w:rPr>
            </w:pPr>
            <w:r w:rsidRPr="00F92667">
              <w:rPr>
                <w:bCs/>
                <w:sz w:val="12"/>
                <w:szCs w:val="12"/>
              </w:rPr>
              <w:t>18</w:t>
            </w:r>
          </w:p>
        </w:tc>
        <w:tc>
          <w:tcPr>
            <w:tcW w:w="217" w:type="pct"/>
            <w:gridSpan w:val="2"/>
            <w:tcMar>
              <w:left w:w="17" w:type="dxa"/>
              <w:right w:w="17" w:type="dxa"/>
            </w:tcMar>
            <w:vAlign w:val="center"/>
          </w:tcPr>
          <w:p w14:paraId="677D8022" w14:textId="77777777" w:rsidR="001C56BD" w:rsidRPr="00F92667" w:rsidRDefault="001C56BD" w:rsidP="008A5C11">
            <w:pPr>
              <w:jc w:val="center"/>
              <w:rPr>
                <w:bCs/>
                <w:sz w:val="12"/>
                <w:szCs w:val="12"/>
              </w:rPr>
            </w:pPr>
            <w:r w:rsidRPr="00F92667">
              <w:rPr>
                <w:bCs/>
                <w:sz w:val="12"/>
                <w:szCs w:val="12"/>
              </w:rPr>
              <w:t>19</w:t>
            </w:r>
          </w:p>
        </w:tc>
        <w:tc>
          <w:tcPr>
            <w:tcW w:w="217" w:type="pct"/>
            <w:gridSpan w:val="2"/>
            <w:tcMar>
              <w:left w:w="17" w:type="dxa"/>
              <w:right w:w="17" w:type="dxa"/>
            </w:tcMar>
            <w:vAlign w:val="center"/>
          </w:tcPr>
          <w:p w14:paraId="54A97E8E" w14:textId="77777777" w:rsidR="001C56BD" w:rsidRPr="00F92667" w:rsidRDefault="001C56BD" w:rsidP="008A5C11">
            <w:pPr>
              <w:jc w:val="center"/>
              <w:rPr>
                <w:bCs/>
                <w:sz w:val="12"/>
                <w:szCs w:val="12"/>
              </w:rPr>
            </w:pPr>
            <w:r w:rsidRPr="00F92667">
              <w:rPr>
                <w:bCs/>
                <w:sz w:val="12"/>
                <w:szCs w:val="12"/>
              </w:rPr>
              <w:t>20</w:t>
            </w:r>
          </w:p>
        </w:tc>
        <w:tc>
          <w:tcPr>
            <w:tcW w:w="214" w:type="pct"/>
            <w:gridSpan w:val="2"/>
            <w:tcMar>
              <w:left w:w="17" w:type="dxa"/>
              <w:right w:w="17" w:type="dxa"/>
            </w:tcMar>
            <w:vAlign w:val="center"/>
          </w:tcPr>
          <w:p w14:paraId="0568F524" w14:textId="77777777" w:rsidR="001C56BD" w:rsidRPr="00F92667" w:rsidRDefault="001C56BD" w:rsidP="008A5C11">
            <w:pPr>
              <w:jc w:val="center"/>
              <w:rPr>
                <w:bCs/>
                <w:sz w:val="12"/>
                <w:szCs w:val="12"/>
              </w:rPr>
            </w:pPr>
            <w:r w:rsidRPr="00F92667">
              <w:rPr>
                <w:bCs/>
                <w:sz w:val="12"/>
                <w:szCs w:val="12"/>
              </w:rPr>
              <w:t>21</w:t>
            </w:r>
          </w:p>
        </w:tc>
        <w:tc>
          <w:tcPr>
            <w:tcW w:w="247" w:type="pct"/>
            <w:gridSpan w:val="2"/>
            <w:tcMar>
              <w:left w:w="17" w:type="dxa"/>
              <w:right w:w="17" w:type="dxa"/>
            </w:tcMar>
            <w:vAlign w:val="center"/>
          </w:tcPr>
          <w:p w14:paraId="26911A9B" w14:textId="77777777" w:rsidR="001C56BD" w:rsidRPr="00F92667" w:rsidRDefault="001C56BD" w:rsidP="008A5C11">
            <w:pPr>
              <w:jc w:val="center"/>
              <w:rPr>
                <w:bCs/>
                <w:sz w:val="12"/>
                <w:szCs w:val="12"/>
              </w:rPr>
            </w:pPr>
            <w:r w:rsidRPr="00F92667">
              <w:rPr>
                <w:bCs/>
                <w:sz w:val="12"/>
                <w:szCs w:val="12"/>
              </w:rPr>
              <w:t>22</w:t>
            </w:r>
          </w:p>
        </w:tc>
        <w:tc>
          <w:tcPr>
            <w:tcW w:w="173" w:type="pct"/>
            <w:tcMar>
              <w:left w:w="17" w:type="dxa"/>
              <w:right w:w="17" w:type="dxa"/>
            </w:tcMar>
            <w:vAlign w:val="center"/>
          </w:tcPr>
          <w:p w14:paraId="27B66C73" w14:textId="77777777" w:rsidR="001C56BD" w:rsidRPr="00F92667" w:rsidRDefault="001C56BD" w:rsidP="008A5C11">
            <w:pPr>
              <w:jc w:val="center"/>
              <w:rPr>
                <w:bCs/>
                <w:sz w:val="12"/>
                <w:szCs w:val="12"/>
              </w:rPr>
            </w:pPr>
            <w:r w:rsidRPr="00F92667">
              <w:rPr>
                <w:bCs/>
                <w:sz w:val="12"/>
                <w:szCs w:val="12"/>
              </w:rPr>
              <w:t>23</w:t>
            </w:r>
          </w:p>
        </w:tc>
        <w:tc>
          <w:tcPr>
            <w:tcW w:w="169" w:type="pct"/>
            <w:tcMar>
              <w:left w:w="17" w:type="dxa"/>
              <w:right w:w="17" w:type="dxa"/>
            </w:tcMar>
            <w:vAlign w:val="center"/>
          </w:tcPr>
          <w:p w14:paraId="1C6B3DD6" w14:textId="77777777" w:rsidR="001C56BD" w:rsidRPr="00F92667" w:rsidRDefault="001C56BD" w:rsidP="008A5C11">
            <w:pPr>
              <w:jc w:val="center"/>
              <w:rPr>
                <w:bCs/>
                <w:sz w:val="12"/>
                <w:szCs w:val="12"/>
              </w:rPr>
            </w:pPr>
            <w:r w:rsidRPr="00F92667">
              <w:rPr>
                <w:bCs/>
                <w:sz w:val="12"/>
                <w:szCs w:val="12"/>
              </w:rPr>
              <w:t>24</w:t>
            </w:r>
          </w:p>
        </w:tc>
      </w:tr>
      <w:tr w:rsidR="001C56BD" w:rsidRPr="00F92667" w14:paraId="43A33DFE" w14:textId="77777777" w:rsidTr="008A5C11">
        <w:trPr>
          <w:gridBefore w:val="1"/>
          <w:wBefore w:w="3" w:type="pct"/>
          <w:trHeight w:val="897"/>
        </w:trPr>
        <w:tc>
          <w:tcPr>
            <w:tcW w:w="129" w:type="pct"/>
            <w:shd w:val="clear" w:color="auto" w:fill="auto"/>
            <w:tcMar>
              <w:left w:w="17" w:type="dxa"/>
              <w:right w:w="17" w:type="dxa"/>
            </w:tcMar>
            <w:vAlign w:val="center"/>
          </w:tcPr>
          <w:p w14:paraId="239E14CC" w14:textId="77777777" w:rsidR="001C56BD" w:rsidRPr="00F92667" w:rsidRDefault="001C56BD" w:rsidP="008A5C11">
            <w:pPr>
              <w:jc w:val="center"/>
              <w:rPr>
                <w:sz w:val="12"/>
                <w:szCs w:val="12"/>
              </w:rPr>
            </w:pPr>
            <w:r w:rsidRPr="00F92667">
              <w:rPr>
                <w:sz w:val="12"/>
                <w:szCs w:val="12"/>
              </w:rPr>
              <w:t>3.1.20.</w:t>
            </w:r>
          </w:p>
        </w:tc>
        <w:tc>
          <w:tcPr>
            <w:tcW w:w="305" w:type="pct"/>
            <w:shd w:val="clear" w:color="auto" w:fill="auto"/>
            <w:tcMar>
              <w:left w:w="17" w:type="dxa"/>
              <w:right w:w="17" w:type="dxa"/>
            </w:tcMar>
            <w:vAlign w:val="center"/>
          </w:tcPr>
          <w:p w14:paraId="02908E29" w14:textId="77777777" w:rsidR="001C56BD" w:rsidRPr="00F92667" w:rsidRDefault="001C56BD" w:rsidP="008A5C11">
            <w:pPr>
              <w:rPr>
                <w:sz w:val="12"/>
                <w:szCs w:val="12"/>
              </w:rPr>
            </w:pPr>
            <w:r w:rsidRPr="00F92667">
              <w:rPr>
                <w:sz w:val="12"/>
                <w:szCs w:val="12"/>
              </w:rPr>
              <w:t>Реконструкция тепловой сети с реестровым номером 777223</w:t>
            </w:r>
          </w:p>
        </w:tc>
        <w:tc>
          <w:tcPr>
            <w:tcW w:w="304" w:type="pct"/>
            <w:shd w:val="clear" w:color="000000" w:fill="FFFFFF"/>
            <w:tcMar>
              <w:left w:w="17" w:type="dxa"/>
              <w:right w:w="17" w:type="dxa"/>
            </w:tcMar>
            <w:vAlign w:val="center"/>
          </w:tcPr>
          <w:p w14:paraId="7EAA6946" w14:textId="77777777" w:rsidR="001C56BD" w:rsidRPr="00F92667" w:rsidRDefault="001C56BD" w:rsidP="008A5C11">
            <w:pPr>
              <w:jc w:val="center"/>
              <w:rPr>
                <w:sz w:val="12"/>
                <w:szCs w:val="12"/>
              </w:rPr>
            </w:pPr>
            <w:r w:rsidRPr="00F92667">
              <w:rPr>
                <w:color w:val="000000"/>
                <w:sz w:val="12"/>
                <w:szCs w:val="12"/>
              </w:rPr>
              <w:t>Повышение надежности услуг теплоснабжения, повышение энергетической эффективности</w:t>
            </w:r>
          </w:p>
        </w:tc>
        <w:tc>
          <w:tcPr>
            <w:tcW w:w="258" w:type="pct"/>
            <w:shd w:val="clear" w:color="auto" w:fill="auto"/>
            <w:tcMar>
              <w:left w:w="17" w:type="dxa"/>
              <w:right w:w="17" w:type="dxa"/>
            </w:tcMar>
            <w:vAlign w:val="center"/>
          </w:tcPr>
          <w:p w14:paraId="6A958CFA" w14:textId="77777777" w:rsidR="001C56BD" w:rsidRPr="00F92667" w:rsidRDefault="001C56BD" w:rsidP="008A5C11">
            <w:pPr>
              <w:jc w:val="center"/>
              <w:rPr>
                <w:sz w:val="12"/>
                <w:szCs w:val="12"/>
              </w:rPr>
            </w:pPr>
            <w:r w:rsidRPr="00F92667">
              <w:rPr>
                <w:sz w:val="12"/>
                <w:szCs w:val="12"/>
              </w:rPr>
              <w:t xml:space="preserve">Кемеровский городской округ, Заводский район, квартал №8, </w:t>
            </w:r>
            <w:r w:rsidRPr="00F92667">
              <w:rPr>
                <w:sz w:val="12"/>
                <w:szCs w:val="12"/>
              </w:rPr>
              <w:br/>
              <w:t>в границах ул. Космическая, ул. Радищева, ул. Патриотов, ул. Сергея Тюленина</w:t>
            </w:r>
          </w:p>
        </w:tc>
        <w:tc>
          <w:tcPr>
            <w:tcW w:w="294" w:type="pct"/>
            <w:shd w:val="clear" w:color="auto" w:fill="auto"/>
            <w:tcMar>
              <w:left w:w="17" w:type="dxa"/>
              <w:right w:w="17" w:type="dxa"/>
            </w:tcMar>
            <w:vAlign w:val="center"/>
          </w:tcPr>
          <w:p w14:paraId="064E4EFB" w14:textId="77777777" w:rsidR="001C56BD" w:rsidRPr="00F92667" w:rsidRDefault="001C56BD" w:rsidP="008A5C11">
            <w:pPr>
              <w:jc w:val="center"/>
              <w:rPr>
                <w:sz w:val="12"/>
                <w:szCs w:val="12"/>
              </w:rPr>
            </w:pPr>
            <w:r w:rsidRPr="00F92667">
              <w:rPr>
                <w:color w:val="000000"/>
                <w:sz w:val="12"/>
                <w:szCs w:val="12"/>
              </w:rPr>
              <w:t>Технические характеристики</w:t>
            </w:r>
          </w:p>
        </w:tc>
        <w:tc>
          <w:tcPr>
            <w:tcW w:w="129" w:type="pct"/>
            <w:shd w:val="clear" w:color="auto" w:fill="auto"/>
            <w:tcMar>
              <w:left w:w="17" w:type="dxa"/>
              <w:right w:w="17" w:type="dxa"/>
            </w:tcMar>
            <w:vAlign w:val="center"/>
          </w:tcPr>
          <w:p w14:paraId="0538A5D7" w14:textId="77777777" w:rsidR="001C56BD" w:rsidRPr="00F92667" w:rsidRDefault="001C56BD" w:rsidP="008A5C11">
            <w:pPr>
              <w:jc w:val="center"/>
              <w:rPr>
                <w:color w:val="000000"/>
                <w:sz w:val="12"/>
                <w:szCs w:val="12"/>
              </w:rPr>
            </w:pPr>
          </w:p>
        </w:tc>
        <w:tc>
          <w:tcPr>
            <w:tcW w:w="184" w:type="pct"/>
            <w:shd w:val="clear" w:color="auto" w:fill="auto"/>
            <w:tcMar>
              <w:left w:w="17" w:type="dxa"/>
              <w:right w:w="17" w:type="dxa"/>
            </w:tcMar>
            <w:vAlign w:val="center"/>
          </w:tcPr>
          <w:p w14:paraId="693ED47D" w14:textId="77777777" w:rsidR="001C56BD" w:rsidRPr="00F92667" w:rsidRDefault="001C56BD" w:rsidP="008A5C11">
            <w:pPr>
              <w:jc w:val="center"/>
              <w:rPr>
                <w:sz w:val="12"/>
                <w:szCs w:val="12"/>
              </w:rPr>
            </w:pPr>
            <w:r w:rsidRPr="00F92667">
              <w:rPr>
                <w:sz w:val="12"/>
                <w:szCs w:val="12"/>
              </w:rPr>
              <w:t xml:space="preserve">Канал-кирпич, опоры-хомутовые </w:t>
            </w:r>
            <w:proofErr w:type="gramStart"/>
            <w:r w:rsidRPr="00F92667">
              <w:rPr>
                <w:sz w:val="12"/>
                <w:szCs w:val="12"/>
              </w:rPr>
              <w:t>привар-ные</w:t>
            </w:r>
            <w:proofErr w:type="gramEnd"/>
            <w:r w:rsidRPr="00F92667">
              <w:rPr>
                <w:sz w:val="12"/>
                <w:szCs w:val="12"/>
              </w:rPr>
              <w:t xml:space="preserve">, запорная арматура - стальная клиновая, антикоррозийная защита-лак БТ, труба-сталь 20, изоляция - мин. маты </w:t>
            </w:r>
          </w:p>
        </w:tc>
        <w:tc>
          <w:tcPr>
            <w:tcW w:w="219" w:type="pct"/>
            <w:shd w:val="clear" w:color="auto" w:fill="auto"/>
            <w:tcMar>
              <w:left w:w="17" w:type="dxa"/>
              <w:right w:w="17" w:type="dxa"/>
            </w:tcMar>
            <w:vAlign w:val="center"/>
          </w:tcPr>
          <w:p w14:paraId="2A6A9FC5" w14:textId="77777777" w:rsidR="001C56BD" w:rsidRPr="00F92667" w:rsidRDefault="001C56BD" w:rsidP="008A5C11">
            <w:pPr>
              <w:jc w:val="center"/>
              <w:rPr>
                <w:sz w:val="12"/>
                <w:szCs w:val="12"/>
              </w:rPr>
            </w:pPr>
            <w:r w:rsidRPr="00F92667">
              <w:rPr>
                <w:sz w:val="12"/>
                <w:szCs w:val="12"/>
              </w:rPr>
              <w:t xml:space="preserve">Канал-ж/б лотки, опоры-хомутовые с диэлектрической прокладкой, запорная арматура - кран шаровый, антикоррозийная защита-мастика Вектор 1214, 1025, труба-сталь 09Г2С, изоляция - маты прошивные, </w:t>
            </w:r>
            <w:proofErr w:type="gramStart"/>
            <w:r w:rsidRPr="00F92667">
              <w:rPr>
                <w:sz w:val="12"/>
                <w:szCs w:val="12"/>
              </w:rPr>
              <w:t>стеклоплас-тик</w:t>
            </w:r>
            <w:proofErr w:type="gramEnd"/>
            <w:r w:rsidRPr="00F92667">
              <w:rPr>
                <w:sz w:val="12"/>
                <w:szCs w:val="12"/>
              </w:rPr>
              <w:t xml:space="preserve">  </w:t>
            </w:r>
          </w:p>
        </w:tc>
        <w:tc>
          <w:tcPr>
            <w:tcW w:w="130" w:type="pct"/>
            <w:shd w:val="clear" w:color="auto" w:fill="auto"/>
            <w:tcMar>
              <w:left w:w="17" w:type="dxa"/>
              <w:right w:w="17" w:type="dxa"/>
            </w:tcMar>
            <w:vAlign w:val="center"/>
          </w:tcPr>
          <w:p w14:paraId="578012AB" w14:textId="77777777" w:rsidR="001C56BD" w:rsidRPr="00F92667" w:rsidRDefault="001C56BD" w:rsidP="008A5C11">
            <w:pPr>
              <w:jc w:val="center"/>
              <w:rPr>
                <w:sz w:val="12"/>
                <w:szCs w:val="12"/>
              </w:rPr>
            </w:pPr>
            <w:r w:rsidRPr="00F92667">
              <w:rPr>
                <w:sz w:val="12"/>
                <w:szCs w:val="12"/>
              </w:rPr>
              <w:t>2031</w:t>
            </w:r>
          </w:p>
        </w:tc>
        <w:tc>
          <w:tcPr>
            <w:tcW w:w="130" w:type="pct"/>
            <w:shd w:val="clear" w:color="auto" w:fill="auto"/>
            <w:tcMar>
              <w:left w:w="17" w:type="dxa"/>
              <w:right w:w="17" w:type="dxa"/>
            </w:tcMar>
            <w:vAlign w:val="center"/>
          </w:tcPr>
          <w:p w14:paraId="67591C9C" w14:textId="77777777" w:rsidR="001C56BD" w:rsidRPr="00F92667" w:rsidRDefault="001C56BD" w:rsidP="008A5C11">
            <w:pPr>
              <w:jc w:val="center"/>
              <w:rPr>
                <w:sz w:val="12"/>
                <w:szCs w:val="12"/>
              </w:rPr>
            </w:pPr>
            <w:r w:rsidRPr="00F92667">
              <w:rPr>
                <w:sz w:val="12"/>
                <w:szCs w:val="12"/>
              </w:rPr>
              <w:t>2031</w:t>
            </w:r>
          </w:p>
        </w:tc>
        <w:tc>
          <w:tcPr>
            <w:tcW w:w="217" w:type="pct"/>
            <w:gridSpan w:val="2"/>
            <w:shd w:val="clear" w:color="auto" w:fill="auto"/>
            <w:tcMar>
              <w:left w:w="17" w:type="dxa"/>
              <w:right w:w="17" w:type="dxa"/>
            </w:tcMar>
            <w:vAlign w:val="center"/>
          </w:tcPr>
          <w:p w14:paraId="60AB7B7D" w14:textId="77777777" w:rsidR="001C56BD" w:rsidRPr="00F92667" w:rsidRDefault="001C56BD" w:rsidP="008A5C11">
            <w:pPr>
              <w:jc w:val="center"/>
              <w:rPr>
                <w:sz w:val="12"/>
                <w:szCs w:val="12"/>
              </w:rPr>
            </w:pPr>
            <w:r w:rsidRPr="00F92667">
              <w:rPr>
                <w:sz w:val="12"/>
                <w:szCs w:val="12"/>
              </w:rPr>
              <w:t>12648,012</w:t>
            </w:r>
          </w:p>
        </w:tc>
        <w:tc>
          <w:tcPr>
            <w:tcW w:w="177" w:type="pct"/>
            <w:gridSpan w:val="2"/>
            <w:shd w:val="clear" w:color="auto" w:fill="auto"/>
            <w:tcMar>
              <w:left w:w="17" w:type="dxa"/>
              <w:right w:w="17" w:type="dxa"/>
            </w:tcMar>
            <w:vAlign w:val="center"/>
          </w:tcPr>
          <w:p w14:paraId="2DAD5D0D" w14:textId="77777777" w:rsidR="001C56BD" w:rsidRPr="00F92667" w:rsidRDefault="001C56BD" w:rsidP="008A5C11">
            <w:pPr>
              <w:jc w:val="center"/>
              <w:rPr>
                <w:sz w:val="12"/>
                <w:szCs w:val="12"/>
              </w:rPr>
            </w:pPr>
            <w:r w:rsidRPr="00F92667">
              <w:rPr>
                <w:sz w:val="12"/>
                <w:szCs w:val="12"/>
              </w:rPr>
              <w:t>0,000</w:t>
            </w:r>
          </w:p>
        </w:tc>
        <w:tc>
          <w:tcPr>
            <w:tcW w:w="212" w:type="pct"/>
            <w:shd w:val="clear" w:color="auto" w:fill="auto"/>
            <w:tcMar>
              <w:left w:w="17" w:type="dxa"/>
              <w:right w:w="17" w:type="dxa"/>
            </w:tcMar>
            <w:vAlign w:val="center"/>
          </w:tcPr>
          <w:p w14:paraId="6ED7921D" w14:textId="77777777" w:rsidR="001C56BD" w:rsidRPr="00F92667" w:rsidRDefault="001C56BD" w:rsidP="008A5C11">
            <w:pPr>
              <w:jc w:val="center"/>
              <w:rPr>
                <w:sz w:val="12"/>
                <w:szCs w:val="12"/>
              </w:rPr>
            </w:pPr>
            <w:r w:rsidRPr="00F92667">
              <w:rPr>
                <w:sz w:val="12"/>
                <w:szCs w:val="12"/>
              </w:rPr>
              <w:t>0,000</w:t>
            </w:r>
          </w:p>
        </w:tc>
        <w:tc>
          <w:tcPr>
            <w:tcW w:w="218" w:type="pct"/>
            <w:gridSpan w:val="2"/>
            <w:shd w:val="clear" w:color="auto" w:fill="auto"/>
            <w:tcMar>
              <w:left w:w="17" w:type="dxa"/>
              <w:right w:w="17" w:type="dxa"/>
            </w:tcMar>
            <w:vAlign w:val="center"/>
          </w:tcPr>
          <w:p w14:paraId="5F0D4CEF"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1C4D43F8" w14:textId="77777777" w:rsidR="001C56BD" w:rsidRPr="00F92667" w:rsidRDefault="001C56BD" w:rsidP="008A5C11">
            <w:pPr>
              <w:jc w:val="center"/>
              <w:rPr>
                <w:sz w:val="12"/>
                <w:szCs w:val="12"/>
              </w:rPr>
            </w:pPr>
            <w:r w:rsidRPr="00F92667">
              <w:rPr>
                <w:sz w:val="12"/>
                <w:szCs w:val="12"/>
              </w:rPr>
              <w:t>0,000</w:t>
            </w:r>
          </w:p>
        </w:tc>
        <w:tc>
          <w:tcPr>
            <w:tcW w:w="206" w:type="pct"/>
            <w:gridSpan w:val="2"/>
            <w:shd w:val="clear" w:color="auto" w:fill="auto"/>
            <w:tcMar>
              <w:left w:w="17" w:type="dxa"/>
              <w:right w:w="17" w:type="dxa"/>
            </w:tcMar>
            <w:vAlign w:val="center"/>
          </w:tcPr>
          <w:p w14:paraId="5B353E16"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249BA64A" w14:textId="77777777" w:rsidR="001C56BD" w:rsidRPr="00F92667" w:rsidRDefault="001C56BD" w:rsidP="008A5C11">
            <w:pPr>
              <w:jc w:val="center"/>
              <w:rPr>
                <w:sz w:val="12"/>
                <w:szCs w:val="12"/>
              </w:rPr>
            </w:pPr>
            <w:r w:rsidRPr="00F92667">
              <w:rPr>
                <w:sz w:val="12"/>
                <w:szCs w:val="12"/>
              </w:rPr>
              <w:t>0,000</w:t>
            </w:r>
          </w:p>
        </w:tc>
        <w:tc>
          <w:tcPr>
            <w:tcW w:w="214" w:type="pct"/>
            <w:gridSpan w:val="2"/>
            <w:shd w:val="clear" w:color="auto" w:fill="auto"/>
            <w:tcMar>
              <w:left w:w="17" w:type="dxa"/>
              <w:right w:w="17" w:type="dxa"/>
            </w:tcMar>
            <w:vAlign w:val="center"/>
          </w:tcPr>
          <w:p w14:paraId="024725A0"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7E7B1C33"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53F5CFC2" w14:textId="77777777" w:rsidR="001C56BD" w:rsidRPr="00F92667" w:rsidRDefault="001C56BD" w:rsidP="008A5C11">
            <w:pPr>
              <w:jc w:val="center"/>
              <w:rPr>
                <w:sz w:val="12"/>
                <w:szCs w:val="12"/>
              </w:rPr>
            </w:pPr>
            <w:r w:rsidRPr="00F92667">
              <w:rPr>
                <w:sz w:val="12"/>
                <w:szCs w:val="12"/>
              </w:rPr>
              <w:t>0,000</w:t>
            </w:r>
          </w:p>
        </w:tc>
        <w:tc>
          <w:tcPr>
            <w:tcW w:w="214" w:type="pct"/>
            <w:gridSpan w:val="2"/>
            <w:shd w:val="clear" w:color="auto" w:fill="auto"/>
            <w:tcMar>
              <w:left w:w="17" w:type="dxa"/>
              <w:right w:w="17" w:type="dxa"/>
            </w:tcMar>
            <w:vAlign w:val="center"/>
          </w:tcPr>
          <w:p w14:paraId="1830205E" w14:textId="77777777" w:rsidR="001C56BD" w:rsidRPr="00F92667" w:rsidRDefault="001C56BD" w:rsidP="008A5C11">
            <w:pPr>
              <w:jc w:val="center"/>
              <w:rPr>
                <w:sz w:val="12"/>
                <w:szCs w:val="12"/>
              </w:rPr>
            </w:pPr>
            <w:r w:rsidRPr="00F92667">
              <w:rPr>
                <w:sz w:val="12"/>
                <w:szCs w:val="12"/>
              </w:rPr>
              <w:t>0,000</w:t>
            </w:r>
          </w:p>
        </w:tc>
        <w:tc>
          <w:tcPr>
            <w:tcW w:w="247" w:type="pct"/>
            <w:gridSpan w:val="2"/>
            <w:shd w:val="clear" w:color="auto" w:fill="auto"/>
            <w:tcMar>
              <w:left w:w="17" w:type="dxa"/>
              <w:right w:w="17" w:type="dxa"/>
            </w:tcMar>
            <w:vAlign w:val="center"/>
          </w:tcPr>
          <w:p w14:paraId="0956764A" w14:textId="77777777" w:rsidR="001C56BD" w:rsidRPr="00F92667" w:rsidRDefault="001C56BD" w:rsidP="008A5C11">
            <w:pPr>
              <w:jc w:val="center"/>
              <w:rPr>
                <w:sz w:val="12"/>
                <w:szCs w:val="12"/>
              </w:rPr>
            </w:pPr>
            <w:r w:rsidRPr="00F92667">
              <w:rPr>
                <w:sz w:val="12"/>
                <w:szCs w:val="12"/>
              </w:rPr>
              <w:t>12648,012</w:t>
            </w:r>
          </w:p>
        </w:tc>
        <w:tc>
          <w:tcPr>
            <w:tcW w:w="173" w:type="pct"/>
            <w:shd w:val="clear" w:color="auto" w:fill="auto"/>
            <w:tcMar>
              <w:left w:w="17" w:type="dxa"/>
              <w:right w:w="17" w:type="dxa"/>
            </w:tcMar>
            <w:vAlign w:val="center"/>
          </w:tcPr>
          <w:p w14:paraId="5504BAF1" w14:textId="77777777" w:rsidR="001C56BD" w:rsidRPr="00F92667" w:rsidRDefault="001C56BD" w:rsidP="008A5C11">
            <w:pPr>
              <w:jc w:val="center"/>
              <w:rPr>
                <w:sz w:val="12"/>
                <w:szCs w:val="12"/>
              </w:rPr>
            </w:pPr>
            <w:r w:rsidRPr="00F92667">
              <w:rPr>
                <w:sz w:val="12"/>
                <w:szCs w:val="12"/>
              </w:rPr>
              <w:t>0,000</w:t>
            </w:r>
          </w:p>
        </w:tc>
        <w:tc>
          <w:tcPr>
            <w:tcW w:w="169" w:type="pct"/>
            <w:shd w:val="clear" w:color="auto" w:fill="auto"/>
            <w:tcMar>
              <w:left w:w="17" w:type="dxa"/>
              <w:right w:w="17" w:type="dxa"/>
            </w:tcMar>
            <w:vAlign w:val="center"/>
          </w:tcPr>
          <w:p w14:paraId="31848306" w14:textId="77777777" w:rsidR="001C56BD" w:rsidRPr="00F92667" w:rsidRDefault="001C56BD" w:rsidP="008A5C11">
            <w:pPr>
              <w:jc w:val="center"/>
              <w:rPr>
                <w:sz w:val="12"/>
                <w:szCs w:val="12"/>
              </w:rPr>
            </w:pPr>
            <w:r w:rsidRPr="00F92667">
              <w:rPr>
                <w:sz w:val="12"/>
                <w:szCs w:val="12"/>
              </w:rPr>
              <w:t>0,000</w:t>
            </w:r>
          </w:p>
        </w:tc>
      </w:tr>
      <w:tr w:rsidR="001C56BD" w:rsidRPr="00F92667" w14:paraId="48B504CF" w14:textId="77777777" w:rsidTr="008A5C11">
        <w:trPr>
          <w:gridBefore w:val="1"/>
          <w:wBefore w:w="3" w:type="pct"/>
          <w:trHeight w:val="897"/>
        </w:trPr>
        <w:tc>
          <w:tcPr>
            <w:tcW w:w="129" w:type="pct"/>
            <w:shd w:val="clear" w:color="auto" w:fill="auto"/>
            <w:tcMar>
              <w:left w:w="17" w:type="dxa"/>
              <w:right w:w="17" w:type="dxa"/>
            </w:tcMar>
            <w:vAlign w:val="center"/>
          </w:tcPr>
          <w:p w14:paraId="688E17AE" w14:textId="77777777" w:rsidR="001C56BD" w:rsidRPr="00F92667" w:rsidRDefault="001C56BD" w:rsidP="008A5C11">
            <w:pPr>
              <w:jc w:val="center"/>
              <w:rPr>
                <w:sz w:val="12"/>
                <w:szCs w:val="12"/>
              </w:rPr>
            </w:pPr>
            <w:r w:rsidRPr="00F92667">
              <w:rPr>
                <w:sz w:val="12"/>
                <w:szCs w:val="12"/>
              </w:rPr>
              <w:t>3.1.21.</w:t>
            </w:r>
          </w:p>
        </w:tc>
        <w:tc>
          <w:tcPr>
            <w:tcW w:w="305" w:type="pct"/>
            <w:shd w:val="clear" w:color="auto" w:fill="auto"/>
            <w:tcMar>
              <w:left w:w="17" w:type="dxa"/>
              <w:right w:w="17" w:type="dxa"/>
            </w:tcMar>
            <w:vAlign w:val="center"/>
          </w:tcPr>
          <w:p w14:paraId="2E2F6952" w14:textId="77777777" w:rsidR="001C56BD" w:rsidRPr="00F92667" w:rsidRDefault="001C56BD" w:rsidP="008A5C11">
            <w:pPr>
              <w:rPr>
                <w:sz w:val="12"/>
                <w:szCs w:val="12"/>
              </w:rPr>
            </w:pPr>
            <w:r w:rsidRPr="00F92667">
              <w:rPr>
                <w:color w:val="000000"/>
                <w:sz w:val="12"/>
                <w:szCs w:val="12"/>
              </w:rPr>
              <w:t>Реконструкция тепловой сети с реестровым номером</w:t>
            </w:r>
            <w:r w:rsidRPr="00F92667">
              <w:rPr>
                <w:sz w:val="12"/>
                <w:szCs w:val="12"/>
              </w:rPr>
              <w:t xml:space="preserve"> 777282</w:t>
            </w:r>
          </w:p>
        </w:tc>
        <w:tc>
          <w:tcPr>
            <w:tcW w:w="304" w:type="pct"/>
            <w:shd w:val="clear" w:color="000000" w:fill="FFFFFF"/>
            <w:tcMar>
              <w:left w:w="17" w:type="dxa"/>
              <w:right w:w="17" w:type="dxa"/>
            </w:tcMar>
            <w:vAlign w:val="center"/>
          </w:tcPr>
          <w:p w14:paraId="6BE832F9" w14:textId="77777777" w:rsidR="001C56BD" w:rsidRPr="00F92667" w:rsidRDefault="001C56BD" w:rsidP="008A5C11">
            <w:pPr>
              <w:jc w:val="center"/>
              <w:rPr>
                <w:sz w:val="12"/>
                <w:szCs w:val="12"/>
              </w:rPr>
            </w:pPr>
            <w:r w:rsidRPr="00F92667">
              <w:rPr>
                <w:color w:val="000000"/>
                <w:sz w:val="12"/>
                <w:szCs w:val="12"/>
              </w:rPr>
              <w:t>Повышение надежности услуг теплоснабжения, повышение энергетической эффективности</w:t>
            </w:r>
          </w:p>
        </w:tc>
        <w:tc>
          <w:tcPr>
            <w:tcW w:w="258" w:type="pct"/>
            <w:shd w:val="clear" w:color="auto" w:fill="auto"/>
            <w:tcMar>
              <w:left w:w="17" w:type="dxa"/>
              <w:right w:w="17" w:type="dxa"/>
            </w:tcMar>
            <w:vAlign w:val="center"/>
          </w:tcPr>
          <w:p w14:paraId="45F85F89" w14:textId="77777777" w:rsidR="001C56BD" w:rsidRPr="00F92667" w:rsidRDefault="001C56BD" w:rsidP="008A5C11">
            <w:pPr>
              <w:jc w:val="center"/>
              <w:rPr>
                <w:sz w:val="12"/>
                <w:szCs w:val="12"/>
              </w:rPr>
            </w:pPr>
            <w:r w:rsidRPr="00F92667">
              <w:rPr>
                <w:sz w:val="12"/>
                <w:szCs w:val="12"/>
              </w:rPr>
              <w:t>Кемеровский городской округ, Заводский район, квартал №10, в границах ул. Веры Волошиной, ул. Радищева, ул. 1-я линия, ул. Базовая</w:t>
            </w:r>
          </w:p>
        </w:tc>
        <w:tc>
          <w:tcPr>
            <w:tcW w:w="294" w:type="pct"/>
            <w:shd w:val="clear" w:color="auto" w:fill="auto"/>
            <w:tcMar>
              <w:left w:w="17" w:type="dxa"/>
              <w:right w:w="17" w:type="dxa"/>
            </w:tcMar>
            <w:vAlign w:val="center"/>
          </w:tcPr>
          <w:p w14:paraId="6475E5F5" w14:textId="77777777" w:rsidR="001C56BD" w:rsidRPr="00F92667" w:rsidRDefault="001C56BD" w:rsidP="008A5C11">
            <w:pPr>
              <w:jc w:val="center"/>
              <w:rPr>
                <w:sz w:val="12"/>
                <w:szCs w:val="12"/>
              </w:rPr>
            </w:pPr>
            <w:r w:rsidRPr="00F92667">
              <w:rPr>
                <w:color w:val="000000"/>
                <w:sz w:val="12"/>
                <w:szCs w:val="12"/>
              </w:rPr>
              <w:t>Технические характеристики</w:t>
            </w:r>
          </w:p>
        </w:tc>
        <w:tc>
          <w:tcPr>
            <w:tcW w:w="129" w:type="pct"/>
            <w:shd w:val="clear" w:color="auto" w:fill="auto"/>
            <w:tcMar>
              <w:left w:w="17" w:type="dxa"/>
              <w:right w:w="17" w:type="dxa"/>
            </w:tcMar>
            <w:vAlign w:val="center"/>
          </w:tcPr>
          <w:p w14:paraId="1A03C405" w14:textId="77777777" w:rsidR="001C56BD" w:rsidRPr="00F92667" w:rsidRDefault="001C56BD" w:rsidP="008A5C11">
            <w:pPr>
              <w:jc w:val="center"/>
              <w:rPr>
                <w:color w:val="000000"/>
                <w:sz w:val="12"/>
                <w:szCs w:val="12"/>
              </w:rPr>
            </w:pPr>
          </w:p>
        </w:tc>
        <w:tc>
          <w:tcPr>
            <w:tcW w:w="184" w:type="pct"/>
            <w:shd w:val="clear" w:color="auto" w:fill="auto"/>
            <w:tcMar>
              <w:left w:w="17" w:type="dxa"/>
              <w:right w:w="17" w:type="dxa"/>
            </w:tcMar>
            <w:vAlign w:val="center"/>
          </w:tcPr>
          <w:p w14:paraId="1D83A964" w14:textId="77777777" w:rsidR="001C56BD" w:rsidRPr="00F92667" w:rsidRDefault="001C56BD" w:rsidP="008A5C11">
            <w:pPr>
              <w:jc w:val="center"/>
              <w:rPr>
                <w:sz w:val="12"/>
                <w:szCs w:val="12"/>
              </w:rPr>
            </w:pPr>
            <w:r w:rsidRPr="00F92667">
              <w:rPr>
                <w:sz w:val="12"/>
                <w:szCs w:val="12"/>
              </w:rPr>
              <w:t xml:space="preserve">Канал-кирпич, опоры-хомутовые привар-ные, запорная арматура - стальная клиновая, антикоррозийная защита-лак БТ, труба-сталь 20, изоляция - </w:t>
            </w:r>
            <w:proofErr w:type="gramStart"/>
            <w:r w:rsidRPr="00F92667">
              <w:rPr>
                <w:sz w:val="12"/>
                <w:szCs w:val="12"/>
              </w:rPr>
              <w:t>мин.маты</w:t>
            </w:r>
            <w:proofErr w:type="gramEnd"/>
            <w:r w:rsidRPr="00F92667">
              <w:rPr>
                <w:sz w:val="12"/>
                <w:szCs w:val="12"/>
              </w:rPr>
              <w:t xml:space="preserve"> </w:t>
            </w:r>
          </w:p>
        </w:tc>
        <w:tc>
          <w:tcPr>
            <w:tcW w:w="219" w:type="pct"/>
            <w:shd w:val="clear" w:color="auto" w:fill="auto"/>
            <w:tcMar>
              <w:left w:w="17" w:type="dxa"/>
              <w:right w:w="17" w:type="dxa"/>
            </w:tcMar>
            <w:vAlign w:val="center"/>
          </w:tcPr>
          <w:p w14:paraId="5F06364C" w14:textId="77777777" w:rsidR="001C56BD" w:rsidRPr="00F92667" w:rsidRDefault="001C56BD" w:rsidP="008A5C11">
            <w:pPr>
              <w:jc w:val="center"/>
              <w:rPr>
                <w:sz w:val="12"/>
                <w:szCs w:val="12"/>
              </w:rPr>
            </w:pPr>
            <w:r w:rsidRPr="00F92667">
              <w:rPr>
                <w:sz w:val="12"/>
                <w:szCs w:val="12"/>
              </w:rPr>
              <w:t xml:space="preserve">Канал-ж/б лотки, опоры-хомутовые с диэлектрической прокладкой, запорная арматура - кран шаровый, антикоррозийная защита-мастика Вектор 1214, 1025, труба-сталь 09Г2С, изоляция - маты прошивные, </w:t>
            </w:r>
            <w:proofErr w:type="gramStart"/>
            <w:r w:rsidRPr="00F92667">
              <w:rPr>
                <w:sz w:val="12"/>
                <w:szCs w:val="12"/>
              </w:rPr>
              <w:t>стеклоплас-тик</w:t>
            </w:r>
            <w:proofErr w:type="gramEnd"/>
            <w:r w:rsidRPr="00F92667">
              <w:rPr>
                <w:sz w:val="12"/>
                <w:szCs w:val="12"/>
              </w:rPr>
              <w:t xml:space="preserve">  </w:t>
            </w:r>
          </w:p>
        </w:tc>
        <w:tc>
          <w:tcPr>
            <w:tcW w:w="130" w:type="pct"/>
            <w:shd w:val="clear" w:color="auto" w:fill="auto"/>
            <w:tcMar>
              <w:left w:w="17" w:type="dxa"/>
              <w:right w:w="17" w:type="dxa"/>
            </w:tcMar>
            <w:vAlign w:val="center"/>
          </w:tcPr>
          <w:p w14:paraId="0C5DDAB4" w14:textId="77777777" w:rsidR="001C56BD" w:rsidRPr="00F92667" w:rsidRDefault="001C56BD" w:rsidP="008A5C11">
            <w:pPr>
              <w:jc w:val="center"/>
              <w:rPr>
                <w:sz w:val="12"/>
                <w:szCs w:val="12"/>
              </w:rPr>
            </w:pPr>
            <w:r w:rsidRPr="00F92667">
              <w:rPr>
                <w:sz w:val="12"/>
                <w:szCs w:val="12"/>
              </w:rPr>
              <w:t>2027</w:t>
            </w:r>
          </w:p>
        </w:tc>
        <w:tc>
          <w:tcPr>
            <w:tcW w:w="130" w:type="pct"/>
            <w:shd w:val="clear" w:color="auto" w:fill="auto"/>
            <w:tcMar>
              <w:left w:w="17" w:type="dxa"/>
              <w:right w:w="17" w:type="dxa"/>
            </w:tcMar>
            <w:vAlign w:val="center"/>
          </w:tcPr>
          <w:p w14:paraId="079BDDBF" w14:textId="77777777" w:rsidR="001C56BD" w:rsidRPr="00F92667" w:rsidRDefault="001C56BD" w:rsidP="008A5C11">
            <w:pPr>
              <w:jc w:val="center"/>
              <w:rPr>
                <w:sz w:val="12"/>
                <w:szCs w:val="12"/>
              </w:rPr>
            </w:pPr>
            <w:r w:rsidRPr="00F92667">
              <w:rPr>
                <w:sz w:val="12"/>
                <w:szCs w:val="12"/>
              </w:rPr>
              <w:t>2027</w:t>
            </w:r>
          </w:p>
        </w:tc>
        <w:tc>
          <w:tcPr>
            <w:tcW w:w="217" w:type="pct"/>
            <w:gridSpan w:val="2"/>
            <w:shd w:val="clear" w:color="auto" w:fill="auto"/>
            <w:tcMar>
              <w:left w:w="17" w:type="dxa"/>
              <w:right w:w="17" w:type="dxa"/>
            </w:tcMar>
            <w:vAlign w:val="center"/>
          </w:tcPr>
          <w:p w14:paraId="01969E44" w14:textId="77777777" w:rsidR="001C56BD" w:rsidRPr="00F92667" w:rsidRDefault="001C56BD" w:rsidP="008A5C11">
            <w:pPr>
              <w:jc w:val="center"/>
              <w:rPr>
                <w:sz w:val="12"/>
                <w:szCs w:val="12"/>
              </w:rPr>
            </w:pPr>
            <w:r w:rsidRPr="00F92667">
              <w:rPr>
                <w:sz w:val="12"/>
                <w:szCs w:val="12"/>
              </w:rPr>
              <w:t>9550,296</w:t>
            </w:r>
          </w:p>
        </w:tc>
        <w:tc>
          <w:tcPr>
            <w:tcW w:w="177" w:type="pct"/>
            <w:gridSpan w:val="2"/>
            <w:shd w:val="clear" w:color="auto" w:fill="auto"/>
            <w:tcMar>
              <w:left w:w="17" w:type="dxa"/>
              <w:right w:w="17" w:type="dxa"/>
            </w:tcMar>
            <w:vAlign w:val="center"/>
          </w:tcPr>
          <w:p w14:paraId="0A423AD2" w14:textId="77777777" w:rsidR="001C56BD" w:rsidRPr="00F92667" w:rsidRDefault="001C56BD" w:rsidP="008A5C11">
            <w:pPr>
              <w:jc w:val="center"/>
              <w:rPr>
                <w:sz w:val="12"/>
                <w:szCs w:val="12"/>
              </w:rPr>
            </w:pPr>
            <w:r w:rsidRPr="00F92667">
              <w:rPr>
                <w:sz w:val="12"/>
                <w:szCs w:val="12"/>
              </w:rPr>
              <w:t>0,000</w:t>
            </w:r>
          </w:p>
        </w:tc>
        <w:tc>
          <w:tcPr>
            <w:tcW w:w="212" w:type="pct"/>
            <w:shd w:val="clear" w:color="auto" w:fill="auto"/>
            <w:tcMar>
              <w:left w:w="17" w:type="dxa"/>
              <w:right w:w="17" w:type="dxa"/>
            </w:tcMar>
            <w:vAlign w:val="center"/>
          </w:tcPr>
          <w:p w14:paraId="29D752E6" w14:textId="77777777" w:rsidR="001C56BD" w:rsidRPr="00F92667" w:rsidRDefault="001C56BD" w:rsidP="008A5C11">
            <w:pPr>
              <w:jc w:val="center"/>
              <w:rPr>
                <w:sz w:val="12"/>
                <w:szCs w:val="12"/>
              </w:rPr>
            </w:pPr>
            <w:r w:rsidRPr="00F92667">
              <w:rPr>
                <w:sz w:val="12"/>
                <w:szCs w:val="12"/>
              </w:rPr>
              <w:t>0,000</w:t>
            </w:r>
          </w:p>
        </w:tc>
        <w:tc>
          <w:tcPr>
            <w:tcW w:w="218" w:type="pct"/>
            <w:gridSpan w:val="2"/>
            <w:shd w:val="clear" w:color="auto" w:fill="auto"/>
            <w:tcMar>
              <w:left w:w="17" w:type="dxa"/>
              <w:right w:w="17" w:type="dxa"/>
            </w:tcMar>
            <w:vAlign w:val="center"/>
          </w:tcPr>
          <w:p w14:paraId="449400E8"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7CF3A114" w14:textId="77777777" w:rsidR="001C56BD" w:rsidRPr="00F92667" w:rsidRDefault="001C56BD" w:rsidP="008A5C11">
            <w:pPr>
              <w:jc w:val="center"/>
              <w:rPr>
                <w:sz w:val="12"/>
                <w:szCs w:val="12"/>
              </w:rPr>
            </w:pPr>
            <w:r w:rsidRPr="00F92667">
              <w:rPr>
                <w:sz w:val="12"/>
                <w:szCs w:val="12"/>
              </w:rPr>
              <w:t>0,000</w:t>
            </w:r>
          </w:p>
        </w:tc>
        <w:tc>
          <w:tcPr>
            <w:tcW w:w="206" w:type="pct"/>
            <w:gridSpan w:val="2"/>
            <w:shd w:val="clear" w:color="auto" w:fill="auto"/>
            <w:tcMar>
              <w:left w:w="17" w:type="dxa"/>
              <w:right w:w="17" w:type="dxa"/>
            </w:tcMar>
            <w:vAlign w:val="center"/>
          </w:tcPr>
          <w:p w14:paraId="297767DD"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64D85CD4" w14:textId="77777777" w:rsidR="001C56BD" w:rsidRPr="00F92667" w:rsidRDefault="001C56BD" w:rsidP="008A5C11">
            <w:pPr>
              <w:jc w:val="center"/>
              <w:rPr>
                <w:sz w:val="12"/>
                <w:szCs w:val="12"/>
              </w:rPr>
            </w:pPr>
            <w:r w:rsidRPr="00F92667">
              <w:rPr>
                <w:sz w:val="12"/>
                <w:szCs w:val="12"/>
              </w:rPr>
              <w:t>0,000</w:t>
            </w:r>
          </w:p>
        </w:tc>
        <w:tc>
          <w:tcPr>
            <w:tcW w:w="214" w:type="pct"/>
            <w:gridSpan w:val="2"/>
            <w:shd w:val="clear" w:color="auto" w:fill="auto"/>
            <w:tcMar>
              <w:left w:w="17" w:type="dxa"/>
              <w:right w:w="17" w:type="dxa"/>
            </w:tcMar>
            <w:vAlign w:val="center"/>
          </w:tcPr>
          <w:p w14:paraId="5B6E1F29" w14:textId="77777777" w:rsidR="001C56BD" w:rsidRPr="00F92667" w:rsidRDefault="001C56BD" w:rsidP="008A5C11">
            <w:pPr>
              <w:jc w:val="center"/>
              <w:rPr>
                <w:sz w:val="12"/>
                <w:szCs w:val="12"/>
              </w:rPr>
            </w:pPr>
            <w:r w:rsidRPr="00F92667">
              <w:rPr>
                <w:sz w:val="12"/>
                <w:szCs w:val="12"/>
              </w:rPr>
              <w:t>9550,296</w:t>
            </w:r>
          </w:p>
        </w:tc>
        <w:tc>
          <w:tcPr>
            <w:tcW w:w="217" w:type="pct"/>
            <w:gridSpan w:val="2"/>
            <w:shd w:val="clear" w:color="auto" w:fill="auto"/>
            <w:tcMar>
              <w:left w:w="17" w:type="dxa"/>
              <w:right w:w="17" w:type="dxa"/>
            </w:tcMar>
            <w:vAlign w:val="center"/>
          </w:tcPr>
          <w:p w14:paraId="2AAE422F"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7A2DDA31" w14:textId="77777777" w:rsidR="001C56BD" w:rsidRPr="00F92667" w:rsidRDefault="001C56BD" w:rsidP="008A5C11">
            <w:pPr>
              <w:jc w:val="center"/>
              <w:rPr>
                <w:sz w:val="12"/>
                <w:szCs w:val="12"/>
              </w:rPr>
            </w:pPr>
            <w:r w:rsidRPr="00F92667">
              <w:rPr>
                <w:sz w:val="12"/>
                <w:szCs w:val="12"/>
              </w:rPr>
              <w:t>0,000</w:t>
            </w:r>
          </w:p>
        </w:tc>
        <w:tc>
          <w:tcPr>
            <w:tcW w:w="214" w:type="pct"/>
            <w:gridSpan w:val="2"/>
            <w:shd w:val="clear" w:color="auto" w:fill="auto"/>
            <w:tcMar>
              <w:left w:w="17" w:type="dxa"/>
              <w:right w:w="17" w:type="dxa"/>
            </w:tcMar>
            <w:vAlign w:val="center"/>
          </w:tcPr>
          <w:p w14:paraId="4C1870D4" w14:textId="77777777" w:rsidR="001C56BD" w:rsidRPr="00F92667" w:rsidRDefault="001C56BD" w:rsidP="008A5C11">
            <w:pPr>
              <w:jc w:val="center"/>
              <w:rPr>
                <w:sz w:val="12"/>
                <w:szCs w:val="12"/>
              </w:rPr>
            </w:pPr>
            <w:r w:rsidRPr="00F92667">
              <w:rPr>
                <w:sz w:val="12"/>
                <w:szCs w:val="12"/>
              </w:rPr>
              <w:t>0,000</w:t>
            </w:r>
          </w:p>
        </w:tc>
        <w:tc>
          <w:tcPr>
            <w:tcW w:w="247" w:type="pct"/>
            <w:gridSpan w:val="2"/>
            <w:shd w:val="clear" w:color="auto" w:fill="auto"/>
            <w:tcMar>
              <w:left w:w="17" w:type="dxa"/>
              <w:right w:w="17" w:type="dxa"/>
            </w:tcMar>
            <w:vAlign w:val="center"/>
          </w:tcPr>
          <w:p w14:paraId="60AD4590" w14:textId="77777777" w:rsidR="001C56BD" w:rsidRPr="00F92667" w:rsidRDefault="001C56BD" w:rsidP="008A5C11">
            <w:pPr>
              <w:jc w:val="center"/>
              <w:rPr>
                <w:sz w:val="12"/>
                <w:szCs w:val="12"/>
              </w:rPr>
            </w:pPr>
            <w:r w:rsidRPr="00F92667">
              <w:rPr>
                <w:sz w:val="12"/>
                <w:szCs w:val="12"/>
              </w:rPr>
              <w:t>0,000</w:t>
            </w:r>
          </w:p>
        </w:tc>
        <w:tc>
          <w:tcPr>
            <w:tcW w:w="173" w:type="pct"/>
            <w:shd w:val="clear" w:color="auto" w:fill="auto"/>
            <w:tcMar>
              <w:left w:w="17" w:type="dxa"/>
              <w:right w:w="17" w:type="dxa"/>
            </w:tcMar>
            <w:vAlign w:val="center"/>
          </w:tcPr>
          <w:p w14:paraId="72528944" w14:textId="77777777" w:rsidR="001C56BD" w:rsidRPr="00F92667" w:rsidRDefault="001C56BD" w:rsidP="008A5C11">
            <w:pPr>
              <w:jc w:val="center"/>
              <w:rPr>
                <w:sz w:val="12"/>
                <w:szCs w:val="12"/>
              </w:rPr>
            </w:pPr>
            <w:r w:rsidRPr="00F92667">
              <w:rPr>
                <w:sz w:val="12"/>
                <w:szCs w:val="12"/>
              </w:rPr>
              <w:t>0,000</w:t>
            </w:r>
          </w:p>
        </w:tc>
        <w:tc>
          <w:tcPr>
            <w:tcW w:w="169" w:type="pct"/>
            <w:shd w:val="clear" w:color="auto" w:fill="auto"/>
            <w:tcMar>
              <w:left w:w="17" w:type="dxa"/>
              <w:right w:w="17" w:type="dxa"/>
            </w:tcMar>
            <w:vAlign w:val="center"/>
          </w:tcPr>
          <w:p w14:paraId="6368DB61" w14:textId="77777777" w:rsidR="001C56BD" w:rsidRPr="00F92667" w:rsidRDefault="001C56BD" w:rsidP="008A5C11">
            <w:pPr>
              <w:jc w:val="center"/>
              <w:rPr>
                <w:sz w:val="12"/>
                <w:szCs w:val="12"/>
              </w:rPr>
            </w:pPr>
            <w:r w:rsidRPr="00F92667">
              <w:rPr>
                <w:sz w:val="12"/>
                <w:szCs w:val="12"/>
              </w:rPr>
              <w:t>0,000</w:t>
            </w:r>
          </w:p>
        </w:tc>
      </w:tr>
      <w:tr w:rsidR="001C56BD" w:rsidRPr="00F92667" w14:paraId="4D7F881F" w14:textId="77777777" w:rsidTr="008A5C11">
        <w:trPr>
          <w:gridBefore w:val="1"/>
          <w:wBefore w:w="3" w:type="pct"/>
          <w:trHeight w:val="897"/>
        </w:trPr>
        <w:tc>
          <w:tcPr>
            <w:tcW w:w="129" w:type="pct"/>
            <w:shd w:val="clear" w:color="auto" w:fill="auto"/>
            <w:tcMar>
              <w:left w:w="17" w:type="dxa"/>
              <w:right w:w="17" w:type="dxa"/>
            </w:tcMar>
            <w:vAlign w:val="center"/>
          </w:tcPr>
          <w:p w14:paraId="63865A9B" w14:textId="77777777" w:rsidR="001C56BD" w:rsidRPr="00F92667" w:rsidRDefault="001C56BD" w:rsidP="008A5C11">
            <w:pPr>
              <w:jc w:val="center"/>
              <w:rPr>
                <w:sz w:val="12"/>
                <w:szCs w:val="12"/>
              </w:rPr>
            </w:pPr>
            <w:r w:rsidRPr="00F92667">
              <w:rPr>
                <w:sz w:val="12"/>
                <w:szCs w:val="12"/>
              </w:rPr>
              <w:t>3.1.22.</w:t>
            </w:r>
          </w:p>
        </w:tc>
        <w:tc>
          <w:tcPr>
            <w:tcW w:w="305" w:type="pct"/>
            <w:shd w:val="clear" w:color="auto" w:fill="auto"/>
            <w:tcMar>
              <w:left w:w="17" w:type="dxa"/>
              <w:right w:w="17" w:type="dxa"/>
            </w:tcMar>
            <w:vAlign w:val="center"/>
          </w:tcPr>
          <w:p w14:paraId="344ECB3E" w14:textId="77777777" w:rsidR="001C56BD" w:rsidRPr="00F92667" w:rsidRDefault="001C56BD" w:rsidP="008A5C11">
            <w:pPr>
              <w:rPr>
                <w:sz w:val="12"/>
                <w:szCs w:val="12"/>
              </w:rPr>
            </w:pPr>
            <w:r w:rsidRPr="00F92667">
              <w:rPr>
                <w:color w:val="000000"/>
                <w:sz w:val="12"/>
                <w:szCs w:val="12"/>
              </w:rPr>
              <w:t>Реконструкция тепловой сети с реестровым номером</w:t>
            </w:r>
            <w:r w:rsidRPr="00F92667">
              <w:rPr>
                <w:sz w:val="12"/>
                <w:szCs w:val="12"/>
              </w:rPr>
              <w:t xml:space="preserve"> 777445</w:t>
            </w:r>
          </w:p>
        </w:tc>
        <w:tc>
          <w:tcPr>
            <w:tcW w:w="304" w:type="pct"/>
            <w:shd w:val="clear" w:color="000000" w:fill="FFFFFF"/>
            <w:tcMar>
              <w:left w:w="17" w:type="dxa"/>
              <w:right w:w="17" w:type="dxa"/>
            </w:tcMar>
            <w:vAlign w:val="center"/>
          </w:tcPr>
          <w:p w14:paraId="4DD7E8AF" w14:textId="77777777" w:rsidR="001C56BD" w:rsidRPr="00F92667" w:rsidRDefault="001C56BD" w:rsidP="008A5C11">
            <w:pPr>
              <w:jc w:val="center"/>
              <w:rPr>
                <w:sz w:val="12"/>
                <w:szCs w:val="12"/>
              </w:rPr>
            </w:pPr>
            <w:r w:rsidRPr="00F92667">
              <w:rPr>
                <w:color w:val="000000"/>
                <w:sz w:val="12"/>
                <w:szCs w:val="12"/>
              </w:rPr>
              <w:t>Повышение надежности услуг теплоснабжения, повышение энергетической эффективности</w:t>
            </w:r>
          </w:p>
        </w:tc>
        <w:tc>
          <w:tcPr>
            <w:tcW w:w="258" w:type="pct"/>
            <w:shd w:val="clear" w:color="auto" w:fill="auto"/>
            <w:tcMar>
              <w:left w:w="17" w:type="dxa"/>
              <w:right w:w="17" w:type="dxa"/>
            </w:tcMar>
            <w:vAlign w:val="center"/>
          </w:tcPr>
          <w:p w14:paraId="6F064F46" w14:textId="77777777" w:rsidR="001C56BD" w:rsidRPr="00F92667" w:rsidRDefault="001C56BD" w:rsidP="008A5C11">
            <w:pPr>
              <w:jc w:val="center"/>
              <w:rPr>
                <w:sz w:val="12"/>
                <w:szCs w:val="12"/>
              </w:rPr>
            </w:pPr>
            <w:r w:rsidRPr="00F92667">
              <w:rPr>
                <w:sz w:val="12"/>
                <w:szCs w:val="12"/>
              </w:rPr>
              <w:t xml:space="preserve">Кемеровский городской округ, Заводский район, квартал №21, в границах </w:t>
            </w:r>
            <w:proofErr w:type="gramStart"/>
            <w:r w:rsidRPr="00F92667">
              <w:rPr>
                <w:sz w:val="12"/>
                <w:szCs w:val="12"/>
              </w:rPr>
              <w:t>просп.Ленина</w:t>
            </w:r>
            <w:proofErr w:type="gramEnd"/>
            <w:r w:rsidRPr="00F92667">
              <w:rPr>
                <w:sz w:val="12"/>
                <w:szCs w:val="12"/>
              </w:rPr>
              <w:t>, ул. Мичурина, ул. Сибиряков-Гвардейцев, р. Искитимка</w:t>
            </w:r>
          </w:p>
        </w:tc>
        <w:tc>
          <w:tcPr>
            <w:tcW w:w="294" w:type="pct"/>
            <w:shd w:val="clear" w:color="auto" w:fill="auto"/>
            <w:tcMar>
              <w:left w:w="17" w:type="dxa"/>
              <w:right w:w="17" w:type="dxa"/>
            </w:tcMar>
            <w:vAlign w:val="center"/>
          </w:tcPr>
          <w:p w14:paraId="601C1821" w14:textId="77777777" w:rsidR="001C56BD" w:rsidRPr="00F92667" w:rsidRDefault="001C56BD" w:rsidP="008A5C11">
            <w:pPr>
              <w:jc w:val="center"/>
              <w:rPr>
                <w:sz w:val="12"/>
                <w:szCs w:val="12"/>
              </w:rPr>
            </w:pPr>
            <w:r w:rsidRPr="00F92667">
              <w:rPr>
                <w:color w:val="000000"/>
                <w:sz w:val="12"/>
                <w:szCs w:val="12"/>
              </w:rPr>
              <w:t>Технические характеристики</w:t>
            </w:r>
          </w:p>
        </w:tc>
        <w:tc>
          <w:tcPr>
            <w:tcW w:w="129" w:type="pct"/>
            <w:shd w:val="clear" w:color="auto" w:fill="auto"/>
            <w:tcMar>
              <w:left w:w="17" w:type="dxa"/>
              <w:right w:w="17" w:type="dxa"/>
            </w:tcMar>
            <w:vAlign w:val="center"/>
          </w:tcPr>
          <w:p w14:paraId="30D692D0" w14:textId="77777777" w:rsidR="001C56BD" w:rsidRPr="00F92667" w:rsidRDefault="001C56BD" w:rsidP="008A5C11">
            <w:pPr>
              <w:jc w:val="center"/>
              <w:rPr>
                <w:color w:val="000000"/>
                <w:sz w:val="12"/>
                <w:szCs w:val="12"/>
              </w:rPr>
            </w:pPr>
          </w:p>
        </w:tc>
        <w:tc>
          <w:tcPr>
            <w:tcW w:w="184" w:type="pct"/>
            <w:shd w:val="clear" w:color="auto" w:fill="auto"/>
            <w:tcMar>
              <w:left w:w="17" w:type="dxa"/>
              <w:right w:w="17" w:type="dxa"/>
            </w:tcMar>
            <w:vAlign w:val="center"/>
          </w:tcPr>
          <w:p w14:paraId="32CB13D3" w14:textId="77777777" w:rsidR="001C56BD" w:rsidRPr="00F92667" w:rsidRDefault="001C56BD" w:rsidP="008A5C11">
            <w:pPr>
              <w:jc w:val="center"/>
              <w:rPr>
                <w:sz w:val="12"/>
                <w:szCs w:val="12"/>
              </w:rPr>
            </w:pPr>
            <w:r w:rsidRPr="00F92667">
              <w:rPr>
                <w:sz w:val="12"/>
                <w:szCs w:val="12"/>
              </w:rPr>
              <w:t xml:space="preserve">Канал-кирпич, опоры-хомутовые </w:t>
            </w:r>
            <w:proofErr w:type="gramStart"/>
            <w:r w:rsidRPr="00F92667">
              <w:rPr>
                <w:sz w:val="12"/>
                <w:szCs w:val="12"/>
              </w:rPr>
              <w:t>привар-ные</w:t>
            </w:r>
            <w:proofErr w:type="gramEnd"/>
            <w:r w:rsidRPr="00F92667">
              <w:rPr>
                <w:sz w:val="12"/>
                <w:szCs w:val="12"/>
              </w:rPr>
              <w:t xml:space="preserve">, запорная арматура - стальная клиновая, антикоррозийная защита-лак БТ, труба-сталь 20, изоляция - мин. маты </w:t>
            </w:r>
          </w:p>
        </w:tc>
        <w:tc>
          <w:tcPr>
            <w:tcW w:w="219" w:type="pct"/>
            <w:shd w:val="clear" w:color="auto" w:fill="auto"/>
            <w:tcMar>
              <w:left w:w="17" w:type="dxa"/>
              <w:right w:w="17" w:type="dxa"/>
            </w:tcMar>
            <w:vAlign w:val="center"/>
          </w:tcPr>
          <w:p w14:paraId="33C44C76" w14:textId="77777777" w:rsidR="001C56BD" w:rsidRPr="00F92667" w:rsidRDefault="001C56BD" w:rsidP="008A5C11">
            <w:pPr>
              <w:jc w:val="center"/>
              <w:rPr>
                <w:sz w:val="12"/>
                <w:szCs w:val="12"/>
              </w:rPr>
            </w:pPr>
            <w:r w:rsidRPr="00F92667">
              <w:rPr>
                <w:sz w:val="12"/>
                <w:szCs w:val="12"/>
              </w:rPr>
              <w:t xml:space="preserve">Канал-ж/б лотки, опоры-хомутовые с диэлектрической прокладкой, запорная арматура - кран шаровый, антикоррозийная защита-мастика Вектор 1214, 1025, труба-сталь 09Г2С, изоляция - маты прошивные, </w:t>
            </w:r>
            <w:proofErr w:type="gramStart"/>
            <w:r w:rsidRPr="00F92667">
              <w:rPr>
                <w:sz w:val="12"/>
                <w:szCs w:val="12"/>
              </w:rPr>
              <w:t>стеклоплас-тик</w:t>
            </w:r>
            <w:proofErr w:type="gramEnd"/>
            <w:r w:rsidRPr="00F92667">
              <w:rPr>
                <w:sz w:val="12"/>
                <w:szCs w:val="12"/>
              </w:rPr>
              <w:t xml:space="preserve">  </w:t>
            </w:r>
          </w:p>
        </w:tc>
        <w:tc>
          <w:tcPr>
            <w:tcW w:w="130" w:type="pct"/>
            <w:shd w:val="clear" w:color="auto" w:fill="auto"/>
            <w:tcMar>
              <w:left w:w="17" w:type="dxa"/>
              <w:right w:w="17" w:type="dxa"/>
            </w:tcMar>
            <w:vAlign w:val="center"/>
          </w:tcPr>
          <w:p w14:paraId="0CB6174C" w14:textId="77777777" w:rsidR="001C56BD" w:rsidRPr="00F92667" w:rsidRDefault="001C56BD" w:rsidP="008A5C11">
            <w:pPr>
              <w:jc w:val="center"/>
              <w:rPr>
                <w:sz w:val="12"/>
                <w:szCs w:val="12"/>
              </w:rPr>
            </w:pPr>
            <w:r w:rsidRPr="00F92667">
              <w:rPr>
                <w:sz w:val="12"/>
                <w:szCs w:val="12"/>
              </w:rPr>
              <w:t>2028</w:t>
            </w:r>
          </w:p>
        </w:tc>
        <w:tc>
          <w:tcPr>
            <w:tcW w:w="130" w:type="pct"/>
            <w:shd w:val="clear" w:color="auto" w:fill="auto"/>
            <w:tcMar>
              <w:left w:w="17" w:type="dxa"/>
              <w:right w:w="17" w:type="dxa"/>
            </w:tcMar>
            <w:vAlign w:val="center"/>
          </w:tcPr>
          <w:p w14:paraId="40A87C93" w14:textId="77777777" w:rsidR="001C56BD" w:rsidRPr="00F92667" w:rsidRDefault="001C56BD" w:rsidP="008A5C11">
            <w:pPr>
              <w:jc w:val="center"/>
              <w:rPr>
                <w:sz w:val="12"/>
                <w:szCs w:val="12"/>
              </w:rPr>
            </w:pPr>
            <w:r w:rsidRPr="00F92667">
              <w:rPr>
                <w:sz w:val="12"/>
                <w:szCs w:val="12"/>
              </w:rPr>
              <w:t>2028</w:t>
            </w:r>
          </w:p>
        </w:tc>
        <w:tc>
          <w:tcPr>
            <w:tcW w:w="217" w:type="pct"/>
            <w:gridSpan w:val="2"/>
            <w:shd w:val="clear" w:color="auto" w:fill="auto"/>
            <w:tcMar>
              <w:left w:w="17" w:type="dxa"/>
              <w:right w:w="17" w:type="dxa"/>
            </w:tcMar>
            <w:vAlign w:val="center"/>
          </w:tcPr>
          <w:p w14:paraId="1ABFF590" w14:textId="77777777" w:rsidR="001C56BD" w:rsidRPr="00F92667" w:rsidRDefault="001C56BD" w:rsidP="008A5C11">
            <w:pPr>
              <w:jc w:val="center"/>
              <w:rPr>
                <w:sz w:val="12"/>
                <w:szCs w:val="12"/>
              </w:rPr>
            </w:pPr>
            <w:r w:rsidRPr="00F92667">
              <w:rPr>
                <w:sz w:val="12"/>
                <w:szCs w:val="12"/>
              </w:rPr>
              <w:t>9536,604</w:t>
            </w:r>
          </w:p>
        </w:tc>
        <w:tc>
          <w:tcPr>
            <w:tcW w:w="177" w:type="pct"/>
            <w:gridSpan w:val="2"/>
            <w:shd w:val="clear" w:color="auto" w:fill="auto"/>
            <w:tcMar>
              <w:left w:w="17" w:type="dxa"/>
              <w:right w:w="17" w:type="dxa"/>
            </w:tcMar>
            <w:vAlign w:val="center"/>
          </w:tcPr>
          <w:p w14:paraId="513C46D7" w14:textId="77777777" w:rsidR="001C56BD" w:rsidRPr="00F92667" w:rsidRDefault="001C56BD" w:rsidP="008A5C11">
            <w:pPr>
              <w:jc w:val="center"/>
              <w:rPr>
                <w:sz w:val="12"/>
                <w:szCs w:val="12"/>
              </w:rPr>
            </w:pPr>
            <w:r w:rsidRPr="00F92667">
              <w:rPr>
                <w:sz w:val="12"/>
                <w:szCs w:val="12"/>
              </w:rPr>
              <w:t>0,000</w:t>
            </w:r>
          </w:p>
        </w:tc>
        <w:tc>
          <w:tcPr>
            <w:tcW w:w="212" w:type="pct"/>
            <w:shd w:val="clear" w:color="auto" w:fill="auto"/>
            <w:tcMar>
              <w:left w:w="17" w:type="dxa"/>
              <w:right w:w="17" w:type="dxa"/>
            </w:tcMar>
            <w:vAlign w:val="center"/>
          </w:tcPr>
          <w:p w14:paraId="1076826C" w14:textId="77777777" w:rsidR="001C56BD" w:rsidRPr="00F92667" w:rsidRDefault="001C56BD" w:rsidP="008A5C11">
            <w:pPr>
              <w:jc w:val="center"/>
              <w:rPr>
                <w:sz w:val="12"/>
                <w:szCs w:val="12"/>
              </w:rPr>
            </w:pPr>
            <w:r w:rsidRPr="00F92667">
              <w:rPr>
                <w:sz w:val="12"/>
                <w:szCs w:val="12"/>
              </w:rPr>
              <w:t>0,000</w:t>
            </w:r>
          </w:p>
        </w:tc>
        <w:tc>
          <w:tcPr>
            <w:tcW w:w="218" w:type="pct"/>
            <w:gridSpan w:val="2"/>
            <w:shd w:val="clear" w:color="auto" w:fill="auto"/>
            <w:tcMar>
              <w:left w:w="17" w:type="dxa"/>
              <w:right w:w="17" w:type="dxa"/>
            </w:tcMar>
            <w:vAlign w:val="center"/>
          </w:tcPr>
          <w:p w14:paraId="2D761452"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25F65247" w14:textId="77777777" w:rsidR="001C56BD" w:rsidRPr="00F92667" w:rsidRDefault="001C56BD" w:rsidP="008A5C11">
            <w:pPr>
              <w:jc w:val="center"/>
              <w:rPr>
                <w:sz w:val="12"/>
                <w:szCs w:val="12"/>
              </w:rPr>
            </w:pPr>
            <w:r w:rsidRPr="00F92667">
              <w:rPr>
                <w:sz w:val="12"/>
                <w:szCs w:val="12"/>
              </w:rPr>
              <w:t>0,000</w:t>
            </w:r>
          </w:p>
        </w:tc>
        <w:tc>
          <w:tcPr>
            <w:tcW w:w="206" w:type="pct"/>
            <w:gridSpan w:val="2"/>
            <w:shd w:val="clear" w:color="auto" w:fill="auto"/>
            <w:tcMar>
              <w:left w:w="17" w:type="dxa"/>
              <w:right w:w="17" w:type="dxa"/>
            </w:tcMar>
            <w:vAlign w:val="center"/>
          </w:tcPr>
          <w:p w14:paraId="75BF2204"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4088E472" w14:textId="77777777" w:rsidR="001C56BD" w:rsidRPr="00F92667" w:rsidRDefault="001C56BD" w:rsidP="008A5C11">
            <w:pPr>
              <w:jc w:val="center"/>
              <w:rPr>
                <w:sz w:val="12"/>
                <w:szCs w:val="12"/>
              </w:rPr>
            </w:pPr>
            <w:r w:rsidRPr="00F92667">
              <w:rPr>
                <w:sz w:val="12"/>
                <w:szCs w:val="12"/>
              </w:rPr>
              <w:t>0,000</w:t>
            </w:r>
          </w:p>
        </w:tc>
        <w:tc>
          <w:tcPr>
            <w:tcW w:w="214" w:type="pct"/>
            <w:gridSpan w:val="2"/>
            <w:shd w:val="clear" w:color="auto" w:fill="auto"/>
            <w:tcMar>
              <w:left w:w="17" w:type="dxa"/>
              <w:right w:w="17" w:type="dxa"/>
            </w:tcMar>
            <w:vAlign w:val="center"/>
          </w:tcPr>
          <w:p w14:paraId="5EB0BFF4"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3DC0EBFA" w14:textId="77777777" w:rsidR="001C56BD" w:rsidRPr="00F92667" w:rsidRDefault="001C56BD" w:rsidP="008A5C11">
            <w:pPr>
              <w:jc w:val="center"/>
              <w:rPr>
                <w:sz w:val="12"/>
                <w:szCs w:val="12"/>
              </w:rPr>
            </w:pPr>
            <w:r w:rsidRPr="00F92667">
              <w:rPr>
                <w:sz w:val="12"/>
                <w:szCs w:val="12"/>
              </w:rPr>
              <w:t>9536,604</w:t>
            </w:r>
          </w:p>
        </w:tc>
        <w:tc>
          <w:tcPr>
            <w:tcW w:w="217" w:type="pct"/>
            <w:gridSpan w:val="2"/>
            <w:shd w:val="clear" w:color="auto" w:fill="auto"/>
            <w:tcMar>
              <w:left w:w="17" w:type="dxa"/>
              <w:right w:w="17" w:type="dxa"/>
            </w:tcMar>
            <w:vAlign w:val="center"/>
          </w:tcPr>
          <w:p w14:paraId="2D29A4B9" w14:textId="77777777" w:rsidR="001C56BD" w:rsidRPr="00F92667" w:rsidRDefault="001C56BD" w:rsidP="008A5C11">
            <w:pPr>
              <w:jc w:val="center"/>
              <w:rPr>
                <w:sz w:val="12"/>
                <w:szCs w:val="12"/>
              </w:rPr>
            </w:pPr>
            <w:r w:rsidRPr="00F92667">
              <w:rPr>
                <w:sz w:val="12"/>
                <w:szCs w:val="12"/>
              </w:rPr>
              <w:t>0,000</w:t>
            </w:r>
          </w:p>
        </w:tc>
        <w:tc>
          <w:tcPr>
            <w:tcW w:w="214" w:type="pct"/>
            <w:gridSpan w:val="2"/>
            <w:shd w:val="clear" w:color="auto" w:fill="auto"/>
            <w:tcMar>
              <w:left w:w="17" w:type="dxa"/>
              <w:right w:w="17" w:type="dxa"/>
            </w:tcMar>
            <w:vAlign w:val="center"/>
          </w:tcPr>
          <w:p w14:paraId="31A10AF3" w14:textId="77777777" w:rsidR="001C56BD" w:rsidRPr="00F92667" w:rsidRDefault="001C56BD" w:rsidP="008A5C11">
            <w:pPr>
              <w:jc w:val="center"/>
              <w:rPr>
                <w:sz w:val="12"/>
                <w:szCs w:val="12"/>
              </w:rPr>
            </w:pPr>
            <w:r w:rsidRPr="00F92667">
              <w:rPr>
                <w:sz w:val="12"/>
                <w:szCs w:val="12"/>
              </w:rPr>
              <w:t>0,000</w:t>
            </w:r>
          </w:p>
        </w:tc>
        <w:tc>
          <w:tcPr>
            <w:tcW w:w="247" w:type="pct"/>
            <w:gridSpan w:val="2"/>
            <w:shd w:val="clear" w:color="auto" w:fill="auto"/>
            <w:tcMar>
              <w:left w:w="17" w:type="dxa"/>
              <w:right w:w="17" w:type="dxa"/>
            </w:tcMar>
            <w:vAlign w:val="center"/>
          </w:tcPr>
          <w:p w14:paraId="0A2DD988" w14:textId="77777777" w:rsidR="001C56BD" w:rsidRPr="00F92667" w:rsidRDefault="001C56BD" w:rsidP="008A5C11">
            <w:pPr>
              <w:jc w:val="center"/>
              <w:rPr>
                <w:sz w:val="12"/>
                <w:szCs w:val="12"/>
              </w:rPr>
            </w:pPr>
            <w:r w:rsidRPr="00F92667">
              <w:rPr>
                <w:sz w:val="12"/>
                <w:szCs w:val="12"/>
              </w:rPr>
              <w:t>0,000</w:t>
            </w:r>
          </w:p>
        </w:tc>
        <w:tc>
          <w:tcPr>
            <w:tcW w:w="173" w:type="pct"/>
            <w:shd w:val="clear" w:color="auto" w:fill="auto"/>
            <w:tcMar>
              <w:left w:w="17" w:type="dxa"/>
              <w:right w:w="17" w:type="dxa"/>
            </w:tcMar>
            <w:vAlign w:val="center"/>
          </w:tcPr>
          <w:p w14:paraId="1BFEF44D" w14:textId="77777777" w:rsidR="001C56BD" w:rsidRPr="00F92667" w:rsidRDefault="001C56BD" w:rsidP="008A5C11">
            <w:pPr>
              <w:jc w:val="center"/>
              <w:rPr>
                <w:sz w:val="12"/>
                <w:szCs w:val="12"/>
              </w:rPr>
            </w:pPr>
            <w:r w:rsidRPr="00F92667">
              <w:rPr>
                <w:sz w:val="12"/>
                <w:szCs w:val="12"/>
              </w:rPr>
              <w:t>0,000</w:t>
            </w:r>
          </w:p>
        </w:tc>
        <w:tc>
          <w:tcPr>
            <w:tcW w:w="169" w:type="pct"/>
            <w:shd w:val="clear" w:color="auto" w:fill="auto"/>
            <w:tcMar>
              <w:left w:w="17" w:type="dxa"/>
              <w:right w:w="17" w:type="dxa"/>
            </w:tcMar>
            <w:vAlign w:val="center"/>
          </w:tcPr>
          <w:p w14:paraId="1EEEE2CD" w14:textId="77777777" w:rsidR="001C56BD" w:rsidRPr="00F92667" w:rsidRDefault="001C56BD" w:rsidP="008A5C11">
            <w:pPr>
              <w:jc w:val="center"/>
              <w:rPr>
                <w:sz w:val="12"/>
                <w:szCs w:val="12"/>
              </w:rPr>
            </w:pPr>
            <w:r w:rsidRPr="00F92667">
              <w:rPr>
                <w:sz w:val="12"/>
                <w:szCs w:val="12"/>
              </w:rPr>
              <w:t>0,000</w:t>
            </w:r>
          </w:p>
        </w:tc>
      </w:tr>
      <w:tr w:rsidR="001C56BD" w:rsidRPr="00F92667" w14:paraId="66DD26A5" w14:textId="77777777" w:rsidTr="008A5C11">
        <w:trPr>
          <w:gridBefore w:val="1"/>
          <w:wBefore w:w="3" w:type="pct"/>
          <w:trHeight w:val="897"/>
        </w:trPr>
        <w:tc>
          <w:tcPr>
            <w:tcW w:w="129" w:type="pct"/>
            <w:shd w:val="clear" w:color="auto" w:fill="auto"/>
            <w:tcMar>
              <w:left w:w="17" w:type="dxa"/>
              <w:right w:w="17" w:type="dxa"/>
            </w:tcMar>
            <w:vAlign w:val="center"/>
          </w:tcPr>
          <w:p w14:paraId="3095E933" w14:textId="77777777" w:rsidR="001C56BD" w:rsidRPr="00F92667" w:rsidRDefault="001C56BD" w:rsidP="008A5C11">
            <w:pPr>
              <w:jc w:val="center"/>
              <w:rPr>
                <w:bCs/>
                <w:sz w:val="12"/>
                <w:szCs w:val="12"/>
              </w:rPr>
            </w:pPr>
            <w:r w:rsidRPr="00F92667">
              <w:rPr>
                <w:bCs/>
                <w:sz w:val="12"/>
                <w:szCs w:val="12"/>
              </w:rPr>
              <w:t>1</w:t>
            </w:r>
          </w:p>
        </w:tc>
        <w:tc>
          <w:tcPr>
            <w:tcW w:w="305" w:type="pct"/>
            <w:shd w:val="clear" w:color="auto" w:fill="auto"/>
            <w:tcMar>
              <w:left w:w="17" w:type="dxa"/>
              <w:right w:w="17" w:type="dxa"/>
            </w:tcMar>
            <w:vAlign w:val="center"/>
          </w:tcPr>
          <w:p w14:paraId="02201E80" w14:textId="77777777" w:rsidR="001C56BD" w:rsidRPr="00F92667" w:rsidRDefault="001C56BD" w:rsidP="008A5C11">
            <w:pPr>
              <w:jc w:val="center"/>
              <w:rPr>
                <w:bCs/>
                <w:sz w:val="12"/>
                <w:szCs w:val="12"/>
              </w:rPr>
            </w:pPr>
            <w:r w:rsidRPr="00F92667">
              <w:rPr>
                <w:bCs/>
                <w:sz w:val="12"/>
                <w:szCs w:val="12"/>
              </w:rPr>
              <w:t>2</w:t>
            </w:r>
          </w:p>
        </w:tc>
        <w:tc>
          <w:tcPr>
            <w:tcW w:w="304" w:type="pct"/>
            <w:shd w:val="clear" w:color="auto" w:fill="auto"/>
            <w:tcMar>
              <w:left w:w="17" w:type="dxa"/>
              <w:right w:w="17" w:type="dxa"/>
            </w:tcMar>
            <w:vAlign w:val="center"/>
          </w:tcPr>
          <w:p w14:paraId="253EC73A" w14:textId="77777777" w:rsidR="001C56BD" w:rsidRPr="00F92667" w:rsidRDefault="001C56BD" w:rsidP="008A5C11">
            <w:pPr>
              <w:jc w:val="center"/>
              <w:rPr>
                <w:bCs/>
                <w:sz w:val="12"/>
                <w:szCs w:val="12"/>
              </w:rPr>
            </w:pPr>
            <w:r w:rsidRPr="00F92667">
              <w:rPr>
                <w:bCs/>
                <w:sz w:val="12"/>
                <w:szCs w:val="12"/>
              </w:rPr>
              <w:t>3</w:t>
            </w:r>
          </w:p>
        </w:tc>
        <w:tc>
          <w:tcPr>
            <w:tcW w:w="258" w:type="pct"/>
            <w:shd w:val="clear" w:color="auto" w:fill="auto"/>
            <w:tcMar>
              <w:left w:w="17" w:type="dxa"/>
              <w:right w:w="17" w:type="dxa"/>
            </w:tcMar>
            <w:vAlign w:val="center"/>
          </w:tcPr>
          <w:p w14:paraId="746DD4C9" w14:textId="77777777" w:rsidR="001C56BD" w:rsidRPr="00F92667" w:rsidRDefault="001C56BD" w:rsidP="008A5C11">
            <w:pPr>
              <w:jc w:val="center"/>
              <w:rPr>
                <w:bCs/>
                <w:sz w:val="12"/>
                <w:szCs w:val="12"/>
              </w:rPr>
            </w:pPr>
            <w:r w:rsidRPr="00F92667">
              <w:rPr>
                <w:bCs/>
                <w:sz w:val="12"/>
                <w:szCs w:val="12"/>
              </w:rPr>
              <w:t>4</w:t>
            </w:r>
          </w:p>
        </w:tc>
        <w:tc>
          <w:tcPr>
            <w:tcW w:w="294" w:type="pct"/>
            <w:shd w:val="clear" w:color="auto" w:fill="auto"/>
            <w:tcMar>
              <w:left w:w="17" w:type="dxa"/>
              <w:right w:w="17" w:type="dxa"/>
            </w:tcMar>
            <w:vAlign w:val="center"/>
          </w:tcPr>
          <w:p w14:paraId="34891643" w14:textId="77777777" w:rsidR="001C56BD" w:rsidRPr="00F92667" w:rsidRDefault="001C56BD" w:rsidP="008A5C11">
            <w:pPr>
              <w:jc w:val="center"/>
              <w:rPr>
                <w:bCs/>
                <w:sz w:val="12"/>
                <w:szCs w:val="12"/>
              </w:rPr>
            </w:pPr>
            <w:r w:rsidRPr="00F92667">
              <w:rPr>
                <w:bCs/>
                <w:sz w:val="12"/>
                <w:szCs w:val="12"/>
              </w:rPr>
              <w:t>5</w:t>
            </w:r>
          </w:p>
        </w:tc>
        <w:tc>
          <w:tcPr>
            <w:tcW w:w="129" w:type="pct"/>
            <w:shd w:val="clear" w:color="auto" w:fill="auto"/>
            <w:tcMar>
              <w:left w:w="17" w:type="dxa"/>
              <w:right w:w="17" w:type="dxa"/>
            </w:tcMar>
            <w:vAlign w:val="center"/>
          </w:tcPr>
          <w:p w14:paraId="0A27C9E8" w14:textId="77777777" w:rsidR="001C56BD" w:rsidRPr="00F92667" w:rsidRDefault="001C56BD" w:rsidP="008A5C11">
            <w:pPr>
              <w:jc w:val="center"/>
              <w:rPr>
                <w:bCs/>
                <w:sz w:val="12"/>
                <w:szCs w:val="12"/>
              </w:rPr>
            </w:pPr>
            <w:r w:rsidRPr="00F92667">
              <w:rPr>
                <w:bCs/>
                <w:sz w:val="12"/>
                <w:szCs w:val="12"/>
              </w:rPr>
              <w:t>6</w:t>
            </w:r>
          </w:p>
        </w:tc>
        <w:tc>
          <w:tcPr>
            <w:tcW w:w="184" w:type="pct"/>
            <w:shd w:val="clear" w:color="auto" w:fill="auto"/>
            <w:tcMar>
              <w:left w:w="17" w:type="dxa"/>
              <w:right w:w="17" w:type="dxa"/>
            </w:tcMar>
            <w:vAlign w:val="center"/>
          </w:tcPr>
          <w:p w14:paraId="33797A49" w14:textId="77777777" w:rsidR="001C56BD" w:rsidRPr="00F92667" w:rsidRDefault="001C56BD" w:rsidP="008A5C11">
            <w:pPr>
              <w:jc w:val="center"/>
              <w:rPr>
                <w:bCs/>
                <w:sz w:val="12"/>
                <w:szCs w:val="12"/>
              </w:rPr>
            </w:pPr>
            <w:r w:rsidRPr="00F92667">
              <w:rPr>
                <w:bCs/>
                <w:sz w:val="12"/>
                <w:szCs w:val="12"/>
              </w:rPr>
              <w:t>7</w:t>
            </w:r>
          </w:p>
        </w:tc>
        <w:tc>
          <w:tcPr>
            <w:tcW w:w="219" w:type="pct"/>
            <w:shd w:val="clear" w:color="auto" w:fill="auto"/>
            <w:tcMar>
              <w:left w:w="17" w:type="dxa"/>
              <w:right w:w="17" w:type="dxa"/>
            </w:tcMar>
            <w:vAlign w:val="center"/>
          </w:tcPr>
          <w:p w14:paraId="5655146A" w14:textId="77777777" w:rsidR="001C56BD" w:rsidRPr="00F92667" w:rsidRDefault="001C56BD" w:rsidP="008A5C11">
            <w:pPr>
              <w:jc w:val="center"/>
              <w:rPr>
                <w:bCs/>
                <w:sz w:val="12"/>
                <w:szCs w:val="12"/>
              </w:rPr>
            </w:pPr>
            <w:r w:rsidRPr="00F92667">
              <w:rPr>
                <w:bCs/>
                <w:sz w:val="12"/>
                <w:szCs w:val="12"/>
              </w:rPr>
              <w:t>8</w:t>
            </w:r>
          </w:p>
        </w:tc>
        <w:tc>
          <w:tcPr>
            <w:tcW w:w="130" w:type="pct"/>
            <w:shd w:val="clear" w:color="auto" w:fill="auto"/>
            <w:tcMar>
              <w:left w:w="17" w:type="dxa"/>
              <w:right w:w="17" w:type="dxa"/>
            </w:tcMar>
            <w:vAlign w:val="center"/>
          </w:tcPr>
          <w:p w14:paraId="18FD14CE" w14:textId="77777777" w:rsidR="001C56BD" w:rsidRPr="00F92667" w:rsidRDefault="001C56BD" w:rsidP="008A5C11">
            <w:pPr>
              <w:jc w:val="center"/>
              <w:rPr>
                <w:bCs/>
                <w:sz w:val="12"/>
                <w:szCs w:val="12"/>
              </w:rPr>
            </w:pPr>
            <w:r w:rsidRPr="00F92667">
              <w:rPr>
                <w:bCs/>
                <w:sz w:val="12"/>
                <w:szCs w:val="12"/>
              </w:rPr>
              <w:t>9</w:t>
            </w:r>
          </w:p>
        </w:tc>
        <w:tc>
          <w:tcPr>
            <w:tcW w:w="130" w:type="pct"/>
            <w:shd w:val="clear" w:color="auto" w:fill="auto"/>
            <w:tcMar>
              <w:left w:w="17" w:type="dxa"/>
              <w:right w:w="17" w:type="dxa"/>
            </w:tcMar>
            <w:vAlign w:val="center"/>
          </w:tcPr>
          <w:p w14:paraId="4013E4B3" w14:textId="77777777" w:rsidR="001C56BD" w:rsidRPr="00F92667" w:rsidRDefault="001C56BD" w:rsidP="008A5C11">
            <w:pPr>
              <w:jc w:val="center"/>
              <w:rPr>
                <w:bCs/>
                <w:sz w:val="12"/>
                <w:szCs w:val="12"/>
              </w:rPr>
            </w:pPr>
            <w:r w:rsidRPr="00F92667">
              <w:rPr>
                <w:bCs/>
                <w:sz w:val="12"/>
                <w:szCs w:val="12"/>
              </w:rPr>
              <w:t>10</w:t>
            </w:r>
          </w:p>
        </w:tc>
        <w:tc>
          <w:tcPr>
            <w:tcW w:w="217" w:type="pct"/>
            <w:gridSpan w:val="2"/>
            <w:shd w:val="clear" w:color="auto" w:fill="auto"/>
            <w:tcMar>
              <w:left w:w="17" w:type="dxa"/>
              <w:right w:w="17" w:type="dxa"/>
            </w:tcMar>
            <w:vAlign w:val="center"/>
          </w:tcPr>
          <w:p w14:paraId="563973E7" w14:textId="77777777" w:rsidR="001C56BD" w:rsidRPr="00F92667" w:rsidRDefault="001C56BD" w:rsidP="008A5C11">
            <w:pPr>
              <w:jc w:val="center"/>
              <w:rPr>
                <w:bCs/>
                <w:sz w:val="12"/>
                <w:szCs w:val="12"/>
              </w:rPr>
            </w:pPr>
            <w:r w:rsidRPr="00F92667">
              <w:rPr>
                <w:bCs/>
                <w:sz w:val="12"/>
                <w:szCs w:val="12"/>
              </w:rPr>
              <w:t>11</w:t>
            </w:r>
          </w:p>
        </w:tc>
        <w:tc>
          <w:tcPr>
            <w:tcW w:w="177" w:type="pct"/>
            <w:gridSpan w:val="2"/>
            <w:shd w:val="clear" w:color="auto" w:fill="auto"/>
            <w:tcMar>
              <w:left w:w="17" w:type="dxa"/>
              <w:right w:w="17" w:type="dxa"/>
            </w:tcMar>
            <w:vAlign w:val="center"/>
          </w:tcPr>
          <w:p w14:paraId="75204CB1" w14:textId="77777777" w:rsidR="001C56BD" w:rsidRPr="00F92667" w:rsidRDefault="001C56BD" w:rsidP="008A5C11">
            <w:pPr>
              <w:jc w:val="center"/>
              <w:rPr>
                <w:bCs/>
                <w:sz w:val="12"/>
                <w:szCs w:val="12"/>
              </w:rPr>
            </w:pPr>
            <w:r w:rsidRPr="00F92667">
              <w:rPr>
                <w:bCs/>
                <w:sz w:val="12"/>
                <w:szCs w:val="12"/>
              </w:rPr>
              <w:t>12</w:t>
            </w:r>
          </w:p>
        </w:tc>
        <w:tc>
          <w:tcPr>
            <w:tcW w:w="212" w:type="pct"/>
            <w:shd w:val="clear" w:color="auto" w:fill="auto"/>
            <w:tcMar>
              <w:left w:w="17" w:type="dxa"/>
              <w:right w:w="17" w:type="dxa"/>
            </w:tcMar>
            <w:vAlign w:val="center"/>
          </w:tcPr>
          <w:p w14:paraId="732B1217" w14:textId="77777777" w:rsidR="001C56BD" w:rsidRPr="00F92667" w:rsidRDefault="001C56BD" w:rsidP="008A5C11">
            <w:pPr>
              <w:jc w:val="center"/>
              <w:rPr>
                <w:bCs/>
                <w:sz w:val="12"/>
                <w:szCs w:val="12"/>
              </w:rPr>
            </w:pPr>
            <w:r w:rsidRPr="00F92667">
              <w:rPr>
                <w:bCs/>
                <w:sz w:val="12"/>
                <w:szCs w:val="12"/>
              </w:rPr>
              <w:t>13</w:t>
            </w:r>
          </w:p>
        </w:tc>
        <w:tc>
          <w:tcPr>
            <w:tcW w:w="218" w:type="pct"/>
            <w:gridSpan w:val="2"/>
            <w:shd w:val="clear" w:color="auto" w:fill="auto"/>
            <w:tcMar>
              <w:left w:w="17" w:type="dxa"/>
              <w:right w:w="17" w:type="dxa"/>
            </w:tcMar>
            <w:vAlign w:val="center"/>
          </w:tcPr>
          <w:p w14:paraId="5661FCDB" w14:textId="77777777" w:rsidR="001C56BD" w:rsidRPr="00F92667" w:rsidRDefault="001C56BD" w:rsidP="008A5C11">
            <w:pPr>
              <w:jc w:val="center"/>
              <w:rPr>
                <w:bCs/>
                <w:sz w:val="12"/>
                <w:szCs w:val="12"/>
              </w:rPr>
            </w:pPr>
            <w:r w:rsidRPr="00F92667">
              <w:rPr>
                <w:bCs/>
                <w:sz w:val="12"/>
                <w:szCs w:val="12"/>
              </w:rPr>
              <w:t>14</w:t>
            </w:r>
          </w:p>
        </w:tc>
        <w:tc>
          <w:tcPr>
            <w:tcW w:w="217" w:type="pct"/>
            <w:gridSpan w:val="2"/>
            <w:shd w:val="clear" w:color="auto" w:fill="auto"/>
            <w:tcMar>
              <w:left w:w="17" w:type="dxa"/>
              <w:right w:w="17" w:type="dxa"/>
            </w:tcMar>
            <w:vAlign w:val="center"/>
          </w:tcPr>
          <w:p w14:paraId="082E4B2F" w14:textId="77777777" w:rsidR="001C56BD" w:rsidRPr="00F92667" w:rsidRDefault="001C56BD" w:rsidP="008A5C11">
            <w:pPr>
              <w:jc w:val="center"/>
              <w:rPr>
                <w:bCs/>
                <w:sz w:val="12"/>
                <w:szCs w:val="12"/>
              </w:rPr>
            </w:pPr>
            <w:r w:rsidRPr="00F92667">
              <w:rPr>
                <w:bCs/>
                <w:sz w:val="12"/>
                <w:szCs w:val="12"/>
              </w:rPr>
              <w:t>15</w:t>
            </w:r>
          </w:p>
        </w:tc>
        <w:tc>
          <w:tcPr>
            <w:tcW w:w="206" w:type="pct"/>
            <w:gridSpan w:val="2"/>
            <w:tcMar>
              <w:left w:w="17" w:type="dxa"/>
              <w:right w:w="17" w:type="dxa"/>
            </w:tcMar>
            <w:vAlign w:val="center"/>
          </w:tcPr>
          <w:p w14:paraId="7306F395" w14:textId="77777777" w:rsidR="001C56BD" w:rsidRPr="00F92667" w:rsidRDefault="001C56BD" w:rsidP="008A5C11">
            <w:pPr>
              <w:jc w:val="center"/>
              <w:rPr>
                <w:bCs/>
                <w:sz w:val="12"/>
                <w:szCs w:val="12"/>
              </w:rPr>
            </w:pPr>
            <w:r w:rsidRPr="00F92667">
              <w:rPr>
                <w:bCs/>
                <w:sz w:val="12"/>
                <w:szCs w:val="12"/>
              </w:rPr>
              <w:t>16</w:t>
            </w:r>
          </w:p>
        </w:tc>
        <w:tc>
          <w:tcPr>
            <w:tcW w:w="217" w:type="pct"/>
            <w:gridSpan w:val="2"/>
            <w:tcMar>
              <w:left w:w="17" w:type="dxa"/>
              <w:right w:w="17" w:type="dxa"/>
            </w:tcMar>
            <w:vAlign w:val="center"/>
          </w:tcPr>
          <w:p w14:paraId="6CBB8D18" w14:textId="77777777" w:rsidR="001C56BD" w:rsidRPr="00F92667" w:rsidRDefault="001C56BD" w:rsidP="008A5C11">
            <w:pPr>
              <w:jc w:val="center"/>
              <w:rPr>
                <w:bCs/>
                <w:sz w:val="12"/>
                <w:szCs w:val="12"/>
              </w:rPr>
            </w:pPr>
            <w:r w:rsidRPr="00F92667">
              <w:rPr>
                <w:bCs/>
                <w:sz w:val="12"/>
                <w:szCs w:val="12"/>
              </w:rPr>
              <w:t>17</w:t>
            </w:r>
          </w:p>
        </w:tc>
        <w:tc>
          <w:tcPr>
            <w:tcW w:w="214" w:type="pct"/>
            <w:gridSpan w:val="2"/>
            <w:tcMar>
              <w:left w:w="17" w:type="dxa"/>
              <w:right w:w="17" w:type="dxa"/>
            </w:tcMar>
            <w:vAlign w:val="center"/>
          </w:tcPr>
          <w:p w14:paraId="7220B632" w14:textId="77777777" w:rsidR="001C56BD" w:rsidRPr="00F92667" w:rsidRDefault="001C56BD" w:rsidP="008A5C11">
            <w:pPr>
              <w:jc w:val="center"/>
              <w:rPr>
                <w:bCs/>
                <w:sz w:val="12"/>
                <w:szCs w:val="12"/>
              </w:rPr>
            </w:pPr>
            <w:r w:rsidRPr="00F92667">
              <w:rPr>
                <w:bCs/>
                <w:sz w:val="12"/>
                <w:szCs w:val="12"/>
              </w:rPr>
              <w:t>18</w:t>
            </w:r>
          </w:p>
        </w:tc>
        <w:tc>
          <w:tcPr>
            <w:tcW w:w="217" w:type="pct"/>
            <w:gridSpan w:val="2"/>
            <w:tcMar>
              <w:left w:w="17" w:type="dxa"/>
              <w:right w:w="17" w:type="dxa"/>
            </w:tcMar>
            <w:vAlign w:val="center"/>
          </w:tcPr>
          <w:p w14:paraId="6BFA8C54" w14:textId="77777777" w:rsidR="001C56BD" w:rsidRPr="00F92667" w:rsidRDefault="001C56BD" w:rsidP="008A5C11">
            <w:pPr>
              <w:jc w:val="center"/>
              <w:rPr>
                <w:bCs/>
                <w:sz w:val="12"/>
                <w:szCs w:val="12"/>
              </w:rPr>
            </w:pPr>
            <w:r w:rsidRPr="00F92667">
              <w:rPr>
                <w:bCs/>
                <w:sz w:val="12"/>
                <w:szCs w:val="12"/>
              </w:rPr>
              <w:t>19</w:t>
            </w:r>
          </w:p>
        </w:tc>
        <w:tc>
          <w:tcPr>
            <w:tcW w:w="217" w:type="pct"/>
            <w:gridSpan w:val="2"/>
            <w:tcMar>
              <w:left w:w="17" w:type="dxa"/>
              <w:right w:w="17" w:type="dxa"/>
            </w:tcMar>
            <w:vAlign w:val="center"/>
          </w:tcPr>
          <w:p w14:paraId="05E66F93" w14:textId="77777777" w:rsidR="001C56BD" w:rsidRPr="00F92667" w:rsidRDefault="001C56BD" w:rsidP="008A5C11">
            <w:pPr>
              <w:jc w:val="center"/>
              <w:rPr>
                <w:bCs/>
                <w:sz w:val="12"/>
                <w:szCs w:val="12"/>
              </w:rPr>
            </w:pPr>
            <w:r w:rsidRPr="00F92667">
              <w:rPr>
                <w:bCs/>
                <w:sz w:val="12"/>
                <w:szCs w:val="12"/>
              </w:rPr>
              <w:t>20</w:t>
            </w:r>
          </w:p>
        </w:tc>
        <w:tc>
          <w:tcPr>
            <w:tcW w:w="214" w:type="pct"/>
            <w:gridSpan w:val="2"/>
            <w:tcMar>
              <w:left w:w="17" w:type="dxa"/>
              <w:right w:w="17" w:type="dxa"/>
            </w:tcMar>
            <w:vAlign w:val="center"/>
          </w:tcPr>
          <w:p w14:paraId="74531405" w14:textId="77777777" w:rsidR="001C56BD" w:rsidRPr="00F92667" w:rsidRDefault="001C56BD" w:rsidP="008A5C11">
            <w:pPr>
              <w:jc w:val="center"/>
              <w:rPr>
                <w:bCs/>
                <w:sz w:val="12"/>
                <w:szCs w:val="12"/>
              </w:rPr>
            </w:pPr>
            <w:r w:rsidRPr="00F92667">
              <w:rPr>
                <w:bCs/>
                <w:sz w:val="12"/>
                <w:szCs w:val="12"/>
              </w:rPr>
              <w:t>21</w:t>
            </w:r>
          </w:p>
        </w:tc>
        <w:tc>
          <w:tcPr>
            <w:tcW w:w="247" w:type="pct"/>
            <w:gridSpan w:val="2"/>
            <w:tcMar>
              <w:left w:w="17" w:type="dxa"/>
              <w:right w:w="17" w:type="dxa"/>
            </w:tcMar>
            <w:vAlign w:val="center"/>
          </w:tcPr>
          <w:p w14:paraId="3233F7CE" w14:textId="77777777" w:rsidR="001C56BD" w:rsidRPr="00F92667" w:rsidRDefault="001C56BD" w:rsidP="008A5C11">
            <w:pPr>
              <w:jc w:val="center"/>
              <w:rPr>
                <w:bCs/>
                <w:sz w:val="12"/>
                <w:szCs w:val="12"/>
              </w:rPr>
            </w:pPr>
            <w:r w:rsidRPr="00F92667">
              <w:rPr>
                <w:bCs/>
                <w:sz w:val="12"/>
                <w:szCs w:val="12"/>
              </w:rPr>
              <w:t>22</w:t>
            </w:r>
          </w:p>
        </w:tc>
        <w:tc>
          <w:tcPr>
            <w:tcW w:w="173" w:type="pct"/>
            <w:tcMar>
              <w:left w:w="17" w:type="dxa"/>
              <w:right w:w="17" w:type="dxa"/>
            </w:tcMar>
            <w:vAlign w:val="center"/>
          </w:tcPr>
          <w:p w14:paraId="0EB67A92" w14:textId="77777777" w:rsidR="001C56BD" w:rsidRPr="00F92667" w:rsidRDefault="001C56BD" w:rsidP="008A5C11">
            <w:pPr>
              <w:jc w:val="center"/>
              <w:rPr>
                <w:bCs/>
                <w:sz w:val="12"/>
                <w:szCs w:val="12"/>
              </w:rPr>
            </w:pPr>
            <w:r w:rsidRPr="00F92667">
              <w:rPr>
                <w:bCs/>
                <w:sz w:val="12"/>
                <w:szCs w:val="12"/>
              </w:rPr>
              <w:t>23</w:t>
            </w:r>
          </w:p>
        </w:tc>
        <w:tc>
          <w:tcPr>
            <w:tcW w:w="169" w:type="pct"/>
            <w:tcMar>
              <w:left w:w="17" w:type="dxa"/>
              <w:right w:w="17" w:type="dxa"/>
            </w:tcMar>
            <w:vAlign w:val="center"/>
          </w:tcPr>
          <w:p w14:paraId="0988F9A0" w14:textId="77777777" w:rsidR="001C56BD" w:rsidRPr="00F92667" w:rsidRDefault="001C56BD" w:rsidP="008A5C11">
            <w:pPr>
              <w:jc w:val="center"/>
              <w:rPr>
                <w:bCs/>
                <w:sz w:val="12"/>
                <w:szCs w:val="12"/>
              </w:rPr>
            </w:pPr>
            <w:r w:rsidRPr="00F92667">
              <w:rPr>
                <w:bCs/>
                <w:sz w:val="12"/>
                <w:szCs w:val="12"/>
              </w:rPr>
              <w:t>24</w:t>
            </w:r>
          </w:p>
        </w:tc>
      </w:tr>
      <w:tr w:rsidR="001C56BD" w:rsidRPr="00F92667" w14:paraId="20F007E9" w14:textId="77777777" w:rsidTr="008A5C11">
        <w:trPr>
          <w:gridBefore w:val="1"/>
          <w:wBefore w:w="3" w:type="pct"/>
          <w:trHeight w:val="897"/>
        </w:trPr>
        <w:tc>
          <w:tcPr>
            <w:tcW w:w="129" w:type="pct"/>
            <w:shd w:val="clear" w:color="auto" w:fill="auto"/>
            <w:tcMar>
              <w:left w:w="17" w:type="dxa"/>
              <w:right w:w="17" w:type="dxa"/>
            </w:tcMar>
            <w:vAlign w:val="center"/>
          </w:tcPr>
          <w:p w14:paraId="4D2078A2" w14:textId="77777777" w:rsidR="001C56BD" w:rsidRPr="00F92667" w:rsidRDefault="001C56BD" w:rsidP="008A5C11">
            <w:pPr>
              <w:jc w:val="center"/>
              <w:rPr>
                <w:sz w:val="12"/>
                <w:szCs w:val="12"/>
              </w:rPr>
            </w:pPr>
            <w:r w:rsidRPr="00F92667">
              <w:rPr>
                <w:sz w:val="12"/>
                <w:szCs w:val="12"/>
              </w:rPr>
              <w:t>3.1.23.</w:t>
            </w:r>
          </w:p>
        </w:tc>
        <w:tc>
          <w:tcPr>
            <w:tcW w:w="305" w:type="pct"/>
            <w:shd w:val="clear" w:color="auto" w:fill="auto"/>
            <w:tcMar>
              <w:left w:w="17" w:type="dxa"/>
              <w:right w:w="17" w:type="dxa"/>
            </w:tcMar>
            <w:vAlign w:val="center"/>
          </w:tcPr>
          <w:p w14:paraId="71C0BFE2" w14:textId="77777777" w:rsidR="001C56BD" w:rsidRPr="00F92667" w:rsidRDefault="001C56BD" w:rsidP="008A5C11">
            <w:pPr>
              <w:rPr>
                <w:sz w:val="12"/>
                <w:szCs w:val="12"/>
              </w:rPr>
            </w:pPr>
            <w:r w:rsidRPr="00F92667">
              <w:rPr>
                <w:color w:val="000000"/>
                <w:sz w:val="12"/>
                <w:szCs w:val="12"/>
              </w:rPr>
              <w:t>Реконструкция тепловой сети с реестровым номером</w:t>
            </w:r>
            <w:r w:rsidRPr="00F92667">
              <w:rPr>
                <w:sz w:val="12"/>
                <w:szCs w:val="12"/>
              </w:rPr>
              <w:t xml:space="preserve"> 777423</w:t>
            </w:r>
          </w:p>
        </w:tc>
        <w:tc>
          <w:tcPr>
            <w:tcW w:w="304" w:type="pct"/>
            <w:shd w:val="clear" w:color="000000" w:fill="FFFFFF"/>
            <w:tcMar>
              <w:left w:w="17" w:type="dxa"/>
              <w:right w:w="17" w:type="dxa"/>
            </w:tcMar>
            <w:vAlign w:val="center"/>
          </w:tcPr>
          <w:p w14:paraId="0A8E2390" w14:textId="77777777" w:rsidR="001C56BD" w:rsidRPr="00F92667" w:rsidRDefault="001C56BD" w:rsidP="008A5C11">
            <w:pPr>
              <w:jc w:val="center"/>
              <w:rPr>
                <w:sz w:val="12"/>
                <w:szCs w:val="12"/>
              </w:rPr>
            </w:pPr>
            <w:r w:rsidRPr="00F92667">
              <w:rPr>
                <w:color w:val="000000"/>
                <w:sz w:val="12"/>
                <w:szCs w:val="12"/>
              </w:rPr>
              <w:t>Повышение надежности услуг теплоснабжения, повышение энергетической эффективности</w:t>
            </w:r>
          </w:p>
        </w:tc>
        <w:tc>
          <w:tcPr>
            <w:tcW w:w="258" w:type="pct"/>
            <w:shd w:val="clear" w:color="auto" w:fill="auto"/>
            <w:tcMar>
              <w:left w:w="17" w:type="dxa"/>
              <w:right w:w="17" w:type="dxa"/>
            </w:tcMar>
            <w:vAlign w:val="center"/>
          </w:tcPr>
          <w:p w14:paraId="09F6F281" w14:textId="77777777" w:rsidR="001C56BD" w:rsidRPr="00F92667" w:rsidRDefault="001C56BD" w:rsidP="008A5C11">
            <w:pPr>
              <w:jc w:val="center"/>
              <w:rPr>
                <w:sz w:val="12"/>
                <w:szCs w:val="12"/>
              </w:rPr>
            </w:pPr>
            <w:r w:rsidRPr="00F92667">
              <w:rPr>
                <w:sz w:val="12"/>
                <w:szCs w:val="12"/>
              </w:rPr>
              <w:t xml:space="preserve">Кемеровский городской округ, Заводский район, квартал №21, в границах </w:t>
            </w:r>
            <w:r w:rsidRPr="00F92667">
              <w:rPr>
                <w:sz w:val="12"/>
                <w:szCs w:val="12"/>
              </w:rPr>
              <w:br/>
              <w:t>пр-т Ленина, ул. Мичурина, ул. Сарыгина, ул. Пролетарская</w:t>
            </w:r>
          </w:p>
        </w:tc>
        <w:tc>
          <w:tcPr>
            <w:tcW w:w="294" w:type="pct"/>
            <w:shd w:val="clear" w:color="auto" w:fill="auto"/>
            <w:tcMar>
              <w:left w:w="17" w:type="dxa"/>
              <w:right w:w="17" w:type="dxa"/>
            </w:tcMar>
            <w:vAlign w:val="center"/>
          </w:tcPr>
          <w:p w14:paraId="61C1F243" w14:textId="77777777" w:rsidR="001C56BD" w:rsidRPr="00F92667" w:rsidRDefault="001C56BD" w:rsidP="008A5C11">
            <w:pPr>
              <w:jc w:val="center"/>
              <w:rPr>
                <w:sz w:val="12"/>
                <w:szCs w:val="12"/>
              </w:rPr>
            </w:pPr>
            <w:r w:rsidRPr="00F92667">
              <w:rPr>
                <w:color w:val="000000"/>
                <w:sz w:val="12"/>
                <w:szCs w:val="12"/>
              </w:rPr>
              <w:t>Технические характеристики</w:t>
            </w:r>
          </w:p>
        </w:tc>
        <w:tc>
          <w:tcPr>
            <w:tcW w:w="129" w:type="pct"/>
            <w:shd w:val="clear" w:color="auto" w:fill="auto"/>
            <w:tcMar>
              <w:left w:w="17" w:type="dxa"/>
              <w:right w:w="17" w:type="dxa"/>
            </w:tcMar>
            <w:vAlign w:val="center"/>
          </w:tcPr>
          <w:p w14:paraId="6877E568" w14:textId="77777777" w:rsidR="001C56BD" w:rsidRPr="00F92667" w:rsidRDefault="001C56BD" w:rsidP="008A5C11">
            <w:pPr>
              <w:jc w:val="center"/>
              <w:rPr>
                <w:color w:val="000000"/>
                <w:sz w:val="12"/>
                <w:szCs w:val="12"/>
              </w:rPr>
            </w:pPr>
          </w:p>
        </w:tc>
        <w:tc>
          <w:tcPr>
            <w:tcW w:w="184" w:type="pct"/>
            <w:shd w:val="clear" w:color="auto" w:fill="auto"/>
            <w:tcMar>
              <w:left w:w="17" w:type="dxa"/>
              <w:right w:w="17" w:type="dxa"/>
            </w:tcMar>
            <w:vAlign w:val="center"/>
          </w:tcPr>
          <w:p w14:paraId="5AA8A44A" w14:textId="77777777" w:rsidR="001C56BD" w:rsidRPr="00F92667" w:rsidRDefault="001C56BD" w:rsidP="008A5C11">
            <w:pPr>
              <w:jc w:val="center"/>
              <w:rPr>
                <w:sz w:val="12"/>
                <w:szCs w:val="12"/>
              </w:rPr>
            </w:pPr>
            <w:r w:rsidRPr="00F92667">
              <w:rPr>
                <w:sz w:val="12"/>
                <w:szCs w:val="12"/>
              </w:rPr>
              <w:t xml:space="preserve">Канал-кирпич, опоры-хомутовые </w:t>
            </w:r>
            <w:proofErr w:type="gramStart"/>
            <w:r w:rsidRPr="00F92667">
              <w:rPr>
                <w:sz w:val="12"/>
                <w:szCs w:val="12"/>
              </w:rPr>
              <w:t>привар-ные</w:t>
            </w:r>
            <w:proofErr w:type="gramEnd"/>
            <w:r w:rsidRPr="00F92667">
              <w:rPr>
                <w:sz w:val="12"/>
                <w:szCs w:val="12"/>
              </w:rPr>
              <w:t xml:space="preserve">, запорная арматура - стальная клиновая, антикоррозийная защита-лак БТ, труба-сталь 20, изоляция - мин. маты </w:t>
            </w:r>
          </w:p>
        </w:tc>
        <w:tc>
          <w:tcPr>
            <w:tcW w:w="219" w:type="pct"/>
            <w:shd w:val="clear" w:color="auto" w:fill="auto"/>
            <w:tcMar>
              <w:left w:w="17" w:type="dxa"/>
              <w:right w:w="17" w:type="dxa"/>
            </w:tcMar>
            <w:vAlign w:val="center"/>
          </w:tcPr>
          <w:p w14:paraId="12B39F1A" w14:textId="77777777" w:rsidR="001C56BD" w:rsidRPr="00F92667" w:rsidRDefault="001C56BD" w:rsidP="008A5C11">
            <w:pPr>
              <w:jc w:val="center"/>
              <w:rPr>
                <w:sz w:val="12"/>
                <w:szCs w:val="12"/>
              </w:rPr>
            </w:pPr>
            <w:r w:rsidRPr="00F92667">
              <w:rPr>
                <w:sz w:val="12"/>
                <w:szCs w:val="12"/>
              </w:rPr>
              <w:t xml:space="preserve">Канал-ж/б лотки, опоры-хомутовые с диэлектрической прокладкой, запорная арматура - кран шаровый, антикоррозийная защита-мастика Вектор 1214, 1025, труба-сталь 09Г2С, изоляция - маты прошивные, </w:t>
            </w:r>
            <w:proofErr w:type="gramStart"/>
            <w:r w:rsidRPr="00F92667">
              <w:rPr>
                <w:sz w:val="12"/>
                <w:szCs w:val="12"/>
              </w:rPr>
              <w:t>стеклоплас-тик</w:t>
            </w:r>
            <w:proofErr w:type="gramEnd"/>
            <w:r w:rsidRPr="00F92667">
              <w:rPr>
                <w:sz w:val="12"/>
                <w:szCs w:val="12"/>
              </w:rPr>
              <w:t xml:space="preserve">  </w:t>
            </w:r>
          </w:p>
        </w:tc>
        <w:tc>
          <w:tcPr>
            <w:tcW w:w="130" w:type="pct"/>
            <w:shd w:val="clear" w:color="auto" w:fill="auto"/>
            <w:tcMar>
              <w:left w:w="17" w:type="dxa"/>
              <w:right w:w="17" w:type="dxa"/>
            </w:tcMar>
            <w:vAlign w:val="center"/>
          </w:tcPr>
          <w:p w14:paraId="0FEB515C" w14:textId="77777777" w:rsidR="001C56BD" w:rsidRPr="00F92667" w:rsidRDefault="001C56BD" w:rsidP="008A5C11">
            <w:pPr>
              <w:jc w:val="center"/>
              <w:rPr>
                <w:sz w:val="12"/>
                <w:szCs w:val="12"/>
              </w:rPr>
            </w:pPr>
            <w:r w:rsidRPr="00F92667">
              <w:rPr>
                <w:sz w:val="12"/>
                <w:szCs w:val="12"/>
              </w:rPr>
              <w:t>2025</w:t>
            </w:r>
          </w:p>
        </w:tc>
        <w:tc>
          <w:tcPr>
            <w:tcW w:w="130" w:type="pct"/>
            <w:shd w:val="clear" w:color="auto" w:fill="auto"/>
            <w:tcMar>
              <w:left w:w="17" w:type="dxa"/>
              <w:right w:w="17" w:type="dxa"/>
            </w:tcMar>
            <w:vAlign w:val="center"/>
          </w:tcPr>
          <w:p w14:paraId="519CF0A4" w14:textId="77777777" w:rsidR="001C56BD" w:rsidRPr="00F92667" w:rsidRDefault="001C56BD" w:rsidP="008A5C11">
            <w:pPr>
              <w:jc w:val="center"/>
              <w:rPr>
                <w:sz w:val="12"/>
                <w:szCs w:val="12"/>
              </w:rPr>
            </w:pPr>
            <w:r w:rsidRPr="00F92667">
              <w:rPr>
                <w:sz w:val="12"/>
                <w:szCs w:val="12"/>
              </w:rPr>
              <w:t>2026</w:t>
            </w:r>
          </w:p>
        </w:tc>
        <w:tc>
          <w:tcPr>
            <w:tcW w:w="217" w:type="pct"/>
            <w:gridSpan w:val="2"/>
            <w:shd w:val="clear" w:color="auto" w:fill="auto"/>
            <w:tcMar>
              <w:left w:w="17" w:type="dxa"/>
              <w:right w:w="17" w:type="dxa"/>
            </w:tcMar>
            <w:vAlign w:val="center"/>
          </w:tcPr>
          <w:p w14:paraId="0CC8A297" w14:textId="77777777" w:rsidR="001C56BD" w:rsidRPr="00F92667" w:rsidRDefault="001C56BD" w:rsidP="008A5C11">
            <w:pPr>
              <w:jc w:val="center"/>
              <w:rPr>
                <w:sz w:val="12"/>
                <w:szCs w:val="12"/>
              </w:rPr>
            </w:pPr>
            <w:r w:rsidRPr="00F92667">
              <w:rPr>
                <w:sz w:val="12"/>
                <w:szCs w:val="12"/>
              </w:rPr>
              <w:t>20876,076</w:t>
            </w:r>
          </w:p>
        </w:tc>
        <w:tc>
          <w:tcPr>
            <w:tcW w:w="177" w:type="pct"/>
            <w:gridSpan w:val="2"/>
            <w:shd w:val="clear" w:color="auto" w:fill="auto"/>
            <w:tcMar>
              <w:left w:w="17" w:type="dxa"/>
              <w:right w:w="17" w:type="dxa"/>
            </w:tcMar>
            <w:vAlign w:val="center"/>
          </w:tcPr>
          <w:p w14:paraId="08123AA0" w14:textId="77777777" w:rsidR="001C56BD" w:rsidRPr="00F92667" w:rsidRDefault="001C56BD" w:rsidP="008A5C11">
            <w:pPr>
              <w:jc w:val="center"/>
              <w:rPr>
                <w:sz w:val="12"/>
                <w:szCs w:val="12"/>
              </w:rPr>
            </w:pPr>
            <w:r w:rsidRPr="00F92667">
              <w:rPr>
                <w:sz w:val="12"/>
                <w:szCs w:val="12"/>
              </w:rPr>
              <w:t>0,000</w:t>
            </w:r>
          </w:p>
        </w:tc>
        <w:tc>
          <w:tcPr>
            <w:tcW w:w="212" w:type="pct"/>
            <w:shd w:val="clear" w:color="auto" w:fill="auto"/>
            <w:tcMar>
              <w:left w:w="17" w:type="dxa"/>
              <w:right w:w="17" w:type="dxa"/>
            </w:tcMar>
            <w:vAlign w:val="center"/>
          </w:tcPr>
          <w:p w14:paraId="3E5FAF57" w14:textId="77777777" w:rsidR="001C56BD" w:rsidRPr="00F92667" w:rsidRDefault="001C56BD" w:rsidP="008A5C11">
            <w:pPr>
              <w:jc w:val="center"/>
              <w:rPr>
                <w:sz w:val="12"/>
                <w:szCs w:val="12"/>
              </w:rPr>
            </w:pPr>
            <w:r w:rsidRPr="00F92667">
              <w:rPr>
                <w:sz w:val="12"/>
                <w:szCs w:val="12"/>
              </w:rPr>
              <w:t>0,000</w:t>
            </w:r>
          </w:p>
        </w:tc>
        <w:tc>
          <w:tcPr>
            <w:tcW w:w="218" w:type="pct"/>
            <w:gridSpan w:val="2"/>
            <w:shd w:val="clear" w:color="auto" w:fill="auto"/>
            <w:tcMar>
              <w:left w:w="17" w:type="dxa"/>
              <w:right w:w="17" w:type="dxa"/>
            </w:tcMar>
            <w:vAlign w:val="center"/>
          </w:tcPr>
          <w:p w14:paraId="77D684AE"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7BACEC83" w14:textId="77777777" w:rsidR="001C56BD" w:rsidRPr="00F92667" w:rsidRDefault="001C56BD" w:rsidP="008A5C11">
            <w:pPr>
              <w:jc w:val="center"/>
              <w:rPr>
                <w:sz w:val="12"/>
                <w:szCs w:val="12"/>
              </w:rPr>
            </w:pPr>
            <w:r w:rsidRPr="00F92667">
              <w:rPr>
                <w:sz w:val="12"/>
                <w:szCs w:val="12"/>
              </w:rPr>
              <w:t>0,000</w:t>
            </w:r>
          </w:p>
        </w:tc>
        <w:tc>
          <w:tcPr>
            <w:tcW w:w="206" w:type="pct"/>
            <w:gridSpan w:val="2"/>
            <w:shd w:val="clear" w:color="auto" w:fill="auto"/>
            <w:tcMar>
              <w:left w:w="17" w:type="dxa"/>
              <w:right w:w="17" w:type="dxa"/>
            </w:tcMar>
            <w:vAlign w:val="center"/>
          </w:tcPr>
          <w:p w14:paraId="33FA4D9C" w14:textId="77777777" w:rsidR="001C56BD" w:rsidRPr="00F92667" w:rsidRDefault="001C56BD" w:rsidP="008A5C11">
            <w:pPr>
              <w:jc w:val="center"/>
              <w:rPr>
                <w:sz w:val="12"/>
                <w:szCs w:val="12"/>
              </w:rPr>
            </w:pPr>
            <w:r w:rsidRPr="00F92667">
              <w:rPr>
                <w:sz w:val="12"/>
                <w:szCs w:val="12"/>
              </w:rPr>
              <w:t>6583,920</w:t>
            </w:r>
          </w:p>
        </w:tc>
        <w:tc>
          <w:tcPr>
            <w:tcW w:w="217" w:type="pct"/>
            <w:gridSpan w:val="2"/>
            <w:shd w:val="clear" w:color="auto" w:fill="auto"/>
            <w:tcMar>
              <w:left w:w="17" w:type="dxa"/>
              <w:right w:w="17" w:type="dxa"/>
            </w:tcMar>
            <w:vAlign w:val="center"/>
          </w:tcPr>
          <w:p w14:paraId="2480226E" w14:textId="77777777" w:rsidR="001C56BD" w:rsidRPr="00F92667" w:rsidRDefault="001C56BD" w:rsidP="008A5C11">
            <w:pPr>
              <w:jc w:val="center"/>
              <w:rPr>
                <w:sz w:val="12"/>
                <w:szCs w:val="12"/>
              </w:rPr>
            </w:pPr>
            <w:r w:rsidRPr="00F92667">
              <w:rPr>
                <w:sz w:val="12"/>
                <w:szCs w:val="12"/>
              </w:rPr>
              <w:t>14292,156</w:t>
            </w:r>
          </w:p>
        </w:tc>
        <w:tc>
          <w:tcPr>
            <w:tcW w:w="214" w:type="pct"/>
            <w:gridSpan w:val="2"/>
            <w:shd w:val="clear" w:color="auto" w:fill="auto"/>
            <w:tcMar>
              <w:left w:w="17" w:type="dxa"/>
              <w:right w:w="17" w:type="dxa"/>
            </w:tcMar>
            <w:vAlign w:val="center"/>
          </w:tcPr>
          <w:p w14:paraId="62B597BF"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6B8B66A8"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5DEE26ED" w14:textId="77777777" w:rsidR="001C56BD" w:rsidRPr="00F92667" w:rsidRDefault="001C56BD" w:rsidP="008A5C11">
            <w:pPr>
              <w:jc w:val="center"/>
              <w:rPr>
                <w:sz w:val="12"/>
                <w:szCs w:val="12"/>
              </w:rPr>
            </w:pPr>
            <w:r w:rsidRPr="00F92667">
              <w:rPr>
                <w:sz w:val="12"/>
                <w:szCs w:val="12"/>
              </w:rPr>
              <w:t>0,000</w:t>
            </w:r>
          </w:p>
        </w:tc>
        <w:tc>
          <w:tcPr>
            <w:tcW w:w="214" w:type="pct"/>
            <w:gridSpan w:val="2"/>
            <w:shd w:val="clear" w:color="auto" w:fill="auto"/>
            <w:tcMar>
              <w:left w:w="17" w:type="dxa"/>
              <w:right w:w="17" w:type="dxa"/>
            </w:tcMar>
            <w:vAlign w:val="center"/>
          </w:tcPr>
          <w:p w14:paraId="14584185" w14:textId="77777777" w:rsidR="001C56BD" w:rsidRPr="00F92667" w:rsidRDefault="001C56BD" w:rsidP="008A5C11">
            <w:pPr>
              <w:jc w:val="center"/>
              <w:rPr>
                <w:sz w:val="12"/>
                <w:szCs w:val="12"/>
              </w:rPr>
            </w:pPr>
            <w:r w:rsidRPr="00F92667">
              <w:rPr>
                <w:sz w:val="12"/>
                <w:szCs w:val="12"/>
              </w:rPr>
              <w:t>0,000</w:t>
            </w:r>
          </w:p>
        </w:tc>
        <w:tc>
          <w:tcPr>
            <w:tcW w:w="247" w:type="pct"/>
            <w:gridSpan w:val="2"/>
            <w:shd w:val="clear" w:color="auto" w:fill="auto"/>
            <w:tcMar>
              <w:left w:w="17" w:type="dxa"/>
              <w:right w:w="17" w:type="dxa"/>
            </w:tcMar>
            <w:vAlign w:val="center"/>
          </w:tcPr>
          <w:p w14:paraId="18D6429E" w14:textId="77777777" w:rsidR="001C56BD" w:rsidRPr="00F92667" w:rsidRDefault="001C56BD" w:rsidP="008A5C11">
            <w:pPr>
              <w:jc w:val="center"/>
              <w:rPr>
                <w:sz w:val="12"/>
                <w:szCs w:val="12"/>
              </w:rPr>
            </w:pPr>
            <w:r w:rsidRPr="00F92667">
              <w:rPr>
                <w:sz w:val="12"/>
                <w:szCs w:val="12"/>
              </w:rPr>
              <w:t>0,000</w:t>
            </w:r>
          </w:p>
        </w:tc>
        <w:tc>
          <w:tcPr>
            <w:tcW w:w="173" w:type="pct"/>
            <w:shd w:val="clear" w:color="auto" w:fill="auto"/>
            <w:tcMar>
              <w:left w:w="17" w:type="dxa"/>
              <w:right w:w="17" w:type="dxa"/>
            </w:tcMar>
            <w:vAlign w:val="center"/>
          </w:tcPr>
          <w:p w14:paraId="6EC65CD2" w14:textId="77777777" w:rsidR="001C56BD" w:rsidRPr="00F92667" w:rsidRDefault="001C56BD" w:rsidP="008A5C11">
            <w:pPr>
              <w:jc w:val="center"/>
              <w:rPr>
                <w:sz w:val="12"/>
                <w:szCs w:val="12"/>
              </w:rPr>
            </w:pPr>
            <w:r w:rsidRPr="00F92667">
              <w:rPr>
                <w:sz w:val="12"/>
                <w:szCs w:val="12"/>
              </w:rPr>
              <w:t>0,000</w:t>
            </w:r>
          </w:p>
        </w:tc>
        <w:tc>
          <w:tcPr>
            <w:tcW w:w="169" w:type="pct"/>
            <w:shd w:val="clear" w:color="auto" w:fill="auto"/>
            <w:tcMar>
              <w:left w:w="17" w:type="dxa"/>
              <w:right w:w="17" w:type="dxa"/>
            </w:tcMar>
            <w:vAlign w:val="center"/>
          </w:tcPr>
          <w:p w14:paraId="4AE3D1AF" w14:textId="77777777" w:rsidR="001C56BD" w:rsidRPr="00F92667" w:rsidRDefault="001C56BD" w:rsidP="008A5C11">
            <w:pPr>
              <w:jc w:val="center"/>
              <w:rPr>
                <w:sz w:val="12"/>
                <w:szCs w:val="12"/>
              </w:rPr>
            </w:pPr>
            <w:r w:rsidRPr="00F92667">
              <w:rPr>
                <w:sz w:val="12"/>
                <w:szCs w:val="12"/>
              </w:rPr>
              <w:t>0,000</w:t>
            </w:r>
          </w:p>
        </w:tc>
      </w:tr>
      <w:tr w:rsidR="001C56BD" w:rsidRPr="00F92667" w14:paraId="24EFE462" w14:textId="77777777" w:rsidTr="008A5C11">
        <w:trPr>
          <w:gridBefore w:val="1"/>
          <w:wBefore w:w="3" w:type="pct"/>
          <w:trHeight w:val="897"/>
        </w:trPr>
        <w:tc>
          <w:tcPr>
            <w:tcW w:w="129" w:type="pct"/>
            <w:shd w:val="clear" w:color="auto" w:fill="auto"/>
            <w:tcMar>
              <w:left w:w="17" w:type="dxa"/>
              <w:right w:w="17" w:type="dxa"/>
            </w:tcMar>
            <w:vAlign w:val="center"/>
          </w:tcPr>
          <w:p w14:paraId="336C2740" w14:textId="77777777" w:rsidR="001C56BD" w:rsidRPr="00F92667" w:rsidRDefault="001C56BD" w:rsidP="008A5C11">
            <w:pPr>
              <w:jc w:val="center"/>
              <w:rPr>
                <w:sz w:val="12"/>
                <w:szCs w:val="12"/>
              </w:rPr>
            </w:pPr>
            <w:r w:rsidRPr="00F92667">
              <w:rPr>
                <w:sz w:val="12"/>
                <w:szCs w:val="12"/>
              </w:rPr>
              <w:t>3.1.24.</w:t>
            </w:r>
          </w:p>
        </w:tc>
        <w:tc>
          <w:tcPr>
            <w:tcW w:w="305" w:type="pct"/>
            <w:shd w:val="clear" w:color="auto" w:fill="auto"/>
            <w:tcMar>
              <w:left w:w="17" w:type="dxa"/>
              <w:right w:w="17" w:type="dxa"/>
            </w:tcMar>
            <w:vAlign w:val="center"/>
          </w:tcPr>
          <w:p w14:paraId="572A7F2A" w14:textId="77777777" w:rsidR="001C56BD" w:rsidRPr="00F92667" w:rsidRDefault="001C56BD" w:rsidP="008A5C11">
            <w:pPr>
              <w:rPr>
                <w:sz w:val="12"/>
                <w:szCs w:val="12"/>
              </w:rPr>
            </w:pPr>
            <w:r w:rsidRPr="00F92667">
              <w:rPr>
                <w:color w:val="000000"/>
                <w:sz w:val="12"/>
                <w:szCs w:val="12"/>
              </w:rPr>
              <w:t>Реконструкция тепловой сети с реестровым номером</w:t>
            </w:r>
            <w:r w:rsidRPr="00F92667">
              <w:rPr>
                <w:sz w:val="12"/>
                <w:szCs w:val="12"/>
              </w:rPr>
              <w:t xml:space="preserve"> 777194</w:t>
            </w:r>
          </w:p>
        </w:tc>
        <w:tc>
          <w:tcPr>
            <w:tcW w:w="304" w:type="pct"/>
            <w:shd w:val="clear" w:color="000000" w:fill="FFFFFF"/>
            <w:tcMar>
              <w:left w:w="17" w:type="dxa"/>
              <w:right w:w="17" w:type="dxa"/>
            </w:tcMar>
            <w:vAlign w:val="center"/>
          </w:tcPr>
          <w:p w14:paraId="145D61F3" w14:textId="77777777" w:rsidR="001C56BD" w:rsidRPr="00F92667" w:rsidRDefault="001C56BD" w:rsidP="008A5C11">
            <w:pPr>
              <w:jc w:val="center"/>
              <w:rPr>
                <w:sz w:val="12"/>
                <w:szCs w:val="12"/>
              </w:rPr>
            </w:pPr>
            <w:r w:rsidRPr="00F92667">
              <w:rPr>
                <w:color w:val="000000"/>
                <w:sz w:val="12"/>
                <w:szCs w:val="12"/>
              </w:rPr>
              <w:t>Повышение надежности услуг теплоснабжения, повышение энергетической эффективности</w:t>
            </w:r>
          </w:p>
        </w:tc>
        <w:tc>
          <w:tcPr>
            <w:tcW w:w="258" w:type="pct"/>
            <w:shd w:val="clear" w:color="auto" w:fill="auto"/>
            <w:tcMar>
              <w:left w:w="17" w:type="dxa"/>
              <w:right w:w="17" w:type="dxa"/>
            </w:tcMar>
            <w:vAlign w:val="center"/>
          </w:tcPr>
          <w:p w14:paraId="5D836C23" w14:textId="77777777" w:rsidR="001C56BD" w:rsidRPr="00F92667" w:rsidRDefault="001C56BD" w:rsidP="008A5C11">
            <w:pPr>
              <w:jc w:val="center"/>
              <w:rPr>
                <w:sz w:val="12"/>
                <w:szCs w:val="12"/>
              </w:rPr>
            </w:pPr>
            <w:r w:rsidRPr="00F92667">
              <w:rPr>
                <w:sz w:val="12"/>
                <w:szCs w:val="12"/>
              </w:rPr>
              <w:t xml:space="preserve">Кемеровский городской </w:t>
            </w:r>
            <w:proofErr w:type="gramStart"/>
            <w:r w:rsidRPr="00F92667">
              <w:rPr>
                <w:sz w:val="12"/>
                <w:szCs w:val="12"/>
              </w:rPr>
              <w:t>округ ,</w:t>
            </w:r>
            <w:proofErr w:type="gramEnd"/>
            <w:r w:rsidRPr="00F92667">
              <w:rPr>
                <w:sz w:val="12"/>
                <w:szCs w:val="12"/>
              </w:rPr>
              <w:t xml:space="preserve"> Заводский район, квартал 60 (ФПК)</w:t>
            </w:r>
          </w:p>
        </w:tc>
        <w:tc>
          <w:tcPr>
            <w:tcW w:w="294" w:type="pct"/>
            <w:shd w:val="clear" w:color="auto" w:fill="auto"/>
            <w:tcMar>
              <w:left w:w="17" w:type="dxa"/>
              <w:right w:w="17" w:type="dxa"/>
            </w:tcMar>
            <w:vAlign w:val="center"/>
          </w:tcPr>
          <w:p w14:paraId="15D851C9" w14:textId="77777777" w:rsidR="001C56BD" w:rsidRPr="00F92667" w:rsidRDefault="001C56BD" w:rsidP="008A5C11">
            <w:pPr>
              <w:jc w:val="center"/>
              <w:rPr>
                <w:sz w:val="12"/>
                <w:szCs w:val="12"/>
              </w:rPr>
            </w:pPr>
            <w:r w:rsidRPr="00F92667">
              <w:rPr>
                <w:color w:val="000000"/>
                <w:sz w:val="12"/>
                <w:szCs w:val="12"/>
              </w:rPr>
              <w:t>Технические характеристики</w:t>
            </w:r>
          </w:p>
        </w:tc>
        <w:tc>
          <w:tcPr>
            <w:tcW w:w="129" w:type="pct"/>
            <w:shd w:val="clear" w:color="auto" w:fill="auto"/>
            <w:tcMar>
              <w:left w:w="17" w:type="dxa"/>
              <w:right w:w="17" w:type="dxa"/>
            </w:tcMar>
            <w:vAlign w:val="center"/>
          </w:tcPr>
          <w:p w14:paraId="26C6420B" w14:textId="77777777" w:rsidR="001C56BD" w:rsidRPr="00F92667" w:rsidRDefault="001C56BD" w:rsidP="008A5C11">
            <w:pPr>
              <w:jc w:val="center"/>
              <w:rPr>
                <w:color w:val="000000"/>
                <w:sz w:val="12"/>
                <w:szCs w:val="12"/>
              </w:rPr>
            </w:pPr>
          </w:p>
        </w:tc>
        <w:tc>
          <w:tcPr>
            <w:tcW w:w="184" w:type="pct"/>
            <w:shd w:val="clear" w:color="auto" w:fill="auto"/>
            <w:tcMar>
              <w:left w:w="17" w:type="dxa"/>
              <w:right w:w="17" w:type="dxa"/>
            </w:tcMar>
            <w:vAlign w:val="center"/>
          </w:tcPr>
          <w:p w14:paraId="1EE0786A" w14:textId="77777777" w:rsidR="001C56BD" w:rsidRPr="00F92667" w:rsidRDefault="001C56BD" w:rsidP="008A5C11">
            <w:pPr>
              <w:jc w:val="center"/>
              <w:rPr>
                <w:sz w:val="12"/>
                <w:szCs w:val="12"/>
              </w:rPr>
            </w:pPr>
            <w:r w:rsidRPr="00F92667">
              <w:rPr>
                <w:sz w:val="12"/>
                <w:szCs w:val="12"/>
              </w:rPr>
              <w:t xml:space="preserve">Канал-кирпич, опоры-хомутовые </w:t>
            </w:r>
            <w:proofErr w:type="gramStart"/>
            <w:r w:rsidRPr="00F92667">
              <w:rPr>
                <w:sz w:val="12"/>
                <w:szCs w:val="12"/>
              </w:rPr>
              <w:t>привар-ные</w:t>
            </w:r>
            <w:proofErr w:type="gramEnd"/>
            <w:r w:rsidRPr="00F92667">
              <w:rPr>
                <w:sz w:val="12"/>
                <w:szCs w:val="12"/>
              </w:rPr>
              <w:t xml:space="preserve">, запорная арматура - стальная клиновая, антикоррозийная защита-лак БТ, труба-сталь 20, изоляция - мин. маты </w:t>
            </w:r>
          </w:p>
        </w:tc>
        <w:tc>
          <w:tcPr>
            <w:tcW w:w="219" w:type="pct"/>
            <w:shd w:val="clear" w:color="auto" w:fill="auto"/>
            <w:tcMar>
              <w:left w:w="17" w:type="dxa"/>
              <w:right w:w="17" w:type="dxa"/>
            </w:tcMar>
            <w:vAlign w:val="center"/>
          </w:tcPr>
          <w:p w14:paraId="24783AE0" w14:textId="77777777" w:rsidR="001C56BD" w:rsidRPr="00F92667" w:rsidRDefault="001C56BD" w:rsidP="008A5C11">
            <w:pPr>
              <w:jc w:val="center"/>
              <w:rPr>
                <w:sz w:val="12"/>
                <w:szCs w:val="12"/>
              </w:rPr>
            </w:pPr>
            <w:r w:rsidRPr="00F92667">
              <w:rPr>
                <w:sz w:val="12"/>
                <w:szCs w:val="12"/>
              </w:rPr>
              <w:t xml:space="preserve">Канал-ж/б лотки, опоры-хомутовые с диэлектрической прокладкой, запорная арматура - кран шаровый, антикоррозийная защита-мастика Вектор 1214, 1025, труба-сталь 09Г2С, изоляция - маты прошивные, </w:t>
            </w:r>
            <w:proofErr w:type="gramStart"/>
            <w:r w:rsidRPr="00F92667">
              <w:rPr>
                <w:sz w:val="12"/>
                <w:szCs w:val="12"/>
              </w:rPr>
              <w:t>стеклоплас-тик</w:t>
            </w:r>
            <w:proofErr w:type="gramEnd"/>
            <w:r w:rsidRPr="00F92667">
              <w:rPr>
                <w:sz w:val="12"/>
                <w:szCs w:val="12"/>
              </w:rPr>
              <w:t xml:space="preserve">  </w:t>
            </w:r>
          </w:p>
        </w:tc>
        <w:tc>
          <w:tcPr>
            <w:tcW w:w="130" w:type="pct"/>
            <w:shd w:val="clear" w:color="auto" w:fill="auto"/>
            <w:tcMar>
              <w:left w:w="17" w:type="dxa"/>
              <w:right w:w="17" w:type="dxa"/>
            </w:tcMar>
            <w:vAlign w:val="center"/>
          </w:tcPr>
          <w:p w14:paraId="337757FA" w14:textId="77777777" w:rsidR="001C56BD" w:rsidRPr="00F92667" w:rsidRDefault="001C56BD" w:rsidP="008A5C11">
            <w:pPr>
              <w:jc w:val="center"/>
              <w:rPr>
                <w:sz w:val="12"/>
                <w:szCs w:val="12"/>
              </w:rPr>
            </w:pPr>
            <w:r w:rsidRPr="00F92667">
              <w:rPr>
                <w:sz w:val="12"/>
                <w:szCs w:val="12"/>
              </w:rPr>
              <w:t>2030</w:t>
            </w:r>
          </w:p>
        </w:tc>
        <w:tc>
          <w:tcPr>
            <w:tcW w:w="130" w:type="pct"/>
            <w:shd w:val="clear" w:color="auto" w:fill="auto"/>
            <w:tcMar>
              <w:left w:w="17" w:type="dxa"/>
              <w:right w:w="17" w:type="dxa"/>
            </w:tcMar>
            <w:vAlign w:val="center"/>
          </w:tcPr>
          <w:p w14:paraId="0476D8EE" w14:textId="77777777" w:rsidR="001C56BD" w:rsidRPr="00F92667" w:rsidRDefault="001C56BD" w:rsidP="008A5C11">
            <w:pPr>
              <w:jc w:val="center"/>
              <w:rPr>
                <w:sz w:val="12"/>
                <w:szCs w:val="12"/>
              </w:rPr>
            </w:pPr>
            <w:r w:rsidRPr="00F92667">
              <w:rPr>
                <w:sz w:val="12"/>
                <w:szCs w:val="12"/>
              </w:rPr>
              <w:t>2030</w:t>
            </w:r>
          </w:p>
        </w:tc>
        <w:tc>
          <w:tcPr>
            <w:tcW w:w="217" w:type="pct"/>
            <w:gridSpan w:val="2"/>
            <w:shd w:val="clear" w:color="auto" w:fill="auto"/>
            <w:tcMar>
              <w:left w:w="17" w:type="dxa"/>
              <w:right w:w="17" w:type="dxa"/>
            </w:tcMar>
            <w:vAlign w:val="center"/>
          </w:tcPr>
          <w:p w14:paraId="5E6CE465" w14:textId="77777777" w:rsidR="001C56BD" w:rsidRPr="00F92667" w:rsidRDefault="001C56BD" w:rsidP="008A5C11">
            <w:pPr>
              <w:jc w:val="center"/>
              <w:rPr>
                <w:sz w:val="12"/>
                <w:szCs w:val="12"/>
              </w:rPr>
            </w:pPr>
            <w:r w:rsidRPr="00F92667">
              <w:rPr>
                <w:sz w:val="12"/>
                <w:szCs w:val="12"/>
              </w:rPr>
              <w:t>21201,336</w:t>
            </w:r>
          </w:p>
        </w:tc>
        <w:tc>
          <w:tcPr>
            <w:tcW w:w="177" w:type="pct"/>
            <w:gridSpan w:val="2"/>
            <w:shd w:val="clear" w:color="auto" w:fill="auto"/>
            <w:tcMar>
              <w:left w:w="17" w:type="dxa"/>
              <w:right w:w="17" w:type="dxa"/>
            </w:tcMar>
            <w:vAlign w:val="center"/>
          </w:tcPr>
          <w:p w14:paraId="1282F0E7" w14:textId="77777777" w:rsidR="001C56BD" w:rsidRPr="00F92667" w:rsidRDefault="001C56BD" w:rsidP="008A5C11">
            <w:pPr>
              <w:jc w:val="center"/>
              <w:rPr>
                <w:sz w:val="12"/>
                <w:szCs w:val="12"/>
              </w:rPr>
            </w:pPr>
            <w:r w:rsidRPr="00F92667">
              <w:rPr>
                <w:sz w:val="12"/>
                <w:szCs w:val="12"/>
              </w:rPr>
              <w:t>0,000</w:t>
            </w:r>
          </w:p>
        </w:tc>
        <w:tc>
          <w:tcPr>
            <w:tcW w:w="212" w:type="pct"/>
            <w:shd w:val="clear" w:color="auto" w:fill="auto"/>
            <w:tcMar>
              <w:left w:w="17" w:type="dxa"/>
              <w:right w:w="17" w:type="dxa"/>
            </w:tcMar>
            <w:vAlign w:val="center"/>
          </w:tcPr>
          <w:p w14:paraId="44608B36" w14:textId="77777777" w:rsidR="001C56BD" w:rsidRPr="00F92667" w:rsidRDefault="001C56BD" w:rsidP="008A5C11">
            <w:pPr>
              <w:jc w:val="center"/>
              <w:rPr>
                <w:sz w:val="12"/>
                <w:szCs w:val="12"/>
              </w:rPr>
            </w:pPr>
            <w:r w:rsidRPr="00F92667">
              <w:rPr>
                <w:sz w:val="12"/>
                <w:szCs w:val="12"/>
              </w:rPr>
              <w:t>0,000</w:t>
            </w:r>
          </w:p>
        </w:tc>
        <w:tc>
          <w:tcPr>
            <w:tcW w:w="218" w:type="pct"/>
            <w:gridSpan w:val="2"/>
            <w:shd w:val="clear" w:color="auto" w:fill="auto"/>
            <w:tcMar>
              <w:left w:w="17" w:type="dxa"/>
              <w:right w:w="17" w:type="dxa"/>
            </w:tcMar>
            <w:vAlign w:val="center"/>
          </w:tcPr>
          <w:p w14:paraId="46C9606C"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3684E5DA" w14:textId="77777777" w:rsidR="001C56BD" w:rsidRPr="00F92667" w:rsidRDefault="001C56BD" w:rsidP="008A5C11">
            <w:pPr>
              <w:jc w:val="center"/>
              <w:rPr>
                <w:sz w:val="12"/>
                <w:szCs w:val="12"/>
              </w:rPr>
            </w:pPr>
            <w:r w:rsidRPr="00F92667">
              <w:rPr>
                <w:sz w:val="12"/>
                <w:szCs w:val="12"/>
              </w:rPr>
              <w:t>0,000</w:t>
            </w:r>
          </w:p>
        </w:tc>
        <w:tc>
          <w:tcPr>
            <w:tcW w:w="206" w:type="pct"/>
            <w:gridSpan w:val="2"/>
            <w:shd w:val="clear" w:color="auto" w:fill="auto"/>
            <w:tcMar>
              <w:left w:w="17" w:type="dxa"/>
              <w:right w:w="17" w:type="dxa"/>
            </w:tcMar>
            <w:vAlign w:val="center"/>
          </w:tcPr>
          <w:p w14:paraId="2372B523"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029BCA7F" w14:textId="77777777" w:rsidR="001C56BD" w:rsidRPr="00F92667" w:rsidRDefault="001C56BD" w:rsidP="008A5C11">
            <w:pPr>
              <w:jc w:val="center"/>
              <w:rPr>
                <w:sz w:val="12"/>
                <w:szCs w:val="12"/>
              </w:rPr>
            </w:pPr>
            <w:r w:rsidRPr="00F92667">
              <w:rPr>
                <w:sz w:val="12"/>
                <w:szCs w:val="12"/>
              </w:rPr>
              <w:t>0,000</w:t>
            </w:r>
          </w:p>
        </w:tc>
        <w:tc>
          <w:tcPr>
            <w:tcW w:w="214" w:type="pct"/>
            <w:gridSpan w:val="2"/>
            <w:shd w:val="clear" w:color="auto" w:fill="auto"/>
            <w:tcMar>
              <w:left w:w="17" w:type="dxa"/>
              <w:right w:w="17" w:type="dxa"/>
            </w:tcMar>
            <w:vAlign w:val="center"/>
          </w:tcPr>
          <w:p w14:paraId="2DB42841"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73790F58"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064E89A0" w14:textId="77777777" w:rsidR="001C56BD" w:rsidRPr="00F92667" w:rsidRDefault="001C56BD" w:rsidP="008A5C11">
            <w:pPr>
              <w:jc w:val="center"/>
              <w:rPr>
                <w:sz w:val="12"/>
                <w:szCs w:val="12"/>
              </w:rPr>
            </w:pPr>
            <w:r w:rsidRPr="00F92667">
              <w:rPr>
                <w:sz w:val="12"/>
                <w:szCs w:val="12"/>
              </w:rPr>
              <w:t>0,000</w:t>
            </w:r>
          </w:p>
        </w:tc>
        <w:tc>
          <w:tcPr>
            <w:tcW w:w="214" w:type="pct"/>
            <w:gridSpan w:val="2"/>
            <w:shd w:val="clear" w:color="auto" w:fill="auto"/>
            <w:tcMar>
              <w:left w:w="17" w:type="dxa"/>
              <w:right w:w="17" w:type="dxa"/>
            </w:tcMar>
            <w:vAlign w:val="center"/>
          </w:tcPr>
          <w:p w14:paraId="0E026CE9" w14:textId="77777777" w:rsidR="001C56BD" w:rsidRPr="00F92667" w:rsidRDefault="001C56BD" w:rsidP="008A5C11">
            <w:pPr>
              <w:jc w:val="center"/>
              <w:rPr>
                <w:sz w:val="12"/>
                <w:szCs w:val="12"/>
              </w:rPr>
            </w:pPr>
            <w:r w:rsidRPr="00F92667">
              <w:rPr>
                <w:sz w:val="12"/>
                <w:szCs w:val="12"/>
              </w:rPr>
              <w:t>21201,336</w:t>
            </w:r>
          </w:p>
        </w:tc>
        <w:tc>
          <w:tcPr>
            <w:tcW w:w="247" w:type="pct"/>
            <w:gridSpan w:val="2"/>
            <w:shd w:val="clear" w:color="auto" w:fill="auto"/>
            <w:tcMar>
              <w:left w:w="17" w:type="dxa"/>
              <w:right w:w="17" w:type="dxa"/>
            </w:tcMar>
            <w:vAlign w:val="center"/>
          </w:tcPr>
          <w:p w14:paraId="0E18D973" w14:textId="77777777" w:rsidR="001C56BD" w:rsidRPr="00F92667" w:rsidRDefault="001C56BD" w:rsidP="008A5C11">
            <w:pPr>
              <w:jc w:val="center"/>
              <w:rPr>
                <w:sz w:val="12"/>
                <w:szCs w:val="12"/>
              </w:rPr>
            </w:pPr>
            <w:r w:rsidRPr="00F92667">
              <w:rPr>
                <w:sz w:val="12"/>
                <w:szCs w:val="12"/>
              </w:rPr>
              <w:t>0,000</w:t>
            </w:r>
          </w:p>
        </w:tc>
        <w:tc>
          <w:tcPr>
            <w:tcW w:w="173" w:type="pct"/>
            <w:shd w:val="clear" w:color="auto" w:fill="auto"/>
            <w:tcMar>
              <w:left w:w="17" w:type="dxa"/>
              <w:right w:w="17" w:type="dxa"/>
            </w:tcMar>
            <w:vAlign w:val="center"/>
          </w:tcPr>
          <w:p w14:paraId="6A5ACA18" w14:textId="77777777" w:rsidR="001C56BD" w:rsidRPr="00F92667" w:rsidRDefault="001C56BD" w:rsidP="008A5C11">
            <w:pPr>
              <w:jc w:val="center"/>
              <w:rPr>
                <w:sz w:val="12"/>
                <w:szCs w:val="12"/>
              </w:rPr>
            </w:pPr>
            <w:r w:rsidRPr="00F92667">
              <w:rPr>
                <w:sz w:val="12"/>
                <w:szCs w:val="12"/>
              </w:rPr>
              <w:t>0,000</w:t>
            </w:r>
          </w:p>
        </w:tc>
        <w:tc>
          <w:tcPr>
            <w:tcW w:w="169" w:type="pct"/>
            <w:shd w:val="clear" w:color="auto" w:fill="auto"/>
            <w:tcMar>
              <w:left w:w="17" w:type="dxa"/>
              <w:right w:w="17" w:type="dxa"/>
            </w:tcMar>
            <w:vAlign w:val="center"/>
          </w:tcPr>
          <w:p w14:paraId="3807F933" w14:textId="77777777" w:rsidR="001C56BD" w:rsidRPr="00F92667" w:rsidRDefault="001C56BD" w:rsidP="008A5C11">
            <w:pPr>
              <w:jc w:val="center"/>
              <w:rPr>
                <w:sz w:val="12"/>
                <w:szCs w:val="12"/>
              </w:rPr>
            </w:pPr>
            <w:r w:rsidRPr="00F92667">
              <w:rPr>
                <w:sz w:val="12"/>
                <w:szCs w:val="12"/>
              </w:rPr>
              <w:t>0,000</w:t>
            </w:r>
          </w:p>
        </w:tc>
      </w:tr>
      <w:tr w:rsidR="001C56BD" w:rsidRPr="00F92667" w14:paraId="29B1A800" w14:textId="77777777" w:rsidTr="008A5C11">
        <w:trPr>
          <w:gridBefore w:val="1"/>
          <w:wBefore w:w="3" w:type="pct"/>
          <w:trHeight w:val="897"/>
        </w:trPr>
        <w:tc>
          <w:tcPr>
            <w:tcW w:w="129" w:type="pct"/>
            <w:shd w:val="clear" w:color="auto" w:fill="auto"/>
            <w:tcMar>
              <w:left w:w="17" w:type="dxa"/>
              <w:right w:w="17" w:type="dxa"/>
            </w:tcMar>
            <w:vAlign w:val="center"/>
          </w:tcPr>
          <w:p w14:paraId="221948B0" w14:textId="77777777" w:rsidR="001C56BD" w:rsidRPr="00F92667" w:rsidRDefault="001C56BD" w:rsidP="008A5C11">
            <w:pPr>
              <w:jc w:val="center"/>
              <w:rPr>
                <w:sz w:val="12"/>
                <w:szCs w:val="12"/>
              </w:rPr>
            </w:pPr>
            <w:r w:rsidRPr="00F92667">
              <w:rPr>
                <w:sz w:val="12"/>
                <w:szCs w:val="12"/>
              </w:rPr>
              <w:t>3.1.25.</w:t>
            </w:r>
          </w:p>
        </w:tc>
        <w:tc>
          <w:tcPr>
            <w:tcW w:w="305" w:type="pct"/>
            <w:shd w:val="clear" w:color="auto" w:fill="auto"/>
            <w:tcMar>
              <w:left w:w="17" w:type="dxa"/>
              <w:right w:w="17" w:type="dxa"/>
            </w:tcMar>
            <w:vAlign w:val="center"/>
          </w:tcPr>
          <w:p w14:paraId="3F064D8C" w14:textId="77777777" w:rsidR="001C56BD" w:rsidRPr="00F92667" w:rsidRDefault="001C56BD" w:rsidP="008A5C11">
            <w:pPr>
              <w:rPr>
                <w:sz w:val="12"/>
                <w:szCs w:val="12"/>
              </w:rPr>
            </w:pPr>
            <w:r w:rsidRPr="00F92667">
              <w:rPr>
                <w:color w:val="000000"/>
                <w:sz w:val="12"/>
                <w:szCs w:val="12"/>
              </w:rPr>
              <w:t>Реконструкция тепловой сети с реестровым номером</w:t>
            </w:r>
            <w:r w:rsidRPr="00F92667">
              <w:rPr>
                <w:sz w:val="12"/>
                <w:szCs w:val="12"/>
              </w:rPr>
              <w:t xml:space="preserve"> 777272</w:t>
            </w:r>
          </w:p>
        </w:tc>
        <w:tc>
          <w:tcPr>
            <w:tcW w:w="304" w:type="pct"/>
            <w:shd w:val="clear" w:color="000000" w:fill="FFFFFF"/>
            <w:tcMar>
              <w:left w:w="17" w:type="dxa"/>
              <w:right w:w="17" w:type="dxa"/>
            </w:tcMar>
            <w:vAlign w:val="center"/>
          </w:tcPr>
          <w:p w14:paraId="6FD9C3E1" w14:textId="77777777" w:rsidR="001C56BD" w:rsidRPr="00F92667" w:rsidRDefault="001C56BD" w:rsidP="008A5C11">
            <w:pPr>
              <w:jc w:val="center"/>
              <w:rPr>
                <w:sz w:val="12"/>
                <w:szCs w:val="12"/>
              </w:rPr>
            </w:pPr>
            <w:r w:rsidRPr="00F92667">
              <w:rPr>
                <w:color w:val="000000"/>
                <w:sz w:val="12"/>
                <w:szCs w:val="12"/>
              </w:rPr>
              <w:t>Повышение надежности услуг теплоснабжения, повышение энергетической эффективности</w:t>
            </w:r>
          </w:p>
        </w:tc>
        <w:tc>
          <w:tcPr>
            <w:tcW w:w="258" w:type="pct"/>
            <w:shd w:val="clear" w:color="auto" w:fill="auto"/>
            <w:tcMar>
              <w:left w:w="17" w:type="dxa"/>
              <w:right w:w="17" w:type="dxa"/>
            </w:tcMar>
            <w:vAlign w:val="center"/>
          </w:tcPr>
          <w:p w14:paraId="103C8EA5" w14:textId="77777777" w:rsidR="001C56BD" w:rsidRPr="00F92667" w:rsidRDefault="001C56BD" w:rsidP="008A5C11">
            <w:pPr>
              <w:jc w:val="center"/>
              <w:rPr>
                <w:sz w:val="12"/>
                <w:szCs w:val="12"/>
              </w:rPr>
            </w:pPr>
            <w:r w:rsidRPr="00F92667">
              <w:rPr>
                <w:sz w:val="12"/>
                <w:szCs w:val="12"/>
              </w:rPr>
              <w:t xml:space="preserve">Кемеровский городской округ, Заводский район, квартал №3, в границах ул. Базовая, </w:t>
            </w:r>
            <w:r w:rsidRPr="00F92667">
              <w:rPr>
                <w:sz w:val="12"/>
                <w:szCs w:val="12"/>
              </w:rPr>
              <w:br/>
              <w:t xml:space="preserve">ул. Патриотов, </w:t>
            </w:r>
            <w:r w:rsidRPr="00F92667">
              <w:rPr>
                <w:sz w:val="12"/>
                <w:szCs w:val="12"/>
              </w:rPr>
              <w:br/>
              <w:t xml:space="preserve">ул. Ульяны Громовой, </w:t>
            </w:r>
            <w:r w:rsidRPr="00F92667">
              <w:rPr>
                <w:sz w:val="12"/>
                <w:szCs w:val="12"/>
              </w:rPr>
              <w:br/>
              <w:t>ул. Веры Волошиной</w:t>
            </w:r>
          </w:p>
        </w:tc>
        <w:tc>
          <w:tcPr>
            <w:tcW w:w="294" w:type="pct"/>
            <w:shd w:val="clear" w:color="auto" w:fill="auto"/>
            <w:tcMar>
              <w:left w:w="17" w:type="dxa"/>
              <w:right w:w="17" w:type="dxa"/>
            </w:tcMar>
            <w:vAlign w:val="center"/>
          </w:tcPr>
          <w:p w14:paraId="7E3905D0" w14:textId="77777777" w:rsidR="001C56BD" w:rsidRPr="00F92667" w:rsidRDefault="001C56BD" w:rsidP="008A5C11">
            <w:pPr>
              <w:jc w:val="center"/>
              <w:rPr>
                <w:sz w:val="12"/>
                <w:szCs w:val="12"/>
              </w:rPr>
            </w:pPr>
            <w:r w:rsidRPr="00F92667">
              <w:rPr>
                <w:color w:val="000000"/>
                <w:sz w:val="12"/>
                <w:szCs w:val="12"/>
              </w:rPr>
              <w:t>Технические характеристики</w:t>
            </w:r>
          </w:p>
        </w:tc>
        <w:tc>
          <w:tcPr>
            <w:tcW w:w="129" w:type="pct"/>
            <w:shd w:val="clear" w:color="auto" w:fill="auto"/>
            <w:tcMar>
              <w:left w:w="17" w:type="dxa"/>
              <w:right w:w="17" w:type="dxa"/>
            </w:tcMar>
            <w:vAlign w:val="center"/>
          </w:tcPr>
          <w:p w14:paraId="6CA0ED67" w14:textId="77777777" w:rsidR="001C56BD" w:rsidRPr="00F92667" w:rsidRDefault="001C56BD" w:rsidP="008A5C11">
            <w:pPr>
              <w:jc w:val="center"/>
              <w:rPr>
                <w:color w:val="000000"/>
                <w:sz w:val="12"/>
                <w:szCs w:val="12"/>
              </w:rPr>
            </w:pPr>
          </w:p>
        </w:tc>
        <w:tc>
          <w:tcPr>
            <w:tcW w:w="184" w:type="pct"/>
            <w:shd w:val="clear" w:color="auto" w:fill="auto"/>
            <w:tcMar>
              <w:left w:w="17" w:type="dxa"/>
              <w:right w:w="17" w:type="dxa"/>
            </w:tcMar>
            <w:vAlign w:val="center"/>
          </w:tcPr>
          <w:p w14:paraId="74C07789" w14:textId="77777777" w:rsidR="001C56BD" w:rsidRPr="00F92667" w:rsidRDefault="001C56BD" w:rsidP="008A5C11">
            <w:pPr>
              <w:jc w:val="center"/>
              <w:rPr>
                <w:sz w:val="12"/>
                <w:szCs w:val="12"/>
              </w:rPr>
            </w:pPr>
            <w:r w:rsidRPr="00F92667">
              <w:rPr>
                <w:sz w:val="12"/>
                <w:szCs w:val="12"/>
              </w:rPr>
              <w:t xml:space="preserve">Канал-кирпич, опоры-хомутовые </w:t>
            </w:r>
            <w:proofErr w:type="gramStart"/>
            <w:r w:rsidRPr="00F92667">
              <w:rPr>
                <w:sz w:val="12"/>
                <w:szCs w:val="12"/>
              </w:rPr>
              <w:t>привар-ные</w:t>
            </w:r>
            <w:proofErr w:type="gramEnd"/>
            <w:r w:rsidRPr="00F92667">
              <w:rPr>
                <w:sz w:val="12"/>
                <w:szCs w:val="12"/>
              </w:rPr>
              <w:t xml:space="preserve">, запорная арматура - стальная клиновая, антикоррозийная защита-лак БТ, труба-сталь 20, изоляция - мин. маты </w:t>
            </w:r>
          </w:p>
        </w:tc>
        <w:tc>
          <w:tcPr>
            <w:tcW w:w="219" w:type="pct"/>
            <w:shd w:val="clear" w:color="auto" w:fill="auto"/>
            <w:tcMar>
              <w:left w:w="17" w:type="dxa"/>
              <w:right w:w="17" w:type="dxa"/>
            </w:tcMar>
            <w:vAlign w:val="center"/>
          </w:tcPr>
          <w:p w14:paraId="16B6AAFF" w14:textId="77777777" w:rsidR="001C56BD" w:rsidRPr="00F92667" w:rsidRDefault="001C56BD" w:rsidP="008A5C11">
            <w:pPr>
              <w:jc w:val="center"/>
              <w:rPr>
                <w:sz w:val="12"/>
                <w:szCs w:val="12"/>
              </w:rPr>
            </w:pPr>
            <w:r w:rsidRPr="00F92667">
              <w:rPr>
                <w:sz w:val="12"/>
                <w:szCs w:val="12"/>
              </w:rPr>
              <w:t xml:space="preserve">Канал-ж/б лотки, опоры-хомутовые с диэлектрической прокладкой, запорная арматура - кран шаровый, антикоррозийная защита-мастика Вектор 1214, 1025, труба-сталь 09Г2С, изоляция - маты прошивные, </w:t>
            </w:r>
            <w:proofErr w:type="gramStart"/>
            <w:r w:rsidRPr="00F92667">
              <w:rPr>
                <w:sz w:val="12"/>
                <w:szCs w:val="12"/>
              </w:rPr>
              <w:t>стеклоплас-тик</w:t>
            </w:r>
            <w:proofErr w:type="gramEnd"/>
            <w:r w:rsidRPr="00F92667">
              <w:rPr>
                <w:sz w:val="12"/>
                <w:szCs w:val="12"/>
              </w:rPr>
              <w:t xml:space="preserve">  </w:t>
            </w:r>
          </w:p>
        </w:tc>
        <w:tc>
          <w:tcPr>
            <w:tcW w:w="130" w:type="pct"/>
            <w:shd w:val="clear" w:color="auto" w:fill="auto"/>
            <w:tcMar>
              <w:left w:w="17" w:type="dxa"/>
              <w:right w:w="17" w:type="dxa"/>
            </w:tcMar>
            <w:vAlign w:val="center"/>
          </w:tcPr>
          <w:p w14:paraId="78CAC596" w14:textId="77777777" w:rsidR="001C56BD" w:rsidRPr="00F92667" w:rsidRDefault="001C56BD" w:rsidP="008A5C11">
            <w:pPr>
              <w:jc w:val="center"/>
              <w:rPr>
                <w:sz w:val="12"/>
                <w:szCs w:val="12"/>
              </w:rPr>
            </w:pPr>
            <w:r w:rsidRPr="00F92667">
              <w:rPr>
                <w:sz w:val="12"/>
                <w:szCs w:val="12"/>
              </w:rPr>
              <w:t>2026</w:t>
            </w:r>
          </w:p>
        </w:tc>
        <w:tc>
          <w:tcPr>
            <w:tcW w:w="130" w:type="pct"/>
            <w:shd w:val="clear" w:color="auto" w:fill="auto"/>
            <w:tcMar>
              <w:left w:w="17" w:type="dxa"/>
              <w:right w:w="17" w:type="dxa"/>
            </w:tcMar>
            <w:vAlign w:val="center"/>
          </w:tcPr>
          <w:p w14:paraId="160AFA3D" w14:textId="77777777" w:rsidR="001C56BD" w:rsidRPr="00F92667" w:rsidRDefault="001C56BD" w:rsidP="008A5C11">
            <w:pPr>
              <w:jc w:val="center"/>
              <w:rPr>
                <w:sz w:val="12"/>
                <w:szCs w:val="12"/>
              </w:rPr>
            </w:pPr>
            <w:r w:rsidRPr="00F92667">
              <w:rPr>
                <w:sz w:val="12"/>
                <w:szCs w:val="12"/>
              </w:rPr>
              <w:t>2029</w:t>
            </w:r>
          </w:p>
        </w:tc>
        <w:tc>
          <w:tcPr>
            <w:tcW w:w="217" w:type="pct"/>
            <w:gridSpan w:val="2"/>
            <w:shd w:val="clear" w:color="auto" w:fill="auto"/>
            <w:tcMar>
              <w:left w:w="17" w:type="dxa"/>
              <w:right w:w="17" w:type="dxa"/>
            </w:tcMar>
            <w:vAlign w:val="center"/>
          </w:tcPr>
          <w:p w14:paraId="3E2EBB9E" w14:textId="77777777" w:rsidR="001C56BD" w:rsidRPr="00F92667" w:rsidRDefault="001C56BD" w:rsidP="008A5C11">
            <w:pPr>
              <w:jc w:val="center"/>
              <w:rPr>
                <w:sz w:val="12"/>
                <w:szCs w:val="12"/>
              </w:rPr>
            </w:pPr>
            <w:r w:rsidRPr="00F92667">
              <w:rPr>
                <w:sz w:val="12"/>
                <w:szCs w:val="12"/>
              </w:rPr>
              <w:t>32748,228</w:t>
            </w:r>
          </w:p>
        </w:tc>
        <w:tc>
          <w:tcPr>
            <w:tcW w:w="177" w:type="pct"/>
            <w:gridSpan w:val="2"/>
            <w:shd w:val="clear" w:color="auto" w:fill="auto"/>
            <w:tcMar>
              <w:left w:w="17" w:type="dxa"/>
              <w:right w:w="17" w:type="dxa"/>
            </w:tcMar>
            <w:vAlign w:val="center"/>
          </w:tcPr>
          <w:p w14:paraId="21E084DA" w14:textId="77777777" w:rsidR="001C56BD" w:rsidRPr="00F92667" w:rsidRDefault="001C56BD" w:rsidP="008A5C11">
            <w:pPr>
              <w:jc w:val="center"/>
              <w:rPr>
                <w:sz w:val="12"/>
                <w:szCs w:val="12"/>
              </w:rPr>
            </w:pPr>
            <w:r w:rsidRPr="00F92667">
              <w:rPr>
                <w:sz w:val="12"/>
                <w:szCs w:val="12"/>
              </w:rPr>
              <w:t>0,000</w:t>
            </w:r>
          </w:p>
        </w:tc>
        <w:tc>
          <w:tcPr>
            <w:tcW w:w="212" w:type="pct"/>
            <w:shd w:val="clear" w:color="auto" w:fill="auto"/>
            <w:tcMar>
              <w:left w:w="17" w:type="dxa"/>
              <w:right w:w="17" w:type="dxa"/>
            </w:tcMar>
            <w:vAlign w:val="center"/>
          </w:tcPr>
          <w:p w14:paraId="3D555A9D" w14:textId="77777777" w:rsidR="001C56BD" w:rsidRPr="00F92667" w:rsidRDefault="001C56BD" w:rsidP="008A5C11">
            <w:pPr>
              <w:jc w:val="center"/>
              <w:rPr>
                <w:sz w:val="12"/>
                <w:szCs w:val="12"/>
              </w:rPr>
            </w:pPr>
            <w:r w:rsidRPr="00F92667">
              <w:rPr>
                <w:sz w:val="12"/>
                <w:szCs w:val="12"/>
              </w:rPr>
              <w:t>0,000</w:t>
            </w:r>
          </w:p>
        </w:tc>
        <w:tc>
          <w:tcPr>
            <w:tcW w:w="218" w:type="pct"/>
            <w:gridSpan w:val="2"/>
            <w:shd w:val="clear" w:color="auto" w:fill="auto"/>
            <w:tcMar>
              <w:left w:w="17" w:type="dxa"/>
              <w:right w:w="17" w:type="dxa"/>
            </w:tcMar>
            <w:vAlign w:val="center"/>
          </w:tcPr>
          <w:p w14:paraId="0E821473"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2F574A55" w14:textId="77777777" w:rsidR="001C56BD" w:rsidRPr="00F92667" w:rsidRDefault="001C56BD" w:rsidP="008A5C11">
            <w:pPr>
              <w:jc w:val="center"/>
              <w:rPr>
                <w:sz w:val="12"/>
                <w:szCs w:val="12"/>
              </w:rPr>
            </w:pPr>
            <w:r w:rsidRPr="00F92667">
              <w:rPr>
                <w:sz w:val="12"/>
                <w:szCs w:val="12"/>
              </w:rPr>
              <w:t>0,000</w:t>
            </w:r>
          </w:p>
        </w:tc>
        <w:tc>
          <w:tcPr>
            <w:tcW w:w="206" w:type="pct"/>
            <w:gridSpan w:val="2"/>
            <w:shd w:val="clear" w:color="auto" w:fill="auto"/>
            <w:tcMar>
              <w:left w:w="17" w:type="dxa"/>
              <w:right w:w="17" w:type="dxa"/>
            </w:tcMar>
            <w:vAlign w:val="center"/>
          </w:tcPr>
          <w:p w14:paraId="42CB6E74"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11592E3D" w14:textId="77777777" w:rsidR="001C56BD" w:rsidRPr="00F92667" w:rsidRDefault="001C56BD" w:rsidP="008A5C11">
            <w:pPr>
              <w:jc w:val="center"/>
              <w:rPr>
                <w:sz w:val="12"/>
                <w:szCs w:val="12"/>
              </w:rPr>
            </w:pPr>
            <w:r w:rsidRPr="00F92667">
              <w:rPr>
                <w:sz w:val="12"/>
                <w:szCs w:val="12"/>
              </w:rPr>
              <w:t>15444,180</w:t>
            </w:r>
          </w:p>
        </w:tc>
        <w:tc>
          <w:tcPr>
            <w:tcW w:w="214" w:type="pct"/>
            <w:gridSpan w:val="2"/>
            <w:shd w:val="clear" w:color="auto" w:fill="auto"/>
            <w:tcMar>
              <w:left w:w="17" w:type="dxa"/>
              <w:right w:w="17" w:type="dxa"/>
            </w:tcMar>
            <w:vAlign w:val="center"/>
          </w:tcPr>
          <w:p w14:paraId="254F8253"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76476B69"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2CF0A35E" w14:textId="77777777" w:rsidR="001C56BD" w:rsidRPr="00F92667" w:rsidRDefault="001C56BD" w:rsidP="008A5C11">
            <w:pPr>
              <w:jc w:val="center"/>
              <w:rPr>
                <w:sz w:val="12"/>
                <w:szCs w:val="12"/>
              </w:rPr>
            </w:pPr>
            <w:r w:rsidRPr="00F92667">
              <w:rPr>
                <w:sz w:val="12"/>
                <w:szCs w:val="12"/>
              </w:rPr>
              <w:t>17304,048</w:t>
            </w:r>
          </w:p>
        </w:tc>
        <w:tc>
          <w:tcPr>
            <w:tcW w:w="214" w:type="pct"/>
            <w:gridSpan w:val="2"/>
            <w:shd w:val="clear" w:color="auto" w:fill="auto"/>
            <w:tcMar>
              <w:left w:w="17" w:type="dxa"/>
              <w:right w:w="17" w:type="dxa"/>
            </w:tcMar>
            <w:vAlign w:val="center"/>
          </w:tcPr>
          <w:p w14:paraId="26B80951" w14:textId="77777777" w:rsidR="001C56BD" w:rsidRPr="00F92667" w:rsidRDefault="001C56BD" w:rsidP="008A5C11">
            <w:pPr>
              <w:jc w:val="center"/>
              <w:rPr>
                <w:sz w:val="12"/>
                <w:szCs w:val="12"/>
              </w:rPr>
            </w:pPr>
            <w:r w:rsidRPr="00F92667">
              <w:rPr>
                <w:sz w:val="12"/>
                <w:szCs w:val="12"/>
              </w:rPr>
              <w:t>0,000</w:t>
            </w:r>
          </w:p>
        </w:tc>
        <w:tc>
          <w:tcPr>
            <w:tcW w:w="247" w:type="pct"/>
            <w:gridSpan w:val="2"/>
            <w:shd w:val="clear" w:color="auto" w:fill="auto"/>
            <w:tcMar>
              <w:left w:w="17" w:type="dxa"/>
              <w:right w:w="17" w:type="dxa"/>
            </w:tcMar>
            <w:vAlign w:val="center"/>
          </w:tcPr>
          <w:p w14:paraId="7D4A3CCB" w14:textId="77777777" w:rsidR="001C56BD" w:rsidRPr="00F92667" w:rsidRDefault="001C56BD" w:rsidP="008A5C11">
            <w:pPr>
              <w:jc w:val="center"/>
              <w:rPr>
                <w:sz w:val="12"/>
                <w:szCs w:val="12"/>
              </w:rPr>
            </w:pPr>
            <w:r w:rsidRPr="00F92667">
              <w:rPr>
                <w:sz w:val="12"/>
                <w:szCs w:val="12"/>
              </w:rPr>
              <w:t>0,000</w:t>
            </w:r>
          </w:p>
        </w:tc>
        <w:tc>
          <w:tcPr>
            <w:tcW w:w="173" w:type="pct"/>
            <w:shd w:val="clear" w:color="auto" w:fill="auto"/>
            <w:tcMar>
              <w:left w:w="17" w:type="dxa"/>
              <w:right w:w="17" w:type="dxa"/>
            </w:tcMar>
            <w:vAlign w:val="center"/>
          </w:tcPr>
          <w:p w14:paraId="240B25D1" w14:textId="77777777" w:rsidR="001C56BD" w:rsidRPr="00F92667" w:rsidRDefault="001C56BD" w:rsidP="008A5C11">
            <w:pPr>
              <w:jc w:val="center"/>
              <w:rPr>
                <w:sz w:val="12"/>
                <w:szCs w:val="12"/>
              </w:rPr>
            </w:pPr>
            <w:r w:rsidRPr="00F92667">
              <w:rPr>
                <w:sz w:val="12"/>
                <w:szCs w:val="12"/>
              </w:rPr>
              <w:t>0,000</w:t>
            </w:r>
          </w:p>
        </w:tc>
        <w:tc>
          <w:tcPr>
            <w:tcW w:w="169" w:type="pct"/>
            <w:shd w:val="clear" w:color="auto" w:fill="auto"/>
            <w:tcMar>
              <w:left w:w="17" w:type="dxa"/>
              <w:right w:w="17" w:type="dxa"/>
            </w:tcMar>
            <w:vAlign w:val="center"/>
          </w:tcPr>
          <w:p w14:paraId="5AB69652" w14:textId="77777777" w:rsidR="001C56BD" w:rsidRPr="00F92667" w:rsidRDefault="001C56BD" w:rsidP="008A5C11">
            <w:pPr>
              <w:jc w:val="center"/>
              <w:rPr>
                <w:sz w:val="12"/>
                <w:szCs w:val="12"/>
              </w:rPr>
            </w:pPr>
            <w:r w:rsidRPr="00F92667">
              <w:rPr>
                <w:sz w:val="12"/>
                <w:szCs w:val="12"/>
              </w:rPr>
              <w:t>0,000</w:t>
            </w:r>
          </w:p>
        </w:tc>
      </w:tr>
      <w:tr w:rsidR="001C56BD" w:rsidRPr="00F92667" w14:paraId="1B3EADE2" w14:textId="77777777" w:rsidTr="008A5C11">
        <w:trPr>
          <w:gridBefore w:val="1"/>
          <w:wBefore w:w="3" w:type="pct"/>
          <w:trHeight w:val="897"/>
        </w:trPr>
        <w:tc>
          <w:tcPr>
            <w:tcW w:w="129" w:type="pct"/>
            <w:shd w:val="clear" w:color="auto" w:fill="auto"/>
            <w:tcMar>
              <w:left w:w="17" w:type="dxa"/>
              <w:right w:w="17" w:type="dxa"/>
            </w:tcMar>
            <w:vAlign w:val="center"/>
          </w:tcPr>
          <w:p w14:paraId="1F86C42B" w14:textId="77777777" w:rsidR="001C56BD" w:rsidRPr="00F92667" w:rsidRDefault="001C56BD" w:rsidP="008A5C11">
            <w:pPr>
              <w:jc w:val="center"/>
              <w:rPr>
                <w:bCs/>
                <w:sz w:val="12"/>
                <w:szCs w:val="12"/>
              </w:rPr>
            </w:pPr>
            <w:r w:rsidRPr="00F92667">
              <w:rPr>
                <w:bCs/>
                <w:sz w:val="12"/>
                <w:szCs w:val="12"/>
              </w:rPr>
              <w:t>1</w:t>
            </w:r>
          </w:p>
        </w:tc>
        <w:tc>
          <w:tcPr>
            <w:tcW w:w="305" w:type="pct"/>
            <w:shd w:val="clear" w:color="auto" w:fill="auto"/>
            <w:tcMar>
              <w:left w:w="17" w:type="dxa"/>
              <w:right w:w="17" w:type="dxa"/>
            </w:tcMar>
            <w:vAlign w:val="center"/>
          </w:tcPr>
          <w:p w14:paraId="102079FE" w14:textId="77777777" w:rsidR="001C56BD" w:rsidRPr="00F92667" w:rsidRDefault="001C56BD" w:rsidP="008A5C11">
            <w:pPr>
              <w:jc w:val="center"/>
              <w:rPr>
                <w:bCs/>
                <w:sz w:val="12"/>
                <w:szCs w:val="12"/>
              </w:rPr>
            </w:pPr>
            <w:r w:rsidRPr="00F92667">
              <w:rPr>
                <w:bCs/>
                <w:sz w:val="12"/>
                <w:szCs w:val="12"/>
              </w:rPr>
              <w:t>2</w:t>
            </w:r>
          </w:p>
        </w:tc>
        <w:tc>
          <w:tcPr>
            <w:tcW w:w="304" w:type="pct"/>
            <w:shd w:val="clear" w:color="auto" w:fill="auto"/>
            <w:tcMar>
              <w:left w:w="17" w:type="dxa"/>
              <w:right w:w="17" w:type="dxa"/>
            </w:tcMar>
            <w:vAlign w:val="center"/>
          </w:tcPr>
          <w:p w14:paraId="48F4CCFB" w14:textId="77777777" w:rsidR="001C56BD" w:rsidRPr="00F92667" w:rsidRDefault="001C56BD" w:rsidP="008A5C11">
            <w:pPr>
              <w:jc w:val="center"/>
              <w:rPr>
                <w:bCs/>
                <w:sz w:val="12"/>
                <w:szCs w:val="12"/>
              </w:rPr>
            </w:pPr>
            <w:r w:rsidRPr="00F92667">
              <w:rPr>
                <w:bCs/>
                <w:sz w:val="12"/>
                <w:szCs w:val="12"/>
              </w:rPr>
              <w:t>3</w:t>
            </w:r>
          </w:p>
        </w:tc>
        <w:tc>
          <w:tcPr>
            <w:tcW w:w="258" w:type="pct"/>
            <w:shd w:val="clear" w:color="auto" w:fill="auto"/>
            <w:tcMar>
              <w:left w:w="17" w:type="dxa"/>
              <w:right w:w="17" w:type="dxa"/>
            </w:tcMar>
            <w:vAlign w:val="center"/>
          </w:tcPr>
          <w:p w14:paraId="72688C80" w14:textId="77777777" w:rsidR="001C56BD" w:rsidRPr="00F92667" w:rsidRDefault="001C56BD" w:rsidP="008A5C11">
            <w:pPr>
              <w:jc w:val="center"/>
              <w:rPr>
                <w:bCs/>
                <w:sz w:val="12"/>
                <w:szCs w:val="12"/>
              </w:rPr>
            </w:pPr>
            <w:r w:rsidRPr="00F92667">
              <w:rPr>
                <w:bCs/>
                <w:sz w:val="12"/>
                <w:szCs w:val="12"/>
              </w:rPr>
              <w:t>4</w:t>
            </w:r>
          </w:p>
        </w:tc>
        <w:tc>
          <w:tcPr>
            <w:tcW w:w="294" w:type="pct"/>
            <w:shd w:val="clear" w:color="auto" w:fill="auto"/>
            <w:tcMar>
              <w:left w:w="17" w:type="dxa"/>
              <w:right w:w="17" w:type="dxa"/>
            </w:tcMar>
            <w:vAlign w:val="center"/>
          </w:tcPr>
          <w:p w14:paraId="2FE30A1B" w14:textId="77777777" w:rsidR="001C56BD" w:rsidRPr="00F92667" w:rsidRDefault="001C56BD" w:rsidP="008A5C11">
            <w:pPr>
              <w:jc w:val="center"/>
              <w:rPr>
                <w:bCs/>
                <w:sz w:val="12"/>
                <w:szCs w:val="12"/>
              </w:rPr>
            </w:pPr>
            <w:r w:rsidRPr="00F92667">
              <w:rPr>
                <w:bCs/>
                <w:sz w:val="12"/>
                <w:szCs w:val="12"/>
              </w:rPr>
              <w:t>5</w:t>
            </w:r>
          </w:p>
        </w:tc>
        <w:tc>
          <w:tcPr>
            <w:tcW w:w="129" w:type="pct"/>
            <w:shd w:val="clear" w:color="auto" w:fill="auto"/>
            <w:tcMar>
              <w:left w:w="17" w:type="dxa"/>
              <w:right w:w="17" w:type="dxa"/>
            </w:tcMar>
            <w:vAlign w:val="center"/>
          </w:tcPr>
          <w:p w14:paraId="34076E2C" w14:textId="77777777" w:rsidR="001C56BD" w:rsidRPr="00F92667" w:rsidRDefault="001C56BD" w:rsidP="008A5C11">
            <w:pPr>
              <w:jc w:val="center"/>
              <w:rPr>
                <w:bCs/>
                <w:sz w:val="12"/>
                <w:szCs w:val="12"/>
              </w:rPr>
            </w:pPr>
            <w:r w:rsidRPr="00F92667">
              <w:rPr>
                <w:bCs/>
                <w:sz w:val="12"/>
                <w:szCs w:val="12"/>
              </w:rPr>
              <w:t>6</w:t>
            </w:r>
          </w:p>
        </w:tc>
        <w:tc>
          <w:tcPr>
            <w:tcW w:w="184" w:type="pct"/>
            <w:shd w:val="clear" w:color="auto" w:fill="auto"/>
            <w:tcMar>
              <w:left w:w="17" w:type="dxa"/>
              <w:right w:w="17" w:type="dxa"/>
            </w:tcMar>
            <w:vAlign w:val="center"/>
          </w:tcPr>
          <w:p w14:paraId="1C1A68F3" w14:textId="77777777" w:rsidR="001C56BD" w:rsidRPr="00F92667" w:rsidRDefault="001C56BD" w:rsidP="008A5C11">
            <w:pPr>
              <w:jc w:val="center"/>
              <w:rPr>
                <w:bCs/>
                <w:sz w:val="12"/>
                <w:szCs w:val="12"/>
              </w:rPr>
            </w:pPr>
            <w:r w:rsidRPr="00F92667">
              <w:rPr>
                <w:bCs/>
                <w:sz w:val="12"/>
                <w:szCs w:val="12"/>
              </w:rPr>
              <w:t>7</w:t>
            </w:r>
          </w:p>
        </w:tc>
        <w:tc>
          <w:tcPr>
            <w:tcW w:w="219" w:type="pct"/>
            <w:shd w:val="clear" w:color="auto" w:fill="auto"/>
            <w:tcMar>
              <w:left w:w="17" w:type="dxa"/>
              <w:right w:w="17" w:type="dxa"/>
            </w:tcMar>
            <w:vAlign w:val="center"/>
          </w:tcPr>
          <w:p w14:paraId="3C38F963" w14:textId="77777777" w:rsidR="001C56BD" w:rsidRPr="00F92667" w:rsidRDefault="001C56BD" w:rsidP="008A5C11">
            <w:pPr>
              <w:jc w:val="center"/>
              <w:rPr>
                <w:bCs/>
                <w:sz w:val="12"/>
                <w:szCs w:val="12"/>
              </w:rPr>
            </w:pPr>
            <w:r w:rsidRPr="00F92667">
              <w:rPr>
                <w:bCs/>
                <w:sz w:val="12"/>
                <w:szCs w:val="12"/>
              </w:rPr>
              <w:t>8</w:t>
            </w:r>
          </w:p>
        </w:tc>
        <w:tc>
          <w:tcPr>
            <w:tcW w:w="130" w:type="pct"/>
            <w:shd w:val="clear" w:color="auto" w:fill="auto"/>
            <w:tcMar>
              <w:left w:w="17" w:type="dxa"/>
              <w:right w:w="17" w:type="dxa"/>
            </w:tcMar>
            <w:vAlign w:val="center"/>
          </w:tcPr>
          <w:p w14:paraId="70C40CE6" w14:textId="77777777" w:rsidR="001C56BD" w:rsidRPr="00F92667" w:rsidRDefault="001C56BD" w:rsidP="008A5C11">
            <w:pPr>
              <w:jc w:val="center"/>
              <w:rPr>
                <w:bCs/>
                <w:sz w:val="12"/>
                <w:szCs w:val="12"/>
              </w:rPr>
            </w:pPr>
            <w:r w:rsidRPr="00F92667">
              <w:rPr>
                <w:bCs/>
                <w:sz w:val="12"/>
                <w:szCs w:val="12"/>
              </w:rPr>
              <w:t>9</w:t>
            </w:r>
          </w:p>
        </w:tc>
        <w:tc>
          <w:tcPr>
            <w:tcW w:w="130" w:type="pct"/>
            <w:shd w:val="clear" w:color="auto" w:fill="auto"/>
            <w:tcMar>
              <w:left w:w="17" w:type="dxa"/>
              <w:right w:w="17" w:type="dxa"/>
            </w:tcMar>
            <w:vAlign w:val="center"/>
          </w:tcPr>
          <w:p w14:paraId="2C2FCDC4" w14:textId="77777777" w:rsidR="001C56BD" w:rsidRPr="00F92667" w:rsidRDefault="001C56BD" w:rsidP="008A5C11">
            <w:pPr>
              <w:jc w:val="center"/>
              <w:rPr>
                <w:bCs/>
                <w:sz w:val="12"/>
                <w:szCs w:val="12"/>
              </w:rPr>
            </w:pPr>
            <w:r w:rsidRPr="00F92667">
              <w:rPr>
                <w:bCs/>
                <w:sz w:val="12"/>
                <w:szCs w:val="12"/>
              </w:rPr>
              <w:t>10</w:t>
            </w:r>
          </w:p>
        </w:tc>
        <w:tc>
          <w:tcPr>
            <w:tcW w:w="217" w:type="pct"/>
            <w:gridSpan w:val="2"/>
            <w:shd w:val="clear" w:color="auto" w:fill="auto"/>
            <w:tcMar>
              <w:left w:w="17" w:type="dxa"/>
              <w:right w:w="17" w:type="dxa"/>
            </w:tcMar>
            <w:vAlign w:val="center"/>
          </w:tcPr>
          <w:p w14:paraId="40F59592" w14:textId="77777777" w:rsidR="001C56BD" w:rsidRPr="00F92667" w:rsidRDefault="001C56BD" w:rsidP="008A5C11">
            <w:pPr>
              <w:jc w:val="center"/>
              <w:rPr>
                <w:bCs/>
                <w:sz w:val="12"/>
                <w:szCs w:val="12"/>
              </w:rPr>
            </w:pPr>
            <w:r w:rsidRPr="00F92667">
              <w:rPr>
                <w:bCs/>
                <w:sz w:val="12"/>
                <w:szCs w:val="12"/>
              </w:rPr>
              <w:t>11</w:t>
            </w:r>
          </w:p>
        </w:tc>
        <w:tc>
          <w:tcPr>
            <w:tcW w:w="177" w:type="pct"/>
            <w:gridSpan w:val="2"/>
            <w:shd w:val="clear" w:color="auto" w:fill="auto"/>
            <w:tcMar>
              <w:left w:w="17" w:type="dxa"/>
              <w:right w:w="17" w:type="dxa"/>
            </w:tcMar>
            <w:vAlign w:val="center"/>
          </w:tcPr>
          <w:p w14:paraId="2877D2D0" w14:textId="77777777" w:rsidR="001C56BD" w:rsidRPr="00F92667" w:rsidRDefault="001C56BD" w:rsidP="008A5C11">
            <w:pPr>
              <w:jc w:val="center"/>
              <w:rPr>
                <w:bCs/>
                <w:sz w:val="12"/>
                <w:szCs w:val="12"/>
              </w:rPr>
            </w:pPr>
            <w:r w:rsidRPr="00F92667">
              <w:rPr>
                <w:bCs/>
                <w:sz w:val="12"/>
                <w:szCs w:val="12"/>
              </w:rPr>
              <w:t>12</w:t>
            </w:r>
          </w:p>
        </w:tc>
        <w:tc>
          <w:tcPr>
            <w:tcW w:w="212" w:type="pct"/>
            <w:shd w:val="clear" w:color="auto" w:fill="auto"/>
            <w:tcMar>
              <w:left w:w="17" w:type="dxa"/>
              <w:right w:w="17" w:type="dxa"/>
            </w:tcMar>
            <w:vAlign w:val="center"/>
          </w:tcPr>
          <w:p w14:paraId="17DF4810" w14:textId="77777777" w:rsidR="001C56BD" w:rsidRPr="00F92667" w:rsidRDefault="001C56BD" w:rsidP="008A5C11">
            <w:pPr>
              <w:jc w:val="center"/>
              <w:rPr>
                <w:bCs/>
                <w:sz w:val="12"/>
                <w:szCs w:val="12"/>
              </w:rPr>
            </w:pPr>
            <w:r w:rsidRPr="00F92667">
              <w:rPr>
                <w:bCs/>
                <w:sz w:val="12"/>
                <w:szCs w:val="12"/>
              </w:rPr>
              <w:t>13</w:t>
            </w:r>
          </w:p>
        </w:tc>
        <w:tc>
          <w:tcPr>
            <w:tcW w:w="218" w:type="pct"/>
            <w:gridSpan w:val="2"/>
            <w:shd w:val="clear" w:color="auto" w:fill="auto"/>
            <w:tcMar>
              <w:left w:w="17" w:type="dxa"/>
              <w:right w:w="17" w:type="dxa"/>
            </w:tcMar>
            <w:vAlign w:val="center"/>
          </w:tcPr>
          <w:p w14:paraId="6BDC40C3" w14:textId="77777777" w:rsidR="001C56BD" w:rsidRPr="00F92667" w:rsidRDefault="001C56BD" w:rsidP="008A5C11">
            <w:pPr>
              <w:jc w:val="center"/>
              <w:rPr>
                <w:bCs/>
                <w:sz w:val="12"/>
                <w:szCs w:val="12"/>
              </w:rPr>
            </w:pPr>
            <w:r w:rsidRPr="00F92667">
              <w:rPr>
                <w:bCs/>
                <w:sz w:val="12"/>
                <w:szCs w:val="12"/>
              </w:rPr>
              <w:t>14</w:t>
            </w:r>
          </w:p>
        </w:tc>
        <w:tc>
          <w:tcPr>
            <w:tcW w:w="217" w:type="pct"/>
            <w:gridSpan w:val="2"/>
            <w:shd w:val="clear" w:color="auto" w:fill="auto"/>
            <w:tcMar>
              <w:left w:w="17" w:type="dxa"/>
              <w:right w:w="17" w:type="dxa"/>
            </w:tcMar>
            <w:vAlign w:val="center"/>
          </w:tcPr>
          <w:p w14:paraId="7BAD6675" w14:textId="77777777" w:rsidR="001C56BD" w:rsidRPr="00F92667" w:rsidRDefault="001C56BD" w:rsidP="008A5C11">
            <w:pPr>
              <w:jc w:val="center"/>
              <w:rPr>
                <w:bCs/>
                <w:sz w:val="12"/>
                <w:szCs w:val="12"/>
              </w:rPr>
            </w:pPr>
            <w:r w:rsidRPr="00F92667">
              <w:rPr>
                <w:bCs/>
                <w:sz w:val="12"/>
                <w:szCs w:val="12"/>
              </w:rPr>
              <w:t>15</w:t>
            </w:r>
          </w:p>
        </w:tc>
        <w:tc>
          <w:tcPr>
            <w:tcW w:w="206" w:type="pct"/>
            <w:gridSpan w:val="2"/>
            <w:tcMar>
              <w:left w:w="17" w:type="dxa"/>
              <w:right w:w="17" w:type="dxa"/>
            </w:tcMar>
            <w:vAlign w:val="center"/>
          </w:tcPr>
          <w:p w14:paraId="46408CD1" w14:textId="77777777" w:rsidR="001C56BD" w:rsidRPr="00F92667" w:rsidRDefault="001C56BD" w:rsidP="008A5C11">
            <w:pPr>
              <w:jc w:val="center"/>
              <w:rPr>
                <w:bCs/>
                <w:sz w:val="12"/>
                <w:szCs w:val="12"/>
              </w:rPr>
            </w:pPr>
            <w:r w:rsidRPr="00F92667">
              <w:rPr>
                <w:bCs/>
                <w:sz w:val="12"/>
                <w:szCs w:val="12"/>
              </w:rPr>
              <w:t>16</w:t>
            </w:r>
          </w:p>
        </w:tc>
        <w:tc>
          <w:tcPr>
            <w:tcW w:w="217" w:type="pct"/>
            <w:gridSpan w:val="2"/>
            <w:tcMar>
              <w:left w:w="17" w:type="dxa"/>
              <w:right w:w="17" w:type="dxa"/>
            </w:tcMar>
            <w:vAlign w:val="center"/>
          </w:tcPr>
          <w:p w14:paraId="35670093" w14:textId="77777777" w:rsidR="001C56BD" w:rsidRPr="00F92667" w:rsidRDefault="001C56BD" w:rsidP="008A5C11">
            <w:pPr>
              <w:jc w:val="center"/>
              <w:rPr>
                <w:bCs/>
                <w:sz w:val="12"/>
                <w:szCs w:val="12"/>
              </w:rPr>
            </w:pPr>
            <w:r w:rsidRPr="00F92667">
              <w:rPr>
                <w:bCs/>
                <w:sz w:val="12"/>
                <w:szCs w:val="12"/>
              </w:rPr>
              <w:t>17</w:t>
            </w:r>
          </w:p>
        </w:tc>
        <w:tc>
          <w:tcPr>
            <w:tcW w:w="214" w:type="pct"/>
            <w:gridSpan w:val="2"/>
            <w:tcMar>
              <w:left w:w="17" w:type="dxa"/>
              <w:right w:w="17" w:type="dxa"/>
            </w:tcMar>
            <w:vAlign w:val="center"/>
          </w:tcPr>
          <w:p w14:paraId="4B8DC84A" w14:textId="77777777" w:rsidR="001C56BD" w:rsidRPr="00F92667" w:rsidRDefault="001C56BD" w:rsidP="008A5C11">
            <w:pPr>
              <w:jc w:val="center"/>
              <w:rPr>
                <w:bCs/>
                <w:sz w:val="12"/>
                <w:szCs w:val="12"/>
              </w:rPr>
            </w:pPr>
            <w:r w:rsidRPr="00F92667">
              <w:rPr>
                <w:bCs/>
                <w:sz w:val="12"/>
                <w:szCs w:val="12"/>
              </w:rPr>
              <w:t>18</w:t>
            </w:r>
          </w:p>
        </w:tc>
        <w:tc>
          <w:tcPr>
            <w:tcW w:w="217" w:type="pct"/>
            <w:gridSpan w:val="2"/>
            <w:tcMar>
              <w:left w:w="17" w:type="dxa"/>
              <w:right w:w="17" w:type="dxa"/>
            </w:tcMar>
            <w:vAlign w:val="center"/>
          </w:tcPr>
          <w:p w14:paraId="1949A443" w14:textId="77777777" w:rsidR="001C56BD" w:rsidRPr="00F92667" w:rsidRDefault="001C56BD" w:rsidP="008A5C11">
            <w:pPr>
              <w:jc w:val="center"/>
              <w:rPr>
                <w:bCs/>
                <w:sz w:val="12"/>
                <w:szCs w:val="12"/>
              </w:rPr>
            </w:pPr>
            <w:r w:rsidRPr="00F92667">
              <w:rPr>
                <w:bCs/>
                <w:sz w:val="12"/>
                <w:szCs w:val="12"/>
              </w:rPr>
              <w:t>19</w:t>
            </w:r>
          </w:p>
        </w:tc>
        <w:tc>
          <w:tcPr>
            <w:tcW w:w="217" w:type="pct"/>
            <w:gridSpan w:val="2"/>
            <w:tcMar>
              <w:left w:w="17" w:type="dxa"/>
              <w:right w:w="17" w:type="dxa"/>
            </w:tcMar>
            <w:vAlign w:val="center"/>
          </w:tcPr>
          <w:p w14:paraId="392F6EF7" w14:textId="77777777" w:rsidR="001C56BD" w:rsidRPr="00F92667" w:rsidRDefault="001C56BD" w:rsidP="008A5C11">
            <w:pPr>
              <w:jc w:val="center"/>
              <w:rPr>
                <w:bCs/>
                <w:sz w:val="12"/>
                <w:szCs w:val="12"/>
              </w:rPr>
            </w:pPr>
            <w:r w:rsidRPr="00F92667">
              <w:rPr>
                <w:bCs/>
                <w:sz w:val="12"/>
                <w:szCs w:val="12"/>
              </w:rPr>
              <w:t>20</w:t>
            </w:r>
          </w:p>
        </w:tc>
        <w:tc>
          <w:tcPr>
            <w:tcW w:w="214" w:type="pct"/>
            <w:gridSpan w:val="2"/>
            <w:tcMar>
              <w:left w:w="17" w:type="dxa"/>
              <w:right w:w="17" w:type="dxa"/>
            </w:tcMar>
            <w:vAlign w:val="center"/>
          </w:tcPr>
          <w:p w14:paraId="6BC0BE4A" w14:textId="77777777" w:rsidR="001C56BD" w:rsidRPr="00F92667" w:rsidRDefault="001C56BD" w:rsidP="008A5C11">
            <w:pPr>
              <w:jc w:val="center"/>
              <w:rPr>
                <w:bCs/>
                <w:sz w:val="12"/>
                <w:szCs w:val="12"/>
              </w:rPr>
            </w:pPr>
            <w:r w:rsidRPr="00F92667">
              <w:rPr>
                <w:bCs/>
                <w:sz w:val="12"/>
                <w:szCs w:val="12"/>
              </w:rPr>
              <w:t>21</w:t>
            </w:r>
          </w:p>
        </w:tc>
        <w:tc>
          <w:tcPr>
            <w:tcW w:w="247" w:type="pct"/>
            <w:gridSpan w:val="2"/>
            <w:tcMar>
              <w:left w:w="17" w:type="dxa"/>
              <w:right w:w="17" w:type="dxa"/>
            </w:tcMar>
            <w:vAlign w:val="center"/>
          </w:tcPr>
          <w:p w14:paraId="5C50FE70" w14:textId="77777777" w:rsidR="001C56BD" w:rsidRPr="00F92667" w:rsidRDefault="001C56BD" w:rsidP="008A5C11">
            <w:pPr>
              <w:jc w:val="center"/>
              <w:rPr>
                <w:bCs/>
                <w:sz w:val="12"/>
                <w:szCs w:val="12"/>
              </w:rPr>
            </w:pPr>
            <w:r w:rsidRPr="00F92667">
              <w:rPr>
                <w:bCs/>
                <w:sz w:val="12"/>
                <w:szCs w:val="12"/>
              </w:rPr>
              <w:t>22</w:t>
            </w:r>
          </w:p>
        </w:tc>
        <w:tc>
          <w:tcPr>
            <w:tcW w:w="173" w:type="pct"/>
            <w:tcMar>
              <w:left w:w="17" w:type="dxa"/>
              <w:right w:w="17" w:type="dxa"/>
            </w:tcMar>
            <w:vAlign w:val="center"/>
          </w:tcPr>
          <w:p w14:paraId="2A3DFBB6" w14:textId="77777777" w:rsidR="001C56BD" w:rsidRPr="00F92667" w:rsidRDefault="001C56BD" w:rsidP="008A5C11">
            <w:pPr>
              <w:jc w:val="center"/>
              <w:rPr>
                <w:bCs/>
                <w:sz w:val="12"/>
                <w:szCs w:val="12"/>
              </w:rPr>
            </w:pPr>
            <w:r w:rsidRPr="00F92667">
              <w:rPr>
                <w:bCs/>
                <w:sz w:val="12"/>
                <w:szCs w:val="12"/>
              </w:rPr>
              <w:t>23</w:t>
            </w:r>
          </w:p>
        </w:tc>
        <w:tc>
          <w:tcPr>
            <w:tcW w:w="169" w:type="pct"/>
            <w:tcMar>
              <w:left w:w="17" w:type="dxa"/>
              <w:right w:w="17" w:type="dxa"/>
            </w:tcMar>
            <w:vAlign w:val="center"/>
          </w:tcPr>
          <w:p w14:paraId="26EE339C" w14:textId="77777777" w:rsidR="001C56BD" w:rsidRPr="00F92667" w:rsidRDefault="001C56BD" w:rsidP="008A5C11">
            <w:pPr>
              <w:jc w:val="center"/>
              <w:rPr>
                <w:bCs/>
                <w:sz w:val="12"/>
                <w:szCs w:val="12"/>
              </w:rPr>
            </w:pPr>
            <w:r w:rsidRPr="00F92667">
              <w:rPr>
                <w:bCs/>
                <w:sz w:val="12"/>
                <w:szCs w:val="12"/>
              </w:rPr>
              <w:t>24</w:t>
            </w:r>
          </w:p>
        </w:tc>
      </w:tr>
      <w:tr w:rsidR="001C56BD" w:rsidRPr="00F92667" w14:paraId="0794CA6A" w14:textId="77777777" w:rsidTr="008A5C11">
        <w:trPr>
          <w:gridBefore w:val="1"/>
          <w:wBefore w:w="3" w:type="pct"/>
          <w:trHeight w:val="897"/>
        </w:trPr>
        <w:tc>
          <w:tcPr>
            <w:tcW w:w="129" w:type="pct"/>
            <w:shd w:val="clear" w:color="auto" w:fill="auto"/>
            <w:tcMar>
              <w:left w:w="17" w:type="dxa"/>
              <w:right w:w="17" w:type="dxa"/>
            </w:tcMar>
            <w:vAlign w:val="center"/>
          </w:tcPr>
          <w:p w14:paraId="4EA17225" w14:textId="77777777" w:rsidR="001C56BD" w:rsidRPr="00F92667" w:rsidRDefault="001C56BD" w:rsidP="008A5C11">
            <w:pPr>
              <w:jc w:val="center"/>
              <w:rPr>
                <w:sz w:val="12"/>
                <w:szCs w:val="12"/>
              </w:rPr>
            </w:pPr>
            <w:r w:rsidRPr="00F92667">
              <w:rPr>
                <w:sz w:val="12"/>
                <w:szCs w:val="12"/>
              </w:rPr>
              <w:t>3.1.26.</w:t>
            </w:r>
          </w:p>
        </w:tc>
        <w:tc>
          <w:tcPr>
            <w:tcW w:w="305" w:type="pct"/>
            <w:shd w:val="clear" w:color="auto" w:fill="auto"/>
            <w:tcMar>
              <w:left w:w="17" w:type="dxa"/>
              <w:right w:w="17" w:type="dxa"/>
            </w:tcMar>
            <w:vAlign w:val="center"/>
          </w:tcPr>
          <w:p w14:paraId="22A4D461" w14:textId="77777777" w:rsidR="001C56BD" w:rsidRPr="00F92667" w:rsidRDefault="001C56BD" w:rsidP="008A5C11">
            <w:pPr>
              <w:rPr>
                <w:sz w:val="12"/>
                <w:szCs w:val="12"/>
              </w:rPr>
            </w:pPr>
            <w:r w:rsidRPr="00F92667">
              <w:rPr>
                <w:color w:val="000000"/>
                <w:sz w:val="12"/>
                <w:szCs w:val="12"/>
              </w:rPr>
              <w:t>Реконструкция тепловой сети с реестровым номером</w:t>
            </w:r>
            <w:r w:rsidRPr="00F92667">
              <w:rPr>
                <w:sz w:val="12"/>
                <w:szCs w:val="12"/>
              </w:rPr>
              <w:t xml:space="preserve"> 777274</w:t>
            </w:r>
          </w:p>
        </w:tc>
        <w:tc>
          <w:tcPr>
            <w:tcW w:w="304" w:type="pct"/>
            <w:shd w:val="clear" w:color="000000" w:fill="FFFFFF"/>
            <w:tcMar>
              <w:left w:w="17" w:type="dxa"/>
              <w:right w:w="17" w:type="dxa"/>
            </w:tcMar>
            <w:vAlign w:val="center"/>
          </w:tcPr>
          <w:p w14:paraId="28744609" w14:textId="77777777" w:rsidR="001C56BD" w:rsidRPr="00F92667" w:rsidRDefault="001C56BD" w:rsidP="008A5C11">
            <w:pPr>
              <w:jc w:val="center"/>
              <w:rPr>
                <w:sz w:val="12"/>
                <w:szCs w:val="12"/>
              </w:rPr>
            </w:pPr>
            <w:r w:rsidRPr="00F92667">
              <w:rPr>
                <w:color w:val="000000"/>
                <w:sz w:val="12"/>
                <w:szCs w:val="12"/>
              </w:rPr>
              <w:t>Повышение надежности услуг теплоснабжения, повышение энергетической эффективности</w:t>
            </w:r>
          </w:p>
        </w:tc>
        <w:tc>
          <w:tcPr>
            <w:tcW w:w="258" w:type="pct"/>
            <w:shd w:val="clear" w:color="auto" w:fill="auto"/>
            <w:tcMar>
              <w:left w:w="17" w:type="dxa"/>
              <w:right w:w="17" w:type="dxa"/>
            </w:tcMar>
            <w:vAlign w:val="center"/>
          </w:tcPr>
          <w:p w14:paraId="0FAF94F9" w14:textId="77777777" w:rsidR="001C56BD" w:rsidRPr="00F92667" w:rsidRDefault="001C56BD" w:rsidP="008A5C11">
            <w:pPr>
              <w:jc w:val="center"/>
              <w:rPr>
                <w:sz w:val="12"/>
                <w:szCs w:val="12"/>
              </w:rPr>
            </w:pPr>
            <w:r w:rsidRPr="00F92667">
              <w:rPr>
                <w:sz w:val="12"/>
                <w:szCs w:val="12"/>
              </w:rPr>
              <w:t xml:space="preserve">Кемеровский городской округ, Заводский район, квартал №3, в границах ул. Веры Волошиной, ул. Ульяны Громовой, </w:t>
            </w:r>
            <w:r w:rsidRPr="00F92667">
              <w:rPr>
                <w:sz w:val="12"/>
                <w:szCs w:val="12"/>
              </w:rPr>
              <w:br/>
              <w:t>ул. Патриотов, ул. Сергея Тюленина</w:t>
            </w:r>
          </w:p>
        </w:tc>
        <w:tc>
          <w:tcPr>
            <w:tcW w:w="294" w:type="pct"/>
            <w:shd w:val="clear" w:color="auto" w:fill="auto"/>
            <w:tcMar>
              <w:left w:w="17" w:type="dxa"/>
              <w:right w:w="17" w:type="dxa"/>
            </w:tcMar>
            <w:vAlign w:val="center"/>
          </w:tcPr>
          <w:p w14:paraId="5DF2D5CB" w14:textId="77777777" w:rsidR="001C56BD" w:rsidRPr="00F92667" w:rsidRDefault="001C56BD" w:rsidP="008A5C11">
            <w:pPr>
              <w:jc w:val="center"/>
              <w:rPr>
                <w:sz w:val="12"/>
                <w:szCs w:val="12"/>
              </w:rPr>
            </w:pPr>
            <w:r w:rsidRPr="00F92667">
              <w:rPr>
                <w:color w:val="000000"/>
                <w:sz w:val="12"/>
                <w:szCs w:val="12"/>
              </w:rPr>
              <w:t>Технические характеристики</w:t>
            </w:r>
          </w:p>
        </w:tc>
        <w:tc>
          <w:tcPr>
            <w:tcW w:w="129" w:type="pct"/>
            <w:shd w:val="clear" w:color="auto" w:fill="auto"/>
            <w:tcMar>
              <w:left w:w="17" w:type="dxa"/>
              <w:right w:w="17" w:type="dxa"/>
            </w:tcMar>
            <w:vAlign w:val="center"/>
          </w:tcPr>
          <w:p w14:paraId="4800B592" w14:textId="77777777" w:rsidR="001C56BD" w:rsidRPr="00F92667" w:rsidRDefault="001C56BD" w:rsidP="008A5C11">
            <w:pPr>
              <w:jc w:val="center"/>
              <w:rPr>
                <w:color w:val="000000"/>
                <w:sz w:val="12"/>
                <w:szCs w:val="12"/>
              </w:rPr>
            </w:pPr>
          </w:p>
        </w:tc>
        <w:tc>
          <w:tcPr>
            <w:tcW w:w="184" w:type="pct"/>
            <w:shd w:val="clear" w:color="auto" w:fill="auto"/>
            <w:tcMar>
              <w:left w:w="17" w:type="dxa"/>
              <w:right w:w="17" w:type="dxa"/>
            </w:tcMar>
            <w:vAlign w:val="center"/>
          </w:tcPr>
          <w:p w14:paraId="5E42804C" w14:textId="77777777" w:rsidR="001C56BD" w:rsidRPr="00F92667" w:rsidRDefault="001C56BD" w:rsidP="008A5C11">
            <w:pPr>
              <w:jc w:val="center"/>
              <w:rPr>
                <w:sz w:val="12"/>
                <w:szCs w:val="12"/>
              </w:rPr>
            </w:pPr>
            <w:r w:rsidRPr="00F92667">
              <w:rPr>
                <w:sz w:val="12"/>
                <w:szCs w:val="12"/>
              </w:rPr>
              <w:t xml:space="preserve">Канал-кирпич, опоры-хомутовые </w:t>
            </w:r>
            <w:proofErr w:type="gramStart"/>
            <w:r w:rsidRPr="00F92667">
              <w:rPr>
                <w:sz w:val="12"/>
                <w:szCs w:val="12"/>
              </w:rPr>
              <w:t>привар-ные</w:t>
            </w:r>
            <w:proofErr w:type="gramEnd"/>
            <w:r w:rsidRPr="00F92667">
              <w:rPr>
                <w:sz w:val="12"/>
                <w:szCs w:val="12"/>
              </w:rPr>
              <w:t xml:space="preserve">, запорная арматура - стальная клиновая, антикоррозийная защита-лак БТ, труба-сталь 20, изоляция - мин. маты </w:t>
            </w:r>
          </w:p>
        </w:tc>
        <w:tc>
          <w:tcPr>
            <w:tcW w:w="219" w:type="pct"/>
            <w:shd w:val="clear" w:color="auto" w:fill="auto"/>
            <w:tcMar>
              <w:left w:w="17" w:type="dxa"/>
              <w:right w:w="17" w:type="dxa"/>
            </w:tcMar>
            <w:vAlign w:val="center"/>
          </w:tcPr>
          <w:p w14:paraId="3840D0C8" w14:textId="77777777" w:rsidR="001C56BD" w:rsidRPr="00F92667" w:rsidRDefault="001C56BD" w:rsidP="008A5C11">
            <w:pPr>
              <w:jc w:val="center"/>
              <w:rPr>
                <w:sz w:val="12"/>
                <w:szCs w:val="12"/>
              </w:rPr>
            </w:pPr>
            <w:r w:rsidRPr="00F92667">
              <w:rPr>
                <w:sz w:val="12"/>
                <w:szCs w:val="12"/>
              </w:rPr>
              <w:t xml:space="preserve">Канал-ж/б лотки, опоры-хомутовые с диэлектрической прокладкой, запорная арматура - кран шаровый, антикоррозийная защита-мастика Вектор 1214, 1025, труба-сталь 09Г2С, изоляция - маты прошивные, </w:t>
            </w:r>
            <w:proofErr w:type="gramStart"/>
            <w:r w:rsidRPr="00F92667">
              <w:rPr>
                <w:sz w:val="12"/>
                <w:szCs w:val="12"/>
              </w:rPr>
              <w:t>стеклоплас-тик</w:t>
            </w:r>
            <w:proofErr w:type="gramEnd"/>
            <w:r w:rsidRPr="00F92667">
              <w:rPr>
                <w:sz w:val="12"/>
                <w:szCs w:val="12"/>
              </w:rPr>
              <w:t xml:space="preserve">  </w:t>
            </w:r>
          </w:p>
        </w:tc>
        <w:tc>
          <w:tcPr>
            <w:tcW w:w="130" w:type="pct"/>
            <w:shd w:val="clear" w:color="auto" w:fill="auto"/>
            <w:tcMar>
              <w:left w:w="17" w:type="dxa"/>
              <w:right w:w="17" w:type="dxa"/>
            </w:tcMar>
            <w:vAlign w:val="center"/>
          </w:tcPr>
          <w:p w14:paraId="29965516" w14:textId="77777777" w:rsidR="001C56BD" w:rsidRPr="00F92667" w:rsidRDefault="001C56BD" w:rsidP="008A5C11">
            <w:pPr>
              <w:jc w:val="center"/>
              <w:rPr>
                <w:sz w:val="12"/>
                <w:szCs w:val="12"/>
              </w:rPr>
            </w:pPr>
            <w:r w:rsidRPr="00F92667">
              <w:rPr>
                <w:sz w:val="12"/>
                <w:szCs w:val="12"/>
              </w:rPr>
              <w:t>2029</w:t>
            </w:r>
          </w:p>
        </w:tc>
        <w:tc>
          <w:tcPr>
            <w:tcW w:w="130" w:type="pct"/>
            <w:shd w:val="clear" w:color="auto" w:fill="auto"/>
            <w:tcMar>
              <w:left w:w="17" w:type="dxa"/>
              <w:right w:w="17" w:type="dxa"/>
            </w:tcMar>
            <w:vAlign w:val="center"/>
          </w:tcPr>
          <w:p w14:paraId="074AEAF6" w14:textId="77777777" w:rsidR="001C56BD" w:rsidRPr="00F92667" w:rsidRDefault="001C56BD" w:rsidP="008A5C11">
            <w:pPr>
              <w:jc w:val="center"/>
              <w:rPr>
                <w:sz w:val="12"/>
                <w:szCs w:val="12"/>
              </w:rPr>
            </w:pPr>
            <w:r w:rsidRPr="00F92667">
              <w:rPr>
                <w:sz w:val="12"/>
                <w:szCs w:val="12"/>
              </w:rPr>
              <w:t>2030</w:t>
            </w:r>
          </w:p>
        </w:tc>
        <w:tc>
          <w:tcPr>
            <w:tcW w:w="217" w:type="pct"/>
            <w:gridSpan w:val="2"/>
            <w:shd w:val="clear" w:color="auto" w:fill="auto"/>
            <w:tcMar>
              <w:left w:w="17" w:type="dxa"/>
              <w:right w:w="17" w:type="dxa"/>
            </w:tcMar>
            <w:vAlign w:val="center"/>
          </w:tcPr>
          <w:p w14:paraId="60249B29" w14:textId="77777777" w:rsidR="001C56BD" w:rsidRPr="00F92667" w:rsidRDefault="001C56BD" w:rsidP="008A5C11">
            <w:pPr>
              <w:jc w:val="center"/>
              <w:rPr>
                <w:sz w:val="12"/>
                <w:szCs w:val="12"/>
              </w:rPr>
            </w:pPr>
            <w:r w:rsidRPr="00F92667">
              <w:rPr>
                <w:sz w:val="12"/>
                <w:szCs w:val="12"/>
              </w:rPr>
              <w:t>19121,556</w:t>
            </w:r>
          </w:p>
        </w:tc>
        <w:tc>
          <w:tcPr>
            <w:tcW w:w="177" w:type="pct"/>
            <w:gridSpan w:val="2"/>
            <w:shd w:val="clear" w:color="auto" w:fill="auto"/>
            <w:tcMar>
              <w:left w:w="17" w:type="dxa"/>
              <w:right w:w="17" w:type="dxa"/>
            </w:tcMar>
            <w:vAlign w:val="center"/>
          </w:tcPr>
          <w:p w14:paraId="77614BC8" w14:textId="77777777" w:rsidR="001C56BD" w:rsidRPr="00F92667" w:rsidRDefault="001C56BD" w:rsidP="008A5C11">
            <w:pPr>
              <w:jc w:val="center"/>
              <w:rPr>
                <w:sz w:val="12"/>
                <w:szCs w:val="12"/>
              </w:rPr>
            </w:pPr>
            <w:r w:rsidRPr="00F92667">
              <w:rPr>
                <w:sz w:val="12"/>
                <w:szCs w:val="12"/>
              </w:rPr>
              <w:t>0,000</w:t>
            </w:r>
          </w:p>
        </w:tc>
        <w:tc>
          <w:tcPr>
            <w:tcW w:w="212" w:type="pct"/>
            <w:shd w:val="clear" w:color="auto" w:fill="auto"/>
            <w:tcMar>
              <w:left w:w="17" w:type="dxa"/>
              <w:right w:w="17" w:type="dxa"/>
            </w:tcMar>
            <w:vAlign w:val="center"/>
          </w:tcPr>
          <w:p w14:paraId="6AA53A54" w14:textId="77777777" w:rsidR="001C56BD" w:rsidRPr="00F92667" w:rsidRDefault="001C56BD" w:rsidP="008A5C11">
            <w:pPr>
              <w:jc w:val="center"/>
              <w:rPr>
                <w:sz w:val="12"/>
                <w:szCs w:val="12"/>
              </w:rPr>
            </w:pPr>
            <w:r w:rsidRPr="00F92667">
              <w:rPr>
                <w:sz w:val="12"/>
                <w:szCs w:val="12"/>
              </w:rPr>
              <w:t>0,000</w:t>
            </w:r>
          </w:p>
        </w:tc>
        <w:tc>
          <w:tcPr>
            <w:tcW w:w="218" w:type="pct"/>
            <w:gridSpan w:val="2"/>
            <w:shd w:val="clear" w:color="auto" w:fill="auto"/>
            <w:tcMar>
              <w:left w:w="17" w:type="dxa"/>
              <w:right w:w="17" w:type="dxa"/>
            </w:tcMar>
            <w:vAlign w:val="center"/>
          </w:tcPr>
          <w:p w14:paraId="5FBBA053"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3C027B00" w14:textId="77777777" w:rsidR="001C56BD" w:rsidRPr="00F92667" w:rsidRDefault="001C56BD" w:rsidP="008A5C11">
            <w:pPr>
              <w:jc w:val="center"/>
              <w:rPr>
                <w:sz w:val="12"/>
                <w:szCs w:val="12"/>
              </w:rPr>
            </w:pPr>
            <w:r w:rsidRPr="00F92667">
              <w:rPr>
                <w:sz w:val="12"/>
                <w:szCs w:val="12"/>
              </w:rPr>
              <w:t>0,000</w:t>
            </w:r>
          </w:p>
        </w:tc>
        <w:tc>
          <w:tcPr>
            <w:tcW w:w="206" w:type="pct"/>
            <w:gridSpan w:val="2"/>
            <w:shd w:val="clear" w:color="auto" w:fill="auto"/>
            <w:tcMar>
              <w:left w:w="17" w:type="dxa"/>
              <w:right w:w="17" w:type="dxa"/>
            </w:tcMar>
            <w:vAlign w:val="center"/>
          </w:tcPr>
          <w:p w14:paraId="46358997"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0EEC307D" w14:textId="77777777" w:rsidR="001C56BD" w:rsidRPr="00F92667" w:rsidRDefault="001C56BD" w:rsidP="008A5C11">
            <w:pPr>
              <w:jc w:val="center"/>
              <w:rPr>
                <w:sz w:val="12"/>
                <w:szCs w:val="12"/>
              </w:rPr>
            </w:pPr>
            <w:r w:rsidRPr="00F92667">
              <w:rPr>
                <w:sz w:val="12"/>
                <w:szCs w:val="12"/>
              </w:rPr>
              <w:t>0,000</w:t>
            </w:r>
          </w:p>
        </w:tc>
        <w:tc>
          <w:tcPr>
            <w:tcW w:w="214" w:type="pct"/>
            <w:gridSpan w:val="2"/>
            <w:shd w:val="clear" w:color="auto" w:fill="auto"/>
            <w:tcMar>
              <w:left w:w="17" w:type="dxa"/>
              <w:right w:w="17" w:type="dxa"/>
            </w:tcMar>
            <w:vAlign w:val="center"/>
          </w:tcPr>
          <w:p w14:paraId="160CDB98"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065101D5"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6CBFF0EA" w14:textId="77777777" w:rsidR="001C56BD" w:rsidRPr="00F92667" w:rsidRDefault="001C56BD" w:rsidP="008A5C11">
            <w:pPr>
              <w:jc w:val="center"/>
              <w:rPr>
                <w:sz w:val="12"/>
                <w:szCs w:val="12"/>
              </w:rPr>
            </w:pPr>
            <w:r w:rsidRPr="00F92667">
              <w:rPr>
                <w:sz w:val="12"/>
                <w:szCs w:val="12"/>
              </w:rPr>
              <w:t>11073,432</w:t>
            </w:r>
          </w:p>
        </w:tc>
        <w:tc>
          <w:tcPr>
            <w:tcW w:w="214" w:type="pct"/>
            <w:gridSpan w:val="2"/>
            <w:shd w:val="clear" w:color="auto" w:fill="auto"/>
            <w:tcMar>
              <w:left w:w="17" w:type="dxa"/>
              <w:right w:w="17" w:type="dxa"/>
            </w:tcMar>
            <w:vAlign w:val="center"/>
          </w:tcPr>
          <w:p w14:paraId="1A8A251D" w14:textId="77777777" w:rsidR="001C56BD" w:rsidRPr="00F92667" w:rsidRDefault="001C56BD" w:rsidP="008A5C11">
            <w:pPr>
              <w:jc w:val="center"/>
              <w:rPr>
                <w:sz w:val="12"/>
                <w:szCs w:val="12"/>
              </w:rPr>
            </w:pPr>
            <w:r w:rsidRPr="00F92667">
              <w:rPr>
                <w:sz w:val="12"/>
                <w:szCs w:val="12"/>
              </w:rPr>
              <w:t>8048,124</w:t>
            </w:r>
          </w:p>
        </w:tc>
        <w:tc>
          <w:tcPr>
            <w:tcW w:w="247" w:type="pct"/>
            <w:gridSpan w:val="2"/>
            <w:shd w:val="clear" w:color="auto" w:fill="auto"/>
            <w:tcMar>
              <w:left w:w="17" w:type="dxa"/>
              <w:right w:w="17" w:type="dxa"/>
            </w:tcMar>
            <w:vAlign w:val="center"/>
          </w:tcPr>
          <w:p w14:paraId="40BE96C9" w14:textId="77777777" w:rsidR="001C56BD" w:rsidRPr="00F92667" w:rsidRDefault="001C56BD" w:rsidP="008A5C11">
            <w:pPr>
              <w:jc w:val="center"/>
              <w:rPr>
                <w:sz w:val="12"/>
                <w:szCs w:val="12"/>
              </w:rPr>
            </w:pPr>
            <w:r w:rsidRPr="00F92667">
              <w:rPr>
                <w:sz w:val="12"/>
                <w:szCs w:val="12"/>
              </w:rPr>
              <w:t>0,000</w:t>
            </w:r>
          </w:p>
        </w:tc>
        <w:tc>
          <w:tcPr>
            <w:tcW w:w="173" w:type="pct"/>
            <w:shd w:val="clear" w:color="auto" w:fill="auto"/>
            <w:tcMar>
              <w:left w:w="17" w:type="dxa"/>
              <w:right w:w="17" w:type="dxa"/>
            </w:tcMar>
            <w:vAlign w:val="center"/>
          </w:tcPr>
          <w:p w14:paraId="6AAB8145" w14:textId="77777777" w:rsidR="001C56BD" w:rsidRPr="00F92667" w:rsidRDefault="001C56BD" w:rsidP="008A5C11">
            <w:pPr>
              <w:jc w:val="center"/>
              <w:rPr>
                <w:sz w:val="12"/>
                <w:szCs w:val="12"/>
              </w:rPr>
            </w:pPr>
            <w:r w:rsidRPr="00F92667">
              <w:rPr>
                <w:sz w:val="12"/>
                <w:szCs w:val="12"/>
              </w:rPr>
              <w:t>0,000</w:t>
            </w:r>
          </w:p>
        </w:tc>
        <w:tc>
          <w:tcPr>
            <w:tcW w:w="169" w:type="pct"/>
            <w:shd w:val="clear" w:color="auto" w:fill="auto"/>
            <w:tcMar>
              <w:left w:w="17" w:type="dxa"/>
              <w:right w:w="17" w:type="dxa"/>
            </w:tcMar>
            <w:vAlign w:val="center"/>
          </w:tcPr>
          <w:p w14:paraId="508B359E" w14:textId="77777777" w:rsidR="001C56BD" w:rsidRPr="00F92667" w:rsidRDefault="001C56BD" w:rsidP="008A5C11">
            <w:pPr>
              <w:jc w:val="center"/>
              <w:rPr>
                <w:sz w:val="12"/>
                <w:szCs w:val="12"/>
              </w:rPr>
            </w:pPr>
            <w:r w:rsidRPr="00F92667">
              <w:rPr>
                <w:sz w:val="12"/>
                <w:szCs w:val="12"/>
              </w:rPr>
              <w:t>0,000</w:t>
            </w:r>
          </w:p>
        </w:tc>
      </w:tr>
      <w:tr w:rsidR="001C56BD" w:rsidRPr="00F92667" w14:paraId="5B3CDF10" w14:textId="77777777" w:rsidTr="008A5C11">
        <w:trPr>
          <w:gridBefore w:val="1"/>
          <w:wBefore w:w="3" w:type="pct"/>
          <w:trHeight w:val="897"/>
        </w:trPr>
        <w:tc>
          <w:tcPr>
            <w:tcW w:w="129" w:type="pct"/>
            <w:shd w:val="clear" w:color="auto" w:fill="auto"/>
            <w:tcMar>
              <w:left w:w="17" w:type="dxa"/>
              <w:right w:w="17" w:type="dxa"/>
            </w:tcMar>
            <w:vAlign w:val="center"/>
          </w:tcPr>
          <w:p w14:paraId="7225FA14" w14:textId="77777777" w:rsidR="001C56BD" w:rsidRPr="00F92667" w:rsidRDefault="001C56BD" w:rsidP="008A5C11">
            <w:pPr>
              <w:jc w:val="center"/>
              <w:rPr>
                <w:sz w:val="12"/>
                <w:szCs w:val="12"/>
              </w:rPr>
            </w:pPr>
            <w:r w:rsidRPr="00F92667">
              <w:rPr>
                <w:sz w:val="12"/>
                <w:szCs w:val="12"/>
              </w:rPr>
              <w:t>3.1.27.</w:t>
            </w:r>
          </w:p>
        </w:tc>
        <w:tc>
          <w:tcPr>
            <w:tcW w:w="305" w:type="pct"/>
            <w:shd w:val="clear" w:color="auto" w:fill="auto"/>
            <w:tcMar>
              <w:left w:w="17" w:type="dxa"/>
              <w:right w:w="17" w:type="dxa"/>
            </w:tcMar>
            <w:vAlign w:val="center"/>
          </w:tcPr>
          <w:p w14:paraId="35F7CC99" w14:textId="77777777" w:rsidR="001C56BD" w:rsidRPr="00F92667" w:rsidRDefault="001C56BD" w:rsidP="008A5C11">
            <w:pPr>
              <w:rPr>
                <w:sz w:val="12"/>
                <w:szCs w:val="12"/>
              </w:rPr>
            </w:pPr>
            <w:r w:rsidRPr="00F92667">
              <w:rPr>
                <w:color w:val="000000"/>
                <w:sz w:val="12"/>
                <w:szCs w:val="12"/>
              </w:rPr>
              <w:t>Реконструкция тепловой сети с реестровым номером</w:t>
            </w:r>
            <w:r w:rsidRPr="00F92667">
              <w:rPr>
                <w:sz w:val="12"/>
                <w:szCs w:val="12"/>
              </w:rPr>
              <w:t xml:space="preserve"> 777202</w:t>
            </w:r>
          </w:p>
        </w:tc>
        <w:tc>
          <w:tcPr>
            <w:tcW w:w="304" w:type="pct"/>
            <w:shd w:val="clear" w:color="000000" w:fill="FFFFFF"/>
            <w:tcMar>
              <w:left w:w="17" w:type="dxa"/>
              <w:right w:w="17" w:type="dxa"/>
            </w:tcMar>
            <w:vAlign w:val="center"/>
          </w:tcPr>
          <w:p w14:paraId="7E70E2D1" w14:textId="77777777" w:rsidR="001C56BD" w:rsidRPr="00F92667" w:rsidRDefault="001C56BD" w:rsidP="008A5C11">
            <w:pPr>
              <w:jc w:val="center"/>
              <w:rPr>
                <w:sz w:val="12"/>
                <w:szCs w:val="12"/>
              </w:rPr>
            </w:pPr>
            <w:r w:rsidRPr="00F92667">
              <w:rPr>
                <w:color w:val="000000"/>
                <w:sz w:val="12"/>
                <w:szCs w:val="12"/>
              </w:rPr>
              <w:t>Повышение надежности услуг теплоснабжения, повышение энергетической эффективности</w:t>
            </w:r>
          </w:p>
        </w:tc>
        <w:tc>
          <w:tcPr>
            <w:tcW w:w="258" w:type="pct"/>
            <w:shd w:val="clear" w:color="auto" w:fill="auto"/>
            <w:tcMar>
              <w:left w:w="17" w:type="dxa"/>
              <w:right w:w="17" w:type="dxa"/>
            </w:tcMar>
            <w:vAlign w:val="center"/>
          </w:tcPr>
          <w:p w14:paraId="4BBA78F1" w14:textId="77777777" w:rsidR="001C56BD" w:rsidRPr="00F92667" w:rsidRDefault="001C56BD" w:rsidP="008A5C11">
            <w:pPr>
              <w:jc w:val="center"/>
              <w:rPr>
                <w:sz w:val="12"/>
                <w:szCs w:val="12"/>
              </w:rPr>
            </w:pPr>
            <w:r w:rsidRPr="00F92667">
              <w:rPr>
                <w:sz w:val="12"/>
                <w:szCs w:val="12"/>
              </w:rPr>
              <w:t>Кемеровский городской округ, Заводский район, квартал №7</w:t>
            </w:r>
            <w:r w:rsidRPr="00F92667">
              <w:rPr>
                <w:sz w:val="12"/>
                <w:szCs w:val="12"/>
              </w:rPr>
              <w:br/>
              <w:t xml:space="preserve"> (ул. Космическая, 14а)</w:t>
            </w:r>
          </w:p>
        </w:tc>
        <w:tc>
          <w:tcPr>
            <w:tcW w:w="294" w:type="pct"/>
            <w:shd w:val="clear" w:color="auto" w:fill="auto"/>
            <w:tcMar>
              <w:left w:w="17" w:type="dxa"/>
              <w:right w:w="17" w:type="dxa"/>
            </w:tcMar>
            <w:vAlign w:val="center"/>
          </w:tcPr>
          <w:p w14:paraId="4BBE89B2" w14:textId="77777777" w:rsidR="001C56BD" w:rsidRPr="00F92667" w:rsidRDefault="001C56BD" w:rsidP="008A5C11">
            <w:pPr>
              <w:jc w:val="center"/>
              <w:rPr>
                <w:sz w:val="12"/>
                <w:szCs w:val="12"/>
              </w:rPr>
            </w:pPr>
            <w:r w:rsidRPr="00F92667">
              <w:rPr>
                <w:color w:val="000000"/>
                <w:sz w:val="12"/>
                <w:szCs w:val="12"/>
              </w:rPr>
              <w:t>Технические характеристики</w:t>
            </w:r>
          </w:p>
        </w:tc>
        <w:tc>
          <w:tcPr>
            <w:tcW w:w="129" w:type="pct"/>
            <w:shd w:val="clear" w:color="auto" w:fill="auto"/>
            <w:tcMar>
              <w:left w:w="17" w:type="dxa"/>
              <w:right w:w="17" w:type="dxa"/>
            </w:tcMar>
            <w:vAlign w:val="center"/>
          </w:tcPr>
          <w:p w14:paraId="67B54AD4" w14:textId="77777777" w:rsidR="001C56BD" w:rsidRPr="00F92667" w:rsidRDefault="001C56BD" w:rsidP="008A5C11">
            <w:pPr>
              <w:jc w:val="center"/>
              <w:rPr>
                <w:color w:val="000000"/>
                <w:sz w:val="12"/>
                <w:szCs w:val="12"/>
              </w:rPr>
            </w:pPr>
          </w:p>
        </w:tc>
        <w:tc>
          <w:tcPr>
            <w:tcW w:w="184" w:type="pct"/>
            <w:shd w:val="clear" w:color="auto" w:fill="auto"/>
            <w:tcMar>
              <w:left w:w="17" w:type="dxa"/>
              <w:right w:w="17" w:type="dxa"/>
            </w:tcMar>
            <w:vAlign w:val="center"/>
          </w:tcPr>
          <w:p w14:paraId="310486B3" w14:textId="77777777" w:rsidR="001C56BD" w:rsidRPr="00F92667" w:rsidRDefault="001C56BD" w:rsidP="008A5C11">
            <w:pPr>
              <w:jc w:val="center"/>
              <w:rPr>
                <w:sz w:val="12"/>
                <w:szCs w:val="12"/>
              </w:rPr>
            </w:pPr>
            <w:r w:rsidRPr="00F92667">
              <w:rPr>
                <w:sz w:val="12"/>
                <w:szCs w:val="12"/>
              </w:rPr>
              <w:t xml:space="preserve">Канал-кирпич, опоры-хомутовые приварные, запорная арматура - стальная клиновая, антикоррозийная защита-лак БТ, труба-сталь 20, изоляция - мин. маты </w:t>
            </w:r>
          </w:p>
        </w:tc>
        <w:tc>
          <w:tcPr>
            <w:tcW w:w="219" w:type="pct"/>
            <w:shd w:val="clear" w:color="auto" w:fill="auto"/>
            <w:tcMar>
              <w:left w:w="17" w:type="dxa"/>
              <w:right w:w="17" w:type="dxa"/>
            </w:tcMar>
            <w:vAlign w:val="center"/>
          </w:tcPr>
          <w:p w14:paraId="15B05925" w14:textId="77777777" w:rsidR="001C56BD" w:rsidRPr="00F92667" w:rsidRDefault="001C56BD" w:rsidP="008A5C11">
            <w:pPr>
              <w:jc w:val="center"/>
              <w:rPr>
                <w:sz w:val="12"/>
                <w:szCs w:val="12"/>
              </w:rPr>
            </w:pPr>
            <w:r w:rsidRPr="00F92667">
              <w:rPr>
                <w:sz w:val="12"/>
                <w:szCs w:val="12"/>
              </w:rPr>
              <w:t xml:space="preserve">Канал-ж/б лотки, опоры-хомутовые с диэлектрической прокладкой, запорная арматура - кран шаровый, антикоррозийная защита-мастика Вектор 1214, 1025, труба-сталь 09Г2С, изоляция - маты прошивные, </w:t>
            </w:r>
            <w:proofErr w:type="gramStart"/>
            <w:r w:rsidRPr="00F92667">
              <w:rPr>
                <w:sz w:val="12"/>
                <w:szCs w:val="12"/>
              </w:rPr>
              <w:t>стеклоплас-тик</w:t>
            </w:r>
            <w:proofErr w:type="gramEnd"/>
            <w:r w:rsidRPr="00F92667">
              <w:rPr>
                <w:sz w:val="12"/>
                <w:szCs w:val="12"/>
              </w:rPr>
              <w:t xml:space="preserve">  </w:t>
            </w:r>
          </w:p>
        </w:tc>
        <w:tc>
          <w:tcPr>
            <w:tcW w:w="130" w:type="pct"/>
            <w:shd w:val="clear" w:color="auto" w:fill="auto"/>
            <w:tcMar>
              <w:left w:w="17" w:type="dxa"/>
              <w:right w:w="17" w:type="dxa"/>
            </w:tcMar>
            <w:vAlign w:val="center"/>
          </w:tcPr>
          <w:p w14:paraId="2958AB4C" w14:textId="77777777" w:rsidR="001C56BD" w:rsidRPr="00F92667" w:rsidRDefault="001C56BD" w:rsidP="008A5C11">
            <w:pPr>
              <w:jc w:val="center"/>
              <w:rPr>
                <w:sz w:val="12"/>
                <w:szCs w:val="12"/>
              </w:rPr>
            </w:pPr>
            <w:r w:rsidRPr="00F92667">
              <w:rPr>
                <w:sz w:val="12"/>
                <w:szCs w:val="12"/>
              </w:rPr>
              <w:t>2025</w:t>
            </w:r>
          </w:p>
        </w:tc>
        <w:tc>
          <w:tcPr>
            <w:tcW w:w="130" w:type="pct"/>
            <w:shd w:val="clear" w:color="auto" w:fill="auto"/>
            <w:tcMar>
              <w:left w:w="17" w:type="dxa"/>
              <w:right w:w="17" w:type="dxa"/>
            </w:tcMar>
            <w:vAlign w:val="center"/>
          </w:tcPr>
          <w:p w14:paraId="49B047B1" w14:textId="77777777" w:rsidR="001C56BD" w:rsidRPr="00F92667" w:rsidRDefault="001C56BD" w:rsidP="008A5C11">
            <w:pPr>
              <w:jc w:val="center"/>
              <w:rPr>
                <w:sz w:val="12"/>
                <w:szCs w:val="12"/>
              </w:rPr>
            </w:pPr>
            <w:r w:rsidRPr="00F92667">
              <w:rPr>
                <w:sz w:val="12"/>
                <w:szCs w:val="12"/>
              </w:rPr>
              <w:t>2025</w:t>
            </w:r>
          </w:p>
        </w:tc>
        <w:tc>
          <w:tcPr>
            <w:tcW w:w="217" w:type="pct"/>
            <w:gridSpan w:val="2"/>
            <w:shd w:val="clear" w:color="auto" w:fill="auto"/>
            <w:tcMar>
              <w:left w:w="17" w:type="dxa"/>
              <w:right w:w="17" w:type="dxa"/>
            </w:tcMar>
            <w:vAlign w:val="center"/>
          </w:tcPr>
          <w:p w14:paraId="0ABB3D47" w14:textId="77777777" w:rsidR="001C56BD" w:rsidRPr="00F92667" w:rsidRDefault="001C56BD" w:rsidP="008A5C11">
            <w:pPr>
              <w:jc w:val="center"/>
              <w:rPr>
                <w:sz w:val="12"/>
                <w:szCs w:val="12"/>
              </w:rPr>
            </w:pPr>
            <w:r w:rsidRPr="00F92667">
              <w:rPr>
                <w:sz w:val="12"/>
                <w:szCs w:val="12"/>
              </w:rPr>
              <w:t>33275,160</w:t>
            </w:r>
          </w:p>
        </w:tc>
        <w:tc>
          <w:tcPr>
            <w:tcW w:w="177" w:type="pct"/>
            <w:gridSpan w:val="2"/>
            <w:shd w:val="clear" w:color="auto" w:fill="auto"/>
            <w:tcMar>
              <w:left w:w="17" w:type="dxa"/>
              <w:right w:w="17" w:type="dxa"/>
            </w:tcMar>
            <w:vAlign w:val="center"/>
          </w:tcPr>
          <w:p w14:paraId="4C2A7674" w14:textId="77777777" w:rsidR="001C56BD" w:rsidRPr="00F92667" w:rsidRDefault="001C56BD" w:rsidP="008A5C11">
            <w:pPr>
              <w:jc w:val="center"/>
              <w:rPr>
                <w:sz w:val="12"/>
                <w:szCs w:val="12"/>
              </w:rPr>
            </w:pPr>
            <w:r w:rsidRPr="00F92667">
              <w:rPr>
                <w:sz w:val="12"/>
                <w:szCs w:val="12"/>
              </w:rPr>
              <w:t>0,000</w:t>
            </w:r>
          </w:p>
        </w:tc>
        <w:tc>
          <w:tcPr>
            <w:tcW w:w="212" w:type="pct"/>
            <w:shd w:val="clear" w:color="auto" w:fill="auto"/>
            <w:tcMar>
              <w:left w:w="17" w:type="dxa"/>
              <w:right w:w="17" w:type="dxa"/>
            </w:tcMar>
            <w:vAlign w:val="center"/>
          </w:tcPr>
          <w:p w14:paraId="140F19AF" w14:textId="77777777" w:rsidR="001C56BD" w:rsidRPr="00F92667" w:rsidRDefault="001C56BD" w:rsidP="008A5C11">
            <w:pPr>
              <w:jc w:val="center"/>
              <w:rPr>
                <w:sz w:val="12"/>
                <w:szCs w:val="12"/>
              </w:rPr>
            </w:pPr>
            <w:r w:rsidRPr="00F92667">
              <w:rPr>
                <w:sz w:val="12"/>
                <w:szCs w:val="12"/>
              </w:rPr>
              <w:t>0,000</w:t>
            </w:r>
          </w:p>
        </w:tc>
        <w:tc>
          <w:tcPr>
            <w:tcW w:w="218" w:type="pct"/>
            <w:gridSpan w:val="2"/>
            <w:shd w:val="clear" w:color="auto" w:fill="auto"/>
            <w:tcMar>
              <w:left w:w="17" w:type="dxa"/>
              <w:right w:w="17" w:type="dxa"/>
            </w:tcMar>
            <w:vAlign w:val="center"/>
          </w:tcPr>
          <w:p w14:paraId="22590460"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4C099A63" w14:textId="77777777" w:rsidR="001C56BD" w:rsidRPr="00F92667" w:rsidRDefault="001C56BD" w:rsidP="008A5C11">
            <w:pPr>
              <w:jc w:val="center"/>
              <w:rPr>
                <w:sz w:val="12"/>
                <w:szCs w:val="12"/>
              </w:rPr>
            </w:pPr>
            <w:r w:rsidRPr="00F92667">
              <w:rPr>
                <w:sz w:val="12"/>
                <w:szCs w:val="12"/>
              </w:rPr>
              <w:t>0,000</w:t>
            </w:r>
          </w:p>
        </w:tc>
        <w:tc>
          <w:tcPr>
            <w:tcW w:w="206" w:type="pct"/>
            <w:gridSpan w:val="2"/>
            <w:shd w:val="clear" w:color="auto" w:fill="auto"/>
            <w:tcMar>
              <w:left w:w="17" w:type="dxa"/>
              <w:right w:w="17" w:type="dxa"/>
            </w:tcMar>
            <w:vAlign w:val="center"/>
          </w:tcPr>
          <w:p w14:paraId="277494B1" w14:textId="77777777" w:rsidR="001C56BD" w:rsidRPr="00F92667" w:rsidRDefault="001C56BD" w:rsidP="008A5C11">
            <w:pPr>
              <w:jc w:val="center"/>
              <w:rPr>
                <w:sz w:val="12"/>
                <w:szCs w:val="12"/>
              </w:rPr>
            </w:pPr>
            <w:r w:rsidRPr="00F92667">
              <w:rPr>
                <w:sz w:val="12"/>
                <w:szCs w:val="12"/>
              </w:rPr>
              <w:t>33275,160</w:t>
            </w:r>
          </w:p>
        </w:tc>
        <w:tc>
          <w:tcPr>
            <w:tcW w:w="217" w:type="pct"/>
            <w:gridSpan w:val="2"/>
            <w:shd w:val="clear" w:color="auto" w:fill="auto"/>
            <w:tcMar>
              <w:left w:w="17" w:type="dxa"/>
              <w:right w:w="17" w:type="dxa"/>
            </w:tcMar>
            <w:vAlign w:val="center"/>
          </w:tcPr>
          <w:p w14:paraId="3E792424" w14:textId="77777777" w:rsidR="001C56BD" w:rsidRPr="00F92667" w:rsidRDefault="001C56BD" w:rsidP="008A5C11">
            <w:pPr>
              <w:jc w:val="center"/>
              <w:rPr>
                <w:sz w:val="12"/>
                <w:szCs w:val="12"/>
              </w:rPr>
            </w:pPr>
            <w:r w:rsidRPr="00F92667">
              <w:rPr>
                <w:sz w:val="12"/>
                <w:szCs w:val="12"/>
              </w:rPr>
              <w:t>0,000</w:t>
            </w:r>
          </w:p>
        </w:tc>
        <w:tc>
          <w:tcPr>
            <w:tcW w:w="214" w:type="pct"/>
            <w:gridSpan w:val="2"/>
            <w:shd w:val="clear" w:color="auto" w:fill="auto"/>
            <w:tcMar>
              <w:left w:w="17" w:type="dxa"/>
              <w:right w:w="17" w:type="dxa"/>
            </w:tcMar>
            <w:vAlign w:val="center"/>
          </w:tcPr>
          <w:p w14:paraId="486C4AC0"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7D7C8123"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2C73104E" w14:textId="77777777" w:rsidR="001C56BD" w:rsidRPr="00F92667" w:rsidRDefault="001C56BD" w:rsidP="008A5C11">
            <w:pPr>
              <w:jc w:val="center"/>
              <w:rPr>
                <w:sz w:val="12"/>
                <w:szCs w:val="12"/>
              </w:rPr>
            </w:pPr>
            <w:r w:rsidRPr="00F92667">
              <w:rPr>
                <w:sz w:val="12"/>
                <w:szCs w:val="12"/>
              </w:rPr>
              <w:t>0,000</w:t>
            </w:r>
          </w:p>
        </w:tc>
        <w:tc>
          <w:tcPr>
            <w:tcW w:w="214" w:type="pct"/>
            <w:gridSpan w:val="2"/>
            <w:shd w:val="clear" w:color="auto" w:fill="auto"/>
            <w:tcMar>
              <w:left w:w="17" w:type="dxa"/>
              <w:right w:w="17" w:type="dxa"/>
            </w:tcMar>
            <w:vAlign w:val="center"/>
          </w:tcPr>
          <w:p w14:paraId="55454C16" w14:textId="77777777" w:rsidR="001C56BD" w:rsidRPr="00F92667" w:rsidRDefault="001C56BD" w:rsidP="008A5C11">
            <w:pPr>
              <w:jc w:val="center"/>
              <w:rPr>
                <w:sz w:val="12"/>
                <w:szCs w:val="12"/>
              </w:rPr>
            </w:pPr>
            <w:r w:rsidRPr="00F92667">
              <w:rPr>
                <w:sz w:val="12"/>
                <w:szCs w:val="12"/>
              </w:rPr>
              <w:t>0,000</w:t>
            </w:r>
          </w:p>
        </w:tc>
        <w:tc>
          <w:tcPr>
            <w:tcW w:w="247" w:type="pct"/>
            <w:gridSpan w:val="2"/>
            <w:shd w:val="clear" w:color="auto" w:fill="auto"/>
            <w:tcMar>
              <w:left w:w="17" w:type="dxa"/>
              <w:right w:w="17" w:type="dxa"/>
            </w:tcMar>
            <w:vAlign w:val="center"/>
          </w:tcPr>
          <w:p w14:paraId="5E84DA55" w14:textId="77777777" w:rsidR="001C56BD" w:rsidRPr="00F92667" w:rsidRDefault="001C56BD" w:rsidP="008A5C11">
            <w:pPr>
              <w:jc w:val="center"/>
              <w:rPr>
                <w:sz w:val="12"/>
                <w:szCs w:val="12"/>
              </w:rPr>
            </w:pPr>
            <w:r w:rsidRPr="00F92667">
              <w:rPr>
                <w:sz w:val="12"/>
                <w:szCs w:val="12"/>
              </w:rPr>
              <w:t>0,000</w:t>
            </w:r>
          </w:p>
        </w:tc>
        <w:tc>
          <w:tcPr>
            <w:tcW w:w="173" w:type="pct"/>
            <w:shd w:val="clear" w:color="auto" w:fill="auto"/>
            <w:tcMar>
              <w:left w:w="17" w:type="dxa"/>
              <w:right w:w="17" w:type="dxa"/>
            </w:tcMar>
            <w:vAlign w:val="center"/>
          </w:tcPr>
          <w:p w14:paraId="29B8CFC3" w14:textId="77777777" w:rsidR="001C56BD" w:rsidRPr="00F92667" w:rsidRDefault="001C56BD" w:rsidP="008A5C11">
            <w:pPr>
              <w:jc w:val="center"/>
              <w:rPr>
                <w:sz w:val="12"/>
                <w:szCs w:val="12"/>
              </w:rPr>
            </w:pPr>
            <w:r w:rsidRPr="00F92667">
              <w:rPr>
                <w:sz w:val="12"/>
                <w:szCs w:val="12"/>
              </w:rPr>
              <w:t>0,000</w:t>
            </w:r>
          </w:p>
        </w:tc>
        <w:tc>
          <w:tcPr>
            <w:tcW w:w="169" w:type="pct"/>
            <w:shd w:val="clear" w:color="auto" w:fill="auto"/>
            <w:tcMar>
              <w:left w:w="17" w:type="dxa"/>
              <w:right w:w="17" w:type="dxa"/>
            </w:tcMar>
            <w:vAlign w:val="center"/>
          </w:tcPr>
          <w:p w14:paraId="3207405C" w14:textId="77777777" w:rsidR="001C56BD" w:rsidRPr="00F92667" w:rsidRDefault="001C56BD" w:rsidP="008A5C11">
            <w:pPr>
              <w:jc w:val="center"/>
              <w:rPr>
                <w:sz w:val="12"/>
                <w:szCs w:val="12"/>
              </w:rPr>
            </w:pPr>
            <w:r w:rsidRPr="00F92667">
              <w:rPr>
                <w:sz w:val="12"/>
                <w:szCs w:val="12"/>
              </w:rPr>
              <w:t>0,000</w:t>
            </w:r>
          </w:p>
        </w:tc>
      </w:tr>
      <w:tr w:rsidR="001C56BD" w:rsidRPr="00F92667" w14:paraId="6AD2F68E" w14:textId="77777777" w:rsidTr="008A5C11">
        <w:trPr>
          <w:gridBefore w:val="1"/>
          <w:wBefore w:w="3" w:type="pct"/>
          <w:trHeight w:val="897"/>
        </w:trPr>
        <w:tc>
          <w:tcPr>
            <w:tcW w:w="129" w:type="pct"/>
            <w:shd w:val="clear" w:color="auto" w:fill="auto"/>
            <w:tcMar>
              <w:left w:w="17" w:type="dxa"/>
              <w:right w:w="17" w:type="dxa"/>
            </w:tcMar>
            <w:vAlign w:val="center"/>
          </w:tcPr>
          <w:p w14:paraId="49465A41" w14:textId="77777777" w:rsidR="001C56BD" w:rsidRPr="00F92667" w:rsidRDefault="001C56BD" w:rsidP="008A5C11">
            <w:pPr>
              <w:jc w:val="center"/>
              <w:rPr>
                <w:sz w:val="12"/>
                <w:szCs w:val="12"/>
              </w:rPr>
            </w:pPr>
            <w:r w:rsidRPr="00F92667">
              <w:rPr>
                <w:sz w:val="12"/>
                <w:szCs w:val="12"/>
              </w:rPr>
              <w:t>3.1.28.</w:t>
            </w:r>
          </w:p>
        </w:tc>
        <w:tc>
          <w:tcPr>
            <w:tcW w:w="305" w:type="pct"/>
            <w:shd w:val="clear" w:color="auto" w:fill="auto"/>
            <w:tcMar>
              <w:left w:w="17" w:type="dxa"/>
              <w:right w:w="17" w:type="dxa"/>
            </w:tcMar>
            <w:vAlign w:val="center"/>
          </w:tcPr>
          <w:p w14:paraId="2B01499B" w14:textId="77777777" w:rsidR="001C56BD" w:rsidRPr="00F92667" w:rsidRDefault="001C56BD" w:rsidP="008A5C11">
            <w:pPr>
              <w:rPr>
                <w:sz w:val="12"/>
                <w:szCs w:val="12"/>
              </w:rPr>
            </w:pPr>
            <w:r w:rsidRPr="00F92667">
              <w:rPr>
                <w:color w:val="000000"/>
                <w:sz w:val="12"/>
                <w:szCs w:val="12"/>
              </w:rPr>
              <w:t>Реконструкция тепловой сети с реестровым номером</w:t>
            </w:r>
            <w:r w:rsidRPr="00F92667">
              <w:rPr>
                <w:sz w:val="12"/>
                <w:szCs w:val="12"/>
              </w:rPr>
              <w:t xml:space="preserve"> 777281</w:t>
            </w:r>
          </w:p>
        </w:tc>
        <w:tc>
          <w:tcPr>
            <w:tcW w:w="304" w:type="pct"/>
            <w:shd w:val="clear" w:color="000000" w:fill="FFFFFF"/>
            <w:tcMar>
              <w:left w:w="17" w:type="dxa"/>
              <w:right w:w="17" w:type="dxa"/>
            </w:tcMar>
            <w:vAlign w:val="center"/>
          </w:tcPr>
          <w:p w14:paraId="6B71788D" w14:textId="77777777" w:rsidR="001C56BD" w:rsidRPr="00F92667" w:rsidRDefault="001C56BD" w:rsidP="008A5C11">
            <w:pPr>
              <w:jc w:val="center"/>
              <w:rPr>
                <w:sz w:val="12"/>
                <w:szCs w:val="12"/>
              </w:rPr>
            </w:pPr>
            <w:r w:rsidRPr="00F92667">
              <w:rPr>
                <w:color w:val="000000"/>
                <w:sz w:val="12"/>
                <w:szCs w:val="12"/>
              </w:rPr>
              <w:t>Повышение надежности услуг теплоснабжения, повышение энергетической эффективности</w:t>
            </w:r>
          </w:p>
        </w:tc>
        <w:tc>
          <w:tcPr>
            <w:tcW w:w="258" w:type="pct"/>
            <w:shd w:val="clear" w:color="auto" w:fill="auto"/>
            <w:tcMar>
              <w:left w:w="17" w:type="dxa"/>
              <w:right w:w="17" w:type="dxa"/>
            </w:tcMar>
            <w:vAlign w:val="center"/>
          </w:tcPr>
          <w:p w14:paraId="7B2AB0BB" w14:textId="77777777" w:rsidR="001C56BD" w:rsidRPr="00F92667" w:rsidRDefault="001C56BD" w:rsidP="008A5C11">
            <w:pPr>
              <w:jc w:val="center"/>
              <w:rPr>
                <w:sz w:val="12"/>
                <w:szCs w:val="12"/>
              </w:rPr>
            </w:pPr>
            <w:r w:rsidRPr="00F92667">
              <w:rPr>
                <w:sz w:val="12"/>
                <w:szCs w:val="12"/>
              </w:rPr>
              <w:t>Кемеровский городской округ, Заводский район, квартал №9, в границах ул. Радищева, ул. Веры Волошиной, ул. Сергея Тюленина, ул. Патриотов</w:t>
            </w:r>
          </w:p>
        </w:tc>
        <w:tc>
          <w:tcPr>
            <w:tcW w:w="294" w:type="pct"/>
            <w:shd w:val="clear" w:color="auto" w:fill="auto"/>
            <w:tcMar>
              <w:left w:w="17" w:type="dxa"/>
              <w:right w:w="17" w:type="dxa"/>
            </w:tcMar>
            <w:vAlign w:val="center"/>
          </w:tcPr>
          <w:p w14:paraId="2FCAEB59" w14:textId="77777777" w:rsidR="001C56BD" w:rsidRPr="00F92667" w:rsidRDefault="001C56BD" w:rsidP="008A5C11">
            <w:pPr>
              <w:jc w:val="center"/>
              <w:rPr>
                <w:sz w:val="12"/>
                <w:szCs w:val="12"/>
              </w:rPr>
            </w:pPr>
            <w:r w:rsidRPr="00F92667">
              <w:rPr>
                <w:color w:val="000000"/>
                <w:sz w:val="12"/>
                <w:szCs w:val="12"/>
              </w:rPr>
              <w:t>Технические характеристики</w:t>
            </w:r>
          </w:p>
        </w:tc>
        <w:tc>
          <w:tcPr>
            <w:tcW w:w="129" w:type="pct"/>
            <w:shd w:val="clear" w:color="auto" w:fill="auto"/>
            <w:tcMar>
              <w:left w:w="17" w:type="dxa"/>
              <w:right w:w="17" w:type="dxa"/>
            </w:tcMar>
            <w:vAlign w:val="center"/>
          </w:tcPr>
          <w:p w14:paraId="16B38116" w14:textId="77777777" w:rsidR="001C56BD" w:rsidRPr="00F92667" w:rsidRDefault="001C56BD" w:rsidP="008A5C11">
            <w:pPr>
              <w:jc w:val="center"/>
              <w:rPr>
                <w:color w:val="000000"/>
                <w:sz w:val="12"/>
                <w:szCs w:val="12"/>
              </w:rPr>
            </w:pPr>
          </w:p>
        </w:tc>
        <w:tc>
          <w:tcPr>
            <w:tcW w:w="184" w:type="pct"/>
            <w:shd w:val="clear" w:color="auto" w:fill="auto"/>
            <w:tcMar>
              <w:left w:w="17" w:type="dxa"/>
              <w:right w:w="17" w:type="dxa"/>
            </w:tcMar>
            <w:vAlign w:val="center"/>
          </w:tcPr>
          <w:p w14:paraId="7F6BF4F7" w14:textId="77777777" w:rsidR="001C56BD" w:rsidRPr="00F92667" w:rsidRDefault="001C56BD" w:rsidP="008A5C11">
            <w:pPr>
              <w:jc w:val="center"/>
              <w:rPr>
                <w:sz w:val="12"/>
                <w:szCs w:val="12"/>
              </w:rPr>
            </w:pPr>
            <w:r w:rsidRPr="00F92667">
              <w:rPr>
                <w:sz w:val="12"/>
                <w:szCs w:val="12"/>
              </w:rPr>
              <w:t xml:space="preserve">Канал-кирпич, опоры-хомутовые </w:t>
            </w:r>
            <w:proofErr w:type="gramStart"/>
            <w:r w:rsidRPr="00F92667">
              <w:rPr>
                <w:sz w:val="12"/>
                <w:szCs w:val="12"/>
              </w:rPr>
              <w:t>привар-ные</w:t>
            </w:r>
            <w:proofErr w:type="gramEnd"/>
            <w:r w:rsidRPr="00F92667">
              <w:rPr>
                <w:sz w:val="12"/>
                <w:szCs w:val="12"/>
              </w:rPr>
              <w:t xml:space="preserve">, запорная арматура - стальная клиновая, антикоррозийная защита-лак БТ, труба-сталь 20, изоляция - мин. маты </w:t>
            </w:r>
          </w:p>
        </w:tc>
        <w:tc>
          <w:tcPr>
            <w:tcW w:w="219" w:type="pct"/>
            <w:shd w:val="clear" w:color="auto" w:fill="auto"/>
            <w:tcMar>
              <w:left w:w="17" w:type="dxa"/>
              <w:right w:w="17" w:type="dxa"/>
            </w:tcMar>
            <w:vAlign w:val="center"/>
          </w:tcPr>
          <w:p w14:paraId="6BA1AEF9" w14:textId="77777777" w:rsidR="001C56BD" w:rsidRPr="00F92667" w:rsidRDefault="001C56BD" w:rsidP="008A5C11">
            <w:pPr>
              <w:jc w:val="center"/>
              <w:rPr>
                <w:sz w:val="12"/>
                <w:szCs w:val="12"/>
              </w:rPr>
            </w:pPr>
            <w:r w:rsidRPr="00F92667">
              <w:rPr>
                <w:sz w:val="12"/>
                <w:szCs w:val="12"/>
              </w:rPr>
              <w:t xml:space="preserve">Канал-ж/б лотки, опоры-хомутовые с диэлектрической прокладкой, запорная арматура - кран шаровый, антикоррозийная защита-мастика Вектор 1214, 1025, труба-сталь 09Г2С, изоляция - маты прошивные, </w:t>
            </w:r>
            <w:proofErr w:type="gramStart"/>
            <w:r w:rsidRPr="00F92667">
              <w:rPr>
                <w:sz w:val="12"/>
                <w:szCs w:val="12"/>
              </w:rPr>
              <w:t>стеклоплас-тик</w:t>
            </w:r>
            <w:proofErr w:type="gramEnd"/>
            <w:r w:rsidRPr="00F92667">
              <w:rPr>
                <w:sz w:val="12"/>
                <w:szCs w:val="12"/>
              </w:rPr>
              <w:t xml:space="preserve">  </w:t>
            </w:r>
          </w:p>
        </w:tc>
        <w:tc>
          <w:tcPr>
            <w:tcW w:w="130" w:type="pct"/>
            <w:shd w:val="clear" w:color="auto" w:fill="auto"/>
            <w:tcMar>
              <w:left w:w="17" w:type="dxa"/>
              <w:right w:w="17" w:type="dxa"/>
            </w:tcMar>
            <w:vAlign w:val="center"/>
          </w:tcPr>
          <w:p w14:paraId="34C2816A" w14:textId="77777777" w:rsidR="001C56BD" w:rsidRPr="00F92667" w:rsidRDefault="001C56BD" w:rsidP="008A5C11">
            <w:pPr>
              <w:jc w:val="center"/>
              <w:rPr>
                <w:sz w:val="12"/>
                <w:szCs w:val="12"/>
              </w:rPr>
            </w:pPr>
            <w:r w:rsidRPr="00F92667">
              <w:rPr>
                <w:sz w:val="12"/>
                <w:szCs w:val="12"/>
              </w:rPr>
              <w:t>2025</w:t>
            </w:r>
          </w:p>
        </w:tc>
        <w:tc>
          <w:tcPr>
            <w:tcW w:w="130" w:type="pct"/>
            <w:shd w:val="clear" w:color="auto" w:fill="auto"/>
            <w:tcMar>
              <w:left w:w="17" w:type="dxa"/>
              <w:right w:w="17" w:type="dxa"/>
            </w:tcMar>
            <w:vAlign w:val="center"/>
          </w:tcPr>
          <w:p w14:paraId="24EB9C32" w14:textId="77777777" w:rsidR="001C56BD" w:rsidRPr="00F92667" w:rsidRDefault="001C56BD" w:rsidP="008A5C11">
            <w:pPr>
              <w:jc w:val="center"/>
              <w:rPr>
                <w:sz w:val="12"/>
                <w:szCs w:val="12"/>
              </w:rPr>
            </w:pPr>
            <w:r w:rsidRPr="00F92667">
              <w:rPr>
                <w:sz w:val="12"/>
                <w:szCs w:val="12"/>
              </w:rPr>
              <w:t>2025</w:t>
            </w:r>
          </w:p>
        </w:tc>
        <w:tc>
          <w:tcPr>
            <w:tcW w:w="217" w:type="pct"/>
            <w:gridSpan w:val="2"/>
            <w:shd w:val="clear" w:color="auto" w:fill="auto"/>
            <w:tcMar>
              <w:left w:w="17" w:type="dxa"/>
              <w:right w:w="17" w:type="dxa"/>
            </w:tcMar>
            <w:vAlign w:val="center"/>
          </w:tcPr>
          <w:p w14:paraId="7DD3F816" w14:textId="77777777" w:rsidR="001C56BD" w:rsidRPr="00F92667" w:rsidRDefault="001C56BD" w:rsidP="008A5C11">
            <w:pPr>
              <w:jc w:val="center"/>
              <w:rPr>
                <w:sz w:val="12"/>
                <w:szCs w:val="12"/>
              </w:rPr>
            </w:pPr>
            <w:r w:rsidRPr="00F92667">
              <w:rPr>
                <w:sz w:val="12"/>
                <w:szCs w:val="12"/>
              </w:rPr>
              <w:t>23215,584</w:t>
            </w:r>
          </w:p>
        </w:tc>
        <w:tc>
          <w:tcPr>
            <w:tcW w:w="177" w:type="pct"/>
            <w:gridSpan w:val="2"/>
            <w:shd w:val="clear" w:color="auto" w:fill="auto"/>
            <w:tcMar>
              <w:left w:w="17" w:type="dxa"/>
              <w:right w:w="17" w:type="dxa"/>
            </w:tcMar>
            <w:vAlign w:val="center"/>
          </w:tcPr>
          <w:p w14:paraId="47E16099" w14:textId="77777777" w:rsidR="001C56BD" w:rsidRPr="00F92667" w:rsidRDefault="001C56BD" w:rsidP="008A5C11">
            <w:pPr>
              <w:jc w:val="center"/>
              <w:rPr>
                <w:sz w:val="12"/>
                <w:szCs w:val="12"/>
              </w:rPr>
            </w:pPr>
            <w:r w:rsidRPr="00F92667">
              <w:rPr>
                <w:sz w:val="12"/>
                <w:szCs w:val="12"/>
              </w:rPr>
              <w:t>0,000</w:t>
            </w:r>
          </w:p>
        </w:tc>
        <w:tc>
          <w:tcPr>
            <w:tcW w:w="212" w:type="pct"/>
            <w:shd w:val="clear" w:color="auto" w:fill="auto"/>
            <w:tcMar>
              <w:left w:w="17" w:type="dxa"/>
              <w:right w:w="17" w:type="dxa"/>
            </w:tcMar>
            <w:vAlign w:val="center"/>
          </w:tcPr>
          <w:p w14:paraId="2C43AA1F" w14:textId="77777777" w:rsidR="001C56BD" w:rsidRPr="00F92667" w:rsidRDefault="001C56BD" w:rsidP="008A5C11">
            <w:pPr>
              <w:jc w:val="center"/>
              <w:rPr>
                <w:sz w:val="12"/>
                <w:szCs w:val="12"/>
              </w:rPr>
            </w:pPr>
            <w:r w:rsidRPr="00F92667">
              <w:rPr>
                <w:sz w:val="12"/>
                <w:szCs w:val="12"/>
              </w:rPr>
              <w:t>0,000</w:t>
            </w:r>
          </w:p>
        </w:tc>
        <w:tc>
          <w:tcPr>
            <w:tcW w:w="218" w:type="pct"/>
            <w:gridSpan w:val="2"/>
            <w:shd w:val="clear" w:color="auto" w:fill="auto"/>
            <w:tcMar>
              <w:left w:w="17" w:type="dxa"/>
              <w:right w:w="17" w:type="dxa"/>
            </w:tcMar>
            <w:vAlign w:val="center"/>
          </w:tcPr>
          <w:p w14:paraId="3AE22740"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1108A0BD" w14:textId="77777777" w:rsidR="001C56BD" w:rsidRPr="00F92667" w:rsidRDefault="001C56BD" w:rsidP="008A5C11">
            <w:pPr>
              <w:jc w:val="center"/>
              <w:rPr>
                <w:sz w:val="12"/>
                <w:szCs w:val="12"/>
              </w:rPr>
            </w:pPr>
            <w:r w:rsidRPr="00F92667">
              <w:rPr>
                <w:sz w:val="12"/>
                <w:szCs w:val="12"/>
              </w:rPr>
              <w:t>0,000</w:t>
            </w:r>
          </w:p>
        </w:tc>
        <w:tc>
          <w:tcPr>
            <w:tcW w:w="206" w:type="pct"/>
            <w:gridSpan w:val="2"/>
            <w:shd w:val="clear" w:color="auto" w:fill="auto"/>
            <w:tcMar>
              <w:left w:w="17" w:type="dxa"/>
              <w:right w:w="17" w:type="dxa"/>
            </w:tcMar>
            <w:vAlign w:val="center"/>
          </w:tcPr>
          <w:p w14:paraId="130B2803" w14:textId="77777777" w:rsidR="001C56BD" w:rsidRPr="00F92667" w:rsidRDefault="001C56BD" w:rsidP="008A5C11">
            <w:pPr>
              <w:jc w:val="center"/>
              <w:rPr>
                <w:sz w:val="12"/>
                <w:szCs w:val="12"/>
              </w:rPr>
            </w:pPr>
            <w:r w:rsidRPr="00F92667">
              <w:rPr>
                <w:sz w:val="12"/>
                <w:szCs w:val="12"/>
              </w:rPr>
              <w:t>23215,584</w:t>
            </w:r>
          </w:p>
        </w:tc>
        <w:tc>
          <w:tcPr>
            <w:tcW w:w="217" w:type="pct"/>
            <w:gridSpan w:val="2"/>
            <w:shd w:val="clear" w:color="auto" w:fill="auto"/>
            <w:tcMar>
              <w:left w:w="17" w:type="dxa"/>
              <w:right w:w="17" w:type="dxa"/>
            </w:tcMar>
            <w:vAlign w:val="center"/>
          </w:tcPr>
          <w:p w14:paraId="2E0ABB28" w14:textId="77777777" w:rsidR="001C56BD" w:rsidRPr="00F92667" w:rsidRDefault="001C56BD" w:rsidP="008A5C11">
            <w:pPr>
              <w:jc w:val="center"/>
              <w:rPr>
                <w:sz w:val="12"/>
                <w:szCs w:val="12"/>
              </w:rPr>
            </w:pPr>
            <w:r w:rsidRPr="00F92667">
              <w:rPr>
                <w:sz w:val="12"/>
                <w:szCs w:val="12"/>
              </w:rPr>
              <w:t>0,000</w:t>
            </w:r>
          </w:p>
        </w:tc>
        <w:tc>
          <w:tcPr>
            <w:tcW w:w="214" w:type="pct"/>
            <w:gridSpan w:val="2"/>
            <w:shd w:val="clear" w:color="auto" w:fill="auto"/>
            <w:tcMar>
              <w:left w:w="17" w:type="dxa"/>
              <w:right w:w="17" w:type="dxa"/>
            </w:tcMar>
            <w:vAlign w:val="center"/>
          </w:tcPr>
          <w:p w14:paraId="6CBAAC9E"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507D275A"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6C5B8E92" w14:textId="77777777" w:rsidR="001C56BD" w:rsidRPr="00F92667" w:rsidRDefault="001C56BD" w:rsidP="008A5C11">
            <w:pPr>
              <w:jc w:val="center"/>
              <w:rPr>
                <w:sz w:val="12"/>
                <w:szCs w:val="12"/>
              </w:rPr>
            </w:pPr>
            <w:r w:rsidRPr="00F92667">
              <w:rPr>
                <w:sz w:val="12"/>
                <w:szCs w:val="12"/>
              </w:rPr>
              <w:t>0,000</w:t>
            </w:r>
          </w:p>
        </w:tc>
        <w:tc>
          <w:tcPr>
            <w:tcW w:w="214" w:type="pct"/>
            <w:gridSpan w:val="2"/>
            <w:shd w:val="clear" w:color="auto" w:fill="auto"/>
            <w:tcMar>
              <w:left w:w="17" w:type="dxa"/>
              <w:right w:w="17" w:type="dxa"/>
            </w:tcMar>
            <w:vAlign w:val="center"/>
          </w:tcPr>
          <w:p w14:paraId="0F795FF1" w14:textId="77777777" w:rsidR="001C56BD" w:rsidRPr="00F92667" w:rsidRDefault="001C56BD" w:rsidP="008A5C11">
            <w:pPr>
              <w:jc w:val="center"/>
              <w:rPr>
                <w:sz w:val="12"/>
                <w:szCs w:val="12"/>
              </w:rPr>
            </w:pPr>
            <w:r w:rsidRPr="00F92667">
              <w:rPr>
                <w:sz w:val="12"/>
                <w:szCs w:val="12"/>
              </w:rPr>
              <w:t>0,000</w:t>
            </w:r>
          </w:p>
        </w:tc>
        <w:tc>
          <w:tcPr>
            <w:tcW w:w="247" w:type="pct"/>
            <w:gridSpan w:val="2"/>
            <w:shd w:val="clear" w:color="auto" w:fill="auto"/>
            <w:tcMar>
              <w:left w:w="17" w:type="dxa"/>
              <w:right w:w="17" w:type="dxa"/>
            </w:tcMar>
            <w:vAlign w:val="center"/>
          </w:tcPr>
          <w:p w14:paraId="3E625F6B" w14:textId="77777777" w:rsidR="001C56BD" w:rsidRPr="00F92667" w:rsidRDefault="001C56BD" w:rsidP="008A5C11">
            <w:pPr>
              <w:jc w:val="center"/>
              <w:rPr>
                <w:sz w:val="12"/>
                <w:szCs w:val="12"/>
              </w:rPr>
            </w:pPr>
            <w:r w:rsidRPr="00F92667">
              <w:rPr>
                <w:sz w:val="12"/>
                <w:szCs w:val="12"/>
              </w:rPr>
              <w:t>0,000</w:t>
            </w:r>
          </w:p>
        </w:tc>
        <w:tc>
          <w:tcPr>
            <w:tcW w:w="173" w:type="pct"/>
            <w:shd w:val="clear" w:color="auto" w:fill="auto"/>
            <w:tcMar>
              <w:left w:w="17" w:type="dxa"/>
              <w:right w:w="17" w:type="dxa"/>
            </w:tcMar>
            <w:vAlign w:val="center"/>
          </w:tcPr>
          <w:p w14:paraId="5EF34E8E" w14:textId="77777777" w:rsidR="001C56BD" w:rsidRPr="00F92667" w:rsidRDefault="001C56BD" w:rsidP="008A5C11">
            <w:pPr>
              <w:jc w:val="center"/>
              <w:rPr>
                <w:sz w:val="12"/>
                <w:szCs w:val="12"/>
              </w:rPr>
            </w:pPr>
            <w:r w:rsidRPr="00F92667">
              <w:rPr>
                <w:sz w:val="12"/>
                <w:szCs w:val="12"/>
              </w:rPr>
              <w:t>0,000</w:t>
            </w:r>
          </w:p>
        </w:tc>
        <w:tc>
          <w:tcPr>
            <w:tcW w:w="169" w:type="pct"/>
            <w:shd w:val="clear" w:color="auto" w:fill="auto"/>
            <w:tcMar>
              <w:left w:w="17" w:type="dxa"/>
              <w:right w:w="17" w:type="dxa"/>
            </w:tcMar>
            <w:vAlign w:val="center"/>
          </w:tcPr>
          <w:p w14:paraId="371990C0" w14:textId="77777777" w:rsidR="001C56BD" w:rsidRPr="00F92667" w:rsidRDefault="001C56BD" w:rsidP="008A5C11">
            <w:pPr>
              <w:jc w:val="center"/>
              <w:rPr>
                <w:sz w:val="12"/>
                <w:szCs w:val="12"/>
              </w:rPr>
            </w:pPr>
            <w:r w:rsidRPr="00F92667">
              <w:rPr>
                <w:sz w:val="12"/>
                <w:szCs w:val="12"/>
              </w:rPr>
              <w:t>0,000</w:t>
            </w:r>
          </w:p>
        </w:tc>
      </w:tr>
      <w:tr w:rsidR="001C56BD" w:rsidRPr="00F92667" w14:paraId="5E1BF146" w14:textId="77777777" w:rsidTr="008A5C11">
        <w:trPr>
          <w:gridBefore w:val="1"/>
          <w:wBefore w:w="3" w:type="pct"/>
          <w:trHeight w:val="897"/>
        </w:trPr>
        <w:tc>
          <w:tcPr>
            <w:tcW w:w="129" w:type="pct"/>
            <w:shd w:val="clear" w:color="auto" w:fill="auto"/>
            <w:tcMar>
              <w:left w:w="17" w:type="dxa"/>
              <w:right w:w="17" w:type="dxa"/>
            </w:tcMar>
            <w:vAlign w:val="center"/>
          </w:tcPr>
          <w:p w14:paraId="3A499980" w14:textId="77777777" w:rsidR="001C56BD" w:rsidRPr="00F92667" w:rsidRDefault="001C56BD" w:rsidP="008A5C11">
            <w:pPr>
              <w:jc w:val="center"/>
              <w:rPr>
                <w:bCs/>
                <w:sz w:val="12"/>
                <w:szCs w:val="12"/>
              </w:rPr>
            </w:pPr>
            <w:r w:rsidRPr="00F92667">
              <w:rPr>
                <w:bCs/>
                <w:sz w:val="12"/>
                <w:szCs w:val="12"/>
              </w:rPr>
              <w:t>1</w:t>
            </w:r>
          </w:p>
        </w:tc>
        <w:tc>
          <w:tcPr>
            <w:tcW w:w="305" w:type="pct"/>
            <w:shd w:val="clear" w:color="auto" w:fill="auto"/>
            <w:tcMar>
              <w:left w:w="17" w:type="dxa"/>
              <w:right w:w="17" w:type="dxa"/>
            </w:tcMar>
            <w:vAlign w:val="center"/>
          </w:tcPr>
          <w:p w14:paraId="34929D57" w14:textId="77777777" w:rsidR="001C56BD" w:rsidRPr="00F92667" w:rsidRDefault="001C56BD" w:rsidP="008A5C11">
            <w:pPr>
              <w:jc w:val="center"/>
              <w:rPr>
                <w:bCs/>
                <w:sz w:val="12"/>
                <w:szCs w:val="12"/>
              </w:rPr>
            </w:pPr>
            <w:r w:rsidRPr="00F92667">
              <w:rPr>
                <w:bCs/>
                <w:sz w:val="12"/>
                <w:szCs w:val="12"/>
              </w:rPr>
              <w:t>2</w:t>
            </w:r>
          </w:p>
        </w:tc>
        <w:tc>
          <w:tcPr>
            <w:tcW w:w="304" w:type="pct"/>
            <w:shd w:val="clear" w:color="auto" w:fill="auto"/>
            <w:tcMar>
              <w:left w:w="17" w:type="dxa"/>
              <w:right w:w="17" w:type="dxa"/>
            </w:tcMar>
            <w:vAlign w:val="center"/>
          </w:tcPr>
          <w:p w14:paraId="77AAE446" w14:textId="77777777" w:rsidR="001C56BD" w:rsidRPr="00F92667" w:rsidRDefault="001C56BD" w:rsidP="008A5C11">
            <w:pPr>
              <w:jc w:val="center"/>
              <w:rPr>
                <w:bCs/>
                <w:sz w:val="12"/>
                <w:szCs w:val="12"/>
              </w:rPr>
            </w:pPr>
            <w:r w:rsidRPr="00F92667">
              <w:rPr>
                <w:bCs/>
                <w:sz w:val="12"/>
                <w:szCs w:val="12"/>
              </w:rPr>
              <w:t>3</w:t>
            </w:r>
          </w:p>
        </w:tc>
        <w:tc>
          <w:tcPr>
            <w:tcW w:w="258" w:type="pct"/>
            <w:shd w:val="clear" w:color="auto" w:fill="auto"/>
            <w:tcMar>
              <w:left w:w="17" w:type="dxa"/>
              <w:right w:w="17" w:type="dxa"/>
            </w:tcMar>
            <w:vAlign w:val="center"/>
          </w:tcPr>
          <w:p w14:paraId="7204512E" w14:textId="77777777" w:rsidR="001C56BD" w:rsidRPr="00F92667" w:rsidRDefault="001C56BD" w:rsidP="008A5C11">
            <w:pPr>
              <w:jc w:val="center"/>
              <w:rPr>
                <w:bCs/>
                <w:sz w:val="12"/>
                <w:szCs w:val="12"/>
              </w:rPr>
            </w:pPr>
            <w:r w:rsidRPr="00F92667">
              <w:rPr>
                <w:bCs/>
                <w:sz w:val="12"/>
                <w:szCs w:val="12"/>
              </w:rPr>
              <w:t>4</w:t>
            </w:r>
          </w:p>
        </w:tc>
        <w:tc>
          <w:tcPr>
            <w:tcW w:w="294" w:type="pct"/>
            <w:shd w:val="clear" w:color="auto" w:fill="auto"/>
            <w:tcMar>
              <w:left w:w="17" w:type="dxa"/>
              <w:right w:w="17" w:type="dxa"/>
            </w:tcMar>
            <w:vAlign w:val="center"/>
          </w:tcPr>
          <w:p w14:paraId="2AAB4660" w14:textId="77777777" w:rsidR="001C56BD" w:rsidRPr="00F92667" w:rsidRDefault="001C56BD" w:rsidP="008A5C11">
            <w:pPr>
              <w:jc w:val="center"/>
              <w:rPr>
                <w:bCs/>
                <w:sz w:val="12"/>
                <w:szCs w:val="12"/>
              </w:rPr>
            </w:pPr>
            <w:r w:rsidRPr="00F92667">
              <w:rPr>
                <w:bCs/>
                <w:sz w:val="12"/>
                <w:szCs w:val="12"/>
              </w:rPr>
              <w:t>5</w:t>
            </w:r>
          </w:p>
        </w:tc>
        <w:tc>
          <w:tcPr>
            <w:tcW w:w="129" w:type="pct"/>
            <w:shd w:val="clear" w:color="auto" w:fill="auto"/>
            <w:tcMar>
              <w:left w:w="17" w:type="dxa"/>
              <w:right w:w="17" w:type="dxa"/>
            </w:tcMar>
            <w:vAlign w:val="center"/>
          </w:tcPr>
          <w:p w14:paraId="07B7A3AD" w14:textId="77777777" w:rsidR="001C56BD" w:rsidRPr="00F92667" w:rsidRDefault="001C56BD" w:rsidP="008A5C11">
            <w:pPr>
              <w:jc w:val="center"/>
              <w:rPr>
                <w:bCs/>
                <w:sz w:val="12"/>
                <w:szCs w:val="12"/>
              </w:rPr>
            </w:pPr>
            <w:r w:rsidRPr="00F92667">
              <w:rPr>
                <w:bCs/>
                <w:sz w:val="12"/>
                <w:szCs w:val="12"/>
              </w:rPr>
              <w:t>6</w:t>
            </w:r>
          </w:p>
        </w:tc>
        <w:tc>
          <w:tcPr>
            <w:tcW w:w="184" w:type="pct"/>
            <w:shd w:val="clear" w:color="auto" w:fill="auto"/>
            <w:tcMar>
              <w:left w:w="17" w:type="dxa"/>
              <w:right w:w="17" w:type="dxa"/>
            </w:tcMar>
            <w:vAlign w:val="center"/>
          </w:tcPr>
          <w:p w14:paraId="2B0ECC4F" w14:textId="77777777" w:rsidR="001C56BD" w:rsidRPr="00F92667" w:rsidRDefault="001C56BD" w:rsidP="008A5C11">
            <w:pPr>
              <w:jc w:val="center"/>
              <w:rPr>
                <w:bCs/>
                <w:sz w:val="12"/>
                <w:szCs w:val="12"/>
              </w:rPr>
            </w:pPr>
            <w:r w:rsidRPr="00F92667">
              <w:rPr>
                <w:bCs/>
                <w:sz w:val="12"/>
                <w:szCs w:val="12"/>
              </w:rPr>
              <w:t>7</w:t>
            </w:r>
          </w:p>
        </w:tc>
        <w:tc>
          <w:tcPr>
            <w:tcW w:w="219" w:type="pct"/>
            <w:shd w:val="clear" w:color="auto" w:fill="auto"/>
            <w:tcMar>
              <w:left w:w="17" w:type="dxa"/>
              <w:right w:w="17" w:type="dxa"/>
            </w:tcMar>
            <w:vAlign w:val="center"/>
          </w:tcPr>
          <w:p w14:paraId="71C0CFD5" w14:textId="77777777" w:rsidR="001C56BD" w:rsidRPr="00F92667" w:rsidRDefault="001C56BD" w:rsidP="008A5C11">
            <w:pPr>
              <w:jc w:val="center"/>
              <w:rPr>
                <w:bCs/>
                <w:sz w:val="12"/>
                <w:szCs w:val="12"/>
              </w:rPr>
            </w:pPr>
            <w:r w:rsidRPr="00F92667">
              <w:rPr>
                <w:bCs/>
                <w:sz w:val="12"/>
                <w:szCs w:val="12"/>
              </w:rPr>
              <w:t>8</w:t>
            </w:r>
          </w:p>
        </w:tc>
        <w:tc>
          <w:tcPr>
            <w:tcW w:w="130" w:type="pct"/>
            <w:shd w:val="clear" w:color="auto" w:fill="auto"/>
            <w:tcMar>
              <w:left w:w="17" w:type="dxa"/>
              <w:right w:w="17" w:type="dxa"/>
            </w:tcMar>
            <w:vAlign w:val="center"/>
          </w:tcPr>
          <w:p w14:paraId="0CF2161E" w14:textId="77777777" w:rsidR="001C56BD" w:rsidRPr="00F92667" w:rsidRDefault="001C56BD" w:rsidP="008A5C11">
            <w:pPr>
              <w:jc w:val="center"/>
              <w:rPr>
                <w:bCs/>
                <w:sz w:val="12"/>
                <w:szCs w:val="12"/>
              </w:rPr>
            </w:pPr>
            <w:r w:rsidRPr="00F92667">
              <w:rPr>
                <w:bCs/>
                <w:sz w:val="12"/>
                <w:szCs w:val="12"/>
              </w:rPr>
              <w:t>9</w:t>
            </w:r>
          </w:p>
        </w:tc>
        <w:tc>
          <w:tcPr>
            <w:tcW w:w="130" w:type="pct"/>
            <w:shd w:val="clear" w:color="auto" w:fill="auto"/>
            <w:tcMar>
              <w:left w:w="17" w:type="dxa"/>
              <w:right w:w="17" w:type="dxa"/>
            </w:tcMar>
            <w:vAlign w:val="center"/>
          </w:tcPr>
          <w:p w14:paraId="3E473A91" w14:textId="77777777" w:rsidR="001C56BD" w:rsidRPr="00F92667" w:rsidRDefault="001C56BD" w:rsidP="008A5C11">
            <w:pPr>
              <w:jc w:val="center"/>
              <w:rPr>
                <w:bCs/>
                <w:sz w:val="12"/>
                <w:szCs w:val="12"/>
              </w:rPr>
            </w:pPr>
            <w:r w:rsidRPr="00F92667">
              <w:rPr>
                <w:bCs/>
                <w:sz w:val="12"/>
                <w:szCs w:val="12"/>
              </w:rPr>
              <w:t>10</w:t>
            </w:r>
          </w:p>
        </w:tc>
        <w:tc>
          <w:tcPr>
            <w:tcW w:w="217" w:type="pct"/>
            <w:gridSpan w:val="2"/>
            <w:shd w:val="clear" w:color="auto" w:fill="auto"/>
            <w:tcMar>
              <w:left w:w="17" w:type="dxa"/>
              <w:right w:w="17" w:type="dxa"/>
            </w:tcMar>
            <w:vAlign w:val="center"/>
          </w:tcPr>
          <w:p w14:paraId="4D9E92F5" w14:textId="77777777" w:rsidR="001C56BD" w:rsidRPr="00F92667" w:rsidRDefault="001C56BD" w:rsidP="008A5C11">
            <w:pPr>
              <w:jc w:val="center"/>
              <w:rPr>
                <w:bCs/>
                <w:sz w:val="12"/>
                <w:szCs w:val="12"/>
              </w:rPr>
            </w:pPr>
            <w:r w:rsidRPr="00F92667">
              <w:rPr>
                <w:bCs/>
                <w:sz w:val="12"/>
                <w:szCs w:val="12"/>
              </w:rPr>
              <w:t>11</w:t>
            </w:r>
          </w:p>
        </w:tc>
        <w:tc>
          <w:tcPr>
            <w:tcW w:w="177" w:type="pct"/>
            <w:gridSpan w:val="2"/>
            <w:shd w:val="clear" w:color="auto" w:fill="auto"/>
            <w:tcMar>
              <w:left w:w="17" w:type="dxa"/>
              <w:right w:w="17" w:type="dxa"/>
            </w:tcMar>
            <w:vAlign w:val="center"/>
          </w:tcPr>
          <w:p w14:paraId="5778A961" w14:textId="77777777" w:rsidR="001C56BD" w:rsidRPr="00F92667" w:rsidRDefault="001C56BD" w:rsidP="008A5C11">
            <w:pPr>
              <w:jc w:val="center"/>
              <w:rPr>
                <w:bCs/>
                <w:sz w:val="12"/>
                <w:szCs w:val="12"/>
              </w:rPr>
            </w:pPr>
            <w:r w:rsidRPr="00F92667">
              <w:rPr>
                <w:bCs/>
                <w:sz w:val="12"/>
                <w:szCs w:val="12"/>
              </w:rPr>
              <w:t>12</w:t>
            </w:r>
          </w:p>
        </w:tc>
        <w:tc>
          <w:tcPr>
            <w:tcW w:w="212" w:type="pct"/>
            <w:shd w:val="clear" w:color="auto" w:fill="auto"/>
            <w:tcMar>
              <w:left w:w="17" w:type="dxa"/>
              <w:right w:w="17" w:type="dxa"/>
            </w:tcMar>
            <w:vAlign w:val="center"/>
          </w:tcPr>
          <w:p w14:paraId="4B06C90D" w14:textId="77777777" w:rsidR="001C56BD" w:rsidRPr="00F92667" w:rsidRDefault="001C56BD" w:rsidP="008A5C11">
            <w:pPr>
              <w:jc w:val="center"/>
              <w:rPr>
                <w:bCs/>
                <w:sz w:val="12"/>
                <w:szCs w:val="12"/>
              </w:rPr>
            </w:pPr>
            <w:r w:rsidRPr="00F92667">
              <w:rPr>
                <w:bCs/>
                <w:sz w:val="12"/>
                <w:szCs w:val="12"/>
              </w:rPr>
              <w:t>13</w:t>
            </w:r>
          </w:p>
        </w:tc>
        <w:tc>
          <w:tcPr>
            <w:tcW w:w="218" w:type="pct"/>
            <w:gridSpan w:val="2"/>
            <w:shd w:val="clear" w:color="auto" w:fill="auto"/>
            <w:tcMar>
              <w:left w:w="17" w:type="dxa"/>
              <w:right w:w="17" w:type="dxa"/>
            </w:tcMar>
            <w:vAlign w:val="center"/>
          </w:tcPr>
          <w:p w14:paraId="5E5BD741" w14:textId="77777777" w:rsidR="001C56BD" w:rsidRPr="00F92667" w:rsidRDefault="001C56BD" w:rsidP="008A5C11">
            <w:pPr>
              <w:jc w:val="center"/>
              <w:rPr>
                <w:bCs/>
                <w:sz w:val="12"/>
                <w:szCs w:val="12"/>
              </w:rPr>
            </w:pPr>
            <w:r w:rsidRPr="00F92667">
              <w:rPr>
                <w:bCs/>
                <w:sz w:val="12"/>
                <w:szCs w:val="12"/>
              </w:rPr>
              <w:t>14</w:t>
            </w:r>
          </w:p>
        </w:tc>
        <w:tc>
          <w:tcPr>
            <w:tcW w:w="217" w:type="pct"/>
            <w:gridSpan w:val="2"/>
            <w:shd w:val="clear" w:color="auto" w:fill="auto"/>
            <w:tcMar>
              <w:left w:w="17" w:type="dxa"/>
              <w:right w:w="17" w:type="dxa"/>
            </w:tcMar>
            <w:vAlign w:val="center"/>
          </w:tcPr>
          <w:p w14:paraId="045DC929" w14:textId="77777777" w:rsidR="001C56BD" w:rsidRPr="00F92667" w:rsidRDefault="001C56BD" w:rsidP="008A5C11">
            <w:pPr>
              <w:jc w:val="center"/>
              <w:rPr>
                <w:bCs/>
                <w:sz w:val="12"/>
                <w:szCs w:val="12"/>
              </w:rPr>
            </w:pPr>
            <w:r w:rsidRPr="00F92667">
              <w:rPr>
                <w:bCs/>
                <w:sz w:val="12"/>
                <w:szCs w:val="12"/>
              </w:rPr>
              <w:t>15</w:t>
            </w:r>
          </w:p>
        </w:tc>
        <w:tc>
          <w:tcPr>
            <w:tcW w:w="206" w:type="pct"/>
            <w:gridSpan w:val="2"/>
            <w:tcMar>
              <w:left w:w="17" w:type="dxa"/>
              <w:right w:w="17" w:type="dxa"/>
            </w:tcMar>
            <w:vAlign w:val="center"/>
          </w:tcPr>
          <w:p w14:paraId="1CFAD6A1" w14:textId="77777777" w:rsidR="001C56BD" w:rsidRPr="00F92667" w:rsidRDefault="001C56BD" w:rsidP="008A5C11">
            <w:pPr>
              <w:jc w:val="center"/>
              <w:rPr>
                <w:bCs/>
                <w:sz w:val="12"/>
                <w:szCs w:val="12"/>
              </w:rPr>
            </w:pPr>
            <w:r w:rsidRPr="00F92667">
              <w:rPr>
                <w:bCs/>
                <w:sz w:val="12"/>
                <w:szCs w:val="12"/>
              </w:rPr>
              <w:t>16</w:t>
            </w:r>
          </w:p>
        </w:tc>
        <w:tc>
          <w:tcPr>
            <w:tcW w:w="217" w:type="pct"/>
            <w:gridSpan w:val="2"/>
            <w:tcMar>
              <w:left w:w="17" w:type="dxa"/>
              <w:right w:w="17" w:type="dxa"/>
            </w:tcMar>
            <w:vAlign w:val="center"/>
          </w:tcPr>
          <w:p w14:paraId="5E08A2D2" w14:textId="77777777" w:rsidR="001C56BD" w:rsidRPr="00F92667" w:rsidRDefault="001C56BD" w:rsidP="008A5C11">
            <w:pPr>
              <w:jc w:val="center"/>
              <w:rPr>
                <w:bCs/>
                <w:sz w:val="12"/>
                <w:szCs w:val="12"/>
              </w:rPr>
            </w:pPr>
            <w:r w:rsidRPr="00F92667">
              <w:rPr>
                <w:bCs/>
                <w:sz w:val="12"/>
                <w:szCs w:val="12"/>
              </w:rPr>
              <w:t>17</w:t>
            </w:r>
          </w:p>
        </w:tc>
        <w:tc>
          <w:tcPr>
            <w:tcW w:w="214" w:type="pct"/>
            <w:gridSpan w:val="2"/>
            <w:tcMar>
              <w:left w:w="17" w:type="dxa"/>
              <w:right w:w="17" w:type="dxa"/>
            </w:tcMar>
            <w:vAlign w:val="center"/>
          </w:tcPr>
          <w:p w14:paraId="0C5B454F" w14:textId="77777777" w:rsidR="001C56BD" w:rsidRPr="00F92667" w:rsidRDefault="001C56BD" w:rsidP="008A5C11">
            <w:pPr>
              <w:jc w:val="center"/>
              <w:rPr>
                <w:bCs/>
                <w:sz w:val="12"/>
                <w:szCs w:val="12"/>
              </w:rPr>
            </w:pPr>
            <w:r w:rsidRPr="00F92667">
              <w:rPr>
                <w:bCs/>
                <w:sz w:val="12"/>
                <w:szCs w:val="12"/>
              </w:rPr>
              <w:t>18</w:t>
            </w:r>
          </w:p>
        </w:tc>
        <w:tc>
          <w:tcPr>
            <w:tcW w:w="217" w:type="pct"/>
            <w:gridSpan w:val="2"/>
            <w:tcMar>
              <w:left w:w="17" w:type="dxa"/>
              <w:right w:w="17" w:type="dxa"/>
            </w:tcMar>
            <w:vAlign w:val="center"/>
          </w:tcPr>
          <w:p w14:paraId="247E9435" w14:textId="77777777" w:rsidR="001C56BD" w:rsidRPr="00F92667" w:rsidRDefault="001C56BD" w:rsidP="008A5C11">
            <w:pPr>
              <w:jc w:val="center"/>
              <w:rPr>
                <w:bCs/>
                <w:sz w:val="12"/>
                <w:szCs w:val="12"/>
              </w:rPr>
            </w:pPr>
            <w:r w:rsidRPr="00F92667">
              <w:rPr>
                <w:bCs/>
                <w:sz w:val="12"/>
                <w:szCs w:val="12"/>
              </w:rPr>
              <w:t>19</w:t>
            </w:r>
          </w:p>
        </w:tc>
        <w:tc>
          <w:tcPr>
            <w:tcW w:w="217" w:type="pct"/>
            <w:gridSpan w:val="2"/>
            <w:tcMar>
              <w:left w:w="17" w:type="dxa"/>
              <w:right w:w="17" w:type="dxa"/>
            </w:tcMar>
            <w:vAlign w:val="center"/>
          </w:tcPr>
          <w:p w14:paraId="27088B0C" w14:textId="77777777" w:rsidR="001C56BD" w:rsidRPr="00F92667" w:rsidRDefault="001C56BD" w:rsidP="008A5C11">
            <w:pPr>
              <w:jc w:val="center"/>
              <w:rPr>
                <w:bCs/>
                <w:sz w:val="12"/>
                <w:szCs w:val="12"/>
              </w:rPr>
            </w:pPr>
            <w:r w:rsidRPr="00F92667">
              <w:rPr>
                <w:bCs/>
                <w:sz w:val="12"/>
                <w:szCs w:val="12"/>
              </w:rPr>
              <w:t>20</w:t>
            </w:r>
          </w:p>
        </w:tc>
        <w:tc>
          <w:tcPr>
            <w:tcW w:w="214" w:type="pct"/>
            <w:gridSpan w:val="2"/>
            <w:tcMar>
              <w:left w:w="17" w:type="dxa"/>
              <w:right w:w="17" w:type="dxa"/>
            </w:tcMar>
            <w:vAlign w:val="center"/>
          </w:tcPr>
          <w:p w14:paraId="0DCB2461" w14:textId="77777777" w:rsidR="001C56BD" w:rsidRPr="00F92667" w:rsidRDefault="001C56BD" w:rsidP="008A5C11">
            <w:pPr>
              <w:jc w:val="center"/>
              <w:rPr>
                <w:bCs/>
                <w:sz w:val="12"/>
                <w:szCs w:val="12"/>
              </w:rPr>
            </w:pPr>
            <w:r w:rsidRPr="00F92667">
              <w:rPr>
                <w:bCs/>
                <w:sz w:val="12"/>
                <w:szCs w:val="12"/>
              </w:rPr>
              <w:t>21</w:t>
            </w:r>
          </w:p>
        </w:tc>
        <w:tc>
          <w:tcPr>
            <w:tcW w:w="247" w:type="pct"/>
            <w:gridSpan w:val="2"/>
            <w:tcMar>
              <w:left w:w="17" w:type="dxa"/>
              <w:right w:w="17" w:type="dxa"/>
            </w:tcMar>
            <w:vAlign w:val="center"/>
          </w:tcPr>
          <w:p w14:paraId="453F489F" w14:textId="77777777" w:rsidR="001C56BD" w:rsidRPr="00F92667" w:rsidRDefault="001C56BD" w:rsidP="008A5C11">
            <w:pPr>
              <w:jc w:val="center"/>
              <w:rPr>
                <w:bCs/>
                <w:sz w:val="12"/>
                <w:szCs w:val="12"/>
              </w:rPr>
            </w:pPr>
            <w:r w:rsidRPr="00F92667">
              <w:rPr>
                <w:bCs/>
                <w:sz w:val="12"/>
                <w:szCs w:val="12"/>
              </w:rPr>
              <w:t>22</w:t>
            </w:r>
          </w:p>
        </w:tc>
        <w:tc>
          <w:tcPr>
            <w:tcW w:w="173" w:type="pct"/>
            <w:tcMar>
              <w:left w:w="17" w:type="dxa"/>
              <w:right w:w="17" w:type="dxa"/>
            </w:tcMar>
            <w:vAlign w:val="center"/>
          </w:tcPr>
          <w:p w14:paraId="27D1DC1F" w14:textId="77777777" w:rsidR="001C56BD" w:rsidRPr="00F92667" w:rsidRDefault="001C56BD" w:rsidP="008A5C11">
            <w:pPr>
              <w:jc w:val="center"/>
              <w:rPr>
                <w:bCs/>
                <w:sz w:val="12"/>
                <w:szCs w:val="12"/>
              </w:rPr>
            </w:pPr>
            <w:r w:rsidRPr="00F92667">
              <w:rPr>
                <w:bCs/>
                <w:sz w:val="12"/>
                <w:szCs w:val="12"/>
              </w:rPr>
              <w:t>23</w:t>
            </w:r>
          </w:p>
        </w:tc>
        <w:tc>
          <w:tcPr>
            <w:tcW w:w="169" w:type="pct"/>
            <w:tcMar>
              <w:left w:w="17" w:type="dxa"/>
              <w:right w:w="17" w:type="dxa"/>
            </w:tcMar>
            <w:vAlign w:val="center"/>
          </w:tcPr>
          <w:p w14:paraId="38F65B5E" w14:textId="77777777" w:rsidR="001C56BD" w:rsidRPr="00F92667" w:rsidRDefault="001C56BD" w:rsidP="008A5C11">
            <w:pPr>
              <w:jc w:val="center"/>
              <w:rPr>
                <w:bCs/>
                <w:sz w:val="12"/>
                <w:szCs w:val="12"/>
              </w:rPr>
            </w:pPr>
            <w:r w:rsidRPr="00F92667">
              <w:rPr>
                <w:bCs/>
                <w:sz w:val="12"/>
                <w:szCs w:val="12"/>
              </w:rPr>
              <w:t>24</w:t>
            </w:r>
          </w:p>
        </w:tc>
      </w:tr>
      <w:tr w:rsidR="001C56BD" w:rsidRPr="00F92667" w14:paraId="6C8C628E" w14:textId="77777777" w:rsidTr="008A5C11">
        <w:trPr>
          <w:gridBefore w:val="1"/>
          <w:wBefore w:w="3" w:type="pct"/>
          <w:trHeight w:val="897"/>
        </w:trPr>
        <w:tc>
          <w:tcPr>
            <w:tcW w:w="129" w:type="pct"/>
            <w:shd w:val="clear" w:color="auto" w:fill="auto"/>
            <w:tcMar>
              <w:left w:w="17" w:type="dxa"/>
              <w:right w:w="17" w:type="dxa"/>
            </w:tcMar>
            <w:vAlign w:val="center"/>
          </w:tcPr>
          <w:p w14:paraId="7103F93F" w14:textId="77777777" w:rsidR="001C56BD" w:rsidRPr="00F92667" w:rsidRDefault="001C56BD" w:rsidP="008A5C11">
            <w:pPr>
              <w:jc w:val="center"/>
              <w:rPr>
                <w:sz w:val="12"/>
                <w:szCs w:val="12"/>
              </w:rPr>
            </w:pPr>
            <w:r w:rsidRPr="00F92667">
              <w:rPr>
                <w:sz w:val="12"/>
                <w:szCs w:val="12"/>
              </w:rPr>
              <w:t>3.1.29.</w:t>
            </w:r>
          </w:p>
        </w:tc>
        <w:tc>
          <w:tcPr>
            <w:tcW w:w="305" w:type="pct"/>
            <w:shd w:val="clear" w:color="auto" w:fill="auto"/>
            <w:tcMar>
              <w:left w:w="17" w:type="dxa"/>
              <w:right w:w="17" w:type="dxa"/>
            </w:tcMar>
            <w:vAlign w:val="center"/>
          </w:tcPr>
          <w:p w14:paraId="407DD887" w14:textId="77777777" w:rsidR="001C56BD" w:rsidRPr="00F92667" w:rsidRDefault="001C56BD" w:rsidP="008A5C11">
            <w:pPr>
              <w:rPr>
                <w:sz w:val="12"/>
                <w:szCs w:val="12"/>
              </w:rPr>
            </w:pPr>
            <w:r w:rsidRPr="00F92667">
              <w:rPr>
                <w:color w:val="000000"/>
                <w:sz w:val="12"/>
                <w:szCs w:val="12"/>
              </w:rPr>
              <w:t>Реконструкция тепловой сети с реестровым номером</w:t>
            </w:r>
            <w:r w:rsidRPr="00F92667">
              <w:rPr>
                <w:sz w:val="12"/>
                <w:szCs w:val="12"/>
              </w:rPr>
              <w:t xml:space="preserve"> 777301</w:t>
            </w:r>
          </w:p>
        </w:tc>
        <w:tc>
          <w:tcPr>
            <w:tcW w:w="304" w:type="pct"/>
            <w:shd w:val="clear" w:color="000000" w:fill="FFFFFF"/>
            <w:tcMar>
              <w:left w:w="17" w:type="dxa"/>
              <w:right w:w="17" w:type="dxa"/>
            </w:tcMar>
            <w:vAlign w:val="center"/>
          </w:tcPr>
          <w:p w14:paraId="36E88996" w14:textId="77777777" w:rsidR="001C56BD" w:rsidRPr="00F92667" w:rsidRDefault="001C56BD" w:rsidP="008A5C11">
            <w:pPr>
              <w:jc w:val="center"/>
              <w:rPr>
                <w:sz w:val="12"/>
                <w:szCs w:val="12"/>
              </w:rPr>
            </w:pPr>
            <w:r w:rsidRPr="00F92667">
              <w:rPr>
                <w:color w:val="000000"/>
                <w:sz w:val="12"/>
                <w:szCs w:val="12"/>
              </w:rPr>
              <w:t>Повышение надежности услуг теплоснабжения, повышение энергетической эффективности</w:t>
            </w:r>
          </w:p>
        </w:tc>
        <w:tc>
          <w:tcPr>
            <w:tcW w:w="258" w:type="pct"/>
            <w:shd w:val="clear" w:color="auto" w:fill="auto"/>
            <w:tcMar>
              <w:left w:w="17" w:type="dxa"/>
              <w:right w:w="17" w:type="dxa"/>
            </w:tcMar>
            <w:vAlign w:val="center"/>
          </w:tcPr>
          <w:p w14:paraId="11F31178" w14:textId="77777777" w:rsidR="001C56BD" w:rsidRPr="00F92667" w:rsidRDefault="001C56BD" w:rsidP="008A5C11">
            <w:pPr>
              <w:jc w:val="center"/>
              <w:rPr>
                <w:sz w:val="12"/>
                <w:szCs w:val="12"/>
              </w:rPr>
            </w:pPr>
            <w:r w:rsidRPr="00F92667">
              <w:rPr>
                <w:sz w:val="12"/>
                <w:szCs w:val="12"/>
              </w:rPr>
              <w:t>Кемеровский городской округ, Заводский район, квартал № 11, 12, в границах ул. Космическая, ул. Юрия Двужильного, ул. Баумана, ул. Радищева</w:t>
            </w:r>
          </w:p>
        </w:tc>
        <w:tc>
          <w:tcPr>
            <w:tcW w:w="294" w:type="pct"/>
            <w:shd w:val="clear" w:color="auto" w:fill="auto"/>
            <w:tcMar>
              <w:left w:w="17" w:type="dxa"/>
              <w:right w:w="17" w:type="dxa"/>
            </w:tcMar>
            <w:vAlign w:val="center"/>
          </w:tcPr>
          <w:p w14:paraId="34F1D122" w14:textId="77777777" w:rsidR="001C56BD" w:rsidRPr="00F92667" w:rsidRDefault="001C56BD" w:rsidP="008A5C11">
            <w:pPr>
              <w:jc w:val="center"/>
              <w:rPr>
                <w:sz w:val="12"/>
                <w:szCs w:val="12"/>
              </w:rPr>
            </w:pPr>
            <w:r w:rsidRPr="00F92667">
              <w:rPr>
                <w:color w:val="000000"/>
                <w:sz w:val="12"/>
                <w:szCs w:val="12"/>
              </w:rPr>
              <w:t>Технические характеристики</w:t>
            </w:r>
          </w:p>
        </w:tc>
        <w:tc>
          <w:tcPr>
            <w:tcW w:w="129" w:type="pct"/>
            <w:shd w:val="clear" w:color="auto" w:fill="auto"/>
            <w:tcMar>
              <w:left w:w="17" w:type="dxa"/>
              <w:right w:w="17" w:type="dxa"/>
            </w:tcMar>
            <w:vAlign w:val="center"/>
          </w:tcPr>
          <w:p w14:paraId="3BF0C318" w14:textId="77777777" w:rsidR="001C56BD" w:rsidRPr="00F92667" w:rsidRDefault="001C56BD" w:rsidP="008A5C11">
            <w:pPr>
              <w:jc w:val="center"/>
              <w:rPr>
                <w:color w:val="000000"/>
                <w:sz w:val="12"/>
                <w:szCs w:val="12"/>
              </w:rPr>
            </w:pPr>
          </w:p>
        </w:tc>
        <w:tc>
          <w:tcPr>
            <w:tcW w:w="184" w:type="pct"/>
            <w:shd w:val="clear" w:color="auto" w:fill="auto"/>
            <w:tcMar>
              <w:left w:w="17" w:type="dxa"/>
              <w:right w:w="17" w:type="dxa"/>
            </w:tcMar>
            <w:vAlign w:val="center"/>
          </w:tcPr>
          <w:p w14:paraId="1E793CF9" w14:textId="77777777" w:rsidR="001C56BD" w:rsidRPr="00F92667" w:rsidRDefault="001C56BD" w:rsidP="008A5C11">
            <w:pPr>
              <w:jc w:val="center"/>
              <w:rPr>
                <w:sz w:val="12"/>
                <w:szCs w:val="12"/>
              </w:rPr>
            </w:pPr>
            <w:r w:rsidRPr="00F92667">
              <w:rPr>
                <w:sz w:val="12"/>
                <w:szCs w:val="12"/>
              </w:rPr>
              <w:t xml:space="preserve">Канал-кирпич, опоры-хомутовые </w:t>
            </w:r>
            <w:proofErr w:type="gramStart"/>
            <w:r w:rsidRPr="00F92667">
              <w:rPr>
                <w:sz w:val="12"/>
                <w:szCs w:val="12"/>
              </w:rPr>
              <w:t>привар-ные</w:t>
            </w:r>
            <w:proofErr w:type="gramEnd"/>
            <w:r w:rsidRPr="00F92667">
              <w:rPr>
                <w:sz w:val="12"/>
                <w:szCs w:val="12"/>
              </w:rPr>
              <w:t xml:space="preserve">, запорная арматура - стальная клиновая, антикоррозийная защита-лак БТ, труба-сталь 20, изоляция - мин. маты </w:t>
            </w:r>
          </w:p>
        </w:tc>
        <w:tc>
          <w:tcPr>
            <w:tcW w:w="219" w:type="pct"/>
            <w:shd w:val="clear" w:color="auto" w:fill="auto"/>
            <w:tcMar>
              <w:left w:w="17" w:type="dxa"/>
              <w:right w:w="17" w:type="dxa"/>
            </w:tcMar>
            <w:vAlign w:val="center"/>
          </w:tcPr>
          <w:p w14:paraId="2C24DA59" w14:textId="77777777" w:rsidR="001C56BD" w:rsidRPr="00F92667" w:rsidRDefault="001C56BD" w:rsidP="008A5C11">
            <w:pPr>
              <w:jc w:val="center"/>
              <w:rPr>
                <w:sz w:val="12"/>
                <w:szCs w:val="12"/>
              </w:rPr>
            </w:pPr>
            <w:r w:rsidRPr="00F92667">
              <w:rPr>
                <w:sz w:val="12"/>
                <w:szCs w:val="12"/>
              </w:rPr>
              <w:t xml:space="preserve">Канал-ж/б лотки, опоры-хомутовые с диэлектрической прокладкой, запорная арматура - кран шаровый, антикоррозийная защита-мастика Вектор 1214, 1025, труба-сталь 09Г2С, изоляция - маты прошивные, </w:t>
            </w:r>
            <w:proofErr w:type="gramStart"/>
            <w:r w:rsidRPr="00F92667">
              <w:rPr>
                <w:sz w:val="12"/>
                <w:szCs w:val="12"/>
              </w:rPr>
              <w:t>стеклоплас-тик</w:t>
            </w:r>
            <w:proofErr w:type="gramEnd"/>
            <w:r w:rsidRPr="00F92667">
              <w:rPr>
                <w:sz w:val="12"/>
                <w:szCs w:val="12"/>
              </w:rPr>
              <w:t xml:space="preserve">  </w:t>
            </w:r>
          </w:p>
        </w:tc>
        <w:tc>
          <w:tcPr>
            <w:tcW w:w="130" w:type="pct"/>
            <w:shd w:val="clear" w:color="auto" w:fill="auto"/>
            <w:tcMar>
              <w:left w:w="17" w:type="dxa"/>
              <w:right w:w="17" w:type="dxa"/>
            </w:tcMar>
            <w:vAlign w:val="center"/>
          </w:tcPr>
          <w:p w14:paraId="1CD96386" w14:textId="77777777" w:rsidR="001C56BD" w:rsidRPr="00F92667" w:rsidRDefault="001C56BD" w:rsidP="008A5C11">
            <w:pPr>
              <w:jc w:val="center"/>
              <w:rPr>
                <w:sz w:val="12"/>
                <w:szCs w:val="12"/>
              </w:rPr>
            </w:pPr>
            <w:r w:rsidRPr="00F92667">
              <w:rPr>
                <w:sz w:val="12"/>
                <w:szCs w:val="12"/>
              </w:rPr>
              <w:t>2023</w:t>
            </w:r>
          </w:p>
        </w:tc>
        <w:tc>
          <w:tcPr>
            <w:tcW w:w="130" w:type="pct"/>
            <w:shd w:val="clear" w:color="auto" w:fill="auto"/>
            <w:tcMar>
              <w:left w:w="17" w:type="dxa"/>
              <w:right w:w="17" w:type="dxa"/>
            </w:tcMar>
            <w:vAlign w:val="center"/>
          </w:tcPr>
          <w:p w14:paraId="5ACBC154" w14:textId="77777777" w:rsidR="001C56BD" w:rsidRPr="00F92667" w:rsidRDefault="001C56BD" w:rsidP="008A5C11">
            <w:pPr>
              <w:jc w:val="center"/>
              <w:rPr>
                <w:sz w:val="12"/>
                <w:szCs w:val="12"/>
              </w:rPr>
            </w:pPr>
            <w:r w:rsidRPr="00F92667">
              <w:rPr>
                <w:sz w:val="12"/>
                <w:szCs w:val="12"/>
              </w:rPr>
              <w:t>2023</w:t>
            </w:r>
          </w:p>
        </w:tc>
        <w:tc>
          <w:tcPr>
            <w:tcW w:w="217" w:type="pct"/>
            <w:gridSpan w:val="2"/>
            <w:shd w:val="clear" w:color="auto" w:fill="auto"/>
            <w:tcMar>
              <w:left w:w="17" w:type="dxa"/>
              <w:right w:w="17" w:type="dxa"/>
            </w:tcMar>
            <w:vAlign w:val="center"/>
          </w:tcPr>
          <w:p w14:paraId="55C48F74" w14:textId="77777777" w:rsidR="001C56BD" w:rsidRPr="00F92667" w:rsidRDefault="001C56BD" w:rsidP="008A5C11">
            <w:pPr>
              <w:jc w:val="center"/>
              <w:rPr>
                <w:sz w:val="12"/>
                <w:szCs w:val="12"/>
              </w:rPr>
            </w:pPr>
            <w:r w:rsidRPr="00F92667">
              <w:rPr>
                <w:sz w:val="12"/>
                <w:szCs w:val="12"/>
              </w:rPr>
              <w:t>20638,572</w:t>
            </w:r>
          </w:p>
        </w:tc>
        <w:tc>
          <w:tcPr>
            <w:tcW w:w="177" w:type="pct"/>
            <w:gridSpan w:val="2"/>
            <w:shd w:val="clear" w:color="auto" w:fill="auto"/>
            <w:tcMar>
              <w:left w:w="17" w:type="dxa"/>
              <w:right w:w="17" w:type="dxa"/>
            </w:tcMar>
            <w:vAlign w:val="center"/>
          </w:tcPr>
          <w:p w14:paraId="70C02A1B" w14:textId="77777777" w:rsidR="001C56BD" w:rsidRPr="00F92667" w:rsidRDefault="001C56BD" w:rsidP="008A5C11">
            <w:pPr>
              <w:jc w:val="center"/>
              <w:rPr>
                <w:sz w:val="12"/>
                <w:szCs w:val="12"/>
              </w:rPr>
            </w:pPr>
            <w:r w:rsidRPr="00F92667">
              <w:rPr>
                <w:sz w:val="12"/>
                <w:szCs w:val="12"/>
              </w:rPr>
              <w:t>0,000</w:t>
            </w:r>
          </w:p>
        </w:tc>
        <w:tc>
          <w:tcPr>
            <w:tcW w:w="212" w:type="pct"/>
            <w:shd w:val="clear" w:color="auto" w:fill="auto"/>
            <w:tcMar>
              <w:left w:w="17" w:type="dxa"/>
              <w:right w:w="17" w:type="dxa"/>
            </w:tcMar>
            <w:vAlign w:val="center"/>
          </w:tcPr>
          <w:p w14:paraId="171C4D44" w14:textId="77777777" w:rsidR="001C56BD" w:rsidRPr="00F92667" w:rsidRDefault="001C56BD" w:rsidP="008A5C11">
            <w:pPr>
              <w:jc w:val="center"/>
              <w:rPr>
                <w:sz w:val="12"/>
                <w:szCs w:val="12"/>
              </w:rPr>
            </w:pPr>
            <w:r w:rsidRPr="00F92667">
              <w:rPr>
                <w:sz w:val="12"/>
                <w:szCs w:val="12"/>
              </w:rPr>
              <w:t>0,000</w:t>
            </w:r>
          </w:p>
        </w:tc>
        <w:tc>
          <w:tcPr>
            <w:tcW w:w="218" w:type="pct"/>
            <w:gridSpan w:val="2"/>
            <w:shd w:val="clear" w:color="auto" w:fill="auto"/>
            <w:tcMar>
              <w:left w:w="17" w:type="dxa"/>
              <w:right w:w="17" w:type="dxa"/>
            </w:tcMar>
            <w:vAlign w:val="center"/>
          </w:tcPr>
          <w:p w14:paraId="33CCDC22" w14:textId="77777777" w:rsidR="001C56BD" w:rsidRPr="00F92667" w:rsidRDefault="001C56BD" w:rsidP="008A5C11">
            <w:pPr>
              <w:jc w:val="center"/>
              <w:rPr>
                <w:sz w:val="12"/>
                <w:szCs w:val="12"/>
              </w:rPr>
            </w:pPr>
            <w:r w:rsidRPr="00F92667">
              <w:rPr>
                <w:sz w:val="12"/>
                <w:szCs w:val="12"/>
              </w:rPr>
              <w:t>20638,572</w:t>
            </w:r>
          </w:p>
        </w:tc>
        <w:tc>
          <w:tcPr>
            <w:tcW w:w="217" w:type="pct"/>
            <w:gridSpan w:val="2"/>
            <w:shd w:val="clear" w:color="auto" w:fill="auto"/>
            <w:tcMar>
              <w:left w:w="17" w:type="dxa"/>
              <w:right w:w="17" w:type="dxa"/>
            </w:tcMar>
            <w:vAlign w:val="center"/>
          </w:tcPr>
          <w:p w14:paraId="5525C131" w14:textId="77777777" w:rsidR="001C56BD" w:rsidRPr="00F92667" w:rsidRDefault="001C56BD" w:rsidP="008A5C11">
            <w:pPr>
              <w:jc w:val="center"/>
              <w:rPr>
                <w:sz w:val="12"/>
                <w:szCs w:val="12"/>
              </w:rPr>
            </w:pPr>
            <w:r w:rsidRPr="00F92667">
              <w:rPr>
                <w:sz w:val="12"/>
                <w:szCs w:val="12"/>
              </w:rPr>
              <w:t>0,000</w:t>
            </w:r>
          </w:p>
        </w:tc>
        <w:tc>
          <w:tcPr>
            <w:tcW w:w="206" w:type="pct"/>
            <w:gridSpan w:val="2"/>
            <w:shd w:val="clear" w:color="auto" w:fill="auto"/>
            <w:tcMar>
              <w:left w:w="17" w:type="dxa"/>
              <w:right w:w="17" w:type="dxa"/>
            </w:tcMar>
            <w:vAlign w:val="center"/>
          </w:tcPr>
          <w:p w14:paraId="24716186"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2CB71AA9" w14:textId="77777777" w:rsidR="001C56BD" w:rsidRPr="00F92667" w:rsidRDefault="001C56BD" w:rsidP="008A5C11">
            <w:pPr>
              <w:jc w:val="center"/>
              <w:rPr>
                <w:sz w:val="12"/>
                <w:szCs w:val="12"/>
              </w:rPr>
            </w:pPr>
            <w:r w:rsidRPr="00F92667">
              <w:rPr>
                <w:sz w:val="12"/>
                <w:szCs w:val="12"/>
              </w:rPr>
              <w:t>0,000</w:t>
            </w:r>
          </w:p>
        </w:tc>
        <w:tc>
          <w:tcPr>
            <w:tcW w:w="214" w:type="pct"/>
            <w:gridSpan w:val="2"/>
            <w:shd w:val="clear" w:color="auto" w:fill="auto"/>
            <w:tcMar>
              <w:left w:w="17" w:type="dxa"/>
              <w:right w:w="17" w:type="dxa"/>
            </w:tcMar>
            <w:vAlign w:val="center"/>
          </w:tcPr>
          <w:p w14:paraId="07869C17"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521ED7E6"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044D7F94" w14:textId="77777777" w:rsidR="001C56BD" w:rsidRPr="00F92667" w:rsidRDefault="001C56BD" w:rsidP="008A5C11">
            <w:pPr>
              <w:jc w:val="center"/>
              <w:rPr>
                <w:sz w:val="12"/>
                <w:szCs w:val="12"/>
              </w:rPr>
            </w:pPr>
            <w:r w:rsidRPr="00F92667">
              <w:rPr>
                <w:sz w:val="12"/>
                <w:szCs w:val="12"/>
              </w:rPr>
              <w:t>0,000</w:t>
            </w:r>
          </w:p>
        </w:tc>
        <w:tc>
          <w:tcPr>
            <w:tcW w:w="214" w:type="pct"/>
            <w:gridSpan w:val="2"/>
            <w:shd w:val="clear" w:color="auto" w:fill="auto"/>
            <w:tcMar>
              <w:left w:w="17" w:type="dxa"/>
              <w:right w:w="17" w:type="dxa"/>
            </w:tcMar>
            <w:vAlign w:val="center"/>
          </w:tcPr>
          <w:p w14:paraId="2C240F42" w14:textId="77777777" w:rsidR="001C56BD" w:rsidRPr="00F92667" w:rsidRDefault="001C56BD" w:rsidP="008A5C11">
            <w:pPr>
              <w:jc w:val="center"/>
              <w:rPr>
                <w:sz w:val="12"/>
                <w:szCs w:val="12"/>
              </w:rPr>
            </w:pPr>
            <w:r w:rsidRPr="00F92667">
              <w:rPr>
                <w:sz w:val="12"/>
                <w:szCs w:val="12"/>
              </w:rPr>
              <w:t>0,000</w:t>
            </w:r>
          </w:p>
        </w:tc>
        <w:tc>
          <w:tcPr>
            <w:tcW w:w="247" w:type="pct"/>
            <w:gridSpan w:val="2"/>
            <w:shd w:val="clear" w:color="auto" w:fill="auto"/>
            <w:tcMar>
              <w:left w:w="17" w:type="dxa"/>
              <w:right w:w="17" w:type="dxa"/>
            </w:tcMar>
            <w:vAlign w:val="center"/>
          </w:tcPr>
          <w:p w14:paraId="7E6A1D2E" w14:textId="77777777" w:rsidR="001C56BD" w:rsidRPr="00F92667" w:rsidRDefault="001C56BD" w:rsidP="008A5C11">
            <w:pPr>
              <w:jc w:val="center"/>
              <w:rPr>
                <w:sz w:val="12"/>
                <w:szCs w:val="12"/>
              </w:rPr>
            </w:pPr>
            <w:r w:rsidRPr="00F92667">
              <w:rPr>
                <w:sz w:val="12"/>
                <w:szCs w:val="12"/>
              </w:rPr>
              <w:t>0,000</w:t>
            </w:r>
          </w:p>
        </w:tc>
        <w:tc>
          <w:tcPr>
            <w:tcW w:w="173" w:type="pct"/>
            <w:shd w:val="clear" w:color="auto" w:fill="auto"/>
            <w:tcMar>
              <w:left w:w="17" w:type="dxa"/>
              <w:right w:w="17" w:type="dxa"/>
            </w:tcMar>
            <w:vAlign w:val="center"/>
          </w:tcPr>
          <w:p w14:paraId="47EE757B" w14:textId="77777777" w:rsidR="001C56BD" w:rsidRPr="00F92667" w:rsidRDefault="001C56BD" w:rsidP="008A5C11">
            <w:pPr>
              <w:jc w:val="center"/>
              <w:rPr>
                <w:sz w:val="12"/>
                <w:szCs w:val="12"/>
              </w:rPr>
            </w:pPr>
            <w:r w:rsidRPr="00F92667">
              <w:rPr>
                <w:sz w:val="12"/>
                <w:szCs w:val="12"/>
              </w:rPr>
              <w:t>0,000</w:t>
            </w:r>
          </w:p>
        </w:tc>
        <w:tc>
          <w:tcPr>
            <w:tcW w:w="169" w:type="pct"/>
            <w:shd w:val="clear" w:color="auto" w:fill="auto"/>
            <w:tcMar>
              <w:left w:w="17" w:type="dxa"/>
              <w:right w:w="17" w:type="dxa"/>
            </w:tcMar>
            <w:vAlign w:val="center"/>
          </w:tcPr>
          <w:p w14:paraId="221DCE9F" w14:textId="77777777" w:rsidR="001C56BD" w:rsidRPr="00F92667" w:rsidRDefault="001C56BD" w:rsidP="008A5C11">
            <w:pPr>
              <w:jc w:val="center"/>
              <w:rPr>
                <w:sz w:val="12"/>
                <w:szCs w:val="12"/>
              </w:rPr>
            </w:pPr>
            <w:r w:rsidRPr="00F92667">
              <w:rPr>
                <w:sz w:val="12"/>
                <w:szCs w:val="12"/>
              </w:rPr>
              <w:t>0,000</w:t>
            </w:r>
          </w:p>
        </w:tc>
      </w:tr>
      <w:tr w:rsidR="001C56BD" w:rsidRPr="00F92667" w14:paraId="5461469A" w14:textId="77777777" w:rsidTr="008A5C11">
        <w:trPr>
          <w:gridBefore w:val="1"/>
          <w:wBefore w:w="3" w:type="pct"/>
          <w:trHeight w:val="897"/>
        </w:trPr>
        <w:tc>
          <w:tcPr>
            <w:tcW w:w="129" w:type="pct"/>
            <w:shd w:val="clear" w:color="auto" w:fill="auto"/>
            <w:tcMar>
              <w:left w:w="17" w:type="dxa"/>
              <w:right w:w="17" w:type="dxa"/>
            </w:tcMar>
            <w:vAlign w:val="center"/>
          </w:tcPr>
          <w:p w14:paraId="60ADD5A6" w14:textId="77777777" w:rsidR="001C56BD" w:rsidRPr="00F92667" w:rsidRDefault="001C56BD" w:rsidP="008A5C11">
            <w:pPr>
              <w:jc w:val="center"/>
              <w:rPr>
                <w:sz w:val="12"/>
                <w:szCs w:val="12"/>
              </w:rPr>
            </w:pPr>
            <w:r w:rsidRPr="00F92667">
              <w:rPr>
                <w:sz w:val="12"/>
                <w:szCs w:val="12"/>
              </w:rPr>
              <w:t>3.1.30.</w:t>
            </w:r>
          </w:p>
        </w:tc>
        <w:tc>
          <w:tcPr>
            <w:tcW w:w="305" w:type="pct"/>
            <w:shd w:val="clear" w:color="auto" w:fill="auto"/>
            <w:tcMar>
              <w:left w:w="17" w:type="dxa"/>
              <w:right w:w="17" w:type="dxa"/>
            </w:tcMar>
            <w:vAlign w:val="center"/>
          </w:tcPr>
          <w:p w14:paraId="07EA2916" w14:textId="77777777" w:rsidR="001C56BD" w:rsidRPr="00F92667" w:rsidRDefault="001C56BD" w:rsidP="008A5C11">
            <w:pPr>
              <w:rPr>
                <w:sz w:val="12"/>
                <w:szCs w:val="12"/>
              </w:rPr>
            </w:pPr>
            <w:r w:rsidRPr="00F92667">
              <w:rPr>
                <w:color w:val="000000"/>
                <w:sz w:val="12"/>
                <w:szCs w:val="12"/>
              </w:rPr>
              <w:t>Реконструкция тепловой сети с реестровым номером</w:t>
            </w:r>
            <w:r w:rsidRPr="00F92667">
              <w:rPr>
                <w:sz w:val="12"/>
                <w:szCs w:val="12"/>
              </w:rPr>
              <w:t xml:space="preserve"> 777388</w:t>
            </w:r>
          </w:p>
        </w:tc>
        <w:tc>
          <w:tcPr>
            <w:tcW w:w="304" w:type="pct"/>
            <w:shd w:val="clear" w:color="000000" w:fill="FFFFFF"/>
            <w:tcMar>
              <w:left w:w="17" w:type="dxa"/>
              <w:right w:w="17" w:type="dxa"/>
            </w:tcMar>
            <w:vAlign w:val="center"/>
          </w:tcPr>
          <w:p w14:paraId="3D36D40F" w14:textId="77777777" w:rsidR="001C56BD" w:rsidRPr="00F92667" w:rsidRDefault="001C56BD" w:rsidP="008A5C11">
            <w:pPr>
              <w:jc w:val="center"/>
              <w:rPr>
                <w:sz w:val="12"/>
                <w:szCs w:val="12"/>
              </w:rPr>
            </w:pPr>
            <w:r w:rsidRPr="00F92667">
              <w:rPr>
                <w:color w:val="000000"/>
                <w:sz w:val="12"/>
                <w:szCs w:val="12"/>
              </w:rPr>
              <w:t>Повышение надежности услуг теплоснабжения, повышение энергетической эффективности</w:t>
            </w:r>
          </w:p>
        </w:tc>
        <w:tc>
          <w:tcPr>
            <w:tcW w:w="258" w:type="pct"/>
            <w:shd w:val="clear" w:color="auto" w:fill="auto"/>
            <w:tcMar>
              <w:left w:w="17" w:type="dxa"/>
              <w:right w:w="17" w:type="dxa"/>
            </w:tcMar>
            <w:vAlign w:val="center"/>
          </w:tcPr>
          <w:p w14:paraId="7B721D96" w14:textId="77777777" w:rsidR="001C56BD" w:rsidRPr="00F92667" w:rsidRDefault="001C56BD" w:rsidP="008A5C11">
            <w:pPr>
              <w:jc w:val="center"/>
              <w:rPr>
                <w:sz w:val="12"/>
                <w:szCs w:val="12"/>
              </w:rPr>
            </w:pPr>
            <w:r w:rsidRPr="00F92667">
              <w:rPr>
                <w:sz w:val="12"/>
                <w:szCs w:val="12"/>
              </w:rPr>
              <w:t>Кемеровский городской округ, Заводский район, квартал № 54, в границах ул. Сибиряков-Гвардейцев, ул. Мичурина, ул. Федоровского, ул. Пролетарская</w:t>
            </w:r>
          </w:p>
        </w:tc>
        <w:tc>
          <w:tcPr>
            <w:tcW w:w="294" w:type="pct"/>
            <w:shd w:val="clear" w:color="auto" w:fill="auto"/>
            <w:tcMar>
              <w:left w:w="17" w:type="dxa"/>
              <w:right w:w="17" w:type="dxa"/>
            </w:tcMar>
            <w:vAlign w:val="center"/>
          </w:tcPr>
          <w:p w14:paraId="63E5F109" w14:textId="77777777" w:rsidR="001C56BD" w:rsidRPr="00F92667" w:rsidRDefault="001C56BD" w:rsidP="008A5C11">
            <w:pPr>
              <w:jc w:val="center"/>
              <w:rPr>
                <w:sz w:val="12"/>
                <w:szCs w:val="12"/>
              </w:rPr>
            </w:pPr>
            <w:r w:rsidRPr="00F92667">
              <w:rPr>
                <w:color w:val="000000"/>
                <w:sz w:val="12"/>
                <w:szCs w:val="12"/>
              </w:rPr>
              <w:t>Технические характеристики</w:t>
            </w:r>
          </w:p>
        </w:tc>
        <w:tc>
          <w:tcPr>
            <w:tcW w:w="129" w:type="pct"/>
            <w:shd w:val="clear" w:color="auto" w:fill="auto"/>
            <w:tcMar>
              <w:left w:w="17" w:type="dxa"/>
              <w:right w:w="17" w:type="dxa"/>
            </w:tcMar>
            <w:vAlign w:val="center"/>
          </w:tcPr>
          <w:p w14:paraId="075CD5B1" w14:textId="77777777" w:rsidR="001C56BD" w:rsidRPr="00F92667" w:rsidRDefault="001C56BD" w:rsidP="008A5C11">
            <w:pPr>
              <w:jc w:val="center"/>
              <w:rPr>
                <w:color w:val="000000"/>
                <w:sz w:val="12"/>
                <w:szCs w:val="12"/>
              </w:rPr>
            </w:pPr>
          </w:p>
        </w:tc>
        <w:tc>
          <w:tcPr>
            <w:tcW w:w="184" w:type="pct"/>
            <w:shd w:val="clear" w:color="auto" w:fill="auto"/>
            <w:tcMar>
              <w:left w:w="17" w:type="dxa"/>
              <w:right w:w="17" w:type="dxa"/>
            </w:tcMar>
            <w:vAlign w:val="center"/>
          </w:tcPr>
          <w:p w14:paraId="0F7E9E9A" w14:textId="77777777" w:rsidR="001C56BD" w:rsidRPr="00F92667" w:rsidRDefault="001C56BD" w:rsidP="008A5C11">
            <w:pPr>
              <w:jc w:val="center"/>
              <w:rPr>
                <w:sz w:val="12"/>
                <w:szCs w:val="12"/>
              </w:rPr>
            </w:pPr>
            <w:r w:rsidRPr="00F92667">
              <w:rPr>
                <w:sz w:val="12"/>
                <w:szCs w:val="12"/>
              </w:rPr>
              <w:t xml:space="preserve">Канал-кирпич, опоры-хомутовые </w:t>
            </w:r>
            <w:proofErr w:type="gramStart"/>
            <w:r w:rsidRPr="00F92667">
              <w:rPr>
                <w:sz w:val="12"/>
                <w:szCs w:val="12"/>
              </w:rPr>
              <w:t>привар-ные</w:t>
            </w:r>
            <w:proofErr w:type="gramEnd"/>
            <w:r w:rsidRPr="00F92667">
              <w:rPr>
                <w:sz w:val="12"/>
                <w:szCs w:val="12"/>
              </w:rPr>
              <w:t xml:space="preserve">, запорная арматура - стальная клиновая, антикоррозийная защита-лак БТ, труба-сталь 20, изоляция - мин. маты </w:t>
            </w:r>
          </w:p>
        </w:tc>
        <w:tc>
          <w:tcPr>
            <w:tcW w:w="219" w:type="pct"/>
            <w:shd w:val="clear" w:color="auto" w:fill="auto"/>
            <w:tcMar>
              <w:left w:w="17" w:type="dxa"/>
              <w:right w:w="17" w:type="dxa"/>
            </w:tcMar>
            <w:vAlign w:val="center"/>
          </w:tcPr>
          <w:p w14:paraId="07972F5F" w14:textId="77777777" w:rsidR="001C56BD" w:rsidRPr="00F92667" w:rsidRDefault="001C56BD" w:rsidP="008A5C11">
            <w:pPr>
              <w:jc w:val="center"/>
              <w:rPr>
                <w:sz w:val="12"/>
                <w:szCs w:val="12"/>
              </w:rPr>
            </w:pPr>
            <w:r w:rsidRPr="00F92667">
              <w:rPr>
                <w:sz w:val="12"/>
                <w:szCs w:val="12"/>
              </w:rPr>
              <w:t xml:space="preserve">Канал-ж/б лотки, опоры-хомутовые с диэлектрической прокладкой, запорная арматура - кран шаровый, антикоррозийная защита-мастика Вектор 1214, 1025, труба-сталь 09Г2С, изоляция - маты прошивные, </w:t>
            </w:r>
            <w:proofErr w:type="gramStart"/>
            <w:r w:rsidRPr="00F92667">
              <w:rPr>
                <w:sz w:val="12"/>
                <w:szCs w:val="12"/>
              </w:rPr>
              <w:t>стеклоплас-тик</w:t>
            </w:r>
            <w:proofErr w:type="gramEnd"/>
            <w:r w:rsidRPr="00F92667">
              <w:rPr>
                <w:sz w:val="12"/>
                <w:szCs w:val="12"/>
              </w:rPr>
              <w:t xml:space="preserve">  </w:t>
            </w:r>
          </w:p>
        </w:tc>
        <w:tc>
          <w:tcPr>
            <w:tcW w:w="130" w:type="pct"/>
            <w:shd w:val="clear" w:color="auto" w:fill="auto"/>
            <w:tcMar>
              <w:left w:w="17" w:type="dxa"/>
              <w:right w:w="17" w:type="dxa"/>
            </w:tcMar>
            <w:vAlign w:val="center"/>
          </w:tcPr>
          <w:p w14:paraId="4E01168B" w14:textId="77777777" w:rsidR="001C56BD" w:rsidRPr="00F92667" w:rsidRDefault="001C56BD" w:rsidP="008A5C11">
            <w:pPr>
              <w:jc w:val="center"/>
              <w:rPr>
                <w:sz w:val="12"/>
                <w:szCs w:val="12"/>
              </w:rPr>
            </w:pPr>
            <w:r w:rsidRPr="00F92667">
              <w:rPr>
                <w:sz w:val="12"/>
                <w:szCs w:val="12"/>
              </w:rPr>
              <w:t>2023</w:t>
            </w:r>
          </w:p>
        </w:tc>
        <w:tc>
          <w:tcPr>
            <w:tcW w:w="130" w:type="pct"/>
            <w:shd w:val="clear" w:color="auto" w:fill="auto"/>
            <w:tcMar>
              <w:left w:w="17" w:type="dxa"/>
              <w:right w:w="17" w:type="dxa"/>
            </w:tcMar>
            <w:vAlign w:val="center"/>
          </w:tcPr>
          <w:p w14:paraId="1ACAB3D5" w14:textId="77777777" w:rsidR="001C56BD" w:rsidRPr="00F92667" w:rsidRDefault="001C56BD" w:rsidP="008A5C11">
            <w:pPr>
              <w:jc w:val="center"/>
              <w:rPr>
                <w:sz w:val="12"/>
                <w:szCs w:val="12"/>
              </w:rPr>
            </w:pPr>
            <w:r w:rsidRPr="00F92667">
              <w:rPr>
                <w:sz w:val="12"/>
                <w:szCs w:val="12"/>
              </w:rPr>
              <w:t>2027</w:t>
            </w:r>
          </w:p>
        </w:tc>
        <w:tc>
          <w:tcPr>
            <w:tcW w:w="217" w:type="pct"/>
            <w:gridSpan w:val="2"/>
            <w:shd w:val="clear" w:color="auto" w:fill="auto"/>
            <w:tcMar>
              <w:left w:w="17" w:type="dxa"/>
              <w:right w:w="17" w:type="dxa"/>
            </w:tcMar>
            <w:vAlign w:val="center"/>
          </w:tcPr>
          <w:p w14:paraId="6D61A3FB" w14:textId="77777777" w:rsidR="001C56BD" w:rsidRPr="00F92667" w:rsidRDefault="001C56BD" w:rsidP="008A5C11">
            <w:pPr>
              <w:jc w:val="center"/>
              <w:rPr>
                <w:sz w:val="12"/>
                <w:szCs w:val="12"/>
              </w:rPr>
            </w:pPr>
            <w:r w:rsidRPr="00F92667">
              <w:rPr>
                <w:sz w:val="12"/>
                <w:szCs w:val="12"/>
              </w:rPr>
              <w:t>33396,492</w:t>
            </w:r>
          </w:p>
        </w:tc>
        <w:tc>
          <w:tcPr>
            <w:tcW w:w="177" w:type="pct"/>
            <w:gridSpan w:val="2"/>
            <w:shd w:val="clear" w:color="auto" w:fill="auto"/>
            <w:tcMar>
              <w:left w:w="17" w:type="dxa"/>
              <w:right w:w="17" w:type="dxa"/>
            </w:tcMar>
            <w:vAlign w:val="center"/>
          </w:tcPr>
          <w:p w14:paraId="55DCB776" w14:textId="77777777" w:rsidR="001C56BD" w:rsidRPr="00F92667" w:rsidRDefault="001C56BD" w:rsidP="008A5C11">
            <w:pPr>
              <w:jc w:val="center"/>
              <w:rPr>
                <w:sz w:val="12"/>
                <w:szCs w:val="12"/>
              </w:rPr>
            </w:pPr>
            <w:r w:rsidRPr="00F92667">
              <w:rPr>
                <w:sz w:val="12"/>
                <w:szCs w:val="12"/>
              </w:rPr>
              <w:t>0,000</w:t>
            </w:r>
          </w:p>
        </w:tc>
        <w:tc>
          <w:tcPr>
            <w:tcW w:w="212" w:type="pct"/>
            <w:shd w:val="clear" w:color="auto" w:fill="auto"/>
            <w:tcMar>
              <w:left w:w="17" w:type="dxa"/>
              <w:right w:w="17" w:type="dxa"/>
            </w:tcMar>
            <w:vAlign w:val="center"/>
          </w:tcPr>
          <w:p w14:paraId="0F771DA2" w14:textId="77777777" w:rsidR="001C56BD" w:rsidRPr="00F92667" w:rsidRDefault="001C56BD" w:rsidP="008A5C11">
            <w:pPr>
              <w:jc w:val="center"/>
              <w:rPr>
                <w:sz w:val="12"/>
                <w:szCs w:val="12"/>
              </w:rPr>
            </w:pPr>
            <w:r w:rsidRPr="00F92667">
              <w:rPr>
                <w:sz w:val="12"/>
                <w:szCs w:val="12"/>
              </w:rPr>
              <w:t>0,000</w:t>
            </w:r>
          </w:p>
        </w:tc>
        <w:tc>
          <w:tcPr>
            <w:tcW w:w="218" w:type="pct"/>
            <w:gridSpan w:val="2"/>
            <w:shd w:val="clear" w:color="auto" w:fill="auto"/>
            <w:tcMar>
              <w:left w:w="17" w:type="dxa"/>
              <w:right w:w="17" w:type="dxa"/>
            </w:tcMar>
            <w:vAlign w:val="center"/>
          </w:tcPr>
          <w:p w14:paraId="67B89BAD" w14:textId="77777777" w:rsidR="001C56BD" w:rsidRPr="00F92667" w:rsidRDefault="001C56BD" w:rsidP="008A5C11">
            <w:pPr>
              <w:jc w:val="center"/>
              <w:rPr>
                <w:sz w:val="12"/>
                <w:szCs w:val="12"/>
              </w:rPr>
            </w:pPr>
            <w:r w:rsidRPr="00F92667">
              <w:rPr>
                <w:sz w:val="12"/>
                <w:szCs w:val="12"/>
              </w:rPr>
              <w:t>20373,732</w:t>
            </w:r>
          </w:p>
        </w:tc>
        <w:tc>
          <w:tcPr>
            <w:tcW w:w="217" w:type="pct"/>
            <w:gridSpan w:val="2"/>
            <w:shd w:val="clear" w:color="auto" w:fill="auto"/>
            <w:tcMar>
              <w:left w:w="17" w:type="dxa"/>
              <w:right w:w="17" w:type="dxa"/>
            </w:tcMar>
            <w:vAlign w:val="center"/>
          </w:tcPr>
          <w:p w14:paraId="30393528" w14:textId="77777777" w:rsidR="001C56BD" w:rsidRPr="00F92667" w:rsidRDefault="001C56BD" w:rsidP="008A5C11">
            <w:pPr>
              <w:jc w:val="center"/>
              <w:rPr>
                <w:sz w:val="12"/>
                <w:szCs w:val="12"/>
              </w:rPr>
            </w:pPr>
            <w:r w:rsidRPr="00F92667">
              <w:rPr>
                <w:sz w:val="12"/>
                <w:szCs w:val="12"/>
              </w:rPr>
              <w:t>0,000</w:t>
            </w:r>
          </w:p>
        </w:tc>
        <w:tc>
          <w:tcPr>
            <w:tcW w:w="206" w:type="pct"/>
            <w:gridSpan w:val="2"/>
            <w:shd w:val="clear" w:color="auto" w:fill="auto"/>
            <w:tcMar>
              <w:left w:w="17" w:type="dxa"/>
              <w:right w:w="17" w:type="dxa"/>
            </w:tcMar>
            <w:vAlign w:val="center"/>
          </w:tcPr>
          <w:p w14:paraId="1DB91C4B"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617F3E23" w14:textId="77777777" w:rsidR="001C56BD" w:rsidRPr="00F92667" w:rsidRDefault="001C56BD" w:rsidP="008A5C11">
            <w:pPr>
              <w:jc w:val="center"/>
              <w:rPr>
                <w:sz w:val="12"/>
                <w:szCs w:val="12"/>
              </w:rPr>
            </w:pPr>
            <w:r w:rsidRPr="00F92667">
              <w:rPr>
                <w:sz w:val="12"/>
                <w:szCs w:val="12"/>
              </w:rPr>
              <w:t>0,000</w:t>
            </w:r>
          </w:p>
        </w:tc>
        <w:tc>
          <w:tcPr>
            <w:tcW w:w="214" w:type="pct"/>
            <w:gridSpan w:val="2"/>
            <w:shd w:val="clear" w:color="auto" w:fill="auto"/>
            <w:tcMar>
              <w:left w:w="17" w:type="dxa"/>
              <w:right w:w="17" w:type="dxa"/>
            </w:tcMar>
            <w:vAlign w:val="center"/>
          </w:tcPr>
          <w:p w14:paraId="697FBD33" w14:textId="77777777" w:rsidR="001C56BD" w:rsidRPr="00F92667" w:rsidRDefault="001C56BD" w:rsidP="008A5C11">
            <w:pPr>
              <w:jc w:val="center"/>
              <w:rPr>
                <w:sz w:val="12"/>
                <w:szCs w:val="12"/>
              </w:rPr>
            </w:pPr>
            <w:r w:rsidRPr="00F92667">
              <w:rPr>
                <w:sz w:val="12"/>
                <w:szCs w:val="12"/>
              </w:rPr>
              <w:t>13022,760</w:t>
            </w:r>
          </w:p>
        </w:tc>
        <w:tc>
          <w:tcPr>
            <w:tcW w:w="217" w:type="pct"/>
            <w:gridSpan w:val="2"/>
            <w:shd w:val="clear" w:color="auto" w:fill="auto"/>
            <w:tcMar>
              <w:left w:w="17" w:type="dxa"/>
              <w:right w:w="17" w:type="dxa"/>
            </w:tcMar>
            <w:vAlign w:val="center"/>
          </w:tcPr>
          <w:p w14:paraId="648A2A5D"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23880DA6" w14:textId="77777777" w:rsidR="001C56BD" w:rsidRPr="00F92667" w:rsidRDefault="001C56BD" w:rsidP="008A5C11">
            <w:pPr>
              <w:jc w:val="center"/>
              <w:rPr>
                <w:sz w:val="12"/>
                <w:szCs w:val="12"/>
              </w:rPr>
            </w:pPr>
            <w:r w:rsidRPr="00F92667">
              <w:rPr>
                <w:sz w:val="12"/>
                <w:szCs w:val="12"/>
              </w:rPr>
              <w:t>0,000</w:t>
            </w:r>
          </w:p>
        </w:tc>
        <w:tc>
          <w:tcPr>
            <w:tcW w:w="214" w:type="pct"/>
            <w:gridSpan w:val="2"/>
            <w:shd w:val="clear" w:color="auto" w:fill="auto"/>
            <w:tcMar>
              <w:left w:w="17" w:type="dxa"/>
              <w:right w:w="17" w:type="dxa"/>
            </w:tcMar>
            <w:vAlign w:val="center"/>
          </w:tcPr>
          <w:p w14:paraId="3580674E" w14:textId="77777777" w:rsidR="001C56BD" w:rsidRPr="00F92667" w:rsidRDefault="001C56BD" w:rsidP="008A5C11">
            <w:pPr>
              <w:jc w:val="center"/>
              <w:rPr>
                <w:sz w:val="12"/>
                <w:szCs w:val="12"/>
              </w:rPr>
            </w:pPr>
            <w:r w:rsidRPr="00F92667">
              <w:rPr>
                <w:sz w:val="12"/>
                <w:szCs w:val="12"/>
              </w:rPr>
              <w:t>0,000</w:t>
            </w:r>
          </w:p>
        </w:tc>
        <w:tc>
          <w:tcPr>
            <w:tcW w:w="247" w:type="pct"/>
            <w:gridSpan w:val="2"/>
            <w:shd w:val="clear" w:color="auto" w:fill="auto"/>
            <w:tcMar>
              <w:left w:w="17" w:type="dxa"/>
              <w:right w:w="17" w:type="dxa"/>
            </w:tcMar>
            <w:vAlign w:val="center"/>
          </w:tcPr>
          <w:p w14:paraId="1A07F88D" w14:textId="77777777" w:rsidR="001C56BD" w:rsidRPr="00F92667" w:rsidRDefault="001C56BD" w:rsidP="008A5C11">
            <w:pPr>
              <w:jc w:val="center"/>
              <w:rPr>
                <w:sz w:val="12"/>
                <w:szCs w:val="12"/>
              </w:rPr>
            </w:pPr>
            <w:r w:rsidRPr="00F92667">
              <w:rPr>
                <w:sz w:val="12"/>
                <w:szCs w:val="12"/>
              </w:rPr>
              <w:t>0,000</w:t>
            </w:r>
          </w:p>
        </w:tc>
        <w:tc>
          <w:tcPr>
            <w:tcW w:w="173" w:type="pct"/>
            <w:shd w:val="clear" w:color="auto" w:fill="auto"/>
            <w:tcMar>
              <w:left w:w="17" w:type="dxa"/>
              <w:right w:w="17" w:type="dxa"/>
            </w:tcMar>
            <w:vAlign w:val="center"/>
          </w:tcPr>
          <w:p w14:paraId="3ED6EB33" w14:textId="77777777" w:rsidR="001C56BD" w:rsidRPr="00F92667" w:rsidRDefault="001C56BD" w:rsidP="008A5C11">
            <w:pPr>
              <w:jc w:val="center"/>
              <w:rPr>
                <w:sz w:val="12"/>
                <w:szCs w:val="12"/>
              </w:rPr>
            </w:pPr>
            <w:r w:rsidRPr="00F92667">
              <w:rPr>
                <w:sz w:val="12"/>
                <w:szCs w:val="12"/>
              </w:rPr>
              <w:t>0,000</w:t>
            </w:r>
          </w:p>
        </w:tc>
        <w:tc>
          <w:tcPr>
            <w:tcW w:w="169" w:type="pct"/>
            <w:shd w:val="clear" w:color="auto" w:fill="auto"/>
            <w:tcMar>
              <w:left w:w="17" w:type="dxa"/>
              <w:right w:w="17" w:type="dxa"/>
            </w:tcMar>
            <w:vAlign w:val="center"/>
          </w:tcPr>
          <w:p w14:paraId="5609E349" w14:textId="77777777" w:rsidR="001C56BD" w:rsidRPr="00F92667" w:rsidRDefault="001C56BD" w:rsidP="008A5C11">
            <w:pPr>
              <w:jc w:val="center"/>
              <w:rPr>
                <w:sz w:val="12"/>
                <w:szCs w:val="12"/>
              </w:rPr>
            </w:pPr>
            <w:r w:rsidRPr="00F92667">
              <w:rPr>
                <w:sz w:val="12"/>
                <w:szCs w:val="12"/>
              </w:rPr>
              <w:t>0,000</w:t>
            </w:r>
          </w:p>
        </w:tc>
      </w:tr>
      <w:tr w:rsidR="001C56BD" w:rsidRPr="00F92667" w14:paraId="47FB43C9" w14:textId="77777777" w:rsidTr="008A5C11">
        <w:trPr>
          <w:gridBefore w:val="1"/>
          <w:wBefore w:w="3" w:type="pct"/>
          <w:trHeight w:val="897"/>
        </w:trPr>
        <w:tc>
          <w:tcPr>
            <w:tcW w:w="129" w:type="pct"/>
            <w:shd w:val="clear" w:color="auto" w:fill="auto"/>
            <w:tcMar>
              <w:left w:w="17" w:type="dxa"/>
              <w:right w:w="17" w:type="dxa"/>
            </w:tcMar>
            <w:vAlign w:val="center"/>
          </w:tcPr>
          <w:p w14:paraId="32DE6F0B" w14:textId="77777777" w:rsidR="001C56BD" w:rsidRPr="00F92667" w:rsidRDefault="001C56BD" w:rsidP="008A5C11">
            <w:pPr>
              <w:jc w:val="center"/>
              <w:rPr>
                <w:sz w:val="12"/>
                <w:szCs w:val="12"/>
              </w:rPr>
            </w:pPr>
            <w:r w:rsidRPr="00F92667">
              <w:rPr>
                <w:sz w:val="12"/>
                <w:szCs w:val="12"/>
              </w:rPr>
              <w:t>3.1.31.</w:t>
            </w:r>
          </w:p>
        </w:tc>
        <w:tc>
          <w:tcPr>
            <w:tcW w:w="305" w:type="pct"/>
            <w:shd w:val="clear" w:color="auto" w:fill="auto"/>
            <w:tcMar>
              <w:left w:w="17" w:type="dxa"/>
              <w:right w:w="17" w:type="dxa"/>
            </w:tcMar>
            <w:vAlign w:val="center"/>
          </w:tcPr>
          <w:p w14:paraId="1A56BE75" w14:textId="77777777" w:rsidR="001C56BD" w:rsidRPr="00F92667" w:rsidRDefault="001C56BD" w:rsidP="008A5C11">
            <w:pPr>
              <w:rPr>
                <w:sz w:val="12"/>
                <w:szCs w:val="12"/>
              </w:rPr>
            </w:pPr>
            <w:r w:rsidRPr="00F92667">
              <w:rPr>
                <w:color w:val="000000"/>
                <w:sz w:val="12"/>
                <w:szCs w:val="12"/>
              </w:rPr>
              <w:t>Реконструкция тепловой сети с реестровым номером</w:t>
            </w:r>
            <w:r w:rsidRPr="00F92667">
              <w:rPr>
                <w:sz w:val="12"/>
                <w:szCs w:val="12"/>
              </w:rPr>
              <w:t xml:space="preserve"> 777390</w:t>
            </w:r>
          </w:p>
        </w:tc>
        <w:tc>
          <w:tcPr>
            <w:tcW w:w="304" w:type="pct"/>
            <w:shd w:val="clear" w:color="000000" w:fill="FFFFFF"/>
            <w:tcMar>
              <w:left w:w="17" w:type="dxa"/>
              <w:right w:w="17" w:type="dxa"/>
            </w:tcMar>
            <w:vAlign w:val="center"/>
          </w:tcPr>
          <w:p w14:paraId="0CD55098" w14:textId="77777777" w:rsidR="001C56BD" w:rsidRPr="00F92667" w:rsidRDefault="001C56BD" w:rsidP="008A5C11">
            <w:pPr>
              <w:jc w:val="center"/>
              <w:rPr>
                <w:sz w:val="12"/>
                <w:szCs w:val="12"/>
              </w:rPr>
            </w:pPr>
            <w:r w:rsidRPr="00F92667">
              <w:rPr>
                <w:color w:val="000000"/>
                <w:sz w:val="12"/>
                <w:szCs w:val="12"/>
              </w:rPr>
              <w:t>Повышение надежности услуг теплоснабжения, повышение энергетической эффективности</w:t>
            </w:r>
          </w:p>
        </w:tc>
        <w:tc>
          <w:tcPr>
            <w:tcW w:w="258" w:type="pct"/>
            <w:shd w:val="clear" w:color="auto" w:fill="auto"/>
            <w:tcMar>
              <w:left w:w="17" w:type="dxa"/>
              <w:right w:w="17" w:type="dxa"/>
            </w:tcMar>
            <w:vAlign w:val="center"/>
          </w:tcPr>
          <w:p w14:paraId="6E8192A2" w14:textId="77777777" w:rsidR="001C56BD" w:rsidRPr="00F92667" w:rsidRDefault="001C56BD" w:rsidP="008A5C11">
            <w:pPr>
              <w:jc w:val="center"/>
              <w:rPr>
                <w:sz w:val="12"/>
                <w:szCs w:val="12"/>
              </w:rPr>
            </w:pPr>
            <w:r w:rsidRPr="00F92667">
              <w:rPr>
                <w:sz w:val="12"/>
                <w:szCs w:val="12"/>
              </w:rPr>
              <w:t>Кемеровский городской округ, Заводский район, квартал № 59, в границах ул. Свободы, ул. Каменская, пр-т Молодежный</w:t>
            </w:r>
          </w:p>
        </w:tc>
        <w:tc>
          <w:tcPr>
            <w:tcW w:w="294" w:type="pct"/>
            <w:shd w:val="clear" w:color="auto" w:fill="auto"/>
            <w:tcMar>
              <w:left w:w="17" w:type="dxa"/>
              <w:right w:w="17" w:type="dxa"/>
            </w:tcMar>
            <w:vAlign w:val="center"/>
          </w:tcPr>
          <w:p w14:paraId="7BE352A0" w14:textId="77777777" w:rsidR="001C56BD" w:rsidRPr="00F92667" w:rsidRDefault="001C56BD" w:rsidP="008A5C11">
            <w:pPr>
              <w:jc w:val="center"/>
              <w:rPr>
                <w:sz w:val="12"/>
                <w:szCs w:val="12"/>
              </w:rPr>
            </w:pPr>
            <w:r w:rsidRPr="00F92667">
              <w:rPr>
                <w:color w:val="000000"/>
                <w:sz w:val="12"/>
                <w:szCs w:val="12"/>
              </w:rPr>
              <w:t>Технические характеристики</w:t>
            </w:r>
          </w:p>
        </w:tc>
        <w:tc>
          <w:tcPr>
            <w:tcW w:w="129" w:type="pct"/>
            <w:shd w:val="clear" w:color="auto" w:fill="auto"/>
            <w:tcMar>
              <w:left w:w="17" w:type="dxa"/>
              <w:right w:w="17" w:type="dxa"/>
            </w:tcMar>
            <w:vAlign w:val="center"/>
          </w:tcPr>
          <w:p w14:paraId="5AE5B50A" w14:textId="77777777" w:rsidR="001C56BD" w:rsidRPr="00F92667" w:rsidRDefault="001C56BD" w:rsidP="008A5C11">
            <w:pPr>
              <w:jc w:val="center"/>
              <w:rPr>
                <w:color w:val="000000"/>
                <w:sz w:val="12"/>
                <w:szCs w:val="12"/>
              </w:rPr>
            </w:pPr>
          </w:p>
        </w:tc>
        <w:tc>
          <w:tcPr>
            <w:tcW w:w="184" w:type="pct"/>
            <w:shd w:val="clear" w:color="auto" w:fill="auto"/>
            <w:tcMar>
              <w:left w:w="17" w:type="dxa"/>
              <w:right w:w="17" w:type="dxa"/>
            </w:tcMar>
            <w:vAlign w:val="center"/>
          </w:tcPr>
          <w:p w14:paraId="395F36A5" w14:textId="77777777" w:rsidR="001C56BD" w:rsidRPr="00F92667" w:rsidRDefault="001C56BD" w:rsidP="008A5C11">
            <w:pPr>
              <w:jc w:val="center"/>
              <w:rPr>
                <w:sz w:val="12"/>
                <w:szCs w:val="12"/>
              </w:rPr>
            </w:pPr>
            <w:r w:rsidRPr="00F92667">
              <w:rPr>
                <w:sz w:val="12"/>
                <w:szCs w:val="12"/>
              </w:rPr>
              <w:t xml:space="preserve">Канал-ж/б лотки, опоры-хомутовые приварные, запорная арматура - стальная клиновая, антикоррозийная защита-лак БТ, труба-сталь 20, изоляция - мин. маты </w:t>
            </w:r>
          </w:p>
        </w:tc>
        <w:tc>
          <w:tcPr>
            <w:tcW w:w="219" w:type="pct"/>
            <w:shd w:val="clear" w:color="auto" w:fill="auto"/>
            <w:tcMar>
              <w:left w:w="17" w:type="dxa"/>
              <w:right w:w="17" w:type="dxa"/>
            </w:tcMar>
            <w:vAlign w:val="center"/>
          </w:tcPr>
          <w:p w14:paraId="14C03501" w14:textId="77777777" w:rsidR="001C56BD" w:rsidRPr="00F92667" w:rsidRDefault="001C56BD" w:rsidP="008A5C11">
            <w:pPr>
              <w:jc w:val="center"/>
              <w:rPr>
                <w:sz w:val="12"/>
                <w:szCs w:val="12"/>
              </w:rPr>
            </w:pPr>
            <w:r w:rsidRPr="00F92667">
              <w:rPr>
                <w:sz w:val="12"/>
                <w:szCs w:val="12"/>
              </w:rPr>
              <w:t xml:space="preserve">Канал-ж/б лотки, опоры-хомутовые с диэлектрической прокладкой, запорная арматура - кран шаровый, антикоррозийная защита-мастика Вектор 1214, 1025, труба-сталь 09Г2С, изоляция - маты прошивные, </w:t>
            </w:r>
            <w:proofErr w:type="gramStart"/>
            <w:r w:rsidRPr="00F92667">
              <w:rPr>
                <w:sz w:val="12"/>
                <w:szCs w:val="12"/>
              </w:rPr>
              <w:t>стеклоплас-тик</w:t>
            </w:r>
            <w:proofErr w:type="gramEnd"/>
            <w:r w:rsidRPr="00F92667">
              <w:rPr>
                <w:sz w:val="12"/>
                <w:szCs w:val="12"/>
              </w:rPr>
              <w:t xml:space="preserve">  </w:t>
            </w:r>
          </w:p>
        </w:tc>
        <w:tc>
          <w:tcPr>
            <w:tcW w:w="130" w:type="pct"/>
            <w:shd w:val="clear" w:color="auto" w:fill="auto"/>
            <w:tcMar>
              <w:left w:w="17" w:type="dxa"/>
              <w:right w:w="17" w:type="dxa"/>
            </w:tcMar>
            <w:vAlign w:val="center"/>
          </w:tcPr>
          <w:p w14:paraId="2CBE31C5" w14:textId="77777777" w:rsidR="001C56BD" w:rsidRPr="00F92667" w:rsidRDefault="001C56BD" w:rsidP="008A5C11">
            <w:pPr>
              <w:jc w:val="center"/>
              <w:rPr>
                <w:sz w:val="12"/>
                <w:szCs w:val="12"/>
              </w:rPr>
            </w:pPr>
            <w:r w:rsidRPr="00F92667">
              <w:rPr>
                <w:sz w:val="12"/>
                <w:szCs w:val="12"/>
              </w:rPr>
              <w:t>2022</w:t>
            </w:r>
          </w:p>
        </w:tc>
        <w:tc>
          <w:tcPr>
            <w:tcW w:w="130" w:type="pct"/>
            <w:shd w:val="clear" w:color="auto" w:fill="auto"/>
            <w:tcMar>
              <w:left w:w="17" w:type="dxa"/>
              <w:right w:w="17" w:type="dxa"/>
            </w:tcMar>
            <w:vAlign w:val="center"/>
          </w:tcPr>
          <w:p w14:paraId="17881435" w14:textId="77777777" w:rsidR="001C56BD" w:rsidRPr="00F92667" w:rsidRDefault="001C56BD" w:rsidP="008A5C11">
            <w:pPr>
              <w:jc w:val="center"/>
              <w:rPr>
                <w:sz w:val="12"/>
                <w:szCs w:val="12"/>
              </w:rPr>
            </w:pPr>
            <w:r w:rsidRPr="00F92667">
              <w:rPr>
                <w:sz w:val="12"/>
                <w:szCs w:val="12"/>
              </w:rPr>
              <w:t>2028</w:t>
            </w:r>
          </w:p>
        </w:tc>
        <w:tc>
          <w:tcPr>
            <w:tcW w:w="217" w:type="pct"/>
            <w:gridSpan w:val="2"/>
            <w:shd w:val="clear" w:color="auto" w:fill="auto"/>
            <w:tcMar>
              <w:left w:w="17" w:type="dxa"/>
              <w:right w:w="17" w:type="dxa"/>
            </w:tcMar>
            <w:vAlign w:val="center"/>
          </w:tcPr>
          <w:p w14:paraId="5A7BED39" w14:textId="77777777" w:rsidR="001C56BD" w:rsidRPr="00F92667" w:rsidRDefault="001C56BD" w:rsidP="008A5C11">
            <w:pPr>
              <w:jc w:val="center"/>
              <w:rPr>
                <w:sz w:val="12"/>
                <w:szCs w:val="12"/>
              </w:rPr>
            </w:pPr>
            <w:r w:rsidRPr="00F92667">
              <w:rPr>
                <w:sz w:val="12"/>
                <w:szCs w:val="12"/>
              </w:rPr>
              <w:t>77331,552</w:t>
            </w:r>
          </w:p>
        </w:tc>
        <w:tc>
          <w:tcPr>
            <w:tcW w:w="177" w:type="pct"/>
            <w:gridSpan w:val="2"/>
            <w:shd w:val="clear" w:color="auto" w:fill="auto"/>
            <w:tcMar>
              <w:left w:w="17" w:type="dxa"/>
              <w:right w:w="17" w:type="dxa"/>
            </w:tcMar>
            <w:vAlign w:val="center"/>
          </w:tcPr>
          <w:p w14:paraId="5F4897D8" w14:textId="77777777" w:rsidR="001C56BD" w:rsidRPr="00F92667" w:rsidRDefault="001C56BD" w:rsidP="008A5C11">
            <w:pPr>
              <w:jc w:val="center"/>
              <w:rPr>
                <w:sz w:val="12"/>
                <w:szCs w:val="12"/>
              </w:rPr>
            </w:pPr>
            <w:r w:rsidRPr="00F92667">
              <w:rPr>
                <w:sz w:val="12"/>
                <w:szCs w:val="12"/>
              </w:rPr>
              <w:t>0,000</w:t>
            </w:r>
          </w:p>
        </w:tc>
        <w:tc>
          <w:tcPr>
            <w:tcW w:w="212" w:type="pct"/>
            <w:shd w:val="clear" w:color="auto" w:fill="auto"/>
            <w:tcMar>
              <w:left w:w="17" w:type="dxa"/>
              <w:right w:w="17" w:type="dxa"/>
            </w:tcMar>
            <w:vAlign w:val="center"/>
          </w:tcPr>
          <w:p w14:paraId="7EF62822" w14:textId="77777777" w:rsidR="001C56BD" w:rsidRPr="00F92667" w:rsidRDefault="001C56BD" w:rsidP="008A5C11">
            <w:pPr>
              <w:jc w:val="center"/>
              <w:rPr>
                <w:sz w:val="12"/>
                <w:szCs w:val="12"/>
              </w:rPr>
            </w:pPr>
            <w:r w:rsidRPr="00F92667">
              <w:rPr>
                <w:sz w:val="12"/>
                <w:szCs w:val="12"/>
              </w:rPr>
              <w:t>45941,160</w:t>
            </w:r>
          </w:p>
        </w:tc>
        <w:tc>
          <w:tcPr>
            <w:tcW w:w="218" w:type="pct"/>
            <w:gridSpan w:val="2"/>
            <w:shd w:val="clear" w:color="auto" w:fill="auto"/>
            <w:tcMar>
              <w:left w:w="17" w:type="dxa"/>
              <w:right w:w="17" w:type="dxa"/>
            </w:tcMar>
            <w:vAlign w:val="center"/>
          </w:tcPr>
          <w:p w14:paraId="446EAB6B"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64B30681" w14:textId="77777777" w:rsidR="001C56BD" w:rsidRPr="00F92667" w:rsidRDefault="001C56BD" w:rsidP="008A5C11">
            <w:pPr>
              <w:jc w:val="center"/>
              <w:rPr>
                <w:sz w:val="12"/>
                <w:szCs w:val="12"/>
              </w:rPr>
            </w:pPr>
            <w:r w:rsidRPr="00F92667">
              <w:rPr>
                <w:sz w:val="12"/>
                <w:szCs w:val="12"/>
              </w:rPr>
              <w:t>19253,064</w:t>
            </w:r>
          </w:p>
        </w:tc>
        <w:tc>
          <w:tcPr>
            <w:tcW w:w="206" w:type="pct"/>
            <w:gridSpan w:val="2"/>
            <w:shd w:val="clear" w:color="auto" w:fill="auto"/>
            <w:tcMar>
              <w:left w:w="17" w:type="dxa"/>
              <w:right w:w="17" w:type="dxa"/>
            </w:tcMar>
            <w:vAlign w:val="center"/>
          </w:tcPr>
          <w:p w14:paraId="430D6C83"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7508BBC6" w14:textId="77777777" w:rsidR="001C56BD" w:rsidRPr="00F92667" w:rsidRDefault="001C56BD" w:rsidP="008A5C11">
            <w:pPr>
              <w:jc w:val="center"/>
              <w:rPr>
                <w:sz w:val="12"/>
                <w:szCs w:val="12"/>
              </w:rPr>
            </w:pPr>
            <w:r w:rsidRPr="00F92667">
              <w:rPr>
                <w:sz w:val="12"/>
                <w:szCs w:val="12"/>
              </w:rPr>
              <w:t>0,000</w:t>
            </w:r>
          </w:p>
        </w:tc>
        <w:tc>
          <w:tcPr>
            <w:tcW w:w="214" w:type="pct"/>
            <w:gridSpan w:val="2"/>
            <w:shd w:val="clear" w:color="auto" w:fill="auto"/>
            <w:tcMar>
              <w:left w:w="17" w:type="dxa"/>
              <w:right w:w="17" w:type="dxa"/>
            </w:tcMar>
            <w:vAlign w:val="center"/>
          </w:tcPr>
          <w:p w14:paraId="6B188121"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261EC5E7" w14:textId="77777777" w:rsidR="001C56BD" w:rsidRPr="00F92667" w:rsidRDefault="001C56BD" w:rsidP="008A5C11">
            <w:pPr>
              <w:jc w:val="center"/>
              <w:rPr>
                <w:sz w:val="12"/>
                <w:szCs w:val="12"/>
              </w:rPr>
            </w:pPr>
            <w:r w:rsidRPr="00F92667">
              <w:rPr>
                <w:sz w:val="12"/>
                <w:szCs w:val="12"/>
              </w:rPr>
              <w:t>12137,328</w:t>
            </w:r>
          </w:p>
        </w:tc>
        <w:tc>
          <w:tcPr>
            <w:tcW w:w="217" w:type="pct"/>
            <w:gridSpan w:val="2"/>
            <w:shd w:val="clear" w:color="auto" w:fill="auto"/>
            <w:tcMar>
              <w:left w:w="17" w:type="dxa"/>
              <w:right w:w="17" w:type="dxa"/>
            </w:tcMar>
            <w:vAlign w:val="center"/>
          </w:tcPr>
          <w:p w14:paraId="059AEC96" w14:textId="77777777" w:rsidR="001C56BD" w:rsidRPr="00F92667" w:rsidRDefault="001C56BD" w:rsidP="008A5C11">
            <w:pPr>
              <w:jc w:val="center"/>
              <w:rPr>
                <w:sz w:val="12"/>
                <w:szCs w:val="12"/>
              </w:rPr>
            </w:pPr>
            <w:r w:rsidRPr="00F92667">
              <w:rPr>
                <w:sz w:val="12"/>
                <w:szCs w:val="12"/>
              </w:rPr>
              <w:t>0,000</w:t>
            </w:r>
          </w:p>
        </w:tc>
        <w:tc>
          <w:tcPr>
            <w:tcW w:w="214" w:type="pct"/>
            <w:gridSpan w:val="2"/>
            <w:shd w:val="clear" w:color="auto" w:fill="auto"/>
            <w:tcMar>
              <w:left w:w="17" w:type="dxa"/>
              <w:right w:w="17" w:type="dxa"/>
            </w:tcMar>
            <w:vAlign w:val="center"/>
          </w:tcPr>
          <w:p w14:paraId="2372FCC7" w14:textId="77777777" w:rsidR="001C56BD" w:rsidRPr="00F92667" w:rsidRDefault="001C56BD" w:rsidP="008A5C11">
            <w:pPr>
              <w:jc w:val="center"/>
              <w:rPr>
                <w:sz w:val="12"/>
                <w:szCs w:val="12"/>
              </w:rPr>
            </w:pPr>
            <w:r w:rsidRPr="00F92667">
              <w:rPr>
                <w:sz w:val="12"/>
                <w:szCs w:val="12"/>
              </w:rPr>
              <w:t>0,000</w:t>
            </w:r>
          </w:p>
        </w:tc>
        <w:tc>
          <w:tcPr>
            <w:tcW w:w="247" w:type="pct"/>
            <w:gridSpan w:val="2"/>
            <w:shd w:val="clear" w:color="auto" w:fill="auto"/>
            <w:tcMar>
              <w:left w:w="17" w:type="dxa"/>
              <w:right w:w="17" w:type="dxa"/>
            </w:tcMar>
            <w:vAlign w:val="center"/>
          </w:tcPr>
          <w:p w14:paraId="0D58204F" w14:textId="77777777" w:rsidR="001C56BD" w:rsidRPr="00F92667" w:rsidRDefault="001C56BD" w:rsidP="008A5C11">
            <w:pPr>
              <w:jc w:val="center"/>
              <w:rPr>
                <w:sz w:val="12"/>
                <w:szCs w:val="12"/>
              </w:rPr>
            </w:pPr>
            <w:r w:rsidRPr="00F92667">
              <w:rPr>
                <w:sz w:val="12"/>
                <w:szCs w:val="12"/>
              </w:rPr>
              <w:t>0,000</w:t>
            </w:r>
          </w:p>
        </w:tc>
        <w:tc>
          <w:tcPr>
            <w:tcW w:w="173" w:type="pct"/>
            <w:shd w:val="clear" w:color="auto" w:fill="auto"/>
            <w:tcMar>
              <w:left w:w="17" w:type="dxa"/>
              <w:right w:w="17" w:type="dxa"/>
            </w:tcMar>
            <w:vAlign w:val="center"/>
          </w:tcPr>
          <w:p w14:paraId="08DC2B27" w14:textId="77777777" w:rsidR="001C56BD" w:rsidRPr="00F92667" w:rsidRDefault="001C56BD" w:rsidP="008A5C11">
            <w:pPr>
              <w:jc w:val="center"/>
              <w:rPr>
                <w:sz w:val="12"/>
                <w:szCs w:val="12"/>
              </w:rPr>
            </w:pPr>
            <w:r w:rsidRPr="00F92667">
              <w:rPr>
                <w:sz w:val="12"/>
                <w:szCs w:val="12"/>
              </w:rPr>
              <w:t>0,000</w:t>
            </w:r>
          </w:p>
        </w:tc>
        <w:tc>
          <w:tcPr>
            <w:tcW w:w="169" w:type="pct"/>
            <w:shd w:val="clear" w:color="auto" w:fill="auto"/>
            <w:tcMar>
              <w:left w:w="17" w:type="dxa"/>
              <w:right w:w="17" w:type="dxa"/>
            </w:tcMar>
            <w:vAlign w:val="center"/>
          </w:tcPr>
          <w:p w14:paraId="01703058" w14:textId="77777777" w:rsidR="001C56BD" w:rsidRPr="00F92667" w:rsidRDefault="001C56BD" w:rsidP="008A5C11">
            <w:pPr>
              <w:jc w:val="center"/>
              <w:rPr>
                <w:sz w:val="12"/>
                <w:szCs w:val="12"/>
              </w:rPr>
            </w:pPr>
            <w:r w:rsidRPr="00F92667">
              <w:rPr>
                <w:sz w:val="12"/>
                <w:szCs w:val="12"/>
              </w:rPr>
              <w:t>0,000</w:t>
            </w:r>
          </w:p>
        </w:tc>
      </w:tr>
      <w:tr w:rsidR="001C56BD" w:rsidRPr="00F92667" w14:paraId="0BD72311" w14:textId="77777777" w:rsidTr="008A5C11">
        <w:trPr>
          <w:gridBefore w:val="1"/>
          <w:wBefore w:w="3" w:type="pct"/>
          <w:trHeight w:val="897"/>
        </w:trPr>
        <w:tc>
          <w:tcPr>
            <w:tcW w:w="129" w:type="pct"/>
            <w:shd w:val="clear" w:color="auto" w:fill="auto"/>
            <w:tcMar>
              <w:left w:w="17" w:type="dxa"/>
              <w:right w:w="17" w:type="dxa"/>
            </w:tcMar>
            <w:vAlign w:val="center"/>
          </w:tcPr>
          <w:p w14:paraId="0D64491F" w14:textId="77777777" w:rsidR="001C56BD" w:rsidRPr="00F92667" w:rsidRDefault="001C56BD" w:rsidP="008A5C11">
            <w:pPr>
              <w:jc w:val="center"/>
              <w:rPr>
                <w:bCs/>
                <w:sz w:val="12"/>
                <w:szCs w:val="12"/>
              </w:rPr>
            </w:pPr>
            <w:r w:rsidRPr="00F92667">
              <w:rPr>
                <w:bCs/>
                <w:sz w:val="12"/>
                <w:szCs w:val="12"/>
              </w:rPr>
              <w:t>1</w:t>
            </w:r>
          </w:p>
        </w:tc>
        <w:tc>
          <w:tcPr>
            <w:tcW w:w="305" w:type="pct"/>
            <w:shd w:val="clear" w:color="auto" w:fill="auto"/>
            <w:tcMar>
              <w:left w:w="17" w:type="dxa"/>
              <w:right w:w="17" w:type="dxa"/>
            </w:tcMar>
            <w:vAlign w:val="center"/>
          </w:tcPr>
          <w:p w14:paraId="5B55D3B2" w14:textId="77777777" w:rsidR="001C56BD" w:rsidRPr="00F92667" w:rsidRDefault="001C56BD" w:rsidP="008A5C11">
            <w:pPr>
              <w:jc w:val="center"/>
              <w:rPr>
                <w:bCs/>
                <w:sz w:val="12"/>
                <w:szCs w:val="12"/>
              </w:rPr>
            </w:pPr>
            <w:r w:rsidRPr="00F92667">
              <w:rPr>
                <w:bCs/>
                <w:sz w:val="12"/>
                <w:szCs w:val="12"/>
              </w:rPr>
              <w:t>2</w:t>
            </w:r>
          </w:p>
        </w:tc>
        <w:tc>
          <w:tcPr>
            <w:tcW w:w="304" w:type="pct"/>
            <w:shd w:val="clear" w:color="auto" w:fill="auto"/>
            <w:tcMar>
              <w:left w:w="17" w:type="dxa"/>
              <w:right w:w="17" w:type="dxa"/>
            </w:tcMar>
            <w:vAlign w:val="center"/>
          </w:tcPr>
          <w:p w14:paraId="06A73EAA" w14:textId="77777777" w:rsidR="001C56BD" w:rsidRPr="00F92667" w:rsidRDefault="001C56BD" w:rsidP="008A5C11">
            <w:pPr>
              <w:jc w:val="center"/>
              <w:rPr>
                <w:bCs/>
                <w:sz w:val="12"/>
                <w:szCs w:val="12"/>
              </w:rPr>
            </w:pPr>
            <w:r w:rsidRPr="00F92667">
              <w:rPr>
                <w:bCs/>
                <w:sz w:val="12"/>
                <w:szCs w:val="12"/>
              </w:rPr>
              <w:t>3</w:t>
            </w:r>
          </w:p>
        </w:tc>
        <w:tc>
          <w:tcPr>
            <w:tcW w:w="258" w:type="pct"/>
            <w:shd w:val="clear" w:color="auto" w:fill="auto"/>
            <w:tcMar>
              <w:left w:w="17" w:type="dxa"/>
              <w:right w:w="17" w:type="dxa"/>
            </w:tcMar>
            <w:vAlign w:val="center"/>
          </w:tcPr>
          <w:p w14:paraId="591BC1EB" w14:textId="77777777" w:rsidR="001C56BD" w:rsidRPr="00F92667" w:rsidRDefault="001C56BD" w:rsidP="008A5C11">
            <w:pPr>
              <w:jc w:val="center"/>
              <w:rPr>
                <w:bCs/>
                <w:sz w:val="12"/>
                <w:szCs w:val="12"/>
              </w:rPr>
            </w:pPr>
            <w:r w:rsidRPr="00F92667">
              <w:rPr>
                <w:bCs/>
                <w:sz w:val="12"/>
                <w:szCs w:val="12"/>
              </w:rPr>
              <w:t>4</w:t>
            </w:r>
          </w:p>
        </w:tc>
        <w:tc>
          <w:tcPr>
            <w:tcW w:w="294" w:type="pct"/>
            <w:shd w:val="clear" w:color="auto" w:fill="auto"/>
            <w:tcMar>
              <w:left w:w="17" w:type="dxa"/>
              <w:right w:w="17" w:type="dxa"/>
            </w:tcMar>
            <w:vAlign w:val="center"/>
          </w:tcPr>
          <w:p w14:paraId="18EB3D20" w14:textId="77777777" w:rsidR="001C56BD" w:rsidRPr="00F92667" w:rsidRDefault="001C56BD" w:rsidP="008A5C11">
            <w:pPr>
              <w:jc w:val="center"/>
              <w:rPr>
                <w:bCs/>
                <w:sz w:val="12"/>
                <w:szCs w:val="12"/>
              </w:rPr>
            </w:pPr>
            <w:r w:rsidRPr="00F92667">
              <w:rPr>
                <w:bCs/>
                <w:sz w:val="12"/>
                <w:szCs w:val="12"/>
              </w:rPr>
              <w:t>5</w:t>
            </w:r>
          </w:p>
        </w:tc>
        <w:tc>
          <w:tcPr>
            <w:tcW w:w="129" w:type="pct"/>
            <w:shd w:val="clear" w:color="auto" w:fill="auto"/>
            <w:tcMar>
              <w:left w:w="17" w:type="dxa"/>
              <w:right w:w="17" w:type="dxa"/>
            </w:tcMar>
            <w:vAlign w:val="center"/>
          </w:tcPr>
          <w:p w14:paraId="1394A58E" w14:textId="77777777" w:rsidR="001C56BD" w:rsidRPr="00F92667" w:rsidRDefault="001C56BD" w:rsidP="008A5C11">
            <w:pPr>
              <w:jc w:val="center"/>
              <w:rPr>
                <w:bCs/>
                <w:sz w:val="12"/>
                <w:szCs w:val="12"/>
              </w:rPr>
            </w:pPr>
            <w:r w:rsidRPr="00F92667">
              <w:rPr>
                <w:bCs/>
                <w:sz w:val="12"/>
                <w:szCs w:val="12"/>
              </w:rPr>
              <w:t>6</w:t>
            </w:r>
          </w:p>
        </w:tc>
        <w:tc>
          <w:tcPr>
            <w:tcW w:w="184" w:type="pct"/>
            <w:shd w:val="clear" w:color="auto" w:fill="auto"/>
            <w:tcMar>
              <w:left w:w="17" w:type="dxa"/>
              <w:right w:w="17" w:type="dxa"/>
            </w:tcMar>
            <w:vAlign w:val="center"/>
          </w:tcPr>
          <w:p w14:paraId="48A00384" w14:textId="77777777" w:rsidR="001C56BD" w:rsidRPr="00F92667" w:rsidRDefault="001C56BD" w:rsidP="008A5C11">
            <w:pPr>
              <w:jc w:val="center"/>
              <w:rPr>
                <w:bCs/>
                <w:sz w:val="12"/>
                <w:szCs w:val="12"/>
              </w:rPr>
            </w:pPr>
            <w:r w:rsidRPr="00F92667">
              <w:rPr>
                <w:bCs/>
                <w:sz w:val="12"/>
                <w:szCs w:val="12"/>
              </w:rPr>
              <w:t>7</w:t>
            </w:r>
          </w:p>
        </w:tc>
        <w:tc>
          <w:tcPr>
            <w:tcW w:w="219" w:type="pct"/>
            <w:shd w:val="clear" w:color="auto" w:fill="auto"/>
            <w:tcMar>
              <w:left w:w="17" w:type="dxa"/>
              <w:right w:w="17" w:type="dxa"/>
            </w:tcMar>
            <w:vAlign w:val="center"/>
          </w:tcPr>
          <w:p w14:paraId="3DB3AB01" w14:textId="77777777" w:rsidR="001C56BD" w:rsidRPr="00F92667" w:rsidRDefault="001C56BD" w:rsidP="008A5C11">
            <w:pPr>
              <w:jc w:val="center"/>
              <w:rPr>
                <w:bCs/>
                <w:sz w:val="12"/>
                <w:szCs w:val="12"/>
              </w:rPr>
            </w:pPr>
            <w:r w:rsidRPr="00F92667">
              <w:rPr>
                <w:bCs/>
                <w:sz w:val="12"/>
                <w:szCs w:val="12"/>
              </w:rPr>
              <w:t>8</w:t>
            </w:r>
          </w:p>
        </w:tc>
        <w:tc>
          <w:tcPr>
            <w:tcW w:w="130" w:type="pct"/>
            <w:shd w:val="clear" w:color="auto" w:fill="auto"/>
            <w:tcMar>
              <w:left w:w="17" w:type="dxa"/>
              <w:right w:w="17" w:type="dxa"/>
            </w:tcMar>
            <w:vAlign w:val="center"/>
          </w:tcPr>
          <w:p w14:paraId="30B42D37" w14:textId="77777777" w:rsidR="001C56BD" w:rsidRPr="00F92667" w:rsidRDefault="001C56BD" w:rsidP="008A5C11">
            <w:pPr>
              <w:jc w:val="center"/>
              <w:rPr>
                <w:bCs/>
                <w:sz w:val="12"/>
                <w:szCs w:val="12"/>
              </w:rPr>
            </w:pPr>
            <w:r w:rsidRPr="00F92667">
              <w:rPr>
                <w:bCs/>
                <w:sz w:val="12"/>
                <w:szCs w:val="12"/>
              </w:rPr>
              <w:t>9</w:t>
            </w:r>
          </w:p>
        </w:tc>
        <w:tc>
          <w:tcPr>
            <w:tcW w:w="130" w:type="pct"/>
            <w:shd w:val="clear" w:color="auto" w:fill="auto"/>
            <w:tcMar>
              <w:left w:w="17" w:type="dxa"/>
              <w:right w:w="17" w:type="dxa"/>
            </w:tcMar>
            <w:vAlign w:val="center"/>
          </w:tcPr>
          <w:p w14:paraId="0B376762" w14:textId="77777777" w:rsidR="001C56BD" w:rsidRPr="00F92667" w:rsidRDefault="001C56BD" w:rsidP="008A5C11">
            <w:pPr>
              <w:jc w:val="center"/>
              <w:rPr>
                <w:bCs/>
                <w:sz w:val="12"/>
                <w:szCs w:val="12"/>
              </w:rPr>
            </w:pPr>
            <w:r w:rsidRPr="00F92667">
              <w:rPr>
                <w:bCs/>
                <w:sz w:val="12"/>
                <w:szCs w:val="12"/>
              </w:rPr>
              <w:t>10</w:t>
            </w:r>
          </w:p>
        </w:tc>
        <w:tc>
          <w:tcPr>
            <w:tcW w:w="217" w:type="pct"/>
            <w:gridSpan w:val="2"/>
            <w:shd w:val="clear" w:color="auto" w:fill="auto"/>
            <w:tcMar>
              <w:left w:w="17" w:type="dxa"/>
              <w:right w:w="17" w:type="dxa"/>
            </w:tcMar>
            <w:vAlign w:val="center"/>
          </w:tcPr>
          <w:p w14:paraId="6785CA41" w14:textId="77777777" w:rsidR="001C56BD" w:rsidRPr="00F92667" w:rsidRDefault="001C56BD" w:rsidP="008A5C11">
            <w:pPr>
              <w:jc w:val="center"/>
              <w:rPr>
                <w:bCs/>
                <w:sz w:val="12"/>
                <w:szCs w:val="12"/>
              </w:rPr>
            </w:pPr>
            <w:r w:rsidRPr="00F92667">
              <w:rPr>
                <w:bCs/>
                <w:sz w:val="12"/>
                <w:szCs w:val="12"/>
              </w:rPr>
              <w:t>11</w:t>
            </w:r>
          </w:p>
        </w:tc>
        <w:tc>
          <w:tcPr>
            <w:tcW w:w="177" w:type="pct"/>
            <w:gridSpan w:val="2"/>
            <w:shd w:val="clear" w:color="auto" w:fill="auto"/>
            <w:tcMar>
              <w:left w:w="17" w:type="dxa"/>
              <w:right w:w="17" w:type="dxa"/>
            </w:tcMar>
            <w:vAlign w:val="center"/>
          </w:tcPr>
          <w:p w14:paraId="12AD0D89" w14:textId="77777777" w:rsidR="001C56BD" w:rsidRPr="00F92667" w:rsidRDefault="001C56BD" w:rsidP="008A5C11">
            <w:pPr>
              <w:jc w:val="center"/>
              <w:rPr>
                <w:bCs/>
                <w:sz w:val="12"/>
                <w:szCs w:val="12"/>
              </w:rPr>
            </w:pPr>
            <w:r w:rsidRPr="00F92667">
              <w:rPr>
                <w:bCs/>
                <w:sz w:val="12"/>
                <w:szCs w:val="12"/>
              </w:rPr>
              <w:t>12</w:t>
            </w:r>
          </w:p>
        </w:tc>
        <w:tc>
          <w:tcPr>
            <w:tcW w:w="212" w:type="pct"/>
            <w:shd w:val="clear" w:color="auto" w:fill="auto"/>
            <w:tcMar>
              <w:left w:w="17" w:type="dxa"/>
              <w:right w:w="17" w:type="dxa"/>
            </w:tcMar>
            <w:vAlign w:val="center"/>
          </w:tcPr>
          <w:p w14:paraId="13ED0628" w14:textId="77777777" w:rsidR="001C56BD" w:rsidRPr="00F92667" w:rsidRDefault="001C56BD" w:rsidP="008A5C11">
            <w:pPr>
              <w:jc w:val="center"/>
              <w:rPr>
                <w:bCs/>
                <w:sz w:val="12"/>
                <w:szCs w:val="12"/>
              </w:rPr>
            </w:pPr>
            <w:r w:rsidRPr="00F92667">
              <w:rPr>
                <w:bCs/>
                <w:sz w:val="12"/>
                <w:szCs w:val="12"/>
              </w:rPr>
              <w:t>13</w:t>
            </w:r>
          </w:p>
        </w:tc>
        <w:tc>
          <w:tcPr>
            <w:tcW w:w="218" w:type="pct"/>
            <w:gridSpan w:val="2"/>
            <w:shd w:val="clear" w:color="auto" w:fill="auto"/>
            <w:tcMar>
              <w:left w:w="17" w:type="dxa"/>
              <w:right w:w="17" w:type="dxa"/>
            </w:tcMar>
            <w:vAlign w:val="center"/>
          </w:tcPr>
          <w:p w14:paraId="0711E7A7" w14:textId="77777777" w:rsidR="001C56BD" w:rsidRPr="00F92667" w:rsidRDefault="001C56BD" w:rsidP="008A5C11">
            <w:pPr>
              <w:jc w:val="center"/>
              <w:rPr>
                <w:bCs/>
                <w:sz w:val="12"/>
                <w:szCs w:val="12"/>
              </w:rPr>
            </w:pPr>
            <w:r w:rsidRPr="00F92667">
              <w:rPr>
                <w:bCs/>
                <w:sz w:val="12"/>
                <w:szCs w:val="12"/>
              </w:rPr>
              <w:t>14</w:t>
            </w:r>
          </w:p>
        </w:tc>
        <w:tc>
          <w:tcPr>
            <w:tcW w:w="217" w:type="pct"/>
            <w:gridSpan w:val="2"/>
            <w:shd w:val="clear" w:color="auto" w:fill="auto"/>
            <w:tcMar>
              <w:left w:w="17" w:type="dxa"/>
              <w:right w:w="17" w:type="dxa"/>
            </w:tcMar>
            <w:vAlign w:val="center"/>
          </w:tcPr>
          <w:p w14:paraId="54F0B135" w14:textId="77777777" w:rsidR="001C56BD" w:rsidRPr="00F92667" w:rsidRDefault="001C56BD" w:rsidP="008A5C11">
            <w:pPr>
              <w:jc w:val="center"/>
              <w:rPr>
                <w:bCs/>
                <w:sz w:val="12"/>
                <w:szCs w:val="12"/>
              </w:rPr>
            </w:pPr>
            <w:r w:rsidRPr="00F92667">
              <w:rPr>
                <w:bCs/>
                <w:sz w:val="12"/>
                <w:szCs w:val="12"/>
              </w:rPr>
              <w:t>15</w:t>
            </w:r>
          </w:p>
        </w:tc>
        <w:tc>
          <w:tcPr>
            <w:tcW w:w="206" w:type="pct"/>
            <w:gridSpan w:val="2"/>
            <w:tcMar>
              <w:left w:w="17" w:type="dxa"/>
              <w:right w:w="17" w:type="dxa"/>
            </w:tcMar>
            <w:vAlign w:val="center"/>
          </w:tcPr>
          <w:p w14:paraId="30CB194B" w14:textId="77777777" w:rsidR="001C56BD" w:rsidRPr="00F92667" w:rsidRDefault="001C56BD" w:rsidP="008A5C11">
            <w:pPr>
              <w:jc w:val="center"/>
              <w:rPr>
                <w:bCs/>
                <w:sz w:val="12"/>
                <w:szCs w:val="12"/>
              </w:rPr>
            </w:pPr>
            <w:r w:rsidRPr="00F92667">
              <w:rPr>
                <w:bCs/>
                <w:sz w:val="12"/>
                <w:szCs w:val="12"/>
              </w:rPr>
              <w:t>16</w:t>
            </w:r>
          </w:p>
        </w:tc>
        <w:tc>
          <w:tcPr>
            <w:tcW w:w="217" w:type="pct"/>
            <w:gridSpan w:val="2"/>
            <w:tcMar>
              <w:left w:w="17" w:type="dxa"/>
              <w:right w:w="17" w:type="dxa"/>
            </w:tcMar>
            <w:vAlign w:val="center"/>
          </w:tcPr>
          <w:p w14:paraId="7A962051" w14:textId="77777777" w:rsidR="001C56BD" w:rsidRPr="00F92667" w:rsidRDefault="001C56BD" w:rsidP="008A5C11">
            <w:pPr>
              <w:jc w:val="center"/>
              <w:rPr>
                <w:bCs/>
                <w:sz w:val="12"/>
                <w:szCs w:val="12"/>
              </w:rPr>
            </w:pPr>
            <w:r w:rsidRPr="00F92667">
              <w:rPr>
                <w:bCs/>
                <w:sz w:val="12"/>
                <w:szCs w:val="12"/>
              </w:rPr>
              <w:t>17</w:t>
            </w:r>
          </w:p>
        </w:tc>
        <w:tc>
          <w:tcPr>
            <w:tcW w:w="214" w:type="pct"/>
            <w:gridSpan w:val="2"/>
            <w:tcMar>
              <w:left w:w="17" w:type="dxa"/>
              <w:right w:w="17" w:type="dxa"/>
            </w:tcMar>
            <w:vAlign w:val="center"/>
          </w:tcPr>
          <w:p w14:paraId="6C62CDF7" w14:textId="77777777" w:rsidR="001C56BD" w:rsidRPr="00F92667" w:rsidRDefault="001C56BD" w:rsidP="008A5C11">
            <w:pPr>
              <w:jc w:val="center"/>
              <w:rPr>
                <w:bCs/>
                <w:sz w:val="12"/>
                <w:szCs w:val="12"/>
              </w:rPr>
            </w:pPr>
            <w:r w:rsidRPr="00F92667">
              <w:rPr>
                <w:bCs/>
                <w:sz w:val="12"/>
                <w:szCs w:val="12"/>
              </w:rPr>
              <w:t>18</w:t>
            </w:r>
          </w:p>
        </w:tc>
        <w:tc>
          <w:tcPr>
            <w:tcW w:w="217" w:type="pct"/>
            <w:gridSpan w:val="2"/>
            <w:tcMar>
              <w:left w:w="17" w:type="dxa"/>
              <w:right w:w="17" w:type="dxa"/>
            </w:tcMar>
            <w:vAlign w:val="center"/>
          </w:tcPr>
          <w:p w14:paraId="25847764" w14:textId="77777777" w:rsidR="001C56BD" w:rsidRPr="00F92667" w:rsidRDefault="001C56BD" w:rsidP="008A5C11">
            <w:pPr>
              <w:jc w:val="center"/>
              <w:rPr>
                <w:bCs/>
                <w:sz w:val="12"/>
                <w:szCs w:val="12"/>
              </w:rPr>
            </w:pPr>
            <w:r w:rsidRPr="00F92667">
              <w:rPr>
                <w:bCs/>
                <w:sz w:val="12"/>
                <w:szCs w:val="12"/>
              </w:rPr>
              <w:t>19</w:t>
            </w:r>
          </w:p>
        </w:tc>
        <w:tc>
          <w:tcPr>
            <w:tcW w:w="217" w:type="pct"/>
            <w:gridSpan w:val="2"/>
            <w:tcMar>
              <w:left w:w="17" w:type="dxa"/>
              <w:right w:w="17" w:type="dxa"/>
            </w:tcMar>
            <w:vAlign w:val="center"/>
          </w:tcPr>
          <w:p w14:paraId="65E4F824" w14:textId="77777777" w:rsidR="001C56BD" w:rsidRPr="00F92667" w:rsidRDefault="001C56BD" w:rsidP="008A5C11">
            <w:pPr>
              <w:jc w:val="center"/>
              <w:rPr>
                <w:bCs/>
                <w:sz w:val="12"/>
                <w:szCs w:val="12"/>
              </w:rPr>
            </w:pPr>
            <w:r w:rsidRPr="00F92667">
              <w:rPr>
                <w:bCs/>
                <w:sz w:val="12"/>
                <w:szCs w:val="12"/>
              </w:rPr>
              <w:t>20</w:t>
            </w:r>
          </w:p>
        </w:tc>
        <w:tc>
          <w:tcPr>
            <w:tcW w:w="214" w:type="pct"/>
            <w:gridSpan w:val="2"/>
            <w:tcMar>
              <w:left w:w="17" w:type="dxa"/>
              <w:right w:w="17" w:type="dxa"/>
            </w:tcMar>
            <w:vAlign w:val="center"/>
          </w:tcPr>
          <w:p w14:paraId="1C105B7E" w14:textId="77777777" w:rsidR="001C56BD" w:rsidRPr="00F92667" w:rsidRDefault="001C56BD" w:rsidP="008A5C11">
            <w:pPr>
              <w:jc w:val="center"/>
              <w:rPr>
                <w:bCs/>
                <w:sz w:val="12"/>
                <w:szCs w:val="12"/>
              </w:rPr>
            </w:pPr>
            <w:r w:rsidRPr="00F92667">
              <w:rPr>
                <w:bCs/>
                <w:sz w:val="12"/>
                <w:szCs w:val="12"/>
              </w:rPr>
              <w:t>21</w:t>
            </w:r>
          </w:p>
        </w:tc>
        <w:tc>
          <w:tcPr>
            <w:tcW w:w="247" w:type="pct"/>
            <w:gridSpan w:val="2"/>
            <w:tcMar>
              <w:left w:w="17" w:type="dxa"/>
              <w:right w:w="17" w:type="dxa"/>
            </w:tcMar>
            <w:vAlign w:val="center"/>
          </w:tcPr>
          <w:p w14:paraId="3A929F28" w14:textId="77777777" w:rsidR="001C56BD" w:rsidRPr="00F92667" w:rsidRDefault="001C56BD" w:rsidP="008A5C11">
            <w:pPr>
              <w:jc w:val="center"/>
              <w:rPr>
                <w:bCs/>
                <w:sz w:val="12"/>
                <w:szCs w:val="12"/>
              </w:rPr>
            </w:pPr>
            <w:r w:rsidRPr="00F92667">
              <w:rPr>
                <w:bCs/>
                <w:sz w:val="12"/>
                <w:szCs w:val="12"/>
              </w:rPr>
              <w:t>22</w:t>
            </w:r>
          </w:p>
        </w:tc>
        <w:tc>
          <w:tcPr>
            <w:tcW w:w="173" w:type="pct"/>
            <w:tcMar>
              <w:left w:w="17" w:type="dxa"/>
              <w:right w:w="17" w:type="dxa"/>
            </w:tcMar>
            <w:vAlign w:val="center"/>
          </w:tcPr>
          <w:p w14:paraId="25F085B8" w14:textId="77777777" w:rsidR="001C56BD" w:rsidRPr="00F92667" w:rsidRDefault="001C56BD" w:rsidP="008A5C11">
            <w:pPr>
              <w:jc w:val="center"/>
              <w:rPr>
                <w:bCs/>
                <w:sz w:val="12"/>
                <w:szCs w:val="12"/>
              </w:rPr>
            </w:pPr>
            <w:r w:rsidRPr="00F92667">
              <w:rPr>
                <w:bCs/>
                <w:sz w:val="12"/>
                <w:szCs w:val="12"/>
              </w:rPr>
              <w:t>23</w:t>
            </w:r>
          </w:p>
        </w:tc>
        <w:tc>
          <w:tcPr>
            <w:tcW w:w="169" w:type="pct"/>
            <w:tcMar>
              <w:left w:w="17" w:type="dxa"/>
              <w:right w:w="17" w:type="dxa"/>
            </w:tcMar>
            <w:vAlign w:val="center"/>
          </w:tcPr>
          <w:p w14:paraId="1746A290" w14:textId="77777777" w:rsidR="001C56BD" w:rsidRPr="00F92667" w:rsidRDefault="001C56BD" w:rsidP="008A5C11">
            <w:pPr>
              <w:jc w:val="center"/>
              <w:rPr>
                <w:bCs/>
                <w:sz w:val="12"/>
                <w:szCs w:val="12"/>
              </w:rPr>
            </w:pPr>
            <w:r w:rsidRPr="00F92667">
              <w:rPr>
                <w:bCs/>
                <w:sz w:val="12"/>
                <w:szCs w:val="12"/>
              </w:rPr>
              <w:t>24</w:t>
            </w:r>
          </w:p>
        </w:tc>
      </w:tr>
      <w:tr w:rsidR="001C56BD" w:rsidRPr="00F92667" w14:paraId="07A72610" w14:textId="77777777" w:rsidTr="008A5C11">
        <w:trPr>
          <w:gridBefore w:val="1"/>
          <w:wBefore w:w="3" w:type="pct"/>
          <w:trHeight w:val="897"/>
        </w:trPr>
        <w:tc>
          <w:tcPr>
            <w:tcW w:w="129" w:type="pct"/>
            <w:shd w:val="clear" w:color="auto" w:fill="auto"/>
            <w:tcMar>
              <w:left w:w="17" w:type="dxa"/>
              <w:right w:w="17" w:type="dxa"/>
            </w:tcMar>
            <w:vAlign w:val="center"/>
          </w:tcPr>
          <w:p w14:paraId="5768F1DB" w14:textId="77777777" w:rsidR="001C56BD" w:rsidRPr="00F92667" w:rsidRDefault="001C56BD" w:rsidP="008A5C11">
            <w:pPr>
              <w:jc w:val="center"/>
              <w:rPr>
                <w:sz w:val="12"/>
                <w:szCs w:val="12"/>
              </w:rPr>
            </w:pPr>
            <w:r w:rsidRPr="00F92667">
              <w:rPr>
                <w:sz w:val="12"/>
                <w:szCs w:val="12"/>
              </w:rPr>
              <w:t>3.1.32.</w:t>
            </w:r>
          </w:p>
        </w:tc>
        <w:tc>
          <w:tcPr>
            <w:tcW w:w="305" w:type="pct"/>
            <w:shd w:val="clear" w:color="auto" w:fill="auto"/>
            <w:tcMar>
              <w:left w:w="17" w:type="dxa"/>
              <w:right w:w="17" w:type="dxa"/>
            </w:tcMar>
            <w:vAlign w:val="center"/>
          </w:tcPr>
          <w:p w14:paraId="70133E9D" w14:textId="77777777" w:rsidR="001C56BD" w:rsidRPr="00F92667" w:rsidRDefault="001C56BD" w:rsidP="008A5C11">
            <w:pPr>
              <w:rPr>
                <w:sz w:val="12"/>
                <w:szCs w:val="12"/>
              </w:rPr>
            </w:pPr>
            <w:r w:rsidRPr="00F92667">
              <w:rPr>
                <w:color w:val="000000"/>
                <w:sz w:val="12"/>
                <w:szCs w:val="12"/>
              </w:rPr>
              <w:t>Реконструкция тепловой сети с реестровым номером</w:t>
            </w:r>
            <w:r w:rsidRPr="00F92667">
              <w:rPr>
                <w:sz w:val="12"/>
                <w:szCs w:val="12"/>
              </w:rPr>
              <w:t xml:space="preserve"> 777384</w:t>
            </w:r>
          </w:p>
        </w:tc>
        <w:tc>
          <w:tcPr>
            <w:tcW w:w="304" w:type="pct"/>
            <w:shd w:val="clear" w:color="000000" w:fill="FFFFFF"/>
            <w:tcMar>
              <w:left w:w="17" w:type="dxa"/>
              <w:right w:w="17" w:type="dxa"/>
            </w:tcMar>
            <w:vAlign w:val="center"/>
          </w:tcPr>
          <w:p w14:paraId="2D5607FE" w14:textId="77777777" w:rsidR="001C56BD" w:rsidRPr="00F92667" w:rsidRDefault="001C56BD" w:rsidP="008A5C11">
            <w:pPr>
              <w:jc w:val="center"/>
              <w:rPr>
                <w:sz w:val="12"/>
                <w:szCs w:val="12"/>
              </w:rPr>
            </w:pPr>
            <w:r w:rsidRPr="00F92667">
              <w:rPr>
                <w:color w:val="000000"/>
                <w:sz w:val="12"/>
                <w:szCs w:val="12"/>
              </w:rPr>
              <w:t>Повышение надежности услуг теплоснабжения, повышение энергетической эффективности</w:t>
            </w:r>
          </w:p>
        </w:tc>
        <w:tc>
          <w:tcPr>
            <w:tcW w:w="258" w:type="pct"/>
            <w:shd w:val="clear" w:color="auto" w:fill="auto"/>
            <w:tcMar>
              <w:left w:w="17" w:type="dxa"/>
              <w:right w:w="17" w:type="dxa"/>
            </w:tcMar>
            <w:vAlign w:val="center"/>
          </w:tcPr>
          <w:p w14:paraId="587D77F5" w14:textId="77777777" w:rsidR="001C56BD" w:rsidRPr="00F92667" w:rsidRDefault="001C56BD" w:rsidP="008A5C11">
            <w:pPr>
              <w:jc w:val="center"/>
              <w:rPr>
                <w:sz w:val="12"/>
                <w:szCs w:val="12"/>
              </w:rPr>
            </w:pPr>
            <w:r w:rsidRPr="00F92667">
              <w:rPr>
                <w:sz w:val="12"/>
                <w:szCs w:val="12"/>
              </w:rPr>
              <w:t>Кемеровский городской округ, Заводский район, ул. Юрия Двужильного,2</w:t>
            </w:r>
          </w:p>
        </w:tc>
        <w:tc>
          <w:tcPr>
            <w:tcW w:w="294" w:type="pct"/>
            <w:shd w:val="clear" w:color="auto" w:fill="auto"/>
            <w:tcMar>
              <w:left w:w="17" w:type="dxa"/>
              <w:right w:w="17" w:type="dxa"/>
            </w:tcMar>
            <w:vAlign w:val="center"/>
          </w:tcPr>
          <w:p w14:paraId="606FE64A" w14:textId="77777777" w:rsidR="001C56BD" w:rsidRPr="00F92667" w:rsidRDefault="001C56BD" w:rsidP="008A5C11">
            <w:pPr>
              <w:jc w:val="center"/>
              <w:rPr>
                <w:sz w:val="12"/>
                <w:szCs w:val="12"/>
              </w:rPr>
            </w:pPr>
            <w:r w:rsidRPr="00F92667">
              <w:rPr>
                <w:color w:val="000000"/>
                <w:sz w:val="12"/>
                <w:szCs w:val="12"/>
              </w:rPr>
              <w:t>Технические характеристики</w:t>
            </w:r>
          </w:p>
        </w:tc>
        <w:tc>
          <w:tcPr>
            <w:tcW w:w="129" w:type="pct"/>
            <w:shd w:val="clear" w:color="auto" w:fill="auto"/>
            <w:tcMar>
              <w:left w:w="17" w:type="dxa"/>
              <w:right w:w="17" w:type="dxa"/>
            </w:tcMar>
            <w:vAlign w:val="center"/>
          </w:tcPr>
          <w:p w14:paraId="3FE2A17D" w14:textId="77777777" w:rsidR="001C56BD" w:rsidRPr="00F92667" w:rsidRDefault="001C56BD" w:rsidP="008A5C11">
            <w:pPr>
              <w:jc w:val="center"/>
              <w:rPr>
                <w:color w:val="000000"/>
                <w:sz w:val="12"/>
                <w:szCs w:val="12"/>
              </w:rPr>
            </w:pPr>
          </w:p>
        </w:tc>
        <w:tc>
          <w:tcPr>
            <w:tcW w:w="184" w:type="pct"/>
            <w:shd w:val="clear" w:color="auto" w:fill="auto"/>
            <w:tcMar>
              <w:left w:w="17" w:type="dxa"/>
              <w:right w:w="17" w:type="dxa"/>
            </w:tcMar>
            <w:vAlign w:val="center"/>
          </w:tcPr>
          <w:p w14:paraId="745A14DE" w14:textId="77777777" w:rsidR="001C56BD" w:rsidRPr="00F92667" w:rsidRDefault="001C56BD" w:rsidP="008A5C11">
            <w:pPr>
              <w:jc w:val="center"/>
              <w:rPr>
                <w:sz w:val="12"/>
                <w:szCs w:val="12"/>
              </w:rPr>
            </w:pPr>
            <w:r w:rsidRPr="00F92667">
              <w:rPr>
                <w:sz w:val="12"/>
                <w:szCs w:val="12"/>
              </w:rPr>
              <w:t xml:space="preserve">Канал-кирпич, опоры-хомутовые приварные, запорная арматура - стальная клиновая, антикоррозийная защита-лак БТ, труба-сталь 20, изоляция - мин. маты </w:t>
            </w:r>
          </w:p>
        </w:tc>
        <w:tc>
          <w:tcPr>
            <w:tcW w:w="219" w:type="pct"/>
            <w:shd w:val="clear" w:color="auto" w:fill="auto"/>
            <w:tcMar>
              <w:left w:w="17" w:type="dxa"/>
              <w:right w:w="17" w:type="dxa"/>
            </w:tcMar>
            <w:vAlign w:val="center"/>
          </w:tcPr>
          <w:p w14:paraId="3EDF8E65" w14:textId="77777777" w:rsidR="001C56BD" w:rsidRPr="00F92667" w:rsidRDefault="001C56BD" w:rsidP="008A5C11">
            <w:pPr>
              <w:jc w:val="center"/>
              <w:rPr>
                <w:sz w:val="12"/>
                <w:szCs w:val="12"/>
              </w:rPr>
            </w:pPr>
            <w:r w:rsidRPr="00F92667">
              <w:rPr>
                <w:sz w:val="12"/>
                <w:szCs w:val="12"/>
              </w:rPr>
              <w:t xml:space="preserve">Канал-ж/б лотки, опоры-хомутовые с диэлектрической прокладкой, запорная арматура - кран шаровый, антикоррозийная защита-мастика Вектор 1214, 1025, труба-сталь 09Г2С, изоляция - маты прошивные, </w:t>
            </w:r>
            <w:proofErr w:type="gramStart"/>
            <w:r w:rsidRPr="00F92667">
              <w:rPr>
                <w:sz w:val="12"/>
                <w:szCs w:val="12"/>
              </w:rPr>
              <w:t>стеклоплас-тик</w:t>
            </w:r>
            <w:proofErr w:type="gramEnd"/>
            <w:r w:rsidRPr="00F92667">
              <w:rPr>
                <w:sz w:val="12"/>
                <w:szCs w:val="12"/>
              </w:rPr>
              <w:t xml:space="preserve">  </w:t>
            </w:r>
          </w:p>
        </w:tc>
        <w:tc>
          <w:tcPr>
            <w:tcW w:w="130" w:type="pct"/>
            <w:shd w:val="clear" w:color="auto" w:fill="auto"/>
            <w:tcMar>
              <w:left w:w="17" w:type="dxa"/>
              <w:right w:w="17" w:type="dxa"/>
            </w:tcMar>
            <w:vAlign w:val="center"/>
          </w:tcPr>
          <w:p w14:paraId="21669B60" w14:textId="77777777" w:rsidR="001C56BD" w:rsidRPr="00F92667" w:rsidRDefault="001C56BD" w:rsidP="008A5C11">
            <w:pPr>
              <w:jc w:val="center"/>
              <w:rPr>
                <w:sz w:val="12"/>
                <w:szCs w:val="12"/>
              </w:rPr>
            </w:pPr>
            <w:r w:rsidRPr="00F92667">
              <w:rPr>
                <w:sz w:val="12"/>
                <w:szCs w:val="12"/>
              </w:rPr>
              <w:t>2027</w:t>
            </w:r>
          </w:p>
        </w:tc>
        <w:tc>
          <w:tcPr>
            <w:tcW w:w="130" w:type="pct"/>
            <w:shd w:val="clear" w:color="auto" w:fill="auto"/>
            <w:tcMar>
              <w:left w:w="17" w:type="dxa"/>
              <w:right w:w="17" w:type="dxa"/>
            </w:tcMar>
            <w:vAlign w:val="center"/>
          </w:tcPr>
          <w:p w14:paraId="78636DD1" w14:textId="77777777" w:rsidR="001C56BD" w:rsidRPr="00F92667" w:rsidRDefault="001C56BD" w:rsidP="008A5C11">
            <w:pPr>
              <w:jc w:val="center"/>
              <w:rPr>
                <w:sz w:val="12"/>
                <w:szCs w:val="12"/>
              </w:rPr>
            </w:pPr>
            <w:r w:rsidRPr="00F92667">
              <w:rPr>
                <w:sz w:val="12"/>
                <w:szCs w:val="12"/>
              </w:rPr>
              <w:t>2027</w:t>
            </w:r>
          </w:p>
        </w:tc>
        <w:tc>
          <w:tcPr>
            <w:tcW w:w="217" w:type="pct"/>
            <w:gridSpan w:val="2"/>
            <w:shd w:val="clear" w:color="auto" w:fill="auto"/>
            <w:tcMar>
              <w:left w:w="17" w:type="dxa"/>
              <w:right w:w="17" w:type="dxa"/>
            </w:tcMar>
            <w:vAlign w:val="center"/>
          </w:tcPr>
          <w:p w14:paraId="1978D0C2" w14:textId="77777777" w:rsidR="001C56BD" w:rsidRPr="00F92667" w:rsidRDefault="001C56BD" w:rsidP="008A5C11">
            <w:pPr>
              <w:jc w:val="center"/>
              <w:rPr>
                <w:sz w:val="12"/>
                <w:szCs w:val="12"/>
              </w:rPr>
            </w:pPr>
            <w:r w:rsidRPr="00F92667">
              <w:rPr>
                <w:sz w:val="12"/>
                <w:szCs w:val="12"/>
              </w:rPr>
              <w:t>8251,800</w:t>
            </w:r>
          </w:p>
        </w:tc>
        <w:tc>
          <w:tcPr>
            <w:tcW w:w="177" w:type="pct"/>
            <w:gridSpan w:val="2"/>
            <w:shd w:val="clear" w:color="auto" w:fill="auto"/>
            <w:tcMar>
              <w:left w:w="17" w:type="dxa"/>
              <w:right w:w="17" w:type="dxa"/>
            </w:tcMar>
            <w:vAlign w:val="center"/>
          </w:tcPr>
          <w:p w14:paraId="4AED5042" w14:textId="77777777" w:rsidR="001C56BD" w:rsidRPr="00F92667" w:rsidRDefault="001C56BD" w:rsidP="008A5C11">
            <w:pPr>
              <w:jc w:val="center"/>
              <w:rPr>
                <w:sz w:val="12"/>
                <w:szCs w:val="12"/>
              </w:rPr>
            </w:pPr>
            <w:r w:rsidRPr="00F92667">
              <w:rPr>
                <w:sz w:val="12"/>
                <w:szCs w:val="12"/>
              </w:rPr>
              <w:t>0,000</w:t>
            </w:r>
          </w:p>
        </w:tc>
        <w:tc>
          <w:tcPr>
            <w:tcW w:w="212" w:type="pct"/>
            <w:shd w:val="clear" w:color="auto" w:fill="auto"/>
            <w:tcMar>
              <w:left w:w="17" w:type="dxa"/>
              <w:right w:w="17" w:type="dxa"/>
            </w:tcMar>
            <w:vAlign w:val="center"/>
          </w:tcPr>
          <w:p w14:paraId="0D2CCD25" w14:textId="77777777" w:rsidR="001C56BD" w:rsidRPr="00F92667" w:rsidRDefault="001C56BD" w:rsidP="008A5C11">
            <w:pPr>
              <w:jc w:val="center"/>
              <w:rPr>
                <w:sz w:val="12"/>
                <w:szCs w:val="12"/>
              </w:rPr>
            </w:pPr>
            <w:r w:rsidRPr="00F92667">
              <w:rPr>
                <w:sz w:val="12"/>
                <w:szCs w:val="12"/>
              </w:rPr>
              <w:t>0,000</w:t>
            </w:r>
          </w:p>
        </w:tc>
        <w:tc>
          <w:tcPr>
            <w:tcW w:w="218" w:type="pct"/>
            <w:gridSpan w:val="2"/>
            <w:shd w:val="clear" w:color="auto" w:fill="auto"/>
            <w:tcMar>
              <w:left w:w="17" w:type="dxa"/>
              <w:right w:w="17" w:type="dxa"/>
            </w:tcMar>
            <w:vAlign w:val="center"/>
          </w:tcPr>
          <w:p w14:paraId="0AC6BDC4"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056AB9F6" w14:textId="77777777" w:rsidR="001C56BD" w:rsidRPr="00F92667" w:rsidRDefault="001C56BD" w:rsidP="008A5C11">
            <w:pPr>
              <w:jc w:val="center"/>
              <w:rPr>
                <w:sz w:val="12"/>
                <w:szCs w:val="12"/>
              </w:rPr>
            </w:pPr>
            <w:r w:rsidRPr="00F92667">
              <w:rPr>
                <w:sz w:val="12"/>
                <w:szCs w:val="12"/>
              </w:rPr>
              <w:t>0,000</w:t>
            </w:r>
          </w:p>
        </w:tc>
        <w:tc>
          <w:tcPr>
            <w:tcW w:w="206" w:type="pct"/>
            <w:gridSpan w:val="2"/>
            <w:shd w:val="clear" w:color="auto" w:fill="auto"/>
            <w:tcMar>
              <w:left w:w="17" w:type="dxa"/>
              <w:right w:w="17" w:type="dxa"/>
            </w:tcMar>
            <w:vAlign w:val="center"/>
          </w:tcPr>
          <w:p w14:paraId="6A6CB6DB"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67AFDB01" w14:textId="77777777" w:rsidR="001C56BD" w:rsidRPr="00F92667" w:rsidRDefault="001C56BD" w:rsidP="008A5C11">
            <w:pPr>
              <w:jc w:val="center"/>
              <w:rPr>
                <w:sz w:val="12"/>
                <w:szCs w:val="12"/>
              </w:rPr>
            </w:pPr>
            <w:r w:rsidRPr="00F92667">
              <w:rPr>
                <w:sz w:val="12"/>
                <w:szCs w:val="12"/>
              </w:rPr>
              <w:t>0,000</w:t>
            </w:r>
          </w:p>
        </w:tc>
        <w:tc>
          <w:tcPr>
            <w:tcW w:w="214" w:type="pct"/>
            <w:gridSpan w:val="2"/>
            <w:shd w:val="clear" w:color="auto" w:fill="auto"/>
            <w:tcMar>
              <w:left w:w="17" w:type="dxa"/>
              <w:right w:w="17" w:type="dxa"/>
            </w:tcMar>
            <w:vAlign w:val="center"/>
          </w:tcPr>
          <w:p w14:paraId="6071A155" w14:textId="77777777" w:rsidR="001C56BD" w:rsidRPr="00F92667" w:rsidRDefault="001C56BD" w:rsidP="008A5C11">
            <w:pPr>
              <w:jc w:val="center"/>
              <w:rPr>
                <w:sz w:val="12"/>
                <w:szCs w:val="12"/>
              </w:rPr>
            </w:pPr>
            <w:r w:rsidRPr="00F92667">
              <w:rPr>
                <w:sz w:val="12"/>
                <w:szCs w:val="12"/>
              </w:rPr>
              <w:t>8251,800</w:t>
            </w:r>
          </w:p>
        </w:tc>
        <w:tc>
          <w:tcPr>
            <w:tcW w:w="217" w:type="pct"/>
            <w:gridSpan w:val="2"/>
            <w:shd w:val="clear" w:color="auto" w:fill="auto"/>
            <w:tcMar>
              <w:left w:w="17" w:type="dxa"/>
              <w:right w:w="17" w:type="dxa"/>
            </w:tcMar>
            <w:vAlign w:val="center"/>
          </w:tcPr>
          <w:p w14:paraId="02473045"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00137A3F" w14:textId="77777777" w:rsidR="001C56BD" w:rsidRPr="00F92667" w:rsidRDefault="001C56BD" w:rsidP="008A5C11">
            <w:pPr>
              <w:jc w:val="center"/>
              <w:rPr>
                <w:sz w:val="12"/>
                <w:szCs w:val="12"/>
              </w:rPr>
            </w:pPr>
            <w:r w:rsidRPr="00F92667">
              <w:rPr>
                <w:sz w:val="12"/>
                <w:szCs w:val="12"/>
              </w:rPr>
              <w:t>0,000</w:t>
            </w:r>
          </w:p>
        </w:tc>
        <w:tc>
          <w:tcPr>
            <w:tcW w:w="214" w:type="pct"/>
            <w:gridSpan w:val="2"/>
            <w:shd w:val="clear" w:color="auto" w:fill="auto"/>
            <w:tcMar>
              <w:left w:w="17" w:type="dxa"/>
              <w:right w:w="17" w:type="dxa"/>
            </w:tcMar>
            <w:vAlign w:val="center"/>
          </w:tcPr>
          <w:p w14:paraId="064578B1" w14:textId="77777777" w:rsidR="001C56BD" w:rsidRPr="00F92667" w:rsidRDefault="001C56BD" w:rsidP="008A5C11">
            <w:pPr>
              <w:jc w:val="center"/>
              <w:rPr>
                <w:sz w:val="12"/>
                <w:szCs w:val="12"/>
              </w:rPr>
            </w:pPr>
            <w:r w:rsidRPr="00F92667">
              <w:rPr>
                <w:sz w:val="12"/>
                <w:szCs w:val="12"/>
              </w:rPr>
              <w:t>0,000</w:t>
            </w:r>
          </w:p>
        </w:tc>
        <w:tc>
          <w:tcPr>
            <w:tcW w:w="247" w:type="pct"/>
            <w:gridSpan w:val="2"/>
            <w:shd w:val="clear" w:color="auto" w:fill="auto"/>
            <w:tcMar>
              <w:left w:w="17" w:type="dxa"/>
              <w:right w:w="17" w:type="dxa"/>
            </w:tcMar>
            <w:vAlign w:val="center"/>
          </w:tcPr>
          <w:p w14:paraId="3233D272" w14:textId="77777777" w:rsidR="001C56BD" w:rsidRPr="00F92667" w:rsidRDefault="001C56BD" w:rsidP="008A5C11">
            <w:pPr>
              <w:jc w:val="center"/>
              <w:rPr>
                <w:sz w:val="12"/>
                <w:szCs w:val="12"/>
              </w:rPr>
            </w:pPr>
            <w:r w:rsidRPr="00F92667">
              <w:rPr>
                <w:sz w:val="12"/>
                <w:szCs w:val="12"/>
              </w:rPr>
              <w:t>0,000</w:t>
            </w:r>
          </w:p>
        </w:tc>
        <w:tc>
          <w:tcPr>
            <w:tcW w:w="173" w:type="pct"/>
            <w:shd w:val="clear" w:color="auto" w:fill="auto"/>
            <w:tcMar>
              <w:left w:w="17" w:type="dxa"/>
              <w:right w:w="17" w:type="dxa"/>
            </w:tcMar>
            <w:vAlign w:val="center"/>
          </w:tcPr>
          <w:p w14:paraId="091D3878" w14:textId="77777777" w:rsidR="001C56BD" w:rsidRPr="00F92667" w:rsidRDefault="001C56BD" w:rsidP="008A5C11">
            <w:pPr>
              <w:jc w:val="center"/>
              <w:rPr>
                <w:sz w:val="12"/>
                <w:szCs w:val="12"/>
              </w:rPr>
            </w:pPr>
            <w:r w:rsidRPr="00F92667">
              <w:rPr>
                <w:sz w:val="12"/>
                <w:szCs w:val="12"/>
              </w:rPr>
              <w:t>0,000</w:t>
            </w:r>
          </w:p>
        </w:tc>
        <w:tc>
          <w:tcPr>
            <w:tcW w:w="169" w:type="pct"/>
            <w:shd w:val="clear" w:color="auto" w:fill="auto"/>
            <w:tcMar>
              <w:left w:w="17" w:type="dxa"/>
              <w:right w:w="17" w:type="dxa"/>
            </w:tcMar>
            <w:vAlign w:val="center"/>
          </w:tcPr>
          <w:p w14:paraId="410C15A5" w14:textId="77777777" w:rsidR="001C56BD" w:rsidRPr="00F92667" w:rsidRDefault="001C56BD" w:rsidP="008A5C11">
            <w:pPr>
              <w:jc w:val="center"/>
              <w:rPr>
                <w:sz w:val="12"/>
                <w:szCs w:val="12"/>
              </w:rPr>
            </w:pPr>
            <w:r w:rsidRPr="00F92667">
              <w:rPr>
                <w:sz w:val="12"/>
                <w:szCs w:val="12"/>
              </w:rPr>
              <w:t>0,000</w:t>
            </w:r>
          </w:p>
        </w:tc>
      </w:tr>
      <w:tr w:rsidR="001C56BD" w:rsidRPr="00F92667" w14:paraId="09862D25" w14:textId="77777777" w:rsidTr="008A5C11">
        <w:trPr>
          <w:gridBefore w:val="1"/>
          <w:wBefore w:w="3" w:type="pct"/>
          <w:trHeight w:val="897"/>
        </w:trPr>
        <w:tc>
          <w:tcPr>
            <w:tcW w:w="129" w:type="pct"/>
            <w:shd w:val="clear" w:color="auto" w:fill="auto"/>
            <w:tcMar>
              <w:left w:w="17" w:type="dxa"/>
              <w:right w:w="17" w:type="dxa"/>
            </w:tcMar>
            <w:vAlign w:val="center"/>
          </w:tcPr>
          <w:p w14:paraId="326BD7C7" w14:textId="77777777" w:rsidR="001C56BD" w:rsidRPr="00F92667" w:rsidRDefault="001C56BD" w:rsidP="008A5C11">
            <w:pPr>
              <w:jc w:val="center"/>
              <w:rPr>
                <w:sz w:val="12"/>
                <w:szCs w:val="12"/>
              </w:rPr>
            </w:pPr>
            <w:r w:rsidRPr="00F92667">
              <w:rPr>
                <w:sz w:val="12"/>
                <w:szCs w:val="12"/>
              </w:rPr>
              <w:t>3.1.33.</w:t>
            </w:r>
          </w:p>
        </w:tc>
        <w:tc>
          <w:tcPr>
            <w:tcW w:w="305" w:type="pct"/>
            <w:shd w:val="clear" w:color="auto" w:fill="auto"/>
            <w:tcMar>
              <w:left w:w="17" w:type="dxa"/>
              <w:right w:w="17" w:type="dxa"/>
            </w:tcMar>
            <w:vAlign w:val="center"/>
          </w:tcPr>
          <w:p w14:paraId="6E41CE53" w14:textId="77777777" w:rsidR="001C56BD" w:rsidRPr="00F92667" w:rsidRDefault="001C56BD" w:rsidP="008A5C11">
            <w:pPr>
              <w:rPr>
                <w:sz w:val="12"/>
                <w:szCs w:val="12"/>
              </w:rPr>
            </w:pPr>
            <w:r w:rsidRPr="00F92667">
              <w:rPr>
                <w:color w:val="000000"/>
                <w:sz w:val="12"/>
                <w:szCs w:val="12"/>
              </w:rPr>
              <w:t>Реконструкция тепловой сети с реестровым номером</w:t>
            </w:r>
            <w:r w:rsidRPr="00F92667">
              <w:rPr>
                <w:sz w:val="12"/>
                <w:szCs w:val="12"/>
              </w:rPr>
              <w:t xml:space="preserve"> 777402</w:t>
            </w:r>
          </w:p>
        </w:tc>
        <w:tc>
          <w:tcPr>
            <w:tcW w:w="304" w:type="pct"/>
            <w:shd w:val="clear" w:color="000000" w:fill="FFFFFF"/>
            <w:tcMar>
              <w:left w:w="17" w:type="dxa"/>
              <w:right w:w="17" w:type="dxa"/>
            </w:tcMar>
            <w:vAlign w:val="center"/>
          </w:tcPr>
          <w:p w14:paraId="6D95289B" w14:textId="77777777" w:rsidR="001C56BD" w:rsidRPr="00F92667" w:rsidRDefault="001C56BD" w:rsidP="008A5C11">
            <w:pPr>
              <w:jc w:val="center"/>
              <w:rPr>
                <w:sz w:val="12"/>
                <w:szCs w:val="12"/>
              </w:rPr>
            </w:pPr>
            <w:r w:rsidRPr="00F92667">
              <w:rPr>
                <w:color w:val="000000"/>
                <w:sz w:val="12"/>
                <w:szCs w:val="12"/>
              </w:rPr>
              <w:t>Повышение надежности услуг теплоснабжения, повышение энергетической эффективности</w:t>
            </w:r>
          </w:p>
        </w:tc>
        <w:tc>
          <w:tcPr>
            <w:tcW w:w="258" w:type="pct"/>
            <w:shd w:val="clear" w:color="auto" w:fill="auto"/>
            <w:tcMar>
              <w:left w:w="17" w:type="dxa"/>
              <w:right w:w="17" w:type="dxa"/>
            </w:tcMar>
            <w:vAlign w:val="center"/>
          </w:tcPr>
          <w:p w14:paraId="0E43B63A" w14:textId="77777777" w:rsidR="001C56BD" w:rsidRPr="00F92667" w:rsidRDefault="001C56BD" w:rsidP="008A5C11">
            <w:pPr>
              <w:jc w:val="center"/>
              <w:rPr>
                <w:sz w:val="12"/>
                <w:szCs w:val="12"/>
              </w:rPr>
            </w:pPr>
            <w:r w:rsidRPr="00F92667">
              <w:rPr>
                <w:sz w:val="12"/>
                <w:szCs w:val="12"/>
              </w:rPr>
              <w:t>Кемеровский городской округ, Заводский район, квартал №53, ул. Сибиряков-Гвардейцев, ул. Пролетарская, ул. Федоровского, просп. Кузнецкий</w:t>
            </w:r>
          </w:p>
        </w:tc>
        <w:tc>
          <w:tcPr>
            <w:tcW w:w="294" w:type="pct"/>
            <w:shd w:val="clear" w:color="auto" w:fill="auto"/>
            <w:tcMar>
              <w:left w:w="17" w:type="dxa"/>
              <w:right w:w="17" w:type="dxa"/>
            </w:tcMar>
            <w:vAlign w:val="center"/>
          </w:tcPr>
          <w:p w14:paraId="56B2828C" w14:textId="77777777" w:rsidR="001C56BD" w:rsidRPr="00F92667" w:rsidRDefault="001C56BD" w:rsidP="008A5C11">
            <w:pPr>
              <w:jc w:val="center"/>
              <w:rPr>
                <w:sz w:val="12"/>
                <w:szCs w:val="12"/>
              </w:rPr>
            </w:pPr>
            <w:r w:rsidRPr="00F92667">
              <w:rPr>
                <w:color w:val="000000"/>
                <w:sz w:val="12"/>
                <w:szCs w:val="12"/>
              </w:rPr>
              <w:t>Технические характеристики</w:t>
            </w:r>
          </w:p>
        </w:tc>
        <w:tc>
          <w:tcPr>
            <w:tcW w:w="129" w:type="pct"/>
            <w:shd w:val="clear" w:color="auto" w:fill="auto"/>
            <w:tcMar>
              <w:left w:w="17" w:type="dxa"/>
              <w:right w:w="17" w:type="dxa"/>
            </w:tcMar>
            <w:vAlign w:val="center"/>
          </w:tcPr>
          <w:p w14:paraId="19470689" w14:textId="77777777" w:rsidR="001C56BD" w:rsidRPr="00F92667" w:rsidRDefault="001C56BD" w:rsidP="008A5C11">
            <w:pPr>
              <w:jc w:val="center"/>
              <w:rPr>
                <w:color w:val="000000"/>
                <w:sz w:val="12"/>
                <w:szCs w:val="12"/>
              </w:rPr>
            </w:pPr>
          </w:p>
        </w:tc>
        <w:tc>
          <w:tcPr>
            <w:tcW w:w="184" w:type="pct"/>
            <w:shd w:val="clear" w:color="auto" w:fill="auto"/>
            <w:tcMar>
              <w:left w:w="17" w:type="dxa"/>
              <w:right w:w="17" w:type="dxa"/>
            </w:tcMar>
            <w:vAlign w:val="center"/>
          </w:tcPr>
          <w:p w14:paraId="54D268CB" w14:textId="77777777" w:rsidR="001C56BD" w:rsidRPr="00F92667" w:rsidRDefault="001C56BD" w:rsidP="008A5C11">
            <w:pPr>
              <w:jc w:val="center"/>
              <w:rPr>
                <w:sz w:val="12"/>
                <w:szCs w:val="12"/>
              </w:rPr>
            </w:pPr>
            <w:r w:rsidRPr="00F92667">
              <w:rPr>
                <w:sz w:val="12"/>
                <w:szCs w:val="12"/>
              </w:rPr>
              <w:t xml:space="preserve">Канал-кирпич, опоры-хомутовые </w:t>
            </w:r>
            <w:proofErr w:type="gramStart"/>
            <w:r w:rsidRPr="00F92667">
              <w:rPr>
                <w:sz w:val="12"/>
                <w:szCs w:val="12"/>
              </w:rPr>
              <w:t>привар-ные</w:t>
            </w:r>
            <w:proofErr w:type="gramEnd"/>
            <w:r w:rsidRPr="00F92667">
              <w:rPr>
                <w:sz w:val="12"/>
                <w:szCs w:val="12"/>
              </w:rPr>
              <w:t xml:space="preserve">, запорная арматура - стальная клиновая, антикоррозийная защита-лак БТ, труба-сталь 20, изоляция - мин. маты </w:t>
            </w:r>
          </w:p>
        </w:tc>
        <w:tc>
          <w:tcPr>
            <w:tcW w:w="219" w:type="pct"/>
            <w:shd w:val="clear" w:color="auto" w:fill="auto"/>
            <w:tcMar>
              <w:left w:w="17" w:type="dxa"/>
              <w:right w:w="17" w:type="dxa"/>
            </w:tcMar>
            <w:vAlign w:val="center"/>
          </w:tcPr>
          <w:p w14:paraId="270B2856" w14:textId="77777777" w:rsidR="001C56BD" w:rsidRPr="00F92667" w:rsidRDefault="001C56BD" w:rsidP="008A5C11">
            <w:pPr>
              <w:jc w:val="center"/>
              <w:rPr>
                <w:sz w:val="12"/>
                <w:szCs w:val="12"/>
              </w:rPr>
            </w:pPr>
            <w:r w:rsidRPr="00F92667">
              <w:rPr>
                <w:sz w:val="12"/>
                <w:szCs w:val="12"/>
              </w:rPr>
              <w:t xml:space="preserve">Канал-ж/б лотки, опоры-хомутовые с диэлектрической прокладкой, запорная арматура - кран шаровый, антикоррозийная защита-мастика Вектор 1214, 1025, труба-сталь 09Г2С, изоляция - маты прошивные, </w:t>
            </w:r>
            <w:proofErr w:type="gramStart"/>
            <w:r w:rsidRPr="00F92667">
              <w:rPr>
                <w:sz w:val="12"/>
                <w:szCs w:val="12"/>
              </w:rPr>
              <w:t>стеклоплас-тик</w:t>
            </w:r>
            <w:proofErr w:type="gramEnd"/>
            <w:r w:rsidRPr="00F92667">
              <w:rPr>
                <w:sz w:val="12"/>
                <w:szCs w:val="12"/>
              </w:rPr>
              <w:t xml:space="preserve">  </w:t>
            </w:r>
          </w:p>
        </w:tc>
        <w:tc>
          <w:tcPr>
            <w:tcW w:w="130" w:type="pct"/>
            <w:shd w:val="clear" w:color="auto" w:fill="auto"/>
            <w:tcMar>
              <w:left w:w="17" w:type="dxa"/>
              <w:right w:w="17" w:type="dxa"/>
            </w:tcMar>
            <w:vAlign w:val="center"/>
          </w:tcPr>
          <w:p w14:paraId="721736FE" w14:textId="77777777" w:rsidR="001C56BD" w:rsidRPr="00F92667" w:rsidRDefault="001C56BD" w:rsidP="008A5C11">
            <w:pPr>
              <w:jc w:val="center"/>
              <w:rPr>
                <w:sz w:val="12"/>
                <w:szCs w:val="12"/>
              </w:rPr>
            </w:pPr>
            <w:r w:rsidRPr="00F92667">
              <w:rPr>
                <w:sz w:val="12"/>
                <w:szCs w:val="12"/>
              </w:rPr>
              <w:t>2024</w:t>
            </w:r>
          </w:p>
        </w:tc>
        <w:tc>
          <w:tcPr>
            <w:tcW w:w="130" w:type="pct"/>
            <w:shd w:val="clear" w:color="auto" w:fill="auto"/>
            <w:tcMar>
              <w:left w:w="17" w:type="dxa"/>
              <w:right w:w="17" w:type="dxa"/>
            </w:tcMar>
            <w:vAlign w:val="center"/>
          </w:tcPr>
          <w:p w14:paraId="7FA5A09C" w14:textId="77777777" w:rsidR="001C56BD" w:rsidRPr="00F92667" w:rsidRDefault="001C56BD" w:rsidP="008A5C11">
            <w:pPr>
              <w:jc w:val="center"/>
              <w:rPr>
                <w:sz w:val="12"/>
                <w:szCs w:val="12"/>
              </w:rPr>
            </w:pPr>
            <w:r w:rsidRPr="00F92667">
              <w:rPr>
                <w:sz w:val="12"/>
                <w:szCs w:val="12"/>
              </w:rPr>
              <w:t>2024</w:t>
            </w:r>
          </w:p>
        </w:tc>
        <w:tc>
          <w:tcPr>
            <w:tcW w:w="217" w:type="pct"/>
            <w:gridSpan w:val="2"/>
            <w:shd w:val="clear" w:color="auto" w:fill="auto"/>
            <w:tcMar>
              <w:left w:w="17" w:type="dxa"/>
              <w:right w:w="17" w:type="dxa"/>
            </w:tcMar>
            <w:vAlign w:val="center"/>
          </w:tcPr>
          <w:p w14:paraId="100F8812" w14:textId="77777777" w:rsidR="001C56BD" w:rsidRPr="00F92667" w:rsidRDefault="001C56BD" w:rsidP="008A5C11">
            <w:pPr>
              <w:jc w:val="center"/>
              <w:rPr>
                <w:sz w:val="12"/>
                <w:szCs w:val="12"/>
              </w:rPr>
            </w:pPr>
            <w:r w:rsidRPr="00F92667">
              <w:rPr>
                <w:sz w:val="12"/>
                <w:szCs w:val="12"/>
              </w:rPr>
              <w:t>12194,136</w:t>
            </w:r>
          </w:p>
        </w:tc>
        <w:tc>
          <w:tcPr>
            <w:tcW w:w="177" w:type="pct"/>
            <w:gridSpan w:val="2"/>
            <w:shd w:val="clear" w:color="auto" w:fill="auto"/>
            <w:tcMar>
              <w:left w:w="17" w:type="dxa"/>
              <w:right w:w="17" w:type="dxa"/>
            </w:tcMar>
            <w:vAlign w:val="center"/>
          </w:tcPr>
          <w:p w14:paraId="3EE3D6B5" w14:textId="77777777" w:rsidR="001C56BD" w:rsidRPr="00F92667" w:rsidRDefault="001C56BD" w:rsidP="008A5C11">
            <w:pPr>
              <w:jc w:val="center"/>
              <w:rPr>
                <w:sz w:val="12"/>
                <w:szCs w:val="12"/>
              </w:rPr>
            </w:pPr>
            <w:r w:rsidRPr="00F92667">
              <w:rPr>
                <w:sz w:val="12"/>
                <w:szCs w:val="12"/>
              </w:rPr>
              <w:t>0,000</w:t>
            </w:r>
          </w:p>
        </w:tc>
        <w:tc>
          <w:tcPr>
            <w:tcW w:w="212" w:type="pct"/>
            <w:shd w:val="clear" w:color="auto" w:fill="auto"/>
            <w:tcMar>
              <w:left w:w="17" w:type="dxa"/>
              <w:right w:w="17" w:type="dxa"/>
            </w:tcMar>
            <w:vAlign w:val="center"/>
          </w:tcPr>
          <w:p w14:paraId="45B0B220" w14:textId="77777777" w:rsidR="001C56BD" w:rsidRPr="00F92667" w:rsidRDefault="001C56BD" w:rsidP="008A5C11">
            <w:pPr>
              <w:jc w:val="center"/>
              <w:rPr>
                <w:sz w:val="12"/>
                <w:szCs w:val="12"/>
              </w:rPr>
            </w:pPr>
            <w:r w:rsidRPr="00F92667">
              <w:rPr>
                <w:sz w:val="12"/>
                <w:szCs w:val="12"/>
              </w:rPr>
              <w:t>0,000</w:t>
            </w:r>
          </w:p>
        </w:tc>
        <w:tc>
          <w:tcPr>
            <w:tcW w:w="218" w:type="pct"/>
            <w:gridSpan w:val="2"/>
            <w:shd w:val="clear" w:color="auto" w:fill="auto"/>
            <w:tcMar>
              <w:left w:w="17" w:type="dxa"/>
              <w:right w:w="17" w:type="dxa"/>
            </w:tcMar>
            <w:vAlign w:val="center"/>
          </w:tcPr>
          <w:p w14:paraId="26AE3D55"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0573B934" w14:textId="77777777" w:rsidR="001C56BD" w:rsidRPr="00F92667" w:rsidRDefault="001C56BD" w:rsidP="008A5C11">
            <w:pPr>
              <w:jc w:val="center"/>
              <w:rPr>
                <w:sz w:val="12"/>
                <w:szCs w:val="12"/>
              </w:rPr>
            </w:pPr>
            <w:r w:rsidRPr="00F92667">
              <w:rPr>
                <w:sz w:val="12"/>
                <w:szCs w:val="12"/>
              </w:rPr>
              <w:t>12194,136</w:t>
            </w:r>
          </w:p>
        </w:tc>
        <w:tc>
          <w:tcPr>
            <w:tcW w:w="206" w:type="pct"/>
            <w:gridSpan w:val="2"/>
            <w:shd w:val="clear" w:color="auto" w:fill="auto"/>
            <w:tcMar>
              <w:left w:w="17" w:type="dxa"/>
              <w:right w:w="17" w:type="dxa"/>
            </w:tcMar>
            <w:vAlign w:val="center"/>
          </w:tcPr>
          <w:p w14:paraId="4394B2C4"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3A9AEFDB" w14:textId="77777777" w:rsidR="001C56BD" w:rsidRPr="00F92667" w:rsidRDefault="001C56BD" w:rsidP="008A5C11">
            <w:pPr>
              <w:jc w:val="center"/>
              <w:rPr>
                <w:sz w:val="12"/>
                <w:szCs w:val="12"/>
              </w:rPr>
            </w:pPr>
            <w:r w:rsidRPr="00F92667">
              <w:rPr>
                <w:sz w:val="12"/>
                <w:szCs w:val="12"/>
              </w:rPr>
              <w:t>0,000</w:t>
            </w:r>
          </w:p>
        </w:tc>
        <w:tc>
          <w:tcPr>
            <w:tcW w:w="214" w:type="pct"/>
            <w:gridSpan w:val="2"/>
            <w:shd w:val="clear" w:color="auto" w:fill="auto"/>
            <w:tcMar>
              <w:left w:w="17" w:type="dxa"/>
              <w:right w:w="17" w:type="dxa"/>
            </w:tcMar>
            <w:vAlign w:val="center"/>
          </w:tcPr>
          <w:p w14:paraId="64F0788D"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784DAAD0"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569ED57D" w14:textId="77777777" w:rsidR="001C56BD" w:rsidRPr="00F92667" w:rsidRDefault="001C56BD" w:rsidP="008A5C11">
            <w:pPr>
              <w:jc w:val="center"/>
              <w:rPr>
                <w:sz w:val="12"/>
                <w:szCs w:val="12"/>
              </w:rPr>
            </w:pPr>
            <w:r w:rsidRPr="00F92667">
              <w:rPr>
                <w:sz w:val="12"/>
                <w:szCs w:val="12"/>
              </w:rPr>
              <w:t>0,000</w:t>
            </w:r>
          </w:p>
        </w:tc>
        <w:tc>
          <w:tcPr>
            <w:tcW w:w="214" w:type="pct"/>
            <w:gridSpan w:val="2"/>
            <w:shd w:val="clear" w:color="auto" w:fill="auto"/>
            <w:tcMar>
              <w:left w:w="17" w:type="dxa"/>
              <w:right w:w="17" w:type="dxa"/>
            </w:tcMar>
            <w:vAlign w:val="center"/>
          </w:tcPr>
          <w:p w14:paraId="2670F3DA" w14:textId="77777777" w:rsidR="001C56BD" w:rsidRPr="00F92667" w:rsidRDefault="001C56BD" w:rsidP="008A5C11">
            <w:pPr>
              <w:jc w:val="center"/>
              <w:rPr>
                <w:sz w:val="12"/>
                <w:szCs w:val="12"/>
              </w:rPr>
            </w:pPr>
            <w:r w:rsidRPr="00F92667">
              <w:rPr>
                <w:sz w:val="12"/>
                <w:szCs w:val="12"/>
              </w:rPr>
              <w:t>0,000</w:t>
            </w:r>
          </w:p>
        </w:tc>
        <w:tc>
          <w:tcPr>
            <w:tcW w:w="247" w:type="pct"/>
            <w:gridSpan w:val="2"/>
            <w:shd w:val="clear" w:color="auto" w:fill="auto"/>
            <w:tcMar>
              <w:left w:w="17" w:type="dxa"/>
              <w:right w:w="17" w:type="dxa"/>
            </w:tcMar>
            <w:vAlign w:val="center"/>
          </w:tcPr>
          <w:p w14:paraId="5647CB0F" w14:textId="77777777" w:rsidR="001C56BD" w:rsidRPr="00F92667" w:rsidRDefault="001C56BD" w:rsidP="008A5C11">
            <w:pPr>
              <w:jc w:val="center"/>
              <w:rPr>
                <w:sz w:val="12"/>
                <w:szCs w:val="12"/>
              </w:rPr>
            </w:pPr>
            <w:r w:rsidRPr="00F92667">
              <w:rPr>
                <w:sz w:val="12"/>
                <w:szCs w:val="12"/>
              </w:rPr>
              <w:t>0,000</w:t>
            </w:r>
          </w:p>
        </w:tc>
        <w:tc>
          <w:tcPr>
            <w:tcW w:w="173" w:type="pct"/>
            <w:shd w:val="clear" w:color="auto" w:fill="auto"/>
            <w:tcMar>
              <w:left w:w="17" w:type="dxa"/>
              <w:right w:w="17" w:type="dxa"/>
            </w:tcMar>
            <w:vAlign w:val="center"/>
          </w:tcPr>
          <w:p w14:paraId="1B45E8A0" w14:textId="77777777" w:rsidR="001C56BD" w:rsidRPr="00F92667" w:rsidRDefault="001C56BD" w:rsidP="008A5C11">
            <w:pPr>
              <w:jc w:val="center"/>
              <w:rPr>
                <w:sz w:val="12"/>
                <w:szCs w:val="12"/>
              </w:rPr>
            </w:pPr>
            <w:r w:rsidRPr="00F92667">
              <w:rPr>
                <w:sz w:val="12"/>
                <w:szCs w:val="12"/>
              </w:rPr>
              <w:t>0,000</w:t>
            </w:r>
          </w:p>
        </w:tc>
        <w:tc>
          <w:tcPr>
            <w:tcW w:w="169" w:type="pct"/>
            <w:shd w:val="clear" w:color="auto" w:fill="auto"/>
            <w:tcMar>
              <w:left w:w="17" w:type="dxa"/>
              <w:right w:w="17" w:type="dxa"/>
            </w:tcMar>
            <w:vAlign w:val="center"/>
          </w:tcPr>
          <w:p w14:paraId="63FA045C" w14:textId="77777777" w:rsidR="001C56BD" w:rsidRPr="00F92667" w:rsidRDefault="001C56BD" w:rsidP="008A5C11">
            <w:pPr>
              <w:jc w:val="center"/>
              <w:rPr>
                <w:sz w:val="12"/>
                <w:szCs w:val="12"/>
              </w:rPr>
            </w:pPr>
            <w:r w:rsidRPr="00F92667">
              <w:rPr>
                <w:sz w:val="12"/>
                <w:szCs w:val="12"/>
              </w:rPr>
              <w:t>0,000</w:t>
            </w:r>
          </w:p>
        </w:tc>
      </w:tr>
      <w:tr w:rsidR="001C56BD" w:rsidRPr="00F92667" w14:paraId="35F8AFF2" w14:textId="77777777" w:rsidTr="008A5C11">
        <w:trPr>
          <w:gridBefore w:val="1"/>
          <w:wBefore w:w="3" w:type="pct"/>
          <w:trHeight w:val="897"/>
        </w:trPr>
        <w:tc>
          <w:tcPr>
            <w:tcW w:w="129" w:type="pct"/>
            <w:shd w:val="clear" w:color="auto" w:fill="auto"/>
            <w:tcMar>
              <w:left w:w="17" w:type="dxa"/>
              <w:right w:w="17" w:type="dxa"/>
            </w:tcMar>
            <w:vAlign w:val="center"/>
          </w:tcPr>
          <w:p w14:paraId="7B7E913F" w14:textId="77777777" w:rsidR="001C56BD" w:rsidRPr="00F92667" w:rsidRDefault="001C56BD" w:rsidP="008A5C11">
            <w:pPr>
              <w:jc w:val="center"/>
              <w:rPr>
                <w:sz w:val="12"/>
                <w:szCs w:val="12"/>
              </w:rPr>
            </w:pPr>
            <w:r w:rsidRPr="00F92667">
              <w:rPr>
                <w:sz w:val="12"/>
                <w:szCs w:val="12"/>
              </w:rPr>
              <w:t>3.1.34.</w:t>
            </w:r>
          </w:p>
        </w:tc>
        <w:tc>
          <w:tcPr>
            <w:tcW w:w="305" w:type="pct"/>
            <w:shd w:val="clear" w:color="auto" w:fill="auto"/>
            <w:tcMar>
              <w:left w:w="17" w:type="dxa"/>
              <w:right w:w="17" w:type="dxa"/>
            </w:tcMar>
            <w:vAlign w:val="center"/>
          </w:tcPr>
          <w:p w14:paraId="41970F8E" w14:textId="77777777" w:rsidR="001C56BD" w:rsidRPr="00F92667" w:rsidRDefault="001C56BD" w:rsidP="008A5C11">
            <w:pPr>
              <w:rPr>
                <w:sz w:val="12"/>
                <w:szCs w:val="12"/>
              </w:rPr>
            </w:pPr>
            <w:r w:rsidRPr="00F92667">
              <w:rPr>
                <w:color w:val="000000"/>
                <w:sz w:val="12"/>
                <w:szCs w:val="12"/>
              </w:rPr>
              <w:t>Реконструкция тепловой сети с реестровым номером</w:t>
            </w:r>
            <w:r w:rsidRPr="00F92667">
              <w:rPr>
                <w:sz w:val="12"/>
                <w:szCs w:val="12"/>
              </w:rPr>
              <w:t xml:space="preserve"> 773022</w:t>
            </w:r>
          </w:p>
        </w:tc>
        <w:tc>
          <w:tcPr>
            <w:tcW w:w="304" w:type="pct"/>
            <w:shd w:val="clear" w:color="000000" w:fill="FFFFFF"/>
            <w:tcMar>
              <w:left w:w="17" w:type="dxa"/>
              <w:right w:w="17" w:type="dxa"/>
            </w:tcMar>
            <w:vAlign w:val="center"/>
          </w:tcPr>
          <w:p w14:paraId="5B3C8331" w14:textId="77777777" w:rsidR="001C56BD" w:rsidRPr="00F92667" w:rsidRDefault="001C56BD" w:rsidP="008A5C11">
            <w:pPr>
              <w:jc w:val="center"/>
              <w:rPr>
                <w:sz w:val="12"/>
                <w:szCs w:val="12"/>
              </w:rPr>
            </w:pPr>
            <w:r w:rsidRPr="00F92667">
              <w:rPr>
                <w:color w:val="000000"/>
                <w:sz w:val="12"/>
                <w:szCs w:val="12"/>
              </w:rPr>
              <w:t>Повышение надежности услуг теплоснабжения, повышение энергетической эффективности</w:t>
            </w:r>
          </w:p>
        </w:tc>
        <w:tc>
          <w:tcPr>
            <w:tcW w:w="258" w:type="pct"/>
            <w:shd w:val="clear" w:color="auto" w:fill="auto"/>
            <w:tcMar>
              <w:left w:w="17" w:type="dxa"/>
              <w:right w:w="17" w:type="dxa"/>
            </w:tcMar>
            <w:vAlign w:val="center"/>
          </w:tcPr>
          <w:p w14:paraId="3B81C904" w14:textId="77777777" w:rsidR="001C56BD" w:rsidRPr="00F92667" w:rsidRDefault="001C56BD" w:rsidP="008A5C11">
            <w:pPr>
              <w:jc w:val="center"/>
              <w:rPr>
                <w:sz w:val="12"/>
                <w:szCs w:val="12"/>
              </w:rPr>
            </w:pPr>
            <w:r w:rsidRPr="00F92667">
              <w:rPr>
                <w:sz w:val="12"/>
                <w:szCs w:val="12"/>
              </w:rPr>
              <w:t>Кемеровский городской округ, Центральный район, квартал 11а</w:t>
            </w:r>
          </w:p>
        </w:tc>
        <w:tc>
          <w:tcPr>
            <w:tcW w:w="294" w:type="pct"/>
            <w:shd w:val="clear" w:color="auto" w:fill="auto"/>
            <w:tcMar>
              <w:left w:w="17" w:type="dxa"/>
              <w:right w:w="17" w:type="dxa"/>
            </w:tcMar>
            <w:vAlign w:val="center"/>
          </w:tcPr>
          <w:p w14:paraId="7D096C9A" w14:textId="77777777" w:rsidR="001C56BD" w:rsidRPr="00F92667" w:rsidRDefault="001C56BD" w:rsidP="008A5C11">
            <w:pPr>
              <w:jc w:val="center"/>
              <w:rPr>
                <w:sz w:val="12"/>
                <w:szCs w:val="12"/>
              </w:rPr>
            </w:pPr>
            <w:r w:rsidRPr="00F92667">
              <w:rPr>
                <w:color w:val="000000"/>
                <w:sz w:val="12"/>
                <w:szCs w:val="12"/>
              </w:rPr>
              <w:t>Технические характеристики</w:t>
            </w:r>
          </w:p>
        </w:tc>
        <w:tc>
          <w:tcPr>
            <w:tcW w:w="129" w:type="pct"/>
            <w:shd w:val="clear" w:color="auto" w:fill="auto"/>
            <w:tcMar>
              <w:left w:w="17" w:type="dxa"/>
              <w:right w:w="17" w:type="dxa"/>
            </w:tcMar>
            <w:vAlign w:val="center"/>
          </w:tcPr>
          <w:p w14:paraId="6D983B17" w14:textId="77777777" w:rsidR="001C56BD" w:rsidRPr="00F92667" w:rsidRDefault="001C56BD" w:rsidP="008A5C11">
            <w:pPr>
              <w:jc w:val="center"/>
              <w:rPr>
                <w:color w:val="000000"/>
                <w:sz w:val="12"/>
                <w:szCs w:val="12"/>
              </w:rPr>
            </w:pPr>
          </w:p>
        </w:tc>
        <w:tc>
          <w:tcPr>
            <w:tcW w:w="184" w:type="pct"/>
            <w:shd w:val="clear" w:color="auto" w:fill="auto"/>
            <w:tcMar>
              <w:left w:w="17" w:type="dxa"/>
              <w:right w:w="17" w:type="dxa"/>
            </w:tcMar>
            <w:vAlign w:val="center"/>
          </w:tcPr>
          <w:p w14:paraId="041FD7F9" w14:textId="77777777" w:rsidR="001C56BD" w:rsidRPr="00F92667" w:rsidRDefault="001C56BD" w:rsidP="008A5C11">
            <w:pPr>
              <w:jc w:val="center"/>
              <w:rPr>
                <w:sz w:val="12"/>
                <w:szCs w:val="12"/>
              </w:rPr>
            </w:pPr>
            <w:r w:rsidRPr="00F92667">
              <w:rPr>
                <w:sz w:val="12"/>
                <w:szCs w:val="12"/>
              </w:rPr>
              <w:t>Канал-ж/б лотки (непроходной канал),</w:t>
            </w:r>
            <w:r w:rsidRPr="00F92667">
              <w:rPr>
                <w:sz w:val="12"/>
                <w:szCs w:val="12"/>
              </w:rPr>
              <w:br/>
              <w:t xml:space="preserve">опоры </w:t>
            </w:r>
            <w:proofErr w:type="gramStart"/>
            <w:r w:rsidRPr="00F92667">
              <w:rPr>
                <w:sz w:val="12"/>
                <w:szCs w:val="12"/>
              </w:rPr>
              <w:t>привар-ные</w:t>
            </w:r>
            <w:proofErr w:type="gramEnd"/>
            <w:r w:rsidRPr="00F92667">
              <w:rPr>
                <w:sz w:val="12"/>
                <w:szCs w:val="12"/>
              </w:rPr>
              <w:t xml:space="preserve">, запорная арматура-стальная клиновая, антикоррозийная защита-лак БТ, труба-сталь 20, изоляция-мин. маты.       </w:t>
            </w:r>
          </w:p>
        </w:tc>
        <w:tc>
          <w:tcPr>
            <w:tcW w:w="219" w:type="pct"/>
            <w:shd w:val="clear" w:color="auto" w:fill="auto"/>
            <w:tcMar>
              <w:left w:w="17" w:type="dxa"/>
              <w:right w:w="17" w:type="dxa"/>
            </w:tcMar>
            <w:vAlign w:val="center"/>
          </w:tcPr>
          <w:p w14:paraId="54AD0D40" w14:textId="77777777" w:rsidR="001C56BD" w:rsidRPr="00F92667" w:rsidRDefault="001C56BD" w:rsidP="008A5C11">
            <w:pPr>
              <w:jc w:val="center"/>
              <w:rPr>
                <w:sz w:val="12"/>
                <w:szCs w:val="12"/>
              </w:rPr>
            </w:pPr>
            <w:r w:rsidRPr="00F92667">
              <w:rPr>
                <w:sz w:val="12"/>
                <w:szCs w:val="12"/>
              </w:rPr>
              <w:t xml:space="preserve">Канал-ж/б лотки, опоры-хомутовые с диэлектрической прокладкой, запорная арматура - кран шаровый, антикоррозийная защита-мастика Вектор 1214, 1025, труба-сталь 09Г2С, изоляция - маты прошивные, </w:t>
            </w:r>
            <w:proofErr w:type="gramStart"/>
            <w:r w:rsidRPr="00F92667">
              <w:rPr>
                <w:sz w:val="12"/>
                <w:szCs w:val="12"/>
              </w:rPr>
              <w:t>стеклоплас-тик</w:t>
            </w:r>
            <w:proofErr w:type="gramEnd"/>
            <w:r w:rsidRPr="00F92667">
              <w:rPr>
                <w:sz w:val="12"/>
                <w:szCs w:val="12"/>
              </w:rPr>
              <w:t xml:space="preserve">  </w:t>
            </w:r>
          </w:p>
        </w:tc>
        <w:tc>
          <w:tcPr>
            <w:tcW w:w="130" w:type="pct"/>
            <w:shd w:val="clear" w:color="auto" w:fill="auto"/>
            <w:tcMar>
              <w:left w:w="17" w:type="dxa"/>
              <w:right w:w="17" w:type="dxa"/>
            </w:tcMar>
            <w:vAlign w:val="center"/>
          </w:tcPr>
          <w:p w14:paraId="0DE22705" w14:textId="77777777" w:rsidR="001C56BD" w:rsidRPr="00F92667" w:rsidRDefault="001C56BD" w:rsidP="008A5C11">
            <w:pPr>
              <w:jc w:val="center"/>
              <w:rPr>
                <w:sz w:val="12"/>
                <w:szCs w:val="12"/>
              </w:rPr>
            </w:pPr>
            <w:r w:rsidRPr="00F92667">
              <w:rPr>
                <w:sz w:val="12"/>
                <w:szCs w:val="12"/>
              </w:rPr>
              <w:t>2026</w:t>
            </w:r>
          </w:p>
        </w:tc>
        <w:tc>
          <w:tcPr>
            <w:tcW w:w="130" w:type="pct"/>
            <w:shd w:val="clear" w:color="auto" w:fill="auto"/>
            <w:tcMar>
              <w:left w:w="17" w:type="dxa"/>
              <w:right w:w="17" w:type="dxa"/>
            </w:tcMar>
            <w:vAlign w:val="center"/>
          </w:tcPr>
          <w:p w14:paraId="37FFAB55" w14:textId="77777777" w:rsidR="001C56BD" w:rsidRPr="00F92667" w:rsidRDefault="001C56BD" w:rsidP="008A5C11">
            <w:pPr>
              <w:jc w:val="center"/>
              <w:rPr>
                <w:sz w:val="12"/>
                <w:szCs w:val="12"/>
              </w:rPr>
            </w:pPr>
            <w:r w:rsidRPr="00F92667">
              <w:rPr>
                <w:sz w:val="12"/>
                <w:szCs w:val="12"/>
              </w:rPr>
              <w:t>2026</w:t>
            </w:r>
          </w:p>
        </w:tc>
        <w:tc>
          <w:tcPr>
            <w:tcW w:w="217" w:type="pct"/>
            <w:gridSpan w:val="2"/>
            <w:shd w:val="clear" w:color="auto" w:fill="auto"/>
            <w:tcMar>
              <w:left w:w="17" w:type="dxa"/>
              <w:right w:w="17" w:type="dxa"/>
            </w:tcMar>
            <w:vAlign w:val="center"/>
          </w:tcPr>
          <w:p w14:paraId="665C9E6A" w14:textId="77777777" w:rsidR="001C56BD" w:rsidRPr="00F92667" w:rsidRDefault="001C56BD" w:rsidP="008A5C11">
            <w:pPr>
              <w:jc w:val="center"/>
              <w:rPr>
                <w:sz w:val="12"/>
                <w:szCs w:val="12"/>
              </w:rPr>
            </w:pPr>
            <w:r w:rsidRPr="00F92667">
              <w:rPr>
                <w:sz w:val="12"/>
                <w:szCs w:val="12"/>
              </w:rPr>
              <w:t>6114,984</w:t>
            </w:r>
          </w:p>
        </w:tc>
        <w:tc>
          <w:tcPr>
            <w:tcW w:w="177" w:type="pct"/>
            <w:gridSpan w:val="2"/>
            <w:shd w:val="clear" w:color="auto" w:fill="auto"/>
            <w:tcMar>
              <w:left w:w="17" w:type="dxa"/>
              <w:right w:w="17" w:type="dxa"/>
            </w:tcMar>
            <w:vAlign w:val="center"/>
          </w:tcPr>
          <w:p w14:paraId="0A362DBD" w14:textId="77777777" w:rsidR="001C56BD" w:rsidRPr="00F92667" w:rsidRDefault="001C56BD" w:rsidP="008A5C11">
            <w:pPr>
              <w:jc w:val="center"/>
              <w:rPr>
                <w:sz w:val="12"/>
                <w:szCs w:val="12"/>
              </w:rPr>
            </w:pPr>
            <w:r w:rsidRPr="00F92667">
              <w:rPr>
                <w:sz w:val="12"/>
                <w:szCs w:val="12"/>
              </w:rPr>
              <w:t>0,000</w:t>
            </w:r>
          </w:p>
        </w:tc>
        <w:tc>
          <w:tcPr>
            <w:tcW w:w="212" w:type="pct"/>
            <w:shd w:val="clear" w:color="auto" w:fill="auto"/>
            <w:tcMar>
              <w:left w:w="17" w:type="dxa"/>
              <w:right w:w="17" w:type="dxa"/>
            </w:tcMar>
            <w:vAlign w:val="center"/>
          </w:tcPr>
          <w:p w14:paraId="5B856E58" w14:textId="77777777" w:rsidR="001C56BD" w:rsidRPr="00F92667" w:rsidRDefault="001C56BD" w:rsidP="008A5C11">
            <w:pPr>
              <w:jc w:val="center"/>
              <w:rPr>
                <w:sz w:val="12"/>
                <w:szCs w:val="12"/>
              </w:rPr>
            </w:pPr>
            <w:r w:rsidRPr="00F92667">
              <w:rPr>
                <w:sz w:val="12"/>
                <w:szCs w:val="12"/>
              </w:rPr>
              <w:t>0,000</w:t>
            </w:r>
          </w:p>
        </w:tc>
        <w:tc>
          <w:tcPr>
            <w:tcW w:w="218" w:type="pct"/>
            <w:gridSpan w:val="2"/>
            <w:shd w:val="clear" w:color="auto" w:fill="auto"/>
            <w:tcMar>
              <w:left w:w="17" w:type="dxa"/>
              <w:right w:w="17" w:type="dxa"/>
            </w:tcMar>
            <w:vAlign w:val="center"/>
          </w:tcPr>
          <w:p w14:paraId="28E71923"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44BC0E29" w14:textId="77777777" w:rsidR="001C56BD" w:rsidRPr="00F92667" w:rsidRDefault="001C56BD" w:rsidP="008A5C11">
            <w:pPr>
              <w:jc w:val="center"/>
              <w:rPr>
                <w:sz w:val="12"/>
                <w:szCs w:val="12"/>
              </w:rPr>
            </w:pPr>
            <w:r w:rsidRPr="00F92667">
              <w:rPr>
                <w:sz w:val="12"/>
                <w:szCs w:val="12"/>
              </w:rPr>
              <w:t>0,000</w:t>
            </w:r>
          </w:p>
        </w:tc>
        <w:tc>
          <w:tcPr>
            <w:tcW w:w="206" w:type="pct"/>
            <w:gridSpan w:val="2"/>
            <w:shd w:val="clear" w:color="auto" w:fill="auto"/>
            <w:tcMar>
              <w:left w:w="17" w:type="dxa"/>
              <w:right w:w="17" w:type="dxa"/>
            </w:tcMar>
            <w:vAlign w:val="center"/>
          </w:tcPr>
          <w:p w14:paraId="7D780871"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00E8D72F" w14:textId="77777777" w:rsidR="001C56BD" w:rsidRPr="00F92667" w:rsidRDefault="001C56BD" w:rsidP="008A5C11">
            <w:pPr>
              <w:jc w:val="center"/>
              <w:rPr>
                <w:sz w:val="12"/>
                <w:szCs w:val="12"/>
              </w:rPr>
            </w:pPr>
            <w:r w:rsidRPr="00F92667">
              <w:rPr>
                <w:sz w:val="12"/>
                <w:szCs w:val="12"/>
              </w:rPr>
              <w:t>6114,984</w:t>
            </w:r>
          </w:p>
        </w:tc>
        <w:tc>
          <w:tcPr>
            <w:tcW w:w="214" w:type="pct"/>
            <w:gridSpan w:val="2"/>
            <w:shd w:val="clear" w:color="auto" w:fill="auto"/>
            <w:tcMar>
              <w:left w:w="17" w:type="dxa"/>
              <w:right w:w="17" w:type="dxa"/>
            </w:tcMar>
            <w:vAlign w:val="center"/>
          </w:tcPr>
          <w:p w14:paraId="7F93CA90"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63CEE1C2"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12B7C6FE" w14:textId="77777777" w:rsidR="001C56BD" w:rsidRPr="00F92667" w:rsidRDefault="001C56BD" w:rsidP="008A5C11">
            <w:pPr>
              <w:jc w:val="center"/>
              <w:rPr>
                <w:sz w:val="12"/>
                <w:szCs w:val="12"/>
              </w:rPr>
            </w:pPr>
            <w:r w:rsidRPr="00F92667">
              <w:rPr>
                <w:sz w:val="12"/>
                <w:szCs w:val="12"/>
              </w:rPr>
              <w:t>0,000</w:t>
            </w:r>
          </w:p>
        </w:tc>
        <w:tc>
          <w:tcPr>
            <w:tcW w:w="214" w:type="pct"/>
            <w:gridSpan w:val="2"/>
            <w:shd w:val="clear" w:color="auto" w:fill="auto"/>
            <w:tcMar>
              <w:left w:w="17" w:type="dxa"/>
              <w:right w:w="17" w:type="dxa"/>
            </w:tcMar>
            <w:vAlign w:val="center"/>
          </w:tcPr>
          <w:p w14:paraId="2F59A6E3" w14:textId="77777777" w:rsidR="001C56BD" w:rsidRPr="00F92667" w:rsidRDefault="001C56BD" w:rsidP="008A5C11">
            <w:pPr>
              <w:jc w:val="center"/>
              <w:rPr>
                <w:sz w:val="12"/>
                <w:szCs w:val="12"/>
              </w:rPr>
            </w:pPr>
            <w:r w:rsidRPr="00F92667">
              <w:rPr>
                <w:sz w:val="12"/>
                <w:szCs w:val="12"/>
              </w:rPr>
              <w:t>0,000</w:t>
            </w:r>
          </w:p>
        </w:tc>
        <w:tc>
          <w:tcPr>
            <w:tcW w:w="247" w:type="pct"/>
            <w:gridSpan w:val="2"/>
            <w:shd w:val="clear" w:color="auto" w:fill="auto"/>
            <w:tcMar>
              <w:left w:w="17" w:type="dxa"/>
              <w:right w:w="17" w:type="dxa"/>
            </w:tcMar>
            <w:vAlign w:val="center"/>
          </w:tcPr>
          <w:p w14:paraId="1D64172D" w14:textId="77777777" w:rsidR="001C56BD" w:rsidRPr="00F92667" w:rsidRDefault="001C56BD" w:rsidP="008A5C11">
            <w:pPr>
              <w:jc w:val="center"/>
              <w:rPr>
                <w:sz w:val="12"/>
                <w:szCs w:val="12"/>
              </w:rPr>
            </w:pPr>
            <w:r w:rsidRPr="00F92667">
              <w:rPr>
                <w:sz w:val="12"/>
                <w:szCs w:val="12"/>
              </w:rPr>
              <w:t>0,000</w:t>
            </w:r>
          </w:p>
        </w:tc>
        <w:tc>
          <w:tcPr>
            <w:tcW w:w="173" w:type="pct"/>
            <w:shd w:val="clear" w:color="auto" w:fill="auto"/>
            <w:tcMar>
              <w:left w:w="17" w:type="dxa"/>
              <w:right w:w="17" w:type="dxa"/>
            </w:tcMar>
            <w:vAlign w:val="center"/>
          </w:tcPr>
          <w:p w14:paraId="23D9E27B" w14:textId="77777777" w:rsidR="001C56BD" w:rsidRPr="00F92667" w:rsidRDefault="001C56BD" w:rsidP="008A5C11">
            <w:pPr>
              <w:jc w:val="center"/>
              <w:rPr>
                <w:sz w:val="12"/>
                <w:szCs w:val="12"/>
              </w:rPr>
            </w:pPr>
            <w:r w:rsidRPr="00F92667">
              <w:rPr>
                <w:sz w:val="12"/>
                <w:szCs w:val="12"/>
              </w:rPr>
              <w:t>0,000</w:t>
            </w:r>
          </w:p>
        </w:tc>
        <w:tc>
          <w:tcPr>
            <w:tcW w:w="169" w:type="pct"/>
            <w:shd w:val="clear" w:color="auto" w:fill="auto"/>
            <w:tcMar>
              <w:left w:w="17" w:type="dxa"/>
              <w:right w:w="17" w:type="dxa"/>
            </w:tcMar>
            <w:vAlign w:val="center"/>
          </w:tcPr>
          <w:p w14:paraId="78D246F2" w14:textId="77777777" w:rsidR="001C56BD" w:rsidRPr="00F92667" w:rsidRDefault="001C56BD" w:rsidP="008A5C11">
            <w:pPr>
              <w:jc w:val="center"/>
              <w:rPr>
                <w:sz w:val="12"/>
                <w:szCs w:val="12"/>
              </w:rPr>
            </w:pPr>
            <w:r w:rsidRPr="00F92667">
              <w:rPr>
                <w:sz w:val="12"/>
                <w:szCs w:val="12"/>
              </w:rPr>
              <w:t>0,000</w:t>
            </w:r>
          </w:p>
        </w:tc>
      </w:tr>
      <w:tr w:rsidR="001C56BD" w:rsidRPr="00F92667" w14:paraId="7F3455C9" w14:textId="77777777" w:rsidTr="008A5C11">
        <w:trPr>
          <w:gridBefore w:val="1"/>
          <w:wBefore w:w="3" w:type="pct"/>
          <w:trHeight w:val="897"/>
        </w:trPr>
        <w:tc>
          <w:tcPr>
            <w:tcW w:w="129" w:type="pct"/>
            <w:shd w:val="clear" w:color="auto" w:fill="auto"/>
            <w:tcMar>
              <w:left w:w="17" w:type="dxa"/>
              <w:right w:w="17" w:type="dxa"/>
            </w:tcMar>
            <w:vAlign w:val="center"/>
          </w:tcPr>
          <w:p w14:paraId="20829E79" w14:textId="77777777" w:rsidR="001C56BD" w:rsidRPr="00F92667" w:rsidRDefault="001C56BD" w:rsidP="008A5C11">
            <w:pPr>
              <w:jc w:val="center"/>
              <w:rPr>
                <w:bCs/>
                <w:sz w:val="12"/>
                <w:szCs w:val="12"/>
              </w:rPr>
            </w:pPr>
            <w:r w:rsidRPr="00F92667">
              <w:rPr>
                <w:bCs/>
                <w:sz w:val="12"/>
                <w:szCs w:val="12"/>
              </w:rPr>
              <w:t>1</w:t>
            </w:r>
          </w:p>
        </w:tc>
        <w:tc>
          <w:tcPr>
            <w:tcW w:w="305" w:type="pct"/>
            <w:shd w:val="clear" w:color="auto" w:fill="auto"/>
            <w:tcMar>
              <w:left w:w="17" w:type="dxa"/>
              <w:right w:w="17" w:type="dxa"/>
            </w:tcMar>
            <w:vAlign w:val="center"/>
          </w:tcPr>
          <w:p w14:paraId="4E064D57" w14:textId="77777777" w:rsidR="001C56BD" w:rsidRPr="00F92667" w:rsidRDefault="001C56BD" w:rsidP="008A5C11">
            <w:pPr>
              <w:jc w:val="center"/>
              <w:rPr>
                <w:bCs/>
                <w:sz w:val="12"/>
                <w:szCs w:val="12"/>
              </w:rPr>
            </w:pPr>
            <w:r w:rsidRPr="00F92667">
              <w:rPr>
                <w:bCs/>
                <w:sz w:val="12"/>
                <w:szCs w:val="12"/>
              </w:rPr>
              <w:t>2</w:t>
            </w:r>
          </w:p>
        </w:tc>
        <w:tc>
          <w:tcPr>
            <w:tcW w:w="304" w:type="pct"/>
            <w:shd w:val="clear" w:color="auto" w:fill="auto"/>
            <w:tcMar>
              <w:left w:w="17" w:type="dxa"/>
              <w:right w:w="17" w:type="dxa"/>
            </w:tcMar>
            <w:vAlign w:val="center"/>
          </w:tcPr>
          <w:p w14:paraId="62D1E416" w14:textId="77777777" w:rsidR="001C56BD" w:rsidRPr="00F92667" w:rsidRDefault="001C56BD" w:rsidP="008A5C11">
            <w:pPr>
              <w:jc w:val="center"/>
              <w:rPr>
                <w:bCs/>
                <w:sz w:val="12"/>
                <w:szCs w:val="12"/>
              </w:rPr>
            </w:pPr>
            <w:r w:rsidRPr="00F92667">
              <w:rPr>
                <w:bCs/>
                <w:sz w:val="12"/>
                <w:szCs w:val="12"/>
              </w:rPr>
              <w:t>3</w:t>
            </w:r>
          </w:p>
        </w:tc>
        <w:tc>
          <w:tcPr>
            <w:tcW w:w="258" w:type="pct"/>
            <w:shd w:val="clear" w:color="auto" w:fill="auto"/>
            <w:tcMar>
              <w:left w:w="17" w:type="dxa"/>
              <w:right w:w="17" w:type="dxa"/>
            </w:tcMar>
            <w:vAlign w:val="center"/>
          </w:tcPr>
          <w:p w14:paraId="292805E5" w14:textId="77777777" w:rsidR="001C56BD" w:rsidRPr="00F92667" w:rsidRDefault="001C56BD" w:rsidP="008A5C11">
            <w:pPr>
              <w:jc w:val="center"/>
              <w:rPr>
                <w:bCs/>
                <w:sz w:val="12"/>
                <w:szCs w:val="12"/>
              </w:rPr>
            </w:pPr>
            <w:r w:rsidRPr="00F92667">
              <w:rPr>
                <w:bCs/>
                <w:sz w:val="12"/>
                <w:szCs w:val="12"/>
              </w:rPr>
              <w:t>4</w:t>
            </w:r>
          </w:p>
        </w:tc>
        <w:tc>
          <w:tcPr>
            <w:tcW w:w="294" w:type="pct"/>
            <w:shd w:val="clear" w:color="auto" w:fill="auto"/>
            <w:tcMar>
              <w:left w:w="17" w:type="dxa"/>
              <w:right w:w="17" w:type="dxa"/>
            </w:tcMar>
            <w:vAlign w:val="center"/>
          </w:tcPr>
          <w:p w14:paraId="7F76FD3A" w14:textId="77777777" w:rsidR="001C56BD" w:rsidRPr="00F92667" w:rsidRDefault="001C56BD" w:rsidP="008A5C11">
            <w:pPr>
              <w:jc w:val="center"/>
              <w:rPr>
                <w:bCs/>
                <w:sz w:val="12"/>
                <w:szCs w:val="12"/>
              </w:rPr>
            </w:pPr>
            <w:r w:rsidRPr="00F92667">
              <w:rPr>
                <w:bCs/>
                <w:sz w:val="12"/>
                <w:szCs w:val="12"/>
              </w:rPr>
              <w:t>5</w:t>
            </w:r>
          </w:p>
        </w:tc>
        <w:tc>
          <w:tcPr>
            <w:tcW w:w="129" w:type="pct"/>
            <w:shd w:val="clear" w:color="auto" w:fill="auto"/>
            <w:tcMar>
              <w:left w:w="17" w:type="dxa"/>
              <w:right w:w="17" w:type="dxa"/>
            </w:tcMar>
            <w:vAlign w:val="center"/>
          </w:tcPr>
          <w:p w14:paraId="12DD8E83" w14:textId="77777777" w:rsidR="001C56BD" w:rsidRPr="00F92667" w:rsidRDefault="001C56BD" w:rsidP="008A5C11">
            <w:pPr>
              <w:jc w:val="center"/>
              <w:rPr>
                <w:bCs/>
                <w:sz w:val="12"/>
                <w:szCs w:val="12"/>
              </w:rPr>
            </w:pPr>
            <w:r w:rsidRPr="00F92667">
              <w:rPr>
                <w:bCs/>
                <w:sz w:val="12"/>
                <w:szCs w:val="12"/>
              </w:rPr>
              <w:t>6</w:t>
            </w:r>
          </w:p>
        </w:tc>
        <w:tc>
          <w:tcPr>
            <w:tcW w:w="184" w:type="pct"/>
            <w:shd w:val="clear" w:color="auto" w:fill="auto"/>
            <w:tcMar>
              <w:left w:w="17" w:type="dxa"/>
              <w:right w:w="17" w:type="dxa"/>
            </w:tcMar>
            <w:vAlign w:val="center"/>
          </w:tcPr>
          <w:p w14:paraId="58B0F58E" w14:textId="77777777" w:rsidR="001C56BD" w:rsidRPr="00F92667" w:rsidRDefault="001C56BD" w:rsidP="008A5C11">
            <w:pPr>
              <w:jc w:val="center"/>
              <w:rPr>
                <w:bCs/>
                <w:sz w:val="12"/>
                <w:szCs w:val="12"/>
              </w:rPr>
            </w:pPr>
            <w:r w:rsidRPr="00F92667">
              <w:rPr>
                <w:bCs/>
                <w:sz w:val="12"/>
                <w:szCs w:val="12"/>
              </w:rPr>
              <w:t>7</w:t>
            </w:r>
          </w:p>
        </w:tc>
        <w:tc>
          <w:tcPr>
            <w:tcW w:w="219" w:type="pct"/>
            <w:shd w:val="clear" w:color="auto" w:fill="auto"/>
            <w:tcMar>
              <w:left w:w="17" w:type="dxa"/>
              <w:right w:w="17" w:type="dxa"/>
            </w:tcMar>
            <w:vAlign w:val="center"/>
          </w:tcPr>
          <w:p w14:paraId="17C92ABF" w14:textId="77777777" w:rsidR="001C56BD" w:rsidRPr="00F92667" w:rsidRDefault="001C56BD" w:rsidP="008A5C11">
            <w:pPr>
              <w:jc w:val="center"/>
              <w:rPr>
                <w:bCs/>
                <w:sz w:val="12"/>
                <w:szCs w:val="12"/>
              </w:rPr>
            </w:pPr>
            <w:r w:rsidRPr="00F92667">
              <w:rPr>
                <w:bCs/>
                <w:sz w:val="12"/>
                <w:szCs w:val="12"/>
              </w:rPr>
              <w:t>8</w:t>
            </w:r>
          </w:p>
        </w:tc>
        <w:tc>
          <w:tcPr>
            <w:tcW w:w="130" w:type="pct"/>
            <w:shd w:val="clear" w:color="auto" w:fill="auto"/>
            <w:tcMar>
              <w:left w:w="17" w:type="dxa"/>
              <w:right w:w="17" w:type="dxa"/>
            </w:tcMar>
            <w:vAlign w:val="center"/>
          </w:tcPr>
          <w:p w14:paraId="1B7992EB" w14:textId="77777777" w:rsidR="001C56BD" w:rsidRPr="00F92667" w:rsidRDefault="001C56BD" w:rsidP="008A5C11">
            <w:pPr>
              <w:jc w:val="center"/>
              <w:rPr>
                <w:bCs/>
                <w:sz w:val="12"/>
                <w:szCs w:val="12"/>
              </w:rPr>
            </w:pPr>
            <w:r w:rsidRPr="00F92667">
              <w:rPr>
                <w:bCs/>
                <w:sz w:val="12"/>
                <w:szCs w:val="12"/>
              </w:rPr>
              <w:t>9</w:t>
            </w:r>
          </w:p>
        </w:tc>
        <w:tc>
          <w:tcPr>
            <w:tcW w:w="130" w:type="pct"/>
            <w:shd w:val="clear" w:color="auto" w:fill="auto"/>
            <w:tcMar>
              <w:left w:w="17" w:type="dxa"/>
              <w:right w:w="17" w:type="dxa"/>
            </w:tcMar>
            <w:vAlign w:val="center"/>
          </w:tcPr>
          <w:p w14:paraId="2205F752" w14:textId="77777777" w:rsidR="001C56BD" w:rsidRPr="00F92667" w:rsidRDefault="001C56BD" w:rsidP="008A5C11">
            <w:pPr>
              <w:jc w:val="center"/>
              <w:rPr>
                <w:bCs/>
                <w:sz w:val="12"/>
                <w:szCs w:val="12"/>
              </w:rPr>
            </w:pPr>
            <w:r w:rsidRPr="00F92667">
              <w:rPr>
                <w:bCs/>
                <w:sz w:val="12"/>
                <w:szCs w:val="12"/>
              </w:rPr>
              <w:t>10</w:t>
            </w:r>
          </w:p>
        </w:tc>
        <w:tc>
          <w:tcPr>
            <w:tcW w:w="217" w:type="pct"/>
            <w:gridSpan w:val="2"/>
            <w:shd w:val="clear" w:color="auto" w:fill="auto"/>
            <w:tcMar>
              <w:left w:w="17" w:type="dxa"/>
              <w:right w:w="17" w:type="dxa"/>
            </w:tcMar>
            <w:vAlign w:val="center"/>
          </w:tcPr>
          <w:p w14:paraId="59EDD63C" w14:textId="77777777" w:rsidR="001C56BD" w:rsidRPr="00F92667" w:rsidRDefault="001C56BD" w:rsidP="008A5C11">
            <w:pPr>
              <w:jc w:val="center"/>
              <w:rPr>
                <w:bCs/>
                <w:sz w:val="12"/>
                <w:szCs w:val="12"/>
              </w:rPr>
            </w:pPr>
            <w:r w:rsidRPr="00F92667">
              <w:rPr>
                <w:bCs/>
                <w:sz w:val="12"/>
                <w:szCs w:val="12"/>
              </w:rPr>
              <w:t>11</w:t>
            </w:r>
          </w:p>
        </w:tc>
        <w:tc>
          <w:tcPr>
            <w:tcW w:w="177" w:type="pct"/>
            <w:gridSpan w:val="2"/>
            <w:shd w:val="clear" w:color="auto" w:fill="auto"/>
            <w:tcMar>
              <w:left w:w="17" w:type="dxa"/>
              <w:right w:w="17" w:type="dxa"/>
            </w:tcMar>
            <w:vAlign w:val="center"/>
          </w:tcPr>
          <w:p w14:paraId="1440A6A6" w14:textId="77777777" w:rsidR="001C56BD" w:rsidRPr="00F92667" w:rsidRDefault="001C56BD" w:rsidP="008A5C11">
            <w:pPr>
              <w:jc w:val="center"/>
              <w:rPr>
                <w:bCs/>
                <w:sz w:val="12"/>
                <w:szCs w:val="12"/>
              </w:rPr>
            </w:pPr>
            <w:r w:rsidRPr="00F92667">
              <w:rPr>
                <w:bCs/>
                <w:sz w:val="12"/>
                <w:szCs w:val="12"/>
              </w:rPr>
              <w:t>12</w:t>
            </w:r>
          </w:p>
        </w:tc>
        <w:tc>
          <w:tcPr>
            <w:tcW w:w="212" w:type="pct"/>
            <w:shd w:val="clear" w:color="auto" w:fill="auto"/>
            <w:tcMar>
              <w:left w:w="17" w:type="dxa"/>
              <w:right w:w="17" w:type="dxa"/>
            </w:tcMar>
            <w:vAlign w:val="center"/>
          </w:tcPr>
          <w:p w14:paraId="0F45E288" w14:textId="77777777" w:rsidR="001C56BD" w:rsidRPr="00F92667" w:rsidRDefault="001C56BD" w:rsidP="008A5C11">
            <w:pPr>
              <w:jc w:val="center"/>
              <w:rPr>
                <w:bCs/>
                <w:sz w:val="12"/>
                <w:szCs w:val="12"/>
              </w:rPr>
            </w:pPr>
            <w:r w:rsidRPr="00F92667">
              <w:rPr>
                <w:bCs/>
                <w:sz w:val="12"/>
                <w:szCs w:val="12"/>
              </w:rPr>
              <w:t>13</w:t>
            </w:r>
          </w:p>
        </w:tc>
        <w:tc>
          <w:tcPr>
            <w:tcW w:w="218" w:type="pct"/>
            <w:gridSpan w:val="2"/>
            <w:shd w:val="clear" w:color="auto" w:fill="auto"/>
            <w:tcMar>
              <w:left w:w="17" w:type="dxa"/>
              <w:right w:w="17" w:type="dxa"/>
            </w:tcMar>
            <w:vAlign w:val="center"/>
          </w:tcPr>
          <w:p w14:paraId="0710460A" w14:textId="77777777" w:rsidR="001C56BD" w:rsidRPr="00F92667" w:rsidRDefault="001C56BD" w:rsidP="008A5C11">
            <w:pPr>
              <w:jc w:val="center"/>
              <w:rPr>
                <w:bCs/>
                <w:sz w:val="12"/>
                <w:szCs w:val="12"/>
              </w:rPr>
            </w:pPr>
            <w:r w:rsidRPr="00F92667">
              <w:rPr>
                <w:bCs/>
                <w:sz w:val="12"/>
                <w:szCs w:val="12"/>
              </w:rPr>
              <w:t>14</w:t>
            </w:r>
          </w:p>
        </w:tc>
        <w:tc>
          <w:tcPr>
            <w:tcW w:w="217" w:type="pct"/>
            <w:gridSpan w:val="2"/>
            <w:shd w:val="clear" w:color="auto" w:fill="auto"/>
            <w:tcMar>
              <w:left w:w="17" w:type="dxa"/>
              <w:right w:w="17" w:type="dxa"/>
            </w:tcMar>
            <w:vAlign w:val="center"/>
          </w:tcPr>
          <w:p w14:paraId="165B9DD1" w14:textId="77777777" w:rsidR="001C56BD" w:rsidRPr="00F92667" w:rsidRDefault="001C56BD" w:rsidP="008A5C11">
            <w:pPr>
              <w:jc w:val="center"/>
              <w:rPr>
                <w:bCs/>
                <w:sz w:val="12"/>
                <w:szCs w:val="12"/>
              </w:rPr>
            </w:pPr>
            <w:r w:rsidRPr="00F92667">
              <w:rPr>
                <w:bCs/>
                <w:sz w:val="12"/>
                <w:szCs w:val="12"/>
              </w:rPr>
              <w:t>15</w:t>
            </w:r>
          </w:p>
        </w:tc>
        <w:tc>
          <w:tcPr>
            <w:tcW w:w="206" w:type="pct"/>
            <w:gridSpan w:val="2"/>
            <w:tcMar>
              <w:left w:w="17" w:type="dxa"/>
              <w:right w:w="17" w:type="dxa"/>
            </w:tcMar>
            <w:vAlign w:val="center"/>
          </w:tcPr>
          <w:p w14:paraId="53C20688" w14:textId="77777777" w:rsidR="001C56BD" w:rsidRPr="00F92667" w:rsidRDefault="001C56BD" w:rsidP="008A5C11">
            <w:pPr>
              <w:jc w:val="center"/>
              <w:rPr>
                <w:bCs/>
                <w:sz w:val="12"/>
                <w:szCs w:val="12"/>
              </w:rPr>
            </w:pPr>
            <w:r w:rsidRPr="00F92667">
              <w:rPr>
                <w:bCs/>
                <w:sz w:val="12"/>
                <w:szCs w:val="12"/>
              </w:rPr>
              <w:t>16</w:t>
            </w:r>
          </w:p>
        </w:tc>
        <w:tc>
          <w:tcPr>
            <w:tcW w:w="217" w:type="pct"/>
            <w:gridSpan w:val="2"/>
            <w:tcMar>
              <w:left w:w="17" w:type="dxa"/>
              <w:right w:w="17" w:type="dxa"/>
            </w:tcMar>
            <w:vAlign w:val="center"/>
          </w:tcPr>
          <w:p w14:paraId="558184AB" w14:textId="77777777" w:rsidR="001C56BD" w:rsidRPr="00F92667" w:rsidRDefault="001C56BD" w:rsidP="008A5C11">
            <w:pPr>
              <w:jc w:val="center"/>
              <w:rPr>
                <w:bCs/>
                <w:sz w:val="12"/>
                <w:szCs w:val="12"/>
              </w:rPr>
            </w:pPr>
            <w:r w:rsidRPr="00F92667">
              <w:rPr>
                <w:bCs/>
                <w:sz w:val="12"/>
                <w:szCs w:val="12"/>
              </w:rPr>
              <w:t>17</w:t>
            </w:r>
          </w:p>
        </w:tc>
        <w:tc>
          <w:tcPr>
            <w:tcW w:w="214" w:type="pct"/>
            <w:gridSpan w:val="2"/>
            <w:tcMar>
              <w:left w:w="17" w:type="dxa"/>
              <w:right w:w="17" w:type="dxa"/>
            </w:tcMar>
            <w:vAlign w:val="center"/>
          </w:tcPr>
          <w:p w14:paraId="64CB7839" w14:textId="77777777" w:rsidR="001C56BD" w:rsidRPr="00F92667" w:rsidRDefault="001C56BD" w:rsidP="008A5C11">
            <w:pPr>
              <w:jc w:val="center"/>
              <w:rPr>
                <w:bCs/>
                <w:sz w:val="12"/>
                <w:szCs w:val="12"/>
              </w:rPr>
            </w:pPr>
            <w:r w:rsidRPr="00F92667">
              <w:rPr>
                <w:bCs/>
                <w:sz w:val="12"/>
                <w:szCs w:val="12"/>
              </w:rPr>
              <w:t>18</w:t>
            </w:r>
          </w:p>
        </w:tc>
        <w:tc>
          <w:tcPr>
            <w:tcW w:w="217" w:type="pct"/>
            <w:gridSpan w:val="2"/>
            <w:tcMar>
              <w:left w:w="17" w:type="dxa"/>
              <w:right w:w="17" w:type="dxa"/>
            </w:tcMar>
            <w:vAlign w:val="center"/>
          </w:tcPr>
          <w:p w14:paraId="6CD01652" w14:textId="77777777" w:rsidR="001C56BD" w:rsidRPr="00F92667" w:rsidRDefault="001C56BD" w:rsidP="008A5C11">
            <w:pPr>
              <w:jc w:val="center"/>
              <w:rPr>
                <w:bCs/>
                <w:sz w:val="12"/>
                <w:szCs w:val="12"/>
              </w:rPr>
            </w:pPr>
            <w:r w:rsidRPr="00F92667">
              <w:rPr>
                <w:bCs/>
                <w:sz w:val="12"/>
                <w:szCs w:val="12"/>
              </w:rPr>
              <w:t>19</w:t>
            </w:r>
          </w:p>
        </w:tc>
        <w:tc>
          <w:tcPr>
            <w:tcW w:w="217" w:type="pct"/>
            <w:gridSpan w:val="2"/>
            <w:tcMar>
              <w:left w:w="17" w:type="dxa"/>
              <w:right w:w="17" w:type="dxa"/>
            </w:tcMar>
            <w:vAlign w:val="center"/>
          </w:tcPr>
          <w:p w14:paraId="05F52C0C" w14:textId="77777777" w:rsidR="001C56BD" w:rsidRPr="00F92667" w:rsidRDefault="001C56BD" w:rsidP="008A5C11">
            <w:pPr>
              <w:jc w:val="center"/>
              <w:rPr>
                <w:bCs/>
                <w:sz w:val="12"/>
                <w:szCs w:val="12"/>
              </w:rPr>
            </w:pPr>
            <w:r w:rsidRPr="00F92667">
              <w:rPr>
                <w:bCs/>
                <w:sz w:val="12"/>
                <w:szCs w:val="12"/>
              </w:rPr>
              <w:t>20</w:t>
            </w:r>
          </w:p>
        </w:tc>
        <w:tc>
          <w:tcPr>
            <w:tcW w:w="214" w:type="pct"/>
            <w:gridSpan w:val="2"/>
            <w:tcMar>
              <w:left w:w="17" w:type="dxa"/>
              <w:right w:w="17" w:type="dxa"/>
            </w:tcMar>
            <w:vAlign w:val="center"/>
          </w:tcPr>
          <w:p w14:paraId="29A77D56" w14:textId="77777777" w:rsidR="001C56BD" w:rsidRPr="00F92667" w:rsidRDefault="001C56BD" w:rsidP="008A5C11">
            <w:pPr>
              <w:jc w:val="center"/>
              <w:rPr>
                <w:bCs/>
                <w:sz w:val="12"/>
                <w:szCs w:val="12"/>
              </w:rPr>
            </w:pPr>
            <w:r w:rsidRPr="00F92667">
              <w:rPr>
                <w:bCs/>
                <w:sz w:val="12"/>
                <w:szCs w:val="12"/>
              </w:rPr>
              <w:t>21</w:t>
            </w:r>
          </w:p>
        </w:tc>
        <w:tc>
          <w:tcPr>
            <w:tcW w:w="247" w:type="pct"/>
            <w:gridSpan w:val="2"/>
            <w:tcMar>
              <w:left w:w="17" w:type="dxa"/>
              <w:right w:w="17" w:type="dxa"/>
            </w:tcMar>
            <w:vAlign w:val="center"/>
          </w:tcPr>
          <w:p w14:paraId="19800FD5" w14:textId="77777777" w:rsidR="001C56BD" w:rsidRPr="00F92667" w:rsidRDefault="001C56BD" w:rsidP="008A5C11">
            <w:pPr>
              <w:jc w:val="center"/>
              <w:rPr>
                <w:bCs/>
                <w:sz w:val="12"/>
                <w:szCs w:val="12"/>
              </w:rPr>
            </w:pPr>
            <w:r w:rsidRPr="00F92667">
              <w:rPr>
                <w:bCs/>
                <w:sz w:val="12"/>
                <w:szCs w:val="12"/>
              </w:rPr>
              <w:t>22</w:t>
            </w:r>
          </w:p>
        </w:tc>
        <w:tc>
          <w:tcPr>
            <w:tcW w:w="173" w:type="pct"/>
            <w:tcMar>
              <w:left w:w="17" w:type="dxa"/>
              <w:right w:w="17" w:type="dxa"/>
            </w:tcMar>
            <w:vAlign w:val="center"/>
          </w:tcPr>
          <w:p w14:paraId="60EC0BB5" w14:textId="77777777" w:rsidR="001C56BD" w:rsidRPr="00F92667" w:rsidRDefault="001C56BD" w:rsidP="008A5C11">
            <w:pPr>
              <w:jc w:val="center"/>
              <w:rPr>
                <w:bCs/>
                <w:sz w:val="12"/>
                <w:szCs w:val="12"/>
              </w:rPr>
            </w:pPr>
            <w:r w:rsidRPr="00F92667">
              <w:rPr>
                <w:bCs/>
                <w:sz w:val="12"/>
                <w:szCs w:val="12"/>
              </w:rPr>
              <w:t>23</w:t>
            </w:r>
          </w:p>
        </w:tc>
        <w:tc>
          <w:tcPr>
            <w:tcW w:w="169" w:type="pct"/>
            <w:tcMar>
              <w:left w:w="17" w:type="dxa"/>
              <w:right w:w="17" w:type="dxa"/>
            </w:tcMar>
            <w:vAlign w:val="center"/>
          </w:tcPr>
          <w:p w14:paraId="5A8A1AD5" w14:textId="77777777" w:rsidR="001C56BD" w:rsidRPr="00F92667" w:rsidRDefault="001C56BD" w:rsidP="008A5C11">
            <w:pPr>
              <w:jc w:val="center"/>
              <w:rPr>
                <w:bCs/>
                <w:sz w:val="12"/>
                <w:szCs w:val="12"/>
              </w:rPr>
            </w:pPr>
            <w:r w:rsidRPr="00F92667">
              <w:rPr>
                <w:bCs/>
                <w:sz w:val="12"/>
                <w:szCs w:val="12"/>
              </w:rPr>
              <w:t>24</w:t>
            </w:r>
          </w:p>
        </w:tc>
      </w:tr>
      <w:tr w:rsidR="001C56BD" w:rsidRPr="00F92667" w14:paraId="619E9B41" w14:textId="77777777" w:rsidTr="008A5C11">
        <w:trPr>
          <w:gridBefore w:val="1"/>
          <w:wBefore w:w="3" w:type="pct"/>
          <w:trHeight w:val="897"/>
        </w:trPr>
        <w:tc>
          <w:tcPr>
            <w:tcW w:w="129" w:type="pct"/>
            <w:shd w:val="clear" w:color="auto" w:fill="auto"/>
            <w:tcMar>
              <w:left w:w="17" w:type="dxa"/>
              <w:right w:w="17" w:type="dxa"/>
            </w:tcMar>
            <w:vAlign w:val="center"/>
          </w:tcPr>
          <w:p w14:paraId="15CBFC41" w14:textId="77777777" w:rsidR="001C56BD" w:rsidRPr="00F92667" w:rsidRDefault="001C56BD" w:rsidP="008A5C11">
            <w:pPr>
              <w:jc w:val="center"/>
              <w:rPr>
                <w:sz w:val="12"/>
                <w:szCs w:val="12"/>
              </w:rPr>
            </w:pPr>
            <w:r w:rsidRPr="00F92667">
              <w:rPr>
                <w:sz w:val="12"/>
                <w:szCs w:val="12"/>
              </w:rPr>
              <w:t>3.1.35.</w:t>
            </w:r>
          </w:p>
        </w:tc>
        <w:tc>
          <w:tcPr>
            <w:tcW w:w="305" w:type="pct"/>
            <w:shd w:val="clear" w:color="auto" w:fill="auto"/>
            <w:tcMar>
              <w:left w:w="17" w:type="dxa"/>
              <w:right w:w="17" w:type="dxa"/>
            </w:tcMar>
            <w:vAlign w:val="center"/>
          </w:tcPr>
          <w:p w14:paraId="4D990362" w14:textId="77777777" w:rsidR="001C56BD" w:rsidRPr="00F92667" w:rsidRDefault="001C56BD" w:rsidP="008A5C11">
            <w:pPr>
              <w:rPr>
                <w:sz w:val="12"/>
                <w:szCs w:val="12"/>
              </w:rPr>
            </w:pPr>
            <w:r w:rsidRPr="00F92667">
              <w:rPr>
                <w:color w:val="000000"/>
                <w:sz w:val="12"/>
                <w:szCs w:val="12"/>
              </w:rPr>
              <w:t>Реконструкция тепловой сети с реестровым номером</w:t>
            </w:r>
            <w:r w:rsidRPr="00F92667">
              <w:rPr>
                <w:sz w:val="12"/>
                <w:szCs w:val="12"/>
              </w:rPr>
              <w:t xml:space="preserve"> 773221</w:t>
            </w:r>
          </w:p>
        </w:tc>
        <w:tc>
          <w:tcPr>
            <w:tcW w:w="304" w:type="pct"/>
            <w:shd w:val="clear" w:color="000000" w:fill="FFFFFF"/>
            <w:tcMar>
              <w:left w:w="17" w:type="dxa"/>
              <w:right w:w="17" w:type="dxa"/>
            </w:tcMar>
            <w:vAlign w:val="center"/>
          </w:tcPr>
          <w:p w14:paraId="0223A22B" w14:textId="77777777" w:rsidR="001C56BD" w:rsidRPr="00F92667" w:rsidRDefault="001C56BD" w:rsidP="008A5C11">
            <w:pPr>
              <w:jc w:val="center"/>
              <w:rPr>
                <w:sz w:val="12"/>
                <w:szCs w:val="12"/>
              </w:rPr>
            </w:pPr>
            <w:r w:rsidRPr="00F92667">
              <w:rPr>
                <w:color w:val="000000"/>
                <w:sz w:val="12"/>
                <w:szCs w:val="12"/>
              </w:rPr>
              <w:t>Повышение надежности услуг теплоснабжения, повышение энергетической эффективности</w:t>
            </w:r>
          </w:p>
        </w:tc>
        <w:tc>
          <w:tcPr>
            <w:tcW w:w="258" w:type="pct"/>
            <w:shd w:val="clear" w:color="auto" w:fill="auto"/>
            <w:tcMar>
              <w:left w:w="17" w:type="dxa"/>
              <w:right w:w="17" w:type="dxa"/>
            </w:tcMar>
            <w:vAlign w:val="center"/>
          </w:tcPr>
          <w:p w14:paraId="2C10FDC0" w14:textId="77777777" w:rsidR="001C56BD" w:rsidRPr="00F92667" w:rsidRDefault="001C56BD" w:rsidP="008A5C11">
            <w:pPr>
              <w:jc w:val="center"/>
              <w:rPr>
                <w:sz w:val="12"/>
                <w:szCs w:val="12"/>
              </w:rPr>
            </w:pPr>
            <w:r w:rsidRPr="00F92667">
              <w:rPr>
                <w:sz w:val="12"/>
                <w:szCs w:val="12"/>
              </w:rPr>
              <w:t>Кемеровский городской округ, Центральный район, Квартал 18, 21 м северо-западнее жилого дома №22 по ул. Красная</w:t>
            </w:r>
          </w:p>
        </w:tc>
        <w:tc>
          <w:tcPr>
            <w:tcW w:w="294" w:type="pct"/>
            <w:shd w:val="clear" w:color="auto" w:fill="auto"/>
            <w:tcMar>
              <w:left w:w="17" w:type="dxa"/>
              <w:right w:w="17" w:type="dxa"/>
            </w:tcMar>
            <w:vAlign w:val="center"/>
          </w:tcPr>
          <w:p w14:paraId="22E37616" w14:textId="77777777" w:rsidR="001C56BD" w:rsidRPr="00F92667" w:rsidRDefault="001C56BD" w:rsidP="008A5C11">
            <w:pPr>
              <w:jc w:val="center"/>
              <w:rPr>
                <w:sz w:val="12"/>
                <w:szCs w:val="12"/>
              </w:rPr>
            </w:pPr>
            <w:r w:rsidRPr="00F92667">
              <w:rPr>
                <w:color w:val="000000"/>
                <w:sz w:val="12"/>
                <w:szCs w:val="12"/>
              </w:rPr>
              <w:t>Технические характеристики</w:t>
            </w:r>
          </w:p>
        </w:tc>
        <w:tc>
          <w:tcPr>
            <w:tcW w:w="129" w:type="pct"/>
            <w:shd w:val="clear" w:color="auto" w:fill="auto"/>
            <w:tcMar>
              <w:left w:w="17" w:type="dxa"/>
              <w:right w:w="17" w:type="dxa"/>
            </w:tcMar>
            <w:vAlign w:val="center"/>
          </w:tcPr>
          <w:p w14:paraId="0B35F17A" w14:textId="77777777" w:rsidR="001C56BD" w:rsidRPr="00F92667" w:rsidRDefault="001C56BD" w:rsidP="008A5C11">
            <w:pPr>
              <w:jc w:val="center"/>
              <w:rPr>
                <w:color w:val="000000"/>
                <w:sz w:val="12"/>
                <w:szCs w:val="12"/>
              </w:rPr>
            </w:pPr>
          </w:p>
        </w:tc>
        <w:tc>
          <w:tcPr>
            <w:tcW w:w="184" w:type="pct"/>
            <w:shd w:val="clear" w:color="auto" w:fill="auto"/>
            <w:tcMar>
              <w:left w:w="17" w:type="dxa"/>
              <w:right w:w="17" w:type="dxa"/>
            </w:tcMar>
            <w:vAlign w:val="center"/>
          </w:tcPr>
          <w:p w14:paraId="2F7D93BD" w14:textId="77777777" w:rsidR="001C56BD" w:rsidRPr="00F92667" w:rsidRDefault="001C56BD" w:rsidP="008A5C11">
            <w:pPr>
              <w:jc w:val="center"/>
              <w:rPr>
                <w:sz w:val="12"/>
                <w:szCs w:val="12"/>
              </w:rPr>
            </w:pPr>
            <w:r w:rsidRPr="00F92667">
              <w:rPr>
                <w:sz w:val="12"/>
                <w:szCs w:val="12"/>
              </w:rPr>
              <w:t>Канал-кирпич (непроходной канал),</w:t>
            </w:r>
            <w:r w:rsidRPr="00F92667">
              <w:rPr>
                <w:sz w:val="12"/>
                <w:szCs w:val="12"/>
              </w:rPr>
              <w:br/>
              <w:t xml:space="preserve">опоры </w:t>
            </w:r>
            <w:proofErr w:type="gramStart"/>
            <w:r w:rsidRPr="00F92667">
              <w:rPr>
                <w:sz w:val="12"/>
                <w:szCs w:val="12"/>
              </w:rPr>
              <w:t>привар-ные</w:t>
            </w:r>
            <w:proofErr w:type="gramEnd"/>
            <w:r w:rsidRPr="00F92667">
              <w:rPr>
                <w:sz w:val="12"/>
                <w:szCs w:val="12"/>
              </w:rPr>
              <w:t xml:space="preserve">, запорная арматура-стальная клиновая, антикоррозийная защита-лак БТ, труба-сталь 20, изоляция-мин. маты.       </w:t>
            </w:r>
          </w:p>
        </w:tc>
        <w:tc>
          <w:tcPr>
            <w:tcW w:w="219" w:type="pct"/>
            <w:shd w:val="clear" w:color="auto" w:fill="auto"/>
            <w:tcMar>
              <w:left w:w="17" w:type="dxa"/>
              <w:right w:w="17" w:type="dxa"/>
            </w:tcMar>
            <w:vAlign w:val="center"/>
          </w:tcPr>
          <w:p w14:paraId="7F9978E5" w14:textId="77777777" w:rsidR="001C56BD" w:rsidRPr="00F92667" w:rsidRDefault="001C56BD" w:rsidP="008A5C11">
            <w:pPr>
              <w:jc w:val="center"/>
              <w:rPr>
                <w:sz w:val="12"/>
                <w:szCs w:val="12"/>
              </w:rPr>
            </w:pPr>
            <w:r w:rsidRPr="00F92667">
              <w:rPr>
                <w:sz w:val="12"/>
                <w:szCs w:val="12"/>
              </w:rPr>
              <w:t xml:space="preserve">Канал-ж/б лотки, опоры-хомутовые с диэлектрической прокладкой, запорная арматура - кран шаровый, антикоррозийная защита-мастика Вектор 1214, 1025, труба-сталь 09Г2С, изоляция - маты прошивные, </w:t>
            </w:r>
            <w:proofErr w:type="gramStart"/>
            <w:r w:rsidRPr="00F92667">
              <w:rPr>
                <w:sz w:val="12"/>
                <w:szCs w:val="12"/>
              </w:rPr>
              <w:t>стеклоплас-тик</w:t>
            </w:r>
            <w:proofErr w:type="gramEnd"/>
            <w:r w:rsidRPr="00F92667">
              <w:rPr>
                <w:sz w:val="12"/>
                <w:szCs w:val="12"/>
              </w:rPr>
              <w:t xml:space="preserve">  </w:t>
            </w:r>
          </w:p>
        </w:tc>
        <w:tc>
          <w:tcPr>
            <w:tcW w:w="130" w:type="pct"/>
            <w:shd w:val="clear" w:color="auto" w:fill="auto"/>
            <w:tcMar>
              <w:left w:w="17" w:type="dxa"/>
              <w:right w:w="17" w:type="dxa"/>
            </w:tcMar>
            <w:vAlign w:val="center"/>
          </w:tcPr>
          <w:p w14:paraId="3DBFF515" w14:textId="77777777" w:rsidR="001C56BD" w:rsidRPr="00F92667" w:rsidRDefault="001C56BD" w:rsidP="008A5C11">
            <w:pPr>
              <w:jc w:val="center"/>
              <w:rPr>
                <w:sz w:val="12"/>
                <w:szCs w:val="12"/>
              </w:rPr>
            </w:pPr>
            <w:r w:rsidRPr="00F92667">
              <w:rPr>
                <w:sz w:val="12"/>
                <w:szCs w:val="12"/>
              </w:rPr>
              <w:t>2024</w:t>
            </w:r>
          </w:p>
        </w:tc>
        <w:tc>
          <w:tcPr>
            <w:tcW w:w="130" w:type="pct"/>
            <w:shd w:val="clear" w:color="auto" w:fill="auto"/>
            <w:tcMar>
              <w:left w:w="17" w:type="dxa"/>
              <w:right w:w="17" w:type="dxa"/>
            </w:tcMar>
            <w:vAlign w:val="center"/>
          </w:tcPr>
          <w:p w14:paraId="082A0544" w14:textId="77777777" w:rsidR="001C56BD" w:rsidRPr="00F92667" w:rsidRDefault="001C56BD" w:rsidP="008A5C11">
            <w:pPr>
              <w:jc w:val="center"/>
              <w:rPr>
                <w:sz w:val="12"/>
                <w:szCs w:val="12"/>
              </w:rPr>
            </w:pPr>
            <w:r w:rsidRPr="00F92667">
              <w:rPr>
                <w:sz w:val="12"/>
                <w:szCs w:val="12"/>
              </w:rPr>
              <w:t>2024</w:t>
            </w:r>
          </w:p>
        </w:tc>
        <w:tc>
          <w:tcPr>
            <w:tcW w:w="217" w:type="pct"/>
            <w:gridSpan w:val="2"/>
            <w:shd w:val="clear" w:color="auto" w:fill="auto"/>
            <w:tcMar>
              <w:left w:w="17" w:type="dxa"/>
              <w:right w:w="17" w:type="dxa"/>
            </w:tcMar>
            <w:vAlign w:val="center"/>
          </w:tcPr>
          <w:p w14:paraId="4F18C4FD" w14:textId="77777777" w:rsidR="001C56BD" w:rsidRPr="00F92667" w:rsidRDefault="001C56BD" w:rsidP="008A5C11">
            <w:pPr>
              <w:jc w:val="center"/>
              <w:rPr>
                <w:sz w:val="12"/>
                <w:szCs w:val="12"/>
              </w:rPr>
            </w:pPr>
            <w:r w:rsidRPr="00F92667">
              <w:rPr>
                <w:sz w:val="12"/>
                <w:szCs w:val="12"/>
              </w:rPr>
              <w:t>1498,680</w:t>
            </w:r>
          </w:p>
        </w:tc>
        <w:tc>
          <w:tcPr>
            <w:tcW w:w="177" w:type="pct"/>
            <w:gridSpan w:val="2"/>
            <w:shd w:val="clear" w:color="auto" w:fill="auto"/>
            <w:tcMar>
              <w:left w:w="17" w:type="dxa"/>
              <w:right w:w="17" w:type="dxa"/>
            </w:tcMar>
            <w:vAlign w:val="center"/>
          </w:tcPr>
          <w:p w14:paraId="0449FC19" w14:textId="77777777" w:rsidR="001C56BD" w:rsidRPr="00F92667" w:rsidRDefault="001C56BD" w:rsidP="008A5C11">
            <w:pPr>
              <w:jc w:val="center"/>
              <w:rPr>
                <w:sz w:val="12"/>
                <w:szCs w:val="12"/>
              </w:rPr>
            </w:pPr>
            <w:r w:rsidRPr="00F92667">
              <w:rPr>
                <w:sz w:val="12"/>
                <w:szCs w:val="12"/>
              </w:rPr>
              <w:t>0,000</w:t>
            </w:r>
          </w:p>
        </w:tc>
        <w:tc>
          <w:tcPr>
            <w:tcW w:w="212" w:type="pct"/>
            <w:shd w:val="clear" w:color="auto" w:fill="auto"/>
            <w:tcMar>
              <w:left w:w="17" w:type="dxa"/>
              <w:right w:w="17" w:type="dxa"/>
            </w:tcMar>
            <w:vAlign w:val="center"/>
          </w:tcPr>
          <w:p w14:paraId="25590AEC" w14:textId="77777777" w:rsidR="001C56BD" w:rsidRPr="00F92667" w:rsidRDefault="001C56BD" w:rsidP="008A5C11">
            <w:pPr>
              <w:jc w:val="center"/>
              <w:rPr>
                <w:sz w:val="12"/>
                <w:szCs w:val="12"/>
              </w:rPr>
            </w:pPr>
            <w:r w:rsidRPr="00F92667">
              <w:rPr>
                <w:sz w:val="12"/>
                <w:szCs w:val="12"/>
              </w:rPr>
              <w:t>0,000</w:t>
            </w:r>
          </w:p>
        </w:tc>
        <w:tc>
          <w:tcPr>
            <w:tcW w:w="218" w:type="pct"/>
            <w:gridSpan w:val="2"/>
            <w:shd w:val="clear" w:color="auto" w:fill="auto"/>
            <w:tcMar>
              <w:left w:w="17" w:type="dxa"/>
              <w:right w:w="17" w:type="dxa"/>
            </w:tcMar>
            <w:vAlign w:val="center"/>
          </w:tcPr>
          <w:p w14:paraId="6404D048"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27B73E1D" w14:textId="77777777" w:rsidR="001C56BD" w:rsidRPr="00F92667" w:rsidRDefault="001C56BD" w:rsidP="008A5C11">
            <w:pPr>
              <w:jc w:val="center"/>
              <w:rPr>
                <w:sz w:val="12"/>
                <w:szCs w:val="12"/>
              </w:rPr>
            </w:pPr>
            <w:r w:rsidRPr="00F92667">
              <w:rPr>
                <w:sz w:val="12"/>
                <w:szCs w:val="12"/>
              </w:rPr>
              <w:t>1498,680</w:t>
            </w:r>
          </w:p>
        </w:tc>
        <w:tc>
          <w:tcPr>
            <w:tcW w:w="206" w:type="pct"/>
            <w:gridSpan w:val="2"/>
            <w:shd w:val="clear" w:color="auto" w:fill="auto"/>
            <w:tcMar>
              <w:left w:w="17" w:type="dxa"/>
              <w:right w:w="17" w:type="dxa"/>
            </w:tcMar>
            <w:vAlign w:val="center"/>
          </w:tcPr>
          <w:p w14:paraId="3BD69DDA"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33727A54" w14:textId="77777777" w:rsidR="001C56BD" w:rsidRPr="00F92667" w:rsidRDefault="001C56BD" w:rsidP="008A5C11">
            <w:pPr>
              <w:jc w:val="center"/>
              <w:rPr>
                <w:sz w:val="12"/>
                <w:szCs w:val="12"/>
              </w:rPr>
            </w:pPr>
            <w:r w:rsidRPr="00F92667">
              <w:rPr>
                <w:sz w:val="12"/>
                <w:szCs w:val="12"/>
              </w:rPr>
              <w:t>0,000</w:t>
            </w:r>
          </w:p>
        </w:tc>
        <w:tc>
          <w:tcPr>
            <w:tcW w:w="214" w:type="pct"/>
            <w:gridSpan w:val="2"/>
            <w:shd w:val="clear" w:color="auto" w:fill="auto"/>
            <w:tcMar>
              <w:left w:w="17" w:type="dxa"/>
              <w:right w:w="17" w:type="dxa"/>
            </w:tcMar>
            <w:vAlign w:val="center"/>
          </w:tcPr>
          <w:p w14:paraId="49CBC2F4"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2902EDB3"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7065A472" w14:textId="77777777" w:rsidR="001C56BD" w:rsidRPr="00F92667" w:rsidRDefault="001C56BD" w:rsidP="008A5C11">
            <w:pPr>
              <w:jc w:val="center"/>
              <w:rPr>
                <w:sz w:val="12"/>
                <w:szCs w:val="12"/>
              </w:rPr>
            </w:pPr>
            <w:r w:rsidRPr="00F92667">
              <w:rPr>
                <w:sz w:val="12"/>
                <w:szCs w:val="12"/>
              </w:rPr>
              <w:t>0,000</w:t>
            </w:r>
          </w:p>
        </w:tc>
        <w:tc>
          <w:tcPr>
            <w:tcW w:w="214" w:type="pct"/>
            <w:gridSpan w:val="2"/>
            <w:shd w:val="clear" w:color="auto" w:fill="auto"/>
            <w:tcMar>
              <w:left w:w="17" w:type="dxa"/>
              <w:right w:w="17" w:type="dxa"/>
            </w:tcMar>
            <w:vAlign w:val="center"/>
          </w:tcPr>
          <w:p w14:paraId="0662A101" w14:textId="77777777" w:rsidR="001C56BD" w:rsidRPr="00F92667" w:rsidRDefault="001C56BD" w:rsidP="008A5C11">
            <w:pPr>
              <w:jc w:val="center"/>
              <w:rPr>
                <w:sz w:val="12"/>
                <w:szCs w:val="12"/>
              </w:rPr>
            </w:pPr>
            <w:r w:rsidRPr="00F92667">
              <w:rPr>
                <w:sz w:val="12"/>
                <w:szCs w:val="12"/>
              </w:rPr>
              <w:t>0,000</w:t>
            </w:r>
          </w:p>
        </w:tc>
        <w:tc>
          <w:tcPr>
            <w:tcW w:w="247" w:type="pct"/>
            <w:gridSpan w:val="2"/>
            <w:shd w:val="clear" w:color="auto" w:fill="auto"/>
            <w:tcMar>
              <w:left w:w="17" w:type="dxa"/>
              <w:right w:w="17" w:type="dxa"/>
            </w:tcMar>
            <w:vAlign w:val="center"/>
          </w:tcPr>
          <w:p w14:paraId="10C752F2" w14:textId="77777777" w:rsidR="001C56BD" w:rsidRPr="00F92667" w:rsidRDefault="001C56BD" w:rsidP="008A5C11">
            <w:pPr>
              <w:jc w:val="center"/>
              <w:rPr>
                <w:sz w:val="12"/>
                <w:szCs w:val="12"/>
              </w:rPr>
            </w:pPr>
            <w:r w:rsidRPr="00F92667">
              <w:rPr>
                <w:sz w:val="12"/>
                <w:szCs w:val="12"/>
              </w:rPr>
              <w:t>0,000</w:t>
            </w:r>
          </w:p>
        </w:tc>
        <w:tc>
          <w:tcPr>
            <w:tcW w:w="173" w:type="pct"/>
            <w:shd w:val="clear" w:color="auto" w:fill="auto"/>
            <w:tcMar>
              <w:left w:w="17" w:type="dxa"/>
              <w:right w:w="17" w:type="dxa"/>
            </w:tcMar>
            <w:vAlign w:val="center"/>
          </w:tcPr>
          <w:p w14:paraId="49C5CE81" w14:textId="77777777" w:rsidR="001C56BD" w:rsidRPr="00F92667" w:rsidRDefault="001C56BD" w:rsidP="008A5C11">
            <w:pPr>
              <w:jc w:val="center"/>
              <w:rPr>
                <w:sz w:val="12"/>
                <w:szCs w:val="12"/>
              </w:rPr>
            </w:pPr>
            <w:r w:rsidRPr="00F92667">
              <w:rPr>
                <w:sz w:val="12"/>
                <w:szCs w:val="12"/>
              </w:rPr>
              <w:t>0,000</w:t>
            </w:r>
          </w:p>
        </w:tc>
        <w:tc>
          <w:tcPr>
            <w:tcW w:w="169" w:type="pct"/>
            <w:shd w:val="clear" w:color="auto" w:fill="auto"/>
            <w:tcMar>
              <w:left w:w="17" w:type="dxa"/>
              <w:right w:w="17" w:type="dxa"/>
            </w:tcMar>
            <w:vAlign w:val="center"/>
          </w:tcPr>
          <w:p w14:paraId="448FF45E" w14:textId="77777777" w:rsidR="001C56BD" w:rsidRPr="00F92667" w:rsidRDefault="001C56BD" w:rsidP="008A5C11">
            <w:pPr>
              <w:jc w:val="center"/>
              <w:rPr>
                <w:sz w:val="12"/>
                <w:szCs w:val="12"/>
              </w:rPr>
            </w:pPr>
            <w:r w:rsidRPr="00F92667">
              <w:rPr>
                <w:sz w:val="12"/>
                <w:szCs w:val="12"/>
              </w:rPr>
              <w:t>0,000</w:t>
            </w:r>
          </w:p>
        </w:tc>
      </w:tr>
      <w:tr w:rsidR="001C56BD" w:rsidRPr="00F92667" w14:paraId="0BA31B2A" w14:textId="77777777" w:rsidTr="008A5C11">
        <w:trPr>
          <w:gridBefore w:val="1"/>
          <w:wBefore w:w="3" w:type="pct"/>
          <w:trHeight w:val="897"/>
        </w:trPr>
        <w:tc>
          <w:tcPr>
            <w:tcW w:w="129" w:type="pct"/>
            <w:shd w:val="clear" w:color="auto" w:fill="auto"/>
            <w:tcMar>
              <w:left w:w="17" w:type="dxa"/>
              <w:right w:w="17" w:type="dxa"/>
            </w:tcMar>
            <w:vAlign w:val="center"/>
          </w:tcPr>
          <w:p w14:paraId="1CB6F60A" w14:textId="77777777" w:rsidR="001C56BD" w:rsidRPr="00F92667" w:rsidRDefault="001C56BD" w:rsidP="008A5C11">
            <w:pPr>
              <w:jc w:val="center"/>
              <w:rPr>
                <w:sz w:val="12"/>
                <w:szCs w:val="12"/>
              </w:rPr>
            </w:pPr>
            <w:r w:rsidRPr="00F92667">
              <w:rPr>
                <w:sz w:val="12"/>
                <w:szCs w:val="12"/>
              </w:rPr>
              <w:t>3.1.36.</w:t>
            </w:r>
          </w:p>
        </w:tc>
        <w:tc>
          <w:tcPr>
            <w:tcW w:w="305" w:type="pct"/>
            <w:shd w:val="clear" w:color="auto" w:fill="auto"/>
            <w:tcMar>
              <w:left w:w="17" w:type="dxa"/>
              <w:right w:w="17" w:type="dxa"/>
            </w:tcMar>
            <w:vAlign w:val="center"/>
          </w:tcPr>
          <w:p w14:paraId="3209A6EA" w14:textId="77777777" w:rsidR="001C56BD" w:rsidRPr="00F92667" w:rsidRDefault="001C56BD" w:rsidP="008A5C11">
            <w:pPr>
              <w:rPr>
                <w:sz w:val="12"/>
                <w:szCs w:val="12"/>
              </w:rPr>
            </w:pPr>
            <w:r w:rsidRPr="00F92667">
              <w:rPr>
                <w:color w:val="000000"/>
                <w:sz w:val="12"/>
                <w:szCs w:val="12"/>
              </w:rPr>
              <w:t>Реконструкция тепловой сети с реестровым номером</w:t>
            </w:r>
            <w:r w:rsidRPr="00F92667">
              <w:rPr>
                <w:sz w:val="12"/>
                <w:szCs w:val="12"/>
              </w:rPr>
              <w:t xml:space="preserve"> 773241</w:t>
            </w:r>
          </w:p>
        </w:tc>
        <w:tc>
          <w:tcPr>
            <w:tcW w:w="304" w:type="pct"/>
            <w:shd w:val="clear" w:color="000000" w:fill="FFFFFF"/>
            <w:tcMar>
              <w:left w:w="17" w:type="dxa"/>
              <w:right w:w="17" w:type="dxa"/>
            </w:tcMar>
            <w:vAlign w:val="center"/>
          </w:tcPr>
          <w:p w14:paraId="37552B36" w14:textId="77777777" w:rsidR="001C56BD" w:rsidRPr="00F92667" w:rsidRDefault="001C56BD" w:rsidP="008A5C11">
            <w:pPr>
              <w:jc w:val="center"/>
              <w:rPr>
                <w:sz w:val="12"/>
                <w:szCs w:val="12"/>
              </w:rPr>
            </w:pPr>
            <w:r w:rsidRPr="00F92667">
              <w:rPr>
                <w:color w:val="000000"/>
                <w:sz w:val="12"/>
                <w:szCs w:val="12"/>
              </w:rPr>
              <w:t>Повышение надежности услуг теплоснабжения, повышение энергетической эффективности</w:t>
            </w:r>
          </w:p>
        </w:tc>
        <w:tc>
          <w:tcPr>
            <w:tcW w:w="258" w:type="pct"/>
            <w:shd w:val="clear" w:color="auto" w:fill="auto"/>
            <w:tcMar>
              <w:left w:w="17" w:type="dxa"/>
              <w:right w:w="17" w:type="dxa"/>
            </w:tcMar>
            <w:vAlign w:val="center"/>
          </w:tcPr>
          <w:p w14:paraId="5967860A" w14:textId="77777777" w:rsidR="001C56BD" w:rsidRPr="00F92667" w:rsidRDefault="001C56BD" w:rsidP="008A5C11">
            <w:pPr>
              <w:jc w:val="center"/>
              <w:rPr>
                <w:sz w:val="12"/>
                <w:szCs w:val="12"/>
              </w:rPr>
            </w:pPr>
            <w:r w:rsidRPr="00F92667">
              <w:rPr>
                <w:sz w:val="12"/>
                <w:szCs w:val="12"/>
              </w:rPr>
              <w:t>Кемеровский городской округ, Центральный район, Квартал 19 от ТК IV-62</w:t>
            </w:r>
          </w:p>
        </w:tc>
        <w:tc>
          <w:tcPr>
            <w:tcW w:w="294" w:type="pct"/>
            <w:shd w:val="clear" w:color="auto" w:fill="auto"/>
            <w:tcMar>
              <w:left w:w="17" w:type="dxa"/>
              <w:right w:w="17" w:type="dxa"/>
            </w:tcMar>
            <w:vAlign w:val="center"/>
          </w:tcPr>
          <w:p w14:paraId="738E1C26" w14:textId="77777777" w:rsidR="001C56BD" w:rsidRPr="00F92667" w:rsidRDefault="001C56BD" w:rsidP="008A5C11">
            <w:pPr>
              <w:jc w:val="center"/>
              <w:rPr>
                <w:sz w:val="12"/>
                <w:szCs w:val="12"/>
              </w:rPr>
            </w:pPr>
            <w:r w:rsidRPr="00F92667">
              <w:rPr>
                <w:color w:val="000000"/>
                <w:sz w:val="12"/>
                <w:szCs w:val="12"/>
              </w:rPr>
              <w:t>Технические характеристики</w:t>
            </w:r>
          </w:p>
        </w:tc>
        <w:tc>
          <w:tcPr>
            <w:tcW w:w="129" w:type="pct"/>
            <w:shd w:val="clear" w:color="auto" w:fill="auto"/>
            <w:tcMar>
              <w:left w:w="17" w:type="dxa"/>
              <w:right w:w="17" w:type="dxa"/>
            </w:tcMar>
            <w:vAlign w:val="center"/>
          </w:tcPr>
          <w:p w14:paraId="2DDADAF0" w14:textId="77777777" w:rsidR="001C56BD" w:rsidRPr="00F92667" w:rsidRDefault="001C56BD" w:rsidP="008A5C11">
            <w:pPr>
              <w:jc w:val="center"/>
              <w:rPr>
                <w:color w:val="000000"/>
                <w:sz w:val="12"/>
                <w:szCs w:val="12"/>
              </w:rPr>
            </w:pPr>
          </w:p>
        </w:tc>
        <w:tc>
          <w:tcPr>
            <w:tcW w:w="184" w:type="pct"/>
            <w:shd w:val="clear" w:color="auto" w:fill="auto"/>
            <w:tcMar>
              <w:left w:w="17" w:type="dxa"/>
              <w:right w:w="17" w:type="dxa"/>
            </w:tcMar>
            <w:vAlign w:val="center"/>
          </w:tcPr>
          <w:p w14:paraId="400DE9DA" w14:textId="77777777" w:rsidR="001C56BD" w:rsidRPr="00F92667" w:rsidRDefault="001C56BD" w:rsidP="008A5C11">
            <w:pPr>
              <w:jc w:val="center"/>
              <w:rPr>
                <w:sz w:val="12"/>
                <w:szCs w:val="12"/>
              </w:rPr>
            </w:pPr>
            <w:r w:rsidRPr="00F92667">
              <w:rPr>
                <w:sz w:val="12"/>
                <w:szCs w:val="12"/>
              </w:rPr>
              <w:t>Канал-кирпич (непроходной канал),</w:t>
            </w:r>
            <w:r w:rsidRPr="00F92667">
              <w:rPr>
                <w:sz w:val="12"/>
                <w:szCs w:val="12"/>
              </w:rPr>
              <w:br/>
              <w:t xml:space="preserve">опоры </w:t>
            </w:r>
            <w:proofErr w:type="gramStart"/>
            <w:r w:rsidRPr="00F92667">
              <w:rPr>
                <w:sz w:val="12"/>
                <w:szCs w:val="12"/>
              </w:rPr>
              <w:t>привар-ные</w:t>
            </w:r>
            <w:proofErr w:type="gramEnd"/>
            <w:r w:rsidRPr="00F92667">
              <w:rPr>
                <w:sz w:val="12"/>
                <w:szCs w:val="12"/>
              </w:rPr>
              <w:t xml:space="preserve">, запорная арматура-стальная клиновая, антикоррозийная защита-лак БТ, труба-сталь 20, изоляция-мин. маты.       </w:t>
            </w:r>
          </w:p>
        </w:tc>
        <w:tc>
          <w:tcPr>
            <w:tcW w:w="219" w:type="pct"/>
            <w:shd w:val="clear" w:color="auto" w:fill="auto"/>
            <w:tcMar>
              <w:left w:w="17" w:type="dxa"/>
              <w:right w:w="17" w:type="dxa"/>
            </w:tcMar>
            <w:vAlign w:val="center"/>
          </w:tcPr>
          <w:p w14:paraId="70D120AA" w14:textId="77777777" w:rsidR="001C56BD" w:rsidRPr="00F92667" w:rsidRDefault="001C56BD" w:rsidP="008A5C11">
            <w:pPr>
              <w:jc w:val="center"/>
              <w:rPr>
                <w:sz w:val="12"/>
                <w:szCs w:val="12"/>
              </w:rPr>
            </w:pPr>
            <w:r w:rsidRPr="00F92667">
              <w:rPr>
                <w:sz w:val="12"/>
                <w:szCs w:val="12"/>
              </w:rPr>
              <w:t xml:space="preserve">Канал-ж/б лотки, опоры-хомутовые с диэлектрической прокладкой, запорная арматура - кран шаровый, антикоррозийная защита-мастика Вектор 1214, 1025, труба-сталь 09Г2С, изоляция - маты прошивные, </w:t>
            </w:r>
            <w:proofErr w:type="gramStart"/>
            <w:r w:rsidRPr="00F92667">
              <w:rPr>
                <w:sz w:val="12"/>
                <w:szCs w:val="12"/>
              </w:rPr>
              <w:t>стеклоплас-тик</w:t>
            </w:r>
            <w:proofErr w:type="gramEnd"/>
            <w:r w:rsidRPr="00F92667">
              <w:rPr>
                <w:sz w:val="12"/>
                <w:szCs w:val="12"/>
              </w:rPr>
              <w:t xml:space="preserve">  </w:t>
            </w:r>
          </w:p>
        </w:tc>
        <w:tc>
          <w:tcPr>
            <w:tcW w:w="130" w:type="pct"/>
            <w:shd w:val="clear" w:color="auto" w:fill="auto"/>
            <w:tcMar>
              <w:left w:w="17" w:type="dxa"/>
              <w:right w:w="17" w:type="dxa"/>
            </w:tcMar>
            <w:vAlign w:val="center"/>
          </w:tcPr>
          <w:p w14:paraId="21DF1D1C" w14:textId="77777777" w:rsidR="001C56BD" w:rsidRPr="00F92667" w:rsidRDefault="001C56BD" w:rsidP="008A5C11">
            <w:pPr>
              <w:jc w:val="center"/>
              <w:rPr>
                <w:sz w:val="12"/>
                <w:szCs w:val="12"/>
              </w:rPr>
            </w:pPr>
            <w:r w:rsidRPr="00F92667">
              <w:rPr>
                <w:sz w:val="12"/>
                <w:szCs w:val="12"/>
              </w:rPr>
              <w:t>2024</w:t>
            </w:r>
          </w:p>
        </w:tc>
        <w:tc>
          <w:tcPr>
            <w:tcW w:w="130" w:type="pct"/>
            <w:shd w:val="clear" w:color="auto" w:fill="auto"/>
            <w:tcMar>
              <w:left w:w="17" w:type="dxa"/>
              <w:right w:w="17" w:type="dxa"/>
            </w:tcMar>
            <w:vAlign w:val="center"/>
          </w:tcPr>
          <w:p w14:paraId="076C7EB0" w14:textId="77777777" w:rsidR="001C56BD" w:rsidRPr="00F92667" w:rsidRDefault="001C56BD" w:rsidP="008A5C11">
            <w:pPr>
              <w:jc w:val="center"/>
              <w:rPr>
                <w:sz w:val="12"/>
                <w:szCs w:val="12"/>
              </w:rPr>
            </w:pPr>
            <w:r w:rsidRPr="00F92667">
              <w:rPr>
                <w:sz w:val="12"/>
                <w:szCs w:val="12"/>
              </w:rPr>
              <w:t>2024</w:t>
            </w:r>
          </w:p>
        </w:tc>
        <w:tc>
          <w:tcPr>
            <w:tcW w:w="217" w:type="pct"/>
            <w:gridSpan w:val="2"/>
            <w:shd w:val="clear" w:color="auto" w:fill="auto"/>
            <w:tcMar>
              <w:left w:w="17" w:type="dxa"/>
              <w:right w:w="17" w:type="dxa"/>
            </w:tcMar>
            <w:vAlign w:val="center"/>
          </w:tcPr>
          <w:p w14:paraId="6844CC4C" w14:textId="77777777" w:rsidR="001C56BD" w:rsidRPr="00F92667" w:rsidRDefault="001C56BD" w:rsidP="008A5C11">
            <w:pPr>
              <w:jc w:val="center"/>
              <w:rPr>
                <w:sz w:val="12"/>
                <w:szCs w:val="12"/>
              </w:rPr>
            </w:pPr>
            <w:r w:rsidRPr="00F92667">
              <w:rPr>
                <w:sz w:val="12"/>
                <w:szCs w:val="12"/>
              </w:rPr>
              <w:t>3316,080</w:t>
            </w:r>
          </w:p>
        </w:tc>
        <w:tc>
          <w:tcPr>
            <w:tcW w:w="177" w:type="pct"/>
            <w:gridSpan w:val="2"/>
            <w:shd w:val="clear" w:color="auto" w:fill="auto"/>
            <w:tcMar>
              <w:left w:w="17" w:type="dxa"/>
              <w:right w:w="17" w:type="dxa"/>
            </w:tcMar>
            <w:vAlign w:val="center"/>
          </w:tcPr>
          <w:p w14:paraId="325E7FD0" w14:textId="77777777" w:rsidR="001C56BD" w:rsidRPr="00F92667" w:rsidRDefault="001C56BD" w:rsidP="008A5C11">
            <w:pPr>
              <w:jc w:val="center"/>
              <w:rPr>
                <w:sz w:val="12"/>
                <w:szCs w:val="12"/>
              </w:rPr>
            </w:pPr>
            <w:r w:rsidRPr="00F92667">
              <w:rPr>
                <w:sz w:val="12"/>
                <w:szCs w:val="12"/>
              </w:rPr>
              <w:t>0,000</w:t>
            </w:r>
          </w:p>
        </w:tc>
        <w:tc>
          <w:tcPr>
            <w:tcW w:w="212" w:type="pct"/>
            <w:shd w:val="clear" w:color="auto" w:fill="auto"/>
            <w:tcMar>
              <w:left w:w="17" w:type="dxa"/>
              <w:right w:w="17" w:type="dxa"/>
            </w:tcMar>
            <w:vAlign w:val="center"/>
          </w:tcPr>
          <w:p w14:paraId="6E5A203B" w14:textId="77777777" w:rsidR="001C56BD" w:rsidRPr="00F92667" w:rsidRDefault="001C56BD" w:rsidP="008A5C11">
            <w:pPr>
              <w:jc w:val="center"/>
              <w:rPr>
                <w:sz w:val="12"/>
                <w:szCs w:val="12"/>
              </w:rPr>
            </w:pPr>
            <w:r w:rsidRPr="00F92667">
              <w:rPr>
                <w:sz w:val="12"/>
                <w:szCs w:val="12"/>
              </w:rPr>
              <w:t>0,000</w:t>
            </w:r>
          </w:p>
        </w:tc>
        <w:tc>
          <w:tcPr>
            <w:tcW w:w="218" w:type="pct"/>
            <w:gridSpan w:val="2"/>
            <w:shd w:val="clear" w:color="auto" w:fill="auto"/>
            <w:tcMar>
              <w:left w:w="17" w:type="dxa"/>
              <w:right w:w="17" w:type="dxa"/>
            </w:tcMar>
            <w:vAlign w:val="center"/>
          </w:tcPr>
          <w:p w14:paraId="12937730"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3E503ABD" w14:textId="77777777" w:rsidR="001C56BD" w:rsidRPr="00F92667" w:rsidRDefault="001C56BD" w:rsidP="008A5C11">
            <w:pPr>
              <w:jc w:val="center"/>
              <w:rPr>
                <w:sz w:val="12"/>
                <w:szCs w:val="12"/>
              </w:rPr>
            </w:pPr>
            <w:r w:rsidRPr="00F92667">
              <w:rPr>
                <w:sz w:val="12"/>
                <w:szCs w:val="12"/>
              </w:rPr>
              <w:t>3316,080</w:t>
            </w:r>
          </w:p>
        </w:tc>
        <w:tc>
          <w:tcPr>
            <w:tcW w:w="206" w:type="pct"/>
            <w:gridSpan w:val="2"/>
            <w:shd w:val="clear" w:color="auto" w:fill="auto"/>
            <w:tcMar>
              <w:left w:w="17" w:type="dxa"/>
              <w:right w:w="17" w:type="dxa"/>
            </w:tcMar>
            <w:vAlign w:val="center"/>
          </w:tcPr>
          <w:p w14:paraId="26EA3762"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025B7276" w14:textId="77777777" w:rsidR="001C56BD" w:rsidRPr="00F92667" w:rsidRDefault="001C56BD" w:rsidP="008A5C11">
            <w:pPr>
              <w:jc w:val="center"/>
              <w:rPr>
                <w:sz w:val="12"/>
                <w:szCs w:val="12"/>
              </w:rPr>
            </w:pPr>
            <w:r w:rsidRPr="00F92667">
              <w:rPr>
                <w:sz w:val="12"/>
                <w:szCs w:val="12"/>
              </w:rPr>
              <w:t>0,000</w:t>
            </w:r>
          </w:p>
        </w:tc>
        <w:tc>
          <w:tcPr>
            <w:tcW w:w="214" w:type="pct"/>
            <w:gridSpan w:val="2"/>
            <w:shd w:val="clear" w:color="auto" w:fill="auto"/>
            <w:tcMar>
              <w:left w:w="17" w:type="dxa"/>
              <w:right w:w="17" w:type="dxa"/>
            </w:tcMar>
            <w:vAlign w:val="center"/>
          </w:tcPr>
          <w:p w14:paraId="0942D3C4"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63C2B0D6"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3F070023" w14:textId="77777777" w:rsidR="001C56BD" w:rsidRPr="00F92667" w:rsidRDefault="001C56BD" w:rsidP="008A5C11">
            <w:pPr>
              <w:jc w:val="center"/>
              <w:rPr>
                <w:sz w:val="12"/>
                <w:szCs w:val="12"/>
              </w:rPr>
            </w:pPr>
            <w:r w:rsidRPr="00F92667">
              <w:rPr>
                <w:sz w:val="12"/>
                <w:szCs w:val="12"/>
              </w:rPr>
              <w:t>0,000</w:t>
            </w:r>
          </w:p>
        </w:tc>
        <w:tc>
          <w:tcPr>
            <w:tcW w:w="214" w:type="pct"/>
            <w:gridSpan w:val="2"/>
            <w:shd w:val="clear" w:color="auto" w:fill="auto"/>
            <w:tcMar>
              <w:left w:w="17" w:type="dxa"/>
              <w:right w:w="17" w:type="dxa"/>
            </w:tcMar>
            <w:vAlign w:val="center"/>
          </w:tcPr>
          <w:p w14:paraId="0A9D19AE" w14:textId="77777777" w:rsidR="001C56BD" w:rsidRPr="00F92667" w:rsidRDefault="001C56BD" w:rsidP="008A5C11">
            <w:pPr>
              <w:jc w:val="center"/>
              <w:rPr>
                <w:sz w:val="12"/>
                <w:szCs w:val="12"/>
              </w:rPr>
            </w:pPr>
            <w:r w:rsidRPr="00F92667">
              <w:rPr>
                <w:sz w:val="12"/>
                <w:szCs w:val="12"/>
              </w:rPr>
              <w:t>0,000</w:t>
            </w:r>
          </w:p>
        </w:tc>
        <w:tc>
          <w:tcPr>
            <w:tcW w:w="247" w:type="pct"/>
            <w:gridSpan w:val="2"/>
            <w:shd w:val="clear" w:color="auto" w:fill="auto"/>
            <w:tcMar>
              <w:left w:w="17" w:type="dxa"/>
              <w:right w:w="17" w:type="dxa"/>
            </w:tcMar>
            <w:vAlign w:val="center"/>
          </w:tcPr>
          <w:p w14:paraId="47EEEF51" w14:textId="77777777" w:rsidR="001C56BD" w:rsidRPr="00F92667" w:rsidRDefault="001C56BD" w:rsidP="008A5C11">
            <w:pPr>
              <w:jc w:val="center"/>
              <w:rPr>
                <w:sz w:val="12"/>
                <w:szCs w:val="12"/>
              </w:rPr>
            </w:pPr>
            <w:r w:rsidRPr="00F92667">
              <w:rPr>
                <w:sz w:val="12"/>
                <w:szCs w:val="12"/>
              </w:rPr>
              <w:t>0,000</w:t>
            </w:r>
          </w:p>
        </w:tc>
        <w:tc>
          <w:tcPr>
            <w:tcW w:w="173" w:type="pct"/>
            <w:shd w:val="clear" w:color="auto" w:fill="auto"/>
            <w:tcMar>
              <w:left w:w="17" w:type="dxa"/>
              <w:right w:w="17" w:type="dxa"/>
            </w:tcMar>
            <w:vAlign w:val="center"/>
          </w:tcPr>
          <w:p w14:paraId="345FDEBA" w14:textId="77777777" w:rsidR="001C56BD" w:rsidRPr="00F92667" w:rsidRDefault="001C56BD" w:rsidP="008A5C11">
            <w:pPr>
              <w:jc w:val="center"/>
              <w:rPr>
                <w:sz w:val="12"/>
                <w:szCs w:val="12"/>
              </w:rPr>
            </w:pPr>
            <w:r w:rsidRPr="00F92667">
              <w:rPr>
                <w:sz w:val="12"/>
                <w:szCs w:val="12"/>
              </w:rPr>
              <w:t>0,000</w:t>
            </w:r>
          </w:p>
        </w:tc>
        <w:tc>
          <w:tcPr>
            <w:tcW w:w="169" w:type="pct"/>
            <w:shd w:val="clear" w:color="auto" w:fill="auto"/>
            <w:tcMar>
              <w:left w:w="17" w:type="dxa"/>
              <w:right w:w="17" w:type="dxa"/>
            </w:tcMar>
            <w:vAlign w:val="center"/>
          </w:tcPr>
          <w:p w14:paraId="5CF0596A" w14:textId="77777777" w:rsidR="001C56BD" w:rsidRPr="00F92667" w:rsidRDefault="001C56BD" w:rsidP="008A5C11">
            <w:pPr>
              <w:jc w:val="center"/>
              <w:rPr>
                <w:sz w:val="12"/>
                <w:szCs w:val="12"/>
              </w:rPr>
            </w:pPr>
            <w:r w:rsidRPr="00F92667">
              <w:rPr>
                <w:sz w:val="12"/>
                <w:szCs w:val="12"/>
              </w:rPr>
              <w:t>0,000</w:t>
            </w:r>
          </w:p>
        </w:tc>
      </w:tr>
      <w:tr w:rsidR="001C56BD" w:rsidRPr="00F92667" w14:paraId="59658953" w14:textId="77777777" w:rsidTr="008A5C11">
        <w:trPr>
          <w:gridBefore w:val="1"/>
          <w:wBefore w:w="3" w:type="pct"/>
          <w:trHeight w:val="897"/>
        </w:trPr>
        <w:tc>
          <w:tcPr>
            <w:tcW w:w="129" w:type="pct"/>
            <w:shd w:val="clear" w:color="auto" w:fill="auto"/>
            <w:tcMar>
              <w:left w:w="17" w:type="dxa"/>
              <w:right w:w="17" w:type="dxa"/>
            </w:tcMar>
            <w:vAlign w:val="center"/>
          </w:tcPr>
          <w:p w14:paraId="0B55E411" w14:textId="77777777" w:rsidR="001C56BD" w:rsidRPr="00F92667" w:rsidRDefault="001C56BD" w:rsidP="008A5C11">
            <w:pPr>
              <w:jc w:val="center"/>
              <w:rPr>
                <w:sz w:val="12"/>
                <w:szCs w:val="12"/>
              </w:rPr>
            </w:pPr>
            <w:r w:rsidRPr="00F92667">
              <w:rPr>
                <w:sz w:val="12"/>
                <w:szCs w:val="12"/>
              </w:rPr>
              <w:t>3.1.37.</w:t>
            </w:r>
          </w:p>
        </w:tc>
        <w:tc>
          <w:tcPr>
            <w:tcW w:w="305" w:type="pct"/>
            <w:shd w:val="clear" w:color="auto" w:fill="auto"/>
            <w:tcMar>
              <w:left w:w="17" w:type="dxa"/>
              <w:right w:w="17" w:type="dxa"/>
            </w:tcMar>
            <w:vAlign w:val="center"/>
          </w:tcPr>
          <w:p w14:paraId="791B106D" w14:textId="77777777" w:rsidR="001C56BD" w:rsidRPr="00F92667" w:rsidRDefault="001C56BD" w:rsidP="008A5C11">
            <w:pPr>
              <w:rPr>
                <w:sz w:val="12"/>
                <w:szCs w:val="12"/>
              </w:rPr>
            </w:pPr>
            <w:r w:rsidRPr="00F92667">
              <w:rPr>
                <w:color w:val="000000"/>
                <w:sz w:val="12"/>
                <w:szCs w:val="12"/>
              </w:rPr>
              <w:t>Реконструкция тепловой сети с реестровым номером</w:t>
            </w:r>
            <w:r w:rsidRPr="00F92667">
              <w:rPr>
                <w:sz w:val="12"/>
                <w:szCs w:val="12"/>
              </w:rPr>
              <w:t xml:space="preserve"> 773281</w:t>
            </w:r>
          </w:p>
        </w:tc>
        <w:tc>
          <w:tcPr>
            <w:tcW w:w="304" w:type="pct"/>
            <w:shd w:val="clear" w:color="000000" w:fill="FFFFFF"/>
            <w:tcMar>
              <w:left w:w="17" w:type="dxa"/>
              <w:right w:w="17" w:type="dxa"/>
            </w:tcMar>
            <w:vAlign w:val="center"/>
          </w:tcPr>
          <w:p w14:paraId="1E5224E7" w14:textId="77777777" w:rsidR="001C56BD" w:rsidRPr="00F92667" w:rsidRDefault="001C56BD" w:rsidP="008A5C11">
            <w:pPr>
              <w:jc w:val="center"/>
              <w:rPr>
                <w:sz w:val="12"/>
                <w:szCs w:val="12"/>
              </w:rPr>
            </w:pPr>
            <w:r w:rsidRPr="00F92667">
              <w:rPr>
                <w:color w:val="000000"/>
                <w:sz w:val="12"/>
                <w:szCs w:val="12"/>
              </w:rPr>
              <w:t>Повышение надежности услуг теплоснабжения, повышение энергетической эффективности</w:t>
            </w:r>
          </w:p>
        </w:tc>
        <w:tc>
          <w:tcPr>
            <w:tcW w:w="258" w:type="pct"/>
            <w:shd w:val="clear" w:color="auto" w:fill="auto"/>
            <w:tcMar>
              <w:left w:w="17" w:type="dxa"/>
              <w:right w:w="17" w:type="dxa"/>
            </w:tcMar>
            <w:vAlign w:val="center"/>
          </w:tcPr>
          <w:p w14:paraId="505E7CC5" w14:textId="77777777" w:rsidR="001C56BD" w:rsidRPr="00F92667" w:rsidRDefault="001C56BD" w:rsidP="008A5C11">
            <w:pPr>
              <w:jc w:val="center"/>
              <w:rPr>
                <w:sz w:val="12"/>
                <w:szCs w:val="12"/>
              </w:rPr>
            </w:pPr>
            <w:r w:rsidRPr="00F92667">
              <w:rPr>
                <w:sz w:val="12"/>
                <w:szCs w:val="12"/>
              </w:rPr>
              <w:t>Кемеровский городской округ, Центральный район, Квартал 20 от ТК IV-2, ТК III-41</w:t>
            </w:r>
          </w:p>
        </w:tc>
        <w:tc>
          <w:tcPr>
            <w:tcW w:w="294" w:type="pct"/>
            <w:shd w:val="clear" w:color="auto" w:fill="auto"/>
            <w:tcMar>
              <w:left w:w="17" w:type="dxa"/>
              <w:right w:w="17" w:type="dxa"/>
            </w:tcMar>
            <w:vAlign w:val="center"/>
          </w:tcPr>
          <w:p w14:paraId="53E57D03" w14:textId="77777777" w:rsidR="001C56BD" w:rsidRPr="00F92667" w:rsidRDefault="001C56BD" w:rsidP="008A5C11">
            <w:pPr>
              <w:jc w:val="center"/>
              <w:rPr>
                <w:sz w:val="12"/>
                <w:szCs w:val="12"/>
              </w:rPr>
            </w:pPr>
            <w:r w:rsidRPr="00F92667">
              <w:rPr>
                <w:color w:val="000000"/>
                <w:sz w:val="12"/>
                <w:szCs w:val="12"/>
              </w:rPr>
              <w:t>Технические характеристики</w:t>
            </w:r>
          </w:p>
        </w:tc>
        <w:tc>
          <w:tcPr>
            <w:tcW w:w="129" w:type="pct"/>
            <w:shd w:val="clear" w:color="auto" w:fill="auto"/>
            <w:tcMar>
              <w:left w:w="17" w:type="dxa"/>
              <w:right w:w="17" w:type="dxa"/>
            </w:tcMar>
            <w:vAlign w:val="center"/>
          </w:tcPr>
          <w:p w14:paraId="25F9C810" w14:textId="77777777" w:rsidR="001C56BD" w:rsidRPr="00F92667" w:rsidRDefault="001C56BD" w:rsidP="008A5C11">
            <w:pPr>
              <w:jc w:val="center"/>
              <w:rPr>
                <w:color w:val="000000"/>
                <w:sz w:val="12"/>
                <w:szCs w:val="12"/>
              </w:rPr>
            </w:pPr>
          </w:p>
        </w:tc>
        <w:tc>
          <w:tcPr>
            <w:tcW w:w="184" w:type="pct"/>
            <w:shd w:val="clear" w:color="auto" w:fill="auto"/>
            <w:tcMar>
              <w:left w:w="17" w:type="dxa"/>
              <w:right w:w="17" w:type="dxa"/>
            </w:tcMar>
            <w:vAlign w:val="center"/>
          </w:tcPr>
          <w:p w14:paraId="7A7CDDD5" w14:textId="77777777" w:rsidR="001C56BD" w:rsidRPr="00F92667" w:rsidRDefault="001C56BD" w:rsidP="008A5C11">
            <w:pPr>
              <w:jc w:val="center"/>
              <w:rPr>
                <w:sz w:val="12"/>
                <w:szCs w:val="12"/>
              </w:rPr>
            </w:pPr>
            <w:r w:rsidRPr="00F92667">
              <w:rPr>
                <w:sz w:val="12"/>
                <w:szCs w:val="12"/>
              </w:rPr>
              <w:t>Канал-кирпич (непроходной канал</w:t>
            </w:r>
            <w:proofErr w:type="gramStart"/>
            <w:r w:rsidRPr="00F92667">
              <w:rPr>
                <w:sz w:val="12"/>
                <w:szCs w:val="12"/>
              </w:rPr>
              <w:t>),опоры</w:t>
            </w:r>
            <w:proofErr w:type="gramEnd"/>
            <w:r w:rsidRPr="00F92667">
              <w:rPr>
                <w:sz w:val="12"/>
                <w:szCs w:val="12"/>
              </w:rPr>
              <w:t xml:space="preserve"> приварные, запорная арматура-стальная клиновая, антикоррозийная защита-лак БТ, труба-сталь 20, изоляция-мин. маты.       </w:t>
            </w:r>
          </w:p>
        </w:tc>
        <w:tc>
          <w:tcPr>
            <w:tcW w:w="219" w:type="pct"/>
            <w:shd w:val="clear" w:color="auto" w:fill="auto"/>
            <w:tcMar>
              <w:left w:w="17" w:type="dxa"/>
              <w:right w:w="17" w:type="dxa"/>
            </w:tcMar>
            <w:vAlign w:val="center"/>
          </w:tcPr>
          <w:p w14:paraId="23573449" w14:textId="77777777" w:rsidR="001C56BD" w:rsidRPr="00F92667" w:rsidRDefault="001C56BD" w:rsidP="008A5C11">
            <w:pPr>
              <w:jc w:val="center"/>
              <w:rPr>
                <w:sz w:val="12"/>
                <w:szCs w:val="12"/>
              </w:rPr>
            </w:pPr>
            <w:r w:rsidRPr="00F92667">
              <w:rPr>
                <w:sz w:val="12"/>
                <w:szCs w:val="12"/>
              </w:rPr>
              <w:t xml:space="preserve">Канал-ж/б лотки, опоры-хомутовые с диэлектрической прокладкой, запорная арматура - кран шаровый, антикоррозийная защита-мастика Вектор 1214, 1025, труба-сталь 09Г2С, изоляция - маты прошивные, </w:t>
            </w:r>
            <w:proofErr w:type="gramStart"/>
            <w:r w:rsidRPr="00F92667">
              <w:rPr>
                <w:sz w:val="12"/>
                <w:szCs w:val="12"/>
              </w:rPr>
              <w:t>стеклоплас-тик</w:t>
            </w:r>
            <w:proofErr w:type="gramEnd"/>
            <w:r w:rsidRPr="00F92667">
              <w:rPr>
                <w:sz w:val="12"/>
                <w:szCs w:val="12"/>
              </w:rPr>
              <w:t xml:space="preserve">  </w:t>
            </w:r>
          </w:p>
        </w:tc>
        <w:tc>
          <w:tcPr>
            <w:tcW w:w="130" w:type="pct"/>
            <w:shd w:val="clear" w:color="auto" w:fill="auto"/>
            <w:tcMar>
              <w:left w:w="17" w:type="dxa"/>
              <w:right w:w="17" w:type="dxa"/>
            </w:tcMar>
            <w:vAlign w:val="center"/>
          </w:tcPr>
          <w:p w14:paraId="637D8A64" w14:textId="77777777" w:rsidR="001C56BD" w:rsidRPr="00F92667" w:rsidRDefault="001C56BD" w:rsidP="008A5C11">
            <w:pPr>
              <w:jc w:val="center"/>
              <w:rPr>
                <w:sz w:val="12"/>
                <w:szCs w:val="12"/>
              </w:rPr>
            </w:pPr>
            <w:r w:rsidRPr="00F92667">
              <w:rPr>
                <w:sz w:val="12"/>
                <w:szCs w:val="12"/>
              </w:rPr>
              <w:t>2023</w:t>
            </w:r>
          </w:p>
        </w:tc>
        <w:tc>
          <w:tcPr>
            <w:tcW w:w="130" w:type="pct"/>
            <w:shd w:val="clear" w:color="auto" w:fill="auto"/>
            <w:tcMar>
              <w:left w:w="17" w:type="dxa"/>
              <w:right w:w="17" w:type="dxa"/>
            </w:tcMar>
            <w:vAlign w:val="center"/>
          </w:tcPr>
          <w:p w14:paraId="62330F2B" w14:textId="77777777" w:rsidR="001C56BD" w:rsidRPr="00F92667" w:rsidRDefault="001C56BD" w:rsidP="008A5C11">
            <w:pPr>
              <w:jc w:val="center"/>
              <w:rPr>
                <w:sz w:val="12"/>
                <w:szCs w:val="12"/>
              </w:rPr>
            </w:pPr>
            <w:r w:rsidRPr="00F92667">
              <w:rPr>
                <w:sz w:val="12"/>
                <w:szCs w:val="12"/>
              </w:rPr>
              <w:t>2029</w:t>
            </w:r>
          </w:p>
        </w:tc>
        <w:tc>
          <w:tcPr>
            <w:tcW w:w="217" w:type="pct"/>
            <w:gridSpan w:val="2"/>
            <w:shd w:val="clear" w:color="auto" w:fill="auto"/>
            <w:tcMar>
              <w:left w:w="17" w:type="dxa"/>
              <w:right w:w="17" w:type="dxa"/>
            </w:tcMar>
            <w:vAlign w:val="center"/>
          </w:tcPr>
          <w:p w14:paraId="5BD9D397" w14:textId="77777777" w:rsidR="001C56BD" w:rsidRPr="00F92667" w:rsidRDefault="001C56BD" w:rsidP="008A5C11">
            <w:pPr>
              <w:jc w:val="center"/>
              <w:rPr>
                <w:sz w:val="12"/>
                <w:szCs w:val="12"/>
              </w:rPr>
            </w:pPr>
            <w:r w:rsidRPr="00F92667">
              <w:rPr>
                <w:sz w:val="12"/>
                <w:szCs w:val="12"/>
              </w:rPr>
              <w:t>9776,268</w:t>
            </w:r>
          </w:p>
        </w:tc>
        <w:tc>
          <w:tcPr>
            <w:tcW w:w="177" w:type="pct"/>
            <w:gridSpan w:val="2"/>
            <w:shd w:val="clear" w:color="auto" w:fill="auto"/>
            <w:tcMar>
              <w:left w:w="17" w:type="dxa"/>
              <w:right w:w="17" w:type="dxa"/>
            </w:tcMar>
            <w:vAlign w:val="center"/>
          </w:tcPr>
          <w:p w14:paraId="4E972212" w14:textId="77777777" w:rsidR="001C56BD" w:rsidRPr="00F92667" w:rsidRDefault="001C56BD" w:rsidP="008A5C11">
            <w:pPr>
              <w:jc w:val="center"/>
              <w:rPr>
                <w:sz w:val="12"/>
                <w:szCs w:val="12"/>
              </w:rPr>
            </w:pPr>
            <w:r w:rsidRPr="00F92667">
              <w:rPr>
                <w:sz w:val="12"/>
                <w:szCs w:val="12"/>
              </w:rPr>
              <w:t>0,000</w:t>
            </w:r>
          </w:p>
        </w:tc>
        <w:tc>
          <w:tcPr>
            <w:tcW w:w="212" w:type="pct"/>
            <w:shd w:val="clear" w:color="auto" w:fill="auto"/>
            <w:tcMar>
              <w:left w:w="17" w:type="dxa"/>
              <w:right w:w="17" w:type="dxa"/>
            </w:tcMar>
            <w:vAlign w:val="center"/>
          </w:tcPr>
          <w:p w14:paraId="1702DAB1" w14:textId="77777777" w:rsidR="001C56BD" w:rsidRPr="00F92667" w:rsidRDefault="001C56BD" w:rsidP="008A5C11">
            <w:pPr>
              <w:jc w:val="center"/>
              <w:rPr>
                <w:sz w:val="12"/>
                <w:szCs w:val="12"/>
              </w:rPr>
            </w:pPr>
            <w:r w:rsidRPr="00F92667">
              <w:rPr>
                <w:sz w:val="12"/>
                <w:szCs w:val="12"/>
              </w:rPr>
              <w:t>0,000</w:t>
            </w:r>
          </w:p>
        </w:tc>
        <w:tc>
          <w:tcPr>
            <w:tcW w:w="218" w:type="pct"/>
            <w:gridSpan w:val="2"/>
            <w:shd w:val="clear" w:color="auto" w:fill="auto"/>
            <w:tcMar>
              <w:left w:w="17" w:type="dxa"/>
              <w:right w:w="17" w:type="dxa"/>
            </w:tcMar>
            <w:vAlign w:val="center"/>
          </w:tcPr>
          <w:p w14:paraId="638C7D15" w14:textId="77777777" w:rsidR="001C56BD" w:rsidRPr="00F92667" w:rsidRDefault="001C56BD" w:rsidP="008A5C11">
            <w:pPr>
              <w:jc w:val="center"/>
              <w:rPr>
                <w:sz w:val="12"/>
                <w:szCs w:val="12"/>
              </w:rPr>
            </w:pPr>
            <w:r w:rsidRPr="00F92667">
              <w:rPr>
                <w:sz w:val="12"/>
                <w:szCs w:val="12"/>
              </w:rPr>
              <w:t>2917,080</w:t>
            </w:r>
          </w:p>
        </w:tc>
        <w:tc>
          <w:tcPr>
            <w:tcW w:w="217" w:type="pct"/>
            <w:gridSpan w:val="2"/>
            <w:shd w:val="clear" w:color="auto" w:fill="auto"/>
            <w:tcMar>
              <w:left w:w="17" w:type="dxa"/>
              <w:right w:w="17" w:type="dxa"/>
            </w:tcMar>
            <w:vAlign w:val="center"/>
          </w:tcPr>
          <w:p w14:paraId="1FA78518" w14:textId="77777777" w:rsidR="001C56BD" w:rsidRPr="00F92667" w:rsidRDefault="001C56BD" w:rsidP="008A5C11">
            <w:pPr>
              <w:jc w:val="center"/>
              <w:rPr>
                <w:sz w:val="12"/>
                <w:szCs w:val="12"/>
              </w:rPr>
            </w:pPr>
            <w:r w:rsidRPr="00F92667">
              <w:rPr>
                <w:sz w:val="12"/>
                <w:szCs w:val="12"/>
              </w:rPr>
              <w:t>0,000</w:t>
            </w:r>
          </w:p>
        </w:tc>
        <w:tc>
          <w:tcPr>
            <w:tcW w:w="206" w:type="pct"/>
            <w:gridSpan w:val="2"/>
            <w:shd w:val="clear" w:color="auto" w:fill="auto"/>
            <w:tcMar>
              <w:left w:w="17" w:type="dxa"/>
              <w:right w:w="17" w:type="dxa"/>
            </w:tcMar>
            <w:vAlign w:val="center"/>
          </w:tcPr>
          <w:p w14:paraId="78A9A3DC"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1F002D54" w14:textId="77777777" w:rsidR="001C56BD" w:rsidRPr="00F92667" w:rsidRDefault="001C56BD" w:rsidP="008A5C11">
            <w:pPr>
              <w:jc w:val="center"/>
              <w:rPr>
                <w:sz w:val="12"/>
                <w:szCs w:val="12"/>
              </w:rPr>
            </w:pPr>
            <w:r w:rsidRPr="00F92667">
              <w:rPr>
                <w:sz w:val="12"/>
                <w:szCs w:val="12"/>
              </w:rPr>
              <w:t>0,000</w:t>
            </w:r>
          </w:p>
        </w:tc>
        <w:tc>
          <w:tcPr>
            <w:tcW w:w="214" w:type="pct"/>
            <w:gridSpan w:val="2"/>
            <w:shd w:val="clear" w:color="auto" w:fill="auto"/>
            <w:tcMar>
              <w:left w:w="17" w:type="dxa"/>
              <w:right w:w="17" w:type="dxa"/>
            </w:tcMar>
            <w:vAlign w:val="center"/>
          </w:tcPr>
          <w:p w14:paraId="64D7B379"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420D1F7E" w14:textId="77777777" w:rsidR="001C56BD" w:rsidRPr="00F92667" w:rsidRDefault="001C56BD" w:rsidP="008A5C11">
            <w:pPr>
              <w:jc w:val="center"/>
              <w:rPr>
                <w:sz w:val="12"/>
                <w:szCs w:val="12"/>
              </w:rPr>
            </w:pPr>
            <w:r w:rsidRPr="00F92667">
              <w:rPr>
                <w:sz w:val="12"/>
                <w:szCs w:val="12"/>
              </w:rPr>
              <w:t>4329,540</w:t>
            </w:r>
          </w:p>
        </w:tc>
        <w:tc>
          <w:tcPr>
            <w:tcW w:w="217" w:type="pct"/>
            <w:gridSpan w:val="2"/>
            <w:shd w:val="clear" w:color="auto" w:fill="auto"/>
            <w:tcMar>
              <w:left w:w="17" w:type="dxa"/>
              <w:right w:w="17" w:type="dxa"/>
            </w:tcMar>
            <w:vAlign w:val="center"/>
          </w:tcPr>
          <w:p w14:paraId="0C7E0C41" w14:textId="77777777" w:rsidR="001C56BD" w:rsidRPr="00F92667" w:rsidRDefault="001C56BD" w:rsidP="008A5C11">
            <w:pPr>
              <w:jc w:val="center"/>
              <w:rPr>
                <w:sz w:val="12"/>
                <w:szCs w:val="12"/>
              </w:rPr>
            </w:pPr>
            <w:r w:rsidRPr="00F92667">
              <w:rPr>
                <w:sz w:val="12"/>
                <w:szCs w:val="12"/>
              </w:rPr>
              <w:t>2529,648</w:t>
            </w:r>
          </w:p>
        </w:tc>
        <w:tc>
          <w:tcPr>
            <w:tcW w:w="214" w:type="pct"/>
            <w:gridSpan w:val="2"/>
            <w:shd w:val="clear" w:color="auto" w:fill="auto"/>
            <w:tcMar>
              <w:left w:w="17" w:type="dxa"/>
              <w:right w:w="17" w:type="dxa"/>
            </w:tcMar>
            <w:vAlign w:val="center"/>
          </w:tcPr>
          <w:p w14:paraId="5AA8C72B" w14:textId="77777777" w:rsidR="001C56BD" w:rsidRPr="00F92667" w:rsidRDefault="001C56BD" w:rsidP="008A5C11">
            <w:pPr>
              <w:jc w:val="center"/>
              <w:rPr>
                <w:sz w:val="12"/>
                <w:szCs w:val="12"/>
              </w:rPr>
            </w:pPr>
            <w:r w:rsidRPr="00F92667">
              <w:rPr>
                <w:sz w:val="12"/>
                <w:szCs w:val="12"/>
              </w:rPr>
              <w:t>0,000</w:t>
            </w:r>
          </w:p>
        </w:tc>
        <w:tc>
          <w:tcPr>
            <w:tcW w:w="247" w:type="pct"/>
            <w:gridSpan w:val="2"/>
            <w:shd w:val="clear" w:color="auto" w:fill="auto"/>
            <w:tcMar>
              <w:left w:w="17" w:type="dxa"/>
              <w:right w:w="17" w:type="dxa"/>
            </w:tcMar>
            <w:vAlign w:val="center"/>
          </w:tcPr>
          <w:p w14:paraId="17EDA73F" w14:textId="77777777" w:rsidR="001C56BD" w:rsidRPr="00F92667" w:rsidRDefault="001C56BD" w:rsidP="008A5C11">
            <w:pPr>
              <w:jc w:val="center"/>
              <w:rPr>
                <w:sz w:val="12"/>
                <w:szCs w:val="12"/>
              </w:rPr>
            </w:pPr>
            <w:r w:rsidRPr="00F92667">
              <w:rPr>
                <w:sz w:val="12"/>
                <w:szCs w:val="12"/>
              </w:rPr>
              <w:t>0,000</w:t>
            </w:r>
          </w:p>
        </w:tc>
        <w:tc>
          <w:tcPr>
            <w:tcW w:w="173" w:type="pct"/>
            <w:shd w:val="clear" w:color="auto" w:fill="auto"/>
            <w:tcMar>
              <w:left w:w="17" w:type="dxa"/>
              <w:right w:w="17" w:type="dxa"/>
            </w:tcMar>
            <w:vAlign w:val="center"/>
          </w:tcPr>
          <w:p w14:paraId="1335E193" w14:textId="77777777" w:rsidR="001C56BD" w:rsidRPr="00F92667" w:rsidRDefault="001C56BD" w:rsidP="008A5C11">
            <w:pPr>
              <w:jc w:val="center"/>
              <w:rPr>
                <w:sz w:val="12"/>
                <w:szCs w:val="12"/>
              </w:rPr>
            </w:pPr>
            <w:r w:rsidRPr="00F92667">
              <w:rPr>
                <w:sz w:val="12"/>
                <w:szCs w:val="12"/>
              </w:rPr>
              <w:t>0,000</w:t>
            </w:r>
          </w:p>
        </w:tc>
        <w:tc>
          <w:tcPr>
            <w:tcW w:w="169" w:type="pct"/>
            <w:shd w:val="clear" w:color="auto" w:fill="auto"/>
            <w:tcMar>
              <w:left w:w="17" w:type="dxa"/>
              <w:right w:w="17" w:type="dxa"/>
            </w:tcMar>
            <w:vAlign w:val="center"/>
          </w:tcPr>
          <w:p w14:paraId="151B7509" w14:textId="77777777" w:rsidR="001C56BD" w:rsidRPr="00F92667" w:rsidRDefault="001C56BD" w:rsidP="008A5C11">
            <w:pPr>
              <w:jc w:val="center"/>
              <w:rPr>
                <w:sz w:val="12"/>
                <w:szCs w:val="12"/>
              </w:rPr>
            </w:pPr>
            <w:r w:rsidRPr="00F92667">
              <w:rPr>
                <w:sz w:val="12"/>
                <w:szCs w:val="12"/>
              </w:rPr>
              <w:t>0,000</w:t>
            </w:r>
          </w:p>
        </w:tc>
      </w:tr>
      <w:tr w:rsidR="001C56BD" w:rsidRPr="00F92667" w14:paraId="1B2E41A4" w14:textId="77777777" w:rsidTr="008A5C11">
        <w:trPr>
          <w:gridBefore w:val="1"/>
          <w:wBefore w:w="3" w:type="pct"/>
          <w:trHeight w:val="897"/>
        </w:trPr>
        <w:tc>
          <w:tcPr>
            <w:tcW w:w="129" w:type="pct"/>
            <w:shd w:val="clear" w:color="auto" w:fill="auto"/>
            <w:tcMar>
              <w:left w:w="17" w:type="dxa"/>
              <w:right w:w="17" w:type="dxa"/>
            </w:tcMar>
            <w:vAlign w:val="center"/>
          </w:tcPr>
          <w:p w14:paraId="275211B1" w14:textId="77777777" w:rsidR="001C56BD" w:rsidRPr="00F92667" w:rsidRDefault="001C56BD" w:rsidP="008A5C11">
            <w:pPr>
              <w:jc w:val="center"/>
              <w:rPr>
                <w:bCs/>
                <w:sz w:val="12"/>
                <w:szCs w:val="12"/>
              </w:rPr>
            </w:pPr>
            <w:r w:rsidRPr="00F92667">
              <w:rPr>
                <w:bCs/>
                <w:sz w:val="12"/>
                <w:szCs w:val="12"/>
              </w:rPr>
              <w:t>1</w:t>
            </w:r>
          </w:p>
        </w:tc>
        <w:tc>
          <w:tcPr>
            <w:tcW w:w="305" w:type="pct"/>
            <w:shd w:val="clear" w:color="auto" w:fill="auto"/>
            <w:tcMar>
              <w:left w:w="17" w:type="dxa"/>
              <w:right w:w="17" w:type="dxa"/>
            </w:tcMar>
            <w:vAlign w:val="center"/>
          </w:tcPr>
          <w:p w14:paraId="127D734B" w14:textId="77777777" w:rsidR="001C56BD" w:rsidRPr="00F92667" w:rsidRDefault="001C56BD" w:rsidP="008A5C11">
            <w:pPr>
              <w:jc w:val="center"/>
              <w:rPr>
                <w:bCs/>
                <w:sz w:val="12"/>
                <w:szCs w:val="12"/>
              </w:rPr>
            </w:pPr>
            <w:r w:rsidRPr="00F92667">
              <w:rPr>
                <w:bCs/>
                <w:sz w:val="12"/>
                <w:szCs w:val="12"/>
              </w:rPr>
              <w:t>2</w:t>
            </w:r>
          </w:p>
        </w:tc>
        <w:tc>
          <w:tcPr>
            <w:tcW w:w="304" w:type="pct"/>
            <w:shd w:val="clear" w:color="auto" w:fill="auto"/>
            <w:tcMar>
              <w:left w:w="17" w:type="dxa"/>
              <w:right w:w="17" w:type="dxa"/>
            </w:tcMar>
            <w:vAlign w:val="center"/>
          </w:tcPr>
          <w:p w14:paraId="71BCBC5D" w14:textId="77777777" w:rsidR="001C56BD" w:rsidRPr="00F92667" w:rsidRDefault="001C56BD" w:rsidP="008A5C11">
            <w:pPr>
              <w:jc w:val="center"/>
              <w:rPr>
                <w:bCs/>
                <w:sz w:val="12"/>
                <w:szCs w:val="12"/>
              </w:rPr>
            </w:pPr>
            <w:r w:rsidRPr="00F92667">
              <w:rPr>
                <w:bCs/>
                <w:sz w:val="12"/>
                <w:szCs w:val="12"/>
              </w:rPr>
              <w:t>3</w:t>
            </w:r>
          </w:p>
        </w:tc>
        <w:tc>
          <w:tcPr>
            <w:tcW w:w="258" w:type="pct"/>
            <w:shd w:val="clear" w:color="auto" w:fill="auto"/>
            <w:tcMar>
              <w:left w:w="17" w:type="dxa"/>
              <w:right w:w="17" w:type="dxa"/>
            </w:tcMar>
            <w:vAlign w:val="center"/>
          </w:tcPr>
          <w:p w14:paraId="70933DDC" w14:textId="77777777" w:rsidR="001C56BD" w:rsidRPr="00F92667" w:rsidRDefault="001C56BD" w:rsidP="008A5C11">
            <w:pPr>
              <w:jc w:val="center"/>
              <w:rPr>
                <w:bCs/>
                <w:sz w:val="12"/>
                <w:szCs w:val="12"/>
              </w:rPr>
            </w:pPr>
            <w:r w:rsidRPr="00F92667">
              <w:rPr>
                <w:bCs/>
                <w:sz w:val="12"/>
                <w:szCs w:val="12"/>
              </w:rPr>
              <w:t>4</w:t>
            </w:r>
          </w:p>
        </w:tc>
        <w:tc>
          <w:tcPr>
            <w:tcW w:w="294" w:type="pct"/>
            <w:shd w:val="clear" w:color="auto" w:fill="auto"/>
            <w:tcMar>
              <w:left w:w="17" w:type="dxa"/>
              <w:right w:w="17" w:type="dxa"/>
            </w:tcMar>
            <w:vAlign w:val="center"/>
          </w:tcPr>
          <w:p w14:paraId="5BB90759" w14:textId="77777777" w:rsidR="001C56BD" w:rsidRPr="00F92667" w:rsidRDefault="001C56BD" w:rsidP="008A5C11">
            <w:pPr>
              <w:jc w:val="center"/>
              <w:rPr>
                <w:bCs/>
                <w:sz w:val="12"/>
                <w:szCs w:val="12"/>
              </w:rPr>
            </w:pPr>
            <w:r w:rsidRPr="00F92667">
              <w:rPr>
                <w:bCs/>
                <w:sz w:val="12"/>
                <w:szCs w:val="12"/>
              </w:rPr>
              <w:t>5</w:t>
            </w:r>
          </w:p>
        </w:tc>
        <w:tc>
          <w:tcPr>
            <w:tcW w:w="129" w:type="pct"/>
            <w:shd w:val="clear" w:color="auto" w:fill="auto"/>
            <w:tcMar>
              <w:left w:w="17" w:type="dxa"/>
              <w:right w:w="17" w:type="dxa"/>
            </w:tcMar>
            <w:vAlign w:val="center"/>
          </w:tcPr>
          <w:p w14:paraId="645BC6DC" w14:textId="77777777" w:rsidR="001C56BD" w:rsidRPr="00F92667" w:rsidRDefault="001C56BD" w:rsidP="008A5C11">
            <w:pPr>
              <w:jc w:val="center"/>
              <w:rPr>
                <w:bCs/>
                <w:sz w:val="12"/>
                <w:szCs w:val="12"/>
              </w:rPr>
            </w:pPr>
            <w:r w:rsidRPr="00F92667">
              <w:rPr>
                <w:bCs/>
                <w:sz w:val="12"/>
                <w:szCs w:val="12"/>
              </w:rPr>
              <w:t>6</w:t>
            </w:r>
          </w:p>
        </w:tc>
        <w:tc>
          <w:tcPr>
            <w:tcW w:w="184" w:type="pct"/>
            <w:shd w:val="clear" w:color="auto" w:fill="auto"/>
            <w:tcMar>
              <w:left w:w="17" w:type="dxa"/>
              <w:right w:w="17" w:type="dxa"/>
            </w:tcMar>
            <w:vAlign w:val="center"/>
          </w:tcPr>
          <w:p w14:paraId="2FE8C47C" w14:textId="77777777" w:rsidR="001C56BD" w:rsidRPr="00F92667" w:rsidRDefault="001C56BD" w:rsidP="008A5C11">
            <w:pPr>
              <w:jc w:val="center"/>
              <w:rPr>
                <w:bCs/>
                <w:sz w:val="12"/>
                <w:szCs w:val="12"/>
              </w:rPr>
            </w:pPr>
            <w:r w:rsidRPr="00F92667">
              <w:rPr>
                <w:bCs/>
                <w:sz w:val="12"/>
                <w:szCs w:val="12"/>
              </w:rPr>
              <w:t>7</w:t>
            </w:r>
          </w:p>
        </w:tc>
        <w:tc>
          <w:tcPr>
            <w:tcW w:w="219" w:type="pct"/>
            <w:shd w:val="clear" w:color="auto" w:fill="auto"/>
            <w:tcMar>
              <w:left w:w="17" w:type="dxa"/>
              <w:right w:w="17" w:type="dxa"/>
            </w:tcMar>
            <w:vAlign w:val="center"/>
          </w:tcPr>
          <w:p w14:paraId="0FC6855E" w14:textId="77777777" w:rsidR="001C56BD" w:rsidRPr="00F92667" w:rsidRDefault="001C56BD" w:rsidP="008A5C11">
            <w:pPr>
              <w:jc w:val="center"/>
              <w:rPr>
                <w:bCs/>
                <w:sz w:val="12"/>
                <w:szCs w:val="12"/>
              </w:rPr>
            </w:pPr>
            <w:r w:rsidRPr="00F92667">
              <w:rPr>
                <w:bCs/>
                <w:sz w:val="12"/>
                <w:szCs w:val="12"/>
              </w:rPr>
              <w:t>8</w:t>
            </w:r>
          </w:p>
        </w:tc>
        <w:tc>
          <w:tcPr>
            <w:tcW w:w="130" w:type="pct"/>
            <w:shd w:val="clear" w:color="auto" w:fill="auto"/>
            <w:tcMar>
              <w:left w:w="17" w:type="dxa"/>
              <w:right w:w="17" w:type="dxa"/>
            </w:tcMar>
            <w:vAlign w:val="center"/>
          </w:tcPr>
          <w:p w14:paraId="4DF72317" w14:textId="77777777" w:rsidR="001C56BD" w:rsidRPr="00F92667" w:rsidRDefault="001C56BD" w:rsidP="008A5C11">
            <w:pPr>
              <w:jc w:val="center"/>
              <w:rPr>
                <w:bCs/>
                <w:sz w:val="12"/>
                <w:szCs w:val="12"/>
              </w:rPr>
            </w:pPr>
            <w:r w:rsidRPr="00F92667">
              <w:rPr>
                <w:bCs/>
                <w:sz w:val="12"/>
                <w:szCs w:val="12"/>
              </w:rPr>
              <w:t>9</w:t>
            </w:r>
          </w:p>
        </w:tc>
        <w:tc>
          <w:tcPr>
            <w:tcW w:w="130" w:type="pct"/>
            <w:shd w:val="clear" w:color="auto" w:fill="auto"/>
            <w:tcMar>
              <w:left w:w="17" w:type="dxa"/>
              <w:right w:w="17" w:type="dxa"/>
            </w:tcMar>
            <w:vAlign w:val="center"/>
          </w:tcPr>
          <w:p w14:paraId="1D0A0F2F" w14:textId="77777777" w:rsidR="001C56BD" w:rsidRPr="00F92667" w:rsidRDefault="001C56BD" w:rsidP="008A5C11">
            <w:pPr>
              <w:jc w:val="center"/>
              <w:rPr>
                <w:bCs/>
                <w:sz w:val="12"/>
                <w:szCs w:val="12"/>
              </w:rPr>
            </w:pPr>
            <w:r w:rsidRPr="00F92667">
              <w:rPr>
                <w:bCs/>
                <w:sz w:val="12"/>
                <w:szCs w:val="12"/>
              </w:rPr>
              <w:t>10</w:t>
            </w:r>
          </w:p>
        </w:tc>
        <w:tc>
          <w:tcPr>
            <w:tcW w:w="217" w:type="pct"/>
            <w:gridSpan w:val="2"/>
            <w:shd w:val="clear" w:color="auto" w:fill="auto"/>
            <w:tcMar>
              <w:left w:w="17" w:type="dxa"/>
              <w:right w:w="17" w:type="dxa"/>
            </w:tcMar>
            <w:vAlign w:val="center"/>
          </w:tcPr>
          <w:p w14:paraId="25F55225" w14:textId="77777777" w:rsidR="001C56BD" w:rsidRPr="00F92667" w:rsidRDefault="001C56BD" w:rsidP="008A5C11">
            <w:pPr>
              <w:jc w:val="center"/>
              <w:rPr>
                <w:bCs/>
                <w:sz w:val="12"/>
                <w:szCs w:val="12"/>
              </w:rPr>
            </w:pPr>
            <w:r w:rsidRPr="00F92667">
              <w:rPr>
                <w:bCs/>
                <w:sz w:val="12"/>
                <w:szCs w:val="12"/>
              </w:rPr>
              <w:t>11</w:t>
            </w:r>
          </w:p>
        </w:tc>
        <w:tc>
          <w:tcPr>
            <w:tcW w:w="177" w:type="pct"/>
            <w:gridSpan w:val="2"/>
            <w:shd w:val="clear" w:color="auto" w:fill="auto"/>
            <w:tcMar>
              <w:left w:w="17" w:type="dxa"/>
              <w:right w:w="17" w:type="dxa"/>
            </w:tcMar>
            <w:vAlign w:val="center"/>
          </w:tcPr>
          <w:p w14:paraId="4F5D27A3" w14:textId="77777777" w:rsidR="001C56BD" w:rsidRPr="00F92667" w:rsidRDefault="001C56BD" w:rsidP="008A5C11">
            <w:pPr>
              <w:jc w:val="center"/>
              <w:rPr>
                <w:bCs/>
                <w:sz w:val="12"/>
                <w:szCs w:val="12"/>
              </w:rPr>
            </w:pPr>
            <w:r w:rsidRPr="00F92667">
              <w:rPr>
                <w:bCs/>
                <w:sz w:val="12"/>
                <w:szCs w:val="12"/>
              </w:rPr>
              <w:t>12</w:t>
            </w:r>
          </w:p>
        </w:tc>
        <w:tc>
          <w:tcPr>
            <w:tcW w:w="212" w:type="pct"/>
            <w:shd w:val="clear" w:color="auto" w:fill="auto"/>
            <w:tcMar>
              <w:left w:w="17" w:type="dxa"/>
              <w:right w:w="17" w:type="dxa"/>
            </w:tcMar>
            <w:vAlign w:val="center"/>
          </w:tcPr>
          <w:p w14:paraId="43C67C05" w14:textId="77777777" w:rsidR="001C56BD" w:rsidRPr="00F92667" w:rsidRDefault="001C56BD" w:rsidP="008A5C11">
            <w:pPr>
              <w:jc w:val="center"/>
              <w:rPr>
                <w:bCs/>
                <w:sz w:val="12"/>
                <w:szCs w:val="12"/>
              </w:rPr>
            </w:pPr>
            <w:r w:rsidRPr="00F92667">
              <w:rPr>
                <w:bCs/>
                <w:sz w:val="12"/>
                <w:szCs w:val="12"/>
              </w:rPr>
              <w:t>13</w:t>
            </w:r>
          </w:p>
        </w:tc>
        <w:tc>
          <w:tcPr>
            <w:tcW w:w="218" w:type="pct"/>
            <w:gridSpan w:val="2"/>
            <w:shd w:val="clear" w:color="auto" w:fill="auto"/>
            <w:tcMar>
              <w:left w:w="17" w:type="dxa"/>
              <w:right w:w="17" w:type="dxa"/>
            </w:tcMar>
            <w:vAlign w:val="center"/>
          </w:tcPr>
          <w:p w14:paraId="3090A38F" w14:textId="77777777" w:rsidR="001C56BD" w:rsidRPr="00F92667" w:rsidRDefault="001C56BD" w:rsidP="008A5C11">
            <w:pPr>
              <w:jc w:val="center"/>
              <w:rPr>
                <w:bCs/>
                <w:sz w:val="12"/>
                <w:szCs w:val="12"/>
              </w:rPr>
            </w:pPr>
            <w:r w:rsidRPr="00F92667">
              <w:rPr>
                <w:bCs/>
                <w:sz w:val="12"/>
                <w:szCs w:val="12"/>
              </w:rPr>
              <w:t>14</w:t>
            </w:r>
          </w:p>
        </w:tc>
        <w:tc>
          <w:tcPr>
            <w:tcW w:w="217" w:type="pct"/>
            <w:gridSpan w:val="2"/>
            <w:shd w:val="clear" w:color="auto" w:fill="auto"/>
            <w:tcMar>
              <w:left w:w="17" w:type="dxa"/>
              <w:right w:w="17" w:type="dxa"/>
            </w:tcMar>
            <w:vAlign w:val="center"/>
          </w:tcPr>
          <w:p w14:paraId="37DF7353" w14:textId="77777777" w:rsidR="001C56BD" w:rsidRPr="00F92667" w:rsidRDefault="001C56BD" w:rsidP="008A5C11">
            <w:pPr>
              <w:jc w:val="center"/>
              <w:rPr>
                <w:bCs/>
                <w:sz w:val="12"/>
                <w:szCs w:val="12"/>
              </w:rPr>
            </w:pPr>
            <w:r w:rsidRPr="00F92667">
              <w:rPr>
                <w:bCs/>
                <w:sz w:val="12"/>
                <w:szCs w:val="12"/>
              </w:rPr>
              <w:t>15</w:t>
            </w:r>
          </w:p>
        </w:tc>
        <w:tc>
          <w:tcPr>
            <w:tcW w:w="206" w:type="pct"/>
            <w:gridSpan w:val="2"/>
            <w:tcMar>
              <w:left w:w="17" w:type="dxa"/>
              <w:right w:w="17" w:type="dxa"/>
            </w:tcMar>
            <w:vAlign w:val="center"/>
          </w:tcPr>
          <w:p w14:paraId="125810D8" w14:textId="77777777" w:rsidR="001C56BD" w:rsidRPr="00F92667" w:rsidRDefault="001C56BD" w:rsidP="008A5C11">
            <w:pPr>
              <w:jc w:val="center"/>
              <w:rPr>
                <w:bCs/>
                <w:sz w:val="12"/>
                <w:szCs w:val="12"/>
              </w:rPr>
            </w:pPr>
            <w:r w:rsidRPr="00F92667">
              <w:rPr>
                <w:bCs/>
                <w:sz w:val="12"/>
                <w:szCs w:val="12"/>
              </w:rPr>
              <w:t>16</w:t>
            </w:r>
          </w:p>
        </w:tc>
        <w:tc>
          <w:tcPr>
            <w:tcW w:w="217" w:type="pct"/>
            <w:gridSpan w:val="2"/>
            <w:tcMar>
              <w:left w:w="17" w:type="dxa"/>
              <w:right w:w="17" w:type="dxa"/>
            </w:tcMar>
            <w:vAlign w:val="center"/>
          </w:tcPr>
          <w:p w14:paraId="578AF234" w14:textId="77777777" w:rsidR="001C56BD" w:rsidRPr="00F92667" w:rsidRDefault="001C56BD" w:rsidP="008A5C11">
            <w:pPr>
              <w:jc w:val="center"/>
              <w:rPr>
                <w:bCs/>
                <w:sz w:val="12"/>
                <w:szCs w:val="12"/>
              </w:rPr>
            </w:pPr>
            <w:r w:rsidRPr="00F92667">
              <w:rPr>
                <w:bCs/>
                <w:sz w:val="12"/>
                <w:szCs w:val="12"/>
              </w:rPr>
              <w:t>17</w:t>
            </w:r>
          </w:p>
        </w:tc>
        <w:tc>
          <w:tcPr>
            <w:tcW w:w="214" w:type="pct"/>
            <w:gridSpan w:val="2"/>
            <w:tcMar>
              <w:left w:w="17" w:type="dxa"/>
              <w:right w:w="17" w:type="dxa"/>
            </w:tcMar>
            <w:vAlign w:val="center"/>
          </w:tcPr>
          <w:p w14:paraId="087A9687" w14:textId="77777777" w:rsidR="001C56BD" w:rsidRPr="00F92667" w:rsidRDefault="001C56BD" w:rsidP="008A5C11">
            <w:pPr>
              <w:jc w:val="center"/>
              <w:rPr>
                <w:bCs/>
                <w:sz w:val="12"/>
                <w:szCs w:val="12"/>
              </w:rPr>
            </w:pPr>
            <w:r w:rsidRPr="00F92667">
              <w:rPr>
                <w:bCs/>
                <w:sz w:val="12"/>
                <w:szCs w:val="12"/>
              </w:rPr>
              <w:t>18</w:t>
            </w:r>
          </w:p>
        </w:tc>
        <w:tc>
          <w:tcPr>
            <w:tcW w:w="217" w:type="pct"/>
            <w:gridSpan w:val="2"/>
            <w:tcMar>
              <w:left w:w="17" w:type="dxa"/>
              <w:right w:w="17" w:type="dxa"/>
            </w:tcMar>
            <w:vAlign w:val="center"/>
          </w:tcPr>
          <w:p w14:paraId="61ED6027" w14:textId="77777777" w:rsidR="001C56BD" w:rsidRPr="00F92667" w:rsidRDefault="001C56BD" w:rsidP="008A5C11">
            <w:pPr>
              <w:jc w:val="center"/>
              <w:rPr>
                <w:bCs/>
                <w:sz w:val="12"/>
                <w:szCs w:val="12"/>
              </w:rPr>
            </w:pPr>
            <w:r w:rsidRPr="00F92667">
              <w:rPr>
                <w:bCs/>
                <w:sz w:val="12"/>
                <w:szCs w:val="12"/>
              </w:rPr>
              <w:t>19</w:t>
            </w:r>
          </w:p>
        </w:tc>
        <w:tc>
          <w:tcPr>
            <w:tcW w:w="217" w:type="pct"/>
            <w:gridSpan w:val="2"/>
            <w:tcMar>
              <w:left w:w="17" w:type="dxa"/>
              <w:right w:w="17" w:type="dxa"/>
            </w:tcMar>
            <w:vAlign w:val="center"/>
          </w:tcPr>
          <w:p w14:paraId="6A8EB153" w14:textId="77777777" w:rsidR="001C56BD" w:rsidRPr="00F92667" w:rsidRDefault="001C56BD" w:rsidP="008A5C11">
            <w:pPr>
              <w:jc w:val="center"/>
              <w:rPr>
                <w:bCs/>
                <w:sz w:val="12"/>
                <w:szCs w:val="12"/>
              </w:rPr>
            </w:pPr>
            <w:r w:rsidRPr="00F92667">
              <w:rPr>
                <w:bCs/>
                <w:sz w:val="12"/>
                <w:szCs w:val="12"/>
              </w:rPr>
              <w:t>20</w:t>
            </w:r>
          </w:p>
        </w:tc>
        <w:tc>
          <w:tcPr>
            <w:tcW w:w="214" w:type="pct"/>
            <w:gridSpan w:val="2"/>
            <w:tcMar>
              <w:left w:w="17" w:type="dxa"/>
              <w:right w:w="17" w:type="dxa"/>
            </w:tcMar>
            <w:vAlign w:val="center"/>
          </w:tcPr>
          <w:p w14:paraId="7F35B256" w14:textId="77777777" w:rsidR="001C56BD" w:rsidRPr="00F92667" w:rsidRDefault="001C56BD" w:rsidP="008A5C11">
            <w:pPr>
              <w:jc w:val="center"/>
              <w:rPr>
                <w:bCs/>
                <w:sz w:val="12"/>
                <w:szCs w:val="12"/>
              </w:rPr>
            </w:pPr>
            <w:r w:rsidRPr="00F92667">
              <w:rPr>
                <w:bCs/>
                <w:sz w:val="12"/>
                <w:szCs w:val="12"/>
              </w:rPr>
              <w:t>21</w:t>
            </w:r>
          </w:p>
        </w:tc>
        <w:tc>
          <w:tcPr>
            <w:tcW w:w="247" w:type="pct"/>
            <w:gridSpan w:val="2"/>
            <w:tcMar>
              <w:left w:w="17" w:type="dxa"/>
              <w:right w:w="17" w:type="dxa"/>
            </w:tcMar>
            <w:vAlign w:val="center"/>
          </w:tcPr>
          <w:p w14:paraId="4A0790BE" w14:textId="77777777" w:rsidR="001C56BD" w:rsidRPr="00F92667" w:rsidRDefault="001C56BD" w:rsidP="008A5C11">
            <w:pPr>
              <w:jc w:val="center"/>
              <w:rPr>
                <w:bCs/>
                <w:sz w:val="12"/>
                <w:szCs w:val="12"/>
              </w:rPr>
            </w:pPr>
            <w:r w:rsidRPr="00F92667">
              <w:rPr>
                <w:bCs/>
                <w:sz w:val="12"/>
                <w:szCs w:val="12"/>
              </w:rPr>
              <w:t>22</w:t>
            </w:r>
          </w:p>
        </w:tc>
        <w:tc>
          <w:tcPr>
            <w:tcW w:w="173" w:type="pct"/>
            <w:tcMar>
              <w:left w:w="17" w:type="dxa"/>
              <w:right w:w="17" w:type="dxa"/>
            </w:tcMar>
            <w:vAlign w:val="center"/>
          </w:tcPr>
          <w:p w14:paraId="1F489A79" w14:textId="77777777" w:rsidR="001C56BD" w:rsidRPr="00F92667" w:rsidRDefault="001C56BD" w:rsidP="008A5C11">
            <w:pPr>
              <w:jc w:val="center"/>
              <w:rPr>
                <w:bCs/>
                <w:sz w:val="12"/>
                <w:szCs w:val="12"/>
              </w:rPr>
            </w:pPr>
            <w:r w:rsidRPr="00F92667">
              <w:rPr>
                <w:bCs/>
                <w:sz w:val="12"/>
                <w:szCs w:val="12"/>
              </w:rPr>
              <w:t>23</w:t>
            </w:r>
          </w:p>
        </w:tc>
        <w:tc>
          <w:tcPr>
            <w:tcW w:w="169" w:type="pct"/>
            <w:tcMar>
              <w:left w:w="17" w:type="dxa"/>
              <w:right w:w="17" w:type="dxa"/>
            </w:tcMar>
            <w:vAlign w:val="center"/>
          </w:tcPr>
          <w:p w14:paraId="3F5AD871" w14:textId="77777777" w:rsidR="001C56BD" w:rsidRPr="00F92667" w:rsidRDefault="001C56BD" w:rsidP="008A5C11">
            <w:pPr>
              <w:jc w:val="center"/>
              <w:rPr>
                <w:bCs/>
                <w:sz w:val="12"/>
                <w:szCs w:val="12"/>
              </w:rPr>
            </w:pPr>
            <w:r w:rsidRPr="00F92667">
              <w:rPr>
                <w:bCs/>
                <w:sz w:val="12"/>
                <w:szCs w:val="12"/>
              </w:rPr>
              <w:t>24</w:t>
            </w:r>
          </w:p>
        </w:tc>
      </w:tr>
      <w:tr w:rsidR="001C56BD" w:rsidRPr="00F92667" w14:paraId="33F1536B" w14:textId="77777777" w:rsidTr="008A5C11">
        <w:trPr>
          <w:gridBefore w:val="1"/>
          <w:wBefore w:w="3" w:type="pct"/>
          <w:trHeight w:val="897"/>
        </w:trPr>
        <w:tc>
          <w:tcPr>
            <w:tcW w:w="129" w:type="pct"/>
            <w:shd w:val="clear" w:color="auto" w:fill="auto"/>
            <w:tcMar>
              <w:left w:w="17" w:type="dxa"/>
              <w:right w:w="17" w:type="dxa"/>
            </w:tcMar>
            <w:vAlign w:val="center"/>
          </w:tcPr>
          <w:p w14:paraId="5898FB35" w14:textId="77777777" w:rsidR="001C56BD" w:rsidRPr="00F92667" w:rsidRDefault="001C56BD" w:rsidP="008A5C11">
            <w:pPr>
              <w:jc w:val="center"/>
              <w:rPr>
                <w:sz w:val="12"/>
                <w:szCs w:val="12"/>
              </w:rPr>
            </w:pPr>
            <w:r w:rsidRPr="00F92667">
              <w:rPr>
                <w:sz w:val="12"/>
                <w:szCs w:val="12"/>
              </w:rPr>
              <w:t>3.1.38.</w:t>
            </w:r>
          </w:p>
        </w:tc>
        <w:tc>
          <w:tcPr>
            <w:tcW w:w="305" w:type="pct"/>
            <w:shd w:val="clear" w:color="auto" w:fill="auto"/>
            <w:tcMar>
              <w:left w:w="17" w:type="dxa"/>
              <w:right w:w="17" w:type="dxa"/>
            </w:tcMar>
            <w:vAlign w:val="center"/>
          </w:tcPr>
          <w:p w14:paraId="7FE9F6CB" w14:textId="77777777" w:rsidR="001C56BD" w:rsidRPr="00F92667" w:rsidRDefault="001C56BD" w:rsidP="008A5C11">
            <w:pPr>
              <w:rPr>
                <w:sz w:val="12"/>
                <w:szCs w:val="12"/>
              </w:rPr>
            </w:pPr>
            <w:r w:rsidRPr="00F92667">
              <w:rPr>
                <w:color w:val="000000"/>
                <w:sz w:val="12"/>
                <w:szCs w:val="12"/>
              </w:rPr>
              <w:t>Реконструкция тепловой сети с реестровым номером</w:t>
            </w:r>
            <w:r w:rsidRPr="00F92667">
              <w:rPr>
                <w:sz w:val="12"/>
                <w:szCs w:val="12"/>
              </w:rPr>
              <w:t xml:space="preserve"> 773481</w:t>
            </w:r>
          </w:p>
        </w:tc>
        <w:tc>
          <w:tcPr>
            <w:tcW w:w="304" w:type="pct"/>
            <w:shd w:val="clear" w:color="000000" w:fill="FFFFFF"/>
            <w:tcMar>
              <w:left w:w="17" w:type="dxa"/>
              <w:right w:w="17" w:type="dxa"/>
            </w:tcMar>
            <w:vAlign w:val="center"/>
          </w:tcPr>
          <w:p w14:paraId="4DADC215" w14:textId="77777777" w:rsidR="001C56BD" w:rsidRPr="00F92667" w:rsidRDefault="001C56BD" w:rsidP="008A5C11">
            <w:pPr>
              <w:jc w:val="center"/>
              <w:rPr>
                <w:sz w:val="12"/>
                <w:szCs w:val="12"/>
              </w:rPr>
            </w:pPr>
            <w:r w:rsidRPr="00F92667">
              <w:rPr>
                <w:color w:val="000000"/>
                <w:sz w:val="12"/>
                <w:szCs w:val="12"/>
              </w:rPr>
              <w:t>Повышение надежности услуг теплоснабжения, повышение энергетической эффективности</w:t>
            </w:r>
          </w:p>
        </w:tc>
        <w:tc>
          <w:tcPr>
            <w:tcW w:w="258" w:type="pct"/>
            <w:shd w:val="clear" w:color="auto" w:fill="auto"/>
            <w:tcMar>
              <w:left w:w="17" w:type="dxa"/>
              <w:right w:w="17" w:type="dxa"/>
            </w:tcMar>
            <w:vAlign w:val="center"/>
          </w:tcPr>
          <w:p w14:paraId="1DFB6EAE" w14:textId="77777777" w:rsidR="001C56BD" w:rsidRPr="00F92667" w:rsidRDefault="001C56BD" w:rsidP="008A5C11">
            <w:pPr>
              <w:jc w:val="center"/>
              <w:rPr>
                <w:sz w:val="12"/>
                <w:szCs w:val="12"/>
              </w:rPr>
            </w:pPr>
            <w:r w:rsidRPr="00F92667">
              <w:rPr>
                <w:sz w:val="12"/>
                <w:szCs w:val="12"/>
              </w:rPr>
              <w:t>Кемеровский городской округ, Центральный район, ул. Красноармейская (квартал №39) от ТК II №18</w:t>
            </w:r>
          </w:p>
        </w:tc>
        <w:tc>
          <w:tcPr>
            <w:tcW w:w="294" w:type="pct"/>
            <w:shd w:val="clear" w:color="auto" w:fill="auto"/>
            <w:tcMar>
              <w:left w:w="17" w:type="dxa"/>
              <w:right w:w="17" w:type="dxa"/>
            </w:tcMar>
            <w:vAlign w:val="center"/>
          </w:tcPr>
          <w:p w14:paraId="51D1D4E3" w14:textId="77777777" w:rsidR="001C56BD" w:rsidRPr="00F92667" w:rsidRDefault="001C56BD" w:rsidP="008A5C11">
            <w:pPr>
              <w:jc w:val="center"/>
              <w:rPr>
                <w:sz w:val="12"/>
                <w:szCs w:val="12"/>
              </w:rPr>
            </w:pPr>
            <w:r w:rsidRPr="00F92667">
              <w:rPr>
                <w:color w:val="000000"/>
                <w:sz w:val="12"/>
                <w:szCs w:val="12"/>
              </w:rPr>
              <w:t>Технические характеристики</w:t>
            </w:r>
          </w:p>
        </w:tc>
        <w:tc>
          <w:tcPr>
            <w:tcW w:w="129" w:type="pct"/>
            <w:shd w:val="clear" w:color="auto" w:fill="auto"/>
            <w:tcMar>
              <w:left w:w="17" w:type="dxa"/>
              <w:right w:w="17" w:type="dxa"/>
            </w:tcMar>
            <w:vAlign w:val="center"/>
          </w:tcPr>
          <w:p w14:paraId="79E0F3D5" w14:textId="77777777" w:rsidR="001C56BD" w:rsidRPr="00F92667" w:rsidRDefault="001C56BD" w:rsidP="008A5C11">
            <w:pPr>
              <w:jc w:val="center"/>
              <w:rPr>
                <w:color w:val="000000"/>
                <w:sz w:val="12"/>
                <w:szCs w:val="12"/>
              </w:rPr>
            </w:pPr>
          </w:p>
        </w:tc>
        <w:tc>
          <w:tcPr>
            <w:tcW w:w="184" w:type="pct"/>
            <w:shd w:val="clear" w:color="auto" w:fill="auto"/>
            <w:tcMar>
              <w:left w:w="17" w:type="dxa"/>
              <w:right w:w="17" w:type="dxa"/>
            </w:tcMar>
            <w:vAlign w:val="center"/>
          </w:tcPr>
          <w:p w14:paraId="45F73DBF" w14:textId="77777777" w:rsidR="001C56BD" w:rsidRPr="00F92667" w:rsidRDefault="001C56BD" w:rsidP="008A5C11">
            <w:pPr>
              <w:jc w:val="center"/>
              <w:rPr>
                <w:sz w:val="12"/>
                <w:szCs w:val="12"/>
              </w:rPr>
            </w:pPr>
            <w:r w:rsidRPr="00F92667">
              <w:rPr>
                <w:sz w:val="12"/>
                <w:szCs w:val="12"/>
              </w:rPr>
              <w:t>Канал-кирпич (непроходной канал),</w:t>
            </w:r>
            <w:r w:rsidRPr="00F92667">
              <w:rPr>
                <w:sz w:val="12"/>
                <w:szCs w:val="12"/>
              </w:rPr>
              <w:br/>
              <w:t xml:space="preserve">опоры приварные, запорная арматура-стальная клиновая, антикоррозийная защита-лак БТ, труба-сталь 20, изоляция-мин. маты.       </w:t>
            </w:r>
          </w:p>
        </w:tc>
        <w:tc>
          <w:tcPr>
            <w:tcW w:w="219" w:type="pct"/>
            <w:shd w:val="clear" w:color="auto" w:fill="auto"/>
            <w:tcMar>
              <w:left w:w="17" w:type="dxa"/>
              <w:right w:w="17" w:type="dxa"/>
            </w:tcMar>
            <w:vAlign w:val="center"/>
          </w:tcPr>
          <w:p w14:paraId="39089C88" w14:textId="77777777" w:rsidR="001C56BD" w:rsidRPr="00F92667" w:rsidRDefault="001C56BD" w:rsidP="008A5C11">
            <w:pPr>
              <w:jc w:val="center"/>
              <w:rPr>
                <w:sz w:val="12"/>
                <w:szCs w:val="12"/>
              </w:rPr>
            </w:pPr>
            <w:r w:rsidRPr="00F92667">
              <w:rPr>
                <w:sz w:val="12"/>
                <w:szCs w:val="12"/>
              </w:rPr>
              <w:t xml:space="preserve">Канал-ж/б лотки (непроходной канал), опоры- хомутовые с диэлектрической прокладкой, запорная арматура-кран шаровый, антикоррозийная защита-мастика Вектор 1214, 1025, труба-сталь 09Г2С, изоляция- маты </w:t>
            </w:r>
            <w:proofErr w:type="gramStart"/>
            <w:r w:rsidRPr="00F92667">
              <w:rPr>
                <w:sz w:val="12"/>
                <w:szCs w:val="12"/>
              </w:rPr>
              <w:t>прошивные,стеклоплас</w:t>
            </w:r>
            <w:proofErr w:type="gramEnd"/>
            <w:r w:rsidRPr="00F92667">
              <w:rPr>
                <w:sz w:val="12"/>
                <w:szCs w:val="12"/>
              </w:rPr>
              <w:t>-тик</w:t>
            </w:r>
          </w:p>
        </w:tc>
        <w:tc>
          <w:tcPr>
            <w:tcW w:w="130" w:type="pct"/>
            <w:shd w:val="clear" w:color="auto" w:fill="auto"/>
            <w:tcMar>
              <w:left w:w="17" w:type="dxa"/>
              <w:right w:w="17" w:type="dxa"/>
            </w:tcMar>
            <w:vAlign w:val="center"/>
          </w:tcPr>
          <w:p w14:paraId="1A69E693" w14:textId="77777777" w:rsidR="001C56BD" w:rsidRPr="00F92667" w:rsidRDefault="001C56BD" w:rsidP="008A5C11">
            <w:pPr>
              <w:jc w:val="center"/>
              <w:rPr>
                <w:sz w:val="12"/>
                <w:szCs w:val="12"/>
              </w:rPr>
            </w:pPr>
            <w:r w:rsidRPr="00F92667">
              <w:rPr>
                <w:sz w:val="12"/>
                <w:szCs w:val="12"/>
              </w:rPr>
              <w:t>2022</w:t>
            </w:r>
          </w:p>
        </w:tc>
        <w:tc>
          <w:tcPr>
            <w:tcW w:w="130" w:type="pct"/>
            <w:shd w:val="clear" w:color="auto" w:fill="auto"/>
            <w:tcMar>
              <w:left w:w="17" w:type="dxa"/>
              <w:right w:w="17" w:type="dxa"/>
            </w:tcMar>
            <w:vAlign w:val="center"/>
          </w:tcPr>
          <w:p w14:paraId="6BBF4EB8" w14:textId="77777777" w:rsidR="001C56BD" w:rsidRPr="00F92667" w:rsidRDefault="001C56BD" w:rsidP="008A5C11">
            <w:pPr>
              <w:jc w:val="center"/>
              <w:rPr>
                <w:sz w:val="12"/>
                <w:szCs w:val="12"/>
              </w:rPr>
            </w:pPr>
            <w:r w:rsidRPr="00F92667">
              <w:rPr>
                <w:sz w:val="12"/>
                <w:szCs w:val="12"/>
              </w:rPr>
              <w:t>2022</w:t>
            </w:r>
          </w:p>
        </w:tc>
        <w:tc>
          <w:tcPr>
            <w:tcW w:w="217" w:type="pct"/>
            <w:gridSpan w:val="2"/>
            <w:shd w:val="clear" w:color="auto" w:fill="auto"/>
            <w:tcMar>
              <w:left w:w="17" w:type="dxa"/>
              <w:right w:w="17" w:type="dxa"/>
            </w:tcMar>
            <w:vAlign w:val="center"/>
          </w:tcPr>
          <w:p w14:paraId="253BE753" w14:textId="77777777" w:rsidR="001C56BD" w:rsidRPr="00F92667" w:rsidRDefault="001C56BD" w:rsidP="008A5C11">
            <w:pPr>
              <w:jc w:val="center"/>
              <w:rPr>
                <w:sz w:val="12"/>
                <w:szCs w:val="12"/>
              </w:rPr>
            </w:pPr>
            <w:r w:rsidRPr="00F92667">
              <w:rPr>
                <w:sz w:val="12"/>
                <w:szCs w:val="12"/>
              </w:rPr>
              <w:t>6614,076</w:t>
            </w:r>
          </w:p>
        </w:tc>
        <w:tc>
          <w:tcPr>
            <w:tcW w:w="177" w:type="pct"/>
            <w:gridSpan w:val="2"/>
            <w:shd w:val="clear" w:color="auto" w:fill="auto"/>
            <w:tcMar>
              <w:left w:w="17" w:type="dxa"/>
              <w:right w:w="17" w:type="dxa"/>
            </w:tcMar>
            <w:vAlign w:val="center"/>
          </w:tcPr>
          <w:p w14:paraId="06262602" w14:textId="77777777" w:rsidR="001C56BD" w:rsidRPr="00F92667" w:rsidRDefault="001C56BD" w:rsidP="008A5C11">
            <w:pPr>
              <w:jc w:val="center"/>
              <w:rPr>
                <w:sz w:val="12"/>
                <w:szCs w:val="12"/>
              </w:rPr>
            </w:pPr>
            <w:r w:rsidRPr="00F92667">
              <w:rPr>
                <w:sz w:val="12"/>
                <w:szCs w:val="12"/>
              </w:rPr>
              <w:t>0,000</w:t>
            </w:r>
          </w:p>
        </w:tc>
        <w:tc>
          <w:tcPr>
            <w:tcW w:w="212" w:type="pct"/>
            <w:shd w:val="clear" w:color="auto" w:fill="auto"/>
            <w:tcMar>
              <w:left w:w="17" w:type="dxa"/>
              <w:right w:w="17" w:type="dxa"/>
            </w:tcMar>
            <w:vAlign w:val="center"/>
          </w:tcPr>
          <w:p w14:paraId="008CDFD1" w14:textId="77777777" w:rsidR="001C56BD" w:rsidRPr="00F92667" w:rsidRDefault="001C56BD" w:rsidP="008A5C11">
            <w:pPr>
              <w:jc w:val="center"/>
              <w:rPr>
                <w:sz w:val="12"/>
                <w:szCs w:val="12"/>
              </w:rPr>
            </w:pPr>
            <w:r w:rsidRPr="00F92667">
              <w:rPr>
                <w:sz w:val="12"/>
                <w:szCs w:val="12"/>
              </w:rPr>
              <w:t>6614,076</w:t>
            </w:r>
          </w:p>
        </w:tc>
        <w:tc>
          <w:tcPr>
            <w:tcW w:w="218" w:type="pct"/>
            <w:gridSpan w:val="2"/>
            <w:shd w:val="clear" w:color="auto" w:fill="auto"/>
            <w:tcMar>
              <w:left w:w="17" w:type="dxa"/>
              <w:right w:w="17" w:type="dxa"/>
            </w:tcMar>
            <w:vAlign w:val="center"/>
          </w:tcPr>
          <w:p w14:paraId="3772F42C"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500E0C02" w14:textId="77777777" w:rsidR="001C56BD" w:rsidRPr="00F92667" w:rsidRDefault="001C56BD" w:rsidP="008A5C11">
            <w:pPr>
              <w:jc w:val="center"/>
              <w:rPr>
                <w:sz w:val="12"/>
                <w:szCs w:val="12"/>
              </w:rPr>
            </w:pPr>
            <w:r w:rsidRPr="00F92667">
              <w:rPr>
                <w:sz w:val="12"/>
                <w:szCs w:val="12"/>
              </w:rPr>
              <w:t>0,000</w:t>
            </w:r>
          </w:p>
        </w:tc>
        <w:tc>
          <w:tcPr>
            <w:tcW w:w="206" w:type="pct"/>
            <w:gridSpan w:val="2"/>
            <w:shd w:val="clear" w:color="auto" w:fill="auto"/>
            <w:tcMar>
              <w:left w:w="17" w:type="dxa"/>
              <w:right w:w="17" w:type="dxa"/>
            </w:tcMar>
            <w:vAlign w:val="center"/>
          </w:tcPr>
          <w:p w14:paraId="45EF8DBB"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121D1315" w14:textId="77777777" w:rsidR="001C56BD" w:rsidRPr="00F92667" w:rsidRDefault="001C56BD" w:rsidP="008A5C11">
            <w:pPr>
              <w:jc w:val="center"/>
              <w:rPr>
                <w:sz w:val="12"/>
                <w:szCs w:val="12"/>
              </w:rPr>
            </w:pPr>
            <w:r w:rsidRPr="00F92667">
              <w:rPr>
                <w:sz w:val="12"/>
                <w:szCs w:val="12"/>
              </w:rPr>
              <w:t>0,000</w:t>
            </w:r>
          </w:p>
        </w:tc>
        <w:tc>
          <w:tcPr>
            <w:tcW w:w="214" w:type="pct"/>
            <w:gridSpan w:val="2"/>
            <w:shd w:val="clear" w:color="auto" w:fill="auto"/>
            <w:tcMar>
              <w:left w:w="17" w:type="dxa"/>
              <w:right w:w="17" w:type="dxa"/>
            </w:tcMar>
            <w:vAlign w:val="center"/>
          </w:tcPr>
          <w:p w14:paraId="0071BF6F"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26C9BEA5"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24A3980F" w14:textId="77777777" w:rsidR="001C56BD" w:rsidRPr="00F92667" w:rsidRDefault="001C56BD" w:rsidP="008A5C11">
            <w:pPr>
              <w:jc w:val="center"/>
              <w:rPr>
                <w:sz w:val="12"/>
                <w:szCs w:val="12"/>
              </w:rPr>
            </w:pPr>
            <w:r w:rsidRPr="00F92667">
              <w:rPr>
                <w:sz w:val="12"/>
                <w:szCs w:val="12"/>
              </w:rPr>
              <w:t>0,000</w:t>
            </w:r>
          </w:p>
        </w:tc>
        <w:tc>
          <w:tcPr>
            <w:tcW w:w="214" w:type="pct"/>
            <w:gridSpan w:val="2"/>
            <w:shd w:val="clear" w:color="auto" w:fill="auto"/>
            <w:tcMar>
              <w:left w:w="17" w:type="dxa"/>
              <w:right w:w="17" w:type="dxa"/>
            </w:tcMar>
            <w:vAlign w:val="center"/>
          </w:tcPr>
          <w:p w14:paraId="330D4DCE" w14:textId="77777777" w:rsidR="001C56BD" w:rsidRPr="00F92667" w:rsidRDefault="001C56BD" w:rsidP="008A5C11">
            <w:pPr>
              <w:jc w:val="center"/>
              <w:rPr>
                <w:sz w:val="12"/>
                <w:szCs w:val="12"/>
              </w:rPr>
            </w:pPr>
            <w:r w:rsidRPr="00F92667">
              <w:rPr>
                <w:sz w:val="12"/>
                <w:szCs w:val="12"/>
              </w:rPr>
              <w:t>0,000</w:t>
            </w:r>
          </w:p>
        </w:tc>
        <w:tc>
          <w:tcPr>
            <w:tcW w:w="247" w:type="pct"/>
            <w:gridSpan w:val="2"/>
            <w:shd w:val="clear" w:color="auto" w:fill="auto"/>
            <w:tcMar>
              <w:left w:w="17" w:type="dxa"/>
              <w:right w:w="17" w:type="dxa"/>
            </w:tcMar>
            <w:vAlign w:val="center"/>
          </w:tcPr>
          <w:p w14:paraId="206EAB92" w14:textId="77777777" w:rsidR="001C56BD" w:rsidRPr="00F92667" w:rsidRDefault="001C56BD" w:rsidP="008A5C11">
            <w:pPr>
              <w:jc w:val="center"/>
              <w:rPr>
                <w:sz w:val="12"/>
                <w:szCs w:val="12"/>
              </w:rPr>
            </w:pPr>
            <w:r w:rsidRPr="00F92667">
              <w:rPr>
                <w:sz w:val="12"/>
                <w:szCs w:val="12"/>
              </w:rPr>
              <w:t>0,000</w:t>
            </w:r>
          </w:p>
        </w:tc>
        <w:tc>
          <w:tcPr>
            <w:tcW w:w="173" w:type="pct"/>
            <w:shd w:val="clear" w:color="auto" w:fill="auto"/>
            <w:tcMar>
              <w:left w:w="17" w:type="dxa"/>
              <w:right w:w="17" w:type="dxa"/>
            </w:tcMar>
            <w:vAlign w:val="center"/>
          </w:tcPr>
          <w:p w14:paraId="50B8C60F" w14:textId="77777777" w:rsidR="001C56BD" w:rsidRPr="00F92667" w:rsidRDefault="001C56BD" w:rsidP="008A5C11">
            <w:pPr>
              <w:jc w:val="center"/>
              <w:rPr>
                <w:sz w:val="12"/>
                <w:szCs w:val="12"/>
              </w:rPr>
            </w:pPr>
            <w:r w:rsidRPr="00F92667">
              <w:rPr>
                <w:sz w:val="12"/>
                <w:szCs w:val="12"/>
              </w:rPr>
              <w:t>0,000</w:t>
            </w:r>
          </w:p>
        </w:tc>
        <w:tc>
          <w:tcPr>
            <w:tcW w:w="169" w:type="pct"/>
            <w:shd w:val="clear" w:color="auto" w:fill="auto"/>
            <w:tcMar>
              <w:left w:w="17" w:type="dxa"/>
              <w:right w:w="17" w:type="dxa"/>
            </w:tcMar>
            <w:vAlign w:val="center"/>
          </w:tcPr>
          <w:p w14:paraId="5B93109E" w14:textId="77777777" w:rsidR="001C56BD" w:rsidRPr="00F92667" w:rsidRDefault="001C56BD" w:rsidP="008A5C11">
            <w:pPr>
              <w:jc w:val="center"/>
              <w:rPr>
                <w:sz w:val="12"/>
                <w:szCs w:val="12"/>
              </w:rPr>
            </w:pPr>
            <w:r w:rsidRPr="00F92667">
              <w:rPr>
                <w:sz w:val="12"/>
                <w:szCs w:val="12"/>
              </w:rPr>
              <w:t>0,000</w:t>
            </w:r>
          </w:p>
        </w:tc>
      </w:tr>
      <w:tr w:rsidR="001C56BD" w:rsidRPr="00F92667" w14:paraId="20D9A6B4" w14:textId="77777777" w:rsidTr="008A5C11">
        <w:trPr>
          <w:gridBefore w:val="1"/>
          <w:wBefore w:w="3" w:type="pct"/>
          <w:trHeight w:val="897"/>
        </w:trPr>
        <w:tc>
          <w:tcPr>
            <w:tcW w:w="129" w:type="pct"/>
            <w:shd w:val="clear" w:color="auto" w:fill="auto"/>
            <w:tcMar>
              <w:left w:w="17" w:type="dxa"/>
              <w:right w:w="17" w:type="dxa"/>
            </w:tcMar>
            <w:vAlign w:val="center"/>
          </w:tcPr>
          <w:p w14:paraId="4C19F76D" w14:textId="77777777" w:rsidR="001C56BD" w:rsidRPr="00F92667" w:rsidRDefault="001C56BD" w:rsidP="008A5C11">
            <w:pPr>
              <w:jc w:val="center"/>
              <w:rPr>
                <w:sz w:val="12"/>
                <w:szCs w:val="12"/>
              </w:rPr>
            </w:pPr>
            <w:r w:rsidRPr="00F92667">
              <w:rPr>
                <w:sz w:val="12"/>
                <w:szCs w:val="12"/>
              </w:rPr>
              <w:t>3.1.39.</w:t>
            </w:r>
          </w:p>
        </w:tc>
        <w:tc>
          <w:tcPr>
            <w:tcW w:w="305" w:type="pct"/>
            <w:shd w:val="clear" w:color="auto" w:fill="auto"/>
            <w:tcMar>
              <w:left w:w="17" w:type="dxa"/>
              <w:right w:w="17" w:type="dxa"/>
            </w:tcMar>
            <w:vAlign w:val="center"/>
          </w:tcPr>
          <w:p w14:paraId="1B35FC59" w14:textId="77777777" w:rsidR="001C56BD" w:rsidRPr="00F92667" w:rsidRDefault="001C56BD" w:rsidP="008A5C11">
            <w:pPr>
              <w:rPr>
                <w:sz w:val="12"/>
                <w:szCs w:val="12"/>
              </w:rPr>
            </w:pPr>
            <w:r w:rsidRPr="00F92667">
              <w:rPr>
                <w:color w:val="000000"/>
                <w:sz w:val="12"/>
                <w:szCs w:val="12"/>
              </w:rPr>
              <w:t>Реконструкция тепловой сети с реестровым номером</w:t>
            </w:r>
            <w:r w:rsidRPr="00F92667">
              <w:rPr>
                <w:sz w:val="12"/>
                <w:szCs w:val="12"/>
              </w:rPr>
              <w:t xml:space="preserve"> 773562</w:t>
            </w:r>
          </w:p>
        </w:tc>
        <w:tc>
          <w:tcPr>
            <w:tcW w:w="304" w:type="pct"/>
            <w:shd w:val="clear" w:color="000000" w:fill="FFFFFF"/>
            <w:tcMar>
              <w:left w:w="17" w:type="dxa"/>
              <w:right w:w="17" w:type="dxa"/>
            </w:tcMar>
            <w:vAlign w:val="center"/>
          </w:tcPr>
          <w:p w14:paraId="011E9D74" w14:textId="77777777" w:rsidR="001C56BD" w:rsidRPr="00F92667" w:rsidRDefault="001C56BD" w:rsidP="008A5C11">
            <w:pPr>
              <w:jc w:val="center"/>
              <w:rPr>
                <w:sz w:val="12"/>
                <w:szCs w:val="12"/>
              </w:rPr>
            </w:pPr>
            <w:r w:rsidRPr="00F92667">
              <w:rPr>
                <w:color w:val="000000"/>
                <w:sz w:val="12"/>
                <w:szCs w:val="12"/>
              </w:rPr>
              <w:t>Повышение надежности услуг теплоснабжения, повышение энергетической эффективности</w:t>
            </w:r>
          </w:p>
        </w:tc>
        <w:tc>
          <w:tcPr>
            <w:tcW w:w="258" w:type="pct"/>
            <w:shd w:val="clear" w:color="auto" w:fill="auto"/>
            <w:tcMar>
              <w:left w:w="17" w:type="dxa"/>
              <w:right w:w="17" w:type="dxa"/>
            </w:tcMar>
            <w:vAlign w:val="center"/>
          </w:tcPr>
          <w:p w14:paraId="0E8B2AAF" w14:textId="77777777" w:rsidR="001C56BD" w:rsidRPr="00F92667" w:rsidRDefault="001C56BD" w:rsidP="008A5C11">
            <w:pPr>
              <w:jc w:val="center"/>
              <w:rPr>
                <w:sz w:val="12"/>
                <w:szCs w:val="12"/>
              </w:rPr>
            </w:pPr>
            <w:r w:rsidRPr="00F92667">
              <w:rPr>
                <w:sz w:val="12"/>
                <w:szCs w:val="12"/>
              </w:rPr>
              <w:t>Кемеровский городской округ, Центральный район, квартал 44, 34м северо-восточнее жилого дома №95а по ул. Красноармейская</w:t>
            </w:r>
          </w:p>
        </w:tc>
        <w:tc>
          <w:tcPr>
            <w:tcW w:w="294" w:type="pct"/>
            <w:shd w:val="clear" w:color="auto" w:fill="auto"/>
            <w:tcMar>
              <w:left w:w="17" w:type="dxa"/>
              <w:right w:w="17" w:type="dxa"/>
            </w:tcMar>
            <w:vAlign w:val="center"/>
          </w:tcPr>
          <w:p w14:paraId="0BF13041" w14:textId="77777777" w:rsidR="001C56BD" w:rsidRPr="00F92667" w:rsidRDefault="001C56BD" w:rsidP="008A5C11">
            <w:pPr>
              <w:jc w:val="center"/>
              <w:rPr>
                <w:sz w:val="12"/>
                <w:szCs w:val="12"/>
              </w:rPr>
            </w:pPr>
            <w:r w:rsidRPr="00F92667">
              <w:rPr>
                <w:color w:val="000000"/>
                <w:sz w:val="12"/>
                <w:szCs w:val="12"/>
              </w:rPr>
              <w:t>Технические характеристики</w:t>
            </w:r>
          </w:p>
        </w:tc>
        <w:tc>
          <w:tcPr>
            <w:tcW w:w="129" w:type="pct"/>
            <w:shd w:val="clear" w:color="auto" w:fill="auto"/>
            <w:tcMar>
              <w:left w:w="17" w:type="dxa"/>
              <w:right w:w="17" w:type="dxa"/>
            </w:tcMar>
            <w:vAlign w:val="center"/>
          </w:tcPr>
          <w:p w14:paraId="3ED4E0D4" w14:textId="77777777" w:rsidR="001C56BD" w:rsidRPr="00F92667" w:rsidRDefault="001C56BD" w:rsidP="008A5C11">
            <w:pPr>
              <w:jc w:val="center"/>
              <w:rPr>
                <w:color w:val="000000"/>
                <w:sz w:val="12"/>
                <w:szCs w:val="12"/>
              </w:rPr>
            </w:pPr>
          </w:p>
        </w:tc>
        <w:tc>
          <w:tcPr>
            <w:tcW w:w="184" w:type="pct"/>
            <w:shd w:val="clear" w:color="auto" w:fill="auto"/>
            <w:tcMar>
              <w:left w:w="17" w:type="dxa"/>
              <w:right w:w="17" w:type="dxa"/>
            </w:tcMar>
            <w:vAlign w:val="center"/>
          </w:tcPr>
          <w:p w14:paraId="07C1F17C" w14:textId="77777777" w:rsidR="001C56BD" w:rsidRPr="00F92667" w:rsidRDefault="001C56BD" w:rsidP="008A5C11">
            <w:pPr>
              <w:jc w:val="center"/>
              <w:rPr>
                <w:sz w:val="12"/>
                <w:szCs w:val="12"/>
              </w:rPr>
            </w:pPr>
            <w:r w:rsidRPr="00F92667">
              <w:rPr>
                <w:sz w:val="12"/>
                <w:szCs w:val="12"/>
              </w:rPr>
              <w:t>Канал-кирпич (непроходной канал),</w:t>
            </w:r>
            <w:r w:rsidRPr="00F92667">
              <w:rPr>
                <w:sz w:val="12"/>
                <w:szCs w:val="12"/>
              </w:rPr>
              <w:br/>
              <w:t xml:space="preserve">опоры </w:t>
            </w:r>
            <w:proofErr w:type="gramStart"/>
            <w:r w:rsidRPr="00F92667">
              <w:rPr>
                <w:sz w:val="12"/>
                <w:szCs w:val="12"/>
              </w:rPr>
              <w:t>привар-ные</w:t>
            </w:r>
            <w:proofErr w:type="gramEnd"/>
            <w:r w:rsidRPr="00F92667">
              <w:rPr>
                <w:sz w:val="12"/>
                <w:szCs w:val="12"/>
              </w:rPr>
              <w:t xml:space="preserve">, запорная арматура-стальная клиновая, антикоррозийная защита-лак БТ, труба-сталь 20, изоляция-мин. маты.     </w:t>
            </w:r>
          </w:p>
        </w:tc>
        <w:tc>
          <w:tcPr>
            <w:tcW w:w="219" w:type="pct"/>
            <w:shd w:val="clear" w:color="auto" w:fill="auto"/>
            <w:tcMar>
              <w:left w:w="17" w:type="dxa"/>
              <w:right w:w="17" w:type="dxa"/>
            </w:tcMar>
            <w:vAlign w:val="center"/>
          </w:tcPr>
          <w:p w14:paraId="3659D05A" w14:textId="77777777" w:rsidR="001C56BD" w:rsidRPr="00F92667" w:rsidRDefault="001C56BD" w:rsidP="008A5C11">
            <w:pPr>
              <w:jc w:val="center"/>
              <w:rPr>
                <w:sz w:val="12"/>
                <w:szCs w:val="12"/>
              </w:rPr>
            </w:pPr>
            <w:r w:rsidRPr="00F92667">
              <w:rPr>
                <w:sz w:val="12"/>
                <w:szCs w:val="12"/>
              </w:rPr>
              <w:t xml:space="preserve">Канал-ж/б лотки, опоры-хомутовые с диэлектрической прокладкой, запорная арматура - кран шаровый, антикоррозийная защита-мастика Вектор 1214, 1025, труба-сталь 09Г2С, изоляция - маты прошивные, </w:t>
            </w:r>
            <w:proofErr w:type="gramStart"/>
            <w:r w:rsidRPr="00F92667">
              <w:rPr>
                <w:sz w:val="12"/>
                <w:szCs w:val="12"/>
              </w:rPr>
              <w:t>стеклоплас-тик</w:t>
            </w:r>
            <w:proofErr w:type="gramEnd"/>
            <w:r w:rsidRPr="00F92667">
              <w:rPr>
                <w:sz w:val="12"/>
                <w:szCs w:val="12"/>
              </w:rPr>
              <w:t xml:space="preserve">  </w:t>
            </w:r>
          </w:p>
        </w:tc>
        <w:tc>
          <w:tcPr>
            <w:tcW w:w="130" w:type="pct"/>
            <w:shd w:val="clear" w:color="auto" w:fill="auto"/>
            <w:tcMar>
              <w:left w:w="17" w:type="dxa"/>
              <w:right w:w="17" w:type="dxa"/>
            </w:tcMar>
            <w:vAlign w:val="center"/>
          </w:tcPr>
          <w:p w14:paraId="2E9AF047" w14:textId="77777777" w:rsidR="001C56BD" w:rsidRPr="00F92667" w:rsidRDefault="001C56BD" w:rsidP="008A5C11">
            <w:pPr>
              <w:jc w:val="center"/>
              <w:rPr>
                <w:sz w:val="12"/>
                <w:szCs w:val="12"/>
              </w:rPr>
            </w:pPr>
            <w:r w:rsidRPr="00F92667">
              <w:rPr>
                <w:sz w:val="12"/>
                <w:szCs w:val="12"/>
              </w:rPr>
              <w:t>2023</w:t>
            </w:r>
          </w:p>
        </w:tc>
        <w:tc>
          <w:tcPr>
            <w:tcW w:w="130" w:type="pct"/>
            <w:shd w:val="clear" w:color="auto" w:fill="auto"/>
            <w:tcMar>
              <w:left w:w="17" w:type="dxa"/>
              <w:right w:w="17" w:type="dxa"/>
            </w:tcMar>
            <w:vAlign w:val="center"/>
          </w:tcPr>
          <w:p w14:paraId="090096A2" w14:textId="77777777" w:rsidR="001C56BD" w:rsidRPr="00F92667" w:rsidRDefault="001C56BD" w:rsidP="008A5C11">
            <w:pPr>
              <w:jc w:val="center"/>
              <w:rPr>
                <w:sz w:val="12"/>
                <w:szCs w:val="12"/>
              </w:rPr>
            </w:pPr>
            <w:r w:rsidRPr="00F92667">
              <w:rPr>
                <w:sz w:val="12"/>
                <w:szCs w:val="12"/>
              </w:rPr>
              <w:t>2029</w:t>
            </w:r>
          </w:p>
        </w:tc>
        <w:tc>
          <w:tcPr>
            <w:tcW w:w="217" w:type="pct"/>
            <w:gridSpan w:val="2"/>
            <w:shd w:val="clear" w:color="auto" w:fill="auto"/>
            <w:tcMar>
              <w:left w:w="17" w:type="dxa"/>
              <w:right w:w="17" w:type="dxa"/>
            </w:tcMar>
            <w:vAlign w:val="center"/>
          </w:tcPr>
          <w:p w14:paraId="769F7939" w14:textId="77777777" w:rsidR="001C56BD" w:rsidRPr="00F92667" w:rsidRDefault="001C56BD" w:rsidP="008A5C11">
            <w:pPr>
              <w:jc w:val="center"/>
              <w:rPr>
                <w:sz w:val="12"/>
                <w:szCs w:val="12"/>
              </w:rPr>
            </w:pPr>
            <w:r w:rsidRPr="00F92667">
              <w:rPr>
                <w:sz w:val="12"/>
                <w:szCs w:val="12"/>
              </w:rPr>
              <w:t>9377,232</w:t>
            </w:r>
          </w:p>
        </w:tc>
        <w:tc>
          <w:tcPr>
            <w:tcW w:w="177" w:type="pct"/>
            <w:gridSpan w:val="2"/>
            <w:shd w:val="clear" w:color="auto" w:fill="auto"/>
            <w:tcMar>
              <w:left w:w="17" w:type="dxa"/>
              <w:right w:w="17" w:type="dxa"/>
            </w:tcMar>
            <w:vAlign w:val="center"/>
          </w:tcPr>
          <w:p w14:paraId="5EFA7EA2" w14:textId="77777777" w:rsidR="001C56BD" w:rsidRPr="00F92667" w:rsidRDefault="001C56BD" w:rsidP="008A5C11">
            <w:pPr>
              <w:jc w:val="center"/>
              <w:rPr>
                <w:sz w:val="12"/>
                <w:szCs w:val="12"/>
              </w:rPr>
            </w:pPr>
            <w:r w:rsidRPr="00F92667">
              <w:rPr>
                <w:sz w:val="12"/>
                <w:szCs w:val="12"/>
              </w:rPr>
              <w:t>0,000</w:t>
            </w:r>
          </w:p>
        </w:tc>
        <w:tc>
          <w:tcPr>
            <w:tcW w:w="212" w:type="pct"/>
            <w:shd w:val="clear" w:color="auto" w:fill="auto"/>
            <w:tcMar>
              <w:left w:w="17" w:type="dxa"/>
              <w:right w:w="17" w:type="dxa"/>
            </w:tcMar>
            <w:vAlign w:val="center"/>
          </w:tcPr>
          <w:p w14:paraId="4AD901AA" w14:textId="77777777" w:rsidR="001C56BD" w:rsidRPr="00F92667" w:rsidRDefault="001C56BD" w:rsidP="008A5C11">
            <w:pPr>
              <w:jc w:val="center"/>
              <w:rPr>
                <w:sz w:val="12"/>
                <w:szCs w:val="12"/>
              </w:rPr>
            </w:pPr>
            <w:r w:rsidRPr="00F92667">
              <w:rPr>
                <w:sz w:val="12"/>
                <w:szCs w:val="12"/>
              </w:rPr>
              <w:t>0,000</w:t>
            </w:r>
          </w:p>
        </w:tc>
        <w:tc>
          <w:tcPr>
            <w:tcW w:w="218" w:type="pct"/>
            <w:gridSpan w:val="2"/>
            <w:shd w:val="clear" w:color="auto" w:fill="auto"/>
            <w:tcMar>
              <w:left w:w="17" w:type="dxa"/>
              <w:right w:w="17" w:type="dxa"/>
            </w:tcMar>
            <w:vAlign w:val="center"/>
          </w:tcPr>
          <w:p w14:paraId="0221B76B" w14:textId="77777777" w:rsidR="001C56BD" w:rsidRPr="00F92667" w:rsidRDefault="001C56BD" w:rsidP="008A5C11">
            <w:pPr>
              <w:jc w:val="center"/>
              <w:rPr>
                <w:sz w:val="12"/>
                <w:szCs w:val="12"/>
              </w:rPr>
            </w:pPr>
            <w:r w:rsidRPr="00F92667">
              <w:rPr>
                <w:sz w:val="12"/>
                <w:szCs w:val="12"/>
              </w:rPr>
              <w:t>2731,404</w:t>
            </w:r>
          </w:p>
        </w:tc>
        <w:tc>
          <w:tcPr>
            <w:tcW w:w="217" w:type="pct"/>
            <w:gridSpan w:val="2"/>
            <w:shd w:val="clear" w:color="auto" w:fill="auto"/>
            <w:tcMar>
              <w:left w:w="17" w:type="dxa"/>
              <w:right w:w="17" w:type="dxa"/>
            </w:tcMar>
            <w:vAlign w:val="center"/>
          </w:tcPr>
          <w:p w14:paraId="6286437C" w14:textId="77777777" w:rsidR="001C56BD" w:rsidRPr="00F92667" w:rsidRDefault="001C56BD" w:rsidP="008A5C11">
            <w:pPr>
              <w:jc w:val="center"/>
              <w:rPr>
                <w:sz w:val="12"/>
                <w:szCs w:val="12"/>
              </w:rPr>
            </w:pPr>
            <w:r w:rsidRPr="00F92667">
              <w:rPr>
                <w:sz w:val="12"/>
                <w:szCs w:val="12"/>
              </w:rPr>
              <w:t>0,000</w:t>
            </w:r>
          </w:p>
        </w:tc>
        <w:tc>
          <w:tcPr>
            <w:tcW w:w="206" w:type="pct"/>
            <w:gridSpan w:val="2"/>
            <w:shd w:val="clear" w:color="auto" w:fill="auto"/>
            <w:tcMar>
              <w:left w:w="17" w:type="dxa"/>
              <w:right w:w="17" w:type="dxa"/>
            </w:tcMar>
            <w:vAlign w:val="center"/>
          </w:tcPr>
          <w:p w14:paraId="53D7CE0E"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1908D00C" w14:textId="77777777" w:rsidR="001C56BD" w:rsidRPr="00F92667" w:rsidRDefault="001C56BD" w:rsidP="008A5C11">
            <w:pPr>
              <w:jc w:val="center"/>
              <w:rPr>
                <w:sz w:val="12"/>
                <w:szCs w:val="12"/>
              </w:rPr>
            </w:pPr>
            <w:r w:rsidRPr="00F92667">
              <w:rPr>
                <w:sz w:val="12"/>
                <w:szCs w:val="12"/>
              </w:rPr>
              <w:t>0,000</w:t>
            </w:r>
          </w:p>
        </w:tc>
        <w:tc>
          <w:tcPr>
            <w:tcW w:w="214" w:type="pct"/>
            <w:gridSpan w:val="2"/>
            <w:shd w:val="clear" w:color="auto" w:fill="auto"/>
            <w:tcMar>
              <w:left w:w="17" w:type="dxa"/>
              <w:right w:w="17" w:type="dxa"/>
            </w:tcMar>
            <w:vAlign w:val="center"/>
          </w:tcPr>
          <w:p w14:paraId="0222117D"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70059391"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20FB137F" w14:textId="77777777" w:rsidR="001C56BD" w:rsidRPr="00F92667" w:rsidRDefault="001C56BD" w:rsidP="008A5C11">
            <w:pPr>
              <w:jc w:val="center"/>
              <w:rPr>
                <w:sz w:val="12"/>
                <w:szCs w:val="12"/>
              </w:rPr>
            </w:pPr>
            <w:r w:rsidRPr="00F92667">
              <w:rPr>
                <w:sz w:val="12"/>
                <w:szCs w:val="12"/>
              </w:rPr>
              <w:t>6645,828</w:t>
            </w:r>
          </w:p>
        </w:tc>
        <w:tc>
          <w:tcPr>
            <w:tcW w:w="214" w:type="pct"/>
            <w:gridSpan w:val="2"/>
            <w:shd w:val="clear" w:color="auto" w:fill="auto"/>
            <w:tcMar>
              <w:left w:w="17" w:type="dxa"/>
              <w:right w:w="17" w:type="dxa"/>
            </w:tcMar>
            <w:vAlign w:val="center"/>
          </w:tcPr>
          <w:p w14:paraId="5B27B63E" w14:textId="77777777" w:rsidR="001C56BD" w:rsidRPr="00F92667" w:rsidRDefault="001C56BD" w:rsidP="008A5C11">
            <w:pPr>
              <w:jc w:val="center"/>
              <w:rPr>
                <w:sz w:val="12"/>
                <w:szCs w:val="12"/>
              </w:rPr>
            </w:pPr>
            <w:r w:rsidRPr="00F92667">
              <w:rPr>
                <w:sz w:val="12"/>
                <w:szCs w:val="12"/>
              </w:rPr>
              <w:t>0,000</w:t>
            </w:r>
          </w:p>
        </w:tc>
        <w:tc>
          <w:tcPr>
            <w:tcW w:w="247" w:type="pct"/>
            <w:gridSpan w:val="2"/>
            <w:shd w:val="clear" w:color="auto" w:fill="auto"/>
            <w:tcMar>
              <w:left w:w="17" w:type="dxa"/>
              <w:right w:w="17" w:type="dxa"/>
            </w:tcMar>
            <w:vAlign w:val="center"/>
          </w:tcPr>
          <w:p w14:paraId="1D8750D3" w14:textId="77777777" w:rsidR="001C56BD" w:rsidRPr="00F92667" w:rsidRDefault="001C56BD" w:rsidP="008A5C11">
            <w:pPr>
              <w:jc w:val="center"/>
              <w:rPr>
                <w:sz w:val="12"/>
                <w:szCs w:val="12"/>
              </w:rPr>
            </w:pPr>
            <w:r w:rsidRPr="00F92667">
              <w:rPr>
                <w:sz w:val="12"/>
                <w:szCs w:val="12"/>
              </w:rPr>
              <w:t>0,000</w:t>
            </w:r>
          </w:p>
        </w:tc>
        <w:tc>
          <w:tcPr>
            <w:tcW w:w="173" w:type="pct"/>
            <w:shd w:val="clear" w:color="auto" w:fill="auto"/>
            <w:tcMar>
              <w:left w:w="17" w:type="dxa"/>
              <w:right w:w="17" w:type="dxa"/>
            </w:tcMar>
            <w:vAlign w:val="center"/>
          </w:tcPr>
          <w:p w14:paraId="6B34827F" w14:textId="77777777" w:rsidR="001C56BD" w:rsidRPr="00F92667" w:rsidRDefault="001C56BD" w:rsidP="008A5C11">
            <w:pPr>
              <w:jc w:val="center"/>
              <w:rPr>
                <w:sz w:val="12"/>
                <w:szCs w:val="12"/>
              </w:rPr>
            </w:pPr>
            <w:r w:rsidRPr="00F92667">
              <w:rPr>
                <w:sz w:val="12"/>
                <w:szCs w:val="12"/>
              </w:rPr>
              <w:t>0,000</w:t>
            </w:r>
          </w:p>
        </w:tc>
        <w:tc>
          <w:tcPr>
            <w:tcW w:w="169" w:type="pct"/>
            <w:shd w:val="clear" w:color="auto" w:fill="auto"/>
            <w:tcMar>
              <w:left w:w="17" w:type="dxa"/>
              <w:right w:w="17" w:type="dxa"/>
            </w:tcMar>
            <w:vAlign w:val="center"/>
          </w:tcPr>
          <w:p w14:paraId="587F25CA" w14:textId="77777777" w:rsidR="001C56BD" w:rsidRPr="00F92667" w:rsidRDefault="001C56BD" w:rsidP="008A5C11">
            <w:pPr>
              <w:jc w:val="center"/>
              <w:rPr>
                <w:sz w:val="12"/>
                <w:szCs w:val="12"/>
              </w:rPr>
            </w:pPr>
            <w:r w:rsidRPr="00F92667">
              <w:rPr>
                <w:sz w:val="12"/>
                <w:szCs w:val="12"/>
              </w:rPr>
              <w:t>0,000</w:t>
            </w:r>
          </w:p>
        </w:tc>
      </w:tr>
      <w:tr w:rsidR="001C56BD" w:rsidRPr="00F92667" w14:paraId="6C812E79" w14:textId="77777777" w:rsidTr="008A5C11">
        <w:trPr>
          <w:gridBefore w:val="1"/>
          <w:wBefore w:w="3" w:type="pct"/>
          <w:trHeight w:val="897"/>
        </w:trPr>
        <w:tc>
          <w:tcPr>
            <w:tcW w:w="129" w:type="pct"/>
            <w:shd w:val="clear" w:color="auto" w:fill="auto"/>
            <w:tcMar>
              <w:left w:w="17" w:type="dxa"/>
              <w:right w:w="17" w:type="dxa"/>
            </w:tcMar>
            <w:vAlign w:val="center"/>
          </w:tcPr>
          <w:p w14:paraId="58DD0594" w14:textId="77777777" w:rsidR="001C56BD" w:rsidRPr="00F92667" w:rsidRDefault="001C56BD" w:rsidP="008A5C11">
            <w:pPr>
              <w:jc w:val="center"/>
              <w:rPr>
                <w:sz w:val="12"/>
                <w:szCs w:val="12"/>
              </w:rPr>
            </w:pPr>
            <w:r w:rsidRPr="00F92667">
              <w:rPr>
                <w:sz w:val="12"/>
                <w:szCs w:val="12"/>
              </w:rPr>
              <w:t>3.1.40.</w:t>
            </w:r>
          </w:p>
        </w:tc>
        <w:tc>
          <w:tcPr>
            <w:tcW w:w="305" w:type="pct"/>
            <w:shd w:val="clear" w:color="auto" w:fill="auto"/>
            <w:tcMar>
              <w:left w:w="17" w:type="dxa"/>
              <w:right w:w="17" w:type="dxa"/>
            </w:tcMar>
            <w:vAlign w:val="center"/>
          </w:tcPr>
          <w:p w14:paraId="322BF5D4" w14:textId="77777777" w:rsidR="001C56BD" w:rsidRPr="00F92667" w:rsidRDefault="001C56BD" w:rsidP="008A5C11">
            <w:pPr>
              <w:rPr>
                <w:sz w:val="12"/>
                <w:szCs w:val="12"/>
              </w:rPr>
            </w:pPr>
            <w:r w:rsidRPr="00F92667">
              <w:rPr>
                <w:color w:val="000000"/>
                <w:sz w:val="12"/>
                <w:szCs w:val="12"/>
              </w:rPr>
              <w:t>Реконструкция тепловой сети с реестровым номером</w:t>
            </w:r>
            <w:r w:rsidRPr="00F92667">
              <w:rPr>
                <w:sz w:val="12"/>
                <w:szCs w:val="12"/>
              </w:rPr>
              <w:t xml:space="preserve"> 773621</w:t>
            </w:r>
          </w:p>
        </w:tc>
        <w:tc>
          <w:tcPr>
            <w:tcW w:w="304" w:type="pct"/>
            <w:shd w:val="clear" w:color="000000" w:fill="FFFFFF"/>
            <w:tcMar>
              <w:left w:w="17" w:type="dxa"/>
              <w:right w:w="17" w:type="dxa"/>
            </w:tcMar>
            <w:vAlign w:val="center"/>
          </w:tcPr>
          <w:p w14:paraId="5B82918B" w14:textId="77777777" w:rsidR="001C56BD" w:rsidRPr="00F92667" w:rsidRDefault="001C56BD" w:rsidP="008A5C11">
            <w:pPr>
              <w:jc w:val="center"/>
              <w:rPr>
                <w:sz w:val="12"/>
                <w:szCs w:val="12"/>
              </w:rPr>
            </w:pPr>
            <w:r w:rsidRPr="00F92667">
              <w:rPr>
                <w:color w:val="000000"/>
                <w:sz w:val="12"/>
                <w:szCs w:val="12"/>
              </w:rPr>
              <w:t>Повышение надежности услуг теплоснабжения, повышение энергетической эффективности</w:t>
            </w:r>
          </w:p>
        </w:tc>
        <w:tc>
          <w:tcPr>
            <w:tcW w:w="258" w:type="pct"/>
            <w:shd w:val="clear" w:color="auto" w:fill="auto"/>
            <w:tcMar>
              <w:left w:w="17" w:type="dxa"/>
              <w:right w:w="17" w:type="dxa"/>
            </w:tcMar>
            <w:vAlign w:val="center"/>
          </w:tcPr>
          <w:p w14:paraId="3B165EEF" w14:textId="77777777" w:rsidR="001C56BD" w:rsidRPr="00F92667" w:rsidRDefault="001C56BD" w:rsidP="008A5C11">
            <w:pPr>
              <w:jc w:val="center"/>
              <w:rPr>
                <w:sz w:val="12"/>
                <w:szCs w:val="12"/>
              </w:rPr>
            </w:pPr>
            <w:r w:rsidRPr="00F92667">
              <w:rPr>
                <w:sz w:val="12"/>
                <w:szCs w:val="12"/>
              </w:rPr>
              <w:t>Кемеровский городской округ, Центральный район, 12м. восточнее жилого дома №90а по пр-ту Ленина</w:t>
            </w:r>
          </w:p>
        </w:tc>
        <w:tc>
          <w:tcPr>
            <w:tcW w:w="294" w:type="pct"/>
            <w:shd w:val="clear" w:color="auto" w:fill="auto"/>
            <w:tcMar>
              <w:left w:w="17" w:type="dxa"/>
              <w:right w:w="17" w:type="dxa"/>
            </w:tcMar>
            <w:vAlign w:val="center"/>
          </w:tcPr>
          <w:p w14:paraId="6444BDB4" w14:textId="77777777" w:rsidR="001C56BD" w:rsidRPr="00F92667" w:rsidRDefault="001C56BD" w:rsidP="008A5C11">
            <w:pPr>
              <w:jc w:val="center"/>
              <w:rPr>
                <w:sz w:val="12"/>
                <w:szCs w:val="12"/>
              </w:rPr>
            </w:pPr>
            <w:r w:rsidRPr="00F92667">
              <w:rPr>
                <w:color w:val="000000"/>
                <w:sz w:val="12"/>
                <w:szCs w:val="12"/>
              </w:rPr>
              <w:t>Технические характеристики</w:t>
            </w:r>
          </w:p>
        </w:tc>
        <w:tc>
          <w:tcPr>
            <w:tcW w:w="129" w:type="pct"/>
            <w:shd w:val="clear" w:color="auto" w:fill="auto"/>
            <w:tcMar>
              <w:left w:w="17" w:type="dxa"/>
              <w:right w:w="17" w:type="dxa"/>
            </w:tcMar>
            <w:vAlign w:val="center"/>
          </w:tcPr>
          <w:p w14:paraId="3C2E9C26" w14:textId="77777777" w:rsidR="001C56BD" w:rsidRPr="00F92667" w:rsidRDefault="001C56BD" w:rsidP="008A5C11">
            <w:pPr>
              <w:jc w:val="center"/>
              <w:rPr>
                <w:color w:val="000000"/>
                <w:sz w:val="12"/>
                <w:szCs w:val="12"/>
              </w:rPr>
            </w:pPr>
          </w:p>
        </w:tc>
        <w:tc>
          <w:tcPr>
            <w:tcW w:w="184" w:type="pct"/>
            <w:shd w:val="clear" w:color="auto" w:fill="auto"/>
            <w:tcMar>
              <w:left w:w="17" w:type="dxa"/>
              <w:right w:w="17" w:type="dxa"/>
            </w:tcMar>
            <w:vAlign w:val="center"/>
          </w:tcPr>
          <w:p w14:paraId="63293E03" w14:textId="77777777" w:rsidR="001C56BD" w:rsidRPr="00F92667" w:rsidRDefault="001C56BD" w:rsidP="008A5C11">
            <w:pPr>
              <w:jc w:val="center"/>
              <w:rPr>
                <w:sz w:val="12"/>
                <w:szCs w:val="12"/>
              </w:rPr>
            </w:pPr>
            <w:r w:rsidRPr="00F92667">
              <w:rPr>
                <w:sz w:val="12"/>
                <w:szCs w:val="12"/>
              </w:rPr>
              <w:t>Канал-ж/б лотки (непроходной канал),</w:t>
            </w:r>
            <w:r w:rsidRPr="00F92667">
              <w:rPr>
                <w:sz w:val="12"/>
                <w:szCs w:val="12"/>
              </w:rPr>
              <w:br/>
              <w:t xml:space="preserve">опоры приварные, запорная арматура-стальная клиновая, антикоррозийная защита-лак БТ, труба-сталь 20, изоляция-мин. маты.      </w:t>
            </w:r>
          </w:p>
        </w:tc>
        <w:tc>
          <w:tcPr>
            <w:tcW w:w="219" w:type="pct"/>
            <w:shd w:val="clear" w:color="auto" w:fill="auto"/>
            <w:tcMar>
              <w:left w:w="17" w:type="dxa"/>
              <w:right w:w="17" w:type="dxa"/>
            </w:tcMar>
            <w:vAlign w:val="center"/>
          </w:tcPr>
          <w:p w14:paraId="403CDB9F" w14:textId="77777777" w:rsidR="001C56BD" w:rsidRPr="00F92667" w:rsidRDefault="001C56BD" w:rsidP="008A5C11">
            <w:pPr>
              <w:jc w:val="center"/>
              <w:rPr>
                <w:sz w:val="12"/>
                <w:szCs w:val="12"/>
              </w:rPr>
            </w:pPr>
            <w:r w:rsidRPr="00F92667">
              <w:rPr>
                <w:sz w:val="12"/>
                <w:szCs w:val="12"/>
              </w:rPr>
              <w:t xml:space="preserve">Канал-ж/б лотки, опоры-хомутовые с диэлектрической прокладкой, запорная арматура - кран шаровый, антикоррозийная защита-мастика Вектор 1214, 1025, труба-сталь 09Г2С, изоляция - маты прошивные, </w:t>
            </w:r>
            <w:proofErr w:type="gramStart"/>
            <w:r w:rsidRPr="00F92667">
              <w:rPr>
                <w:sz w:val="12"/>
                <w:szCs w:val="12"/>
              </w:rPr>
              <w:t>стеклоплас-тик</w:t>
            </w:r>
            <w:proofErr w:type="gramEnd"/>
            <w:r w:rsidRPr="00F92667">
              <w:rPr>
                <w:sz w:val="12"/>
                <w:szCs w:val="12"/>
              </w:rPr>
              <w:t xml:space="preserve">  </w:t>
            </w:r>
          </w:p>
        </w:tc>
        <w:tc>
          <w:tcPr>
            <w:tcW w:w="130" w:type="pct"/>
            <w:shd w:val="clear" w:color="auto" w:fill="auto"/>
            <w:tcMar>
              <w:left w:w="17" w:type="dxa"/>
              <w:right w:w="17" w:type="dxa"/>
            </w:tcMar>
            <w:vAlign w:val="center"/>
          </w:tcPr>
          <w:p w14:paraId="79C23721" w14:textId="77777777" w:rsidR="001C56BD" w:rsidRPr="00F92667" w:rsidRDefault="001C56BD" w:rsidP="008A5C11">
            <w:pPr>
              <w:jc w:val="center"/>
              <w:rPr>
                <w:sz w:val="12"/>
                <w:szCs w:val="12"/>
              </w:rPr>
            </w:pPr>
            <w:r w:rsidRPr="00F92667">
              <w:rPr>
                <w:sz w:val="12"/>
                <w:szCs w:val="12"/>
              </w:rPr>
              <w:t>2029</w:t>
            </w:r>
          </w:p>
        </w:tc>
        <w:tc>
          <w:tcPr>
            <w:tcW w:w="130" w:type="pct"/>
            <w:shd w:val="clear" w:color="auto" w:fill="auto"/>
            <w:tcMar>
              <w:left w:w="17" w:type="dxa"/>
              <w:right w:w="17" w:type="dxa"/>
            </w:tcMar>
            <w:vAlign w:val="center"/>
          </w:tcPr>
          <w:p w14:paraId="2AC9DB0F" w14:textId="77777777" w:rsidR="001C56BD" w:rsidRPr="00F92667" w:rsidRDefault="001C56BD" w:rsidP="008A5C11">
            <w:pPr>
              <w:jc w:val="center"/>
              <w:rPr>
                <w:sz w:val="12"/>
                <w:szCs w:val="12"/>
              </w:rPr>
            </w:pPr>
            <w:r w:rsidRPr="00F92667">
              <w:rPr>
                <w:sz w:val="12"/>
                <w:szCs w:val="12"/>
              </w:rPr>
              <w:t>2030</w:t>
            </w:r>
          </w:p>
        </w:tc>
        <w:tc>
          <w:tcPr>
            <w:tcW w:w="217" w:type="pct"/>
            <w:gridSpan w:val="2"/>
            <w:shd w:val="clear" w:color="auto" w:fill="auto"/>
            <w:tcMar>
              <w:left w:w="17" w:type="dxa"/>
              <w:right w:w="17" w:type="dxa"/>
            </w:tcMar>
            <w:vAlign w:val="center"/>
          </w:tcPr>
          <w:p w14:paraId="1CE5A1D9" w14:textId="77777777" w:rsidR="001C56BD" w:rsidRPr="00F92667" w:rsidRDefault="001C56BD" w:rsidP="008A5C11">
            <w:pPr>
              <w:jc w:val="center"/>
              <w:rPr>
                <w:sz w:val="12"/>
                <w:szCs w:val="12"/>
              </w:rPr>
            </w:pPr>
            <w:r w:rsidRPr="00F92667">
              <w:rPr>
                <w:sz w:val="12"/>
                <w:szCs w:val="12"/>
              </w:rPr>
              <w:t>14213,952</w:t>
            </w:r>
          </w:p>
        </w:tc>
        <w:tc>
          <w:tcPr>
            <w:tcW w:w="177" w:type="pct"/>
            <w:gridSpan w:val="2"/>
            <w:shd w:val="clear" w:color="auto" w:fill="auto"/>
            <w:tcMar>
              <w:left w:w="17" w:type="dxa"/>
              <w:right w:w="17" w:type="dxa"/>
            </w:tcMar>
            <w:vAlign w:val="center"/>
          </w:tcPr>
          <w:p w14:paraId="307EBBAE" w14:textId="77777777" w:rsidR="001C56BD" w:rsidRPr="00F92667" w:rsidRDefault="001C56BD" w:rsidP="008A5C11">
            <w:pPr>
              <w:jc w:val="center"/>
              <w:rPr>
                <w:sz w:val="12"/>
                <w:szCs w:val="12"/>
              </w:rPr>
            </w:pPr>
            <w:r w:rsidRPr="00F92667">
              <w:rPr>
                <w:sz w:val="12"/>
                <w:szCs w:val="12"/>
              </w:rPr>
              <w:t>0,000</w:t>
            </w:r>
          </w:p>
        </w:tc>
        <w:tc>
          <w:tcPr>
            <w:tcW w:w="212" w:type="pct"/>
            <w:shd w:val="clear" w:color="auto" w:fill="auto"/>
            <w:tcMar>
              <w:left w:w="17" w:type="dxa"/>
              <w:right w:w="17" w:type="dxa"/>
            </w:tcMar>
            <w:vAlign w:val="center"/>
          </w:tcPr>
          <w:p w14:paraId="08F2BE62" w14:textId="77777777" w:rsidR="001C56BD" w:rsidRPr="00F92667" w:rsidRDefault="001C56BD" w:rsidP="008A5C11">
            <w:pPr>
              <w:jc w:val="center"/>
              <w:rPr>
                <w:sz w:val="12"/>
                <w:szCs w:val="12"/>
              </w:rPr>
            </w:pPr>
            <w:r w:rsidRPr="00F92667">
              <w:rPr>
                <w:sz w:val="12"/>
                <w:szCs w:val="12"/>
              </w:rPr>
              <w:t>0,000</w:t>
            </w:r>
          </w:p>
        </w:tc>
        <w:tc>
          <w:tcPr>
            <w:tcW w:w="218" w:type="pct"/>
            <w:gridSpan w:val="2"/>
            <w:shd w:val="clear" w:color="auto" w:fill="auto"/>
            <w:tcMar>
              <w:left w:w="17" w:type="dxa"/>
              <w:right w:w="17" w:type="dxa"/>
            </w:tcMar>
            <w:vAlign w:val="center"/>
          </w:tcPr>
          <w:p w14:paraId="637E639B"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02C01F62" w14:textId="77777777" w:rsidR="001C56BD" w:rsidRPr="00F92667" w:rsidRDefault="001C56BD" w:rsidP="008A5C11">
            <w:pPr>
              <w:jc w:val="center"/>
              <w:rPr>
                <w:sz w:val="12"/>
                <w:szCs w:val="12"/>
              </w:rPr>
            </w:pPr>
            <w:r w:rsidRPr="00F92667">
              <w:rPr>
                <w:sz w:val="12"/>
                <w:szCs w:val="12"/>
              </w:rPr>
              <w:t>0,000</w:t>
            </w:r>
          </w:p>
        </w:tc>
        <w:tc>
          <w:tcPr>
            <w:tcW w:w="206" w:type="pct"/>
            <w:gridSpan w:val="2"/>
            <w:shd w:val="clear" w:color="auto" w:fill="auto"/>
            <w:tcMar>
              <w:left w:w="17" w:type="dxa"/>
              <w:right w:w="17" w:type="dxa"/>
            </w:tcMar>
            <w:vAlign w:val="center"/>
          </w:tcPr>
          <w:p w14:paraId="1F809F90"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24760A31" w14:textId="77777777" w:rsidR="001C56BD" w:rsidRPr="00F92667" w:rsidRDefault="001C56BD" w:rsidP="008A5C11">
            <w:pPr>
              <w:jc w:val="center"/>
              <w:rPr>
                <w:sz w:val="12"/>
                <w:szCs w:val="12"/>
              </w:rPr>
            </w:pPr>
            <w:r w:rsidRPr="00F92667">
              <w:rPr>
                <w:sz w:val="12"/>
                <w:szCs w:val="12"/>
              </w:rPr>
              <w:t>0,000</w:t>
            </w:r>
          </w:p>
        </w:tc>
        <w:tc>
          <w:tcPr>
            <w:tcW w:w="214" w:type="pct"/>
            <w:gridSpan w:val="2"/>
            <w:shd w:val="clear" w:color="auto" w:fill="auto"/>
            <w:tcMar>
              <w:left w:w="17" w:type="dxa"/>
              <w:right w:w="17" w:type="dxa"/>
            </w:tcMar>
            <w:vAlign w:val="center"/>
          </w:tcPr>
          <w:p w14:paraId="5F71D117"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2C6F50A6"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4575BC5B" w14:textId="77777777" w:rsidR="001C56BD" w:rsidRPr="00F92667" w:rsidRDefault="001C56BD" w:rsidP="008A5C11">
            <w:pPr>
              <w:jc w:val="center"/>
              <w:rPr>
                <w:sz w:val="12"/>
                <w:szCs w:val="12"/>
              </w:rPr>
            </w:pPr>
            <w:r w:rsidRPr="00F92667">
              <w:rPr>
                <w:sz w:val="12"/>
                <w:szCs w:val="12"/>
              </w:rPr>
              <w:t>2802,036</w:t>
            </w:r>
          </w:p>
        </w:tc>
        <w:tc>
          <w:tcPr>
            <w:tcW w:w="214" w:type="pct"/>
            <w:gridSpan w:val="2"/>
            <w:shd w:val="clear" w:color="auto" w:fill="auto"/>
            <w:tcMar>
              <w:left w:w="17" w:type="dxa"/>
              <w:right w:w="17" w:type="dxa"/>
            </w:tcMar>
            <w:vAlign w:val="center"/>
          </w:tcPr>
          <w:p w14:paraId="50C7D6E9" w14:textId="77777777" w:rsidR="001C56BD" w:rsidRPr="00F92667" w:rsidRDefault="001C56BD" w:rsidP="008A5C11">
            <w:pPr>
              <w:jc w:val="center"/>
              <w:rPr>
                <w:sz w:val="12"/>
                <w:szCs w:val="12"/>
              </w:rPr>
            </w:pPr>
            <w:r w:rsidRPr="00F92667">
              <w:rPr>
                <w:sz w:val="12"/>
                <w:szCs w:val="12"/>
              </w:rPr>
              <w:t>11411,916</w:t>
            </w:r>
          </w:p>
        </w:tc>
        <w:tc>
          <w:tcPr>
            <w:tcW w:w="247" w:type="pct"/>
            <w:gridSpan w:val="2"/>
            <w:shd w:val="clear" w:color="auto" w:fill="auto"/>
            <w:tcMar>
              <w:left w:w="17" w:type="dxa"/>
              <w:right w:w="17" w:type="dxa"/>
            </w:tcMar>
            <w:vAlign w:val="center"/>
          </w:tcPr>
          <w:p w14:paraId="1D8C790C" w14:textId="77777777" w:rsidR="001C56BD" w:rsidRPr="00F92667" w:rsidRDefault="001C56BD" w:rsidP="008A5C11">
            <w:pPr>
              <w:jc w:val="center"/>
              <w:rPr>
                <w:sz w:val="12"/>
                <w:szCs w:val="12"/>
              </w:rPr>
            </w:pPr>
            <w:r w:rsidRPr="00F92667">
              <w:rPr>
                <w:sz w:val="12"/>
                <w:szCs w:val="12"/>
              </w:rPr>
              <w:t>0,000</w:t>
            </w:r>
          </w:p>
        </w:tc>
        <w:tc>
          <w:tcPr>
            <w:tcW w:w="173" w:type="pct"/>
            <w:shd w:val="clear" w:color="auto" w:fill="auto"/>
            <w:tcMar>
              <w:left w:w="17" w:type="dxa"/>
              <w:right w:w="17" w:type="dxa"/>
            </w:tcMar>
            <w:vAlign w:val="center"/>
          </w:tcPr>
          <w:p w14:paraId="310C7104" w14:textId="77777777" w:rsidR="001C56BD" w:rsidRPr="00F92667" w:rsidRDefault="001C56BD" w:rsidP="008A5C11">
            <w:pPr>
              <w:jc w:val="center"/>
              <w:rPr>
                <w:sz w:val="12"/>
                <w:szCs w:val="12"/>
              </w:rPr>
            </w:pPr>
            <w:r w:rsidRPr="00F92667">
              <w:rPr>
                <w:sz w:val="12"/>
                <w:szCs w:val="12"/>
              </w:rPr>
              <w:t>0,000</w:t>
            </w:r>
          </w:p>
        </w:tc>
        <w:tc>
          <w:tcPr>
            <w:tcW w:w="169" w:type="pct"/>
            <w:shd w:val="clear" w:color="auto" w:fill="auto"/>
            <w:tcMar>
              <w:left w:w="17" w:type="dxa"/>
              <w:right w:w="17" w:type="dxa"/>
            </w:tcMar>
            <w:vAlign w:val="center"/>
          </w:tcPr>
          <w:p w14:paraId="45586E02" w14:textId="77777777" w:rsidR="001C56BD" w:rsidRPr="00F92667" w:rsidRDefault="001C56BD" w:rsidP="008A5C11">
            <w:pPr>
              <w:jc w:val="center"/>
              <w:rPr>
                <w:sz w:val="12"/>
                <w:szCs w:val="12"/>
              </w:rPr>
            </w:pPr>
            <w:r w:rsidRPr="00F92667">
              <w:rPr>
                <w:sz w:val="12"/>
                <w:szCs w:val="12"/>
              </w:rPr>
              <w:t>0,000</w:t>
            </w:r>
          </w:p>
        </w:tc>
      </w:tr>
      <w:tr w:rsidR="001C56BD" w:rsidRPr="00F92667" w14:paraId="1F896EFA" w14:textId="77777777" w:rsidTr="008A5C11">
        <w:trPr>
          <w:gridBefore w:val="1"/>
          <w:wBefore w:w="3" w:type="pct"/>
          <w:trHeight w:val="897"/>
        </w:trPr>
        <w:tc>
          <w:tcPr>
            <w:tcW w:w="129" w:type="pct"/>
            <w:shd w:val="clear" w:color="auto" w:fill="auto"/>
            <w:tcMar>
              <w:left w:w="17" w:type="dxa"/>
              <w:right w:w="17" w:type="dxa"/>
            </w:tcMar>
            <w:vAlign w:val="center"/>
          </w:tcPr>
          <w:p w14:paraId="32E0B971" w14:textId="77777777" w:rsidR="001C56BD" w:rsidRPr="00F92667" w:rsidRDefault="001C56BD" w:rsidP="008A5C11">
            <w:pPr>
              <w:jc w:val="center"/>
              <w:rPr>
                <w:bCs/>
                <w:sz w:val="12"/>
                <w:szCs w:val="12"/>
              </w:rPr>
            </w:pPr>
            <w:r w:rsidRPr="00F92667">
              <w:rPr>
                <w:bCs/>
                <w:sz w:val="12"/>
                <w:szCs w:val="12"/>
              </w:rPr>
              <w:t>1</w:t>
            </w:r>
          </w:p>
        </w:tc>
        <w:tc>
          <w:tcPr>
            <w:tcW w:w="305" w:type="pct"/>
            <w:shd w:val="clear" w:color="auto" w:fill="auto"/>
            <w:tcMar>
              <w:left w:w="17" w:type="dxa"/>
              <w:right w:w="17" w:type="dxa"/>
            </w:tcMar>
            <w:vAlign w:val="center"/>
          </w:tcPr>
          <w:p w14:paraId="7236E3AA" w14:textId="77777777" w:rsidR="001C56BD" w:rsidRPr="00F92667" w:rsidRDefault="001C56BD" w:rsidP="008A5C11">
            <w:pPr>
              <w:jc w:val="center"/>
              <w:rPr>
                <w:bCs/>
                <w:sz w:val="12"/>
                <w:szCs w:val="12"/>
              </w:rPr>
            </w:pPr>
            <w:r w:rsidRPr="00F92667">
              <w:rPr>
                <w:bCs/>
                <w:sz w:val="12"/>
                <w:szCs w:val="12"/>
              </w:rPr>
              <w:t>2</w:t>
            </w:r>
          </w:p>
        </w:tc>
        <w:tc>
          <w:tcPr>
            <w:tcW w:w="304" w:type="pct"/>
            <w:shd w:val="clear" w:color="auto" w:fill="auto"/>
            <w:tcMar>
              <w:left w:w="17" w:type="dxa"/>
              <w:right w:w="17" w:type="dxa"/>
            </w:tcMar>
            <w:vAlign w:val="center"/>
          </w:tcPr>
          <w:p w14:paraId="3EC8D2C4" w14:textId="77777777" w:rsidR="001C56BD" w:rsidRPr="00F92667" w:rsidRDefault="001C56BD" w:rsidP="008A5C11">
            <w:pPr>
              <w:jc w:val="center"/>
              <w:rPr>
                <w:bCs/>
                <w:sz w:val="12"/>
                <w:szCs w:val="12"/>
              </w:rPr>
            </w:pPr>
            <w:r w:rsidRPr="00F92667">
              <w:rPr>
                <w:bCs/>
                <w:sz w:val="12"/>
                <w:szCs w:val="12"/>
              </w:rPr>
              <w:t>3</w:t>
            </w:r>
          </w:p>
        </w:tc>
        <w:tc>
          <w:tcPr>
            <w:tcW w:w="258" w:type="pct"/>
            <w:shd w:val="clear" w:color="auto" w:fill="auto"/>
            <w:tcMar>
              <w:left w:w="17" w:type="dxa"/>
              <w:right w:w="17" w:type="dxa"/>
            </w:tcMar>
            <w:vAlign w:val="center"/>
          </w:tcPr>
          <w:p w14:paraId="394A7328" w14:textId="77777777" w:rsidR="001C56BD" w:rsidRPr="00F92667" w:rsidRDefault="001C56BD" w:rsidP="008A5C11">
            <w:pPr>
              <w:jc w:val="center"/>
              <w:rPr>
                <w:bCs/>
                <w:sz w:val="12"/>
                <w:szCs w:val="12"/>
              </w:rPr>
            </w:pPr>
            <w:r w:rsidRPr="00F92667">
              <w:rPr>
                <w:bCs/>
                <w:sz w:val="12"/>
                <w:szCs w:val="12"/>
              </w:rPr>
              <w:t>4</w:t>
            </w:r>
          </w:p>
        </w:tc>
        <w:tc>
          <w:tcPr>
            <w:tcW w:w="294" w:type="pct"/>
            <w:shd w:val="clear" w:color="auto" w:fill="auto"/>
            <w:tcMar>
              <w:left w:w="17" w:type="dxa"/>
              <w:right w:w="17" w:type="dxa"/>
            </w:tcMar>
            <w:vAlign w:val="center"/>
          </w:tcPr>
          <w:p w14:paraId="7830AA15" w14:textId="77777777" w:rsidR="001C56BD" w:rsidRPr="00F92667" w:rsidRDefault="001C56BD" w:rsidP="008A5C11">
            <w:pPr>
              <w:jc w:val="center"/>
              <w:rPr>
                <w:bCs/>
                <w:sz w:val="12"/>
                <w:szCs w:val="12"/>
              </w:rPr>
            </w:pPr>
            <w:r w:rsidRPr="00F92667">
              <w:rPr>
                <w:bCs/>
                <w:sz w:val="12"/>
                <w:szCs w:val="12"/>
              </w:rPr>
              <w:t>5</w:t>
            </w:r>
          </w:p>
        </w:tc>
        <w:tc>
          <w:tcPr>
            <w:tcW w:w="129" w:type="pct"/>
            <w:shd w:val="clear" w:color="auto" w:fill="auto"/>
            <w:tcMar>
              <w:left w:w="17" w:type="dxa"/>
              <w:right w:w="17" w:type="dxa"/>
            </w:tcMar>
            <w:vAlign w:val="center"/>
          </w:tcPr>
          <w:p w14:paraId="7DF9DEB0" w14:textId="77777777" w:rsidR="001C56BD" w:rsidRPr="00F92667" w:rsidRDefault="001C56BD" w:rsidP="008A5C11">
            <w:pPr>
              <w:jc w:val="center"/>
              <w:rPr>
                <w:bCs/>
                <w:sz w:val="12"/>
                <w:szCs w:val="12"/>
              </w:rPr>
            </w:pPr>
            <w:r w:rsidRPr="00F92667">
              <w:rPr>
                <w:bCs/>
                <w:sz w:val="12"/>
                <w:szCs w:val="12"/>
              </w:rPr>
              <w:t>6</w:t>
            </w:r>
          </w:p>
        </w:tc>
        <w:tc>
          <w:tcPr>
            <w:tcW w:w="184" w:type="pct"/>
            <w:shd w:val="clear" w:color="auto" w:fill="auto"/>
            <w:tcMar>
              <w:left w:w="17" w:type="dxa"/>
              <w:right w:w="17" w:type="dxa"/>
            </w:tcMar>
            <w:vAlign w:val="center"/>
          </w:tcPr>
          <w:p w14:paraId="75E0F7E7" w14:textId="77777777" w:rsidR="001C56BD" w:rsidRPr="00F92667" w:rsidRDefault="001C56BD" w:rsidP="008A5C11">
            <w:pPr>
              <w:jc w:val="center"/>
              <w:rPr>
                <w:bCs/>
                <w:sz w:val="12"/>
                <w:szCs w:val="12"/>
              </w:rPr>
            </w:pPr>
            <w:r w:rsidRPr="00F92667">
              <w:rPr>
                <w:bCs/>
                <w:sz w:val="12"/>
                <w:szCs w:val="12"/>
              </w:rPr>
              <w:t>7</w:t>
            </w:r>
          </w:p>
        </w:tc>
        <w:tc>
          <w:tcPr>
            <w:tcW w:w="219" w:type="pct"/>
            <w:shd w:val="clear" w:color="auto" w:fill="auto"/>
            <w:tcMar>
              <w:left w:w="17" w:type="dxa"/>
              <w:right w:w="17" w:type="dxa"/>
            </w:tcMar>
            <w:vAlign w:val="center"/>
          </w:tcPr>
          <w:p w14:paraId="52933D65" w14:textId="77777777" w:rsidR="001C56BD" w:rsidRPr="00F92667" w:rsidRDefault="001C56BD" w:rsidP="008A5C11">
            <w:pPr>
              <w:jc w:val="center"/>
              <w:rPr>
                <w:bCs/>
                <w:sz w:val="12"/>
                <w:szCs w:val="12"/>
              </w:rPr>
            </w:pPr>
            <w:r w:rsidRPr="00F92667">
              <w:rPr>
                <w:bCs/>
                <w:sz w:val="12"/>
                <w:szCs w:val="12"/>
              </w:rPr>
              <w:t>8</w:t>
            </w:r>
          </w:p>
        </w:tc>
        <w:tc>
          <w:tcPr>
            <w:tcW w:w="130" w:type="pct"/>
            <w:shd w:val="clear" w:color="auto" w:fill="auto"/>
            <w:tcMar>
              <w:left w:w="17" w:type="dxa"/>
              <w:right w:w="17" w:type="dxa"/>
            </w:tcMar>
            <w:vAlign w:val="center"/>
          </w:tcPr>
          <w:p w14:paraId="75A73BDB" w14:textId="77777777" w:rsidR="001C56BD" w:rsidRPr="00F92667" w:rsidRDefault="001C56BD" w:rsidP="008A5C11">
            <w:pPr>
              <w:jc w:val="center"/>
              <w:rPr>
                <w:bCs/>
                <w:sz w:val="12"/>
                <w:szCs w:val="12"/>
              </w:rPr>
            </w:pPr>
            <w:r w:rsidRPr="00F92667">
              <w:rPr>
                <w:bCs/>
                <w:sz w:val="12"/>
                <w:szCs w:val="12"/>
              </w:rPr>
              <w:t>9</w:t>
            </w:r>
          </w:p>
        </w:tc>
        <w:tc>
          <w:tcPr>
            <w:tcW w:w="130" w:type="pct"/>
            <w:shd w:val="clear" w:color="auto" w:fill="auto"/>
            <w:tcMar>
              <w:left w:w="17" w:type="dxa"/>
              <w:right w:w="17" w:type="dxa"/>
            </w:tcMar>
            <w:vAlign w:val="center"/>
          </w:tcPr>
          <w:p w14:paraId="2BB03D8A" w14:textId="77777777" w:rsidR="001C56BD" w:rsidRPr="00F92667" w:rsidRDefault="001C56BD" w:rsidP="008A5C11">
            <w:pPr>
              <w:jc w:val="center"/>
              <w:rPr>
                <w:bCs/>
                <w:sz w:val="12"/>
                <w:szCs w:val="12"/>
              </w:rPr>
            </w:pPr>
            <w:r w:rsidRPr="00F92667">
              <w:rPr>
                <w:bCs/>
                <w:sz w:val="12"/>
                <w:szCs w:val="12"/>
              </w:rPr>
              <w:t>10</w:t>
            </w:r>
          </w:p>
        </w:tc>
        <w:tc>
          <w:tcPr>
            <w:tcW w:w="217" w:type="pct"/>
            <w:gridSpan w:val="2"/>
            <w:shd w:val="clear" w:color="auto" w:fill="auto"/>
            <w:tcMar>
              <w:left w:w="17" w:type="dxa"/>
              <w:right w:w="17" w:type="dxa"/>
            </w:tcMar>
            <w:vAlign w:val="center"/>
          </w:tcPr>
          <w:p w14:paraId="2335B013" w14:textId="77777777" w:rsidR="001C56BD" w:rsidRPr="00F92667" w:rsidRDefault="001C56BD" w:rsidP="008A5C11">
            <w:pPr>
              <w:jc w:val="center"/>
              <w:rPr>
                <w:bCs/>
                <w:sz w:val="12"/>
                <w:szCs w:val="12"/>
              </w:rPr>
            </w:pPr>
            <w:r w:rsidRPr="00F92667">
              <w:rPr>
                <w:bCs/>
                <w:sz w:val="12"/>
                <w:szCs w:val="12"/>
              </w:rPr>
              <w:t>11</w:t>
            </w:r>
          </w:p>
        </w:tc>
        <w:tc>
          <w:tcPr>
            <w:tcW w:w="177" w:type="pct"/>
            <w:gridSpan w:val="2"/>
            <w:shd w:val="clear" w:color="auto" w:fill="auto"/>
            <w:tcMar>
              <w:left w:w="17" w:type="dxa"/>
              <w:right w:w="17" w:type="dxa"/>
            </w:tcMar>
            <w:vAlign w:val="center"/>
          </w:tcPr>
          <w:p w14:paraId="5DB093AE" w14:textId="77777777" w:rsidR="001C56BD" w:rsidRPr="00F92667" w:rsidRDefault="001C56BD" w:rsidP="008A5C11">
            <w:pPr>
              <w:jc w:val="center"/>
              <w:rPr>
                <w:bCs/>
                <w:sz w:val="12"/>
                <w:szCs w:val="12"/>
              </w:rPr>
            </w:pPr>
            <w:r w:rsidRPr="00F92667">
              <w:rPr>
                <w:bCs/>
                <w:sz w:val="12"/>
                <w:szCs w:val="12"/>
              </w:rPr>
              <w:t>12</w:t>
            </w:r>
          </w:p>
        </w:tc>
        <w:tc>
          <w:tcPr>
            <w:tcW w:w="212" w:type="pct"/>
            <w:shd w:val="clear" w:color="auto" w:fill="auto"/>
            <w:tcMar>
              <w:left w:w="17" w:type="dxa"/>
              <w:right w:w="17" w:type="dxa"/>
            </w:tcMar>
            <w:vAlign w:val="center"/>
          </w:tcPr>
          <w:p w14:paraId="5A1E5EB0" w14:textId="77777777" w:rsidR="001C56BD" w:rsidRPr="00F92667" w:rsidRDefault="001C56BD" w:rsidP="008A5C11">
            <w:pPr>
              <w:jc w:val="center"/>
              <w:rPr>
                <w:bCs/>
                <w:sz w:val="12"/>
                <w:szCs w:val="12"/>
              </w:rPr>
            </w:pPr>
            <w:r w:rsidRPr="00F92667">
              <w:rPr>
                <w:bCs/>
                <w:sz w:val="12"/>
                <w:szCs w:val="12"/>
              </w:rPr>
              <w:t>13</w:t>
            </w:r>
          </w:p>
        </w:tc>
        <w:tc>
          <w:tcPr>
            <w:tcW w:w="218" w:type="pct"/>
            <w:gridSpan w:val="2"/>
            <w:shd w:val="clear" w:color="auto" w:fill="auto"/>
            <w:tcMar>
              <w:left w:w="17" w:type="dxa"/>
              <w:right w:w="17" w:type="dxa"/>
            </w:tcMar>
            <w:vAlign w:val="center"/>
          </w:tcPr>
          <w:p w14:paraId="5A237607" w14:textId="77777777" w:rsidR="001C56BD" w:rsidRPr="00F92667" w:rsidRDefault="001C56BD" w:rsidP="008A5C11">
            <w:pPr>
              <w:jc w:val="center"/>
              <w:rPr>
                <w:bCs/>
                <w:sz w:val="12"/>
                <w:szCs w:val="12"/>
              </w:rPr>
            </w:pPr>
            <w:r w:rsidRPr="00F92667">
              <w:rPr>
                <w:bCs/>
                <w:sz w:val="12"/>
                <w:szCs w:val="12"/>
              </w:rPr>
              <w:t>14</w:t>
            </w:r>
          </w:p>
        </w:tc>
        <w:tc>
          <w:tcPr>
            <w:tcW w:w="217" w:type="pct"/>
            <w:gridSpan w:val="2"/>
            <w:shd w:val="clear" w:color="auto" w:fill="auto"/>
            <w:tcMar>
              <w:left w:w="17" w:type="dxa"/>
              <w:right w:w="17" w:type="dxa"/>
            </w:tcMar>
            <w:vAlign w:val="center"/>
          </w:tcPr>
          <w:p w14:paraId="1D73E08F" w14:textId="77777777" w:rsidR="001C56BD" w:rsidRPr="00F92667" w:rsidRDefault="001C56BD" w:rsidP="008A5C11">
            <w:pPr>
              <w:jc w:val="center"/>
              <w:rPr>
                <w:bCs/>
                <w:sz w:val="12"/>
                <w:szCs w:val="12"/>
              </w:rPr>
            </w:pPr>
            <w:r w:rsidRPr="00F92667">
              <w:rPr>
                <w:bCs/>
                <w:sz w:val="12"/>
                <w:szCs w:val="12"/>
              </w:rPr>
              <w:t>15</w:t>
            </w:r>
          </w:p>
        </w:tc>
        <w:tc>
          <w:tcPr>
            <w:tcW w:w="206" w:type="pct"/>
            <w:gridSpan w:val="2"/>
            <w:tcMar>
              <w:left w:w="17" w:type="dxa"/>
              <w:right w:w="17" w:type="dxa"/>
            </w:tcMar>
            <w:vAlign w:val="center"/>
          </w:tcPr>
          <w:p w14:paraId="017A84A7" w14:textId="77777777" w:rsidR="001C56BD" w:rsidRPr="00F92667" w:rsidRDefault="001C56BD" w:rsidP="008A5C11">
            <w:pPr>
              <w:jc w:val="center"/>
              <w:rPr>
                <w:bCs/>
                <w:sz w:val="12"/>
                <w:szCs w:val="12"/>
              </w:rPr>
            </w:pPr>
            <w:r w:rsidRPr="00F92667">
              <w:rPr>
                <w:bCs/>
                <w:sz w:val="12"/>
                <w:szCs w:val="12"/>
              </w:rPr>
              <w:t>16</w:t>
            </w:r>
          </w:p>
        </w:tc>
        <w:tc>
          <w:tcPr>
            <w:tcW w:w="217" w:type="pct"/>
            <w:gridSpan w:val="2"/>
            <w:tcMar>
              <w:left w:w="17" w:type="dxa"/>
              <w:right w:w="17" w:type="dxa"/>
            </w:tcMar>
            <w:vAlign w:val="center"/>
          </w:tcPr>
          <w:p w14:paraId="543F9EB5" w14:textId="77777777" w:rsidR="001C56BD" w:rsidRPr="00F92667" w:rsidRDefault="001C56BD" w:rsidP="008A5C11">
            <w:pPr>
              <w:jc w:val="center"/>
              <w:rPr>
                <w:bCs/>
                <w:sz w:val="12"/>
                <w:szCs w:val="12"/>
              </w:rPr>
            </w:pPr>
            <w:r w:rsidRPr="00F92667">
              <w:rPr>
                <w:bCs/>
                <w:sz w:val="12"/>
                <w:szCs w:val="12"/>
              </w:rPr>
              <w:t>17</w:t>
            </w:r>
          </w:p>
        </w:tc>
        <w:tc>
          <w:tcPr>
            <w:tcW w:w="214" w:type="pct"/>
            <w:gridSpan w:val="2"/>
            <w:tcMar>
              <w:left w:w="17" w:type="dxa"/>
              <w:right w:w="17" w:type="dxa"/>
            </w:tcMar>
            <w:vAlign w:val="center"/>
          </w:tcPr>
          <w:p w14:paraId="27B86DC2" w14:textId="77777777" w:rsidR="001C56BD" w:rsidRPr="00F92667" w:rsidRDefault="001C56BD" w:rsidP="008A5C11">
            <w:pPr>
              <w:jc w:val="center"/>
              <w:rPr>
                <w:bCs/>
                <w:sz w:val="12"/>
                <w:szCs w:val="12"/>
              </w:rPr>
            </w:pPr>
            <w:r w:rsidRPr="00F92667">
              <w:rPr>
                <w:bCs/>
                <w:sz w:val="12"/>
                <w:szCs w:val="12"/>
              </w:rPr>
              <w:t>18</w:t>
            </w:r>
          </w:p>
        </w:tc>
        <w:tc>
          <w:tcPr>
            <w:tcW w:w="217" w:type="pct"/>
            <w:gridSpan w:val="2"/>
            <w:tcMar>
              <w:left w:w="17" w:type="dxa"/>
              <w:right w:w="17" w:type="dxa"/>
            </w:tcMar>
            <w:vAlign w:val="center"/>
          </w:tcPr>
          <w:p w14:paraId="69576EE9" w14:textId="77777777" w:rsidR="001C56BD" w:rsidRPr="00F92667" w:rsidRDefault="001C56BD" w:rsidP="008A5C11">
            <w:pPr>
              <w:jc w:val="center"/>
              <w:rPr>
                <w:bCs/>
                <w:sz w:val="12"/>
                <w:szCs w:val="12"/>
              </w:rPr>
            </w:pPr>
            <w:r w:rsidRPr="00F92667">
              <w:rPr>
                <w:bCs/>
                <w:sz w:val="12"/>
                <w:szCs w:val="12"/>
              </w:rPr>
              <w:t>19</w:t>
            </w:r>
          </w:p>
        </w:tc>
        <w:tc>
          <w:tcPr>
            <w:tcW w:w="217" w:type="pct"/>
            <w:gridSpan w:val="2"/>
            <w:tcMar>
              <w:left w:w="17" w:type="dxa"/>
              <w:right w:w="17" w:type="dxa"/>
            </w:tcMar>
            <w:vAlign w:val="center"/>
          </w:tcPr>
          <w:p w14:paraId="5A46CCC4" w14:textId="77777777" w:rsidR="001C56BD" w:rsidRPr="00F92667" w:rsidRDefault="001C56BD" w:rsidP="008A5C11">
            <w:pPr>
              <w:jc w:val="center"/>
              <w:rPr>
                <w:bCs/>
                <w:sz w:val="12"/>
                <w:szCs w:val="12"/>
              </w:rPr>
            </w:pPr>
            <w:r w:rsidRPr="00F92667">
              <w:rPr>
                <w:bCs/>
                <w:sz w:val="12"/>
                <w:szCs w:val="12"/>
              </w:rPr>
              <w:t>20</w:t>
            </w:r>
          </w:p>
        </w:tc>
        <w:tc>
          <w:tcPr>
            <w:tcW w:w="214" w:type="pct"/>
            <w:gridSpan w:val="2"/>
            <w:tcMar>
              <w:left w:w="17" w:type="dxa"/>
              <w:right w:w="17" w:type="dxa"/>
            </w:tcMar>
            <w:vAlign w:val="center"/>
          </w:tcPr>
          <w:p w14:paraId="692A5929" w14:textId="77777777" w:rsidR="001C56BD" w:rsidRPr="00F92667" w:rsidRDefault="001C56BD" w:rsidP="008A5C11">
            <w:pPr>
              <w:jc w:val="center"/>
              <w:rPr>
                <w:bCs/>
                <w:sz w:val="12"/>
                <w:szCs w:val="12"/>
              </w:rPr>
            </w:pPr>
            <w:r w:rsidRPr="00F92667">
              <w:rPr>
                <w:bCs/>
                <w:sz w:val="12"/>
                <w:szCs w:val="12"/>
              </w:rPr>
              <w:t>21</w:t>
            </w:r>
          </w:p>
        </w:tc>
        <w:tc>
          <w:tcPr>
            <w:tcW w:w="247" w:type="pct"/>
            <w:gridSpan w:val="2"/>
            <w:tcMar>
              <w:left w:w="17" w:type="dxa"/>
              <w:right w:w="17" w:type="dxa"/>
            </w:tcMar>
            <w:vAlign w:val="center"/>
          </w:tcPr>
          <w:p w14:paraId="18AB718F" w14:textId="77777777" w:rsidR="001C56BD" w:rsidRPr="00F92667" w:rsidRDefault="001C56BD" w:rsidP="008A5C11">
            <w:pPr>
              <w:jc w:val="center"/>
              <w:rPr>
                <w:bCs/>
                <w:sz w:val="12"/>
                <w:szCs w:val="12"/>
              </w:rPr>
            </w:pPr>
            <w:r w:rsidRPr="00F92667">
              <w:rPr>
                <w:bCs/>
                <w:sz w:val="12"/>
                <w:szCs w:val="12"/>
              </w:rPr>
              <w:t>22</w:t>
            </w:r>
          </w:p>
        </w:tc>
        <w:tc>
          <w:tcPr>
            <w:tcW w:w="173" w:type="pct"/>
            <w:tcMar>
              <w:left w:w="17" w:type="dxa"/>
              <w:right w:w="17" w:type="dxa"/>
            </w:tcMar>
            <w:vAlign w:val="center"/>
          </w:tcPr>
          <w:p w14:paraId="04303180" w14:textId="77777777" w:rsidR="001C56BD" w:rsidRPr="00F92667" w:rsidRDefault="001C56BD" w:rsidP="008A5C11">
            <w:pPr>
              <w:jc w:val="center"/>
              <w:rPr>
                <w:bCs/>
                <w:sz w:val="12"/>
                <w:szCs w:val="12"/>
              </w:rPr>
            </w:pPr>
            <w:r w:rsidRPr="00F92667">
              <w:rPr>
                <w:bCs/>
                <w:sz w:val="12"/>
                <w:szCs w:val="12"/>
              </w:rPr>
              <w:t>23</w:t>
            </w:r>
          </w:p>
        </w:tc>
        <w:tc>
          <w:tcPr>
            <w:tcW w:w="169" w:type="pct"/>
            <w:tcMar>
              <w:left w:w="17" w:type="dxa"/>
              <w:right w:w="17" w:type="dxa"/>
            </w:tcMar>
            <w:vAlign w:val="center"/>
          </w:tcPr>
          <w:p w14:paraId="47E7B7F8" w14:textId="77777777" w:rsidR="001C56BD" w:rsidRPr="00F92667" w:rsidRDefault="001C56BD" w:rsidP="008A5C11">
            <w:pPr>
              <w:jc w:val="center"/>
              <w:rPr>
                <w:bCs/>
                <w:sz w:val="12"/>
                <w:szCs w:val="12"/>
              </w:rPr>
            </w:pPr>
            <w:r w:rsidRPr="00F92667">
              <w:rPr>
                <w:bCs/>
                <w:sz w:val="12"/>
                <w:szCs w:val="12"/>
              </w:rPr>
              <w:t>24</w:t>
            </w:r>
          </w:p>
        </w:tc>
      </w:tr>
      <w:tr w:rsidR="001C56BD" w:rsidRPr="00F92667" w14:paraId="13AECBB8" w14:textId="77777777" w:rsidTr="008A5C11">
        <w:trPr>
          <w:gridBefore w:val="1"/>
          <w:wBefore w:w="3" w:type="pct"/>
          <w:trHeight w:val="897"/>
        </w:trPr>
        <w:tc>
          <w:tcPr>
            <w:tcW w:w="129" w:type="pct"/>
            <w:shd w:val="clear" w:color="auto" w:fill="auto"/>
            <w:tcMar>
              <w:left w:w="17" w:type="dxa"/>
              <w:right w:w="17" w:type="dxa"/>
            </w:tcMar>
            <w:vAlign w:val="center"/>
          </w:tcPr>
          <w:p w14:paraId="7673240A" w14:textId="77777777" w:rsidR="001C56BD" w:rsidRPr="00F92667" w:rsidRDefault="001C56BD" w:rsidP="008A5C11">
            <w:pPr>
              <w:jc w:val="center"/>
              <w:rPr>
                <w:sz w:val="12"/>
                <w:szCs w:val="12"/>
              </w:rPr>
            </w:pPr>
            <w:r w:rsidRPr="00F92667">
              <w:rPr>
                <w:sz w:val="12"/>
                <w:szCs w:val="12"/>
              </w:rPr>
              <w:t>3.1.41.</w:t>
            </w:r>
          </w:p>
        </w:tc>
        <w:tc>
          <w:tcPr>
            <w:tcW w:w="305" w:type="pct"/>
            <w:shd w:val="clear" w:color="auto" w:fill="auto"/>
            <w:tcMar>
              <w:left w:w="17" w:type="dxa"/>
              <w:right w:w="17" w:type="dxa"/>
            </w:tcMar>
            <w:vAlign w:val="center"/>
          </w:tcPr>
          <w:p w14:paraId="3A3A8ED1" w14:textId="77777777" w:rsidR="001C56BD" w:rsidRPr="00F92667" w:rsidRDefault="001C56BD" w:rsidP="008A5C11">
            <w:pPr>
              <w:rPr>
                <w:sz w:val="12"/>
                <w:szCs w:val="12"/>
              </w:rPr>
            </w:pPr>
            <w:r w:rsidRPr="00F92667">
              <w:rPr>
                <w:color w:val="000000"/>
                <w:sz w:val="12"/>
                <w:szCs w:val="12"/>
              </w:rPr>
              <w:t>Реконструкция тепловой сети с реестровым номером</w:t>
            </w:r>
            <w:r w:rsidRPr="00F92667">
              <w:rPr>
                <w:sz w:val="12"/>
                <w:szCs w:val="12"/>
              </w:rPr>
              <w:t xml:space="preserve"> 773641</w:t>
            </w:r>
          </w:p>
        </w:tc>
        <w:tc>
          <w:tcPr>
            <w:tcW w:w="304" w:type="pct"/>
            <w:shd w:val="clear" w:color="000000" w:fill="FFFFFF"/>
            <w:tcMar>
              <w:left w:w="17" w:type="dxa"/>
              <w:right w:w="17" w:type="dxa"/>
            </w:tcMar>
            <w:vAlign w:val="center"/>
          </w:tcPr>
          <w:p w14:paraId="7385B313" w14:textId="77777777" w:rsidR="001C56BD" w:rsidRPr="00F92667" w:rsidRDefault="001C56BD" w:rsidP="008A5C11">
            <w:pPr>
              <w:jc w:val="center"/>
              <w:rPr>
                <w:sz w:val="12"/>
                <w:szCs w:val="12"/>
              </w:rPr>
            </w:pPr>
            <w:r w:rsidRPr="00F92667">
              <w:rPr>
                <w:color w:val="000000"/>
                <w:sz w:val="12"/>
                <w:szCs w:val="12"/>
              </w:rPr>
              <w:t>Повышение надежности услуг теплоснабжения, повышение энергетической эффективности</w:t>
            </w:r>
          </w:p>
        </w:tc>
        <w:tc>
          <w:tcPr>
            <w:tcW w:w="258" w:type="pct"/>
            <w:shd w:val="clear" w:color="auto" w:fill="auto"/>
            <w:tcMar>
              <w:left w:w="17" w:type="dxa"/>
              <w:right w:w="17" w:type="dxa"/>
            </w:tcMar>
            <w:vAlign w:val="center"/>
          </w:tcPr>
          <w:p w14:paraId="6B33E738" w14:textId="77777777" w:rsidR="001C56BD" w:rsidRPr="00F92667" w:rsidRDefault="001C56BD" w:rsidP="008A5C11">
            <w:pPr>
              <w:jc w:val="center"/>
              <w:rPr>
                <w:sz w:val="12"/>
                <w:szCs w:val="12"/>
              </w:rPr>
            </w:pPr>
            <w:r w:rsidRPr="00F92667">
              <w:rPr>
                <w:sz w:val="12"/>
                <w:szCs w:val="12"/>
              </w:rPr>
              <w:t>Кемеровский городской округ, Центральный район, 40м. севернее жилого дома №73 по проспекту Ленина</w:t>
            </w:r>
          </w:p>
        </w:tc>
        <w:tc>
          <w:tcPr>
            <w:tcW w:w="294" w:type="pct"/>
            <w:shd w:val="clear" w:color="auto" w:fill="auto"/>
            <w:tcMar>
              <w:left w:w="17" w:type="dxa"/>
              <w:right w:w="17" w:type="dxa"/>
            </w:tcMar>
            <w:vAlign w:val="center"/>
          </w:tcPr>
          <w:p w14:paraId="413A5158" w14:textId="77777777" w:rsidR="001C56BD" w:rsidRPr="00F92667" w:rsidRDefault="001C56BD" w:rsidP="008A5C11">
            <w:pPr>
              <w:jc w:val="center"/>
              <w:rPr>
                <w:sz w:val="12"/>
                <w:szCs w:val="12"/>
              </w:rPr>
            </w:pPr>
            <w:r w:rsidRPr="00F92667">
              <w:rPr>
                <w:color w:val="000000"/>
                <w:sz w:val="12"/>
                <w:szCs w:val="12"/>
              </w:rPr>
              <w:t>Технические характеристики</w:t>
            </w:r>
          </w:p>
        </w:tc>
        <w:tc>
          <w:tcPr>
            <w:tcW w:w="129" w:type="pct"/>
            <w:shd w:val="clear" w:color="auto" w:fill="auto"/>
            <w:tcMar>
              <w:left w:w="17" w:type="dxa"/>
              <w:right w:w="17" w:type="dxa"/>
            </w:tcMar>
            <w:vAlign w:val="center"/>
          </w:tcPr>
          <w:p w14:paraId="754F7C80" w14:textId="77777777" w:rsidR="001C56BD" w:rsidRPr="00F92667" w:rsidRDefault="001C56BD" w:rsidP="008A5C11">
            <w:pPr>
              <w:jc w:val="center"/>
              <w:rPr>
                <w:color w:val="000000"/>
                <w:sz w:val="12"/>
                <w:szCs w:val="12"/>
              </w:rPr>
            </w:pPr>
          </w:p>
        </w:tc>
        <w:tc>
          <w:tcPr>
            <w:tcW w:w="184" w:type="pct"/>
            <w:shd w:val="clear" w:color="auto" w:fill="auto"/>
            <w:tcMar>
              <w:left w:w="17" w:type="dxa"/>
              <w:right w:w="17" w:type="dxa"/>
            </w:tcMar>
            <w:vAlign w:val="center"/>
          </w:tcPr>
          <w:p w14:paraId="05682B0C" w14:textId="77777777" w:rsidR="001C56BD" w:rsidRPr="00F92667" w:rsidRDefault="001C56BD" w:rsidP="008A5C11">
            <w:pPr>
              <w:jc w:val="center"/>
              <w:rPr>
                <w:sz w:val="12"/>
                <w:szCs w:val="12"/>
              </w:rPr>
            </w:pPr>
            <w:r w:rsidRPr="00F92667">
              <w:rPr>
                <w:sz w:val="12"/>
                <w:szCs w:val="12"/>
              </w:rPr>
              <w:t>Канал-ж/б лотки (непроходной канал),</w:t>
            </w:r>
            <w:r w:rsidRPr="00F92667">
              <w:rPr>
                <w:sz w:val="12"/>
                <w:szCs w:val="12"/>
              </w:rPr>
              <w:br/>
              <w:t xml:space="preserve">опоры приварные, запорная арматура-стальная клиновая, антикоррозийная защита-лак БТ, труба-сталь 20, изоляция-мин. маты.       </w:t>
            </w:r>
          </w:p>
        </w:tc>
        <w:tc>
          <w:tcPr>
            <w:tcW w:w="219" w:type="pct"/>
            <w:shd w:val="clear" w:color="auto" w:fill="auto"/>
            <w:tcMar>
              <w:left w:w="17" w:type="dxa"/>
              <w:right w:w="17" w:type="dxa"/>
            </w:tcMar>
            <w:vAlign w:val="center"/>
          </w:tcPr>
          <w:p w14:paraId="0848183F" w14:textId="77777777" w:rsidR="001C56BD" w:rsidRPr="00F92667" w:rsidRDefault="001C56BD" w:rsidP="008A5C11">
            <w:pPr>
              <w:jc w:val="center"/>
              <w:rPr>
                <w:sz w:val="12"/>
                <w:szCs w:val="12"/>
              </w:rPr>
            </w:pPr>
            <w:r w:rsidRPr="00F92667">
              <w:rPr>
                <w:sz w:val="12"/>
                <w:szCs w:val="12"/>
              </w:rPr>
              <w:t xml:space="preserve">Канал-ж/б лотки (непроходной канал), опоры- хомутовые с диэлектрической прокладкой, запорная арматура-кран шаровый, антикоррозийная защита-мастика Вектор 1214, 1025, труба-сталь 09Г2С, изоляция- маты </w:t>
            </w:r>
            <w:proofErr w:type="gramStart"/>
            <w:r w:rsidRPr="00F92667">
              <w:rPr>
                <w:sz w:val="12"/>
                <w:szCs w:val="12"/>
              </w:rPr>
              <w:t>прошивные,стеклоплас</w:t>
            </w:r>
            <w:proofErr w:type="gramEnd"/>
            <w:r w:rsidRPr="00F92667">
              <w:rPr>
                <w:sz w:val="12"/>
                <w:szCs w:val="12"/>
              </w:rPr>
              <w:t>-тик.</w:t>
            </w:r>
          </w:p>
        </w:tc>
        <w:tc>
          <w:tcPr>
            <w:tcW w:w="130" w:type="pct"/>
            <w:shd w:val="clear" w:color="auto" w:fill="auto"/>
            <w:tcMar>
              <w:left w:w="17" w:type="dxa"/>
              <w:right w:w="17" w:type="dxa"/>
            </w:tcMar>
            <w:vAlign w:val="center"/>
          </w:tcPr>
          <w:p w14:paraId="50D6D4CB" w14:textId="77777777" w:rsidR="001C56BD" w:rsidRPr="00F92667" w:rsidRDefault="001C56BD" w:rsidP="008A5C11">
            <w:pPr>
              <w:jc w:val="center"/>
              <w:rPr>
                <w:sz w:val="12"/>
                <w:szCs w:val="12"/>
              </w:rPr>
            </w:pPr>
            <w:r w:rsidRPr="00F92667">
              <w:rPr>
                <w:sz w:val="12"/>
                <w:szCs w:val="12"/>
              </w:rPr>
              <w:t>2026</w:t>
            </w:r>
          </w:p>
        </w:tc>
        <w:tc>
          <w:tcPr>
            <w:tcW w:w="130" w:type="pct"/>
            <w:shd w:val="clear" w:color="auto" w:fill="auto"/>
            <w:tcMar>
              <w:left w:w="17" w:type="dxa"/>
              <w:right w:w="17" w:type="dxa"/>
            </w:tcMar>
            <w:vAlign w:val="center"/>
          </w:tcPr>
          <w:p w14:paraId="5CAE5A84" w14:textId="77777777" w:rsidR="001C56BD" w:rsidRPr="00F92667" w:rsidRDefault="001C56BD" w:rsidP="008A5C11">
            <w:pPr>
              <w:jc w:val="center"/>
              <w:rPr>
                <w:sz w:val="12"/>
                <w:szCs w:val="12"/>
              </w:rPr>
            </w:pPr>
            <w:r w:rsidRPr="00F92667">
              <w:rPr>
                <w:sz w:val="12"/>
                <w:szCs w:val="12"/>
              </w:rPr>
              <w:t>2031</w:t>
            </w:r>
          </w:p>
        </w:tc>
        <w:tc>
          <w:tcPr>
            <w:tcW w:w="217" w:type="pct"/>
            <w:gridSpan w:val="2"/>
            <w:shd w:val="clear" w:color="auto" w:fill="auto"/>
            <w:tcMar>
              <w:left w:w="17" w:type="dxa"/>
              <w:right w:w="17" w:type="dxa"/>
            </w:tcMar>
            <w:vAlign w:val="center"/>
          </w:tcPr>
          <w:p w14:paraId="27D373F0" w14:textId="77777777" w:rsidR="001C56BD" w:rsidRPr="00F92667" w:rsidRDefault="001C56BD" w:rsidP="008A5C11">
            <w:pPr>
              <w:jc w:val="center"/>
              <w:rPr>
                <w:sz w:val="12"/>
                <w:szCs w:val="12"/>
              </w:rPr>
            </w:pPr>
            <w:r w:rsidRPr="00F92667">
              <w:rPr>
                <w:sz w:val="12"/>
                <w:szCs w:val="12"/>
              </w:rPr>
              <w:t>16520,112</w:t>
            </w:r>
          </w:p>
        </w:tc>
        <w:tc>
          <w:tcPr>
            <w:tcW w:w="177" w:type="pct"/>
            <w:gridSpan w:val="2"/>
            <w:shd w:val="clear" w:color="auto" w:fill="auto"/>
            <w:tcMar>
              <w:left w:w="17" w:type="dxa"/>
              <w:right w:w="17" w:type="dxa"/>
            </w:tcMar>
            <w:vAlign w:val="center"/>
          </w:tcPr>
          <w:p w14:paraId="76138CEF" w14:textId="77777777" w:rsidR="001C56BD" w:rsidRPr="00F92667" w:rsidRDefault="001C56BD" w:rsidP="008A5C11">
            <w:pPr>
              <w:jc w:val="center"/>
              <w:rPr>
                <w:sz w:val="12"/>
                <w:szCs w:val="12"/>
              </w:rPr>
            </w:pPr>
            <w:r w:rsidRPr="00F92667">
              <w:rPr>
                <w:sz w:val="12"/>
                <w:szCs w:val="12"/>
              </w:rPr>
              <w:t>0,000</w:t>
            </w:r>
          </w:p>
        </w:tc>
        <w:tc>
          <w:tcPr>
            <w:tcW w:w="212" w:type="pct"/>
            <w:shd w:val="clear" w:color="auto" w:fill="auto"/>
            <w:tcMar>
              <w:left w:w="17" w:type="dxa"/>
              <w:right w:w="17" w:type="dxa"/>
            </w:tcMar>
            <w:vAlign w:val="center"/>
          </w:tcPr>
          <w:p w14:paraId="6712A95A" w14:textId="77777777" w:rsidR="001C56BD" w:rsidRPr="00F92667" w:rsidRDefault="001C56BD" w:rsidP="008A5C11">
            <w:pPr>
              <w:jc w:val="center"/>
              <w:rPr>
                <w:sz w:val="12"/>
                <w:szCs w:val="12"/>
              </w:rPr>
            </w:pPr>
            <w:r w:rsidRPr="00F92667">
              <w:rPr>
                <w:sz w:val="12"/>
                <w:szCs w:val="12"/>
              </w:rPr>
              <w:t>0,000</w:t>
            </w:r>
          </w:p>
        </w:tc>
        <w:tc>
          <w:tcPr>
            <w:tcW w:w="218" w:type="pct"/>
            <w:gridSpan w:val="2"/>
            <w:shd w:val="clear" w:color="auto" w:fill="auto"/>
            <w:tcMar>
              <w:left w:w="17" w:type="dxa"/>
              <w:right w:w="17" w:type="dxa"/>
            </w:tcMar>
            <w:vAlign w:val="center"/>
          </w:tcPr>
          <w:p w14:paraId="51F7DDB3"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2D010D78" w14:textId="77777777" w:rsidR="001C56BD" w:rsidRPr="00F92667" w:rsidRDefault="001C56BD" w:rsidP="008A5C11">
            <w:pPr>
              <w:jc w:val="center"/>
              <w:rPr>
                <w:sz w:val="12"/>
                <w:szCs w:val="12"/>
              </w:rPr>
            </w:pPr>
            <w:r w:rsidRPr="00F92667">
              <w:rPr>
                <w:sz w:val="12"/>
                <w:szCs w:val="12"/>
              </w:rPr>
              <w:t>0,000</w:t>
            </w:r>
          </w:p>
        </w:tc>
        <w:tc>
          <w:tcPr>
            <w:tcW w:w="206" w:type="pct"/>
            <w:gridSpan w:val="2"/>
            <w:shd w:val="clear" w:color="auto" w:fill="auto"/>
            <w:tcMar>
              <w:left w:w="17" w:type="dxa"/>
              <w:right w:w="17" w:type="dxa"/>
            </w:tcMar>
            <w:vAlign w:val="center"/>
          </w:tcPr>
          <w:p w14:paraId="1C6E8E96"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5860C9BC" w14:textId="77777777" w:rsidR="001C56BD" w:rsidRPr="00F92667" w:rsidRDefault="001C56BD" w:rsidP="008A5C11">
            <w:pPr>
              <w:jc w:val="center"/>
              <w:rPr>
                <w:sz w:val="12"/>
                <w:szCs w:val="12"/>
              </w:rPr>
            </w:pPr>
            <w:r w:rsidRPr="00F92667">
              <w:rPr>
                <w:sz w:val="12"/>
                <w:szCs w:val="12"/>
              </w:rPr>
              <w:t>7413,636</w:t>
            </w:r>
          </w:p>
        </w:tc>
        <w:tc>
          <w:tcPr>
            <w:tcW w:w="214" w:type="pct"/>
            <w:gridSpan w:val="2"/>
            <w:shd w:val="clear" w:color="auto" w:fill="auto"/>
            <w:tcMar>
              <w:left w:w="17" w:type="dxa"/>
              <w:right w:w="17" w:type="dxa"/>
            </w:tcMar>
            <w:vAlign w:val="center"/>
          </w:tcPr>
          <w:p w14:paraId="142828CF"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63B25C2C"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4C86EF0E" w14:textId="77777777" w:rsidR="001C56BD" w:rsidRPr="00F92667" w:rsidRDefault="001C56BD" w:rsidP="008A5C11">
            <w:pPr>
              <w:jc w:val="center"/>
              <w:rPr>
                <w:sz w:val="12"/>
                <w:szCs w:val="12"/>
              </w:rPr>
            </w:pPr>
            <w:r w:rsidRPr="00F92667">
              <w:rPr>
                <w:sz w:val="12"/>
                <w:szCs w:val="12"/>
              </w:rPr>
              <w:t>0,000</w:t>
            </w:r>
          </w:p>
        </w:tc>
        <w:tc>
          <w:tcPr>
            <w:tcW w:w="214" w:type="pct"/>
            <w:gridSpan w:val="2"/>
            <w:shd w:val="clear" w:color="auto" w:fill="auto"/>
            <w:tcMar>
              <w:left w:w="17" w:type="dxa"/>
              <w:right w:w="17" w:type="dxa"/>
            </w:tcMar>
            <w:vAlign w:val="center"/>
          </w:tcPr>
          <w:p w14:paraId="6F8DDB94" w14:textId="77777777" w:rsidR="001C56BD" w:rsidRPr="00F92667" w:rsidRDefault="001C56BD" w:rsidP="008A5C11">
            <w:pPr>
              <w:jc w:val="center"/>
              <w:rPr>
                <w:sz w:val="12"/>
                <w:szCs w:val="12"/>
              </w:rPr>
            </w:pPr>
            <w:r w:rsidRPr="00F92667">
              <w:rPr>
                <w:sz w:val="12"/>
                <w:szCs w:val="12"/>
              </w:rPr>
              <w:t>0,000</w:t>
            </w:r>
          </w:p>
        </w:tc>
        <w:tc>
          <w:tcPr>
            <w:tcW w:w="247" w:type="pct"/>
            <w:gridSpan w:val="2"/>
            <w:shd w:val="clear" w:color="auto" w:fill="auto"/>
            <w:tcMar>
              <w:left w:w="17" w:type="dxa"/>
              <w:right w:w="17" w:type="dxa"/>
            </w:tcMar>
            <w:vAlign w:val="center"/>
          </w:tcPr>
          <w:p w14:paraId="302DA165" w14:textId="77777777" w:rsidR="001C56BD" w:rsidRPr="00F92667" w:rsidRDefault="001C56BD" w:rsidP="008A5C11">
            <w:pPr>
              <w:jc w:val="center"/>
              <w:rPr>
                <w:sz w:val="12"/>
                <w:szCs w:val="12"/>
              </w:rPr>
            </w:pPr>
            <w:r w:rsidRPr="00F92667">
              <w:rPr>
                <w:sz w:val="12"/>
                <w:szCs w:val="12"/>
              </w:rPr>
              <w:t>9106,476</w:t>
            </w:r>
          </w:p>
        </w:tc>
        <w:tc>
          <w:tcPr>
            <w:tcW w:w="173" w:type="pct"/>
            <w:shd w:val="clear" w:color="auto" w:fill="auto"/>
            <w:tcMar>
              <w:left w:w="17" w:type="dxa"/>
              <w:right w:w="17" w:type="dxa"/>
            </w:tcMar>
            <w:vAlign w:val="center"/>
          </w:tcPr>
          <w:p w14:paraId="6195776E" w14:textId="77777777" w:rsidR="001C56BD" w:rsidRPr="00F92667" w:rsidRDefault="001C56BD" w:rsidP="008A5C11">
            <w:pPr>
              <w:jc w:val="center"/>
              <w:rPr>
                <w:sz w:val="12"/>
                <w:szCs w:val="12"/>
              </w:rPr>
            </w:pPr>
            <w:r w:rsidRPr="00F92667">
              <w:rPr>
                <w:sz w:val="12"/>
                <w:szCs w:val="12"/>
              </w:rPr>
              <w:t>0,000</w:t>
            </w:r>
          </w:p>
        </w:tc>
        <w:tc>
          <w:tcPr>
            <w:tcW w:w="169" w:type="pct"/>
            <w:shd w:val="clear" w:color="auto" w:fill="auto"/>
            <w:tcMar>
              <w:left w:w="17" w:type="dxa"/>
              <w:right w:w="17" w:type="dxa"/>
            </w:tcMar>
            <w:vAlign w:val="center"/>
          </w:tcPr>
          <w:p w14:paraId="3E13ABB3" w14:textId="77777777" w:rsidR="001C56BD" w:rsidRPr="00F92667" w:rsidRDefault="001C56BD" w:rsidP="008A5C11">
            <w:pPr>
              <w:jc w:val="center"/>
              <w:rPr>
                <w:sz w:val="12"/>
                <w:szCs w:val="12"/>
              </w:rPr>
            </w:pPr>
            <w:r w:rsidRPr="00F92667">
              <w:rPr>
                <w:sz w:val="12"/>
                <w:szCs w:val="12"/>
              </w:rPr>
              <w:t>0,000</w:t>
            </w:r>
          </w:p>
        </w:tc>
      </w:tr>
      <w:tr w:rsidR="001C56BD" w:rsidRPr="00F92667" w14:paraId="32A44421" w14:textId="77777777" w:rsidTr="008A5C11">
        <w:trPr>
          <w:gridBefore w:val="1"/>
          <w:wBefore w:w="3" w:type="pct"/>
          <w:trHeight w:val="897"/>
        </w:trPr>
        <w:tc>
          <w:tcPr>
            <w:tcW w:w="129" w:type="pct"/>
            <w:shd w:val="clear" w:color="auto" w:fill="auto"/>
            <w:tcMar>
              <w:left w:w="17" w:type="dxa"/>
              <w:right w:w="17" w:type="dxa"/>
            </w:tcMar>
            <w:vAlign w:val="center"/>
          </w:tcPr>
          <w:p w14:paraId="33CA1594" w14:textId="77777777" w:rsidR="001C56BD" w:rsidRPr="00F92667" w:rsidRDefault="001C56BD" w:rsidP="008A5C11">
            <w:pPr>
              <w:jc w:val="center"/>
              <w:rPr>
                <w:sz w:val="12"/>
                <w:szCs w:val="12"/>
              </w:rPr>
            </w:pPr>
            <w:r w:rsidRPr="00F92667">
              <w:rPr>
                <w:sz w:val="12"/>
                <w:szCs w:val="12"/>
              </w:rPr>
              <w:t>3.1.42.</w:t>
            </w:r>
          </w:p>
        </w:tc>
        <w:tc>
          <w:tcPr>
            <w:tcW w:w="305" w:type="pct"/>
            <w:shd w:val="clear" w:color="auto" w:fill="auto"/>
            <w:tcMar>
              <w:left w:w="17" w:type="dxa"/>
              <w:right w:w="17" w:type="dxa"/>
            </w:tcMar>
            <w:vAlign w:val="center"/>
          </w:tcPr>
          <w:p w14:paraId="6AAAB065" w14:textId="77777777" w:rsidR="001C56BD" w:rsidRPr="00F92667" w:rsidRDefault="001C56BD" w:rsidP="008A5C11">
            <w:pPr>
              <w:rPr>
                <w:sz w:val="12"/>
                <w:szCs w:val="12"/>
              </w:rPr>
            </w:pPr>
            <w:r w:rsidRPr="00F92667">
              <w:rPr>
                <w:color w:val="000000"/>
                <w:sz w:val="12"/>
                <w:szCs w:val="12"/>
              </w:rPr>
              <w:t>Реконструкция тепловой сети с реестровым номером</w:t>
            </w:r>
            <w:r w:rsidRPr="00F92667">
              <w:rPr>
                <w:sz w:val="12"/>
                <w:szCs w:val="12"/>
              </w:rPr>
              <w:t xml:space="preserve"> 773781</w:t>
            </w:r>
          </w:p>
        </w:tc>
        <w:tc>
          <w:tcPr>
            <w:tcW w:w="304" w:type="pct"/>
            <w:shd w:val="clear" w:color="000000" w:fill="FFFFFF"/>
            <w:tcMar>
              <w:left w:w="17" w:type="dxa"/>
              <w:right w:w="17" w:type="dxa"/>
            </w:tcMar>
            <w:vAlign w:val="center"/>
          </w:tcPr>
          <w:p w14:paraId="313E0688" w14:textId="77777777" w:rsidR="001C56BD" w:rsidRPr="00F92667" w:rsidRDefault="001C56BD" w:rsidP="008A5C11">
            <w:pPr>
              <w:jc w:val="center"/>
              <w:rPr>
                <w:sz w:val="12"/>
                <w:szCs w:val="12"/>
              </w:rPr>
            </w:pPr>
            <w:r w:rsidRPr="00F92667">
              <w:rPr>
                <w:color w:val="000000"/>
                <w:sz w:val="12"/>
                <w:szCs w:val="12"/>
              </w:rPr>
              <w:t>Повышение надежности услуг теплоснабжения, повышение энергетической эффективности</w:t>
            </w:r>
          </w:p>
        </w:tc>
        <w:tc>
          <w:tcPr>
            <w:tcW w:w="258" w:type="pct"/>
            <w:shd w:val="clear" w:color="auto" w:fill="auto"/>
            <w:tcMar>
              <w:left w:w="17" w:type="dxa"/>
              <w:right w:w="17" w:type="dxa"/>
            </w:tcMar>
            <w:vAlign w:val="center"/>
          </w:tcPr>
          <w:p w14:paraId="338D6234" w14:textId="77777777" w:rsidR="001C56BD" w:rsidRPr="00F92667" w:rsidRDefault="001C56BD" w:rsidP="008A5C11">
            <w:pPr>
              <w:jc w:val="center"/>
              <w:rPr>
                <w:sz w:val="12"/>
                <w:szCs w:val="12"/>
              </w:rPr>
            </w:pPr>
            <w:r w:rsidRPr="00F92667">
              <w:rPr>
                <w:sz w:val="12"/>
                <w:szCs w:val="12"/>
              </w:rPr>
              <w:t>Кемеровский городской округ, р-н Центральный, мкр-н 5, 20м. Западнее жилого дома №66б по проспекту Ленина</w:t>
            </w:r>
          </w:p>
        </w:tc>
        <w:tc>
          <w:tcPr>
            <w:tcW w:w="294" w:type="pct"/>
            <w:shd w:val="clear" w:color="auto" w:fill="auto"/>
            <w:tcMar>
              <w:left w:w="17" w:type="dxa"/>
              <w:right w:w="17" w:type="dxa"/>
            </w:tcMar>
            <w:vAlign w:val="center"/>
          </w:tcPr>
          <w:p w14:paraId="51FD33B7" w14:textId="77777777" w:rsidR="001C56BD" w:rsidRPr="00F92667" w:rsidRDefault="001C56BD" w:rsidP="008A5C11">
            <w:pPr>
              <w:jc w:val="center"/>
              <w:rPr>
                <w:sz w:val="12"/>
                <w:szCs w:val="12"/>
              </w:rPr>
            </w:pPr>
            <w:r w:rsidRPr="00F92667">
              <w:rPr>
                <w:color w:val="000000"/>
                <w:sz w:val="12"/>
                <w:szCs w:val="12"/>
              </w:rPr>
              <w:t>Технические характеристики</w:t>
            </w:r>
          </w:p>
        </w:tc>
        <w:tc>
          <w:tcPr>
            <w:tcW w:w="129" w:type="pct"/>
            <w:shd w:val="clear" w:color="auto" w:fill="auto"/>
            <w:tcMar>
              <w:left w:w="17" w:type="dxa"/>
              <w:right w:w="17" w:type="dxa"/>
            </w:tcMar>
            <w:vAlign w:val="center"/>
          </w:tcPr>
          <w:p w14:paraId="79B5D09D" w14:textId="77777777" w:rsidR="001C56BD" w:rsidRPr="00F92667" w:rsidRDefault="001C56BD" w:rsidP="008A5C11">
            <w:pPr>
              <w:jc w:val="center"/>
              <w:rPr>
                <w:color w:val="000000"/>
                <w:sz w:val="12"/>
                <w:szCs w:val="12"/>
              </w:rPr>
            </w:pPr>
          </w:p>
        </w:tc>
        <w:tc>
          <w:tcPr>
            <w:tcW w:w="184" w:type="pct"/>
            <w:shd w:val="clear" w:color="auto" w:fill="auto"/>
            <w:tcMar>
              <w:left w:w="17" w:type="dxa"/>
              <w:right w:w="17" w:type="dxa"/>
            </w:tcMar>
            <w:vAlign w:val="center"/>
          </w:tcPr>
          <w:p w14:paraId="4F110EC5" w14:textId="77777777" w:rsidR="001C56BD" w:rsidRPr="00F92667" w:rsidRDefault="001C56BD" w:rsidP="008A5C11">
            <w:pPr>
              <w:jc w:val="center"/>
              <w:rPr>
                <w:sz w:val="12"/>
                <w:szCs w:val="12"/>
              </w:rPr>
            </w:pPr>
            <w:r w:rsidRPr="00F92667">
              <w:rPr>
                <w:sz w:val="12"/>
                <w:szCs w:val="12"/>
              </w:rPr>
              <w:t>Канал-ж/б лотки (непроходной канал),</w:t>
            </w:r>
            <w:r w:rsidRPr="00F92667">
              <w:rPr>
                <w:sz w:val="12"/>
                <w:szCs w:val="12"/>
              </w:rPr>
              <w:br/>
              <w:t xml:space="preserve">опоры приварные, запорная арматура-стальная клиновая, антикоррозийная защита-лак БТ, труба-сталь 20, изоляция-мин. маты.      </w:t>
            </w:r>
          </w:p>
        </w:tc>
        <w:tc>
          <w:tcPr>
            <w:tcW w:w="219" w:type="pct"/>
            <w:shd w:val="clear" w:color="auto" w:fill="auto"/>
            <w:tcMar>
              <w:left w:w="17" w:type="dxa"/>
              <w:right w:w="17" w:type="dxa"/>
            </w:tcMar>
            <w:vAlign w:val="center"/>
          </w:tcPr>
          <w:p w14:paraId="5C707F98" w14:textId="77777777" w:rsidR="001C56BD" w:rsidRPr="00F92667" w:rsidRDefault="001C56BD" w:rsidP="008A5C11">
            <w:pPr>
              <w:jc w:val="center"/>
              <w:rPr>
                <w:sz w:val="12"/>
                <w:szCs w:val="12"/>
              </w:rPr>
            </w:pPr>
            <w:r w:rsidRPr="00F92667">
              <w:rPr>
                <w:sz w:val="12"/>
                <w:szCs w:val="12"/>
              </w:rPr>
              <w:t xml:space="preserve">Канал-ж/б лотки, опоры-хомутовые с диэлектрической прокладкой, запорная арматура - кран шаровый, антикоррозийная защита-мастика Вектор 1214, 1025, труба-сталь 09Г2С, изоляция - маты прошивные, </w:t>
            </w:r>
            <w:proofErr w:type="gramStart"/>
            <w:r w:rsidRPr="00F92667">
              <w:rPr>
                <w:sz w:val="12"/>
                <w:szCs w:val="12"/>
              </w:rPr>
              <w:t>стеклоплас-тик</w:t>
            </w:r>
            <w:proofErr w:type="gramEnd"/>
            <w:r w:rsidRPr="00F92667">
              <w:rPr>
                <w:sz w:val="12"/>
                <w:szCs w:val="12"/>
              </w:rPr>
              <w:t xml:space="preserve">  </w:t>
            </w:r>
          </w:p>
        </w:tc>
        <w:tc>
          <w:tcPr>
            <w:tcW w:w="130" w:type="pct"/>
            <w:shd w:val="clear" w:color="auto" w:fill="auto"/>
            <w:tcMar>
              <w:left w:w="17" w:type="dxa"/>
              <w:right w:w="17" w:type="dxa"/>
            </w:tcMar>
            <w:vAlign w:val="center"/>
          </w:tcPr>
          <w:p w14:paraId="62DBD6DD" w14:textId="77777777" w:rsidR="001C56BD" w:rsidRPr="00F92667" w:rsidRDefault="001C56BD" w:rsidP="008A5C11">
            <w:pPr>
              <w:jc w:val="center"/>
              <w:rPr>
                <w:sz w:val="12"/>
                <w:szCs w:val="12"/>
              </w:rPr>
            </w:pPr>
            <w:r w:rsidRPr="00F92667">
              <w:rPr>
                <w:sz w:val="12"/>
                <w:szCs w:val="12"/>
              </w:rPr>
              <w:t>2025</w:t>
            </w:r>
          </w:p>
        </w:tc>
        <w:tc>
          <w:tcPr>
            <w:tcW w:w="130" w:type="pct"/>
            <w:shd w:val="clear" w:color="auto" w:fill="auto"/>
            <w:tcMar>
              <w:left w:w="17" w:type="dxa"/>
              <w:right w:w="17" w:type="dxa"/>
            </w:tcMar>
            <w:vAlign w:val="center"/>
          </w:tcPr>
          <w:p w14:paraId="26CEC4AA" w14:textId="77777777" w:rsidR="001C56BD" w:rsidRPr="00F92667" w:rsidRDefault="001C56BD" w:rsidP="008A5C11">
            <w:pPr>
              <w:jc w:val="center"/>
              <w:rPr>
                <w:sz w:val="12"/>
                <w:szCs w:val="12"/>
              </w:rPr>
            </w:pPr>
            <w:r w:rsidRPr="00F92667">
              <w:rPr>
                <w:sz w:val="12"/>
                <w:szCs w:val="12"/>
              </w:rPr>
              <w:t>2025</w:t>
            </w:r>
          </w:p>
        </w:tc>
        <w:tc>
          <w:tcPr>
            <w:tcW w:w="217" w:type="pct"/>
            <w:gridSpan w:val="2"/>
            <w:shd w:val="clear" w:color="auto" w:fill="auto"/>
            <w:tcMar>
              <w:left w:w="17" w:type="dxa"/>
              <w:right w:w="17" w:type="dxa"/>
            </w:tcMar>
            <w:vAlign w:val="center"/>
          </w:tcPr>
          <w:p w14:paraId="655B6235" w14:textId="77777777" w:rsidR="001C56BD" w:rsidRPr="00F92667" w:rsidRDefault="001C56BD" w:rsidP="008A5C11">
            <w:pPr>
              <w:jc w:val="center"/>
              <w:rPr>
                <w:sz w:val="12"/>
                <w:szCs w:val="12"/>
              </w:rPr>
            </w:pPr>
            <w:r w:rsidRPr="00F92667">
              <w:rPr>
                <w:sz w:val="12"/>
                <w:szCs w:val="12"/>
              </w:rPr>
              <w:t>24203,400</w:t>
            </w:r>
          </w:p>
        </w:tc>
        <w:tc>
          <w:tcPr>
            <w:tcW w:w="177" w:type="pct"/>
            <w:gridSpan w:val="2"/>
            <w:shd w:val="clear" w:color="auto" w:fill="auto"/>
            <w:tcMar>
              <w:left w:w="17" w:type="dxa"/>
              <w:right w:w="17" w:type="dxa"/>
            </w:tcMar>
            <w:vAlign w:val="center"/>
          </w:tcPr>
          <w:p w14:paraId="7DD36AC9" w14:textId="77777777" w:rsidR="001C56BD" w:rsidRPr="00F92667" w:rsidRDefault="001C56BD" w:rsidP="008A5C11">
            <w:pPr>
              <w:jc w:val="center"/>
              <w:rPr>
                <w:sz w:val="12"/>
                <w:szCs w:val="12"/>
              </w:rPr>
            </w:pPr>
            <w:r w:rsidRPr="00F92667">
              <w:rPr>
                <w:sz w:val="12"/>
                <w:szCs w:val="12"/>
              </w:rPr>
              <w:t>0,000</w:t>
            </w:r>
          </w:p>
        </w:tc>
        <w:tc>
          <w:tcPr>
            <w:tcW w:w="212" w:type="pct"/>
            <w:shd w:val="clear" w:color="auto" w:fill="auto"/>
            <w:tcMar>
              <w:left w:w="17" w:type="dxa"/>
              <w:right w:w="17" w:type="dxa"/>
            </w:tcMar>
            <w:vAlign w:val="center"/>
          </w:tcPr>
          <w:p w14:paraId="32B49190" w14:textId="77777777" w:rsidR="001C56BD" w:rsidRPr="00F92667" w:rsidRDefault="001C56BD" w:rsidP="008A5C11">
            <w:pPr>
              <w:jc w:val="center"/>
              <w:rPr>
                <w:sz w:val="12"/>
                <w:szCs w:val="12"/>
              </w:rPr>
            </w:pPr>
            <w:r w:rsidRPr="00F92667">
              <w:rPr>
                <w:sz w:val="12"/>
                <w:szCs w:val="12"/>
              </w:rPr>
              <w:t>0,000</w:t>
            </w:r>
          </w:p>
        </w:tc>
        <w:tc>
          <w:tcPr>
            <w:tcW w:w="218" w:type="pct"/>
            <w:gridSpan w:val="2"/>
            <w:shd w:val="clear" w:color="auto" w:fill="auto"/>
            <w:tcMar>
              <w:left w:w="17" w:type="dxa"/>
              <w:right w:w="17" w:type="dxa"/>
            </w:tcMar>
            <w:vAlign w:val="center"/>
          </w:tcPr>
          <w:p w14:paraId="5441148F"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5FBE8438" w14:textId="77777777" w:rsidR="001C56BD" w:rsidRPr="00F92667" w:rsidRDefault="001C56BD" w:rsidP="008A5C11">
            <w:pPr>
              <w:jc w:val="center"/>
              <w:rPr>
                <w:sz w:val="12"/>
                <w:szCs w:val="12"/>
              </w:rPr>
            </w:pPr>
            <w:r w:rsidRPr="00F92667">
              <w:rPr>
                <w:sz w:val="12"/>
                <w:szCs w:val="12"/>
              </w:rPr>
              <w:t>0,000</w:t>
            </w:r>
          </w:p>
        </w:tc>
        <w:tc>
          <w:tcPr>
            <w:tcW w:w="206" w:type="pct"/>
            <w:gridSpan w:val="2"/>
            <w:shd w:val="clear" w:color="auto" w:fill="auto"/>
            <w:tcMar>
              <w:left w:w="17" w:type="dxa"/>
              <w:right w:w="17" w:type="dxa"/>
            </w:tcMar>
            <w:vAlign w:val="center"/>
          </w:tcPr>
          <w:p w14:paraId="2AE3431E" w14:textId="77777777" w:rsidR="001C56BD" w:rsidRPr="00F92667" w:rsidRDefault="001C56BD" w:rsidP="008A5C11">
            <w:pPr>
              <w:jc w:val="center"/>
              <w:rPr>
                <w:sz w:val="12"/>
                <w:szCs w:val="12"/>
              </w:rPr>
            </w:pPr>
            <w:r w:rsidRPr="00F92667">
              <w:rPr>
                <w:sz w:val="12"/>
                <w:szCs w:val="12"/>
              </w:rPr>
              <w:t>24203,400</w:t>
            </w:r>
          </w:p>
        </w:tc>
        <w:tc>
          <w:tcPr>
            <w:tcW w:w="217" w:type="pct"/>
            <w:gridSpan w:val="2"/>
            <w:shd w:val="clear" w:color="auto" w:fill="auto"/>
            <w:tcMar>
              <w:left w:w="17" w:type="dxa"/>
              <w:right w:w="17" w:type="dxa"/>
            </w:tcMar>
            <w:vAlign w:val="center"/>
          </w:tcPr>
          <w:p w14:paraId="6B92A984" w14:textId="77777777" w:rsidR="001C56BD" w:rsidRPr="00F92667" w:rsidRDefault="001C56BD" w:rsidP="008A5C11">
            <w:pPr>
              <w:jc w:val="center"/>
              <w:rPr>
                <w:sz w:val="12"/>
                <w:szCs w:val="12"/>
              </w:rPr>
            </w:pPr>
            <w:r w:rsidRPr="00F92667">
              <w:rPr>
                <w:sz w:val="12"/>
                <w:szCs w:val="12"/>
              </w:rPr>
              <w:t>0,000</w:t>
            </w:r>
          </w:p>
        </w:tc>
        <w:tc>
          <w:tcPr>
            <w:tcW w:w="214" w:type="pct"/>
            <w:gridSpan w:val="2"/>
            <w:shd w:val="clear" w:color="auto" w:fill="auto"/>
            <w:tcMar>
              <w:left w:w="17" w:type="dxa"/>
              <w:right w:w="17" w:type="dxa"/>
            </w:tcMar>
            <w:vAlign w:val="center"/>
          </w:tcPr>
          <w:p w14:paraId="747E2210"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25EDBC6C"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2C623169" w14:textId="77777777" w:rsidR="001C56BD" w:rsidRPr="00F92667" w:rsidRDefault="001C56BD" w:rsidP="008A5C11">
            <w:pPr>
              <w:jc w:val="center"/>
              <w:rPr>
                <w:sz w:val="12"/>
                <w:szCs w:val="12"/>
              </w:rPr>
            </w:pPr>
            <w:r w:rsidRPr="00F92667">
              <w:rPr>
                <w:sz w:val="12"/>
                <w:szCs w:val="12"/>
              </w:rPr>
              <w:t>0,000</w:t>
            </w:r>
          </w:p>
        </w:tc>
        <w:tc>
          <w:tcPr>
            <w:tcW w:w="214" w:type="pct"/>
            <w:gridSpan w:val="2"/>
            <w:shd w:val="clear" w:color="auto" w:fill="auto"/>
            <w:tcMar>
              <w:left w:w="17" w:type="dxa"/>
              <w:right w:w="17" w:type="dxa"/>
            </w:tcMar>
            <w:vAlign w:val="center"/>
          </w:tcPr>
          <w:p w14:paraId="4E0E4922" w14:textId="77777777" w:rsidR="001C56BD" w:rsidRPr="00F92667" w:rsidRDefault="001C56BD" w:rsidP="008A5C11">
            <w:pPr>
              <w:jc w:val="center"/>
              <w:rPr>
                <w:sz w:val="12"/>
                <w:szCs w:val="12"/>
              </w:rPr>
            </w:pPr>
            <w:r w:rsidRPr="00F92667">
              <w:rPr>
                <w:sz w:val="12"/>
                <w:szCs w:val="12"/>
              </w:rPr>
              <w:t>0,000</w:t>
            </w:r>
          </w:p>
        </w:tc>
        <w:tc>
          <w:tcPr>
            <w:tcW w:w="247" w:type="pct"/>
            <w:gridSpan w:val="2"/>
            <w:shd w:val="clear" w:color="auto" w:fill="auto"/>
            <w:tcMar>
              <w:left w:w="17" w:type="dxa"/>
              <w:right w:w="17" w:type="dxa"/>
            </w:tcMar>
            <w:vAlign w:val="center"/>
          </w:tcPr>
          <w:p w14:paraId="15187BD7" w14:textId="77777777" w:rsidR="001C56BD" w:rsidRPr="00F92667" w:rsidRDefault="001C56BD" w:rsidP="008A5C11">
            <w:pPr>
              <w:jc w:val="center"/>
              <w:rPr>
                <w:sz w:val="12"/>
                <w:szCs w:val="12"/>
              </w:rPr>
            </w:pPr>
            <w:r w:rsidRPr="00F92667">
              <w:rPr>
                <w:sz w:val="12"/>
                <w:szCs w:val="12"/>
              </w:rPr>
              <w:t>0,000</w:t>
            </w:r>
          </w:p>
        </w:tc>
        <w:tc>
          <w:tcPr>
            <w:tcW w:w="173" w:type="pct"/>
            <w:shd w:val="clear" w:color="auto" w:fill="auto"/>
            <w:tcMar>
              <w:left w:w="17" w:type="dxa"/>
              <w:right w:w="17" w:type="dxa"/>
            </w:tcMar>
            <w:vAlign w:val="center"/>
          </w:tcPr>
          <w:p w14:paraId="67539C74" w14:textId="77777777" w:rsidR="001C56BD" w:rsidRPr="00F92667" w:rsidRDefault="001C56BD" w:rsidP="008A5C11">
            <w:pPr>
              <w:jc w:val="center"/>
              <w:rPr>
                <w:sz w:val="12"/>
                <w:szCs w:val="12"/>
              </w:rPr>
            </w:pPr>
            <w:r w:rsidRPr="00F92667">
              <w:rPr>
                <w:sz w:val="12"/>
                <w:szCs w:val="12"/>
              </w:rPr>
              <w:t>0,000</w:t>
            </w:r>
          </w:p>
        </w:tc>
        <w:tc>
          <w:tcPr>
            <w:tcW w:w="169" w:type="pct"/>
            <w:shd w:val="clear" w:color="auto" w:fill="auto"/>
            <w:tcMar>
              <w:left w:w="17" w:type="dxa"/>
              <w:right w:w="17" w:type="dxa"/>
            </w:tcMar>
            <w:vAlign w:val="center"/>
          </w:tcPr>
          <w:p w14:paraId="0DA5F492" w14:textId="77777777" w:rsidR="001C56BD" w:rsidRPr="00F92667" w:rsidRDefault="001C56BD" w:rsidP="008A5C11">
            <w:pPr>
              <w:jc w:val="center"/>
              <w:rPr>
                <w:sz w:val="12"/>
                <w:szCs w:val="12"/>
              </w:rPr>
            </w:pPr>
            <w:r w:rsidRPr="00F92667">
              <w:rPr>
                <w:sz w:val="12"/>
                <w:szCs w:val="12"/>
              </w:rPr>
              <w:t>0,000</w:t>
            </w:r>
          </w:p>
        </w:tc>
      </w:tr>
      <w:tr w:rsidR="001C56BD" w:rsidRPr="00F92667" w14:paraId="6F4964B8" w14:textId="77777777" w:rsidTr="008A5C11">
        <w:trPr>
          <w:gridBefore w:val="1"/>
          <w:wBefore w:w="3" w:type="pct"/>
          <w:trHeight w:val="897"/>
        </w:trPr>
        <w:tc>
          <w:tcPr>
            <w:tcW w:w="129" w:type="pct"/>
            <w:shd w:val="clear" w:color="auto" w:fill="auto"/>
            <w:tcMar>
              <w:left w:w="17" w:type="dxa"/>
              <w:right w:w="17" w:type="dxa"/>
            </w:tcMar>
            <w:vAlign w:val="center"/>
          </w:tcPr>
          <w:p w14:paraId="62D67D94" w14:textId="77777777" w:rsidR="001C56BD" w:rsidRPr="00F92667" w:rsidRDefault="001C56BD" w:rsidP="008A5C11">
            <w:pPr>
              <w:jc w:val="center"/>
              <w:rPr>
                <w:sz w:val="12"/>
                <w:szCs w:val="12"/>
              </w:rPr>
            </w:pPr>
            <w:r w:rsidRPr="00F92667">
              <w:rPr>
                <w:sz w:val="12"/>
                <w:szCs w:val="12"/>
              </w:rPr>
              <w:t>3.1.43.</w:t>
            </w:r>
          </w:p>
        </w:tc>
        <w:tc>
          <w:tcPr>
            <w:tcW w:w="305" w:type="pct"/>
            <w:shd w:val="clear" w:color="auto" w:fill="auto"/>
            <w:tcMar>
              <w:left w:w="17" w:type="dxa"/>
              <w:right w:w="17" w:type="dxa"/>
            </w:tcMar>
            <w:vAlign w:val="center"/>
          </w:tcPr>
          <w:p w14:paraId="599C7D91" w14:textId="77777777" w:rsidR="001C56BD" w:rsidRPr="00F92667" w:rsidRDefault="001C56BD" w:rsidP="008A5C11">
            <w:pPr>
              <w:rPr>
                <w:sz w:val="12"/>
                <w:szCs w:val="12"/>
              </w:rPr>
            </w:pPr>
            <w:r w:rsidRPr="00F92667">
              <w:rPr>
                <w:color w:val="000000"/>
                <w:sz w:val="12"/>
                <w:szCs w:val="12"/>
              </w:rPr>
              <w:t>Реконструкция тепловой сети с реестровым номером</w:t>
            </w:r>
            <w:r w:rsidRPr="00F92667">
              <w:rPr>
                <w:sz w:val="12"/>
                <w:szCs w:val="12"/>
              </w:rPr>
              <w:t xml:space="preserve"> 773782</w:t>
            </w:r>
          </w:p>
        </w:tc>
        <w:tc>
          <w:tcPr>
            <w:tcW w:w="304" w:type="pct"/>
            <w:shd w:val="clear" w:color="000000" w:fill="FFFFFF"/>
            <w:tcMar>
              <w:left w:w="17" w:type="dxa"/>
              <w:right w:w="17" w:type="dxa"/>
            </w:tcMar>
            <w:vAlign w:val="center"/>
          </w:tcPr>
          <w:p w14:paraId="638A059B" w14:textId="77777777" w:rsidR="001C56BD" w:rsidRPr="00F92667" w:rsidRDefault="001C56BD" w:rsidP="008A5C11">
            <w:pPr>
              <w:jc w:val="center"/>
              <w:rPr>
                <w:sz w:val="12"/>
                <w:szCs w:val="12"/>
              </w:rPr>
            </w:pPr>
            <w:r w:rsidRPr="00F92667">
              <w:rPr>
                <w:color w:val="000000"/>
                <w:sz w:val="12"/>
                <w:szCs w:val="12"/>
              </w:rPr>
              <w:t>Повышение надежности услуг теплоснабжения, повышение энергетической эффективности</w:t>
            </w:r>
          </w:p>
        </w:tc>
        <w:tc>
          <w:tcPr>
            <w:tcW w:w="258" w:type="pct"/>
            <w:shd w:val="clear" w:color="auto" w:fill="auto"/>
            <w:tcMar>
              <w:left w:w="17" w:type="dxa"/>
              <w:right w:w="17" w:type="dxa"/>
            </w:tcMar>
            <w:vAlign w:val="center"/>
          </w:tcPr>
          <w:p w14:paraId="4105F4A8" w14:textId="77777777" w:rsidR="001C56BD" w:rsidRPr="00F92667" w:rsidRDefault="001C56BD" w:rsidP="008A5C11">
            <w:pPr>
              <w:jc w:val="center"/>
              <w:rPr>
                <w:sz w:val="12"/>
                <w:szCs w:val="12"/>
              </w:rPr>
            </w:pPr>
            <w:r w:rsidRPr="00F92667">
              <w:rPr>
                <w:sz w:val="12"/>
                <w:szCs w:val="12"/>
              </w:rPr>
              <w:t>Кемеровский городской округ, Центральный район, микрорайон 5, 66м. Северо-восточнее жилого дома №7 по проспекту Октябрьский</w:t>
            </w:r>
          </w:p>
        </w:tc>
        <w:tc>
          <w:tcPr>
            <w:tcW w:w="294" w:type="pct"/>
            <w:shd w:val="clear" w:color="auto" w:fill="auto"/>
            <w:tcMar>
              <w:left w:w="17" w:type="dxa"/>
              <w:right w:w="17" w:type="dxa"/>
            </w:tcMar>
            <w:vAlign w:val="center"/>
          </w:tcPr>
          <w:p w14:paraId="1C87B9B5" w14:textId="77777777" w:rsidR="001C56BD" w:rsidRPr="00F92667" w:rsidRDefault="001C56BD" w:rsidP="008A5C11">
            <w:pPr>
              <w:jc w:val="center"/>
              <w:rPr>
                <w:sz w:val="12"/>
                <w:szCs w:val="12"/>
              </w:rPr>
            </w:pPr>
            <w:r w:rsidRPr="00F92667">
              <w:rPr>
                <w:color w:val="000000"/>
                <w:sz w:val="12"/>
                <w:szCs w:val="12"/>
              </w:rPr>
              <w:t>Технические характеристики</w:t>
            </w:r>
          </w:p>
        </w:tc>
        <w:tc>
          <w:tcPr>
            <w:tcW w:w="129" w:type="pct"/>
            <w:shd w:val="clear" w:color="auto" w:fill="auto"/>
            <w:tcMar>
              <w:left w:w="17" w:type="dxa"/>
              <w:right w:w="17" w:type="dxa"/>
            </w:tcMar>
            <w:vAlign w:val="center"/>
          </w:tcPr>
          <w:p w14:paraId="1DEC2514" w14:textId="77777777" w:rsidR="001C56BD" w:rsidRPr="00F92667" w:rsidRDefault="001C56BD" w:rsidP="008A5C11">
            <w:pPr>
              <w:jc w:val="center"/>
              <w:rPr>
                <w:color w:val="000000"/>
                <w:sz w:val="12"/>
                <w:szCs w:val="12"/>
              </w:rPr>
            </w:pPr>
          </w:p>
        </w:tc>
        <w:tc>
          <w:tcPr>
            <w:tcW w:w="184" w:type="pct"/>
            <w:shd w:val="clear" w:color="auto" w:fill="auto"/>
            <w:tcMar>
              <w:left w:w="17" w:type="dxa"/>
              <w:right w:w="17" w:type="dxa"/>
            </w:tcMar>
            <w:vAlign w:val="center"/>
          </w:tcPr>
          <w:p w14:paraId="07573F52" w14:textId="77777777" w:rsidR="001C56BD" w:rsidRPr="00F92667" w:rsidRDefault="001C56BD" w:rsidP="008A5C11">
            <w:pPr>
              <w:jc w:val="center"/>
              <w:rPr>
                <w:sz w:val="12"/>
                <w:szCs w:val="12"/>
              </w:rPr>
            </w:pPr>
            <w:r w:rsidRPr="00F92667">
              <w:rPr>
                <w:sz w:val="12"/>
                <w:szCs w:val="12"/>
              </w:rPr>
              <w:t>Канал-ж/б лотки (непроходной канал),</w:t>
            </w:r>
            <w:r w:rsidRPr="00F92667">
              <w:rPr>
                <w:sz w:val="12"/>
                <w:szCs w:val="12"/>
              </w:rPr>
              <w:br/>
              <w:t xml:space="preserve">опоры приварные, запорная арматура-стальная клиновая, антикоррозийная защита-лак БТ, труба-сталь 20, изоляция-мин. маты.      </w:t>
            </w:r>
          </w:p>
        </w:tc>
        <w:tc>
          <w:tcPr>
            <w:tcW w:w="219" w:type="pct"/>
            <w:shd w:val="clear" w:color="auto" w:fill="auto"/>
            <w:tcMar>
              <w:left w:w="17" w:type="dxa"/>
              <w:right w:w="17" w:type="dxa"/>
            </w:tcMar>
            <w:vAlign w:val="center"/>
          </w:tcPr>
          <w:p w14:paraId="3924D21B" w14:textId="77777777" w:rsidR="001C56BD" w:rsidRPr="00F92667" w:rsidRDefault="001C56BD" w:rsidP="008A5C11">
            <w:pPr>
              <w:jc w:val="center"/>
              <w:rPr>
                <w:sz w:val="12"/>
                <w:szCs w:val="12"/>
              </w:rPr>
            </w:pPr>
            <w:r w:rsidRPr="00F92667">
              <w:rPr>
                <w:sz w:val="12"/>
                <w:szCs w:val="12"/>
              </w:rPr>
              <w:t xml:space="preserve">Канал-ж/б лотки, опоры-хомутовые с диэлектрической прокладкой, запорная арматура - кран шаровый, антикоррозийная защита-мастика Вектор 1214, 1025, труба-сталь 09Г2С, изоляция - маты прошивные, </w:t>
            </w:r>
            <w:proofErr w:type="gramStart"/>
            <w:r w:rsidRPr="00F92667">
              <w:rPr>
                <w:sz w:val="12"/>
                <w:szCs w:val="12"/>
              </w:rPr>
              <w:t>стеклоплас-тик</w:t>
            </w:r>
            <w:proofErr w:type="gramEnd"/>
            <w:r w:rsidRPr="00F92667">
              <w:rPr>
                <w:sz w:val="12"/>
                <w:szCs w:val="12"/>
              </w:rPr>
              <w:t xml:space="preserve">  </w:t>
            </w:r>
          </w:p>
        </w:tc>
        <w:tc>
          <w:tcPr>
            <w:tcW w:w="130" w:type="pct"/>
            <w:shd w:val="clear" w:color="auto" w:fill="auto"/>
            <w:tcMar>
              <w:left w:w="17" w:type="dxa"/>
              <w:right w:w="17" w:type="dxa"/>
            </w:tcMar>
            <w:vAlign w:val="center"/>
          </w:tcPr>
          <w:p w14:paraId="549D1AD1" w14:textId="77777777" w:rsidR="001C56BD" w:rsidRPr="00F92667" w:rsidRDefault="001C56BD" w:rsidP="008A5C11">
            <w:pPr>
              <w:jc w:val="center"/>
              <w:rPr>
                <w:sz w:val="12"/>
                <w:szCs w:val="12"/>
              </w:rPr>
            </w:pPr>
            <w:r w:rsidRPr="00F92667">
              <w:rPr>
                <w:sz w:val="12"/>
                <w:szCs w:val="12"/>
              </w:rPr>
              <w:t>2029</w:t>
            </w:r>
          </w:p>
        </w:tc>
        <w:tc>
          <w:tcPr>
            <w:tcW w:w="130" w:type="pct"/>
            <w:shd w:val="clear" w:color="auto" w:fill="auto"/>
            <w:tcMar>
              <w:left w:w="17" w:type="dxa"/>
              <w:right w:w="17" w:type="dxa"/>
            </w:tcMar>
            <w:vAlign w:val="center"/>
          </w:tcPr>
          <w:p w14:paraId="2A1AA8EE" w14:textId="77777777" w:rsidR="001C56BD" w:rsidRPr="00F92667" w:rsidRDefault="001C56BD" w:rsidP="008A5C11">
            <w:pPr>
              <w:jc w:val="center"/>
              <w:rPr>
                <w:sz w:val="12"/>
                <w:szCs w:val="12"/>
              </w:rPr>
            </w:pPr>
            <w:r w:rsidRPr="00F92667">
              <w:rPr>
                <w:sz w:val="12"/>
                <w:szCs w:val="12"/>
              </w:rPr>
              <w:t>2029</w:t>
            </w:r>
          </w:p>
        </w:tc>
        <w:tc>
          <w:tcPr>
            <w:tcW w:w="217" w:type="pct"/>
            <w:gridSpan w:val="2"/>
            <w:shd w:val="clear" w:color="auto" w:fill="auto"/>
            <w:tcMar>
              <w:left w:w="17" w:type="dxa"/>
              <w:right w:w="17" w:type="dxa"/>
            </w:tcMar>
            <w:vAlign w:val="center"/>
          </w:tcPr>
          <w:p w14:paraId="5BCF869B" w14:textId="77777777" w:rsidR="001C56BD" w:rsidRPr="00F92667" w:rsidRDefault="001C56BD" w:rsidP="008A5C11">
            <w:pPr>
              <w:jc w:val="center"/>
              <w:rPr>
                <w:sz w:val="12"/>
                <w:szCs w:val="12"/>
              </w:rPr>
            </w:pPr>
            <w:r w:rsidRPr="00F92667">
              <w:rPr>
                <w:sz w:val="12"/>
                <w:szCs w:val="12"/>
              </w:rPr>
              <w:t>9258,744</w:t>
            </w:r>
          </w:p>
        </w:tc>
        <w:tc>
          <w:tcPr>
            <w:tcW w:w="177" w:type="pct"/>
            <w:gridSpan w:val="2"/>
            <w:shd w:val="clear" w:color="auto" w:fill="auto"/>
            <w:tcMar>
              <w:left w:w="17" w:type="dxa"/>
              <w:right w:w="17" w:type="dxa"/>
            </w:tcMar>
            <w:vAlign w:val="center"/>
          </w:tcPr>
          <w:p w14:paraId="436BC179" w14:textId="77777777" w:rsidR="001C56BD" w:rsidRPr="00F92667" w:rsidRDefault="001C56BD" w:rsidP="008A5C11">
            <w:pPr>
              <w:jc w:val="center"/>
              <w:rPr>
                <w:sz w:val="12"/>
                <w:szCs w:val="12"/>
              </w:rPr>
            </w:pPr>
            <w:r w:rsidRPr="00F92667">
              <w:rPr>
                <w:sz w:val="12"/>
                <w:szCs w:val="12"/>
              </w:rPr>
              <w:t>0,000</w:t>
            </w:r>
          </w:p>
        </w:tc>
        <w:tc>
          <w:tcPr>
            <w:tcW w:w="212" w:type="pct"/>
            <w:shd w:val="clear" w:color="auto" w:fill="auto"/>
            <w:tcMar>
              <w:left w:w="17" w:type="dxa"/>
              <w:right w:w="17" w:type="dxa"/>
            </w:tcMar>
            <w:vAlign w:val="center"/>
          </w:tcPr>
          <w:p w14:paraId="17EA1EA5" w14:textId="77777777" w:rsidR="001C56BD" w:rsidRPr="00F92667" w:rsidRDefault="001C56BD" w:rsidP="008A5C11">
            <w:pPr>
              <w:jc w:val="center"/>
              <w:rPr>
                <w:sz w:val="12"/>
                <w:szCs w:val="12"/>
              </w:rPr>
            </w:pPr>
            <w:r w:rsidRPr="00F92667">
              <w:rPr>
                <w:sz w:val="12"/>
                <w:szCs w:val="12"/>
              </w:rPr>
              <w:t>0,000</w:t>
            </w:r>
          </w:p>
        </w:tc>
        <w:tc>
          <w:tcPr>
            <w:tcW w:w="218" w:type="pct"/>
            <w:gridSpan w:val="2"/>
            <w:shd w:val="clear" w:color="auto" w:fill="auto"/>
            <w:tcMar>
              <w:left w:w="17" w:type="dxa"/>
              <w:right w:w="17" w:type="dxa"/>
            </w:tcMar>
            <w:vAlign w:val="center"/>
          </w:tcPr>
          <w:p w14:paraId="0BA651B3"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0698E485" w14:textId="77777777" w:rsidR="001C56BD" w:rsidRPr="00F92667" w:rsidRDefault="001C56BD" w:rsidP="008A5C11">
            <w:pPr>
              <w:jc w:val="center"/>
              <w:rPr>
                <w:sz w:val="12"/>
                <w:szCs w:val="12"/>
              </w:rPr>
            </w:pPr>
            <w:r w:rsidRPr="00F92667">
              <w:rPr>
                <w:sz w:val="12"/>
                <w:szCs w:val="12"/>
              </w:rPr>
              <w:t>0,000</w:t>
            </w:r>
          </w:p>
        </w:tc>
        <w:tc>
          <w:tcPr>
            <w:tcW w:w="206" w:type="pct"/>
            <w:gridSpan w:val="2"/>
            <w:shd w:val="clear" w:color="auto" w:fill="auto"/>
            <w:tcMar>
              <w:left w:w="17" w:type="dxa"/>
              <w:right w:w="17" w:type="dxa"/>
            </w:tcMar>
            <w:vAlign w:val="center"/>
          </w:tcPr>
          <w:p w14:paraId="32838767"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7AEE4006" w14:textId="77777777" w:rsidR="001C56BD" w:rsidRPr="00F92667" w:rsidRDefault="001C56BD" w:rsidP="008A5C11">
            <w:pPr>
              <w:jc w:val="center"/>
              <w:rPr>
                <w:sz w:val="12"/>
                <w:szCs w:val="12"/>
              </w:rPr>
            </w:pPr>
            <w:r w:rsidRPr="00F92667">
              <w:rPr>
                <w:sz w:val="12"/>
                <w:szCs w:val="12"/>
              </w:rPr>
              <w:t>0,000</w:t>
            </w:r>
          </w:p>
        </w:tc>
        <w:tc>
          <w:tcPr>
            <w:tcW w:w="214" w:type="pct"/>
            <w:gridSpan w:val="2"/>
            <w:shd w:val="clear" w:color="auto" w:fill="auto"/>
            <w:tcMar>
              <w:left w:w="17" w:type="dxa"/>
              <w:right w:w="17" w:type="dxa"/>
            </w:tcMar>
            <w:vAlign w:val="center"/>
          </w:tcPr>
          <w:p w14:paraId="211B1C92"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2823C038"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7E91DA24" w14:textId="77777777" w:rsidR="001C56BD" w:rsidRPr="00F92667" w:rsidRDefault="001C56BD" w:rsidP="008A5C11">
            <w:pPr>
              <w:jc w:val="center"/>
              <w:rPr>
                <w:sz w:val="12"/>
                <w:szCs w:val="12"/>
              </w:rPr>
            </w:pPr>
            <w:r w:rsidRPr="00F92667">
              <w:rPr>
                <w:sz w:val="12"/>
                <w:szCs w:val="12"/>
              </w:rPr>
              <w:t>9258,744</w:t>
            </w:r>
          </w:p>
        </w:tc>
        <w:tc>
          <w:tcPr>
            <w:tcW w:w="214" w:type="pct"/>
            <w:gridSpan w:val="2"/>
            <w:shd w:val="clear" w:color="auto" w:fill="auto"/>
            <w:tcMar>
              <w:left w:w="17" w:type="dxa"/>
              <w:right w:w="17" w:type="dxa"/>
            </w:tcMar>
            <w:vAlign w:val="center"/>
          </w:tcPr>
          <w:p w14:paraId="3C6A80F4" w14:textId="77777777" w:rsidR="001C56BD" w:rsidRPr="00F92667" w:rsidRDefault="001C56BD" w:rsidP="008A5C11">
            <w:pPr>
              <w:jc w:val="center"/>
              <w:rPr>
                <w:sz w:val="12"/>
                <w:szCs w:val="12"/>
              </w:rPr>
            </w:pPr>
            <w:r w:rsidRPr="00F92667">
              <w:rPr>
                <w:sz w:val="12"/>
                <w:szCs w:val="12"/>
              </w:rPr>
              <w:t>0,000</w:t>
            </w:r>
          </w:p>
        </w:tc>
        <w:tc>
          <w:tcPr>
            <w:tcW w:w="247" w:type="pct"/>
            <w:gridSpan w:val="2"/>
            <w:shd w:val="clear" w:color="auto" w:fill="auto"/>
            <w:tcMar>
              <w:left w:w="17" w:type="dxa"/>
              <w:right w:w="17" w:type="dxa"/>
            </w:tcMar>
            <w:vAlign w:val="center"/>
          </w:tcPr>
          <w:p w14:paraId="5CE1DD71" w14:textId="77777777" w:rsidR="001C56BD" w:rsidRPr="00F92667" w:rsidRDefault="001C56BD" w:rsidP="008A5C11">
            <w:pPr>
              <w:jc w:val="center"/>
              <w:rPr>
                <w:sz w:val="12"/>
                <w:szCs w:val="12"/>
              </w:rPr>
            </w:pPr>
            <w:r w:rsidRPr="00F92667">
              <w:rPr>
                <w:sz w:val="12"/>
                <w:szCs w:val="12"/>
              </w:rPr>
              <w:t>0,000</w:t>
            </w:r>
          </w:p>
        </w:tc>
        <w:tc>
          <w:tcPr>
            <w:tcW w:w="173" w:type="pct"/>
            <w:shd w:val="clear" w:color="auto" w:fill="auto"/>
            <w:tcMar>
              <w:left w:w="17" w:type="dxa"/>
              <w:right w:w="17" w:type="dxa"/>
            </w:tcMar>
            <w:vAlign w:val="center"/>
          </w:tcPr>
          <w:p w14:paraId="5FF918DB" w14:textId="77777777" w:rsidR="001C56BD" w:rsidRPr="00F92667" w:rsidRDefault="001C56BD" w:rsidP="008A5C11">
            <w:pPr>
              <w:jc w:val="center"/>
              <w:rPr>
                <w:sz w:val="12"/>
                <w:szCs w:val="12"/>
              </w:rPr>
            </w:pPr>
            <w:r w:rsidRPr="00F92667">
              <w:rPr>
                <w:sz w:val="12"/>
                <w:szCs w:val="12"/>
              </w:rPr>
              <w:t>0,000</w:t>
            </w:r>
          </w:p>
        </w:tc>
        <w:tc>
          <w:tcPr>
            <w:tcW w:w="169" w:type="pct"/>
            <w:shd w:val="clear" w:color="auto" w:fill="auto"/>
            <w:tcMar>
              <w:left w:w="17" w:type="dxa"/>
              <w:right w:w="17" w:type="dxa"/>
            </w:tcMar>
            <w:vAlign w:val="center"/>
          </w:tcPr>
          <w:p w14:paraId="723B7D78" w14:textId="77777777" w:rsidR="001C56BD" w:rsidRPr="00F92667" w:rsidRDefault="001C56BD" w:rsidP="008A5C11">
            <w:pPr>
              <w:jc w:val="center"/>
              <w:rPr>
                <w:sz w:val="12"/>
                <w:szCs w:val="12"/>
              </w:rPr>
            </w:pPr>
            <w:r w:rsidRPr="00F92667">
              <w:rPr>
                <w:sz w:val="12"/>
                <w:szCs w:val="12"/>
              </w:rPr>
              <w:t>0,000</w:t>
            </w:r>
          </w:p>
        </w:tc>
      </w:tr>
      <w:tr w:rsidR="001C56BD" w:rsidRPr="00F92667" w14:paraId="5B3671D5" w14:textId="77777777" w:rsidTr="008A5C11">
        <w:trPr>
          <w:gridBefore w:val="1"/>
          <w:wBefore w:w="3" w:type="pct"/>
          <w:trHeight w:val="897"/>
        </w:trPr>
        <w:tc>
          <w:tcPr>
            <w:tcW w:w="129" w:type="pct"/>
            <w:shd w:val="clear" w:color="auto" w:fill="auto"/>
            <w:tcMar>
              <w:left w:w="17" w:type="dxa"/>
              <w:right w:w="17" w:type="dxa"/>
            </w:tcMar>
            <w:vAlign w:val="center"/>
          </w:tcPr>
          <w:p w14:paraId="6DA9D80F" w14:textId="77777777" w:rsidR="001C56BD" w:rsidRPr="00F92667" w:rsidRDefault="001C56BD" w:rsidP="008A5C11">
            <w:pPr>
              <w:jc w:val="center"/>
              <w:rPr>
                <w:bCs/>
                <w:sz w:val="12"/>
                <w:szCs w:val="12"/>
              </w:rPr>
            </w:pPr>
            <w:r w:rsidRPr="00F92667">
              <w:rPr>
                <w:bCs/>
                <w:sz w:val="12"/>
                <w:szCs w:val="12"/>
              </w:rPr>
              <w:t>1</w:t>
            </w:r>
          </w:p>
        </w:tc>
        <w:tc>
          <w:tcPr>
            <w:tcW w:w="305" w:type="pct"/>
            <w:shd w:val="clear" w:color="auto" w:fill="auto"/>
            <w:tcMar>
              <w:left w:w="17" w:type="dxa"/>
              <w:right w:w="17" w:type="dxa"/>
            </w:tcMar>
            <w:vAlign w:val="center"/>
          </w:tcPr>
          <w:p w14:paraId="27D2A2F9" w14:textId="77777777" w:rsidR="001C56BD" w:rsidRPr="00F92667" w:rsidRDefault="001C56BD" w:rsidP="008A5C11">
            <w:pPr>
              <w:jc w:val="center"/>
              <w:rPr>
                <w:bCs/>
                <w:sz w:val="12"/>
                <w:szCs w:val="12"/>
              </w:rPr>
            </w:pPr>
            <w:r w:rsidRPr="00F92667">
              <w:rPr>
                <w:bCs/>
                <w:sz w:val="12"/>
                <w:szCs w:val="12"/>
              </w:rPr>
              <w:t>2</w:t>
            </w:r>
          </w:p>
        </w:tc>
        <w:tc>
          <w:tcPr>
            <w:tcW w:w="304" w:type="pct"/>
            <w:shd w:val="clear" w:color="auto" w:fill="auto"/>
            <w:tcMar>
              <w:left w:w="17" w:type="dxa"/>
              <w:right w:w="17" w:type="dxa"/>
            </w:tcMar>
            <w:vAlign w:val="center"/>
          </w:tcPr>
          <w:p w14:paraId="56C2F71C" w14:textId="77777777" w:rsidR="001C56BD" w:rsidRPr="00F92667" w:rsidRDefault="001C56BD" w:rsidP="008A5C11">
            <w:pPr>
              <w:jc w:val="center"/>
              <w:rPr>
                <w:bCs/>
                <w:sz w:val="12"/>
                <w:szCs w:val="12"/>
              </w:rPr>
            </w:pPr>
            <w:r w:rsidRPr="00F92667">
              <w:rPr>
                <w:bCs/>
                <w:sz w:val="12"/>
                <w:szCs w:val="12"/>
              </w:rPr>
              <w:t>3</w:t>
            </w:r>
          </w:p>
        </w:tc>
        <w:tc>
          <w:tcPr>
            <w:tcW w:w="258" w:type="pct"/>
            <w:shd w:val="clear" w:color="auto" w:fill="auto"/>
            <w:tcMar>
              <w:left w:w="17" w:type="dxa"/>
              <w:right w:w="17" w:type="dxa"/>
            </w:tcMar>
            <w:vAlign w:val="center"/>
          </w:tcPr>
          <w:p w14:paraId="108EC00C" w14:textId="77777777" w:rsidR="001C56BD" w:rsidRPr="00F92667" w:rsidRDefault="001C56BD" w:rsidP="008A5C11">
            <w:pPr>
              <w:jc w:val="center"/>
              <w:rPr>
                <w:bCs/>
                <w:sz w:val="12"/>
                <w:szCs w:val="12"/>
              </w:rPr>
            </w:pPr>
            <w:r w:rsidRPr="00F92667">
              <w:rPr>
                <w:bCs/>
                <w:sz w:val="12"/>
                <w:szCs w:val="12"/>
              </w:rPr>
              <w:t>4</w:t>
            </w:r>
          </w:p>
        </w:tc>
        <w:tc>
          <w:tcPr>
            <w:tcW w:w="294" w:type="pct"/>
            <w:shd w:val="clear" w:color="auto" w:fill="auto"/>
            <w:tcMar>
              <w:left w:w="17" w:type="dxa"/>
              <w:right w:w="17" w:type="dxa"/>
            </w:tcMar>
            <w:vAlign w:val="center"/>
          </w:tcPr>
          <w:p w14:paraId="4F6A3BCA" w14:textId="77777777" w:rsidR="001C56BD" w:rsidRPr="00F92667" w:rsidRDefault="001C56BD" w:rsidP="008A5C11">
            <w:pPr>
              <w:jc w:val="center"/>
              <w:rPr>
                <w:bCs/>
                <w:sz w:val="12"/>
                <w:szCs w:val="12"/>
              </w:rPr>
            </w:pPr>
            <w:r w:rsidRPr="00F92667">
              <w:rPr>
                <w:bCs/>
                <w:sz w:val="12"/>
                <w:szCs w:val="12"/>
              </w:rPr>
              <w:t>5</w:t>
            </w:r>
          </w:p>
        </w:tc>
        <w:tc>
          <w:tcPr>
            <w:tcW w:w="129" w:type="pct"/>
            <w:shd w:val="clear" w:color="auto" w:fill="auto"/>
            <w:tcMar>
              <w:left w:w="17" w:type="dxa"/>
              <w:right w:w="17" w:type="dxa"/>
            </w:tcMar>
            <w:vAlign w:val="center"/>
          </w:tcPr>
          <w:p w14:paraId="39848D66" w14:textId="77777777" w:rsidR="001C56BD" w:rsidRPr="00F92667" w:rsidRDefault="001C56BD" w:rsidP="008A5C11">
            <w:pPr>
              <w:jc w:val="center"/>
              <w:rPr>
                <w:bCs/>
                <w:sz w:val="12"/>
                <w:szCs w:val="12"/>
              </w:rPr>
            </w:pPr>
            <w:r w:rsidRPr="00F92667">
              <w:rPr>
                <w:bCs/>
                <w:sz w:val="12"/>
                <w:szCs w:val="12"/>
              </w:rPr>
              <w:t>6</w:t>
            </w:r>
          </w:p>
        </w:tc>
        <w:tc>
          <w:tcPr>
            <w:tcW w:w="184" w:type="pct"/>
            <w:shd w:val="clear" w:color="auto" w:fill="auto"/>
            <w:tcMar>
              <w:left w:w="17" w:type="dxa"/>
              <w:right w:w="17" w:type="dxa"/>
            </w:tcMar>
            <w:vAlign w:val="center"/>
          </w:tcPr>
          <w:p w14:paraId="2D3153CE" w14:textId="77777777" w:rsidR="001C56BD" w:rsidRPr="00F92667" w:rsidRDefault="001C56BD" w:rsidP="008A5C11">
            <w:pPr>
              <w:jc w:val="center"/>
              <w:rPr>
                <w:bCs/>
                <w:sz w:val="12"/>
                <w:szCs w:val="12"/>
              </w:rPr>
            </w:pPr>
            <w:r w:rsidRPr="00F92667">
              <w:rPr>
                <w:bCs/>
                <w:sz w:val="12"/>
                <w:szCs w:val="12"/>
              </w:rPr>
              <w:t>7</w:t>
            </w:r>
          </w:p>
        </w:tc>
        <w:tc>
          <w:tcPr>
            <w:tcW w:w="219" w:type="pct"/>
            <w:shd w:val="clear" w:color="auto" w:fill="auto"/>
            <w:tcMar>
              <w:left w:w="17" w:type="dxa"/>
              <w:right w:w="17" w:type="dxa"/>
            </w:tcMar>
            <w:vAlign w:val="center"/>
          </w:tcPr>
          <w:p w14:paraId="5868BFD4" w14:textId="77777777" w:rsidR="001C56BD" w:rsidRPr="00F92667" w:rsidRDefault="001C56BD" w:rsidP="008A5C11">
            <w:pPr>
              <w:jc w:val="center"/>
              <w:rPr>
                <w:bCs/>
                <w:sz w:val="12"/>
                <w:szCs w:val="12"/>
              </w:rPr>
            </w:pPr>
            <w:r w:rsidRPr="00F92667">
              <w:rPr>
                <w:bCs/>
                <w:sz w:val="12"/>
                <w:szCs w:val="12"/>
              </w:rPr>
              <w:t>8</w:t>
            </w:r>
          </w:p>
        </w:tc>
        <w:tc>
          <w:tcPr>
            <w:tcW w:w="130" w:type="pct"/>
            <w:shd w:val="clear" w:color="auto" w:fill="auto"/>
            <w:tcMar>
              <w:left w:w="17" w:type="dxa"/>
              <w:right w:w="17" w:type="dxa"/>
            </w:tcMar>
            <w:vAlign w:val="center"/>
          </w:tcPr>
          <w:p w14:paraId="4594187C" w14:textId="77777777" w:rsidR="001C56BD" w:rsidRPr="00F92667" w:rsidRDefault="001C56BD" w:rsidP="008A5C11">
            <w:pPr>
              <w:jc w:val="center"/>
              <w:rPr>
                <w:bCs/>
                <w:sz w:val="12"/>
                <w:szCs w:val="12"/>
              </w:rPr>
            </w:pPr>
            <w:r w:rsidRPr="00F92667">
              <w:rPr>
                <w:bCs/>
                <w:sz w:val="12"/>
                <w:szCs w:val="12"/>
              </w:rPr>
              <w:t>9</w:t>
            </w:r>
          </w:p>
        </w:tc>
        <w:tc>
          <w:tcPr>
            <w:tcW w:w="130" w:type="pct"/>
            <w:shd w:val="clear" w:color="auto" w:fill="auto"/>
            <w:tcMar>
              <w:left w:w="17" w:type="dxa"/>
              <w:right w:w="17" w:type="dxa"/>
            </w:tcMar>
            <w:vAlign w:val="center"/>
          </w:tcPr>
          <w:p w14:paraId="5D7C192C" w14:textId="77777777" w:rsidR="001C56BD" w:rsidRPr="00F92667" w:rsidRDefault="001C56BD" w:rsidP="008A5C11">
            <w:pPr>
              <w:jc w:val="center"/>
              <w:rPr>
                <w:bCs/>
                <w:sz w:val="12"/>
                <w:szCs w:val="12"/>
              </w:rPr>
            </w:pPr>
            <w:r w:rsidRPr="00F92667">
              <w:rPr>
                <w:bCs/>
                <w:sz w:val="12"/>
                <w:szCs w:val="12"/>
              </w:rPr>
              <w:t>10</w:t>
            </w:r>
          </w:p>
        </w:tc>
        <w:tc>
          <w:tcPr>
            <w:tcW w:w="217" w:type="pct"/>
            <w:gridSpan w:val="2"/>
            <w:shd w:val="clear" w:color="auto" w:fill="auto"/>
            <w:tcMar>
              <w:left w:w="17" w:type="dxa"/>
              <w:right w:w="17" w:type="dxa"/>
            </w:tcMar>
            <w:vAlign w:val="center"/>
          </w:tcPr>
          <w:p w14:paraId="7CDE9BCD" w14:textId="77777777" w:rsidR="001C56BD" w:rsidRPr="00F92667" w:rsidRDefault="001C56BD" w:rsidP="008A5C11">
            <w:pPr>
              <w:jc w:val="center"/>
              <w:rPr>
                <w:bCs/>
                <w:sz w:val="12"/>
                <w:szCs w:val="12"/>
              </w:rPr>
            </w:pPr>
            <w:r w:rsidRPr="00F92667">
              <w:rPr>
                <w:bCs/>
                <w:sz w:val="12"/>
                <w:szCs w:val="12"/>
              </w:rPr>
              <w:t>11</w:t>
            </w:r>
          </w:p>
        </w:tc>
        <w:tc>
          <w:tcPr>
            <w:tcW w:w="177" w:type="pct"/>
            <w:gridSpan w:val="2"/>
            <w:shd w:val="clear" w:color="auto" w:fill="auto"/>
            <w:tcMar>
              <w:left w:w="17" w:type="dxa"/>
              <w:right w:w="17" w:type="dxa"/>
            </w:tcMar>
            <w:vAlign w:val="center"/>
          </w:tcPr>
          <w:p w14:paraId="030BFA1E" w14:textId="77777777" w:rsidR="001C56BD" w:rsidRPr="00F92667" w:rsidRDefault="001C56BD" w:rsidP="008A5C11">
            <w:pPr>
              <w:jc w:val="center"/>
              <w:rPr>
                <w:bCs/>
                <w:sz w:val="12"/>
                <w:szCs w:val="12"/>
              </w:rPr>
            </w:pPr>
            <w:r w:rsidRPr="00F92667">
              <w:rPr>
                <w:bCs/>
                <w:sz w:val="12"/>
                <w:szCs w:val="12"/>
              </w:rPr>
              <w:t>12</w:t>
            </w:r>
          </w:p>
        </w:tc>
        <w:tc>
          <w:tcPr>
            <w:tcW w:w="212" w:type="pct"/>
            <w:shd w:val="clear" w:color="auto" w:fill="auto"/>
            <w:tcMar>
              <w:left w:w="17" w:type="dxa"/>
              <w:right w:w="17" w:type="dxa"/>
            </w:tcMar>
            <w:vAlign w:val="center"/>
          </w:tcPr>
          <w:p w14:paraId="7D870113" w14:textId="77777777" w:rsidR="001C56BD" w:rsidRPr="00F92667" w:rsidRDefault="001C56BD" w:rsidP="008A5C11">
            <w:pPr>
              <w:jc w:val="center"/>
              <w:rPr>
                <w:bCs/>
                <w:sz w:val="12"/>
                <w:szCs w:val="12"/>
              </w:rPr>
            </w:pPr>
            <w:r w:rsidRPr="00F92667">
              <w:rPr>
                <w:bCs/>
                <w:sz w:val="12"/>
                <w:szCs w:val="12"/>
              </w:rPr>
              <w:t>13</w:t>
            </w:r>
          </w:p>
        </w:tc>
        <w:tc>
          <w:tcPr>
            <w:tcW w:w="218" w:type="pct"/>
            <w:gridSpan w:val="2"/>
            <w:shd w:val="clear" w:color="auto" w:fill="auto"/>
            <w:tcMar>
              <w:left w:w="17" w:type="dxa"/>
              <w:right w:w="17" w:type="dxa"/>
            </w:tcMar>
            <w:vAlign w:val="center"/>
          </w:tcPr>
          <w:p w14:paraId="3F412E3D" w14:textId="77777777" w:rsidR="001C56BD" w:rsidRPr="00F92667" w:rsidRDefault="001C56BD" w:rsidP="008A5C11">
            <w:pPr>
              <w:jc w:val="center"/>
              <w:rPr>
                <w:bCs/>
                <w:sz w:val="12"/>
                <w:szCs w:val="12"/>
              </w:rPr>
            </w:pPr>
            <w:r w:rsidRPr="00F92667">
              <w:rPr>
                <w:bCs/>
                <w:sz w:val="12"/>
                <w:szCs w:val="12"/>
              </w:rPr>
              <w:t>14</w:t>
            </w:r>
          </w:p>
        </w:tc>
        <w:tc>
          <w:tcPr>
            <w:tcW w:w="217" w:type="pct"/>
            <w:gridSpan w:val="2"/>
            <w:shd w:val="clear" w:color="auto" w:fill="auto"/>
            <w:tcMar>
              <w:left w:w="17" w:type="dxa"/>
              <w:right w:w="17" w:type="dxa"/>
            </w:tcMar>
            <w:vAlign w:val="center"/>
          </w:tcPr>
          <w:p w14:paraId="4297C023" w14:textId="77777777" w:rsidR="001C56BD" w:rsidRPr="00F92667" w:rsidRDefault="001C56BD" w:rsidP="008A5C11">
            <w:pPr>
              <w:jc w:val="center"/>
              <w:rPr>
                <w:bCs/>
                <w:sz w:val="12"/>
                <w:szCs w:val="12"/>
              </w:rPr>
            </w:pPr>
            <w:r w:rsidRPr="00F92667">
              <w:rPr>
                <w:bCs/>
                <w:sz w:val="12"/>
                <w:szCs w:val="12"/>
              </w:rPr>
              <w:t>15</w:t>
            </w:r>
          </w:p>
        </w:tc>
        <w:tc>
          <w:tcPr>
            <w:tcW w:w="206" w:type="pct"/>
            <w:gridSpan w:val="2"/>
            <w:tcMar>
              <w:left w:w="17" w:type="dxa"/>
              <w:right w:w="17" w:type="dxa"/>
            </w:tcMar>
            <w:vAlign w:val="center"/>
          </w:tcPr>
          <w:p w14:paraId="52B2E0B8" w14:textId="77777777" w:rsidR="001C56BD" w:rsidRPr="00F92667" w:rsidRDefault="001C56BD" w:rsidP="008A5C11">
            <w:pPr>
              <w:jc w:val="center"/>
              <w:rPr>
                <w:bCs/>
                <w:sz w:val="12"/>
                <w:szCs w:val="12"/>
              </w:rPr>
            </w:pPr>
            <w:r w:rsidRPr="00F92667">
              <w:rPr>
                <w:bCs/>
                <w:sz w:val="12"/>
                <w:szCs w:val="12"/>
              </w:rPr>
              <w:t>16</w:t>
            </w:r>
          </w:p>
        </w:tc>
        <w:tc>
          <w:tcPr>
            <w:tcW w:w="217" w:type="pct"/>
            <w:gridSpan w:val="2"/>
            <w:tcMar>
              <w:left w:w="17" w:type="dxa"/>
              <w:right w:w="17" w:type="dxa"/>
            </w:tcMar>
            <w:vAlign w:val="center"/>
          </w:tcPr>
          <w:p w14:paraId="3363E32A" w14:textId="77777777" w:rsidR="001C56BD" w:rsidRPr="00F92667" w:rsidRDefault="001C56BD" w:rsidP="008A5C11">
            <w:pPr>
              <w:jc w:val="center"/>
              <w:rPr>
                <w:bCs/>
                <w:sz w:val="12"/>
                <w:szCs w:val="12"/>
              </w:rPr>
            </w:pPr>
            <w:r w:rsidRPr="00F92667">
              <w:rPr>
                <w:bCs/>
                <w:sz w:val="12"/>
                <w:szCs w:val="12"/>
              </w:rPr>
              <w:t>17</w:t>
            </w:r>
          </w:p>
        </w:tc>
        <w:tc>
          <w:tcPr>
            <w:tcW w:w="214" w:type="pct"/>
            <w:gridSpan w:val="2"/>
            <w:tcMar>
              <w:left w:w="17" w:type="dxa"/>
              <w:right w:w="17" w:type="dxa"/>
            </w:tcMar>
            <w:vAlign w:val="center"/>
          </w:tcPr>
          <w:p w14:paraId="1A0E8073" w14:textId="77777777" w:rsidR="001C56BD" w:rsidRPr="00F92667" w:rsidRDefault="001C56BD" w:rsidP="008A5C11">
            <w:pPr>
              <w:jc w:val="center"/>
              <w:rPr>
                <w:bCs/>
                <w:sz w:val="12"/>
                <w:szCs w:val="12"/>
              </w:rPr>
            </w:pPr>
            <w:r w:rsidRPr="00F92667">
              <w:rPr>
                <w:bCs/>
                <w:sz w:val="12"/>
                <w:szCs w:val="12"/>
              </w:rPr>
              <w:t>18</w:t>
            </w:r>
          </w:p>
        </w:tc>
        <w:tc>
          <w:tcPr>
            <w:tcW w:w="217" w:type="pct"/>
            <w:gridSpan w:val="2"/>
            <w:tcMar>
              <w:left w:w="17" w:type="dxa"/>
              <w:right w:w="17" w:type="dxa"/>
            </w:tcMar>
            <w:vAlign w:val="center"/>
          </w:tcPr>
          <w:p w14:paraId="39628C7A" w14:textId="77777777" w:rsidR="001C56BD" w:rsidRPr="00F92667" w:rsidRDefault="001C56BD" w:rsidP="008A5C11">
            <w:pPr>
              <w:jc w:val="center"/>
              <w:rPr>
                <w:bCs/>
                <w:sz w:val="12"/>
                <w:szCs w:val="12"/>
              </w:rPr>
            </w:pPr>
            <w:r w:rsidRPr="00F92667">
              <w:rPr>
                <w:bCs/>
                <w:sz w:val="12"/>
                <w:szCs w:val="12"/>
              </w:rPr>
              <w:t>19</w:t>
            </w:r>
          </w:p>
        </w:tc>
        <w:tc>
          <w:tcPr>
            <w:tcW w:w="217" w:type="pct"/>
            <w:gridSpan w:val="2"/>
            <w:tcMar>
              <w:left w:w="17" w:type="dxa"/>
              <w:right w:w="17" w:type="dxa"/>
            </w:tcMar>
            <w:vAlign w:val="center"/>
          </w:tcPr>
          <w:p w14:paraId="14B3EFDA" w14:textId="77777777" w:rsidR="001C56BD" w:rsidRPr="00F92667" w:rsidRDefault="001C56BD" w:rsidP="008A5C11">
            <w:pPr>
              <w:jc w:val="center"/>
              <w:rPr>
                <w:bCs/>
                <w:sz w:val="12"/>
                <w:szCs w:val="12"/>
              </w:rPr>
            </w:pPr>
            <w:r w:rsidRPr="00F92667">
              <w:rPr>
                <w:bCs/>
                <w:sz w:val="12"/>
                <w:szCs w:val="12"/>
              </w:rPr>
              <w:t>20</w:t>
            </w:r>
          </w:p>
        </w:tc>
        <w:tc>
          <w:tcPr>
            <w:tcW w:w="214" w:type="pct"/>
            <w:gridSpan w:val="2"/>
            <w:tcMar>
              <w:left w:w="17" w:type="dxa"/>
              <w:right w:w="17" w:type="dxa"/>
            </w:tcMar>
            <w:vAlign w:val="center"/>
          </w:tcPr>
          <w:p w14:paraId="56053544" w14:textId="77777777" w:rsidR="001C56BD" w:rsidRPr="00F92667" w:rsidRDefault="001C56BD" w:rsidP="008A5C11">
            <w:pPr>
              <w:jc w:val="center"/>
              <w:rPr>
                <w:bCs/>
                <w:sz w:val="12"/>
                <w:szCs w:val="12"/>
              </w:rPr>
            </w:pPr>
            <w:r w:rsidRPr="00F92667">
              <w:rPr>
                <w:bCs/>
                <w:sz w:val="12"/>
                <w:szCs w:val="12"/>
              </w:rPr>
              <w:t>21</w:t>
            </w:r>
          </w:p>
        </w:tc>
        <w:tc>
          <w:tcPr>
            <w:tcW w:w="247" w:type="pct"/>
            <w:gridSpan w:val="2"/>
            <w:tcMar>
              <w:left w:w="17" w:type="dxa"/>
              <w:right w:w="17" w:type="dxa"/>
            </w:tcMar>
            <w:vAlign w:val="center"/>
          </w:tcPr>
          <w:p w14:paraId="20D95EF3" w14:textId="77777777" w:rsidR="001C56BD" w:rsidRPr="00F92667" w:rsidRDefault="001C56BD" w:rsidP="008A5C11">
            <w:pPr>
              <w:jc w:val="center"/>
              <w:rPr>
                <w:bCs/>
                <w:sz w:val="12"/>
                <w:szCs w:val="12"/>
              </w:rPr>
            </w:pPr>
            <w:r w:rsidRPr="00F92667">
              <w:rPr>
                <w:bCs/>
                <w:sz w:val="12"/>
                <w:szCs w:val="12"/>
              </w:rPr>
              <w:t>22</w:t>
            </w:r>
          </w:p>
        </w:tc>
        <w:tc>
          <w:tcPr>
            <w:tcW w:w="173" w:type="pct"/>
            <w:tcMar>
              <w:left w:w="17" w:type="dxa"/>
              <w:right w:w="17" w:type="dxa"/>
            </w:tcMar>
            <w:vAlign w:val="center"/>
          </w:tcPr>
          <w:p w14:paraId="4E1C63AC" w14:textId="77777777" w:rsidR="001C56BD" w:rsidRPr="00F92667" w:rsidRDefault="001C56BD" w:rsidP="008A5C11">
            <w:pPr>
              <w:jc w:val="center"/>
              <w:rPr>
                <w:bCs/>
                <w:sz w:val="12"/>
                <w:szCs w:val="12"/>
              </w:rPr>
            </w:pPr>
            <w:r w:rsidRPr="00F92667">
              <w:rPr>
                <w:bCs/>
                <w:sz w:val="12"/>
                <w:szCs w:val="12"/>
              </w:rPr>
              <w:t>23</w:t>
            </w:r>
          </w:p>
        </w:tc>
        <w:tc>
          <w:tcPr>
            <w:tcW w:w="169" w:type="pct"/>
            <w:tcMar>
              <w:left w:w="17" w:type="dxa"/>
              <w:right w:w="17" w:type="dxa"/>
            </w:tcMar>
            <w:vAlign w:val="center"/>
          </w:tcPr>
          <w:p w14:paraId="32289DB2" w14:textId="77777777" w:rsidR="001C56BD" w:rsidRPr="00F92667" w:rsidRDefault="001C56BD" w:rsidP="008A5C11">
            <w:pPr>
              <w:jc w:val="center"/>
              <w:rPr>
                <w:bCs/>
                <w:sz w:val="12"/>
                <w:szCs w:val="12"/>
              </w:rPr>
            </w:pPr>
            <w:r w:rsidRPr="00F92667">
              <w:rPr>
                <w:bCs/>
                <w:sz w:val="12"/>
                <w:szCs w:val="12"/>
              </w:rPr>
              <w:t>24</w:t>
            </w:r>
          </w:p>
        </w:tc>
      </w:tr>
      <w:tr w:rsidR="001C56BD" w:rsidRPr="00F92667" w14:paraId="066ABF1D" w14:textId="77777777" w:rsidTr="008A5C11">
        <w:trPr>
          <w:gridBefore w:val="1"/>
          <w:wBefore w:w="3" w:type="pct"/>
          <w:trHeight w:val="897"/>
        </w:trPr>
        <w:tc>
          <w:tcPr>
            <w:tcW w:w="129" w:type="pct"/>
            <w:shd w:val="clear" w:color="auto" w:fill="auto"/>
            <w:tcMar>
              <w:left w:w="17" w:type="dxa"/>
              <w:right w:w="17" w:type="dxa"/>
            </w:tcMar>
            <w:vAlign w:val="center"/>
          </w:tcPr>
          <w:p w14:paraId="52B9CCBF" w14:textId="77777777" w:rsidR="001C56BD" w:rsidRPr="00F92667" w:rsidRDefault="001C56BD" w:rsidP="008A5C11">
            <w:pPr>
              <w:jc w:val="center"/>
              <w:rPr>
                <w:sz w:val="12"/>
                <w:szCs w:val="12"/>
              </w:rPr>
            </w:pPr>
            <w:r w:rsidRPr="00F92667">
              <w:rPr>
                <w:sz w:val="12"/>
                <w:szCs w:val="12"/>
              </w:rPr>
              <w:t>3.1.44.</w:t>
            </w:r>
          </w:p>
        </w:tc>
        <w:tc>
          <w:tcPr>
            <w:tcW w:w="305" w:type="pct"/>
            <w:shd w:val="clear" w:color="auto" w:fill="auto"/>
            <w:tcMar>
              <w:left w:w="17" w:type="dxa"/>
              <w:right w:w="17" w:type="dxa"/>
            </w:tcMar>
            <w:vAlign w:val="center"/>
          </w:tcPr>
          <w:p w14:paraId="3CF0A975" w14:textId="77777777" w:rsidR="001C56BD" w:rsidRPr="00F92667" w:rsidRDefault="001C56BD" w:rsidP="008A5C11">
            <w:pPr>
              <w:rPr>
                <w:sz w:val="12"/>
                <w:szCs w:val="12"/>
              </w:rPr>
            </w:pPr>
            <w:r w:rsidRPr="00F92667">
              <w:rPr>
                <w:color w:val="000000"/>
                <w:sz w:val="12"/>
                <w:szCs w:val="12"/>
              </w:rPr>
              <w:t>Реконструкция тепловой сети с реестровым номером</w:t>
            </w:r>
            <w:r w:rsidRPr="00F92667">
              <w:rPr>
                <w:sz w:val="12"/>
                <w:szCs w:val="12"/>
              </w:rPr>
              <w:t xml:space="preserve"> 772222</w:t>
            </w:r>
          </w:p>
        </w:tc>
        <w:tc>
          <w:tcPr>
            <w:tcW w:w="304" w:type="pct"/>
            <w:shd w:val="clear" w:color="000000" w:fill="FFFFFF"/>
            <w:tcMar>
              <w:left w:w="17" w:type="dxa"/>
              <w:right w:w="17" w:type="dxa"/>
            </w:tcMar>
            <w:vAlign w:val="center"/>
          </w:tcPr>
          <w:p w14:paraId="77A1C0D2" w14:textId="77777777" w:rsidR="001C56BD" w:rsidRPr="00F92667" w:rsidRDefault="001C56BD" w:rsidP="008A5C11">
            <w:pPr>
              <w:jc w:val="center"/>
              <w:rPr>
                <w:sz w:val="12"/>
                <w:szCs w:val="12"/>
              </w:rPr>
            </w:pPr>
            <w:r w:rsidRPr="00F92667">
              <w:rPr>
                <w:color w:val="000000"/>
                <w:sz w:val="12"/>
                <w:szCs w:val="12"/>
              </w:rPr>
              <w:t>Повышение надежности услуг теплоснабжения, повышение энергетической эффективности</w:t>
            </w:r>
          </w:p>
        </w:tc>
        <w:tc>
          <w:tcPr>
            <w:tcW w:w="258" w:type="pct"/>
            <w:shd w:val="clear" w:color="auto" w:fill="auto"/>
            <w:tcMar>
              <w:left w:w="17" w:type="dxa"/>
              <w:right w:w="17" w:type="dxa"/>
            </w:tcMar>
            <w:vAlign w:val="center"/>
          </w:tcPr>
          <w:p w14:paraId="136F37E5" w14:textId="77777777" w:rsidR="001C56BD" w:rsidRPr="00F92667" w:rsidRDefault="001C56BD" w:rsidP="008A5C11">
            <w:pPr>
              <w:jc w:val="center"/>
              <w:rPr>
                <w:sz w:val="12"/>
                <w:szCs w:val="12"/>
              </w:rPr>
            </w:pPr>
            <w:r w:rsidRPr="00F92667">
              <w:rPr>
                <w:sz w:val="12"/>
                <w:szCs w:val="12"/>
              </w:rPr>
              <w:t>Кемеровский городской округ, Центральный район, Микрорайон 7, ТК 17-5</w:t>
            </w:r>
          </w:p>
        </w:tc>
        <w:tc>
          <w:tcPr>
            <w:tcW w:w="294" w:type="pct"/>
            <w:shd w:val="clear" w:color="auto" w:fill="auto"/>
            <w:tcMar>
              <w:left w:w="17" w:type="dxa"/>
              <w:right w:w="17" w:type="dxa"/>
            </w:tcMar>
            <w:vAlign w:val="center"/>
          </w:tcPr>
          <w:p w14:paraId="2CC00C8E" w14:textId="77777777" w:rsidR="001C56BD" w:rsidRPr="00F92667" w:rsidRDefault="001C56BD" w:rsidP="008A5C11">
            <w:pPr>
              <w:jc w:val="center"/>
              <w:rPr>
                <w:sz w:val="12"/>
                <w:szCs w:val="12"/>
              </w:rPr>
            </w:pPr>
            <w:r w:rsidRPr="00F92667">
              <w:rPr>
                <w:color w:val="000000"/>
                <w:sz w:val="12"/>
                <w:szCs w:val="12"/>
              </w:rPr>
              <w:t>Технические характеристики</w:t>
            </w:r>
          </w:p>
        </w:tc>
        <w:tc>
          <w:tcPr>
            <w:tcW w:w="129" w:type="pct"/>
            <w:shd w:val="clear" w:color="auto" w:fill="auto"/>
            <w:tcMar>
              <w:left w:w="17" w:type="dxa"/>
              <w:right w:w="17" w:type="dxa"/>
            </w:tcMar>
            <w:vAlign w:val="center"/>
          </w:tcPr>
          <w:p w14:paraId="5EAE7E8C" w14:textId="77777777" w:rsidR="001C56BD" w:rsidRPr="00F92667" w:rsidRDefault="001C56BD" w:rsidP="008A5C11">
            <w:pPr>
              <w:jc w:val="center"/>
              <w:rPr>
                <w:color w:val="000000"/>
                <w:sz w:val="12"/>
                <w:szCs w:val="12"/>
              </w:rPr>
            </w:pPr>
          </w:p>
        </w:tc>
        <w:tc>
          <w:tcPr>
            <w:tcW w:w="184" w:type="pct"/>
            <w:shd w:val="clear" w:color="auto" w:fill="auto"/>
            <w:tcMar>
              <w:left w:w="17" w:type="dxa"/>
              <w:right w:w="17" w:type="dxa"/>
            </w:tcMar>
            <w:vAlign w:val="center"/>
          </w:tcPr>
          <w:p w14:paraId="6739AE54" w14:textId="77777777" w:rsidR="001C56BD" w:rsidRPr="00F92667" w:rsidRDefault="001C56BD" w:rsidP="008A5C11">
            <w:pPr>
              <w:jc w:val="center"/>
              <w:rPr>
                <w:sz w:val="12"/>
                <w:szCs w:val="12"/>
              </w:rPr>
            </w:pPr>
            <w:r w:rsidRPr="00F92667">
              <w:rPr>
                <w:sz w:val="12"/>
                <w:szCs w:val="12"/>
              </w:rPr>
              <w:t>Канал-ж/б лотки (непроходной канал),</w:t>
            </w:r>
            <w:r w:rsidRPr="00F92667">
              <w:rPr>
                <w:sz w:val="12"/>
                <w:szCs w:val="12"/>
              </w:rPr>
              <w:br/>
              <w:t xml:space="preserve">опоры приварные, запорная арматура-стальная клиновая, антикоррозийная защита-лак БТ, труба-сталь 20, изоляция-мин. маты.      </w:t>
            </w:r>
          </w:p>
        </w:tc>
        <w:tc>
          <w:tcPr>
            <w:tcW w:w="219" w:type="pct"/>
            <w:shd w:val="clear" w:color="auto" w:fill="auto"/>
            <w:tcMar>
              <w:left w:w="17" w:type="dxa"/>
              <w:right w:w="17" w:type="dxa"/>
            </w:tcMar>
            <w:vAlign w:val="center"/>
          </w:tcPr>
          <w:p w14:paraId="2AE1B4D1" w14:textId="77777777" w:rsidR="001C56BD" w:rsidRPr="00F92667" w:rsidRDefault="001C56BD" w:rsidP="008A5C11">
            <w:pPr>
              <w:jc w:val="center"/>
              <w:rPr>
                <w:sz w:val="12"/>
                <w:szCs w:val="12"/>
              </w:rPr>
            </w:pPr>
            <w:r w:rsidRPr="00F92667">
              <w:rPr>
                <w:sz w:val="12"/>
                <w:szCs w:val="12"/>
              </w:rPr>
              <w:t xml:space="preserve">Канал-ж/б лотки, опоры-хомутовые с диэлектрической прокладкой, запорная арматура - кран шаровый, антикоррозийная защита-мастика Вектор 1214, 1025, труба-сталь 09Г2С, изоляция - маты прошивные, </w:t>
            </w:r>
            <w:proofErr w:type="gramStart"/>
            <w:r w:rsidRPr="00F92667">
              <w:rPr>
                <w:sz w:val="12"/>
                <w:szCs w:val="12"/>
              </w:rPr>
              <w:t>стеклоплас-тик</w:t>
            </w:r>
            <w:proofErr w:type="gramEnd"/>
            <w:r w:rsidRPr="00F92667">
              <w:rPr>
                <w:sz w:val="12"/>
                <w:szCs w:val="12"/>
              </w:rPr>
              <w:t xml:space="preserve"> </w:t>
            </w:r>
          </w:p>
        </w:tc>
        <w:tc>
          <w:tcPr>
            <w:tcW w:w="130" w:type="pct"/>
            <w:shd w:val="clear" w:color="auto" w:fill="auto"/>
            <w:tcMar>
              <w:left w:w="17" w:type="dxa"/>
              <w:right w:w="17" w:type="dxa"/>
            </w:tcMar>
            <w:vAlign w:val="center"/>
          </w:tcPr>
          <w:p w14:paraId="2FE289C6" w14:textId="77777777" w:rsidR="001C56BD" w:rsidRPr="00F92667" w:rsidRDefault="001C56BD" w:rsidP="008A5C11">
            <w:pPr>
              <w:jc w:val="center"/>
              <w:rPr>
                <w:sz w:val="12"/>
                <w:szCs w:val="12"/>
              </w:rPr>
            </w:pPr>
            <w:r w:rsidRPr="00F92667">
              <w:rPr>
                <w:sz w:val="12"/>
                <w:szCs w:val="12"/>
              </w:rPr>
              <w:t>2023</w:t>
            </w:r>
          </w:p>
        </w:tc>
        <w:tc>
          <w:tcPr>
            <w:tcW w:w="130" w:type="pct"/>
            <w:shd w:val="clear" w:color="auto" w:fill="auto"/>
            <w:tcMar>
              <w:left w:w="17" w:type="dxa"/>
              <w:right w:w="17" w:type="dxa"/>
            </w:tcMar>
            <w:vAlign w:val="center"/>
          </w:tcPr>
          <w:p w14:paraId="20CC2E39" w14:textId="77777777" w:rsidR="001C56BD" w:rsidRPr="00F92667" w:rsidRDefault="001C56BD" w:rsidP="008A5C11">
            <w:pPr>
              <w:jc w:val="center"/>
              <w:rPr>
                <w:sz w:val="12"/>
                <w:szCs w:val="12"/>
              </w:rPr>
            </w:pPr>
            <w:r w:rsidRPr="00F92667">
              <w:rPr>
                <w:sz w:val="12"/>
                <w:szCs w:val="12"/>
              </w:rPr>
              <w:t>2024</w:t>
            </w:r>
          </w:p>
        </w:tc>
        <w:tc>
          <w:tcPr>
            <w:tcW w:w="217" w:type="pct"/>
            <w:gridSpan w:val="2"/>
            <w:shd w:val="clear" w:color="auto" w:fill="auto"/>
            <w:tcMar>
              <w:left w:w="17" w:type="dxa"/>
              <w:right w:w="17" w:type="dxa"/>
            </w:tcMar>
            <w:vAlign w:val="center"/>
          </w:tcPr>
          <w:p w14:paraId="54160A83" w14:textId="77777777" w:rsidR="001C56BD" w:rsidRPr="00F92667" w:rsidRDefault="001C56BD" w:rsidP="008A5C11">
            <w:pPr>
              <w:jc w:val="center"/>
              <w:rPr>
                <w:sz w:val="12"/>
                <w:szCs w:val="12"/>
              </w:rPr>
            </w:pPr>
            <w:r w:rsidRPr="00F92667">
              <w:rPr>
                <w:sz w:val="12"/>
                <w:szCs w:val="12"/>
              </w:rPr>
              <w:t>21152,472</w:t>
            </w:r>
          </w:p>
        </w:tc>
        <w:tc>
          <w:tcPr>
            <w:tcW w:w="177" w:type="pct"/>
            <w:gridSpan w:val="2"/>
            <w:shd w:val="clear" w:color="auto" w:fill="auto"/>
            <w:tcMar>
              <w:left w:w="17" w:type="dxa"/>
              <w:right w:w="17" w:type="dxa"/>
            </w:tcMar>
            <w:vAlign w:val="center"/>
          </w:tcPr>
          <w:p w14:paraId="6C9E1A34" w14:textId="77777777" w:rsidR="001C56BD" w:rsidRPr="00F92667" w:rsidRDefault="001C56BD" w:rsidP="008A5C11">
            <w:pPr>
              <w:jc w:val="center"/>
              <w:rPr>
                <w:sz w:val="12"/>
                <w:szCs w:val="12"/>
              </w:rPr>
            </w:pPr>
            <w:r w:rsidRPr="00F92667">
              <w:rPr>
                <w:sz w:val="12"/>
                <w:szCs w:val="12"/>
              </w:rPr>
              <w:t>0,000</w:t>
            </w:r>
          </w:p>
        </w:tc>
        <w:tc>
          <w:tcPr>
            <w:tcW w:w="212" w:type="pct"/>
            <w:shd w:val="clear" w:color="auto" w:fill="auto"/>
            <w:tcMar>
              <w:left w:w="17" w:type="dxa"/>
              <w:right w:w="17" w:type="dxa"/>
            </w:tcMar>
            <w:vAlign w:val="center"/>
          </w:tcPr>
          <w:p w14:paraId="08603C33" w14:textId="77777777" w:rsidR="001C56BD" w:rsidRPr="00F92667" w:rsidRDefault="001C56BD" w:rsidP="008A5C11">
            <w:pPr>
              <w:jc w:val="center"/>
              <w:rPr>
                <w:sz w:val="12"/>
                <w:szCs w:val="12"/>
              </w:rPr>
            </w:pPr>
            <w:r w:rsidRPr="00F92667">
              <w:rPr>
                <w:sz w:val="12"/>
                <w:szCs w:val="12"/>
              </w:rPr>
              <w:t>0,000</w:t>
            </w:r>
          </w:p>
        </w:tc>
        <w:tc>
          <w:tcPr>
            <w:tcW w:w="218" w:type="pct"/>
            <w:gridSpan w:val="2"/>
            <w:shd w:val="clear" w:color="auto" w:fill="auto"/>
            <w:tcMar>
              <w:left w:w="17" w:type="dxa"/>
              <w:right w:w="17" w:type="dxa"/>
            </w:tcMar>
            <w:vAlign w:val="center"/>
          </w:tcPr>
          <w:p w14:paraId="6EF21504" w14:textId="77777777" w:rsidR="001C56BD" w:rsidRPr="00F92667" w:rsidRDefault="001C56BD" w:rsidP="008A5C11">
            <w:pPr>
              <w:jc w:val="center"/>
              <w:rPr>
                <w:sz w:val="12"/>
                <w:szCs w:val="12"/>
              </w:rPr>
            </w:pPr>
            <w:r w:rsidRPr="00F92667">
              <w:rPr>
                <w:sz w:val="12"/>
                <w:szCs w:val="12"/>
              </w:rPr>
              <w:t>8808,780</w:t>
            </w:r>
          </w:p>
        </w:tc>
        <w:tc>
          <w:tcPr>
            <w:tcW w:w="217" w:type="pct"/>
            <w:gridSpan w:val="2"/>
            <w:shd w:val="clear" w:color="auto" w:fill="auto"/>
            <w:tcMar>
              <w:left w:w="17" w:type="dxa"/>
              <w:right w:w="17" w:type="dxa"/>
            </w:tcMar>
            <w:vAlign w:val="center"/>
          </w:tcPr>
          <w:p w14:paraId="581D25E6" w14:textId="77777777" w:rsidR="001C56BD" w:rsidRPr="00F92667" w:rsidRDefault="001C56BD" w:rsidP="008A5C11">
            <w:pPr>
              <w:jc w:val="center"/>
              <w:rPr>
                <w:sz w:val="12"/>
                <w:szCs w:val="12"/>
              </w:rPr>
            </w:pPr>
            <w:r w:rsidRPr="00F92667">
              <w:rPr>
                <w:sz w:val="12"/>
                <w:szCs w:val="12"/>
              </w:rPr>
              <w:t>12343,692</w:t>
            </w:r>
          </w:p>
        </w:tc>
        <w:tc>
          <w:tcPr>
            <w:tcW w:w="206" w:type="pct"/>
            <w:gridSpan w:val="2"/>
            <w:shd w:val="clear" w:color="auto" w:fill="auto"/>
            <w:tcMar>
              <w:left w:w="17" w:type="dxa"/>
              <w:right w:w="17" w:type="dxa"/>
            </w:tcMar>
            <w:vAlign w:val="center"/>
          </w:tcPr>
          <w:p w14:paraId="7143D4AC"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5242CECF" w14:textId="77777777" w:rsidR="001C56BD" w:rsidRPr="00F92667" w:rsidRDefault="001C56BD" w:rsidP="008A5C11">
            <w:pPr>
              <w:jc w:val="center"/>
              <w:rPr>
                <w:sz w:val="12"/>
                <w:szCs w:val="12"/>
              </w:rPr>
            </w:pPr>
            <w:r w:rsidRPr="00F92667">
              <w:rPr>
                <w:sz w:val="12"/>
                <w:szCs w:val="12"/>
              </w:rPr>
              <w:t>0,000</w:t>
            </w:r>
          </w:p>
        </w:tc>
        <w:tc>
          <w:tcPr>
            <w:tcW w:w="214" w:type="pct"/>
            <w:gridSpan w:val="2"/>
            <w:shd w:val="clear" w:color="auto" w:fill="auto"/>
            <w:tcMar>
              <w:left w:w="17" w:type="dxa"/>
              <w:right w:w="17" w:type="dxa"/>
            </w:tcMar>
            <w:vAlign w:val="center"/>
          </w:tcPr>
          <w:p w14:paraId="6804ACA5"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166020CB"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00D6BFFA" w14:textId="77777777" w:rsidR="001C56BD" w:rsidRPr="00F92667" w:rsidRDefault="001C56BD" w:rsidP="008A5C11">
            <w:pPr>
              <w:jc w:val="center"/>
              <w:rPr>
                <w:sz w:val="12"/>
                <w:szCs w:val="12"/>
              </w:rPr>
            </w:pPr>
            <w:r w:rsidRPr="00F92667">
              <w:rPr>
                <w:sz w:val="12"/>
                <w:szCs w:val="12"/>
              </w:rPr>
              <w:t>0,000</w:t>
            </w:r>
          </w:p>
        </w:tc>
        <w:tc>
          <w:tcPr>
            <w:tcW w:w="214" w:type="pct"/>
            <w:gridSpan w:val="2"/>
            <w:shd w:val="clear" w:color="auto" w:fill="auto"/>
            <w:tcMar>
              <w:left w:w="17" w:type="dxa"/>
              <w:right w:w="17" w:type="dxa"/>
            </w:tcMar>
            <w:vAlign w:val="center"/>
          </w:tcPr>
          <w:p w14:paraId="498F7E16" w14:textId="77777777" w:rsidR="001C56BD" w:rsidRPr="00F92667" w:rsidRDefault="001C56BD" w:rsidP="008A5C11">
            <w:pPr>
              <w:jc w:val="center"/>
              <w:rPr>
                <w:sz w:val="12"/>
                <w:szCs w:val="12"/>
              </w:rPr>
            </w:pPr>
            <w:r w:rsidRPr="00F92667">
              <w:rPr>
                <w:sz w:val="12"/>
                <w:szCs w:val="12"/>
              </w:rPr>
              <w:t>0,000</w:t>
            </w:r>
          </w:p>
        </w:tc>
        <w:tc>
          <w:tcPr>
            <w:tcW w:w="247" w:type="pct"/>
            <w:gridSpan w:val="2"/>
            <w:shd w:val="clear" w:color="auto" w:fill="auto"/>
            <w:tcMar>
              <w:left w:w="17" w:type="dxa"/>
              <w:right w:w="17" w:type="dxa"/>
            </w:tcMar>
            <w:vAlign w:val="center"/>
          </w:tcPr>
          <w:p w14:paraId="20E4E88A" w14:textId="77777777" w:rsidR="001C56BD" w:rsidRPr="00F92667" w:rsidRDefault="001C56BD" w:rsidP="008A5C11">
            <w:pPr>
              <w:jc w:val="center"/>
              <w:rPr>
                <w:sz w:val="12"/>
                <w:szCs w:val="12"/>
              </w:rPr>
            </w:pPr>
            <w:r w:rsidRPr="00F92667">
              <w:rPr>
                <w:sz w:val="12"/>
                <w:szCs w:val="12"/>
              </w:rPr>
              <w:t>0,000</w:t>
            </w:r>
          </w:p>
        </w:tc>
        <w:tc>
          <w:tcPr>
            <w:tcW w:w="173" w:type="pct"/>
            <w:shd w:val="clear" w:color="auto" w:fill="auto"/>
            <w:tcMar>
              <w:left w:w="17" w:type="dxa"/>
              <w:right w:w="17" w:type="dxa"/>
            </w:tcMar>
            <w:vAlign w:val="center"/>
          </w:tcPr>
          <w:p w14:paraId="08B9AD35" w14:textId="77777777" w:rsidR="001C56BD" w:rsidRPr="00F92667" w:rsidRDefault="001C56BD" w:rsidP="008A5C11">
            <w:pPr>
              <w:jc w:val="center"/>
              <w:rPr>
                <w:sz w:val="12"/>
                <w:szCs w:val="12"/>
              </w:rPr>
            </w:pPr>
            <w:r w:rsidRPr="00F92667">
              <w:rPr>
                <w:sz w:val="12"/>
                <w:szCs w:val="12"/>
              </w:rPr>
              <w:t>0,000</w:t>
            </w:r>
          </w:p>
        </w:tc>
        <w:tc>
          <w:tcPr>
            <w:tcW w:w="169" w:type="pct"/>
            <w:shd w:val="clear" w:color="auto" w:fill="auto"/>
            <w:tcMar>
              <w:left w:w="17" w:type="dxa"/>
              <w:right w:w="17" w:type="dxa"/>
            </w:tcMar>
            <w:vAlign w:val="center"/>
          </w:tcPr>
          <w:p w14:paraId="56369123" w14:textId="77777777" w:rsidR="001C56BD" w:rsidRPr="00F92667" w:rsidRDefault="001C56BD" w:rsidP="008A5C11">
            <w:pPr>
              <w:jc w:val="center"/>
              <w:rPr>
                <w:sz w:val="12"/>
                <w:szCs w:val="12"/>
              </w:rPr>
            </w:pPr>
            <w:r w:rsidRPr="00F92667">
              <w:rPr>
                <w:sz w:val="12"/>
                <w:szCs w:val="12"/>
              </w:rPr>
              <w:t>0,000</w:t>
            </w:r>
          </w:p>
        </w:tc>
      </w:tr>
      <w:tr w:rsidR="001C56BD" w:rsidRPr="00F92667" w14:paraId="7C86600C" w14:textId="77777777" w:rsidTr="008A5C11">
        <w:trPr>
          <w:gridBefore w:val="1"/>
          <w:wBefore w:w="3" w:type="pct"/>
          <w:trHeight w:val="897"/>
        </w:trPr>
        <w:tc>
          <w:tcPr>
            <w:tcW w:w="129" w:type="pct"/>
            <w:shd w:val="clear" w:color="auto" w:fill="auto"/>
            <w:tcMar>
              <w:left w:w="17" w:type="dxa"/>
              <w:right w:w="17" w:type="dxa"/>
            </w:tcMar>
            <w:vAlign w:val="center"/>
          </w:tcPr>
          <w:p w14:paraId="48327561" w14:textId="77777777" w:rsidR="001C56BD" w:rsidRPr="00F92667" w:rsidRDefault="001C56BD" w:rsidP="008A5C11">
            <w:pPr>
              <w:jc w:val="center"/>
              <w:rPr>
                <w:sz w:val="12"/>
                <w:szCs w:val="12"/>
              </w:rPr>
            </w:pPr>
            <w:r w:rsidRPr="00F92667">
              <w:rPr>
                <w:sz w:val="12"/>
                <w:szCs w:val="12"/>
              </w:rPr>
              <w:t>3.1.45.</w:t>
            </w:r>
          </w:p>
        </w:tc>
        <w:tc>
          <w:tcPr>
            <w:tcW w:w="305" w:type="pct"/>
            <w:shd w:val="clear" w:color="auto" w:fill="auto"/>
            <w:tcMar>
              <w:left w:w="17" w:type="dxa"/>
              <w:right w:w="17" w:type="dxa"/>
            </w:tcMar>
            <w:vAlign w:val="center"/>
          </w:tcPr>
          <w:p w14:paraId="52CDECC5" w14:textId="77777777" w:rsidR="001C56BD" w:rsidRPr="00F92667" w:rsidRDefault="001C56BD" w:rsidP="008A5C11">
            <w:pPr>
              <w:rPr>
                <w:sz w:val="12"/>
                <w:szCs w:val="12"/>
              </w:rPr>
            </w:pPr>
            <w:r w:rsidRPr="00F92667">
              <w:rPr>
                <w:color w:val="000000"/>
                <w:sz w:val="12"/>
                <w:szCs w:val="12"/>
              </w:rPr>
              <w:t>Реконструкция тепловой сети с реестровым номером</w:t>
            </w:r>
            <w:r w:rsidRPr="00F92667">
              <w:rPr>
                <w:sz w:val="12"/>
                <w:szCs w:val="12"/>
              </w:rPr>
              <w:t xml:space="preserve"> 772562</w:t>
            </w:r>
          </w:p>
        </w:tc>
        <w:tc>
          <w:tcPr>
            <w:tcW w:w="304" w:type="pct"/>
            <w:shd w:val="clear" w:color="000000" w:fill="FFFFFF"/>
            <w:tcMar>
              <w:left w:w="17" w:type="dxa"/>
              <w:right w:w="17" w:type="dxa"/>
            </w:tcMar>
            <w:vAlign w:val="center"/>
          </w:tcPr>
          <w:p w14:paraId="410115F0" w14:textId="77777777" w:rsidR="001C56BD" w:rsidRPr="00F92667" w:rsidRDefault="001C56BD" w:rsidP="008A5C11">
            <w:pPr>
              <w:jc w:val="center"/>
              <w:rPr>
                <w:sz w:val="12"/>
                <w:szCs w:val="12"/>
              </w:rPr>
            </w:pPr>
            <w:r w:rsidRPr="00F92667">
              <w:rPr>
                <w:color w:val="000000"/>
                <w:sz w:val="12"/>
                <w:szCs w:val="12"/>
              </w:rPr>
              <w:t>Повышение надежности услуг теплоснабжения, повышение энергетической эффективности</w:t>
            </w:r>
          </w:p>
        </w:tc>
        <w:tc>
          <w:tcPr>
            <w:tcW w:w="258" w:type="pct"/>
            <w:shd w:val="clear" w:color="auto" w:fill="auto"/>
            <w:tcMar>
              <w:left w:w="17" w:type="dxa"/>
              <w:right w:w="17" w:type="dxa"/>
            </w:tcMar>
            <w:vAlign w:val="center"/>
          </w:tcPr>
          <w:p w14:paraId="61B35FE4" w14:textId="77777777" w:rsidR="001C56BD" w:rsidRPr="00F92667" w:rsidRDefault="001C56BD" w:rsidP="008A5C11">
            <w:pPr>
              <w:jc w:val="center"/>
              <w:rPr>
                <w:sz w:val="12"/>
                <w:szCs w:val="12"/>
              </w:rPr>
            </w:pPr>
            <w:r w:rsidRPr="00F92667">
              <w:rPr>
                <w:sz w:val="12"/>
                <w:szCs w:val="12"/>
              </w:rPr>
              <w:t>Кемеровский городской округ, мк-н 11, 40 м. севернее жилого дома №73 по проспекту Ленина</w:t>
            </w:r>
          </w:p>
        </w:tc>
        <w:tc>
          <w:tcPr>
            <w:tcW w:w="294" w:type="pct"/>
            <w:shd w:val="clear" w:color="auto" w:fill="auto"/>
            <w:tcMar>
              <w:left w:w="17" w:type="dxa"/>
              <w:right w:w="17" w:type="dxa"/>
            </w:tcMar>
            <w:vAlign w:val="center"/>
          </w:tcPr>
          <w:p w14:paraId="3972A783" w14:textId="77777777" w:rsidR="001C56BD" w:rsidRPr="00F92667" w:rsidRDefault="001C56BD" w:rsidP="008A5C11">
            <w:pPr>
              <w:jc w:val="center"/>
              <w:rPr>
                <w:sz w:val="12"/>
                <w:szCs w:val="12"/>
              </w:rPr>
            </w:pPr>
            <w:r w:rsidRPr="00F92667">
              <w:rPr>
                <w:color w:val="000000"/>
                <w:sz w:val="12"/>
                <w:szCs w:val="12"/>
              </w:rPr>
              <w:t>Технические характеристики</w:t>
            </w:r>
          </w:p>
        </w:tc>
        <w:tc>
          <w:tcPr>
            <w:tcW w:w="129" w:type="pct"/>
            <w:shd w:val="clear" w:color="auto" w:fill="auto"/>
            <w:tcMar>
              <w:left w:w="17" w:type="dxa"/>
              <w:right w:w="17" w:type="dxa"/>
            </w:tcMar>
            <w:vAlign w:val="center"/>
          </w:tcPr>
          <w:p w14:paraId="7E9125D3" w14:textId="77777777" w:rsidR="001C56BD" w:rsidRPr="00F92667" w:rsidRDefault="001C56BD" w:rsidP="008A5C11">
            <w:pPr>
              <w:jc w:val="center"/>
              <w:rPr>
                <w:color w:val="000000"/>
                <w:sz w:val="12"/>
                <w:szCs w:val="12"/>
              </w:rPr>
            </w:pPr>
          </w:p>
        </w:tc>
        <w:tc>
          <w:tcPr>
            <w:tcW w:w="184" w:type="pct"/>
            <w:shd w:val="clear" w:color="auto" w:fill="auto"/>
            <w:tcMar>
              <w:left w:w="17" w:type="dxa"/>
              <w:right w:w="17" w:type="dxa"/>
            </w:tcMar>
            <w:vAlign w:val="center"/>
          </w:tcPr>
          <w:p w14:paraId="21651CAB" w14:textId="77777777" w:rsidR="001C56BD" w:rsidRPr="00F92667" w:rsidRDefault="001C56BD" w:rsidP="008A5C11">
            <w:pPr>
              <w:jc w:val="center"/>
              <w:rPr>
                <w:sz w:val="12"/>
                <w:szCs w:val="12"/>
              </w:rPr>
            </w:pPr>
            <w:r w:rsidRPr="00F92667">
              <w:rPr>
                <w:sz w:val="12"/>
                <w:szCs w:val="12"/>
              </w:rPr>
              <w:t>Канал-ж/б лотки (непроходной канал),</w:t>
            </w:r>
            <w:r w:rsidRPr="00F92667">
              <w:rPr>
                <w:sz w:val="12"/>
                <w:szCs w:val="12"/>
              </w:rPr>
              <w:br/>
              <w:t xml:space="preserve">опоры </w:t>
            </w:r>
            <w:proofErr w:type="gramStart"/>
            <w:r w:rsidRPr="00F92667">
              <w:rPr>
                <w:sz w:val="12"/>
                <w:szCs w:val="12"/>
              </w:rPr>
              <w:t>привар-ные</w:t>
            </w:r>
            <w:proofErr w:type="gramEnd"/>
            <w:r w:rsidRPr="00F92667">
              <w:rPr>
                <w:sz w:val="12"/>
                <w:szCs w:val="12"/>
              </w:rPr>
              <w:t xml:space="preserve">, запорная арматура-стальная клиновая, антикоррозийная защита-лак БТ, труба-сталь 20, изоляция-мин. маты.       </w:t>
            </w:r>
          </w:p>
        </w:tc>
        <w:tc>
          <w:tcPr>
            <w:tcW w:w="219" w:type="pct"/>
            <w:shd w:val="clear" w:color="auto" w:fill="auto"/>
            <w:tcMar>
              <w:left w:w="17" w:type="dxa"/>
              <w:right w:w="17" w:type="dxa"/>
            </w:tcMar>
            <w:vAlign w:val="center"/>
          </w:tcPr>
          <w:p w14:paraId="3F09A044" w14:textId="77777777" w:rsidR="001C56BD" w:rsidRPr="00F92667" w:rsidRDefault="001C56BD" w:rsidP="008A5C11">
            <w:pPr>
              <w:jc w:val="center"/>
              <w:rPr>
                <w:sz w:val="12"/>
                <w:szCs w:val="12"/>
              </w:rPr>
            </w:pPr>
            <w:r w:rsidRPr="00F92667">
              <w:rPr>
                <w:sz w:val="12"/>
                <w:szCs w:val="12"/>
              </w:rPr>
              <w:t xml:space="preserve">Канал-ж/б лотки, опоры-хомутовые с диэлектрической прокладкой, запорная арматура - кран шаровый, антикоррозийная защита-мастика Вектор 1214, 1025, труба-сталь 09Г2С, изоляция - маты прошивные, </w:t>
            </w:r>
            <w:proofErr w:type="gramStart"/>
            <w:r w:rsidRPr="00F92667">
              <w:rPr>
                <w:sz w:val="12"/>
                <w:szCs w:val="12"/>
              </w:rPr>
              <w:t>стеклоплас-тик</w:t>
            </w:r>
            <w:proofErr w:type="gramEnd"/>
          </w:p>
        </w:tc>
        <w:tc>
          <w:tcPr>
            <w:tcW w:w="130" w:type="pct"/>
            <w:shd w:val="clear" w:color="auto" w:fill="auto"/>
            <w:tcMar>
              <w:left w:w="17" w:type="dxa"/>
              <w:right w:w="17" w:type="dxa"/>
            </w:tcMar>
            <w:vAlign w:val="center"/>
          </w:tcPr>
          <w:p w14:paraId="6F5629DD" w14:textId="77777777" w:rsidR="001C56BD" w:rsidRPr="00F92667" w:rsidRDefault="001C56BD" w:rsidP="008A5C11">
            <w:pPr>
              <w:jc w:val="center"/>
              <w:rPr>
                <w:sz w:val="12"/>
                <w:szCs w:val="12"/>
              </w:rPr>
            </w:pPr>
            <w:r w:rsidRPr="00F92667">
              <w:rPr>
                <w:sz w:val="12"/>
                <w:szCs w:val="12"/>
              </w:rPr>
              <w:t>2024</w:t>
            </w:r>
          </w:p>
        </w:tc>
        <w:tc>
          <w:tcPr>
            <w:tcW w:w="130" w:type="pct"/>
            <w:shd w:val="clear" w:color="auto" w:fill="auto"/>
            <w:tcMar>
              <w:left w:w="17" w:type="dxa"/>
              <w:right w:w="17" w:type="dxa"/>
            </w:tcMar>
            <w:vAlign w:val="center"/>
          </w:tcPr>
          <w:p w14:paraId="57910955" w14:textId="77777777" w:rsidR="001C56BD" w:rsidRPr="00F92667" w:rsidRDefault="001C56BD" w:rsidP="008A5C11">
            <w:pPr>
              <w:jc w:val="center"/>
              <w:rPr>
                <w:sz w:val="12"/>
                <w:szCs w:val="12"/>
              </w:rPr>
            </w:pPr>
            <w:r w:rsidRPr="00F92667">
              <w:rPr>
                <w:sz w:val="12"/>
                <w:szCs w:val="12"/>
              </w:rPr>
              <w:t>2028</w:t>
            </w:r>
          </w:p>
        </w:tc>
        <w:tc>
          <w:tcPr>
            <w:tcW w:w="217" w:type="pct"/>
            <w:gridSpan w:val="2"/>
            <w:shd w:val="clear" w:color="auto" w:fill="auto"/>
            <w:tcMar>
              <w:left w:w="17" w:type="dxa"/>
              <w:right w:w="17" w:type="dxa"/>
            </w:tcMar>
            <w:vAlign w:val="center"/>
          </w:tcPr>
          <w:p w14:paraId="721FDA11" w14:textId="77777777" w:rsidR="001C56BD" w:rsidRPr="00F92667" w:rsidRDefault="001C56BD" w:rsidP="008A5C11">
            <w:pPr>
              <w:jc w:val="center"/>
              <w:rPr>
                <w:sz w:val="12"/>
                <w:szCs w:val="12"/>
              </w:rPr>
            </w:pPr>
            <w:r w:rsidRPr="00F92667">
              <w:rPr>
                <w:sz w:val="12"/>
                <w:szCs w:val="12"/>
              </w:rPr>
              <w:t>23808,828</w:t>
            </w:r>
          </w:p>
        </w:tc>
        <w:tc>
          <w:tcPr>
            <w:tcW w:w="177" w:type="pct"/>
            <w:gridSpan w:val="2"/>
            <w:shd w:val="clear" w:color="auto" w:fill="auto"/>
            <w:tcMar>
              <w:left w:w="17" w:type="dxa"/>
              <w:right w:w="17" w:type="dxa"/>
            </w:tcMar>
            <w:vAlign w:val="center"/>
          </w:tcPr>
          <w:p w14:paraId="4AFDB65C" w14:textId="77777777" w:rsidR="001C56BD" w:rsidRPr="00F92667" w:rsidRDefault="001C56BD" w:rsidP="008A5C11">
            <w:pPr>
              <w:jc w:val="center"/>
              <w:rPr>
                <w:sz w:val="12"/>
                <w:szCs w:val="12"/>
              </w:rPr>
            </w:pPr>
            <w:r w:rsidRPr="00F92667">
              <w:rPr>
                <w:sz w:val="12"/>
                <w:szCs w:val="12"/>
              </w:rPr>
              <w:t>0,000</w:t>
            </w:r>
          </w:p>
        </w:tc>
        <w:tc>
          <w:tcPr>
            <w:tcW w:w="212" w:type="pct"/>
            <w:shd w:val="clear" w:color="auto" w:fill="auto"/>
            <w:tcMar>
              <w:left w:w="17" w:type="dxa"/>
              <w:right w:w="17" w:type="dxa"/>
            </w:tcMar>
            <w:vAlign w:val="center"/>
          </w:tcPr>
          <w:p w14:paraId="0249CEC1" w14:textId="77777777" w:rsidR="001C56BD" w:rsidRPr="00F92667" w:rsidRDefault="001C56BD" w:rsidP="008A5C11">
            <w:pPr>
              <w:jc w:val="center"/>
              <w:rPr>
                <w:sz w:val="12"/>
                <w:szCs w:val="12"/>
              </w:rPr>
            </w:pPr>
            <w:r w:rsidRPr="00F92667">
              <w:rPr>
                <w:sz w:val="12"/>
                <w:szCs w:val="12"/>
              </w:rPr>
              <w:t>0,000</w:t>
            </w:r>
          </w:p>
        </w:tc>
        <w:tc>
          <w:tcPr>
            <w:tcW w:w="218" w:type="pct"/>
            <w:gridSpan w:val="2"/>
            <w:shd w:val="clear" w:color="auto" w:fill="auto"/>
            <w:tcMar>
              <w:left w:w="17" w:type="dxa"/>
              <w:right w:w="17" w:type="dxa"/>
            </w:tcMar>
            <w:vAlign w:val="center"/>
          </w:tcPr>
          <w:p w14:paraId="648D61BB"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1EEB35CE" w14:textId="77777777" w:rsidR="001C56BD" w:rsidRPr="00F92667" w:rsidRDefault="001C56BD" w:rsidP="008A5C11">
            <w:pPr>
              <w:jc w:val="center"/>
              <w:rPr>
                <w:sz w:val="12"/>
                <w:szCs w:val="12"/>
              </w:rPr>
            </w:pPr>
            <w:r w:rsidRPr="00F92667">
              <w:rPr>
                <w:sz w:val="12"/>
                <w:szCs w:val="12"/>
              </w:rPr>
              <w:t>6643,212</w:t>
            </w:r>
          </w:p>
        </w:tc>
        <w:tc>
          <w:tcPr>
            <w:tcW w:w="206" w:type="pct"/>
            <w:gridSpan w:val="2"/>
            <w:shd w:val="clear" w:color="auto" w:fill="auto"/>
            <w:tcMar>
              <w:left w:w="17" w:type="dxa"/>
              <w:right w:w="17" w:type="dxa"/>
            </w:tcMar>
            <w:vAlign w:val="center"/>
          </w:tcPr>
          <w:p w14:paraId="407BD569"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69B6F21C" w14:textId="77777777" w:rsidR="001C56BD" w:rsidRPr="00F92667" w:rsidRDefault="001C56BD" w:rsidP="008A5C11">
            <w:pPr>
              <w:jc w:val="center"/>
              <w:rPr>
                <w:sz w:val="12"/>
                <w:szCs w:val="12"/>
              </w:rPr>
            </w:pPr>
            <w:r w:rsidRPr="00F92667">
              <w:rPr>
                <w:sz w:val="12"/>
                <w:szCs w:val="12"/>
              </w:rPr>
              <w:t>0,000</w:t>
            </w:r>
          </w:p>
        </w:tc>
        <w:tc>
          <w:tcPr>
            <w:tcW w:w="214" w:type="pct"/>
            <w:gridSpan w:val="2"/>
            <w:shd w:val="clear" w:color="auto" w:fill="auto"/>
            <w:tcMar>
              <w:left w:w="17" w:type="dxa"/>
              <w:right w:w="17" w:type="dxa"/>
            </w:tcMar>
            <w:vAlign w:val="center"/>
          </w:tcPr>
          <w:p w14:paraId="2A731BA0" w14:textId="77777777" w:rsidR="001C56BD" w:rsidRPr="00F92667" w:rsidRDefault="001C56BD" w:rsidP="008A5C11">
            <w:pPr>
              <w:jc w:val="center"/>
              <w:rPr>
                <w:sz w:val="12"/>
                <w:szCs w:val="12"/>
              </w:rPr>
            </w:pPr>
            <w:r w:rsidRPr="00F92667">
              <w:rPr>
                <w:sz w:val="12"/>
                <w:szCs w:val="12"/>
              </w:rPr>
              <w:t>9288,900</w:t>
            </w:r>
          </w:p>
        </w:tc>
        <w:tc>
          <w:tcPr>
            <w:tcW w:w="217" w:type="pct"/>
            <w:gridSpan w:val="2"/>
            <w:shd w:val="clear" w:color="auto" w:fill="auto"/>
            <w:tcMar>
              <w:left w:w="17" w:type="dxa"/>
              <w:right w:w="17" w:type="dxa"/>
            </w:tcMar>
            <w:vAlign w:val="center"/>
          </w:tcPr>
          <w:p w14:paraId="1CF7A1D8" w14:textId="77777777" w:rsidR="001C56BD" w:rsidRPr="00F92667" w:rsidRDefault="001C56BD" w:rsidP="008A5C11">
            <w:pPr>
              <w:jc w:val="center"/>
              <w:rPr>
                <w:sz w:val="12"/>
                <w:szCs w:val="12"/>
              </w:rPr>
            </w:pPr>
            <w:r w:rsidRPr="00F92667">
              <w:rPr>
                <w:sz w:val="12"/>
                <w:szCs w:val="12"/>
              </w:rPr>
              <w:t>7876,716</w:t>
            </w:r>
          </w:p>
        </w:tc>
        <w:tc>
          <w:tcPr>
            <w:tcW w:w="217" w:type="pct"/>
            <w:gridSpan w:val="2"/>
            <w:shd w:val="clear" w:color="auto" w:fill="auto"/>
            <w:tcMar>
              <w:left w:w="17" w:type="dxa"/>
              <w:right w:w="17" w:type="dxa"/>
            </w:tcMar>
            <w:vAlign w:val="center"/>
          </w:tcPr>
          <w:p w14:paraId="63089157" w14:textId="77777777" w:rsidR="001C56BD" w:rsidRPr="00F92667" w:rsidRDefault="001C56BD" w:rsidP="008A5C11">
            <w:pPr>
              <w:jc w:val="center"/>
              <w:rPr>
                <w:sz w:val="12"/>
                <w:szCs w:val="12"/>
              </w:rPr>
            </w:pPr>
            <w:r w:rsidRPr="00F92667">
              <w:rPr>
                <w:sz w:val="12"/>
                <w:szCs w:val="12"/>
              </w:rPr>
              <w:t>0,000</w:t>
            </w:r>
          </w:p>
        </w:tc>
        <w:tc>
          <w:tcPr>
            <w:tcW w:w="214" w:type="pct"/>
            <w:gridSpan w:val="2"/>
            <w:shd w:val="clear" w:color="auto" w:fill="auto"/>
            <w:tcMar>
              <w:left w:w="17" w:type="dxa"/>
              <w:right w:w="17" w:type="dxa"/>
            </w:tcMar>
            <w:vAlign w:val="center"/>
          </w:tcPr>
          <w:p w14:paraId="5ABCA772" w14:textId="77777777" w:rsidR="001C56BD" w:rsidRPr="00F92667" w:rsidRDefault="001C56BD" w:rsidP="008A5C11">
            <w:pPr>
              <w:jc w:val="center"/>
              <w:rPr>
                <w:sz w:val="12"/>
                <w:szCs w:val="12"/>
              </w:rPr>
            </w:pPr>
            <w:r w:rsidRPr="00F92667">
              <w:rPr>
                <w:sz w:val="12"/>
                <w:szCs w:val="12"/>
              </w:rPr>
              <w:t>0,000</w:t>
            </w:r>
          </w:p>
        </w:tc>
        <w:tc>
          <w:tcPr>
            <w:tcW w:w="247" w:type="pct"/>
            <w:gridSpan w:val="2"/>
            <w:shd w:val="clear" w:color="auto" w:fill="auto"/>
            <w:tcMar>
              <w:left w:w="17" w:type="dxa"/>
              <w:right w:w="17" w:type="dxa"/>
            </w:tcMar>
            <w:vAlign w:val="center"/>
          </w:tcPr>
          <w:p w14:paraId="1270AF63" w14:textId="77777777" w:rsidR="001C56BD" w:rsidRPr="00F92667" w:rsidRDefault="001C56BD" w:rsidP="008A5C11">
            <w:pPr>
              <w:jc w:val="center"/>
              <w:rPr>
                <w:sz w:val="12"/>
                <w:szCs w:val="12"/>
              </w:rPr>
            </w:pPr>
            <w:r w:rsidRPr="00F92667">
              <w:rPr>
                <w:sz w:val="12"/>
                <w:szCs w:val="12"/>
              </w:rPr>
              <w:t>0,000</w:t>
            </w:r>
          </w:p>
        </w:tc>
        <w:tc>
          <w:tcPr>
            <w:tcW w:w="173" w:type="pct"/>
            <w:shd w:val="clear" w:color="auto" w:fill="auto"/>
            <w:tcMar>
              <w:left w:w="17" w:type="dxa"/>
              <w:right w:w="17" w:type="dxa"/>
            </w:tcMar>
            <w:vAlign w:val="center"/>
          </w:tcPr>
          <w:p w14:paraId="08051CD2" w14:textId="77777777" w:rsidR="001C56BD" w:rsidRPr="00F92667" w:rsidRDefault="001C56BD" w:rsidP="008A5C11">
            <w:pPr>
              <w:jc w:val="center"/>
              <w:rPr>
                <w:sz w:val="12"/>
                <w:szCs w:val="12"/>
              </w:rPr>
            </w:pPr>
            <w:r w:rsidRPr="00F92667">
              <w:rPr>
                <w:sz w:val="12"/>
                <w:szCs w:val="12"/>
              </w:rPr>
              <w:t>0,000</w:t>
            </w:r>
          </w:p>
        </w:tc>
        <w:tc>
          <w:tcPr>
            <w:tcW w:w="169" w:type="pct"/>
            <w:shd w:val="clear" w:color="auto" w:fill="auto"/>
            <w:tcMar>
              <w:left w:w="17" w:type="dxa"/>
              <w:right w:w="17" w:type="dxa"/>
            </w:tcMar>
            <w:vAlign w:val="center"/>
          </w:tcPr>
          <w:p w14:paraId="472F4C13" w14:textId="77777777" w:rsidR="001C56BD" w:rsidRPr="00F92667" w:rsidRDefault="001C56BD" w:rsidP="008A5C11">
            <w:pPr>
              <w:jc w:val="center"/>
              <w:rPr>
                <w:sz w:val="12"/>
                <w:szCs w:val="12"/>
              </w:rPr>
            </w:pPr>
            <w:r w:rsidRPr="00F92667">
              <w:rPr>
                <w:sz w:val="12"/>
                <w:szCs w:val="12"/>
              </w:rPr>
              <w:t>0,000</w:t>
            </w:r>
          </w:p>
        </w:tc>
      </w:tr>
      <w:tr w:rsidR="001C56BD" w:rsidRPr="00F92667" w14:paraId="48D9DE1B" w14:textId="77777777" w:rsidTr="008A5C11">
        <w:trPr>
          <w:gridBefore w:val="1"/>
          <w:wBefore w:w="3" w:type="pct"/>
          <w:trHeight w:val="897"/>
        </w:trPr>
        <w:tc>
          <w:tcPr>
            <w:tcW w:w="129" w:type="pct"/>
            <w:shd w:val="clear" w:color="auto" w:fill="auto"/>
            <w:tcMar>
              <w:left w:w="17" w:type="dxa"/>
              <w:right w:w="17" w:type="dxa"/>
            </w:tcMar>
            <w:vAlign w:val="center"/>
          </w:tcPr>
          <w:p w14:paraId="4A1FA2D2" w14:textId="77777777" w:rsidR="001C56BD" w:rsidRPr="00F92667" w:rsidRDefault="001C56BD" w:rsidP="008A5C11">
            <w:pPr>
              <w:jc w:val="center"/>
              <w:rPr>
                <w:sz w:val="12"/>
                <w:szCs w:val="12"/>
              </w:rPr>
            </w:pPr>
            <w:r w:rsidRPr="00F92667">
              <w:rPr>
                <w:sz w:val="12"/>
                <w:szCs w:val="12"/>
              </w:rPr>
              <w:t>3.1.46.</w:t>
            </w:r>
          </w:p>
        </w:tc>
        <w:tc>
          <w:tcPr>
            <w:tcW w:w="305" w:type="pct"/>
            <w:shd w:val="clear" w:color="auto" w:fill="auto"/>
            <w:tcMar>
              <w:left w:w="17" w:type="dxa"/>
              <w:right w:w="17" w:type="dxa"/>
            </w:tcMar>
            <w:vAlign w:val="center"/>
          </w:tcPr>
          <w:p w14:paraId="3AB632DF" w14:textId="77777777" w:rsidR="001C56BD" w:rsidRPr="00F92667" w:rsidRDefault="001C56BD" w:rsidP="008A5C11">
            <w:pPr>
              <w:rPr>
                <w:sz w:val="12"/>
                <w:szCs w:val="12"/>
              </w:rPr>
            </w:pPr>
            <w:r w:rsidRPr="00F92667">
              <w:rPr>
                <w:color w:val="000000"/>
                <w:sz w:val="12"/>
                <w:szCs w:val="12"/>
              </w:rPr>
              <w:t>Реконструкция тепловой сети с реестровым номером</w:t>
            </w:r>
            <w:r w:rsidRPr="00F92667">
              <w:rPr>
                <w:sz w:val="12"/>
                <w:szCs w:val="12"/>
              </w:rPr>
              <w:t xml:space="preserve"> 772544</w:t>
            </w:r>
          </w:p>
        </w:tc>
        <w:tc>
          <w:tcPr>
            <w:tcW w:w="304" w:type="pct"/>
            <w:shd w:val="clear" w:color="000000" w:fill="FFFFFF"/>
            <w:tcMar>
              <w:left w:w="17" w:type="dxa"/>
              <w:right w:w="17" w:type="dxa"/>
            </w:tcMar>
            <w:vAlign w:val="center"/>
          </w:tcPr>
          <w:p w14:paraId="7ACA7404" w14:textId="77777777" w:rsidR="001C56BD" w:rsidRPr="00F92667" w:rsidRDefault="001C56BD" w:rsidP="008A5C11">
            <w:pPr>
              <w:jc w:val="center"/>
              <w:rPr>
                <w:sz w:val="12"/>
                <w:szCs w:val="12"/>
              </w:rPr>
            </w:pPr>
            <w:r w:rsidRPr="00F92667">
              <w:rPr>
                <w:color w:val="000000"/>
                <w:sz w:val="12"/>
                <w:szCs w:val="12"/>
              </w:rPr>
              <w:t>Повышение надежности услуг теплоснабжения, повышение энергетической эффективности</w:t>
            </w:r>
          </w:p>
        </w:tc>
        <w:tc>
          <w:tcPr>
            <w:tcW w:w="258" w:type="pct"/>
            <w:shd w:val="clear" w:color="auto" w:fill="auto"/>
            <w:tcMar>
              <w:left w:w="17" w:type="dxa"/>
              <w:right w:w="17" w:type="dxa"/>
            </w:tcMar>
            <w:vAlign w:val="center"/>
          </w:tcPr>
          <w:p w14:paraId="43D1C9F2" w14:textId="77777777" w:rsidR="001C56BD" w:rsidRPr="00F92667" w:rsidRDefault="001C56BD" w:rsidP="008A5C11">
            <w:pPr>
              <w:jc w:val="center"/>
              <w:rPr>
                <w:sz w:val="12"/>
                <w:szCs w:val="12"/>
              </w:rPr>
            </w:pPr>
            <w:r w:rsidRPr="00F92667">
              <w:rPr>
                <w:sz w:val="12"/>
                <w:szCs w:val="12"/>
              </w:rPr>
              <w:t>Кемеровский городской округ, 22м севернее здания №90а по проспекту Ленина</w:t>
            </w:r>
          </w:p>
        </w:tc>
        <w:tc>
          <w:tcPr>
            <w:tcW w:w="294" w:type="pct"/>
            <w:shd w:val="clear" w:color="auto" w:fill="auto"/>
            <w:tcMar>
              <w:left w:w="17" w:type="dxa"/>
              <w:right w:w="17" w:type="dxa"/>
            </w:tcMar>
            <w:vAlign w:val="center"/>
          </w:tcPr>
          <w:p w14:paraId="623D1291" w14:textId="77777777" w:rsidR="001C56BD" w:rsidRPr="00F92667" w:rsidRDefault="001C56BD" w:rsidP="008A5C11">
            <w:pPr>
              <w:jc w:val="center"/>
              <w:rPr>
                <w:sz w:val="12"/>
                <w:szCs w:val="12"/>
              </w:rPr>
            </w:pPr>
            <w:r w:rsidRPr="00F92667">
              <w:rPr>
                <w:color w:val="000000"/>
                <w:sz w:val="12"/>
                <w:szCs w:val="12"/>
              </w:rPr>
              <w:t>Технические характеристики</w:t>
            </w:r>
          </w:p>
        </w:tc>
        <w:tc>
          <w:tcPr>
            <w:tcW w:w="129" w:type="pct"/>
            <w:shd w:val="clear" w:color="auto" w:fill="auto"/>
            <w:tcMar>
              <w:left w:w="17" w:type="dxa"/>
              <w:right w:w="17" w:type="dxa"/>
            </w:tcMar>
            <w:vAlign w:val="center"/>
          </w:tcPr>
          <w:p w14:paraId="5BFE33B8" w14:textId="77777777" w:rsidR="001C56BD" w:rsidRPr="00F92667" w:rsidRDefault="001C56BD" w:rsidP="008A5C11">
            <w:pPr>
              <w:jc w:val="center"/>
              <w:rPr>
                <w:color w:val="000000"/>
                <w:sz w:val="12"/>
                <w:szCs w:val="12"/>
              </w:rPr>
            </w:pPr>
          </w:p>
        </w:tc>
        <w:tc>
          <w:tcPr>
            <w:tcW w:w="184" w:type="pct"/>
            <w:shd w:val="clear" w:color="auto" w:fill="auto"/>
            <w:tcMar>
              <w:left w:w="17" w:type="dxa"/>
              <w:right w:w="17" w:type="dxa"/>
            </w:tcMar>
            <w:vAlign w:val="center"/>
          </w:tcPr>
          <w:p w14:paraId="4212FB07" w14:textId="77777777" w:rsidR="001C56BD" w:rsidRPr="00F92667" w:rsidRDefault="001C56BD" w:rsidP="008A5C11">
            <w:pPr>
              <w:jc w:val="center"/>
              <w:rPr>
                <w:sz w:val="12"/>
                <w:szCs w:val="12"/>
              </w:rPr>
            </w:pPr>
            <w:r w:rsidRPr="00F92667">
              <w:rPr>
                <w:sz w:val="12"/>
                <w:szCs w:val="12"/>
              </w:rPr>
              <w:t>Канал-ж/б лотки (непроходной канал),</w:t>
            </w:r>
            <w:r w:rsidRPr="00F92667">
              <w:rPr>
                <w:sz w:val="12"/>
                <w:szCs w:val="12"/>
              </w:rPr>
              <w:br/>
              <w:t xml:space="preserve">опоры приварные, запорная арматура-стальная клиновая, антикоррозийная защита-лак БТ, труба-сталь 20, изоляция-мин. маты.       </w:t>
            </w:r>
          </w:p>
        </w:tc>
        <w:tc>
          <w:tcPr>
            <w:tcW w:w="219" w:type="pct"/>
            <w:shd w:val="clear" w:color="auto" w:fill="auto"/>
            <w:tcMar>
              <w:left w:w="17" w:type="dxa"/>
              <w:right w:w="17" w:type="dxa"/>
            </w:tcMar>
            <w:vAlign w:val="center"/>
          </w:tcPr>
          <w:p w14:paraId="6D350592" w14:textId="77777777" w:rsidR="001C56BD" w:rsidRPr="00F92667" w:rsidRDefault="001C56BD" w:rsidP="008A5C11">
            <w:pPr>
              <w:jc w:val="center"/>
              <w:rPr>
                <w:sz w:val="12"/>
                <w:szCs w:val="12"/>
              </w:rPr>
            </w:pPr>
            <w:r w:rsidRPr="00F92667">
              <w:rPr>
                <w:sz w:val="12"/>
                <w:szCs w:val="12"/>
              </w:rPr>
              <w:t xml:space="preserve">Канал-ж/б лотки, опоры-хомутовые с диэлектрической прокладкой, запорная арматура - кран шаровый, антикоррозийная защита-мастика Вектор 1214, 1025, труба-сталь 09Г2С, изоляция - маты прошивные, </w:t>
            </w:r>
            <w:proofErr w:type="gramStart"/>
            <w:r w:rsidRPr="00F92667">
              <w:rPr>
                <w:sz w:val="12"/>
                <w:szCs w:val="12"/>
              </w:rPr>
              <w:t>стеклоплас-тик</w:t>
            </w:r>
            <w:proofErr w:type="gramEnd"/>
            <w:r w:rsidRPr="00F92667">
              <w:rPr>
                <w:sz w:val="12"/>
                <w:szCs w:val="12"/>
              </w:rPr>
              <w:t xml:space="preserve"> </w:t>
            </w:r>
          </w:p>
        </w:tc>
        <w:tc>
          <w:tcPr>
            <w:tcW w:w="130" w:type="pct"/>
            <w:shd w:val="clear" w:color="auto" w:fill="auto"/>
            <w:tcMar>
              <w:left w:w="17" w:type="dxa"/>
              <w:right w:w="17" w:type="dxa"/>
            </w:tcMar>
            <w:vAlign w:val="center"/>
          </w:tcPr>
          <w:p w14:paraId="26239D90" w14:textId="77777777" w:rsidR="001C56BD" w:rsidRPr="00F92667" w:rsidRDefault="001C56BD" w:rsidP="008A5C11">
            <w:pPr>
              <w:jc w:val="center"/>
              <w:rPr>
                <w:sz w:val="12"/>
                <w:szCs w:val="12"/>
              </w:rPr>
            </w:pPr>
            <w:r w:rsidRPr="00F92667">
              <w:rPr>
                <w:sz w:val="12"/>
                <w:szCs w:val="12"/>
              </w:rPr>
              <w:t>2028</w:t>
            </w:r>
          </w:p>
        </w:tc>
        <w:tc>
          <w:tcPr>
            <w:tcW w:w="130" w:type="pct"/>
            <w:shd w:val="clear" w:color="auto" w:fill="auto"/>
            <w:tcMar>
              <w:left w:w="17" w:type="dxa"/>
              <w:right w:w="17" w:type="dxa"/>
            </w:tcMar>
            <w:vAlign w:val="center"/>
          </w:tcPr>
          <w:p w14:paraId="3F6069F7" w14:textId="77777777" w:rsidR="001C56BD" w:rsidRPr="00F92667" w:rsidRDefault="001C56BD" w:rsidP="008A5C11">
            <w:pPr>
              <w:jc w:val="center"/>
              <w:rPr>
                <w:sz w:val="12"/>
                <w:szCs w:val="12"/>
              </w:rPr>
            </w:pPr>
            <w:r w:rsidRPr="00F92667">
              <w:rPr>
                <w:sz w:val="12"/>
                <w:szCs w:val="12"/>
              </w:rPr>
              <w:t>2028</w:t>
            </w:r>
          </w:p>
        </w:tc>
        <w:tc>
          <w:tcPr>
            <w:tcW w:w="217" w:type="pct"/>
            <w:gridSpan w:val="2"/>
            <w:shd w:val="clear" w:color="auto" w:fill="auto"/>
            <w:tcMar>
              <w:left w:w="17" w:type="dxa"/>
              <w:right w:w="17" w:type="dxa"/>
            </w:tcMar>
            <w:vAlign w:val="center"/>
          </w:tcPr>
          <w:p w14:paraId="70CDFB99" w14:textId="77777777" w:rsidR="001C56BD" w:rsidRPr="00F92667" w:rsidRDefault="001C56BD" w:rsidP="008A5C11">
            <w:pPr>
              <w:jc w:val="center"/>
              <w:rPr>
                <w:sz w:val="12"/>
                <w:szCs w:val="12"/>
              </w:rPr>
            </w:pPr>
            <w:r w:rsidRPr="00F92667">
              <w:rPr>
                <w:sz w:val="12"/>
                <w:szCs w:val="12"/>
              </w:rPr>
              <w:t>7250,724</w:t>
            </w:r>
          </w:p>
        </w:tc>
        <w:tc>
          <w:tcPr>
            <w:tcW w:w="177" w:type="pct"/>
            <w:gridSpan w:val="2"/>
            <w:shd w:val="clear" w:color="auto" w:fill="auto"/>
            <w:tcMar>
              <w:left w:w="17" w:type="dxa"/>
              <w:right w:w="17" w:type="dxa"/>
            </w:tcMar>
            <w:vAlign w:val="center"/>
          </w:tcPr>
          <w:p w14:paraId="293A18BD" w14:textId="77777777" w:rsidR="001C56BD" w:rsidRPr="00F92667" w:rsidRDefault="001C56BD" w:rsidP="008A5C11">
            <w:pPr>
              <w:jc w:val="center"/>
              <w:rPr>
                <w:sz w:val="12"/>
                <w:szCs w:val="12"/>
              </w:rPr>
            </w:pPr>
            <w:r w:rsidRPr="00F92667">
              <w:rPr>
                <w:sz w:val="12"/>
                <w:szCs w:val="12"/>
              </w:rPr>
              <w:t>0,000</w:t>
            </w:r>
          </w:p>
        </w:tc>
        <w:tc>
          <w:tcPr>
            <w:tcW w:w="212" w:type="pct"/>
            <w:shd w:val="clear" w:color="auto" w:fill="auto"/>
            <w:tcMar>
              <w:left w:w="17" w:type="dxa"/>
              <w:right w:w="17" w:type="dxa"/>
            </w:tcMar>
            <w:vAlign w:val="center"/>
          </w:tcPr>
          <w:p w14:paraId="34D3E3C0" w14:textId="77777777" w:rsidR="001C56BD" w:rsidRPr="00F92667" w:rsidRDefault="001C56BD" w:rsidP="008A5C11">
            <w:pPr>
              <w:jc w:val="center"/>
              <w:rPr>
                <w:sz w:val="12"/>
                <w:szCs w:val="12"/>
              </w:rPr>
            </w:pPr>
            <w:r w:rsidRPr="00F92667">
              <w:rPr>
                <w:sz w:val="12"/>
                <w:szCs w:val="12"/>
              </w:rPr>
              <w:t>0,000</w:t>
            </w:r>
          </w:p>
        </w:tc>
        <w:tc>
          <w:tcPr>
            <w:tcW w:w="218" w:type="pct"/>
            <w:gridSpan w:val="2"/>
            <w:shd w:val="clear" w:color="auto" w:fill="auto"/>
            <w:tcMar>
              <w:left w:w="17" w:type="dxa"/>
              <w:right w:w="17" w:type="dxa"/>
            </w:tcMar>
            <w:vAlign w:val="center"/>
          </w:tcPr>
          <w:p w14:paraId="3FD51577"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6CA55277" w14:textId="77777777" w:rsidR="001C56BD" w:rsidRPr="00F92667" w:rsidRDefault="001C56BD" w:rsidP="008A5C11">
            <w:pPr>
              <w:jc w:val="center"/>
              <w:rPr>
                <w:sz w:val="12"/>
                <w:szCs w:val="12"/>
              </w:rPr>
            </w:pPr>
            <w:r w:rsidRPr="00F92667">
              <w:rPr>
                <w:sz w:val="12"/>
                <w:szCs w:val="12"/>
              </w:rPr>
              <w:t>0,000</w:t>
            </w:r>
          </w:p>
        </w:tc>
        <w:tc>
          <w:tcPr>
            <w:tcW w:w="206" w:type="pct"/>
            <w:gridSpan w:val="2"/>
            <w:shd w:val="clear" w:color="auto" w:fill="auto"/>
            <w:tcMar>
              <w:left w:w="17" w:type="dxa"/>
              <w:right w:w="17" w:type="dxa"/>
            </w:tcMar>
            <w:vAlign w:val="center"/>
          </w:tcPr>
          <w:p w14:paraId="1D599013"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0FF8F1A9" w14:textId="77777777" w:rsidR="001C56BD" w:rsidRPr="00F92667" w:rsidRDefault="001C56BD" w:rsidP="008A5C11">
            <w:pPr>
              <w:jc w:val="center"/>
              <w:rPr>
                <w:sz w:val="12"/>
                <w:szCs w:val="12"/>
              </w:rPr>
            </w:pPr>
            <w:r w:rsidRPr="00F92667">
              <w:rPr>
                <w:sz w:val="12"/>
                <w:szCs w:val="12"/>
              </w:rPr>
              <w:t>0,000</w:t>
            </w:r>
          </w:p>
        </w:tc>
        <w:tc>
          <w:tcPr>
            <w:tcW w:w="214" w:type="pct"/>
            <w:gridSpan w:val="2"/>
            <w:shd w:val="clear" w:color="auto" w:fill="auto"/>
            <w:tcMar>
              <w:left w:w="17" w:type="dxa"/>
              <w:right w:w="17" w:type="dxa"/>
            </w:tcMar>
            <w:vAlign w:val="center"/>
          </w:tcPr>
          <w:p w14:paraId="5C5BA22E"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4269AAFC" w14:textId="77777777" w:rsidR="001C56BD" w:rsidRPr="00F92667" w:rsidRDefault="001C56BD" w:rsidP="008A5C11">
            <w:pPr>
              <w:jc w:val="center"/>
              <w:rPr>
                <w:sz w:val="12"/>
                <w:szCs w:val="12"/>
              </w:rPr>
            </w:pPr>
            <w:r w:rsidRPr="00F92667">
              <w:rPr>
                <w:sz w:val="12"/>
                <w:szCs w:val="12"/>
              </w:rPr>
              <w:t>7250,724</w:t>
            </w:r>
          </w:p>
        </w:tc>
        <w:tc>
          <w:tcPr>
            <w:tcW w:w="217" w:type="pct"/>
            <w:gridSpan w:val="2"/>
            <w:shd w:val="clear" w:color="auto" w:fill="auto"/>
            <w:tcMar>
              <w:left w:w="17" w:type="dxa"/>
              <w:right w:w="17" w:type="dxa"/>
            </w:tcMar>
            <w:vAlign w:val="center"/>
          </w:tcPr>
          <w:p w14:paraId="6AD14B14" w14:textId="77777777" w:rsidR="001C56BD" w:rsidRPr="00F92667" w:rsidRDefault="001C56BD" w:rsidP="008A5C11">
            <w:pPr>
              <w:jc w:val="center"/>
              <w:rPr>
                <w:sz w:val="12"/>
                <w:szCs w:val="12"/>
              </w:rPr>
            </w:pPr>
            <w:r w:rsidRPr="00F92667">
              <w:rPr>
                <w:sz w:val="12"/>
                <w:szCs w:val="12"/>
              </w:rPr>
              <w:t>0,000</w:t>
            </w:r>
          </w:p>
        </w:tc>
        <w:tc>
          <w:tcPr>
            <w:tcW w:w="214" w:type="pct"/>
            <w:gridSpan w:val="2"/>
            <w:shd w:val="clear" w:color="auto" w:fill="auto"/>
            <w:tcMar>
              <w:left w:w="17" w:type="dxa"/>
              <w:right w:w="17" w:type="dxa"/>
            </w:tcMar>
            <w:vAlign w:val="center"/>
          </w:tcPr>
          <w:p w14:paraId="7A3A2DAE" w14:textId="77777777" w:rsidR="001C56BD" w:rsidRPr="00F92667" w:rsidRDefault="001C56BD" w:rsidP="008A5C11">
            <w:pPr>
              <w:jc w:val="center"/>
              <w:rPr>
                <w:sz w:val="12"/>
                <w:szCs w:val="12"/>
              </w:rPr>
            </w:pPr>
            <w:r w:rsidRPr="00F92667">
              <w:rPr>
                <w:sz w:val="12"/>
                <w:szCs w:val="12"/>
              </w:rPr>
              <w:t>0,000</w:t>
            </w:r>
          </w:p>
        </w:tc>
        <w:tc>
          <w:tcPr>
            <w:tcW w:w="247" w:type="pct"/>
            <w:gridSpan w:val="2"/>
            <w:shd w:val="clear" w:color="auto" w:fill="auto"/>
            <w:tcMar>
              <w:left w:w="17" w:type="dxa"/>
              <w:right w:w="17" w:type="dxa"/>
            </w:tcMar>
            <w:vAlign w:val="center"/>
          </w:tcPr>
          <w:p w14:paraId="24F77050" w14:textId="77777777" w:rsidR="001C56BD" w:rsidRPr="00F92667" w:rsidRDefault="001C56BD" w:rsidP="008A5C11">
            <w:pPr>
              <w:jc w:val="center"/>
              <w:rPr>
                <w:sz w:val="12"/>
                <w:szCs w:val="12"/>
              </w:rPr>
            </w:pPr>
            <w:r w:rsidRPr="00F92667">
              <w:rPr>
                <w:sz w:val="12"/>
                <w:szCs w:val="12"/>
              </w:rPr>
              <w:t>0,000</w:t>
            </w:r>
          </w:p>
        </w:tc>
        <w:tc>
          <w:tcPr>
            <w:tcW w:w="173" w:type="pct"/>
            <w:shd w:val="clear" w:color="auto" w:fill="auto"/>
            <w:tcMar>
              <w:left w:w="17" w:type="dxa"/>
              <w:right w:w="17" w:type="dxa"/>
            </w:tcMar>
            <w:vAlign w:val="center"/>
          </w:tcPr>
          <w:p w14:paraId="439C6988" w14:textId="77777777" w:rsidR="001C56BD" w:rsidRPr="00F92667" w:rsidRDefault="001C56BD" w:rsidP="008A5C11">
            <w:pPr>
              <w:jc w:val="center"/>
              <w:rPr>
                <w:sz w:val="12"/>
                <w:szCs w:val="12"/>
              </w:rPr>
            </w:pPr>
            <w:r w:rsidRPr="00F92667">
              <w:rPr>
                <w:sz w:val="12"/>
                <w:szCs w:val="12"/>
              </w:rPr>
              <w:t>0,000</w:t>
            </w:r>
          </w:p>
        </w:tc>
        <w:tc>
          <w:tcPr>
            <w:tcW w:w="169" w:type="pct"/>
            <w:shd w:val="clear" w:color="auto" w:fill="auto"/>
            <w:tcMar>
              <w:left w:w="17" w:type="dxa"/>
              <w:right w:w="17" w:type="dxa"/>
            </w:tcMar>
            <w:vAlign w:val="center"/>
          </w:tcPr>
          <w:p w14:paraId="62895049" w14:textId="77777777" w:rsidR="001C56BD" w:rsidRPr="00F92667" w:rsidRDefault="001C56BD" w:rsidP="008A5C11">
            <w:pPr>
              <w:jc w:val="center"/>
              <w:rPr>
                <w:sz w:val="12"/>
                <w:szCs w:val="12"/>
              </w:rPr>
            </w:pPr>
            <w:r w:rsidRPr="00F92667">
              <w:rPr>
                <w:sz w:val="12"/>
                <w:szCs w:val="12"/>
              </w:rPr>
              <w:t>0,000</w:t>
            </w:r>
          </w:p>
        </w:tc>
      </w:tr>
      <w:tr w:rsidR="001C56BD" w:rsidRPr="00F92667" w14:paraId="38B1EFEF" w14:textId="77777777" w:rsidTr="008A5C11">
        <w:trPr>
          <w:gridBefore w:val="1"/>
          <w:wBefore w:w="3" w:type="pct"/>
          <w:trHeight w:val="897"/>
        </w:trPr>
        <w:tc>
          <w:tcPr>
            <w:tcW w:w="129" w:type="pct"/>
            <w:shd w:val="clear" w:color="auto" w:fill="auto"/>
            <w:tcMar>
              <w:left w:w="17" w:type="dxa"/>
              <w:right w:w="17" w:type="dxa"/>
            </w:tcMar>
            <w:vAlign w:val="center"/>
          </w:tcPr>
          <w:p w14:paraId="692A86A0" w14:textId="77777777" w:rsidR="001C56BD" w:rsidRPr="00F92667" w:rsidRDefault="001C56BD" w:rsidP="008A5C11">
            <w:pPr>
              <w:jc w:val="center"/>
              <w:rPr>
                <w:bCs/>
                <w:sz w:val="12"/>
                <w:szCs w:val="12"/>
              </w:rPr>
            </w:pPr>
            <w:r w:rsidRPr="00F92667">
              <w:rPr>
                <w:bCs/>
                <w:sz w:val="12"/>
                <w:szCs w:val="12"/>
              </w:rPr>
              <w:t>1</w:t>
            </w:r>
          </w:p>
        </w:tc>
        <w:tc>
          <w:tcPr>
            <w:tcW w:w="305" w:type="pct"/>
            <w:shd w:val="clear" w:color="auto" w:fill="auto"/>
            <w:tcMar>
              <w:left w:w="17" w:type="dxa"/>
              <w:right w:w="17" w:type="dxa"/>
            </w:tcMar>
            <w:vAlign w:val="center"/>
          </w:tcPr>
          <w:p w14:paraId="1F7B99A5" w14:textId="77777777" w:rsidR="001C56BD" w:rsidRPr="00F92667" w:rsidRDefault="001C56BD" w:rsidP="008A5C11">
            <w:pPr>
              <w:jc w:val="center"/>
              <w:rPr>
                <w:bCs/>
                <w:sz w:val="12"/>
                <w:szCs w:val="12"/>
              </w:rPr>
            </w:pPr>
            <w:r w:rsidRPr="00F92667">
              <w:rPr>
                <w:bCs/>
                <w:sz w:val="12"/>
                <w:szCs w:val="12"/>
              </w:rPr>
              <w:t>2</w:t>
            </w:r>
          </w:p>
        </w:tc>
        <w:tc>
          <w:tcPr>
            <w:tcW w:w="304" w:type="pct"/>
            <w:shd w:val="clear" w:color="auto" w:fill="auto"/>
            <w:tcMar>
              <w:left w:w="17" w:type="dxa"/>
              <w:right w:w="17" w:type="dxa"/>
            </w:tcMar>
            <w:vAlign w:val="center"/>
          </w:tcPr>
          <w:p w14:paraId="63C20989" w14:textId="77777777" w:rsidR="001C56BD" w:rsidRPr="00F92667" w:rsidRDefault="001C56BD" w:rsidP="008A5C11">
            <w:pPr>
              <w:jc w:val="center"/>
              <w:rPr>
                <w:bCs/>
                <w:sz w:val="12"/>
                <w:szCs w:val="12"/>
              </w:rPr>
            </w:pPr>
            <w:r w:rsidRPr="00F92667">
              <w:rPr>
                <w:bCs/>
                <w:sz w:val="12"/>
                <w:szCs w:val="12"/>
              </w:rPr>
              <w:t>3</w:t>
            </w:r>
          </w:p>
        </w:tc>
        <w:tc>
          <w:tcPr>
            <w:tcW w:w="258" w:type="pct"/>
            <w:shd w:val="clear" w:color="auto" w:fill="auto"/>
            <w:tcMar>
              <w:left w:w="17" w:type="dxa"/>
              <w:right w:w="17" w:type="dxa"/>
            </w:tcMar>
            <w:vAlign w:val="center"/>
          </w:tcPr>
          <w:p w14:paraId="25F4A842" w14:textId="77777777" w:rsidR="001C56BD" w:rsidRPr="00F92667" w:rsidRDefault="001C56BD" w:rsidP="008A5C11">
            <w:pPr>
              <w:jc w:val="center"/>
              <w:rPr>
                <w:bCs/>
                <w:sz w:val="12"/>
                <w:szCs w:val="12"/>
              </w:rPr>
            </w:pPr>
            <w:r w:rsidRPr="00F92667">
              <w:rPr>
                <w:bCs/>
                <w:sz w:val="12"/>
                <w:szCs w:val="12"/>
              </w:rPr>
              <w:t>4</w:t>
            </w:r>
          </w:p>
        </w:tc>
        <w:tc>
          <w:tcPr>
            <w:tcW w:w="294" w:type="pct"/>
            <w:shd w:val="clear" w:color="auto" w:fill="auto"/>
            <w:tcMar>
              <w:left w:w="17" w:type="dxa"/>
              <w:right w:w="17" w:type="dxa"/>
            </w:tcMar>
            <w:vAlign w:val="center"/>
          </w:tcPr>
          <w:p w14:paraId="35E7BD80" w14:textId="77777777" w:rsidR="001C56BD" w:rsidRPr="00F92667" w:rsidRDefault="001C56BD" w:rsidP="008A5C11">
            <w:pPr>
              <w:jc w:val="center"/>
              <w:rPr>
                <w:bCs/>
                <w:sz w:val="12"/>
                <w:szCs w:val="12"/>
              </w:rPr>
            </w:pPr>
            <w:r w:rsidRPr="00F92667">
              <w:rPr>
                <w:bCs/>
                <w:sz w:val="12"/>
                <w:szCs w:val="12"/>
              </w:rPr>
              <w:t>5</w:t>
            </w:r>
          </w:p>
        </w:tc>
        <w:tc>
          <w:tcPr>
            <w:tcW w:w="129" w:type="pct"/>
            <w:shd w:val="clear" w:color="auto" w:fill="auto"/>
            <w:tcMar>
              <w:left w:w="17" w:type="dxa"/>
              <w:right w:w="17" w:type="dxa"/>
            </w:tcMar>
            <w:vAlign w:val="center"/>
          </w:tcPr>
          <w:p w14:paraId="165DA2F5" w14:textId="77777777" w:rsidR="001C56BD" w:rsidRPr="00F92667" w:rsidRDefault="001C56BD" w:rsidP="008A5C11">
            <w:pPr>
              <w:jc w:val="center"/>
              <w:rPr>
                <w:bCs/>
                <w:sz w:val="12"/>
                <w:szCs w:val="12"/>
              </w:rPr>
            </w:pPr>
            <w:r w:rsidRPr="00F92667">
              <w:rPr>
                <w:bCs/>
                <w:sz w:val="12"/>
                <w:szCs w:val="12"/>
              </w:rPr>
              <w:t>6</w:t>
            </w:r>
          </w:p>
        </w:tc>
        <w:tc>
          <w:tcPr>
            <w:tcW w:w="184" w:type="pct"/>
            <w:shd w:val="clear" w:color="auto" w:fill="auto"/>
            <w:tcMar>
              <w:left w:w="17" w:type="dxa"/>
              <w:right w:w="17" w:type="dxa"/>
            </w:tcMar>
            <w:vAlign w:val="center"/>
          </w:tcPr>
          <w:p w14:paraId="2141411C" w14:textId="77777777" w:rsidR="001C56BD" w:rsidRPr="00F92667" w:rsidRDefault="001C56BD" w:rsidP="008A5C11">
            <w:pPr>
              <w:jc w:val="center"/>
              <w:rPr>
                <w:bCs/>
                <w:sz w:val="12"/>
                <w:szCs w:val="12"/>
              </w:rPr>
            </w:pPr>
            <w:r w:rsidRPr="00F92667">
              <w:rPr>
                <w:bCs/>
                <w:sz w:val="12"/>
                <w:szCs w:val="12"/>
              </w:rPr>
              <w:t>7</w:t>
            </w:r>
          </w:p>
        </w:tc>
        <w:tc>
          <w:tcPr>
            <w:tcW w:w="219" w:type="pct"/>
            <w:shd w:val="clear" w:color="auto" w:fill="auto"/>
            <w:tcMar>
              <w:left w:w="17" w:type="dxa"/>
              <w:right w:w="17" w:type="dxa"/>
            </w:tcMar>
            <w:vAlign w:val="center"/>
          </w:tcPr>
          <w:p w14:paraId="5F6B9A2C" w14:textId="77777777" w:rsidR="001C56BD" w:rsidRPr="00F92667" w:rsidRDefault="001C56BD" w:rsidP="008A5C11">
            <w:pPr>
              <w:jc w:val="center"/>
              <w:rPr>
                <w:bCs/>
                <w:sz w:val="12"/>
                <w:szCs w:val="12"/>
              </w:rPr>
            </w:pPr>
            <w:r w:rsidRPr="00F92667">
              <w:rPr>
                <w:bCs/>
                <w:sz w:val="12"/>
                <w:szCs w:val="12"/>
              </w:rPr>
              <w:t>8</w:t>
            </w:r>
          </w:p>
        </w:tc>
        <w:tc>
          <w:tcPr>
            <w:tcW w:w="130" w:type="pct"/>
            <w:shd w:val="clear" w:color="auto" w:fill="auto"/>
            <w:tcMar>
              <w:left w:w="17" w:type="dxa"/>
              <w:right w:w="17" w:type="dxa"/>
            </w:tcMar>
            <w:vAlign w:val="center"/>
          </w:tcPr>
          <w:p w14:paraId="3E06835E" w14:textId="77777777" w:rsidR="001C56BD" w:rsidRPr="00F92667" w:rsidRDefault="001C56BD" w:rsidP="008A5C11">
            <w:pPr>
              <w:jc w:val="center"/>
              <w:rPr>
                <w:bCs/>
                <w:sz w:val="12"/>
                <w:szCs w:val="12"/>
              </w:rPr>
            </w:pPr>
            <w:r w:rsidRPr="00F92667">
              <w:rPr>
                <w:bCs/>
                <w:sz w:val="12"/>
                <w:szCs w:val="12"/>
              </w:rPr>
              <w:t>9</w:t>
            </w:r>
          </w:p>
        </w:tc>
        <w:tc>
          <w:tcPr>
            <w:tcW w:w="130" w:type="pct"/>
            <w:shd w:val="clear" w:color="auto" w:fill="auto"/>
            <w:tcMar>
              <w:left w:w="17" w:type="dxa"/>
              <w:right w:w="17" w:type="dxa"/>
            </w:tcMar>
            <w:vAlign w:val="center"/>
          </w:tcPr>
          <w:p w14:paraId="1AEA90E1" w14:textId="77777777" w:rsidR="001C56BD" w:rsidRPr="00F92667" w:rsidRDefault="001C56BD" w:rsidP="008A5C11">
            <w:pPr>
              <w:jc w:val="center"/>
              <w:rPr>
                <w:bCs/>
                <w:sz w:val="12"/>
                <w:szCs w:val="12"/>
              </w:rPr>
            </w:pPr>
            <w:r w:rsidRPr="00F92667">
              <w:rPr>
                <w:bCs/>
                <w:sz w:val="12"/>
                <w:szCs w:val="12"/>
              </w:rPr>
              <w:t>10</w:t>
            </w:r>
          </w:p>
        </w:tc>
        <w:tc>
          <w:tcPr>
            <w:tcW w:w="217" w:type="pct"/>
            <w:gridSpan w:val="2"/>
            <w:shd w:val="clear" w:color="auto" w:fill="auto"/>
            <w:tcMar>
              <w:left w:w="17" w:type="dxa"/>
              <w:right w:w="17" w:type="dxa"/>
            </w:tcMar>
            <w:vAlign w:val="center"/>
          </w:tcPr>
          <w:p w14:paraId="33C4D883" w14:textId="77777777" w:rsidR="001C56BD" w:rsidRPr="00F92667" w:rsidRDefault="001C56BD" w:rsidP="008A5C11">
            <w:pPr>
              <w:jc w:val="center"/>
              <w:rPr>
                <w:bCs/>
                <w:sz w:val="12"/>
                <w:szCs w:val="12"/>
              </w:rPr>
            </w:pPr>
            <w:r w:rsidRPr="00F92667">
              <w:rPr>
                <w:bCs/>
                <w:sz w:val="12"/>
                <w:szCs w:val="12"/>
              </w:rPr>
              <w:t>11</w:t>
            </w:r>
          </w:p>
        </w:tc>
        <w:tc>
          <w:tcPr>
            <w:tcW w:w="177" w:type="pct"/>
            <w:gridSpan w:val="2"/>
            <w:shd w:val="clear" w:color="auto" w:fill="auto"/>
            <w:tcMar>
              <w:left w:w="17" w:type="dxa"/>
              <w:right w:w="17" w:type="dxa"/>
            </w:tcMar>
            <w:vAlign w:val="center"/>
          </w:tcPr>
          <w:p w14:paraId="21B2EC17" w14:textId="77777777" w:rsidR="001C56BD" w:rsidRPr="00F92667" w:rsidRDefault="001C56BD" w:rsidP="008A5C11">
            <w:pPr>
              <w:jc w:val="center"/>
              <w:rPr>
                <w:bCs/>
                <w:sz w:val="12"/>
                <w:szCs w:val="12"/>
              </w:rPr>
            </w:pPr>
            <w:r w:rsidRPr="00F92667">
              <w:rPr>
                <w:bCs/>
                <w:sz w:val="12"/>
                <w:szCs w:val="12"/>
              </w:rPr>
              <w:t>12</w:t>
            </w:r>
          </w:p>
        </w:tc>
        <w:tc>
          <w:tcPr>
            <w:tcW w:w="212" w:type="pct"/>
            <w:shd w:val="clear" w:color="auto" w:fill="auto"/>
            <w:tcMar>
              <w:left w:w="17" w:type="dxa"/>
              <w:right w:w="17" w:type="dxa"/>
            </w:tcMar>
            <w:vAlign w:val="center"/>
          </w:tcPr>
          <w:p w14:paraId="6817E14E" w14:textId="77777777" w:rsidR="001C56BD" w:rsidRPr="00F92667" w:rsidRDefault="001C56BD" w:rsidP="008A5C11">
            <w:pPr>
              <w:jc w:val="center"/>
              <w:rPr>
                <w:bCs/>
                <w:sz w:val="12"/>
                <w:szCs w:val="12"/>
              </w:rPr>
            </w:pPr>
            <w:r w:rsidRPr="00F92667">
              <w:rPr>
                <w:bCs/>
                <w:sz w:val="12"/>
                <w:szCs w:val="12"/>
              </w:rPr>
              <w:t>13</w:t>
            </w:r>
          </w:p>
        </w:tc>
        <w:tc>
          <w:tcPr>
            <w:tcW w:w="218" w:type="pct"/>
            <w:gridSpan w:val="2"/>
            <w:shd w:val="clear" w:color="auto" w:fill="auto"/>
            <w:tcMar>
              <w:left w:w="17" w:type="dxa"/>
              <w:right w:w="17" w:type="dxa"/>
            </w:tcMar>
            <w:vAlign w:val="center"/>
          </w:tcPr>
          <w:p w14:paraId="772B5AF4" w14:textId="77777777" w:rsidR="001C56BD" w:rsidRPr="00F92667" w:rsidRDefault="001C56BD" w:rsidP="008A5C11">
            <w:pPr>
              <w:jc w:val="center"/>
              <w:rPr>
                <w:bCs/>
                <w:sz w:val="12"/>
                <w:szCs w:val="12"/>
              </w:rPr>
            </w:pPr>
            <w:r w:rsidRPr="00F92667">
              <w:rPr>
                <w:bCs/>
                <w:sz w:val="12"/>
                <w:szCs w:val="12"/>
              </w:rPr>
              <w:t>14</w:t>
            </w:r>
          </w:p>
        </w:tc>
        <w:tc>
          <w:tcPr>
            <w:tcW w:w="217" w:type="pct"/>
            <w:gridSpan w:val="2"/>
            <w:shd w:val="clear" w:color="auto" w:fill="auto"/>
            <w:tcMar>
              <w:left w:w="17" w:type="dxa"/>
              <w:right w:w="17" w:type="dxa"/>
            </w:tcMar>
            <w:vAlign w:val="center"/>
          </w:tcPr>
          <w:p w14:paraId="554D38E0" w14:textId="77777777" w:rsidR="001C56BD" w:rsidRPr="00F92667" w:rsidRDefault="001C56BD" w:rsidP="008A5C11">
            <w:pPr>
              <w:jc w:val="center"/>
              <w:rPr>
                <w:bCs/>
                <w:sz w:val="12"/>
                <w:szCs w:val="12"/>
              </w:rPr>
            </w:pPr>
            <w:r w:rsidRPr="00F92667">
              <w:rPr>
                <w:bCs/>
                <w:sz w:val="12"/>
                <w:szCs w:val="12"/>
              </w:rPr>
              <w:t>15</w:t>
            </w:r>
          </w:p>
        </w:tc>
        <w:tc>
          <w:tcPr>
            <w:tcW w:w="206" w:type="pct"/>
            <w:gridSpan w:val="2"/>
            <w:tcMar>
              <w:left w:w="17" w:type="dxa"/>
              <w:right w:w="17" w:type="dxa"/>
            </w:tcMar>
            <w:vAlign w:val="center"/>
          </w:tcPr>
          <w:p w14:paraId="0E8BDB7E" w14:textId="77777777" w:rsidR="001C56BD" w:rsidRPr="00F92667" w:rsidRDefault="001C56BD" w:rsidP="008A5C11">
            <w:pPr>
              <w:jc w:val="center"/>
              <w:rPr>
                <w:bCs/>
                <w:sz w:val="12"/>
                <w:szCs w:val="12"/>
              </w:rPr>
            </w:pPr>
            <w:r w:rsidRPr="00F92667">
              <w:rPr>
                <w:bCs/>
                <w:sz w:val="12"/>
                <w:szCs w:val="12"/>
              </w:rPr>
              <w:t>16</w:t>
            </w:r>
          </w:p>
        </w:tc>
        <w:tc>
          <w:tcPr>
            <w:tcW w:w="217" w:type="pct"/>
            <w:gridSpan w:val="2"/>
            <w:tcMar>
              <w:left w:w="17" w:type="dxa"/>
              <w:right w:w="17" w:type="dxa"/>
            </w:tcMar>
            <w:vAlign w:val="center"/>
          </w:tcPr>
          <w:p w14:paraId="26703CC1" w14:textId="77777777" w:rsidR="001C56BD" w:rsidRPr="00F92667" w:rsidRDefault="001C56BD" w:rsidP="008A5C11">
            <w:pPr>
              <w:jc w:val="center"/>
              <w:rPr>
                <w:bCs/>
                <w:sz w:val="12"/>
                <w:szCs w:val="12"/>
              </w:rPr>
            </w:pPr>
            <w:r w:rsidRPr="00F92667">
              <w:rPr>
                <w:bCs/>
                <w:sz w:val="12"/>
                <w:szCs w:val="12"/>
              </w:rPr>
              <w:t>17</w:t>
            </w:r>
          </w:p>
        </w:tc>
        <w:tc>
          <w:tcPr>
            <w:tcW w:w="214" w:type="pct"/>
            <w:gridSpan w:val="2"/>
            <w:tcMar>
              <w:left w:w="17" w:type="dxa"/>
              <w:right w:w="17" w:type="dxa"/>
            </w:tcMar>
            <w:vAlign w:val="center"/>
          </w:tcPr>
          <w:p w14:paraId="3AD772A2" w14:textId="77777777" w:rsidR="001C56BD" w:rsidRPr="00F92667" w:rsidRDefault="001C56BD" w:rsidP="008A5C11">
            <w:pPr>
              <w:jc w:val="center"/>
              <w:rPr>
                <w:bCs/>
                <w:sz w:val="12"/>
                <w:szCs w:val="12"/>
              </w:rPr>
            </w:pPr>
            <w:r w:rsidRPr="00F92667">
              <w:rPr>
                <w:bCs/>
                <w:sz w:val="12"/>
                <w:szCs w:val="12"/>
              </w:rPr>
              <w:t>18</w:t>
            </w:r>
          </w:p>
        </w:tc>
        <w:tc>
          <w:tcPr>
            <w:tcW w:w="217" w:type="pct"/>
            <w:gridSpan w:val="2"/>
            <w:tcMar>
              <w:left w:w="17" w:type="dxa"/>
              <w:right w:w="17" w:type="dxa"/>
            </w:tcMar>
            <w:vAlign w:val="center"/>
          </w:tcPr>
          <w:p w14:paraId="7655855E" w14:textId="77777777" w:rsidR="001C56BD" w:rsidRPr="00F92667" w:rsidRDefault="001C56BD" w:rsidP="008A5C11">
            <w:pPr>
              <w:jc w:val="center"/>
              <w:rPr>
                <w:bCs/>
                <w:sz w:val="12"/>
                <w:szCs w:val="12"/>
              </w:rPr>
            </w:pPr>
            <w:r w:rsidRPr="00F92667">
              <w:rPr>
                <w:bCs/>
                <w:sz w:val="12"/>
                <w:szCs w:val="12"/>
              </w:rPr>
              <w:t>19</w:t>
            </w:r>
          </w:p>
        </w:tc>
        <w:tc>
          <w:tcPr>
            <w:tcW w:w="217" w:type="pct"/>
            <w:gridSpan w:val="2"/>
            <w:tcMar>
              <w:left w:w="17" w:type="dxa"/>
              <w:right w:w="17" w:type="dxa"/>
            </w:tcMar>
            <w:vAlign w:val="center"/>
          </w:tcPr>
          <w:p w14:paraId="49EA6328" w14:textId="77777777" w:rsidR="001C56BD" w:rsidRPr="00F92667" w:rsidRDefault="001C56BD" w:rsidP="008A5C11">
            <w:pPr>
              <w:jc w:val="center"/>
              <w:rPr>
                <w:bCs/>
                <w:sz w:val="12"/>
                <w:szCs w:val="12"/>
              </w:rPr>
            </w:pPr>
            <w:r w:rsidRPr="00F92667">
              <w:rPr>
                <w:bCs/>
                <w:sz w:val="12"/>
                <w:szCs w:val="12"/>
              </w:rPr>
              <w:t>20</w:t>
            </w:r>
          </w:p>
        </w:tc>
        <w:tc>
          <w:tcPr>
            <w:tcW w:w="214" w:type="pct"/>
            <w:gridSpan w:val="2"/>
            <w:tcMar>
              <w:left w:w="17" w:type="dxa"/>
              <w:right w:w="17" w:type="dxa"/>
            </w:tcMar>
            <w:vAlign w:val="center"/>
          </w:tcPr>
          <w:p w14:paraId="3FEAC0AF" w14:textId="77777777" w:rsidR="001C56BD" w:rsidRPr="00F92667" w:rsidRDefault="001C56BD" w:rsidP="008A5C11">
            <w:pPr>
              <w:jc w:val="center"/>
              <w:rPr>
                <w:bCs/>
                <w:sz w:val="12"/>
                <w:szCs w:val="12"/>
              </w:rPr>
            </w:pPr>
            <w:r w:rsidRPr="00F92667">
              <w:rPr>
                <w:bCs/>
                <w:sz w:val="12"/>
                <w:szCs w:val="12"/>
              </w:rPr>
              <w:t>21</w:t>
            </w:r>
          </w:p>
        </w:tc>
        <w:tc>
          <w:tcPr>
            <w:tcW w:w="247" w:type="pct"/>
            <w:gridSpan w:val="2"/>
            <w:tcMar>
              <w:left w:w="17" w:type="dxa"/>
              <w:right w:w="17" w:type="dxa"/>
            </w:tcMar>
            <w:vAlign w:val="center"/>
          </w:tcPr>
          <w:p w14:paraId="2BEEDA88" w14:textId="77777777" w:rsidR="001C56BD" w:rsidRPr="00F92667" w:rsidRDefault="001C56BD" w:rsidP="008A5C11">
            <w:pPr>
              <w:jc w:val="center"/>
              <w:rPr>
                <w:bCs/>
                <w:sz w:val="12"/>
                <w:szCs w:val="12"/>
              </w:rPr>
            </w:pPr>
            <w:r w:rsidRPr="00F92667">
              <w:rPr>
                <w:bCs/>
                <w:sz w:val="12"/>
                <w:szCs w:val="12"/>
              </w:rPr>
              <w:t>22</w:t>
            </w:r>
          </w:p>
        </w:tc>
        <w:tc>
          <w:tcPr>
            <w:tcW w:w="173" w:type="pct"/>
            <w:tcMar>
              <w:left w:w="17" w:type="dxa"/>
              <w:right w:w="17" w:type="dxa"/>
            </w:tcMar>
            <w:vAlign w:val="center"/>
          </w:tcPr>
          <w:p w14:paraId="05426EE6" w14:textId="77777777" w:rsidR="001C56BD" w:rsidRPr="00F92667" w:rsidRDefault="001C56BD" w:rsidP="008A5C11">
            <w:pPr>
              <w:jc w:val="center"/>
              <w:rPr>
                <w:bCs/>
                <w:sz w:val="12"/>
                <w:szCs w:val="12"/>
              </w:rPr>
            </w:pPr>
            <w:r w:rsidRPr="00F92667">
              <w:rPr>
                <w:bCs/>
                <w:sz w:val="12"/>
                <w:szCs w:val="12"/>
              </w:rPr>
              <w:t>23</w:t>
            </w:r>
          </w:p>
        </w:tc>
        <w:tc>
          <w:tcPr>
            <w:tcW w:w="169" w:type="pct"/>
            <w:tcMar>
              <w:left w:w="17" w:type="dxa"/>
              <w:right w:w="17" w:type="dxa"/>
            </w:tcMar>
            <w:vAlign w:val="center"/>
          </w:tcPr>
          <w:p w14:paraId="60A518B6" w14:textId="77777777" w:rsidR="001C56BD" w:rsidRPr="00F92667" w:rsidRDefault="001C56BD" w:rsidP="008A5C11">
            <w:pPr>
              <w:jc w:val="center"/>
              <w:rPr>
                <w:bCs/>
                <w:sz w:val="12"/>
                <w:szCs w:val="12"/>
              </w:rPr>
            </w:pPr>
            <w:r w:rsidRPr="00F92667">
              <w:rPr>
                <w:bCs/>
                <w:sz w:val="12"/>
                <w:szCs w:val="12"/>
              </w:rPr>
              <w:t>24</w:t>
            </w:r>
          </w:p>
        </w:tc>
      </w:tr>
      <w:tr w:rsidR="001C56BD" w:rsidRPr="00F92667" w14:paraId="2A0F7E29" w14:textId="77777777" w:rsidTr="008A5C11">
        <w:trPr>
          <w:gridBefore w:val="1"/>
          <w:wBefore w:w="3" w:type="pct"/>
          <w:trHeight w:val="897"/>
        </w:trPr>
        <w:tc>
          <w:tcPr>
            <w:tcW w:w="129" w:type="pct"/>
            <w:shd w:val="clear" w:color="auto" w:fill="auto"/>
            <w:tcMar>
              <w:left w:w="17" w:type="dxa"/>
              <w:right w:w="17" w:type="dxa"/>
            </w:tcMar>
            <w:vAlign w:val="center"/>
          </w:tcPr>
          <w:p w14:paraId="1D4E7A4B" w14:textId="77777777" w:rsidR="001C56BD" w:rsidRPr="00F92667" w:rsidRDefault="001C56BD" w:rsidP="008A5C11">
            <w:pPr>
              <w:jc w:val="center"/>
              <w:rPr>
                <w:sz w:val="12"/>
                <w:szCs w:val="12"/>
              </w:rPr>
            </w:pPr>
            <w:r w:rsidRPr="00F92667">
              <w:rPr>
                <w:sz w:val="12"/>
                <w:szCs w:val="12"/>
              </w:rPr>
              <w:t>3.1.47.</w:t>
            </w:r>
          </w:p>
        </w:tc>
        <w:tc>
          <w:tcPr>
            <w:tcW w:w="305" w:type="pct"/>
            <w:shd w:val="clear" w:color="auto" w:fill="auto"/>
            <w:tcMar>
              <w:left w:w="17" w:type="dxa"/>
              <w:right w:w="17" w:type="dxa"/>
            </w:tcMar>
            <w:vAlign w:val="center"/>
          </w:tcPr>
          <w:p w14:paraId="66B65A3F" w14:textId="77777777" w:rsidR="001C56BD" w:rsidRPr="00F92667" w:rsidRDefault="001C56BD" w:rsidP="008A5C11">
            <w:pPr>
              <w:rPr>
                <w:sz w:val="12"/>
                <w:szCs w:val="12"/>
              </w:rPr>
            </w:pPr>
            <w:r w:rsidRPr="00F92667">
              <w:rPr>
                <w:color w:val="000000"/>
                <w:sz w:val="12"/>
                <w:szCs w:val="12"/>
              </w:rPr>
              <w:t>Реконструкция тепловой сети с реестровым номером</w:t>
            </w:r>
            <w:r w:rsidRPr="00F92667">
              <w:rPr>
                <w:sz w:val="12"/>
                <w:szCs w:val="12"/>
              </w:rPr>
              <w:t xml:space="preserve"> 772462</w:t>
            </w:r>
          </w:p>
        </w:tc>
        <w:tc>
          <w:tcPr>
            <w:tcW w:w="304" w:type="pct"/>
            <w:shd w:val="clear" w:color="000000" w:fill="FFFFFF"/>
            <w:tcMar>
              <w:left w:w="17" w:type="dxa"/>
              <w:right w:w="17" w:type="dxa"/>
            </w:tcMar>
            <w:vAlign w:val="center"/>
          </w:tcPr>
          <w:p w14:paraId="7CB11C44" w14:textId="77777777" w:rsidR="001C56BD" w:rsidRPr="00F92667" w:rsidRDefault="001C56BD" w:rsidP="008A5C11">
            <w:pPr>
              <w:jc w:val="center"/>
              <w:rPr>
                <w:sz w:val="12"/>
                <w:szCs w:val="12"/>
              </w:rPr>
            </w:pPr>
            <w:r w:rsidRPr="00F92667">
              <w:rPr>
                <w:color w:val="000000"/>
                <w:sz w:val="12"/>
                <w:szCs w:val="12"/>
              </w:rPr>
              <w:t>Повышение надежности услуг теплоснабжения, повышение энергетической эффективности</w:t>
            </w:r>
          </w:p>
        </w:tc>
        <w:tc>
          <w:tcPr>
            <w:tcW w:w="258" w:type="pct"/>
            <w:shd w:val="clear" w:color="auto" w:fill="auto"/>
            <w:tcMar>
              <w:left w:w="17" w:type="dxa"/>
              <w:right w:w="17" w:type="dxa"/>
            </w:tcMar>
            <w:vAlign w:val="center"/>
          </w:tcPr>
          <w:p w14:paraId="319666CC" w14:textId="77777777" w:rsidR="001C56BD" w:rsidRPr="00F92667" w:rsidRDefault="001C56BD" w:rsidP="008A5C11">
            <w:pPr>
              <w:jc w:val="center"/>
              <w:rPr>
                <w:sz w:val="12"/>
                <w:szCs w:val="12"/>
              </w:rPr>
            </w:pPr>
            <w:r w:rsidRPr="00F92667">
              <w:rPr>
                <w:sz w:val="12"/>
                <w:szCs w:val="12"/>
              </w:rPr>
              <w:t>Кемеровский городской округ, Центральный район, Квартал 1</w:t>
            </w:r>
          </w:p>
        </w:tc>
        <w:tc>
          <w:tcPr>
            <w:tcW w:w="294" w:type="pct"/>
            <w:shd w:val="clear" w:color="auto" w:fill="auto"/>
            <w:tcMar>
              <w:left w:w="17" w:type="dxa"/>
              <w:right w:w="17" w:type="dxa"/>
            </w:tcMar>
            <w:vAlign w:val="center"/>
          </w:tcPr>
          <w:p w14:paraId="71F270F4" w14:textId="77777777" w:rsidR="001C56BD" w:rsidRPr="00F92667" w:rsidRDefault="001C56BD" w:rsidP="008A5C11">
            <w:pPr>
              <w:jc w:val="center"/>
              <w:rPr>
                <w:sz w:val="12"/>
                <w:szCs w:val="12"/>
              </w:rPr>
            </w:pPr>
            <w:r w:rsidRPr="00F92667">
              <w:rPr>
                <w:color w:val="000000"/>
                <w:sz w:val="12"/>
                <w:szCs w:val="12"/>
              </w:rPr>
              <w:t>Технические характеристики</w:t>
            </w:r>
          </w:p>
        </w:tc>
        <w:tc>
          <w:tcPr>
            <w:tcW w:w="129" w:type="pct"/>
            <w:shd w:val="clear" w:color="auto" w:fill="auto"/>
            <w:tcMar>
              <w:left w:w="17" w:type="dxa"/>
              <w:right w:w="17" w:type="dxa"/>
            </w:tcMar>
            <w:vAlign w:val="center"/>
          </w:tcPr>
          <w:p w14:paraId="7CE44077" w14:textId="77777777" w:rsidR="001C56BD" w:rsidRPr="00F92667" w:rsidRDefault="001C56BD" w:rsidP="008A5C11">
            <w:pPr>
              <w:jc w:val="center"/>
              <w:rPr>
                <w:color w:val="000000"/>
                <w:sz w:val="12"/>
                <w:szCs w:val="12"/>
              </w:rPr>
            </w:pPr>
          </w:p>
        </w:tc>
        <w:tc>
          <w:tcPr>
            <w:tcW w:w="184" w:type="pct"/>
            <w:shd w:val="clear" w:color="auto" w:fill="auto"/>
            <w:tcMar>
              <w:left w:w="17" w:type="dxa"/>
              <w:right w:w="17" w:type="dxa"/>
            </w:tcMar>
            <w:vAlign w:val="center"/>
          </w:tcPr>
          <w:p w14:paraId="5B8A10F0" w14:textId="77777777" w:rsidR="001C56BD" w:rsidRPr="00F92667" w:rsidRDefault="001C56BD" w:rsidP="008A5C11">
            <w:pPr>
              <w:jc w:val="center"/>
              <w:rPr>
                <w:sz w:val="12"/>
                <w:szCs w:val="12"/>
              </w:rPr>
            </w:pPr>
            <w:r w:rsidRPr="00F92667">
              <w:rPr>
                <w:sz w:val="12"/>
                <w:szCs w:val="12"/>
              </w:rPr>
              <w:t>Канал-кирпич (непроходной канал),</w:t>
            </w:r>
            <w:r w:rsidRPr="00F92667">
              <w:rPr>
                <w:sz w:val="12"/>
                <w:szCs w:val="12"/>
              </w:rPr>
              <w:br/>
              <w:t xml:space="preserve">опоры приварные, запорная арматура-стальная клиновая, антикоррозийная защита-лак БТ, труба-сталь 20, изоляция-мин. маты.       </w:t>
            </w:r>
          </w:p>
        </w:tc>
        <w:tc>
          <w:tcPr>
            <w:tcW w:w="219" w:type="pct"/>
            <w:shd w:val="clear" w:color="auto" w:fill="auto"/>
            <w:tcMar>
              <w:left w:w="17" w:type="dxa"/>
              <w:right w:w="17" w:type="dxa"/>
            </w:tcMar>
            <w:vAlign w:val="center"/>
          </w:tcPr>
          <w:p w14:paraId="5AB89CD4" w14:textId="77777777" w:rsidR="001C56BD" w:rsidRPr="00F92667" w:rsidRDefault="001C56BD" w:rsidP="008A5C11">
            <w:pPr>
              <w:jc w:val="center"/>
              <w:rPr>
                <w:sz w:val="12"/>
                <w:szCs w:val="12"/>
              </w:rPr>
            </w:pPr>
            <w:r w:rsidRPr="00F92667">
              <w:rPr>
                <w:sz w:val="12"/>
                <w:szCs w:val="12"/>
              </w:rPr>
              <w:t xml:space="preserve">Канал-ж/б лотки, опоры-хомутовые с диэлектрической прокладкой, запорная арматура - кран шаровый, антикоррозийная защита-мастика Вектор 1214, 1025, труба-сталь 09Г2С, изоляция - маты прошивные, </w:t>
            </w:r>
            <w:proofErr w:type="gramStart"/>
            <w:r w:rsidRPr="00F92667">
              <w:rPr>
                <w:sz w:val="12"/>
                <w:szCs w:val="12"/>
              </w:rPr>
              <w:t>стеклоплас-тик</w:t>
            </w:r>
            <w:proofErr w:type="gramEnd"/>
            <w:r w:rsidRPr="00F92667">
              <w:rPr>
                <w:sz w:val="12"/>
                <w:szCs w:val="12"/>
              </w:rPr>
              <w:t xml:space="preserve">  </w:t>
            </w:r>
          </w:p>
        </w:tc>
        <w:tc>
          <w:tcPr>
            <w:tcW w:w="130" w:type="pct"/>
            <w:shd w:val="clear" w:color="auto" w:fill="auto"/>
            <w:tcMar>
              <w:left w:w="17" w:type="dxa"/>
              <w:right w:w="17" w:type="dxa"/>
            </w:tcMar>
            <w:vAlign w:val="center"/>
          </w:tcPr>
          <w:p w14:paraId="77656274" w14:textId="77777777" w:rsidR="001C56BD" w:rsidRPr="00F92667" w:rsidRDefault="001C56BD" w:rsidP="008A5C11">
            <w:pPr>
              <w:jc w:val="center"/>
              <w:rPr>
                <w:sz w:val="12"/>
                <w:szCs w:val="12"/>
              </w:rPr>
            </w:pPr>
            <w:r w:rsidRPr="00F92667">
              <w:rPr>
                <w:sz w:val="12"/>
                <w:szCs w:val="12"/>
              </w:rPr>
              <w:t>2031</w:t>
            </w:r>
          </w:p>
        </w:tc>
        <w:tc>
          <w:tcPr>
            <w:tcW w:w="130" w:type="pct"/>
            <w:shd w:val="clear" w:color="auto" w:fill="auto"/>
            <w:tcMar>
              <w:left w:w="17" w:type="dxa"/>
              <w:right w:w="17" w:type="dxa"/>
            </w:tcMar>
            <w:vAlign w:val="center"/>
          </w:tcPr>
          <w:p w14:paraId="077EFC7F" w14:textId="77777777" w:rsidR="001C56BD" w:rsidRPr="00F92667" w:rsidRDefault="001C56BD" w:rsidP="008A5C11">
            <w:pPr>
              <w:jc w:val="center"/>
              <w:rPr>
                <w:sz w:val="12"/>
                <w:szCs w:val="12"/>
              </w:rPr>
            </w:pPr>
            <w:r w:rsidRPr="00F92667">
              <w:rPr>
                <w:sz w:val="12"/>
                <w:szCs w:val="12"/>
              </w:rPr>
              <w:t>2031</w:t>
            </w:r>
          </w:p>
        </w:tc>
        <w:tc>
          <w:tcPr>
            <w:tcW w:w="217" w:type="pct"/>
            <w:gridSpan w:val="2"/>
            <w:shd w:val="clear" w:color="auto" w:fill="auto"/>
            <w:tcMar>
              <w:left w:w="17" w:type="dxa"/>
              <w:right w:w="17" w:type="dxa"/>
            </w:tcMar>
            <w:vAlign w:val="center"/>
          </w:tcPr>
          <w:p w14:paraId="2DA94D75" w14:textId="77777777" w:rsidR="001C56BD" w:rsidRPr="00F92667" w:rsidRDefault="001C56BD" w:rsidP="008A5C11">
            <w:pPr>
              <w:jc w:val="center"/>
              <w:rPr>
                <w:sz w:val="12"/>
                <w:szCs w:val="12"/>
              </w:rPr>
            </w:pPr>
            <w:r w:rsidRPr="00F92667">
              <w:rPr>
                <w:sz w:val="12"/>
                <w:szCs w:val="12"/>
              </w:rPr>
              <w:t>7843,368</w:t>
            </w:r>
          </w:p>
        </w:tc>
        <w:tc>
          <w:tcPr>
            <w:tcW w:w="177" w:type="pct"/>
            <w:gridSpan w:val="2"/>
            <w:shd w:val="clear" w:color="auto" w:fill="auto"/>
            <w:tcMar>
              <w:left w:w="17" w:type="dxa"/>
              <w:right w:w="17" w:type="dxa"/>
            </w:tcMar>
            <w:vAlign w:val="center"/>
          </w:tcPr>
          <w:p w14:paraId="530D599E" w14:textId="77777777" w:rsidR="001C56BD" w:rsidRPr="00F92667" w:rsidRDefault="001C56BD" w:rsidP="008A5C11">
            <w:pPr>
              <w:jc w:val="center"/>
              <w:rPr>
                <w:sz w:val="12"/>
                <w:szCs w:val="12"/>
              </w:rPr>
            </w:pPr>
            <w:r w:rsidRPr="00F92667">
              <w:rPr>
                <w:sz w:val="12"/>
                <w:szCs w:val="12"/>
              </w:rPr>
              <w:t>0,000</w:t>
            </w:r>
          </w:p>
        </w:tc>
        <w:tc>
          <w:tcPr>
            <w:tcW w:w="212" w:type="pct"/>
            <w:shd w:val="clear" w:color="auto" w:fill="auto"/>
            <w:tcMar>
              <w:left w:w="17" w:type="dxa"/>
              <w:right w:w="17" w:type="dxa"/>
            </w:tcMar>
            <w:vAlign w:val="center"/>
          </w:tcPr>
          <w:p w14:paraId="4233F39E" w14:textId="77777777" w:rsidR="001C56BD" w:rsidRPr="00F92667" w:rsidRDefault="001C56BD" w:rsidP="008A5C11">
            <w:pPr>
              <w:jc w:val="center"/>
              <w:rPr>
                <w:sz w:val="12"/>
                <w:szCs w:val="12"/>
              </w:rPr>
            </w:pPr>
            <w:r w:rsidRPr="00F92667">
              <w:rPr>
                <w:sz w:val="12"/>
                <w:szCs w:val="12"/>
              </w:rPr>
              <w:t>0,000</w:t>
            </w:r>
          </w:p>
        </w:tc>
        <w:tc>
          <w:tcPr>
            <w:tcW w:w="218" w:type="pct"/>
            <w:gridSpan w:val="2"/>
            <w:shd w:val="clear" w:color="auto" w:fill="auto"/>
            <w:tcMar>
              <w:left w:w="17" w:type="dxa"/>
              <w:right w:w="17" w:type="dxa"/>
            </w:tcMar>
            <w:vAlign w:val="center"/>
          </w:tcPr>
          <w:p w14:paraId="5E15B97B"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02798FA9" w14:textId="77777777" w:rsidR="001C56BD" w:rsidRPr="00F92667" w:rsidRDefault="001C56BD" w:rsidP="008A5C11">
            <w:pPr>
              <w:jc w:val="center"/>
              <w:rPr>
                <w:sz w:val="12"/>
                <w:szCs w:val="12"/>
              </w:rPr>
            </w:pPr>
            <w:r w:rsidRPr="00F92667">
              <w:rPr>
                <w:sz w:val="12"/>
                <w:szCs w:val="12"/>
              </w:rPr>
              <w:t>0,000</w:t>
            </w:r>
          </w:p>
        </w:tc>
        <w:tc>
          <w:tcPr>
            <w:tcW w:w="206" w:type="pct"/>
            <w:gridSpan w:val="2"/>
            <w:shd w:val="clear" w:color="auto" w:fill="auto"/>
            <w:tcMar>
              <w:left w:w="17" w:type="dxa"/>
              <w:right w:w="17" w:type="dxa"/>
            </w:tcMar>
            <w:vAlign w:val="center"/>
          </w:tcPr>
          <w:p w14:paraId="0C88F00F"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7C6E22A0" w14:textId="77777777" w:rsidR="001C56BD" w:rsidRPr="00F92667" w:rsidRDefault="001C56BD" w:rsidP="008A5C11">
            <w:pPr>
              <w:jc w:val="center"/>
              <w:rPr>
                <w:sz w:val="12"/>
                <w:szCs w:val="12"/>
              </w:rPr>
            </w:pPr>
            <w:r w:rsidRPr="00F92667">
              <w:rPr>
                <w:sz w:val="12"/>
                <w:szCs w:val="12"/>
              </w:rPr>
              <w:t>0,000</w:t>
            </w:r>
          </w:p>
        </w:tc>
        <w:tc>
          <w:tcPr>
            <w:tcW w:w="214" w:type="pct"/>
            <w:gridSpan w:val="2"/>
            <w:shd w:val="clear" w:color="auto" w:fill="auto"/>
            <w:tcMar>
              <w:left w:w="17" w:type="dxa"/>
              <w:right w:w="17" w:type="dxa"/>
            </w:tcMar>
            <w:vAlign w:val="center"/>
          </w:tcPr>
          <w:p w14:paraId="28334748"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524266C1"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586CCC89" w14:textId="77777777" w:rsidR="001C56BD" w:rsidRPr="00F92667" w:rsidRDefault="001C56BD" w:rsidP="008A5C11">
            <w:pPr>
              <w:jc w:val="center"/>
              <w:rPr>
                <w:sz w:val="12"/>
                <w:szCs w:val="12"/>
              </w:rPr>
            </w:pPr>
            <w:r w:rsidRPr="00F92667">
              <w:rPr>
                <w:sz w:val="12"/>
                <w:szCs w:val="12"/>
              </w:rPr>
              <w:t>0,000</w:t>
            </w:r>
          </w:p>
        </w:tc>
        <w:tc>
          <w:tcPr>
            <w:tcW w:w="214" w:type="pct"/>
            <w:gridSpan w:val="2"/>
            <w:shd w:val="clear" w:color="auto" w:fill="auto"/>
            <w:tcMar>
              <w:left w:w="17" w:type="dxa"/>
              <w:right w:w="17" w:type="dxa"/>
            </w:tcMar>
            <w:vAlign w:val="center"/>
          </w:tcPr>
          <w:p w14:paraId="60EF761D" w14:textId="77777777" w:rsidR="001C56BD" w:rsidRPr="00F92667" w:rsidRDefault="001C56BD" w:rsidP="008A5C11">
            <w:pPr>
              <w:jc w:val="center"/>
              <w:rPr>
                <w:sz w:val="12"/>
                <w:szCs w:val="12"/>
              </w:rPr>
            </w:pPr>
            <w:r w:rsidRPr="00F92667">
              <w:rPr>
                <w:sz w:val="12"/>
                <w:szCs w:val="12"/>
              </w:rPr>
              <w:t>0,000</w:t>
            </w:r>
          </w:p>
        </w:tc>
        <w:tc>
          <w:tcPr>
            <w:tcW w:w="247" w:type="pct"/>
            <w:gridSpan w:val="2"/>
            <w:shd w:val="clear" w:color="auto" w:fill="auto"/>
            <w:tcMar>
              <w:left w:w="17" w:type="dxa"/>
              <w:right w:w="17" w:type="dxa"/>
            </w:tcMar>
            <w:vAlign w:val="center"/>
          </w:tcPr>
          <w:p w14:paraId="5D932846" w14:textId="77777777" w:rsidR="001C56BD" w:rsidRPr="00F92667" w:rsidRDefault="001C56BD" w:rsidP="008A5C11">
            <w:pPr>
              <w:jc w:val="center"/>
              <w:rPr>
                <w:sz w:val="12"/>
                <w:szCs w:val="12"/>
              </w:rPr>
            </w:pPr>
            <w:r w:rsidRPr="00F92667">
              <w:rPr>
                <w:sz w:val="12"/>
                <w:szCs w:val="12"/>
              </w:rPr>
              <w:t>7843,368</w:t>
            </w:r>
          </w:p>
        </w:tc>
        <w:tc>
          <w:tcPr>
            <w:tcW w:w="173" w:type="pct"/>
            <w:shd w:val="clear" w:color="auto" w:fill="auto"/>
            <w:tcMar>
              <w:left w:w="17" w:type="dxa"/>
              <w:right w:w="17" w:type="dxa"/>
            </w:tcMar>
            <w:vAlign w:val="center"/>
          </w:tcPr>
          <w:p w14:paraId="717CFB4A" w14:textId="77777777" w:rsidR="001C56BD" w:rsidRPr="00F92667" w:rsidRDefault="001C56BD" w:rsidP="008A5C11">
            <w:pPr>
              <w:jc w:val="center"/>
              <w:rPr>
                <w:sz w:val="12"/>
                <w:szCs w:val="12"/>
              </w:rPr>
            </w:pPr>
            <w:r w:rsidRPr="00F92667">
              <w:rPr>
                <w:sz w:val="12"/>
                <w:szCs w:val="12"/>
              </w:rPr>
              <w:t>0,000</w:t>
            </w:r>
          </w:p>
        </w:tc>
        <w:tc>
          <w:tcPr>
            <w:tcW w:w="169" w:type="pct"/>
            <w:shd w:val="clear" w:color="auto" w:fill="auto"/>
            <w:tcMar>
              <w:left w:w="17" w:type="dxa"/>
              <w:right w:w="17" w:type="dxa"/>
            </w:tcMar>
            <w:vAlign w:val="center"/>
          </w:tcPr>
          <w:p w14:paraId="62C13B5E" w14:textId="77777777" w:rsidR="001C56BD" w:rsidRPr="00F92667" w:rsidRDefault="001C56BD" w:rsidP="008A5C11">
            <w:pPr>
              <w:jc w:val="center"/>
              <w:rPr>
                <w:sz w:val="12"/>
                <w:szCs w:val="12"/>
              </w:rPr>
            </w:pPr>
            <w:r w:rsidRPr="00F92667">
              <w:rPr>
                <w:sz w:val="12"/>
                <w:szCs w:val="12"/>
              </w:rPr>
              <w:t>0,000</w:t>
            </w:r>
          </w:p>
        </w:tc>
      </w:tr>
      <w:tr w:rsidR="001C56BD" w:rsidRPr="00F92667" w14:paraId="0BC7EC55" w14:textId="77777777" w:rsidTr="008A5C11">
        <w:trPr>
          <w:gridBefore w:val="1"/>
          <w:wBefore w:w="3" w:type="pct"/>
          <w:trHeight w:val="897"/>
        </w:trPr>
        <w:tc>
          <w:tcPr>
            <w:tcW w:w="129" w:type="pct"/>
            <w:shd w:val="clear" w:color="auto" w:fill="auto"/>
            <w:tcMar>
              <w:left w:w="17" w:type="dxa"/>
              <w:right w:w="17" w:type="dxa"/>
            </w:tcMar>
            <w:vAlign w:val="center"/>
          </w:tcPr>
          <w:p w14:paraId="2F67ABC9" w14:textId="77777777" w:rsidR="001C56BD" w:rsidRPr="00F92667" w:rsidRDefault="001C56BD" w:rsidP="008A5C11">
            <w:pPr>
              <w:jc w:val="center"/>
              <w:rPr>
                <w:sz w:val="12"/>
                <w:szCs w:val="12"/>
              </w:rPr>
            </w:pPr>
            <w:r w:rsidRPr="00F92667">
              <w:rPr>
                <w:sz w:val="12"/>
                <w:szCs w:val="12"/>
              </w:rPr>
              <w:t>3.1.48.</w:t>
            </w:r>
          </w:p>
        </w:tc>
        <w:tc>
          <w:tcPr>
            <w:tcW w:w="305" w:type="pct"/>
            <w:shd w:val="clear" w:color="auto" w:fill="auto"/>
            <w:tcMar>
              <w:left w:w="17" w:type="dxa"/>
              <w:right w:w="17" w:type="dxa"/>
            </w:tcMar>
            <w:vAlign w:val="center"/>
          </w:tcPr>
          <w:p w14:paraId="3735FD09" w14:textId="77777777" w:rsidR="001C56BD" w:rsidRPr="00F92667" w:rsidRDefault="001C56BD" w:rsidP="008A5C11">
            <w:pPr>
              <w:rPr>
                <w:sz w:val="12"/>
                <w:szCs w:val="12"/>
              </w:rPr>
            </w:pPr>
            <w:r w:rsidRPr="00F92667">
              <w:rPr>
                <w:color w:val="000000"/>
                <w:sz w:val="12"/>
                <w:szCs w:val="12"/>
              </w:rPr>
              <w:t>Реконструкция тепловой сети с реестровым номером</w:t>
            </w:r>
            <w:r w:rsidRPr="00F92667">
              <w:rPr>
                <w:sz w:val="12"/>
                <w:szCs w:val="12"/>
              </w:rPr>
              <w:t xml:space="preserve"> 772701</w:t>
            </w:r>
          </w:p>
        </w:tc>
        <w:tc>
          <w:tcPr>
            <w:tcW w:w="304" w:type="pct"/>
            <w:shd w:val="clear" w:color="000000" w:fill="FFFFFF"/>
            <w:tcMar>
              <w:left w:w="17" w:type="dxa"/>
              <w:right w:w="17" w:type="dxa"/>
            </w:tcMar>
            <w:vAlign w:val="center"/>
          </w:tcPr>
          <w:p w14:paraId="2D3912E5" w14:textId="77777777" w:rsidR="001C56BD" w:rsidRPr="00F92667" w:rsidRDefault="001C56BD" w:rsidP="008A5C11">
            <w:pPr>
              <w:jc w:val="center"/>
              <w:rPr>
                <w:sz w:val="12"/>
                <w:szCs w:val="12"/>
              </w:rPr>
            </w:pPr>
            <w:r w:rsidRPr="00F92667">
              <w:rPr>
                <w:color w:val="000000"/>
                <w:sz w:val="12"/>
                <w:szCs w:val="12"/>
              </w:rPr>
              <w:t>Повышение надежности услуг теплоснабжения, повышение энергетической эффективности</w:t>
            </w:r>
          </w:p>
        </w:tc>
        <w:tc>
          <w:tcPr>
            <w:tcW w:w="258" w:type="pct"/>
            <w:shd w:val="clear" w:color="auto" w:fill="auto"/>
            <w:tcMar>
              <w:left w:w="17" w:type="dxa"/>
              <w:right w:w="17" w:type="dxa"/>
            </w:tcMar>
            <w:vAlign w:val="center"/>
          </w:tcPr>
          <w:p w14:paraId="01969FC1" w14:textId="77777777" w:rsidR="001C56BD" w:rsidRPr="00F92667" w:rsidRDefault="001C56BD" w:rsidP="008A5C11">
            <w:pPr>
              <w:jc w:val="center"/>
              <w:rPr>
                <w:sz w:val="12"/>
                <w:szCs w:val="12"/>
              </w:rPr>
            </w:pPr>
            <w:r w:rsidRPr="00F92667">
              <w:rPr>
                <w:sz w:val="12"/>
                <w:szCs w:val="12"/>
              </w:rPr>
              <w:t>Кемеровский городской округ, Центральный район, Квартал 14, 23м юго-западнее жилого дома №6 по ул. Васильева</w:t>
            </w:r>
          </w:p>
        </w:tc>
        <w:tc>
          <w:tcPr>
            <w:tcW w:w="294" w:type="pct"/>
            <w:shd w:val="clear" w:color="auto" w:fill="auto"/>
            <w:tcMar>
              <w:left w:w="17" w:type="dxa"/>
              <w:right w:w="17" w:type="dxa"/>
            </w:tcMar>
            <w:vAlign w:val="center"/>
          </w:tcPr>
          <w:p w14:paraId="0A7B6A4F" w14:textId="77777777" w:rsidR="001C56BD" w:rsidRPr="00F92667" w:rsidRDefault="001C56BD" w:rsidP="008A5C11">
            <w:pPr>
              <w:jc w:val="center"/>
              <w:rPr>
                <w:sz w:val="12"/>
                <w:szCs w:val="12"/>
              </w:rPr>
            </w:pPr>
            <w:r w:rsidRPr="00F92667">
              <w:rPr>
                <w:color w:val="000000"/>
                <w:sz w:val="12"/>
                <w:szCs w:val="12"/>
              </w:rPr>
              <w:t>Технические характеристики</w:t>
            </w:r>
          </w:p>
        </w:tc>
        <w:tc>
          <w:tcPr>
            <w:tcW w:w="129" w:type="pct"/>
            <w:shd w:val="clear" w:color="auto" w:fill="auto"/>
            <w:tcMar>
              <w:left w:w="17" w:type="dxa"/>
              <w:right w:w="17" w:type="dxa"/>
            </w:tcMar>
            <w:vAlign w:val="center"/>
          </w:tcPr>
          <w:p w14:paraId="3BAA1F35" w14:textId="77777777" w:rsidR="001C56BD" w:rsidRPr="00F92667" w:rsidRDefault="001C56BD" w:rsidP="008A5C11">
            <w:pPr>
              <w:jc w:val="center"/>
              <w:rPr>
                <w:color w:val="000000"/>
                <w:sz w:val="12"/>
                <w:szCs w:val="12"/>
              </w:rPr>
            </w:pPr>
          </w:p>
        </w:tc>
        <w:tc>
          <w:tcPr>
            <w:tcW w:w="184" w:type="pct"/>
            <w:shd w:val="clear" w:color="auto" w:fill="auto"/>
            <w:tcMar>
              <w:left w:w="17" w:type="dxa"/>
              <w:right w:w="17" w:type="dxa"/>
            </w:tcMar>
            <w:vAlign w:val="center"/>
          </w:tcPr>
          <w:p w14:paraId="087C16AD" w14:textId="77777777" w:rsidR="001C56BD" w:rsidRPr="00F92667" w:rsidRDefault="001C56BD" w:rsidP="008A5C11">
            <w:pPr>
              <w:jc w:val="center"/>
              <w:rPr>
                <w:sz w:val="12"/>
                <w:szCs w:val="12"/>
              </w:rPr>
            </w:pPr>
            <w:r w:rsidRPr="00F92667">
              <w:rPr>
                <w:sz w:val="12"/>
                <w:szCs w:val="12"/>
              </w:rPr>
              <w:t xml:space="preserve">Бесканаль-ная прокладка, опоры приварные, запорная арматура-стальная клиновая, антикоррозийная защита-лак БТ, труба-сталь 20, изоляция-мин. маты.       </w:t>
            </w:r>
          </w:p>
        </w:tc>
        <w:tc>
          <w:tcPr>
            <w:tcW w:w="219" w:type="pct"/>
            <w:shd w:val="clear" w:color="auto" w:fill="auto"/>
            <w:tcMar>
              <w:left w:w="17" w:type="dxa"/>
              <w:right w:w="17" w:type="dxa"/>
            </w:tcMar>
            <w:vAlign w:val="center"/>
          </w:tcPr>
          <w:p w14:paraId="1B7EA18C" w14:textId="77777777" w:rsidR="001C56BD" w:rsidRPr="00F92667" w:rsidRDefault="001C56BD" w:rsidP="008A5C11">
            <w:pPr>
              <w:jc w:val="center"/>
              <w:rPr>
                <w:sz w:val="12"/>
                <w:szCs w:val="12"/>
              </w:rPr>
            </w:pPr>
            <w:r w:rsidRPr="00F92667">
              <w:rPr>
                <w:sz w:val="12"/>
                <w:szCs w:val="12"/>
              </w:rPr>
              <w:t xml:space="preserve">Канал-ж/б лотки, опоры-хомутовые с диэлектрической прокладкой, запорная арматура - кран шаровый, антикоррозийная защита-мастика Вектор 1214, 1025, труба-сталь 09Г2С, изоляция - маты прошивные, </w:t>
            </w:r>
            <w:proofErr w:type="gramStart"/>
            <w:r w:rsidRPr="00F92667">
              <w:rPr>
                <w:sz w:val="12"/>
                <w:szCs w:val="12"/>
              </w:rPr>
              <w:t>стеклоплас-тик</w:t>
            </w:r>
            <w:proofErr w:type="gramEnd"/>
            <w:r w:rsidRPr="00F92667">
              <w:rPr>
                <w:sz w:val="12"/>
                <w:szCs w:val="12"/>
              </w:rPr>
              <w:t xml:space="preserve">  </w:t>
            </w:r>
          </w:p>
        </w:tc>
        <w:tc>
          <w:tcPr>
            <w:tcW w:w="130" w:type="pct"/>
            <w:shd w:val="clear" w:color="auto" w:fill="auto"/>
            <w:tcMar>
              <w:left w:w="17" w:type="dxa"/>
              <w:right w:w="17" w:type="dxa"/>
            </w:tcMar>
            <w:vAlign w:val="center"/>
          </w:tcPr>
          <w:p w14:paraId="64084243" w14:textId="77777777" w:rsidR="001C56BD" w:rsidRPr="00F92667" w:rsidRDefault="001C56BD" w:rsidP="008A5C11">
            <w:pPr>
              <w:jc w:val="center"/>
              <w:rPr>
                <w:sz w:val="12"/>
                <w:szCs w:val="12"/>
              </w:rPr>
            </w:pPr>
            <w:r w:rsidRPr="00F92667">
              <w:rPr>
                <w:sz w:val="12"/>
                <w:szCs w:val="12"/>
              </w:rPr>
              <w:t>2022</w:t>
            </w:r>
          </w:p>
        </w:tc>
        <w:tc>
          <w:tcPr>
            <w:tcW w:w="130" w:type="pct"/>
            <w:shd w:val="clear" w:color="auto" w:fill="auto"/>
            <w:tcMar>
              <w:left w:w="17" w:type="dxa"/>
              <w:right w:w="17" w:type="dxa"/>
            </w:tcMar>
            <w:vAlign w:val="center"/>
          </w:tcPr>
          <w:p w14:paraId="2BE2EC58" w14:textId="77777777" w:rsidR="001C56BD" w:rsidRPr="00F92667" w:rsidRDefault="001C56BD" w:rsidP="008A5C11">
            <w:pPr>
              <w:jc w:val="center"/>
              <w:rPr>
                <w:sz w:val="12"/>
                <w:szCs w:val="12"/>
              </w:rPr>
            </w:pPr>
            <w:r w:rsidRPr="00F92667">
              <w:rPr>
                <w:sz w:val="12"/>
                <w:szCs w:val="12"/>
              </w:rPr>
              <w:t>2022</w:t>
            </w:r>
          </w:p>
        </w:tc>
        <w:tc>
          <w:tcPr>
            <w:tcW w:w="217" w:type="pct"/>
            <w:gridSpan w:val="2"/>
            <w:shd w:val="clear" w:color="auto" w:fill="auto"/>
            <w:tcMar>
              <w:left w:w="17" w:type="dxa"/>
              <w:right w:w="17" w:type="dxa"/>
            </w:tcMar>
            <w:vAlign w:val="center"/>
          </w:tcPr>
          <w:p w14:paraId="3B91A3F1" w14:textId="77777777" w:rsidR="001C56BD" w:rsidRPr="00F92667" w:rsidRDefault="001C56BD" w:rsidP="008A5C11">
            <w:pPr>
              <w:jc w:val="center"/>
              <w:rPr>
                <w:sz w:val="12"/>
                <w:szCs w:val="12"/>
              </w:rPr>
            </w:pPr>
            <w:r w:rsidRPr="00F92667">
              <w:rPr>
                <w:sz w:val="12"/>
                <w:szCs w:val="12"/>
              </w:rPr>
              <w:t>4139,352</w:t>
            </w:r>
          </w:p>
        </w:tc>
        <w:tc>
          <w:tcPr>
            <w:tcW w:w="177" w:type="pct"/>
            <w:gridSpan w:val="2"/>
            <w:shd w:val="clear" w:color="auto" w:fill="auto"/>
            <w:tcMar>
              <w:left w:w="17" w:type="dxa"/>
              <w:right w:w="17" w:type="dxa"/>
            </w:tcMar>
            <w:vAlign w:val="center"/>
          </w:tcPr>
          <w:p w14:paraId="5D4B2253" w14:textId="77777777" w:rsidR="001C56BD" w:rsidRPr="00F92667" w:rsidRDefault="001C56BD" w:rsidP="008A5C11">
            <w:pPr>
              <w:jc w:val="center"/>
              <w:rPr>
                <w:sz w:val="12"/>
                <w:szCs w:val="12"/>
              </w:rPr>
            </w:pPr>
            <w:r w:rsidRPr="00F92667">
              <w:rPr>
                <w:sz w:val="12"/>
                <w:szCs w:val="12"/>
              </w:rPr>
              <w:t>0,000</w:t>
            </w:r>
          </w:p>
        </w:tc>
        <w:tc>
          <w:tcPr>
            <w:tcW w:w="212" w:type="pct"/>
            <w:shd w:val="clear" w:color="auto" w:fill="auto"/>
            <w:tcMar>
              <w:left w:w="17" w:type="dxa"/>
              <w:right w:w="17" w:type="dxa"/>
            </w:tcMar>
            <w:vAlign w:val="center"/>
          </w:tcPr>
          <w:p w14:paraId="2670B8D3" w14:textId="77777777" w:rsidR="001C56BD" w:rsidRPr="00F92667" w:rsidRDefault="001C56BD" w:rsidP="008A5C11">
            <w:pPr>
              <w:jc w:val="center"/>
              <w:rPr>
                <w:sz w:val="12"/>
                <w:szCs w:val="12"/>
              </w:rPr>
            </w:pPr>
            <w:r w:rsidRPr="00F92667">
              <w:rPr>
                <w:sz w:val="12"/>
                <w:szCs w:val="12"/>
              </w:rPr>
              <w:t>4139,352</w:t>
            </w:r>
          </w:p>
        </w:tc>
        <w:tc>
          <w:tcPr>
            <w:tcW w:w="218" w:type="pct"/>
            <w:gridSpan w:val="2"/>
            <w:shd w:val="clear" w:color="auto" w:fill="auto"/>
            <w:tcMar>
              <w:left w:w="17" w:type="dxa"/>
              <w:right w:w="17" w:type="dxa"/>
            </w:tcMar>
            <w:vAlign w:val="center"/>
          </w:tcPr>
          <w:p w14:paraId="4D6F34FE"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3E50D2E9" w14:textId="77777777" w:rsidR="001C56BD" w:rsidRPr="00F92667" w:rsidRDefault="001C56BD" w:rsidP="008A5C11">
            <w:pPr>
              <w:jc w:val="center"/>
              <w:rPr>
                <w:sz w:val="12"/>
                <w:szCs w:val="12"/>
              </w:rPr>
            </w:pPr>
            <w:r w:rsidRPr="00F92667">
              <w:rPr>
                <w:sz w:val="12"/>
                <w:szCs w:val="12"/>
              </w:rPr>
              <w:t>0,000</w:t>
            </w:r>
          </w:p>
        </w:tc>
        <w:tc>
          <w:tcPr>
            <w:tcW w:w="206" w:type="pct"/>
            <w:gridSpan w:val="2"/>
            <w:shd w:val="clear" w:color="auto" w:fill="auto"/>
            <w:tcMar>
              <w:left w:w="17" w:type="dxa"/>
              <w:right w:w="17" w:type="dxa"/>
            </w:tcMar>
            <w:vAlign w:val="center"/>
          </w:tcPr>
          <w:p w14:paraId="3DB7F7EE"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55AF43A5" w14:textId="77777777" w:rsidR="001C56BD" w:rsidRPr="00F92667" w:rsidRDefault="001C56BD" w:rsidP="008A5C11">
            <w:pPr>
              <w:jc w:val="center"/>
              <w:rPr>
                <w:sz w:val="12"/>
                <w:szCs w:val="12"/>
              </w:rPr>
            </w:pPr>
            <w:r w:rsidRPr="00F92667">
              <w:rPr>
                <w:sz w:val="12"/>
                <w:szCs w:val="12"/>
              </w:rPr>
              <w:t>0,000</w:t>
            </w:r>
          </w:p>
        </w:tc>
        <w:tc>
          <w:tcPr>
            <w:tcW w:w="214" w:type="pct"/>
            <w:gridSpan w:val="2"/>
            <w:shd w:val="clear" w:color="auto" w:fill="auto"/>
            <w:tcMar>
              <w:left w:w="17" w:type="dxa"/>
              <w:right w:w="17" w:type="dxa"/>
            </w:tcMar>
            <w:vAlign w:val="center"/>
          </w:tcPr>
          <w:p w14:paraId="3FC2F725"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359016FE"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73CECBDD" w14:textId="77777777" w:rsidR="001C56BD" w:rsidRPr="00F92667" w:rsidRDefault="001C56BD" w:rsidP="008A5C11">
            <w:pPr>
              <w:jc w:val="center"/>
              <w:rPr>
                <w:sz w:val="12"/>
                <w:szCs w:val="12"/>
              </w:rPr>
            </w:pPr>
            <w:r w:rsidRPr="00F92667">
              <w:rPr>
                <w:sz w:val="12"/>
                <w:szCs w:val="12"/>
              </w:rPr>
              <w:t>0,000</w:t>
            </w:r>
          </w:p>
        </w:tc>
        <w:tc>
          <w:tcPr>
            <w:tcW w:w="214" w:type="pct"/>
            <w:gridSpan w:val="2"/>
            <w:shd w:val="clear" w:color="auto" w:fill="auto"/>
            <w:tcMar>
              <w:left w:w="17" w:type="dxa"/>
              <w:right w:w="17" w:type="dxa"/>
            </w:tcMar>
            <w:vAlign w:val="center"/>
          </w:tcPr>
          <w:p w14:paraId="5F6FC2F6" w14:textId="77777777" w:rsidR="001C56BD" w:rsidRPr="00F92667" w:rsidRDefault="001C56BD" w:rsidP="008A5C11">
            <w:pPr>
              <w:jc w:val="center"/>
              <w:rPr>
                <w:sz w:val="12"/>
                <w:szCs w:val="12"/>
              </w:rPr>
            </w:pPr>
            <w:r w:rsidRPr="00F92667">
              <w:rPr>
                <w:sz w:val="12"/>
                <w:szCs w:val="12"/>
              </w:rPr>
              <w:t>0,000</w:t>
            </w:r>
          </w:p>
        </w:tc>
        <w:tc>
          <w:tcPr>
            <w:tcW w:w="247" w:type="pct"/>
            <w:gridSpan w:val="2"/>
            <w:shd w:val="clear" w:color="auto" w:fill="auto"/>
            <w:tcMar>
              <w:left w:w="17" w:type="dxa"/>
              <w:right w:w="17" w:type="dxa"/>
            </w:tcMar>
            <w:vAlign w:val="center"/>
          </w:tcPr>
          <w:p w14:paraId="5D9743F0" w14:textId="77777777" w:rsidR="001C56BD" w:rsidRPr="00F92667" w:rsidRDefault="001C56BD" w:rsidP="008A5C11">
            <w:pPr>
              <w:jc w:val="center"/>
              <w:rPr>
                <w:sz w:val="12"/>
                <w:szCs w:val="12"/>
              </w:rPr>
            </w:pPr>
            <w:r w:rsidRPr="00F92667">
              <w:rPr>
                <w:sz w:val="12"/>
                <w:szCs w:val="12"/>
              </w:rPr>
              <w:t>0,000</w:t>
            </w:r>
          </w:p>
        </w:tc>
        <w:tc>
          <w:tcPr>
            <w:tcW w:w="173" w:type="pct"/>
            <w:shd w:val="clear" w:color="auto" w:fill="auto"/>
            <w:tcMar>
              <w:left w:w="17" w:type="dxa"/>
              <w:right w:w="17" w:type="dxa"/>
            </w:tcMar>
            <w:vAlign w:val="center"/>
          </w:tcPr>
          <w:p w14:paraId="0F162F99" w14:textId="77777777" w:rsidR="001C56BD" w:rsidRPr="00F92667" w:rsidRDefault="001C56BD" w:rsidP="008A5C11">
            <w:pPr>
              <w:jc w:val="center"/>
              <w:rPr>
                <w:sz w:val="12"/>
                <w:szCs w:val="12"/>
              </w:rPr>
            </w:pPr>
            <w:r w:rsidRPr="00F92667">
              <w:rPr>
                <w:sz w:val="12"/>
                <w:szCs w:val="12"/>
              </w:rPr>
              <w:t>0,000</w:t>
            </w:r>
          </w:p>
        </w:tc>
        <w:tc>
          <w:tcPr>
            <w:tcW w:w="169" w:type="pct"/>
            <w:shd w:val="clear" w:color="auto" w:fill="auto"/>
            <w:tcMar>
              <w:left w:w="17" w:type="dxa"/>
              <w:right w:w="17" w:type="dxa"/>
            </w:tcMar>
            <w:vAlign w:val="center"/>
          </w:tcPr>
          <w:p w14:paraId="612CB927" w14:textId="77777777" w:rsidR="001C56BD" w:rsidRPr="00F92667" w:rsidRDefault="001C56BD" w:rsidP="008A5C11">
            <w:pPr>
              <w:jc w:val="center"/>
              <w:rPr>
                <w:sz w:val="12"/>
                <w:szCs w:val="12"/>
              </w:rPr>
            </w:pPr>
            <w:r w:rsidRPr="00F92667">
              <w:rPr>
                <w:sz w:val="12"/>
                <w:szCs w:val="12"/>
              </w:rPr>
              <w:t>0,000</w:t>
            </w:r>
          </w:p>
        </w:tc>
      </w:tr>
      <w:tr w:rsidR="001C56BD" w:rsidRPr="00F92667" w14:paraId="1AB3DA65" w14:textId="77777777" w:rsidTr="008A5C11">
        <w:trPr>
          <w:gridBefore w:val="1"/>
          <w:wBefore w:w="3" w:type="pct"/>
          <w:trHeight w:val="897"/>
        </w:trPr>
        <w:tc>
          <w:tcPr>
            <w:tcW w:w="129" w:type="pct"/>
            <w:shd w:val="clear" w:color="auto" w:fill="auto"/>
            <w:tcMar>
              <w:left w:w="17" w:type="dxa"/>
              <w:right w:w="17" w:type="dxa"/>
            </w:tcMar>
            <w:vAlign w:val="center"/>
          </w:tcPr>
          <w:p w14:paraId="0FC22038" w14:textId="77777777" w:rsidR="001C56BD" w:rsidRPr="00F92667" w:rsidRDefault="001C56BD" w:rsidP="008A5C11">
            <w:pPr>
              <w:jc w:val="center"/>
              <w:rPr>
                <w:sz w:val="12"/>
                <w:szCs w:val="12"/>
              </w:rPr>
            </w:pPr>
            <w:r w:rsidRPr="00F92667">
              <w:rPr>
                <w:sz w:val="12"/>
                <w:szCs w:val="12"/>
              </w:rPr>
              <w:t>3.1.49.</w:t>
            </w:r>
          </w:p>
        </w:tc>
        <w:tc>
          <w:tcPr>
            <w:tcW w:w="305" w:type="pct"/>
            <w:shd w:val="clear" w:color="auto" w:fill="auto"/>
            <w:tcMar>
              <w:left w:w="17" w:type="dxa"/>
              <w:right w:w="17" w:type="dxa"/>
            </w:tcMar>
            <w:vAlign w:val="center"/>
          </w:tcPr>
          <w:p w14:paraId="255AC5AF" w14:textId="77777777" w:rsidR="001C56BD" w:rsidRPr="00F92667" w:rsidRDefault="001C56BD" w:rsidP="008A5C11">
            <w:pPr>
              <w:rPr>
                <w:sz w:val="12"/>
                <w:szCs w:val="12"/>
              </w:rPr>
            </w:pPr>
            <w:r w:rsidRPr="00F92667">
              <w:rPr>
                <w:color w:val="000000"/>
                <w:sz w:val="12"/>
                <w:szCs w:val="12"/>
              </w:rPr>
              <w:t>Реконструкция тепловой сети с реестровым номером</w:t>
            </w:r>
            <w:r w:rsidRPr="00F92667">
              <w:rPr>
                <w:sz w:val="12"/>
                <w:szCs w:val="12"/>
              </w:rPr>
              <w:t xml:space="preserve"> 773681</w:t>
            </w:r>
          </w:p>
        </w:tc>
        <w:tc>
          <w:tcPr>
            <w:tcW w:w="304" w:type="pct"/>
            <w:shd w:val="clear" w:color="000000" w:fill="FFFFFF"/>
            <w:tcMar>
              <w:left w:w="17" w:type="dxa"/>
              <w:right w:w="17" w:type="dxa"/>
            </w:tcMar>
            <w:vAlign w:val="center"/>
          </w:tcPr>
          <w:p w14:paraId="265E8D0A" w14:textId="77777777" w:rsidR="001C56BD" w:rsidRPr="00F92667" w:rsidRDefault="001C56BD" w:rsidP="008A5C11">
            <w:pPr>
              <w:jc w:val="center"/>
              <w:rPr>
                <w:sz w:val="12"/>
                <w:szCs w:val="12"/>
              </w:rPr>
            </w:pPr>
            <w:r w:rsidRPr="00F92667">
              <w:rPr>
                <w:color w:val="000000"/>
                <w:sz w:val="12"/>
                <w:szCs w:val="12"/>
              </w:rPr>
              <w:t>Повышение надежности услуг теплоснабжения, повышение энергетической эффективности</w:t>
            </w:r>
          </w:p>
        </w:tc>
        <w:tc>
          <w:tcPr>
            <w:tcW w:w="258" w:type="pct"/>
            <w:shd w:val="clear" w:color="auto" w:fill="auto"/>
            <w:tcMar>
              <w:left w:w="17" w:type="dxa"/>
              <w:right w:w="17" w:type="dxa"/>
            </w:tcMar>
            <w:vAlign w:val="center"/>
          </w:tcPr>
          <w:p w14:paraId="14557088" w14:textId="77777777" w:rsidR="001C56BD" w:rsidRPr="00F92667" w:rsidRDefault="001C56BD" w:rsidP="008A5C11">
            <w:pPr>
              <w:jc w:val="center"/>
              <w:rPr>
                <w:sz w:val="12"/>
                <w:szCs w:val="12"/>
              </w:rPr>
            </w:pPr>
            <w:r w:rsidRPr="00F92667">
              <w:rPr>
                <w:sz w:val="12"/>
                <w:szCs w:val="12"/>
              </w:rPr>
              <w:t>Кемеровский городской округ, Центральный район, микрорайон 3 (пр. Октябрьский, 53/1, пр. Ленина, 90/3, 90/4а)</w:t>
            </w:r>
          </w:p>
        </w:tc>
        <w:tc>
          <w:tcPr>
            <w:tcW w:w="294" w:type="pct"/>
            <w:shd w:val="clear" w:color="auto" w:fill="auto"/>
            <w:tcMar>
              <w:left w:w="17" w:type="dxa"/>
              <w:right w:w="17" w:type="dxa"/>
            </w:tcMar>
            <w:vAlign w:val="center"/>
          </w:tcPr>
          <w:p w14:paraId="2CCAD837" w14:textId="77777777" w:rsidR="001C56BD" w:rsidRPr="00F92667" w:rsidRDefault="001C56BD" w:rsidP="008A5C11">
            <w:pPr>
              <w:jc w:val="center"/>
              <w:rPr>
                <w:sz w:val="12"/>
                <w:szCs w:val="12"/>
              </w:rPr>
            </w:pPr>
            <w:r w:rsidRPr="00F92667">
              <w:rPr>
                <w:color w:val="000000"/>
                <w:sz w:val="12"/>
                <w:szCs w:val="12"/>
              </w:rPr>
              <w:t>Технические характеристики</w:t>
            </w:r>
          </w:p>
        </w:tc>
        <w:tc>
          <w:tcPr>
            <w:tcW w:w="129" w:type="pct"/>
            <w:shd w:val="clear" w:color="auto" w:fill="auto"/>
            <w:tcMar>
              <w:left w:w="17" w:type="dxa"/>
              <w:right w:w="17" w:type="dxa"/>
            </w:tcMar>
            <w:vAlign w:val="center"/>
          </w:tcPr>
          <w:p w14:paraId="7CD58267" w14:textId="77777777" w:rsidR="001C56BD" w:rsidRPr="00F92667" w:rsidRDefault="001C56BD" w:rsidP="008A5C11">
            <w:pPr>
              <w:jc w:val="center"/>
              <w:rPr>
                <w:color w:val="000000"/>
                <w:sz w:val="12"/>
                <w:szCs w:val="12"/>
              </w:rPr>
            </w:pPr>
          </w:p>
        </w:tc>
        <w:tc>
          <w:tcPr>
            <w:tcW w:w="184" w:type="pct"/>
            <w:shd w:val="clear" w:color="auto" w:fill="auto"/>
            <w:tcMar>
              <w:left w:w="17" w:type="dxa"/>
              <w:right w:w="17" w:type="dxa"/>
            </w:tcMar>
            <w:vAlign w:val="center"/>
          </w:tcPr>
          <w:p w14:paraId="25F8B41D" w14:textId="77777777" w:rsidR="001C56BD" w:rsidRPr="00F92667" w:rsidRDefault="001C56BD" w:rsidP="008A5C11">
            <w:pPr>
              <w:jc w:val="center"/>
              <w:rPr>
                <w:sz w:val="12"/>
                <w:szCs w:val="12"/>
              </w:rPr>
            </w:pPr>
            <w:r w:rsidRPr="00F92667">
              <w:rPr>
                <w:sz w:val="12"/>
                <w:szCs w:val="12"/>
              </w:rPr>
              <w:t xml:space="preserve">Бесканальная </w:t>
            </w:r>
            <w:proofErr w:type="gramStart"/>
            <w:r w:rsidRPr="00F92667">
              <w:rPr>
                <w:sz w:val="12"/>
                <w:szCs w:val="12"/>
              </w:rPr>
              <w:t>прокладка,опоры</w:t>
            </w:r>
            <w:proofErr w:type="gramEnd"/>
            <w:r w:rsidRPr="00F92667">
              <w:rPr>
                <w:sz w:val="12"/>
                <w:szCs w:val="12"/>
              </w:rPr>
              <w:t xml:space="preserve"> привар-ные, запорная арматура-стальная клиновая, антикоррозийная защита-лак БТ, труба-сталь 20, изоляция-мин. маты.       </w:t>
            </w:r>
          </w:p>
        </w:tc>
        <w:tc>
          <w:tcPr>
            <w:tcW w:w="219" w:type="pct"/>
            <w:shd w:val="clear" w:color="auto" w:fill="auto"/>
            <w:tcMar>
              <w:left w:w="17" w:type="dxa"/>
              <w:right w:w="17" w:type="dxa"/>
            </w:tcMar>
            <w:vAlign w:val="center"/>
          </w:tcPr>
          <w:p w14:paraId="51227867" w14:textId="77777777" w:rsidR="001C56BD" w:rsidRPr="00F92667" w:rsidRDefault="001C56BD" w:rsidP="008A5C11">
            <w:pPr>
              <w:jc w:val="center"/>
              <w:rPr>
                <w:sz w:val="12"/>
                <w:szCs w:val="12"/>
              </w:rPr>
            </w:pPr>
            <w:r w:rsidRPr="00F92667">
              <w:rPr>
                <w:sz w:val="12"/>
                <w:szCs w:val="12"/>
              </w:rPr>
              <w:t xml:space="preserve">Канал-ж/б лотки, опоры-хомутовые с диэлектрической прокладкой, запорная арматура - кран шаровый, антикоррозийная защита-мастика Вектор 1214, 1025, труба-сталь 09Г2С, изоляция - маты прошивные, </w:t>
            </w:r>
            <w:proofErr w:type="gramStart"/>
            <w:r w:rsidRPr="00F92667">
              <w:rPr>
                <w:sz w:val="12"/>
                <w:szCs w:val="12"/>
              </w:rPr>
              <w:t>стеклоплас-тик</w:t>
            </w:r>
            <w:proofErr w:type="gramEnd"/>
            <w:r w:rsidRPr="00F92667">
              <w:rPr>
                <w:sz w:val="12"/>
                <w:szCs w:val="12"/>
              </w:rPr>
              <w:t xml:space="preserve">  </w:t>
            </w:r>
          </w:p>
        </w:tc>
        <w:tc>
          <w:tcPr>
            <w:tcW w:w="130" w:type="pct"/>
            <w:shd w:val="clear" w:color="auto" w:fill="auto"/>
            <w:tcMar>
              <w:left w:w="17" w:type="dxa"/>
              <w:right w:w="17" w:type="dxa"/>
            </w:tcMar>
            <w:vAlign w:val="center"/>
          </w:tcPr>
          <w:p w14:paraId="3271E647" w14:textId="77777777" w:rsidR="001C56BD" w:rsidRPr="00F92667" w:rsidRDefault="001C56BD" w:rsidP="008A5C11">
            <w:pPr>
              <w:jc w:val="center"/>
              <w:rPr>
                <w:sz w:val="12"/>
                <w:szCs w:val="12"/>
              </w:rPr>
            </w:pPr>
            <w:r w:rsidRPr="00F92667">
              <w:rPr>
                <w:sz w:val="12"/>
                <w:szCs w:val="12"/>
              </w:rPr>
              <w:t>2026</w:t>
            </w:r>
          </w:p>
        </w:tc>
        <w:tc>
          <w:tcPr>
            <w:tcW w:w="130" w:type="pct"/>
            <w:shd w:val="clear" w:color="auto" w:fill="auto"/>
            <w:tcMar>
              <w:left w:w="17" w:type="dxa"/>
              <w:right w:w="17" w:type="dxa"/>
            </w:tcMar>
            <w:vAlign w:val="center"/>
          </w:tcPr>
          <w:p w14:paraId="569C09FC" w14:textId="77777777" w:rsidR="001C56BD" w:rsidRPr="00F92667" w:rsidRDefault="001C56BD" w:rsidP="008A5C11">
            <w:pPr>
              <w:jc w:val="center"/>
              <w:rPr>
                <w:sz w:val="12"/>
                <w:szCs w:val="12"/>
              </w:rPr>
            </w:pPr>
            <w:r w:rsidRPr="00F92667">
              <w:rPr>
                <w:sz w:val="12"/>
                <w:szCs w:val="12"/>
              </w:rPr>
              <w:t>2026</w:t>
            </w:r>
          </w:p>
        </w:tc>
        <w:tc>
          <w:tcPr>
            <w:tcW w:w="217" w:type="pct"/>
            <w:gridSpan w:val="2"/>
            <w:shd w:val="clear" w:color="auto" w:fill="auto"/>
            <w:tcMar>
              <w:left w:w="17" w:type="dxa"/>
              <w:right w:w="17" w:type="dxa"/>
            </w:tcMar>
            <w:vAlign w:val="center"/>
          </w:tcPr>
          <w:p w14:paraId="3B37DA5F" w14:textId="77777777" w:rsidR="001C56BD" w:rsidRPr="00F92667" w:rsidRDefault="001C56BD" w:rsidP="008A5C11">
            <w:pPr>
              <w:jc w:val="center"/>
              <w:rPr>
                <w:sz w:val="12"/>
                <w:szCs w:val="12"/>
              </w:rPr>
            </w:pPr>
            <w:r w:rsidRPr="00F92667">
              <w:rPr>
                <w:sz w:val="12"/>
                <w:szCs w:val="12"/>
              </w:rPr>
              <w:t>4551,048</w:t>
            </w:r>
          </w:p>
        </w:tc>
        <w:tc>
          <w:tcPr>
            <w:tcW w:w="177" w:type="pct"/>
            <w:gridSpan w:val="2"/>
            <w:shd w:val="clear" w:color="auto" w:fill="auto"/>
            <w:tcMar>
              <w:left w:w="17" w:type="dxa"/>
              <w:right w:w="17" w:type="dxa"/>
            </w:tcMar>
            <w:vAlign w:val="center"/>
          </w:tcPr>
          <w:p w14:paraId="68C12F79" w14:textId="77777777" w:rsidR="001C56BD" w:rsidRPr="00F92667" w:rsidRDefault="001C56BD" w:rsidP="008A5C11">
            <w:pPr>
              <w:jc w:val="center"/>
              <w:rPr>
                <w:sz w:val="12"/>
                <w:szCs w:val="12"/>
              </w:rPr>
            </w:pPr>
            <w:r w:rsidRPr="00F92667">
              <w:rPr>
                <w:sz w:val="12"/>
                <w:szCs w:val="12"/>
              </w:rPr>
              <w:t>0,000</w:t>
            </w:r>
          </w:p>
        </w:tc>
        <w:tc>
          <w:tcPr>
            <w:tcW w:w="212" w:type="pct"/>
            <w:shd w:val="clear" w:color="auto" w:fill="auto"/>
            <w:tcMar>
              <w:left w:w="17" w:type="dxa"/>
              <w:right w:w="17" w:type="dxa"/>
            </w:tcMar>
            <w:vAlign w:val="center"/>
          </w:tcPr>
          <w:p w14:paraId="5647214D" w14:textId="77777777" w:rsidR="001C56BD" w:rsidRPr="00F92667" w:rsidRDefault="001C56BD" w:rsidP="008A5C11">
            <w:pPr>
              <w:jc w:val="center"/>
              <w:rPr>
                <w:sz w:val="12"/>
                <w:szCs w:val="12"/>
              </w:rPr>
            </w:pPr>
            <w:r w:rsidRPr="00F92667">
              <w:rPr>
                <w:sz w:val="12"/>
                <w:szCs w:val="12"/>
              </w:rPr>
              <w:t>0,000</w:t>
            </w:r>
          </w:p>
        </w:tc>
        <w:tc>
          <w:tcPr>
            <w:tcW w:w="218" w:type="pct"/>
            <w:gridSpan w:val="2"/>
            <w:shd w:val="clear" w:color="auto" w:fill="auto"/>
            <w:tcMar>
              <w:left w:w="17" w:type="dxa"/>
              <w:right w:w="17" w:type="dxa"/>
            </w:tcMar>
            <w:vAlign w:val="center"/>
          </w:tcPr>
          <w:p w14:paraId="01D579D8"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75AFF209" w14:textId="77777777" w:rsidR="001C56BD" w:rsidRPr="00F92667" w:rsidRDefault="001C56BD" w:rsidP="008A5C11">
            <w:pPr>
              <w:jc w:val="center"/>
              <w:rPr>
                <w:sz w:val="12"/>
                <w:szCs w:val="12"/>
              </w:rPr>
            </w:pPr>
            <w:r w:rsidRPr="00F92667">
              <w:rPr>
                <w:sz w:val="12"/>
                <w:szCs w:val="12"/>
              </w:rPr>
              <w:t>0,000</w:t>
            </w:r>
          </w:p>
        </w:tc>
        <w:tc>
          <w:tcPr>
            <w:tcW w:w="206" w:type="pct"/>
            <w:gridSpan w:val="2"/>
            <w:shd w:val="clear" w:color="auto" w:fill="auto"/>
            <w:tcMar>
              <w:left w:w="17" w:type="dxa"/>
              <w:right w:w="17" w:type="dxa"/>
            </w:tcMar>
            <w:vAlign w:val="center"/>
          </w:tcPr>
          <w:p w14:paraId="79E547AB"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6BFB5A63" w14:textId="77777777" w:rsidR="001C56BD" w:rsidRPr="00F92667" w:rsidRDefault="001C56BD" w:rsidP="008A5C11">
            <w:pPr>
              <w:jc w:val="center"/>
              <w:rPr>
                <w:sz w:val="12"/>
                <w:szCs w:val="12"/>
              </w:rPr>
            </w:pPr>
            <w:r w:rsidRPr="00F92667">
              <w:rPr>
                <w:sz w:val="12"/>
                <w:szCs w:val="12"/>
              </w:rPr>
              <w:t>4551,048</w:t>
            </w:r>
          </w:p>
        </w:tc>
        <w:tc>
          <w:tcPr>
            <w:tcW w:w="214" w:type="pct"/>
            <w:gridSpan w:val="2"/>
            <w:shd w:val="clear" w:color="auto" w:fill="auto"/>
            <w:tcMar>
              <w:left w:w="17" w:type="dxa"/>
              <w:right w:w="17" w:type="dxa"/>
            </w:tcMar>
            <w:vAlign w:val="center"/>
          </w:tcPr>
          <w:p w14:paraId="24C77E21"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143E7CB3"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3C42A828" w14:textId="77777777" w:rsidR="001C56BD" w:rsidRPr="00F92667" w:rsidRDefault="001C56BD" w:rsidP="008A5C11">
            <w:pPr>
              <w:jc w:val="center"/>
              <w:rPr>
                <w:sz w:val="12"/>
                <w:szCs w:val="12"/>
              </w:rPr>
            </w:pPr>
            <w:r w:rsidRPr="00F92667">
              <w:rPr>
                <w:sz w:val="12"/>
                <w:szCs w:val="12"/>
              </w:rPr>
              <w:t>0,000</w:t>
            </w:r>
          </w:p>
        </w:tc>
        <w:tc>
          <w:tcPr>
            <w:tcW w:w="214" w:type="pct"/>
            <w:gridSpan w:val="2"/>
            <w:shd w:val="clear" w:color="auto" w:fill="auto"/>
            <w:tcMar>
              <w:left w:w="17" w:type="dxa"/>
              <w:right w:w="17" w:type="dxa"/>
            </w:tcMar>
            <w:vAlign w:val="center"/>
          </w:tcPr>
          <w:p w14:paraId="6439EB28" w14:textId="77777777" w:rsidR="001C56BD" w:rsidRPr="00F92667" w:rsidRDefault="001C56BD" w:rsidP="008A5C11">
            <w:pPr>
              <w:jc w:val="center"/>
              <w:rPr>
                <w:sz w:val="12"/>
                <w:szCs w:val="12"/>
              </w:rPr>
            </w:pPr>
            <w:r w:rsidRPr="00F92667">
              <w:rPr>
                <w:sz w:val="12"/>
                <w:szCs w:val="12"/>
              </w:rPr>
              <w:t>0,000</w:t>
            </w:r>
          </w:p>
        </w:tc>
        <w:tc>
          <w:tcPr>
            <w:tcW w:w="247" w:type="pct"/>
            <w:gridSpan w:val="2"/>
            <w:shd w:val="clear" w:color="auto" w:fill="auto"/>
            <w:tcMar>
              <w:left w:w="17" w:type="dxa"/>
              <w:right w:w="17" w:type="dxa"/>
            </w:tcMar>
            <w:vAlign w:val="center"/>
          </w:tcPr>
          <w:p w14:paraId="1CFF5B90" w14:textId="77777777" w:rsidR="001C56BD" w:rsidRPr="00F92667" w:rsidRDefault="001C56BD" w:rsidP="008A5C11">
            <w:pPr>
              <w:jc w:val="center"/>
              <w:rPr>
                <w:sz w:val="12"/>
                <w:szCs w:val="12"/>
              </w:rPr>
            </w:pPr>
            <w:r w:rsidRPr="00F92667">
              <w:rPr>
                <w:sz w:val="12"/>
                <w:szCs w:val="12"/>
              </w:rPr>
              <w:t>0,000</w:t>
            </w:r>
          </w:p>
        </w:tc>
        <w:tc>
          <w:tcPr>
            <w:tcW w:w="173" w:type="pct"/>
            <w:shd w:val="clear" w:color="auto" w:fill="auto"/>
            <w:tcMar>
              <w:left w:w="17" w:type="dxa"/>
              <w:right w:w="17" w:type="dxa"/>
            </w:tcMar>
            <w:vAlign w:val="center"/>
          </w:tcPr>
          <w:p w14:paraId="0B686AB9" w14:textId="77777777" w:rsidR="001C56BD" w:rsidRPr="00F92667" w:rsidRDefault="001C56BD" w:rsidP="008A5C11">
            <w:pPr>
              <w:jc w:val="center"/>
              <w:rPr>
                <w:sz w:val="12"/>
                <w:szCs w:val="12"/>
              </w:rPr>
            </w:pPr>
            <w:r w:rsidRPr="00F92667">
              <w:rPr>
                <w:sz w:val="12"/>
                <w:szCs w:val="12"/>
              </w:rPr>
              <w:t>0,000</w:t>
            </w:r>
          </w:p>
        </w:tc>
        <w:tc>
          <w:tcPr>
            <w:tcW w:w="169" w:type="pct"/>
            <w:shd w:val="clear" w:color="auto" w:fill="auto"/>
            <w:tcMar>
              <w:left w:w="17" w:type="dxa"/>
              <w:right w:w="17" w:type="dxa"/>
            </w:tcMar>
            <w:vAlign w:val="center"/>
          </w:tcPr>
          <w:p w14:paraId="3FD2F2A8" w14:textId="77777777" w:rsidR="001C56BD" w:rsidRPr="00F92667" w:rsidRDefault="001C56BD" w:rsidP="008A5C11">
            <w:pPr>
              <w:jc w:val="center"/>
              <w:rPr>
                <w:sz w:val="12"/>
                <w:szCs w:val="12"/>
              </w:rPr>
            </w:pPr>
            <w:r w:rsidRPr="00F92667">
              <w:rPr>
                <w:sz w:val="12"/>
                <w:szCs w:val="12"/>
              </w:rPr>
              <w:t>0,000</w:t>
            </w:r>
          </w:p>
        </w:tc>
      </w:tr>
      <w:tr w:rsidR="001C56BD" w:rsidRPr="00F92667" w14:paraId="33510160" w14:textId="77777777" w:rsidTr="008A5C11">
        <w:trPr>
          <w:gridBefore w:val="1"/>
          <w:wBefore w:w="3" w:type="pct"/>
          <w:trHeight w:val="897"/>
        </w:trPr>
        <w:tc>
          <w:tcPr>
            <w:tcW w:w="129" w:type="pct"/>
            <w:shd w:val="clear" w:color="auto" w:fill="auto"/>
            <w:tcMar>
              <w:left w:w="17" w:type="dxa"/>
              <w:right w:w="17" w:type="dxa"/>
            </w:tcMar>
            <w:vAlign w:val="center"/>
          </w:tcPr>
          <w:p w14:paraId="00CE137C" w14:textId="77777777" w:rsidR="001C56BD" w:rsidRPr="00F92667" w:rsidRDefault="001C56BD" w:rsidP="008A5C11">
            <w:pPr>
              <w:jc w:val="center"/>
              <w:rPr>
                <w:bCs/>
                <w:sz w:val="12"/>
                <w:szCs w:val="12"/>
              </w:rPr>
            </w:pPr>
            <w:r w:rsidRPr="00F92667">
              <w:rPr>
                <w:bCs/>
                <w:sz w:val="12"/>
                <w:szCs w:val="12"/>
              </w:rPr>
              <w:t>1</w:t>
            </w:r>
          </w:p>
        </w:tc>
        <w:tc>
          <w:tcPr>
            <w:tcW w:w="305" w:type="pct"/>
            <w:shd w:val="clear" w:color="auto" w:fill="auto"/>
            <w:tcMar>
              <w:left w:w="17" w:type="dxa"/>
              <w:right w:w="17" w:type="dxa"/>
            </w:tcMar>
            <w:vAlign w:val="center"/>
          </w:tcPr>
          <w:p w14:paraId="7CCE37C3" w14:textId="77777777" w:rsidR="001C56BD" w:rsidRPr="00F92667" w:rsidRDefault="001C56BD" w:rsidP="008A5C11">
            <w:pPr>
              <w:jc w:val="center"/>
              <w:rPr>
                <w:bCs/>
                <w:sz w:val="12"/>
                <w:szCs w:val="12"/>
              </w:rPr>
            </w:pPr>
            <w:r w:rsidRPr="00F92667">
              <w:rPr>
                <w:bCs/>
                <w:sz w:val="12"/>
                <w:szCs w:val="12"/>
              </w:rPr>
              <w:t>2</w:t>
            </w:r>
          </w:p>
        </w:tc>
        <w:tc>
          <w:tcPr>
            <w:tcW w:w="304" w:type="pct"/>
            <w:shd w:val="clear" w:color="auto" w:fill="auto"/>
            <w:tcMar>
              <w:left w:w="17" w:type="dxa"/>
              <w:right w:w="17" w:type="dxa"/>
            </w:tcMar>
            <w:vAlign w:val="center"/>
          </w:tcPr>
          <w:p w14:paraId="0E3E2B21" w14:textId="77777777" w:rsidR="001C56BD" w:rsidRPr="00F92667" w:rsidRDefault="001C56BD" w:rsidP="008A5C11">
            <w:pPr>
              <w:jc w:val="center"/>
              <w:rPr>
                <w:bCs/>
                <w:sz w:val="12"/>
                <w:szCs w:val="12"/>
              </w:rPr>
            </w:pPr>
            <w:r w:rsidRPr="00F92667">
              <w:rPr>
                <w:bCs/>
                <w:sz w:val="12"/>
                <w:szCs w:val="12"/>
              </w:rPr>
              <w:t>3</w:t>
            </w:r>
          </w:p>
        </w:tc>
        <w:tc>
          <w:tcPr>
            <w:tcW w:w="258" w:type="pct"/>
            <w:shd w:val="clear" w:color="auto" w:fill="auto"/>
            <w:tcMar>
              <w:left w:w="17" w:type="dxa"/>
              <w:right w:w="17" w:type="dxa"/>
            </w:tcMar>
            <w:vAlign w:val="center"/>
          </w:tcPr>
          <w:p w14:paraId="0209569A" w14:textId="77777777" w:rsidR="001C56BD" w:rsidRPr="00F92667" w:rsidRDefault="001C56BD" w:rsidP="008A5C11">
            <w:pPr>
              <w:jc w:val="center"/>
              <w:rPr>
                <w:bCs/>
                <w:sz w:val="12"/>
                <w:szCs w:val="12"/>
              </w:rPr>
            </w:pPr>
            <w:r w:rsidRPr="00F92667">
              <w:rPr>
                <w:bCs/>
                <w:sz w:val="12"/>
                <w:szCs w:val="12"/>
              </w:rPr>
              <w:t>4</w:t>
            </w:r>
          </w:p>
        </w:tc>
        <w:tc>
          <w:tcPr>
            <w:tcW w:w="294" w:type="pct"/>
            <w:shd w:val="clear" w:color="auto" w:fill="auto"/>
            <w:tcMar>
              <w:left w:w="17" w:type="dxa"/>
              <w:right w:w="17" w:type="dxa"/>
            </w:tcMar>
            <w:vAlign w:val="center"/>
          </w:tcPr>
          <w:p w14:paraId="3B4BFB9B" w14:textId="77777777" w:rsidR="001C56BD" w:rsidRPr="00F92667" w:rsidRDefault="001C56BD" w:rsidP="008A5C11">
            <w:pPr>
              <w:jc w:val="center"/>
              <w:rPr>
                <w:bCs/>
                <w:sz w:val="12"/>
                <w:szCs w:val="12"/>
              </w:rPr>
            </w:pPr>
            <w:r w:rsidRPr="00F92667">
              <w:rPr>
                <w:bCs/>
                <w:sz w:val="12"/>
                <w:szCs w:val="12"/>
              </w:rPr>
              <w:t>5</w:t>
            </w:r>
          </w:p>
        </w:tc>
        <w:tc>
          <w:tcPr>
            <w:tcW w:w="129" w:type="pct"/>
            <w:shd w:val="clear" w:color="auto" w:fill="auto"/>
            <w:tcMar>
              <w:left w:w="17" w:type="dxa"/>
              <w:right w:w="17" w:type="dxa"/>
            </w:tcMar>
            <w:vAlign w:val="center"/>
          </w:tcPr>
          <w:p w14:paraId="6D0042D9" w14:textId="77777777" w:rsidR="001C56BD" w:rsidRPr="00F92667" w:rsidRDefault="001C56BD" w:rsidP="008A5C11">
            <w:pPr>
              <w:jc w:val="center"/>
              <w:rPr>
                <w:bCs/>
                <w:sz w:val="12"/>
                <w:szCs w:val="12"/>
              </w:rPr>
            </w:pPr>
            <w:r w:rsidRPr="00F92667">
              <w:rPr>
                <w:bCs/>
                <w:sz w:val="12"/>
                <w:szCs w:val="12"/>
              </w:rPr>
              <w:t>6</w:t>
            </w:r>
          </w:p>
        </w:tc>
        <w:tc>
          <w:tcPr>
            <w:tcW w:w="184" w:type="pct"/>
            <w:shd w:val="clear" w:color="auto" w:fill="auto"/>
            <w:tcMar>
              <w:left w:w="17" w:type="dxa"/>
              <w:right w:w="17" w:type="dxa"/>
            </w:tcMar>
            <w:vAlign w:val="center"/>
          </w:tcPr>
          <w:p w14:paraId="3E1171FF" w14:textId="77777777" w:rsidR="001C56BD" w:rsidRPr="00F92667" w:rsidRDefault="001C56BD" w:rsidP="008A5C11">
            <w:pPr>
              <w:jc w:val="center"/>
              <w:rPr>
                <w:bCs/>
                <w:sz w:val="12"/>
                <w:szCs w:val="12"/>
              </w:rPr>
            </w:pPr>
            <w:r w:rsidRPr="00F92667">
              <w:rPr>
                <w:bCs/>
                <w:sz w:val="12"/>
                <w:szCs w:val="12"/>
              </w:rPr>
              <w:t>7</w:t>
            </w:r>
          </w:p>
        </w:tc>
        <w:tc>
          <w:tcPr>
            <w:tcW w:w="219" w:type="pct"/>
            <w:shd w:val="clear" w:color="auto" w:fill="auto"/>
            <w:tcMar>
              <w:left w:w="17" w:type="dxa"/>
              <w:right w:w="17" w:type="dxa"/>
            </w:tcMar>
            <w:vAlign w:val="center"/>
          </w:tcPr>
          <w:p w14:paraId="3E4F2485" w14:textId="77777777" w:rsidR="001C56BD" w:rsidRPr="00F92667" w:rsidRDefault="001C56BD" w:rsidP="008A5C11">
            <w:pPr>
              <w:jc w:val="center"/>
              <w:rPr>
                <w:bCs/>
                <w:sz w:val="12"/>
                <w:szCs w:val="12"/>
              </w:rPr>
            </w:pPr>
            <w:r w:rsidRPr="00F92667">
              <w:rPr>
                <w:bCs/>
                <w:sz w:val="12"/>
                <w:szCs w:val="12"/>
              </w:rPr>
              <w:t>8</w:t>
            </w:r>
          </w:p>
        </w:tc>
        <w:tc>
          <w:tcPr>
            <w:tcW w:w="130" w:type="pct"/>
            <w:shd w:val="clear" w:color="auto" w:fill="auto"/>
            <w:tcMar>
              <w:left w:w="17" w:type="dxa"/>
              <w:right w:w="17" w:type="dxa"/>
            </w:tcMar>
            <w:vAlign w:val="center"/>
          </w:tcPr>
          <w:p w14:paraId="7D38D6D5" w14:textId="77777777" w:rsidR="001C56BD" w:rsidRPr="00F92667" w:rsidRDefault="001C56BD" w:rsidP="008A5C11">
            <w:pPr>
              <w:jc w:val="center"/>
              <w:rPr>
                <w:bCs/>
                <w:sz w:val="12"/>
                <w:szCs w:val="12"/>
              </w:rPr>
            </w:pPr>
            <w:r w:rsidRPr="00F92667">
              <w:rPr>
                <w:bCs/>
                <w:sz w:val="12"/>
                <w:szCs w:val="12"/>
              </w:rPr>
              <w:t>9</w:t>
            </w:r>
          </w:p>
        </w:tc>
        <w:tc>
          <w:tcPr>
            <w:tcW w:w="130" w:type="pct"/>
            <w:shd w:val="clear" w:color="auto" w:fill="auto"/>
            <w:tcMar>
              <w:left w:w="17" w:type="dxa"/>
              <w:right w:w="17" w:type="dxa"/>
            </w:tcMar>
            <w:vAlign w:val="center"/>
          </w:tcPr>
          <w:p w14:paraId="0896A564" w14:textId="77777777" w:rsidR="001C56BD" w:rsidRPr="00F92667" w:rsidRDefault="001C56BD" w:rsidP="008A5C11">
            <w:pPr>
              <w:jc w:val="center"/>
              <w:rPr>
                <w:bCs/>
                <w:sz w:val="12"/>
                <w:szCs w:val="12"/>
              </w:rPr>
            </w:pPr>
            <w:r w:rsidRPr="00F92667">
              <w:rPr>
                <w:bCs/>
                <w:sz w:val="12"/>
                <w:szCs w:val="12"/>
              </w:rPr>
              <w:t>10</w:t>
            </w:r>
          </w:p>
        </w:tc>
        <w:tc>
          <w:tcPr>
            <w:tcW w:w="217" w:type="pct"/>
            <w:gridSpan w:val="2"/>
            <w:shd w:val="clear" w:color="auto" w:fill="auto"/>
            <w:tcMar>
              <w:left w:w="17" w:type="dxa"/>
              <w:right w:w="17" w:type="dxa"/>
            </w:tcMar>
            <w:vAlign w:val="center"/>
          </w:tcPr>
          <w:p w14:paraId="1653921F" w14:textId="77777777" w:rsidR="001C56BD" w:rsidRPr="00F92667" w:rsidRDefault="001C56BD" w:rsidP="008A5C11">
            <w:pPr>
              <w:jc w:val="center"/>
              <w:rPr>
                <w:bCs/>
                <w:sz w:val="12"/>
                <w:szCs w:val="12"/>
              </w:rPr>
            </w:pPr>
            <w:r w:rsidRPr="00F92667">
              <w:rPr>
                <w:bCs/>
                <w:sz w:val="12"/>
                <w:szCs w:val="12"/>
              </w:rPr>
              <w:t>11</w:t>
            </w:r>
          </w:p>
        </w:tc>
        <w:tc>
          <w:tcPr>
            <w:tcW w:w="177" w:type="pct"/>
            <w:gridSpan w:val="2"/>
            <w:shd w:val="clear" w:color="auto" w:fill="auto"/>
            <w:tcMar>
              <w:left w:w="17" w:type="dxa"/>
              <w:right w:w="17" w:type="dxa"/>
            </w:tcMar>
            <w:vAlign w:val="center"/>
          </w:tcPr>
          <w:p w14:paraId="1F1969DC" w14:textId="77777777" w:rsidR="001C56BD" w:rsidRPr="00F92667" w:rsidRDefault="001C56BD" w:rsidP="008A5C11">
            <w:pPr>
              <w:jc w:val="center"/>
              <w:rPr>
                <w:bCs/>
                <w:sz w:val="12"/>
                <w:szCs w:val="12"/>
              </w:rPr>
            </w:pPr>
            <w:r w:rsidRPr="00F92667">
              <w:rPr>
                <w:bCs/>
                <w:sz w:val="12"/>
                <w:szCs w:val="12"/>
              </w:rPr>
              <w:t>12</w:t>
            </w:r>
          </w:p>
        </w:tc>
        <w:tc>
          <w:tcPr>
            <w:tcW w:w="212" w:type="pct"/>
            <w:shd w:val="clear" w:color="auto" w:fill="auto"/>
            <w:tcMar>
              <w:left w:w="17" w:type="dxa"/>
              <w:right w:w="17" w:type="dxa"/>
            </w:tcMar>
            <w:vAlign w:val="center"/>
          </w:tcPr>
          <w:p w14:paraId="2CFED20C" w14:textId="77777777" w:rsidR="001C56BD" w:rsidRPr="00F92667" w:rsidRDefault="001C56BD" w:rsidP="008A5C11">
            <w:pPr>
              <w:jc w:val="center"/>
              <w:rPr>
                <w:bCs/>
                <w:sz w:val="12"/>
                <w:szCs w:val="12"/>
              </w:rPr>
            </w:pPr>
            <w:r w:rsidRPr="00F92667">
              <w:rPr>
                <w:bCs/>
                <w:sz w:val="12"/>
                <w:szCs w:val="12"/>
              </w:rPr>
              <w:t>13</w:t>
            </w:r>
          </w:p>
        </w:tc>
        <w:tc>
          <w:tcPr>
            <w:tcW w:w="218" w:type="pct"/>
            <w:gridSpan w:val="2"/>
            <w:shd w:val="clear" w:color="auto" w:fill="auto"/>
            <w:tcMar>
              <w:left w:w="17" w:type="dxa"/>
              <w:right w:w="17" w:type="dxa"/>
            </w:tcMar>
            <w:vAlign w:val="center"/>
          </w:tcPr>
          <w:p w14:paraId="46CCE7E2" w14:textId="77777777" w:rsidR="001C56BD" w:rsidRPr="00F92667" w:rsidRDefault="001C56BD" w:rsidP="008A5C11">
            <w:pPr>
              <w:jc w:val="center"/>
              <w:rPr>
                <w:bCs/>
                <w:sz w:val="12"/>
                <w:szCs w:val="12"/>
              </w:rPr>
            </w:pPr>
            <w:r w:rsidRPr="00F92667">
              <w:rPr>
                <w:bCs/>
                <w:sz w:val="12"/>
                <w:szCs w:val="12"/>
              </w:rPr>
              <w:t>14</w:t>
            </w:r>
          </w:p>
        </w:tc>
        <w:tc>
          <w:tcPr>
            <w:tcW w:w="217" w:type="pct"/>
            <w:gridSpan w:val="2"/>
            <w:shd w:val="clear" w:color="auto" w:fill="auto"/>
            <w:tcMar>
              <w:left w:w="17" w:type="dxa"/>
              <w:right w:w="17" w:type="dxa"/>
            </w:tcMar>
            <w:vAlign w:val="center"/>
          </w:tcPr>
          <w:p w14:paraId="3DE8948E" w14:textId="77777777" w:rsidR="001C56BD" w:rsidRPr="00F92667" w:rsidRDefault="001C56BD" w:rsidP="008A5C11">
            <w:pPr>
              <w:jc w:val="center"/>
              <w:rPr>
                <w:bCs/>
                <w:sz w:val="12"/>
                <w:szCs w:val="12"/>
              </w:rPr>
            </w:pPr>
            <w:r w:rsidRPr="00F92667">
              <w:rPr>
                <w:bCs/>
                <w:sz w:val="12"/>
                <w:szCs w:val="12"/>
              </w:rPr>
              <w:t>15</w:t>
            </w:r>
          </w:p>
        </w:tc>
        <w:tc>
          <w:tcPr>
            <w:tcW w:w="206" w:type="pct"/>
            <w:gridSpan w:val="2"/>
            <w:tcMar>
              <w:left w:w="17" w:type="dxa"/>
              <w:right w:w="17" w:type="dxa"/>
            </w:tcMar>
            <w:vAlign w:val="center"/>
          </w:tcPr>
          <w:p w14:paraId="1E97E20E" w14:textId="77777777" w:rsidR="001C56BD" w:rsidRPr="00F92667" w:rsidRDefault="001C56BD" w:rsidP="008A5C11">
            <w:pPr>
              <w:jc w:val="center"/>
              <w:rPr>
                <w:bCs/>
                <w:sz w:val="12"/>
                <w:szCs w:val="12"/>
              </w:rPr>
            </w:pPr>
            <w:r w:rsidRPr="00F92667">
              <w:rPr>
                <w:bCs/>
                <w:sz w:val="12"/>
                <w:szCs w:val="12"/>
              </w:rPr>
              <w:t>16</w:t>
            </w:r>
          </w:p>
        </w:tc>
        <w:tc>
          <w:tcPr>
            <w:tcW w:w="217" w:type="pct"/>
            <w:gridSpan w:val="2"/>
            <w:tcMar>
              <w:left w:w="17" w:type="dxa"/>
              <w:right w:w="17" w:type="dxa"/>
            </w:tcMar>
            <w:vAlign w:val="center"/>
          </w:tcPr>
          <w:p w14:paraId="43C7FE17" w14:textId="77777777" w:rsidR="001C56BD" w:rsidRPr="00F92667" w:rsidRDefault="001C56BD" w:rsidP="008A5C11">
            <w:pPr>
              <w:jc w:val="center"/>
              <w:rPr>
                <w:bCs/>
                <w:sz w:val="12"/>
                <w:szCs w:val="12"/>
              </w:rPr>
            </w:pPr>
            <w:r w:rsidRPr="00F92667">
              <w:rPr>
                <w:bCs/>
                <w:sz w:val="12"/>
                <w:szCs w:val="12"/>
              </w:rPr>
              <w:t>17</w:t>
            </w:r>
          </w:p>
        </w:tc>
        <w:tc>
          <w:tcPr>
            <w:tcW w:w="214" w:type="pct"/>
            <w:gridSpan w:val="2"/>
            <w:tcMar>
              <w:left w:w="17" w:type="dxa"/>
              <w:right w:w="17" w:type="dxa"/>
            </w:tcMar>
            <w:vAlign w:val="center"/>
          </w:tcPr>
          <w:p w14:paraId="6A6B8B60" w14:textId="77777777" w:rsidR="001C56BD" w:rsidRPr="00F92667" w:rsidRDefault="001C56BD" w:rsidP="008A5C11">
            <w:pPr>
              <w:jc w:val="center"/>
              <w:rPr>
                <w:bCs/>
                <w:sz w:val="12"/>
                <w:szCs w:val="12"/>
              </w:rPr>
            </w:pPr>
            <w:r w:rsidRPr="00F92667">
              <w:rPr>
                <w:bCs/>
                <w:sz w:val="12"/>
                <w:szCs w:val="12"/>
              </w:rPr>
              <w:t>18</w:t>
            </w:r>
          </w:p>
        </w:tc>
        <w:tc>
          <w:tcPr>
            <w:tcW w:w="217" w:type="pct"/>
            <w:gridSpan w:val="2"/>
            <w:tcMar>
              <w:left w:w="17" w:type="dxa"/>
              <w:right w:w="17" w:type="dxa"/>
            </w:tcMar>
            <w:vAlign w:val="center"/>
          </w:tcPr>
          <w:p w14:paraId="3ACEC59B" w14:textId="77777777" w:rsidR="001C56BD" w:rsidRPr="00F92667" w:rsidRDefault="001C56BD" w:rsidP="008A5C11">
            <w:pPr>
              <w:jc w:val="center"/>
              <w:rPr>
                <w:bCs/>
                <w:sz w:val="12"/>
                <w:szCs w:val="12"/>
              </w:rPr>
            </w:pPr>
            <w:r w:rsidRPr="00F92667">
              <w:rPr>
                <w:bCs/>
                <w:sz w:val="12"/>
                <w:szCs w:val="12"/>
              </w:rPr>
              <w:t>19</w:t>
            </w:r>
          </w:p>
        </w:tc>
        <w:tc>
          <w:tcPr>
            <w:tcW w:w="217" w:type="pct"/>
            <w:gridSpan w:val="2"/>
            <w:tcMar>
              <w:left w:w="17" w:type="dxa"/>
              <w:right w:w="17" w:type="dxa"/>
            </w:tcMar>
            <w:vAlign w:val="center"/>
          </w:tcPr>
          <w:p w14:paraId="297F9C15" w14:textId="77777777" w:rsidR="001C56BD" w:rsidRPr="00F92667" w:rsidRDefault="001C56BD" w:rsidP="008A5C11">
            <w:pPr>
              <w:jc w:val="center"/>
              <w:rPr>
                <w:bCs/>
                <w:sz w:val="12"/>
                <w:szCs w:val="12"/>
              </w:rPr>
            </w:pPr>
            <w:r w:rsidRPr="00F92667">
              <w:rPr>
                <w:bCs/>
                <w:sz w:val="12"/>
                <w:szCs w:val="12"/>
              </w:rPr>
              <w:t>20</w:t>
            </w:r>
          </w:p>
        </w:tc>
        <w:tc>
          <w:tcPr>
            <w:tcW w:w="214" w:type="pct"/>
            <w:gridSpan w:val="2"/>
            <w:tcMar>
              <w:left w:w="17" w:type="dxa"/>
              <w:right w:w="17" w:type="dxa"/>
            </w:tcMar>
            <w:vAlign w:val="center"/>
          </w:tcPr>
          <w:p w14:paraId="1F93A421" w14:textId="77777777" w:rsidR="001C56BD" w:rsidRPr="00F92667" w:rsidRDefault="001C56BD" w:rsidP="008A5C11">
            <w:pPr>
              <w:jc w:val="center"/>
              <w:rPr>
                <w:bCs/>
                <w:sz w:val="12"/>
                <w:szCs w:val="12"/>
              </w:rPr>
            </w:pPr>
            <w:r w:rsidRPr="00F92667">
              <w:rPr>
                <w:bCs/>
                <w:sz w:val="12"/>
                <w:szCs w:val="12"/>
              </w:rPr>
              <w:t>21</w:t>
            </w:r>
          </w:p>
        </w:tc>
        <w:tc>
          <w:tcPr>
            <w:tcW w:w="247" w:type="pct"/>
            <w:gridSpan w:val="2"/>
            <w:tcMar>
              <w:left w:w="17" w:type="dxa"/>
              <w:right w:w="17" w:type="dxa"/>
            </w:tcMar>
            <w:vAlign w:val="center"/>
          </w:tcPr>
          <w:p w14:paraId="7E0C38F0" w14:textId="77777777" w:rsidR="001C56BD" w:rsidRPr="00F92667" w:rsidRDefault="001C56BD" w:rsidP="008A5C11">
            <w:pPr>
              <w:jc w:val="center"/>
              <w:rPr>
                <w:bCs/>
                <w:sz w:val="12"/>
                <w:szCs w:val="12"/>
              </w:rPr>
            </w:pPr>
            <w:r w:rsidRPr="00F92667">
              <w:rPr>
                <w:bCs/>
                <w:sz w:val="12"/>
                <w:szCs w:val="12"/>
              </w:rPr>
              <w:t>22</w:t>
            </w:r>
          </w:p>
        </w:tc>
        <w:tc>
          <w:tcPr>
            <w:tcW w:w="173" w:type="pct"/>
            <w:tcMar>
              <w:left w:w="17" w:type="dxa"/>
              <w:right w:w="17" w:type="dxa"/>
            </w:tcMar>
            <w:vAlign w:val="center"/>
          </w:tcPr>
          <w:p w14:paraId="35F13CCF" w14:textId="77777777" w:rsidR="001C56BD" w:rsidRPr="00F92667" w:rsidRDefault="001C56BD" w:rsidP="008A5C11">
            <w:pPr>
              <w:jc w:val="center"/>
              <w:rPr>
                <w:bCs/>
                <w:sz w:val="12"/>
                <w:szCs w:val="12"/>
              </w:rPr>
            </w:pPr>
            <w:r w:rsidRPr="00F92667">
              <w:rPr>
                <w:bCs/>
                <w:sz w:val="12"/>
                <w:szCs w:val="12"/>
              </w:rPr>
              <w:t>23</w:t>
            </w:r>
          </w:p>
        </w:tc>
        <w:tc>
          <w:tcPr>
            <w:tcW w:w="169" w:type="pct"/>
            <w:tcMar>
              <w:left w:w="17" w:type="dxa"/>
              <w:right w:w="17" w:type="dxa"/>
            </w:tcMar>
            <w:vAlign w:val="center"/>
          </w:tcPr>
          <w:p w14:paraId="02B6A127" w14:textId="77777777" w:rsidR="001C56BD" w:rsidRPr="00F92667" w:rsidRDefault="001C56BD" w:rsidP="008A5C11">
            <w:pPr>
              <w:jc w:val="center"/>
              <w:rPr>
                <w:bCs/>
                <w:sz w:val="12"/>
                <w:szCs w:val="12"/>
              </w:rPr>
            </w:pPr>
            <w:r w:rsidRPr="00F92667">
              <w:rPr>
                <w:bCs/>
                <w:sz w:val="12"/>
                <w:szCs w:val="12"/>
              </w:rPr>
              <w:t>24</w:t>
            </w:r>
          </w:p>
        </w:tc>
      </w:tr>
      <w:tr w:rsidR="001C56BD" w:rsidRPr="00F92667" w14:paraId="2DB8E566" w14:textId="77777777" w:rsidTr="008A5C11">
        <w:trPr>
          <w:gridBefore w:val="1"/>
          <w:wBefore w:w="3" w:type="pct"/>
          <w:trHeight w:val="897"/>
        </w:trPr>
        <w:tc>
          <w:tcPr>
            <w:tcW w:w="129" w:type="pct"/>
            <w:shd w:val="clear" w:color="auto" w:fill="auto"/>
            <w:tcMar>
              <w:left w:w="17" w:type="dxa"/>
              <w:right w:w="17" w:type="dxa"/>
            </w:tcMar>
            <w:vAlign w:val="center"/>
          </w:tcPr>
          <w:p w14:paraId="45AEA029" w14:textId="77777777" w:rsidR="001C56BD" w:rsidRPr="00F92667" w:rsidRDefault="001C56BD" w:rsidP="008A5C11">
            <w:pPr>
              <w:jc w:val="center"/>
              <w:rPr>
                <w:sz w:val="12"/>
                <w:szCs w:val="12"/>
              </w:rPr>
            </w:pPr>
            <w:r w:rsidRPr="00F92667">
              <w:rPr>
                <w:sz w:val="12"/>
                <w:szCs w:val="12"/>
              </w:rPr>
              <w:t>3.1.50.</w:t>
            </w:r>
          </w:p>
        </w:tc>
        <w:tc>
          <w:tcPr>
            <w:tcW w:w="305" w:type="pct"/>
            <w:shd w:val="clear" w:color="000000" w:fill="FFFFFF"/>
            <w:tcMar>
              <w:left w:w="17" w:type="dxa"/>
              <w:right w:w="17" w:type="dxa"/>
            </w:tcMar>
            <w:vAlign w:val="center"/>
          </w:tcPr>
          <w:p w14:paraId="57431F08" w14:textId="77777777" w:rsidR="001C56BD" w:rsidRPr="00F92667" w:rsidRDefault="001C56BD" w:rsidP="008A5C11">
            <w:pPr>
              <w:rPr>
                <w:sz w:val="12"/>
                <w:szCs w:val="12"/>
              </w:rPr>
            </w:pPr>
            <w:r w:rsidRPr="00F92667">
              <w:rPr>
                <w:color w:val="000000"/>
                <w:sz w:val="12"/>
                <w:szCs w:val="12"/>
              </w:rPr>
              <w:t>Реконструкция тепловой сети с реестровым номером</w:t>
            </w:r>
            <w:r w:rsidRPr="00F92667">
              <w:rPr>
                <w:sz w:val="12"/>
                <w:szCs w:val="12"/>
              </w:rPr>
              <w:t xml:space="preserve"> 773181</w:t>
            </w:r>
          </w:p>
        </w:tc>
        <w:tc>
          <w:tcPr>
            <w:tcW w:w="304" w:type="pct"/>
            <w:shd w:val="clear" w:color="000000" w:fill="FFFFFF"/>
            <w:tcMar>
              <w:left w:w="17" w:type="dxa"/>
              <w:right w:w="17" w:type="dxa"/>
            </w:tcMar>
            <w:vAlign w:val="center"/>
          </w:tcPr>
          <w:p w14:paraId="450A6374" w14:textId="77777777" w:rsidR="001C56BD" w:rsidRPr="00F92667" w:rsidRDefault="001C56BD" w:rsidP="008A5C11">
            <w:pPr>
              <w:jc w:val="center"/>
              <w:rPr>
                <w:sz w:val="12"/>
                <w:szCs w:val="12"/>
              </w:rPr>
            </w:pPr>
            <w:r w:rsidRPr="00F92667">
              <w:rPr>
                <w:color w:val="000000"/>
                <w:sz w:val="12"/>
                <w:szCs w:val="12"/>
              </w:rPr>
              <w:t>Повышение надежности услуг теплоснабжения, повышение энергетической эффективности</w:t>
            </w:r>
          </w:p>
        </w:tc>
        <w:tc>
          <w:tcPr>
            <w:tcW w:w="258" w:type="pct"/>
            <w:shd w:val="clear" w:color="000000" w:fill="FFFFFF"/>
            <w:tcMar>
              <w:left w:w="17" w:type="dxa"/>
              <w:right w:w="17" w:type="dxa"/>
            </w:tcMar>
            <w:vAlign w:val="center"/>
          </w:tcPr>
          <w:p w14:paraId="3A96220C" w14:textId="77777777" w:rsidR="001C56BD" w:rsidRPr="00F92667" w:rsidRDefault="001C56BD" w:rsidP="008A5C11">
            <w:pPr>
              <w:jc w:val="center"/>
              <w:rPr>
                <w:sz w:val="12"/>
                <w:szCs w:val="12"/>
              </w:rPr>
            </w:pPr>
            <w:r w:rsidRPr="00F92667">
              <w:rPr>
                <w:sz w:val="12"/>
                <w:szCs w:val="12"/>
              </w:rPr>
              <w:t>Кемеровский городской округ, р-н Центральный, 60м, севернее жилого дома №37 по проспекту Октябрьский</w:t>
            </w:r>
          </w:p>
        </w:tc>
        <w:tc>
          <w:tcPr>
            <w:tcW w:w="294" w:type="pct"/>
            <w:shd w:val="clear" w:color="auto" w:fill="auto"/>
            <w:tcMar>
              <w:left w:w="17" w:type="dxa"/>
              <w:right w:w="17" w:type="dxa"/>
            </w:tcMar>
            <w:vAlign w:val="center"/>
          </w:tcPr>
          <w:p w14:paraId="2CA4F616" w14:textId="77777777" w:rsidR="001C56BD" w:rsidRPr="00F92667" w:rsidRDefault="001C56BD" w:rsidP="008A5C11">
            <w:pPr>
              <w:jc w:val="center"/>
              <w:rPr>
                <w:sz w:val="12"/>
                <w:szCs w:val="12"/>
              </w:rPr>
            </w:pPr>
            <w:r w:rsidRPr="00F92667">
              <w:rPr>
                <w:color w:val="000000"/>
                <w:sz w:val="12"/>
                <w:szCs w:val="12"/>
              </w:rPr>
              <w:t>Технические характеристики</w:t>
            </w:r>
          </w:p>
        </w:tc>
        <w:tc>
          <w:tcPr>
            <w:tcW w:w="129" w:type="pct"/>
            <w:shd w:val="clear" w:color="auto" w:fill="auto"/>
            <w:tcMar>
              <w:left w:w="17" w:type="dxa"/>
              <w:right w:w="17" w:type="dxa"/>
            </w:tcMar>
            <w:vAlign w:val="center"/>
          </w:tcPr>
          <w:p w14:paraId="4F8167A8" w14:textId="77777777" w:rsidR="001C56BD" w:rsidRPr="00F92667" w:rsidRDefault="001C56BD" w:rsidP="008A5C11">
            <w:pPr>
              <w:jc w:val="center"/>
              <w:rPr>
                <w:color w:val="000000"/>
                <w:sz w:val="12"/>
                <w:szCs w:val="12"/>
              </w:rPr>
            </w:pPr>
          </w:p>
        </w:tc>
        <w:tc>
          <w:tcPr>
            <w:tcW w:w="184" w:type="pct"/>
            <w:shd w:val="clear" w:color="auto" w:fill="auto"/>
            <w:tcMar>
              <w:left w:w="17" w:type="dxa"/>
              <w:right w:w="17" w:type="dxa"/>
            </w:tcMar>
            <w:vAlign w:val="center"/>
          </w:tcPr>
          <w:p w14:paraId="327284AE" w14:textId="77777777" w:rsidR="001C56BD" w:rsidRPr="00F92667" w:rsidRDefault="001C56BD" w:rsidP="008A5C11">
            <w:pPr>
              <w:jc w:val="center"/>
              <w:rPr>
                <w:sz w:val="12"/>
                <w:szCs w:val="12"/>
              </w:rPr>
            </w:pPr>
            <w:r w:rsidRPr="00F92667">
              <w:rPr>
                <w:sz w:val="12"/>
                <w:szCs w:val="12"/>
              </w:rPr>
              <w:t xml:space="preserve">Бесканальная </w:t>
            </w:r>
            <w:proofErr w:type="gramStart"/>
            <w:r w:rsidRPr="00F92667">
              <w:rPr>
                <w:sz w:val="12"/>
                <w:szCs w:val="12"/>
              </w:rPr>
              <w:t>прокладка,опоры</w:t>
            </w:r>
            <w:proofErr w:type="gramEnd"/>
            <w:r w:rsidRPr="00F92667">
              <w:rPr>
                <w:sz w:val="12"/>
                <w:szCs w:val="12"/>
              </w:rPr>
              <w:t xml:space="preserve"> привар-ные, запорная арматура-стальная клиновая, антикоррозийная защита-лак БТ, труба-сталь 20, изоляция-мин. маты.       </w:t>
            </w:r>
          </w:p>
        </w:tc>
        <w:tc>
          <w:tcPr>
            <w:tcW w:w="219" w:type="pct"/>
            <w:shd w:val="clear" w:color="auto" w:fill="auto"/>
            <w:tcMar>
              <w:left w:w="17" w:type="dxa"/>
              <w:right w:w="17" w:type="dxa"/>
            </w:tcMar>
            <w:vAlign w:val="center"/>
          </w:tcPr>
          <w:p w14:paraId="6E58C938" w14:textId="77777777" w:rsidR="001C56BD" w:rsidRPr="00F92667" w:rsidRDefault="001C56BD" w:rsidP="008A5C11">
            <w:pPr>
              <w:jc w:val="center"/>
              <w:rPr>
                <w:sz w:val="12"/>
                <w:szCs w:val="12"/>
              </w:rPr>
            </w:pPr>
            <w:r w:rsidRPr="00F92667">
              <w:rPr>
                <w:sz w:val="12"/>
                <w:szCs w:val="12"/>
              </w:rPr>
              <w:t xml:space="preserve">Канал-ж/б лотки, опоры-хомутовые с диэлектрической прокладкой, запорная арматура - кран шаровый, антикоррозийная защита-мастика Вектор 1214, 1025, труба-сталь 09Г2С, изоляция - маты прошивные, </w:t>
            </w:r>
            <w:proofErr w:type="gramStart"/>
            <w:r w:rsidRPr="00F92667">
              <w:rPr>
                <w:sz w:val="12"/>
                <w:szCs w:val="12"/>
              </w:rPr>
              <w:t>стеклоплас-тик</w:t>
            </w:r>
            <w:proofErr w:type="gramEnd"/>
            <w:r w:rsidRPr="00F92667">
              <w:rPr>
                <w:sz w:val="12"/>
                <w:szCs w:val="12"/>
              </w:rPr>
              <w:t xml:space="preserve">  </w:t>
            </w:r>
          </w:p>
        </w:tc>
        <w:tc>
          <w:tcPr>
            <w:tcW w:w="130" w:type="pct"/>
            <w:shd w:val="clear" w:color="auto" w:fill="auto"/>
            <w:tcMar>
              <w:left w:w="17" w:type="dxa"/>
              <w:right w:w="17" w:type="dxa"/>
            </w:tcMar>
            <w:vAlign w:val="center"/>
          </w:tcPr>
          <w:p w14:paraId="5F2C6A85" w14:textId="77777777" w:rsidR="001C56BD" w:rsidRPr="00F92667" w:rsidRDefault="001C56BD" w:rsidP="008A5C11">
            <w:pPr>
              <w:jc w:val="center"/>
              <w:rPr>
                <w:sz w:val="12"/>
                <w:szCs w:val="12"/>
              </w:rPr>
            </w:pPr>
            <w:r w:rsidRPr="00F92667">
              <w:rPr>
                <w:sz w:val="12"/>
                <w:szCs w:val="12"/>
              </w:rPr>
              <w:t>2027</w:t>
            </w:r>
          </w:p>
        </w:tc>
        <w:tc>
          <w:tcPr>
            <w:tcW w:w="130" w:type="pct"/>
            <w:shd w:val="clear" w:color="auto" w:fill="auto"/>
            <w:tcMar>
              <w:left w:w="17" w:type="dxa"/>
              <w:right w:w="17" w:type="dxa"/>
            </w:tcMar>
            <w:vAlign w:val="center"/>
          </w:tcPr>
          <w:p w14:paraId="45FF4FDA" w14:textId="77777777" w:rsidR="001C56BD" w:rsidRPr="00F92667" w:rsidRDefault="001C56BD" w:rsidP="008A5C11">
            <w:pPr>
              <w:jc w:val="center"/>
              <w:rPr>
                <w:sz w:val="12"/>
                <w:szCs w:val="12"/>
              </w:rPr>
            </w:pPr>
            <w:r w:rsidRPr="00F92667">
              <w:rPr>
                <w:sz w:val="12"/>
                <w:szCs w:val="12"/>
              </w:rPr>
              <w:t>2027</w:t>
            </w:r>
          </w:p>
        </w:tc>
        <w:tc>
          <w:tcPr>
            <w:tcW w:w="217" w:type="pct"/>
            <w:gridSpan w:val="2"/>
            <w:shd w:val="clear" w:color="auto" w:fill="auto"/>
            <w:tcMar>
              <w:left w:w="17" w:type="dxa"/>
              <w:right w:w="17" w:type="dxa"/>
            </w:tcMar>
            <w:vAlign w:val="center"/>
          </w:tcPr>
          <w:p w14:paraId="6EA7285F" w14:textId="77777777" w:rsidR="001C56BD" w:rsidRPr="00F92667" w:rsidRDefault="001C56BD" w:rsidP="008A5C11">
            <w:pPr>
              <w:jc w:val="center"/>
              <w:rPr>
                <w:sz w:val="12"/>
                <w:szCs w:val="12"/>
              </w:rPr>
            </w:pPr>
            <w:r w:rsidRPr="00F92667">
              <w:rPr>
                <w:sz w:val="12"/>
                <w:szCs w:val="12"/>
              </w:rPr>
              <w:t>4632,648</w:t>
            </w:r>
          </w:p>
        </w:tc>
        <w:tc>
          <w:tcPr>
            <w:tcW w:w="177" w:type="pct"/>
            <w:gridSpan w:val="2"/>
            <w:shd w:val="clear" w:color="auto" w:fill="auto"/>
            <w:tcMar>
              <w:left w:w="17" w:type="dxa"/>
              <w:right w:w="17" w:type="dxa"/>
            </w:tcMar>
            <w:vAlign w:val="center"/>
          </w:tcPr>
          <w:p w14:paraId="1DC4BDF9" w14:textId="77777777" w:rsidR="001C56BD" w:rsidRPr="00F92667" w:rsidRDefault="001C56BD" w:rsidP="008A5C11">
            <w:pPr>
              <w:jc w:val="center"/>
              <w:rPr>
                <w:sz w:val="12"/>
                <w:szCs w:val="12"/>
              </w:rPr>
            </w:pPr>
            <w:r w:rsidRPr="00F92667">
              <w:rPr>
                <w:sz w:val="12"/>
                <w:szCs w:val="12"/>
              </w:rPr>
              <w:t>0,000</w:t>
            </w:r>
          </w:p>
        </w:tc>
        <w:tc>
          <w:tcPr>
            <w:tcW w:w="212" w:type="pct"/>
            <w:shd w:val="clear" w:color="auto" w:fill="auto"/>
            <w:tcMar>
              <w:left w:w="17" w:type="dxa"/>
              <w:right w:w="17" w:type="dxa"/>
            </w:tcMar>
            <w:vAlign w:val="center"/>
          </w:tcPr>
          <w:p w14:paraId="1FB8BDDE" w14:textId="77777777" w:rsidR="001C56BD" w:rsidRPr="00F92667" w:rsidRDefault="001C56BD" w:rsidP="008A5C11">
            <w:pPr>
              <w:jc w:val="center"/>
              <w:rPr>
                <w:sz w:val="12"/>
                <w:szCs w:val="12"/>
              </w:rPr>
            </w:pPr>
            <w:r w:rsidRPr="00F92667">
              <w:rPr>
                <w:sz w:val="12"/>
                <w:szCs w:val="12"/>
              </w:rPr>
              <w:t>0,000</w:t>
            </w:r>
          </w:p>
        </w:tc>
        <w:tc>
          <w:tcPr>
            <w:tcW w:w="218" w:type="pct"/>
            <w:gridSpan w:val="2"/>
            <w:shd w:val="clear" w:color="auto" w:fill="auto"/>
            <w:tcMar>
              <w:left w:w="17" w:type="dxa"/>
              <w:right w:w="17" w:type="dxa"/>
            </w:tcMar>
            <w:vAlign w:val="center"/>
          </w:tcPr>
          <w:p w14:paraId="0D58C146"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20FB42D1" w14:textId="77777777" w:rsidR="001C56BD" w:rsidRPr="00F92667" w:rsidRDefault="001C56BD" w:rsidP="008A5C11">
            <w:pPr>
              <w:jc w:val="center"/>
              <w:rPr>
                <w:sz w:val="12"/>
                <w:szCs w:val="12"/>
              </w:rPr>
            </w:pPr>
            <w:r w:rsidRPr="00F92667">
              <w:rPr>
                <w:sz w:val="12"/>
                <w:szCs w:val="12"/>
              </w:rPr>
              <w:t>0,000</w:t>
            </w:r>
          </w:p>
        </w:tc>
        <w:tc>
          <w:tcPr>
            <w:tcW w:w="206" w:type="pct"/>
            <w:gridSpan w:val="2"/>
            <w:shd w:val="clear" w:color="auto" w:fill="auto"/>
            <w:tcMar>
              <w:left w:w="17" w:type="dxa"/>
              <w:right w:w="17" w:type="dxa"/>
            </w:tcMar>
            <w:vAlign w:val="center"/>
          </w:tcPr>
          <w:p w14:paraId="623F2217"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2B0BC837" w14:textId="77777777" w:rsidR="001C56BD" w:rsidRPr="00F92667" w:rsidRDefault="001C56BD" w:rsidP="008A5C11">
            <w:pPr>
              <w:jc w:val="center"/>
              <w:rPr>
                <w:sz w:val="12"/>
                <w:szCs w:val="12"/>
              </w:rPr>
            </w:pPr>
            <w:r w:rsidRPr="00F92667">
              <w:rPr>
                <w:sz w:val="12"/>
                <w:szCs w:val="12"/>
              </w:rPr>
              <w:t>0,000</w:t>
            </w:r>
          </w:p>
        </w:tc>
        <w:tc>
          <w:tcPr>
            <w:tcW w:w="214" w:type="pct"/>
            <w:gridSpan w:val="2"/>
            <w:shd w:val="clear" w:color="auto" w:fill="auto"/>
            <w:tcMar>
              <w:left w:w="17" w:type="dxa"/>
              <w:right w:w="17" w:type="dxa"/>
            </w:tcMar>
            <w:vAlign w:val="center"/>
          </w:tcPr>
          <w:p w14:paraId="7E0CA31E" w14:textId="77777777" w:rsidR="001C56BD" w:rsidRPr="00F92667" w:rsidRDefault="001C56BD" w:rsidP="008A5C11">
            <w:pPr>
              <w:jc w:val="center"/>
              <w:rPr>
                <w:sz w:val="12"/>
                <w:szCs w:val="12"/>
              </w:rPr>
            </w:pPr>
            <w:r w:rsidRPr="00F92667">
              <w:rPr>
                <w:sz w:val="12"/>
                <w:szCs w:val="12"/>
              </w:rPr>
              <w:t>4632,648</w:t>
            </w:r>
          </w:p>
        </w:tc>
        <w:tc>
          <w:tcPr>
            <w:tcW w:w="217" w:type="pct"/>
            <w:gridSpan w:val="2"/>
            <w:shd w:val="clear" w:color="auto" w:fill="auto"/>
            <w:tcMar>
              <w:left w:w="17" w:type="dxa"/>
              <w:right w:w="17" w:type="dxa"/>
            </w:tcMar>
            <w:vAlign w:val="center"/>
          </w:tcPr>
          <w:p w14:paraId="45DABE7E"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73CAC6B4" w14:textId="77777777" w:rsidR="001C56BD" w:rsidRPr="00F92667" w:rsidRDefault="001C56BD" w:rsidP="008A5C11">
            <w:pPr>
              <w:jc w:val="center"/>
              <w:rPr>
                <w:sz w:val="12"/>
                <w:szCs w:val="12"/>
              </w:rPr>
            </w:pPr>
            <w:r w:rsidRPr="00F92667">
              <w:rPr>
                <w:sz w:val="12"/>
                <w:szCs w:val="12"/>
              </w:rPr>
              <w:t>0,000</w:t>
            </w:r>
          </w:p>
        </w:tc>
        <w:tc>
          <w:tcPr>
            <w:tcW w:w="214" w:type="pct"/>
            <w:gridSpan w:val="2"/>
            <w:shd w:val="clear" w:color="auto" w:fill="auto"/>
            <w:tcMar>
              <w:left w:w="17" w:type="dxa"/>
              <w:right w:w="17" w:type="dxa"/>
            </w:tcMar>
            <w:vAlign w:val="center"/>
          </w:tcPr>
          <w:p w14:paraId="4535ECEA" w14:textId="77777777" w:rsidR="001C56BD" w:rsidRPr="00F92667" w:rsidRDefault="001C56BD" w:rsidP="008A5C11">
            <w:pPr>
              <w:jc w:val="center"/>
              <w:rPr>
                <w:sz w:val="12"/>
                <w:szCs w:val="12"/>
              </w:rPr>
            </w:pPr>
            <w:r w:rsidRPr="00F92667">
              <w:rPr>
                <w:sz w:val="12"/>
                <w:szCs w:val="12"/>
              </w:rPr>
              <w:t>0,000</w:t>
            </w:r>
          </w:p>
        </w:tc>
        <w:tc>
          <w:tcPr>
            <w:tcW w:w="247" w:type="pct"/>
            <w:gridSpan w:val="2"/>
            <w:shd w:val="clear" w:color="auto" w:fill="auto"/>
            <w:tcMar>
              <w:left w:w="17" w:type="dxa"/>
              <w:right w:w="17" w:type="dxa"/>
            </w:tcMar>
            <w:vAlign w:val="center"/>
          </w:tcPr>
          <w:p w14:paraId="40CE9ADC" w14:textId="77777777" w:rsidR="001C56BD" w:rsidRPr="00F92667" w:rsidRDefault="001C56BD" w:rsidP="008A5C11">
            <w:pPr>
              <w:jc w:val="center"/>
              <w:rPr>
                <w:sz w:val="12"/>
                <w:szCs w:val="12"/>
              </w:rPr>
            </w:pPr>
            <w:r w:rsidRPr="00F92667">
              <w:rPr>
                <w:sz w:val="12"/>
                <w:szCs w:val="12"/>
              </w:rPr>
              <w:t>0,000</w:t>
            </w:r>
          </w:p>
        </w:tc>
        <w:tc>
          <w:tcPr>
            <w:tcW w:w="173" w:type="pct"/>
            <w:shd w:val="clear" w:color="auto" w:fill="auto"/>
            <w:tcMar>
              <w:left w:w="17" w:type="dxa"/>
              <w:right w:w="17" w:type="dxa"/>
            </w:tcMar>
            <w:vAlign w:val="center"/>
          </w:tcPr>
          <w:p w14:paraId="5117B932" w14:textId="77777777" w:rsidR="001C56BD" w:rsidRPr="00F92667" w:rsidRDefault="001C56BD" w:rsidP="008A5C11">
            <w:pPr>
              <w:jc w:val="center"/>
              <w:rPr>
                <w:sz w:val="12"/>
                <w:szCs w:val="12"/>
              </w:rPr>
            </w:pPr>
            <w:r w:rsidRPr="00F92667">
              <w:rPr>
                <w:sz w:val="12"/>
                <w:szCs w:val="12"/>
              </w:rPr>
              <w:t>0,000</w:t>
            </w:r>
          </w:p>
        </w:tc>
        <w:tc>
          <w:tcPr>
            <w:tcW w:w="169" w:type="pct"/>
            <w:shd w:val="clear" w:color="auto" w:fill="auto"/>
            <w:tcMar>
              <w:left w:w="17" w:type="dxa"/>
              <w:right w:w="17" w:type="dxa"/>
            </w:tcMar>
            <w:vAlign w:val="center"/>
          </w:tcPr>
          <w:p w14:paraId="162893C0" w14:textId="77777777" w:rsidR="001C56BD" w:rsidRPr="00F92667" w:rsidRDefault="001C56BD" w:rsidP="008A5C11">
            <w:pPr>
              <w:jc w:val="center"/>
              <w:rPr>
                <w:sz w:val="12"/>
                <w:szCs w:val="12"/>
              </w:rPr>
            </w:pPr>
            <w:r w:rsidRPr="00F92667">
              <w:rPr>
                <w:sz w:val="12"/>
                <w:szCs w:val="12"/>
              </w:rPr>
              <w:t>0,000</w:t>
            </w:r>
          </w:p>
        </w:tc>
      </w:tr>
      <w:tr w:rsidR="001C56BD" w:rsidRPr="00F92667" w14:paraId="5FC7F6DE" w14:textId="77777777" w:rsidTr="008A5C11">
        <w:trPr>
          <w:trHeight w:val="70"/>
        </w:trPr>
        <w:tc>
          <w:tcPr>
            <w:tcW w:w="5000" w:type="pct"/>
            <w:gridSpan w:val="36"/>
            <w:tcMar>
              <w:left w:w="17" w:type="dxa"/>
              <w:right w:w="17" w:type="dxa"/>
            </w:tcMar>
          </w:tcPr>
          <w:p w14:paraId="294539D2" w14:textId="77777777" w:rsidR="001C56BD" w:rsidRPr="00F92667" w:rsidRDefault="001C56BD" w:rsidP="008A5C11">
            <w:pPr>
              <w:rPr>
                <w:sz w:val="13"/>
                <w:szCs w:val="13"/>
              </w:rPr>
            </w:pPr>
            <w:r w:rsidRPr="00F92667">
              <w:rPr>
                <w:sz w:val="13"/>
                <w:szCs w:val="13"/>
              </w:rPr>
              <w:t>3.2. Реконструкция или модернизация существующих объектов системы централизованного теплоснабжения, за исключением тепловых сетей</w:t>
            </w:r>
          </w:p>
        </w:tc>
      </w:tr>
      <w:tr w:rsidR="001C56BD" w:rsidRPr="00F92667" w14:paraId="0A99CF86" w14:textId="77777777" w:rsidTr="008A5C11">
        <w:trPr>
          <w:trHeight w:val="47"/>
        </w:trPr>
        <w:tc>
          <w:tcPr>
            <w:tcW w:w="2088" w:type="pct"/>
            <w:gridSpan w:val="12"/>
            <w:shd w:val="clear" w:color="auto" w:fill="auto"/>
            <w:tcMar>
              <w:left w:w="17" w:type="dxa"/>
              <w:right w:w="17" w:type="dxa"/>
            </w:tcMar>
            <w:vAlign w:val="center"/>
          </w:tcPr>
          <w:p w14:paraId="15568ABA" w14:textId="77777777" w:rsidR="001C56BD" w:rsidRPr="00F92667" w:rsidRDefault="001C56BD" w:rsidP="008A5C11">
            <w:pPr>
              <w:rPr>
                <w:sz w:val="13"/>
                <w:szCs w:val="13"/>
              </w:rPr>
            </w:pPr>
            <w:r w:rsidRPr="00F92667">
              <w:rPr>
                <w:sz w:val="13"/>
                <w:szCs w:val="13"/>
              </w:rPr>
              <w:t>Всего по группе 3.</w:t>
            </w:r>
          </w:p>
        </w:tc>
        <w:tc>
          <w:tcPr>
            <w:tcW w:w="217" w:type="pct"/>
            <w:gridSpan w:val="2"/>
            <w:shd w:val="clear" w:color="auto" w:fill="auto"/>
            <w:tcMar>
              <w:left w:w="17" w:type="dxa"/>
              <w:right w:w="17" w:type="dxa"/>
            </w:tcMar>
            <w:vAlign w:val="center"/>
          </w:tcPr>
          <w:p w14:paraId="3414C083" w14:textId="77777777" w:rsidR="001C56BD" w:rsidRPr="00F92667" w:rsidRDefault="001C56BD" w:rsidP="008A5C11">
            <w:pPr>
              <w:jc w:val="center"/>
              <w:rPr>
                <w:color w:val="000000"/>
                <w:sz w:val="12"/>
                <w:szCs w:val="12"/>
              </w:rPr>
            </w:pPr>
            <w:r w:rsidRPr="00F92667">
              <w:rPr>
                <w:color w:val="000000"/>
                <w:sz w:val="12"/>
                <w:szCs w:val="12"/>
              </w:rPr>
              <w:t>1149716,413</w:t>
            </w:r>
          </w:p>
        </w:tc>
        <w:tc>
          <w:tcPr>
            <w:tcW w:w="174" w:type="pct"/>
            <w:shd w:val="clear" w:color="auto" w:fill="auto"/>
            <w:tcMar>
              <w:left w:w="17" w:type="dxa"/>
              <w:right w:w="17" w:type="dxa"/>
            </w:tcMar>
            <w:vAlign w:val="center"/>
          </w:tcPr>
          <w:p w14:paraId="1B2A2B3F" w14:textId="77777777" w:rsidR="001C56BD" w:rsidRPr="00F92667" w:rsidRDefault="001C56BD" w:rsidP="008A5C11">
            <w:pPr>
              <w:jc w:val="center"/>
              <w:rPr>
                <w:color w:val="000000"/>
                <w:sz w:val="12"/>
                <w:szCs w:val="12"/>
              </w:rPr>
            </w:pPr>
            <w:r w:rsidRPr="00F92667">
              <w:rPr>
                <w:color w:val="000000"/>
                <w:sz w:val="12"/>
                <w:szCs w:val="12"/>
              </w:rPr>
              <w:t>0,000</w:t>
            </w:r>
          </w:p>
        </w:tc>
        <w:tc>
          <w:tcPr>
            <w:tcW w:w="216" w:type="pct"/>
            <w:gridSpan w:val="2"/>
            <w:shd w:val="clear" w:color="auto" w:fill="auto"/>
            <w:tcMar>
              <w:left w:w="17" w:type="dxa"/>
              <w:right w:w="17" w:type="dxa"/>
            </w:tcMar>
            <w:vAlign w:val="center"/>
          </w:tcPr>
          <w:p w14:paraId="3BC9D891" w14:textId="77777777" w:rsidR="001C56BD" w:rsidRPr="00F92667" w:rsidRDefault="001C56BD" w:rsidP="008A5C11">
            <w:pPr>
              <w:jc w:val="center"/>
              <w:rPr>
                <w:color w:val="000000"/>
                <w:sz w:val="12"/>
                <w:szCs w:val="12"/>
              </w:rPr>
            </w:pPr>
            <w:r w:rsidRPr="00F92667">
              <w:rPr>
                <w:color w:val="000000"/>
                <w:sz w:val="12"/>
                <w:szCs w:val="12"/>
              </w:rPr>
              <w:t>153554,920</w:t>
            </w:r>
          </w:p>
        </w:tc>
        <w:tc>
          <w:tcPr>
            <w:tcW w:w="218" w:type="pct"/>
            <w:gridSpan w:val="2"/>
            <w:shd w:val="clear" w:color="auto" w:fill="auto"/>
            <w:tcMar>
              <w:left w:w="17" w:type="dxa"/>
              <w:right w:w="17" w:type="dxa"/>
            </w:tcMar>
            <w:vAlign w:val="center"/>
          </w:tcPr>
          <w:p w14:paraId="498613DC" w14:textId="77777777" w:rsidR="001C56BD" w:rsidRPr="00F92667" w:rsidRDefault="001C56BD" w:rsidP="008A5C11">
            <w:pPr>
              <w:jc w:val="center"/>
              <w:rPr>
                <w:color w:val="000000"/>
                <w:sz w:val="12"/>
                <w:szCs w:val="12"/>
              </w:rPr>
            </w:pPr>
            <w:r w:rsidRPr="00F92667">
              <w:rPr>
                <w:color w:val="000000"/>
                <w:sz w:val="12"/>
                <w:szCs w:val="12"/>
              </w:rPr>
              <w:t>110353,276</w:t>
            </w:r>
          </w:p>
        </w:tc>
        <w:tc>
          <w:tcPr>
            <w:tcW w:w="217" w:type="pct"/>
            <w:gridSpan w:val="2"/>
            <w:shd w:val="clear" w:color="auto" w:fill="auto"/>
            <w:tcMar>
              <w:left w:w="17" w:type="dxa"/>
              <w:right w:w="17" w:type="dxa"/>
            </w:tcMar>
            <w:vAlign w:val="center"/>
          </w:tcPr>
          <w:p w14:paraId="37B4A8F4" w14:textId="77777777" w:rsidR="001C56BD" w:rsidRPr="00F92667" w:rsidRDefault="001C56BD" w:rsidP="008A5C11">
            <w:pPr>
              <w:jc w:val="center"/>
              <w:rPr>
                <w:color w:val="000000"/>
                <w:sz w:val="12"/>
                <w:szCs w:val="12"/>
              </w:rPr>
            </w:pPr>
            <w:r w:rsidRPr="00F92667">
              <w:rPr>
                <w:color w:val="000000"/>
                <w:sz w:val="12"/>
                <w:szCs w:val="12"/>
              </w:rPr>
              <w:t>133173,080</w:t>
            </w:r>
          </w:p>
        </w:tc>
        <w:tc>
          <w:tcPr>
            <w:tcW w:w="218" w:type="pct"/>
            <w:gridSpan w:val="2"/>
            <w:shd w:val="clear" w:color="auto" w:fill="auto"/>
            <w:tcMar>
              <w:left w:w="17" w:type="dxa"/>
              <w:right w:w="17" w:type="dxa"/>
            </w:tcMar>
            <w:vAlign w:val="center"/>
          </w:tcPr>
          <w:p w14:paraId="28C25DCD" w14:textId="77777777" w:rsidR="001C56BD" w:rsidRPr="00F92667" w:rsidRDefault="001C56BD" w:rsidP="008A5C11">
            <w:pPr>
              <w:jc w:val="center"/>
              <w:rPr>
                <w:color w:val="000000"/>
                <w:sz w:val="12"/>
                <w:szCs w:val="12"/>
              </w:rPr>
            </w:pPr>
            <w:r w:rsidRPr="00F92667">
              <w:rPr>
                <w:color w:val="000000"/>
                <w:sz w:val="12"/>
                <w:szCs w:val="12"/>
              </w:rPr>
              <w:t>164364,185</w:t>
            </w:r>
          </w:p>
        </w:tc>
        <w:tc>
          <w:tcPr>
            <w:tcW w:w="217" w:type="pct"/>
            <w:gridSpan w:val="2"/>
            <w:shd w:val="clear" w:color="auto" w:fill="auto"/>
            <w:tcMar>
              <w:left w:w="17" w:type="dxa"/>
              <w:right w:w="17" w:type="dxa"/>
            </w:tcMar>
            <w:vAlign w:val="center"/>
          </w:tcPr>
          <w:p w14:paraId="43954E0D" w14:textId="77777777" w:rsidR="001C56BD" w:rsidRPr="00F92667" w:rsidRDefault="001C56BD" w:rsidP="008A5C11">
            <w:pPr>
              <w:jc w:val="center"/>
              <w:rPr>
                <w:color w:val="000000"/>
                <w:sz w:val="12"/>
                <w:szCs w:val="12"/>
              </w:rPr>
            </w:pPr>
            <w:r w:rsidRPr="00F92667">
              <w:rPr>
                <w:color w:val="000000"/>
                <w:sz w:val="12"/>
                <w:szCs w:val="12"/>
              </w:rPr>
              <w:t>153619,773</w:t>
            </w:r>
          </w:p>
        </w:tc>
        <w:tc>
          <w:tcPr>
            <w:tcW w:w="214" w:type="pct"/>
            <w:gridSpan w:val="2"/>
            <w:shd w:val="clear" w:color="auto" w:fill="auto"/>
            <w:tcMar>
              <w:left w:w="17" w:type="dxa"/>
              <w:right w:w="17" w:type="dxa"/>
            </w:tcMar>
            <w:vAlign w:val="center"/>
          </w:tcPr>
          <w:p w14:paraId="51E014A0" w14:textId="77777777" w:rsidR="001C56BD" w:rsidRPr="00F92667" w:rsidRDefault="001C56BD" w:rsidP="008A5C11">
            <w:pPr>
              <w:jc w:val="center"/>
              <w:rPr>
                <w:color w:val="000000"/>
                <w:sz w:val="12"/>
                <w:szCs w:val="12"/>
              </w:rPr>
            </w:pPr>
            <w:r w:rsidRPr="00F92667">
              <w:rPr>
                <w:color w:val="000000"/>
                <w:sz w:val="12"/>
                <w:szCs w:val="12"/>
              </w:rPr>
              <w:t>97615,534</w:t>
            </w:r>
          </w:p>
        </w:tc>
        <w:tc>
          <w:tcPr>
            <w:tcW w:w="217" w:type="pct"/>
            <w:gridSpan w:val="2"/>
            <w:shd w:val="clear" w:color="auto" w:fill="auto"/>
            <w:tcMar>
              <w:left w:w="17" w:type="dxa"/>
              <w:right w:w="17" w:type="dxa"/>
            </w:tcMar>
            <w:vAlign w:val="center"/>
          </w:tcPr>
          <w:p w14:paraId="1C84180B" w14:textId="77777777" w:rsidR="001C56BD" w:rsidRPr="00F92667" w:rsidRDefault="001C56BD" w:rsidP="008A5C11">
            <w:pPr>
              <w:jc w:val="center"/>
              <w:rPr>
                <w:color w:val="000000"/>
                <w:sz w:val="12"/>
                <w:szCs w:val="12"/>
              </w:rPr>
            </w:pPr>
            <w:r w:rsidRPr="00F92667">
              <w:rPr>
                <w:color w:val="000000"/>
                <w:sz w:val="12"/>
                <w:szCs w:val="12"/>
              </w:rPr>
              <w:t>81818,328</w:t>
            </w:r>
          </w:p>
        </w:tc>
        <w:tc>
          <w:tcPr>
            <w:tcW w:w="217" w:type="pct"/>
            <w:gridSpan w:val="2"/>
            <w:shd w:val="clear" w:color="auto" w:fill="auto"/>
            <w:tcMar>
              <w:left w:w="17" w:type="dxa"/>
              <w:right w:w="17" w:type="dxa"/>
            </w:tcMar>
            <w:vAlign w:val="center"/>
          </w:tcPr>
          <w:p w14:paraId="129B1047" w14:textId="77777777" w:rsidR="001C56BD" w:rsidRPr="00F92667" w:rsidRDefault="001C56BD" w:rsidP="008A5C11">
            <w:pPr>
              <w:jc w:val="center"/>
              <w:rPr>
                <w:color w:val="000000"/>
                <w:sz w:val="12"/>
                <w:szCs w:val="12"/>
              </w:rPr>
            </w:pPr>
            <w:r w:rsidRPr="00F92667">
              <w:rPr>
                <w:color w:val="000000"/>
                <w:sz w:val="12"/>
                <w:szCs w:val="12"/>
              </w:rPr>
              <w:t>99302,491</w:t>
            </w:r>
          </w:p>
        </w:tc>
        <w:tc>
          <w:tcPr>
            <w:tcW w:w="214" w:type="pct"/>
            <w:gridSpan w:val="2"/>
            <w:shd w:val="clear" w:color="auto" w:fill="auto"/>
            <w:tcMar>
              <w:left w:w="17" w:type="dxa"/>
              <w:right w:w="17" w:type="dxa"/>
            </w:tcMar>
            <w:vAlign w:val="center"/>
          </w:tcPr>
          <w:p w14:paraId="61CC22B2" w14:textId="77777777" w:rsidR="001C56BD" w:rsidRPr="00F92667" w:rsidRDefault="001C56BD" w:rsidP="008A5C11">
            <w:pPr>
              <w:jc w:val="center"/>
              <w:rPr>
                <w:color w:val="000000"/>
                <w:sz w:val="12"/>
                <w:szCs w:val="12"/>
              </w:rPr>
            </w:pPr>
            <w:r w:rsidRPr="00F92667">
              <w:rPr>
                <w:color w:val="000000"/>
                <w:sz w:val="12"/>
                <w:szCs w:val="12"/>
              </w:rPr>
              <w:t>73420,500</w:t>
            </w:r>
          </w:p>
        </w:tc>
        <w:tc>
          <w:tcPr>
            <w:tcW w:w="231" w:type="pct"/>
            <w:shd w:val="clear" w:color="auto" w:fill="auto"/>
            <w:tcMar>
              <w:left w:w="17" w:type="dxa"/>
              <w:right w:w="17" w:type="dxa"/>
            </w:tcMar>
            <w:vAlign w:val="center"/>
          </w:tcPr>
          <w:p w14:paraId="6F5BFBA0" w14:textId="77777777" w:rsidR="001C56BD" w:rsidRPr="00F92667" w:rsidRDefault="001C56BD" w:rsidP="008A5C11">
            <w:pPr>
              <w:jc w:val="center"/>
              <w:rPr>
                <w:color w:val="000000"/>
                <w:sz w:val="12"/>
                <w:szCs w:val="12"/>
              </w:rPr>
            </w:pPr>
            <w:r w:rsidRPr="00F92667">
              <w:rPr>
                <w:color w:val="000000"/>
                <w:sz w:val="12"/>
                <w:szCs w:val="12"/>
              </w:rPr>
              <w:t>82494,326</w:t>
            </w:r>
          </w:p>
        </w:tc>
        <w:tc>
          <w:tcPr>
            <w:tcW w:w="173" w:type="pct"/>
            <w:shd w:val="clear" w:color="auto" w:fill="auto"/>
            <w:tcMar>
              <w:left w:w="17" w:type="dxa"/>
              <w:right w:w="17" w:type="dxa"/>
            </w:tcMar>
            <w:vAlign w:val="center"/>
          </w:tcPr>
          <w:p w14:paraId="36D117B8" w14:textId="77777777" w:rsidR="001C56BD" w:rsidRPr="00F92667" w:rsidRDefault="001C56BD" w:rsidP="008A5C11">
            <w:pPr>
              <w:ind w:hanging="91"/>
              <w:jc w:val="center"/>
              <w:rPr>
                <w:color w:val="000000"/>
                <w:sz w:val="13"/>
                <w:szCs w:val="13"/>
              </w:rPr>
            </w:pPr>
            <w:r w:rsidRPr="00F92667">
              <w:rPr>
                <w:color w:val="000000"/>
                <w:sz w:val="13"/>
                <w:szCs w:val="13"/>
              </w:rPr>
              <w:t>0,00</w:t>
            </w:r>
          </w:p>
        </w:tc>
        <w:tc>
          <w:tcPr>
            <w:tcW w:w="169" w:type="pct"/>
            <w:shd w:val="clear" w:color="auto" w:fill="auto"/>
            <w:tcMar>
              <w:left w:w="17" w:type="dxa"/>
              <w:right w:w="17" w:type="dxa"/>
            </w:tcMar>
            <w:vAlign w:val="center"/>
          </w:tcPr>
          <w:p w14:paraId="0E87CB95" w14:textId="77777777" w:rsidR="001C56BD" w:rsidRPr="00F92667" w:rsidRDefault="001C56BD" w:rsidP="008A5C11">
            <w:pPr>
              <w:ind w:hanging="91"/>
              <w:jc w:val="center"/>
              <w:rPr>
                <w:color w:val="000000"/>
                <w:sz w:val="13"/>
                <w:szCs w:val="13"/>
              </w:rPr>
            </w:pPr>
            <w:r w:rsidRPr="00F92667">
              <w:rPr>
                <w:color w:val="000000"/>
                <w:sz w:val="13"/>
                <w:szCs w:val="13"/>
              </w:rPr>
              <w:t>0,00</w:t>
            </w:r>
          </w:p>
        </w:tc>
      </w:tr>
      <w:tr w:rsidR="001C56BD" w:rsidRPr="00F92667" w14:paraId="27922490" w14:textId="77777777" w:rsidTr="008A5C11">
        <w:trPr>
          <w:trHeight w:val="47"/>
        </w:trPr>
        <w:tc>
          <w:tcPr>
            <w:tcW w:w="5000" w:type="pct"/>
            <w:gridSpan w:val="36"/>
            <w:tcMar>
              <w:left w:w="17" w:type="dxa"/>
              <w:right w:w="17" w:type="dxa"/>
            </w:tcMar>
          </w:tcPr>
          <w:p w14:paraId="49BB0A97" w14:textId="77777777" w:rsidR="001C56BD" w:rsidRPr="00F92667" w:rsidRDefault="001C56BD" w:rsidP="008A5C11">
            <w:pPr>
              <w:rPr>
                <w:sz w:val="13"/>
                <w:szCs w:val="13"/>
              </w:rPr>
            </w:pPr>
            <w:r w:rsidRPr="00F92667">
              <w:rPr>
                <w:bCs/>
                <w:sz w:val="13"/>
                <w:szCs w:val="13"/>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1C56BD" w:rsidRPr="00F92667" w14:paraId="2851F883" w14:textId="77777777" w:rsidTr="008A5C11">
        <w:trPr>
          <w:trHeight w:val="47"/>
        </w:trPr>
        <w:tc>
          <w:tcPr>
            <w:tcW w:w="2088" w:type="pct"/>
            <w:gridSpan w:val="12"/>
            <w:shd w:val="clear" w:color="auto" w:fill="auto"/>
            <w:tcMar>
              <w:left w:w="17" w:type="dxa"/>
              <w:right w:w="17" w:type="dxa"/>
            </w:tcMar>
            <w:vAlign w:val="center"/>
          </w:tcPr>
          <w:p w14:paraId="2C917CC2" w14:textId="77777777" w:rsidR="001C56BD" w:rsidRPr="00F92667" w:rsidRDefault="001C56BD" w:rsidP="008A5C11">
            <w:pPr>
              <w:rPr>
                <w:sz w:val="13"/>
                <w:szCs w:val="13"/>
              </w:rPr>
            </w:pPr>
            <w:r w:rsidRPr="00F92667">
              <w:rPr>
                <w:sz w:val="13"/>
                <w:szCs w:val="13"/>
              </w:rPr>
              <w:t>Всего по группе 4.</w:t>
            </w:r>
          </w:p>
        </w:tc>
        <w:tc>
          <w:tcPr>
            <w:tcW w:w="217" w:type="pct"/>
            <w:gridSpan w:val="2"/>
            <w:shd w:val="clear" w:color="auto" w:fill="auto"/>
            <w:tcMar>
              <w:left w:w="17" w:type="dxa"/>
              <w:right w:w="17" w:type="dxa"/>
            </w:tcMar>
            <w:vAlign w:val="center"/>
          </w:tcPr>
          <w:p w14:paraId="646BED26" w14:textId="77777777" w:rsidR="001C56BD" w:rsidRPr="00F92667" w:rsidRDefault="001C56BD" w:rsidP="008A5C11">
            <w:pPr>
              <w:jc w:val="center"/>
              <w:rPr>
                <w:sz w:val="13"/>
                <w:szCs w:val="13"/>
              </w:rPr>
            </w:pPr>
            <w:r w:rsidRPr="00F92667">
              <w:rPr>
                <w:sz w:val="13"/>
                <w:szCs w:val="13"/>
              </w:rPr>
              <w:t>0,000</w:t>
            </w:r>
          </w:p>
        </w:tc>
        <w:tc>
          <w:tcPr>
            <w:tcW w:w="174" w:type="pct"/>
            <w:shd w:val="clear" w:color="auto" w:fill="auto"/>
            <w:tcMar>
              <w:left w:w="17" w:type="dxa"/>
              <w:right w:w="17" w:type="dxa"/>
            </w:tcMar>
            <w:vAlign w:val="center"/>
          </w:tcPr>
          <w:p w14:paraId="1B75C05F" w14:textId="77777777" w:rsidR="001C56BD" w:rsidRPr="00F92667" w:rsidRDefault="001C56BD" w:rsidP="008A5C11">
            <w:pPr>
              <w:jc w:val="center"/>
              <w:rPr>
                <w:sz w:val="12"/>
                <w:szCs w:val="12"/>
              </w:rPr>
            </w:pPr>
            <w:r w:rsidRPr="00F92667">
              <w:rPr>
                <w:sz w:val="12"/>
                <w:szCs w:val="12"/>
              </w:rPr>
              <w:t>0,000</w:t>
            </w:r>
          </w:p>
        </w:tc>
        <w:tc>
          <w:tcPr>
            <w:tcW w:w="216" w:type="pct"/>
            <w:gridSpan w:val="2"/>
            <w:shd w:val="clear" w:color="auto" w:fill="auto"/>
            <w:tcMar>
              <w:left w:w="17" w:type="dxa"/>
              <w:right w:w="17" w:type="dxa"/>
            </w:tcMar>
            <w:vAlign w:val="center"/>
          </w:tcPr>
          <w:p w14:paraId="0F61AFC4" w14:textId="77777777" w:rsidR="001C56BD" w:rsidRPr="00F92667" w:rsidRDefault="001C56BD" w:rsidP="008A5C11">
            <w:pPr>
              <w:jc w:val="center"/>
              <w:rPr>
                <w:sz w:val="12"/>
                <w:szCs w:val="12"/>
              </w:rPr>
            </w:pPr>
            <w:r w:rsidRPr="00F92667">
              <w:rPr>
                <w:sz w:val="12"/>
                <w:szCs w:val="12"/>
              </w:rPr>
              <w:t>0,000</w:t>
            </w:r>
          </w:p>
        </w:tc>
        <w:tc>
          <w:tcPr>
            <w:tcW w:w="218" w:type="pct"/>
            <w:gridSpan w:val="2"/>
            <w:shd w:val="clear" w:color="auto" w:fill="auto"/>
            <w:tcMar>
              <w:left w:w="17" w:type="dxa"/>
              <w:right w:w="17" w:type="dxa"/>
            </w:tcMar>
            <w:vAlign w:val="center"/>
          </w:tcPr>
          <w:p w14:paraId="31A0AEF9"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7C6545D8" w14:textId="77777777" w:rsidR="001C56BD" w:rsidRPr="00F92667" w:rsidRDefault="001C56BD" w:rsidP="008A5C11">
            <w:pPr>
              <w:jc w:val="center"/>
              <w:rPr>
                <w:sz w:val="12"/>
                <w:szCs w:val="12"/>
              </w:rPr>
            </w:pPr>
            <w:r w:rsidRPr="00F92667">
              <w:rPr>
                <w:sz w:val="12"/>
                <w:szCs w:val="12"/>
              </w:rPr>
              <w:t>0,000</w:t>
            </w:r>
          </w:p>
        </w:tc>
        <w:tc>
          <w:tcPr>
            <w:tcW w:w="218" w:type="pct"/>
            <w:gridSpan w:val="2"/>
            <w:shd w:val="clear" w:color="auto" w:fill="auto"/>
            <w:tcMar>
              <w:left w:w="17" w:type="dxa"/>
              <w:right w:w="17" w:type="dxa"/>
            </w:tcMar>
            <w:vAlign w:val="center"/>
          </w:tcPr>
          <w:p w14:paraId="543562EF" w14:textId="77777777" w:rsidR="001C56BD" w:rsidRPr="00F92667" w:rsidRDefault="001C56BD" w:rsidP="008A5C11">
            <w:pPr>
              <w:jc w:val="center"/>
              <w:rPr>
                <w:sz w:val="12"/>
                <w:szCs w:val="12"/>
              </w:rPr>
            </w:pPr>
            <w:r w:rsidRPr="00F92667">
              <w:rPr>
                <w:sz w:val="12"/>
                <w:szCs w:val="12"/>
              </w:rPr>
              <w:t>0,000</w:t>
            </w:r>
          </w:p>
        </w:tc>
        <w:tc>
          <w:tcPr>
            <w:tcW w:w="217" w:type="pct"/>
            <w:gridSpan w:val="2"/>
            <w:tcMar>
              <w:left w:w="17" w:type="dxa"/>
              <w:right w:w="17" w:type="dxa"/>
            </w:tcMar>
            <w:vAlign w:val="center"/>
          </w:tcPr>
          <w:p w14:paraId="1F214138" w14:textId="77777777" w:rsidR="001C56BD" w:rsidRPr="00F92667" w:rsidRDefault="001C56BD" w:rsidP="008A5C11">
            <w:pPr>
              <w:jc w:val="center"/>
              <w:rPr>
                <w:sz w:val="12"/>
                <w:szCs w:val="12"/>
              </w:rPr>
            </w:pPr>
            <w:r w:rsidRPr="00F92667">
              <w:rPr>
                <w:sz w:val="12"/>
                <w:szCs w:val="12"/>
              </w:rPr>
              <w:t>0,000</w:t>
            </w:r>
          </w:p>
        </w:tc>
        <w:tc>
          <w:tcPr>
            <w:tcW w:w="214" w:type="pct"/>
            <w:gridSpan w:val="2"/>
            <w:tcMar>
              <w:left w:w="17" w:type="dxa"/>
              <w:right w:w="17" w:type="dxa"/>
            </w:tcMar>
            <w:vAlign w:val="center"/>
          </w:tcPr>
          <w:p w14:paraId="59CFC561" w14:textId="77777777" w:rsidR="001C56BD" w:rsidRPr="00F92667" w:rsidRDefault="001C56BD" w:rsidP="008A5C11">
            <w:pPr>
              <w:jc w:val="center"/>
              <w:rPr>
                <w:sz w:val="12"/>
                <w:szCs w:val="12"/>
              </w:rPr>
            </w:pPr>
            <w:r w:rsidRPr="00F92667">
              <w:rPr>
                <w:sz w:val="12"/>
                <w:szCs w:val="12"/>
              </w:rPr>
              <w:t>0,000</w:t>
            </w:r>
          </w:p>
        </w:tc>
        <w:tc>
          <w:tcPr>
            <w:tcW w:w="217" w:type="pct"/>
            <w:gridSpan w:val="2"/>
            <w:tcMar>
              <w:left w:w="17" w:type="dxa"/>
              <w:right w:w="17" w:type="dxa"/>
            </w:tcMar>
            <w:vAlign w:val="center"/>
          </w:tcPr>
          <w:p w14:paraId="12D3F162" w14:textId="77777777" w:rsidR="001C56BD" w:rsidRPr="00F92667" w:rsidRDefault="001C56BD" w:rsidP="008A5C11">
            <w:pPr>
              <w:jc w:val="center"/>
              <w:rPr>
                <w:sz w:val="12"/>
                <w:szCs w:val="12"/>
              </w:rPr>
            </w:pPr>
            <w:r w:rsidRPr="00F92667">
              <w:rPr>
                <w:sz w:val="12"/>
                <w:szCs w:val="12"/>
              </w:rPr>
              <w:t>0,000</w:t>
            </w:r>
          </w:p>
        </w:tc>
        <w:tc>
          <w:tcPr>
            <w:tcW w:w="217" w:type="pct"/>
            <w:gridSpan w:val="2"/>
            <w:tcMar>
              <w:left w:w="17" w:type="dxa"/>
              <w:right w:w="17" w:type="dxa"/>
            </w:tcMar>
            <w:vAlign w:val="center"/>
          </w:tcPr>
          <w:p w14:paraId="67DFF997" w14:textId="77777777" w:rsidR="001C56BD" w:rsidRPr="00F92667" w:rsidRDefault="001C56BD" w:rsidP="008A5C11">
            <w:pPr>
              <w:jc w:val="center"/>
              <w:rPr>
                <w:sz w:val="12"/>
                <w:szCs w:val="12"/>
              </w:rPr>
            </w:pPr>
            <w:r w:rsidRPr="00F92667">
              <w:rPr>
                <w:sz w:val="12"/>
                <w:szCs w:val="12"/>
              </w:rPr>
              <w:t>0,000</w:t>
            </w:r>
          </w:p>
        </w:tc>
        <w:tc>
          <w:tcPr>
            <w:tcW w:w="214" w:type="pct"/>
            <w:gridSpan w:val="2"/>
            <w:tcMar>
              <w:left w:w="17" w:type="dxa"/>
              <w:right w:w="17" w:type="dxa"/>
            </w:tcMar>
            <w:vAlign w:val="center"/>
          </w:tcPr>
          <w:p w14:paraId="16771084" w14:textId="77777777" w:rsidR="001C56BD" w:rsidRPr="00F92667" w:rsidRDefault="001C56BD" w:rsidP="008A5C11">
            <w:pPr>
              <w:jc w:val="center"/>
              <w:rPr>
                <w:sz w:val="12"/>
                <w:szCs w:val="12"/>
              </w:rPr>
            </w:pPr>
            <w:r w:rsidRPr="00F92667">
              <w:rPr>
                <w:sz w:val="12"/>
                <w:szCs w:val="12"/>
              </w:rPr>
              <w:t>0,000</w:t>
            </w:r>
          </w:p>
        </w:tc>
        <w:tc>
          <w:tcPr>
            <w:tcW w:w="231" w:type="pct"/>
            <w:tcMar>
              <w:left w:w="17" w:type="dxa"/>
              <w:right w:w="17" w:type="dxa"/>
            </w:tcMar>
            <w:vAlign w:val="center"/>
          </w:tcPr>
          <w:p w14:paraId="70C158B0" w14:textId="77777777" w:rsidR="001C56BD" w:rsidRPr="00F92667" w:rsidRDefault="001C56BD" w:rsidP="008A5C11">
            <w:pPr>
              <w:jc w:val="center"/>
              <w:rPr>
                <w:sz w:val="12"/>
                <w:szCs w:val="12"/>
              </w:rPr>
            </w:pPr>
            <w:r w:rsidRPr="00F92667">
              <w:rPr>
                <w:sz w:val="12"/>
                <w:szCs w:val="12"/>
              </w:rPr>
              <w:t>0,000</w:t>
            </w:r>
          </w:p>
        </w:tc>
        <w:tc>
          <w:tcPr>
            <w:tcW w:w="173" w:type="pct"/>
            <w:tcMar>
              <w:left w:w="17" w:type="dxa"/>
              <w:right w:w="17" w:type="dxa"/>
            </w:tcMar>
            <w:vAlign w:val="center"/>
          </w:tcPr>
          <w:p w14:paraId="447455BE" w14:textId="77777777" w:rsidR="001C56BD" w:rsidRPr="00F92667" w:rsidRDefault="001C56BD" w:rsidP="008A5C11">
            <w:pPr>
              <w:jc w:val="center"/>
              <w:rPr>
                <w:sz w:val="12"/>
                <w:szCs w:val="12"/>
              </w:rPr>
            </w:pPr>
            <w:r w:rsidRPr="00F92667">
              <w:rPr>
                <w:sz w:val="12"/>
                <w:szCs w:val="12"/>
              </w:rPr>
              <w:t>0,000</w:t>
            </w:r>
          </w:p>
        </w:tc>
        <w:tc>
          <w:tcPr>
            <w:tcW w:w="169" w:type="pct"/>
            <w:tcMar>
              <w:left w:w="17" w:type="dxa"/>
              <w:right w:w="17" w:type="dxa"/>
            </w:tcMar>
            <w:vAlign w:val="center"/>
          </w:tcPr>
          <w:p w14:paraId="3E0A32F7" w14:textId="77777777" w:rsidR="001C56BD" w:rsidRPr="00F92667" w:rsidRDefault="001C56BD" w:rsidP="008A5C11">
            <w:pPr>
              <w:jc w:val="center"/>
              <w:rPr>
                <w:sz w:val="12"/>
                <w:szCs w:val="12"/>
              </w:rPr>
            </w:pPr>
            <w:r w:rsidRPr="00F92667">
              <w:rPr>
                <w:sz w:val="12"/>
                <w:szCs w:val="12"/>
              </w:rPr>
              <w:t>0,000</w:t>
            </w:r>
          </w:p>
        </w:tc>
      </w:tr>
      <w:tr w:rsidR="001C56BD" w:rsidRPr="00F92667" w14:paraId="7878247B" w14:textId="77777777" w:rsidTr="008A5C11">
        <w:trPr>
          <w:trHeight w:val="122"/>
        </w:trPr>
        <w:tc>
          <w:tcPr>
            <w:tcW w:w="5000" w:type="pct"/>
            <w:gridSpan w:val="36"/>
            <w:tcMar>
              <w:left w:w="17" w:type="dxa"/>
              <w:right w:w="17" w:type="dxa"/>
            </w:tcMar>
          </w:tcPr>
          <w:p w14:paraId="6BB777B4" w14:textId="77777777" w:rsidR="001C56BD" w:rsidRPr="00F92667" w:rsidRDefault="001C56BD" w:rsidP="008A5C11">
            <w:pPr>
              <w:rPr>
                <w:bCs/>
                <w:sz w:val="13"/>
                <w:szCs w:val="13"/>
              </w:rPr>
            </w:pPr>
            <w:r w:rsidRPr="00F92667">
              <w:rPr>
                <w:bCs/>
                <w:sz w:val="13"/>
                <w:szCs w:val="13"/>
              </w:rPr>
              <w:t>Группа 5. Вывод из эксплуатации, консервация и демонтаж объектов системы централизованного теплоснабжения</w:t>
            </w:r>
          </w:p>
        </w:tc>
      </w:tr>
      <w:tr w:rsidR="001C56BD" w:rsidRPr="00F92667" w14:paraId="434F21CD" w14:textId="77777777" w:rsidTr="008A5C11">
        <w:trPr>
          <w:trHeight w:val="96"/>
        </w:trPr>
        <w:tc>
          <w:tcPr>
            <w:tcW w:w="5000" w:type="pct"/>
            <w:gridSpan w:val="36"/>
            <w:tcMar>
              <w:left w:w="17" w:type="dxa"/>
              <w:right w:w="17" w:type="dxa"/>
            </w:tcMar>
          </w:tcPr>
          <w:p w14:paraId="341C78B2" w14:textId="77777777" w:rsidR="001C56BD" w:rsidRPr="00F92667" w:rsidRDefault="001C56BD" w:rsidP="008A5C11">
            <w:pPr>
              <w:rPr>
                <w:bCs/>
                <w:sz w:val="13"/>
                <w:szCs w:val="13"/>
              </w:rPr>
            </w:pPr>
            <w:r w:rsidRPr="00F92667">
              <w:rPr>
                <w:bCs/>
                <w:sz w:val="13"/>
                <w:szCs w:val="13"/>
              </w:rPr>
              <w:t>5.1. Вывод из эксплуатации, консервация и демонтаж тепловых сетей</w:t>
            </w:r>
          </w:p>
        </w:tc>
      </w:tr>
      <w:tr w:rsidR="001C56BD" w:rsidRPr="00F92667" w14:paraId="53D1F059" w14:textId="77777777" w:rsidTr="008A5C11">
        <w:trPr>
          <w:trHeight w:val="60"/>
        </w:trPr>
        <w:tc>
          <w:tcPr>
            <w:tcW w:w="5000" w:type="pct"/>
            <w:gridSpan w:val="36"/>
            <w:tcMar>
              <w:left w:w="17" w:type="dxa"/>
              <w:right w:w="17" w:type="dxa"/>
            </w:tcMar>
          </w:tcPr>
          <w:p w14:paraId="4DD086D8" w14:textId="77777777" w:rsidR="001C56BD" w:rsidRPr="00F92667" w:rsidRDefault="001C56BD" w:rsidP="008A5C11">
            <w:pPr>
              <w:rPr>
                <w:bCs/>
                <w:sz w:val="13"/>
                <w:szCs w:val="13"/>
              </w:rPr>
            </w:pPr>
            <w:r w:rsidRPr="00F92667">
              <w:rPr>
                <w:bCs/>
                <w:sz w:val="13"/>
                <w:szCs w:val="13"/>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1C56BD" w:rsidRPr="00F92667" w14:paraId="57BB4807" w14:textId="77777777" w:rsidTr="008A5C11">
        <w:trPr>
          <w:trHeight w:val="47"/>
        </w:trPr>
        <w:tc>
          <w:tcPr>
            <w:tcW w:w="2088" w:type="pct"/>
            <w:gridSpan w:val="12"/>
            <w:shd w:val="clear" w:color="auto" w:fill="auto"/>
            <w:tcMar>
              <w:left w:w="17" w:type="dxa"/>
              <w:right w:w="17" w:type="dxa"/>
            </w:tcMar>
            <w:vAlign w:val="center"/>
            <w:hideMark/>
          </w:tcPr>
          <w:p w14:paraId="37FE650B" w14:textId="77777777" w:rsidR="001C56BD" w:rsidRPr="00F92667" w:rsidRDefault="001C56BD" w:rsidP="008A5C11">
            <w:pPr>
              <w:rPr>
                <w:sz w:val="13"/>
                <w:szCs w:val="13"/>
              </w:rPr>
            </w:pPr>
            <w:r w:rsidRPr="00F92667">
              <w:rPr>
                <w:sz w:val="13"/>
                <w:szCs w:val="13"/>
              </w:rPr>
              <w:t>Всего по группе 5.</w:t>
            </w:r>
          </w:p>
        </w:tc>
        <w:tc>
          <w:tcPr>
            <w:tcW w:w="217" w:type="pct"/>
            <w:gridSpan w:val="2"/>
            <w:shd w:val="clear" w:color="auto" w:fill="auto"/>
            <w:tcMar>
              <w:left w:w="17" w:type="dxa"/>
              <w:right w:w="17" w:type="dxa"/>
            </w:tcMar>
            <w:vAlign w:val="center"/>
          </w:tcPr>
          <w:p w14:paraId="35772140" w14:textId="77777777" w:rsidR="001C56BD" w:rsidRPr="00F92667" w:rsidRDefault="001C56BD" w:rsidP="008A5C11">
            <w:pPr>
              <w:jc w:val="center"/>
              <w:rPr>
                <w:sz w:val="12"/>
                <w:szCs w:val="12"/>
              </w:rPr>
            </w:pPr>
            <w:r w:rsidRPr="00F92667">
              <w:rPr>
                <w:sz w:val="12"/>
                <w:szCs w:val="12"/>
              </w:rPr>
              <w:t>0,000</w:t>
            </w:r>
          </w:p>
        </w:tc>
        <w:tc>
          <w:tcPr>
            <w:tcW w:w="174" w:type="pct"/>
            <w:shd w:val="clear" w:color="auto" w:fill="auto"/>
            <w:tcMar>
              <w:left w:w="17" w:type="dxa"/>
              <w:right w:w="17" w:type="dxa"/>
            </w:tcMar>
            <w:vAlign w:val="center"/>
          </w:tcPr>
          <w:p w14:paraId="36436E51" w14:textId="77777777" w:rsidR="001C56BD" w:rsidRPr="00F92667" w:rsidRDefault="001C56BD" w:rsidP="008A5C11">
            <w:pPr>
              <w:jc w:val="center"/>
              <w:rPr>
                <w:sz w:val="12"/>
                <w:szCs w:val="12"/>
              </w:rPr>
            </w:pPr>
            <w:r w:rsidRPr="00F92667">
              <w:rPr>
                <w:sz w:val="12"/>
                <w:szCs w:val="12"/>
              </w:rPr>
              <w:t>0,000</w:t>
            </w:r>
          </w:p>
        </w:tc>
        <w:tc>
          <w:tcPr>
            <w:tcW w:w="216" w:type="pct"/>
            <w:gridSpan w:val="2"/>
            <w:shd w:val="clear" w:color="auto" w:fill="auto"/>
            <w:tcMar>
              <w:left w:w="17" w:type="dxa"/>
              <w:right w:w="17" w:type="dxa"/>
            </w:tcMar>
            <w:vAlign w:val="center"/>
          </w:tcPr>
          <w:p w14:paraId="53EBD9A3" w14:textId="77777777" w:rsidR="001C56BD" w:rsidRPr="00F92667" w:rsidRDefault="001C56BD" w:rsidP="008A5C11">
            <w:pPr>
              <w:jc w:val="center"/>
              <w:rPr>
                <w:sz w:val="12"/>
                <w:szCs w:val="12"/>
              </w:rPr>
            </w:pPr>
            <w:r w:rsidRPr="00F92667">
              <w:rPr>
                <w:sz w:val="12"/>
                <w:szCs w:val="12"/>
              </w:rPr>
              <w:t>0,000</w:t>
            </w:r>
          </w:p>
        </w:tc>
        <w:tc>
          <w:tcPr>
            <w:tcW w:w="218" w:type="pct"/>
            <w:gridSpan w:val="2"/>
            <w:shd w:val="clear" w:color="auto" w:fill="auto"/>
            <w:tcMar>
              <w:left w:w="17" w:type="dxa"/>
              <w:right w:w="17" w:type="dxa"/>
            </w:tcMar>
            <w:vAlign w:val="center"/>
          </w:tcPr>
          <w:p w14:paraId="1A09359B" w14:textId="77777777" w:rsidR="001C56BD" w:rsidRPr="00F92667" w:rsidRDefault="001C56BD" w:rsidP="008A5C11">
            <w:pPr>
              <w:jc w:val="center"/>
              <w:rPr>
                <w:sz w:val="12"/>
                <w:szCs w:val="12"/>
              </w:rPr>
            </w:pPr>
            <w:r w:rsidRPr="00F92667">
              <w:rPr>
                <w:sz w:val="12"/>
                <w:szCs w:val="12"/>
              </w:rPr>
              <w:t>0,000</w:t>
            </w:r>
          </w:p>
        </w:tc>
        <w:tc>
          <w:tcPr>
            <w:tcW w:w="217" w:type="pct"/>
            <w:gridSpan w:val="2"/>
            <w:shd w:val="clear" w:color="auto" w:fill="auto"/>
            <w:tcMar>
              <w:left w:w="17" w:type="dxa"/>
              <w:right w:w="17" w:type="dxa"/>
            </w:tcMar>
            <w:vAlign w:val="center"/>
          </w:tcPr>
          <w:p w14:paraId="6E5A4AA8" w14:textId="77777777" w:rsidR="001C56BD" w:rsidRPr="00F92667" w:rsidRDefault="001C56BD" w:rsidP="008A5C11">
            <w:pPr>
              <w:jc w:val="center"/>
              <w:rPr>
                <w:sz w:val="12"/>
                <w:szCs w:val="12"/>
              </w:rPr>
            </w:pPr>
            <w:r w:rsidRPr="00F92667">
              <w:rPr>
                <w:sz w:val="12"/>
                <w:szCs w:val="12"/>
              </w:rPr>
              <w:t>0,000</w:t>
            </w:r>
          </w:p>
        </w:tc>
        <w:tc>
          <w:tcPr>
            <w:tcW w:w="218" w:type="pct"/>
            <w:gridSpan w:val="2"/>
            <w:tcMar>
              <w:left w:w="17" w:type="dxa"/>
              <w:right w:w="17" w:type="dxa"/>
            </w:tcMar>
            <w:vAlign w:val="center"/>
          </w:tcPr>
          <w:p w14:paraId="18EEF696" w14:textId="77777777" w:rsidR="001C56BD" w:rsidRPr="00F92667" w:rsidRDefault="001C56BD" w:rsidP="008A5C11">
            <w:pPr>
              <w:jc w:val="center"/>
              <w:rPr>
                <w:sz w:val="12"/>
                <w:szCs w:val="12"/>
              </w:rPr>
            </w:pPr>
            <w:r w:rsidRPr="00F92667">
              <w:rPr>
                <w:sz w:val="12"/>
                <w:szCs w:val="12"/>
              </w:rPr>
              <w:t>0,000</w:t>
            </w:r>
          </w:p>
        </w:tc>
        <w:tc>
          <w:tcPr>
            <w:tcW w:w="217" w:type="pct"/>
            <w:gridSpan w:val="2"/>
            <w:tcMar>
              <w:left w:w="17" w:type="dxa"/>
              <w:right w:w="17" w:type="dxa"/>
            </w:tcMar>
            <w:vAlign w:val="center"/>
          </w:tcPr>
          <w:p w14:paraId="22768D2B" w14:textId="77777777" w:rsidR="001C56BD" w:rsidRPr="00F92667" w:rsidRDefault="001C56BD" w:rsidP="008A5C11">
            <w:pPr>
              <w:jc w:val="center"/>
              <w:rPr>
                <w:sz w:val="12"/>
                <w:szCs w:val="12"/>
              </w:rPr>
            </w:pPr>
            <w:r w:rsidRPr="00F92667">
              <w:rPr>
                <w:sz w:val="12"/>
                <w:szCs w:val="12"/>
              </w:rPr>
              <w:t>0,000</w:t>
            </w:r>
          </w:p>
        </w:tc>
        <w:tc>
          <w:tcPr>
            <w:tcW w:w="214" w:type="pct"/>
            <w:gridSpan w:val="2"/>
            <w:tcMar>
              <w:left w:w="17" w:type="dxa"/>
              <w:right w:w="17" w:type="dxa"/>
            </w:tcMar>
            <w:vAlign w:val="center"/>
          </w:tcPr>
          <w:p w14:paraId="391278B2" w14:textId="77777777" w:rsidR="001C56BD" w:rsidRPr="00F92667" w:rsidRDefault="001C56BD" w:rsidP="008A5C11">
            <w:pPr>
              <w:jc w:val="center"/>
              <w:rPr>
                <w:sz w:val="12"/>
                <w:szCs w:val="12"/>
              </w:rPr>
            </w:pPr>
            <w:r w:rsidRPr="00F92667">
              <w:rPr>
                <w:sz w:val="12"/>
                <w:szCs w:val="12"/>
              </w:rPr>
              <w:t>0,000</w:t>
            </w:r>
          </w:p>
        </w:tc>
        <w:tc>
          <w:tcPr>
            <w:tcW w:w="217" w:type="pct"/>
            <w:gridSpan w:val="2"/>
            <w:tcMar>
              <w:left w:w="17" w:type="dxa"/>
              <w:right w:w="17" w:type="dxa"/>
            </w:tcMar>
            <w:vAlign w:val="center"/>
          </w:tcPr>
          <w:p w14:paraId="14AD28D9" w14:textId="77777777" w:rsidR="001C56BD" w:rsidRPr="00F92667" w:rsidRDefault="001C56BD" w:rsidP="008A5C11">
            <w:pPr>
              <w:jc w:val="center"/>
              <w:rPr>
                <w:sz w:val="12"/>
                <w:szCs w:val="12"/>
              </w:rPr>
            </w:pPr>
            <w:r w:rsidRPr="00F92667">
              <w:rPr>
                <w:sz w:val="12"/>
                <w:szCs w:val="12"/>
              </w:rPr>
              <w:t>0,000</w:t>
            </w:r>
          </w:p>
        </w:tc>
        <w:tc>
          <w:tcPr>
            <w:tcW w:w="217" w:type="pct"/>
            <w:gridSpan w:val="2"/>
            <w:tcMar>
              <w:left w:w="17" w:type="dxa"/>
              <w:right w:w="17" w:type="dxa"/>
            </w:tcMar>
            <w:vAlign w:val="center"/>
          </w:tcPr>
          <w:p w14:paraId="5204BAB0" w14:textId="77777777" w:rsidR="001C56BD" w:rsidRPr="00F92667" w:rsidRDefault="001C56BD" w:rsidP="008A5C11">
            <w:pPr>
              <w:jc w:val="center"/>
              <w:rPr>
                <w:sz w:val="12"/>
                <w:szCs w:val="12"/>
              </w:rPr>
            </w:pPr>
            <w:r w:rsidRPr="00F92667">
              <w:rPr>
                <w:sz w:val="12"/>
                <w:szCs w:val="12"/>
              </w:rPr>
              <w:t>0,000</w:t>
            </w:r>
          </w:p>
        </w:tc>
        <w:tc>
          <w:tcPr>
            <w:tcW w:w="214" w:type="pct"/>
            <w:gridSpan w:val="2"/>
            <w:tcMar>
              <w:left w:w="17" w:type="dxa"/>
              <w:right w:w="17" w:type="dxa"/>
            </w:tcMar>
            <w:vAlign w:val="center"/>
          </w:tcPr>
          <w:p w14:paraId="1A7AD213" w14:textId="77777777" w:rsidR="001C56BD" w:rsidRPr="00F92667" w:rsidRDefault="001C56BD" w:rsidP="008A5C11">
            <w:pPr>
              <w:jc w:val="center"/>
              <w:rPr>
                <w:sz w:val="12"/>
                <w:szCs w:val="12"/>
              </w:rPr>
            </w:pPr>
            <w:r w:rsidRPr="00F92667">
              <w:rPr>
                <w:sz w:val="12"/>
                <w:szCs w:val="12"/>
              </w:rPr>
              <w:t>0,000</w:t>
            </w:r>
          </w:p>
        </w:tc>
        <w:tc>
          <w:tcPr>
            <w:tcW w:w="231" w:type="pct"/>
            <w:tcMar>
              <w:left w:w="17" w:type="dxa"/>
              <w:right w:w="17" w:type="dxa"/>
            </w:tcMar>
            <w:vAlign w:val="center"/>
          </w:tcPr>
          <w:p w14:paraId="74D9D819" w14:textId="77777777" w:rsidR="001C56BD" w:rsidRPr="00F92667" w:rsidRDefault="001C56BD" w:rsidP="008A5C11">
            <w:pPr>
              <w:jc w:val="center"/>
              <w:rPr>
                <w:sz w:val="12"/>
                <w:szCs w:val="12"/>
              </w:rPr>
            </w:pPr>
            <w:r w:rsidRPr="00F92667">
              <w:rPr>
                <w:sz w:val="12"/>
                <w:szCs w:val="12"/>
              </w:rPr>
              <w:t>0,000</w:t>
            </w:r>
          </w:p>
        </w:tc>
        <w:tc>
          <w:tcPr>
            <w:tcW w:w="173" w:type="pct"/>
            <w:tcMar>
              <w:left w:w="17" w:type="dxa"/>
              <w:right w:w="17" w:type="dxa"/>
            </w:tcMar>
            <w:vAlign w:val="center"/>
          </w:tcPr>
          <w:p w14:paraId="644435EF" w14:textId="77777777" w:rsidR="001C56BD" w:rsidRPr="00F92667" w:rsidRDefault="001C56BD" w:rsidP="008A5C11">
            <w:pPr>
              <w:jc w:val="center"/>
              <w:rPr>
                <w:sz w:val="12"/>
                <w:szCs w:val="12"/>
              </w:rPr>
            </w:pPr>
            <w:r w:rsidRPr="00F92667">
              <w:rPr>
                <w:sz w:val="12"/>
                <w:szCs w:val="12"/>
              </w:rPr>
              <w:t>0,000</w:t>
            </w:r>
          </w:p>
        </w:tc>
        <w:tc>
          <w:tcPr>
            <w:tcW w:w="169" w:type="pct"/>
            <w:tcMar>
              <w:left w:w="17" w:type="dxa"/>
              <w:right w:w="17" w:type="dxa"/>
            </w:tcMar>
            <w:vAlign w:val="center"/>
          </w:tcPr>
          <w:p w14:paraId="27D5FF99" w14:textId="77777777" w:rsidR="001C56BD" w:rsidRPr="00F92667" w:rsidRDefault="001C56BD" w:rsidP="008A5C11">
            <w:pPr>
              <w:jc w:val="center"/>
              <w:rPr>
                <w:sz w:val="12"/>
                <w:szCs w:val="12"/>
              </w:rPr>
            </w:pPr>
            <w:r w:rsidRPr="00F92667">
              <w:rPr>
                <w:sz w:val="12"/>
                <w:szCs w:val="12"/>
              </w:rPr>
              <w:t>0,000</w:t>
            </w:r>
          </w:p>
        </w:tc>
      </w:tr>
      <w:tr w:rsidR="001C56BD" w:rsidRPr="00F92667" w14:paraId="6F849CF4" w14:textId="77777777" w:rsidTr="008A5C11">
        <w:trPr>
          <w:trHeight w:val="47"/>
        </w:trPr>
        <w:tc>
          <w:tcPr>
            <w:tcW w:w="2088" w:type="pct"/>
            <w:gridSpan w:val="12"/>
            <w:shd w:val="clear" w:color="auto" w:fill="auto"/>
            <w:tcMar>
              <w:left w:w="17" w:type="dxa"/>
              <w:right w:w="17" w:type="dxa"/>
            </w:tcMar>
            <w:vAlign w:val="center"/>
            <w:hideMark/>
          </w:tcPr>
          <w:p w14:paraId="46C71E44" w14:textId="77777777" w:rsidR="001C56BD" w:rsidRPr="00F92667" w:rsidRDefault="001C56BD" w:rsidP="008A5C11">
            <w:pPr>
              <w:rPr>
                <w:sz w:val="13"/>
                <w:szCs w:val="13"/>
              </w:rPr>
            </w:pPr>
            <w:r w:rsidRPr="00F92667">
              <w:rPr>
                <w:sz w:val="13"/>
                <w:szCs w:val="13"/>
              </w:rPr>
              <w:t>ИТОГО по программе</w:t>
            </w:r>
          </w:p>
        </w:tc>
        <w:tc>
          <w:tcPr>
            <w:tcW w:w="217" w:type="pct"/>
            <w:gridSpan w:val="2"/>
            <w:shd w:val="clear" w:color="auto" w:fill="auto"/>
            <w:tcMar>
              <w:left w:w="17" w:type="dxa"/>
              <w:right w:w="17" w:type="dxa"/>
            </w:tcMar>
            <w:vAlign w:val="center"/>
          </w:tcPr>
          <w:p w14:paraId="5FE0FBDB" w14:textId="77777777" w:rsidR="001C56BD" w:rsidRPr="00F92667" w:rsidRDefault="001C56BD" w:rsidP="008A5C11">
            <w:pPr>
              <w:jc w:val="center"/>
              <w:rPr>
                <w:color w:val="000000"/>
                <w:sz w:val="12"/>
                <w:szCs w:val="12"/>
              </w:rPr>
            </w:pPr>
            <w:r w:rsidRPr="00F92667">
              <w:rPr>
                <w:color w:val="000000"/>
                <w:sz w:val="12"/>
                <w:szCs w:val="12"/>
              </w:rPr>
              <w:t>1161753,583</w:t>
            </w:r>
          </w:p>
        </w:tc>
        <w:tc>
          <w:tcPr>
            <w:tcW w:w="174" w:type="pct"/>
            <w:shd w:val="clear" w:color="auto" w:fill="auto"/>
            <w:tcMar>
              <w:left w:w="17" w:type="dxa"/>
              <w:right w:w="17" w:type="dxa"/>
            </w:tcMar>
            <w:vAlign w:val="center"/>
          </w:tcPr>
          <w:p w14:paraId="552AE2A4" w14:textId="77777777" w:rsidR="001C56BD" w:rsidRPr="00F92667" w:rsidRDefault="001C56BD" w:rsidP="008A5C11">
            <w:pPr>
              <w:jc w:val="center"/>
              <w:rPr>
                <w:color w:val="000000"/>
                <w:sz w:val="12"/>
                <w:szCs w:val="12"/>
              </w:rPr>
            </w:pPr>
            <w:r w:rsidRPr="00F92667">
              <w:rPr>
                <w:color w:val="000000"/>
                <w:sz w:val="12"/>
                <w:szCs w:val="12"/>
              </w:rPr>
              <w:t>0,000</w:t>
            </w:r>
          </w:p>
        </w:tc>
        <w:tc>
          <w:tcPr>
            <w:tcW w:w="216" w:type="pct"/>
            <w:gridSpan w:val="2"/>
            <w:shd w:val="clear" w:color="auto" w:fill="auto"/>
            <w:tcMar>
              <w:left w:w="17" w:type="dxa"/>
              <w:right w:w="17" w:type="dxa"/>
            </w:tcMar>
            <w:vAlign w:val="center"/>
          </w:tcPr>
          <w:p w14:paraId="69457E80" w14:textId="77777777" w:rsidR="001C56BD" w:rsidRPr="00F92667" w:rsidRDefault="001C56BD" w:rsidP="008A5C11">
            <w:pPr>
              <w:jc w:val="center"/>
              <w:rPr>
                <w:color w:val="000000"/>
                <w:sz w:val="12"/>
                <w:szCs w:val="12"/>
              </w:rPr>
            </w:pPr>
            <w:r w:rsidRPr="00F92667">
              <w:rPr>
                <w:color w:val="000000"/>
                <w:sz w:val="12"/>
                <w:szCs w:val="12"/>
              </w:rPr>
              <w:t>165592,090</w:t>
            </w:r>
          </w:p>
        </w:tc>
        <w:tc>
          <w:tcPr>
            <w:tcW w:w="218" w:type="pct"/>
            <w:gridSpan w:val="2"/>
            <w:shd w:val="clear" w:color="auto" w:fill="auto"/>
            <w:tcMar>
              <w:left w:w="17" w:type="dxa"/>
              <w:right w:w="17" w:type="dxa"/>
            </w:tcMar>
            <w:vAlign w:val="center"/>
          </w:tcPr>
          <w:p w14:paraId="2A12D4EF" w14:textId="77777777" w:rsidR="001C56BD" w:rsidRPr="00F92667" w:rsidRDefault="001C56BD" w:rsidP="008A5C11">
            <w:pPr>
              <w:jc w:val="center"/>
              <w:rPr>
                <w:color w:val="000000"/>
                <w:sz w:val="12"/>
                <w:szCs w:val="12"/>
              </w:rPr>
            </w:pPr>
            <w:r w:rsidRPr="00F92667">
              <w:rPr>
                <w:color w:val="000000"/>
                <w:sz w:val="12"/>
                <w:szCs w:val="12"/>
              </w:rPr>
              <w:t>110353,276</w:t>
            </w:r>
          </w:p>
        </w:tc>
        <w:tc>
          <w:tcPr>
            <w:tcW w:w="217" w:type="pct"/>
            <w:gridSpan w:val="2"/>
            <w:shd w:val="clear" w:color="auto" w:fill="auto"/>
            <w:tcMar>
              <w:left w:w="17" w:type="dxa"/>
              <w:right w:w="17" w:type="dxa"/>
            </w:tcMar>
            <w:vAlign w:val="center"/>
          </w:tcPr>
          <w:p w14:paraId="2F7FA5E6" w14:textId="77777777" w:rsidR="001C56BD" w:rsidRPr="00F92667" w:rsidRDefault="001C56BD" w:rsidP="008A5C11">
            <w:pPr>
              <w:jc w:val="center"/>
              <w:rPr>
                <w:color w:val="000000"/>
                <w:sz w:val="12"/>
                <w:szCs w:val="12"/>
              </w:rPr>
            </w:pPr>
            <w:r w:rsidRPr="00F92667">
              <w:rPr>
                <w:color w:val="000000"/>
                <w:sz w:val="12"/>
                <w:szCs w:val="12"/>
              </w:rPr>
              <w:t>133173,080</w:t>
            </w:r>
          </w:p>
        </w:tc>
        <w:tc>
          <w:tcPr>
            <w:tcW w:w="218" w:type="pct"/>
            <w:gridSpan w:val="2"/>
            <w:shd w:val="clear" w:color="auto" w:fill="auto"/>
            <w:tcMar>
              <w:left w:w="17" w:type="dxa"/>
              <w:right w:w="17" w:type="dxa"/>
            </w:tcMar>
            <w:vAlign w:val="center"/>
          </w:tcPr>
          <w:p w14:paraId="4F0C308F" w14:textId="77777777" w:rsidR="001C56BD" w:rsidRPr="00F92667" w:rsidRDefault="001C56BD" w:rsidP="008A5C11">
            <w:pPr>
              <w:jc w:val="center"/>
              <w:rPr>
                <w:color w:val="000000"/>
                <w:sz w:val="12"/>
                <w:szCs w:val="12"/>
              </w:rPr>
            </w:pPr>
            <w:r w:rsidRPr="00F92667">
              <w:rPr>
                <w:color w:val="000000"/>
                <w:sz w:val="12"/>
                <w:szCs w:val="12"/>
              </w:rPr>
              <w:t>164364,185</w:t>
            </w:r>
          </w:p>
        </w:tc>
        <w:tc>
          <w:tcPr>
            <w:tcW w:w="217" w:type="pct"/>
            <w:gridSpan w:val="2"/>
            <w:shd w:val="clear" w:color="auto" w:fill="auto"/>
            <w:tcMar>
              <w:left w:w="17" w:type="dxa"/>
              <w:right w:w="17" w:type="dxa"/>
            </w:tcMar>
            <w:vAlign w:val="center"/>
          </w:tcPr>
          <w:p w14:paraId="21AFCD25" w14:textId="77777777" w:rsidR="001C56BD" w:rsidRPr="00F92667" w:rsidRDefault="001C56BD" w:rsidP="008A5C11">
            <w:pPr>
              <w:jc w:val="center"/>
              <w:rPr>
                <w:color w:val="000000"/>
                <w:sz w:val="12"/>
                <w:szCs w:val="12"/>
              </w:rPr>
            </w:pPr>
            <w:r w:rsidRPr="00F92667">
              <w:rPr>
                <w:color w:val="000000"/>
                <w:sz w:val="12"/>
                <w:szCs w:val="12"/>
              </w:rPr>
              <w:t>153619,773</w:t>
            </w:r>
          </w:p>
        </w:tc>
        <w:tc>
          <w:tcPr>
            <w:tcW w:w="214" w:type="pct"/>
            <w:gridSpan w:val="2"/>
            <w:shd w:val="clear" w:color="auto" w:fill="auto"/>
            <w:tcMar>
              <w:left w:w="17" w:type="dxa"/>
              <w:right w:w="17" w:type="dxa"/>
            </w:tcMar>
            <w:vAlign w:val="center"/>
          </w:tcPr>
          <w:p w14:paraId="705DCD32" w14:textId="77777777" w:rsidR="001C56BD" w:rsidRPr="00F92667" w:rsidRDefault="001C56BD" w:rsidP="008A5C11">
            <w:pPr>
              <w:jc w:val="center"/>
              <w:rPr>
                <w:color w:val="000000"/>
                <w:sz w:val="12"/>
                <w:szCs w:val="12"/>
              </w:rPr>
            </w:pPr>
            <w:r w:rsidRPr="00F92667">
              <w:rPr>
                <w:color w:val="000000"/>
                <w:sz w:val="12"/>
                <w:szCs w:val="12"/>
              </w:rPr>
              <w:t>97615,534</w:t>
            </w:r>
          </w:p>
        </w:tc>
        <w:tc>
          <w:tcPr>
            <w:tcW w:w="217" w:type="pct"/>
            <w:gridSpan w:val="2"/>
            <w:shd w:val="clear" w:color="auto" w:fill="auto"/>
            <w:tcMar>
              <w:left w:w="17" w:type="dxa"/>
              <w:right w:w="17" w:type="dxa"/>
            </w:tcMar>
            <w:vAlign w:val="center"/>
          </w:tcPr>
          <w:p w14:paraId="5995DF50" w14:textId="77777777" w:rsidR="001C56BD" w:rsidRPr="00F92667" w:rsidRDefault="001C56BD" w:rsidP="008A5C11">
            <w:pPr>
              <w:jc w:val="center"/>
              <w:rPr>
                <w:color w:val="000000"/>
                <w:sz w:val="12"/>
                <w:szCs w:val="12"/>
              </w:rPr>
            </w:pPr>
            <w:r w:rsidRPr="00F92667">
              <w:rPr>
                <w:color w:val="000000"/>
                <w:sz w:val="12"/>
                <w:szCs w:val="12"/>
              </w:rPr>
              <w:t>81818,328</w:t>
            </w:r>
          </w:p>
        </w:tc>
        <w:tc>
          <w:tcPr>
            <w:tcW w:w="217" w:type="pct"/>
            <w:gridSpan w:val="2"/>
            <w:shd w:val="clear" w:color="auto" w:fill="auto"/>
            <w:tcMar>
              <w:left w:w="17" w:type="dxa"/>
              <w:right w:w="17" w:type="dxa"/>
            </w:tcMar>
            <w:vAlign w:val="center"/>
          </w:tcPr>
          <w:p w14:paraId="65A4EC7B" w14:textId="77777777" w:rsidR="001C56BD" w:rsidRPr="00F92667" w:rsidRDefault="001C56BD" w:rsidP="008A5C11">
            <w:pPr>
              <w:jc w:val="center"/>
              <w:rPr>
                <w:color w:val="000000"/>
                <w:sz w:val="12"/>
                <w:szCs w:val="12"/>
              </w:rPr>
            </w:pPr>
            <w:r w:rsidRPr="00F92667">
              <w:rPr>
                <w:color w:val="000000"/>
                <w:sz w:val="12"/>
                <w:szCs w:val="12"/>
              </w:rPr>
              <w:t>99302,491</w:t>
            </w:r>
          </w:p>
        </w:tc>
        <w:tc>
          <w:tcPr>
            <w:tcW w:w="214" w:type="pct"/>
            <w:gridSpan w:val="2"/>
            <w:shd w:val="clear" w:color="auto" w:fill="auto"/>
            <w:tcMar>
              <w:left w:w="17" w:type="dxa"/>
              <w:right w:w="17" w:type="dxa"/>
            </w:tcMar>
            <w:vAlign w:val="center"/>
          </w:tcPr>
          <w:p w14:paraId="03112485" w14:textId="77777777" w:rsidR="001C56BD" w:rsidRPr="00F92667" w:rsidRDefault="001C56BD" w:rsidP="008A5C11">
            <w:pPr>
              <w:jc w:val="center"/>
              <w:rPr>
                <w:color w:val="000000"/>
                <w:sz w:val="12"/>
                <w:szCs w:val="12"/>
              </w:rPr>
            </w:pPr>
            <w:r w:rsidRPr="00F92667">
              <w:rPr>
                <w:color w:val="000000"/>
                <w:sz w:val="12"/>
                <w:szCs w:val="12"/>
              </w:rPr>
              <w:t>73420,500</w:t>
            </w:r>
          </w:p>
        </w:tc>
        <w:tc>
          <w:tcPr>
            <w:tcW w:w="231" w:type="pct"/>
            <w:shd w:val="clear" w:color="auto" w:fill="auto"/>
            <w:tcMar>
              <w:left w:w="17" w:type="dxa"/>
              <w:right w:w="17" w:type="dxa"/>
            </w:tcMar>
            <w:vAlign w:val="center"/>
          </w:tcPr>
          <w:p w14:paraId="43B2C321" w14:textId="77777777" w:rsidR="001C56BD" w:rsidRPr="00F92667" w:rsidRDefault="001C56BD" w:rsidP="008A5C11">
            <w:pPr>
              <w:jc w:val="center"/>
              <w:rPr>
                <w:color w:val="000000"/>
                <w:sz w:val="12"/>
                <w:szCs w:val="12"/>
              </w:rPr>
            </w:pPr>
            <w:r w:rsidRPr="00F92667">
              <w:rPr>
                <w:color w:val="000000"/>
                <w:sz w:val="12"/>
                <w:szCs w:val="12"/>
              </w:rPr>
              <w:t>82494,326</w:t>
            </w:r>
          </w:p>
        </w:tc>
        <w:tc>
          <w:tcPr>
            <w:tcW w:w="173" w:type="pct"/>
            <w:shd w:val="clear" w:color="000000" w:fill="FFFFFF"/>
            <w:tcMar>
              <w:left w:w="17" w:type="dxa"/>
              <w:right w:w="17" w:type="dxa"/>
            </w:tcMar>
            <w:vAlign w:val="center"/>
          </w:tcPr>
          <w:p w14:paraId="3BF4A767" w14:textId="77777777" w:rsidR="001C56BD" w:rsidRPr="00F92667" w:rsidRDefault="001C56BD" w:rsidP="008A5C11">
            <w:pPr>
              <w:jc w:val="center"/>
              <w:rPr>
                <w:sz w:val="12"/>
                <w:szCs w:val="12"/>
              </w:rPr>
            </w:pPr>
            <w:r w:rsidRPr="00F92667">
              <w:rPr>
                <w:sz w:val="12"/>
                <w:szCs w:val="12"/>
              </w:rPr>
              <w:t>0,000</w:t>
            </w:r>
          </w:p>
        </w:tc>
        <w:tc>
          <w:tcPr>
            <w:tcW w:w="169" w:type="pct"/>
            <w:shd w:val="clear" w:color="000000" w:fill="FFFFFF"/>
            <w:tcMar>
              <w:left w:w="17" w:type="dxa"/>
              <w:right w:w="17" w:type="dxa"/>
            </w:tcMar>
            <w:vAlign w:val="center"/>
          </w:tcPr>
          <w:p w14:paraId="33C6DFCD" w14:textId="77777777" w:rsidR="001C56BD" w:rsidRPr="00F92667" w:rsidRDefault="001C56BD" w:rsidP="008A5C11">
            <w:pPr>
              <w:ind w:hanging="35"/>
              <w:jc w:val="center"/>
              <w:rPr>
                <w:sz w:val="12"/>
                <w:szCs w:val="12"/>
              </w:rPr>
            </w:pPr>
            <w:r w:rsidRPr="00F92667">
              <w:rPr>
                <w:sz w:val="12"/>
                <w:szCs w:val="12"/>
              </w:rPr>
              <w:t>12037,170</w:t>
            </w:r>
          </w:p>
        </w:tc>
      </w:tr>
    </w:tbl>
    <w:p w14:paraId="4D86228B" w14:textId="77777777" w:rsidR="001C56BD" w:rsidRPr="00F92667" w:rsidRDefault="001C56BD" w:rsidP="001C56BD">
      <w:pPr>
        <w:ind w:left="10348" w:right="-31"/>
        <w:jc w:val="center"/>
        <w:rPr>
          <w:sz w:val="20"/>
          <w:szCs w:val="20"/>
        </w:rPr>
        <w:sectPr w:rsidR="001C56BD" w:rsidRPr="00F92667" w:rsidSect="00583FF2">
          <w:pgSz w:w="16838" w:h="11906" w:orient="landscape"/>
          <w:pgMar w:top="1082" w:right="1134" w:bottom="142" w:left="1134" w:header="709" w:footer="256" w:gutter="0"/>
          <w:cols w:space="708"/>
          <w:docGrid w:linePitch="360"/>
        </w:sectPr>
      </w:pPr>
    </w:p>
    <w:p w14:paraId="2DE80989" w14:textId="77777777" w:rsidR="001C56BD" w:rsidRPr="00F92667" w:rsidRDefault="001C56BD" w:rsidP="001C56BD">
      <w:pPr>
        <w:jc w:val="center"/>
        <w:rPr>
          <w:b/>
          <w:color w:val="000000"/>
          <w:sz w:val="28"/>
          <w:szCs w:val="28"/>
        </w:rPr>
      </w:pPr>
      <w:r w:rsidRPr="00F92667">
        <w:rPr>
          <w:b/>
          <w:bCs/>
          <w:sz w:val="28"/>
          <w:szCs w:val="28"/>
        </w:rPr>
        <w:t xml:space="preserve">Плановые значения показателей, достижение которых предусмотрено в результате реализации мероприятий инвестиционной программы в сфере теплоснабжения </w:t>
      </w:r>
      <w:r w:rsidRPr="00F92667">
        <w:rPr>
          <w:b/>
          <w:color w:val="000000"/>
          <w:sz w:val="28"/>
          <w:szCs w:val="28"/>
        </w:rPr>
        <w:t xml:space="preserve">АО «Кузбассэнерго» </w:t>
      </w:r>
    </w:p>
    <w:p w14:paraId="39C29AD8" w14:textId="77777777" w:rsidR="001C56BD" w:rsidRPr="00F92667" w:rsidRDefault="001C56BD" w:rsidP="001C56BD">
      <w:pPr>
        <w:jc w:val="center"/>
        <w:rPr>
          <w:b/>
          <w:bCs/>
          <w:sz w:val="28"/>
          <w:szCs w:val="28"/>
        </w:rPr>
      </w:pPr>
      <w:r w:rsidRPr="00F92667">
        <w:rPr>
          <w:b/>
          <w:color w:val="000000"/>
          <w:sz w:val="28"/>
          <w:szCs w:val="28"/>
        </w:rPr>
        <w:t xml:space="preserve">(филиал «Кемеровская теплосетевая компания») </w:t>
      </w:r>
      <w:r w:rsidRPr="00F92667">
        <w:rPr>
          <w:b/>
          <w:sz w:val="28"/>
          <w:szCs w:val="28"/>
        </w:rPr>
        <w:t>на 2022</w:t>
      </w:r>
      <w:r w:rsidRPr="00F92667">
        <w:rPr>
          <w:b/>
          <w:color w:val="000000"/>
          <w:sz w:val="28"/>
          <w:szCs w:val="28"/>
        </w:rPr>
        <w:t xml:space="preserve"> - 2031 годы</w:t>
      </w:r>
    </w:p>
    <w:p w14:paraId="79BB34A5" w14:textId="77777777" w:rsidR="001C56BD" w:rsidRPr="00F92667" w:rsidRDefault="001C56BD" w:rsidP="001C56BD">
      <w:pPr>
        <w:jc w:val="center"/>
        <w:rPr>
          <w:sz w:val="20"/>
          <w:szCs w:val="20"/>
        </w:rPr>
      </w:pPr>
    </w:p>
    <w:tbl>
      <w:tblPr>
        <w:tblW w:w="524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
        <w:gridCol w:w="4385"/>
        <w:gridCol w:w="1133"/>
        <w:gridCol w:w="986"/>
        <w:gridCol w:w="1273"/>
        <w:gridCol w:w="617"/>
        <w:gridCol w:w="733"/>
        <w:gridCol w:w="611"/>
        <w:gridCol w:w="611"/>
        <w:gridCol w:w="742"/>
        <w:gridCol w:w="763"/>
        <w:gridCol w:w="733"/>
        <w:gridCol w:w="733"/>
        <w:gridCol w:w="733"/>
        <w:gridCol w:w="742"/>
      </w:tblGrid>
      <w:tr w:rsidR="001C56BD" w:rsidRPr="00F92667" w14:paraId="69B4EF46" w14:textId="77777777" w:rsidTr="008A5C11">
        <w:trPr>
          <w:trHeight w:val="480"/>
        </w:trPr>
        <w:tc>
          <w:tcPr>
            <w:tcW w:w="155" w:type="pct"/>
            <w:vMerge w:val="restart"/>
            <w:shd w:val="clear" w:color="auto" w:fill="auto"/>
            <w:tcMar>
              <w:left w:w="28" w:type="dxa"/>
              <w:right w:w="28" w:type="dxa"/>
            </w:tcMar>
            <w:vAlign w:val="center"/>
            <w:hideMark/>
          </w:tcPr>
          <w:p w14:paraId="1DDF9887" w14:textId="77777777" w:rsidR="001C56BD" w:rsidRPr="00F92667" w:rsidRDefault="001C56BD" w:rsidP="008A5C11">
            <w:pPr>
              <w:jc w:val="center"/>
              <w:rPr>
                <w:sz w:val="16"/>
                <w:szCs w:val="16"/>
              </w:rPr>
            </w:pPr>
            <w:r w:rsidRPr="00F92667">
              <w:rPr>
                <w:sz w:val="16"/>
                <w:szCs w:val="16"/>
              </w:rPr>
              <w:t>№ п/п</w:t>
            </w:r>
          </w:p>
        </w:tc>
        <w:tc>
          <w:tcPr>
            <w:tcW w:w="1436" w:type="pct"/>
            <w:vMerge w:val="restart"/>
            <w:shd w:val="clear" w:color="auto" w:fill="auto"/>
            <w:tcMar>
              <w:left w:w="28" w:type="dxa"/>
              <w:right w:w="28" w:type="dxa"/>
            </w:tcMar>
            <w:vAlign w:val="center"/>
            <w:hideMark/>
          </w:tcPr>
          <w:p w14:paraId="25EB2CD1" w14:textId="77777777" w:rsidR="001C56BD" w:rsidRPr="00F92667" w:rsidRDefault="001C56BD" w:rsidP="008A5C11">
            <w:pPr>
              <w:tabs>
                <w:tab w:val="left" w:pos="569"/>
              </w:tabs>
              <w:jc w:val="center"/>
              <w:rPr>
                <w:sz w:val="16"/>
                <w:szCs w:val="16"/>
              </w:rPr>
            </w:pPr>
            <w:r w:rsidRPr="00F92667">
              <w:rPr>
                <w:sz w:val="16"/>
                <w:szCs w:val="16"/>
              </w:rPr>
              <w:t>Наименование показателя</w:t>
            </w:r>
          </w:p>
        </w:tc>
        <w:tc>
          <w:tcPr>
            <w:tcW w:w="371" w:type="pct"/>
            <w:vMerge w:val="restart"/>
            <w:shd w:val="clear" w:color="auto" w:fill="auto"/>
            <w:tcMar>
              <w:left w:w="28" w:type="dxa"/>
              <w:right w:w="28" w:type="dxa"/>
            </w:tcMar>
            <w:vAlign w:val="center"/>
            <w:hideMark/>
          </w:tcPr>
          <w:p w14:paraId="4A230320" w14:textId="77777777" w:rsidR="001C56BD" w:rsidRPr="00F92667" w:rsidRDefault="001C56BD" w:rsidP="008A5C11">
            <w:pPr>
              <w:jc w:val="center"/>
              <w:rPr>
                <w:sz w:val="16"/>
                <w:szCs w:val="16"/>
              </w:rPr>
            </w:pPr>
            <w:r w:rsidRPr="00F92667">
              <w:rPr>
                <w:sz w:val="16"/>
                <w:szCs w:val="16"/>
              </w:rPr>
              <w:t>Ед. изм.</w:t>
            </w:r>
          </w:p>
        </w:tc>
        <w:tc>
          <w:tcPr>
            <w:tcW w:w="323" w:type="pct"/>
            <w:vMerge w:val="restart"/>
            <w:shd w:val="clear" w:color="auto" w:fill="auto"/>
            <w:tcMar>
              <w:left w:w="28" w:type="dxa"/>
              <w:right w:w="28" w:type="dxa"/>
            </w:tcMar>
            <w:vAlign w:val="center"/>
            <w:hideMark/>
          </w:tcPr>
          <w:p w14:paraId="3C3BBB1E" w14:textId="77777777" w:rsidR="001C56BD" w:rsidRPr="00F92667" w:rsidRDefault="001C56BD" w:rsidP="008A5C11">
            <w:pPr>
              <w:jc w:val="center"/>
              <w:rPr>
                <w:sz w:val="16"/>
                <w:szCs w:val="16"/>
              </w:rPr>
            </w:pPr>
            <w:r w:rsidRPr="00F92667">
              <w:rPr>
                <w:sz w:val="16"/>
                <w:szCs w:val="16"/>
              </w:rPr>
              <w:t>Фактические значения</w:t>
            </w:r>
          </w:p>
        </w:tc>
        <w:tc>
          <w:tcPr>
            <w:tcW w:w="2716" w:type="pct"/>
            <w:gridSpan w:val="11"/>
            <w:shd w:val="clear" w:color="auto" w:fill="auto"/>
            <w:tcMar>
              <w:left w:w="28" w:type="dxa"/>
              <w:right w:w="28" w:type="dxa"/>
            </w:tcMar>
            <w:vAlign w:val="center"/>
            <w:hideMark/>
          </w:tcPr>
          <w:p w14:paraId="5A86353B" w14:textId="77777777" w:rsidR="001C56BD" w:rsidRPr="00F92667" w:rsidRDefault="001C56BD" w:rsidP="008A5C11">
            <w:pPr>
              <w:jc w:val="center"/>
              <w:rPr>
                <w:sz w:val="16"/>
                <w:szCs w:val="16"/>
              </w:rPr>
            </w:pPr>
            <w:r w:rsidRPr="00F92667">
              <w:rPr>
                <w:sz w:val="16"/>
                <w:szCs w:val="16"/>
              </w:rPr>
              <w:t>Плановые значения</w:t>
            </w:r>
          </w:p>
        </w:tc>
      </w:tr>
      <w:tr w:rsidR="001C56BD" w:rsidRPr="00F92667" w14:paraId="7B18A238" w14:textId="77777777" w:rsidTr="008A5C11">
        <w:trPr>
          <w:trHeight w:val="600"/>
        </w:trPr>
        <w:tc>
          <w:tcPr>
            <w:tcW w:w="155" w:type="pct"/>
            <w:vMerge/>
            <w:tcMar>
              <w:left w:w="28" w:type="dxa"/>
              <w:right w:w="28" w:type="dxa"/>
            </w:tcMar>
            <w:vAlign w:val="center"/>
            <w:hideMark/>
          </w:tcPr>
          <w:p w14:paraId="5D4C3E46" w14:textId="77777777" w:rsidR="001C56BD" w:rsidRPr="00F92667" w:rsidRDefault="001C56BD" w:rsidP="008A5C11">
            <w:pPr>
              <w:jc w:val="center"/>
              <w:rPr>
                <w:sz w:val="16"/>
                <w:szCs w:val="16"/>
              </w:rPr>
            </w:pPr>
          </w:p>
        </w:tc>
        <w:tc>
          <w:tcPr>
            <w:tcW w:w="1436" w:type="pct"/>
            <w:vMerge/>
            <w:tcMar>
              <w:left w:w="28" w:type="dxa"/>
              <w:right w:w="28" w:type="dxa"/>
            </w:tcMar>
            <w:vAlign w:val="center"/>
            <w:hideMark/>
          </w:tcPr>
          <w:p w14:paraId="50FDE835" w14:textId="77777777" w:rsidR="001C56BD" w:rsidRPr="00F92667" w:rsidRDefault="001C56BD" w:rsidP="008A5C11">
            <w:pPr>
              <w:jc w:val="center"/>
              <w:rPr>
                <w:sz w:val="16"/>
                <w:szCs w:val="16"/>
              </w:rPr>
            </w:pPr>
          </w:p>
        </w:tc>
        <w:tc>
          <w:tcPr>
            <w:tcW w:w="371" w:type="pct"/>
            <w:vMerge/>
            <w:tcMar>
              <w:left w:w="28" w:type="dxa"/>
              <w:right w:w="28" w:type="dxa"/>
            </w:tcMar>
            <w:vAlign w:val="center"/>
            <w:hideMark/>
          </w:tcPr>
          <w:p w14:paraId="37C21EDC" w14:textId="77777777" w:rsidR="001C56BD" w:rsidRPr="00F92667" w:rsidRDefault="001C56BD" w:rsidP="008A5C11">
            <w:pPr>
              <w:jc w:val="center"/>
              <w:rPr>
                <w:sz w:val="16"/>
                <w:szCs w:val="16"/>
              </w:rPr>
            </w:pPr>
          </w:p>
        </w:tc>
        <w:tc>
          <w:tcPr>
            <w:tcW w:w="323" w:type="pct"/>
            <w:vMerge/>
            <w:tcMar>
              <w:left w:w="28" w:type="dxa"/>
              <w:right w:w="28" w:type="dxa"/>
            </w:tcMar>
            <w:vAlign w:val="center"/>
            <w:hideMark/>
          </w:tcPr>
          <w:p w14:paraId="2D269D17" w14:textId="77777777" w:rsidR="001C56BD" w:rsidRPr="00F92667" w:rsidRDefault="001C56BD" w:rsidP="008A5C11">
            <w:pPr>
              <w:jc w:val="center"/>
              <w:rPr>
                <w:sz w:val="16"/>
                <w:szCs w:val="16"/>
              </w:rPr>
            </w:pPr>
          </w:p>
        </w:tc>
        <w:tc>
          <w:tcPr>
            <w:tcW w:w="417" w:type="pct"/>
            <w:vMerge w:val="restart"/>
            <w:shd w:val="clear" w:color="auto" w:fill="auto"/>
            <w:tcMar>
              <w:left w:w="28" w:type="dxa"/>
              <w:right w:w="28" w:type="dxa"/>
            </w:tcMar>
            <w:vAlign w:val="center"/>
            <w:hideMark/>
          </w:tcPr>
          <w:p w14:paraId="3D65338D" w14:textId="77777777" w:rsidR="001C56BD" w:rsidRPr="00F92667" w:rsidRDefault="001C56BD" w:rsidP="008A5C11">
            <w:pPr>
              <w:jc w:val="center"/>
              <w:rPr>
                <w:sz w:val="16"/>
                <w:szCs w:val="16"/>
              </w:rPr>
            </w:pPr>
            <w:r w:rsidRPr="00F92667">
              <w:rPr>
                <w:sz w:val="16"/>
                <w:szCs w:val="16"/>
              </w:rPr>
              <w:t>Утвержденный период</w:t>
            </w:r>
          </w:p>
        </w:tc>
        <w:tc>
          <w:tcPr>
            <w:tcW w:w="2298" w:type="pct"/>
            <w:gridSpan w:val="10"/>
            <w:shd w:val="clear" w:color="auto" w:fill="auto"/>
            <w:tcMar>
              <w:left w:w="28" w:type="dxa"/>
              <w:right w:w="28" w:type="dxa"/>
            </w:tcMar>
            <w:vAlign w:val="center"/>
            <w:hideMark/>
          </w:tcPr>
          <w:p w14:paraId="6E778AE7" w14:textId="77777777" w:rsidR="001C56BD" w:rsidRPr="00F92667" w:rsidRDefault="001C56BD" w:rsidP="008A5C11">
            <w:pPr>
              <w:jc w:val="center"/>
              <w:rPr>
                <w:sz w:val="16"/>
                <w:szCs w:val="16"/>
              </w:rPr>
            </w:pPr>
            <w:r w:rsidRPr="00F92667">
              <w:rPr>
                <w:sz w:val="16"/>
                <w:szCs w:val="16"/>
              </w:rPr>
              <w:t>в т.ч. по годам реализации</w:t>
            </w:r>
          </w:p>
        </w:tc>
      </w:tr>
      <w:tr w:rsidR="001C56BD" w:rsidRPr="00F92667" w14:paraId="31669641" w14:textId="77777777" w:rsidTr="008A5C11">
        <w:trPr>
          <w:trHeight w:val="255"/>
        </w:trPr>
        <w:tc>
          <w:tcPr>
            <w:tcW w:w="155" w:type="pct"/>
            <w:vMerge/>
            <w:tcMar>
              <w:left w:w="28" w:type="dxa"/>
              <w:right w:w="28" w:type="dxa"/>
            </w:tcMar>
            <w:vAlign w:val="center"/>
            <w:hideMark/>
          </w:tcPr>
          <w:p w14:paraId="7B144A88" w14:textId="77777777" w:rsidR="001C56BD" w:rsidRPr="00F92667" w:rsidRDefault="001C56BD" w:rsidP="008A5C11">
            <w:pPr>
              <w:jc w:val="center"/>
              <w:rPr>
                <w:sz w:val="16"/>
                <w:szCs w:val="16"/>
              </w:rPr>
            </w:pPr>
          </w:p>
        </w:tc>
        <w:tc>
          <w:tcPr>
            <w:tcW w:w="1436" w:type="pct"/>
            <w:vMerge/>
            <w:tcMar>
              <w:left w:w="28" w:type="dxa"/>
              <w:right w:w="28" w:type="dxa"/>
            </w:tcMar>
            <w:vAlign w:val="center"/>
            <w:hideMark/>
          </w:tcPr>
          <w:p w14:paraId="547C3DEA" w14:textId="77777777" w:rsidR="001C56BD" w:rsidRPr="00F92667" w:rsidRDefault="001C56BD" w:rsidP="008A5C11">
            <w:pPr>
              <w:jc w:val="center"/>
              <w:rPr>
                <w:sz w:val="16"/>
                <w:szCs w:val="16"/>
              </w:rPr>
            </w:pPr>
          </w:p>
        </w:tc>
        <w:tc>
          <w:tcPr>
            <w:tcW w:w="371" w:type="pct"/>
            <w:vMerge/>
            <w:tcMar>
              <w:left w:w="28" w:type="dxa"/>
              <w:right w:w="28" w:type="dxa"/>
            </w:tcMar>
            <w:vAlign w:val="center"/>
            <w:hideMark/>
          </w:tcPr>
          <w:p w14:paraId="3D60133F" w14:textId="77777777" w:rsidR="001C56BD" w:rsidRPr="00F92667" w:rsidRDefault="001C56BD" w:rsidP="008A5C11">
            <w:pPr>
              <w:jc w:val="center"/>
              <w:rPr>
                <w:sz w:val="16"/>
                <w:szCs w:val="16"/>
              </w:rPr>
            </w:pPr>
          </w:p>
        </w:tc>
        <w:tc>
          <w:tcPr>
            <w:tcW w:w="323" w:type="pct"/>
            <w:vMerge/>
            <w:tcMar>
              <w:left w:w="28" w:type="dxa"/>
              <w:right w:w="28" w:type="dxa"/>
            </w:tcMar>
            <w:vAlign w:val="center"/>
            <w:hideMark/>
          </w:tcPr>
          <w:p w14:paraId="29CF3E8A" w14:textId="77777777" w:rsidR="001C56BD" w:rsidRPr="00F92667" w:rsidRDefault="001C56BD" w:rsidP="008A5C11">
            <w:pPr>
              <w:jc w:val="center"/>
              <w:rPr>
                <w:sz w:val="16"/>
                <w:szCs w:val="16"/>
              </w:rPr>
            </w:pPr>
          </w:p>
        </w:tc>
        <w:tc>
          <w:tcPr>
            <w:tcW w:w="417" w:type="pct"/>
            <w:vMerge/>
            <w:tcMar>
              <w:left w:w="28" w:type="dxa"/>
              <w:right w:w="28" w:type="dxa"/>
            </w:tcMar>
            <w:vAlign w:val="center"/>
            <w:hideMark/>
          </w:tcPr>
          <w:p w14:paraId="0E9F0821" w14:textId="77777777" w:rsidR="001C56BD" w:rsidRPr="00F92667" w:rsidRDefault="001C56BD" w:rsidP="008A5C11">
            <w:pPr>
              <w:jc w:val="center"/>
              <w:rPr>
                <w:sz w:val="16"/>
                <w:szCs w:val="16"/>
              </w:rPr>
            </w:pPr>
          </w:p>
        </w:tc>
        <w:tc>
          <w:tcPr>
            <w:tcW w:w="202" w:type="pct"/>
            <w:shd w:val="clear" w:color="auto" w:fill="auto"/>
            <w:tcMar>
              <w:left w:w="28" w:type="dxa"/>
              <w:right w:w="28" w:type="dxa"/>
            </w:tcMar>
            <w:vAlign w:val="center"/>
          </w:tcPr>
          <w:p w14:paraId="0607A538" w14:textId="77777777" w:rsidR="001C56BD" w:rsidRPr="00F92667" w:rsidRDefault="001C56BD" w:rsidP="008A5C11">
            <w:pPr>
              <w:jc w:val="center"/>
              <w:rPr>
                <w:sz w:val="16"/>
                <w:szCs w:val="16"/>
              </w:rPr>
            </w:pPr>
            <w:r w:rsidRPr="00F92667">
              <w:rPr>
                <w:sz w:val="16"/>
                <w:szCs w:val="16"/>
              </w:rPr>
              <w:t>2022</w:t>
            </w:r>
          </w:p>
        </w:tc>
        <w:tc>
          <w:tcPr>
            <w:tcW w:w="240" w:type="pct"/>
            <w:shd w:val="clear" w:color="auto" w:fill="auto"/>
            <w:tcMar>
              <w:left w:w="28" w:type="dxa"/>
              <w:right w:w="28" w:type="dxa"/>
            </w:tcMar>
            <w:vAlign w:val="center"/>
          </w:tcPr>
          <w:p w14:paraId="6E5A16E7" w14:textId="77777777" w:rsidR="001C56BD" w:rsidRPr="00F92667" w:rsidRDefault="001C56BD" w:rsidP="008A5C11">
            <w:pPr>
              <w:jc w:val="center"/>
              <w:rPr>
                <w:sz w:val="16"/>
                <w:szCs w:val="16"/>
              </w:rPr>
            </w:pPr>
            <w:r w:rsidRPr="00F92667">
              <w:rPr>
                <w:sz w:val="16"/>
                <w:szCs w:val="16"/>
              </w:rPr>
              <w:t>2023</w:t>
            </w:r>
          </w:p>
        </w:tc>
        <w:tc>
          <w:tcPr>
            <w:tcW w:w="200" w:type="pct"/>
            <w:tcMar>
              <w:left w:w="28" w:type="dxa"/>
              <w:right w:w="28" w:type="dxa"/>
            </w:tcMar>
            <w:vAlign w:val="center"/>
          </w:tcPr>
          <w:p w14:paraId="112D99A7" w14:textId="77777777" w:rsidR="001C56BD" w:rsidRPr="00F92667" w:rsidRDefault="001C56BD" w:rsidP="008A5C11">
            <w:pPr>
              <w:jc w:val="center"/>
              <w:rPr>
                <w:sz w:val="16"/>
                <w:szCs w:val="16"/>
              </w:rPr>
            </w:pPr>
            <w:r w:rsidRPr="00F92667">
              <w:rPr>
                <w:sz w:val="16"/>
                <w:szCs w:val="16"/>
              </w:rPr>
              <w:t>2024</w:t>
            </w:r>
          </w:p>
        </w:tc>
        <w:tc>
          <w:tcPr>
            <w:tcW w:w="200" w:type="pct"/>
            <w:tcMar>
              <w:left w:w="28" w:type="dxa"/>
              <w:right w:w="28" w:type="dxa"/>
            </w:tcMar>
            <w:vAlign w:val="center"/>
          </w:tcPr>
          <w:p w14:paraId="1D6C475B" w14:textId="77777777" w:rsidR="001C56BD" w:rsidRPr="00F92667" w:rsidRDefault="001C56BD" w:rsidP="008A5C11">
            <w:pPr>
              <w:jc w:val="center"/>
              <w:rPr>
                <w:sz w:val="16"/>
                <w:szCs w:val="16"/>
              </w:rPr>
            </w:pPr>
            <w:r w:rsidRPr="00F92667">
              <w:rPr>
                <w:sz w:val="16"/>
                <w:szCs w:val="16"/>
              </w:rPr>
              <w:t>2025</w:t>
            </w:r>
          </w:p>
        </w:tc>
        <w:tc>
          <w:tcPr>
            <w:tcW w:w="243" w:type="pct"/>
            <w:tcMar>
              <w:left w:w="28" w:type="dxa"/>
              <w:right w:w="28" w:type="dxa"/>
            </w:tcMar>
            <w:vAlign w:val="center"/>
          </w:tcPr>
          <w:p w14:paraId="5DFA1D90" w14:textId="77777777" w:rsidR="001C56BD" w:rsidRPr="00F92667" w:rsidRDefault="001C56BD" w:rsidP="008A5C11">
            <w:pPr>
              <w:jc w:val="center"/>
              <w:rPr>
                <w:sz w:val="16"/>
                <w:szCs w:val="16"/>
              </w:rPr>
            </w:pPr>
            <w:r w:rsidRPr="00F92667">
              <w:rPr>
                <w:sz w:val="16"/>
                <w:szCs w:val="16"/>
              </w:rPr>
              <w:t>2026</w:t>
            </w:r>
          </w:p>
        </w:tc>
        <w:tc>
          <w:tcPr>
            <w:tcW w:w="250" w:type="pct"/>
            <w:vAlign w:val="center"/>
          </w:tcPr>
          <w:p w14:paraId="5F4CFD4B" w14:textId="77777777" w:rsidR="001C56BD" w:rsidRPr="00F92667" w:rsidRDefault="001C56BD" w:rsidP="008A5C11">
            <w:pPr>
              <w:jc w:val="center"/>
              <w:rPr>
                <w:sz w:val="16"/>
                <w:szCs w:val="16"/>
              </w:rPr>
            </w:pPr>
            <w:r w:rsidRPr="00F92667">
              <w:rPr>
                <w:sz w:val="16"/>
                <w:szCs w:val="16"/>
              </w:rPr>
              <w:t>2027</w:t>
            </w:r>
          </w:p>
        </w:tc>
        <w:tc>
          <w:tcPr>
            <w:tcW w:w="240" w:type="pct"/>
            <w:vAlign w:val="center"/>
          </w:tcPr>
          <w:p w14:paraId="279E1A3D" w14:textId="77777777" w:rsidR="001C56BD" w:rsidRPr="00F92667" w:rsidRDefault="001C56BD" w:rsidP="008A5C11">
            <w:pPr>
              <w:jc w:val="center"/>
              <w:rPr>
                <w:sz w:val="16"/>
                <w:szCs w:val="16"/>
              </w:rPr>
            </w:pPr>
            <w:r w:rsidRPr="00F92667">
              <w:rPr>
                <w:sz w:val="16"/>
                <w:szCs w:val="16"/>
              </w:rPr>
              <w:t>2028</w:t>
            </w:r>
          </w:p>
        </w:tc>
        <w:tc>
          <w:tcPr>
            <w:tcW w:w="240" w:type="pct"/>
            <w:vAlign w:val="center"/>
          </w:tcPr>
          <w:p w14:paraId="77615087" w14:textId="77777777" w:rsidR="001C56BD" w:rsidRPr="00F92667" w:rsidRDefault="001C56BD" w:rsidP="008A5C11">
            <w:pPr>
              <w:jc w:val="center"/>
              <w:rPr>
                <w:sz w:val="16"/>
                <w:szCs w:val="16"/>
              </w:rPr>
            </w:pPr>
            <w:r w:rsidRPr="00F92667">
              <w:rPr>
                <w:sz w:val="16"/>
                <w:szCs w:val="16"/>
              </w:rPr>
              <w:t>2029</w:t>
            </w:r>
          </w:p>
        </w:tc>
        <w:tc>
          <w:tcPr>
            <w:tcW w:w="240" w:type="pct"/>
            <w:vAlign w:val="center"/>
          </w:tcPr>
          <w:p w14:paraId="6B5B37FD" w14:textId="77777777" w:rsidR="001C56BD" w:rsidRPr="00F92667" w:rsidRDefault="001C56BD" w:rsidP="008A5C11">
            <w:pPr>
              <w:jc w:val="center"/>
              <w:rPr>
                <w:sz w:val="16"/>
                <w:szCs w:val="16"/>
              </w:rPr>
            </w:pPr>
            <w:r w:rsidRPr="00F92667">
              <w:rPr>
                <w:sz w:val="16"/>
                <w:szCs w:val="16"/>
              </w:rPr>
              <w:t>2030</w:t>
            </w:r>
          </w:p>
        </w:tc>
        <w:tc>
          <w:tcPr>
            <w:tcW w:w="241" w:type="pct"/>
            <w:vAlign w:val="center"/>
          </w:tcPr>
          <w:p w14:paraId="257FC2F2" w14:textId="77777777" w:rsidR="001C56BD" w:rsidRPr="00F92667" w:rsidRDefault="001C56BD" w:rsidP="008A5C11">
            <w:pPr>
              <w:jc w:val="center"/>
              <w:rPr>
                <w:sz w:val="16"/>
                <w:szCs w:val="16"/>
              </w:rPr>
            </w:pPr>
            <w:r w:rsidRPr="00F92667">
              <w:rPr>
                <w:sz w:val="16"/>
                <w:szCs w:val="16"/>
              </w:rPr>
              <w:t>2031</w:t>
            </w:r>
          </w:p>
        </w:tc>
      </w:tr>
      <w:tr w:rsidR="001C56BD" w:rsidRPr="00F92667" w14:paraId="3C595F87" w14:textId="77777777" w:rsidTr="008A5C11">
        <w:trPr>
          <w:trHeight w:val="510"/>
        </w:trPr>
        <w:tc>
          <w:tcPr>
            <w:tcW w:w="155" w:type="pct"/>
            <w:shd w:val="clear" w:color="auto" w:fill="auto"/>
            <w:tcMar>
              <w:left w:w="28" w:type="dxa"/>
              <w:right w:w="28" w:type="dxa"/>
            </w:tcMar>
            <w:vAlign w:val="center"/>
            <w:hideMark/>
          </w:tcPr>
          <w:p w14:paraId="479F1B5F" w14:textId="77777777" w:rsidR="001C56BD" w:rsidRPr="00F92667" w:rsidRDefault="001C56BD" w:rsidP="008A5C11">
            <w:pPr>
              <w:jc w:val="center"/>
              <w:rPr>
                <w:sz w:val="16"/>
                <w:szCs w:val="16"/>
              </w:rPr>
            </w:pPr>
            <w:r w:rsidRPr="00F92667">
              <w:rPr>
                <w:sz w:val="16"/>
                <w:szCs w:val="16"/>
              </w:rPr>
              <w:t>1.</w:t>
            </w:r>
          </w:p>
        </w:tc>
        <w:tc>
          <w:tcPr>
            <w:tcW w:w="1436" w:type="pct"/>
            <w:shd w:val="clear" w:color="auto" w:fill="auto"/>
            <w:tcMar>
              <w:left w:w="28" w:type="dxa"/>
              <w:right w:w="28" w:type="dxa"/>
            </w:tcMar>
            <w:vAlign w:val="center"/>
            <w:hideMark/>
          </w:tcPr>
          <w:p w14:paraId="3DE9EA99" w14:textId="77777777" w:rsidR="001C56BD" w:rsidRPr="00F92667" w:rsidRDefault="001C56BD" w:rsidP="008A5C11">
            <w:pPr>
              <w:rPr>
                <w:sz w:val="16"/>
                <w:szCs w:val="16"/>
              </w:rPr>
            </w:pPr>
            <w:r w:rsidRPr="00F92667">
              <w:rPr>
                <w:sz w:val="16"/>
                <w:szCs w:val="16"/>
              </w:rPr>
              <w:t>Удельный расход электрической энергии на транспортировку теплоносителя</w:t>
            </w:r>
          </w:p>
        </w:tc>
        <w:tc>
          <w:tcPr>
            <w:tcW w:w="371" w:type="pct"/>
            <w:shd w:val="clear" w:color="auto" w:fill="auto"/>
            <w:tcMar>
              <w:left w:w="28" w:type="dxa"/>
              <w:right w:w="28" w:type="dxa"/>
            </w:tcMar>
            <w:vAlign w:val="center"/>
            <w:hideMark/>
          </w:tcPr>
          <w:p w14:paraId="51D9B650" w14:textId="77777777" w:rsidR="001C56BD" w:rsidRPr="00F92667" w:rsidRDefault="001C56BD" w:rsidP="008A5C11">
            <w:pPr>
              <w:jc w:val="center"/>
              <w:rPr>
                <w:sz w:val="16"/>
                <w:szCs w:val="16"/>
              </w:rPr>
            </w:pPr>
            <w:r w:rsidRPr="00F92667">
              <w:rPr>
                <w:sz w:val="16"/>
                <w:szCs w:val="16"/>
              </w:rPr>
              <w:t>кВтч/м</w:t>
            </w:r>
            <w:r w:rsidRPr="00F92667">
              <w:rPr>
                <w:sz w:val="16"/>
                <w:szCs w:val="16"/>
                <w:vertAlign w:val="superscript"/>
              </w:rPr>
              <w:t>3</w:t>
            </w:r>
          </w:p>
        </w:tc>
        <w:tc>
          <w:tcPr>
            <w:tcW w:w="323" w:type="pct"/>
            <w:shd w:val="clear" w:color="000000" w:fill="FFFFFF"/>
            <w:tcMar>
              <w:left w:w="28" w:type="dxa"/>
              <w:right w:w="28" w:type="dxa"/>
            </w:tcMar>
            <w:vAlign w:val="center"/>
          </w:tcPr>
          <w:p w14:paraId="283406E3" w14:textId="77777777" w:rsidR="001C56BD" w:rsidRPr="00F92667" w:rsidRDefault="001C56BD" w:rsidP="008A5C11">
            <w:pPr>
              <w:jc w:val="center"/>
              <w:rPr>
                <w:sz w:val="16"/>
                <w:szCs w:val="16"/>
              </w:rPr>
            </w:pPr>
            <w:r w:rsidRPr="00F92667">
              <w:rPr>
                <w:sz w:val="16"/>
                <w:szCs w:val="16"/>
              </w:rPr>
              <w:t>0,35</w:t>
            </w:r>
          </w:p>
        </w:tc>
        <w:tc>
          <w:tcPr>
            <w:tcW w:w="417" w:type="pct"/>
            <w:shd w:val="clear" w:color="000000" w:fill="FFFFFF"/>
            <w:tcMar>
              <w:left w:w="28" w:type="dxa"/>
              <w:right w:w="28" w:type="dxa"/>
            </w:tcMar>
            <w:vAlign w:val="center"/>
          </w:tcPr>
          <w:p w14:paraId="6EF8F48D" w14:textId="77777777" w:rsidR="001C56BD" w:rsidRPr="00F92667" w:rsidRDefault="001C56BD" w:rsidP="008A5C11">
            <w:pPr>
              <w:jc w:val="center"/>
              <w:rPr>
                <w:sz w:val="16"/>
                <w:szCs w:val="16"/>
              </w:rPr>
            </w:pPr>
            <w:r w:rsidRPr="00F92667">
              <w:rPr>
                <w:sz w:val="16"/>
                <w:szCs w:val="16"/>
              </w:rPr>
              <w:t>0,35</w:t>
            </w:r>
          </w:p>
        </w:tc>
        <w:tc>
          <w:tcPr>
            <w:tcW w:w="202" w:type="pct"/>
            <w:shd w:val="clear" w:color="000000" w:fill="FFFFFF"/>
            <w:tcMar>
              <w:left w:w="28" w:type="dxa"/>
              <w:right w:w="28" w:type="dxa"/>
            </w:tcMar>
            <w:vAlign w:val="center"/>
          </w:tcPr>
          <w:p w14:paraId="5FCAA701" w14:textId="77777777" w:rsidR="001C56BD" w:rsidRPr="00F92667" w:rsidRDefault="001C56BD" w:rsidP="008A5C11">
            <w:pPr>
              <w:jc w:val="center"/>
              <w:rPr>
                <w:sz w:val="16"/>
                <w:szCs w:val="16"/>
              </w:rPr>
            </w:pPr>
            <w:r w:rsidRPr="00F92667">
              <w:rPr>
                <w:sz w:val="16"/>
                <w:szCs w:val="16"/>
              </w:rPr>
              <w:t>0,35</w:t>
            </w:r>
          </w:p>
        </w:tc>
        <w:tc>
          <w:tcPr>
            <w:tcW w:w="240" w:type="pct"/>
            <w:shd w:val="clear" w:color="000000" w:fill="FFFFFF"/>
            <w:tcMar>
              <w:left w:w="28" w:type="dxa"/>
              <w:right w:w="28" w:type="dxa"/>
            </w:tcMar>
            <w:vAlign w:val="center"/>
          </w:tcPr>
          <w:p w14:paraId="7C75ACD9" w14:textId="77777777" w:rsidR="001C56BD" w:rsidRPr="00F92667" w:rsidRDefault="001C56BD" w:rsidP="008A5C11">
            <w:pPr>
              <w:jc w:val="center"/>
              <w:rPr>
                <w:sz w:val="16"/>
                <w:szCs w:val="16"/>
              </w:rPr>
            </w:pPr>
            <w:r w:rsidRPr="00F92667">
              <w:rPr>
                <w:sz w:val="16"/>
                <w:szCs w:val="16"/>
              </w:rPr>
              <w:t>0,35</w:t>
            </w:r>
          </w:p>
        </w:tc>
        <w:tc>
          <w:tcPr>
            <w:tcW w:w="200" w:type="pct"/>
            <w:shd w:val="clear" w:color="000000" w:fill="FFFFFF"/>
            <w:tcMar>
              <w:left w:w="28" w:type="dxa"/>
              <w:right w:w="28" w:type="dxa"/>
            </w:tcMar>
            <w:vAlign w:val="center"/>
          </w:tcPr>
          <w:p w14:paraId="4974F8B8" w14:textId="77777777" w:rsidR="001C56BD" w:rsidRPr="00F92667" w:rsidRDefault="001C56BD" w:rsidP="008A5C11">
            <w:pPr>
              <w:jc w:val="center"/>
              <w:rPr>
                <w:sz w:val="16"/>
                <w:szCs w:val="16"/>
              </w:rPr>
            </w:pPr>
            <w:r w:rsidRPr="00F92667">
              <w:rPr>
                <w:sz w:val="16"/>
                <w:szCs w:val="16"/>
              </w:rPr>
              <w:t>0,35</w:t>
            </w:r>
          </w:p>
        </w:tc>
        <w:tc>
          <w:tcPr>
            <w:tcW w:w="200" w:type="pct"/>
            <w:shd w:val="clear" w:color="000000" w:fill="FFFFFF"/>
            <w:tcMar>
              <w:left w:w="28" w:type="dxa"/>
              <w:right w:w="28" w:type="dxa"/>
            </w:tcMar>
            <w:vAlign w:val="center"/>
          </w:tcPr>
          <w:p w14:paraId="2776764C" w14:textId="77777777" w:rsidR="001C56BD" w:rsidRPr="00F92667" w:rsidRDefault="001C56BD" w:rsidP="008A5C11">
            <w:pPr>
              <w:jc w:val="center"/>
              <w:rPr>
                <w:sz w:val="16"/>
                <w:szCs w:val="16"/>
              </w:rPr>
            </w:pPr>
            <w:r w:rsidRPr="00F92667">
              <w:rPr>
                <w:sz w:val="16"/>
                <w:szCs w:val="16"/>
              </w:rPr>
              <w:t>0,35</w:t>
            </w:r>
          </w:p>
        </w:tc>
        <w:tc>
          <w:tcPr>
            <w:tcW w:w="243" w:type="pct"/>
            <w:shd w:val="clear" w:color="000000" w:fill="FFFFFF"/>
            <w:tcMar>
              <w:left w:w="28" w:type="dxa"/>
              <w:right w:w="28" w:type="dxa"/>
            </w:tcMar>
            <w:vAlign w:val="center"/>
          </w:tcPr>
          <w:p w14:paraId="06A51815" w14:textId="77777777" w:rsidR="001C56BD" w:rsidRPr="00F92667" w:rsidRDefault="001C56BD" w:rsidP="008A5C11">
            <w:pPr>
              <w:jc w:val="center"/>
              <w:rPr>
                <w:sz w:val="16"/>
                <w:szCs w:val="16"/>
              </w:rPr>
            </w:pPr>
            <w:r w:rsidRPr="00F92667">
              <w:rPr>
                <w:sz w:val="16"/>
                <w:szCs w:val="16"/>
              </w:rPr>
              <w:t>0,35</w:t>
            </w:r>
          </w:p>
        </w:tc>
        <w:tc>
          <w:tcPr>
            <w:tcW w:w="250" w:type="pct"/>
            <w:shd w:val="clear" w:color="000000" w:fill="FFFFFF"/>
            <w:vAlign w:val="center"/>
          </w:tcPr>
          <w:p w14:paraId="06998246" w14:textId="77777777" w:rsidR="001C56BD" w:rsidRPr="00F92667" w:rsidRDefault="001C56BD" w:rsidP="008A5C11">
            <w:pPr>
              <w:jc w:val="center"/>
              <w:rPr>
                <w:sz w:val="16"/>
                <w:szCs w:val="16"/>
              </w:rPr>
            </w:pPr>
            <w:r w:rsidRPr="00F92667">
              <w:rPr>
                <w:sz w:val="16"/>
                <w:szCs w:val="16"/>
              </w:rPr>
              <w:t>0,35</w:t>
            </w:r>
          </w:p>
        </w:tc>
        <w:tc>
          <w:tcPr>
            <w:tcW w:w="240" w:type="pct"/>
            <w:shd w:val="clear" w:color="000000" w:fill="FFFFFF"/>
            <w:vAlign w:val="center"/>
          </w:tcPr>
          <w:p w14:paraId="4A276416" w14:textId="77777777" w:rsidR="001C56BD" w:rsidRPr="00F92667" w:rsidRDefault="001C56BD" w:rsidP="008A5C11">
            <w:pPr>
              <w:jc w:val="center"/>
              <w:rPr>
                <w:sz w:val="16"/>
                <w:szCs w:val="16"/>
              </w:rPr>
            </w:pPr>
            <w:r w:rsidRPr="00F92667">
              <w:rPr>
                <w:sz w:val="16"/>
                <w:szCs w:val="16"/>
              </w:rPr>
              <w:t>0,35</w:t>
            </w:r>
          </w:p>
        </w:tc>
        <w:tc>
          <w:tcPr>
            <w:tcW w:w="240" w:type="pct"/>
            <w:shd w:val="clear" w:color="000000" w:fill="FFFFFF"/>
            <w:vAlign w:val="center"/>
          </w:tcPr>
          <w:p w14:paraId="643783B8" w14:textId="77777777" w:rsidR="001C56BD" w:rsidRPr="00F92667" w:rsidRDefault="001C56BD" w:rsidP="008A5C11">
            <w:pPr>
              <w:jc w:val="center"/>
              <w:rPr>
                <w:sz w:val="16"/>
                <w:szCs w:val="16"/>
              </w:rPr>
            </w:pPr>
            <w:r w:rsidRPr="00F92667">
              <w:rPr>
                <w:sz w:val="16"/>
                <w:szCs w:val="16"/>
              </w:rPr>
              <w:t>0,35</w:t>
            </w:r>
          </w:p>
        </w:tc>
        <w:tc>
          <w:tcPr>
            <w:tcW w:w="240" w:type="pct"/>
            <w:shd w:val="clear" w:color="000000" w:fill="FFFFFF"/>
            <w:vAlign w:val="center"/>
          </w:tcPr>
          <w:p w14:paraId="40C520FB" w14:textId="77777777" w:rsidR="001C56BD" w:rsidRPr="00F92667" w:rsidRDefault="001C56BD" w:rsidP="008A5C11">
            <w:pPr>
              <w:jc w:val="center"/>
              <w:rPr>
                <w:sz w:val="16"/>
                <w:szCs w:val="16"/>
              </w:rPr>
            </w:pPr>
            <w:r w:rsidRPr="00F92667">
              <w:rPr>
                <w:sz w:val="16"/>
                <w:szCs w:val="16"/>
              </w:rPr>
              <w:t>0,35</w:t>
            </w:r>
          </w:p>
        </w:tc>
        <w:tc>
          <w:tcPr>
            <w:tcW w:w="241" w:type="pct"/>
            <w:shd w:val="clear" w:color="000000" w:fill="FFFFFF"/>
            <w:vAlign w:val="center"/>
          </w:tcPr>
          <w:p w14:paraId="658F0FAD" w14:textId="77777777" w:rsidR="001C56BD" w:rsidRPr="00F92667" w:rsidRDefault="001C56BD" w:rsidP="008A5C11">
            <w:pPr>
              <w:jc w:val="center"/>
              <w:rPr>
                <w:sz w:val="16"/>
                <w:szCs w:val="16"/>
              </w:rPr>
            </w:pPr>
            <w:r w:rsidRPr="00F92667">
              <w:rPr>
                <w:sz w:val="16"/>
                <w:szCs w:val="16"/>
              </w:rPr>
              <w:t>0,35</w:t>
            </w:r>
          </w:p>
        </w:tc>
      </w:tr>
      <w:tr w:rsidR="001C56BD" w:rsidRPr="00F92667" w14:paraId="645EAEE0" w14:textId="77777777" w:rsidTr="008A5C11">
        <w:trPr>
          <w:trHeight w:val="510"/>
        </w:trPr>
        <w:tc>
          <w:tcPr>
            <w:tcW w:w="155" w:type="pct"/>
            <w:shd w:val="clear" w:color="auto" w:fill="auto"/>
            <w:tcMar>
              <w:left w:w="28" w:type="dxa"/>
              <w:right w:w="28" w:type="dxa"/>
            </w:tcMar>
            <w:vAlign w:val="center"/>
            <w:hideMark/>
          </w:tcPr>
          <w:p w14:paraId="4BB2854D" w14:textId="77777777" w:rsidR="001C56BD" w:rsidRPr="00F92667" w:rsidRDefault="001C56BD" w:rsidP="008A5C11">
            <w:pPr>
              <w:jc w:val="center"/>
              <w:rPr>
                <w:sz w:val="16"/>
                <w:szCs w:val="16"/>
              </w:rPr>
            </w:pPr>
            <w:r w:rsidRPr="00F92667">
              <w:rPr>
                <w:sz w:val="16"/>
                <w:szCs w:val="16"/>
              </w:rPr>
              <w:t>2.</w:t>
            </w:r>
          </w:p>
        </w:tc>
        <w:tc>
          <w:tcPr>
            <w:tcW w:w="1436" w:type="pct"/>
            <w:shd w:val="clear" w:color="auto" w:fill="auto"/>
            <w:tcMar>
              <w:left w:w="28" w:type="dxa"/>
              <w:right w:w="28" w:type="dxa"/>
            </w:tcMar>
            <w:vAlign w:val="center"/>
            <w:hideMark/>
          </w:tcPr>
          <w:p w14:paraId="1AB0AAD9" w14:textId="77777777" w:rsidR="001C56BD" w:rsidRPr="00F92667" w:rsidRDefault="001C56BD" w:rsidP="008A5C11">
            <w:pPr>
              <w:rPr>
                <w:sz w:val="16"/>
                <w:szCs w:val="16"/>
              </w:rPr>
            </w:pPr>
            <w:r w:rsidRPr="00F92667">
              <w:rPr>
                <w:sz w:val="16"/>
                <w:szCs w:val="16"/>
              </w:rPr>
              <w:t>Удельный расход условного топлива на выработку единицы тепловой энергии и (или) теплоносителя</w:t>
            </w:r>
          </w:p>
        </w:tc>
        <w:tc>
          <w:tcPr>
            <w:tcW w:w="371" w:type="pct"/>
            <w:shd w:val="clear" w:color="auto" w:fill="auto"/>
            <w:tcMar>
              <w:left w:w="28" w:type="dxa"/>
              <w:right w:w="28" w:type="dxa"/>
            </w:tcMar>
            <w:vAlign w:val="center"/>
            <w:hideMark/>
          </w:tcPr>
          <w:p w14:paraId="06971270" w14:textId="77777777" w:rsidR="001C56BD" w:rsidRPr="00F92667" w:rsidRDefault="001C56BD" w:rsidP="008A5C11">
            <w:pPr>
              <w:jc w:val="center"/>
              <w:rPr>
                <w:sz w:val="16"/>
                <w:szCs w:val="16"/>
              </w:rPr>
            </w:pPr>
            <w:r w:rsidRPr="00F92667">
              <w:rPr>
                <w:sz w:val="16"/>
                <w:szCs w:val="16"/>
              </w:rPr>
              <w:t>кг.у.т./Гкал</w:t>
            </w:r>
          </w:p>
        </w:tc>
        <w:tc>
          <w:tcPr>
            <w:tcW w:w="323" w:type="pct"/>
            <w:shd w:val="clear" w:color="auto" w:fill="auto"/>
            <w:tcMar>
              <w:left w:w="28" w:type="dxa"/>
              <w:right w:w="28" w:type="dxa"/>
            </w:tcMar>
            <w:vAlign w:val="center"/>
          </w:tcPr>
          <w:p w14:paraId="6CAB10BA" w14:textId="77777777" w:rsidR="001C56BD" w:rsidRPr="00F92667" w:rsidRDefault="001C56BD" w:rsidP="008A5C11">
            <w:pPr>
              <w:jc w:val="center"/>
              <w:rPr>
                <w:sz w:val="16"/>
                <w:szCs w:val="16"/>
              </w:rPr>
            </w:pPr>
            <w:r w:rsidRPr="00F92667">
              <w:rPr>
                <w:sz w:val="16"/>
                <w:szCs w:val="16"/>
              </w:rPr>
              <w:t>-</w:t>
            </w:r>
          </w:p>
        </w:tc>
        <w:tc>
          <w:tcPr>
            <w:tcW w:w="417" w:type="pct"/>
            <w:shd w:val="clear" w:color="auto" w:fill="auto"/>
            <w:tcMar>
              <w:left w:w="28" w:type="dxa"/>
              <w:right w:w="28" w:type="dxa"/>
            </w:tcMar>
            <w:vAlign w:val="center"/>
          </w:tcPr>
          <w:p w14:paraId="79AD98B1" w14:textId="77777777" w:rsidR="001C56BD" w:rsidRPr="00F92667" w:rsidRDefault="001C56BD" w:rsidP="008A5C11">
            <w:pPr>
              <w:jc w:val="center"/>
              <w:rPr>
                <w:sz w:val="16"/>
                <w:szCs w:val="16"/>
              </w:rPr>
            </w:pPr>
            <w:r w:rsidRPr="00F92667">
              <w:rPr>
                <w:sz w:val="16"/>
                <w:szCs w:val="16"/>
              </w:rPr>
              <w:t>-</w:t>
            </w:r>
          </w:p>
        </w:tc>
        <w:tc>
          <w:tcPr>
            <w:tcW w:w="202" w:type="pct"/>
            <w:shd w:val="clear" w:color="auto" w:fill="auto"/>
            <w:tcMar>
              <w:left w:w="28" w:type="dxa"/>
              <w:right w:w="28" w:type="dxa"/>
            </w:tcMar>
            <w:vAlign w:val="center"/>
          </w:tcPr>
          <w:p w14:paraId="13C7B883" w14:textId="77777777" w:rsidR="001C56BD" w:rsidRPr="00F92667" w:rsidRDefault="001C56BD" w:rsidP="008A5C11">
            <w:pPr>
              <w:jc w:val="center"/>
              <w:rPr>
                <w:sz w:val="16"/>
                <w:szCs w:val="16"/>
              </w:rPr>
            </w:pPr>
            <w:r w:rsidRPr="00F92667">
              <w:rPr>
                <w:sz w:val="16"/>
                <w:szCs w:val="16"/>
              </w:rPr>
              <w:t>-</w:t>
            </w:r>
          </w:p>
        </w:tc>
        <w:tc>
          <w:tcPr>
            <w:tcW w:w="240" w:type="pct"/>
            <w:shd w:val="clear" w:color="auto" w:fill="auto"/>
            <w:tcMar>
              <w:left w:w="28" w:type="dxa"/>
              <w:right w:w="28" w:type="dxa"/>
            </w:tcMar>
            <w:vAlign w:val="center"/>
          </w:tcPr>
          <w:p w14:paraId="6FFE36F4" w14:textId="77777777" w:rsidR="001C56BD" w:rsidRPr="00F92667" w:rsidRDefault="001C56BD" w:rsidP="008A5C11">
            <w:pPr>
              <w:jc w:val="center"/>
              <w:rPr>
                <w:sz w:val="16"/>
                <w:szCs w:val="16"/>
              </w:rPr>
            </w:pPr>
            <w:r w:rsidRPr="00F92667">
              <w:rPr>
                <w:sz w:val="16"/>
                <w:szCs w:val="16"/>
              </w:rPr>
              <w:t>-</w:t>
            </w:r>
          </w:p>
        </w:tc>
        <w:tc>
          <w:tcPr>
            <w:tcW w:w="200" w:type="pct"/>
            <w:shd w:val="clear" w:color="auto" w:fill="auto"/>
            <w:tcMar>
              <w:left w:w="28" w:type="dxa"/>
              <w:right w:w="28" w:type="dxa"/>
            </w:tcMar>
            <w:vAlign w:val="center"/>
          </w:tcPr>
          <w:p w14:paraId="068F25C8" w14:textId="77777777" w:rsidR="001C56BD" w:rsidRPr="00F92667" w:rsidRDefault="001C56BD" w:rsidP="008A5C11">
            <w:pPr>
              <w:jc w:val="center"/>
              <w:rPr>
                <w:sz w:val="16"/>
                <w:szCs w:val="16"/>
              </w:rPr>
            </w:pPr>
            <w:r w:rsidRPr="00F92667">
              <w:rPr>
                <w:sz w:val="16"/>
                <w:szCs w:val="16"/>
              </w:rPr>
              <w:t>-</w:t>
            </w:r>
          </w:p>
        </w:tc>
        <w:tc>
          <w:tcPr>
            <w:tcW w:w="200" w:type="pct"/>
            <w:tcMar>
              <w:left w:w="28" w:type="dxa"/>
              <w:right w:w="28" w:type="dxa"/>
            </w:tcMar>
            <w:vAlign w:val="center"/>
          </w:tcPr>
          <w:p w14:paraId="3CA915F0" w14:textId="77777777" w:rsidR="001C56BD" w:rsidRPr="00F92667" w:rsidRDefault="001C56BD" w:rsidP="008A5C11">
            <w:pPr>
              <w:jc w:val="center"/>
              <w:rPr>
                <w:sz w:val="16"/>
                <w:szCs w:val="16"/>
              </w:rPr>
            </w:pPr>
            <w:r w:rsidRPr="00F92667">
              <w:rPr>
                <w:sz w:val="16"/>
                <w:szCs w:val="16"/>
              </w:rPr>
              <w:t>-</w:t>
            </w:r>
          </w:p>
        </w:tc>
        <w:tc>
          <w:tcPr>
            <w:tcW w:w="243" w:type="pct"/>
            <w:tcMar>
              <w:left w:w="28" w:type="dxa"/>
              <w:right w:w="28" w:type="dxa"/>
            </w:tcMar>
            <w:vAlign w:val="center"/>
          </w:tcPr>
          <w:p w14:paraId="3DBB7F70" w14:textId="77777777" w:rsidR="001C56BD" w:rsidRPr="00F92667" w:rsidRDefault="001C56BD" w:rsidP="008A5C11">
            <w:pPr>
              <w:jc w:val="center"/>
              <w:rPr>
                <w:sz w:val="16"/>
                <w:szCs w:val="16"/>
              </w:rPr>
            </w:pPr>
            <w:r w:rsidRPr="00F92667">
              <w:rPr>
                <w:sz w:val="16"/>
                <w:szCs w:val="16"/>
              </w:rPr>
              <w:t>-</w:t>
            </w:r>
          </w:p>
        </w:tc>
        <w:tc>
          <w:tcPr>
            <w:tcW w:w="250" w:type="pct"/>
            <w:vAlign w:val="center"/>
          </w:tcPr>
          <w:p w14:paraId="5D14D110" w14:textId="77777777" w:rsidR="001C56BD" w:rsidRPr="00F92667" w:rsidRDefault="001C56BD" w:rsidP="008A5C11">
            <w:pPr>
              <w:jc w:val="center"/>
              <w:rPr>
                <w:sz w:val="16"/>
                <w:szCs w:val="16"/>
              </w:rPr>
            </w:pPr>
            <w:r w:rsidRPr="00F92667">
              <w:rPr>
                <w:sz w:val="16"/>
                <w:szCs w:val="16"/>
              </w:rPr>
              <w:t>-</w:t>
            </w:r>
          </w:p>
        </w:tc>
        <w:tc>
          <w:tcPr>
            <w:tcW w:w="240" w:type="pct"/>
            <w:vAlign w:val="center"/>
          </w:tcPr>
          <w:p w14:paraId="02A549CD" w14:textId="77777777" w:rsidR="001C56BD" w:rsidRPr="00F92667" w:rsidRDefault="001C56BD" w:rsidP="008A5C11">
            <w:pPr>
              <w:jc w:val="center"/>
              <w:rPr>
                <w:sz w:val="16"/>
                <w:szCs w:val="16"/>
              </w:rPr>
            </w:pPr>
            <w:r w:rsidRPr="00F92667">
              <w:rPr>
                <w:sz w:val="16"/>
                <w:szCs w:val="16"/>
              </w:rPr>
              <w:t>-</w:t>
            </w:r>
          </w:p>
        </w:tc>
        <w:tc>
          <w:tcPr>
            <w:tcW w:w="240" w:type="pct"/>
            <w:vAlign w:val="center"/>
          </w:tcPr>
          <w:p w14:paraId="1A0D0209" w14:textId="77777777" w:rsidR="001C56BD" w:rsidRPr="00F92667" w:rsidRDefault="001C56BD" w:rsidP="008A5C11">
            <w:pPr>
              <w:jc w:val="center"/>
              <w:rPr>
                <w:sz w:val="16"/>
                <w:szCs w:val="16"/>
              </w:rPr>
            </w:pPr>
            <w:r w:rsidRPr="00F92667">
              <w:rPr>
                <w:sz w:val="16"/>
                <w:szCs w:val="16"/>
              </w:rPr>
              <w:t>-</w:t>
            </w:r>
          </w:p>
        </w:tc>
        <w:tc>
          <w:tcPr>
            <w:tcW w:w="240" w:type="pct"/>
            <w:vAlign w:val="center"/>
          </w:tcPr>
          <w:p w14:paraId="0013CE78" w14:textId="77777777" w:rsidR="001C56BD" w:rsidRPr="00F92667" w:rsidRDefault="001C56BD" w:rsidP="008A5C11">
            <w:pPr>
              <w:jc w:val="center"/>
              <w:rPr>
                <w:sz w:val="16"/>
                <w:szCs w:val="16"/>
              </w:rPr>
            </w:pPr>
            <w:r w:rsidRPr="00F92667">
              <w:rPr>
                <w:sz w:val="16"/>
                <w:szCs w:val="16"/>
              </w:rPr>
              <w:t>-</w:t>
            </w:r>
          </w:p>
        </w:tc>
        <w:tc>
          <w:tcPr>
            <w:tcW w:w="241" w:type="pct"/>
            <w:vAlign w:val="center"/>
          </w:tcPr>
          <w:p w14:paraId="12E488BE" w14:textId="77777777" w:rsidR="001C56BD" w:rsidRPr="00F92667" w:rsidRDefault="001C56BD" w:rsidP="008A5C11">
            <w:pPr>
              <w:jc w:val="center"/>
              <w:rPr>
                <w:sz w:val="16"/>
                <w:szCs w:val="16"/>
              </w:rPr>
            </w:pPr>
            <w:r w:rsidRPr="00F92667">
              <w:rPr>
                <w:sz w:val="16"/>
                <w:szCs w:val="16"/>
              </w:rPr>
              <w:t>-</w:t>
            </w:r>
          </w:p>
        </w:tc>
      </w:tr>
      <w:tr w:rsidR="001C56BD" w:rsidRPr="00F92667" w14:paraId="0FED164D" w14:textId="77777777" w:rsidTr="008A5C11">
        <w:trPr>
          <w:trHeight w:val="510"/>
        </w:trPr>
        <w:tc>
          <w:tcPr>
            <w:tcW w:w="155" w:type="pct"/>
            <w:shd w:val="clear" w:color="auto" w:fill="auto"/>
            <w:tcMar>
              <w:left w:w="28" w:type="dxa"/>
              <w:right w:w="28" w:type="dxa"/>
            </w:tcMar>
            <w:vAlign w:val="center"/>
            <w:hideMark/>
          </w:tcPr>
          <w:p w14:paraId="1F67A44F" w14:textId="77777777" w:rsidR="001C56BD" w:rsidRPr="00F92667" w:rsidRDefault="001C56BD" w:rsidP="008A5C11">
            <w:pPr>
              <w:jc w:val="center"/>
              <w:rPr>
                <w:sz w:val="16"/>
                <w:szCs w:val="16"/>
              </w:rPr>
            </w:pPr>
            <w:r w:rsidRPr="00F92667">
              <w:rPr>
                <w:sz w:val="16"/>
                <w:szCs w:val="16"/>
              </w:rPr>
              <w:t>3.</w:t>
            </w:r>
          </w:p>
        </w:tc>
        <w:tc>
          <w:tcPr>
            <w:tcW w:w="1436" w:type="pct"/>
            <w:shd w:val="clear" w:color="auto" w:fill="auto"/>
            <w:tcMar>
              <w:left w:w="28" w:type="dxa"/>
              <w:right w:w="28" w:type="dxa"/>
            </w:tcMar>
            <w:vAlign w:val="center"/>
            <w:hideMark/>
          </w:tcPr>
          <w:p w14:paraId="66171F4C" w14:textId="77777777" w:rsidR="001C56BD" w:rsidRPr="00F92667" w:rsidRDefault="001C56BD" w:rsidP="008A5C11">
            <w:pPr>
              <w:rPr>
                <w:sz w:val="16"/>
                <w:szCs w:val="16"/>
              </w:rPr>
            </w:pPr>
            <w:r w:rsidRPr="00F92667">
              <w:rPr>
                <w:sz w:val="16"/>
                <w:szCs w:val="16"/>
              </w:rPr>
              <w:t>Объем присоединенной тепловой нагрузки новых потребителей</w:t>
            </w:r>
          </w:p>
        </w:tc>
        <w:tc>
          <w:tcPr>
            <w:tcW w:w="371" w:type="pct"/>
            <w:shd w:val="clear" w:color="auto" w:fill="auto"/>
            <w:tcMar>
              <w:left w:w="28" w:type="dxa"/>
              <w:right w:w="28" w:type="dxa"/>
            </w:tcMar>
            <w:vAlign w:val="center"/>
            <w:hideMark/>
          </w:tcPr>
          <w:p w14:paraId="20189415" w14:textId="77777777" w:rsidR="001C56BD" w:rsidRPr="00F92667" w:rsidRDefault="001C56BD" w:rsidP="008A5C11">
            <w:pPr>
              <w:jc w:val="center"/>
              <w:rPr>
                <w:sz w:val="16"/>
                <w:szCs w:val="16"/>
              </w:rPr>
            </w:pPr>
            <w:r w:rsidRPr="00F92667">
              <w:rPr>
                <w:sz w:val="16"/>
                <w:szCs w:val="16"/>
              </w:rPr>
              <w:t>Гкал/ч</w:t>
            </w:r>
          </w:p>
        </w:tc>
        <w:tc>
          <w:tcPr>
            <w:tcW w:w="323" w:type="pct"/>
            <w:shd w:val="clear" w:color="000000" w:fill="FFFFFF"/>
            <w:tcMar>
              <w:left w:w="28" w:type="dxa"/>
              <w:right w:w="28" w:type="dxa"/>
            </w:tcMar>
            <w:vAlign w:val="center"/>
          </w:tcPr>
          <w:p w14:paraId="69F5AB90" w14:textId="77777777" w:rsidR="001C56BD" w:rsidRPr="00F92667" w:rsidRDefault="001C56BD" w:rsidP="008A5C11">
            <w:pPr>
              <w:jc w:val="center"/>
              <w:rPr>
                <w:sz w:val="16"/>
                <w:szCs w:val="16"/>
              </w:rPr>
            </w:pPr>
            <w:r w:rsidRPr="00F92667">
              <w:rPr>
                <w:sz w:val="16"/>
                <w:szCs w:val="16"/>
              </w:rPr>
              <w:t>2,122</w:t>
            </w:r>
          </w:p>
        </w:tc>
        <w:tc>
          <w:tcPr>
            <w:tcW w:w="417" w:type="pct"/>
            <w:shd w:val="clear" w:color="000000" w:fill="FFFFFF"/>
            <w:tcMar>
              <w:left w:w="28" w:type="dxa"/>
              <w:right w:w="28" w:type="dxa"/>
            </w:tcMar>
            <w:vAlign w:val="center"/>
          </w:tcPr>
          <w:p w14:paraId="10C3AD86" w14:textId="77777777" w:rsidR="001C56BD" w:rsidRPr="00F92667" w:rsidRDefault="001C56BD" w:rsidP="008A5C11">
            <w:pPr>
              <w:jc w:val="center"/>
              <w:rPr>
                <w:sz w:val="16"/>
                <w:szCs w:val="16"/>
              </w:rPr>
            </w:pPr>
            <w:r w:rsidRPr="00F92667">
              <w:rPr>
                <w:sz w:val="16"/>
                <w:szCs w:val="16"/>
              </w:rPr>
              <w:t>2,122</w:t>
            </w:r>
          </w:p>
        </w:tc>
        <w:tc>
          <w:tcPr>
            <w:tcW w:w="202" w:type="pct"/>
            <w:shd w:val="clear" w:color="000000" w:fill="FFFFFF"/>
            <w:tcMar>
              <w:left w:w="28" w:type="dxa"/>
              <w:right w:w="28" w:type="dxa"/>
            </w:tcMar>
            <w:vAlign w:val="center"/>
          </w:tcPr>
          <w:p w14:paraId="3DE4AAF9" w14:textId="77777777" w:rsidR="001C56BD" w:rsidRPr="00F92667" w:rsidRDefault="001C56BD" w:rsidP="008A5C11">
            <w:pPr>
              <w:jc w:val="center"/>
              <w:rPr>
                <w:sz w:val="16"/>
                <w:szCs w:val="16"/>
              </w:rPr>
            </w:pPr>
            <w:r w:rsidRPr="00F92667">
              <w:rPr>
                <w:sz w:val="16"/>
                <w:szCs w:val="16"/>
              </w:rPr>
              <w:t>2,122</w:t>
            </w:r>
          </w:p>
        </w:tc>
        <w:tc>
          <w:tcPr>
            <w:tcW w:w="240" w:type="pct"/>
            <w:shd w:val="clear" w:color="auto" w:fill="auto"/>
            <w:tcMar>
              <w:left w:w="28" w:type="dxa"/>
              <w:right w:w="28" w:type="dxa"/>
            </w:tcMar>
            <w:vAlign w:val="center"/>
          </w:tcPr>
          <w:p w14:paraId="087FDC44" w14:textId="77777777" w:rsidR="001C56BD" w:rsidRPr="00F92667" w:rsidRDefault="001C56BD" w:rsidP="008A5C11">
            <w:pPr>
              <w:jc w:val="center"/>
              <w:rPr>
                <w:sz w:val="16"/>
                <w:szCs w:val="16"/>
              </w:rPr>
            </w:pPr>
            <w:r w:rsidRPr="00F92667">
              <w:rPr>
                <w:sz w:val="16"/>
                <w:szCs w:val="16"/>
              </w:rPr>
              <w:t>-</w:t>
            </w:r>
          </w:p>
        </w:tc>
        <w:tc>
          <w:tcPr>
            <w:tcW w:w="200" w:type="pct"/>
            <w:shd w:val="clear" w:color="auto" w:fill="auto"/>
            <w:tcMar>
              <w:left w:w="28" w:type="dxa"/>
              <w:right w:w="28" w:type="dxa"/>
            </w:tcMar>
            <w:vAlign w:val="center"/>
          </w:tcPr>
          <w:p w14:paraId="2C31CCF5" w14:textId="77777777" w:rsidR="001C56BD" w:rsidRPr="00F92667" w:rsidRDefault="001C56BD" w:rsidP="008A5C11">
            <w:pPr>
              <w:jc w:val="center"/>
              <w:rPr>
                <w:sz w:val="16"/>
                <w:szCs w:val="16"/>
              </w:rPr>
            </w:pPr>
            <w:r w:rsidRPr="00F92667">
              <w:rPr>
                <w:sz w:val="16"/>
                <w:szCs w:val="16"/>
              </w:rPr>
              <w:t>-</w:t>
            </w:r>
          </w:p>
        </w:tc>
        <w:tc>
          <w:tcPr>
            <w:tcW w:w="200" w:type="pct"/>
            <w:tcMar>
              <w:left w:w="28" w:type="dxa"/>
              <w:right w:w="28" w:type="dxa"/>
            </w:tcMar>
            <w:vAlign w:val="center"/>
          </w:tcPr>
          <w:p w14:paraId="0D90ABF2" w14:textId="77777777" w:rsidR="001C56BD" w:rsidRPr="00F92667" w:rsidRDefault="001C56BD" w:rsidP="008A5C11">
            <w:pPr>
              <w:jc w:val="center"/>
              <w:rPr>
                <w:sz w:val="16"/>
                <w:szCs w:val="16"/>
              </w:rPr>
            </w:pPr>
            <w:r w:rsidRPr="00F92667">
              <w:rPr>
                <w:sz w:val="16"/>
                <w:szCs w:val="16"/>
              </w:rPr>
              <w:t>-</w:t>
            </w:r>
          </w:p>
        </w:tc>
        <w:tc>
          <w:tcPr>
            <w:tcW w:w="243" w:type="pct"/>
            <w:tcMar>
              <w:left w:w="28" w:type="dxa"/>
              <w:right w:w="28" w:type="dxa"/>
            </w:tcMar>
            <w:vAlign w:val="center"/>
          </w:tcPr>
          <w:p w14:paraId="02212DB2" w14:textId="77777777" w:rsidR="001C56BD" w:rsidRPr="00F92667" w:rsidRDefault="001C56BD" w:rsidP="008A5C11">
            <w:pPr>
              <w:jc w:val="center"/>
              <w:rPr>
                <w:sz w:val="16"/>
                <w:szCs w:val="16"/>
              </w:rPr>
            </w:pPr>
            <w:r w:rsidRPr="00F92667">
              <w:rPr>
                <w:sz w:val="16"/>
                <w:szCs w:val="16"/>
              </w:rPr>
              <w:t>-</w:t>
            </w:r>
          </w:p>
        </w:tc>
        <w:tc>
          <w:tcPr>
            <w:tcW w:w="250" w:type="pct"/>
            <w:vAlign w:val="center"/>
          </w:tcPr>
          <w:p w14:paraId="4DE2C3C7" w14:textId="77777777" w:rsidR="001C56BD" w:rsidRPr="00F92667" w:rsidRDefault="001C56BD" w:rsidP="008A5C11">
            <w:pPr>
              <w:jc w:val="center"/>
              <w:rPr>
                <w:sz w:val="16"/>
                <w:szCs w:val="16"/>
              </w:rPr>
            </w:pPr>
            <w:r w:rsidRPr="00F92667">
              <w:rPr>
                <w:sz w:val="16"/>
                <w:szCs w:val="16"/>
              </w:rPr>
              <w:t>-</w:t>
            </w:r>
          </w:p>
        </w:tc>
        <w:tc>
          <w:tcPr>
            <w:tcW w:w="240" w:type="pct"/>
            <w:vAlign w:val="center"/>
          </w:tcPr>
          <w:p w14:paraId="0F7D9964" w14:textId="77777777" w:rsidR="001C56BD" w:rsidRPr="00F92667" w:rsidRDefault="001C56BD" w:rsidP="008A5C11">
            <w:pPr>
              <w:jc w:val="center"/>
              <w:rPr>
                <w:sz w:val="16"/>
                <w:szCs w:val="16"/>
              </w:rPr>
            </w:pPr>
            <w:r w:rsidRPr="00F92667">
              <w:rPr>
                <w:sz w:val="16"/>
                <w:szCs w:val="16"/>
              </w:rPr>
              <w:t>-</w:t>
            </w:r>
          </w:p>
        </w:tc>
        <w:tc>
          <w:tcPr>
            <w:tcW w:w="240" w:type="pct"/>
            <w:vAlign w:val="center"/>
          </w:tcPr>
          <w:p w14:paraId="6072519D" w14:textId="77777777" w:rsidR="001C56BD" w:rsidRPr="00F92667" w:rsidRDefault="001C56BD" w:rsidP="008A5C11">
            <w:pPr>
              <w:jc w:val="center"/>
              <w:rPr>
                <w:sz w:val="16"/>
                <w:szCs w:val="16"/>
              </w:rPr>
            </w:pPr>
            <w:r w:rsidRPr="00F92667">
              <w:rPr>
                <w:sz w:val="16"/>
                <w:szCs w:val="16"/>
              </w:rPr>
              <w:t>-</w:t>
            </w:r>
          </w:p>
        </w:tc>
        <w:tc>
          <w:tcPr>
            <w:tcW w:w="240" w:type="pct"/>
            <w:vAlign w:val="center"/>
          </w:tcPr>
          <w:p w14:paraId="1CB1EE65" w14:textId="77777777" w:rsidR="001C56BD" w:rsidRPr="00F92667" w:rsidRDefault="001C56BD" w:rsidP="008A5C11">
            <w:pPr>
              <w:jc w:val="center"/>
              <w:rPr>
                <w:sz w:val="16"/>
                <w:szCs w:val="16"/>
              </w:rPr>
            </w:pPr>
            <w:r w:rsidRPr="00F92667">
              <w:rPr>
                <w:sz w:val="16"/>
                <w:szCs w:val="16"/>
              </w:rPr>
              <w:t>-</w:t>
            </w:r>
          </w:p>
        </w:tc>
        <w:tc>
          <w:tcPr>
            <w:tcW w:w="241" w:type="pct"/>
            <w:vAlign w:val="center"/>
          </w:tcPr>
          <w:p w14:paraId="711363EB" w14:textId="77777777" w:rsidR="001C56BD" w:rsidRPr="00F92667" w:rsidRDefault="001C56BD" w:rsidP="008A5C11">
            <w:pPr>
              <w:jc w:val="center"/>
              <w:rPr>
                <w:sz w:val="16"/>
                <w:szCs w:val="16"/>
              </w:rPr>
            </w:pPr>
            <w:r w:rsidRPr="00F92667">
              <w:rPr>
                <w:sz w:val="16"/>
                <w:szCs w:val="16"/>
              </w:rPr>
              <w:t>-</w:t>
            </w:r>
          </w:p>
        </w:tc>
      </w:tr>
      <w:tr w:rsidR="001C56BD" w:rsidRPr="00F92667" w14:paraId="1EFABE40" w14:textId="77777777" w:rsidTr="008A5C11">
        <w:trPr>
          <w:trHeight w:val="420"/>
        </w:trPr>
        <w:tc>
          <w:tcPr>
            <w:tcW w:w="155" w:type="pct"/>
            <w:shd w:val="clear" w:color="auto" w:fill="auto"/>
            <w:tcMar>
              <w:left w:w="28" w:type="dxa"/>
              <w:right w:w="28" w:type="dxa"/>
            </w:tcMar>
            <w:vAlign w:val="center"/>
          </w:tcPr>
          <w:p w14:paraId="157D390E" w14:textId="77777777" w:rsidR="001C56BD" w:rsidRPr="00F92667" w:rsidRDefault="001C56BD" w:rsidP="008A5C11">
            <w:pPr>
              <w:jc w:val="center"/>
              <w:rPr>
                <w:sz w:val="16"/>
                <w:szCs w:val="16"/>
              </w:rPr>
            </w:pPr>
            <w:r w:rsidRPr="00F92667">
              <w:rPr>
                <w:sz w:val="16"/>
                <w:szCs w:val="16"/>
              </w:rPr>
              <w:t>4.</w:t>
            </w:r>
          </w:p>
        </w:tc>
        <w:tc>
          <w:tcPr>
            <w:tcW w:w="1436" w:type="pct"/>
            <w:shd w:val="clear" w:color="auto" w:fill="auto"/>
            <w:tcMar>
              <w:left w:w="28" w:type="dxa"/>
              <w:right w:w="28" w:type="dxa"/>
            </w:tcMar>
            <w:vAlign w:val="center"/>
          </w:tcPr>
          <w:p w14:paraId="00028098" w14:textId="77777777" w:rsidR="001C56BD" w:rsidRPr="00F92667" w:rsidRDefault="001C56BD" w:rsidP="008A5C11">
            <w:pPr>
              <w:rPr>
                <w:sz w:val="16"/>
                <w:szCs w:val="16"/>
              </w:rPr>
            </w:pPr>
            <w:r w:rsidRPr="00F92667">
              <w:rPr>
                <w:sz w:val="16"/>
                <w:szCs w:val="16"/>
              </w:rPr>
              <w:t>Износ объектов системы теплоснабжения, существующих на начало реализации Инвестиционной программы</w:t>
            </w:r>
          </w:p>
        </w:tc>
        <w:tc>
          <w:tcPr>
            <w:tcW w:w="371" w:type="pct"/>
            <w:shd w:val="clear" w:color="auto" w:fill="auto"/>
            <w:tcMar>
              <w:left w:w="28" w:type="dxa"/>
              <w:right w:w="28" w:type="dxa"/>
            </w:tcMar>
            <w:vAlign w:val="center"/>
          </w:tcPr>
          <w:p w14:paraId="7B0BE4AA" w14:textId="77777777" w:rsidR="001C56BD" w:rsidRPr="00F92667" w:rsidRDefault="001C56BD" w:rsidP="008A5C11">
            <w:pPr>
              <w:jc w:val="center"/>
              <w:rPr>
                <w:sz w:val="16"/>
                <w:szCs w:val="16"/>
              </w:rPr>
            </w:pPr>
            <w:r w:rsidRPr="00F92667">
              <w:rPr>
                <w:sz w:val="16"/>
                <w:szCs w:val="16"/>
              </w:rPr>
              <w:t>%</w:t>
            </w:r>
          </w:p>
        </w:tc>
        <w:tc>
          <w:tcPr>
            <w:tcW w:w="323" w:type="pct"/>
            <w:shd w:val="clear" w:color="auto" w:fill="auto"/>
            <w:tcMar>
              <w:left w:w="28" w:type="dxa"/>
              <w:right w:w="28" w:type="dxa"/>
            </w:tcMar>
            <w:vAlign w:val="center"/>
          </w:tcPr>
          <w:p w14:paraId="1250365D" w14:textId="77777777" w:rsidR="001C56BD" w:rsidRPr="00F92667" w:rsidRDefault="001C56BD" w:rsidP="008A5C11">
            <w:pPr>
              <w:jc w:val="center"/>
              <w:rPr>
                <w:sz w:val="16"/>
                <w:szCs w:val="16"/>
              </w:rPr>
            </w:pPr>
            <w:r w:rsidRPr="00F92667">
              <w:rPr>
                <w:sz w:val="16"/>
                <w:szCs w:val="16"/>
              </w:rPr>
              <w:t>-</w:t>
            </w:r>
          </w:p>
        </w:tc>
        <w:tc>
          <w:tcPr>
            <w:tcW w:w="417" w:type="pct"/>
            <w:shd w:val="clear" w:color="auto" w:fill="auto"/>
            <w:tcMar>
              <w:left w:w="28" w:type="dxa"/>
              <w:right w:w="28" w:type="dxa"/>
            </w:tcMar>
            <w:vAlign w:val="center"/>
          </w:tcPr>
          <w:p w14:paraId="2A423EB7" w14:textId="77777777" w:rsidR="001C56BD" w:rsidRPr="00F92667" w:rsidRDefault="001C56BD" w:rsidP="008A5C11">
            <w:pPr>
              <w:jc w:val="center"/>
              <w:rPr>
                <w:sz w:val="16"/>
                <w:szCs w:val="16"/>
              </w:rPr>
            </w:pPr>
            <w:r w:rsidRPr="00F92667">
              <w:rPr>
                <w:sz w:val="16"/>
                <w:szCs w:val="16"/>
              </w:rPr>
              <w:t>-</w:t>
            </w:r>
          </w:p>
        </w:tc>
        <w:tc>
          <w:tcPr>
            <w:tcW w:w="202" w:type="pct"/>
            <w:shd w:val="clear" w:color="auto" w:fill="auto"/>
            <w:tcMar>
              <w:left w:w="28" w:type="dxa"/>
              <w:right w:w="28" w:type="dxa"/>
            </w:tcMar>
            <w:vAlign w:val="center"/>
          </w:tcPr>
          <w:p w14:paraId="4A6CBD69" w14:textId="77777777" w:rsidR="001C56BD" w:rsidRPr="00F92667" w:rsidRDefault="001C56BD" w:rsidP="008A5C11">
            <w:pPr>
              <w:jc w:val="center"/>
              <w:rPr>
                <w:sz w:val="16"/>
                <w:szCs w:val="16"/>
              </w:rPr>
            </w:pPr>
            <w:r w:rsidRPr="00F92667">
              <w:rPr>
                <w:sz w:val="16"/>
                <w:szCs w:val="16"/>
              </w:rPr>
              <w:t>-</w:t>
            </w:r>
          </w:p>
        </w:tc>
        <w:tc>
          <w:tcPr>
            <w:tcW w:w="240" w:type="pct"/>
            <w:shd w:val="clear" w:color="auto" w:fill="auto"/>
            <w:tcMar>
              <w:left w:w="28" w:type="dxa"/>
              <w:right w:w="28" w:type="dxa"/>
            </w:tcMar>
            <w:vAlign w:val="center"/>
          </w:tcPr>
          <w:p w14:paraId="48AB3132" w14:textId="77777777" w:rsidR="001C56BD" w:rsidRPr="00F92667" w:rsidRDefault="001C56BD" w:rsidP="008A5C11">
            <w:pPr>
              <w:jc w:val="center"/>
              <w:rPr>
                <w:sz w:val="16"/>
                <w:szCs w:val="16"/>
              </w:rPr>
            </w:pPr>
            <w:r w:rsidRPr="00F92667">
              <w:rPr>
                <w:sz w:val="16"/>
                <w:szCs w:val="16"/>
              </w:rPr>
              <w:t>-</w:t>
            </w:r>
          </w:p>
        </w:tc>
        <w:tc>
          <w:tcPr>
            <w:tcW w:w="200" w:type="pct"/>
            <w:shd w:val="clear" w:color="auto" w:fill="auto"/>
            <w:tcMar>
              <w:left w:w="28" w:type="dxa"/>
              <w:right w:w="28" w:type="dxa"/>
            </w:tcMar>
            <w:vAlign w:val="center"/>
          </w:tcPr>
          <w:p w14:paraId="6A8B3303" w14:textId="77777777" w:rsidR="001C56BD" w:rsidRPr="00F92667" w:rsidRDefault="001C56BD" w:rsidP="008A5C11">
            <w:pPr>
              <w:jc w:val="center"/>
              <w:rPr>
                <w:sz w:val="16"/>
                <w:szCs w:val="16"/>
              </w:rPr>
            </w:pPr>
            <w:r w:rsidRPr="00F92667">
              <w:rPr>
                <w:sz w:val="16"/>
                <w:szCs w:val="16"/>
              </w:rPr>
              <w:t>-</w:t>
            </w:r>
          </w:p>
        </w:tc>
        <w:tc>
          <w:tcPr>
            <w:tcW w:w="200" w:type="pct"/>
            <w:tcMar>
              <w:left w:w="28" w:type="dxa"/>
              <w:right w:w="28" w:type="dxa"/>
            </w:tcMar>
            <w:vAlign w:val="center"/>
          </w:tcPr>
          <w:p w14:paraId="7930F0D9" w14:textId="77777777" w:rsidR="001C56BD" w:rsidRPr="00F92667" w:rsidRDefault="001C56BD" w:rsidP="008A5C11">
            <w:pPr>
              <w:jc w:val="center"/>
              <w:rPr>
                <w:sz w:val="16"/>
                <w:szCs w:val="16"/>
              </w:rPr>
            </w:pPr>
            <w:r w:rsidRPr="00F92667">
              <w:rPr>
                <w:sz w:val="16"/>
                <w:szCs w:val="16"/>
              </w:rPr>
              <w:t>-</w:t>
            </w:r>
          </w:p>
        </w:tc>
        <w:tc>
          <w:tcPr>
            <w:tcW w:w="243" w:type="pct"/>
            <w:tcMar>
              <w:left w:w="28" w:type="dxa"/>
              <w:right w:w="28" w:type="dxa"/>
            </w:tcMar>
            <w:vAlign w:val="center"/>
          </w:tcPr>
          <w:p w14:paraId="6594B136" w14:textId="77777777" w:rsidR="001C56BD" w:rsidRPr="00F92667" w:rsidRDefault="001C56BD" w:rsidP="008A5C11">
            <w:pPr>
              <w:jc w:val="center"/>
              <w:rPr>
                <w:sz w:val="16"/>
                <w:szCs w:val="16"/>
              </w:rPr>
            </w:pPr>
            <w:r w:rsidRPr="00F92667">
              <w:rPr>
                <w:sz w:val="16"/>
                <w:szCs w:val="16"/>
              </w:rPr>
              <w:t>-</w:t>
            </w:r>
          </w:p>
        </w:tc>
        <w:tc>
          <w:tcPr>
            <w:tcW w:w="250" w:type="pct"/>
            <w:vAlign w:val="center"/>
          </w:tcPr>
          <w:p w14:paraId="145F528A" w14:textId="77777777" w:rsidR="001C56BD" w:rsidRPr="00F92667" w:rsidRDefault="001C56BD" w:rsidP="008A5C11">
            <w:pPr>
              <w:jc w:val="center"/>
              <w:rPr>
                <w:sz w:val="16"/>
                <w:szCs w:val="16"/>
              </w:rPr>
            </w:pPr>
            <w:r w:rsidRPr="00F92667">
              <w:rPr>
                <w:sz w:val="16"/>
                <w:szCs w:val="16"/>
              </w:rPr>
              <w:t>-</w:t>
            </w:r>
          </w:p>
        </w:tc>
        <w:tc>
          <w:tcPr>
            <w:tcW w:w="240" w:type="pct"/>
            <w:vAlign w:val="center"/>
          </w:tcPr>
          <w:p w14:paraId="27EE3D85" w14:textId="77777777" w:rsidR="001C56BD" w:rsidRPr="00F92667" w:rsidRDefault="001C56BD" w:rsidP="008A5C11">
            <w:pPr>
              <w:jc w:val="center"/>
              <w:rPr>
                <w:sz w:val="16"/>
                <w:szCs w:val="16"/>
              </w:rPr>
            </w:pPr>
            <w:r w:rsidRPr="00F92667">
              <w:rPr>
                <w:sz w:val="16"/>
                <w:szCs w:val="16"/>
              </w:rPr>
              <w:t>-</w:t>
            </w:r>
          </w:p>
        </w:tc>
        <w:tc>
          <w:tcPr>
            <w:tcW w:w="240" w:type="pct"/>
            <w:shd w:val="clear" w:color="auto" w:fill="auto"/>
            <w:vAlign w:val="center"/>
          </w:tcPr>
          <w:p w14:paraId="79BAD26E" w14:textId="77777777" w:rsidR="001C56BD" w:rsidRPr="00F92667" w:rsidRDefault="001C56BD" w:rsidP="008A5C11">
            <w:pPr>
              <w:jc w:val="center"/>
              <w:rPr>
                <w:sz w:val="16"/>
                <w:szCs w:val="16"/>
              </w:rPr>
            </w:pPr>
            <w:r w:rsidRPr="00F92667">
              <w:rPr>
                <w:sz w:val="16"/>
                <w:szCs w:val="16"/>
              </w:rPr>
              <w:t>-</w:t>
            </w:r>
          </w:p>
        </w:tc>
        <w:tc>
          <w:tcPr>
            <w:tcW w:w="240" w:type="pct"/>
            <w:shd w:val="clear" w:color="auto" w:fill="auto"/>
            <w:vAlign w:val="center"/>
          </w:tcPr>
          <w:p w14:paraId="0F27D23B" w14:textId="77777777" w:rsidR="001C56BD" w:rsidRPr="00F92667" w:rsidRDefault="001C56BD" w:rsidP="008A5C11">
            <w:pPr>
              <w:jc w:val="center"/>
              <w:rPr>
                <w:sz w:val="16"/>
                <w:szCs w:val="16"/>
              </w:rPr>
            </w:pPr>
            <w:r w:rsidRPr="00F92667">
              <w:rPr>
                <w:sz w:val="16"/>
                <w:szCs w:val="16"/>
              </w:rPr>
              <w:t>-</w:t>
            </w:r>
          </w:p>
        </w:tc>
        <w:tc>
          <w:tcPr>
            <w:tcW w:w="241" w:type="pct"/>
            <w:shd w:val="clear" w:color="auto" w:fill="auto"/>
            <w:vAlign w:val="center"/>
          </w:tcPr>
          <w:p w14:paraId="05B8D61D" w14:textId="77777777" w:rsidR="001C56BD" w:rsidRPr="00F92667" w:rsidRDefault="001C56BD" w:rsidP="008A5C11">
            <w:pPr>
              <w:jc w:val="center"/>
              <w:rPr>
                <w:sz w:val="16"/>
                <w:szCs w:val="16"/>
              </w:rPr>
            </w:pPr>
            <w:r w:rsidRPr="00F92667">
              <w:rPr>
                <w:sz w:val="16"/>
                <w:szCs w:val="16"/>
              </w:rPr>
              <w:t>-</w:t>
            </w:r>
          </w:p>
        </w:tc>
      </w:tr>
      <w:tr w:rsidR="001C56BD" w:rsidRPr="00F92667" w14:paraId="79C0EF91" w14:textId="77777777" w:rsidTr="008A5C11">
        <w:trPr>
          <w:trHeight w:val="775"/>
        </w:trPr>
        <w:tc>
          <w:tcPr>
            <w:tcW w:w="155" w:type="pct"/>
            <w:vMerge w:val="restart"/>
            <w:shd w:val="clear" w:color="auto" w:fill="auto"/>
            <w:tcMar>
              <w:left w:w="28" w:type="dxa"/>
              <w:right w:w="28" w:type="dxa"/>
            </w:tcMar>
            <w:vAlign w:val="center"/>
            <w:hideMark/>
          </w:tcPr>
          <w:p w14:paraId="14615B12" w14:textId="77777777" w:rsidR="001C56BD" w:rsidRPr="00F92667" w:rsidRDefault="001C56BD" w:rsidP="008A5C11">
            <w:pPr>
              <w:jc w:val="center"/>
              <w:rPr>
                <w:sz w:val="16"/>
                <w:szCs w:val="16"/>
              </w:rPr>
            </w:pPr>
            <w:r w:rsidRPr="00F92667">
              <w:rPr>
                <w:sz w:val="16"/>
                <w:szCs w:val="16"/>
              </w:rPr>
              <w:t>5.</w:t>
            </w:r>
          </w:p>
        </w:tc>
        <w:tc>
          <w:tcPr>
            <w:tcW w:w="1436" w:type="pct"/>
            <w:vMerge w:val="restart"/>
            <w:shd w:val="clear" w:color="auto" w:fill="auto"/>
            <w:tcMar>
              <w:left w:w="28" w:type="dxa"/>
              <w:right w:w="28" w:type="dxa"/>
            </w:tcMar>
            <w:vAlign w:val="center"/>
            <w:hideMark/>
          </w:tcPr>
          <w:p w14:paraId="75EF6F64" w14:textId="77777777" w:rsidR="001C56BD" w:rsidRPr="00F92667" w:rsidRDefault="001C56BD" w:rsidP="008A5C11">
            <w:pPr>
              <w:rPr>
                <w:sz w:val="16"/>
                <w:szCs w:val="16"/>
              </w:rPr>
            </w:pPr>
            <w:r w:rsidRPr="00F92667">
              <w:rPr>
                <w:sz w:val="16"/>
                <w:szCs w:val="16"/>
              </w:rPr>
              <w:t>Потери тепловой энергии при передаче тепловой энергии по тепловым сетям</w:t>
            </w:r>
          </w:p>
        </w:tc>
        <w:tc>
          <w:tcPr>
            <w:tcW w:w="371" w:type="pct"/>
            <w:shd w:val="clear" w:color="auto" w:fill="auto"/>
            <w:tcMar>
              <w:left w:w="28" w:type="dxa"/>
              <w:right w:w="28" w:type="dxa"/>
            </w:tcMar>
            <w:vAlign w:val="center"/>
            <w:hideMark/>
          </w:tcPr>
          <w:p w14:paraId="7D9155D2" w14:textId="77777777" w:rsidR="001C56BD" w:rsidRPr="00F92667" w:rsidRDefault="001C56BD" w:rsidP="008A5C11">
            <w:pPr>
              <w:jc w:val="center"/>
              <w:rPr>
                <w:sz w:val="16"/>
                <w:szCs w:val="16"/>
              </w:rPr>
            </w:pPr>
            <w:r w:rsidRPr="00F92667">
              <w:rPr>
                <w:sz w:val="16"/>
                <w:szCs w:val="16"/>
              </w:rPr>
              <w:t>Гкал/год</w:t>
            </w:r>
          </w:p>
        </w:tc>
        <w:tc>
          <w:tcPr>
            <w:tcW w:w="323" w:type="pct"/>
            <w:shd w:val="clear" w:color="000000" w:fill="FFFFFF"/>
            <w:tcMar>
              <w:left w:w="28" w:type="dxa"/>
              <w:right w:w="28" w:type="dxa"/>
            </w:tcMar>
            <w:vAlign w:val="center"/>
          </w:tcPr>
          <w:p w14:paraId="4B965B4A" w14:textId="77777777" w:rsidR="001C56BD" w:rsidRPr="00F92667" w:rsidRDefault="001C56BD" w:rsidP="008A5C11">
            <w:pPr>
              <w:jc w:val="center"/>
              <w:rPr>
                <w:sz w:val="16"/>
                <w:szCs w:val="16"/>
              </w:rPr>
            </w:pPr>
            <w:r w:rsidRPr="00F92667">
              <w:rPr>
                <w:sz w:val="16"/>
                <w:szCs w:val="16"/>
              </w:rPr>
              <w:t>972,991</w:t>
            </w:r>
          </w:p>
        </w:tc>
        <w:tc>
          <w:tcPr>
            <w:tcW w:w="417" w:type="pct"/>
            <w:shd w:val="clear" w:color="auto" w:fill="auto"/>
            <w:tcMar>
              <w:left w:w="28" w:type="dxa"/>
              <w:right w:w="28" w:type="dxa"/>
            </w:tcMar>
            <w:vAlign w:val="center"/>
          </w:tcPr>
          <w:p w14:paraId="6239056A" w14:textId="77777777" w:rsidR="001C56BD" w:rsidRPr="00F92667" w:rsidRDefault="001C56BD" w:rsidP="008A5C11">
            <w:pPr>
              <w:jc w:val="center"/>
              <w:rPr>
                <w:sz w:val="16"/>
                <w:szCs w:val="16"/>
              </w:rPr>
            </w:pPr>
            <w:r w:rsidRPr="00F92667">
              <w:rPr>
                <w:sz w:val="16"/>
                <w:szCs w:val="16"/>
              </w:rPr>
              <w:t>197,89</w:t>
            </w:r>
          </w:p>
        </w:tc>
        <w:tc>
          <w:tcPr>
            <w:tcW w:w="202" w:type="pct"/>
            <w:shd w:val="clear" w:color="auto" w:fill="auto"/>
            <w:tcMar>
              <w:left w:w="28" w:type="dxa"/>
              <w:right w:w="28" w:type="dxa"/>
            </w:tcMar>
            <w:vAlign w:val="center"/>
          </w:tcPr>
          <w:p w14:paraId="4091A40D" w14:textId="77777777" w:rsidR="001C56BD" w:rsidRPr="00F92667" w:rsidRDefault="001C56BD" w:rsidP="008A5C11">
            <w:pPr>
              <w:jc w:val="center"/>
              <w:rPr>
                <w:sz w:val="16"/>
                <w:szCs w:val="16"/>
              </w:rPr>
            </w:pPr>
            <w:r w:rsidRPr="00F92667">
              <w:rPr>
                <w:sz w:val="16"/>
                <w:szCs w:val="16"/>
              </w:rPr>
              <w:t>215,18</w:t>
            </w:r>
          </w:p>
        </w:tc>
        <w:tc>
          <w:tcPr>
            <w:tcW w:w="240" w:type="pct"/>
            <w:shd w:val="clear" w:color="auto" w:fill="auto"/>
            <w:tcMar>
              <w:left w:w="28" w:type="dxa"/>
              <w:right w:w="28" w:type="dxa"/>
            </w:tcMar>
            <w:vAlign w:val="center"/>
          </w:tcPr>
          <w:p w14:paraId="2E4F59D2" w14:textId="77777777" w:rsidR="001C56BD" w:rsidRPr="00F92667" w:rsidRDefault="001C56BD" w:rsidP="008A5C11">
            <w:pPr>
              <w:jc w:val="center"/>
              <w:rPr>
                <w:sz w:val="16"/>
                <w:szCs w:val="16"/>
              </w:rPr>
            </w:pPr>
            <w:r w:rsidRPr="00F92667">
              <w:rPr>
                <w:sz w:val="16"/>
                <w:szCs w:val="16"/>
              </w:rPr>
              <w:t>210,60</w:t>
            </w:r>
          </w:p>
        </w:tc>
        <w:tc>
          <w:tcPr>
            <w:tcW w:w="200" w:type="pct"/>
            <w:shd w:val="clear" w:color="auto" w:fill="auto"/>
            <w:tcMar>
              <w:left w:w="28" w:type="dxa"/>
              <w:right w:w="28" w:type="dxa"/>
            </w:tcMar>
            <w:vAlign w:val="center"/>
          </w:tcPr>
          <w:p w14:paraId="353591A0" w14:textId="77777777" w:rsidR="001C56BD" w:rsidRPr="00F92667" w:rsidRDefault="001C56BD" w:rsidP="008A5C11">
            <w:pPr>
              <w:jc w:val="center"/>
              <w:rPr>
                <w:sz w:val="16"/>
                <w:szCs w:val="16"/>
              </w:rPr>
            </w:pPr>
            <w:r w:rsidRPr="00F92667">
              <w:rPr>
                <w:sz w:val="16"/>
                <w:szCs w:val="16"/>
              </w:rPr>
              <w:t>208,31</w:t>
            </w:r>
          </w:p>
        </w:tc>
        <w:tc>
          <w:tcPr>
            <w:tcW w:w="200" w:type="pct"/>
            <w:shd w:val="clear" w:color="auto" w:fill="auto"/>
            <w:tcMar>
              <w:left w:w="28" w:type="dxa"/>
              <w:right w:w="28" w:type="dxa"/>
            </w:tcMar>
            <w:vAlign w:val="center"/>
          </w:tcPr>
          <w:p w14:paraId="632073C6" w14:textId="77777777" w:rsidR="001C56BD" w:rsidRPr="00F92667" w:rsidRDefault="001C56BD" w:rsidP="008A5C11">
            <w:pPr>
              <w:jc w:val="center"/>
              <w:rPr>
                <w:sz w:val="16"/>
                <w:szCs w:val="16"/>
              </w:rPr>
            </w:pPr>
            <w:r w:rsidRPr="00F92667">
              <w:rPr>
                <w:sz w:val="16"/>
                <w:szCs w:val="16"/>
              </w:rPr>
              <w:t>206,83</w:t>
            </w:r>
          </w:p>
        </w:tc>
        <w:tc>
          <w:tcPr>
            <w:tcW w:w="243" w:type="pct"/>
            <w:shd w:val="clear" w:color="auto" w:fill="auto"/>
            <w:tcMar>
              <w:left w:w="28" w:type="dxa"/>
              <w:right w:w="28" w:type="dxa"/>
            </w:tcMar>
            <w:vAlign w:val="center"/>
          </w:tcPr>
          <w:p w14:paraId="6F066C29" w14:textId="77777777" w:rsidR="001C56BD" w:rsidRPr="00F92667" w:rsidRDefault="001C56BD" w:rsidP="008A5C11">
            <w:pPr>
              <w:jc w:val="center"/>
              <w:rPr>
                <w:sz w:val="16"/>
                <w:szCs w:val="16"/>
              </w:rPr>
            </w:pPr>
            <w:r w:rsidRPr="00F92667">
              <w:rPr>
                <w:sz w:val="16"/>
                <w:szCs w:val="16"/>
              </w:rPr>
              <w:t>205,30</w:t>
            </w:r>
          </w:p>
        </w:tc>
        <w:tc>
          <w:tcPr>
            <w:tcW w:w="250" w:type="pct"/>
            <w:shd w:val="clear" w:color="auto" w:fill="auto"/>
            <w:vAlign w:val="center"/>
          </w:tcPr>
          <w:p w14:paraId="64705D0C" w14:textId="77777777" w:rsidR="001C56BD" w:rsidRPr="00F92667" w:rsidRDefault="001C56BD" w:rsidP="008A5C11">
            <w:pPr>
              <w:jc w:val="center"/>
              <w:rPr>
                <w:sz w:val="16"/>
                <w:szCs w:val="16"/>
              </w:rPr>
            </w:pPr>
            <w:r w:rsidRPr="00F92667">
              <w:rPr>
                <w:sz w:val="16"/>
                <w:szCs w:val="16"/>
              </w:rPr>
              <w:t>203,79</w:t>
            </w:r>
          </w:p>
        </w:tc>
        <w:tc>
          <w:tcPr>
            <w:tcW w:w="240" w:type="pct"/>
            <w:shd w:val="clear" w:color="auto" w:fill="auto"/>
            <w:vAlign w:val="center"/>
          </w:tcPr>
          <w:p w14:paraId="45AE94D0" w14:textId="77777777" w:rsidR="001C56BD" w:rsidRPr="00F92667" w:rsidRDefault="001C56BD" w:rsidP="008A5C11">
            <w:pPr>
              <w:jc w:val="center"/>
              <w:rPr>
                <w:sz w:val="16"/>
                <w:szCs w:val="16"/>
              </w:rPr>
            </w:pPr>
            <w:r w:rsidRPr="00F92667">
              <w:rPr>
                <w:sz w:val="16"/>
                <w:szCs w:val="16"/>
              </w:rPr>
              <w:t>201,74</w:t>
            </w:r>
          </w:p>
        </w:tc>
        <w:tc>
          <w:tcPr>
            <w:tcW w:w="240" w:type="pct"/>
            <w:shd w:val="clear" w:color="auto" w:fill="auto"/>
            <w:vAlign w:val="center"/>
          </w:tcPr>
          <w:p w14:paraId="558FC847" w14:textId="77777777" w:rsidR="001C56BD" w:rsidRPr="00F92667" w:rsidRDefault="001C56BD" w:rsidP="008A5C11">
            <w:pPr>
              <w:jc w:val="center"/>
              <w:rPr>
                <w:sz w:val="16"/>
                <w:szCs w:val="16"/>
              </w:rPr>
            </w:pPr>
            <w:r w:rsidRPr="00F92667">
              <w:rPr>
                <w:sz w:val="16"/>
                <w:szCs w:val="16"/>
              </w:rPr>
              <w:t>200,09</w:t>
            </w:r>
          </w:p>
        </w:tc>
        <w:tc>
          <w:tcPr>
            <w:tcW w:w="240" w:type="pct"/>
            <w:shd w:val="clear" w:color="auto" w:fill="auto"/>
            <w:vAlign w:val="center"/>
          </w:tcPr>
          <w:p w14:paraId="08032809" w14:textId="77777777" w:rsidR="001C56BD" w:rsidRPr="00F92667" w:rsidRDefault="001C56BD" w:rsidP="008A5C11">
            <w:pPr>
              <w:jc w:val="center"/>
              <w:rPr>
                <w:sz w:val="16"/>
                <w:szCs w:val="16"/>
              </w:rPr>
            </w:pPr>
            <w:r w:rsidRPr="00F92667">
              <w:rPr>
                <w:sz w:val="16"/>
                <w:szCs w:val="16"/>
              </w:rPr>
              <w:t>199,35</w:t>
            </w:r>
          </w:p>
        </w:tc>
        <w:tc>
          <w:tcPr>
            <w:tcW w:w="241" w:type="pct"/>
            <w:shd w:val="clear" w:color="auto" w:fill="auto"/>
            <w:vAlign w:val="center"/>
          </w:tcPr>
          <w:p w14:paraId="7C238562" w14:textId="77777777" w:rsidR="001C56BD" w:rsidRPr="00F92667" w:rsidRDefault="001C56BD" w:rsidP="008A5C11">
            <w:pPr>
              <w:jc w:val="center"/>
              <w:rPr>
                <w:sz w:val="16"/>
                <w:szCs w:val="16"/>
              </w:rPr>
            </w:pPr>
            <w:r w:rsidRPr="00F92667">
              <w:rPr>
                <w:sz w:val="16"/>
                <w:szCs w:val="16"/>
              </w:rPr>
              <w:t>197,89</w:t>
            </w:r>
          </w:p>
        </w:tc>
      </w:tr>
      <w:tr w:rsidR="001C56BD" w:rsidRPr="00F92667" w14:paraId="27B265B1" w14:textId="77777777" w:rsidTr="008A5C11">
        <w:trPr>
          <w:trHeight w:val="775"/>
        </w:trPr>
        <w:tc>
          <w:tcPr>
            <w:tcW w:w="155" w:type="pct"/>
            <w:vMerge/>
            <w:shd w:val="clear" w:color="auto" w:fill="auto"/>
            <w:tcMar>
              <w:left w:w="28" w:type="dxa"/>
              <w:right w:w="28" w:type="dxa"/>
            </w:tcMar>
            <w:vAlign w:val="center"/>
          </w:tcPr>
          <w:p w14:paraId="79B38E53" w14:textId="77777777" w:rsidR="001C56BD" w:rsidRPr="00F92667" w:rsidRDefault="001C56BD" w:rsidP="008A5C11">
            <w:pPr>
              <w:jc w:val="center"/>
              <w:rPr>
                <w:sz w:val="16"/>
                <w:szCs w:val="16"/>
              </w:rPr>
            </w:pPr>
          </w:p>
        </w:tc>
        <w:tc>
          <w:tcPr>
            <w:tcW w:w="1436" w:type="pct"/>
            <w:vMerge/>
            <w:shd w:val="clear" w:color="auto" w:fill="auto"/>
            <w:tcMar>
              <w:left w:w="28" w:type="dxa"/>
              <w:right w:w="28" w:type="dxa"/>
            </w:tcMar>
            <w:vAlign w:val="center"/>
          </w:tcPr>
          <w:p w14:paraId="786801B5" w14:textId="77777777" w:rsidR="001C56BD" w:rsidRPr="00F92667" w:rsidRDefault="001C56BD" w:rsidP="008A5C11">
            <w:pPr>
              <w:rPr>
                <w:sz w:val="16"/>
                <w:szCs w:val="16"/>
              </w:rPr>
            </w:pPr>
          </w:p>
        </w:tc>
        <w:tc>
          <w:tcPr>
            <w:tcW w:w="371" w:type="pct"/>
            <w:shd w:val="clear" w:color="auto" w:fill="auto"/>
            <w:tcMar>
              <w:left w:w="28" w:type="dxa"/>
              <w:right w:w="28" w:type="dxa"/>
            </w:tcMar>
            <w:vAlign w:val="center"/>
          </w:tcPr>
          <w:p w14:paraId="49166AD3" w14:textId="77777777" w:rsidR="001C56BD" w:rsidRPr="00F92667" w:rsidRDefault="001C56BD" w:rsidP="008A5C11">
            <w:pPr>
              <w:jc w:val="center"/>
              <w:rPr>
                <w:sz w:val="16"/>
                <w:szCs w:val="16"/>
              </w:rPr>
            </w:pPr>
            <w:r w:rsidRPr="00F92667">
              <w:rPr>
                <w:sz w:val="16"/>
                <w:szCs w:val="16"/>
              </w:rPr>
              <w:t>% от полезного отпуска тепловой энергии</w:t>
            </w:r>
          </w:p>
        </w:tc>
        <w:tc>
          <w:tcPr>
            <w:tcW w:w="323" w:type="pct"/>
            <w:shd w:val="clear" w:color="auto" w:fill="auto"/>
            <w:tcMar>
              <w:left w:w="28" w:type="dxa"/>
              <w:right w:w="28" w:type="dxa"/>
            </w:tcMar>
            <w:vAlign w:val="center"/>
          </w:tcPr>
          <w:p w14:paraId="7C0CF40B" w14:textId="77777777" w:rsidR="001C56BD" w:rsidRPr="00F92667" w:rsidRDefault="001C56BD" w:rsidP="008A5C11">
            <w:pPr>
              <w:jc w:val="center"/>
              <w:rPr>
                <w:sz w:val="16"/>
                <w:szCs w:val="16"/>
              </w:rPr>
            </w:pPr>
            <w:r w:rsidRPr="00F92667">
              <w:rPr>
                <w:sz w:val="16"/>
                <w:szCs w:val="16"/>
              </w:rPr>
              <w:t>27</w:t>
            </w:r>
          </w:p>
        </w:tc>
        <w:tc>
          <w:tcPr>
            <w:tcW w:w="417" w:type="pct"/>
            <w:shd w:val="clear" w:color="auto" w:fill="auto"/>
            <w:tcMar>
              <w:left w:w="28" w:type="dxa"/>
              <w:right w:w="28" w:type="dxa"/>
            </w:tcMar>
            <w:vAlign w:val="center"/>
          </w:tcPr>
          <w:p w14:paraId="17FB5092" w14:textId="77777777" w:rsidR="001C56BD" w:rsidRPr="00F92667" w:rsidRDefault="001C56BD" w:rsidP="008A5C11">
            <w:pPr>
              <w:jc w:val="center"/>
              <w:rPr>
                <w:sz w:val="16"/>
                <w:szCs w:val="16"/>
              </w:rPr>
            </w:pPr>
            <w:r w:rsidRPr="00F92667">
              <w:rPr>
                <w:sz w:val="16"/>
                <w:szCs w:val="16"/>
              </w:rPr>
              <w:t>16</w:t>
            </w:r>
          </w:p>
        </w:tc>
        <w:tc>
          <w:tcPr>
            <w:tcW w:w="202" w:type="pct"/>
            <w:shd w:val="clear" w:color="000000" w:fill="FFFFFF"/>
            <w:tcMar>
              <w:left w:w="28" w:type="dxa"/>
              <w:right w:w="28" w:type="dxa"/>
            </w:tcMar>
            <w:vAlign w:val="center"/>
          </w:tcPr>
          <w:p w14:paraId="1F4EAD35" w14:textId="77777777" w:rsidR="001C56BD" w:rsidRPr="00F92667" w:rsidRDefault="001C56BD" w:rsidP="008A5C11">
            <w:pPr>
              <w:jc w:val="center"/>
              <w:rPr>
                <w:sz w:val="16"/>
                <w:szCs w:val="16"/>
              </w:rPr>
            </w:pPr>
            <w:r w:rsidRPr="00F92667">
              <w:rPr>
                <w:sz w:val="16"/>
                <w:szCs w:val="16"/>
              </w:rPr>
              <w:t>16</w:t>
            </w:r>
          </w:p>
        </w:tc>
        <w:tc>
          <w:tcPr>
            <w:tcW w:w="240" w:type="pct"/>
            <w:shd w:val="clear" w:color="000000" w:fill="FFFFFF"/>
            <w:tcMar>
              <w:left w:w="28" w:type="dxa"/>
              <w:right w:w="28" w:type="dxa"/>
            </w:tcMar>
            <w:vAlign w:val="center"/>
          </w:tcPr>
          <w:p w14:paraId="28579EA0" w14:textId="77777777" w:rsidR="001C56BD" w:rsidRPr="00F92667" w:rsidRDefault="001C56BD" w:rsidP="008A5C11">
            <w:pPr>
              <w:jc w:val="center"/>
              <w:rPr>
                <w:sz w:val="16"/>
                <w:szCs w:val="16"/>
              </w:rPr>
            </w:pPr>
            <w:r w:rsidRPr="00F92667">
              <w:rPr>
                <w:sz w:val="16"/>
                <w:szCs w:val="16"/>
              </w:rPr>
              <w:t>16</w:t>
            </w:r>
          </w:p>
        </w:tc>
        <w:tc>
          <w:tcPr>
            <w:tcW w:w="200" w:type="pct"/>
            <w:shd w:val="clear" w:color="000000" w:fill="FFFFFF"/>
            <w:tcMar>
              <w:left w:w="28" w:type="dxa"/>
              <w:right w:w="28" w:type="dxa"/>
            </w:tcMar>
            <w:vAlign w:val="center"/>
          </w:tcPr>
          <w:p w14:paraId="446D27D5" w14:textId="77777777" w:rsidR="001C56BD" w:rsidRPr="00F92667" w:rsidRDefault="001C56BD" w:rsidP="008A5C11">
            <w:pPr>
              <w:jc w:val="center"/>
              <w:rPr>
                <w:sz w:val="16"/>
                <w:szCs w:val="16"/>
              </w:rPr>
            </w:pPr>
            <w:r w:rsidRPr="00F92667">
              <w:rPr>
                <w:sz w:val="16"/>
                <w:szCs w:val="16"/>
              </w:rPr>
              <w:t>16</w:t>
            </w:r>
          </w:p>
        </w:tc>
        <w:tc>
          <w:tcPr>
            <w:tcW w:w="200" w:type="pct"/>
            <w:shd w:val="clear" w:color="000000" w:fill="FFFFFF"/>
            <w:tcMar>
              <w:left w:w="28" w:type="dxa"/>
              <w:right w:w="28" w:type="dxa"/>
            </w:tcMar>
            <w:vAlign w:val="center"/>
          </w:tcPr>
          <w:p w14:paraId="2A9DE9B3" w14:textId="77777777" w:rsidR="001C56BD" w:rsidRPr="00F92667" w:rsidRDefault="001C56BD" w:rsidP="008A5C11">
            <w:pPr>
              <w:jc w:val="center"/>
              <w:rPr>
                <w:sz w:val="16"/>
                <w:szCs w:val="16"/>
              </w:rPr>
            </w:pPr>
            <w:r w:rsidRPr="00F92667">
              <w:rPr>
                <w:sz w:val="16"/>
                <w:szCs w:val="16"/>
              </w:rPr>
              <w:t>16</w:t>
            </w:r>
          </w:p>
        </w:tc>
        <w:tc>
          <w:tcPr>
            <w:tcW w:w="243" w:type="pct"/>
            <w:shd w:val="clear" w:color="000000" w:fill="FFFFFF"/>
            <w:tcMar>
              <w:left w:w="28" w:type="dxa"/>
              <w:right w:w="28" w:type="dxa"/>
            </w:tcMar>
            <w:vAlign w:val="center"/>
          </w:tcPr>
          <w:p w14:paraId="071B5145" w14:textId="77777777" w:rsidR="001C56BD" w:rsidRPr="00F92667" w:rsidRDefault="001C56BD" w:rsidP="008A5C11">
            <w:pPr>
              <w:jc w:val="center"/>
              <w:rPr>
                <w:sz w:val="16"/>
                <w:szCs w:val="16"/>
              </w:rPr>
            </w:pPr>
            <w:r w:rsidRPr="00F92667">
              <w:rPr>
                <w:sz w:val="16"/>
                <w:szCs w:val="16"/>
              </w:rPr>
              <w:t>16</w:t>
            </w:r>
          </w:p>
        </w:tc>
        <w:tc>
          <w:tcPr>
            <w:tcW w:w="250" w:type="pct"/>
            <w:shd w:val="clear" w:color="000000" w:fill="FFFFFF"/>
            <w:vAlign w:val="center"/>
          </w:tcPr>
          <w:p w14:paraId="3E09845B" w14:textId="77777777" w:rsidR="001C56BD" w:rsidRPr="00F92667" w:rsidRDefault="001C56BD" w:rsidP="008A5C11">
            <w:pPr>
              <w:jc w:val="center"/>
              <w:rPr>
                <w:sz w:val="16"/>
                <w:szCs w:val="16"/>
              </w:rPr>
            </w:pPr>
            <w:r w:rsidRPr="00F92667">
              <w:rPr>
                <w:sz w:val="16"/>
                <w:szCs w:val="16"/>
              </w:rPr>
              <w:t>16</w:t>
            </w:r>
          </w:p>
        </w:tc>
        <w:tc>
          <w:tcPr>
            <w:tcW w:w="240" w:type="pct"/>
            <w:shd w:val="clear" w:color="000000" w:fill="FFFFFF"/>
            <w:vAlign w:val="center"/>
          </w:tcPr>
          <w:p w14:paraId="0E276B0E" w14:textId="77777777" w:rsidR="001C56BD" w:rsidRPr="00F92667" w:rsidRDefault="001C56BD" w:rsidP="008A5C11">
            <w:pPr>
              <w:jc w:val="center"/>
              <w:rPr>
                <w:sz w:val="16"/>
                <w:szCs w:val="16"/>
              </w:rPr>
            </w:pPr>
            <w:r w:rsidRPr="00F92667">
              <w:rPr>
                <w:sz w:val="16"/>
                <w:szCs w:val="16"/>
              </w:rPr>
              <w:t>16</w:t>
            </w:r>
          </w:p>
        </w:tc>
        <w:tc>
          <w:tcPr>
            <w:tcW w:w="240" w:type="pct"/>
            <w:shd w:val="clear" w:color="000000" w:fill="FFFFFF"/>
            <w:vAlign w:val="center"/>
          </w:tcPr>
          <w:p w14:paraId="1942C351" w14:textId="77777777" w:rsidR="001C56BD" w:rsidRPr="00F92667" w:rsidRDefault="001C56BD" w:rsidP="008A5C11">
            <w:pPr>
              <w:jc w:val="center"/>
              <w:rPr>
                <w:sz w:val="16"/>
                <w:szCs w:val="16"/>
              </w:rPr>
            </w:pPr>
            <w:r w:rsidRPr="00F92667">
              <w:rPr>
                <w:sz w:val="16"/>
                <w:szCs w:val="16"/>
              </w:rPr>
              <w:t>16</w:t>
            </w:r>
          </w:p>
        </w:tc>
        <w:tc>
          <w:tcPr>
            <w:tcW w:w="240" w:type="pct"/>
            <w:shd w:val="clear" w:color="000000" w:fill="FFFFFF"/>
            <w:vAlign w:val="center"/>
          </w:tcPr>
          <w:p w14:paraId="314BBBFD" w14:textId="77777777" w:rsidR="001C56BD" w:rsidRPr="00F92667" w:rsidRDefault="001C56BD" w:rsidP="008A5C11">
            <w:pPr>
              <w:jc w:val="center"/>
              <w:rPr>
                <w:sz w:val="16"/>
                <w:szCs w:val="16"/>
              </w:rPr>
            </w:pPr>
            <w:r w:rsidRPr="00F92667">
              <w:rPr>
                <w:sz w:val="16"/>
                <w:szCs w:val="16"/>
              </w:rPr>
              <w:t>16</w:t>
            </w:r>
          </w:p>
        </w:tc>
        <w:tc>
          <w:tcPr>
            <w:tcW w:w="241" w:type="pct"/>
            <w:shd w:val="clear" w:color="000000" w:fill="FFFFFF"/>
            <w:vAlign w:val="center"/>
          </w:tcPr>
          <w:p w14:paraId="4177B047" w14:textId="77777777" w:rsidR="001C56BD" w:rsidRPr="00F92667" w:rsidRDefault="001C56BD" w:rsidP="008A5C11">
            <w:pPr>
              <w:jc w:val="center"/>
              <w:rPr>
                <w:sz w:val="16"/>
                <w:szCs w:val="16"/>
              </w:rPr>
            </w:pPr>
            <w:r w:rsidRPr="00F92667">
              <w:rPr>
                <w:sz w:val="16"/>
                <w:szCs w:val="16"/>
              </w:rPr>
              <w:t>16</w:t>
            </w:r>
          </w:p>
        </w:tc>
      </w:tr>
      <w:tr w:rsidR="001C56BD" w:rsidRPr="00F92667" w14:paraId="71AE87E3" w14:textId="77777777" w:rsidTr="008A5C11">
        <w:trPr>
          <w:trHeight w:val="255"/>
        </w:trPr>
        <w:tc>
          <w:tcPr>
            <w:tcW w:w="155" w:type="pct"/>
            <w:vMerge w:val="restart"/>
            <w:shd w:val="clear" w:color="auto" w:fill="auto"/>
            <w:tcMar>
              <w:left w:w="28" w:type="dxa"/>
              <w:right w:w="28" w:type="dxa"/>
            </w:tcMar>
            <w:vAlign w:val="center"/>
            <w:hideMark/>
          </w:tcPr>
          <w:p w14:paraId="01F3FF3C" w14:textId="77777777" w:rsidR="001C56BD" w:rsidRPr="00F92667" w:rsidRDefault="001C56BD" w:rsidP="008A5C11">
            <w:pPr>
              <w:jc w:val="center"/>
              <w:rPr>
                <w:sz w:val="16"/>
                <w:szCs w:val="16"/>
              </w:rPr>
            </w:pPr>
            <w:r w:rsidRPr="00F92667">
              <w:rPr>
                <w:sz w:val="16"/>
                <w:szCs w:val="16"/>
              </w:rPr>
              <w:t>6.</w:t>
            </w:r>
          </w:p>
        </w:tc>
        <w:tc>
          <w:tcPr>
            <w:tcW w:w="1436" w:type="pct"/>
            <w:vMerge w:val="restart"/>
            <w:shd w:val="clear" w:color="auto" w:fill="auto"/>
            <w:tcMar>
              <w:left w:w="28" w:type="dxa"/>
              <w:right w:w="28" w:type="dxa"/>
            </w:tcMar>
            <w:vAlign w:val="center"/>
            <w:hideMark/>
          </w:tcPr>
          <w:p w14:paraId="089362AA" w14:textId="77777777" w:rsidR="001C56BD" w:rsidRPr="00F92667" w:rsidRDefault="001C56BD" w:rsidP="008A5C11">
            <w:pPr>
              <w:rPr>
                <w:sz w:val="16"/>
                <w:szCs w:val="16"/>
              </w:rPr>
            </w:pPr>
            <w:r w:rsidRPr="00F92667">
              <w:rPr>
                <w:sz w:val="16"/>
                <w:szCs w:val="16"/>
              </w:rPr>
              <w:t>Потери теплоносителя при передаче тепловой энергии по тепловым сетям</w:t>
            </w:r>
          </w:p>
        </w:tc>
        <w:tc>
          <w:tcPr>
            <w:tcW w:w="371" w:type="pct"/>
            <w:shd w:val="clear" w:color="auto" w:fill="auto"/>
            <w:tcMar>
              <w:left w:w="28" w:type="dxa"/>
              <w:right w:w="28" w:type="dxa"/>
            </w:tcMar>
            <w:vAlign w:val="center"/>
            <w:hideMark/>
          </w:tcPr>
          <w:p w14:paraId="193CBA47" w14:textId="77777777" w:rsidR="001C56BD" w:rsidRPr="00F92667" w:rsidRDefault="001C56BD" w:rsidP="008A5C11">
            <w:pPr>
              <w:jc w:val="center"/>
              <w:rPr>
                <w:sz w:val="16"/>
                <w:szCs w:val="16"/>
              </w:rPr>
            </w:pPr>
            <w:r w:rsidRPr="00F92667">
              <w:rPr>
                <w:sz w:val="16"/>
                <w:szCs w:val="16"/>
              </w:rPr>
              <w:t>тонн в год для воды</w:t>
            </w:r>
          </w:p>
        </w:tc>
        <w:tc>
          <w:tcPr>
            <w:tcW w:w="323" w:type="pct"/>
            <w:shd w:val="clear" w:color="auto" w:fill="auto"/>
            <w:tcMar>
              <w:left w:w="28" w:type="dxa"/>
              <w:right w:w="28" w:type="dxa"/>
            </w:tcMar>
            <w:vAlign w:val="center"/>
          </w:tcPr>
          <w:p w14:paraId="49C2E7D6" w14:textId="77777777" w:rsidR="001C56BD" w:rsidRPr="00F92667" w:rsidRDefault="001C56BD" w:rsidP="008A5C11">
            <w:pPr>
              <w:jc w:val="center"/>
              <w:rPr>
                <w:sz w:val="16"/>
                <w:szCs w:val="16"/>
              </w:rPr>
            </w:pPr>
            <w:r w:rsidRPr="00F92667">
              <w:rPr>
                <w:sz w:val="16"/>
                <w:szCs w:val="16"/>
              </w:rPr>
              <w:t>3 412,38</w:t>
            </w:r>
          </w:p>
        </w:tc>
        <w:tc>
          <w:tcPr>
            <w:tcW w:w="417" w:type="pct"/>
            <w:shd w:val="clear" w:color="auto" w:fill="auto"/>
            <w:tcMar>
              <w:left w:w="28" w:type="dxa"/>
              <w:right w:w="28" w:type="dxa"/>
            </w:tcMar>
            <w:vAlign w:val="center"/>
          </w:tcPr>
          <w:p w14:paraId="5544D438" w14:textId="77777777" w:rsidR="001C56BD" w:rsidRPr="00F92667" w:rsidRDefault="001C56BD" w:rsidP="008A5C11">
            <w:pPr>
              <w:jc w:val="center"/>
              <w:rPr>
                <w:sz w:val="16"/>
                <w:szCs w:val="16"/>
              </w:rPr>
            </w:pPr>
            <w:r w:rsidRPr="00F92667">
              <w:rPr>
                <w:sz w:val="16"/>
                <w:szCs w:val="16"/>
              </w:rPr>
              <w:t>234,99</w:t>
            </w:r>
          </w:p>
        </w:tc>
        <w:tc>
          <w:tcPr>
            <w:tcW w:w="202" w:type="pct"/>
            <w:shd w:val="clear" w:color="auto" w:fill="auto"/>
            <w:tcMar>
              <w:left w:w="28" w:type="dxa"/>
              <w:right w:w="28" w:type="dxa"/>
            </w:tcMar>
            <w:vAlign w:val="center"/>
          </w:tcPr>
          <w:p w14:paraId="4C8E57D6" w14:textId="77777777" w:rsidR="001C56BD" w:rsidRPr="00F92667" w:rsidRDefault="001C56BD" w:rsidP="008A5C11">
            <w:pPr>
              <w:jc w:val="center"/>
              <w:rPr>
                <w:sz w:val="16"/>
                <w:szCs w:val="16"/>
              </w:rPr>
            </w:pPr>
            <w:r w:rsidRPr="00F92667">
              <w:rPr>
                <w:sz w:val="16"/>
                <w:szCs w:val="16"/>
              </w:rPr>
              <w:t>242,44</w:t>
            </w:r>
          </w:p>
        </w:tc>
        <w:tc>
          <w:tcPr>
            <w:tcW w:w="240" w:type="pct"/>
            <w:shd w:val="clear" w:color="auto" w:fill="auto"/>
            <w:tcMar>
              <w:left w:w="28" w:type="dxa"/>
              <w:right w:w="28" w:type="dxa"/>
            </w:tcMar>
            <w:vAlign w:val="center"/>
          </w:tcPr>
          <w:p w14:paraId="0BCC9160" w14:textId="77777777" w:rsidR="001C56BD" w:rsidRPr="00F92667" w:rsidRDefault="001C56BD" w:rsidP="008A5C11">
            <w:pPr>
              <w:jc w:val="center"/>
              <w:rPr>
                <w:sz w:val="16"/>
                <w:szCs w:val="16"/>
              </w:rPr>
            </w:pPr>
            <w:r w:rsidRPr="00F92667">
              <w:rPr>
                <w:sz w:val="16"/>
                <w:szCs w:val="16"/>
              </w:rPr>
              <w:t>234,99</w:t>
            </w:r>
          </w:p>
        </w:tc>
        <w:tc>
          <w:tcPr>
            <w:tcW w:w="200" w:type="pct"/>
            <w:shd w:val="clear" w:color="auto" w:fill="auto"/>
            <w:tcMar>
              <w:left w:w="28" w:type="dxa"/>
              <w:right w:w="28" w:type="dxa"/>
            </w:tcMar>
            <w:vAlign w:val="center"/>
          </w:tcPr>
          <w:p w14:paraId="41F1C12E" w14:textId="77777777" w:rsidR="001C56BD" w:rsidRPr="00F92667" w:rsidRDefault="001C56BD" w:rsidP="008A5C11">
            <w:pPr>
              <w:jc w:val="center"/>
              <w:rPr>
                <w:sz w:val="16"/>
                <w:szCs w:val="16"/>
              </w:rPr>
            </w:pPr>
            <w:r w:rsidRPr="00F92667">
              <w:rPr>
                <w:sz w:val="16"/>
                <w:szCs w:val="16"/>
              </w:rPr>
              <w:t>234,99</w:t>
            </w:r>
          </w:p>
        </w:tc>
        <w:tc>
          <w:tcPr>
            <w:tcW w:w="200" w:type="pct"/>
            <w:shd w:val="clear" w:color="auto" w:fill="auto"/>
            <w:tcMar>
              <w:left w:w="28" w:type="dxa"/>
              <w:right w:w="28" w:type="dxa"/>
            </w:tcMar>
            <w:vAlign w:val="center"/>
          </w:tcPr>
          <w:p w14:paraId="728CC91D" w14:textId="77777777" w:rsidR="001C56BD" w:rsidRPr="00F92667" w:rsidRDefault="001C56BD" w:rsidP="008A5C11">
            <w:pPr>
              <w:jc w:val="center"/>
              <w:rPr>
                <w:sz w:val="16"/>
                <w:szCs w:val="16"/>
              </w:rPr>
            </w:pPr>
            <w:r w:rsidRPr="00F92667">
              <w:rPr>
                <w:sz w:val="16"/>
                <w:szCs w:val="16"/>
              </w:rPr>
              <w:t>234,99</w:t>
            </w:r>
          </w:p>
        </w:tc>
        <w:tc>
          <w:tcPr>
            <w:tcW w:w="243" w:type="pct"/>
            <w:shd w:val="clear" w:color="auto" w:fill="auto"/>
            <w:tcMar>
              <w:left w:w="28" w:type="dxa"/>
              <w:right w:w="28" w:type="dxa"/>
            </w:tcMar>
            <w:vAlign w:val="center"/>
          </w:tcPr>
          <w:p w14:paraId="1E0C61B6" w14:textId="77777777" w:rsidR="001C56BD" w:rsidRPr="00F92667" w:rsidRDefault="001C56BD" w:rsidP="008A5C11">
            <w:pPr>
              <w:jc w:val="center"/>
              <w:rPr>
                <w:sz w:val="16"/>
                <w:szCs w:val="16"/>
              </w:rPr>
            </w:pPr>
            <w:r w:rsidRPr="00F92667">
              <w:rPr>
                <w:sz w:val="16"/>
                <w:szCs w:val="16"/>
              </w:rPr>
              <w:t>234,99</w:t>
            </w:r>
          </w:p>
        </w:tc>
        <w:tc>
          <w:tcPr>
            <w:tcW w:w="250" w:type="pct"/>
            <w:shd w:val="clear" w:color="auto" w:fill="auto"/>
            <w:vAlign w:val="center"/>
          </w:tcPr>
          <w:p w14:paraId="5C0D467A" w14:textId="77777777" w:rsidR="001C56BD" w:rsidRPr="00F92667" w:rsidRDefault="001C56BD" w:rsidP="008A5C11">
            <w:pPr>
              <w:jc w:val="center"/>
              <w:rPr>
                <w:sz w:val="16"/>
                <w:szCs w:val="16"/>
              </w:rPr>
            </w:pPr>
            <w:r w:rsidRPr="00F92667">
              <w:rPr>
                <w:sz w:val="16"/>
                <w:szCs w:val="16"/>
              </w:rPr>
              <w:t>234,99</w:t>
            </w:r>
          </w:p>
        </w:tc>
        <w:tc>
          <w:tcPr>
            <w:tcW w:w="240" w:type="pct"/>
            <w:shd w:val="clear" w:color="auto" w:fill="auto"/>
            <w:vAlign w:val="center"/>
          </w:tcPr>
          <w:p w14:paraId="04559B7A" w14:textId="77777777" w:rsidR="001C56BD" w:rsidRPr="00F92667" w:rsidRDefault="001C56BD" w:rsidP="008A5C11">
            <w:pPr>
              <w:jc w:val="center"/>
              <w:rPr>
                <w:sz w:val="16"/>
                <w:szCs w:val="16"/>
              </w:rPr>
            </w:pPr>
            <w:r w:rsidRPr="00F92667">
              <w:rPr>
                <w:sz w:val="16"/>
                <w:szCs w:val="16"/>
              </w:rPr>
              <w:t>234,99</w:t>
            </w:r>
          </w:p>
        </w:tc>
        <w:tc>
          <w:tcPr>
            <w:tcW w:w="240" w:type="pct"/>
            <w:shd w:val="clear" w:color="auto" w:fill="auto"/>
            <w:vAlign w:val="center"/>
          </w:tcPr>
          <w:p w14:paraId="633A5309" w14:textId="77777777" w:rsidR="001C56BD" w:rsidRPr="00F92667" w:rsidRDefault="001C56BD" w:rsidP="008A5C11">
            <w:pPr>
              <w:jc w:val="center"/>
              <w:rPr>
                <w:sz w:val="16"/>
                <w:szCs w:val="16"/>
              </w:rPr>
            </w:pPr>
            <w:r w:rsidRPr="00F92667">
              <w:rPr>
                <w:sz w:val="16"/>
                <w:szCs w:val="16"/>
              </w:rPr>
              <w:t>234,99</w:t>
            </w:r>
          </w:p>
        </w:tc>
        <w:tc>
          <w:tcPr>
            <w:tcW w:w="240" w:type="pct"/>
            <w:shd w:val="clear" w:color="auto" w:fill="auto"/>
            <w:vAlign w:val="center"/>
          </w:tcPr>
          <w:p w14:paraId="4F90778E" w14:textId="77777777" w:rsidR="001C56BD" w:rsidRPr="00F92667" w:rsidRDefault="001C56BD" w:rsidP="008A5C11">
            <w:pPr>
              <w:jc w:val="center"/>
              <w:rPr>
                <w:sz w:val="16"/>
                <w:szCs w:val="16"/>
              </w:rPr>
            </w:pPr>
            <w:r w:rsidRPr="00F92667">
              <w:rPr>
                <w:sz w:val="16"/>
                <w:szCs w:val="16"/>
              </w:rPr>
              <w:t>234,99</w:t>
            </w:r>
          </w:p>
        </w:tc>
        <w:tc>
          <w:tcPr>
            <w:tcW w:w="241" w:type="pct"/>
            <w:shd w:val="clear" w:color="auto" w:fill="auto"/>
            <w:vAlign w:val="center"/>
          </w:tcPr>
          <w:p w14:paraId="74476304" w14:textId="77777777" w:rsidR="001C56BD" w:rsidRPr="00F92667" w:rsidRDefault="001C56BD" w:rsidP="008A5C11">
            <w:pPr>
              <w:jc w:val="center"/>
              <w:rPr>
                <w:sz w:val="16"/>
                <w:szCs w:val="16"/>
              </w:rPr>
            </w:pPr>
            <w:r w:rsidRPr="00F92667">
              <w:rPr>
                <w:sz w:val="16"/>
                <w:szCs w:val="16"/>
              </w:rPr>
              <w:t>234,99</w:t>
            </w:r>
          </w:p>
        </w:tc>
      </w:tr>
      <w:tr w:rsidR="001C56BD" w:rsidRPr="00F92667" w14:paraId="2ED05837" w14:textId="77777777" w:rsidTr="008A5C11">
        <w:trPr>
          <w:trHeight w:val="255"/>
        </w:trPr>
        <w:tc>
          <w:tcPr>
            <w:tcW w:w="155" w:type="pct"/>
            <w:vMerge/>
            <w:tcMar>
              <w:left w:w="28" w:type="dxa"/>
              <w:right w:w="28" w:type="dxa"/>
            </w:tcMar>
            <w:vAlign w:val="center"/>
            <w:hideMark/>
          </w:tcPr>
          <w:p w14:paraId="4F9FFDFC" w14:textId="77777777" w:rsidR="001C56BD" w:rsidRPr="00F92667" w:rsidRDefault="001C56BD" w:rsidP="008A5C11">
            <w:pPr>
              <w:jc w:val="center"/>
              <w:rPr>
                <w:sz w:val="16"/>
                <w:szCs w:val="16"/>
              </w:rPr>
            </w:pPr>
          </w:p>
        </w:tc>
        <w:tc>
          <w:tcPr>
            <w:tcW w:w="1436" w:type="pct"/>
            <w:vMerge/>
            <w:tcMar>
              <w:left w:w="28" w:type="dxa"/>
              <w:right w:w="28" w:type="dxa"/>
            </w:tcMar>
            <w:vAlign w:val="center"/>
            <w:hideMark/>
          </w:tcPr>
          <w:p w14:paraId="47DF8363" w14:textId="77777777" w:rsidR="001C56BD" w:rsidRPr="00F92667" w:rsidRDefault="001C56BD" w:rsidP="008A5C11">
            <w:pPr>
              <w:rPr>
                <w:sz w:val="16"/>
                <w:szCs w:val="16"/>
              </w:rPr>
            </w:pPr>
          </w:p>
        </w:tc>
        <w:tc>
          <w:tcPr>
            <w:tcW w:w="371" w:type="pct"/>
            <w:shd w:val="clear" w:color="auto" w:fill="auto"/>
            <w:tcMar>
              <w:left w:w="28" w:type="dxa"/>
              <w:right w:w="28" w:type="dxa"/>
            </w:tcMar>
            <w:vAlign w:val="center"/>
            <w:hideMark/>
          </w:tcPr>
          <w:p w14:paraId="64C05ACF" w14:textId="77777777" w:rsidR="001C56BD" w:rsidRPr="00F92667" w:rsidRDefault="001C56BD" w:rsidP="008A5C11">
            <w:pPr>
              <w:jc w:val="center"/>
              <w:rPr>
                <w:sz w:val="16"/>
                <w:szCs w:val="16"/>
              </w:rPr>
            </w:pPr>
            <w:r w:rsidRPr="00F92667">
              <w:rPr>
                <w:sz w:val="16"/>
                <w:szCs w:val="16"/>
              </w:rPr>
              <w:t>м</w:t>
            </w:r>
            <w:r w:rsidRPr="00F92667">
              <w:rPr>
                <w:sz w:val="16"/>
                <w:szCs w:val="16"/>
                <w:vertAlign w:val="superscript"/>
              </w:rPr>
              <w:t>3</w:t>
            </w:r>
            <w:r w:rsidRPr="00F92667">
              <w:rPr>
                <w:sz w:val="16"/>
                <w:szCs w:val="16"/>
              </w:rPr>
              <w:t xml:space="preserve"> для пара</w:t>
            </w:r>
          </w:p>
        </w:tc>
        <w:tc>
          <w:tcPr>
            <w:tcW w:w="323" w:type="pct"/>
            <w:shd w:val="clear" w:color="auto" w:fill="auto"/>
            <w:tcMar>
              <w:left w:w="28" w:type="dxa"/>
              <w:right w:w="28" w:type="dxa"/>
            </w:tcMar>
            <w:vAlign w:val="center"/>
          </w:tcPr>
          <w:p w14:paraId="42689BFA" w14:textId="77777777" w:rsidR="001C56BD" w:rsidRPr="00F92667" w:rsidRDefault="001C56BD" w:rsidP="008A5C11">
            <w:pPr>
              <w:jc w:val="center"/>
              <w:rPr>
                <w:sz w:val="16"/>
                <w:szCs w:val="16"/>
              </w:rPr>
            </w:pPr>
            <w:r w:rsidRPr="00F92667">
              <w:rPr>
                <w:sz w:val="16"/>
                <w:szCs w:val="16"/>
              </w:rPr>
              <w:t>-</w:t>
            </w:r>
          </w:p>
        </w:tc>
        <w:tc>
          <w:tcPr>
            <w:tcW w:w="417" w:type="pct"/>
            <w:shd w:val="clear" w:color="auto" w:fill="auto"/>
            <w:tcMar>
              <w:left w:w="28" w:type="dxa"/>
              <w:right w:w="28" w:type="dxa"/>
            </w:tcMar>
            <w:vAlign w:val="center"/>
          </w:tcPr>
          <w:p w14:paraId="4234AB6C" w14:textId="77777777" w:rsidR="001C56BD" w:rsidRPr="00F92667" w:rsidRDefault="001C56BD" w:rsidP="008A5C11">
            <w:pPr>
              <w:jc w:val="center"/>
              <w:rPr>
                <w:sz w:val="16"/>
                <w:szCs w:val="16"/>
              </w:rPr>
            </w:pPr>
            <w:r w:rsidRPr="00F92667">
              <w:rPr>
                <w:sz w:val="16"/>
                <w:szCs w:val="16"/>
              </w:rPr>
              <w:t>-</w:t>
            </w:r>
          </w:p>
        </w:tc>
        <w:tc>
          <w:tcPr>
            <w:tcW w:w="202" w:type="pct"/>
            <w:shd w:val="clear" w:color="auto" w:fill="auto"/>
            <w:tcMar>
              <w:left w:w="28" w:type="dxa"/>
              <w:right w:w="28" w:type="dxa"/>
            </w:tcMar>
            <w:vAlign w:val="center"/>
          </w:tcPr>
          <w:p w14:paraId="79A133C2" w14:textId="77777777" w:rsidR="001C56BD" w:rsidRPr="00F92667" w:rsidRDefault="001C56BD" w:rsidP="008A5C11">
            <w:pPr>
              <w:jc w:val="center"/>
              <w:rPr>
                <w:sz w:val="16"/>
                <w:szCs w:val="16"/>
              </w:rPr>
            </w:pPr>
            <w:r w:rsidRPr="00F92667">
              <w:rPr>
                <w:sz w:val="16"/>
                <w:szCs w:val="16"/>
              </w:rPr>
              <w:t>-</w:t>
            </w:r>
          </w:p>
        </w:tc>
        <w:tc>
          <w:tcPr>
            <w:tcW w:w="240" w:type="pct"/>
            <w:shd w:val="clear" w:color="auto" w:fill="auto"/>
            <w:tcMar>
              <w:left w:w="28" w:type="dxa"/>
              <w:right w:w="28" w:type="dxa"/>
            </w:tcMar>
            <w:vAlign w:val="center"/>
          </w:tcPr>
          <w:p w14:paraId="384B9E66" w14:textId="77777777" w:rsidR="001C56BD" w:rsidRPr="00F92667" w:rsidRDefault="001C56BD" w:rsidP="008A5C11">
            <w:pPr>
              <w:jc w:val="center"/>
              <w:rPr>
                <w:sz w:val="16"/>
                <w:szCs w:val="16"/>
              </w:rPr>
            </w:pPr>
            <w:r w:rsidRPr="00F92667">
              <w:rPr>
                <w:sz w:val="16"/>
                <w:szCs w:val="16"/>
              </w:rPr>
              <w:t>-</w:t>
            </w:r>
          </w:p>
        </w:tc>
        <w:tc>
          <w:tcPr>
            <w:tcW w:w="200" w:type="pct"/>
            <w:shd w:val="clear" w:color="auto" w:fill="auto"/>
            <w:tcMar>
              <w:left w:w="28" w:type="dxa"/>
              <w:right w:w="28" w:type="dxa"/>
            </w:tcMar>
            <w:vAlign w:val="center"/>
          </w:tcPr>
          <w:p w14:paraId="480891E3" w14:textId="77777777" w:rsidR="001C56BD" w:rsidRPr="00F92667" w:rsidRDefault="001C56BD" w:rsidP="008A5C11">
            <w:pPr>
              <w:jc w:val="center"/>
              <w:rPr>
                <w:sz w:val="16"/>
                <w:szCs w:val="16"/>
              </w:rPr>
            </w:pPr>
            <w:r w:rsidRPr="00F92667">
              <w:rPr>
                <w:sz w:val="16"/>
                <w:szCs w:val="16"/>
              </w:rPr>
              <w:t>-</w:t>
            </w:r>
          </w:p>
        </w:tc>
        <w:tc>
          <w:tcPr>
            <w:tcW w:w="200" w:type="pct"/>
            <w:tcMar>
              <w:left w:w="28" w:type="dxa"/>
              <w:right w:w="28" w:type="dxa"/>
            </w:tcMar>
            <w:vAlign w:val="center"/>
          </w:tcPr>
          <w:p w14:paraId="0BD17B59" w14:textId="77777777" w:rsidR="001C56BD" w:rsidRPr="00F92667" w:rsidRDefault="001C56BD" w:rsidP="008A5C11">
            <w:pPr>
              <w:jc w:val="center"/>
              <w:rPr>
                <w:sz w:val="16"/>
                <w:szCs w:val="16"/>
              </w:rPr>
            </w:pPr>
            <w:r w:rsidRPr="00F92667">
              <w:rPr>
                <w:sz w:val="16"/>
                <w:szCs w:val="16"/>
              </w:rPr>
              <w:t>-</w:t>
            </w:r>
          </w:p>
        </w:tc>
        <w:tc>
          <w:tcPr>
            <w:tcW w:w="243" w:type="pct"/>
            <w:tcMar>
              <w:left w:w="28" w:type="dxa"/>
              <w:right w:w="28" w:type="dxa"/>
            </w:tcMar>
            <w:vAlign w:val="center"/>
          </w:tcPr>
          <w:p w14:paraId="7E75BC8D" w14:textId="77777777" w:rsidR="001C56BD" w:rsidRPr="00F92667" w:rsidRDefault="001C56BD" w:rsidP="008A5C11">
            <w:pPr>
              <w:jc w:val="center"/>
              <w:rPr>
                <w:sz w:val="16"/>
                <w:szCs w:val="16"/>
              </w:rPr>
            </w:pPr>
            <w:r w:rsidRPr="00F92667">
              <w:rPr>
                <w:sz w:val="16"/>
                <w:szCs w:val="16"/>
              </w:rPr>
              <w:t>-</w:t>
            </w:r>
          </w:p>
        </w:tc>
        <w:tc>
          <w:tcPr>
            <w:tcW w:w="250" w:type="pct"/>
            <w:vAlign w:val="center"/>
          </w:tcPr>
          <w:p w14:paraId="05CF6869" w14:textId="77777777" w:rsidR="001C56BD" w:rsidRPr="00F92667" w:rsidRDefault="001C56BD" w:rsidP="008A5C11">
            <w:pPr>
              <w:jc w:val="center"/>
              <w:rPr>
                <w:sz w:val="16"/>
                <w:szCs w:val="16"/>
              </w:rPr>
            </w:pPr>
            <w:r w:rsidRPr="00F92667">
              <w:rPr>
                <w:sz w:val="16"/>
                <w:szCs w:val="16"/>
              </w:rPr>
              <w:t>-</w:t>
            </w:r>
          </w:p>
        </w:tc>
        <w:tc>
          <w:tcPr>
            <w:tcW w:w="240" w:type="pct"/>
            <w:vAlign w:val="center"/>
          </w:tcPr>
          <w:p w14:paraId="00E528F0" w14:textId="77777777" w:rsidR="001C56BD" w:rsidRPr="00F92667" w:rsidRDefault="001C56BD" w:rsidP="008A5C11">
            <w:pPr>
              <w:jc w:val="center"/>
              <w:rPr>
                <w:sz w:val="16"/>
                <w:szCs w:val="16"/>
              </w:rPr>
            </w:pPr>
            <w:r w:rsidRPr="00F92667">
              <w:rPr>
                <w:sz w:val="16"/>
                <w:szCs w:val="16"/>
              </w:rPr>
              <w:t>-</w:t>
            </w:r>
          </w:p>
        </w:tc>
        <w:tc>
          <w:tcPr>
            <w:tcW w:w="240" w:type="pct"/>
            <w:vAlign w:val="center"/>
          </w:tcPr>
          <w:p w14:paraId="726039C7" w14:textId="77777777" w:rsidR="001C56BD" w:rsidRPr="00F92667" w:rsidRDefault="001C56BD" w:rsidP="008A5C11">
            <w:pPr>
              <w:jc w:val="center"/>
              <w:rPr>
                <w:sz w:val="16"/>
                <w:szCs w:val="16"/>
              </w:rPr>
            </w:pPr>
            <w:r w:rsidRPr="00F92667">
              <w:rPr>
                <w:sz w:val="16"/>
                <w:szCs w:val="16"/>
              </w:rPr>
              <w:t>-</w:t>
            </w:r>
          </w:p>
        </w:tc>
        <w:tc>
          <w:tcPr>
            <w:tcW w:w="240" w:type="pct"/>
            <w:vAlign w:val="center"/>
          </w:tcPr>
          <w:p w14:paraId="70958924" w14:textId="77777777" w:rsidR="001C56BD" w:rsidRPr="00F92667" w:rsidRDefault="001C56BD" w:rsidP="008A5C11">
            <w:pPr>
              <w:jc w:val="center"/>
              <w:rPr>
                <w:sz w:val="16"/>
                <w:szCs w:val="16"/>
              </w:rPr>
            </w:pPr>
            <w:r w:rsidRPr="00F92667">
              <w:rPr>
                <w:sz w:val="16"/>
                <w:szCs w:val="16"/>
              </w:rPr>
              <w:t>-</w:t>
            </w:r>
          </w:p>
        </w:tc>
        <w:tc>
          <w:tcPr>
            <w:tcW w:w="241" w:type="pct"/>
            <w:vAlign w:val="center"/>
          </w:tcPr>
          <w:p w14:paraId="33BB2D94" w14:textId="77777777" w:rsidR="001C56BD" w:rsidRPr="00F92667" w:rsidRDefault="001C56BD" w:rsidP="008A5C11">
            <w:pPr>
              <w:jc w:val="center"/>
              <w:rPr>
                <w:sz w:val="16"/>
                <w:szCs w:val="16"/>
              </w:rPr>
            </w:pPr>
            <w:r w:rsidRPr="00F92667">
              <w:rPr>
                <w:sz w:val="16"/>
                <w:szCs w:val="16"/>
              </w:rPr>
              <w:t>-</w:t>
            </w:r>
          </w:p>
        </w:tc>
      </w:tr>
      <w:tr w:rsidR="001C56BD" w:rsidRPr="00F92667" w14:paraId="4934009C" w14:textId="77777777" w:rsidTr="008A5C11">
        <w:trPr>
          <w:trHeight w:val="1020"/>
        </w:trPr>
        <w:tc>
          <w:tcPr>
            <w:tcW w:w="155" w:type="pct"/>
            <w:shd w:val="clear" w:color="auto" w:fill="auto"/>
            <w:tcMar>
              <w:left w:w="28" w:type="dxa"/>
              <w:right w:w="28" w:type="dxa"/>
            </w:tcMar>
            <w:vAlign w:val="center"/>
            <w:hideMark/>
          </w:tcPr>
          <w:p w14:paraId="09D4FA78" w14:textId="77777777" w:rsidR="001C56BD" w:rsidRPr="00F92667" w:rsidRDefault="001C56BD" w:rsidP="008A5C11">
            <w:pPr>
              <w:jc w:val="center"/>
              <w:rPr>
                <w:sz w:val="16"/>
                <w:szCs w:val="16"/>
              </w:rPr>
            </w:pPr>
            <w:r w:rsidRPr="00F92667">
              <w:rPr>
                <w:sz w:val="16"/>
                <w:szCs w:val="16"/>
              </w:rPr>
              <w:t>7.</w:t>
            </w:r>
          </w:p>
        </w:tc>
        <w:tc>
          <w:tcPr>
            <w:tcW w:w="1436" w:type="pct"/>
            <w:shd w:val="clear" w:color="auto" w:fill="auto"/>
            <w:tcMar>
              <w:left w:w="28" w:type="dxa"/>
              <w:right w:w="28" w:type="dxa"/>
            </w:tcMar>
            <w:vAlign w:val="center"/>
            <w:hideMark/>
          </w:tcPr>
          <w:p w14:paraId="4A9981D2" w14:textId="77777777" w:rsidR="001C56BD" w:rsidRPr="00F92667" w:rsidRDefault="001C56BD" w:rsidP="008A5C11">
            <w:pPr>
              <w:rPr>
                <w:sz w:val="16"/>
                <w:szCs w:val="16"/>
              </w:rPr>
            </w:pPr>
            <w:r w:rsidRPr="00F92667">
              <w:rPr>
                <w:sz w:val="16"/>
                <w:szCs w:val="16"/>
              </w:rPr>
              <w:t>Показатели, характеризующие снижение негативного воздействия на окружающую среду, определяемые в соответствии с законодательством РФ об охране окружающей среды</w:t>
            </w:r>
          </w:p>
        </w:tc>
        <w:tc>
          <w:tcPr>
            <w:tcW w:w="371" w:type="pct"/>
            <w:shd w:val="clear" w:color="auto" w:fill="auto"/>
            <w:tcMar>
              <w:left w:w="28" w:type="dxa"/>
              <w:right w:w="28" w:type="dxa"/>
            </w:tcMar>
            <w:vAlign w:val="center"/>
            <w:hideMark/>
          </w:tcPr>
          <w:p w14:paraId="7E161FEA" w14:textId="77777777" w:rsidR="001C56BD" w:rsidRPr="00F92667" w:rsidRDefault="001C56BD" w:rsidP="008A5C11">
            <w:pPr>
              <w:jc w:val="center"/>
              <w:rPr>
                <w:sz w:val="16"/>
                <w:szCs w:val="16"/>
              </w:rPr>
            </w:pPr>
            <w:r w:rsidRPr="00F92667">
              <w:rPr>
                <w:sz w:val="16"/>
                <w:szCs w:val="16"/>
              </w:rPr>
              <w:t>Эффективность очистки, %</w:t>
            </w:r>
          </w:p>
        </w:tc>
        <w:tc>
          <w:tcPr>
            <w:tcW w:w="323" w:type="pct"/>
            <w:shd w:val="clear" w:color="auto" w:fill="auto"/>
            <w:tcMar>
              <w:left w:w="28" w:type="dxa"/>
              <w:right w:w="28" w:type="dxa"/>
            </w:tcMar>
            <w:vAlign w:val="center"/>
          </w:tcPr>
          <w:p w14:paraId="31D350EA" w14:textId="77777777" w:rsidR="001C56BD" w:rsidRPr="00F92667" w:rsidRDefault="001C56BD" w:rsidP="008A5C11">
            <w:pPr>
              <w:jc w:val="center"/>
              <w:rPr>
                <w:sz w:val="16"/>
                <w:szCs w:val="16"/>
              </w:rPr>
            </w:pPr>
            <w:r w:rsidRPr="00F92667">
              <w:rPr>
                <w:sz w:val="16"/>
                <w:szCs w:val="16"/>
              </w:rPr>
              <w:t>-</w:t>
            </w:r>
          </w:p>
        </w:tc>
        <w:tc>
          <w:tcPr>
            <w:tcW w:w="417" w:type="pct"/>
            <w:shd w:val="clear" w:color="auto" w:fill="auto"/>
            <w:tcMar>
              <w:left w:w="28" w:type="dxa"/>
              <w:right w:w="28" w:type="dxa"/>
            </w:tcMar>
            <w:vAlign w:val="center"/>
          </w:tcPr>
          <w:p w14:paraId="12D3F30F" w14:textId="77777777" w:rsidR="001C56BD" w:rsidRPr="00F92667" w:rsidRDefault="001C56BD" w:rsidP="008A5C11">
            <w:pPr>
              <w:jc w:val="center"/>
              <w:rPr>
                <w:sz w:val="16"/>
                <w:szCs w:val="16"/>
              </w:rPr>
            </w:pPr>
            <w:r w:rsidRPr="00F92667">
              <w:rPr>
                <w:sz w:val="16"/>
                <w:szCs w:val="16"/>
              </w:rPr>
              <w:t>-</w:t>
            </w:r>
          </w:p>
        </w:tc>
        <w:tc>
          <w:tcPr>
            <w:tcW w:w="202" w:type="pct"/>
            <w:shd w:val="clear" w:color="auto" w:fill="auto"/>
            <w:tcMar>
              <w:left w:w="28" w:type="dxa"/>
              <w:right w:w="28" w:type="dxa"/>
            </w:tcMar>
            <w:vAlign w:val="center"/>
          </w:tcPr>
          <w:p w14:paraId="682035F4" w14:textId="77777777" w:rsidR="001C56BD" w:rsidRPr="00F92667" w:rsidRDefault="001C56BD" w:rsidP="008A5C11">
            <w:pPr>
              <w:jc w:val="center"/>
              <w:rPr>
                <w:sz w:val="16"/>
                <w:szCs w:val="16"/>
              </w:rPr>
            </w:pPr>
            <w:r w:rsidRPr="00F92667">
              <w:rPr>
                <w:sz w:val="16"/>
                <w:szCs w:val="16"/>
              </w:rPr>
              <w:t>-</w:t>
            </w:r>
          </w:p>
        </w:tc>
        <w:tc>
          <w:tcPr>
            <w:tcW w:w="240" w:type="pct"/>
            <w:shd w:val="clear" w:color="auto" w:fill="auto"/>
            <w:tcMar>
              <w:left w:w="28" w:type="dxa"/>
              <w:right w:w="28" w:type="dxa"/>
            </w:tcMar>
            <w:vAlign w:val="center"/>
          </w:tcPr>
          <w:p w14:paraId="36C2B1A0" w14:textId="77777777" w:rsidR="001C56BD" w:rsidRPr="00F92667" w:rsidRDefault="001C56BD" w:rsidP="008A5C11">
            <w:pPr>
              <w:jc w:val="center"/>
              <w:rPr>
                <w:sz w:val="16"/>
                <w:szCs w:val="16"/>
              </w:rPr>
            </w:pPr>
            <w:r w:rsidRPr="00F92667">
              <w:rPr>
                <w:sz w:val="16"/>
                <w:szCs w:val="16"/>
              </w:rPr>
              <w:t>-</w:t>
            </w:r>
          </w:p>
        </w:tc>
        <w:tc>
          <w:tcPr>
            <w:tcW w:w="200" w:type="pct"/>
            <w:shd w:val="clear" w:color="auto" w:fill="auto"/>
            <w:tcMar>
              <w:left w:w="28" w:type="dxa"/>
              <w:right w:w="28" w:type="dxa"/>
            </w:tcMar>
            <w:vAlign w:val="center"/>
          </w:tcPr>
          <w:p w14:paraId="662514C0" w14:textId="77777777" w:rsidR="001C56BD" w:rsidRPr="00F92667" w:rsidRDefault="001C56BD" w:rsidP="008A5C11">
            <w:pPr>
              <w:jc w:val="center"/>
              <w:rPr>
                <w:sz w:val="16"/>
                <w:szCs w:val="16"/>
              </w:rPr>
            </w:pPr>
            <w:r w:rsidRPr="00F92667">
              <w:rPr>
                <w:sz w:val="16"/>
                <w:szCs w:val="16"/>
              </w:rPr>
              <w:t>-</w:t>
            </w:r>
          </w:p>
        </w:tc>
        <w:tc>
          <w:tcPr>
            <w:tcW w:w="200" w:type="pct"/>
            <w:tcMar>
              <w:left w:w="28" w:type="dxa"/>
              <w:right w:w="28" w:type="dxa"/>
            </w:tcMar>
            <w:vAlign w:val="center"/>
          </w:tcPr>
          <w:p w14:paraId="3799EA7C" w14:textId="77777777" w:rsidR="001C56BD" w:rsidRPr="00F92667" w:rsidRDefault="001C56BD" w:rsidP="008A5C11">
            <w:pPr>
              <w:jc w:val="center"/>
              <w:rPr>
                <w:sz w:val="16"/>
                <w:szCs w:val="16"/>
              </w:rPr>
            </w:pPr>
            <w:r w:rsidRPr="00F92667">
              <w:rPr>
                <w:sz w:val="16"/>
                <w:szCs w:val="16"/>
              </w:rPr>
              <w:t>-</w:t>
            </w:r>
          </w:p>
        </w:tc>
        <w:tc>
          <w:tcPr>
            <w:tcW w:w="243" w:type="pct"/>
            <w:tcMar>
              <w:left w:w="28" w:type="dxa"/>
              <w:right w:w="28" w:type="dxa"/>
            </w:tcMar>
            <w:vAlign w:val="center"/>
          </w:tcPr>
          <w:p w14:paraId="26C55DA2" w14:textId="77777777" w:rsidR="001C56BD" w:rsidRPr="00F92667" w:rsidRDefault="001C56BD" w:rsidP="008A5C11">
            <w:pPr>
              <w:jc w:val="center"/>
              <w:rPr>
                <w:sz w:val="16"/>
                <w:szCs w:val="16"/>
              </w:rPr>
            </w:pPr>
            <w:r w:rsidRPr="00F92667">
              <w:rPr>
                <w:sz w:val="16"/>
                <w:szCs w:val="16"/>
              </w:rPr>
              <w:t>-</w:t>
            </w:r>
          </w:p>
        </w:tc>
        <w:tc>
          <w:tcPr>
            <w:tcW w:w="250" w:type="pct"/>
            <w:vAlign w:val="center"/>
          </w:tcPr>
          <w:p w14:paraId="7CA5C75F" w14:textId="77777777" w:rsidR="001C56BD" w:rsidRPr="00F92667" w:rsidRDefault="001C56BD" w:rsidP="008A5C11">
            <w:pPr>
              <w:jc w:val="center"/>
              <w:rPr>
                <w:sz w:val="16"/>
                <w:szCs w:val="16"/>
              </w:rPr>
            </w:pPr>
            <w:r w:rsidRPr="00F92667">
              <w:rPr>
                <w:sz w:val="16"/>
                <w:szCs w:val="16"/>
              </w:rPr>
              <w:t>-</w:t>
            </w:r>
          </w:p>
        </w:tc>
        <w:tc>
          <w:tcPr>
            <w:tcW w:w="240" w:type="pct"/>
            <w:vAlign w:val="center"/>
          </w:tcPr>
          <w:p w14:paraId="7EDE7833" w14:textId="77777777" w:rsidR="001C56BD" w:rsidRPr="00F92667" w:rsidRDefault="001C56BD" w:rsidP="008A5C11">
            <w:pPr>
              <w:jc w:val="center"/>
              <w:rPr>
                <w:sz w:val="16"/>
                <w:szCs w:val="16"/>
              </w:rPr>
            </w:pPr>
            <w:r w:rsidRPr="00F92667">
              <w:rPr>
                <w:sz w:val="16"/>
                <w:szCs w:val="16"/>
              </w:rPr>
              <w:t>-</w:t>
            </w:r>
          </w:p>
        </w:tc>
        <w:tc>
          <w:tcPr>
            <w:tcW w:w="240" w:type="pct"/>
            <w:vAlign w:val="center"/>
          </w:tcPr>
          <w:p w14:paraId="37B643EC" w14:textId="77777777" w:rsidR="001C56BD" w:rsidRPr="00F92667" w:rsidRDefault="001C56BD" w:rsidP="008A5C11">
            <w:pPr>
              <w:jc w:val="center"/>
              <w:rPr>
                <w:sz w:val="16"/>
                <w:szCs w:val="16"/>
              </w:rPr>
            </w:pPr>
            <w:r w:rsidRPr="00F92667">
              <w:rPr>
                <w:sz w:val="16"/>
                <w:szCs w:val="16"/>
              </w:rPr>
              <w:t>-</w:t>
            </w:r>
          </w:p>
        </w:tc>
        <w:tc>
          <w:tcPr>
            <w:tcW w:w="240" w:type="pct"/>
            <w:vAlign w:val="center"/>
          </w:tcPr>
          <w:p w14:paraId="66589743" w14:textId="77777777" w:rsidR="001C56BD" w:rsidRPr="00F92667" w:rsidRDefault="001C56BD" w:rsidP="008A5C11">
            <w:pPr>
              <w:jc w:val="center"/>
              <w:rPr>
                <w:sz w:val="16"/>
                <w:szCs w:val="16"/>
              </w:rPr>
            </w:pPr>
            <w:r w:rsidRPr="00F92667">
              <w:rPr>
                <w:sz w:val="16"/>
                <w:szCs w:val="16"/>
              </w:rPr>
              <w:t>-</w:t>
            </w:r>
          </w:p>
        </w:tc>
        <w:tc>
          <w:tcPr>
            <w:tcW w:w="241" w:type="pct"/>
            <w:vAlign w:val="center"/>
          </w:tcPr>
          <w:p w14:paraId="6FAFE012" w14:textId="77777777" w:rsidR="001C56BD" w:rsidRPr="00F92667" w:rsidRDefault="001C56BD" w:rsidP="008A5C11">
            <w:pPr>
              <w:jc w:val="center"/>
              <w:rPr>
                <w:sz w:val="16"/>
                <w:szCs w:val="16"/>
              </w:rPr>
            </w:pPr>
            <w:r w:rsidRPr="00F92667">
              <w:rPr>
                <w:sz w:val="16"/>
                <w:szCs w:val="16"/>
              </w:rPr>
              <w:t>-</w:t>
            </w:r>
          </w:p>
        </w:tc>
      </w:tr>
    </w:tbl>
    <w:p w14:paraId="6B083411" w14:textId="77777777" w:rsidR="001C56BD" w:rsidRPr="00F92667" w:rsidRDefault="001C56BD" w:rsidP="001C56BD">
      <w:pPr>
        <w:rPr>
          <w:sz w:val="20"/>
          <w:szCs w:val="20"/>
        </w:rPr>
      </w:pPr>
    </w:p>
    <w:p w14:paraId="34C25062" w14:textId="77777777" w:rsidR="001C56BD" w:rsidRPr="00F92667" w:rsidRDefault="001C56BD" w:rsidP="001C56BD">
      <w:pPr>
        <w:rPr>
          <w:sz w:val="20"/>
          <w:szCs w:val="20"/>
        </w:rPr>
      </w:pPr>
    </w:p>
    <w:p w14:paraId="1D92A222" w14:textId="77777777" w:rsidR="001C56BD" w:rsidRPr="00F92667" w:rsidRDefault="001C56BD" w:rsidP="001C56BD">
      <w:pPr>
        <w:ind w:left="10348" w:right="-31"/>
        <w:jc w:val="center"/>
        <w:rPr>
          <w:sz w:val="20"/>
          <w:szCs w:val="20"/>
        </w:rPr>
      </w:pPr>
    </w:p>
    <w:p w14:paraId="1D62C6B9" w14:textId="77777777" w:rsidR="001C56BD" w:rsidRPr="00F92667" w:rsidRDefault="001C56BD" w:rsidP="001C56BD">
      <w:pPr>
        <w:ind w:left="10348" w:right="-31"/>
        <w:jc w:val="center"/>
        <w:rPr>
          <w:sz w:val="20"/>
          <w:szCs w:val="20"/>
        </w:rPr>
      </w:pPr>
    </w:p>
    <w:p w14:paraId="716E6EE9" w14:textId="77777777" w:rsidR="001C56BD" w:rsidRPr="00F92667" w:rsidRDefault="001C56BD" w:rsidP="001C56BD">
      <w:pPr>
        <w:ind w:left="10348" w:right="-31"/>
        <w:jc w:val="center"/>
        <w:rPr>
          <w:sz w:val="20"/>
          <w:szCs w:val="20"/>
        </w:rPr>
      </w:pPr>
    </w:p>
    <w:p w14:paraId="34A1DA54" w14:textId="77777777" w:rsidR="001C56BD" w:rsidRPr="00F92667" w:rsidRDefault="001C56BD" w:rsidP="001C56BD">
      <w:pPr>
        <w:rPr>
          <w:sz w:val="20"/>
          <w:szCs w:val="20"/>
        </w:rPr>
        <w:sectPr w:rsidR="001C56BD" w:rsidRPr="00F92667" w:rsidSect="000F7661">
          <w:pgSz w:w="16838" w:h="11906" w:orient="landscape"/>
          <w:pgMar w:top="1701" w:right="1134" w:bottom="851" w:left="1134" w:header="709" w:footer="255" w:gutter="0"/>
          <w:cols w:space="708"/>
          <w:docGrid w:linePitch="360"/>
        </w:sectPr>
      </w:pPr>
    </w:p>
    <w:p w14:paraId="4041A1C1" w14:textId="77777777" w:rsidR="001C56BD" w:rsidRPr="00F92667" w:rsidRDefault="001C56BD" w:rsidP="001C56BD">
      <w:pPr>
        <w:ind w:left="284" w:right="536"/>
        <w:jc w:val="center"/>
        <w:rPr>
          <w:b/>
          <w:bCs/>
          <w:sz w:val="28"/>
          <w:szCs w:val="28"/>
        </w:rPr>
      </w:pPr>
      <w:r w:rsidRPr="00F92667">
        <w:rPr>
          <w:b/>
          <w:bCs/>
          <w:sz w:val="28"/>
          <w:szCs w:val="28"/>
        </w:rPr>
        <w:t xml:space="preserve">Показатели надежности и энергетической эффективности объектов системы теплоснабжения </w:t>
      </w:r>
    </w:p>
    <w:p w14:paraId="30E74FC4" w14:textId="77777777" w:rsidR="001C56BD" w:rsidRPr="00F92667" w:rsidRDefault="001C56BD" w:rsidP="001C56BD">
      <w:pPr>
        <w:autoSpaceDE w:val="0"/>
        <w:autoSpaceDN w:val="0"/>
        <w:adjustRightInd w:val="0"/>
        <w:jc w:val="center"/>
        <w:rPr>
          <w:b/>
          <w:color w:val="000000"/>
          <w:sz w:val="28"/>
          <w:szCs w:val="28"/>
        </w:rPr>
      </w:pPr>
      <w:r w:rsidRPr="00F92667">
        <w:rPr>
          <w:b/>
          <w:color w:val="000000"/>
          <w:sz w:val="28"/>
          <w:szCs w:val="28"/>
        </w:rPr>
        <w:t xml:space="preserve">АО «Кузбассэнерго» (филиал «Кемеровская теплосетевая компания») </w:t>
      </w:r>
      <w:r w:rsidRPr="00F92667">
        <w:rPr>
          <w:b/>
          <w:sz w:val="28"/>
          <w:szCs w:val="28"/>
        </w:rPr>
        <w:t>на 2022</w:t>
      </w:r>
      <w:r w:rsidRPr="00F92667">
        <w:rPr>
          <w:b/>
          <w:color w:val="000000"/>
          <w:sz w:val="28"/>
          <w:szCs w:val="28"/>
        </w:rPr>
        <w:t xml:space="preserve"> - 2031 годы</w:t>
      </w:r>
    </w:p>
    <w:p w14:paraId="34EBE633" w14:textId="77777777" w:rsidR="001C56BD" w:rsidRPr="00F92667" w:rsidRDefault="001C56BD" w:rsidP="001C56BD">
      <w:pPr>
        <w:autoSpaceDE w:val="0"/>
        <w:autoSpaceDN w:val="0"/>
        <w:adjustRightInd w:val="0"/>
        <w:jc w:val="center"/>
        <w:rPr>
          <w:b/>
          <w:bCs/>
          <w:sz w:val="28"/>
          <w:szCs w:val="28"/>
        </w:rPr>
      </w:pPr>
    </w:p>
    <w:tbl>
      <w:tblPr>
        <w:tblW w:w="1497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
        <w:gridCol w:w="3287"/>
        <w:gridCol w:w="851"/>
        <w:gridCol w:w="476"/>
        <w:gridCol w:w="476"/>
        <w:gridCol w:w="476"/>
        <w:gridCol w:w="494"/>
        <w:gridCol w:w="476"/>
        <w:gridCol w:w="476"/>
        <w:gridCol w:w="476"/>
        <w:gridCol w:w="476"/>
        <w:gridCol w:w="476"/>
        <w:gridCol w:w="513"/>
        <w:gridCol w:w="715"/>
        <w:gridCol w:w="524"/>
        <w:gridCol w:w="476"/>
        <w:gridCol w:w="476"/>
        <w:gridCol w:w="488"/>
        <w:gridCol w:w="476"/>
        <w:gridCol w:w="476"/>
        <w:gridCol w:w="476"/>
        <w:gridCol w:w="476"/>
        <w:gridCol w:w="476"/>
        <w:gridCol w:w="567"/>
      </w:tblGrid>
      <w:tr w:rsidR="001C56BD" w:rsidRPr="00F92667" w14:paraId="4AC6D1E5" w14:textId="77777777" w:rsidTr="008A5C11">
        <w:trPr>
          <w:trHeight w:val="155"/>
        </w:trPr>
        <w:tc>
          <w:tcPr>
            <w:tcW w:w="399" w:type="dxa"/>
            <w:vMerge w:val="restart"/>
            <w:shd w:val="clear" w:color="auto" w:fill="auto"/>
            <w:vAlign w:val="center"/>
            <w:hideMark/>
          </w:tcPr>
          <w:p w14:paraId="58EAFDC1" w14:textId="77777777" w:rsidR="001C56BD" w:rsidRPr="00F92667" w:rsidRDefault="001C56BD" w:rsidP="008A5C11">
            <w:pPr>
              <w:jc w:val="center"/>
              <w:rPr>
                <w:color w:val="000000"/>
                <w:sz w:val="13"/>
                <w:szCs w:val="13"/>
              </w:rPr>
            </w:pPr>
            <w:r w:rsidRPr="00F92667">
              <w:rPr>
                <w:color w:val="000000"/>
                <w:sz w:val="13"/>
                <w:szCs w:val="13"/>
              </w:rPr>
              <w:t>N п/п</w:t>
            </w:r>
          </w:p>
        </w:tc>
        <w:tc>
          <w:tcPr>
            <w:tcW w:w="3287" w:type="dxa"/>
            <w:vMerge w:val="restart"/>
            <w:shd w:val="clear" w:color="auto" w:fill="auto"/>
            <w:vAlign w:val="center"/>
            <w:hideMark/>
          </w:tcPr>
          <w:p w14:paraId="4A15BD0A" w14:textId="77777777" w:rsidR="001C56BD" w:rsidRPr="00F92667" w:rsidRDefault="001C56BD" w:rsidP="008A5C11">
            <w:pPr>
              <w:jc w:val="center"/>
              <w:rPr>
                <w:color w:val="000000"/>
                <w:sz w:val="13"/>
                <w:szCs w:val="13"/>
              </w:rPr>
            </w:pPr>
            <w:r w:rsidRPr="00F92667">
              <w:rPr>
                <w:color w:val="000000"/>
                <w:sz w:val="13"/>
                <w:szCs w:val="13"/>
              </w:rPr>
              <w:t>Наименование объекта</w:t>
            </w:r>
          </w:p>
        </w:tc>
        <w:tc>
          <w:tcPr>
            <w:tcW w:w="11292" w:type="dxa"/>
            <w:gridSpan w:val="22"/>
            <w:shd w:val="clear" w:color="auto" w:fill="auto"/>
            <w:vAlign w:val="center"/>
            <w:hideMark/>
          </w:tcPr>
          <w:p w14:paraId="3F020000" w14:textId="77777777" w:rsidR="001C56BD" w:rsidRPr="00F92667" w:rsidRDefault="001C56BD" w:rsidP="008A5C11">
            <w:pPr>
              <w:jc w:val="center"/>
              <w:rPr>
                <w:color w:val="000000"/>
                <w:sz w:val="13"/>
                <w:szCs w:val="13"/>
              </w:rPr>
            </w:pPr>
            <w:r w:rsidRPr="00F92667">
              <w:rPr>
                <w:color w:val="000000"/>
                <w:sz w:val="13"/>
                <w:szCs w:val="13"/>
              </w:rPr>
              <w:t>Показатели надежности</w:t>
            </w:r>
          </w:p>
        </w:tc>
      </w:tr>
      <w:tr w:rsidR="001C56BD" w:rsidRPr="00F92667" w14:paraId="4C3D90B5" w14:textId="77777777" w:rsidTr="008A5C11">
        <w:trPr>
          <w:trHeight w:val="373"/>
        </w:trPr>
        <w:tc>
          <w:tcPr>
            <w:tcW w:w="399" w:type="dxa"/>
            <w:vMerge/>
            <w:vAlign w:val="center"/>
            <w:hideMark/>
          </w:tcPr>
          <w:p w14:paraId="486F2C7C" w14:textId="77777777" w:rsidR="001C56BD" w:rsidRPr="00F92667" w:rsidRDefault="001C56BD" w:rsidP="008A5C11">
            <w:pPr>
              <w:rPr>
                <w:color w:val="000000"/>
                <w:sz w:val="13"/>
                <w:szCs w:val="13"/>
              </w:rPr>
            </w:pPr>
          </w:p>
        </w:tc>
        <w:tc>
          <w:tcPr>
            <w:tcW w:w="3287" w:type="dxa"/>
            <w:vMerge/>
            <w:vAlign w:val="center"/>
            <w:hideMark/>
          </w:tcPr>
          <w:p w14:paraId="6C0A7945" w14:textId="77777777" w:rsidR="001C56BD" w:rsidRPr="00F92667" w:rsidRDefault="001C56BD" w:rsidP="008A5C11">
            <w:pPr>
              <w:rPr>
                <w:color w:val="000000"/>
                <w:sz w:val="13"/>
                <w:szCs w:val="13"/>
              </w:rPr>
            </w:pPr>
          </w:p>
        </w:tc>
        <w:tc>
          <w:tcPr>
            <w:tcW w:w="5666" w:type="dxa"/>
            <w:gridSpan w:val="11"/>
            <w:shd w:val="clear" w:color="auto" w:fill="auto"/>
            <w:vAlign w:val="center"/>
            <w:hideMark/>
          </w:tcPr>
          <w:p w14:paraId="68DB3F4E" w14:textId="77777777" w:rsidR="001C56BD" w:rsidRPr="00F92667" w:rsidRDefault="001C56BD" w:rsidP="008A5C11">
            <w:pPr>
              <w:jc w:val="center"/>
              <w:rPr>
                <w:color w:val="000000"/>
                <w:sz w:val="13"/>
                <w:szCs w:val="13"/>
              </w:rPr>
            </w:pPr>
            <w:r w:rsidRPr="00F92667">
              <w:rPr>
                <w:color w:val="000000"/>
                <w:sz w:val="13"/>
                <w:szCs w:val="13"/>
              </w:rPr>
              <w:t>Количество прекращений подачи тепловой энергии, теплоносителя в результате технологических нарушений на тепловых сетях на 1 км тепловых сетей</w:t>
            </w:r>
          </w:p>
        </w:tc>
        <w:tc>
          <w:tcPr>
            <w:tcW w:w="5626" w:type="dxa"/>
            <w:gridSpan w:val="11"/>
            <w:shd w:val="clear" w:color="auto" w:fill="auto"/>
            <w:vAlign w:val="center"/>
            <w:hideMark/>
          </w:tcPr>
          <w:p w14:paraId="3E187B43" w14:textId="77777777" w:rsidR="001C56BD" w:rsidRPr="00F92667" w:rsidRDefault="001C56BD" w:rsidP="008A5C11">
            <w:pPr>
              <w:jc w:val="center"/>
              <w:rPr>
                <w:color w:val="000000"/>
                <w:sz w:val="13"/>
                <w:szCs w:val="13"/>
              </w:rPr>
            </w:pPr>
            <w:r w:rsidRPr="00F92667">
              <w:rPr>
                <w:color w:val="000000"/>
                <w:sz w:val="13"/>
                <w:szCs w:val="13"/>
              </w:rP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tc>
      </w:tr>
      <w:tr w:rsidR="001C56BD" w:rsidRPr="00F92667" w14:paraId="3FEFFB80" w14:textId="77777777" w:rsidTr="008A5C11">
        <w:trPr>
          <w:trHeight w:val="315"/>
        </w:trPr>
        <w:tc>
          <w:tcPr>
            <w:tcW w:w="399" w:type="dxa"/>
            <w:vMerge/>
            <w:vAlign w:val="center"/>
            <w:hideMark/>
          </w:tcPr>
          <w:p w14:paraId="70E541A6" w14:textId="77777777" w:rsidR="001C56BD" w:rsidRPr="00F92667" w:rsidRDefault="001C56BD" w:rsidP="008A5C11">
            <w:pPr>
              <w:rPr>
                <w:color w:val="000000"/>
                <w:sz w:val="13"/>
                <w:szCs w:val="13"/>
              </w:rPr>
            </w:pPr>
          </w:p>
        </w:tc>
        <w:tc>
          <w:tcPr>
            <w:tcW w:w="3287" w:type="dxa"/>
            <w:vMerge/>
            <w:vAlign w:val="center"/>
            <w:hideMark/>
          </w:tcPr>
          <w:p w14:paraId="26146B9A" w14:textId="77777777" w:rsidR="001C56BD" w:rsidRPr="00F92667" w:rsidRDefault="001C56BD" w:rsidP="008A5C11">
            <w:pPr>
              <w:rPr>
                <w:color w:val="000000"/>
                <w:sz w:val="13"/>
                <w:szCs w:val="13"/>
              </w:rPr>
            </w:pPr>
          </w:p>
        </w:tc>
        <w:tc>
          <w:tcPr>
            <w:tcW w:w="851" w:type="dxa"/>
            <w:vMerge w:val="restart"/>
            <w:shd w:val="clear" w:color="auto" w:fill="auto"/>
            <w:vAlign w:val="center"/>
            <w:hideMark/>
          </w:tcPr>
          <w:p w14:paraId="7870B4CE" w14:textId="77777777" w:rsidR="001C56BD" w:rsidRPr="00F92667" w:rsidRDefault="001C56BD" w:rsidP="008A5C11">
            <w:pPr>
              <w:jc w:val="center"/>
              <w:rPr>
                <w:color w:val="000000"/>
                <w:sz w:val="13"/>
                <w:szCs w:val="13"/>
              </w:rPr>
            </w:pPr>
            <w:r w:rsidRPr="00F92667">
              <w:rPr>
                <w:color w:val="000000"/>
                <w:sz w:val="13"/>
                <w:szCs w:val="13"/>
              </w:rPr>
              <w:t>Текущее значение</w:t>
            </w:r>
          </w:p>
        </w:tc>
        <w:tc>
          <w:tcPr>
            <w:tcW w:w="4815" w:type="dxa"/>
            <w:gridSpan w:val="10"/>
            <w:shd w:val="clear" w:color="auto" w:fill="auto"/>
            <w:vAlign w:val="center"/>
            <w:hideMark/>
          </w:tcPr>
          <w:p w14:paraId="16D53614" w14:textId="77777777" w:rsidR="001C56BD" w:rsidRPr="00F92667" w:rsidRDefault="001C56BD" w:rsidP="008A5C11">
            <w:pPr>
              <w:jc w:val="center"/>
              <w:rPr>
                <w:color w:val="000000"/>
                <w:sz w:val="13"/>
                <w:szCs w:val="13"/>
              </w:rPr>
            </w:pPr>
            <w:r w:rsidRPr="00F92667">
              <w:rPr>
                <w:color w:val="000000"/>
                <w:sz w:val="13"/>
                <w:szCs w:val="13"/>
              </w:rPr>
              <w:t>Плановое значение</w:t>
            </w:r>
          </w:p>
        </w:tc>
        <w:tc>
          <w:tcPr>
            <w:tcW w:w="715" w:type="dxa"/>
            <w:vMerge w:val="restart"/>
            <w:shd w:val="clear" w:color="auto" w:fill="auto"/>
            <w:vAlign w:val="center"/>
            <w:hideMark/>
          </w:tcPr>
          <w:p w14:paraId="0C885ED5" w14:textId="77777777" w:rsidR="001C56BD" w:rsidRPr="00F92667" w:rsidRDefault="001C56BD" w:rsidP="008A5C11">
            <w:pPr>
              <w:jc w:val="center"/>
              <w:rPr>
                <w:color w:val="000000"/>
                <w:sz w:val="13"/>
                <w:szCs w:val="13"/>
              </w:rPr>
            </w:pPr>
            <w:r w:rsidRPr="00F92667">
              <w:rPr>
                <w:color w:val="000000"/>
                <w:sz w:val="13"/>
                <w:szCs w:val="13"/>
              </w:rPr>
              <w:t>Текущее значение</w:t>
            </w:r>
          </w:p>
        </w:tc>
        <w:tc>
          <w:tcPr>
            <w:tcW w:w="4911" w:type="dxa"/>
            <w:gridSpan w:val="10"/>
            <w:shd w:val="clear" w:color="auto" w:fill="auto"/>
            <w:vAlign w:val="center"/>
            <w:hideMark/>
          </w:tcPr>
          <w:p w14:paraId="66AAC261" w14:textId="77777777" w:rsidR="001C56BD" w:rsidRPr="00F92667" w:rsidRDefault="001C56BD" w:rsidP="008A5C11">
            <w:pPr>
              <w:jc w:val="center"/>
              <w:rPr>
                <w:color w:val="000000"/>
                <w:sz w:val="13"/>
                <w:szCs w:val="13"/>
              </w:rPr>
            </w:pPr>
            <w:r w:rsidRPr="00F92667">
              <w:rPr>
                <w:color w:val="000000"/>
                <w:sz w:val="13"/>
                <w:szCs w:val="13"/>
              </w:rPr>
              <w:t>Плановое значение</w:t>
            </w:r>
          </w:p>
        </w:tc>
      </w:tr>
      <w:tr w:rsidR="001C56BD" w:rsidRPr="00F92667" w14:paraId="4F9F29B4" w14:textId="77777777" w:rsidTr="008A5C11">
        <w:trPr>
          <w:trHeight w:val="315"/>
        </w:trPr>
        <w:tc>
          <w:tcPr>
            <w:tcW w:w="399" w:type="dxa"/>
            <w:vMerge/>
            <w:vAlign w:val="center"/>
            <w:hideMark/>
          </w:tcPr>
          <w:p w14:paraId="7490256E" w14:textId="77777777" w:rsidR="001C56BD" w:rsidRPr="00F92667" w:rsidRDefault="001C56BD" w:rsidP="008A5C11">
            <w:pPr>
              <w:rPr>
                <w:color w:val="000000"/>
                <w:sz w:val="13"/>
                <w:szCs w:val="13"/>
              </w:rPr>
            </w:pPr>
          </w:p>
        </w:tc>
        <w:tc>
          <w:tcPr>
            <w:tcW w:w="3287" w:type="dxa"/>
            <w:vMerge/>
            <w:vAlign w:val="center"/>
            <w:hideMark/>
          </w:tcPr>
          <w:p w14:paraId="58F8D52F" w14:textId="77777777" w:rsidR="001C56BD" w:rsidRPr="00F92667" w:rsidRDefault="001C56BD" w:rsidP="008A5C11">
            <w:pPr>
              <w:rPr>
                <w:color w:val="000000"/>
                <w:sz w:val="13"/>
                <w:szCs w:val="13"/>
              </w:rPr>
            </w:pPr>
          </w:p>
        </w:tc>
        <w:tc>
          <w:tcPr>
            <w:tcW w:w="851" w:type="dxa"/>
            <w:vMerge/>
            <w:vAlign w:val="center"/>
            <w:hideMark/>
          </w:tcPr>
          <w:p w14:paraId="5D175F63" w14:textId="77777777" w:rsidR="001C56BD" w:rsidRPr="00F92667" w:rsidRDefault="001C56BD" w:rsidP="008A5C11">
            <w:pPr>
              <w:rPr>
                <w:color w:val="000000"/>
                <w:sz w:val="13"/>
                <w:szCs w:val="13"/>
              </w:rPr>
            </w:pPr>
          </w:p>
        </w:tc>
        <w:tc>
          <w:tcPr>
            <w:tcW w:w="476" w:type="dxa"/>
            <w:shd w:val="clear" w:color="auto" w:fill="auto"/>
            <w:vAlign w:val="center"/>
            <w:hideMark/>
          </w:tcPr>
          <w:p w14:paraId="64B347B5" w14:textId="77777777" w:rsidR="001C56BD" w:rsidRPr="00F92667" w:rsidRDefault="001C56BD" w:rsidP="008A5C11">
            <w:pPr>
              <w:jc w:val="center"/>
              <w:rPr>
                <w:color w:val="000000"/>
                <w:sz w:val="13"/>
                <w:szCs w:val="13"/>
              </w:rPr>
            </w:pPr>
            <w:r w:rsidRPr="00F92667">
              <w:rPr>
                <w:color w:val="000000"/>
                <w:sz w:val="13"/>
                <w:szCs w:val="13"/>
              </w:rPr>
              <w:t>2022</w:t>
            </w:r>
          </w:p>
        </w:tc>
        <w:tc>
          <w:tcPr>
            <w:tcW w:w="476" w:type="dxa"/>
            <w:shd w:val="clear" w:color="auto" w:fill="auto"/>
            <w:vAlign w:val="center"/>
            <w:hideMark/>
          </w:tcPr>
          <w:p w14:paraId="4CD2D66D" w14:textId="77777777" w:rsidR="001C56BD" w:rsidRPr="00F92667" w:rsidRDefault="001C56BD" w:rsidP="008A5C11">
            <w:pPr>
              <w:jc w:val="center"/>
              <w:rPr>
                <w:color w:val="000000"/>
                <w:sz w:val="13"/>
                <w:szCs w:val="13"/>
              </w:rPr>
            </w:pPr>
            <w:r w:rsidRPr="00F92667">
              <w:rPr>
                <w:color w:val="000000"/>
                <w:sz w:val="13"/>
                <w:szCs w:val="13"/>
              </w:rPr>
              <w:t>2023</w:t>
            </w:r>
          </w:p>
        </w:tc>
        <w:tc>
          <w:tcPr>
            <w:tcW w:w="476" w:type="dxa"/>
            <w:shd w:val="clear" w:color="auto" w:fill="auto"/>
            <w:vAlign w:val="center"/>
            <w:hideMark/>
          </w:tcPr>
          <w:p w14:paraId="4F78EE1C" w14:textId="77777777" w:rsidR="001C56BD" w:rsidRPr="00F92667" w:rsidRDefault="001C56BD" w:rsidP="008A5C11">
            <w:pPr>
              <w:jc w:val="center"/>
              <w:rPr>
                <w:color w:val="000000"/>
                <w:sz w:val="13"/>
                <w:szCs w:val="13"/>
              </w:rPr>
            </w:pPr>
            <w:r w:rsidRPr="00F92667">
              <w:rPr>
                <w:color w:val="000000"/>
                <w:sz w:val="13"/>
                <w:szCs w:val="13"/>
              </w:rPr>
              <w:t>2024</w:t>
            </w:r>
          </w:p>
        </w:tc>
        <w:tc>
          <w:tcPr>
            <w:tcW w:w="494" w:type="dxa"/>
            <w:shd w:val="clear" w:color="auto" w:fill="auto"/>
            <w:vAlign w:val="center"/>
            <w:hideMark/>
          </w:tcPr>
          <w:p w14:paraId="6D539231" w14:textId="77777777" w:rsidR="001C56BD" w:rsidRPr="00F92667" w:rsidRDefault="001C56BD" w:rsidP="008A5C11">
            <w:pPr>
              <w:jc w:val="center"/>
              <w:rPr>
                <w:color w:val="000000"/>
                <w:sz w:val="13"/>
                <w:szCs w:val="13"/>
              </w:rPr>
            </w:pPr>
            <w:r w:rsidRPr="00F92667">
              <w:rPr>
                <w:color w:val="000000"/>
                <w:sz w:val="13"/>
                <w:szCs w:val="13"/>
              </w:rPr>
              <w:t>2025</w:t>
            </w:r>
          </w:p>
        </w:tc>
        <w:tc>
          <w:tcPr>
            <w:tcW w:w="476" w:type="dxa"/>
            <w:shd w:val="clear" w:color="auto" w:fill="auto"/>
            <w:vAlign w:val="center"/>
            <w:hideMark/>
          </w:tcPr>
          <w:p w14:paraId="3A1C62D4" w14:textId="77777777" w:rsidR="001C56BD" w:rsidRPr="00F92667" w:rsidRDefault="001C56BD" w:rsidP="008A5C11">
            <w:pPr>
              <w:jc w:val="center"/>
              <w:rPr>
                <w:color w:val="000000"/>
                <w:sz w:val="13"/>
                <w:szCs w:val="13"/>
              </w:rPr>
            </w:pPr>
            <w:r w:rsidRPr="00F92667">
              <w:rPr>
                <w:color w:val="000000"/>
                <w:sz w:val="13"/>
                <w:szCs w:val="13"/>
              </w:rPr>
              <w:t>2026</w:t>
            </w:r>
          </w:p>
        </w:tc>
        <w:tc>
          <w:tcPr>
            <w:tcW w:w="476" w:type="dxa"/>
            <w:shd w:val="clear" w:color="auto" w:fill="auto"/>
            <w:vAlign w:val="center"/>
            <w:hideMark/>
          </w:tcPr>
          <w:p w14:paraId="6E0830C3" w14:textId="77777777" w:rsidR="001C56BD" w:rsidRPr="00F92667" w:rsidRDefault="001C56BD" w:rsidP="008A5C11">
            <w:pPr>
              <w:jc w:val="center"/>
              <w:rPr>
                <w:color w:val="000000"/>
                <w:sz w:val="13"/>
                <w:szCs w:val="13"/>
              </w:rPr>
            </w:pPr>
            <w:r w:rsidRPr="00F92667">
              <w:rPr>
                <w:color w:val="000000"/>
                <w:sz w:val="13"/>
                <w:szCs w:val="13"/>
              </w:rPr>
              <w:t>2027</w:t>
            </w:r>
          </w:p>
        </w:tc>
        <w:tc>
          <w:tcPr>
            <w:tcW w:w="476" w:type="dxa"/>
            <w:shd w:val="clear" w:color="auto" w:fill="auto"/>
            <w:vAlign w:val="center"/>
            <w:hideMark/>
          </w:tcPr>
          <w:p w14:paraId="4B438933" w14:textId="77777777" w:rsidR="001C56BD" w:rsidRPr="00F92667" w:rsidRDefault="001C56BD" w:rsidP="008A5C11">
            <w:pPr>
              <w:jc w:val="center"/>
              <w:rPr>
                <w:color w:val="000000"/>
                <w:sz w:val="13"/>
                <w:szCs w:val="13"/>
              </w:rPr>
            </w:pPr>
            <w:r w:rsidRPr="00F92667">
              <w:rPr>
                <w:color w:val="000000"/>
                <w:sz w:val="13"/>
                <w:szCs w:val="13"/>
              </w:rPr>
              <w:t>2028</w:t>
            </w:r>
          </w:p>
        </w:tc>
        <w:tc>
          <w:tcPr>
            <w:tcW w:w="476" w:type="dxa"/>
            <w:shd w:val="clear" w:color="auto" w:fill="auto"/>
            <w:vAlign w:val="center"/>
            <w:hideMark/>
          </w:tcPr>
          <w:p w14:paraId="78F333C7" w14:textId="77777777" w:rsidR="001C56BD" w:rsidRPr="00F92667" w:rsidRDefault="001C56BD" w:rsidP="008A5C11">
            <w:pPr>
              <w:jc w:val="center"/>
              <w:rPr>
                <w:color w:val="000000"/>
                <w:sz w:val="13"/>
                <w:szCs w:val="13"/>
              </w:rPr>
            </w:pPr>
            <w:r w:rsidRPr="00F92667">
              <w:rPr>
                <w:color w:val="000000"/>
                <w:sz w:val="13"/>
                <w:szCs w:val="13"/>
              </w:rPr>
              <w:t>2029</w:t>
            </w:r>
          </w:p>
        </w:tc>
        <w:tc>
          <w:tcPr>
            <w:tcW w:w="476" w:type="dxa"/>
            <w:shd w:val="clear" w:color="auto" w:fill="auto"/>
            <w:vAlign w:val="center"/>
            <w:hideMark/>
          </w:tcPr>
          <w:p w14:paraId="251659B9" w14:textId="77777777" w:rsidR="001C56BD" w:rsidRPr="00F92667" w:rsidRDefault="001C56BD" w:rsidP="008A5C11">
            <w:pPr>
              <w:jc w:val="center"/>
              <w:rPr>
                <w:color w:val="000000"/>
                <w:sz w:val="13"/>
                <w:szCs w:val="13"/>
              </w:rPr>
            </w:pPr>
            <w:r w:rsidRPr="00F92667">
              <w:rPr>
                <w:color w:val="000000"/>
                <w:sz w:val="13"/>
                <w:szCs w:val="13"/>
              </w:rPr>
              <w:t>2030</w:t>
            </w:r>
          </w:p>
        </w:tc>
        <w:tc>
          <w:tcPr>
            <w:tcW w:w="513" w:type="dxa"/>
            <w:shd w:val="clear" w:color="auto" w:fill="auto"/>
            <w:vAlign w:val="center"/>
            <w:hideMark/>
          </w:tcPr>
          <w:p w14:paraId="657CCE92" w14:textId="77777777" w:rsidR="001C56BD" w:rsidRPr="00F92667" w:rsidRDefault="001C56BD" w:rsidP="008A5C11">
            <w:pPr>
              <w:jc w:val="center"/>
              <w:rPr>
                <w:color w:val="000000"/>
                <w:sz w:val="13"/>
                <w:szCs w:val="13"/>
              </w:rPr>
            </w:pPr>
            <w:r w:rsidRPr="00F92667">
              <w:rPr>
                <w:color w:val="000000"/>
                <w:sz w:val="13"/>
                <w:szCs w:val="13"/>
              </w:rPr>
              <w:t>2031</w:t>
            </w:r>
          </w:p>
        </w:tc>
        <w:tc>
          <w:tcPr>
            <w:tcW w:w="715" w:type="dxa"/>
            <w:vMerge/>
            <w:vAlign w:val="center"/>
            <w:hideMark/>
          </w:tcPr>
          <w:p w14:paraId="000D9202" w14:textId="77777777" w:rsidR="001C56BD" w:rsidRPr="00F92667" w:rsidRDefault="001C56BD" w:rsidP="008A5C11">
            <w:pPr>
              <w:rPr>
                <w:color w:val="000000"/>
                <w:sz w:val="13"/>
                <w:szCs w:val="13"/>
              </w:rPr>
            </w:pPr>
          </w:p>
        </w:tc>
        <w:tc>
          <w:tcPr>
            <w:tcW w:w="524" w:type="dxa"/>
            <w:shd w:val="clear" w:color="auto" w:fill="auto"/>
            <w:vAlign w:val="center"/>
            <w:hideMark/>
          </w:tcPr>
          <w:p w14:paraId="23A6F779" w14:textId="77777777" w:rsidR="001C56BD" w:rsidRPr="00F92667" w:rsidRDefault="001C56BD" w:rsidP="008A5C11">
            <w:pPr>
              <w:jc w:val="center"/>
              <w:rPr>
                <w:color w:val="000000"/>
                <w:sz w:val="13"/>
                <w:szCs w:val="13"/>
              </w:rPr>
            </w:pPr>
            <w:r w:rsidRPr="00F92667">
              <w:rPr>
                <w:color w:val="000000"/>
                <w:sz w:val="13"/>
                <w:szCs w:val="13"/>
              </w:rPr>
              <w:t>2022</w:t>
            </w:r>
          </w:p>
        </w:tc>
        <w:tc>
          <w:tcPr>
            <w:tcW w:w="476" w:type="dxa"/>
            <w:shd w:val="clear" w:color="auto" w:fill="auto"/>
            <w:vAlign w:val="center"/>
            <w:hideMark/>
          </w:tcPr>
          <w:p w14:paraId="57709EE5" w14:textId="77777777" w:rsidR="001C56BD" w:rsidRPr="00F92667" w:rsidRDefault="001C56BD" w:rsidP="008A5C11">
            <w:pPr>
              <w:jc w:val="center"/>
              <w:rPr>
                <w:color w:val="000000"/>
                <w:sz w:val="13"/>
                <w:szCs w:val="13"/>
              </w:rPr>
            </w:pPr>
            <w:r w:rsidRPr="00F92667">
              <w:rPr>
                <w:color w:val="000000"/>
                <w:sz w:val="13"/>
                <w:szCs w:val="13"/>
              </w:rPr>
              <w:t>2023</w:t>
            </w:r>
          </w:p>
        </w:tc>
        <w:tc>
          <w:tcPr>
            <w:tcW w:w="476" w:type="dxa"/>
            <w:shd w:val="clear" w:color="auto" w:fill="auto"/>
            <w:vAlign w:val="center"/>
            <w:hideMark/>
          </w:tcPr>
          <w:p w14:paraId="168C98AD" w14:textId="77777777" w:rsidR="001C56BD" w:rsidRPr="00F92667" w:rsidRDefault="001C56BD" w:rsidP="008A5C11">
            <w:pPr>
              <w:jc w:val="center"/>
              <w:rPr>
                <w:color w:val="000000"/>
                <w:sz w:val="13"/>
                <w:szCs w:val="13"/>
              </w:rPr>
            </w:pPr>
            <w:r w:rsidRPr="00F92667">
              <w:rPr>
                <w:color w:val="000000"/>
                <w:sz w:val="13"/>
                <w:szCs w:val="13"/>
              </w:rPr>
              <w:t>2024</w:t>
            </w:r>
          </w:p>
        </w:tc>
        <w:tc>
          <w:tcPr>
            <w:tcW w:w="488" w:type="dxa"/>
            <w:shd w:val="clear" w:color="auto" w:fill="auto"/>
            <w:vAlign w:val="center"/>
            <w:hideMark/>
          </w:tcPr>
          <w:p w14:paraId="2AC9E463" w14:textId="77777777" w:rsidR="001C56BD" w:rsidRPr="00F92667" w:rsidRDefault="001C56BD" w:rsidP="008A5C11">
            <w:pPr>
              <w:jc w:val="center"/>
              <w:rPr>
                <w:color w:val="000000"/>
                <w:sz w:val="13"/>
                <w:szCs w:val="13"/>
              </w:rPr>
            </w:pPr>
            <w:r w:rsidRPr="00F92667">
              <w:rPr>
                <w:color w:val="000000"/>
                <w:sz w:val="13"/>
                <w:szCs w:val="13"/>
              </w:rPr>
              <w:t>2025</w:t>
            </w:r>
          </w:p>
        </w:tc>
        <w:tc>
          <w:tcPr>
            <w:tcW w:w="476" w:type="dxa"/>
            <w:shd w:val="clear" w:color="auto" w:fill="auto"/>
            <w:vAlign w:val="center"/>
            <w:hideMark/>
          </w:tcPr>
          <w:p w14:paraId="1E4B8501" w14:textId="77777777" w:rsidR="001C56BD" w:rsidRPr="00F92667" w:rsidRDefault="001C56BD" w:rsidP="008A5C11">
            <w:pPr>
              <w:jc w:val="center"/>
              <w:rPr>
                <w:color w:val="000000"/>
                <w:sz w:val="13"/>
                <w:szCs w:val="13"/>
              </w:rPr>
            </w:pPr>
            <w:r w:rsidRPr="00F92667">
              <w:rPr>
                <w:color w:val="000000"/>
                <w:sz w:val="13"/>
                <w:szCs w:val="13"/>
              </w:rPr>
              <w:t>2026</w:t>
            </w:r>
          </w:p>
        </w:tc>
        <w:tc>
          <w:tcPr>
            <w:tcW w:w="476" w:type="dxa"/>
            <w:shd w:val="clear" w:color="auto" w:fill="auto"/>
            <w:vAlign w:val="center"/>
            <w:hideMark/>
          </w:tcPr>
          <w:p w14:paraId="523A4570" w14:textId="77777777" w:rsidR="001C56BD" w:rsidRPr="00F92667" w:rsidRDefault="001C56BD" w:rsidP="008A5C11">
            <w:pPr>
              <w:jc w:val="center"/>
              <w:rPr>
                <w:color w:val="000000"/>
                <w:sz w:val="13"/>
                <w:szCs w:val="13"/>
              </w:rPr>
            </w:pPr>
            <w:r w:rsidRPr="00F92667">
              <w:rPr>
                <w:color w:val="000000"/>
                <w:sz w:val="13"/>
                <w:szCs w:val="13"/>
              </w:rPr>
              <w:t>2027</w:t>
            </w:r>
          </w:p>
        </w:tc>
        <w:tc>
          <w:tcPr>
            <w:tcW w:w="476" w:type="dxa"/>
            <w:shd w:val="clear" w:color="auto" w:fill="auto"/>
            <w:vAlign w:val="center"/>
            <w:hideMark/>
          </w:tcPr>
          <w:p w14:paraId="2086BDDE" w14:textId="77777777" w:rsidR="001C56BD" w:rsidRPr="00F92667" w:rsidRDefault="001C56BD" w:rsidP="008A5C11">
            <w:pPr>
              <w:jc w:val="center"/>
              <w:rPr>
                <w:color w:val="000000"/>
                <w:sz w:val="13"/>
                <w:szCs w:val="13"/>
              </w:rPr>
            </w:pPr>
            <w:r w:rsidRPr="00F92667">
              <w:rPr>
                <w:color w:val="000000"/>
                <w:sz w:val="13"/>
                <w:szCs w:val="13"/>
              </w:rPr>
              <w:t>2028</w:t>
            </w:r>
          </w:p>
        </w:tc>
        <w:tc>
          <w:tcPr>
            <w:tcW w:w="476" w:type="dxa"/>
            <w:shd w:val="clear" w:color="auto" w:fill="auto"/>
            <w:vAlign w:val="center"/>
            <w:hideMark/>
          </w:tcPr>
          <w:p w14:paraId="6C2EC1DE" w14:textId="77777777" w:rsidR="001C56BD" w:rsidRPr="00F92667" w:rsidRDefault="001C56BD" w:rsidP="008A5C11">
            <w:pPr>
              <w:jc w:val="center"/>
              <w:rPr>
                <w:color w:val="000000"/>
                <w:sz w:val="13"/>
                <w:szCs w:val="13"/>
              </w:rPr>
            </w:pPr>
            <w:r w:rsidRPr="00F92667">
              <w:rPr>
                <w:color w:val="000000"/>
                <w:sz w:val="13"/>
                <w:szCs w:val="13"/>
              </w:rPr>
              <w:t>2029</w:t>
            </w:r>
          </w:p>
        </w:tc>
        <w:tc>
          <w:tcPr>
            <w:tcW w:w="476" w:type="dxa"/>
            <w:shd w:val="clear" w:color="auto" w:fill="auto"/>
            <w:vAlign w:val="center"/>
            <w:hideMark/>
          </w:tcPr>
          <w:p w14:paraId="58D041C8" w14:textId="77777777" w:rsidR="001C56BD" w:rsidRPr="00F92667" w:rsidRDefault="001C56BD" w:rsidP="008A5C11">
            <w:pPr>
              <w:jc w:val="center"/>
              <w:rPr>
                <w:color w:val="000000"/>
                <w:sz w:val="13"/>
                <w:szCs w:val="13"/>
              </w:rPr>
            </w:pPr>
            <w:r w:rsidRPr="00F92667">
              <w:rPr>
                <w:color w:val="000000"/>
                <w:sz w:val="13"/>
                <w:szCs w:val="13"/>
              </w:rPr>
              <w:t>2030</w:t>
            </w:r>
          </w:p>
        </w:tc>
        <w:tc>
          <w:tcPr>
            <w:tcW w:w="567" w:type="dxa"/>
            <w:shd w:val="clear" w:color="auto" w:fill="auto"/>
            <w:vAlign w:val="center"/>
            <w:hideMark/>
          </w:tcPr>
          <w:p w14:paraId="4878714B" w14:textId="77777777" w:rsidR="001C56BD" w:rsidRPr="00F92667" w:rsidRDefault="001C56BD" w:rsidP="008A5C11">
            <w:pPr>
              <w:jc w:val="center"/>
              <w:rPr>
                <w:color w:val="000000"/>
                <w:sz w:val="13"/>
                <w:szCs w:val="13"/>
              </w:rPr>
            </w:pPr>
            <w:r w:rsidRPr="00F92667">
              <w:rPr>
                <w:color w:val="000000"/>
                <w:sz w:val="13"/>
                <w:szCs w:val="13"/>
              </w:rPr>
              <w:t>2031</w:t>
            </w:r>
          </w:p>
        </w:tc>
      </w:tr>
      <w:tr w:rsidR="001C56BD" w:rsidRPr="00F92667" w14:paraId="1B2B86DD" w14:textId="77777777" w:rsidTr="008A5C11">
        <w:trPr>
          <w:trHeight w:val="315"/>
        </w:trPr>
        <w:tc>
          <w:tcPr>
            <w:tcW w:w="399" w:type="dxa"/>
            <w:shd w:val="clear" w:color="auto" w:fill="auto"/>
            <w:hideMark/>
          </w:tcPr>
          <w:p w14:paraId="280FC7F7" w14:textId="77777777" w:rsidR="001C56BD" w:rsidRPr="00F92667" w:rsidRDefault="001C56BD" w:rsidP="008A5C11">
            <w:pPr>
              <w:jc w:val="center"/>
              <w:rPr>
                <w:color w:val="000000"/>
                <w:sz w:val="13"/>
                <w:szCs w:val="13"/>
              </w:rPr>
            </w:pPr>
            <w:r w:rsidRPr="00F92667">
              <w:rPr>
                <w:color w:val="000000"/>
                <w:sz w:val="13"/>
                <w:szCs w:val="13"/>
              </w:rPr>
              <w:t>1</w:t>
            </w:r>
          </w:p>
        </w:tc>
        <w:tc>
          <w:tcPr>
            <w:tcW w:w="3287" w:type="dxa"/>
            <w:shd w:val="clear" w:color="auto" w:fill="auto"/>
            <w:hideMark/>
          </w:tcPr>
          <w:p w14:paraId="007725F4" w14:textId="77777777" w:rsidR="001C56BD" w:rsidRPr="00F92667" w:rsidRDefault="001C56BD" w:rsidP="008A5C11">
            <w:pPr>
              <w:jc w:val="center"/>
              <w:rPr>
                <w:color w:val="000000"/>
                <w:sz w:val="13"/>
                <w:szCs w:val="13"/>
              </w:rPr>
            </w:pPr>
            <w:r w:rsidRPr="00F92667">
              <w:rPr>
                <w:color w:val="000000"/>
                <w:sz w:val="13"/>
                <w:szCs w:val="13"/>
              </w:rPr>
              <w:t>2</w:t>
            </w:r>
          </w:p>
        </w:tc>
        <w:tc>
          <w:tcPr>
            <w:tcW w:w="851" w:type="dxa"/>
            <w:shd w:val="clear" w:color="auto" w:fill="auto"/>
            <w:hideMark/>
          </w:tcPr>
          <w:p w14:paraId="75F79F3C" w14:textId="77777777" w:rsidR="001C56BD" w:rsidRPr="00F92667" w:rsidRDefault="001C56BD" w:rsidP="008A5C11">
            <w:pPr>
              <w:jc w:val="center"/>
              <w:rPr>
                <w:color w:val="000000"/>
                <w:sz w:val="13"/>
                <w:szCs w:val="13"/>
              </w:rPr>
            </w:pPr>
            <w:r w:rsidRPr="00F92667">
              <w:rPr>
                <w:color w:val="000000"/>
                <w:sz w:val="13"/>
                <w:szCs w:val="13"/>
              </w:rPr>
              <w:t>3</w:t>
            </w:r>
          </w:p>
        </w:tc>
        <w:tc>
          <w:tcPr>
            <w:tcW w:w="476" w:type="dxa"/>
            <w:shd w:val="clear" w:color="auto" w:fill="auto"/>
            <w:hideMark/>
          </w:tcPr>
          <w:p w14:paraId="37A4B756" w14:textId="77777777" w:rsidR="001C56BD" w:rsidRPr="00F92667" w:rsidRDefault="001C56BD" w:rsidP="008A5C11">
            <w:pPr>
              <w:jc w:val="center"/>
              <w:rPr>
                <w:color w:val="000000"/>
                <w:sz w:val="13"/>
                <w:szCs w:val="13"/>
              </w:rPr>
            </w:pPr>
            <w:r w:rsidRPr="00F92667">
              <w:rPr>
                <w:color w:val="000000"/>
                <w:sz w:val="13"/>
                <w:szCs w:val="13"/>
              </w:rPr>
              <w:t>4</w:t>
            </w:r>
          </w:p>
        </w:tc>
        <w:tc>
          <w:tcPr>
            <w:tcW w:w="476" w:type="dxa"/>
            <w:shd w:val="clear" w:color="auto" w:fill="auto"/>
            <w:hideMark/>
          </w:tcPr>
          <w:p w14:paraId="451A2AE5" w14:textId="77777777" w:rsidR="001C56BD" w:rsidRPr="00F92667" w:rsidRDefault="001C56BD" w:rsidP="008A5C11">
            <w:pPr>
              <w:jc w:val="center"/>
              <w:rPr>
                <w:color w:val="000000"/>
                <w:sz w:val="13"/>
                <w:szCs w:val="13"/>
              </w:rPr>
            </w:pPr>
            <w:r w:rsidRPr="00F92667">
              <w:rPr>
                <w:color w:val="000000"/>
                <w:sz w:val="13"/>
                <w:szCs w:val="13"/>
              </w:rPr>
              <w:t>5</w:t>
            </w:r>
          </w:p>
        </w:tc>
        <w:tc>
          <w:tcPr>
            <w:tcW w:w="476" w:type="dxa"/>
            <w:shd w:val="clear" w:color="auto" w:fill="auto"/>
            <w:hideMark/>
          </w:tcPr>
          <w:p w14:paraId="17EC6611" w14:textId="77777777" w:rsidR="001C56BD" w:rsidRPr="00F92667" w:rsidRDefault="001C56BD" w:rsidP="008A5C11">
            <w:pPr>
              <w:jc w:val="center"/>
              <w:rPr>
                <w:color w:val="000000"/>
                <w:sz w:val="13"/>
                <w:szCs w:val="13"/>
              </w:rPr>
            </w:pPr>
            <w:r w:rsidRPr="00F92667">
              <w:rPr>
                <w:color w:val="000000"/>
                <w:sz w:val="13"/>
                <w:szCs w:val="13"/>
              </w:rPr>
              <w:t>6</w:t>
            </w:r>
          </w:p>
        </w:tc>
        <w:tc>
          <w:tcPr>
            <w:tcW w:w="494" w:type="dxa"/>
            <w:shd w:val="clear" w:color="auto" w:fill="auto"/>
            <w:hideMark/>
          </w:tcPr>
          <w:p w14:paraId="6314499B" w14:textId="77777777" w:rsidR="001C56BD" w:rsidRPr="00F92667" w:rsidRDefault="001C56BD" w:rsidP="008A5C11">
            <w:pPr>
              <w:jc w:val="center"/>
              <w:rPr>
                <w:color w:val="000000"/>
                <w:sz w:val="13"/>
                <w:szCs w:val="13"/>
              </w:rPr>
            </w:pPr>
            <w:r w:rsidRPr="00F92667">
              <w:rPr>
                <w:color w:val="000000"/>
                <w:sz w:val="13"/>
                <w:szCs w:val="13"/>
              </w:rPr>
              <w:t>7</w:t>
            </w:r>
          </w:p>
        </w:tc>
        <w:tc>
          <w:tcPr>
            <w:tcW w:w="476" w:type="dxa"/>
            <w:shd w:val="clear" w:color="auto" w:fill="auto"/>
            <w:hideMark/>
          </w:tcPr>
          <w:p w14:paraId="1C589853" w14:textId="77777777" w:rsidR="001C56BD" w:rsidRPr="00F92667" w:rsidRDefault="001C56BD" w:rsidP="008A5C11">
            <w:pPr>
              <w:jc w:val="center"/>
              <w:rPr>
                <w:color w:val="000000"/>
                <w:sz w:val="13"/>
                <w:szCs w:val="13"/>
              </w:rPr>
            </w:pPr>
            <w:r w:rsidRPr="00F92667">
              <w:rPr>
                <w:color w:val="000000"/>
                <w:sz w:val="13"/>
                <w:szCs w:val="13"/>
              </w:rPr>
              <w:t>8</w:t>
            </w:r>
          </w:p>
        </w:tc>
        <w:tc>
          <w:tcPr>
            <w:tcW w:w="476" w:type="dxa"/>
            <w:shd w:val="clear" w:color="auto" w:fill="auto"/>
            <w:hideMark/>
          </w:tcPr>
          <w:p w14:paraId="0DD879E7" w14:textId="77777777" w:rsidR="001C56BD" w:rsidRPr="00F92667" w:rsidRDefault="001C56BD" w:rsidP="008A5C11">
            <w:pPr>
              <w:jc w:val="center"/>
              <w:rPr>
                <w:color w:val="000000"/>
                <w:sz w:val="13"/>
                <w:szCs w:val="13"/>
              </w:rPr>
            </w:pPr>
            <w:r w:rsidRPr="00F92667">
              <w:rPr>
                <w:color w:val="000000"/>
                <w:sz w:val="13"/>
                <w:szCs w:val="13"/>
              </w:rPr>
              <w:t>9</w:t>
            </w:r>
          </w:p>
        </w:tc>
        <w:tc>
          <w:tcPr>
            <w:tcW w:w="476" w:type="dxa"/>
            <w:shd w:val="clear" w:color="auto" w:fill="auto"/>
            <w:hideMark/>
          </w:tcPr>
          <w:p w14:paraId="44C94CEA" w14:textId="77777777" w:rsidR="001C56BD" w:rsidRPr="00F92667" w:rsidRDefault="001C56BD" w:rsidP="008A5C11">
            <w:pPr>
              <w:jc w:val="center"/>
              <w:rPr>
                <w:color w:val="000000"/>
                <w:sz w:val="13"/>
                <w:szCs w:val="13"/>
              </w:rPr>
            </w:pPr>
            <w:r w:rsidRPr="00F92667">
              <w:rPr>
                <w:color w:val="000000"/>
                <w:sz w:val="13"/>
                <w:szCs w:val="13"/>
              </w:rPr>
              <w:t>10</w:t>
            </w:r>
          </w:p>
        </w:tc>
        <w:tc>
          <w:tcPr>
            <w:tcW w:w="476" w:type="dxa"/>
            <w:shd w:val="clear" w:color="auto" w:fill="auto"/>
            <w:hideMark/>
          </w:tcPr>
          <w:p w14:paraId="7998771C" w14:textId="77777777" w:rsidR="001C56BD" w:rsidRPr="00F92667" w:rsidRDefault="001C56BD" w:rsidP="008A5C11">
            <w:pPr>
              <w:jc w:val="center"/>
              <w:rPr>
                <w:color w:val="000000"/>
                <w:sz w:val="13"/>
                <w:szCs w:val="13"/>
              </w:rPr>
            </w:pPr>
            <w:r w:rsidRPr="00F92667">
              <w:rPr>
                <w:color w:val="000000"/>
                <w:sz w:val="13"/>
                <w:szCs w:val="13"/>
              </w:rPr>
              <w:t>11</w:t>
            </w:r>
          </w:p>
        </w:tc>
        <w:tc>
          <w:tcPr>
            <w:tcW w:w="476" w:type="dxa"/>
            <w:shd w:val="clear" w:color="auto" w:fill="auto"/>
            <w:hideMark/>
          </w:tcPr>
          <w:p w14:paraId="691E5FA9" w14:textId="77777777" w:rsidR="001C56BD" w:rsidRPr="00F92667" w:rsidRDefault="001C56BD" w:rsidP="008A5C11">
            <w:pPr>
              <w:jc w:val="center"/>
              <w:rPr>
                <w:color w:val="000000"/>
                <w:sz w:val="13"/>
                <w:szCs w:val="13"/>
              </w:rPr>
            </w:pPr>
            <w:r w:rsidRPr="00F92667">
              <w:rPr>
                <w:color w:val="000000"/>
                <w:sz w:val="13"/>
                <w:szCs w:val="13"/>
              </w:rPr>
              <w:t>12</w:t>
            </w:r>
          </w:p>
        </w:tc>
        <w:tc>
          <w:tcPr>
            <w:tcW w:w="513" w:type="dxa"/>
            <w:shd w:val="clear" w:color="auto" w:fill="auto"/>
            <w:hideMark/>
          </w:tcPr>
          <w:p w14:paraId="4D48C537" w14:textId="77777777" w:rsidR="001C56BD" w:rsidRPr="00F92667" w:rsidRDefault="001C56BD" w:rsidP="008A5C11">
            <w:pPr>
              <w:jc w:val="center"/>
              <w:rPr>
                <w:color w:val="000000"/>
                <w:sz w:val="13"/>
                <w:szCs w:val="13"/>
              </w:rPr>
            </w:pPr>
            <w:r w:rsidRPr="00F92667">
              <w:rPr>
                <w:color w:val="000000"/>
                <w:sz w:val="13"/>
                <w:szCs w:val="13"/>
              </w:rPr>
              <w:t>13</w:t>
            </w:r>
          </w:p>
        </w:tc>
        <w:tc>
          <w:tcPr>
            <w:tcW w:w="715" w:type="dxa"/>
            <w:shd w:val="clear" w:color="auto" w:fill="auto"/>
            <w:hideMark/>
          </w:tcPr>
          <w:p w14:paraId="7BC29B41" w14:textId="77777777" w:rsidR="001C56BD" w:rsidRPr="00F92667" w:rsidRDefault="001C56BD" w:rsidP="008A5C11">
            <w:pPr>
              <w:jc w:val="center"/>
              <w:rPr>
                <w:color w:val="000000"/>
                <w:sz w:val="13"/>
                <w:szCs w:val="13"/>
              </w:rPr>
            </w:pPr>
            <w:r w:rsidRPr="00F92667">
              <w:rPr>
                <w:color w:val="000000"/>
                <w:sz w:val="13"/>
                <w:szCs w:val="13"/>
              </w:rPr>
              <w:t>14</w:t>
            </w:r>
          </w:p>
        </w:tc>
        <w:tc>
          <w:tcPr>
            <w:tcW w:w="524" w:type="dxa"/>
            <w:shd w:val="clear" w:color="auto" w:fill="auto"/>
            <w:hideMark/>
          </w:tcPr>
          <w:p w14:paraId="73CB095E" w14:textId="77777777" w:rsidR="001C56BD" w:rsidRPr="00F92667" w:rsidRDefault="001C56BD" w:rsidP="008A5C11">
            <w:pPr>
              <w:jc w:val="center"/>
              <w:rPr>
                <w:color w:val="000000"/>
                <w:sz w:val="13"/>
                <w:szCs w:val="13"/>
              </w:rPr>
            </w:pPr>
            <w:r w:rsidRPr="00F92667">
              <w:rPr>
                <w:color w:val="000000"/>
                <w:sz w:val="13"/>
                <w:szCs w:val="13"/>
              </w:rPr>
              <w:t>15</w:t>
            </w:r>
          </w:p>
        </w:tc>
        <w:tc>
          <w:tcPr>
            <w:tcW w:w="476" w:type="dxa"/>
            <w:shd w:val="clear" w:color="auto" w:fill="auto"/>
            <w:hideMark/>
          </w:tcPr>
          <w:p w14:paraId="4F33459F" w14:textId="77777777" w:rsidR="001C56BD" w:rsidRPr="00F92667" w:rsidRDefault="001C56BD" w:rsidP="008A5C11">
            <w:pPr>
              <w:jc w:val="center"/>
              <w:rPr>
                <w:color w:val="000000"/>
                <w:sz w:val="13"/>
                <w:szCs w:val="13"/>
              </w:rPr>
            </w:pPr>
            <w:r w:rsidRPr="00F92667">
              <w:rPr>
                <w:color w:val="000000"/>
                <w:sz w:val="13"/>
                <w:szCs w:val="13"/>
              </w:rPr>
              <w:t>16</w:t>
            </w:r>
          </w:p>
        </w:tc>
        <w:tc>
          <w:tcPr>
            <w:tcW w:w="476" w:type="dxa"/>
            <w:shd w:val="clear" w:color="auto" w:fill="auto"/>
            <w:hideMark/>
          </w:tcPr>
          <w:p w14:paraId="7D02C2F1" w14:textId="77777777" w:rsidR="001C56BD" w:rsidRPr="00F92667" w:rsidRDefault="001C56BD" w:rsidP="008A5C11">
            <w:pPr>
              <w:jc w:val="center"/>
              <w:rPr>
                <w:color w:val="000000"/>
                <w:sz w:val="13"/>
                <w:szCs w:val="13"/>
              </w:rPr>
            </w:pPr>
            <w:r w:rsidRPr="00F92667">
              <w:rPr>
                <w:color w:val="000000"/>
                <w:sz w:val="13"/>
                <w:szCs w:val="13"/>
              </w:rPr>
              <w:t>17</w:t>
            </w:r>
          </w:p>
        </w:tc>
        <w:tc>
          <w:tcPr>
            <w:tcW w:w="488" w:type="dxa"/>
            <w:shd w:val="clear" w:color="auto" w:fill="auto"/>
            <w:hideMark/>
          </w:tcPr>
          <w:p w14:paraId="6DFDA41D" w14:textId="77777777" w:rsidR="001C56BD" w:rsidRPr="00F92667" w:rsidRDefault="001C56BD" w:rsidP="008A5C11">
            <w:pPr>
              <w:jc w:val="center"/>
              <w:rPr>
                <w:color w:val="000000"/>
                <w:sz w:val="13"/>
                <w:szCs w:val="13"/>
              </w:rPr>
            </w:pPr>
            <w:r w:rsidRPr="00F92667">
              <w:rPr>
                <w:color w:val="000000"/>
                <w:sz w:val="13"/>
                <w:szCs w:val="13"/>
              </w:rPr>
              <w:t>18</w:t>
            </w:r>
          </w:p>
        </w:tc>
        <w:tc>
          <w:tcPr>
            <w:tcW w:w="476" w:type="dxa"/>
            <w:shd w:val="clear" w:color="auto" w:fill="auto"/>
            <w:hideMark/>
          </w:tcPr>
          <w:p w14:paraId="368DE372" w14:textId="77777777" w:rsidR="001C56BD" w:rsidRPr="00F92667" w:rsidRDefault="001C56BD" w:rsidP="008A5C11">
            <w:pPr>
              <w:jc w:val="center"/>
              <w:rPr>
                <w:color w:val="000000"/>
                <w:sz w:val="13"/>
                <w:szCs w:val="13"/>
              </w:rPr>
            </w:pPr>
            <w:r w:rsidRPr="00F92667">
              <w:rPr>
                <w:color w:val="000000"/>
                <w:sz w:val="13"/>
                <w:szCs w:val="13"/>
              </w:rPr>
              <w:t>19</w:t>
            </w:r>
          </w:p>
        </w:tc>
        <w:tc>
          <w:tcPr>
            <w:tcW w:w="476" w:type="dxa"/>
            <w:shd w:val="clear" w:color="auto" w:fill="auto"/>
            <w:hideMark/>
          </w:tcPr>
          <w:p w14:paraId="7C5B7071" w14:textId="77777777" w:rsidR="001C56BD" w:rsidRPr="00F92667" w:rsidRDefault="001C56BD" w:rsidP="008A5C11">
            <w:pPr>
              <w:jc w:val="center"/>
              <w:rPr>
                <w:color w:val="000000"/>
                <w:sz w:val="13"/>
                <w:szCs w:val="13"/>
              </w:rPr>
            </w:pPr>
            <w:r w:rsidRPr="00F92667">
              <w:rPr>
                <w:color w:val="000000"/>
                <w:sz w:val="13"/>
                <w:szCs w:val="13"/>
              </w:rPr>
              <w:t>20</w:t>
            </w:r>
          </w:p>
        </w:tc>
        <w:tc>
          <w:tcPr>
            <w:tcW w:w="476" w:type="dxa"/>
            <w:shd w:val="clear" w:color="auto" w:fill="auto"/>
            <w:hideMark/>
          </w:tcPr>
          <w:p w14:paraId="5AF58BB2" w14:textId="77777777" w:rsidR="001C56BD" w:rsidRPr="00F92667" w:rsidRDefault="001C56BD" w:rsidP="008A5C11">
            <w:pPr>
              <w:jc w:val="center"/>
              <w:rPr>
                <w:color w:val="000000"/>
                <w:sz w:val="13"/>
                <w:szCs w:val="13"/>
              </w:rPr>
            </w:pPr>
            <w:r w:rsidRPr="00F92667">
              <w:rPr>
                <w:color w:val="000000"/>
                <w:sz w:val="13"/>
                <w:szCs w:val="13"/>
              </w:rPr>
              <w:t>21</w:t>
            </w:r>
          </w:p>
        </w:tc>
        <w:tc>
          <w:tcPr>
            <w:tcW w:w="476" w:type="dxa"/>
            <w:shd w:val="clear" w:color="auto" w:fill="auto"/>
            <w:hideMark/>
          </w:tcPr>
          <w:p w14:paraId="18FD1431" w14:textId="77777777" w:rsidR="001C56BD" w:rsidRPr="00F92667" w:rsidRDefault="001C56BD" w:rsidP="008A5C11">
            <w:pPr>
              <w:jc w:val="center"/>
              <w:rPr>
                <w:color w:val="000000"/>
                <w:sz w:val="13"/>
                <w:szCs w:val="13"/>
              </w:rPr>
            </w:pPr>
            <w:r w:rsidRPr="00F92667">
              <w:rPr>
                <w:color w:val="000000"/>
                <w:sz w:val="13"/>
                <w:szCs w:val="13"/>
              </w:rPr>
              <w:t>22</w:t>
            </w:r>
          </w:p>
        </w:tc>
        <w:tc>
          <w:tcPr>
            <w:tcW w:w="476" w:type="dxa"/>
            <w:shd w:val="clear" w:color="auto" w:fill="auto"/>
            <w:hideMark/>
          </w:tcPr>
          <w:p w14:paraId="3FFC5E30" w14:textId="77777777" w:rsidR="001C56BD" w:rsidRPr="00F92667" w:rsidRDefault="001C56BD" w:rsidP="008A5C11">
            <w:pPr>
              <w:jc w:val="center"/>
              <w:rPr>
                <w:color w:val="000000"/>
                <w:sz w:val="13"/>
                <w:szCs w:val="13"/>
              </w:rPr>
            </w:pPr>
            <w:r w:rsidRPr="00F92667">
              <w:rPr>
                <w:color w:val="000000"/>
                <w:sz w:val="13"/>
                <w:szCs w:val="13"/>
              </w:rPr>
              <w:t>23</w:t>
            </w:r>
          </w:p>
        </w:tc>
        <w:tc>
          <w:tcPr>
            <w:tcW w:w="567" w:type="dxa"/>
            <w:shd w:val="clear" w:color="auto" w:fill="auto"/>
            <w:hideMark/>
          </w:tcPr>
          <w:p w14:paraId="4FB62EBA" w14:textId="77777777" w:rsidR="001C56BD" w:rsidRPr="00F92667" w:rsidRDefault="001C56BD" w:rsidP="008A5C11">
            <w:pPr>
              <w:jc w:val="center"/>
              <w:rPr>
                <w:color w:val="000000"/>
                <w:sz w:val="13"/>
                <w:szCs w:val="13"/>
              </w:rPr>
            </w:pPr>
            <w:r w:rsidRPr="00F92667">
              <w:rPr>
                <w:color w:val="000000"/>
                <w:sz w:val="13"/>
                <w:szCs w:val="13"/>
              </w:rPr>
              <w:t>24</w:t>
            </w:r>
          </w:p>
        </w:tc>
      </w:tr>
      <w:tr w:rsidR="001C56BD" w:rsidRPr="00F92667" w14:paraId="3E3026C9" w14:textId="77777777" w:rsidTr="008A5C11">
        <w:trPr>
          <w:trHeight w:val="458"/>
        </w:trPr>
        <w:tc>
          <w:tcPr>
            <w:tcW w:w="399" w:type="dxa"/>
            <w:vMerge w:val="restart"/>
            <w:shd w:val="clear" w:color="auto" w:fill="auto"/>
            <w:vAlign w:val="center"/>
            <w:hideMark/>
          </w:tcPr>
          <w:p w14:paraId="6FE19856" w14:textId="77777777" w:rsidR="001C56BD" w:rsidRPr="00F92667" w:rsidRDefault="001C56BD" w:rsidP="008A5C11">
            <w:pPr>
              <w:jc w:val="center"/>
              <w:rPr>
                <w:color w:val="000000"/>
                <w:sz w:val="13"/>
                <w:szCs w:val="13"/>
              </w:rPr>
            </w:pPr>
            <w:r w:rsidRPr="00F92667">
              <w:rPr>
                <w:color w:val="000000"/>
                <w:sz w:val="13"/>
                <w:szCs w:val="13"/>
              </w:rPr>
              <w:t>1</w:t>
            </w:r>
          </w:p>
        </w:tc>
        <w:tc>
          <w:tcPr>
            <w:tcW w:w="3287" w:type="dxa"/>
            <w:vMerge w:val="restart"/>
            <w:shd w:val="clear" w:color="auto" w:fill="auto"/>
            <w:vAlign w:val="center"/>
            <w:hideMark/>
          </w:tcPr>
          <w:p w14:paraId="3C9E0318" w14:textId="77777777" w:rsidR="001C56BD" w:rsidRPr="00F92667" w:rsidRDefault="001C56BD" w:rsidP="008A5C11">
            <w:pPr>
              <w:rPr>
                <w:color w:val="000000"/>
                <w:sz w:val="13"/>
                <w:szCs w:val="13"/>
              </w:rPr>
            </w:pPr>
            <w:r w:rsidRPr="00F92667">
              <w:rPr>
                <w:color w:val="000000"/>
                <w:sz w:val="13"/>
                <w:szCs w:val="13"/>
              </w:rPr>
              <w:t>Сети филиала АО "Кузбассэнерго"- «Кемеровская теплосетевая компания»</w:t>
            </w:r>
          </w:p>
        </w:tc>
        <w:tc>
          <w:tcPr>
            <w:tcW w:w="851" w:type="dxa"/>
            <w:vMerge w:val="restart"/>
            <w:shd w:val="clear" w:color="auto" w:fill="auto"/>
            <w:vAlign w:val="center"/>
            <w:hideMark/>
          </w:tcPr>
          <w:p w14:paraId="14E98045" w14:textId="77777777" w:rsidR="001C56BD" w:rsidRPr="00F92667" w:rsidRDefault="001C56BD" w:rsidP="008A5C11">
            <w:pPr>
              <w:jc w:val="center"/>
              <w:rPr>
                <w:color w:val="000000"/>
                <w:sz w:val="13"/>
                <w:szCs w:val="13"/>
              </w:rPr>
            </w:pPr>
            <w:r w:rsidRPr="00F92667">
              <w:rPr>
                <w:color w:val="000000"/>
                <w:sz w:val="13"/>
                <w:szCs w:val="13"/>
              </w:rPr>
              <w:t>0</w:t>
            </w:r>
          </w:p>
        </w:tc>
        <w:tc>
          <w:tcPr>
            <w:tcW w:w="476" w:type="dxa"/>
            <w:vMerge w:val="restart"/>
            <w:shd w:val="clear" w:color="auto" w:fill="auto"/>
            <w:vAlign w:val="center"/>
            <w:hideMark/>
          </w:tcPr>
          <w:p w14:paraId="5CEA94A8" w14:textId="77777777" w:rsidR="001C56BD" w:rsidRPr="00F92667" w:rsidRDefault="001C56BD" w:rsidP="008A5C11">
            <w:pPr>
              <w:jc w:val="center"/>
              <w:rPr>
                <w:color w:val="000000"/>
                <w:sz w:val="13"/>
                <w:szCs w:val="13"/>
              </w:rPr>
            </w:pPr>
            <w:r w:rsidRPr="00F92667">
              <w:rPr>
                <w:color w:val="000000"/>
                <w:sz w:val="13"/>
                <w:szCs w:val="13"/>
              </w:rPr>
              <w:t>0</w:t>
            </w:r>
          </w:p>
        </w:tc>
        <w:tc>
          <w:tcPr>
            <w:tcW w:w="476" w:type="dxa"/>
            <w:vMerge w:val="restart"/>
            <w:shd w:val="clear" w:color="auto" w:fill="auto"/>
            <w:vAlign w:val="center"/>
            <w:hideMark/>
          </w:tcPr>
          <w:p w14:paraId="2E55D6B6" w14:textId="77777777" w:rsidR="001C56BD" w:rsidRPr="00F92667" w:rsidRDefault="001C56BD" w:rsidP="008A5C11">
            <w:pPr>
              <w:jc w:val="center"/>
              <w:rPr>
                <w:color w:val="000000"/>
                <w:sz w:val="13"/>
                <w:szCs w:val="13"/>
              </w:rPr>
            </w:pPr>
            <w:r w:rsidRPr="00F92667">
              <w:rPr>
                <w:color w:val="000000"/>
                <w:sz w:val="13"/>
                <w:szCs w:val="13"/>
              </w:rPr>
              <w:t>0</w:t>
            </w:r>
          </w:p>
        </w:tc>
        <w:tc>
          <w:tcPr>
            <w:tcW w:w="476" w:type="dxa"/>
            <w:vMerge w:val="restart"/>
            <w:shd w:val="clear" w:color="auto" w:fill="auto"/>
            <w:vAlign w:val="center"/>
            <w:hideMark/>
          </w:tcPr>
          <w:p w14:paraId="2E1ACA40" w14:textId="77777777" w:rsidR="001C56BD" w:rsidRPr="00F92667" w:rsidRDefault="001C56BD" w:rsidP="008A5C11">
            <w:pPr>
              <w:jc w:val="center"/>
              <w:rPr>
                <w:color w:val="000000"/>
                <w:sz w:val="13"/>
                <w:szCs w:val="13"/>
              </w:rPr>
            </w:pPr>
            <w:r w:rsidRPr="00F92667">
              <w:rPr>
                <w:color w:val="000000"/>
                <w:sz w:val="13"/>
                <w:szCs w:val="13"/>
              </w:rPr>
              <w:t>0</w:t>
            </w:r>
          </w:p>
        </w:tc>
        <w:tc>
          <w:tcPr>
            <w:tcW w:w="494" w:type="dxa"/>
            <w:vMerge w:val="restart"/>
            <w:shd w:val="clear" w:color="auto" w:fill="auto"/>
            <w:vAlign w:val="center"/>
            <w:hideMark/>
          </w:tcPr>
          <w:p w14:paraId="54CDD3B0" w14:textId="77777777" w:rsidR="001C56BD" w:rsidRPr="00F92667" w:rsidRDefault="001C56BD" w:rsidP="008A5C11">
            <w:pPr>
              <w:jc w:val="center"/>
              <w:rPr>
                <w:color w:val="000000"/>
                <w:sz w:val="13"/>
                <w:szCs w:val="13"/>
              </w:rPr>
            </w:pPr>
            <w:r w:rsidRPr="00F92667">
              <w:rPr>
                <w:color w:val="000000"/>
                <w:sz w:val="13"/>
                <w:szCs w:val="13"/>
              </w:rPr>
              <w:t>0</w:t>
            </w:r>
          </w:p>
        </w:tc>
        <w:tc>
          <w:tcPr>
            <w:tcW w:w="476" w:type="dxa"/>
            <w:vMerge w:val="restart"/>
            <w:shd w:val="clear" w:color="auto" w:fill="auto"/>
            <w:vAlign w:val="center"/>
            <w:hideMark/>
          </w:tcPr>
          <w:p w14:paraId="773EE9FD" w14:textId="77777777" w:rsidR="001C56BD" w:rsidRPr="00F92667" w:rsidRDefault="001C56BD" w:rsidP="008A5C11">
            <w:pPr>
              <w:jc w:val="center"/>
              <w:rPr>
                <w:color w:val="000000"/>
                <w:sz w:val="13"/>
                <w:szCs w:val="13"/>
              </w:rPr>
            </w:pPr>
            <w:r w:rsidRPr="00F92667">
              <w:rPr>
                <w:color w:val="000000"/>
                <w:sz w:val="13"/>
                <w:szCs w:val="13"/>
              </w:rPr>
              <w:t>0</w:t>
            </w:r>
          </w:p>
        </w:tc>
        <w:tc>
          <w:tcPr>
            <w:tcW w:w="476" w:type="dxa"/>
            <w:vMerge w:val="restart"/>
            <w:shd w:val="clear" w:color="auto" w:fill="auto"/>
            <w:vAlign w:val="center"/>
            <w:hideMark/>
          </w:tcPr>
          <w:p w14:paraId="43A3940F" w14:textId="77777777" w:rsidR="001C56BD" w:rsidRPr="00F92667" w:rsidRDefault="001C56BD" w:rsidP="008A5C11">
            <w:pPr>
              <w:jc w:val="center"/>
              <w:rPr>
                <w:color w:val="000000"/>
                <w:sz w:val="13"/>
                <w:szCs w:val="13"/>
              </w:rPr>
            </w:pPr>
            <w:r w:rsidRPr="00F92667">
              <w:rPr>
                <w:color w:val="000000"/>
                <w:sz w:val="13"/>
                <w:szCs w:val="13"/>
              </w:rPr>
              <w:t>0</w:t>
            </w:r>
          </w:p>
        </w:tc>
        <w:tc>
          <w:tcPr>
            <w:tcW w:w="476" w:type="dxa"/>
            <w:vMerge w:val="restart"/>
            <w:shd w:val="clear" w:color="auto" w:fill="auto"/>
            <w:vAlign w:val="center"/>
            <w:hideMark/>
          </w:tcPr>
          <w:p w14:paraId="7573D4BE" w14:textId="77777777" w:rsidR="001C56BD" w:rsidRPr="00F92667" w:rsidRDefault="001C56BD" w:rsidP="008A5C11">
            <w:pPr>
              <w:jc w:val="center"/>
              <w:rPr>
                <w:color w:val="000000"/>
                <w:sz w:val="13"/>
                <w:szCs w:val="13"/>
              </w:rPr>
            </w:pPr>
            <w:r w:rsidRPr="00F92667">
              <w:rPr>
                <w:color w:val="000000"/>
                <w:sz w:val="13"/>
                <w:szCs w:val="13"/>
              </w:rPr>
              <w:t>0</w:t>
            </w:r>
          </w:p>
        </w:tc>
        <w:tc>
          <w:tcPr>
            <w:tcW w:w="476" w:type="dxa"/>
            <w:vMerge w:val="restart"/>
            <w:shd w:val="clear" w:color="auto" w:fill="auto"/>
            <w:vAlign w:val="center"/>
            <w:hideMark/>
          </w:tcPr>
          <w:p w14:paraId="77B5804B" w14:textId="77777777" w:rsidR="001C56BD" w:rsidRPr="00F92667" w:rsidRDefault="001C56BD" w:rsidP="008A5C11">
            <w:pPr>
              <w:jc w:val="center"/>
              <w:rPr>
                <w:color w:val="000000"/>
                <w:sz w:val="13"/>
                <w:szCs w:val="13"/>
              </w:rPr>
            </w:pPr>
            <w:r w:rsidRPr="00F92667">
              <w:rPr>
                <w:color w:val="000000"/>
                <w:sz w:val="13"/>
                <w:szCs w:val="13"/>
              </w:rPr>
              <w:t>0</w:t>
            </w:r>
          </w:p>
        </w:tc>
        <w:tc>
          <w:tcPr>
            <w:tcW w:w="476" w:type="dxa"/>
            <w:vMerge w:val="restart"/>
            <w:shd w:val="clear" w:color="auto" w:fill="auto"/>
            <w:vAlign w:val="center"/>
            <w:hideMark/>
          </w:tcPr>
          <w:p w14:paraId="0907C672" w14:textId="77777777" w:rsidR="001C56BD" w:rsidRPr="00F92667" w:rsidRDefault="001C56BD" w:rsidP="008A5C11">
            <w:pPr>
              <w:jc w:val="center"/>
              <w:rPr>
                <w:color w:val="000000"/>
                <w:sz w:val="13"/>
                <w:szCs w:val="13"/>
              </w:rPr>
            </w:pPr>
            <w:r w:rsidRPr="00F92667">
              <w:rPr>
                <w:color w:val="000000"/>
                <w:sz w:val="13"/>
                <w:szCs w:val="13"/>
              </w:rPr>
              <w:t>0</w:t>
            </w:r>
          </w:p>
        </w:tc>
        <w:tc>
          <w:tcPr>
            <w:tcW w:w="513" w:type="dxa"/>
            <w:vMerge w:val="restart"/>
            <w:shd w:val="clear" w:color="auto" w:fill="auto"/>
            <w:vAlign w:val="center"/>
            <w:hideMark/>
          </w:tcPr>
          <w:p w14:paraId="0A54A702" w14:textId="77777777" w:rsidR="001C56BD" w:rsidRPr="00F92667" w:rsidRDefault="001C56BD" w:rsidP="008A5C11">
            <w:pPr>
              <w:jc w:val="center"/>
              <w:rPr>
                <w:color w:val="000000"/>
                <w:sz w:val="13"/>
                <w:szCs w:val="13"/>
              </w:rPr>
            </w:pPr>
            <w:r w:rsidRPr="00F92667">
              <w:rPr>
                <w:color w:val="000000"/>
                <w:sz w:val="13"/>
                <w:szCs w:val="13"/>
              </w:rPr>
              <w:t>0</w:t>
            </w:r>
          </w:p>
        </w:tc>
        <w:tc>
          <w:tcPr>
            <w:tcW w:w="715" w:type="dxa"/>
            <w:vMerge w:val="restart"/>
            <w:shd w:val="clear" w:color="auto" w:fill="auto"/>
            <w:vAlign w:val="center"/>
            <w:hideMark/>
          </w:tcPr>
          <w:p w14:paraId="6C97B5EA" w14:textId="77777777" w:rsidR="001C56BD" w:rsidRPr="00F92667" w:rsidRDefault="001C56BD" w:rsidP="008A5C11">
            <w:pPr>
              <w:jc w:val="center"/>
              <w:rPr>
                <w:color w:val="000000"/>
                <w:sz w:val="13"/>
                <w:szCs w:val="13"/>
              </w:rPr>
            </w:pPr>
            <w:r w:rsidRPr="00F92667">
              <w:rPr>
                <w:color w:val="000000"/>
                <w:sz w:val="13"/>
                <w:szCs w:val="13"/>
              </w:rPr>
              <w:t>0</w:t>
            </w:r>
          </w:p>
        </w:tc>
        <w:tc>
          <w:tcPr>
            <w:tcW w:w="524" w:type="dxa"/>
            <w:vMerge w:val="restart"/>
            <w:shd w:val="clear" w:color="auto" w:fill="auto"/>
            <w:vAlign w:val="center"/>
            <w:hideMark/>
          </w:tcPr>
          <w:p w14:paraId="132AC912" w14:textId="77777777" w:rsidR="001C56BD" w:rsidRPr="00F92667" w:rsidRDefault="001C56BD" w:rsidP="008A5C11">
            <w:pPr>
              <w:jc w:val="center"/>
              <w:rPr>
                <w:color w:val="000000"/>
                <w:sz w:val="13"/>
                <w:szCs w:val="13"/>
              </w:rPr>
            </w:pPr>
            <w:r w:rsidRPr="00F92667">
              <w:rPr>
                <w:color w:val="000000"/>
                <w:sz w:val="13"/>
                <w:szCs w:val="13"/>
              </w:rPr>
              <w:t>0</w:t>
            </w:r>
          </w:p>
        </w:tc>
        <w:tc>
          <w:tcPr>
            <w:tcW w:w="476" w:type="dxa"/>
            <w:vMerge w:val="restart"/>
            <w:shd w:val="clear" w:color="auto" w:fill="auto"/>
            <w:vAlign w:val="center"/>
            <w:hideMark/>
          </w:tcPr>
          <w:p w14:paraId="6B708324" w14:textId="77777777" w:rsidR="001C56BD" w:rsidRPr="00F92667" w:rsidRDefault="001C56BD" w:rsidP="008A5C11">
            <w:pPr>
              <w:jc w:val="center"/>
              <w:rPr>
                <w:color w:val="000000"/>
                <w:sz w:val="13"/>
                <w:szCs w:val="13"/>
              </w:rPr>
            </w:pPr>
            <w:r w:rsidRPr="00F92667">
              <w:rPr>
                <w:color w:val="000000"/>
                <w:sz w:val="13"/>
                <w:szCs w:val="13"/>
              </w:rPr>
              <w:t>0</w:t>
            </w:r>
          </w:p>
        </w:tc>
        <w:tc>
          <w:tcPr>
            <w:tcW w:w="476" w:type="dxa"/>
            <w:vMerge w:val="restart"/>
            <w:shd w:val="clear" w:color="auto" w:fill="auto"/>
            <w:vAlign w:val="center"/>
            <w:hideMark/>
          </w:tcPr>
          <w:p w14:paraId="5663E07B" w14:textId="77777777" w:rsidR="001C56BD" w:rsidRPr="00F92667" w:rsidRDefault="001C56BD" w:rsidP="008A5C11">
            <w:pPr>
              <w:jc w:val="center"/>
              <w:rPr>
                <w:color w:val="000000"/>
                <w:sz w:val="13"/>
                <w:szCs w:val="13"/>
              </w:rPr>
            </w:pPr>
            <w:r w:rsidRPr="00F92667">
              <w:rPr>
                <w:color w:val="000000"/>
                <w:sz w:val="13"/>
                <w:szCs w:val="13"/>
              </w:rPr>
              <w:t>0</w:t>
            </w:r>
          </w:p>
        </w:tc>
        <w:tc>
          <w:tcPr>
            <w:tcW w:w="488" w:type="dxa"/>
            <w:vMerge w:val="restart"/>
            <w:shd w:val="clear" w:color="auto" w:fill="auto"/>
            <w:vAlign w:val="center"/>
            <w:hideMark/>
          </w:tcPr>
          <w:p w14:paraId="50A7B7CF" w14:textId="77777777" w:rsidR="001C56BD" w:rsidRPr="00F92667" w:rsidRDefault="001C56BD" w:rsidP="008A5C11">
            <w:pPr>
              <w:jc w:val="center"/>
              <w:rPr>
                <w:color w:val="000000"/>
                <w:sz w:val="13"/>
                <w:szCs w:val="13"/>
              </w:rPr>
            </w:pPr>
            <w:r w:rsidRPr="00F92667">
              <w:rPr>
                <w:color w:val="000000"/>
                <w:sz w:val="13"/>
                <w:szCs w:val="13"/>
              </w:rPr>
              <w:t>0</w:t>
            </w:r>
          </w:p>
        </w:tc>
        <w:tc>
          <w:tcPr>
            <w:tcW w:w="476" w:type="dxa"/>
            <w:vMerge w:val="restart"/>
            <w:shd w:val="clear" w:color="auto" w:fill="auto"/>
            <w:vAlign w:val="center"/>
            <w:hideMark/>
          </w:tcPr>
          <w:p w14:paraId="4D4353F8" w14:textId="77777777" w:rsidR="001C56BD" w:rsidRPr="00F92667" w:rsidRDefault="001C56BD" w:rsidP="008A5C11">
            <w:pPr>
              <w:jc w:val="center"/>
              <w:rPr>
                <w:color w:val="000000"/>
                <w:sz w:val="13"/>
                <w:szCs w:val="13"/>
              </w:rPr>
            </w:pPr>
            <w:r w:rsidRPr="00F92667">
              <w:rPr>
                <w:color w:val="000000"/>
                <w:sz w:val="13"/>
                <w:szCs w:val="13"/>
              </w:rPr>
              <w:t>0</w:t>
            </w:r>
          </w:p>
        </w:tc>
        <w:tc>
          <w:tcPr>
            <w:tcW w:w="476" w:type="dxa"/>
            <w:vMerge w:val="restart"/>
            <w:shd w:val="clear" w:color="auto" w:fill="auto"/>
            <w:vAlign w:val="center"/>
            <w:hideMark/>
          </w:tcPr>
          <w:p w14:paraId="2AF92DC8" w14:textId="77777777" w:rsidR="001C56BD" w:rsidRPr="00F92667" w:rsidRDefault="001C56BD" w:rsidP="008A5C11">
            <w:pPr>
              <w:jc w:val="center"/>
              <w:rPr>
                <w:color w:val="000000"/>
                <w:sz w:val="13"/>
                <w:szCs w:val="13"/>
              </w:rPr>
            </w:pPr>
            <w:r w:rsidRPr="00F92667">
              <w:rPr>
                <w:color w:val="000000"/>
                <w:sz w:val="13"/>
                <w:szCs w:val="13"/>
              </w:rPr>
              <w:t>0</w:t>
            </w:r>
          </w:p>
        </w:tc>
        <w:tc>
          <w:tcPr>
            <w:tcW w:w="476" w:type="dxa"/>
            <w:vMerge w:val="restart"/>
            <w:shd w:val="clear" w:color="auto" w:fill="auto"/>
            <w:vAlign w:val="center"/>
            <w:hideMark/>
          </w:tcPr>
          <w:p w14:paraId="345E1F95" w14:textId="77777777" w:rsidR="001C56BD" w:rsidRPr="00F92667" w:rsidRDefault="001C56BD" w:rsidP="008A5C11">
            <w:pPr>
              <w:jc w:val="center"/>
              <w:rPr>
                <w:color w:val="000000"/>
                <w:sz w:val="13"/>
                <w:szCs w:val="13"/>
              </w:rPr>
            </w:pPr>
            <w:r w:rsidRPr="00F92667">
              <w:rPr>
                <w:color w:val="000000"/>
                <w:sz w:val="13"/>
                <w:szCs w:val="13"/>
              </w:rPr>
              <w:t>0</w:t>
            </w:r>
          </w:p>
        </w:tc>
        <w:tc>
          <w:tcPr>
            <w:tcW w:w="476" w:type="dxa"/>
            <w:vMerge w:val="restart"/>
            <w:shd w:val="clear" w:color="auto" w:fill="auto"/>
            <w:vAlign w:val="center"/>
            <w:hideMark/>
          </w:tcPr>
          <w:p w14:paraId="19EE6D60" w14:textId="77777777" w:rsidR="001C56BD" w:rsidRPr="00F92667" w:rsidRDefault="001C56BD" w:rsidP="008A5C11">
            <w:pPr>
              <w:jc w:val="center"/>
              <w:rPr>
                <w:color w:val="000000"/>
                <w:sz w:val="13"/>
                <w:szCs w:val="13"/>
              </w:rPr>
            </w:pPr>
            <w:r w:rsidRPr="00F92667">
              <w:rPr>
                <w:color w:val="000000"/>
                <w:sz w:val="13"/>
                <w:szCs w:val="13"/>
              </w:rPr>
              <w:t>0</w:t>
            </w:r>
          </w:p>
        </w:tc>
        <w:tc>
          <w:tcPr>
            <w:tcW w:w="476" w:type="dxa"/>
            <w:vMerge w:val="restart"/>
            <w:shd w:val="clear" w:color="auto" w:fill="auto"/>
            <w:vAlign w:val="center"/>
            <w:hideMark/>
          </w:tcPr>
          <w:p w14:paraId="6AE6B1F9" w14:textId="77777777" w:rsidR="001C56BD" w:rsidRPr="00F92667" w:rsidRDefault="001C56BD" w:rsidP="008A5C11">
            <w:pPr>
              <w:jc w:val="center"/>
              <w:rPr>
                <w:color w:val="000000"/>
                <w:sz w:val="13"/>
                <w:szCs w:val="13"/>
              </w:rPr>
            </w:pPr>
            <w:r w:rsidRPr="00F92667">
              <w:rPr>
                <w:color w:val="000000"/>
                <w:sz w:val="13"/>
                <w:szCs w:val="13"/>
              </w:rPr>
              <w:t>0</w:t>
            </w:r>
          </w:p>
        </w:tc>
        <w:tc>
          <w:tcPr>
            <w:tcW w:w="567" w:type="dxa"/>
            <w:vMerge w:val="restart"/>
            <w:shd w:val="clear" w:color="auto" w:fill="auto"/>
            <w:vAlign w:val="center"/>
            <w:hideMark/>
          </w:tcPr>
          <w:p w14:paraId="2F467CD8" w14:textId="77777777" w:rsidR="001C56BD" w:rsidRPr="00F92667" w:rsidRDefault="001C56BD" w:rsidP="008A5C11">
            <w:pPr>
              <w:jc w:val="center"/>
              <w:rPr>
                <w:color w:val="000000"/>
                <w:sz w:val="13"/>
                <w:szCs w:val="13"/>
              </w:rPr>
            </w:pPr>
            <w:r w:rsidRPr="00F92667">
              <w:rPr>
                <w:color w:val="000000"/>
                <w:sz w:val="13"/>
                <w:szCs w:val="13"/>
              </w:rPr>
              <w:t>0</w:t>
            </w:r>
          </w:p>
        </w:tc>
      </w:tr>
      <w:tr w:rsidR="001C56BD" w:rsidRPr="00F92667" w14:paraId="0A9C671E" w14:textId="77777777" w:rsidTr="008A5C11">
        <w:trPr>
          <w:trHeight w:val="458"/>
        </w:trPr>
        <w:tc>
          <w:tcPr>
            <w:tcW w:w="399" w:type="dxa"/>
            <w:vMerge/>
            <w:vAlign w:val="center"/>
            <w:hideMark/>
          </w:tcPr>
          <w:p w14:paraId="584CCF53" w14:textId="77777777" w:rsidR="001C56BD" w:rsidRPr="00F92667" w:rsidRDefault="001C56BD" w:rsidP="008A5C11">
            <w:pPr>
              <w:rPr>
                <w:color w:val="000000"/>
                <w:sz w:val="13"/>
                <w:szCs w:val="13"/>
              </w:rPr>
            </w:pPr>
          </w:p>
        </w:tc>
        <w:tc>
          <w:tcPr>
            <w:tcW w:w="3287" w:type="dxa"/>
            <w:vMerge/>
            <w:vAlign w:val="center"/>
            <w:hideMark/>
          </w:tcPr>
          <w:p w14:paraId="15BA88FC" w14:textId="77777777" w:rsidR="001C56BD" w:rsidRPr="00F92667" w:rsidRDefault="001C56BD" w:rsidP="008A5C11">
            <w:pPr>
              <w:rPr>
                <w:color w:val="000000"/>
                <w:sz w:val="13"/>
                <w:szCs w:val="13"/>
              </w:rPr>
            </w:pPr>
          </w:p>
        </w:tc>
        <w:tc>
          <w:tcPr>
            <w:tcW w:w="851" w:type="dxa"/>
            <w:vMerge/>
            <w:vAlign w:val="center"/>
            <w:hideMark/>
          </w:tcPr>
          <w:p w14:paraId="3025D941" w14:textId="77777777" w:rsidR="001C56BD" w:rsidRPr="00F92667" w:rsidRDefault="001C56BD" w:rsidP="008A5C11">
            <w:pPr>
              <w:rPr>
                <w:color w:val="000000"/>
                <w:sz w:val="13"/>
                <w:szCs w:val="13"/>
              </w:rPr>
            </w:pPr>
          </w:p>
        </w:tc>
        <w:tc>
          <w:tcPr>
            <w:tcW w:w="476" w:type="dxa"/>
            <w:vMerge/>
            <w:vAlign w:val="center"/>
            <w:hideMark/>
          </w:tcPr>
          <w:p w14:paraId="370C64CF" w14:textId="77777777" w:rsidR="001C56BD" w:rsidRPr="00F92667" w:rsidRDefault="001C56BD" w:rsidP="008A5C11">
            <w:pPr>
              <w:rPr>
                <w:color w:val="000000"/>
                <w:sz w:val="13"/>
                <w:szCs w:val="13"/>
              </w:rPr>
            </w:pPr>
          </w:p>
        </w:tc>
        <w:tc>
          <w:tcPr>
            <w:tcW w:w="476" w:type="dxa"/>
            <w:vMerge/>
            <w:vAlign w:val="center"/>
            <w:hideMark/>
          </w:tcPr>
          <w:p w14:paraId="71843D00" w14:textId="77777777" w:rsidR="001C56BD" w:rsidRPr="00F92667" w:rsidRDefault="001C56BD" w:rsidP="008A5C11">
            <w:pPr>
              <w:rPr>
                <w:color w:val="000000"/>
                <w:sz w:val="13"/>
                <w:szCs w:val="13"/>
              </w:rPr>
            </w:pPr>
          </w:p>
        </w:tc>
        <w:tc>
          <w:tcPr>
            <w:tcW w:w="476" w:type="dxa"/>
            <w:vMerge/>
            <w:vAlign w:val="center"/>
            <w:hideMark/>
          </w:tcPr>
          <w:p w14:paraId="7925271A" w14:textId="77777777" w:rsidR="001C56BD" w:rsidRPr="00F92667" w:rsidRDefault="001C56BD" w:rsidP="008A5C11">
            <w:pPr>
              <w:rPr>
                <w:color w:val="000000"/>
                <w:sz w:val="13"/>
                <w:szCs w:val="13"/>
              </w:rPr>
            </w:pPr>
          </w:p>
        </w:tc>
        <w:tc>
          <w:tcPr>
            <w:tcW w:w="494" w:type="dxa"/>
            <w:vMerge/>
            <w:vAlign w:val="center"/>
            <w:hideMark/>
          </w:tcPr>
          <w:p w14:paraId="215A0543" w14:textId="77777777" w:rsidR="001C56BD" w:rsidRPr="00F92667" w:rsidRDefault="001C56BD" w:rsidP="008A5C11">
            <w:pPr>
              <w:rPr>
                <w:color w:val="000000"/>
                <w:sz w:val="13"/>
                <w:szCs w:val="13"/>
              </w:rPr>
            </w:pPr>
          </w:p>
        </w:tc>
        <w:tc>
          <w:tcPr>
            <w:tcW w:w="476" w:type="dxa"/>
            <w:vMerge/>
            <w:vAlign w:val="center"/>
            <w:hideMark/>
          </w:tcPr>
          <w:p w14:paraId="158895B6" w14:textId="77777777" w:rsidR="001C56BD" w:rsidRPr="00F92667" w:rsidRDefault="001C56BD" w:rsidP="008A5C11">
            <w:pPr>
              <w:rPr>
                <w:color w:val="000000"/>
                <w:sz w:val="13"/>
                <w:szCs w:val="13"/>
              </w:rPr>
            </w:pPr>
          </w:p>
        </w:tc>
        <w:tc>
          <w:tcPr>
            <w:tcW w:w="476" w:type="dxa"/>
            <w:vMerge/>
            <w:vAlign w:val="center"/>
            <w:hideMark/>
          </w:tcPr>
          <w:p w14:paraId="33E42DB3" w14:textId="77777777" w:rsidR="001C56BD" w:rsidRPr="00F92667" w:rsidRDefault="001C56BD" w:rsidP="008A5C11">
            <w:pPr>
              <w:rPr>
                <w:color w:val="000000"/>
                <w:sz w:val="13"/>
                <w:szCs w:val="13"/>
              </w:rPr>
            </w:pPr>
          </w:p>
        </w:tc>
        <w:tc>
          <w:tcPr>
            <w:tcW w:w="476" w:type="dxa"/>
            <w:vMerge/>
            <w:vAlign w:val="center"/>
            <w:hideMark/>
          </w:tcPr>
          <w:p w14:paraId="53BA09E9" w14:textId="77777777" w:rsidR="001C56BD" w:rsidRPr="00F92667" w:rsidRDefault="001C56BD" w:rsidP="008A5C11">
            <w:pPr>
              <w:rPr>
                <w:color w:val="000000"/>
                <w:sz w:val="13"/>
                <w:szCs w:val="13"/>
              </w:rPr>
            </w:pPr>
          </w:p>
        </w:tc>
        <w:tc>
          <w:tcPr>
            <w:tcW w:w="476" w:type="dxa"/>
            <w:vMerge/>
            <w:vAlign w:val="center"/>
            <w:hideMark/>
          </w:tcPr>
          <w:p w14:paraId="231B2057" w14:textId="77777777" w:rsidR="001C56BD" w:rsidRPr="00F92667" w:rsidRDefault="001C56BD" w:rsidP="008A5C11">
            <w:pPr>
              <w:rPr>
                <w:color w:val="000000"/>
                <w:sz w:val="13"/>
                <w:szCs w:val="13"/>
              </w:rPr>
            </w:pPr>
          </w:p>
        </w:tc>
        <w:tc>
          <w:tcPr>
            <w:tcW w:w="476" w:type="dxa"/>
            <w:vMerge/>
            <w:vAlign w:val="center"/>
            <w:hideMark/>
          </w:tcPr>
          <w:p w14:paraId="62B46446" w14:textId="77777777" w:rsidR="001C56BD" w:rsidRPr="00F92667" w:rsidRDefault="001C56BD" w:rsidP="008A5C11">
            <w:pPr>
              <w:rPr>
                <w:color w:val="000000"/>
                <w:sz w:val="13"/>
                <w:szCs w:val="13"/>
              </w:rPr>
            </w:pPr>
          </w:p>
        </w:tc>
        <w:tc>
          <w:tcPr>
            <w:tcW w:w="513" w:type="dxa"/>
            <w:vMerge/>
            <w:vAlign w:val="center"/>
            <w:hideMark/>
          </w:tcPr>
          <w:p w14:paraId="3D77B3E3" w14:textId="77777777" w:rsidR="001C56BD" w:rsidRPr="00F92667" w:rsidRDefault="001C56BD" w:rsidP="008A5C11">
            <w:pPr>
              <w:rPr>
                <w:color w:val="000000"/>
                <w:sz w:val="13"/>
                <w:szCs w:val="13"/>
              </w:rPr>
            </w:pPr>
          </w:p>
        </w:tc>
        <w:tc>
          <w:tcPr>
            <w:tcW w:w="715" w:type="dxa"/>
            <w:vMerge/>
            <w:vAlign w:val="center"/>
            <w:hideMark/>
          </w:tcPr>
          <w:p w14:paraId="343CD8DE" w14:textId="77777777" w:rsidR="001C56BD" w:rsidRPr="00F92667" w:rsidRDefault="001C56BD" w:rsidP="008A5C11">
            <w:pPr>
              <w:rPr>
                <w:color w:val="000000"/>
                <w:sz w:val="13"/>
                <w:szCs w:val="13"/>
              </w:rPr>
            </w:pPr>
          </w:p>
        </w:tc>
        <w:tc>
          <w:tcPr>
            <w:tcW w:w="524" w:type="dxa"/>
            <w:vMerge/>
            <w:vAlign w:val="center"/>
            <w:hideMark/>
          </w:tcPr>
          <w:p w14:paraId="1D58887A" w14:textId="77777777" w:rsidR="001C56BD" w:rsidRPr="00F92667" w:rsidRDefault="001C56BD" w:rsidP="008A5C11">
            <w:pPr>
              <w:rPr>
                <w:color w:val="000000"/>
                <w:sz w:val="13"/>
                <w:szCs w:val="13"/>
              </w:rPr>
            </w:pPr>
          </w:p>
        </w:tc>
        <w:tc>
          <w:tcPr>
            <w:tcW w:w="476" w:type="dxa"/>
            <w:vMerge/>
            <w:vAlign w:val="center"/>
            <w:hideMark/>
          </w:tcPr>
          <w:p w14:paraId="68788344" w14:textId="77777777" w:rsidR="001C56BD" w:rsidRPr="00F92667" w:rsidRDefault="001C56BD" w:rsidP="008A5C11">
            <w:pPr>
              <w:rPr>
                <w:color w:val="000000"/>
                <w:sz w:val="13"/>
                <w:szCs w:val="13"/>
              </w:rPr>
            </w:pPr>
          </w:p>
        </w:tc>
        <w:tc>
          <w:tcPr>
            <w:tcW w:w="476" w:type="dxa"/>
            <w:vMerge/>
            <w:vAlign w:val="center"/>
            <w:hideMark/>
          </w:tcPr>
          <w:p w14:paraId="7250A476" w14:textId="77777777" w:rsidR="001C56BD" w:rsidRPr="00F92667" w:rsidRDefault="001C56BD" w:rsidP="008A5C11">
            <w:pPr>
              <w:rPr>
                <w:color w:val="000000"/>
                <w:sz w:val="13"/>
                <w:szCs w:val="13"/>
              </w:rPr>
            </w:pPr>
          </w:p>
        </w:tc>
        <w:tc>
          <w:tcPr>
            <w:tcW w:w="488" w:type="dxa"/>
            <w:vMerge/>
            <w:vAlign w:val="center"/>
            <w:hideMark/>
          </w:tcPr>
          <w:p w14:paraId="1AC23E20" w14:textId="77777777" w:rsidR="001C56BD" w:rsidRPr="00F92667" w:rsidRDefault="001C56BD" w:rsidP="008A5C11">
            <w:pPr>
              <w:rPr>
                <w:color w:val="000000"/>
                <w:sz w:val="13"/>
                <w:szCs w:val="13"/>
              </w:rPr>
            </w:pPr>
          </w:p>
        </w:tc>
        <w:tc>
          <w:tcPr>
            <w:tcW w:w="476" w:type="dxa"/>
            <w:vMerge/>
            <w:vAlign w:val="center"/>
            <w:hideMark/>
          </w:tcPr>
          <w:p w14:paraId="28D623D3" w14:textId="77777777" w:rsidR="001C56BD" w:rsidRPr="00F92667" w:rsidRDefault="001C56BD" w:rsidP="008A5C11">
            <w:pPr>
              <w:rPr>
                <w:color w:val="000000"/>
                <w:sz w:val="13"/>
                <w:szCs w:val="13"/>
              </w:rPr>
            </w:pPr>
          </w:p>
        </w:tc>
        <w:tc>
          <w:tcPr>
            <w:tcW w:w="476" w:type="dxa"/>
            <w:vMerge/>
            <w:vAlign w:val="center"/>
            <w:hideMark/>
          </w:tcPr>
          <w:p w14:paraId="3A291318" w14:textId="77777777" w:rsidR="001C56BD" w:rsidRPr="00F92667" w:rsidRDefault="001C56BD" w:rsidP="008A5C11">
            <w:pPr>
              <w:rPr>
                <w:color w:val="000000"/>
                <w:sz w:val="13"/>
                <w:szCs w:val="13"/>
              </w:rPr>
            </w:pPr>
          </w:p>
        </w:tc>
        <w:tc>
          <w:tcPr>
            <w:tcW w:w="476" w:type="dxa"/>
            <w:vMerge/>
            <w:vAlign w:val="center"/>
            <w:hideMark/>
          </w:tcPr>
          <w:p w14:paraId="54CE5775" w14:textId="77777777" w:rsidR="001C56BD" w:rsidRPr="00F92667" w:rsidRDefault="001C56BD" w:rsidP="008A5C11">
            <w:pPr>
              <w:rPr>
                <w:color w:val="000000"/>
                <w:sz w:val="13"/>
                <w:szCs w:val="13"/>
              </w:rPr>
            </w:pPr>
          </w:p>
        </w:tc>
        <w:tc>
          <w:tcPr>
            <w:tcW w:w="476" w:type="dxa"/>
            <w:vMerge/>
            <w:vAlign w:val="center"/>
            <w:hideMark/>
          </w:tcPr>
          <w:p w14:paraId="0AFE183F" w14:textId="77777777" w:rsidR="001C56BD" w:rsidRPr="00F92667" w:rsidRDefault="001C56BD" w:rsidP="008A5C11">
            <w:pPr>
              <w:rPr>
                <w:color w:val="000000"/>
                <w:sz w:val="13"/>
                <w:szCs w:val="13"/>
              </w:rPr>
            </w:pPr>
          </w:p>
        </w:tc>
        <w:tc>
          <w:tcPr>
            <w:tcW w:w="476" w:type="dxa"/>
            <w:vMerge/>
            <w:vAlign w:val="center"/>
            <w:hideMark/>
          </w:tcPr>
          <w:p w14:paraId="50F4DC36" w14:textId="77777777" w:rsidR="001C56BD" w:rsidRPr="00F92667" w:rsidRDefault="001C56BD" w:rsidP="008A5C11">
            <w:pPr>
              <w:rPr>
                <w:color w:val="000000"/>
                <w:sz w:val="13"/>
                <w:szCs w:val="13"/>
              </w:rPr>
            </w:pPr>
          </w:p>
        </w:tc>
        <w:tc>
          <w:tcPr>
            <w:tcW w:w="567" w:type="dxa"/>
            <w:vMerge/>
            <w:vAlign w:val="center"/>
            <w:hideMark/>
          </w:tcPr>
          <w:p w14:paraId="5CB0EDB7" w14:textId="77777777" w:rsidR="001C56BD" w:rsidRPr="00F92667" w:rsidRDefault="001C56BD" w:rsidP="008A5C11">
            <w:pPr>
              <w:rPr>
                <w:color w:val="000000"/>
                <w:sz w:val="13"/>
                <w:szCs w:val="13"/>
              </w:rPr>
            </w:pPr>
          </w:p>
        </w:tc>
      </w:tr>
    </w:tbl>
    <w:p w14:paraId="2D2C9103" w14:textId="77777777" w:rsidR="001C56BD" w:rsidRPr="00F92667" w:rsidRDefault="001C56BD" w:rsidP="001C56BD">
      <w:pPr>
        <w:autoSpaceDE w:val="0"/>
        <w:autoSpaceDN w:val="0"/>
        <w:adjustRightInd w:val="0"/>
        <w:jc w:val="center"/>
        <w:rPr>
          <w:b/>
          <w:bCs/>
          <w:sz w:val="28"/>
          <w:szCs w:val="28"/>
        </w:rPr>
      </w:pPr>
    </w:p>
    <w:tbl>
      <w:tblPr>
        <w:tblW w:w="14978" w:type="dxa"/>
        <w:tblInd w:w="-34" w:type="dxa"/>
        <w:tblLook w:val="04A0" w:firstRow="1" w:lastRow="0" w:firstColumn="1" w:lastColumn="0" w:noHBand="0" w:noVBand="1"/>
      </w:tblPr>
      <w:tblGrid>
        <w:gridCol w:w="3686"/>
        <w:gridCol w:w="715"/>
        <w:gridCol w:w="476"/>
        <w:gridCol w:w="476"/>
        <w:gridCol w:w="476"/>
        <w:gridCol w:w="476"/>
        <w:gridCol w:w="476"/>
        <w:gridCol w:w="476"/>
        <w:gridCol w:w="476"/>
        <w:gridCol w:w="476"/>
        <w:gridCol w:w="476"/>
        <w:gridCol w:w="813"/>
        <w:gridCol w:w="715"/>
        <w:gridCol w:w="476"/>
        <w:gridCol w:w="476"/>
        <w:gridCol w:w="476"/>
        <w:gridCol w:w="476"/>
        <w:gridCol w:w="476"/>
        <w:gridCol w:w="476"/>
        <w:gridCol w:w="476"/>
        <w:gridCol w:w="476"/>
        <w:gridCol w:w="476"/>
        <w:gridCol w:w="481"/>
      </w:tblGrid>
      <w:tr w:rsidR="001C56BD" w:rsidRPr="00F92667" w14:paraId="28EF9D05" w14:textId="77777777" w:rsidTr="008A5C11">
        <w:trPr>
          <w:trHeight w:val="315"/>
        </w:trPr>
        <w:tc>
          <w:tcPr>
            <w:tcW w:w="3686" w:type="dxa"/>
            <w:vMerge w:val="restart"/>
            <w:tcBorders>
              <w:top w:val="single" w:sz="4" w:space="0" w:color="auto"/>
              <w:left w:val="single" w:sz="4" w:space="0" w:color="auto"/>
              <w:bottom w:val="single" w:sz="4" w:space="0" w:color="auto"/>
              <w:right w:val="nil"/>
            </w:tcBorders>
            <w:shd w:val="clear" w:color="auto" w:fill="auto"/>
            <w:vAlign w:val="center"/>
            <w:hideMark/>
          </w:tcPr>
          <w:p w14:paraId="21C3F2E3" w14:textId="77777777" w:rsidR="001C56BD" w:rsidRPr="00F92667" w:rsidRDefault="001C56BD" w:rsidP="008A5C11">
            <w:pPr>
              <w:jc w:val="center"/>
              <w:rPr>
                <w:sz w:val="13"/>
                <w:szCs w:val="13"/>
              </w:rPr>
            </w:pPr>
            <w:r w:rsidRPr="00F92667">
              <w:rPr>
                <w:sz w:val="13"/>
                <w:szCs w:val="13"/>
              </w:rPr>
              <w:t>Наименование объекта</w:t>
            </w:r>
          </w:p>
        </w:tc>
        <w:tc>
          <w:tcPr>
            <w:tcW w:w="11292" w:type="dxa"/>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549BD49" w14:textId="77777777" w:rsidR="001C56BD" w:rsidRPr="00F92667" w:rsidRDefault="001C56BD" w:rsidP="008A5C11">
            <w:pPr>
              <w:jc w:val="center"/>
              <w:rPr>
                <w:sz w:val="13"/>
                <w:szCs w:val="13"/>
              </w:rPr>
            </w:pPr>
            <w:r w:rsidRPr="00F92667">
              <w:rPr>
                <w:sz w:val="13"/>
                <w:szCs w:val="13"/>
              </w:rPr>
              <w:t>Показатели энергетической эффективности</w:t>
            </w:r>
          </w:p>
        </w:tc>
      </w:tr>
      <w:tr w:rsidR="001C56BD" w:rsidRPr="00F92667" w14:paraId="055B922D" w14:textId="77777777" w:rsidTr="008A5C11">
        <w:trPr>
          <w:trHeight w:val="142"/>
        </w:trPr>
        <w:tc>
          <w:tcPr>
            <w:tcW w:w="3686" w:type="dxa"/>
            <w:vMerge/>
            <w:tcBorders>
              <w:top w:val="single" w:sz="4" w:space="0" w:color="auto"/>
              <w:left w:val="single" w:sz="4" w:space="0" w:color="auto"/>
              <w:bottom w:val="single" w:sz="4" w:space="0" w:color="auto"/>
              <w:right w:val="nil"/>
            </w:tcBorders>
            <w:vAlign w:val="center"/>
            <w:hideMark/>
          </w:tcPr>
          <w:p w14:paraId="0B679A44" w14:textId="77777777" w:rsidR="001C56BD" w:rsidRPr="00F92667" w:rsidRDefault="001C56BD" w:rsidP="008A5C11">
            <w:pPr>
              <w:rPr>
                <w:sz w:val="13"/>
                <w:szCs w:val="13"/>
              </w:rPr>
            </w:pPr>
          </w:p>
        </w:tc>
        <w:tc>
          <w:tcPr>
            <w:tcW w:w="5812"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2095E731" w14:textId="77777777" w:rsidR="001C56BD" w:rsidRPr="00F92667" w:rsidRDefault="001C56BD" w:rsidP="008A5C11">
            <w:pPr>
              <w:jc w:val="center"/>
              <w:rPr>
                <w:sz w:val="13"/>
                <w:szCs w:val="13"/>
              </w:rPr>
            </w:pPr>
            <w:r w:rsidRPr="00F92667">
              <w:rPr>
                <w:sz w:val="13"/>
                <w:szCs w:val="13"/>
              </w:rPr>
              <w:t>Удельный расход топлива на производство единицы тепловой энергии, отпускаемой с коллекторов источников тепловой энергии,</w:t>
            </w:r>
            <w:r w:rsidRPr="00F92667">
              <w:rPr>
                <w:sz w:val="13"/>
                <w:szCs w:val="13"/>
              </w:rPr>
              <w:br/>
              <w:t>кг. у.т./Гкал</w:t>
            </w:r>
          </w:p>
        </w:tc>
        <w:tc>
          <w:tcPr>
            <w:tcW w:w="5480" w:type="dxa"/>
            <w:gridSpan w:val="11"/>
            <w:tcBorders>
              <w:top w:val="single" w:sz="4" w:space="0" w:color="auto"/>
              <w:left w:val="nil"/>
              <w:bottom w:val="single" w:sz="4" w:space="0" w:color="auto"/>
              <w:right w:val="single" w:sz="4" w:space="0" w:color="auto"/>
            </w:tcBorders>
            <w:shd w:val="clear" w:color="auto" w:fill="auto"/>
            <w:vAlign w:val="center"/>
            <w:hideMark/>
          </w:tcPr>
          <w:p w14:paraId="31D2F707" w14:textId="77777777" w:rsidR="001C56BD" w:rsidRPr="00F92667" w:rsidRDefault="001C56BD" w:rsidP="008A5C11">
            <w:pPr>
              <w:jc w:val="center"/>
              <w:rPr>
                <w:sz w:val="13"/>
                <w:szCs w:val="13"/>
              </w:rPr>
            </w:pPr>
            <w:r w:rsidRPr="00F92667">
              <w:rPr>
                <w:sz w:val="13"/>
                <w:szCs w:val="13"/>
              </w:rPr>
              <w:t>Отношение величины технологических потерь тепловой энергии к материальной характеристике тепловой сети,</w:t>
            </w:r>
            <w:r w:rsidRPr="00F92667">
              <w:rPr>
                <w:sz w:val="13"/>
                <w:szCs w:val="13"/>
              </w:rPr>
              <w:br/>
              <w:t>тыс. Гкал/кв. м</w:t>
            </w:r>
          </w:p>
        </w:tc>
      </w:tr>
      <w:tr w:rsidR="001C56BD" w:rsidRPr="00F92667" w14:paraId="7B5B0B75" w14:textId="77777777" w:rsidTr="008A5C11">
        <w:trPr>
          <w:trHeight w:val="60"/>
        </w:trPr>
        <w:tc>
          <w:tcPr>
            <w:tcW w:w="3686" w:type="dxa"/>
            <w:vMerge/>
            <w:tcBorders>
              <w:top w:val="single" w:sz="4" w:space="0" w:color="auto"/>
              <w:left w:val="single" w:sz="4" w:space="0" w:color="auto"/>
              <w:bottom w:val="single" w:sz="4" w:space="0" w:color="auto"/>
              <w:right w:val="nil"/>
            </w:tcBorders>
            <w:vAlign w:val="center"/>
            <w:hideMark/>
          </w:tcPr>
          <w:p w14:paraId="25037887" w14:textId="77777777" w:rsidR="001C56BD" w:rsidRPr="00F92667" w:rsidRDefault="001C56BD" w:rsidP="008A5C11">
            <w:pPr>
              <w:rPr>
                <w:sz w:val="13"/>
                <w:szCs w:val="13"/>
              </w:rPr>
            </w:pPr>
          </w:p>
        </w:tc>
        <w:tc>
          <w:tcPr>
            <w:tcW w:w="715" w:type="dxa"/>
            <w:vMerge w:val="restart"/>
            <w:tcBorders>
              <w:top w:val="nil"/>
              <w:left w:val="single" w:sz="4" w:space="0" w:color="auto"/>
              <w:bottom w:val="single" w:sz="4" w:space="0" w:color="auto"/>
              <w:right w:val="single" w:sz="4" w:space="0" w:color="auto"/>
            </w:tcBorders>
            <w:shd w:val="clear" w:color="auto" w:fill="auto"/>
            <w:vAlign w:val="center"/>
            <w:hideMark/>
          </w:tcPr>
          <w:p w14:paraId="1133A505" w14:textId="77777777" w:rsidR="001C56BD" w:rsidRPr="00F92667" w:rsidRDefault="001C56BD" w:rsidP="008A5C11">
            <w:pPr>
              <w:jc w:val="center"/>
              <w:rPr>
                <w:sz w:val="13"/>
                <w:szCs w:val="13"/>
              </w:rPr>
            </w:pPr>
            <w:r w:rsidRPr="00F92667">
              <w:rPr>
                <w:sz w:val="13"/>
                <w:szCs w:val="13"/>
              </w:rPr>
              <w:t>Текущее значение</w:t>
            </w:r>
          </w:p>
        </w:tc>
        <w:tc>
          <w:tcPr>
            <w:tcW w:w="5097" w:type="dxa"/>
            <w:gridSpan w:val="10"/>
            <w:tcBorders>
              <w:top w:val="single" w:sz="4" w:space="0" w:color="auto"/>
              <w:left w:val="nil"/>
              <w:bottom w:val="single" w:sz="4" w:space="0" w:color="auto"/>
              <w:right w:val="single" w:sz="4" w:space="0" w:color="auto"/>
            </w:tcBorders>
            <w:shd w:val="clear" w:color="auto" w:fill="auto"/>
            <w:vAlign w:val="center"/>
            <w:hideMark/>
          </w:tcPr>
          <w:p w14:paraId="054E595B" w14:textId="77777777" w:rsidR="001C56BD" w:rsidRPr="00F92667" w:rsidRDefault="001C56BD" w:rsidP="008A5C11">
            <w:pPr>
              <w:jc w:val="center"/>
              <w:rPr>
                <w:sz w:val="13"/>
                <w:szCs w:val="13"/>
              </w:rPr>
            </w:pPr>
            <w:r w:rsidRPr="00F92667">
              <w:rPr>
                <w:sz w:val="13"/>
                <w:szCs w:val="13"/>
              </w:rPr>
              <w:t>Плановое значение</w:t>
            </w:r>
          </w:p>
        </w:tc>
        <w:tc>
          <w:tcPr>
            <w:tcW w:w="715" w:type="dxa"/>
            <w:vMerge w:val="restart"/>
            <w:tcBorders>
              <w:top w:val="nil"/>
              <w:left w:val="single" w:sz="4" w:space="0" w:color="auto"/>
              <w:bottom w:val="single" w:sz="4" w:space="0" w:color="auto"/>
              <w:right w:val="single" w:sz="4" w:space="0" w:color="auto"/>
            </w:tcBorders>
            <w:shd w:val="clear" w:color="auto" w:fill="auto"/>
            <w:vAlign w:val="center"/>
            <w:hideMark/>
          </w:tcPr>
          <w:p w14:paraId="29C6B5CD" w14:textId="77777777" w:rsidR="001C56BD" w:rsidRPr="00F92667" w:rsidRDefault="001C56BD" w:rsidP="008A5C11">
            <w:pPr>
              <w:jc w:val="center"/>
              <w:rPr>
                <w:sz w:val="13"/>
                <w:szCs w:val="13"/>
              </w:rPr>
            </w:pPr>
            <w:r w:rsidRPr="00F92667">
              <w:rPr>
                <w:sz w:val="13"/>
                <w:szCs w:val="13"/>
              </w:rPr>
              <w:t xml:space="preserve">Текущее значение </w:t>
            </w:r>
          </w:p>
        </w:tc>
        <w:tc>
          <w:tcPr>
            <w:tcW w:w="4765" w:type="dxa"/>
            <w:gridSpan w:val="10"/>
            <w:tcBorders>
              <w:top w:val="single" w:sz="4" w:space="0" w:color="auto"/>
              <w:left w:val="nil"/>
              <w:bottom w:val="single" w:sz="4" w:space="0" w:color="auto"/>
              <w:right w:val="single" w:sz="4" w:space="0" w:color="000000"/>
            </w:tcBorders>
            <w:shd w:val="clear" w:color="auto" w:fill="auto"/>
            <w:vAlign w:val="center"/>
            <w:hideMark/>
          </w:tcPr>
          <w:p w14:paraId="473946B9" w14:textId="77777777" w:rsidR="001C56BD" w:rsidRPr="00F92667" w:rsidRDefault="001C56BD" w:rsidP="008A5C11">
            <w:pPr>
              <w:jc w:val="center"/>
              <w:rPr>
                <w:sz w:val="13"/>
                <w:szCs w:val="13"/>
              </w:rPr>
            </w:pPr>
            <w:r w:rsidRPr="00F92667">
              <w:rPr>
                <w:sz w:val="13"/>
                <w:szCs w:val="13"/>
              </w:rPr>
              <w:t>Плановое значение</w:t>
            </w:r>
          </w:p>
        </w:tc>
      </w:tr>
      <w:tr w:rsidR="001C56BD" w:rsidRPr="00F92667" w14:paraId="3EA8F3A9" w14:textId="77777777" w:rsidTr="008A5C11">
        <w:trPr>
          <w:trHeight w:val="480"/>
        </w:trPr>
        <w:tc>
          <w:tcPr>
            <w:tcW w:w="3686" w:type="dxa"/>
            <w:vMerge/>
            <w:tcBorders>
              <w:top w:val="single" w:sz="4" w:space="0" w:color="auto"/>
              <w:left w:val="single" w:sz="4" w:space="0" w:color="auto"/>
              <w:bottom w:val="single" w:sz="4" w:space="0" w:color="auto"/>
              <w:right w:val="nil"/>
            </w:tcBorders>
            <w:vAlign w:val="center"/>
            <w:hideMark/>
          </w:tcPr>
          <w:p w14:paraId="6ED3890D" w14:textId="77777777" w:rsidR="001C56BD" w:rsidRPr="00F92667" w:rsidRDefault="001C56BD" w:rsidP="008A5C11">
            <w:pPr>
              <w:rPr>
                <w:sz w:val="13"/>
                <w:szCs w:val="13"/>
              </w:rPr>
            </w:pPr>
          </w:p>
        </w:tc>
        <w:tc>
          <w:tcPr>
            <w:tcW w:w="715" w:type="dxa"/>
            <w:vMerge/>
            <w:tcBorders>
              <w:top w:val="nil"/>
              <w:left w:val="single" w:sz="4" w:space="0" w:color="auto"/>
              <w:bottom w:val="single" w:sz="4" w:space="0" w:color="auto"/>
              <w:right w:val="single" w:sz="4" w:space="0" w:color="auto"/>
            </w:tcBorders>
            <w:vAlign w:val="center"/>
            <w:hideMark/>
          </w:tcPr>
          <w:p w14:paraId="443DBA2C" w14:textId="77777777" w:rsidR="001C56BD" w:rsidRPr="00F92667" w:rsidRDefault="001C56BD" w:rsidP="008A5C11">
            <w:pPr>
              <w:rPr>
                <w:sz w:val="13"/>
                <w:szCs w:val="13"/>
              </w:rPr>
            </w:pPr>
          </w:p>
        </w:tc>
        <w:tc>
          <w:tcPr>
            <w:tcW w:w="476" w:type="dxa"/>
            <w:tcBorders>
              <w:top w:val="nil"/>
              <w:left w:val="nil"/>
              <w:bottom w:val="single" w:sz="4" w:space="0" w:color="auto"/>
              <w:right w:val="single" w:sz="4" w:space="0" w:color="auto"/>
            </w:tcBorders>
            <w:shd w:val="clear" w:color="auto" w:fill="auto"/>
            <w:vAlign w:val="center"/>
            <w:hideMark/>
          </w:tcPr>
          <w:p w14:paraId="0F1C0CF8" w14:textId="77777777" w:rsidR="001C56BD" w:rsidRPr="00F92667" w:rsidRDefault="001C56BD" w:rsidP="008A5C11">
            <w:pPr>
              <w:jc w:val="center"/>
              <w:rPr>
                <w:sz w:val="13"/>
                <w:szCs w:val="13"/>
              </w:rPr>
            </w:pPr>
            <w:r w:rsidRPr="00F92667">
              <w:rPr>
                <w:sz w:val="13"/>
                <w:szCs w:val="13"/>
              </w:rPr>
              <w:t>2022</w:t>
            </w:r>
          </w:p>
        </w:tc>
        <w:tc>
          <w:tcPr>
            <w:tcW w:w="476" w:type="dxa"/>
            <w:tcBorders>
              <w:top w:val="nil"/>
              <w:left w:val="nil"/>
              <w:bottom w:val="single" w:sz="4" w:space="0" w:color="auto"/>
              <w:right w:val="single" w:sz="4" w:space="0" w:color="auto"/>
            </w:tcBorders>
            <w:shd w:val="clear" w:color="auto" w:fill="auto"/>
            <w:vAlign w:val="center"/>
            <w:hideMark/>
          </w:tcPr>
          <w:p w14:paraId="422A378C" w14:textId="77777777" w:rsidR="001C56BD" w:rsidRPr="00F92667" w:rsidRDefault="001C56BD" w:rsidP="008A5C11">
            <w:pPr>
              <w:jc w:val="center"/>
              <w:rPr>
                <w:sz w:val="13"/>
                <w:szCs w:val="13"/>
              </w:rPr>
            </w:pPr>
            <w:r w:rsidRPr="00F92667">
              <w:rPr>
                <w:sz w:val="13"/>
                <w:szCs w:val="13"/>
              </w:rPr>
              <w:t>2023</w:t>
            </w:r>
          </w:p>
        </w:tc>
        <w:tc>
          <w:tcPr>
            <w:tcW w:w="476" w:type="dxa"/>
            <w:tcBorders>
              <w:top w:val="nil"/>
              <w:left w:val="nil"/>
              <w:bottom w:val="single" w:sz="4" w:space="0" w:color="auto"/>
              <w:right w:val="single" w:sz="4" w:space="0" w:color="auto"/>
            </w:tcBorders>
            <w:shd w:val="clear" w:color="auto" w:fill="auto"/>
            <w:vAlign w:val="center"/>
            <w:hideMark/>
          </w:tcPr>
          <w:p w14:paraId="68A1CB33" w14:textId="77777777" w:rsidR="001C56BD" w:rsidRPr="00F92667" w:rsidRDefault="001C56BD" w:rsidP="008A5C11">
            <w:pPr>
              <w:jc w:val="center"/>
              <w:rPr>
                <w:sz w:val="13"/>
                <w:szCs w:val="13"/>
              </w:rPr>
            </w:pPr>
            <w:r w:rsidRPr="00F92667">
              <w:rPr>
                <w:sz w:val="13"/>
                <w:szCs w:val="13"/>
              </w:rPr>
              <w:t>2024</w:t>
            </w:r>
          </w:p>
        </w:tc>
        <w:tc>
          <w:tcPr>
            <w:tcW w:w="476" w:type="dxa"/>
            <w:tcBorders>
              <w:top w:val="nil"/>
              <w:left w:val="nil"/>
              <w:bottom w:val="single" w:sz="4" w:space="0" w:color="auto"/>
              <w:right w:val="single" w:sz="4" w:space="0" w:color="auto"/>
            </w:tcBorders>
            <w:shd w:val="clear" w:color="auto" w:fill="auto"/>
            <w:vAlign w:val="center"/>
            <w:hideMark/>
          </w:tcPr>
          <w:p w14:paraId="21FD5F76" w14:textId="77777777" w:rsidR="001C56BD" w:rsidRPr="00F92667" w:rsidRDefault="001C56BD" w:rsidP="008A5C11">
            <w:pPr>
              <w:jc w:val="center"/>
              <w:rPr>
                <w:sz w:val="13"/>
                <w:szCs w:val="13"/>
              </w:rPr>
            </w:pPr>
            <w:r w:rsidRPr="00F92667">
              <w:rPr>
                <w:sz w:val="13"/>
                <w:szCs w:val="13"/>
              </w:rPr>
              <w:t>2025</w:t>
            </w:r>
          </w:p>
        </w:tc>
        <w:tc>
          <w:tcPr>
            <w:tcW w:w="476" w:type="dxa"/>
            <w:tcBorders>
              <w:top w:val="nil"/>
              <w:left w:val="nil"/>
              <w:bottom w:val="single" w:sz="4" w:space="0" w:color="auto"/>
              <w:right w:val="single" w:sz="4" w:space="0" w:color="auto"/>
            </w:tcBorders>
            <w:shd w:val="clear" w:color="auto" w:fill="auto"/>
            <w:vAlign w:val="center"/>
            <w:hideMark/>
          </w:tcPr>
          <w:p w14:paraId="1043F5FB" w14:textId="77777777" w:rsidR="001C56BD" w:rsidRPr="00F92667" w:rsidRDefault="001C56BD" w:rsidP="008A5C11">
            <w:pPr>
              <w:jc w:val="center"/>
              <w:rPr>
                <w:sz w:val="13"/>
                <w:szCs w:val="13"/>
              </w:rPr>
            </w:pPr>
            <w:r w:rsidRPr="00F92667">
              <w:rPr>
                <w:sz w:val="13"/>
                <w:szCs w:val="13"/>
              </w:rPr>
              <w:t>2026</w:t>
            </w:r>
          </w:p>
        </w:tc>
        <w:tc>
          <w:tcPr>
            <w:tcW w:w="476" w:type="dxa"/>
            <w:tcBorders>
              <w:top w:val="nil"/>
              <w:left w:val="nil"/>
              <w:bottom w:val="single" w:sz="4" w:space="0" w:color="auto"/>
              <w:right w:val="single" w:sz="4" w:space="0" w:color="auto"/>
            </w:tcBorders>
            <w:shd w:val="clear" w:color="auto" w:fill="auto"/>
            <w:vAlign w:val="center"/>
            <w:hideMark/>
          </w:tcPr>
          <w:p w14:paraId="1A4055EF" w14:textId="77777777" w:rsidR="001C56BD" w:rsidRPr="00F92667" w:rsidRDefault="001C56BD" w:rsidP="008A5C11">
            <w:pPr>
              <w:jc w:val="center"/>
              <w:rPr>
                <w:sz w:val="13"/>
                <w:szCs w:val="13"/>
              </w:rPr>
            </w:pPr>
            <w:r w:rsidRPr="00F92667">
              <w:rPr>
                <w:sz w:val="13"/>
                <w:szCs w:val="13"/>
              </w:rPr>
              <w:t>2027</w:t>
            </w:r>
          </w:p>
        </w:tc>
        <w:tc>
          <w:tcPr>
            <w:tcW w:w="476" w:type="dxa"/>
            <w:tcBorders>
              <w:top w:val="nil"/>
              <w:left w:val="nil"/>
              <w:bottom w:val="single" w:sz="4" w:space="0" w:color="auto"/>
              <w:right w:val="single" w:sz="4" w:space="0" w:color="auto"/>
            </w:tcBorders>
            <w:shd w:val="clear" w:color="auto" w:fill="auto"/>
            <w:vAlign w:val="center"/>
            <w:hideMark/>
          </w:tcPr>
          <w:p w14:paraId="312D6AB2" w14:textId="77777777" w:rsidR="001C56BD" w:rsidRPr="00F92667" w:rsidRDefault="001C56BD" w:rsidP="008A5C11">
            <w:pPr>
              <w:jc w:val="center"/>
              <w:rPr>
                <w:sz w:val="13"/>
                <w:szCs w:val="13"/>
              </w:rPr>
            </w:pPr>
            <w:r w:rsidRPr="00F92667">
              <w:rPr>
                <w:sz w:val="13"/>
                <w:szCs w:val="13"/>
              </w:rPr>
              <w:t>2028</w:t>
            </w:r>
          </w:p>
        </w:tc>
        <w:tc>
          <w:tcPr>
            <w:tcW w:w="476" w:type="dxa"/>
            <w:tcBorders>
              <w:top w:val="nil"/>
              <w:left w:val="nil"/>
              <w:bottom w:val="single" w:sz="4" w:space="0" w:color="auto"/>
              <w:right w:val="single" w:sz="4" w:space="0" w:color="auto"/>
            </w:tcBorders>
            <w:shd w:val="clear" w:color="auto" w:fill="auto"/>
            <w:vAlign w:val="center"/>
            <w:hideMark/>
          </w:tcPr>
          <w:p w14:paraId="36630355" w14:textId="77777777" w:rsidR="001C56BD" w:rsidRPr="00F92667" w:rsidRDefault="001C56BD" w:rsidP="008A5C11">
            <w:pPr>
              <w:jc w:val="center"/>
              <w:rPr>
                <w:sz w:val="13"/>
                <w:szCs w:val="13"/>
              </w:rPr>
            </w:pPr>
            <w:r w:rsidRPr="00F92667">
              <w:rPr>
                <w:sz w:val="13"/>
                <w:szCs w:val="13"/>
              </w:rPr>
              <w:t>2029</w:t>
            </w:r>
          </w:p>
        </w:tc>
        <w:tc>
          <w:tcPr>
            <w:tcW w:w="476" w:type="dxa"/>
            <w:tcBorders>
              <w:top w:val="nil"/>
              <w:left w:val="nil"/>
              <w:bottom w:val="single" w:sz="4" w:space="0" w:color="auto"/>
              <w:right w:val="single" w:sz="4" w:space="0" w:color="auto"/>
            </w:tcBorders>
            <w:shd w:val="clear" w:color="auto" w:fill="auto"/>
            <w:vAlign w:val="center"/>
            <w:hideMark/>
          </w:tcPr>
          <w:p w14:paraId="0F83B776" w14:textId="77777777" w:rsidR="001C56BD" w:rsidRPr="00F92667" w:rsidRDefault="001C56BD" w:rsidP="008A5C11">
            <w:pPr>
              <w:jc w:val="center"/>
              <w:rPr>
                <w:sz w:val="13"/>
                <w:szCs w:val="13"/>
              </w:rPr>
            </w:pPr>
            <w:r w:rsidRPr="00F92667">
              <w:rPr>
                <w:sz w:val="13"/>
                <w:szCs w:val="13"/>
              </w:rPr>
              <w:t>2030</w:t>
            </w:r>
          </w:p>
        </w:tc>
        <w:tc>
          <w:tcPr>
            <w:tcW w:w="813" w:type="dxa"/>
            <w:tcBorders>
              <w:top w:val="nil"/>
              <w:left w:val="nil"/>
              <w:bottom w:val="single" w:sz="4" w:space="0" w:color="auto"/>
              <w:right w:val="single" w:sz="4" w:space="0" w:color="auto"/>
            </w:tcBorders>
            <w:shd w:val="clear" w:color="auto" w:fill="auto"/>
            <w:vAlign w:val="center"/>
            <w:hideMark/>
          </w:tcPr>
          <w:p w14:paraId="4B21ECB4" w14:textId="77777777" w:rsidR="001C56BD" w:rsidRPr="00F92667" w:rsidRDefault="001C56BD" w:rsidP="008A5C11">
            <w:pPr>
              <w:jc w:val="center"/>
              <w:rPr>
                <w:sz w:val="13"/>
                <w:szCs w:val="13"/>
              </w:rPr>
            </w:pPr>
            <w:r w:rsidRPr="00F92667">
              <w:rPr>
                <w:sz w:val="13"/>
                <w:szCs w:val="13"/>
              </w:rPr>
              <w:t>2031</w:t>
            </w:r>
          </w:p>
        </w:tc>
        <w:tc>
          <w:tcPr>
            <w:tcW w:w="715" w:type="dxa"/>
            <w:vMerge/>
            <w:tcBorders>
              <w:top w:val="nil"/>
              <w:left w:val="single" w:sz="4" w:space="0" w:color="auto"/>
              <w:bottom w:val="single" w:sz="4" w:space="0" w:color="auto"/>
              <w:right w:val="single" w:sz="4" w:space="0" w:color="auto"/>
            </w:tcBorders>
            <w:vAlign w:val="center"/>
            <w:hideMark/>
          </w:tcPr>
          <w:p w14:paraId="6F829020" w14:textId="77777777" w:rsidR="001C56BD" w:rsidRPr="00F92667" w:rsidRDefault="001C56BD" w:rsidP="008A5C11">
            <w:pPr>
              <w:rPr>
                <w:sz w:val="13"/>
                <w:szCs w:val="13"/>
              </w:rPr>
            </w:pPr>
          </w:p>
        </w:tc>
        <w:tc>
          <w:tcPr>
            <w:tcW w:w="476" w:type="dxa"/>
            <w:tcBorders>
              <w:top w:val="nil"/>
              <w:left w:val="nil"/>
              <w:bottom w:val="single" w:sz="4" w:space="0" w:color="auto"/>
              <w:right w:val="single" w:sz="4" w:space="0" w:color="auto"/>
            </w:tcBorders>
            <w:shd w:val="clear" w:color="auto" w:fill="auto"/>
            <w:vAlign w:val="center"/>
            <w:hideMark/>
          </w:tcPr>
          <w:p w14:paraId="7EE01A8D" w14:textId="77777777" w:rsidR="001C56BD" w:rsidRPr="00F92667" w:rsidRDefault="001C56BD" w:rsidP="008A5C11">
            <w:pPr>
              <w:jc w:val="center"/>
              <w:rPr>
                <w:sz w:val="13"/>
                <w:szCs w:val="13"/>
              </w:rPr>
            </w:pPr>
            <w:r w:rsidRPr="00F92667">
              <w:rPr>
                <w:sz w:val="13"/>
                <w:szCs w:val="13"/>
              </w:rPr>
              <w:t>2022</w:t>
            </w:r>
          </w:p>
        </w:tc>
        <w:tc>
          <w:tcPr>
            <w:tcW w:w="476" w:type="dxa"/>
            <w:tcBorders>
              <w:top w:val="nil"/>
              <w:left w:val="nil"/>
              <w:bottom w:val="single" w:sz="4" w:space="0" w:color="auto"/>
              <w:right w:val="single" w:sz="4" w:space="0" w:color="auto"/>
            </w:tcBorders>
            <w:shd w:val="clear" w:color="auto" w:fill="auto"/>
            <w:vAlign w:val="center"/>
            <w:hideMark/>
          </w:tcPr>
          <w:p w14:paraId="76678808" w14:textId="77777777" w:rsidR="001C56BD" w:rsidRPr="00F92667" w:rsidRDefault="001C56BD" w:rsidP="008A5C11">
            <w:pPr>
              <w:jc w:val="center"/>
              <w:rPr>
                <w:sz w:val="13"/>
                <w:szCs w:val="13"/>
              </w:rPr>
            </w:pPr>
            <w:r w:rsidRPr="00F92667">
              <w:rPr>
                <w:sz w:val="13"/>
                <w:szCs w:val="13"/>
              </w:rPr>
              <w:t>2023</w:t>
            </w:r>
          </w:p>
        </w:tc>
        <w:tc>
          <w:tcPr>
            <w:tcW w:w="476" w:type="dxa"/>
            <w:tcBorders>
              <w:top w:val="nil"/>
              <w:left w:val="nil"/>
              <w:bottom w:val="single" w:sz="4" w:space="0" w:color="auto"/>
              <w:right w:val="single" w:sz="4" w:space="0" w:color="auto"/>
            </w:tcBorders>
            <w:shd w:val="clear" w:color="auto" w:fill="auto"/>
            <w:vAlign w:val="center"/>
            <w:hideMark/>
          </w:tcPr>
          <w:p w14:paraId="7CDAA200" w14:textId="77777777" w:rsidR="001C56BD" w:rsidRPr="00F92667" w:rsidRDefault="001C56BD" w:rsidP="008A5C11">
            <w:pPr>
              <w:jc w:val="center"/>
              <w:rPr>
                <w:sz w:val="13"/>
                <w:szCs w:val="13"/>
              </w:rPr>
            </w:pPr>
            <w:r w:rsidRPr="00F92667">
              <w:rPr>
                <w:sz w:val="13"/>
                <w:szCs w:val="13"/>
              </w:rPr>
              <w:t>2024</w:t>
            </w:r>
          </w:p>
        </w:tc>
        <w:tc>
          <w:tcPr>
            <w:tcW w:w="476" w:type="dxa"/>
            <w:tcBorders>
              <w:top w:val="nil"/>
              <w:left w:val="nil"/>
              <w:bottom w:val="single" w:sz="4" w:space="0" w:color="auto"/>
              <w:right w:val="single" w:sz="4" w:space="0" w:color="auto"/>
            </w:tcBorders>
            <w:shd w:val="clear" w:color="auto" w:fill="auto"/>
            <w:vAlign w:val="center"/>
            <w:hideMark/>
          </w:tcPr>
          <w:p w14:paraId="6A85C705" w14:textId="77777777" w:rsidR="001C56BD" w:rsidRPr="00F92667" w:rsidRDefault="001C56BD" w:rsidP="008A5C11">
            <w:pPr>
              <w:jc w:val="center"/>
              <w:rPr>
                <w:sz w:val="13"/>
                <w:szCs w:val="13"/>
              </w:rPr>
            </w:pPr>
            <w:r w:rsidRPr="00F92667">
              <w:rPr>
                <w:sz w:val="13"/>
                <w:szCs w:val="13"/>
              </w:rPr>
              <w:t>2025</w:t>
            </w:r>
          </w:p>
        </w:tc>
        <w:tc>
          <w:tcPr>
            <w:tcW w:w="476" w:type="dxa"/>
            <w:tcBorders>
              <w:top w:val="nil"/>
              <w:left w:val="nil"/>
              <w:bottom w:val="single" w:sz="4" w:space="0" w:color="auto"/>
              <w:right w:val="single" w:sz="4" w:space="0" w:color="auto"/>
            </w:tcBorders>
            <w:shd w:val="clear" w:color="auto" w:fill="auto"/>
            <w:vAlign w:val="center"/>
            <w:hideMark/>
          </w:tcPr>
          <w:p w14:paraId="2930EFBF" w14:textId="77777777" w:rsidR="001C56BD" w:rsidRPr="00F92667" w:rsidRDefault="001C56BD" w:rsidP="008A5C11">
            <w:pPr>
              <w:jc w:val="center"/>
              <w:rPr>
                <w:sz w:val="13"/>
                <w:szCs w:val="13"/>
              </w:rPr>
            </w:pPr>
            <w:r w:rsidRPr="00F92667">
              <w:rPr>
                <w:sz w:val="13"/>
                <w:szCs w:val="13"/>
              </w:rPr>
              <w:t>2026</w:t>
            </w:r>
          </w:p>
        </w:tc>
        <w:tc>
          <w:tcPr>
            <w:tcW w:w="476" w:type="dxa"/>
            <w:tcBorders>
              <w:top w:val="nil"/>
              <w:left w:val="nil"/>
              <w:bottom w:val="single" w:sz="4" w:space="0" w:color="auto"/>
              <w:right w:val="single" w:sz="4" w:space="0" w:color="auto"/>
            </w:tcBorders>
            <w:shd w:val="clear" w:color="auto" w:fill="auto"/>
            <w:vAlign w:val="center"/>
            <w:hideMark/>
          </w:tcPr>
          <w:p w14:paraId="556A3F90" w14:textId="77777777" w:rsidR="001C56BD" w:rsidRPr="00F92667" w:rsidRDefault="001C56BD" w:rsidP="008A5C11">
            <w:pPr>
              <w:jc w:val="center"/>
              <w:rPr>
                <w:sz w:val="13"/>
                <w:szCs w:val="13"/>
              </w:rPr>
            </w:pPr>
            <w:r w:rsidRPr="00F92667">
              <w:rPr>
                <w:sz w:val="13"/>
                <w:szCs w:val="13"/>
              </w:rPr>
              <w:t>2027</w:t>
            </w:r>
          </w:p>
        </w:tc>
        <w:tc>
          <w:tcPr>
            <w:tcW w:w="476" w:type="dxa"/>
            <w:tcBorders>
              <w:top w:val="nil"/>
              <w:left w:val="nil"/>
              <w:bottom w:val="single" w:sz="4" w:space="0" w:color="auto"/>
              <w:right w:val="single" w:sz="4" w:space="0" w:color="auto"/>
            </w:tcBorders>
            <w:shd w:val="clear" w:color="auto" w:fill="auto"/>
            <w:vAlign w:val="center"/>
            <w:hideMark/>
          </w:tcPr>
          <w:p w14:paraId="68155499" w14:textId="77777777" w:rsidR="001C56BD" w:rsidRPr="00F92667" w:rsidRDefault="001C56BD" w:rsidP="008A5C11">
            <w:pPr>
              <w:jc w:val="center"/>
              <w:rPr>
                <w:sz w:val="13"/>
                <w:szCs w:val="13"/>
              </w:rPr>
            </w:pPr>
            <w:r w:rsidRPr="00F92667">
              <w:rPr>
                <w:sz w:val="13"/>
                <w:szCs w:val="13"/>
              </w:rPr>
              <w:t>2028</w:t>
            </w:r>
          </w:p>
        </w:tc>
        <w:tc>
          <w:tcPr>
            <w:tcW w:w="476" w:type="dxa"/>
            <w:tcBorders>
              <w:top w:val="nil"/>
              <w:left w:val="nil"/>
              <w:bottom w:val="single" w:sz="4" w:space="0" w:color="auto"/>
              <w:right w:val="single" w:sz="4" w:space="0" w:color="auto"/>
            </w:tcBorders>
            <w:shd w:val="clear" w:color="auto" w:fill="auto"/>
            <w:vAlign w:val="center"/>
            <w:hideMark/>
          </w:tcPr>
          <w:p w14:paraId="155B50E5" w14:textId="77777777" w:rsidR="001C56BD" w:rsidRPr="00F92667" w:rsidRDefault="001C56BD" w:rsidP="008A5C11">
            <w:pPr>
              <w:jc w:val="center"/>
              <w:rPr>
                <w:sz w:val="13"/>
                <w:szCs w:val="13"/>
              </w:rPr>
            </w:pPr>
            <w:r w:rsidRPr="00F92667">
              <w:rPr>
                <w:sz w:val="13"/>
                <w:szCs w:val="13"/>
              </w:rPr>
              <w:t>2029</w:t>
            </w:r>
          </w:p>
        </w:tc>
        <w:tc>
          <w:tcPr>
            <w:tcW w:w="476" w:type="dxa"/>
            <w:tcBorders>
              <w:top w:val="nil"/>
              <w:left w:val="nil"/>
              <w:bottom w:val="single" w:sz="4" w:space="0" w:color="auto"/>
              <w:right w:val="single" w:sz="4" w:space="0" w:color="auto"/>
            </w:tcBorders>
            <w:shd w:val="clear" w:color="auto" w:fill="auto"/>
            <w:vAlign w:val="center"/>
            <w:hideMark/>
          </w:tcPr>
          <w:p w14:paraId="6B3B1677" w14:textId="77777777" w:rsidR="001C56BD" w:rsidRPr="00F92667" w:rsidRDefault="001C56BD" w:rsidP="008A5C11">
            <w:pPr>
              <w:jc w:val="center"/>
              <w:rPr>
                <w:sz w:val="13"/>
                <w:szCs w:val="13"/>
              </w:rPr>
            </w:pPr>
            <w:r w:rsidRPr="00F92667">
              <w:rPr>
                <w:sz w:val="13"/>
                <w:szCs w:val="13"/>
              </w:rPr>
              <w:t>2030</w:t>
            </w:r>
          </w:p>
        </w:tc>
        <w:tc>
          <w:tcPr>
            <w:tcW w:w="481" w:type="dxa"/>
            <w:tcBorders>
              <w:top w:val="nil"/>
              <w:left w:val="nil"/>
              <w:bottom w:val="single" w:sz="4" w:space="0" w:color="auto"/>
              <w:right w:val="single" w:sz="4" w:space="0" w:color="auto"/>
            </w:tcBorders>
            <w:shd w:val="clear" w:color="auto" w:fill="auto"/>
            <w:vAlign w:val="center"/>
            <w:hideMark/>
          </w:tcPr>
          <w:p w14:paraId="54D9B2B0" w14:textId="77777777" w:rsidR="001C56BD" w:rsidRPr="00F92667" w:rsidRDefault="001C56BD" w:rsidP="008A5C11">
            <w:pPr>
              <w:jc w:val="center"/>
              <w:rPr>
                <w:sz w:val="13"/>
                <w:szCs w:val="13"/>
              </w:rPr>
            </w:pPr>
            <w:r w:rsidRPr="00F92667">
              <w:rPr>
                <w:sz w:val="13"/>
                <w:szCs w:val="13"/>
              </w:rPr>
              <w:t>2031</w:t>
            </w:r>
          </w:p>
        </w:tc>
      </w:tr>
      <w:tr w:rsidR="001C56BD" w:rsidRPr="00F92667" w14:paraId="35B79ED0" w14:textId="77777777" w:rsidTr="008A5C11">
        <w:trPr>
          <w:trHeight w:val="60"/>
        </w:trPr>
        <w:tc>
          <w:tcPr>
            <w:tcW w:w="3686" w:type="dxa"/>
            <w:tcBorders>
              <w:top w:val="nil"/>
              <w:left w:val="single" w:sz="4" w:space="0" w:color="auto"/>
              <w:bottom w:val="single" w:sz="4" w:space="0" w:color="auto"/>
              <w:right w:val="nil"/>
            </w:tcBorders>
            <w:shd w:val="clear" w:color="auto" w:fill="auto"/>
            <w:hideMark/>
          </w:tcPr>
          <w:p w14:paraId="72987F8C" w14:textId="77777777" w:rsidR="001C56BD" w:rsidRPr="00F92667" w:rsidRDefault="001C56BD" w:rsidP="008A5C11">
            <w:pPr>
              <w:jc w:val="center"/>
              <w:rPr>
                <w:sz w:val="13"/>
                <w:szCs w:val="13"/>
              </w:rPr>
            </w:pPr>
            <w:r w:rsidRPr="00F92667">
              <w:rPr>
                <w:sz w:val="13"/>
                <w:szCs w:val="13"/>
              </w:rPr>
              <w:t>1</w:t>
            </w:r>
          </w:p>
        </w:tc>
        <w:tc>
          <w:tcPr>
            <w:tcW w:w="715" w:type="dxa"/>
            <w:tcBorders>
              <w:top w:val="nil"/>
              <w:left w:val="single" w:sz="4" w:space="0" w:color="auto"/>
              <w:bottom w:val="single" w:sz="4" w:space="0" w:color="auto"/>
              <w:right w:val="single" w:sz="4" w:space="0" w:color="auto"/>
            </w:tcBorders>
            <w:shd w:val="clear" w:color="auto" w:fill="auto"/>
            <w:hideMark/>
          </w:tcPr>
          <w:p w14:paraId="5F61FFF0" w14:textId="77777777" w:rsidR="001C56BD" w:rsidRPr="00F92667" w:rsidRDefault="001C56BD" w:rsidP="008A5C11">
            <w:pPr>
              <w:jc w:val="center"/>
              <w:rPr>
                <w:sz w:val="13"/>
                <w:szCs w:val="13"/>
              </w:rPr>
            </w:pPr>
            <w:r w:rsidRPr="00F92667">
              <w:rPr>
                <w:sz w:val="13"/>
                <w:szCs w:val="13"/>
              </w:rPr>
              <w:t>2</w:t>
            </w:r>
          </w:p>
        </w:tc>
        <w:tc>
          <w:tcPr>
            <w:tcW w:w="476" w:type="dxa"/>
            <w:tcBorders>
              <w:top w:val="nil"/>
              <w:left w:val="nil"/>
              <w:bottom w:val="single" w:sz="4" w:space="0" w:color="auto"/>
              <w:right w:val="single" w:sz="4" w:space="0" w:color="auto"/>
            </w:tcBorders>
            <w:shd w:val="clear" w:color="auto" w:fill="auto"/>
            <w:hideMark/>
          </w:tcPr>
          <w:p w14:paraId="4DA4918C" w14:textId="77777777" w:rsidR="001C56BD" w:rsidRPr="00F92667" w:rsidRDefault="001C56BD" w:rsidP="008A5C11">
            <w:pPr>
              <w:jc w:val="center"/>
              <w:rPr>
                <w:sz w:val="13"/>
                <w:szCs w:val="13"/>
              </w:rPr>
            </w:pPr>
            <w:r w:rsidRPr="00F92667">
              <w:rPr>
                <w:sz w:val="13"/>
                <w:szCs w:val="13"/>
              </w:rPr>
              <w:t>3</w:t>
            </w:r>
          </w:p>
        </w:tc>
        <w:tc>
          <w:tcPr>
            <w:tcW w:w="476" w:type="dxa"/>
            <w:tcBorders>
              <w:top w:val="nil"/>
              <w:left w:val="nil"/>
              <w:bottom w:val="single" w:sz="4" w:space="0" w:color="auto"/>
              <w:right w:val="single" w:sz="4" w:space="0" w:color="auto"/>
            </w:tcBorders>
            <w:shd w:val="clear" w:color="auto" w:fill="auto"/>
            <w:hideMark/>
          </w:tcPr>
          <w:p w14:paraId="3D708F43" w14:textId="77777777" w:rsidR="001C56BD" w:rsidRPr="00F92667" w:rsidRDefault="001C56BD" w:rsidP="008A5C11">
            <w:pPr>
              <w:jc w:val="center"/>
              <w:rPr>
                <w:sz w:val="13"/>
                <w:szCs w:val="13"/>
              </w:rPr>
            </w:pPr>
            <w:r w:rsidRPr="00F92667">
              <w:rPr>
                <w:sz w:val="13"/>
                <w:szCs w:val="13"/>
              </w:rPr>
              <w:t>4</w:t>
            </w:r>
          </w:p>
        </w:tc>
        <w:tc>
          <w:tcPr>
            <w:tcW w:w="476" w:type="dxa"/>
            <w:tcBorders>
              <w:top w:val="nil"/>
              <w:left w:val="nil"/>
              <w:bottom w:val="single" w:sz="4" w:space="0" w:color="auto"/>
              <w:right w:val="single" w:sz="4" w:space="0" w:color="auto"/>
            </w:tcBorders>
            <w:shd w:val="clear" w:color="auto" w:fill="auto"/>
            <w:hideMark/>
          </w:tcPr>
          <w:p w14:paraId="2234CA4B" w14:textId="77777777" w:rsidR="001C56BD" w:rsidRPr="00F92667" w:rsidRDefault="001C56BD" w:rsidP="008A5C11">
            <w:pPr>
              <w:jc w:val="center"/>
              <w:rPr>
                <w:sz w:val="13"/>
                <w:szCs w:val="13"/>
              </w:rPr>
            </w:pPr>
            <w:r w:rsidRPr="00F92667">
              <w:rPr>
                <w:sz w:val="13"/>
                <w:szCs w:val="13"/>
              </w:rPr>
              <w:t>5</w:t>
            </w:r>
          </w:p>
        </w:tc>
        <w:tc>
          <w:tcPr>
            <w:tcW w:w="476" w:type="dxa"/>
            <w:tcBorders>
              <w:top w:val="nil"/>
              <w:left w:val="nil"/>
              <w:bottom w:val="single" w:sz="4" w:space="0" w:color="auto"/>
              <w:right w:val="single" w:sz="4" w:space="0" w:color="auto"/>
            </w:tcBorders>
            <w:shd w:val="clear" w:color="auto" w:fill="auto"/>
            <w:hideMark/>
          </w:tcPr>
          <w:p w14:paraId="5E4167A0" w14:textId="77777777" w:rsidR="001C56BD" w:rsidRPr="00F92667" w:rsidRDefault="001C56BD" w:rsidP="008A5C11">
            <w:pPr>
              <w:jc w:val="center"/>
              <w:rPr>
                <w:sz w:val="13"/>
                <w:szCs w:val="13"/>
              </w:rPr>
            </w:pPr>
            <w:r w:rsidRPr="00F92667">
              <w:rPr>
                <w:sz w:val="13"/>
                <w:szCs w:val="13"/>
              </w:rPr>
              <w:t>6</w:t>
            </w:r>
          </w:p>
        </w:tc>
        <w:tc>
          <w:tcPr>
            <w:tcW w:w="476" w:type="dxa"/>
            <w:tcBorders>
              <w:top w:val="nil"/>
              <w:left w:val="nil"/>
              <w:bottom w:val="single" w:sz="4" w:space="0" w:color="auto"/>
              <w:right w:val="single" w:sz="4" w:space="0" w:color="auto"/>
            </w:tcBorders>
            <w:shd w:val="clear" w:color="auto" w:fill="auto"/>
            <w:hideMark/>
          </w:tcPr>
          <w:p w14:paraId="0E3150CD" w14:textId="77777777" w:rsidR="001C56BD" w:rsidRPr="00F92667" w:rsidRDefault="001C56BD" w:rsidP="008A5C11">
            <w:pPr>
              <w:jc w:val="center"/>
              <w:rPr>
                <w:sz w:val="13"/>
                <w:szCs w:val="13"/>
              </w:rPr>
            </w:pPr>
            <w:r w:rsidRPr="00F92667">
              <w:rPr>
                <w:sz w:val="13"/>
                <w:szCs w:val="13"/>
              </w:rPr>
              <w:t>7</w:t>
            </w:r>
          </w:p>
        </w:tc>
        <w:tc>
          <w:tcPr>
            <w:tcW w:w="476" w:type="dxa"/>
            <w:tcBorders>
              <w:top w:val="nil"/>
              <w:left w:val="nil"/>
              <w:bottom w:val="single" w:sz="4" w:space="0" w:color="auto"/>
              <w:right w:val="single" w:sz="4" w:space="0" w:color="auto"/>
            </w:tcBorders>
            <w:shd w:val="clear" w:color="auto" w:fill="auto"/>
            <w:hideMark/>
          </w:tcPr>
          <w:p w14:paraId="14F57CA0" w14:textId="77777777" w:rsidR="001C56BD" w:rsidRPr="00F92667" w:rsidRDefault="001C56BD" w:rsidP="008A5C11">
            <w:pPr>
              <w:jc w:val="center"/>
              <w:rPr>
                <w:sz w:val="13"/>
                <w:szCs w:val="13"/>
              </w:rPr>
            </w:pPr>
            <w:r w:rsidRPr="00F92667">
              <w:rPr>
                <w:sz w:val="13"/>
                <w:szCs w:val="13"/>
              </w:rPr>
              <w:t>8</w:t>
            </w:r>
          </w:p>
        </w:tc>
        <w:tc>
          <w:tcPr>
            <w:tcW w:w="476" w:type="dxa"/>
            <w:tcBorders>
              <w:top w:val="nil"/>
              <w:left w:val="nil"/>
              <w:bottom w:val="single" w:sz="4" w:space="0" w:color="auto"/>
              <w:right w:val="single" w:sz="4" w:space="0" w:color="auto"/>
            </w:tcBorders>
            <w:shd w:val="clear" w:color="auto" w:fill="auto"/>
            <w:hideMark/>
          </w:tcPr>
          <w:p w14:paraId="28BAC9C9" w14:textId="77777777" w:rsidR="001C56BD" w:rsidRPr="00F92667" w:rsidRDefault="001C56BD" w:rsidP="008A5C11">
            <w:pPr>
              <w:jc w:val="center"/>
              <w:rPr>
                <w:sz w:val="13"/>
                <w:szCs w:val="13"/>
              </w:rPr>
            </w:pPr>
            <w:r w:rsidRPr="00F92667">
              <w:rPr>
                <w:sz w:val="13"/>
                <w:szCs w:val="13"/>
              </w:rPr>
              <w:t>9</w:t>
            </w:r>
          </w:p>
        </w:tc>
        <w:tc>
          <w:tcPr>
            <w:tcW w:w="476" w:type="dxa"/>
            <w:tcBorders>
              <w:top w:val="nil"/>
              <w:left w:val="nil"/>
              <w:bottom w:val="single" w:sz="4" w:space="0" w:color="auto"/>
              <w:right w:val="single" w:sz="4" w:space="0" w:color="auto"/>
            </w:tcBorders>
            <w:shd w:val="clear" w:color="auto" w:fill="auto"/>
            <w:hideMark/>
          </w:tcPr>
          <w:p w14:paraId="20DBFEAF" w14:textId="77777777" w:rsidR="001C56BD" w:rsidRPr="00F92667" w:rsidRDefault="001C56BD" w:rsidP="008A5C11">
            <w:pPr>
              <w:jc w:val="center"/>
              <w:rPr>
                <w:sz w:val="13"/>
                <w:szCs w:val="13"/>
              </w:rPr>
            </w:pPr>
            <w:r w:rsidRPr="00F92667">
              <w:rPr>
                <w:sz w:val="13"/>
                <w:szCs w:val="13"/>
              </w:rPr>
              <w:t>10</w:t>
            </w:r>
          </w:p>
        </w:tc>
        <w:tc>
          <w:tcPr>
            <w:tcW w:w="476" w:type="dxa"/>
            <w:tcBorders>
              <w:top w:val="nil"/>
              <w:left w:val="nil"/>
              <w:bottom w:val="single" w:sz="4" w:space="0" w:color="auto"/>
              <w:right w:val="single" w:sz="4" w:space="0" w:color="auto"/>
            </w:tcBorders>
            <w:shd w:val="clear" w:color="auto" w:fill="auto"/>
            <w:hideMark/>
          </w:tcPr>
          <w:p w14:paraId="32C6512C" w14:textId="77777777" w:rsidR="001C56BD" w:rsidRPr="00F92667" w:rsidRDefault="001C56BD" w:rsidP="008A5C11">
            <w:pPr>
              <w:jc w:val="center"/>
              <w:rPr>
                <w:sz w:val="13"/>
                <w:szCs w:val="13"/>
              </w:rPr>
            </w:pPr>
            <w:r w:rsidRPr="00F92667">
              <w:rPr>
                <w:sz w:val="13"/>
                <w:szCs w:val="13"/>
              </w:rPr>
              <w:t>11</w:t>
            </w:r>
          </w:p>
        </w:tc>
        <w:tc>
          <w:tcPr>
            <w:tcW w:w="813" w:type="dxa"/>
            <w:tcBorders>
              <w:top w:val="nil"/>
              <w:left w:val="nil"/>
              <w:bottom w:val="single" w:sz="4" w:space="0" w:color="auto"/>
              <w:right w:val="single" w:sz="4" w:space="0" w:color="auto"/>
            </w:tcBorders>
            <w:shd w:val="clear" w:color="auto" w:fill="auto"/>
            <w:hideMark/>
          </w:tcPr>
          <w:p w14:paraId="7D24D767" w14:textId="77777777" w:rsidR="001C56BD" w:rsidRPr="00F92667" w:rsidRDefault="001C56BD" w:rsidP="008A5C11">
            <w:pPr>
              <w:jc w:val="center"/>
              <w:rPr>
                <w:sz w:val="13"/>
                <w:szCs w:val="13"/>
              </w:rPr>
            </w:pPr>
            <w:r w:rsidRPr="00F92667">
              <w:rPr>
                <w:sz w:val="13"/>
                <w:szCs w:val="13"/>
              </w:rPr>
              <w:t>12</w:t>
            </w:r>
          </w:p>
        </w:tc>
        <w:tc>
          <w:tcPr>
            <w:tcW w:w="715" w:type="dxa"/>
            <w:tcBorders>
              <w:top w:val="nil"/>
              <w:left w:val="nil"/>
              <w:bottom w:val="single" w:sz="4" w:space="0" w:color="auto"/>
              <w:right w:val="single" w:sz="4" w:space="0" w:color="auto"/>
            </w:tcBorders>
            <w:shd w:val="clear" w:color="auto" w:fill="auto"/>
            <w:hideMark/>
          </w:tcPr>
          <w:p w14:paraId="09688322" w14:textId="77777777" w:rsidR="001C56BD" w:rsidRPr="00F92667" w:rsidRDefault="001C56BD" w:rsidP="008A5C11">
            <w:pPr>
              <w:jc w:val="center"/>
              <w:rPr>
                <w:sz w:val="13"/>
                <w:szCs w:val="13"/>
              </w:rPr>
            </w:pPr>
            <w:r w:rsidRPr="00F92667">
              <w:rPr>
                <w:sz w:val="13"/>
                <w:szCs w:val="13"/>
              </w:rPr>
              <w:t>13</w:t>
            </w:r>
          </w:p>
        </w:tc>
        <w:tc>
          <w:tcPr>
            <w:tcW w:w="476" w:type="dxa"/>
            <w:tcBorders>
              <w:top w:val="nil"/>
              <w:left w:val="nil"/>
              <w:bottom w:val="single" w:sz="4" w:space="0" w:color="auto"/>
              <w:right w:val="single" w:sz="4" w:space="0" w:color="auto"/>
            </w:tcBorders>
            <w:shd w:val="clear" w:color="auto" w:fill="auto"/>
            <w:hideMark/>
          </w:tcPr>
          <w:p w14:paraId="097B5472" w14:textId="77777777" w:rsidR="001C56BD" w:rsidRPr="00F92667" w:rsidRDefault="001C56BD" w:rsidP="008A5C11">
            <w:pPr>
              <w:jc w:val="center"/>
              <w:rPr>
                <w:sz w:val="13"/>
                <w:szCs w:val="13"/>
              </w:rPr>
            </w:pPr>
            <w:r w:rsidRPr="00F92667">
              <w:rPr>
                <w:sz w:val="13"/>
                <w:szCs w:val="13"/>
              </w:rPr>
              <w:t>14</w:t>
            </w:r>
          </w:p>
        </w:tc>
        <w:tc>
          <w:tcPr>
            <w:tcW w:w="476" w:type="dxa"/>
            <w:tcBorders>
              <w:top w:val="nil"/>
              <w:left w:val="nil"/>
              <w:bottom w:val="single" w:sz="4" w:space="0" w:color="auto"/>
              <w:right w:val="single" w:sz="4" w:space="0" w:color="auto"/>
            </w:tcBorders>
            <w:shd w:val="clear" w:color="auto" w:fill="auto"/>
            <w:hideMark/>
          </w:tcPr>
          <w:p w14:paraId="5B634984" w14:textId="77777777" w:rsidR="001C56BD" w:rsidRPr="00F92667" w:rsidRDefault="001C56BD" w:rsidP="008A5C11">
            <w:pPr>
              <w:jc w:val="center"/>
              <w:rPr>
                <w:sz w:val="13"/>
                <w:szCs w:val="13"/>
              </w:rPr>
            </w:pPr>
            <w:r w:rsidRPr="00F92667">
              <w:rPr>
                <w:sz w:val="13"/>
                <w:szCs w:val="13"/>
              </w:rPr>
              <w:t>15</w:t>
            </w:r>
          </w:p>
        </w:tc>
        <w:tc>
          <w:tcPr>
            <w:tcW w:w="476" w:type="dxa"/>
            <w:tcBorders>
              <w:top w:val="nil"/>
              <w:left w:val="nil"/>
              <w:bottom w:val="single" w:sz="4" w:space="0" w:color="auto"/>
              <w:right w:val="single" w:sz="4" w:space="0" w:color="auto"/>
            </w:tcBorders>
            <w:shd w:val="clear" w:color="auto" w:fill="auto"/>
            <w:hideMark/>
          </w:tcPr>
          <w:p w14:paraId="0B083E53" w14:textId="77777777" w:rsidR="001C56BD" w:rsidRPr="00F92667" w:rsidRDefault="001C56BD" w:rsidP="008A5C11">
            <w:pPr>
              <w:jc w:val="center"/>
              <w:rPr>
                <w:sz w:val="13"/>
                <w:szCs w:val="13"/>
              </w:rPr>
            </w:pPr>
            <w:r w:rsidRPr="00F92667">
              <w:rPr>
                <w:sz w:val="13"/>
                <w:szCs w:val="13"/>
              </w:rPr>
              <w:t>16</w:t>
            </w:r>
          </w:p>
        </w:tc>
        <w:tc>
          <w:tcPr>
            <w:tcW w:w="476" w:type="dxa"/>
            <w:tcBorders>
              <w:top w:val="nil"/>
              <w:left w:val="nil"/>
              <w:bottom w:val="single" w:sz="4" w:space="0" w:color="auto"/>
              <w:right w:val="single" w:sz="4" w:space="0" w:color="auto"/>
            </w:tcBorders>
            <w:shd w:val="clear" w:color="auto" w:fill="auto"/>
            <w:hideMark/>
          </w:tcPr>
          <w:p w14:paraId="564BA2CF" w14:textId="77777777" w:rsidR="001C56BD" w:rsidRPr="00F92667" w:rsidRDefault="001C56BD" w:rsidP="008A5C11">
            <w:pPr>
              <w:jc w:val="center"/>
              <w:rPr>
                <w:sz w:val="13"/>
                <w:szCs w:val="13"/>
              </w:rPr>
            </w:pPr>
            <w:r w:rsidRPr="00F92667">
              <w:rPr>
                <w:sz w:val="13"/>
                <w:szCs w:val="13"/>
              </w:rPr>
              <w:t>17</w:t>
            </w:r>
          </w:p>
        </w:tc>
        <w:tc>
          <w:tcPr>
            <w:tcW w:w="476" w:type="dxa"/>
            <w:tcBorders>
              <w:top w:val="nil"/>
              <w:left w:val="nil"/>
              <w:bottom w:val="single" w:sz="4" w:space="0" w:color="auto"/>
              <w:right w:val="single" w:sz="4" w:space="0" w:color="auto"/>
            </w:tcBorders>
            <w:shd w:val="clear" w:color="auto" w:fill="auto"/>
            <w:hideMark/>
          </w:tcPr>
          <w:p w14:paraId="2EB1C2EE" w14:textId="77777777" w:rsidR="001C56BD" w:rsidRPr="00F92667" w:rsidRDefault="001C56BD" w:rsidP="008A5C11">
            <w:pPr>
              <w:jc w:val="center"/>
              <w:rPr>
                <w:sz w:val="13"/>
                <w:szCs w:val="13"/>
              </w:rPr>
            </w:pPr>
            <w:r w:rsidRPr="00F92667">
              <w:rPr>
                <w:sz w:val="13"/>
                <w:szCs w:val="13"/>
              </w:rPr>
              <w:t>18</w:t>
            </w:r>
          </w:p>
        </w:tc>
        <w:tc>
          <w:tcPr>
            <w:tcW w:w="476" w:type="dxa"/>
            <w:tcBorders>
              <w:top w:val="nil"/>
              <w:left w:val="nil"/>
              <w:bottom w:val="single" w:sz="4" w:space="0" w:color="auto"/>
              <w:right w:val="single" w:sz="4" w:space="0" w:color="auto"/>
            </w:tcBorders>
            <w:shd w:val="clear" w:color="auto" w:fill="auto"/>
            <w:hideMark/>
          </w:tcPr>
          <w:p w14:paraId="748FF53B" w14:textId="77777777" w:rsidR="001C56BD" w:rsidRPr="00F92667" w:rsidRDefault="001C56BD" w:rsidP="008A5C11">
            <w:pPr>
              <w:jc w:val="center"/>
              <w:rPr>
                <w:sz w:val="13"/>
                <w:szCs w:val="13"/>
              </w:rPr>
            </w:pPr>
            <w:r w:rsidRPr="00F92667">
              <w:rPr>
                <w:sz w:val="13"/>
                <w:szCs w:val="13"/>
              </w:rPr>
              <w:t>19</w:t>
            </w:r>
          </w:p>
        </w:tc>
        <w:tc>
          <w:tcPr>
            <w:tcW w:w="476" w:type="dxa"/>
            <w:tcBorders>
              <w:top w:val="nil"/>
              <w:left w:val="nil"/>
              <w:bottom w:val="single" w:sz="4" w:space="0" w:color="auto"/>
              <w:right w:val="single" w:sz="4" w:space="0" w:color="auto"/>
            </w:tcBorders>
            <w:shd w:val="clear" w:color="auto" w:fill="auto"/>
            <w:hideMark/>
          </w:tcPr>
          <w:p w14:paraId="51BFD14B" w14:textId="77777777" w:rsidR="001C56BD" w:rsidRPr="00F92667" w:rsidRDefault="001C56BD" w:rsidP="008A5C11">
            <w:pPr>
              <w:jc w:val="center"/>
              <w:rPr>
                <w:sz w:val="13"/>
                <w:szCs w:val="13"/>
              </w:rPr>
            </w:pPr>
            <w:r w:rsidRPr="00F92667">
              <w:rPr>
                <w:sz w:val="13"/>
                <w:szCs w:val="13"/>
              </w:rPr>
              <w:t>20</w:t>
            </w:r>
          </w:p>
        </w:tc>
        <w:tc>
          <w:tcPr>
            <w:tcW w:w="476" w:type="dxa"/>
            <w:tcBorders>
              <w:top w:val="nil"/>
              <w:left w:val="nil"/>
              <w:bottom w:val="single" w:sz="4" w:space="0" w:color="auto"/>
              <w:right w:val="single" w:sz="4" w:space="0" w:color="auto"/>
            </w:tcBorders>
            <w:shd w:val="clear" w:color="auto" w:fill="auto"/>
            <w:hideMark/>
          </w:tcPr>
          <w:p w14:paraId="46CD03A3" w14:textId="77777777" w:rsidR="001C56BD" w:rsidRPr="00F92667" w:rsidRDefault="001C56BD" w:rsidP="008A5C11">
            <w:pPr>
              <w:jc w:val="center"/>
              <w:rPr>
                <w:sz w:val="13"/>
                <w:szCs w:val="13"/>
              </w:rPr>
            </w:pPr>
            <w:r w:rsidRPr="00F92667">
              <w:rPr>
                <w:sz w:val="13"/>
                <w:szCs w:val="13"/>
              </w:rPr>
              <w:t>21</w:t>
            </w:r>
          </w:p>
        </w:tc>
        <w:tc>
          <w:tcPr>
            <w:tcW w:w="476" w:type="dxa"/>
            <w:tcBorders>
              <w:top w:val="nil"/>
              <w:left w:val="nil"/>
              <w:bottom w:val="single" w:sz="4" w:space="0" w:color="auto"/>
              <w:right w:val="single" w:sz="4" w:space="0" w:color="auto"/>
            </w:tcBorders>
            <w:shd w:val="clear" w:color="auto" w:fill="auto"/>
            <w:hideMark/>
          </w:tcPr>
          <w:p w14:paraId="42115271" w14:textId="77777777" w:rsidR="001C56BD" w:rsidRPr="00F92667" w:rsidRDefault="001C56BD" w:rsidP="008A5C11">
            <w:pPr>
              <w:jc w:val="center"/>
              <w:rPr>
                <w:sz w:val="13"/>
                <w:szCs w:val="13"/>
              </w:rPr>
            </w:pPr>
            <w:r w:rsidRPr="00F92667">
              <w:rPr>
                <w:sz w:val="13"/>
                <w:szCs w:val="13"/>
              </w:rPr>
              <w:t>22</w:t>
            </w:r>
          </w:p>
        </w:tc>
        <w:tc>
          <w:tcPr>
            <w:tcW w:w="481" w:type="dxa"/>
            <w:tcBorders>
              <w:top w:val="nil"/>
              <w:left w:val="nil"/>
              <w:bottom w:val="single" w:sz="4" w:space="0" w:color="auto"/>
              <w:right w:val="single" w:sz="4" w:space="0" w:color="auto"/>
            </w:tcBorders>
            <w:shd w:val="clear" w:color="auto" w:fill="auto"/>
            <w:hideMark/>
          </w:tcPr>
          <w:p w14:paraId="2D9484CE" w14:textId="77777777" w:rsidR="001C56BD" w:rsidRPr="00F92667" w:rsidRDefault="001C56BD" w:rsidP="008A5C11">
            <w:pPr>
              <w:jc w:val="center"/>
              <w:rPr>
                <w:sz w:val="13"/>
                <w:szCs w:val="13"/>
              </w:rPr>
            </w:pPr>
            <w:r w:rsidRPr="00F92667">
              <w:rPr>
                <w:sz w:val="13"/>
                <w:szCs w:val="13"/>
              </w:rPr>
              <w:t>23</w:t>
            </w:r>
          </w:p>
        </w:tc>
      </w:tr>
      <w:tr w:rsidR="001C56BD" w:rsidRPr="00F92667" w14:paraId="1FE3D49F" w14:textId="77777777" w:rsidTr="008A5C11">
        <w:trPr>
          <w:trHeight w:val="466"/>
        </w:trPr>
        <w:tc>
          <w:tcPr>
            <w:tcW w:w="3686" w:type="dxa"/>
            <w:vMerge w:val="restart"/>
            <w:tcBorders>
              <w:top w:val="nil"/>
              <w:left w:val="single" w:sz="4" w:space="0" w:color="auto"/>
              <w:bottom w:val="single" w:sz="4" w:space="0" w:color="auto"/>
              <w:right w:val="nil"/>
            </w:tcBorders>
            <w:shd w:val="clear" w:color="auto" w:fill="auto"/>
            <w:vAlign w:val="center"/>
            <w:hideMark/>
          </w:tcPr>
          <w:p w14:paraId="60547271" w14:textId="77777777" w:rsidR="001C56BD" w:rsidRPr="00F92667" w:rsidRDefault="001C56BD" w:rsidP="008A5C11">
            <w:pPr>
              <w:jc w:val="center"/>
              <w:rPr>
                <w:sz w:val="13"/>
                <w:szCs w:val="13"/>
              </w:rPr>
            </w:pPr>
            <w:r w:rsidRPr="00F92667">
              <w:rPr>
                <w:sz w:val="13"/>
                <w:szCs w:val="13"/>
              </w:rPr>
              <w:t>Тепловые сети филиала АО "Кузбассэнерго" - «Кемеровская теплосетевая компания»</w:t>
            </w:r>
          </w:p>
        </w:tc>
        <w:tc>
          <w:tcPr>
            <w:tcW w:w="715" w:type="dxa"/>
            <w:vMerge w:val="restart"/>
            <w:tcBorders>
              <w:top w:val="nil"/>
              <w:left w:val="single" w:sz="4" w:space="0" w:color="auto"/>
              <w:bottom w:val="single" w:sz="4" w:space="0" w:color="auto"/>
              <w:right w:val="single" w:sz="4" w:space="0" w:color="auto"/>
            </w:tcBorders>
            <w:shd w:val="clear" w:color="auto" w:fill="auto"/>
            <w:vAlign w:val="center"/>
            <w:hideMark/>
          </w:tcPr>
          <w:p w14:paraId="22B753EF" w14:textId="77777777" w:rsidR="001C56BD" w:rsidRPr="00F92667" w:rsidRDefault="001C56BD" w:rsidP="008A5C11">
            <w:pPr>
              <w:jc w:val="center"/>
              <w:rPr>
                <w:sz w:val="13"/>
                <w:szCs w:val="13"/>
              </w:rPr>
            </w:pPr>
            <w:r w:rsidRPr="00F92667">
              <w:rPr>
                <w:sz w:val="13"/>
                <w:szCs w:val="13"/>
              </w:rPr>
              <w:t>-</w:t>
            </w:r>
          </w:p>
        </w:tc>
        <w:tc>
          <w:tcPr>
            <w:tcW w:w="476" w:type="dxa"/>
            <w:vMerge w:val="restart"/>
            <w:tcBorders>
              <w:top w:val="nil"/>
              <w:left w:val="single" w:sz="4" w:space="0" w:color="auto"/>
              <w:bottom w:val="single" w:sz="4" w:space="0" w:color="auto"/>
              <w:right w:val="single" w:sz="4" w:space="0" w:color="auto"/>
            </w:tcBorders>
            <w:shd w:val="clear" w:color="auto" w:fill="auto"/>
            <w:vAlign w:val="center"/>
            <w:hideMark/>
          </w:tcPr>
          <w:p w14:paraId="6E1BCD77" w14:textId="77777777" w:rsidR="001C56BD" w:rsidRPr="00F92667" w:rsidRDefault="001C56BD" w:rsidP="008A5C11">
            <w:pPr>
              <w:jc w:val="center"/>
              <w:rPr>
                <w:sz w:val="13"/>
                <w:szCs w:val="13"/>
              </w:rPr>
            </w:pPr>
            <w:r w:rsidRPr="00F92667">
              <w:rPr>
                <w:sz w:val="13"/>
                <w:szCs w:val="13"/>
              </w:rPr>
              <w:t>-</w:t>
            </w:r>
          </w:p>
        </w:tc>
        <w:tc>
          <w:tcPr>
            <w:tcW w:w="476" w:type="dxa"/>
            <w:vMerge w:val="restart"/>
            <w:tcBorders>
              <w:top w:val="nil"/>
              <w:left w:val="single" w:sz="4" w:space="0" w:color="auto"/>
              <w:bottom w:val="single" w:sz="4" w:space="0" w:color="auto"/>
              <w:right w:val="single" w:sz="4" w:space="0" w:color="auto"/>
            </w:tcBorders>
            <w:shd w:val="clear" w:color="auto" w:fill="auto"/>
            <w:vAlign w:val="center"/>
            <w:hideMark/>
          </w:tcPr>
          <w:p w14:paraId="3BA63FAC" w14:textId="77777777" w:rsidR="001C56BD" w:rsidRPr="00F92667" w:rsidRDefault="001C56BD" w:rsidP="008A5C11">
            <w:pPr>
              <w:jc w:val="center"/>
              <w:rPr>
                <w:sz w:val="13"/>
                <w:szCs w:val="13"/>
              </w:rPr>
            </w:pPr>
            <w:r w:rsidRPr="00F92667">
              <w:rPr>
                <w:sz w:val="13"/>
                <w:szCs w:val="13"/>
              </w:rPr>
              <w:t>-</w:t>
            </w:r>
          </w:p>
        </w:tc>
        <w:tc>
          <w:tcPr>
            <w:tcW w:w="476" w:type="dxa"/>
            <w:vMerge w:val="restart"/>
            <w:tcBorders>
              <w:top w:val="nil"/>
              <w:left w:val="single" w:sz="4" w:space="0" w:color="auto"/>
              <w:bottom w:val="single" w:sz="4" w:space="0" w:color="auto"/>
              <w:right w:val="single" w:sz="4" w:space="0" w:color="auto"/>
            </w:tcBorders>
            <w:shd w:val="clear" w:color="auto" w:fill="auto"/>
            <w:vAlign w:val="center"/>
            <w:hideMark/>
          </w:tcPr>
          <w:p w14:paraId="73E5839F" w14:textId="77777777" w:rsidR="001C56BD" w:rsidRPr="00F92667" w:rsidRDefault="001C56BD" w:rsidP="008A5C11">
            <w:pPr>
              <w:jc w:val="center"/>
              <w:rPr>
                <w:sz w:val="13"/>
                <w:szCs w:val="13"/>
              </w:rPr>
            </w:pPr>
            <w:r w:rsidRPr="00F92667">
              <w:rPr>
                <w:sz w:val="13"/>
                <w:szCs w:val="13"/>
              </w:rPr>
              <w:t>-</w:t>
            </w:r>
          </w:p>
        </w:tc>
        <w:tc>
          <w:tcPr>
            <w:tcW w:w="476" w:type="dxa"/>
            <w:vMerge w:val="restart"/>
            <w:tcBorders>
              <w:top w:val="nil"/>
              <w:left w:val="single" w:sz="4" w:space="0" w:color="auto"/>
              <w:bottom w:val="single" w:sz="4" w:space="0" w:color="auto"/>
              <w:right w:val="single" w:sz="4" w:space="0" w:color="auto"/>
            </w:tcBorders>
            <w:shd w:val="clear" w:color="auto" w:fill="auto"/>
            <w:vAlign w:val="center"/>
            <w:hideMark/>
          </w:tcPr>
          <w:p w14:paraId="46F7584F" w14:textId="77777777" w:rsidR="001C56BD" w:rsidRPr="00F92667" w:rsidRDefault="001C56BD" w:rsidP="008A5C11">
            <w:pPr>
              <w:jc w:val="center"/>
              <w:rPr>
                <w:sz w:val="13"/>
                <w:szCs w:val="13"/>
              </w:rPr>
            </w:pPr>
            <w:r w:rsidRPr="00F92667">
              <w:rPr>
                <w:sz w:val="13"/>
                <w:szCs w:val="13"/>
              </w:rPr>
              <w:t>-</w:t>
            </w:r>
          </w:p>
        </w:tc>
        <w:tc>
          <w:tcPr>
            <w:tcW w:w="476" w:type="dxa"/>
            <w:vMerge w:val="restart"/>
            <w:tcBorders>
              <w:top w:val="nil"/>
              <w:left w:val="single" w:sz="4" w:space="0" w:color="auto"/>
              <w:bottom w:val="single" w:sz="4" w:space="0" w:color="auto"/>
              <w:right w:val="single" w:sz="4" w:space="0" w:color="auto"/>
            </w:tcBorders>
            <w:shd w:val="clear" w:color="auto" w:fill="auto"/>
            <w:vAlign w:val="center"/>
            <w:hideMark/>
          </w:tcPr>
          <w:p w14:paraId="1A0397C2" w14:textId="77777777" w:rsidR="001C56BD" w:rsidRPr="00F92667" w:rsidRDefault="001C56BD" w:rsidP="008A5C11">
            <w:pPr>
              <w:jc w:val="center"/>
              <w:rPr>
                <w:sz w:val="13"/>
                <w:szCs w:val="13"/>
              </w:rPr>
            </w:pPr>
            <w:r w:rsidRPr="00F92667">
              <w:rPr>
                <w:sz w:val="13"/>
                <w:szCs w:val="13"/>
              </w:rPr>
              <w:t>-</w:t>
            </w:r>
          </w:p>
        </w:tc>
        <w:tc>
          <w:tcPr>
            <w:tcW w:w="476" w:type="dxa"/>
            <w:vMerge w:val="restart"/>
            <w:tcBorders>
              <w:top w:val="nil"/>
              <w:left w:val="single" w:sz="4" w:space="0" w:color="auto"/>
              <w:bottom w:val="single" w:sz="4" w:space="0" w:color="auto"/>
              <w:right w:val="single" w:sz="4" w:space="0" w:color="auto"/>
            </w:tcBorders>
            <w:shd w:val="clear" w:color="auto" w:fill="auto"/>
            <w:vAlign w:val="center"/>
            <w:hideMark/>
          </w:tcPr>
          <w:p w14:paraId="16E1A4C7" w14:textId="77777777" w:rsidR="001C56BD" w:rsidRPr="00F92667" w:rsidRDefault="001C56BD" w:rsidP="008A5C11">
            <w:pPr>
              <w:jc w:val="center"/>
              <w:rPr>
                <w:sz w:val="13"/>
                <w:szCs w:val="13"/>
              </w:rPr>
            </w:pPr>
            <w:r w:rsidRPr="00F92667">
              <w:rPr>
                <w:sz w:val="13"/>
                <w:szCs w:val="13"/>
              </w:rPr>
              <w:t>-</w:t>
            </w:r>
          </w:p>
        </w:tc>
        <w:tc>
          <w:tcPr>
            <w:tcW w:w="476" w:type="dxa"/>
            <w:vMerge w:val="restart"/>
            <w:tcBorders>
              <w:top w:val="nil"/>
              <w:left w:val="single" w:sz="4" w:space="0" w:color="auto"/>
              <w:bottom w:val="single" w:sz="4" w:space="0" w:color="auto"/>
              <w:right w:val="single" w:sz="4" w:space="0" w:color="auto"/>
            </w:tcBorders>
            <w:shd w:val="clear" w:color="auto" w:fill="auto"/>
            <w:vAlign w:val="center"/>
            <w:hideMark/>
          </w:tcPr>
          <w:p w14:paraId="697B1BB7" w14:textId="77777777" w:rsidR="001C56BD" w:rsidRPr="00F92667" w:rsidRDefault="001C56BD" w:rsidP="008A5C11">
            <w:pPr>
              <w:jc w:val="center"/>
              <w:rPr>
                <w:sz w:val="13"/>
                <w:szCs w:val="13"/>
              </w:rPr>
            </w:pPr>
            <w:r w:rsidRPr="00F92667">
              <w:rPr>
                <w:sz w:val="13"/>
                <w:szCs w:val="13"/>
              </w:rPr>
              <w:t>-</w:t>
            </w:r>
          </w:p>
        </w:tc>
        <w:tc>
          <w:tcPr>
            <w:tcW w:w="476" w:type="dxa"/>
            <w:vMerge w:val="restart"/>
            <w:tcBorders>
              <w:top w:val="nil"/>
              <w:left w:val="single" w:sz="4" w:space="0" w:color="auto"/>
              <w:bottom w:val="single" w:sz="4" w:space="0" w:color="auto"/>
              <w:right w:val="single" w:sz="4" w:space="0" w:color="auto"/>
            </w:tcBorders>
            <w:shd w:val="clear" w:color="auto" w:fill="auto"/>
            <w:vAlign w:val="center"/>
            <w:hideMark/>
          </w:tcPr>
          <w:p w14:paraId="32E328E0" w14:textId="77777777" w:rsidR="001C56BD" w:rsidRPr="00F92667" w:rsidRDefault="001C56BD" w:rsidP="008A5C11">
            <w:pPr>
              <w:jc w:val="center"/>
              <w:rPr>
                <w:sz w:val="13"/>
                <w:szCs w:val="13"/>
              </w:rPr>
            </w:pPr>
            <w:r w:rsidRPr="00F92667">
              <w:rPr>
                <w:sz w:val="13"/>
                <w:szCs w:val="13"/>
              </w:rPr>
              <w:t>-</w:t>
            </w:r>
          </w:p>
        </w:tc>
        <w:tc>
          <w:tcPr>
            <w:tcW w:w="476" w:type="dxa"/>
            <w:vMerge w:val="restart"/>
            <w:tcBorders>
              <w:top w:val="nil"/>
              <w:left w:val="single" w:sz="4" w:space="0" w:color="auto"/>
              <w:bottom w:val="single" w:sz="4" w:space="0" w:color="auto"/>
              <w:right w:val="single" w:sz="4" w:space="0" w:color="auto"/>
            </w:tcBorders>
            <w:shd w:val="clear" w:color="auto" w:fill="auto"/>
            <w:vAlign w:val="center"/>
            <w:hideMark/>
          </w:tcPr>
          <w:p w14:paraId="4FA3FAB5" w14:textId="77777777" w:rsidR="001C56BD" w:rsidRPr="00F92667" w:rsidRDefault="001C56BD" w:rsidP="008A5C11">
            <w:pPr>
              <w:jc w:val="center"/>
              <w:rPr>
                <w:sz w:val="13"/>
                <w:szCs w:val="13"/>
              </w:rPr>
            </w:pPr>
            <w:r w:rsidRPr="00F92667">
              <w:rPr>
                <w:sz w:val="13"/>
                <w:szCs w:val="13"/>
              </w:rPr>
              <w:t>-</w:t>
            </w:r>
          </w:p>
        </w:tc>
        <w:tc>
          <w:tcPr>
            <w:tcW w:w="813" w:type="dxa"/>
            <w:vMerge w:val="restart"/>
            <w:tcBorders>
              <w:top w:val="nil"/>
              <w:left w:val="single" w:sz="4" w:space="0" w:color="auto"/>
              <w:bottom w:val="single" w:sz="4" w:space="0" w:color="auto"/>
              <w:right w:val="single" w:sz="4" w:space="0" w:color="auto"/>
            </w:tcBorders>
            <w:shd w:val="clear" w:color="auto" w:fill="auto"/>
            <w:vAlign w:val="center"/>
            <w:hideMark/>
          </w:tcPr>
          <w:p w14:paraId="60D5C9B8" w14:textId="77777777" w:rsidR="001C56BD" w:rsidRPr="00F92667" w:rsidRDefault="001C56BD" w:rsidP="008A5C11">
            <w:pPr>
              <w:jc w:val="center"/>
              <w:rPr>
                <w:sz w:val="13"/>
                <w:szCs w:val="13"/>
              </w:rPr>
            </w:pPr>
            <w:r w:rsidRPr="00F92667">
              <w:rPr>
                <w:sz w:val="13"/>
                <w:szCs w:val="13"/>
              </w:rPr>
              <w:t>-</w:t>
            </w:r>
          </w:p>
        </w:tc>
        <w:tc>
          <w:tcPr>
            <w:tcW w:w="715"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04A87B21" w14:textId="77777777" w:rsidR="001C56BD" w:rsidRPr="00F92667" w:rsidRDefault="001C56BD" w:rsidP="008A5C11">
            <w:pPr>
              <w:jc w:val="center"/>
              <w:rPr>
                <w:sz w:val="13"/>
                <w:szCs w:val="13"/>
              </w:rPr>
            </w:pPr>
            <w:r w:rsidRPr="00F92667">
              <w:rPr>
                <w:sz w:val="13"/>
                <w:szCs w:val="13"/>
              </w:rPr>
              <w:t>3,34</w:t>
            </w:r>
          </w:p>
        </w:tc>
        <w:tc>
          <w:tcPr>
            <w:tcW w:w="476"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4E8847F3" w14:textId="77777777" w:rsidR="001C56BD" w:rsidRPr="00F92667" w:rsidRDefault="001C56BD" w:rsidP="008A5C11">
            <w:pPr>
              <w:jc w:val="center"/>
              <w:rPr>
                <w:sz w:val="13"/>
                <w:szCs w:val="13"/>
              </w:rPr>
            </w:pPr>
            <w:r w:rsidRPr="00F92667">
              <w:rPr>
                <w:sz w:val="13"/>
                <w:szCs w:val="13"/>
              </w:rPr>
              <w:t>3,08</w:t>
            </w:r>
          </w:p>
        </w:tc>
        <w:tc>
          <w:tcPr>
            <w:tcW w:w="476" w:type="dxa"/>
            <w:vMerge w:val="restart"/>
            <w:tcBorders>
              <w:top w:val="nil"/>
              <w:left w:val="single" w:sz="4" w:space="0" w:color="auto"/>
              <w:bottom w:val="single" w:sz="4" w:space="0" w:color="000000"/>
              <w:right w:val="single" w:sz="4" w:space="0" w:color="auto"/>
            </w:tcBorders>
            <w:shd w:val="clear" w:color="000000" w:fill="FFFFFF"/>
            <w:textDirection w:val="btLr"/>
            <w:vAlign w:val="center"/>
            <w:hideMark/>
          </w:tcPr>
          <w:p w14:paraId="5D3D2080" w14:textId="77777777" w:rsidR="001C56BD" w:rsidRPr="00F92667" w:rsidRDefault="001C56BD" w:rsidP="008A5C11">
            <w:pPr>
              <w:jc w:val="center"/>
              <w:rPr>
                <w:sz w:val="13"/>
                <w:szCs w:val="13"/>
              </w:rPr>
            </w:pPr>
            <w:r w:rsidRPr="00F92667">
              <w:rPr>
                <w:sz w:val="13"/>
                <w:szCs w:val="13"/>
              </w:rPr>
              <w:t>3,01</w:t>
            </w:r>
          </w:p>
        </w:tc>
        <w:tc>
          <w:tcPr>
            <w:tcW w:w="476" w:type="dxa"/>
            <w:vMerge w:val="restart"/>
            <w:tcBorders>
              <w:top w:val="nil"/>
              <w:left w:val="single" w:sz="4" w:space="0" w:color="auto"/>
              <w:bottom w:val="single" w:sz="4" w:space="0" w:color="000000"/>
              <w:right w:val="single" w:sz="4" w:space="0" w:color="auto"/>
            </w:tcBorders>
            <w:shd w:val="clear" w:color="000000" w:fill="FFFFFF"/>
            <w:textDirection w:val="btLr"/>
            <w:vAlign w:val="center"/>
            <w:hideMark/>
          </w:tcPr>
          <w:p w14:paraId="0D14A592" w14:textId="77777777" w:rsidR="001C56BD" w:rsidRPr="00F92667" w:rsidRDefault="001C56BD" w:rsidP="008A5C11">
            <w:pPr>
              <w:jc w:val="center"/>
              <w:rPr>
                <w:sz w:val="13"/>
                <w:szCs w:val="13"/>
              </w:rPr>
            </w:pPr>
            <w:r w:rsidRPr="00F92667">
              <w:rPr>
                <w:sz w:val="13"/>
                <w:szCs w:val="13"/>
              </w:rPr>
              <w:t>2,98</w:t>
            </w:r>
          </w:p>
        </w:tc>
        <w:tc>
          <w:tcPr>
            <w:tcW w:w="476" w:type="dxa"/>
            <w:vMerge w:val="restart"/>
            <w:tcBorders>
              <w:top w:val="nil"/>
              <w:left w:val="single" w:sz="4" w:space="0" w:color="auto"/>
              <w:bottom w:val="single" w:sz="4" w:space="0" w:color="000000"/>
              <w:right w:val="single" w:sz="4" w:space="0" w:color="auto"/>
            </w:tcBorders>
            <w:shd w:val="clear" w:color="000000" w:fill="FFFFFF"/>
            <w:textDirection w:val="btLr"/>
            <w:vAlign w:val="center"/>
            <w:hideMark/>
          </w:tcPr>
          <w:p w14:paraId="6C20880F" w14:textId="77777777" w:rsidR="001C56BD" w:rsidRPr="00F92667" w:rsidRDefault="001C56BD" w:rsidP="008A5C11">
            <w:pPr>
              <w:jc w:val="center"/>
              <w:rPr>
                <w:sz w:val="13"/>
                <w:szCs w:val="13"/>
              </w:rPr>
            </w:pPr>
            <w:r w:rsidRPr="00F92667">
              <w:rPr>
                <w:sz w:val="13"/>
                <w:szCs w:val="13"/>
              </w:rPr>
              <w:t>2,96</w:t>
            </w:r>
          </w:p>
        </w:tc>
        <w:tc>
          <w:tcPr>
            <w:tcW w:w="476" w:type="dxa"/>
            <w:vMerge w:val="restart"/>
            <w:tcBorders>
              <w:top w:val="nil"/>
              <w:left w:val="single" w:sz="4" w:space="0" w:color="auto"/>
              <w:bottom w:val="single" w:sz="4" w:space="0" w:color="000000"/>
              <w:right w:val="single" w:sz="4" w:space="0" w:color="auto"/>
            </w:tcBorders>
            <w:shd w:val="clear" w:color="000000" w:fill="FFFFFF"/>
            <w:textDirection w:val="btLr"/>
            <w:vAlign w:val="center"/>
            <w:hideMark/>
          </w:tcPr>
          <w:p w14:paraId="3710A63B" w14:textId="77777777" w:rsidR="001C56BD" w:rsidRPr="00F92667" w:rsidRDefault="001C56BD" w:rsidP="008A5C11">
            <w:pPr>
              <w:jc w:val="center"/>
              <w:rPr>
                <w:sz w:val="13"/>
                <w:szCs w:val="13"/>
              </w:rPr>
            </w:pPr>
            <w:r w:rsidRPr="00F92667">
              <w:rPr>
                <w:sz w:val="13"/>
                <w:szCs w:val="13"/>
              </w:rPr>
              <w:t>2,94</w:t>
            </w:r>
          </w:p>
        </w:tc>
        <w:tc>
          <w:tcPr>
            <w:tcW w:w="476" w:type="dxa"/>
            <w:vMerge w:val="restart"/>
            <w:tcBorders>
              <w:top w:val="nil"/>
              <w:left w:val="single" w:sz="4" w:space="0" w:color="auto"/>
              <w:bottom w:val="single" w:sz="4" w:space="0" w:color="000000"/>
              <w:right w:val="single" w:sz="4" w:space="0" w:color="auto"/>
            </w:tcBorders>
            <w:shd w:val="clear" w:color="000000" w:fill="FFFFFF"/>
            <w:textDirection w:val="btLr"/>
            <w:vAlign w:val="center"/>
            <w:hideMark/>
          </w:tcPr>
          <w:p w14:paraId="14C5E5CD" w14:textId="77777777" w:rsidR="001C56BD" w:rsidRPr="00F92667" w:rsidRDefault="001C56BD" w:rsidP="008A5C11">
            <w:pPr>
              <w:jc w:val="center"/>
              <w:rPr>
                <w:sz w:val="13"/>
                <w:szCs w:val="13"/>
              </w:rPr>
            </w:pPr>
            <w:r w:rsidRPr="00F92667">
              <w:rPr>
                <w:sz w:val="13"/>
                <w:szCs w:val="13"/>
              </w:rPr>
              <w:t>2,92</w:t>
            </w:r>
          </w:p>
        </w:tc>
        <w:tc>
          <w:tcPr>
            <w:tcW w:w="476" w:type="dxa"/>
            <w:vMerge w:val="restart"/>
            <w:tcBorders>
              <w:top w:val="nil"/>
              <w:left w:val="single" w:sz="4" w:space="0" w:color="auto"/>
              <w:bottom w:val="single" w:sz="4" w:space="0" w:color="000000"/>
              <w:right w:val="single" w:sz="4" w:space="0" w:color="auto"/>
            </w:tcBorders>
            <w:shd w:val="clear" w:color="000000" w:fill="FFFFFF"/>
            <w:textDirection w:val="btLr"/>
            <w:vAlign w:val="center"/>
            <w:hideMark/>
          </w:tcPr>
          <w:p w14:paraId="070D9E13" w14:textId="77777777" w:rsidR="001C56BD" w:rsidRPr="00F92667" w:rsidRDefault="001C56BD" w:rsidP="008A5C11">
            <w:pPr>
              <w:jc w:val="center"/>
              <w:rPr>
                <w:sz w:val="13"/>
                <w:szCs w:val="13"/>
              </w:rPr>
            </w:pPr>
            <w:r w:rsidRPr="00F92667">
              <w:rPr>
                <w:sz w:val="13"/>
                <w:szCs w:val="13"/>
              </w:rPr>
              <w:t>2,89</w:t>
            </w:r>
          </w:p>
        </w:tc>
        <w:tc>
          <w:tcPr>
            <w:tcW w:w="476" w:type="dxa"/>
            <w:vMerge w:val="restart"/>
            <w:tcBorders>
              <w:top w:val="nil"/>
              <w:left w:val="single" w:sz="4" w:space="0" w:color="auto"/>
              <w:bottom w:val="single" w:sz="4" w:space="0" w:color="000000"/>
              <w:right w:val="single" w:sz="4" w:space="0" w:color="auto"/>
            </w:tcBorders>
            <w:shd w:val="clear" w:color="000000" w:fill="FFFFFF"/>
            <w:textDirection w:val="btLr"/>
            <w:vAlign w:val="center"/>
            <w:hideMark/>
          </w:tcPr>
          <w:p w14:paraId="30760603" w14:textId="77777777" w:rsidR="001C56BD" w:rsidRPr="00F92667" w:rsidRDefault="001C56BD" w:rsidP="008A5C11">
            <w:pPr>
              <w:jc w:val="center"/>
              <w:rPr>
                <w:sz w:val="13"/>
                <w:szCs w:val="13"/>
              </w:rPr>
            </w:pPr>
            <w:r w:rsidRPr="00F92667">
              <w:rPr>
                <w:sz w:val="13"/>
                <w:szCs w:val="13"/>
              </w:rPr>
              <w:t>2,86</w:t>
            </w:r>
          </w:p>
        </w:tc>
        <w:tc>
          <w:tcPr>
            <w:tcW w:w="476" w:type="dxa"/>
            <w:vMerge w:val="restart"/>
            <w:tcBorders>
              <w:top w:val="nil"/>
              <w:left w:val="single" w:sz="4" w:space="0" w:color="auto"/>
              <w:bottom w:val="single" w:sz="4" w:space="0" w:color="000000"/>
              <w:right w:val="single" w:sz="4" w:space="0" w:color="auto"/>
            </w:tcBorders>
            <w:shd w:val="clear" w:color="000000" w:fill="FFFFFF"/>
            <w:textDirection w:val="btLr"/>
            <w:vAlign w:val="center"/>
            <w:hideMark/>
          </w:tcPr>
          <w:p w14:paraId="3AD16307" w14:textId="77777777" w:rsidR="001C56BD" w:rsidRPr="00F92667" w:rsidRDefault="001C56BD" w:rsidP="008A5C11">
            <w:pPr>
              <w:jc w:val="center"/>
              <w:rPr>
                <w:sz w:val="13"/>
                <w:szCs w:val="13"/>
              </w:rPr>
            </w:pPr>
            <w:r w:rsidRPr="00F92667">
              <w:rPr>
                <w:sz w:val="13"/>
                <w:szCs w:val="13"/>
              </w:rPr>
              <w:t>2,85</w:t>
            </w:r>
          </w:p>
        </w:tc>
        <w:tc>
          <w:tcPr>
            <w:tcW w:w="481" w:type="dxa"/>
            <w:vMerge w:val="restart"/>
            <w:tcBorders>
              <w:top w:val="nil"/>
              <w:left w:val="single" w:sz="4" w:space="0" w:color="auto"/>
              <w:bottom w:val="single" w:sz="4" w:space="0" w:color="000000"/>
              <w:right w:val="single" w:sz="4" w:space="0" w:color="auto"/>
            </w:tcBorders>
            <w:shd w:val="clear" w:color="000000" w:fill="FFFFFF"/>
            <w:textDirection w:val="btLr"/>
            <w:vAlign w:val="center"/>
            <w:hideMark/>
          </w:tcPr>
          <w:p w14:paraId="0DD0D764" w14:textId="77777777" w:rsidR="001C56BD" w:rsidRPr="00F92667" w:rsidRDefault="001C56BD" w:rsidP="008A5C11">
            <w:pPr>
              <w:jc w:val="center"/>
              <w:rPr>
                <w:sz w:val="13"/>
                <w:szCs w:val="13"/>
              </w:rPr>
            </w:pPr>
            <w:r w:rsidRPr="00F92667">
              <w:rPr>
                <w:sz w:val="13"/>
                <w:szCs w:val="13"/>
              </w:rPr>
              <w:t>2,83</w:t>
            </w:r>
          </w:p>
        </w:tc>
      </w:tr>
      <w:tr w:rsidR="001C56BD" w:rsidRPr="00F92667" w14:paraId="59417CDD" w14:textId="77777777" w:rsidTr="008A5C11">
        <w:trPr>
          <w:trHeight w:val="458"/>
        </w:trPr>
        <w:tc>
          <w:tcPr>
            <w:tcW w:w="3686" w:type="dxa"/>
            <w:vMerge/>
            <w:tcBorders>
              <w:top w:val="nil"/>
              <w:left w:val="single" w:sz="4" w:space="0" w:color="auto"/>
              <w:bottom w:val="single" w:sz="4" w:space="0" w:color="auto"/>
              <w:right w:val="nil"/>
            </w:tcBorders>
            <w:vAlign w:val="center"/>
            <w:hideMark/>
          </w:tcPr>
          <w:p w14:paraId="0260A192" w14:textId="77777777" w:rsidR="001C56BD" w:rsidRPr="00F92667" w:rsidRDefault="001C56BD" w:rsidP="008A5C11">
            <w:pPr>
              <w:rPr>
                <w:sz w:val="13"/>
                <w:szCs w:val="13"/>
              </w:rPr>
            </w:pPr>
          </w:p>
        </w:tc>
        <w:tc>
          <w:tcPr>
            <w:tcW w:w="715" w:type="dxa"/>
            <w:vMerge/>
            <w:tcBorders>
              <w:top w:val="nil"/>
              <w:left w:val="single" w:sz="4" w:space="0" w:color="auto"/>
              <w:bottom w:val="single" w:sz="4" w:space="0" w:color="auto"/>
              <w:right w:val="single" w:sz="4" w:space="0" w:color="auto"/>
            </w:tcBorders>
            <w:vAlign w:val="center"/>
            <w:hideMark/>
          </w:tcPr>
          <w:p w14:paraId="50230E4B" w14:textId="77777777" w:rsidR="001C56BD" w:rsidRPr="00F92667" w:rsidRDefault="001C56BD" w:rsidP="008A5C11">
            <w:pPr>
              <w:rPr>
                <w:sz w:val="13"/>
                <w:szCs w:val="13"/>
              </w:rPr>
            </w:pPr>
          </w:p>
        </w:tc>
        <w:tc>
          <w:tcPr>
            <w:tcW w:w="476" w:type="dxa"/>
            <w:vMerge/>
            <w:tcBorders>
              <w:top w:val="nil"/>
              <w:left w:val="single" w:sz="4" w:space="0" w:color="auto"/>
              <w:bottom w:val="single" w:sz="4" w:space="0" w:color="auto"/>
              <w:right w:val="single" w:sz="4" w:space="0" w:color="auto"/>
            </w:tcBorders>
            <w:vAlign w:val="center"/>
            <w:hideMark/>
          </w:tcPr>
          <w:p w14:paraId="6BE82C30" w14:textId="77777777" w:rsidR="001C56BD" w:rsidRPr="00F92667" w:rsidRDefault="001C56BD" w:rsidP="008A5C11">
            <w:pPr>
              <w:rPr>
                <w:sz w:val="13"/>
                <w:szCs w:val="13"/>
              </w:rPr>
            </w:pPr>
          </w:p>
        </w:tc>
        <w:tc>
          <w:tcPr>
            <w:tcW w:w="476" w:type="dxa"/>
            <w:vMerge/>
            <w:tcBorders>
              <w:top w:val="nil"/>
              <w:left w:val="single" w:sz="4" w:space="0" w:color="auto"/>
              <w:bottom w:val="single" w:sz="4" w:space="0" w:color="auto"/>
              <w:right w:val="single" w:sz="4" w:space="0" w:color="auto"/>
            </w:tcBorders>
            <w:vAlign w:val="center"/>
            <w:hideMark/>
          </w:tcPr>
          <w:p w14:paraId="44F40F38" w14:textId="77777777" w:rsidR="001C56BD" w:rsidRPr="00F92667" w:rsidRDefault="001C56BD" w:rsidP="008A5C11">
            <w:pPr>
              <w:rPr>
                <w:sz w:val="13"/>
                <w:szCs w:val="13"/>
              </w:rPr>
            </w:pPr>
          </w:p>
        </w:tc>
        <w:tc>
          <w:tcPr>
            <w:tcW w:w="476" w:type="dxa"/>
            <w:vMerge/>
            <w:tcBorders>
              <w:top w:val="nil"/>
              <w:left w:val="single" w:sz="4" w:space="0" w:color="auto"/>
              <w:bottom w:val="single" w:sz="4" w:space="0" w:color="auto"/>
              <w:right w:val="single" w:sz="4" w:space="0" w:color="auto"/>
            </w:tcBorders>
            <w:vAlign w:val="center"/>
            <w:hideMark/>
          </w:tcPr>
          <w:p w14:paraId="61F8B2D4" w14:textId="77777777" w:rsidR="001C56BD" w:rsidRPr="00F92667" w:rsidRDefault="001C56BD" w:rsidP="008A5C11">
            <w:pPr>
              <w:rPr>
                <w:sz w:val="13"/>
                <w:szCs w:val="13"/>
              </w:rPr>
            </w:pPr>
          </w:p>
        </w:tc>
        <w:tc>
          <w:tcPr>
            <w:tcW w:w="476" w:type="dxa"/>
            <w:vMerge/>
            <w:tcBorders>
              <w:top w:val="nil"/>
              <w:left w:val="single" w:sz="4" w:space="0" w:color="auto"/>
              <w:bottom w:val="single" w:sz="4" w:space="0" w:color="auto"/>
              <w:right w:val="single" w:sz="4" w:space="0" w:color="auto"/>
            </w:tcBorders>
            <w:vAlign w:val="center"/>
            <w:hideMark/>
          </w:tcPr>
          <w:p w14:paraId="1CF166E7" w14:textId="77777777" w:rsidR="001C56BD" w:rsidRPr="00F92667" w:rsidRDefault="001C56BD" w:rsidP="008A5C11">
            <w:pPr>
              <w:rPr>
                <w:sz w:val="13"/>
                <w:szCs w:val="13"/>
              </w:rPr>
            </w:pPr>
          </w:p>
        </w:tc>
        <w:tc>
          <w:tcPr>
            <w:tcW w:w="476" w:type="dxa"/>
            <w:vMerge/>
            <w:tcBorders>
              <w:top w:val="nil"/>
              <w:left w:val="single" w:sz="4" w:space="0" w:color="auto"/>
              <w:bottom w:val="single" w:sz="4" w:space="0" w:color="auto"/>
              <w:right w:val="single" w:sz="4" w:space="0" w:color="auto"/>
            </w:tcBorders>
            <w:vAlign w:val="center"/>
            <w:hideMark/>
          </w:tcPr>
          <w:p w14:paraId="7405775E" w14:textId="77777777" w:rsidR="001C56BD" w:rsidRPr="00F92667" w:rsidRDefault="001C56BD" w:rsidP="008A5C11">
            <w:pPr>
              <w:rPr>
                <w:sz w:val="13"/>
                <w:szCs w:val="13"/>
              </w:rPr>
            </w:pPr>
          </w:p>
        </w:tc>
        <w:tc>
          <w:tcPr>
            <w:tcW w:w="476" w:type="dxa"/>
            <w:vMerge/>
            <w:tcBorders>
              <w:top w:val="nil"/>
              <w:left w:val="single" w:sz="4" w:space="0" w:color="auto"/>
              <w:bottom w:val="single" w:sz="4" w:space="0" w:color="auto"/>
              <w:right w:val="single" w:sz="4" w:space="0" w:color="auto"/>
            </w:tcBorders>
            <w:vAlign w:val="center"/>
            <w:hideMark/>
          </w:tcPr>
          <w:p w14:paraId="10C14DFB" w14:textId="77777777" w:rsidR="001C56BD" w:rsidRPr="00F92667" w:rsidRDefault="001C56BD" w:rsidP="008A5C11">
            <w:pPr>
              <w:rPr>
                <w:sz w:val="13"/>
                <w:szCs w:val="13"/>
              </w:rPr>
            </w:pPr>
          </w:p>
        </w:tc>
        <w:tc>
          <w:tcPr>
            <w:tcW w:w="476" w:type="dxa"/>
            <w:vMerge/>
            <w:tcBorders>
              <w:top w:val="nil"/>
              <w:left w:val="single" w:sz="4" w:space="0" w:color="auto"/>
              <w:bottom w:val="single" w:sz="4" w:space="0" w:color="auto"/>
              <w:right w:val="single" w:sz="4" w:space="0" w:color="auto"/>
            </w:tcBorders>
            <w:vAlign w:val="center"/>
            <w:hideMark/>
          </w:tcPr>
          <w:p w14:paraId="62D96156" w14:textId="77777777" w:rsidR="001C56BD" w:rsidRPr="00F92667" w:rsidRDefault="001C56BD" w:rsidP="008A5C11">
            <w:pPr>
              <w:rPr>
                <w:sz w:val="13"/>
                <w:szCs w:val="13"/>
              </w:rPr>
            </w:pPr>
          </w:p>
        </w:tc>
        <w:tc>
          <w:tcPr>
            <w:tcW w:w="476" w:type="dxa"/>
            <w:vMerge/>
            <w:tcBorders>
              <w:top w:val="nil"/>
              <w:left w:val="single" w:sz="4" w:space="0" w:color="auto"/>
              <w:bottom w:val="single" w:sz="4" w:space="0" w:color="auto"/>
              <w:right w:val="single" w:sz="4" w:space="0" w:color="auto"/>
            </w:tcBorders>
            <w:vAlign w:val="center"/>
            <w:hideMark/>
          </w:tcPr>
          <w:p w14:paraId="48780133" w14:textId="77777777" w:rsidR="001C56BD" w:rsidRPr="00F92667" w:rsidRDefault="001C56BD" w:rsidP="008A5C11">
            <w:pPr>
              <w:rPr>
                <w:sz w:val="13"/>
                <w:szCs w:val="13"/>
              </w:rPr>
            </w:pPr>
          </w:p>
        </w:tc>
        <w:tc>
          <w:tcPr>
            <w:tcW w:w="476" w:type="dxa"/>
            <w:vMerge/>
            <w:tcBorders>
              <w:top w:val="nil"/>
              <w:left w:val="single" w:sz="4" w:space="0" w:color="auto"/>
              <w:bottom w:val="single" w:sz="4" w:space="0" w:color="auto"/>
              <w:right w:val="single" w:sz="4" w:space="0" w:color="auto"/>
            </w:tcBorders>
            <w:vAlign w:val="center"/>
            <w:hideMark/>
          </w:tcPr>
          <w:p w14:paraId="3ED2DD04" w14:textId="77777777" w:rsidR="001C56BD" w:rsidRPr="00F92667" w:rsidRDefault="001C56BD" w:rsidP="008A5C11">
            <w:pPr>
              <w:rPr>
                <w:sz w:val="13"/>
                <w:szCs w:val="13"/>
              </w:rPr>
            </w:pPr>
          </w:p>
        </w:tc>
        <w:tc>
          <w:tcPr>
            <w:tcW w:w="813" w:type="dxa"/>
            <w:vMerge/>
            <w:tcBorders>
              <w:top w:val="nil"/>
              <w:left w:val="single" w:sz="4" w:space="0" w:color="auto"/>
              <w:bottom w:val="single" w:sz="4" w:space="0" w:color="auto"/>
              <w:right w:val="single" w:sz="4" w:space="0" w:color="auto"/>
            </w:tcBorders>
            <w:vAlign w:val="center"/>
            <w:hideMark/>
          </w:tcPr>
          <w:p w14:paraId="3A75B3FA" w14:textId="77777777" w:rsidR="001C56BD" w:rsidRPr="00F92667" w:rsidRDefault="001C56BD" w:rsidP="008A5C11">
            <w:pPr>
              <w:rPr>
                <w:sz w:val="13"/>
                <w:szCs w:val="13"/>
              </w:rPr>
            </w:pPr>
          </w:p>
        </w:tc>
        <w:tc>
          <w:tcPr>
            <w:tcW w:w="715" w:type="dxa"/>
            <w:vMerge/>
            <w:tcBorders>
              <w:top w:val="nil"/>
              <w:left w:val="single" w:sz="4" w:space="0" w:color="auto"/>
              <w:bottom w:val="single" w:sz="4" w:space="0" w:color="auto"/>
              <w:right w:val="single" w:sz="4" w:space="0" w:color="auto"/>
            </w:tcBorders>
            <w:vAlign w:val="center"/>
            <w:hideMark/>
          </w:tcPr>
          <w:p w14:paraId="50864946" w14:textId="77777777" w:rsidR="001C56BD" w:rsidRPr="00F92667" w:rsidRDefault="001C56BD" w:rsidP="008A5C11">
            <w:pPr>
              <w:rPr>
                <w:sz w:val="13"/>
                <w:szCs w:val="13"/>
              </w:rPr>
            </w:pPr>
          </w:p>
        </w:tc>
        <w:tc>
          <w:tcPr>
            <w:tcW w:w="476" w:type="dxa"/>
            <w:vMerge/>
            <w:tcBorders>
              <w:top w:val="nil"/>
              <w:left w:val="single" w:sz="4" w:space="0" w:color="auto"/>
              <w:bottom w:val="single" w:sz="4" w:space="0" w:color="auto"/>
              <w:right w:val="single" w:sz="4" w:space="0" w:color="auto"/>
            </w:tcBorders>
            <w:vAlign w:val="center"/>
            <w:hideMark/>
          </w:tcPr>
          <w:p w14:paraId="4AB5D8E6" w14:textId="77777777" w:rsidR="001C56BD" w:rsidRPr="00F92667" w:rsidRDefault="001C56BD" w:rsidP="008A5C11">
            <w:pPr>
              <w:rPr>
                <w:sz w:val="13"/>
                <w:szCs w:val="13"/>
              </w:rPr>
            </w:pPr>
          </w:p>
        </w:tc>
        <w:tc>
          <w:tcPr>
            <w:tcW w:w="476" w:type="dxa"/>
            <w:vMerge/>
            <w:tcBorders>
              <w:top w:val="nil"/>
              <w:left w:val="single" w:sz="4" w:space="0" w:color="auto"/>
              <w:bottom w:val="single" w:sz="4" w:space="0" w:color="000000"/>
              <w:right w:val="single" w:sz="4" w:space="0" w:color="auto"/>
            </w:tcBorders>
            <w:vAlign w:val="center"/>
            <w:hideMark/>
          </w:tcPr>
          <w:p w14:paraId="3D4EBA8F" w14:textId="77777777" w:rsidR="001C56BD" w:rsidRPr="00F92667" w:rsidRDefault="001C56BD" w:rsidP="008A5C11">
            <w:pPr>
              <w:rPr>
                <w:sz w:val="13"/>
                <w:szCs w:val="13"/>
              </w:rPr>
            </w:pPr>
          </w:p>
        </w:tc>
        <w:tc>
          <w:tcPr>
            <w:tcW w:w="476" w:type="dxa"/>
            <w:vMerge/>
            <w:tcBorders>
              <w:top w:val="nil"/>
              <w:left w:val="single" w:sz="4" w:space="0" w:color="auto"/>
              <w:bottom w:val="single" w:sz="4" w:space="0" w:color="000000"/>
              <w:right w:val="single" w:sz="4" w:space="0" w:color="auto"/>
            </w:tcBorders>
            <w:vAlign w:val="center"/>
            <w:hideMark/>
          </w:tcPr>
          <w:p w14:paraId="1057D2F9" w14:textId="77777777" w:rsidR="001C56BD" w:rsidRPr="00F92667" w:rsidRDefault="001C56BD" w:rsidP="008A5C11">
            <w:pPr>
              <w:rPr>
                <w:sz w:val="13"/>
                <w:szCs w:val="13"/>
              </w:rPr>
            </w:pPr>
          </w:p>
        </w:tc>
        <w:tc>
          <w:tcPr>
            <w:tcW w:w="476" w:type="dxa"/>
            <w:vMerge/>
            <w:tcBorders>
              <w:top w:val="nil"/>
              <w:left w:val="single" w:sz="4" w:space="0" w:color="auto"/>
              <w:bottom w:val="single" w:sz="4" w:space="0" w:color="000000"/>
              <w:right w:val="single" w:sz="4" w:space="0" w:color="auto"/>
            </w:tcBorders>
            <w:vAlign w:val="center"/>
            <w:hideMark/>
          </w:tcPr>
          <w:p w14:paraId="144557D4" w14:textId="77777777" w:rsidR="001C56BD" w:rsidRPr="00F92667" w:rsidRDefault="001C56BD" w:rsidP="008A5C11">
            <w:pPr>
              <w:rPr>
                <w:sz w:val="13"/>
                <w:szCs w:val="13"/>
              </w:rPr>
            </w:pPr>
          </w:p>
        </w:tc>
        <w:tc>
          <w:tcPr>
            <w:tcW w:w="476" w:type="dxa"/>
            <w:vMerge/>
            <w:tcBorders>
              <w:top w:val="nil"/>
              <w:left w:val="single" w:sz="4" w:space="0" w:color="auto"/>
              <w:bottom w:val="single" w:sz="4" w:space="0" w:color="000000"/>
              <w:right w:val="single" w:sz="4" w:space="0" w:color="auto"/>
            </w:tcBorders>
            <w:vAlign w:val="center"/>
            <w:hideMark/>
          </w:tcPr>
          <w:p w14:paraId="43470A6D" w14:textId="77777777" w:rsidR="001C56BD" w:rsidRPr="00F92667" w:rsidRDefault="001C56BD" w:rsidP="008A5C11">
            <w:pPr>
              <w:rPr>
                <w:sz w:val="13"/>
                <w:szCs w:val="13"/>
              </w:rPr>
            </w:pPr>
          </w:p>
        </w:tc>
        <w:tc>
          <w:tcPr>
            <w:tcW w:w="476" w:type="dxa"/>
            <w:vMerge/>
            <w:tcBorders>
              <w:top w:val="nil"/>
              <w:left w:val="single" w:sz="4" w:space="0" w:color="auto"/>
              <w:bottom w:val="single" w:sz="4" w:space="0" w:color="000000"/>
              <w:right w:val="single" w:sz="4" w:space="0" w:color="auto"/>
            </w:tcBorders>
            <w:vAlign w:val="center"/>
            <w:hideMark/>
          </w:tcPr>
          <w:p w14:paraId="1767CA19" w14:textId="77777777" w:rsidR="001C56BD" w:rsidRPr="00F92667" w:rsidRDefault="001C56BD" w:rsidP="008A5C11">
            <w:pPr>
              <w:rPr>
                <w:sz w:val="13"/>
                <w:szCs w:val="13"/>
              </w:rPr>
            </w:pPr>
          </w:p>
        </w:tc>
        <w:tc>
          <w:tcPr>
            <w:tcW w:w="476" w:type="dxa"/>
            <w:vMerge/>
            <w:tcBorders>
              <w:top w:val="nil"/>
              <w:left w:val="single" w:sz="4" w:space="0" w:color="auto"/>
              <w:bottom w:val="single" w:sz="4" w:space="0" w:color="000000"/>
              <w:right w:val="single" w:sz="4" w:space="0" w:color="auto"/>
            </w:tcBorders>
            <w:vAlign w:val="center"/>
            <w:hideMark/>
          </w:tcPr>
          <w:p w14:paraId="03C0D40A" w14:textId="77777777" w:rsidR="001C56BD" w:rsidRPr="00F92667" w:rsidRDefault="001C56BD" w:rsidP="008A5C11">
            <w:pPr>
              <w:rPr>
                <w:sz w:val="13"/>
                <w:szCs w:val="13"/>
              </w:rPr>
            </w:pPr>
          </w:p>
        </w:tc>
        <w:tc>
          <w:tcPr>
            <w:tcW w:w="476" w:type="dxa"/>
            <w:vMerge/>
            <w:tcBorders>
              <w:top w:val="nil"/>
              <w:left w:val="single" w:sz="4" w:space="0" w:color="auto"/>
              <w:bottom w:val="single" w:sz="4" w:space="0" w:color="000000"/>
              <w:right w:val="single" w:sz="4" w:space="0" w:color="auto"/>
            </w:tcBorders>
            <w:vAlign w:val="center"/>
            <w:hideMark/>
          </w:tcPr>
          <w:p w14:paraId="17932487" w14:textId="77777777" w:rsidR="001C56BD" w:rsidRPr="00F92667" w:rsidRDefault="001C56BD" w:rsidP="008A5C11">
            <w:pPr>
              <w:rPr>
                <w:sz w:val="13"/>
                <w:szCs w:val="13"/>
              </w:rPr>
            </w:pPr>
          </w:p>
        </w:tc>
        <w:tc>
          <w:tcPr>
            <w:tcW w:w="476" w:type="dxa"/>
            <w:vMerge/>
            <w:tcBorders>
              <w:top w:val="nil"/>
              <w:left w:val="single" w:sz="4" w:space="0" w:color="auto"/>
              <w:bottom w:val="single" w:sz="4" w:space="0" w:color="000000"/>
              <w:right w:val="single" w:sz="4" w:space="0" w:color="auto"/>
            </w:tcBorders>
            <w:vAlign w:val="center"/>
            <w:hideMark/>
          </w:tcPr>
          <w:p w14:paraId="02ED1EEC" w14:textId="77777777" w:rsidR="001C56BD" w:rsidRPr="00F92667" w:rsidRDefault="001C56BD" w:rsidP="008A5C11">
            <w:pPr>
              <w:rPr>
                <w:sz w:val="13"/>
                <w:szCs w:val="13"/>
              </w:rPr>
            </w:pPr>
          </w:p>
        </w:tc>
        <w:tc>
          <w:tcPr>
            <w:tcW w:w="481" w:type="dxa"/>
            <w:vMerge/>
            <w:tcBorders>
              <w:top w:val="nil"/>
              <w:left w:val="single" w:sz="4" w:space="0" w:color="auto"/>
              <w:bottom w:val="single" w:sz="4" w:space="0" w:color="000000"/>
              <w:right w:val="single" w:sz="4" w:space="0" w:color="auto"/>
            </w:tcBorders>
            <w:vAlign w:val="center"/>
            <w:hideMark/>
          </w:tcPr>
          <w:p w14:paraId="5DC7E8F9" w14:textId="77777777" w:rsidR="001C56BD" w:rsidRPr="00F92667" w:rsidRDefault="001C56BD" w:rsidP="008A5C11">
            <w:pPr>
              <w:rPr>
                <w:sz w:val="13"/>
                <w:szCs w:val="13"/>
              </w:rPr>
            </w:pPr>
          </w:p>
        </w:tc>
      </w:tr>
    </w:tbl>
    <w:p w14:paraId="4060040D" w14:textId="77777777" w:rsidR="001C56BD" w:rsidRPr="00F92667" w:rsidRDefault="001C56BD" w:rsidP="001C56BD">
      <w:pPr>
        <w:ind w:left="284" w:right="536"/>
        <w:jc w:val="center"/>
        <w:rPr>
          <w:b/>
          <w:bCs/>
          <w:sz w:val="28"/>
          <w:szCs w:val="28"/>
        </w:rPr>
      </w:pPr>
    </w:p>
    <w:tbl>
      <w:tblPr>
        <w:tblW w:w="14962" w:type="dxa"/>
        <w:tblInd w:w="-114" w:type="dxa"/>
        <w:tblLayout w:type="fixed"/>
        <w:tblLook w:val="04A0" w:firstRow="1" w:lastRow="0" w:firstColumn="1" w:lastColumn="0" w:noHBand="0" w:noVBand="1"/>
      </w:tblPr>
      <w:tblGrid>
        <w:gridCol w:w="1011"/>
        <w:gridCol w:w="566"/>
        <w:gridCol w:w="408"/>
        <w:gridCol w:w="362"/>
        <w:gridCol w:w="347"/>
        <w:gridCol w:w="415"/>
        <w:gridCol w:w="436"/>
        <w:gridCol w:w="380"/>
        <w:gridCol w:w="328"/>
        <w:gridCol w:w="426"/>
        <w:gridCol w:w="325"/>
        <w:gridCol w:w="383"/>
        <w:gridCol w:w="555"/>
        <w:gridCol w:w="475"/>
        <w:gridCol w:w="473"/>
        <w:gridCol w:w="473"/>
        <w:gridCol w:w="361"/>
        <w:gridCol w:w="408"/>
        <w:gridCol w:w="360"/>
        <w:gridCol w:w="454"/>
        <w:gridCol w:w="406"/>
        <w:gridCol w:w="473"/>
        <w:gridCol w:w="433"/>
        <w:gridCol w:w="567"/>
        <w:gridCol w:w="426"/>
        <w:gridCol w:w="444"/>
        <w:gridCol w:w="425"/>
        <w:gridCol w:w="425"/>
        <w:gridCol w:w="426"/>
        <w:gridCol w:w="425"/>
        <w:gridCol w:w="425"/>
        <w:gridCol w:w="425"/>
        <w:gridCol w:w="355"/>
        <w:gridCol w:w="354"/>
        <w:gridCol w:w="7"/>
      </w:tblGrid>
      <w:tr w:rsidR="001C56BD" w:rsidRPr="00F92667" w14:paraId="7E5A0005" w14:textId="77777777" w:rsidTr="008A5C11">
        <w:trPr>
          <w:trHeight w:val="315"/>
        </w:trPr>
        <w:tc>
          <w:tcPr>
            <w:tcW w:w="1011" w:type="dxa"/>
            <w:vMerge w:val="restart"/>
            <w:tcBorders>
              <w:top w:val="single" w:sz="4" w:space="0" w:color="auto"/>
              <w:left w:val="single" w:sz="4" w:space="0" w:color="auto"/>
              <w:bottom w:val="single" w:sz="4" w:space="0" w:color="auto"/>
              <w:right w:val="nil"/>
            </w:tcBorders>
            <w:shd w:val="clear" w:color="auto" w:fill="auto"/>
            <w:tcMar>
              <w:left w:w="28" w:type="dxa"/>
              <w:right w:w="28" w:type="dxa"/>
            </w:tcMar>
            <w:vAlign w:val="center"/>
            <w:hideMark/>
          </w:tcPr>
          <w:p w14:paraId="3E88316D" w14:textId="77777777" w:rsidR="001C56BD" w:rsidRPr="00F92667" w:rsidRDefault="001C56BD" w:rsidP="008A5C11">
            <w:pPr>
              <w:jc w:val="center"/>
              <w:rPr>
                <w:sz w:val="13"/>
                <w:szCs w:val="13"/>
              </w:rPr>
            </w:pPr>
            <w:r w:rsidRPr="00F92667">
              <w:rPr>
                <w:sz w:val="13"/>
                <w:szCs w:val="13"/>
              </w:rPr>
              <w:t>Наименование объекта</w:t>
            </w:r>
          </w:p>
        </w:tc>
        <w:tc>
          <w:tcPr>
            <w:tcW w:w="13951" w:type="dxa"/>
            <w:gridSpan w:val="34"/>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9DD001D" w14:textId="77777777" w:rsidR="001C56BD" w:rsidRPr="00F92667" w:rsidRDefault="001C56BD" w:rsidP="008A5C11">
            <w:pPr>
              <w:jc w:val="center"/>
              <w:rPr>
                <w:sz w:val="13"/>
                <w:szCs w:val="13"/>
              </w:rPr>
            </w:pPr>
            <w:r w:rsidRPr="00F92667">
              <w:rPr>
                <w:sz w:val="13"/>
                <w:szCs w:val="13"/>
              </w:rPr>
              <w:t>Показатели энергетической эффективности</w:t>
            </w:r>
          </w:p>
        </w:tc>
      </w:tr>
      <w:tr w:rsidR="001C56BD" w:rsidRPr="00F92667" w14:paraId="2B441729" w14:textId="77777777" w:rsidTr="008A5C11">
        <w:trPr>
          <w:trHeight w:val="60"/>
        </w:trPr>
        <w:tc>
          <w:tcPr>
            <w:tcW w:w="101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DBFB574" w14:textId="77777777" w:rsidR="001C56BD" w:rsidRPr="00F92667" w:rsidRDefault="001C56BD" w:rsidP="008A5C11">
            <w:pPr>
              <w:rPr>
                <w:sz w:val="13"/>
                <w:szCs w:val="13"/>
              </w:rPr>
            </w:pPr>
          </w:p>
        </w:tc>
        <w:tc>
          <w:tcPr>
            <w:tcW w:w="4376" w:type="dxa"/>
            <w:gridSpan w:val="11"/>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EA103E0" w14:textId="77777777" w:rsidR="001C56BD" w:rsidRPr="00F92667" w:rsidRDefault="001C56BD" w:rsidP="008A5C11">
            <w:pPr>
              <w:jc w:val="center"/>
              <w:rPr>
                <w:sz w:val="13"/>
                <w:szCs w:val="13"/>
              </w:rPr>
            </w:pPr>
            <w:r w:rsidRPr="00F92667">
              <w:rPr>
                <w:sz w:val="13"/>
                <w:szCs w:val="13"/>
              </w:rPr>
              <w:t xml:space="preserve">Отношение величины технологических потерь теплоносителя к материальной характеристике тепловой сети, </w:t>
            </w:r>
            <w:r w:rsidRPr="00F92667">
              <w:rPr>
                <w:sz w:val="13"/>
                <w:szCs w:val="13"/>
              </w:rPr>
              <w:br/>
              <w:t>тыс. куб. м/кв. м</w:t>
            </w:r>
          </w:p>
        </w:tc>
        <w:tc>
          <w:tcPr>
            <w:tcW w:w="4871" w:type="dxa"/>
            <w:gridSpan w:val="11"/>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21E6EF6" w14:textId="77777777" w:rsidR="001C56BD" w:rsidRPr="00F92667" w:rsidRDefault="001C56BD" w:rsidP="008A5C11">
            <w:pPr>
              <w:jc w:val="center"/>
              <w:rPr>
                <w:sz w:val="13"/>
                <w:szCs w:val="13"/>
              </w:rPr>
            </w:pPr>
            <w:r w:rsidRPr="00F92667">
              <w:rPr>
                <w:sz w:val="13"/>
                <w:szCs w:val="13"/>
              </w:rPr>
              <w:t>Величина технологических потерь при передаче тепловой энергии по тепловым сетям,</w:t>
            </w:r>
            <w:r w:rsidRPr="00F92667">
              <w:rPr>
                <w:sz w:val="13"/>
                <w:szCs w:val="13"/>
              </w:rPr>
              <w:br/>
              <w:t>тыс. Гкал</w:t>
            </w:r>
          </w:p>
        </w:tc>
        <w:tc>
          <w:tcPr>
            <w:tcW w:w="4704" w:type="dxa"/>
            <w:gridSpan w:val="1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4938AE5" w14:textId="77777777" w:rsidR="001C56BD" w:rsidRPr="00F92667" w:rsidRDefault="001C56BD" w:rsidP="008A5C11">
            <w:pPr>
              <w:jc w:val="center"/>
              <w:rPr>
                <w:sz w:val="13"/>
                <w:szCs w:val="13"/>
              </w:rPr>
            </w:pPr>
            <w:r w:rsidRPr="00F92667">
              <w:rPr>
                <w:sz w:val="13"/>
                <w:szCs w:val="13"/>
              </w:rPr>
              <w:t xml:space="preserve">Величина технологических потерь теплоносителя по тепловым сетям, </w:t>
            </w:r>
            <w:r w:rsidRPr="00F92667">
              <w:rPr>
                <w:sz w:val="13"/>
                <w:szCs w:val="13"/>
              </w:rPr>
              <w:br/>
              <w:t>тыс. куб. м.</w:t>
            </w:r>
          </w:p>
        </w:tc>
      </w:tr>
      <w:tr w:rsidR="001C56BD" w:rsidRPr="00F92667" w14:paraId="28A913A2" w14:textId="77777777" w:rsidTr="008A5C11">
        <w:trPr>
          <w:trHeight w:val="122"/>
        </w:trPr>
        <w:tc>
          <w:tcPr>
            <w:tcW w:w="1011" w:type="dxa"/>
            <w:vMerge/>
            <w:tcBorders>
              <w:top w:val="single" w:sz="4" w:space="0" w:color="auto"/>
              <w:left w:val="single" w:sz="4" w:space="0" w:color="auto"/>
              <w:bottom w:val="single" w:sz="4" w:space="0" w:color="auto"/>
              <w:right w:val="nil"/>
            </w:tcBorders>
            <w:tcMar>
              <w:left w:w="28" w:type="dxa"/>
              <w:right w:w="28" w:type="dxa"/>
            </w:tcMar>
            <w:vAlign w:val="center"/>
            <w:hideMark/>
          </w:tcPr>
          <w:p w14:paraId="6E393A90" w14:textId="77777777" w:rsidR="001C56BD" w:rsidRPr="00F92667" w:rsidRDefault="001C56BD" w:rsidP="008A5C11">
            <w:pPr>
              <w:rPr>
                <w:sz w:val="13"/>
                <w:szCs w:val="13"/>
              </w:rPr>
            </w:pPr>
          </w:p>
        </w:tc>
        <w:tc>
          <w:tcPr>
            <w:tcW w:w="566" w:type="dxa"/>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48888C5" w14:textId="77777777" w:rsidR="001C56BD" w:rsidRPr="00F92667" w:rsidRDefault="001C56BD" w:rsidP="008A5C11">
            <w:pPr>
              <w:jc w:val="center"/>
              <w:rPr>
                <w:sz w:val="13"/>
                <w:szCs w:val="13"/>
              </w:rPr>
            </w:pPr>
            <w:r w:rsidRPr="00F92667">
              <w:rPr>
                <w:sz w:val="13"/>
                <w:szCs w:val="13"/>
              </w:rPr>
              <w:t xml:space="preserve">Текущее значение </w:t>
            </w:r>
          </w:p>
        </w:tc>
        <w:tc>
          <w:tcPr>
            <w:tcW w:w="3810" w:type="dxa"/>
            <w:gridSpan w:val="10"/>
            <w:tcBorders>
              <w:top w:val="single" w:sz="4" w:space="0" w:color="auto"/>
              <w:left w:val="nil"/>
              <w:bottom w:val="single" w:sz="4" w:space="0" w:color="auto"/>
              <w:right w:val="nil"/>
            </w:tcBorders>
            <w:shd w:val="clear" w:color="auto" w:fill="auto"/>
            <w:tcMar>
              <w:left w:w="28" w:type="dxa"/>
              <w:right w:w="28" w:type="dxa"/>
            </w:tcMar>
            <w:vAlign w:val="center"/>
            <w:hideMark/>
          </w:tcPr>
          <w:p w14:paraId="24F3BB1F" w14:textId="77777777" w:rsidR="001C56BD" w:rsidRPr="00F92667" w:rsidRDefault="001C56BD" w:rsidP="008A5C11">
            <w:pPr>
              <w:jc w:val="center"/>
              <w:rPr>
                <w:sz w:val="13"/>
                <w:szCs w:val="13"/>
              </w:rPr>
            </w:pPr>
            <w:r w:rsidRPr="00F92667">
              <w:rPr>
                <w:sz w:val="13"/>
                <w:szCs w:val="13"/>
              </w:rPr>
              <w:t>Плановое значение</w:t>
            </w:r>
          </w:p>
        </w:tc>
        <w:tc>
          <w:tcPr>
            <w:tcW w:w="555" w:type="dxa"/>
            <w:vMerge w:val="restart"/>
            <w:tcBorders>
              <w:top w:val="nil"/>
              <w:left w:val="single" w:sz="4" w:space="0" w:color="auto"/>
              <w:right w:val="single" w:sz="4" w:space="0" w:color="auto"/>
            </w:tcBorders>
            <w:shd w:val="clear" w:color="auto" w:fill="auto"/>
            <w:tcMar>
              <w:left w:w="28" w:type="dxa"/>
              <w:right w:w="28" w:type="dxa"/>
            </w:tcMar>
            <w:vAlign w:val="center"/>
            <w:hideMark/>
          </w:tcPr>
          <w:p w14:paraId="355E47AA" w14:textId="77777777" w:rsidR="001C56BD" w:rsidRPr="00F92667" w:rsidRDefault="001C56BD" w:rsidP="008A5C11">
            <w:pPr>
              <w:jc w:val="center"/>
              <w:rPr>
                <w:sz w:val="13"/>
                <w:szCs w:val="13"/>
              </w:rPr>
            </w:pPr>
            <w:r w:rsidRPr="00F92667">
              <w:rPr>
                <w:sz w:val="13"/>
                <w:szCs w:val="13"/>
              </w:rPr>
              <w:t xml:space="preserve">Текущее значение </w:t>
            </w:r>
          </w:p>
        </w:tc>
        <w:tc>
          <w:tcPr>
            <w:tcW w:w="4316" w:type="dxa"/>
            <w:gridSpan w:val="10"/>
            <w:tcBorders>
              <w:top w:val="single" w:sz="4" w:space="0" w:color="auto"/>
              <w:left w:val="nil"/>
              <w:bottom w:val="single" w:sz="4" w:space="0" w:color="auto"/>
              <w:right w:val="nil"/>
            </w:tcBorders>
            <w:shd w:val="clear" w:color="auto" w:fill="auto"/>
            <w:tcMar>
              <w:left w:w="28" w:type="dxa"/>
              <w:right w:w="28" w:type="dxa"/>
            </w:tcMar>
            <w:vAlign w:val="center"/>
            <w:hideMark/>
          </w:tcPr>
          <w:p w14:paraId="7CF00F75" w14:textId="77777777" w:rsidR="001C56BD" w:rsidRPr="00F92667" w:rsidRDefault="001C56BD" w:rsidP="008A5C11">
            <w:pPr>
              <w:jc w:val="center"/>
              <w:rPr>
                <w:sz w:val="13"/>
                <w:szCs w:val="13"/>
              </w:rPr>
            </w:pPr>
            <w:r w:rsidRPr="00F92667">
              <w:rPr>
                <w:sz w:val="13"/>
                <w:szCs w:val="13"/>
              </w:rPr>
              <w:t>Плановое значение</w:t>
            </w:r>
          </w:p>
        </w:tc>
        <w:tc>
          <w:tcPr>
            <w:tcW w:w="567" w:type="dxa"/>
            <w:vMerge w:val="restart"/>
            <w:tcBorders>
              <w:top w:val="nil"/>
              <w:left w:val="single" w:sz="4" w:space="0" w:color="auto"/>
              <w:right w:val="single" w:sz="4" w:space="0" w:color="auto"/>
            </w:tcBorders>
            <w:shd w:val="clear" w:color="auto" w:fill="auto"/>
            <w:tcMar>
              <w:left w:w="28" w:type="dxa"/>
              <w:right w:w="28" w:type="dxa"/>
            </w:tcMar>
            <w:vAlign w:val="center"/>
            <w:hideMark/>
          </w:tcPr>
          <w:p w14:paraId="208DFF61" w14:textId="77777777" w:rsidR="001C56BD" w:rsidRPr="00F92667" w:rsidRDefault="001C56BD" w:rsidP="008A5C11">
            <w:pPr>
              <w:jc w:val="center"/>
              <w:rPr>
                <w:sz w:val="13"/>
                <w:szCs w:val="13"/>
              </w:rPr>
            </w:pPr>
            <w:r w:rsidRPr="00F92667">
              <w:rPr>
                <w:sz w:val="13"/>
                <w:szCs w:val="13"/>
              </w:rPr>
              <w:t xml:space="preserve">Текущее значение </w:t>
            </w:r>
          </w:p>
        </w:tc>
        <w:tc>
          <w:tcPr>
            <w:tcW w:w="4137" w:type="dxa"/>
            <w:gridSpan w:val="11"/>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28AFA18" w14:textId="77777777" w:rsidR="001C56BD" w:rsidRPr="00F92667" w:rsidRDefault="001C56BD" w:rsidP="008A5C11">
            <w:pPr>
              <w:jc w:val="center"/>
              <w:rPr>
                <w:sz w:val="13"/>
                <w:szCs w:val="13"/>
              </w:rPr>
            </w:pPr>
            <w:r w:rsidRPr="00F92667">
              <w:rPr>
                <w:sz w:val="13"/>
                <w:szCs w:val="13"/>
              </w:rPr>
              <w:t>Плановое значение</w:t>
            </w:r>
          </w:p>
        </w:tc>
      </w:tr>
      <w:tr w:rsidR="001C56BD" w:rsidRPr="00F92667" w14:paraId="6C261B73" w14:textId="77777777" w:rsidTr="008A5C11">
        <w:trPr>
          <w:gridAfter w:val="1"/>
          <w:wAfter w:w="7" w:type="dxa"/>
          <w:trHeight w:val="480"/>
        </w:trPr>
        <w:tc>
          <w:tcPr>
            <w:tcW w:w="1011" w:type="dxa"/>
            <w:vMerge/>
            <w:tcBorders>
              <w:top w:val="single" w:sz="4" w:space="0" w:color="auto"/>
              <w:left w:val="single" w:sz="4" w:space="0" w:color="auto"/>
              <w:bottom w:val="single" w:sz="4" w:space="0" w:color="auto"/>
              <w:right w:val="nil"/>
            </w:tcBorders>
            <w:tcMar>
              <w:left w:w="28" w:type="dxa"/>
              <w:right w:w="28" w:type="dxa"/>
            </w:tcMar>
            <w:vAlign w:val="center"/>
            <w:hideMark/>
          </w:tcPr>
          <w:p w14:paraId="7962E812" w14:textId="77777777" w:rsidR="001C56BD" w:rsidRPr="00F92667" w:rsidRDefault="001C56BD" w:rsidP="008A5C11">
            <w:pPr>
              <w:rPr>
                <w:sz w:val="13"/>
                <w:szCs w:val="13"/>
              </w:rPr>
            </w:pPr>
          </w:p>
        </w:tc>
        <w:tc>
          <w:tcPr>
            <w:tcW w:w="566"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626DF08D" w14:textId="77777777" w:rsidR="001C56BD" w:rsidRPr="00F92667" w:rsidRDefault="001C56BD" w:rsidP="008A5C11">
            <w:pPr>
              <w:rPr>
                <w:sz w:val="13"/>
                <w:szCs w:val="13"/>
              </w:rPr>
            </w:pPr>
          </w:p>
        </w:tc>
        <w:tc>
          <w:tcPr>
            <w:tcW w:w="4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EB22E5C" w14:textId="77777777" w:rsidR="001C56BD" w:rsidRPr="00F92667" w:rsidRDefault="001C56BD" w:rsidP="008A5C11">
            <w:pPr>
              <w:jc w:val="center"/>
              <w:rPr>
                <w:sz w:val="13"/>
                <w:szCs w:val="13"/>
              </w:rPr>
            </w:pPr>
            <w:r w:rsidRPr="00F92667">
              <w:rPr>
                <w:sz w:val="13"/>
                <w:szCs w:val="13"/>
              </w:rPr>
              <w:t>2022</w:t>
            </w:r>
          </w:p>
        </w:tc>
        <w:tc>
          <w:tcPr>
            <w:tcW w:w="36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4A950CC" w14:textId="77777777" w:rsidR="001C56BD" w:rsidRPr="00F92667" w:rsidRDefault="001C56BD" w:rsidP="008A5C11">
            <w:pPr>
              <w:jc w:val="center"/>
              <w:rPr>
                <w:sz w:val="13"/>
                <w:szCs w:val="13"/>
              </w:rPr>
            </w:pPr>
            <w:r w:rsidRPr="00F92667">
              <w:rPr>
                <w:sz w:val="13"/>
                <w:szCs w:val="13"/>
              </w:rPr>
              <w:t>2023</w:t>
            </w:r>
          </w:p>
        </w:tc>
        <w:tc>
          <w:tcPr>
            <w:tcW w:w="34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8D5F9F" w14:textId="77777777" w:rsidR="001C56BD" w:rsidRPr="00F92667" w:rsidRDefault="001C56BD" w:rsidP="008A5C11">
            <w:pPr>
              <w:jc w:val="center"/>
              <w:rPr>
                <w:sz w:val="13"/>
                <w:szCs w:val="13"/>
              </w:rPr>
            </w:pPr>
            <w:r w:rsidRPr="00F92667">
              <w:rPr>
                <w:sz w:val="13"/>
                <w:szCs w:val="13"/>
              </w:rPr>
              <w:t>2024</w:t>
            </w:r>
          </w:p>
        </w:tc>
        <w:tc>
          <w:tcPr>
            <w:tcW w:w="41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09A5BD6" w14:textId="77777777" w:rsidR="001C56BD" w:rsidRPr="00F92667" w:rsidRDefault="001C56BD" w:rsidP="008A5C11">
            <w:pPr>
              <w:jc w:val="center"/>
              <w:rPr>
                <w:sz w:val="13"/>
                <w:szCs w:val="13"/>
              </w:rPr>
            </w:pPr>
            <w:r w:rsidRPr="00F92667">
              <w:rPr>
                <w:sz w:val="13"/>
                <w:szCs w:val="13"/>
              </w:rPr>
              <w:t>2025</w:t>
            </w:r>
          </w:p>
        </w:tc>
        <w:tc>
          <w:tcPr>
            <w:tcW w:w="43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CC1EAFE" w14:textId="77777777" w:rsidR="001C56BD" w:rsidRPr="00F92667" w:rsidRDefault="001C56BD" w:rsidP="008A5C11">
            <w:pPr>
              <w:jc w:val="center"/>
              <w:rPr>
                <w:sz w:val="13"/>
                <w:szCs w:val="13"/>
              </w:rPr>
            </w:pPr>
            <w:r w:rsidRPr="00F92667">
              <w:rPr>
                <w:sz w:val="13"/>
                <w:szCs w:val="13"/>
              </w:rPr>
              <w:t>2026</w:t>
            </w:r>
          </w:p>
        </w:tc>
        <w:tc>
          <w:tcPr>
            <w:tcW w:w="3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66112B4" w14:textId="77777777" w:rsidR="001C56BD" w:rsidRPr="00F92667" w:rsidRDefault="001C56BD" w:rsidP="008A5C11">
            <w:pPr>
              <w:jc w:val="center"/>
              <w:rPr>
                <w:sz w:val="13"/>
                <w:szCs w:val="13"/>
              </w:rPr>
            </w:pPr>
            <w:r w:rsidRPr="00F92667">
              <w:rPr>
                <w:sz w:val="13"/>
                <w:szCs w:val="13"/>
              </w:rPr>
              <w:t>2027</w:t>
            </w:r>
          </w:p>
        </w:tc>
        <w:tc>
          <w:tcPr>
            <w:tcW w:w="32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51743C1" w14:textId="77777777" w:rsidR="001C56BD" w:rsidRPr="00F92667" w:rsidRDefault="001C56BD" w:rsidP="008A5C11">
            <w:pPr>
              <w:jc w:val="center"/>
              <w:rPr>
                <w:sz w:val="13"/>
                <w:szCs w:val="13"/>
              </w:rPr>
            </w:pPr>
            <w:r w:rsidRPr="00F92667">
              <w:rPr>
                <w:sz w:val="13"/>
                <w:szCs w:val="13"/>
              </w:rPr>
              <w:t>2028</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88F1E14" w14:textId="77777777" w:rsidR="001C56BD" w:rsidRPr="00F92667" w:rsidRDefault="001C56BD" w:rsidP="008A5C11">
            <w:pPr>
              <w:jc w:val="center"/>
              <w:rPr>
                <w:sz w:val="13"/>
                <w:szCs w:val="13"/>
              </w:rPr>
            </w:pPr>
            <w:r w:rsidRPr="00F92667">
              <w:rPr>
                <w:sz w:val="13"/>
                <w:szCs w:val="13"/>
              </w:rPr>
              <w:t>2029</w:t>
            </w:r>
          </w:p>
        </w:tc>
        <w:tc>
          <w:tcPr>
            <w:tcW w:w="3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81AC60" w14:textId="77777777" w:rsidR="001C56BD" w:rsidRPr="00F92667" w:rsidRDefault="001C56BD" w:rsidP="008A5C11">
            <w:pPr>
              <w:jc w:val="center"/>
              <w:rPr>
                <w:sz w:val="13"/>
                <w:szCs w:val="13"/>
              </w:rPr>
            </w:pPr>
            <w:r w:rsidRPr="00F92667">
              <w:rPr>
                <w:sz w:val="13"/>
                <w:szCs w:val="13"/>
              </w:rPr>
              <w:t>2030</w:t>
            </w:r>
          </w:p>
        </w:tc>
        <w:tc>
          <w:tcPr>
            <w:tcW w:w="38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BEA0D0" w14:textId="77777777" w:rsidR="001C56BD" w:rsidRPr="00F92667" w:rsidRDefault="001C56BD" w:rsidP="008A5C11">
            <w:pPr>
              <w:jc w:val="center"/>
              <w:rPr>
                <w:sz w:val="13"/>
                <w:szCs w:val="13"/>
              </w:rPr>
            </w:pPr>
            <w:r w:rsidRPr="00F92667">
              <w:rPr>
                <w:sz w:val="13"/>
                <w:szCs w:val="13"/>
              </w:rPr>
              <w:t>2031</w:t>
            </w:r>
          </w:p>
        </w:tc>
        <w:tc>
          <w:tcPr>
            <w:tcW w:w="555" w:type="dxa"/>
            <w:vMerge/>
            <w:tcBorders>
              <w:left w:val="single" w:sz="4" w:space="0" w:color="auto"/>
              <w:bottom w:val="single" w:sz="4" w:space="0" w:color="auto"/>
              <w:right w:val="single" w:sz="4" w:space="0" w:color="auto"/>
            </w:tcBorders>
            <w:tcMar>
              <w:left w:w="28" w:type="dxa"/>
              <w:right w:w="28" w:type="dxa"/>
            </w:tcMar>
            <w:vAlign w:val="center"/>
            <w:hideMark/>
          </w:tcPr>
          <w:p w14:paraId="6E2C1F68" w14:textId="77777777" w:rsidR="001C56BD" w:rsidRPr="00F92667" w:rsidRDefault="001C56BD" w:rsidP="008A5C11">
            <w:pPr>
              <w:rPr>
                <w:sz w:val="13"/>
                <w:szCs w:val="13"/>
              </w:rPr>
            </w:pPr>
          </w:p>
        </w:tc>
        <w:tc>
          <w:tcPr>
            <w:tcW w:w="47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BDBC70" w14:textId="77777777" w:rsidR="001C56BD" w:rsidRPr="00F92667" w:rsidRDefault="001C56BD" w:rsidP="008A5C11">
            <w:pPr>
              <w:jc w:val="center"/>
              <w:rPr>
                <w:sz w:val="13"/>
                <w:szCs w:val="13"/>
              </w:rPr>
            </w:pPr>
            <w:r w:rsidRPr="00F92667">
              <w:rPr>
                <w:sz w:val="13"/>
                <w:szCs w:val="13"/>
              </w:rPr>
              <w:t>2022</w:t>
            </w:r>
          </w:p>
        </w:tc>
        <w:tc>
          <w:tcPr>
            <w:tcW w:w="47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2F2DEA4" w14:textId="77777777" w:rsidR="001C56BD" w:rsidRPr="00F92667" w:rsidRDefault="001C56BD" w:rsidP="008A5C11">
            <w:pPr>
              <w:jc w:val="center"/>
              <w:rPr>
                <w:sz w:val="13"/>
                <w:szCs w:val="13"/>
              </w:rPr>
            </w:pPr>
            <w:r w:rsidRPr="00F92667">
              <w:rPr>
                <w:sz w:val="13"/>
                <w:szCs w:val="13"/>
              </w:rPr>
              <w:t>2023</w:t>
            </w:r>
          </w:p>
        </w:tc>
        <w:tc>
          <w:tcPr>
            <w:tcW w:w="47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A541E22" w14:textId="77777777" w:rsidR="001C56BD" w:rsidRPr="00F92667" w:rsidRDefault="001C56BD" w:rsidP="008A5C11">
            <w:pPr>
              <w:jc w:val="center"/>
              <w:rPr>
                <w:sz w:val="13"/>
                <w:szCs w:val="13"/>
              </w:rPr>
            </w:pPr>
            <w:r w:rsidRPr="00F92667">
              <w:rPr>
                <w:sz w:val="13"/>
                <w:szCs w:val="13"/>
              </w:rPr>
              <w:t>2024</w:t>
            </w:r>
          </w:p>
        </w:tc>
        <w:tc>
          <w:tcPr>
            <w:tcW w:w="36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814CF0D" w14:textId="77777777" w:rsidR="001C56BD" w:rsidRPr="00F92667" w:rsidRDefault="001C56BD" w:rsidP="008A5C11">
            <w:pPr>
              <w:jc w:val="center"/>
              <w:rPr>
                <w:sz w:val="13"/>
                <w:szCs w:val="13"/>
              </w:rPr>
            </w:pPr>
            <w:r w:rsidRPr="00F92667">
              <w:rPr>
                <w:sz w:val="13"/>
                <w:szCs w:val="13"/>
              </w:rPr>
              <w:t>2025</w:t>
            </w:r>
          </w:p>
        </w:tc>
        <w:tc>
          <w:tcPr>
            <w:tcW w:w="4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57F140" w14:textId="77777777" w:rsidR="001C56BD" w:rsidRPr="00F92667" w:rsidRDefault="001C56BD" w:rsidP="008A5C11">
            <w:pPr>
              <w:jc w:val="center"/>
              <w:rPr>
                <w:sz w:val="13"/>
                <w:szCs w:val="13"/>
              </w:rPr>
            </w:pPr>
            <w:r w:rsidRPr="00F92667">
              <w:rPr>
                <w:sz w:val="13"/>
                <w:szCs w:val="13"/>
              </w:rPr>
              <w:t>2026</w:t>
            </w:r>
          </w:p>
        </w:tc>
        <w:tc>
          <w:tcPr>
            <w:tcW w:w="3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5CF01AF" w14:textId="77777777" w:rsidR="001C56BD" w:rsidRPr="00F92667" w:rsidRDefault="001C56BD" w:rsidP="008A5C11">
            <w:pPr>
              <w:jc w:val="center"/>
              <w:rPr>
                <w:sz w:val="13"/>
                <w:szCs w:val="13"/>
              </w:rPr>
            </w:pPr>
            <w:r w:rsidRPr="00F92667">
              <w:rPr>
                <w:sz w:val="13"/>
                <w:szCs w:val="13"/>
              </w:rPr>
              <w:t>2027</w:t>
            </w:r>
          </w:p>
        </w:tc>
        <w:tc>
          <w:tcPr>
            <w:tcW w:w="45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18083D2" w14:textId="77777777" w:rsidR="001C56BD" w:rsidRPr="00F92667" w:rsidRDefault="001C56BD" w:rsidP="008A5C11">
            <w:pPr>
              <w:jc w:val="center"/>
              <w:rPr>
                <w:sz w:val="13"/>
                <w:szCs w:val="13"/>
              </w:rPr>
            </w:pPr>
            <w:r w:rsidRPr="00F92667">
              <w:rPr>
                <w:sz w:val="13"/>
                <w:szCs w:val="13"/>
              </w:rPr>
              <w:t>2028</w:t>
            </w:r>
          </w:p>
        </w:tc>
        <w:tc>
          <w:tcPr>
            <w:tcW w:w="4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4DE2AF" w14:textId="77777777" w:rsidR="001C56BD" w:rsidRPr="00F92667" w:rsidRDefault="001C56BD" w:rsidP="008A5C11">
            <w:pPr>
              <w:jc w:val="center"/>
              <w:rPr>
                <w:sz w:val="13"/>
                <w:szCs w:val="13"/>
              </w:rPr>
            </w:pPr>
            <w:r w:rsidRPr="00F92667">
              <w:rPr>
                <w:sz w:val="13"/>
                <w:szCs w:val="13"/>
              </w:rPr>
              <w:t>2029</w:t>
            </w:r>
          </w:p>
        </w:tc>
        <w:tc>
          <w:tcPr>
            <w:tcW w:w="47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8FE33C9" w14:textId="77777777" w:rsidR="001C56BD" w:rsidRPr="00F92667" w:rsidRDefault="001C56BD" w:rsidP="008A5C11">
            <w:pPr>
              <w:jc w:val="center"/>
              <w:rPr>
                <w:sz w:val="13"/>
                <w:szCs w:val="13"/>
              </w:rPr>
            </w:pPr>
            <w:r w:rsidRPr="00F92667">
              <w:rPr>
                <w:sz w:val="13"/>
                <w:szCs w:val="13"/>
              </w:rPr>
              <w:t>2030</w:t>
            </w:r>
          </w:p>
        </w:tc>
        <w:tc>
          <w:tcPr>
            <w:tcW w:w="43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156230" w14:textId="77777777" w:rsidR="001C56BD" w:rsidRPr="00F92667" w:rsidRDefault="001C56BD" w:rsidP="008A5C11">
            <w:pPr>
              <w:jc w:val="center"/>
              <w:rPr>
                <w:sz w:val="13"/>
                <w:szCs w:val="13"/>
              </w:rPr>
            </w:pPr>
            <w:r w:rsidRPr="00F92667">
              <w:rPr>
                <w:sz w:val="13"/>
                <w:szCs w:val="13"/>
              </w:rPr>
              <w:t>2031</w:t>
            </w:r>
          </w:p>
        </w:tc>
        <w:tc>
          <w:tcPr>
            <w:tcW w:w="567" w:type="dxa"/>
            <w:vMerge/>
            <w:tcBorders>
              <w:left w:val="single" w:sz="4" w:space="0" w:color="auto"/>
              <w:bottom w:val="single" w:sz="4" w:space="0" w:color="auto"/>
              <w:right w:val="single" w:sz="4" w:space="0" w:color="auto"/>
            </w:tcBorders>
            <w:tcMar>
              <w:left w:w="28" w:type="dxa"/>
              <w:right w:w="28" w:type="dxa"/>
            </w:tcMar>
            <w:vAlign w:val="center"/>
            <w:hideMark/>
          </w:tcPr>
          <w:p w14:paraId="3E649FCF" w14:textId="77777777" w:rsidR="001C56BD" w:rsidRPr="00F92667" w:rsidRDefault="001C56BD" w:rsidP="008A5C11">
            <w:pPr>
              <w:rPr>
                <w:sz w:val="13"/>
                <w:szCs w:val="13"/>
              </w:rPr>
            </w:pP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5538FE8" w14:textId="77777777" w:rsidR="001C56BD" w:rsidRPr="00F92667" w:rsidRDefault="001C56BD" w:rsidP="008A5C11">
            <w:pPr>
              <w:jc w:val="center"/>
              <w:rPr>
                <w:sz w:val="13"/>
                <w:szCs w:val="13"/>
              </w:rPr>
            </w:pPr>
            <w:r w:rsidRPr="00F92667">
              <w:rPr>
                <w:sz w:val="13"/>
                <w:szCs w:val="13"/>
              </w:rPr>
              <w:t>2022</w:t>
            </w:r>
          </w:p>
        </w:tc>
        <w:tc>
          <w:tcPr>
            <w:tcW w:w="44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C48A9A" w14:textId="77777777" w:rsidR="001C56BD" w:rsidRPr="00F92667" w:rsidRDefault="001C56BD" w:rsidP="008A5C11">
            <w:pPr>
              <w:jc w:val="center"/>
              <w:rPr>
                <w:sz w:val="13"/>
                <w:szCs w:val="13"/>
              </w:rPr>
            </w:pPr>
            <w:r w:rsidRPr="00F92667">
              <w:rPr>
                <w:sz w:val="13"/>
                <w:szCs w:val="13"/>
              </w:rPr>
              <w:t>2023</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C060F2F" w14:textId="77777777" w:rsidR="001C56BD" w:rsidRPr="00F92667" w:rsidRDefault="001C56BD" w:rsidP="008A5C11">
            <w:pPr>
              <w:jc w:val="center"/>
              <w:rPr>
                <w:sz w:val="13"/>
                <w:szCs w:val="13"/>
              </w:rPr>
            </w:pPr>
            <w:r w:rsidRPr="00F92667">
              <w:rPr>
                <w:sz w:val="13"/>
                <w:szCs w:val="13"/>
              </w:rPr>
              <w:t>2024</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F8164BA" w14:textId="77777777" w:rsidR="001C56BD" w:rsidRPr="00F92667" w:rsidRDefault="001C56BD" w:rsidP="008A5C11">
            <w:pPr>
              <w:jc w:val="center"/>
              <w:rPr>
                <w:sz w:val="13"/>
                <w:szCs w:val="13"/>
              </w:rPr>
            </w:pPr>
            <w:r w:rsidRPr="00F92667">
              <w:rPr>
                <w:sz w:val="13"/>
                <w:szCs w:val="13"/>
              </w:rPr>
              <w:t>2025</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020791" w14:textId="77777777" w:rsidR="001C56BD" w:rsidRPr="00F92667" w:rsidRDefault="001C56BD" w:rsidP="008A5C11">
            <w:pPr>
              <w:jc w:val="center"/>
              <w:rPr>
                <w:sz w:val="13"/>
                <w:szCs w:val="13"/>
              </w:rPr>
            </w:pPr>
            <w:r w:rsidRPr="00F92667">
              <w:rPr>
                <w:sz w:val="13"/>
                <w:szCs w:val="13"/>
              </w:rPr>
              <w:t>2026</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2E910E7" w14:textId="77777777" w:rsidR="001C56BD" w:rsidRPr="00F92667" w:rsidRDefault="001C56BD" w:rsidP="008A5C11">
            <w:pPr>
              <w:jc w:val="center"/>
              <w:rPr>
                <w:sz w:val="13"/>
                <w:szCs w:val="13"/>
              </w:rPr>
            </w:pPr>
            <w:r w:rsidRPr="00F92667">
              <w:rPr>
                <w:sz w:val="13"/>
                <w:szCs w:val="13"/>
              </w:rPr>
              <w:t>2027</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3A55D8" w14:textId="77777777" w:rsidR="001C56BD" w:rsidRPr="00F92667" w:rsidRDefault="001C56BD" w:rsidP="008A5C11">
            <w:pPr>
              <w:jc w:val="center"/>
              <w:rPr>
                <w:sz w:val="13"/>
                <w:szCs w:val="13"/>
              </w:rPr>
            </w:pPr>
            <w:r w:rsidRPr="00F92667">
              <w:rPr>
                <w:sz w:val="13"/>
                <w:szCs w:val="13"/>
              </w:rPr>
              <w:t>2028</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2FC16D6" w14:textId="77777777" w:rsidR="001C56BD" w:rsidRPr="00F92667" w:rsidRDefault="001C56BD" w:rsidP="008A5C11">
            <w:pPr>
              <w:jc w:val="center"/>
              <w:rPr>
                <w:sz w:val="13"/>
                <w:szCs w:val="13"/>
              </w:rPr>
            </w:pPr>
            <w:r w:rsidRPr="00F92667">
              <w:rPr>
                <w:sz w:val="13"/>
                <w:szCs w:val="13"/>
              </w:rPr>
              <w:t>2029</w:t>
            </w:r>
          </w:p>
        </w:tc>
        <w:tc>
          <w:tcPr>
            <w:tcW w:w="35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C04E1A4" w14:textId="77777777" w:rsidR="001C56BD" w:rsidRPr="00F92667" w:rsidRDefault="001C56BD" w:rsidP="008A5C11">
            <w:pPr>
              <w:jc w:val="center"/>
              <w:rPr>
                <w:sz w:val="13"/>
                <w:szCs w:val="13"/>
              </w:rPr>
            </w:pPr>
            <w:r w:rsidRPr="00F92667">
              <w:rPr>
                <w:sz w:val="13"/>
                <w:szCs w:val="13"/>
              </w:rPr>
              <w:t>2030</w:t>
            </w:r>
          </w:p>
        </w:tc>
        <w:tc>
          <w:tcPr>
            <w:tcW w:w="354" w:type="dxa"/>
            <w:tcBorders>
              <w:top w:val="nil"/>
              <w:left w:val="nil"/>
              <w:bottom w:val="nil"/>
              <w:right w:val="single" w:sz="4" w:space="0" w:color="auto"/>
            </w:tcBorders>
            <w:shd w:val="clear" w:color="auto" w:fill="auto"/>
            <w:tcMar>
              <w:left w:w="28" w:type="dxa"/>
              <w:right w:w="28" w:type="dxa"/>
            </w:tcMar>
            <w:vAlign w:val="center"/>
            <w:hideMark/>
          </w:tcPr>
          <w:p w14:paraId="32511883" w14:textId="77777777" w:rsidR="001C56BD" w:rsidRPr="00F92667" w:rsidRDefault="001C56BD" w:rsidP="008A5C11">
            <w:pPr>
              <w:jc w:val="center"/>
              <w:rPr>
                <w:sz w:val="13"/>
                <w:szCs w:val="13"/>
              </w:rPr>
            </w:pPr>
            <w:r w:rsidRPr="00F92667">
              <w:rPr>
                <w:sz w:val="13"/>
                <w:szCs w:val="13"/>
              </w:rPr>
              <w:t>2031</w:t>
            </w:r>
          </w:p>
        </w:tc>
      </w:tr>
      <w:tr w:rsidR="001C56BD" w:rsidRPr="00F92667" w14:paraId="15C5A7E6" w14:textId="77777777" w:rsidTr="008A5C11">
        <w:trPr>
          <w:gridAfter w:val="1"/>
          <w:wAfter w:w="7" w:type="dxa"/>
          <w:trHeight w:val="300"/>
        </w:trPr>
        <w:tc>
          <w:tcPr>
            <w:tcW w:w="101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14:paraId="0CF7FE05" w14:textId="77777777" w:rsidR="001C56BD" w:rsidRPr="00F92667" w:rsidRDefault="001C56BD" w:rsidP="008A5C11">
            <w:pPr>
              <w:jc w:val="center"/>
              <w:rPr>
                <w:sz w:val="13"/>
                <w:szCs w:val="13"/>
              </w:rPr>
            </w:pPr>
            <w:r w:rsidRPr="00F92667">
              <w:rPr>
                <w:sz w:val="13"/>
                <w:szCs w:val="13"/>
              </w:rPr>
              <w:t>1</w:t>
            </w:r>
          </w:p>
        </w:tc>
        <w:tc>
          <w:tcPr>
            <w:tcW w:w="566" w:type="dxa"/>
            <w:tcBorders>
              <w:top w:val="nil"/>
              <w:left w:val="single" w:sz="4" w:space="0" w:color="auto"/>
              <w:bottom w:val="single" w:sz="4" w:space="0" w:color="auto"/>
              <w:right w:val="single" w:sz="4" w:space="0" w:color="auto"/>
            </w:tcBorders>
            <w:shd w:val="clear" w:color="auto" w:fill="auto"/>
            <w:tcMar>
              <w:left w:w="28" w:type="dxa"/>
              <w:right w:w="28" w:type="dxa"/>
            </w:tcMar>
            <w:hideMark/>
          </w:tcPr>
          <w:p w14:paraId="20D8C762" w14:textId="77777777" w:rsidR="001C56BD" w:rsidRPr="00F92667" w:rsidRDefault="001C56BD" w:rsidP="008A5C11">
            <w:pPr>
              <w:jc w:val="center"/>
              <w:rPr>
                <w:sz w:val="13"/>
                <w:szCs w:val="13"/>
              </w:rPr>
            </w:pPr>
            <w:r w:rsidRPr="00F92667">
              <w:rPr>
                <w:sz w:val="13"/>
                <w:szCs w:val="13"/>
              </w:rPr>
              <w:t>24</w:t>
            </w:r>
          </w:p>
        </w:tc>
        <w:tc>
          <w:tcPr>
            <w:tcW w:w="408" w:type="dxa"/>
            <w:tcBorders>
              <w:top w:val="nil"/>
              <w:left w:val="nil"/>
              <w:bottom w:val="single" w:sz="4" w:space="0" w:color="auto"/>
              <w:right w:val="single" w:sz="4" w:space="0" w:color="auto"/>
            </w:tcBorders>
            <w:shd w:val="clear" w:color="auto" w:fill="auto"/>
            <w:tcMar>
              <w:left w:w="28" w:type="dxa"/>
              <w:right w:w="28" w:type="dxa"/>
            </w:tcMar>
            <w:hideMark/>
          </w:tcPr>
          <w:p w14:paraId="3765AB9B" w14:textId="77777777" w:rsidR="001C56BD" w:rsidRPr="00F92667" w:rsidRDefault="001C56BD" w:rsidP="008A5C11">
            <w:pPr>
              <w:jc w:val="center"/>
              <w:rPr>
                <w:sz w:val="13"/>
                <w:szCs w:val="13"/>
              </w:rPr>
            </w:pPr>
            <w:r w:rsidRPr="00F92667">
              <w:rPr>
                <w:sz w:val="13"/>
                <w:szCs w:val="13"/>
              </w:rPr>
              <w:t>25</w:t>
            </w:r>
          </w:p>
        </w:tc>
        <w:tc>
          <w:tcPr>
            <w:tcW w:w="362" w:type="dxa"/>
            <w:tcBorders>
              <w:top w:val="nil"/>
              <w:left w:val="nil"/>
              <w:bottom w:val="single" w:sz="4" w:space="0" w:color="auto"/>
              <w:right w:val="single" w:sz="4" w:space="0" w:color="auto"/>
            </w:tcBorders>
            <w:shd w:val="clear" w:color="auto" w:fill="auto"/>
            <w:tcMar>
              <w:left w:w="28" w:type="dxa"/>
              <w:right w:w="28" w:type="dxa"/>
            </w:tcMar>
            <w:hideMark/>
          </w:tcPr>
          <w:p w14:paraId="52752B34" w14:textId="77777777" w:rsidR="001C56BD" w:rsidRPr="00F92667" w:rsidRDefault="001C56BD" w:rsidP="008A5C11">
            <w:pPr>
              <w:jc w:val="center"/>
              <w:rPr>
                <w:sz w:val="13"/>
                <w:szCs w:val="13"/>
              </w:rPr>
            </w:pPr>
            <w:r w:rsidRPr="00F92667">
              <w:rPr>
                <w:sz w:val="13"/>
                <w:szCs w:val="13"/>
              </w:rPr>
              <w:t>26</w:t>
            </w:r>
          </w:p>
        </w:tc>
        <w:tc>
          <w:tcPr>
            <w:tcW w:w="347" w:type="dxa"/>
            <w:tcBorders>
              <w:top w:val="nil"/>
              <w:left w:val="nil"/>
              <w:bottom w:val="single" w:sz="4" w:space="0" w:color="auto"/>
              <w:right w:val="single" w:sz="4" w:space="0" w:color="auto"/>
            </w:tcBorders>
            <w:shd w:val="clear" w:color="auto" w:fill="auto"/>
            <w:tcMar>
              <w:left w:w="28" w:type="dxa"/>
              <w:right w:w="28" w:type="dxa"/>
            </w:tcMar>
            <w:hideMark/>
          </w:tcPr>
          <w:p w14:paraId="7407582F" w14:textId="77777777" w:rsidR="001C56BD" w:rsidRPr="00F92667" w:rsidRDefault="001C56BD" w:rsidP="008A5C11">
            <w:pPr>
              <w:jc w:val="center"/>
              <w:rPr>
                <w:sz w:val="13"/>
                <w:szCs w:val="13"/>
              </w:rPr>
            </w:pPr>
            <w:r w:rsidRPr="00F92667">
              <w:rPr>
                <w:sz w:val="13"/>
                <w:szCs w:val="13"/>
              </w:rPr>
              <w:t>27</w:t>
            </w:r>
          </w:p>
        </w:tc>
        <w:tc>
          <w:tcPr>
            <w:tcW w:w="415" w:type="dxa"/>
            <w:tcBorders>
              <w:top w:val="nil"/>
              <w:left w:val="nil"/>
              <w:bottom w:val="single" w:sz="4" w:space="0" w:color="auto"/>
              <w:right w:val="single" w:sz="4" w:space="0" w:color="auto"/>
            </w:tcBorders>
            <w:shd w:val="clear" w:color="auto" w:fill="auto"/>
            <w:tcMar>
              <w:left w:w="28" w:type="dxa"/>
              <w:right w:w="28" w:type="dxa"/>
            </w:tcMar>
            <w:hideMark/>
          </w:tcPr>
          <w:p w14:paraId="58CEEB4C" w14:textId="77777777" w:rsidR="001C56BD" w:rsidRPr="00F92667" w:rsidRDefault="001C56BD" w:rsidP="008A5C11">
            <w:pPr>
              <w:jc w:val="center"/>
              <w:rPr>
                <w:sz w:val="13"/>
                <w:szCs w:val="13"/>
              </w:rPr>
            </w:pPr>
            <w:r w:rsidRPr="00F92667">
              <w:rPr>
                <w:sz w:val="13"/>
                <w:szCs w:val="13"/>
              </w:rPr>
              <w:t>28</w:t>
            </w:r>
          </w:p>
        </w:tc>
        <w:tc>
          <w:tcPr>
            <w:tcW w:w="436" w:type="dxa"/>
            <w:tcBorders>
              <w:top w:val="nil"/>
              <w:left w:val="nil"/>
              <w:bottom w:val="single" w:sz="4" w:space="0" w:color="auto"/>
              <w:right w:val="single" w:sz="4" w:space="0" w:color="auto"/>
            </w:tcBorders>
            <w:shd w:val="clear" w:color="auto" w:fill="auto"/>
            <w:tcMar>
              <w:left w:w="28" w:type="dxa"/>
              <w:right w:w="28" w:type="dxa"/>
            </w:tcMar>
            <w:hideMark/>
          </w:tcPr>
          <w:p w14:paraId="1525B5ED" w14:textId="77777777" w:rsidR="001C56BD" w:rsidRPr="00F92667" w:rsidRDefault="001C56BD" w:rsidP="008A5C11">
            <w:pPr>
              <w:jc w:val="center"/>
              <w:rPr>
                <w:sz w:val="13"/>
                <w:szCs w:val="13"/>
              </w:rPr>
            </w:pPr>
            <w:r w:rsidRPr="00F92667">
              <w:rPr>
                <w:sz w:val="13"/>
                <w:szCs w:val="13"/>
              </w:rPr>
              <w:t>29</w:t>
            </w:r>
          </w:p>
        </w:tc>
        <w:tc>
          <w:tcPr>
            <w:tcW w:w="380" w:type="dxa"/>
            <w:tcBorders>
              <w:top w:val="nil"/>
              <w:left w:val="nil"/>
              <w:bottom w:val="single" w:sz="4" w:space="0" w:color="auto"/>
              <w:right w:val="single" w:sz="4" w:space="0" w:color="auto"/>
            </w:tcBorders>
            <w:shd w:val="clear" w:color="auto" w:fill="auto"/>
            <w:tcMar>
              <w:left w:w="28" w:type="dxa"/>
              <w:right w:w="28" w:type="dxa"/>
            </w:tcMar>
            <w:hideMark/>
          </w:tcPr>
          <w:p w14:paraId="62C10D7A" w14:textId="77777777" w:rsidR="001C56BD" w:rsidRPr="00F92667" w:rsidRDefault="001C56BD" w:rsidP="008A5C11">
            <w:pPr>
              <w:jc w:val="center"/>
              <w:rPr>
                <w:sz w:val="13"/>
                <w:szCs w:val="13"/>
              </w:rPr>
            </w:pPr>
            <w:r w:rsidRPr="00F92667">
              <w:rPr>
                <w:sz w:val="13"/>
                <w:szCs w:val="13"/>
              </w:rPr>
              <w:t>30</w:t>
            </w:r>
          </w:p>
        </w:tc>
        <w:tc>
          <w:tcPr>
            <w:tcW w:w="328" w:type="dxa"/>
            <w:tcBorders>
              <w:top w:val="nil"/>
              <w:left w:val="nil"/>
              <w:bottom w:val="single" w:sz="4" w:space="0" w:color="auto"/>
              <w:right w:val="single" w:sz="4" w:space="0" w:color="auto"/>
            </w:tcBorders>
            <w:shd w:val="clear" w:color="auto" w:fill="auto"/>
            <w:tcMar>
              <w:left w:w="28" w:type="dxa"/>
              <w:right w:w="28" w:type="dxa"/>
            </w:tcMar>
            <w:hideMark/>
          </w:tcPr>
          <w:p w14:paraId="232EECFF" w14:textId="77777777" w:rsidR="001C56BD" w:rsidRPr="00F92667" w:rsidRDefault="001C56BD" w:rsidP="008A5C11">
            <w:pPr>
              <w:jc w:val="center"/>
              <w:rPr>
                <w:sz w:val="13"/>
                <w:szCs w:val="13"/>
              </w:rPr>
            </w:pPr>
            <w:r w:rsidRPr="00F92667">
              <w:rPr>
                <w:sz w:val="13"/>
                <w:szCs w:val="13"/>
              </w:rPr>
              <w:t>31</w:t>
            </w:r>
          </w:p>
        </w:tc>
        <w:tc>
          <w:tcPr>
            <w:tcW w:w="426" w:type="dxa"/>
            <w:tcBorders>
              <w:top w:val="nil"/>
              <w:left w:val="nil"/>
              <w:bottom w:val="single" w:sz="4" w:space="0" w:color="auto"/>
              <w:right w:val="single" w:sz="4" w:space="0" w:color="auto"/>
            </w:tcBorders>
            <w:shd w:val="clear" w:color="auto" w:fill="auto"/>
            <w:tcMar>
              <w:left w:w="28" w:type="dxa"/>
              <w:right w:w="28" w:type="dxa"/>
            </w:tcMar>
            <w:hideMark/>
          </w:tcPr>
          <w:p w14:paraId="5A46A6C9" w14:textId="77777777" w:rsidR="001C56BD" w:rsidRPr="00F92667" w:rsidRDefault="001C56BD" w:rsidP="008A5C11">
            <w:pPr>
              <w:jc w:val="center"/>
              <w:rPr>
                <w:sz w:val="13"/>
                <w:szCs w:val="13"/>
              </w:rPr>
            </w:pPr>
            <w:r w:rsidRPr="00F92667">
              <w:rPr>
                <w:sz w:val="13"/>
                <w:szCs w:val="13"/>
              </w:rPr>
              <w:t>32</w:t>
            </w:r>
          </w:p>
        </w:tc>
        <w:tc>
          <w:tcPr>
            <w:tcW w:w="325" w:type="dxa"/>
            <w:tcBorders>
              <w:top w:val="nil"/>
              <w:left w:val="nil"/>
              <w:bottom w:val="single" w:sz="4" w:space="0" w:color="auto"/>
              <w:right w:val="single" w:sz="4" w:space="0" w:color="auto"/>
            </w:tcBorders>
            <w:shd w:val="clear" w:color="auto" w:fill="auto"/>
            <w:tcMar>
              <w:left w:w="28" w:type="dxa"/>
              <w:right w:w="28" w:type="dxa"/>
            </w:tcMar>
            <w:hideMark/>
          </w:tcPr>
          <w:p w14:paraId="6379570B" w14:textId="77777777" w:rsidR="001C56BD" w:rsidRPr="00F92667" w:rsidRDefault="001C56BD" w:rsidP="008A5C11">
            <w:pPr>
              <w:jc w:val="center"/>
              <w:rPr>
                <w:sz w:val="13"/>
                <w:szCs w:val="13"/>
              </w:rPr>
            </w:pPr>
            <w:r w:rsidRPr="00F92667">
              <w:rPr>
                <w:sz w:val="13"/>
                <w:szCs w:val="13"/>
              </w:rPr>
              <w:t>33</w:t>
            </w:r>
          </w:p>
        </w:tc>
        <w:tc>
          <w:tcPr>
            <w:tcW w:w="383" w:type="dxa"/>
            <w:tcBorders>
              <w:top w:val="nil"/>
              <w:left w:val="nil"/>
              <w:bottom w:val="single" w:sz="4" w:space="0" w:color="auto"/>
              <w:right w:val="single" w:sz="4" w:space="0" w:color="auto"/>
            </w:tcBorders>
            <w:shd w:val="clear" w:color="auto" w:fill="auto"/>
            <w:tcMar>
              <w:left w:w="28" w:type="dxa"/>
              <w:right w:w="28" w:type="dxa"/>
            </w:tcMar>
            <w:hideMark/>
          </w:tcPr>
          <w:p w14:paraId="410D1BA9" w14:textId="77777777" w:rsidR="001C56BD" w:rsidRPr="00F92667" w:rsidRDefault="001C56BD" w:rsidP="008A5C11">
            <w:pPr>
              <w:jc w:val="center"/>
              <w:rPr>
                <w:sz w:val="13"/>
                <w:szCs w:val="13"/>
              </w:rPr>
            </w:pPr>
            <w:r w:rsidRPr="00F92667">
              <w:rPr>
                <w:sz w:val="13"/>
                <w:szCs w:val="13"/>
              </w:rPr>
              <w:t>34</w:t>
            </w:r>
          </w:p>
        </w:tc>
        <w:tc>
          <w:tcPr>
            <w:tcW w:w="555" w:type="dxa"/>
            <w:tcBorders>
              <w:top w:val="nil"/>
              <w:left w:val="nil"/>
              <w:bottom w:val="single" w:sz="4" w:space="0" w:color="auto"/>
              <w:right w:val="single" w:sz="4" w:space="0" w:color="auto"/>
            </w:tcBorders>
            <w:shd w:val="clear" w:color="auto" w:fill="auto"/>
            <w:tcMar>
              <w:left w:w="28" w:type="dxa"/>
              <w:right w:w="28" w:type="dxa"/>
            </w:tcMar>
            <w:hideMark/>
          </w:tcPr>
          <w:p w14:paraId="2EEAF3FE" w14:textId="77777777" w:rsidR="001C56BD" w:rsidRPr="00F92667" w:rsidRDefault="001C56BD" w:rsidP="008A5C11">
            <w:pPr>
              <w:jc w:val="center"/>
              <w:rPr>
                <w:sz w:val="13"/>
                <w:szCs w:val="13"/>
              </w:rPr>
            </w:pPr>
            <w:r w:rsidRPr="00F92667">
              <w:rPr>
                <w:sz w:val="13"/>
                <w:szCs w:val="13"/>
              </w:rPr>
              <w:t>37</w:t>
            </w:r>
          </w:p>
        </w:tc>
        <w:tc>
          <w:tcPr>
            <w:tcW w:w="475" w:type="dxa"/>
            <w:tcBorders>
              <w:top w:val="nil"/>
              <w:left w:val="nil"/>
              <w:bottom w:val="single" w:sz="4" w:space="0" w:color="auto"/>
              <w:right w:val="single" w:sz="4" w:space="0" w:color="auto"/>
            </w:tcBorders>
            <w:shd w:val="clear" w:color="auto" w:fill="auto"/>
            <w:tcMar>
              <w:left w:w="28" w:type="dxa"/>
              <w:right w:w="28" w:type="dxa"/>
            </w:tcMar>
            <w:hideMark/>
          </w:tcPr>
          <w:p w14:paraId="069F29B3" w14:textId="77777777" w:rsidR="001C56BD" w:rsidRPr="00F92667" w:rsidRDefault="001C56BD" w:rsidP="008A5C11">
            <w:pPr>
              <w:jc w:val="center"/>
              <w:rPr>
                <w:sz w:val="13"/>
                <w:szCs w:val="13"/>
              </w:rPr>
            </w:pPr>
            <w:r w:rsidRPr="00F92667">
              <w:rPr>
                <w:sz w:val="13"/>
                <w:szCs w:val="13"/>
              </w:rPr>
              <w:t>38</w:t>
            </w:r>
          </w:p>
        </w:tc>
        <w:tc>
          <w:tcPr>
            <w:tcW w:w="473" w:type="dxa"/>
            <w:tcBorders>
              <w:top w:val="nil"/>
              <w:left w:val="nil"/>
              <w:bottom w:val="single" w:sz="4" w:space="0" w:color="auto"/>
              <w:right w:val="single" w:sz="4" w:space="0" w:color="auto"/>
            </w:tcBorders>
            <w:shd w:val="clear" w:color="auto" w:fill="auto"/>
            <w:tcMar>
              <w:left w:w="28" w:type="dxa"/>
              <w:right w:w="28" w:type="dxa"/>
            </w:tcMar>
            <w:hideMark/>
          </w:tcPr>
          <w:p w14:paraId="230F6403" w14:textId="77777777" w:rsidR="001C56BD" w:rsidRPr="00F92667" w:rsidRDefault="001C56BD" w:rsidP="008A5C11">
            <w:pPr>
              <w:jc w:val="center"/>
              <w:rPr>
                <w:sz w:val="13"/>
                <w:szCs w:val="13"/>
              </w:rPr>
            </w:pPr>
            <w:r w:rsidRPr="00F92667">
              <w:rPr>
                <w:sz w:val="13"/>
                <w:szCs w:val="13"/>
              </w:rPr>
              <w:t>39</w:t>
            </w:r>
          </w:p>
        </w:tc>
        <w:tc>
          <w:tcPr>
            <w:tcW w:w="473" w:type="dxa"/>
            <w:tcBorders>
              <w:top w:val="nil"/>
              <w:left w:val="nil"/>
              <w:bottom w:val="single" w:sz="4" w:space="0" w:color="auto"/>
              <w:right w:val="single" w:sz="4" w:space="0" w:color="auto"/>
            </w:tcBorders>
            <w:shd w:val="clear" w:color="auto" w:fill="auto"/>
            <w:tcMar>
              <w:left w:w="28" w:type="dxa"/>
              <w:right w:w="28" w:type="dxa"/>
            </w:tcMar>
            <w:hideMark/>
          </w:tcPr>
          <w:p w14:paraId="207C9278" w14:textId="77777777" w:rsidR="001C56BD" w:rsidRPr="00F92667" w:rsidRDefault="001C56BD" w:rsidP="008A5C11">
            <w:pPr>
              <w:jc w:val="center"/>
              <w:rPr>
                <w:sz w:val="13"/>
                <w:szCs w:val="13"/>
              </w:rPr>
            </w:pPr>
            <w:r w:rsidRPr="00F92667">
              <w:rPr>
                <w:sz w:val="13"/>
                <w:szCs w:val="13"/>
              </w:rPr>
              <w:t>40</w:t>
            </w:r>
          </w:p>
        </w:tc>
        <w:tc>
          <w:tcPr>
            <w:tcW w:w="361" w:type="dxa"/>
            <w:tcBorders>
              <w:top w:val="nil"/>
              <w:left w:val="nil"/>
              <w:bottom w:val="single" w:sz="4" w:space="0" w:color="auto"/>
              <w:right w:val="single" w:sz="4" w:space="0" w:color="auto"/>
            </w:tcBorders>
            <w:shd w:val="clear" w:color="auto" w:fill="auto"/>
            <w:tcMar>
              <w:left w:w="28" w:type="dxa"/>
              <w:right w:w="28" w:type="dxa"/>
            </w:tcMar>
            <w:hideMark/>
          </w:tcPr>
          <w:p w14:paraId="660BD517" w14:textId="77777777" w:rsidR="001C56BD" w:rsidRPr="00F92667" w:rsidRDefault="001C56BD" w:rsidP="008A5C11">
            <w:pPr>
              <w:jc w:val="center"/>
              <w:rPr>
                <w:sz w:val="13"/>
                <w:szCs w:val="13"/>
              </w:rPr>
            </w:pPr>
            <w:r w:rsidRPr="00F92667">
              <w:rPr>
                <w:sz w:val="13"/>
                <w:szCs w:val="13"/>
              </w:rPr>
              <w:t>41</w:t>
            </w:r>
          </w:p>
        </w:tc>
        <w:tc>
          <w:tcPr>
            <w:tcW w:w="408" w:type="dxa"/>
            <w:tcBorders>
              <w:top w:val="nil"/>
              <w:left w:val="nil"/>
              <w:bottom w:val="single" w:sz="4" w:space="0" w:color="auto"/>
              <w:right w:val="single" w:sz="4" w:space="0" w:color="auto"/>
            </w:tcBorders>
            <w:shd w:val="clear" w:color="auto" w:fill="auto"/>
            <w:tcMar>
              <w:left w:w="28" w:type="dxa"/>
              <w:right w:w="28" w:type="dxa"/>
            </w:tcMar>
            <w:hideMark/>
          </w:tcPr>
          <w:p w14:paraId="6EFAC8D7" w14:textId="77777777" w:rsidR="001C56BD" w:rsidRPr="00F92667" w:rsidRDefault="001C56BD" w:rsidP="008A5C11">
            <w:pPr>
              <w:jc w:val="center"/>
              <w:rPr>
                <w:sz w:val="13"/>
                <w:szCs w:val="13"/>
              </w:rPr>
            </w:pPr>
            <w:r w:rsidRPr="00F92667">
              <w:rPr>
                <w:sz w:val="13"/>
                <w:szCs w:val="13"/>
              </w:rPr>
              <w:t>42</w:t>
            </w:r>
          </w:p>
        </w:tc>
        <w:tc>
          <w:tcPr>
            <w:tcW w:w="360" w:type="dxa"/>
            <w:tcBorders>
              <w:top w:val="nil"/>
              <w:left w:val="nil"/>
              <w:bottom w:val="single" w:sz="4" w:space="0" w:color="auto"/>
              <w:right w:val="single" w:sz="4" w:space="0" w:color="auto"/>
            </w:tcBorders>
            <w:shd w:val="clear" w:color="auto" w:fill="auto"/>
            <w:tcMar>
              <w:left w:w="28" w:type="dxa"/>
              <w:right w:w="28" w:type="dxa"/>
            </w:tcMar>
            <w:hideMark/>
          </w:tcPr>
          <w:p w14:paraId="25F7D91E" w14:textId="77777777" w:rsidR="001C56BD" w:rsidRPr="00F92667" w:rsidRDefault="001C56BD" w:rsidP="008A5C11">
            <w:pPr>
              <w:jc w:val="center"/>
              <w:rPr>
                <w:sz w:val="13"/>
                <w:szCs w:val="13"/>
              </w:rPr>
            </w:pPr>
            <w:r w:rsidRPr="00F92667">
              <w:rPr>
                <w:sz w:val="13"/>
                <w:szCs w:val="13"/>
              </w:rPr>
              <w:t>43</w:t>
            </w:r>
          </w:p>
        </w:tc>
        <w:tc>
          <w:tcPr>
            <w:tcW w:w="454" w:type="dxa"/>
            <w:tcBorders>
              <w:top w:val="nil"/>
              <w:left w:val="nil"/>
              <w:bottom w:val="single" w:sz="4" w:space="0" w:color="auto"/>
              <w:right w:val="single" w:sz="4" w:space="0" w:color="auto"/>
            </w:tcBorders>
            <w:shd w:val="clear" w:color="auto" w:fill="auto"/>
            <w:tcMar>
              <w:left w:w="28" w:type="dxa"/>
              <w:right w:w="28" w:type="dxa"/>
            </w:tcMar>
            <w:hideMark/>
          </w:tcPr>
          <w:p w14:paraId="305114DD" w14:textId="77777777" w:rsidR="001C56BD" w:rsidRPr="00F92667" w:rsidRDefault="001C56BD" w:rsidP="008A5C11">
            <w:pPr>
              <w:jc w:val="center"/>
              <w:rPr>
                <w:sz w:val="13"/>
                <w:szCs w:val="13"/>
              </w:rPr>
            </w:pPr>
            <w:r w:rsidRPr="00F92667">
              <w:rPr>
                <w:sz w:val="13"/>
                <w:szCs w:val="13"/>
              </w:rPr>
              <w:t>44</w:t>
            </w:r>
          </w:p>
        </w:tc>
        <w:tc>
          <w:tcPr>
            <w:tcW w:w="406" w:type="dxa"/>
            <w:tcBorders>
              <w:top w:val="nil"/>
              <w:left w:val="nil"/>
              <w:bottom w:val="single" w:sz="4" w:space="0" w:color="auto"/>
              <w:right w:val="single" w:sz="4" w:space="0" w:color="auto"/>
            </w:tcBorders>
            <w:shd w:val="clear" w:color="auto" w:fill="auto"/>
            <w:tcMar>
              <w:left w:w="28" w:type="dxa"/>
              <w:right w:w="28" w:type="dxa"/>
            </w:tcMar>
            <w:hideMark/>
          </w:tcPr>
          <w:p w14:paraId="319A2845" w14:textId="77777777" w:rsidR="001C56BD" w:rsidRPr="00F92667" w:rsidRDefault="001C56BD" w:rsidP="008A5C11">
            <w:pPr>
              <w:jc w:val="center"/>
              <w:rPr>
                <w:sz w:val="13"/>
                <w:szCs w:val="13"/>
              </w:rPr>
            </w:pPr>
            <w:r w:rsidRPr="00F92667">
              <w:rPr>
                <w:sz w:val="13"/>
                <w:szCs w:val="13"/>
              </w:rPr>
              <w:t>45</w:t>
            </w:r>
          </w:p>
        </w:tc>
        <w:tc>
          <w:tcPr>
            <w:tcW w:w="473" w:type="dxa"/>
            <w:tcBorders>
              <w:top w:val="nil"/>
              <w:left w:val="nil"/>
              <w:bottom w:val="single" w:sz="4" w:space="0" w:color="auto"/>
              <w:right w:val="single" w:sz="4" w:space="0" w:color="auto"/>
            </w:tcBorders>
            <w:shd w:val="clear" w:color="auto" w:fill="auto"/>
            <w:tcMar>
              <w:left w:w="28" w:type="dxa"/>
              <w:right w:w="28" w:type="dxa"/>
            </w:tcMar>
            <w:hideMark/>
          </w:tcPr>
          <w:p w14:paraId="0207AB93" w14:textId="77777777" w:rsidR="001C56BD" w:rsidRPr="00F92667" w:rsidRDefault="001C56BD" w:rsidP="008A5C11">
            <w:pPr>
              <w:jc w:val="center"/>
              <w:rPr>
                <w:sz w:val="13"/>
                <w:szCs w:val="13"/>
              </w:rPr>
            </w:pPr>
            <w:r w:rsidRPr="00F92667">
              <w:rPr>
                <w:sz w:val="13"/>
                <w:szCs w:val="13"/>
              </w:rPr>
              <w:t>46</w:t>
            </w:r>
          </w:p>
        </w:tc>
        <w:tc>
          <w:tcPr>
            <w:tcW w:w="433" w:type="dxa"/>
            <w:tcBorders>
              <w:top w:val="nil"/>
              <w:left w:val="nil"/>
              <w:bottom w:val="single" w:sz="4" w:space="0" w:color="auto"/>
              <w:right w:val="single" w:sz="4" w:space="0" w:color="auto"/>
            </w:tcBorders>
            <w:shd w:val="clear" w:color="auto" w:fill="auto"/>
            <w:tcMar>
              <w:left w:w="28" w:type="dxa"/>
              <w:right w:w="28" w:type="dxa"/>
            </w:tcMar>
            <w:hideMark/>
          </w:tcPr>
          <w:p w14:paraId="7B4DC4F8" w14:textId="77777777" w:rsidR="001C56BD" w:rsidRPr="00F92667" w:rsidRDefault="001C56BD" w:rsidP="008A5C11">
            <w:pPr>
              <w:jc w:val="center"/>
              <w:rPr>
                <w:sz w:val="13"/>
                <w:szCs w:val="13"/>
              </w:rPr>
            </w:pPr>
            <w:r w:rsidRPr="00F92667">
              <w:rPr>
                <w:sz w:val="13"/>
                <w:szCs w:val="13"/>
              </w:rPr>
              <w:t>47</w:t>
            </w:r>
          </w:p>
        </w:tc>
        <w:tc>
          <w:tcPr>
            <w:tcW w:w="567" w:type="dxa"/>
            <w:tcBorders>
              <w:top w:val="nil"/>
              <w:left w:val="nil"/>
              <w:bottom w:val="single" w:sz="4" w:space="0" w:color="auto"/>
              <w:right w:val="single" w:sz="4" w:space="0" w:color="auto"/>
            </w:tcBorders>
            <w:shd w:val="clear" w:color="auto" w:fill="auto"/>
            <w:tcMar>
              <w:left w:w="28" w:type="dxa"/>
              <w:right w:w="28" w:type="dxa"/>
            </w:tcMar>
            <w:hideMark/>
          </w:tcPr>
          <w:p w14:paraId="718A627E" w14:textId="77777777" w:rsidR="001C56BD" w:rsidRPr="00F92667" w:rsidRDefault="001C56BD" w:rsidP="008A5C11">
            <w:pPr>
              <w:jc w:val="center"/>
              <w:rPr>
                <w:sz w:val="13"/>
                <w:szCs w:val="13"/>
              </w:rPr>
            </w:pPr>
            <w:r w:rsidRPr="00F92667">
              <w:rPr>
                <w:sz w:val="13"/>
                <w:szCs w:val="13"/>
              </w:rPr>
              <w:t>51</w:t>
            </w:r>
          </w:p>
        </w:tc>
        <w:tc>
          <w:tcPr>
            <w:tcW w:w="426" w:type="dxa"/>
            <w:tcBorders>
              <w:top w:val="nil"/>
              <w:left w:val="nil"/>
              <w:bottom w:val="single" w:sz="4" w:space="0" w:color="auto"/>
              <w:right w:val="single" w:sz="4" w:space="0" w:color="auto"/>
            </w:tcBorders>
            <w:shd w:val="clear" w:color="auto" w:fill="auto"/>
            <w:tcMar>
              <w:left w:w="28" w:type="dxa"/>
              <w:right w:w="28" w:type="dxa"/>
            </w:tcMar>
            <w:hideMark/>
          </w:tcPr>
          <w:p w14:paraId="64F16B0A" w14:textId="77777777" w:rsidR="001C56BD" w:rsidRPr="00F92667" w:rsidRDefault="001C56BD" w:rsidP="008A5C11">
            <w:pPr>
              <w:jc w:val="center"/>
              <w:rPr>
                <w:sz w:val="13"/>
                <w:szCs w:val="13"/>
              </w:rPr>
            </w:pPr>
            <w:r w:rsidRPr="00F92667">
              <w:rPr>
                <w:sz w:val="13"/>
                <w:szCs w:val="13"/>
              </w:rPr>
              <w:t>52</w:t>
            </w:r>
          </w:p>
        </w:tc>
        <w:tc>
          <w:tcPr>
            <w:tcW w:w="444" w:type="dxa"/>
            <w:tcBorders>
              <w:top w:val="nil"/>
              <w:left w:val="nil"/>
              <w:bottom w:val="single" w:sz="4" w:space="0" w:color="auto"/>
              <w:right w:val="single" w:sz="4" w:space="0" w:color="auto"/>
            </w:tcBorders>
            <w:shd w:val="clear" w:color="auto" w:fill="auto"/>
            <w:tcMar>
              <w:left w:w="28" w:type="dxa"/>
              <w:right w:w="28" w:type="dxa"/>
            </w:tcMar>
            <w:hideMark/>
          </w:tcPr>
          <w:p w14:paraId="1CA454CC" w14:textId="77777777" w:rsidR="001C56BD" w:rsidRPr="00F92667" w:rsidRDefault="001C56BD" w:rsidP="008A5C11">
            <w:pPr>
              <w:jc w:val="center"/>
              <w:rPr>
                <w:sz w:val="13"/>
                <w:szCs w:val="13"/>
              </w:rPr>
            </w:pPr>
            <w:r w:rsidRPr="00F92667">
              <w:rPr>
                <w:sz w:val="13"/>
                <w:szCs w:val="13"/>
              </w:rPr>
              <w:t>53</w:t>
            </w:r>
          </w:p>
        </w:tc>
        <w:tc>
          <w:tcPr>
            <w:tcW w:w="425" w:type="dxa"/>
            <w:tcBorders>
              <w:top w:val="nil"/>
              <w:left w:val="nil"/>
              <w:bottom w:val="single" w:sz="4" w:space="0" w:color="auto"/>
              <w:right w:val="single" w:sz="4" w:space="0" w:color="auto"/>
            </w:tcBorders>
            <w:shd w:val="clear" w:color="auto" w:fill="auto"/>
            <w:tcMar>
              <w:left w:w="28" w:type="dxa"/>
              <w:right w:w="28" w:type="dxa"/>
            </w:tcMar>
            <w:hideMark/>
          </w:tcPr>
          <w:p w14:paraId="6755DABE" w14:textId="77777777" w:rsidR="001C56BD" w:rsidRPr="00F92667" w:rsidRDefault="001C56BD" w:rsidP="008A5C11">
            <w:pPr>
              <w:jc w:val="center"/>
              <w:rPr>
                <w:sz w:val="13"/>
                <w:szCs w:val="13"/>
              </w:rPr>
            </w:pPr>
            <w:r w:rsidRPr="00F92667">
              <w:rPr>
                <w:sz w:val="13"/>
                <w:szCs w:val="13"/>
              </w:rPr>
              <w:t>54</w:t>
            </w:r>
          </w:p>
        </w:tc>
        <w:tc>
          <w:tcPr>
            <w:tcW w:w="425" w:type="dxa"/>
            <w:tcBorders>
              <w:top w:val="nil"/>
              <w:left w:val="nil"/>
              <w:bottom w:val="single" w:sz="4" w:space="0" w:color="auto"/>
              <w:right w:val="single" w:sz="4" w:space="0" w:color="auto"/>
            </w:tcBorders>
            <w:shd w:val="clear" w:color="auto" w:fill="auto"/>
            <w:tcMar>
              <w:left w:w="28" w:type="dxa"/>
              <w:right w:w="28" w:type="dxa"/>
            </w:tcMar>
            <w:hideMark/>
          </w:tcPr>
          <w:p w14:paraId="63B5938C" w14:textId="77777777" w:rsidR="001C56BD" w:rsidRPr="00F92667" w:rsidRDefault="001C56BD" w:rsidP="008A5C11">
            <w:pPr>
              <w:jc w:val="center"/>
              <w:rPr>
                <w:sz w:val="13"/>
                <w:szCs w:val="13"/>
              </w:rPr>
            </w:pPr>
            <w:r w:rsidRPr="00F92667">
              <w:rPr>
                <w:sz w:val="13"/>
                <w:szCs w:val="13"/>
              </w:rPr>
              <w:t>55</w:t>
            </w:r>
          </w:p>
        </w:tc>
        <w:tc>
          <w:tcPr>
            <w:tcW w:w="426" w:type="dxa"/>
            <w:tcBorders>
              <w:top w:val="nil"/>
              <w:left w:val="nil"/>
              <w:bottom w:val="single" w:sz="4" w:space="0" w:color="auto"/>
              <w:right w:val="single" w:sz="4" w:space="0" w:color="auto"/>
            </w:tcBorders>
            <w:shd w:val="clear" w:color="auto" w:fill="auto"/>
            <w:tcMar>
              <w:left w:w="28" w:type="dxa"/>
              <w:right w:w="28" w:type="dxa"/>
            </w:tcMar>
            <w:hideMark/>
          </w:tcPr>
          <w:p w14:paraId="47EA4A9C" w14:textId="77777777" w:rsidR="001C56BD" w:rsidRPr="00F92667" w:rsidRDefault="001C56BD" w:rsidP="008A5C11">
            <w:pPr>
              <w:jc w:val="center"/>
              <w:rPr>
                <w:sz w:val="13"/>
                <w:szCs w:val="13"/>
              </w:rPr>
            </w:pPr>
            <w:r w:rsidRPr="00F92667">
              <w:rPr>
                <w:sz w:val="13"/>
                <w:szCs w:val="13"/>
              </w:rPr>
              <w:t>56</w:t>
            </w:r>
          </w:p>
        </w:tc>
        <w:tc>
          <w:tcPr>
            <w:tcW w:w="425" w:type="dxa"/>
            <w:tcBorders>
              <w:top w:val="nil"/>
              <w:left w:val="nil"/>
              <w:bottom w:val="single" w:sz="4" w:space="0" w:color="auto"/>
              <w:right w:val="single" w:sz="4" w:space="0" w:color="auto"/>
            </w:tcBorders>
            <w:shd w:val="clear" w:color="auto" w:fill="auto"/>
            <w:tcMar>
              <w:left w:w="28" w:type="dxa"/>
              <w:right w:w="28" w:type="dxa"/>
            </w:tcMar>
            <w:hideMark/>
          </w:tcPr>
          <w:p w14:paraId="023D19F8" w14:textId="77777777" w:rsidR="001C56BD" w:rsidRPr="00F92667" w:rsidRDefault="001C56BD" w:rsidP="008A5C11">
            <w:pPr>
              <w:jc w:val="center"/>
              <w:rPr>
                <w:sz w:val="13"/>
                <w:szCs w:val="13"/>
              </w:rPr>
            </w:pPr>
            <w:r w:rsidRPr="00F92667">
              <w:rPr>
                <w:sz w:val="13"/>
                <w:szCs w:val="13"/>
              </w:rPr>
              <w:t>57</w:t>
            </w:r>
          </w:p>
        </w:tc>
        <w:tc>
          <w:tcPr>
            <w:tcW w:w="425" w:type="dxa"/>
            <w:tcBorders>
              <w:top w:val="nil"/>
              <w:left w:val="nil"/>
              <w:bottom w:val="single" w:sz="4" w:space="0" w:color="auto"/>
              <w:right w:val="single" w:sz="4" w:space="0" w:color="auto"/>
            </w:tcBorders>
            <w:shd w:val="clear" w:color="auto" w:fill="auto"/>
            <w:tcMar>
              <w:left w:w="28" w:type="dxa"/>
              <w:right w:w="28" w:type="dxa"/>
            </w:tcMar>
            <w:hideMark/>
          </w:tcPr>
          <w:p w14:paraId="7D19E3A8" w14:textId="77777777" w:rsidR="001C56BD" w:rsidRPr="00F92667" w:rsidRDefault="001C56BD" w:rsidP="008A5C11">
            <w:pPr>
              <w:jc w:val="center"/>
              <w:rPr>
                <w:sz w:val="13"/>
                <w:szCs w:val="13"/>
              </w:rPr>
            </w:pPr>
            <w:r w:rsidRPr="00F92667">
              <w:rPr>
                <w:sz w:val="13"/>
                <w:szCs w:val="13"/>
              </w:rPr>
              <w:t>58</w:t>
            </w:r>
          </w:p>
        </w:tc>
        <w:tc>
          <w:tcPr>
            <w:tcW w:w="425" w:type="dxa"/>
            <w:tcBorders>
              <w:top w:val="nil"/>
              <w:left w:val="nil"/>
              <w:bottom w:val="single" w:sz="4" w:space="0" w:color="auto"/>
              <w:right w:val="single" w:sz="4" w:space="0" w:color="auto"/>
            </w:tcBorders>
            <w:shd w:val="clear" w:color="auto" w:fill="auto"/>
            <w:tcMar>
              <w:left w:w="28" w:type="dxa"/>
              <w:right w:w="28" w:type="dxa"/>
            </w:tcMar>
            <w:hideMark/>
          </w:tcPr>
          <w:p w14:paraId="653F9672" w14:textId="77777777" w:rsidR="001C56BD" w:rsidRPr="00F92667" w:rsidRDefault="001C56BD" w:rsidP="008A5C11">
            <w:pPr>
              <w:jc w:val="center"/>
              <w:rPr>
                <w:sz w:val="13"/>
                <w:szCs w:val="13"/>
              </w:rPr>
            </w:pPr>
            <w:r w:rsidRPr="00F92667">
              <w:rPr>
                <w:sz w:val="13"/>
                <w:szCs w:val="13"/>
              </w:rPr>
              <w:t>59</w:t>
            </w:r>
          </w:p>
        </w:tc>
        <w:tc>
          <w:tcPr>
            <w:tcW w:w="355" w:type="dxa"/>
            <w:tcBorders>
              <w:top w:val="nil"/>
              <w:left w:val="nil"/>
              <w:bottom w:val="single" w:sz="4" w:space="0" w:color="auto"/>
              <w:right w:val="single" w:sz="4" w:space="0" w:color="auto"/>
            </w:tcBorders>
            <w:shd w:val="clear" w:color="auto" w:fill="auto"/>
            <w:tcMar>
              <w:left w:w="28" w:type="dxa"/>
              <w:right w:w="28" w:type="dxa"/>
            </w:tcMar>
            <w:hideMark/>
          </w:tcPr>
          <w:p w14:paraId="537B9244" w14:textId="77777777" w:rsidR="001C56BD" w:rsidRPr="00F92667" w:rsidRDefault="001C56BD" w:rsidP="008A5C11">
            <w:pPr>
              <w:jc w:val="center"/>
              <w:rPr>
                <w:sz w:val="13"/>
                <w:szCs w:val="13"/>
              </w:rPr>
            </w:pPr>
            <w:r w:rsidRPr="00F92667">
              <w:rPr>
                <w:sz w:val="13"/>
                <w:szCs w:val="13"/>
              </w:rPr>
              <w:t>60</w:t>
            </w:r>
          </w:p>
        </w:tc>
        <w:tc>
          <w:tcPr>
            <w:tcW w:w="354"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46A72866" w14:textId="77777777" w:rsidR="001C56BD" w:rsidRPr="00F92667" w:rsidRDefault="001C56BD" w:rsidP="008A5C11">
            <w:pPr>
              <w:jc w:val="center"/>
              <w:rPr>
                <w:sz w:val="13"/>
                <w:szCs w:val="13"/>
              </w:rPr>
            </w:pPr>
            <w:r w:rsidRPr="00F92667">
              <w:rPr>
                <w:sz w:val="13"/>
                <w:szCs w:val="13"/>
              </w:rPr>
              <w:t>61</w:t>
            </w:r>
          </w:p>
        </w:tc>
      </w:tr>
      <w:tr w:rsidR="001C56BD" w:rsidRPr="00F92667" w14:paraId="3597AA20" w14:textId="77777777" w:rsidTr="008A5C11">
        <w:trPr>
          <w:gridAfter w:val="1"/>
          <w:wAfter w:w="7" w:type="dxa"/>
          <w:trHeight w:val="840"/>
        </w:trPr>
        <w:tc>
          <w:tcPr>
            <w:tcW w:w="1011" w:type="dxa"/>
            <w:vMerge w:val="restart"/>
            <w:tcBorders>
              <w:top w:val="nil"/>
              <w:left w:val="single" w:sz="4" w:space="0" w:color="auto"/>
              <w:bottom w:val="single" w:sz="4" w:space="0" w:color="auto"/>
              <w:right w:val="nil"/>
            </w:tcBorders>
            <w:shd w:val="clear" w:color="auto" w:fill="auto"/>
            <w:tcMar>
              <w:left w:w="28" w:type="dxa"/>
              <w:right w:w="28" w:type="dxa"/>
            </w:tcMar>
            <w:vAlign w:val="center"/>
            <w:hideMark/>
          </w:tcPr>
          <w:p w14:paraId="5AC6EA09" w14:textId="77777777" w:rsidR="001C56BD" w:rsidRPr="00F92667" w:rsidRDefault="001C56BD" w:rsidP="008A5C11">
            <w:pPr>
              <w:jc w:val="center"/>
              <w:rPr>
                <w:sz w:val="13"/>
                <w:szCs w:val="13"/>
              </w:rPr>
            </w:pPr>
            <w:r w:rsidRPr="00F92667">
              <w:rPr>
                <w:sz w:val="13"/>
                <w:szCs w:val="13"/>
              </w:rPr>
              <w:t xml:space="preserve">Тепловые сети филиала АО "Кузбассэнерго" - «Кемеровская теплосетевая компания» </w:t>
            </w:r>
          </w:p>
        </w:tc>
        <w:tc>
          <w:tcPr>
            <w:tcW w:w="566" w:type="dxa"/>
            <w:vMerge w:val="restart"/>
            <w:tcBorders>
              <w:top w:val="nil"/>
              <w:left w:val="single" w:sz="4" w:space="0" w:color="auto"/>
              <w:bottom w:val="single" w:sz="4" w:space="0" w:color="auto"/>
              <w:right w:val="single" w:sz="4" w:space="0" w:color="auto"/>
            </w:tcBorders>
            <w:shd w:val="clear" w:color="auto" w:fill="auto"/>
            <w:tcMar>
              <w:left w:w="28" w:type="dxa"/>
              <w:right w:w="28" w:type="dxa"/>
            </w:tcMar>
            <w:textDirection w:val="btLr"/>
            <w:vAlign w:val="center"/>
            <w:hideMark/>
          </w:tcPr>
          <w:p w14:paraId="1C0D400D" w14:textId="77777777" w:rsidR="001C56BD" w:rsidRPr="00F92667" w:rsidRDefault="001C56BD" w:rsidP="008A5C11">
            <w:pPr>
              <w:jc w:val="center"/>
              <w:rPr>
                <w:sz w:val="13"/>
                <w:szCs w:val="13"/>
              </w:rPr>
            </w:pPr>
            <w:r w:rsidRPr="00F92667">
              <w:rPr>
                <w:sz w:val="13"/>
                <w:szCs w:val="13"/>
              </w:rPr>
              <w:t>9,42</w:t>
            </w:r>
          </w:p>
        </w:tc>
        <w:tc>
          <w:tcPr>
            <w:tcW w:w="408" w:type="dxa"/>
            <w:vMerge w:val="restart"/>
            <w:tcBorders>
              <w:top w:val="nil"/>
              <w:left w:val="single" w:sz="4" w:space="0" w:color="auto"/>
              <w:bottom w:val="single" w:sz="4" w:space="0" w:color="auto"/>
              <w:right w:val="single" w:sz="4" w:space="0" w:color="auto"/>
            </w:tcBorders>
            <w:shd w:val="clear" w:color="auto" w:fill="auto"/>
            <w:tcMar>
              <w:left w:w="28" w:type="dxa"/>
              <w:right w:w="28" w:type="dxa"/>
            </w:tcMar>
            <w:textDirection w:val="btLr"/>
            <w:vAlign w:val="center"/>
            <w:hideMark/>
          </w:tcPr>
          <w:p w14:paraId="435EF1F6" w14:textId="77777777" w:rsidR="001C56BD" w:rsidRPr="00F92667" w:rsidRDefault="001C56BD" w:rsidP="008A5C11">
            <w:pPr>
              <w:jc w:val="center"/>
              <w:rPr>
                <w:sz w:val="13"/>
                <w:szCs w:val="13"/>
              </w:rPr>
            </w:pPr>
            <w:r w:rsidRPr="00F92667">
              <w:rPr>
                <w:sz w:val="13"/>
                <w:szCs w:val="13"/>
              </w:rPr>
              <w:t>3,47</w:t>
            </w:r>
          </w:p>
        </w:tc>
        <w:tc>
          <w:tcPr>
            <w:tcW w:w="362"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textDirection w:val="btLr"/>
            <w:vAlign w:val="center"/>
            <w:hideMark/>
          </w:tcPr>
          <w:p w14:paraId="2C754FE6" w14:textId="77777777" w:rsidR="001C56BD" w:rsidRPr="00F92667" w:rsidRDefault="001C56BD" w:rsidP="008A5C11">
            <w:pPr>
              <w:jc w:val="center"/>
              <w:rPr>
                <w:sz w:val="13"/>
                <w:szCs w:val="13"/>
              </w:rPr>
            </w:pPr>
            <w:r w:rsidRPr="00F92667">
              <w:rPr>
                <w:sz w:val="13"/>
                <w:szCs w:val="13"/>
              </w:rPr>
              <w:t>3,36</w:t>
            </w:r>
          </w:p>
        </w:tc>
        <w:tc>
          <w:tcPr>
            <w:tcW w:w="347"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textDirection w:val="btLr"/>
            <w:vAlign w:val="center"/>
            <w:hideMark/>
          </w:tcPr>
          <w:p w14:paraId="2B86E2C1" w14:textId="77777777" w:rsidR="001C56BD" w:rsidRPr="00F92667" w:rsidRDefault="001C56BD" w:rsidP="008A5C11">
            <w:pPr>
              <w:jc w:val="center"/>
              <w:rPr>
                <w:sz w:val="13"/>
                <w:szCs w:val="13"/>
              </w:rPr>
            </w:pPr>
            <w:r w:rsidRPr="00F92667">
              <w:rPr>
                <w:sz w:val="13"/>
                <w:szCs w:val="13"/>
              </w:rPr>
              <w:t>3,36</w:t>
            </w:r>
          </w:p>
        </w:tc>
        <w:tc>
          <w:tcPr>
            <w:tcW w:w="415"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textDirection w:val="btLr"/>
            <w:vAlign w:val="center"/>
            <w:hideMark/>
          </w:tcPr>
          <w:p w14:paraId="70B5C26E" w14:textId="77777777" w:rsidR="001C56BD" w:rsidRPr="00F92667" w:rsidRDefault="001C56BD" w:rsidP="008A5C11">
            <w:pPr>
              <w:jc w:val="center"/>
              <w:rPr>
                <w:sz w:val="13"/>
                <w:szCs w:val="13"/>
              </w:rPr>
            </w:pPr>
            <w:r w:rsidRPr="00F92667">
              <w:rPr>
                <w:sz w:val="13"/>
                <w:szCs w:val="13"/>
              </w:rPr>
              <w:t>3,36</w:t>
            </w:r>
          </w:p>
        </w:tc>
        <w:tc>
          <w:tcPr>
            <w:tcW w:w="436"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textDirection w:val="btLr"/>
            <w:vAlign w:val="center"/>
            <w:hideMark/>
          </w:tcPr>
          <w:p w14:paraId="07F0D845" w14:textId="77777777" w:rsidR="001C56BD" w:rsidRPr="00F92667" w:rsidRDefault="001C56BD" w:rsidP="008A5C11">
            <w:pPr>
              <w:jc w:val="center"/>
              <w:rPr>
                <w:sz w:val="13"/>
                <w:szCs w:val="13"/>
              </w:rPr>
            </w:pPr>
            <w:r w:rsidRPr="00F92667">
              <w:rPr>
                <w:sz w:val="13"/>
                <w:szCs w:val="13"/>
              </w:rPr>
              <w:t>3,36</w:t>
            </w:r>
          </w:p>
        </w:tc>
        <w:tc>
          <w:tcPr>
            <w:tcW w:w="380"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textDirection w:val="btLr"/>
            <w:vAlign w:val="center"/>
            <w:hideMark/>
          </w:tcPr>
          <w:p w14:paraId="3DA58E88" w14:textId="77777777" w:rsidR="001C56BD" w:rsidRPr="00F92667" w:rsidRDefault="001C56BD" w:rsidP="008A5C11">
            <w:pPr>
              <w:jc w:val="center"/>
              <w:rPr>
                <w:sz w:val="13"/>
                <w:szCs w:val="13"/>
              </w:rPr>
            </w:pPr>
            <w:r w:rsidRPr="00F92667">
              <w:rPr>
                <w:sz w:val="13"/>
                <w:szCs w:val="13"/>
              </w:rPr>
              <w:t>3,36</w:t>
            </w:r>
          </w:p>
        </w:tc>
        <w:tc>
          <w:tcPr>
            <w:tcW w:w="328"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textDirection w:val="btLr"/>
            <w:vAlign w:val="center"/>
            <w:hideMark/>
          </w:tcPr>
          <w:p w14:paraId="1359CB7B" w14:textId="77777777" w:rsidR="001C56BD" w:rsidRPr="00F92667" w:rsidRDefault="001C56BD" w:rsidP="008A5C11">
            <w:pPr>
              <w:jc w:val="center"/>
              <w:rPr>
                <w:sz w:val="13"/>
                <w:szCs w:val="13"/>
              </w:rPr>
            </w:pPr>
            <w:r w:rsidRPr="00F92667">
              <w:rPr>
                <w:sz w:val="13"/>
                <w:szCs w:val="13"/>
              </w:rPr>
              <w:t>3,36</w:t>
            </w:r>
          </w:p>
        </w:tc>
        <w:tc>
          <w:tcPr>
            <w:tcW w:w="426"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textDirection w:val="btLr"/>
            <w:vAlign w:val="center"/>
            <w:hideMark/>
          </w:tcPr>
          <w:p w14:paraId="76DFD983" w14:textId="77777777" w:rsidR="001C56BD" w:rsidRPr="00F92667" w:rsidRDefault="001C56BD" w:rsidP="008A5C11">
            <w:pPr>
              <w:jc w:val="center"/>
              <w:rPr>
                <w:sz w:val="13"/>
                <w:szCs w:val="13"/>
              </w:rPr>
            </w:pPr>
            <w:r w:rsidRPr="00F92667">
              <w:rPr>
                <w:sz w:val="13"/>
                <w:szCs w:val="13"/>
              </w:rPr>
              <w:t>3,36</w:t>
            </w:r>
          </w:p>
        </w:tc>
        <w:tc>
          <w:tcPr>
            <w:tcW w:w="325"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textDirection w:val="btLr"/>
            <w:vAlign w:val="center"/>
            <w:hideMark/>
          </w:tcPr>
          <w:p w14:paraId="04A880C3" w14:textId="77777777" w:rsidR="001C56BD" w:rsidRPr="00F92667" w:rsidRDefault="001C56BD" w:rsidP="008A5C11">
            <w:pPr>
              <w:jc w:val="center"/>
              <w:rPr>
                <w:sz w:val="13"/>
                <w:szCs w:val="13"/>
              </w:rPr>
            </w:pPr>
            <w:r w:rsidRPr="00F92667">
              <w:rPr>
                <w:sz w:val="13"/>
                <w:szCs w:val="13"/>
              </w:rPr>
              <w:t>3,36</w:t>
            </w:r>
          </w:p>
        </w:tc>
        <w:tc>
          <w:tcPr>
            <w:tcW w:w="383"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textDirection w:val="btLr"/>
            <w:vAlign w:val="center"/>
            <w:hideMark/>
          </w:tcPr>
          <w:p w14:paraId="4F606A38" w14:textId="77777777" w:rsidR="001C56BD" w:rsidRPr="00F92667" w:rsidRDefault="001C56BD" w:rsidP="008A5C11">
            <w:pPr>
              <w:jc w:val="center"/>
              <w:rPr>
                <w:sz w:val="13"/>
                <w:szCs w:val="13"/>
              </w:rPr>
            </w:pPr>
            <w:r w:rsidRPr="00F92667">
              <w:rPr>
                <w:sz w:val="13"/>
                <w:szCs w:val="13"/>
              </w:rPr>
              <w:t>3,36</w:t>
            </w:r>
          </w:p>
        </w:tc>
        <w:tc>
          <w:tcPr>
            <w:tcW w:w="555" w:type="dxa"/>
            <w:vMerge w:val="restart"/>
            <w:tcBorders>
              <w:top w:val="nil"/>
              <w:left w:val="single" w:sz="4" w:space="0" w:color="auto"/>
              <w:bottom w:val="single" w:sz="4" w:space="0" w:color="auto"/>
              <w:right w:val="single" w:sz="4" w:space="0" w:color="auto"/>
            </w:tcBorders>
            <w:shd w:val="clear" w:color="auto" w:fill="auto"/>
            <w:tcMar>
              <w:left w:w="28" w:type="dxa"/>
              <w:right w:w="28" w:type="dxa"/>
            </w:tcMar>
            <w:textDirection w:val="btLr"/>
            <w:vAlign w:val="center"/>
            <w:hideMark/>
          </w:tcPr>
          <w:p w14:paraId="40D7B4B8" w14:textId="77777777" w:rsidR="001C56BD" w:rsidRPr="00F92667" w:rsidRDefault="001C56BD" w:rsidP="008A5C11">
            <w:pPr>
              <w:jc w:val="center"/>
              <w:rPr>
                <w:sz w:val="13"/>
                <w:szCs w:val="13"/>
              </w:rPr>
            </w:pPr>
            <w:r w:rsidRPr="00F92667">
              <w:rPr>
                <w:sz w:val="13"/>
                <w:szCs w:val="13"/>
              </w:rPr>
              <w:t>972,99</w:t>
            </w:r>
          </w:p>
        </w:tc>
        <w:tc>
          <w:tcPr>
            <w:tcW w:w="475" w:type="dxa"/>
            <w:vMerge w:val="restart"/>
            <w:tcBorders>
              <w:top w:val="nil"/>
              <w:left w:val="single" w:sz="4" w:space="0" w:color="auto"/>
              <w:bottom w:val="single" w:sz="4" w:space="0" w:color="000000"/>
              <w:right w:val="single" w:sz="4" w:space="0" w:color="auto"/>
            </w:tcBorders>
            <w:shd w:val="clear" w:color="auto" w:fill="auto"/>
            <w:tcMar>
              <w:left w:w="28" w:type="dxa"/>
              <w:right w:w="28" w:type="dxa"/>
            </w:tcMar>
            <w:textDirection w:val="btLr"/>
            <w:vAlign w:val="center"/>
            <w:hideMark/>
          </w:tcPr>
          <w:p w14:paraId="2E3CD089" w14:textId="77777777" w:rsidR="001C56BD" w:rsidRPr="00F92667" w:rsidRDefault="001C56BD" w:rsidP="008A5C11">
            <w:pPr>
              <w:jc w:val="center"/>
              <w:rPr>
                <w:sz w:val="13"/>
                <w:szCs w:val="13"/>
              </w:rPr>
            </w:pPr>
            <w:r w:rsidRPr="00F92667">
              <w:rPr>
                <w:sz w:val="13"/>
                <w:szCs w:val="13"/>
              </w:rPr>
              <w:t>215,18</w:t>
            </w:r>
          </w:p>
        </w:tc>
        <w:tc>
          <w:tcPr>
            <w:tcW w:w="473" w:type="dxa"/>
            <w:vMerge w:val="restart"/>
            <w:tcBorders>
              <w:top w:val="nil"/>
              <w:left w:val="single" w:sz="4" w:space="0" w:color="auto"/>
              <w:bottom w:val="single" w:sz="4" w:space="0" w:color="000000"/>
              <w:right w:val="single" w:sz="4" w:space="0" w:color="auto"/>
            </w:tcBorders>
            <w:shd w:val="clear" w:color="000000" w:fill="FFFFFF"/>
            <w:tcMar>
              <w:left w:w="28" w:type="dxa"/>
              <w:right w:w="28" w:type="dxa"/>
            </w:tcMar>
            <w:textDirection w:val="btLr"/>
            <w:vAlign w:val="center"/>
            <w:hideMark/>
          </w:tcPr>
          <w:p w14:paraId="6E18DB81" w14:textId="77777777" w:rsidR="001C56BD" w:rsidRPr="00F92667" w:rsidRDefault="001C56BD" w:rsidP="008A5C11">
            <w:pPr>
              <w:jc w:val="center"/>
              <w:rPr>
                <w:sz w:val="13"/>
                <w:szCs w:val="13"/>
              </w:rPr>
            </w:pPr>
            <w:r w:rsidRPr="00F92667">
              <w:rPr>
                <w:sz w:val="13"/>
                <w:szCs w:val="13"/>
              </w:rPr>
              <w:t>210,60</w:t>
            </w:r>
          </w:p>
        </w:tc>
        <w:tc>
          <w:tcPr>
            <w:tcW w:w="473" w:type="dxa"/>
            <w:vMerge w:val="restart"/>
            <w:tcBorders>
              <w:top w:val="nil"/>
              <w:left w:val="single" w:sz="4" w:space="0" w:color="auto"/>
              <w:bottom w:val="single" w:sz="4" w:space="0" w:color="000000"/>
              <w:right w:val="single" w:sz="4" w:space="0" w:color="auto"/>
            </w:tcBorders>
            <w:shd w:val="clear" w:color="000000" w:fill="FFFFFF"/>
            <w:tcMar>
              <w:left w:w="28" w:type="dxa"/>
              <w:right w:w="28" w:type="dxa"/>
            </w:tcMar>
            <w:textDirection w:val="btLr"/>
            <w:vAlign w:val="center"/>
            <w:hideMark/>
          </w:tcPr>
          <w:p w14:paraId="4AA9C57F" w14:textId="77777777" w:rsidR="001C56BD" w:rsidRPr="00F92667" w:rsidRDefault="001C56BD" w:rsidP="008A5C11">
            <w:pPr>
              <w:jc w:val="center"/>
              <w:rPr>
                <w:sz w:val="13"/>
                <w:szCs w:val="13"/>
              </w:rPr>
            </w:pPr>
            <w:r w:rsidRPr="00F92667">
              <w:rPr>
                <w:sz w:val="13"/>
                <w:szCs w:val="13"/>
              </w:rPr>
              <w:t>208,31</w:t>
            </w:r>
          </w:p>
        </w:tc>
        <w:tc>
          <w:tcPr>
            <w:tcW w:w="361" w:type="dxa"/>
            <w:vMerge w:val="restart"/>
            <w:tcBorders>
              <w:top w:val="nil"/>
              <w:left w:val="single" w:sz="4" w:space="0" w:color="auto"/>
              <w:bottom w:val="single" w:sz="4" w:space="0" w:color="000000"/>
              <w:right w:val="single" w:sz="4" w:space="0" w:color="auto"/>
            </w:tcBorders>
            <w:shd w:val="clear" w:color="000000" w:fill="FFFFFF"/>
            <w:tcMar>
              <w:left w:w="28" w:type="dxa"/>
              <w:right w:w="28" w:type="dxa"/>
            </w:tcMar>
            <w:textDirection w:val="btLr"/>
            <w:vAlign w:val="center"/>
            <w:hideMark/>
          </w:tcPr>
          <w:p w14:paraId="6E0A66AF" w14:textId="77777777" w:rsidR="001C56BD" w:rsidRPr="00F92667" w:rsidRDefault="001C56BD" w:rsidP="008A5C11">
            <w:pPr>
              <w:jc w:val="center"/>
              <w:rPr>
                <w:sz w:val="13"/>
                <w:szCs w:val="13"/>
              </w:rPr>
            </w:pPr>
            <w:r w:rsidRPr="00F92667">
              <w:rPr>
                <w:sz w:val="13"/>
                <w:szCs w:val="13"/>
              </w:rPr>
              <w:t>206,83</w:t>
            </w:r>
          </w:p>
        </w:tc>
        <w:tc>
          <w:tcPr>
            <w:tcW w:w="408" w:type="dxa"/>
            <w:vMerge w:val="restart"/>
            <w:tcBorders>
              <w:top w:val="nil"/>
              <w:left w:val="single" w:sz="4" w:space="0" w:color="auto"/>
              <w:bottom w:val="single" w:sz="4" w:space="0" w:color="000000"/>
              <w:right w:val="single" w:sz="4" w:space="0" w:color="auto"/>
            </w:tcBorders>
            <w:shd w:val="clear" w:color="000000" w:fill="FFFFFF"/>
            <w:tcMar>
              <w:left w:w="28" w:type="dxa"/>
              <w:right w:w="28" w:type="dxa"/>
            </w:tcMar>
            <w:textDirection w:val="btLr"/>
            <w:vAlign w:val="center"/>
            <w:hideMark/>
          </w:tcPr>
          <w:p w14:paraId="201247B4" w14:textId="77777777" w:rsidR="001C56BD" w:rsidRPr="00F92667" w:rsidRDefault="001C56BD" w:rsidP="008A5C11">
            <w:pPr>
              <w:jc w:val="center"/>
              <w:rPr>
                <w:sz w:val="13"/>
                <w:szCs w:val="13"/>
              </w:rPr>
            </w:pPr>
            <w:r w:rsidRPr="00F92667">
              <w:rPr>
                <w:sz w:val="13"/>
                <w:szCs w:val="13"/>
              </w:rPr>
              <w:t>205,30</w:t>
            </w:r>
          </w:p>
        </w:tc>
        <w:tc>
          <w:tcPr>
            <w:tcW w:w="360" w:type="dxa"/>
            <w:vMerge w:val="restart"/>
            <w:tcBorders>
              <w:top w:val="nil"/>
              <w:left w:val="single" w:sz="4" w:space="0" w:color="auto"/>
              <w:bottom w:val="single" w:sz="4" w:space="0" w:color="000000"/>
              <w:right w:val="single" w:sz="4" w:space="0" w:color="auto"/>
            </w:tcBorders>
            <w:shd w:val="clear" w:color="000000" w:fill="FFFFFF"/>
            <w:tcMar>
              <w:left w:w="28" w:type="dxa"/>
              <w:right w:w="28" w:type="dxa"/>
            </w:tcMar>
            <w:textDirection w:val="btLr"/>
            <w:vAlign w:val="center"/>
            <w:hideMark/>
          </w:tcPr>
          <w:p w14:paraId="78558F3E" w14:textId="77777777" w:rsidR="001C56BD" w:rsidRPr="00F92667" w:rsidRDefault="001C56BD" w:rsidP="008A5C11">
            <w:pPr>
              <w:jc w:val="center"/>
              <w:rPr>
                <w:sz w:val="13"/>
                <w:szCs w:val="13"/>
              </w:rPr>
            </w:pPr>
            <w:r w:rsidRPr="00F92667">
              <w:rPr>
                <w:sz w:val="13"/>
                <w:szCs w:val="13"/>
              </w:rPr>
              <w:t>203,79</w:t>
            </w:r>
          </w:p>
        </w:tc>
        <w:tc>
          <w:tcPr>
            <w:tcW w:w="454" w:type="dxa"/>
            <w:vMerge w:val="restart"/>
            <w:tcBorders>
              <w:top w:val="nil"/>
              <w:left w:val="single" w:sz="4" w:space="0" w:color="auto"/>
              <w:bottom w:val="single" w:sz="4" w:space="0" w:color="000000"/>
              <w:right w:val="single" w:sz="4" w:space="0" w:color="auto"/>
            </w:tcBorders>
            <w:shd w:val="clear" w:color="000000" w:fill="FFFFFF"/>
            <w:tcMar>
              <w:left w:w="28" w:type="dxa"/>
              <w:right w:w="28" w:type="dxa"/>
            </w:tcMar>
            <w:textDirection w:val="btLr"/>
            <w:vAlign w:val="center"/>
            <w:hideMark/>
          </w:tcPr>
          <w:p w14:paraId="056528F9" w14:textId="77777777" w:rsidR="001C56BD" w:rsidRPr="00F92667" w:rsidRDefault="001C56BD" w:rsidP="008A5C11">
            <w:pPr>
              <w:jc w:val="center"/>
              <w:rPr>
                <w:sz w:val="13"/>
                <w:szCs w:val="13"/>
              </w:rPr>
            </w:pPr>
            <w:r w:rsidRPr="00F92667">
              <w:rPr>
                <w:sz w:val="13"/>
                <w:szCs w:val="13"/>
              </w:rPr>
              <w:t>201,74</w:t>
            </w:r>
          </w:p>
        </w:tc>
        <w:tc>
          <w:tcPr>
            <w:tcW w:w="406" w:type="dxa"/>
            <w:vMerge w:val="restart"/>
            <w:tcBorders>
              <w:top w:val="nil"/>
              <w:left w:val="single" w:sz="4" w:space="0" w:color="auto"/>
              <w:bottom w:val="single" w:sz="4" w:space="0" w:color="000000"/>
              <w:right w:val="single" w:sz="4" w:space="0" w:color="auto"/>
            </w:tcBorders>
            <w:shd w:val="clear" w:color="000000" w:fill="FFFFFF"/>
            <w:tcMar>
              <w:left w:w="28" w:type="dxa"/>
              <w:right w:w="28" w:type="dxa"/>
            </w:tcMar>
            <w:textDirection w:val="btLr"/>
            <w:vAlign w:val="center"/>
            <w:hideMark/>
          </w:tcPr>
          <w:p w14:paraId="14E19E38" w14:textId="77777777" w:rsidR="001C56BD" w:rsidRPr="00F92667" w:rsidRDefault="001C56BD" w:rsidP="008A5C11">
            <w:pPr>
              <w:jc w:val="center"/>
              <w:rPr>
                <w:sz w:val="13"/>
                <w:szCs w:val="13"/>
              </w:rPr>
            </w:pPr>
            <w:r w:rsidRPr="00F92667">
              <w:rPr>
                <w:sz w:val="13"/>
                <w:szCs w:val="13"/>
              </w:rPr>
              <w:t>200,09</w:t>
            </w:r>
          </w:p>
        </w:tc>
        <w:tc>
          <w:tcPr>
            <w:tcW w:w="473" w:type="dxa"/>
            <w:vMerge w:val="restart"/>
            <w:tcBorders>
              <w:top w:val="nil"/>
              <w:left w:val="single" w:sz="4" w:space="0" w:color="auto"/>
              <w:bottom w:val="single" w:sz="4" w:space="0" w:color="000000"/>
              <w:right w:val="single" w:sz="4" w:space="0" w:color="auto"/>
            </w:tcBorders>
            <w:shd w:val="clear" w:color="000000" w:fill="FFFFFF"/>
            <w:tcMar>
              <w:left w:w="28" w:type="dxa"/>
              <w:right w:w="28" w:type="dxa"/>
            </w:tcMar>
            <w:textDirection w:val="btLr"/>
            <w:vAlign w:val="center"/>
            <w:hideMark/>
          </w:tcPr>
          <w:p w14:paraId="2E7F81F1" w14:textId="77777777" w:rsidR="001C56BD" w:rsidRPr="00F92667" w:rsidRDefault="001C56BD" w:rsidP="008A5C11">
            <w:pPr>
              <w:jc w:val="center"/>
              <w:rPr>
                <w:sz w:val="13"/>
                <w:szCs w:val="13"/>
              </w:rPr>
            </w:pPr>
            <w:r w:rsidRPr="00F92667">
              <w:rPr>
                <w:sz w:val="13"/>
                <w:szCs w:val="13"/>
              </w:rPr>
              <w:t>199,35</w:t>
            </w:r>
          </w:p>
        </w:tc>
        <w:tc>
          <w:tcPr>
            <w:tcW w:w="433" w:type="dxa"/>
            <w:vMerge w:val="restart"/>
            <w:tcBorders>
              <w:top w:val="nil"/>
              <w:left w:val="single" w:sz="4" w:space="0" w:color="auto"/>
              <w:bottom w:val="single" w:sz="4" w:space="0" w:color="000000"/>
              <w:right w:val="single" w:sz="4" w:space="0" w:color="auto"/>
            </w:tcBorders>
            <w:shd w:val="clear" w:color="000000" w:fill="FFFFFF"/>
            <w:tcMar>
              <w:left w:w="28" w:type="dxa"/>
              <w:right w:w="28" w:type="dxa"/>
            </w:tcMar>
            <w:textDirection w:val="btLr"/>
            <w:vAlign w:val="center"/>
            <w:hideMark/>
          </w:tcPr>
          <w:p w14:paraId="6CA8CBD8" w14:textId="77777777" w:rsidR="001C56BD" w:rsidRPr="00F92667" w:rsidRDefault="001C56BD" w:rsidP="008A5C11">
            <w:pPr>
              <w:jc w:val="center"/>
              <w:rPr>
                <w:sz w:val="13"/>
                <w:szCs w:val="13"/>
              </w:rPr>
            </w:pPr>
            <w:r w:rsidRPr="00F92667">
              <w:rPr>
                <w:sz w:val="13"/>
                <w:szCs w:val="13"/>
              </w:rPr>
              <w:t>197,89</w:t>
            </w:r>
          </w:p>
        </w:tc>
        <w:tc>
          <w:tcPr>
            <w:tcW w:w="567" w:type="dxa"/>
            <w:vMerge w:val="restart"/>
            <w:tcBorders>
              <w:top w:val="nil"/>
              <w:left w:val="single" w:sz="4" w:space="0" w:color="auto"/>
              <w:bottom w:val="single" w:sz="4" w:space="0" w:color="auto"/>
              <w:right w:val="single" w:sz="4" w:space="0" w:color="auto"/>
            </w:tcBorders>
            <w:shd w:val="clear" w:color="auto" w:fill="auto"/>
            <w:tcMar>
              <w:left w:w="28" w:type="dxa"/>
              <w:right w:w="28" w:type="dxa"/>
            </w:tcMar>
            <w:textDirection w:val="btLr"/>
            <w:vAlign w:val="center"/>
            <w:hideMark/>
          </w:tcPr>
          <w:p w14:paraId="22A120BF" w14:textId="77777777" w:rsidR="001C56BD" w:rsidRPr="00F92667" w:rsidRDefault="001C56BD" w:rsidP="008A5C11">
            <w:pPr>
              <w:jc w:val="center"/>
              <w:rPr>
                <w:sz w:val="13"/>
                <w:szCs w:val="13"/>
              </w:rPr>
            </w:pPr>
            <w:r w:rsidRPr="00F92667">
              <w:rPr>
                <w:sz w:val="13"/>
                <w:szCs w:val="13"/>
              </w:rPr>
              <w:t>3 412,38</w:t>
            </w:r>
          </w:p>
        </w:tc>
        <w:tc>
          <w:tcPr>
            <w:tcW w:w="426" w:type="dxa"/>
            <w:vMerge w:val="restart"/>
            <w:tcBorders>
              <w:top w:val="nil"/>
              <w:left w:val="single" w:sz="4" w:space="0" w:color="auto"/>
              <w:bottom w:val="single" w:sz="4" w:space="0" w:color="auto"/>
              <w:right w:val="single" w:sz="4" w:space="0" w:color="auto"/>
            </w:tcBorders>
            <w:shd w:val="clear" w:color="auto" w:fill="auto"/>
            <w:tcMar>
              <w:left w:w="28" w:type="dxa"/>
              <w:right w:w="28" w:type="dxa"/>
            </w:tcMar>
            <w:textDirection w:val="btLr"/>
            <w:vAlign w:val="center"/>
            <w:hideMark/>
          </w:tcPr>
          <w:p w14:paraId="1A71FBDB" w14:textId="77777777" w:rsidR="001C56BD" w:rsidRPr="00F92667" w:rsidRDefault="001C56BD" w:rsidP="008A5C11">
            <w:pPr>
              <w:jc w:val="center"/>
              <w:rPr>
                <w:sz w:val="13"/>
                <w:szCs w:val="13"/>
              </w:rPr>
            </w:pPr>
            <w:r w:rsidRPr="00F92667">
              <w:rPr>
                <w:sz w:val="13"/>
                <w:szCs w:val="13"/>
              </w:rPr>
              <w:t>242,44</w:t>
            </w:r>
          </w:p>
        </w:tc>
        <w:tc>
          <w:tcPr>
            <w:tcW w:w="444" w:type="dxa"/>
            <w:vMerge w:val="restart"/>
            <w:tcBorders>
              <w:top w:val="nil"/>
              <w:left w:val="single" w:sz="4" w:space="0" w:color="auto"/>
              <w:bottom w:val="single" w:sz="4" w:space="0" w:color="000000"/>
              <w:right w:val="single" w:sz="4" w:space="0" w:color="auto"/>
            </w:tcBorders>
            <w:shd w:val="clear" w:color="auto" w:fill="auto"/>
            <w:tcMar>
              <w:left w:w="28" w:type="dxa"/>
              <w:right w:w="28" w:type="dxa"/>
            </w:tcMar>
            <w:textDirection w:val="btLr"/>
            <w:vAlign w:val="center"/>
            <w:hideMark/>
          </w:tcPr>
          <w:p w14:paraId="21D7CA71" w14:textId="77777777" w:rsidR="001C56BD" w:rsidRPr="00F92667" w:rsidRDefault="001C56BD" w:rsidP="008A5C11">
            <w:pPr>
              <w:jc w:val="center"/>
              <w:rPr>
                <w:sz w:val="13"/>
                <w:szCs w:val="13"/>
              </w:rPr>
            </w:pPr>
            <w:r w:rsidRPr="00F92667">
              <w:rPr>
                <w:sz w:val="13"/>
                <w:szCs w:val="13"/>
              </w:rPr>
              <w:t>234,99</w:t>
            </w:r>
          </w:p>
        </w:tc>
        <w:tc>
          <w:tcPr>
            <w:tcW w:w="425" w:type="dxa"/>
            <w:vMerge w:val="restart"/>
            <w:tcBorders>
              <w:top w:val="nil"/>
              <w:left w:val="single" w:sz="4" w:space="0" w:color="auto"/>
              <w:bottom w:val="single" w:sz="4" w:space="0" w:color="000000"/>
              <w:right w:val="single" w:sz="4" w:space="0" w:color="auto"/>
            </w:tcBorders>
            <w:shd w:val="clear" w:color="auto" w:fill="auto"/>
            <w:tcMar>
              <w:left w:w="28" w:type="dxa"/>
              <w:right w:w="28" w:type="dxa"/>
            </w:tcMar>
            <w:textDirection w:val="btLr"/>
            <w:vAlign w:val="center"/>
            <w:hideMark/>
          </w:tcPr>
          <w:p w14:paraId="6E7E0845" w14:textId="77777777" w:rsidR="001C56BD" w:rsidRPr="00F92667" w:rsidRDefault="001C56BD" w:rsidP="008A5C11">
            <w:pPr>
              <w:jc w:val="center"/>
              <w:rPr>
                <w:sz w:val="13"/>
                <w:szCs w:val="13"/>
              </w:rPr>
            </w:pPr>
            <w:r w:rsidRPr="00F92667">
              <w:rPr>
                <w:sz w:val="13"/>
                <w:szCs w:val="13"/>
              </w:rPr>
              <w:t>234,99</w:t>
            </w:r>
          </w:p>
        </w:tc>
        <w:tc>
          <w:tcPr>
            <w:tcW w:w="425" w:type="dxa"/>
            <w:vMerge w:val="restart"/>
            <w:tcBorders>
              <w:top w:val="nil"/>
              <w:left w:val="single" w:sz="4" w:space="0" w:color="auto"/>
              <w:bottom w:val="single" w:sz="4" w:space="0" w:color="000000"/>
              <w:right w:val="single" w:sz="4" w:space="0" w:color="auto"/>
            </w:tcBorders>
            <w:shd w:val="clear" w:color="auto" w:fill="auto"/>
            <w:tcMar>
              <w:left w:w="28" w:type="dxa"/>
              <w:right w:w="28" w:type="dxa"/>
            </w:tcMar>
            <w:textDirection w:val="btLr"/>
            <w:vAlign w:val="center"/>
            <w:hideMark/>
          </w:tcPr>
          <w:p w14:paraId="74103A3F" w14:textId="77777777" w:rsidR="001C56BD" w:rsidRPr="00F92667" w:rsidRDefault="001C56BD" w:rsidP="008A5C11">
            <w:pPr>
              <w:jc w:val="center"/>
              <w:rPr>
                <w:sz w:val="13"/>
                <w:szCs w:val="13"/>
              </w:rPr>
            </w:pPr>
            <w:r w:rsidRPr="00F92667">
              <w:rPr>
                <w:sz w:val="13"/>
                <w:szCs w:val="13"/>
              </w:rPr>
              <w:t>234,99</w:t>
            </w:r>
          </w:p>
        </w:tc>
        <w:tc>
          <w:tcPr>
            <w:tcW w:w="426" w:type="dxa"/>
            <w:vMerge w:val="restart"/>
            <w:tcBorders>
              <w:top w:val="nil"/>
              <w:left w:val="single" w:sz="4" w:space="0" w:color="auto"/>
              <w:bottom w:val="single" w:sz="4" w:space="0" w:color="000000"/>
              <w:right w:val="single" w:sz="4" w:space="0" w:color="auto"/>
            </w:tcBorders>
            <w:shd w:val="clear" w:color="auto" w:fill="auto"/>
            <w:tcMar>
              <w:left w:w="28" w:type="dxa"/>
              <w:right w:w="28" w:type="dxa"/>
            </w:tcMar>
            <w:textDirection w:val="btLr"/>
            <w:vAlign w:val="center"/>
            <w:hideMark/>
          </w:tcPr>
          <w:p w14:paraId="2D977468" w14:textId="77777777" w:rsidR="001C56BD" w:rsidRPr="00F92667" w:rsidRDefault="001C56BD" w:rsidP="008A5C11">
            <w:pPr>
              <w:jc w:val="center"/>
              <w:rPr>
                <w:sz w:val="13"/>
                <w:szCs w:val="13"/>
              </w:rPr>
            </w:pPr>
            <w:r w:rsidRPr="00F92667">
              <w:rPr>
                <w:sz w:val="13"/>
                <w:szCs w:val="13"/>
              </w:rPr>
              <w:t>234,99</w:t>
            </w:r>
          </w:p>
        </w:tc>
        <w:tc>
          <w:tcPr>
            <w:tcW w:w="425" w:type="dxa"/>
            <w:vMerge w:val="restart"/>
            <w:tcBorders>
              <w:top w:val="nil"/>
              <w:left w:val="single" w:sz="4" w:space="0" w:color="auto"/>
              <w:bottom w:val="single" w:sz="4" w:space="0" w:color="000000"/>
              <w:right w:val="single" w:sz="4" w:space="0" w:color="auto"/>
            </w:tcBorders>
            <w:shd w:val="clear" w:color="auto" w:fill="auto"/>
            <w:tcMar>
              <w:left w:w="28" w:type="dxa"/>
              <w:right w:w="28" w:type="dxa"/>
            </w:tcMar>
            <w:textDirection w:val="btLr"/>
            <w:vAlign w:val="center"/>
            <w:hideMark/>
          </w:tcPr>
          <w:p w14:paraId="26597474" w14:textId="77777777" w:rsidR="001C56BD" w:rsidRPr="00F92667" w:rsidRDefault="001C56BD" w:rsidP="008A5C11">
            <w:pPr>
              <w:jc w:val="center"/>
              <w:rPr>
                <w:sz w:val="13"/>
                <w:szCs w:val="13"/>
              </w:rPr>
            </w:pPr>
            <w:r w:rsidRPr="00F92667">
              <w:rPr>
                <w:sz w:val="13"/>
                <w:szCs w:val="13"/>
              </w:rPr>
              <w:t>234,99</w:t>
            </w:r>
          </w:p>
        </w:tc>
        <w:tc>
          <w:tcPr>
            <w:tcW w:w="425" w:type="dxa"/>
            <w:vMerge w:val="restart"/>
            <w:tcBorders>
              <w:top w:val="nil"/>
              <w:left w:val="single" w:sz="4" w:space="0" w:color="auto"/>
              <w:bottom w:val="single" w:sz="4" w:space="0" w:color="000000"/>
              <w:right w:val="single" w:sz="4" w:space="0" w:color="auto"/>
            </w:tcBorders>
            <w:shd w:val="clear" w:color="auto" w:fill="auto"/>
            <w:tcMar>
              <w:left w:w="28" w:type="dxa"/>
              <w:right w:w="28" w:type="dxa"/>
            </w:tcMar>
            <w:textDirection w:val="btLr"/>
            <w:vAlign w:val="center"/>
            <w:hideMark/>
          </w:tcPr>
          <w:p w14:paraId="50D5423B" w14:textId="77777777" w:rsidR="001C56BD" w:rsidRPr="00F92667" w:rsidRDefault="001C56BD" w:rsidP="008A5C11">
            <w:pPr>
              <w:jc w:val="center"/>
              <w:rPr>
                <w:sz w:val="13"/>
                <w:szCs w:val="13"/>
              </w:rPr>
            </w:pPr>
            <w:r w:rsidRPr="00F92667">
              <w:rPr>
                <w:sz w:val="13"/>
                <w:szCs w:val="13"/>
              </w:rPr>
              <w:t>234,99</w:t>
            </w:r>
          </w:p>
        </w:tc>
        <w:tc>
          <w:tcPr>
            <w:tcW w:w="425" w:type="dxa"/>
            <w:vMerge w:val="restart"/>
            <w:tcBorders>
              <w:top w:val="nil"/>
              <w:left w:val="single" w:sz="4" w:space="0" w:color="auto"/>
              <w:bottom w:val="single" w:sz="4" w:space="0" w:color="000000"/>
              <w:right w:val="single" w:sz="4" w:space="0" w:color="auto"/>
            </w:tcBorders>
            <w:shd w:val="clear" w:color="auto" w:fill="auto"/>
            <w:tcMar>
              <w:left w:w="28" w:type="dxa"/>
              <w:right w:w="28" w:type="dxa"/>
            </w:tcMar>
            <w:textDirection w:val="btLr"/>
            <w:vAlign w:val="center"/>
            <w:hideMark/>
          </w:tcPr>
          <w:p w14:paraId="205AC533" w14:textId="77777777" w:rsidR="001C56BD" w:rsidRPr="00F92667" w:rsidRDefault="001C56BD" w:rsidP="008A5C11">
            <w:pPr>
              <w:jc w:val="center"/>
              <w:rPr>
                <w:sz w:val="13"/>
                <w:szCs w:val="13"/>
              </w:rPr>
            </w:pPr>
            <w:r w:rsidRPr="00F92667">
              <w:rPr>
                <w:sz w:val="13"/>
                <w:szCs w:val="13"/>
              </w:rPr>
              <w:t>234,99</w:t>
            </w:r>
          </w:p>
        </w:tc>
        <w:tc>
          <w:tcPr>
            <w:tcW w:w="355" w:type="dxa"/>
            <w:vMerge w:val="restart"/>
            <w:tcBorders>
              <w:top w:val="nil"/>
              <w:left w:val="single" w:sz="4" w:space="0" w:color="auto"/>
              <w:bottom w:val="single" w:sz="4" w:space="0" w:color="000000"/>
              <w:right w:val="single" w:sz="4" w:space="0" w:color="auto"/>
            </w:tcBorders>
            <w:shd w:val="clear" w:color="auto" w:fill="auto"/>
            <w:tcMar>
              <w:left w:w="28" w:type="dxa"/>
              <w:right w:w="28" w:type="dxa"/>
            </w:tcMar>
            <w:textDirection w:val="btLr"/>
            <w:vAlign w:val="center"/>
            <w:hideMark/>
          </w:tcPr>
          <w:p w14:paraId="554C015B" w14:textId="77777777" w:rsidR="001C56BD" w:rsidRPr="00F92667" w:rsidRDefault="001C56BD" w:rsidP="008A5C11">
            <w:pPr>
              <w:jc w:val="center"/>
              <w:rPr>
                <w:sz w:val="13"/>
                <w:szCs w:val="13"/>
              </w:rPr>
            </w:pPr>
            <w:r w:rsidRPr="00F92667">
              <w:rPr>
                <w:sz w:val="13"/>
                <w:szCs w:val="13"/>
              </w:rPr>
              <w:t>234,99</w:t>
            </w:r>
          </w:p>
        </w:tc>
        <w:tc>
          <w:tcPr>
            <w:tcW w:w="354" w:type="dxa"/>
            <w:vMerge w:val="restart"/>
            <w:tcBorders>
              <w:top w:val="nil"/>
              <w:left w:val="single" w:sz="4" w:space="0" w:color="auto"/>
              <w:bottom w:val="single" w:sz="4" w:space="0" w:color="000000"/>
              <w:right w:val="single" w:sz="4" w:space="0" w:color="auto"/>
            </w:tcBorders>
            <w:shd w:val="clear" w:color="auto" w:fill="auto"/>
            <w:tcMar>
              <w:left w:w="28" w:type="dxa"/>
              <w:right w:w="28" w:type="dxa"/>
            </w:tcMar>
            <w:textDirection w:val="btLr"/>
            <w:vAlign w:val="center"/>
            <w:hideMark/>
          </w:tcPr>
          <w:p w14:paraId="5FDCD301" w14:textId="77777777" w:rsidR="001C56BD" w:rsidRPr="00F92667" w:rsidRDefault="001C56BD" w:rsidP="008A5C11">
            <w:pPr>
              <w:jc w:val="center"/>
              <w:rPr>
                <w:sz w:val="13"/>
                <w:szCs w:val="13"/>
              </w:rPr>
            </w:pPr>
            <w:r w:rsidRPr="00F92667">
              <w:rPr>
                <w:sz w:val="13"/>
                <w:szCs w:val="13"/>
              </w:rPr>
              <w:t>234,99</w:t>
            </w:r>
          </w:p>
        </w:tc>
      </w:tr>
      <w:tr w:rsidR="001C56BD" w:rsidRPr="00F92667" w14:paraId="032F9367" w14:textId="77777777" w:rsidTr="008A5C11">
        <w:trPr>
          <w:gridAfter w:val="1"/>
          <w:wAfter w:w="7" w:type="dxa"/>
          <w:trHeight w:val="458"/>
        </w:trPr>
        <w:tc>
          <w:tcPr>
            <w:tcW w:w="1011" w:type="dxa"/>
            <w:vMerge/>
            <w:tcBorders>
              <w:top w:val="nil"/>
              <w:left w:val="single" w:sz="4" w:space="0" w:color="auto"/>
              <w:bottom w:val="single" w:sz="4" w:space="0" w:color="auto"/>
              <w:right w:val="nil"/>
            </w:tcBorders>
            <w:tcMar>
              <w:left w:w="28" w:type="dxa"/>
              <w:right w:w="28" w:type="dxa"/>
            </w:tcMar>
            <w:vAlign w:val="center"/>
            <w:hideMark/>
          </w:tcPr>
          <w:p w14:paraId="16666286" w14:textId="77777777" w:rsidR="001C56BD" w:rsidRPr="00F92667" w:rsidRDefault="001C56BD" w:rsidP="008A5C11">
            <w:pPr>
              <w:rPr>
                <w:sz w:val="13"/>
                <w:szCs w:val="13"/>
              </w:rPr>
            </w:pPr>
          </w:p>
        </w:tc>
        <w:tc>
          <w:tcPr>
            <w:tcW w:w="566"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70DE5A6F" w14:textId="77777777" w:rsidR="001C56BD" w:rsidRPr="00F92667" w:rsidRDefault="001C56BD" w:rsidP="008A5C11">
            <w:pPr>
              <w:rPr>
                <w:sz w:val="13"/>
                <w:szCs w:val="13"/>
              </w:rPr>
            </w:pPr>
          </w:p>
        </w:tc>
        <w:tc>
          <w:tcPr>
            <w:tcW w:w="408"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1D405787" w14:textId="77777777" w:rsidR="001C56BD" w:rsidRPr="00F92667" w:rsidRDefault="001C56BD" w:rsidP="008A5C11">
            <w:pPr>
              <w:rPr>
                <w:sz w:val="13"/>
                <w:szCs w:val="13"/>
              </w:rPr>
            </w:pPr>
          </w:p>
        </w:tc>
        <w:tc>
          <w:tcPr>
            <w:tcW w:w="362"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486A8B9E" w14:textId="77777777" w:rsidR="001C56BD" w:rsidRPr="00F92667" w:rsidRDefault="001C56BD" w:rsidP="008A5C11">
            <w:pPr>
              <w:rPr>
                <w:sz w:val="13"/>
                <w:szCs w:val="13"/>
              </w:rPr>
            </w:pPr>
          </w:p>
        </w:tc>
        <w:tc>
          <w:tcPr>
            <w:tcW w:w="347"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3A7B015E" w14:textId="77777777" w:rsidR="001C56BD" w:rsidRPr="00F92667" w:rsidRDefault="001C56BD" w:rsidP="008A5C11">
            <w:pPr>
              <w:rPr>
                <w:sz w:val="13"/>
                <w:szCs w:val="13"/>
              </w:rPr>
            </w:pPr>
          </w:p>
        </w:tc>
        <w:tc>
          <w:tcPr>
            <w:tcW w:w="415"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1BF04C3E" w14:textId="77777777" w:rsidR="001C56BD" w:rsidRPr="00F92667" w:rsidRDefault="001C56BD" w:rsidP="008A5C11">
            <w:pPr>
              <w:rPr>
                <w:sz w:val="13"/>
                <w:szCs w:val="13"/>
              </w:rPr>
            </w:pPr>
          </w:p>
        </w:tc>
        <w:tc>
          <w:tcPr>
            <w:tcW w:w="436"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6CA998DF" w14:textId="77777777" w:rsidR="001C56BD" w:rsidRPr="00F92667" w:rsidRDefault="001C56BD" w:rsidP="008A5C11">
            <w:pPr>
              <w:rPr>
                <w:sz w:val="13"/>
                <w:szCs w:val="13"/>
              </w:rPr>
            </w:pPr>
          </w:p>
        </w:tc>
        <w:tc>
          <w:tcPr>
            <w:tcW w:w="380"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415AA59D" w14:textId="77777777" w:rsidR="001C56BD" w:rsidRPr="00F92667" w:rsidRDefault="001C56BD" w:rsidP="008A5C11">
            <w:pPr>
              <w:rPr>
                <w:sz w:val="13"/>
                <w:szCs w:val="13"/>
              </w:rPr>
            </w:pPr>
          </w:p>
        </w:tc>
        <w:tc>
          <w:tcPr>
            <w:tcW w:w="328"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4D904297" w14:textId="77777777" w:rsidR="001C56BD" w:rsidRPr="00F92667" w:rsidRDefault="001C56BD" w:rsidP="008A5C11">
            <w:pPr>
              <w:rPr>
                <w:sz w:val="13"/>
                <w:szCs w:val="13"/>
              </w:rPr>
            </w:pPr>
          </w:p>
        </w:tc>
        <w:tc>
          <w:tcPr>
            <w:tcW w:w="426"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32576A6E" w14:textId="77777777" w:rsidR="001C56BD" w:rsidRPr="00F92667" w:rsidRDefault="001C56BD" w:rsidP="008A5C11">
            <w:pPr>
              <w:rPr>
                <w:sz w:val="13"/>
                <w:szCs w:val="13"/>
              </w:rPr>
            </w:pPr>
          </w:p>
        </w:tc>
        <w:tc>
          <w:tcPr>
            <w:tcW w:w="325"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5E9AD40D" w14:textId="77777777" w:rsidR="001C56BD" w:rsidRPr="00F92667" w:rsidRDefault="001C56BD" w:rsidP="008A5C11">
            <w:pPr>
              <w:rPr>
                <w:sz w:val="13"/>
                <w:szCs w:val="13"/>
              </w:rPr>
            </w:pPr>
          </w:p>
        </w:tc>
        <w:tc>
          <w:tcPr>
            <w:tcW w:w="383"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74C5EB9C" w14:textId="77777777" w:rsidR="001C56BD" w:rsidRPr="00F92667" w:rsidRDefault="001C56BD" w:rsidP="008A5C11">
            <w:pPr>
              <w:rPr>
                <w:sz w:val="13"/>
                <w:szCs w:val="13"/>
              </w:rPr>
            </w:pPr>
          </w:p>
        </w:tc>
        <w:tc>
          <w:tcPr>
            <w:tcW w:w="555"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67ECA74C" w14:textId="77777777" w:rsidR="001C56BD" w:rsidRPr="00F92667" w:rsidRDefault="001C56BD" w:rsidP="008A5C11">
            <w:pPr>
              <w:rPr>
                <w:sz w:val="13"/>
                <w:szCs w:val="13"/>
              </w:rPr>
            </w:pPr>
          </w:p>
        </w:tc>
        <w:tc>
          <w:tcPr>
            <w:tcW w:w="475" w:type="dxa"/>
            <w:vMerge/>
            <w:tcBorders>
              <w:top w:val="nil"/>
              <w:left w:val="single" w:sz="4" w:space="0" w:color="auto"/>
              <w:bottom w:val="single" w:sz="4" w:space="0" w:color="000000"/>
              <w:right w:val="single" w:sz="4" w:space="0" w:color="auto"/>
            </w:tcBorders>
            <w:tcMar>
              <w:left w:w="28" w:type="dxa"/>
              <w:right w:w="28" w:type="dxa"/>
            </w:tcMar>
            <w:vAlign w:val="center"/>
            <w:hideMark/>
          </w:tcPr>
          <w:p w14:paraId="7CDAF08A" w14:textId="77777777" w:rsidR="001C56BD" w:rsidRPr="00F92667" w:rsidRDefault="001C56BD" w:rsidP="008A5C11">
            <w:pPr>
              <w:rPr>
                <w:sz w:val="13"/>
                <w:szCs w:val="13"/>
              </w:rPr>
            </w:pPr>
          </w:p>
        </w:tc>
        <w:tc>
          <w:tcPr>
            <w:tcW w:w="473" w:type="dxa"/>
            <w:vMerge/>
            <w:tcBorders>
              <w:top w:val="nil"/>
              <w:left w:val="single" w:sz="4" w:space="0" w:color="auto"/>
              <w:bottom w:val="single" w:sz="4" w:space="0" w:color="000000"/>
              <w:right w:val="single" w:sz="4" w:space="0" w:color="auto"/>
            </w:tcBorders>
            <w:tcMar>
              <w:left w:w="28" w:type="dxa"/>
              <w:right w:w="28" w:type="dxa"/>
            </w:tcMar>
            <w:vAlign w:val="center"/>
            <w:hideMark/>
          </w:tcPr>
          <w:p w14:paraId="764AC77B" w14:textId="77777777" w:rsidR="001C56BD" w:rsidRPr="00F92667" w:rsidRDefault="001C56BD" w:rsidP="008A5C11">
            <w:pPr>
              <w:rPr>
                <w:sz w:val="13"/>
                <w:szCs w:val="13"/>
              </w:rPr>
            </w:pPr>
          </w:p>
        </w:tc>
        <w:tc>
          <w:tcPr>
            <w:tcW w:w="473" w:type="dxa"/>
            <w:vMerge/>
            <w:tcBorders>
              <w:top w:val="nil"/>
              <w:left w:val="single" w:sz="4" w:space="0" w:color="auto"/>
              <w:bottom w:val="single" w:sz="4" w:space="0" w:color="000000"/>
              <w:right w:val="single" w:sz="4" w:space="0" w:color="auto"/>
            </w:tcBorders>
            <w:tcMar>
              <w:left w:w="28" w:type="dxa"/>
              <w:right w:w="28" w:type="dxa"/>
            </w:tcMar>
            <w:vAlign w:val="center"/>
            <w:hideMark/>
          </w:tcPr>
          <w:p w14:paraId="2DD3A282" w14:textId="77777777" w:rsidR="001C56BD" w:rsidRPr="00F92667" w:rsidRDefault="001C56BD" w:rsidP="008A5C11">
            <w:pPr>
              <w:rPr>
                <w:sz w:val="13"/>
                <w:szCs w:val="13"/>
              </w:rPr>
            </w:pPr>
          </w:p>
        </w:tc>
        <w:tc>
          <w:tcPr>
            <w:tcW w:w="361" w:type="dxa"/>
            <w:vMerge/>
            <w:tcBorders>
              <w:top w:val="nil"/>
              <w:left w:val="single" w:sz="4" w:space="0" w:color="auto"/>
              <w:bottom w:val="single" w:sz="4" w:space="0" w:color="000000"/>
              <w:right w:val="single" w:sz="4" w:space="0" w:color="auto"/>
            </w:tcBorders>
            <w:tcMar>
              <w:left w:w="28" w:type="dxa"/>
              <w:right w:w="28" w:type="dxa"/>
            </w:tcMar>
            <w:vAlign w:val="center"/>
            <w:hideMark/>
          </w:tcPr>
          <w:p w14:paraId="2B0E3390" w14:textId="77777777" w:rsidR="001C56BD" w:rsidRPr="00F92667" w:rsidRDefault="001C56BD" w:rsidP="008A5C11">
            <w:pPr>
              <w:rPr>
                <w:sz w:val="13"/>
                <w:szCs w:val="13"/>
              </w:rPr>
            </w:pPr>
          </w:p>
        </w:tc>
        <w:tc>
          <w:tcPr>
            <w:tcW w:w="408" w:type="dxa"/>
            <w:vMerge/>
            <w:tcBorders>
              <w:top w:val="nil"/>
              <w:left w:val="single" w:sz="4" w:space="0" w:color="auto"/>
              <w:bottom w:val="single" w:sz="4" w:space="0" w:color="000000"/>
              <w:right w:val="single" w:sz="4" w:space="0" w:color="auto"/>
            </w:tcBorders>
            <w:tcMar>
              <w:left w:w="28" w:type="dxa"/>
              <w:right w:w="28" w:type="dxa"/>
            </w:tcMar>
            <w:vAlign w:val="center"/>
            <w:hideMark/>
          </w:tcPr>
          <w:p w14:paraId="5ADCE916" w14:textId="77777777" w:rsidR="001C56BD" w:rsidRPr="00F92667" w:rsidRDefault="001C56BD" w:rsidP="008A5C11">
            <w:pPr>
              <w:rPr>
                <w:sz w:val="13"/>
                <w:szCs w:val="13"/>
              </w:rPr>
            </w:pPr>
          </w:p>
        </w:tc>
        <w:tc>
          <w:tcPr>
            <w:tcW w:w="360" w:type="dxa"/>
            <w:vMerge/>
            <w:tcBorders>
              <w:top w:val="nil"/>
              <w:left w:val="single" w:sz="4" w:space="0" w:color="auto"/>
              <w:bottom w:val="single" w:sz="4" w:space="0" w:color="000000"/>
              <w:right w:val="single" w:sz="4" w:space="0" w:color="auto"/>
            </w:tcBorders>
            <w:tcMar>
              <w:left w:w="28" w:type="dxa"/>
              <w:right w:w="28" w:type="dxa"/>
            </w:tcMar>
            <w:vAlign w:val="center"/>
            <w:hideMark/>
          </w:tcPr>
          <w:p w14:paraId="67E6DFA9" w14:textId="77777777" w:rsidR="001C56BD" w:rsidRPr="00F92667" w:rsidRDefault="001C56BD" w:rsidP="008A5C11">
            <w:pPr>
              <w:rPr>
                <w:sz w:val="13"/>
                <w:szCs w:val="13"/>
              </w:rPr>
            </w:pPr>
          </w:p>
        </w:tc>
        <w:tc>
          <w:tcPr>
            <w:tcW w:w="454" w:type="dxa"/>
            <w:vMerge/>
            <w:tcBorders>
              <w:top w:val="nil"/>
              <w:left w:val="single" w:sz="4" w:space="0" w:color="auto"/>
              <w:bottom w:val="single" w:sz="4" w:space="0" w:color="000000"/>
              <w:right w:val="single" w:sz="4" w:space="0" w:color="auto"/>
            </w:tcBorders>
            <w:tcMar>
              <w:left w:w="28" w:type="dxa"/>
              <w:right w:w="28" w:type="dxa"/>
            </w:tcMar>
            <w:vAlign w:val="center"/>
            <w:hideMark/>
          </w:tcPr>
          <w:p w14:paraId="1F1F3B1A" w14:textId="77777777" w:rsidR="001C56BD" w:rsidRPr="00F92667" w:rsidRDefault="001C56BD" w:rsidP="008A5C11">
            <w:pPr>
              <w:rPr>
                <w:sz w:val="13"/>
                <w:szCs w:val="13"/>
              </w:rPr>
            </w:pPr>
          </w:p>
        </w:tc>
        <w:tc>
          <w:tcPr>
            <w:tcW w:w="406" w:type="dxa"/>
            <w:vMerge/>
            <w:tcBorders>
              <w:top w:val="nil"/>
              <w:left w:val="single" w:sz="4" w:space="0" w:color="auto"/>
              <w:bottom w:val="single" w:sz="4" w:space="0" w:color="000000"/>
              <w:right w:val="single" w:sz="4" w:space="0" w:color="auto"/>
            </w:tcBorders>
            <w:tcMar>
              <w:left w:w="28" w:type="dxa"/>
              <w:right w:w="28" w:type="dxa"/>
            </w:tcMar>
            <w:vAlign w:val="center"/>
            <w:hideMark/>
          </w:tcPr>
          <w:p w14:paraId="0C2B0CB8" w14:textId="77777777" w:rsidR="001C56BD" w:rsidRPr="00F92667" w:rsidRDefault="001C56BD" w:rsidP="008A5C11">
            <w:pPr>
              <w:rPr>
                <w:sz w:val="13"/>
                <w:szCs w:val="13"/>
              </w:rPr>
            </w:pPr>
          </w:p>
        </w:tc>
        <w:tc>
          <w:tcPr>
            <w:tcW w:w="473" w:type="dxa"/>
            <w:vMerge/>
            <w:tcBorders>
              <w:top w:val="nil"/>
              <w:left w:val="single" w:sz="4" w:space="0" w:color="auto"/>
              <w:bottom w:val="single" w:sz="4" w:space="0" w:color="000000"/>
              <w:right w:val="single" w:sz="4" w:space="0" w:color="auto"/>
            </w:tcBorders>
            <w:tcMar>
              <w:left w:w="28" w:type="dxa"/>
              <w:right w:w="28" w:type="dxa"/>
            </w:tcMar>
            <w:vAlign w:val="center"/>
            <w:hideMark/>
          </w:tcPr>
          <w:p w14:paraId="6A93B221" w14:textId="77777777" w:rsidR="001C56BD" w:rsidRPr="00F92667" w:rsidRDefault="001C56BD" w:rsidP="008A5C11">
            <w:pPr>
              <w:rPr>
                <w:sz w:val="13"/>
                <w:szCs w:val="13"/>
              </w:rPr>
            </w:pPr>
          </w:p>
        </w:tc>
        <w:tc>
          <w:tcPr>
            <w:tcW w:w="433" w:type="dxa"/>
            <w:vMerge/>
            <w:tcBorders>
              <w:top w:val="nil"/>
              <w:left w:val="single" w:sz="4" w:space="0" w:color="auto"/>
              <w:bottom w:val="single" w:sz="4" w:space="0" w:color="000000"/>
              <w:right w:val="single" w:sz="4" w:space="0" w:color="auto"/>
            </w:tcBorders>
            <w:tcMar>
              <w:left w:w="28" w:type="dxa"/>
              <w:right w:w="28" w:type="dxa"/>
            </w:tcMar>
            <w:vAlign w:val="center"/>
            <w:hideMark/>
          </w:tcPr>
          <w:p w14:paraId="3F257A2C" w14:textId="77777777" w:rsidR="001C56BD" w:rsidRPr="00F92667" w:rsidRDefault="001C56BD" w:rsidP="008A5C11">
            <w:pPr>
              <w:rPr>
                <w:sz w:val="13"/>
                <w:szCs w:val="13"/>
              </w:rPr>
            </w:pPr>
          </w:p>
        </w:tc>
        <w:tc>
          <w:tcPr>
            <w:tcW w:w="567"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1BCCD030" w14:textId="77777777" w:rsidR="001C56BD" w:rsidRPr="00F92667" w:rsidRDefault="001C56BD" w:rsidP="008A5C11">
            <w:pPr>
              <w:rPr>
                <w:sz w:val="13"/>
                <w:szCs w:val="13"/>
              </w:rPr>
            </w:pPr>
          </w:p>
        </w:tc>
        <w:tc>
          <w:tcPr>
            <w:tcW w:w="426"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1B5B91FD" w14:textId="77777777" w:rsidR="001C56BD" w:rsidRPr="00F92667" w:rsidRDefault="001C56BD" w:rsidP="008A5C11">
            <w:pPr>
              <w:rPr>
                <w:sz w:val="13"/>
                <w:szCs w:val="13"/>
              </w:rPr>
            </w:pPr>
          </w:p>
        </w:tc>
        <w:tc>
          <w:tcPr>
            <w:tcW w:w="444" w:type="dxa"/>
            <w:vMerge/>
            <w:tcBorders>
              <w:top w:val="nil"/>
              <w:left w:val="single" w:sz="4" w:space="0" w:color="auto"/>
              <w:bottom w:val="single" w:sz="4" w:space="0" w:color="000000"/>
              <w:right w:val="single" w:sz="4" w:space="0" w:color="auto"/>
            </w:tcBorders>
            <w:tcMar>
              <w:left w:w="28" w:type="dxa"/>
              <w:right w:w="28" w:type="dxa"/>
            </w:tcMar>
            <w:vAlign w:val="center"/>
            <w:hideMark/>
          </w:tcPr>
          <w:p w14:paraId="22FC5481" w14:textId="77777777" w:rsidR="001C56BD" w:rsidRPr="00F92667" w:rsidRDefault="001C56BD" w:rsidP="008A5C11">
            <w:pPr>
              <w:rPr>
                <w:sz w:val="13"/>
                <w:szCs w:val="13"/>
              </w:rPr>
            </w:pPr>
          </w:p>
        </w:tc>
        <w:tc>
          <w:tcPr>
            <w:tcW w:w="425" w:type="dxa"/>
            <w:vMerge/>
            <w:tcBorders>
              <w:top w:val="nil"/>
              <w:left w:val="single" w:sz="4" w:space="0" w:color="auto"/>
              <w:bottom w:val="single" w:sz="4" w:space="0" w:color="000000"/>
              <w:right w:val="single" w:sz="4" w:space="0" w:color="auto"/>
            </w:tcBorders>
            <w:tcMar>
              <w:left w:w="28" w:type="dxa"/>
              <w:right w:w="28" w:type="dxa"/>
            </w:tcMar>
            <w:vAlign w:val="center"/>
            <w:hideMark/>
          </w:tcPr>
          <w:p w14:paraId="4542982D" w14:textId="77777777" w:rsidR="001C56BD" w:rsidRPr="00F92667" w:rsidRDefault="001C56BD" w:rsidP="008A5C11">
            <w:pPr>
              <w:rPr>
                <w:sz w:val="13"/>
                <w:szCs w:val="13"/>
              </w:rPr>
            </w:pPr>
          </w:p>
        </w:tc>
        <w:tc>
          <w:tcPr>
            <w:tcW w:w="425" w:type="dxa"/>
            <w:vMerge/>
            <w:tcBorders>
              <w:top w:val="nil"/>
              <w:left w:val="single" w:sz="4" w:space="0" w:color="auto"/>
              <w:bottom w:val="single" w:sz="4" w:space="0" w:color="000000"/>
              <w:right w:val="single" w:sz="4" w:space="0" w:color="auto"/>
            </w:tcBorders>
            <w:tcMar>
              <w:left w:w="28" w:type="dxa"/>
              <w:right w:w="28" w:type="dxa"/>
            </w:tcMar>
            <w:vAlign w:val="center"/>
            <w:hideMark/>
          </w:tcPr>
          <w:p w14:paraId="26D4E2D8" w14:textId="77777777" w:rsidR="001C56BD" w:rsidRPr="00F92667" w:rsidRDefault="001C56BD" w:rsidP="008A5C11">
            <w:pPr>
              <w:rPr>
                <w:sz w:val="13"/>
                <w:szCs w:val="13"/>
              </w:rPr>
            </w:pPr>
          </w:p>
        </w:tc>
        <w:tc>
          <w:tcPr>
            <w:tcW w:w="426" w:type="dxa"/>
            <w:vMerge/>
            <w:tcBorders>
              <w:top w:val="nil"/>
              <w:left w:val="single" w:sz="4" w:space="0" w:color="auto"/>
              <w:bottom w:val="single" w:sz="4" w:space="0" w:color="000000"/>
              <w:right w:val="single" w:sz="4" w:space="0" w:color="auto"/>
            </w:tcBorders>
            <w:tcMar>
              <w:left w:w="28" w:type="dxa"/>
              <w:right w:w="28" w:type="dxa"/>
            </w:tcMar>
            <w:vAlign w:val="center"/>
            <w:hideMark/>
          </w:tcPr>
          <w:p w14:paraId="500F52E8" w14:textId="77777777" w:rsidR="001C56BD" w:rsidRPr="00F92667" w:rsidRDefault="001C56BD" w:rsidP="008A5C11">
            <w:pPr>
              <w:rPr>
                <w:sz w:val="13"/>
                <w:szCs w:val="13"/>
              </w:rPr>
            </w:pPr>
          </w:p>
        </w:tc>
        <w:tc>
          <w:tcPr>
            <w:tcW w:w="425" w:type="dxa"/>
            <w:vMerge/>
            <w:tcBorders>
              <w:top w:val="nil"/>
              <w:left w:val="single" w:sz="4" w:space="0" w:color="auto"/>
              <w:bottom w:val="single" w:sz="4" w:space="0" w:color="000000"/>
              <w:right w:val="single" w:sz="4" w:space="0" w:color="auto"/>
            </w:tcBorders>
            <w:tcMar>
              <w:left w:w="28" w:type="dxa"/>
              <w:right w:w="28" w:type="dxa"/>
            </w:tcMar>
            <w:vAlign w:val="center"/>
            <w:hideMark/>
          </w:tcPr>
          <w:p w14:paraId="76EC7155" w14:textId="77777777" w:rsidR="001C56BD" w:rsidRPr="00F92667" w:rsidRDefault="001C56BD" w:rsidP="008A5C11">
            <w:pPr>
              <w:rPr>
                <w:sz w:val="13"/>
                <w:szCs w:val="13"/>
              </w:rPr>
            </w:pPr>
          </w:p>
        </w:tc>
        <w:tc>
          <w:tcPr>
            <w:tcW w:w="425" w:type="dxa"/>
            <w:vMerge/>
            <w:tcBorders>
              <w:top w:val="nil"/>
              <w:left w:val="single" w:sz="4" w:space="0" w:color="auto"/>
              <w:bottom w:val="single" w:sz="4" w:space="0" w:color="000000"/>
              <w:right w:val="single" w:sz="4" w:space="0" w:color="auto"/>
            </w:tcBorders>
            <w:tcMar>
              <w:left w:w="28" w:type="dxa"/>
              <w:right w:w="28" w:type="dxa"/>
            </w:tcMar>
            <w:vAlign w:val="center"/>
            <w:hideMark/>
          </w:tcPr>
          <w:p w14:paraId="67C4CF06" w14:textId="77777777" w:rsidR="001C56BD" w:rsidRPr="00F92667" w:rsidRDefault="001C56BD" w:rsidP="008A5C11">
            <w:pPr>
              <w:rPr>
                <w:sz w:val="13"/>
                <w:szCs w:val="13"/>
              </w:rPr>
            </w:pPr>
          </w:p>
        </w:tc>
        <w:tc>
          <w:tcPr>
            <w:tcW w:w="425" w:type="dxa"/>
            <w:vMerge/>
            <w:tcBorders>
              <w:top w:val="nil"/>
              <w:left w:val="single" w:sz="4" w:space="0" w:color="auto"/>
              <w:bottom w:val="single" w:sz="4" w:space="0" w:color="000000"/>
              <w:right w:val="single" w:sz="4" w:space="0" w:color="auto"/>
            </w:tcBorders>
            <w:tcMar>
              <w:left w:w="28" w:type="dxa"/>
              <w:right w:w="28" w:type="dxa"/>
            </w:tcMar>
            <w:vAlign w:val="center"/>
            <w:hideMark/>
          </w:tcPr>
          <w:p w14:paraId="044710D8" w14:textId="77777777" w:rsidR="001C56BD" w:rsidRPr="00F92667" w:rsidRDefault="001C56BD" w:rsidP="008A5C11">
            <w:pPr>
              <w:rPr>
                <w:sz w:val="13"/>
                <w:szCs w:val="13"/>
              </w:rPr>
            </w:pPr>
          </w:p>
        </w:tc>
        <w:tc>
          <w:tcPr>
            <w:tcW w:w="355" w:type="dxa"/>
            <w:vMerge/>
            <w:tcBorders>
              <w:top w:val="nil"/>
              <w:left w:val="single" w:sz="4" w:space="0" w:color="auto"/>
              <w:bottom w:val="single" w:sz="4" w:space="0" w:color="000000"/>
              <w:right w:val="single" w:sz="4" w:space="0" w:color="auto"/>
            </w:tcBorders>
            <w:tcMar>
              <w:left w:w="28" w:type="dxa"/>
              <w:right w:w="28" w:type="dxa"/>
            </w:tcMar>
            <w:vAlign w:val="center"/>
            <w:hideMark/>
          </w:tcPr>
          <w:p w14:paraId="355DE504" w14:textId="77777777" w:rsidR="001C56BD" w:rsidRPr="00F92667" w:rsidRDefault="001C56BD" w:rsidP="008A5C11">
            <w:pPr>
              <w:rPr>
                <w:sz w:val="13"/>
                <w:szCs w:val="13"/>
              </w:rPr>
            </w:pPr>
          </w:p>
        </w:tc>
        <w:tc>
          <w:tcPr>
            <w:tcW w:w="354" w:type="dxa"/>
            <w:vMerge/>
            <w:tcBorders>
              <w:top w:val="nil"/>
              <w:left w:val="single" w:sz="4" w:space="0" w:color="auto"/>
              <w:bottom w:val="single" w:sz="4" w:space="0" w:color="000000"/>
              <w:right w:val="single" w:sz="4" w:space="0" w:color="auto"/>
            </w:tcBorders>
            <w:tcMar>
              <w:left w:w="28" w:type="dxa"/>
              <w:right w:w="28" w:type="dxa"/>
            </w:tcMar>
            <w:vAlign w:val="center"/>
            <w:hideMark/>
          </w:tcPr>
          <w:p w14:paraId="6E27AD48" w14:textId="77777777" w:rsidR="001C56BD" w:rsidRPr="00F92667" w:rsidRDefault="001C56BD" w:rsidP="008A5C11">
            <w:pPr>
              <w:rPr>
                <w:sz w:val="13"/>
                <w:szCs w:val="13"/>
              </w:rPr>
            </w:pPr>
          </w:p>
        </w:tc>
      </w:tr>
    </w:tbl>
    <w:p w14:paraId="53368DCA" w14:textId="77777777" w:rsidR="001C56BD" w:rsidRPr="00F92667" w:rsidRDefault="001C56BD" w:rsidP="001C56BD">
      <w:pPr>
        <w:ind w:left="284" w:right="536"/>
        <w:jc w:val="center"/>
        <w:rPr>
          <w:b/>
          <w:bCs/>
          <w:sz w:val="28"/>
          <w:szCs w:val="28"/>
        </w:rPr>
      </w:pPr>
    </w:p>
    <w:p w14:paraId="6EEA6123" w14:textId="77777777" w:rsidR="001C56BD" w:rsidRPr="00F92667" w:rsidRDefault="001C56BD" w:rsidP="001C56BD">
      <w:pPr>
        <w:ind w:left="284" w:right="536"/>
        <w:jc w:val="center"/>
        <w:rPr>
          <w:b/>
          <w:bCs/>
          <w:sz w:val="28"/>
          <w:szCs w:val="28"/>
        </w:rPr>
      </w:pPr>
    </w:p>
    <w:p w14:paraId="309D7BFE" w14:textId="77777777" w:rsidR="001C56BD" w:rsidRPr="00F92667" w:rsidRDefault="001C56BD" w:rsidP="001C56BD">
      <w:pPr>
        <w:autoSpaceDE w:val="0"/>
        <w:autoSpaceDN w:val="0"/>
        <w:adjustRightInd w:val="0"/>
        <w:jc w:val="center"/>
        <w:rPr>
          <w:b/>
          <w:color w:val="000000"/>
          <w:sz w:val="28"/>
          <w:szCs w:val="28"/>
        </w:rPr>
      </w:pPr>
      <w:r w:rsidRPr="00F92667">
        <w:rPr>
          <w:b/>
          <w:bCs/>
          <w:sz w:val="28"/>
          <w:szCs w:val="28"/>
        </w:rPr>
        <w:t xml:space="preserve">Финансовый план в сфере теплоснабжения </w:t>
      </w:r>
      <w:r w:rsidRPr="00F92667">
        <w:rPr>
          <w:b/>
          <w:color w:val="000000"/>
          <w:sz w:val="28"/>
          <w:szCs w:val="28"/>
        </w:rPr>
        <w:t xml:space="preserve">АО «Кузбассэнерго» </w:t>
      </w:r>
    </w:p>
    <w:p w14:paraId="24AA97EA" w14:textId="77777777" w:rsidR="001C56BD" w:rsidRPr="00F92667" w:rsidRDefault="001C56BD" w:rsidP="001C56BD">
      <w:pPr>
        <w:autoSpaceDE w:val="0"/>
        <w:autoSpaceDN w:val="0"/>
        <w:adjustRightInd w:val="0"/>
        <w:jc w:val="center"/>
        <w:rPr>
          <w:b/>
          <w:bCs/>
          <w:sz w:val="28"/>
          <w:szCs w:val="28"/>
        </w:rPr>
      </w:pPr>
      <w:r w:rsidRPr="00F92667">
        <w:rPr>
          <w:b/>
          <w:color w:val="000000"/>
          <w:sz w:val="28"/>
          <w:szCs w:val="28"/>
        </w:rPr>
        <w:t xml:space="preserve">(филиал «Кемеровская теплосетевая компания») </w:t>
      </w:r>
      <w:r w:rsidRPr="00F92667">
        <w:rPr>
          <w:b/>
          <w:sz w:val="28"/>
          <w:szCs w:val="28"/>
        </w:rPr>
        <w:t>на 2022</w:t>
      </w:r>
      <w:r w:rsidRPr="00F92667">
        <w:rPr>
          <w:b/>
          <w:color w:val="000000"/>
          <w:sz w:val="28"/>
          <w:szCs w:val="28"/>
        </w:rPr>
        <w:t xml:space="preserve"> – 2031 годы</w:t>
      </w:r>
    </w:p>
    <w:p w14:paraId="3F92C147" w14:textId="77777777" w:rsidR="001C56BD" w:rsidRPr="00F92667" w:rsidRDefault="001C56BD" w:rsidP="001C56BD">
      <w:pPr>
        <w:jc w:val="center"/>
        <w:rPr>
          <w:bCs/>
          <w:color w:val="000000"/>
        </w:rPr>
      </w:pPr>
    </w:p>
    <w:p w14:paraId="7C0D8F64" w14:textId="77777777" w:rsidR="001C56BD" w:rsidRPr="00F92667" w:rsidRDefault="001C56BD" w:rsidP="001C56BD">
      <w:pPr>
        <w:jc w:val="center"/>
        <w:rPr>
          <w:bCs/>
          <w:color w:val="000000"/>
        </w:rPr>
      </w:pPr>
    </w:p>
    <w:tbl>
      <w:tblPr>
        <w:tblW w:w="15740"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2755"/>
        <w:gridCol w:w="1508"/>
        <w:gridCol w:w="992"/>
        <w:gridCol w:w="993"/>
        <w:gridCol w:w="992"/>
        <w:gridCol w:w="992"/>
        <w:gridCol w:w="992"/>
        <w:gridCol w:w="992"/>
        <w:gridCol w:w="993"/>
        <w:gridCol w:w="992"/>
        <w:gridCol w:w="992"/>
        <w:gridCol w:w="992"/>
        <w:gridCol w:w="998"/>
      </w:tblGrid>
      <w:tr w:rsidR="001C56BD" w:rsidRPr="00F92667" w14:paraId="03B3E105" w14:textId="77777777" w:rsidTr="008A5C11">
        <w:trPr>
          <w:trHeight w:val="458"/>
        </w:trPr>
        <w:tc>
          <w:tcPr>
            <w:tcW w:w="557" w:type="dxa"/>
            <w:vMerge w:val="restart"/>
            <w:shd w:val="clear" w:color="auto" w:fill="auto"/>
            <w:tcMar>
              <w:left w:w="28" w:type="dxa"/>
              <w:right w:w="28" w:type="dxa"/>
            </w:tcMar>
            <w:vAlign w:val="center"/>
            <w:hideMark/>
          </w:tcPr>
          <w:p w14:paraId="2F42DDEC" w14:textId="77777777" w:rsidR="001C56BD" w:rsidRPr="00F92667" w:rsidRDefault="001C56BD" w:rsidP="008A5C11">
            <w:pPr>
              <w:jc w:val="center"/>
              <w:rPr>
                <w:color w:val="000000"/>
                <w:sz w:val="18"/>
                <w:szCs w:val="18"/>
              </w:rPr>
            </w:pPr>
            <w:r w:rsidRPr="00F92667">
              <w:rPr>
                <w:color w:val="000000"/>
                <w:sz w:val="18"/>
                <w:szCs w:val="18"/>
              </w:rPr>
              <w:t>N п/п</w:t>
            </w:r>
          </w:p>
        </w:tc>
        <w:tc>
          <w:tcPr>
            <w:tcW w:w="2755" w:type="dxa"/>
            <w:vMerge w:val="restart"/>
            <w:shd w:val="clear" w:color="auto" w:fill="auto"/>
            <w:tcMar>
              <w:left w:w="28" w:type="dxa"/>
              <w:right w:w="28" w:type="dxa"/>
            </w:tcMar>
            <w:vAlign w:val="center"/>
            <w:hideMark/>
          </w:tcPr>
          <w:p w14:paraId="33488479" w14:textId="77777777" w:rsidR="001C56BD" w:rsidRPr="00F92667" w:rsidRDefault="001C56BD" w:rsidP="008A5C11">
            <w:pPr>
              <w:jc w:val="center"/>
              <w:rPr>
                <w:color w:val="000000"/>
                <w:sz w:val="18"/>
                <w:szCs w:val="18"/>
              </w:rPr>
            </w:pPr>
            <w:r w:rsidRPr="00F92667">
              <w:rPr>
                <w:color w:val="000000"/>
                <w:sz w:val="18"/>
                <w:szCs w:val="18"/>
              </w:rPr>
              <w:t>Источники финансирования</w:t>
            </w:r>
          </w:p>
        </w:tc>
        <w:tc>
          <w:tcPr>
            <w:tcW w:w="12428" w:type="dxa"/>
            <w:gridSpan w:val="12"/>
            <w:vMerge w:val="restart"/>
            <w:shd w:val="clear" w:color="auto" w:fill="auto"/>
            <w:tcMar>
              <w:left w:w="28" w:type="dxa"/>
              <w:right w:w="28" w:type="dxa"/>
            </w:tcMar>
            <w:vAlign w:val="center"/>
            <w:hideMark/>
          </w:tcPr>
          <w:p w14:paraId="000ED25A" w14:textId="77777777" w:rsidR="001C56BD" w:rsidRPr="00F92667" w:rsidRDefault="001C56BD" w:rsidP="008A5C11">
            <w:pPr>
              <w:jc w:val="center"/>
              <w:rPr>
                <w:color w:val="000000"/>
                <w:sz w:val="18"/>
                <w:szCs w:val="18"/>
              </w:rPr>
            </w:pPr>
            <w:r w:rsidRPr="00F92667">
              <w:rPr>
                <w:color w:val="000000"/>
                <w:sz w:val="18"/>
                <w:szCs w:val="18"/>
              </w:rPr>
              <w:t>Расходы на реализацию инвестиционной программы (тыс. руб.)</w:t>
            </w:r>
          </w:p>
          <w:p w14:paraId="53A8899B" w14:textId="77777777" w:rsidR="001C56BD" w:rsidRPr="00F92667" w:rsidRDefault="001C56BD" w:rsidP="008A5C11">
            <w:pPr>
              <w:jc w:val="center"/>
              <w:rPr>
                <w:color w:val="000000"/>
                <w:sz w:val="18"/>
                <w:szCs w:val="18"/>
              </w:rPr>
            </w:pPr>
            <w:r w:rsidRPr="00F92667">
              <w:rPr>
                <w:color w:val="000000"/>
                <w:sz w:val="18"/>
                <w:szCs w:val="18"/>
              </w:rPr>
              <w:t>(без НДС)</w:t>
            </w:r>
          </w:p>
        </w:tc>
      </w:tr>
      <w:tr w:rsidR="001C56BD" w:rsidRPr="00F92667" w14:paraId="5A803B5E" w14:textId="77777777" w:rsidTr="008A5C11">
        <w:trPr>
          <w:trHeight w:val="458"/>
        </w:trPr>
        <w:tc>
          <w:tcPr>
            <w:tcW w:w="557" w:type="dxa"/>
            <w:vMerge/>
            <w:tcMar>
              <w:left w:w="28" w:type="dxa"/>
              <w:right w:w="28" w:type="dxa"/>
            </w:tcMar>
            <w:vAlign w:val="center"/>
            <w:hideMark/>
          </w:tcPr>
          <w:p w14:paraId="26CC3889" w14:textId="77777777" w:rsidR="001C56BD" w:rsidRPr="00F92667" w:rsidRDefault="001C56BD" w:rsidP="008A5C11">
            <w:pPr>
              <w:rPr>
                <w:color w:val="000000"/>
                <w:sz w:val="18"/>
                <w:szCs w:val="18"/>
              </w:rPr>
            </w:pPr>
          </w:p>
        </w:tc>
        <w:tc>
          <w:tcPr>
            <w:tcW w:w="2755" w:type="dxa"/>
            <w:vMerge/>
            <w:tcMar>
              <w:left w:w="28" w:type="dxa"/>
              <w:right w:w="28" w:type="dxa"/>
            </w:tcMar>
            <w:vAlign w:val="center"/>
            <w:hideMark/>
          </w:tcPr>
          <w:p w14:paraId="03A1B0B2" w14:textId="77777777" w:rsidR="001C56BD" w:rsidRPr="00F92667" w:rsidRDefault="001C56BD" w:rsidP="008A5C11">
            <w:pPr>
              <w:rPr>
                <w:color w:val="000000"/>
                <w:sz w:val="18"/>
                <w:szCs w:val="18"/>
              </w:rPr>
            </w:pPr>
          </w:p>
        </w:tc>
        <w:tc>
          <w:tcPr>
            <w:tcW w:w="12428" w:type="dxa"/>
            <w:gridSpan w:val="12"/>
            <w:vMerge/>
            <w:tcMar>
              <w:left w:w="28" w:type="dxa"/>
              <w:right w:w="28" w:type="dxa"/>
            </w:tcMar>
            <w:vAlign w:val="center"/>
            <w:hideMark/>
          </w:tcPr>
          <w:p w14:paraId="6D0456BB" w14:textId="77777777" w:rsidR="001C56BD" w:rsidRPr="00F92667" w:rsidRDefault="001C56BD" w:rsidP="008A5C11">
            <w:pPr>
              <w:rPr>
                <w:color w:val="000000"/>
                <w:sz w:val="18"/>
                <w:szCs w:val="18"/>
              </w:rPr>
            </w:pPr>
          </w:p>
        </w:tc>
      </w:tr>
      <w:tr w:rsidR="001C56BD" w:rsidRPr="00F92667" w14:paraId="5435D37B" w14:textId="77777777" w:rsidTr="008A5C11">
        <w:trPr>
          <w:trHeight w:val="60"/>
        </w:trPr>
        <w:tc>
          <w:tcPr>
            <w:tcW w:w="557" w:type="dxa"/>
            <w:vMerge/>
            <w:tcMar>
              <w:left w:w="28" w:type="dxa"/>
              <w:right w:w="28" w:type="dxa"/>
            </w:tcMar>
            <w:vAlign w:val="center"/>
            <w:hideMark/>
          </w:tcPr>
          <w:p w14:paraId="047273AC" w14:textId="77777777" w:rsidR="001C56BD" w:rsidRPr="00F92667" w:rsidRDefault="001C56BD" w:rsidP="008A5C11">
            <w:pPr>
              <w:rPr>
                <w:color w:val="000000"/>
                <w:sz w:val="18"/>
                <w:szCs w:val="18"/>
              </w:rPr>
            </w:pPr>
          </w:p>
        </w:tc>
        <w:tc>
          <w:tcPr>
            <w:tcW w:w="2755" w:type="dxa"/>
            <w:vMerge/>
            <w:tcMar>
              <w:left w:w="28" w:type="dxa"/>
              <w:right w:w="28" w:type="dxa"/>
            </w:tcMar>
            <w:vAlign w:val="center"/>
            <w:hideMark/>
          </w:tcPr>
          <w:p w14:paraId="35CC3DE4" w14:textId="77777777" w:rsidR="001C56BD" w:rsidRPr="00F92667" w:rsidRDefault="001C56BD" w:rsidP="008A5C11">
            <w:pPr>
              <w:rPr>
                <w:color w:val="000000"/>
                <w:sz w:val="18"/>
                <w:szCs w:val="18"/>
              </w:rPr>
            </w:pPr>
          </w:p>
        </w:tc>
        <w:tc>
          <w:tcPr>
            <w:tcW w:w="1508" w:type="dxa"/>
            <w:shd w:val="clear" w:color="auto" w:fill="auto"/>
            <w:tcMar>
              <w:left w:w="28" w:type="dxa"/>
              <w:right w:w="28" w:type="dxa"/>
            </w:tcMar>
            <w:vAlign w:val="center"/>
            <w:hideMark/>
          </w:tcPr>
          <w:p w14:paraId="776F1457" w14:textId="77777777" w:rsidR="001C56BD" w:rsidRPr="00F92667" w:rsidRDefault="001C56BD" w:rsidP="008A5C11">
            <w:pPr>
              <w:jc w:val="center"/>
              <w:rPr>
                <w:color w:val="000000"/>
                <w:sz w:val="18"/>
                <w:szCs w:val="18"/>
              </w:rPr>
            </w:pPr>
            <w:r w:rsidRPr="00F92667">
              <w:rPr>
                <w:color w:val="000000"/>
                <w:sz w:val="18"/>
                <w:szCs w:val="18"/>
              </w:rPr>
              <w:t>по видам деятельности</w:t>
            </w:r>
          </w:p>
        </w:tc>
        <w:tc>
          <w:tcPr>
            <w:tcW w:w="992" w:type="dxa"/>
            <w:vMerge w:val="restart"/>
            <w:shd w:val="clear" w:color="auto" w:fill="auto"/>
            <w:tcMar>
              <w:left w:w="28" w:type="dxa"/>
              <w:right w:w="28" w:type="dxa"/>
            </w:tcMar>
            <w:vAlign w:val="center"/>
            <w:hideMark/>
          </w:tcPr>
          <w:p w14:paraId="7B6C3680" w14:textId="77777777" w:rsidR="001C56BD" w:rsidRPr="00F92667" w:rsidRDefault="001C56BD" w:rsidP="008A5C11">
            <w:pPr>
              <w:jc w:val="center"/>
              <w:rPr>
                <w:color w:val="000000"/>
                <w:sz w:val="18"/>
                <w:szCs w:val="18"/>
              </w:rPr>
            </w:pPr>
            <w:r w:rsidRPr="00F92667">
              <w:rPr>
                <w:color w:val="000000"/>
                <w:sz w:val="18"/>
                <w:szCs w:val="18"/>
              </w:rPr>
              <w:t>Всего</w:t>
            </w:r>
          </w:p>
        </w:tc>
        <w:tc>
          <w:tcPr>
            <w:tcW w:w="9928" w:type="dxa"/>
            <w:gridSpan w:val="10"/>
            <w:shd w:val="clear" w:color="auto" w:fill="auto"/>
            <w:tcMar>
              <w:left w:w="28" w:type="dxa"/>
              <w:right w:w="28" w:type="dxa"/>
            </w:tcMar>
            <w:vAlign w:val="center"/>
            <w:hideMark/>
          </w:tcPr>
          <w:p w14:paraId="0173D818" w14:textId="77777777" w:rsidR="001C56BD" w:rsidRPr="00F92667" w:rsidRDefault="001C56BD" w:rsidP="008A5C11">
            <w:pPr>
              <w:jc w:val="center"/>
              <w:rPr>
                <w:color w:val="000000"/>
                <w:sz w:val="18"/>
                <w:szCs w:val="18"/>
              </w:rPr>
            </w:pPr>
            <w:r w:rsidRPr="00F92667">
              <w:rPr>
                <w:color w:val="000000"/>
                <w:sz w:val="18"/>
                <w:szCs w:val="18"/>
              </w:rPr>
              <w:t>по годам реализации инвестпрограммы</w:t>
            </w:r>
          </w:p>
        </w:tc>
      </w:tr>
      <w:tr w:rsidR="001C56BD" w:rsidRPr="00F92667" w14:paraId="39B9F873" w14:textId="77777777" w:rsidTr="008A5C11">
        <w:trPr>
          <w:trHeight w:val="20"/>
        </w:trPr>
        <w:tc>
          <w:tcPr>
            <w:tcW w:w="557" w:type="dxa"/>
            <w:vMerge/>
            <w:tcMar>
              <w:left w:w="28" w:type="dxa"/>
              <w:right w:w="28" w:type="dxa"/>
            </w:tcMar>
            <w:vAlign w:val="center"/>
            <w:hideMark/>
          </w:tcPr>
          <w:p w14:paraId="2FFEE975" w14:textId="77777777" w:rsidR="001C56BD" w:rsidRPr="00F92667" w:rsidRDefault="001C56BD" w:rsidP="008A5C11">
            <w:pPr>
              <w:rPr>
                <w:color w:val="000000"/>
                <w:sz w:val="18"/>
                <w:szCs w:val="18"/>
              </w:rPr>
            </w:pPr>
          </w:p>
        </w:tc>
        <w:tc>
          <w:tcPr>
            <w:tcW w:w="2755" w:type="dxa"/>
            <w:vMerge/>
            <w:tcMar>
              <w:left w:w="28" w:type="dxa"/>
              <w:right w:w="28" w:type="dxa"/>
            </w:tcMar>
            <w:vAlign w:val="center"/>
            <w:hideMark/>
          </w:tcPr>
          <w:p w14:paraId="614EEF4A" w14:textId="77777777" w:rsidR="001C56BD" w:rsidRPr="00F92667" w:rsidRDefault="001C56BD" w:rsidP="008A5C11">
            <w:pPr>
              <w:rPr>
                <w:color w:val="000000"/>
                <w:sz w:val="18"/>
                <w:szCs w:val="18"/>
              </w:rPr>
            </w:pPr>
          </w:p>
        </w:tc>
        <w:tc>
          <w:tcPr>
            <w:tcW w:w="1508" w:type="dxa"/>
            <w:shd w:val="clear" w:color="auto" w:fill="auto"/>
            <w:tcMar>
              <w:left w:w="28" w:type="dxa"/>
              <w:right w:w="28" w:type="dxa"/>
            </w:tcMar>
            <w:vAlign w:val="center"/>
            <w:hideMark/>
          </w:tcPr>
          <w:p w14:paraId="2C3ED628" w14:textId="77777777" w:rsidR="001C56BD" w:rsidRPr="00F92667" w:rsidRDefault="001C56BD" w:rsidP="008A5C11">
            <w:pPr>
              <w:jc w:val="center"/>
              <w:rPr>
                <w:color w:val="000000"/>
                <w:sz w:val="18"/>
                <w:szCs w:val="18"/>
              </w:rPr>
            </w:pPr>
            <w:r w:rsidRPr="00F92667">
              <w:rPr>
                <w:color w:val="000000"/>
                <w:sz w:val="18"/>
                <w:szCs w:val="18"/>
              </w:rPr>
              <w:t>теплоснабжение</w:t>
            </w:r>
          </w:p>
        </w:tc>
        <w:tc>
          <w:tcPr>
            <w:tcW w:w="992" w:type="dxa"/>
            <w:vMerge/>
            <w:tcMar>
              <w:left w:w="28" w:type="dxa"/>
              <w:right w:w="28" w:type="dxa"/>
            </w:tcMar>
            <w:vAlign w:val="center"/>
            <w:hideMark/>
          </w:tcPr>
          <w:p w14:paraId="01AA8212" w14:textId="77777777" w:rsidR="001C56BD" w:rsidRPr="00F92667" w:rsidRDefault="001C56BD" w:rsidP="008A5C11">
            <w:pPr>
              <w:rPr>
                <w:color w:val="000000"/>
                <w:sz w:val="18"/>
                <w:szCs w:val="18"/>
              </w:rPr>
            </w:pPr>
          </w:p>
        </w:tc>
        <w:tc>
          <w:tcPr>
            <w:tcW w:w="993" w:type="dxa"/>
            <w:shd w:val="clear" w:color="auto" w:fill="auto"/>
            <w:tcMar>
              <w:left w:w="28" w:type="dxa"/>
              <w:right w:w="28" w:type="dxa"/>
            </w:tcMar>
            <w:vAlign w:val="center"/>
            <w:hideMark/>
          </w:tcPr>
          <w:p w14:paraId="054C8F3C" w14:textId="77777777" w:rsidR="001C56BD" w:rsidRPr="00F92667" w:rsidRDefault="001C56BD" w:rsidP="008A5C11">
            <w:pPr>
              <w:jc w:val="center"/>
              <w:rPr>
                <w:color w:val="000000"/>
                <w:sz w:val="18"/>
                <w:szCs w:val="18"/>
              </w:rPr>
            </w:pPr>
            <w:r w:rsidRPr="00F92667">
              <w:rPr>
                <w:color w:val="000000"/>
                <w:sz w:val="18"/>
                <w:szCs w:val="18"/>
              </w:rPr>
              <w:t>2022</w:t>
            </w:r>
          </w:p>
        </w:tc>
        <w:tc>
          <w:tcPr>
            <w:tcW w:w="992" w:type="dxa"/>
            <w:shd w:val="clear" w:color="auto" w:fill="auto"/>
            <w:tcMar>
              <w:left w:w="28" w:type="dxa"/>
              <w:right w:w="28" w:type="dxa"/>
            </w:tcMar>
            <w:vAlign w:val="center"/>
            <w:hideMark/>
          </w:tcPr>
          <w:p w14:paraId="651FA818" w14:textId="77777777" w:rsidR="001C56BD" w:rsidRPr="00F92667" w:rsidRDefault="001C56BD" w:rsidP="008A5C11">
            <w:pPr>
              <w:jc w:val="center"/>
              <w:rPr>
                <w:color w:val="000000"/>
                <w:sz w:val="18"/>
                <w:szCs w:val="18"/>
              </w:rPr>
            </w:pPr>
            <w:r w:rsidRPr="00F92667">
              <w:rPr>
                <w:color w:val="000000"/>
                <w:sz w:val="18"/>
                <w:szCs w:val="18"/>
              </w:rPr>
              <w:t>2023</w:t>
            </w:r>
          </w:p>
        </w:tc>
        <w:tc>
          <w:tcPr>
            <w:tcW w:w="992" w:type="dxa"/>
            <w:shd w:val="clear" w:color="auto" w:fill="auto"/>
            <w:tcMar>
              <w:left w:w="28" w:type="dxa"/>
              <w:right w:w="28" w:type="dxa"/>
            </w:tcMar>
            <w:vAlign w:val="center"/>
            <w:hideMark/>
          </w:tcPr>
          <w:p w14:paraId="0A809381" w14:textId="77777777" w:rsidR="001C56BD" w:rsidRPr="00F92667" w:rsidRDefault="001C56BD" w:rsidP="008A5C11">
            <w:pPr>
              <w:jc w:val="center"/>
              <w:rPr>
                <w:color w:val="000000"/>
                <w:sz w:val="18"/>
                <w:szCs w:val="18"/>
              </w:rPr>
            </w:pPr>
            <w:r w:rsidRPr="00F92667">
              <w:rPr>
                <w:color w:val="000000"/>
                <w:sz w:val="18"/>
                <w:szCs w:val="18"/>
              </w:rPr>
              <w:t>2024</w:t>
            </w:r>
          </w:p>
        </w:tc>
        <w:tc>
          <w:tcPr>
            <w:tcW w:w="992" w:type="dxa"/>
            <w:shd w:val="clear" w:color="auto" w:fill="auto"/>
            <w:tcMar>
              <w:left w:w="28" w:type="dxa"/>
              <w:right w:w="28" w:type="dxa"/>
            </w:tcMar>
            <w:vAlign w:val="center"/>
            <w:hideMark/>
          </w:tcPr>
          <w:p w14:paraId="01A76A8C" w14:textId="77777777" w:rsidR="001C56BD" w:rsidRPr="00F92667" w:rsidRDefault="001C56BD" w:rsidP="008A5C11">
            <w:pPr>
              <w:jc w:val="center"/>
              <w:rPr>
                <w:color w:val="000000"/>
                <w:sz w:val="18"/>
                <w:szCs w:val="18"/>
              </w:rPr>
            </w:pPr>
            <w:r w:rsidRPr="00F92667">
              <w:rPr>
                <w:color w:val="000000"/>
                <w:sz w:val="18"/>
                <w:szCs w:val="18"/>
              </w:rPr>
              <w:t>2025</w:t>
            </w:r>
          </w:p>
        </w:tc>
        <w:tc>
          <w:tcPr>
            <w:tcW w:w="992" w:type="dxa"/>
            <w:shd w:val="clear" w:color="auto" w:fill="auto"/>
            <w:tcMar>
              <w:left w:w="28" w:type="dxa"/>
              <w:right w:w="28" w:type="dxa"/>
            </w:tcMar>
            <w:vAlign w:val="center"/>
            <w:hideMark/>
          </w:tcPr>
          <w:p w14:paraId="0EAF368F" w14:textId="77777777" w:rsidR="001C56BD" w:rsidRPr="00F92667" w:rsidRDefault="001C56BD" w:rsidP="008A5C11">
            <w:pPr>
              <w:jc w:val="center"/>
              <w:rPr>
                <w:color w:val="000000"/>
                <w:sz w:val="18"/>
                <w:szCs w:val="18"/>
              </w:rPr>
            </w:pPr>
            <w:r w:rsidRPr="00F92667">
              <w:rPr>
                <w:color w:val="000000"/>
                <w:sz w:val="18"/>
                <w:szCs w:val="18"/>
              </w:rPr>
              <w:t>2026</w:t>
            </w:r>
          </w:p>
        </w:tc>
        <w:tc>
          <w:tcPr>
            <w:tcW w:w="993" w:type="dxa"/>
            <w:shd w:val="clear" w:color="auto" w:fill="auto"/>
            <w:tcMar>
              <w:left w:w="28" w:type="dxa"/>
              <w:right w:w="28" w:type="dxa"/>
            </w:tcMar>
            <w:vAlign w:val="center"/>
            <w:hideMark/>
          </w:tcPr>
          <w:p w14:paraId="72CCBA2E" w14:textId="77777777" w:rsidR="001C56BD" w:rsidRPr="00F92667" w:rsidRDefault="001C56BD" w:rsidP="008A5C11">
            <w:pPr>
              <w:jc w:val="center"/>
              <w:rPr>
                <w:color w:val="000000"/>
                <w:sz w:val="18"/>
                <w:szCs w:val="18"/>
              </w:rPr>
            </w:pPr>
            <w:r w:rsidRPr="00F92667">
              <w:rPr>
                <w:color w:val="000000"/>
                <w:sz w:val="18"/>
                <w:szCs w:val="18"/>
              </w:rPr>
              <w:t>2027</w:t>
            </w:r>
          </w:p>
        </w:tc>
        <w:tc>
          <w:tcPr>
            <w:tcW w:w="992" w:type="dxa"/>
            <w:shd w:val="clear" w:color="auto" w:fill="auto"/>
            <w:tcMar>
              <w:left w:w="28" w:type="dxa"/>
              <w:right w:w="28" w:type="dxa"/>
            </w:tcMar>
            <w:vAlign w:val="center"/>
            <w:hideMark/>
          </w:tcPr>
          <w:p w14:paraId="330F5ED3" w14:textId="77777777" w:rsidR="001C56BD" w:rsidRPr="00F92667" w:rsidRDefault="001C56BD" w:rsidP="008A5C11">
            <w:pPr>
              <w:jc w:val="center"/>
              <w:rPr>
                <w:color w:val="000000"/>
                <w:sz w:val="18"/>
                <w:szCs w:val="18"/>
              </w:rPr>
            </w:pPr>
            <w:r w:rsidRPr="00F92667">
              <w:rPr>
                <w:color w:val="000000"/>
                <w:sz w:val="18"/>
                <w:szCs w:val="18"/>
              </w:rPr>
              <w:t>2028</w:t>
            </w:r>
          </w:p>
        </w:tc>
        <w:tc>
          <w:tcPr>
            <w:tcW w:w="992" w:type="dxa"/>
            <w:shd w:val="clear" w:color="auto" w:fill="auto"/>
            <w:tcMar>
              <w:left w:w="28" w:type="dxa"/>
              <w:right w:w="28" w:type="dxa"/>
            </w:tcMar>
            <w:vAlign w:val="center"/>
            <w:hideMark/>
          </w:tcPr>
          <w:p w14:paraId="6FB59A4B" w14:textId="77777777" w:rsidR="001C56BD" w:rsidRPr="00F92667" w:rsidRDefault="001C56BD" w:rsidP="008A5C11">
            <w:pPr>
              <w:jc w:val="center"/>
              <w:rPr>
                <w:color w:val="000000"/>
                <w:sz w:val="18"/>
                <w:szCs w:val="18"/>
              </w:rPr>
            </w:pPr>
            <w:r w:rsidRPr="00F92667">
              <w:rPr>
                <w:color w:val="000000"/>
                <w:sz w:val="18"/>
                <w:szCs w:val="18"/>
              </w:rPr>
              <w:t>2029</w:t>
            </w:r>
          </w:p>
        </w:tc>
        <w:tc>
          <w:tcPr>
            <w:tcW w:w="992" w:type="dxa"/>
            <w:shd w:val="clear" w:color="auto" w:fill="auto"/>
            <w:tcMar>
              <w:left w:w="28" w:type="dxa"/>
              <w:right w:w="28" w:type="dxa"/>
            </w:tcMar>
            <w:vAlign w:val="center"/>
            <w:hideMark/>
          </w:tcPr>
          <w:p w14:paraId="24ED20B1" w14:textId="77777777" w:rsidR="001C56BD" w:rsidRPr="00F92667" w:rsidRDefault="001C56BD" w:rsidP="008A5C11">
            <w:pPr>
              <w:jc w:val="center"/>
              <w:rPr>
                <w:color w:val="000000"/>
                <w:sz w:val="18"/>
                <w:szCs w:val="18"/>
              </w:rPr>
            </w:pPr>
            <w:r w:rsidRPr="00F92667">
              <w:rPr>
                <w:color w:val="000000"/>
                <w:sz w:val="18"/>
                <w:szCs w:val="18"/>
              </w:rPr>
              <w:t>2030</w:t>
            </w:r>
          </w:p>
        </w:tc>
        <w:tc>
          <w:tcPr>
            <w:tcW w:w="998" w:type="dxa"/>
            <w:shd w:val="clear" w:color="auto" w:fill="auto"/>
            <w:tcMar>
              <w:left w:w="28" w:type="dxa"/>
              <w:right w:w="28" w:type="dxa"/>
            </w:tcMar>
            <w:vAlign w:val="center"/>
            <w:hideMark/>
          </w:tcPr>
          <w:p w14:paraId="380BDA14" w14:textId="77777777" w:rsidR="001C56BD" w:rsidRPr="00F92667" w:rsidRDefault="001C56BD" w:rsidP="008A5C11">
            <w:pPr>
              <w:jc w:val="center"/>
              <w:rPr>
                <w:color w:val="000000"/>
                <w:sz w:val="18"/>
                <w:szCs w:val="18"/>
              </w:rPr>
            </w:pPr>
            <w:r w:rsidRPr="00F92667">
              <w:rPr>
                <w:color w:val="000000"/>
                <w:sz w:val="18"/>
                <w:szCs w:val="18"/>
              </w:rPr>
              <w:t>2031</w:t>
            </w:r>
          </w:p>
        </w:tc>
      </w:tr>
      <w:tr w:rsidR="001C56BD" w:rsidRPr="00F92667" w14:paraId="1FCBC503" w14:textId="77777777" w:rsidTr="008A5C11">
        <w:trPr>
          <w:trHeight w:val="20"/>
        </w:trPr>
        <w:tc>
          <w:tcPr>
            <w:tcW w:w="557" w:type="dxa"/>
            <w:shd w:val="clear" w:color="auto" w:fill="auto"/>
            <w:tcMar>
              <w:left w:w="28" w:type="dxa"/>
              <w:right w:w="28" w:type="dxa"/>
            </w:tcMar>
            <w:vAlign w:val="center"/>
            <w:hideMark/>
          </w:tcPr>
          <w:p w14:paraId="2E7D1CAF" w14:textId="77777777" w:rsidR="001C56BD" w:rsidRPr="00F92667" w:rsidRDefault="001C56BD" w:rsidP="008A5C11">
            <w:pPr>
              <w:jc w:val="center"/>
              <w:rPr>
                <w:color w:val="000000"/>
                <w:sz w:val="18"/>
                <w:szCs w:val="18"/>
              </w:rPr>
            </w:pPr>
            <w:r w:rsidRPr="00F92667">
              <w:rPr>
                <w:color w:val="000000"/>
                <w:sz w:val="18"/>
                <w:szCs w:val="18"/>
              </w:rPr>
              <w:t>1</w:t>
            </w:r>
          </w:p>
        </w:tc>
        <w:tc>
          <w:tcPr>
            <w:tcW w:w="2755" w:type="dxa"/>
            <w:shd w:val="clear" w:color="auto" w:fill="auto"/>
            <w:tcMar>
              <w:left w:w="28" w:type="dxa"/>
              <w:right w:w="28" w:type="dxa"/>
            </w:tcMar>
            <w:vAlign w:val="center"/>
            <w:hideMark/>
          </w:tcPr>
          <w:p w14:paraId="10C2354D" w14:textId="77777777" w:rsidR="001C56BD" w:rsidRPr="00F92667" w:rsidRDefault="001C56BD" w:rsidP="008A5C11">
            <w:pPr>
              <w:jc w:val="center"/>
              <w:rPr>
                <w:color w:val="000000"/>
                <w:sz w:val="18"/>
                <w:szCs w:val="18"/>
              </w:rPr>
            </w:pPr>
            <w:r w:rsidRPr="00F92667">
              <w:rPr>
                <w:color w:val="000000"/>
                <w:sz w:val="18"/>
                <w:szCs w:val="18"/>
              </w:rPr>
              <w:t>2</w:t>
            </w:r>
          </w:p>
        </w:tc>
        <w:tc>
          <w:tcPr>
            <w:tcW w:w="1508" w:type="dxa"/>
            <w:shd w:val="clear" w:color="auto" w:fill="auto"/>
            <w:tcMar>
              <w:left w:w="28" w:type="dxa"/>
              <w:right w:w="28" w:type="dxa"/>
            </w:tcMar>
            <w:vAlign w:val="center"/>
            <w:hideMark/>
          </w:tcPr>
          <w:p w14:paraId="058388A4" w14:textId="77777777" w:rsidR="001C56BD" w:rsidRPr="00F92667" w:rsidRDefault="001C56BD" w:rsidP="008A5C11">
            <w:pPr>
              <w:jc w:val="center"/>
              <w:rPr>
                <w:color w:val="000000"/>
                <w:sz w:val="18"/>
                <w:szCs w:val="18"/>
              </w:rPr>
            </w:pPr>
            <w:r w:rsidRPr="00F92667">
              <w:rPr>
                <w:color w:val="000000"/>
                <w:sz w:val="18"/>
                <w:szCs w:val="18"/>
              </w:rPr>
              <w:t>3</w:t>
            </w:r>
          </w:p>
        </w:tc>
        <w:tc>
          <w:tcPr>
            <w:tcW w:w="992" w:type="dxa"/>
            <w:shd w:val="clear" w:color="auto" w:fill="auto"/>
            <w:tcMar>
              <w:left w:w="28" w:type="dxa"/>
              <w:right w:w="28" w:type="dxa"/>
            </w:tcMar>
            <w:vAlign w:val="center"/>
            <w:hideMark/>
          </w:tcPr>
          <w:p w14:paraId="221DC1DD" w14:textId="77777777" w:rsidR="001C56BD" w:rsidRPr="00F92667" w:rsidRDefault="001C56BD" w:rsidP="008A5C11">
            <w:pPr>
              <w:jc w:val="center"/>
              <w:rPr>
                <w:color w:val="000000"/>
                <w:sz w:val="18"/>
                <w:szCs w:val="18"/>
              </w:rPr>
            </w:pPr>
            <w:r w:rsidRPr="00F92667">
              <w:rPr>
                <w:color w:val="000000"/>
                <w:sz w:val="18"/>
                <w:szCs w:val="18"/>
              </w:rPr>
              <w:t>4</w:t>
            </w:r>
          </w:p>
        </w:tc>
        <w:tc>
          <w:tcPr>
            <w:tcW w:w="993" w:type="dxa"/>
            <w:tcBorders>
              <w:bottom w:val="single" w:sz="4" w:space="0" w:color="auto"/>
            </w:tcBorders>
            <w:shd w:val="clear" w:color="auto" w:fill="auto"/>
            <w:tcMar>
              <w:left w:w="28" w:type="dxa"/>
              <w:right w:w="28" w:type="dxa"/>
            </w:tcMar>
            <w:vAlign w:val="center"/>
            <w:hideMark/>
          </w:tcPr>
          <w:p w14:paraId="6AA2FD4B" w14:textId="77777777" w:rsidR="001C56BD" w:rsidRPr="00F92667" w:rsidRDefault="001C56BD" w:rsidP="008A5C11">
            <w:pPr>
              <w:jc w:val="center"/>
              <w:rPr>
                <w:color w:val="000000"/>
                <w:sz w:val="18"/>
                <w:szCs w:val="18"/>
              </w:rPr>
            </w:pPr>
            <w:r w:rsidRPr="00F92667">
              <w:rPr>
                <w:color w:val="000000"/>
                <w:sz w:val="18"/>
                <w:szCs w:val="18"/>
              </w:rPr>
              <w:t>5</w:t>
            </w:r>
          </w:p>
        </w:tc>
        <w:tc>
          <w:tcPr>
            <w:tcW w:w="992" w:type="dxa"/>
            <w:tcBorders>
              <w:bottom w:val="single" w:sz="4" w:space="0" w:color="auto"/>
            </w:tcBorders>
            <w:shd w:val="clear" w:color="auto" w:fill="auto"/>
            <w:tcMar>
              <w:left w:w="28" w:type="dxa"/>
              <w:right w:w="28" w:type="dxa"/>
            </w:tcMar>
            <w:vAlign w:val="center"/>
            <w:hideMark/>
          </w:tcPr>
          <w:p w14:paraId="09DC276D" w14:textId="77777777" w:rsidR="001C56BD" w:rsidRPr="00F92667" w:rsidRDefault="001C56BD" w:rsidP="008A5C11">
            <w:pPr>
              <w:jc w:val="center"/>
              <w:rPr>
                <w:color w:val="000000"/>
                <w:sz w:val="18"/>
                <w:szCs w:val="18"/>
              </w:rPr>
            </w:pPr>
            <w:r w:rsidRPr="00F92667">
              <w:rPr>
                <w:color w:val="000000"/>
                <w:sz w:val="18"/>
                <w:szCs w:val="18"/>
              </w:rPr>
              <w:t>6</w:t>
            </w:r>
          </w:p>
        </w:tc>
        <w:tc>
          <w:tcPr>
            <w:tcW w:w="992" w:type="dxa"/>
            <w:tcBorders>
              <w:bottom w:val="single" w:sz="4" w:space="0" w:color="auto"/>
            </w:tcBorders>
            <w:shd w:val="clear" w:color="auto" w:fill="auto"/>
            <w:tcMar>
              <w:left w:w="28" w:type="dxa"/>
              <w:right w:w="28" w:type="dxa"/>
            </w:tcMar>
            <w:vAlign w:val="center"/>
            <w:hideMark/>
          </w:tcPr>
          <w:p w14:paraId="5DE139C4" w14:textId="77777777" w:rsidR="001C56BD" w:rsidRPr="00F92667" w:rsidRDefault="001C56BD" w:rsidP="008A5C11">
            <w:pPr>
              <w:jc w:val="center"/>
              <w:rPr>
                <w:color w:val="000000"/>
                <w:sz w:val="18"/>
                <w:szCs w:val="18"/>
              </w:rPr>
            </w:pPr>
            <w:r w:rsidRPr="00F92667">
              <w:rPr>
                <w:color w:val="000000"/>
                <w:sz w:val="18"/>
                <w:szCs w:val="18"/>
              </w:rPr>
              <w:t>7</w:t>
            </w:r>
          </w:p>
        </w:tc>
        <w:tc>
          <w:tcPr>
            <w:tcW w:w="992" w:type="dxa"/>
            <w:tcBorders>
              <w:bottom w:val="single" w:sz="4" w:space="0" w:color="auto"/>
            </w:tcBorders>
            <w:shd w:val="clear" w:color="auto" w:fill="auto"/>
            <w:tcMar>
              <w:left w:w="28" w:type="dxa"/>
              <w:right w:w="28" w:type="dxa"/>
            </w:tcMar>
            <w:vAlign w:val="center"/>
            <w:hideMark/>
          </w:tcPr>
          <w:p w14:paraId="247204BF" w14:textId="77777777" w:rsidR="001C56BD" w:rsidRPr="00F92667" w:rsidRDefault="001C56BD" w:rsidP="008A5C11">
            <w:pPr>
              <w:jc w:val="center"/>
              <w:rPr>
                <w:color w:val="000000"/>
                <w:sz w:val="18"/>
                <w:szCs w:val="18"/>
              </w:rPr>
            </w:pPr>
            <w:r w:rsidRPr="00F92667">
              <w:rPr>
                <w:color w:val="000000"/>
                <w:sz w:val="18"/>
                <w:szCs w:val="18"/>
              </w:rPr>
              <w:t>8</w:t>
            </w:r>
          </w:p>
        </w:tc>
        <w:tc>
          <w:tcPr>
            <w:tcW w:w="992" w:type="dxa"/>
            <w:tcBorders>
              <w:bottom w:val="single" w:sz="4" w:space="0" w:color="auto"/>
            </w:tcBorders>
            <w:shd w:val="clear" w:color="auto" w:fill="auto"/>
            <w:tcMar>
              <w:left w:w="28" w:type="dxa"/>
              <w:right w:w="28" w:type="dxa"/>
            </w:tcMar>
            <w:vAlign w:val="center"/>
            <w:hideMark/>
          </w:tcPr>
          <w:p w14:paraId="452CE67B" w14:textId="77777777" w:rsidR="001C56BD" w:rsidRPr="00F92667" w:rsidRDefault="001C56BD" w:rsidP="008A5C11">
            <w:pPr>
              <w:jc w:val="center"/>
              <w:rPr>
                <w:color w:val="000000"/>
                <w:sz w:val="18"/>
                <w:szCs w:val="18"/>
              </w:rPr>
            </w:pPr>
            <w:r w:rsidRPr="00F92667">
              <w:rPr>
                <w:color w:val="000000"/>
                <w:sz w:val="18"/>
                <w:szCs w:val="18"/>
              </w:rPr>
              <w:t>9</w:t>
            </w:r>
          </w:p>
        </w:tc>
        <w:tc>
          <w:tcPr>
            <w:tcW w:w="993" w:type="dxa"/>
            <w:tcBorders>
              <w:bottom w:val="single" w:sz="4" w:space="0" w:color="auto"/>
            </w:tcBorders>
            <w:shd w:val="clear" w:color="auto" w:fill="auto"/>
            <w:tcMar>
              <w:left w:w="28" w:type="dxa"/>
              <w:right w:w="28" w:type="dxa"/>
            </w:tcMar>
            <w:vAlign w:val="center"/>
            <w:hideMark/>
          </w:tcPr>
          <w:p w14:paraId="6692E761" w14:textId="77777777" w:rsidR="001C56BD" w:rsidRPr="00F92667" w:rsidRDefault="001C56BD" w:rsidP="008A5C11">
            <w:pPr>
              <w:jc w:val="center"/>
              <w:rPr>
                <w:color w:val="000000"/>
                <w:sz w:val="18"/>
                <w:szCs w:val="18"/>
              </w:rPr>
            </w:pPr>
            <w:r w:rsidRPr="00F92667">
              <w:rPr>
                <w:color w:val="000000"/>
                <w:sz w:val="18"/>
                <w:szCs w:val="18"/>
              </w:rPr>
              <w:t>10</w:t>
            </w:r>
          </w:p>
        </w:tc>
        <w:tc>
          <w:tcPr>
            <w:tcW w:w="992" w:type="dxa"/>
            <w:tcBorders>
              <w:bottom w:val="single" w:sz="4" w:space="0" w:color="auto"/>
            </w:tcBorders>
            <w:shd w:val="clear" w:color="auto" w:fill="auto"/>
            <w:tcMar>
              <w:left w:w="28" w:type="dxa"/>
              <w:right w:w="28" w:type="dxa"/>
            </w:tcMar>
            <w:vAlign w:val="center"/>
            <w:hideMark/>
          </w:tcPr>
          <w:p w14:paraId="2CC36741" w14:textId="77777777" w:rsidR="001C56BD" w:rsidRPr="00F92667" w:rsidRDefault="001C56BD" w:rsidP="008A5C11">
            <w:pPr>
              <w:jc w:val="center"/>
              <w:rPr>
                <w:color w:val="000000"/>
                <w:sz w:val="18"/>
                <w:szCs w:val="18"/>
              </w:rPr>
            </w:pPr>
            <w:r w:rsidRPr="00F92667">
              <w:rPr>
                <w:color w:val="000000"/>
                <w:sz w:val="18"/>
                <w:szCs w:val="18"/>
              </w:rPr>
              <w:t>11</w:t>
            </w:r>
          </w:p>
        </w:tc>
        <w:tc>
          <w:tcPr>
            <w:tcW w:w="992" w:type="dxa"/>
            <w:tcBorders>
              <w:bottom w:val="single" w:sz="4" w:space="0" w:color="auto"/>
            </w:tcBorders>
            <w:shd w:val="clear" w:color="auto" w:fill="auto"/>
            <w:tcMar>
              <w:left w:w="28" w:type="dxa"/>
              <w:right w:w="28" w:type="dxa"/>
            </w:tcMar>
            <w:vAlign w:val="center"/>
            <w:hideMark/>
          </w:tcPr>
          <w:p w14:paraId="5F5CFB7B" w14:textId="77777777" w:rsidR="001C56BD" w:rsidRPr="00F92667" w:rsidRDefault="001C56BD" w:rsidP="008A5C11">
            <w:pPr>
              <w:jc w:val="center"/>
              <w:rPr>
                <w:color w:val="000000"/>
                <w:sz w:val="18"/>
                <w:szCs w:val="18"/>
              </w:rPr>
            </w:pPr>
            <w:r w:rsidRPr="00F92667">
              <w:rPr>
                <w:color w:val="000000"/>
                <w:sz w:val="18"/>
                <w:szCs w:val="18"/>
              </w:rPr>
              <w:t>12</w:t>
            </w:r>
          </w:p>
        </w:tc>
        <w:tc>
          <w:tcPr>
            <w:tcW w:w="992" w:type="dxa"/>
            <w:tcBorders>
              <w:bottom w:val="single" w:sz="4" w:space="0" w:color="auto"/>
            </w:tcBorders>
            <w:shd w:val="clear" w:color="auto" w:fill="auto"/>
            <w:tcMar>
              <w:left w:w="28" w:type="dxa"/>
              <w:right w:w="28" w:type="dxa"/>
            </w:tcMar>
            <w:vAlign w:val="center"/>
            <w:hideMark/>
          </w:tcPr>
          <w:p w14:paraId="0D2899D8" w14:textId="77777777" w:rsidR="001C56BD" w:rsidRPr="00F92667" w:rsidRDefault="001C56BD" w:rsidP="008A5C11">
            <w:pPr>
              <w:jc w:val="center"/>
              <w:rPr>
                <w:color w:val="000000"/>
                <w:sz w:val="18"/>
                <w:szCs w:val="18"/>
              </w:rPr>
            </w:pPr>
            <w:r w:rsidRPr="00F92667">
              <w:rPr>
                <w:color w:val="000000"/>
                <w:sz w:val="18"/>
                <w:szCs w:val="18"/>
              </w:rPr>
              <w:t>13</w:t>
            </w:r>
          </w:p>
        </w:tc>
        <w:tc>
          <w:tcPr>
            <w:tcW w:w="998" w:type="dxa"/>
            <w:tcBorders>
              <w:bottom w:val="single" w:sz="4" w:space="0" w:color="auto"/>
            </w:tcBorders>
            <w:shd w:val="clear" w:color="auto" w:fill="auto"/>
            <w:tcMar>
              <w:left w:w="28" w:type="dxa"/>
              <w:right w:w="28" w:type="dxa"/>
            </w:tcMar>
            <w:vAlign w:val="center"/>
            <w:hideMark/>
          </w:tcPr>
          <w:p w14:paraId="69A2A61E" w14:textId="77777777" w:rsidR="001C56BD" w:rsidRPr="00F92667" w:rsidRDefault="001C56BD" w:rsidP="008A5C11">
            <w:pPr>
              <w:jc w:val="center"/>
              <w:rPr>
                <w:color w:val="000000"/>
                <w:sz w:val="18"/>
                <w:szCs w:val="18"/>
              </w:rPr>
            </w:pPr>
            <w:r w:rsidRPr="00F92667">
              <w:rPr>
                <w:color w:val="000000"/>
                <w:sz w:val="18"/>
                <w:szCs w:val="18"/>
              </w:rPr>
              <w:t>14</w:t>
            </w:r>
          </w:p>
        </w:tc>
      </w:tr>
      <w:tr w:rsidR="001C56BD" w:rsidRPr="00F92667" w14:paraId="2C41C231" w14:textId="77777777" w:rsidTr="008A5C11">
        <w:trPr>
          <w:trHeight w:val="20"/>
        </w:trPr>
        <w:tc>
          <w:tcPr>
            <w:tcW w:w="557" w:type="dxa"/>
            <w:shd w:val="clear" w:color="auto" w:fill="auto"/>
            <w:tcMar>
              <w:left w:w="28" w:type="dxa"/>
              <w:right w:w="28" w:type="dxa"/>
            </w:tcMar>
            <w:vAlign w:val="center"/>
            <w:hideMark/>
          </w:tcPr>
          <w:p w14:paraId="6751BE15" w14:textId="77777777" w:rsidR="001C56BD" w:rsidRPr="00F92667" w:rsidRDefault="001C56BD" w:rsidP="008A5C11">
            <w:pPr>
              <w:jc w:val="center"/>
              <w:rPr>
                <w:color w:val="000000"/>
                <w:sz w:val="18"/>
                <w:szCs w:val="18"/>
              </w:rPr>
            </w:pPr>
            <w:r w:rsidRPr="00F92667">
              <w:rPr>
                <w:color w:val="000000"/>
                <w:sz w:val="18"/>
                <w:szCs w:val="18"/>
              </w:rPr>
              <w:t xml:space="preserve">   1.</w:t>
            </w:r>
          </w:p>
        </w:tc>
        <w:tc>
          <w:tcPr>
            <w:tcW w:w="2755" w:type="dxa"/>
            <w:shd w:val="clear" w:color="auto" w:fill="auto"/>
            <w:tcMar>
              <w:left w:w="28" w:type="dxa"/>
              <w:right w:w="28" w:type="dxa"/>
            </w:tcMar>
            <w:vAlign w:val="center"/>
            <w:hideMark/>
          </w:tcPr>
          <w:p w14:paraId="45F61C19" w14:textId="77777777" w:rsidR="001C56BD" w:rsidRPr="00F92667" w:rsidRDefault="001C56BD" w:rsidP="008A5C11">
            <w:pPr>
              <w:jc w:val="center"/>
              <w:rPr>
                <w:color w:val="000000"/>
                <w:sz w:val="18"/>
                <w:szCs w:val="18"/>
              </w:rPr>
            </w:pPr>
            <w:r w:rsidRPr="00F92667">
              <w:rPr>
                <w:color w:val="000000"/>
                <w:sz w:val="18"/>
                <w:szCs w:val="18"/>
              </w:rPr>
              <w:t>Собственные средства</w:t>
            </w:r>
          </w:p>
        </w:tc>
        <w:tc>
          <w:tcPr>
            <w:tcW w:w="1508" w:type="dxa"/>
            <w:shd w:val="clear" w:color="000000" w:fill="FFFFFF"/>
            <w:tcMar>
              <w:left w:w="28" w:type="dxa"/>
              <w:right w:w="28" w:type="dxa"/>
            </w:tcMar>
            <w:vAlign w:val="center"/>
            <w:hideMark/>
          </w:tcPr>
          <w:p w14:paraId="0DA0B736" w14:textId="77777777" w:rsidR="001C56BD" w:rsidRPr="00F92667" w:rsidRDefault="001C56BD" w:rsidP="008A5C11">
            <w:pPr>
              <w:jc w:val="center"/>
              <w:rPr>
                <w:color w:val="000000"/>
                <w:sz w:val="18"/>
                <w:szCs w:val="18"/>
              </w:rPr>
            </w:pPr>
            <w:r w:rsidRPr="00F92667">
              <w:rPr>
                <w:color w:val="000000"/>
                <w:sz w:val="18"/>
                <w:szCs w:val="18"/>
              </w:rPr>
              <w:t>968 127,989</w:t>
            </w:r>
          </w:p>
        </w:tc>
        <w:tc>
          <w:tcPr>
            <w:tcW w:w="992" w:type="dxa"/>
            <w:shd w:val="clear" w:color="000000" w:fill="FFFFFF"/>
            <w:tcMar>
              <w:left w:w="28" w:type="dxa"/>
              <w:right w:w="28" w:type="dxa"/>
            </w:tcMar>
            <w:vAlign w:val="center"/>
            <w:hideMark/>
          </w:tcPr>
          <w:p w14:paraId="69A15B12" w14:textId="77777777" w:rsidR="001C56BD" w:rsidRPr="00F92667" w:rsidRDefault="001C56BD" w:rsidP="008A5C11">
            <w:pPr>
              <w:jc w:val="center"/>
              <w:rPr>
                <w:color w:val="000000"/>
                <w:sz w:val="18"/>
                <w:szCs w:val="18"/>
              </w:rPr>
            </w:pPr>
            <w:r w:rsidRPr="00F92667">
              <w:rPr>
                <w:color w:val="000000"/>
                <w:sz w:val="18"/>
                <w:szCs w:val="18"/>
              </w:rPr>
              <w:t>968 127,989</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E2FB42D" w14:textId="77777777" w:rsidR="001C56BD" w:rsidRPr="00F92667" w:rsidRDefault="001C56BD" w:rsidP="008A5C11">
            <w:pPr>
              <w:jc w:val="center"/>
              <w:rPr>
                <w:sz w:val="18"/>
                <w:szCs w:val="18"/>
              </w:rPr>
            </w:pPr>
            <w:r w:rsidRPr="00F92667">
              <w:rPr>
                <w:sz w:val="18"/>
                <w:szCs w:val="18"/>
              </w:rPr>
              <w:t>137 993,413</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7201F1B" w14:textId="77777777" w:rsidR="001C56BD" w:rsidRPr="00F92667" w:rsidRDefault="001C56BD" w:rsidP="008A5C11">
            <w:pPr>
              <w:jc w:val="center"/>
              <w:rPr>
                <w:sz w:val="18"/>
                <w:szCs w:val="18"/>
              </w:rPr>
            </w:pPr>
            <w:r w:rsidRPr="00F92667">
              <w:rPr>
                <w:sz w:val="18"/>
                <w:szCs w:val="18"/>
              </w:rPr>
              <w:t>91 961,063</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65612EB" w14:textId="77777777" w:rsidR="001C56BD" w:rsidRPr="00F92667" w:rsidRDefault="001C56BD" w:rsidP="008A5C11">
            <w:pPr>
              <w:jc w:val="center"/>
              <w:rPr>
                <w:sz w:val="18"/>
                <w:szCs w:val="18"/>
              </w:rPr>
            </w:pPr>
            <w:r w:rsidRPr="00F92667">
              <w:rPr>
                <w:sz w:val="18"/>
                <w:szCs w:val="18"/>
              </w:rPr>
              <w:t>110 977,567</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F209F7C" w14:textId="77777777" w:rsidR="001C56BD" w:rsidRPr="00F92667" w:rsidRDefault="001C56BD" w:rsidP="008A5C11">
            <w:pPr>
              <w:jc w:val="center"/>
              <w:rPr>
                <w:sz w:val="18"/>
                <w:szCs w:val="18"/>
              </w:rPr>
            </w:pPr>
            <w:r w:rsidRPr="00F92667">
              <w:rPr>
                <w:sz w:val="18"/>
                <w:szCs w:val="18"/>
              </w:rPr>
              <w:t>136 970,154</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19310EA" w14:textId="77777777" w:rsidR="001C56BD" w:rsidRPr="00F92667" w:rsidRDefault="001C56BD" w:rsidP="008A5C11">
            <w:pPr>
              <w:jc w:val="center"/>
              <w:rPr>
                <w:sz w:val="18"/>
                <w:szCs w:val="18"/>
              </w:rPr>
            </w:pPr>
            <w:r w:rsidRPr="00F92667">
              <w:rPr>
                <w:sz w:val="18"/>
                <w:szCs w:val="18"/>
              </w:rPr>
              <w:t>128 016,477</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1FCDC0B" w14:textId="77777777" w:rsidR="001C56BD" w:rsidRPr="00F92667" w:rsidRDefault="001C56BD" w:rsidP="008A5C11">
            <w:pPr>
              <w:jc w:val="center"/>
              <w:rPr>
                <w:sz w:val="18"/>
                <w:szCs w:val="18"/>
              </w:rPr>
            </w:pPr>
            <w:r w:rsidRPr="00F92667">
              <w:rPr>
                <w:sz w:val="18"/>
                <w:szCs w:val="18"/>
              </w:rPr>
              <w:t>81 346,278</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C924F5D" w14:textId="77777777" w:rsidR="001C56BD" w:rsidRPr="00F92667" w:rsidRDefault="001C56BD" w:rsidP="008A5C11">
            <w:pPr>
              <w:jc w:val="center"/>
              <w:rPr>
                <w:sz w:val="18"/>
                <w:szCs w:val="18"/>
              </w:rPr>
            </w:pPr>
            <w:r w:rsidRPr="00F92667">
              <w:rPr>
                <w:sz w:val="18"/>
                <w:szCs w:val="18"/>
              </w:rPr>
              <w:t>68 181,940</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3FB738F" w14:textId="77777777" w:rsidR="001C56BD" w:rsidRPr="00F92667" w:rsidRDefault="001C56BD" w:rsidP="008A5C11">
            <w:pPr>
              <w:jc w:val="center"/>
              <w:rPr>
                <w:sz w:val="18"/>
                <w:szCs w:val="18"/>
              </w:rPr>
            </w:pPr>
            <w:r w:rsidRPr="00F92667">
              <w:rPr>
                <w:sz w:val="18"/>
                <w:szCs w:val="18"/>
              </w:rPr>
              <w:t>82 752,076</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08D0773" w14:textId="77777777" w:rsidR="001C56BD" w:rsidRPr="00F92667" w:rsidRDefault="001C56BD" w:rsidP="008A5C11">
            <w:pPr>
              <w:jc w:val="center"/>
              <w:rPr>
                <w:sz w:val="18"/>
                <w:szCs w:val="18"/>
              </w:rPr>
            </w:pPr>
            <w:r w:rsidRPr="00F92667">
              <w:rPr>
                <w:sz w:val="18"/>
                <w:szCs w:val="18"/>
              </w:rPr>
              <w:t>61 183,750</w:t>
            </w:r>
          </w:p>
        </w:tc>
        <w:tc>
          <w:tcPr>
            <w:tcW w:w="99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D6379BB" w14:textId="77777777" w:rsidR="001C56BD" w:rsidRPr="00F92667" w:rsidRDefault="001C56BD" w:rsidP="008A5C11">
            <w:pPr>
              <w:jc w:val="center"/>
              <w:rPr>
                <w:sz w:val="18"/>
                <w:szCs w:val="18"/>
              </w:rPr>
            </w:pPr>
            <w:r w:rsidRPr="00F92667">
              <w:rPr>
                <w:sz w:val="18"/>
                <w:szCs w:val="18"/>
              </w:rPr>
              <w:t>68 745,271</w:t>
            </w:r>
          </w:p>
        </w:tc>
      </w:tr>
      <w:tr w:rsidR="001C56BD" w:rsidRPr="00F92667" w14:paraId="33F2DD4A" w14:textId="77777777" w:rsidTr="008A5C11">
        <w:trPr>
          <w:trHeight w:val="20"/>
        </w:trPr>
        <w:tc>
          <w:tcPr>
            <w:tcW w:w="557" w:type="dxa"/>
            <w:shd w:val="clear" w:color="auto" w:fill="auto"/>
            <w:tcMar>
              <w:left w:w="28" w:type="dxa"/>
              <w:right w:w="28" w:type="dxa"/>
            </w:tcMar>
            <w:vAlign w:val="center"/>
            <w:hideMark/>
          </w:tcPr>
          <w:p w14:paraId="71C3AD23" w14:textId="77777777" w:rsidR="001C56BD" w:rsidRPr="00F92667" w:rsidRDefault="001C56BD" w:rsidP="008A5C11">
            <w:pPr>
              <w:jc w:val="center"/>
              <w:rPr>
                <w:color w:val="000000"/>
                <w:sz w:val="18"/>
                <w:szCs w:val="18"/>
              </w:rPr>
            </w:pPr>
            <w:r w:rsidRPr="00F92667">
              <w:rPr>
                <w:color w:val="000000"/>
                <w:sz w:val="18"/>
                <w:szCs w:val="18"/>
              </w:rPr>
              <w:t>1.1.</w:t>
            </w:r>
          </w:p>
        </w:tc>
        <w:tc>
          <w:tcPr>
            <w:tcW w:w="2755" w:type="dxa"/>
            <w:shd w:val="clear" w:color="auto" w:fill="auto"/>
            <w:tcMar>
              <w:left w:w="28" w:type="dxa"/>
              <w:right w:w="28" w:type="dxa"/>
            </w:tcMar>
            <w:vAlign w:val="center"/>
            <w:hideMark/>
          </w:tcPr>
          <w:p w14:paraId="7AD601A9" w14:textId="77777777" w:rsidR="001C56BD" w:rsidRPr="00F92667" w:rsidRDefault="001C56BD" w:rsidP="008A5C11">
            <w:pPr>
              <w:jc w:val="center"/>
              <w:rPr>
                <w:color w:val="000000"/>
                <w:sz w:val="18"/>
                <w:szCs w:val="18"/>
              </w:rPr>
            </w:pPr>
            <w:r w:rsidRPr="00F92667">
              <w:rPr>
                <w:color w:val="000000"/>
                <w:sz w:val="18"/>
                <w:szCs w:val="18"/>
              </w:rPr>
              <w:t>амортизационные отчисления</w:t>
            </w:r>
          </w:p>
        </w:tc>
        <w:tc>
          <w:tcPr>
            <w:tcW w:w="1508" w:type="dxa"/>
            <w:shd w:val="clear" w:color="auto" w:fill="auto"/>
            <w:tcMar>
              <w:left w:w="28" w:type="dxa"/>
              <w:right w:w="28" w:type="dxa"/>
            </w:tcMar>
            <w:vAlign w:val="center"/>
            <w:hideMark/>
          </w:tcPr>
          <w:p w14:paraId="7F0AAA99" w14:textId="77777777" w:rsidR="001C56BD" w:rsidRPr="00F92667" w:rsidRDefault="001C56BD" w:rsidP="008A5C11">
            <w:pPr>
              <w:jc w:val="center"/>
              <w:rPr>
                <w:color w:val="000000"/>
                <w:sz w:val="18"/>
                <w:szCs w:val="18"/>
              </w:rPr>
            </w:pPr>
            <w:r w:rsidRPr="00F92667">
              <w:rPr>
                <w:color w:val="000000"/>
                <w:sz w:val="18"/>
                <w:szCs w:val="18"/>
              </w:rPr>
              <w:t>958 097,009</w:t>
            </w:r>
          </w:p>
        </w:tc>
        <w:tc>
          <w:tcPr>
            <w:tcW w:w="992" w:type="dxa"/>
            <w:shd w:val="clear" w:color="auto" w:fill="auto"/>
            <w:tcMar>
              <w:left w:w="28" w:type="dxa"/>
              <w:right w:w="28" w:type="dxa"/>
            </w:tcMar>
            <w:vAlign w:val="center"/>
            <w:hideMark/>
          </w:tcPr>
          <w:p w14:paraId="573FB9AC" w14:textId="77777777" w:rsidR="001C56BD" w:rsidRPr="00F92667" w:rsidRDefault="001C56BD" w:rsidP="008A5C11">
            <w:pPr>
              <w:jc w:val="center"/>
              <w:rPr>
                <w:color w:val="000000"/>
                <w:sz w:val="18"/>
                <w:szCs w:val="18"/>
              </w:rPr>
            </w:pPr>
            <w:r w:rsidRPr="00F92667">
              <w:rPr>
                <w:color w:val="000000"/>
                <w:sz w:val="18"/>
                <w:szCs w:val="18"/>
              </w:rPr>
              <w:t>958 097,009</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2C2F2B2" w14:textId="77777777" w:rsidR="001C56BD" w:rsidRPr="00F92667" w:rsidRDefault="001C56BD" w:rsidP="008A5C11">
            <w:pPr>
              <w:jc w:val="center"/>
              <w:rPr>
                <w:bCs/>
                <w:sz w:val="18"/>
                <w:szCs w:val="18"/>
              </w:rPr>
            </w:pPr>
            <w:r w:rsidRPr="00F92667">
              <w:rPr>
                <w:bCs/>
                <w:sz w:val="18"/>
                <w:szCs w:val="18"/>
              </w:rPr>
              <w:t>127 962,433</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BE57021" w14:textId="77777777" w:rsidR="001C56BD" w:rsidRPr="00F92667" w:rsidRDefault="001C56BD" w:rsidP="008A5C11">
            <w:pPr>
              <w:jc w:val="center"/>
              <w:rPr>
                <w:bCs/>
                <w:sz w:val="18"/>
                <w:szCs w:val="18"/>
              </w:rPr>
            </w:pPr>
            <w:r w:rsidRPr="00F92667">
              <w:rPr>
                <w:bCs/>
                <w:sz w:val="18"/>
                <w:szCs w:val="18"/>
              </w:rPr>
              <w:t>91 961,063</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C0B772F" w14:textId="77777777" w:rsidR="001C56BD" w:rsidRPr="00F92667" w:rsidRDefault="001C56BD" w:rsidP="008A5C11">
            <w:pPr>
              <w:jc w:val="center"/>
              <w:rPr>
                <w:bCs/>
                <w:sz w:val="18"/>
                <w:szCs w:val="18"/>
              </w:rPr>
            </w:pPr>
            <w:r w:rsidRPr="00F92667">
              <w:rPr>
                <w:bCs/>
                <w:sz w:val="18"/>
                <w:szCs w:val="18"/>
              </w:rPr>
              <w:t>110 977,567</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EE80DB5" w14:textId="77777777" w:rsidR="001C56BD" w:rsidRPr="00F92667" w:rsidRDefault="001C56BD" w:rsidP="008A5C11">
            <w:pPr>
              <w:jc w:val="center"/>
              <w:rPr>
                <w:bCs/>
                <w:sz w:val="18"/>
                <w:szCs w:val="18"/>
              </w:rPr>
            </w:pPr>
            <w:r w:rsidRPr="00F92667">
              <w:rPr>
                <w:bCs/>
                <w:sz w:val="18"/>
                <w:szCs w:val="18"/>
              </w:rPr>
              <w:t>136 970,154</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762A51B" w14:textId="77777777" w:rsidR="001C56BD" w:rsidRPr="00F92667" w:rsidRDefault="001C56BD" w:rsidP="008A5C11">
            <w:pPr>
              <w:jc w:val="center"/>
              <w:rPr>
                <w:bCs/>
                <w:sz w:val="18"/>
                <w:szCs w:val="18"/>
              </w:rPr>
            </w:pPr>
            <w:r w:rsidRPr="00F92667">
              <w:rPr>
                <w:bCs/>
                <w:sz w:val="18"/>
                <w:szCs w:val="18"/>
              </w:rPr>
              <w:t>128 016,477</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E64DA2C" w14:textId="77777777" w:rsidR="001C56BD" w:rsidRPr="00F92667" w:rsidRDefault="001C56BD" w:rsidP="008A5C11">
            <w:pPr>
              <w:jc w:val="center"/>
              <w:rPr>
                <w:bCs/>
                <w:sz w:val="18"/>
                <w:szCs w:val="18"/>
              </w:rPr>
            </w:pPr>
            <w:r w:rsidRPr="00F92667">
              <w:rPr>
                <w:bCs/>
                <w:sz w:val="18"/>
                <w:szCs w:val="18"/>
              </w:rPr>
              <w:t>81 346,278</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E1289E5" w14:textId="77777777" w:rsidR="001C56BD" w:rsidRPr="00F92667" w:rsidRDefault="001C56BD" w:rsidP="008A5C11">
            <w:pPr>
              <w:jc w:val="center"/>
              <w:rPr>
                <w:bCs/>
                <w:sz w:val="18"/>
                <w:szCs w:val="18"/>
              </w:rPr>
            </w:pPr>
            <w:r w:rsidRPr="00F92667">
              <w:rPr>
                <w:bCs/>
                <w:sz w:val="18"/>
                <w:szCs w:val="18"/>
              </w:rPr>
              <w:t>68 181,940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8411412" w14:textId="77777777" w:rsidR="001C56BD" w:rsidRPr="00F92667" w:rsidRDefault="001C56BD" w:rsidP="008A5C11">
            <w:pPr>
              <w:jc w:val="center"/>
              <w:rPr>
                <w:bCs/>
                <w:sz w:val="18"/>
                <w:szCs w:val="18"/>
              </w:rPr>
            </w:pPr>
            <w:r w:rsidRPr="00F92667">
              <w:rPr>
                <w:bCs/>
                <w:sz w:val="18"/>
                <w:szCs w:val="18"/>
              </w:rPr>
              <w:t>82 752,076</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3ABD65F" w14:textId="77777777" w:rsidR="001C56BD" w:rsidRPr="00F92667" w:rsidRDefault="001C56BD" w:rsidP="008A5C11">
            <w:pPr>
              <w:jc w:val="center"/>
              <w:rPr>
                <w:bCs/>
                <w:sz w:val="18"/>
                <w:szCs w:val="18"/>
              </w:rPr>
            </w:pPr>
            <w:r w:rsidRPr="00F92667">
              <w:rPr>
                <w:bCs/>
                <w:sz w:val="18"/>
                <w:szCs w:val="18"/>
              </w:rPr>
              <w:t>61 183,750</w:t>
            </w:r>
          </w:p>
        </w:tc>
        <w:tc>
          <w:tcPr>
            <w:tcW w:w="99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24BE091" w14:textId="77777777" w:rsidR="001C56BD" w:rsidRPr="00F92667" w:rsidRDefault="001C56BD" w:rsidP="008A5C11">
            <w:pPr>
              <w:jc w:val="center"/>
              <w:rPr>
                <w:bCs/>
                <w:sz w:val="18"/>
                <w:szCs w:val="18"/>
              </w:rPr>
            </w:pPr>
            <w:r w:rsidRPr="00F92667">
              <w:rPr>
                <w:bCs/>
                <w:sz w:val="18"/>
                <w:szCs w:val="18"/>
              </w:rPr>
              <w:t>68 745,271</w:t>
            </w:r>
          </w:p>
        </w:tc>
      </w:tr>
      <w:tr w:rsidR="001C56BD" w:rsidRPr="00F92667" w14:paraId="475E0DB9" w14:textId="77777777" w:rsidTr="008A5C11">
        <w:trPr>
          <w:trHeight w:val="20"/>
        </w:trPr>
        <w:tc>
          <w:tcPr>
            <w:tcW w:w="557" w:type="dxa"/>
            <w:shd w:val="clear" w:color="auto" w:fill="auto"/>
            <w:tcMar>
              <w:left w:w="28" w:type="dxa"/>
              <w:right w:w="28" w:type="dxa"/>
            </w:tcMar>
            <w:vAlign w:val="center"/>
            <w:hideMark/>
          </w:tcPr>
          <w:p w14:paraId="072025B9" w14:textId="77777777" w:rsidR="001C56BD" w:rsidRPr="00F92667" w:rsidRDefault="001C56BD" w:rsidP="008A5C11">
            <w:pPr>
              <w:jc w:val="center"/>
              <w:rPr>
                <w:color w:val="000000"/>
                <w:sz w:val="18"/>
                <w:szCs w:val="18"/>
              </w:rPr>
            </w:pPr>
            <w:r w:rsidRPr="00F92667">
              <w:rPr>
                <w:color w:val="000000"/>
                <w:sz w:val="18"/>
                <w:szCs w:val="18"/>
              </w:rPr>
              <w:t>1.2.</w:t>
            </w:r>
          </w:p>
        </w:tc>
        <w:tc>
          <w:tcPr>
            <w:tcW w:w="2755" w:type="dxa"/>
            <w:shd w:val="clear" w:color="auto" w:fill="auto"/>
            <w:tcMar>
              <w:left w:w="28" w:type="dxa"/>
              <w:right w:w="28" w:type="dxa"/>
            </w:tcMar>
            <w:vAlign w:val="center"/>
            <w:hideMark/>
          </w:tcPr>
          <w:p w14:paraId="7753D969" w14:textId="77777777" w:rsidR="001C56BD" w:rsidRPr="00F92667" w:rsidRDefault="001C56BD" w:rsidP="008A5C11">
            <w:pPr>
              <w:jc w:val="center"/>
              <w:rPr>
                <w:color w:val="000000"/>
                <w:sz w:val="18"/>
                <w:szCs w:val="18"/>
              </w:rPr>
            </w:pPr>
            <w:r w:rsidRPr="00F92667">
              <w:rPr>
                <w:color w:val="000000"/>
                <w:sz w:val="18"/>
                <w:szCs w:val="18"/>
              </w:rPr>
              <w:t>прибыль, направленная на инвестиции</w:t>
            </w:r>
          </w:p>
        </w:tc>
        <w:tc>
          <w:tcPr>
            <w:tcW w:w="1508" w:type="dxa"/>
            <w:shd w:val="clear" w:color="auto" w:fill="auto"/>
            <w:tcMar>
              <w:left w:w="28" w:type="dxa"/>
              <w:right w:w="28" w:type="dxa"/>
            </w:tcMar>
            <w:vAlign w:val="center"/>
            <w:hideMark/>
          </w:tcPr>
          <w:p w14:paraId="66C87B9E" w14:textId="77777777" w:rsidR="001C56BD" w:rsidRPr="00F92667" w:rsidRDefault="001C56BD" w:rsidP="008A5C11">
            <w:pPr>
              <w:jc w:val="center"/>
              <w:rPr>
                <w:color w:val="000000"/>
                <w:sz w:val="18"/>
                <w:szCs w:val="18"/>
              </w:rPr>
            </w:pPr>
            <w:r w:rsidRPr="00F92667">
              <w:rPr>
                <w:color w:val="000000"/>
                <w:sz w:val="18"/>
                <w:szCs w:val="18"/>
              </w:rPr>
              <w:t>0,000</w:t>
            </w:r>
          </w:p>
        </w:tc>
        <w:tc>
          <w:tcPr>
            <w:tcW w:w="992" w:type="dxa"/>
            <w:shd w:val="clear" w:color="auto" w:fill="auto"/>
            <w:tcMar>
              <w:left w:w="28" w:type="dxa"/>
              <w:right w:w="28" w:type="dxa"/>
            </w:tcMar>
            <w:vAlign w:val="center"/>
            <w:hideMark/>
          </w:tcPr>
          <w:p w14:paraId="343B3A96" w14:textId="77777777" w:rsidR="001C56BD" w:rsidRPr="00F92667" w:rsidRDefault="001C56BD" w:rsidP="008A5C11">
            <w:pPr>
              <w:jc w:val="center"/>
              <w:rPr>
                <w:color w:val="000000"/>
                <w:sz w:val="18"/>
                <w:szCs w:val="18"/>
              </w:rPr>
            </w:pPr>
            <w:r w:rsidRPr="00F92667">
              <w:rPr>
                <w:color w:val="000000"/>
                <w:sz w:val="18"/>
                <w:szCs w:val="18"/>
              </w:rPr>
              <w:t>0,000</w:t>
            </w:r>
          </w:p>
        </w:tc>
        <w:tc>
          <w:tcPr>
            <w:tcW w:w="993" w:type="dxa"/>
            <w:shd w:val="clear" w:color="auto" w:fill="auto"/>
            <w:tcMar>
              <w:left w:w="28" w:type="dxa"/>
              <w:right w:w="28" w:type="dxa"/>
            </w:tcMar>
            <w:vAlign w:val="center"/>
            <w:hideMark/>
          </w:tcPr>
          <w:p w14:paraId="5F434C54" w14:textId="77777777" w:rsidR="001C56BD" w:rsidRPr="00F92667" w:rsidRDefault="001C56BD" w:rsidP="008A5C11">
            <w:pPr>
              <w:jc w:val="center"/>
              <w:rPr>
                <w:color w:val="000000"/>
                <w:sz w:val="18"/>
                <w:szCs w:val="18"/>
              </w:rPr>
            </w:pPr>
            <w:r w:rsidRPr="00F92667">
              <w:rPr>
                <w:color w:val="000000"/>
                <w:sz w:val="18"/>
                <w:szCs w:val="18"/>
              </w:rPr>
              <w:t>0,000</w:t>
            </w:r>
          </w:p>
        </w:tc>
        <w:tc>
          <w:tcPr>
            <w:tcW w:w="992" w:type="dxa"/>
            <w:shd w:val="clear" w:color="000000" w:fill="FFFFFF"/>
            <w:tcMar>
              <w:left w:w="28" w:type="dxa"/>
              <w:right w:w="28" w:type="dxa"/>
            </w:tcMar>
            <w:vAlign w:val="center"/>
            <w:hideMark/>
          </w:tcPr>
          <w:p w14:paraId="33D4296E" w14:textId="77777777" w:rsidR="001C56BD" w:rsidRPr="00F92667" w:rsidRDefault="001C56BD" w:rsidP="008A5C11">
            <w:pPr>
              <w:jc w:val="center"/>
              <w:rPr>
                <w:color w:val="000000"/>
                <w:sz w:val="18"/>
                <w:szCs w:val="18"/>
              </w:rPr>
            </w:pPr>
            <w:r w:rsidRPr="00F92667">
              <w:rPr>
                <w:color w:val="000000"/>
                <w:sz w:val="18"/>
                <w:szCs w:val="18"/>
              </w:rPr>
              <w:t>0,000</w:t>
            </w:r>
          </w:p>
        </w:tc>
        <w:tc>
          <w:tcPr>
            <w:tcW w:w="992" w:type="dxa"/>
            <w:shd w:val="clear" w:color="auto" w:fill="auto"/>
            <w:tcMar>
              <w:left w:w="28" w:type="dxa"/>
              <w:right w:w="28" w:type="dxa"/>
            </w:tcMar>
            <w:vAlign w:val="center"/>
            <w:hideMark/>
          </w:tcPr>
          <w:p w14:paraId="6D461E8D" w14:textId="77777777" w:rsidR="001C56BD" w:rsidRPr="00F92667" w:rsidRDefault="001C56BD" w:rsidP="008A5C11">
            <w:pPr>
              <w:jc w:val="center"/>
              <w:rPr>
                <w:color w:val="000000"/>
                <w:sz w:val="18"/>
                <w:szCs w:val="18"/>
              </w:rPr>
            </w:pPr>
            <w:r w:rsidRPr="00F92667">
              <w:rPr>
                <w:color w:val="000000"/>
                <w:sz w:val="18"/>
                <w:szCs w:val="18"/>
              </w:rPr>
              <w:t>0,000</w:t>
            </w:r>
          </w:p>
        </w:tc>
        <w:tc>
          <w:tcPr>
            <w:tcW w:w="992" w:type="dxa"/>
            <w:shd w:val="clear" w:color="auto" w:fill="auto"/>
            <w:tcMar>
              <w:left w:w="28" w:type="dxa"/>
              <w:right w:w="28" w:type="dxa"/>
            </w:tcMar>
            <w:vAlign w:val="center"/>
            <w:hideMark/>
          </w:tcPr>
          <w:p w14:paraId="360EECE7" w14:textId="77777777" w:rsidR="001C56BD" w:rsidRPr="00F92667" w:rsidRDefault="001C56BD" w:rsidP="008A5C11">
            <w:pPr>
              <w:jc w:val="center"/>
              <w:rPr>
                <w:color w:val="000000"/>
                <w:sz w:val="18"/>
                <w:szCs w:val="18"/>
              </w:rPr>
            </w:pPr>
            <w:r w:rsidRPr="00F92667">
              <w:rPr>
                <w:color w:val="000000"/>
                <w:sz w:val="18"/>
                <w:szCs w:val="18"/>
              </w:rPr>
              <w:t>0,000</w:t>
            </w:r>
          </w:p>
        </w:tc>
        <w:tc>
          <w:tcPr>
            <w:tcW w:w="992" w:type="dxa"/>
            <w:shd w:val="clear" w:color="auto" w:fill="auto"/>
            <w:tcMar>
              <w:left w:w="28" w:type="dxa"/>
              <w:right w:w="28" w:type="dxa"/>
            </w:tcMar>
            <w:vAlign w:val="center"/>
            <w:hideMark/>
          </w:tcPr>
          <w:p w14:paraId="75A3201F" w14:textId="77777777" w:rsidR="001C56BD" w:rsidRPr="00F92667" w:rsidRDefault="001C56BD" w:rsidP="008A5C11">
            <w:pPr>
              <w:jc w:val="center"/>
              <w:rPr>
                <w:color w:val="000000"/>
                <w:sz w:val="18"/>
                <w:szCs w:val="18"/>
              </w:rPr>
            </w:pPr>
            <w:r w:rsidRPr="00F92667">
              <w:rPr>
                <w:color w:val="000000"/>
                <w:sz w:val="18"/>
                <w:szCs w:val="18"/>
              </w:rPr>
              <w:t>0,000</w:t>
            </w:r>
          </w:p>
        </w:tc>
        <w:tc>
          <w:tcPr>
            <w:tcW w:w="993" w:type="dxa"/>
            <w:shd w:val="clear" w:color="auto" w:fill="auto"/>
            <w:tcMar>
              <w:left w:w="28" w:type="dxa"/>
              <w:right w:w="28" w:type="dxa"/>
            </w:tcMar>
            <w:vAlign w:val="center"/>
            <w:hideMark/>
          </w:tcPr>
          <w:p w14:paraId="0E144D09" w14:textId="77777777" w:rsidR="001C56BD" w:rsidRPr="00F92667" w:rsidRDefault="001C56BD" w:rsidP="008A5C11">
            <w:pPr>
              <w:jc w:val="center"/>
              <w:rPr>
                <w:color w:val="000000"/>
                <w:sz w:val="18"/>
                <w:szCs w:val="18"/>
              </w:rPr>
            </w:pPr>
            <w:r w:rsidRPr="00F92667">
              <w:rPr>
                <w:color w:val="000000"/>
                <w:sz w:val="18"/>
                <w:szCs w:val="18"/>
              </w:rPr>
              <w:t>0,000</w:t>
            </w:r>
          </w:p>
        </w:tc>
        <w:tc>
          <w:tcPr>
            <w:tcW w:w="992" w:type="dxa"/>
            <w:shd w:val="clear" w:color="auto" w:fill="auto"/>
            <w:tcMar>
              <w:left w:w="28" w:type="dxa"/>
              <w:right w:w="28" w:type="dxa"/>
            </w:tcMar>
            <w:vAlign w:val="center"/>
            <w:hideMark/>
          </w:tcPr>
          <w:p w14:paraId="3BDC0AD7" w14:textId="77777777" w:rsidR="001C56BD" w:rsidRPr="00F92667" w:rsidRDefault="001C56BD" w:rsidP="008A5C11">
            <w:pPr>
              <w:jc w:val="center"/>
              <w:rPr>
                <w:color w:val="000000"/>
                <w:sz w:val="18"/>
                <w:szCs w:val="18"/>
              </w:rPr>
            </w:pPr>
            <w:r w:rsidRPr="00F92667">
              <w:rPr>
                <w:color w:val="000000"/>
                <w:sz w:val="18"/>
                <w:szCs w:val="18"/>
              </w:rPr>
              <w:t>0,000</w:t>
            </w:r>
          </w:p>
        </w:tc>
        <w:tc>
          <w:tcPr>
            <w:tcW w:w="992" w:type="dxa"/>
            <w:shd w:val="clear" w:color="auto" w:fill="auto"/>
            <w:tcMar>
              <w:left w:w="28" w:type="dxa"/>
              <w:right w:w="28" w:type="dxa"/>
            </w:tcMar>
            <w:vAlign w:val="center"/>
            <w:hideMark/>
          </w:tcPr>
          <w:p w14:paraId="0398B945" w14:textId="77777777" w:rsidR="001C56BD" w:rsidRPr="00F92667" w:rsidRDefault="001C56BD" w:rsidP="008A5C11">
            <w:pPr>
              <w:jc w:val="center"/>
              <w:rPr>
                <w:color w:val="000000"/>
                <w:sz w:val="18"/>
                <w:szCs w:val="18"/>
              </w:rPr>
            </w:pPr>
            <w:r w:rsidRPr="00F92667">
              <w:rPr>
                <w:color w:val="000000"/>
                <w:sz w:val="18"/>
                <w:szCs w:val="18"/>
              </w:rPr>
              <w:t>0,000</w:t>
            </w:r>
          </w:p>
        </w:tc>
        <w:tc>
          <w:tcPr>
            <w:tcW w:w="992" w:type="dxa"/>
            <w:shd w:val="clear" w:color="auto" w:fill="auto"/>
            <w:tcMar>
              <w:left w:w="28" w:type="dxa"/>
              <w:right w:w="28" w:type="dxa"/>
            </w:tcMar>
            <w:vAlign w:val="center"/>
            <w:hideMark/>
          </w:tcPr>
          <w:p w14:paraId="15083368" w14:textId="77777777" w:rsidR="001C56BD" w:rsidRPr="00F92667" w:rsidRDefault="001C56BD" w:rsidP="008A5C11">
            <w:pPr>
              <w:jc w:val="center"/>
              <w:rPr>
                <w:color w:val="000000"/>
                <w:sz w:val="18"/>
                <w:szCs w:val="18"/>
              </w:rPr>
            </w:pPr>
            <w:r w:rsidRPr="00F92667">
              <w:rPr>
                <w:color w:val="000000"/>
                <w:sz w:val="18"/>
                <w:szCs w:val="18"/>
              </w:rPr>
              <w:t>0,000</w:t>
            </w:r>
          </w:p>
        </w:tc>
        <w:tc>
          <w:tcPr>
            <w:tcW w:w="998" w:type="dxa"/>
            <w:shd w:val="clear" w:color="auto" w:fill="auto"/>
            <w:tcMar>
              <w:left w:w="28" w:type="dxa"/>
              <w:right w:w="28" w:type="dxa"/>
            </w:tcMar>
            <w:vAlign w:val="center"/>
            <w:hideMark/>
          </w:tcPr>
          <w:p w14:paraId="76A8DE1E" w14:textId="77777777" w:rsidR="001C56BD" w:rsidRPr="00F92667" w:rsidRDefault="001C56BD" w:rsidP="008A5C11">
            <w:pPr>
              <w:jc w:val="center"/>
              <w:rPr>
                <w:color w:val="000000"/>
                <w:sz w:val="18"/>
                <w:szCs w:val="18"/>
              </w:rPr>
            </w:pPr>
            <w:r w:rsidRPr="00F92667">
              <w:rPr>
                <w:color w:val="000000"/>
                <w:sz w:val="18"/>
                <w:szCs w:val="18"/>
              </w:rPr>
              <w:t>0,000</w:t>
            </w:r>
          </w:p>
        </w:tc>
      </w:tr>
      <w:tr w:rsidR="001C56BD" w:rsidRPr="00F92667" w14:paraId="061FFE23" w14:textId="77777777" w:rsidTr="008A5C11">
        <w:trPr>
          <w:trHeight w:val="20"/>
        </w:trPr>
        <w:tc>
          <w:tcPr>
            <w:tcW w:w="557" w:type="dxa"/>
            <w:shd w:val="clear" w:color="auto" w:fill="auto"/>
            <w:tcMar>
              <w:left w:w="28" w:type="dxa"/>
              <w:right w:w="28" w:type="dxa"/>
            </w:tcMar>
            <w:vAlign w:val="center"/>
            <w:hideMark/>
          </w:tcPr>
          <w:p w14:paraId="7E41508A" w14:textId="77777777" w:rsidR="001C56BD" w:rsidRPr="00F92667" w:rsidRDefault="001C56BD" w:rsidP="008A5C11">
            <w:pPr>
              <w:jc w:val="center"/>
              <w:rPr>
                <w:color w:val="000000"/>
                <w:sz w:val="18"/>
                <w:szCs w:val="18"/>
              </w:rPr>
            </w:pPr>
            <w:r w:rsidRPr="00F92667">
              <w:rPr>
                <w:color w:val="000000"/>
                <w:sz w:val="18"/>
                <w:szCs w:val="18"/>
              </w:rPr>
              <w:t>1.3.</w:t>
            </w:r>
          </w:p>
        </w:tc>
        <w:tc>
          <w:tcPr>
            <w:tcW w:w="2755" w:type="dxa"/>
            <w:shd w:val="clear" w:color="auto" w:fill="auto"/>
            <w:tcMar>
              <w:left w:w="28" w:type="dxa"/>
              <w:right w:w="28" w:type="dxa"/>
            </w:tcMar>
            <w:vAlign w:val="center"/>
            <w:hideMark/>
          </w:tcPr>
          <w:p w14:paraId="2ABBB246" w14:textId="77777777" w:rsidR="001C56BD" w:rsidRPr="00F92667" w:rsidRDefault="001C56BD" w:rsidP="008A5C11">
            <w:pPr>
              <w:jc w:val="center"/>
              <w:rPr>
                <w:color w:val="000000"/>
                <w:sz w:val="18"/>
                <w:szCs w:val="18"/>
              </w:rPr>
            </w:pPr>
            <w:r w:rsidRPr="00F92667">
              <w:rPr>
                <w:color w:val="000000"/>
                <w:sz w:val="18"/>
                <w:szCs w:val="18"/>
              </w:rPr>
              <w:t>средства, полученные за счет платы за подключение</w:t>
            </w:r>
          </w:p>
        </w:tc>
        <w:tc>
          <w:tcPr>
            <w:tcW w:w="1508" w:type="dxa"/>
            <w:shd w:val="clear" w:color="auto" w:fill="auto"/>
            <w:noWrap/>
            <w:tcMar>
              <w:left w:w="28" w:type="dxa"/>
              <w:right w:w="28" w:type="dxa"/>
            </w:tcMar>
            <w:vAlign w:val="center"/>
            <w:hideMark/>
          </w:tcPr>
          <w:p w14:paraId="7DB2EFE2" w14:textId="77777777" w:rsidR="001C56BD" w:rsidRPr="00F92667" w:rsidRDefault="001C56BD" w:rsidP="008A5C11">
            <w:pPr>
              <w:jc w:val="center"/>
              <w:rPr>
                <w:color w:val="000000"/>
                <w:sz w:val="18"/>
                <w:szCs w:val="18"/>
              </w:rPr>
            </w:pPr>
            <w:r w:rsidRPr="00F92667">
              <w:rPr>
                <w:color w:val="000000"/>
                <w:sz w:val="18"/>
                <w:szCs w:val="18"/>
              </w:rPr>
              <w:t>10 030,980</w:t>
            </w:r>
          </w:p>
        </w:tc>
        <w:tc>
          <w:tcPr>
            <w:tcW w:w="992" w:type="dxa"/>
            <w:shd w:val="clear" w:color="auto" w:fill="auto"/>
            <w:noWrap/>
            <w:tcMar>
              <w:left w:w="28" w:type="dxa"/>
              <w:right w:w="28" w:type="dxa"/>
            </w:tcMar>
            <w:vAlign w:val="center"/>
            <w:hideMark/>
          </w:tcPr>
          <w:p w14:paraId="54A9A3BE" w14:textId="77777777" w:rsidR="001C56BD" w:rsidRPr="00F92667" w:rsidRDefault="001C56BD" w:rsidP="008A5C11">
            <w:pPr>
              <w:jc w:val="center"/>
              <w:rPr>
                <w:color w:val="000000"/>
                <w:sz w:val="18"/>
                <w:szCs w:val="18"/>
              </w:rPr>
            </w:pPr>
            <w:r w:rsidRPr="00F92667">
              <w:rPr>
                <w:color w:val="000000"/>
                <w:sz w:val="18"/>
                <w:szCs w:val="18"/>
              </w:rPr>
              <w:t>10 030,980</w:t>
            </w:r>
          </w:p>
        </w:tc>
        <w:tc>
          <w:tcPr>
            <w:tcW w:w="993" w:type="dxa"/>
            <w:shd w:val="clear" w:color="auto" w:fill="auto"/>
            <w:noWrap/>
            <w:tcMar>
              <w:left w:w="28" w:type="dxa"/>
              <w:right w:w="28" w:type="dxa"/>
            </w:tcMar>
            <w:vAlign w:val="center"/>
            <w:hideMark/>
          </w:tcPr>
          <w:p w14:paraId="0AFB8692" w14:textId="77777777" w:rsidR="001C56BD" w:rsidRPr="00F92667" w:rsidRDefault="001C56BD" w:rsidP="008A5C11">
            <w:pPr>
              <w:jc w:val="center"/>
              <w:rPr>
                <w:color w:val="000000"/>
                <w:sz w:val="18"/>
                <w:szCs w:val="18"/>
              </w:rPr>
            </w:pPr>
            <w:r w:rsidRPr="00F92667">
              <w:rPr>
                <w:color w:val="000000"/>
                <w:sz w:val="18"/>
                <w:szCs w:val="18"/>
              </w:rPr>
              <w:t>10 030,980</w:t>
            </w:r>
          </w:p>
        </w:tc>
        <w:tc>
          <w:tcPr>
            <w:tcW w:w="992" w:type="dxa"/>
            <w:shd w:val="clear" w:color="000000" w:fill="FFFFFF"/>
            <w:tcMar>
              <w:left w:w="28" w:type="dxa"/>
              <w:right w:w="28" w:type="dxa"/>
            </w:tcMar>
            <w:vAlign w:val="center"/>
            <w:hideMark/>
          </w:tcPr>
          <w:p w14:paraId="6E663AA5" w14:textId="77777777" w:rsidR="001C56BD" w:rsidRPr="00F92667" w:rsidRDefault="001C56BD" w:rsidP="008A5C11">
            <w:pPr>
              <w:jc w:val="center"/>
              <w:rPr>
                <w:color w:val="000000"/>
                <w:sz w:val="18"/>
                <w:szCs w:val="18"/>
              </w:rPr>
            </w:pPr>
            <w:r w:rsidRPr="00F92667">
              <w:rPr>
                <w:color w:val="000000"/>
                <w:sz w:val="18"/>
                <w:szCs w:val="18"/>
              </w:rPr>
              <w:t>0,000</w:t>
            </w:r>
          </w:p>
        </w:tc>
        <w:tc>
          <w:tcPr>
            <w:tcW w:w="992" w:type="dxa"/>
            <w:shd w:val="clear" w:color="000000" w:fill="FFFFFF"/>
            <w:tcMar>
              <w:left w:w="28" w:type="dxa"/>
              <w:right w:w="28" w:type="dxa"/>
            </w:tcMar>
            <w:vAlign w:val="center"/>
            <w:hideMark/>
          </w:tcPr>
          <w:p w14:paraId="62E4C134" w14:textId="77777777" w:rsidR="001C56BD" w:rsidRPr="00F92667" w:rsidRDefault="001C56BD" w:rsidP="008A5C11">
            <w:pPr>
              <w:jc w:val="center"/>
              <w:rPr>
                <w:color w:val="000000"/>
                <w:sz w:val="18"/>
                <w:szCs w:val="18"/>
              </w:rPr>
            </w:pPr>
            <w:r w:rsidRPr="00F92667">
              <w:rPr>
                <w:color w:val="000000"/>
                <w:sz w:val="18"/>
                <w:szCs w:val="18"/>
              </w:rPr>
              <w:t>0,000</w:t>
            </w:r>
          </w:p>
        </w:tc>
        <w:tc>
          <w:tcPr>
            <w:tcW w:w="992" w:type="dxa"/>
            <w:shd w:val="clear" w:color="000000" w:fill="FFFFFF"/>
            <w:tcMar>
              <w:left w:w="28" w:type="dxa"/>
              <w:right w:w="28" w:type="dxa"/>
            </w:tcMar>
            <w:vAlign w:val="center"/>
            <w:hideMark/>
          </w:tcPr>
          <w:p w14:paraId="7CD4CC11" w14:textId="77777777" w:rsidR="001C56BD" w:rsidRPr="00F92667" w:rsidRDefault="001C56BD" w:rsidP="008A5C11">
            <w:pPr>
              <w:jc w:val="center"/>
              <w:rPr>
                <w:color w:val="000000"/>
                <w:sz w:val="18"/>
                <w:szCs w:val="18"/>
              </w:rPr>
            </w:pPr>
            <w:r w:rsidRPr="00F92667">
              <w:rPr>
                <w:color w:val="000000"/>
                <w:sz w:val="18"/>
                <w:szCs w:val="18"/>
              </w:rPr>
              <w:t>0,000</w:t>
            </w:r>
          </w:p>
        </w:tc>
        <w:tc>
          <w:tcPr>
            <w:tcW w:w="992" w:type="dxa"/>
            <w:shd w:val="clear" w:color="000000" w:fill="FFFFFF"/>
            <w:tcMar>
              <w:left w:w="28" w:type="dxa"/>
              <w:right w:w="28" w:type="dxa"/>
            </w:tcMar>
            <w:vAlign w:val="center"/>
            <w:hideMark/>
          </w:tcPr>
          <w:p w14:paraId="0AA5A2C3" w14:textId="77777777" w:rsidR="001C56BD" w:rsidRPr="00F92667" w:rsidRDefault="001C56BD" w:rsidP="008A5C11">
            <w:pPr>
              <w:jc w:val="center"/>
              <w:rPr>
                <w:color w:val="000000"/>
                <w:sz w:val="18"/>
                <w:szCs w:val="18"/>
              </w:rPr>
            </w:pPr>
            <w:r w:rsidRPr="00F92667">
              <w:rPr>
                <w:color w:val="000000"/>
                <w:sz w:val="18"/>
                <w:szCs w:val="18"/>
              </w:rPr>
              <w:t>0,000</w:t>
            </w:r>
          </w:p>
        </w:tc>
        <w:tc>
          <w:tcPr>
            <w:tcW w:w="993" w:type="dxa"/>
            <w:shd w:val="clear" w:color="000000" w:fill="FFFFFF"/>
            <w:tcMar>
              <w:left w:w="28" w:type="dxa"/>
              <w:right w:w="28" w:type="dxa"/>
            </w:tcMar>
            <w:vAlign w:val="center"/>
            <w:hideMark/>
          </w:tcPr>
          <w:p w14:paraId="0F61CC9D" w14:textId="77777777" w:rsidR="001C56BD" w:rsidRPr="00F92667" w:rsidRDefault="001C56BD" w:rsidP="008A5C11">
            <w:pPr>
              <w:jc w:val="center"/>
              <w:rPr>
                <w:color w:val="000000"/>
                <w:sz w:val="18"/>
                <w:szCs w:val="18"/>
              </w:rPr>
            </w:pPr>
            <w:r w:rsidRPr="00F92667">
              <w:rPr>
                <w:color w:val="000000"/>
                <w:sz w:val="18"/>
                <w:szCs w:val="18"/>
              </w:rPr>
              <w:t>0,000</w:t>
            </w:r>
          </w:p>
        </w:tc>
        <w:tc>
          <w:tcPr>
            <w:tcW w:w="992" w:type="dxa"/>
            <w:shd w:val="clear" w:color="000000" w:fill="FFFFFF"/>
            <w:tcMar>
              <w:left w:w="28" w:type="dxa"/>
              <w:right w:w="28" w:type="dxa"/>
            </w:tcMar>
            <w:vAlign w:val="center"/>
            <w:hideMark/>
          </w:tcPr>
          <w:p w14:paraId="35F3583C" w14:textId="77777777" w:rsidR="001C56BD" w:rsidRPr="00F92667" w:rsidRDefault="001C56BD" w:rsidP="008A5C11">
            <w:pPr>
              <w:jc w:val="center"/>
              <w:rPr>
                <w:color w:val="000000"/>
                <w:sz w:val="18"/>
                <w:szCs w:val="18"/>
              </w:rPr>
            </w:pPr>
            <w:r w:rsidRPr="00F92667">
              <w:rPr>
                <w:color w:val="000000"/>
                <w:sz w:val="18"/>
                <w:szCs w:val="18"/>
              </w:rPr>
              <w:t>0,000</w:t>
            </w:r>
          </w:p>
        </w:tc>
        <w:tc>
          <w:tcPr>
            <w:tcW w:w="992" w:type="dxa"/>
            <w:shd w:val="clear" w:color="000000" w:fill="FFFFFF"/>
            <w:tcMar>
              <w:left w:w="28" w:type="dxa"/>
              <w:right w:w="28" w:type="dxa"/>
            </w:tcMar>
            <w:vAlign w:val="center"/>
            <w:hideMark/>
          </w:tcPr>
          <w:p w14:paraId="538CCE49" w14:textId="77777777" w:rsidR="001C56BD" w:rsidRPr="00F92667" w:rsidRDefault="001C56BD" w:rsidP="008A5C11">
            <w:pPr>
              <w:jc w:val="center"/>
              <w:rPr>
                <w:color w:val="000000"/>
                <w:sz w:val="18"/>
                <w:szCs w:val="18"/>
              </w:rPr>
            </w:pPr>
            <w:r w:rsidRPr="00F92667">
              <w:rPr>
                <w:color w:val="000000"/>
                <w:sz w:val="18"/>
                <w:szCs w:val="18"/>
              </w:rPr>
              <w:t>0,000</w:t>
            </w:r>
          </w:p>
        </w:tc>
        <w:tc>
          <w:tcPr>
            <w:tcW w:w="992" w:type="dxa"/>
            <w:shd w:val="clear" w:color="000000" w:fill="FFFFFF"/>
            <w:tcMar>
              <w:left w:w="28" w:type="dxa"/>
              <w:right w:w="28" w:type="dxa"/>
            </w:tcMar>
            <w:vAlign w:val="center"/>
            <w:hideMark/>
          </w:tcPr>
          <w:p w14:paraId="5BD2B437" w14:textId="77777777" w:rsidR="001C56BD" w:rsidRPr="00F92667" w:rsidRDefault="001C56BD" w:rsidP="008A5C11">
            <w:pPr>
              <w:jc w:val="center"/>
              <w:rPr>
                <w:color w:val="000000"/>
                <w:sz w:val="18"/>
                <w:szCs w:val="18"/>
              </w:rPr>
            </w:pPr>
            <w:r w:rsidRPr="00F92667">
              <w:rPr>
                <w:color w:val="000000"/>
                <w:sz w:val="18"/>
                <w:szCs w:val="18"/>
              </w:rPr>
              <w:t>0,000</w:t>
            </w:r>
          </w:p>
        </w:tc>
        <w:tc>
          <w:tcPr>
            <w:tcW w:w="998" w:type="dxa"/>
            <w:shd w:val="clear" w:color="000000" w:fill="FFFFFF"/>
            <w:tcMar>
              <w:left w:w="28" w:type="dxa"/>
              <w:right w:w="28" w:type="dxa"/>
            </w:tcMar>
            <w:vAlign w:val="center"/>
            <w:hideMark/>
          </w:tcPr>
          <w:p w14:paraId="3D5878D3" w14:textId="77777777" w:rsidR="001C56BD" w:rsidRPr="00F92667" w:rsidRDefault="001C56BD" w:rsidP="008A5C11">
            <w:pPr>
              <w:jc w:val="center"/>
              <w:rPr>
                <w:color w:val="000000"/>
                <w:sz w:val="18"/>
                <w:szCs w:val="18"/>
              </w:rPr>
            </w:pPr>
            <w:r w:rsidRPr="00F92667">
              <w:rPr>
                <w:color w:val="000000"/>
                <w:sz w:val="18"/>
                <w:szCs w:val="18"/>
              </w:rPr>
              <w:t>0,000</w:t>
            </w:r>
          </w:p>
        </w:tc>
      </w:tr>
      <w:tr w:rsidR="001C56BD" w:rsidRPr="00F92667" w14:paraId="07766E87" w14:textId="77777777" w:rsidTr="008A5C11">
        <w:trPr>
          <w:trHeight w:val="20"/>
        </w:trPr>
        <w:tc>
          <w:tcPr>
            <w:tcW w:w="557" w:type="dxa"/>
            <w:shd w:val="clear" w:color="auto" w:fill="auto"/>
            <w:tcMar>
              <w:left w:w="28" w:type="dxa"/>
              <w:right w:w="28" w:type="dxa"/>
            </w:tcMar>
            <w:vAlign w:val="center"/>
            <w:hideMark/>
          </w:tcPr>
          <w:p w14:paraId="14654322" w14:textId="77777777" w:rsidR="001C56BD" w:rsidRPr="00F92667" w:rsidRDefault="001C56BD" w:rsidP="008A5C11">
            <w:pPr>
              <w:jc w:val="center"/>
              <w:rPr>
                <w:color w:val="000000"/>
                <w:sz w:val="18"/>
                <w:szCs w:val="18"/>
              </w:rPr>
            </w:pPr>
            <w:r w:rsidRPr="00F92667">
              <w:rPr>
                <w:color w:val="000000"/>
                <w:sz w:val="18"/>
                <w:szCs w:val="18"/>
              </w:rPr>
              <w:t>1.4.</w:t>
            </w:r>
          </w:p>
        </w:tc>
        <w:tc>
          <w:tcPr>
            <w:tcW w:w="2755" w:type="dxa"/>
            <w:shd w:val="clear" w:color="auto" w:fill="auto"/>
            <w:tcMar>
              <w:left w:w="28" w:type="dxa"/>
              <w:right w:w="28" w:type="dxa"/>
            </w:tcMar>
            <w:vAlign w:val="center"/>
            <w:hideMark/>
          </w:tcPr>
          <w:p w14:paraId="0BCD2E98" w14:textId="77777777" w:rsidR="001C56BD" w:rsidRPr="00F92667" w:rsidRDefault="001C56BD" w:rsidP="008A5C11">
            <w:pPr>
              <w:jc w:val="center"/>
              <w:rPr>
                <w:color w:val="000000"/>
                <w:sz w:val="18"/>
                <w:szCs w:val="18"/>
              </w:rPr>
            </w:pPr>
            <w:r w:rsidRPr="00F92667">
              <w:rPr>
                <w:color w:val="000000"/>
                <w:sz w:val="18"/>
                <w:szCs w:val="18"/>
              </w:rPr>
              <w:t>прочие собственные средства, в т.ч. средства от эмиссии ценных бумаг</w:t>
            </w:r>
          </w:p>
        </w:tc>
        <w:tc>
          <w:tcPr>
            <w:tcW w:w="1508" w:type="dxa"/>
            <w:shd w:val="clear" w:color="auto" w:fill="auto"/>
            <w:tcMar>
              <w:left w:w="28" w:type="dxa"/>
              <w:right w:w="28" w:type="dxa"/>
            </w:tcMar>
            <w:vAlign w:val="center"/>
            <w:hideMark/>
          </w:tcPr>
          <w:p w14:paraId="59813C62" w14:textId="77777777" w:rsidR="001C56BD" w:rsidRPr="00F92667" w:rsidRDefault="001C56BD" w:rsidP="008A5C11">
            <w:pPr>
              <w:jc w:val="center"/>
              <w:rPr>
                <w:color w:val="000000"/>
                <w:sz w:val="18"/>
                <w:szCs w:val="18"/>
              </w:rPr>
            </w:pPr>
            <w:r w:rsidRPr="00F92667">
              <w:rPr>
                <w:color w:val="000000"/>
                <w:sz w:val="18"/>
                <w:szCs w:val="18"/>
              </w:rPr>
              <w:t>0,000</w:t>
            </w:r>
          </w:p>
        </w:tc>
        <w:tc>
          <w:tcPr>
            <w:tcW w:w="992" w:type="dxa"/>
            <w:shd w:val="clear" w:color="auto" w:fill="auto"/>
            <w:tcMar>
              <w:left w:w="28" w:type="dxa"/>
              <w:right w:w="28" w:type="dxa"/>
            </w:tcMar>
            <w:vAlign w:val="center"/>
            <w:hideMark/>
          </w:tcPr>
          <w:p w14:paraId="4DF65A29" w14:textId="77777777" w:rsidR="001C56BD" w:rsidRPr="00F92667" w:rsidRDefault="001C56BD" w:rsidP="008A5C11">
            <w:pPr>
              <w:jc w:val="center"/>
              <w:rPr>
                <w:color w:val="000000"/>
                <w:sz w:val="18"/>
                <w:szCs w:val="18"/>
              </w:rPr>
            </w:pPr>
            <w:r w:rsidRPr="00F92667">
              <w:rPr>
                <w:color w:val="000000"/>
                <w:sz w:val="18"/>
                <w:szCs w:val="18"/>
              </w:rPr>
              <w:t>0,000</w:t>
            </w:r>
          </w:p>
        </w:tc>
        <w:tc>
          <w:tcPr>
            <w:tcW w:w="993" w:type="dxa"/>
            <w:shd w:val="clear" w:color="auto" w:fill="auto"/>
            <w:tcMar>
              <w:left w:w="28" w:type="dxa"/>
              <w:right w:w="28" w:type="dxa"/>
            </w:tcMar>
            <w:vAlign w:val="center"/>
            <w:hideMark/>
          </w:tcPr>
          <w:p w14:paraId="7EEDB992" w14:textId="77777777" w:rsidR="001C56BD" w:rsidRPr="00F92667" w:rsidRDefault="001C56BD" w:rsidP="008A5C11">
            <w:pPr>
              <w:jc w:val="center"/>
              <w:rPr>
                <w:color w:val="000000"/>
                <w:sz w:val="18"/>
                <w:szCs w:val="18"/>
              </w:rPr>
            </w:pPr>
            <w:r w:rsidRPr="00F92667">
              <w:rPr>
                <w:color w:val="000000"/>
                <w:sz w:val="18"/>
                <w:szCs w:val="18"/>
              </w:rPr>
              <w:t>0,000</w:t>
            </w:r>
          </w:p>
        </w:tc>
        <w:tc>
          <w:tcPr>
            <w:tcW w:w="992" w:type="dxa"/>
            <w:shd w:val="clear" w:color="000000" w:fill="FFFFFF"/>
            <w:tcMar>
              <w:left w:w="28" w:type="dxa"/>
              <w:right w:w="28" w:type="dxa"/>
            </w:tcMar>
            <w:vAlign w:val="center"/>
            <w:hideMark/>
          </w:tcPr>
          <w:p w14:paraId="00F51EB6" w14:textId="77777777" w:rsidR="001C56BD" w:rsidRPr="00F92667" w:rsidRDefault="001C56BD" w:rsidP="008A5C11">
            <w:pPr>
              <w:jc w:val="center"/>
              <w:rPr>
                <w:color w:val="000000"/>
                <w:sz w:val="18"/>
                <w:szCs w:val="18"/>
              </w:rPr>
            </w:pPr>
            <w:r w:rsidRPr="00F92667">
              <w:rPr>
                <w:color w:val="000000"/>
                <w:sz w:val="18"/>
                <w:szCs w:val="18"/>
              </w:rPr>
              <w:t>0,000</w:t>
            </w:r>
          </w:p>
        </w:tc>
        <w:tc>
          <w:tcPr>
            <w:tcW w:w="992" w:type="dxa"/>
            <w:shd w:val="clear" w:color="auto" w:fill="auto"/>
            <w:tcMar>
              <w:left w:w="28" w:type="dxa"/>
              <w:right w:w="28" w:type="dxa"/>
            </w:tcMar>
            <w:vAlign w:val="center"/>
            <w:hideMark/>
          </w:tcPr>
          <w:p w14:paraId="56A7EB95" w14:textId="77777777" w:rsidR="001C56BD" w:rsidRPr="00F92667" w:rsidRDefault="001C56BD" w:rsidP="008A5C11">
            <w:pPr>
              <w:jc w:val="center"/>
              <w:rPr>
                <w:color w:val="000000"/>
                <w:sz w:val="18"/>
                <w:szCs w:val="18"/>
              </w:rPr>
            </w:pPr>
            <w:r w:rsidRPr="00F92667">
              <w:rPr>
                <w:color w:val="000000"/>
                <w:sz w:val="18"/>
                <w:szCs w:val="18"/>
              </w:rPr>
              <w:t>0,000</w:t>
            </w:r>
          </w:p>
        </w:tc>
        <w:tc>
          <w:tcPr>
            <w:tcW w:w="992" w:type="dxa"/>
            <w:shd w:val="clear" w:color="auto" w:fill="auto"/>
            <w:tcMar>
              <w:left w:w="28" w:type="dxa"/>
              <w:right w:w="28" w:type="dxa"/>
            </w:tcMar>
            <w:vAlign w:val="center"/>
            <w:hideMark/>
          </w:tcPr>
          <w:p w14:paraId="03058734" w14:textId="77777777" w:rsidR="001C56BD" w:rsidRPr="00F92667" w:rsidRDefault="001C56BD" w:rsidP="008A5C11">
            <w:pPr>
              <w:jc w:val="center"/>
              <w:rPr>
                <w:color w:val="000000"/>
                <w:sz w:val="18"/>
                <w:szCs w:val="18"/>
              </w:rPr>
            </w:pPr>
            <w:r w:rsidRPr="00F92667">
              <w:rPr>
                <w:color w:val="000000"/>
                <w:sz w:val="18"/>
                <w:szCs w:val="18"/>
              </w:rPr>
              <w:t>0,000</w:t>
            </w:r>
          </w:p>
        </w:tc>
        <w:tc>
          <w:tcPr>
            <w:tcW w:w="992" w:type="dxa"/>
            <w:shd w:val="clear" w:color="auto" w:fill="auto"/>
            <w:tcMar>
              <w:left w:w="28" w:type="dxa"/>
              <w:right w:w="28" w:type="dxa"/>
            </w:tcMar>
            <w:vAlign w:val="center"/>
            <w:hideMark/>
          </w:tcPr>
          <w:p w14:paraId="06208D31" w14:textId="77777777" w:rsidR="001C56BD" w:rsidRPr="00F92667" w:rsidRDefault="001C56BD" w:rsidP="008A5C11">
            <w:pPr>
              <w:jc w:val="center"/>
              <w:rPr>
                <w:color w:val="000000"/>
                <w:sz w:val="18"/>
                <w:szCs w:val="18"/>
              </w:rPr>
            </w:pPr>
            <w:r w:rsidRPr="00F92667">
              <w:rPr>
                <w:color w:val="000000"/>
                <w:sz w:val="18"/>
                <w:szCs w:val="18"/>
              </w:rPr>
              <w:t>0,000</w:t>
            </w:r>
          </w:p>
        </w:tc>
        <w:tc>
          <w:tcPr>
            <w:tcW w:w="993" w:type="dxa"/>
            <w:shd w:val="clear" w:color="auto" w:fill="auto"/>
            <w:tcMar>
              <w:left w:w="28" w:type="dxa"/>
              <w:right w:w="28" w:type="dxa"/>
            </w:tcMar>
            <w:vAlign w:val="center"/>
            <w:hideMark/>
          </w:tcPr>
          <w:p w14:paraId="29D5463B" w14:textId="77777777" w:rsidR="001C56BD" w:rsidRPr="00F92667" w:rsidRDefault="001C56BD" w:rsidP="008A5C11">
            <w:pPr>
              <w:jc w:val="center"/>
              <w:rPr>
                <w:color w:val="000000"/>
                <w:sz w:val="18"/>
                <w:szCs w:val="18"/>
              </w:rPr>
            </w:pPr>
            <w:r w:rsidRPr="00F92667">
              <w:rPr>
                <w:color w:val="000000"/>
                <w:sz w:val="18"/>
                <w:szCs w:val="18"/>
              </w:rPr>
              <w:t>0,000</w:t>
            </w:r>
          </w:p>
        </w:tc>
        <w:tc>
          <w:tcPr>
            <w:tcW w:w="992" w:type="dxa"/>
            <w:shd w:val="clear" w:color="auto" w:fill="auto"/>
            <w:tcMar>
              <w:left w:w="28" w:type="dxa"/>
              <w:right w:w="28" w:type="dxa"/>
            </w:tcMar>
            <w:vAlign w:val="center"/>
            <w:hideMark/>
          </w:tcPr>
          <w:p w14:paraId="75F3FD18" w14:textId="77777777" w:rsidR="001C56BD" w:rsidRPr="00F92667" w:rsidRDefault="001C56BD" w:rsidP="008A5C11">
            <w:pPr>
              <w:jc w:val="center"/>
              <w:rPr>
                <w:color w:val="000000"/>
                <w:sz w:val="18"/>
                <w:szCs w:val="18"/>
              </w:rPr>
            </w:pPr>
            <w:r w:rsidRPr="00F92667">
              <w:rPr>
                <w:color w:val="000000"/>
                <w:sz w:val="18"/>
                <w:szCs w:val="18"/>
              </w:rPr>
              <w:t>0,000</w:t>
            </w:r>
          </w:p>
        </w:tc>
        <w:tc>
          <w:tcPr>
            <w:tcW w:w="992" w:type="dxa"/>
            <w:shd w:val="clear" w:color="auto" w:fill="auto"/>
            <w:tcMar>
              <w:left w:w="28" w:type="dxa"/>
              <w:right w:w="28" w:type="dxa"/>
            </w:tcMar>
            <w:vAlign w:val="center"/>
            <w:hideMark/>
          </w:tcPr>
          <w:p w14:paraId="2C41711A" w14:textId="77777777" w:rsidR="001C56BD" w:rsidRPr="00F92667" w:rsidRDefault="001C56BD" w:rsidP="008A5C11">
            <w:pPr>
              <w:jc w:val="center"/>
              <w:rPr>
                <w:color w:val="000000"/>
                <w:sz w:val="18"/>
                <w:szCs w:val="18"/>
              </w:rPr>
            </w:pPr>
            <w:r w:rsidRPr="00F92667">
              <w:rPr>
                <w:color w:val="000000"/>
                <w:sz w:val="18"/>
                <w:szCs w:val="18"/>
              </w:rPr>
              <w:t>0,000</w:t>
            </w:r>
          </w:p>
        </w:tc>
        <w:tc>
          <w:tcPr>
            <w:tcW w:w="992" w:type="dxa"/>
            <w:shd w:val="clear" w:color="auto" w:fill="auto"/>
            <w:tcMar>
              <w:left w:w="28" w:type="dxa"/>
              <w:right w:w="28" w:type="dxa"/>
            </w:tcMar>
            <w:vAlign w:val="center"/>
            <w:hideMark/>
          </w:tcPr>
          <w:p w14:paraId="659CB98D" w14:textId="77777777" w:rsidR="001C56BD" w:rsidRPr="00F92667" w:rsidRDefault="001C56BD" w:rsidP="008A5C11">
            <w:pPr>
              <w:jc w:val="center"/>
              <w:rPr>
                <w:color w:val="000000"/>
                <w:sz w:val="18"/>
                <w:szCs w:val="18"/>
              </w:rPr>
            </w:pPr>
            <w:r w:rsidRPr="00F92667">
              <w:rPr>
                <w:color w:val="000000"/>
                <w:sz w:val="18"/>
                <w:szCs w:val="18"/>
              </w:rPr>
              <w:t>0,000</w:t>
            </w:r>
          </w:p>
        </w:tc>
        <w:tc>
          <w:tcPr>
            <w:tcW w:w="998" w:type="dxa"/>
            <w:shd w:val="clear" w:color="auto" w:fill="auto"/>
            <w:tcMar>
              <w:left w:w="28" w:type="dxa"/>
              <w:right w:w="28" w:type="dxa"/>
            </w:tcMar>
            <w:vAlign w:val="center"/>
            <w:hideMark/>
          </w:tcPr>
          <w:p w14:paraId="48873E86" w14:textId="77777777" w:rsidR="001C56BD" w:rsidRPr="00F92667" w:rsidRDefault="001C56BD" w:rsidP="008A5C11">
            <w:pPr>
              <w:jc w:val="center"/>
              <w:rPr>
                <w:color w:val="000000"/>
                <w:sz w:val="18"/>
                <w:szCs w:val="18"/>
              </w:rPr>
            </w:pPr>
            <w:r w:rsidRPr="00F92667">
              <w:rPr>
                <w:color w:val="000000"/>
                <w:sz w:val="18"/>
                <w:szCs w:val="18"/>
              </w:rPr>
              <w:t>0,000</w:t>
            </w:r>
          </w:p>
        </w:tc>
      </w:tr>
      <w:tr w:rsidR="001C56BD" w:rsidRPr="00F92667" w14:paraId="4206DE55" w14:textId="77777777" w:rsidTr="008A5C11">
        <w:trPr>
          <w:trHeight w:val="20"/>
        </w:trPr>
        <w:tc>
          <w:tcPr>
            <w:tcW w:w="557" w:type="dxa"/>
            <w:shd w:val="clear" w:color="auto" w:fill="auto"/>
            <w:tcMar>
              <w:left w:w="28" w:type="dxa"/>
              <w:right w:w="28" w:type="dxa"/>
            </w:tcMar>
            <w:vAlign w:val="center"/>
            <w:hideMark/>
          </w:tcPr>
          <w:p w14:paraId="657AEE55" w14:textId="77777777" w:rsidR="001C56BD" w:rsidRPr="00F92667" w:rsidRDefault="001C56BD" w:rsidP="008A5C11">
            <w:pPr>
              <w:jc w:val="center"/>
              <w:rPr>
                <w:color w:val="000000"/>
                <w:sz w:val="18"/>
                <w:szCs w:val="18"/>
              </w:rPr>
            </w:pPr>
            <w:r w:rsidRPr="00F92667">
              <w:rPr>
                <w:color w:val="000000"/>
                <w:sz w:val="18"/>
                <w:szCs w:val="18"/>
              </w:rPr>
              <w:t xml:space="preserve">   2.</w:t>
            </w:r>
          </w:p>
        </w:tc>
        <w:tc>
          <w:tcPr>
            <w:tcW w:w="2755" w:type="dxa"/>
            <w:shd w:val="clear" w:color="auto" w:fill="auto"/>
            <w:tcMar>
              <w:left w:w="28" w:type="dxa"/>
              <w:right w:w="28" w:type="dxa"/>
            </w:tcMar>
            <w:vAlign w:val="center"/>
            <w:hideMark/>
          </w:tcPr>
          <w:p w14:paraId="3816230C" w14:textId="77777777" w:rsidR="001C56BD" w:rsidRPr="00F92667" w:rsidRDefault="001C56BD" w:rsidP="008A5C11">
            <w:pPr>
              <w:jc w:val="center"/>
              <w:rPr>
                <w:color w:val="000000"/>
                <w:sz w:val="18"/>
                <w:szCs w:val="18"/>
              </w:rPr>
            </w:pPr>
            <w:r w:rsidRPr="00F92667">
              <w:rPr>
                <w:color w:val="000000"/>
                <w:sz w:val="18"/>
                <w:szCs w:val="18"/>
              </w:rPr>
              <w:t>Привлеченные средства</w:t>
            </w:r>
          </w:p>
        </w:tc>
        <w:tc>
          <w:tcPr>
            <w:tcW w:w="1508" w:type="dxa"/>
            <w:shd w:val="clear" w:color="auto" w:fill="auto"/>
            <w:tcMar>
              <w:left w:w="28" w:type="dxa"/>
              <w:right w:w="28" w:type="dxa"/>
            </w:tcMar>
            <w:vAlign w:val="center"/>
            <w:hideMark/>
          </w:tcPr>
          <w:p w14:paraId="444B59FA" w14:textId="77777777" w:rsidR="001C56BD" w:rsidRPr="00F92667" w:rsidRDefault="001C56BD" w:rsidP="008A5C11">
            <w:pPr>
              <w:jc w:val="center"/>
              <w:rPr>
                <w:color w:val="000000"/>
                <w:sz w:val="18"/>
                <w:szCs w:val="18"/>
              </w:rPr>
            </w:pPr>
            <w:r w:rsidRPr="00F92667">
              <w:rPr>
                <w:color w:val="000000"/>
                <w:sz w:val="18"/>
                <w:szCs w:val="18"/>
              </w:rPr>
              <w:t>0,000</w:t>
            </w:r>
          </w:p>
        </w:tc>
        <w:tc>
          <w:tcPr>
            <w:tcW w:w="992" w:type="dxa"/>
            <w:shd w:val="clear" w:color="auto" w:fill="auto"/>
            <w:tcMar>
              <w:left w:w="28" w:type="dxa"/>
              <w:right w:w="28" w:type="dxa"/>
            </w:tcMar>
            <w:vAlign w:val="center"/>
            <w:hideMark/>
          </w:tcPr>
          <w:p w14:paraId="19C7A4C3" w14:textId="77777777" w:rsidR="001C56BD" w:rsidRPr="00F92667" w:rsidRDefault="001C56BD" w:rsidP="008A5C11">
            <w:pPr>
              <w:jc w:val="center"/>
              <w:rPr>
                <w:color w:val="000000"/>
                <w:sz w:val="18"/>
                <w:szCs w:val="18"/>
              </w:rPr>
            </w:pPr>
            <w:r w:rsidRPr="00F92667">
              <w:rPr>
                <w:color w:val="000000"/>
                <w:sz w:val="18"/>
                <w:szCs w:val="18"/>
              </w:rPr>
              <w:t>0,000</w:t>
            </w:r>
          </w:p>
        </w:tc>
        <w:tc>
          <w:tcPr>
            <w:tcW w:w="993" w:type="dxa"/>
            <w:shd w:val="clear" w:color="auto" w:fill="auto"/>
            <w:tcMar>
              <w:left w:w="28" w:type="dxa"/>
              <w:right w:w="28" w:type="dxa"/>
            </w:tcMar>
            <w:vAlign w:val="center"/>
            <w:hideMark/>
          </w:tcPr>
          <w:p w14:paraId="1B08979F" w14:textId="77777777" w:rsidR="001C56BD" w:rsidRPr="00F92667" w:rsidRDefault="001C56BD" w:rsidP="008A5C11">
            <w:pPr>
              <w:jc w:val="center"/>
              <w:rPr>
                <w:color w:val="000000"/>
                <w:sz w:val="18"/>
                <w:szCs w:val="18"/>
              </w:rPr>
            </w:pPr>
            <w:r w:rsidRPr="00F92667">
              <w:rPr>
                <w:color w:val="000000"/>
                <w:sz w:val="18"/>
                <w:szCs w:val="18"/>
              </w:rPr>
              <w:t>0,000</w:t>
            </w:r>
          </w:p>
        </w:tc>
        <w:tc>
          <w:tcPr>
            <w:tcW w:w="992" w:type="dxa"/>
            <w:shd w:val="clear" w:color="000000" w:fill="FFFFFF"/>
            <w:tcMar>
              <w:left w:w="28" w:type="dxa"/>
              <w:right w:w="28" w:type="dxa"/>
            </w:tcMar>
            <w:vAlign w:val="center"/>
            <w:hideMark/>
          </w:tcPr>
          <w:p w14:paraId="33AD6CE1" w14:textId="77777777" w:rsidR="001C56BD" w:rsidRPr="00F92667" w:rsidRDefault="001C56BD" w:rsidP="008A5C11">
            <w:pPr>
              <w:jc w:val="center"/>
              <w:rPr>
                <w:color w:val="000000"/>
                <w:sz w:val="18"/>
                <w:szCs w:val="18"/>
              </w:rPr>
            </w:pPr>
            <w:r w:rsidRPr="00F92667">
              <w:rPr>
                <w:color w:val="000000"/>
                <w:sz w:val="18"/>
                <w:szCs w:val="18"/>
              </w:rPr>
              <w:t>0,000</w:t>
            </w:r>
          </w:p>
        </w:tc>
        <w:tc>
          <w:tcPr>
            <w:tcW w:w="992" w:type="dxa"/>
            <w:shd w:val="clear" w:color="auto" w:fill="auto"/>
            <w:tcMar>
              <w:left w:w="28" w:type="dxa"/>
              <w:right w:w="28" w:type="dxa"/>
            </w:tcMar>
            <w:vAlign w:val="center"/>
            <w:hideMark/>
          </w:tcPr>
          <w:p w14:paraId="1F36BD78" w14:textId="77777777" w:rsidR="001C56BD" w:rsidRPr="00F92667" w:rsidRDefault="001C56BD" w:rsidP="008A5C11">
            <w:pPr>
              <w:jc w:val="center"/>
              <w:rPr>
                <w:color w:val="000000"/>
                <w:sz w:val="18"/>
                <w:szCs w:val="18"/>
              </w:rPr>
            </w:pPr>
            <w:r w:rsidRPr="00F92667">
              <w:rPr>
                <w:color w:val="000000"/>
                <w:sz w:val="18"/>
                <w:szCs w:val="18"/>
              </w:rPr>
              <w:t>0,000</w:t>
            </w:r>
          </w:p>
        </w:tc>
        <w:tc>
          <w:tcPr>
            <w:tcW w:w="992" w:type="dxa"/>
            <w:shd w:val="clear" w:color="auto" w:fill="auto"/>
            <w:tcMar>
              <w:left w:w="28" w:type="dxa"/>
              <w:right w:w="28" w:type="dxa"/>
            </w:tcMar>
            <w:vAlign w:val="center"/>
            <w:hideMark/>
          </w:tcPr>
          <w:p w14:paraId="120F743F" w14:textId="77777777" w:rsidR="001C56BD" w:rsidRPr="00F92667" w:rsidRDefault="001C56BD" w:rsidP="008A5C11">
            <w:pPr>
              <w:jc w:val="center"/>
              <w:rPr>
                <w:color w:val="000000"/>
                <w:sz w:val="18"/>
                <w:szCs w:val="18"/>
              </w:rPr>
            </w:pPr>
            <w:r w:rsidRPr="00F92667">
              <w:rPr>
                <w:color w:val="000000"/>
                <w:sz w:val="18"/>
                <w:szCs w:val="18"/>
              </w:rPr>
              <w:t>0,000</w:t>
            </w:r>
          </w:p>
        </w:tc>
        <w:tc>
          <w:tcPr>
            <w:tcW w:w="992" w:type="dxa"/>
            <w:shd w:val="clear" w:color="auto" w:fill="auto"/>
            <w:tcMar>
              <w:left w:w="28" w:type="dxa"/>
              <w:right w:w="28" w:type="dxa"/>
            </w:tcMar>
            <w:vAlign w:val="center"/>
            <w:hideMark/>
          </w:tcPr>
          <w:p w14:paraId="75EB4B95" w14:textId="77777777" w:rsidR="001C56BD" w:rsidRPr="00F92667" w:rsidRDefault="001C56BD" w:rsidP="008A5C11">
            <w:pPr>
              <w:jc w:val="center"/>
              <w:rPr>
                <w:color w:val="000000"/>
                <w:sz w:val="18"/>
                <w:szCs w:val="18"/>
              </w:rPr>
            </w:pPr>
            <w:r w:rsidRPr="00F92667">
              <w:rPr>
                <w:color w:val="000000"/>
                <w:sz w:val="18"/>
                <w:szCs w:val="18"/>
              </w:rPr>
              <w:t>0,000</w:t>
            </w:r>
          </w:p>
        </w:tc>
        <w:tc>
          <w:tcPr>
            <w:tcW w:w="993" w:type="dxa"/>
            <w:shd w:val="clear" w:color="auto" w:fill="auto"/>
            <w:tcMar>
              <w:left w:w="28" w:type="dxa"/>
              <w:right w:w="28" w:type="dxa"/>
            </w:tcMar>
            <w:vAlign w:val="center"/>
            <w:hideMark/>
          </w:tcPr>
          <w:p w14:paraId="5EBF83E5" w14:textId="77777777" w:rsidR="001C56BD" w:rsidRPr="00F92667" w:rsidRDefault="001C56BD" w:rsidP="008A5C11">
            <w:pPr>
              <w:jc w:val="center"/>
              <w:rPr>
                <w:color w:val="000000"/>
                <w:sz w:val="18"/>
                <w:szCs w:val="18"/>
              </w:rPr>
            </w:pPr>
            <w:r w:rsidRPr="00F92667">
              <w:rPr>
                <w:color w:val="000000"/>
                <w:sz w:val="18"/>
                <w:szCs w:val="18"/>
              </w:rPr>
              <w:t>0,000</w:t>
            </w:r>
          </w:p>
        </w:tc>
        <w:tc>
          <w:tcPr>
            <w:tcW w:w="992" w:type="dxa"/>
            <w:shd w:val="clear" w:color="auto" w:fill="auto"/>
            <w:tcMar>
              <w:left w:w="28" w:type="dxa"/>
              <w:right w:w="28" w:type="dxa"/>
            </w:tcMar>
            <w:vAlign w:val="center"/>
            <w:hideMark/>
          </w:tcPr>
          <w:p w14:paraId="7433D044" w14:textId="77777777" w:rsidR="001C56BD" w:rsidRPr="00F92667" w:rsidRDefault="001C56BD" w:rsidP="008A5C11">
            <w:pPr>
              <w:jc w:val="center"/>
              <w:rPr>
                <w:color w:val="000000"/>
                <w:sz w:val="18"/>
                <w:szCs w:val="18"/>
              </w:rPr>
            </w:pPr>
            <w:r w:rsidRPr="00F92667">
              <w:rPr>
                <w:color w:val="000000"/>
                <w:sz w:val="18"/>
                <w:szCs w:val="18"/>
              </w:rPr>
              <w:t>0,000</w:t>
            </w:r>
          </w:p>
        </w:tc>
        <w:tc>
          <w:tcPr>
            <w:tcW w:w="992" w:type="dxa"/>
            <w:shd w:val="clear" w:color="auto" w:fill="auto"/>
            <w:tcMar>
              <w:left w:w="28" w:type="dxa"/>
              <w:right w:w="28" w:type="dxa"/>
            </w:tcMar>
            <w:vAlign w:val="center"/>
            <w:hideMark/>
          </w:tcPr>
          <w:p w14:paraId="02C9A603" w14:textId="77777777" w:rsidR="001C56BD" w:rsidRPr="00F92667" w:rsidRDefault="001C56BD" w:rsidP="008A5C11">
            <w:pPr>
              <w:jc w:val="center"/>
              <w:rPr>
                <w:color w:val="000000"/>
                <w:sz w:val="18"/>
                <w:szCs w:val="18"/>
              </w:rPr>
            </w:pPr>
            <w:r w:rsidRPr="00F92667">
              <w:rPr>
                <w:color w:val="000000"/>
                <w:sz w:val="18"/>
                <w:szCs w:val="18"/>
              </w:rPr>
              <w:t>0,000</w:t>
            </w:r>
          </w:p>
        </w:tc>
        <w:tc>
          <w:tcPr>
            <w:tcW w:w="992" w:type="dxa"/>
            <w:shd w:val="clear" w:color="auto" w:fill="auto"/>
            <w:tcMar>
              <w:left w:w="28" w:type="dxa"/>
              <w:right w:w="28" w:type="dxa"/>
            </w:tcMar>
            <w:vAlign w:val="center"/>
            <w:hideMark/>
          </w:tcPr>
          <w:p w14:paraId="0CF26462" w14:textId="77777777" w:rsidR="001C56BD" w:rsidRPr="00F92667" w:rsidRDefault="001C56BD" w:rsidP="008A5C11">
            <w:pPr>
              <w:jc w:val="center"/>
              <w:rPr>
                <w:color w:val="000000"/>
                <w:sz w:val="18"/>
                <w:szCs w:val="18"/>
              </w:rPr>
            </w:pPr>
            <w:r w:rsidRPr="00F92667">
              <w:rPr>
                <w:color w:val="000000"/>
                <w:sz w:val="18"/>
                <w:szCs w:val="18"/>
              </w:rPr>
              <w:t>0,000</w:t>
            </w:r>
          </w:p>
        </w:tc>
        <w:tc>
          <w:tcPr>
            <w:tcW w:w="998" w:type="dxa"/>
            <w:shd w:val="clear" w:color="auto" w:fill="auto"/>
            <w:tcMar>
              <w:left w:w="28" w:type="dxa"/>
              <w:right w:w="28" w:type="dxa"/>
            </w:tcMar>
            <w:vAlign w:val="center"/>
            <w:hideMark/>
          </w:tcPr>
          <w:p w14:paraId="4A01CC49" w14:textId="77777777" w:rsidR="001C56BD" w:rsidRPr="00F92667" w:rsidRDefault="001C56BD" w:rsidP="008A5C11">
            <w:pPr>
              <w:jc w:val="center"/>
              <w:rPr>
                <w:color w:val="000000"/>
                <w:sz w:val="18"/>
                <w:szCs w:val="18"/>
              </w:rPr>
            </w:pPr>
            <w:r w:rsidRPr="00F92667">
              <w:rPr>
                <w:color w:val="000000"/>
                <w:sz w:val="18"/>
                <w:szCs w:val="18"/>
              </w:rPr>
              <w:t>0,000</w:t>
            </w:r>
          </w:p>
        </w:tc>
      </w:tr>
      <w:tr w:rsidR="001C56BD" w:rsidRPr="00F92667" w14:paraId="2D3D032A" w14:textId="77777777" w:rsidTr="008A5C11">
        <w:trPr>
          <w:trHeight w:val="20"/>
        </w:trPr>
        <w:tc>
          <w:tcPr>
            <w:tcW w:w="557" w:type="dxa"/>
            <w:shd w:val="clear" w:color="auto" w:fill="auto"/>
            <w:tcMar>
              <w:left w:w="28" w:type="dxa"/>
              <w:right w:w="28" w:type="dxa"/>
            </w:tcMar>
            <w:vAlign w:val="center"/>
            <w:hideMark/>
          </w:tcPr>
          <w:p w14:paraId="1C8C3AEC" w14:textId="77777777" w:rsidR="001C56BD" w:rsidRPr="00F92667" w:rsidRDefault="001C56BD" w:rsidP="008A5C11">
            <w:pPr>
              <w:jc w:val="center"/>
              <w:rPr>
                <w:color w:val="000000"/>
                <w:sz w:val="18"/>
                <w:szCs w:val="18"/>
              </w:rPr>
            </w:pPr>
            <w:r w:rsidRPr="00F92667">
              <w:rPr>
                <w:color w:val="000000"/>
                <w:sz w:val="18"/>
                <w:szCs w:val="18"/>
              </w:rPr>
              <w:t>2.1.</w:t>
            </w:r>
          </w:p>
        </w:tc>
        <w:tc>
          <w:tcPr>
            <w:tcW w:w="2755" w:type="dxa"/>
            <w:shd w:val="clear" w:color="auto" w:fill="auto"/>
            <w:tcMar>
              <w:left w:w="28" w:type="dxa"/>
              <w:right w:w="28" w:type="dxa"/>
            </w:tcMar>
            <w:vAlign w:val="center"/>
            <w:hideMark/>
          </w:tcPr>
          <w:p w14:paraId="4ABD339E" w14:textId="77777777" w:rsidR="001C56BD" w:rsidRPr="00F92667" w:rsidRDefault="001C56BD" w:rsidP="008A5C11">
            <w:pPr>
              <w:jc w:val="center"/>
              <w:rPr>
                <w:color w:val="000000"/>
                <w:sz w:val="18"/>
                <w:szCs w:val="18"/>
              </w:rPr>
            </w:pPr>
            <w:r w:rsidRPr="00F92667">
              <w:rPr>
                <w:color w:val="000000"/>
                <w:sz w:val="18"/>
                <w:szCs w:val="18"/>
              </w:rPr>
              <w:t>кредиты</w:t>
            </w:r>
          </w:p>
        </w:tc>
        <w:tc>
          <w:tcPr>
            <w:tcW w:w="1508" w:type="dxa"/>
            <w:shd w:val="clear" w:color="auto" w:fill="auto"/>
            <w:tcMar>
              <w:left w:w="28" w:type="dxa"/>
              <w:right w:w="28" w:type="dxa"/>
            </w:tcMar>
            <w:vAlign w:val="center"/>
            <w:hideMark/>
          </w:tcPr>
          <w:p w14:paraId="577223F7" w14:textId="77777777" w:rsidR="001C56BD" w:rsidRPr="00F92667" w:rsidRDefault="001C56BD" w:rsidP="008A5C11">
            <w:pPr>
              <w:jc w:val="center"/>
              <w:rPr>
                <w:color w:val="000000"/>
                <w:sz w:val="18"/>
                <w:szCs w:val="18"/>
              </w:rPr>
            </w:pPr>
            <w:r w:rsidRPr="00F92667">
              <w:rPr>
                <w:color w:val="000000"/>
                <w:sz w:val="18"/>
                <w:szCs w:val="18"/>
              </w:rPr>
              <w:t>0,000</w:t>
            </w:r>
          </w:p>
        </w:tc>
        <w:tc>
          <w:tcPr>
            <w:tcW w:w="992" w:type="dxa"/>
            <w:shd w:val="clear" w:color="auto" w:fill="auto"/>
            <w:tcMar>
              <w:left w:w="28" w:type="dxa"/>
              <w:right w:w="28" w:type="dxa"/>
            </w:tcMar>
            <w:vAlign w:val="center"/>
            <w:hideMark/>
          </w:tcPr>
          <w:p w14:paraId="50DAA654" w14:textId="77777777" w:rsidR="001C56BD" w:rsidRPr="00F92667" w:rsidRDefault="001C56BD" w:rsidP="008A5C11">
            <w:pPr>
              <w:jc w:val="center"/>
              <w:rPr>
                <w:color w:val="000000"/>
                <w:sz w:val="18"/>
                <w:szCs w:val="18"/>
              </w:rPr>
            </w:pPr>
            <w:r w:rsidRPr="00F92667">
              <w:rPr>
                <w:color w:val="000000"/>
                <w:sz w:val="18"/>
                <w:szCs w:val="18"/>
              </w:rPr>
              <w:t>0,000</w:t>
            </w:r>
          </w:p>
        </w:tc>
        <w:tc>
          <w:tcPr>
            <w:tcW w:w="993" w:type="dxa"/>
            <w:shd w:val="clear" w:color="auto" w:fill="auto"/>
            <w:tcMar>
              <w:left w:w="28" w:type="dxa"/>
              <w:right w:w="28" w:type="dxa"/>
            </w:tcMar>
            <w:vAlign w:val="center"/>
            <w:hideMark/>
          </w:tcPr>
          <w:p w14:paraId="6F2BB80F" w14:textId="77777777" w:rsidR="001C56BD" w:rsidRPr="00F92667" w:rsidRDefault="001C56BD" w:rsidP="008A5C11">
            <w:pPr>
              <w:jc w:val="center"/>
              <w:rPr>
                <w:color w:val="000000"/>
                <w:sz w:val="18"/>
                <w:szCs w:val="18"/>
              </w:rPr>
            </w:pPr>
            <w:r w:rsidRPr="00F92667">
              <w:rPr>
                <w:color w:val="000000"/>
                <w:sz w:val="18"/>
                <w:szCs w:val="18"/>
              </w:rPr>
              <w:t>0,000</w:t>
            </w:r>
          </w:p>
        </w:tc>
        <w:tc>
          <w:tcPr>
            <w:tcW w:w="992" w:type="dxa"/>
            <w:shd w:val="clear" w:color="000000" w:fill="FFFFFF"/>
            <w:tcMar>
              <w:left w:w="28" w:type="dxa"/>
              <w:right w:w="28" w:type="dxa"/>
            </w:tcMar>
            <w:vAlign w:val="center"/>
            <w:hideMark/>
          </w:tcPr>
          <w:p w14:paraId="7B410597" w14:textId="77777777" w:rsidR="001C56BD" w:rsidRPr="00F92667" w:rsidRDefault="001C56BD" w:rsidP="008A5C11">
            <w:pPr>
              <w:jc w:val="center"/>
              <w:rPr>
                <w:color w:val="000000"/>
                <w:sz w:val="18"/>
                <w:szCs w:val="18"/>
              </w:rPr>
            </w:pPr>
            <w:r w:rsidRPr="00F92667">
              <w:rPr>
                <w:color w:val="000000"/>
                <w:sz w:val="18"/>
                <w:szCs w:val="18"/>
              </w:rPr>
              <w:t>0,000</w:t>
            </w:r>
          </w:p>
        </w:tc>
        <w:tc>
          <w:tcPr>
            <w:tcW w:w="992" w:type="dxa"/>
            <w:shd w:val="clear" w:color="auto" w:fill="auto"/>
            <w:tcMar>
              <w:left w:w="28" w:type="dxa"/>
              <w:right w:w="28" w:type="dxa"/>
            </w:tcMar>
            <w:vAlign w:val="center"/>
            <w:hideMark/>
          </w:tcPr>
          <w:p w14:paraId="088072A9" w14:textId="77777777" w:rsidR="001C56BD" w:rsidRPr="00F92667" w:rsidRDefault="001C56BD" w:rsidP="008A5C11">
            <w:pPr>
              <w:jc w:val="center"/>
              <w:rPr>
                <w:color w:val="000000"/>
                <w:sz w:val="18"/>
                <w:szCs w:val="18"/>
              </w:rPr>
            </w:pPr>
            <w:r w:rsidRPr="00F92667">
              <w:rPr>
                <w:color w:val="000000"/>
                <w:sz w:val="18"/>
                <w:szCs w:val="18"/>
              </w:rPr>
              <w:t>0,000</w:t>
            </w:r>
          </w:p>
        </w:tc>
        <w:tc>
          <w:tcPr>
            <w:tcW w:w="992" w:type="dxa"/>
            <w:shd w:val="clear" w:color="auto" w:fill="auto"/>
            <w:tcMar>
              <w:left w:w="28" w:type="dxa"/>
              <w:right w:w="28" w:type="dxa"/>
            </w:tcMar>
            <w:vAlign w:val="center"/>
            <w:hideMark/>
          </w:tcPr>
          <w:p w14:paraId="42BB7A29" w14:textId="77777777" w:rsidR="001C56BD" w:rsidRPr="00F92667" w:rsidRDefault="001C56BD" w:rsidP="008A5C11">
            <w:pPr>
              <w:jc w:val="center"/>
              <w:rPr>
                <w:color w:val="000000"/>
                <w:sz w:val="18"/>
                <w:szCs w:val="18"/>
              </w:rPr>
            </w:pPr>
            <w:r w:rsidRPr="00F92667">
              <w:rPr>
                <w:color w:val="000000"/>
                <w:sz w:val="18"/>
                <w:szCs w:val="18"/>
              </w:rPr>
              <w:t>0,000</w:t>
            </w:r>
          </w:p>
        </w:tc>
        <w:tc>
          <w:tcPr>
            <w:tcW w:w="992" w:type="dxa"/>
            <w:shd w:val="clear" w:color="auto" w:fill="auto"/>
            <w:tcMar>
              <w:left w:w="28" w:type="dxa"/>
              <w:right w:w="28" w:type="dxa"/>
            </w:tcMar>
            <w:vAlign w:val="center"/>
            <w:hideMark/>
          </w:tcPr>
          <w:p w14:paraId="2D4A5CA6" w14:textId="77777777" w:rsidR="001C56BD" w:rsidRPr="00F92667" w:rsidRDefault="001C56BD" w:rsidP="008A5C11">
            <w:pPr>
              <w:jc w:val="center"/>
              <w:rPr>
                <w:color w:val="000000"/>
                <w:sz w:val="18"/>
                <w:szCs w:val="18"/>
              </w:rPr>
            </w:pPr>
            <w:r w:rsidRPr="00F92667">
              <w:rPr>
                <w:color w:val="000000"/>
                <w:sz w:val="18"/>
                <w:szCs w:val="18"/>
              </w:rPr>
              <w:t>0,000</w:t>
            </w:r>
          </w:p>
        </w:tc>
        <w:tc>
          <w:tcPr>
            <w:tcW w:w="993" w:type="dxa"/>
            <w:shd w:val="clear" w:color="auto" w:fill="auto"/>
            <w:tcMar>
              <w:left w:w="28" w:type="dxa"/>
              <w:right w:w="28" w:type="dxa"/>
            </w:tcMar>
            <w:vAlign w:val="center"/>
            <w:hideMark/>
          </w:tcPr>
          <w:p w14:paraId="18D11969" w14:textId="77777777" w:rsidR="001C56BD" w:rsidRPr="00F92667" w:rsidRDefault="001C56BD" w:rsidP="008A5C11">
            <w:pPr>
              <w:jc w:val="center"/>
              <w:rPr>
                <w:color w:val="000000"/>
                <w:sz w:val="18"/>
                <w:szCs w:val="18"/>
              </w:rPr>
            </w:pPr>
            <w:r w:rsidRPr="00F92667">
              <w:rPr>
                <w:color w:val="000000"/>
                <w:sz w:val="18"/>
                <w:szCs w:val="18"/>
              </w:rPr>
              <w:t>0,000</w:t>
            </w:r>
          </w:p>
        </w:tc>
        <w:tc>
          <w:tcPr>
            <w:tcW w:w="992" w:type="dxa"/>
            <w:shd w:val="clear" w:color="auto" w:fill="auto"/>
            <w:tcMar>
              <w:left w:w="28" w:type="dxa"/>
              <w:right w:w="28" w:type="dxa"/>
            </w:tcMar>
            <w:vAlign w:val="center"/>
            <w:hideMark/>
          </w:tcPr>
          <w:p w14:paraId="28C8811A" w14:textId="77777777" w:rsidR="001C56BD" w:rsidRPr="00F92667" w:rsidRDefault="001C56BD" w:rsidP="008A5C11">
            <w:pPr>
              <w:jc w:val="center"/>
              <w:rPr>
                <w:color w:val="000000"/>
                <w:sz w:val="18"/>
                <w:szCs w:val="18"/>
              </w:rPr>
            </w:pPr>
            <w:r w:rsidRPr="00F92667">
              <w:rPr>
                <w:color w:val="000000"/>
                <w:sz w:val="18"/>
                <w:szCs w:val="18"/>
              </w:rPr>
              <w:t>0,000</w:t>
            </w:r>
          </w:p>
        </w:tc>
        <w:tc>
          <w:tcPr>
            <w:tcW w:w="992" w:type="dxa"/>
            <w:shd w:val="clear" w:color="auto" w:fill="auto"/>
            <w:tcMar>
              <w:left w:w="28" w:type="dxa"/>
              <w:right w:w="28" w:type="dxa"/>
            </w:tcMar>
            <w:vAlign w:val="center"/>
            <w:hideMark/>
          </w:tcPr>
          <w:p w14:paraId="2F0D7F83" w14:textId="77777777" w:rsidR="001C56BD" w:rsidRPr="00F92667" w:rsidRDefault="001C56BD" w:rsidP="008A5C11">
            <w:pPr>
              <w:jc w:val="center"/>
              <w:rPr>
                <w:color w:val="000000"/>
                <w:sz w:val="18"/>
                <w:szCs w:val="18"/>
              </w:rPr>
            </w:pPr>
            <w:r w:rsidRPr="00F92667">
              <w:rPr>
                <w:color w:val="000000"/>
                <w:sz w:val="18"/>
                <w:szCs w:val="18"/>
              </w:rPr>
              <w:t>0,000</w:t>
            </w:r>
          </w:p>
        </w:tc>
        <w:tc>
          <w:tcPr>
            <w:tcW w:w="992" w:type="dxa"/>
            <w:shd w:val="clear" w:color="auto" w:fill="auto"/>
            <w:tcMar>
              <w:left w:w="28" w:type="dxa"/>
              <w:right w:w="28" w:type="dxa"/>
            </w:tcMar>
            <w:vAlign w:val="center"/>
            <w:hideMark/>
          </w:tcPr>
          <w:p w14:paraId="33E19FDB" w14:textId="77777777" w:rsidR="001C56BD" w:rsidRPr="00F92667" w:rsidRDefault="001C56BD" w:rsidP="008A5C11">
            <w:pPr>
              <w:jc w:val="center"/>
              <w:rPr>
                <w:color w:val="000000"/>
                <w:sz w:val="18"/>
                <w:szCs w:val="18"/>
              </w:rPr>
            </w:pPr>
            <w:r w:rsidRPr="00F92667">
              <w:rPr>
                <w:color w:val="000000"/>
                <w:sz w:val="18"/>
                <w:szCs w:val="18"/>
              </w:rPr>
              <w:t>0,000</w:t>
            </w:r>
          </w:p>
        </w:tc>
        <w:tc>
          <w:tcPr>
            <w:tcW w:w="998" w:type="dxa"/>
            <w:shd w:val="clear" w:color="auto" w:fill="auto"/>
            <w:tcMar>
              <w:left w:w="28" w:type="dxa"/>
              <w:right w:w="28" w:type="dxa"/>
            </w:tcMar>
            <w:vAlign w:val="center"/>
            <w:hideMark/>
          </w:tcPr>
          <w:p w14:paraId="71BE512C" w14:textId="77777777" w:rsidR="001C56BD" w:rsidRPr="00F92667" w:rsidRDefault="001C56BD" w:rsidP="008A5C11">
            <w:pPr>
              <w:jc w:val="center"/>
              <w:rPr>
                <w:color w:val="000000"/>
                <w:sz w:val="18"/>
                <w:szCs w:val="18"/>
              </w:rPr>
            </w:pPr>
            <w:r w:rsidRPr="00F92667">
              <w:rPr>
                <w:color w:val="000000"/>
                <w:sz w:val="18"/>
                <w:szCs w:val="18"/>
              </w:rPr>
              <w:t>0,000</w:t>
            </w:r>
          </w:p>
        </w:tc>
      </w:tr>
      <w:tr w:rsidR="001C56BD" w:rsidRPr="00F92667" w14:paraId="354AB693" w14:textId="77777777" w:rsidTr="008A5C11">
        <w:trPr>
          <w:trHeight w:val="20"/>
        </w:trPr>
        <w:tc>
          <w:tcPr>
            <w:tcW w:w="557" w:type="dxa"/>
            <w:shd w:val="clear" w:color="auto" w:fill="auto"/>
            <w:tcMar>
              <w:left w:w="28" w:type="dxa"/>
              <w:right w:w="28" w:type="dxa"/>
            </w:tcMar>
            <w:vAlign w:val="center"/>
            <w:hideMark/>
          </w:tcPr>
          <w:p w14:paraId="18AF379B" w14:textId="77777777" w:rsidR="001C56BD" w:rsidRPr="00F92667" w:rsidRDefault="001C56BD" w:rsidP="008A5C11">
            <w:pPr>
              <w:jc w:val="center"/>
              <w:rPr>
                <w:color w:val="000000"/>
                <w:sz w:val="18"/>
                <w:szCs w:val="18"/>
              </w:rPr>
            </w:pPr>
            <w:r w:rsidRPr="00F92667">
              <w:rPr>
                <w:color w:val="000000"/>
                <w:sz w:val="18"/>
                <w:szCs w:val="18"/>
              </w:rPr>
              <w:t>2.2.</w:t>
            </w:r>
          </w:p>
        </w:tc>
        <w:tc>
          <w:tcPr>
            <w:tcW w:w="2755" w:type="dxa"/>
            <w:shd w:val="clear" w:color="auto" w:fill="auto"/>
            <w:tcMar>
              <w:left w:w="28" w:type="dxa"/>
              <w:right w:w="28" w:type="dxa"/>
            </w:tcMar>
            <w:vAlign w:val="center"/>
            <w:hideMark/>
          </w:tcPr>
          <w:p w14:paraId="14F4E484" w14:textId="77777777" w:rsidR="001C56BD" w:rsidRPr="00F92667" w:rsidRDefault="001C56BD" w:rsidP="008A5C11">
            <w:pPr>
              <w:jc w:val="center"/>
              <w:rPr>
                <w:color w:val="000000"/>
                <w:sz w:val="18"/>
                <w:szCs w:val="18"/>
              </w:rPr>
            </w:pPr>
            <w:r w:rsidRPr="00F92667">
              <w:rPr>
                <w:color w:val="000000"/>
                <w:sz w:val="18"/>
                <w:szCs w:val="18"/>
              </w:rPr>
              <w:t>займы организаций</w:t>
            </w:r>
          </w:p>
        </w:tc>
        <w:tc>
          <w:tcPr>
            <w:tcW w:w="1508" w:type="dxa"/>
            <w:shd w:val="clear" w:color="auto" w:fill="auto"/>
            <w:tcMar>
              <w:left w:w="28" w:type="dxa"/>
              <w:right w:w="28" w:type="dxa"/>
            </w:tcMar>
            <w:vAlign w:val="center"/>
            <w:hideMark/>
          </w:tcPr>
          <w:p w14:paraId="11EF6011" w14:textId="77777777" w:rsidR="001C56BD" w:rsidRPr="00F92667" w:rsidRDefault="001C56BD" w:rsidP="008A5C11">
            <w:pPr>
              <w:jc w:val="center"/>
              <w:rPr>
                <w:color w:val="000000"/>
                <w:sz w:val="18"/>
                <w:szCs w:val="18"/>
              </w:rPr>
            </w:pPr>
            <w:r w:rsidRPr="00F92667">
              <w:rPr>
                <w:color w:val="000000"/>
                <w:sz w:val="18"/>
                <w:szCs w:val="18"/>
              </w:rPr>
              <w:t>0,000</w:t>
            </w:r>
          </w:p>
        </w:tc>
        <w:tc>
          <w:tcPr>
            <w:tcW w:w="992" w:type="dxa"/>
            <w:shd w:val="clear" w:color="auto" w:fill="auto"/>
            <w:tcMar>
              <w:left w:w="28" w:type="dxa"/>
              <w:right w:w="28" w:type="dxa"/>
            </w:tcMar>
            <w:vAlign w:val="center"/>
            <w:hideMark/>
          </w:tcPr>
          <w:p w14:paraId="274523ED" w14:textId="77777777" w:rsidR="001C56BD" w:rsidRPr="00F92667" w:rsidRDefault="001C56BD" w:rsidP="008A5C11">
            <w:pPr>
              <w:jc w:val="center"/>
              <w:rPr>
                <w:color w:val="000000"/>
                <w:sz w:val="18"/>
                <w:szCs w:val="18"/>
              </w:rPr>
            </w:pPr>
            <w:r w:rsidRPr="00F92667">
              <w:rPr>
                <w:color w:val="000000"/>
                <w:sz w:val="18"/>
                <w:szCs w:val="18"/>
              </w:rPr>
              <w:t>0,000</w:t>
            </w:r>
          </w:p>
        </w:tc>
        <w:tc>
          <w:tcPr>
            <w:tcW w:w="993" w:type="dxa"/>
            <w:shd w:val="clear" w:color="auto" w:fill="auto"/>
            <w:tcMar>
              <w:left w:w="28" w:type="dxa"/>
              <w:right w:w="28" w:type="dxa"/>
            </w:tcMar>
            <w:vAlign w:val="center"/>
            <w:hideMark/>
          </w:tcPr>
          <w:p w14:paraId="227FF3F8" w14:textId="77777777" w:rsidR="001C56BD" w:rsidRPr="00F92667" w:rsidRDefault="001C56BD" w:rsidP="008A5C11">
            <w:pPr>
              <w:jc w:val="center"/>
              <w:rPr>
                <w:color w:val="000000"/>
                <w:sz w:val="18"/>
                <w:szCs w:val="18"/>
              </w:rPr>
            </w:pPr>
            <w:r w:rsidRPr="00F92667">
              <w:rPr>
                <w:color w:val="000000"/>
                <w:sz w:val="18"/>
                <w:szCs w:val="18"/>
              </w:rPr>
              <w:t>0,000</w:t>
            </w:r>
          </w:p>
        </w:tc>
        <w:tc>
          <w:tcPr>
            <w:tcW w:w="992" w:type="dxa"/>
            <w:shd w:val="clear" w:color="000000" w:fill="FFFFFF"/>
            <w:tcMar>
              <w:left w:w="28" w:type="dxa"/>
              <w:right w:w="28" w:type="dxa"/>
            </w:tcMar>
            <w:vAlign w:val="center"/>
            <w:hideMark/>
          </w:tcPr>
          <w:p w14:paraId="21BF45C4" w14:textId="77777777" w:rsidR="001C56BD" w:rsidRPr="00F92667" w:rsidRDefault="001C56BD" w:rsidP="008A5C11">
            <w:pPr>
              <w:jc w:val="center"/>
              <w:rPr>
                <w:color w:val="000000"/>
                <w:sz w:val="18"/>
                <w:szCs w:val="18"/>
              </w:rPr>
            </w:pPr>
            <w:r w:rsidRPr="00F92667">
              <w:rPr>
                <w:color w:val="000000"/>
                <w:sz w:val="18"/>
                <w:szCs w:val="18"/>
              </w:rPr>
              <w:t>0,000</w:t>
            </w:r>
          </w:p>
        </w:tc>
        <w:tc>
          <w:tcPr>
            <w:tcW w:w="992" w:type="dxa"/>
            <w:shd w:val="clear" w:color="auto" w:fill="auto"/>
            <w:tcMar>
              <w:left w:w="28" w:type="dxa"/>
              <w:right w:w="28" w:type="dxa"/>
            </w:tcMar>
            <w:vAlign w:val="center"/>
            <w:hideMark/>
          </w:tcPr>
          <w:p w14:paraId="41E42D6B" w14:textId="77777777" w:rsidR="001C56BD" w:rsidRPr="00F92667" w:rsidRDefault="001C56BD" w:rsidP="008A5C11">
            <w:pPr>
              <w:jc w:val="center"/>
              <w:rPr>
                <w:color w:val="000000"/>
                <w:sz w:val="18"/>
                <w:szCs w:val="18"/>
              </w:rPr>
            </w:pPr>
            <w:r w:rsidRPr="00F92667">
              <w:rPr>
                <w:color w:val="000000"/>
                <w:sz w:val="18"/>
                <w:szCs w:val="18"/>
              </w:rPr>
              <w:t>0,000</w:t>
            </w:r>
          </w:p>
        </w:tc>
        <w:tc>
          <w:tcPr>
            <w:tcW w:w="992" w:type="dxa"/>
            <w:shd w:val="clear" w:color="auto" w:fill="auto"/>
            <w:tcMar>
              <w:left w:w="28" w:type="dxa"/>
              <w:right w:w="28" w:type="dxa"/>
            </w:tcMar>
            <w:vAlign w:val="center"/>
            <w:hideMark/>
          </w:tcPr>
          <w:p w14:paraId="69AF4B11" w14:textId="77777777" w:rsidR="001C56BD" w:rsidRPr="00F92667" w:rsidRDefault="001C56BD" w:rsidP="008A5C11">
            <w:pPr>
              <w:jc w:val="center"/>
              <w:rPr>
                <w:color w:val="000000"/>
                <w:sz w:val="18"/>
                <w:szCs w:val="18"/>
              </w:rPr>
            </w:pPr>
            <w:r w:rsidRPr="00F92667">
              <w:rPr>
                <w:color w:val="000000"/>
                <w:sz w:val="18"/>
                <w:szCs w:val="18"/>
              </w:rPr>
              <w:t>0,000</w:t>
            </w:r>
          </w:p>
        </w:tc>
        <w:tc>
          <w:tcPr>
            <w:tcW w:w="992" w:type="dxa"/>
            <w:shd w:val="clear" w:color="auto" w:fill="auto"/>
            <w:tcMar>
              <w:left w:w="28" w:type="dxa"/>
              <w:right w:w="28" w:type="dxa"/>
            </w:tcMar>
            <w:vAlign w:val="center"/>
            <w:hideMark/>
          </w:tcPr>
          <w:p w14:paraId="04DFCC48" w14:textId="77777777" w:rsidR="001C56BD" w:rsidRPr="00F92667" w:rsidRDefault="001C56BD" w:rsidP="008A5C11">
            <w:pPr>
              <w:jc w:val="center"/>
              <w:rPr>
                <w:color w:val="000000"/>
                <w:sz w:val="18"/>
                <w:szCs w:val="18"/>
              </w:rPr>
            </w:pPr>
            <w:r w:rsidRPr="00F92667">
              <w:rPr>
                <w:color w:val="000000"/>
                <w:sz w:val="18"/>
                <w:szCs w:val="18"/>
              </w:rPr>
              <w:t>0,000</w:t>
            </w:r>
          </w:p>
        </w:tc>
        <w:tc>
          <w:tcPr>
            <w:tcW w:w="993" w:type="dxa"/>
            <w:shd w:val="clear" w:color="auto" w:fill="auto"/>
            <w:tcMar>
              <w:left w:w="28" w:type="dxa"/>
              <w:right w:w="28" w:type="dxa"/>
            </w:tcMar>
            <w:vAlign w:val="center"/>
            <w:hideMark/>
          </w:tcPr>
          <w:p w14:paraId="18AC985C" w14:textId="77777777" w:rsidR="001C56BD" w:rsidRPr="00F92667" w:rsidRDefault="001C56BD" w:rsidP="008A5C11">
            <w:pPr>
              <w:jc w:val="center"/>
              <w:rPr>
                <w:color w:val="000000"/>
                <w:sz w:val="18"/>
                <w:szCs w:val="18"/>
              </w:rPr>
            </w:pPr>
            <w:r w:rsidRPr="00F92667">
              <w:rPr>
                <w:color w:val="000000"/>
                <w:sz w:val="18"/>
                <w:szCs w:val="18"/>
              </w:rPr>
              <w:t>0,000</w:t>
            </w:r>
          </w:p>
        </w:tc>
        <w:tc>
          <w:tcPr>
            <w:tcW w:w="992" w:type="dxa"/>
            <w:shd w:val="clear" w:color="auto" w:fill="auto"/>
            <w:tcMar>
              <w:left w:w="28" w:type="dxa"/>
              <w:right w:w="28" w:type="dxa"/>
            </w:tcMar>
            <w:vAlign w:val="center"/>
            <w:hideMark/>
          </w:tcPr>
          <w:p w14:paraId="305DCFB9" w14:textId="77777777" w:rsidR="001C56BD" w:rsidRPr="00F92667" w:rsidRDefault="001C56BD" w:rsidP="008A5C11">
            <w:pPr>
              <w:jc w:val="center"/>
              <w:rPr>
                <w:color w:val="000000"/>
                <w:sz w:val="18"/>
                <w:szCs w:val="18"/>
              </w:rPr>
            </w:pPr>
            <w:r w:rsidRPr="00F92667">
              <w:rPr>
                <w:color w:val="000000"/>
                <w:sz w:val="18"/>
                <w:szCs w:val="18"/>
              </w:rPr>
              <w:t>0,000</w:t>
            </w:r>
          </w:p>
        </w:tc>
        <w:tc>
          <w:tcPr>
            <w:tcW w:w="992" w:type="dxa"/>
            <w:shd w:val="clear" w:color="auto" w:fill="auto"/>
            <w:tcMar>
              <w:left w:w="28" w:type="dxa"/>
              <w:right w:w="28" w:type="dxa"/>
            </w:tcMar>
            <w:vAlign w:val="center"/>
            <w:hideMark/>
          </w:tcPr>
          <w:p w14:paraId="19F6BEEE" w14:textId="77777777" w:rsidR="001C56BD" w:rsidRPr="00F92667" w:rsidRDefault="001C56BD" w:rsidP="008A5C11">
            <w:pPr>
              <w:jc w:val="center"/>
              <w:rPr>
                <w:color w:val="000000"/>
                <w:sz w:val="18"/>
                <w:szCs w:val="18"/>
              </w:rPr>
            </w:pPr>
            <w:r w:rsidRPr="00F92667">
              <w:rPr>
                <w:color w:val="000000"/>
                <w:sz w:val="18"/>
                <w:szCs w:val="18"/>
              </w:rPr>
              <w:t>0,000</w:t>
            </w:r>
          </w:p>
        </w:tc>
        <w:tc>
          <w:tcPr>
            <w:tcW w:w="992" w:type="dxa"/>
            <w:shd w:val="clear" w:color="auto" w:fill="auto"/>
            <w:tcMar>
              <w:left w:w="28" w:type="dxa"/>
              <w:right w:w="28" w:type="dxa"/>
            </w:tcMar>
            <w:vAlign w:val="center"/>
            <w:hideMark/>
          </w:tcPr>
          <w:p w14:paraId="2A077852" w14:textId="77777777" w:rsidR="001C56BD" w:rsidRPr="00F92667" w:rsidRDefault="001C56BD" w:rsidP="008A5C11">
            <w:pPr>
              <w:jc w:val="center"/>
              <w:rPr>
                <w:color w:val="000000"/>
                <w:sz w:val="18"/>
                <w:szCs w:val="18"/>
              </w:rPr>
            </w:pPr>
            <w:r w:rsidRPr="00F92667">
              <w:rPr>
                <w:color w:val="000000"/>
                <w:sz w:val="18"/>
                <w:szCs w:val="18"/>
              </w:rPr>
              <w:t>0,000</w:t>
            </w:r>
          </w:p>
        </w:tc>
        <w:tc>
          <w:tcPr>
            <w:tcW w:w="998" w:type="dxa"/>
            <w:shd w:val="clear" w:color="auto" w:fill="auto"/>
            <w:tcMar>
              <w:left w:w="28" w:type="dxa"/>
              <w:right w:w="28" w:type="dxa"/>
            </w:tcMar>
            <w:vAlign w:val="center"/>
            <w:hideMark/>
          </w:tcPr>
          <w:p w14:paraId="7B9F9CAE" w14:textId="77777777" w:rsidR="001C56BD" w:rsidRPr="00F92667" w:rsidRDefault="001C56BD" w:rsidP="008A5C11">
            <w:pPr>
              <w:jc w:val="center"/>
              <w:rPr>
                <w:color w:val="000000"/>
                <w:sz w:val="18"/>
                <w:szCs w:val="18"/>
              </w:rPr>
            </w:pPr>
            <w:r w:rsidRPr="00F92667">
              <w:rPr>
                <w:color w:val="000000"/>
                <w:sz w:val="18"/>
                <w:szCs w:val="18"/>
              </w:rPr>
              <w:t>0,000</w:t>
            </w:r>
          </w:p>
        </w:tc>
      </w:tr>
      <w:tr w:rsidR="001C56BD" w:rsidRPr="00F92667" w14:paraId="200D1F06" w14:textId="77777777" w:rsidTr="008A5C11">
        <w:trPr>
          <w:trHeight w:val="20"/>
        </w:trPr>
        <w:tc>
          <w:tcPr>
            <w:tcW w:w="557" w:type="dxa"/>
            <w:shd w:val="clear" w:color="auto" w:fill="auto"/>
            <w:tcMar>
              <w:left w:w="28" w:type="dxa"/>
              <w:right w:w="28" w:type="dxa"/>
            </w:tcMar>
            <w:vAlign w:val="center"/>
            <w:hideMark/>
          </w:tcPr>
          <w:p w14:paraId="0E4AE685" w14:textId="77777777" w:rsidR="001C56BD" w:rsidRPr="00F92667" w:rsidRDefault="001C56BD" w:rsidP="008A5C11">
            <w:pPr>
              <w:jc w:val="center"/>
              <w:rPr>
                <w:color w:val="000000"/>
                <w:sz w:val="18"/>
                <w:szCs w:val="18"/>
              </w:rPr>
            </w:pPr>
            <w:r w:rsidRPr="00F92667">
              <w:rPr>
                <w:color w:val="000000"/>
                <w:sz w:val="18"/>
                <w:szCs w:val="18"/>
              </w:rPr>
              <w:t>2.3.</w:t>
            </w:r>
          </w:p>
        </w:tc>
        <w:tc>
          <w:tcPr>
            <w:tcW w:w="2755" w:type="dxa"/>
            <w:shd w:val="clear" w:color="auto" w:fill="auto"/>
            <w:tcMar>
              <w:left w:w="28" w:type="dxa"/>
              <w:right w:w="28" w:type="dxa"/>
            </w:tcMar>
            <w:vAlign w:val="center"/>
            <w:hideMark/>
          </w:tcPr>
          <w:p w14:paraId="6A7A29DF" w14:textId="77777777" w:rsidR="001C56BD" w:rsidRPr="00F92667" w:rsidRDefault="001C56BD" w:rsidP="008A5C11">
            <w:pPr>
              <w:jc w:val="center"/>
              <w:rPr>
                <w:color w:val="000000"/>
                <w:sz w:val="18"/>
                <w:szCs w:val="18"/>
              </w:rPr>
            </w:pPr>
            <w:r w:rsidRPr="00F92667">
              <w:rPr>
                <w:color w:val="000000"/>
                <w:sz w:val="18"/>
                <w:szCs w:val="18"/>
              </w:rPr>
              <w:t>прочие привлеченные средства</w:t>
            </w:r>
          </w:p>
        </w:tc>
        <w:tc>
          <w:tcPr>
            <w:tcW w:w="1508" w:type="dxa"/>
            <w:shd w:val="clear" w:color="auto" w:fill="auto"/>
            <w:tcMar>
              <w:left w:w="28" w:type="dxa"/>
              <w:right w:w="28" w:type="dxa"/>
            </w:tcMar>
            <w:vAlign w:val="center"/>
            <w:hideMark/>
          </w:tcPr>
          <w:p w14:paraId="6BA53AA2" w14:textId="77777777" w:rsidR="001C56BD" w:rsidRPr="00F92667" w:rsidRDefault="001C56BD" w:rsidP="008A5C11">
            <w:pPr>
              <w:jc w:val="center"/>
              <w:rPr>
                <w:color w:val="000000"/>
                <w:sz w:val="18"/>
                <w:szCs w:val="18"/>
              </w:rPr>
            </w:pPr>
            <w:r w:rsidRPr="00F92667">
              <w:rPr>
                <w:color w:val="000000"/>
                <w:sz w:val="18"/>
                <w:szCs w:val="18"/>
              </w:rPr>
              <w:t>0,000</w:t>
            </w:r>
          </w:p>
        </w:tc>
        <w:tc>
          <w:tcPr>
            <w:tcW w:w="992" w:type="dxa"/>
            <w:shd w:val="clear" w:color="auto" w:fill="auto"/>
            <w:tcMar>
              <w:left w:w="28" w:type="dxa"/>
              <w:right w:w="28" w:type="dxa"/>
            </w:tcMar>
            <w:vAlign w:val="center"/>
            <w:hideMark/>
          </w:tcPr>
          <w:p w14:paraId="3CC744E6" w14:textId="77777777" w:rsidR="001C56BD" w:rsidRPr="00F92667" w:rsidRDefault="001C56BD" w:rsidP="008A5C11">
            <w:pPr>
              <w:jc w:val="center"/>
              <w:rPr>
                <w:color w:val="000000"/>
                <w:sz w:val="18"/>
                <w:szCs w:val="18"/>
              </w:rPr>
            </w:pPr>
            <w:r w:rsidRPr="00F92667">
              <w:rPr>
                <w:color w:val="000000"/>
                <w:sz w:val="18"/>
                <w:szCs w:val="18"/>
              </w:rPr>
              <w:t>0,000</w:t>
            </w:r>
          </w:p>
        </w:tc>
        <w:tc>
          <w:tcPr>
            <w:tcW w:w="993" w:type="dxa"/>
            <w:shd w:val="clear" w:color="auto" w:fill="auto"/>
            <w:tcMar>
              <w:left w:w="28" w:type="dxa"/>
              <w:right w:w="28" w:type="dxa"/>
            </w:tcMar>
            <w:vAlign w:val="center"/>
            <w:hideMark/>
          </w:tcPr>
          <w:p w14:paraId="43AB02B2" w14:textId="77777777" w:rsidR="001C56BD" w:rsidRPr="00F92667" w:rsidRDefault="001C56BD" w:rsidP="008A5C11">
            <w:pPr>
              <w:jc w:val="center"/>
              <w:rPr>
                <w:color w:val="000000"/>
                <w:sz w:val="18"/>
                <w:szCs w:val="18"/>
              </w:rPr>
            </w:pPr>
            <w:r w:rsidRPr="00F92667">
              <w:rPr>
                <w:color w:val="000000"/>
                <w:sz w:val="18"/>
                <w:szCs w:val="18"/>
              </w:rPr>
              <w:t>0,000</w:t>
            </w:r>
          </w:p>
        </w:tc>
        <w:tc>
          <w:tcPr>
            <w:tcW w:w="992" w:type="dxa"/>
            <w:shd w:val="clear" w:color="000000" w:fill="FFFFFF"/>
            <w:tcMar>
              <w:left w:w="28" w:type="dxa"/>
              <w:right w:w="28" w:type="dxa"/>
            </w:tcMar>
            <w:vAlign w:val="center"/>
            <w:hideMark/>
          </w:tcPr>
          <w:p w14:paraId="12934A06" w14:textId="77777777" w:rsidR="001C56BD" w:rsidRPr="00F92667" w:rsidRDefault="001C56BD" w:rsidP="008A5C11">
            <w:pPr>
              <w:jc w:val="center"/>
              <w:rPr>
                <w:color w:val="000000"/>
                <w:sz w:val="18"/>
                <w:szCs w:val="18"/>
              </w:rPr>
            </w:pPr>
            <w:r w:rsidRPr="00F92667">
              <w:rPr>
                <w:color w:val="000000"/>
                <w:sz w:val="18"/>
                <w:szCs w:val="18"/>
              </w:rPr>
              <w:t>0,000</w:t>
            </w:r>
          </w:p>
        </w:tc>
        <w:tc>
          <w:tcPr>
            <w:tcW w:w="992" w:type="dxa"/>
            <w:shd w:val="clear" w:color="auto" w:fill="auto"/>
            <w:tcMar>
              <w:left w:w="28" w:type="dxa"/>
              <w:right w:w="28" w:type="dxa"/>
            </w:tcMar>
            <w:vAlign w:val="center"/>
            <w:hideMark/>
          </w:tcPr>
          <w:p w14:paraId="378B761D" w14:textId="77777777" w:rsidR="001C56BD" w:rsidRPr="00F92667" w:rsidRDefault="001C56BD" w:rsidP="008A5C11">
            <w:pPr>
              <w:jc w:val="center"/>
              <w:rPr>
                <w:color w:val="000000"/>
                <w:sz w:val="18"/>
                <w:szCs w:val="18"/>
              </w:rPr>
            </w:pPr>
            <w:r w:rsidRPr="00F92667">
              <w:rPr>
                <w:color w:val="000000"/>
                <w:sz w:val="18"/>
                <w:szCs w:val="18"/>
              </w:rPr>
              <w:t>0,000</w:t>
            </w:r>
          </w:p>
        </w:tc>
        <w:tc>
          <w:tcPr>
            <w:tcW w:w="992" w:type="dxa"/>
            <w:shd w:val="clear" w:color="auto" w:fill="auto"/>
            <w:tcMar>
              <w:left w:w="28" w:type="dxa"/>
              <w:right w:w="28" w:type="dxa"/>
            </w:tcMar>
            <w:vAlign w:val="center"/>
            <w:hideMark/>
          </w:tcPr>
          <w:p w14:paraId="7C3EF745" w14:textId="77777777" w:rsidR="001C56BD" w:rsidRPr="00F92667" w:rsidRDefault="001C56BD" w:rsidP="008A5C11">
            <w:pPr>
              <w:jc w:val="center"/>
              <w:rPr>
                <w:color w:val="000000"/>
                <w:sz w:val="18"/>
                <w:szCs w:val="18"/>
              </w:rPr>
            </w:pPr>
            <w:r w:rsidRPr="00F92667">
              <w:rPr>
                <w:color w:val="000000"/>
                <w:sz w:val="18"/>
                <w:szCs w:val="18"/>
              </w:rPr>
              <w:t>0,000</w:t>
            </w:r>
          </w:p>
        </w:tc>
        <w:tc>
          <w:tcPr>
            <w:tcW w:w="992" w:type="dxa"/>
            <w:shd w:val="clear" w:color="auto" w:fill="auto"/>
            <w:tcMar>
              <w:left w:w="28" w:type="dxa"/>
              <w:right w:w="28" w:type="dxa"/>
            </w:tcMar>
            <w:vAlign w:val="center"/>
            <w:hideMark/>
          </w:tcPr>
          <w:p w14:paraId="16A10FE0" w14:textId="77777777" w:rsidR="001C56BD" w:rsidRPr="00F92667" w:rsidRDefault="001C56BD" w:rsidP="008A5C11">
            <w:pPr>
              <w:jc w:val="center"/>
              <w:rPr>
                <w:color w:val="000000"/>
                <w:sz w:val="18"/>
                <w:szCs w:val="18"/>
              </w:rPr>
            </w:pPr>
            <w:r w:rsidRPr="00F92667">
              <w:rPr>
                <w:color w:val="000000"/>
                <w:sz w:val="18"/>
                <w:szCs w:val="18"/>
              </w:rPr>
              <w:t>0,000</w:t>
            </w:r>
          </w:p>
        </w:tc>
        <w:tc>
          <w:tcPr>
            <w:tcW w:w="993" w:type="dxa"/>
            <w:shd w:val="clear" w:color="auto" w:fill="auto"/>
            <w:tcMar>
              <w:left w:w="28" w:type="dxa"/>
              <w:right w:w="28" w:type="dxa"/>
            </w:tcMar>
            <w:vAlign w:val="center"/>
            <w:hideMark/>
          </w:tcPr>
          <w:p w14:paraId="3BEAB6F4" w14:textId="77777777" w:rsidR="001C56BD" w:rsidRPr="00F92667" w:rsidRDefault="001C56BD" w:rsidP="008A5C11">
            <w:pPr>
              <w:jc w:val="center"/>
              <w:rPr>
                <w:color w:val="000000"/>
                <w:sz w:val="18"/>
                <w:szCs w:val="18"/>
              </w:rPr>
            </w:pPr>
            <w:r w:rsidRPr="00F92667">
              <w:rPr>
                <w:color w:val="000000"/>
                <w:sz w:val="18"/>
                <w:szCs w:val="18"/>
              </w:rPr>
              <w:t>0,000</w:t>
            </w:r>
          </w:p>
        </w:tc>
        <w:tc>
          <w:tcPr>
            <w:tcW w:w="992" w:type="dxa"/>
            <w:shd w:val="clear" w:color="auto" w:fill="auto"/>
            <w:tcMar>
              <w:left w:w="28" w:type="dxa"/>
              <w:right w:w="28" w:type="dxa"/>
            </w:tcMar>
            <w:vAlign w:val="center"/>
            <w:hideMark/>
          </w:tcPr>
          <w:p w14:paraId="3679796C" w14:textId="77777777" w:rsidR="001C56BD" w:rsidRPr="00F92667" w:rsidRDefault="001C56BD" w:rsidP="008A5C11">
            <w:pPr>
              <w:jc w:val="center"/>
              <w:rPr>
                <w:color w:val="000000"/>
                <w:sz w:val="18"/>
                <w:szCs w:val="18"/>
              </w:rPr>
            </w:pPr>
            <w:r w:rsidRPr="00F92667">
              <w:rPr>
                <w:color w:val="000000"/>
                <w:sz w:val="18"/>
                <w:szCs w:val="18"/>
              </w:rPr>
              <w:t>0,000</w:t>
            </w:r>
          </w:p>
        </w:tc>
        <w:tc>
          <w:tcPr>
            <w:tcW w:w="992" w:type="dxa"/>
            <w:shd w:val="clear" w:color="auto" w:fill="auto"/>
            <w:tcMar>
              <w:left w:w="28" w:type="dxa"/>
              <w:right w:w="28" w:type="dxa"/>
            </w:tcMar>
            <w:vAlign w:val="center"/>
            <w:hideMark/>
          </w:tcPr>
          <w:p w14:paraId="6D33E259" w14:textId="77777777" w:rsidR="001C56BD" w:rsidRPr="00F92667" w:rsidRDefault="001C56BD" w:rsidP="008A5C11">
            <w:pPr>
              <w:jc w:val="center"/>
              <w:rPr>
                <w:color w:val="000000"/>
                <w:sz w:val="18"/>
                <w:szCs w:val="18"/>
              </w:rPr>
            </w:pPr>
            <w:r w:rsidRPr="00F92667">
              <w:rPr>
                <w:color w:val="000000"/>
                <w:sz w:val="18"/>
                <w:szCs w:val="18"/>
              </w:rPr>
              <w:t>0,000</w:t>
            </w:r>
          </w:p>
        </w:tc>
        <w:tc>
          <w:tcPr>
            <w:tcW w:w="992" w:type="dxa"/>
            <w:shd w:val="clear" w:color="auto" w:fill="auto"/>
            <w:tcMar>
              <w:left w:w="28" w:type="dxa"/>
              <w:right w:w="28" w:type="dxa"/>
            </w:tcMar>
            <w:vAlign w:val="center"/>
            <w:hideMark/>
          </w:tcPr>
          <w:p w14:paraId="7A7F606C" w14:textId="77777777" w:rsidR="001C56BD" w:rsidRPr="00F92667" w:rsidRDefault="001C56BD" w:rsidP="008A5C11">
            <w:pPr>
              <w:jc w:val="center"/>
              <w:rPr>
                <w:color w:val="000000"/>
                <w:sz w:val="18"/>
                <w:szCs w:val="18"/>
              </w:rPr>
            </w:pPr>
            <w:r w:rsidRPr="00F92667">
              <w:rPr>
                <w:color w:val="000000"/>
                <w:sz w:val="18"/>
                <w:szCs w:val="18"/>
              </w:rPr>
              <w:t>0,000</w:t>
            </w:r>
          </w:p>
        </w:tc>
        <w:tc>
          <w:tcPr>
            <w:tcW w:w="998" w:type="dxa"/>
            <w:shd w:val="clear" w:color="auto" w:fill="auto"/>
            <w:tcMar>
              <w:left w:w="28" w:type="dxa"/>
              <w:right w:w="28" w:type="dxa"/>
            </w:tcMar>
            <w:vAlign w:val="center"/>
            <w:hideMark/>
          </w:tcPr>
          <w:p w14:paraId="03A30540" w14:textId="77777777" w:rsidR="001C56BD" w:rsidRPr="00F92667" w:rsidRDefault="001C56BD" w:rsidP="008A5C11">
            <w:pPr>
              <w:jc w:val="center"/>
              <w:rPr>
                <w:color w:val="000000"/>
                <w:sz w:val="18"/>
                <w:szCs w:val="18"/>
              </w:rPr>
            </w:pPr>
            <w:r w:rsidRPr="00F92667">
              <w:rPr>
                <w:color w:val="000000"/>
                <w:sz w:val="18"/>
                <w:szCs w:val="18"/>
              </w:rPr>
              <w:t>0,000</w:t>
            </w:r>
          </w:p>
        </w:tc>
      </w:tr>
      <w:tr w:rsidR="001C56BD" w:rsidRPr="00F92667" w14:paraId="73D02C0A" w14:textId="77777777" w:rsidTr="008A5C11">
        <w:trPr>
          <w:trHeight w:val="20"/>
        </w:trPr>
        <w:tc>
          <w:tcPr>
            <w:tcW w:w="557" w:type="dxa"/>
            <w:shd w:val="clear" w:color="auto" w:fill="auto"/>
            <w:tcMar>
              <w:left w:w="28" w:type="dxa"/>
              <w:right w:w="28" w:type="dxa"/>
            </w:tcMar>
            <w:vAlign w:val="center"/>
            <w:hideMark/>
          </w:tcPr>
          <w:p w14:paraId="326BFA8E" w14:textId="77777777" w:rsidR="001C56BD" w:rsidRPr="00F92667" w:rsidRDefault="001C56BD" w:rsidP="008A5C11">
            <w:pPr>
              <w:jc w:val="center"/>
              <w:rPr>
                <w:color w:val="000000"/>
                <w:sz w:val="18"/>
                <w:szCs w:val="18"/>
              </w:rPr>
            </w:pPr>
            <w:r w:rsidRPr="00F92667">
              <w:rPr>
                <w:color w:val="000000"/>
                <w:sz w:val="18"/>
                <w:szCs w:val="18"/>
              </w:rPr>
              <w:t xml:space="preserve">   3.</w:t>
            </w:r>
          </w:p>
        </w:tc>
        <w:tc>
          <w:tcPr>
            <w:tcW w:w="2755" w:type="dxa"/>
            <w:shd w:val="clear" w:color="auto" w:fill="auto"/>
            <w:tcMar>
              <w:left w:w="28" w:type="dxa"/>
              <w:right w:w="28" w:type="dxa"/>
            </w:tcMar>
            <w:vAlign w:val="center"/>
            <w:hideMark/>
          </w:tcPr>
          <w:p w14:paraId="7377D719" w14:textId="77777777" w:rsidR="001C56BD" w:rsidRPr="00F92667" w:rsidRDefault="001C56BD" w:rsidP="008A5C11">
            <w:pPr>
              <w:jc w:val="center"/>
              <w:rPr>
                <w:color w:val="000000"/>
                <w:sz w:val="18"/>
                <w:szCs w:val="18"/>
              </w:rPr>
            </w:pPr>
            <w:r w:rsidRPr="00F92667">
              <w:rPr>
                <w:color w:val="000000"/>
                <w:sz w:val="18"/>
                <w:szCs w:val="18"/>
              </w:rPr>
              <w:t>Бюджетное финансирование</w:t>
            </w:r>
          </w:p>
        </w:tc>
        <w:tc>
          <w:tcPr>
            <w:tcW w:w="1508" w:type="dxa"/>
            <w:shd w:val="clear" w:color="auto" w:fill="auto"/>
            <w:tcMar>
              <w:left w:w="28" w:type="dxa"/>
              <w:right w:w="28" w:type="dxa"/>
            </w:tcMar>
            <w:vAlign w:val="center"/>
            <w:hideMark/>
          </w:tcPr>
          <w:p w14:paraId="5783DF27" w14:textId="77777777" w:rsidR="001C56BD" w:rsidRPr="00F92667" w:rsidRDefault="001C56BD" w:rsidP="008A5C11">
            <w:pPr>
              <w:jc w:val="center"/>
              <w:rPr>
                <w:color w:val="000000"/>
                <w:sz w:val="18"/>
                <w:szCs w:val="18"/>
              </w:rPr>
            </w:pPr>
            <w:r w:rsidRPr="00F92667">
              <w:rPr>
                <w:color w:val="000000"/>
                <w:sz w:val="18"/>
                <w:szCs w:val="18"/>
              </w:rPr>
              <w:t>0,000</w:t>
            </w:r>
          </w:p>
        </w:tc>
        <w:tc>
          <w:tcPr>
            <w:tcW w:w="992" w:type="dxa"/>
            <w:shd w:val="clear" w:color="auto" w:fill="auto"/>
            <w:tcMar>
              <w:left w:w="28" w:type="dxa"/>
              <w:right w:w="28" w:type="dxa"/>
            </w:tcMar>
            <w:vAlign w:val="center"/>
            <w:hideMark/>
          </w:tcPr>
          <w:p w14:paraId="7914CBC8" w14:textId="77777777" w:rsidR="001C56BD" w:rsidRPr="00F92667" w:rsidRDefault="001C56BD" w:rsidP="008A5C11">
            <w:pPr>
              <w:jc w:val="center"/>
              <w:rPr>
                <w:color w:val="000000"/>
                <w:sz w:val="18"/>
                <w:szCs w:val="18"/>
              </w:rPr>
            </w:pPr>
            <w:r w:rsidRPr="00F92667">
              <w:rPr>
                <w:color w:val="000000"/>
                <w:sz w:val="18"/>
                <w:szCs w:val="18"/>
              </w:rPr>
              <w:t>0,000</w:t>
            </w:r>
          </w:p>
        </w:tc>
        <w:tc>
          <w:tcPr>
            <w:tcW w:w="993" w:type="dxa"/>
            <w:shd w:val="clear" w:color="auto" w:fill="auto"/>
            <w:tcMar>
              <w:left w:w="28" w:type="dxa"/>
              <w:right w:w="28" w:type="dxa"/>
            </w:tcMar>
            <w:vAlign w:val="center"/>
            <w:hideMark/>
          </w:tcPr>
          <w:p w14:paraId="2DDAB816" w14:textId="77777777" w:rsidR="001C56BD" w:rsidRPr="00F92667" w:rsidRDefault="001C56BD" w:rsidP="008A5C11">
            <w:pPr>
              <w:jc w:val="center"/>
              <w:rPr>
                <w:color w:val="000000"/>
                <w:sz w:val="18"/>
                <w:szCs w:val="18"/>
              </w:rPr>
            </w:pPr>
            <w:r w:rsidRPr="00F92667">
              <w:rPr>
                <w:color w:val="000000"/>
                <w:sz w:val="18"/>
                <w:szCs w:val="18"/>
              </w:rPr>
              <w:t>0,000</w:t>
            </w:r>
          </w:p>
        </w:tc>
        <w:tc>
          <w:tcPr>
            <w:tcW w:w="992" w:type="dxa"/>
            <w:shd w:val="clear" w:color="000000" w:fill="FFFFFF"/>
            <w:tcMar>
              <w:left w:w="28" w:type="dxa"/>
              <w:right w:w="28" w:type="dxa"/>
            </w:tcMar>
            <w:vAlign w:val="center"/>
            <w:hideMark/>
          </w:tcPr>
          <w:p w14:paraId="3AD4E45B" w14:textId="77777777" w:rsidR="001C56BD" w:rsidRPr="00F92667" w:rsidRDefault="001C56BD" w:rsidP="008A5C11">
            <w:pPr>
              <w:jc w:val="center"/>
              <w:rPr>
                <w:color w:val="000000"/>
                <w:sz w:val="18"/>
                <w:szCs w:val="18"/>
              </w:rPr>
            </w:pPr>
            <w:r w:rsidRPr="00F92667">
              <w:rPr>
                <w:color w:val="000000"/>
                <w:sz w:val="18"/>
                <w:szCs w:val="18"/>
              </w:rPr>
              <w:t>0,000</w:t>
            </w:r>
          </w:p>
        </w:tc>
        <w:tc>
          <w:tcPr>
            <w:tcW w:w="992" w:type="dxa"/>
            <w:shd w:val="clear" w:color="auto" w:fill="auto"/>
            <w:tcMar>
              <w:left w:w="28" w:type="dxa"/>
              <w:right w:w="28" w:type="dxa"/>
            </w:tcMar>
            <w:vAlign w:val="center"/>
            <w:hideMark/>
          </w:tcPr>
          <w:p w14:paraId="14495206" w14:textId="77777777" w:rsidR="001C56BD" w:rsidRPr="00F92667" w:rsidRDefault="001C56BD" w:rsidP="008A5C11">
            <w:pPr>
              <w:jc w:val="center"/>
              <w:rPr>
                <w:color w:val="000000"/>
                <w:sz w:val="18"/>
                <w:szCs w:val="18"/>
              </w:rPr>
            </w:pPr>
            <w:r w:rsidRPr="00F92667">
              <w:rPr>
                <w:color w:val="000000"/>
                <w:sz w:val="18"/>
                <w:szCs w:val="18"/>
              </w:rPr>
              <w:t>0,000</w:t>
            </w:r>
          </w:p>
        </w:tc>
        <w:tc>
          <w:tcPr>
            <w:tcW w:w="992" w:type="dxa"/>
            <w:shd w:val="clear" w:color="auto" w:fill="auto"/>
            <w:tcMar>
              <w:left w:w="28" w:type="dxa"/>
              <w:right w:w="28" w:type="dxa"/>
            </w:tcMar>
            <w:vAlign w:val="center"/>
            <w:hideMark/>
          </w:tcPr>
          <w:p w14:paraId="5BDC7749" w14:textId="77777777" w:rsidR="001C56BD" w:rsidRPr="00F92667" w:rsidRDefault="001C56BD" w:rsidP="008A5C11">
            <w:pPr>
              <w:jc w:val="center"/>
              <w:rPr>
                <w:color w:val="000000"/>
                <w:sz w:val="18"/>
                <w:szCs w:val="18"/>
              </w:rPr>
            </w:pPr>
            <w:r w:rsidRPr="00F92667">
              <w:rPr>
                <w:color w:val="000000"/>
                <w:sz w:val="18"/>
                <w:szCs w:val="18"/>
              </w:rPr>
              <w:t>0,000</w:t>
            </w:r>
          </w:p>
        </w:tc>
        <w:tc>
          <w:tcPr>
            <w:tcW w:w="992" w:type="dxa"/>
            <w:shd w:val="clear" w:color="auto" w:fill="auto"/>
            <w:tcMar>
              <w:left w:w="28" w:type="dxa"/>
              <w:right w:w="28" w:type="dxa"/>
            </w:tcMar>
            <w:vAlign w:val="center"/>
            <w:hideMark/>
          </w:tcPr>
          <w:p w14:paraId="33D913D2" w14:textId="77777777" w:rsidR="001C56BD" w:rsidRPr="00F92667" w:rsidRDefault="001C56BD" w:rsidP="008A5C11">
            <w:pPr>
              <w:jc w:val="center"/>
              <w:rPr>
                <w:color w:val="000000"/>
                <w:sz w:val="18"/>
                <w:szCs w:val="18"/>
              </w:rPr>
            </w:pPr>
            <w:r w:rsidRPr="00F92667">
              <w:rPr>
                <w:color w:val="000000"/>
                <w:sz w:val="18"/>
                <w:szCs w:val="18"/>
              </w:rPr>
              <w:t>0,000</w:t>
            </w:r>
          </w:p>
        </w:tc>
        <w:tc>
          <w:tcPr>
            <w:tcW w:w="993" w:type="dxa"/>
            <w:shd w:val="clear" w:color="auto" w:fill="auto"/>
            <w:tcMar>
              <w:left w:w="28" w:type="dxa"/>
              <w:right w:w="28" w:type="dxa"/>
            </w:tcMar>
            <w:vAlign w:val="center"/>
            <w:hideMark/>
          </w:tcPr>
          <w:p w14:paraId="29DA3323" w14:textId="77777777" w:rsidR="001C56BD" w:rsidRPr="00F92667" w:rsidRDefault="001C56BD" w:rsidP="008A5C11">
            <w:pPr>
              <w:jc w:val="center"/>
              <w:rPr>
                <w:color w:val="000000"/>
                <w:sz w:val="18"/>
                <w:szCs w:val="18"/>
              </w:rPr>
            </w:pPr>
            <w:r w:rsidRPr="00F92667">
              <w:rPr>
                <w:color w:val="000000"/>
                <w:sz w:val="18"/>
                <w:szCs w:val="18"/>
              </w:rPr>
              <w:t>0,000</w:t>
            </w:r>
          </w:p>
        </w:tc>
        <w:tc>
          <w:tcPr>
            <w:tcW w:w="992" w:type="dxa"/>
            <w:shd w:val="clear" w:color="auto" w:fill="auto"/>
            <w:tcMar>
              <w:left w:w="28" w:type="dxa"/>
              <w:right w:w="28" w:type="dxa"/>
            </w:tcMar>
            <w:vAlign w:val="center"/>
            <w:hideMark/>
          </w:tcPr>
          <w:p w14:paraId="32E88302" w14:textId="77777777" w:rsidR="001C56BD" w:rsidRPr="00F92667" w:rsidRDefault="001C56BD" w:rsidP="008A5C11">
            <w:pPr>
              <w:jc w:val="center"/>
              <w:rPr>
                <w:color w:val="000000"/>
                <w:sz w:val="18"/>
                <w:szCs w:val="18"/>
              </w:rPr>
            </w:pPr>
            <w:r w:rsidRPr="00F92667">
              <w:rPr>
                <w:color w:val="000000"/>
                <w:sz w:val="18"/>
                <w:szCs w:val="18"/>
              </w:rPr>
              <w:t>0,000</w:t>
            </w:r>
          </w:p>
        </w:tc>
        <w:tc>
          <w:tcPr>
            <w:tcW w:w="992" w:type="dxa"/>
            <w:shd w:val="clear" w:color="auto" w:fill="auto"/>
            <w:tcMar>
              <w:left w:w="28" w:type="dxa"/>
              <w:right w:w="28" w:type="dxa"/>
            </w:tcMar>
            <w:vAlign w:val="center"/>
            <w:hideMark/>
          </w:tcPr>
          <w:p w14:paraId="1CF6AD89" w14:textId="77777777" w:rsidR="001C56BD" w:rsidRPr="00F92667" w:rsidRDefault="001C56BD" w:rsidP="008A5C11">
            <w:pPr>
              <w:jc w:val="center"/>
              <w:rPr>
                <w:color w:val="000000"/>
                <w:sz w:val="18"/>
                <w:szCs w:val="18"/>
              </w:rPr>
            </w:pPr>
            <w:r w:rsidRPr="00F92667">
              <w:rPr>
                <w:color w:val="000000"/>
                <w:sz w:val="18"/>
                <w:szCs w:val="18"/>
              </w:rPr>
              <w:t>0,000</w:t>
            </w:r>
          </w:p>
        </w:tc>
        <w:tc>
          <w:tcPr>
            <w:tcW w:w="992" w:type="dxa"/>
            <w:shd w:val="clear" w:color="auto" w:fill="auto"/>
            <w:tcMar>
              <w:left w:w="28" w:type="dxa"/>
              <w:right w:w="28" w:type="dxa"/>
            </w:tcMar>
            <w:vAlign w:val="center"/>
            <w:hideMark/>
          </w:tcPr>
          <w:p w14:paraId="3E6C1106" w14:textId="77777777" w:rsidR="001C56BD" w:rsidRPr="00F92667" w:rsidRDefault="001C56BD" w:rsidP="008A5C11">
            <w:pPr>
              <w:jc w:val="center"/>
              <w:rPr>
                <w:color w:val="000000"/>
                <w:sz w:val="18"/>
                <w:szCs w:val="18"/>
              </w:rPr>
            </w:pPr>
            <w:r w:rsidRPr="00F92667">
              <w:rPr>
                <w:color w:val="000000"/>
                <w:sz w:val="18"/>
                <w:szCs w:val="18"/>
              </w:rPr>
              <w:t>0,000</w:t>
            </w:r>
          </w:p>
        </w:tc>
        <w:tc>
          <w:tcPr>
            <w:tcW w:w="998" w:type="dxa"/>
            <w:shd w:val="clear" w:color="auto" w:fill="auto"/>
            <w:tcMar>
              <w:left w:w="28" w:type="dxa"/>
              <w:right w:w="28" w:type="dxa"/>
            </w:tcMar>
            <w:vAlign w:val="center"/>
            <w:hideMark/>
          </w:tcPr>
          <w:p w14:paraId="52D5EC1E" w14:textId="77777777" w:rsidR="001C56BD" w:rsidRPr="00F92667" w:rsidRDefault="001C56BD" w:rsidP="008A5C11">
            <w:pPr>
              <w:jc w:val="center"/>
              <w:rPr>
                <w:color w:val="000000"/>
                <w:sz w:val="18"/>
                <w:szCs w:val="18"/>
              </w:rPr>
            </w:pPr>
            <w:r w:rsidRPr="00F92667">
              <w:rPr>
                <w:color w:val="000000"/>
                <w:sz w:val="18"/>
                <w:szCs w:val="18"/>
              </w:rPr>
              <w:t>0,000</w:t>
            </w:r>
          </w:p>
        </w:tc>
      </w:tr>
      <w:tr w:rsidR="001C56BD" w:rsidRPr="00F92667" w14:paraId="37F852FC" w14:textId="77777777" w:rsidTr="008A5C11">
        <w:trPr>
          <w:trHeight w:val="20"/>
        </w:trPr>
        <w:tc>
          <w:tcPr>
            <w:tcW w:w="557" w:type="dxa"/>
            <w:shd w:val="clear" w:color="auto" w:fill="auto"/>
            <w:tcMar>
              <w:left w:w="28" w:type="dxa"/>
              <w:right w:w="28" w:type="dxa"/>
            </w:tcMar>
            <w:vAlign w:val="center"/>
            <w:hideMark/>
          </w:tcPr>
          <w:p w14:paraId="1436601D" w14:textId="77777777" w:rsidR="001C56BD" w:rsidRPr="00F92667" w:rsidRDefault="001C56BD" w:rsidP="008A5C11">
            <w:pPr>
              <w:jc w:val="center"/>
              <w:rPr>
                <w:color w:val="000000"/>
                <w:sz w:val="18"/>
                <w:szCs w:val="18"/>
              </w:rPr>
            </w:pPr>
            <w:r w:rsidRPr="00F92667">
              <w:rPr>
                <w:color w:val="000000"/>
                <w:sz w:val="18"/>
                <w:szCs w:val="18"/>
              </w:rPr>
              <w:t xml:space="preserve">   4.</w:t>
            </w:r>
          </w:p>
        </w:tc>
        <w:tc>
          <w:tcPr>
            <w:tcW w:w="2755" w:type="dxa"/>
            <w:shd w:val="clear" w:color="auto" w:fill="auto"/>
            <w:tcMar>
              <w:left w:w="28" w:type="dxa"/>
              <w:right w:w="28" w:type="dxa"/>
            </w:tcMar>
            <w:vAlign w:val="center"/>
            <w:hideMark/>
          </w:tcPr>
          <w:p w14:paraId="05120258" w14:textId="77777777" w:rsidR="001C56BD" w:rsidRPr="00F92667" w:rsidRDefault="001C56BD" w:rsidP="008A5C11">
            <w:pPr>
              <w:jc w:val="center"/>
              <w:rPr>
                <w:color w:val="000000"/>
                <w:sz w:val="18"/>
                <w:szCs w:val="18"/>
              </w:rPr>
            </w:pPr>
            <w:r w:rsidRPr="00F92667">
              <w:rPr>
                <w:color w:val="000000"/>
                <w:sz w:val="18"/>
                <w:szCs w:val="18"/>
              </w:rPr>
              <w:t>Прочие источники финансирования, в т.ч. лизинг</w:t>
            </w:r>
          </w:p>
        </w:tc>
        <w:tc>
          <w:tcPr>
            <w:tcW w:w="1508" w:type="dxa"/>
            <w:shd w:val="clear" w:color="auto" w:fill="auto"/>
            <w:tcMar>
              <w:left w:w="28" w:type="dxa"/>
              <w:right w:w="28" w:type="dxa"/>
            </w:tcMar>
            <w:vAlign w:val="center"/>
            <w:hideMark/>
          </w:tcPr>
          <w:p w14:paraId="1EF09A3A" w14:textId="77777777" w:rsidR="001C56BD" w:rsidRPr="00F92667" w:rsidRDefault="001C56BD" w:rsidP="008A5C11">
            <w:pPr>
              <w:jc w:val="center"/>
              <w:rPr>
                <w:color w:val="000000"/>
                <w:sz w:val="18"/>
                <w:szCs w:val="18"/>
              </w:rPr>
            </w:pPr>
            <w:r w:rsidRPr="00F92667">
              <w:rPr>
                <w:color w:val="000000"/>
                <w:sz w:val="18"/>
                <w:szCs w:val="18"/>
              </w:rPr>
              <w:t>0,000</w:t>
            </w:r>
          </w:p>
        </w:tc>
        <w:tc>
          <w:tcPr>
            <w:tcW w:w="992" w:type="dxa"/>
            <w:shd w:val="clear" w:color="auto" w:fill="auto"/>
            <w:tcMar>
              <w:left w:w="28" w:type="dxa"/>
              <w:right w:w="28" w:type="dxa"/>
            </w:tcMar>
            <w:vAlign w:val="center"/>
            <w:hideMark/>
          </w:tcPr>
          <w:p w14:paraId="0F5955A6" w14:textId="77777777" w:rsidR="001C56BD" w:rsidRPr="00F92667" w:rsidRDefault="001C56BD" w:rsidP="008A5C11">
            <w:pPr>
              <w:jc w:val="center"/>
              <w:rPr>
                <w:color w:val="000000"/>
                <w:sz w:val="18"/>
                <w:szCs w:val="18"/>
              </w:rPr>
            </w:pPr>
            <w:r w:rsidRPr="00F92667">
              <w:rPr>
                <w:color w:val="000000"/>
                <w:sz w:val="18"/>
                <w:szCs w:val="18"/>
              </w:rPr>
              <w:t>0,000</w:t>
            </w:r>
          </w:p>
        </w:tc>
        <w:tc>
          <w:tcPr>
            <w:tcW w:w="993" w:type="dxa"/>
            <w:shd w:val="clear" w:color="auto" w:fill="auto"/>
            <w:tcMar>
              <w:left w:w="28" w:type="dxa"/>
              <w:right w:w="28" w:type="dxa"/>
            </w:tcMar>
            <w:vAlign w:val="center"/>
            <w:hideMark/>
          </w:tcPr>
          <w:p w14:paraId="71378C15" w14:textId="77777777" w:rsidR="001C56BD" w:rsidRPr="00F92667" w:rsidRDefault="001C56BD" w:rsidP="008A5C11">
            <w:pPr>
              <w:jc w:val="center"/>
              <w:rPr>
                <w:color w:val="000000"/>
                <w:sz w:val="18"/>
                <w:szCs w:val="18"/>
              </w:rPr>
            </w:pPr>
            <w:r w:rsidRPr="00F92667">
              <w:rPr>
                <w:color w:val="000000"/>
                <w:sz w:val="18"/>
                <w:szCs w:val="18"/>
              </w:rPr>
              <w:t>0,000</w:t>
            </w:r>
          </w:p>
        </w:tc>
        <w:tc>
          <w:tcPr>
            <w:tcW w:w="992" w:type="dxa"/>
            <w:shd w:val="clear" w:color="000000" w:fill="FFFFFF"/>
            <w:tcMar>
              <w:left w:w="28" w:type="dxa"/>
              <w:right w:w="28" w:type="dxa"/>
            </w:tcMar>
            <w:vAlign w:val="center"/>
            <w:hideMark/>
          </w:tcPr>
          <w:p w14:paraId="7B05E61B" w14:textId="77777777" w:rsidR="001C56BD" w:rsidRPr="00F92667" w:rsidRDefault="001C56BD" w:rsidP="008A5C11">
            <w:pPr>
              <w:jc w:val="center"/>
              <w:rPr>
                <w:color w:val="000000"/>
                <w:sz w:val="18"/>
                <w:szCs w:val="18"/>
              </w:rPr>
            </w:pPr>
            <w:r w:rsidRPr="00F92667">
              <w:rPr>
                <w:color w:val="000000"/>
                <w:sz w:val="18"/>
                <w:szCs w:val="18"/>
              </w:rPr>
              <w:t>0,000</w:t>
            </w:r>
          </w:p>
        </w:tc>
        <w:tc>
          <w:tcPr>
            <w:tcW w:w="992" w:type="dxa"/>
            <w:shd w:val="clear" w:color="auto" w:fill="auto"/>
            <w:tcMar>
              <w:left w:w="28" w:type="dxa"/>
              <w:right w:w="28" w:type="dxa"/>
            </w:tcMar>
            <w:vAlign w:val="center"/>
            <w:hideMark/>
          </w:tcPr>
          <w:p w14:paraId="2C5989FA" w14:textId="77777777" w:rsidR="001C56BD" w:rsidRPr="00F92667" w:rsidRDefault="001C56BD" w:rsidP="008A5C11">
            <w:pPr>
              <w:jc w:val="center"/>
              <w:rPr>
                <w:color w:val="000000"/>
                <w:sz w:val="18"/>
                <w:szCs w:val="18"/>
              </w:rPr>
            </w:pPr>
            <w:r w:rsidRPr="00F92667">
              <w:rPr>
                <w:color w:val="000000"/>
                <w:sz w:val="18"/>
                <w:szCs w:val="18"/>
              </w:rPr>
              <w:t>0,000</w:t>
            </w:r>
          </w:p>
        </w:tc>
        <w:tc>
          <w:tcPr>
            <w:tcW w:w="992" w:type="dxa"/>
            <w:shd w:val="clear" w:color="auto" w:fill="auto"/>
            <w:tcMar>
              <w:left w:w="28" w:type="dxa"/>
              <w:right w:w="28" w:type="dxa"/>
            </w:tcMar>
            <w:vAlign w:val="center"/>
            <w:hideMark/>
          </w:tcPr>
          <w:p w14:paraId="020F1284" w14:textId="77777777" w:rsidR="001C56BD" w:rsidRPr="00F92667" w:rsidRDefault="001C56BD" w:rsidP="008A5C11">
            <w:pPr>
              <w:jc w:val="center"/>
              <w:rPr>
                <w:color w:val="000000"/>
                <w:sz w:val="18"/>
                <w:szCs w:val="18"/>
              </w:rPr>
            </w:pPr>
            <w:r w:rsidRPr="00F92667">
              <w:rPr>
                <w:color w:val="000000"/>
                <w:sz w:val="18"/>
                <w:szCs w:val="18"/>
              </w:rPr>
              <w:t>0,000</w:t>
            </w:r>
          </w:p>
        </w:tc>
        <w:tc>
          <w:tcPr>
            <w:tcW w:w="992" w:type="dxa"/>
            <w:shd w:val="clear" w:color="auto" w:fill="auto"/>
            <w:tcMar>
              <w:left w:w="28" w:type="dxa"/>
              <w:right w:w="28" w:type="dxa"/>
            </w:tcMar>
            <w:vAlign w:val="center"/>
            <w:hideMark/>
          </w:tcPr>
          <w:p w14:paraId="17460B80" w14:textId="77777777" w:rsidR="001C56BD" w:rsidRPr="00F92667" w:rsidRDefault="001C56BD" w:rsidP="008A5C11">
            <w:pPr>
              <w:jc w:val="center"/>
              <w:rPr>
                <w:color w:val="000000"/>
                <w:sz w:val="18"/>
                <w:szCs w:val="18"/>
              </w:rPr>
            </w:pPr>
            <w:r w:rsidRPr="00F92667">
              <w:rPr>
                <w:color w:val="000000"/>
                <w:sz w:val="18"/>
                <w:szCs w:val="18"/>
              </w:rPr>
              <w:t>0,000</w:t>
            </w:r>
          </w:p>
        </w:tc>
        <w:tc>
          <w:tcPr>
            <w:tcW w:w="993" w:type="dxa"/>
            <w:shd w:val="clear" w:color="auto" w:fill="auto"/>
            <w:tcMar>
              <w:left w:w="28" w:type="dxa"/>
              <w:right w:w="28" w:type="dxa"/>
            </w:tcMar>
            <w:vAlign w:val="center"/>
            <w:hideMark/>
          </w:tcPr>
          <w:p w14:paraId="7533F428" w14:textId="77777777" w:rsidR="001C56BD" w:rsidRPr="00F92667" w:rsidRDefault="001C56BD" w:rsidP="008A5C11">
            <w:pPr>
              <w:jc w:val="center"/>
              <w:rPr>
                <w:color w:val="000000"/>
                <w:sz w:val="18"/>
                <w:szCs w:val="18"/>
              </w:rPr>
            </w:pPr>
            <w:r w:rsidRPr="00F92667">
              <w:rPr>
                <w:color w:val="000000"/>
                <w:sz w:val="18"/>
                <w:szCs w:val="18"/>
              </w:rPr>
              <w:t>0,000</w:t>
            </w:r>
          </w:p>
        </w:tc>
        <w:tc>
          <w:tcPr>
            <w:tcW w:w="992" w:type="dxa"/>
            <w:shd w:val="clear" w:color="auto" w:fill="auto"/>
            <w:tcMar>
              <w:left w:w="28" w:type="dxa"/>
              <w:right w:w="28" w:type="dxa"/>
            </w:tcMar>
            <w:vAlign w:val="center"/>
            <w:hideMark/>
          </w:tcPr>
          <w:p w14:paraId="652A9E63" w14:textId="77777777" w:rsidR="001C56BD" w:rsidRPr="00F92667" w:rsidRDefault="001C56BD" w:rsidP="008A5C11">
            <w:pPr>
              <w:jc w:val="center"/>
              <w:rPr>
                <w:color w:val="000000"/>
                <w:sz w:val="18"/>
                <w:szCs w:val="18"/>
              </w:rPr>
            </w:pPr>
            <w:r w:rsidRPr="00F92667">
              <w:rPr>
                <w:color w:val="000000"/>
                <w:sz w:val="18"/>
                <w:szCs w:val="18"/>
              </w:rPr>
              <w:t>0,000</w:t>
            </w:r>
          </w:p>
        </w:tc>
        <w:tc>
          <w:tcPr>
            <w:tcW w:w="992" w:type="dxa"/>
            <w:shd w:val="clear" w:color="auto" w:fill="auto"/>
            <w:tcMar>
              <w:left w:w="28" w:type="dxa"/>
              <w:right w:w="28" w:type="dxa"/>
            </w:tcMar>
            <w:vAlign w:val="center"/>
            <w:hideMark/>
          </w:tcPr>
          <w:p w14:paraId="2F0B1F8C" w14:textId="77777777" w:rsidR="001C56BD" w:rsidRPr="00F92667" w:rsidRDefault="001C56BD" w:rsidP="008A5C11">
            <w:pPr>
              <w:jc w:val="center"/>
              <w:rPr>
                <w:color w:val="000000"/>
                <w:sz w:val="18"/>
                <w:szCs w:val="18"/>
              </w:rPr>
            </w:pPr>
            <w:r w:rsidRPr="00F92667">
              <w:rPr>
                <w:color w:val="000000"/>
                <w:sz w:val="18"/>
                <w:szCs w:val="18"/>
              </w:rPr>
              <w:t>0,000</w:t>
            </w:r>
          </w:p>
        </w:tc>
        <w:tc>
          <w:tcPr>
            <w:tcW w:w="992" w:type="dxa"/>
            <w:shd w:val="clear" w:color="auto" w:fill="auto"/>
            <w:tcMar>
              <w:left w:w="28" w:type="dxa"/>
              <w:right w:w="28" w:type="dxa"/>
            </w:tcMar>
            <w:vAlign w:val="center"/>
            <w:hideMark/>
          </w:tcPr>
          <w:p w14:paraId="58C600B2" w14:textId="77777777" w:rsidR="001C56BD" w:rsidRPr="00F92667" w:rsidRDefault="001C56BD" w:rsidP="008A5C11">
            <w:pPr>
              <w:jc w:val="center"/>
              <w:rPr>
                <w:color w:val="000000"/>
                <w:sz w:val="18"/>
                <w:szCs w:val="18"/>
              </w:rPr>
            </w:pPr>
            <w:r w:rsidRPr="00F92667">
              <w:rPr>
                <w:color w:val="000000"/>
                <w:sz w:val="18"/>
                <w:szCs w:val="18"/>
              </w:rPr>
              <w:t>0,000</w:t>
            </w:r>
          </w:p>
        </w:tc>
        <w:tc>
          <w:tcPr>
            <w:tcW w:w="998" w:type="dxa"/>
            <w:shd w:val="clear" w:color="auto" w:fill="auto"/>
            <w:tcMar>
              <w:left w:w="28" w:type="dxa"/>
              <w:right w:w="28" w:type="dxa"/>
            </w:tcMar>
            <w:vAlign w:val="center"/>
            <w:hideMark/>
          </w:tcPr>
          <w:p w14:paraId="3F158767" w14:textId="77777777" w:rsidR="001C56BD" w:rsidRPr="00F92667" w:rsidRDefault="001C56BD" w:rsidP="008A5C11">
            <w:pPr>
              <w:jc w:val="center"/>
              <w:rPr>
                <w:color w:val="000000"/>
                <w:sz w:val="18"/>
                <w:szCs w:val="18"/>
              </w:rPr>
            </w:pPr>
            <w:r w:rsidRPr="00F92667">
              <w:rPr>
                <w:color w:val="000000"/>
                <w:sz w:val="18"/>
                <w:szCs w:val="18"/>
              </w:rPr>
              <w:t>0,000</w:t>
            </w:r>
          </w:p>
        </w:tc>
      </w:tr>
      <w:tr w:rsidR="001C56BD" w:rsidRPr="00F92667" w14:paraId="7415E53E" w14:textId="77777777" w:rsidTr="008A5C11">
        <w:trPr>
          <w:trHeight w:val="20"/>
        </w:trPr>
        <w:tc>
          <w:tcPr>
            <w:tcW w:w="557" w:type="dxa"/>
            <w:shd w:val="clear" w:color="auto" w:fill="auto"/>
            <w:tcMar>
              <w:left w:w="28" w:type="dxa"/>
              <w:right w:w="28" w:type="dxa"/>
            </w:tcMar>
            <w:vAlign w:val="center"/>
            <w:hideMark/>
          </w:tcPr>
          <w:p w14:paraId="4C945BD9" w14:textId="77777777" w:rsidR="001C56BD" w:rsidRPr="00F92667" w:rsidRDefault="001C56BD" w:rsidP="008A5C11">
            <w:pPr>
              <w:jc w:val="center"/>
              <w:rPr>
                <w:color w:val="000000"/>
                <w:sz w:val="18"/>
                <w:szCs w:val="18"/>
              </w:rPr>
            </w:pPr>
            <w:r w:rsidRPr="00F92667">
              <w:rPr>
                <w:color w:val="000000"/>
                <w:sz w:val="18"/>
                <w:szCs w:val="18"/>
              </w:rPr>
              <w:t> </w:t>
            </w:r>
          </w:p>
        </w:tc>
        <w:tc>
          <w:tcPr>
            <w:tcW w:w="2755" w:type="dxa"/>
            <w:shd w:val="clear" w:color="auto" w:fill="auto"/>
            <w:tcMar>
              <w:left w:w="28" w:type="dxa"/>
              <w:right w:w="28" w:type="dxa"/>
            </w:tcMar>
            <w:vAlign w:val="center"/>
            <w:hideMark/>
          </w:tcPr>
          <w:p w14:paraId="7294668D" w14:textId="77777777" w:rsidR="001C56BD" w:rsidRPr="00F92667" w:rsidRDefault="001C56BD" w:rsidP="008A5C11">
            <w:pPr>
              <w:jc w:val="center"/>
              <w:rPr>
                <w:color w:val="000000"/>
                <w:sz w:val="18"/>
                <w:szCs w:val="18"/>
              </w:rPr>
            </w:pPr>
            <w:r w:rsidRPr="00F92667">
              <w:rPr>
                <w:color w:val="000000"/>
                <w:sz w:val="18"/>
                <w:szCs w:val="18"/>
              </w:rPr>
              <w:t>ИТОГО по программе</w:t>
            </w:r>
          </w:p>
        </w:tc>
        <w:tc>
          <w:tcPr>
            <w:tcW w:w="1508" w:type="dxa"/>
            <w:shd w:val="clear" w:color="000000" w:fill="FFFFFF"/>
            <w:tcMar>
              <w:left w:w="28" w:type="dxa"/>
              <w:right w:w="28" w:type="dxa"/>
            </w:tcMar>
            <w:vAlign w:val="center"/>
            <w:hideMark/>
          </w:tcPr>
          <w:p w14:paraId="422F1D71" w14:textId="77777777" w:rsidR="001C56BD" w:rsidRPr="00F92667" w:rsidRDefault="001C56BD" w:rsidP="008A5C11">
            <w:pPr>
              <w:jc w:val="center"/>
              <w:rPr>
                <w:sz w:val="18"/>
                <w:szCs w:val="18"/>
              </w:rPr>
            </w:pPr>
            <w:r w:rsidRPr="00F92667">
              <w:rPr>
                <w:sz w:val="18"/>
                <w:szCs w:val="18"/>
              </w:rPr>
              <w:t>968 127,989</w:t>
            </w:r>
          </w:p>
        </w:tc>
        <w:tc>
          <w:tcPr>
            <w:tcW w:w="992" w:type="dxa"/>
            <w:shd w:val="clear" w:color="000000" w:fill="FFFFFF"/>
            <w:tcMar>
              <w:left w:w="28" w:type="dxa"/>
              <w:right w:w="28" w:type="dxa"/>
            </w:tcMar>
            <w:vAlign w:val="center"/>
            <w:hideMark/>
          </w:tcPr>
          <w:p w14:paraId="24895962" w14:textId="77777777" w:rsidR="001C56BD" w:rsidRPr="00F92667" w:rsidRDefault="001C56BD" w:rsidP="008A5C11">
            <w:pPr>
              <w:jc w:val="center"/>
              <w:rPr>
                <w:color w:val="000000"/>
                <w:sz w:val="18"/>
                <w:szCs w:val="18"/>
              </w:rPr>
            </w:pPr>
            <w:r w:rsidRPr="00F92667">
              <w:rPr>
                <w:color w:val="000000"/>
                <w:sz w:val="18"/>
                <w:szCs w:val="18"/>
              </w:rPr>
              <w:t>968 127,989</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436DC91" w14:textId="77777777" w:rsidR="001C56BD" w:rsidRPr="00F92667" w:rsidRDefault="001C56BD" w:rsidP="008A5C11">
            <w:pPr>
              <w:jc w:val="center"/>
              <w:rPr>
                <w:sz w:val="18"/>
                <w:szCs w:val="18"/>
              </w:rPr>
            </w:pPr>
            <w:r w:rsidRPr="00F92667">
              <w:rPr>
                <w:sz w:val="18"/>
                <w:szCs w:val="18"/>
              </w:rPr>
              <w:t>137 993,413</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7B889F6" w14:textId="77777777" w:rsidR="001C56BD" w:rsidRPr="00F92667" w:rsidRDefault="001C56BD" w:rsidP="008A5C11">
            <w:pPr>
              <w:jc w:val="center"/>
              <w:rPr>
                <w:sz w:val="18"/>
                <w:szCs w:val="18"/>
              </w:rPr>
            </w:pPr>
            <w:r w:rsidRPr="00F92667">
              <w:rPr>
                <w:sz w:val="18"/>
                <w:szCs w:val="18"/>
              </w:rPr>
              <w:t>91 961,063</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D914954" w14:textId="77777777" w:rsidR="001C56BD" w:rsidRPr="00F92667" w:rsidRDefault="001C56BD" w:rsidP="008A5C11">
            <w:pPr>
              <w:jc w:val="center"/>
              <w:rPr>
                <w:sz w:val="18"/>
                <w:szCs w:val="18"/>
              </w:rPr>
            </w:pPr>
            <w:r w:rsidRPr="00F92667">
              <w:rPr>
                <w:sz w:val="18"/>
                <w:szCs w:val="18"/>
              </w:rPr>
              <w:t>110 977,567</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9B706BD" w14:textId="77777777" w:rsidR="001C56BD" w:rsidRPr="00F92667" w:rsidRDefault="001C56BD" w:rsidP="008A5C11">
            <w:pPr>
              <w:jc w:val="center"/>
              <w:rPr>
                <w:sz w:val="18"/>
                <w:szCs w:val="18"/>
              </w:rPr>
            </w:pPr>
            <w:r w:rsidRPr="00F92667">
              <w:rPr>
                <w:sz w:val="18"/>
                <w:szCs w:val="18"/>
              </w:rPr>
              <w:t>136 970,154</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D8A57BA" w14:textId="77777777" w:rsidR="001C56BD" w:rsidRPr="00F92667" w:rsidRDefault="001C56BD" w:rsidP="008A5C11">
            <w:pPr>
              <w:jc w:val="center"/>
              <w:rPr>
                <w:sz w:val="18"/>
                <w:szCs w:val="18"/>
              </w:rPr>
            </w:pPr>
            <w:r w:rsidRPr="00F92667">
              <w:rPr>
                <w:sz w:val="18"/>
                <w:szCs w:val="18"/>
              </w:rPr>
              <w:t>128 016,477</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F5456F6" w14:textId="77777777" w:rsidR="001C56BD" w:rsidRPr="00F92667" w:rsidRDefault="001C56BD" w:rsidP="008A5C11">
            <w:pPr>
              <w:jc w:val="center"/>
              <w:rPr>
                <w:sz w:val="18"/>
                <w:szCs w:val="18"/>
              </w:rPr>
            </w:pPr>
            <w:r w:rsidRPr="00F92667">
              <w:rPr>
                <w:sz w:val="18"/>
                <w:szCs w:val="18"/>
              </w:rPr>
              <w:t>81 346,278</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198CD6C" w14:textId="77777777" w:rsidR="001C56BD" w:rsidRPr="00F92667" w:rsidRDefault="001C56BD" w:rsidP="008A5C11">
            <w:pPr>
              <w:jc w:val="center"/>
              <w:rPr>
                <w:sz w:val="18"/>
                <w:szCs w:val="18"/>
              </w:rPr>
            </w:pPr>
            <w:r w:rsidRPr="00F92667">
              <w:rPr>
                <w:sz w:val="18"/>
                <w:szCs w:val="18"/>
              </w:rPr>
              <w:t>68 181,940</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E0D6899" w14:textId="77777777" w:rsidR="001C56BD" w:rsidRPr="00F92667" w:rsidRDefault="001C56BD" w:rsidP="008A5C11">
            <w:pPr>
              <w:jc w:val="center"/>
              <w:rPr>
                <w:sz w:val="18"/>
                <w:szCs w:val="18"/>
              </w:rPr>
            </w:pPr>
            <w:r w:rsidRPr="00F92667">
              <w:rPr>
                <w:sz w:val="18"/>
                <w:szCs w:val="18"/>
              </w:rPr>
              <w:t>82 752,076</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372908C" w14:textId="77777777" w:rsidR="001C56BD" w:rsidRPr="00F92667" w:rsidRDefault="001C56BD" w:rsidP="008A5C11">
            <w:pPr>
              <w:jc w:val="center"/>
              <w:rPr>
                <w:sz w:val="18"/>
                <w:szCs w:val="18"/>
              </w:rPr>
            </w:pPr>
            <w:r w:rsidRPr="00F92667">
              <w:rPr>
                <w:sz w:val="18"/>
                <w:szCs w:val="18"/>
              </w:rPr>
              <w:t>61 183,750</w:t>
            </w:r>
          </w:p>
        </w:tc>
        <w:tc>
          <w:tcPr>
            <w:tcW w:w="99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D201D6F" w14:textId="77777777" w:rsidR="001C56BD" w:rsidRPr="00F92667" w:rsidRDefault="001C56BD" w:rsidP="008A5C11">
            <w:pPr>
              <w:jc w:val="center"/>
              <w:rPr>
                <w:sz w:val="18"/>
                <w:szCs w:val="18"/>
              </w:rPr>
            </w:pPr>
            <w:r w:rsidRPr="00F92667">
              <w:rPr>
                <w:sz w:val="18"/>
                <w:szCs w:val="18"/>
              </w:rPr>
              <w:t>68 745,271</w:t>
            </w:r>
          </w:p>
        </w:tc>
      </w:tr>
    </w:tbl>
    <w:p w14:paraId="07086507" w14:textId="77777777" w:rsidR="001C56BD" w:rsidRPr="00F92667" w:rsidRDefault="001C56BD" w:rsidP="001C56BD">
      <w:pPr>
        <w:jc w:val="center"/>
        <w:rPr>
          <w:bCs/>
          <w:color w:val="000000"/>
        </w:rPr>
      </w:pPr>
    </w:p>
    <w:p w14:paraId="6818676D" w14:textId="77777777" w:rsidR="001C56BD" w:rsidRPr="00F92667" w:rsidRDefault="001C56BD" w:rsidP="001C56BD">
      <w:pPr>
        <w:jc w:val="center"/>
        <w:rPr>
          <w:bCs/>
          <w:color w:val="000000"/>
        </w:rPr>
      </w:pPr>
    </w:p>
    <w:p w14:paraId="0B44AF0C" w14:textId="77777777" w:rsidR="001C56BD" w:rsidRPr="00F92667" w:rsidRDefault="001C56BD" w:rsidP="001C56BD">
      <w:pPr>
        <w:jc w:val="center"/>
        <w:rPr>
          <w:bCs/>
          <w:color w:val="000000"/>
        </w:rPr>
      </w:pPr>
    </w:p>
    <w:p w14:paraId="64FC08CB" w14:textId="77777777" w:rsidR="001C56BD" w:rsidRDefault="001C56BD" w:rsidP="001C56BD">
      <w:pPr>
        <w:tabs>
          <w:tab w:val="left" w:pos="5580"/>
          <w:tab w:val="left" w:pos="9498"/>
        </w:tabs>
        <w:ind w:right="-569"/>
        <w:rPr>
          <w:color w:val="000000" w:themeColor="text1"/>
        </w:rPr>
      </w:pPr>
    </w:p>
    <w:p w14:paraId="084FA39E" w14:textId="77777777" w:rsidR="007C6A45" w:rsidRDefault="007C6A45" w:rsidP="007C6A45">
      <w:pPr>
        <w:tabs>
          <w:tab w:val="left" w:pos="3686"/>
          <w:tab w:val="left" w:pos="9498"/>
        </w:tabs>
        <w:ind w:left="-3734" w:right="-1" w:firstLine="10113"/>
        <w:rPr>
          <w:color w:val="000000" w:themeColor="text1"/>
        </w:rPr>
      </w:pPr>
    </w:p>
    <w:p w14:paraId="6EBF89DD" w14:textId="670CE47B" w:rsidR="007C6A45" w:rsidRDefault="007C6A45" w:rsidP="007C6A45">
      <w:pPr>
        <w:tabs>
          <w:tab w:val="left" w:pos="5580"/>
          <w:tab w:val="left" w:pos="9498"/>
        </w:tabs>
        <w:ind w:left="-3734" w:right="-569" w:firstLine="10113"/>
        <w:rPr>
          <w:color w:val="000000" w:themeColor="text1"/>
        </w:rPr>
      </w:pPr>
    </w:p>
    <w:p w14:paraId="74A6377E" w14:textId="27ABE3CC" w:rsidR="00A070DF" w:rsidRDefault="00A070DF" w:rsidP="007C6A45">
      <w:pPr>
        <w:tabs>
          <w:tab w:val="left" w:pos="5580"/>
          <w:tab w:val="left" w:pos="9498"/>
        </w:tabs>
        <w:ind w:left="-3734" w:right="-569" w:firstLine="10113"/>
        <w:rPr>
          <w:color w:val="000000" w:themeColor="text1"/>
        </w:rPr>
      </w:pPr>
    </w:p>
    <w:p w14:paraId="084EC8E1" w14:textId="517D02F4" w:rsidR="00A070DF" w:rsidRDefault="00A070DF" w:rsidP="007C6A45">
      <w:pPr>
        <w:tabs>
          <w:tab w:val="left" w:pos="5580"/>
          <w:tab w:val="left" w:pos="9498"/>
        </w:tabs>
        <w:ind w:left="-3734" w:right="-569" w:firstLine="10113"/>
        <w:rPr>
          <w:color w:val="000000" w:themeColor="text1"/>
        </w:rPr>
      </w:pPr>
    </w:p>
    <w:p w14:paraId="43E732B7" w14:textId="17917BC9" w:rsidR="00A070DF" w:rsidRDefault="00A070DF" w:rsidP="007C6A45">
      <w:pPr>
        <w:tabs>
          <w:tab w:val="left" w:pos="5580"/>
          <w:tab w:val="left" w:pos="9498"/>
        </w:tabs>
        <w:ind w:left="-3734" w:right="-569" w:firstLine="10113"/>
        <w:rPr>
          <w:color w:val="000000" w:themeColor="text1"/>
        </w:rPr>
      </w:pPr>
    </w:p>
    <w:p w14:paraId="434697AD" w14:textId="06359088" w:rsidR="00A070DF" w:rsidRDefault="00A070DF" w:rsidP="007C6A45">
      <w:pPr>
        <w:tabs>
          <w:tab w:val="left" w:pos="5580"/>
          <w:tab w:val="left" w:pos="9498"/>
        </w:tabs>
        <w:ind w:left="-3734" w:right="-569" w:firstLine="10113"/>
        <w:rPr>
          <w:color w:val="000000" w:themeColor="text1"/>
        </w:rPr>
      </w:pPr>
    </w:p>
    <w:p w14:paraId="4FF66C39" w14:textId="3BA2B71A" w:rsidR="00A070DF" w:rsidRDefault="00A070DF" w:rsidP="007C6A45">
      <w:pPr>
        <w:tabs>
          <w:tab w:val="left" w:pos="5580"/>
          <w:tab w:val="left" w:pos="9498"/>
        </w:tabs>
        <w:ind w:left="-3734" w:right="-569" w:firstLine="10113"/>
        <w:rPr>
          <w:color w:val="000000" w:themeColor="text1"/>
        </w:rPr>
      </w:pPr>
    </w:p>
    <w:p w14:paraId="28C2E53C" w14:textId="77777777" w:rsidR="00A070DF" w:rsidRDefault="00A070DF" w:rsidP="007C6A45">
      <w:pPr>
        <w:tabs>
          <w:tab w:val="left" w:pos="5580"/>
          <w:tab w:val="left" w:pos="9498"/>
        </w:tabs>
        <w:ind w:left="-3734" w:right="-569" w:firstLine="10113"/>
        <w:rPr>
          <w:color w:val="000000" w:themeColor="text1"/>
        </w:rPr>
        <w:sectPr w:rsidR="00A070DF" w:rsidSect="00A070DF">
          <w:pgSz w:w="16838" w:h="11906" w:orient="landscape"/>
          <w:pgMar w:top="709" w:right="709" w:bottom="851" w:left="851" w:header="425" w:footer="408" w:gutter="0"/>
          <w:cols w:space="708"/>
          <w:titlePg/>
          <w:docGrid w:linePitch="360"/>
        </w:sectPr>
      </w:pPr>
    </w:p>
    <w:p w14:paraId="6C57259A" w14:textId="0154AECF" w:rsidR="00A070DF" w:rsidRDefault="00A070DF" w:rsidP="007C6A45">
      <w:pPr>
        <w:tabs>
          <w:tab w:val="left" w:pos="5580"/>
          <w:tab w:val="left" w:pos="9498"/>
        </w:tabs>
        <w:ind w:left="-3734" w:right="-569" w:firstLine="10113"/>
        <w:rPr>
          <w:color w:val="000000" w:themeColor="text1"/>
        </w:rPr>
      </w:pPr>
    </w:p>
    <w:p w14:paraId="57E104D1" w14:textId="681772B3" w:rsidR="00A070DF" w:rsidRPr="00081AD4" w:rsidRDefault="00A070DF" w:rsidP="002F590A">
      <w:pPr>
        <w:tabs>
          <w:tab w:val="left" w:pos="3686"/>
          <w:tab w:val="left" w:pos="9498"/>
        </w:tabs>
        <w:ind w:left="-3734" w:right="-1" w:firstLine="7703"/>
        <w:rPr>
          <w:color w:val="000000" w:themeColor="text1"/>
        </w:rPr>
      </w:pPr>
      <w:r w:rsidRPr="00081AD4">
        <w:rPr>
          <w:color w:val="000000" w:themeColor="text1"/>
        </w:rPr>
        <w:t xml:space="preserve">Приложение № </w:t>
      </w:r>
      <w:r>
        <w:rPr>
          <w:color w:val="000000" w:themeColor="text1"/>
        </w:rPr>
        <w:t>1</w:t>
      </w:r>
      <w:r>
        <w:rPr>
          <w:color w:val="000000" w:themeColor="text1"/>
        </w:rPr>
        <w:t>9</w:t>
      </w:r>
      <w:r>
        <w:rPr>
          <w:color w:val="000000" w:themeColor="text1"/>
        </w:rPr>
        <w:t xml:space="preserve"> к протоколу</w:t>
      </w:r>
      <w:r w:rsidRPr="00081AD4">
        <w:rPr>
          <w:color w:val="000000" w:themeColor="text1"/>
        </w:rPr>
        <w:t xml:space="preserve"> № </w:t>
      </w:r>
      <w:r>
        <w:rPr>
          <w:color w:val="000000" w:themeColor="text1"/>
        </w:rPr>
        <w:t>88</w:t>
      </w:r>
    </w:p>
    <w:p w14:paraId="6E8298FB" w14:textId="77777777" w:rsidR="00A070DF" w:rsidRPr="00081AD4" w:rsidRDefault="00A070DF" w:rsidP="002F590A">
      <w:pPr>
        <w:tabs>
          <w:tab w:val="left" w:pos="3686"/>
          <w:tab w:val="left" w:pos="9498"/>
        </w:tabs>
        <w:ind w:left="-3734" w:right="-1" w:firstLine="7703"/>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2333CF9E" w14:textId="77777777" w:rsidR="00A070DF" w:rsidRPr="00081AD4" w:rsidRDefault="00A070DF" w:rsidP="002F590A">
      <w:pPr>
        <w:tabs>
          <w:tab w:val="left" w:pos="3686"/>
          <w:tab w:val="left" w:pos="9498"/>
        </w:tabs>
        <w:ind w:left="-3734" w:right="-1" w:firstLine="7703"/>
        <w:rPr>
          <w:color w:val="000000" w:themeColor="text1"/>
        </w:rPr>
      </w:pPr>
      <w:r w:rsidRPr="00081AD4">
        <w:rPr>
          <w:color w:val="000000" w:themeColor="text1"/>
        </w:rPr>
        <w:t>энергетической комиссии</w:t>
      </w:r>
    </w:p>
    <w:p w14:paraId="15B0B2BF" w14:textId="79BB5157" w:rsidR="00A070DF" w:rsidRDefault="00A070DF" w:rsidP="002F590A">
      <w:pPr>
        <w:autoSpaceDE w:val="0"/>
        <w:autoSpaceDN w:val="0"/>
        <w:adjustRightInd w:val="0"/>
        <w:ind w:firstLine="3969"/>
        <w:rPr>
          <w:color w:val="000000" w:themeColor="text1"/>
        </w:rPr>
      </w:pPr>
      <w:r w:rsidRPr="00081AD4">
        <w:rPr>
          <w:color w:val="000000" w:themeColor="text1"/>
        </w:rPr>
        <w:t xml:space="preserve">Кузбасса от </w:t>
      </w:r>
      <w:r>
        <w:rPr>
          <w:color w:val="000000" w:themeColor="text1"/>
        </w:rPr>
        <w:t>23</w:t>
      </w:r>
      <w:r w:rsidRPr="00081AD4">
        <w:rPr>
          <w:color w:val="000000" w:themeColor="text1"/>
        </w:rPr>
        <w:t>.</w:t>
      </w:r>
      <w:r>
        <w:rPr>
          <w:color w:val="000000" w:themeColor="text1"/>
        </w:rPr>
        <w:t>12</w:t>
      </w:r>
      <w:r w:rsidRPr="00081AD4">
        <w:rPr>
          <w:color w:val="000000" w:themeColor="text1"/>
        </w:rPr>
        <w:t>.202</w:t>
      </w:r>
      <w:r>
        <w:rPr>
          <w:color w:val="000000" w:themeColor="text1"/>
        </w:rPr>
        <w:t>1</w:t>
      </w:r>
    </w:p>
    <w:p w14:paraId="222C6833" w14:textId="1CA62E18" w:rsidR="002F590A" w:rsidRDefault="002F590A" w:rsidP="002F590A">
      <w:pPr>
        <w:autoSpaceDE w:val="0"/>
        <w:autoSpaceDN w:val="0"/>
        <w:adjustRightInd w:val="0"/>
        <w:ind w:firstLine="7703"/>
        <w:rPr>
          <w:color w:val="000000" w:themeColor="text1"/>
        </w:rPr>
      </w:pPr>
    </w:p>
    <w:p w14:paraId="2E42FFB9" w14:textId="5B592E1A" w:rsidR="002F590A" w:rsidRDefault="002F590A" w:rsidP="00A070DF">
      <w:pPr>
        <w:autoSpaceDE w:val="0"/>
        <w:autoSpaceDN w:val="0"/>
        <w:adjustRightInd w:val="0"/>
        <w:ind w:firstLine="5529"/>
        <w:rPr>
          <w:color w:val="000000" w:themeColor="text1"/>
        </w:rPr>
      </w:pPr>
    </w:p>
    <w:p w14:paraId="773065E4" w14:textId="77777777" w:rsidR="002F590A" w:rsidRDefault="002F590A" w:rsidP="002F590A">
      <w:pPr>
        <w:jc w:val="center"/>
        <w:rPr>
          <w:b/>
          <w:bCs/>
          <w:sz w:val="28"/>
          <w:szCs w:val="28"/>
        </w:rPr>
      </w:pPr>
      <w:r>
        <w:rPr>
          <w:b/>
          <w:bCs/>
          <w:sz w:val="28"/>
          <w:szCs w:val="28"/>
        </w:rPr>
        <w:t>Экспертное заключение</w:t>
      </w:r>
    </w:p>
    <w:p w14:paraId="16C1E2C7" w14:textId="77777777" w:rsidR="002F590A" w:rsidRDefault="002F590A" w:rsidP="002F590A">
      <w:pPr>
        <w:jc w:val="center"/>
        <w:rPr>
          <w:b/>
          <w:bCs/>
          <w:sz w:val="28"/>
          <w:szCs w:val="28"/>
        </w:rPr>
      </w:pPr>
      <w:r>
        <w:rPr>
          <w:b/>
          <w:bCs/>
          <w:sz w:val="28"/>
          <w:szCs w:val="28"/>
        </w:rPr>
        <w:t>Региональной энергетической комиссии Кузбасса</w:t>
      </w:r>
    </w:p>
    <w:p w14:paraId="2725A504" w14:textId="77777777" w:rsidR="002F590A" w:rsidRDefault="002F590A" w:rsidP="002F590A">
      <w:pPr>
        <w:spacing w:after="120"/>
        <w:jc w:val="center"/>
        <w:rPr>
          <w:sz w:val="28"/>
          <w:szCs w:val="28"/>
        </w:rPr>
      </w:pPr>
      <w:r>
        <w:rPr>
          <w:sz w:val="28"/>
          <w:szCs w:val="28"/>
        </w:rPr>
        <w:t xml:space="preserve">по материалам, представленным </w:t>
      </w:r>
      <w:r>
        <w:rPr>
          <w:sz w:val="28"/>
          <w:szCs w:val="28"/>
        </w:rPr>
        <w:br/>
        <w:t>ООО «Новосибирская теплосетевая компания» для утверждения инвестиционной программы в сфере теплоснабжения</w:t>
      </w:r>
      <w:r>
        <w:rPr>
          <w:sz w:val="20"/>
          <w:szCs w:val="20"/>
        </w:rPr>
        <w:t xml:space="preserve"> </w:t>
      </w:r>
      <w:r>
        <w:rPr>
          <w:sz w:val="28"/>
          <w:szCs w:val="28"/>
        </w:rPr>
        <w:t>на потребительском рынке Кемеровского городского округа, Кемеровского муниципального округа, Топкинского муниципального округа на 2022 - 2031 годы</w:t>
      </w:r>
    </w:p>
    <w:p w14:paraId="6A38512F" w14:textId="77777777" w:rsidR="002F590A" w:rsidRDefault="002F590A" w:rsidP="002F590A">
      <w:pPr>
        <w:spacing w:line="276" w:lineRule="auto"/>
        <w:ind w:left="-142" w:firstLine="505"/>
        <w:jc w:val="both"/>
        <w:rPr>
          <w:sz w:val="28"/>
          <w:szCs w:val="28"/>
        </w:rPr>
      </w:pPr>
    </w:p>
    <w:p w14:paraId="0D8F63E6" w14:textId="77777777" w:rsidR="002F590A" w:rsidRDefault="002F590A" w:rsidP="002F590A">
      <w:pPr>
        <w:spacing w:line="276" w:lineRule="auto"/>
        <w:ind w:left="-142" w:firstLine="505"/>
        <w:jc w:val="both"/>
        <w:rPr>
          <w:sz w:val="28"/>
          <w:szCs w:val="28"/>
        </w:rPr>
      </w:pPr>
      <w:r>
        <w:rPr>
          <w:sz w:val="28"/>
          <w:szCs w:val="28"/>
        </w:rPr>
        <w:t>Нормативно-методической основой проведения анализа материалов, представленных ООО «Новосибирская теплосетевая компания»</w:t>
      </w:r>
      <w:r>
        <w:rPr>
          <w:bCs/>
          <w:sz w:val="28"/>
          <w:szCs w:val="28"/>
        </w:rPr>
        <w:t xml:space="preserve"> </w:t>
      </w:r>
      <w:r>
        <w:rPr>
          <w:sz w:val="28"/>
          <w:szCs w:val="28"/>
        </w:rPr>
        <w:t>являются:</w:t>
      </w:r>
    </w:p>
    <w:p w14:paraId="50F830A4" w14:textId="77777777" w:rsidR="002F590A" w:rsidRDefault="002F590A" w:rsidP="002F590A">
      <w:pPr>
        <w:spacing w:line="276" w:lineRule="auto"/>
        <w:ind w:left="-142" w:firstLine="505"/>
        <w:jc w:val="both"/>
        <w:rPr>
          <w:sz w:val="28"/>
          <w:szCs w:val="28"/>
        </w:rPr>
      </w:pPr>
      <w:r>
        <w:rPr>
          <w:sz w:val="28"/>
          <w:szCs w:val="28"/>
        </w:rPr>
        <w:t>- Гражданский кодекс Российской Федерации;</w:t>
      </w:r>
    </w:p>
    <w:p w14:paraId="5C6EE55C" w14:textId="77777777" w:rsidR="002F590A" w:rsidRDefault="002F590A" w:rsidP="002F590A">
      <w:pPr>
        <w:spacing w:line="276" w:lineRule="auto"/>
        <w:ind w:left="-142" w:firstLine="505"/>
        <w:jc w:val="both"/>
        <w:rPr>
          <w:sz w:val="28"/>
          <w:szCs w:val="28"/>
        </w:rPr>
      </w:pPr>
      <w:r>
        <w:rPr>
          <w:sz w:val="28"/>
          <w:szCs w:val="28"/>
        </w:rPr>
        <w:t>- Приказ ФСТ России от 13.06.2013 № 760-э «Об утверждении методических указаний по расчету регулируемых цен (тарифов) в сфере теплоснабжения»;</w:t>
      </w:r>
    </w:p>
    <w:p w14:paraId="2561D5D6" w14:textId="77777777" w:rsidR="002F590A" w:rsidRDefault="002F590A" w:rsidP="002F590A">
      <w:pPr>
        <w:spacing w:line="276" w:lineRule="auto"/>
        <w:ind w:left="-142" w:firstLine="505"/>
        <w:jc w:val="both"/>
        <w:rPr>
          <w:sz w:val="28"/>
          <w:szCs w:val="28"/>
        </w:rPr>
      </w:pPr>
      <w:r>
        <w:rPr>
          <w:sz w:val="28"/>
          <w:szCs w:val="28"/>
        </w:rPr>
        <w:t>- Налоговый кодекс Российской Федерации (в дальнейшем НК РФ);</w:t>
      </w:r>
    </w:p>
    <w:p w14:paraId="35553D4C" w14:textId="77777777" w:rsidR="002F590A" w:rsidRDefault="002F590A" w:rsidP="002F590A">
      <w:pPr>
        <w:spacing w:line="276" w:lineRule="auto"/>
        <w:ind w:left="-142" w:firstLine="505"/>
        <w:jc w:val="both"/>
        <w:rPr>
          <w:sz w:val="28"/>
          <w:szCs w:val="28"/>
        </w:rPr>
      </w:pPr>
      <w:r>
        <w:rPr>
          <w:sz w:val="28"/>
          <w:szCs w:val="28"/>
        </w:rPr>
        <w:t>- Трудовой Кодекс Российской Федерации (в дальнейшем ТК РФ);</w:t>
      </w:r>
    </w:p>
    <w:p w14:paraId="221D5C2F" w14:textId="77777777" w:rsidR="002F590A" w:rsidRDefault="002F590A" w:rsidP="002F590A">
      <w:pPr>
        <w:spacing w:line="276" w:lineRule="auto"/>
        <w:ind w:left="-142" w:firstLine="505"/>
        <w:jc w:val="both"/>
        <w:rPr>
          <w:sz w:val="28"/>
          <w:szCs w:val="28"/>
        </w:rPr>
      </w:pPr>
      <w:r>
        <w:rPr>
          <w:sz w:val="28"/>
          <w:szCs w:val="28"/>
        </w:rPr>
        <w:t>- Федеральный закон от 27.07.2010 № 190-ФЗ «О теплоснабжении»;</w:t>
      </w:r>
    </w:p>
    <w:p w14:paraId="5B664D2A" w14:textId="77777777" w:rsidR="002F590A" w:rsidRDefault="002F590A" w:rsidP="002F590A">
      <w:pPr>
        <w:spacing w:line="276" w:lineRule="auto"/>
        <w:ind w:left="-142" w:firstLine="505"/>
        <w:jc w:val="both"/>
        <w:rPr>
          <w:sz w:val="28"/>
          <w:szCs w:val="28"/>
        </w:rPr>
      </w:pPr>
      <w:r>
        <w:rPr>
          <w:sz w:val="28"/>
          <w:szCs w:val="28"/>
        </w:rPr>
        <w:t>- Федеральный Закон от 17.08.1995 № 147-ФЗ «О естественных монополиях»;</w:t>
      </w:r>
    </w:p>
    <w:p w14:paraId="7EAB3924" w14:textId="77777777" w:rsidR="002F590A" w:rsidRDefault="002F590A" w:rsidP="002F590A">
      <w:pPr>
        <w:tabs>
          <w:tab w:val="num" w:pos="360"/>
          <w:tab w:val="num" w:pos="1080"/>
        </w:tabs>
        <w:spacing w:line="276" w:lineRule="auto"/>
        <w:ind w:left="-142" w:firstLine="505"/>
        <w:jc w:val="both"/>
        <w:rPr>
          <w:sz w:val="28"/>
          <w:szCs w:val="28"/>
        </w:rPr>
      </w:pPr>
      <w:r>
        <w:rPr>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09BC2812" w14:textId="77777777" w:rsidR="002F590A" w:rsidRDefault="002F590A" w:rsidP="002F590A">
      <w:pPr>
        <w:tabs>
          <w:tab w:val="num" w:pos="360"/>
          <w:tab w:val="num" w:pos="1080"/>
        </w:tabs>
        <w:spacing w:line="276" w:lineRule="auto"/>
        <w:ind w:left="-142" w:firstLine="505"/>
        <w:jc w:val="both"/>
        <w:rPr>
          <w:sz w:val="28"/>
          <w:szCs w:val="28"/>
        </w:rPr>
      </w:pPr>
      <w:r>
        <w:rPr>
          <w:sz w:val="28"/>
          <w:szCs w:val="28"/>
        </w:rPr>
        <w:t>- Постановление Правительства Российской Федерации 22.10.2012 №1075 «О ценообразовании в сфере теплоснабжения»;</w:t>
      </w:r>
    </w:p>
    <w:p w14:paraId="1259F61C" w14:textId="77777777" w:rsidR="002F590A" w:rsidRDefault="002F590A" w:rsidP="002F590A">
      <w:pPr>
        <w:tabs>
          <w:tab w:val="num" w:pos="360"/>
          <w:tab w:val="num" w:pos="1080"/>
        </w:tabs>
        <w:spacing w:line="276" w:lineRule="auto"/>
        <w:ind w:left="-142" w:firstLine="505"/>
        <w:jc w:val="both"/>
        <w:rPr>
          <w:sz w:val="28"/>
          <w:szCs w:val="28"/>
        </w:rPr>
      </w:pPr>
      <w:r>
        <w:rPr>
          <w:sz w:val="28"/>
          <w:szCs w:val="28"/>
        </w:rPr>
        <w:t>- Приказ Министерства строительства и жилищно-коммунального хозяйства Российской Федерации от 28.08. 2014 №506/пр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20435329" w14:textId="77777777" w:rsidR="002F590A" w:rsidRDefault="002F590A" w:rsidP="002F590A">
      <w:pPr>
        <w:spacing w:line="276" w:lineRule="auto"/>
        <w:ind w:firstLine="567"/>
        <w:jc w:val="both"/>
        <w:rPr>
          <w:sz w:val="28"/>
          <w:szCs w:val="28"/>
        </w:rPr>
      </w:pPr>
      <w:r>
        <w:rPr>
          <w:sz w:val="28"/>
          <w:szCs w:val="28"/>
        </w:rPr>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51DA0E35" w14:textId="77777777" w:rsidR="002F590A" w:rsidRDefault="002F590A" w:rsidP="002F590A">
      <w:pPr>
        <w:spacing w:line="276" w:lineRule="auto"/>
        <w:ind w:firstLine="567"/>
        <w:jc w:val="both"/>
        <w:rPr>
          <w:sz w:val="25"/>
          <w:szCs w:val="25"/>
        </w:rPr>
      </w:pPr>
    </w:p>
    <w:p w14:paraId="355FD794" w14:textId="77777777" w:rsidR="002F590A" w:rsidRDefault="002F590A" w:rsidP="002F590A">
      <w:pPr>
        <w:spacing w:line="276" w:lineRule="auto"/>
        <w:ind w:firstLine="567"/>
        <w:jc w:val="both"/>
        <w:rPr>
          <w:sz w:val="25"/>
          <w:szCs w:val="25"/>
        </w:rPr>
      </w:pPr>
    </w:p>
    <w:p w14:paraId="38DE17D1" w14:textId="77777777" w:rsidR="002F590A" w:rsidRDefault="002F590A" w:rsidP="002F590A">
      <w:pPr>
        <w:tabs>
          <w:tab w:val="left" w:pos="720"/>
        </w:tabs>
        <w:spacing w:line="276" w:lineRule="auto"/>
        <w:ind w:firstLine="709"/>
        <w:jc w:val="both"/>
        <w:rPr>
          <w:sz w:val="28"/>
          <w:szCs w:val="28"/>
        </w:rPr>
      </w:pPr>
      <w:r>
        <w:rPr>
          <w:sz w:val="28"/>
          <w:szCs w:val="28"/>
        </w:rPr>
        <w:t>ООО «Новосибирская теплосетевая компания» (далее Предприятие) представило в Региональную энергетическую комиссию Кузбасса заявление с просьбой об утверждении инвестиционной программы на 2022-2031 годы.</w:t>
      </w:r>
    </w:p>
    <w:p w14:paraId="3B44789B" w14:textId="77777777" w:rsidR="002F590A" w:rsidRDefault="002F590A" w:rsidP="002F590A">
      <w:pPr>
        <w:tabs>
          <w:tab w:val="num" w:pos="360"/>
          <w:tab w:val="num" w:pos="1080"/>
        </w:tabs>
        <w:spacing w:line="276" w:lineRule="auto"/>
        <w:ind w:left="-142" w:firstLine="505"/>
        <w:jc w:val="both"/>
        <w:rPr>
          <w:sz w:val="28"/>
          <w:szCs w:val="28"/>
        </w:rPr>
      </w:pPr>
      <w:r>
        <w:rPr>
          <w:sz w:val="28"/>
          <w:szCs w:val="28"/>
        </w:rPr>
        <w:t xml:space="preserve">Предприятие представило инвестиционную программу </w:t>
      </w:r>
      <w:r>
        <w:rPr>
          <w:sz w:val="28"/>
          <w:szCs w:val="28"/>
        </w:rPr>
        <w:br/>
        <w:t>в размере 36 549,71 тыс. руб. (без НДС), в т.ч. из амортизационных отчислений 34 025,21 тыс. руб., из прибыли 2 524,50 тыс. руб.</w:t>
      </w:r>
    </w:p>
    <w:p w14:paraId="4CD39751" w14:textId="77777777" w:rsidR="002F590A" w:rsidRDefault="002F590A" w:rsidP="002F590A">
      <w:pPr>
        <w:autoSpaceDE w:val="0"/>
        <w:autoSpaceDN w:val="0"/>
        <w:adjustRightInd w:val="0"/>
        <w:spacing w:line="276" w:lineRule="auto"/>
        <w:ind w:firstLine="540"/>
        <w:jc w:val="both"/>
        <w:rPr>
          <w:bCs/>
          <w:sz w:val="28"/>
          <w:szCs w:val="20"/>
        </w:rPr>
      </w:pPr>
      <w:r>
        <w:rPr>
          <w:bCs/>
          <w:sz w:val="28"/>
          <w:szCs w:val="20"/>
        </w:rPr>
        <w:t xml:space="preserve">Инвестиционная программа соответствует п. </w:t>
      </w:r>
      <w:hyperlink r:id="rId51" w:history="1">
        <w:r>
          <w:rPr>
            <w:rStyle w:val="af8"/>
            <w:bCs/>
            <w:sz w:val="28"/>
            <w:szCs w:val="20"/>
          </w:rPr>
          <w:t>8</w:t>
        </w:r>
      </w:hyperlink>
      <w:r>
        <w:rPr>
          <w:bCs/>
          <w:sz w:val="28"/>
          <w:szCs w:val="20"/>
        </w:rPr>
        <w:t xml:space="preserve"> - </w:t>
      </w:r>
      <w:hyperlink r:id="rId52" w:history="1">
        <w:r>
          <w:rPr>
            <w:rStyle w:val="af8"/>
            <w:bCs/>
            <w:sz w:val="28"/>
            <w:szCs w:val="20"/>
          </w:rPr>
          <w:t>19</w:t>
        </w:r>
      </w:hyperlink>
      <w:r>
        <w:rPr>
          <w:bCs/>
          <w:sz w:val="28"/>
          <w:szCs w:val="20"/>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w:t>
      </w:r>
      <w:r>
        <w:rPr>
          <w:bCs/>
          <w:sz w:val="28"/>
          <w:szCs w:val="20"/>
        </w:rPr>
        <w:br/>
        <w:t>от 5 мая 2014 г. №410 (далее Правила).</w:t>
      </w:r>
    </w:p>
    <w:p w14:paraId="6C60E36D" w14:textId="77777777" w:rsidR="002F590A" w:rsidRDefault="002F590A" w:rsidP="002F590A">
      <w:pPr>
        <w:autoSpaceDE w:val="0"/>
        <w:autoSpaceDN w:val="0"/>
        <w:adjustRightInd w:val="0"/>
        <w:spacing w:line="276" w:lineRule="auto"/>
        <w:ind w:firstLine="540"/>
        <w:jc w:val="both"/>
        <w:rPr>
          <w:bCs/>
          <w:sz w:val="28"/>
          <w:szCs w:val="20"/>
        </w:rPr>
      </w:pPr>
      <w:r>
        <w:rPr>
          <w:bCs/>
          <w:sz w:val="28"/>
          <w:szCs w:val="20"/>
        </w:rPr>
        <w:t>В соответствии с требованиями п. 21 Правил, программа согласована заместителем Главы г. Кемерово, начальником управления жилищно-коммунального хозяйства С.В. Лысенко.</w:t>
      </w:r>
    </w:p>
    <w:p w14:paraId="5C01C71B" w14:textId="77777777" w:rsidR="002F590A" w:rsidRDefault="002F590A" w:rsidP="002F590A">
      <w:pPr>
        <w:autoSpaceDE w:val="0"/>
        <w:autoSpaceDN w:val="0"/>
        <w:adjustRightInd w:val="0"/>
        <w:spacing w:line="276" w:lineRule="auto"/>
        <w:ind w:firstLine="540"/>
        <w:jc w:val="both"/>
        <w:rPr>
          <w:sz w:val="28"/>
          <w:szCs w:val="28"/>
        </w:rPr>
      </w:pPr>
      <w:r>
        <w:rPr>
          <w:bCs/>
          <w:sz w:val="28"/>
          <w:szCs w:val="20"/>
        </w:rPr>
        <w:t>В качестве обосновывающих материалов представлены</w:t>
      </w:r>
      <w:r>
        <w:rPr>
          <w:sz w:val="28"/>
          <w:szCs w:val="28"/>
        </w:rPr>
        <w:t xml:space="preserve"> концессионное соглашение, сметные расчеты.</w:t>
      </w:r>
    </w:p>
    <w:p w14:paraId="4B40300C" w14:textId="77777777" w:rsidR="002F590A" w:rsidRDefault="002F590A" w:rsidP="002F590A">
      <w:pPr>
        <w:tabs>
          <w:tab w:val="left" w:pos="720"/>
        </w:tabs>
        <w:spacing w:line="276" w:lineRule="auto"/>
        <w:ind w:firstLine="709"/>
        <w:jc w:val="both"/>
        <w:rPr>
          <w:sz w:val="28"/>
          <w:szCs w:val="28"/>
        </w:rPr>
      </w:pPr>
      <w:r>
        <w:rPr>
          <w:sz w:val="28"/>
          <w:szCs w:val="28"/>
        </w:rPr>
        <w:t>Обоснованность стоимостных показателей (сметных расчетов), включаемых экспертами в инвестиционную программу, проверена с помощью программного комплекса ГРАНД-Смета. В результате проверки экспертами стоимость мероприятий признана обоснованной.</w:t>
      </w:r>
    </w:p>
    <w:p w14:paraId="78802302" w14:textId="77777777" w:rsidR="002F590A" w:rsidRDefault="002F590A" w:rsidP="002F590A">
      <w:pPr>
        <w:tabs>
          <w:tab w:val="left" w:pos="720"/>
        </w:tabs>
        <w:spacing w:line="276" w:lineRule="auto"/>
        <w:ind w:firstLine="709"/>
        <w:jc w:val="both"/>
        <w:rPr>
          <w:bCs/>
          <w:kern w:val="32"/>
          <w:sz w:val="28"/>
          <w:szCs w:val="28"/>
        </w:rPr>
      </w:pPr>
      <w:r>
        <w:rPr>
          <w:bCs/>
          <w:kern w:val="32"/>
          <w:sz w:val="28"/>
          <w:szCs w:val="28"/>
        </w:rPr>
        <w:t xml:space="preserve">Экспертами объем финансирования, в том числе разбивка по источникам финансирования, приняты согласно заключенному концессионному соглашению №5 от 01.11.2021 в отношении объектов системы теплоснабжения, принадлежащих на праве собственности муниципальному образованию «город Кемерово», с учетом ранее выданных Региональной энергетической комиссией Кузбасса долгосрочных параметров регулирования для заключения концессионного соглашения. </w:t>
      </w:r>
    </w:p>
    <w:p w14:paraId="66CBFE15" w14:textId="77777777" w:rsidR="002F590A" w:rsidRDefault="002F590A" w:rsidP="002F590A">
      <w:pPr>
        <w:tabs>
          <w:tab w:val="left" w:pos="720"/>
        </w:tabs>
        <w:spacing w:line="276" w:lineRule="auto"/>
        <w:ind w:firstLine="709"/>
        <w:jc w:val="both"/>
        <w:rPr>
          <w:sz w:val="28"/>
          <w:szCs w:val="28"/>
        </w:rPr>
      </w:pPr>
      <w:r>
        <w:rPr>
          <w:sz w:val="28"/>
          <w:szCs w:val="28"/>
        </w:rPr>
        <w:t>Проанализировав представленные обосновывающие документы, экспертная группа, считает предложенные мероприятия обоснованными и предлагает утвердить инвестиционную программу на 2022-2031 годы принять в размере 36 549,71 тыс. руб. (без НДС), в т.ч. из амортизационных отчислений 34 025,21 тыс. руб., из прибыли 2 524,50 тыс. руб. Финансирование по годам инвестиционной программы представлено в таблице:</w:t>
      </w:r>
    </w:p>
    <w:p w14:paraId="3ADF5D4C" w14:textId="77777777" w:rsidR="002F590A" w:rsidRDefault="002F590A" w:rsidP="002F590A">
      <w:pPr>
        <w:tabs>
          <w:tab w:val="left" w:pos="720"/>
        </w:tabs>
        <w:spacing w:line="276" w:lineRule="auto"/>
        <w:ind w:firstLine="709"/>
        <w:jc w:val="both"/>
        <w:rPr>
          <w:sz w:val="28"/>
          <w:szCs w:val="28"/>
        </w:rPr>
      </w:pPr>
    </w:p>
    <w:p w14:paraId="260AF524" w14:textId="77777777" w:rsidR="002F590A" w:rsidRDefault="002F590A" w:rsidP="002F590A">
      <w:pPr>
        <w:tabs>
          <w:tab w:val="left" w:pos="720"/>
        </w:tabs>
        <w:spacing w:line="276" w:lineRule="auto"/>
        <w:ind w:firstLine="709"/>
        <w:jc w:val="both"/>
        <w:rPr>
          <w:sz w:val="28"/>
          <w:szCs w:val="28"/>
        </w:rPr>
      </w:pPr>
    </w:p>
    <w:p w14:paraId="0D6B3954" w14:textId="77777777" w:rsidR="002F590A" w:rsidRDefault="002F590A" w:rsidP="002F590A">
      <w:pPr>
        <w:tabs>
          <w:tab w:val="left" w:pos="720"/>
        </w:tabs>
        <w:spacing w:line="276" w:lineRule="auto"/>
        <w:ind w:firstLine="709"/>
        <w:jc w:val="both"/>
        <w:rPr>
          <w:sz w:val="28"/>
          <w:szCs w:val="28"/>
        </w:rPr>
      </w:pPr>
    </w:p>
    <w:tbl>
      <w:tblPr>
        <w:tblW w:w="10875"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
        <w:gridCol w:w="1432"/>
        <w:gridCol w:w="698"/>
        <w:gridCol w:w="810"/>
        <w:gridCol w:w="851"/>
        <w:gridCol w:w="706"/>
        <w:gridCol w:w="851"/>
        <w:gridCol w:w="850"/>
        <w:gridCol w:w="851"/>
        <w:gridCol w:w="709"/>
        <w:gridCol w:w="706"/>
        <w:gridCol w:w="706"/>
        <w:gridCol w:w="711"/>
        <w:gridCol w:w="709"/>
      </w:tblGrid>
      <w:tr w:rsidR="002F590A" w14:paraId="4629B5DF" w14:textId="77777777" w:rsidTr="002F590A">
        <w:trPr>
          <w:trHeight w:val="458"/>
        </w:trPr>
        <w:tc>
          <w:tcPr>
            <w:tcW w:w="284"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582F76C" w14:textId="77777777" w:rsidR="002F590A" w:rsidRDefault="002F590A">
            <w:pPr>
              <w:jc w:val="center"/>
              <w:rPr>
                <w:color w:val="000000"/>
                <w:sz w:val="14"/>
                <w:szCs w:val="14"/>
              </w:rPr>
            </w:pPr>
            <w:r>
              <w:rPr>
                <w:color w:val="000000"/>
                <w:sz w:val="14"/>
                <w:szCs w:val="14"/>
              </w:rPr>
              <w:t>N п/п</w:t>
            </w:r>
          </w:p>
        </w:tc>
        <w:tc>
          <w:tcPr>
            <w:tcW w:w="1430"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C5AD501" w14:textId="77777777" w:rsidR="002F590A" w:rsidRDefault="002F590A">
            <w:pPr>
              <w:jc w:val="center"/>
              <w:rPr>
                <w:color w:val="000000"/>
                <w:sz w:val="14"/>
                <w:szCs w:val="14"/>
              </w:rPr>
            </w:pPr>
            <w:r>
              <w:rPr>
                <w:color w:val="000000"/>
                <w:sz w:val="14"/>
                <w:szCs w:val="14"/>
              </w:rPr>
              <w:t>Источники финансирования</w:t>
            </w:r>
          </w:p>
        </w:tc>
        <w:tc>
          <w:tcPr>
            <w:tcW w:w="9156" w:type="dxa"/>
            <w:gridSpan w:val="12"/>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3AA8158" w14:textId="77777777" w:rsidR="002F590A" w:rsidRDefault="002F590A">
            <w:pPr>
              <w:jc w:val="center"/>
              <w:rPr>
                <w:color w:val="000000"/>
                <w:sz w:val="14"/>
                <w:szCs w:val="14"/>
              </w:rPr>
            </w:pPr>
            <w:r>
              <w:rPr>
                <w:color w:val="000000"/>
                <w:sz w:val="14"/>
                <w:szCs w:val="14"/>
              </w:rPr>
              <w:t>Расходы на реализацию инвестиционной программы (тыс. руб.)</w:t>
            </w:r>
          </w:p>
          <w:p w14:paraId="6F310214" w14:textId="77777777" w:rsidR="002F590A" w:rsidRDefault="002F590A">
            <w:pPr>
              <w:jc w:val="center"/>
              <w:rPr>
                <w:color w:val="000000"/>
                <w:sz w:val="14"/>
                <w:szCs w:val="14"/>
              </w:rPr>
            </w:pPr>
            <w:r>
              <w:rPr>
                <w:color w:val="000000"/>
                <w:sz w:val="14"/>
                <w:szCs w:val="14"/>
              </w:rPr>
              <w:t>(без НДС)</w:t>
            </w:r>
          </w:p>
        </w:tc>
      </w:tr>
      <w:tr w:rsidR="002F590A" w14:paraId="2227F029" w14:textId="77777777" w:rsidTr="002F590A">
        <w:trPr>
          <w:trHeight w:val="458"/>
        </w:trPr>
        <w:tc>
          <w:tcPr>
            <w:tcW w:w="284" w:type="dxa"/>
            <w:vMerge/>
            <w:tcBorders>
              <w:top w:val="single" w:sz="4" w:space="0" w:color="auto"/>
              <w:left w:val="single" w:sz="4" w:space="0" w:color="auto"/>
              <w:bottom w:val="single" w:sz="4" w:space="0" w:color="auto"/>
              <w:right w:val="single" w:sz="4" w:space="0" w:color="auto"/>
            </w:tcBorders>
            <w:vAlign w:val="center"/>
            <w:hideMark/>
          </w:tcPr>
          <w:p w14:paraId="4933088C" w14:textId="77777777" w:rsidR="002F590A" w:rsidRDefault="002F590A">
            <w:pPr>
              <w:spacing w:line="256" w:lineRule="auto"/>
              <w:rPr>
                <w:color w:val="000000"/>
                <w:sz w:val="14"/>
                <w:szCs w:val="14"/>
              </w:rPr>
            </w:pPr>
          </w:p>
        </w:tc>
        <w:tc>
          <w:tcPr>
            <w:tcW w:w="1430" w:type="dxa"/>
            <w:vMerge/>
            <w:tcBorders>
              <w:top w:val="single" w:sz="4" w:space="0" w:color="auto"/>
              <w:left w:val="single" w:sz="4" w:space="0" w:color="auto"/>
              <w:bottom w:val="single" w:sz="4" w:space="0" w:color="auto"/>
              <w:right w:val="single" w:sz="4" w:space="0" w:color="auto"/>
            </w:tcBorders>
            <w:vAlign w:val="center"/>
            <w:hideMark/>
          </w:tcPr>
          <w:p w14:paraId="45DBC936" w14:textId="77777777" w:rsidR="002F590A" w:rsidRDefault="002F590A">
            <w:pPr>
              <w:spacing w:line="256" w:lineRule="auto"/>
              <w:rPr>
                <w:color w:val="000000"/>
                <w:sz w:val="14"/>
                <w:szCs w:val="14"/>
              </w:rPr>
            </w:pPr>
          </w:p>
        </w:tc>
        <w:tc>
          <w:tcPr>
            <w:tcW w:w="24414" w:type="dxa"/>
            <w:gridSpan w:val="12"/>
            <w:vMerge/>
            <w:tcBorders>
              <w:top w:val="single" w:sz="4" w:space="0" w:color="auto"/>
              <w:left w:val="single" w:sz="4" w:space="0" w:color="auto"/>
              <w:bottom w:val="single" w:sz="4" w:space="0" w:color="auto"/>
              <w:right w:val="single" w:sz="4" w:space="0" w:color="auto"/>
            </w:tcBorders>
            <w:vAlign w:val="center"/>
            <w:hideMark/>
          </w:tcPr>
          <w:p w14:paraId="1BC2FB1B" w14:textId="77777777" w:rsidR="002F590A" w:rsidRDefault="002F590A">
            <w:pPr>
              <w:spacing w:line="256" w:lineRule="auto"/>
              <w:rPr>
                <w:color w:val="000000"/>
                <w:sz w:val="14"/>
                <w:szCs w:val="14"/>
              </w:rPr>
            </w:pPr>
          </w:p>
        </w:tc>
      </w:tr>
      <w:tr w:rsidR="002F590A" w14:paraId="76E101B7" w14:textId="77777777" w:rsidTr="002F590A">
        <w:trPr>
          <w:trHeight w:val="60"/>
        </w:trPr>
        <w:tc>
          <w:tcPr>
            <w:tcW w:w="284" w:type="dxa"/>
            <w:vMerge/>
            <w:tcBorders>
              <w:top w:val="single" w:sz="4" w:space="0" w:color="auto"/>
              <w:left w:val="single" w:sz="4" w:space="0" w:color="auto"/>
              <w:bottom w:val="single" w:sz="4" w:space="0" w:color="auto"/>
              <w:right w:val="single" w:sz="4" w:space="0" w:color="auto"/>
            </w:tcBorders>
            <w:vAlign w:val="center"/>
            <w:hideMark/>
          </w:tcPr>
          <w:p w14:paraId="713514F5" w14:textId="77777777" w:rsidR="002F590A" w:rsidRDefault="002F590A">
            <w:pPr>
              <w:spacing w:line="256" w:lineRule="auto"/>
              <w:rPr>
                <w:color w:val="000000"/>
                <w:sz w:val="14"/>
                <w:szCs w:val="14"/>
              </w:rPr>
            </w:pPr>
          </w:p>
        </w:tc>
        <w:tc>
          <w:tcPr>
            <w:tcW w:w="1430" w:type="dxa"/>
            <w:vMerge/>
            <w:tcBorders>
              <w:top w:val="single" w:sz="4" w:space="0" w:color="auto"/>
              <w:left w:val="single" w:sz="4" w:space="0" w:color="auto"/>
              <w:bottom w:val="single" w:sz="4" w:space="0" w:color="auto"/>
              <w:right w:val="single" w:sz="4" w:space="0" w:color="auto"/>
            </w:tcBorders>
            <w:vAlign w:val="center"/>
            <w:hideMark/>
          </w:tcPr>
          <w:p w14:paraId="1C71E076" w14:textId="77777777" w:rsidR="002F590A" w:rsidRDefault="002F590A">
            <w:pPr>
              <w:spacing w:line="256" w:lineRule="auto"/>
              <w:rPr>
                <w:color w:val="000000"/>
                <w:sz w:val="14"/>
                <w:szCs w:val="14"/>
              </w:rPr>
            </w:pPr>
          </w:p>
        </w:tc>
        <w:tc>
          <w:tcPr>
            <w:tcW w:w="6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7BCC03E" w14:textId="77777777" w:rsidR="002F590A" w:rsidRDefault="002F590A">
            <w:pPr>
              <w:jc w:val="center"/>
              <w:rPr>
                <w:color w:val="000000"/>
                <w:sz w:val="14"/>
                <w:szCs w:val="14"/>
              </w:rPr>
            </w:pPr>
            <w:r>
              <w:rPr>
                <w:color w:val="000000"/>
                <w:sz w:val="14"/>
                <w:szCs w:val="14"/>
              </w:rPr>
              <w:t xml:space="preserve">по видам </w:t>
            </w:r>
            <w:proofErr w:type="gramStart"/>
            <w:r>
              <w:rPr>
                <w:color w:val="000000"/>
                <w:sz w:val="14"/>
                <w:szCs w:val="14"/>
              </w:rPr>
              <w:t>деятель-ности</w:t>
            </w:r>
            <w:proofErr w:type="gramEnd"/>
          </w:p>
        </w:tc>
        <w:tc>
          <w:tcPr>
            <w:tcW w:w="809"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F27FF42" w14:textId="77777777" w:rsidR="002F590A" w:rsidRDefault="002F590A">
            <w:pPr>
              <w:jc w:val="center"/>
              <w:rPr>
                <w:color w:val="000000"/>
                <w:sz w:val="14"/>
                <w:szCs w:val="14"/>
              </w:rPr>
            </w:pPr>
            <w:r>
              <w:rPr>
                <w:color w:val="000000"/>
                <w:sz w:val="14"/>
                <w:szCs w:val="14"/>
              </w:rPr>
              <w:t>Всего</w:t>
            </w:r>
          </w:p>
        </w:tc>
        <w:tc>
          <w:tcPr>
            <w:tcW w:w="7650" w:type="dxa"/>
            <w:gridSpan w:val="10"/>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C788708" w14:textId="77777777" w:rsidR="002F590A" w:rsidRDefault="002F590A">
            <w:pPr>
              <w:jc w:val="center"/>
              <w:rPr>
                <w:color w:val="000000"/>
                <w:sz w:val="14"/>
                <w:szCs w:val="14"/>
              </w:rPr>
            </w:pPr>
            <w:r>
              <w:rPr>
                <w:color w:val="000000"/>
                <w:sz w:val="14"/>
                <w:szCs w:val="14"/>
              </w:rPr>
              <w:t>по годам реализации инвестпрограммы</w:t>
            </w:r>
          </w:p>
        </w:tc>
      </w:tr>
      <w:tr w:rsidR="002F590A" w14:paraId="357D642B" w14:textId="77777777" w:rsidTr="002F590A">
        <w:trPr>
          <w:trHeight w:val="20"/>
        </w:trPr>
        <w:tc>
          <w:tcPr>
            <w:tcW w:w="284" w:type="dxa"/>
            <w:vMerge/>
            <w:tcBorders>
              <w:top w:val="single" w:sz="4" w:space="0" w:color="auto"/>
              <w:left w:val="single" w:sz="4" w:space="0" w:color="auto"/>
              <w:bottom w:val="single" w:sz="4" w:space="0" w:color="auto"/>
              <w:right w:val="single" w:sz="4" w:space="0" w:color="auto"/>
            </w:tcBorders>
            <w:vAlign w:val="center"/>
            <w:hideMark/>
          </w:tcPr>
          <w:p w14:paraId="310BB215" w14:textId="77777777" w:rsidR="002F590A" w:rsidRDefault="002F590A">
            <w:pPr>
              <w:spacing w:line="256" w:lineRule="auto"/>
              <w:rPr>
                <w:color w:val="000000"/>
                <w:sz w:val="14"/>
                <w:szCs w:val="14"/>
              </w:rPr>
            </w:pPr>
          </w:p>
        </w:tc>
        <w:tc>
          <w:tcPr>
            <w:tcW w:w="1430" w:type="dxa"/>
            <w:vMerge/>
            <w:tcBorders>
              <w:top w:val="single" w:sz="4" w:space="0" w:color="auto"/>
              <w:left w:val="single" w:sz="4" w:space="0" w:color="auto"/>
              <w:bottom w:val="single" w:sz="4" w:space="0" w:color="auto"/>
              <w:right w:val="single" w:sz="4" w:space="0" w:color="auto"/>
            </w:tcBorders>
            <w:vAlign w:val="center"/>
            <w:hideMark/>
          </w:tcPr>
          <w:p w14:paraId="28BB98FC" w14:textId="77777777" w:rsidR="002F590A" w:rsidRDefault="002F590A">
            <w:pPr>
              <w:spacing w:line="256" w:lineRule="auto"/>
              <w:rPr>
                <w:color w:val="000000"/>
                <w:sz w:val="14"/>
                <w:szCs w:val="14"/>
              </w:rPr>
            </w:pPr>
          </w:p>
        </w:tc>
        <w:tc>
          <w:tcPr>
            <w:tcW w:w="6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FE8CEB8" w14:textId="77777777" w:rsidR="002F590A" w:rsidRDefault="002F590A">
            <w:pPr>
              <w:jc w:val="center"/>
              <w:rPr>
                <w:color w:val="000000"/>
                <w:sz w:val="14"/>
                <w:szCs w:val="14"/>
              </w:rPr>
            </w:pPr>
            <w:r>
              <w:rPr>
                <w:color w:val="000000"/>
                <w:sz w:val="14"/>
                <w:szCs w:val="14"/>
              </w:rPr>
              <w:t>Тепло-снабже-ние</w:t>
            </w:r>
          </w:p>
        </w:tc>
        <w:tc>
          <w:tcPr>
            <w:tcW w:w="809" w:type="dxa"/>
            <w:vMerge/>
            <w:tcBorders>
              <w:top w:val="single" w:sz="4" w:space="0" w:color="auto"/>
              <w:left w:val="single" w:sz="4" w:space="0" w:color="auto"/>
              <w:bottom w:val="single" w:sz="4" w:space="0" w:color="auto"/>
              <w:right w:val="single" w:sz="4" w:space="0" w:color="auto"/>
            </w:tcBorders>
            <w:vAlign w:val="center"/>
            <w:hideMark/>
          </w:tcPr>
          <w:p w14:paraId="614F3425" w14:textId="77777777" w:rsidR="002F590A" w:rsidRDefault="002F590A">
            <w:pPr>
              <w:spacing w:line="256" w:lineRule="auto"/>
              <w:rPr>
                <w:color w:val="000000"/>
                <w:sz w:val="14"/>
                <w:szCs w:val="14"/>
              </w:rPr>
            </w:pP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6905E56" w14:textId="77777777" w:rsidR="002F590A" w:rsidRDefault="002F590A">
            <w:pPr>
              <w:jc w:val="center"/>
              <w:rPr>
                <w:color w:val="000000"/>
                <w:sz w:val="14"/>
                <w:szCs w:val="14"/>
              </w:rPr>
            </w:pPr>
            <w:r>
              <w:rPr>
                <w:color w:val="000000"/>
                <w:sz w:val="14"/>
                <w:szCs w:val="14"/>
              </w:rPr>
              <w:t>2022</w:t>
            </w:r>
          </w:p>
        </w:tc>
        <w:tc>
          <w:tcPr>
            <w:tcW w:w="7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B7FDC7C" w14:textId="77777777" w:rsidR="002F590A" w:rsidRDefault="002F590A">
            <w:pPr>
              <w:jc w:val="center"/>
              <w:rPr>
                <w:color w:val="000000"/>
                <w:sz w:val="14"/>
                <w:szCs w:val="14"/>
              </w:rPr>
            </w:pPr>
            <w:r>
              <w:rPr>
                <w:color w:val="000000"/>
                <w:sz w:val="14"/>
                <w:szCs w:val="14"/>
              </w:rPr>
              <w:t>2023</w:t>
            </w: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33A79AE" w14:textId="77777777" w:rsidR="002F590A" w:rsidRDefault="002F590A">
            <w:pPr>
              <w:jc w:val="center"/>
              <w:rPr>
                <w:color w:val="000000"/>
                <w:sz w:val="14"/>
                <w:szCs w:val="14"/>
              </w:rPr>
            </w:pPr>
            <w:r>
              <w:rPr>
                <w:color w:val="000000"/>
                <w:sz w:val="14"/>
                <w:szCs w:val="14"/>
              </w:rPr>
              <w:t>2024</w:t>
            </w:r>
          </w:p>
        </w:tc>
        <w:tc>
          <w:tcPr>
            <w:tcW w:w="8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55AF2FD" w14:textId="77777777" w:rsidR="002F590A" w:rsidRDefault="002F590A">
            <w:pPr>
              <w:jc w:val="center"/>
              <w:rPr>
                <w:color w:val="000000"/>
                <w:sz w:val="14"/>
                <w:szCs w:val="14"/>
              </w:rPr>
            </w:pPr>
            <w:r>
              <w:rPr>
                <w:color w:val="000000"/>
                <w:sz w:val="14"/>
                <w:szCs w:val="14"/>
              </w:rPr>
              <w:t>2025</w:t>
            </w: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D28812C" w14:textId="77777777" w:rsidR="002F590A" w:rsidRDefault="002F590A">
            <w:pPr>
              <w:jc w:val="center"/>
              <w:rPr>
                <w:color w:val="000000"/>
                <w:sz w:val="14"/>
                <w:szCs w:val="14"/>
              </w:rPr>
            </w:pPr>
            <w:r>
              <w:rPr>
                <w:color w:val="000000"/>
                <w:sz w:val="14"/>
                <w:szCs w:val="14"/>
              </w:rPr>
              <w:t>2026</w:t>
            </w: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5F01D5E" w14:textId="77777777" w:rsidR="002F590A" w:rsidRDefault="002F590A">
            <w:pPr>
              <w:jc w:val="center"/>
              <w:rPr>
                <w:color w:val="000000"/>
                <w:sz w:val="14"/>
                <w:szCs w:val="14"/>
              </w:rPr>
            </w:pPr>
            <w:r>
              <w:rPr>
                <w:color w:val="000000"/>
                <w:sz w:val="14"/>
                <w:szCs w:val="14"/>
              </w:rPr>
              <w:t>2027</w:t>
            </w:r>
          </w:p>
        </w:tc>
        <w:tc>
          <w:tcPr>
            <w:tcW w:w="7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7A39BAE" w14:textId="77777777" w:rsidR="002F590A" w:rsidRDefault="002F590A">
            <w:pPr>
              <w:jc w:val="center"/>
              <w:rPr>
                <w:color w:val="000000"/>
                <w:sz w:val="14"/>
                <w:szCs w:val="14"/>
              </w:rPr>
            </w:pPr>
            <w:r>
              <w:rPr>
                <w:color w:val="000000"/>
                <w:sz w:val="14"/>
                <w:szCs w:val="14"/>
              </w:rPr>
              <w:t>2028</w:t>
            </w:r>
          </w:p>
        </w:tc>
        <w:tc>
          <w:tcPr>
            <w:tcW w:w="7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A9837B4" w14:textId="77777777" w:rsidR="002F590A" w:rsidRDefault="002F590A">
            <w:pPr>
              <w:jc w:val="center"/>
              <w:rPr>
                <w:color w:val="000000"/>
                <w:sz w:val="14"/>
                <w:szCs w:val="14"/>
              </w:rPr>
            </w:pPr>
            <w:r>
              <w:rPr>
                <w:color w:val="000000"/>
                <w:sz w:val="14"/>
                <w:szCs w:val="14"/>
              </w:rPr>
              <w:t>2029</w:t>
            </w:r>
          </w:p>
        </w:tc>
        <w:tc>
          <w:tcPr>
            <w:tcW w:w="7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C9DD7E5" w14:textId="77777777" w:rsidR="002F590A" w:rsidRDefault="002F590A">
            <w:pPr>
              <w:jc w:val="center"/>
              <w:rPr>
                <w:color w:val="000000"/>
                <w:sz w:val="14"/>
                <w:szCs w:val="14"/>
              </w:rPr>
            </w:pPr>
            <w:r>
              <w:rPr>
                <w:color w:val="000000"/>
                <w:sz w:val="14"/>
                <w:szCs w:val="14"/>
              </w:rPr>
              <w:t>2030</w:t>
            </w: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E704E6B" w14:textId="77777777" w:rsidR="002F590A" w:rsidRDefault="002F590A">
            <w:pPr>
              <w:jc w:val="center"/>
              <w:rPr>
                <w:color w:val="000000"/>
                <w:sz w:val="14"/>
                <w:szCs w:val="14"/>
              </w:rPr>
            </w:pPr>
            <w:r>
              <w:rPr>
                <w:color w:val="000000"/>
                <w:sz w:val="14"/>
                <w:szCs w:val="14"/>
              </w:rPr>
              <w:t>2031</w:t>
            </w:r>
          </w:p>
        </w:tc>
      </w:tr>
      <w:tr w:rsidR="002F590A" w14:paraId="3F23CC02" w14:textId="77777777" w:rsidTr="002F590A">
        <w:trPr>
          <w:trHeight w:val="20"/>
        </w:trPr>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678A4DB" w14:textId="77777777" w:rsidR="002F590A" w:rsidRDefault="002F590A">
            <w:pPr>
              <w:jc w:val="center"/>
              <w:rPr>
                <w:color w:val="000000"/>
                <w:sz w:val="14"/>
                <w:szCs w:val="14"/>
              </w:rPr>
            </w:pPr>
            <w:r>
              <w:rPr>
                <w:color w:val="000000"/>
                <w:sz w:val="14"/>
                <w:szCs w:val="14"/>
              </w:rPr>
              <w:t>1</w:t>
            </w:r>
          </w:p>
        </w:tc>
        <w:tc>
          <w:tcPr>
            <w:tcW w:w="143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D593A39" w14:textId="77777777" w:rsidR="002F590A" w:rsidRDefault="002F590A">
            <w:pPr>
              <w:jc w:val="center"/>
              <w:rPr>
                <w:color w:val="000000"/>
                <w:sz w:val="14"/>
                <w:szCs w:val="14"/>
              </w:rPr>
            </w:pPr>
            <w:r>
              <w:rPr>
                <w:color w:val="000000"/>
                <w:sz w:val="14"/>
                <w:szCs w:val="14"/>
              </w:rPr>
              <w:t>2</w:t>
            </w:r>
          </w:p>
        </w:tc>
        <w:tc>
          <w:tcPr>
            <w:tcW w:w="6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31BA6A6" w14:textId="77777777" w:rsidR="002F590A" w:rsidRDefault="002F590A">
            <w:pPr>
              <w:jc w:val="center"/>
              <w:rPr>
                <w:color w:val="000000"/>
                <w:sz w:val="14"/>
                <w:szCs w:val="14"/>
              </w:rPr>
            </w:pPr>
            <w:r>
              <w:rPr>
                <w:color w:val="000000"/>
                <w:sz w:val="14"/>
                <w:szCs w:val="14"/>
              </w:rPr>
              <w:t>3</w:t>
            </w:r>
          </w:p>
        </w:tc>
        <w:tc>
          <w:tcPr>
            <w:tcW w:w="8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6D51794" w14:textId="77777777" w:rsidR="002F590A" w:rsidRDefault="002F590A">
            <w:pPr>
              <w:jc w:val="center"/>
              <w:rPr>
                <w:color w:val="000000"/>
                <w:sz w:val="14"/>
                <w:szCs w:val="14"/>
              </w:rPr>
            </w:pPr>
            <w:r>
              <w:rPr>
                <w:color w:val="000000"/>
                <w:sz w:val="14"/>
                <w:szCs w:val="14"/>
              </w:rPr>
              <w:t>4</w:t>
            </w: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7F66A79" w14:textId="77777777" w:rsidR="002F590A" w:rsidRDefault="002F590A">
            <w:pPr>
              <w:jc w:val="center"/>
              <w:rPr>
                <w:color w:val="000000"/>
                <w:sz w:val="14"/>
                <w:szCs w:val="14"/>
              </w:rPr>
            </w:pPr>
            <w:r>
              <w:rPr>
                <w:color w:val="000000"/>
                <w:sz w:val="14"/>
                <w:szCs w:val="14"/>
              </w:rPr>
              <w:t>5</w:t>
            </w:r>
          </w:p>
        </w:tc>
        <w:tc>
          <w:tcPr>
            <w:tcW w:w="7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35F7867" w14:textId="77777777" w:rsidR="002F590A" w:rsidRDefault="002F590A">
            <w:pPr>
              <w:jc w:val="center"/>
              <w:rPr>
                <w:color w:val="000000"/>
                <w:sz w:val="14"/>
                <w:szCs w:val="14"/>
              </w:rPr>
            </w:pPr>
            <w:r>
              <w:rPr>
                <w:color w:val="000000"/>
                <w:sz w:val="14"/>
                <w:szCs w:val="14"/>
              </w:rPr>
              <w:t>6</w:t>
            </w: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09AD617" w14:textId="77777777" w:rsidR="002F590A" w:rsidRDefault="002F590A">
            <w:pPr>
              <w:jc w:val="center"/>
              <w:rPr>
                <w:color w:val="000000"/>
                <w:sz w:val="14"/>
                <w:szCs w:val="14"/>
              </w:rPr>
            </w:pPr>
            <w:r>
              <w:rPr>
                <w:color w:val="000000"/>
                <w:sz w:val="14"/>
                <w:szCs w:val="14"/>
              </w:rPr>
              <w:t>7</w:t>
            </w:r>
          </w:p>
        </w:tc>
        <w:tc>
          <w:tcPr>
            <w:tcW w:w="8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F1425EA" w14:textId="77777777" w:rsidR="002F590A" w:rsidRDefault="002F590A">
            <w:pPr>
              <w:jc w:val="center"/>
              <w:rPr>
                <w:color w:val="000000"/>
                <w:sz w:val="14"/>
                <w:szCs w:val="14"/>
              </w:rPr>
            </w:pPr>
            <w:r>
              <w:rPr>
                <w:color w:val="000000"/>
                <w:sz w:val="14"/>
                <w:szCs w:val="14"/>
              </w:rPr>
              <w:t>8</w:t>
            </w: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2FF820F" w14:textId="77777777" w:rsidR="002F590A" w:rsidRDefault="002F590A">
            <w:pPr>
              <w:jc w:val="center"/>
              <w:rPr>
                <w:color w:val="000000"/>
                <w:sz w:val="14"/>
                <w:szCs w:val="14"/>
              </w:rPr>
            </w:pPr>
            <w:r>
              <w:rPr>
                <w:color w:val="000000"/>
                <w:sz w:val="14"/>
                <w:szCs w:val="14"/>
              </w:rPr>
              <w:t>9</w:t>
            </w: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F2D639F" w14:textId="77777777" w:rsidR="002F590A" w:rsidRDefault="002F590A">
            <w:pPr>
              <w:jc w:val="center"/>
              <w:rPr>
                <w:color w:val="000000"/>
                <w:sz w:val="14"/>
                <w:szCs w:val="14"/>
              </w:rPr>
            </w:pPr>
            <w:r>
              <w:rPr>
                <w:color w:val="000000"/>
                <w:sz w:val="14"/>
                <w:szCs w:val="14"/>
              </w:rPr>
              <w:t>10</w:t>
            </w:r>
          </w:p>
        </w:tc>
        <w:tc>
          <w:tcPr>
            <w:tcW w:w="7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B53B35C" w14:textId="77777777" w:rsidR="002F590A" w:rsidRDefault="002F590A">
            <w:pPr>
              <w:jc w:val="center"/>
              <w:rPr>
                <w:color w:val="000000"/>
                <w:sz w:val="14"/>
                <w:szCs w:val="14"/>
              </w:rPr>
            </w:pPr>
            <w:r>
              <w:rPr>
                <w:color w:val="000000"/>
                <w:sz w:val="14"/>
                <w:szCs w:val="14"/>
              </w:rPr>
              <w:t>11</w:t>
            </w:r>
          </w:p>
        </w:tc>
        <w:tc>
          <w:tcPr>
            <w:tcW w:w="7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514C025" w14:textId="77777777" w:rsidR="002F590A" w:rsidRDefault="002F590A">
            <w:pPr>
              <w:jc w:val="center"/>
              <w:rPr>
                <w:color w:val="000000"/>
                <w:sz w:val="14"/>
                <w:szCs w:val="14"/>
              </w:rPr>
            </w:pPr>
            <w:r>
              <w:rPr>
                <w:color w:val="000000"/>
                <w:sz w:val="14"/>
                <w:szCs w:val="14"/>
              </w:rPr>
              <w:t>12</w:t>
            </w:r>
          </w:p>
        </w:tc>
        <w:tc>
          <w:tcPr>
            <w:tcW w:w="7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81BF854" w14:textId="77777777" w:rsidR="002F590A" w:rsidRDefault="002F590A">
            <w:pPr>
              <w:jc w:val="center"/>
              <w:rPr>
                <w:color w:val="000000"/>
                <w:sz w:val="14"/>
                <w:szCs w:val="14"/>
              </w:rPr>
            </w:pPr>
            <w:r>
              <w:rPr>
                <w:color w:val="000000"/>
                <w:sz w:val="14"/>
                <w:szCs w:val="14"/>
              </w:rPr>
              <w:t>13</w:t>
            </w: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4125A6D" w14:textId="77777777" w:rsidR="002F590A" w:rsidRDefault="002F590A">
            <w:pPr>
              <w:jc w:val="center"/>
              <w:rPr>
                <w:color w:val="000000"/>
                <w:sz w:val="14"/>
                <w:szCs w:val="14"/>
              </w:rPr>
            </w:pPr>
            <w:r>
              <w:rPr>
                <w:color w:val="000000"/>
                <w:sz w:val="14"/>
                <w:szCs w:val="14"/>
              </w:rPr>
              <w:t>14</w:t>
            </w:r>
          </w:p>
        </w:tc>
      </w:tr>
      <w:tr w:rsidR="002F590A" w14:paraId="0F789AF4" w14:textId="77777777" w:rsidTr="002F590A">
        <w:trPr>
          <w:trHeight w:val="20"/>
        </w:trPr>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B563C58" w14:textId="77777777" w:rsidR="002F590A" w:rsidRDefault="002F590A">
            <w:pPr>
              <w:jc w:val="center"/>
              <w:rPr>
                <w:color w:val="000000"/>
                <w:sz w:val="14"/>
                <w:szCs w:val="14"/>
              </w:rPr>
            </w:pPr>
            <w:r>
              <w:rPr>
                <w:color w:val="000000"/>
                <w:sz w:val="14"/>
                <w:szCs w:val="14"/>
              </w:rPr>
              <w:t xml:space="preserve">   1.</w:t>
            </w:r>
          </w:p>
        </w:tc>
        <w:tc>
          <w:tcPr>
            <w:tcW w:w="143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655F116" w14:textId="77777777" w:rsidR="002F590A" w:rsidRDefault="002F590A">
            <w:pPr>
              <w:jc w:val="center"/>
              <w:rPr>
                <w:color w:val="000000"/>
                <w:sz w:val="14"/>
                <w:szCs w:val="14"/>
              </w:rPr>
            </w:pPr>
            <w:r>
              <w:rPr>
                <w:color w:val="000000"/>
                <w:sz w:val="14"/>
                <w:szCs w:val="14"/>
              </w:rPr>
              <w:t>Собственные средства</w:t>
            </w:r>
          </w:p>
        </w:tc>
        <w:tc>
          <w:tcPr>
            <w:tcW w:w="69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7A0E88CB" w14:textId="77777777" w:rsidR="002F590A" w:rsidRDefault="002F590A">
            <w:pPr>
              <w:rPr>
                <w:color w:val="000000"/>
                <w:sz w:val="14"/>
                <w:szCs w:val="14"/>
              </w:rPr>
            </w:pPr>
            <w:r>
              <w:rPr>
                <w:color w:val="000000"/>
                <w:sz w:val="14"/>
                <w:szCs w:val="14"/>
              </w:rPr>
              <w:t>36 549,71</w:t>
            </w:r>
          </w:p>
        </w:tc>
        <w:tc>
          <w:tcPr>
            <w:tcW w:w="8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1AA2CF9B" w14:textId="77777777" w:rsidR="002F590A" w:rsidRDefault="002F590A">
            <w:pPr>
              <w:rPr>
                <w:color w:val="000000"/>
                <w:sz w:val="14"/>
                <w:szCs w:val="14"/>
              </w:rPr>
            </w:pPr>
            <w:r>
              <w:rPr>
                <w:color w:val="000000"/>
                <w:sz w:val="14"/>
                <w:szCs w:val="14"/>
              </w:rPr>
              <w:t>36 549,71</w:t>
            </w: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3032A86" w14:textId="77777777" w:rsidR="002F590A" w:rsidRDefault="002F590A">
            <w:pPr>
              <w:rPr>
                <w:color w:val="000000"/>
                <w:sz w:val="14"/>
                <w:szCs w:val="14"/>
              </w:rPr>
            </w:pPr>
            <w:r>
              <w:rPr>
                <w:color w:val="000000"/>
                <w:sz w:val="14"/>
                <w:szCs w:val="14"/>
              </w:rPr>
              <w:t>3 505,53</w:t>
            </w:r>
          </w:p>
        </w:tc>
        <w:tc>
          <w:tcPr>
            <w:tcW w:w="7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B833FE1" w14:textId="77777777" w:rsidR="002F590A" w:rsidRDefault="002F590A">
            <w:pPr>
              <w:rPr>
                <w:color w:val="000000"/>
                <w:sz w:val="14"/>
                <w:szCs w:val="14"/>
              </w:rPr>
            </w:pPr>
            <w:r>
              <w:rPr>
                <w:color w:val="000000"/>
                <w:sz w:val="14"/>
                <w:szCs w:val="14"/>
              </w:rPr>
              <w:t>9 498,94</w:t>
            </w: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536757A" w14:textId="77777777" w:rsidR="002F590A" w:rsidRDefault="002F590A">
            <w:pPr>
              <w:rPr>
                <w:color w:val="000000"/>
                <w:sz w:val="14"/>
                <w:szCs w:val="14"/>
              </w:rPr>
            </w:pPr>
            <w:r>
              <w:rPr>
                <w:color w:val="000000"/>
                <w:sz w:val="14"/>
                <w:szCs w:val="14"/>
              </w:rPr>
              <w:t>6 937,02</w:t>
            </w:r>
          </w:p>
        </w:tc>
        <w:tc>
          <w:tcPr>
            <w:tcW w:w="8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545A1E3" w14:textId="77777777" w:rsidR="002F590A" w:rsidRDefault="002F590A">
            <w:pPr>
              <w:rPr>
                <w:color w:val="000000"/>
                <w:sz w:val="14"/>
                <w:szCs w:val="14"/>
              </w:rPr>
            </w:pPr>
            <w:r>
              <w:rPr>
                <w:color w:val="000000"/>
                <w:sz w:val="14"/>
                <w:szCs w:val="14"/>
              </w:rPr>
              <w:t>3 206,71</w:t>
            </w: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B604FC3" w14:textId="77777777" w:rsidR="002F590A" w:rsidRDefault="002F590A">
            <w:pPr>
              <w:rPr>
                <w:color w:val="000000"/>
                <w:sz w:val="14"/>
                <w:szCs w:val="14"/>
              </w:rPr>
            </w:pPr>
            <w:r>
              <w:rPr>
                <w:color w:val="000000"/>
                <w:sz w:val="14"/>
                <w:szCs w:val="14"/>
              </w:rPr>
              <w:t>3 290,02</w:t>
            </w: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8E0E4ED" w14:textId="77777777" w:rsidR="002F590A" w:rsidRDefault="002F590A">
            <w:pPr>
              <w:rPr>
                <w:color w:val="000000"/>
                <w:sz w:val="14"/>
                <w:szCs w:val="14"/>
              </w:rPr>
            </w:pPr>
            <w:r>
              <w:rPr>
                <w:color w:val="000000"/>
                <w:sz w:val="14"/>
                <w:szCs w:val="14"/>
              </w:rPr>
              <w:t>4 207,05</w:t>
            </w:r>
          </w:p>
        </w:tc>
        <w:tc>
          <w:tcPr>
            <w:tcW w:w="7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6BB1FF5" w14:textId="77777777" w:rsidR="002F590A" w:rsidRDefault="002F590A">
            <w:pPr>
              <w:rPr>
                <w:color w:val="000000"/>
                <w:sz w:val="14"/>
                <w:szCs w:val="14"/>
              </w:rPr>
            </w:pPr>
            <w:r>
              <w:rPr>
                <w:color w:val="000000"/>
                <w:sz w:val="14"/>
                <w:szCs w:val="14"/>
              </w:rPr>
              <w:t>2 392,31</w:t>
            </w:r>
          </w:p>
        </w:tc>
        <w:tc>
          <w:tcPr>
            <w:tcW w:w="7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3C5B4E5" w14:textId="77777777" w:rsidR="002F590A" w:rsidRDefault="002F590A">
            <w:pPr>
              <w:rPr>
                <w:color w:val="000000"/>
                <w:sz w:val="14"/>
                <w:szCs w:val="14"/>
              </w:rPr>
            </w:pPr>
            <w:r>
              <w:rPr>
                <w:color w:val="000000"/>
                <w:sz w:val="14"/>
                <w:szCs w:val="14"/>
              </w:rPr>
              <w:t>588,29</w:t>
            </w:r>
          </w:p>
        </w:tc>
        <w:tc>
          <w:tcPr>
            <w:tcW w:w="7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2B9AC8E" w14:textId="77777777" w:rsidR="002F590A" w:rsidRDefault="002F590A">
            <w:pPr>
              <w:rPr>
                <w:color w:val="000000"/>
                <w:sz w:val="14"/>
                <w:szCs w:val="14"/>
              </w:rPr>
            </w:pPr>
            <w:r>
              <w:rPr>
                <w:color w:val="000000"/>
                <w:sz w:val="14"/>
                <w:szCs w:val="14"/>
              </w:rPr>
              <w:t>2 394,94</w:t>
            </w: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81D84B3" w14:textId="77777777" w:rsidR="002F590A" w:rsidRDefault="002F590A">
            <w:pPr>
              <w:rPr>
                <w:color w:val="000000"/>
                <w:sz w:val="14"/>
                <w:szCs w:val="14"/>
              </w:rPr>
            </w:pPr>
            <w:r>
              <w:rPr>
                <w:color w:val="000000"/>
                <w:sz w:val="14"/>
                <w:szCs w:val="14"/>
              </w:rPr>
              <w:t>528,90</w:t>
            </w:r>
          </w:p>
        </w:tc>
      </w:tr>
      <w:tr w:rsidR="002F590A" w14:paraId="7A4E540B" w14:textId="77777777" w:rsidTr="002F590A">
        <w:trPr>
          <w:trHeight w:val="20"/>
        </w:trPr>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0DD378B" w14:textId="77777777" w:rsidR="002F590A" w:rsidRDefault="002F590A">
            <w:pPr>
              <w:jc w:val="center"/>
              <w:rPr>
                <w:color w:val="000000"/>
                <w:sz w:val="14"/>
                <w:szCs w:val="14"/>
              </w:rPr>
            </w:pPr>
            <w:r>
              <w:rPr>
                <w:color w:val="000000"/>
                <w:sz w:val="14"/>
                <w:szCs w:val="14"/>
              </w:rPr>
              <w:t>1.1.</w:t>
            </w:r>
          </w:p>
        </w:tc>
        <w:tc>
          <w:tcPr>
            <w:tcW w:w="143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1A88C1D" w14:textId="77777777" w:rsidR="002F590A" w:rsidRDefault="002F590A">
            <w:pPr>
              <w:jc w:val="center"/>
              <w:rPr>
                <w:color w:val="000000"/>
                <w:sz w:val="14"/>
                <w:szCs w:val="14"/>
              </w:rPr>
            </w:pPr>
            <w:r>
              <w:rPr>
                <w:color w:val="000000"/>
                <w:sz w:val="14"/>
                <w:szCs w:val="14"/>
              </w:rPr>
              <w:t>амортизационные отчисления</w:t>
            </w:r>
          </w:p>
        </w:tc>
        <w:tc>
          <w:tcPr>
            <w:tcW w:w="6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A140C5B" w14:textId="77777777" w:rsidR="002F590A" w:rsidRDefault="002F590A">
            <w:pPr>
              <w:rPr>
                <w:color w:val="000000"/>
                <w:sz w:val="14"/>
                <w:szCs w:val="14"/>
              </w:rPr>
            </w:pPr>
            <w:r>
              <w:rPr>
                <w:color w:val="000000"/>
                <w:sz w:val="14"/>
                <w:szCs w:val="14"/>
              </w:rPr>
              <w:t>34 025,21</w:t>
            </w:r>
          </w:p>
        </w:tc>
        <w:tc>
          <w:tcPr>
            <w:tcW w:w="8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E2AAE0B" w14:textId="77777777" w:rsidR="002F590A" w:rsidRDefault="002F590A">
            <w:pPr>
              <w:rPr>
                <w:color w:val="000000"/>
                <w:sz w:val="14"/>
                <w:szCs w:val="14"/>
              </w:rPr>
            </w:pPr>
            <w:r>
              <w:rPr>
                <w:color w:val="000000"/>
                <w:sz w:val="14"/>
                <w:szCs w:val="14"/>
              </w:rPr>
              <w:t>34 025,21</w:t>
            </w: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6638B34" w14:textId="77777777" w:rsidR="002F590A" w:rsidRDefault="002F590A">
            <w:pPr>
              <w:rPr>
                <w:color w:val="000000"/>
                <w:sz w:val="14"/>
                <w:szCs w:val="14"/>
              </w:rPr>
            </w:pPr>
            <w:r>
              <w:rPr>
                <w:color w:val="000000"/>
                <w:sz w:val="14"/>
                <w:szCs w:val="14"/>
              </w:rPr>
              <w:t>3 505,53</w:t>
            </w:r>
          </w:p>
        </w:tc>
        <w:tc>
          <w:tcPr>
            <w:tcW w:w="7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3E00E01" w14:textId="77777777" w:rsidR="002F590A" w:rsidRDefault="002F590A">
            <w:pPr>
              <w:rPr>
                <w:color w:val="000000"/>
                <w:sz w:val="14"/>
                <w:szCs w:val="14"/>
              </w:rPr>
            </w:pPr>
            <w:r>
              <w:rPr>
                <w:color w:val="000000"/>
                <w:sz w:val="14"/>
                <w:szCs w:val="14"/>
              </w:rPr>
              <w:t>6 974,44</w:t>
            </w: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585F41C" w14:textId="77777777" w:rsidR="002F590A" w:rsidRDefault="002F590A">
            <w:pPr>
              <w:rPr>
                <w:color w:val="000000"/>
                <w:sz w:val="14"/>
                <w:szCs w:val="14"/>
              </w:rPr>
            </w:pPr>
            <w:r>
              <w:rPr>
                <w:color w:val="000000"/>
                <w:sz w:val="14"/>
                <w:szCs w:val="14"/>
              </w:rPr>
              <w:t>6 937,02</w:t>
            </w:r>
          </w:p>
        </w:tc>
        <w:tc>
          <w:tcPr>
            <w:tcW w:w="8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EF2B568" w14:textId="77777777" w:rsidR="002F590A" w:rsidRDefault="002F590A">
            <w:pPr>
              <w:rPr>
                <w:color w:val="000000"/>
                <w:sz w:val="14"/>
                <w:szCs w:val="14"/>
              </w:rPr>
            </w:pPr>
            <w:r>
              <w:rPr>
                <w:color w:val="000000"/>
                <w:sz w:val="14"/>
                <w:szCs w:val="14"/>
              </w:rPr>
              <w:t>3 206,71</w:t>
            </w: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0262B74" w14:textId="77777777" w:rsidR="002F590A" w:rsidRDefault="002F590A">
            <w:pPr>
              <w:rPr>
                <w:color w:val="000000"/>
                <w:sz w:val="14"/>
                <w:szCs w:val="14"/>
              </w:rPr>
            </w:pPr>
            <w:r>
              <w:rPr>
                <w:color w:val="000000"/>
                <w:sz w:val="14"/>
                <w:szCs w:val="14"/>
              </w:rPr>
              <w:t>3 290,02</w:t>
            </w: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35DBE5B" w14:textId="77777777" w:rsidR="002F590A" w:rsidRDefault="002F590A">
            <w:pPr>
              <w:rPr>
                <w:color w:val="000000"/>
                <w:sz w:val="14"/>
                <w:szCs w:val="14"/>
              </w:rPr>
            </w:pPr>
            <w:r>
              <w:rPr>
                <w:color w:val="000000"/>
                <w:sz w:val="14"/>
                <w:szCs w:val="14"/>
              </w:rPr>
              <w:t>4 207,05</w:t>
            </w:r>
          </w:p>
        </w:tc>
        <w:tc>
          <w:tcPr>
            <w:tcW w:w="7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E5C9242" w14:textId="77777777" w:rsidR="002F590A" w:rsidRDefault="002F590A">
            <w:pPr>
              <w:rPr>
                <w:color w:val="000000"/>
                <w:sz w:val="14"/>
                <w:szCs w:val="14"/>
              </w:rPr>
            </w:pPr>
            <w:r>
              <w:rPr>
                <w:color w:val="000000"/>
                <w:sz w:val="14"/>
                <w:szCs w:val="14"/>
              </w:rPr>
              <w:t>2 392,31</w:t>
            </w:r>
          </w:p>
        </w:tc>
        <w:tc>
          <w:tcPr>
            <w:tcW w:w="7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063D71A" w14:textId="77777777" w:rsidR="002F590A" w:rsidRDefault="002F590A">
            <w:pPr>
              <w:rPr>
                <w:color w:val="000000"/>
                <w:sz w:val="14"/>
                <w:szCs w:val="14"/>
              </w:rPr>
            </w:pPr>
            <w:r>
              <w:rPr>
                <w:color w:val="000000"/>
                <w:sz w:val="14"/>
                <w:szCs w:val="14"/>
              </w:rPr>
              <w:t>588,29</w:t>
            </w:r>
          </w:p>
        </w:tc>
        <w:tc>
          <w:tcPr>
            <w:tcW w:w="7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13FD438" w14:textId="77777777" w:rsidR="002F590A" w:rsidRDefault="002F590A">
            <w:pPr>
              <w:rPr>
                <w:color w:val="000000"/>
                <w:sz w:val="14"/>
                <w:szCs w:val="14"/>
              </w:rPr>
            </w:pPr>
            <w:r>
              <w:rPr>
                <w:color w:val="000000"/>
                <w:sz w:val="14"/>
                <w:szCs w:val="14"/>
              </w:rPr>
              <w:t>2 394,94</w:t>
            </w: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8BD1EAB" w14:textId="77777777" w:rsidR="002F590A" w:rsidRDefault="002F590A">
            <w:pPr>
              <w:rPr>
                <w:color w:val="000000"/>
                <w:sz w:val="14"/>
                <w:szCs w:val="14"/>
              </w:rPr>
            </w:pPr>
            <w:r>
              <w:rPr>
                <w:color w:val="000000"/>
                <w:sz w:val="14"/>
                <w:szCs w:val="14"/>
              </w:rPr>
              <w:t>528,90</w:t>
            </w:r>
          </w:p>
        </w:tc>
      </w:tr>
      <w:tr w:rsidR="002F590A" w14:paraId="3DE58779" w14:textId="77777777" w:rsidTr="002F590A">
        <w:trPr>
          <w:trHeight w:val="20"/>
        </w:trPr>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9FB269B" w14:textId="77777777" w:rsidR="002F590A" w:rsidRDefault="002F590A">
            <w:pPr>
              <w:jc w:val="center"/>
              <w:rPr>
                <w:color w:val="000000"/>
                <w:sz w:val="14"/>
                <w:szCs w:val="14"/>
              </w:rPr>
            </w:pPr>
            <w:r>
              <w:rPr>
                <w:color w:val="000000"/>
                <w:sz w:val="14"/>
                <w:szCs w:val="14"/>
              </w:rPr>
              <w:t>1.2.</w:t>
            </w:r>
          </w:p>
        </w:tc>
        <w:tc>
          <w:tcPr>
            <w:tcW w:w="143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304BE7C" w14:textId="77777777" w:rsidR="002F590A" w:rsidRDefault="002F590A">
            <w:pPr>
              <w:jc w:val="center"/>
              <w:rPr>
                <w:color w:val="000000"/>
                <w:sz w:val="14"/>
                <w:szCs w:val="14"/>
              </w:rPr>
            </w:pPr>
            <w:r>
              <w:rPr>
                <w:color w:val="000000"/>
                <w:sz w:val="14"/>
                <w:szCs w:val="14"/>
              </w:rPr>
              <w:t>прибыль, направленная на инвестиции</w:t>
            </w:r>
          </w:p>
        </w:tc>
        <w:tc>
          <w:tcPr>
            <w:tcW w:w="6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80C5B0A" w14:textId="77777777" w:rsidR="002F590A" w:rsidRDefault="002F590A">
            <w:pPr>
              <w:rPr>
                <w:color w:val="000000"/>
                <w:sz w:val="14"/>
                <w:szCs w:val="14"/>
              </w:rPr>
            </w:pPr>
            <w:r>
              <w:rPr>
                <w:color w:val="000000"/>
                <w:sz w:val="14"/>
                <w:szCs w:val="14"/>
              </w:rPr>
              <w:t>2 524,50</w:t>
            </w:r>
          </w:p>
        </w:tc>
        <w:tc>
          <w:tcPr>
            <w:tcW w:w="8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D0D46C1" w14:textId="77777777" w:rsidR="002F590A" w:rsidRDefault="002F590A">
            <w:pPr>
              <w:rPr>
                <w:color w:val="000000"/>
                <w:sz w:val="14"/>
                <w:szCs w:val="14"/>
              </w:rPr>
            </w:pPr>
            <w:r>
              <w:rPr>
                <w:color w:val="000000"/>
                <w:sz w:val="14"/>
                <w:szCs w:val="14"/>
              </w:rPr>
              <w:t>0,00</w:t>
            </w: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16035D3" w14:textId="77777777" w:rsidR="002F590A" w:rsidRDefault="002F590A">
            <w:pPr>
              <w:rPr>
                <w:color w:val="000000"/>
                <w:sz w:val="14"/>
                <w:szCs w:val="14"/>
              </w:rPr>
            </w:pPr>
            <w:r>
              <w:rPr>
                <w:color w:val="000000"/>
                <w:sz w:val="14"/>
                <w:szCs w:val="14"/>
              </w:rPr>
              <w:t>0,00</w:t>
            </w:r>
          </w:p>
        </w:tc>
        <w:tc>
          <w:tcPr>
            <w:tcW w:w="70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42FDC614" w14:textId="77777777" w:rsidR="002F590A" w:rsidRDefault="002F590A">
            <w:pPr>
              <w:rPr>
                <w:color w:val="000000"/>
                <w:sz w:val="14"/>
                <w:szCs w:val="14"/>
              </w:rPr>
            </w:pPr>
            <w:r>
              <w:rPr>
                <w:color w:val="000000"/>
                <w:sz w:val="14"/>
                <w:szCs w:val="14"/>
              </w:rPr>
              <w:t>2 524,50</w:t>
            </w: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CA4D2B9" w14:textId="77777777" w:rsidR="002F590A" w:rsidRDefault="002F590A">
            <w:pPr>
              <w:rPr>
                <w:color w:val="000000"/>
                <w:sz w:val="14"/>
                <w:szCs w:val="14"/>
              </w:rPr>
            </w:pPr>
            <w:r>
              <w:rPr>
                <w:color w:val="000000"/>
                <w:sz w:val="14"/>
                <w:szCs w:val="14"/>
              </w:rPr>
              <w:t>0,00</w:t>
            </w:r>
          </w:p>
        </w:tc>
        <w:tc>
          <w:tcPr>
            <w:tcW w:w="8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A34B46F" w14:textId="77777777" w:rsidR="002F590A" w:rsidRDefault="002F590A">
            <w:pPr>
              <w:rPr>
                <w:color w:val="000000"/>
                <w:sz w:val="14"/>
                <w:szCs w:val="14"/>
              </w:rPr>
            </w:pPr>
            <w:r>
              <w:rPr>
                <w:color w:val="000000"/>
                <w:sz w:val="14"/>
                <w:szCs w:val="14"/>
              </w:rPr>
              <w:t>0,00</w:t>
            </w: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2FAED20" w14:textId="77777777" w:rsidR="002F590A" w:rsidRDefault="002F590A">
            <w:pPr>
              <w:rPr>
                <w:color w:val="000000"/>
                <w:sz w:val="14"/>
                <w:szCs w:val="14"/>
              </w:rPr>
            </w:pPr>
            <w:r>
              <w:rPr>
                <w:color w:val="000000"/>
                <w:sz w:val="14"/>
                <w:szCs w:val="14"/>
              </w:rPr>
              <w:t>0,00</w:t>
            </w: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F67C68D" w14:textId="77777777" w:rsidR="002F590A" w:rsidRDefault="002F590A">
            <w:pPr>
              <w:rPr>
                <w:color w:val="000000"/>
                <w:sz w:val="14"/>
                <w:szCs w:val="14"/>
              </w:rPr>
            </w:pPr>
            <w:r>
              <w:rPr>
                <w:color w:val="000000"/>
                <w:sz w:val="14"/>
                <w:szCs w:val="14"/>
              </w:rPr>
              <w:t>0,00</w:t>
            </w:r>
          </w:p>
        </w:tc>
        <w:tc>
          <w:tcPr>
            <w:tcW w:w="7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B391EEF" w14:textId="77777777" w:rsidR="002F590A" w:rsidRDefault="002F590A">
            <w:pPr>
              <w:rPr>
                <w:color w:val="000000"/>
                <w:sz w:val="14"/>
                <w:szCs w:val="14"/>
              </w:rPr>
            </w:pPr>
            <w:r>
              <w:rPr>
                <w:color w:val="000000"/>
                <w:sz w:val="14"/>
                <w:szCs w:val="14"/>
              </w:rPr>
              <w:t>0,00</w:t>
            </w:r>
          </w:p>
        </w:tc>
        <w:tc>
          <w:tcPr>
            <w:tcW w:w="7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9649FA6" w14:textId="77777777" w:rsidR="002F590A" w:rsidRDefault="002F590A">
            <w:pPr>
              <w:rPr>
                <w:color w:val="000000"/>
                <w:sz w:val="14"/>
                <w:szCs w:val="14"/>
              </w:rPr>
            </w:pPr>
            <w:r>
              <w:rPr>
                <w:color w:val="000000"/>
                <w:sz w:val="14"/>
                <w:szCs w:val="14"/>
              </w:rPr>
              <w:t>0,00</w:t>
            </w:r>
          </w:p>
        </w:tc>
        <w:tc>
          <w:tcPr>
            <w:tcW w:w="7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44D8190" w14:textId="77777777" w:rsidR="002F590A" w:rsidRDefault="002F590A">
            <w:pPr>
              <w:rPr>
                <w:color w:val="000000"/>
                <w:sz w:val="14"/>
                <w:szCs w:val="14"/>
              </w:rPr>
            </w:pPr>
            <w:r>
              <w:rPr>
                <w:color w:val="000000"/>
                <w:sz w:val="14"/>
                <w:szCs w:val="14"/>
              </w:rPr>
              <w:t>0,00</w:t>
            </w: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C705E7C" w14:textId="77777777" w:rsidR="002F590A" w:rsidRDefault="002F590A">
            <w:pPr>
              <w:rPr>
                <w:color w:val="000000"/>
                <w:sz w:val="14"/>
                <w:szCs w:val="14"/>
              </w:rPr>
            </w:pPr>
            <w:r>
              <w:rPr>
                <w:color w:val="000000"/>
                <w:sz w:val="14"/>
                <w:szCs w:val="14"/>
              </w:rPr>
              <w:t>0,00</w:t>
            </w:r>
          </w:p>
        </w:tc>
      </w:tr>
      <w:tr w:rsidR="002F590A" w14:paraId="0F6F6CD8" w14:textId="77777777" w:rsidTr="002F590A">
        <w:trPr>
          <w:trHeight w:val="20"/>
        </w:trPr>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98B114A" w14:textId="77777777" w:rsidR="002F590A" w:rsidRDefault="002F590A">
            <w:pPr>
              <w:jc w:val="center"/>
              <w:rPr>
                <w:color w:val="000000"/>
                <w:sz w:val="14"/>
                <w:szCs w:val="14"/>
              </w:rPr>
            </w:pPr>
            <w:r>
              <w:rPr>
                <w:color w:val="000000"/>
                <w:sz w:val="14"/>
                <w:szCs w:val="14"/>
              </w:rPr>
              <w:t>1.3.</w:t>
            </w:r>
          </w:p>
        </w:tc>
        <w:tc>
          <w:tcPr>
            <w:tcW w:w="143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722FFAD" w14:textId="77777777" w:rsidR="002F590A" w:rsidRDefault="002F590A">
            <w:pPr>
              <w:jc w:val="center"/>
              <w:rPr>
                <w:color w:val="000000"/>
                <w:sz w:val="14"/>
                <w:szCs w:val="14"/>
              </w:rPr>
            </w:pPr>
            <w:r>
              <w:rPr>
                <w:color w:val="000000"/>
                <w:sz w:val="14"/>
                <w:szCs w:val="14"/>
              </w:rPr>
              <w:t>средства, полученные за счет платы за подключение</w:t>
            </w:r>
          </w:p>
        </w:tc>
        <w:tc>
          <w:tcPr>
            <w:tcW w:w="69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14:paraId="74B767BC" w14:textId="77777777" w:rsidR="002F590A" w:rsidRDefault="002F590A">
            <w:pPr>
              <w:rPr>
                <w:color w:val="000000"/>
                <w:sz w:val="14"/>
                <w:szCs w:val="14"/>
              </w:rPr>
            </w:pPr>
            <w:r>
              <w:rPr>
                <w:color w:val="000000"/>
                <w:sz w:val="14"/>
                <w:szCs w:val="14"/>
              </w:rPr>
              <w:t>0,00</w:t>
            </w:r>
          </w:p>
        </w:tc>
        <w:tc>
          <w:tcPr>
            <w:tcW w:w="8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14:paraId="3B1399F9" w14:textId="77777777" w:rsidR="002F590A" w:rsidRDefault="002F590A">
            <w:pPr>
              <w:rPr>
                <w:color w:val="000000"/>
                <w:sz w:val="14"/>
                <w:szCs w:val="14"/>
              </w:rPr>
            </w:pPr>
            <w:r>
              <w:rPr>
                <w:color w:val="000000"/>
                <w:sz w:val="14"/>
                <w:szCs w:val="14"/>
              </w:rPr>
              <w:t>0,00</w:t>
            </w:r>
          </w:p>
        </w:tc>
        <w:tc>
          <w:tcPr>
            <w:tcW w:w="85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14:paraId="7A06B6E7" w14:textId="77777777" w:rsidR="002F590A" w:rsidRDefault="002F590A">
            <w:pPr>
              <w:rPr>
                <w:color w:val="000000"/>
                <w:sz w:val="14"/>
                <w:szCs w:val="14"/>
              </w:rPr>
            </w:pPr>
            <w:r>
              <w:rPr>
                <w:color w:val="000000"/>
                <w:sz w:val="14"/>
                <w:szCs w:val="14"/>
              </w:rPr>
              <w:t>0,00</w:t>
            </w:r>
          </w:p>
        </w:tc>
        <w:tc>
          <w:tcPr>
            <w:tcW w:w="70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6EA3A6C3" w14:textId="77777777" w:rsidR="002F590A" w:rsidRDefault="002F590A">
            <w:pPr>
              <w:rPr>
                <w:color w:val="000000"/>
                <w:sz w:val="14"/>
                <w:szCs w:val="14"/>
              </w:rPr>
            </w:pPr>
            <w:r>
              <w:rPr>
                <w:color w:val="000000"/>
                <w:sz w:val="14"/>
                <w:szCs w:val="14"/>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174187F2" w14:textId="77777777" w:rsidR="002F590A" w:rsidRDefault="002F590A">
            <w:pPr>
              <w:rPr>
                <w:color w:val="000000"/>
                <w:sz w:val="14"/>
                <w:szCs w:val="14"/>
              </w:rPr>
            </w:pPr>
            <w:r>
              <w:rPr>
                <w:color w:val="000000"/>
                <w:sz w:val="14"/>
                <w:szCs w:val="14"/>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48090131" w14:textId="77777777" w:rsidR="002F590A" w:rsidRDefault="002F590A">
            <w:pPr>
              <w:rPr>
                <w:color w:val="000000"/>
                <w:sz w:val="14"/>
                <w:szCs w:val="14"/>
              </w:rPr>
            </w:pPr>
            <w:r>
              <w:rPr>
                <w:color w:val="000000"/>
                <w:sz w:val="14"/>
                <w:szCs w:val="14"/>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1C7F8A12" w14:textId="77777777" w:rsidR="002F590A" w:rsidRDefault="002F590A">
            <w:pPr>
              <w:rPr>
                <w:color w:val="000000"/>
                <w:sz w:val="14"/>
                <w:szCs w:val="14"/>
              </w:rPr>
            </w:pPr>
            <w:r>
              <w:rPr>
                <w:color w:val="000000"/>
                <w:sz w:val="14"/>
                <w:szCs w:val="14"/>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63E0A323" w14:textId="77777777" w:rsidR="002F590A" w:rsidRDefault="002F590A">
            <w:pPr>
              <w:rPr>
                <w:color w:val="000000"/>
                <w:sz w:val="14"/>
                <w:szCs w:val="14"/>
              </w:rPr>
            </w:pPr>
            <w:r>
              <w:rPr>
                <w:color w:val="000000"/>
                <w:sz w:val="14"/>
                <w:szCs w:val="14"/>
              </w:rPr>
              <w:t>0,00</w:t>
            </w:r>
          </w:p>
        </w:tc>
        <w:tc>
          <w:tcPr>
            <w:tcW w:w="70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3BDF644F" w14:textId="77777777" w:rsidR="002F590A" w:rsidRDefault="002F590A">
            <w:pPr>
              <w:rPr>
                <w:color w:val="000000"/>
                <w:sz w:val="14"/>
                <w:szCs w:val="14"/>
              </w:rPr>
            </w:pPr>
            <w:r>
              <w:rPr>
                <w:color w:val="000000"/>
                <w:sz w:val="14"/>
                <w:szCs w:val="14"/>
              </w:rPr>
              <w:t>0,00</w:t>
            </w:r>
          </w:p>
        </w:tc>
        <w:tc>
          <w:tcPr>
            <w:tcW w:w="70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04180870" w14:textId="77777777" w:rsidR="002F590A" w:rsidRDefault="002F590A">
            <w:pPr>
              <w:rPr>
                <w:color w:val="000000"/>
                <w:sz w:val="14"/>
                <w:szCs w:val="14"/>
              </w:rPr>
            </w:pPr>
            <w:r>
              <w:rPr>
                <w:color w:val="000000"/>
                <w:sz w:val="14"/>
                <w:szCs w:val="14"/>
              </w:rPr>
              <w:t>0,00</w:t>
            </w:r>
          </w:p>
        </w:tc>
        <w:tc>
          <w:tcPr>
            <w:tcW w:w="711"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29086D15" w14:textId="77777777" w:rsidR="002F590A" w:rsidRDefault="002F590A">
            <w:pPr>
              <w:rPr>
                <w:color w:val="000000"/>
                <w:sz w:val="14"/>
                <w:szCs w:val="14"/>
              </w:rPr>
            </w:pPr>
            <w:r>
              <w:rPr>
                <w:color w:val="000000"/>
                <w:sz w:val="14"/>
                <w:szCs w:val="14"/>
              </w:rPr>
              <w:t>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434D818A" w14:textId="77777777" w:rsidR="002F590A" w:rsidRDefault="002F590A">
            <w:pPr>
              <w:rPr>
                <w:color w:val="000000"/>
                <w:sz w:val="14"/>
                <w:szCs w:val="14"/>
              </w:rPr>
            </w:pPr>
            <w:r>
              <w:rPr>
                <w:color w:val="000000"/>
                <w:sz w:val="14"/>
                <w:szCs w:val="14"/>
              </w:rPr>
              <w:t>0,00</w:t>
            </w:r>
          </w:p>
        </w:tc>
      </w:tr>
      <w:tr w:rsidR="002F590A" w14:paraId="2C92DA4B" w14:textId="77777777" w:rsidTr="002F590A">
        <w:trPr>
          <w:trHeight w:val="20"/>
        </w:trPr>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0AF488D" w14:textId="77777777" w:rsidR="002F590A" w:rsidRDefault="002F590A">
            <w:pPr>
              <w:jc w:val="center"/>
              <w:rPr>
                <w:color w:val="000000"/>
                <w:sz w:val="14"/>
                <w:szCs w:val="14"/>
              </w:rPr>
            </w:pPr>
            <w:r>
              <w:rPr>
                <w:color w:val="000000"/>
                <w:sz w:val="14"/>
                <w:szCs w:val="14"/>
              </w:rPr>
              <w:t>1.4.</w:t>
            </w:r>
          </w:p>
        </w:tc>
        <w:tc>
          <w:tcPr>
            <w:tcW w:w="143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F7F17E6" w14:textId="77777777" w:rsidR="002F590A" w:rsidRDefault="002F590A">
            <w:pPr>
              <w:jc w:val="center"/>
              <w:rPr>
                <w:color w:val="000000"/>
                <w:sz w:val="14"/>
                <w:szCs w:val="14"/>
              </w:rPr>
            </w:pPr>
            <w:r>
              <w:rPr>
                <w:color w:val="000000"/>
                <w:sz w:val="14"/>
                <w:szCs w:val="14"/>
              </w:rPr>
              <w:t>прочие собственные средства, в т.ч. средства от эмиссии ценных бумаг</w:t>
            </w:r>
          </w:p>
        </w:tc>
        <w:tc>
          <w:tcPr>
            <w:tcW w:w="6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9C4A1C0" w14:textId="77777777" w:rsidR="002F590A" w:rsidRDefault="002F590A">
            <w:pPr>
              <w:rPr>
                <w:color w:val="000000"/>
                <w:sz w:val="14"/>
                <w:szCs w:val="14"/>
              </w:rPr>
            </w:pPr>
            <w:r>
              <w:rPr>
                <w:color w:val="000000"/>
                <w:sz w:val="14"/>
                <w:szCs w:val="14"/>
              </w:rPr>
              <w:t>0,00</w:t>
            </w:r>
          </w:p>
        </w:tc>
        <w:tc>
          <w:tcPr>
            <w:tcW w:w="8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77E42BA" w14:textId="77777777" w:rsidR="002F590A" w:rsidRDefault="002F590A">
            <w:pPr>
              <w:rPr>
                <w:color w:val="000000"/>
                <w:sz w:val="14"/>
                <w:szCs w:val="14"/>
              </w:rPr>
            </w:pPr>
            <w:r>
              <w:rPr>
                <w:color w:val="000000"/>
                <w:sz w:val="14"/>
                <w:szCs w:val="14"/>
              </w:rPr>
              <w:t>0,00</w:t>
            </w: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1D2BCB4" w14:textId="77777777" w:rsidR="002F590A" w:rsidRDefault="002F590A">
            <w:pPr>
              <w:rPr>
                <w:color w:val="000000"/>
                <w:sz w:val="14"/>
                <w:szCs w:val="14"/>
              </w:rPr>
            </w:pPr>
            <w:r>
              <w:rPr>
                <w:color w:val="000000"/>
                <w:sz w:val="14"/>
                <w:szCs w:val="14"/>
              </w:rPr>
              <w:t>0,00</w:t>
            </w:r>
          </w:p>
        </w:tc>
        <w:tc>
          <w:tcPr>
            <w:tcW w:w="70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0C9E04C9" w14:textId="77777777" w:rsidR="002F590A" w:rsidRDefault="002F590A">
            <w:pPr>
              <w:rPr>
                <w:color w:val="000000"/>
                <w:sz w:val="14"/>
                <w:szCs w:val="14"/>
              </w:rPr>
            </w:pPr>
            <w:r>
              <w:rPr>
                <w:color w:val="000000"/>
                <w:sz w:val="14"/>
                <w:szCs w:val="14"/>
              </w:rPr>
              <w:t>0,00</w:t>
            </w: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52A39C3" w14:textId="77777777" w:rsidR="002F590A" w:rsidRDefault="002F590A">
            <w:pPr>
              <w:rPr>
                <w:color w:val="000000"/>
                <w:sz w:val="14"/>
                <w:szCs w:val="14"/>
              </w:rPr>
            </w:pPr>
            <w:r>
              <w:rPr>
                <w:color w:val="000000"/>
                <w:sz w:val="14"/>
                <w:szCs w:val="14"/>
              </w:rPr>
              <w:t>0,00</w:t>
            </w:r>
          </w:p>
        </w:tc>
        <w:tc>
          <w:tcPr>
            <w:tcW w:w="8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FF6B4C9" w14:textId="77777777" w:rsidR="002F590A" w:rsidRDefault="002F590A">
            <w:pPr>
              <w:rPr>
                <w:color w:val="000000"/>
                <w:sz w:val="14"/>
                <w:szCs w:val="14"/>
              </w:rPr>
            </w:pPr>
            <w:r>
              <w:rPr>
                <w:color w:val="000000"/>
                <w:sz w:val="14"/>
                <w:szCs w:val="14"/>
              </w:rPr>
              <w:t>0,00</w:t>
            </w: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6827480" w14:textId="77777777" w:rsidR="002F590A" w:rsidRDefault="002F590A">
            <w:pPr>
              <w:rPr>
                <w:color w:val="000000"/>
                <w:sz w:val="14"/>
                <w:szCs w:val="14"/>
              </w:rPr>
            </w:pPr>
            <w:r>
              <w:rPr>
                <w:color w:val="000000"/>
                <w:sz w:val="14"/>
                <w:szCs w:val="14"/>
              </w:rPr>
              <w:t>0,00</w:t>
            </w: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5BC1CD5" w14:textId="77777777" w:rsidR="002F590A" w:rsidRDefault="002F590A">
            <w:pPr>
              <w:rPr>
                <w:color w:val="000000"/>
                <w:sz w:val="14"/>
                <w:szCs w:val="14"/>
              </w:rPr>
            </w:pPr>
            <w:r>
              <w:rPr>
                <w:color w:val="000000"/>
                <w:sz w:val="14"/>
                <w:szCs w:val="14"/>
              </w:rPr>
              <w:t>0,00</w:t>
            </w:r>
          </w:p>
        </w:tc>
        <w:tc>
          <w:tcPr>
            <w:tcW w:w="7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CAAD20C" w14:textId="77777777" w:rsidR="002F590A" w:rsidRDefault="002F590A">
            <w:pPr>
              <w:rPr>
                <w:color w:val="000000"/>
                <w:sz w:val="14"/>
                <w:szCs w:val="14"/>
              </w:rPr>
            </w:pPr>
            <w:r>
              <w:rPr>
                <w:color w:val="000000"/>
                <w:sz w:val="14"/>
                <w:szCs w:val="14"/>
              </w:rPr>
              <w:t>0,00</w:t>
            </w:r>
          </w:p>
        </w:tc>
        <w:tc>
          <w:tcPr>
            <w:tcW w:w="7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048F8D2" w14:textId="77777777" w:rsidR="002F590A" w:rsidRDefault="002F590A">
            <w:pPr>
              <w:rPr>
                <w:color w:val="000000"/>
                <w:sz w:val="14"/>
                <w:szCs w:val="14"/>
              </w:rPr>
            </w:pPr>
            <w:r>
              <w:rPr>
                <w:color w:val="000000"/>
                <w:sz w:val="14"/>
                <w:szCs w:val="14"/>
              </w:rPr>
              <w:t>0,00</w:t>
            </w:r>
          </w:p>
        </w:tc>
        <w:tc>
          <w:tcPr>
            <w:tcW w:w="7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A7E3755" w14:textId="77777777" w:rsidR="002F590A" w:rsidRDefault="002F590A">
            <w:pPr>
              <w:rPr>
                <w:color w:val="000000"/>
                <w:sz w:val="14"/>
                <w:szCs w:val="14"/>
              </w:rPr>
            </w:pPr>
            <w:r>
              <w:rPr>
                <w:color w:val="000000"/>
                <w:sz w:val="14"/>
                <w:szCs w:val="14"/>
              </w:rPr>
              <w:t>0,00</w:t>
            </w: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71D5D59" w14:textId="77777777" w:rsidR="002F590A" w:rsidRDefault="002F590A">
            <w:pPr>
              <w:rPr>
                <w:color w:val="000000"/>
                <w:sz w:val="14"/>
                <w:szCs w:val="14"/>
              </w:rPr>
            </w:pPr>
            <w:r>
              <w:rPr>
                <w:color w:val="000000"/>
                <w:sz w:val="14"/>
                <w:szCs w:val="14"/>
              </w:rPr>
              <w:t>0,00</w:t>
            </w:r>
          </w:p>
        </w:tc>
      </w:tr>
      <w:tr w:rsidR="002F590A" w14:paraId="3EEF93A8" w14:textId="77777777" w:rsidTr="002F590A">
        <w:trPr>
          <w:trHeight w:val="20"/>
        </w:trPr>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8CD37F7" w14:textId="77777777" w:rsidR="002F590A" w:rsidRDefault="002F590A">
            <w:pPr>
              <w:jc w:val="center"/>
              <w:rPr>
                <w:color w:val="000000"/>
                <w:sz w:val="14"/>
                <w:szCs w:val="14"/>
              </w:rPr>
            </w:pPr>
            <w:r>
              <w:rPr>
                <w:color w:val="000000"/>
                <w:sz w:val="14"/>
                <w:szCs w:val="14"/>
              </w:rPr>
              <w:t xml:space="preserve">   2.</w:t>
            </w:r>
          </w:p>
        </w:tc>
        <w:tc>
          <w:tcPr>
            <w:tcW w:w="143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3E8D038" w14:textId="77777777" w:rsidR="002F590A" w:rsidRDefault="002F590A">
            <w:pPr>
              <w:jc w:val="center"/>
              <w:rPr>
                <w:color w:val="000000"/>
                <w:sz w:val="14"/>
                <w:szCs w:val="14"/>
              </w:rPr>
            </w:pPr>
            <w:r>
              <w:rPr>
                <w:color w:val="000000"/>
                <w:sz w:val="14"/>
                <w:szCs w:val="14"/>
              </w:rPr>
              <w:t>Привлеченные средства</w:t>
            </w:r>
          </w:p>
        </w:tc>
        <w:tc>
          <w:tcPr>
            <w:tcW w:w="6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588A921" w14:textId="77777777" w:rsidR="002F590A" w:rsidRDefault="002F590A">
            <w:pPr>
              <w:rPr>
                <w:color w:val="000000"/>
                <w:sz w:val="14"/>
                <w:szCs w:val="14"/>
              </w:rPr>
            </w:pPr>
            <w:r>
              <w:rPr>
                <w:color w:val="000000"/>
                <w:sz w:val="14"/>
                <w:szCs w:val="14"/>
              </w:rPr>
              <w:t>0,00</w:t>
            </w:r>
          </w:p>
        </w:tc>
        <w:tc>
          <w:tcPr>
            <w:tcW w:w="8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6CD42B3" w14:textId="77777777" w:rsidR="002F590A" w:rsidRDefault="002F590A">
            <w:pPr>
              <w:rPr>
                <w:color w:val="000000"/>
                <w:sz w:val="14"/>
                <w:szCs w:val="14"/>
              </w:rPr>
            </w:pPr>
            <w:r>
              <w:rPr>
                <w:color w:val="000000"/>
                <w:sz w:val="14"/>
                <w:szCs w:val="14"/>
              </w:rPr>
              <w:t>0,00</w:t>
            </w: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B8497CE" w14:textId="77777777" w:rsidR="002F590A" w:rsidRDefault="002F590A">
            <w:pPr>
              <w:rPr>
                <w:color w:val="000000"/>
                <w:sz w:val="14"/>
                <w:szCs w:val="14"/>
              </w:rPr>
            </w:pPr>
            <w:r>
              <w:rPr>
                <w:color w:val="000000"/>
                <w:sz w:val="14"/>
                <w:szCs w:val="14"/>
              </w:rPr>
              <w:t>0,00</w:t>
            </w:r>
          </w:p>
        </w:tc>
        <w:tc>
          <w:tcPr>
            <w:tcW w:w="70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38C09E51" w14:textId="77777777" w:rsidR="002F590A" w:rsidRDefault="002F590A">
            <w:pPr>
              <w:rPr>
                <w:color w:val="000000"/>
                <w:sz w:val="14"/>
                <w:szCs w:val="14"/>
              </w:rPr>
            </w:pPr>
            <w:r>
              <w:rPr>
                <w:color w:val="000000"/>
                <w:sz w:val="14"/>
                <w:szCs w:val="14"/>
              </w:rPr>
              <w:t>0,00</w:t>
            </w: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0865328" w14:textId="77777777" w:rsidR="002F590A" w:rsidRDefault="002F590A">
            <w:pPr>
              <w:rPr>
                <w:color w:val="000000"/>
                <w:sz w:val="14"/>
                <w:szCs w:val="14"/>
              </w:rPr>
            </w:pPr>
            <w:r>
              <w:rPr>
                <w:color w:val="000000"/>
                <w:sz w:val="14"/>
                <w:szCs w:val="14"/>
              </w:rPr>
              <w:t>0,00</w:t>
            </w:r>
          </w:p>
        </w:tc>
        <w:tc>
          <w:tcPr>
            <w:tcW w:w="8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C30F52E" w14:textId="77777777" w:rsidR="002F590A" w:rsidRDefault="002F590A">
            <w:pPr>
              <w:rPr>
                <w:color w:val="000000"/>
                <w:sz w:val="14"/>
                <w:szCs w:val="14"/>
              </w:rPr>
            </w:pPr>
            <w:r>
              <w:rPr>
                <w:color w:val="000000"/>
                <w:sz w:val="14"/>
                <w:szCs w:val="14"/>
              </w:rPr>
              <w:t>0,00</w:t>
            </w: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D3AC2C6" w14:textId="77777777" w:rsidR="002F590A" w:rsidRDefault="002F590A">
            <w:pPr>
              <w:rPr>
                <w:color w:val="000000"/>
                <w:sz w:val="14"/>
                <w:szCs w:val="14"/>
              </w:rPr>
            </w:pPr>
            <w:r>
              <w:rPr>
                <w:color w:val="000000"/>
                <w:sz w:val="14"/>
                <w:szCs w:val="14"/>
              </w:rPr>
              <w:t>0,00</w:t>
            </w: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24EF056" w14:textId="77777777" w:rsidR="002F590A" w:rsidRDefault="002F590A">
            <w:pPr>
              <w:rPr>
                <w:color w:val="000000"/>
                <w:sz w:val="14"/>
                <w:szCs w:val="14"/>
              </w:rPr>
            </w:pPr>
            <w:r>
              <w:rPr>
                <w:color w:val="000000"/>
                <w:sz w:val="14"/>
                <w:szCs w:val="14"/>
              </w:rPr>
              <w:t>0,00</w:t>
            </w:r>
          </w:p>
        </w:tc>
        <w:tc>
          <w:tcPr>
            <w:tcW w:w="7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966D4E1" w14:textId="77777777" w:rsidR="002F590A" w:rsidRDefault="002F590A">
            <w:pPr>
              <w:rPr>
                <w:color w:val="000000"/>
                <w:sz w:val="14"/>
                <w:szCs w:val="14"/>
              </w:rPr>
            </w:pPr>
            <w:r>
              <w:rPr>
                <w:color w:val="000000"/>
                <w:sz w:val="14"/>
                <w:szCs w:val="14"/>
              </w:rPr>
              <w:t>0,00</w:t>
            </w:r>
          </w:p>
        </w:tc>
        <w:tc>
          <w:tcPr>
            <w:tcW w:w="7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9019A14" w14:textId="77777777" w:rsidR="002F590A" w:rsidRDefault="002F590A">
            <w:pPr>
              <w:rPr>
                <w:color w:val="000000"/>
                <w:sz w:val="14"/>
                <w:szCs w:val="14"/>
              </w:rPr>
            </w:pPr>
            <w:r>
              <w:rPr>
                <w:color w:val="000000"/>
                <w:sz w:val="14"/>
                <w:szCs w:val="14"/>
              </w:rPr>
              <w:t>0,00</w:t>
            </w:r>
          </w:p>
        </w:tc>
        <w:tc>
          <w:tcPr>
            <w:tcW w:w="7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D8098AE" w14:textId="77777777" w:rsidR="002F590A" w:rsidRDefault="002F590A">
            <w:pPr>
              <w:rPr>
                <w:color w:val="000000"/>
                <w:sz w:val="14"/>
                <w:szCs w:val="14"/>
              </w:rPr>
            </w:pPr>
            <w:r>
              <w:rPr>
                <w:color w:val="000000"/>
                <w:sz w:val="14"/>
                <w:szCs w:val="14"/>
              </w:rPr>
              <w:t>0,00</w:t>
            </w: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96E1384" w14:textId="77777777" w:rsidR="002F590A" w:rsidRDefault="002F590A">
            <w:pPr>
              <w:rPr>
                <w:color w:val="000000"/>
                <w:sz w:val="14"/>
                <w:szCs w:val="14"/>
              </w:rPr>
            </w:pPr>
            <w:r>
              <w:rPr>
                <w:color w:val="000000"/>
                <w:sz w:val="14"/>
                <w:szCs w:val="14"/>
              </w:rPr>
              <w:t>0,00</w:t>
            </w:r>
          </w:p>
        </w:tc>
      </w:tr>
      <w:tr w:rsidR="002F590A" w14:paraId="5E708A05" w14:textId="77777777" w:rsidTr="002F590A">
        <w:trPr>
          <w:trHeight w:val="20"/>
        </w:trPr>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80072AB" w14:textId="77777777" w:rsidR="002F590A" w:rsidRDefault="002F590A">
            <w:pPr>
              <w:jc w:val="center"/>
              <w:rPr>
                <w:color w:val="000000"/>
                <w:sz w:val="14"/>
                <w:szCs w:val="14"/>
              </w:rPr>
            </w:pPr>
            <w:r>
              <w:rPr>
                <w:color w:val="000000"/>
                <w:sz w:val="14"/>
                <w:szCs w:val="14"/>
              </w:rPr>
              <w:t>2.1.</w:t>
            </w:r>
          </w:p>
        </w:tc>
        <w:tc>
          <w:tcPr>
            <w:tcW w:w="143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43BCD69" w14:textId="77777777" w:rsidR="002F590A" w:rsidRDefault="002F590A">
            <w:pPr>
              <w:jc w:val="center"/>
              <w:rPr>
                <w:color w:val="000000"/>
                <w:sz w:val="14"/>
                <w:szCs w:val="14"/>
              </w:rPr>
            </w:pPr>
            <w:r>
              <w:rPr>
                <w:color w:val="000000"/>
                <w:sz w:val="14"/>
                <w:szCs w:val="14"/>
              </w:rPr>
              <w:t>кредиты</w:t>
            </w:r>
          </w:p>
        </w:tc>
        <w:tc>
          <w:tcPr>
            <w:tcW w:w="6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543ECF7" w14:textId="77777777" w:rsidR="002F590A" w:rsidRDefault="002F590A">
            <w:pPr>
              <w:rPr>
                <w:color w:val="000000"/>
                <w:sz w:val="14"/>
                <w:szCs w:val="14"/>
              </w:rPr>
            </w:pPr>
            <w:r>
              <w:rPr>
                <w:color w:val="000000"/>
                <w:sz w:val="14"/>
                <w:szCs w:val="14"/>
              </w:rPr>
              <w:t>0,00</w:t>
            </w:r>
          </w:p>
        </w:tc>
        <w:tc>
          <w:tcPr>
            <w:tcW w:w="8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9E6A5EF" w14:textId="77777777" w:rsidR="002F590A" w:rsidRDefault="002F590A">
            <w:pPr>
              <w:rPr>
                <w:color w:val="000000"/>
                <w:sz w:val="14"/>
                <w:szCs w:val="14"/>
              </w:rPr>
            </w:pPr>
            <w:r>
              <w:rPr>
                <w:color w:val="000000"/>
                <w:sz w:val="14"/>
                <w:szCs w:val="14"/>
              </w:rPr>
              <w:t>0,00</w:t>
            </w: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0789260" w14:textId="77777777" w:rsidR="002F590A" w:rsidRDefault="002F590A">
            <w:pPr>
              <w:rPr>
                <w:color w:val="000000"/>
                <w:sz w:val="14"/>
                <w:szCs w:val="14"/>
              </w:rPr>
            </w:pPr>
            <w:r>
              <w:rPr>
                <w:color w:val="000000"/>
                <w:sz w:val="14"/>
                <w:szCs w:val="14"/>
              </w:rPr>
              <w:t>0,00</w:t>
            </w:r>
          </w:p>
        </w:tc>
        <w:tc>
          <w:tcPr>
            <w:tcW w:w="70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7C942A76" w14:textId="77777777" w:rsidR="002F590A" w:rsidRDefault="002F590A">
            <w:pPr>
              <w:rPr>
                <w:color w:val="000000"/>
                <w:sz w:val="14"/>
                <w:szCs w:val="14"/>
              </w:rPr>
            </w:pPr>
            <w:r>
              <w:rPr>
                <w:color w:val="000000"/>
                <w:sz w:val="14"/>
                <w:szCs w:val="14"/>
              </w:rPr>
              <w:t>0,00</w:t>
            </w: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B2DFCE8" w14:textId="77777777" w:rsidR="002F590A" w:rsidRDefault="002F590A">
            <w:pPr>
              <w:rPr>
                <w:color w:val="000000"/>
                <w:sz w:val="14"/>
                <w:szCs w:val="14"/>
              </w:rPr>
            </w:pPr>
            <w:r>
              <w:rPr>
                <w:color w:val="000000"/>
                <w:sz w:val="14"/>
                <w:szCs w:val="14"/>
              </w:rPr>
              <w:t>0,00</w:t>
            </w:r>
          </w:p>
        </w:tc>
        <w:tc>
          <w:tcPr>
            <w:tcW w:w="8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E4C3CDB" w14:textId="77777777" w:rsidR="002F590A" w:rsidRDefault="002F590A">
            <w:pPr>
              <w:rPr>
                <w:color w:val="000000"/>
                <w:sz w:val="14"/>
                <w:szCs w:val="14"/>
              </w:rPr>
            </w:pPr>
            <w:r>
              <w:rPr>
                <w:color w:val="000000"/>
                <w:sz w:val="14"/>
                <w:szCs w:val="14"/>
              </w:rPr>
              <w:t>0,00</w:t>
            </w: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DC7589B" w14:textId="77777777" w:rsidR="002F590A" w:rsidRDefault="002F590A">
            <w:pPr>
              <w:rPr>
                <w:color w:val="000000"/>
                <w:sz w:val="14"/>
                <w:szCs w:val="14"/>
              </w:rPr>
            </w:pPr>
            <w:r>
              <w:rPr>
                <w:color w:val="000000"/>
                <w:sz w:val="14"/>
                <w:szCs w:val="14"/>
              </w:rPr>
              <w:t>0,00</w:t>
            </w: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39EEAE2" w14:textId="77777777" w:rsidR="002F590A" w:rsidRDefault="002F590A">
            <w:pPr>
              <w:rPr>
                <w:color w:val="000000"/>
                <w:sz w:val="14"/>
                <w:szCs w:val="14"/>
              </w:rPr>
            </w:pPr>
            <w:r>
              <w:rPr>
                <w:color w:val="000000"/>
                <w:sz w:val="14"/>
                <w:szCs w:val="14"/>
              </w:rPr>
              <w:t>0,00</w:t>
            </w:r>
          </w:p>
        </w:tc>
        <w:tc>
          <w:tcPr>
            <w:tcW w:w="7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2A598E7" w14:textId="77777777" w:rsidR="002F590A" w:rsidRDefault="002F590A">
            <w:pPr>
              <w:rPr>
                <w:color w:val="000000"/>
                <w:sz w:val="14"/>
                <w:szCs w:val="14"/>
              </w:rPr>
            </w:pPr>
            <w:r>
              <w:rPr>
                <w:color w:val="000000"/>
                <w:sz w:val="14"/>
                <w:szCs w:val="14"/>
              </w:rPr>
              <w:t>0,00</w:t>
            </w:r>
          </w:p>
        </w:tc>
        <w:tc>
          <w:tcPr>
            <w:tcW w:w="7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5E77D42" w14:textId="77777777" w:rsidR="002F590A" w:rsidRDefault="002F590A">
            <w:pPr>
              <w:rPr>
                <w:color w:val="000000"/>
                <w:sz w:val="14"/>
                <w:szCs w:val="14"/>
              </w:rPr>
            </w:pPr>
            <w:r>
              <w:rPr>
                <w:color w:val="000000"/>
                <w:sz w:val="14"/>
                <w:szCs w:val="14"/>
              </w:rPr>
              <w:t>0,00</w:t>
            </w:r>
          </w:p>
        </w:tc>
        <w:tc>
          <w:tcPr>
            <w:tcW w:w="7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CBD0E51" w14:textId="77777777" w:rsidR="002F590A" w:rsidRDefault="002F590A">
            <w:pPr>
              <w:rPr>
                <w:color w:val="000000"/>
                <w:sz w:val="14"/>
                <w:szCs w:val="14"/>
              </w:rPr>
            </w:pPr>
            <w:r>
              <w:rPr>
                <w:color w:val="000000"/>
                <w:sz w:val="14"/>
                <w:szCs w:val="14"/>
              </w:rPr>
              <w:t>0,00</w:t>
            </w: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BDB12E4" w14:textId="77777777" w:rsidR="002F590A" w:rsidRDefault="002F590A">
            <w:pPr>
              <w:rPr>
                <w:color w:val="000000"/>
                <w:sz w:val="14"/>
                <w:szCs w:val="14"/>
              </w:rPr>
            </w:pPr>
            <w:r>
              <w:rPr>
                <w:color w:val="000000"/>
                <w:sz w:val="14"/>
                <w:szCs w:val="14"/>
              </w:rPr>
              <w:t>0,00</w:t>
            </w:r>
          </w:p>
        </w:tc>
      </w:tr>
      <w:tr w:rsidR="002F590A" w14:paraId="529EAA54" w14:textId="77777777" w:rsidTr="002F590A">
        <w:trPr>
          <w:trHeight w:val="20"/>
        </w:trPr>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E6BCFD0" w14:textId="77777777" w:rsidR="002F590A" w:rsidRDefault="002F590A">
            <w:pPr>
              <w:jc w:val="center"/>
              <w:rPr>
                <w:color w:val="000000"/>
                <w:sz w:val="14"/>
                <w:szCs w:val="14"/>
              </w:rPr>
            </w:pPr>
            <w:r>
              <w:rPr>
                <w:color w:val="000000"/>
                <w:sz w:val="14"/>
                <w:szCs w:val="14"/>
              </w:rPr>
              <w:t>2.2.</w:t>
            </w:r>
          </w:p>
        </w:tc>
        <w:tc>
          <w:tcPr>
            <w:tcW w:w="143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9102AEB" w14:textId="77777777" w:rsidR="002F590A" w:rsidRDefault="002F590A">
            <w:pPr>
              <w:jc w:val="center"/>
              <w:rPr>
                <w:color w:val="000000"/>
                <w:sz w:val="14"/>
                <w:szCs w:val="14"/>
              </w:rPr>
            </w:pPr>
            <w:r>
              <w:rPr>
                <w:color w:val="000000"/>
                <w:sz w:val="14"/>
                <w:szCs w:val="14"/>
              </w:rPr>
              <w:t>займы организаций</w:t>
            </w:r>
          </w:p>
        </w:tc>
        <w:tc>
          <w:tcPr>
            <w:tcW w:w="6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C4B305E" w14:textId="77777777" w:rsidR="002F590A" w:rsidRDefault="002F590A">
            <w:pPr>
              <w:rPr>
                <w:color w:val="000000"/>
                <w:sz w:val="14"/>
                <w:szCs w:val="14"/>
              </w:rPr>
            </w:pPr>
            <w:r>
              <w:rPr>
                <w:color w:val="000000"/>
                <w:sz w:val="14"/>
                <w:szCs w:val="14"/>
              </w:rPr>
              <w:t>0,00</w:t>
            </w:r>
          </w:p>
        </w:tc>
        <w:tc>
          <w:tcPr>
            <w:tcW w:w="8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B8B6C6E" w14:textId="77777777" w:rsidR="002F590A" w:rsidRDefault="002F590A">
            <w:pPr>
              <w:rPr>
                <w:color w:val="000000"/>
                <w:sz w:val="14"/>
                <w:szCs w:val="14"/>
              </w:rPr>
            </w:pPr>
            <w:r>
              <w:rPr>
                <w:color w:val="000000"/>
                <w:sz w:val="14"/>
                <w:szCs w:val="14"/>
              </w:rPr>
              <w:t>0,00</w:t>
            </w: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ECB6930" w14:textId="77777777" w:rsidR="002F590A" w:rsidRDefault="002F590A">
            <w:pPr>
              <w:rPr>
                <w:color w:val="000000"/>
                <w:sz w:val="14"/>
                <w:szCs w:val="14"/>
              </w:rPr>
            </w:pPr>
            <w:r>
              <w:rPr>
                <w:color w:val="000000"/>
                <w:sz w:val="14"/>
                <w:szCs w:val="14"/>
              </w:rPr>
              <w:t>0,00</w:t>
            </w:r>
          </w:p>
        </w:tc>
        <w:tc>
          <w:tcPr>
            <w:tcW w:w="70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6C8F3D3D" w14:textId="77777777" w:rsidR="002F590A" w:rsidRDefault="002F590A">
            <w:pPr>
              <w:rPr>
                <w:color w:val="000000"/>
                <w:sz w:val="14"/>
                <w:szCs w:val="14"/>
              </w:rPr>
            </w:pPr>
            <w:r>
              <w:rPr>
                <w:color w:val="000000"/>
                <w:sz w:val="14"/>
                <w:szCs w:val="14"/>
              </w:rPr>
              <w:t>0,00</w:t>
            </w: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E2D2F17" w14:textId="77777777" w:rsidR="002F590A" w:rsidRDefault="002F590A">
            <w:pPr>
              <w:rPr>
                <w:color w:val="000000"/>
                <w:sz w:val="14"/>
                <w:szCs w:val="14"/>
              </w:rPr>
            </w:pPr>
            <w:r>
              <w:rPr>
                <w:color w:val="000000"/>
                <w:sz w:val="14"/>
                <w:szCs w:val="14"/>
              </w:rPr>
              <w:t>0,00</w:t>
            </w:r>
          </w:p>
        </w:tc>
        <w:tc>
          <w:tcPr>
            <w:tcW w:w="8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6746EC8" w14:textId="77777777" w:rsidR="002F590A" w:rsidRDefault="002F590A">
            <w:pPr>
              <w:rPr>
                <w:color w:val="000000"/>
                <w:sz w:val="14"/>
                <w:szCs w:val="14"/>
              </w:rPr>
            </w:pPr>
            <w:r>
              <w:rPr>
                <w:color w:val="000000"/>
                <w:sz w:val="14"/>
                <w:szCs w:val="14"/>
              </w:rPr>
              <w:t>0,00</w:t>
            </w: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BCAB7F0" w14:textId="77777777" w:rsidR="002F590A" w:rsidRDefault="002F590A">
            <w:pPr>
              <w:rPr>
                <w:color w:val="000000"/>
                <w:sz w:val="14"/>
                <w:szCs w:val="14"/>
              </w:rPr>
            </w:pPr>
            <w:r>
              <w:rPr>
                <w:color w:val="000000"/>
                <w:sz w:val="14"/>
                <w:szCs w:val="14"/>
              </w:rPr>
              <w:t>0,00</w:t>
            </w: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AFF3E64" w14:textId="77777777" w:rsidR="002F590A" w:rsidRDefault="002F590A">
            <w:pPr>
              <w:rPr>
                <w:color w:val="000000"/>
                <w:sz w:val="14"/>
                <w:szCs w:val="14"/>
              </w:rPr>
            </w:pPr>
            <w:r>
              <w:rPr>
                <w:color w:val="000000"/>
                <w:sz w:val="14"/>
                <w:szCs w:val="14"/>
              </w:rPr>
              <w:t>0,00</w:t>
            </w:r>
          </w:p>
        </w:tc>
        <w:tc>
          <w:tcPr>
            <w:tcW w:w="7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D0951C0" w14:textId="77777777" w:rsidR="002F590A" w:rsidRDefault="002F590A">
            <w:pPr>
              <w:rPr>
                <w:color w:val="000000"/>
                <w:sz w:val="14"/>
                <w:szCs w:val="14"/>
              </w:rPr>
            </w:pPr>
            <w:r>
              <w:rPr>
                <w:color w:val="000000"/>
                <w:sz w:val="14"/>
                <w:szCs w:val="14"/>
              </w:rPr>
              <w:t>0,00</w:t>
            </w:r>
          </w:p>
        </w:tc>
        <w:tc>
          <w:tcPr>
            <w:tcW w:w="7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9922144" w14:textId="77777777" w:rsidR="002F590A" w:rsidRDefault="002F590A">
            <w:pPr>
              <w:rPr>
                <w:color w:val="000000"/>
                <w:sz w:val="14"/>
                <w:szCs w:val="14"/>
              </w:rPr>
            </w:pPr>
            <w:r>
              <w:rPr>
                <w:color w:val="000000"/>
                <w:sz w:val="14"/>
                <w:szCs w:val="14"/>
              </w:rPr>
              <w:t>0,00</w:t>
            </w:r>
          </w:p>
        </w:tc>
        <w:tc>
          <w:tcPr>
            <w:tcW w:w="7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6132AD5" w14:textId="77777777" w:rsidR="002F590A" w:rsidRDefault="002F590A">
            <w:pPr>
              <w:rPr>
                <w:color w:val="000000"/>
                <w:sz w:val="14"/>
                <w:szCs w:val="14"/>
              </w:rPr>
            </w:pPr>
            <w:r>
              <w:rPr>
                <w:color w:val="000000"/>
                <w:sz w:val="14"/>
                <w:szCs w:val="14"/>
              </w:rPr>
              <w:t>0,00</w:t>
            </w: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85F1467" w14:textId="77777777" w:rsidR="002F590A" w:rsidRDefault="002F590A">
            <w:pPr>
              <w:rPr>
                <w:color w:val="000000"/>
                <w:sz w:val="14"/>
                <w:szCs w:val="14"/>
              </w:rPr>
            </w:pPr>
            <w:r>
              <w:rPr>
                <w:color w:val="000000"/>
                <w:sz w:val="14"/>
                <w:szCs w:val="14"/>
              </w:rPr>
              <w:t>0,00</w:t>
            </w:r>
          </w:p>
        </w:tc>
      </w:tr>
      <w:tr w:rsidR="002F590A" w14:paraId="6AAF1A86" w14:textId="77777777" w:rsidTr="002F590A">
        <w:trPr>
          <w:trHeight w:val="20"/>
        </w:trPr>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BF93C79" w14:textId="77777777" w:rsidR="002F590A" w:rsidRDefault="002F590A">
            <w:pPr>
              <w:jc w:val="center"/>
              <w:rPr>
                <w:color w:val="000000"/>
                <w:sz w:val="14"/>
                <w:szCs w:val="14"/>
              </w:rPr>
            </w:pPr>
            <w:r>
              <w:rPr>
                <w:color w:val="000000"/>
                <w:sz w:val="14"/>
                <w:szCs w:val="14"/>
              </w:rPr>
              <w:t>2.3.</w:t>
            </w:r>
          </w:p>
        </w:tc>
        <w:tc>
          <w:tcPr>
            <w:tcW w:w="143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391AD46" w14:textId="77777777" w:rsidR="002F590A" w:rsidRDefault="002F590A">
            <w:pPr>
              <w:jc w:val="center"/>
              <w:rPr>
                <w:color w:val="000000"/>
                <w:sz w:val="14"/>
                <w:szCs w:val="14"/>
              </w:rPr>
            </w:pPr>
            <w:r>
              <w:rPr>
                <w:color w:val="000000"/>
                <w:sz w:val="14"/>
                <w:szCs w:val="14"/>
              </w:rPr>
              <w:t>прочие привлеченные средства</w:t>
            </w:r>
          </w:p>
        </w:tc>
        <w:tc>
          <w:tcPr>
            <w:tcW w:w="6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6B11C90" w14:textId="77777777" w:rsidR="002F590A" w:rsidRDefault="002F590A">
            <w:pPr>
              <w:rPr>
                <w:color w:val="000000"/>
                <w:sz w:val="14"/>
                <w:szCs w:val="14"/>
              </w:rPr>
            </w:pPr>
            <w:r>
              <w:rPr>
                <w:color w:val="000000"/>
                <w:sz w:val="14"/>
                <w:szCs w:val="14"/>
              </w:rPr>
              <w:t>0,00</w:t>
            </w:r>
          </w:p>
        </w:tc>
        <w:tc>
          <w:tcPr>
            <w:tcW w:w="8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3A19AC0" w14:textId="77777777" w:rsidR="002F590A" w:rsidRDefault="002F590A">
            <w:pPr>
              <w:rPr>
                <w:color w:val="000000"/>
                <w:sz w:val="14"/>
                <w:szCs w:val="14"/>
              </w:rPr>
            </w:pPr>
            <w:r>
              <w:rPr>
                <w:color w:val="000000"/>
                <w:sz w:val="14"/>
                <w:szCs w:val="14"/>
              </w:rPr>
              <w:t>0,00</w:t>
            </w: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9BA9ACE" w14:textId="77777777" w:rsidR="002F590A" w:rsidRDefault="002F590A">
            <w:pPr>
              <w:rPr>
                <w:color w:val="000000"/>
                <w:sz w:val="14"/>
                <w:szCs w:val="14"/>
              </w:rPr>
            </w:pPr>
            <w:r>
              <w:rPr>
                <w:color w:val="000000"/>
                <w:sz w:val="14"/>
                <w:szCs w:val="14"/>
              </w:rPr>
              <w:t>0,00</w:t>
            </w:r>
          </w:p>
        </w:tc>
        <w:tc>
          <w:tcPr>
            <w:tcW w:w="70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16D1AFA0" w14:textId="77777777" w:rsidR="002F590A" w:rsidRDefault="002F590A">
            <w:pPr>
              <w:rPr>
                <w:color w:val="000000"/>
                <w:sz w:val="14"/>
                <w:szCs w:val="14"/>
              </w:rPr>
            </w:pPr>
            <w:r>
              <w:rPr>
                <w:color w:val="000000"/>
                <w:sz w:val="14"/>
                <w:szCs w:val="14"/>
              </w:rPr>
              <w:t>0,00</w:t>
            </w: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54B37FD" w14:textId="77777777" w:rsidR="002F590A" w:rsidRDefault="002F590A">
            <w:pPr>
              <w:rPr>
                <w:color w:val="000000"/>
                <w:sz w:val="14"/>
                <w:szCs w:val="14"/>
              </w:rPr>
            </w:pPr>
            <w:r>
              <w:rPr>
                <w:color w:val="000000"/>
                <w:sz w:val="14"/>
                <w:szCs w:val="14"/>
              </w:rPr>
              <w:t>0,00</w:t>
            </w:r>
          </w:p>
        </w:tc>
        <w:tc>
          <w:tcPr>
            <w:tcW w:w="8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1AF947E" w14:textId="77777777" w:rsidR="002F590A" w:rsidRDefault="002F590A">
            <w:pPr>
              <w:rPr>
                <w:color w:val="000000"/>
                <w:sz w:val="14"/>
                <w:szCs w:val="14"/>
              </w:rPr>
            </w:pPr>
            <w:r>
              <w:rPr>
                <w:color w:val="000000"/>
                <w:sz w:val="14"/>
                <w:szCs w:val="14"/>
              </w:rPr>
              <w:t>0,00</w:t>
            </w: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7E0665D" w14:textId="77777777" w:rsidR="002F590A" w:rsidRDefault="002F590A">
            <w:pPr>
              <w:rPr>
                <w:color w:val="000000"/>
                <w:sz w:val="14"/>
                <w:szCs w:val="14"/>
              </w:rPr>
            </w:pPr>
            <w:r>
              <w:rPr>
                <w:color w:val="000000"/>
                <w:sz w:val="14"/>
                <w:szCs w:val="14"/>
              </w:rPr>
              <w:t>0,00</w:t>
            </w: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6C3C74A" w14:textId="77777777" w:rsidR="002F590A" w:rsidRDefault="002F590A">
            <w:pPr>
              <w:rPr>
                <w:color w:val="000000"/>
                <w:sz w:val="14"/>
                <w:szCs w:val="14"/>
              </w:rPr>
            </w:pPr>
            <w:r>
              <w:rPr>
                <w:color w:val="000000"/>
                <w:sz w:val="14"/>
                <w:szCs w:val="14"/>
              </w:rPr>
              <w:t>0,00</w:t>
            </w:r>
          </w:p>
        </w:tc>
        <w:tc>
          <w:tcPr>
            <w:tcW w:w="7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FC142FE" w14:textId="77777777" w:rsidR="002F590A" w:rsidRDefault="002F590A">
            <w:pPr>
              <w:rPr>
                <w:color w:val="000000"/>
                <w:sz w:val="14"/>
                <w:szCs w:val="14"/>
              </w:rPr>
            </w:pPr>
            <w:r>
              <w:rPr>
                <w:color w:val="000000"/>
                <w:sz w:val="14"/>
                <w:szCs w:val="14"/>
              </w:rPr>
              <w:t>0,00</w:t>
            </w:r>
          </w:p>
        </w:tc>
        <w:tc>
          <w:tcPr>
            <w:tcW w:w="7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433CD57" w14:textId="77777777" w:rsidR="002F590A" w:rsidRDefault="002F590A">
            <w:pPr>
              <w:rPr>
                <w:color w:val="000000"/>
                <w:sz w:val="14"/>
                <w:szCs w:val="14"/>
              </w:rPr>
            </w:pPr>
            <w:r>
              <w:rPr>
                <w:color w:val="000000"/>
                <w:sz w:val="14"/>
                <w:szCs w:val="14"/>
              </w:rPr>
              <w:t>0,00</w:t>
            </w:r>
          </w:p>
        </w:tc>
        <w:tc>
          <w:tcPr>
            <w:tcW w:w="7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2592585" w14:textId="77777777" w:rsidR="002F590A" w:rsidRDefault="002F590A">
            <w:pPr>
              <w:rPr>
                <w:color w:val="000000"/>
                <w:sz w:val="14"/>
                <w:szCs w:val="14"/>
              </w:rPr>
            </w:pPr>
            <w:r>
              <w:rPr>
                <w:color w:val="000000"/>
                <w:sz w:val="14"/>
                <w:szCs w:val="14"/>
              </w:rPr>
              <w:t>0,00</w:t>
            </w: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10151E2" w14:textId="77777777" w:rsidR="002F590A" w:rsidRDefault="002F590A">
            <w:pPr>
              <w:rPr>
                <w:color w:val="000000"/>
                <w:sz w:val="14"/>
                <w:szCs w:val="14"/>
              </w:rPr>
            </w:pPr>
            <w:r>
              <w:rPr>
                <w:color w:val="000000"/>
                <w:sz w:val="14"/>
                <w:szCs w:val="14"/>
              </w:rPr>
              <w:t>0,00</w:t>
            </w:r>
          </w:p>
        </w:tc>
      </w:tr>
      <w:tr w:rsidR="002F590A" w14:paraId="216048E2" w14:textId="77777777" w:rsidTr="002F590A">
        <w:trPr>
          <w:trHeight w:val="20"/>
        </w:trPr>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A997533" w14:textId="77777777" w:rsidR="002F590A" w:rsidRDefault="002F590A">
            <w:pPr>
              <w:jc w:val="center"/>
              <w:rPr>
                <w:color w:val="000000"/>
                <w:sz w:val="14"/>
                <w:szCs w:val="14"/>
              </w:rPr>
            </w:pPr>
            <w:r>
              <w:rPr>
                <w:color w:val="000000"/>
                <w:sz w:val="14"/>
                <w:szCs w:val="14"/>
              </w:rPr>
              <w:t xml:space="preserve">   3.</w:t>
            </w:r>
          </w:p>
        </w:tc>
        <w:tc>
          <w:tcPr>
            <w:tcW w:w="143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C31FC4B" w14:textId="77777777" w:rsidR="002F590A" w:rsidRDefault="002F590A">
            <w:pPr>
              <w:jc w:val="center"/>
              <w:rPr>
                <w:color w:val="000000"/>
                <w:sz w:val="14"/>
                <w:szCs w:val="14"/>
              </w:rPr>
            </w:pPr>
            <w:r>
              <w:rPr>
                <w:color w:val="000000"/>
                <w:sz w:val="14"/>
                <w:szCs w:val="14"/>
              </w:rPr>
              <w:t>Бюджетное финансирование</w:t>
            </w:r>
          </w:p>
        </w:tc>
        <w:tc>
          <w:tcPr>
            <w:tcW w:w="6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4A8B020" w14:textId="77777777" w:rsidR="002F590A" w:rsidRDefault="002F590A">
            <w:pPr>
              <w:rPr>
                <w:color w:val="000000"/>
                <w:sz w:val="14"/>
                <w:szCs w:val="14"/>
              </w:rPr>
            </w:pPr>
            <w:r>
              <w:rPr>
                <w:color w:val="000000"/>
                <w:sz w:val="14"/>
                <w:szCs w:val="14"/>
              </w:rPr>
              <w:t>0,00</w:t>
            </w:r>
          </w:p>
        </w:tc>
        <w:tc>
          <w:tcPr>
            <w:tcW w:w="8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6797E29" w14:textId="77777777" w:rsidR="002F590A" w:rsidRDefault="002F590A">
            <w:pPr>
              <w:rPr>
                <w:color w:val="000000"/>
                <w:sz w:val="14"/>
                <w:szCs w:val="14"/>
              </w:rPr>
            </w:pPr>
            <w:r>
              <w:rPr>
                <w:color w:val="000000"/>
                <w:sz w:val="14"/>
                <w:szCs w:val="14"/>
              </w:rPr>
              <w:t>0,00</w:t>
            </w: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DE9D020" w14:textId="77777777" w:rsidR="002F590A" w:rsidRDefault="002F590A">
            <w:pPr>
              <w:rPr>
                <w:color w:val="000000"/>
                <w:sz w:val="14"/>
                <w:szCs w:val="14"/>
              </w:rPr>
            </w:pPr>
            <w:r>
              <w:rPr>
                <w:color w:val="000000"/>
                <w:sz w:val="14"/>
                <w:szCs w:val="14"/>
              </w:rPr>
              <w:t>0,00</w:t>
            </w:r>
          </w:p>
        </w:tc>
        <w:tc>
          <w:tcPr>
            <w:tcW w:w="70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4DE21E50" w14:textId="77777777" w:rsidR="002F590A" w:rsidRDefault="002F590A">
            <w:pPr>
              <w:rPr>
                <w:color w:val="000000"/>
                <w:sz w:val="14"/>
                <w:szCs w:val="14"/>
              </w:rPr>
            </w:pPr>
            <w:r>
              <w:rPr>
                <w:color w:val="000000"/>
                <w:sz w:val="14"/>
                <w:szCs w:val="14"/>
              </w:rPr>
              <w:t>0,00</w:t>
            </w: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6B1AFDC" w14:textId="77777777" w:rsidR="002F590A" w:rsidRDefault="002F590A">
            <w:pPr>
              <w:rPr>
                <w:color w:val="000000"/>
                <w:sz w:val="14"/>
                <w:szCs w:val="14"/>
              </w:rPr>
            </w:pPr>
            <w:r>
              <w:rPr>
                <w:color w:val="000000"/>
                <w:sz w:val="14"/>
                <w:szCs w:val="14"/>
              </w:rPr>
              <w:t>0,00</w:t>
            </w:r>
          </w:p>
        </w:tc>
        <w:tc>
          <w:tcPr>
            <w:tcW w:w="8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9B49218" w14:textId="77777777" w:rsidR="002F590A" w:rsidRDefault="002F590A">
            <w:pPr>
              <w:rPr>
                <w:color w:val="000000"/>
                <w:sz w:val="14"/>
                <w:szCs w:val="14"/>
              </w:rPr>
            </w:pPr>
            <w:r>
              <w:rPr>
                <w:color w:val="000000"/>
                <w:sz w:val="14"/>
                <w:szCs w:val="14"/>
              </w:rPr>
              <w:t>0,00</w:t>
            </w: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F557045" w14:textId="77777777" w:rsidR="002F590A" w:rsidRDefault="002F590A">
            <w:pPr>
              <w:rPr>
                <w:color w:val="000000"/>
                <w:sz w:val="14"/>
                <w:szCs w:val="14"/>
              </w:rPr>
            </w:pPr>
            <w:r>
              <w:rPr>
                <w:color w:val="000000"/>
                <w:sz w:val="14"/>
                <w:szCs w:val="14"/>
              </w:rPr>
              <w:t>0,00</w:t>
            </w: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BC0E0D5" w14:textId="77777777" w:rsidR="002F590A" w:rsidRDefault="002F590A">
            <w:pPr>
              <w:rPr>
                <w:color w:val="000000"/>
                <w:sz w:val="14"/>
                <w:szCs w:val="14"/>
              </w:rPr>
            </w:pPr>
            <w:r>
              <w:rPr>
                <w:color w:val="000000"/>
                <w:sz w:val="14"/>
                <w:szCs w:val="14"/>
              </w:rPr>
              <w:t>0,00</w:t>
            </w:r>
          </w:p>
        </w:tc>
        <w:tc>
          <w:tcPr>
            <w:tcW w:w="7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17E1615" w14:textId="77777777" w:rsidR="002F590A" w:rsidRDefault="002F590A">
            <w:pPr>
              <w:rPr>
                <w:color w:val="000000"/>
                <w:sz w:val="14"/>
                <w:szCs w:val="14"/>
              </w:rPr>
            </w:pPr>
            <w:r>
              <w:rPr>
                <w:color w:val="000000"/>
                <w:sz w:val="14"/>
                <w:szCs w:val="14"/>
              </w:rPr>
              <w:t>0,00</w:t>
            </w:r>
          </w:p>
        </w:tc>
        <w:tc>
          <w:tcPr>
            <w:tcW w:w="7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D220124" w14:textId="77777777" w:rsidR="002F590A" w:rsidRDefault="002F590A">
            <w:pPr>
              <w:rPr>
                <w:color w:val="000000"/>
                <w:sz w:val="14"/>
                <w:szCs w:val="14"/>
              </w:rPr>
            </w:pPr>
            <w:r>
              <w:rPr>
                <w:color w:val="000000"/>
                <w:sz w:val="14"/>
                <w:szCs w:val="14"/>
              </w:rPr>
              <w:t>0,00</w:t>
            </w:r>
          </w:p>
        </w:tc>
        <w:tc>
          <w:tcPr>
            <w:tcW w:w="7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C928FEE" w14:textId="77777777" w:rsidR="002F590A" w:rsidRDefault="002F590A">
            <w:pPr>
              <w:rPr>
                <w:color w:val="000000"/>
                <w:sz w:val="14"/>
                <w:szCs w:val="14"/>
              </w:rPr>
            </w:pPr>
            <w:r>
              <w:rPr>
                <w:color w:val="000000"/>
                <w:sz w:val="14"/>
                <w:szCs w:val="14"/>
              </w:rPr>
              <w:t>0,00</w:t>
            </w: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DA86CBC" w14:textId="77777777" w:rsidR="002F590A" w:rsidRDefault="002F590A">
            <w:pPr>
              <w:rPr>
                <w:color w:val="000000"/>
                <w:sz w:val="14"/>
                <w:szCs w:val="14"/>
              </w:rPr>
            </w:pPr>
            <w:r>
              <w:rPr>
                <w:color w:val="000000"/>
                <w:sz w:val="14"/>
                <w:szCs w:val="14"/>
              </w:rPr>
              <w:t>0,00</w:t>
            </w:r>
          </w:p>
        </w:tc>
      </w:tr>
      <w:tr w:rsidR="002F590A" w14:paraId="1AB6CD86" w14:textId="77777777" w:rsidTr="002F590A">
        <w:trPr>
          <w:trHeight w:val="20"/>
        </w:trPr>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5D8BEC0" w14:textId="77777777" w:rsidR="002F590A" w:rsidRDefault="002F590A">
            <w:pPr>
              <w:jc w:val="center"/>
              <w:rPr>
                <w:color w:val="000000"/>
                <w:sz w:val="14"/>
                <w:szCs w:val="14"/>
              </w:rPr>
            </w:pPr>
            <w:r>
              <w:rPr>
                <w:color w:val="000000"/>
                <w:sz w:val="14"/>
                <w:szCs w:val="14"/>
              </w:rPr>
              <w:t xml:space="preserve">   4.</w:t>
            </w:r>
          </w:p>
        </w:tc>
        <w:tc>
          <w:tcPr>
            <w:tcW w:w="143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71A8B83" w14:textId="77777777" w:rsidR="002F590A" w:rsidRDefault="002F590A">
            <w:pPr>
              <w:jc w:val="center"/>
              <w:rPr>
                <w:color w:val="000000"/>
                <w:sz w:val="14"/>
                <w:szCs w:val="14"/>
              </w:rPr>
            </w:pPr>
            <w:r>
              <w:rPr>
                <w:color w:val="000000"/>
                <w:sz w:val="14"/>
                <w:szCs w:val="14"/>
              </w:rPr>
              <w:t>Прочие источники финансирования, в т.ч. лизинг</w:t>
            </w:r>
          </w:p>
        </w:tc>
        <w:tc>
          <w:tcPr>
            <w:tcW w:w="6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0671089" w14:textId="77777777" w:rsidR="002F590A" w:rsidRDefault="002F590A">
            <w:pPr>
              <w:rPr>
                <w:color w:val="000000"/>
                <w:sz w:val="14"/>
                <w:szCs w:val="14"/>
              </w:rPr>
            </w:pPr>
            <w:r>
              <w:rPr>
                <w:color w:val="000000"/>
                <w:sz w:val="14"/>
                <w:szCs w:val="14"/>
              </w:rPr>
              <w:t>0,00</w:t>
            </w:r>
          </w:p>
        </w:tc>
        <w:tc>
          <w:tcPr>
            <w:tcW w:w="8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CF2197C" w14:textId="77777777" w:rsidR="002F590A" w:rsidRDefault="002F590A">
            <w:pPr>
              <w:rPr>
                <w:color w:val="000000"/>
                <w:sz w:val="14"/>
                <w:szCs w:val="14"/>
              </w:rPr>
            </w:pPr>
            <w:r>
              <w:rPr>
                <w:color w:val="000000"/>
                <w:sz w:val="14"/>
                <w:szCs w:val="14"/>
              </w:rPr>
              <w:t>0,00</w:t>
            </w: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EC868FD" w14:textId="77777777" w:rsidR="002F590A" w:rsidRDefault="002F590A">
            <w:pPr>
              <w:rPr>
                <w:color w:val="000000"/>
                <w:sz w:val="14"/>
                <w:szCs w:val="14"/>
              </w:rPr>
            </w:pPr>
            <w:r>
              <w:rPr>
                <w:color w:val="000000"/>
                <w:sz w:val="14"/>
                <w:szCs w:val="14"/>
              </w:rPr>
              <w:t>0,00</w:t>
            </w:r>
          </w:p>
        </w:tc>
        <w:tc>
          <w:tcPr>
            <w:tcW w:w="70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297089F1" w14:textId="77777777" w:rsidR="002F590A" w:rsidRDefault="002F590A">
            <w:pPr>
              <w:rPr>
                <w:color w:val="000000"/>
                <w:sz w:val="14"/>
                <w:szCs w:val="14"/>
              </w:rPr>
            </w:pPr>
            <w:r>
              <w:rPr>
                <w:color w:val="000000"/>
                <w:sz w:val="14"/>
                <w:szCs w:val="14"/>
              </w:rPr>
              <w:t>0,00</w:t>
            </w: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D68BD83" w14:textId="77777777" w:rsidR="002F590A" w:rsidRDefault="002F590A">
            <w:pPr>
              <w:rPr>
                <w:color w:val="000000"/>
                <w:sz w:val="14"/>
                <w:szCs w:val="14"/>
              </w:rPr>
            </w:pPr>
            <w:r>
              <w:rPr>
                <w:color w:val="000000"/>
                <w:sz w:val="14"/>
                <w:szCs w:val="14"/>
              </w:rPr>
              <w:t>0,00</w:t>
            </w:r>
          </w:p>
        </w:tc>
        <w:tc>
          <w:tcPr>
            <w:tcW w:w="8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63B3810" w14:textId="77777777" w:rsidR="002F590A" w:rsidRDefault="002F590A">
            <w:pPr>
              <w:rPr>
                <w:color w:val="000000"/>
                <w:sz w:val="14"/>
                <w:szCs w:val="14"/>
              </w:rPr>
            </w:pPr>
            <w:r>
              <w:rPr>
                <w:color w:val="000000"/>
                <w:sz w:val="14"/>
                <w:szCs w:val="14"/>
              </w:rPr>
              <w:t>0,00</w:t>
            </w: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8E27FBF" w14:textId="77777777" w:rsidR="002F590A" w:rsidRDefault="002F590A">
            <w:pPr>
              <w:rPr>
                <w:color w:val="000000"/>
                <w:sz w:val="14"/>
                <w:szCs w:val="14"/>
              </w:rPr>
            </w:pPr>
            <w:r>
              <w:rPr>
                <w:color w:val="000000"/>
                <w:sz w:val="14"/>
                <w:szCs w:val="14"/>
              </w:rPr>
              <w:t>0,00</w:t>
            </w: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44BBC99" w14:textId="77777777" w:rsidR="002F590A" w:rsidRDefault="002F590A">
            <w:pPr>
              <w:rPr>
                <w:color w:val="000000"/>
                <w:sz w:val="14"/>
                <w:szCs w:val="14"/>
              </w:rPr>
            </w:pPr>
            <w:r>
              <w:rPr>
                <w:color w:val="000000"/>
                <w:sz w:val="14"/>
                <w:szCs w:val="14"/>
              </w:rPr>
              <w:t>0,00</w:t>
            </w:r>
          </w:p>
        </w:tc>
        <w:tc>
          <w:tcPr>
            <w:tcW w:w="7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88EF6F4" w14:textId="77777777" w:rsidR="002F590A" w:rsidRDefault="002F590A">
            <w:pPr>
              <w:rPr>
                <w:color w:val="000000"/>
                <w:sz w:val="14"/>
                <w:szCs w:val="14"/>
              </w:rPr>
            </w:pPr>
            <w:r>
              <w:rPr>
                <w:color w:val="000000"/>
                <w:sz w:val="14"/>
                <w:szCs w:val="14"/>
              </w:rPr>
              <w:t>0,00</w:t>
            </w:r>
          </w:p>
        </w:tc>
        <w:tc>
          <w:tcPr>
            <w:tcW w:w="7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FA4990C" w14:textId="77777777" w:rsidR="002F590A" w:rsidRDefault="002F590A">
            <w:pPr>
              <w:rPr>
                <w:color w:val="000000"/>
                <w:sz w:val="14"/>
                <w:szCs w:val="14"/>
              </w:rPr>
            </w:pPr>
            <w:r>
              <w:rPr>
                <w:color w:val="000000"/>
                <w:sz w:val="14"/>
                <w:szCs w:val="14"/>
              </w:rPr>
              <w:t>0,00</w:t>
            </w:r>
          </w:p>
        </w:tc>
        <w:tc>
          <w:tcPr>
            <w:tcW w:w="7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8905A39" w14:textId="77777777" w:rsidR="002F590A" w:rsidRDefault="002F590A">
            <w:pPr>
              <w:rPr>
                <w:color w:val="000000"/>
                <w:sz w:val="14"/>
                <w:szCs w:val="14"/>
              </w:rPr>
            </w:pPr>
            <w:r>
              <w:rPr>
                <w:color w:val="000000"/>
                <w:sz w:val="14"/>
                <w:szCs w:val="14"/>
              </w:rPr>
              <w:t>0,00</w:t>
            </w: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4E1EFBB" w14:textId="77777777" w:rsidR="002F590A" w:rsidRDefault="002F590A">
            <w:pPr>
              <w:rPr>
                <w:color w:val="000000"/>
                <w:sz w:val="14"/>
                <w:szCs w:val="14"/>
              </w:rPr>
            </w:pPr>
            <w:r>
              <w:rPr>
                <w:color w:val="000000"/>
                <w:sz w:val="14"/>
                <w:szCs w:val="14"/>
              </w:rPr>
              <w:t>0,00</w:t>
            </w:r>
          </w:p>
        </w:tc>
      </w:tr>
      <w:tr w:rsidR="002F590A" w14:paraId="68AD32B7" w14:textId="77777777" w:rsidTr="002F590A">
        <w:trPr>
          <w:trHeight w:val="20"/>
        </w:trPr>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1F7596E" w14:textId="77777777" w:rsidR="002F590A" w:rsidRDefault="002F590A">
            <w:pPr>
              <w:jc w:val="center"/>
              <w:rPr>
                <w:color w:val="000000"/>
                <w:sz w:val="14"/>
                <w:szCs w:val="14"/>
              </w:rPr>
            </w:pPr>
            <w:r>
              <w:rPr>
                <w:color w:val="000000"/>
                <w:sz w:val="14"/>
                <w:szCs w:val="14"/>
              </w:rPr>
              <w:t> </w:t>
            </w:r>
          </w:p>
        </w:tc>
        <w:tc>
          <w:tcPr>
            <w:tcW w:w="143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92EC34D" w14:textId="77777777" w:rsidR="002F590A" w:rsidRDefault="002F590A">
            <w:pPr>
              <w:jc w:val="center"/>
              <w:rPr>
                <w:color w:val="000000"/>
                <w:sz w:val="14"/>
                <w:szCs w:val="14"/>
              </w:rPr>
            </w:pPr>
            <w:r>
              <w:rPr>
                <w:color w:val="000000"/>
                <w:sz w:val="14"/>
                <w:szCs w:val="14"/>
              </w:rPr>
              <w:t>ИТОГО по программе</w:t>
            </w:r>
          </w:p>
        </w:tc>
        <w:tc>
          <w:tcPr>
            <w:tcW w:w="69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52074201" w14:textId="77777777" w:rsidR="002F590A" w:rsidRDefault="002F590A">
            <w:pPr>
              <w:rPr>
                <w:color w:val="000000"/>
                <w:sz w:val="14"/>
                <w:szCs w:val="14"/>
              </w:rPr>
            </w:pPr>
            <w:r>
              <w:rPr>
                <w:color w:val="000000"/>
                <w:sz w:val="14"/>
                <w:szCs w:val="14"/>
              </w:rPr>
              <w:t>36 549,71</w:t>
            </w:r>
          </w:p>
        </w:tc>
        <w:tc>
          <w:tcPr>
            <w:tcW w:w="8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7B7C02D1" w14:textId="77777777" w:rsidR="002F590A" w:rsidRDefault="002F590A">
            <w:pPr>
              <w:rPr>
                <w:color w:val="000000"/>
                <w:sz w:val="14"/>
                <w:szCs w:val="14"/>
              </w:rPr>
            </w:pPr>
            <w:r>
              <w:rPr>
                <w:color w:val="000000"/>
                <w:sz w:val="14"/>
                <w:szCs w:val="14"/>
              </w:rPr>
              <w:t>36 549,71</w:t>
            </w: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F84FFB0" w14:textId="77777777" w:rsidR="002F590A" w:rsidRDefault="002F590A">
            <w:pPr>
              <w:rPr>
                <w:color w:val="000000"/>
                <w:sz w:val="14"/>
                <w:szCs w:val="14"/>
              </w:rPr>
            </w:pPr>
            <w:r>
              <w:rPr>
                <w:color w:val="000000"/>
                <w:sz w:val="14"/>
                <w:szCs w:val="14"/>
              </w:rPr>
              <w:t>3 505,53</w:t>
            </w:r>
          </w:p>
        </w:tc>
        <w:tc>
          <w:tcPr>
            <w:tcW w:w="7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C51F535" w14:textId="77777777" w:rsidR="002F590A" w:rsidRDefault="002F590A">
            <w:pPr>
              <w:rPr>
                <w:color w:val="000000"/>
                <w:sz w:val="14"/>
                <w:szCs w:val="14"/>
              </w:rPr>
            </w:pPr>
            <w:r>
              <w:rPr>
                <w:color w:val="000000"/>
                <w:sz w:val="14"/>
                <w:szCs w:val="14"/>
              </w:rPr>
              <w:t>9 498,94</w:t>
            </w: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F38A5CE" w14:textId="77777777" w:rsidR="002F590A" w:rsidRDefault="002F590A">
            <w:pPr>
              <w:rPr>
                <w:color w:val="000000"/>
                <w:sz w:val="14"/>
                <w:szCs w:val="14"/>
              </w:rPr>
            </w:pPr>
            <w:r>
              <w:rPr>
                <w:color w:val="000000"/>
                <w:sz w:val="14"/>
                <w:szCs w:val="14"/>
              </w:rPr>
              <w:t>6 937,02</w:t>
            </w:r>
          </w:p>
        </w:tc>
        <w:tc>
          <w:tcPr>
            <w:tcW w:w="85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B3DA879" w14:textId="77777777" w:rsidR="002F590A" w:rsidRDefault="002F590A">
            <w:pPr>
              <w:rPr>
                <w:color w:val="000000"/>
                <w:sz w:val="14"/>
                <w:szCs w:val="14"/>
              </w:rPr>
            </w:pPr>
            <w:r>
              <w:rPr>
                <w:color w:val="000000"/>
                <w:sz w:val="14"/>
                <w:szCs w:val="14"/>
              </w:rPr>
              <w:t>3 206,71</w:t>
            </w: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7752598" w14:textId="77777777" w:rsidR="002F590A" w:rsidRDefault="002F590A">
            <w:pPr>
              <w:rPr>
                <w:color w:val="000000"/>
                <w:sz w:val="14"/>
                <w:szCs w:val="14"/>
              </w:rPr>
            </w:pPr>
            <w:r>
              <w:rPr>
                <w:color w:val="000000"/>
                <w:sz w:val="14"/>
                <w:szCs w:val="14"/>
              </w:rPr>
              <w:t>3 290,02</w:t>
            </w: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42FE09B" w14:textId="77777777" w:rsidR="002F590A" w:rsidRDefault="002F590A">
            <w:pPr>
              <w:rPr>
                <w:color w:val="000000"/>
                <w:sz w:val="14"/>
                <w:szCs w:val="14"/>
              </w:rPr>
            </w:pPr>
            <w:r>
              <w:rPr>
                <w:color w:val="000000"/>
                <w:sz w:val="14"/>
                <w:szCs w:val="14"/>
              </w:rPr>
              <w:t>4 207,05</w:t>
            </w:r>
          </w:p>
        </w:tc>
        <w:tc>
          <w:tcPr>
            <w:tcW w:w="7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BC8707A" w14:textId="77777777" w:rsidR="002F590A" w:rsidRDefault="002F590A">
            <w:pPr>
              <w:rPr>
                <w:color w:val="000000"/>
                <w:sz w:val="14"/>
                <w:szCs w:val="14"/>
              </w:rPr>
            </w:pPr>
            <w:r>
              <w:rPr>
                <w:color w:val="000000"/>
                <w:sz w:val="14"/>
                <w:szCs w:val="14"/>
              </w:rPr>
              <w:t>2 392,31</w:t>
            </w:r>
          </w:p>
        </w:tc>
        <w:tc>
          <w:tcPr>
            <w:tcW w:w="7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38FCDD0" w14:textId="77777777" w:rsidR="002F590A" w:rsidRDefault="002F590A">
            <w:pPr>
              <w:rPr>
                <w:color w:val="000000"/>
                <w:sz w:val="14"/>
                <w:szCs w:val="14"/>
              </w:rPr>
            </w:pPr>
            <w:r>
              <w:rPr>
                <w:color w:val="000000"/>
                <w:sz w:val="14"/>
                <w:szCs w:val="14"/>
              </w:rPr>
              <w:t>588,29</w:t>
            </w:r>
          </w:p>
        </w:tc>
        <w:tc>
          <w:tcPr>
            <w:tcW w:w="7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ED78810" w14:textId="77777777" w:rsidR="002F590A" w:rsidRDefault="002F590A">
            <w:pPr>
              <w:rPr>
                <w:color w:val="000000"/>
                <w:sz w:val="14"/>
                <w:szCs w:val="14"/>
              </w:rPr>
            </w:pPr>
            <w:r>
              <w:rPr>
                <w:color w:val="000000"/>
                <w:sz w:val="14"/>
                <w:szCs w:val="14"/>
              </w:rPr>
              <w:t>2 394,94</w:t>
            </w: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D8BD669" w14:textId="77777777" w:rsidR="002F590A" w:rsidRDefault="002F590A">
            <w:pPr>
              <w:rPr>
                <w:color w:val="000000"/>
                <w:sz w:val="14"/>
                <w:szCs w:val="14"/>
              </w:rPr>
            </w:pPr>
            <w:r>
              <w:rPr>
                <w:color w:val="000000"/>
                <w:sz w:val="14"/>
                <w:szCs w:val="14"/>
              </w:rPr>
              <w:t>528,90</w:t>
            </w:r>
          </w:p>
        </w:tc>
      </w:tr>
    </w:tbl>
    <w:p w14:paraId="577F75A3" w14:textId="77777777" w:rsidR="002F590A" w:rsidRDefault="002F590A" w:rsidP="002F590A">
      <w:pPr>
        <w:spacing w:line="276" w:lineRule="auto"/>
        <w:ind w:firstLine="567"/>
        <w:jc w:val="both"/>
        <w:rPr>
          <w:sz w:val="25"/>
          <w:szCs w:val="25"/>
        </w:rPr>
      </w:pPr>
    </w:p>
    <w:p w14:paraId="4FD0E247" w14:textId="77777777" w:rsidR="002F590A" w:rsidRDefault="002F590A" w:rsidP="002F590A">
      <w:pPr>
        <w:spacing w:line="276" w:lineRule="auto"/>
        <w:ind w:firstLine="708"/>
        <w:jc w:val="both"/>
        <w:rPr>
          <w:bCs/>
          <w:sz w:val="28"/>
          <w:szCs w:val="20"/>
        </w:rPr>
      </w:pPr>
      <w:r>
        <w:rPr>
          <w:bCs/>
          <w:sz w:val="28"/>
          <w:szCs w:val="28"/>
        </w:rPr>
        <w:t xml:space="preserve">Перечень мероприятий, подлежащих выполнению </w:t>
      </w:r>
      <w:r>
        <w:rPr>
          <w:bCs/>
          <w:sz w:val="28"/>
          <w:szCs w:val="28"/>
        </w:rPr>
        <w:br/>
        <w:t>в 2022-2031 годах приведен в приложении к настоящему экспертному заключению.</w:t>
      </w:r>
    </w:p>
    <w:p w14:paraId="1B85A57F" w14:textId="77777777" w:rsidR="002F590A" w:rsidRDefault="002F590A" w:rsidP="002F590A">
      <w:pPr>
        <w:ind w:firstLine="567"/>
        <w:jc w:val="both"/>
        <w:rPr>
          <w:sz w:val="25"/>
          <w:szCs w:val="25"/>
        </w:rPr>
      </w:pPr>
    </w:p>
    <w:p w14:paraId="712ABB98" w14:textId="77777777" w:rsidR="002F590A" w:rsidRDefault="002F590A" w:rsidP="002F590A">
      <w:pPr>
        <w:jc w:val="both"/>
        <w:rPr>
          <w:sz w:val="20"/>
          <w:szCs w:val="20"/>
        </w:rPr>
      </w:pPr>
    </w:p>
    <w:p w14:paraId="0F6BBAD8" w14:textId="77777777" w:rsidR="002F590A" w:rsidRDefault="002F590A" w:rsidP="002F590A">
      <w:pPr>
        <w:rPr>
          <w:sz w:val="20"/>
          <w:szCs w:val="20"/>
        </w:rPr>
        <w:sectPr w:rsidR="002F590A">
          <w:pgSz w:w="11906" w:h="16838"/>
          <w:pgMar w:top="567" w:right="1418" w:bottom="567" w:left="1559" w:header="709" w:footer="709" w:gutter="0"/>
          <w:cols w:space="720"/>
        </w:sectPr>
      </w:pPr>
    </w:p>
    <w:p w14:paraId="32EBB76D" w14:textId="77777777" w:rsidR="002F590A" w:rsidRDefault="002F590A" w:rsidP="002F590A">
      <w:pPr>
        <w:ind w:left="284" w:right="536"/>
        <w:jc w:val="right"/>
        <w:rPr>
          <w:sz w:val="28"/>
          <w:szCs w:val="28"/>
        </w:rPr>
      </w:pPr>
      <w:r>
        <w:rPr>
          <w:sz w:val="28"/>
          <w:szCs w:val="28"/>
        </w:rPr>
        <w:t>Приложение</w:t>
      </w:r>
    </w:p>
    <w:p w14:paraId="17E8AAF7" w14:textId="77777777" w:rsidR="002F590A" w:rsidRDefault="002F590A" w:rsidP="002F590A">
      <w:pPr>
        <w:autoSpaceDE w:val="0"/>
        <w:autoSpaceDN w:val="0"/>
        <w:adjustRightInd w:val="0"/>
        <w:jc w:val="center"/>
        <w:rPr>
          <w:b/>
          <w:color w:val="000000"/>
          <w:sz w:val="28"/>
          <w:szCs w:val="28"/>
        </w:rPr>
      </w:pPr>
      <w:r>
        <w:rPr>
          <w:b/>
          <w:bCs/>
          <w:sz w:val="28"/>
          <w:szCs w:val="28"/>
        </w:rPr>
        <w:t xml:space="preserve">Инвестиционная программа в сфере теплоснабжения </w:t>
      </w:r>
      <w:r>
        <w:rPr>
          <w:b/>
          <w:sz w:val="28"/>
          <w:szCs w:val="28"/>
        </w:rPr>
        <w:t xml:space="preserve">ООО «Новосибирская теплосетевая компания» </w:t>
      </w:r>
      <w:r>
        <w:rPr>
          <w:b/>
          <w:sz w:val="28"/>
          <w:szCs w:val="28"/>
        </w:rPr>
        <w:br/>
        <w:t xml:space="preserve">на потребительском рынке Кемеровского городского округа, Кемеровского муниципального округа, </w:t>
      </w:r>
      <w:r>
        <w:rPr>
          <w:b/>
          <w:sz w:val="28"/>
          <w:szCs w:val="28"/>
        </w:rPr>
        <w:br/>
        <w:t>Топкинского муниципального округа</w:t>
      </w:r>
      <w:r>
        <w:rPr>
          <w:b/>
          <w:color w:val="000000"/>
          <w:sz w:val="28"/>
          <w:szCs w:val="28"/>
        </w:rPr>
        <w:t xml:space="preserve"> </w:t>
      </w:r>
      <w:r>
        <w:rPr>
          <w:b/>
          <w:sz w:val="28"/>
          <w:szCs w:val="28"/>
        </w:rPr>
        <w:t>на 2022</w:t>
      </w:r>
      <w:r>
        <w:rPr>
          <w:b/>
          <w:color w:val="000000"/>
          <w:sz w:val="28"/>
          <w:szCs w:val="28"/>
        </w:rPr>
        <w:t xml:space="preserve"> - 2031 годы</w:t>
      </w:r>
    </w:p>
    <w:p w14:paraId="53F37B74" w14:textId="77777777" w:rsidR="002F590A" w:rsidRDefault="002F590A" w:rsidP="002F590A">
      <w:pPr>
        <w:autoSpaceDE w:val="0"/>
        <w:autoSpaceDN w:val="0"/>
        <w:adjustRightInd w:val="0"/>
        <w:jc w:val="center"/>
        <w:rPr>
          <w:b/>
          <w:bCs/>
          <w:sz w:val="28"/>
          <w:szCs w:val="28"/>
        </w:rPr>
      </w:pPr>
    </w:p>
    <w:tbl>
      <w:tblPr>
        <w:tblW w:w="5150" w:type="pct"/>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60"/>
        <w:gridCol w:w="1082"/>
        <w:gridCol w:w="1014"/>
        <w:gridCol w:w="848"/>
        <w:gridCol w:w="931"/>
        <w:gridCol w:w="359"/>
        <w:gridCol w:w="1410"/>
        <w:gridCol w:w="1112"/>
        <w:gridCol w:w="402"/>
        <w:gridCol w:w="412"/>
        <w:gridCol w:w="590"/>
        <w:gridCol w:w="477"/>
        <w:gridCol w:w="457"/>
        <w:gridCol w:w="458"/>
        <w:gridCol w:w="465"/>
        <w:gridCol w:w="591"/>
        <w:gridCol w:w="465"/>
        <w:gridCol w:w="465"/>
        <w:gridCol w:w="597"/>
        <w:gridCol w:w="465"/>
        <w:gridCol w:w="465"/>
        <w:gridCol w:w="468"/>
        <w:gridCol w:w="508"/>
        <w:gridCol w:w="496"/>
      </w:tblGrid>
      <w:tr w:rsidR="002F590A" w14:paraId="6061C92F" w14:textId="77777777" w:rsidTr="002F590A">
        <w:trPr>
          <w:trHeight w:val="65"/>
        </w:trPr>
        <w:tc>
          <w:tcPr>
            <w:tcW w:w="173" w:type="pct"/>
            <w:vMerge w:val="restart"/>
            <w:tcBorders>
              <w:top w:val="single" w:sz="4" w:space="0" w:color="auto"/>
              <w:left w:val="single" w:sz="4" w:space="0" w:color="auto"/>
              <w:bottom w:val="single" w:sz="4" w:space="0" w:color="auto"/>
              <w:right w:val="single" w:sz="4" w:space="0" w:color="auto"/>
            </w:tcBorders>
            <w:vAlign w:val="center"/>
            <w:hideMark/>
          </w:tcPr>
          <w:p w14:paraId="3ED3F40C" w14:textId="77777777" w:rsidR="002F590A" w:rsidRDefault="002F590A">
            <w:pPr>
              <w:jc w:val="center"/>
              <w:rPr>
                <w:bCs/>
                <w:sz w:val="13"/>
                <w:szCs w:val="13"/>
              </w:rPr>
            </w:pPr>
            <w:r>
              <w:rPr>
                <w:bCs/>
                <w:sz w:val="13"/>
                <w:szCs w:val="13"/>
              </w:rPr>
              <w:t>№</w:t>
            </w:r>
            <w:r>
              <w:rPr>
                <w:bCs/>
                <w:sz w:val="13"/>
                <w:szCs w:val="13"/>
              </w:rPr>
              <w:br/>
              <w:t>п/п</w:t>
            </w:r>
          </w:p>
        </w:tc>
        <w:tc>
          <w:tcPr>
            <w:tcW w:w="280" w:type="pct"/>
            <w:vMerge w:val="restart"/>
            <w:tcBorders>
              <w:top w:val="single" w:sz="4" w:space="0" w:color="auto"/>
              <w:left w:val="single" w:sz="4" w:space="0" w:color="auto"/>
              <w:bottom w:val="single" w:sz="4" w:space="0" w:color="auto"/>
              <w:right w:val="single" w:sz="4" w:space="0" w:color="auto"/>
            </w:tcBorders>
            <w:vAlign w:val="center"/>
            <w:hideMark/>
          </w:tcPr>
          <w:p w14:paraId="64464135" w14:textId="77777777" w:rsidR="002F590A" w:rsidRDefault="002F590A">
            <w:pPr>
              <w:jc w:val="center"/>
              <w:rPr>
                <w:bCs/>
                <w:sz w:val="13"/>
                <w:szCs w:val="13"/>
              </w:rPr>
            </w:pPr>
            <w:r>
              <w:rPr>
                <w:bCs/>
                <w:sz w:val="13"/>
                <w:szCs w:val="13"/>
              </w:rPr>
              <w:t>Наименование</w:t>
            </w:r>
            <w:r>
              <w:rPr>
                <w:bCs/>
                <w:sz w:val="13"/>
                <w:szCs w:val="13"/>
              </w:rPr>
              <w:br/>
              <w:t>мероприятий</w:t>
            </w:r>
          </w:p>
        </w:tc>
        <w:tc>
          <w:tcPr>
            <w:tcW w:w="313" w:type="pct"/>
            <w:vMerge w:val="restart"/>
            <w:tcBorders>
              <w:top w:val="single" w:sz="4" w:space="0" w:color="auto"/>
              <w:left w:val="single" w:sz="4" w:space="0" w:color="auto"/>
              <w:bottom w:val="single" w:sz="4" w:space="0" w:color="auto"/>
              <w:right w:val="single" w:sz="4" w:space="0" w:color="auto"/>
            </w:tcBorders>
            <w:vAlign w:val="center"/>
            <w:hideMark/>
          </w:tcPr>
          <w:p w14:paraId="764067B7" w14:textId="77777777" w:rsidR="002F590A" w:rsidRDefault="002F590A">
            <w:pPr>
              <w:jc w:val="center"/>
              <w:rPr>
                <w:bCs/>
                <w:sz w:val="13"/>
                <w:szCs w:val="13"/>
              </w:rPr>
            </w:pPr>
            <w:r>
              <w:rPr>
                <w:bCs/>
                <w:sz w:val="13"/>
                <w:szCs w:val="13"/>
              </w:rPr>
              <w:t>Обоснование необходимости (цель реализации)</w:t>
            </w:r>
          </w:p>
        </w:tc>
        <w:tc>
          <w:tcPr>
            <w:tcW w:w="275" w:type="pct"/>
            <w:vMerge w:val="restart"/>
            <w:tcBorders>
              <w:top w:val="single" w:sz="4" w:space="0" w:color="auto"/>
              <w:left w:val="single" w:sz="4" w:space="0" w:color="auto"/>
              <w:bottom w:val="single" w:sz="4" w:space="0" w:color="auto"/>
              <w:right w:val="single" w:sz="4" w:space="0" w:color="auto"/>
            </w:tcBorders>
            <w:vAlign w:val="center"/>
            <w:hideMark/>
          </w:tcPr>
          <w:p w14:paraId="1FD7D30A" w14:textId="77777777" w:rsidR="002F590A" w:rsidRDefault="002F590A">
            <w:pPr>
              <w:jc w:val="center"/>
              <w:rPr>
                <w:bCs/>
                <w:sz w:val="13"/>
                <w:szCs w:val="13"/>
              </w:rPr>
            </w:pPr>
            <w:r>
              <w:rPr>
                <w:bCs/>
                <w:sz w:val="13"/>
                <w:szCs w:val="13"/>
              </w:rPr>
              <w:t>Описание и место расположения</w:t>
            </w:r>
            <w:r>
              <w:rPr>
                <w:bCs/>
                <w:sz w:val="13"/>
                <w:szCs w:val="13"/>
              </w:rPr>
              <w:br/>
              <w:t>объекта</w:t>
            </w:r>
          </w:p>
        </w:tc>
        <w:tc>
          <w:tcPr>
            <w:tcW w:w="1093" w:type="pct"/>
            <w:gridSpan w:val="4"/>
            <w:tcBorders>
              <w:top w:val="single" w:sz="4" w:space="0" w:color="auto"/>
              <w:left w:val="single" w:sz="4" w:space="0" w:color="auto"/>
              <w:bottom w:val="single" w:sz="4" w:space="0" w:color="auto"/>
              <w:right w:val="single" w:sz="4" w:space="0" w:color="auto"/>
            </w:tcBorders>
            <w:vAlign w:val="center"/>
            <w:hideMark/>
          </w:tcPr>
          <w:p w14:paraId="35C7EE57" w14:textId="77777777" w:rsidR="002F590A" w:rsidRDefault="002F590A">
            <w:pPr>
              <w:jc w:val="center"/>
              <w:rPr>
                <w:bCs/>
                <w:sz w:val="13"/>
                <w:szCs w:val="13"/>
              </w:rPr>
            </w:pPr>
            <w:r>
              <w:rPr>
                <w:bCs/>
                <w:sz w:val="13"/>
                <w:szCs w:val="13"/>
              </w:rPr>
              <w:t>Основные технические характеристики</w:t>
            </w:r>
          </w:p>
        </w:tc>
        <w:tc>
          <w:tcPr>
            <w:tcW w:w="139" w:type="pct"/>
            <w:vMerge w:val="restart"/>
            <w:tcBorders>
              <w:top w:val="single" w:sz="4" w:space="0" w:color="auto"/>
              <w:left w:val="single" w:sz="4" w:space="0" w:color="auto"/>
              <w:bottom w:val="single" w:sz="4" w:space="0" w:color="auto"/>
              <w:right w:val="single" w:sz="4" w:space="0" w:color="auto"/>
            </w:tcBorders>
            <w:vAlign w:val="center"/>
            <w:hideMark/>
          </w:tcPr>
          <w:p w14:paraId="520F52ED" w14:textId="77777777" w:rsidR="002F590A" w:rsidRDefault="002F590A">
            <w:pPr>
              <w:ind w:left="-27"/>
              <w:jc w:val="center"/>
              <w:rPr>
                <w:bCs/>
                <w:sz w:val="13"/>
                <w:szCs w:val="13"/>
              </w:rPr>
            </w:pPr>
            <w:r>
              <w:rPr>
                <w:bCs/>
                <w:sz w:val="13"/>
                <w:szCs w:val="13"/>
              </w:rPr>
              <w:t xml:space="preserve">Год начала </w:t>
            </w:r>
            <w:proofErr w:type="gramStart"/>
            <w:r>
              <w:rPr>
                <w:bCs/>
                <w:sz w:val="13"/>
                <w:szCs w:val="13"/>
              </w:rPr>
              <w:t>реали-зации</w:t>
            </w:r>
            <w:proofErr w:type="gramEnd"/>
            <w:r>
              <w:rPr>
                <w:bCs/>
                <w:sz w:val="13"/>
                <w:szCs w:val="13"/>
              </w:rPr>
              <w:t xml:space="preserve"> меро-при-ятия</w:t>
            </w:r>
          </w:p>
        </w:tc>
        <w:tc>
          <w:tcPr>
            <w:tcW w:w="167" w:type="pct"/>
            <w:vMerge w:val="restart"/>
            <w:tcBorders>
              <w:top w:val="single" w:sz="4" w:space="0" w:color="auto"/>
              <w:left w:val="single" w:sz="4" w:space="0" w:color="auto"/>
              <w:bottom w:val="single" w:sz="4" w:space="0" w:color="auto"/>
              <w:right w:val="single" w:sz="4" w:space="0" w:color="auto"/>
            </w:tcBorders>
            <w:vAlign w:val="center"/>
            <w:hideMark/>
          </w:tcPr>
          <w:p w14:paraId="30ED2757" w14:textId="77777777" w:rsidR="002F590A" w:rsidRDefault="002F590A">
            <w:pPr>
              <w:ind w:left="-3"/>
              <w:jc w:val="center"/>
              <w:rPr>
                <w:bCs/>
                <w:sz w:val="13"/>
                <w:szCs w:val="13"/>
              </w:rPr>
            </w:pPr>
            <w:r>
              <w:rPr>
                <w:bCs/>
                <w:sz w:val="13"/>
                <w:szCs w:val="13"/>
              </w:rPr>
              <w:t xml:space="preserve">Год </w:t>
            </w:r>
            <w:proofErr w:type="gramStart"/>
            <w:r>
              <w:rPr>
                <w:bCs/>
                <w:sz w:val="13"/>
                <w:szCs w:val="13"/>
              </w:rPr>
              <w:t>окон-чания</w:t>
            </w:r>
            <w:proofErr w:type="gramEnd"/>
            <w:r>
              <w:rPr>
                <w:bCs/>
                <w:sz w:val="13"/>
                <w:szCs w:val="13"/>
              </w:rPr>
              <w:t xml:space="preserve"> реали-зации меро-при-ятия</w:t>
            </w:r>
          </w:p>
        </w:tc>
        <w:tc>
          <w:tcPr>
            <w:tcW w:w="2560" w:type="pct"/>
            <w:gridSpan w:val="14"/>
            <w:tcBorders>
              <w:top w:val="single" w:sz="4" w:space="0" w:color="auto"/>
              <w:left w:val="single" w:sz="4" w:space="0" w:color="auto"/>
              <w:bottom w:val="single" w:sz="4" w:space="0" w:color="auto"/>
              <w:right w:val="single" w:sz="4" w:space="0" w:color="auto"/>
            </w:tcBorders>
            <w:vAlign w:val="center"/>
            <w:hideMark/>
          </w:tcPr>
          <w:p w14:paraId="150AF4E6" w14:textId="77777777" w:rsidR="002F590A" w:rsidRDefault="002F590A">
            <w:pPr>
              <w:jc w:val="center"/>
              <w:rPr>
                <w:bCs/>
                <w:sz w:val="13"/>
                <w:szCs w:val="13"/>
              </w:rPr>
            </w:pPr>
            <w:r>
              <w:rPr>
                <w:bCs/>
                <w:sz w:val="13"/>
                <w:szCs w:val="13"/>
              </w:rPr>
              <w:t>Расходы на реализацию мероприятий в прогнозных ценах, тыс. руб. (с НДС)</w:t>
            </w:r>
          </w:p>
        </w:tc>
      </w:tr>
      <w:tr w:rsidR="002F590A" w14:paraId="444F4B56" w14:textId="77777777" w:rsidTr="002F590A">
        <w:trPr>
          <w:trHeight w:val="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7001AB" w14:textId="77777777" w:rsidR="002F590A" w:rsidRDefault="002F590A">
            <w:pPr>
              <w:spacing w:line="256" w:lineRule="auto"/>
              <w:rPr>
                <w:bCs/>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FCBEAF" w14:textId="77777777" w:rsidR="002F590A" w:rsidRDefault="002F590A">
            <w:pPr>
              <w:spacing w:line="256" w:lineRule="auto"/>
              <w:rPr>
                <w:bCs/>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2C16F1" w14:textId="77777777" w:rsidR="002F590A" w:rsidRDefault="002F590A">
            <w:pPr>
              <w:spacing w:line="256" w:lineRule="auto"/>
              <w:rPr>
                <w:bCs/>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78ED72" w14:textId="77777777" w:rsidR="002F590A" w:rsidRDefault="002F590A">
            <w:pPr>
              <w:spacing w:line="256" w:lineRule="auto"/>
              <w:rPr>
                <w:bCs/>
                <w:sz w:val="13"/>
                <w:szCs w:val="13"/>
              </w:rPr>
            </w:pPr>
          </w:p>
        </w:tc>
        <w:tc>
          <w:tcPr>
            <w:tcW w:w="303" w:type="pct"/>
            <w:vMerge w:val="restart"/>
            <w:tcBorders>
              <w:top w:val="single" w:sz="4" w:space="0" w:color="auto"/>
              <w:left w:val="single" w:sz="4" w:space="0" w:color="auto"/>
              <w:bottom w:val="single" w:sz="4" w:space="0" w:color="auto"/>
              <w:right w:val="single" w:sz="4" w:space="0" w:color="auto"/>
            </w:tcBorders>
            <w:vAlign w:val="center"/>
            <w:hideMark/>
          </w:tcPr>
          <w:p w14:paraId="1C3A1CB6" w14:textId="77777777" w:rsidR="002F590A" w:rsidRDefault="002F590A">
            <w:pPr>
              <w:jc w:val="center"/>
              <w:rPr>
                <w:bCs/>
                <w:sz w:val="13"/>
                <w:szCs w:val="13"/>
              </w:rPr>
            </w:pPr>
            <w:r>
              <w:rPr>
                <w:bCs/>
                <w:sz w:val="13"/>
                <w:szCs w:val="13"/>
              </w:rPr>
              <w:t xml:space="preserve">Наименование показателя (мощность, протяженность, диаметр </w:t>
            </w:r>
          </w:p>
          <w:p w14:paraId="7C6C33FA" w14:textId="77777777" w:rsidR="002F590A" w:rsidRDefault="002F590A">
            <w:pPr>
              <w:jc w:val="center"/>
              <w:rPr>
                <w:bCs/>
                <w:sz w:val="13"/>
                <w:szCs w:val="13"/>
              </w:rPr>
            </w:pPr>
            <w:r>
              <w:rPr>
                <w:bCs/>
                <w:sz w:val="13"/>
                <w:szCs w:val="13"/>
              </w:rPr>
              <w:t>и т.п.)</w:t>
            </w:r>
          </w:p>
        </w:tc>
        <w:tc>
          <w:tcPr>
            <w:tcW w:w="139" w:type="pct"/>
            <w:vMerge w:val="restart"/>
            <w:tcBorders>
              <w:top w:val="single" w:sz="4" w:space="0" w:color="auto"/>
              <w:left w:val="single" w:sz="4" w:space="0" w:color="auto"/>
              <w:bottom w:val="single" w:sz="4" w:space="0" w:color="auto"/>
              <w:right w:val="single" w:sz="4" w:space="0" w:color="auto"/>
            </w:tcBorders>
            <w:vAlign w:val="center"/>
            <w:hideMark/>
          </w:tcPr>
          <w:p w14:paraId="5E12F10F" w14:textId="77777777" w:rsidR="002F590A" w:rsidRDefault="002F590A">
            <w:pPr>
              <w:ind w:left="-108" w:right="-108"/>
              <w:jc w:val="center"/>
              <w:rPr>
                <w:bCs/>
                <w:sz w:val="13"/>
                <w:szCs w:val="13"/>
              </w:rPr>
            </w:pPr>
            <w:r>
              <w:rPr>
                <w:bCs/>
                <w:sz w:val="13"/>
                <w:szCs w:val="13"/>
              </w:rPr>
              <w:t>Ед.</w:t>
            </w:r>
            <w:r>
              <w:rPr>
                <w:bCs/>
                <w:sz w:val="13"/>
                <w:szCs w:val="13"/>
              </w:rPr>
              <w:br/>
              <w:t>изм.</w:t>
            </w:r>
          </w:p>
        </w:tc>
        <w:tc>
          <w:tcPr>
            <w:tcW w:w="651" w:type="pct"/>
            <w:gridSpan w:val="2"/>
            <w:tcBorders>
              <w:top w:val="single" w:sz="4" w:space="0" w:color="auto"/>
              <w:left w:val="single" w:sz="4" w:space="0" w:color="auto"/>
              <w:bottom w:val="single" w:sz="4" w:space="0" w:color="auto"/>
              <w:right w:val="single" w:sz="4" w:space="0" w:color="auto"/>
            </w:tcBorders>
            <w:vAlign w:val="center"/>
            <w:hideMark/>
          </w:tcPr>
          <w:p w14:paraId="17B6B461" w14:textId="77777777" w:rsidR="002F590A" w:rsidRDefault="002F590A">
            <w:pPr>
              <w:jc w:val="center"/>
              <w:rPr>
                <w:bCs/>
                <w:sz w:val="13"/>
                <w:szCs w:val="13"/>
              </w:rPr>
            </w:pPr>
            <w:r>
              <w:rPr>
                <w:bCs/>
                <w:sz w:val="13"/>
                <w:szCs w:val="13"/>
              </w:rPr>
              <w:t>Значение показателя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329E3E" w14:textId="77777777" w:rsidR="002F590A" w:rsidRDefault="002F590A">
            <w:pPr>
              <w:spacing w:line="256" w:lineRule="auto"/>
              <w:rPr>
                <w:bCs/>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ED826B" w14:textId="77777777" w:rsidR="002F590A" w:rsidRDefault="002F590A">
            <w:pPr>
              <w:spacing w:line="256" w:lineRule="auto"/>
              <w:rPr>
                <w:bCs/>
                <w:sz w:val="13"/>
                <w:szCs w:val="13"/>
              </w:rPr>
            </w:pPr>
          </w:p>
        </w:tc>
        <w:tc>
          <w:tcPr>
            <w:tcW w:w="216" w:type="pct"/>
            <w:vMerge w:val="restart"/>
            <w:tcBorders>
              <w:top w:val="single" w:sz="4" w:space="0" w:color="auto"/>
              <w:left w:val="single" w:sz="4" w:space="0" w:color="auto"/>
              <w:bottom w:val="single" w:sz="4" w:space="0" w:color="auto"/>
              <w:right w:val="single" w:sz="4" w:space="0" w:color="auto"/>
            </w:tcBorders>
            <w:vAlign w:val="center"/>
            <w:hideMark/>
          </w:tcPr>
          <w:p w14:paraId="71B1312A" w14:textId="77777777" w:rsidR="002F590A" w:rsidRDefault="002F590A">
            <w:pPr>
              <w:jc w:val="center"/>
              <w:rPr>
                <w:bCs/>
                <w:sz w:val="13"/>
                <w:szCs w:val="13"/>
              </w:rPr>
            </w:pPr>
            <w:r>
              <w:rPr>
                <w:bCs/>
                <w:sz w:val="13"/>
                <w:szCs w:val="13"/>
              </w:rPr>
              <w:t>Всего</w:t>
            </w:r>
          </w:p>
        </w:tc>
        <w:tc>
          <w:tcPr>
            <w:tcW w:w="174" w:type="pct"/>
            <w:vMerge w:val="restart"/>
            <w:tcBorders>
              <w:top w:val="single" w:sz="4" w:space="0" w:color="auto"/>
              <w:left w:val="single" w:sz="4" w:space="0" w:color="auto"/>
              <w:bottom w:val="single" w:sz="4" w:space="0" w:color="auto"/>
              <w:right w:val="single" w:sz="4" w:space="0" w:color="auto"/>
            </w:tcBorders>
            <w:vAlign w:val="center"/>
            <w:hideMark/>
          </w:tcPr>
          <w:p w14:paraId="35B8007C" w14:textId="77777777" w:rsidR="002F590A" w:rsidRDefault="002F590A">
            <w:pPr>
              <w:jc w:val="center"/>
              <w:rPr>
                <w:bCs/>
                <w:sz w:val="13"/>
                <w:szCs w:val="13"/>
              </w:rPr>
            </w:pPr>
            <w:r>
              <w:rPr>
                <w:bCs/>
                <w:sz w:val="13"/>
                <w:szCs w:val="13"/>
              </w:rPr>
              <w:t xml:space="preserve">Профи-нанси-ровано </w:t>
            </w:r>
          </w:p>
          <w:p w14:paraId="6EF761FF" w14:textId="77777777" w:rsidR="002F590A" w:rsidRDefault="002F590A">
            <w:pPr>
              <w:jc w:val="center"/>
              <w:rPr>
                <w:bCs/>
                <w:sz w:val="13"/>
                <w:szCs w:val="13"/>
              </w:rPr>
            </w:pPr>
            <w:r>
              <w:rPr>
                <w:bCs/>
                <w:sz w:val="13"/>
                <w:szCs w:val="13"/>
              </w:rPr>
              <w:t>к 2022</w:t>
            </w:r>
          </w:p>
        </w:tc>
        <w:tc>
          <w:tcPr>
            <w:tcW w:w="1825" w:type="pct"/>
            <w:gridSpan w:val="10"/>
            <w:tcBorders>
              <w:top w:val="single" w:sz="4" w:space="0" w:color="auto"/>
              <w:left w:val="single" w:sz="4" w:space="0" w:color="auto"/>
              <w:bottom w:val="single" w:sz="4" w:space="0" w:color="auto"/>
              <w:right w:val="single" w:sz="4" w:space="0" w:color="auto"/>
            </w:tcBorders>
            <w:vAlign w:val="center"/>
            <w:hideMark/>
          </w:tcPr>
          <w:p w14:paraId="23776262" w14:textId="77777777" w:rsidR="002F590A" w:rsidRDefault="002F590A">
            <w:pPr>
              <w:jc w:val="center"/>
              <w:rPr>
                <w:sz w:val="13"/>
                <w:szCs w:val="13"/>
              </w:rPr>
            </w:pPr>
            <w:r>
              <w:rPr>
                <w:bCs/>
                <w:sz w:val="13"/>
                <w:szCs w:val="13"/>
              </w:rPr>
              <w:t>в т.ч. по годам</w:t>
            </w:r>
          </w:p>
        </w:tc>
        <w:tc>
          <w:tcPr>
            <w:tcW w:w="173" w:type="pct"/>
            <w:vMerge w:val="restart"/>
            <w:tcBorders>
              <w:top w:val="single" w:sz="4" w:space="0" w:color="auto"/>
              <w:left w:val="single" w:sz="4" w:space="0" w:color="auto"/>
              <w:bottom w:val="single" w:sz="4" w:space="0" w:color="auto"/>
              <w:right w:val="single" w:sz="4" w:space="0" w:color="auto"/>
            </w:tcBorders>
            <w:vAlign w:val="center"/>
            <w:hideMark/>
          </w:tcPr>
          <w:p w14:paraId="36060F10" w14:textId="77777777" w:rsidR="002F590A" w:rsidRDefault="002F590A">
            <w:pPr>
              <w:jc w:val="center"/>
              <w:rPr>
                <w:sz w:val="13"/>
                <w:szCs w:val="13"/>
              </w:rPr>
            </w:pPr>
            <w:r>
              <w:rPr>
                <w:sz w:val="13"/>
                <w:szCs w:val="13"/>
              </w:rPr>
              <w:t>Остаток финан-сирова-ния</w:t>
            </w:r>
          </w:p>
        </w:tc>
        <w:tc>
          <w:tcPr>
            <w:tcW w:w="172" w:type="pct"/>
            <w:vMerge w:val="restart"/>
            <w:tcBorders>
              <w:top w:val="single" w:sz="4" w:space="0" w:color="auto"/>
              <w:left w:val="single" w:sz="4" w:space="0" w:color="auto"/>
              <w:bottom w:val="single" w:sz="4" w:space="0" w:color="auto"/>
              <w:right w:val="single" w:sz="4" w:space="0" w:color="auto"/>
            </w:tcBorders>
            <w:vAlign w:val="center"/>
            <w:hideMark/>
          </w:tcPr>
          <w:p w14:paraId="217C9AE7" w14:textId="77777777" w:rsidR="002F590A" w:rsidRDefault="002F590A">
            <w:pPr>
              <w:ind w:left="-30" w:right="-34"/>
              <w:jc w:val="center"/>
              <w:rPr>
                <w:bCs/>
                <w:sz w:val="13"/>
                <w:szCs w:val="13"/>
              </w:rPr>
            </w:pPr>
            <w:r>
              <w:rPr>
                <w:bCs/>
                <w:sz w:val="13"/>
                <w:szCs w:val="13"/>
              </w:rPr>
              <w:t>в т.</w:t>
            </w:r>
            <w:r>
              <w:rPr>
                <w:sz w:val="13"/>
                <w:szCs w:val="13"/>
              </w:rPr>
              <w:t xml:space="preserve">ч. за счет платы за </w:t>
            </w:r>
            <w:proofErr w:type="gramStart"/>
            <w:r>
              <w:rPr>
                <w:sz w:val="13"/>
                <w:szCs w:val="13"/>
              </w:rPr>
              <w:t>подклю-чение</w:t>
            </w:r>
            <w:proofErr w:type="gramEnd"/>
          </w:p>
        </w:tc>
      </w:tr>
      <w:tr w:rsidR="002F590A" w14:paraId="3B25C32F" w14:textId="77777777" w:rsidTr="002F590A">
        <w:trPr>
          <w:trHeight w:val="22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09FDA8" w14:textId="77777777" w:rsidR="002F590A" w:rsidRDefault="002F590A">
            <w:pPr>
              <w:spacing w:line="256" w:lineRule="auto"/>
              <w:rPr>
                <w:bCs/>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54E095" w14:textId="77777777" w:rsidR="002F590A" w:rsidRDefault="002F590A">
            <w:pPr>
              <w:spacing w:line="256" w:lineRule="auto"/>
              <w:rPr>
                <w:bCs/>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38AA11" w14:textId="77777777" w:rsidR="002F590A" w:rsidRDefault="002F590A">
            <w:pPr>
              <w:spacing w:line="256" w:lineRule="auto"/>
              <w:rPr>
                <w:bCs/>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E12445" w14:textId="77777777" w:rsidR="002F590A" w:rsidRDefault="002F590A">
            <w:pPr>
              <w:spacing w:line="256" w:lineRule="auto"/>
              <w:rPr>
                <w:bCs/>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393997" w14:textId="77777777" w:rsidR="002F590A" w:rsidRDefault="002F590A">
            <w:pPr>
              <w:spacing w:line="256" w:lineRule="auto"/>
              <w:rPr>
                <w:bCs/>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633D7B" w14:textId="77777777" w:rsidR="002F590A" w:rsidRDefault="002F590A">
            <w:pPr>
              <w:spacing w:line="256" w:lineRule="auto"/>
              <w:rPr>
                <w:bCs/>
                <w:sz w:val="13"/>
                <w:szCs w:val="13"/>
              </w:rPr>
            </w:pPr>
          </w:p>
        </w:tc>
        <w:tc>
          <w:tcPr>
            <w:tcW w:w="300" w:type="pct"/>
            <w:tcBorders>
              <w:top w:val="single" w:sz="4" w:space="0" w:color="auto"/>
              <w:left w:val="single" w:sz="4" w:space="0" w:color="auto"/>
              <w:bottom w:val="single" w:sz="4" w:space="0" w:color="auto"/>
              <w:right w:val="single" w:sz="4" w:space="0" w:color="auto"/>
            </w:tcBorders>
            <w:vAlign w:val="center"/>
            <w:hideMark/>
          </w:tcPr>
          <w:p w14:paraId="5E3A798A" w14:textId="77777777" w:rsidR="002F590A" w:rsidRDefault="002F590A">
            <w:pPr>
              <w:jc w:val="center"/>
              <w:rPr>
                <w:bCs/>
                <w:sz w:val="13"/>
                <w:szCs w:val="13"/>
              </w:rPr>
            </w:pPr>
            <w:r>
              <w:rPr>
                <w:bCs/>
                <w:sz w:val="13"/>
                <w:szCs w:val="13"/>
              </w:rPr>
              <w:t>до реализации мероприятия</w:t>
            </w:r>
          </w:p>
        </w:tc>
        <w:tc>
          <w:tcPr>
            <w:tcW w:w="351" w:type="pct"/>
            <w:tcBorders>
              <w:top w:val="single" w:sz="4" w:space="0" w:color="auto"/>
              <w:left w:val="single" w:sz="4" w:space="0" w:color="auto"/>
              <w:bottom w:val="single" w:sz="4" w:space="0" w:color="auto"/>
              <w:right w:val="single" w:sz="4" w:space="0" w:color="auto"/>
            </w:tcBorders>
            <w:vAlign w:val="center"/>
            <w:hideMark/>
          </w:tcPr>
          <w:p w14:paraId="04558585" w14:textId="77777777" w:rsidR="002F590A" w:rsidRDefault="002F590A">
            <w:pPr>
              <w:jc w:val="center"/>
              <w:rPr>
                <w:bCs/>
                <w:sz w:val="13"/>
                <w:szCs w:val="13"/>
              </w:rPr>
            </w:pPr>
            <w:r>
              <w:rPr>
                <w:bCs/>
                <w:sz w:val="13"/>
                <w:szCs w:val="13"/>
              </w:rPr>
              <w:t>после реализации мероприятия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EFDF62" w14:textId="77777777" w:rsidR="002F590A" w:rsidRDefault="002F590A">
            <w:pPr>
              <w:spacing w:line="256" w:lineRule="auto"/>
              <w:rPr>
                <w:bCs/>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59A8EB" w14:textId="77777777" w:rsidR="002F590A" w:rsidRDefault="002F590A">
            <w:pPr>
              <w:spacing w:line="256" w:lineRule="auto"/>
              <w:rPr>
                <w:bCs/>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1EB94" w14:textId="77777777" w:rsidR="002F590A" w:rsidRDefault="002F590A">
            <w:pPr>
              <w:spacing w:line="256" w:lineRule="auto"/>
              <w:rPr>
                <w:bCs/>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A76D0C" w14:textId="77777777" w:rsidR="002F590A" w:rsidRDefault="002F590A">
            <w:pPr>
              <w:spacing w:line="256" w:lineRule="auto"/>
              <w:rPr>
                <w:bCs/>
                <w:sz w:val="13"/>
                <w:szCs w:val="13"/>
              </w:rPr>
            </w:pPr>
          </w:p>
        </w:tc>
        <w:tc>
          <w:tcPr>
            <w:tcW w:w="174" w:type="pct"/>
            <w:tcBorders>
              <w:top w:val="single" w:sz="4" w:space="0" w:color="auto"/>
              <w:left w:val="single" w:sz="4" w:space="0" w:color="auto"/>
              <w:bottom w:val="single" w:sz="4" w:space="0" w:color="auto"/>
              <w:right w:val="single" w:sz="4" w:space="0" w:color="auto"/>
            </w:tcBorders>
            <w:vAlign w:val="center"/>
            <w:hideMark/>
          </w:tcPr>
          <w:p w14:paraId="100F4EDD" w14:textId="77777777" w:rsidR="002F590A" w:rsidRDefault="002F590A">
            <w:pPr>
              <w:jc w:val="center"/>
              <w:rPr>
                <w:bCs/>
                <w:sz w:val="13"/>
                <w:szCs w:val="13"/>
              </w:rPr>
            </w:pPr>
            <w:r>
              <w:rPr>
                <w:bCs/>
                <w:sz w:val="13"/>
                <w:szCs w:val="13"/>
              </w:rPr>
              <w:t>2022</w:t>
            </w:r>
          </w:p>
        </w:tc>
        <w:tc>
          <w:tcPr>
            <w:tcW w:w="172" w:type="pct"/>
            <w:tcBorders>
              <w:top w:val="single" w:sz="4" w:space="0" w:color="auto"/>
              <w:left w:val="single" w:sz="4" w:space="0" w:color="auto"/>
              <w:bottom w:val="single" w:sz="4" w:space="0" w:color="auto"/>
              <w:right w:val="single" w:sz="4" w:space="0" w:color="auto"/>
            </w:tcBorders>
            <w:vAlign w:val="center"/>
            <w:hideMark/>
          </w:tcPr>
          <w:p w14:paraId="36511E2C" w14:textId="77777777" w:rsidR="002F590A" w:rsidRDefault="002F590A">
            <w:pPr>
              <w:jc w:val="center"/>
              <w:rPr>
                <w:bCs/>
                <w:sz w:val="13"/>
                <w:szCs w:val="13"/>
              </w:rPr>
            </w:pPr>
            <w:r>
              <w:rPr>
                <w:bCs/>
                <w:sz w:val="13"/>
                <w:szCs w:val="13"/>
              </w:rPr>
              <w:t>2023</w:t>
            </w:r>
          </w:p>
        </w:tc>
        <w:tc>
          <w:tcPr>
            <w:tcW w:w="174" w:type="pct"/>
            <w:tcBorders>
              <w:top w:val="single" w:sz="4" w:space="0" w:color="auto"/>
              <w:left w:val="single" w:sz="4" w:space="0" w:color="auto"/>
              <w:bottom w:val="single" w:sz="4" w:space="0" w:color="auto"/>
              <w:right w:val="single" w:sz="4" w:space="0" w:color="auto"/>
            </w:tcBorders>
            <w:vAlign w:val="center"/>
            <w:hideMark/>
          </w:tcPr>
          <w:p w14:paraId="60FF4610" w14:textId="77777777" w:rsidR="002F590A" w:rsidRDefault="002F590A">
            <w:pPr>
              <w:jc w:val="center"/>
              <w:rPr>
                <w:bCs/>
                <w:sz w:val="13"/>
                <w:szCs w:val="13"/>
              </w:rPr>
            </w:pPr>
            <w:r>
              <w:rPr>
                <w:bCs/>
                <w:sz w:val="13"/>
                <w:szCs w:val="13"/>
              </w:rPr>
              <w:t>2024</w:t>
            </w:r>
          </w:p>
        </w:tc>
        <w:tc>
          <w:tcPr>
            <w:tcW w:w="216" w:type="pct"/>
            <w:tcBorders>
              <w:top w:val="single" w:sz="4" w:space="0" w:color="auto"/>
              <w:left w:val="single" w:sz="4" w:space="0" w:color="auto"/>
              <w:bottom w:val="single" w:sz="4" w:space="0" w:color="auto"/>
              <w:right w:val="single" w:sz="4" w:space="0" w:color="auto"/>
            </w:tcBorders>
            <w:vAlign w:val="center"/>
            <w:hideMark/>
          </w:tcPr>
          <w:p w14:paraId="3C2FC9FA" w14:textId="77777777" w:rsidR="002F590A" w:rsidRDefault="002F590A">
            <w:pPr>
              <w:ind w:left="-14"/>
              <w:jc w:val="center"/>
              <w:rPr>
                <w:bCs/>
                <w:sz w:val="13"/>
                <w:szCs w:val="13"/>
              </w:rPr>
            </w:pPr>
            <w:r>
              <w:rPr>
                <w:bCs/>
                <w:sz w:val="13"/>
                <w:szCs w:val="13"/>
              </w:rPr>
              <w:t>2025</w:t>
            </w:r>
          </w:p>
        </w:tc>
        <w:tc>
          <w:tcPr>
            <w:tcW w:w="174" w:type="pct"/>
            <w:tcBorders>
              <w:top w:val="single" w:sz="4" w:space="0" w:color="auto"/>
              <w:left w:val="single" w:sz="4" w:space="0" w:color="auto"/>
              <w:bottom w:val="single" w:sz="4" w:space="0" w:color="auto"/>
              <w:right w:val="single" w:sz="4" w:space="0" w:color="auto"/>
            </w:tcBorders>
            <w:vAlign w:val="center"/>
            <w:hideMark/>
          </w:tcPr>
          <w:p w14:paraId="10644075" w14:textId="77777777" w:rsidR="002F590A" w:rsidRDefault="002F590A">
            <w:pPr>
              <w:jc w:val="center"/>
              <w:rPr>
                <w:bCs/>
                <w:sz w:val="13"/>
                <w:szCs w:val="13"/>
              </w:rPr>
            </w:pPr>
            <w:r>
              <w:rPr>
                <w:bCs/>
                <w:sz w:val="13"/>
                <w:szCs w:val="13"/>
              </w:rPr>
              <w:t>2026</w:t>
            </w:r>
          </w:p>
        </w:tc>
        <w:tc>
          <w:tcPr>
            <w:tcW w:w="174" w:type="pct"/>
            <w:tcBorders>
              <w:top w:val="single" w:sz="4" w:space="0" w:color="auto"/>
              <w:left w:val="single" w:sz="4" w:space="0" w:color="auto"/>
              <w:bottom w:val="single" w:sz="4" w:space="0" w:color="auto"/>
              <w:right w:val="single" w:sz="4" w:space="0" w:color="auto"/>
            </w:tcBorders>
            <w:vAlign w:val="center"/>
            <w:hideMark/>
          </w:tcPr>
          <w:p w14:paraId="71098AAA" w14:textId="77777777" w:rsidR="002F590A" w:rsidRDefault="002F590A">
            <w:pPr>
              <w:jc w:val="center"/>
              <w:rPr>
                <w:bCs/>
                <w:sz w:val="13"/>
                <w:szCs w:val="13"/>
              </w:rPr>
            </w:pPr>
            <w:r>
              <w:rPr>
                <w:bCs/>
                <w:sz w:val="13"/>
                <w:szCs w:val="13"/>
              </w:rPr>
              <w:t>2027</w:t>
            </w:r>
          </w:p>
        </w:tc>
        <w:tc>
          <w:tcPr>
            <w:tcW w:w="218" w:type="pct"/>
            <w:tcBorders>
              <w:top w:val="single" w:sz="4" w:space="0" w:color="auto"/>
              <w:left w:val="single" w:sz="4" w:space="0" w:color="auto"/>
              <w:bottom w:val="single" w:sz="4" w:space="0" w:color="auto"/>
              <w:right w:val="single" w:sz="4" w:space="0" w:color="auto"/>
            </w:tcBorders>
            <w:vAlign w:val="center"/>
            <w:hideMark/>
          </w:tcPr>
          <w:p w14:paraId="16198483" w14:textId="77777777" w:rsidR="002F590A" w:rsidRDefault="002F590A">
            <w:pPr>
              <w:jc w:val="center"/>
              <w:rPr>
                <w:bCs/>
                <w:sz w:val="13"/>
                <w:szCs w:val="13"/>
              </w:rPr>
            </w:pPr>
            <w:r>
              <w:rPr>
                <w:bCs/>
                <w:sz w:val="13"/>
                <w:szCs w:val="13"/>
              </w:rPr>
              <w:t>2028</w:t>
            </w:r>
          </w:p>
        </w:tc>
        <w:tc>
          <w:tcPr>
            <w:tcW w:w="174" w:type="pct"/>
            <w:tcBorders>
              <w:top w:val="single" w:sz="4" w:space="0" w:color="auto"/>
              <w:left w:val="single" w:sz="4" w:space="0" w:color="auto"/>
              <w:bottom w:val="single" w:sz="4" w:space="0" w:color="auto"/>
              <w:right w:val="single" w:sz="4" w:space="0" w:color="auto"/>
            </w:tcBorders>
            <w:vAlign w:val="center"/>
            <w:hideMark/>
          </w:tcPr>
          <w:p w14:paraId="6BFD46AA" w14:textId="77777777" w:rsidR="002F590A" w:rsidRDefault="002F590A">
            <w:pPr>
              <w:jc w:val="center"/>
              <w:rPr>
                <w:bCs/>
                <w:sz w:val="13"/>
                <w:szCs w:val="13"/>
              </w:rPr>
            </w:pPr>
            <w:r>
              <w:rPr>
                <w:bCs/>
                <w:sz w:val="13"/>
                <w:szCs w:val="13"/>
              </w:rPr>
              <w:t>2029</w:t>
            </w:r>
          </w:p>
        </w:tc>
        <w:tc>
          <w:tcPr>
            <w:tcW w:w="174" w:type="pct"/>
            <w:tcBorders>
              <w:top w:val="single" w:sz="4" w:space="0" w:color="auto"/>
              <w:left w:val="single" w:sz="4" w:space="0" w:color="auto"/>
              <w:bottom w:val="single" w:sz="4" w:space="0" w:color="auto"/>
              <w:right w:val="single" w:sz="4" w:space="0" w:color="auto"/>
            </w:tcBorders>
            <w:vAlign w:val="center"/>
            <w:hideMark/>
          </w:tcPr>
          <w:p w14:paraId="6E8CE6FC" w14:textId="77777777" w:rsidR="002F590A" w:rsidRDefault="002F590A">
            <w:pPr>
              <w:jc w:val="center"/>
              <w:rPr>
                <w:bCs/>
                <w:sz w:val="13"/>
                <w:szCs w:val="13"/>
              </w:rPr>
            </w:pPr>
            <w:r>
              <w:rPr>
                <w:bCs/>
                <w:sz w:val="13"/>
                <w:szCs w:val="13"/>
              </w:rPr>
              <w:t>2030</w:t>
            </w:r>
          </w:p>
        </w:tc>
        <w:tc>
          <w:tcPr>
            <w:tcW w:w="175" w:type="pct"/>
            <w:tcBorders>
              <w:top w:val="single" w:sz="4" w:space="0" w:color="auto"/>
              <w:left w:val="single" w:sz="4" w:space="0" w:color="auto"/>
              <w:bottom w:val="single" w:sz="4" w:space="0" w:color="auto"/>
              <w:right w:val="single" w:sz="4" w:space="0" w:color="auto"/>
            </w:tcBorders>
            <w:vAlign w:val="center"/>
            <w:hideMark/>
          </w:tcPr>
          <w:p w14:paraId="2E863BDF" w14:textId="77777777" w:rsidR="002F590A" w:rsidRDefault="002F590A">
            <w:pPr>
              <w:jc w:val="center"/>
              <w:rPr>
                <w:bCs/>
                <w:sz w:val="13"/>
                <w:szCs w:val="13"/>
              </w:rPr>
            </w:pPr>
            <w:r>
              <w:rPr>
                <w:bCs/>
                <w:sz w:val="13"/>
                <w:szCs w:val="13"/>
              </w:rPr>
              <w:t>2031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B3AA42" w14:textId="77777777" w:rsidR="002F590A" w:rsidRDefault="002F590A">
            <w:pPr>
              <w:spacing w:line="256" w:lineRule="auto"/>
              <w:rPr>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97946B" w14:textId="77777777" w:rsidR="002F590A" w:rsidRDefault="002F590A">
            <w:pPr>
              <w:spacing w:line="256" w:lineRule="auto"/>
              <w:rPr>
                <w:bCs/>
                <w:sz w:val="13"/>
                <w:szCs w:val="13"/>
              </w:rPr>
            </w:pPr>
          </w:p>
        </w:tc>
      </w:tr>
      <w:tr w:rsidR="002F590A" w14:paraId="64732F57" w14:textId="77777777" w:rsidTr="002F590A">
        <w:trPr>
          <w:trHeight w:val="56"/>
        </w:trPr>
        <w:tc>
          <w:tcPr>
            <w:tcW w:w="173" w:type="pct"/>
            <w:tcBorders>
              <w:top w:val="single" w:sz="4" w:space="0" w:color="auto"/>
              <w:left w:val="single" w:sz="4" w:space="0" w:color="auto"/>
              <w:bottom w:val="single" w:sz="4" w:space="0" w:color="auto"/>
              <w:right w:val="single" w:sz="4" w:space="0" w:color="auto"/>
            </w:tcBorders>
            <w:vAlign w:val="center"/>
            <w:hideMark/>
          </w:tcPr>
          <w:p w14:paraId="32BDB4B9" w14:textId="77777777" w:rsidR="002F590A" w:rsidRDefault="002F590A">
            <w:pPr>
              <w:jc w:val="center"/>
              <w:rPr>
                <w:bCs/>
                <w:sz w:val="13"/>
                <w:szCs w:val="13"/>
              </w:rPr>
            </w:pPr>
            <w:r>
              <w:rPr>
                <w:bCs/>
                <w:sz w:val="13"/>
                <w:szCs w:val="13"/>
              </w:rPr>
              <w:t>1</w:t>
            </w:r>
          </w:p>
        </w:tc>
        <w:tc>
          <w:tcPr>
            <w:tcW w:w="280" w:type="pct"/>
            <w:tcBorders>
              <w:top w:val="single" w:sz="4" w:space="0" w:color="auto"/>
              <w:left w:val="single" w:sz="4" w:space="0" w:color="auto"/>
              <w:bottom w:val="single" w:sz="4" w:space="0" w:color="auto"/>
              <w:right w:val="single" w:sz="4" w:space="0" w:color="auto"/>
            </w:tcBorders>
            <w:vAlign w:val="center"/>
            <w:hideMark/>
          </w:tcPr>
          <w:p w14:paraId="32CADE19" w14:textId="77777777" w:rsidR="002F590A" w:rsidRDefault="002F590A">
            <w:pPr>
              <w:jc w:val="center"/>
              <w:rPr>
                <w:bCs/>
                <w:sz w:val="13"/>
                <w:szCs w:val="13"/>
              </w:rPr>
            </w:pPr>
            <w:r>
              <w:rPr>
                <w:bCs/>
                <w:sz w:val="13"/>
                <w:szCs w:val="13"/>
              </w:rPr>
              <w:t>2</w:t>
            </w:r>
          </w:p>
        </w:tc>
        <w:tc>
          <w:tcPr>
            <w:tcW w:w="313" w:type="pct"/>
            <w:tcBorders>
              <w:top w:val="single" w:sz="4" w:space="0" w:color="auto"/>
              <w:left w:val="single" w:sz="4" w:space="0" w:color="auto"/>
              <w:bottom w:val="single" w:sz="4" w:space="0" w:color="auto"/>
              <w:right w:val="single" w:sz="4" w:space="0" w:color="auto"/>
            </w:tcBorders>
            <w:vAlign w:val="center"/>
            <w:hideMark/>
          </w:tcPr>
          <w:p w14:paraId="2BB72419" w14:textId="77777777" w:rsidR="002F590A" w:rsidRDefault="002F590A">
            <w:pPr>
              <w:jc w:val="center"/>
              <w:rPr>
                <w:bCs/>
                <w:sz w:val="13"/>
                <w:szCs w:val="13"/>
              </w:rPr>
            </w:pPr>
            <w:r>
              <w:rPr>
                <w:bCs/>
                <w:sz w:val="13"/>
                <w:szCs w:val="13"/>
              </w:rPr>
              <w:t>3</w:t>
            </w:r>
          </w:p>
        </w:tc>
        <w:tc>
          <w:tcPr>
            <w:tcW w:w="275" w:type="pct"/>
            <w:tcBorders>
              <w:top w:val="single" w:sz="4" w:space="0" w:color="auto"/>
              <w:left w:val="single" w:sz="4" w:space="0" w:color="auto"/>
              <w:bottom w:val="single" w:sz="4" w:space="0" w:color="auto"/>
              <w:right w:val="single" w:sz="4" w:space="0" w:color="auto"/>
            </w:tcBorders>
            <w:vAlign w:val="center"/>
            <w:hideMark/>
          </w:tcPr>
          <w:p w14:paraId="2BF0A3B5" w14:textId="77777777" w:rsidR="002F590A" w:rsidRDefault="002F590A">
            <w:pPr>
              <w:jc w:val="center"/>
              <w:rPr>
                <w:bCs/>
                <w:sz w:val="13"/>
                <w:szCs w:val="13"/>
              </w:rPr>
            </w:pPr>
            <w:r>
              <w:rPr>
                <w:bCs/>
                <w:sz w:val="13"/>
                <w:szCs w:val="13"/>
              </w:rPr>
              <w:t>4</w:t>
            </w:r>
          </w:p>
        </w:tc>
        <w:tc>
          <w:tcPr>
            <w:tcW w:w="303" w:type="pct"/>
            <w:tcBorders>
              <w:top w:val="single" w:sz="4" w:space="0" w:color="auto"/>
              <w:left w:val="single" w:sz="4" w:space="0" w:color="auto"/>
              <w:bottom w:val="single" w:sz="4" w:space="0" w:color="auto"/>
              <w:right w:val="single" w:sz="4" w:space="0" w:color="auto"/>
            </w:tcBorders>
            <w:vAlign w:val="center"/>
            <w:hideMark/>
          </w:tcPr>
          <w:p w14:paraId="49C51B50" w14:textId="77777777" w:rsidR="002F590A" w:rsidRDefault="002F590A">
            <w:pPr>
              <w:jc w:val="center"/>
              <w:rPr>
                <w:bCs/>
                <w:sz w:val="13"/>
                <w:szCs w:val="13"/>
              </w:rPr>
            </w:pPr>
            <w:r>
              <w:rPr>
                <w:bCs/>
                <w:sz w:val="13"/>
                <w:szCs w:val="13"/>
              </w:rPr>
              <w:t>5</w:t>
            </w:r>
          </w:p>
        </w:tc>
        <w:tc>
          <w:tcPr>
            <w:tcW w:w="139" w:type="pct"/>
            <w:tcBorders>
              <w:top w:val="single" w:sz="4" w:space="0" w:color="auto"/>
              <w:left w:val="single" w:sz="4" w:space="0" w:color="auto"/>
              <w:bottom w:val="single" w:sz="4" w:space="0" w:color="auto"/>
              <w:right w:val="single" w:sz="4" w:space="0" w:color="auto"/>
            </w:tcBorders>
            <w:vAlign w:val="center"/>
            <w:hideMark/>
          </w:tcPr>
          <w:p w14:paraId="29B5AD9F" w14:textId="77777777" w:rsidR="002F590A" w:rsidRDefault="002F590A">
            <w:pPr>
              <w:jc w:val="center"/>
              <w:rPr>
                <w:bCs/>
                <w:sz w:val="13"/>
                <w:szCs w:val="13"/>
              </w:rPr>
            </w:pPr>
            <w:r>
              <w:rPr>
                <w:bCs/>
                <w:sz w:val="13"/>
                <w:szCs w:val="13"/>
              </w:rPr>
              <w:t>6</w:t>
            </w:r>
          </w:p>
        </w:tc>
        <w:tc>
          <w:tcPr>
            <w:tcW w:w="300" w:type="pct"/>
            <w:tcBorders>
              <w:top w:val="single" w:sz="4" w:space="0" w:color="auto"/>
              <w:left w:val="single" w:sz="4" w:space="0" w:color="auto"/>
              <w:bottom w:val="single" w:sz="4" w:space="0" w:color="auto"/>
              <w:right w:val="single" w:sz="4" w:space="0" w:color="auto"/>
            </w:tcBorders>
            <w:vAlign w:val="center"/>
            <w:hideMark/>
          </w:tcPr>
          <w:p w14:paraId="39D27345" w14:textId="77777777" w:rsidR="002F590A" w:rsidRDefault="002F590A">
            <w:pPr>
              <w:jc w:val="center"/>
              <w:rPr>
                <w:bCs/>
                <w:sz w:val="13"/>
                <w:szCs w:val="13"/>
              </w:rPr>
            </w:pPr>
            <w:r>
              <w:rPr>
                <w:bCs/>
                <w:sz w:val="13"/>
                <w:szCs w:val="13"/>
              </w:rPr>
              <w:t>7</w:t>
            </w:r>
          </w:p>
        </w:tc>
        <w:tc>
          <w:tcPr>
            <w:tcW w:w="351" w:type="pct"/>
            <w:tcBorders>
              <w:top w:val="single" w:sz="4" w:space="0" w:color="auto"/>
              <w:left w:val="single" w:sz="4" w:space="0" w:color="auto"/>
              <w:bottom w:val="single" w:sz="4" w:space="0" w:color="auto"/>
              <w:right w:val="single" w:sz="4" w:space="0" w:color="auto"/>
            </w:tcBorders>
            <w:vAlign w:val="center"/>
            <w:hideMark/>
          </w:tcPr>
          <w:p w14:paraId="599CF4FB" w14:textId="77777777" w:rsidR="002F590A" w:rsidRDefault="002F590A">
            <w:pPr>
              <w:jc w:val="center"/>
              <w:rPr>
                <w:bCs/>
                <w:sz w:val="13"/>
                <w:szCs w:val="13"/>
              </w:rPr>
            </w:pPr>
            <w:r>
              <w:rPr>
                <w:bCs/>
                <w:sz w:val="13"/>
                <w:szCs w:val="13"/>
              </w:rPr>
              <w:t>8</w:t>
            </w:r>
          </w:p>
        </w:tc>
        <w:tc>
          <w:tcPr>
            <w:tcW w:w="139" w:type="pct"/>
            <w:tcBorders>
              <w:top w:val="single" w:sz="4" w:space="0" w:color="auto"/>
              <w:left w:val="single" w:sz="4" w:space="0" w:color="auto"/>
              <w:bottom w:val="single" w:sz="4" w:space="0" w:color="auto"/>
              <w:right w:val="single" w:sz="4" w:space="0" w:color="auto"/>
            </w:tcBorders>
            <w:vAlign w:val="center"/>
            <w:hideMark/>
          </w:tcPr>
          <w:p w14:paraId="756F35FE" w14:textId="77777777" w:rsidR="002F590A" w:rsidRDefault="002F590A">
            <w:pPr>
              <w:jc w:val="center"/>
              <w:rPr>
                <w:bCs/>
                <w:sz w:val="13"/>
                <w:szCs w:val="13"/>
              </w:rPr>
            </w:pPr>
            <w:r>
              <w:rPr>
                <w:bCs/>
                <w:sz w:val="13"/>
                <w:szCs w:val="13"/>
              </w:rPr>
              <w:t>9</w:t>
            </w:r>
          </w:p>
        </w:tc>
        <w:tc>
          <w:tcPr>
            <w:tcW w:w="167" w:type="pct"/>
            <w:tcBorders>
              <w:top w:val="single" w:sz="4" w:space="0" w:color="auto"/>
              <w:left w:val="single" w:sz="4" w:space="0" w:color="auto"/>
              <w:bottom w:val="single" w:sz="4" w:space="0" w:color="auto"/>
              <w:right w:val="single" w:sz="4" w:space="0" w:color="auto"/>
            </w:tcBorders>
            <w:vAlign w:val="center"/>
            <w:hideMark/>
          </w:tcPr>
          <w:p w14:paraId="4677584B" w14:textId="77777777" w:rsidR="002F590A" w:rsidRDefault="002F590A">
            <w:pPr>
              <w:jc w:val="center"/>
              <w:rPr>
                <w:bCs/>
                <w:sz w:val="13"/>
                <w:szCs w:val="13"/>
              </w:rPr>
            </w:pPr>
            <w:r>
              <w:rPr>
                <w:bCs/>
                <w:sz w:val="13"/>
                <w:szCs w:val="13"/>
              </w:rPr>
              <w:t>10</w:t>
            </w:r>
          </w:p>
        </w:tc>
        <w:tc>
          <w:tcPr>
            <w:tcW w:w="216" w:type="pct"/>
            <w:tcBorders>
              <w:top w:val="single" w:sz="4" w:space="0" w:color="auto"/>
              <w:left w:val="single" w:sz="4" w:space="0" w:color="auto"/>
              <w:bottom w:val="single" w:sz="4" w:space="0" w:color="auto"/>
              <w:right w:val="single" w:sz="4" w:space="0" w:color="auto"/>
            </w:tcBorders>
            <w:vAlign w:val="center"/>
            <w:hideMark/>
          </w:tcPr>
          <w:p w14:paraId="6B831B5F" w14:textId="77777777" w:rsidR="002F590A" w:rsidRDefault="002F590A">
            <w:pPr>
              <w:jc w:val="center"/>
              <w:rPr>
                <w:bCs/>
                <w:sz w:val="13"/>
                <w:szCs w:val="13"/>
              </w:rPr>
            </w:pPr>
            <w:r>
              <w:rPr>
                <w:bCs/>
                <w:sz w:val="13"/>
                <w:szCs w:val="13"/>
              </w:rPr>
              <w:t>11</w:t>
            </w:r>
          </w:p>
        </w:tc>
        <w:tc>
          <w:tcPr>
            <w:tcW w:w="174" w:type="pct"/>
            <w:tcBorders>
              <w:top w:val="single" w:sz="4" w:space="0" w:color="auto"/>
              <w:left w:val="single" w:sz="4" w:space="0" w:color="auto"/>
              <w:bottom w:val="single" w:sz="4" w:space="0" w:color="auto"/>
              <w:right w:val="single" w:sz="4" w:space="0" w:color="auto"/>
            </w:tcBorders>
            <w:vAlign w:val="center"/>
            <w:hideMark/>
          </w:tcPr>
          <w:p w14:paraId="1FBDFB75" w14:textId="77777777" w:rsidR="002F590A" w:rsidRDefault="002F590A">
            <w:pPr>
              <w:jc w:val="center"/>
              <w:rPr>
                <w:bCs/>
                <w:sz w:val="13"/>
                <w:szCs w:val="13"/>
              </w:rPr>
            </w:pPr>
            <w:r>
              <w:rPr>
                <w:bCs/>
                <w:sz w:val="13"/>
                <w:szCs w:val="13"/>
              </w:rPr>
              <w:t>12</w:t>
            </w:r>
          </w:p>
        </w:tc>
        <w:tc>
          <w:tcPr>
            <w:tcW w:w="174" w:type="pct"/>
            <w:tcBorders>
              <w:top w:val="single" w:sz="4" w:space="0" w:color="auto"/>
              <w:left w:val="single" w:sz="4" w:space="0" w:color="auto"/>
              <w:bottom w:val="single" w:sz="4" w:space="0" w:color="auto"/>
              <w:right w:val="single" w:sz="4" w:space="0" w:color="auto"/>
            </w:tcBorders>
            <w:vAlign w:val="center"/>
            <w:hideMark/>
          </w:tcPr>
          <w:p w14:paraId="5664795D" w14:textId="77777777" w:rsidR="002F590A" w:rsidRDefault="002F590A">
            <w:pPr>
              <w:jc w:val="center"/>
              <w:rPr>
                <w:bCs/>
                <w:sz w:val="13"/>
                <w:szCs w:val="13"/>
              </w:rPr>
            </w:pPr>
            <w:r>
              <w:rPr>
                <w:bCs/>
                <w:sz w:val="13"/>
                <w:szCs w:val="13"/>
              </w:rPr>
              <w:t>13</w:t>
            </w:r>
          </w:p>
        </w:tc>
        <w:tc>
          <w:tcPr>
            <w:tcW w:w="172" w:type="pct"/>
            <w:tcBorders>
              <w:top w:val="single" w:sz="4" w:space="0" w:color="auto"/>
              <w:left w:val="single" w:sz="4" w:space="0" w:color="auto"/>
              <w:bottom w:val="single" w:sz="4" w:space="0" w:color="auto"/>
              <w:right w:val="single" w:sz="4" w:space="0" w:color="auto"/>
            </w:tcBorders>
            <w:vAlign w:val="center"/>
            <w:hideMark/>
          </w:tcPr>
          <w:p w14:paraId="6790D806" w14:textId="77777777" w:rsidR="002F590A" w:rsidRDefault="002F590A">
            <w:pPr>
              <w:jc w:val="center"/>
              <w:rPr>
                <w:bCs/>
                <w:sz w:val="13"/>
                <w:szCs w:val="13"/>
              </w:rPr>
            </w:pPr>
            <w:r>
              <w:rPr>
                <w:bCs/>
                <w:sz w:val="13"/>
                <w:szCs w:val="13"/>
              </w:rPr>
              <w:t>14</w:t>
            </w:r>
          </w:p>
        </w:tc>
        <w:tc>
          <w:tcPr>
            <w:tcW w:w="174" w:type="pct"/>
            <w:tcBorders>
              <w:top w:val="single" w:sz="4" w:space="0" w:color="auto"/>
              <w:left w:val="single" w:sz="4" w:space="0" w:color="auto"/>
              <w:bottom w:val="single" w:sz="4" w:space="0" w:color="auto"/>
              <w:right w:val="single" w:sz="4" w:space="0" w:color="auto"/>
            </w:tcBorders>
            <w:vAlign w:val="center"/>
            <w:hideMark/>
          </w:tcPr>
          <w:p w14:paraId="3ABC45F5" w14:textId="77777777" w:rsidR="002F590A" w:rsidRDefault="002F590A">
            <w:pPr>
              <w:jc w:val="center"/>
              <w:rPr>
                <w:bCs/>
                <w:sz w:val="13"/>
                <w:szCs w:val="13"/>
              </w:rPr>
            </w:pPr>
            <w:r>
              <w:rPr>
                <w:bCs/>
                <w:sz w:val="13"/>
                <w:szCs w:val="13"/>
              </w:rPr>
              <w:t>15</w:t>
            </w:r>
          </w:p>
        </w:tc>
        <w:tc>
          <w:tcPr>
            <w:tcW w:w="216" w:type="pct"/>
            <w:tcBorders>
              <w:top w:val="single" w:sz="4" w:space="0" w:color="auto"/>
              <w:left w:val="single" w:sz="4" w:space="0" w:color="auto"/>
              <w:bottom w:val="single" w:sz="4" w:space="0" w:color="auto"/>
              <w:right w:val="single" w:sz="4" w:space="0" w:color="auto"/>
            </w:tcBorders>
            <w:vAlign w:val="center"/>
            <w:hideMark/>
          </w:tcPr>
          <w:p w14:paraId="63D4916F" w14:textId="77777777" w:rsidR="002F590A" w:rsidRDefault="002F590A">
            <w:pPr>
              <w:jc w:val="center"/>
              <w:rPr>
                <w:bCs/>
                <w:sz w:val="13"/>
                <w:szCs w:val="13"/>
              </w:rPr>
            </w:pPr>
            <w:r>
              <w:rPr>
                <w:bCs/>
                <w:sz w:val="13"/>
                <w:szCs w:val="13"/>
              </w:rPr>
              <w:t>16</w:t>
            </w:r>
          </w:p>
        </w:tc>
        <w:tc>
          <w:tcPr>
            <w:tcW w:w="174" w:type="pct"/>
            <w:tcBorders>
              <w:top w:val="single" w:sz="4" w:space="0" w:color="auto"/>
              <w:left w:val="single" w:sz="4" w:space="0" w:color="auto"/>
              <w:bottom w:val="single" w:sz="4" w:space="0" w:color="auto"/>
              <w:right w:val="single" w:sz="4" w:space="0" w:color="auto"/>
            </w:tcBorders>
            <w:vAlign w:val="center"/>
            <w:hideMark/>
          </w:tcPr>
          <w:p w14:paraId="6CDC2976" w14:textId="77777777" w:rsidR="002F590A" w:rsidRDefault="002F590A">
            <w:pPr>
              <w:jc w:val="center"/>
              <w:rPr>
                <w:bCs/>
                <w:sz w:val="13"/>
                <w:szCs w:val="13"/>
              </w:rPr>
            </w:pPr>
            <w:r>
              <w:rPr>
                <w:bCs/>
                <w:sz w:val="13"/>
                <w:szCs w:val="13"/>
              </w:rPr>
              <w:t>17</w:t>
            </w:r>
          </w:p>
        </w:tc>
        <w:tc>
          <w:tcPr>
            <w:tcW w:w="174" w:type="pct"/>
            <w:tcBorders>
              <w:top w:val="single" w:sz="4" w:space="0" w:color="auto"/>
              <w:left w:val="single" w:sz="4" w:space="0" w:color="auto"/>
              <w:bottom w:val="single" w:sz="4" w:space="0" w:color="auto"/>
              <w:right w:val="single" w:sz="4" w:space="0" w:color="auto"/>
            </w:tcBorders>
            <w:vAlign w:val="center"/>
            <w:hideMark/>
          </w:tcPr>
          <w:p w14:paraId="552F8169" w14:textId="77777777" w:rsidR="002F590A" w:rsidRDefault="002F590A">
            <w:pPr>
              <w:jc w:val="center"/>
              <w:rPr>
                <w:bCs/>
                <w:sz w:val="13"/>
                <w:szCs w:val="13"/>
              </w:rPr>
            </w:pPr>
            <w:r>
              <w:rPr>
                <w:bCs/>
                <w:sz w:val="13"/>
                <w:szCs w:val="13"/>
              </w:rPr>
              <w:t>18</w:t>
            </w:r>
          </w:p>
        </w:tc>
        <w:tc>
          <w:tcPr>
            <w:tcW w:w="218" w:type="pct"/>
            <w:tcBorders>
              <w:top w:val="single" w:sz="4" w:space="0" w:color="auto"/>
              <w:left w:val="single" w:sz="4" w:space="0" w:color="auto"/>
              <w:bottom w:val="single" w:sz="4" w:space="0" w:color="auto"/>
              <w:right w:val="single" w:sz="4" w:space="0" w:color="auto"/>
            </w:tcBorders>
            <w:vAlign w:val="center"/>
            <w:hideMark/>
          </w:tcPr>
          <w:p w14:paraId="1A848891" w14:textId="77777777" w:rsidR="002F590A" w:rsidRDefault="002F590A">
            <w:pPr>
              <w:jc w:val="center"/>
              <w:rPr>
                <w:bCs/>
                <w:sz w:val="13"/>
                <w:szCs w:val="13"/>
              </w:rPr>
            </w:pPr>
            <w:r>
              <w:rPr>
                <w:bCs/>
                <w:sz w:val="13"/>
                <w:szCs w:val="13"/>
              </w:rPr>
              <w:t>19</w:t>
            </w:r>
          </w:p>
        </w:tc>
        <w:tc>
          <w:tcPr>
            <w:tcW w:w="174" w:type="pct"/>
            <w:tcBorders>
              <w:top w:val="single" w:sz="4" w:space="0" w:color="auto"/>
              <w:left w:val="single" w:sz="4" w:space="0" w:color="auto"/>
              <w:bottom w:val="single" w:sz="4" w:space="0" w:color="auto"/>
              <w:right w:val="single" w:sz="4" w:space="0" w:color="auto"/>
            </w:tcBorders>
            <w:vAlign w:val="center"/>
            <w:hideMark/>
          </w:tcPr>
          <w:p w14:paraId="6977D9F8" w14:textId="77777777" w:rsidR="002F590A" w:rsidRDefault="002F590A">
            <w:pPr>
              <w:jc w:val="center"/>
              <w:rPr>
                <w:bCs/>
                <w:sz w:val="13"/>
                <w:szCs w:val="13"/>
              </w:rPr>
            </w:pPr>
            <w:r>
              <w:rPr>
                <w:bCs/>
                <w:sz w:val="13"/>
                <w:szCs w:val="13"/>
              </w:rPr>
              <w:t>20</w:t>
            </w:r>
          </w:p>
        </w:tc>
        <w:tc>
          <w:tcPr>
            <w:tcW w:w="174" w:type="pct"/>
            <w:tcBorders>
              <w:top w:val="single" w:sz="4" w:space="0" w:color="auto"/>
              <w:left w:val="single" w:sz="4" w:space="0" w:color="auto"/>
              <w:bottom w:val="single" w:sz="4" w:space="0" w:color="auto"/>
              <w:right w:val="single" w:sz="4" w:space="0" w:color="auto"/>
            </w:tcBorders>
            <w:vAlign w:val="center"/>
            <w:hideMark/>
          </w:tcPr>
          <w:p w14:paraId="35F2013F" w14:textId="77777777" w:rsidR="002F590A" w:rsidRDefault="002F590A">
            <w:pPr>
              <w:jc w:val="center"/>
              <w:rPr>
                <w:bCs/>
                <w:sz w:val="13"/>
                <w:szCs w:val="13"/>
              </w:rPr>
            </w:pPr>
            <w:r>
              <w:rPr>
                <w:bCs/>
                <w:sz w:val="13"/>
                <w:szCs w:val="13"/>
              </w:rPr>
              <w:t>21</w:t>
            </w:r>
          </w:p>
        </w:tc>
        <w:tc>
          <w:tcPr>
            <w:tcW w:w="175" w:type="pct"/>
            <w:tcBorders>
              <w:top w:val="single" w:sz="4" w:space="0" w:color="auto"/>
              <w:left w:val="single" w:sz="4" w:space="0" w:color="auto"/>
              <w:bottom w:val="single" w:sz="4" w:space="0" w:color="auto"/>
              <w:right w:val="single" w:sz="4" w:space="0" w:color="auto"/>
            </w:tcBorders>
            <w:vAlign w:val="center"/>
            <w:hideMark/>
          </w:tcPr>
          <w:p w14:paraId="202694EC" w14:textId="77777777" w:rsidR="002F590A" w:rsidRDefault="002F590A">
            <w:pPr>
              <w:jc w:val="center"/>
              <w:rPr>
                <w:bCs/>
                <w:sz w:val="13"/>
                <w:szCs w:val="13"/>
              </w:rPr>
            </w:pPr>
            <w:r>
              <w:rPr>
                <w:bCs/>
                <w:sz w:val="13"/>
                <w:szCs w:val="13"/>
              </w:rPr>
              <w:t>22</w:t>
            </w:r>
          </w:p>
        </w:tc>
        <w:tc>
          <w:tcPr>
            <w:tcW w:w="173" w:type="pct"/>
            <w:tcBorders>
              <w:top w:val="single" w:sz="4" w:space="0" w:color="auto"/>
              <w:left w:val="single" w:sz="4" w:space="0" w:color="auto"/>
              <w:bottom w:val="single" w:sz="4" w:space="0" w:color="auto"/>
              <w:right w:val="single" w:sz="4" w:space="0" w:color="auto"/>
            </w:tcBorders>
            <w:vAlign w:val="center"/>
            <w:hideMark/>
          </w:tcPr>
          <w:p w14:paraId="032BDCB5" w14:textId="77777777" w:rsidR="002F590A" w:rsidRDefault="002F590A">
            <w:pPr>
              <w:jc w:val="center"/>
              <w:rPr>
                <w:bCs/>
                <w:sz w:val="13"/>
                <w:szCs w:val="13"/>
              </w:rPr>
            </w:pPr>
            <w:r>
              <w:rPr>
                <w:bCs/>
                <w:sz w:val="13"/>
                <w:szCs w:val="13"/>
              </w:rPr>
              <w:t>23</w:t>
            </w:r>
          </w:p>
        </w:tc>
        <w:tc>
          <w:tcPr>
            <w:tcW w:w="172" w:type="pct"/>
            <w:tcBorders>
              <w:top w:val="single" w:sz="4" w:space="0" w:color="auto"/>
              <w:left w:val="single" w:sz="4" w:space="0" w:color="auto"/>
              <w:bottom w:val="single" w:sz="4" w:space="0" w:color="auto"/>
              <w:right w:val="single" w:sz="4" w:space="0" w:color="auto"/>
            </w:tcBorders>
            <w:vAlign w:val="center"/>
            <w:hideMark/>
          </w:tcPr>
          <w:p w14:paraId="44BEBD5B" w14:textId="77777777" w:rsidR="002F590A" w:rsidRDefault="002F590A">
            <w:pPr>
              <w:jc w:val="center"/>
              <w:rPr>
                <w:bCs/>
                <w:sz w:val="13"/>
                <w:szCs w:val="13"/>
              </w:rPr>
            </w:pPr>
            <w:r>
              <w:rPr>
                <w:bCs/>
                <w:sz w:val="13"/>
                <w:szCs w:val="13"/>
              </w:rPr>
              <w:t>24</w:t>
            </w:r>
          </w:p>
        </w:tc>
      </w:tr>
      <w:tr w:rsidR="002F590A" w14:paraId="45ECB2FB" w14:textId="77777777" w:rsidTr="002F590A">
        <w:trPr>
          <w:trHeight w:val="56"/>
        </w:trPr>
        <w:tc>
          <w:tcPr>
            <w:tcW w:w="5000" w:type="pct"/>
            <w:gridSpan w:val="24"/>
            <w:tcBorders>
              <w:top w:val="single" w:sz="4" w:space="0" w:color="auto"/>
              <w:left w:val="single" w:sz="4" w:space="0" w:color="auto"/>
              <w:bottom w:val="single" w:sz="4" w:space="0" w:color="auto"/>
              <w:right w:val="single" w:sz="4" w:space="0" w:color="auto"/>
            </w:tcBorders>
            <w:hideMark/>
          </w:tcPr>
          <w:p w14:paraId="31EC00F0" w14:textId="77777777" w:rsidR="002F590A" w:rsidRDefault="002F590A">
            <w:pPr>
              <w:rPr>
                <w:sz w:val="13"/>
                <w:szCs w:val="13"/>
              </w:rPr>
            </w:pPr>
            <w:r>
              <w:rPr>
                <w:sz w:val="13"/>
                <w:szCs w:val="13"/>
              </w:rPr>
              <w:t>Группа 1. Строительство, реконструкция или модернизация объектов в целях подключения потребителей:</w:t>
            </w:r>
          </w:p>
        </w:tc>
      </w:tr>
      <w:tr w:rsidR="002F590A" w14:paraId="6E03F836" w14:textId="77777777" w:rsidTr="002F590A">
        <w:trPr>
          <w:trHeight w:val="56"/>
        </w:trPr>
        <w:tc>
          <w:tcPr>
            <w:tcW w:w="5000" w:type="pct"/>
            <w:gridSpan w:val="24"/>
            <w:tcBorders>
              <w:top w:val="single" w:sz="4" w:space="0" w:color="auto"/>
              <w:left w:val="single" w:sz="4" w:space="0" w:color="auto"/>
              <w:bottom w:val="single" w:sz="4" w:space="0" w:color="auto"/>
              <w:right w:val="single" w:sz="4" w:space="0" w:color="auto"/>
            </w:tcBorders>
            <w:hideMark/>
          </w:tcPr>
          <w:p w14:paraId="249B1F14" w14:textId="77777777" w:rsidR="002F590A" w:rsidRDefault="002F590A">
            <w:pPr>
              <w:rPr>
                <w:sz w:val="13"/>
                <w:szCs w:val="13"/>
              </w:rPr>
            </w:pPr>
            <w:r>
              <w:rPr>
                <w:sz w:val="13"/>
                <w:szCs w:val="13"/>
              </w:rPr>
              <w:t>1.1. Строительство новых тепловых сетей в целях подключения потребителей</w:t>
            </w:r>
          </w:p>
        </w:tc>
      </w:tr>
      <w:tr w:rsidR="002F590A" w14:paraId="69336B85" w14:textId="77777777" w:rsidTr="002F590A">
        <w:trPr>
          <w:trHeight w:val="56"/>
        </w:trPr>
        <w:tc>
          <w:tcPr>
            <w:tcW w:w="5000" w:type="pct"/>
            <w:gridSpan w:val="24"/>
            <w:tcBorders>
              <w:top w:val="single" w:sz="4" w:space="0" w:color="auto"/>
              <w:left w:val="single" w:sz="4" w:space="0" w:color="auto"/>
              <w:bottom w:val="single" w:sz="4" w:space="0" w:color="auto"/>
              <w:right w:val="single" w:sz="4" w:space="0" w:color="auto"/>
            </w:tcBorders>
            <w:hideMark/>
          </w:tcPr>
          <w:p w14:paraId="2956276E" w14:textId="77777777" w:rsidR="002F590A" w:rsidRDefault="002F590A">
            <w:pPr>
              <w:rPr>
                <w:sz w:val="13"/>
                <w:szCs w:val="13"/>
              </w:rPr>
            </w:pPr>
            <w:r>
              <w:rPr>
                <w:sz w:val="13"/>
                <w:szCs w:val="13"/>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2F590A" w14:paraId="39318DE2" w14:textId="77777777" w:rsidTr="002F590A">
        <w:trPr>
          <w:trHeight w:val="56"/>
        </w:trPr>
        <w:tc>
          <w:tcPr>
            <w:tcW w:w="5000" w:type="pct"/>
            <w:gridSpan w:val="24"/>
            <w:tcBorders>
              <w:top w:val="single" w:sz="4" w:space="0" w:color="auto"/>
              <w:left w:val="single" w:sz="4" w:space="0" w:color="auto"/>
              <w:bottom w:val="single" w:sz="4" w:space="0" w:color="auto"/>
              <w:right w:val="single" w:sz="4" w:space="0" w:color="auto"/>
            </w:tcBorders>
            <w:hideMark/>
          </w:tcPr>
          <w:p w14:paraId="74B0AEDF" w14:textId="77777777" w:rsidR="002F590A" w:rsidRDefault="002F590A">
            <w:pPr>
              <w:rPr>
                <w:sz w:val="13"/>
                <w:szCs w:val="13"/>
              </w:rPr>
            </w:pPr>
            <w:r>
              <w:rPr>
                <w:sz w:val="13"/>
                <w:szCs w:val="13"/>
              </w:rPr>
              <w:t>1.3. Увеличение пропускной способности существующих тепловых сетей в целях подключения потребителей</w:t>
            </w:r>
          </w:p>
        </w:tc>
      </w:tr>
      <w:tr w:rsidR="002F590A" w14:paraId="19E6E424" w14:textId="77777777" w:rsidTr="002F590A">
        <w:trPr>
          <w:trHeight w:val="56"/>
        </w:trPr>
        <w:tc>
          <w:tcPr>
            <w:tcW w:w="5000" w:type="pct"/>
            <w:gridSpan w:val="24"/>
            <w:tcBorders>
              <w:top w:val="single" w:sz="4" w:space="0" w:color="auto"/>
              <w:left w:val="single" w:sz="4" w:space="0" w:color="auto"/>
              <w:bottom w:val="single" w:sz="4" w:space="0" w:color="auto"/>
              <w:right w:val="single" w:sz="4" w:space="0" w:color="auto"/>
            </w:tcBorders>
            <w:hideMark/>
          </w:tcPr>
          <w:p w14:paraId="3D1CEE18" w14:textId="77777777" w:rsidR="002F590A" w:rsidRDefault="002F590A">
            <w:pPr>
              <w:rPr>
                <w:sz w:val="13"/>
                <w:szCs w:val="13"/>
              </w:rPr>
            </w:pPr>
            <w:r>
              <w:rPr>
                <w:sz w:val="13"/>
                <w:szCs w:val="13"/>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2F590A" w14:paraId="68B0AE04" w14:textId="77777777" w:rsidTr="002F590A">
        <w:trPr>
          <w:trHeight w:val="47"/>
        </w:trPr>
        <w:tc>
          <w:tcPr>
            <w:tcW w:w="2440" w:type="pct"/>
            <w:gridSpan w:val="10"/>
            <w:tcBorders>
              <w:top w:val="single" w:sz="4" w:space="0" w:color="auto"/>
              <w:left w:val="single" w:sz="4" w:space="0" w:color="auto"/>
              <w:bottom w:val="single" w:sz="4" w:space="0" w:color="auto"/>
              <w:right w:val="single" w:sz="4" w:space="0" w:color="auto"/>
            </w:tcBorders>
            <w:vAlign w:val="center"/>
            <w:hideMark/>
          </w:tcPr>
          <w:p w14:paraId="49CAEF40" w14:textId="77777777" w:rsidR="002F590A" w:rsidRDefault="002F590A">
            <w:pPr>
              <w:rPr>
                <w:sz w:val="13"/>
                <w:szCs w:val="13"/>
              </w:rPr>
            </w:pPr>
            <w:r>
              <w:rPr>
                <w:sz w:val="13"/>
                <w:szCs w:val="13"/>
              </w:rPr>
              <w:t>Всего по группе 1.</w:t>
            </w:r>
          </w:p>
        </w:tc>
        <w:tc>
          <w:tcPr>
            <w:tcW w:w="216" w:type="pct"/>
            <w:tcBorders>
              <w:top w:val="single" w:sz="4" w:space="0" w:color="auto"/>
              <w:left w:val="single" w:sz="4" w:space="0" w:color="auto"/>
              <w:bottom w:val="single" w:sz="4" w:space="0" w:color="auto"/>
              <w:right w:val="single" w:sz="4" w:space="0" w:color="auto"/>
            </w:tcBorders>
            <w:hideMark/>
          </w:tcPr>
          <w:p w14:paraId="0949509B" w14:textId="77777777" w:rsidR="002F590A" w:rsidRDefault="002F590A">
            <w:pPr>
              <w:jc w:val="center"/>
              <w:rPr>
                <w:sz w:val="13"/>
                <w:szCs w:val="13"/>
              </w:rPr>
            </w:pPr>
            <w:r>
              <w:rPr>
                <w:sz w:val="13"/>
                <w:szCs w:val="13"/>
              </w:rPr>
              <w:t>0,0</w:t>
            </w:r>
          </w:p>
        </w:tc>
        <w:tc>
          <w:tcPr>
            <w:tcW w:w="174" w:type="pct"/>
            <w:tcBorders>
              <w:top w:val="single" w:sz="4" w:space="0" w:color="auto"/>
              <w:left w:val="single" w:sz="4" w:space="0" w:color="auto"/>
              <w:bottom w:val="single" w:sz="4" w:space="0" w:color="auto"/>
              <w:right w:val="single" w:sz="4" w:space="0" w:color="auto"/>
            </w:tcBorders>
            <w:hideMark/>
          </w:tcPr>
          <w:p w14:paraId="5CA6026E" w14:textId="77777777" w:rsidR="002F590A" w:rsidRDefault="002F590A">
            <w:pPr>
              <w:jc w:val="center"/>
              <w:rPr>
                <w:sz w:val="13"/>
                <w:szCs w:val="13"/>
              </w:rPr>
            </w:pPr>
            <w:r>
              <w:rPr>
                <w:sz w:val="13"/>
                <w:szCs w:val="13"/>
              </w:rPr>
              <w:t>0,0</w:t>
            </w:r>
          </w:p>
        </w:tc>
        <w:tc>
          <w:tcPr>
            <w:tcW w:w="174" w:type="pct"/>
            <w:tcBorders>
              <w:top w:val="single" w:sz="4" w:space="0" w:color="auto"/>
              <w:left w:val="single" w:sz="4" w:space="0" w:color="auto"/>
              <w:bottom w:val="single" w:sz="4" w:space="0" w:color="auto"/>
              <w:right w:val="single" w:sz="4" w:space="0" w:color="auto"/>
            </w:tcBorders>
            <w:hideMark/>
          </w:tcPr>
          <w:p w14:paraId="67B811AC" w14:textId="77777777" w:rsidR="002F590A" w:rsidRDefault="002F590A">
            <w:pPr>
              <w:jc w:val="center"/>
              <w:rPr>
                <w:sz w:val="13"/>
                <w:szCs w:val="13"/>
              </w:rPr>
            </w:pPr>
            <w:r>
              <w:rPr>
                <w:sz w:val="13"/>
                <w:szCs w:val="13"/>
              </w:rPr>
              <w:t>0,0</w:t>
            </w:r>
          </w:p>
        </w:tc>
        <w:tc>
          <w:tcPr>
            <w:tcW w:w="172" w:type="pct"/>
            <w:tcBorders>
              <w:top w:val="single" w:sz="4" w:space="0" w:color="auto"/>
              <w:left w:val="single" w:sz="4" w:space="0" w:color="auto"/>
              <w:bottom w:val="single" w:sz="4" w:space="0" w:color="auto"/>
              <w:right w:val="single" w:sz="4" w:space="0" w:color="auto"/>
            </w:tcBorders>
            <w:hideMark/>
          </w:tcPr>
          <w:p w14:paraId="1B8AD9EA" w14:textId="77777777" w:rsidR="002F590A" w:rsidRDefault="002F590A">
            <w:pPr>
              <w:jc w:val="center"/>
              <w:rPr>
                <w:sz w:val="13"/>
                <w:szCs w:val="13"/>
              </w:rPr>
            </w:pPr>
            <w:r>
              <w:rPr>
                <w:sz w:val="13"/>
                <w:szCs w:val="13"/>
              </w:rPr>
              <w:t>0,0</w:t>
            </w:r>
          </w:p>
        </w:tc>
        <w:tc>
          <w:tcPr>
            <w:tcW w:w="174" w:type="pct"/>
            <w:tcBorders>
              <w:top w:val="single" w:sz="4" w:space="0" w:color="auto"/>
              <w:left w:val="single" w:sz="4" w:space="0" w:color="auto"/>
              <w:bottom w:val="single" w:sz="4" w:space="0" w:color="auto"/>
              <w:right w:val="single" w:sz="4" w:space="0" w:color="auto"/>
            </w:tcBorders>
            <w:hideMark/>
          </w:tcPr>
          <w:p w14:paraId="38D6A519" w14:textId="77777777" w:rsidR="002F590A" w:rsidRDefault="002F590A">
            <w:pPr>
              <w:jc w:val="center"/>
              <w:rPr>
                <w:sz w:val="13"/>
                <w:szCs w:val="13"/>
              </w:rPr>
            </w:pPr>
            <w:r>
              <w:rPr>
                <w:sz w:val="13"/>
                <w:szCs w:val="13"/>
              </w:rPr>
              <w:t>0,0</w:t>
            </w:r>
          </w:p>
        </w:tc>
        <w:tc>
          <w:tcPr>
            <w:tcW w:w="216" w:type="pct"/>
            <w:tcBorders>
              <w:top w:val="single" w:sz="4" w:space="0" w:color="auto"/>
              <w:left w:val="single" w:sz="4" w:space="0" w:color="auto"/>
              <w:bottom w:val="single" w:sz="4" w:space="0" w:color="auto"/>
              <w:right w:val="single" w:sz="4" w:space="0" w:color="auto"/>
            </w:tcBorders>
            <w:hideMark/>
          </w:tcPr>
          <w:p w14:paraId="1D8887AD" w14:textId="77777777" w:rsidR="002F590A" w:rsidRDefault="002F590A">
            <w:pPr>
              <w:jc w:val="center"/>
              <w:rPr>
                <w:sz w:val="13"/>
                <w:szCs w:val="13"/>
              </w:rPr>
            </w:pPr>
            <w:r>
              <w:rPr>
                <w:sz w:val="13"/>
                <w:szCs w:val="13"/>
              </w:rPr>
              <w:t>0,0</w:t>
            </w:r>
          </w:p>
        </w:tc>
        <w:tc>
          <w:tcPr>
            <w:tcW w:w="174" w:type="pct"/>
            <w:tcBorders>
              <w:top w:val="single" w:sz="4" w:space="0" w:color="auto"/>
              <w:left w:val="single" w:sz="4" w:space="0" w:color="auto"/>
              <w:bottom w:val="single" w:sz="4" w:space="0" w:color="auto"/>
              <w:right w:val="single" w:sz="4" w:space="0" w:color="auto"/>
            </w:tcBorders>
            <w:hideMark/>
          </w:tcPr>
          <w:p w14:paraId="19C9B84A" w14:textId="77777777" w:rsidR="002F590A" w:rsidRDefault="002F590A">
            <w:pPr>
              <w:jc w:val="center"/>
              <w:rPr>
                <w:sz w:val="13"/>
                <w:szCs w:val="13"/>
              </w:rPr>
            </w:pPr>
            <w:r>
              <w:rPr>
                <w:sz w:val="13"/>
                <w:szCs w:val="13"/>
              </w:rPr>
              <w:t>0,0</w:t>
            </w:r>
          </w:p>
        </w:tc>
        <w:tc>
          <w:tcPr>
            <w:tcW w:w="174" w:type="pct"/>
            <w:tcBorders>
              <w:top w:val="single" w:sz="4" w:space="0" w:color="auto"/>
              <w:left w:val="single" w:sz="4" w:space="0" w:color="auto"/>
              <w:bottom w:val="single" w:sz="4" w:space="0" w:color="auto"/>
              <w:right w:val="single" w:sz="4" w:space="0" w:color="auto"/>
            </w:tcBorders>
            <w:hideMark/>
          </w:tcPr>
          <w:p w14:paraId="6AAFAA73" w14:textId="77777777" w:rsidR="002F590A" w:rsidRDefault="002F590A">
            <w:pPr>
              <w:jc w:val="center"/>
              <w:rPr>
                <w:sz w:val="13"/>
                <w:szCs w:val="13"/>
              </w:rPr>
            </w:pPr>
            <w:r>
              <w:rPr>
                <w:sz w:val="13"/>
                <w:szCs w:val="13"/>
              </w:rPr>
              <w:t>0,0</w:t>
            </w:r>
          </w:p>
        </w:tc>
        <w:tc>
          <w:tcPr>
            <w:tcW w:w="218" w:type="pct"/>
            <w:tcBorders>
              <w:top w:val="single" w:sz="4" w:space="0" w:color="auto"/>
              <w:left w:val="single" w:sz="4" w:space="0" w:color="auto"/>
              <w:bottom w:val="single" w:sz="4" w:space="0" w:color="auto"/>
              <w:right w:val="single" w:sz="4" w:space="0" w:color="auto"/>
            </w:tcBorders>
            <w:hideMark/>
          </w:tcPr>
          <w:p w14:paraId="702AE720" w14:textId="77777777" w:rsidR="002F590A" w:rsidRDefault="002F590A">
            <w:pPr>
              <w:jc w:val="center"/>
              <w:rPr>
                <w:sz w:val="13"/>
                <w:szCs w:val="13"/>
              </w:rPr>
            </w:pPr>
            <w:r>
              <w:rPr>
                <w:sz w:val="13"/>
                <w:szCs w:val="13"/>
              </w:rPr>
              <w:t>0,0</w:t>
            </w:r>
          </w:p>
        </w:tc>
        <w:tc>
          <w:tcPr>
            <w:tcW w:w="174" w:type="pct"/>
            <w:tcBorders>
              <w:top w:val="single" w:sz="4" w:space="0" w:color="auto"/>
              <w:left w:val="single" w:sz="4" w:space="0" w:color="auto"/>
              <w:bottom w:val="single" w:sz="4" w:space="0" w:color="auto"/>
              <w:right w:val="single" w:sz="4" w:space="0" w:color="auto"/>
            </w:tcBorders>
            <w:hideMark/>
          </w:tcPr>
          <w:p w14:paraId="38F19F4D" w14:textId="77777777" w:rsidR="002F590A" w:rsidRDefault="002F590A">
            <w:pPr>
              <w:jc w:val="center"/>
              <w:rPr>
                <w:sz w:val="13"/>
                <w:szCs w:val="13"/>
              </w:rPr>
            </w:pPr>
            <w:r>
              <w:rPr>
                <w:sz w:val="13"/>
                <w:szCs w:val="13"/>
              </w:rPr>
              <w:t>0,0</w:t>
            </w:r>
          </w:p>
        </w:tc>
        <w:tc>
          <w:tcPr>
            <w:tcW w:w="174" w:type="pct"/>
            <w:tcBorders>
              <w:top w:val="single" w:sz="4" w:space="0" w:color="auto"/>
              <w:left w:val="single" w:sz="4" w:space="0" w:color="auto"/>
              <w:bottom w:val="single" w:sz="4" w:space="0" w:color="auto"/>
              <w:right w:val="single" w:sz="4" w:space="0" w:color="auto"/>
            </w:tcBorders>
            <w:hideMark/>
          </w:tcPr>
          <w:p w14:paraId="28791D5F" w14:textId="77777777" w:rsidR="002F590A" w:rsidRDefault="002F590A">
            <w:pPr>
              <w:jc w:val="center"/>
              <w:rPr>
                <w:sz w:val="13"/>
                <w:szCs w:val="13"/>
              </w:rPr>
            </w:pPr>
            <w:r>
              <w:rPr>
                <w:sz w:val="13"/>
                <w:szCs w:val="13"/>
              </w:rPr>
              <w:t>0,0</w:t>
            </w:r>
          </w:p>
        </w:tc>
        <w:tc>
          <w:tcPr>
            <w:tcW w:w="175" w:type="pct"/>
            <w:tcBorders>
              <w:top w:val="single" w:sz="4" w:space="0" w:color="auto"/>
              <w:left w:val="single" w:sz="4" w:space="0" w:color="auto"/>
              <w:bottom w:val="single" w:sz="4" w:space="0" w:color="auto"/>
              <w:right w:val="single" w:sz="4" w:space="0" w:color="auto"/>
            </w:tcBorders>
            <w:hideMark/>
          </w:tcPr>
          <w:p w14:paraId="49689B87" w14:textId="77777777" w:rsidR="002F590A" w:rsidRDefault="002F590A">
            <w:pPr>
              <w:jc w:val="center"/>
              <w:rPr>
                <w:sz w:val="13"/>
                <w:szCs w:val="13"/>
              </w:rPr>
            </w:pPr>
            <w:r>
              <w:rPr>
                <w:sz w:val="13"/>
                <w:szCs w:val="13"/>
              </w:rPr>
              <w:t>0,0</w:t>
            </w:r>
          </w:p>
        </w:tc>
        <w:tc>
          <w:tcPr>
            <w:tcW w:w="173" w:type="pct"/>
            <w:tcBorders>
              <w:top w:val="single" w:sz="4" w:space="0" w:color="auto"/>
              <w:left w:val="single" w:sz="4" w:space="0" w:color="auto"/>
              <w:bottom w:val="single" w:sz="4" w:space="0" w:color="auto"/>
              <w:right w:val="single" w:sz="4" w:space="0" w:color="auto"/>
            </w:tcBorders>
            <w:hideMark/>
          </w:tcPr>
          <w:p w14:paraId="4D2377F6" w14:textId="77777777" w:rsidR="002F590A" w:rsidRDefault="002F590A">
            <w:pPr>
              <w:jc w:val="center"/>
              <w:rPr>
                <w:sz w:val="13"/>
                <w:szCs w:val="13"/>
              </w:rPr>
            </w:pPr>
            <w:r>
              <w:rPr>
                <w:sz w:val="13"/>
                <w:szCs w:val="13"/>
              </w:rPr>
              <w:t>0,0</w:t>
            </w:r>
          </w:p>
        </w:tc>
        <w:tc>
          <w:tcPr>
            <w:tcW w:w="172" w:type="pct"/>
            <w:tcBorders>
              <w:top w:val="single" w:sz="4" w:space="0" w:color="auto"/>
              <w:left w:val="single" w:sz="4" w:space="0" w:color="auto"/>
              <w:bottom w:val="single" w:sz="4" w:space="0" w:color="auto"/>
              <w:right w:val="single" w:sz="4" w:space="0" w:color="auto"/>
            </w:tcBorders>
            <w:hideMark/>
          </w:tcPr>
          <w:p w14:paraId="64BE041D" w14:textId="77777777" w:rsidR="002F590A" w:rsidRDefault="002F590A">
            <w:pPr>
              <w:jc w:val="center"/>
              <w:rPr>
                <w:sz w:val="13"/>
                <w:szCs w:val="13"/>
              </w:rPr>
            </w:pPr>
            <w:r>
              <w:rPr>
                <w:sz w:val="13"/>
                <w:szCs w:val="13"/>
              </w:rPr>
              <w:t>0,0</w:t>
            </w:r>
          </w:p>
        </w:tc>
      </w:tr>
      <w:tr w:rsidR="002F590A" w14:paraId="650A3F18" w14:textId="77777777" w:rsidTr="002F590A">
        <w:trPr>
          <w:trHeight w:val="37"/>
        </w:trPr>
        <w:tc>
          <w:tcPr>
            <w:tcW w:w="5000" w:type="pct"/>
            <w:gridSpan w:val="24"/>
            <w:tcBorders>
              <w:top w:val="single" w:sz="4" w:space="0" w:color="auto"/>
              <w:left w:val="single" w:sz="4" w:space="0" w:color="auto"/>
              <w:bottom w:val="single" w:sz="4" w:space="0" w:color="auto"/>
              <w:right w:val="single" w:sz="4" w:space="0" w:color="auto"/>
            </w:tcBorders>
            <w:hideMark/>
          </w:tcPr>
          <w:p w14:paraId="5D10B55B" w14:textId="77777777" w:rsidR="002F590A" w:rsidRDefault="002F590A">
            <w:pPr>
              <w:rPr>
                <w:sz w:val="13"/>
                <w:szCs w:val="13"/>
              </w:rPr>
            </w:pPr>
            <w:r>
              <w:rPr>
                <w:sz w:val="13"/>
                <w:szCs w:val="13"/>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2F590A" w14:paraId="7723A2A5" w14:textId="77777777" w:rsidTr="002F590A">
        <w:trPr>
          <w:trHeight w:val="47"/>
        </w:trPr>
        <w:tc>
          <w:tcPr>
            <w:tcW w:w="2440" w:type="pct"/>
            <w:gridSpan w:val="10"/>
            <w:tcBorders>
              <w:top w:val="single" w:sz="4" w:space="0" w:color="auto"/>
              <w:left w:val="single" w:sz="4" w:space="0" w:color="auto"/>
              <w:bottom w:val="single" w:sz="4" w:space="0" w:color="auto"/>
              <w:right w:val="single" w:sz="4" w:space="0" w:color="auto"/>
            </w:tcBorders>
            <w:vAlign w:val="center"/>
            <w:hideMark/>
          </w:tcPr>
          <w:p w14:paraId="55237028" w14:textId="77777777" w:rsidR="002F590A" w:rsidRDefault="002F590A">
            <w:pPr>
              <w:rPr>
                <w:sz w:val="13"/>
                <w:szCs w:val="13"/>
              </w:rPr>
            </w:pPr>
            <w:r>
              <w:rPr>
                <w:sz w:val="13"/>
                <w:szCs w:val="13"/>
              </w:rPr>
              <w:t>Всего по группе 2.</w:t>
            </w:r>
          </w:p>
        </w:tc>
        <w:tc>
          <w:tcPr>
            <w:tcW w:w="216" w:type="pct"/>
            <w:tcBorders>
              <w:top w:val="single" w:sz="4" w:space="0" w:color="auto"/>
              <w:left w:val="single" w:sz="4" w:space="0" w:color="auto"/>
              <w:bottom w:val="single" w:sz="4" w:space="0" w:color="auto"/>
              <w:right w:val="single" w:sz="4" w:space="0" w:color="auto"/>
            </w:tcBorders>
            <w:vAlign w:val="center"/>
            <w:hideMark/>
          </w:tcPr>
          <w:p w14:paraId="4B9292B6" w14:textId="77777777" w:rsidR="002F590A" w:rsidRDefault="002F590A">
            <w:pPr>
              <w:jc w:val="center"/>
              <w:rPr>
                <w:sz w:val="13"/>
                <w:szCs w:val="13"/>
              </w:rPr>
            </w:pPr>
            <w:r>
              <w:rPr>
                <w:sz w:val="13"/>
                <w:szCs w:val="13"/>
              </w:rPr>
              <w:t>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51132456" w14:textId="77777777" w:rsidR="002F590A" w:rsidRDefault="002F590A">
            <w:pPr>
              <w:jc w:val="center"/>
              <w:rPr>
                <w:sz w:val="13"/>
                <w:szCs w:val="13"/>
              </w:rPr>
            </w:pPr>
            <w:r>
              <w:rPr>
                <w:sz w:val="13"/>
                <w:szCs w:val="13"/>
              </w:rPr>
              <w:t>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6665D760" w14:textId="77777777" w:rsidR="002F590A" w:rsidRDefault="002F590A">
            <w:pPr>
              <w:jc w:val="center"/>
              <w:rPr>
                <w:color w:val="000000"/>
                <w:sz w:val="13"/>
                <w:szCs w:val="13"/>
              </w:rPr>
            </w:pPr>
            <w:r>
              <w:rPr>
                <w:sz w:val="13"/>
                <w:szCs w:val="13"/>
              </w:rPr>
              <w:t>0,0</w:t>
            </w:r>
          </w:p>
        </w:tc>
        <w:tc>
          <w:tcPr>
            <w:tcW w:w="172" w:type="pct"/>
            <w:tcBorders>
              <w:top w:val="single" w:sz="4" w:space="0" w:color="auto"/>
              <w:left w:val="single" w:sz="4" w:space="0" w:color="auto"/>
              <w:bottom w:val="single" w:sz="4" w:space="0" w:color="auto"/>
              <w:right w:val="single" w:sz="4" w:space="0" w:color="auto"/>
            </w:tcBorders>
            <w:vAlign w:val="center"/>
            <w:hideMark/>
          </w:tcPr>
          <w:p w14:paraId="6C04596F" w14:textId="77777777" w:rsidR="002F590A" w:rsidRDefault="002F590A">
            <w:pPr>
              <w:jc w:val="center"/>
              <w:rPr>
                <w:sz w:val="13"/>
                <w:szCs w:val="13"/>
              </w:rPr>
            </w:pPr>
            <w:r>
              <w:rPr>
                <w:sz w:val="13"/>
                <w:szCs w:val="13"/>
              </w:rPr>
              <w:t>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7DE7F62D" w14:textId="77777777" w:rsidR="002F590A" w:rsidRDefault="002F590A">
            <w:pPr>
              <w:jc w:val="center"/>
              <w:rPr>
                <w:sz w:val="13"/>
                <w:szCs w:val="13"/>
              </w:rPr>
            </w:pPr>
            <w:r>
              <w:rPr>
                <w:sz w:val="13"/>
                <w:szCs w:val="13"/>
              </w:rPr>
              <w:t>0,0</w:t>
            </w:r>
          </w:p>
        </w:tc>
        <w:tc>
          <w:tcPr>
            <w:tcW w:w="216" w:type="pct"/>
            <w:tcBorders>
              <w:top w:val="single" w:sz="4" w:space="0" w:color="auto"/>
              <w:left w:val="single" w:sz="4" w:space="0" w:color="auto"/>
              <w:bottom w:val="single" w:sz="4" w:space="0" w:color="auto"/>
              <w:right w:val="single" w:sz="4" w:space="0" w:color="auto"/>
            </w:tcBorders>
            <w:vAlign w:val="center"/>
            <w:hideMark/>
          </w:tcPr>
          <w:p w14:paraId="46DC0A1E" w14:textId="77777777" w:rsidR="002F590A" w:rsidRDefault="002F590A">
            <w:pPr>
              <w:jc w:val="center"/>
              <w:rPr>
                <w:color w:val="000000"/>
                <w:sz w:val="13"/>
                <w:szCs w:val="13"/>
              </w:rPr>
            </w:pPr>
            <w:r>
              <w:rPr>
                <w:sz w:val="13"/>
                <w:szCs w:val="13"/>
              </w:rPr>
              <w:t>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027CFECA" w14:textId="77777777" w:rsidR="002F590A" w:rsidRDefault="002F590A">
            <w:pPr>
              <w:jc w:val="center"/>
              <w:rPr>
                <w:color w:val="000000"/>
                <w:sz w:val="13"/>
                <w:szCs w:val="13"/>
              </w:rPr>
            </w:pPr>
            <w:r>
              <w:rPr>
                <w:sz w:val="13"/>
                <w:szCs w:val="13"/>
              </w:rPr>
              <w:t>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10472F5A" w14:textId="77777777" w:rsidR="002F590A" w:rsidRDefault="002F590A">
            <w:pPr>
              <w:jc w:val="center"/>
              <w:rPr>
                <w:color w:val="000000"/>
                <w:sz w:val="13"/>
                <w:szCs w:val="13"/>
              </w:rPr>
            </w:pPr>
            <w:r>
              <w:rPr>
                <w:sz w:val="13"/>
                <w:szCs w:val="13"/>
              </w:rPr>
              <w:t>0,0</w:t>
            </w:r>
          </w:p>
        </w:tc>
        <w:tc>
          <w:tcPr>
            <w:tcW w:w="218" w:type="pct"/>
            <w:tcBorders>
              <w:top w:val="single" w:sz="4" w:space="0" w:color="auto"/>
              <w:left w:val="single" w:sz="4" w:space="0" w:color="auto"/>
              <w:bottom w:val="single" w:sz="4" w:space="0" w:color="auto"/>
              <w:right w:val="single" w:sz="4" w:space="0" w:color="auto"/>
            </w:tcBorders>
            <w:vAlign w:val="center"/>
            <w:hideMark/>
          </w:tcPr>
          <w:p w14:paraId="15F04A5F" w14:textId="77777777" w:rsidR="002F590A" w:rsidRDefault="002F590A">
            <w:pPr>
              <w:jc w:val="center"/>
              <w:rPr>
                <w:sz w:val="13"/>
                <w:szCs w:val="13"/>
              </w:rPr>
            </w:pPr>
            <w:r>
              <w:rPr>
                <w:sz w:val="13"/>
                <w:szCs w:val="13"/>
              </w:rPr>
              <w:t>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3E61CB3F" w14:textId="77777777" w:rsidR="002F590A" w:rsidRDefault="002F590A">
            <w:pPr>
              <w:jc w:val="center"/>
              <w:rPr>
                <w:color w:val="000000"/>
                <w:sz w:val="13"/>
                <w:szCs w:val="13"/>
              </w:rPr>
            </w:pPr>
            <w:r>
              <w:rPr>
                <w:sz w:val="13"/>
                <w:szCs w:val="13"/>
              </w:rPr>
              <w:t>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48BEF439" w14:textId="77777777" w:rsidR="002F590A" w:rsidRDefault="002F590A">
            <w:pPr>
              <w:jc w:val="center"/>
              <w:rPr>
                <w:color w:val="000000"/>
                <w:sz w:val="13"/>
                <w:szCs w:val="13"/>
              </w:rPr>
            </w:pPr>
            <w:r>
              <w:rPr>
                <w:sz w:val="13"/>
                <w:szCs w:val="13"/>
              </w:rPr>
              <w:t>0,0</w:t>
            </w:r>
          </w:p>
        </w:tc>
        <w:tc>
          <w:tcPr>
            <w:tcW w:w="175" w:type="pct"/>
            <w:tcBorders>
              <w:top w:val="single" w:sz="4" w:space="0" w:color="auto"/>
              <w:left w:val="single" w:sz="4" w:space="0" w:color="auto"/>
              <w:bottom w:val="single" w:sz="4" w:space="0" w:color="auto"/>
              <w:right w:val="single" w:sz="4" w:space="0" w:color="auto"/>
            </w:tcBorders>
            <w:vAlign w:val="center"/>
            <w:hideMark/>
          </w:tcPr>
          <w:p w14:paraId="60ABFB5B" w14:textId="77777777" w:rsidR="002F590A" w:rsidRDefault="002F590A">
            <w:pPr>
              <w:jc w:val="center"/>
              <w:rPr>
                <w:sz w:val="13"/>
                <w:szCs w:val="13"/>
              </w:rPr>
            </w:pPr>
            <w:r>
              <w:rPr>
                <w:sz w:val="13"/>
                <w:szCs w:val="13"/>
              </w:rPr>
              <w:t>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40D6CB4B" w14:textId="77777777" w:rsidR="002F590A" w:rsidRDefault="002F590A">
            <w:pPr>
              <w:jc w:val="center"/>
              <w:rPr>
                <w:sz w:val="13"/>
                <w:szCs w:val="13"/>
              </w:rPr>
            </w:pPr>
            <w:r>
              <w:rPr>
                <w:sz w:val="13"/>
                <w:szCs w:val="13"/>
              </w:rPr>
              <w:t>0,0</w:t>
            </w:r>
          </w:p>
        </w:tc>
        <w:tc>
          <w:tcPr>
            <w:tcW w:w="172" w:type="pct"/>
            <w:tcBorders>
              <w:top w:val="single" w:sz="4" w:space="0" w:color="auto"/>
              <w:left w:val="single" w:sz="4" w:space="0" w:color="auto"/>
              <w:bottom w:val="single" w:sz="4" w:space="0" w:color="auto"/>
              <w:right w:val="single" w:sz="4" w:space="0" w:color="auto"/>
            </w:tcBorders>
            <w:vAlign w:val="center"/>
            <w:hideMark/>
          </w:tcPr>
          <w:p w14:paraId="0B41D20B" w14:textId="77777777" w:rsidR="002F590A" w:rsidRDefault="002F590A">
            <w:pPr>
              <w:jc w:val="center"/>
              <w:rPr>
                <w:sz w:val="13"/>
                <w:szCs w:val="13"/>
              </w:rPr>
            </w:pPr>
            <w:r>
              <w:rPr>
                <w:sz w:val="13"/>
                <w:szCs w:val="13"/>
              </w:rPr>
              <w:t>0,0</w:t>
            </w:r>
          </w:p>
        </w:tc>
      </w:tr>
      <w:tr w:rsidR="002F590A" w14:paraId="47C0AF28" w14:textId="77777777" w:rsidTr="002F590A">
        <w:trPr>
          <w:trHeight w:val="56"/>
        </w:trPr>
        <w:tc>
          <w:tcPr>
            <w:tcW w:w="5000" w:type="pct"/>
            <w:gridSpan w:val="24"/>
            <w:tcBorders>
              <w:top w:val="single" w:sz="4" w:space="0" w:color="auto"/>
              <w:left w:val="single" w:sz="4" w:space="0" w:color="auto"/>
              <w:bottom w:val="single" w:sz="4" w:space="0" w:color="auto"/>
              <w:right w:val="single" w:sz="4" w:space="0" w:color="auto"/>
            </w:tcBorders>
            <w:hideMark/>
          </w:tcPr>
          <w:p w14:paraId="2D238C0E" w14:textId="77777777" w:rsidR="002F590A" w:rsidRDefault="002F590A">
            <w:pPr>
              <w:rPr>
                <w:sz w:val="13"/>
                <w:szCs w:val="13"/>
              </w:rPr>
            </w:pPr>
            <w:r>
              <w:rPr>
                <w:sz w:val="13"/>
                <w:szCs w:val="13"/>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2F590A" w14:paraId="642F9C50" w14:textId="77777777" w:rsidTr="002F590A">
        <w:trPr>
          <w:trHeight w:val="86"/>
        </w:trPr>
        <w:tc>
          <w:tcPr>
            <w:tcW w:w="5000" w:type="pct"/>
            <w:gridSpan w:val="24"/>
            <w:tcBorders>
              <w:top w:val="single" w:sz="4" w:space="0" w:color="auto"/>
              <w:left w:val="single" w:sz="4" w:space="0" w:color="auto"/>
              <w:bottom w:val="single" w:sz="4" w:space="0" w:color="auto"/>
              <w:right w:val="single" w:sz="4" w:space="0" w:color="auto"/>
            </w:tcBorders>
            <w:hideMark/>
          </w:tcPr>
          <w:p w14:paraId="460C629B" w14:textId="77777777" w:rsidR="002F590A" w:rsidRDefault="002F590A">
            <w:pPr>
              <w:rPr>
                <w:sz w:val="13"/>
                <w:szCs w:val="13"/>
              </w:rPr>
            </w:pPr>
            <w:r>
              <w:rPr>
                <w:sz w:val="13"/>
                <w:szCs w:val="13"/>
              </w:rPr>
              <w:t>3.1. Реконструкция или модернизация существующих тепловых сетей</w:t>
            </w:r>
          </w:p>
        </w:tc>
      </w:tr>
      <w:tr w:rsidR="002F590A" w14:paraId="0F966592" w14:textId="77777777" w:rsidTr="002F590A">
        <w:trPr>
          <w:trHeight w:val="1794"/>
        </w:trPr>
        <w:tc>
          <w:tcPr>
            <w:tcW w:w="173" w:type="pct"/>
            <w:tcBorders>
              <w:top w:val="single" w:sz="4" w:space="0" w:color="auto"/>
              <w:left w:val="single" w:sz="4" w:space="0" w:color="auto"/>
              <w:bottom w:val="single" w:sz="4" w:space="0" w:color="auto"/>
              <w:right w:val="single" w:sz="4" w:space="0" w:color="auto"/>
            </w:tcBorders>
            <w:vAlign w:val="center"/>
            <w:hideMark/>
          </w:tcPr>
          <w:p w14:paraId="118C9842" w14:textId="77777777" w:rsidR="002F590A" w:rsidRDefault="002F590A">
            <w:pPr>
              <w:jc w:val="center"/>
              <w:rPr>
                <w:sz w:val="12"/>
                <w:szCs w:val="12"/>
              </w:rPr>
            </w:pPr>
            <w:r>
              <w:rPr>
                <w:sz w:val="12"/>
                <w:szCs w:val="12"/>
              </w:rPr>
              <w:t>3.1.1.</w:t>
            </w: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9B9E4BB" w14:textId="77777777" w:rsidR="002F590A" w:rsidRDefault="002F590A">
            <w:pPr>
              <w:rPr>
                <w:color w:val="000000"/>
                <w:sz w:val="12"/>
                <w:szCs w:val="12"/>
              </w:rPr>
            </w:pPr>
            <w:r>
              <w:rPr>
                <w:color w:val="000000"/>
                <w:sz w:val="12"/>
                <w:szCs w:val="12"/>
              </w:rPr>
              <w:t>Реконструкция тепловой сети от здания котельной до ТК-1, от ТК-1П до ТК-9, от ТК-9 до ТК 1а, от ТК 1а до УП-2, от УП-2 до здания школы по адресу пр. Кузнецкий, 262.</w:t>
            </w: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88C215" w14:textId="77777777" w:rsidR="002F590A" w:rsidRDefault="002F590A">
            <w:pPr>
              <w:jc w:val="center"/>
              <w:rPr>
                <w:color w:val="000000"/>
                <w:sz w:val="12"/>
                <w:szCs w:val="12"/>
              </w:rPr>
            </w:pPr>
            <w:r>
              <w:rPr>
                <w:color w:val="000000"/>
                <w:sz w:val="12"/>
                <w:szCs w:val="12"/>
              </w:rPr>
              <w:t>Повышение надежности и увеличения пропускной способности трубопроводов ТС</w:t>
            </w:r>
          </w:p>
        </w:tc>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88A8BE6" w14:textId="77777777" w:rsidR="002F590A" w:rsidRDefault="002F590A">
            <w:pPr>
              <w:jc w:val="center"/>
              <w:rPr>
                <w:color w:val="000000"/>
                <w:sz w:val="12"/>
                <w:szCs w:val="12"/>
              </w:rPr>
            </w:pPr>
            <w:r>
              <w:rPr>
                <w:color w:val="000000"/>
                <w:sz w:val="12"/>
                <w:szCs w:val="12"/>
              </w:rPr>
              <w:t xml:space="preserve">Кемеровский городской округ, пр-т Кузнецкий, </w:t>
            </w:r>
            <w:r>
              <w:rPr>
                <w:color w:val="000000"/>
                <w:sz w:val="12"/>
                <w:szCs w:val="12"/>
              </w:rPr>
              <w:br/>
              <w:t>д 260</w:t>
            </w:r>
          </w:p>
        </w:tc>
        <w:tc>
          <w:tcPr>
            <w:tcW w:w="30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625E273" w14:textId="77777777" w:rsidR="002F590A" w:rsidRDefault="002F590A">
            <w:pPr>
              <w:jc w:val="center"/>
              <w:rPr>
                <w:color w:val="000000"/>
                <w:sz w:val="12"/>
                <w:szCs w:val="12"/>
              </w:rPr>
            </w:pPr>
            <w:r>
              <w:rPr>
                <w:color w:val="000000"/>
                <w:sz w:val="12"/>
                <w:szCs w:val="12"/>
              </w:rPr>
              <w:t>Технические характеристики</w:t>
            </w:r>
          </w:p>
        </w:tc>
        <w:tc>
          <w:tcPr>
            <w:tcW w:w="13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66D4533" w14:textId="77777777" w:rsidR="002F590A" w:rsidRDefault="002F590A">
            <w:pPr>
              <w:jc w:val="center"/>
              <w:rPr>
                <w:color w:val="000000"/>
                <w:sz w:val="12"/>
                <w:szCs w:val="12"/>
              </w:rPr>
            </w:pPr>
            <w:r>
              <w:rPr>
                <w:color w:val="000000"/>
                <w:sz w:val="12"/>
                <w:szCs w:val="12"/>
              </w:rPr>
              <w:t>-</w:t>
            </w:r>
          </w:p>
        </w:tc>
        <w:tc>
          <w:tcPr>
            <w:tcW w:w="300" w:type="pct"/>
            <w:tcBorders>
              <w:top w:val="single" w:sz="4" w:space="0" w:color="auto"/>
              <w:left w:val="single" w:sz="4" w:space="0" w:color="auto"/>
              <w:bottom w:val="single" w:sz="4" w:space="0" w:color="auto"/>
              <w:right w:val="single" w:sz="4" w:space="0" w:color="auto"/>
            </w:tcBorders>
            <w:vAlign w:val="center"/>
            <w:hideMark/>
          </w:tcPr>
          <w:p w14:paraId="29046CD3" w14:textId="77777777" w:rsidR="002F590A" w:rsidRDefault="002F590A">
            <w:pPr>
              <w:jc w:val="center"/>
              <w:rPr>
                <w:sz w:val="12"/>
                <w:szCs w:val="12"/>
              </w:rPr>
            </w:pPr>
            <w:r>
              <w:rPr>
                <w:sz w:val="12"/>
                <w:szCs w:val="12"/>
              </w:rPr>
              <w:t xml:space="preserve">Канал-кирпич, опоры-хомутовые приварные, запорная арматура - стальная клиновая, антикоррозийная защита-лак БТ, труба-сталь 20, изоляция - мин. маты </w:t>
            </w:r>
          </w:p>
        </w:tc>
        <w:tc>
          <w:tcPr>
            <w:tcW w:w="351" w:type="pct"/>
            <w:tcBorders>
              <w:top w:val="single" w:sz="4" w:space="0" w:color="auto"/>
              <w:left w:val="single" w:sz="4" w:space="0" w:color="auto"/>
              <w:bottom w:val="single" w:sz="4" w:space="0" w:color="auto"/>
              <w:right w:val="single" w:sz="4" w:space="0" w:color="auto"/>
            </w:tcBorders>
            <w:vAlign w:val="center"/>
            <w:hideMark/>
          </w:tcPr>
          <w:p w14:paraId="29CFB671" w14:textId="77777777" w:rsidR="002F590A" w:rsidRDefault="002F590A">
            <w:pPr>
              <w:jc w:val="center"/>
              <w:rPr>
                <w:sz w:val="12"/>
                <w:szCs w:val="12"/>
              </w:rPr>
            </w:pPr>
            <w:r>
              <w:rPr>
                <w:sz w:val="12"/>
                <w:szCs w:val="12"/>
              </w:rPr>
              <w:t xml:space="preserve">Канал-ж/б лотки, опоры-хомутовые с диэлектрической прокладкой, запорная арматура - кран шаровый, антикоррозийная защита-мастика Вектор 1214, 1025, труба-сталь 09Г2С, изоляция - маты прошивные, стеклопластик  </w:t>
            </w:r>
          </w:p>
        </w:tc>
        <w:tc>
          <w:tcPr>
            <w:tcW w:w="139" w:type="pct"/>
            <w:tcBorders>
              <w:top w:val="single" w:sz="4" w:space="0" w:color="auto"/>
              <w:left w:val="single" w:sz="4" w:space="0" w:color="auto"/>
              <w:bottom w:val="single" w:sz="4" w:space="0" w:color="auto"/>
              <w:right w:val="single" w:sz="4" w:space="0" w:color="auto"/>
            </w:tcBorders>
            <w:vAlign w:val="center"/>
            <w:hideMark/>
          </w:tcPr>
          <w:p w14:paraId="2096D416" w14:textId="77777777" w:rsidR="002F590A" w:rsidRDefault="002F590A">
            <w:pPr>
              <w:jc w:val="center"/>
              <w:rPr>
                <w:color w:val="000000"/>
                <w:sz w:val="12"/>
                <w:szCs w:val="12"/>
              </w:rPr>
            </w:pPr>
            <w:r>
              <w:rPr>
                <w:color w:val="000000"/>
                <w:sz w:val="12"/>
                <w:szCs w:val="12"/>
              </w:rPr>
              <w:t>2022</w:t>
            </w:r>
          </w:p>
        </w:tc>
        <w:tc>
          <w:tcPr>
            <w:tcW w:w="167" w:type="pct"/>
            <w:tcBorders>
              <w:top w:val="single" w:sz="4" w:space="0" w:color="auto"/>
              <w:left w:val="single" w:sz="4" w:space="0" w:color="auto"/>
              <w:bottom w:val="single" w:sz="4" w:space="0" w:color="auto"/>
              <w:right w:val="single" w:sz="4" w:space="0" w:color="auto"/>
            </w:tcBorders>
            <w:vAlign w:val="center"/>
            <w:hideMark/>
          </w:tcPr>
          <w:p w14:paraId="55530AF6" w14:textId="77777777" w:rsidR="002F590A" w:rsidRDefault="002F590A">
            <w:pPr>
              <w:jc w:val="center"/>
              <w:rPr>
                <w:color w:val="000000"/>
                <w:sz w:val="12"/>
                <w:szCs w:val="12"/>
              </w:rPr>
            </w:pPr>
            <w:r>
              <w:rPr>
                <w:color w:val="000000"/>
                <w:sz w:val="12"/>
                <w:szCs w:val="12"/>
              </w:rPr>
              <w:t>2026</w:t>
            </w:r>
          </w:p>
        </w:tc>
        <w:tc>
          <w:tcPr>
            <w:tcW w:w="216" w:type="pct"/>
            <w:tcBorders>
              <w:top w:val="single" w:sz="4" w:space="0" w:color="auto"/>
              <w:left w:val="single" w:sz="4" w:space="0" w:color="auto"/>
              <w:bottom w:val="single" w:sz="4" w:space="0" w:color="auto"/>
              <w:right w:val="single" w:sz="4" w:space="0" w:color="auto"/>
            </w:tcBorders>
            <w:vAlign w:val="center"/>
            <w:hideMark/>
          </w:tcPr>
          <w:p w14:paraId="6DD85755" w14:textId="77777777" w:rsidR="002F590A" w:rsidRDefault="002F590A">
            <w:pPr>
              <w:jc w:val="center"/>
              <w:rPr>
                <w:color w:val="000000"/>
                <w:sz w:val="12"/>
                <w:szCs w:val="12"/>
              </w:rPr>
            </w:pPr>
            <w:r>
              <w:rPr>
                <w:color w:val="000000"/>
                <w:sz w:val="12"/>
                <w:szCs w:val="12"/>
              </w:rPr>
              <w:t>27 954,75</w:t>
            </w:r>
          </w:p>
        </w:tc>
        <w:tc>
          <w:tcPr>
            <w:tcW w:w="174" w:type="pct"/>
            <w:tcBorders>
              <w:top w:val="single" w:sz="4" w:space="0" w:color="auto"/>
              <w:left w:val="single" w:sz="4" w:space="0" w:color="auto"/>
              <w:bottom w:val="single" w:sz="4" w:space="0" w:color="auto"/>
              <w:right w:val="single" w:sz="4" w:space="0" w:color="auto"/>
            </w:tcBorders>
            <w:vAlign w:val="center"/>
            <w:hideMark/>
          </w:tcPr>
          <w:p w14:paraId="1F9B3B29" w14:textId="77777777" w:rsidR="002F590A" w:rsidRDefault="002F590A">
            <w:pPr>
              <w:jc w:val="center"/>
              <w:rPr>
                <w:color w:val="000000"/>
                <w:sz w:val="12"/>
                <w:szCs w:val="12"/>
              </w:rPr>
            </w:pPr>
            <w:r>
              <w:rPr>
                <w:color w:val="000000"/>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2139614C" w14:textId="77777777" w:rsidR="002F590A" w:rsidRDefault="002F590A">
            <w:pPr>
              <w:jc w:val="center"/>
              <w:rPr>
                <w:color w:val="000000"/>
                <w:sz w:val="12"/>
                <w:szCs w:val="12"/>
              </w:rPr>
            </w:pPr>
            <w:r>
              <w:rPr>
                <w:color w:val="000000"/>
                <w:sz w:val="12"/>
                <w:szCs w:val="12"/>
              </w:rPr>
              <w:t>1 376,00</w:t>
            </w:r>
          </w:p>
        </w:tc>
        <w:tc>
          <w:tcPr>
            <w:tcW w:w="172" w:type="pct"/>
            <w:tcBorders>
              <w:top w:val="single" w:sz="4" w:space="0" w:color="auto"/>
              <w:left w:val="single" w:sz="4" w:space="0" w:color="auto"/>
              <w:bottom w:val="single" w:sz="4" w:space="0" w:color="auto"/>
              <w:right w:val="single" w:sz="4" w:space="0" w:color="auto"/>
            </w:tcBorders>
            <w:vAlign w:val="center"/>
            <w:hideMark/>
          </w:tcPr>
          <w:p w14:paraId="31566C70" w14:textId="77777777" w:rsidR="002F590A" w:rsidRDefault="002F590A">
            <w:pPr>
              <w:jc w:val="center"/>
              <w:rPr>
                <w:color w:val="000000"/>
                <w:sz w:val="12"/>
                <w:szCs w:val="12"/>
              </w:rPr>
            </w:pPr>
            <w:r>
              <w:rPr>
                <w:color w:val="000000"/>
                <w:sz w:val="12"/>
                <w:szCs w:val="12"/>
              </w:rPr>
              <w:t>11 398,73</w:t>
            </w:r>
          </w:p>
        </w:tc>
        <w:tc>
          <w:tcPr>
            <w:tcW w:w="174" w:type="pct"/>
            <w:tcBorders>
              <w:top w:val="single" w:sz="4" w:space="0" w:color="auto"/>
              <w:left w:val="single" w:sz="4" w:space="0" w:color="auto"/>
              <w:bottom w:val="single" w:sz="4" w:space="0" w:color="auto"/>
              <w:right w:val="single" w:sz="4" w:space="0" w:color="auto"/>
            </w:tcBorders>
            <w:vAlign w:val="center"/>
            <w:hideMark/>
          </w:tcPr>
          <w:p w14:paraId="5B8AD7A2" w14:textId="77777777" w:rsidR="002F590A" w:rsidRDefault="002F590A">
            <w:pPr>
              <w:jc w:val="center"/>
              <w:rPr>
                <w:color w:val="000000"/>
                <w:sz w:val="12"/>
                <w:szCs w:val="12"/>
              </w:rPr>
            </w:pPr>
            <w:r>
              <w:rPr>
                <w:color w:val="000000"/>
                <w:sz w:val="12"/>
                <w:szCs w:val="12"/>
              </w:rPr>
              <w:t>8 324,42</w:t>
            </w:r>
          </w:p>
        </w:tc>
        <w:tc>
          <w:tcPr>
            <w:tcW w:w="216" w:type="pct"/>
            <w:tcBorders>
              <w:top w:val="single" w:sz="4" w:space="0" w:color="auto"/>
              <w:left w:val="single" w:sz="4" w:space="0" w:color="auto"/>
              <w:bottom w:val="single" w:sz="4" w:space="0" w:color="auto"/>
              <w:right w:val="single" w:sz="4" w:space="0" w:color="auto"/>
            </w:tcBorders>
            <w:vAlign w:val="center"/>
            <w:hideMark/>
          </w:tcPr>
          <w:p w14:paraId="787F3E9C" w14:textId="77777777" w:rsidR="002F590A" w:rsidRDefault="002F590A">
            <w:pPr>
              <w:jc w:val="center"/>
              <w:rPr>
                <w:color w:val="000000"/>
                <w:sz w:val="12"/>
                <w:szCs w:val="12"/>
              </w:rPr>
            </w:pPr>
            <w:r>
              <w:rPr>
                <w:color w:val="000000"/>
                <w:sz w:val="12"/>
                <w:szCs w:val="12"/>
              </w:rPr>
              <w:t>3 204,26</w:t>
            </w:r>
          </w:p>
        </w:tc>
        <w:tc>
          <w:tcPr>
            <w:tcW w:w="174" w:type="pct"/>
            <w:tcBorders>
              <w:top w:val="single" w:sz="4" w:space="0" w:color="auto"/>
              <w:left w:val="single" w:sz="4" w:space="0" w:color="auto"/>
              <w:bottom w:val="single" w:sz="4" w:space="0" w:color="auto"/>
              <w:right w:val="single" w:sz="4" w:space="0" w:color="auto"/>
            </w:tcBorders>
            <w:vAlign w:val="center"/>
            <w:hideMark/>
          </w:tcPr>
          <w:p w14:paraId="4491E1EE" w14:textId="77777777" w:rsidR="002F590A" w:rsidRDefault="002F590A">
            <w:pPr>
              <w:jc w:val="center"/>
              <w:rPr>
                <w:color w:val="000000"/>
                <w:sz w:val="12"/>
                <w:szCs w:val="12"/>
              </w:rPr>
            </w:pPr>
            <w:r>
              <w:rPr>
                <w:color w:val="000000"/>
                <w:sz w:val="12"/>
                <w:szCs w:val="12"/>
              </w:rPr>
              <w:t>3 651,34</w:t>
            </w:r>
          </w:p>
        </w:tc>
        <w:tc>
          <w:tcPr>
            <w:tcW w:w="174" w:type="pct"/>
            <w:tcBorders>
              <w:top w:val="single" w:sz="4" w:space="0" w:color="auto"/>
              <w:left w:val="single" w:sz="4" w:space="0" w:color="auto"/>
              <w:bottom w:val="single" w:sz="4" w:space="0" w:color="auto"/>
              <w:right w:val="single" w:sz="4" w:space="0" w:color="auto"/>
            </w:tcBorders>
            <w:vAlign w:val="center"/>
            <w:hideMark/>
          </w:tcPr>
          <w:p w14:paraId="2B9539A9" w14:textId="77777777" w:rsidR="002F590A" w:rsidRDefault="002F590A">
            <w:pPr>
              <w:jc w:val="center"/>
              <w:rPr>
                <w:color w:val="000000"/>
                <w:sz w:val="12"/>
                <w:szCs w:val="12"/>
              </w:rPr>
            </w:pPr>
            <w:r>
              <w:rPr>
                <w:color w:val="000000"/>
                <w:sz w:val="12"/>
                <w:szCs w:val="12"/>
              </w:rPr>
              <w:t>0,00</w:t>
            </w:r>
          </w:p>
        </w:tc>
        <w:tc>
          <w:tcPr>
            <w:tcW w:w="218" w:type="pct"/>
            <w:tcBorders>
              <w:top w:val="single" w:sz="4" w:space="0" w:color="auto"/>
              <w:left w:val="single" w:sz="4" w:space="0" w:color="auto"/>
              <w:bottom w:val="single" w:sz="4" w:space="0" w:color="auto"/>
              <w:right w:val="single" w:sz="4" w:space="0" w:color="auto"/>
            </w:tcBorders>
            <w:vAlign w:val="center"/>
            <w:hideMark/>
          </w:tcPr>
          <w:p w14:paraId="16D1C5D7" w14:textId="77777777" w:rsidR="002F590A" w:rsidRDefault="002F590A">
            <w:pPr>
              <w:jc w:val="center"/>
              <w:rPr>
                <w:color w:val="000000"/>
                <w:sz w:val="12"/>
                <w:szCs w:val="12"/>
              </w:rPr>
            </w:pPr>
            <w:r>
              <w:rPr>
                <w:color w:val="000000"/>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089F7A7D" w14:textId="77777777" w:rsidR="002F590A" w:rsidRDefault="002F590A">
            <w:pPr>
              <w:jc w:val="center"/>
              <w:rPr>
                <w:color w:val="000000"/>
                <w:sz w:val="12"/>
                <w:szCs w:val="12"/>
              </w:rPr>
            </w:pPr>
            <w:r>
              <w:rPr>
                <w:color w:val="000000"/>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692AB56B" w14:textId="77777777" w:rsidR="002F590A" w:rsidRDefault="002F590A">
            <w:pPr>
              <w:jc w:val="center"/>
              <w:rPr>
                <w:color w:val="000000"/>
                <w:sz w:val="12"/>
                <w:szCs w:val="12"/>
              </w:rPr>
            </w:pPr>
            <w:r>
              <w:rPr>
                <w:color w:val="000000"/>
                <w:sz w:val="12"/>
                <w:szCs w:val="12"/>
              </w:rPr>
              <w:t>0,00</w:t>
            </w:r>
          </w:p>
        </w:tc>
        <w:tc>
          <w:tcPr>
            <w:tcW w:w="175" w:type="pct"/>
            <w:tcBorders>
              <w:top w:val="single" w:sz="4" w:space="0" w:color="auto"/>
              <w:left w:val="single" w:sz="4" w:space="0" w:color="auto"/>
              <w:bottom w:val="single" w:sz="4" w:space="0" w:color="auto"/>
              <w:right w:val="single" w:sz="4" w:space="0" w:color="auto"/>
            </w:tcBorders>
            <w:vAlign w:val="center"/>
            <w:hideMark/>
          </w:tcPr>
          <w:p w14:paraId="267EC9ED" w14:textId="77777777" w:rsidR="002F590A" w:rsidRDefault="002F590A">
            <w:pPr>
              <w:jc w:val="center"/>
              <w:rPr>
                <w:color w:val="000000"/>
                <w:sz w:val="12"/>
                <w:szCs w:val="12"/>
              </w:rPr>
            </w:pPr>
            <w:r>
              <w:rPr>
                <w:color w:val="000000"/>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69154CD5" w14:textId="77777777" w:rsidR="002F590A" w:rsidRDefault="002F590A">
            <w:pPr>
              <w:jc w:val="center"/>
              <w:rPr>
                <w:color w:val="000000"/>
                <w:sz w:val="12"/>
                <w:szCs w:val="12"/>
              </w:rPr>
            </w:pPr>
            <w:r>
              <w:rPr>
                <w:color w:val="000000"/>
                <w:sz w:val="12"/>
                <w:szCs w:val="12"/>
              </w:rPr>
              <w:t>0,00</w:t>
            </w:r>
          </w:p>
        </w:tc>
        <w:tc>
          <w:tcPr>
            <w:tcW w:w="172" w:type="pct"/>
            <w:tcBorders>
              <w:top w:val="single" w:sz="4" w:space="0" w:color="auto"/>
              <w:left w:val="single" w:sz="4" w:space="0" w:color="auto"/>
              <w:bottom w:val="single" w:sz="4" w:space="0" w:color="auto"/>
              <w:right w:val="single" w:sz="4" w:space="0" w:color="auto"/>
            </w:tcBorders>
            <w:vAlign w:val="center"/>
            <w:hideMark/>
          </w:tcPr>
          <w:p w14:paraId="71316902" w14:textId="77777777" w:rsidR="002F590A" w:rsidRDefault="002F590A">
            <w:pPr>
              <w:jc w:val="center"/>
              <w:rPr>
                <w:color w:val="000000"/>
                <w:sz w:val="12"/>
                <w:szCs w:val="12"/>
              </w:rPr>
            </w:pPr>
            <w:r>
              <w:rPr>
                <w:color w:val="000000"/>
                <w:sz w:val="12"/>
                <w:szCs w:val="12"/>
              </w:rPr>
              <w:t>0,00</w:t>
            </w:r>
          </w:p>
        </w:tc>
      </w:tr>
      <w:tr w:rsidR="002F590A" w14:paraId="38463686" w14:textId="77777777" w:rsidTr="002F590A">
        <w:trPr>
          <w:trHeight w:val="82"/>
        </w:trPr>
        <w:tc>
          <w:tcPr>
            <w:tcW w:w="5000" w:type="pct"/>
            <w:gridSpan w:val="24"/>
            <w:tcBorders>
              <w:top w:val="single" w:sz="4" w:space="0" w:color="auto"/>
              <w:left w:val="single" w:sz="4" w:space="0" w:color="auto"/>
              <w:bottom w:val="single" w:sz="4" w:space="0" w:color="auto"/>
              <w:right w:val="single" w:sz="4" w:space="0" w:color="auto"/>
            </w:tcBorders>
            <w:hideMark/>
          </w:tcPr>
          <w:p w14:paraId="17C33EA0" w14:textId="77777777" w:rsidR="002F590A" w:rsidRDefault="002F590A">
            <w:pPr>
              <w:rPr>
                <w:sz w:val="13"/>
                <w:szCs w:val="13"/>
              </w:rPr>
            </w:pPr>
            <w:r>
              <w:rPr>
                <w:sz w:val="13"/>
                <w:szCs w:val="13"/>
              </w:rPr>
              <w:t>3.2. Реконструкция или модернизация существующих объектов системы централизованного теплоснабжения, за исключением тепловых сетей</w:t>
            </w:r>
          </w:p>
        </w:tc>
      </w:tr>
      <w:tr w:rsidR="002F590A" w14:paraId="4A19CA6A" w14:textId="77777777" w:rsidTr="002F590A">
        <w:trPr>
          <w:trHeight w:val="897"/>
        </w:trPr>
        <w:tc>
          <w:tcPr>
            <w:tcW w:w="173" w:type="pct"/>
            <w:tcBorders>
              <w:top w:val="single" w:sz="4" w:space="0" w:color="auto"/>
              <w:left w:val="single" w:sz="4" w:space="0" w:color="auto"/>
              <w:bottom w:val="single" w:sz="4" w:space="0" w:color="auto"/>
              <w:right w:val="single" w:sz="4" w:space="0" w:color="auto"/>
            </w:tcBorders>
            <w:vAlign w:val="center"/>
            <w:hideMark/>
          </w:tcPr>
          <w:p w14:paraId="78A68792" w14:textId="77777777" w:rsidR="002F590A" w:rsidRDefault="002F590A">
            <w:pPr>
              <w:jc w:val="center"/>
              <w:rPr>
                <w:bCs/>
                <w:color w:val="000000"/>
                <w:sz w:val="12"/>
                <w:szCs w:val="12"/>
              </w:rPr>
            </w:pPr>
            <w:r>
              <w:rPr>
                <w:bCs/>
                <w:color w:val="000000"/>
                <w:sz w:val="12"/>
                <w:szCs w:val="12"/>
              </w:rPr>
              <w:t>3.2.1.</w:t>
            </w:r>
          </w:p>
        </w:tc>
        <w:tc>
          <w:tcPr>
            <w:tcW w:w="280" w:type="pct"/>
            <w:tcBorders>
              <w:top w:val="single" w:sz="4" w:space="0" w:color="auto"/>
              <w:left w:val="single" w:sz="4" w:space="0" w:color="auto"/>
              <w:bottom w:val="single" w:sz="4" w:space="0" w:color="auto"/>
              <w:right w:val="single" w:sz="4" w:space="0" w:color="auto"/>
            </w:tcBorders>
            <w:vAlign w:val="center"/>
            <w:hideMark/>
          </w:tcPr>
          <w:p w14:paraId="27ABE487" w14:textId="77777777" w:rsidR="002F590A" w:rsidRDefault="002F590A">
            <w:pPr>
              <w:rPr>
                <w:bCs/>
                <w:color w:val="000000"/>
                <w:sz w:val="12"/>
                <w:szCs w:val="12"/>
              </w:rPr>
            </w:pPr>
            <w:r>
              <w:rPr>
                <w:bCs/>
                <w:color w:val="000000"/>
                <w:sz w:val="12"/>
                <w:szCs w:val="12"/>
              </w:rPr>
              <w:t>Реконструкция котельной №15</w:t>
            </w:r>
          </w:p>
        </w:tc>
        <w:tc>
          <w:tcPr>
            <w:tcW w:w="313" w:type="pct"/>
            <w:tcBorders>
              <w:top w:val="single" w:sz="4" w:space="0" w:color="auto"/>
              <w:left w:val="single" w:sz="4" w:space="0" w:color="auto"/>
              <w:bottom w:val="single" w:sz="4" w:space="0" w:color="auto"/>
              <w:right w:val="single" w:sz="4" w:space="0" w:color="auto"/>
            </w:tcBorders>
            <w:vAlign w:val="center"/>
          </w:tcPr>
          <w:p w14:paraId="086AC585" w14:textId="77777777" w:rsidR="002F590A" w:rsidRDefault="002F590A">
            <w:pPr>
              <w:jc w:val="center"/>
              <w:rPr>
                <w:sz w:val="12"/>
                <w:szCs w:val="12"/>
              </w:rPr>
            </w:pPr>
          </w:p>
        </w:tc>
        <w:tc>
          <w:tcPr>
            <w:tcW w:w="275" w:type="pct"/>
            <w:tcBorders>
              <w:top w:val="single" w:sz="4" w:space="0" w:color="auto"/>
              <w:left w:val="single" w:sz="4" w:space="0" w:color="auto"/>
              <w:bottom w:val="single" w:sz="4" w:space="0" w:color="auto"/>
              <w:right w:val="single" w:sz="4" w:space="0" w:color="auto"/>
            </w:tcBorders>
            <w:vAlign w:val="center"/>
            <w:hideMark/>
          </w:tcPr>
          <w:p w14:paraId="032834D2" w14:textId="77777777" w:rsidR="002F590A" w:rsidRDefault="002F590A">
            <w:pPr>
              <w:jc w:val="center"/>
              <w:rPr>
                <w:bCs/>
                <w:color w:val="000000"/>
                <w:sz w:val="12"/>
                <w:szCs w:val="12"/>
              </w:rPr>
            </w:pPr>
            <w:r>
              <w:rPr>
                <w:bCs/>
                <w:color w:val="000000"/>
                <w:sz w:val="12"/>
                <w:szCs w:val="12"/>
              </w:rPr>
              <w:t>Кемеровский городской округ, Рудничный район, севернее строения №151 по ул. Елыкаевская</w:t>
            </w:r>
          </w:p>
        </w:tc>
        <w:tc>
          <w:tcPr>
            <w:tcW w:w="303" w:type="pct"/>
            <w:tcBorders>
              <w:top w:val="single" w:sz="4" w:space="0" w:color="auto"/>
              <w:left w:val="single" w:sz="4" w:space="0" w:color="auto"/>
              <w:bottom w:val="single" w:sz="4" w:space="0" w:color="auto"/>
              <w:right w:val="single" w:sz="4" w:space="0" w:color="auto"/>
            </w:tcBorders>
            <w:vAlign w:val="center"/>
          </w:tcPr>
          <w:p w14:paraId="387F03ED" w14:textId="77777777" w:rsidR="002F590A" w:rsidRDefault="002F590A">
            <w:pPr>
              <w:jc w:val="center"/>
              <w:rPr>
                <w:sz w:val="12"/>
                <w:szCs w:val="12"/>
              </w:rPr>
            </w:pPr>
          </w:p>
        </w:tc>
        <w:tc>
          <w:tcPr>
            <w:tcW w:w="139" w:type="pct"/>
            <w:tcBorders>
              <w:top w:val="single" w:sz="4" w:space="0" w:color="auto"/>
              <w:left w:val="single" w:sz="4" w:space="0" w:color="auto"/>
              <w:bottom w:val="single" w:sz="4" w:space="0" w:color="auto"/>
              <w:right w:val="single" w:sz="4" w:space="0" w:color="auto"/>
            </w:tcBorders>
            <w:vAlign w:val="center"/>
          </w:tcPr>
          <w:p w14:paraId="7BC6784F" w14:textId="77777777" w:rsidR="002F590A" w:rsidRDefault="002F590A">
            <w:pPr>
              <w:jc w:val="center"/>
              <w:rPr>
                <w:sz w:val="12"/>
                <w:szCs w:val="12"/>
              </w:rPr>
            </w:pPr>
          </w:p>
        </w:tc>
        <w:tc>
          <w:tcPr>
            <w:tcW w:w="300" w:type="pct"/>
            <w:tcBorders>
              <w:top w:val="single" w:sz="4" w:space="0" w:color="auto"/>
              <w:left w:val="single" w:sz="4" w:space="0" w:color="auto"/>
              <w:bottom w:val="single" w:sz="4" w:space="0" w:color="auto"/>
              <w:right w:val="single" w:sz="4" w:space="0" w:color="auto"/>
            </w:tcBorders>
            <w:vAlign w:val="center"/>
          </w:tcPr>
          <w:p w14:paraId="08025E0C" w14:textId="77777777" w:rsidR="002F590A" w:rsidRDefault="002F590A">
            <w:pPr>
              <w:jc w:val="center"/>
              <w:rPr>
                <w:b/>
                <w:bCs/>
                <w:sz w:val="12"/>
                <w:szCs w:val="12"/>
              </w:rPr>
            </w:pPr>
          </w:p>
        </w:tc>
        <w:tc>
          <w:tcPr>
            <w:tcW w:w="351" w:type="pct"/>
            <w:tcBorders>
              <w:top w:val="single" w:sz="4" w:space="0" w:color="auto"/>
              <w:left w:val="single" w:sz="4" w:space="0" w:color="auto"/>
              <w:bottom w:val="single" w:sz="4" w:space="0" w:color="auto"/>
              <w:right w:val="single" w:sz="4" w:space="0" w:color="auto"/>
            </w:tcBorders>
            <w:vAlign w:val="center"/>
          </w:tcPr>
          <w:p w14:paraId="5DDEA2D6" w14:textId="77777777" w:rsidR="002F590A" w:rsidRDefault="002F590A">
            <w:pPr>
              <w:jc w:val="center"/>
              <w:rPr>
                <w:b/>
                <w:bCs/>
                <w:sz w:val="12"/>
                <w:szCs w:val="12"/>
              </w:rPr>
            </w:pPr>
          </w:p>
        </w:tc>
        <w:tc>
          <w:tcPr>
            <w:tcW w:w="139" w:type="pct"/>
            <w:tcBorders>
              <w:top w:val="single" w:sz="4" w:space="0" w:color="auto"/>
              <w:left w:val="single" w:sz="4" w:space="0" w:color="auto"/>
              <w:bottom w:val="single" w:sz="4" w:space="0" w:color="auto"/>
              <w:right w:val="single" w:sz="4" w:space="0" w:color="auto"/>
            </w:tcBorders>
            <w:vAlign w:val="center"/>
          </w:tcPr>
          <w:p w14:paraId="4119D996" w14:textId="77777777" w:rsidR="002F590A" w:rsidRDefault="002F590A">
            <w:pPr>
              <w:jc w:val="center"/>
              <w:rPr>
                <w:sz w:val="12"/>
                <w:szCs w:val="12"/>
              </w:rPr>
            </w:pPr>
          </w:p>
        </w:tc>
        <w:tc>
          <w:tcPr>
            <w:tcW w:w="167" w:type="pct"/>
            <w:tcBorders>
              <w:top w:val="single" w:sz="4" w:space="0" w:color="auto"/>
              <w:left w:val="single" w:sz="4" w:space="0" w:color="auto"/>
              <w:bottom w:val="single" w:sz="4" w:space="0" w:color="auto"/>
              <w:right w:val="single" w:sz="4" w:space="0" w:color="auto"/>
            </w:tcBorders>
            <w:vAlign w:val="center"/>
          </w:tcPr>
          <w:p w14:paraId="17BD3446" w14:textId="77777777" w:rsidR="002F590A" w:rsidRDefault="002F590A">
            <w:pPr>
              <w:jc w:val="center"/>
              <w:rPr>
                <w:sz w:val="12"/>
                <w:szCs w:val="12"/>
              </w:rPr>
            </w:pPr>
          </w:p>
        </w:tc>
        <w:tc>
          <w:tcPr>
            <w:tcW w:w="216" w:type="pct"/>
            <w:tcBorders>
              <w:top w:val="single" w:sz="4" w:space="0" w:color="auto"/>
              <w:left w:val="single" w:sz="4" w:space="0" w:color="auto"/>
              <w:bottom w:val="single" w:sz="4" w:space="0" w:color="auto"/>
              <w:right w:val="single" w:sz="4" w:space="0" w:color="auto"/>
            </w:tcBorders>
            <w:vAlign w:val="center"/>
          </w:tcPr>
          <w:p w14:paraId="508B20AB" w14:textId="77777777" w:rsidR="002F590A" w:rsidRDefault="002F590A">
            <w:pPr>
              <w:jc w:val="center"/>
              <w:rPr>
                <w:color w:val="000000"/>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047125A7" w14:textId="77777777" w:rsidR="002F590A" w:rsidRDefault="002F590A">
            <w:pPr>
              <w:jc w:val="center"/>
              <w:rPr>
                <w:color w:val="000000"/>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03BE2FDE" w14:textId="77777777" w:rsidR="002F590A" w:rsidRDefault="002F590A">
            <w:pPr>
              <w:jc w:val="center"/>
              <w:rPr>
                <w:b/>
                <w:bCs/>
                <w:sz w:val="12"/>
                <w:szCs w:val="12"/>
              </w:rPr>
            </w:pPr>
          </w:p>
        </w:tc>
        <w:tc>
          <w:tcPr>
            <w:tcW w:w="172" w:type="pct"/>
            <w:tcBorders>
              <w:top w:val="single" w:sz="4" w:space="0" w:color="auto"/>
              <w:left w:val="single" w:sz="4" w:space="0" w:color="auto"/>
              <w:bottom w:val="single" w:sz="4" w:space="0" w:color="auto"/>
              <w:right w:val="single" w:sz="4" w:space="0" w:color="auto"/>
            </w:tcBorders>
            <w:vAlign w:val="center"/>
            <w:hideMark/>
          </w:tcPr>
          <w:p w14:paraId="323F13F8" w14:textId="77777777" w:rsidR="002F590A" w:rsidRDefault="002F590A">
            <w:pPr>
              <w:jc w:val="center"/>
              <w:rPr>
                <w:b/>
                <w:bCs/>
                <w:sz w:val="12"/>
                <w:szCs w:val="12"/>
              </w:rPr>
            </w:pPr>
            <w:r>
              <w:rPr>
                <w:b/>
                <w:bCs/>
                <w:sz w:val="12"/>
                <w:szCs w:val="12"/>
              </w:rPr>
              <w:t> </w:t>
            </w:r>
          </w:p>
        </w:tc>
        <w:tc>
          <w:tcPr>
            <w:tcW w:w="174" w:type="pct"/>
            <w:tcBorders>
              <w:top w:val="single" w:sz="4" w:space="0" w:color="auto"/>
              <w:left w:val="single" w:sz="4" w:space="0" w:color="auto"/>
              <w:bottom w:val="single" w:sz="4" w:space="0" w:color="auto"/>
              <w:right w:val="single" w:sz="4" w:space="0" w:color="auto"/>
            </w:tcBorders>
            <w:vAlign w:val="center"/>
            <w:hideMark/>
          </w:tcPr>
          <w:p w14:paraId="38EDCD0A" w14:textId="77777777" w:rsidR="002F590A" w:rsidRDefault="002F590A">
            <w:pPr>
              <w:jc w:val="center"/>
              <w:rPr>
                <w:b/>
                <w:bCs/>
                <w:sz w:val="12"/>
                <w:szCs w:val="12"/>
              </w:rPr>
            </w:pPr>
            <w:r>
              <w:rPr>
                <w:b/>
                <w:bCs/>
                <w:sz w:val="12"/>
                <w:szCs w:val="12"/>
              </w:rPr>
              <w:t> </w:t>
            </w:r>
          </w:p>
        </w:tc>
        <w:tc>
          <w:tcPr>
            <w:tcW w:w="216" w:type="pct"/>
            <w:tcBorders>
              <w:top w:val="single" w:sz="4" w:space="0" w:color="auto"/>
              <w:left w:val="single" w:sz="4" w:space="0" w:color="auto"/>
              <w:bottom w:val="single" w:sz="4" w:space="0" w:color="auto"/>
              <w:right w:val="single" w:sz="4" w:space="0" w:color="auto"/>
            </w:tcBorders>
            <w:vAlign w:val="center"/>
            <w:hideMark/>
          </w:tcPr>
          <w:p w14:paraId="15DFB81A" w14:textId="77777777" w:rsidR="002F590A" w:rsidRDefault="002F590A">
            <w:pPr>
              <w:jc w:val="center"/>
              <w:rPr>
                <w:b/>
                <w:bCs/>
                <w:sz w:val="12"/>
                <w:szCs w:val="12"/>
              </w:rPr>
            </w:pPr>
            <w:r>
              <w:rPr>
                <w:b/>
                <w:bCs/>
                <w:sz w:val="12"/>
                <w:szCs w:val="12"/>
              </w:rPr>
              <w:t> </w:t>
            </w:r>
          </w:p>
        </w:tc>
        <w:tc>
          <w:tcPr>
            <w:tcW w:w="174" w:type="pct"/>
            <w:tcBorders>
              <w:top w:val="single" w:sz="4" w:space="0" w:color="auto"/>
              <w:left w:val="single" w:sz="4" w:space="0" w:color="auto"/>
              <w:bottom w:val="single" w:sz="4" w:space="0" w:color="auto"/>
              <w:right w:val="single" w:sz="4" w:space="0" w:color="auto"/>
            </w:tcBorders>
            <w:vAlign w:val="center"/>
            <w:hideMark/>
          </w:tcPr>
          <w:p w14:paraId="42A66B27" w14:textId="77777777" w:rsidR="002F590A" w:rsidRDefault="002F590A">
            <w:pPr>
              <w:jc w:val="center"/>
              <w:rPr>
                <w:b/>
                <w:bCs/>
                <w:sz w:val="12"/>
                <w:szCs w:val="12"/>
              </w:rPr>
            </w:pPr>
            <w:r>
              <w:rPr>
                <w:b/>
                <w:bCs/>
                <w:sz w:val="12"/>
                <w:szCs w:val="12"/>
              </w:rPr>
              <w:t> </w:t>
            </w:r>
          </w:p>
        </w:tc>
        <w:tc>
          <w:tcPr>
            <w:tcW w:w="174" w:type="pct"/>
            <w:tcBorders>
              <w:top w:val="single" w:sz="4" w:space="0" w:color="auto"/>
              <w:left w:val="single" w:sz="4" w:space="0" w:color="auto"/>
              <w:bottom w:val="single" w:sz="4" w:space="0" w:color="auto"/>
              <w:right w:val="single" w:sz="4" w:space="0" w:color="auto"/>
            </w:tcBorders>
            <w:vAlign w:val="center"/>
            <w:hideMark/>
          </w:tcPr>
          <w:p w14:paraId="0569895E" w14:textId="77777777" w:rsidR="002F590A" w:rsidRDefault="002F590A">
            <w:pPr>
              <w:jc w:val="center"/>
              <w:rPr>
                <w:b/>
                <w:bCs/>
                <w:sz w:val="12"/>
                <w:szCs w:val="12"/>
              </w:rPr>
            </w:pPr>
            <w:r>
              <w:rPr>
                <w:b/>
                <w:bCs/>
                <w:sz w:val="12"/>
                <w:szCs w:val="12"/>
              </w:rPr>
              <w:t> </w:t>
            </w:r>
          </w:p>
        </w:tc>
        <w:tc>
          <w:tcPr>
            <w:tcW w:w="218" w:type="pct"/>
            <w:tcBorders>
              <w:top w:val="single" w:sz="4" w:space="0" w:color="auto"/>
              <w:left w:val="single" w:sz="4" w:space="0" w:color="auto"/>
              <w:bottom w:val="single" w:sz="4" w:space="0" w:color="auto"/>
              <w:right w:val="single" w:sz="4" w:space="0" w:color="auto"/>
            </w:tcBorders>
            <w:vAlign w:val="center"/>
            <w:hideMark/>
          </w:tcPr>
          <w:p w14:paraId="3CC79897" w14:textId="77777777" w:rsidR="002F590A" w:rsidRDefault="002F590A">
            <w:pPr>
              <w:jc w:val="center"/>
              <w:rPr>
                <w:b/>
                <w:bCs/>
                <w:sz w:val="12"/>
                <w:szCs w:val="12"/>
              </w:rPr>
            </w:pPr>
            <w:r>
              <w:rPr>
                <w:b/>
                <w:bCs/>
                <w:sz w:val="12"/>
                <w:szCs w:val="12"/>
              </w:rPr>
              <w:t> </w:t>
            </w:r>
          </w:p>
        </w:tc>
        <w:tc>
          <w:tcPr>
            <w:tcW w:w="174" w:type="pct"/>
            <w:tcBorders>
              <w:top w:val="single" w:sz="4" w:space="0" w:color="auto"/>
              <w:left w:val="single" w:sz="4" w:space="0" w:color="auto"/>
              <w:bottom w:val="single" w:sz="4" w:space="0" w:color="auto"/>
              <w:right w:val="single" w:sz="4" w:space="0" w:color="auto"/>
            </w:tcBorders>
            <w:vAlign w:val="center"/>
            <w:hideMark/>
          </w:tcPr>
          <w:p w14:paraId="5035B099" w14:textId="77777777" w:rsidR="002F590A" w:rsidRDefault="002F590A">
            <w:pPr>
              <w:jc w:val="center"/>
              <w:rPr>
                <w:b/>
                <w:bCs/>
                <w:sz w:val="12"/>
                <w:szCs w:val="12"/>
              </w:rPr>
            </w:pPr>
            <w:r>
              <w:rPr>
                <w:b/>
                <w:bCs/>
                <w:sz w:val="12"/>
                <w:szCs w:val="12"/>
              </w:rPr>
              <w:t> </w:t>
            </w:r>
          </w:p>
        </w:tc>
        <w:tc>
          <w:tcPr>
            <w:tcW w:w="174" w:type="pct"/>
            <w:tcBorders>
              <w:top w:val="single" w:sz="4" w:space="0" w:color="auto"/>
              <w:left w:val="single" w:sz="4" w:space="0" w:color="auto"/>
              <w:bottom w:val="single" w:sz="4" w:space="0" w:color="auto"/>
              <w:right w:val="single" w:sz="4" w:space="0" w:color="auto"/>
            </w:tcBorders>
            <w:vAlign w:val="center"/>
            <w:hideMark/>
          </w:tcPr>
          <w:p w14:paraId="36C4ABF5" w14:textId="77777777" w:rsidR="002F590A" w:rsidRDefault="002F590A">
            <w:pPr>
              <w:jc w:val="center"/>
              <w:rPr>
                <w:b/>
                <w:bCs/>
                <w:sz w:val="12"/>
                <w:szCs w:val="12"/>
              </w:rPr>
            </w:pPr>
            <w:r>
              <w:rPr>
                <w:b/>
                <w:bCs/>
                <w:sz w:val="12"/>
                <w:szCs w:val="12"/>
              </w:rPr>
              <w:t> </w:t>
            </w:r>
          </w:p>
        </w:tc>
        <w:tc>
          <w:tcPr>
            <w:tcW w:w="175" w:type="pct"/>
            <w:tcBorders>
              <w:top w:val="single" w:sz="4" w:space="0" w:color="auto"/>
              <w:left w:val="single" w:sz="4" w:space="0" w:color="auto"/>
              <w:bottom w:val="single" w:sz="4" w:space="0" w:color="auto"/>
              <w:right w:val="single" w:sz="4" w:space="0" w:color="auto"/>
            </w:tcBorders>
            <w:vAlign w:val="center"/>
            <w:hideMark/>
          </w:tcPr>
          <w:p w14:paraId="3205AFB2" w14:textId="77777777" w:rsidR="002F590A" w:rsidRDefault="002F590A">
            <w:pPr>
              <w:jc w:val="center"/>
              <w:rPr>
                <w:b/>
                <w:bCs/>
                <w:sz w:val="12"/>
                <w:szCs w:val="12"/>
              </w:rPr>
            </w:pPr>
            <w:r>
              <w:rPr>
                <w:b/>
                <w:bCs/>
                <w:sz w:val="12"/>
                <w:szCs w:val="12"/>
              </w:rPr>
              <w:t> </w:t>
            </w:r>
          </w:p>
        </w:tc>
        <w:tc>
          <w:tcPr>
            <w:tcW w:w="173" w:type="pct"/>
            <w:tcBorders>
              <w:top w:val="single" w:sz="4" w:space="0" w:color="auto"/>
              <w:left w:val="single" w:sz="4" w:space="0" w:color="auto"/>
              <w:bottom w:val="single" w:sz="4" w:space="0" w:color="auto"/>
              <w:right w:val="single" w:sz="4" w:space="0" w:color="auto"/>
            </w:tcBorders>
            <w:vAlign w:val="center"/>
          </w:tcPr>
          <w:p w14:paraId="1F320367" w14:textId="77777777" w:rsidR="002F590A" w:rsidRDefault="002F590A">
            <w:pPr>
              <w:jc w:val="center"/>
              <w:rPr>
                <w:color w:val="000000"/>
                <w:sz w:val="12"/>
                <w:szCs w:val="12"/>
              </w:rPr>
            </w:pPr>
          </w:p>
        </w:tc>
        <w:tc>
          <w:tcPr>
            <w:tcW w:w="172" w:type="pct"/>
            <w:tcBorders>
              <w:top w:val="single" w:sz="4" w:space="0" w:color="auto"/>
              <w:left w:val="single" w:sz="4" w:space="0" w:color="auto"/>
              <w:bottom w:val="single" w:sz="4" w:space="0" w:color="auto"/>
              <w:right w:val="single" w:sz="4" w:space="0" w:color="auto"/>
            </w:tcBorders>
            <w:vAlign w:val="center"/>
          </w:tcPr>
          <w:p w14:paraId="5CB941AF" w14:textId="77777777" w:rsidR="002F590A" w:rsidRDefault="002F590A">
            <w:pPr>
              <w:jc w:val="center"/>
              <w:rPr>
                <w:color w:val="000000"/>
                <w:sz w:val="12"/>
                <w:szCs w:val="12"/>
              </w:rPr>
            </w:pPr>
          </w:p>
        </w:tc>
      </w:tr>
      <w:tr w:rsidR="002F590A" w14:paraId="449CC2A3" w14:textId="77777777" w:rsidTr="002F590A">
        <w:trPr>
          <w:trHeight w:val="1530"/>
        </w:trPr>
        <w:tc>
          <w:tcPr>
            <w:tcW w:w="173" w:type="pct"/>
            <w:tcBorders>
              <w:top w:val="single" w:sz="4" w:space="0" w:color="auto"/>
              <w:left w:val="single" w:sz="4" w:space="0" w:color="auto"/>
              <w:bottom w:val="single" w:sz="4" w:space="0" w:color="auto"/>
              <w:right w:val="single" w:sz="4" w:space="0" w:color="auto"/>
            </w:tcBorders>
            <w:vAlign w:val="center"/>
            <w:hideMark/>
          </w:tcPr>
          <w:p w14:paraId="5A77174D" w14:textId="77777777" w:rsidR="002F590A" w:rsidRDefault="002F590A">
            <w:pPr>
              <w:jc w:val="center"/>
              <w:rPr>
                <w:sz w:val="12"/>
                <w:szCs w:val="12"/>
              </w:rPr>
            </w:pPr>
            <w:r>
              <w:rPr>
                <w:bCs/>
                <w:color w:val="000000"/>
                <w:sz w:val="12"/>
                <w:szCs w:val="12"/>
              </w:rPr>
              <w:t>3.2.</w:t>
            </w:r>
            <w:r>
              <w:rPr>
                <w:sz w:val="12"/>
                <w:szCs w:val="12"/>
              </w:rPr>
              <w:t>1.1</w:t>
            </w:r>
          </w:p>
        </w:tc>
        <w:tc>
          <w:tcPr>
            <w:tcW w:w="280" w:type="pct"/>
            <w:tcBorders>
              <w:top w:val="single" w:sz="4" w:space="0" w:color="auto"/>
              <w:left w:val="single" w:sz="4" w:space="0" w:color="auto"/>
              <w:bottom w:val="single" w:sz="4" w:space="0" w:color="auto"/>
              <w:right w:val="single" w:sz="4" w:space="0" w:color="auto"/>
            </w:tcBorders>
            <w:vAlign w:val="center"/>
            <w:hideMark/>
          </w:tcPr>
          <w:p w14:paraId="25C5DA2A" w14:textId="77777777" w:rsidR="002F590A" w:rsidRDefault="002F590A">
            <w:pPr>
              <w:rPr>
                <w:color w:val="000000"/>
                <w:sz w:val="12"/>
                <w:szCs w:val="12"/>
              </w:rPr>
            </w:pPr>
            <w:r>
              <w:rPr>
                <w:color w:val="000000"/>
                <w:sz w:val="12"/>
                <w:szCs w:val="12"/>
              </w:rPr>
              <w:t>Реконструкция подпиточной линии</w:t>
            </w:r>
          </w:p>
        </w:tc>
        <w:tc>
          <w:tcPr>
            <w:tcW w:w="313" w:type="pct"/>
            <w:tcBorders>
              <w:top w:val="single" w:sz="4" w:space="0" w:color="auto"/>
              <w:left w:val="single" w:sz="4" w:space="0" w:color="auto"/>
              <w:bottom w:val="single" w:sz="4" w:space="0" w:color="auto"/>
              <w:right w:val="single" w:sz="4" w:space="0" w:color="auto"/>
            </w:tcBorders>
            <w:vAlign w:val="center"/>
            <w:hideMark/>
          </w:tcPr>
          <w:p w14:paraId="324F3408" w14:textId="77777777" w:rsidR="002F590A" w:rsidRDefault="002F590A">
            <w:pPr>
              <w:jc w:val="center"/>
              <w:rPr>
                <w:sz w:val="12"/>
                <w:szCs w:val="12"/>
              </w:rPr>
            </w:pPr>
            <w:r>
              <w:rPr>
                <w:sz w:val="12"/>
                <w:szCs w:val="12"/>
              </w:rPr>
              <w:t>Повышение надежности (бесперебойности) услуг теплоснабжения, повышение энергетической эффективности</w:t>
            </w:r>
          </w:p>
        </w:tc>
        <w:tc>
          <w:tcPr>
            <w:tcW w:w="275" w:type="pct"/>
            <w:tcBorders>
              <w:top w:val="single" w:sz="4" w:space="0" w:color="auto"/>
              <w:left w:val="single" w:sz="4" w:space="0" w:color="auto"/>
              <w:bottom w:val="single" w:sz="4" w:space="0" w:color="auto"/>
              <w:right w:val="single" w:sz="4" w:space="0" w:color="auto"/>
            </w:tcBorders>
            <w:vAlign w:val="center"/>
            <w:hideMark/>
          </w:tcPr>
          <w:p w14:paraId="238BE848" w14:textId="77777777" w:rsidR="002F590A" w:rsidRDefault="002F590A">
            <w:pPr>
              <w:jc w:val="center"/>
              <w:rPr>
                <w:color w:val="000000"/>
                <w:sz w:val="12"/>
                <w:szCs w:val="12"/>
              </w:rPr>
            </w:pPr>
            <w:r>
              <w:rPr>
                <w:color w:val="000000"/>
                <w:sz w:val="12"/>
                <w:szCs w:val="12"/>
              </w:rPr>
              <w:t> </w:t>
            </w:r>
          </w:p>
        </w:tc>
        <w:tc>
          <w:tcPr>
            <w:tcW w:w="303" w:type="pct"/>
            <w:tcBorders>
              <w:top w:val="single" w:sz="4" w:space="0" w:color="auto"/>
              <w:left w:val="single" w:sz="4" w:space="0" w:color="auto"/>
              <w:bottom w:val="single" w:sz="4" w:space="0" w:color="auto"/>
              <w:right w:val="single" w:sz="4" w:space="0" w:color="auto"/>
            </w:tcBorders>
            <w:vAlign w:val="center"/>
            <w:hideMark/>
          </w:tcPr>
          <w:p w14:paraId="495ACFAC" w14:textId="77777777" w:rsidR="002F590A" w:rsidRDefault="002F590A">
            <w:pPr>
              <w:jc w:val="center"/>
              <w:rPr>
                <w:sz w:val="12"/>
                <w:szCs w:val="12"/>
              </w:rPr>
            </w:pPr>
            <w:r>
              <w:rPr>
                <w:color w:val="000000"/>
                <w:sz w:val="12"/>
                <w:szCs w:val="12"/>
              </w:rPr>
              <w:t>Технические характеристики</w:t>
            </w:r>
          </w:p>
        </w:tc>
        <w:tc>
          <w:tcPr>
            <w:tcW w:w="139" w:type="pct"/>
            <w:tcBorders>
              <w:top w:val="single" w:sz="4" w:space="0" w:color="auto"/>
              <w:left w:val="single" w:sz="4" w:space="0" w:color="auto"/>
              <w:bottom w:val="single" w:sz="4" w:space="0" w:color="auto"/>
              <w:right w:val="single" w:sz="4" w:space="0" w:color="auto"/>
            </w:tcBorders>
            <w:vAlign w:val="center"/>
          </w:tcPr>
          <w:p w14:paraId="3BDDD832" w14:textId="77777777" w:rsidR="002F590A" w:rsidRDefault="002F590A">
            <w:pPr>
              <w:jc w:val="center"/>
              <w:rPr>
                <w:sz w:val="12"/>
                <w:szCs w:val="12"/>
              </w:rPr>
            </w:pPr>
          </w:p>
        </w:tc>
        <w:tc>
          <w:tcPr>
            <w:tcW w:w="300" w:type="pct"/>
            <w:tcBorders>
              <w:top w:val="single" w:sz="4" w:space="0" w:color="auto"/>
              <w:left w:val="single" w:sz="4" w:space="0" w:color="auto"/>
              <w:bottom w:val="single" w:sz="4" w:space="0" w:color="auto"/>
              <w:right w:val="single" w:sz="4" w:space="0" w:color="auto"/>
            </w:tcBorders>
            <w:vAlign w:val="center"/>
            <w:hideMark/>
          </w:tcPr>
          <w:p w14:paraId="48BBC06B" w14:textId="77777777" w:rsidR="002F590A" w:rsidRDefault="002F590A">
            <w:pPr>
              <w:jc w:val="center"/>
              <w:rPr>
                <w:sz w:val="12"/>
                <w:szCs w:val="12"/>
              </w:rPr>
            </w:pPr>
            <w:r>
              <w:rPr>
                <w:sz w:val="12"/>
                <w:szCs w:val="12"/>
              </w:rPr>
              <w:t>Отсутствие насоса на подпиточной линии и расширительного бака</w:t>
            </w:r>
          </w:p>
        </w:tc>
        <w:tc>
          <w:tcPr>
            <w:tcW w:w="351" w:type="pct"/>
            <w:tcBorders>
              <w:top w:val="single" w:sz="4" w:space="0" w:color="auto"/>
              <w:left w:val="single" w:sz="4" w:space="0" w:color="auto"/>
              <w:bottom w:val="single" w:sz="4" w:space="0" w:color="auto"/>
              <w:right w:val="single" w:sz="4" w:space="0" w:color="auto"/>
            </w:tcBorders>
            <w:vAlign w:val="center"/>
            <w:hideMark/>
          </w:tcPr>
          <w:p w14:paraId="65D1A2EF" w14:textId="77777777" w:rsidR="002F590A" w:rsidRDefault="002F590A">
            <w:pPr>
              <w:jc w:val="center"/>
              <w:rPr>
                <w:color w:val="000000"/>
                <w:sz w:val="12"/>
                <w:szCs w:val="12"/>
              </w:rPr>
            </w:pPr>
            <w:r>
              <w:rPr>
                <w:color w:val="000000"/>
                <w:sz w:val="12"/>
                <w:szCs w:val="12"/>
              </w:rPr>
              <w:t>Оборудование для поддержания стабильного давления в обратном трубопроводе тепловой сети и стабильного гидравлического режима работы котельной</w:t>
            </w:r>
          </w:p>
        </w:tc>
        <w:tc>
          <w:tcPr>
            <w:tcW w:w="139" w:type="pct"/>
            <w:tcBorders>
              <w:top w:val="single" w:sz="4" w:space="0" w:color="auto"/>
              <w:left w:val="single" w:sz="4" w:space="0" w:color="auto"/>
              <w:bottom w:val="single" w:sz="4" w:space="0" w:color="auto"/>
              <w:right w:val="single" w:sz="4" w:space="0" w:color="auto"/>
            </w:tcBorders>
            <w:vAlign w:val="center"/>
            <w:hideMark/>
          </w:tcPr>
          <w:p w14:paraId="36649167" w14:textId="77777777" w:rsidR="002F590A" w:rsidRDefault="002F590A">
            <w:pPr>
              <w:jc w:val="center"/>
              <w:rPr>
                <w:sz w:val="12"/>
                <w:szCs w:val="12"/>
              </w:rPr>
            </w:pPr>
            <w:r>
              <w:rPr>
                <w:sz w:val="12"/>
                <w:szCs w:val="12"/>
              </w:rPr>
              <w:t>2029</w:t>
            </w:r>
          </w:p>
        </w:tc>
        <w:tc>
          <w:tcPr>
            <w:tcW w:w="167" w:type="pct"/>
            <w:tcBorders>
              <w:top w:val="single" w:sz="4" w:space="0" w:color="auto"/>
              <w:left w:val="single" w:sz="4" w:space="0" w:color="auto"/>
              <w:bottom w:val="single" w:sz="4" w:space="0" w:color="auto"/>
              <w:right w:val="single" w:sz="4" w:space="0" w:color="auto"/>
            </w:tcBorders>
            <w:vAlign w:val="center"/>
            <w:hideMark/>
          </w:tcPr>
          <w:p w14:paraId="4B2AE972" w14:textId="77777777" w:rsidR="002F590A" w:rsidRDefault="002F590A">
            <w:pPr>
              <w:jc w:val="center"/>
              <w:rPr>
                <w:sz w:val="12"/>
                <w:szCs w:val="12"/>
              </w:rPr>
            </w:pPr>
            <w:r>
              <w:rPr>
                <w:sz w:val="12"/>
                <w:szCs w:val="12"/>
              </w:rPr>
              <w:t>2029</w:t>
            </w:r>
          </w:p>
        </w:tc>
        <w:tc>
          <w:tcPr>
            <w:tcW w:w="216" w:type="pct"/>
            <w:tcBorders>
              <w:top w:val="single" w:sz="4" w:space="0" w:color="auto"/>
              <w:left w:val="single" w:sz="4" w:space="0" w:color="auto"/>
              <w:bottom w:val="single" w:sz="4" w:space="0" w:color="auto"/>
              <w:right w:val="single" w:sz="4" w:space="0" w:color="auto"/>
            </w:tcBorders>
            <w:vAlign w:val="center"/>
            <w:hideMark/>
          </w:tcPr>
          <w:p w14:paraId="484A89C3" w14:textId="77777777" w:rsidR="002F590A" w:rsidRDefault="002F590A">
            <w:pPr>
              <w:jc w:val="center"/>
              <w:rPr>
                <w:color w:val="000000"/>
                <w:sz w:val="12"/>
                <w:szCs w:val="12"/>
              </w:rPr>
            </w:pPr>
            <w:r>
              <w:rPr>
                <w:color w:val="000000"/>
                <w:sz w:val="12"/>
                <w:szCs w:val="12"/>
              </w:rPr>
              <w:t>88,62</w:t>
            </w:r>
          </w:p>
        </w:tc>
        <w:tc>
          <w:tcPr>
            <w:tcW w:w="174" w:type="pct"/>
            <w:tcBorders>
              <w:top w:val="single" w:sz="4" w:space="0" w:color="auto"/>
              <w:left w:val="single" w:sz="4" w:space="0" w:color="auto"/>
              <w:bottom w:val="single" w:sz="4" w:space="0" w:color="auto"/>
              <w:right w:val="single" w:sz="4" w:space="0" w:color="auto"/>
            </w:tcBorders>
            <w:vAlign w:val="center"/>
            <w:hideMark/>
          </w:tcPr>
          <w:p w14:paraId="6E93E563" w14:textId="77777777" w:rsidR="002F590A" w:rsidRDefault="002F590A">
            <w:pPr>
              <w:jc w:val="center"/>
              <w:rPr>
                <w:color w:val="000000"/>
                <w:sz w:val="12"/>
                <w:szCs w:val="12"/>
              </w:rPr>
            </w:pPr>
            <w:r>
              <w:rPr>
                <w:color w:val="000000"/>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3AD40837" w14:textId="77777777" w:rsidR="002F590A" w:rsidRDefault="002F590A">
            <w:pPr>
              <w:jc w:val="center"/>
              <w:rPr>
                <w:sz w:val="12"/>
                <w:szCs w:val="12"/>
              </w:rPr>
            </w:pPr>
            <w:r>
              <w:rPr>
                <w:sz w:val="12"/>
                <w:szCs w:val="12"/>
              </w:rPr>
              <w:t>0,00</w:t>
            </w:r>
          </w:p>
        </w:tc>
        <w:tc>
          <w:tcPr>
            <w:tcW w:w="172" w:type="pct"/>
            <w:tcBorders>
              <w:top w:val="single" w:sz="4" w:space="0" w:color="auto"/>
              <w:left w:val="single" w:sz="4" w:space="0" w:color="auto"/>
              <w:bottom w:val="single" w:sz="4" w:space="0" w:color="auto"/>
              <w:right w:val="single" w:sz="4" w:space="0" w:color="auto"/>
            </w:tcBorders>
            <w:vAlign w:val="center"/>
            <w:hideMark/>
          </w:tcPr>
          <w:p w14:paraId="734C0C8E"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478A96FA" w14:textId="77777777" w:rsidR="002F590A" w:rsidRDefault="002F590A">
            <w:pPr>
              <w:jc w:val="center"/>
              <w:rPr>
                <w:sz w:val="12"/>
                <w:szCs w:val="12"/>
              </w:rPr>
            </w:pPr>
            <w:r>
              <w:rPr>
                <w:sz w:val="12"/>
                <w:szCs w:val="12"/>
              </w:rPr>
              <w:t>0,00</w:t>
            </w:r>
          </w:p>
        </w:tc>
        <w:tc>
          <w:tcPr>
            <w:tcW w:w="216" w:type="pct"/>
            <w:tcBorders>
              <w:top w:val="single" w:sz="4" w:space="0" w:color="auto"/>
              <w:left w:val="single" w:sz="4" w:space="0" w:color="auto"/>
              <w:bottom w:val="single" w:sz="4" w:space="0" w:color="auto"/>
              <w:right w:val="single" w:sz="4" w:space="0" w:color="auto"/>
            </w:tcBorders>
            <w:vAlign w:val="center"/>
            <w:hideMark/>
          </w:tcPr>
          <w:p w14:paraId="2ACEC42C"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59488D2C"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4F5CABDF" w14:textId="77777777" w:rsidR="002F590A" w:rsidRDefault="002F590A">
            <w:pPr>
              <w:jc w:val="center"/>
              <w:rPr>
                <w:sz w:val="12"/>
                <w:szCs w:val="12"/>
              </w:rPr>
            </w:pPr>
            <w:r>
              <w:rPr>
                <w:sz w:val="12"/>
                <w:szCs w:val="12"/>
              </w:rPr>
              <w:t>0,00</w:t>
            </w:r>
          </w:p>
        </w:tc>
        <w:tc>
          <w:tcPr>
            <w:tcW w:w="218" w:type="pct"/>
            <w:tcBorders>
              <w:top w:val="single" w:sz="4" w:space="0" w:color="auto"/>
              <w:left w:val="single" w:sz="4" w:space="0" w:color="auto"/>
              <w:bottom w:val="single" w:sz="4" w:space="0" w:color="auto"/>
              <w:right w:val="single" w:sz="4" w:space="0" w:color="auto"/>
            </w:tcBorders>
            <w:vAlign w:val="center"/>
            <w:hideMark/>
          </w:tcPr>
          <w:p w14:paraId="313A7084"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29FB3E03" w14:textId="77777777" w:rsidR="002F590A" w:rsidRDefault="002F590A">
            <w:pPr>
              <w:jc w:val="center"/>
              <w:rPr>
                <w:sz w:val="12"/>
                <w:szCs w:val="12"/>
              </w:rPr>
            </w:pPr>
            <w:r>
              <w:rPr>
                <w:sz w:val="12"/>
                <w:szCs w:val="12"/>
              </w:rPr>
              <w:t>88,62</w:t>
            </w:r>
          </w:p>
        </w:tc>
        <w:tc>
          <w:tcPr>
            <w:tcW w:w="174" w:type="pct"/>
            <w:tcBorders>
              <w:top w:val="single" w:sz="4" w:space="0" w:color="auto"/>
              <w:left w:val="single" w:sz="4" w:space="0" w:color="auto"/>
              <w:bottom w:val="single" w:sz="4" w:space="0" w:color="auto"/>
              <w:right w:val="single" w:sz="4" w:space="0" w:color="auto"/>
            </w:tcBorders>
            <w:vAlign w:val="center"/>
            <w:hideMark/>
          </w:tcPr>
          <w:p w14:paraId="2686CC90" w14:textId="77777777" w:rsidR="002F590A" w:rsidRDefault="002F590A">
            <w:pPr>
              <w:jc w:val="center"/>
              <w:rPr>
                <w:sz w:val="12"/>
                <w:szCs w:val="12"/>
              </w:rPr>
            </w:pPr>
            <w:r>
              <w:rPr>
                <w:sz w:val="12"/>
                <w:szCs w:val="12"/>
              </w:rPr>
              <w:t>0,00</w:t>
            </w:r>
          </w:p>
        </w:tc>
        <w:tc>
          <w:tcPr>
            <w:tcW w:w="175" w:type="pct"/>
            <w:tcBorders>
              <w:top w:val="single" w:sz="4" w:space="0" w:color="auto"/>
              <w:left w:val="single" w:sz="4" w:space="0" w:color="auto"/>
              <w:bottom w:val="single" w:sz="4" w:space="0" w:color="auto"/>
              <w:right w:val="single" w:sz="4" w:space="0" w:color="auto"/>
            </w:tcBorders>
            <w:vAlign w:val="center"/>
            <w:hideMark/>
          </w:tcPr>
          <w:p w14:paraId="1C627121"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079AB70A" w14:textId="77777777" w:rsidR="002F590A" w:rsidRDefault="002F590A">
            <w:pPr>
              <w:jc w:val="center"/>
              <w:rPr>
                <w:color w:val="000000"/>
                <w:sz w:val="12"/>
                <w:szCs w:val="12"/>
              </w:rPr>
            </w:pPr>
            <w:r>
              <w:rPr>
                <w:color w:val="000000"/>
                <w:sz w:val="12"/>
                <w:szCs w:val="12"/>
              </w:rPr>
              <w:t>0,00</w:t>
            </w:r>
          </w:p>
        </w:tc>
        <w:tc>
          <w:tcPr>
            <w:tcW w:w="172" w:type="pct"/>
            <w:tcBorders>
              <w:top w:val="single" w:sz="4" w:space="0" w:color="auto"/>
              <w:left w:val="single" w:sz="4" w:space="0" w:color="auto"/>
              <w:bottom w:val="single" w:sz="4" w:space="0" w:color="auto"/>
              <w:right w:val="single" w:sz="4" w:space="0" w:color="auto"/>
            </w:tcBorders>
            <w:vAlign w:val="center"/>
            <w:hideMark/>
          </w:tcPr>
          <w:p w14:paraId="556CA903" w14:textId="77777777" w:rsidR="002F590A" w:rsidRDefault="002F590A">
            <w:pPr>
              <w:jc w:val="center"/>
              <w:rPr>
                <w:color w:val="000000"/>
                <w:sz w:val="12"/>
                <w:szCs w:val="12"/>
              </w:rPr>
            </w:pPr>
            <w:r>
              <w:rPr>
                <w:color w:val="000000"/>
                <w:sz w:val="12"/>
                <w:szCs w:val="12"/>
              </w:rPr>
              <w:t>0,00</w:t>
            </w:r>
          </w:p>
        </w:tc>
      </w:tr>
      <w:tr w:rsidR="002F590A" w14:paraId="19B18E68" w14:textId="77777777" w:rsidTr="002F590A">
        <w:trPr>
          <w:trHeight w:val="141"/>
        </w:trPr>
        <w:tc>
          <w:tcPr>
            <w:tcW w:w="173" w:type="pct"/>
            <w:tcBorders>
              <w:top w:val="single" w:sz="4" w:space="0" w:color="auto"/>
              <w:left w:val="single" w:sz="4" w:space="0" w:color="auto"/>
              <w:bottom w:val="single" w:sz="4" w:space="0" w:color="auto"/>
              <w:right w:val="single" w:sz="4" w:space="0" w:color="auto"/>
            </w:tcBorders>
            <w:vAlign w:val="center"/>
            <w:hideMark/>
          </w:tcPr>
          <w:p w14:paraId="4CE3CC4B" w14:textId="77777777" w:rsidR="002F590A" w:rsidRDefault="002F590A">
            <w:pPr>
              <w:jc w:val="center"/>
              <w:rPr>
                <w:bCs/>
                <w:sz w:val="12"/>
                <w:szCs w:val="12"/>
              </w:rPr>
            </w:pPr>
            <w:r>
              <w:rPr>
                <w:bCs/>
                <w:sz w:val="12"/>
                <w:szCs w:val="12"/>
              </w:rPr>
              <w:t>1</w:t>
            </w:r>
          </w:p>
        </w:tc>
        <w:tc>
          <w:tcPr>
            <w:tcW w:w="280" w:type="pct"/>
            <w:tcBorders>
              <w:top w:val="single" w:sz="4" w:space="0" w:color="auto"/>
              <w:left w:val="single" w:sz="4" w:space="0" w:color="auto"/>
              <w:bottom w:val="single" w:sz="4" w:space="0" w:color="auto"/>
              <w:right w:val="single" w:sz="4" w:space="0" w:color="auto"/>
            </w:tcBorders>
            <w:vAlign w:val="center"/>
            <w:hideMark/>
          </w:tcPr>
          <w:p w14:paraId="5A21345C" w14:textId="77777777" w:rsidR="002F590A" w:rsidRDefault="002F590A">
            <w:pPr>
              <w:jc w:val="center"/>
              <w:rPr>
                <w:bCs/>
                <w:sz w:val="12"/>
                <w:szCs w:val="12"/>
              </w:rPr>
            </w:pPr>
            <w:r>
              <w:rPr>
                <w:bCs/>
                <w:sz w:val="12"/>
                <w:szCs w:val="12"/>
              </w:rPr>
              <w:t>2</w:t>
            </w:r>
          </w:p>
        </w:tc>
        <w:tc>
          <w:tcPr>
            <w:tcW w:w="313" w:type="pct"/>
            <w:tcBorders>
              <w:top w:val="single" w:sz="4" w:space="0" w:color="auto"/>
              <w:left w:val="single" w:sz="4" w:space="0" w:color="auto"/>
              <w:bottom w:val="single" w:sz="4" w:space="0" w:color="auto"/>
              <w:right w:val="single" w:sz="4" w:space="0" w:color="auto"/>
            </w:tcBorders>
            <w:vAlign w:val="center"/>
            <w:hideMark/>
          </w:tcPr>
          <w:p w14:paraId="46E28277" w14:textId="77777777" w:rsidR="002F590A" w:rsidRDefault="002F590A">
            <w:pPr>
              <w:jc w:val="center"/>
              <w:rPr>
                <w:bCs/>
                <w:sz w:val="12"/>
                <w:szCs w:val="12"/>
              </w:rPr>
            </w:pPr>
            <w:r>
              <w:rPr>
                <w:bCs/>
                <w:sz w:val="12"/>
                <w:szCs w:val="12"/>
              </w:rPr>
              <w:t>3</w:t>
            </w:r>
          </w:p>
        </w:tc>
        <w:tc>
          <w:tcPr>
            <w:tcW w:w="275" w:type="pct"/>
            <w:tcBorders>
              <w:top w:val="single" w:sz="4" w:space="0" w:color="auto"/>
              <w:left w:val="single" w:sz="4" w:space="0" w:color="auto"/>
              <w:bottom w:val="single" w:sz="4" w:space="0" w:color="auto"/>
              <w:right w:val="single" w:sz="4" w:space="0" w:color="auto"/>
            </w:tcBorders>
            <w:vAlign w:val="center"/>
            <w:hideMark/>
          </w:tcPr>
          <w:p w14:paraId="7AB3EF49" w14:textId="77777777" w:rsidR="002F590A" w:rsidRDefault="002F590A">
            <w:pPr>
              <w:jc w:val="center"/>
              <w:rPr>
                <w:bCs/>
                <w:sz w:val="12"/>
                <w:szCs w:val="12"/>
              </w:rPr>
            </w:pPr>
            <w:r>
              <w:rPr>
                <w:bCs/>
                <w:sz w:val="12"/>
                <w:szCs w:val="12"/>
              </w:rPr>
              <w:t>4</w:t>
            </w:r>
          </w:p>
        </w:tc>
        <w:tc>
          <w:tcPr>
            <w:tcW w:w="303" w:type="pct"/>
            <w:tcBorders>
              <w:top w:val="single" w:sz="4" w:space="0" w:color="auto"/>
              <w:left w:val="single" w:sz="4" w:space="0" w:color="auto"/>
              <w:bottom w:val="single" w:sz="4" w:space="0" w:color="auto"/>
              <w:right w:val="single" w:sz="4" w:space="0" w:color="auto"/>
            </w:tcBorders>
            <w:vAlign w:val="center"/>
            <w:hideMark/>
          </w:tcPr>
          <w:p w14:paraId="63EFBE7A" w14:textId="77777777" w:rsidR="002F590A" w:rsidRDefault="002F590A">
            <w:pPr>
              <w:jc w:val="center"/>
              <w:rPr>
                <w:bCs/>
                <w:sz w:val="12"/>
                <w:szCs w:val="12"/>
              </w:rPr>
            </w:pPr>
            <w:r>
              <w:rPr>
                <w:bCs/>
                <w:sz w:val="12"/>
                <w:szCs w:val="12"/>
              </w:rPr>
              <w:t>5</w:t>
            </w:r>
          </w:p>
        </w:tc>
        <w:tc>
          <w:tcPr>
            <w:tcW w:w="139" w:type="pct"/>
            <w:tcBorders>
              <w:top w:val="single" w:sz="4" w:space="0" w:color="auto"/>
              <w:left w:val="single" w:sz="4" w:space="0" w:color="auto"/>
              <w:bottom w:val="single" w:sz="4" w:space="0" w:color="auto"/>
              <w:right w:val="single" w:sz="4" w:space="0" w:color="auto"/>
            </w:tcBorders>
            <w:vAlign w:val="center"/>
            <w:hideMark/>
          </w:tcPr>
          <w:p w14:paraId="7F6B2B01" w14:textId="77777777" w:rsidR="002F590A" w:rsidRDefault="002F590A">
            <w:pPr>
              <w:jc w:val="center"/>
              <w:rPr>
                <w:bCs/>
                <w:sz w:val="12"/>
                <w:szCs w:val="12"/>
              </w:rPr>
            </w:pPr>
            <w:r>
              <w:rPr>
                <w:bCs/>
                <w:sz w:val="12"/>
                <w:szCs w:val="12"/>
              </w:rPr>
              <w:t>6</w:t>
            </w:r>
          </w:p>
        </w:tc>
        <w:tc>
          <w:tcPr>
            <w:tcW w:w="300" w:type="pct"/>
            <w:tcBorders>
              <w:top w:val="single" w:sz="4" w:space="0" w:color="auto"/>
              <w:left w:val="single" w:sz="4" w:space="0" w:color="auto"/>
              <w:bottom w:val="single" w:sz="4" w:space="0" w:color="auto"/>
              <w:right w:val="single" w:sz="4" w:space="0" w:color="auto"/>
            </w:tcBorders>
            <w:vAlign w:val="center"/>
            <w:hideMark/>
          </w:tcPr>
          <w:p w14:paraId="4D5DB9A7" w14:textId="77777777" w:rsidR="002F590A" w:rsidRDefault="002F590A">
            <w:pPr>
              <w:jc w:val="center"/>
              <w:rPr>
                <w:bCs/>
                <w:sz w:val="12"/>
                <w:szCs w:val="12"/>
              </w:rPr>
            </w:pPr>
            <w:r>
              <w:rPr>
                <w:bCs/>
                <w:sz w:val="12"/>
                <w:szCs w:val="12"/>
              </w:rPr>
              <w:t>7</w:t>
            </w:r>
          </w:p>
        </w:tc>
        <w:tc>
          <w:tcPr>
            <w:tcW w:w="351" w:type="pct"/>
            <w:tcBorders>
              <w:top w:val="single" w:sz="4" w:space="0" w:color="auto"/>
              <w:left w:val="single" w:sz="4" w:space="0" w:color="auto"/>
              <w:bottom w:val="single" w:sz="4" w:space="0" w:color="auto"/>
              <w:right w:val="single" w:sz="4" w:space="0" w:color="auto"/>
            </w:tcBorders>
            <w:vAlign w:val="center"/>
            <w:hideMark/>
          </w:tcPr>
          <w:p w14:paraId="1FA811EA" w14:textId="77777777" w:rsidR="002F590A" w:rsidRDefault="002F590A">
            <w:pPr>
              <w:jc w:val="center"/>
              <w:rPr>
                <w:bCs/>
                <w:sz w:val="12"/>
                <w:szCs w:val="12"/>
              </w:rPr>
            </w:pPr>
            <w:r>
              <w:rPr>
                <w:bCs/>
                <w:sz w:val="12"/>
                <w:szCs w:val="12"/>
              </w:rPr>
              <w:t>8</w:t>
            </w:r>
          </w:p>
        </w:tc>
        <w:tc>
          <w:tcPr>
            <w:tcW w:w="139" w:type="pct"/>
            <w:tcBorders>
              <w:top w:val="single" w:sz="4" w:space="0" w:color="auto"/>
              <w:left w:val="single" w:sz="4" w:space="0" w:color="auto"/>
              <w:bottom w:val="single" w:sz="4" w:space="0" w:color="auto"/>
              <w:right w:val="single" w:sz="4" w:space="0" w:color="auto"/>
            </w:tcBorders>
            <w:vAlign w:val="center"/>
            <w:hideMark/>
          </w:tcPr>
          <w:p w14:paraId="0DC3F41C" w14:textId="77777777" w:rsidR="002F590A" w:rsidRDefault="002F590A">
            <w:pPr>
              <w:jc w:val="center"/>
              <w:rPr>
                <w:bCs/>
                <w:sz w:val="12"/>
                <w:szCs w:val="12"/>
              </w:rPr>
            </w:pPr>
            <w:r>
              <w:rPr>
                <w:bCs/>
                <w:sz w:val="12"/>
                <w:szCs w:val="12"/>
              </w:rPr>
              <w:t>9</w:t>
            </w:r>
          </w:p>
        </w:tc>
        <w:tc>
          <w:tcPr>
            <w:tcW w:w="167" w:type="pct"/>
            <w:tcBorders>
              <w:top w:val="single" w:sz="4" w:space="0" w:color="auto"/>
              <w:left w:val="single" w:sz="4" w:space="0" w:color="auto"/>
              <w:bottom w:val="single" w:sz="4" w:space="0" w:color="auto"/>
              <w:right w:val="single" w:sz="4" w:space="0" w:color="auto"/>
            </w:tcBorders>
            <w:vAlign w:val="center"/>
            <w:hideMark/>
          </w:tcPr>
          <w:p w14:paraId="31788F32" w14:textId="77777777" w:rsidR="002F590A" w:rsidRDefault="002F590A">
            <w:pPr>
              <w:jc w:val="center"/>
              <w:rPr>
                <w:bCs/>
                <w:sz w:val="12"/>
                <w:szCs w:val="12"/>
              </w:rPr>
            </w:pPr>
            <w:r>
              <w:rPr>
                <w:bCs/>
                <w:sz w:val="12"/>
                <w:szCs w:val="12"/>
              </w:rPr>
              <w:t>10</w:t>
            </w:r>
          </w:p>
        </w:tc>
        <w:tc>
          <w:tcPr>
            <w:tcW w:w="216" w:type="pct"/>
            <w:tcBorders>
              <w:top w:val="single" w:sz="4" w:space="0" w:color="auto"/>
              <w:left w:val="single" w:sz="4" w:space="0" w:color="auto"/>
              <w:bottom w:val="single" w:sz="4" w:space="0" w:color="auto"/>
              <w:right w:val="single" w:sz="4" w:space="0" w:color="auto"/>
            </w:tcBorders>
            <w:vAlign w:val="center"/>
            <w:hideMark/>
          </w:tcPr>
          <w:p w14:paraId="791A2D67" w14:textId="77777777" w:rsidR="002F590A" w:rsidRDefault="002F590A">
            <w:pPr>
              <w:jc w:val="center"/>
              <w:rPr>
                <w:bCs/>
                <w:sz w:val="12"/>
                <w:szCs w:val="12"/>
              </w:rPr>
            </w:pPr>
            <w:r>
              <w:rPr>
                <w:bCs/>
                <w:sz w:val="12"/>
                <w:szCs w:val="12"/>
              </w:rPr>
              <w:t>11</w:t>
            </w:r>
          </w:p>
        </w:tc>
        <w:tc>
          <w:tcPr>
            <w:tcW w:w="174" w:type="pct"/>
            <w:tcBorders>
              <w:top w:val="single" w:sz="4" w:space="0" w:color="auto"/>
              <w:left w:val="single" w:sz="4" w:space="0" w:color="auto"/>
              <w:bottom w:val="single" w:sz="4" w:space="0" w:color="auto"/>
              <w:right w:val="single" w:sz="4" w:space="0" w:color="auto"/>
            </w:tcBorders>
            <w:vAlign w:val="center"/>
            <w:hideMark/>
          </w:tcPr>
          <w:p w14:paraId="7C4CCA1E" w14:textId="77777777" w:rsidR="002F590A" w:rsidRDefault="002F590A">
            <w:pPr>
              <w:jc w:val="center"/>
              <w:rPr>
                <w:bCs/>
                <w:sz w:val="12"/>
                <w:szCs w:val="12"/>
              </w:rPr>
            </w:pPr>
            <w:r>
              <w:rPr>
                <w:bCs/>
                <w:sz w:val="12"/>
                <w:szCs w:val="12"/>
              </w:rPr>
              <w:t>12</w:t>
            </w:r>
          </w:p>
        </w:tc>
        <w:tc>
          <w:tcPr>
            <w:tcW w:w="174" w:type="pct"/>
            <w:tcBorders>
              <w:top w:val="single" w:sz="4" w:space="0" w:color="auto"/>
              <w:left w:val="single" w:sz="4" w:space="0" w:color="auto"/>
              <w:bottom w:val="single" w:sz="4" w:space="0" w:color="auto"/>
              <w:right w:val="single" w:sz="4" w:space="0" w:color="auto"/>
            </w:tcBorders>
            <w:vAlign w:val="center"/>
            <w:hideMark/>
          </w:tcPr>
          <w:p w14:paraId="28F2CAEC" w14:textId="77777777" w:rsidR="002F590A" w:rsidRDefault="002F590A">
            <w:pPr>
              <w:jc w:val="center"/>
              <w:rPr>
                <w:bCs/>
                <w:sz w:val="12"/>
                <w:szCs w:val="12"/>
              </w:rPr>
            </w:pPr>
            <w:r>
              <w:rPr>
                <w:bCs/>
                <w:sz w:val="12"/>
                <w:szCs w:val="12"/>
              </w:rPr>
              <w:t>13</w:t>
            </w:r>
          </w:p>
        </w:tc>
        <w:tc>
          <w:tcPr>
            <w:tcW w:w="172" w:type="pct"/>
            <w:tcBorders>
              <w:top w:val="single" w:sz="4" w:space="0" w:color="auto"/>
              <w:left w:val="single" w:sz="4" w:space="0" w:color="auto"/>
              <w:bottom w:val="single" w:sz="4" w:space="0" w:color="auto"/>
              <w:right w:val="single" w:sz="4" w:space="0" w:color="auto"/>
            </w:tcBorders>
            <w:vAlign w:val="center"/>
            <w:hideMark/>
          </w:tcPr>
          <w:p w14:paraId="055F9A7A" w14:textId="77777777" w:rsidR="002F590A" w:rsidRDefault="002F590A">
            <w:pPr>
              <w:jc w:val="center"/>
              <w:rPr>
                <w:bCs/>
                <w:sz w:val="12"/>
                <w:szCs w:val="12"/>
              </w:rPr>
            </w:pPr>
            <w:r>
              <w:rPr>
                <w:bCs/>
                <w:sz w:val="12"/>
                <w:szCs w:val="12"/>
              </w:rPr>
              <w:t>14</w:t>
            </w:r>
          </w:p>
        </w:tc>
        <w:tc>
          <w:tcPr>
            <w:tcW w:w="174" w:type="pct"/>
            <w:tcBorders>
              <w:top w:val="single" w:sz="4" w:space="0" w:color="auto"/>
              <w:left w:val="single" w:sz="4" w:space="0" w:color="auto"/>
              <w:bottom w:val="single" w:sz="4" w:space="0" w:color="auto"/>
              <w:right w:val="single" w:sz="4" w:space="0" w:color="auto"/>
            </w:tcBorders>
            <w:vAlign w:val="center"/>
            <w:hideMark/>
          </w:tcPr>
          <w:p w14:paraId="3FB5EC86" w14:textId="77777777" w:rsidR="002F590A" w:rsidRDefault="002F590A">
            <w:pPr>
              <w:jc w:val="center"/>
              <w:rPr>
                <w:bCs/>
                <w:sz w:val="12"/>
                <w:szCs w:val="12"/>
              </w:rPr>
            </w:pPr>
            <w:r>
              <w:rPr>
                <w:bCs/>
                <w:sz w:val="12"/>
                <w:szCs w:val="12"/>
              </w:rPr>
              <w:t>15</w:t>
            </w:r>
          </w:p>
        </w:tc>
        <w:tc>
          <w:tcPr>
            <w:tcW w:w="216" w:type="pct"/>
            <w:tcBorders>
              <w:top w:val="single" w:sz="4" w:space="0" w:color="auto"/>
              <w:left w:val="single" w:sz="4" w:space="0" w:color="auto"/>
              <w:bottom w:val="single" w:sz="4" w:space="0" w:color="auto"/>
              <w:right w:val="single" w:sz="4" w:space="0" w:color="auto"/>
            </w:tcBorders>
            <w:vAlign w:val="center"/>
            <w:hideMark/>
          </w:tcPr>
          <w:p w14:paraId="413F9EFB" w14:textId="77777777" w:rsidR="002F590A" w:rsidRDefault="002F590A">
            <w:pPr>
              <w:jc w:val="center"/>
              <w:rPr>
                <w:bCs/>
                <w:sz w:val="12"/>
                <w:szCs w:val="12"/>
              </w:rPr>
            </w:pPr>
            <w:r>
              <w:rPr>
                <w:bCs/>
                <w:sz w:val="12"/>
                <w:szCs w:val="12"/>
              </w:rPr>
              <w:t>16</w:t>
            </w:r>
          </w:p>
        </w:tc>
        <w:tc>
          <w:tcPr>
            <w:tcW w:w="174" w:type="pct"/>
            <w:tcBorders>
              <w:top w:val="single" w:sz="4" w:space="0" w:color="auto"/>
              <w:left w:val="single" w:sz="4" w:space="0" w:color="auto"/>
              <w:bottom w:val="single" w:sz="4" w:space="0" w:color="auto"/>
              <w:right w:val="single" w:sz="4" w:space="0" w:color="auto"/>
            </w:tcBorders>
            <w:vAlign w:val="center"/>
            <w:hideMark/>
          </w:tcPr>
          <w:p w14:paraId="40C2D5E8" w14:textId="77777777" w:rsidR="002F590A" w:rsidRDefault="002F590A">
            <w:pPr>
              <w:jc w:val="center"/>
              <w:rPr>
                <w:bCs/>
                <w:sz w:val="12"/>
                <w:szCs w:val="12"/>
              </w:rPr>
            </w:pPr>
            <w:r>
              <w:rPr>
                <w:bCs/>
                <w:sz w:val="12"/>
                <w:szCs w:val="12"/>
              </w:rPr>
              <w:t>17</w:t>
            </w:r>
          </w:p>
        </w:tc>
        <w:tc>
          <w:tcPr>
            <w:tcW w:w="174" w:type="pct"/>
            <w:tcBorders>
              <w:top w:val="single" w:sz="4" w:space="0" w:color="auto"/>
              <w:left w:val="single" w:sz="4" w:space="0" w:color="auto"/>
              <w:bottom w:val="single" w:sz="4" w:space="0" w:color="auto"/>
              <w:right w:val="single" w:sz="4" w:space="0" w:color="auto"/>
            </w:tcBorders>
            <w:vAlign w:val="center"/>
            <w:hideMark/>
          </w:tcPr>
          <w:p w14:paraId="0D94ED24" w14:textId="77777777" w:rsidR="002F590A" w:rsidRDefault="002F590A">
            <w:pPr>
              <w:jc w:val="center"/>
              <w:rPr>
                <w:bCs/>
                <w:sz w:val="12"/>
                <w:szCs w:val="12"/>
              </w:rPr>
            </w:pPr>
            <w:r>
              <w:rPr>
                <w:bCs/>
                <w:sz w:val="12"/>
                <w:szCs w:val="12"/>
              </w:rPr>
              <w:t>18</w:t>
            </w:r>
          </w:p>
        </w:tc>
        <w:tc>
          <w:tcPr>
            <w:tcW w:w="218" w:type="pct"/>
            <w:tcBorders>
              <w:top w:val="single" w:sz="4" w:space="0" w:color="auto"/>
              <w:left w:val="single" w:sz="4" w:space="0" w:color="auto"/>
              <w:bottom w:val="single" w:sz="4" w:space="0" w:color="auto"/>
              <w:right w:val="single" w:sz="4" w:space="0" w:color="auto"/>
            </w:tcBorders>
            <w:vAlign w:val="center"/>
            <w:hideMark/>
          </w:tcPr>
          <w:p w14:paraId="255A38F9" w14:textId="77777777" w:rsidR="002F590A" w:rsidRDefault="002F590A">
            <w:pPr>
              <w:jc w:val="center"/>
              <w:rPr>
                <w:bCs/>
                <w:sz w:val="12"/>
                <w:szCs w:val="12"/>
              </w:rPr>
            </w:pPr>
            <w:r>
              <w:rPr>
                <w:bCs/>
                <w:sz w:val="12"/>
                <w:szCs w:val="12"/>
              </w:rPr>
              <w:t>19</w:t>
            </w:r>
          </w:p>
        </w:tc>
        <w:tc>
          <w:tcPr>
            <w:tcW w:w="174" w:type="pct"/>
            <w:tcBorders>
              <w:top w:val="single" w:sz="4" w:space="0" w:color="auto"/>
              <w:left w:val="single" w:sz="4" w:space="0" w:color="auto"/>
              <w:bottom w:val="single" w:sz="4" w:space="0" w:color="auto"/>
              <w:right w:val="single" w:sz="4" w:space="0" w:color="auto"/>
            </w:tcBorders>
            <w:vAlign w:val="center"/>
            <w:hideMark/>
          </w:tcPr>
          <w:p w14:paraId="11487975" w14:textId="77777777" w:rsidR="002F590A" w:rsidRDefault="002F590A">
            <w:pPr>
              <w:jc w:val="center"/>
              <w:rPr>
                <w:bCs/>
                <w:sz w:val="12"/>
                <w:szCs w:val="12"/>
              </w:rPr>
            </w:pPr>
            <w:r>
              <w:rPr>
                <w:bCs/>
                <w:sz w:val="12"/>
                <w:szCs w:val="12"/>
              </w:rPr>
              <w:t>20</w:t>
            </w:r>
          </w:p>
        </w:tc>
        <w:tc>
          <w:tcPr>
            <w:tcW w:w="174" w:type="pct"/>
            <w:tcBorders>
              <w:top w:val="single" w:sz="4" w:space="0" w:color="auto"/>
              <w:left w:val="single" w:sz="4" w:space="0" w:color="auto"/>
              <w:bottom w:val="single" w:sz="4" w:space="0" w:color="auto"/>
              <w:right w:val="single" w:sz="4" w:space="0" w:color="auto"/>
            </w:tcBorders>
            <w:vAlign w:val="center"/>
            <w:hideMark/>
          </w:tcPr>
          <w:p w14:paraId="24683E8B" w14:textId="77777777" w:rsidR="002F590A" w:rsidRDefault="002F590A">
            <w:pPr>
              <w:jc w:val="center"/>
              <w:rPr>
                <w:bCs/>
                <w:sz w:val="12"/>
                <w:szCs w:val="12"/>
              </w:rPr>
            </w:pPr>
            <w:r>
              <w:rPr>
                <w:bCs/>
                <w:sz w:val="12"/>
                <w:szCs w:val="12"/>
              </w:rPr>
              <w:t>21</w:t>
            </w:r>
          </w:p>
        </w:tc>
        <w:tc>
          <w:tcPr>
            <w:tcW w:w="175" w:type="pct"/>
            <w:tcBorders>
              <w:top w:val="single" w:sz="4" w:space="0" w:color="auto"/>
              <w:left w:val="single" w:sz="4" w:space="0" w:color="auto"/>
              <w:bottom w:val="single" w:sz="4" w:space="0" w:color="auto"/>
              <w:right w:val="single" w:sz="4" w:space="0" w:color="auto"/>
            </w:tcBorders>
            <w:vAlign w:val="center"/>
            <w:hideMark/>
          </w:tcPr>
          <w:p w14:paraId="4E342772" w14:textId="77777777" w:rsidR="002F590A" w:rsidRDefault="002F590A">
            <w:pPr>
              <w:jc w:val="center"/>
              <w:rPr>
                <w:bCs/>
                <w:sz w:val="12"/>
                <w:szCs w:val="12"/>
              </w:rPr>
            </w:pPr>
            <w:r>
              <w:rPr>
                <w:bCs/>
                <w:sz w:val="12"/>
                <w:szCs w:val="12"/>
              </w:rPr>
              <w:t>22</w:t>
            </w:r>
          </w:p>
        </w:tc>
        <w:tc>
          <w:tcPr>
            <w:tcW w:w="173" w:type="pct"/>
            <w:tcBorders>
              <w:top w:val="single" w:sz="4" w:space="0" w:color="auto"/>
              <w:left w:val="single" w:sz="4" w:space="0" w:color="auto"/>
              <w:bottom w:val="single" w:sz="4" w:space="0" w:color="auto"/>
              <w:right w:val="single" w:sz="4" w:space="0" w:color="auto"/>
            </w:tcBorders>
            <w:vAlign w:val="center"/>
            <w:hideMark/>
          </w:tcPr>
          <w:p w14:paraId="41DA2F29" w14:textId="77777777" w:rsidR="002F590A" w:rsidRDefault="002F590A">
            <w:pPr>
              <w:jc w:val="center"/>
              <w:rPr>
                <w:bCs/>
                <w:sz w:val="12"/>
                <w:szCs w:val="12"/>
              </w:rPr>
            </w:pPr>
            <w:r>
              <w:rPr>
                <w:bCs/>
                <w:sz w:val="12"/>
                <w:szCs w:val="12"/>
              </w:rPr>
              <w:t>23</w:t>
            </w:r>
          </w:p>
        </w:tc>
        <w:tc>
          <w:tcPr>
            <w:tcW w:w="172" w:type="pct"/>
            <w:tcBorders>
              <w:top w:val="single" w:sz="4" w:space="0" w:color="auto"/>
              <w:left w:val="single" w:sz="4" w:space="0" w:color="auto"/>
              <w:bottom w:val="single" w:sz="4" w:space="0" w:color="auto"/>
              <w:right w:val="single" w:sz="4" w:space="0" w:color="auto"/>
            </w:tcBorders>
            <w:vAlign w:val="center"/>
            <w:hideMark/>
          </w:tcPr>
          <w:p w14:paraId="6A4FFD33" w14:textId="77777777" w:rsidR="002F590A" w:rsidRDefault="002F590A">
            <w:pPr>
              <w:jc w:val="center"/>
              <w:rPr>
                <w:bCs/>
                <w:sz w:val="12"/>
                <w:szCs w:val="12"/>
              </w:rPr>
            </w:pPr>
            <w:r>
              <w:rPr>
                <w:bCs/>
                <w:sz w:val="12"/>
                <w:szCs w:val="12"/>
              </w:rPr>
              <w:t>24</w:t>
            </w:r>
          </w:p>
        </w:tc>
      </w:tr>
      <w:tr w:rsidR="002F590A" w14:paraId="4D6BE170" w14:textId="77777777" w:rsidTr="002F590A">
        <w:trPr>
          <w:trHeight w:val="897"/>
        </w:trPr>
        <w:tc>
          <w:tcPr>
            <w:tcW w:w="173" w:type="pct"/>
            <w:tcBorders>
              <w:top w:val="single" w:sz="4" w:space="0" w:color="auto"/>
              <w:left w:val="single" w:sz="4" w:space="0" w:color="auto"/>
              <w:bottom w:val="single" w:sz="4" w:space="0" w:color="auto"/>
              <w:right w:val="single" w:sz="4" w:space="0" w:color="auto"/>
            </w:tcBorders>
            <w:vAlign w:val="center"/>
            <w:hideMark/>
          </w:tcPr>
          <w:p w14:paraId="4BB0EF71" w14:textId="77777777" w:rsidR="002F590A" w:rsidRDefault="002F590A">
            <w:pPr>
              <w:jc w:val="center"/>
              <w:rPr>
                <w:bCs/>
                <w:sz w:val="12"/>
                <w:szCs w:val="12"/>
              </w:rPr>
            </w:pPr>
            <w:r>
              <w:rPr>
                <w:bCs/>
                <w:color w:val="000000"/>
                <w:sz w:val="12"/>
                <w:szCs w:val="12"/>
              </w:rPr>
              <w:t>3.2.</w:t>
            </w:r>
            <w:r>
              <w:rPr>
                <w:bCs/>
                <w:sz w:val="12"/>
                <w:szCs w:val="12"/>
              </w:rPr>
              <w:t>2.</w:t>
            </w:r>
          </w:p>
        </w:tc>
        <w:tc>
          <w:tcPr>
            <w:tcW w:w="280" w:type="pct"/>
            <w:tcBorders>
              <w:top w:val="single" w:sz="4" w:space="0" w:color="auto"/>
              <w:left w:val="single" w:sz="4" w:space="0" w:color="auto"/>
              <w:bottom w:val="single" w:sz="4" w:space="0" w:color="auto"/>
              <w:right w:val="single" w:sz="4" w:space="0" w:color="auto"/>
            </w:tcBorders>
            <w:vAlign w:val="center"/>
            <w:hideMark/>
          </w:tcPr>
          <w:p w14:paraId="5DDE9CB6" w14:textId="77777777" w:rsidR="002F590A" w:rsidRDefault="002F590A">
            <w:pPr>
              <w:rPr>
                <w:bCs/>
                <w:color w:val="000000"/>
                <w:sz w:val="12"/>
                <w:szCs w:val="12"/>
              </w:rPr>
            </w:pPr>
            <w:r>
              <w:rPr>
                <w:bCs/>
                <w:color w:val="000000"/>
                <w:sz w:val="12"/>
                <w:szCs w:val="12"/>
              </w:rPr>
              <w:t>Реконструкция котельной №17</w:t>
            </w:r>
          </w:p>
        </w:tc>
        <w:tc>
          <w:tcPr>
            <w:tcW w:w="313" w:type="pct"/>
            <w:tcBorders>
              <w:top w:val="single" w:sz="4" w:space="0" w:color="auto"/>
              <w:left w:val="single" w:sz="4" w:space="0" w:color="auto"/>
              <w:bottom w:val="single" w:sz="4" w:space="0" w:color="auto"/>
              <w:right w:val="single" w:sz="4" w:space="0" w:color="auto"/>
            </w:tcBorders>
            <w:vAlign w:val="center"/>
          </w:tcPr>
          <w:p w14:paraId="402EEA14" w14:textId="77777777" w:rsidR="002F590A" w:rsidRDefault="002F590A">
            <w:pPr>
              <w:jc w:val="center"/>
              <w:rPr>
                <w:sz w:val="12"/>
                <w:szCs w:val="12"/>
              </w:rPr>
            </w:pPr>
          </w:p>
        </w:tc>
        <w:tc>
          <w:tcPr>
            <w:tcW w:w="275" w:type="pct"/>
            <w:tcBorders>
              <w:top w:val="single" w:sz="4" w:space="0" w:color="auto"/>
              <w:left w:val="single" w:sz="4" w:space="0" w:color="auto"/>
              <w:bottom w:val="single" w:sz="4" w:space="0" w:color="auto"/>
              <w:right w:val="single" w:sz="4" w:space="0" w:color="auto"/>
            </w:tcBorders>
            <w:vAlign w:val="center"/>
            <w:hideMark/>
          </w:tcPr>
          <w:p w14:paraId="62D6D3AF" w14:textId="77777777" w:rsidR="002F590A" w:rsidRDefault="002F590A">
            <w:pPr>
              <w:jc w:val="center"/>
              <w:rPr>
                <w:bCs/>
                <w:color w:val="000000"/>
                <w:sz w:val="12"/>
                <w:szCs w:val="12"/>
              </w:rPr>
            </w:pPr>
            <w:r>
              <w:rPr>
                <w:bCs/>
                <w:color w:val="000000"/>
                <w:sz w:val="12"/>
                <w:szCs w:val="12"/>
              </w:rPr>
              <w:t xml:space="preserve">Кемеровский городской округ, Кировский район, юго-восточнее строения № 15а по ул. Багратиона   </w:t>
            </w:r>
          </w:p>
        </w:tc>
        <w:tc>
          <w:tcPr>
            <w:tcW w:w="303" w:type="pct"/>
            <w:tcBorders>
              <w:top w:val="single" w:sz="4" w:space="0" w:color="auto"/>
              <w:left w:val="single" w:sz="4" w:space="0" w:color="auto"/>
              <w:bottom w:val="single" w:sz="4" w:space="0" w:color="auto"/>
              <w:right w:val="single" w:sz="4" w:space="0" w:color="auto"/>
            </w:tcBorders>
            <w:vAlign w:val="center"/>
            <w:hideMark/>
          </w:tcPr>
          <w:p w14:paraId="6683D948" w14:textId="77777777" w:rsidR="002F590A" w:rsidRDefault="002F590A">
            <w:pPr>
              <w:jc w:val="center"/>
              <w:rPr>
                <w:sz w:val="12"/>
                <w:szCs w:val="12"/>
              </w:rPr>
            </w:pPr>
            <w:r>
              <w:rPr>
                <w:color w:val="000000"/>
                <w:sz w:val="12"/>
                <w:szCs w:val="12"/>
              </w:rPr>
              <w:t>Технические характеристики</w:t>
            </w:r>
          </w:p>
        </w:tc>
        <w:tc>
          <w:tcPr>
            <w:tcW w:w="139" w:type="pct"/>
            <w:tcBorders>
              <w:top w:val="single" w:sz="4" w:space="0" w:color="auto"/>
              <w:left w:val="single" w:sz="4" w:space="0" w:color="auto"/>
              <w:bottom w:val="single" w:sz="4" w:space="0" w:color="auto"/>
              <w:right w:val="single" w:sz="4" w:space="0" w:color="auto"/>
            </w:tcBorders>
            <w:vAlign w:val="center"/>
          </w:tcPr>
          <w:p w14:paraId="6B3390E5" w14:textId="77777777" w:rsidR="002F590A" w:rsidRDefault="002F590A">
            <w:pPr>
              <w:jc w:val="center"/>
              <w:rPr>
                <w:sz w:val="12"/>
                <w:szCs w:val="12"/>
              </w:rPr>
            </w:pPr>
          </w:p>
        </w:tc>
        <w:tc>
          <w:tcPr>
            <w:tcW w:w="300" w:type="pct"/>
            <w:tcBorders>
              <w:top w:val="single" w:sz="4" w:space="0" w:color="auto"/>
              <w:left w:val="single" w:sz="4" w:space="0" w:color="auto"/>
              <w:bottom w:val="single" w:sz="4" w:space="0" w:color="auto"/>
              <w:right w:val="single" w:sz="4" w:space="0" w:color="auto"/>
            </w:tcBorders>
            <w:vAlign w:val="center"/>
            <w:hideMark/>
          </w:tcPr>
          <w:p w14:paraId="344A970E" w14:textId="77777777" w:rsidR="002F590A" w:rsidRDefault="002F590A">
            <w:pPr>
              <w:jc w:val="center"/>
              <w:rPr>
                <w:sz w:val="12"/>
                <w:szCs w:val="12"/>
              </w:rPr>
            </w:pPr>
            <w:r>
              <w:rPr>
                <w:sz w:val="12"/>
                <w:szCs w:val="12"/>
              </w:rPr>
              <w:t> </w:t>
            </w:r>
          </w:p>
        </w:tc>
        <w:tc>
          <w:tcPr>
            <w:tcW w:w="351" w:type="pct"/>
            <w:tcBorders>
              <w:top w:val="single" w:sz="4" w:space="0" w:color="auto"/>
              <w:left w:val="single" w:sz="4" w:space="0" w:color="auto"/>
              <w:bottom w:val="single" w:sz="4" w:space="0" w:color="auto"/>
              <w:right w:val="single" w:sz="4" w:space="0" w:color="auto"/>
            </w:tcBorders>
            <w:vAlign w:val="center"/>
            <w:hideMark/>
          </w:tcPr>
          <w:p w14:paraId="2C91C349" w14:textId="77777777" w:rsidR="002F590A" w:rsidRDefault="002F590A">
            <w:pPr>
              <w:jc w:val="center"/>
              <w:rPr>
                <w:sz w:val="12"/>
                <w:szCs w:val="12"/>
              </w:rPr>
            </w:pPr>
            <w:r>
              <w:rPr>
                <w:sz w:val="12"/>
                <w:szCs w:val="12"/>
              </w:rPr>
              <w:t> </w:t>
            </w:r>
          </w:p>
        </w:tc>
        <w:tc>
          <w:tcPr>
            <w:tcW w:w="139" w:type="pct"/>
            <w:tcBorders>
              <w:top w:val="single" w:sz="4" w:space="0" w:color="auto"/>
              <w:left w:val="single" w:sz="4" w:space="0" w:color="auto"/>
              <w:bottom w:val="single" w:sz="4" w:space="0" w:color="auto"/>
              <w:right w:val="single" w:sz="4" w:space="0" w:color="auto"/>
            </w:tcBorders>
            <w:vAlign w:val="center"/>
          </w:tcPr>
          <w:p w14:paraId="6EFDA122" w14:textId="77777777" w:rsidR="002F590A" w:rsidRDefault="002F590A">
            <w:pPr>
              <w:jc w:val="center"/>
              <w:rPr>
                <w:sz w:val="12"/>
                <w:szCs w:val="12"/>
              </w:rPr>
            </w:pPr>
          </w:p>
        </w:tc>
        <w:tc>
          <w:tcPr>
            <w:tcW w:w="167" w:type="pct"/>
            <w:tcBorders>
              <w:top w:val="single" w:sz="4" w:space="0" w:color="auto"/>
              <w:left w:val="single" w:sz="4" w:space="0" w:color="auto"/>
              <w:bottom w:val="single" w:sz="4" w:space="0" w:color="auto"/>
              <w:right w:val="single" w:sz="4" w:space="0" w:color="auto"/>
            </w:tcBorders>
            <w:vAlign w:val="center"/>
          </w:tcPr>
          <w:p w14:paraId="131B787C" w14:textId="77777777" w:rsidR="002F590A" w:rsidRDefault="002F590A">
            <w:pPr>
              <w:jc w:val="center"/>
              <w:rPr>
                <w:sz w:val="12"/>
                <w:szCs w:val="12"/>
              </w:rPr>
            </w:pPr>
          </w:p>
        </w:tc>
        <w:tc>
          <w:tcPr>
            <w:tcW w:w="216" w:type="pct"/>
            <w:tcBorders>
              <w:top w:val="single" w:sz="4" w:space="0" w:color="auto"/>
              <w:left w:val="single" w:sz="4" w:space="0" w:color="auto"/>
              <w:bottom w:val="single" w:sz="4" w:space="0" w:color="auto"/>
              <w:right w:val="single" w:sz="4" w:space="0" w:color="auto"/>
            </w:tcBorders>
            <w:vAlign w:val="center"/>
          </w:tcPr>
          <w:p w14:paraId="1FE9EC83" w14:textId="77777777" w:rsidR="002F590A" w:rsidRDefault="002F590A">
            <w:pPr>
              <w:jc w:val="center"/>
              <w:rPr>
                <w:color w:val="000000"/>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6C2331A8" w14:textId="77777777" w:rsidR="002F590A" w:rsidRDefault="002F590A">
            <w:pPr>
              <w:jc w:val="center"/>
              <w:rPr>
                <w:color w:val="000000"/>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1D34F298" w14:textId="77777777" w:rsidR="002F590A" w:rsidRDefault="002F590A">
            <w:pPr>
              <w:jc w:val="center"/>
              <w:rPr>
                <w:sz w:val="12"/>
                <w:szCs w:val="12"/>
              </w:rPr>
            </w:pPr>
          </w:p>
        </w:tc>
        <w:tc>
          <w:tcPr>
            <w:tcW w:w="172" w:type="pct"/>
            <w:tcBorders>
              <w:top w:val="single" w:sz="4" w:space="0" w:color="auto"/>
              <w:left w:val="single" w:sz="4" w:space="0" w:color="auto"/>
              <w:bottom w:val="single" w:sz="4" w:space="0" w:color="auto"/>
              <w:right w:val="single" w:sz="4" w:space="0" w:color="auto"/>
            </w:tcBorders>
            <w:vAlign w:val="center"/>
          </w:tcPr>
          <w:p w14:paraId="134B6EBD" w14:textId="77777777" w:rsidR="002F590A" w:rsidRDefault="002F590A">
            <w:pPr>
              <w:jc w:val="center"/>
              <w:rPr>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4FE40101" w14:textId="77777777" w:rsidR="002F590A" w:rsidRDefault="002F590A">
            <w:pPr>
              <w:jc w:val="center"/>
              <w:rPr>
                <w:sz w:val="12"/>
                <w:szCs w:val="12"/>
              </w:rPr>
            </w:pPr>
          </w:p>
        </w:tc>
        <w:tc>
          <w:tcPr>
            <w:tcW w:w="216" w:type="pct"/>
            <w:tcBorders>
              <w:top w:val="single" w:sz="4" w:space="0" w:color="auto"/>
              <w:left w:val="single" w:sz="4" w:space="0" w:color="auto"/>
              <w:bottom w:val="single" w:sz="4" w:space="0" w:color="auto"/>
              <w:right w:val="single" w:sz="4" w:space="0" w:color="auto"/>
            </w:tcBorders>
            <w:vAlign w:val="center"/>
          </w:tcPr>
          <w:p w14:paraId="790773FA" w14:textId="77777777" w:rsidR="002F590A" w:rsidRDefault="002F590A">
            <w:pPr>
              <w:jc w:val="center"/>
              <w:rPr>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2DF93E40" w14:textId="77777777" w:rsidR="002F590A" w:rsidRDefault="002F590A">
            <w:pPr>
              <w:jc w:val="center"/>
              <w:rPr>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4DD5DD9D" w14:textId="77777777" w:rsidR="002F590A" w:rsidRDefault="002F590A">
            <w:pPr>
              <w:jc w:val="center"/>
              <w:rPr>
                <w:sz w:val="12"/>
                <w:szCs w:val="12"/>
              </w:rPr>
            </w:pPr>
          </w:p>
        </w:tc>
        <w:tc>
          <w:tcPr>
            <w:tcW w:w="218" w:type="pct"/>
            <w:tcBorders>
              <w:top w:val="single" w:sz="4" w:space="0" w:color="auto"/>
              <w:left w:val="single" w:sz="4" w:space="0" w:color="auto"/>
              <w:bottom w:val="single" w:sz="4" w:space="0" w:color="auto"/>
              <w:right w:val="single" w:sz="4" w:space="0" w:color="auto"/>
            </w:tcBorders>
            <w:vAlign w:val="center"/>
          </w:tcPr>
          <w:p w14:paraId="20A3AB00" w14:textId="77777777" w:rsidR="002F590A" w:rsidRDefault="002F590A">
            <w:pPr>
              <w:jc w:val="center"/>
              <w:rPr>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41E3E61B" w14:textId="77777777" w:rsidR="002F590A" w:rsidRDefault="002F590A">
            <w:pPr>
              <w:jc w:val="center"/>
              <w:rPr>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5EFF821B" w14:textId="77777777" w:rsidR="002F590A" w:rsidRDefault="002F590A">
            <w:pPr>
              <w:jc w:val="center"/>
              <w:rPr>
                <w:sz w:val="12"/>
                <w:szCs w:val="12"/>
              </w:rPr>
            </w:pPr>
          </w:p>
        </w:tc>
        <w:tc>
          <w:tcPr>
            <w:tcW w:w="175" w:type="pct"/>
            <w:tcBorders>
              <w:top w:val="single" w:sz="4" w:space="0" w:color="auto"/>
              <w:left w:val="single" w:sz="4" w:space="0" w:color="auto"/>
              <w:bottom w:val="single" w:sz="4" w:space="0" w:color="auto"/>
              <w:right w:val="single" w:sz="4" w:space="0" w:color="auto"/>
            </w:tcBorders>
            <w:vAlign w:val="center"/>
          </w:tcPr>
          <w:p w14:paraId="0B2F4005" w14:textId="77777777" w:rsidR="002F590A" w:rsidRDefault="002F590A">
            <w:pPr>
              <w:jc w:val="center"/>
              <w:rPr>
                <w:sz w:val="12"/>
                <w:szCs w:val="12"/>
              </w:rPr>
            </w:pPr>
          </w:p>
        </w:tc>
        <w:tc>
          <w:tcPr>
            <w:tcW w:w="173" w:type="pct"/>
            <w:tcBorders>
              <w:top w:val="single" w:sz="4" w:space="0" w:color="auto"/>
              <w:left w:val="single" w:sz="4" w:space="0" w:color="auto"/>
              <w:bottom w:val="single" w:sz="4" w:space="0" w:color="auto"/>
              <w:right w:val="single" w:sz="4" w:space="0" w:color="auto"/>
            </w:tcBorders>
            <w:vAlign w:val="center"/>
          </w:tcPr>
          <w:p w14:paraId="2EB7BD1C" w14:textId="77777777" w:rsidR="002F590A" w:rsidRDefault="002F590A">
            <w:pPr>
              <w:jc w:val="center"/>
              <w:rPr>
                <w:color w:val="000000"/>
                <w:sz w:val="12"/>
                <w:szCs w:val="12"/>
              </w:rPr>
            </w:pPr>
          </w:p>
        </w:tc>
        <w:tc>
          <w:tcPr>
            <w:tcW w:w="172" w:type="pct"/>
            <w:tcBorders>
              <w:top w:val="single" w:sz="4" w:space="0" w:color="auto"/>
              <w:left w:val="single" w:sz="4" w:space="0" w:color="auto"/>
              <w:bottom w:val="single" w:sz="4" w:space="0" w:color="auto"/>
              <w:right w:val="single" w:sz="4" w:space="0" w:color="auto"/>
            </w:tcBorders>
            <w:vAlign w:val="center"/>
          </w:tcPr>
          <w:p w14:paraId="59DEA4FA" w14:textId="77777777" w:rsidR="002F590A" w:rsidRDefault="002F590A">
            <w:pPr>
              <w:jc w:val="center"/>
              <w:rPr>
                <w:color w:val="000000"/>
                <w:sz w:val="12"/>
                <w:szCs w:val="12"/>
              </w:rPr>
            </w:pPr>
          </w:p>
        </w:tc>
      </w:tr>
      <w:tr w:rsidR="002F590A" w14:paraId="692082DC" w14:textId="77777777" w:rsidTr="002F590A">
        <w:trPr>
          <w:trHeight w:val="897"/>
        </w:trPr>
        <w:tc>
          <w:tcPr>
            <w:tcW w:w="173" w:type="pct"/>
            <w:tcBorders>
              <w:top w:val="single" w:sz="4" w:space="0" w:color="auto"/>
              <w:left w:val="single" w:sz="4" w:space="0" w:color="auto"/>
              <w:bottom w:val="single" w:sz="4" w:space="0" w:color="auto"/>
              <w:right w:val="single" w:sz="4" w:space="0" w:color="auto"/>
            </w:tcBorders>
            <w:vAlign w:val="center"/>
            <w:hideMark/>
          </w:tcPr>
          <w:p w14:paraId="3EB45EA1" w14:textId="77777777" w:rsidR="002F590A" w:rsidRDefault="002F590A">
            <w:pPr>
              <w:jc w:val="center"/>
              <w:rPr>
                <w:sz w:val="12"/>
                <w:szCs w:val="12"/>
              </w:rPr>
            </w:pPr>
            <w:r>
              <w:rPr>
                <w:sz w:val="12"/>
                <w:szCs w:val="12"/>
              </w:rPr>
              <w:t>3.2.2.1</w:t>
            </w:r>
          </w:p>
        </w:tc>
        <w:tc>
          <w:tcPr>
            <w:tcW w:w="280" w:type="pct"/>
            <w:tcBorders>
              <w:top w:val="single" w:sz="4" w:space="0" w:color="auto"/>
              <w:left w:val="single" w:sz="4" w:space="0" w:color="auto"/>
              <w:bottom w:val="single" w:sz="4" w:space="0" w:color="auto"/>
              <w:right w:val="single" w:sz="4" w:space="0" w:color="auto"/>
            </w:tcBorders>
            <w:vAlign w:val="center"/>
            <w:hideMark/>
          </w:tcPr>
          <w:p w14:paraId="289F1145" w14:textId="77777777" w:rsidR="002F590A" w:rsidRDefault="002F590A">
            <w:pPr>
              <w:rPr>
                <w:color w:val="000000"/>
                <w:sz w:val="12"/>
                <w:szCs w:val="12"/>
              </w:rPr>
            </w:pPr>
            <w:r>
              <w:rPr>
                <w:color w:val="000000"/>
                <w:sz w:val="12"/>
                <w:szCs w:val="12"/>
              </w:rPr>
              <w:t>Реконструкция системы автоматической подпитки тепловой сети из водопровода</w:t>
            </w:r>
          </w:p>
        </w:tc>
        <w:tc>
          <w:tcPr>
            <w:tcW w:w="313" w:type="pct"/>
            <w:tcBorders>
              <w:top w:val="single" w:sz="4" w:space="0" w:color="auto"/>
              <w:left w:val="single" w:sz="4" w:space="0" w:color="auto"/>
              <w:bottom w:val="single" w:sz="4" w:space="0" w:color="auto"/>
              <w:right w:val="single" w:sz="4" w:space="0" w:color="auto"/>
            </w:tcBorders>
            <w:vAlign w:val="center"/>
            <w:hideMark/>
          </w:tcPr>
          <w:p w14:paraId="7966422E" w14:textId="77777777" w:rsidR="002F590A" w:rsidRDefault="002F590A">
            <w:pPr>
              <w:jc w:val="center"/>
              <w:rPr>
                <w:sz w:val="12"/>
                <w:szCs w:val="12"/>
              </w:rPr>
            </w:pPr>
            <w:r>
              <w:rPr>
                <w:sz w:val="12"/>
                <w:szCs w:val="12"/>
              </w:rPr>
              <w:t>Повышение надежности (бесперебойности) услуг теплоснабжения, повышение энергетической эффективности</w:t>
            </w:r>
          </w:p>
        </w:tc>
        <w:tc>
          <w:tcPr>
            <w:tcW w:w="275" w:type="pct"/>
            <w:tcBorders>
              <w:top w:val="single" w:sz="4" w:space="0" w:color="auto"/>
              <w:left w:val="single" w:sz="4" w:space="0" w:color="auto"/>
              <w:bottom w:val="single" w:sz="4" w:space="0" w:color="auto"/>
              <w:right w:val="single" w:sz="4" w:space="0" w:color="auto"/>
            </w:tcBorders>
            <w:vAlign w:val="center"/>
            <w:hideMark/>
          </w:tcPr>
          <w:p w14:paraId="6305CECD" w14:textId="77777777" w:rsidR="002F590A" w:rsidRDefault="002F590A">
            <w:pPr>
              <w:jc w:val="center"/>
              <w:rPr>
                <w:sz w:val="12"/>
                <w:szCs w:val="12"/>
              </w:rPr>
            </w:pPr>
            <w:r>
              <w:rPr>
                <w:sz w:val="12"/>
                <w:szCs w:val="12"/>
              </w:rPr>
              <w:t> </w:t>
            </w:r>
          </w:p>
        </w:tc>
        <w:tc>
          <w:tcPr>
            <w:tcW w:w="303" w:type="pct"/>
            <w:tcBorders>
              <w:top w:val="single" w:sz="4" w:space="0" w:color="auto"/>
              <w:left w:val="single" w:sz="4" w:space="0" w:color="auto"/>
              <w:bottom w:val="single" w:sz="4" w:space="0" w:color="auto"/>
              <w:right w:val="single" w:sz="4" w:space="0" w:color="auto"/>
            </w:tcBorders>
            <w:vAlign w:val="center"/>
            <w:hideMark/>
          </w:tcPr>
          <w:p w14:paraId="70DB847B" w14:textId="77777777" w:rsidR="002F590A" w:rsidRDefault="002F590A">
            <w:pPr>
              <w:jc w:val="center"/>
              <w:rPr>
                <w:sz w:val="12"/>
                <w:szCs w:val="12"/>
              </w:rPr>
            </w:pPr>
            <w:r>
              <w:rPr>
                <w:color w:val="000000"/>
                <w:sz w:val="12"/>
                <w:szCs w:val="12"/>
              </w:rPr>
              <w:t>Технические характеристики</w:t>
            </w:r>
          </w:p>
        </w:tc>
        <w:tc>
          <w:tcPr>
            <w:tcW w:w="139" w:type="pct"/>
            <w:tcBorders>
              <w:top w:val="single" w:sz="4" w:space="0" w:color="auto"/>
              <w:left w:val="single" w:sz="4" w:space="0" w:color="auto"/>
              <w:bottom w:val="single" w:sz="4" w:space="0" w:color="auto"/>
              <w:right w:val="single" w:sz="4" w:space="0" w:color="auto"/>
            </w:tcBorders>
            <w:vAlign w:val="center"/>
          </w:tcPr>
          <w:p w14:paraId="3076661C" w14:textId="77777777" w:rsidR="002F590A" w:rsidRDefault="002F590A">
            <w:pPr>
              <w:jc w:val="center"/>
              <w:rPr>
                <w:sz w:val="12"/>
                <w:szCs w:val="12"/>
              </w:rPr>
            </w:pPr>
          </w:p>
        </w:tc>
        <w:tc>
          <w:tcPr>
            <w:tcW w:w="300" w:type="pct"/>
            <w:tcBorders>
              <w:top w:val="single" w:sz="4" w:space="0" w:color="auto"/>
              <w:left w:val="single" w:sz="4" w:space="0" w:color="auto"/>
              <w:bottom w:val="single" w:sz="4" w:space="0" w:color="auto"/>
              <w:right w:val="single" w:sz="4" w:space="0" w:color="auto"/>
            </w:tcBorders>
            <w:vAlign w:val="center"/>
            <w:hideMark/>
          </w:tcPr>
          <w:p w14:paraId="49380ABA" w14:textId="77777777" w:rsidR="002F590A" w:rsidRDefault="002F590A">
            <w:pPr>
              <w:jc w:val="center"/>
              <w:rPr>
                <w:sz w:val="12"/>
                <w:szCs w:val="12"/>
              </w:rPr>
            </w:pPr>
            <w:r>
              <w:rPr>
                <w:sz w:val="12"/>
                <w:szCs w:val="12"/>
              </w:rPr>
              <w:t>Редукционный клапан Ду15, счетчик СГВ-15, кран муфтовый Ду15, обратный клапан резьбовой Ду15мм.</w:t>
            </w:r>
          </w:p>
        </w:tc>
        <w:tc>
          <w:tcPr>
            <w:tcW w:w="351" w:type="pct"/>
            <w:tcBorders>
              <w:top w:val="single" w:sz="4" w:space="0" w:color="auto"/>
              <w:left w:val="single" w:sz="4" w:space="0" w:color="auto"/>
              <w:bottom w:val="single" w:sz="4" w:space="0" w:color="auto"/>
              <w:right w:val="single" w:sz="4" w:space="0" w:color="auto"/>
            </w:tcBorders>
            <w:vAlign w:val="center"/>
            <w:hideMark/>
          </w:tcPr>
          <w:p w14:paraId="06005126" w14:textId="77777777" w:rsidR="002F590A" w:rsidRDefault="002F590A">
            <w:pPr>
              <w:jc w:val="center"/>
              <w:rPr>
                <w:sz w:val="12"/>
                <w:szCs w:val="12"/>
              </w:rPr>
            </w:pPr>
            <w:r>
              <w:rPr>
                <w:sz w:val="12"/>
                <w:szCs w:val="12"/>
              </w:rPr>
              <w:t>Оборудование с техническими характеристиками не ниже существующего на объекте</w:t>
            </w:r>
          </w:p>
        </w:tc>
        <w:tc>
          <w:tcPr>
            <w:tcW w:w="139" w:type="pct"/>
            <w:tcBorders>
              <w:top w:val="single" w:sz="4" w:space="0" w:color="auto"/>
              <w:left w:val="single" w:sz="4" w:space="0" w:color="auto"/>
              <w:bottom w:val="single" w:sz="4" w:space="0" w:color="auto"/>
              <w:right w:val="single" w:sz="4" w:space="0" w:color="auto"/>
            </w:tcBorders>
            <w:vAlign w:val="center"/>
            <w:hideMark/>
          </w:tcPr>
          <w:p w14:paraId="5535CE88" w14:textId="77777777" w:rsidR="002F590A" w:rsidRDefault="002F590A">
            <w:pPr>
              <w:jc w:val="center"/>
              <w:rPr>
                <w:sz w:val="12"/>
                <w:szCs w:val="12"/>
              </w:rPr>
            </w:pPr>
            <w:r>
              <w:rPr>
                <w:sz w:val="12"/>
                <w:szCs w:val="12"/>
              </w:rPr>
              <w:t>2029</w:t>
            </w:r>
          </w:p>
        </w:tc>
        <w:tc>
          <w:tcPr>
            <w:tcW w:w="167" w:type="pct"/>
            <w:tcBorders>
              <w:top w:val="single" w:sz="4" w:space="0" w:color="auto"/>
              <w:left w:val="single" w:sz="4" w:space="0" w:color="auto"/>
              <w:bottom w:val="single" w:sz="4" w:space="0" w:color="auto"/>
              <w:right w:val="single" w:sz="4" w:space="0" w:color="auto"/>
            </w:tcBorders>
            <w:vAlign w:val="center"/>
            <w:hideMark/>
          </w:tcPr>
          <w:p w14:paraId="0C412C4C" w14:textId="77777777" w:rsidR="002F590A" w:rsidRDefault="002F590A">
            <w:pPr>
              <w:jc w:val="center"/>
              <w:rPr>
                <w:sz w:val="12"/>
                <w:szCs w:val="12"/>
              </w:rPr>
            </w:pPr>
            <w:r>
              <w:rPr>
                <w:sz w:val="12"/>
                <w:szCs w:val="12"/>
              </w:rPr>
              <w:t>2029</w:t>
            </w:r>
          </w:p>
        </w:tc>
        <w:tc>
          <w:tcPr>
            <w:tcW w:w="216" w:type="pct"/>
            <w:tcBorders>
              <w:top w:val="single" w:sz="4" w:space="0" w:color="auto"/>
              <w:left w:val="single" w:sz="4" w:space="0" w:color="auto"/>
              <w:bottom w:val="single" w:sz="4" w:space="0" w:color="auto"/>
              <w:right w:val="single" w:sz="4" w:space="0" w:color="auto"/>
            </w:tcBorders>
            <w:vAlign w:val="center"/>
            <w:hideMark/>
          </w:tcPr>
          <w:p w14:paraId="3B4D20DF" w14:textId="77777777" w:rsidR="002F590A" w:rsidRDefault="002F590A">
            <w:pPr>
              <w:jc w:val="center"/>
              <w:rPr>
                <w:color w:val="000000"/>
                <w:sz w:val="12"/>
                <w:szCs w:val="12"/>
              </w:rPr>
            </w:pPr>
            <w:r>
              <w:rPr>
                <w:color w:val="000000"/>
                <w:sz w:val="12"/>
                <w:szCs w:val="12"/>
              </w:rPr>
              <w:t>52,3</w:t>
            </w:r>
          </w:p>
        </w:tc>
        <w:tc>
          <w:tcPr>
            <w:tcW w:w="174" w:type="pct"/>
            <w:tcBorders>
              <w:top w:val="single" w:sz="4" w:space="0" w:color="auto"/>
              <w:left w:val="single" w:sz="4" w:space="0" w:color="auto"/>
              <w:bottom w:val="single" w:sz="4" w:space="0" w:color="auto"/>
              <w:right w:val="single" w:sz="4" w:space="0" w:color="auto"/>
            </w:tcBorders>
            <w:vAlign w:val="center"/>
            <w:hideMark/>
          </w:tcPr>
          <w:p w14:paraId="18F2ECDF" w14:textId="77777777" w:rsidR="002F590A" w:rsidRDefault="002F590A">
            <w:pPr>
              <w:jc w:val="center"/>
              <w:rPr>
                <w:color w:val="000000"/>
                <w:sz w:val="12"/>
                <w:szCs w:val="12"/>
              </w:rPr>
            </w:pPr>
            <w:r>
              <w:rPr>
                <w:color w:val="000000"/>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3A75E308" w14:textId="77777777" w:rsidR="002F590A" w:rsidRDefault="002F590A">
            <w:pPr>
              <w:jc w:val="center"/>
              <w:rPr>
                <w:sz w:val="12"/>
                <w:szCs w:val="12"/>
              </w:rPr>
            </w:pPr>
            <w:r>
              <w:rPr>
                <w:sz w:val="12"/>
                <w:szCs w:val="12"/>
              </w:rPr>
              <w:t>0,00</w:t>
            </w:r>
          </w:p>
        </w:tc>
        <w:tc>
          <w:tcPr>
            <w:tcW w:w="172" w:type="pct"/>
            <w:tcBorders>
              <w:top w:val="single" w:sz="4" w:space="0" w:color="auto"/>
              <w:left w:val="single" w:sz="4" w:space="0" w:color="auto"/>
              <w:bottom w:val="single" w:sz="4" w:space="0" w:color="auto"/>
              <w:right w:val="single" w:sz="4" w:space="0" w:color="auto"/>
            </w:tcBorders>
            <w:vAlign w:val="center"/>
            <w:hideMark/>
          </w:tcPr>
          <w:p w14:paraId="57937056"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4E49898E" w14:textId="77777777" w:rsidR="002F590A" w:rsidRDefault="002F590A">
            <w:pPr>
              <w:jc w:val="center"/>
              <w:rPr>
                <w:sz w:val="12"/>
                <w:szCs w:val="12"/>
              </w:rPr>
            </w:pPr>
            <w:r>
              <w:rPr>
                <w:sz w:val="12"/>
                <w:szCs w:val="12"/>
              </w:rPr>
              <w:t>0,00</w:t>
            </w:r>
          </w:p>
        </w:tc>
        <w:tc>
          <w:tcPr>
            <w:tcW w:w="216" w:type="pct"/>
            <w:tcBorders>
              <w:top w:val="single" w:sz="4" w:space="0" w:color="auto"/>
              <w:left w:val="single" w:sz="4" w:space="0" w:color="auto"/>
              <w:bottom w:val="single" w:sz="4" w:space="0" w:color="auto"/>
              <w:right w:val="single" w:sz="4" w:space="0" w:color="auto"/>
            </w:tcBorders>
            <w:vAlign w:val="center"/>
            <w:hideMark/>
          </w:tcPr>
          <w:p w14:paraId="762EDF27"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7F33E1D0"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046AD224" w14:textId="77777777" w:rsidR="002F590A" w:rsidRDefault="002F590A">
            <w:pPr>
              <w:jc w:val="center"/>
              <w:rPr>
                <w:sz w:val="12"/>
                <w:szCs w:val="12"/>
              </w:rPr>
            </w:pPr>
            <w:r>
              <w:rPr>
                <w:sz w:val="12"/>
                <w:szCs w:val="12"/>
              </w:rPr>
              <w:t>0,00</w:t>
            </w:r>
          </w:p>
        </w:tc>
        <w:tc>
          <w:tcPr>
            <w:tcW w:w="218" w:type="pct"/>
            <w:tcBorders>
              <w:top w:val="single" w:sz="4" w:space="0" w:color="auto"/>
              <w:left w:val="single" w:sz="4" w:space="0" w:color="auto"/>
              <w:bottom w:val="single" w:sz="4" w:space="0" w:color="auto"/>
              <w:right w:val="single" w:sz="4" w:space="0" w:color="auto"/>
            </w:tcBorders>
            <w:vAlign w:val="center"/>
            <w:hideMark/>
          </w:tcPr>
          <w:p w14:paraId="110C6002"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22CBF7A8" w14:textId="77777777" w:rsidR="002F590A" w:rsidRDefault="002F590A">
            <w:pPr>
              <w:jc w:val="center"/>
              <w:rPr>
                <w:sz w:val="12"/>
                <w:szCs w:val="12"/>
              </w:rPr>
            </w:pPr>
            <w:r>
              <w:rPr>
                <w:sz w:val="12"/>
                <w:szCs w:val="12"/>
              </w:rPr>
              <w:t>52,3</w:t>
            </w:r>
          </w:p>
        </w:tc>
        <w:tc>
          <w:tcPr>
            <w:tcW w:w="174" w:type="pct"/>
            <w:tcBorders>
              <w:top w:val="single" w:sz="4" w:space="0" w:color="auto"/>
              <w:left w:val="single" w:sz="4" w:space="0" w:color="auto"/>
              <w:bottom w:val="single" w:sz="4" w:space="0" w:color="auto"/>
              <w:right w:val="single" w:sz="4" w:space="0" w:color="auto"/>
            </w:tcBorders>
            <w:vAlign w:val="center"/>
            <w:hideMark/>
          </w:tcPr>
          <w:p w14:paraId="05E8B416" w14:textId="77777777" w:rsidR="002F590A" w:rsidRDefault="002F590A">
            <w:pPr>
              <w:jc w:val="center"/>
              <w:rPr>
                <w:sz w:val="12"/>
                <w:szCs w:val="12"/>
              </w:rPr>
            </w:pPr>
            <w:r>
              <w:rPr>
                <w:sz w:val="12"/>
                <w:szCs w:val="12"/>
              </w:rPr>
              <w:t>0,00</w:t>
            </w:r>
          </w:p>
        </w:tc>
        <w:tc>
          <w:tcPr>
            <w:tcW w:w="175" w:type="pct"/>
            <w:tcBorders>
              <w:top w:val="single" w:sz="4" w:space="0" w:color="auto"/>
              <w:left w:val="single" w:sz="4" w:space="0" w:color="auto"/>
              <w:bottom w:val="single" w:sz="4" w:space="0" w:color="auto"/>
              <w:right w:val="single" w:sz="4" w:space="0" w:color="auto"/>
            </w:tcBorders>
            <w:vAlign w:val="center"/>
            <w:hideMark/>
          </w:tcPr>
          <w:p w14:paraId="4B51717B"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0E7B4C16" w14:textId="77777777" w:rsidR="002F590A" w:rsidRDefault="002F590A">
            <w:pPr>
              <w:jc w:val="center"/>
              <w:rPr>
                <w:color w:val="000000"/>
                <w:sz w:val="12"/>
                <w:szCs w:val="12"/>
              </w:rPr>
            </w:pPr>
            <w:r>
              <w:rPr>
                <w:color w:val="000000"/>
                <w:sz w:val="12"/>
                <w:szCs w:val="12"/>
              </w:rPr>
              <w:t>0,00</w:t>
            </w:r>
          </w:p>
        </w:tc>
        <w:tc>
          <w:tcPr>
            <w:tcW w:w="172" w:type="pct"/>
            <w:tcBorders>
              <w:top w:val="single" w:sz="4" w:space="0" w:color="auto"/>
              <w:left w:val="single" w:sz="4" w:space="0" w:color="auto"/>
              <w:bottom w:val="single" w:sz="4" w:space="0" w:color="auto"/>
              <w:right w:val="single" w:sz="4" w:space="0" w:color="auto"/>
            </w:tcBorders>
            <w:vAlign w:val="center"/>
            <w:hideMark/>
          </w:tcPr>
          <w:p w14:paraId="2B2297A6" w14:textId="77777777" w:rsidR="002F590A" w:rsidRDefault="002F590A">
            <w:pPr>
              <w:jc w:val="center"/>
              <w:rPr>
                <w:color w:val="000000"/>
                <w:sz w:val="12"/>
                <w:szCs w:val="12"/>
              </w:rPr>
            </w:pPr>
            <w:r>
              <w:rPr>
                <w:color w:val="000000"/>
                <w:sz w:val="12"/>
                <w:szCs w:val="12"/>
              </w:rPr>
              <w:t>0,00</w:t>
            </w:r>
          </w:p>
        </w:tc>
      </w:tr>
      <w:tr w:rsidR="002F590A" w14:paraId="0E4C00C6" w14:textId="77777777" w:rsidTr="002F590A">
        <w:trPr>
          <w:trHeight w:val="897"/>
        </w:trPr>
        <w:tc>
          <w:tcPr>
            <w:tcW w:w="173" w:type="pct"/>
            <w:tcBorders>
              <w:top w:val="single" w:sz="4" w:space="0" w:color="auto"/>
              <w:left w:val="single" w:sz="4" w:space="0" w:color="auto"/>
              <w:bottom w:val="single" w:sz="4" w:space="0" w:color="auto"/>
              <w:right w:val="single" w:sz="4" w:space="0" w:color="auto"/>
            </w:tcBorders>
            <w:vAlign w:val="center"/>
            <w:hideMark/>
          </w:tcPr>
          <w:p w14:paraId="1F491DAC" w14:textId="77777777" w:rsidR="002F590A" w:rsidRDefault="002F590A">
            <w:pPr>
              <w:jc w:val="center"/>
              <w:rPr>
                <w:bCs/>
                <w:color w:val="000000"/>
                <w:sz w:val="12"/>
                <w:szCs w:val="12"/>
              </w:rPr>
            </w:pPr>
            <w:r>
              <w:rPr>
                <w:bCs/>
                <w:color w:val="000000"/>
                <w:sz w:val="12"/>
                <w:szCs w:val="12"/>
              </w:rPr>
              <w:t>3.2.3.</w:t>
            </w:r>
          </w:p>
        </w:tc>
        <w:tc>
          <w:tcPr>
            <w:tcW w:w="280" w:type="pct"/>
            <w:tcBorders>
              <w:top w:val="single" w:sz="4" w:space="0" w:color="auto"/>
              <w:left w:val="single" w:sz="4" w:space="0" w:color="auto"/>
              <w:bottom w:val="single" w:sz="4" w:space="0" w:color="auto"/>
              <w:right w:val="single" w:sz="4" w:space="0" w:color="auto"/>
            </w:tcBorders>
            <w:vAlign w:val="center"/>
            <w:hideMark/>
          </w:tcPr>
          <w:p w14:paraId="53040A9A" w14:textId="77777777" w:rsidR="002F590A" w:rsidRDefault="002F590A">
            <w:pPr>
              <w:rPr>
                <w:bCs/>
                <w:color w:val="000000"/>
                <w:sz w:val="12"/>
                <w:szCs w:val="12"/>
              </w:rPr>
            </w:pPr>
            <w:r>
              <w:rPr>
                <w:bCs/>
                <w:color w:val="000000"/>
                <w:sz w:val="12"/>
                <w:szCs w:val="12"/>
              </w:rPr>
              <w:t>Реконструкция котельной №24</w:t>
            </w:r>
          </w:p>
        </w:tc>
        <w:tc>
          <w:tcPr>
            <w:tcW w:w="313" w:type="pct"/>
            <w:tcBorders>
              <w:top w:val="single" w:sz="4" w:space="0" w:color="auto"/>
              <w:left w:val="single" w:sz="4" w:space="0" w:color="auto"/>
              <w:bottom w:val="single" w:sz="4" w:space="0" w:color="auto"/>
              <w:right w:val="single" w:sz="4" w:space="0" w:color="auto"/>
            </w:tcBorders>
            <w:vAlign w:val="center"/>
          </w:tcPr>
          <w:p w14:paraId="5D179BD9" w14:textId="77777777" w:rsidR="002F590A" w:rsidRDefault="002F590A">
            <w:pPr>
              <w:jc w:val="center"/>
              <w:rPr>
                <w:sz w:val="12"/>
                <w:szCs w:val="12"/>
              </w:rPr>
            </w:pPr>
          </w:p>
        </w:tc>
        <w:tc>
          <w:tcPr>
            <w:tcW w:w="275" w:type="pct"/>
            <w:tcBorders>
              <w:top w:val="single" w:sz="4" w:space="0" w:color="auto"/>
              <w:left w:val="single" w:sz="4" w:space="0" w:color="auto"/>
              <w:bottom w:val="single" w:sz="4" w:space="0" w:color="auto"/>
              <w:right w:val="single" w:sz="4" w:space="0" w:color="auto"/>
            </w:tcBorders>
            <w:vAlign w:val="center"/>
            <w:hideMark/>
          </w:tcPr>
          <w:p w14:paraId="6DC2AEDE" w14:textId="77777777" w:rsidR="002F590A" w:rsidRDefault="002F590A">
            <w:pPr>
              <w:jc w:val="center"/>
              <w:rPr>
                <w:bCs/>
                <w:sz w:val="12"/>
                <w:szCs w:val="12"/>
              </w:rPr>
            </w:pPr>
            <w:r>
              <w:rPr>
                <w:bCs/>
                <w:sz w:val="12"/>
                <w:szCs w:val="12"/>
              </w:rPr>
              <w:t xml:space="preserve">Кемеровский </w:t>
            </w:r>
            <w:proofErr w:type="gramStart"/>
            <w:r>
              <w:rPr>
                <w:bCs/>
                <w:sz w:val="12"/>
                <w:szCs w:val="12"/>
              </w:rPr>
              <w:t>муниципаль-ный</w:t>
            </w:r>
            <w:proofErr w:type="gramEnd"/>
            <w:r>
              <w:rPr>
                <w:bCs/>
                <w:sz w:val="12"/>
                <w:szCs w:val="12"/>
              </w:rPr>
              <w:t xml:space="preserve"> округ, 0,2 км., севернее                                  д. Журавлево </w:t>
            </w:r>
          </w:p>
        </w:tc>
        <w:tc>
          <w:tcPr>
            <w:tcW w:w="303" w:type="pct"/>
            <w:tcBorders>
              <w:top w:val="single" w:sz="4" w:space="0" w:color="auto"/>
              <w:left w:val="single" w:sz="4" w:space="0" w:color="auto"/>
              <w:bottom w:val="single" w:sz="4" w:space="0" w:color="auto"/>
              <w:right w:val="single" w:sz="4" w:space="0" w:color="auto"/>
            </w:tcBorders>
            <w:vAlign w:val="center"/>
            <w:hideMark/>
          </w:tcPr>
          <w:p w14:paraId="60BB6F16" w14:textId="77777777" w:rsidR="002F590A" w:rsidRDefault="002F590A">
            <w:pPr>
              <w:jc w:val="center"/>
              <w:rPr>
                <w:sz w:val="12"/>
                <w:szCs w:val="12"/>
              </w:rPr>
            </w:pPr>
            <w:r>
              <w:rPr>
                <w:color w:val="000000"/>
                <w:sz w:val="12"/>
                <w:szCs w:val="12"/>
              </w:rPr>
              <w:t>Технические характеристики</w:t>
            </w:r>
          </w:p>
        </w:tc>
        <w:tc>
          <w:tcPr>
            <w:tcW w:w="139" w:type="pct"/>
            <w:tcBorders>
              <w:top w:val="single" w:sz="4" w:space="0" w:color="auto"/>
              <w:left w:val="single" w:sz="4" w:space="0" w:color="auto"/>
              <w:bottom w:val="single" w:sz="4" w:space="0" w:color="auto"/>
              <w:right w:val="single" w:sz="4" w:space="0" w:color="auto"/>
            </w:tcBorders>
            <w:vAlign w:val="center"/>
          </w:tcPr>
          <w:p w14:paraId="11A18353" w14:textId="77777777" w:rsidR="002F590A" w:rsidRDefault="002F590A">
            <w:pPr>
              <w:jc w:val="center"/>
              <w:rPr>
                <w:sz w:val="12"/>
                <w:szCs w:val="12"/>
              </w:rPr>
            </w:pPr>
          </w:p>
        </w:tc>
        <w:tc>
          <w:tcPr>
            <w:tcW w:w="300" w:type="pct"/>
            <w:tcBorders>
              <w:top w:val="single" w:sz="4" w:space="0" w:color="auto"/>
              <w:left w:val="single" w:sz="4" w:space="0" w:color="auto"/>
              <w:bottom w:val="single" w:sz="4" w:space="0" w:color="auto"/>
              <w:right w:val="single" w:sz="4" w:space="0" w:color="auto"/>
            </w:tcBorders>
            <w:vAlign w:val="center"/>
            <w:hideMark/>
          </w:tcPr>
          <w:p w14:paraId="7C37C2F1" w14:textId="77777777" w:rsidR="002F590A" w:rsidRDefault="002F590A">
            <w:pPr>
              <w:jc w:val="center"/>
              <w:rPr>
                <w:sz w:val="12"/>
                <w:szCs w:val="12"/>
              </w:rPr>
            </w:pPr>
            <w:r>
              <w:rPr>
                <w:sz w:val="12"/>
                <w:szCs w:val="12"/>
              </w:rPr>
              <w:t> </w:t>
            </w:r>
          </w:p>
        </w:tc>
        <w:tc>
          <w:tcPr>
            <w:tcW w:w="351" w:type="pct"/>
            <w:tcBorders>
              <w:top w:val="single" w:sz="4" w:space="0" w:color="auto"/>
              <w:left w:val="single" w:sz="4" w:space="0" w:color="auto"/>
              <w:bottom w:val="single" w:sz="4" w:space="0" w:color="auto"/>
              <w:right w:val="single" w:sz="4" w:space="0" w:color="auto"/>
            </w:tcBorders>
            <w:vAlign w:val="center"/>
            <w:hideMark/>
          </w:tcPr>
          <w:p w14:paraId="023E95CF" w14:textId="77777777" w:rsidR="002F590A" w:rsidRDefault="002F590A">
            <w:pPr>
              <w:jc w:val="center"/>
              <w:rPr>
                <w:sz w:val="12"/>
                <w:szCs w:val="12"/>
              </w:rPr>
            </w:pPr>
            <w:r>
              <w:rPr>
                <w:sz w:val="12"/>
                <w:szCs w:val="12"/>
              </w:rPr>
              <w:t> </w:t>
            </w:r>
          </w:p>
        </w:tc>
        <w:tc>
          <w:tcPr>
            <w:tcW w:w="139" w:type="pct"/>
            <w:tcBorders>
              <w:top w:val="single" w:sz="4" w:space="0" w:color="auto"/>
              <w:left w:val="single" w:sz="4" w:space="0" w:color="auto"/>
              <w:bottom w:val="single" w:sz="4" w:space="0" w:color="auto"/>
              <w:right w:val="single" w:sz="4" w:space="0" w:color="auto"/>
            </w:tcBorders>
            <w:vAlign w:val="center"/>
          </w:tcPr>
          <w:p w14:paraId="3605DC39" w14:textId="77777777" w:rsidR="002F590A" w:rsidRDefault="002F590A">
            <w:pPr>
              <w:jc w:val="center"/>
              <w:rPr>
                <w:sz w:val="12"/>
                <w:szCs w:val="12"/>
              </w:rPr>
            </w:pPr>
          </w:p>
        </w:tc>
        <w:tc>
          <w:tcPr>
            <w:tcW w:w="167" w:type="pct"/>
            <w:tcBorders>
              <w:top w:val="single" w:sz="4" w:space="0" w:color="auto"/>
              <w:left w:val="single" w:sz="4" w:space="0" w:color="auto"/>
              <w:bottom w:val="single" w:sz="4" w:space="0" w:color="auto"/>
              <w:right w:val="single" w:sz="4" w:space="0" w:color="auto"/>
            </w:tcBorders>
            <w:vAlign w:val="center"/>
          </w:tcPr>
          <w:p w14:paraId="19DE4F21" w14:textId="77777777" w:rsidR="002F590A" w:rsidRDefault="002F590A">
            <w:pPr>
              <w:jc w:val="center"/>
              <w:rPr>
                <w:sz w:val="12"/>
                <w:szCs w:val="12"/>
              </w:rPr>
            </w:pPr>
          </w:p>
        </w:tc>
        <w:tc>
          <w:tcPr>
            <w:tcW w:w="216" w:type="pct"/>
            <w:tcBorders>
              <w:top w:val="single" w:sz="4" w:space="0" w:color="auto"/>
              <w:left w:val="single" w:sz="4" w:space="0" w:color="auto"/>
              <w:bottom w:val="single" w:sz="4" w:space="0" w:color="auto"/>
              <w:right w:val="single" w:sz="4" w:space="0" w:color="auto"/>
            </w:tcBorders>
            <w:vAlign w:val="center"/>
          </w:tcPr>
          <w:p w14:paraId="008E55FF" w14:textId="77777777" w:rsidR="002F590A" w:rsidRDefault="002F590A">
            <w:pPr>
              <w:jc w:val="center"/>
              <w:rPr>
                <w:color w:val="000000"/>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6F85C32B" w14:textId="77777777" w:rsidR="002F590A" w:rsidRDefault="002F590A">
            <w:pPr>
              <w:jc w:val="center"/>
              <w:rPr>
                <w:color w:val="000000"/>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799D36EA" w14:textId="77777777" w:rsidR="002F590A" w:rsidRDefault="002F590A">
            <w:pPr>
              <w:jc w:val="center"/>
              <w:rPr>
                <w:sz w:val="12"/>
                <w:szCs w:val="12"/>
              </w:rPr>
            </w:pPr>
          </w:p>
        </w:tc>
        <w:tc>
          <w:tcPr>
            <w:tcW w:w="172" w:type="pct"/>
            <w:tcBorders>
              <w:top w:val="single" w:sz="4" w:space="0" w:color="auto"/>
              <w:left w:val="single" w:sz="4" w:space="0" w:color="auto"/>
              <w:bottom w:val="single" w:sz="4" w:space="0" w:color="auto"/>
              <w:right w:val="single" w:sz="4" w:space="0" w:color="auto"/>
            </w:tcBorders>
            <w:vAlign w:val="center"/>
          </w:tcPr>
          <w:p w14:paraId="1F50A2C6" w14:textId="77777777" w:rsidR="002F590A" w:rsidRDefault="002F590A">
            <w:pPr>
              <w:jc w:val="center"/>
              <w:rPr>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738151D4" w14:textId="77777777" w:rsidR="002F590A" w:rsidRDefault="002F590A">
            <w:pPr>
              <w:jc w:val="center"/>
              <w:rPr>
                <w:sz w:val="12"/>
                <w:szCs w:val="12"/>
              </w:rPr>
            </w:pPr>
          </w:p>
        </w:tc>
        <w:tc>
          <w:tcPr>
            <w:tcW w:w="216" w:type="pct"/>
            <w:tcBorders>
              <w:top w:val="single" w:sz="4" w:space="0" w:color="auto"/>
              <w:left w:val="single" w:sz="4" w:space="0" w:color="auto"/>
              <w:bottom w:val="single" w:sz="4" w:space="0" w:color="auto"/>
              <w:right w:val="single" w:sz="4" w:space="0" w:color="auto"/>
            </w:tcBorders>
            <w:vAlign w:val="center"/>
          </w:tcPr>
          <w:p w14:paraId="432D324B" w14:textId="77777777" w:rsidR="002F590A" w:rsidRDefault="002F590A">
            <w:pPr>
              <w:jc w:val="center"/>
              <w:rPr>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37EF3FE3" w14:textId="77777777" w:rsidR="002F590A" w:rsidRDefault="002F590A">
            <w:pPr>
              <w:jc w:val="center"/>
              <w:rPr>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7072BCBB" w14:textId="77777777" w:rsidR="002F590A" w:rsidRDefault="002F590A">
            <w:pPr>
              <w:jc w:val="center"/>
              <w:rPr>
                <w:sz w:val="12"/>
                <w:szCs w:val="12"/>
              </w:rPr>
            </w:pPr>
          </w:p>
        </w:tc>
        <w:tc>
          <w:tcPr>
            <w:tcW w:w="218" w:type="pct"/>
            <w:tcBorders>
              <w:top w:val="single" w:sz="4" w:space="0" w:color="auto"/>
              <w:left w:val="single" w:sz="4" w:space="0" w:color="auto"/>
              <w:bottom w:val="single" w:sz="4" w:space="0" w:color="auto"/>
              <w:right w:val="single" w:sz="4" w:space="0" w:color="auto"/>
            </w:tcBorders>
            <w:vAlign w:val="center"/>
          </w:tcPr>
          <w:p w14:paraId="7CBF46E5" w14:textId="77777777" w:rsidR="002F590A" w:rsidRDefault="002F590A">
            <w:pPr>
              <w:jc w:val="center"/>
              <w:rPr>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510FADDC" w14:textId="77777777" w:rsidR="002F590A" w:rsidRDefault="002F590A">
            <w:pPr>
              <w:jc w:val="center"/>
              <w:rPr>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618DB5B3" w14:textId="77777777" w:rsidR="002F590A" w:rsidRDefault="002F590A">
            <w:pPr>
              <w:jc w:val="center"/>
              <w:rPr>
                <w:sz w:val="12"/>
                <w:szCs w:val="12"/>
              </w:rPr>
            </w:pPr>
          </w:p>
        </w:tc>
        <w:tc>
          <w:tcPr>
            <w:tcW w:w="175" w:type="pct"/>
            <w:tcBorders>
              <w:top w:val="single" w:sz="4" w:space="0" w:color="auto"/>
              <w:left w:val="single" w:sz="4" w:space="0" w:color="auto"/>
              <w:bottom w:val="single" w:sz="4" w:space="0" w:color="auto"/>
              <w:right w:val="single" w:sz="4" w:space="0" w:color="auto"/>
            </w:tcBorders>
            <w:vAlign w:val="center"/>
          </w:tcPr>
          <w:p w14:paraId="148079A2" w14:textId="77777777" w:rsidR="002F590A" w:rsidRDefault="002F590A">
            <w:pPr>
              <w:jc w:val="center"/>
              <w:rPr>
                <w:sz w:val="12"/>
                <w:szCs w:val="12"/>
              </w:rPr>
            </w:pPr>
          </w:p>
        </w:tc>
        <w:tc>
          <w:tcPr>
            <w:tcW w:w="173" w:type="pct"/>
            <w:tcBorders>
              <w:top w:val="single" w:sz="4" w:space="0" w:color="auto"/>
              <w:left w:val="single" w:sz="4" w:space="0" w:color="auto"/>
              <w:bottom w:val="single" w:sz="4" w:space="0" w:color="auto"/>
              <w:right w:val="single" w:sz="4" w:space="0" w:color="auto"/>
            </w:tcBorders>
            <w:vAlign w:val="center"/>
          </w:tcPr>
          <w:p w14:paraId="1FC6FB05" w14:textId="77777777" w:rsidR="002F590A" w:rsidRDefault="002F590A">
            <w:pPr>
              <w:jc w:val="center"/>
              <w:rPr>
                <w:color w:val="000000"/>
                <w:sz w:val="12"/>
                <w:szCs w:val="12"/>
              </w:rPr>
            </w:pPr>
          </w:p>
        </w:tc>
        <w:tc>
          <w:tcPr>
            <w:tcW w:w="172" w:type="pct"/>
            <w:tcBorders>
              <w:top w:val="single" w:sz="4" w:space="0" w:color="auto"/>
              <w:left w:val="single" w:sz="4" w:space="0" w:color="auto"/>
              <w:bottom w:val="single" w:sz="4" w:space="0" w:color="auto"/>
              <w:right w:val="single" w:sz="4" w:space="0" w:color="auto"/>
            </w:tcBorders>
            <w:vAlign w:val="center"/>
          </w:tcPr>
          <w:p w14:paraId="2F98A704" w14:textId="77777777" w:rsidR="002F590A" w:rsidRDefault="002F590A">
            <w:pPr>
              <w:jc w:val="center"/>
              <w:rPr>
                <w:color w:val="000000"/>
                <w:sz w:val="12"/>
                <w:szCs w:val="12"/>
              </w:rPr>
            </w:pPr>
          </w:p>
        </w:tc>
      </w:tr>
      <w:tr w:rsidR="002F590A" w14:paraId="30360228" w14:textId="77777777" w:rsidTr="002F590A">
        <w:trPr>
          <w:trHeight w:val="1309"/>
        </w:trPr>
        <w:tc>
          <w:tcPr>
            <w:tcW w:w="173" w:type="pct"/>
            <w:tcBorders>
              <w:top w:val="single" w:sz="4" w:space="0" w:color="auto"/>
              <w:left w:val="single" w:sz="4" w:space="0" w:color="auto"/>
              <w:bottom w:val="single" w:sz="4" w:space="0" w:color="auto"/>
              <w:right w:val="single" w:sz="4" w:space="0" w:color="auto"/>
            </w:tcBorders>
            <w:vAlign w:val="center"/>
            <w:hideMark/>
          </w:tcPr>
          <w:p w14:paraId="14C667E0" w14:textId="77777777" w:rsidR="002F590A" w:rsidRDefault="002F590A">
            <w:pPr>
              <w:jc w:val="center"/>
              <w:rPr>
                <w:sz w:val="12"/>
                <w:szCs w:val="12"/>
              </w:rPr>
            </w:pPr>
            <w:r>
              <w:rPr>
                <w:sz w:val="12"/>
                <w:szCs w:val="12"/>
              </w:rPr>
              <w:t>3.2.3.1</w:t>
            </w:r>
          </w:p>
        </w:tc>
        <w:tc>
          <w:tcPr>
            <w:tcW w:w="280" w:type="pct"/>
            <w:tcBorders>
              <w:top w:val="single" w:sz="4" w:space="0" w:color="auto"/>
              <w:left w:val="single" w:sz="4" w:space="0" w:color="auto"/>
              <w:bottom w:val="single" w:sz="4" w:space="0" w:color="auto"/>
              <w:right w:val="single" w:sz="4" w:space="0" w:color="auto"/>
            </w:tcBorders>
            <w:vAlign w:val="center"/>
            <w:hideMark/>
          </w:tcPr>
          <w:p w14:paraId="1A8BBBD8" w14:textId="77777777" w:rsidR="002F590A" w:rsidRDefault="002F590A">
            <w:pPr>
              <w:rPr>
                <w:color w:val="000000"/>
                <w:sz w:val="12"/>
                <w:szCs w:val="12"/>
              </w:rPr>
            </w:pPr>
            <w:r>
              <w:rPr>
                <w:color w:val="000000"/>
                <w:sz w:val="12"/>
                <w:szCs w:val="12"/>
              </w:rPr>
              <w:t>Реконструкция предохранительных клапанов</w:t>
            </w:r>
          </w:p>
        </w:tc>
        <w:tc>
          <w:tcPr>
            <w:tcW w:w="313" w:type="pct"/>
            <w:tcBorders>
              <w:top w:val="single" w:sz="4" w:space="0" w:color="auto"/>
              <w:left w:val="single" w:sz="4" w:space="0" w:color="auto"/>
              <w:bottom w:val="single" w:sz="4" w:space="0" w:color="auto"/>
              <w:right w:val="single" w:sz="4" w:space="0" w:color="auto"/>
            </w:tcBorders>
            <w:vAlign w:val="center"/>
            <w:hideMark/>
          </w:tcPr>
          <w:p w14:paraId="7DB1FB2C" w14:textId="77777777" w:rsidR="002F590A" w:rsidRDefault="002F590A">
            <w:pPr>
              <w:jc w:val="center"/>
              <w:rPr>
                <w:sz w:val="12"/>
                <w:szCs w:val="12"/>
              </w:rPr>
            </w:pPr>
            <w:r>
              <w:rPr>
                <w:sz w:val="12"/>
                <w:szCs w:val="12"/>
              </w:rPr>
              <w:t>Повышение надежности (бесперебойности) услуг теплоснабжения, повышение энергетической эффективности</w:t>
            </w:r>
          </w:p>
        </w:tc>
        <w:tc>
          <w:tcPr>
            <w:tcW w:w="275" w:type="pct"/>
            <w:tcBorders>
              <w:top w:val="single" w:sz="4" w:space="0" w:color="auto"/>
              <w:left w:val="single" w:sz="4" w:space="0" w:color="auto"/>
              <w:bottom w:val="single" w:sz="4" w:space="0" w:color="auto"/>
              <w:right w:val="single" w:sz="4" w:space="0" w:color="auto"/>
            </w:tcBorders>
            <w:vAlign w:val="center"/>
            <w:hideMark/>
          </w:tcPr>
          <w:p w14:paraId="2FFDBF8C" w14:textId="77777777" w:rsidR="002F590A" w:rsidRDefault="002F590A">
            <w:pPr>
              <w:jc w:val="center"/>
              <w:rPr>
                <w:sz w:val="12"/>
                <w:szCs w:val="12"/>
              </w:rPr>
            </w:pPr>
            <w:r>
              <w:rPr>
                <w:sz w:val="12"/>
                <w:szCs w:val="12"/>
              </w:rPr>
              <w:t> </w:t>
            </w:r>
          </w:p>
        </w:tc>
        <w:tc>
          <w:tcPr>
            <w:tcW w:w="303" w:type="pct"/>
            <w:tcBorders>
              <w:top w:val="single" w:sz="4" w:space="0" w:color="auto"/>
              <w:left w:val="single" w:sz="4" w:space="0" w:color="auto"/>
              <w:bottom w:val="single" w:sz="4" w:space="0" w:color="auto"/>
              <w:right w:val="single" w:sz="4" w:space="0" w:color="auto"/>
            </w:tcBorders>
            <w:vAlign w:val="center"/>
            <w:hideMark/>
          </w:tcPr>
          <w:p w14:paraId="34AA1B60" w14:textId="77777777" w:rsidR="002F590A" w:rsidRDefault="002F590A">
            <w:pPr>
              <w:jc w:val="center"/>
              <w:rPr>
                <w:sz w:val="12"/>
                <w:szCs w:val="12"/>
              </w:rPr>
            </w:pPr>
            <w:r>
              <w:rPr>
                <w:color w:val="000000"/>
                <w:sz w:val="12"/>
                <w:szCs w:val="12"/>
              </w:rPr>
              <w:t>Технические характеристики</w:t>
            </w:r>
          </w:p>
        </w:tc>
        <w:tc>
          <w:tcPr>
            <w:tcW w:w="139" w:type="pct"/>
            <w:tcBorders>
              <w:top w:val="single" w:sz="4" w:space="0" w:color="auto"/>
              <w:left w:val="single" w:sz="4" w:space="0" w:color="auto"/>
              <w:bottom w:val="single" w:sz="4" w:space="0" w:color="auto"/>
              <w:right w:val="single" w:sz="4" w:space="0" w:color="auto"/>
            </w:tcBorders>
            <w:vAlign w:val="center"/>
          </w:tcPr>
          <w:p w14:paraId="7CE91095" w14:textId="77777777" w:rsidR="002F590A" w:rsidRDefault="002F590A">
            <w:pPr>
              <w:jc w:val="center"/>
              <w:rPr>
                <w:sz w:val="12"/>
                <w:szCs w:val="12"/>
              </w:rPr>
            </w:pPr>
          </w:p>
        </w:tc>
        <w:tc>
          <w:tcPr>
            <w:tcW w:w="300" w:type="pct"/>
            <w:tcBorders>
              <w:top w:val="single" w:sz="4" w:space="0" w:color="auto"/>
              <w:left w:val="single" w:sz="4" w:space="0" w:color="auto"/>
              <w:bottom w:val="single" w:sz="4" w:space="0" w:color="auto"/>
              <w:right w:val="single" w:sz="4" w:space="0" w:color="auto"/>
            </w:tcBorders>
            <w:vAlign w:val="center"/>
            <w:hideMark/>
          </w:tcPr>
          <w:p w14:paraId="142E14C0" w14:textId="77777777" w:rsidR="002F590A" w:rsidRDefault="002F590A">
            <w:pPr>
              <w:jc w:val="center"/>
              <w:rPr>
                <w:sz w:val="12"/>
                <w:szCs w:val="12"/>
              </w:rPr>
            </w:pPr>
            <w:r>
              <w:rPr>
                <w:sz w:val="12"/>
                <w:szCs w:val="12"/>
              </w:rPr>
              <w:t>Предохранительный пружинный клапан Ду50\65 фланцевый</w:t>
            </w:r>
          </w:p>
        </w:tc>
        <w:tc>
          <w:tcPr>
            <w:tcW w:w="351" w:type="pct"/>
            <w:tcBorders>
              <w:top w:val="single" w:sz="4" w:space="0" w:color="auto"/>
              <w:left w:val="single" w:sz="4" w:space="0" w:color="auto"/>
              <w:bottom w:val="single" w:sz="4" w:space="0" w:color="auto"/>
              <w:right w:val="single" w:sz="4" w:space="0" w:color="auto"/>
            </w:tcBorders>
            <w:vAlign w:val="center"/>
            <w:hideMark/>
          </w:tcPr>
          <w:p w14:paraId="46DEBD86" w14:textId="77777777" w:rsidR="002F590A" w:rsidRDefault="002F590A">
            <w:pPr>
              <w:jc w:val="center"/>
              <w:rPr>
                <w:sz w:val="12"/>
                <w:szCs w:val="12"/>
              </w:rPr>
            </w:pPr>
            <w:r>
              <w:rPr>
                <w:sz w:val="12"/>
                <w:szCs w:val="12"/>
              </w:rPr>
              <w:t>Оборудование с техническими характеристиками не ниже существующего на объекте</w:t>
            </w:r>
          </w:p>
        </w:tc>
        <w:tc>
          <w:tcPr>
            <w:tcW w:w="139" w:type="pct"/>
            <w:tcBorders>
              <w:top w:val="single" w:sz="4" w:space="0" w:color="auto"/>
              <w:left w:val="single" w:sz="4" w:space="0" w:color="auto"/>
              <w:bottom w:val="single" w:sz="4" w:space="0" w:color="auto"/>
              <w:right w:val="single" w:sz="4" w:space="0" w:color="auto"/>
            </w:tcBorders>
            <w:vAlign w:val="center"/>
            <w:hideMark/>
          </w:tcPr>
          <w:p w14:paraId="6A19AB39" w14:textId="77777777" w:rsidR="002F590A" w:rsidRDefault="002F590A">
            <w:pPr>
              <w:jc w:val="center"/>
              <w:rPr>
                <w:sz w:val="12"/>
                <w:szCs w:val="12"/>
              </w:rPr>
            </w:pPr>
            <w:r>
              <w:rPr>
                <w:sz w:val="12"/>
                <w:szCs w:val="12"/>
              </w:rPr>
              <w:t>2029</w:t>
            </w:r>
          </w:p>
        </w:tc>
        <w:tc>
          <w:tcPr>
            <w:tcW w:w="167" w:type="pct"/>
            <w:tcBorders>
              <w:top w:val="single" w:sz="4" w:space="0" w:color="auto"/>
              <w:left w:val="single" w:sz="4" w:space="0" w:color="auto"/>
              <w:bottom w:val="single" w:sz="4" w:space="0" w:color="auto"/>
              <w:right w:val="single" w:sz="4" w:space="0" w:color="auto"/>
            </w:tcBorders>
            <w:vAlign w:val="center"/>
            <w:hideMark/>
          </w:tcPr>
          <w:p w14:paraId="75CA98F9" w14:textId="77777777" w:rsidR="002F590A" w:rsidRDefault="002F590A">
            <w:pPr>
              <w:jc w:val="center"/>
              <w:rPr>
                <w:sz w:val="12"/>
                <w:szCs w:val="12"/>
              </w:rPr>
            </w:pPr>
            <w:r>
              <w:rPr>
                <w:sz w:val="12"/>
                <w:szCs w:val="12"/>
              </w:rPr>
              <w:t>2029</w:t>
            </w:r>
          </w:p>
        </w:tc>
        <w:tc>
          <w:tcPr>
            <w:tcW w:w="216" w:type="pct"/>
            <w:tcBorders>
              <w:top w:val="single" w:sz="4" w:space="0" w:color="auto"/>
              <w:left w:val="single" w:sz="4" w:space="0" w:color="auto"/>
              <w:bottom w:val="single" w:sz="4" w:space="0" w:color="auto"/>
              <w:right w:val="single" w:sz="4" w:space="0" w:color="auto"/>
            </w:tcBorders>
            <w:vAlign w:val="center"/>
            <w:hideMark/>
          </w:tcPr>
          <w:p w14:paraId="785B7E8A" w14:textId="77777777" w:rsidR="002F590A" w:rsidRDefault="002F590A">
            <w:pPr>
              <w:jc w:val="center"/>
              <w:rPr>
                <w:color w:val="000000"/>
                <w:sz w:val="12"/>
                <w:szCs w:val="12"/>
              </w:rPr>
            </w:pPr>
            <w:r>
              <w:rPr>
                <w:color w:val="000000"/>
                <w:sz w:val="12"/>
                <w:szCs w:val="12"/>
              </w:rPr>
              <w:t>113,41</w:t>
            </w:r>
          </w:p>
        </w:tc>
        <w:tc>
          <w:tcPr>
            <w:tcW w:w="174" w:type="pct"/>
            <w:tcBorders>
              <w:top w:val="single" w:sz="4" w:space="0" w:color="auto"/>
              <w:left w:val="single" w:sz="4" w:space="0" w:color="auto"/>
              <w:bottom w:val="single" w:sz="4" w:space="0" w:color="auto"/>
              <w:right w:val="single" w:sz="4" w:space="0" w:color="auto"/>
            </w:tcBorders>
            <w:vAlign w:val="center"/>
            <w:hideMark/>
          </w:tcPr>
          <w:p w14:paraId="69127E86" w14:textId="77777777" w:rsidR="002F590A" w:rsidRDefault="002F590A">
            <w:pPr>
              <w:jc w:val="center"/>
              <w:rPr>
                <w:color w:val="000000"/>
                <w:sz w:val="12"/>
                <w:szCs w:val="12"/>
              </w:rPr>
            </w:pPr>
            <w:r>
              <w:rPr>
                <w:color w:val="000000"/>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058CC768" w14:textId="77777777" w:rsidR="002F590A" w:rsidRDefault="002F590A">
            <w:pPr>
              <w:jc w:val="center"/>
              <w:rPr>
                <w:sz w:val="12"/>
                <w:szCs w:val="12"/>
              </w:rPr>
            </w:pPr>
            <w:r>
              <w:rPr>
                <w:sz w:val="12"/>
                <w:szCs w:val="12"/>
              </w:rPr>
              <w:t>0,00</w:t>
            </w:r>
          </w:p>
        </w:tc>
        <w:tc>
          <w:tcPr>
            <w:tcW w:w="172" w:type="pct"/>
            <w:tcBorders>
              <w:top w:val="single" w:sz="4" w:space="0" w:color="auto"/>
              <w:left w:val="single" w:sz="4" w:space="0" w:color="auto"/>
              <w:bottom w:val="single" w:sz="4" w:space="0" w:color="auto"/>
              <w:right w:val="single" w:sz="4" w:space="0" w:color="auto"/>
            </w:tcBorders>
            <w:vAlign w:val="center"/>
            <w:hideMark/>
          </w:tcPr>
          <w:p w14:paraId="04CA8367"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681FB6BF" w14:textId="77777777" w:rsidR="002F590A" w:rsidRDefault="002F590A">
            <w:pPr>
              <w:jc w:val="center"/>
              <w:rPr>
                <w:sz w:val="12"/>
                <w:szCs w:val="12"/>
              </w:rPr>
            </w:pPr>
            <w:r>
              <w:rPr>
                <w:sz w:val="12"/>
                <w:szCs w:val="12"/>
              </w:rPr>
              <w:t>0,00</w:t>
            </w:r>
          </w:p>
        </w:tc>
        <w:tc>
          <w:tcPr>
            <w:tcW w:w="216" w:type="pct"/>
            <w:tcBorders>
              <w:top w:val="single" w:sz="4" w:space="0" w:color="auto"/>
              <w:left w:val="single" w:sz="4" w:space="0" w:color="auto"/>
              <w:bottom w:val="single" w:sz="4" w:space="0" w:color="auto"/>
              <w:right w:val="single" w:sz="4" w:space="0" w:color="auto"/>
            </w:tcBorders>
            <w:vAlign w:val="center"/>
            <w:hideMark/>
          </w:tcPr>
          <w:p w14:paraId="23B29D4C"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16493345"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11409C8F" w14:textId="77777777" w:rsidR="002F590A" w:rsidRDefault="002F590A">
            <w:pPr>
              <w:jc w:val="center"/>
              <w:rPr>
                <w:sz w:val="12"/>
                <w:szCs w:val="12"/>
              </w:rPr>
            </w:pPr>
            <w:r>
              <w:rPr>
                <w:sz w:val="12"/>
                <w:szCs w:val="12"/>
              </w:rPr>
              <w:t>0,00</w:t>
            </w:r>
          </w:p>
        </w:tc>
        <w:tc>
          <w:tcPr>
            <w:tcW w:w="218" w:type="pct"/>
            <w:tcBorders>
              <w:top w:val="single" w:sz="4" w:space="0" w:color="auto"/>
              <w:left w:val="single" w:sz="4" w:space="0" w:color="auto"/>
              <w:bottom w:val="single" w:sz="4" w:space="0" w:color="auto"/>
              <w:right w:val="single" w:sz="4" w:space="0" w:color="auto"/>
            </w:tcBorders>
            <w:vAlign w:val="center"/>
            <w:hideMark/>
          </w:tcPr>
          <w:p w14:paraId="76C2E027"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2D1E3FF1" w14:textId="77777777" w:rsidR="002F590A" w:rsidRDefault="002F590A">
            <w:pPr>
              <w:jc w:val="center"/>
              <w:rPr>
                <w:sz w:val="12"/>
                <w:szCs w:val="12"/>
              </w:rPr>
            </w:pPr>
            <w:r>
              <w:rPr>
                <w:sz w:val="12"/>
                <w:szCs w:val="12"/>
              </w:rPr>
              <w:t>113,41</w:t>
            </w:r>
          </w:p>
        </w:tc>
        <w:tc>
          <w:tcPr>
            <w:tcW w:w="174" w:type="pct"/>
            <w:tcBorders>
              <w:top w:val="single" w:sz="4" w:space="0" w:color="auto"/>
              <w:left w:val="single" w:sz="4" w:space="0" w:color="auto"/>
              <w:bottom w:val="single" w:sz="4" w:space="0" w:color="auto"/>
              <w:right w:val="single" w:sz="4" w:space="0" w:color="auto"/>
            </w:tcBorders>
            <w:vAlign w:val="center"/>
            <w:hideMark/>
          </w:tcPr>
          <w:p w14:paraId="7C87B91E" w14:textId="77777777" w:rsidR="002F590A" w:rsidRDefault="002F590A">
            <w:pPr>
              <w:jc w:val="center"/>
              <w:rPr>
                <w:sz w:val="12"/>
                <w:szCs w:val="12"/>
              </w:rPr>
            </w:pPr>
            <w:r>
              <w:rPr>
                <w:sz w:val="12"/>
                <w:szCs w:val="12"/>
              </w:rPr>
              <w:t>0,00</w:t>
            </w:r>
          </w:p>
        </w:tc>
        <w:tc>
          <w:tcPr>
            <w:tcW w:w="175" w:type="pct"/>
            <w:tcBorders>
              <w:top w:val="single" w:sz="4" w:space="0" w:color="auto"/>
              <w:left w:val="single" w:sz="4" w:space="0" w:color="auto"/>
              <w:bottom w:val="single" w:sz="4" w:space="0" w:color="auto"/>
              <w:right w:val="single" w:sz="4" w:space="0" w:color="auto"/>
            </w:tcBorders>
            <w:vAlign w:val="center"/>
            <w:hideMark/>
          </w:tcPr>
          <w:p w14:paraId="7DD5B96B"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0B373217" w14:textId="77777777" w:rsidR="002F590A" w:rsidRDefault="002F590A">
            <w:pPr>
              <w:jc w:val="center"/>
              <w:rPr>
                <w:color w:val="000000"/>
                <w:sz w:val="12"/>
                <w:szCs w:val="12"/>
              </w:rPr>
            </w:pPr>
            <w:r>
              <w:rPr>
                <w:color w:val="000000"/>
                <w:sz w:val="12"/>
                <w:szCs w:val="12"/>
              </w:rPr>
              <w:t>0,00</w:t>
            </w:r>
          </w:p>
        </w:tc>
        <w:tc>
          <w:tcPr>
            <w:tcW w:w="172" w:type="pct"/>
            <w:tcBorders>
              <w:top w:val="single" w:sz="4" w:space="0" w:color="auto"/>
              <w:left w:val="single" w:sz="4" w:space="0" w:color="auto"/>
              <w:bottom w:val="single" w:sz="4" w:space="0" w:color="auto"/>
              <w:right w:val="single" w:sz="4" w:space="0" w:color="auto"/>
            </w:tcBorders>
            <w:vAlign w:val="center"/>
            <w:hideMark/>
          </w:tcPr>
          <w:p w14:paraId="5F894557" w14:textId="77777777" w:rsidR="002F590A" w:rsidRDefault="002F590A">
            <w:pPr>
              <w:jc w:val="center"/>
              <w:rPr>
                <w:color w:val="000000"/>
                <w:sz w:val="12"/>
                <w:szCs w:val="12"/>
              </w:rPr>
            </w:pPr>
            <w:r>
              <w:rPr>
                <w:color w:val="000000"/>
                <w:sz w:val="12"/>
                <w:szCs w:val="12"/>
              </w:rPr>
              <w:t>0,00</w:t>
            </w:r>
          </w:p>
        </w:tc>
      </w:tr>
      <w:tr w:rsidR="002F590A" w14:paraId="5B891C4A" w14:textId="77777777" w:rsidTr="002F590A">
        <w:trPr>
          <w:trHeight w:val="1750"/>
        </w:trPr>
        <w:tc>
          <w:tcPr>
            <w:tcW w:w="173" w:type="pct"/>
            <w:tcBorders>
              <w:top w:val="single" w:sz="4" w:space="0" w:color="auto"/>
              <w:left w:val="single" w:sz="4" w:space="0" w:color="auto"/>
              <w:bottom w:val="single" w:sz="4" w:space="0" w:color="auto"/>
              <w:right w:val="single" w:sz="4" w:space="0" w:color="auto"/>
            </w:tcBorders>
            <w:vAlign w:val="center"/>
            <w:hideMark/>
          </w:tcPr>
          <w:p w14:paraId="22FD936C" w14:textId="77777777" w:rsidR="002F590A" w:rsidRDefault="002F590A">
            <w:pPr>
              <w:jc w:val="center"/>
              <w:rPr>
                <w:sz w:val="12"/>
                <w:szCs w:val="12"/>
              </w:rPr>
            </w:pPr>
            <w:r>
              <w:rPr>
                <w:sz w:val="12"/>
                <w:szCs w:val="12"/>
              </w:rPr>
              <w:t>3.2.3.2</w:t>
            </w:r>
          </w:p>
        </w:tc>
        <w:tc>
          <w:tcPr>
            <w:tcW w:w="280" w:type="pct"/>
            <w:tcBorders>
              <w:top w:val="single" w:sz="4" w:space="0" w:color="auto"/>
              <w:left w:val="single" w:sz="4" w:space="0" w:color="auto"/>
              <w:bottom w:val="single" w:sz="4" w:space="0" w:color="auto"/>
              <w:right w:val="single" w:sz="4" w:space="0" w:color="auto"/>
            </w:tcBorders>
            <w:vAlign w:val="center"/>
            <w:hideMark/>
          </w:tcPr>
          <w:p w14:paraId="750D565F" w14:textId="77777777" w:rsidR="002F590A" w:rsidRDefault="002F590A">
            <w:pPr>
              <w:rPr>
                <w:color w:val="000000"/>
                <w:sz w:val="12"/>
                <w:szCs w:val="12"/>
              </w:rPr>
            </w:pPr>
            <w:r>
              <w:rPr>
                <w:color w:val="000000"/>
                <w:sz w:val="12"/>
                <w:szCs w:val="12"/>
              </w:rPr>
              <w:t>Реконструкция котла</w:t>
            </w:r>
          </w:p>
        </w:tc>
        <w:tc>
          <w:tcPr>
            <w:tcW w:w="313" w:type="pct"/>
            <w:tcBorders>
              <w:top w:val="single" w:sz="4" w:space="0" w:color="auto"/>
              <w:left w:val="single" w:sz="4" w:space="0" w:color="auto"/>
              <w:bottom w:val="single" w:sz="4" w:space="0" w:color="auto"/>
              <w:right w:val="single" w:sz="4" w:space="0" w:color="auto"/>
            </w:tcBorders>
            <w:vAlign w:val="center"/>
            <w:hideMark/>
          </w:tcPr>
          <w:p w14:paraId="1BB766EF" w14:textId="77777777" w:rsidR="002F590A" w:rsidRDefault="002F590A">
            <w:pPr>
              <w:jc w:val="center"/>
              <w:rPr>
                <w:sz w:val="12"/>
                <w:szCs w:val="12"/>
              </w:rPr>
            </w:pPr>
            <w:r>
              <w:rPr>
                <w:sz w:val="12"/>
                <w:szCs w:val="12"/>
              </w:rPr>
              <w:t>Повышение надежности (бесперебойности) услуг теплоснабжения, повышение энергетической эффективности</w:t>
            </w:r>
          </w:p>
        </w:tc>
        <w:tc>
          <w:tcPr>
            <w:tcW w:w="275" w:type="pct"/>
            <w:tcBorders>
              <w:top w:val="single" w:sz="4" w:space="0" w:color="auto"/>
              <w:left w:val="single" w:sz="4" w:space="0" w:color="auto"/>
              <w:bottom w:val="single" w:sz="4" w:space="0" w:color="auto"/>
              <w:right w:val="single" w:sz="4" w:space="0" w:color="auto"/>
            </w:tcBorders>
            <w:vAlign w:val="center"/>
            <w:hideMark/>
          </w:tcPr>
          <w:p w14:paraId="65F4B25E" w14:textId="77777777" w:rsidR="002F590A" w:rsidRDefault="002F590A">
            <w:pPr>
              <w:jc w:val="center"/>
              <w:rPr>
                <w:sz w:val="12"/>
                <w:szCs w:val="12"/>
              </w:rPr>
            </w:pPr>
            <w:r>
              <w:rPr>
                <w:sz w:val="12"/>
                <w:szCs w:val="12"/>
              </w:rPr>
              <w:t> </w:t>
            </w:r>
          </w:p>
        </w:tc>
        <w:tc>
          <w:tcPr>
            <w:tcW w:w="303" w:type="pct"/>
            <w:tcBorders>
              <w:top w:val="single" w:sz="4" w:space="0" w:color="auto"/>
              <w:left w:val="single" w:sz="4" w:space="0" w:color="auto"/>
              <w:bottom w:val="single" w:sz="4" w:space="0" w:color="auto"/>
              <w:right w:val="single" w:sz="4" w:space="0" w:color="auto"/>
            </w:tcBorders>
            <w:vAlign w:val="center"/>
            <w:hideMark/>
          </w:tcPr>
          <w:p w14:paraId="776BAE4A" w14:textId="77777777" w:rsidR="002F590A" w:rsidRDefault="002F590A">
            <w:pPr>
              <w:jc w:val="center"/>
              <w:rPr>
                <w:sz w:val="12"/>
                <w:szCs w:val="12"/>
              </w:rPr>
            </w:pPr>
            <w:r>
              <w:rPr>
                <w:color w:val="000000"/>
                <w:sz w:val="12"/>
                <w:szCs w:val="12"/>
              </w:rPr>
              <w:t>Технические характеристики</w:t>
            </w:r>
          </w:p>
        </w:tc>
        <w:tc>
          <w:tcPr>
            <w:tcW w:w="139" w:type="pct"/>
            <w:tcBorders>
              <w:top w:val="single" w:sz="4" w:space="0" w:color="auto"/>
              <w:left w:val="single" w:sz="4" w:space="0" w:color="auto"/>
              <w:bottom w:val="single" w:sz="4" w:space="0" w:color="auto"/>
              <w:right w:val="single" w:sz="4" w:space="0" w:color="auto"/>
            </w:tcBorders>
            <w:vAlign w:val="center"/>
          </w:tcPr>
          <w:p w14:paraId="1B4D55F7" w14:textId="77777777" w:rsidR="002F590A" w:rsidRDefault="002F590A">
            <w:pPr>
              <w:jc w:val="center"/>
              <w:rPr>
                <w:sz w:val="12"/>
                <w:szCs w:val="12"/>
              </w:rPr>
            </w:pPr>
          </w:p>
        </w:tc>
        <w:tc>
          <w:tcPr>
            <w:tcW w:w="300" w:type="pct"/>
            <w:tcBorders>
              <w:top w:val="single" w:sz="4" w:space="0" w:color="auto"/>
              <w:left w:val="single" w:sz="4" w:space="0" w:color="auto"/>
              <w:bottom w:val="single" w:sz="4" w:space="0" w:color="auto"/>
              <w:right w:val="single" w:sz="4" w:space="0" w:color="auto"/>
            </w:tcBorders>
            <w:vAlign w:val="center"/>
            <w:hideMark/>
          </w:tcPr>
          <w:p w14:paraId="00E7AC71" w14:textId="77777777" w:rsidR="002F590A" w:rsidRDefault="002F590A">
            <w:pPr>
              <w:jc w:val="center"/>
              <w:rPr>
                <w:sz w:val="12"/>
                <w:szCs w:val="12"/>
              </w:rPr>
            </w:pPr>
            <w:r>
              <w:rPr>
                <w:sz w:val="12"/>
                <w:szCs w:val="12"/>
              </w:rPr>
              <w:t xml:space="preserve">Теплопроизводительность водогрейного котла (номинальная) -0,63 МВт; КПД котла - 62%; Вид топлива- каменный уголь </w:t>
            </w:r>
          </w:p>
        </w:tc>
        <w:tc>
          <w:tcPr>
            <w:tcW w:w="351" w:type="pct"/>
            <w:tcBorders>
              <w:top w:val="single" w:sz="4" w:space="0" w:color="auto"/>
              <w:left w:val="single" w:sz="4" w:space="0" w:color="auto"/>
              <w:bottom w:val="single" w:sz="4" w:space="0" w:color="auto"/>
              <w:right w:val="single" w:sz="4" w:space="0" w:color="auto"/>
            </w:tcBorders>
            <w:vAlign w:val="center"/>
            <w:hideMark/>
          </w:tcPr>
          <w:p w14:paraId="52CF1802" w14:textId="77777777" w:rsidR="002F590A" w:rsidRDefault="002F590A">
            <w:pPr>
              <w:jc w:val="center"/>
              <w:rPr>
                <w:color w:val="000000"/>
                <w:sz w:val="12"/>
                <w:szCs w:val="12"/>
              </w:rPr>
            </w:pPr>
            <w:r>
              <w:rPr>
                <w:sz w:val="12"/>
                <w:szCs w:val="12"/>
              </w:rPr>
              <w:t>Оборудование с техническими характеристиками не ниже существующего на объекте.</w:t>
            </w:r>
            <w:r>
              <w:rPr>
                <w:color w:val="000000"/>
                <w:sz w:val="12"/>
                <w:szCs w:val="12"/>
              </w:rPr>
              <w:t xml:space="preserve"> Вид топлива- каменный уголь </w:t>
            </w:r>
          </w:p>
        </w:tc>
        <w:tc>
          <w:tcPr>
            <w:tcW w:w="139" w:type="pct"/>
            <w:tcBorders>
              <w:top w:val="single" w:sz="4" w:space="0" w:color="auto"/>
              <w:left w:val="single" w:sz="4" w:space="0" w:color="auto"/>
              <w:bottom w:val="single" w:sz="4" w:space="0" w:color="auto"/>
              <w:right w:val="single" w:sz="4" w:space="0" w:color="auto"/>
            </w:tcBorders>
            <w:vAlign w:val="center"/>
            <w:hideMark/>
          </w:tcPr>
          <w:p w14:paraId="6DD8DDF7" w14:textId="77777777" w:rsidR="002F590A" w:rsidRDefault="002F590A">
            <w:pPr>
              <w:jc w:val="center"/>
              <w:rPr>
                <w:sz w:val="12"/>
                <w:szCs w:val="12"/>
              </w:rPr>
            </w:pPr>
            <w:r>
              <w:rPr>
                <w:sz w:val="12"/>
                <w:szCs w:val="12"/>
              </w:rPr>
              <w:t>2030</w:t>
            </w:r>
          </w:p>
        </w:tc>
        <w:tc>
          <w:tcPr>
            <w:tcW w:w="167" w:type="pct"/>
            <w:tcBorders>
              <w:top w:val="single" w:sz="4" w:space="0" w:color="auto"/>
              <w:left w:val="single" w:sz="4" w:space="0" w:color="auto"/>
              <w:bottom w:val="single" w:sz="4" w:space="0" w:color="auto"/>
              <w:right w:val="single" w:sz="4" w:space="0" w:color="auto"/>
            </w:tcBorders>
            <w:vAlign w:val="center"/>
            <w:hideMark/>
          </w:tcPr>
          <w:p w14:paraId="33C83ED9" w14:textId="77777777" w:rsidR="002F590A" w:rsidRDefault="002F590A">
            <w:pPr>
              <w:jc w:val="center"/>
              <w:rPr>
                <w:sz w:val="12"/>
                <w:szCs w:val="12"/>
              </w:rPr>
            </w:pPr>
            <w:r>
              <w:rPr>
                <w:sz w:val="12"/>
                <w:szCs w:val="12"/>
              </w:rPr>
              <w:t>2030</w:t>
            </w:r>
          </w:p>
        </w:tc>
        <w:tc>
          <w:tcPr>
            <w:tcW w:w="216" w:type="pct"/>
            <w:tcBorders>
              <w:top w:val="single" w:sz="4" w:space="0" w:color="auto"/>
              <w:left w:val="single" w:sz="4" w:space="0" w:color="auto"/>
              <w:bottom w:val="single" w:sz="4" w:space="0" w:color="auto"/>
              <w:right w:val="single" w:sz="4" w:space="0" w:color="auto"/>
            </w:tcBorders>
            <w:vAlign w:val="center"/>
            <w:hideMark/>
          </w:tcPr>
          <w:p w14:paraId="241FD6E3" w14:textId="77777777" w:rsidR="002F590A" w:rsidRDefault="002F590A">
            <w:pPr>
              <w:jc w:val="center"/>
              <w:rPr>
                <w:color w:val="000000"/>
                <w:sz w:val="12"/>
                <w:szCs w:val="12"/>
              </w:rPr>
            </w:pPr>
            <w:r>
              <w:rPr>
                <w:color w:val="000000"/>
                <w:sz w:val="12"/>
                <w:szCs w:val="12"/>
              </w:rPr>
              <w:t>2052,02</w:t>
            </w:r>
          </w:p>
        </w:tc>
        <w:tc>
          <w:tcPr>
            <w:tcW w:w="174" w:type="pct"/>
            <w:tcBorders>
              <w:top w:val="single" w:sz="4" w:space="0" w:color="auto"/>
              <w:left w:val="single" w:sz="4" w:space="0" w:color="auto"/>
              <w:bottom w:val="single" w:sz="4" w:space="0" w:color="auto"/>
              <w:right w:val="single" w:sz="4" w:space="0" w:color="auto"/>
            </w:tcBorders>
            <w:vAlign w:val="center"/>
            <w:hideMark/>
          </w:tcPr>
          <w:p w14:paraId="748383F3" w14:textId="77777777" w:rsidR="002F590A" w:rsidRDefault="002F590A">
            <w:pPr>
              <w:jc w:val="center"/>
              <w:rPr>
                <w:color w:val="000000"/>
                <w:sz w:val="12"/>
                <w:szCs w:val="12"/>
              </w:rPr>
            </w:pPr>
            <w:r>
              <w:rPr>
                <w:color w:val="000000"/>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7469F809" w14:textId="77777777" w:rsidR="002F590A" w:rsidRDefault="002F590A">
            <w:pPr>
              <w:jc w:val="center"/>
              <w:rPr>
                <w:sz w:val="12"/>
                <w:szCs w:val="12"/>
              </w:rPr>
            </w:pPr>
            <w:r>
              <w:rPr>
                <w:sz w:val="12"/>
                <w:szCs w:val="12"/>
              </w:rPr>
              <w:t>0,00</w:t>
            </w:r>
          </w:p>
        </w:tc>
        <w:tc>
          <w:tcPr>
            <w:tcW w:w="172" w:type="pct"/>
            <w:tcBorders>
              <w:top w:val="single" w:sz="4" w:space="0" w:color="auto"/>
              <w:left w:val="single" w:sz="4" w:space="0" w:color="auto"/>
              <w:bottom w:val="single" w:sz="4" w:space="0" w:color="auto"/>
              <w:right w:val="single" w:sz="4" w:space="0" w:color="auto"/>
            </w:tcBorders>
            <w:vAlign w:val="center"/>
            <w:hideMark/>
          </w:tcPr>
          <w:p w14:paraId="205D6DBA"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3B47472C" w14:textId="77777777" w:rsidR="002F590A" w:rsidRDefault="002F590A">
            <w:pPr>
              <w:jc w:val="center"/>
              <w:rPr>
                <w:sz w:val="12"/>
                <w:szCs w:val="12"/>
              </w:rPr>
            </w:pPr>
            <w:r>
              <w:rPr>
                <w:sz w:val="12"/>
                <w:szCs w:val="12"/>
              </w:rPr>
              <w:t>0,00</w:t>
            </w:r>
          </w:p>
        </w:tc>
        <w:tc>
          <w:tcPr>
            <w:tcW w:w="216" w:type="pct"/>
            <w:tcBorders>
              <w:top w:val="single" w:sz="4" w:space="0" w:color="auto"/>
              <w:left w:val="single" w:sz="4" w:space="0" w:color="auto"/>
              <w:bottom w:val="single" w:sz="4" w:space="0" w:color="auto"/>
              <w:right w:val="single" w:sz="4" w:space="0" w:color="auto"/>
            </w:tcBorders>
            <w:vAlign w:val="center"/>
            <w:hideMark/>
          </w:tcPr>
          <w:p w14:paraId="38822B37"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74C0BAB6"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20C7E13D" w14:textId="77777777" w:rsidR="002F590A" w:rsidRDefault="002F590A">
            <w:pPr>
              <w:jc w:val="center"/>
              <w:rPr>
                <w:sz w:val="12"/>
                <w:szCs w:val="12"/>
              </w:rPr>
            </w:pPr>
            <w:r>
              <w:rPr>
                <w:sz w:val="12"/>
                <w:szCs w:val="12"/>
              </w:rPr>
              <w:t>0,00</w:t>
            </w:r>
          </w:p>
        </w:tc>
        <w:tc>
          <w:tcPr>
            <w:tcW w:w="218" w:type="pct"/>
            <w:tcBorders>
              <w:top w:val="single" w:sz="4" w:space="0" w:color="auto"/>
              <w:left w:val="single" w:sz="4" w:space="0" w:color="auto"/>
              <w:bottom w:val="single" w:sz="4" w:space="0" w:color="auto"/>
              <w:right w:val="single" w:sz="4" w:space="0" w:color="auto"/>
            </w:tcBorders>
            <w:vAlign w:val="center"/>
            <w:hideMark/>
          </w:tcPr>
          <w:p w14:paraId="2F18A439"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5F60E7FC"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23B0A11D" w14:textId="77777777" w:rsidR="002F590A" w:rsidRDefault="002F590A">
            <w:pPr>
              <w:jc w:val="center"/>
              <w:rPr>
                <w:sz w:val="12"/>
                <w:szCs w:val="12"/>
              </w:rPr>
            </w:pPr>
            <w:r>
              <w:rPr>
                <w:sz w:val="12"/>
                <w:szCs w:val="12"/>
              </w:rPr>
              <w:t>2052,02</w:t>
            </w:r>
          </w:p>
        </w:tc>
        <w:tc>
          <w:tcPr>
            <w:tcW w:w="175" w:type="pct"/>
            <w:tcBorders>
              <w:top w:val="single" w:sz="4" w:space="0" w:color="auto"/>
              <w:left w:val="single" w:sz="4" w:space="0" w:color="auto"/>
              <w:bottom w:val="single" w:sz="4" w:space="0" w:color="auto"/>
              <w:right w:val="single" w:sz="4" w:space="0" w:color="auto"/>
            </w:tcBorders>
            <w:vAlign w:val="center"/>
            <w:hideMark/>
          </w:tcPr>
          <w:p w14:paraId="4A21A4F5"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07C23987" w14:textId="77777777" w:rsidR="002F590A" w:rsidRDefault="002F590A">
            <w:pPr>
              <w:jc w:val="center"/>
              <w:rPr>
                <w:color w:val="000000"/>
                <w:sz w:val="12"/>
                <w:szCs w:val="12"/>
              </w:rPr>
            </w:pPr>
            <w:r>
              <w:rPr>
                <w:color w:val="000000"/>
                <w:sz w:val="12"/>
                <w:szCs w:val="12"/>
              </w:rPr>
              <w:t>0,00</w:t>
            </w:r>
          </w:p>
        </w:tc>
        <w:tc>
          <w:tcPr>
            <w:tcW w:w="172" w:type="pct"/>
            <w:tcBorders>
              <w:top w:val="single" w:sz="4" w:space="0" w:color="auto"/>
              <w:left w:val="single" w:sz="4" w:space="0" w:color="auto"/>
              <w:bottom w:val="single" w:sz="4" w:space="0" w:color="auto"/>
              <w:right w:val="single" w:sz="4" w:space="0" w:color="auto"/>
            </w:tcBorders>
            <w:vAlign w:val="center"/>
            <w:hideMark/>
          </w:tcPr>
          <w:p w14:paraId="4125A072" w14:textId="77777777" w:rsidR="002F590A" w:rsidRDefault="002F590A">
            <w:pPr>
              <w:jc w:val="center"/>
              <w:rPr>
                <w:color w:val="000000"/>
                <w:sz w:val="12"/>
                <w:szCs w:val="12"/>
              </w:rPr>
            </w:pPr>
            <w:r>
              <w:rPr>
                <w:color w:val="000000"/>
                <w:sz w:val="12"/>
                <w:szCs w:val="12"/>
              </w:rPr>
              <w:t>0,00</w:t>
            </w:r>
          </w:p>
        </w:tc>
      </w:tr>
      <w:tr w:rsidR="002F590A" w14:paraId="7152F7B7" w14:textId="77777777" w:rsidTr="002F590A">
        <w:trPr>
          <w:trHeight w:val="1626"/>
        </w:trPr>
        <w:tc>
          <w:tcPr>
            <w:tcW w:w="173" w:type="pct"/>
            <w:tcBorders>
              <w:top w:val="single" w:sz="4" w:space="0" w:color="auto"/>
              <w:left w:val="single" w:sz="4" w:space="0" w:color="auto"/>
              <w:bottom w:val="single" w:sz="4" w:space="0" w:color="auto"/>
              <w:right w:val="single" w:sz="4" w:space="0" w:color="auto"/>
            </w:tcBorders>
            <w:vAlign w:val="center"/>
            <w:hideMark/>
          </w:tcPr>
          <w:p w14:paraId="360F2BC9" w14:textId="77777777" w:rsidR="002F590A" w:rsidRDefault="002F590A">
            <w:pPr>
              <w:jc w:val="center"/>
              <w:rPr>
                <w:bCs/>
                <w:sz w:val="12"/>
                <w:szCs w:val="12"/>
              </w:rPr>
            </w:pPr>
            <w:r>
              <w:rPr>
                <w:bCs/>
                <w:sz w:val="12"/>
                <w:szCs w:val="12"/>
              </w:rPr>
              <w:t>3.2.4.</w:t>
            </w:r>
          </w:p>
        </w:tc>
        <w:tc>
          <w:tcPr>
            <w:tcW w:w="280" w:type="pct"/>
            <w:tcBorders>
              <w:top w:val="single" w:sz="4" w:space="0" w:color="auto"/>
              <w:left w:val="single" w:sz="4" w:space="0" w:color="auto"/>
              <w:bottom w:val="single" w:sz="4" w:space="0" w:color="auto"/>
              <w:right w:val="single" w:sz="4" w:space="0" w:color="auto"/>
            </w:tcBorders>
            <w:vAlign w:val="center"/>
            <w:hideMark/>
          </w:tcPr>
          <w:p w14:paraId="7F0F7CE1" w14:textId="77777777" w:rsidR="002F590A" w:rsidRDefault="002F590A">
            <w:pPr>
              <w:rPr>
                <w:bCs/>
                <w:color w:val="000000"/>
                <w:sz w:val="12"/>
                <w:szCs w:val="12"/>
              </w:rPr>
            </w:pPr>
            <w:r>
              <w:rPr>
                <w:bCs/>
                <w:color w:val="000000"/>
                <w:sz w:val="12"/>
                <w:szCs w:val="12"/>
              </w:rPr>
              <w:t>Реконструкция котельной №25</w:t>
            </w:r>
          </w:p>
        </w:tc>
        <w:tc>
          <w:tcPr>
            <w:tcW w:w="313" w:type="pct"/>
            <w:tcBorders>
              <w:top w:val="single" w:sz="4" w:space="0" w:color="auto"/>
              <w:left w:val="single" w:sz="4" w:space="0" w:color="auto"/>
              <w:bottom w:val="single" w:sz="4" w:space="0" w:color="auto"/>
              <w:right w:val="single" w:sz="4" w:space="0" w:color="auto"/>
            </w:tcBorders>
            <w:vAlign w:val="center"/>
          </w:tcPr>
          <w:p w14:paraId="1036D327" w14:textId="77777777" w:rsidR="002F590A" w:rsidRDefault="002F590A">
            <w:pPr>
              <w:jc w:val="center"/>
              <w:rPr>
                <w:sz w:val="12"/>
                <w:szCs w:val="12"/>
              </w:rPr>
            </w:pPr>
          </w:p>
        </w:tc>
        <w:tc>
          <w:tcPr>
            <w:tcW w:w="275" w:type="pct"/>
            <w:tcBorders>
              <w:top w:val="single" w:sz="4" w:space="0" w:color="auto"/>
              <w:left w:val="single" w:sz="4" w:space="0" w:color="auto"/>
              <w:bottom w:val="single" w:sz="4" w:space="0" w:color="auto"/>
              <w:right w:val="single" w:sz="4" w:space="0" w:color="auto"/>
            </w:tcBorders>
            <w:vAlign w:val="center"/>
            <w:hideMark/>
          </w:tcPr>
          <w:p w14:paraId="224F4C1F" w14:textId="77777777" w:rsidR="002F590A" w:rsidRDefault="002F590A">
            <w:pPr>
              <w:jc w:val="center"/>
              <w:rPr>
                <w:bCs/>
                <w:sz w:val="12"/>
                <w:szCs w:val="12"/>
              </w:rPr>
            </w:pPr>
            <w:r>
              <w:rPr>
                <w:bCs/>
                <w:sz w:val="12"/>
                <w:szCs w:val="12"/>
              </w:rPr>
              <w:t xml:space="preserve">Кемеровский </w:t>
            </w:r>
            <w:proofErr w:type="gramStart"/>
            <w:r>
              <w:rPr>
                <w:bCs/>
                <w:sz w:val="12"/>
                <w:szCs w:val="12"/>
              </w:rPr>
              <w:t>муниципаль-ный</w:t>
            </w:r>
            <w:proofErr w:type="gramEnd"/>
            <w:r>
              <w:rPr>
                <w:bCs/>
                <w:sz w:val="12"/>
                <w:szCs w:val="12"/>
              </w:rPr>
              <w:t xml:space="preserve"> округ, Пригородный лесхоз, ГЛД «Старочервов-ская»,</w:t>
            </w:r>
            <w:r>
              <w:rPr>
                <w:bCs/>
                <w:sz w:val="12"/>
                <w:szCs w:val="12"/>
              </w:rPr>
              <w:br/>
              <w:t xml:space="preserve"> в 1414 м., северо-западней д. Ляпки </w:t>
            </w:r>
          </w:p>
        </w:tc>
        <w:tc>
          <w:tcPr>
            <w:tcW w:w="303" w:type="pct"/>
            <w:tcBorders>
              <w:top w:val="single" w:sz="4" w:space="0" w:color="auto"/>
              <w:left w:val="single" w:sz="4" w:space="0" w:color="auto"/>
              <w:bottom w:val="single" w:sz="4" w:space="0" w:color="auto"/>
              <w:right w:val="single" w:sz="4" w:space="0" w:color="auto"/>
            </w:tcBorders>
            <w:vAlign w:val="center"/>
            <w:hideMark/>
          </w:tcPr>
          <w:p w14:paraId="572809A4" w14:textId="77777777" w:rsidR="002F590A" w:rsidRDefault="002F590A">
            <w:pPr>
              <w:jc w:val="center"/>
              <w:rPr>
                <w:sz w:val="12"/>
                <w:szCs w:val="12"/>
              </w:rPr>
            </w:pPr>
            <w:r>
              <w:rPr>
                <w:color w:val="000000"/>
                <w:sz w:val="12"/>
                <w:szCs w:val="12"/>
              </w:rPr>
              <w:t>Технические характеристики</w:t>
            </w:r>
          </w:p>
        </w:tc>
        <w:tc>
          <w:tcPr>
            <w:tcW w:w="139" w:type="pct"/>
            <w:tcBorders>
              <w:top w:val="single" w:sz="4" w:space="0" w:color="auto"/>
              <w:left w:val="single" w:sz="4" w:space="0" w:color="auto"/>
              <w:bottom w:val="single" w:sz="4" w:space="0" w:color="auto"/>
              <w:right w:val="single" w:sz="4" w:space="0" w:color="auto"/>
            </w:tcBorders>
            <w:vAlign w:val="center"/>
          </w:tcPr>
          <w:p w14:paraId="3606C440" w14:textId="77777777" w:rsidR="002F590A" w:rsidRDefault="002F590A">
            <w:pPr>
              <w:jc w:val="center"/>
              <w:rPr>
                <w:sz w:val="12"/>
                <w:szCs w:val="12"/>
              </w:rPr>
            </w:pPr>
          </w:p>
        </w:tc>
        <w:tc>
          <w:tcPr>
            <w:tcW w:w="300" w:type="pct"/>
            <w:tcBorders>
              <w:top w:val="single" w:sz="4" w:space="0" w:color="auto"/>
              <w:left w:val="single" w:sz="4" w:space="0" w:color="auto"/>
              <w:bottom w:val="single" w:sz="4" w:space="0" w:color="auto"/>
              <w:right w:val="single" w:sz="4" w:space="0" w:color="auto"/>
            </w:tcBorders>
            <w:vAlign w:val="center"/>
            <w:hideMark/>
          </w:tcPr>
          <w:p w14:paraId="3CA3A5C4" w14:textId="77777777" w:rsidR="002F590A" w:rsidRDefault="002F590A">
            <w:pPr>
              <w:jc w:val="center"/>
              <w:rPr>
                <w:sz w:val="12"/>
                <w:szCs w:val="12"/>
              </w:rPr>
            </w:pPr>
            <w:r>
              <w:rPr>
                <w:sz w:val="12"/>
                <w:szCs w:val="12"/>
              </w:rPr>
              <w:t> </w:t>
            </w:r>
          </w:p>
        </w:tc>
        <w:tc>
          <w:tcPr>
            <w:tcW w:w="351" w:type="pct"/>
            <w:tcBorders>
              <w:top w:val="single" w:sz="4" w:space="0" w:color="auto"/>
              <w:left w:val="single" w:sz="4" w:space="0" w:color="auto"/>
              <w:bottom w:val="single" w:sz="4" w:space="0" w:color="auto"/>
              <w:right w:val="single" w:sz="4" w:space="0" w:color="auto"/>
            </w:tcBorders>
            <w:vAlign w:val="center"/>
            <w:hideMark/>
          </w:tcPr>
          <w:p w14:paraId="6D1B13DC" w14:textId="77777777" w:rsidR="002F590A" w:rsidRDefault="002F590A">
            <w:pPr>
              <w:jc w:val="center"/>
              <w:rPr>
                <w:color w:val="000000"/>
                <w:sz w:val="12"/>
                <w:szCs w:val="12"/>
              </w:rPr>
            </w:pPr>
            <w:r>
              <w:rPr>
                <w:color w:val="000000"/>
                <w:sz w:val="12"/>
                <w:szCs w:val="12"/>
              </w:rPr>
              <w:t> </w:t>
            </w:r>
          </w:p>
        </w:tc>
        <w:tc>
          <w:tcPr>
            <w:tcW w:w="139" w:type="pct"/>
            <w:tcBorders>
              <w:top w:val="single" w:sz="4" w:space="0" w:color="auto"/>
              <w:left w:val="single" w:sz="4" w:space="0" w:color="auto"/>
              <w:bottom w:val="single" w:sz="4" w:space="0" w:color="auto"/>
              <w:right w:val="single" w:sz="4" w:space="0" w:color="auto"/>
            </w:tcBorders>
            <w:vAlign w:val="center"/>
          </w:tcPr>
          <w:p w14:paraId="42D5DFF3" w14:textId="77777777" w:rsidR="002F590A" w:rsidRDefault="002F590A">
            <w:pPr>
              <w:jc w:val="center"/>
              <w:rPr>
                <w:sz w:val="12"/>
                <w:szCs w:val="12"/>
              </w:rPr>
            </w:pPr>
          </w:p>
        </w:tc>
        <w:tc>
          <w:tcPr>
            <w:tcW w:w="167" w:type="pct"/>
            <w:tcBorders>
              <w:top w:val="single" w:sz="4" w:space="0" w:color="auto"/>
              <w:left w:val="single" w:sz="4" w:space="0" w:color="auto"/>
              <w:bottom w:val="single" w:sz="4" w:space="0" w:color="auto"/>
              <w:right w:val="single" w:sz="4" w:space="0" w:color="auto"/>
            </w:tcBorders>
            <w:vAlign w:val="center"/>
          </w:tcPr>
          <w:p w14:paraId="21FD3F07" w14:textId="77777777" w:rsidR="002F590A" w:rsidRDefault="002F590A">
            <w:pPr>
              <w:jc w:val="center"/>
              <w:rPr>
                <w:sz w:val="12"/>
                <w:szCs w:val="12"/>
              </w:rPr>
            </w:pPr>
          </w:p>
        </w:tc>
        <w:tc>
          <w:tcPr>
            <w:tcW w:w="216" w:type="pct"/>
            <w:tcBorders>
              <w:top w:val="single" w:sz="4" w:space="0" w:color="auto"/>
              <w:left w:val="single" w:sz="4" w:space="0" w:color="auto"/>
              <w:bottom w:val="single" w:sz="4" w:space="0" w:color="auto"/>
              <w:right w:val="single" w:sz="4" w:space="0" w:color="auto"/>
            </w:tcBorders>
            <w:vAlign w:val="center"/>
          </w:tcPr>
          <w:p w14:paraId="0B67A98A" w14:textId="77777777" w:rsidR="002F590A" w:rsidRDefault="002F590A">
            <w:pPr>
              <w:jc w:val="center"/>
              <w:rPr>
                <w:color w:val="000000"/>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22DFDD3D" w14:textId="77777777" w:rsidR="002F590A" w:rsidRDefault="002F590A">
            <w:pPr>
              <w:jc w:val="center"/>
              <w:rPr>
                <w:color w:val="000000"/>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0137394B" w14:textId="77777777" w:rsidR="002F590A" w:rsidRDefault="002F590A">
            <w:pPr>
              <w:jc w:val="center"/>
              <w:rPr>
                <w:sz w:val="12"/>
                <w:szCs w:val="12"/>
              </w:rPr>
            </w:pPr>
          </w:p>
        </w:tc>
        <w:tc>
          <w:tcPr>
            <w:tcW w:w="172" w:type="pct"/>
            <w:tcBorders>
              <w:top w:val="single" w:sz="4" w:space="0" w:color="auto"/>
              <w:left w:val="single" w:sz="4" w:space="0" w:color="auto"/>
              <w:bottom w:val="single" w:sz="4" w:space="0" w:color="auto"/>
              <w:right w:val="single" w:sz="4" w:space="0" w:color="auto"/>
            </w:tcBorders>
            <w:vAlign w:val="center"/>
          </w:tcPr>
          <w:p w14:paraId="3E9D9457" w14:textId="77777777" w:rsidR="002F590A" w:rsidRDefault="002F590A">
            <w:pPr>
              <w:jc w:val="center"/>
              <w:rPr>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3E5099E2" w14:textId="77777777" w:rsidR="002F590A" w:rsidRDefault="002F590A">
            <w:pPr>
              <w:jc w:val="center"/>
              <w:rPr>
                <w:sz w:val="12"/>
                <w:szCs w:val="12"/>
              </w:rPr>
            </w:pPr>
          </w:p>
        </w:tc>
        <w:tc>
          <w:tcPr>
            <w:tcW w:w="216" w:type="pct"/>
            <w:tcBorders>
              <w:top w:val="single" w:sz="4" w:space="0" w:color="auto"/>
              <w:left w:val="single" w:sz="4" w:space="0" w:color="auto"/>
              <w:bottom w:val="single" w:sz="4" w:space="0" w:color="auto"/>
              <w:right w:val="single" w:sz="4" w:space="0" w:color="auto"/>
            </w:tcBorders>
            <w:vAlign w:val="center"/>
          </w:tcPr>
          <w:p w14:paraId="352C54F5" w14:textId="77777777" w:rsidR="002F590A" w:rsidRDefault="002F590A">
            <w:pPr>
              <w:jc w:val="center"/>
              <w:rPr>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00C41D64" w14:textId="77777777" w:rsidR="002F590A" w:rsidRDefault="002F590A">
            <w:pPr>
              <w:jc w:val="center"/>
              <w:rPr>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7EA82565" w14:textId="77777777" w:rsidR="002F590A" w:rsidRDefault="002F590A">
            <w:pPr>
              <w:jc w:val="center"/>
              <w:rPr>
                <w:sz w:val="12"/>
                <w:szCs w:val="12"/>
              </w:rPr>
            </w:pPr>
          </w:p>
        </w:tc>
        <w:tc>
          <w:tcPr>
            <w:tcW w:w="218" w:type="pct"/>
            <w:tcBorders>
              <w:top w:val="single" w:sz="4" w:space="0" w:color="auto"/>
              <w:left w:val="single" w:sz="4" w:space="0" w:color="auto"/>
              <w:bottom w:val="single" w:sz="4" w:space="0" w:color="auto"/>
              <w:right w:val="single" w:sz="4" w:space="0" w:color="auto"/>
            </w:tcBorders>
            <w:vAlign w:val="center"/>
          </w:tcPr>
          <w:p w14:paraId="13AF8A02" w14:textId="77777777" w:rsidR="002F590A" w:rsidRDefault="002F590A">
            <w:pPr>
              <w:jc w:val="center"/>
              <w:rPr>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504E268C" w14:textId="77777777" w:rsidR="002F590A" w:rsidRDefault="002F590A">
            <w:pPr>
              <w:jc w:val="center"/>
              <w:rPr>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6129AF0F" w14:textId="77777777" w:rsidR="002F590A" w:rsidRDefault="002F590A">
            <w:pPr>
              <w:jc w:val="center"/>
              <w:rPr>
                <w:sz w:val="12"/>
                <w:szCs w:val="12"/>
              </w:rPr>
            </w:pPr>
          </w:p>
        </w:tc>
        <w:tc>
          <w:tcPr>
            <w:tcW w:w="175" w:type="pct"/>
            <w:tcBorders>
              <w:top w:val="single" w:sz="4" w:space="0" w:color="auto"/>
              <w:left w:val="single" w:sz="4" w:space="0" w:color="auto"/>
              <w:bottom w:val="single" w:sz="4" w:space="0" w:color="auto"/>
              <w:right w:val="single" w:sz="4" w:space="0" w:color="auto"/>
            </w:tcBorders>
            <w:vAlign w:val="center"/>
          </w:tcPr>
          <w:p w14:paraId="172DC95D" w14:textId="77777777" w:rsidR="002F590A" w:rsidRDefault="002F590A">
            <w:pPr>
              <w:jc w:val="center"/>
              <w:rPr>
                <w:sz w:val="12"/>
                <w:szCs w:val="12"/>
              </w:rPr>
            </w:pPr>
          </w:p>
        </w:tc>
        <w:tc>
          <w:tcPr>
            <w:tcW w:w="173" w:type="pct"/>
            <w:tcBorders>
              <w:top w:val="single" w:sz="4" w:space="0" w:color="auto"/>
              <w:left w:val="single" w:sz="4" w:space="0" w:color="auto"/>
              <w:bottom w:val="single" w:sz="4" w:space="0" w:color="auto"/>
              <w:right w:val="single" w:sz="4" w:space="0" w:color="auto"/>
            </w:tcBorders>
            <w:vAlign w:val="center"/>
          </w:tcPr>
          <w:p w14:paraId="5292B260" w14:textId="77777777" w:rsidR="002F590A" w:rsidRDefault="002F590A">
            <w:pPr>
              <w:jc w:val="center"/>
              <w:rPr>
                <w:color w:val="000000"/>
                <w:sz w:val="12"/>
                <w:szCs w:val="12"/>
              </w:rPr>
            </w:pPr>
          </w:p>
        </w:tc>
        <w:tc>
          <w:tcPr>
            <w:tcW w:w="172" w:type="pct"/>
            <w:tcBorders>
              <w:top w:val="single" w:sz="4" w:space="0" w:color="auto"/>
              <w:left w:val="single" w:sz="4" w:space="0" w:color="auto"/>
              <w:bottom w:val="single" w:sz="4" w:space="0" w:color="auto"/>
              <w:right w:val="single" w:sz="4" w:space="0" w:color="auto"/>
            </w:tcBorders>
            <w:vAlign w:val="center"/>
          </w:tcPr>
          <w:p w14:paraId="60D1F28D" w14:textId="77777777" w:rsidR="002F590A" w:rsidRDefault="002F590A">
            <w:pPr>
              <w:jc w:val="center"/>
              <w:rPr>
                <w:color w:val="000000"/>
                <w:sz w:val="12"/>
                <w:szCs w:val="12"/>
              </w:rPr>
            </w:pPr>
          </w:p>
        </w:tc>
      </w:tr>
      <w:tr w:rsidR="002F590A" w14:paraId="54EA6809" w14:textId="77777777" w:rsidTr="002F590A">
        <w:trPr>
          <w:trHeight w:val="897"/>
        </w:trPr>
        <w:tc>
          <w:tcPr>
            <w:tcW w:w="173" w:type="pct"/>
            <w:tcBorders>
              <w:top w:val="single" w:sz="4" w:space="0" w:color="auto"/>
              <w:left w:val="single" w:sz="4" w:space="0" w:color="auto"/>
              <w:bottom w:val="single" w:sz="4" w:space="0" w:color="auto"/>
              <w:right w:val="single" w:sz="4" w:space="0" w:color="auto"/>
            </w:tcBorders>
            <w:vAlign w:val="center"/>
            <w:hideMark/>
          </w:tcPr>
          <w:p w14:paraId="16F62849" w14:textId="77777777" w:rsidR="002F590A" w:rsidRDefault="002F590A">
            <w:pPr>
              <w:jc w:val="center"/>
              <w:rPr>
                <w:sz w:val="12"/>
                <w:szCs w:val="12"/>
              </w:rPr>
            </w:pPr>
            <w:r>
              <w:rPr>
                <w:sz w:val="12"/>
                <w:szCs w:val="12"/>
              </w:rPr>
              <w:t>3.2.4.1</w:t>
            </w:r>
          </w:p>
        </w:tc>
        <w:tc>
          <w:tcPr>
            <w:tcW w:w="280" w:type="pct"/>
            <w:tcBorders>
              <w:top w:val="single" w:sz="4" w:space="0" w:color="auto"/>
              <w:left w:val="single" w:sz="4" w:space="0" w:color="auto"/>
              <w:bottom w:val="single" w:sz="4" w:space="0" w:color="auto"/>
              <w:right w:val="single" w:sz="4" w:space="0" w:color="auto"/>
            </w:tcBorders>
            <w:vAlign w:val="center"/>
            <w:hideMark/>
          </w:tcPr>
          <w:p w14:paraId="7C743548" w14:textId="77777777" w:rsidR="002F590A" w:rsidRDefault="002F590A">
            <w:pPr>
              <w:rPr>
                <w:color w:val="000000"/>
                <w:sz w:val="12"/>
                <w:szCs w:val="12"/>
              </w:rPr>
            </w:pPr>
            <w:r>
              <w:rPr>
                <w:color w:val="000000"/>
                <w:sz w:val="12"/>
                <w:szCs w:val="12"/>
              </w:rPr>
              <w:t>Реконструкция подпиточного насоса № 1</w:t>
            </w:r>
          </w:p>
        </w:tc>
        <w:tc>
          <w:tcPr>
            <w:tcW w:w="313" w:type="pct"/>
            <w:tcBorders>
              <w:top w:val="single" w:sz="4" w:space="0" w:color="auto"/>
              <w:left w:val="single" w:sz="4" w:space="0" w:color="auto"/>
              <w:bottom w:val="single" w:sz="4" w:space="0" w:color="auto"/>
              <w:right w:val="single" w:sz="4" w:space="0" w:color="auto"/>
            </w:tcBorders>
            <w:vAlign w:val="center"/>
            <w:hideMark/>
          </w:tcPr>
          <w:p w14:paraId="112D1746" w14:textId="77777777" w:rsidR="002F590A" w:rsidRDefault="002F590A">
            <w:pPr>
              <w:jc w:val="center"/>
              <w:rPr>
                <w:sz w:val="12"/>
                <w:szCs w:val="12"/>
              </w:rPr>
            </w:pPr>
            <w:r>
              <w:rPr>
                <w:sz w:val="12"/>
                <w:szCs w:val="12"/>
              </w:rPr>
              <w:t>Повышение надежности (бесперебойности) услуг теплоснабжения, повышение энергетической эффективности</w:t>
            </w:r>
          </w:p>
        </w:tc>
        <w:tc>
          <w:tcPr>
            <w:tcW w:w="275" w:type="pct"/>
            <w:tcBorders>
              <w:top w:val="single" w:sz="4" w:space="0" w:color="auto"/>
              <w:left w:val="single" w:sz="4" w:space="0" w:color="auto"/>
              <w:bottom w:val="single" w:sz="4" w:space="0" w:color="auto"/>
              <w:right w:val="single" w:sz="4" w:space="0" w:color="auto"/>
            </w:tcBorders>
            <w:vAlign w:val="center"/>
            <w:hideMark/>
          </w:tcPr>
          <w:p w14:paraId="09E2A5AF" w14:textId="77777777" w:rsidR="002F590A" w:rsidRDefault="002F590A">
            <w:pPr>
              <w:jc w:val="center"/>
              <w:rPr>
                <w:sz w:val="12"/>
                <w:szCs w:val="12"/>
              </w:rPr>
            </w:pPr>
            <w:r>
              <w:rPr>
                <w:sz w:val="12"/>
                <w:szCs w:val="12"/>
              </w:rPr>
              <w:t> </w:t>
            </w:r>
          </w:p>
        </w:tc>
        <w:tc>
          <w:tcPr>
            <w:tcW w:w="303" w:type="pct"/>
            <w:tcBorders>
              <w:top w:val="single" w:sz="4" w:space="0" w:color="auto"/>
              <w:left w:val="single" w:sz="4" w:space="0" w:color="auto"/>
              <w:bottom w:val="single" w:sz="4" w:space="0" w:color="auto"/>
              <w:right w:val="single" w:sz="4" w:space="0" w:color="auto"/>
            </w:tcBorders>
            <w:vAlign w:val="center"/>
            <w:hideMark/>
          </w:tcPr>
          <w:p w14:paraId="56FAE877" w14:textId="77777777" w:rsidR="002F590A" w:rsidRDefault="002F590A">
            <w:pPr>
              <w:jc w:val="center"/>
              <w:rPr>
                <w:sz w:val="12"/>
                <w:szCs w:val="12"/>
              </w:rPr>
            </w:pPr>
            <w:r>
              <w:rPr>
                <w:color w:val="000000"/>
                <w:sz w:val="12"/>
                <w:szCs w:val="12"/>
              </w:rPr>
              <w:t>Технические характеристики</w:t>
            </w:r>
          </w:p>
        </w:tc>
        <w:tc>
          <w:tcPr>
            <w:tcW w:w="139" w:type="pct"/>
            <w:tcBorders>
              <w:top w:val="single" w:sz="4" w:space="0" w:color="auto"/>
              <w:left w:val="single" w:sz="4" w:space="0" w:color="auto"/>
              <w:bottom w:val="single" w:sz="4" w:space="0" w:color="auto"/>
              <w:right w:val="single" w:sz="4" w:space="0" w:color="auto"/>
            </w:tcBorders>
            <w:vAlign w:val="center"/>
          </w:tcPr>
          <w:p w14:paraId="72B4F86A" w14:textId="77777777" w:rsidR="002F590A" w:rsidRDefault="002F590A">
            <w:pPr>
              <w:jc w:val="center"/>
              <w:rPr>
                <w:sz w:val="12"/>
                <w:szCs w:val="12"/>
              </w:rPr>
            </w:pPr>
          </w:p>
        </w:tc>
        <w:tc>
          <w:tcPr>
            <w:tcW w:w="3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3AAFCE3" w14:textId="77777777" w:rsidR="002F590A" w:rsidRDefault="002F590A">
            <w:pPr>
              <w:spacing w:before="100" w:beforeAutospacing="1" w:after="100" w:afterAutospacing="1"/>
              <w:jc w:val="center"/>
              <w:rPr>
                <w:color w:val="2C2D2E"/>
                <w:sz w:val="12"/>
                <w:szCs w:val="12"/>
              </w:rPr>
            </w:pPr>
            <w:r>
              <w:rPr>
                <w:color w:val="2C2D2E"/>
                <w:sz w:val="12"/>
                <w:szCs w:val="12"/>
              </w:rPr>
              <w:t>Насос марки К 80-65-160, промышленный, центробежный, консольного типа. Перекачивает чистую техническую воду с температурой до 85 °С. Материал корпуса и крыльчатки – чугун СЧ20, вал – сталь. Подача — 20 м³/ч, напор – 30 м.</w:t>
            </w:r>
          </w:p>
        </w:tc>
        <w:tc>
          <w:tcPr>
            <w:tcW w:w="35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1B44609" w14:textId="77777777" w:rsidR="002F590A" w:rsidRDefault="002F590A">
            <w:pPr>
              <w:spacing w:before="100" w:beforeAutospacing="1" w:after="100" w:afterAutospacing="1"/>
              <w:jc w:val="center"/>
              <w:rPr>
                <w:color w:val="2C2D2E"/>
                <w:sz w:val="12"/>
                <w:szCs w:val="12"/>
              </w:rPr>
            </w:pPr>
            <w:r>
              <w:rPr>
                <w:color w:val="2C2D2E"/>
                <w:sz w:val="12"/>
                <w:szCs w:val="12"/>
              </w:rPr>
              <w:t>Оборудование с техническими характеристиками не ниже существующего на объекте</w:t>
            </w:r>
            <w:r>
              <w:rPr>
                <w:color w:val="000000"/>
                <w:sz w:val="12"/>
                <w:szCs w:val="12"/>
              </w:rPr>
              <w:t>.</w:t>
            </w:r>
          </w:p>
        </w:tc>
        <w:tc>
          <w:tcPr>
            <w:tcW w:w="139" w:type="pct"/>
            <w:tcBorders>
              <w:top w:val="single" w:sz="4" w:space="0" w:color="auto"/>
              <w:left w:val="single" w:sz="4" w:space="0" w:color="auto"/>
              <w:bottom w:val="single" w:sz="4" w:space="0" w:color="auto"/>
              <w:right w:val="single" w:sz="4" w:space="0" w:color="auto"/>
            </w:tcBorders>
            <w:vAlign w:val="center"/>
            <w:hideMark/>
          </w:tcPr>
          <w:p w14:paraId="2BEFC29A" w14:textId="77777777" w:rsidR="002F590A" w:rsidRDefault="002F590A">
            <w:pPr>
              <w:jc w:val="center"/>
              <w:rPr>
                <w:sz w:val="12"/>
                <w:szCs w:val="12"/>
              </w:rPr>
            </w:pPr>
            <w:r>
              <w:rPr>
                <w:sz w:val="12"/>
                <w:szCs w:val="12"/>
              </w:rPr>
              <w:t>2029</w:t>
            </w:r>
          </w:p>
        </w:tc>
        <w:tc>
          <w:tcPr>
            <w:tcW w:w="167" w:type="pct"/>
            <w:tcBorders>
              <w:top w:val="single" w:sz="4" w:space="0" w:color="auto"/>
              <w:left w:val="single" w:sz="4" w:space="0" w:color="auto"/>
              <w:bottom w:val="single" w:sz="4" w:space="0" w:color="auto"/>
              <w:right w:val="single" w:sz="4" w:space="0" w:color="auto"/>
            </w:tcBorders>
            <w:vAlign w:val="center"/>
            <w:hideMark/>
          </w:tcPr>
          <w:p w14:paraId="28096730" w14:textId="77777777" w:rsidR="002F590A" w:rsidRDefault="002F590A">
            <w:pPr>
              <w:jc w:val="center"/>
              <w:rPr>
                <w:sz w:val="12"/>
                <w:szCs w:val="12"/>
              </w:rPr>
            </w:pPr>
            <w:r>
              <w:rPr>
                <w:sz w:val="12"/>
                <w:szCs w:val="12"/>
              </w:rPr>
              <w:t>2029</w:t>
            </w:r>
          </w:p>
        </w:tc>
        <w:tc>
          <w:tcPr>
            <w:tcW w:w="216" w:type="pct"/>
            <w:tcBorders>
              <w:top w:val="single" w:sz="4" w:space="0" w:color="auto"/>
              <w:left w:val="single" w:sz="4" w:space="0" w:color="auto"/>
              <w:bottom w:val="single" w:sz="4" w:space="0" w:color="auto"/>
              <w:right w:val="single" w:sz="4" w:space="0" w:color="auto"/>
            </w:tcBorders>
            <w:vAlign w:val="center"/>
            <w:hideMark/>
          </w:tcPr>
          <w:p w14:paraId="0BC85CBB" w14:textId="77777777" w:rsidR="002F590A" w:rsidRDefault="002F590A">
            <w:pPr>
              <w:jc w:val="center"/>
              <w:rPr>
                <w:color w:val="000000"/>
                <w:sz w:val="12"/>
                <w:szCs w:val="12"/>
              </w:rPr>
            </w:pPr>
            <w:r>
              <w:rPr>
                <w:color w:val="000000"/>
                <w:sz w:val="12"/>
                <w:szCs w:val="12"/>
              </w:rPr>
              <w:t>188,18</w:t>
            </w:r>
          </w:p>
        </w:tc>
        <w:tc>
          <w:tcPr>
            <w:tcW w:w="174" w:type="pct"/>
            <w:tcBorders>
              <w:top w:val="single" w:sz="4" w:space="0" w:color="auto"/>
              <w:left w:val="single" w:sz="4" w:space="0" w:color="auto"/>
              <w:bottom w:val="single" w:sz="4" w:space="0" w:color="auto"/>
              <w:right w:val="single" w:sz="4" w:space="0" w:color="auto"/>
            </w:tcBorders>
            <w:vAlign w:val="center"/>
            <w:hideMark/>
          </w:tcPr>
          <w:p w14:paraId="209A1F91" w14:textId="77777777" w:rsidR="002F590A" w:rsidRDefault="002F590A">
            <w:pPr>
              <w:jc w:val="center"/>
              <w:rPr>
                <w:color w:val="000000"/>
                <w:sz w:val="12"/>
                <w:szCs w:val="12"/>
              </w:rPr>
            </w:pPr>
            <w:r>
              <w:rPr>
                <w:color w:val="000000"/>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53B9C8E7" w14:textId="77777777" w:rsidR="002F590A" w:rsidRDefault="002F590A">
            <w:pPr>
              <w:jc w:val="center"/>
              <w:rPr>
                <w:sz w:val="12"/>
                <w:szCs w:val="12"/>
              </w:rPr>
            </w:pPr>
            <w:r>
              <w:rPr>
                <w:sz w:val="12"/>
                <w:szCs w:val="12"/>
              </w:rPr>
              <w:t>0,00</w:t>
            </w:r>
          </w:p>
        </w:tc>
        <w:tc>
          <w:tcPr>
            <w:tcW w:w="172" w:type="pct"/>
            <w:tcBorders>
              <w:top w:val="single" w:sz="4" w:space="0" w:color="auto"/>
              <w:left w:val="single" w:sz="4" w:space="0" w:color="auto"/>
              <w:bottom w:val="single" w:sz="4" w:space="0" w:color="auto"/>
              <w:right w:val="single" w:sz="4" w:space="0" w:color="auto"/>
            </w:tcBorders>
            <w:vAlign w:val="center"/>
            <w:hideMark/>
          </w:tcPr>
          <w:p w14:paraId="195D2DD9"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26B48ED6" w14:textId="77777777" w:rsidR="002F590A" w:rsidRDefault="002F590A">
            <w:pPr>
              <w:jc w:val="center"/>
              <w:rPr>
                <w:sz w:val="12"/>
                <w:szCs w:val="12"/>
              </w:rPr>
            </w:pPr>
            <w:r>
              <w:rPr>
                <w:sz w:val="12"/>
                <w:szCs w:val="12"/>
              </w:rPr>
              <w:t>0,00</w:t>
            </w:r>
          </w:p>
        </w:tc>
        <w:tc>
          <w:tcPr>
            <w:tcW w:w="216" w:type="pct"/>
            <w:tcBorders>
              <w:top w:val="single" w:sz="4" w:space="0" w:color="auto"/>
              <w:left w:val="single" w:sz="4" w:space="0" w:color="auto"/>
              <w:bottom w:val="single" w:sz="4" w:space="0" w:color="auto"/>
              <w:right w:val="single" w:sz="4" w:space="0" w:color="auto"/>
            </w:tcBorders>
            <w:vAlign w:val="center"/>
            <w:hideMark/>
          </w:tcPr>
          <w:p w14:paraId="77D879A3"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46BF5082"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34807374" w14:textId="77777777" w:rsidR="002F590A" w:rsidRDefault="002F590A">
            <w:pPr>
              <w:jc w:val="center"/>
              <w:rPr>
                <w:sz w:val="12"/>
                <w:szCs w:val="12"/>
              </w:rPr>
            </w:pPr>
            <w:r>
              <w:rPr>
                <w:sz w:val="12"/>
                <w:szCs w:val="12"/>
              </w:rPr>
              <w:t>0,00</w:t>
            </w:r>
          </w:p>
        </w:tc>
        <w:tc>
          <w:tcPr>
            <w:tcW w:w="218" w:type="pct"/>
            <w:tcBorders>
              <w:top w:val="single" w:sz="4" w:space="0" w:color="auto"/>
              <w:left w:val="single" w:sz="4" w:space="0" w:color="auto"/>
              <w:bottom w:val="single" w:sz="4" w:space="0" w:color="auto"/>
              <w:right w:val="single" w:sz="4" w:space="0" w:color="auto"/>
            </w:tcBorders>
            <w:vAlign w:val="center"/>
            <w:hideMark/>
          </w:tcPr>
          <w:p w14:paraId="3ED9F604"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4ABFDF3A" w14:textId="77777777" w:rsidR="002F590A" w:rsidRDefault="002F590A">
            <w:pPr>
              <w:jc w:val="center"/>
              <w:rPr>
                <w:sz w:val="12"/>
                <w:szCs w:val="12"/>
              </w:rPr>
            </w:pPr>
            <w:r>
              <w:rPr>
                <w:sz w:val="12"/>
                <w:szCs w:val="12"/>
              </w:rPr>
              <w:t>188,18</w:t>
            </w:r>
          </w:p>
        </w:tc>
        <w:tc>
          <w:tcPr>
            <w:tcW w:w="174" w:type="pct"/>
            <w:tcBorders>
              <w:top w:val="single" w:sz="4" w:space="0" w:color="auto"/>
              <w:left w:val="single" w:sz="4" w:space="0" w:color="auto"/>
              <w:bottom w:val="single" w:sz="4" w:space="0" w:color="auto"/>
              <w:right w:val="single" w:sz="4" w:space="0" w:color="auto"/>
            </w:tcBorders>
            <w:vAlign w:val="center"/>
            <w:hideMark/>
          </w:tcPr>
          <w:p w14:paraId="3DE3A3DD" w14:textId="77777777" w:rsidR="002F590A" w:rsidRDefault="002F590A">
            <w:pPr>
              <w:jc w:val="center"/>
              <w:rPr>
                <w:sz w:val="12"/>
                <w:szCs w:val="12"/>
              </w:rPr>
            </w:pPr>
            <w:r>
              <w:rPr>
                <w:sz w:val="12"/>
                <w:szCs w:val="12"/>
              </w:rPr>
              <w:t>0,00</w:t>
            </w:r>
          </w:p>
        </w:tc>
        <w:tc>
          <w:tcPr>
            <w:tcW w:w="175" w:type="pct"/>
            <w:tcBorders>
              <w:top w:val="single" w:sz="4" w:space="0" w:color="auto"/>
              <w:left w:val="single" w:sz="4" w:space="0" w:color="auto"/>
              <w:bottom w:val="single" w:sz="4" w:space="0" w:color="auto"/>
              <w:right w:val="single" w:sz="4" w:space="0" w:color="auto"/>
            </w:tcBorders>
            <w:vAlign w:val="center"/>
            <w:hideMark/>
          </w:tcPr>
          <w:p w14:paraId="61122F6C"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11B22FC8" w14:textId="77777777" w:rsidR="002F590A" w:rsidRDefault="002F590A">
            <w:pPr>
              <w:jc w:val="center"/>
              <w:rPr>
                <w:color w:val="000000"/>
                <w:sz w:val="12"/>
                <w:szCs w:val="12"/>
              </w:rPr>
            </w:pPr>
            <w:r>
              <w:rPr>
                <w:color w:val="000000"/>
                <w:sz w:val="12"/>
                <w:szCs w:val="12"/>
              </w:rPr>
              <w:t>0,00</w:t>
            </w:r>
          </w:p>
        </w:tc>
        <w:tc>
          <w:tcPr>
            <w:tcW w:w="172" w:type="pct"/>
            <w:tcBorders>
              <w:top w:val="single" w:sz="4" w:space="0" w:color="auto"/>
              <w:left w:val="single" w:sz="4" w:space="0" w:color="auto"/>
              <w:bottom w:val="single" w:sz="4" w:space="0" w:color="auto"/>
              <w:right w:val="single" w:sz="4" w:space="0" w:color="auto"/>
            </w:tcBorders>
            <w:vAlign w:val="center"/>
            <w:hideMark/>
          </w:tcPr>
          <w:p w14:paraId="7BDFD48F" w14:textId="77777777" w:rsidR="002F590A" w:rsidRDefault="002F590A">
            <w:pPr>
              <w:jc w:val="center"/>
              <w:rPr>
                <w:color w:val="000000"/>
                <w:sz w:val="12"/>
                <w:szCs w:val="12"/>
              </w:rPr>
            </w:pPr>
            <w:r>
              <w:rPr>
                <w:color w:val="000000"/>
                <w:sz w:val="12"/>
                <w:szCs w:val="12"/>
              </w:rPr>
              <w:t>0,00</w:t>
            </w:r>
          </w:p>
        </w:tc>
      </w:tr>
      <w:tr w:rsidR="002F590A" w14:paraId="0DD8E7AD" w14:textId="77777777" w:rsidTr="002F590A">
        <w:trPr>
          <w:trHeight w:val="232"/>
        </w:trPr>
        <w:tc>
          <w:tcPr>
            <w:tcW w:w="173" w:type="pct"/>
            <w:tcBorders>
              <w:top w:val="single" w:sz="4" w:space="0" w:color="auto"/>
              <w:left w:val="single" w:sz="4" w:space="0" w:color="auto"/>
              <w:bottom w:val="single" w:sz="4" w:space="0" w:color="auto"/>
              <w:right w:val="single" w:sz="4" w:space="0" w:color="auto"/>
            </w:tcBorders>
            <w:vAlign w:val="center"/>
            <w:hideMark/>
          </w:tcPr>
          <w:p w14:paraId="3FA6054D" w14:textId="77777777" w:rsidR="002F590A" w:rsidRDefault="002F590A">
            <w:pPr>
              <w:jc w:val="center"/>
              <w:rPr>
                <w:bCs/>
                <w:sz w:val="12"/>
                <w:szCs w:val="12"/>
              </w:rPr>
            </w:pPr>
            <w:r>
              <w:rPr>
                <w:bCs/>
                <w:sz w:val="12"/>
                <w:szCs w:val="12"/>
              </w:rPr>
              <w:t>1</w:t>
            </w:r>
          </w:p>
        </w:tc>
        <w:tc>
          <w:tcPr>
            <w:tcW w:w="280" w:type="pct"/>
            <w:tcBorders>
              <w:top w:val="single" w:sz="4" w:space="0" w:color="auto"/>
              <w:left w:val="single" w:sz="4" w:space="0" w:color="auto"/>
              <w:bottom w:val="single" w:sz="4" w:space="0" w:color="auto"/>
              <w:right w:val="single" w:sz="4" w:space="0" w:color="auto"/>
            </w:tcBorders>
            <w:vAlign w:val="center"/>
            <w:hideMark/>
          </w:tcPr>
          <w:p w14:paraId="5F262141" w14:textId="77777777" w:rsidR="002F590A" w:rsidRDefault="002F590A">
            <w:pPr>
              <w:jc w:val="center"/>
              <w:rPr>
                <w:bCs/>
                <w:sz w:val="12"/>
                <w:szCs w:val="12"/>
              </w:rPr>
            </w:pPr>
            <w:r>
              <w:rPr>
                <w:bCs/>
                <w:sz w:val="12"/>
                <w:szCs w:val="12"/>
              </w:rPr>
              <w:t>2</w:t>
            </w:r>
          </w:p>
        </w:tc>
        <w:tc>
          <w:tcPr>
            <w:tcW w:w="313" w:type="pct"/>
            <w:tcBorders>
              <w:top w:val="single" w:sz="4" w:space="0" w:color="auto"/>
              <w:left w:val="single" w:sz="4" w:space="0" w:color="auto"/>
              <w:bottom w:val="single" w:sz="4" w:space="0" w:color="auto"/>
              <w:right w:val="single" w:sz="4" w:space="0" w:color="auto"/>
            </w:tcBorders>
            <w:vAlign w:val="center"/>
            <w:hideMark/>
          </w:tcPr>
          <w:p w14:paraId="54D6A2FD" w14:textId="77777777" w:rsidR="002F590A" w:rsidRDefault="002F590A">
            <w:pPr>
              <w:jc w:val="center"/>
              <w:rPr>
                <w:bCs/>
                <w:sz w:val="12"/>
                <w:szCs w:val="12"/>
              </w:rPr>
            </w:pPr>
            <w:r>
              <w:rPr>
                <w:bCs/>
                <w:sz w:val="12"/>
                <w:szCs w:val="12"/>
              </w:rPr>
              <w:t>3</w:t>
            </w:r>
          </w:p>
        </w:tc>
        <w:tc>
          <w:tcPr>
            <w:tcW w:w="275" w:type="pct"/>
            <w:tcBorders>
              <w:top w:val="single" w:sz="4" w:space="0" w:color="auto"/>
              <w:left w:val="single" w:sz="4" w:space="0" w:color="auto"/>
              <w:bottom w:val="single" w:sz="4" w:space="0" w:color="auto"/>
              <w:right w:val="single" w:sz="4" w:space="0" w:color="auto"/>
            </w:tcBorders>
            <w:vAlign w:val="center"/>
            <w:hideMark/>
          </w:tcPr>
          <w:p w14:paraId="49379EB9" w14:textId="77777777" w:rsidR="002F590A" w:rsidRDefault="002F590A">
            <w:pPr>
              <w:jc w:val="center"/>
              <w:rPr>
                <w:bCs/>
                <w:sz w:val="12"/>
                <w:szCs w:val="12"/>
              </w:rPr>
            </w:pPr>
            <w:r>
              <w:rPr>
                <w:bCs/>
                <w:sz w:val="12"/>
                <w:szCs w:val="12"/>
              </w:rPr>
              <w:t>4</w:t>
            </w:r>
          </w:p>
        </w:tc>
        <w:tc>
          <w:tcPr>
            <w:tcW w:w="303" w:type="pct"/>
            <w:tcBorders>
              <w:top w:val="single" w:sz="4" w:space="0" w:color="auto"/>
              <w:left w:val="single" w:sz="4" w:space="0" w:color="auto"/>
              <w:bottom w:val="single" w:sz="4" w:space="0" w:color="auto"/>
              <w:right w:val="single" w:sz="4" w:space="0" w:color="auto"/>
            </w:tcBorders>
            <w:vAlign w:val="center"/>
            <w:hideMark/>
          </w:tcPr>
          <w:p w14:paraId="75D0FEBD" w14:textId="77777777" w:rsidR="002F590A" w:rsidRDefault="002F590A">
            <w:pPr>
              <w:jc w:val="center"/>
              <w:rPr>
                <w:bCs/>
                <w:sz w:val="12"/>
                <w:szCs w:val="12"/>
              </w:rPr>
            </w:pPr>
            <w:r>
              <w:rPr>
                <w:bCs/>
                <w:sz w:val="12"/>
                <w:szCs w:val="12"/>
              </w:rPr>
              <w:t>5</w:t>
            </w:r>
          </w:p>
        </w:tc>
        <w:tc>
          <w:tcPr>
            <w:tcW w:w="139" w:type="pct"/>
            <w:tcBorders>
              <w:top w:val="single" w:sz="4" w:space="0" w:color="auto"/>
              <w:left w:val="single" w:sz="4" w:space="0" w:color="auto"/>
              <w:bottom w:val="single" w:sz="4" w:space="0" w:color="auto"/>
              <w:right w:val="single" w:sz="4" w:space="0" w:color="auto"/>
            </w:tcBorders>
            <w:vAlign w:val="center"/>
            <w:hideMark/>
          </w:tcPr>
          <w:p w14:paraId="6DC98933" w14:textId="77777777" w:rsidR="002F590A" w:rsidRDefault="002F590A">
            <w:pPr>
              <w:jc w:val="center"/>
              <w:rPr>
                <w:bCs/>
                <w:sz w:val="12"/>
                <w:szCs w:val="12"/>
              </w:rPr>
            </w:pPr>
            <w:r>
              <w:rPr>
                <w:bCs/>
                <w:sz w:val="12"/>
                <w:szCs w:val="12"/>
              </w:rPr>
              <w:t>6</w:t>
            </w:r>
          </w:p>
        </w:tc>
        <w:tc>
          <w:tcPr>
            <w:tcW w:w="300" w:type="pct"/>
            <w:tcBorders>
              <w:top w:val="single" w:sz="4" w:space="0" w:color="auto"/>
              <w:left w:val="single" w:sz="4" w:space="0" w:color="auto"/>
              <w:bottom w:val="single" w:sz="4" w:space="0" w:color="auto"/>
              <w:right w:val="single" w:sz="4" w:space="0" w:color="auto"/>
            </w:tcBorders>
            <w:vAlign w:val="center"/>
            <w:hideMark/>
          </w:tcPr>
          <w:p w14:paraId="67A16322" w14:textId="77777777" w:rsidR="002F590A" w:rsidRDefault="002F590A">
            <w:pPr>
              <w:jc w:val="center"/>
              <w:rPr>
                <w:bCs/>
                <w:sz w:val="12"/>
                <w:szCs w:val="12"/>
              </w:rPr>
            </w:pPr>
            <w:r>
              <w:rPr>
                <w:bCs/>
                <w:sz w:val="12"/>
                <w:szCs w:val="12"/>
              </w:rPr>
              <w:t>7</w:t>
            </w:r>
          </w:p>
        </w:tc>
        <w:tc>
          <w:tcPr>
            <w:tcW w:w="351" w:type="pct"/>
            <w:tcBorders>
              <w:top w:val="single" w:sz="4" w:space="0" w:color="auto"/>
              <w:left w:val="single" w:sz="4" w:space="0" w:color="auto"/>
              <w:bottom w:val="single" w:sz="4" w:space="0" w:color="auto"/>
              <w:right w:val="single" w:sz="4" w:space="0" w:color="auto"/>
            </w:tcBorders>
            <w:vAlign w:val="center"/>
            <w:hideMark/>
          </w:tcPr>
          <w:p w14:paraId="35650810" w14:textId="77777777" w:rsidR="002F590A" w:rsidRDefault="002F590A">
            <w:pPr>
              <w:jc w:val="center"/>
              <w:rPr>
                <w:bCs/>
                <w:sz w:val="12"/>
                <w:szCs w:val="12"/>
              </w:rPr>
            </w:pPr>
            <w:r>
              <w:rPr>
                <w:bCs/>
                <w:sz w:val="12"/>
                <w:szCs w:val="12"/>
              </w:rPr>
              <w:t>8</w:t>
            </w:r>
          </w:p>
        </w:tc>
        <w:tc>
          <w:tcPr>
            <w:tcW w:w="139" w:type="pct"/>
            <w:tcBorders>
              <w:top w:val="single" w:sz="4" w:space="0" w:color="auto"/>
              <w:left w:val="single" w:sz="4" w:space="0" w:color="auto"/>
              <w:bottom w:val="single" w:sz="4" w:space="0" w:color="auto"/>
              <w:right w:val="single" w:sz="4" w:space="0" w:color="auto"/>
            </w:tcBorders>
            <w:vAlign w:val="center"/>
            <w:hideMark/>
          </w:tcPr>
          <w:p w14:paraId="7FF31930" w14:textId="77777777" w:rsidR="002F590A" w:rsidRDefault="002F590A">
            <w:pPr>
              <w:jc w:val="center"/>
              <w:rPr>
                <w:bCs/>
                <w:sz w:val="12"/>
                <w:szCs w:val="12"/>
              </w:rPr>
            </w:pPr>
            <w:r>
              <w:rPr>
                <w:bCs/>
                <w:sz w:val="12"/>
                <w:szCs w:val="12"/>
              </w:rPr>
              <w:t>9</w:t>
            </w:r>
          </w:p>
        </w:tc>
        <w:tc>
          <w:tcPr>
            <w:tcW w:w="167" w:type="pct"/>
            <w:tcBorders>
              <w:top w:val="single" w:sz="4" w:space="0" w:color="auto"/>
              <w:left w:val="single" w:sz="4" w:space="0" w:color="auto"/>
              <w:bottom w:val="single" w:sz="4" w:space="0" w:color="auto"/>
              <w:right w:val="single" w:sz="4" w:space="0" w:color="auto"/>
            </w:tcBorders>
            <w:vAlign w:val="center"/>
            <w:hideMark/>
          </w:tcPr>
          <w:p w14:paraId="2C1A3C4D" w14:textId="77777777" w:rsidR="002F590A" w:rsidRDefault="002F590A">
            <w:pPr>
              <w:jc w:val="center"/>
              <w:rPr>
                <w:bCs/>
                <w:sz w:val="12"/>
                <w:szCs w:val="12"/>
              </w:rPr>
            </w:pPr>
            <w:r>
              <w:rPr>
                <w:bCs/>
                <w:sz w:val="12"/>
                <w:szCs w:val="12"/>
              </w:rPr>
              <w:t>10</w:t>
            </w:r>
          </w:p>
        </w:tc>
        <w:tc>
          <w:tcPr>
            <w:tcW w:w="216" w:type="pct"/>
            <w:tcBorders>
              <w:top w:val="single" w:sz="4" w:space="0" w:color="auto"/>
              <w:left w:val="single" w:sz="4" w:space="0" w:color="auto"/>
              <w:bottom w:val="single" w:sz="4" w:space="0" w:color="auto"/>
              <w:right w:val="single" w:sz="4" w:space="0" w:color="auto"/>
            </w:tcBorders>
            <w:vAlign w:val="center"/>
            <w:hideMark/>
          </w:tcPr>
          <w:p w14:paraId="0588252D" w14:textId="77777777" w:rsidR="002F590A" w:rsidRDefault="002F590A">
            <w:pPr>
              <w:jc w:val="center"/>
              <w:rPr>
                <w:bCs/>
                <w:sz w:val="12"/>
                <w:szCs w:val="12"/>
              </w:rPr>
            </w:pPr>
            <w:r>
              <w:rPr>
                <w:bCs/>
                <w:sz w:val="12"/>
                <w:szCs w:val="12"/>
              </w:rPr>
              <w:t>11</w:t>
            </w:r>
          </w:p>
        </w:tc>
        <w:tc>
          <w:tcPr>
            <w:tcW w:w="174" w:type="pct"/>
            <w:tcBorders>
              <w:top w:val="single" w:sz="4" w:space="0" w:color="auto"/>
              <w:left w:val="single" w:sz="4" w:space="0" w:color="auto"/>
              <w:bottom w:val="single" w:sz="4" w:space="0" w:color="auto"/>
              <w:right w:val="single" w:sz="4" w:space="0" w:color="auto"/>
            </w:tcBorders>
            <w:vAlign w:val="center"/>
            <w:hideMark/>
          </w:tcPr>
          <w:p w14:paraId="5306E299" w14:textId="77777777" w:rsidR="002F590A" w:rsidRDefault="002F590A">
            <w:pPr>
              <w:jc w:val="center"/>
              <w:rPr>
                <w:bCs/>
                <w:sz w:val="12"/>
                <w:szCs w:val="12"/>
              </w:rPr>
            </w:pPr>
            <w:r>
              <w:rPr>
                <w:bCs/>
                <w:sz w:val="12"/>
                <w:szCs w:val="12"/>
              </w:rPr>
              <w:t>12</w:t>
            </w:r>
          </w:p>
        </w:tc>
        <w:tc>
          <w:tcPr>
            <w:tcW w:w="174" w:type="pct"/>
            <w:tcBorders>
              <w:top w:val="single" w:sz="4" w:space="0" w:color="auto"/>
              <w:left w:val="single" w:sz="4" w:space="0" w:color="auto"/>
              <w:bottom w:val="single" w:sz="4" w:space="0" w:color="auto"/>
              <w:right w:val="single" w:sz="4" w:space="0" w:color="auto"/>
            </w:tcBorders>
            <w:vAlign w:val="center"/>
            <w:hideMark/>
          </w:tcPr>
          <w:p w14:paraId="4A2FEAB6" w14:textId="77777777" w:rsidR="002F590A" w:rsidRDefault="002F590A">
            <w:pPr>
              <w:jc w:val="center"/>
              <w:rPr>
                <w:bCs/>
                <w:sz w:val="12"/>
                <w:szCs w:val="12"/>
              </w:rPr>
            </w:pPr>
            <w:r>
              <w:rPr>
                <w:bCs/>
                <w:sz w:val="12"/>
                <w:szCs w:val="12"/>
              </w:rPr>
              <w:t>13</w:t>
            </w:r>
          </w:p>
        </w:tc>
        <w:tc>
          <w:tcPr>
            <w:tcW w:w="172" w:type="pct"/>
            <w:tcBorders>
              <w:top w:val="single" w:sz="4" w:space="0" w:color="auto"/>
              <w:left w:val="single" w:sz="4" w:space="0" w:color="auto"/>
              <w:bottom w:val="single" w:sz="4" w:space="0" w:color="auto"/>
              <w:right w:val="single" w:sz="4" w:space="0" w:color="auto"/>
            </w:tcBorders>
            <w:vAlign w:val="center"/>
            <w:hideMark/>
          </w:tcPr>
          <w:p w14:paraId="2B4C2DDF" w14:textId="77777777" w:rsidR="002F590A" w:rsidRDefault="002F590A">
            <w:pPr>
              <w:jc w:val="center"/>
              <w:rPr>
                <w:bCs/>
                <w:sz w:val="12"/>
                <w:szCs w:val="12"/>
              </w:rPr>
            </w:pPr>
            <w:r>
              <w:rPr>
                <w:bCs/>
                <w:sz w:val="12"/>
                <w:szCs w:val="12"/>
              </w:rPr>
              <w:t>14</w:t>
            </w:r>
          </w:p>
        </w:tc>
        <w:tc>
          <w:tcPr>
            <w:tcW w:w="174" w:type="pct"/>
            <w:tcBorders>
              <w:top w:val="single" w:sz="4" w:space="0" w:color="auto"/>
              <w:left w:val="single" w:sz="4" w:space="0" w:color="auto"/>
              <w:bottom w:val="single" w:sz="4" w:space="0" w:color="auto"/>
              <w:right w:val="single" w:sz="4" w:space="0" w:color="auto"/>
            </w:tcBorders>
            <w:vAlign w:val="center"/>
            <w:hideMark/>
          </w:tcPr>
          <w:p w14:paraId="2488911D" w14:textId="77777777" w:rsidR="002F590A" w:rsidRDefault="002F590A">
            <w:pPr>
              <w:jc w:val="center"/>
              <w:rPr>
                <w:bCs/>
                <w:sz w:val="12"/>
                <w:szCs w:val="12"/>
              </w:rPr>
            </w:pPr>
            <w:r>
              <w:rPr>
                <w:bCs/>
                <w:sz w:val="12"/>
                <w:szCs w:val="12"/>
              </w:rPr>
              <w:t>15</w:t>
            </w:r>
          </w:p>
        </w:tc>
        <w:tc>
          <w:tcPr>
            <w:tcW w:w="216" w:type="pct"/>
            <w:tcBorders>
              <w:top w:val="single" w:sz="4" w:space="0" w:color="auto"/>
              <w:left w:val="single" w:sz="4" w:space="0" w:color="auto"/>
              <w:bottom w:val="single" w:sz="4" w:space="0" w:color="auto"/>
              <w:right w:val="single" w:sz="4" w:space="0" w:color="auto"/>
            </w:tcBorders>
            <w:vAlign w:val="center"/>
            <w:hideMark/>
          </w:tcPr>
          <w:p w14:paraId="2633DBDB" w14:textId="77777777" w:rsidR="002F590A" w:rsidRDefault="002F590A">
            <w:pPr>
              <w:jc w:val="center"/>
              <w:rPr>
                <w:bCs/>
                <w:sz w:val="12"/>
                <w:szCs w:val="12"/>
              </w:rPr>
            </w:pPr>
            <w:r>
              <w:rPr>
                <w:bCs/>
                <w:sz w:val="12"/>
                <w:szCs w:val="12"/>
              </w:rPr>
              <w:t>16</w:t>
            </w:r>
          </w:p>
        </w:tc>
        <w:tc>
          <w:tcPr>
            <w:tcW w:w="174" w:type="pct"/>
            <w:tcBorders>
              <w:top w:val="single" w:sz="4" w:space="0" w:color="auto"/>
              <w:left w:val="single" w:sz="4" w:space="0" w:color="auto"/>
              <w:bottom w:val="single" w:sz="4" w:space="0" w:color="auto"/>
              <w:right w:val="single" w:sz="4" w:space="0" w:color="auto"/>
            </w:tcBorders>
            <w:vAlign w:val="center"/>
            <w:hideMark/>
          </w:tcPr>
          <w:p w14:paraId="2E861DA0" w14:textId="77777777" w:rsidR="002F590A" w:rsidRDefault="002F590A">
            <w:pPr>
              <w:jc w:val="center"/>
              <w:rPr>
                <w:bCs/>
                <w:sz w:val="12"/>
                <w:szCs w:val="12"/>
              </w:rPr>
            </w:pPr>
            <w:r>
              <w:rPr>
                <w:bCs/>
                <w:sz w:val="12"/>
                <w:szCs w:val="12"/>
              </w:rPr>
              <w:t>17</w:t>
            </w:r>
          </w:p>
        </w:tc>
        <w:tc>
          <w:tcPr>
            <w:tcW w:w="174" w:type="pct"/>
            <w:tcBorders>
              <w:top w:val="single" w:sz="4" w:space="0" w:color="auto"/>
              <w:left w:val="single" w:sz="4" w:space="0" w:color="auto"/>
              <w:bottom w:val="single" w:sz="4" w:space="0" w:color="auto"/>
              <w:right w:val="single" w:sz="4" w:space="0" w:color="auto"/>
            </w:tcBorders>
            <w:vAlign w:val="center"/>
            <w:hideMark/>
          </w:tcPr>
          <w:p w14:paraId="6A2B5E63" w14:textId="77777777" w:rsidR="002F590A" w:rsidRDefault="002F590A">
            <w:pPr>
              <w:jc w:val="center"/>
              <w:rPr>
                <w:bCs/>
                <w:sz w:val="12"/>
                <w:szCs w:val="12"/>
              </w:rPr>
            </w:pPr>
            <w:r>
              <w:rPr>
                <w:bCs/>
                <w:sz w:val="12"/>
                <w:szCs w:val="12"/>
              </w:rPr>
              <w:t>18</w:t>
            </w:r>
          </w:p>
        </w:tc>
        <w:tc>
          <w:tcPr>
            <w:tcW w:w="218" w:type="pct"/>
            <w:tcBorders>
              <w:top w:val="single" w:sz="4" w:space="0" w:color="auto"/>
              <w:left w:val="single" w:sz="4" w:space="0" w:color="auto"/>
              <w:bottom w:val="single" w:sz="4" w:space="0" w:color="auto"/>
              <w:right w:val="single" w:sz="4" w:space="0" w:color="auto"/>
            </w:tcBorders>
            <w:vAlign w:val="center"/>
            <w:hideMark/>
          </w:tcPr>
          <w:p w14:paraId="1CD0DEF3" w14:textId="77777777" w:rsidR="002F590A" w:rsidRDefault="002F590A">
            <w:pPr>
              <w:jc w:val="center"/>
              <w:rPr>
                <w:bCs/>
                <w:sz w:val="12"/>
                <w:szCs w:val="12"/>
              </w:rPr>
            </w:pPr>
            <w:r>
              <w:rPr>
                <w:bCs/>
                <w:sz w:val="12"/>
                <w:szCs w:val="12"/>
              </w:rPr>
              <w:t>19</w:t>
            </w:r>
          </w:p>
        </w:tc>
        <w:tc>
          <w:tcPr>
            <w:tcW w:w="174" w:type="pct"/>
            <w:tcBorders>
              <w:top w:val="single" w:sz="4" w:space="0" w:color="auto"/>
              <w:left w:val="single" w:sz="4" w:space="0" w:color="auto"/>
              <w:bottom w:val="single" w:sz="4" w:space="0" w:color="auto"/>
              <w:right w:val="single" w:sz="4" w:space="0" w:color="auto"/>
            </w:tcBorders>
            <w:vAlign w:val="center"/>
            <w:hideMark/>
          </w:tcPr>
          <w:p w14:paraId="1405C1BC" w14:textId="77777777" w:rsidR="002F590A" w:rsidRDefault="002F590A">
            <w:pPr>
              <w:jc w:val="center"/>
              <w:rPr>
                <w:bCs/>
                <w:sz w:val="12"/>
                <w:szCs w:val="12"/>
              </w:rPr>
            </w:pPr>
            <w:r>
              <w:rPr>
                <w:bCs/>
                <w:sz w:val="12"/>
                <w:szCs w:val="12"/>
              </w:rPr>
              <w:t>20</w:t>
            </w:r>
          </w:p>
        </w:tc>
        <w:tc>
          <w:tcPr>
            <w:tcW w:w="174" w:type="pct"/>
            <w:tcBorders>
              <w:top w:val="single" w:sz="4" w:space="0" w:color="auto"/>
              <w:left w:val="single" w:sz="4" w:space="0" w:color="auto"/>
              <w:bottom w:val="single" w:sz="4" w:space="0" w:color="auto"/>
              <w:right w:val="single" w:sz="4" w:space="0" w:color="auto"/>
            </w:tcBorders>
            <w:vAlign w:val="center"/>
            <w:hideMark/>
          </w:tcPr>
          <w:p w14:paraId="3BE5F847" w14:textId="77777777" w:rsidR="002F590A" w:rsidRDefault="002F590A">
            <w:pPr>
              <w:jc w:val="center"/>
              <w:rPr>
                <w:bCs/>
                <w:sz w:val="12"/>
                <w:szCs w:val="12"/>
              </w:rPr>
            </w:pPr>
            <w:r>
              <w:rPr>
                <w:bCs/>
                <w:sz w:val="12"/>
                <w:szCs w:val="12"/>
              </w:rPr>
              <w:t>21</w:t>
            </w:r>
          </w:p>
        </w:tc>
        <w:tc>
          <w:tcPr>
            <w:tcW w:w="175" w:type="pct"/>
            <w:tcBorders>
              <w:top w:val="single" w:sz="4" w:space="0" w:color="auto"/>
              <w:left w:val="single" w:sz="4" w:space="0" w:color="auto"/>
              <w:bottom w:val="single" w:sz="4" w:space="0" w:color="auto"/>
              <w:right w:val="single" w:sz="4" w:space="0" w:color="auto"/>
            </w:tcBorders>
            <w:vAlign w:val="center"/>
            <w:hideMark/>
          </w:tcPr>
          <w:p w14:paraId="0072915E" w14:textId="77777777" w:rsidR="002F590A" w:rsidRDefault="002F590A">
            <w:pPr>
              <w:jc w:val="center"/>
              <w:rPr>
                <w:bCs/>
                <w:sz w:val="12"/>
                <w:szCs w:val="12"/>
              </w:rPr>
            </w:pPr>
            <w:r>
              <w:rPr>
                <w:bCs/>
                <w:sz w:val="12"/>
                <w:szCs w:val="12"/>
              </w:rPr>
              <w:t>22</w:t>
            </w:r>
          </w:p>
        </w:tc>
        <w:tc>
          <w:tcPr>
            <w:tcW w:w="173" w:type="pct"/>
            <w:tcBorders>
              <w:top w:val="single" w:sz="4" w:space="0" w:color="auto"/>
              <w:left w:val="single" w:sz="4" w:space="0" w:color="auto"/>
              <w:bottom w:val="single" w:sz="4" w:space="0" w:color="auto"/>
              <w:right w:val="single" w:sz="4" w:space="0" w:color="auto"/>
            </w:tcBorders>
            <w:vAlign w:val="center"/>
            <w:hideMark/>
          </w:tcPr>
          <w:p w14:paraId="463F60E5" w14:textId="77777777" w:rsidR="002F590A" w:rsidRDefault="002F590A">
            <w:pPr>
              <w:jc w:val="center"/>
              <w:rPr>
                <w:bCs/>
                <w:sz w:val="12"/>
                <w:szCs w:val="12"/>
              </w:rPr>
            </w:pPr>
            <w:r>
              <w:rPr>
                <w:bCs/>
                <w:sz w:val="12"/>
                <w:szCs w:val="12"/>
              </w:rPr>
              <w:t>23</w:t>
            </w:r>
          </w:p>
        </w:tc>
        <w:tc>
          <w:tcPr>
            <w:tcW w:w="172" w:type="pct"/>
            <w:tcBorders>
              <w:top w:val="single" w:sz="4" w:space="0" w:color="auto"/>
              <w:left w:val="single" w:sz="4" w:space="0" w:color="auto"/>
              <w:bottom w:val="single" w:sz="4" w:space="0" w:color="auto"/>
              <w:right w:val="single" w:sz="4" w:space="0" w:color="auto"/>
            </w:tcBorders>
            <w:vAlign w:val="center"/>
            <w:hideMark/>
          </w:tcPr>
          <w:p w14:paraId="08750F4E" w14:textId="77777777" w:rsidR="002F590A" w:rsidRDefault="002F590A">
            <w:pPr>
              <w:jc w:val="center"/>
              <w:rPr>
                <w:bCs/>
                <w:sz w:val="12"/>
                <w:szCs w:val="12"/>
              </w:rPr>
            </w:pPr>
            <w:r>
              <w:rPr>
                <w:bCs/>
                <w:sz w:val="12"/>
                <w:szCs w:val="12"/>
              </w:rPr>
              <w:t>24</w:t>
            </w:r>
          </w:p>
        </w:tc>
      </w:tr>
      <w:tr w:rsidR="002F590A" w14:paraId="21751CFE" w14:textId="77777777" w:rsidTr="002F590A">
        <w:trPr>
          <w:trHeight w:val="897"/>
        </w:trPr>
        <w:tc>
          <w:tcPr>
            <w:tcW w:w="173" w:type="pct"/>
            <w:tcBorders>
              <w:top w:val="single" w:sz="4" w:space="0" w:color="auto"/>
              <w:left w:val="single" w:sz="4" w:space="0" w:color="auto"/>
              <w:bottom w:val="single" w:sz="4" w:space="0" w:color="auto"/>
              <w:right w:val="single" w:sz="4" w:space="0" w:color="auto"/>
            </w:tcBorders>
            <w:vAlign w:val="center"/>
            <w:hideMark/>
          </w:tcPr>
          <w:p w14:paraId="553C7E23" w14:textId="77777777" w:rsidR="002F590A" w:rsidRDefault="002F590A">
            <w:pPr>
              <w:jc w:val="center"/>
              <w:rPr>
                <w:sz w:val="12"/>
                <w:szCs w:val="12"/>
              </w:rPr>
            </w:pPr>
            <w:r>
              <w:rPr>
                <w:sz w:val="12"/>
                <w:szCs w:val="12"/>
              </w:rPr>
              <w:t>3.2.4.2</w:t>
            </w:r>
          </w:p>
        </w:tc>
        <w:tc>
          <w:tcPr>
            <w:tcW w:w="280" w:type="pct"/>
            <w:tcBorders>
              <w:top w:val="single" w:sz="4" w:space="0" w:color="auto"/>
              <w:left w:val="single" w:sz="4" w:space="0" w:color="auto"/>
              <w:bottom w:val="single" w:sz="4" w:space="0" w:color="auto"/>
              <w:right w:val="single" w:sz="4" w:space="0" w:color="auto"/>
            </w:tcBorders>
            <w:vAlign w:val="center"/>
            <w:hideMark/>
          </w:tcPr>
          <w:p w14:paraId="0CBFD797" w14:textId="77777777" w:rsidR="002F590A" w:rsidRDefault="002F590A">
            <w:pPr>
              <w:rPr>
                <w:color w:val="000000"/>
                <w:sz w:val="12"/>
                <w:szCs w:val="12"/>
              </w:rPr>
            </w:pPr>
            <w:r>
              <w:rPr>
                <w:color w:val="000000"/>
                <w:sz w:val="12"/>
                <w:szCs w:val="12"/>
              </w:rPr>
              <w:t>Реконструкция котла</w:t>
            </w:r>
          </w:p>
        </w:tc>
        <w:tc>
          <w:tcPr>
            <w:tcW w:w="313" w:type="pct"/>
            <w:tcBorders>
              <w:top w:val="single" w:sz="4" w:space="0" w:color="auto"/>
              <w:left w:val="single" w:sz="4" w:space="0" w:color="auto"/>
              <w:bottom w:val="single" w:sz="4" w:space="0" w:color="auto"/>
              <w:right w:val="single" w:sz="4" w:space="0" w:color="auto"/>
            </w:tcBorders>
            <w:vAlign w:val="center"/>
            <w:hideMark/>
          </w:tcPr>
          <w:p w14:paraId="36BE6B49" w14:textId="77777777" w:rsidR="002F590A" w:rsidRDefault="002F590A">
            <w:pPr>
              <w:jc w:val="center"/>
              <w:rPr>
                <w:sz w:val="12"/>
                <w:szCs w:val="12"/>
              </w:rPr>
            </w:pPr>
            <w:r>
              <w:rPr>
                <w:sz w:val="12"/>
                <w:szCs w:val="12"/>
              </w:rPr>
              <w:t>Повышение надежности (бесперебойности) услуг теплоснабжения, повышение энергетической эффективности</w:t>
            </w:r>
          </w:p>
        </w:tc>
        <w:tc>
          <w:tcPr>
            <w:tcW w:w="275" w:type="pct"/>
            <w:tcBorders>
              <w:top w:val="single" w:sz="4" w:space="0" w:color="auto"/>
              <w:left w:val="single" w:sz="4" w:space="0" w:color="auto"/>
              <w:bottom w:val="single" w:sz="4" w:space="0" w:color="auto"/>
              <w:right w:val="single" w:sz="4" w:space="0" w:color="auto"/>
            </w:tcBorders>
            <w:vAlign w:val="center"/>
            <w:hideMark/>
          </w:tcPr>
          <w:p w14:paraId="4226A889" w14:textId="77777777" w:rsidR="002F590A" w:rsidRDefault="002F590A">
            <w:pPr>
              <w:jc w:val="center"/>
              <w:rPr>
                <w:sz w:val="12"/>
                <w:szCs w:val="12"/>
              </w:rPr>
            </w:pPr>
            <w:r>
              <w:rPr>
                <w:sz w:val="12"/>
                <w:szCs w:val="12"/>
              </w:rPr>
              <w:t> </w:t>
            </w:r>
          </w:p>
        </w:tc>
        <w:tc>
          <w:tcPr>
            <w:tcW w:w="303" w:type="pct"/>
            <w:tcBorders>
              <w:top w:val="single" w:sz="4" w:space="0" w:color="auto"/>
              <w:left w:val="single" w:sz="4" w:space="0" w:color="auto"/>
              <w:bottom w:val="single" w:sz="4" w:space="0" w:color="auto"/>
              <w:right w:val="single" w:sz="4" w:space="0" w:color="auto"/>
            </w:tcBorders>
            <w:vAlign w:val="center"/>
            <w:hideMark/>
          </w:tcPr>
          <w:p w14:paraId="601C6184" w14:textId="77777777" w:rsidR="002F590A" w:rsidRDefault="002F590A">
            <w:pPr>
              <w:jc w:val="center"/>
              <w:rPr>
                <w:sz w:val="12"/>
                <w:szCs w:val="12"/>
              </w:rPr>
            </w:pPr>
            <w:r>
              <w:rPr>
                <w:color w:val="000000"/>
                <w:sz w:val="12"/>
                <w:szCs w:val="12"/>
              </w:rPr>
              <w:t>Технические характеристики</w:t>
            </w:r>
          </w:p>
        </w:tc>
        <w:tc>
          <w:tcPr>
            <w:tcW w:w="139" w:type="pct"/>
            <w:tcBorders>
              <w:top w:val="single" w:sz="4" w:space="0" w:color="auto"/>
              <w:left w:val="single" w:sz="4" w:space="0" w:color="auto"/>
              <w:bottom w:val="single" w:sz="4" w:space="0" w:color="auto"/>
              <w:right w:val="single" w:sz="4" w:space="0" w:color="auto"/>
            </w:tcBorders>
            <w:vAlign w:val="center"/>
          </w:tcPr>
          <w:p w14:paraId="3BD5E550" w14:textId="77777777" w:rsidR="002F590A" w:rsidRDefault="002F590A">
            <w:pPr>
              <w:jc w:val="center"/>
              <w:rPr>
                <w:sz w:val="12"/>
                <w:szCs w:val="12"/>
              </w:rPr>
            </w:pPr>
          </w:p>
        </w:tc>
        <w:tc>
          <w:tcPr>
            <w:tcW w:w="300" w:type="pct"/>
            <w:tcBorders>
              <w:top w:val="single" w:sz="4" w:space="0" w:color="auto"/>
              <w:left w:val="single" w:sz="4" w:space="0" w:color="auto"/>
              <w:bottom w:val="single" w:sz="4" w:space="0" w:color="auto"/>
              <w:right w:val="single" w:sz="4" w:space="0" w:color="auto"/>
            </w:tcBorders>
            <w:vAlign w:val="center"/>
            <w:hideMark/>
          </w:tcPr>
          <w:p w14:paraId="17CAF82B" w14:textId="77777777" w:rsidR="002F590A" w:rsidRDefault="002F590A">
            <w:pPr>
              <w:jc w:val="center"/>
              <w:rPr>
                <w:sz w:val="12"/>
                <w:szCs w:val="12"/>
              </w:rPr>
            </w:pPr>
            <w:r>
              <w:rPr>
                <w:sz w:val="12"/>
                <w:szCs w:val="12"/>
              </w:rPr>
              <w:t xml:space="preserve">Теплопроизводительность водогрейного котла (номинальная) -0,63 МВт; КПД котла - 66%; Вид топлива- каменный уголь </w:t>
            </w:r>
          </w:p>
        </w:tc>
        <w:tc>
          <w:tcPr>
            <w:tcW w:w="351" w:type="pct"/>
            <w:tcBorders>
              <w:top w:val="single" w:sz="4" w:space="0" w:color="auto"/>
              <w:left w:val="single" w:sz="4" w:space="0" w:color="auto"/>
              <w:bottom w:val="single" w:sz="4" w:space="0" w:color="auto"/>
              <w:right w:val="single" w:sz="4" w:space="0" w:color="auto"/>
            </w:tcBorders>
            <w:vAlign w:val="center"/>
          </w:tcPr>
          <w:p w14:paraId="609F55BF" w14:textId="77777777" w:rsidR="002F590A" w:rsidRDefault="002F590A">
            <w:pPr>
              <w:jc w:val="center"/>
              <w:rPr>
                <w:sz w:val="12"/>
                <w:szCs w:val="12"/>
              </w:rPr>
            </w:pPr>
            <w:r>
              <w:rPr>
                <w:sz w:val="12"/>
                <w:szCs w:val="12"/>
              </w:rPr>
              <w:t>Оборудование с техническими характеристиками не ниже существующего на объекте. Вид топлива- каменный уголь</w:t>
            </w:r>
          </w:p>
          <w:p w14:paraId="5BA96F34" w14:textId="77777777" w:rsidR="002F590A" w:rsidRDefault="002F590A">
            <w:pPr>
              <w:jc w:val="center"/>
              <w:rPr>
                <w:sz w:val="12"/>
                <w:szCs w:val="12"/>
              </w:rPr>
            </w:pPr>
          </w:p>
          <w:p w14:paraId="0E1C1089" w14:textId="77777777" w:rsidR="002F590A" w:rsidRDefault="002F590A">
            <w:pPr>
              <w:jc w:val="center"/>
              <w:rPr>
                <w:sz w:val="12"/>
                <w:szCs w:val="12"/>
              </w:rPr>
            </w:pPr>
            <w:r>
              <w:rPr>
                <w:sz w:val="12"/>
                <w:szCs w:val="12"/>
              </w:rPr>
              <w:t xml:space="preserve"> </w:t>
            </w:r>
          </w:p>
        </w:tc>
        <w:tc>
          <w:tcPr>
            <w:tcW w:w="139" w:type="pct"/>
            <w:tcBorders>
              <w:top w:val="single" w:sz="4" w:space="0" w:color="auto"/>
              <w:left w:val="single" w:sz="4" w:space="0" w:color="auto"/>
              <w:bottom w:val="single" w:sz="4" w:space="0" w:color="auto"/>
              <w:right w:val="single" w:sz="4" w:space="0" w:color="auto"/>
            </w:tcBorders>
            <w:vAlign w:val="center"/>
            <w:hideMark/>
          </w:tcPr>
          <w:p w14:paraId="65B307CC" w14:textId="77777777" w:rsidR="002F590A" w:rsidRDefault="002F590A">
            <w:pPr>
              <w:jc w:val="center"/>
              <w:rPr>
                <w:sz w:val="12"/>
                <w:szCs w:val="12"/>
              </w:rPr>
            </w:pPr>
            <w:r>
              <w:rPr>
                <w:sz w:val="12"/>
                <w:szCs w:val="12"/>
              </w:rPr>
              <w:t>2027</w:t>
            </w:r>
          </w:p>
        </w:tc>
        <w:tc>
          <w:tcPr>
            <w:tcW w:w="167" w:type="pct"/>
            <w:tcBorders>
              <w:top w:val="single" w:sz="4" w:space="0" w:color="auto"/>
              <w:left w:val="single" w:sz="4" w:space="0" w:color="auto"/>
              <w:bottom w:val="single" w:sz="4" w:space="0" w:color="auto"/>
              <w:right w:val="single" w:sz="4" w:space="0" w:color="auto"/>
            </w:tcBorders>
            <w:vAlign w:val="center"/>
            <w:hideMark/>
          </w:tcPr>
          <w:p w14:paraId="203F0783" w14:textId="77777777" w:rsidR="002F590A" w:rsidRDefault="002F590A">
            <w:pPr>
              <w:jc w:val="center"/>
              <w:rPr>
                <w:sz w:val="12"/>
                <w:szCs w:val="12"/>
              </w:rPr>
            </w:pPr>
            <w:r>
              <w:rPr>
                <w:sz w:val="12"/>
                <w:szCs w:val="12"/>
              </w:rPr>
              <w:t>2027</w:t>
            </w:r>
          </w:p>
        </w:tc>
        <w:tc>
          <w:tcPr>
            <w:tcW w:w="216" w:type="pct"/>
            <w:tcBorders>
              <w:top w:val="single" w:sz="4" w:space="0" w:color="auto"/>
              <w:left w:val="single" w:sz="4" w:space="0" w:color="auto"/>
              <w:bottom w:val="single" w:sz="4" w:space="0" w:color="auto"/>
              <w:right w:val="single" w:sz="4" w:space="0" w:color="auto"/>
            </w:tcBorders>
            <w:vAlign w:val="center"/>
            <w:hideMark/>
          </w:tcPr>
          <w:p w14:paraId="2D0FDD5F" w14:textId="77777777" w:rsidR="002F590A" w:rsidRDefault="002F590A">
            <w:pPr>
              <w:jc w:val="center"/>
              <w:rPr>
                <w:color w:val="000000"/>
                <w:sz w:val="12"/>
                <w:szCs w:val="12"/>
              </w:rPr>
            </w:pPr>
            <w:r>
              <w:rPr>
                <w:color w:val="000000"/>
                <w:sz w:val="12"/>
                <w:szCs w:val="12"/>
              </w:rPr>
              <w:t>2551,73</w:t>
            </w:r>
          </w:p>
        </w:tc>
        <w:tc>
          <w:tcPr>
            <w:tcW w:w="174" w:type="pct"/>
            <w:tcBorders>
              <w:top w:val="single" w:sz="4" w:space="0" w:color="auto"/>
              <w:left w:val="single" w:sz="4" w:space="0" w:color="auto"/>
              <w:bottom w:val="single" w:sz="4" w:space="0" w:color="auto"/>
              <w:right w:val="single" w:sz="4" w:space="0" w:color="auto"/>
            </w:tcBorders>
            <w:vAlign w:val="center"/>
            <w:hideMark/>
          </w:tcPr>
          <w:p w14:paraId="54AC4281" w14:textId="77777777" w:rsidR="002F590A" w:rsidRDefault="002F590A">
            <w:pPr>
              <w:jc w:val="center"/>
              <w:rPr>
                <w:color w:val="000000"/>
                <w:sz w:val="12"/>
                <w:szCs w:val="12"/>
              </w:rPr>
            </w:pPr>
            <w:r>
              <w:rPr>
                <w:color w:val="000000"/>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6F802328" w14:textId="77777777" w:rsidR="002F590A" w:rsidRDefault="002F590A">
            <w:pPr>
              <w:jc w:val="center"/>
              <w:rPr>
                <w:sz w:val="12"/>
                <w:szCs w:val="12"/>
              </w:rPr>
            </w:pPr>
            <w:r>
              <w:rPr>
                <w:sz w:val="12"/>
                <w:szCs w:val="12"/>
              </w:rPr>
              <w:t>0,00</w:t>
            </w:r>
          </w:p>
        </w:tc>
        <w:tc>
          <w:tcPr>
            <w:tcW w:w="172" w:type="pct"/>
            <w:tcBorders>
              <w:top w:val="single" w:sz="4" w:space="0" w:color="auto"/>
              <w:left w:val="single" w:sz="4" w:space="0" w:color="auto"/>
              <w:bottom w:val="single" w:sz="4" w:space="0" w:color="auto"/>
              <w:right w:val="single" w:sz="4" w:space="0" w:color="auto"/>
            </w:tcBorders>
            <w:vAlign w:val="center"/>
            <w:hideMark/>
          </w:tcPr>
          <w:p w14:paraId="21D19CA2"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0172CA4C" w14:textId="77777777" w:rsidR="002F590A" w:rsidRDefault="002F590A">
            <w:pPr>
              <w:jc w:val="center"/>
              <w:rPr>
                <w:sz w:val="12"/>
                <w:szCs w:val="12"/>
              </w:rPr>
            </w:pPr>
            <w:r>
              <w:rPr>
                <w:sz w:val="12"/>
                <w:szCs w:val="12"/>
              </w:rPr>
              <w:t>0,00</w:t>
            </w:r>
          </w:p>
        </w:tc>
        <w:tc>
          <w:tcPr>
            <w:tcW w:w="216" w:type="pct"/>
            <w:tcBorders>
              <w:top w:val="single" w:sz="4" w:space="0" w:color="auto"/>
              <w:left w:val="single" w:sz="4" w:space="0" w:color="auto"/>
              <w:bottom w:val="single" w:sz="4" w:space="0" w:color="auto"/>
              <w:right w:val="single" w:sz="4" w:space="0" w:color="auto"/>
            </w:tcBorders>
            <w:vAlign w:val="center"/>
            <w:hideMark/>
          </w:tcPr>
          <w:p w14:paraId="2BC7781D"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1E57B459"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25AE8812" w14:textId="77777777" w:rsidR="002F590A" w:rsidRDefault="002F590A">
            <w:pPr>
              <w:jc w:val="center"/>
              <w:rPr>
                <w:sz w:val="12"/>
                <w:szCs w:val="12"/>
              </w:rPr>
            </w:pPr>
            <w:r>
              <w:rPr>
                <w:sz w:val="12"/>
                <w:szCs w:val="12"/>
              </w:rPr>
              <w:t>2551,73</w:t>
            </w:r>
          </w:p>
        </w:tc>
        <w:tc>
          <w:tcPr>
            <w:tcW w:w="218" w:type="pct"/>
            <w:tcBorders>
              <w:top w:val="single" w:sz="4" w:space="0" w:color="auto"/>
              <w:left w:val="single" w:sz="4" w:space="0" w:color="auto"/>
              <w:bottom w:val="single" w:sz="4" w:space="0" w:color="auto"/>
              <w:right w:val="single" w:sz="4" w:space="0" w:color="auto"/>
            </w:tcBorders>
            <w:vAlign w:val="center"/>
            <w:hideMark/>
          </w:tcPr>
          <w:p w14:paraId="33A6F28B"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26B39215"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51F7E7B6" w14:textId="77777777" w:rsidR="002F590A" w:rsidRDefault="002F590A">
            <w:pPr>
              <w:jc w:val="center"/>
              <w:rPr>
                <w:sz w:val="12"/>
                <w:szCs w:val="12"/>
              </w:rPr>
            </w:pPr>
            <w:r>
              <w:rPr>
                <w:sz w:val="12"/>
                <w:szCs w:val="12"/>
              </w:rPr>
              <w:t>0,00</w:t>
            </w:r>
          </w:p>
        </w:tc>
        <w:tc>
          <w:tcPr>
            <w:tcW w:w="175" w:type="pct"/>
            <w:tcBorders>
              <w:top w:val="single" w:sz="4" w:space="0" w:color="auto"/>
              <w:left w:val="single" w:sz="4" w:space="0" w:color="auto"/>
              <w:bottom w:val="single" w:sz="4" w:space="0" w:color="auto"/>
              <w:right w:val="single" w:sz="4" w:space="0" w:color="auto"/>
            </w:tcBorders>
            <w:vAlign w:val="center"/>
            <w:hideMark/>
          </w:tcPr>
          <w:p w14:paraId="2E811C87"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2A303C50" w14:textId="77777777" w:rsidR="002F590A" w:rsidRDefault="002F590A">
            <w:pPr>
              <w:jc w:val="center"/>
              <w:rPr>
                <w:color w:val="000000"/>
                <w:sz w:val="12"/>
                <w:szCs w:val="12"/>
              </w:rPr>
            </w:pPr>
            <w:r>
              <w:rPr>
                <w:color w:val="000000"/>
                <w:sz w:val="12"/>
                <w:szCs w:val="12"/>
              </w:rPr>
              <w:t>0,00</w:t>
            </w:r>
          </w:p>
        </w:tc>
        <w:tc>
          <w:tcPr>
            <w:tcW w:w="172" w:type="pct"/>
            <w:tcBorders>
              <w:top w:val="single" w:sz="4" w:space="0" w:color="auto"/>
              <w:left w:val="single" w:sz="4" w:space="0" w:color="auto"/>
              <w:bottom w:val="single" w:sz="4" w:space="0" w:color="auto"/>
              <w:right w:val="single" w:sz="4" w:space="0" w:color="auto"/>
            </w:tcBorders>
            <w:vAlign w:val="center"/>
            <w:hideMark/>
          </w:tcPr>
          <w:p w14:paraId="178697AA" w14:textId="77777777" w:rsidR="002F590A" w:rsidRDefault="002F590A">
            <w:pPr>
              <w:jc w:val="center"/>
              <w:rPr>
                <w:color w:val="000000"/>
                <w:sz w:val="12"/>
                <w:szCs w:val="12"/>
              </w:rPr>
            </w:pPr>
            <w:r>
              <w:rPr>
                <w:color w:val="000000"/>
                <w:sz w:val="12"/>
                <w:szCs w:val="12"/>
              </w:rPr>
              <w:t>0,00</w:t>
            </w:r>
          </w:p>
        </w:tc>
      </w:tr>
      <w:tr w:rsidR="002F590A" w14:paraId="4204BD76" w14:textId="77777777" w:rsidTr="002F590A">
        <w:trPr>
          <w:trHeight w:val="897"/>
        </w:trPr>
        <w:tc>
          <w:tcPr>
            <w:tcW w:w="173" w:type="pct"/>
            <w:tcBorders>
              <w:top w:val="single" w:sz="4" w:space="0" w:color="auto"/>
              <w:left w:val="single" w:sz="4" w:space="0" w:color="auto"/>
              <w:bottom w:val="single" w:sz="4" w:space="0" w:color="auto"/>
              <w:right w:val="single" w:sz="4" w:space="0" w:color="auto"/>
            </w:tcBorders>
            <w:vAlign w:val="center"/>
            <w:hideMark/>
          </w:tcPr>
          <w:p w14:paraId="24E5F3A6" w14:textId="77777777" w:rsidR="002F590A" w:rsidRDefault="002F590A">
            <w:pPr>
              <w:jc w:val="center"/>
              <w:rPr>
                <w:sz w:val="12"/>
                <w:szCs w:val="12"/>
              </w:rPr>
            </w:pPr>
            <w:r>
              <w:rPr>
                <w:sz w:val="12"/>
                <w:szCs w:val="12"/>
              </w:rPr>
              <w:t>3.2.4.3</w:t>
            </w:r>
          </w:p>
        </w:tc>
        <w:tc>
          <w:tcPr>
            <w:tcW w:w="280" w:type="pct"/>
            <w:tcBorders>
              <w:top w:val="single" w:sz="4" w:space="0" w:color="auto"/>
              <w:left w:val="single" w:sz="4" w:space="0" w:color="auto"/>
              <w:bottom w:val="single" w:sz="4" w:space="0" w:color="auto"/>
              <w:right w:val="single" w:sz="4" w:space="0" w:color="auto"/>
            </w:tcBorders>
            <w:vAlign w:val="center"/>
            <w:hideMark/>
          </w:tcPr>
          <w:p w14:paraId="24C0E3B3" w14:textId="77777777" w:rsidR="002F590A" w:rsidRDefault="002F590A">
            <w:pPr>
              <w:rPr>
                <w:color w:val="000000"/>
                <w:sz w:val="12"/>
                <w:szCs w:val="12"/>
              </w:rPr>
            </w:pPr>
            <w:r>
              <w:rPr>
                <w:color w:val="000000"/>
                <w:sz w:val="12"/>
                <w:szCs w:val="12"/>
              </w:rPr>
              <w:t>Реконструкция котла</w:t>
            </w:r>
          </w:p>
        </w:tc>
        <w:tc>
          <w:tcPr>
            <w:tcW w:w="313" w:type="pct"/>
            <w:tcBorders>
              <w:top w:val="single" w:sz="4" w:space="0" w:color="auto"/>
              <w:left w:val="single" w:sz="4" w:space="0" w:color="auto"/>
              <w:bottom w:val="single" w:sz="4" w:space="0" w:color="auto"/>
              <w:right w:val="single" w:sz="4" w:space="0" w:color="auto"/>
            </w:tcBorders>
            <w:vAlign w:val="center"/>
            <w:hideMark/>
          </w:tcPr>
          <w:p w14:paraId="16EC0CF1" w14:textId="77777777" w:rsidR="002F590A" w:rsidRDefault="002F590A">
            <w:pPr>
              <w:jc w:val="center"/>
              <w:rPr>
                <w:sz w:val="12"/>
                <w:szCs w:val="12"/>
              </w:rPr>
            </w:pPr>
            <w:r>
              <w:rPr>
                <w:sz w:val="12"/>
                <w:szCs w:val="12"/>
              </w:rPr>
              <w:t>Повышение надежности (бесперебойности) услуг теплоснабжения, повышение энергетической эффективности</w:t>
            </w:r>
          </w:p>
        </w:tc>
        <w:tc>
          <w:tcPr>
            <w:tcW w:w="275" w:type="pct"/>
            <w:tcBorders>
              <w:top w:val="single" w:sz="4" w:space="0" w:color="auto"/>
              <w:left w:val="single" w:sz="4" w:space="0" w:color="auto"/>
              <w:bottom w:val="single" w:sz="4" w:space="0" w:color="auto"/>
              <w:right w:val="single" w:sz="4" w:space="0" w:color="auto"/>
            </w:tcBorders>
            <w:vAlign w:val="center"/>
            <w:hideMark/>
          </w:tcPr>
          <w:p w14:paraId="78B934E4" w14:textId="77777777" w:rsidR="002F590A" w:rsidRDefault="002F590A">
            <w:pPr>
              <w:jc w:val="center"/>
              <w:rPr>
                <w:sz w:val="12"/>
                <w:szCs w:val="12"/>
              </w:rPr>
            </w:pPr>
            <w:r>
              <w:rPr>
                <w:sz w:val="12"/>
                <w:szCs w:val="12"/>
              </w:rPr>
              <w:t> </w:t>
            </w:r>
          </w:p>
        </w:tc>
        <w:tc>
          <w:tcPr>
            <w:tcW w:w="303" w:type="pct"/>
            <w:tcBorders>
              <w:top w:val="single" w:sz="4" w:space="0" w:color="auto"/>
              <w:left w:val="single" w:sz="4" w:space="0" w:color="auto"/>
              <w:bottom w:val="single" w:sz="4" w:space="0" w:color="auto"/>
              <w:right w:val="single" w:sz="4" w:space="0" w:color="auto"/>
            </w:tcBorders>
            <w:vAlign w:val="center"/>
            <w:hideMark/>
          </w:tcPr>
          <w:p w14:paraId="742F09A2" w14:textId="77777777" w:rsidR="002F590A" w:rsidRDefault="002F590A">
            <w:pPr>
              <w:jc w:val="center"/>
              <w:rPr>
                <w:sz w:val="12"/>
                <w:szCs w:val="12"/>
              </w:rPr>
            </w:pPr>
            <w:r>
              <w:rPr>
                <w:color w:val="000000"/>
                <w:sz w:val="12"/>
                <w:szCs w:val="12"/>
              </w:rPr>
              <w:t>Технические характеристики</w:t>
            </w:r>
          </w:p>
        </w:tc>
        <w:tc>
          <w:tcPr>
            <w:tcW w:w="139" w:type="pct"/>
            <w:tcBorders>
              <w:top w:val="single" w:sz="4" w:space="0" w:color="auto"/>
              <w:left w:val="single" w:sz="4" w:space="0" w:color="auto"/>
              <w:bottom w:val="single" w:sz="4" w:space="0" w:color="auto"/>
              <w:right w:val="single" w:sz="4" w:space="0" w:color="auto"/>
            </w:tcBorders>
            <w:vAlign w:val="center"/>
          </w:tcPr>
          <w:p w14:paraId="4B9180F7" w14:textId="77777777" w:rsidR="002F590A" w:rsidRDefault="002F590A">
            <w:pPr>
              <w:jc w:val="center"/>
              <w:rPr>
                <w:sz w:val="12"/>
                <w:szCs w:val="12"/>
              </w:rPr>
            </w:pPr>
          </w:p>
        </w:tc>
        <w:tc>
          <w:tcPr>
            <w:tcW w:w="300" w:type="pct"/>
            <w:tcBorders>
              <w:top w:val="single" w:sz="4" w:space="0" w:color="auto"/>
              <w:left w:val="single" w:sz="4" w:space="0" w:color="auto"/>
              <w:bottom w:val="single" w:sz="4" w:space="0" w:color="auto"/>
              <w:right w:val="single" w:sz="4" w:space="0" w:color="auto"/>
            </w:tcBorders>
            <w:vAlign w:val="center"/>
            <w:hideMark/>
          </w:tcPr>
          <w:p w14:paraId="280D59FA" w14:textId="77777777" w:rsidR="002F590A" w:rsidRDefault="002F590A">
            <w:pPr>
              <w:jc w:val="center"/>
              <w:rPr>
                <w:sz w:val="12"/>
                <w:szCs w:val="12"/>
              </w:rPr>
            </w:pPr>
            <w:r>
              <w:rPr>
                <w:sz w:val="12"/>
                <w:szCs w:val="12"/>
              </w:rPr>
              <w:t xml:space="preserve">Теплопроизводительность водогрейного котла (номинальная) -0,63 МВт; КПД котла - 66%; Вид топлива- каменный уголь </w:t>
            </w:r>
          </w:p>
        </w:tc>
        <w:tc>
          <w:tcPr>
            <w:tcW w:w="351" w:type="pct"/>
            <w:tcBorders>
              <w:top w:val="single" w:sz="4" w:space="0" w:color="auto"/>
              <w:left w:val="single" w:sz="4" w:space="0" w:color="auto"/>
              <w:bottom w:val="single" w:sz="4" w:space="0" w:color="auto"/>
              <w:right w:val="single" w:sz="4" w:space="0" w:color="auto"/>
            </w:tcBorders>
            <w:vAlign w:val="center"/>
            <w:hideMark/>
          </w:tcPr>
          <w:p w14:paraId="234181EC" w14:textId="77777777" w:rsidR="002F590A" w:rsidRDefault="002F590A">
            <w:pPr>
              <w:jc w:val="center"/>
              <w:rPr>
                <w:sz w:val="12"/>
                <w:szCs w:val="12"/>
              </w:rPr>
            </w:pPr>
            <w:r>
              <w:rPr>
                <w:sz w:val="12"/>
                <w:szCs w:val="12"/>
              </w:rPr>
              <w:t>Оборудование с техническими характеристиками не ниже существующего на объекте. Вид топлива- каменный уголь</w:t>
            </w:r>
          </w:p>
          <w:p w14:paraId="2321F3C2" w14:textId="77777777" w:rsidR="002F590A" w:rsidRDefault="002F590A">
            <w:pPr>
              <w:jc w:val="center"/>
              <w:rPr>
                <w:sz w:val="12"/>
                <w:szCs w:val="12"/>
              </w:rPr>
            </w:pPr>
            <w:r>
              <w:rPr>
                <w:sz w:val="12"/>
                <w:szCs w:val="12"/>
              </w:rPr>
              <w:t xml:space="preserve"> </w:t>
            </w:r>
          </w:p>
        </w:tc>
        <w:tc>
          <w:tcPr>
            <w:tcW w:w="139" w:type="pct"/>
            <w:tcBorders>
              <w:top w:val="single" w:sz="4" w:space="0" w:color="auto"/>
              <w:left w:val="single" w:sz="4" w:space="0" w:color="auto"/>
              <w:bottom w:val="single" w:sz="4" w:space="0" w:color="auto"/>
              <w:right w:val="single" w:sz="4" w:space="0" w:color="auto"/>
            </w:tcBorders>
            <w:vAlign w:val="center"/>
            <w:hideMark/>
          </w:tcPr>
          <w:p w14:paraId="689115B7" w14:textId="77777777" w:rsidR="002F590A" w:rsidRDefault="002F590A">
            <w:pPr>
              <w:jc w:val="center"/>
              <w:rPr>
                <w:sz w:val="12"/>
                <w:szCs w:val="12"/>
              </w:rPr>
            </w:pPr>
            <w:r>
              <w:rPr>
                <w:sz w:val="12"/>
                <w:szCs w:val="12"/>
              </w:rPr>
              <w:t>2027</w:t>
            </w:r>
          </w:p>
        </w:tc>
        <w:tc>
          <w:tcPr>
            <w:tcW w:w="167" w:type="pct"/>
            <w:tcBorders>
              <w:top w:val="single" w:sz="4" w:space="0" w:color="auto"/>
              <w:left w:val="single" w:sz="4" w:space="0" w:color="auto"/>
              <w:bottom w:val="single" w:sz="4" w:space="0" w:color="auto"/>
              <w:right w:val="single" w:sz="4" w:space="0" w:color="auto"/>
            </w:tcBorders>
            <w:vAlign w:val="center"/>
            <w:hideMark/>
          </w:tcPr>
          <w:p w14:paraId="20FB0F2F" w14:textId="77777777" w:rsidR="002F590A" w:rsidRDefault="002F590A">
            <w:pPr>
              <w:jc w:val="center"/>
              <w:rPr>
                <w:sz w:val="12"/>
                <w:szCs w:val="12"/>
              </w:rPr>
            </w:pPr>
            <w:r>
              <w:rPr>
                <w:sz w:val="12"/>
                <w:szCs w:val="12"/>
              </w:rPr>
              <w:t>2027</w:t>
            </w:r>
          </w:p>
        </w:tc>
        <w:tc>
          <w:tcPr>
            <w:tcW w:w="216" w:type="pct"/>
            <w:tcBorders>
              <w:top w:val="single" w:sz="4" w:space="0" w:color="auto"/>
              <w:left w:val="single" w:sz="4" w:space="0" w:color="auto"/>
              <w:bottom w:val="single" w:sz="4" w:space="0" w:color="auto"/>
              <w:right w:val="single" w:sz="4" w:space="0" w:color="auto"/>
            </w:tcBorders>
            <w:vAlign w:val="center"/>
            <w:hideMark/>
          </w:tcPr>
          <w:p w14:paraId="5A8241A9" w14:textId="77777777" w:rsidR="002F590A" w:rsidRDefault="002F590A">
            <w:pPr>
              <w:jc w:val="center"/>
              <w:rPr>
                <w:color w:val="000000"/>
                <w:sz w:val="12"/>
                <w:szCs w:val="12"/>
              </w:rPr>
            </w:pPr>
            <w:r>
              <w:rPr>
                <w:color w:val="000000"/>
                <w:sz w:val="12"/>
                <w:szCs w:val="12"/>
              </w:rPr>
              <w:t>2496,73</w:t>
            </w:r>
          </w:p>
        </w:tc>
        <w:tc>
          <w:tcPr>
            <w:tcW w:w="174" w:type="pct"/>
            <w:tcBorders>
              <w:top w:val="single" w:sz="4" w:space="0" w:color="auto"/>
              <w:left w:val="single" w:sz="4" w:space="0" w:color="auto"/>
              <w:bottom w:val="single" w:sz="4" w:space="0" w:color="auto"/>
              <w:right w:val="single" w:sz="4" w:space="0" w:color="auto"/>
            </w:tcBorders>
            <w:vAlign w:val="center"/>
            <w:hideMark/>
          </w:tcPr>
          <w:p w14:paraId="521DC417" w14:textId="77777777" w:rsidR="002F590A" w:rsidRDefault="002F590A">
            <w:pPr>
              <w:jc w:val="center"/>
              <w:rPr>
                <w:color w:val="000000"/>
                <w:sz w:val="12"/>
                <w:szCs w:val="12"/>
              </w:rPr>
            </w:pPr>
            <w:r>
              <w:rPr>
                <w:color w:val="000000"/>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5AF87C12" w14:textId="77777777" w:rsidR="002F590A" w:rsidRDefault="002F590A">
            <w:pPr>
              <w:jc w:val="center"/>
              <w:rPr>
                <w:sz w:val="12"/>
                <w:szCs w:val="12"/>
              </w:rPr>
            </w:pPr>
            <w:r>
              <w:rPr>
                <w:sz w:val="12"/>
                <w:szCs w:val="12"/>
              </w:rPr>
              <w:t>0,00</w:t>
            </w:r>
          </w:p>
        </w:tc>
        <w:tc>
          <w:tcPr>
            <w:tcW w:w="172" w:type="pct"/>
            <w:tcBorders>
              <w:top w:val="single" w:sz="4" w:space="0" w:color="auto"/>
              <w:left w:val="single" w:sz="4" w:space="0" w:color="auto"/>
              <w:bottom w:val="single" w:sz="4" w:space="0" w:color="auto"/>
              <w:right w:val="single" w:sz="4" w:space="0" w:color="auto"/>
            </w:tcBorders>
            <w:vAlign w:val="center"/>
            <w:hideMark/>
          </w:tcPr>
          <w:p w14:paraId="09BCB6F4"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27C35E26" w14:textId="77777777" w:rsidR="002F590A" w:rsidRDefault="002F590A">
            <w:pPr>
              <w:jc w:val="center"/>
              <w:rPr>
                <w:sz w:val="12"/>
                <w:szCs w:val="12"/>
              </w:rPr>
            </w:pPr>
            <w:r>
              <w:rPr>
                <w:sz w:val="12"/>
                <w:szCs w:val="12"/>
              </w:rPr>
              <w:t>0,00</w:t>
            </w:r>
          </w:p>
        </w:tc>
        <w:tc>
          <w:tcPr>
            <w:tcW w:w="216" w:type="pct"/>
            <w:tcBorders>
              <w:top w:val="single" w:sz="4" w:space="0" w:color="auto"/>
              <w:left w:val="single" w:sz="4" w:space="0" w:color="auto"/>
              <w:bottom w:val="single" w:sz="4" w:space="0" w:color="auto"/>
              <w:right w:val="single" w:sz="4" w:space="0" w:color="auto"/>
            </w:tcBorders>
            <w:vAlign w:val="center"/>
            <w:hideMark/>
          </w:tcPr>
          <w:p w14:paraId="0CFF916E"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437AD039"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5992FB70" w14:textId="77777777" w:rsidR="002F590A" w:rsidRDefault="002F590A">
            <w:pPr>
              <w:jc w:val="center"/>
              <w:rPr>
                <w:sz w:val="12"/>
                <w:szCs w:val="12"/>
              </w:rPr>
            </w:pPr>
            <w:r>
              <w:rPr>
                <w:sz w:val="12"/>
                <w:szCs w:val="12"/>
              </w:rPr>
              <w:t>2496,73</w:t>
            </w:r>
          </w:p>
        </w:tc>
        <w:tc>
          <w:tcPr>
            <w:tcW w:w="218" w:type="pct"/>
            <w:tcBorders>
              <w:top w:val="single" w:sz="4" w:space="0" w:color="auto"/>
              <w:left w:val="single" w:sz="4" w:space="0" w:color="auto"/>
              <w:bottom w:val="single" w:sz="4" w:space="0" w:color="auto"/>
              <w:right w:val="single" w:sz="4" w:space="0" w:color="auto"/>
            </w:tcBorders>
            <w:vAlign w:val="center"/>
            <w:hideMark/>
          </w:tcPr>
          <w:p w14:paraId="76C4E4A1"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7A83F8BC"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33EA3511" w14:textId="77777777" w:rsidR="002F590A" w:rsidRDefault="002F590A">
            <w:pPr>
              <w:jc w:val="center"/>
              <w:rPr>
                <w:sz w:val="12"/>
                <w:szCs w:val="12"/>
              </w:rPr>
            </w:pPr>
            <w:r>
              <w:rPr>
                <w:sz w:val="12"/>
                <w:szCs w:val="12"/>
              </w:rPr>
              <w:t>0,00</w:t>
            </w:r>
          </w:p>
        </w:tc>
        <w:tc>
          <w:tcPr>
            <w:tcW w:w="175" w:type="pct"/>
            <w:tcBorders>
              <w:top w:val="single" w:sz="4" w:space="0" w:color="auto"/>
              <w:left w:val="single" w:sz="4" w:space="0" w:color="auto"/>
              <w:bottom w:val="single" w:sz="4" w:space="0" w:color="auto"/>
              <w:right w:val="single" w:sz="4" w:space="0" w:color="auto"/>
            </w:tcBorders>
            <w:vAlign w:val="center"/>
            <w:hideMark/>
          </w:tcPr>
          <w:p w14:paraId="3B028EE3"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6C307FC4" w14:textId="77777777" w:rsidR="002F590A" w:rsidRDefault="002F590A">
            <w:pPr>
              <w:jc w:val="center"/>
              <w:rPr>
                <w:color w:val="000000"/>
                <w:sz w:val="12"/>
                <w:szCs w:val="12"/>
              </w:rPr>
            </w:pPr>
            <w:r>
              <w:rPr>
                <w:color w:val="000000"/>
                <w:sz w:val="12"/>
                <w:szCs w:val="12"/>
              </w:rPr>
              <w:t>0,00</w:t>
            </w:r>
          </w:p>
        </w:tc>
        <w:tc>
          <w:tcPr>
            <w:tcW w:w="172" w:type="pct"/>
            <w:tcBorders>
              <w:top w:val="single" w:sz="4" w:space="0" w:color="auto"/>
              <w:left w:val="single" w:sz="4" w:space="0" w:color="auto"/>
              <w:bottom w:val="single" w:sz="4" w:space="0" w:color="auto"/>
              <w:right w:val="single" w:sz="4" w:space="0" w:color="auto"/>
            </w:tcBorders>
            <w:vAlign w:val="center"/>
            <w:hideMark/>
          </w:tcPr>
          <w:p w14:paraId="1BA27239" w14:textId="77777777" w:rsidR="002F590A" w:rsidRDefault="002F590A">
            <w:pPr>
              <w:jc w:val="center"/>
              <w:rPr>
                <w:color w:val="000000"/>
                <w:sz w:val="12"/>
                <w:szCs w:val="12"/>
              </w:rPr>
            </w:pPr>
            <w:r>
              <w:rPr>
                <w:color w:val="000000"/>
                <w:sz w:val="12"/>
                <w:szCs w:val="12"/>
              </w:rPr>
              <w:t>0,00</w:t>
            </w:r>
          </w:p>
        </w:tc>
      </w:tr>
      <w:tr w:rsidR="002F590A" w14:paraId="44E8B673" w14:textId="77777777" w:rsidTr="002F590A">
        <w:trPr>
          <w:trHeight w:val="897"/>
        </w:trPr>
        <w:tc>
          <w:tcPr>
            <w:tcW w:w="173" w:type="pct"/>
            <w:tcBorders>
              <w:top w:val="single" w:sz="4" w:space="0" w:color="auto"/>
              <w:left w:val="single" w:sz="4" w:space="0" w:color="auto"/>
              <w:bottom w:val="single" w:sz="4" w:space="0" w:color="auto"/>
              <w:right w:val="single" w:sz="4" w:space="0" w:color="auto"/>
            </w:tcBorders>
            <w:vAlign w:val="center"/>
            <w:hideMark/>
          </w:tcPr>
          <w:p w14:paraId="4AE54004" w14:textId="77777777" w:rsidR="002F590A" w:rsidRDefault="002F590A">
            <w:pPr>
              <w:jc w:val="center"/>
              <w:rPr>
                <w:bCs/>
                <w:sz w:val="12"/>
                <w:szCs w:val="12"/>
              </w:rPr>
            </w:pPr>
            <w:r>
              <w:rPr>
                <w:bCs/>
                <w:sz w:val="12"/>
                <w:szCs w:val="12"/>
              </w:rPr>
              <w:t xml:space="preserve">3.2.5. </w:t>
            </w:r>
          </w:p>
        </w:tc>
        <w:tc>
          <w:tcPr>
            <w:tcW w:w="280" w:type="pct"/>
            <w:tcBorders>
              <w:top w:val="single" w:sz="4" w:space="0" w:color="auto"/>
              <w:left w:val="single" w:sz="4" w:space="0" w:color="auto"/>
              <w:bottom w:val="single" w:sz="4" w:space="0" w:color="auto"/>
              <w:right w:val="single" w:sz="4" w:space="0" w:color="auto"/>
            </w:tcBorders>
            <w:vAlign w:val="center"/>
            <w:hideMark/>
          </w:tcPr>
          <w:p w14:paraId="57D5C5B9" w14:textId="77777777" w:rsidR="002F590A" w:rsidRDefault="002F590A">
            <w:pPr>
              <w:rPr>
                <w:bCs/>
                <w:color w:val="000000"/>
                <w:sz w:val="12"/>
                <w:szCs w:val="12"/>
              </w:rPr>
            </w:pPr>
            <w:r>
              <w:rPr>
                <w:bCs/>
                <w:color w:val="000000"/>
                <w:sz w:val="12"/>
                <w:szCs w:val="12"/>
              </w:rPr>
              <w:t>Реконструкция котельной №31</w:t>
            </w:r>
          </w:p>
        </w:tc>
        <w:tc>
          <w:tcPr>
            <w:tcW w:w="313" w:type="pct"/>
            <w:tcBorders>
              <w:top w:val="single" w:sz="4" w:space="0" w:color="auto"/>
              <w:left w:val="single" w:sz="4" w:space="0" w:color="auto"/>
              <w:bottom w:val="single" w:sz="4" w:space="0" w:color="auto"/>
              <w:right w:val="single" w:sz="4" w:space="0" w:color="auto"/>
            </w:tcBorders>
            <w:vAlign w:val="center"/>
          </w:tcPr>
          <w:p w14:paraId="3F0F361B" w14:textId="77777777" w:rsidR="002F590A" w:rsidRDefault="002F590A">
            <w:pPr>
              <w:jc w:val="center"/>
              <w:rPr>
                <w:sz w:val="12"/>
                <w:szCs w:val="12"/>
              </w:rPr>
            </w:pPr>
          </w:p>
        </w:tc>
        <w:tc>
          <w:tcPr>
            <w:tcW w:w="275" w:type="pct"/>
            <w:tcBorders>
              <w:top w:val="single" w:sz="4" w:space="0" w:color="auto"/>
              <w:left w:val="single" w:sz="4" w:space="0" w:color="auto"/>
              <w:bottom w:val="single" w:sz="4" w:space="0" w:color="auto"/>
              <w:right w:val="single" w:sz="4" w:space="0" w:color="auto"/>
            </w:tcBorders>
            <w:vAlign w:val="center"/>
            <w:hideMark/>
          </w:tcPr>
          <w:p w14:paraId="459B72DD" w14:textId="77777777" w:rsidR="002F590A" w:rsidRDefault="002F590A">
            <w:pPr>
              <w:jc w:val="center"/>
              <w:rPr>
                <w:bCs/>
                <w:sz w:val="12"/>
                <w:szCs w:val="12"/>
              </w:rPr>
            </w:pPr>
            <w:r>
              <w:rPr>
                <w:bCs/>
                <w:sz w:val="12"/>
                <w:szCs w:val="12"/>
              </w:rPr>
              <w:t>Кемеровский городской округ, Рудничный район, ул. Вахрушева, 4а</w:t>
            </w:r>
          </w:p>
        </w:tc>
        <w:tc>
          <w:tcPr>
            <w:tcW w:w="303" w:type="pct"/>
            <w:tcBorders>
              <w:top w:val="single" w:sz="4" w:space="0" w:color="auto"/>
              <w:left w:val="single" w:sz="4" w:space="0" w:color="auto"/>
              <w:bottom w:val="single" w:sz="4" w:space="0" w:color="auto"/>
              <w:right w:val="single" w:sz="4" w:space="0" w:color="auto"/>
            </w:tcBorders>
            <w:vAlign w:val="center"/>
            <w:hideMark/>
          </w:tcPr>
          <w:p w14:paraId="779265F1" w14:textId="77777777" w:rsidR="002F590A" w:rsidRDefault="002F590A">
            <w:pPr>
              <w:jc w:val="center"/>
              <w:rPr>
                <w:sz w:val="12"/>
                <w:szCs w:val="12"/>
              </w:rPr>
            </w:pPr>
            <w:r>
              <w:rPr>
                <w:color w:val="000000"/>
                <w:sz w:val="12"/>
                <w:szCs w:val="12"/>
              </w:rPr>
              <w:t>Технические характеристики</w:t>
            </w:r>
          </w:p>
        </w:tc>
        <w:tc>
          <w:tcPr>
            <w:tcW w:w="139" w:type="pct"/>
            <w:tcBorders>
              <w:top w:val="single" w:sz="4" w:space="0" w:color="auto"/>
              <w:left w:val="single" w:sz="4" w:space="0" w:color="auto"/>
              <w:bottom w:val="single" w:sz="4" w:space="0" w:color="auto"/>
              <w:right w:val="single" w:sz="4" w:space="0" w:color="auto"/>
            </w:tcBorders>
            <w:vAlign w:val="center"/>
          </w:tcPr>
          <w:p w14:paraId="465DD0B3" w14:textId="77777777" w:rsidR="002F590A" w:rsidRDefault="002F590A">
            <w:pPr>
              <w:jc w:val="center"/>
              <w:rPr>
                <w:sz w:val="12"/>
                <w:szCs w:val="12"/>
              </w:rPr>
            </w:pPr>
          </w:p>
        </w:tc>
        <w:tc>
          <w:tcPr>
            <w:tcW w:w="300" w:type="pct"/>
            <w:tcBorders>
              <w:top w:val="single" w:sz="4" w:space="0" w:color="auto"/>
              <w:left w:val="single" w:sz="4" w:space="0" w:color="auto"/>
              <w:bottom w:val="single" w:sz="4" w:space="0" w:color="auto"/>
              <w:right w:val="single" w:sz="4" w:space="0" w:color="auto"/>
            </w:tcBorders>
            <w:vAlign w:val="center"/>
            <w:hideMark/>
          </w:tcPr>
          <w:p w14:paraId="181C5080" w14:textId="77777777" w:rsidR="002F590A" w:rsidRDefault="002F590A">
            <w:pPr>
              <w:jc w:val="center"/>
              <w:rPr>
                <w:sz w:val="12"/>
                <w:szCs w:val="12"/>
              </w:rPr>
            </w:pPr>
            <w:r>
              <w:rPr>
                <w:sz w:val="12"/>
                <w:szCs w:val="12"/>
              </w:rPr>
              <w:t> </w:t>
            </w:r>
          </w:p>
        </w:tc>
        <w:tc>
          <w:tcPr>
            <w:tcW w:w="351" w:type="pct"/>
            <w:tcBorders>
              <w:top w:val="single" w:sz="4" w:space="0" w:color="auto"/>
              <w:left w:val="single" w:sz="4" w:space="0" w:color="auto"/>
              <w:bottom w:val="single" w:sz="4" w:space="0" w:color="auto"/>
              <w:right w:val="single" w:sz="4" w:space="0" w:color="auto"/>
            </w:tcBorders>
            <w:vAlign w:val="center"/>
            <w:hideMark/>
          </w:tcPr>
          <w:p w14:paraId="11490071" w14:textId="77777777" w:rsidR="002F590A" w:rsidRDefault="002F590A">
            <w:pPr>
              <w:jc w:val="center"/>
              <w:rPr>
                <w:sz w:val="12"/>
                <w:szCs w:val="12"/>
              </w:rPr>
            </w:pPr>
            <w:r>
              <w:rPr>
                <w:sz w:val="12"/>
                <w:szCs w:val="12"/>
              </w:rPr>
              <w:t> </w:t>
            </w:r>
          </w:p>
        </w:tc>
        <w:tc>
          <w:tcPr>
            <w:tcW w:w="139" w:type="pct"/>
            <w:tcBorders>
              <w:top w:val="single" w:sz="4" w:space="0" w:color="auto"/>
              <w:left w:val="single" w:sz="4" w:space="0" w:color="auto"/>
              <w:bottom w:val="single" w:sz="4" w:space="0" w:color="auto"/>
              <w:right w:val="single" w:sz="4" w:space="0" w:color="auto"/>
            </w:tcBorders>
            <w:vAlign w:val="center"/>
          </w:tcPr>
          <w:p w14:paraId="38A29C88" w14:textId="77777777" w:rsidR="002F590A" w:rsidRDefault="002F590A">
            <w:pPr>
              <w:jc w:val="center"/>
              <w:rPr>
                <w:sz w:val="12"/>
                <w:szCs w:val="12"/>
              </w:rPr>
            </w:pPr>
          </w:p>
        </w:tc>
        <w:tc>
          <w:tcPr>
            <w:tcW w:w="167" w:type="pct"/>
            <w:tcBorders>
              <w:top w:val="single" w:sz="4" w:space="0" w:color="auto"/>
              <w:left w:val="single" w:sz="4" w:space="0" w:color="auto"/>
              <w:bottom w:val="single" w:sz="4" w:space="0" w:color="auto"/>
              <w:right w:val="single" w:sz="4" w:space="0" w:color="auto"/>
            </w:tcBorders>
            <w:vAlign w:val="center"/>
          </w:tcPr>
          <w:p w14:paraId="515BF10F" w14:textId="77777777" w:rsidR="002F590A" w:rsidRDefault="002F590A">
            <w:pPr>
              <w:jc w:val="center"/>
              <w:rPr>
                <w:sz w:val="12"/>
                <w:szCs w:val="12"/>
              </w:rPr>
            </w:pPr>
          </w:p>
        </w:tc>
        <w:tc>
          <w:tcPr>
            <w:tcW w:w="216" w:type="pct"/>
            <w:tcBorders>
              <w:top w:val="single" w:sz="4" w:space="0" w:color="auto"/>
              <w:left w:val="single" w:sz="4" w:space="0" w:color="auto"/>
              <w:bottom w:val="single" w:sz="4" w:space="0" w:color="auto"/>
              <w:right w:val="single" w:sz="4" w:space="0" w:color="auto"/>
            </w:tcBorders>
            <w:vAlign w:val="center"/>
          </w:tcPr>
          <w:p w14:paraId="4F3BBC9E" w14:textId="77777777" w:rsidR="002F590A" w:rsidRDefault="002F590A">
            <w:pPr>
              <w:jc w:val="center"/>
              <w:rPr>
                <w:color w:val="000000"/>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41BFD004" w14:textId="77777777" w:rsidR="002F590A" w:rsidRDefault="002F590A">
            <w:pPr>
              <w:jc w:val="center"/>
              <w:rPr>
                <w:color w:val="000000"/>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769C0264" w14:textId="77777777" w:rsidR="002F590A" w:rsidRDefault="002F590A">
            <w:pPr>
              <w:jc w:val="center"/>
              <w:rPr>
                <w:sz w:val="12"/>
                <w:szCs w:val="12"/>
              </w:rPr>
            </w:pPr>
          </w:p>
        </w:tc>
        <w:tc>
          <w:tcPr>
            <w:tcW w:w="172" w:type="pct"/>
            <w:tcBorders>
              <w:top w:val="single" w:sz="4" w:space="0" w:color="auto"/>
              <w:left w:val="single" w:sz="4" w:space="0" w:color="auto"/>
              <w:bottom w:val="single" w:sz="4" w:space="0" w:color="auto"/>
              <w:right w:val="single" w:sz="4" w:space="0" w:color="auto"/>
            </w:tcBorders>
            <w:vAlign w:val="center"/>
          </w:tcPr>
          <w:p w14:paraId="5A14A778" w14:textId="77777777" w:rsidR="002F590A" w:rsidRDefault="002F590A">
            <w:pPr>
              <w:jc w:val="center"/>
              <w:rPr>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65698B38" w14:textId="77777777" w:rsidR="002F590A" w:rsidRDefault="002F590A">
            <w:pPr>
              <w:jc w:val="center"/>
              <w:rPr>
                <w:sz w:val="12"/>
                <w:szCs w:val="12"/>
              </w:rPr>
            </w:pPr>
          </w:p>
        </w:tc>
        <w:tc>
          <w:tcPr>
            <w:tcW w:w="216" w:type="pct"/>
            <w:tcBorders>
              <w:top w:val="single" w:sz="4" w:space="0" w:color="auto"/>
              <w:left w:val="single" w:sz="4" w:space="0" w:color="auto"/>
              <w:bottom w:val="single" w:sz="4" w:space="0" w:color="auto"/>
              <w:right w:val="single" w:sz="4" w:space="0" w:color="auto"/>
            </w:tcBorders>
            <w:vAlign w:val="center"/>
          </w:tcPr>
          <w:p w14:paraId="1D0EE160" w14:textId="77777777" w:rsidR="002F590A" w:rsidRDefault="002F590A">
            <w:pPr>
              <w:jc w:val="center"/>
              <w:rPr>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5EE8E748" w14:textId="77777777" w:rsidR="002F590A" w:rsidRDefault="002F590A">
            <w:pPr>
              <w:jc w:val="center"/>
              <w:rPr>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27FD92F8" w14:textId="77777777" w:rsidR="002F590A" w:rsidRDefault="002F590A">
            <w:pPr>
              <w:jc w:val="center"/>
              <w:rPr>
                <w:sz w:val="12"/>
                <w:szCs w:val="12"/>
              </w:rPr>
            </w:pPr>
          </w:p>
        </w:tc>
        <w:tc>
          <w:tcPr>
            <w:tcW w:w="218" w:type="pct"/>
            <w:tcBorders>
              <w:top w:val="single" w:sz="4" w:space="0" w:color="auto"/>
              <w:left w:val="single" w:sz="4" w:space="0" w:color="auto"/>
              <w:bottom w:val="single" w:sz="4" w:space="0" w:color="auto"/>
              <w:right w:val="single" w:sz="4" w:space="0" w:color="auto"/>
            </w:tcBorders>
            <w:vAlign w:val="center"/>
          </w:tcPr>
          <w:p w14:paraId="45FBF774" w14:textId="77777777" w:rsidR="002F590A" w:rsidRDefault="002F590A">
            <w:pPr>
              <w:jc w:val="center"/>
              <w:rPr>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6E51024B" w14:textId="77777777" w:rsidR="002F590A" w:rsidRDefault="002F590A">
            <w:pPr>
              <w:jc w:val="center"/>
              <w:rPr>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34D1D954" w14:textId="77777777" w:rsidR="002F590A" w:rsidRDefault="002F590A">
            <w:pPr>
              <w:jc w:val="center"/>
              <w:rPr>
                <w:sz w:val="12"/>
                <w:szCs w:val="12"/>
              </w:rPr>
            </w:pPr>
          </w:p>
        </w:tc>
        <w:tc>
          <w:tcPr>
            <w:tcW w:w="175" w:type="pct"/>
            <w:tcBorders>
              <w:top w:val="single" w:sz="4" w:space="0" w:color="auto"/>
              <w:left w:val="single" w:sz="4" w:space="0" w:color="auto"/>
              <w:bottom w:val="single" w:sz="4" w:space="0" w:color="auto"/>
              <w:right w:val="single" w:sz="4" w:space="0" w:color="auto"/>
            </w:tcBorders>
            <w:vAlign w:val="center"/>
          </w:tcPr>
          <w:p w14:paraId="718B3C83" w14:textId="77777777" w:rsidR="002F590A" w:rsidRDefault="002F590A">
            <w:pPr>
              <w:jc w:val="center"/>
              <w:rPr>
                <w:sz w:val="12"/>
                <w:szCs w:val="12"/>
              </w:rPr>
            </w:pPr>
          </w:p>
        </w:tc>
        <w:tc>
          <w:tcPr>
            <w:tcW w:w="173" w:type="pct"/>
            <w:tcBorders>
              <w:top w:val="single" w:sz="4" w:space="0" w:color="auto"/>
              <w:left w:val="single" w:sz="4" w:space="0" w:color="auto"/>
              <w:bottom w:val="single" w:sz="4" w:space="0" w:color="auto"/>
              <w:right w:val="single" w:sz="4" w:space="0" w:color="auto"/>
            </w:tcBorders>
            <w:vAlign w:val="center"/>
          </w:tcPr>
          <w:p w14:paraId="059D54FF" w14:textId="77777777" w:rsidR="002F590A" w:rsidRDefault="002F590A">
            <w:pPr>
              <w:jc w:val="center"/>
              <w:rPr>
                <w:color w:val="000000"/>
                <w:sz w:val="12"/>
                <w:szCs w:val="12"/>
              </w:rPr>
            </w:pPr>
          </w:p>
        </w:tc>
        <w:tc>
          <w:tcPr>
            <w:tcW w:w="172" w:type="pct"/>
            <w:tcBorders>
              <w:top w:val="single" w:sz="4" w:space="0" w:color="auto"/>
              <w:left w:val="single" w:sz="4" w:space="0" w:color="auto"/>
              <w:bottom w:val="single" w:sz="4" w:space="0" w:color="auto"/>
              <w:right w:val="single" w:sz="4" w:space="0" w:color="auto"/>
            </w:tcBorders>
            <w:vAlign w:val="center"/>
          </w:tcPr>
          <w:p w14:paraId="7FD26139" w14:textId="77777777" w:rsidR="002F590A" w:rsidRDefault="002F590A">
            <w:pPr>
              <w:jc w:val="center"/>
              <w:rPr>
                <w:color w:val="000000"/>
                <w:sz w:val="12"/>
                <w:szCs w:val="12"/>
              </w:rPr>
            </w:pPr>
          </w:p>
        </w:tc>
      </w:tr>
      <w:tr w:rsidR="002F590A" w14:paraId="5B1958AA" w14:textId="77777777" w:rsidTr="002F590A">
        <w:trPr>
          <w:trHeight w:val="1866"/>
        </w:trPr>
        <w:tc>
          <w:tcPr>
            <w:tcW w:w="173" w:type="pct"/>
            <w:tcBorders>
              <w:top w:val="single" w:sz="4" w:space="0" w:color="auto"/>
              <w:left w:val="single" w:sz="4" w:space="0" w:color="auto"/>
              <w:bottom w:val="single" w:sz="4" w:space="0" w:color="auto"/>
              <w:right w:val="single" w:sz="4" w:space="0" w:color="auto"/>
            </w:tcBorders>
            <w:vAlign w:val="center"/>
            <w:hideMark/>
          </w:tcPr>
          <w:p w14:paraId="2EAC459A" w14:textId="77777777" w:rsidR="002F590A" w:rsidRDefault="002F590A">
            <w:pPr>
              <w:jc w:val="center"/>
              <w:rPr>
                <w:sz w:val="12"/>
                <w:szCs w:val="12"/>
              </w:rPr>
            </w:pPr>
            <w:r>
              <w:rPr>
                <w:sz w:val="12"/>
                <w:szCs w:val="12"/>
              </w:rPr>
              <w:t>3.2.5.1</w:t>
            </w:r>
          </w:p>
        </w:tc>
        <w:tc>
          <w:tcPr>
            <w:tcW w:w="280" w:type="pct"/>
            <w:tcBorders>
              <w:top w:val="single" w:sz="4" w:space="0" w:color="auto"/>
              <w:left w:val="single" w:sz="4" w:space="0" w:color="auto"/>
              <w:bottom w:val="single" w:sz="4" w:space="0" w:color="auto"/>
              <w:right w:val="single" w:sz="4" w:space="0" w:color="auto"/>
            </w:tcBorders>
            <w:vAlign w:val="center"/>
            <w:hideMark/>
          </w:tcPr>
          <w:p w14:paraId="21F6E709" w14:textId="77777777" w:rsidR="002F590A" w:rsidRDefault="002F590A">
            <w:pPr>
              <w:rPr>
                <w:color w:val="000000"/>
                <w:sz w:val="12"/>
                <w:szCs w:val="12"/>
              </w:rPr>
            </w:pPr>
            <w:r>
              <w:rPr>
                <w:color w:val="000000"/>
                <w:sz w:val="12"/>
                <w:szCs w:val="12"/>
              </w:rPr>
              <w:t>Реконструкция циркуляционных насосов котлового контура</w:t>
            </w:r>
          </w:p>
        </w:tc>
        <w:tc>
          <w:tcPr>
            <w:tcW w:w="313" w:type="pct"/>
            <w:tcBorders>
              <w:top w:val="single" w:sz="4" w:space="0" w:color="auto"/>
              <w:left w:val="single" w:sz="4" w:space="0" w:color="auto"/>
              <w:bottom w:val="single" w:sz="4" w:space="0" w:color="auto"/>
              <w:right w:val="single" w:sz="4" w:space="0" w:color="auto"/>
            </w:tcBorders>
            <w:vAlign w:val="center"/>
            <w:hideMark/>
          </w:tcPr>
          <w:p w14:paraId="1809FFB1" w14:textId="77777777" w:rsidR="002F590A" w:rsidRDefault="002F590A">
            <w:pPr>
              <w:jc w:val="center"/>
              <w:rPr>
                <w:sz w:val="12"/>
                <w:szCs w:val="12"/>
              </w:rPr>
            </w:pPr>
            <w:r>
              <w:rPr>
                <w:sz w:val="12"/>
                <w:szCs w:val="12"/>
              </w:rPr>
              <w:t>Повышение надежности (бесперебойности) услуг теплоснабжения, повышение энергетической эффективности</w:t>
            </w:r>
          </w:p>
        </w:tc>
        <w:tc>
          <w:tcPr>
            <w:tcW w:w="275" w:type="pct"/>
            <w:tcBorders>
              <w:top w:val="single" w:sz="4" w:space="0" w:color="auto"/>
              <w:left w:val="single" w:sz="4" w:space="0" w:color="auto"/>
              <w:bottom w:val="single" w:sz="4" w:space="0" w:color="auto"/>
              <w:right w:val="single" w:sz="4" w:space="0" w:color="auto"/>
            </w:tcBorders>
            <w:vAlign w:val="center"/>
            <w:hideMark/>
          </w:tcPr>
          <w:p w14:paraId="52A2DE59" w14:textId="77777777" w:rsidR="002F590A" w:rsidRDefault="002F590A">
            <w:pPr>
              <w:jc w:val="center"/>
              <w:rPr>
                <w:sz w:val="12"/>
                <w:szCs w:val="12"/>
              </w:rPr>
            </w:pPr>
            <w:r>
              <w:rPr>
                <w:sz w:val="12"/>
                <w:szCs w:val="12"/>
              </w:rPr>
              <w:t> </w:t>
            </w:r>
          </w:p>
        </w:tc>
        <w:tc>
          <w:tcPr>
            <w:tcW w:w="303" w:type="pct"/>
            <w:tcBorders>
              <w:top w:val="single" w:sz="4" w:space="0" w:color="auto"/>
              <w:left w:val="single" w:sz="4" w:space="0" w:color="auto"/>
              <w:bottom w:val="single" w:sz="4" w:space="0" w:color="auto"/>
              <w:right w:val="single" w:sz="4" w:space="0" w:color="auto"/>
            </w:tcBorders>
            <w:vAlign w:val="center"/>
            <w:hideMark/>
          </w:tcPr>
          <w:p w14:paraId="4D38ED40" w14:textId="77777777" w:rsidR="002F590A" w:rsidRDefault="002F590A">
            <w:pPr>
              <w:jc w:val="center"/>
              <w:rPr>
                <w:sz w:val="12"/>
                <w:szCs w:val="12"/>
              </w:rPr>
            </w:pPr>
            <w:r>
              <w:rPr>
                <w:color w:val="000000"/>
                <w:sz w:val="12"/>
                <w:szCs w:val="12"/>
              </w:rPr>
              <w:t>Технические характеристики</w:t>
            </w:r>
          </w:p>
        </w:tc>
        <w:tc>
          <w:tcPr>
            <w:tcW w:w="139" w:type="pct"/>
            <w:tcBorders>
              <w:top w:val="single" w:sz="4" w:space="0" w:color="auto"/>
              <w:left w:val="single" w:sz="4" w:space="0" w:color="auto"/>
              <w:bottom w:val="single" w:sz="4" w:space="0" w:color="auto"/>
              <w:right w:val="single" w:sz="4" w:space="0" w:color="auto"/>
            </w:tcBorders>
            <w:vAlign w:val="center"/>
          </w:tcPr>
          <w:p w14:paraId="1BF27FD4" w14:textId="77777777" w:rsidR="002F590A" w:rsidRDefault="002F590A">
            <w:pPr>
              <w:jc w:val="center"/>
              <w:rPr>
                <w:sz w:val="12"/>
                <w:szCs w:val="12"/>
              </w:rPr>
            </w:pPr>
          </w:p>
        </w:tc>
        <w:tc>
          <w:tcPr>
            <w:tcW w:w="300" w:type="pct"/>
            <w:tcBorders>
              <w:top w:val="single" w:sz="4" w:space="0" w:color="auto"/>
              <w:left w:val="single" w:sz="4" w:space="0" w:color="auto"/>
              <w:bottom w:val="single" w:sz="4" w:space="0" w:color="auto"/>
              <w:right w:val="single" w:sz="4" w:space="0" w:color="auto"/>
            </w:tcBorders>
            <w:vAlign w:val="center"/>
            <w:hideMark/>
          </w:tcPr>
          <w:p w14:paraId="411E97BF" w14:textId="77777777" w:rsidR="002F590A" w:rsidRDefault="002F590A">
            <w:pPr>
              <w:jc w:val="center"/>
              <w:rPr>
                <w:sz w:val="12"/>
                <w:szCs w:val="12"/>
              </w:rPr>
            </w:pPr>
            <w:r>
              <w:rPr>
                <w:sz w:val="12"/>
                <w:szCs w:val="12"/>
              </w:rPr>
              <w:t>Насос марки KSB Eta</w:t>
            </w:r>
            <w:r>
              <w:rPr>
                <w:sz w:val="12"/>
                <w:szCs w:val="12"/>
                <w:lang w:val="en-US"/>
              </w:rPr>
              <w:t>bloc</w:t>
            </w:r>
            <w:r>
              <w:rPr>
                <w:sz w:val="12"/>
                <w:szCs w:val="12"/>
              </w:rPr>
              <w:t xml:space="preserve"> 80-210\304, центробежный одноступенчатый, циркуляционный, электрический, перекачиваемая среда - неагрессивная жидкость, мощность 3 кВт, максимальная температура среды 140</w:t>
            </w:r>
            <w:r>
              <w:rPr>
                <w:rFonts w:ascii="Calibri" w:hAnsi="Calibri" w:cs="Calibri"/>
                <w:sz w:val="12"/>
                <w:szCs w:val="12"/>
              </w:rPr>
              <w:t>◦</w:t>
            </w:r>
            <w:r>
              <w:rPr>
                <w:sz w:val="12"/>
                <w:szCs w:val="12"/>
              </w:rPr>
              <w:t>С.</w:t>
            </w:r>
          </w:p>
        </w:tc>
        <w:tc>
          <w:tcPr>
            <w:tcW w:w="351" w:type="pct"/>
            <w:tcBorders>
              <w:top w:val="single" w:sz="4" w:space="0" w:color="auto"/>
              <w:left w:val="single" w:sz="4" w:space="0" w:color="auto"/>
              <w:bottom w:val="single" w:sz="4" w:space="0" w:color="auto"/>
              <w:right w:val="single" w:sz="4" w:space="0" w:color="auto"/>
            </w:tcBorders>
            <w:vAlign w:val="center"/>
            <w:hideMark/>
          </w:tcPr>
          <w:p w14:paraId="4DB048E9" w14:textId="77777777" w:rsidR="002F590A" w:rsidRDefault="002F590A">
            <w:pPr>
              <w:jc w:val="center"/>
              <w:rPr>
                <w:sz w:val="12"/>
                <w:szCs w:val="12"/>
              </w:rPr>
            </w:pPr>
            <w:r>
              <w:rPr>
                <w:sz w:val="12"/>
                <w:szCs w:val="12"/>
              </w:rPr>
              <w:t>Оборудование с техническими характеристиками не ниже существующего на объекте.</w:t>
            </w:r>
          </w:p>
        </w:tc>
        <w:tc>
          <w:tcPr>
            <w:tcW w:w="139" w:type="pct"/>
            <w:tcBorders>
              <w:top w:val="single" w:sz="4" w:space="0" w:color="auto"/>
              <w:left w:val="single" w:sz="4" w:space="0" w:color="auto"/>
              <w:bottom w:val="single" w:sz="4" w:space="0" w:color="auto"/>
              <w:right w:val="single" w:sz="4" w:space="0" w:color="auto"/>
            </w:tcBorders>
            <w:vAlign w:val="center"/>
            <w:hideMark/>
          </w:tcPr>
          <w:p w14:paraId="7EE9FA44" w14:textId="77777777" w:rsidR="002F590A" w:rsidRDefault="002F590A">
            <w:pPr>
              <w:jc w:val="center"/>
              <w:rPr>
                <w:sz w:val="12"/>
                <w:szCs w:val="12"/>
              </w:rPr>
            </w:pPr>
            <w:r>
              <w:rPr>
                <w:sz w:val="12"/>
                <w:szCs w:val="12"/>
              </w:rPr>
              <w:t>2025</w:t>
            </w:r>
          </w:p>
        </w:tc>
        <w:tc>
          <w:tcPr>
            <w:tcW w:w="167" w:type="pct"/>
            <w:tcBorders>
              <w:top w:val="single" w:sz="4" w:space="0" w:color="auto"/>
              <w:left w:val="single" w:sz="4" w:space="0" w:color="auto"/>
              <w:bottom w:val="single" w:sz="4" w:space="0" w:color="auto"/>
              <w:right w:val="single" w:sz="4" w:space="0" w:color="auto"/>
            </w:tcBorders>
            <w:vAlign w:val="center"/>
            <w:hideMark/>
          </w:tcPr>
          <w:p w14:paraId="71330AEC" w14:textId="77777777" w:rsidR="002F590A" w:rsidRDefault="002F590A">
            <w:pPr>
              <w:jc w:val="center"/>
              <w:rPr>
                <w:sz w:val="12"/>
                <w:szCs w:val="12"/>
              </w:rPr>
            </w:pPr>
            <w:r>
              <w:rPr>
                <w:sz w:val="12"/>
                <w:szCs w:val="12"/>
              </w:rPr>
              <w:t>2025</w:t>
            </w:r>
          </w:p>
        </w:tc>
        <w:tc>
          <w:tcPr>
            <w:tcW w:w="216" w:type="pct"/>
            <w:tcBorders>
              <w:top w:val="single" w:sz="4" w:space="0" w:color="auto"/>
              <w:left w:val="single" w:sz="4" w:space="0" w:color="auto"/>
              <w:bottom w:val="single" w:sz="4" w:space="0" w:color="auto"/>
              <w:right w:val="single" w:sz="4" w:space="0" w:color="auto"/>
            </w:tcBorders>
            <w:vAlign w:val="center"/>
            <w:hideMark/>
          </w:tcPr>
          <w:p w14:paraId="4E36E244" w14:textId="77777777" w:rsidR="002F590A" w:rsidRDefault="002F590A">
            <w:pPr>
              <w:jc w:val="center"/>
              <w:rPr>
                <w:color w:val="000000"/>
                <w:sz w:val="12"/>
                <w:szCs w:val="12"/>
              </w:rPr>
            </w:pPr>
            <w:r>
              <w:rPr>
                <w:color w:val="000000"/>
                <w:sz w:val="12"/>
                <w:szCs w:val="12"/>
              </w:rPr>
              <w:t>321,88</w:t>
            </w:r>
          </w:p>
        </w:tc>
        <w:tc>
          <w:tcPr>
            <w:tcW w:w="174" w:type="pct"/>
            <w:tcBorders>
              <w:top w:val="single" w:sz="4" w:space="0" w:color="auto"/>
              <w:left w:val="single" w:sz="4" w:space="0" w:color="auto"/>
              <w:bottom w:val="single" w:sz="4" w:space="0" w:color="auto"/>
              <w:right w:val="single" w:sz="4" w:space="0" w:color="auto"/>
            </w:tcBorders>
            <w:vAlign w:val="center"/>
            <w:hideMark/>
          </w:tcPr>
          <w:p w14:paraId="2A931F26" w14:textId="77777777" w:rsidR="002F590A" w:rsidRDefault="002F590A">
            <w:pPr>
              <w:jc w:val="center"/>
              <w:rPr>
                <w:color w:val="000000"/>
                <w:sz w:val="12"/>
                <w:szCs w:val="12"/>
              </w:rPr>
            </w:pPr>
            <w:r>
              <w:rPr>
                <w:color w:val="000000"/>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691EC37A" w14:textId="77777777" w:rsidR="002F590A" w:rsidRDefault="002F590A">
            <w:pPr>
              <w:jc w:val="center"/>
              <w:rPr>
                <w:sz w:val="12"/>
                <w:szCs w:val="12"/>
              </w:rPr>
            </w:pPr>
            <w:r>
              <w:rPr>
                <w:sz w:val="12"/>
                <w:szCs w:val="12"/>
              </w:rPr>
              <w:t>0,00</w:t>
            </w:r>
          </w:p>
        </w:tc>
        <w:tc>
          <w:tcPr>
            <w:tcW w:w="172" w:type="pct"/>
            <w:tcBorders>
              <w:top w:val="single" w:sz="4" w:space="0" w:color="auto"/>
              <w:left w:val="single" w:sz="4" w:space="0" w:color="auto"/>
              <w:bottom w:val="single" w:sz="4" w:space="0" w:color="auto"/>
              <w:right w:val="single" w:sz="4" w:space="0" w:color="auto"/>
            </w:tcBorders>
            <w:vAlign w:val="center"/>
            <w:hideMark/>
          </w:tcPr>
          <w:p w14:paraId="5C3E14E2"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54B3FBB7" w14:textId="77777777" w:rsidR="002F590A" w:rsidRDefault="002F590A">
            <w:pPr>
              <w:jc w:val="center"/>
              <w:rPr>
                <w:sz w:val="12"/>
                <w:szCs w:val="12"/>
              </w:rPr>
            </w:pPr>
            <w:r>
              <w:rPr>
                <w:sz w:val="12"/>
                <w:szCs w:val="12"/>
              </w:rPr>
              <w:t>0,00</w:t>
            </w:r>
          </w:p>
        </w:tc>
        <w:tc>
          <w:tcPr>
            <w:tcW w:w="216" w:type="pct"/>
            <w:tcBorders>
              <w:top w:val="single" w:sz="4" w:space="0" w:color="auto"/>
              <w:left w:val="single" w:sz="4" w:space="0" w:color="auto"/>
              <w:bottom w:val="single" w:sz="4" w:space="0" w:color="auto"/>
              <w:right w:val="single" w:sz="4" w:space="0" w:color="auto"/>
            </w:tcBorders>
            <w:vAlign w:val="center"/>
            <w:hideMark/>
          </w:tcPr>
          <w:p w14:paraId="17CC7E9D" w14:textId="77777777" w:rsidR="002F590A" w:rsidRDefault="002F590A">
            <w:pPr>
              <w:jc w:val="center"/>
              <w:rPr>
                <w:sz w:val="12"/>
                <w:szCs w:val="12"/>
              </w:rPr>
            </w:pPr>
            <w:r>
              <w:rPr>
                <w:sz w:val="12"/>
                <w:szCs w:val="12"/>
              </w:rPr>
              <w:t>321,88</w:t>
            </w:r>
          </w:p>
        </w:tc>
        <w:tc>
          <w:tcPr>
            <w:tcW w:w="174" w:type="pct"/>
            <w:tcBorders>
              <w:top w:val="single" w:sz="4" w:space="0" w:color="auto"/>
              <w:left w:val="single" w:sz="4" w:space="0" w:color="auto"/>
              <w:bottom w:val="single" w:sz="4" w:space="0" w:color="auto"/>
              <w:right w:val="single" w:sz="4" w:space="0" w:color="auto"/>
            </w:tcBorders>
            <w:vAlign w:val="center"/>
            <w:hideMark/>
          </w:tcPr>
          <w:p w14:paraId="1B220C6D"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04437EB4" w14:textId="77777777" w:rsidR="002F590A" w:rsidRDefault="002F590A">
            <w:pPr>
              <w:jc w:val="center"/>
              <w:rPr>
                <w:sz w:val="12"/>
                <w:szCs w:val="12"/>
              </w:rPr>
            </w:pPr>
            <w:r>
              <w:rPr>
                <w:sz w:val="12"/>
                <w:szCs w:val="12"/>
              </w:rPr>
              <w:t>0,00</w:t>
            </w:r>
          </w:p>
        </w:tc>
        <w:tc>
          <w:tcPr>
            <w:tcW w:w="218" w:type="pct"/>
            <w:tcBorders>
              <w:top w:val="single" w:sz="4" w:space="0" w:color="auto"/>
              <w:left w:val="single" w:sz="4" w:space="0" w:color="auto"/>
              <w:bottom w:val="single" w:sz="4" w:space="0" w:color="auto"/>
              <w:right w:val="single" w:sz="4" w:space="0" w:color="auto"/>
            </w:tcBorders>
            <w:vAlign w:val="center"/>
            <w:hideMark/>
          </w:tcPr>
          <w:p w14:paraId="2C606F59"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0A9C6667"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2D113252" w14:textId="77777777" w:rsidR="002F590A" w:rsidRDefault="002F590A">
            <w:pPr>
              <w:jc w:val="center"/>
              <w:rPr>
                <w:sz w:val="12"/>
                <w:szCs w:val="12"/>
              </w:rPr>
            </w:pPr>
            <w:r>
              <w:rPr>
                <w:sz w:val="12"/>
                <w:szCs w:val="12"/>
              </w:rPr>
              <w:t>0,00</w:t>
            </w:r>
          </w:p>
        </w:tc>
        <w:tc>
          <w:tcPr>
            <w:tcW w:w="175" w:type="pct"/>
            <w:tcBorders>
              <w:top w:val="single" w:sz="4" w:space="0" w:color="auto"/>
              <w:left w:val="single" w:sz="4" w:space="0" w:color="auto"/>
              <w:bottom w:val="single" w:sz="4" w:space="0" w:color="auto"/>
              <w:right w:val="single" w:sz="4" w:space="0" w:color="auto"/>
            </w:tcBorders>
            <w:vAlign w:val="center"/>
            <w:hideMark/>
          </w:tcPr>
          <w:p w14:paraId="07C43069"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0C81DD9A" w14:textId="77777777" w:rsidR="002F590A" w:rsidRDefault="002F590A">
            <w:pPr>
              <w:jc w:val="center"/>
              <w:rPr>
                <w:color w:val="000000"/>
                <w:sz w:val="12"/>
                <w:szCs w:val="12"/>
              </w:rPr>
            </w:pPr>
            <w:r>
              <w:rPr>
                <w:color w:val="000000"/>
                <w:sz w:val="12"/>
                <w:szCs w:val="12"/>
              </w:rPr>
              <w:t>0,00</w:t>
            </w:r>
          </w:p>
        </w:tc>
        <w:tc>
          <w:tcPr>
            <w:tcW w:w="172" w:type="pct"/>
            <w:tcBorders>
              <w:top w:val="single" w:sz="4" w:space="0" w:color="auto"/>
              <w:left w:val="single" w:sz="4" w:space="0" w:color="auto"/>
              <w:bottom w:val="single" w:sz="4" w:space="0" w:color="auto"/>
              <w:right w:val="single" w:sz="4" w:space="0" w:color="auto"/>
            </w:tcBorders>
            <w:vAlign w:val="center"/>
            <w:hideMark/>
          </w:tcPr>
          <w:p w14:paraId="6D1F0BEC" w14:textId="77777777" w:rsidR="002F590A" w:rsidRDefault="002F590A">
            <w:pPr>
              <w:jc w:val="center"/>
              <w:rPr>
                <w:color w:val="000000"/>
                <w:sz w:val="12"/>
                <w:szCs w:val="12"/>
              </w:rPr>
            </w:pPr>
            <w:r>
              <w:rPr>
                <w:color w:val="000000"/>
                <w:sz w:val="12"/>
                <w:szCs w:val="12"/>
              </w:rPr>
              <w:t>0,00</w:t>
            </w:r>
          </w:p>
        </w:tc>
      </w:tr>
      <w:tr w:rsidR="002F590A" w14:paraId="1529E930" w14:textId="77777777" w:rsidTr="002F590A">
        <w:trPr>
          <w:trHeight w:val="1197"/>
        </w:trPr>
        <w:tc>
          <w:tcPr>
            <w:tcW w:w="173" w:type="pct"/>
            <w:tcBorders>
              <w:top w:val="single" w:sz="4" w:space="0" w:color="auto"/>
              <w:left w:val="single" w:sz="4" w:space="0" w:color="auto"/>
              <w:bottom w:val="single" w:sz="4" w:space="0" w:color="auto"/>
              <w:right w:val="single" w:sz="4" w:space="0" w:color="auto"/>
            </w:tcBorders>
            <w:vAlign w:val="center"/>
            <w:hideMark/>
          </w:tcPr>
          <w:p w14:paraId="766B5C61" w14:textId="77777777" w:rsidR="002F590A" w:rsidRDefault="002F590A">
            <w:pPr>
              <w:jc w:val="center"/>
              <w:rPr>
                <w:sz w:val="12"/>
                <w:szCs w:val="12"/>
              </w:rPr>
            </w:pPr>
            <w:r>
              <w:rPr>
                <w:sz w:val="12"/>
                <w:szCs w:val="12"/>
              </w:rPr>
              <w:t>3.2.5.2</w:t>
            </w:r>
          </w:p>
        </w:tc>
        <w:tc>
          <w:tcPr>
            <w:tcW w:w="280" w:type="pct"/>
            <w:tcBorders>
              <w:top w:val="single" w:sz="4" w:space="0" w:color="auto"/>
              <w:left w:val="single" w:sz="4" w:space="0" w:color="auto"/>
              <w:bottom w:val="single" w:sz="4" w:space="0" w:color="auto"/>
              <w:right w:val="single" w:sz="4" w:space="0" w:color="auto"/>
            </w:tcBorders>
            <w:vAlign w:val="center"/>
            <w:hideMark/>
          </w:tcPr>
          <w:p w14:paraId="0FC3E14A" w14:textId="77777777" w:rsidR="002F590A" w:rsidRDefault="002F590A">
            <w:pPr>
              <w:rPr>
                <w:sz w:val="12"/>
                <w:szCs w:val="12"/>
              </w:rPr>
            </w:pPr>
            <w:r>
              <w:rPr>
                <w:sz w:val="12"/>
                <w:szCs w:val="12"/>
              </w:rPr>
              <w:t>Реконструкция кровли здания котельной</w:t>
            </w:r>
          </w:p>
        </w:tc>
        <w:tc>
          <w:tcPr>
            <w:tcW w:w="313" w:type="pct"/>
            <w:tcBorders>
              <w:top w:val="single" w:sz="4" w:space="0" w:color="auto"/>
              <w:left w:val="single" w:sz="4" w:space="0" w:color="auto"/>
              <w:bottom w:val="single" w:sz="4" w:space="0" w:color="auto"/>
              <w:right w:val="single" w:sz="4" w:space="0" w:color="auto"/>
            </w:tcBorders>
            <w:vAlign w:val="center"/>
            <w:hideMark/>
          </w:tcPr>
          <w:p w14:paraId="68A684A9" w14:textId="77777777" w:rsidR="002F590A" w:rsidRDefault="002F590A">
            <w:pPr>
              <w:jc w:val="center"/>
              <w:rPr>
                <w:sz w:val="12"/>
                <w:szCs w:val="12"/>
              </w:rPr>
            </w:pPr>
            <w:r>
              <w:rPr>
                <w:sz w:val="12"/>
                <w:szCs w:val="12"/>
              </w:rPr>
              <w:t>Повышение надежности (бесперебойности) услуг теплоснабжения, повышение энергетической эффективности</w:t>
            </w:r>
          </w:p>
        </w:tc>
        <w:tc>
          <w:tcPr>
            <w:tcW w:w="275" w:type="pct"/>
            <w:tcBorders>
              <w:top w:val="single" w:sz="4" w:space="0" w:color="auto"/>
              <w:left w:val="single" w:sz="4" w:space="0" w:color="auto"/>
              <w:bottom w:val="single" w:sz="4" w:space="0" w:color="auto"/>
              <w:right w:val="single" w:sz="4" w:space="0" w:color="auto"/>
            </w:tcBorders>
            <w:vAlign w:val="center"/>
            <w:hideMark/>
          </w:tcPr>
          <w:p w14:paraId="573C2AC0" w14:textId="77777777" w:rsidR="002F590A" w:rsidRDefault="002F590A">
            <w:pPr>
              <w:jc w:val="center"/>
              <w:rPr>
                <w:sz w:val="12"/>
                <w:szCs w:val="12"/>
              </w:rPr>
            </w:pPr>
            <w:r>
              <w:rPr>
                <w:sz w:val="12"/>
                <w:szCs w:val="12"/>
              </w:rPr>
              <w:t> </w:t>
            </w:r>
          </w:p>
        </w:tc>
        <w:tc>
          <w:tcPr>
            <w:tcW w:w="303" w:type="pct"/>
            <w:tcBorders>
              <w:top w:val="single" w:sz="4" w:space="0" w:color="auto"/>
              <w:left w:val="single" w:sz="4" w:space="0" w:color="auto"/>
              <w:bottom w:val="single" w:sz="4" w:space="0" w:color="auto"/>
              <w:right w:val="single" w:sz="4" w:space="0" w:color="auto"/>
            </w:tcBorders>
            <w:vAlign w:val="center"/>
            <w:hideMark/>
          </w:tcPr>
          <w:p w14:paraId="3A40DC0C" w14:textId="77777777" w:rsidR="002F590A" w:rsidRDefault="002F590A">
            <w:pPr>
              <w:jc w:val="center"/>
              <w:rPr>
                <w:sz w:val="12"/>
                <w:szCs w:val="12"/>
              </w:rPr>
            </w:pPr>
            <w:r>
              <w:rPr>
                <w:color w:val="000000"/>
                <w:sz w:val="12"/>
                <w:szCs w:val="12"/>
              </w:rPr>
              <w:t>Технические характеристики</w:t>
            </w:r>
          </w:p>
        </w:tc>
        <w:tc>
          <w:tcPr>
            <w:tcW w:w="139" w:type="pct"/>
            <w:tcBorders>
              <w:top w:val="single" w:sz="4" w:space="0" w:color="auto"/>
              <w:left w:val="single" w:sz="4" w:space="0" w:color="auto"/>
              <w:bottom w:val="single" w:sz="4" w:space="0" w:color="auto"/>
              <w:right w:val="single" w:sz="4" w:space="0" w:color="auto"/>
            </w:tcBorders>
            <w:vAlign w:val="center"/>
          </w:tcPr>
          <w:p w14:paraId="65467918" w14:textId="77777777" w:rsidR="002F590A" w:rsidRDefault="002F590A">
            <w:pPr>
              <w:jc w:val="center"/>
              <w:rPr>
                <w:sz w:val="12"/>
                <w:szCs w:val="12"/>
              </w:rPr>
            </w:pPr>
          </w:p>
        </w:tc>
        <w:tc>
          <w:tcPr>
            <w:tcW w:w="300" w:type="pct"/>
            <w:tcBorders>
              <w:top w:val="single" w:sz="4" w:space="0" w:color="auto"/>
              <w:left w:val="single" w:sz="4" w:space="0" w:color="auto"/>
              <w:bottom w:val="single" w:sz="4" w:space="0" w:color="auto"/>
              <w:right w:val="single" w:sz="4" w:space="0" w:color="auto"/>
            </w:tcBorders>
            <w:vAlign w:val="center"/>
            <w:hideMark/>
          </w:tcPr>
          <w:p w14:paraId="5BA08B86" w14:textId="77777777" w:rsidR="002F590A" w:rsidRDefault="002F590A">
            <w:pPr>
              <w:jc w:val="center"/>
              <w:rPr>
                <w:sz w:val="12"/>
                <w:szCs w:val="12"/>
              </w:rPr>
            </w:pPr>
            <w:r>
              <w:rPr>
                <w:sz w:val="12"/>
                <w:szCs w:val="12"/>
              </w:rPr>
              <w:t>Изоляционный слой толщиной 75 мм</w:t>
            </w:r>
          </w:p>
        </w:tc>
        <w:tc>
          <w:tcPr>
            <w:tcW w:w="351" w:type="pct"/>
            <w:tcBorders>
              <w:top w:val="single" w:sz="4" w:space="0" w:color="auto"/>
              <w:left w:val="single" w:sz="4" w:space="0" w:color="auto"/>
              <w:bottom w:val="single" w:sz="4" w:space="0" w:color="auto"/>
              <w:right w:val="single" w:sz="4" w:space="0" w:color="auto"/>
            </w:tcBorders>
            <w:vAlign w:val="center"/>
            <w:hideMark/>
          </w:tcPr>
          <w:p w14:paraId="39156C8C" w14:textId="77777777" w:rsidR="002F590A" w:rsidRDefault="002F590A">
            <w:pPr>
              <w:jc w:val="center"/>
              <w:rPr>
                <w:sz w:val="12"/>
                <w:szCs w:val="12"/>
              </w:rPr>
            </w:pPr>
            <w:r>
              <w:rPr>
                <w:sz w:val="12"/>
                <w:szCs w:val="12"/>
              </w:rPr>
              <w:t>Укладка изоляционного слоя не меньше существующего, установка обрешетки, профлиста, снегозадержателей</w:t>
            </w:r>
          </w:p>
        </w:tc>
        <w:tc>
          <w:tcPr>
            <w:tcW w:w="139" w:type="pct"/>
            <w:tcBorders>
              <w:top w:val="single" w:sz="4" w:space="0" w:color="auto"/>
              <w:left w:val="single" w:sz="4" w:space="0" w:color="auto"/>
              <w:bottom w:val="single" w:sz="4" w:space="0" w:color="auto"/>
              <w:right w:val="single" w:sz="4" w:space="0" w:color="auto"/>
            </w:tcBorders>
            <w:vAlign w:val="center"/>
            <w:hideMark/>
          </w:tcPr>
          <w:p w14:paraId="05F1FAAC" w14:textId="77777777" w:rsidR="002F590A" w:rsidRDefault="002F590A">
            <w:pPr>
              <w:jc w:val="center"/>
              <w:rPr>
                <w:sz w:val="12"/>
                <w:szCs w:val="12"/>
              </w:rPr>
            </w:pPr>
            <w:r>
              <w:rPr>
                <w:sz w:val="12"/>
                <w:szCs w:val="12"/>
              </w:rPr>
              <w:t>2030</w:t>
            </w:r>
          </w:p>
        </w:tc>
        <w:tc>
          <w:tcPr>
            <w:tcW w:w="167" w:type="pct"/>
            <w:tcBorders>
              <w:top w:val="single" w:sz="4" w:space="0" w:color="auto"/>
              <w:left w:val="single" w:sz="4" w:space="0" w:color="auto"/>
              <w:bottom w:val="single" w:sz="4" w:space="0" w:color="auto"/>
              <w:right w:val="single" w:sz="4" w:space="0" w:color="auto"/>
            </w:tcBorders>
            <w:vAlign w:val="center"/>
            <w:hideMark/>
          </w:tcPr>
          <w:p w14:paraId="2F2A5AB9" w14:textId="77777777" w:rsidR="002F590A" w:rsidRDefault="002F590A">
            <w:pPr>
              <w:jc w:val="center"/>
              <w:rPr>
                <w:sz w:val="12"/>
                <w:szCs w:val="12"/>
              </w:rPr>
            </w:pPr>
            <w:r>
              <w:rPr>
                <w:sz w:val="12"/>
                <w:szCs w:val="12"/>
              </w:rPr>
              <w:t>2030</w:t>
            </w:r>
          </w:p>
        </w:tc>
        <w:tc>
          <w:tcPr>
            <w:tcW w:w="216" w:type="pct"/>
            <w:tcBorders>
              <w:top w:val="single" w:sz="4" w:space="0" w:color="auto"/>
              <w:left w:val="single" w:sz="4" w:space="0" w:color="auto"/>
              <w:bottom w:val="single" w:sz="4" w:space="0" w:color="auto"/>
              <w:right w:val="single" w:sz="4" w:space="0" w:color="auto"/>
            </w:tcBorders>
            <w:vAlign w:val="center"/>
            <w:hideMark/>
          </w:tcPr>
          <w:p w14:paraId="06E73491" w14:textId="77777777" w:rsidR="002F590A" w:rsidRDefault="002F590A">
            <w:pPr>
              <w:jc w:val="center"/>
              <w:rPr>
                <w:color w:val="000000"/>
                <w:sz w:val="12"/>
                <w:szCs w:val="12"/>
              </w:rPr>
            </w:pPr>
            <w:r>
              <w:rPr>
                <w:color w:val="000000"/>
                <w:sz w:val="12"/>
                <w:szCs w:val="12"/>
              </w:rPr>
              <w:t>821,9</w:t>
            </w:r>
          </w:p>
        </w:tc>
        <w:tc>
          <w:tcPr>
            <w:tcW w:w="174" w:type="pct"/>
            <w:tcBorders>
              <w:top w:val="single" w:sz="4" w:space="0" w:color="auto"/>
              <w:left w:val="single" w:sz="4" w:space="0" w:color="auto"/>
              <w:bottom w:val="single" w:sz="4" w:space="0" w:color="auto"/>
              <w:right w:val="single" w:sz="4" w:space="0" w:color="auto"/>
            </w:tcBorders>
            <w:vAlign w:val="center"/>
            <w:hideMark/>
          </w:tcPr>
          <w:p w14:paraId="6ED84B7B" w14:textId="77777777" w:rsidR="002F590A" w:rsidRDefault="002F590A">
            <w:pPr>
              <w:jc w:val="center"/>
              <w:rPr>
                <w:color w:val="000000"/>
                <w:sz w:val="12"/>
                <w:szCs w:val="12"/>
              </w:rPr>
            </w:pPr>
            <w:r>
              <w:rPr>
                <w:color w:val="000000"/>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7AD49F59" w14:textId="77777777" w:rsidR="002F590A" w:rsidRDefault="002F590A">
            <w:pPr>
              <w:jc w:val="center"/>
              <w:rPr>
                <w:sz w:val="12"/>
                <w:szCs w:val="12"/>
              </w:rPr>
            </w:pPr>
            <w:r>
              <w:rPr>
                <w:sz w:val="12"/>
                <w:szCs w:val="12"/>
              </w:rPr>
              <w:t>0,00</w:t>
            </w:r>
          </w:p>
        </w:tc>
        <w:tc>
          <w:tcPr>
            <w:tcW w:w="172" w:type="pct"/>
            <w:tcBorders>
              <w:top w:val="single" w:sz="4" w:space="0" w:color="auto"/>
              <w:left w:val="single" w:sz="4" w:space="0" w:color="auto"/>
              <w:bottom w:val="single" w:sz="4" w:space="0" w:color="auto"/>
              <w:right w:val="single" w:sz="4" w:space="0" w:color="auto"/>
            </w:tcBorders>
            <w:vAlign w:val="center"/>
            <w:hideMark/>
          </w:tcPr>
          <w:p w14:paraId="49F2084D"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65354C42" w14:textId="77777777" w:rsidR="002F590A" w:rsidRDefault="002F590A">
            <w:pPr>
              <w:jc w:val="center"/>
              <w:rPr>
                <w:sz w:val="12"/>
                <w:szCs w:val="12"/>
              </w:rPr>
            </w:pPr>
            <w:r>
              <w:rPr>
                <w:sz w:val="12"/>
                <w:szCs w:val="12"/>
              </w:rPr>
              <w:t>0,00</w:t>
            </w:r>
          </w:p>
        </w:tc>
        <w:tc>
          <w:tcPr>
            <w:tcW w:w="216" w:type="pct"/>
            <w:tcBorders>
              <w:top w:val="single" w:sz="4" w:space="0" w:color="auto"/>
              <w:left w:val="single" w:sz="4" w:space="0" w:color="auto"/>
              <w:bottom w:val="single" w:sz="4" w:space="0" w:color="auto"/>
              <w:right w:val="single" w:sz="4" w:space="0" w:color="auto"/>
            </w:tcBorders>
            <w:vAlign w:val="center"/>
            <w:hideMark/>
          </w:tcPr>
          <w:p w14:paraId="48BB7B75"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5B7C1E87"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43AC17E1" w14:textId="77777777" w:rsidR="002F590A" w:rsidRDefault="002F590A">
            <w:pPr>
              <w:jc w:val="center"/>
              <w:rPr>
                <w:sz w:val="12"/>
                <w:szCs w:val="12"/>
              </w:rPr>
            </w:pPr>
            <w:r>
              <w:rPr>
                <w:sz w:val="12"/>
                <w:szCs w:val="12"/>
              </w:rPr>
              <w:t>0,00</w:t>
            </w:r>
          </w:p>
        </w:tc>
        <w:tc>
          <w:tcPr>
            <w:tcW w:w="218" w:type="pct"/>
            <w:tcBorders>
              <w:top w:val="single" w:sz="4" w:space="0" w:color="auto"/>
              <w:left w:val="single" w:sz="4" w:space="0" w:color="auto"/>
              <w:bottom w:val="single" w:sz="4" w:space="0" w:color="auto"/>
              <w:right w:val="single" w:sz="4" w:space="0" w:color="auto"/>
            </w:tcBorders>
            <w:vAlign w:val="center"/>
            <w:hideMark/>
          </w:tcPr>
          <w:p w14:paraId="3C1CEFBA"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3D257602"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612CF07C" w14:textId="77777777" w:rsidR="002F590A" w:rsidRDefault="002F590A">
            <w:pPr>
              <w:jc w:val="center"/>
              <w:rPr>
                <w:sz w:val="12"/>
                <w:szCs w:val="12"/>
              </w:rPr>
            </w:pPr>
            <w:r>
              <w:rPr>
                <w:sz w:val="12"/>
                <w:szCs w:val="12"/>
              </w:rPr>
              <w:t>821,9</w:t>
            </w:r>
          </w:p>
        </w:tc>
        <w:tc>
          <w:tcPr>
            <w:tcW w:w="175" w:type="pct"/>
            <w:tcBorders>
              <w:top w:val="single" w:sz="4" w:space="0" w:color="auto"/>
              <w:left w:val="single" w:sz="4" w:space="0" w:color="auto"/>
              <w:bottom w:val="single" w:sz="4" w:space="0" w:color="auto"/>
              <w:right w:val="single" w:sz="4" w:space="0" w:color="auto"/>
            </w:tcBorders>
            <w:vAlign w:val="center"/>
            <w:hideMark/>
          </w:tcPr>
          <w:p w14:paraId="1412A303"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2A045507" w14:textId="77777777" w:rsidR="002F590A" w:rsidRDefault="002F590A">
            <w:pPr>
              <w:jc w:val="center"/>
              <w:rPr>
                <w:color w:val="000000"/>
                <w:sz w:val="12"/>
                <w:szCs w:val="12"/>
              </w:rPr>
            </w:pPr>
            <w:r>
              <w:rPr>
                <w:color w:val="000000"/>
                <w:sz w:val="12"/>
                <w:szCs w:val="12"/>
              </w:rPr>
              <w:t>0,00</w:t>
            </w:r>
          </w:p>
        </w:tc>
        <w:tc>
          <w:tcPr>
            <w:tcW w:w="172" w:type="pct"/>
            <w:tcBorders>
              <w:top w:val="single" w:sz="4" w:space="0" w:color="auto"/>
              <w:left w:val="single" w:sz="4" w:space="0" w:color="auto"/>
              <w:bottom w:val="single" w:sz="4" w:space="0" w:color="auto"/>
              <w:right w:val="single" w:sz="4" w:space="0" w:color="auto"/>
            </w:tcBorders>
            <w:vAlign w:val="center"/>
            <w:hideMark/>
          </w:tcPr>
          <w:p w14:paraId="033EA418" w14:textId="77777777" w:rsidR="002F590A" w:rsidRDefault="002F590A">
            <w:pPr>
              <w:jc w:val="center"/>
              <w:rPr>
                <w:color w:val="000000"/>
                <w:sz w:val="12"/>
                <w:szCs w:val="12"/>
              </w:rPr>
            </w:pPr>
            <w:r>
              <w:rPr>
                <w:color w:val="000000"/>
                <w:sz w:val="12"/>
                <w:szCs w:val="12"/>
              </w:rPr>
              <w:t>0,00</w:t>
            </w:r>
          </w:p>
        </w:tc>
      </w:tr>
      <w:tr w:rsidR="002F590A" w14:paraId="6B734B5C" w14:textId="77777777" w:rsidTr="002F590A">
        <w:trPr>
          <w:trHeight w:val="1781"/>
        </w:trPr>
        <w:tc>
          <w:tcPr>
            <w:tcW w:w="173" w:type="pct"/>
            <w:tcBorders>
              <w:top w:val="single" w:sz="4" w:space="0" w:color="auto"/>
              <w:left w:val="single" w:sz="4" w:space="0" w:color="auto"/>
              <w:bottom w:val="single" w:sz="4" w:space="0" w:color="auto"/>
              <w:right w:val="single" w:sz="4" w:space="0" w:color="auto"/>
            </w:tcBorders>
            <w:vAlign w:val="center"/>
            <w:hideMark/>
          </w:tcPr>
          <w:p w14:paraId="03E3A053" w14:textId="77777777" w:rsidR="002F590A" w:rsidRDefault="002F590A">
            <w:pPr>
              <w:jc w:val="center"/>
              <w:rPr>
                <w:bCs/>
                <w:sz w:val="12"/>
                <w:szCs w:val="12"/>
              </w:rPr>
            </w:pPr>
            <w:r>
              <w:rPr>
                <w:bCs/>
                <w:sz w:val="12"/>
                <w:szCs w:val="12"/>
              </w:rPr>
              <w:t>3.2.6.</w:t>
            </w:r>
          </w:p>
        </w:tc>
        <w:tc>
          <w:tcPr>
            <w:tcW w:w="280" w:type="pct"/>
            <w:tcBorders>
              <w:top w:val="single" w:sz="4" w:space="0" w:color="auto"/>
              <w:left w:val="single" w:sz="4" w:space="0" w:color="auto"/>
              <w:bottom w:val="single" w:sz="4" w:space="0" w:color="auto"/>
              <w:right w:val="single" w:sz="4" w:space="0" w:color="auto"/>
            </w:tcBorders>
            <w:vAlign w:val="center"/>
            <w:hideMark/>
          </w:tcPr>
          <w:p w14:paraId="4E8A3803" w14:textId="77777777" w:rsidR="002F590A" w:rsidRDefault="002F590A">
            <w:pPr>
              <w:rPr>
                <w:bCs/>
                <w:color w:val="000000"/>
                <w:sz w:val="12"/>
                <w:szCs w:val="12"/>
              </w:rPr>
            </w:pPr>
            <w:r>
              <w:rPr>
                <w:bCs/>
                <w:color w:val="000000"/>
                <w:sz w:val="12"/>
                <w:szCs w:val="12"/>
              </w:rPr>
              <w:t>Реконструкция котельной №34</w:t>
            </w:r>
          </w:p>
        </w:tc>
        <w:tc>
          <w:tcPr>
            <w:tcW w:w="313" w:type="pct"/>
            <w:tcBorders>
              <w:top w:val="single" w:sz="4" w:space="0" w:color="auto"/>
              <w:left w:val="single" w:sz="4" w:space="0" w:color="auto"/>
              <w:bottom w:val="single" w:sz="4" w:space="0" w:color="auto"/>
              <w:right w:val="single" w:sz="4" w:space="0" w:color="auto"/>
            </w:tcBorders>
            <w:vAlign w:val="center"/>
          </w:tcPr>
          <w:p w14:paraId="2793BD35" w14:textId="77777777" w:rsidR="002F590A" w:rsidRDefault="002F590A">
            <w:pPr>
              <w:jc w:val="center"/>
              <w:rPr>
                <w:sz w:val="12"/>
                <w:szCs w:val="12"/>
              </w:rPr>
            </w:pPr>
          </w:p>
        </w:tc>
        <w:tc>
          <w:tcPr>
            <w:tcW w:w="275" w:type="pct"/>
            <w:tcBorders>
              <w:top w:val="single" w:sz="4" w:space="0" w:color="auto"/>
              <w:left w:val="single" w:sz="4" w:space="0" w:color="auto"/>
              <w:bottom w:val="single" w:sz="4" w:space="0" w:color="auto"/>
              <w:right w:val="single" w:sz="4" w:space="0" w:color="auto"/>
            </w:tcBorders>
            <w:vAlign w:val="center"/>
            <w:hideMark/>
          </w:tcPr>
          <w:p w14:paraId="69CE663B" w14:textId="77777777" w:rsidR="002F590A" w:rsidRDefault="002F590A">
            <w:pPr>
              <w:jc w:val="center"/>
              <w:rPr>
                <w:bCs/>
                <w:sz w:val="12"/>
                <w:szCs w:val="12"/>
              </w:rPr>
            </w:pPr>
            <w:r>
              <w:rPr>
                <w:bCs/>
                <w:sz w:val="12"/>
                <w:szCs w:val="12"/>
              </w:rPr>
              <w:t>Кемеровский городской округ, Рудничный район, северо-западнее строения № 38 по ул. Черноморская</w:t>
            </w:r>
          </w:p>
        </w:tc>
        <w:tc>
          <w:tcPr>
            <w:tcW w:w="303" w:type="pct"/>
            <w:tcBorders>
              <w:top w:val="single" w:sz="4" w:space="0" w:color="auto"/>
              <w:left w:val="single" w:sz="4" w:space="0" w:color="auto"/>
              <w:bottom w:val="single" w:sz="4" w:space="0" w:color="auto"/>
              <w:right w:val="single" w:sz="4" w:space="0" w:color="auto"/>
            </w:tcBorders>
            <w:vAlign w:val="center"/>
            <w:hideMark/>
          </w:tcPr>
          <w:p w14:paraId="2E34C651" w14:textId="77777777" w:rsidR="002F590A" w:rsidRDefault="002F590A">
            <w:pPr>
              <w:jc w:val="center"/>
              <w:rPr>
                <w:sz w:val="12"/>
                <w:szCs w:val="12"/>
              </w:rPr>
            </w:pPr>
            <w:r>
              <w:rPr>
                <w:color w:val="000000"/>
                <w:sz w:val="12"/>
                <w:szCs w:val="12"/>
              </w:rPr>
              <w:t>Технические характеристики</w:t>
            </w:r>
          </w:p>
        </w:tc>
        <w:tc>
          <w:tcPr>
            <w:tcW w:w="139" w:type="pct"/>
            <w:tcBorders>
              <w:top w:val="single" w:sz="4" w:space="0" w:color="auto"/>
              <w:left w:val="single" w:sz="4" w:space="0" w:color="auto"/>
              <w:bottom w:val="single" w:sz="4" w:space="0" w:color="auto"/>
              <w:right w:val="single" w:sz="4" w:space="0" w:color="auto"/>
            </w:tcBorders>
            <w:vAlign w:val="center"/>
          </w:tcPr>
          <w:p w14:paraId="39A8E5F2" w14:textId="77777777" w:rsidR="002F590A" w:rsidRDefault="002F590A">
            <w:pPr>
              <w:jc w:val="center"/>
              <w:rPr>
                <w:sz w:val="12"/>
                <w:szCs w:val="12"/>
              </w:rPr>
            </w:pPr>
          </w:p>
        </w:tc>
        <w:tc>
          <w:tcPr>
            <w:tcW w:w="300" w:type="pct"/>
            <w:tcBorders>
              <w:top w:val="single" w:sz="4" w:space="0" w:color="auto"/>
              <w:left w:val="single" w:sz="4" w:space="0" w:color="auto"/>
              <w:bottom w:val="single" w:sz="4" w:space="0" w:color="auto"/>
              <w:right w:val="single" w:sz="4" w:space="0" w:color="auto"/>
            </w:tcBorders>
            <w:vAlign w:val="center"/>
            <w:hideMark/>
          </w:tcPr>
          <w:p w14:paraId="1F8A4A8F" w14:textId="77777777" w:rsidR="002F590A" w:rsidRDefault="002F590A">
            <w:pPr>
              <w:jc w:val="center"/>
              <w:rPr>
                <w:sz w:val="12"/>
                <w:szCs w:val="12"/>
              </w:rPr>
            </w:pPr>
            <w:r>
              <w:rPr>
                <w:sz w:val="12"/>
                <w:szCs w:val="12"/>
              </w:rPr>
              <w:t> </w:t>
            </w:r>
          </w:p>
        </w:tc>
        <w:tc>
          <w:tcPr>
            <w:tcW w:w="351" w:type="pct"/>
            <w:tcBorders>
              <w:top w:val="single" w:sz="4" w:space="0" w:color="auto"/>
              <w:left w:val="single" w:sz="4" w:space="0" w:color="auto"/>
              <w:bottom w:val="single" w:sz="4" w:space="0" w:color="auto"/>
              <w:right w:val="single" w:sz="4" w:space="0" w:color="auto"/>
            </w:tcBorders>
            <w:vAlign w:val="center"/>
            <w:hideMark/>
          </w:tcPr>
          <w:p w14:paraId="175B1B08" w14:textId="77777777" w:rsidR="002F590A" w:rsidRDefault="002F590A">
            <w:pPr>
              <w:jc w:val="center"/>
              <w:rPr>
                <w:sz w:val="12"/>
                <w:szCs w:val="12"/>
              </w:rPr>
            </w:pPr>
            <w:r>
              <w:rPr>
                <w:sz w:val="12"/>
                <w:szCs w:val="12"/>
              </w:rPr>
              <w:t> </w:t>
            </w:r>
          </w:p>
        </w:tc>
        <w:tc>
          <w:tcPr>
            <w:tcW w:w="139" w:type="pct"/>
            <w:tcBorders>
              <w:top w:val="single" w:sz="4" w:space="0" w:color="auto"/>
              <w:left w:val="single" w:sz="4" w:space="0" w:color="auto"/>
              <w:bottom w:val="single" w:sz="4" w:space="0" w:color="auto"/>
              <w:right w:val="single" w:sz="4" w:space="0" w:color="auto"/>
            </w:tcBorders>
            <w:vAlign w:val="center"/>
          </w:tcPr>
          <w:p w14:paraId="1D28B589" w14:textId="77777777" w:rsidR="002F590A" w:rsidRDefault="002F590A">
            <w:pPr>
              <w:jc w:val="center"/>
              <w:rPr>
                <w:sz w:val="12"/>
                <w:szCs w:val="12"/>
              </w:rPr>
            </w:pPr>
          </w:p>
        </w:tc>
        <w:tc>
          <w:tcPr>
            <w:tcW w:w="167" w:type="pct"/>
            <w:tcBorders>
              <w:top w:val="single" w:sz="4" w:space="0" w:color="auto"/>
              <w:left w:val="single" w:sz="4" w:space="0" w:color="auto"/>
              <w:bottom w:val="single" w:sz="4" w:space="0" w:color="auto"/>
              <w:right w:val="single" w:sz="4" w:space="0" w:color="auto"/>
            </w:tcBorders>
            <w:vAlign w:val="center"/>
          </w:tcPr>
          <w:p w14:paraId="3DC90204" w14:textId="77777777" w:rsidR="002F590A" w:rsidRDefault="002F590A">
            <w:pPr>
              <w:jc w:val="center"/>
              <w:rPr>
                <w:sz w:val="12"/>
                <w:szCs w:val="12"/>
              </w:rPr>
            </w:pPr>
          </w:p>
        </w:tc>
        <w:tc>
          <w:tcPr>
            <w:tcW w:w="216" w:type="pct"/>
            <w:tcBorders>
              <w:top w:val="single" w:sz="4" w:space="0" w:color="auto"/>
              <w:left w:val="single" w:sz="4" w:space="0" w:color="auto"/>
              <w:bottom w:val="single" w:sz="4" w:space="0" w:color="auto"/>
              <w:right w:val="single" w:sz="4" w:space="0" w:color="auto"/>
            </w:tcBorders>
            <w:vAlign w:val="center"/>
          </w:tcPr>
          <w:p w14:paraId="635F2499" w14:textId="77777777" w:rsidR="002F590A" w:rsidRDefault="002F590A">
            <w:pPr>
              <w:jc w:val="center"/>
              <w:rPr>
                <w:color w:val="000000"/>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540BF6EB" w14:textId="77777777" w:rsidR="002F590A" w:rsidRDefault="002F590A">
            <w:pPr>
              <w:jc w:val="center"/>
              <w:rPr>
                <w:color w:val="000000"/>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6A0C8071" w14:textId="77777777" w:rsidR="002F590A" w:rsidRDefault="002F590A">
            <w:pPr>
              <w:jc w:val="center"/>
              <w:rPr>
                <w:sz w:val="12"/>
                <w:szCs w:val="12"/>
              </w:rPr>
            </w:pPr>
          </w:p>
        </w:tc>
        <w:tc>
          <w:tcPr>
            <w:tcW w:w="172" w:type="pct"/>
            <w:tcBorders>
              <w:top w:val="single" w:sz="4" w:space="0" w:color="auto"/>
              <w:left w:val="single" w:sz="4" w:space="0" w:color="auto"/>
              <w:bottom w:val="single" w:sz="4" w:space="0" w:color="auto"/>
              <w:right w:val="single" w:sz="4" w:space="0" w:color="auto"/>
            </w:tcBorders>
            <w:vAlign w:val="center"/>
          </w:tcPr>
          <w:p w14:paraId="7CA85E8A" w14:textId="77777777" w:rsidR="002F590A" w:rsidRDefault="002F590A">
            <w:pPr>
              <w:jc w:val="center"/>
              <w:rPr>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623FDF1F" w14:textId="77777777" w:rsidR="002F590A" w:rsidRDefault="002F590A">
            <w:pPr>
              <w:jc w:val="center"/>
              <w:rPr>
                <w:sz w:val="12"/>
                <w:szCs w:val="12"/>
              </w:rPr>
            </w:pPr>
          </w:p>
        </w:tc>
        <w:tc>
          <w:tcPr>
            <w:tcW w:w="216" w:type="pct"/>
            <w:tcBorders>
              <w:top w:val="single" w:sz="4" w:space="0" w:color="auto"/>
              <w:left w:val="single" w:sz="4" w:space="0" w:color="auto"/>
              <w:bottom w:val="single" w:sz="4" w:space="0" w:color="auto"/>
              <w:right w:val="single" w:sz="4" w:space="0" w:color="auto"/>
            </w:tcBorders>
            <w:vAlign w:val="center"/>
          </w:tcPr>
          <w:p w14:paraId="475FA65E" w14:textId="77777777" w:rsidR="002F590A" w:rsidRDefault="002F590A">
            <w:pPr>
              <w:jc w:val="center"/>
              <w:rPr>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3B7E3286" w14:textId="77777777" w:rsidR="002F590A" w:rsidRDefault="002F590A">
            <w:pPr>
              <w:jc w:val="center"/>
              <w:rPr>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7365185E" w14:textId="77777777" w:rsidR="002F590A" w:rsidRDefault="002F590A">
            <w:pPr>
              <w:jc w:val="center"/>
              <w:rPr>
                <w:sz w:val="12"/>
                <w:szCs w:val="12"/>
              </w:rPr>
            </w:pPr>
          </w:p>
        </w:tc>
        <w:tc>
          <w:tcPr>
            <w:tcW w:w="218" w:type="pct"/>
            <w:tcBorders>
              <w:top w:val="single" w:sz="4" w:space="0" w:color="auto"/>
              <w:left w:val="single" w:sz="4" w:space="0" w:color="auto"/>
              <w:bottom w:val="single" w:sz="4" w:space="0" w:color="auto"/>
              <w:right w:val="single" w:sz="4" w:space="0" w:color="auto"/>
            </w:tcBorders>
            <w:vAlign w:val="center"/>
          </w:tcPr>
          <w:p w14:paraId="0864B840" w14:textId="77777777" w:rsidR="002F590A" w:rsidRDefault="002F590A">
            <w:pPr>
              <w:jc w:val="center"/>
              <w:rPr>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1AFD2A85" w14:textId="77777777" w:rsidR="002F590A" w:rsidRDefault="002F590A">
            <w:pPr>
              <w:jc w:val="center"/>
              <w:rPr>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7D54FDCA" w14:textId="77777777" w:rsidR="002F590A" w:rsidRDefault="002F590A">
            <w:pPr>
              <w:jc w:val="center"/>
              <w:rPr>
                <w:sz w:val="12"/>
                <w:szCs w:val="12"/>
              </w:rPr>
            </w:pPr>
          </w:p>
        </w:tc>
        <w:tc>
          <w:tcPr>
            <w:tcW w:w="175" w:type="pct"/>
            <w:tcBorders>
              <w:top w:val="single" w:sz="4" w:space="0" w:color="auto"/>
              <w:left w:val="single" w:sz="4" w:space="0" w:color="auto"/>
              <w:bottom w:val="single" w:sz="4" w:space="0" w:color="auto"/>
              <w:right w:val="single" w:sz="4" w:space="0" w:color="auto"/>
            </w:tcBorders>
            <w:vAlign w:val="center"/>
          </w:tcPr>
          <w:p w14:paraId="4099278B" w14:textId="77777777" w:rsidR="002F590A" w:rsidRDefault="002F590A">
            <w:pPr>
              <w:jc w:val="center"/>
              <w:rPr>
                <w:sz w:val="12"/>
                <w:szCs w:val="12"/>
              </w:rPr>
            </w:pPr>
          </w:p>
        </w:tc>
        <w:tc>
          <w:tcPr>
            <w:tcW w:w="173" w:type="pct"/>
            <w:tcBorders>
              <w:top w:val="single" w:sz="4" w:space="0" w:color="auto"/>
              <w:left w:val="single" w:sz="4" w:space="0" w:color="auto"/>
              <w:bottom w:val="single" w:sz="4" w:space="0" w:color="auto"/>
              <w:right w:val="single" w:sz="4" w:space="0" w:color="auto"/>
            </w:tcBorders>
            <w:vAlign w:val="center"/>
          </w:tcPr>
          <w:p w14:paraId="4E8ECE65" w14:textId="77777777" w:rsidR="002F590A" w:rsidRDefault="002F590A">
            <w:pPr>
              <w:jc w:val="center"/>
              <w:rPr>
                <w:color w:val="000000"/>
                <w:sz w:val="12"/>
                <w:szCs w:val="12"/>
              </w:rPr>
            </w:pPr>
          </w:p>
        </w:tc>
        <w:tc>
          <w:tcPr>
            <w:tcW w:w="172" w:type="pct"/>
            <w:tcBorders>
              <w:top w:val="single" w:sz="4" w:space="0" w:color="auto"/>
              <w:left w:val="single" w:sz="4" w:space="0" w:color="auto"/>
              <w:bottom w:val="single" w:sz="4" w:space="0" w:color="auto"/>
              <w:right w:val="single" w:sz="4" w:space="0" w:color="auto"/>
            </w:tcBorders>
            <w:vAlign w:val="center"/>
          </w:tcPr>
          <w:p w14:paraId="5790DCCB" w14:textId="77777777" w:rsidR="002F590A" w:rsidRDefault="002F590A">
            <w:pPr>
              <w:jc w:val="center"/>
              <w:rPr>
                <w:color w:val="000000"/>
                <w:sz w:val="12"/>
                <w:szCs w:val="12"/>
              </w:rPr>
            </w:pPr>
          </w:p>
        </w:tc>
      </w:tr>
      <w:tr w:rsidR="002F590A" w14:paraId="775BB7A3" w14:textId="77777777" w:rsidTr="002F590A">
        <w:trPr>
          <w:trHeight w:val="1601"/>
        </w:trPr>
        <w:tc>
          <w:tcPr>
            <w:tcW w:w="173" w:type="pct"/>
            <w:tcBorders>
              <w:top w:val="single" w:sz="4" w:space="0" w:color="auto"/>
              <w:left w:val="single" w:sz="4" w:space="0" w:color="auto"/>
              <w:bottom w:val="single" w:sz="4" w:space="0" w:color="auto"/>
              <w:right w:val="single" w:sz="4" w:space="0" w:color="auto"/>
            </w:tcBorders>
            <w:vAlign w:val="center"/>
            <w:hideMark/>
          </w:tcPr>
          <w:p w14:paraId="411EECAD" w14:textId="77777777" w:rsidR="002F590A" w:rsidRDefault="002F590A">
            <w:pPr>
              <w:jc w:val="center"/>
              <w:rPr>
                <w:sz w:val="12"/>
                <w:szCs w:val="12"/>
              </w:rPr>
            </w:pPr>
            <w:r>
              <w:rPr>
                <w:sz w:val="12"/>
                <w:szCs w:val="12"/>
              </w:rPr>
              <w:t>3.2.6.1</w:t>
            </w:r>
          </w:p>
        </w:tc>
        <w:tc>
          <w:tcPr>
            <w:tcW w:w="280" w:type="pct"/>
            <w:tcBorders>
              <w:top w:val="single" w:sz="4" w:space="0" w:color="auto"/>
              <w:left w:val="single" w:sz="4" w:space="0" w:color="auto"/>
              <w:bottom w:val="single" w:sz="4" w:space="0" w:color="auto"/>
              <w:right w:val="single" w:sz="4" w:space="0" w:color="auto"/>
            </w:tcBorders>
            <w:vAlign w:val="center"/>
            <w:hideMark/>
          </w:tcPr>
          <w:p w14:paraId="5A6A842F" w14:textId="77777777" w:rsidR="002F590A" w:rsidRDefault="002F590A">
            <w:pPr>
              <w:rPr>
                <w:color w:val="000000"/>
                <w:sz w:val="12"/>
                <w:szCs w:val="12"/>
              </w:rPr>
            </w:pPr>
            <w:r>
              <w:rPr>
                <w:color w:val="000000"/>
                <w:sz w:val="12"/>
                <w:szCs w:val="12"/>
              </w:rPr>
              <w:t xml:space="preserve">Установка дополнительного насоса </w:t>
            </w:r>
          </w:p>
        </w:tc>
        <w:tc>
          <w:tcPr>
            <w:tcW w:w="313" w:type="pct"/>
            <w:tcBorders>
              <w:top w:val="single" w:sz="4" w:space="0" w:color="auto"/>
              <w:left w:val="single" w:sz="4" w:space="0" w:color="auto"/>
              <w:bottom w:val="single" w:sz="4" w:space="0" w:color="auto"/>
              <w:right w:val="single" w:sz="4" w:space="0" w:color="auto"/>
            </w:tcBorders>
            <w:vAlign w:val="center"/>
            <w:hideMark/>
          </w:tcPr>
          <w:p w14:paraId="435DE906" w14:textId="77777777" w:rsidR="002F590A" w:rsidRDefault="002F590A">
            <w:pPr>
              <w:jc w:val="center"/>
              <w:rPr>
                <w:sz w:val="12"/>
                <w:szCs w:val="12"/>
              </w:rPr>
            </w:pPr>
            <w:r>
              <w:rPr>
                <w:sz w:val="12"/>
                <w:szCs w:val="12"/>
              </w:rPr>
              <w:t>Повышение надежности (бесперебойности) услуг теплоснабжения, повышение энергетической эффективности</w:t>
            </w:r>
          </w:p>
        </w:tc>
        <w:tc>
          <w:tcPr>
            <w:tcW w:w="275" w:type="pct"/>
            <w:tcBorders>
              <w:top w:val="single" w:sz="4" w:space="0" w:color="auto"/>
              <w:left w:val="single" w:sz="4" w:space="0" w:color="auto"/>
              <w:bottom w:val="single" w:sz="4" w:space="0" w:color="auto"/>
              <w:right w:val="single" w:sz="4" w:space="0" w:color="auto"/>
            </w:tcBorders>
            <w:vAlign w:val="center"/>
            <w:hideMark/>
          </w:tcPr>
          <w:p w14:paraId="04C15EE1" w14:textId="77777777" w:rsidR="002F590A" w:rsidRDefault="002F590A">
            <w:pPr>
              <w:jc w:val="center"/>
              <w:rPr>
                <w:sz w:val="12"/>
                <w:szCs w:val="12"/>
              </w:rPr>
            </w:pPr>
            <w:r>
              <w:rPr>
                <w:sz w:val="12"/>
                <w:szCs w:val="12"/>
              </w:rPr>
              <w:t> </w:t>
            </w:r>
          </w:p>
        </w:tc>
        <w:tc>
          <w:tcPr>
            <w:tcW w:w="303" w:type="pct"/>
            <w:tcBorders>
              <w:top w:val="single" w:sz="4" w:space="0" w:color="auto"/>
              <w:left w:val="single" w:sz="4" w:space="0" w:color="auto"/>
              <w:bottom w:val="single" w:sz="4" w:space="0" w:color="auto"/>
              <w:right w:val="single" w:sz="4" w:space="0" w:color="auto"/>
            </w:tcBorders>
            <w:vAlign w:val="center"/>
            <w:hideMark/>
          </w:tcPr>
          <w:p w14:paraId="09618D19" w14:textId="77777777" w:rsidR="002F590A" w:rsidRDefault="002F590A">
            <w:pPr>
              <w:jc w:val="center"/>
              <w:rPr>
                <w:sz w:val="12"/>
                <w:szCs w:val="12"/>
              </w:rPr>
            </w:pPr>
            <w:r>
              <w:rPr>
                <w:color w:val="000000"/>
                <w:sz w:val="12"/>
                <w:szCs w:val="12"/>
              </w:rPr>
              <w:t>Технические характеристики</w:t>
            </w:r>
          </w:p>
        </w:tc>
        <w:tc>
          <w:tcPr>
            <w:tcW w:w="139" w:type="pct"/>
            <w:tcBorders>
              <w:top w:val="single" w:sz="4" w:space="0" w:color="auto"/>
              <w:left w:val="single" w:sz="4" w:space="0" w:color="auto"/>
              <w:bottom w:val="single" w:sz="4" w:space="0" w:color="auto"/>
              <w:right w:val="single" w:sz="4" w:space="0" w:color="auto"/>
            </w:tcBorders>
            <w:vAlign w:val="center"/>
          </w:tcPr>
          <w:p w14:paraId="7E6EA3C3" w14:textId="77777777" w:rsidR="002F590A" w:rsidRDefault="002F590A">
            <w:pPr>
              <w:jc w:val="center"/>
              <w:rPr>
                <w:sz w:val="12"/>
                <w:szCs w:val="12"/>
              </w:rPr>
            </w:pPr>
          </w:p>
        </w:tc>
        <w:tc>
          <w:tcPr>
            <w:tcW w:w="300" w:type="pct"/>
            <w:tcBorders>
              <w:top w:val="single" w:sz="4" w:space="0" w:color="auto"/>
              <w:left w:val="single" w:sz="4" w:space="0" w:color="auto"/>
              <w:bottom w:val="single" w:sz="4" w:space="0" w:color="auto"/>
              <w:right w:val="single" w:sz="4" w:space="0" w:color="auto"/>
            </w:tcBorders>
            <w:vAlign w:val="center"/>
            <w:hideMark/>
          </w:tcPr>
          <w:p w14:paraId="758D6C11" w14:textId="77777777" w:rsidR="002F590A" w:rsidRDefault="002F590A">
            <w:pPr>
              <w:jc w:val="center"/>
              <w:rPr>
                <w:sz w:val="12"/>
                <w:szCs w:val="12"/>
              </w:rPr>
            </w:pPr>
            <w:r>
              <w:rPr>
                <w:sz w:val="12"/>
                <w:szCs w:val="12"/>
              </w:rPr>
              <w:t xml:space="preserve">Отсутствие дополнительного насоса </w:t>
            </w:r>
          </w:p>
        </w:tc>
        <w:tc>
          <w:tcPr>
            <w:tcW w:w="351" w:type="pct"/>
            <w:tcBorders>
              <w:top w:val="single" w:sz="4" w:space="0" w:color="auto"/>
              <w:left w:val="single" w:sz="4" w:space="0" w:color="auto"/>
              <w:bottom w:val="single" w:sz="4" w:space="0" w:color="auto"/>
              <w:right w:val="single" w:sz="4" w:space="0" w:color="auto"/>
            </w:tcBorders>
            <w:vAlign w:val="center"/>
            <w:hideMark/>
          </w:tcPr>
          <w:p w14:paraId="4D77CEAC" w14:textId="77777777" w:rsidR="002F590A" w:rsidRDefault="002F590A">
            <w:pPr>
              <w:jc w:val="center"/>
              <w:rPr>
                <w:sz w:val="12"/>
                <w:szCs w:val="12"/>
              </w:rPr>
            </w:pPr>
            <w:r>
              <w:rPr>
                <w:sz w:val="12"/>
                <w:szCs w:val="12"/>
              </w:rPr>
              <w:t>Оборудование для поддержания стабильного режима работы котельной</w:t>
            </w:r>
          </w:p>
        </w:tc>
        <w:tc>
          <w:tcPr>
            <w:tcW w:w="139" w:type="pct"/>
            <w:tcBorders>
              <w:top w:val="single" w:sz="4" w:space="0" w:color="auto"/>
              <w:left w:val="single" w:sz="4" w:space="0" w:color="auto"/>
              <w:bottom w:val="single" w:sz="4" w:space="0" w:color="auto"/>
              <w:right w:val="single" w:sz="4" w:space="0" w:color="auto"/>
            </w:tcBorders>
            <w:vAlign w:val="center"/>
            <w:hideMark/>
          </w:tcPr>
          <w:p w14:paraId="08407820" w14:textId="77777777" w:rsidR="002F590A" w:rsidRDefault="002F590A">
            <w:pPr>
              <w:jc w:val="center"/>
              <w:rPr>
                <w:sz w:val="12"/>
                <w:szCs w:val="12"/>
              </w:rPr>
            </w:pPr>
            <w:r>
              <w:rPr>
                <w:sz w:val="12"/>
                <w:szCs w:val="12"/>
              </w:rPr>
              <w:t>2031</w:t>
            </w:r>
          </w:p>
        </w:tc>
        <w:tc>
          <w:tcPr>
            <w:tcW w:w="167" w:type="pct"/>
            <w:tcBorders>
              <w:top w:val="single" w:sz="4" w:space="0" w:color="auto"/>
              <w:left w:val="single" w:sz="4" w:space="0" w:color="auto"/>
              <w:bottom w:val="single" w:sz="4" w:space="0" w:color="auto"/>
              <w:right w:val="single" w:sz="4" w:space="0" w:color="auto"/>
            </w:tcBorders>
            <w:vAlign w:val="center"/>
            <w:hideMark/>
          </w:tcPr>
          <w:p w14:paraId="2C4D1CB9" w14:textId="77777777" w:rsidR="002F590A" w:rsidRDefault="002F590A">
            <w:pPr>
              <w:jc w:val="center"/>
              <w:rPr>
                <w:sz w:val="12"/>
                <w:szCs w:val="12"/>
              </w:rPr>
            </w:pPr>
            <w:r>
              <w:rPr>
                <w:sz w:val="12"/>
                <w:szCs w:val="12"/>
              </w:rPr>
              <w:t>2031</w:t>
            </w:r>
          </w:p>
        </w:tc>
        <w:tc>
          <w:tcPr>
            <w:tcW w:w="216" w:type="pct"/>
            <w:tcBorders>
              <w:top w:val="single" w:sz="4" w:space="0" w:color="auto"/>
              <w:left w:val="single" w:sz="4" w:space="0" w:color="auto"/>
              <w:bottom w:val="single" w:sz="4" w:space="0" w:color="auto"/>
              <w:right w:val="single" w:sz="4" w:space="0" w:color="auto"/>
            </w:tcBorders>
            <w:vAlign w:val="center"/>
            <w:hideMark/>
          </w:tcPr>
          <w:p w14:paraId="2553A86B" w14:textId="77777777" w:rsidR="002F590A" w:rsidRDefault="002F590A">
            <w:pPr>
              <w:jc w:val="center"/>
              <w:rPr>
                <w:color w:val="000000"/>
                <w:sz w:val="12"/>
                <w:szCs w:val="12"/>
              </w:rPr>
            </w:pPr>
            <w:r>
              <w:rPr>
                <w:color w:val="000000"/>
                <w:sz w:val="12"/>
                <w:szCs w:val="12"/>
              </w:rPr>
              <w:t>159,61</w:t>
            </w:r>
          </w:p>
        </w:tc>
        <w:tc>
          <w:tcPr>
            <w:tcW w:w="174" w:type="pct"/>
            <w:tcBorders>
              <w:top w:val="single" w:sz="4" w:space="0" w:color="auto"/>
              <w:left w:val="single" w:sz="4" w:space="0" w:color="auto"/>
              <w:bottom w:val="single" w:sz="4" w:space="0" w:color="auto"/>
              <w:right w:val="single" w:sz="4" w:space="0" w:color="auto"/>
            </w:tcBorders>
            <w:vAlign w:val="center"/>
            <w:hideMark/>
          </w:tcPr>
          <w:p w14:paraId="1570E817" w14:textId="77777777" w:rsidR="002F590A" w:rsidRDefault="002F590A">
            <w:pPr>
              <w:jc w:val="center"/>
              <w:rPr>
                <w:color w:val="000000"/>
                <w:sz w:val="12"/>
                <w:szCs w:val="12"/>
              </w:rPr>
            </w:pPr>
            <w:r>
              <w:rPr>
                <w:color w:val="000000"/>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27847E51" w14:textId="77777777" w:rsidR="002F590A" w:rsidRDefault="002F590A">
            <w:pPr>
              <w:jc w:val="center"/>
              <w:rPr>
                <w:sz w:val="12"/>
                <w:szCs w:val="12"/>
              </w:rPr>
            </w:pPr>
            <w:r>
              <w:rPr>
                <w:sz w:val="12"/>
                <w:szCs w:val="12"/>
              </w:rPr>
              <w:t>0,00</w:t>
            </w:r>
          </w:p>
        </w:tc>
        <w:tc>
          <w:tcPr>
            <w:tcW w:w="172" w:type="pct"/>
            <w:tcBorders>
              <w:top w:val="single" w:sz="4" w:space="0" w:color="auto"/>
              <w:left w:val="single" w:sz="4" w:space="0" w:color="auto"/>
              <w:bottom w:val="single" w:sz="4" w:space="0" w:color="auto"/>
              <w:right w:val="single" w:sz="4" w:space="0" w:color="auto"/>
            </w:tcBorders>
            <w:vAlign w:val="center"/>
            <w:hideMark/>
          </w:tcPr>
          <w:p w14:paraId="20EEB99A"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01530A10" w14:textId="77777777" w:rsidR="002F590A" w:rsidRDefault="002F590A">
            <w:pPr>
              <w:jc w:val="center"/>
              <w:rPr>
                <w:sz w:val="12"/>
                <w:szCs w:val="12"/>
              </w:rPr>
            </w:pPr>
            <w:r>
              <w:rPr>
                <w:sz w:val="12"/>
                <w:szCs w:val="12"/>
              </w:rPr>
              <w:t>0,00</w:t>
            </w:r>
          </w:p>
        </w:tc>
        <w:tc>
          <w:tcPr>
            <w:tcW w:w="216" w:type="pct"/>
            <w:tcBorders>
              <w:top w:val="single" w:sz="4" w:space="0" w:color="auto"/>
              <w:left w:val="single" w:sz="4" w:space="0" w:color="auto"/>
              <w:bottom w:val="single" w:sz="4" w:space="0" w:color="auto"/>
              <w:right w:val="single" w:sz="4" w:space="0" w:color="auto"/>
            </w:tcBorders>
            <w:vAlign w:val="center"/>
            <w:hideMark/>
          </w:tcPr>
          <w:p w14:paraId="69B5B55E"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7AFBC1C5"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27459A14" w14:textId="77777777" w:rsidR="002F590A" w:rsidRDefault="002F590A">
            <w:pPr>
              <w:jc w:val="center"/>
              <w:rPr>
                <w:sz w:val="12"/>
                <w:szCs w:val="12"/>
              </w:rPr>
            </w:pPr>
            <w:r>
              <w:rPr>
                <w:sz w:val="12"/>
                <w:szCs w:val="12"/>
              </w:rPr>
              <w:t>0,00</w:t>
            </w:r>
          </w:p>
        </w:tc>
        <w:tc>
          <w:tcPr>
            <w:tcW w:w="218" w:type="pct"/>
            <w:tcBorders>
              <w:top w:val="single" w:sz="4" w:space="0" w:color="auto"/>
              <w:left w:val="single" w:sz="4" w:space="0" w:color="auto"/>
              <w:bottom w:val="single" w:sz="4" w:space="0" w:color="auto"/>
              <w:right w:val="single" w:sz="4" w:space="0" w:color="auto"/>
            </w:tcBorders>
            <w:vAlign w:val="center"/>
            <w:hideMark/>
          </w:tcPr>
          <w:p w14:paraId="3434C051"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66C2AF1A"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55C463D1" w14:textId="77777777" w:rsidR="002F590A" w:rsidRDefault="002F590A">
            <w:pPr>
              <w:jc w:val="center"/>
              <w:rPr>
                <w:sz w:val="12"/>
                <w:szCs w:val="12"/>
              </w:rPr>
            </w:pPr>
            <w:r>
              <w:rPr>
                <w:sz w:val="12"/>
                <w:szCs w:val="12"/>
              </w:rPr>
              <w:t>0,00</w:t>
            </w:r>
          </w:p>
        </w:tc>
        <w:tc>
          <w:tcPr>
            <w:tcW w:w="175" w:type="pct"/>
            <w:tcBorders>
              <w:top w:val="single" w:sz="4" w:space="0" w:color="auto"/>
              <w:left w:val="single" w:sz="4" w:space="0" w:color="auto"/>
              <w:bottom w:val="single" w:sz="4" w:space="0" w:color="auto"/>
              <w:right w:val="single" w:sz="4" w:space="0" w:color="auto"/>
            </w:tcBorders>
            <w:vAlign w:val="center"/>
            <w:hideMark/>
          </w:tcPr>
          <w:p w14:paraId="6A362DED" w14:textId="77777777" w:rsidR="002F590A" w:rsidRDefault="002F590A">
            <w:pPr>
              <w:jc w:val="center"/>
              <w:rPr>
                <w:sz w:val="12"/>
                <w:szCs w:val="12"/>
              </w:rPr>
            </w:pPr>
            <w:r>
              <w:rPr>
                <w:sz w:val="12"/>
                <w:szCs w:val="12"/>
              </w:rPr>
              <w:t>159,61</w:t>
            </w:r>
          </w:p>
        </w:tc>
        <w:tc>
          <w:tcPr>
            <w:tcW w:w="173" w:type="pct"/>
            <w:tcBorders>
              <w:top w:val="single" w:sz="4" w:space="0" w:color="auto"/>
              <w:left w:val="single" w:sz="4" w:space="0" w:color="auto"/>
              <w:bottom w:val="single" w:sz="4" w:space="0" w:color="auto"/>
              <w:right w:val="single" w:sz="4" w:space="0" w:color="auto"/>
            </w:tcBorders>
            <w:vAlign w:val="center"/>
            <w:hideMark/>
          </w:tcPr>
          <w:p w14:paraId="3B8CD79B" w14:textId="77777777" w:rsidR="002F590A" w:rsidRDefault="002F590A">
            <w:pPr>
              <w:jc w:val="center"/>
              <w:rPr>
                <w:color w:val="000000"/>
                <w:sz w:val="12"/>
                <w:szCs w:val="12"/>
              </w:rPr>
            </w:pPr>
            <w:r>
              <w:rPr>
                <w:color w:val="000000"/>
                <w:sz w:val="12"/>
                <w:szCs w:val="12"/>
              </w:rPr>
              <w:t>0,00</w:t>
            </w:r>
          </w:p>
        </w:tc>
        <w:tc>
          <w:tcPr>
            <w:tcW w:w="172" w:type="pct"/>
            <w:tcBorders>
              <w:top w:val="single" w:sz="4" w:space="0" w:color="auto"/>
              <w:left w:val="single" w:sz="4" w:space="0" w:color="auto"/>
              <w:bottom w:val="single" w:sz="4" w:space="0" w:color="auto"/>
              <w:right w:val="single" w:sz="4" w:space="0" w:color="auto"/>
            </w:tcBorders>
            <w:vAlign w:val="center"/>
            <w:hideMark/>
          </w:tcPr>
          <w:p w14:paraId="25382E7A" w14:textId="77777777" w:rsidR="002F590A" w:rsidRDefault="002F590A">
            <w:pPr>
              <w:jc w:val="center"/>
              <w:rPr>
                <w:color w:val="000000"/>
                <w:sz w:val="12"/>
                <w:szCs w:val="12"/>
              </w:rPr>
            </w:pPr>
            <w:r>
              <w:rPr>
                <w:color w:val="000000"/>
                <w:sz w:val="12"/>
                <w:szCs w:val="12"/>
              </w:rPr>
              <w:t>0,00</w:t>
            </w:r>
          </w:p>
        </w:tc>
      </w:tr>
      <w:tr w:rsidR="002F590A" w14:paraId="3B989852" w14:textId="77777777" w:rsidTr="002F590A">
        <w:trPr>
          <w:trHeight w:val="269"/>
        </w:trPr>
        <w:tc>
          <w:tcPr>
            <w:tcW w:w="173" w:type="pct"/>
            <w:tcBorders>
              <w:top w:val="single" w:sz="4" w:space="0" w:color="auto"/>
              <w:left w:val="single" w:sz="4" w:space="0" w:color="auto"/>
              <w:bottom w:val="single" w:sz="4" w:space="0" w:color="auto"/>
              <w:right w:val="single" w:sz="4" w:space="0" w:color="auto"/>
            </w:tcBorders>
            <w:vAlign w:val="center"/>
            <w:hideMark/>
          </w:tcPr>
          <w:p w14:paraId="14A0E6B2" w14:textId="77777777" w:rsidR="002F590A" w:rsidRDefault="002F590A">
            <w:pPr>
              <w:jc w:val="center"/>
              <w:rPr>
                <w:bCs/>
                <w:sz w:val="12"/>
                <w:szCs w:val="12"/>
              </w:rPr>
            </w:pPr>
            <w:r>
              <w:rPr>
                <w:bCs/>
                <w:sz w:val="12"/>
                <w:szCs w:val="12"/>
              </w:rPr>
              <w:t>1</w:t>
            </w:r>
          </w:p>
        </w:tc>
        <w:tc>
          <w:tcPr>
            <w:tcW w:w="280" w:type="pct"/>
            <w:tcBorders>
              <w:top w:val="single" w:sz="4" w:space="0" w:color="auto"/>
              <w:left w:val="single" w:sz="4" w:space="0" w:color="auto"/>
              <w:bottom w:val="single" w:sz="4" w:space="0" w:color="auto"/>
              <w:right w:val="single" w:sz="4" w:space="0" w:color="auto"/>
            </w:tcBorders>
            <w:vAlign w:val="center"/>
            <w:hideMark/>
          </w:tcPr>
          <w:p w14:paraId="7BBF0584" w14:textId="77777777" w:rsidR="002F590A" w:rsidRDefault="002F590A">
            <w:pPr>
              <w:jc w:val="center"/>
              <w:rPr>
                <w:bCs/>
                <w:sz w:val="12"/>
                <w:szCs w:val="12"/>
              </w:rPr>
            </w:pPr>
            <w:r>
              <w:rPr>
                <w:bCs/>
                <w:sz w:val="12"/>
                <w:szCs w:val="12"/>
              </w:rPr>
              <w:t>2</w:t>
            </w:r>
          </w:p>
        </w:tc>
        <w:tc>
          <w:tcPr>
            <w:tcW w:w="313" w:type="pct"/>
            <w:tcBorders>
              <w:top w:val="single" w:sz="4" w:space="0" w:color="auto"/>
              <w:left w:val="single" w:sz="4" w:space="0" w:color="auto"/>
              <w:bottom w:val="single" w:sz="4" w:space="0" w:color="auto"/>
              <w:right w:val="single" w:sz="4" w:space="0" w:color="auto"/>
            </w:tcBorders>
            <w:vAlign w:val="center"/>
            <w:hideMark/>
          </w:tcPr>
          <w:p w14:paraId="6A438466" w14:textId="77777777" w:rsidR="002F590A" w:rsidRDefault="002F590A">
            <w:pPr>
              <w:jc w:val="center"/>
              <w:rPr>
                <w:bCs/>
                <w:sz w:val="12"/>
                <w:szCs w:val="12"/>
              </w:rPr>
            </w:pPr>
            <w:r>
              <w:rPr>
                <w:bCs/>
                <w:sz w:val="12"/>
                <w:szCs w:val="12"/>
              </w:rPr>
              <w:t>3</w:t>
            </w:r>
          </w:p>
        </w:tc>
        <w:tc>
          <w:tcPr>
            <w:tcW w:w="275" w:type="pct"/>
            <w:tcBorders>
              <w:top w:val="single" w:sz="4" w:space="0" w:color="auto"/>
              <w:left w:val="single" w:sz="4" w:space="0" w:color="auto"/>
              <w:bottom w:val="single" w:sz="4" w:space="0" w:color="auto"/>
              <w:right w:val="single" w:sz="4" w:space="0" w:color="auto"/>
            </w:tcBorders>
            <w:vAlign w:val="center"/>
            <w:hideMark/>
          </w:tcPr>
          <w:p w14:paraId="3B3B292D" w14:textId="77777777" w:rsidR="002F590A" w:rsidRDefault="002F590A">
            <w:pPr>
              <w:jc w:val="center"/>
              <w:rPr>
                <w:bCs/>
                <w:sz w:val="12"/>
                <w:szCs w:val="12"/>
              </w:rPr>
            </w:pPr>
            <w:r>
              <w:rPr>
                <w:bCs/>
                <w:sz w:val="12"/>
                <w:szCs w:val="12"/>
              </w:rPr>
              <w:t>4</w:t>
            </w:r>
          </w:p>
        </w:tc>
        <w:tc>
          <w:tcPr>
            <w:tcW w:w="303" w:type="pct"/>
            <w:tcBorders>
              <w:top w:val="single" w:sz="4" w:space="0" w:color="auto"/>
              <w:left w:val="single" w:sz="4" w:space="0" w:color="auto"/>
              <w:bottom w:val="single" w:sz="4" w:space="0" w:color="auto"/>
              <w:right w:val="single" w:sz="4" w:space="0" w:color="auto"/>
            </w:tcBorders>
            <w:vAlign w:val="center"/>
            <w:hideMark/>
          </w:tcPr>
          <w:p w14:paraId="67A7814E" w14:textId="77777777" w:rsidR="002F590A" w:rsidRDefault="002F590A">
            <w:pPr>
              <w:jc w:val="center"/>
              <w:rPr>
                <w:bCs/>
                <w:sz w:val="12"/>
                <w:szCs w:val="12"/>
              </w:rPr>
            </w:pPr>
            <w:r>
              <w:rPr>
                <w:bCs/>
                <w:sz w:val="12"/>
                <w:szCs w:val="12"/>
              </w:rPr>
              <w:t>5</w:t>
            </w:r>
          </w:p>
        </w:tc>
        <w:tc>
          <w:tcPr>
            <w:tcW w:w="139" w:type="pct"/>
            <w:tcBorders>
              <w:top w:val="single" w:sz="4" w:space="0" w:color="auto"/>
              <w:left w:val="single" w:sz="4" w:space="0" w:color="auto"/>
              <w:bottom w:val="single" w:sz="4" w:space="0" w:color="auto"/>
              <w:right w:val="single" w:sz="4" w:space="0" w:color="auto"/>
            </w:tcBorders>
            <w:vAlign w:val="center"/>
            <w:hideMark/>
          </w:tcPr>
          <w:p w14:paraId="20188500" w14:textId="77777777" w:rsidR="002F590A" w:rsidRDefault="002F590A">
            <w:pPr>
              <w:jc w:val="center"/>
              <w:rPr>
                <w:bCs/>
                <w:sz w:val="12"/>
                <w:szCs w:val="12"/>
              </w:rPr>
            </w:pPr>
            <w:r>
              <w:rPr>
                <w:bCs/>
                <w:sz w:val="12"/>
                <w:szCs w:val="12"/>
              </w:rPr>
              <w:t>6</w:t>
            </w:r>
          </w:p>
        </w:tc>
        <w:tc>
          <w:tcPr>
            <w:tcW w:w="300" w:type="pct"/>
            <w:tcBorders>
              <w:top w:val="single" w:sz="4" w:space="0" w:color="auto"/>
              <w:left w:val="single" w:sz="4" w:space="0" w:color="auto"/>
              <w:bottom w:val="single" w:sz="4" w:space="0" w:color="auto"/>
              <w:right w:val="single" w:sz="4" w:space="0" w:color="auto"/>
            </w:tcBorders>
            <w:vAlign w:val="center"/>
            <w:hideMark/>
          </w:tcPr>
          <w:p w14:paraId="67B3078C" w14:textId="77777777" w:rsidR="002F590A" w:rsidRDefault="002F590A">
            <w:pPr>
              <w:jc w:val="center"/>
              <w:rPr>
                <w:bCs/>
                <w:sz w:val="12"/>
                <w:szCs w:val="12"/>
              </w:rPr>
            </w:pPr>
            <w:r>
              <w:rPr>
                <w:bCs/>
                <w:sz w:val="12"/>
                <w:szCs w:val="12"/>
              </w:rPr>
              <w:t>7</w:t>
            </w:r>
          </w:p>
        </w:tc>
        <w:tc>
          <w:tcPr>
            <w:tcW w:w="351" w:type="pct"/>
            <w:tcBorders>
              <w:top w:val="single" w:sz="4" w:space="0" w:color="auto"/>
              <w:left w:val="single" w:sz="4" w:space="0" w:color="auto"/>
              <w:bottom w:val="single" w:sz="4" w:space="0" w:color="auto"/>
              <w:right w:val="single" w:sz="4" w:space="0" w:color="auto"/>
            </w:tcBorders>
            <w:vAlign w:val="center"/>
            <w:hideMark/>
          </w:tcPr>
          <w:p w14:paraId="5A3568B0" w14:textId="77777777" w:rsidR="002F590A" w:rsidRDefault="002F590A">
            <w:pPr>
              <w:jc w:val="center"/>
              <w:rPr>
                <w:bCs/>
                <w:sz w:val="12"/>
                <w:szCs w:val="12"/>
              </w:rPr>
            </w:pPr>
            <w:r>
              <w:rPr>
                <w:bCs/>
                <w:sz w:val="12"/>
                <w:szCs w:val="12"/>
              </w:rPr>
              <w:t>8</w:t>
            </w:r>
          </w:p>
        </w:tc>
        <w:tc>
          <w:tcPr>
            <w:tcW w:w="139" w:type="pct"/>
            <w:tcBorders>
              <w:top w:val="single" w:sz="4" w:space="0" w:color="auto"/>
              <w:left w:val="single" w:sz="4" w:space="0" w:color="auto"/>
              <w:bottom w:val="single" w:sz="4" w:space="0" w:color="auto"/>
              <w:right w:val="single" w:sz="4" w:space="0" w:color="auto"/>
            </w:tcBorders>
            <w:vAlign w:val="center"/>
            <w:hideMark/>
          </w:tcPr>
          <w:p w14:paraId="4DFE182E" w14:textId="77777777" w:rsidR="002F590A" w:rsidRDefault="002F590A">
            <w:pPr>
              <w:jc w:val="center"/>
              <w:rPr>
                <w:bCs/>
                <w:sz w:val="12"/>
                <w:szCs w:val="12"/>
              </w:rPr>
            </w:pPr>
            <w:r>
              <w:rPr>
                <w:bCs/>
                <w:sz w:val="12"/>
                <w:szCs w:val="12"/>
              </w:rPr>
              <w:t>9</w:t>
            </w:r>
          </w:p>
        </w:tc>
        <w:tc>
          <w:tcPr>
            <w:tcW w:w="167" w:type="pct"/>
            <w:tcBorders>
              <w:top w:val="single" w:sz="4" w:space="0" w:color="auto"/>
              <w:left w:val="single" w:sz="4" w:space="0" w:color="auto"/>
              <w:bottom w:val="single" w:sz="4" w:space="0" w:color="auto"/>
              <w:right w:val="single" w:sz="4" w:space="0" w:color="auto"/>
            </w:tcBorders>
            <w:vAlign w:val="center"/>
            <w:hideMark/>
          </w:tcPr>
          <w:p w14:paraId="27F27A4C" w14:textId="77777777" w:rsidR="002F590A" w:rsidRDefault="002F590A">
            <w:pPr>
              <w:jc w:val="center"/>
              <w:rPr>
                <w:bCs/>
                <w:sz w:val="12"/>
                <w:szCs w:val="12"/>
              </w:rPr>
            </w:pPr>
            <w:r>
              <w:rPr>
                <w:bCs/>
                <w:sz w:val="12"/>
                <w:szCs w:val="12"/>
              </w:rPr>
              <w:t>10</w:t>
            </w:r>
          </w:p>
        </w:tc>
        <w:tc>
          <w:tcPr>
            <w:tcW w:w="216" w:type="pct"/>
            <w:tcBorders>
              <w:top w:val="single" w:sz="4" w:space="0" w:color="auto"/>
              <w:left w:val="single" w:sz="4" w:space="0" w:color="auto"/>
              <w:bottom w:val="single" w:sz="4" w:space="0" w:color="auto"/>
              <w:right w:val="single" w:sz="4" w:space="0" w:color="auto"/>
            </w:tcBorders>
            <w:vAlign w:val="center"/>
            <w:hideMark/>
          </w:tcPr>
          <w:p w14:paraId="1C4A8A6E" w14:textId="77777777" w:rsidR="002F590A" w:rsidRDefault="002F590A">
            <w:pPr>
              <w:jc w:val="center"/>
              <w:rPr>
                <w:bCs/>
                <w:sz w:val="12"/>
                <w:szCs w:val="12"/>
              </w:rPr>
            </w:pPr>
            <w:r>
              <w:rPr>
                <w:bCs/>
                <w:sz w:val="12"/>
                <w:szCs w:val="12"/>
              </w:rPr>
              <w:t>11</w:t>
            </w:r>
          </w:p>
        </w:tc>
        <w:tc>
          <w:tcPr>
            <w:tcW w:w="174" w:type="pct"/>
            <w:tcBorders>
              <w:top w:val="single" w:sz="4" w:space="0" w:color="auto"/>
              <w:left w:val="single" w:sz="4" w:space="0" w:color="auto"/>
              <w:bottom w:val="single" w:sz="4" w:space="0" w:color="auto"/>
              <w:right w:val="single" w:sz="4" w:space="0" w:color="auto"/>
            </w:tcBorders>
            <w:vAlign w:val="center"/>
            <w:hideMark/>
          </w:tcPr>
          <w:p w14:paraId="72AD691C" w14:textId="77777777" w:rsidR="002F590A" w:rsidRDefault="002F590A">
            <w:pPr>
              <w:jc w:val="center"/>
              <w:rPr>
                <w:bCs/>
                <w:sz w:val="12"/>
                <w:szCs w:val="12"/>
              </w:rPr>
            </w:pPr>
            <w:r>
              <w:rPr>
                <w:bCs/>
                <w:sz w:val="12"/>
                <w:szCs w:val="12"/>
              </w:rPr>
              <w:t>12</w:t>
            </w:r>
          </w:p>
        </w:tc>
        <w:tc>
          <w:tcPr>
            <w:tcW w:w="174" w:type="pct"/>
            <w:tcBorders>
              <w:top w:val="single" w:sz="4" w:space="0" w:color="auto"/>
              <w:left w:val="single" w:sz="4" w:space="0" w:color="auto"/>
              <w:bottom w:val="single" w:sz="4" w:space="0" w:color="auto"/>
              <w:right w:val="single" w:sz="4" w:space="0" w:color="auto"/>
            </w:tcBorders>
            <w:vAlign w:val="center"/>
            <w:hideMark/>
          </w:tcPr>
          <w:p w14:paraId="01A65E7F" w14:textId="77777777" w:rsidR="002F590A" w:rsidRDefault="002F590A">
            <w:pPr>
              <w:jc w:val="center"/>
              <w:rPr>
                <w:bCs/>
                <w:sz w:val="12"/>
                <w:szCs w:val="12"/>
              </w:rPr>
            </w:pPr>
            <w:r>
              <w:rPr>
                <w:bCs/>
                <w:sz w:val="12"/>
                <w:szCs w:val="12"/>
              </w:rPr>
              <w:t>13</w:t>
            </w:r>
          </w:p>
        </w:tc>
        <w:tc>
          <w:tcPr>
            <w:tcW w:w="172" w:type="pct"/>
            <w:tcBorders>
              <w:top w:val="single" w:sz="4" w:space="0" w:color="auto"/>
              <w:left w:val="single" w:sz="4" w:space="0" w:color="auto"/>
              <w:bottom w:val="single" w:sz="4" w:space="0" w:color="auto"/>
              <w:right w:val="single" w:sz="4" w:space="0" w:color="auto"/>
            </w:tcBorders>
            <w:vAlign w:val="center"/>
            <w:hideMark/>
          </w:tcPr>
          <w:p w14:paraId="6683E369" w14:textId="77777777" w:rsidR="002F590A" w:rsidRDefault="002F590A">
            <w:pPr>
              <w:jc w:val="center"/>
              <w:rPr>
                <w:bCs/>
                <w:sz w:val="12"/>
                <w:szCs w:val="12"/>
              </w:rPr>
            </w:pPr>
            <w:r>
              <w:rPr>
                <w:bCs/>
                <w:sz w:val="12"/>
                <w:szCs w:val="12"/>
              </w:rPr>
              <w:t>14</w:t>
            </w:r>
          </w:p>
        </w:tc>
        <w:tc>
          <w:tcPr>
            <w:tcW w:w="174" w:type="pct"/>
            <w:tcBorders>
              <w:top w:val="single" w:sz="4" w:space="0" w:color="auto"/>
              <w:left w:val="single" w:sz="4" w:space="0" w:color="auto"/>
              <w:bottom w:val="single" w:sz="4" w:space="0" w:color="auto"/>
              <w:right w:val="single" w:sz="4" w:space="0" w:color="auto"/>
            </w:tcBorders>
            <w:vAlign w:val="center"/>
            <w:hideMark/>
          </w:tcPr>
          <w:p w14:paraId="6CB8129A" w14:textId="77777777" w:rsidR="002F590A" w:rsidRDefault="002F590A">
            <w:pPr>
              <w:jc w:val="center"/>
              <w:rPr>
                <w:bCs/>
                <w:sz w:val="12"/>
                <w:szCs w:val="12"/>
              </w:rPr>
            </w:pPr>
            <w:r>
              <w:rPr>
                <w:bCs/>
                <w:sz w:val="12"/>
                <w:szCs w:val="12"/>
              </w:rPr>
              <w:t>15</w:t>
            </w:r>
          </w:p>
        </w:tc>
        <w:tc>
          <w:tcPr>
            <w:tcW w:w="216" w:type="pct"/>
            <w:tcBorders>
              <w:top w:val="single" w:sz="4" w:space="0" w:color="auto"/>
              <w:left w:val="single" w:sz="4" w:space="0" w:color="auto"/>
              <w:bottom w:val="single" w:sz="4" w:space="0" w:color="auto"/>
              <w:right w:val="single" w:sz="4" w:space="0" w:color="auto"/>
            </w:tcBorders>
            <w:vAlign w:val="center"/>
            <w:hideMark/>
          </w:tcPr>
          <w:p w14:paraId="6CAE92FB" w14:textId="77777777" w:rsidR="002F590A" w:rsidRDefault="002F590A">
            <w:pPr>
              <w:jc w:val="center"/>
              <w:rPr>
                <w:bCs/>
                <w:sz w:val="12"/>
                <w:szCs w:val="12"/>
              </w:rPr>
            </w:pPr>
            <w:r>
              <w:rPr>
                <w:bCs/>
                <w:sz w:val="12"/>
                <w:szCs w:val="12"/>
              </w:rPr>
              <w:t>16</w:t>
            </w:r>
          </w:p>
        </w:tc>
        <w:tc>
          <w:tcPr>
            <w:tcW w:w="174" w:type="pct"/>
            <w:tcBorders>
              <w:top w:val="single" w:sz="4" w:space="0" w:color="auto"/>
              <w:left w:val="single" w:sz="4" w:space="0" w:color="auto"/>
              <w:bottom w:val="single" w:sz="4" w:space="0" w:color="auto"/>
              <w:right w:val="single" w:sz="4" w:space="0" w:color="auto"/>
            </w:tcBorders>
            <w:vAlign w:val="center"/>
            <w:hideMark/>
          </w:tcPr>
          <w:p w14:paraId="00499CE6" w14:textId="77777777" w:rsidR="002F590A" w:rsidRDefault="002F590A">
            <w:pPr>
              <w:jc w:val="center"/>
              <w:rPr>
                <w:bCs/>
                <w:sz w:val="12"/>
                <w:szCs w:val="12"/>
              </w:rPr>
            </w:pPr>
            <w:r>
              <w:rPr>
                <w:bCs/>
                <w:sz w:val="12"/>
                <w:szCs w:val="12"/>
              </w:rPr>
              <w:t>17</w:t>
            </w:r>
          </w:p>
        </w:tc>
        <w:tc>
          <w:tcPr>
            <w:tcW w:w="174" w:type="pct"/>
            <w:tcBorders>
              <w:top w:val="single" w:sz="4" w:space="0" w:color="auto"/>
              <w:left w:val="single" w:sz="4" w:space="0" w:color="auto"/>
              <w:bottom w:val="single" w:sz="4" w:space="0" w:color="auto"/>
              <w:right w:val="single" w:sz="4" w:space="0" w:color="auto"/>
            </w:tcBorders>
            <w:vAlign w:val="center"/>
            <w:hideMark/>
          </w:tcPr>
          <w:p w14:paraId="2314E4D2" w14:textId="77777777" w:rsidR="002F590A" w:rsidRDefault="002F590A">
            <w:pPr>
              <w:jc w:val="center"/>
              <w:rPr>
                <w:bCs/>
                <w:sz w:val="12"/>
                <w:szCs w:val="12"/>
              </w:rPr>
            </w:pPr>
            <w:r>
              <w:rPr>
                <w:bCs/>
                <w:sz w:val="12"/>
                <w:szCs w:val="12"/>
              </w:rPr>
              <w:t>18</w:t>
            </w:r>
          </w:p>
        </w:tc>
        <w:tc>
          <w:tcPr>
            <w:tcW w:w="218" w:type="pct"/>
            <w:tcBorders>
              <w:top w:val="single" w:sz="4" w:space="0" w:color="auto"/>
              <w:left w:val="single" w:sz="4" w:space="0" w:color="auto"/>
              <w:bottom w:val="single" w:sz="4" w:space="0" w:color="auto"/>
              <w:right w:val="single" w:sz="4" w:space="0" w:color="auto"/>
            </w:tcBorders>
            <w:vAlign w:val="center"/>
            <w:hideMark/>
          </w:tcPr>
          <w:p w14:paraId="739B07C8" w14:textId="77777777" w:rsidR="002F590A" w:rsidRDefault="002F590A">
            <w:pPr>
              <w:jc w:val="center"/>
              <w:rPr>
                <w:bCs/>
                <w:sz w:val="12"/>
                <w:szCs w:val="12"/>
              </w:rPr>
            </w:pPr>
            <w:r>
              <w:rPr>
                <w:bCs/>
                <w:sz w:val="12"/>
                <w:szCs w:val="12"/>
              </w:rPr>
              <w:t>19</w:t>
            </w:r>
          </w:p>
        </w:tc>
        <w:tc>
          <w:tcPr>
            <w:tcW w:w="174" w:type="pct"/>
            <w:tcBorders>
              <w:top w:val="single" w:sz="4" w:space="0" w:color="auto"/>
              <w:left w:val="single" w:sz="4" w:space="0" w:color="auto"/>
              <w:bottom w:val="single" w:sz="4" w:space="0" w:color="auto"/>
              <w:right w:val="single" w:sz="4" w:space="0" w:color="auto"/>
            </w:tcBorders>
            <w:vAlign w:val="center"/>
            <w:hideMark/>
          </w:tcPr>
          <w:p w14:paraId="1D86746D" w14:textId="77777777" w:rsidR="002F590A" w:rsidRDefault="002F590A">
            <w:pPr>
              <w:jc w:val="center"/>
              <w:rPr>
                <w:bCs/>
                <w:sz w:val="12"/>
                <w:szCs w:val="12"/>
              </w:rPr>
            </w:pPr>
            <w:r>
              <w:rPr>
                <w:bCs/>
                <w:sz w:val="12"/>
                <w:szCs w:val="12"/>
              </w:rPr>
              <w:t>20</w:t>
            </w:r>
          </w:p>
        </w:tc>
        <w:tc>
          <w:tcPr>
            <w:tcW w:w="174" w:type="pct"/>
            <w:tcBorders>
              <w:top w:val="single" w:sz="4" w:space="0" w:color="auto"/>
              <w:left w:val="single" w:sz="4" w:space="0" w:color="auto"/>
              <w:bottom w:val="single" w:sz="4" w:space="0" w:color="auto"/>
              <w:right w:val="single" w:sz="4" w:space="0" w:color="auto"/>
            </w:tcBorders>
            <w:vAlign w:val="center"/>
            <w:hideMark/>
          </w:tcPr>
          <w:p w14:paraId="4A2D3B4F" w14:textId="77777777" w:rsidR="002F590A" w:rsidRDefault="002F590A">
            <w:pPr>
              <w:jc w:val="center"/>
              <w:rPr>
                <w:bCs/>
                <w:sz w:val="12"/>
                <w:szCs w:val="12"/>
              </w:rPr>
            </w:pPr>
            <w:r>
              <w:rPr>
                <w:bCs/>
                <w:sz w:val="12"/>
                <w:szCs w:val="12"/>
              </w:rPr>
              <w:t>21</w:t>
            </w:r>
          </w:p>
        </w:tc>
        <w:tc>
          <w:tcPr>
            <w:tcW w:w="175" w:type="pct"/>
            <w:tcBorders>
              <w:top w:val="single" w:sz="4" w:space="0" w:color="auto"/>
              <w:left w:val="single" w:sz="4" w:space="0" w:color="auto"/>
              <w:bottom w:val="single" w:sz="4" w:space="0" w:color="auto"/>
              <w:right w:val="single" w:sz="4" w:space="0" w:color="auto"/>
            </w:tcBorders>
            <w:vAlign w:val="center"/>
            <w:hideMark/>
          </w:tcPr>
          <w:p w14:paraId="44492B01" w14:textId="77777777" w:rsidR="002F590A" w:rsidRDefault="002F590A">
            <w:pPr>
              <w:jc w:val="center"/>
              <w:rPr>
                <w:bCs/>
                <w:sz w:val="12"/>
                <w:szCs w:val="12"/>
              </w:rPr>
            </w:pPr>
            <w:r>
              <w:rPr>
                <w:bCs/>
                <w:sz w:val="12"/>
                <w:szCs w:val="12"/>
              </w:rPr>
              <w:t>22</w:t>
            </w:r>
          </w:p>
        </w:tc>
        <w:tc>
          <w:tcPr>
            <w:tcW w:w="173" w:type="pct"/>
            <w:tcBorders>
              <w:top w:val="single" w:sz="4" w:space="0" w:color="auto"/>
              <w:left w:val="single" w:sz="4" w:space="0" w:color="auto"/>
              <w:bottom w:val="single" w:sz="4" w:space="0" w:color="auto"/>
              <w:right w:val="single" w:sz="4" w:space="0" w:color="auto"/>
            </w:tcBorders>
            <w:vAlign w:val="center"/>
            <w:hideMark/>
          </w:tcPr>
          <w:p w14:paraId="46038F05" w14:textId="77777777" w:rsidR="002F590A" w:rsidRDefault="002F590A">
            <w:pPr>
              <w:jc w:val="center"/>
              <w:rPr>
                <w:bCs/>
                <w:sz w:val="12"/>
                <w:szCs w:val="12"/>
              </w:rPr>
            </w:pPr>
            <w:r>
              <w:rPr>
                <w:bCs/>
                <w:sz w:val="12"/>
                <w:szCs w:val="12"/>
              </w:rPr>
              <w:t>23</w:t>
            </w:r>
          </w:p>
        </w:tc>
        <w:tc>
          <w:tcPr>
            <w:tcW w:w="172" w:type="pct"/>
            <w:tcBorders>
              <w:top w:val="single" w:sz="4" w:space="0" w:color="auto"/>
              <w:left w:val="single" w:sz="4" w:space="0" w:color="auto"/>
              <w:bottom w:val="single" w:sz="4" w:space="0" w:color="auto"/>
              <w:right w:val="single" w:sz="4" w:space="0" w:color="auto"/>
            </w:tcBorders>
            <w:vAlign w:val="center"/>
            <w:hideMark/>
          </w:tcPr>
          <w:p w14:paraId="11927B80" w14:textId="77777777" w:rsidR="002F590A" w:rsidRDefault="002F590A">
            <w:pPr>
              <w:jc w:val="center"/>
              <w:rPr>
                <w:bCs/>
                <w:sz w:val="12"/>
                <w:szCs w:val="12"/>
              </w:rPr>
            </w:pPr>
            <w:r>
              <w:rPr>
                <w:bCs/>
                <w:sz w:val="12"/>
                <w:szCs w:val="12"/>
              </w:rPr>
              <w:t>24</w:t>
            </w:r>
          </w:p>
        </w:tc>
      </w:tr>
      <w:tr w:rsidR="002F590A" w14:paraId="61867942" w14:textId="77777777" w:rsidTr="002F590A">
        <w:trPr>
          <w:trHeight w:val="995"/>
        </w:trPr>
        <w:tc>
          <w:tcPr>
            <w:tcW w:w="173" w:type="pct"/>
            <w:tcBorders>
              <w:top w:val="single" w:sz="4" w:space="0" w:color="auto"/>
              <w:left w:val="single" w:sz="4" w:space="0" w:color="auto"/>
              <w:bottom w:val="single" w:sz="4" w:space="0" w:color="auto"/>
              <w:right w:val="single" w:sz="4" w:space="0" w:color="auto"/>
            </w:tcBorders>
            <w:vAlign w:val="center"/>
            <w:hideMark/>
          </w:tcPr>
          <w:p w14:paraId="68184BD1" w14:textId="77777777" w:rsidR="002F590A" w:rsidRDefault="002F590A">
            <w:pPr>
              <w:jc w:val="center"/>
              <w:rPr>
                <w:bCs/>
                <w:sz w:val="12"/>
                <w:szCs w:val="12"/>
              </w:rPr>
            </w:pPr>
            <w:r>
              <w:rPr>
                <w:bCs/>
                <w:sz w:val="12"/>
                <w:szCs w:val="12"/>
              </w:rPr>
              <w:t>3.2.7.</w:t>
            </w:r>
          </w:p>
        </w:tc>
        <w:tc>
          <w:tcPr>
            <w:tcW w:w="280" w:type="pct"/>
            <w:tcBorders>
              <w:top w:val="single" w:sz="4" w:space="0" w:color="auto"/>
              <w:left w:val="single" w:sz="4" w:space="0" w:color="auto"/>
              <w:bottom w:val="single" w:sz="4" w:space="0" w:color="auto"/>
              <w:right w:val="single" w:sz="4" w:space="0" w:color="auto"/>
            </w:tcBorders>
            <w:vAlign w:val="center"/>
            <w:hideMark/>
          </w:tcPr>
          <w:p w14:paraId="07217C74" w14:textId="77777777" w:rsidR="002F590A" w:rsidRDefault="002F590A">
            <w:pPr>
              <w:rPr>
                <w:bCs/>
                <w:color w:val="000000"/>
                <w:sz w:val="12"/>
                <w:szCs w:val="12"/>
              </w:rPr>
            </w:pPr>
            <w:r>
              <w:rPr>
                <w:bCs/>
                <w:color w:val="000000"/>
                <w:sz w:val="12"/>
                <w:szCs w:val="12"/>
              </w:rPr>
              <w:t>Реконструкция котельной №38</w:t>
            </w:r>
          </w:p>
        </w:tc>
        <w:tc>
          <w:tcPr>
            <w:tcW w:w="313" w:type="pct"/>
            <w:tcBorders>
              <w:top w:val="single" w:sz="4" w:space="0" w:color="auto"/>
              <w:left w:val="single" w:sz="4" w:space="0" w:color="auto"/>
              <w:bottom w:val="single" w:sz="4" w:space="0" w:color="auto"/>
              <w:right w:val="single" w:sz="4" w:space="0" w:color="auto"/>
            </w:tcBorders>
            <w:vAlign w:val="center"/>
          </w:tcPr>
          <w:p w14:paraId="2AB0145B" w14:textId="77777777" w:rsidR="002F590A" w:rsidRDefault="002F590A">
            <w:pPr>
              <w:jc w:val="center"/>
              <w:rPr>
                <w:sz w:val="12"/>
                <w:szCs w:val="12"/>
              </w:rPr>
            </w:pPr>
          </w:p>
        </w:tc>
        <w:tc>
          <w:tcPr>
            <w:tcW w:w="275" w:type="pct"/>
            <w:tcBorders>
              <w:top w:val="single" w:sz="4" w:space="0" w:color="auto"/>
              <w:left w:val="single" w:sz="4" w:space="0" w:color="auto"/>
              <w:bottom w:val="single" w:sz="4" w:space="0" w:color="auto"/>
              <w:right w:val="single" w:sz="4" w:space="0" w:color="auto"/>
            </w:tcBorders>
            <w:vAlign w:val="center"/>
            <w:hideMark/>
          </w:tcPr>
          <w:p w14:paraId="4009B2F6" w14:textId="77777777" w:rsidR="002F590A" w:rsidRDefault="002F590A">
            <w:pPr>
              <w:jc w:val="center"/>
              <w:rPr>
                <w:bCs/>
                <w:sz w:val="12"/>
                <w:szCs w:val="12"/>
              </w:rPr>
            </w:pPr>
            <w:r>
              <w:rPr>
                <w:bCs/>
                <w:sz w:val="12"/>
                <w:szCs w:val="12"/>
              </w:rPr>
              <w:t>Кемеровский городской округ, Рудничный район, ул. Авроры, 16</w:t>
            </w:r>
          </w:p>
        </w:tc>
        <w:tc>
          <w:tcPr>
            <w:tcW w:w="303" w:type="pct"/>
            <w:tcBorders>
              <w:top w:val="single" w:sz="4" w:space="0" w:color="auto"/>
              <w:left w:val="single" w:sz="4" w:space="0" w:color="auto"/>
              <w:bottom w:val="single" w:sz="4" w:space="0" w:color="auto"/>
              <w:right w:val="single" w:sz="4" w:space="0" w:color="auto"/>
            </w:tcBorders>
            <w:vAlign w:val="center"/>
            <w:hideMark/>
          </w:tcPr>
          <w:p w14:paraId="4F236148" w14:textId="77777777" w:rsidR="002F590A" w:rsidRDefault="002F590A">
            <w:pPr>
              <w:jc w:val="center"/>
              <w:rPr>
                <w:sz w:val="12"/>
                <w:szCs w:val="12"/>
              </w:rPr>
            </w:pPr>
            <w:r>
              <w:rPr>
                <w:color w:val="000000"/>
                <w:sz w:val="12"/>
                <w:szCs w:val="12"/>
              </w:rPr>
              <w:t>Технические характеристики</w:t>
            </w:r>
          </w:p>
        </w:tc>
        <w:tc>
          <w:tcPr>
            <w:tcW w:w="139" w:type="pct"/>
            <w:tcBorders>
              <w:top w:val="single" w:sz="4" w:space="0" w:color="auto"/>
              <w:left w:val="single" w:sz="4" w:space="0" w:color="auto"/>
              <w:bottom w:val="single" w:sz="4" w:space="0" w:color="auto"/>
              <w:right w:val="single" w:sz="4" w:space="0" w:color="auto"/>
            </w:tcBorders>
            <w:vAlign w:val="center"/>
          </w:tcPr>
          <w:p w14:paraId="1B57DFCD" w14:textId="77777777" w:rsidR="002F590A" w:rsidRDefault="002F590A">
            <w:pPr>
              <w:jc w:val="center"/>
              <w:rPr>
                <w:sz w:val="12"/>
                <w:szCs w:val="12"/>
              </w:rPr>
            </w:pPr>
          </w:p>
        </w:tc>
        <w:tc>
          <w:tcPr>
            <w:tcW w:w="300" w:type="pct"/>
            <w:tcBorders>
              <w:top w:val="single" w:sz="4" w:space="0" w:color="auto"/>
              <w:left w:val="single" w:sz="4" w:space="0" w:color="auto"/>
              <w:bottom w:val="single" w:sz="4" w:space="0" w:color="auto"/>
              <w:right w:val="single" w:sz="4" w:space="0" w:color="auto"/>
            </w:tcBorders>
            <w:vAlign w:val="center"/>
            <w:hideMark/>
          </w:tcPr>
          <w:p w14:paraId="15316A61" w14:textId="77777777" w:rsidR="002F590A" w:rsidRDefault="002F590A">
            <w:pPr>
              <w:jc w:val="center"/>
              <w:rPr>
                <w:sz w:val="12"/>
                <w:szCs w:val="12"/>
              </w:rPr>
            </w:pPr>
            <w:r>
              <w:rPr>
                <w:sz w:val="12"/>
                <w:szCs w:val="12"/>
              </w:rPr>
              <w:t> </w:t>
            </w:r>
          </w:p>
        </w:tc>
        <w:tc>
          <w:tcPr>
            <w:tcW w:w="351" w:type="pct"/>
            <w:tcBorders>
              <w:top w:val="single" w:sz="4" w:space="0" w:color="auto"/>
              <w:left w:val="single" w:sz="4" w:space="0" w:color="auto"/>
              <w:bottom w:val="single" w:sz="4" w:space="0" w:color="auto"/>
              <w:right w:val="single" w:sz="4" w:space="0" w:color="auto"/>
            </w:tcBorders>
            <w:vAlign w:val="center"/>
            <w:hideMark/>
          </w:tcPr>
          <w:p w14:paraId="23CAD9D7" w14:textId="77777777" w:rsidR="002F590A" w:rsidRDefault="002F590A">
            <w:pPr>
              <w:jc w:val="center"/>
              <w:rPr>
                <w:sz w:val="12"/>
                <w:szCs w:val="12"/>
              </w:rPr>
            </w:pPr>
            <w:r>
              <w:rPr>
                <w:sz w:val="12"/>
                <w:szCs w:val="12"/>
              </w:rPr>
              <w:t> </w:t>
            </w:r>
          </w:p>
        </w:tc>
        <w:tc>
          <w:tcPr>
            <w:tcW w:w="139" w:type="pct"/>
            <w:tcBorders>
              <w:top w:val="single" w:sz="4" w:space="0" w:color="auto"/>
              <w:left w:val="single" w:sz="4" w:space="0" w:color="auto"/>
              <w:bottom w:val="single" w:sz="4" w:space="0" w:color="auto"/>
              <w:right w:val="single" w:sz="4" w:space="0" w:color="auto"/>
            </w:tcBorders>
            <w:vAlign w:val="center"/>
          </w:tcPr>
          <w:p w14:paraId="3813D556" w14:textId="77777777" w:rsidR="002F590A" w:rsidRDefault="002F590A">
            <w:pPr>
              <w:jc w:val="center"/>
              <w:rPr>
                <w:sz w:val="12"/>
                <w:szCs w:val="12"/>
              </w:rPr>
            </w:pPr>
          </w:p>
        </w:tc>
        <w:tc>
          <w:tcPr>
            <w:tcW w:w="167" w:type="pct"/>
            <w:tcBorders>
              <w:top w:val="single" w:sz="4" w:space="0" w:color="auto"/>
              <w:left w:val="single" w:sz="4" w:space="0" w:color="auto"/>
              <w:bottom w:val="single" w:sz="4" w:space="0" w:color="auto"/>
              <w:right w:val="single" w:sz="4" w:space="0" w:color="auto"/>
            </w:tcBorders>
            <w:vAlign w:val="center"/>
          </w:tcPr>
          <w:p w14:paraId="6BEC21FA" w14:textId="77777777" w:rsidR="002F590A" w:rsidRDefault="002F590A">
            <w:pPr>
              <w:jc w:val="center"/>
              <w:rPr>
                <w:sz w:val="12"/>
                <w:szCs w:val="12"/>
              </w:rPr>
            </w:pPr>
          </w:p>
        </w:tc>
        <w:tc>
          <w:tcPr>
            <w:tcW w:w="216" w:type="pct"/>
            <w:tcBorders>
              <w:top w:val="single" w:sz="4" w:space="0" w:color="auto"/>
              <w:left w:val="single" w:sz="4" w:space="0" w:color="auto"/>
              <w:bottom w:val="single" w:sz="4" w:space="0" w:color="auto"/>
              <w:right w:val="single" w:sz="4" w:space="0" w:color="auto"/>
            </w:tcBorders>
            <w:vAlign w:val="center"/>
          </w:tcPr>
          <w:p w14:paraId="5CE05693" w14:textId="77777777" w:rsidR="002F590A" w:rsidRDefault="002F590A">
            <w:pPr>
              <w:jc w:val="center"/>
              <w:rPr>
                <w:color w:val="000000"/>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25662ED4" w14:textId="77777777" w:rsidR="002F590A" w:rsidRDefault="002F590A">
            <w:pPr>
              <w:jc w:val="center"/>
              <w:rPr>
                <w:color w:val="000000"/>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5C1F444B" w14:textId="77777777" w:rsidR="002F590A" w:rsidRDefault="002F590A">
            <w:pPr>
              <w:jc w:val="center"/>
              <w:rPr>
                <w:sz w:val="12"/>
                <w:szCs w:val="12"/>
              </w:rPr>
            </w:pPr>
          </w:p>
        </w:tc>
        <w:tc>
          <w:tcPr>
            <w:tcW w:w="172" w:type="pct"/>
            <w:tcBorders>
              <w:top w:val="single" w:sz="4" w:space="0" w:color="auto"/>
              <w:left w:val="single" w:sz="4" w:space="0" w:color="auto"/>
              <w:bottom w:val="single" w:sz="4" w:space="0" w:color="auto"/>
              <w:right w:val="single" w:sz="4" w:space="0" w:color="auto"/>
            </w:tcBorders>
            <w:vAlign w:val="center"/>
          </w:tcPr>
          <w:p w14:paraId="368BE3D0" w14:textId="77777777" w:rsidR="002F590A" w:rsidRDefault="002F590A">
            <w:pPr>
              <w:jc w:val="center"/>
              <w:rPr>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2FAF71FD" w14:textId="77777777" w:rsidR="002F590A" w:rsidRDefault="002F590A">
            <w:pPr>
              <w:jc w:val="center"/>
              <w:rPr>
                <w:sz w:val="12"/>
                <w:szCs w:val="12"/>
              </w:rPr>
            </w:pPr>
          </w:p>
        </w:tc>
        <w:tc>
          <w:tcPr>
            <w:tcW w:w="216" w:type="pct"/>
            <w:tcBorders>
              <w:top w:val="single" w:sz="4" w:space="0" w:color="auto"/>
              <w:left w:val="single" w:sz="4" w:space="0" w:color="auto"/>
              <w:bottom w:val="single" w:sz="4" w:space="0" w:color="auto"/>
              <w:right w:val="single" w:sz="4" w:space="0" w:color="auto"/>
            </w:tcBorders>
            <w:vAlign w:val="center"/>
          </w:tcPr>
          <w:p w14:paraId="78B4BF10" w14:textId="77777777" w:rsidR="002F590A" w:rsidRDefault="002F590A">
            <w:pPr>
              <w:jc w:val="center"/>
              <w:rPr>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4912C5F1" w14:textId="77777777" w:rsidR="002F590A" w:rsidRDefault="002F590A">
            <w:pPr>
              <w:jc w:val="center"/>
              <w:rPr>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70409593" w14:textId="77777777" w:rsidR="002F590A" w:rsidRDefault="002F590A">
            <w:pPr>
              <w:jc w:val="center"/>
              <w:rPr>
                <w:sz w:val="12"/>
                <w:szCs w:val="12"/>
              </w:rPr>
            </w:pPr>
          </w:p>
        </w:tc>
        <w:tc>
          <w:tcPr>
            <w:tcW w:w="218" w:type="pct"/>
            <w:tcBorders>
              <w:top w:val="single" w:sz="4" w:space="0" w:color="auto"/>
              <w:left w:val="single" w:sz="4" w:space="0" w:color="auto"/>
              <w:bottom w:val="single" w:sz="4" w:space="0" w:color="auto"/>
              <w:right w:val="single" w:sz="4" w:space="0" w:color="auto"/>
            </w:tcBorders>
            <w:vAlign w:val="center"/>
          </w:tcPr>
          <w:p w14:paraId="78B71F3C" w14:textId="77777777" w:rsidR="002F590A" w:rsidRDefault="002F590A">
            <w:pPr>
              <w:jc w:val="center"/>
              <w:rPr>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2436444C" w14:textId="77777777" w:rsidR="002F590A" w:rsidRDefault="002F590A">
            <w:pPr>
              <w:jc w:val="center"/>
              <w:rPr>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50E6E90E" w14:textId="77777777" w:rsidR="002F590A" w:rsidRDefault="002F590A">
            <w:pPr>
              <w:jc w:val="center"/>
              <w:rPr>
                <w:sz w:val="12"/>
                <w:szCs w:val="12"/>
              </w:rPr>
            </w:pPr>
          </w:p>
        </w:tc>
        <w:tc>
          <w:tcPr>
            <w:tcW w:w="175" w:type="pct"/>
            <w:tcBorders>
              <w:top w:val="single" w:sz="4" w:space="0" w:color="auto"/>
              <w:left w:val="single" w:sz="4" w:space="0" w:color="auto"/>
              <w:bottom w:val="single" w:sz="4" w:space="0" w:color="auto"/>
              <w:right w:val="single" w:sz="4" w:space="0" w:color="auto"/>
            </w:tcBorders>
            <w:vAlign w:val="center"/>
          </w:tcPr>
          <w:p w14:paraId="4587A8EF" w14:textId="77777777" w:rsidR="002F590A" w:rsidRDefault="002F590A">
            <w:pPr>
              <w:jc w:val="center"/>
              <w:rPr>
                <w:sz w:val="12"/>
                <w:szCs w:val="12"/>
              </w:rPr>
            </w:pPr>
          </w:p>
        </w:tc>
        <w:tc>
          <w:tcPr>
            <w:tcW w:w="173" w:type="pct"/>
            <w:tcBorders>
              <w:top w:val="single" w:sz="4" w:space="0" w:color="auto"/>
              <w:left w:val="single" w:sz="4" w:space="0" w:color="auto"/>
              <w:bottom w:val="single" w:sz="4" w:space="0" w:color="auto"/>
              <w:right w:val="single" w:sz="4" w:space="0" w:color="auto"/>
            </w:tcBorders>
            <w:vAlign w:val="center"/>
          </w:tcPr>
          <w:p w14:paraId="0068B36B" w14:textId="77777777" w:rsidR="002F590A" w:rsidRDefault="002F590A">
            <w:pPr>
              <w:jc w:val="center"/>
              <w:rPr>
                <w:color w:val="000000"/>
                <w:sz w:val="12"/>
                <w:szCs w:val="12"/>
              </w:rPr>
            </w:pPr>
          </w:p>
        </w:tc>
        <w:tc>
          <w:tcPr>
            <w:tcW w:w="172" w:type="pct"/>
            <w:tcBorders>
              <w:top w:val="single" w:sz="4" w:space="0" w:color="auto"/>
              <w:left w:val="single" w:sz="4" w:space="0" w:color="auto"/>
              <w:bottom w:val="single" w:sz="4" w:space="0" w:color="auto"/>
              <w:right w:val="single" w:sz="4" w:space="0" w:color="auto"/>
            </w:tcBorders>
            <w:vAlign w:val="center"/>
          </w:tcPr>
          <w:p w14:paraId="4BB7B423" w14:textId="77777777" w:rsidR="002F590A" w:rsidRDefault="002F590A">
            <w:pPr>
              <w:jc w:val="center"/>
              <w:rPr>
                <w:color w:val="000000"/>
                <w:sz w:val="12"/>
                <w:szCs w:val="12"/>
              </w:rPr>
            </w:pPr>
          </w:p>
        </w:tc>
      </w:tr>
      <w:tr w:rsidR="002F590A" w14:paraId="7D4918E0" w14:textId="77777777" w:rsidTr="002F590A">
        <w:trPr>
          <w:trHeight w:val="1406"/>
        </w:trPr>
        <w:tc>
          <w:tcPr>
            <w:tcW w:w="173" w:type="pct"/>
            <w:tcBorders>
              <w:top w:val="single" w:sz="4" w:space="0" w:color="auto"/>
              <w:left w:val="single" w:sz="4" w:space="0" w:color="auto"/>
              <w:bottom w:val="single" w:sz="4" w:space="0" w:color="auto"/>
              <w:right w:val="single" w:sz="4" w:space="0" w:color="auto"/>
            </w:tcBorders>
            <w:vAlign w:val="center"/>
            <w:hideMark/>
          </w:tcPr>
          <w:p w14:paraId="7EE6B955" w14:textId="77777777" w:rsidR="002F590A" w:rsidRDefault="002F590A">
            <w:pPr>
              <w:jc w:val="center"/>
              <w:rPr>
                <w:sz w:val="12"/>
                <w:szCs w:val="12"/>
              </w:rPr>
            </w:pPr>
            <w:r>
              <w:rPr>
                <w:sz w:val="12"/>
                <w:szCs w:val="12"/>
              </w:rPr>
              <w:t>3.2.7.1</w:t>
            </w:r>
          </w:p>
        </w:tc>
        <w:tc>
          <w:tcPr>
            <w:tcW w:w="280" w:type="pct"/>
            <w:tcBorders>
              <w:top w:val="single" w:sz="4" w:space="0" w:color="auto"/>
              <w:left w:val="single" w:sz="4" w:space="0" w:color="auto"/>
              <w:bottom w:val="single" w:sz="4" w:space="0" w:color="auto"/>
              <w:right w:val="single" w:sz="4" w:space="0" w:color="auto"/>
            </w:tcBorders>
            <w:vAlign w:val="center"/>
            <w:hideMark/>
          </w:tcPr>
          <w:p w14:paraId="7460E258" w14:textId="77777777" w:rsidR="002F590A" w:rsidRDefault="002F590A">
            <w:pPr>
              <w:rPr>
                <w:color w:val="000000"/>
                <w:sz w:val="12"/>
                <w:szCs w:val="12"/>
              </w:rPr>
            </w:pPr>
            <w:r>
              <w:rPr>
                <w:color w:val="000000"/>
                <w:sz w:val="12"/>
                <w:szCs w:val="12"/>
              </w:rPr>
              <w:t xml:space="preserve">Реконструкция солевого насоса </w:t>
            </w:r>
          </w:p>
        </w:tc>
        <w:tc>
          <w:tcPr>
            <w:tcW w:w="313" w:type="pct"/>
            <w:tcBorders>
              <w:top w:val="single" w:sz="4" w:space="0" w:color="auto"/>
              <w:left w:val="single" w:sz="4" w:space="0" w:color="auto"/>
              <w:bottom w:val="single" w:sz="4" w:space="0" w:color="auto"/>
              <w:right w:val="single" w:sz="4" w:space="0" w:color="auto"/>
            </w:tcBorders>
            <w:vAlign w:val="center"/>
            <w:hideMark/>
          </w:tcPr>
          <w:p w14:paraId="43D83C89" w14:textId="77777777" w:rsidR="002F590A" w:rsidRDefault="002F590A">
            <w:pPr>
              <w:jc w:val="center"/>
              <w:rPr>
                <w:sz w:val="12"/>
                <w:szCs w:val="12"/>
              </w:rPr>
            </w:pPr>
            <w:r>
              <w:rPr>
                <w:sz w:val="12"/>
                <w:szCs w:val="12"/>
              </w:rPr>
              <w:t>Повышение надежности (бесперебойности) услуг теплоснабжения, повышение энергетической эффективности</w:t>
            </w:r>
          </w:p>
        </w:tc>
        <w:tc>
          <w:tcPr>
            <w:tcW w:w="275" w:type="pct"/>
            <w:tcBorders>
              <w:top w:val="single" w:sz="4" w:space="0" w:color="auto"/>
              <w:left w:val="single" w:sz="4" w:space="0" w:color="auto"/>
              <w:bottom w:val="single" w:sz="4" w:space="0" w:color="auto"/>
              <w:right w:val="single" w:sz="4" w:space="0" w:color="auto"/>
            </w:tcBorders>
            <w:vAlign w:val="center"/>
            <w:hideMark/>
          </w:tcPr>
          <w:p w14:paraId="59972344" w14:textId="77777777" w:rsidR="002F590A" w:rsidRDefault="002F590A">
            <w:pPr>
              <w:jc w:val="center"/>
              <w:rPr>
                <w:sz w:val="12"/>
                <w:szCs w:val="12"/>
              </w:rPr>
            </w:pPr>
            <w:r>
              <w:rPr>
                <w:sz w:val="12"/>
                <w:szCs w:val="12"/>
              </w:rPr>
              <w:t> </w:t>
            </w:r>
          </w:p>
        </w:tc>
        <w:tc>
          <w:tcPr>
            <w:tcW w:w="303" w:type="pct"/>
            <w:tcBorders>
              <w:top w:val="single" w:sz="4" w:space="0" w:color="auto"/>
              <w:left w:val="single" w:sz="4" w:space="0" w:color="auto"/>
              <w:bottom w:val="single" w:sz="4" w:space="0" w:color="auto"/>
              <w:right w:val="single" w:sz="4" w:space="0" w:color="auto"/>
            </w:tcBorders>
            <w:vAlign w:val="center"/>
            <w:hideMark/>
          </w:tcPr>
          <w:p w14:paraId="1630DD32" w14:textId="77777777" w:rsidR="002F590A" w:rsidRDefault="002F590A">
            <w:pPr>
              <w:jc w:val="center"/>
              <w:rPr>
                <w:sz w:val="12"/>
                <w:szCs w:val="12"/>
              </w:rPr>
            </w:pPr>
            <w:r>
              <w:rPr>
                <w:color w:val="000000"/>
                <w:sz w:val="12"/>
                <w:szCs w:val="12"/>
              </w:rPr>
              <w:t>Технические характеристики</w:t>
            </w:r>
          </w:p>
        </w:tc>
        <w:tc>
          <w:tcPr>
            <w:tcW w:w="139" w:type="pct"/>
            <w:tcBorders>
              <w:top w:val="single" w:sz="4" w:space="0" w:color="auto"/>
              <w:left w:val="single" w:sz="4" w:space="0" w:color="auto"/>
              <w:bottom w:val="single" w:sz="4" w:space="0" w:color="auto"/>
              <w:right w:val="single" w:sz="4" w:space="0" w:color="auto"/>
            </w:tcBorders>
            <w:vAlign w:val="center"/>
          </w:tcPr>
          <w:p w14:paraId="6BA27372" w14:textId="77777777" w:rsidR="002F590A" w:rsidRDefault="002F590A">
            <w:pPr>
              <w:jc w:val="center"/>
              <w:rPr>
                <w:sz w:val="12"/>
                <w:szCs w:val="12"/>
              </w:rPr>
            </w:pPr>
          </w:p>
        </w:tc>
        <w:tc>
          <w:tcPr>
            <w:tcW w:w="300" w:type="pct"/>
            <w:tcBorders>
              <w:top w:val="single" w:sz="4" w:space="0" w:color="auto"/>
              <w:left w:val="single" w:sz="4" w:space="0" w:color="auto"/>
              <w:bottom w:val="single" w:sz="4" w:space="0" w:color="auto"/>
              <w:right w:val="single" w:sz="4" w:space="0" w:color="auto"/>
            </w:tcBorders>
            <w:vAlign w:val="center"/>
            <w:hideMark/>
          </w:tcPr>
          <w:p w14:paraId="5233C3AA" w14:textId="77777777" w:rsidR="002F590A" w:rsidRDefault="002F590A">
            <w:pPr>
              <w:jc w:val="center"/>
              <w:rPr>
                <w:sz w:val="12"/>
                <w:szCs w:val="12"/>
              </w:rPr>
            </w:pPr>
            <w:r>
              <w:rPr>
                <w:sz w:val="12"/>
                <w:szCs w:val="12"/>
              </w:rPr>
              <w:t xml:space="preserve">Насос марки К 65-50-160, центробежный консольный, одноступенчатый, с горизонтальным расположением вала, подача 25,0 м3/час, напор 32,0 м, </w:t>
            </w:r>
          </w:p>
        </w:tc>
        <w:tc>
          <w:tcPr>
            <w:tcW w:w="351" w:type="pct"/>
            <w:tcBorders>
              <w:top w:val="single" w:sz="4" w:space="0" w:color="auto"/>
              <w:left w:val="single" w:sz="4" w:space="0" w:color="auto"/>
              <w:bottom w:val="single" w:sz="4" w:space="0" w:color="auto"/>
              <w:right w:val="single" w:sz="4" w:space="0" w:color="auto"/>
            </w:tcBorders>
            <w:vAlign w:val="center"/>
            <w:hideMark/>
          </w:tcPr>
          <w:p w14:paraId="26E6364A" w14:textId="77777777" w:rsidR="002F590A" w:rsidRDefault="002F590A">
            <w:pPr>
              <w:jc w:val="center"/>
              <w:rPr>
                <w:sz w:val="12"/>
                <w:szCs w:val="12"/>
              </w:rPr>
            </w:pPr>
            <w:r>
              <w:rPr>
                <w:sz w:val="12"/>
                <w:szCs w:val="12"/>
              </w:rPr>
              <w:t>Оборудование с техническими характеристиками не ниже существующего на объекте.</w:t>
            </w:r>
          </w:p>
        </w:tc>
        <w:tc>
          <w:tcPr>
            <w:tcW w:w="139" w:type="pct"/>
            <w:tcBorders>
              <w:top w:val="single" w:sz="4" w:space="0" w:color="auto"/>
              <w:left w:val="single" w:sz="4" w:space="0" w:color="auto"/>
              <w:bottom w:val="single" w:sz="4" w:space="0" w:color="auto"/>
              <w:right w:val="single" w:sz="4" w:space="0" w:color="auto"/>
            </w:tcBorders>
            <w:vAlign w:val="center"/>
            <w:hideMark/>
          </w:tcPr>
          <w:p w14:paraId="68BD6D14" w14:textId="77777777" w:rsidR="002F590A" w:rsidRDefault="002F590A">
            <w:pPr>
              <w:jc w:val="center"/>
              <w:rPr>
                <w:sz w:val="12"/>
                <w:szCs w:val="12"/>
              </w:rPr>
            </w:pPr>
            <w:r>
              <w:rPr>
                <w:sz w:val="12"/>
                <w:szCs w:val="12"/>
              </w:rPr>
              <w:t>2031</w:t>
            </w:r>
          </w:p>
        </w:tc>
        <w:tc>
          <w:tcPr>
            <w:tcW w:w="167" w:type="pct"/>
            <w:tcBorders>
              <w:top w:val="single" w:sz="4" w:space="0" w:color="auto"/>
              <w:left w:val="single" w:sz="4" w:space="0" w:color="auto"/>
              <w:bottom w:val="single" w:sz="4" w:space="0" w:color="auto"/>
              <w:right w:val="single" w:sz="4" w:space="0" w:color="auto"/>
            </w:tcBorders>
            <w:vAlign w:val="center"/>
            <w:hideMark/>
          </w:tcPr>
          <w:p w14:paraId="460E7AF2" w14:textId="77777777" w:rsidR="002F590A" w:rsidRDefault="002F590A">
            <w:pPr>
              <w:jc w:val="center"/>
              <w:rPr>
                <w:sz w:val="12"/>
                <w:szCs w:val="12"/>
              </w:rPr>
            </w:pPr>
            <w:r>
              <w:rPr>
                <w:sz w:val="12"/>
                <w:szCs w:val="12"/>
              </w:rPr>
              <w:t>2031</w:t>
            </w:r>
          </w:p>
        </w:tc>
        <w:tc>
          <w:tcPr>
            <w:tcW w:w="216" w:type="pct"/>
            <w:tcBorders>
              <w:top w:val="single" w:sz="4" w:space="0" w:color="auto"/>
              <w:left w:val="single" w:sz="4" w:space="0" w:color="auto"/>
              <w:bottom w:val="single" w:sz="4" w:space="0" w:color="auto"/>
              <w:right w:val="single" w:sz="4" w:space="0" w:color="auto"/>
            </w:tcBorders>
            <w:vAlign w:val="center"/>
            <w:hideMark/>
          </w:tcPr>
          <w:p w14:paraId="348F7839" w14:textId="77777777" w:rsidR="002F590A" w:rsidRDefault="002F590A">
            <w:pPr>
              <w:jc w:val="center"/>
              <w:rPr>
                <w:color w:val="000000"/>
                <w:sz w:val="12"/>
                <w:szCs w:val="12"/>
              </w:rPr>
            </w:pPr>
            <w:r>
              <w:rPr>
                <w:color w:val="000000"/>
                <w:sz w:val="12"/>
                <w:szCs w:val="12"/>
              </w:rPr>
              <w:t>159,61</w:t>
            </w:r>
          </w:p>
        </w:tc>
        <w:tc>
          <w:tcPr>
            <w:tcW w:w="174" w:type="pct"/>
            <w:tcBorders>
              <w:top w:val="single" w:sz="4" w:space="0" w:color="auto"/>
              <w:left w:val="single" w:sz="4" w:space="0" w:color="auto"/>
              <w:bottom w:val="single" w:sz="4" w:space="0" w:color="auto"/>
              <w:right w:val="single" w:sz="4" w:space="0" w:color="auto"/>
            </w:tcBorders>
            <w:vAlign w:val="center"/>
            <w:hideMark/>
          </w:tcPr>
          <w:p w14:paraId="7F03E22B" w14:textId="77777777" w:rsidR="002F590A" w:rsidRDefault="002F590A">
            <w:pPr>
              <w:jc w:val="center"/>
              <w:rPr>
                <w:color w:val="000000"/>
                <w:sz w:val="12"/>
                <w:szCs w:val="12"/>
              </w:rPr>
            </w:pPr>
            <w:r>
              <w:rPr>
                <w:color w:val="000000"/>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5308860E" w14:textId="77777777" w:rsidR="002F590A" w:rsidRDefault="002F590A">
            <w:pPr>
              <w:jc w:val="center"/>
              <w:rPr>
                <w:sz w:val="12"/>
                <w:szCs w:val="12"/>
              </w:rPr>
            </w:pPr>
            <w:r>
              <w:rPr>
                <w:sz w:val="12"/>
                <w:szCs w:val="12"/>
              </w:rPr>
              <w:t>0,00</w:t>
            </w:r>
          </w:p>
        </w:tc>
        <w:tc>
          <w:tcPr>
            <w:tcW w:w="172" w:type="pct"/>
            <w:tcBorders>
              <w:top w:val="single" w:sz="4" w:space="0" w:color="auto"/>
              <w:left w:val="single" w:sz="4" w:space="0" w:color="auto"/>
              <w:bottom w:val="single" w:sz="4" w:space="0" w:color="auto"/>
              <w:right w:val="single" w:sz="4" w:space="0" w:color="auto"/>
            </w:tcBorders>
            <w:vAlign w:val="center"/>
            <w:hideMark/>
          </w:tcPr>
          <w:p w14:paraId="090B9970"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1D0A02B4" w14:textId="77777777" w:rsidR="002F590A" w:rsidRDefault="002F590A">
            <w:pPr>
              <w:jc w:val="center"/>
              <w:rPr>
                <w:sz w:val="12"/>
                <w:szCs w:val="12"/>
              </w:rPr>
            </w:pPr>
            <w:r>
              <w:rPr>
                <w:sz w:val="12"/>
                <w:szCs w:val="12"/>
              </w:rPr>
              <w:t>0,00</w:t>
            </w:r>
          </w:p>
        </w:tc>
        <w:tc>
          <w:tcPr>
            <w:tcW w:w="216" w:type="pct"/>
            <w:tcBorders>
              <w:top w:val="single" w:sz="4" w:space="0" w:color="auto"/>
              <w:left w:val="single" w:sz="4" w:space="0" w:color="auto"/>
              <w:bottom w:val="single" w:sz="4" w:space="0" w:color="auto"/>
              <w:right w:val="single" w:sz="4" w:space="0" w:color="auto"/>
            </w:tcBorders>
            <w:vAlign w:val="center"/>
            <w:hideMark/>
          </w:tcPr>
          <w:p w14:paraId="241682E4"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0EA833F5"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65DDEA49" w14:textId="77777777" w:rsidR="002F590A" w:rsidRDefault="002F590A">
            <w:pPr>
              <w:jc w:val="center"/>
              <w:rPr>
                <w:sz w:val="12"/>
                <w:szCs w:val="12"/>
              </w:rPr>
            </w:pPr>
            <w:r>
              <w:rPr>
                <w:sz w:val="12"/>
                <w:szCs w:val="12"/>
              </w:rPr>
              <w:t>0,00</w:t>
            </w:r>
          </w:p>
        </w:tc>
        <w:tc>
          <w:tcPr>
            <w:tcW w:w="218" w:type="pct"/>
            <w:tcBorders>
              <w:top w:val="single" w:sz="4" w:space="0" w:color="auto"/>
              <w:left w:val="single" w:sz="4" w:space="0" w:color="auto"/>
              <w:bottom w:val="single" w:sz="4" w:space="0" w:color="auto"/>
              <w:right w:val="single" w:sz="4" w:space="0" w:color="auto"/>
            </w:tcBorders>
            <w:vAlign w:val="center"/>
            <w:hideMark/>
          </w:tcPr>
          <w:p w14:paraId="0D71D9C6"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63BC3FF1"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47EDF789" w14:textId="77777777" w:rsidR="002F590A" w:rsidRDefault="002F590A">
            <w:pPr>
              <w:jc w:val="center"/>
              <w:rPr>
                <w:sz w:val="12"/>
                <w:szCs w:val="12"/>
              </w:rPr>
            </w:pPr>
            <w:r>
              <w:rPr>
                <w:sz w:val="12"/>
                <w:szCs w:val="12"/>
              </w:rPr>
              <w:t>0,00</w:t>
            </w:r>
          </w:p>
        </w:tc>
        <w:tc>
          <w:tcPr>
            <w:tcW w:w="175" w:type="pct"/>
            <w:tcBorders>
              <w:top w:val="single" w:sz="4" w:space="0" w:color="auto"/>
              <w:left w:val="single" w:sz="4" w:space="0" w:color="auto"/>
              <w:bottom w:val="single" w:sz="4" w:space="0" w:color="auto"/>
              <w:right w:val="single" w:sz="4" w:space="0" w:color="auto"/>
            </w:tcBorders>
            <w:vAlign w:val="center"/>
            <w:hideMark/>
          </w:tcPr>
          <w:p w14:paraId="0F3E2DB2" w14:textId="77777777" w:rsidR="002F590A" w:rsidRDefault="002F590A">
            <w:pPr>
              <w:jc w:val="center"/>
              <w:rPr>
                <w:sz w:val="12"/>
                <w:szCs w:val="12"/>
              </w:rPr>
            </w:pPr>
            <w:r>
              <w:rPr>
                <w:sz w:val="12"/>
                <w:szCs w:val="12"/>
              </w:rPr>
              <w:t>159,61</w:t>
            </w:r>
          </w:p>
        </w:tc>
        <w:tc>
          <w:tcPr>
            <w:tcW w:w="173" w:type="pct"/>
            <w:tcBorders>
              <w:top w:val="single" w:sz="4" w:space="0" w:color="auto"/>
              <w:left w:val="single" w:sz="4" w:space="0" w:color="auto"/>
              <w:bottom w:val="single" w:sz="4" w:space="0" w:color="auto"/>
              <w:right w:val="single" w:sz="4" w:space="0" w:color="auto"/>
            </w:tcBorders>
            <w:vAlign w:val="center"/>
            <w:hideMark/>
          </w:tcPr>
          <w:p w14:paraId="5F6BC0DB" w14:textId="77777777" w:rsidR="002F590A" w:rsidRDefault="002F590A">
            <w:pPr>
              <w:jc w:val="center"/>
              <w:rPr>
                <w:color w:val="000000"/>
                <w:sz w:val="12"/>
                <w:szCs w:val="12"/>
              </w:rPr>
            </w:pPr>
            <w:r>
              <w:rPr>
                <w:color w:val="000000"/>
                <w:sz w:val="12"/>
                <w:szCs w:val="12"/>
              </w:rPr>
              <w:t>0,00</w:t>
            </w:r>
          </w:p>
        </w:tc>
        <w:tc>
          <w:tcPr>
            <w:tcW w:w="172" w:type="pct"/>
            <w:tcBorders>
              <w:top w:val="single" w:sz="4" w:space="0" w:color="auto"/>
              <w:left w:val="single" w:sz="4" w:space="0" w:color="auto"/>
              <w:bottom w:val="single" w:sz="4" w:space="0" w:color="auto"/>
              <w:right w:val="single" w:sz="4" w:space="0" w:color="auto"/>
            </w:tcBorders>
            <w:vAlign w:val="center"/>
            <w:hideMark/>
          </w:tcPr>
          <w:p w14:paraId="43D27E6E" w14:textId="77777777" w:rsidR="002F590A" w:rsidRDefault="002F590A">
            <w:pPr>
              <w:jc w:val="center"/>
              <w:rPr>
                <w:color w:val="000000"/>
                <w:sz w:val="12"/>
                <w:szCs w:val="12"/>
              </w:rPr>
            </w:pPr>
            <w:r>
              <w:rPr>
                <w:color w:val="000000"/>
                <w:sz w:val="12"/>
                <w:szCs w:val="12"/>
              </w:rPr>
              <w:t>0,00</w:t>
            </w:r>
          </w:p>
        </w:tc>
      </w:tr>
      <w:tr w:rsidR="002F590A" w14:paraId="76A2BD58" w14:textId="77777777" w:rsidTr="002F590A">
        <w:trPr>
          <w:trHeight w:val="1397"/>
        </w:trPr>
        <w:tc>
          <w:tcPr>
            <w:tcW w:w="173" w:type="pct"/>
            <w:tcBorders>
              <w:top w:val="single" w:sz="4" w:space="0" w:color="auto"/>
              <w:left w:val="single" w:sz="4" w:space="0" w:color="auto"/>
              <w:bottom w:val="single" w:sz="4" w:space="0" w:color="auto"/>
              <w:right w:val="single" w:sz="4" w:space="0" w:color="auto"/>
            </w:tcBorders>
            <w:vAlign w:val="center"/>
            <w:hideMark/>
          </w:tcPr>
          <w:p w14:paraId="784C3E2F" w14:textId="77777777" w:rsidR="002F590A" w:rsidRDefault="002F590A">
            <w:pPr>
              <w:jc w:val="center"/>
              <w:rPr>
                <w:bCs/>
                <w:sz w:val="12"/>
                <w:szCs w:val="12"/>
              </w:rPr>
            </w:pPr>
            <w:r>
              <w:rPr>
                <w:bCs/>
                <w:sz w:val="12"/>
                <w:szCs w:val="12"/>
              </w:rPr>
              <w:t>3.2.8.</w:t>
            </w:r>
          </w:p>
        </w:tc>
        <w:tc>
          <w:tcPr>
            <w:tcW w:w="280" w:type="pct"/>
            <w:tcBorders>
              <w:top w:val="single" w:sz="4" w:space="0" w:color="auto"/>
              <w:left w:val="single" w:sz="4" w:space="0" w:color="auto"/>
              <w:bottom w:val="single" w:sz="4" w:space="0" w:color="auto"/>
              <w:right w:val="single" w:sz="4" w:space="0" w:color="auto"/>
            </w:tcBorders>
            <w:vAlign w:val="center"/>
            <w:hideMark/>
          </w:tcPr>
          <w:p w14:paraId="1FFA982C" w14:textId="77777777" w:rsidR="002F590A" w:rsidRDefault="002F590A">
            <w:pPr>
              <w:rPr>
                <w:bCs/>
                <w:color w:val="000000"/>
                <w:sz w:val="12"/>
                <w:szCs w:val="12"/>
              </w:rPr>
            </w:pPr>
            <w:r>
              <w:rPr>
                <w:bCs/>
                <w:color w:val="000000"/>
                <w:sz w:val="12"/>
                <w:szCs w:val="12"/>
              </w:rPr>
              <w:t>Реконструкция котельной №43</w:t>
            </w:r>
          </w:p>
        </w:tc>
        <w:tc>
          <w:tcPr>
            <w:tcW w:w="313" w:type="pct"/>
            <w:tcBorders>
              <w:top w:val="single" w:sz="4" w:space="0" w:color="auto"/>
              <w:left w:val="single" w:sz="4" w:space="0" w:color="auto"/>
              <w:bottom w:val="single" w:sz="4" w:space="0" w:color="auto"/>
              <w:right w:val="single" w:sz="4" w:space="0" w:color="auto"/>
            </w:tcBorders>
            <w:vAlign w:val="center"/>
          </w:tcPr>
          <w:p w14:paraId="6BAC96A4" w14:textId="77777777" w:rsidR="002F590A" w:rsidRDefault="002F590A">
            <w:pPr>
              <w:jc w:val="center"/>
              <w:rPr>
                <w:sz w:val="12"/>
                <w:szCs w:val="12"/>
              </w:rPr>
            </w:pPr>
          </w:p>
        </w:tc>
        <w:tc>
          <w:tcPr>
            <w:tcW w:w="275" w:type="pct"/>
            <w:tcBorders>
              <w:top w:val="single" w:sz="4" w:space="0" w:color="auto"/>
              <w:left w:val="single" w:sz="4" w:space="0" w:color="auto"/>
              <w:bottom w:val="single" w:sz="4" w:space="0" w:color="auto"/>
              <w:right w:val="single" w:sz="4" w:space="0" w:color="auto"/>
            </w:tcBorders>
            <w:vAlign w:val="center"/>
            <w:hideMark/>
          </w:tcPr>
          <w:p w14:paraId="571BF66E" w14:textId="77777777" w:rsidR="002F590A" w:rsidRDefault="002F590A">
            <w:pPr>
              <w:jc w:val="center"/>
              <w:rPr>
                <w:bCs/>
                <w:sz w:val="12"/>
                <w:szCs w:val="12"/>
              </w:rPr>
            </w:pPr>
            <w:r>
              <w:rPr>
                <w:bCs/>
                <w:sz w:val="12"/>
                <w:szCs w:val="12"/>
              </w:rPr>
              <w:t>Кемеровский городской округ, Заводский район, севернее строения №47 по ул. 4-я Цветочная</w:t>
            </w:r>
          </w:p>
        </w:tc>
        <w:tc>
          <w:tcPr>
            <w:tcW w:w="303" w:type="pct"/>
            <w:tcBorders>
              <w:top w:val="single" w:sz="4" w:space="0" w:color="auto"/>
              <w:left w:val="single" w:sz="4" w:space="0" w:color="auto"/>
              <w:bottom w:val="single" w:sz="4" w:space="0" w:color="auto"/>
              <w:right w:val="single" w:sz="4" w:space="0" w:color="auto"/>
            </w:tcBorders>
            <w:vAlign w:val="center"/>
            <w:hideMark/>
          </w:tcPr>
          <w:p w14:paraId="66C9C6AE" w14:textId="77777777" w:rsidR="002F590A" w:rsidRDefault="002F590A">
            <w:pPr>
              <w:jc w:val="center"/>
              <w:rPr>
                <w:sz w:val="12"/>
                <w:szCs w:val="12"/>
              </w:rPr>
            </w:pPr>
            <w:r>
              <w:rPr>
                <w:color w:val="000000"/>
                <w:sz w:val="12"/>
                <w:szCs w:val="12"/>
              </w:rPr>
              <w:t>Технические характеристики</w:t>
            </w:r>
          </w:p>
        </w:tc>
        <w:tc>
          <w:tcPr>
            <w:tcW w:w="139" w:type="pct"/>
            <w:tcBorders>
              <w:top w:val="single" w:sz="4" w:space="0" w:color="auto"/>
              <w:left w:val="single" w:sz="4" w:space="0" w:color="auto"/>
              <w:bottom w:val="single" w:sz="4" w:space="0" w:color="auto"/>
              <w:right w:val="single" w:sz="4" w:space="0" w:color="auto"/>
            </w:tcBorders>
            <w:vAlign w:val="center"/>
          </w:tcPr>
          <w:p w14:paraId="65D7F08D" w14:textId="77777777" w:rsidR="002F590A" w:rsidRDefault="002F590A">
            <w:pPr>
              <w:jc w:val="center"/>
              <w:rPr>
                <w:sz w:val="12"/>
                <w:szCs w:val="12"/>
              </w:rPr>
            </w:pPr>
          </w:p>
        </w:tc>
        <w:tc>
          <w:tcPr>
            <w:tcW w:w="300" w:type="pct"/>
            <w:tcBorders>
              <w:top w:val="single" w:sz="4" w:space="0" w:color="auto"/>
              <w:left w:val="single" w:sz="4" w:space="0" w:color="auto"/>
              <w:bottom w:val="single" w:sz="4" w:space="0" w:color="auto"/>
              <w:right w:val="single" w:sz="4" w:space="0" w:color="auto"/>
            </w:tcBorders>
            <w:vAlign w:val="center"/>
            <w:hideMark/>
          </w:tcPr>
          <w:p w14:paraId="28344E48" w14:textId="77777777" w:rsidR="002F590A" w:rsidRDefault="002F590A">
            <w:pPr>
              <w:jc w:val="center"/>
              <w:rPr>
                <w:sz w:val="12"/>
                <w:szCs w:val="12"/>
              </w:rPr>
            </w:pPr>
            <w:r>
              <w:rPr>
                <w:sz w:val="12"/>
                <w:szCs w:val="12"/>
              </w:rPr>
              <w:t> </w:t>
            </w:r>
          </w:p>
        </w:tc>
        <w:tc>
          <w:tcPr>
            <w:tcW w:w="351" w:type="pct"/>
            <w:tcBorders>
              <w:top w:val="single" w:sz="4" w:space="0" w:color="auto"/>
              <w:left w:val="single" w:sz="4" w:space="0" w:color="auto"/>
              <w:bottom w:val="single" w:sz="4" w:space="0" w:color="auto"/>
              <w:right w:val="single" w:sz="4" w:space="0" w:color="auto"/>
            </w:tcBorders>
            <w:vAlign w:val="center"/>
            <w:hideMark/>
          </w:tcPr>
          <w:p w14:paraId="79ABD9B3" w14:textId="77777777" w:rsidR="002F590A" w:rsidRDefault="002F590A">
            <w:pPr>
              <w:jc w:val="center"/>
              <w:rPr>
                <w:sz w:val="12"/>
                <w:szCs w:val="12"/>
              </w:rPr>
            </w:pPr>
            <w:r>
              <w:rPr>
                <w:sz w:val="12"/>
                <w:szCs w:val="12"/>
              </w:rPr>
              <w:t> </w:t>
            </w:r>
          </w:p>
        </w:tc>
        <w:tc>
          <w:tcPr>
            <w:tcW w:w="139" w:type="pct"/>
            <w:tcBorders>
              <w:top w:val="single" w:sz="4" w:space="0" w:color="auto"/>
              <w:left w:val="single" w:sz="4" w:space="0" w:color="auto"/>
              <w:bottom w:val="single" w:sz="4" w:space="0" w:color="auto"/>
              <w:right w:val="single" w:sz="4" w:space="0" w:color="auto"/>
            </w:tcBorders>
            <w:vAlign w:val="center"/>
          </w:tcPr>
          <w:p w14:paraId="50CB950C" w14:textId="77777777" w:rsidR="002F590A" w:rsidRDefault="002F590A">
            <w:pPr>
              <w:jc w:val="center"/>
              <w:rPr>
                <w:sz w:val="12"/>
                <w:szCs w:val="12"/>
              </w:rPr>
            </w:pPr>
          </w:p>
        </w:tc>
        <w:tc>
          <w:tcPr>
            <w:tcW w:w="167" w:type="pct"/>
            <w:tcBorders>
              <w:top w:val="single" w:sz="4" w:space="0" w:color="auto"/>
              <w:left w:val="single" w:sz="4" w:space="0" w:color="auto"/>
              <w:bottom w:val="single" w:sz="4" w:space="0" w:color="auto"/>
              <w:right w:val="single" w:sz="4" w:space="0" w:color="auto"/>
            </w:tcBorders>
            <w:vAlign w:val="center"/>
          </w:tcPr>
          <w:p w14:paraId="2D21D24A" w14:textId="77777777" w:rsidR="002F590A" w:rsidRDefault="002F590A">
            <w:pPr>
              <w:jc w:val="center"/>
              <w:rPr>
                <w:sz w:val="12"/>
                <w:szCs w:val="12"/>
              </w:rPr>
            </w:pPr>
          </w:p>
        </w:tc>
        <w:tc>
          <w:tcPr>
            <w:tcW w:w="216" w:type="pct"/>
            <w:tcBorders>
              <w:top w:val="single" w:sz="4" w:space="0" w:color="auto"/>
              <w:left w:val="single" w:sz="4" w:space="0" w:color="auto"/>
              <w:bottom w:val="single" w:sz="4" w:space="0" w:color="auto"/>
              <w:right w:val="single" w:sz="4" w:space="0" w:color="auto"/>
            </w:tcBorders>
            <w:vAlign w:val="center"/>
          </w:tcPr>
          <w:p w14:paraId="058D2E10" w14:textId="77777777" w:rsidR="002F590A" w:rsidRDefault="002F590A">
            <w:pPr>
              <w:jc w:val="center"/>
              <w:rPr>
                <w:color w:val="000000"/>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142CD2BD" w14:textId="77777777" w:rsidR="002F590A" w:rsidRDefault="002F590A">
            <w:pPr>
              <w:jc w:val="center"/>
              <w:rPr>
                <w:color w:val="000000"/>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169D559C" w14:textId="77777777" w:rsidR="002F590A" w:rsidRDefault="002F590A">
            <w:pPr>
              <w:jc w:val="center"/>
              <w:rPr>
                <w:sz w:val="12"/>
                <w:szCs w:val="12"/>
              </w:rPr>
            </w:pPr>
          </w:p>
        </w:tc>
        <w:tc>
          <w:tcPr>
            <w:tcW w:w="172" w:type="pct"/>
            <w:tcBorders>
              <w:top w:val="single" w:sz="4" w:space="0" w:color="auto"/>
              <w:left w:val="single" w:sz="4" w:space="0" w:color="auto"/>
              <w:bottom w:val="single" w:sz="4" w:space="0" w:color="auto"/>
              <w:right w:val="single" w:sz="4" w:space="0" w:color="auto"/>
            </w:tcBorders>
            <w:vAlign w:val="center"/>
          </w:tcPr>
          <w:p w14:paraId="2CE9F6F3" w14:textId="77777777" w:rsidR="002F590A" w:rsidRDefault="002F590A">
            <w:pPr>
              <w:jc w:val="center"/>
              <w:rPr>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26B38160" w14:textId="77777777" w:rsidR="002F590A" w:rsidRDefault="002F590A">
            <w:pPr>
              <w:jc w:val="center"/>
              <w:rPr>
                <w:sz w:val="12"/>
                <w:szCs w:val="12"/>
              </w:rPr>
            </w:pPr>
          </w:p>
        </w:tc>
        <w:tc>
          <w:tcPr>
            <w:tcW w:w="216" w:type="pct"/>
            <w:tcBorders>
              <w:top w:val="single" w:sz="4" w:space="0" w:color="auto"/>
              <w:left w:val="single" w:sz="4" w:space="0" w:color="auto"/>
              <w:bottom w:val="single" w:sz="4" w:space="0" w:color="auto"/>
              <w:right w:val="single" w:sz="4" w:space="0" w:color="auto"/>
            </w:tcBorders>
            <w:vAlign w:val="center"/>
          </w:tcPr>
          <w:p w14:paraId="4F770316" w14:textId="77777777" w:rsidR="002F590A" w:rsidRDefault="002F590A">
            <w:pPr>
              <w:jc w:val="center"/>
              <w:rPr>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23BE3A36" w14:textId="77777777" w:rsidR="002F590A" w:rsidRDefault="002F590A">
            <w:pPr>
              <w:jc w:val="center"/>
              <w:rPr>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53CBED94" w14:textId="77777777" w:rsidR="002F590A" w:rsidRDefault="002F590A">
            <w:pPr>
              <w:jc w:val="center"/>
              <w:rPr>
                <w:sz w:val="12"/>
                <w:szCs w:val="12"/>
              </w:rPr>
            </w:pPr>
          </w:p>
        </w:tc>
        <w:tc>
          <w:tcPr>
            <w:tcW w:w="218" w:type="pct"/>
            <w:tcBorders>
              <w:top w:val="single" w:sz="4" w:space="0" w:color="auto"/>
              <w:left w:val="single" w:sz="4" w:space="0" w:color="auto"/>
              <w:bottom w:val="single" w:sz="4" w:space="0" w:color="auto"/>
              <w:right w:val="single" w:sz="4" w:space="0" w:color="auto"/>
            </w:tcBorders>
            <w:vAlign w:val="center"/>
          </w:tcPr>
          <w:p w14:paraId="516616F0" w14:textId="77777777" w:rsidR="002F590A" w:rsidRDefault="002F590A">
            <w:pPr>
              <w:jc w:val="center"/>
              <w:rPr>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548ADCAA" w14:textId="77777777" w:rsidR="002F590A" w:rsidRDefault="002F590A">
            <w:pPr>
              <w:jc w:val="center"/>
              <w:rPr>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6E4039AD" w14:textId="77777777" w:rsidR="002F590A" w:rsidRDefault="002F590A">
            <w:pPr>
              <w:jc w:val="center"/>
              <w:rPr>
                <w:sz w:val="12"/>
                <w:szCs w:val="12"/>
              </w:rPr>
            </w:pPr>
          </w:p>
        </w:tc>
        <w:tc>
          <w:tcPr>
            <w:tcW w:w="175" w:type="pct"/>
            <w:tcBorders>
              <w:top w:val="single" w:sz="4" w:space="0" w:color="auto"/>
              <w:left w:val="single" w:sz="4" w:space="0" w:color="auto"/>
              <w:bottom w:val="single" w:sz="4" w:space="0" w:color="auto"/>
              <w:right w:val="single" w:sz="4" w:space="0" w:color="auto"/>
            </w:tcBorders>
            <w:vAlign w:val="center"/>
          </w:tcPr>
          <w:p w14:paraId="30F18C79" w14:textId="77777777" w:rsidR="002F590A" w:rsidRDefault="002F590A">
            <w:pPr>
              <w:jc w:val="center"/>
              <w:rPr>
                <w:sz w:val="12"/>
                <w:szCs w:val="12"/>
              </w:rPr>
            </w:pPr>
          </w:p>
        </w:tc>
        <w:tc>
          <w:tcPr>
            <w:tcW w:w="173" w:type="pct"/>
            <w:tcBorders>
              <w:top w:val="single" w:sz="4" w:space="0" w:color="auto"/>
              <w:left w:val="single" w:sz="4" w:space="0" w:color="auto"/>
              <w:bottom w:val="single" w:sz="4" w:space="0" w:color="auto"/>
              <w:right w:val="single" w:sz="4" w:space="0" w:color="auto"/>
            </w:tcBorders>
            <w:vAlign w:val="center"/>
          </w:tcPr>
          <w:p w14:paraId="3DA6C3B7" w14:textId="77777777" w:rsidR="002F590A" w:rsidRDefault="002F590A">
            <w:pPr>
              <w:jc w:val="center"/>
              <w:rPr>
                <w:color w:val="000000"/>
                <w:sz w:val="12"/>
                <w:szCs w:val="12"/>
              </w:rPr>
            </w:pPr>
          </w:p>
        </w:tc>
        <w:tc>
          <w:tcPr>
            <w:tcW w:w="172" w:type="pct"/>
            <w:tcBorders>
              <w:top w:val="single" w:sz="4" w:space="0" w:color="auto"/>
              <w:left w:val="single" w:sz="4" w:space="0" w:color="auto"/>
              <w:bottom w:val="single" w:sz="4" w:space="0" w:color="auto"/>
              <w:right w:val="single" w:sz="4" w:space="0" w:color="auto"/>
            </w:tcBorders>
            <w:vAlign w:val="center"/>
          </w:tcPr>
          <w:p w14:paraId="41AF2171" w14:textId="77777777" w:rsidR="002F590A" w:rsidRDefault="002F590A">
            <w:pPr>
              <w:jc w:val="center"/>
              <w:rPr>
                <w:color w:val="000000"/>
                <w:sz w:val="12"/>
                <w:szCs w:val="12"/>
              </w:rPr>
            </w:pPr>
          </w:p>
        </w:tc>
      </w:tr>
      <w:tr w:rsidR="002F590A" w14:paraId="762A3AAD" w14:textId="77777777" w:rsidTr="002F590A">
        <w:trPr>
          <w:trHeight w:val="1262"/>
        </w:trPr>
        <w:tc>
          <w:tcPr>
            <w:tcW w:w="173" w:type="pct"/>
            <w:tcBorders>
              <w:top w:val="single" w:sz="4" w:space="0" w:color="auto"/>
              <w:left w:val="single" w:sz="4" w:space="0" w:color="auto"/>
              <w:bottom w:val="single" w:sz="4" w:space="0" w:color="auto"/>
              <w:right w:val="single" w:sz="4" w:space="0" w:color="auto"/>
            </w:tcBorders>
            <w:vAlign w:val="center"/>
            <w:hideMark/>
          </w:tcPr>
          <w:p w14:paraId="5C46DC3E" w14:textId="77777777" w:rsidR="002F590A" w:rsidRDefault="002F590A">
            <w:pPr>
              <w:jc w:val="center"/>
              <w:rPr>
                <w:sz w:val="12"/>
                <w:szCs w:val="12"/>
              </w:rPr>
            </w:pPr>
            <w:r>
              <w:rPr>
                <w:sz w:val="12"/>
                <w:szCs w:val="12"/>
              </w:rPr>
              <w:t>3.2.8.1</w:t>
            </w:r>
          </w:p>
        </w:tc>
        <w:tc>
          <w:tcPr>
            <w:tcW w:w="280" w:type="pct"/>
            <w:tcBorders>
              <w:top w:val="single" w:sz="4" w:space="0" w:color="auto"/>
              <w:left w:val="single" w:sz="4" w:space="0" w:color="auto"/>
              <w:bottom w:val="single" w:sz="4" w:space="0" w:color="auto"/>
              <w:right w:val="single" w:sz="4" w:space="0" w:color="auto"/>
            </w:tcBorders>
            <w:vAlign w:val="center"/>
            <w:hideMark/>
          </w:tcPr>
          <w:p w14:paraId="257C195B" w14:textId="77777777" w:rsidR="002F590A" w:rsidRDefault="002F590A">
            <w:pPr>
              <w:rPr>
                <w:color w:val="000000"/>
                <w:sz w:val="12"/>
                <w:szCs w:val="12"/>
              </w:rPr>
            </w:pPr>
            <w:r>
              <w:rPr>
                <w:color w:val="000000"/>
                <w:sz w:val="12"/>
                <w:szCs w:val="12"/>
              </w:rPr>
              <w:t>Реконструкция расширительного бака</w:t>
            </w:r>
          </w:p>
        </w:tc>
        <w:tc>
          <w:tcPr>
            <w:tcW w:w="313" w:type="pct"/>
            <w:tcBorders>
              <w:top w:val="single" w:sz="4" w:space="0" w:color="auto"/>
              <w:left w:val="single" w:sz="4" w:space="0" w:color="auto"/>
              <w:bottom w:val="single" w:sz="4" w:space="0" w:color="auto"/>
              <w:right w:val="single" w:sz="4" w:space="0" w:color="auto"/>
            </w:tcBorders>
            <w:vAlign w:val="center"/>
            <w:hideMark/>
          </w:tcPr>
          <w:p w14:paraId="24E581F1" w14:textId="77777777" w:rsidR="002F590A" w:rsidRDefault="002F590A">
            <w:pPr>
              <w:jc w:val="center"/>
              <w:rPr>
                <w:sz w:val="12"/>
                <w:szCs w:val="12"/>
              </w:rPr>
            </w:pPr>
            <w:r>
              <w:rPr>
                <w:sz w:val="12"/>
                <w:szCs w:val="12"/>
              </w:rPr>
              <w:t>Повышение надежности (бесперебойности) услуг теплоснабжения, повышение энергетической эффективности</w:t>
            </w:r>
          </w:p>
        </w:tc>
        <w:tc>
          <w:tcPr>
            <w:tcW w:w="275" w:type="pct"/>
            <w:tcBorders>
              <w:top w:val="single" w:sz="4" w:space="0" w:color="auto"/>
              <w:left w:val="single" w:sz="4" w:space="0" w:color="auto"/>
              <w:bottom w:val="single" w:sz="4" w:space="0" w:color="auto"/>
              <w:right w:val="single" w:sz="4" w:space="0" w:color="auto"/>
            </w:tcBorders>
            <w:vAlign w:val="center"/>
            <w:hideMark/>
          </w:tcPr>
          <w:p w14:paraId="13B6B1C7" w14:textId="77777777" w:rsidR="002F590A" w:rsidRDefault="002F590A">
            <w:pPr>
              <w:jc w:val="center"/>
              <w:rPr>
                <w:sz w:val="12"/>
                <w:szCs w:val="12"/>
              </w:rPr>
            </w:pPr>
            <w:r>
              <w:rPr>
                <w:sz w:val="12"/>
                <w:szCs w:val="12"/>
              </w:rPr>
              <w:t> </w:t>
            </w:r>
          </w:p>
        </w:tc>
        <w:tc>
          <w:tcPr>
            <w:tcW w:w="303" w:type="pct"/>
            <w:tcBorders>
              <w:top w:val="single" w:sz="4" w:space="0" w:color="auto"/>
              <w:left w:val="single" w:sz="4" w:space="0" w:color="auto"/>
              <w:bottom w:val="single" w:sz="4" w:space="0" w:color="auto"/>
              <w:right w:val="single" w:sz="4" w:space="0" w:color="auto"/>
            </w:tcBorders>
            <w:vAlign w:val="center"/>
            <w:hideMark/>
          </w:tcPr>
          <w:p w14:paraId="62CECDBF" w14:textId="77777777" w:rsidR="002F590A" w:rsidRDefault="002F590A">
            <w:pPr>
              <w:jc w:val="center"/>
              <w:rPr>
                <w:sz w:val="12"/>
                <w:szCs w:val="12"/>
              </w:rPr>
            </w:pPr>
            <w:r>
              <w:rPr>
                <w:color w:val="000000"/>
                <w:sz w:val="12"/>
                <w:szCs w:val="12"/>
              </w:rPr>
              <w:t>Технические характеристики</w:t>
            </w:r>
          </w:p>
        </w:tc>
        <w:tc>
          <w:tcPr>
            <w:tcW w:w="139" w:type="pct"/>
            <w:tcBorders>
              <w:top w:val="single" w:sz="4" w:space="0" w:color="auto"/>
              <w:left w:val="single" w:sz="4" w:space="0" w:color="auto"/>
              <w:bottom w:val="single" w:sz="4" w:space="0" w:color="auto"/>
              <w:right w:val="single" w:sz="4" w:space="0" w:color="auto"/>
            </w:tcBorders>
            <w:vAlign w:val="center"/>
          </w:tcPr>
          <w:p w14:paraId="32B809E7" w14:textId="77777777" w:rsidR="002F590A" w:rsidRDefault="002F590A">
            <w:pPr>
              <w:jc w:val="center"/>
              <w:rPr>
                <w:sz w:val="12"/>
                <w:szCs w:val="12"/>
              </w:rPr>
            </w:pPr>
          </w:p>
        </w:tc>
        <w:tc>
          <w:tcPr>
            <w:tcW w:w="300" w:type="pct"/>
            <w:tcBorders>
              <w:top w:val="single" w:sz="4" w:space="0" w:color="auto"/>
              <w:left w:val="single" w:sz="4" w:space="0" w:color="auto"/>
              <w:bottom w:val="single" w:sz="4" w:space="0" w:color="auto"/>
              <w:right w:val="single" w:sz="4" w:space="0" w:color="auto"/>
            </w:tcBorders>
            <w:vAlign w:val="center"/>
            <w:hideMark/>
          </w:tcPr>
          <w:p w14:paraId="5960C3E0" w14:textId="77777777" w:rsidR="002F590A" w:rsidRDefault="002F590A">
            <w:pPr>
              <w:jc w:val="center"/>
              <w:rPr>
                <w:sz w:val="12"/>
                <w:szCs w:val="12"/>
              </w:rPr>
            </w:pPr>
            <w:r>
              <w:rPr>
                <w:sz w:val="12"/>
                <w:szCs w:val="12"/>
              </w:rPr>
              <w:t>Расширительный бак Reflex 35 л</w:t>
            </w:r>
          </w:p>
        </w:tc>
        <w:tc>
          <w:tcPr>
            <w:tcW w:w="351" w:type="pct"/>
            <w:tcBorders>
              <w:top w:val="single" w:sz="4" w:space="0" w:color="auto"/>
              <w:left w:val="single" w:sz="4" w:space="0" w:color="auto"/>
              <w:bottom w:val="single" w:sz="4" w:space="0" w:color="auto"/>
              <w:right w:val="single" w:sz="4" w:space="0" w:color="auto"/>
            </w:tcBorders>
            <w:vAlign w:val="center"/>
            <w:hideMark/>
          </w:tcPr>
          <w:p w14:paraId="704743DC" w14:textId="77777777" w:rsidR="002F590A" w:rsidRDefault="002F590A">
            <w:pPr>
              <w:jc w:val="center"/>
              <w:rPr>
                <w:sz w:val="12"/>
                <w:szCs w:val="12"/>
              </w:rPr>
            </w:pPr>
            <w:r>
              <w:rPr>
                <w:sz w:val="12"/>
                <w:szCs w:val="12"/>
              </w:rPr>
              <w:t>Оборудование с техническими характеристиками не ниже существующего на объекте.</w:t>
            </w:r>
          </w:p>
        </w:tc>
        <w:tc>
          <w:tcPr>
            <w:tcW w:w="139" w:type="pct"/>
            <w:tcBorders>
              <w:top w:val="single" w:sz="4" w:space="0" w:color="auto"/>
              <w:left w:val="single" w:sz="4" w:space="0" w:color="auto"/>
              <w:bottom w:val="single" w:sz="4" w:space="0" w:color="auto"/>
              <w:right w:val="single" w:sz="4" w:space="0" w:color="auto"/>
            </w:tcBorders>
            <w:vAlign w:val="center"/>
            <w:hideMark/>
          </w:tcPr>
          <w:p w14:paraId="790346CE" w14:textId="77777777" w:rsidR="002F590A" w:rsidRDefault="002F590A">
            <w:pPr>
              <w:jc w:val="center"/>
              <w:rPr>
                <w:sz w:val="12"/>
                <w:szCs w:val="12"/>
              </w:rPr>
            </w:pPr>
            <w:r>
              <w:rPr>
                <w:sz w:val="12"/>
                <w:szCs w:val="12"/>
              </w:rPr>
              <w:t>2031</w:t>
            </w:r>
          </w:p>
        </w:tc>
        <w:tc>
          <w:tcPr>
            <w:tcW w:w="167" w:type="pct"/>
            <w:tcBorders>
              <w:top w:val="single" w:sz="4" w:space="0" w:color="auto"/>
              <w:left w:val="single" w:sz="4" w:space="0" w:color="auto"/>
              <w:bottom w:val="single" w:sz="4" w:space="0" w:color="auto"/>
              <w:right w:val="single" w:sz="4" w:space="0" w:color="auto"/>
            </w:tcBorders>
            <w:vAlign w:val="center"/>
            <w:hideMark/>
          </w:tcPr>
          <w:p w14:paraId="0DC03EA8" w14:textId="77777777" w:rsidR="002F590A" w:rsidRDefault="002F590A">
            <w:pPr>
              <w:jc w:val="center"/>
              <w:rPr>
                <w:sz w:val="12"/>
                <w:szCs w:val="12"/>
              </w:rPr>
            </w:pPr>
            <w:r>
              <w:rPr>
                <w:sz w:val="12"/>
                <w:szCs w:val="12"/>
              </w:rPr>
              <w:t>2031</w:t>
            </w:r>
          </w:p>
        </w:tc>
        <w:tc>
          <w:tcPr>
            <w:tcW w:w="216" w:type="pct"/>
            <w:tcBorders>
              <w:top w:val="single" w:sz="4" w:space="0" w:color="auto"/>
              <w:left w:val="single" w:sz="4" w:space="0" w:color="auto"/>
              <w:bottom w:val="single" w:sz="4" w:space="0" w:color="auto"/>
              <w:right w:val="single" w:sz="4" w:space="0" w:color="auto"/>
            </w:tcBorders>
            <w:vAlign w:val="center"/>
            <w:hideMark/>
          </w:tcPr>
          <w:p w14:paraId="23306336" w14:textId="77777777" w:rsidR="002F590A" w:rsidRDefault="002F590A">
            <w:pPr>
              <w:jc w:val="center"/>
              <w:rPr>
                <w:color w:val="000000"/>
                <w:sz w:val="12"/>
                <w:szCs w:val="12"/>
              </w:rPr>
            </w:pPr>
            <w:r>
              <w:rPr>
                <w:color w:val="000000"/>
                <w:sz w:val="12"/>
                <w:szCs w:val="12"/>
              </w:rPr>
              <w:t>285,05</w:t>
            </w:r>
          </w:p>
        </w:tc>
        <w:tc>
          <w:tcPr>
            <w:tcW w:w="174" w:type="pct"/>
            <w:tcBorders>
              <w:top w:val="single" w:sz="4" w:space="0" w:color="auto"/>
              <w:left w:val="single" w:sz="4" w:space="0" w:color="auto"/>
              <w:bottom w:val="single" w:sz="4" w:space="0" w:color="auto"/>
              <w:right w:val="single" w:sz="4" w:space="0" w:color="auto"/>
            </w:tcBorders>
            <w:vAlign w:val="center"/>
            <w:hideMark/>
          </w:tcPr>
          <w:p w14:paraId="125AE098" w14:textId="77777777" w:rsidR="002F590A" w:rsidRDefault="002F590A">
            <w:pPr>
              <w:jc w:val="center"/>
              <w:rPr>
                <w:color w:val="000000"/>
                <w:sz w:val="12"/>
                <w:szCs w:val="12"/>
              </w:rPr>
            </w:pPr>
            <w:r>
              <w:rPr>
                <w:color w:val="000000"/>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4366CFC1" w14:textId="77777777" w:rsidR="002F590A" w:rsidRDefault="002F590A">
            <w:pPr>
              <w:jc w:val="center"/>
              <w:rPr>
                <w:sz w:val="12"/>
                <w:szCs w:val="12"/>
              </w:rPr>
            </w:pPr>
            <w:r>
              <w:rPr>
                <w:sz w:val="12"/>
                <w:szCs w:val="12"/>
              </w:rPr>
              <w:t>0,00</w:t>
            </w:r>
          </w:p>
        </w:tc>
        <w:tc>
          <w:tcPr>
            <w:tcW w:w="172" w:type="pct"/>
            <w:tcBorders>
              <w:top w:val="single" w:sz="4" w:space="0" w:color="auto"/>
              <w:left w:val="single" w:sz="4" w:space="0" w:color="auto"/>
              <w:bottom w:val="single" w:sz="4" w:space="0" w:color="auto"/>
              <w:right w:val="single" w:sz="4" w:space="0" w:color="auto"/>
            </w:tcBorders>
            <w:vAlign w:val="center"/>
            <w:hideMark/>
          </w:tcPr>
          <w:p w14:paraId="5A3D0337"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71B14898" w14:textId="77777777" w:rsidR="002F590A" w:rsidRDefault="002F590A">
            <w:pPr>
              <w:jc w:val="center"/>
              <w:rPr>
                <w:sz w:val="12"/>
                <w:szCs w:val="12"/>
              </w:rPr>
            </w:pPr>
            <w:r>
              <w:rPr>
                <w:sz w:val="12"/>
                <w:szCs w:val="12"/>
              </w:rPr>
              <w:t>0,00</w:t>
            </w:r>
          </w:p>
        </w:tc>
        <w:tc>
          <w:tcPr>
            <w:tcW w:w="216" w:type="pct"/>
            <w:tcBorders>
              <w:top w:val="single" w:sz="4" w:space="0" w:color="auto"/>
              <w:left w:val="single" w:sz="4" w:space="0" w:color="auto"/>
              <w:bottom w:val="single" w:sz="4" w:space="0" w:color="auto"/>
              <w:right w:val="single" w:sz="4" w:space="0" w:color="auto"/>
            </w:tcBorders>
            <w:vAlign w:val="center"/>
            <w:hideMark/>
          </w:tcPr>
          <w:p w14:paraId="393AD379"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20CFA44C"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58DEBB32" w14:textId="77777777" w:rsidR="002F590A" w:rsidRDefault="002F590A">
            <w:pPr>
              <w:jc w:val="center"/>
              <w:rPr>
                <w:sz w:val="12"/>
                <w:szCs w:val="12"/>
              </w:rPr>
            </w:pPr>
            <w:r>
              <w:rPr>
                <w:sz w:val="12"/>
                <w:szCs w:val="12"/>
              </w:rPr>
              <w:t>0,00</w:t>
            </w:r>
          </w:p>
        </w:tc>
        <w:tc>
          <w:tcPr>
            <w:tcW w:w="218" w:type="pct"/>
            <w:tcBorders>
              <w:top w:val="single" w:sz="4" w:space="0" w:color="auto"/>
              <w:left w:val="single" w:sz="4" w:space="0" w:color="auto"/>
              <w:bottom w:val="single" w:sz="4" w:space="0" w:color="auto"/>
              <w:right w:val="single" w:sz="4" w:space="0" w:color="auto"/>
            </w:tcBorders>
            <w:vAlign w:val="center"/>
            <w:hideMark/>
          </w:tcPr>
          <w:p w14:paraId="73C040DB"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31850DA4"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58691EA0" w14:textId="77777777" w:rsidR="002F590A" w:rsidRDefault="002F590A">
            <w:pPr>
              <w:jc w:val="center"/>
              <w:rPr>
                <w:sz w:val="12"/>
                <w:szCs w:val="12"/>
              </w:rPr>
            </w:pPr>
            <w:r>
              <w:rPr>
                <w:sz w:val="12"/>
                <w:szCs w:val="12"/>
              </w:rPr>
              <w:t>0,00</w:t>
            </w:r>
          </w:p>
        </w:tc>
        <w:tc>
          <w:tcPr>
            <w:tcW w:w="175" w:type="pct"/>
            <w:tcBorders>
              <w:top w:val="single" w:sz="4" w:space="0" w:color="auto"/>
              <w:left w:val="single" w:sz="4" w:space="0" w:color="auto"/>
              <w:bottom w:val="single" w:sz="4" w:space="0" w:color="auto"/>
              <w:right w:val="single" w:sz="4" w:space="0" w:color="auto"/>
            </w:tcBorders>
            <w:vAlign w:val="center"/>
            <w:hideMark/>
          </w:tcPr>
          <w:p w14:paraId="53C8B5FE" w14:textId="77777777" w:rsidR="002F590A" w:rsidRDefault="002F590A">
            <w:pPr>
              <w:jc w:val="center"/>
              <w:rPr>
                <w:sz w:val="12"/>
                <w:szCs w:val="12"/>
              </w:rPr>
            </w:pPr>
            <w:r>
              <w:rPr>
                <w:sz w:val="12"/>
                <w:szCs w:val="12"/>
              </w:rPr>
              <w:t>285,05</w:t>
            </w:r>
          </w:p>
        </w:tc>
        <w:tc>
          <w:tcPr>
            <w:tcW w:w="173" w:type="pct"/>
            <w:tcBorders>
              <w:top w:val="single" w:sz="4" w:space="0" w:color="auto"/>
              <w:left w:val="single" w:sz="4" w:space="0" w:color="auto"/>
              <w:bottom w:val="single" w:sz="4" w:space="0" w:color="auto"/>
              <w:right w:val="single" w:sz="4" w:space="0" w:color="auto"/>
            </w:tcBorders>
            <w:vAlign w:val="center"/>
            <w:hideMark/>
          </w:tcPr>
          <w:p w14:paraId="55FAB141" w14:textId="77777777" w:rsidR="002F590A" w:rsidRDefault="002F590A">
            <w:pPr>
              <w:jc w:val="center"/>
              <w:rPr>
                <w:color w:val="000000"/>
                <w:sz w:val="12"/>
                <w:szCs w:val="12"/>
              </w:rPr>
            </w:pPr>
            <w:r>
              <w:rPr>
                <w:color w:val="000000"/>
                <w:sz w:val="12"/>
                <w:szCs w:val="12"/>
              </w:rPr>
              <w:t>0,00</w:t>
            </w:r>
          </w:p>
        </w:tc>
        <w:tc>
          <w:tcPr>
            <w:tcW w:w="172" w:type="pct"/>
            <w:tcBorders>
              <w:top w:val="single" w:sz="4" w:space="0" w:color="auto"/>
              <w:left w:val="single" w:sz="4" w:space="0" w:color="auto"/>
              <w:bottom w:val="single" w:sz="4" w:space="0" w:color="auto"/>
              <w:right w:val="single" w:sz="4" w:space="0" w:color="auto"/>
            </w:tcBorders>
            <w:vAlign w:val="center"/>
            <w:hideMark/>
          </w:tcPr>
          <w:p w14:paraId="0D6EFE9B" w14:textId="77777777" w:rsidR="002F590A" w:rsidRDefault="002F590A">
            <w:pPr>
              <w:jc w:val="center"/>
              <w:rPr>
                <w:color w:val="000000"/>
                <w:sz w:val="12"/>
                <w:szCs w:val="12"/>
              </w:rPr>
            </w:pPr>
            <w:r>
              <w:rPr>
                <w:color w:val="000000"/>
                <w:sz w:val="12"/>
                <w:szCs w:val="12"/>
              </w:rPr>
              <w:t>0,00</w:t>
            </w:r>
          </w:p>
        </w:tc>
      </w:tr>
      <w:tr w:rsidR="002F590A" w14:paraId="19A6E0F8" w14:textId="77777777" w:rsidTr="002F590A">
        <w:trPr>
          <w:trHeight w:val="982"/>
        </w:trPr>
        <w:tc>
          <w:tcPr>
            <w:tcW w:w="173" w:type="pct"/>
            <w:tcBorders>
              <w:top w:val="single" w:sz="4" w:space="0" w:color="auto"/>
              <w:left w:val="single" w:sz="4" w:space="0" w:color="auto"/>
              <w:bottom w:val="single" w:sz="4" w:space="0" w:color="auto"/>
              <w:right w:val="single" w:sz="4" w:space="0" w:color="auto"/>
            </w:tcBorders>
            <w:vAlign w:val="center"/>
            <w:hideMark/>
          </w:tcPr>
          <w:p w14:paraId="4D19EBCB" w14:textId="77777777" w:rsidR="002F590A" w:rsidRDefault="002F590A">
            <w:pPr>
              <w:jc w:val="center"/>
              <w:rPr>
                <w:bCs/>
                <w:sz w:val="12"/>
                <w:szCs w:val="12"/>
              </w:rPr>
            </w:pPr>
            <w:r>
              <w:rPr>
                <w:bCs/>
                <w:sz w:val="12"/>
                <w:szCs w:val="12"/>
              </w:rPr>
              <w:t>3.2.9.</w:t>
            </w:r>
          </w:p>
        </w:tc>
        <w:tc>
          <w:tcPr>
            <w:tcW w:w="280" w:type="pct"/>
            <w:tcBorders>
              <w:top w:val="single" w:sz="4" w:space="0" w:color="auto"/>
              <w:left w:val="single" w:sz="4" w:space="0" w:color="auto"/>
              <w:bottom w:val="single" w:sz="4" w:space="0" w:color="auto"/>
              <w:right w:val="single" w:sz="4" w:space="0" w:color="auto"/>
            </w:tcBorders>
            <w:vAlign w:val="center"/>
            <w:hideMark/>
          </w:tcPr>
          <w:p w14:paraId="7677A8C7" w14:textId="77777777" w:rsidR="002F590A" w:rsidRDefault="002F590A">
            <w:pPr>
              <w:rPr>
                <w:bCs/>
                <w:color w:val="000000"/>
                <w:sz w:val="12"/>
                <w:szCs w:val="12"/>
              </w:rPr>
            </w:pPr>
            <w:r>
              <w:rPr>
                <w:bCs/>
                <w:color w:val="000000"/>
                <w:sz w:val="12"/>
                <w:szCs w:val="12"/>
              </w:rPr>
              <w:t>Реконструкция котельной №47</w:t>
            </w:r>
          </w:p>
        </w:tc>
        <w:tc>
          <w:tcPr>
            <w:tcW w:w="313" w:type="pct"/>
            <w:tcBorders>
              <w:top w:val="single" w:sz="4" w:space="0" w:color="auto"/>
              <w:left w:val="single" w:sz="4" w:space="0" w:color="auto"/>
              <w:bottom w:val="single" w:sz="4" w:space="0" w:color="auto"/>
              <w:right w:val="single" w:sz="4" w:space="0" w:color="auto"/>
            </w:tcBorders>
            <w:vAlign w:val="center"/>
          </w:tcPr>
          <w:p w14:paraId="6792D8EB" w14:textId="77777777" w:rsidR="002F590A" w:rsidRDefault="002F590A">
            <w:pPr>
              <w:jc w:val="center"/>
              <w:rPr>
                <w:sz w:val="12"/>
                <w:szCs w:val="12"/>
              </w:rPr>
            </w:pPr>
          </w:p>
        </w:tc>
        <w:tc>
          <w:tcPr>
            <w:tcW w:w="275" w:type="pct"/>
            <w:tcBorders>
              <w:top w:val="single" w:sz="4" w:space="0" w:color="auto"/>
              <w:left w:val="single" w:sz="4" w:space="0" w:color="auto"/>
              <w:bottom w:val="single" w:sz="4" w:space="0" w:color="auto"/>
              <w:right w:val="single" w:sz="4" w:space="0" w:color="auto"/>
            </w:tcBorders>
            <w:vAlign w:val="center"/>
            <w:hideMark/>
          </w:tcPr>
          <w:p w14:paraId="0798AEAE" w14:textId="77777777" w:rsidR="002F590A" w:rsidRDefault="002F590A">
            <w:pPr>
              <w:jc w:val="center"/>
              <w:rPr>
                <w:bCs/>
                <w:sz w:val="12"/>
                <w:szCs w:val="12"/>
              </w:rPr>
            </w:pPr>
            <w:r>
              <w:rPr>
                <w:bCs/>
                <w:sz w:val="12"/>
                <w:szCs w:val="12"/>
              </w:rPr>
              <w:t>Кемеровский городской округ, ул. Бийская, 37 (котельная №47)</w:t>
            </w:r>
          </w:p>
        </w:tc>
        <w:tc>
          <w:tcPr>
            <w:tcW w:w="303" w:type="pct"/>
            <w:tcBorders>
              <w:top w:val="single" w:sz="4" w:space="0" w:color="auto"/>
              <w:left w:val="single" w:sz="4" w:space="0" w:color="auto"/>
              <w:bottom w:val="single" w:sz="4" w:space="0" w:color="auto"/>
              <w:right w:val="single" w:sz="4" w:space="0" w:color="auto"/>
            </w:tcBorders>
            <w:vAlign w:val="center"/>
            <w:hideMark/>
          </w:tcPr>
          <w:p w14:paraId="0771EDA1" w14:textId="77777777" w:rsidR="002F590A" w:rsidRDefault="002F590A">
            <w:pPr>
              <w:jc w:val="center"/>
              <w:rPr>
                <w:sz w:val="12"/>
                <w:szCs w:val="12"/>
              </w:rPr>
            </w:pPr>
            <w:r>
              <w:rPr>
                <w:color w:val="000000"/>
                <w:sz w:val="12"/>
                <w:szCs w:val="12"/>
              </w:rPr>
              <w:t>Технические характеристики</w:t>
            </w:r>
          </w:p>
        </w:tc>
        <w:tc>
          <w:tcPr>
            <w:tcW w:w="139" w:type="pct"/>
            <w:tcBorders>
              <w:top w:val="single" w:sz="4" w:space="0" w:color="auto"/>
              <w:left w:val="single" w:sz="4" w:space="0" w:color="auto"/>
              <w:bottom w:val="single" w:sz="4" w:space="0" w:color="auto"/>
              <w:right w:val="single" w:sz="4" w:space="0" w:color="auto"/>
            </w:tcBorders>
            <w:vAlign w:val="center"/>
          </w:tcPr>
          <w:p w14:paraId="38B5F79B" w14:textId="77777777" w:rsidR="002F590A" w:rsidRDefault="002F590A">
            <w:pPr>
              <w:jc w:val="center"/>
              <w:rPr>
                <w:sz w:val="12"/>
                <w:szCs w:val="12"/>
              </w:rPr>
            </w:pPr>
          </w:p>
        </w:tc>
        <w:tc>
          <w:tcPr>
            <w:tcW w:w="300" w:type="pct"/>
            <w:tcBorders>
              <w:top w:val="single" w:sz="4" w:space="0" w:color="auto"/>
              <w:left w:val="single" w:sz="4" w:space="0" w:color="auto"/>
              <w:bottom w:val="single" w:sz="4" w:space="0" w:color="auto"/>
              <w:right w:val="single" w:sz="4" w:space="0" w:color="auto"/>
            </w:tcBorders>
            <w:vAlign w:val="center"/>
            <w:hideMark/>
          </w:tcPr>
          <w:p w14:paraId="37E8BF0A" w14:textId="77777777" w:rsidR="002F590A" w:rsidRDefault="002F590A">
            <w:pPr>
              <w:jc w:val="center"/>
              <w:rPr>
                <w:sz w:val="12"/>
                <w:szCs w:val="12"/>
              </w:rPr>
            </w:pPr>
            <w:r>
              <w:rPr>
                <w:sz w:val="12"/>
                <w:szCs w:val="12"/>
              </w:rPr>
              <w:t> </w:t>
            </w:r>
          </w:p>
        </w:tc>
        <w:tc>
          <w:tcPr>
            <w:tcW w:w="351" w:type="pct"/>
            <w:tcBorders>
              <w:top w:val="single" w:sz="4" w:space="0" w:color="auto"/>
              <w:left w:val="single" w:sz="4" w:space="0" w:color="auto"/>
              <w:bottom w:val="single" w:sz="4" w:space="0" w:color="auto"/>
              <w:right w:val="single" w:sz="4" w:space="0" w:color="auto"/>
            </w:tcBorders>
            <w:vAlign w:val="center"/>
            <w:hideMark/>
          </w:tcPr>
          <w:p w14:paraId="76F5B247" w14:textId="77777777" w:rsidR="002F590A" w:rsidRDefault="002F590A">
            <w:pPr>
              <w:jc w:val="center"/>
              <w:rPr>
                <w:sz w:val="12"/>
                <w:szCs w:val="12"/>
              </w:rPr>
            </w:pPr>
            <w:r>
              <w:rPr>
                <w:sz w:val="12"/>
                <w:szCs w:val="12"/>
              </w:rPr>
              <w:t> </w:t>
            </w:r>
          </w:p>
        </w:tc>
        <w:tc>
          <w:tcPr>
            <w:tcW w:w="139" w:type="pct"/>
            <w:tcBorders>
              <w:top w:val="single" w:sz="4" w:space="0" w:color="auto"/>
              <w:left w:val="single" w:sz="4" w:space="0" w:color="auto"/>
              <w:bottom w:val="single" w:sz="4" w:space="0" w:color="auto"/>
              <w:right w:val="single" w:sz="4" w:space="0" w:color="auto"/>
            </w:tcBorders>
            <w:vAlign w:val="center"/>
          </w:tcPr>
          <w:p w14:paraId="4AC55138" w14:textId="77777777" w:rsidR="002F590A" w:rsidRDefault="002F590A">
            <w:pPr>
              <w:jc w:val="center"/>
              <w:rPr>
                <w:sz w:val="12"/>
                <w:szCs w:val="12"/>
              </w:rPr>
            </w:pPr>
          </w:p>
        </w:tc>
        <w:tc>
          <w:tcPr>
            <w:tcW w:w="167" w:type="pct"/>
            <w:tcBorders>
              <w:top w:val="single" w:sz="4" w:space="0" w:color="auto"/>
              <w:left w:val="single" w:sz="4" w:space="0" w:color="auto"/>
              <w:bottom w:val="single" w:sz="4" w:space="0" w:color="auto"/>
              <w:right w:val="single" w:sz="4" w:space="0" w:color="auto"/>
            </w:tcBorders>
            <w:vAlign w:val="center"/>
          </w:tcPr>
          <w:p w14:paraId="0EC99BE7" w14:textId="77777777" w:rsidR="002F590A" w:rsidRDefault="002F590A">
            <w:pPr>
              <w:jc w:val="center"/>
              <w:rPr>
                <w:sz w:val="12"/>
                <w:szCs w:val="12"/>
              </w:rPr>
            </w:pPr>
          </w:p>
        </w:tc>
        <w:tc>
          <w:tcPr>
            <w:tcW w:w="216" w:type="pct"/>
            <w:tcBorders>
              <w:top w:val="single" w:sz="4" w:space="0" w:color="auto"/>
              <w:left w:val="single" w:sz="4" w:space="0" w:color="auto"/>
              <w:bottom w:val="single" w:sz="4" w:space="0" w:color="auto"/>
              <w:right w:val="single" w:sz="4" w:space="0" w:color="auto"/>
            </w:tcBorders>
            <w:vAlign w:val="center"/>
          </w:tcPr>
          <w:p w14:paraId="676E9620" w14:textId="77777777" w:rsidR="002F590A" w:rsidRDefault="002F590A">
            <w:pPr>
              <w:jc w:val="center"/>
              <w:rPr>
                <w:color w:val="000000"/>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18824615" w14:textId="77777777" w:rsidR="002F590A" w:rsidRDefault="002F590A">
            <w:pPr>
              <w:jc w:val="center"/>
              <w:rPr>
                <w:color w:val="000000"/>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58C76227" w14:textId="77777777" w:rsidR="002F590A" w:rsidRDefault="002F590A">
            <w:pPr>
              <w:jc w:val="center"/>
              <w:rPr>
                <w:sz w:val="12"/>
                <w:szCs w:val="12"/>
              </w:rPr>
            </w:pPr>
          </w:p>
        </w:tc>
        <w:tc>
          <w:tcPr>
            <w:tcW w:w="172" w:type="pct"/>
            <w:tcBorders>
              <w:top w:val="single" w:sz="4" w:space="0" w:color="auto"/>
              <w:left w:val="single" w:sz="4" w:space="0" w:color="auto"/>
              <w:bottom w:val="single" w:sz="4" w:space="0" w:color="auto"/>
              <w:right w:val="single" w:sz="4" w:space="0" w:color="auto"/>
            </w:tcBorders>
            <w:vAlign w:val="center"/>
          </w:tcPr>
          <w:p w14:paraId="740D59CA" w14:textId="77777777" w:rsidR="002F590A" w:rsidRDefault="002F590A">
            <w:pPr>
              <w:jc w:val="center"/>
              <w:rPr>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3F3AA29A" w14:textId="77777777" w:rsidR="002F590A" w:rsidRDefault="002F590A">
            <w:pPr>
              <w:jc w:val="center"/>
              <w:rPr>
                <w:sz w:val="12"/>
                <w:szCs w:val="12"/>
              </w:rPr>
            </w:pPr>
          </w:p>
        </w:tc>
        <w:tc>
          <w:tcPr>
            <w:tcW w:w="216" w:type="pct"/>
            <w:tcBorders>
              <w:top w:val="single" w:sz="4" w:space="0" w:color="auto"/>
              <w:left w:val="single" w:sz="4" w:space="0" w:color="auto"/>
              <w:bottom w:val="single" w:sz="4" w:space="0" w:color="auto"/>
              <w:right w:val="single" w:sz="4" w:space="0" w:color="auto"/>
            </w:tcBorders>
            <w:vAlign w:val="center"/>
          </w:tcPr>
          <w:p w14:paraId="477CD07A" w14:textId="77777777" w:rsidR="002F590A" w:rsidRDefault="002F590A">
            <w:pPr>
              <w:jc w:val="center"/>
              <w:rPr>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1A56ACB1" w14:textId="77777777" w:rsidR="002F590A" w:rsidRDefault="002F590A">
            <w:pPr>
              <w:jc w:val="center"/>
              <w:rPr>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0A2BCA03" w14:textId="77777777" w:rsidR="002F590A" w:rsidRDefault="002F590A">
            <w:pPr>
              <w:jc w:val="center"/>
              <w:rPr>
                <w:sz w:val="12"/>
                <w:szCs w:val="12"/>
              </w:rPr>
            </w:pPr>
          </w:p>
        </w:tc>
        <w:tc>
          <w:tcPr>
            <w:tcW w:w="218" w:type="pct"/>
            <w:tcBorders>
              <w:top w:val="single" w:sz="4" w:space="0" w:color="auto"/>
              <w:left w:val="single" w:sz="4" w:space="0" w:color="auto"/>
              <w:bottom w:val="single" w:sz="4" w:space="0" w:color="auto"/>
              <w:right w:val="single" w:sz="4" w:space="0" w:color="auto"/>
            </w:tcBorders>
            <w:vAlign w:val="center"/>
          </w:tcPr>
          <w:p w14:paraId="4CF1820C" w14:textId="77777777" w:rsidR="002F590A" w:rsidRDefault="002F590A">
            <w:pPr>
              <w:jc w:val="center"/>
              <w:rPr>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6816DF99" w14:textId="77777777" w:rsidR="002F590A" w:rsidRDefault="002F590A">
            <w:pPr>
              <w:jc w:val="center"/>
              <w:rPr>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508CD73C" w14:textId="77777777" w:rsidR="002F590A" w:rsidRDefault="002F590A">
            <w:pPr>
              <w:jc w:val="center"/>
              <w:rPr>
                <w:sz w:val="12"/>
                <w:szCs w:val="12"/>
              </w:rPr>
            </w:pPr>
          </w:p>
        </w:tc>
        <w:tc>
          <w:tcPr>
            <w:tcW w:w="175" w:type="pct"/>
            <w:tcBorders>
              <w:top w:val="single" w:sz="4" w:space="0" w:color="auto"/>
              <w:left w:val="single" w:sz="4" w:space="0" w:color="auto"/>
              <w:bottom w:val="single" w:sz="4" w:space="0" w:color="auto"/>
              <w:right w:val="single" w:sz="4" w:space="0" w:color="auto"/>
            </w:tcBorders>
            <w:vAlign w:val="center"/>
          </w:tcPr>
          <w:p w14:paraId="4629ECCB" w14:textId="77777777" w:rsidR="002F590A" w:rsidRDefault="002F590A">
            <w:pPr>
              <w:jc w:val="center"/>
              <w:rPr>
                <w:sz w:val="12"/>
                <w:szCs w:val="12"/>
              </w:rPr>
            </w:pPr>
          </w:p>
        </w:tc>
        <w:tc>
          <w:tcPr>
            <w:tcW w:w="173" w:type="pct"/>
            <w:tcBorders>
              <w:top w:val="single" w:sz="4" w:space="0" w:color="auto"/>
              <w:left w:val="single" w:sz="4" w:space="0" w:color="auto"/>
              <w:bottom w:val="single" w:sz="4" w:space="0" w:color="auto"/>
              <w:right w:val="single" w:sz="4" w:space="0" w:color="auto"/>
            </w:tcBorders>
            <w:vAlign w:val="center"/>
          </w:tcPr>
          <w:p w14:paraId="516DF2F9" w14:textId="77777777" w:rsidR="002F590A" w:rsidRDefault="002F590A">
            <w:pPr>
              <w:jc w:val="center"/>
              <w:rPr>
                <w:color w:val="000000"/>
                <w:sz w:val="12"/>
                <w:szCs w:val="12"/>
              </w:rPr>
            </w:pPr>
          </w:p>
        </w:tc>
        <w:tc>
          <w:tcPr>
            <w:tcW w:w="172" w:type="pct"/>
            <w:tcBorders>
              <w:top w:val="single" w:sz="4" w:space="0" w:color="auto"/>
              <w:left w:val="single" w:sz="4" w:space="0" w:color="auto"/>
              <w:bottom w:val="single" w:sz="4" w:space="0" w:color="auto"/>
              <w:right w:val="single" w:sz="4" w:space="0" w:color="auto"/>
            </w:tcBorders>
            <w:vAlign w:val="center"/>
          </w:tcPr>
          <w:p w14:paraId="020F2263" w14:textId="77777777" w:rsidR="002F590A" w:rsidRDefault="002F590A">
            <w:pPr>
              <w:jc w:val="center"/>
              <w:rPr>
                <w:color w:val="000000"/>
                <w:sz w:val="12"/>
                <w:szCs w:val="12"/>
              </w:rPr>
            </w:pPr>
          </w:p>
        </w:tc>
      </w:tr>
      <w:tr w:rsidR="002F590A" w14:paraId="5FA1B6B9" w14:textId="77777777" w:rsidTr="002F590A">
        <w:trPr>
          <w:trHeight w:val="1989"/>
        </w:trPr>
        <w:tc>
          <w:tcPr>
            <w:tcW w:w="173" w:type="pct"/>
            <w:tcBorders>
              <w:top w:val="single" w:sz="4" w:space="0" w:color="auto"/>
              <w:left w:val="single" w:sz="4" w:space="0" w:color="auto"/>
              <w:bottom w:val="single" w:sz="4" w:space="0" w:color="auto"/>
              <w:right w:val="single" w:sz="4" w:space="0" w:color="auto"/>
            </w:tcBorders>
            <w:vAlign w:val="center"/>
            <w:hideMark/>
          </w:tcPr>
          <w:p w14:paraId="32115BFE" w14:textId="77777777" w:rsidR="002F590A" w:rsidRDefault="002F590A">
            <w:pPr>
              <w:jc w:val="center"/>
              <w:rPr>
                <w:sz w:val="12"/>
                <w:szCs w:val="12"/>
              </w:rPr>
            </w:pPr>
            <w:r>
              <w:rPr>
                <w:sz w:val="12"/>
                <w:szCs w:val="12"/>
              </w:rPr>
              <w:t>3.2.9.1</w:t>
            </w:r>
          </w:p>
        </w:tc>
        <w:tc>
          <w:tcPr>
            <w:tcW w:w="280" w:type="pct"/>
            <w:tcBorders>
              <w:top w:val="single" w:sz="4" w:space="0" w:color="auto"/>
              <w:left w:val="single" w:sz="4" w:space="0" w:color="auto"/>
              <w:bottom w:val="single" w:sz="4" w:space="0" w:color="auto"/>
              <w:right w:val="single" w:sz="4" w:space="0" w:color="auto"/>
            </w:tcBorders>
            <w:vAlign w:val="center"/>
            <w:hideMark/>
          </w:tcPr>
          <w:p w14:paraId="5F02FE35" w14:textId="77777777" w:rsidR="002F590A" w:rsidRDefault="002F590A">
            <w:pPr>
              <w:rPr>
                <w:color w:val="000000"/>
                <w:sz w:val="12"/>
                <w:szCs w:val="12"/>
              </w:rPr>
            </w:pPr>
            <w:r>
              <w:rPr>
                <w:color w:val="000000"/>
                <w:sz w:val="12"/>
                <w:szCs w:val="12"/>
              </w:rPr>
              <w:t>Реконструкция системы автоматической подпитки тепловой сети из водопровода</w:t>
            </w:r>
          </w:p>
        </w:tc>
        <w:tc>
          <w:tcPr>
            <w:tcW w:w="313" w:type="pct"/>
            <w:tcBorders>
              <w:top w:val="single" w:sz="4" w:space="0" w:color="auto"/>
              <w:left w:val="single" w:sz="4" w:space="0" w:color="auto"/>
              <w:bottom w:val="single" w:sz="4" w:space="0" w:color="auto"/>
              <w:right w:val="single" w:sz="4" w:space="0" w:color="auto"/>
            </w:tcBorders>
            <w:vAlign w:val="center"/>
            <w:hideMark/>
          </w:tcPr>
          <w:p w14:paraId="10DF166B" w14:textId="77777777" w:rsidR="002F590A" w:rsidRDefault="002F590A">
            <w:pPr>
              <w:jc w:val="center"/>
              <w:rPr>
                <w:sz w:val="12"/>
                <w:szCs w:val="12"/>
              </w:rPr>
            </w:pPr>
            <w:r>
              <w:rPr>
                <w:sz w:val="12"/>
                <w:szCs w:val="12"/>
              </w:rPr>
              <w:t>Повышение надежности (бесперебойности) услуг теплоснабжения, повышение энергетической эффективности</w:t>
            </w:r>
          </w:p>
        </w:tc>
        <w:tc>
          <w:tcPr>
            <w:tcW w:w="275" w:type="pct"/>
            <w:tcBorders>
              <w:top w:val="single" w:sz="4" w:space="0" w:color="auto"/>
              <w:left w:val="single" w:sz="4" w:space="0" w:color="auto"/>
              <w:bottom w:val="single" w:sz="4" w:space="0" w:color="auto"/>
              <w:right w:val="single" w:sz="4" w:space="0" w:color="auto"/>
            </w:tcBorders>
            <w:vAlign w:val="center"/>
            <w:hideMark/>
          </w:tcPr>
          <w:p w14:paraId="596BAE35" w14:textId="77777777" w:rsidR="002F590A" w:rsidRDefault="002F590A">
            <w:pPr>
              <w:jc w:val="center"/>
              <w:rPr>
                <w:sz w:val="12"/>
                <w:szCs w:val="12"/>
              </w:rPr>
            </w:pPr>
            <w:r>
              <w:rPr>
                <w:sz w:val="12"/>
                <w:szCs w:val="12"/>
              </w:rPr>
              <w:t> </w:t>
            </w:r>
          </w:p>
        </w:tc>
        <w:tc>
          <w:tcPr>
            <w:tcW w:w="303" w:type="pct"/>
            <w:tcBorders>
              <w:top w:val="single" w:sz="4" w:space="0" w:color="auto"/>
              <w:left w:val="single" w:sz="4" w:space="0" w:color="auto"/>
              <w:bottom w:val="single" w:sz="4" w:space="0" w:color="auto"/>
              <w:right w:val="single" w:sz="4" w:space="0" w:color="auto"/>
            </w:tcBorders>
            <w:vAlign w:val="center"/>
            <w:hideMark/>
          </w:tcPr>
          <w:p w14:paraId="13070EF5" w14:textId="77777777" w:rsidR="002F590A" w:rsidRDefault="002F590A">
            <w:pPr>
              <w:jc w:val="center"/>
              <w:rPr>
                <w:sz w:val="12"/>
                <w:szCs w:val="12"/>
              </w:rPr>
            </w:pPr>
            <w:r>
              <w:rPr>
                <w:color w:val="000000"/>
                <w:sz w:val="12"/>
                <w:szCs w:val="12"/>
              </w:rPr>
              <w:t>Технические характеристики</w:t>
            </w:r>
          </w:p>
        </w:tc>
        <w:tc>
          <w:tcPr>
            <w:tcW w:w="139" w:type="pct"/>
            <w:tcBorders>
              <w:top w:val="single" w:sz="4" w:space="0" w:color="auto"/>
              <w:left w:val="single" w:sz="4" w:space="0" w:color="auto"/>
              <w:bottom w:val="single" w:sz="4" w:space="0" w:color="auto"/>
              <w:right w:val="single" w:sz="4" w:space="0" w:color="auto"/>
            </w:tcBorders>
            <w:vAlign w:val="center"/>
          </w:tcPr>
          <w:p w14:paraId="10D58F78" w14:textId="77777777" w:rsidR="002F590A" w:rsidRDefault="002F590A">
            <w:pPr>
              <w:jc w:val="center"/>
              <w:rPr>
                <w:sz w:val="12"/>
                <w:szCs w:val="12"/>
              </w:rPr>
            </w:pPr>
          </w:p>
        </w:tc>
        <w:tc>
          <w:tcPr>
            <w:tcW w:w="300" w:type="pct"/>
            <w:tcBorders>
              <w:top w:val="single" w:sz="4" w:space="0" w:color="auto"/>
              <w:left w:val="single" w:sz="4" w:space="0" w:color="auto"/>
              <w:bottom w:val="single" w:sz="4" w:space="0" w:color="auto"/>
              <w:right w:val="single" w:sz="4" w:space="0" w:color="auto"/>
            </w:tcBorders>
            <w:vAlign w:val="center"/>
            <w:hideMark/>
          </w:tcPr>
          <w:p w14:paraId="6BEDA67D" w14:textId="77777777" w:rsidR="002F590A" w:rsidRDefault="002F590A">
            <w:pPr>
              <w:jc w:val="center"/>
              <w:rPr>
                <w:sz w:val="12"/>
                <w:szCs w:val="12"/>
              </w:rPr>
            </w:pPr>
            <w:r>
              <w:rPr>
                <w:sz w:val="12"/>
                <w:szCs w:val="12"/>
              </w:rPr>
              <w:t>Редукционный клапан Ду15, счетчик СГВ-15, кран муфтовый Ду15, обратный клапан резьбовой Ду15мм.</w:t>
            </w:r>
          </w:p>
        </w:tc>
        <w:tc>
          <w:tcPr>
            <w:tcW w:w="351" w:type="pct"/>
            <w:tcBorders>
              <w:top w:val="single" w:sz="4" w:space="0" w:color="auto"/>
              <w:left w:val="single" w:sz="4" w:space="0" w:color="auto"/>
              <w:bottom w:val="single" w:sz="4" w:space="0" w:color="auto"/>
              <w:right w:val="single" w:sz="4" w:space="0" w:color="auto"/>
            </w:tcBorders>
            <w:vAlign w:val="center"/>
            <w:hideMark/>
          </w:tcPr>
          <w:p w14:paraId="1718F695" w14:textId="77777777" w:rsidR="002F590A" w:rsidRDefault="002F590A">
            <w:pPr>
              <w:jc w:val="center"/>
              <w:rPr>
                <w:sz w:val="12"/>
                <w:szCs w:val="12"/>
              </w:rPr>
            </w:pPr>
            <w:r>
              <w:rPr>
                <w:sz w:val="12"/>
                <w:szCs w:val="12"/>
              </w:rPr>
              <w:t>Оборудование с техническими характеристиками не ниже существующего на объекте.</w:t>
            </w:r>
          </w:p>
        </w:tc>
        <w:tc>
          <w:tcPr>
            <w:tcW w:w="139" w:type="pct"/>
            <w:tcBorders>
              <w:top w:val="single" w:sz="4" w:space="0" w:color="auto"/>
              <w:left w:val="single" w:sz="4" w:space="0" w:color="auto"/>
              <w:bottom w:val="single" w:sz="4" w:space="0" w:color="auto"/>
              <w:right w:val="single" w:sz="4" w:space="0" w:color="auto"/>
            </w:tcBorders>
            <w:vAlign w:val="center"/>
            <w:hideMark/>
          </w:tcPr>
          <w:p w14:paraId="33B87EA2" w14:textId="77777777" w:rsidR="002F590A" w:rsidRDefault="002F590A">
            <w:pPr>
              <w:jc w:val="center"/>
              <w:rPr>
                <w:sz w:val="12"/>
                <w:szCs w:val="12"/>
              </w:rPr>
            </w:pPr>
            <w:r>
              <w:rPr>
                <w:sz w:val="12"/>
                <w:szCs w:val="12"/>
              </w:rPr>
              <w:t>2031</w:t>
            </w:r>
          </w:p>
        </w:tc>
        <w:tc>
          <w:tcPr>
            <w:tcW w:w="167" w:type="pct"/>
            <w:tcBorders>
              <w:top w:val="single" w:sz="4" w:space="0" w:color="auto"/>
              <w:left w:val="single" w:sz="4" w:space="0" w:color="auto"/>
              <w:bottom w:val="single" w:sz="4" w:space="0" w:color="auto"/>
              <w:right w:val="single" w:sz="4" w:space="0" w:color="auto"/>
            </w:tcBorders>
            <w:vAlign w:val="center"/>
            <w:hideMark/>
          </w:tcPr>
          <w:p w14:paraId="47DED1C9" w14:textId="77777777" w:rsidR="002F590A" w:rsidRDefault="002F590A">
            <w:pPr>
              <w:jc w:val="center"/>
              <w:rPr>
                <w:sz w:val="12"/>
                <w:szCs w:val="12"/>
              </w:rPr>
            </w:pPr>
            <w:r>
              <w:rPr>
                <w:sz w:val="12"/>
                <w:szCs w:val="12"/>
              </w:rPr>
              <w:t>2031</w:t>
            </w:r>
          </w:p>
        </w:tc>
        <w:tc>
          <w:tcPr>
            <w:tcW w:w="216" w:type="pct"/>
            <w:tcBorders>
              <w:top w:val="single" w:sz="4" w:space="0" w:color="auto"/>
              <w:left w:val="single" w:sz="4" w:space="0" w:color="auto"/>
              <w:bottom w:val="single" w:sz="4" w:space="0" w:color="auto"/>
              <w:right w:val="single" w:sz="4" w:space="0" w:color="auto"/>
            </w:tcBorders>
            <w:vAlign w:val="center"/>
            <w:hideMark/>
          </w:tcPr>
          <w:p w14:paraId="4A22EA0E" w14:textId="77777777" w:rsidR="002F590A" w:rsidRDefault="002F590A">
            <w:pPr>
              <w:jc w:val="center"/>
              <w:rPr>
                <w:color w:val="000000"/>
                <w:sz w:val="12"/>
                <w:szCs w:val="12"/>
              </w:rPr>
            </w:pPr>
            <w:r>
              <w:rPr>
                <w:color w:val="000000"/>
                <w:sz w:val="12"/>
                <w:szCs w:val="12"/>
              </w:rPr>
              <w:t>30,41</w:t>
            </w:r>
          </w:p>
        </w:tc>
        <w:tc>
          <w:tcPr>
            <w:tcW w:w="174" w:type="pct"/>
            <w:tcBorders>
              <w:top w:val="single" w:sz="4" w:space="0" w:color="auto"/>
              <w:left w:val="single" w:sz="4" w:space="0" w:color="auto"/>
              <w:bottom w:val="single" w:sz="4" w:space="0" w:color="auto"/>
              <w:right w:val="single" w:sz="4" w:space="0" w:color="auto"/>
            </w:tcBorders>
            <w:vAlign w:val="center"/>
            <w:hideMark/>
          </w:tcPr>
          <w:p w14:paraId="3879F35A" w14:textId="77777777" w:rsidR="002F590A" w:rsidRDefault="002F590A">
            <w:pPr>
              <w:jc w:val="center"/>
              <w:rPr>
                <w:color w:val="000000"/>
                <w:sz w:val="12"/>
                <w:szCs w:val="12"/>
              </w:rPr>
            </w:pPr>
            <w:r>
              <w:rPr>
                <w:color w:val="000000"/>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39799C7C" w14:textId="77777777" w:rsidR="002F590A" w:rsidRDefault="002F590A">
            <w:pPr>
              <w:jc w:val="center"/>
              <w:rPr>
                <w:sz w:val="12"/>
                <w:szCs w:val="12"/>
              </w:rPr>
            </w:pPr>
            <w:r>
              <w:rPr>
                <w:sz w:val="12"/>
                <w:szCs w:val="12"/>
              </w:rPr>
              <w:t>0,00</w:t>
            </w:r>
          </w:p>
        </w:tc>
        <w:tc>
          <w:tcPr>
            <w:tcW w:w="172" w:type="pct"/>
            <w:tcBorders>
              <w:top w:val="single" w:sz="4" w:space="0" w:color="auto"/>
              <w:left w:val="single" w:sz="4" w:space="0" w:color="auto"/>
              <w:bottom w:val="single" w:sz="4" w:space="0" w:color="auto"/>
              <w:right w:val="single" w:sz="4" w:space="0" w:color="auto"/>
            </w:tcBorders>
            <w:vAlign w:val="center"/>
            <w:hideMark/>
          </w:tcPr>
          <w:p w14:paraId="09752441"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6DFC97F8" w14:textId="77777777" w:rsidR="002F590A" w:rsidRDefault="002F590A">
            <w:pPr>
              <w:jc w:val="center"/>
              <w:rPr>
                <w:sz w:val="12"/>
                <w:szCs w:val="12"/>
              </w:rPr>
            </w:pPr>
            <w:r>
              <w:rPr>
                <w:sz w:val="12"/>
                <w:szCs w:val="12"/>
              </w:rPr>
              <w:t>0,00</w:t>
            </w:r>
          </w:p>
        </w:tc>
        <w:tc>
          <w:tcPr>
            <w:tcW w:w="216" w:type="pct"/>
            <w:tcBorders>
              <w:top w:val="single" w:sz="4" w:space="0" w:color="auto"/>
              <w:left w:val="single" w:sz="4" w:space="0" w:color="auto"/>
              <w:bottom w:val="single" w:sz="4" w:space="0" w:color="auto"/>
              <w:right w:val="single" w:sz="4" w:space="0" w:color="auto"/>
            </w:tcBorders>
            <w:vAlign w:val="center"/>
            <w:hideMark/>
          </w:tcPr>
          <w:p w14:paraId="0E5EF471"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6BD44387"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492F7FE3" w14:textId="77777777" w:rsidR="002F590A" w:rsidRDefault="002F590A">
            <w:pPr>
              <w:jc w:val="center"/>
              <w:rPr>
                <w:sz w:val="12"/>
                <w:szCs w:val="12"/>
              </w:rPr>
            </w:pPr>
            <w:r>
              <w:rPr>
                <w:sz w:val="12"/>
                <w:szCs w:val="12"/>
              </w:rPr>
              <w:t>0,00</w:t>
            </w:r>
          </w:p>
        </w:tc>
        <w:tc>
          <w:tcPr>
            <w:tcW w:w="218" w:type="pct"/>
            <w:tcBorders>
              <w:top w:val="single" w:sz="4" w:space="0" w:color="auto"/>
              <w:left w:val="single" w:sz="4" w:space="0" w:color="auto"/>
              <w:bottom w:val="single" w:sz="4" w:space="0" w:color="auto"/>
              <w:right w:val="single" w:sz="4" w:space="0" w:color="auto"/>
            </w:tcBorders>
            <w:vAlign w:val="center"/>
            <w:hideMark/>
          </w:tcPr>
          <w:p w14:paraId="3E4A0C65"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39CA4BDE"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20CD60F0" w14:textId="77777777" w:rsidR="002F590A" w:rsidRDefault="002F590A">
            <w:pPr>
              <w:jc w:val="center"/>
              <w:rPr>
                <w:sz w:val="12"/>
                <w:szCs w:val="12"/>
              </w:rPr>
            </w:pPr>
            <w:r>
              <w:rPr>
                <w:sz w:val="12"/>
                <w:szCs w:val="12"/>
              </w:rPr>
              <w:t>0,00</w:t>
            </w:r>
          </w:p>
        </w:tc>
        <w:tc>
          <w:tcPr>
            <w:tcW w:w="175" w:type="pct"/>
            <w:tcBorders>
              <w:top w:val="single" w:sz="4" w:space="0" w:color="auto"/>
              <w:left w:val="single" w:sz="4" w:space="0" w:color="auto"/>
              <w:bottom w:val="single" w:sz="4" w:space="0" w:color="auto"/>
              <w:right w:val="single" w:sz="4" w:space="0" w:color="auto"/>
            </w:tcBorders>
            <w:vAlign w:val="center"/>
            <w:hideMark/>
          </w:tcPr>
          <w:p w14:paraId="020C9023" w14:textId="77777777" w:rsidR="002F590A" w:rsidRDefault="002F590A">
            <w:pPr>
              <w:jc w:val="center"/>
              <w:rPr>
                <w:sz w:val="12"/>
                <w:szCs w:val="12"/>
              </w:rPr>
            </w:pPr>
            <w:r>
              <w:rPr>
                <w:sz w:val="12"/>
                <w:szCs w:val="12"/>
              </w:rPr>
              <w:t>30,41</w:t>
            </w:r>
          </w:p>
        </w:tc>
        <w:tc>
          <w:tcPr>
            <w:tcW w:w="173" w:type="pct"/>
            <w:tcBorders>
              <w:top w:val="single" w:sz="4" w:space="0" w:color="auto"/>
              <w:left w:val="single" w:sz="4" w:space="0" w:color="auto"/>
              <w:bottom w:val="single" w:sz="4" w:space="0" w:color="auto"/>
              <w:right w:val="single" w:sz="4" w:space="0" w:color="auto"/>
            </w:tcBorders>
            <w:vAlign w:val="center"/>
            <w:hideMark/>
          </w:tcPr>
          <w:p w14:paraId="370243FD" w14:textId="77777777" w:rsidR="002F590A" w:rsidRDefault="002F590A">
            <w:pPr>
              <w:jc w:val="center"/>
              <w:rPr>
                <w:color w:val="000000"/>
                <w:sz w:val="12"/>
                <w:szCs w:val="12"/>
              </w:rPr>
            </w:pPr>
            <w:r>
              <w:rPr>
                <w:color w:val="000000"/>
                <w:sz w:val="12"/>
                <w:szCs w:val="12"/>
              </w:rPr>
              <w:t>0,00</w:t>
            </w:r>
          </w:p>
        </w:tc>
        <w:tc>
          <w:tcPr>
            <w:tcW w:w="172" w:type="pct"/>
            <w:tcBorders>
              <w:top w:val="single" w:sz="4" w:space="0" w:color="auto"/>
              <w:left w:val="single" w:sz="4" w:space="0" w:color="auto"/>
              <w:bottom w:val="single" w:sz="4" w:space="0" w:color="auto"/>
              <w:right w:val="single" w:sz="4" w:space="0" w:color="auto"/>
            </w:tcBorders>
            <w:vAlign w:val="center"/>
            <w:hideMark/>
          </w:tcPr>
          <w:p w14:paraId="6CF7205E" w14:textId="77777777" w:rsidR="002F590A" w:rsidRDefault="002F590A">
            <w:pPr>
              <w:jc w:val="center"/>
              <w:rPr>
                <w:color w:val="000000"/>
                <w:sz w:val="12"/>
                <w:szCs w:val="12"/>
              </w:rPr>
            </w:pPr>
            <w:r>
              <w:rPr>
                <w:color w:val="000000"/>
                <w:sz w:val="12"/>
                <w:szCs w:val="12"/>
              </w:rPr>
              <w:t>0,00</w:t>
            </w:r>
          </w:p>
        </w:tc>
      </w:tr>
      <w:tr w:rsidR="002F590A" w14:paraId="3AD3F823" w14:textId="77777777" w:rsidTr="002F590A">
        <w:trPr>
          <w:trHeight w:val="786"/>
        </w:trPr>
        <w:tc>
          <w:tcPr>
            <w:tcW w:w="173" w:type="pct"/>
            <w:tcBorders>
              <w:top w:val="single" w:sz="4" w:space="0" w:color="auto"/>
              <w:left w:val="single" w:sz="4" w:space="0" w:color="auto"/>
              <w:bottom w:val="single" w:sz="4" w:space="0" w:color="auto"/>
              <w:right w:val="single" w:sz="4" w:space="0" w:color="auto"/>
            </w:tcBorders>
            <w:vAlign w:val="center"/>
            <w:hideMark/>
          </w:tcPr>
          <w:p w14:paraId="59EBCBB8" w14:textId="77777777" w:rsidR="002F590A" w:rsidRDefault="002F590A">
            <w:pPr>
              <w:jc w:val="center"/>
              <w:rPr>
                <w:bCs/>
                <w:sz w:val="12"/>
                <w:szCs w:val="12"/>
              </w:rPr>
            </w:pPr>
            <w:r>
              <w:rPr>
                <w:bCs/>
                <w:sz w:val="12"/>
                <w:szCs w:val="12"/>
              </w:rPr>
              <w:t>3.2.10.</w:t>
            </w:r>
          </w:p>
        </w:tc>
        <w:tc>
          <w:tcPr>
            <w:tcW w:w="280" w:type="pct"/>
            <w:tcBorders>
              <w:top w:val="single" w:sz="4" w:space="0" w:color="auto"/>
              <w:left w:val="single" w:sz="4" w:space="0" w:color="auto"/>
              <w:bottom w:val="single" w:sz="4" w:space="0" w:color="auto"/>
              <w:right w:val="single" w:sz="4" w:space="0" w:color="auto"/>
            </w:tcBorders>
            <w:vAlign w:val="center"/>
            <w:hideMark/>
          </w:tcPr>
          <w:p w14:paraId="45F33CFE" w14:textId="77777777" w:rsidR="002F590A" w:rsidRDefault="002F590A">
            <w:pPr>
              <w:rPr>
                <w:bCs/>
                <w:color w:val="000000"/>
                <w:sz w:val="12"/>
                <w:szCs w:val="12"/>
              </w:rPr>
            </w:pPr>
            <w:r>
              <w:rPr>
                <w:bCs/>
                <w:color w:val="000000"/>
                <w:sz w:val="12"/>
                <w:szCs w:val="12"/>
              </w:rPr>
              <w:t>Реконструкция котельной №54</w:t>
            </w:r>
          </w:p>
        </w:tc>
        <w:tc>
          <w:tcPr>
            <w:tcW w:w="313" w:type="pct"/>
            <w:tcBorders>
              <w:top w:val="single" w:sz="4" w:space="0" w:color="auto"/>
              <w:left w:val="single" w:sz="4" w:space="0" w:color="auto"/>
              <w:bottom w:val="single" w:sz="4" w:space="0" w:color="auto"/>
              <w:right w:val="single" w:sz="4" w:space="0" w:color="auto"/>
            </w:tcBorders>
            <w:vAlign w:val="center"/>
          </w:tcPr>
          <w:p w14:paraId="1F77AC60" w14:textId="77777777" w:rsidR="002F590A" w:rsidRDefault="002F590A">
            <w:pPr>
              <w:jc w:val="center"/>
              <w:rPr>
                <w:sz w:val="12"/>
                <w:szCs w:val="12"/>
              </w:rPr>
            </w:pPr>
          </w:p>
        </w:tc>
        <w:tc>
          <w:tcPr>
            <w:tcW w:w="275" w:type="pct"/>
            <w:tcBorders>
              <w:top w:val="single" w:sz="4" w:space="0" w:color="auto"/>
              <w:left w:val="single" w:sz="4" w:space="0" w:color="auto"/>
              <w:bottom w:val="single" w:sz="4" w:space="0" w:color="auto"/>
              <w:right w:val="single" w:sz="4" w:space="0" w:color="auto"/>
            </w:tcBorders>
            <w:vAlign w:val="center"/>
            <w:hideMark/>
          </w:tcPr>
          <w:p w14:paraId="4D1C9905" w14:textId="77777777" w:rsidR="002F590A" w:rsidRDefault="002F590A">
            <w:pPr>
              <w:jc w:val="center"/>
              <w:rPr>
                <w:bCs/>
                <w:sz w:val="12"/>
                <w:szCs w:val="12"/>
              </w:rPr>
            </w:pPr>
            <w:r>
              <w:rPr>
                <w:bCs/>
                <w:sz w:val="12"/>
                <w:szCs w:val="12"/>
              </w:rPr>
              <w:t xml:space="preserve">Топкинский </w:t>
            </w:r>
            <w:proofErr w:type="gramStart"/>
            <w:r>
              <w:rPr>
                <w:bCs/>
                <w:sz w:val="12"/>
                <w:szCs w:val="12"/>
              </w:rPr>
              <w:t>муниципаль-ный</w:t>
            </w:r>
            <w:proofErr w:type="gramEnd"/>
            <w:r>
              <w:rPr>
                <w:bCs/>
                <w:sz w:val="12"/>
                <w:szCs w:val="12"/>
              </w:rPr>
              <w:t xml:space="preserve"> округ, о/л "Солнечный", котельная № 54</w:t>
            </w:r>
          </w:p>
        </w:tc>
        <w:tc>
          <w:tcPr>
            <w:tcW w:w="303" w:type="pct"/>
            <w:tcBorders>
              <w:top w:val="single" w:sz="4" w:space="0" w:color="auto"/>
              <w:left w:val="single" w:sz="4" w:space="0" w:color="auto"/>
              <w:bottom w:val="single" w:sz="4" w:space="0" w:color="auto"/>
              <w:right w:val="single" w:sz="4" w:space="0" w:color="auto"/>
            </w:tcBorders>
            <w:vAlign w:val="center"/>
            <w:hideMark/>
          </w:tcPr>
          <w:p w14:paraId="5D272CDB" w14:textId="77777777" w:rsidR="002F590A" w:rsidRDefault="002F590A">
            <w:pPr>
              <w:jc w:val="center"/>
              <w:rPr>
                <w:sz w:val="12"/>
                <w:szCs w:val="12"/>
              </w:rPr>
            </w:pPr>
            <w:r>
              <w:rPr>
                <w:color w:val="000000"/>
                <w:sz w:val="12"/>
                <w:szCs w:val="12"/>
              </w:rPr>
              <w:t>Технические характеристики</w:t>
            </w:r>
          </w:p>
        </w:tc>
        <w:tc>
          <w:tcPr>
            <w:tcW w:w="139" w:type="pct"/>
            <w:tcBorders>
              <w:top w:val="single" w:sz="4" w:space="0" w:color="auto"/>
              <w:left w:val="single" w:sz="4" w:space="0" w:color="auto"/>
              <w:bottom w:val="single" w:sz="4" w:space="0" w:color="auto"/>
              <w:right w:val="single" w:sz="4" w:space="0" w:color="auto"/>
            </w:tcBorders>
            <w:vAlign w:val="center"/>
          </w:tcPr>
          <w:p w14:paraId="42F0B7CF" w14:textId="77777777" w:rsidR="002F590A" w:rsidRDefault="002F590A">
            <w:pPr>
              <w:jc w:val="center"/>
              <w:rPr>
                <w:sz w:val="12"/>
                <w:szCs w:val="12"/>
              </w:rPr>
            </w:pPr>
          </w:p>
        </w:tc>
        <w:tc>
          <w:tcPr>
            <w:tcW w:w="300" w:type="pct"/>
            <w:tcBorders>
              <w:top w:val="single" w:sz="4" w:space="0" w:color="auto"/>
              <w:left w:val="single" w:sz="4" w:space="0" w:color="auto"/>
              <w:bottom w:val="single" w:sz="4" w:space="0" w:color="auto"/>
              <w:right w:val="single" w:sz="4" w:space="0" w:color="auto"/>
            </w:tcBorders>
            <w:vAlign w:val="center"/>
            <w:hideMark/>
          </w:tcPr>
          <w:p w14:paraId="27C84968" w14:textId="77777777" w:rsidR="002F590A" w:rsidRDefault="002F590A">
            <w:pPr>
              <w:jc w:val="center"/>
              <w:rPr>
                <w:sz w:val="12"/>
                <w:szCs w:val="12"/>
              </w:rPr>
            </w:pPr>
            <w:r>
              <w:rPr>
                <w:sz w:val="12"/>
                <w:szCs w:val="12"/>
              </w:rPr>
              <w:t> </w:t>
            </w:r>
          </w:p>
        </w:tc>
        <w:tc>
          <w:tcPr>
            <w:tcW w:w="351" w:type="pct"/>
            <w:tcBorders>
              <w:top w:val="single" w:sz="4" w:space="0" w:color="auto"/>
              <w:left w:val="single" w:sz="4" w:space="0" w:color="auto"/>
              <w:bottom w:val="single" w:sz="4" w:space="0" w:color="auto"/>
              <w:right w:val="single" w:sz="4" w:space="0" w:color="auto"/>
            </w:tcBorders>
            <w:vAlign w:val="center"/>
            <w:hideMark/>
          </w:tcPr>
          <w:p w14:paraId="49B4E004" w14:textId="77777777" w:rsidR="002F590A" w:rsidRDefault="002F590A">
            <w:pPr>
              <w:jc w:val="center"/>
              <w:rPr>
                <w:sz w:val="12"/>
                <w:szCs w:val="12"/>
              </w:rPr>
            </w:pPr>
            <w:r>
              <w:rPr>
                <w:sz w:val="12"/>
                <w:szCs w:val="12"/>
              </w:rPr>
              <w:t> </w:t>
            </w:r>
          </w:p>
        </w:tc>
        <w:tc>
          <w:tcPr>
            <w:tcW w:w="139" w:type="pct"/>
            <w:tcBorders>
              <w:top w:val="single" w:sz="4" w:space="0" w:color="auto"/>
              <w:left w:val="single" w:sz="4" w:space="0" w:color="auto"/>
              <w:bottom w:val="single" w:sz="4" w:space="0" w:color="auto"/>
              <w:right w:val="single" w:sz="4" w:space="0" w:color="auto"/>
            </w:tcBorders>
            <w:vAlign w:val="center"/>
          </w:tcPr>
          <w:p w14:paraId="3B02CD00" w14:textId="77777777" w:rsidR="002F590A" w:rsidRDefault="002F590A">
            <w:pPr>
              <w:jc w:val="center"/>
              <w:rPr>
                <w:sz w:val="12"/>
                <w:szCs w:val="12"/>
              </w:rPr>
            </w:pPr>
          </w:p>
        </w:tc>
        <w:tc>
          <w:tcPr>
            <w:tcW w:w="167" w:type="pct"/>
            <w:tcBorders>
              <w:top w:val="single" w:sz="4" w:space="0" w:color="auto"/>
              <w:left w:val="single" w:sz="4" w:space="0" w:color="auto"/>
              <w:bottom w:val="single" w:sz="4" w:space="0" w:color="auto"/>
              <w:right w:val="single" w:sz="4" w:space="0" w:color="auto"/>
            </w:tcBorders>
            <w:vAlign w:val="center"/>
          </w:tcPr>
          <w:p w14:paraId="757F40C7" w14:textId="77777777" w:rsidR="002F590A" w:rsidRDefault="002F590A">
            <w:pPr>
              <w:jc w:val="center"/>
              <w:rPr>
                <w:sz w:val="12"/>
                <w:szCs w:val="12"/>
              </w:rPr>
            </w:pPr>
          </w:p>
        </w:tc>
        <w:tc>
          <w:tcPr>
            <w:tcW w:w="216" w:type="pct"/>
            <w:tcBorders>
              <w:top w:val="single" w:sz="4" w:space="0" w:color="auto"/>
              <w:left w:val="single" w:sz="4" w:space="0" w:color="auto"/>
              <w:bottom w:val="single" w:sz="4" w:space="0" w:color="auto"/>
              <w:right w:val="single" w:sz="4" w:space="0" w:color="auto"/>
            </w:tcBorders>
            <w:vAlign w:val="center"/>
          </w:tcPr>
          <w:p w14:paraId="2DE512F2" w14:textId="77777777" w:rsidR="002F590A" w:rsidRDefault="002F590A">
            <w:pPr>
              <w:jc w:val="center"/>
              <w:rPr>
                <w:color w:val="000000"/>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4814A31B" w14:textId="77777777" w:rsidR="002F590A" w:rsidRDefault="002F590A">
            <w:pPr>
              <w:jc w:val="center"/>
              <w:rPr>
                <w:color w:val="000000"/>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5AC230CD" w14:textId="77777777" w:rsidR="002F590A" w:rsidRDefault="002F590A">
            <w:pPr>
              <w:jc w:val="center"/>
              <w:rPr>
                <w:sz w:val="12"/>
                <w:szCs w:val="12"/>
              </w:rPr>
            </w:pPr>
          </w:p>
        </w:tc>
        <w:tc>
          <w:tcPr>
            <w:tcW w:w="172" w:type="pct"/>
            <w:tcBorders>
              <w:top w:val="single" w:sz="4" w:space="0" w:color="auto"/>
              <w:left w:val="single" w:sz="4" w:space="0" w:color="auto"/>
              <w:bottom w:val="single" w:sz="4" w:space="0" w:color="auto"/>
              <w:right w:val="single" w:sz="4" w:space="0" w:color="auto"/>
            </w:tcBorders>
            <w:vAlign w:val="center"/>
          </w:tcPr>
          <w:p w14:paraId="66D71B30" w14:textId="77777777" w:rsidR="002F590A" w:rsidRDefault="002F590A">
            <w:pPr>
              <w:jc w:val="center"/>
              <w:rPr>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653ADDCC" w14:textId="77777777" w:rsidR="002F590A" w:rsidRDefault="002F590A">
            <w:pPr>
              <w:jc w:val="center"/>
              <w:rPr>
                <w:sz w:val="12"/>
                <w:szCs w:val="12"/>
              </w:rPr>
            </w:pPr>
          </w:p>
        </w:tc>
        <w:tc>
          <w:tcPr>
            <w:tcW w:w="216" w:type="pct"/>
            <w:tcBorders>
              <w:top w:val="single" w:sz="4" w:space="0" w:color="auto"/>
              <w:left w:val="single" w:sz="4" w:space="0" w:color="auto"/>
              <w:bottom w:val="single" w:sz="4" w:space="0" w:color="auto"/>
              <w:right w:val="single" w:sz="4" w:space="0" w:color="auto"/>
            </w:tcBorders>
            <w:vAlign w:val="center"/>
          </w:tcPr>
          <w:p w14:paraId="1E5BC164" w14:textId="77777777" w:rsidR="002F590A" w:rsidRDefault="002F590A">
            <w:pPr>
              <w:jc w:val="center"/>
              <w:rPr>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4116CA7B" w14:textId="77777777" w:rsidR="002F590A" w:rsidRDefault="002F590A">
            <w:pPr>
              <w:jc w:val="center"/>
              <w:rPr>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2262B085" w14:textId="77777777" w:rsidR="002F590A" w:rsidRDefault="002F590A">
            <w:pPr>
              <w:jc w:val="center"/>
              <w:rPr>
                <w:sz w:val="12"/>
                <w:szCs w:val="12"/>
              </w:rPr>
            </w:pPr>
          </w:p>
        </w:tc>
        <w:tc>
          <w:tcPr>
            <w:tcW w:w="218" w:type="pct"/>
            <w:tcBorders>
              <w:top w:val="single" w:sz="4" w:space="0" w:color="auto"/>
              <w:left w:val="single" w:sz="4" w:space="0" w:color="auto"/>
              <w:bottom w:val="single" w:sz="4" w:space="0" w:color="auto"/>
              <w:right w:val="single" w:sz="4" w:space="0" w:color="auto"/>
            </w:tcBorders>
            <w:vAlign w:val="center"/>
          </w:tcPr>
          <w:p w14:paraId="3F1A9E01" w14:textId="77777777" w:rsidR="002F590A" w:rsidRDefault="002F590A">
            <w:pPr>
              <w:jc w:val="center"/>
              <w:rPr>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7B2C7556" w14:textId="77777777" w:rsidR="002F590A" w:rsidRDefault="002F590A">
            <w:pPr>
              <w:jc w:val="center"/>
              <w:rPr>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739E5070" w14:textId="77777777" w:rsidR="002F590A" w:rsidRDefault="002F590A">
            <w:pPr>
              <w:jc w:val="center"/>
              <w:rPr>
                <w:sz w:val="12"/>
                <w:szCs w:val="12"/>
              </w:rPr>
            </w:pPr>
          </w:p>
        </w:tc>
        <w:tc>
          <w:tcPr>
            <w:tcW w:w="175" w:type="pct"/>
            <w:tcBorders>
              <w:top w:val="single" w:sz="4" w:space="0" w:color="auto"/>
              <w:left w:val="single" w:sz="4" w:space="0" w:color="auto"/>
              <w:bottom w:val="single" w:sz="4" w:space="0" w:color="auto"/>
              <w:right w:val="single" w:sz="4" w:space="0" w:color="auto"/>
            </w:tcBorders>
            <w:vAlign w:val="center"/>
          </w:tcPr>
          <w:p w14:paraId="1B80BD9E" w14:textId="77777777" w:rsidR="002F590A" w:rsidRDefault="002F590A">
            <w:pPr>
              <w:jc w:val="center"/>
              <w:rPr>
                <w:sz w:val="12"/>
                <w:szCs w:val="12"/>
              </w:rPr>
            </w:pPr>
          </w:p>
        </w:tc>
        <w:tc>
          <w:tcPr>
            <w:tcW w:w="173" w:type="pct"/>
            <w:tcBorders>
              <w:top w:val="single" w:sz="4" w:space="0" w:color="auto"/>
              <w:left w:val="single" w:sz="4" w:space="0" w:color="auto"/>
              <w:bottom w:val="single" w:sz="4" w:space="0" w:color="auto"/>
              <w:right w:val="single" w:sz="4" w:space="0" w:color="auto"/>
            </w:tcBorders>
            <w:vAlign w:val="center"/>
          </w:tcPr>
          <w:p w14:paraId="34F723A7" w14:textId="77777777" w:rsidR="002F590A" w:rsidRDefault="002F590A">
            <w:pPr>
              <w:jc w:val="center"/>
              <w:rPr>
                <w:color w:val="000000"/>
                <w:sz w:val="12"/>
                <w:szCs w:val="12"/>
              </w:rPr>
            </w:pPr>
          </w:p>
        </w:tc>
        <w:tc>
          <w:tcPr>
            <w:tcW w:w="172" w:type="pct"/>
            <w:tcBorders>
              <w:top w:val="single" w:sz="4" w:space="0" w:color="auto"/>
              <w:left w:val="single" w:sz="4" w:space="0" w:color="auto"/>
              <w:bottom w:val="single" w:sz="4" w:space="0" w:color="auto"/>
              <w:right w:val="single" w:sz="4" w:space="0" w:color="auto"/>
            </w:tcBorders>
            <w:vAlign w:val="center"/>
          </w:tcPr>
          <w:p w14:paraId="081F7B90" w14:textId="77777777" w:rsidR="002F590A" w:rsidRDefault="002F590A">
            <w:pPr>
              <w:jc w:val="center"/>
              <w:rPr>
                <w:color w:val="000000"/>
                <w:sz w:val="12"/>
                <w:szCs w:val="12"/>
              </w:rPr>
            </w:pPr>
          </w:p>
        </w:tc>
      </w:tr>
      <w:tr w:rsidR="002F590A" w14:paraId="1E494E16" w14:textId="77777777" w:rsidTr="002F590A">
        <w:trPr>
          <w:trHeight w:val="897"/>
        </w:trPr>
        <w:tc>
          <w:tcPr>
            <w:tcW w:w="173" w:type="pct"/>
            <w:tcBorders>
              <w:top w:val="single" w:sz="4" w:space="0" w:color="auto"/>
              <w:left w:val="single" w:sz="4" w:space="0" w:color="auto"/>
              <w:bottom w:val="single" w:sz="4" w:space="0" w:color="auto"/>
              <w:right w:val="single" w:sz="4" w:space="0" w:color="auto"/>
            </w:tcBorders>
            <w:vAlign w:val="center"/>
            <w:hideMark/>
          </w:tcPr>
          <w:p w14:paraId="70E332B9" w14:textId="77777777" w:rsidR="002F590A" w:rsidRDefault="002F590A">
            <w:pPr>
              <w:jc w:val="center"/>
              <w:rPr>
                <w:sz w:val="12"/>
                <w:szCs w:val="12"/>
              </w:rPr>
            </w:pPr>
            <w:r>
              <w:rPr>
                <w:sz w:val="12"/>
                <w:szCs w:val="12"/>
              </w:rPr>
              <w:t>3.2.10.1</w:t>
            </w:r>
          </w:p>
        </w:tc>
        <w:tc>
          <w:tcPr>
            <w:tcW w:w="280" w:type="pct"/>
            <w:tcBorders>
              <w:top w:val="single" w:sz="4" w:space="0" w:color="auto"/>
              <w:left w:val="single" w:sz="4" w:space="0" w:color="auto"/>
              <w:bottom w:val="single" w:sz="4" w:space="0" w:color="auto"/>
              <w:right w:val="single" w:sz="4" w:space="0" w:color="auto"/>
            </w:tcBorders>
            <w:vAlign w:val="center"/>
            <w:hideMark/>
          </w:tcPr>
          <w:p w14:paraId="571DE582" w14:textId="77777777" w:rsidR="002F590A" w:rsidRDefault="002F590A">
            <w:pPr>
              <w:rPr>
                <w:color w:val="000000"/>
                <w:sz w:val="12"/>
                <w:szCs w:val="12"/>
              </w:rPr>
            </w:pPr>
            <w:r>
              <w:rPr>
                <w:color w:val="000000"/>
                <w:sz w:val="12"/>
                <w:szCs w:val="12"/>
              </w:rPr>
              <w:t>Реконструкция котла</w:t>
            </w:r>
          </w:p>
        </w:tc>
        <w:tc>
          <w:tcPr>
            <w:tcW w:w="313" w:type="pct"/>
            <w:tcBorders>
              <w:top w:val="single" w:sz="4" w:space="0" w:color="auto"/>
              <w:left w:val="single" w:sz="4" w:space="0" w:color="auto"/>
              <w:bottom w:val="single" w:sz="4" w:space="0" w:color="auto"/>
              <w:right w:val="single" w:sz="4" w:space="0" w:color="auto"/>
            </w:tcBorders>
            <w:vAlign w:val="center"/>
            <w:hideMark/>
          </w:tcPr>
          <w:p w14:paraId="30FA8145" w14:textId="77777777" w:rsidR="002F590A" w:rsidRDefault="002F590A">
            <w:pPr>
              <w:jc w:val="center"/>
              <w:rPr>
                <w:sz w:val="12"/>
                <w:szCs w:val="12"/>
              </w:rPr>
            </w:pPr>
            <w:r>
              <w:rPr>
                <w:sz w:val="12"/>
                <w:szCs w:val="12"/>
              </w:rPr>
              <w:t>Повышение надежности (бесперебойности) услуг теплоснабжения, повышение энергетической эффективности</w:t>
            </w:r>
          </w:p>
        </w:tc>
        <w:tc>
          <w:tcPr>
            <w:tcW w:w="275" w:type="pct"/>
            <w:tcBorders>
              <w:top w:val="single" w:sz="4" w:space="0" w:color="auto"/>
              <w:left w:val="single" w:sz="4" w:space="0" w:color="auto"/>
              <w:bottom w:val="single" w:sz="4" w:space="0" w:color="auto"/>
              <w:right w:val="single" w:sz="4" w:space="0" w:color="auto"/>
            </w:tcBorders>
            <w:vAlign w:val="center"/>
            <w:hideMark/>
          </w:tcPr>
          <w:p w14:paraId="153E1421" w14:textId="77777777" w:rsidR="002F590A" w:rsidRDefault="002F590A">
            <w:pPr>
              <w:jc w:val="center"/>
              <w:rPr>
                <w:sz w:val="12"/>
                <w:szCs w:val="12"/>
              </w:rPr>
            </w:pPr>
            <w:r>
              <w:rPr>
                <w:sz w:val="12"/>
                <w:szCs w:val="12"/>
              </w:rPr>
              <w:t> </w:t>
            </w:r>
          </w:p>
        </w:tc>
        <w:tc>
          <w:tcPr>
            <w:tcW w:w="303" w:type="pct"/>
            <w:tcBorders>
              <w:top w:val="single" w:sz="4" w:space="0" w:color="auto"/>
              <w:left w:val="single" w:sz="4" w:space="0" w:color="auto"/>
              <w:bottom w:val="single" w:sz="4" w:space="0" w:color="auto"/>
              <w:right w:val="single" w:sz="4" w:space="0" w:color="auto"/>
            </w:tcBorders>
            <w:vAlign w:val="center"/>
            <w:hideMark/>
          </w:tcPr>
          <w:p w14:paraId="0996E439" w14:textId="77777777" w:rsidR="002F590A" w:rsidRDefault="002F590A">
            <w:pPr>
              <w:jc w:val="center"/>
              <w:rPr>
                <w:sz w:val="12"/>
                <w:szCs w:val="12"/>
              </w:rPr>
            </w:pPr>
            <w:r>
              <w:rPr>
                <w:color w:val="000000"/>
                <w:sz w:val="12"/>
                <w:szCs w:val="12"/>
              </w:rPr>
              <w:t>Технические характеристики</w:t>
            </w:r>
          </w:p>
        </w:tc>
        <w:tc>
          <w:tcPr>
            <w:tcW w:w="139" w:type="pct"/>
            <w:tcBorders>
              <w:top w:val="single" w:sz="4" w:space="0" w:color="auto"/>
              <w:left w:val="single" w:sz="4" w:space="0" w:color="auto"/>
              <w:bottom w:val="single" w:sz="4" w:space="0" w:color="auto"/>
              <w:right w:val="single" w:sz="4" w:space="0" w:color="auto"/>
            </w:tcBorders>
            <w:vAlign w:val="center"/>
          </w:tcPr>
          <w:p w14:paraId="7CBE14F4" w14:textId="77777777" w:rsidR="002F590A" w:rsidRDefault="002F590A">
            <w:pPr>
              <w:jc w:val="center"/>
              <w:rPr>
                <w:sz w:val="12"/>
                <w:szCs w:val="12"/>
              </w:rPr>
            </w:pPr>
          </w:p>
        </w:tc>
        <w:tc>
          <w:tcPr>
            <w:tcW w:w="300" w:type="pct"/>
            <w:tcBorders>
              <w:top w:val="single" w:sz="4" w:space="0" w:color="auto"/>
              <w:left w:val="single" w:sz="4" w:space="0" w:color="auto"/>
              <w:bottom w:val="single" w:sz="4" w:space="0" w:color="auto"/>
              <w:right w:val="single" w:sz="4" w:space="0" w:color="auto"/>
            </w:tcBorders>
            <w:vAlign w:val="center"/>
            <w:hideMark/>
          </w:tcPr>
          <w:p w14:paraId="2336C1F7" w14:textId="77777777" w:rsidR="002F590A" w:rsidRDefault="002F590A">
            <w:pPr>
              <w:jc w:val="center"/>
              <w:rPr>
                <w:sz w:val="12"/>
                <w:szCs w:val="12"/>
              </w:rPr>
            </w:pPr>
            <w:r>
              <w:rPr>
                <w:sz w:val="12"/>
                <w:szCs w:val="12"/>
              </w:rPr>
              <w:t xml:space="preserve">Теплопроизводительность водогрейного котла (номинальная) -0,58 МВт; КПД котла - 67%; Вид топлива- каменный уголь </w:t>
            </w:r>
          </w:p>
        </w:tc>
        <w:tc>
          <w:tcPr>
            <w:tcW w:w="351" w:type="pct"/>
            <w:tcBorders>
              <w:top w:val="single" w:sz="4" w:space="0" w:color="auto"/>
              <w:left w:val="single" w:sz="4" w:space="0" w:color="auto"/>
              <w:bottom w:val="single" w:sz="4" w:space="0" w:color="auto"/>
              <w:right w:val="single" w:sz="4" w:space="0" w:color="auto"/>
            </w:tcBorders>
            <w:vAlign w:val="center"/>
            <w:hideMark/>
          </w:tcPr>
          <w:p w14:paraId="06BBD4CF" w14:textId="77777777" w:rsidR="002F590A" w:rsidRDefault="002F590A">
            <w:pPr>
              <w:jc w:val="center"/>
              <w:rPr>
                <w:sz w:val="12"/>
                <w:szCs w:val="12"/>
              </w:rPr>
            </w:pPr>
            <w:r>
              <w:rPr>
                <w:sz w:val="12"/>
                <w:szCs w:val="12"/>
              </w:rPr>
              <w:t xml:space="preserve">Оборудование с техническими характеристиками не ниже существующего на объекте. Вид топлива- каменный уголь </w:t>
            </w:r>
          </w:p>
        </w:tc>
        <w:tc>
          <w:tcPr>
            <w:tcW w:w="139" w:type="pct"/>
            <w:tcBorders>
              <w:top w:val="single" w:sz="4" w:space="0" w:color="auto"/>
              <w:left w:val="single" w:sz="4" w:space="0" w:color="auto"/>
              <w:bottom w:val="single" w:sz="4" w:space="0" w:color="auto"/>
              <w:right w:val="single" w:sz="4" w:space="0" w:color="auto"/>
            </w:tcBorders>
            <w:vAlign w:val="center"/>
            <w:hideMark/>
          </w:tcPr>
          <w:p w14:paraId="6EDFC5E3" w14:textId="77777777" w:rsidR="002F590A" w:rsidRDefault="002F590A">
            <w:pPr>
              <w:jc w:val="center"/>
              <w:rPr>
                <w:sz w:val="12"/>
                <w:szCs w:val="12"/>
              </w:rPr>
            </w:pPr>
            <w:r>
              <w:rPr>
                <w:sz w:val="12"/>
                <w:szCs w:val="12"/>
              </w:rPr>
              <w:t>2028</w:t>
            </w:r>
          </w:p>
        </w:tc>
        <w:tc>
          <w:tcPr>
            <w:tcW w:w="167" w:type="pct"/>
            <w:tcBorders>
              <w:top w:val="single" w:sz="4" w:space="0" w:color="auto"/>
              <w:left w:val="single" w:sz="4" w:space="0" w:color="auto"/>
              <w:bottom w:val="single" w:sz="4" w:space="0" w:color="auto"/>
              <w:right w:val="single" w:sz="4" w:space="0" w:color="auto"/>
            </w:tcBorders>
            <w:vAlign w:val="center"/>
            <w:hideMark/>
          </w:tcPr>
          <w:p w14:paraId="19B79A9D" w14:textId="77777777" w:rsidR="002F590A" w:rsidRDefault="002F590A">
            <w:pPr>
              <w:jc w:val="center"/>
              <w:rPr>
                <w:sz w:val="12"/>
                <w:szCs w:val="12"/>
              </w:rPr>
            </w:pPr>
            <w:r>
              <w:rPr>
                <w:sz w:val="12"/>
                <w:szCs w:val="12"/>
              </w:rPr>
              <w:t>2028</w:t>
            </w:r>
          </w:p>
        </w:tc>
        <w:tc>
          <w:tcPr>
            <w:tcW w:w="216" w:type="pct"/>
            <w:tcBorders>
              <w:top w:val="single" w:sz="4" w:space="0" w:color="auto"/>
              <w:left w:val="single" w:sz="4" w:space="0" w:color="auto"/>
              <w:bottom w:val="single" w:sz="4" w:space="0" w:color="auto"/>
              <w:right w:val="single" w:sz="4" w:space="0" w:color="auto"/>
            </w:tcBorders>
            <w:vAlign w:val="center"/>
            <w:hideMark/>
          </w:tcPr>
          <w:p w14:paraId="33B34A55" w14:textId="77777777" w:rsidR="002F590A" w:rsidRDefault="002F590A">
            <w:pPr>
              <w:jc w:val="center"/>
              <w:rPr>
                <w:color w:val="000000"/>
                <w:sz w:val="12"/>
                <w:szCs w:val="12"/>
              </w:rPr>
            </w:pPr>
            <w:r>
              <w:rPr>
                <w:color w:val="000000"/>
                <w:sz w:val="12"/>
                <w:szCs w:val="12"/>
              </w:rPr>
              <w:t>2412,49</w:t>
            </w:r>
          </w:p>
        </w:tc>
        <w:tc>
          <w:tcPr>
            <w:tcW w:w="174" w:type="pct"/>
            <w:tcBorders>
              <w:top w:val="single" w:sz="4" w:space="0" w:color="auto"/>
              <w:left w:val="single" w:sz="4" w:space="0" w:color="auto"/>
              <w:bottom w:val="single" w:sz="4" w:space="0" w:color="auto"/>
              <w:right w:val="single" w:sz="4" w:space="0" w:color="auto"/>
            </w:tcBorders>
            <w:vAlign w:val="center"/>
            <w:hideMark/>
          </w:tcPr>
          <w:p w14:paraId="00377BCB" w14:textId="77777777" w:rsidR="002F590A" w:rsidRDefault="002F590A">
            <w:pPr>
              <w:jc w:val="center"/>
              <w:rPr>
                <w:color w:val="000000"/>
                <w:sz w:val="12"/>
                <w:szCs w:val="12"/>
              </w:rPr>
            </w:pPr>
            <w:r>
              <w:rPr>
                <w:color w:val="000000"/>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6B94D736" w14:textId="77777777" w:rsidR="002F590A" w:rsidRDefault="002F590A">
            <w:pPr>
              <w:jc w:val="center"/>
              <w:rPr>
                <w:sz w:val="12"/>
                <w:szCs w:val="12"/>
              </w:rPr>
            </w:pPr>
            <w:r>
              <w:rPr>
                <w:sz w:val="12"/>
                <w:szCs w:val="12"/>
              </w:rPr>
              <w:t>0,00</w:t>
            </w:r>
          </w:p>
        </w:tc>
        <w:tc>
          <w:tcPr>
            <w:tcW w:w="172" w:type="pct"/>
            <w:tcBorders>
              <w:top w:val="single" w:sz="4" w:space="0" w:color="auto"/>
              <w:left w:val="single" w:sz="4" w:space="0" w:color="auto"/>
              <w:bottom w:val="single" w:sz="4" w:space="0" w:color="auto"/>
              <w:right w:val="single" w:sz="4" w:space="0" w:color="auto"/>
            </w:tcBorders>
            <w:vAlign w:val="center"/>
            <w:hideMark/>
          </w:tcPr>
          <w:p w14:paraId="481122DC"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54733DE5" w14:textId="77777777" w:rsidR="002F590A" w:rsidRDefault="002F590A">
            <w:pPr>
              <w:jc w:val="center"/>
              <w:rPr>
                <w:sz w:val="12"/>
                <w:szCs w:val="12"/>
              </w:rPr>
            </w:pPr>
            <w:r>
              <w:rPr>
                <w:sz w:val="12"/>
                <w:szCs w:val="12"/>
              </w:rPr>
              <w:t>0,00</w:t>
            </w:r>
          </w:p>
        </w:tc>
        <w:tc>
          <w:tcPr>
            <w:tcW w:w="216" w:type="pct"/>
            <w:tcBorders>
              <w:top w:val="single" w:sz="4" w:space="0" w:color="auto"/>
              <w:left w:val="single" w:sz="4" w:space="0" w:color="auto"/>
              <w:bottom w:val="single" w:sz="4" w:space="0" w:color="auto"/>
              <w:right w:val="single" w:sz="4" w:space="0" w:color="auto"/>
            </w:tcBorders>
            <w:vAlign w:val="center"/>
            <w:hideMark/>
          </w:tcPr>
          <w:p w14:paraId="641A4A37"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5F9DF985"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4A7A3F7A" w14:textId="77777777" w:rsidR="002F590A" w:rsidRDefault="002F590A">
            <w:pPr>
              <w:jc w:val="center"/>
              <w:rPr>
                <w:sz w:val="12"/>
                <w:szCs w:val="12"/>
              </w:rPr>
            </w:pPr>
            <w:r>
              <w:rPr>
                <w:sz w:val="12"/>
                <w:szCs w:val="12"/>
              </w:rPr>
              <w:t>0,00</w:t>
            </w:r>
          </w:p>
        </w:tc>
        <w:tc>
          <w:tcPr>
            <w:tcW w:w="218" w:type="pct"/>
            <w:tcBorders>
              <w:top w:val="single" w:sz="4" w:space="0" w:color="auto"/>
              <w:left w:val="single" w:sz="4" w:space="0" w:color="auto"/>
              <w:bottom w:val="single" w:sz="4" w:space="0" w:color="auto"/>
              <w:right w:val="single" w:sz="4" w:space="0" w:color="auto"/>
            </w:tcBorders>
            <w:vAlign w:val="center"/>
            <w:hideMark/>
          </w:tcPr>
          <w:p w14:paraId="4EE21532" w14:textId="77777777" w:rsidR="002F590A" w:rsidRDefault="002F590A">
            <w:pPr>
              <w:jc w:val="center"/>
              <w:rPr>
                <w:sz w:val="12"/>
                <w:szCs w:val="12"/>
              </w:rPr>
            </w:pPr>
            <w:r>
              <w:rPr>
                <w:sz w:val="12"/>
                <w:szCs w:val="12"/>
              </w:rPr>
              <w:t>2412,49</w:t>
            </w:r>
          </w:p>
        </w:tc>
        <w:tc>
          <w:tcPr>
            <w:tcW w:w="174" w:type="pct"/>
            <w:tcBorders>
              <w:top w:val="single" w:sz="4" w:space="0" w:color="auto"/>
              <w:left w:val="single" w:sz="4" w:space="0" w:color="auto"/>
              <w:bottom w:val="single" w:sz="4" w:space="0" w:color="auto"/>
              <w:right w:val="single" w:sz="4" w:space="0" w:color="auto"/>
            </w:tcBorders>
            <w:vAlign w:val="center"/>
            <w:hideMark/>
          </w:tcPr>
          <w:p w14:paraId="5253EBE4"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788D63AA" w14:textId="77777777" w:rsidR="002F590A" w:rsidRDefault="002F590A">
            <w:pPr>
              <w:jc w:val="center"/>
              <w:rPr>
                <w:sz w:val="12"/>
                <w:szCs w:val="12"/>
              </w:rPr>
            </w:pPr>
            <w:r>
              <w:rPr>
                <w:sz w:val="12"/>
                <w:szCs w:val="12"/>
              </w:rPr>
              <w:t>0,00</w:t>
            </w:r>
          </w:p>
        </w:tc>
        <w:tc>
          <w:tcPr>
            <w:tcW w:w="175" w:type="pct"/>
            <w:tcBorders>
              <w:top w:val="single" w:sz="4" w:space="0" w:color="auto"/>
              <w:left w:val="single" w:sz="4" w:space="0" w:color="auto"/>
              <w:bottom w:val="single" w:sz="4" w:space="0" w:color="auto"/>
              <w:right w:val="single" w:sz="4" w:space="0" w:color="auto"/>
            </w:tcBorders>
            <w:vAlign w:val="center"/>
            <w:hideMark/>
          </w:tcPr>
          <w:p w14:paraId="633568CB"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13020D4A" w14:textId="77777777" w:rsidR="002F590A" w:rsidRDefault="002F590A">
            <w:pPr>
              <w:jc w:val="center"/>
              <w:rPr>
                <w:color w:val="000000"/>
                <w:sz w:val="12"/>
                <w:szCs w:val="12"/>
              </w:rPr>
            </w:pPr>
            <w:r>
              <w:rPr>
                <w:color w:val="000000"/>
                <w:sz w:val="12"/>
                <w:szCs w:val="12"/>
              </w:rPr>
              <w:t>0,00</w:t>
            </w:r>
          </w:p>
        </w:tc>
        <w:tc>
          <w:tcPr>
            <w:tcW w:w="172" w:type="pct"/>
            <w:tcBorders>
              <w:top w:val="single" w:sz="4" w:space="0" w:color="auto"/>
              <w:left w:val="single" w:sz="4" w:space="0" w:color="auto"/>
              <w:bottom w:val="single" w:sz="4" w:space="0" w:color="auto"/>
              <w:right w:val="single" w:sz="4" w:space="0" w:color="auto"/>
            </w:tcBorders>
            <w:vAlign w:val="center"/>
            <w:hideMark/>
          </w:tcPr>
          <w:p w14:paraId="50C485AE" w14:textId="77777777" w:rsidR="002F590A" w:rsidRDefault="002F590A">
            <w:pPr>
              <w:jc w:val="center"/>
              <w:rPr>
                <w:color w:val="000000"/>
                <w:sz w:val="12"/>
                <w:szCs w:val="12"/>
              </w:rPr>
            </w:pPr>
            <w:r>
              <w:rPr>
                <w:color w:val="000000"/>
                <w:sz w:val="12"/>
                <w:szCs w:val="12"/>
              </w:rPr>
              <w:t>0,00</w:t>
            </w:r>
          </w:p>
        </w:tc>
      </w:tr>
      <w:tr w:rsidR="002F590A" w14:paraId="611D455E" w14:textId="77777777" w:rsidTr="002F590A">
        <w:trPr>
          <w:trHeight w:val="269"/>
        </w:trPr>
        <w:tc>
          <w:tcPr>
            <w:tcW w:w="173" w:type="pct"/>
            <w:tcBorders>
              <w:top w:val="single" w:sz="4" w:space="0" w:color="auto"/>
              <w:left w:val="single" w:sz="4" w:space="0" w:color="auto"/>
              <w:bottom w:val="single" w:sz="4" w:space="0" w:color="auto"/>
              <w:right w:val="single" w:sz="4" w:space="0" w:color="auto"/>
            </w:tcBorders>
            <w:vAlign w:val="center"/>
            <w:hideMark/>
          </w:tcPr>
          <w:p w14:paraId="7D456EB7" w14:textId="77777777" w:rsidR="002F590A" w:rsidRDefault="002F590A">
            <w:pPr>
              <w:jc w:val="center"/>
              <w:rPr>
                <w:bCs/>
                <w:sz w:val="12"/>
                <w:szCs w:val="12"/>
              </w:rPr>
            </w:pPr>
            <w:r>
              <w:rPr>
                <w:bCs/>
                <w:sz w:val="12"/>
                <w:szCs w:val="12"/>
              </w:rPr>
              <w:t>1</w:t>
            </w:r>
          </w:p>
        </w:tc>
        <w:tc>
          <w:tcPr>
            <w:tcW w:w="280" w:type="pct"/>
            <w:tcBorders>
              <w:top w:val="single" w:sz="4" w:space="0" w:color="auto"/>
              <w:left w:val="single" w:sz="4" w:space="0" w:color="auto"/>
              <w:bottom w:val="single" w:sz="4" w:space="0" w:color="auto"/>
              <w:right w:val="single" w:sz="4" w:space="0" w:color="auto"/>
            </w:tcBorders>
            <w:vAlign w:val="center"/>
            <w:hideMark/>
          </w:tcPr>
          <w:p w14:paraId="6BB562AE" w14:textId="77777777" w:rsidR="002F590A" w:rsidRDefault="002F590A">
            <w:pPr>
              <w:jc w:val="center"/>
              <w:rPr>
                <w:bCs/>
                <w:sz w:val="12"/>
                <w:szCs w:val="12"/>
              </w:rPr>
            </w:pPr>
            <w:r>
              <w:rPr>
                <w:bCs/>
                <w:sz w:val="12"/>
                <w:szCs w:val="12"/>
              </w:rPr>
              <w:t>2</w:t>
            </w:r>
          </w:p>
        </w:tc>
        <w:tc>
          <w:tcPr>
            <w:tcW w:w="313" w:type="pct"/>
            <w:tcBorders>
              <w:top w:val="single" w:sz="4" w:space="0" w:color="auto"/>
              <w:left w:val="single" w:sz="4" w:space="0" w:color="auto"/>
              <w:bottom w:val="single" w:sz="4" w:space="0" w:color="auto"/>
              <w:right w:val="single" w:sz="4" w:space="0" w:color="auto"/>
            </w:tcBorders>
            <w:vAlign w:val="center"/>
            <w:hideMark/>
          </w:tcPr>
          <w:p w14:paraId="2897A553" w14:textId="77777777" w:rsidR="002F590A" w:rsidRDefault="002F590A">
            <w:pPr>
              <w:jc w:val="center"/>
              <w:rPr>
                <w:bCs/>
                <w:sz w:val="12"/>
                <w:szCs w:val="12"/>
              </w:rPr>
            </w:pPr>
            <w:r>
              <w:rPr>
                <w:bCs/>
                <w:sz w:val="12"/>
                <w:szCs w:val="12"/>
              </w:rPr>
              <w:t>3</w:t>
            </w:r>
          </w:p>
        </w:tc>
        <w:tc>
          <w:tcPr>
            <w:tcW w:w="275" w:type="pct"/>
            <w:tcBorders>
              <w:top w:val="single" w:sz="4" w:space="0" w:color="auto"/>
              <w:left w:val="single" w:sz="4" w:space="0" w:color="auto"/>
              <w:bottom w:val="single" w:sz="4" w:space="0" w:color="auto"/>
              <w:right w:val="single" w:sz="4" w:space="0" w:color="auto"/>
            </w:tcBorders>
            <w:vAlign w:val="center"/>
            <w:hideMark/>
          </w:tcPr>
          <w:p w14:paraId="5CAE1B38" w14:textId="77777777" w:rsidR="002F590A" w:rsidRDefault="002F590A">
            <w:pPr>
              <w:jc w:val="center"/>
              <w:rPr>
                <w:bCs/>
                <w:sz w:val="12"/>
                <w:szCs w:val="12"/>
              </w:rPr>
            </w:pPr>
            <w:r>
              <w:rPr>
                <w:bCs/>
                <w:sz w:val="12"/>
                <w:szCs w:val="12"/>
              </w:rPr>
              <w:t>4</w:t>
            </w:r>
          </w:p>
        </w:tc>
        <w:tc>
          <w:tcPr>
            <w:tcW w:w="303" w:type="pct"/>
            <w:tcBorders>
              <w:top w:val="single" w:sz="4" w:space="0" w:color="auto"/>
              <w:left w:val="single" w:sz="4" w:space="0" w:color="auto"/>
              <w:bottom w:val="single" w:sz="4" w:space="0" w:color="auto"/>
              <w:right w:val="single" w:sz="4" w:space="0" w:color="auto"/>
            </w:tcBorders>
            <w:vAlign w:val="center"/>
            <w:hideMark/>
          </w:tcPr>
          <w:p w14:paraId="1E572AC8" w14:textId="77777777" w:rsidR="002F590A" w:rsidRDefault="002F590A">
            <w:pPr>
              <w:jc w:val="center"/>
              <w:rPr>
                <w:bCs/>
                <w:sz w:val="12"/>
                <w:szCs w:val="12"/>
              </w:rPr>
            </w:pPr>
            <w:r>
              <w:rPr>
                <w:bCs/>
                <w:sz w:val="12"/>
                <w:szCs w:val="12"/>
              </w:rPr>
              <w:t>5</w:t>
            </w:r>
          </w:p>
        </w:tc>
        <w:tc>
          <w:tcPr>
            <w:tcW w:w="139" w:type="pct"/>
            <w:tcBorders>
              <w:top w:val="single" w:sz="4" w:space="0" w:color="auto"/>
              <w:left w:val="single" w:sz="4" w:space="0" w:color="auto"/>
              <w:bottom w:val="single" w:sz="4" w:space="0" w:color="auto"/>
              <w:right w:val="single" w:sz="4" w:space="0" w:color="auto"/>
            </w:tcBorders>
            <w:vAlign w:val="center"/>
            <w:hideMark/>
          </w:tcPr>
          <w:p w14:paraId="111102AA" w14:textId="77777777" w:rsidR="002F590A" w:rsidRDefault="002F590A">
            <w:pPr>
              <w:jc w:val="center"/>
              <w:rPr>
                <w:bCs/>
                <w:sz w:val="12"/>
                <w:szCs w:val="12"/>
              </w:rPr>
            </w:pPr>
            <w:r>
              <w:rPr>
                <w:bCs/>
                <w:sz w:val="12"/>
                <w:szCs w:val="12"/>
              </w:rPr>
              <w:t>6</w:t>
            </w:r>
          </w:p>
        </w:tc>
        <w:tc>
          <w:tcPr>
            <w:tcW w:w="300" w:type="pct"/>
            <w:tcBorders>
              <w:top w:val="single" w:sz="4" w:space="0" w:color="auto"/>
              <w:left w:val="single" w:sz="4" w:space="0" w:color="auto"/>
              <w:bottom w:val="single" w:sz="4" w:space="0" w:color="auto"/>
              <w:right w:val="single" w:sz="4" w:space="0" w:color="auto"/>
            </w:tcBorders>
            <w:vAlign w:val="center"/>
            <w:hideMark/>
          </w:tcPr>
          <w:p w14:paraId="549FFC96" w14:textId="77777777" w:rsidR="002F590A" w:rsidRDefault="002F590A">
            <w:pPr>
              <w:jc w:val="center"/>
              <w:rPr>
                <w:bCs/>
                <w:sz w:val="12"/>
                <w:szCs w:val="12"/>
              </w:rPr>
            </w:pPr>
            <w:r>
              <w:rPr>
                <w:bCs/>
                <w:sz w:val="12"/>
                <w:szCs w:val="12"/>
              </w:rPr>
              <w:t>7</w:t>
            </w:r>
          </w:p>
        </w:tc>
        <w:tc>
          <w:tcPr>
            <w:tcW w:w="351" w:type="pct"/>
            <w:tcBorders>
              <w:top w:val="single" w:sz="4" w:space="0" w:color="auto"/>
              <w:left w:val="single" w:sz="4" w:space="0" w:color="auto"/>
              <w:bottom w:val="single" w:sz="4" w:space="0" w:color="auto"/>
              <w:right w:val="single" w:sz="4" w:space="0" w:color="auto"/>
            </w:tcBorders>
            <w:vAlign w:val="center"/>
            <w:hideMark/>
          </w:tcPr>
          <w:p w14:paraId="18A9F59D" w14:textId="77777777" w:rsidR="002F590A" w:rsidRDefault="002F590A">
            <w:pPr>
              <w:jc w:val="center"/>
              <w:rPr>
                <w:bCs/>
                <w:sz w:val="12"/>
                <w:szCs w:val="12"/>
              </w:rPr>
            </w:pPr>
            <w:r>
              <w:rPr>
                <w:bCs/>
                <w:sz w:val="12"/>
                <w:szCs w:val="12"/>
              </w:rPr>
              <w:t>8</w:t>
            </w:r>
          </w:p>
        </w:tc>
        <w:tc>
          <w:tcPr>
            <w:tcW w:w="139" w:type="pct"/>
            <w:tcBorders>
              <w:top w:val="single" w:sz="4" w:space="0" w:color="auto"/>
              <w:left w:val="single" w:sz="4" w:space="0" w:color="auto"/>
              <w:bottom w:val="single" w:sz="4" w:space="0" w:color="auto"/>
              <w:right w:val="single" w:sz="4" w:space="0" w:color="auto"/>
            </w:tcBorders>
            <w:vAlign w:val="center"/>
            <w:hideMark/>
          </w:tcPr>
          <w:p w14:paraId="4B4049D2" w14:textId="77777777" w:rsidR="002F590A" w:rsidRDefault="002F590A">
            <w:pPr>
              <w:jc w:val="center"/>
              <w:rPr>
                <w:bCs/>
                <w:sz w:val="12"/>
                <w:szCs w:val="12"/>
              </w:rPr>
            </w:pPr>
            <w:r>
              <w:rPr>
                <w:bCs/>
                <w:sz w:val="12"/>
                <w:szCs w:val="12"/>
              </w:rPr>
              <w:t>9</w:t>
            </w:r>
          </w:p>
        </w:tc>
        <w:tc>
          <w:tcPr>
            <w:tcW w:w="167" w:type="pct"/>
            <w:tcBorders>
              <w:top w:val="single" w:sz="4" w:space="0" w:color="auto"/>
              <w:left w:val="single" w:sz="4" w:space="0" w:color="auto"/>
              <w:bottom w:val="single" w:sz="4" w:space="0" w:color="auto"/>
              <w:right w:val="single" w:sz="4" w:space="0" w:color="auto"/>
            </w:tcBorders>
            <w:vAlign w:val="center"/>
            <w:hideMark/>
          </w:tcPr>
          <w:p w14:paraId="7C5CE98F" w14:textId="77777777" w:rsidR="002F590A" w:rsidRDefault="002F590A">
            <w:pPr>
              <w:jc w:val="center"/>
              <w:rPr>
                <w:bCs/>
                <w:sz w:val="12"/>
                <w:szCs w:val="12"/>
              </w:rPr>
            </w:pPr>
            <w:r>
              <w:rPr>
                <w:bCs/>
                <w:sz w:val="12"/>
                <w:szCs w:val="12"/>
              </w:rPr>
              <w:t>10</w:t>
            </w:r>
          </w:p>
        </w:tc>
        <w:tc>
          <w:tcPr>
            <w:tcW w:w="216" w:type="pct"/>
            <w:tcBorders>
              <w:top w:val="single" w:sz="4" w:space="0" w:color="auto"/>
              <w:left w:val="single" w:sz="4" w:space="0" w:color="auto"/>
              <w:bottom w:val="single" w:sz="4" w:space="0" w:color="auto"/>
              <w:right w:val="single" w:sz="4" w:space="0" w:color="auto"/>
            </w:tcBorders>
            <w:vAlign w:val="center"/>
            <w:hideMark/>
          </w:tcPr>
          <w:p w14:paraId="1378FED9" w14:textId="77777777" w:rsidR="002F590A" w:rsidRDefault="002F590A">
            <w:pPr>
              <w:jc w:val="center"/>
              <w:rPr>
                <w:bCs/>
                <w:sz w:val="12"/>
                <w:szCs w:val="12"/>
              </w:rPr>
            </w:pPr>
            <w:r>
              <w:rPr>
                <w:bCs/>
                <w:sz w:val="12"/>
                <w:szCs w:val="12"/>
              </w:rPr>
              <w:t>11</w:t>
            </w:r>
          </w:p>
        </w:tc>
        <w:tc>
          <w:tcPr>
            <w:tcW w:w="174" w:type="pct"/>
            <w:tcBorders>
              <w:top w:val="single" w:sz="4" w:space="0" w:color="auto"/>
              <w:left w:val="single" w:sz="4" w:space="0" w:color="auto"/>
              <w:bottom w:val="single" w:sz="4" w:space="0" w:color="auto"/>
              <w:right w:val="single" w:sz="4" w:space="0" w:color="auto"/>
            </w:tcBorders>
            <w:vAlign w:val="center"/>
            <w:hideMark/>
          </w:tcPr>
          <w:p w14:paraId="23D593E4" w14:textId="77777777" w:rsidR="002F590A" w:rsidRDefault="002F590A">
            <w:pPr>
              <w:jc w:val="center"/>
              <w:rPr>
                <w:bCs/>
                <w:sz w:val="12"/>
                <w:szCs w:val="12"/>
              </w:rPr>
            </w:pPr>
            <w:r>
              <w:rPr>
                <w:bCs/>
                <w:sz w:val="12"/>
                <w:szCs w:val="12"/>
              </w:rPr>
              <w:t>12</w:t>
            </w:r>
          </w:p>
        </w:tc>
        <w:tc>
          <w:tcPr>
            <w:tcW w:w="174" w:type="pct"/>
            <w:tcBorders>
              <w:top w:val="single" w:sz="4" w:space="0" w:color="auto"/>
              <w:left w:val="single" w:sz="4" w:space="0" w:color="auto"/>
              <w:bottom w:val="single" w:sz="4" w:space="0" w:color="auto"/>
              <w:right w:val="single" w:sz="4" w:space="0" w:color="auto"/>
            </w:tcBorders>
            <w:vAlign w:val="center"/>
            <w:hideMark/>
          </w:tcPr>
          <w:p w14:paraId="53974920" w14:textId="77777777" w:rsidR="002F590A" w:rsidRDefault="002F590A">
            <w:pPr>
              <w:jc w:val="center"/>
              <w:rPr>
                <w:bCs/>
                <w:sz w:val="12"/>
                <w:szCs w:val="12"/>
              </w:rPr>
            </w:pPr>
            <w:r>
              <w:rPr>
                <w:bCs/>
                <w:sz w:val="12"/>
                <w:szCs w:val="12"/>
              </w:rPr>
              <w:t>13</w:t>
            </w:r>
          </w:p>
        </w:tc>
        <w:tc>
          <w:tcPr>
            <w:tcW w:w="172" w:type="pct"/>
            <w:tcBorders>
              <w:top w:val="single" w:sz="4" w:space="0" w:color="auto"/>
              <w:left w:val="single" w:sz="4" w:space="0" w:color="auto"/>
              <w:bottom w:val="single" w:sz="4" w:space="0" w:color="auto"/>
              <w:right w:val="single" w:sz="4" w:space="0" w:color="auto"/>
            </w:tcBorders>
            <w:vAlign w:val="center"/>
            <w:hideMark/>
          </w:tcPr>
          <w:p w14:paraId="6DDD2C69" w14:textId="77777777" w:rsidR="002F590A" w:rsidRDefault="002F590A">
            <w:pPr>
              <w:jc w:val="center"/>
              <w:rPr>
                <w:bCs/>
                <w:sz w:val="12"/>
                <w:szCs w:val="12"/>
              </w:rPr>
            </w:pPr>
            <w:r>
              <w:rPr>
                <w:bCs/>
                <w:sz w:val="12"/>
                <w:szCs w:val="12"/>
              </w:rPr>
              <w:t>14</w:t>
            </w:r>
          </w:p>
        </w:tc>
        <w:tc>
          <w:tcPr>
            <w:tcW w:w="174" w:type="pct"/>
            <w:tcBorders>
              <w:top w:val="single" w:sz="4" w:space="0" w:color="auto"/>
              <w:left w:val="single" w:sz="4" w:space="0" w:color="auto"/>
              <w:bottom w:val="single" w:sz="4" w:space="0" w:color="auto"/>
              <w:right w:val="single" w:sz="4" w:space="0" w:color="auto"/>
            </w:tcBorders>
            <w:vAlign w:val="center"/>
            <w:hideMark/>
          </w:tcPr>
          <w:p w14:paraId="58FDA58A" w14:textId="77777777" w:rsidR="002F590A" w:rsidRDefault="002F590A">
            <w:pPr>
              <w:jc w:val="center"/>
              <w:rPr>
                <w:bCs/>
                <w:sz w:val="12"/>
                <w:szCs w:val="12"/>
              </w:rPr>
            </w:pPr>
            <w:r>
              <w:rPr>
                <w:bCs/>
                <w:sz w:val="12"/>
                <w:szCs w:val="12"/>
              </w:rPr>
              <w:t>15</w:t>
            </w:r>
          </w:p>
        </w:tc>
        <w:tc>
          <w:tcPr>
            <w:tcW w:w="216" w:type="pct"/>
            <w:tcBorders>
              <w:top w:val="single" w:sz="4" w:space="0" w:color="auto"/>
              <w:left w:val="single" w:sz="4" w:space="0" w:color="auto"/>
              <w:bottom w:val="single" w:sz="4" w:space="0" w:color="auto"/>
              <w:right w:val="single" w:sz="4" w:space="0" w:color="auto"/>
            </w:tcBorders>
            <w:vAlign w:val="center"/>
            <w:hideMark/>
          </w:tcPr>
          <w:p w14:paraId="15C48078" w14:textId="77777777" w:rsidR="002F590A" w:rsidRDefault="002F590A">
            <w:pPr>
              <w:jc w:val="center"/>
              <w:rPr>
                <w:bCs/>
                <w:sz w:val="12"/>
                <w:szCs w:val="12"/>
              </w:rPr>
            </w:pPr>
            <w:r>
              <w:rPr>
                <w:bCs/>
                <w:sz w:val="12"/>
                <w:szCs w:val="12"/>
              </w:rPr>
              <w:t>16</w:t>
            </w:r>
          </w:p>
        </w:tc>
        <w:tc>
          <w:tcPr>
            <w:tcW w:w="174" w:type="pct"/>
            <w:tcBorders>
              <w:top w:val="single" w:sz="4" w:space="0" w:color="auto"/>
              <w:left w:val="single" w:sz="4" w:space="0" w:color="auto"/>
              <w:bottom w:val="single" w:sz="4" w:space="0" w:color="auto"/>
              <w:right w:val="single" w:sz="4" w:space="0" w:color="auto"/>
            </w:tcBorders>
            <w:vAlign w:val="center"/>
            <w:hideMark/>
          </w:tcPr>
          <w:p w14:paraId="2E812D33" w14:textId="77777777" w:rsidR="002F590A" w:rsidRDefault="002F590A">
            <w:pPr>
              <w:jc w:val="center"/>
              <w:rPr>
                <w:bCs/>
                <w:sz w:val="12"/>
                <w:szCs w:val="12"/>
              </w:rPr>
            </w:pPr>
            <w:r>
              <w:rPr>
                <w:bCs/>
                <w:sz w:val="12"/>
                <w:szCs w:val="12"/>
              </w:rPr>
              <w:t>17</w:t>
            </w:r>
          </w:p>
        </w:tc>
        <w:tc>
          <w:tcPr>
            <w:tcW w:w="174" w:type="pct"/>
            <w:tcBorders>
              <w:top w:val="single" w:sz="4" w:space="0" w:color="auto"/>
              <w:left w:val="single" w:sz="4" w:space="0" w:color="auto"/>
              <w:bottom w:val="single" w:sz="4" w:space="0" w:color="auto"/>
              <w:right w:val="single" w:sz="4" w:space="0" w:color="auto"/>
            </w:tcBorders>
            <w:vAlign w:val="center"/>
            <w:hideMark/>
          </w:tcPr>
          <w:p w14:paraId="2CAFBA72" w14:textId="77777777" w:rsidR="002F590A" w:rsidRDefault="002F590A">
            <w:pPr>
              <w:jc w:val="center"/>
              <w:rPr>
                <w:bCs/>
                <w:sz w:val="12"/>
                <w:szCs w:val="12"/>
              </w:rPr>
            </w:pPr>
            <w:r>
              <w:rPr>
                <w:bCs/>
                <w:sz w:val="12"/>
                <w:szCs w:val="12"/>
              </w:rPr>
              <w:t>18</w:t>
            </w:r>
          </w:p>
        </w:tc>
        <w:tc>
          <w:tcPr>
            <w:tcW w:w="218" w:type="pct"/>
            <w:tcBorders>
              <w:top w:val="single" w:sz="4" w:space="0" w:color="auto"/>
              <w:left w:val="single" w:sz="4" w:space="0" w:color="auto"/>
              <w:bottom w:val="single" w:sz="4" w:space="0" w:color="auto"/>
              <w:right w:val="single" w:sz="4" w:space="0" w:color="auto"/>
            </w:tcBorders>
            <w:vAlign w:val="center"/>
            <w:hideMark/>
          </w:tcPr>
          <w:p w14:paraId="6C9074BD" w14:textId="77777777" w:rsidR="002F590A" w:rsidRDefault="002F590A">
            <w:pPr>
              <w:jc w:val="center"/>
              <w:rPr>
                <w:bCs/>
                <w:sz w:val="12"/>
                <w:szCs w:val="12"/>
              </w:rPr>
            </w:pPr>
            <w:r>
              <w:rPr>
                <w:bCs/>
                <w:sz w:val="12"/>
                <w:szCs w:val="12"/>
              </w:rPr>
              <w:t>19</w:t>
            </w:r>
          </w:p>
        </w:tc>
        <w:tc>
          <w:tcPr>
            <w:tcW w:w="174" w:type="pct"/>
            <w:tcBorders>
              <w:top w:val="single" w:sz="4" w:space="0" w:color="auto"/>
              <w:left w:val="single" w:sz="4" w:space="0" w:color="auto"/>
              <w:bottom w:val="single" w:sz="4" w:space="0" w:color="auto"/>
              <w:right w:val="single" w:sz="4" w:space="0" w:color="auto"/>
            </w:tcBorders>
            <w:vAlign w:val="center"/>
            <w:hideMark/>
          </w:tcPr>
          <w:p w14:paraId="7CDB61E1" w14:textId="77777777" w:rsidR="002F590A" w:rsidRDefault="002F590A">
            <w:pPr>
              <w:jc w:val="center"/>
              <w:rPr>
                <w:bCs/>
                <w:sz w:val="12"/>
                <w:szCs w:val="12"/>
              </w:rPr>
            </w:pPr>
            <w:r>
              <w:rPr>
                <w:bCs/>
                <w:sz w:val="12"/>
                <w:szCs w:val="12"/>
              </w:rPr>
              <w:t>20</w:t>
            </w:r>
          </w:p>
        </w:tc>
        <w:tc>
          <w:tcPr>
            <w:tcW w:w="174" w:type="pct"/>
            <w:tcBorders>
              <w:top w:val="single" w:sz="4" w:space="0" w:color="auto"/>
              <w:left w:val="single" w:sz="4" w:space="0" w:color="auto"/>
              <w:bottom w:val="single" w:sz="4" w:space="0" w:color="auto"/>
              <w:right w:val="single" w:sz="4" w:space="0" w:color="auto"/>
            </w:tcBorders>
            <w:vAlign w:val="center"/>
            <w:hideMark/>
          </w:tcPr>
          <w:p w14:paraId="0746F23F" w14:textId="77777777" w:rsidR="002F590A" w:rsidRDefault="002F590A">
            <w:pPr>
              <w:jc w:val="center"/>
              <w:rPr>
                <w:bCs/>
                <w:sz w:val="12"/>
                <w:szCs w:val="12"/>
              </w:rPr>
            </w:pPr>
            <w:r>
              <w:rPr>
                <w:bCs/>
                <w:sz w:val="12"/>
                <w:szCs w:val="12"/>
              </w:rPr>
              <w:t>21</w:t>
            </w:r>
          </w:p>
        </w:tc>
        <w:tc>
          <w:tcPr>
            <w:tcW w:w="175" w:type="pct"/>
            <w:tcBorders>
              <w:top w:val="single" w:sz="4" w:space="0" w:color="auto"/>
              <w:left w:val="single" w:sz="4" w:space="0" w:color="auto"/>
              <w:bottom w:val="single" w:sz="4" w:space="0" w:color="auto"/>
              <w:right w:val="single" w:sz="4" w:space="0" w:color="auto"/>
            </w:tcBorders>
            <w:vAlign w:val="center"/>
            <w:hideMark/>
          </w:tcPr>
          <w:p w14:paraId="47C817F4" w14:textId="77777777" w:rsidR="002F590A" w:rsidRDefault="002F590A">
            <w:pPr>
              <w:jc w:val="center"/>
              <w:rPr>
                <w:bCs/>
                <w:sz w:val="12"/>
                <w:szCs w:val="12"/>
              </w:rPr>
            </w:pPr>
            <w:r>
              <w:rPr>
                <w:bCs/>
                <w:sz w:val="12"/>
                <w:szCs w:val="12"/>
              </w:rPr>
              <w:t>22</w:t>
            </w:r>
          </w:p>
        </w:tc>
        <w:tc>
          <w:tcPr>
            <w:tcW w:w="173" w:type="pct"/>
            <w:tcBorders>
              <w:top w:val="single" w:sz="4" w:space="0" w:color="auto"/>
              <w:left w:val="single" w:sz="4" w:space="0" w:color="auto"/>
              <w:bottom w:val="single" w:sz="4" w:space="0" w:color="auto"/>
              <w:right w:val="single" w:sz="4" w:space="0" w:color="auto"/>
            </w:tcBorders>
            <w:vAlign w:val="center"/>
            <w:hideMark/>
          </w:tcPr>
          <w:p w14:paraId="624BC6E7" w14:textId="77777777" w:rsidR="002F590A" w:rsidRDefault="002F590A">
            <w:pPr>
              <w:jc w:val="center"/>
              <w:rPr>
                <w:bCs/>
                <w:sz w:val="12"/>
                <w:szCs w:val="12"/>
              </w:rPr>
            </w:pPr>
            <w:r>
              <w:rPr>
                <w:bCs/>
                <w:sz w:val="12"/>
                <w:szCs w:val="12"/>
              </w:rPr>
              <w:t>23</w:t>
            </w:r>
          </w:p>
        </w:tc>
        <w:tc>
          <w:tcPr>
            <w:tcW w:w="172" w:type="pct"/>
            <w:tcBorders>
              <w:top w:val="single" w:sz="4" w:space="0" w:color="auto"/>
              <w:left w:val="single" w:sz="4" w:space="0" w:color="auto"/>
              <w:bottom w:val="single" w:sz="4" w:space="0" w:color="auto"/>
              <w:right w:val="single" w:sz="4" w:space="0" w:color="auto"/>
            </w:tcBorders>
            <w:vAlign w:val="center"/>
            <w:hideMark/>
          </w:tcPr>
          <w:p w14:paraId="101A6EE7" w14:textId="77777777" w:rsidR="002F590A" w:rsidRDefault="002F590A">
            <w:pPr>
              <w:jc w:val="center"/>
              <w:rPr>
                <w:bCs/>
                <w:sz w:val="12"/>
                <w:szCs w:val="12"/>
              </w:rPr>
            </w:pPr>
            <w:r>
              <w:rPr>
                <w:bCs/>
                <w:sz w:val="12"/>
                <w:szCs w:val="12"/>
              </w:rPr>
              <w:t>24</w:t>
            </w:r>
          </w:p>
        </w:tc>
      </w:tr>
      <w:tr w:rsidR="002F590A" w14:paraId="229ED594" w14:textId="77777777" w:rsidTr="002F590A">
        <w:trPr>
          <w:trHeight w:val="897"/>
        </w:trPr>
        <w:tc>
          <w:tcPr>
            <w:tcW w:w="173" w:type="pct"/>
            <w:tcBorders>
              <w:top w:val="single" w:sz="4" w:space="0" w:color="auto"/>
              <w:left w:val="single" w:sz="4" w:space="0" w:color="auto"/>
              <w:bottom w:val="single" w:sz="4" w:space="0" w:color="auto"/>
              <w:right w:val="single" w:sz="4" w:space="0" w:color="auto"/>
            </w:tcBorders>
            <w:vAlign w:val="center"/>
            <w:hideMark/>
          </w:tcPr>
          <w:p w14:paraId="3AFB22DB" w14:textId="77777777" w:rsidR="002F590A" w:rsidRDefault="002F590A">
            <w:pPr>
              <w:jc w:val="center"/>
              <w:rPr>
                <w:sz w:val="12"/>
                <w:szCs w:val="12"/>
              </w:rPr>
            </w:pPr>
            <w:r>
              <w:rPr>
                <w:sz w:val="12"/>
                <w:szCs w:val="12"/>
              </w:rPr>
              <w:t>3.2.10.2</w:t>
            </w:r>
          </w:p>
        </w:tc>
        <w:tc>
          <w:tcPr>
            <w:tcW w:w="280" w:type="pct"/>
            <w:tcBorders>
              <w:top w:val="single" w:sz="4" w:space="0" w:color="auto"/>
              <w:left w:val="single" w:sz="4" w:space="0" w:color="auto"/>
              <w:bottom w:val="single" w:sz="4" w:space="0" w:color="auto"/>
              <w:right w:val="single" w:sz="4" w:space="0" w:color="auto"/>
            </w:tcBorders>
            <w:vAlign w:val="center"/>
            <w:hideMark/>
          </w:tcPr>
          <w:p w14:paraId="4F750120" w14:textId="77777777" w:rsidR="002F590A" w:rsidRDefault="002F590A">
            <w:pPr>
              <w:rPr>
                <w:color w:val="000000"/>
                <w:sz w:val="12"/>
                <w:szCs w:val="12"/>
              </w:rPr>
            </w:pPr>
            <w:r>
              <w:rPr>
                <w:color w:val="000000"/>
                <w:sz w:val="12"/>
                <w:szCs w:val="12"/>
              </w:rPr>
              <w:t>Реконструкция подпиточного насоса № 1</w:t>
            </w:r>
          </w:p>
        </w:tc>
        <w:tc>
          <w:tcPr>
            <w:tcW w:w="313" w:type="pct"/>
            <w:tcBorders>
              <w:top w:val="single" w:sz="4" w:space="0" w:color="auto"/>
              <w:left w:val="single" w:sz="4" w:space="0" w:color="auto"/>
              <w:bottom w:val="single" w:sz="4" w:space="0" w:color="auto"/>
              <w:right w:val="single" w:sz="4" w:space="0" w:color="auto"/>
            </w:tcBorders>
            <w:vAlign w:val="center"/>
            <w:hideMark/>
          </w:tcPr>
          <w:p w14:paraId="56B91319" w14:textId="77777777" w:rsidR="002F590A" w:rsidRDefault="002F590A">
            <w:pPr>
              <w:jc w:val="center"/>
              <w:rPr>
                <w:sz w:val="12"/>
                <w:szCs w:val="12"/>
              </w:rPr>
            </w:pPr>
            <w:r>
              <w:rPr>
                <w:sz w:val="12"/>
                <w:szCs w:val="12"/>
              </w:rPr>
              <w:t>Повышение надежности (бесперебойности) услуг теплоснабжения, повышение энергетической эффективности</w:t>
            </w:r>
          </w:p>
        </w:tc>
        <w:tc>
          <w:tcPr>
            <w:tcW w:w="275" w:type="pct"/>
            <w:tcBorders>
              <w:top w:val="single" w:sz="4" w:space="0" w:color="auto"/>
              <w:left w:val="single" w:sz="4" w:space="0" w:color="auto"/>
              <w:bottom w:val="single" w:sz="4" w:space="0" w:color="auto"/>
              <w:right w:val="single" w:sz="4" w:space="0" w:color="auto"/>
            </w:tcBorders>
            <w:vAlign w:val="center"/>
            <w:hideMark/>
          </w:tcPr>
          <w:p w14:paraId="151E8432" w14:textId="77777777" w:rsidR="002F590A" w:rsidRDefault="002F590A">
            <w:pPr>
              <w:jc w:val="center"/>
              <w:rPr>
                <w:sz w:val="12"/>
                <w:szCs w:val="12"/>
              </w:rPr>
            </w:pPr>
            <w:r>
              <w:rPr>
                <w:sz w:val="12"/>
                <w:szCs w:val="12"/>
              </w:rPr>
              <w:t> </w:t>
            </w:r>
          </w:p>
        </w:tc>
        <w:tc>
          <w:tcPr>
            <w:tcW w:w="303" w:type="pct"/>
            <w:tcBorders>
              <w:top w:val="single" w:sz="4" w:space="0" w:color="auto"/>
              <w:left w:val="single" w:sz="4" w:space="0" w:color="auto"/>
              <w:bottom w:val="single" w:sz="4" w:space="0" w:color="auto"/>
              <w:right w:val="single" w:sz="4" w:space="0" w:color="auto"/>
            </w:tcBorders>
            <w:vAlign w:val="center"/>
            <w:hideMark/>
          </w:tcPr>
          <w:p w14:paraId="4EC22B09" w14:textId="77777777" w:rsidR="002F590A" w:rsidRDefault="002F590A">
            <w:pPr>
              <w:jc w:val="center"/>
              <w:rPr>
                <w:sz w:val="12"/>
                <w:szCs w:val="12"/>
              </w:rPr>
            </w:pPr>
            <w:r>
              <w:rPr>
                <w:color w:val="000000"/>
                <w:sz w:val="12"/>
                <w:szCs w:val="12"/>
              </w:rPr>
              <w:t>Технические характеристики</w:t>
            </w:r>
          </w:p>
        </w:tc>
        <w:tc>
          <w:tcPr>
            <w:tcW w:w="139" w:type="pct"/>
            <w:tcBorders>
              <w:top w:val="single" w:sz="4" w:space="0" w:color="auto"/>
              <w:left w:val="single" w:sz="4" w:space="0" w:color="auto"/>
              <w:bottom w:val="single" w:sz="4" w:space="0" w:color="auto"/>
              <w:right w:val="single" w:sz="4" w:space="0" w:color="auto"/>
            </w:tcBorders>
            <w:vAlign w:val="center"/>
          </w:tcPr>
          <w:p w14:paraId="09F9CCF1" w14:textId="77777777" w:rsidR="002F590A" w:rsidRDefault="002F590A">
            <w:pPr>
              <w:jc w:val="center"/>
              <w:rPr>
                <w:sz w:val="12"/>
                <w:szCs w:val="12"/>
              </w:rPr>
            </w:pPr>
          </w:p>
        </w:tc>
        <w:tc>
          <w:tcPr>
            <w:tcW w:w="300" w:type="pct"/>
            <w:tcBorders>
              <w:top w:val="single" w:sz="4" w:space="0" w:color="auto"/>
              <w:left w:val="single" w:sz="4" w:space="0" w:color="auto"/>
              <w:bottom w:val="single" w:sz="4" w:space="0" w:color="auto"/>
              <w:right w:val="single" w:sz="4" w:space="0" w:color="auto"/>
            </w:tcBorders>
            <w:vAlign w:val="center"/>
            <w:hideMark/>
          </w:tcPr>
          <w:p w14:paraId="4F37F6C4" w14:textId="77777777" w:rsidR="002F590A" w:rsidRDefault="002F590A">
            <w:pPr>
              <w:jc w:val="center"/>
              <w:rPr>
                <w:sz w:val="12"/>
                <w:szCs w:val="12"/>
              </w:rPr>
            </w:pPr>
            <w:r>
              <w:rPr>
                <w:sz w:val="12"/>
                <w:szCs w:val="12"/>
              </w:rPr>
              <w:t xml:space="preserve">Насос марки К 8\18, консольный, подача 8м3/час, напор 18м, </w:t>
            </w:r>
          </w:p>
        </w:tc>
        <w:tc>
          <w:tcPr>
            <w:tcW w:w="351" w:type="pct"/>
            <w:tcBorders>
              <w:top w:val="single" w:sz="4" w:space="0" w:color="auto"/>
              <w:left w:val="single" w:sz="4" w:space="0" w:color="auto"/>
              <w:bottom w:val="single" w:sz="4" w:space="0" w:color="auto"/>
              <w:right w:val="single" w:sz="4" w:space="0" w:color="auto"/>
            </w:tcBorders>
            <w:vAlign w:val="center"/>
          </w:tcPr>
          <w:p w14:paraId="3102A667" w14:textId="77777777" w:rsidR="002F590A" w:rsidRDefault="002F590A">
            <w:pPr>
              <w:jc w:val="center"/>
              <w:rPr>
                <w:sz w:val="12"/>
                <w:szCs w:val="12"/>
              </w:rPr>
            </w:pPr>
            <w:r>
              <w:rPr>
                <w:sz w:val="12"/>
                <w:szCs w:val="12"/>
              </w:rPr>
              <w:t>Оборудование с техническими характеристиками не ниже существующего на объекте.</w:t>
            </w:r>
          </w:p>
          <w:p w14:paraId="4DB69828" w14:textId="77777777" w:rsidR="002F590A" w:rsidRDefault="002F590A">
            <w:pPr>
              <w:jc w:val="center"/>
              <w:rPr>
                <w:sz w:val="12"/>
                <w:szCs w:val="12"/>
              </w:rPr>
            </w:pPr>
          </w:p>
          <w:p w14:paraId="70F80F18" w14:textId="77777777" w:rsidR="002F590A" w:rsidRDefault="002F590A">
            <w:pPr>
              <w:jc w:val="center"/>
              <w:rPr>
                <w:sz w:val="12"/>
                <w:szCs w:val="12"/>
              </w:rPr>
            </w:pPr>
          </w:p>
          <w:p w14:paraId="77680061" w14:textId="77777777" w:rsidR="002F590A" w:rsidRDefault="002F590A">
            <w:pPr>
              <w:jc w:val="center"/>
              <w:rPr>
                <w:sz w:val="12"/>
                <w:szCs w:val="12"/>
              </w:rPr>
            </w:pPr>
          </w:p>
        </w:tc>
        <w:tc>
          <w:tcPr>
            <w:tcW w:w="139" w:type="pct"/>
            <w:tcBorders>
              <w:top w:val="single" w:sz="4" w:space="0" w:color="auto"/>
              <w:left w:val="single" w:sz="4" w:space="0" w:color="auto"/>
              <w:bottom w:val="single" w:sz="4" w:space="0" w:color="auto"/>
              <w:right w:val="single" w:sz="4" w:space="0" w:color="auto"/>
            </w:tcBorders>
            <w:vAlign w:val="center"/>
            <w:hideMark/>
          </w:tcPr>
          <w:p w14:paraId="6BE38265" w14:textId="77777777" w:rsidR="002F590A" w:rsidRDefault="002F590A">
            <w:pPr>
              <w:jc w:val="center"/>
              <w:rPr>
                <w:sz w:val="12"/>
                <w:szCs w:val="12"/>
              </w:rPr>
            </w:pPr>
            <w:r>
              <w:rPr>
                <w:sz w:val="12"/>
                <w:szCs w:val="12"/>
              </w:rPr>
              <w:t>2028</w:t>
            </w:r>
          </w:p>
        </w:tc>
        <w:tc>
          <w:tcPr>
            <w:tcW w:w="167" w:type="pct"/>
            <w:tcBorders>
              <w:top w:val="single" w:sz="4" w:space="0" w:color="auto"/>
              <w:left w:val="single" w:sz="4" w:space="0" w:color="auto"/>
              <w:bottom w:val="single" w:sz="4" w:space="0" w:color="auto"/>
              <w:right w:val="single" w:sz="4" w:space="0" w:color="auto"/>
            </w:tcBorders>
            <w:vAlign w:val="center"/>
            <w:hideMark/>
          </w:tcPr>
          <w:p w14:paraId="120E51F5" w14:textId="77777777" w:rsidR="002F590A" w:rsidRDefault="002F590A">
            <w:pPr>
              <w:jc w:val="center"/>
              <w:rPr>
                <w:sz w:val="12"/>
                <w:szCs w:val="12"/>
              </w:rPr>
            </w:pPr>
            <w:r>
              <w:rPr>
                <w:sz w:val="12"/>
                <w:szCs w:val="12"/>
              </w:rPr>
              <w:t>2028</w:t>
            </w:r>
          </w:p>
        </w:tc>
        <w:tc>
          <w:tcPr>
            <w:tcW w:w="216" w:type="pct"/>
            <w:tcBorders>
              <w:top w:val="single" w:sz="4" w:space="0" w:color="auto"/>
              <w:left w:val="single" w:sz="4" w:space="0" w:color="auto"/>
              <w:bottom w:val="single" w:sz="4" w:space="0" w:color="auto"/>
              <w:right w:val="single" w:sz="4" w:space="0" w:color="auto"/>
            </w:tcBorders>
            <w:vAlign w:val="center"/>
            <w:hideMark/>
          </w:tcPr>
          <w:p w14:paraId="4A6AE1D2" w14:textId="77777777" w:rsidR="002F590A" w:rsidRDefault="002F590A">
            <w:pPr>
              <w:jc w:val="center"/>
              <w:rPr>
                <w:color w:val="000000"/>
                <w:sz w:val="12"/>
                <w:szCs w:val="12"/>
              </w:rPr>
            </w:pPr>
            <w:r>
              <w:rPr>
                <w:color w:val="000000"/>
                <w:sz w:val="12"/>
                <w:szCs w:val="12"/>
              </w:rPr>
              <w:t>150,02</w:t>
            </w:r>
          </w:p>
        </w:tc>
        <w:tc>
          <w:tcPr>
            <w:tcW w:w="174" w:type="pct"/>
            <w:tcBorders>
              <w:top w:val="single" w:sz="4" w:space="0" w:color="auto"/>
              <w:left w:val="single" w:sz="4" w:space="0" w:color="auto"/>
              <w:bottom w:val="single" w:sz="4" w:space="0" w:color="auto"/>
              <w:right w:val="single" w:sz="4" w:space="0" w:color="auto"/>
            </w:tcBorders>
            <w:vAlign w:val="center"/>
            <w:hideMark/>
          </w:tcPr>
          <w:p w14:paraId="01660983" w14:textId="77777777" w:rsidR="002F590A" w:rsidRDefault="002F590A">
            <w:pPr>
              <w:jc w:val="center"/>
              <w:rPr>
                <w:color w:val="000000"/>
                <w:sz w:val="12"/>
                <w:szCs w:val="12"/>
              </w:rPr>
            </w:pPr>
            <w:r>
              <w:rPr>
                <w:color w:val="000000"/>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4287A05C" w14:textId="77777777" w:rsidR="002F590A" w:rsidRDefault="002F590A">
            <w:pPr>
              <w:jc w:val="center"/>
              <w:rPr>
                <w:sz w:val="12"/>
                <w:szCs w:val="12"/>
              </w:rPr>
            </w:pPr>
            <w:r>
              <w:rPr>
                <w:sz w:val="12"/>
                <w:szCs w:val="12"/>
              </w:rPr>
              <w:t>0,00</w:t>
            </w:r>
          </w:p>
        </w:tc>
        <w:tc>
          <w:tcPr>
            <w:tcW w:w="172" w:type="pct"/>
            <w:tcBorders>
              <w:top w:val="single" w:sz="4" w:space="0" w:color="auto"/>
              <w:left w:val="single" w:sz="4" w:space="0" w:color="auto"/>
              <w:bottom w:val="single" w:sz="4" w:space="0" w:color="auto"/>
              <w:right w:val="single" w:sz="4" w:space="0" w:color="auto"/>
            </w:tcBorders>
            <w:vAlign w:val="center"/>
            <w:hideMark/>
          </w:tcPr>
          <w:p w14:paraId="681FC4FC"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25D4DB81" w14:textId="77777777" w:rsidR="002F590A" w:rsidRDefault="002F590A">
            <w:pPr>
              <w:jc w:val="center"/>
              <w:rPr>
                <w:sz w:val="12"/>
                <w:szCs w:val="12"/>
              </w:rPr>
            </w:pPr>
            <w:r>
              <w:rPr>
                <w:sz w:val="12"/>
                <w:szCs w:val="12"/>
              </w:rPr>
              <w:t>0,00</w:t>
            </w:r>
          </w:p>
        </w:tc>
        <w:tc>
          <w:tcPr>
            <w:tcW w:w="216" w:type="pct"/>
            <w:tcBorders>
              <w:top w:val="single" w:sz="4" w:space="0" w:color="auto"/>
              <w:left w:val="single" w:sz="4" w:space="0" w:color="auto"/>
              <w:bottom w:val="single" w:sz="4" w:space="0" w:color="auto"/>
              <w:right w:val="single" w:sz="4" w:space="0" w:color="auto"/>
            </w:tcBorders>
            <w:vAlign w:val="center"/>
            <w:hideMark/>
          </w:tcPr>
          <w:p w14:paraId="71F5A32D"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7781E1D7"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4CC1F5E8" w14:textId="77777777" w:rsidR="002F590A" w:rsidRDefault="002F590A">
            <w:pPr>
              <w:jc w:val="center"/>
              <w:rPr>
                <w:sz w:val="12"/>
                <w:szCs w:val="12"/>
              </w:rPr>
            </w:pPr>
            <w:r>
              <w:rPr>
                <w:sz w:val="12"/>
                <w:szCs w:val="12"/>
              </w:rPr>
              <w:t>0,00</w:t>
            </w:r>
          </w:p>
        </w:tc>
        <w:tc>
          <w:tcPr>
            <w:tcW w:w="218" w:type="pct"/>
            <w:tcBorders>
              <w:top w:val="single" w:sz="4" w:space="0" w:color="auto"/>
              <w:left w:val="single" w:sz="4" w:space="0" w:color="auto"/>
              <w:bottom w:val="single" w:sz="4" w:space="0" w:color="auto"/>
              <w:right w:val="single" w:sz="4" w:space="0" w:color="auto"/>
            </w:tcBorders>
            <w:vAlign w:val="center"/>
            <w:hideMark/>
          </w:tcPr>
          <w:p w14:paraId="4803A869" w14:textId="77777777" w:rsidR="002F590A" w:rsidRDefault="002F590A">
            <w:pPr>
              <w:jc w:val="center"/>
              <w:rPr>
                <w:sz w:val="12"/>
                <w:szCs w:val="12"/>
              </w:rPr>
            </w:pPr>
            <w:r>
              <w:rPr>
                <w:sz w:val="12"/>
                <w:szCs w:val="12"/>
              </w:rPr>
              <w:t>150,02</w:t>
            </w:r>
          </w:p>
        </w:tc>
        <w:tc>
          <w:tcPr>
            <w:tcW w:w="174" w:type="pct"/>
            <w:tcBorders>
              <w:top w:val="single" w:sz="4" w:space="0" w:color="auto"/>
              <w:left w:val="single" w:sz="4" w:space="0" w:color="auto"/>
              <w:bottom w:val="single" w:sz="4" w:space="0" w:color="auto"/>
              <w:right w:val="single" w:sz="4" w:space="0" w:color="auto"/>
            </w:tcBorders>
            <w:vAlign w:val="center"/>
            <w:hideMark/>
          </w:tcPr>
          <w:p w14:paraId="4F60A9E6"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4A62A9A8" w14:textId="77777777" w:rsidR="002F590A" w:rsidRDefault="002F590A">
            <w:pPr>
              <w:jc w:val="center"/>
              <w:rPr>
                <w:sz w:val="12"/>
                <w:szCs w:val="12"/>
              </w:rPr>
            </w:pPr>
            <w:r>
              <w:rPr>
                <w:sz w:val="12"/>
                <w:szCs w:val="12"/>
              </w:rPr>
              <w:t>0,00</w:t>
            </w:r>
          </w:p>
        </w:tc>
        <w:tc>
          <w:tcPr>
            <w:tcW w:w="175" w:type="pct"/>
            <w:tcBorders>
              <w:top w:val="single" w:sz="4" w:space="0" w:color="auto"/>
              <w:left w:val="single" w:sz="4" w:space="0" w:color="auto"/>
              <w:bottom w:val="single" w:sz="4" w:space="0" w:color="auto"/>
              <w:right w:val="single" w:sz="4" w:space="0" w:color="auto"/>
            </w:tcBorders>
            <w:vAlign w:val="center"/>
            <w:hideMark/>
          </w:tcPr>
          <w:p w14:paraId="46136859"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719701C2" w14:textId="77777777" w:rsidR="002F590A" w:rsidRDefault="002F590A">
            <w:pPr>
              <w:jc w:val="center"/>
              <w:rPr>
                <w:color w:val="000000"/>
                <w:sz w:val="12"/>
                <w:szCs w:val="12"/>
              </w:rPr>
            </w:pPr>
            <w:r>
              <w:rPr>
                <w:color w:val="000000"/>
                <w:sz w:val="12"/>
                <w:szCs w:val="12"/>
              </w:rPr>
              <w:t>0,00</w:t>
            </w:r>
          </w:p>
        </w:tc>
        <w:tc>
          <w:tcPr>
            <w:tcW w:w="172" w:type="pct"/>
            <w:tcBorders>
              <w:top w:val="single" w:sz="4" w:space="0" w:color="auto"/>
              <w:left w:val="single" w:sz="4" w:space="0" w:color="auto"/>
              <w:bottom w:val="single" w:sz="4" w:space="0" w:color="auto"/>
              <w:right w:val="single" w:sz="4" w:space="0" w:color="auto"/>
            </w:tcBorders>
            <w:vAlign w:val="center"/>
            <w:hideMark/>
          </w:tcPr>
          <w:p w14:paraId="492B711A" w14:textId="77777777" w:rsidR="002F590A" w:rsidRDefault="002F590A">
            <w:pPr>
              <w:jc w:val="center"/>
              <w:rPr>
                <w:color w:val="000000"/>
                <w:sz w:val="12"/>
                <w:szCs w:val="12"/>
              </w:rPr>
            </w:pPr>
            <w:r>
              <w:rPr>
                <w:color w:val="000000"/>
                <w:sz w:val="12"/>
                <w:szCs w:val="12"/>
              </w:rPr>
              <w:t>0,00</w:t>
            </w:r>
          </w:p>
        </w:tc>
      </w:tr>
      <w:tr w:rsidR="002F590A" w14:paraId="5701734F" w14:textId="77777777" w:rsidTr="002F590A">
        <w:trPr>
          <w:trHeight w:val="897"/>
        </w:trPr>
        <w:tc>
          <w:tcPr>
            <w:tcW w:w="173" w:type="pct"/>
            <w:tcBorders>
              <w:top w:val="single" w:sz="4" w:space="0" w:color="auto"/>
              <w:left w:val="single" w:sz="4" w:space="0" w:color="auto"/>
              <w:bottom w:val="single" w:sz="4" w:space="0" w:color="auto"/>
              <w:right w:val="single" w:sz="4" w:space="0" w:color="auto"/>
            </w:tcBorders>
            <w:vAlign w:val="center"/>
            <w:hideMark/>
          </w:tcPr>
          <w:p w14:paraId="42744E28" w14:textId="77777777" w:rsidR="002F590A" w:rsidRDefault="002F590A">
            <w:pPr>
              <w:jc w:val="center"/>
              <w:rPr>
                <w:sz w:val="12"/>
                <w:szCs w:val="12"/>
              </w:rPr>
            </w:pPr>
            <w:r>
              <w:rPr>
                <w:sz w:val="12"/>
                <w:szCs w:val="12"/>
              </w:rPr>
              <w:t>3.2.10.3</w:t>
            </w:r>
          </w:p>
        </w:tc>
        <w:tc>
          <w:tcPr>
            <w:tcW w:w="280" w:type="pct"/>
            <w:tcBorders>
              <w:top w:val="single" w:sz="4" w:space="0" w:color="auto"/>
              <w:left w:val="single" w:sz="4" w:space="0" w:color="auto"/>
              <w:bottom w:val="single" w:sz="4" w:space="0" w:color="auto"/>
              <w:right w:val="single" w:sz="4" w:space="0" w:color="auto"/>
            </w:tcBorders>
            <w:vAlign w:val="center"/>
            <w:hideMark/>
          </w:tcPr>
          <w:p w14:paraId="02E721A3" w14:textId="77777777" w:rsidR="002F590A" w:rsidRDefault="002F590A">
            <w:pPr>
              <w:rPr>
                <w:color w:val="000000"/>
                <w:sz w:val="12"/>
                <w:szCs w:val="12"/>
              </w:rPr>
            </w:pPr>
            <w:r>
              <w:rPr>
                <w:color w:val="000000"/>
                <w:sz w:val="12"/>
                <w:szCs w:val="12"/>
              </w:rPr>
              <w:t>Реконструкция АСУ подпиточного насоса № 1 с установкой частотного преобразователя</w:t>
            </w:r>
          </w:p>
        </w:tc>
        <w:tc>
          <w:tcPr>
            <w:tcW w:w="313" w:type="pct"/>
            <w:tcBorders>
              <w:top w:val="single" w:sz="4" w:space="0" w:color="auto"/>
              <w:left w:val="single" w:sz="4" w:space="0" w:color="auto"/>
              <w:bottom w:val="single" w:sz="4" w:space="0" w:color="auto"/>
              <w:right w:val="single" w:sz="4" w:space="0" w:color="auto"/>
            </w:tcBorders>
            <w:vAlign w:val="center"/>
            <w:hideMark/>
          </w:tcPr>
          <w:p w14:paraId="78021A2A" w14:textId="77777777" w:rsidR="002F590A" w:rsidRDefault="002F590A">
            <w:pPr>
              <w:jc w:val="center"/>
              <w:rPr>
                <w:sz w:val="12"/>
                <w:szCs w:val="12"/>
              </w:rPr>
            </w:pPr>
            <w:r>
              <w:rPr>
                <w:sz w:val="12"/>
                <w:szCs w:val="12"/>
              </w:rPr>
              <w:t>Повышение надежности (бесперебойности) услуг теплоснабжения, повышение энергетической эффективности</w:t>
            </w:r>
          </w:p>
        </w:tc>
        <w:tc>
          <w:tcPr>
            <w:tcW w:w="275" w:type="pct"/>
            <w:tcBorders>
              <w:top w:val="single" w:sz="4" w:space="0" w:color="auto"/>
              <w:left w:val="single" w:sz="4" w:space="0" w:color="auto"/>
              <w:bottom w:val="single" w:sz="4" w:space="0" w:color="auto"/>
              <w:right w:val="single" w:sz="4" w:space="0" w:color="auto"/>
            </w:tcBorders>
            <w:vAlign w:val="center"/>
            <w:hideMark/>
          </w:tcPr>
          <w:p w14:paraId="03B2C70F" w14:textId="77777777" w:rsidR="002F590A" w:rsidRDefault="002F590A">
            <w:pPr>
              <w:jc w:val="center"/>
              <w:rPr>
                <w:sz w:val="12"/>
                <w:szCs w:val="12"/>
              </w:rPr>
            </w:pPr>
            <w:r>
              <w:rPr>
                <w:sz w:val="12"/>
                <w:szCs w:val="12"/>
              </w:rPr>
              <w:t> </w:t>
            </w:r>
          </w:p>
        </w:tc>
        <w:tc>
          <w:tcPr>
            <w:tcW w:w="303" w:type="pct"/>
            <w:tcBorders>
              <w:top w:val="single" w:sz="4" w:space="0" w:color="auto"/>
              <w:left w:val="single" w:sz="4" w:space="0" w:color="auto"/>
              <w:bottom w:val="single" w:sz="4" w:space="0" w:color="auto"/>
              <w:right w:val="single" w:sz="4" w:space="0" w:color="auto"/>
            </w:tcBorders>
            <w:vAlign w:val="center"/>
            <w:hideMark/>
          </w:tcPr>
          <w:p w14:paraId="7C8B2FFC" w14:textId="77777777" w:rsidR="002F590A" w:rsidRDefault="002F590A">
            <w:pPr>
              <w:jc w:val="center"/>
              <w:rPr>
                <w:sz w:val="12"/>
                <w:szCs w:val="12"/>
              </w:rPr>
            </w:pPr>
            <w:r>
              <w:rPr>
                <w:color w:val="000000"/>
                <w:sz w:val="12"/>
                <w:szCs w:val="12"/>
              </w:rPr>
              <w:t>Технические характеристики</w:t>
            </w:r>
          </w:p>
        </w:tc>
        <w:tc>
          <w:tcPr>
            <w:tcW w:w="139" w:type="pct"/>
            <w:tcBorders>
              <w:top w:val="single" w:sz="4" w:space="0" w:color="auto"/>
              <w:left w:val="single" w:sz="4" w:space="0" w:color="auto"/>
              <w:bottom w:val="single" w:sz="4" w:space="0" w:color="auto"/>
              <w:right w:val="single" w:sz="4" w:space="0" w:color="auto"/>
            </w:tcBorders>
            <w:vAlign w:val="center"/>
          </w:tcPr>
          <w:p w14:paraId="02BCD6D4" w14:textId="77777777" w:rsidR="002F590A" w:rsidRDefault="002F590A">
            <w:pPr>
              <w:jc w:val="center"/>
              <w:rPr>
                <w:sz w:val="12"/>
                <w:szCs w:val="12"/>
              </w:rPr>
            </w:pPr>
          </w:p>
        </w:tc>
        <w:tc>
          <w:tcPr>
            <w:tcW w:w="300" w:type="pct"/>
            <w:tcBorders>
              <w:top w:val="single" w:sz="4" w:space="0" w:color="auto"/>
              <w:left w:val="single" w:sz="4" w:space="0" w:color="auto"/>
              <w:bottom w:val="single" w:sz="4" w:space="0" w:color="auto"/>
              <w:right w:val="single" w:sz="4" w:space="0" w:color="auto"/>
            </w:tcBorders>
            <w:vAlign w:val="center"/>
            <w:hideMark/>
          </w:tcPr>
          <w:p w14:paraId="218A354B" w14:textId="77777777" w:rsidR="002F590A" w:rsidRDefault="002F590A">
            <w:pPr>
              <w:jc w:val="center"/>
              <w:rPr>
                <w:sz w:val="12"/>
                <w:szCs w:val="12"/>
              </w:rPr>
            </w:pPr>
            <w:r>
              <w:rPr>
                <w:sz w:val="12"/>
                <w:szCs w:val="12"/>
              </w:rPr>
              <w:t>Отсутствует частотный преобразователь на подпиточном насосе. Насос подключен на прямую к системе электроснабжения</w:t>
            </w:r>
          </w:p>
        </w:tc>
        <w:tc>
          <w:tcPr>
            <w:tcW w:w="351" w:type="pct"/>
            <w:tcBorders>
              <w:top w:val="single" w:sz="4" w:space="0" w:color="auto"/>
              <w:left w:val="single" w:sz="4" w:space="0" w:color="auto"/>
              <w:bottom w:val="single" w:sz="4" w:space="0" w:color="auto"/>
              <w:right w:val="single" w:sz="4" w:space="0" w:color="auto"/>
            </w:tcBorders>
            <w:vAlign w:val="center"/>
          </w:tcPr>
          <w:p w14:paraId="4E2B5384" w14:textId="77777777" w:rsidR="002F590A" w:rsidRDefault="002F590A">
            <w:pPr>
              <w:jc w:val="center"/>
              <w:rPr>
                <w:sz w:val="12"/>
                <w:szCs w:val="12"/>
              </w:rPr>
            </w:pPr>
            <w:r>
              <w:rPr>
                <w:sz w:val="12"/>
                <w:szCs w:val="12"/>
              </w:rPr>
              <w:t>Оборудование позволит повысить надежность и снизить затраты на расходы электроэнергии, поддерживать стабильное давление в обратном трубопроводе</w:t>
            </w:r>
          </w:p>
          <w:p w14:paraId="6F2FD48E" w14:textId="77777777" w:rsidR="002F590A" w:rsidRDefault="002F590A">
            <w:pPr>
              <w:jc w:val="center"/>
              <w:rPr>
                <w:sz w:val="12"/>
                <w:szCs w:val="12"/>
              </w:rPr>
            </w:pPr>
          </w:p>
          <w:p w14:paraId="18FA311E" w14:textId="77777777" w:rsidR="002F590A" w:rsidRDefault="002F590A">
            <w:pPr>
              <w:jc w:val="center"/>
              <w:rPr>
                <w:sz w:val="12"/>
                <w:szCs w:val="12"/>
              </w:rPr>
            </w:pPr>
          </w:p>
          <w:p w14:paraId="513B042B" w14:textId="77777777" w:rsidR="002F590A" w:rsidRDefault="002F590A">
            <w:pPr>
              <w:jc w:val="center"/>
              <w:rPr>
                <w:sz w:val="12"/>
                <w:szCs w:val="12"/>
              </w:rPr>
            </w:pPr>
          </w:p>
        </w:tc>
        <w:tc>
          <w:tcPr>
            <w:tcW w:w="139" w:type="pct"/>
            <w:tcBorders>
              <w:top w:val="single" w:sz="4" w:space="0" w:color="auto"/>
              <w:left w:val="single" w:sz="4" w:space="0" w:color="auto"/>
              <w:bottom w:val="single" w:sz="4" w:space="0" w:color="auto"/>
              <w:right w:val="single" w:sz="4" w:space="0" w:color="auto"/>
            </w:tcBorders>
            <w:vAlign w:val="center"/>
            <w:hideMark/>
          </w:tcPr>
          <w:p w14:paraId="601BCF45" w14:textId="77777777" w:rsidR="002F590A" w:rsidRDefault="002F590A">
            <w:pPr>
              <w:jc w:val="center"/>
              <w:rPr>
                <w:sz w:val="12"/>
                <w:szCs w:val="12"/>
              </w:rPr>
            </w:pPr>
            <w:r>
              <w:rPr>
                <w:sz w:val="12"/>
                <w:szCs w:val="12"/>
              </w:rPr>
              <w:t>2028</w:t>
            </w:r>
          </w:p>
        </w:tc>
        <w:tc>
          <w:tcPr>
            <w:tcW w:w="167" w:type="pct"/>
            <w:tcBorders>
              <w:top w:val="single" w:sz="4" w:space="0" w:color="auto"/>
              <w:left w:val="single" w:sz="4" w:space="0" w:color="auto"/>
              <w:bottom w:val="single" w:sz="4" w:space="0" w:color="auto"/>
              <w:right w:val="single" w:sz="4" w:space="0" w:color="auto"/>
            </w:tcBorders>
            <w:vAlign w:val="center"/>
            <w:hideMark/>
          </w:tcPr>
          <w:p w14:paraId="25EB6841" w14:textId="77777777" w:rsidR="002F590A" w:rsidRDefault="002F590A">
            <w:pPr>
              <w:jc w:val="center"/>
              <w:rPr>
                <w:sz w:val="12"/>
                <w:szCs w:val="12"/>
              </w:rPr>
            </w:pPr>
            <w:r>
              <w:rPr>
                <w:sz w:val="12"/>
                <w:szCs w:val="12"/>
              </w:rPr>
              <w:t>2028</w:t>
            </w:r>
          </w:p>
        </w:tc>
        <w:tc>
          <w:tcPr>
            <w:tcW w:w="216" w:type="pct"/>
            <w:tcBorders>
              <w:top w:val="single" w:sz="4" w:space="0" w:color="auto"/>
              <w:left w:val="single" w:sz="4" w:space="0" w:color="auto"/>
              <w:bottom w:val="single" w:sz="4" w:space="0" w:color="auto"/>
              <w:right w:val="single" w:sz="4" w:space="0" w:color="auto"/>
            </w:tcBorders>
            <w:vAlign w:val="center"/>
            <w:hideMark/>
          </w:tcPr>
          <w:p w14:paraId="530B4574" w14:textId="77777777" w:rsidR="002F590A" w:rsidRDefault="002F590A">
            <w:pPr>
              <w:jc w:val="center"/>
              <w:rPr>
                <w:color w:val="000000"/>
                <w:sz w:val="12"/>
                <w:szCs w:val="12"/>
              </w:rPr>
            </w:pPr>
            <w:r>
              <w:rPr>
                <w:color w:val="000000"/>
                <w:sz w:val="12"/>
                <w:szCs w:val="12"/>
              </w:rPr>
              <w:t>308,26</w:t>
            </w:r>
          </w:p>
        </w:tc>
        <w:tc>
          <w:tcPr>
            <w:tcW w:w="174" w:type="pct"/>
            <w:tcBorders>
              <w:top w:val="single" w:sz="4" w:space="0" w:color="auto"/>
              <w:left w:val="single" w:sz="4" w:space="0" w:color="auto"/>
              <w:bottom w:val="single" w:sz="4" w:space="0" w:color="auto"/>
              <w:right w:val="single" w:sz="4" w:space="0" w:color="auto"/>
            </w:tcBorders>
            <w:vAlign w:val="center"/>
            <w:hideMark/>
          </w:tcPr>
          <w:p w14:paraId="727443B0" w14:textId="77777777" w:rsidR="002F590A" w:rsidRDefault="002F590A">
            <w:pPr>
              <w:jc w:val="center"/>
              <w:rPr>
                <w:color w:val="000000"/>
                <w:sz w:val="12"/>
                <w:szCs w:val="12"/>
              </w:rPr>
            </w:pPr>
            <w:r>
              <w:rPr>
                <w:color w:val="000000"/>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71559AE4" w14:textId="77777777" w:rsidR="002F590A" w:rsidRDefault="002F590A">
            <w:pPr>
              <w:jc w:val="center"/>
              <w:rPr>
                <w:sz w:val="12"/>
                <w:szCs w:val="12"/>
              </w:rPr>
            </w:pPr>
            <w:r>
              <w:rPr>
                <w:sz w:val="12"/>
                <w:szCs w:val="12"/>
              </w:rPr>
              <w:t>0,00</w:t>
            </w:r>
          </w:p>
        </w:tc>
        <w:tc>
          <w:tcPr>
            <w:tcW w:w="172" w:type="pct"/>
            <w:tcBorders>
              <w:top w:val="single" w:sz="4" w:space="0" w:color="auto"/>
              <w:left w:val="single" w:sz="4" w:space="0" w:color="auto"/>
              <w:bottom w:val="single" w:sz="4" w:space="0" w:color="auto"/>
              <w:right w:val="single" w:sz="4" w:space="0" w:color="auto"/>
            </w:tcBorders>
            <w:vAlign w:val="center"/>
            <w:hideMark/>
          </w:tcPr>
          <w:p w14:paraId="7C2402A7"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0C86BB2E" w14:textId="77777777" w:rsidR="002F590A" w:rsidRDefault="002F590A">
            <w:pPr>
              <w:jc w:val="center"/>
              <w:rPr>
                <w:sz w:val="12"/>
                <w:szCs w:val="12"/>
              </w:rPr>
            </w:pPr>
            <w:r>
              <w:rPr>
                <w:sz w:val="12"/>
                <w:szCs w:val="12"/>
              </w:rPr>
              <w:t>0,00</w:t>
            </w:r>
          </w:p>
        </w:tc>
        <w:tc>
          <w:tcPr>
            <w:tcW w:w="216" w:type="pct"/>
            <w:tcBorders>
              <w:top w:val="single" w:sz="4" w:space="0" w:color="auto"/>
              <w:left w:val="single" w:sz="4" w:space="0" w:color="auto"/>
              <w:bottom w:val="single" w:sz="4" w:space="0" w:color="auto"/>
              <w:right w:val="single" w:sz="4" w:space="0" w:color="auto"/>
            </w:tcBorders>
            <w:vAlign w:val="center"/>
            <w:hideMark/>
          </w:tcPr>
          <w:p w14:paraId="27C78697"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2C830F25"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3AE8D270" w14:textId="77777777" w:rsidR="002F590A" w:rsidRDefault="002F590A">
            <w:pPr>
              <w:jc w:val="center"/>
              <w:rPr>
                <w:sz w:val="12"/>
                <w:szCs w:val="12"/>
              </w:rPr>
            </w:pPr>
            <w:r>
              <w:rPr>
                <w:sz w:val="12"/>
                <w:szCs w:val="12"/>
              </w:rPr>
              <w:t>0,00</w:t>
            </w:r>
          </w:p>
        </w:tc>
        <w:tc>
          <w:tcPr>
            <w:tcW w:w="218" w:type="pct"/>
            <w:tcBorders>
              <w:top w:val="single" w:sz="4" w:space="0" w:color="auto"/>
              <w:left w:val="single" w:sz="4" w:space="0" w:color="auto"/>
              <w:bottom w:val="single" w:sz="4" w:space="0" w:color="auto"/>
              <w:right w:val="single" w:sz="4" w:space="0" w:color="auto"/>
            </w:tcBorders>
            <w:vAlign w:val="center"/>
            <w:hideMark/>
          </w:tcPr>
          <w:p w14:paraId="10DDDDEB" w14:textId="77777777" w:rsidR="002F590A" w:rsidRDefault="002F590A">
            <w:pPr>
              <w:jc w:val="center"/>
              <w:rPr>
                <w:sz w:val="12"/>
                <w:szCs w:val="12"/>
              </w:rPr>
            </w:pPr>
            <w:r>
              <w:rPr>
                <w:sz w:val="12"/>
                <w:szCs w:val="12"/>
              </w:rPr>
              <w:t>308,26</w:t>
            </w:r>
          </w:p>
        </w:tc>
        <w:tc>
          <w:tcPr>
            <w:tcW w:w="174" w:type="pct"/>
            <w:tcBorders>
              <w:top w:val="single" w:sz="4" w:space="0" w:color="auto"/>
              <w:left w:val="single" w:sz="4" w:space="0" w:color="auto"/>
              <w:bottom w:val="single" w:sz="4" w:space="0" w:color="auto"/>
              <w:right w:val="single" w:sz="4" w:space="0" w:color="auto"/>
            </w:tcBorders>
            <w:vAlign w:val="center"/>
            <w:hideMark/>
          </w:tcPr>
          <w:p w14:paraId="2A9741EF"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07C94532" w14:textId="77777777" w:rsidR="002F590A" w:rsidRDefault="002F590A">
            <w:pPr>
              <w:jc w:val="center"/>
              <w:rPr>
                <w:sz w:val="12"/>
                <w:szCs w:val="12"/>
              </w:rPr>
            </w:pPr>
            <w:r>
              <w:rPr>
                <w:sz w:val="12"/>
                <w:szCs w:val="12"/>
              </w:rPr>
              <w:t>0,00</w:t>
            </w:r>
          </w:p>
        </w:tc>
        <w:tc>
          <w:tcPr>
            <w:tcW w:w="175" w:type="pct"/>
            <w:tcBorders>
              <w:top w:val="single" w:sz="4" w:space="0" w:color="auto"/>
              <w:left w:val="single" w:sz="4" w:space="0" w:color="auto"/>
              <w:bottom w:val="single" w:sz="4" w:space="0" w:color="auto"/>
              <w:right w:val="single" w:sz="4" w:space="0" w:color="auto"/>
            </w:tcBorders>
            <w:vAlign w:val="center"/>
            <w:hideMark/>
          </w:tcPr>
          <w:p w14:paraId="4F703AB2"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1F88ACF6" w14:textId="77777777" w:rsidR="002F590A" w:rsidRDefault="002F590A">
            <w:pPr>
              <w:jc w:val="center"/>
              <w:rPr>
                <w:color w:val="000000"/>
                <w:sz w:val="12"/>
                <w:szCs w:val="12"/>
              </w:rPr>
            </w:pPr>
            <w:r>
              <w:rPr>
                <w:color w:val="000000"/>
                <w:sz w:val="12"/>
                <w:szCs w:val="12"/>
              </w:rPr>
              <w:t>0,00</w:t>
            </w:r>
          </w:p>
        </w:tc>
        <w:tc>
          <w:tcPr>
            <w:tcW w:w="172" w:type="pct"/>
            <w:tcBorders>
              <w:top w:val="single" w:sz="4" w:space="0" w:color="auto"/>
              <w:left w:val="single" w:sz="4" w:space="0" w:color="auto"/>
              <w:bottom w:val="single" w:sz="4" w:space="0" w:color="auto"/>
              <w:right w:val="single" w:sz="4" w:space="0" w:color="auto"/>
            </w:tcBorders>
            <w:vAlign w:val="center"/>
            <w:hideMark/>
          </w:tcPr>
          <w:p w14:paraId="59601B3A" w14:textId="77777777" w:rsidR="002F590A" w:rsidRDefault="002F590A">
            <w:pPr>
              <w:jc w:val="center"/>
              <w:rPr>
                <w:color w:val="000000"/>
                <w:sz w:val="12"/>
                <w:szCs w:val="12"/>
              </w:rPr>
            </w:pPr>
            <w:r>
              <w:rPr>
                <w:color w:val="000000"/>
                <w:sz w:val="12"/>
                <w:szCs w:val="12"/>
              </w:rPr>
              <w:t>0,00</w:t>
            </w:r>
          </w:p>
        </w:tc>
      </w:tr>
      <w:tr w:rsidR="002F590A" w14:paraId="0959B5B3" w14:textId="77777777" w:rsidTr="002F590A">
        <w:trPr>
          <w:trHeight w:val="897"/>
        </w:trPr>
        <w:tc>
          <w:tcPr>
            <w:tcW w:w="173" w:type="pct"/>
            <w:tcBorders>
              <w:top w:val="single" w:sz="4" w:space="0" w:color="auto"/>
              <w:left w:val="single" w:sz="4" w:space="0" w:color="auto"/>
              <w:bottom w:val="single" w:sz="4" w:space="0" w:color="auto"/>
              <w:right w:val="single" w:sz="4" w:space="0" w:color="auto"/>
            </w:tcBorders>
            <w:vAlign w:val="center"/>
            <w:hideMark/>
          </w:tcPr>
          <w:p w14:paraId="6DB18579" w14:textId="77777777" w:rsidR="002F590A" w:rsidRDefault="002F590A">
            <w:pPr>
              <w:jc w:val="center"/>
              <w:rPr>
                <w:bCs/>
                <w:sz w:val="12"/>
                <w:szCs w:val="12"/>
              </w:rPr>
            </w:pPr>
            <w:r>
              <w:rPr>
                <w:bCs/>
                <w:sz w:val="12"/>
                <w:szCs w:val="12"/>
              </w:rPr>
              <w:t>3.2.11.</w:t>
            </w:r>
          </w:p>
        </w:tc>
        <w:tc>
          <w:tcPr>
            <w:tcW w:w="280" w:type="pct"/>
            <w:tcBorders>
              <w:top w:val="single" w:sz="4" w:space="0" w:color="auto"/>
              <w:left w:val="single" w:sz="4" w:space="0" w:color="auto"/>
              <w:bottom w:val="single" w:sz="4" w:space="0" w:color="auto"/>
              <w:right w:val="single" w:sz="4" w:space="0" w:color="auto"/>
            </w:tcBorders>
            <w:vAlign w:val="center"/>
            <w:hideMark/>
          </w:tcPr>
          <w:p w14:paraId="4E5A62C0" w14:textId="77777777" w:rsidR="002F590A" w:rsidRDefault="002F590A">
            <w:pPr>
              <w:rPr>
                <w:bCs/>
                <w:color w:val="000000"/>
                <w:sz w:val="12"/>
                <w:szCs w:val="12"/>
              </w:rPr>
            </w:pPr>
            <w:r>
              <w:rPr>
                <w:bCs/>
                <w:color w:val="000000"/>
                <w:sz w:val="12"/>
                <w:szCs w:val="12"/>
              </w:rPr>
              <w:t>Реконструкция котельной №56</w:t>
            </w:r>
          </w:p>
        </w:tc>
        <w:tc>
          <w:tcPr>
            <w:tcW w:w="313" w:type="pct"/>
            <w:tcBorders>
              <w:top w:val="single" w:sz="4" w:space="0" w:color="auto"/>
              <w:left w:val="single" w:sz="4" w:space="0" w:color="auto"/>
              <w:bottom w:val="single" w:sz="4" w:space="0" w:color="auto"/>
              <w:right w:val="single" w:sz="4" w:space="0" w:color="auto"/>
            </w:tcBorders>
            <w:vAlign w:val="center"/>
          </w:tcPr>
          <w:p w14:paraId="7C8B39E3" w14:textId="77777777" w:rsidR="002F590A" w:rsidRDefault="002F590A">
            <w:pPr>
              <w:jc w:val="center"/>
              <w:rPr>
                <w:sz w:val="12"/>
                <w:szCs w:val="12"/>
              </w:rPr>
            </w:pPr>
          </w:p>
        </w:tc>
        <w:tc>
          <w:tcPr>
            <w:tcW w:w="275" w:type="pct"/>
            <w:tcBorders>
              <w:top w:val="single" w:sz="4" w:space="0" w:color="auto"/>
              <w:left w:val="single" w:sz="4" w:space="0" w:color="auto"/>
              <w:bottom w:val="single" w:sz="4" w:space="0" w:color="auto"/>
              <w:right w:val="single" w:sz="4" w:space="0" w:color="auto"/>
            </w:tcBorders>
            <w:vAlign w:val="center"/>
            <w:hideMark/>
          </w:tcPr>
          <w:p w14:paraId="0438A704" w14:textId="77777777" w:rsidR="002F590A" w:rsidRDefault="002F590A">
            <w:pPr>
              <w:jc w:val="center"/>
              <w:rPr>
                <w:bCs/>
                <w:sz w:val="12"/>
                <w:szCs w:val="12"/>
              </w:rPr>
            </w:pPr>
            <w:r>
              <w:rPr>
                <w:bCs/>
                <w:sz w:val="12"/>
                <w:szCs w:val="12"/>
              </w:rPr>
              <w:t xml:space="preserve">Кемеровский городской округ, Заводский район, западнее жилого дома №23 по ул. Пригородная    </w:t>
            </w:r>
          </w:p>
        </w:tc>
        <w:tc>
          <w:tcPr>
            <w:tcW w:w="303" w:type="pct"/>
            <w:tcBorders>
              <w:top w:val="single" w:sz="4" w:space="0" w:color="auto"/>
              <w:left w:val="single" w:sz="4" w:space="0" w:color="auto"/>
              <w:bottom w:val="single" w:sz="4" w:space="0" w:color="auto"/>
              <w:right w:val="single" w:sz="4" w:space="0" w:color="auto"/>
            </w:tcBorders>
            <w:vAlign w:val="center"/>
            <w:hideMark/>
          </w:tcPr>
          <w:p w14:paraId="0C6BE726" w14:textId="77777777" w:rsidR="002F590A" w:rsidRDefault="002F590A">
            <w:pPr>
              <w:jc w:val="center"/>
              <w:rPr>
                <w:sz w:val="12"/>
                <w:szCs w:val="12"/>
              </w:rPr>
            </w:pPr>
            <w:r>
              <w:rPr>
                <w:color w:val="000000"/>
                <w:sz w:val="12"/>
                <w:szCs w:val="12"/>
              </w:rPr>
              <w:t>Технические характеристики</w:t>
            </w:r>
          </w:p>
        </w:tc>
        <w:tc>
          <w:tcPr>
            <w:tcW w:w="139" w:type="pct"/>
            <w:tcBorders>
              <w:top w:val="single" w:sz="4" w:space="0" w:color="auto"/>
              <w:left w:val="single" w:sz="4" w:space="0" w:color="auto"/>
              <w:bottom w:val="single" w:sz="4" w:space="0" w:color="auto"/>
              <w:right w:val="single" w:sz="4" w:space="0" w:color="auto"/>
            </w:tcBorders>
            <w:vAlign w:val="center"/>
          </w:tcPr>
          <w:p w14:paraId="228F541B" w14:textId="77777777" w:rsidR="002F590A" w:rsidRDefault="002F590A">
            <w:pPr>
              <w:jc w:val="center"/>
              <w:rPr>
                <w:sz w:val="12"/>
                <w:szCs w:val="12"/>
              </w:rPr>
            </w:pPr>
          </w:p>
        </w:tc>
        <w:tc>
          <w:tcPr>
            <w:tcW w:w="300" w:type="pct"/>
            <w:tcBorders>
              <w:top w:val="single" w:sz="4" w:space="0" w:color="auto"/>
              <w:left w:val="single" w:sz="4" w:space="0" w:color="auto"/>
              <w:bottom w:val="single" w:sz="4" w:space="0" w:color="auto"/>
              <w:right w:val="single" w:sz="4" w:space="0" w:color="auto"/>
            </w:tcBorders>
            <w:vAlign w:val="center"/>
            <w:hideMark/>
          </w:tcPr>
          <w:p w14:paraId="6F9A453B" w14:textId="77777777" w:rsidR="002F590A" w:rsidRDefault="002F590A">
            <w:pPr>
              <w:jc w:val="center"/>
              <w:rPr>
                <w:sz w:val="12"/>
                <w:szCs w:val="12"/>
              </w:rPr>
            </w:pPr>
            <w:r>
              <w:rPr>
                <w:sz w:val="12"/>
                <w:szCs w:val="12"/>
              </w:rPr>
              <w:t> </w:t>
            </w:r>
          </w:p>
        </w:tc>
        <w:tc>
          <w:tcPr>
            <w:tcW w:w="351" w:type="pct"/>
            <w:tcBorders>
              <w:top w:val="single" w:sz="4" w:space="0" w:color="auto"/>
              <w:left w:val="single" w:sz="4" w:space="0" w:color="auto"/>
              <w:bottom w:val="single" w:sz="4" w:space="0" w:color="auto"/>
              <w:right w:val="single" w:sz="4" w:space="0" w:color="auto"/>
            </w:tcBorders>
            <w:vAlign w:val="center"/>
            <w:hideMark/>
          </w:tcPr>
          <w:p w14:paraId="0C5ED5D5" w14:textId="77777777" w:rsidR="002F590A" w:rsidRDefault="002F590A">
            <w:pPr>
              <w:jc w:val="center"/>
              <w:rPr>
                <w:sz w:val="12"/>
                <w:szCs w:val="12"/>
              </w:rPr>
            </w:pPr>
            <w:r>
              <w:rPr>
                <w:sz w:val="12"/>
                <w:szCs w:val="12"/>
              </w:rPr>
              <w:t> </w:t>
            </w:r>
          </w:p>
        </w:tc>
        <w:tc>
          <w:tcPr>
            <w:tcW w:w="139" w:type="pct"/>
            <w:tcBorders>
              <w:top w:val="single" w:sz="4" w:space="0" w:color="auto"/>
              <w:left w:val="single" w:sz="4" w:space="0" w:color="auto"/>
              <w:bottom w:val="single" w:sz="4" w:space="0" w:color="auto"/>
              <w:right w:val="single" w:sz="4" w:space="0" w:color="auto"/>
            </w:tcBorders>
            <w:vAlign w:val="center"/>
          </w:tcPr>
          <w:p w14:paraId="2D3E0759" w14:textId="77777777" w:rsidR="002F590A" w:rsidRDefault="002F590A">
            <w:pPr>
              <w:jc w:val="center"/>
              <w:rPr>
                <w:sz w:val="12"/>
                <w:szCs w:val="12"/>
              </w:rPr>
            </w:pPr>
          </w:p>
        </w:tc>
        <w:tc>
          <w:tcPr>
            <w:tcW w:w="167" w:type="pct"/>
            <w:tcBorders>
              <w:top w:val="single" w:sz="4" w:space="0" w:color="auto"/>
              <w:left w:val="single" w:sz="4" w:space="0" w:color="auto"/>
              <w:bottom w:val="single" w:sz="4" w:space="0" w:color="auto"/>
              <w:right w:val="single" w:sz="4" w:space="0" w:color="auto"/>
            </w:tcBorders>
            <w:vAlign w:val="center"/>
          </w:tcPr>
          <w:p w14:paraId="3FACB94C" w14:textId="77777777" w:rsidR="002F590A" w:rsidRDefault="002F590A">
            <w:pPr>
              <w:jc w:val="center"/>
              <w:rPr>
                <w:sz w:val="12"/>
                <w:szCs w:val="12"/>
              </w:rPr>
            </w:pPr>
          </w:p>
        </w:tc>
        <w:tc>
          <w:tcPr>
            <w:tcW w:w="216" w:type="pct"/>
            <w:tcBorders>
              <w:top w:val="single" w:sz="4" w:space="0" w:color="auto"/>
              <w:left w:val="single" w:sz="4" w:space="0" w:color="auto"/>
              <w:bottom w:val="single" w:sz="4" w:space="0" w:color="auto"/>
              <w:right w:val="single" w:sz="4" w:space="0" w:color="auto"/>
            </w:tcBorders>
            <w:vAlign w:val="center"/>
          </w:tcPr>
          <w:p w14:paraId="604D7BE3" w14:textId="77777777" w:rsidR="002F590A" w:rsidRDefault="002F590A">
            <w:pPr>
              <w:jc w:val="center"/>
              <w:rPr>
                <w:color w:val="000000"/>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1796A728" w14:textId="77777777" w:rsidR="002F590A" w:rsidRDefault="002F590A">
            <w:pPr>
              <w:jc w:val="center"/>
              <w:rPr>
                <w:color w:val="000000"/>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09976E65" w14:textId="77777777" w:rsidR="002F590A" w:rsidRDefault="002F590A">
            <w:pPr>
              <w:jc w:val="center"/>
              <w:rPr>
                <w:sz w:val="12"/>
                <w:szCs w:val="12"/>
              </w:rPr>
            </w:pPr>
          </w:p>
        </w:tc>
        <w:tc>
          <w:tcPr>
            <w:tcW w:w="172" w:type="pct"/>
            <w:tcBorders>
              <w:top w:val="single" w:sz="4" w:space="0" w:color="auto"/>
              <w:left w:val="single" w:sz="4" w:space="0" w:color="auto"/>
              <w:bottom w:val="single" w:sz="4" w:space="0" w:color="auto"/>
              <w:right w:val="single" w:sz="4" w:space="0" w:color="auto"/>
            </w:tcBorders>
            <w:vAlign w:val="center"/>
          </w:tcPr>
          <w:p w14:paraId="1172C966" w14:textId="77777777" w:rsidR="002F590A" w:rsidRDefault="002F590A">
            <w:pPr>
              <w:jc w:val="center"/>
              <w:rPr>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7BA50413" w14:textId="77777777" w:rsidR="002F590A" w:rsidRDefault="002F590A">
            <w:pPr>
              <w:jc w:val="center"/>
              <w:rPr>
                <w:sz w:val="12"/>
                <w:szCs w:val="12"/>
              </w:rPr>
            </w:pPr>
          </w:p>
        </w:tc>
        <w:tc>
          <w:tcPr>
            <w:tcW w:w="216" w:type="pct"/>
            <w:tcBorders>
              <w:top w:val="single" w:sz="4" w:space="0" w:color="auto"/>
              <w:left w:val="single" w:sz="4" w:space="0" w:color="auto"/>
              <w:bottom w:val="single" w:sz="4" w:space="0" w:color="auto"/>
              <w:right w:val="single" w:sz="4" w:space="0" w:color="auto"/>
            </w:tcBorders>
            <w:vAlign w:val="center"/>
          </w:tcPr>
          <w:p w14:paraId="049A4BAF" w14:textId="77777777" w:rsidR="002F590A" w:rsidRDefault="002F590A">
            <w:pPr>
              <w:jc w:val="center"/>
              <w:rPr>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2E5638F0" w14:textId="77777777" w:rsidR="002F590A" w:rsidRDefault="002F590A">
            <w:pPr>
              <w:jc w:val="center"/>
              <w:rPr>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3CD32A27" w14:textId="77777777" w:rsidR="002F590A" w:rsidRDefault="002F590A">
            <w:pPr>
              <w:jc w:val="center"/>
              <w:rPr>
                <w:sz w:val="12"/>
                <w:szCs w:val="12"/>
              </w:rPr>
            </w:pPr>
          </w:p>
        </w:tc>
        <w:tc>
          <w:tcPr>
            <w:tcW w:w="218" w:type="pct"/>
            <w:tcBorders>
              <w:top w:val="single" w:sz="4" w:space="0" w:color="auto"/>
              <w:left w:val="single" w:sz="4" w:space="0" w:color="auto"/>
              <w:bottom w:val="single" w:sz="4" w:space="0" w:color="auto"/>
              <w:right w:val="single" w:sz="4" w:space="0" w:color="auto"/>
            </w:tcBorders>
            <w:vAlign w:val="center"/>
          </w:tcPr>
          <w:p w14:paraId="0C04E147" w14:textId="77777777" w:rsidR="002F590A" w:rsidRDefault="002F590A">
            <w:pPr>
              <w:jc w:val="center"/>
              <w:rPr>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324322BB" w14:textId="77777777" w:rsidR="002F590A" w:rsidRDefault="002F590A">
            <w:pPr>
              <w:jc w:val="center"/>
              <w:rPr>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549833C7" w14:textId="77777777" w:rsidR="002F590A" w:rsidRDefault="002F590A">
            <w:pPr>
              <w:jc w:val="center"/>
              <w:rPr>
                <w:sz w:val="12"/>
                <w:szCs w:val="12"/>
              </w:rPr>
            </w:pPr>
          </w:p>
        </w:tc>
        <w:tc>
          <w:tcPr>
            <w:tcW w:w="175" w:type="pct"/>
            <w:tcBorders>
              <w:top w:val="single" w:sz="4" w:space="0" w:color="auto"/>
              <w:left w:val="single" w:sz="4" w:space="0" w:color="auto"/>
              <w:bottom w:val="single" w:sz="4" w:space="0" w:color="auto"/>
              <w:right w:val="single" w:sz="4" w:space="0" w:color="auto"/>
            </w:tcBorders>
            <w:vAlign w:val="center"/>
          </w:tcPr>
          <w:p w14:paraId="6E073CF2" w14:textId="77777777" w:rsidR="002F590A" w:rsidRDefault="002F590A">
            <w:pPr>
              <w:jc w:val="center"/>
              <w:rPr>
                <w:sz w:val="12"/>
                <w:szCs w:val="12"/>
              </w:rPr>
            </w:pPr>
          </w:p>
        </w:tc>
        <w:tc>
          <w:tcPr>
            <w:tcW w:w="173" w:type="pct"/>
            <w:tcBorders>
              <w:top w:val="single" w:sz="4" w:space="0" w:color="auto"/>
              <w:left w:val="single" w:sz="4" w:space="0" w:color="auto"/>
              <w:bottom w:val="single" w:sz="4" w:space="0" w:color="auto"/>
              <w:right w:val="single" w:sz="4" w:space="0" w:color="auto"/>
            </w:tcBorders>
            <w:vAlign w:val="center"/>
          </w:tcPr>
          <w:p w14:paraId="26BA0015" w14:textId="77777777" w:rsidR="002F590A" w:rsidRDefault="002F590A">
            <w:pPr>
              <w:jc w:val="center"/>
              <w:rPr>
                <w:color w:val="000000"/>
                <w:sz w:val="12"/>
                <w:szCs w:val="12"/>
              </w:rPr>
            </w:pPr>
          </w:p>
        </w:tc>
        <w:tc>
          <w:tcPr>
            <w:tcW w:w="172" w:type="pct"/>
            <w:tcBorders>
              <w:top w:val="single" w:sz="4" w:space="0" w:color="auto"/>
              <w:left w:val="single" w:sz="4" w:space="0" w:color="auto"/>
              <w:bottom w:val="single" w:sz="4" w:space="0" w:color="auto"/>
              <w:right w:val="single" w:sz="4" w:space="0" w:color="auto"/>
            </w:tcBorders>
            <w:vAlign w:val="center"/>
          </w:tcPr>
          <w:p w14:paraId="48A1FC52" w14:textId="77777777" w:rsidR="002F590A" w:rsidRDefault="002F590A">
            <w:pPr>
              <w:jc w:val="center"/>
              <w:rPr>
                <w:color w:val="000000"/>
                <w:sz w:val="12"/>
                <w:szCs w:val="12"/>
              </w:rPr>
            </w:pPr>
          </w:p>
        </w:tc>
      </w:tr>
      <w:tr w:rsidR="002F590A" w14:paraId="6EEEFB2D" w14:textId="77777777" w:rsidTr="002F590A">
        <w:trPr>
          <w:trHeight w:val="897"/>
        </w:trPr>
        <w:tc>
          <w:tcPr>
            <w:tcW w:w="173" w:type="pct"/>
            <w:tcBorders>
              <w:top w:val="single" w:sz="4" w:space="0" w:color="auto"/>
              <w:left w:val="single" w:sz="4" w:space="0" w:color="auto"/>
              <w:bottom w:val="single" w:sz="4" w:space="0" w:color="auto"/>
              <w:right w:val="single" w:sz="4" w:space="0" w:color="auto"/>
            </w:tcBorders>
            <w:vAlign w:val="center"/>
            <w:hideMark/>
          </w:tcPr>
          <w:p w14:paraId="519C5AAF" w14:textId="77777777" w:rsidR="002F590A" w:rsidRDefault="002F590A">
            <w:pPr>
              <w:jc w:val="center"/>
              <w:rPr>
                <w:sz w:val="12"/>
                <w:szCs w:val="12"/>
              </w:rPr>
            </w:pPr>
            <w:r>
              <w:rPr>
                <w:sz w:val="12"/>
                <w:szCs w:val="12"/>
              </w:rPr>
              <w:t>3.2.11.1</w:t>
            </w:r>
          </w:p>
        </w:tc>
        <w:tc>
          <w:tcPr>
            <w:tcW w:w="280" w:type="pct"/>
            <w:tcBorders>
              <w:top w:val="single" w:sz="4" w:space="0" w:color="auto"/>
              <w:left w:val="single" w:sz="4" w:space="0" w:color="auto"/>
              <w:bottom w:val="single" w:sz="4" w:space="0" w:color="auto"/>
              <w:right w:val="single" w:sz="4" w:space="0" w:color="auto"/>
            </w:tcBorders>
            <w:vAlign w:val="center"/>
            <w:hideMark/>
          </w:tcPr>
          <w:p w14:paraId="764FD06D" w14:textId="77777777" w:rsidR="002F590A" w:rsidRDefault="002F590A">
            <w:pPr>
              <w:rPr>
                <w:color w:val="000000"/>
                <w:sz w:val="12"/>
                <w:szCs w:val="12"/>
              </w:rPr>
            </w:pPr>
            <w:r>
              <w:rPr>
                <w:color w:val="000000"/>
                <w:sz w:val="12"/>
                <w:szCs w:val="12"/>
              </w:rPr>
              <w:t xml:space="preserve">Реконструкция с монтажом установки </w:t>
            </w:r>
            <w:proofErr w:type="gramStart"/>
            <w:r>
              <w:rPr>
                <w:color w:val="000000"/>
                <w:sz w:val="12"/>
                <w:szCs w:val="12"/>
              </w:rPr>
              <w:t>автоматичес-кой</w:t>
            </w:r>
            <w:proofErr w:type="gramEnd"/>
            <w:r>
              <w:rPr>
                <w:color w:val="000000"/>
                <w:sz w:val="12"/>
                <w:szCs w:val="12"/>
              </w:rPr>
              <w:t xml:space="preserve"> химводоподго-товки</w:t>
            </w:r>
          </w:p>
        </w:tc>
        <w:tc>
          <w:tcPr>
            <w:tcW w:w="313" w:type="pct"/>
            <w:tcBorders>
              <w:top w:val="single" w:sz="4" w:space="0" w:color="auto"/>
              <w:left w:val="single" w:sz="4" w:space="0" w:color="auto"/>
              <w:bottom w:val="single" w:sz="4" w:space="0" w:color="auto"/>
              <w:right w:val="single" w:sz="4" w:space="0" w:color="auto"/>
            </w:tcBorders>
            <w:vAlign w:val="center"/>
            <w:hideMark/>
          </w:tcPr>
          <w:p w14:paraId="6EFBD22B" w14:textId="77777777" w:rsidR="002F590A" w:rsidRDefault="002F590A">
            <w:pPr>
              <w:jc w:val="center"/>
              <w:rPr>
                <w:sz w:val="12"/>
                <w:szCs w:val="12"/>
              </w:rPr>
            </w:pPr>
            <w:r>
              <w:rPr>
                <w:sz w:val="12"/>
                <w:szCs w:val="12"/>
              </w:rPr>
              <w:t>Повышение надежности (бесперебойности) услуг теплоснабжения, повышение энергетической эффективности</w:t>
            </w:r>
          </w:p>
        </w:tc>
        <w:tc>
          <w:tcPr>
            <w:tcW w:w="275" w:type="pct"/>
            <w:tcBorders>
              <w:top w:val="single" w:sz="4" w:space="0" w:color="auto"/>
              <w:left w:val="single" w:sz="4" w:space="0" w:color="auto"/>
              <w:bottom w:val="single" w:sz="4" w:space="0" w:color="auto"/>
              <w:right w:val="single" w:sz="4" w:space="0" w:color="auto"/>
            </w:tcBorders>
            <w:vAlign w:val="center"/>
            <w:hideMark/>
          </w:tcPr>
          <w:p w14:paraId="4DBA9D1A" w14:textId="77777777" w:rsidR="002F590A" w:rsidRDefault="002F590A">
            <w:pPr>
              <w:jc w:val="center"/>
              <w:rPr>
                <w:color w:val="000000"/>
                <w:sz w:val="12"/>
                <w:szCs w:val="12"/>
              </w:rPr>
            </w:pPr>
            <w:r>
              <w:rPr>
                <w:color w:val="000000"/>
                <w:sz w:val="12"/>
                <w:szCs w:val="12"/>
              </w:rPr>
              <w:t> </w:t>
            </w:r>
          </w:p>
        </w:tc>
        <w:tc>
          <w:tcPr>
            <w:tcW w:w="303" w:type="pct"/>
            <w:tcBorders>
              <w:top w:val="single" w:sz="4" w:space="0" w:color="auto"/>
              <w:left w:val="single" w:sz="4" w:space="0" w:color="auto"/>
              <w:bottom w:val="single" w:sz="4" w:space="0" w:color="auto"/>
              <w:right w:val="single" w:sz="4" w:space="0" w:color="auto"/>
            </w:tcBorders>
            <w:vAlign w:val="center"/>
            <w:hideMark/>
          </w:tcPr>
          <w:p w14:paraId="0B29D46D" w14:textId="77777777" w:rsidR="002F590A" w:rsidRDefault="002F590A">
            <w:pPr>
              <w:jc w:val="center"/>
              <w:rPr>
                <w:sz w:val="12"/>
                <w:szCs w:val="12"/>
              </w:rPr>
            </w:pPr>
            <w:r>
              <w:rPr>
                <w:color w:val="000000"/>
                <w:sz w:val="12"/>
                <w:szCs w:val="12"/>
              </w:rPr>
              <w:t>Технические характеристики</w:t>
            </w:r>
          </w:p>
        </w:tc>
        <w:tc>
          <w:tcPr>
            <w:tcW w:w="139" w:type="pct"/>
            <w:tcBorders>
              <w:top w:val="single" w:sz="4" w:space="0" w:color="auto"/>
              <w:left w:val="single" w:sz="4" w:space="0" w:color="auto"/>
              <w:bottom w:val="single" w:sz="4" w:space="0" w:color="auto"/>
              <w:right w:val="single" w:sz="4" w:space="0" w:color="auto"/>
            </w:tcBorders>
            <w:vAlign w:val="center"/>
          </w:tcPr>
          <w:p w14:paraId="5EC7153D" w14:textId="77777777" w:rsidR="002F590A" w:rsidRDefault="002F590A">
            <w:pPr>
              <w:jc w:val="center"/>
              <w:rPr>
                <w:sz w:val="12"/>
                <w:szCs w:val="12"/>
              </w:rPr>
            </w:pPr>
          </w:p>
        </w:tc>
        <w:tc>
          <w:tcPr>
            <w:tcW w:w="300" w:type="pct"/>
            <w:tcBorders>
              <w:top w:val="single" w:sz="4" w:space="0" w:color="auto"/>
              <w:left w:val="single" w:sz="4" w:space="0" w:color="auto"/>
              <w:bottom w:val="single" w:sz="4" w:space="0" w:color="auto"/>
              <w:right w:val="single" w:sz="4" w:space="0" w:color="auto"/>
            </w:tcBorders>
            <w:vAlign w:val="center"/>
            <w:hideMark/>
          </w:tcPr>
          <w:p w14:paraId="1686B57B" w14:textId="77777777" w:rsidR="002F590A" w:rsidRDefault="002F590A">
            <w:pPr>
              <w:jc w:val="center"/>
              <w:rPr>
                <w:color w:val="000000"/>
                <w:sz w:val="12"/>
                <w:szCs w:val="12"/>
              </w:rPr>
            </w:pPr>
            <w:r>
              <w:rPr>
                <w:color w:val="000000"/>
                <w:sz w:val="12"/>
                <w:szCs w:val="12"/>
              </w:rPr>
              <w:t xml:space="preserve">Отсутствует система умягчения холодной воды </w:t>
            </w:r>
          </w:p>
        </w:tc>
        <w:tc>
          <w:tcPr>
            <w:tcW w:w="351" w:type="pct"/>
            <w:tcBorders>
              <w:top w:val="single" w:sz="4" w:space="0" w:color="auto"/>
              <w:left w:val="single" w:sz="4" w:space="0" w:color="auto"/>
              <w:bottom w:val="single" w:sz="4" w:space="0" w:color="auto"/>
              <w:right w:val="single" w:sz="4" w:space="0" w:color="auto"/>
            </w:tcBorders>
            <w:vAlign w:val="center"/>
          </w:tcPr>
          <w:p w14:paraId="48ECEDE0" w14:textId="77777777" w:rsidR="002F590A" w:rsidRDefault="002F590A">
            <w:pPr>
              <w:jc w:val="center"/>
              <w:rPr>
                <w:sz w:val="12"/>
                <w:szCs w:val="12"/>
              </w:rPr>
            </w:pPr>
            <w:r>
              <w:rPr>
                <w:sz w:val="12"/>
                <w:szCs w:val="12"/>
              </w:rPr>
              <w:t>Оборудование позволит снизить жесткость воды (убрать излишек магния и кальция), исключает образование отложений солей жесткости на внутренних поверхностях труб, котлов и др. теплового оборудования, что увеличит срок службы, снизит расход топлива, исключаются затраты на замену котлов и другого тепломеханического оборудования.</w:t>
            </w:r>
          </w:p>
          <w:p w14:paraId="446E7B13" w14:textId="77777777" w:rsidR="002F590A" w:rsidRDefault="002F590A">
            <w:pPr>
              <w:jc w:val="center"/>
              <w:rPr>
                <w:sz w:val="12"/>
                <w:szCs w:val="12"/>
              </w:rPr>
            </w:pPr>
          </w:p>
          <w:p w14:paraId="5D74536E" w14:textId="77777777" w:rsidR="002F590A" w:rsidRDefault="002F590A">
            <w:pPr>
              <w:jc w:val="center"/>
              <w:rPr>
                <w:sz w:val="12"/>
                <w:szCs w:val="12"/>
              </w:rPr>
            </w:pPr>
          </w:p>
          <w:p w14:paraId="52B18065" w14:textId="77777777" w:rsidR="002F590A" w:rsidRDefault="002F590A">
            <w:pPr>
              <w:jc w:val="center"/>
              <w:rPr>
                <w:sz w:val="12"/>
                <w:szCs w:val="12"/>
              </w:rPr>
            </w:pPr>
            <w:r>
              <w:rPr>
                <w:sz w:val="12"/>
                <w:szCs w:val="12"/>
              </w:rPr>
              <w:t xml:space="preserve"> </w:t>
            </w:r>
          </w:p>
        </w:tc>
        <w:tc>
          <w:tcPr>
            <w:tcW w:w="139" w:type="pct"/>
            <w:tcBorders>
              <w:top w:val="single" w:sz="4" w:space="0" w:color="auto"/>
              <w:left w:val="single" w:sz="4" w:space="0" w:color="auto"/>
              <w:bottom w:val="single" w:sz="4" w:space="0" w:color="auto"/>
              <w:right w:val="single" w:sz="4" w:space="0" w:color="auto"/>
            </w:tcBorders>
            <w:vAlign w:val="center"/>
            <w:hideMark/>
          </w:tcPr>
          <w:p w14:paraId="7E978FEF" w14:textId="77777777" w:rsidR="002F590A" w:rsidRDefault="002F590A">
            <w:pPr>
              <w:jc w:val="center"/>
              <w:rPr>
                <w:sz w:val="12"/>
                <w:szCs w:val="12"/>
              </w:rPr>
            </w:pPr>
            <w:r>
              <w:rPr>
                <w:sz w:val="12"/>
                <w:szCs w:val="12"/>
              </w:rPr>
              <w:t>2025</w:t>
            </w:r>
          </w:p>
        </w:tc>
        <w:tc>
          <w:tcPr>
            <w:tcW w:w="167" w:type="pct"/>
            <w:tcBorders>
              <w:top w:val="single" w:sz="4" w:space="0" w:color="auto"/>
              <w:left w:val="single" w:sz="4" w:space="0" w:color="auto"/>
              <w:bottom w:val="single" w:sz="4" w:space="0" w:color="auto"/>
              <w:right w:val="single" w:sz="4" w:space="0" w:color="auto"/>
            </w:tcBorders>
            <w:vAlign w:val="center"/>
            <w:hideMark/>
          </w:tcPr>
          <w:p w14:paraId="1779BD96" w14:textId="77777777" w:rsidR="002F590A" w:rsidRDefault="002F590A">
            <w:pPr>
              <w:jc w:val="center"/>
              <w:rPr>
                <w:sz w:val="12"/>
                <w:szCs w:val="12"/>
              </w:rPr>
            </w:pPr>
            <w:r>
              <w:rPr>
                <w:sz w:val="12"/>
                <w:szCs w:val="12"/>
              </w:rPr>
              <w:t>2025</w:t>
            </w:r>
          </w:p>
        </w:tc>
        <w:tc>
          <w:tcPr>
            <w:tcW w:w="216" w:type="pct"/>
            <w:tcBorders>
              <w:top w:val="single" w:sz="4" w:space="0" w:color="auto"/>
              <w:left w:val="single" w:sz="4" w:space="0" w:color="auto"/>
              <w:bottom w:val="single" w:sz="4" w:space="0" w:color="auto"/>
              <w:right w:val="single" w:sz="4" w:space="0" w:color="auto"/>
            </w:tcBorders>
            <w:vAlign w:val="center"/>
            <w:hideMark/>
          </w:tcPr>
          <w:p w14:paraId="346ADD6A" w14:textId="77777777" w:rsidR="002F590A" w:rsidRDefault="002F590A">
            <w:pPr>
              <w:jc w:val="center"/>
              <w:rPr>
                <w:color w:val="000000"/>
                <w:sz w:val="12"/>
                <w:szCs w:val="12"/>
              </w:rPr>
            </w:pPr>
            <w:r>
              <w:rPr>
                <w:color w:val="000000"/>
                <w:sz w:val="12"/>
                <w:szCs w:val="12"/>
              </w:rPr>
              <w:t>112,94</w:t>
            </w:r>
          </w:p>
        </w:tc>
        <w:tc>
          <w:tcPr>
            <w:tcW w:w="174" w:type="pct"/>
            <w:tcBorders>
              <w:top w:val="single" w:sz="4" w:space="0" w:color="auto"/>
              <w:left w:val="single" w:sz="4" w:space="0" w:color="auto"/>
              <w:bottom w:val="single" w:sz="4" w:space="0" w:color="auto"/>
              <w:right w:val="single" w:sz="4" w:space="0" w:color="auto"/>
            </w:tcBorders>
            <w:vAlign w:val="center"/>
            <w:hideMark/>
          </w:tcPr>
          <w:p w14:paraId="02BCEEA6" w14:textId="77777777" w:rsidR="002F590A" w:rsidRDefault="002F590A">
            <w:pPr>
              <w:jc w:val="center"/>
              <w:rPr>
                <w:color w:val="000000"/>
                <w:sz w:val="12"/>
                <w:szCs w:val="12"/>
              </w:rPr>
            </w:pPr>
            <w:r>
              <w:rPr>
                <w:color w:val="000000"/>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251C0031" w14:textId="77777777" w:rsidR="002F590A" w:rsidRDefault="002F590A">
            <w:pPr>
              <w:jc w:val="center"/>
              <w:rPr>
                <w:sz w:val="12"/>
                <w:szCs w:val="12"/>
              </w:rPr>
            </w:pPr>
            <w:r>
              <w:rPr>
                <w:sz w:val="12"/>
                <w:szCs w:val="12"/>
              </w:rPr>
              <w:t>0,00</w:t>
            </w:r>
          </w:p>
        </w:tc>
        <w:tc>
          <w:tcPr>
            <w:tcW w:w="172" w:type="pct"/>
            <w:tcBorders>
              <w:top w:val="single" w:sz="4" w:space="0" w:color="auto"/>
              <w:left w:val="single" w:sz="4" w:space="0" w:color="auto"/>
              <w:bottom w:val="single" w:sz="4" w:space="0" w:color="auto"/>
              <w:right w:val="single" w:sz="4" w:space="0" w:color="auto"/>
            </w:tcBorders>
            <w:vAlign w:val="center"/>
            <w:hideMark/>
          </w:tcPr>
          <w:p w14:paraId="3E401FE2"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3D1407E7" w14:textId="77777777" w:rsidR="002F590A" w:rsidRDefault="002F590A">
            <w:pPr>
              <w:jc w:val="center"/>
              <w:rPr>
                <w:sz w:val="12"/>
                <w:szCs w:val="12"/>
              </w:rPr>
            </w:pPr>
            <w:r>
              <w:rPr>
                <w:sz w:val="12"/>
                <w:szCs w:val="12"/>
              </w:rPr>
              <w:t>0,00</w:t>
            </w:r>
          </w:p>
        </w:tc>
        <w:tc>
          <w:tcPr>
            <w:tcW w:w="216" w:type="pct"/>
            <w:tcBorders>
              <w:top w:val="single" w:sz="4" w:space="0" w:color="auto"/>
              <w:left w:val="single" w:sz="4" w:space="0" w:color="auto"/>
              <w:bottom w:val="single" w:sz="4" w:space="0" w:color="auto"/>
              <w:right w:val="single" w:sz="4" w:space="0" w:color="auto"/>
            </w:tcBorders>
            <w:vAlign w:val="center"/>
            <w:hideMark/>
          </w:tcPr>
          <w:p w14:paraId="44800AD9" w14:textId="77777777" w:rsidR="002F590A" w:rsidRDefault="002F590A">
            <w:pPr>
              <w:jc w:val="center"/>
              <w:rPr>
                <w:sz w:val="12"/>
                <w:szCs w:val="12"/>
              </w:rPr>
            </w:pPr>
            <w:r>
              <w:rPr>
                <w:sz w:val="12"/>
                <w:szCs w:val="12"/>
              </w:rPr>
              <w:t>112,94</w:t>
            </w:r>
          </w:p>
        </w:tc>
        <w:tc>
          <w:tcPr>
            <w:tcW w:w="174" w:type="pct"/>
            <w:tcBorders>
              <w:top w:val="single" w:sz="4" w:space="0" w:color="auto"/>
              <w:left w:val="single" w:sz="4" w:space="0" w:color="auto"/>
              <w:bottom w:val="single" w:sz="4" w:space="0" w:color="auto"/>
              <w:right w:val="single" w:sz="4" w:space="0" w:color="auto"/>
            </w:tcBorders>
            <w:vAlign w:val="center"/>
            <w:hideMark/>
          </w:tcPr>
          <w:p w14:paraId="7F2D102D"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7ED29D62" w14:textId="77777777" w:rsidR="002F590A" w:rsidRDefault="002F590A">
            <w:pPr>
              <w:jc w:val="center"/>
              <w:rPr>
                <w:sz w:val="12"/>
                <w:szCs w:val="12"/>
              </w:rPr>
            </w:pPr>
            <w:r>
              <w:rPr>
                <w:sz w:val="12"/>
                <w:szCs w:val="12"/>
              </w:rPr>
              <w:t>0,00</w:t>
            </w:r>
          </w:p>
        </w:tc>
        <w:tc>
          <w:tcPr>
            <w:tcW w:w="218" w:type="pct"/>
            <w:tcBorders>
              <w:top w:val="single" w:sz="4" w:space="0" w:color="auto"/>
              <w:left w:val="single" w:sz="4" w:space="0" w:color="auto"/>
              <w:bottom w:val="single" w:sz="4" w:space="0" w:color="auto"/>
              <w:right w:val="single" w:sz="4" w:space="0" w:color="auto"/>
            </w:tcBorders>
            <w:vAlign w:val="center"/>
            <w:hideMark/>
          </w:tcPr>
          <w:p w14:paraId="70ECAF5C"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431058E1"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652E7E56" w14:textId="77777777" w:rsidR="002F590A" w:rsidRDefault="002F590A">
            <w:pPr>
              <w:jc w:val="center"/>
              <w:rPr>
                <w:sz w:val="12"/>
                <w:szCs w:val="12"/>
              </w:rPr>
            </w:pPr>
            <w:r>
              <w:rPr>
                <w:sz w:val="12"/>
                <w:szCs w:val="12"/>
              </w:rPr>
              <w:t>0,00</w:t>
            </w:r>
          </w:p>
        </w:tc>
        <w:tc>
          <w:tcPr>
            <w:tcW w:w="175" w:type="pct"/>
            <w:tcBorders>
              <w:top w:val="single" w:sz="4" w:space="0" w:color="auto"/>
              <w:left w:val="single" w:sz="4" w:space="0" w:color="auto"/>
              <w:bottom w:val="single" w:sz="4" w:space="0" w:color="auto"/>
              <w:right w:val="single" w:sz="4" w:space="0" w:color="auto"/>
            </w:tcBorders>
            <w:vAlign w:val="center"/>
            <w:hideMark/>
          </w:tcPr>
          <w:p w14:paraId="43B197D6"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0F1ACA7B" w14:textId="77777777" w:rsidR="002F590A" w:rsidRDefault="002F590A">
            <w:pPr>
              <w:jc w:val="center"/>
              <w:rPr>
                <w:color w:val="000000"/>
                <w:sz w:val="12"/>
                <w:szCs w:val="12"/>
              </w:rPr>
            </w:pPr>
            <w:r>
              <w:rPr>
                <w:color w:val="000000"/>
                <w:sz w:val="12"/>
                <w:szCs w:val="12"/>
              </w:rPr>
              <w:t>0,00</w:t>
            </w:r>
          </w:p>
        </w:tc>
        <w:tc>
          <w:tcPr>
            <w:tcW w:w="172" w:type="pct"/>
            <w:tcBorders>
              <w:top w:val="single" w:sz="4" w:space="0" w:color="auto"/>
              <w:left w:val="single" w:sz="4" w:space="0" w:color="auto"/>
              <w:bottom w:val="single" w:sz="4" w:space="0" w:color="auto"/>
              <w:right w:val="single" w:sz="4" w:space="0" w:color="auto"/>
            </w:tcBorders>
            <w:vAlign w:val="center"/>
            <w:hideMark/>
          </w:tcPr>
          <w:p w14:paraId="11D68D14" w14:textId="77777777" w:rsidR="002F590A" w:rsidRDefault="002F590A">
            <w:pPr>
              <w:jc w:val="center"/>
              <w:rPr>
                <w:color w:val="000000"/>
                <w:sz w:val="12"/>
                <w:szCs w:val="12"/>
              </w:rPr>
            </w:pPr>
            <w:r>
              <w:rPr>
                <w:color w:val="000000"/>
                <w:sz w:val="12"/>
                <w:szCs w:val="12"/>
              </w:rPr>
              <w:t>0,00</w:t>
            </w:r>
          </w:p>
        </w:tc>
      </w:tr>
      <w:tr w:rsidR="002F590A" w14:paraId="0645C56F" w14:textId="77777777" w:rsidTr="002F590A">
        <w:trPr>
          <w:trHeight w:val="1359"/>
        </w:trPr>
        <w:tc>
          <w:tcPr>
            <w:tcW w:w="173" w:type="pct"/>
            <w:tcBorders>
              <w:top w:val="single" w:sz="4" w:space="0" w:color="auto"/>
              <w:left w:val="single" w:sz="4" w:space="0" w:color="auto"/>
              <w:bottom w:val="single" w:sz="4" w:space="0" w:color="auto"/>
              <w:right w:val="single" w:sz="4" w:space="0" w:color="auto"/>
            </w:tcBorders>
            <w:vAlign w:val="center"/>
            <w:hideMark/>
          </w:tcPr>
          <w:p w14:paraId="6126CF0D" w14:textId="77777777" w:rsidR="002F590A" w:rsidRDefault="002F590A">
            <w:pPr>
              <w:jc w:val="center"/>
              <w:rPr>
                <w:bCs/>
                <w:sz w:val="12"/>
                <w:szCs w:val="12"/>
              </w:rPr>
            </w:pPr>
            <w:r>
              <w:rPr>
                <w:bCs/>
                <w:sz w:val="12"/>
                <w:szCs w:val="12"/>
              </w:rPr>
              <w:t>3.2.12.</w:t>
            </w:r>
          </w:p>
        </w:tc>
        <w:tc>
          <w:tcPr>
            <w:tcW w:w="280" w:type="pct"/>
            <w:tcBorders>
              <w:top w:val="single" w:sz="4" w:space="0" w:color="auto"/>
              <w:left w:val="single" w:sz="4" w:space="0" w:color="auto"/>
              <w:bottom w:val="single" w:sz="4" w:space="0" w:color="auto"/>
              <w:right w:val="single" w:sz="4" w:space="0" w:color="auto"/>
            </w:tcBorders>
            <w:vAlign w:val="center"/>
            <w:hideMark/>
          </w:tcPr>
          <w:p w14:paraId="28E22088" w14:textId="77777777" w:rsidR="002F590A" w:rsidRDefault="002F590A">
            <w:pPr>
              <w:rPr>
                <w:bCs/>
                <w:color w:val="000000"/>
                <w:sz w:val="12"/>
                <w:szCs w:val="12"/>
              </w:rPr>
            </w:pPr>
            <w:r>
              <w:rPr>
                <w:bCs/>
                <w:color w:val="000000"/>
                <w:sz w:val="12"/>
                <w:szCs w:val="12"/>
              </w:rPr>
              <w:t>Реконструкция котельной №60</w:t>
            </w:r>
          </w:p>
        </w:tc>
        <w:tc>
          <w:tcPr>
            <w:tcW w:w="313" w:type="pct"/>
            <w:tcBorders>
              <w:top w:val="single" w:sz="4" w:space="0" w:color="auto"/>
              <w:left w:val="single" w:sz="4" w:space="0" w:color="auto"/>
              <w:bottom w:val="single" w:sz="4" w:space="0" w:color="auto"/>
              <w:right w:val="single" w:sz="4" w:space="0" w:color="auto"/>
            </w:tcBorders>
            <w:vAlign w:val="center"/>
          </w:tcPr>
          <w:p w14:paraId="0606D016" w14:textId="77777777" w:rsidR="002F590A" w:rsidRDefault="002F590A">
            <w:pPr>
              <w:jc w:val="center"/>
              <w:rPr>
                <w:sz w:val="12"/>
                <w:szCs w:val="12"/>
              </w:rPr>
            </w:pPr>
          </w:p>
        </w:tc>
        <w:tc>
          <w:tcPr>
            <w:tcW w:w="275" w:type="pct"/>
            <w:tcBorders>
              <w:top w:val="single" w:sz="4" w:space="0" w:color="auto"/>
              <w:left w:val="single" w:sz="4" w:space="0" w:color="auto"/>
              <w:bottom w:val="single" w:sz="4" w:space="0" w:color="auto"/>
              <w:right w:val="single" w:sz="4" w:space="0" w:color="auto"/>
            </w:tcBorders>
            <w:vAlign w:val="center"/>
            <w:hideMark/>
          </w:tcPr>
          <w:p w14:paraId="4E6984D4" w14:textId="77777777" w:rsidR="002F590A" w:rsidRDefault="002F590A">
            <w:pPr>
              <w:jc w:val="center"/>
              <w:rPr>
                <w:bCs/>
                <w:sz w:val="12"/>
                <w:szCs w:val="12"/>
              </w:rPr>
            </w:pPr>
            <w:r>
              <w:rPr>
                <w:bCs/>
                <w:sz w:val="12"/>
                <w:szCs w:val="12"/>
              </w:rPr>
              <w:t xml:space="preserve">Кемеровский городской округ, Заводской район, ул. Муромцева, 2б к1, 2в  </w:t>
            </w:r>
          </w:p>
        </w:tc>
        <w:tc>
          <w:tcPr>
            <w:tcW w:w="303" w:type="pct"/>
            <w:tcBorders>
              <w:top w:val="single" w:sz="4" w:space="0" w:color="auto"/>
              <w:left w:val="single" w:sz="4" w:space="0" w:color="auto"/>
              <w:bottom w:val="single" w:sz="4" w:space="0" w:color="auto"/>
              <w:right w:val="single" w:sz="4" w:space="0" w:color="auto"/>
            </w:tcBorders>
            <w:vAlign w:val="center"/>
            <w:hideMark/>
          </w:tcPr>
          <w:p w14:paraId="411992A1" w14:textId="77777777" w:rsidR="002F590A" w:rsidRDefault="002F590A">
            <w:pPr>
              <w:jc w:val="center"/>
              <w:rPr>
                <w:sz w:val="12"/>
                <w:szCs w:val="12"/>
              </w:rPr>
            </w:pPr>
            <w:r>
              <w:rPr>
                <w:color w:val="000000"/>
                <w:sz w:val="12"/>
                <w:szCs w:val="12"/>
              </w:rPr>
              <w:t>Технические характеристики</w:t>
            </w:r>
          </w:p>
        </w:tc>
        <w:tc>
          <w:tcPr>
            <w:tcW w:w="139" w:type="pct"/>
            <w:tcBorders>
              <w:top w:val="single" w:sz="4" w:space="0" w:color="auto"/>
              <w:left w:val="single" w:sz="4" w:space="0" w:color="auto"/>
              <w:bottom w:val="single" w:sz="4" w:space="0" w:color="auto"/>
              <w:right w:val="single" w:sz="4" w:space="0" w:color="auto"/>
            </w:tcBorders>
            <w:vAlign w:val="center"/>
          </w:tcPr>
          <w:p w14:paraId="0D1B0D9F" w14:textId="77777777" w:rsidR="002F590A" w:rsidRDefault="002F590A">
            <w:pPr>
              <w:jc w:val="center"/>
              <w:rPr>
                <w:sz w:val="12"/>
                <w:szCs w:val="12"/>
              </w:rPr>
            </w:pPr>
          </w:p>
        </w:tc>
        <w:tc>
          <w:tcPr>
            <w:tcW w:w="300" w:type="pct"/>
            <w:tcBorders>
              <w:top w:val="single" w:sz="4" w:space="0" w:color="auto"/>
              <w:left w:val="single" w:sz="4" w:space="0" w:color="auto"/>
              <w:bottom w:val="single" w:sz="4" w:space="0" w:color="auto"/>
              <w:right w:val="single" w:sz="4" w:space="0" w:color="auto"/>
            </w:tcBorders>
            <w:vAlign w:val="center"/>
            <w:hideMark/>
          </w:tcPr>
          <w:p w14:paraId="61E64C26" w14:textId="77777777" w:rsidR="002F590A" w:rsidRDefault="002F590A">
            <w:pPr>
              <w:jc w:val="center"/>
              <w:rPr>
                <w:sz w:val="12"/>
                <w:szCs w:val="12"/>
              </w:rPr>
            </w:pPr>
            <w:r>
              <w:rPr>
                <w:sz w:val="12"/>
                <w:szCs w:val="12"/>
              </w:rPr>
              <w:t> </w:t>
            </w:r>
          </w:p>
        </w:tc>
        <w:tc>
          <w:tcPr>
            <w:tcW w:w="351" w:type="pct"/>
            <w:tcBorders>
              <w:top w:val="single" w:sz="4" w:space="0" w:color="auto"/>
              <w:left w:val="single" w:sz="4" w:space="0" w:color="auto"/>
              <w:bottom w:val="single" w:sz="4" w:space="0" w:color="auto"/>
              <w:right w:val="single" w:sz="4" w:space="0" w:color="auto"/>
            </w:tcBorders>
            <w:vAlign w:val="center"/>
            <w:hideMark/>
          </w:tcPr>
          <w:p w14:paraId="5B044145" w14:textId="77777777" w:rsidR="002F590A" w:rsidRDefault="002F590A">
            <w:pPr>
              <w:jc w:val="center"/>
              <w:rPr>
                <w:sz w:val="12"/>
                <w:szCs w:val="12"/>
              </w:rPr>
            </w:pPr>
            <w:r>
              <w:rPr>
                <w:sz w:val="12"/>
                <w:szCs w:val="12"/>
              </w:rPr>
              <w:t> </w:t>
            </w:r>
          </w:p>
        </w:tc>
        <w:tc>
          <w:tcPr>
            <w:tcW w:w="139" w:type="pct"/>
            <w:tcBorders>
              <w:top w:val="single" w:sz="4" w:space="0" w:color="auto"/>
              <w:left w:val="single" w:sz="4" w:space="0" w:color="auto"/>
              <w:bottom w:val="single" w:sz="4" w:space="0" w:color="auto"/>
              <w:right w:val="single" w:sz="4" w:space="0" w:color="auto"/>
            </w:tcBorders>
            <w:vAlign w:val="center"/>
          </w:tcPr>
          <w:p w14:paraId="4D48CA62" w14:textId="77777777" w:rsidR="002F590A" w:rsidRDefault="002F590A">
            <w:pPr>
              <w:jc w:val="center"/>
              <w:rPr>
                <w:sz w:val="12"/>
                <w:szCs w:val="12"/>
              </w:rPr>
            </w:pPr>
          </w:p>
        </w:tc>
        <w:tc>
          <w:tcPr>
            <w:tcW w:w="167" w:type="pct"/>
            <w:tcBorders>
              <w:top w:val="single" w:sz="4" w:space="0" w:color="auto"/>
              <w:left w:val="single" w:sz="4" w:space="0" w:color="auto"/>
              <w:bottom w:val="single" w:sz="4" w:space="0" w:color="auto"/>
              <w:right w:val="single" w:sz="4" w:space="0" w:color="auto"/>
            </w:tcBorders>
            <w:vAlign w:val="center"/>
          </w:tcPr>
          <w:p w14:paraId="7C88F507" w14:textId="77777777" w:rsidR="002F590A" w:rsidRDefault="002F590A">
            <w:pPr>
              <w:jc w:val="center"/>
              <w:rPr>
                <w:sz w:val="12"/>
                <w:szCs w:val="12"/>
              </w:rPr>
            </w:pPr>
          </w:p>
        </w:tc>
        <w:tc>
          <w:tcPr>
            <w:tcW w:w="216" w:type="pct"/>
            <w:tcBorders>
              <w:top w:val="single" w:sz="4" w:space="0" w:color="auto"/>
              <w:left w:val="single" w:sz="4" w:space="0" w:color="auto"/>
              <w:bottom w:val="single" w:sz="4" w:space="0" w:color="auto"/>
              <w:right w:val="single" w:sz="4" w:space="0" w:color="auto"/>
            </w:tcBorders>
            <w:vAlign w:val="center"/>
          </w:tcPr>
          <w:p w14:paraId="2D2D0F2C" w14:textId="77777777" w:rsidR="002F590A" w:rsidRDefault="002F590A">
            <w:pPr>
              <w:jc w:val="center"/>
              <w:rPr>
                <w:color w:val="000000"/>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34ABC7C1" w14:textId="77777777" w:rsidR="002F590A" w:rsidRDefault="002F590A">
            <w:pPr>
              <w:jc w:val="center"/>
              <w:rPr>
                <w:color w:val="000000"/>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3D1AF681" w14:textId="77777777" w:rsidR="002F590A" w:rsidRDefault="002F590A">
            <w:pPr>
              <w:jc w:val="center"/>
              <w:rPr>
                <w:sz w:val="12"/>
                <w:szCs w:val="12"/>
              </w:rPr>
            </w:pPr>
          </w:p>
        </w:tc>
        <w:tc>
          <w:tcPr>
            <w:tcW w:w="172" w:type="pct"/>
            <w:tcBorders>
              <w:top w:val="single" w:sz="4" w:space="0" w:color="auto"/>
              <w:left w:val="single" w:sz="4" w:space="0" w:color="auto"/>
              <w:bottom w:val="single" w:sz="4" w:space="0" w:color="auto"/>
              <w:right w:val="single" w:sz="4" w:space="0" w:color="auto"/>
            </w:tcBorders>
            <w:vAlign w:val="center"/>
          </w:tcPr>
          <w:p w14:paraId="4E6F7FF7" w14:textId="77777777" w:rsidR="002F590A" w:rsidRDefault="002F590A">
            <w:pPr>
              <w:jc w:val="center"/>
              <w:rPr>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268CFD0D" w14:textId="77777777" w:rsidR="002F590A" w:rsidRDefault="002F590A">
            <w:pPr>
              <w:jc w:val="center"/>
              <w:rPr>
                <w:sz w:val="12"/>
                <w:szCs w:val="12"/>
              </w:rPr>
            </w:pPr>
          </w:p>
        </w:tc>
        <w:tc>
          <w:tcPr>
            <w:tcW w:w="216" w:type="pct"/>
            <w:tcBorders>
              <w:top w:val="single" w:sz="4" w:space="0" w:color="auto"/>
              <w:left w:val="single" w:sz="4" w:space="0" w:color="auto"/>
              <w:bottom w:val="single" w:sz="4" w:space="0" w:color="auto"/>
              <w:right w:val="single" w:sz="4" w:space="0" w:color="auto"/>
            </w:tcBorders>
            <w:vAlign w:val="center"/>
          </w:tcPr>
          <w:p w14:paraId="09D498CB" w14:textId="77777777" w:rsidR="002F590A" w:rsidRDefault="002F590A">
            <w:pPr>
              <w:jc w:val="center"/>
              <w:rPr>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3BF658A5" w14:textId="77777777" w:rsidR="002F590A" w:rsidRDefault="002F590A">
            <w:pPr>
              <w:jc w:val="center"/>
              <w:rPr>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74B394EB" w14:textId="77777777" w:rsidR="002F590A" w:rsidRDefault="002F590A">
            <w:pPr>
              <w:jc w:val="center"/>
              <w:rPr>
                <w:sz w:val="12"/>
                <w:szCs w:val="12"/>
              </w:rPr>
            </w:pPr>
          </w:p>
        </w:tc>
        <w:tc>
          <w:tcPr>
            <w:tcW w:w="218" w:type="pct"/>
            <w:tcBorders>
              <w:top w:val="single" w:sz="4" w:space="0" w:color="auto"/>
              <w:left w:val="single" w:sz="4" w:space="0" w:color="auto"/>
              <w:bottom w:val="single" w:sz="4" w:space="0" w:color="auto"/>
              <w:right w:val="single" w:sz="4" w:space="0" w:color="auto"/>
            </w:tcBorders>
            <w:vAlign w:val="center"/>
          </w:tcPr>
          <w:p w14:paraId="2864F98D" w14:textId="77777777" w:rsidR="002F590A" w:rsidRDefault="002F590A">
            <w:pPr>
              <w:jc w:val="center"/>
              <w:rPr>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44C66B91" w14:textId="77777777" w:rsidR="002F590A" w:rsidRDefault="002F590A">
            <w:pPr>
              <w:jc w:val="center"/>
              <w:rPr>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0B196F3F" w14:textId="77777777" w:rsidR="002F590A" w:rsidRDefault="002F590A">
            <w:pPr>
              <w:jc w:val="center"/>
              <w:rPr>
                <w:sz w:val="12"/>
                <w:szCs w:val="12"/>
              </w:rPr>
            </w:pPr>
          </w:p>
        </w:tc>
        <w:tc>
          <w:tcPr>
            <w:tcW w:w="175" w:type="pct"/>
            <w:tcBorders>
              <w:top w:val="single" w:sz="4" w:space="0" w:color="auto"/>
              <w:left w:val="single" w:sz="4" w:space="0" w:color="auto"/>
              <w:bottom w:val="single" w:sz="4" w:space="0" w:color="auto"/>
              <w:right w:val="single" w:sz="4" w:space="0" w:color="auto"/>
            </w:tcBorders>
            <w:vAlign w:val="center"/>
          </w:tcPr>
          <w:p w14:paraId="69CD87FF" w14:textId="77777777" w:rsidR="002F590A" w:rsidRDefault="002F590A">
            <w:pPr>
              <w:jc w:val="center"/>
              <w:rPr>
                <w:sz w:val="12"/>
                <w:szCs w:val="12"/>
              </w:rPr>
            </w:pPr>
          </w:p>
        </w:tc>
        <w:tc>
          <w:tcPr>
            <w:tcW w:w="173" w:type="pct"/>
            <w:tcBorders>
              <w:top w:val="single" w:sz="4" w:space="0" w:color="auto"/>
              <w:left w:val="single" w:sz="4" w:space="0" w:color="auto"/>
              <w:bottom w:val="single" w:sz="4" w:space="0" w:color="auto"/>
              <w:right w:val="single" w:sz="4" w:space="0" w:color="auto"/>
            </w:tcBorders>
            <w:vAlign w:val="center"/>
          </w:tcPr>
          <w:p w14:paraId="0CE71FC0" w14:textId="77777777" w:rsidR="002F590A" w:rsidRDefault="002F590A">
            <w:pPr>
              <w:jc w:val="center"/>
              <w:rPr>
                <w:color w:val="000000"/>
                <w:sz w:val="12"/>
                <w:szCs w:val="12"/>
              </w:rPr>
            </w:pPr>
          </w:p>
        </w:tc>
        <w:tc>
          <w:tcPr>
            <w:tcW w:w="172" w:type="pct"/>
            <w:tcBorders>
              <w:top w:val="single" w:sz="4" w:space="0" w:color="auto"/>
              <w:left w:val="single" w:sz="4" w:space="0" w:color="auto"/>
              <w:bottom w:val="single" w:sz="4" w:space="0" w:color="auto"/>
              <w:right w:val="single" w:sz="4" w:space="0" w:color="auto"/>
            </w:tcBorders>
            <w:vAlign w:val="center"/>
          </w:tcPr>
          <w:p w14:paraId="19B9C1A0" w14:textId="77777777" w:rsidR="002F590A" w:rsidRDefault="002F590A">
            <w:pPr>
              <w:jc w:val="center"/>
              <w:rPr>
                <w:color w:val="000000"/>
                <w:sz w:val="12"/>
                <w:szCs w:val="12"/>
              </w:rPr>
            </w:pPr>
          </w:p>
        </w:tc>
      </w:tr>
      <w:tr w:rsidR="002F590A" w14:paraId="6507602D" w14:textId="77777777" w:rsidTr="002F590A">
        <w:trPr>
          <w:trHeight w:val="897"/>
        </w:trPr>
        <w:tc>
          <w:tcPr>
            <w:tcW w:w="173" w:type="pct"/>
            <w:tcBorders>
              <w:top w:val="single" w:sz="4" w:space="0" w:color="auto"/>
              <w:left w:val="single" w:sz="4" w:space="0" w:color="auto"/>
              <w:bottom w:val="single" w:sz="4" w:space="0" w:color="auto"/>
              <w:right w:val="single" w:sz="4" w:space="0" w:color="auto"/>
            </w:tcBorders>
            <w:vAlign w:val="center"/>
            <w:hideMark/>
          </w:tcPr>
          <w:p w14:paraId="3DB3F08B" w14:textId="77777777" w:rsidR="002F590A" w:rsidRDefault="002F590A">
            <w:pPr>
              <w:jc w:val="center"/>
              <w:rPr>
                <w:sz w:val="12"/>
                <w:szCs w:val="12"/>
              </w:rPr>
            </w:pPr>
            <w:r>
              <w:rPr>
                <w:sz w:val="12"/>
                <w:szCs w:val="12"/>
              </w:rPr>
              <w:t>3.2.12.1</w:t>
            </w:r>
          </w:p>
        </w:tc>
        <w:tc>
          <w:tcPr>
            <w:tcW w:w="280" w:type="pct"/>
            <w:tcBorders>
              <w:top w:val="single" w:sz="4" w:space="0" w:color="auto"/>
              <w:left w:val="single" w:sz="4" w:space="0" w:color="auto"/>
              <w:bottom w:val="single" w:sz="4" w:space="0" w:color="auto"/>
              <w:right w:val="single" w:sz="4" w:space="0" w:color="auto"/>
            </w:tcBorders>
            <w:vAlign w:val="center"/>
            <w:hideMark/>
          </w:tcPr>
          <w:p w14:paraId="3B1FC755" w14:textId="77777777" w:rsidR="002F590A" w:rsidRDefault="002F590A">
            <w:pPr>
              <w:rPr>
                <w:color w:val="000000"/>
                <w:sz w:val="12"/>
                <w:szCs w:val="12"/>
              </w:rPr>
            </w:pPr>
            <w:r>
              <w:rPr>
                <w:color w:val="000000"/>
                <w:sz w:val="12"/>
                <w:szCs w:val="12"/>
              </w:rPr>
              <w:t xml:space="preserve">Реконструкция системы </w:t>
            </w:r>
            <w:proofErr w:type="gramStart"/>
            <w:r>
              <w:rPr>
                <w:color w:val="000000"/>
                <w:sz w:val="12"/>
                <w:szCs w:val="12"/>
              </w:rPr>
              <w:t>автоматичес-кой</w:t>
            </w:r>
            <w:proofErr w:type="gramEnd"/>
            <w:r>
              <w:rPr>
                <w:color w:val="000000"/>
                <w:sz w:val="12"/>
                <w:szCs w:val="12"/>
              </w:rPr>
              <w:t xml:space="preserve"> подпитки тепловой сети из водопровода:</w:t>
            </w:r>
          </w:p>
        </w:tc>
        <w:tc>
          <w:tcPr>
            <w:tcW w:w="313" w:type="pct"/>
            <w:tcBorders>
              <w:top w:val="single" w:sz="4" w:space="0" w:color="auto"/>
              <w:left w:val="single" w:sz="4" w:space="0" w:color="auto"/>
              <w:bottom w:val="single" w:sz="4" w:space="0" w:color="auto"/>
              <w:right w:val="single" w:sz="4" w:space="0" w:color="auto"/>
            </w:tcBorders>
            <w:vAlign w:val="center"/>
            <w:hideMark/>
          </w:tcPr>
          <w:p w14:paraId="4D2EE29E" w14:textId="77777777" w:rsidR="002F590A" w:rsidRDefault="002F590A">
            <w:pPr>
              <w:jc w:val="center"/>
              <w:rPr>
                <w:sz w:val="12"/>
                <w:szCs w:val="12"/>
              </w:rPr>
            </w:pPr>
            <w:r>
              <w:rPr>
                <w:sz w:val="12"/>
                <w:szCs w:val="12"/>
              </w:rPr>
              <w:t>Повышение надежности (бесперебойности) услуг теплоснабжения, повышение энергетической эффективности</w:t>
            </w:r>
          </w:p>
        </w:tc>
        <w:tc>
          <w:tcPr>
            <w:tcW w:w="275" w:type="pct"/>
            <w:tcBorders>
              <w:top w:val="single" w:sz="4" w:space="0" w:color="auto"/>
              <w:left w:val="single" w:sz="4" w:space="0" w:color="auto"/>
              <w:bottom w:val="single" w:sz="4" w:space="0" w:color="auto"/>
              <w:right w:val="single" w:sz="4" w:space="0" w:color="auto"/>
            </w:tcBorders>
            <w:vAlign w:val="center"/>
            <w:hideMark/>
          </w:tcPr>
          <w:p w14:paraId="1AB89FF7" w14:textId="77777777" w:rsidR="002F590A" w:rsidRDefault="002F590A">
            <w:pPr>
              <w:jc w:val="center"/>
              <w:rPr>
                <w:sz w:val="12"/>
                <w:szCs w:val="12"/>
              </w:rPr>
            </w:pPr>
            <w:r>
              <w:rPr>
                <w:sz w:val="12"/>
                <w:szCs w:val="12"/>
              </w:rPr>
              <w:t> </w:t>
            </w:r>
          </w:p>
        </w:tc>
        <w:tc>
          <w:tcPr>
            <w:tcW w:w="303" w:type="pct"/>
            <w:tcBorders>
              <w:top w:val="single" w:sz="4" w:space="0" w:color="auto"/>
              <w:left w:val="single" w:sz="4" w:space="0" w:color="auto"/>
              <w:bottom w:val="single" w:sz="4" w:space="0" w:color="auto"/>
              <w:right w:val="single" w:sz="4" w:space="0" w:color="auto"/>
            </w:tcBorders>
            <w:vAlign w:val="center"/>
            <w:hideMark/>
          </w:tcPr>
          <w:p w14:paraId="37DD9508" w14:textId="77777777" w:rsidR="002F590A" w:rsidRDefault="002F590A">
            <w:pPr>
              <w:jc w:val="center"/>
              <w:rPr>
                <w:sz w:val="12"/>
                <w:szCs w:val="12"/>
              </w:rPr>
            </w:pPr>
            <w:r>
              <w:rPr>
                <w:color w:val="000000"/>
                <w:sz w:val="12"/>
                <w:szCs w:val="12"/>
              </w:rPr>
              <w:t>Технические характеристики</w:t>
            </w:r>
          </w:p>
        </w:tc>
        <w:tc>
          <w:tcPr>
            <w:tcW w:w="139" w:type="pct"/>
            <w:tcBorders>
              <w:top w:val="single" w:sz="4" w:space="0" w:color="auto"/>
              <w:left w:val="single" w:sz="4" w:space="0" w:color="auto"/>
              <w:bottom w:val="single" w:sz="4" w:space="0" w:color="auto"/>
              <w:right w:val="single" w:sz="4" w:space="0" w:color="auto"/>
            </w:tcBorders>
            <w:vAlign w:val="center"/>
          </w:tcPr>
          <w:p w14:paraId="4AAB26A0" w14:textId="77777777" w:rsidR="002F590A" w:rsidRDefault="002F590A">
            <w:pPr>
              <w:jc w:val="center"/>
              <w:rPr>
                <w:sz w:val="12"/>
                <w:szCs w:val="12"/>
              </w:rPr>
            </w:pPr>
          </w:p>
        </w:tc>
        <w:tc>
          <w:tcPr>
            <w:tcW w:w="300" w:type="pct"/>
            <w:tcBorders>
              <w:top w:val="single" w:sz="4" w:space="0" w:color="auto"/>
              <w:left w:val="single" w:sz="4" w:space="0" w:color="auto"/>
              <w:bottom w:val="single" w:sz="4" w:space="0" w:color="auto"/>
              <w:right w:val="single" w:sz="4" w:space="0" w:color="auto"/>
            </w:tcBorders>
            <w:vAlign w:val="center"/>
            <w:hideMark/>
          </w:tcPr>
          <w:p w14:paraId="22F5B659" w14:textId="77777777" w:rsidR="002F590A" w:rsidRDefault="002F590A">
            <w:pPr>
              <w:jc w:val="center"/>
              <w:rPr>
                <w:sz w:val="12"/>
                <w:szCs w:val="12"/>
              </w:rPr>
            </w:pPr>
            <w:r>
              <w:rPr>
                <w:sz w:val="12"/>
                <w:szCs w:val="12"/>
              </w:rPr>
              <w:t>Редукционный клапан Ду20, счетчик СХВ-20, обратный клапан резьбовой Ду20мм.</w:t>
            </w:r>
          </w:p>
        </w:tc>
        <w:tc>
          <w:tcPr>
            <w:tcW w:w="351" w:type="pct"/>
            <w:tcBorders>
              <w:top w:val="single" w:sz="4" w:space="0" w:color="auto"/>
              <w:left w:val="single" w:sz="4" w:space="0" w:color="auto"/>
              <w:bottom w:val="single" w:sz="4" w:space="0" w:color="auto"/>
              <w:right w:val="single" w:sz="4" w:space="0" w:color="auto"/>
            </w:tcBorders>
            <w:vAlign w:val="center"/>
            <w:hideMark/>
          </w:tcPr>
          <w:p w14:paraId="47612F3A" w14:textId="77777777" w:rsidR="002F590A" w:rsidRDefault="002F590A">
            <w:pPr>
              <w:jc w:val="center"/>
              <w:rPr>
                <w:sz w:val="12"/>
                <w:szCs w:val="12"/>
              </w:rPr>
            </w:pPr>
            <w:r>
              <w:rPr>
                <w:sz w:val="12"/>
                <w:szCs w:val="12"/>
              </w:rPr>
              <w:t>Оборудование с техническими характеристиками не ниже существующего на объекте.</w:t>
            </w:r>
          </w:p>
        </w:tc>
        <w:tc>
          <w:tcPr>
            <w:tcW w:w="139" w:type="pct"/>
            <w:tcBorders>
              <w:top w:val="single" w:sz="4" w:space="0" w:color="auto"/>
              <w:left w:val="single" w:sz="4" w:space="0" w:color="auto"/>
              <w:bottom w:val="single" w:sz="4" w:space="0" w:color="auto"/>
              <w:right w:val="single" w:sz="4" w:space="0" w:color="auto"/>
            </w:tcBorders>
            <w:vAlign w:val="center"/>
            <w:hideMark/>
          </w:tcPr>
          <w:p w14:paraId="765D9511" w14:textId="77777777" w:rsidR="002F590A" w:rsidRDefault="002F590A">
            <w:pPr>
              <w:jc w:val="center"/>
              <w:rPr>
                <w:sz w:val="12"/>
                <w:szCs w:val="12"/>
              </w:rPr>
            </w:pPr>
            <w:r>
              <w:rPr>
                <w:sz w:val="12"/>
                <w:szCs w:val="12"/>
              </w:rPr>
              <w:t>2025</w:t>
            </w:r>
          </w:p>
        </w:tc>
        <w:tc>
          <w:tcPr>
            <w:tcW w:w="167" w:type="pct"/>
            <w:tcBorders>
              <w:top w:val="single" w:sz="4" w:space="0" w:color="auto"/>
              <w:left w:val="single" w:sz="4" w:space="0" w:color="auto"/>
              <w:bottom w:val="single" w:sz="4" w:space="0" w:color="auto"/>
              <w:right w:val="single" w:sz="4" w:space="0" w:color="auto"/>
            </w:tcBorders>
            <w:vAlign w:val="center"/>
            <w:hideMark/>
          </w:tcPr>
          <w:p w14:paraId="7F2C9493" w14:textId="77777777" w:rsidR="002F590A" w:rsidRDefault="002F590A">
            <w:pPr>
              <w:jc w:val="center"/>
              <w:rPr>
                <w:sz w:val="12"/>
                <w:szCs w:val="12"/>
              </w:rPr>
            </w:pPr>
            <w:r>
              <w:rPr>
                <w:sz w:val="12"/>
                <w:szCs w:val="12"/>
              </w:rPr>
              <w:t>2025</w:t>
            </w:r>
          </w:p>
        </w:tc>
        <w:tc>
          <w:tcPr>
            <w:tcW w:w="216" w:type="pct"/>
            <w:tcBorders>
              <w:top w:val="single" w:sz="4" w:space="0" w:color="auto"/>
              <w:left w:val="single" w:sz="4" w:space="0" w:color="auto"/>
              <w:bottom w:val="single" w:sz="4" w:space="0" w:color="auto"/>
              <w:right w:val="single" w:sz="4" w:space="0" w:color="auto"/>
            </w:tcBorders>
            <w:vAlign w:val="center"/>
            <w:hideMark/>
          </w:tcPr>
          <w:p w14:paraId="6C4CBEB7" w14:textId="77777777" w:rsidR="002F590A" w:rsidRDefault="002F590A">
            <w:pPr>
              <w:jc w:val="center"/>
              <w:rPr>
                <w:color w:val="000000"/>
                <w:sz w:val="12"/>
                <w:szCs w:val="12"/>
              </w:rPr>
            </w:pPr>
            <w:r>
              <w:rPr>
                <w:color w:val="000000"/>
                <w:sz w:val="12"/>
                <w:szCs w:val="12"/>
              </w:rPr>
              <w:t>30,37</w:t>
            </w:r>
          </w:p>
        </w:tc>
        <w:tc>
          <w:tcPr>
            <w:tcW w:w="174" w:type="pct"/>
            <w:tcBorders>
              <w:top w:val="single" w:sz="4" w:space="0" w:color="auto"/>
              <w:left w:val="single" w:sz="4" w:space="0" w:color="auto"/>
              <w:bottom w:val="single" w:sz="4" w:space="0" w:color="auto"/>
              <w:right w:val="single" w:sz="4" w:space="0" w:color="auto"/>
            </w:tcBorders>
            <w:vAlign w:val="center"/>
            <w:hideMark/>
          </w:tcPr>
          <w:p w14:paraId="573D614C" w14:textId="77777777" w:rsidR="002F590A" w:rsidRDefault="002F590A">
            <w:pPr>
              <w:jc w:val="center"/>
              <w:rPr>
                <w:color w:val="000000"/>
                <w:sz w:val="12"/>
                <w:szCs w:val="12"/>
              </w:rPr>
            </w:pPr>
            <w:r>
              <w:rPr>
                <w:color w:val="000000"/>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68CA9353" w14:textId="77777777" w:rsidR="002F590A" w:rsidRDefault="002F590A">
            <w:pPr>
              <w:jc w:val="center"/>
              <w:rPr>
                <w:sz w:val="12"/>
                <w:szCs w:val="12"/>
              </w:rPr>
            </w:pPr>
            <w:r>
              <w:rPr>
                <w:sz w:val="12"/>
                <w:szCs w:val="12"/>
              </w:rPr>
              <w:t>0,00</w:t>
            </w:r>
          </w:p>
        </w:tc>
        <w:tc>
          <w:tcPr>
            <w:tcW w:w="172" w:type="pct"/>
            <w:tcBorders>
              <w:top w:val="single" w:sz="4" w:space="0" w:color="auto"/>
              <w:left w:val="single" w:sz="4" w:space="0" w:color="auto"/>
              <w:bottom w:val="single" w:sz="4" w:space="0" w:color="auto"/>
              <w:right w:val="single" w:sz="4" w:space="0" w:color="auto"/>
            </w:tcBorders>
            <w:vAlign w:val="center"/>
            <w:hideMark/>
          </w:tcPr>
          <w:p w14:paraId="3E82B483"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3753EBDE" w14:textId="77777777" w:rsidR="002F590A" w:rsidRDefault="002F590A">
            <w:pPr>
              <w:jc w:val="center"/>
              <w:rPr>
                <w:sz w:val="12"/>
                <w:szCs w:val="12"/>
              </w:rPr>
            </w:pPr>
            <w:r>
              <w:rPr>
                <w:sz w:val="12"/>
                <w:szCs w:val="12"/>
              </w:rPr>
              <w:t>0,00</w:t>
            </w:r>
          </w:p>
        </w:tc>
        <w:tc>
          <w:tcPr>
            <w:tcW w:w="216" w:type="pct"/>
            <w:tcBorders>
              <w:top w:val="single" w:sz="4" w:space="0" w:color="auto"/>
              <w:left w:val="single" w:sz="4" w:space="0" w:color="auto"/>
              <w:bottom w:val="single" w:sz="4" w:space="0" w:color="auto"/>
              <w:right w:val="single" w:sz="4" w:space="0" w:color="auto"/>
            </w:tcBorders>
            <w:vAlign w:val="center"/>
            <w:hideMark/>
          </w:tcPr>
          <w:p w14:paraId="298C7B2B" w14:textId="77777777" w:rsidR="002F590A" w:rsidRDefault="002F590A">
            <w:pPr>
              <w:jc w:val="center"/>
              <w:rPr>
                <w:sz w:val="12"/>
                <w:szCs w:val="12"/>
              </w:rPr>
            </w:pPr>
            <w:r>
              <w:rPr>
                <w:sz w:val="12"/>
                <w:szCs w:val="12"/>
              </w:rPr>
              <w:t>30,37</w:t>
            </w:r>
          </w:p>
        </w:tc>
        <w:tc>
          <w:tcPr>
            <w:tcW w:w="174" w:type="pct"/>
            <w:tcBorders>
              <w:top w:val="single" w:sz="4" w:space="0" w:color="auto"/>
              <w:left w:val="single" w:sz="4" w:space="0" w:color="auto"/>
              <w:bottom w:val="single" w:sz="4" w:space="0" w:color="auto"/>
              <w:right w:val="single" w:sz="4" w:space="0" w:color="auto"/>
            </w:tcBorders>
            <w:vAlign w:val="center"/>
            <w:hideMark/>
          </w:tcPr>
          <w:p w14:paraId="0D5DDA18"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64848A68" w14:textId="77777777" w:rsidR="002F590A" w:rsidRDefault="002F590A">
            <w:pPr>
              <w:jc w:val="center"/>
              <w:rPr>
                <w:sz w:val="12"/>
                <w:szCs w:val="12"/>
              </w:rPr>
            </w:pPr>
            <w:r>
              <w:rPr>
                <w:sz w:val="12"/>
                <w:szCs w:val="12"/>
              </w:rPr>
              <w:t>0,00</w:t>
            </w:r>
          </w:p>
        </w:tc>
        <w:tc>
          <w:tcPr>
            <w:tcW w:w="218" w:type="pct"/>
            <w:tcBorders>
              <w:top w:val="single" w:sz="4" w:space="0" w:color="auto"/>
              <w:left w:val="single" w:sz="4" w:space="0" w:color="auto"/>
              <w:bottom w:val="single" w:sz="4" w:space="0" w:color="auto"/>
              <w:right w:val="single" w:sz="4" w:space="0" w:color="auto"/>
            </w:tcBorders>
            <w:vAlign w:val="center"/>
            <w:hideMark/>
          </w:tcPr>
          <w:p w14:paraId="4BBEA0C1"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6B29F84F"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4427D3A1" w14:textId="77777777" w:rsidR="002F590A" w:rsidRDefault="002F590A">
            <w:pPr>
              <w:jc w:val="center"/>
              <w:rPr>
                <w:sz w:val="12"/>
                <w:szCs w:val="12"/>
              </w:rPr>
            </w:pPr>
            <w:r>
              <w:rPr>
                <w:sz w:val="12"/>
                <w:szCs w:val="12"/>
              </w:rPr>
              <w:t>0,00</w:t>
            </w:r>
          </w:p>
        </w:tc>
        <w:tc>
          <w:tcPr>
            <w:tcW w:w="175" w:type="pct"/>
            <w:tcBorders>
              <w:top w:val="single" w:sz="4" w:space="0" w:color="auto"/>
              <w:left w:val="single" w:sz="4" w:space="0" w:color="auto"/>
              <w:bottom w:val="single" w:sz="4" w:space="0" w:color="auto"/>
              <w:right w:val="single" w:sz="4" w:space="0" w:color="auto"/>
            </w:tcBorders>
            <w:vAlign w:val="center"/>
            <w:hideMark/>
          </w:tcPr>
          <w:p w14:paraId="46EE94BD"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49CCFAEA" w14:textId="77777777" w:rsidR="002F590A" w:rsidRDefault="002F590A">
            <w:pPr>
              <w:jc w:val="center"/>
              <w:rPr>
                <w:color w:val="000000"/>
                <w:sz w:val="12"/>
                <w:szCs w:val="12"/>
              </w:rPr>
            </w:pPr>
            <w:r>
              <w:rPr>
                <w:color w:val="000000"/>
                <w:sz w:val="12"/>
                <w:szCs w:val="12"/>
              </w:rPr>
              <w:t>0,00</w:t>
            </w:r>
          </w:p>
        </w:tc>
        <w:tc>
          <w:tcPr>
            <w:tcW w:w="172" w:type="pct"/>
            <w:tcBorders>
              <w:top w:val="single" w:sz="4" w:space="0" w:color="auto"/>
              <w:left w:val="single" w:sz="4" w:space="0" w:color="auto"/>
              <w:bottom w:val="single" w:sz="4" w:space="0" w:color="auto"/>
              <w:right w:val="single" w:sz="4" w:space="0" w:color="auto"/>
            </w:tcBorders>
            <w:vAlign w:val="center"/>
            <w:hideMark/>
          </w:tcPr>
          <w:p w14:paraId="57C2BE32" w14:textId="77777777" w:rsidR="002F590A" w:rsidRDefault="002F590A">
            <w:pPr>
              <w:jc w:val="center"/>
              <w:rPr>
                <w:color w:val="000000"/>
                <w:sz w:val="12"/>
                <w:szCs w:val="12"/>
              </w:rPr>
            </w:pPr>
            <w:r>
              <w:rPr>
                <w:color w:val="000000"/>
                <w:sz w:val="12"/>
                <w:szCs w:val="12"/>
              </w:rPr>
              <w:t>0,00</w:t>
            </w:r>
          </w:p>
        </w:tc>
      </w:tr>
      <w:tr w:rsidR="002F590A" w14:paraId="058CBE6E" w14:textId="77777777" w:rsidTr="002F590A">
        <w:trPr>
          <w:trHeight w:val="411"/>
        </w:trPr>
        <w:tc>
          <w:tcPr>
            <w:tcW w:w="173" w:type="pct"/>
            <w:tcBorders>
              <w:top w:val="single" w:sz="4" w:space="0" w:color="auto"/>
              <w:left w:val="single" w:sz="4" w:space="0" w:color="auto"/>
              <w:bottom w:val="single" w:sz="4" w:space="0" w:color="auto"/>
              <w:right w:val="single" w:sz="4" w:space="0" w:color="auto"/>
            </w:tcBorders>
            <w:vAlign w:val="center"/>
            <w:hideMark/>
          </w:tcPr>
          <w:p w14:paraId="67017A48" w14:textId="77777777" w:rsidR="002F590A" w:rsidRDefault="002F590A">
            <w:pPr>
              <w:jc w:val="center"/>
              <w:rPr>
                <w:bCs/>
                <w:sz w:val="12"/>
                <w:szCs w:val="12"/>
              </w:rPr>
            </w:pPr>
            <w:r>
              <w:rPr>
                <w:bCs/>
                <w:sz w:val="12"/>
                <w:szCs w:val="12"/>
              </w:rPr>
              <w:t>1</w:t>
            </w:r>
          </w:p>
        </w:tc>
        <w:tc>
          <w:tcPr>
            <w:tcW w:w="280" w:type="pct"/>
            <w:tcBorders>
              <w:top w:val="single" w:sz="4" w:space="0" w:color="auto"/>
              <w:left w:val="single" w:sz="4" w:space="0" w:color="auto"/>
              <w:bottom w:val="single" w:sz="4" w:space="0" w:color="auto"/>
              <w:right w:val="single" w:sz="4" w:space="0" w:color="auto"/>
            </w:tcBorders>
            <w:vAlign w:val="center"/>
            <w:hideMark/>
          </w:tcPr>
          <w:p w14:paraId="3EBD177D" w14:textId="77777777" w:rsidR="002F590A" w:rsidRDefault="002F590A">
            <w:pPr>
              <w:jc w:val="center"/>
              <w:rPr>
                <w:bCs/>
                <w:sz w:val="12"/>
                <w:szCs w:val="12"/>
              </w:rPr>
            </w:pPr>
            <w:r>
              <w:rPr>
                <w:bCs/>
                <w:sz w:val="12"/>
                <w:szCs w:val="12"/>
              </w:rPr>
              <w:t>2</w:t>
            </w:r>
          </w:p>
        </w:tc>
        <w:tc>
          <w:tcPr>
            <w:tcW w:w="313" w:type="pct"/>
            <w:tcBorders>
              <w:top w:val="single" w:sz="4" w:space="0" w:color="auto"/>
              <w:left w:val="single" w:sz="4" w:space="0" w:color="auto"/>
              <w:bottom w:val="single" w:sz="4" w:space="0" w:color="auto"/>
              <w:right w:val="single" w:sz="4" w:space="0" w:color="auto"/>
            </w:tcBorders>
            <w:vAlign w:val="center"/>
            <w:hideMark/>
          </w:tcPr>
          <w:p w14:paraId="773AEF7F" w14:textId="77777777" w:rsidR="002F590A" w:rsidRDefault="002F590A">
            <w:pPr>
              <w:jc w:val="center"/>
              <w:rPr>
                <w:bCs/>
                <w:sz w:val="12"/>
                <w:szCs w:val="12"/>
              </w:rPr>
            </w:pPr>
            <w:r>
              <w:rPr>
                <w:bCs/>
                <w:sz w:val="12"/>
                <w:szCs w:val="12"/>
              </w:rPr>
              <w:t>3</w:t>
            </w:r>
          </w:p>
        </w:tc>
        <w:tc>
          <w:tcPr>
            <w:tcW w:w="275" w:type="pct"/>
            <w:tcBorders>
              <w:top w:val="single" w:sz="4" w:space="0" w:color="auto"/>
              <w:left w:val="single" w:sz="4" w:space="0" w:color="auto"/>
              <w:bottom w:val="single" w:sz="4" w:space="0" w:color="auto"/>
              <w:right w:val="single" w:sz="4" w:space="0" w:color="auto"/>
            </w:tcBorders>
            <w:vAlign w:val="center"/>
            <w:hideMark/>
          </w:tcPr>
          <w:p w14:paraId="2B02DA37" w14:textId="77777777" w:rsidR="002F590A" w:rsidRDefault="002F590A">
            <w:pPr>
              <w:jc w:val="center"/>
              <w:rPr>
                <w:bCs/>
                <w:sz w:val="12"/>
                <w:szCs w:val="12"/>
              </w:rPr>
            </w:pPr>
            <w:r>
              <w:rPr>
                <w:bCs/>
                <w:sz w:val="12"/>
                <w:szCs w:val="12"/>
              </w:rPr>
              <w:t>4</w:t>
            </w:r>
          </w:p>
        </w:tc>
        <w:tc>
          <w:tcPr>
            <w:tcW w:w="303" w:type="pct"/>
            <w:tcBorders>
              <w:top w:val="single" w:sz="4" w:space="0" w:color="auto"/>
              <w:left w:val="single" w:sz="4" w:space="0" w:color="auto"/>
              <w:bottom w:val="single" w:sz="4" w:space="0" w:color="auto"/>
              <w:right w:val="single" w:sz="4" w:space="0" w:color="auto"/>
            </w:tcBorders>
            <w:vAlign w:val="center"/>
            <w:hideMark/>
          </w:tcPr>
          <w:p w14:paraId="277A4C38" w14:textId="77777777" w:rsidR="002F590A" w:rsidRDefault="002F590A">
            <w:pPr>
              <w:jc w:val="center"/>
              <w:rPr>
                <w:bCs/>
                <w:sz w:val="12"/>
                <w:szCs w:val="12"/>
              </w:rPr>
            </w:pPr>
            <w:r>
              <w:rPr>
                <w:bCs/>
                <w:sz w:val="12"/>
                <w:szCs w:val="12"/>
              </w:rPr>
              <w:t>5</w:t>
            </w:r>
          </w:p>
        </w:tc>
        <w:tc>
          <w:tcPr>
            <w:tcW w:w="139" w:type="pct"/>
            <w:tcBorders>
              <w:top w:val="single" w:sz="4" w:space="0" w:color="auto"/>
              <w:left w:val="single" w:sz="4" w:space="0" w:color="auto"/>
              <w:bottom w:val="single" w:sz="4" w:space="0" w:color="auto"/>
              <w:right w:val="single" w:sz="4" w:space="0" w:color="auto"/>
            </w:tcBorders>
            <w:vAlign w:val="center"/>
            <w:hideMark/>
          </w:tcPr>
          <w:p w14:paraId="19CACAD3" w14:textId="77777777" w:rsidR="002F590A" w:rsidRDefault="002F590A">
            <w:pPr>
              <w:jc w:val="center"/>
              <w:rPr>
                <w:bCs/>
                <w:sz w:val="12"/>
                <w:szCs w:val="12"/>
              </w:rPr>
            </w:pPr>
            <w:r>
              <w:rPr>
                <w:bCs/>
                <w:sz w:val="12"/>
                <w:szCs w:val="12"/>
              </w:rPr>
              <w:t>6</w:t>
            </w:r>
          </w:p>
        </w:tc>
        <w:tc>
          <w:tcPr>
            <w:tcW w:w="300" w:type="pct"/>
            <w:tcBorders>
              <w:top w:val="single" w:sz="4" w:space="0" w:color="auto"/>
              <w:left w:val="single" w:sz="4" w:space="0" w:color="auto"/>
              <w:bottom w:val="single" w:sz="4" w:space="0" w:color="auto"/>
              <w:right w:val="single" w:sz="4" w:space="0" w:color="auto"/>
            </w:tcBorders>
            <w:vAlign w:val="center"/>
            <w:hideMark/>
          </w:tcPr>
          <w:p w14:paraId="13D3C943" w14:textId="77777777" w:rsidR="002F590A" w:rsidRDefault="002F590A">
            <w:pPr>
              <w:jc w:val="center"/>
              <w:rPr>
                <w:bCs/>
                <w:sz w:val="12"/>
                <w:szCs w:val="12"/>
              </w:rPr>
            </w:pPr>
            <w:r>
              <w:rPr>
                <w:bCs/>
                <w:sz w:val="12"/>
                <w:szCs w:val="12"/>
              </w:rPr>
              <w:t>7</w:t>
            </w:r>
          </w:p>
        </w:tc>
        <w:tc>
          <w:tcPr>
            <w:tcW w:w="351" w:type="pct"/>
            <w:tcBorders>
              <w:top w:val="single" w:sz="4" w:space="0" w:color="auto"/>
              <w:left w:val="single" w:sz="4" w:space="0" w:color="auto"/>
              <w:bottom w:val="single" w:sz="4" w:space="0" w:color="auto"/>
              <w:right w:val="single" w:sz="4" w:space="0" w:color="auto"/>
            </w:tcBorders>
            <w:vAlign w:val="center"/>
            <w:hideMark/>
          </w:tcPr>
          <w:p w14:paraId="3EDCC331" w14:textId="77777777" w:rsidR="002F590A" w:rsidRDefault="002F590A">
            <w:pPr>
              <w:jc w:val="center"/>
              <w:rPr>
                <w:bCs/>
                <w:sz w:val="12"/>
                <w:szCs w:val="12"/>
              </w:rPr>
            </w:pPr>
            <w:r>
              <w:rPr>
                <w:bCs/>
                <w:sz w:val="12"/>
                <w:szCs w:val="12"/>
              </w:rPr>
              <w:t>8</w:t>
            </w:r>
          </w:p>
        </w:tc>
        <w:tc>
          <w:tcPr>
            <w:tcW w:w="139" w:type="pct"/>
            <w:tcBorders>
              <w:top w:val="single" w:sz="4" w:space="0" w:color="auto"/>
              <w:left w:val="single" w:sz="4" w:space="0" w:color="auto"/>
              <w:bottom w:val="single" w:sz="4" w:space="0" w:color="auto"/>
              <w:right w:val="single" w:sz="4" w:space="0" w:color="auto"/>
            </w:tcBorders>
            <w:vAlign w:val="center"/>
            <w:hideMark/>
          </w:tcPr>
          <w:p w14:paraId="3638FCF4" w14:textId="77777777" w:rsidR="002F590A" w:rsidRDefault="002F590A">
            <w:pPr>
              <w:jc w:val="center"/>
              <w:rPr>
                <w:bCs/>
                <w:sz w:val="12"/>
                <w:szCs w:val="12"/>
              </w:rPr>
            </w:pPr>
            <w:r>
              <w:rPr>
                <w:bCs/>
                <w:sz w:val="12"/>
                <w:szCs w:val="12"/>
              </w:rPr>
              <w:t>9</w:t>
            </w:r>
          </w:p>
        </w:tc>
        <w:tc>
          <w:tcPr>
            <w:tcW w:w="167" w:type="pct"/>
            <w:tcBorders>
              <w:top w:val="single" w:sz="4" w:space="0" w:color="auto"/>
              <w:left w:val="single" w:sz="4" w:space="0" w:color="auto"/>
              <w:bottom w:val="single" w:sz="4" w:space="0" w:color="auto"/>
              <w:right w:val="single" w:sz="4" w:space="0" w:color="auto"/>
            </w:tcBorders>
            <w:vAlign w:val="center"/>
            <w:hideMark/>
          </w:tcPr>
          <w:p w14:paraId="434CE16D" w14:textId="77777777" w:rsidR="002F590A" w:rsidRDefault="002F590A">
            <w:pPr>
              <w:jc w:val="center"/>
              <w:rPr>
                <w:bCs/>
                <w:sz w:val="12"/>
                <w:szCs w:val="12"/>
              </w:rPr>
            </w:pPr>
            <w:r>
              <w:rPr>
                <w:bCs/>
                <w:sz w:val="12"/>
                <w:szCs w:val="12"/>
              </w:rPr>
              <w:t>10</w:t>
            </w:r>
          </w:p>
        </w:tc>
        <w:tc>
          <w:tcPr>
            <w:tcW w:w="216" w:type="pct"/>
            <w:tcBorders>
              <w:top w:val="single" w:sz="4" w:space="0" w:color="auto"/>
              <w:left w:val="single" w:sz="4" w:space="0" w:color="auto"/>
              <w:bottom w:val="single" w:sz="4" w:space="0" w:color="auto"/>
              <w:right w:val="single" w:sz="4" w:space="0" w:color="auto"/>
            </w:tcBorders>
            <w:vAlign w:val="center"/>
            <w:hideMark/>
          </w:tcPr>
          <w:p w14:paraId="7770E2B1" w14:textId="77777777" w:rsidR="002F590A" w:rsidRDefault="002F590A">
            <w:pPr>
              <w:jc w:val="center"/>
              <w:rPr>
                <w:bCs/>
                <w:sz w:val="12"/>
                <w:szCs w:val="12"/>
              </w:rPr>
            </w:pPr>
            <w:r>
              <w:rPr>
                <w:bCs/>
                <w:sz w:val="12"/>
                <w:szCs w:val="12"/>
              </w:rPr>
              <w:t>11</w:t>
            </w:r>
          </w:p>
        </w:tc>
        <w:tc>
          <w:tcPr>
            <w:tcW w:w="174" w:type="pct"/>
            <w:tcBorders>
              <w:top w:val="single" w:sz="4" w:space="0" w:color="auto"/>
              <w:left w:val="single" w:sz="4" w:space="0" w:color="auto"/>
              <w:bottom w:val="single" w:sz="4" w:space="0" w:color="auto"/>
              <w:right w:val="single" w:sz="4" w:space="0" w:color="auto"/>
            </w:tcBorders>
            <w:vAlign w:val="center"/>
            <w:hideMark/>
          </w:tcPr>
          <w:p w14:paraId="40B5A72C" w14:textId="77777777" w:rsidR="002F590A" w:rsidRDefault="002F590A">
            <w:pPr>
              <w:jc w:val="center"/>
              <w:rPr>
                <w:bCs/>
                <w:sz w:val="12"/>
                <w:szCs w:val="12"/>
              </w:rPr>
            </w:pPr>
            <w:r>
              <w:rPr>
                <w:bCs/>
                <w:sz w:val="12"/>
                <w:szCs w:val="12"/>
              </w:rPr>
              <w:t>12</w:t>
            </w:r>
          </w:p>
        </w:tc>
        <w:tc>
          <w:tcPr>
            <w:tcW w:w="174" w:type="pct"/>
            <w:tcBorders>
              <w:top w:val="single" w:sz="4" w:space="0" w:color="auto"/>
              <w:left w:val="single" w:sz="4" w:space="0" w:color="auto"/>
              <w:bottom w:val="single" w:sz="4" w:space="0" w:color="auto"/>
              <w:right w:val="single" w:sz="4" w:space="0" w:color="auto"/>
            </w:tcBorders>
            <w:vAlign w:val="center"/>
            <w:hideMark/>
          </w:tcPr>
          <w:p w14:paraId="13DB1B07" w14:textId="77777777" w:rsidR="002F590A" w:rsidRDefault="002F590A">
            <w:pPr>
              <w:jc w:val="center"/>
              <w:rPr>
                <w:bCs/>
                <w:sz w:val="12"/>
                <w:szCs w:val="12"/>
              </w:rPr>
            </w:pPr>
            <w:r>
              <w:rPr>
                <w:bCs/>
                <w:sz w:val="12"/>
                <w:szCs w:val="12"/>
              </w:rPr>
              <w:t>13</w:t>
            </w:r>
          </w:p>
        </w:tc>
        <w:tc>
          <w:tcPr>
            <w:tcW w:w="172" w:type="pct"/>
            <w:tcBorders>
              <w:top w:val="single" w:sz="4" w:space="0" w:color="auto"/>
              <w:left w:val="single" w:sz="4" w:space="0" w:color="auto"/>
              <w:bottom w:val="single" w:sz="4" w:space="0" w:color="auto"/>
              <w:right w:val="single" w:sz="4" w:space="0" w:color="auto"/>
            </w:tcBorders>
            <w:vAlign w:val="center"/>
            <w:hideMark/>
          </w:tcPr>
          <w:p w14:paraId="57A89F6D" w14:textId="77777777" w:rsidR="002F590A" w:rsidRDefault="002F590A">
            <w:pPr>
              <w:jc w:val="center"/>
              <w:rPr>
                <w:bCs/>
                <w:sz w:val="12"/>
                <w:szCs w:val="12"/>
              </w:rPr>
            </w:pPr>
            <w:r>
              <w:rPr>
                <w:bCs/>
                <w:sz w:val="12"/>
                <w:szCs w:val="12"/>
              </w:rPr>
              <w:t>14</w:t>
            </w:r>
          </w:p>
        </w:tc>
        <w:tc>
          <w:tcPr>
            <w:tcW w:w="174" w:type="pct"/>
            <w:tcBorders>
              <w:top w:val="single" w:sz="4" w:space="0" w:color="auto"/>
              <w:left w:val="single" w:sz="4" w:space="0" w:color="auto"/>
              <w:bottom w:val="single" w:sz="4" w:space="0" w:color="auto"/>
              <w:right w:val="single" w:sz="4" w:space="0" w:color="auto"/>
            </w:tcBorders>
            <w:vAlign w:val="center"/>
            <w:hideMark/>
          </w:tcPr>
          <w:p w14:paraId="7AF9082A" w14:textId="77777777" w:rsidR="002F590A" w:rsidRDefault="002F590A">
            <w:pPr>
              <w:jc w:val="center"/>
              <w:rPr>
                <w:bCs/>
                <w:sz w:val="12"/>
                <w:szCs w:val="12"/>
              </w:rPr>
            </w:pPr>
            <w:r>
              <w:rPr>
                <w:bCs/>
                <w:sz w:val="12"/>
                <w:szCs w:val="12"/>
              </w:rPr>
              <w:t>15</w:t>
            </w:r>
          </w:p>
        </w:tc>
        <w:tc>
          <w:tcPr>
            <w:tcW w:w="216" w:type="pct"/>
            <w:tcBorders>
              <w:top w:val="single" w:sz="4" w:space="0" w:color="auto"/>
              <w:left w:val="single" w:sz="4" w:space="0" w:color="auto"/>
              <w:bottom w:val="single" w:sz="4" w:space="0" w:color="auto"/>
              <w:right w:val="single" w:sz="4" w:space="0" w:color="auto"/>
            </w:tcBorders>
            <w:vAlign w:val="center"/>
            <w:hideMark/>
          </w:tcPr>
          <w:p w14:paraId="3EBB1EDB" w14:textId="77777777" w:rsidR="002F590A" w:rsidRDefault="002F590A">
            <w:pPr>
              <w:jc w:val="center"/>
              <w:rPr>
                <w:bCs/>
                <w:sz w:val="12"/>
                <w:szCs w:val="12"/>
              </w:rPr>
            </w:pPr>
            <w:r>
              <w:rPr>
                <w:bCs/>
                <w:sz w:val="12"/>
                <w:szCs w:val="12"/>
              </w:rPr>
              <w:t>16</w:t>
            </w:r>
          </w:p>
        </w:tc>
        <w:tc>
          <w:tcPr>
            <w:tcW w:w="174" w:type="pct"/>
            <w:tcBorders>
              <w:top w:val="single" w:sz="4" w:space="0" w:color="auto"/>
              <w:left w:val="single" w:sz="4" w:space="0" w:color="auto"/>
              <w:bottom w:val="single" w:sz="4" w:space="0" w:color="auto"/>
              <w:right w:val="single" w:sz="4" w:space="0" w:color="auto"/>
            </w:tcBorders>
            <w:vAlign w:val="center"/>
            <w:hideMark/>
          </w:tcPr>
          <w:p w14:paraId="2B9B8B1B" w14:textId="77777777" w:rsidR="002F590A" w:rsidRDefault="002F590A">
            <w:pPr>
              <w:jc w:val="center"/>
              <w:rPr>
                <w:bCs/>
                <w:sz w:val="12"/>
                <w:szCs w:val="12"/>
              </w:rPr>
            </w:pPr>
            <w:r>
              <w:rPr>
                <w:bCs/>
                <w:sz w:val="12"/>
                <w:szCs w:val="12"/>
              </w:rPr>
              <w:t>17</w:t>
            </w:r>
          </w:p>
        </w:tc>
        <w:tc>
          <w:tcPr>
            <w:tcW w:w="174" w:type="pct"/>
            <w:tcBorders>
              <w:top w:val="single" w:sz="4" w:space="0" w:color="auto"/>
              <w:left w:val="single" w:sz="4" w:space="0" w:color="auto"/>
              <w:bottom w:val="single" w:sz="4" w:space="0" w:color="auto"/>
              <w:right w:val="single" w:sz="4" w:space="0" w:color="auto"/>
            </w:tcBorders>
            <w:vAlign w:val="center"/>
            <w:hideMark/>
          </w:tcPr>
          <w:p w14:paraId="09345298" w14:textId="77777777" w:rsidR="002F590A" w:rsidRDefault="002F590A">
            <w:pPr>
              <w:jc w:val="center"/>
              <w:rPr>
                <w:bCs/>
                <w:sz w:val="12"/>
                <w:szCs w:val="12"/>
              </w:rPr>
            </w:pPr>
            <w:r>
              <w:rPr>
                <w:bCs/>
                <w:sz w:val="12"/>
                <w:szCs w:val="12"/>
              </w:rPr>
              <w:t>18</w:t>
            </w:r>
          </w:p>
        </w:tc>
        <w:tc>
          <w:tcPr>
            <w:tcW w:w="218" w:type="pct"/>
            <w:tcBorders>
              <w:top w:val="single" w:sz="4" w:space="0" w:color="auto"/>
              <w:left w:val="single" w:sz="4" w:space="0" w:color="auto"/>
              <w:bottom w:val="single" w:sz="4" w:space="0" w:color="auto"/>
              <w:right w:val="single" w:sz="4" w:space="0" w:color="auto"/>
            </w:tcBorders>
            <w:vAlign w:val="center"/>
            <w:hideMark/>
          </w:tcPr>
          <w:p w14:paraId="37514525" w14:textId="77777777" w:rsidR="002F590A" w:rsidRDefault="002F590A">
            <w:pPr>
              <w:jc w:val="center"/>
              <w:rPr>
                <w:bCs/>
                <w:sz w:val="12"/>
                <w:szCs w:val="12"/>
              </w:rPr>
            </w:pPr>
            <w:r>
              <w:rPr>
                <w:bCs/>
                <w:sz w:val="12"/>
                <w:szCs w:val="12"/>
              </w:rPr>
              <w:t>19</w:t>
            </w:r>
          </w:p>
        </w:tc>
        <w:tc>
          <w:tcPr>
            <w:tcW w:w="174" w:type="pct"/>
            <w:tcBorders>
              <w:top w:val="single" w:sz="4" w:space="0" w:color="auto"/>
              <w:left w:val="single" w:sz="4" w:space="0" w:color="auto"/>
              <w:bottom w:val="single" w:sz="4" w:space="0" w:color="auto"/>
              <w:right w:val="single" w:sz="4" w:space="0" w:color="auto"/>
            </w:tcBorders>
            <w:vAlign w:val="center"/>
            <w:hideMark/>
          </w:tcPr>
          <w:p w14:paraId="43D6718F" w14:textId="77777777" w:rsidR="002F590A" w:rsidRDefault="002F590A">
            <w:pPr>
              <w:jc w:val="center"/>
              <w:rPr>
                <w:bCs/>
                <w:sz w:val="12"/>
                <w:szCs w:val="12"/>
              </w:rPr>
            </w:pPr>
            <w:r>
              <w:rPr>
                <w:bCs/>
                <w:sz w:val="12"/>
                <w:szCs w:val="12"/>
              </w:rPr>
              <w:t>20</w:t>
            </w:r>
          </w:p>
        </w:tc>
        <w:tc>
          <w:tcPr>
            <w:tcW w:w="174" w:type="pct"/>
            <w:tcBorders>
              <w:top w:val="single" w:sz="4" w:space="0" w:color="auto"/>
              <w:left w:val="single" w:sz="4" w:space="0" w:color="auto"/>
              <w:bottom w:val="single" w:sz="4" w:space="0" w:color="auto"/>
              <w:right w:val="single" w:sz="4" w:space="0" w:color="auto"/>
            </w:tcBorders>
            <w:vAlign w:val="center"/>
            <w:hideMark/>
          </w:tcPr>
          <w:p w14:paraId="14CF61FB" w14:textId="77777777" w:rsidR="002F590A" w:rsidRDefault="002F590A">
            <w:pPr>
              <w:jc w:val="center"/>
              <w:rPr>
                <w:bCs/>
                <w:sz w:val="12"/>
                <w:szCs w:val="12"/>
              </w:rPr>
            </w:pPr>
            <w:r>
              <w:rPr>
                <w:bCs/>
                <w:sz w:val="12"/>
                <w:szCs w:val="12"/>
              </w:rPr>
              <w:t>21</w:t>
            </w:r>
          </w:p>
        </w:tc>
        <w:tc>
          <w:tcPr>
            <w:tcW w:w="175" w:type="pct"/>
            <w:tcBorders>
              <w:top w:val="single" w:sz="4" w:space="0" w:color="auto"/>
              <w:left w:val="single" w:sz="4" w:space="0" w:color="auto"/>
              <w:bottom w:val="single" w:sz="4" w:space="0" w:color="auto"/>
              <w:right w:val="single" w:sz="4" w:space="0" w:color="auto"/>
            </w:tcBorders>
            <w:vAlign w:val="center"/>
            <w:hideMark/>
          </w:tcPr>
          <w:p w14:paraId="72EE844A" w14:textId="77777777" w:rsidR="002F590A" w:rsidRDefault="002F590A">
            <w:pPr>
              <w:jc w:val="center"/>
              <w:rPr>
                <w:bCs/>
                <w:sz w:val="12"/>
                <w:szCs w:val="12"/>
              </w:rPr>
            </w:pPr>
            <w:r>
              <w:rPr>
                <w:bCs/>
                <w:sz w:val="12"/>
                <w:szCs w:val="12"/>
              </w:rPr>
              <w:t>22</w:t>
            </w:r>
          </w:p>
        </w:tc>
        <w:tc>
          <w:tcPr>
            <w:tcW w:w="173" w:type="pct"/>
            <w:tcBorders>
              <w:top w:val="single" w:sz="4" w:space="0" w:color="auto"/>
              <w:left w:val="single" w:sz="4" w:space="0" w:color="auto"/>
              <w:bottom w:val="single" w:sz="4" w:space="0" w:color="auto"/>
              <w:right w:val="single" w:sz="4" w:space="0" w:color="auto"/>
            </w:tcBorders>
            <w:vAlign w:val="center"/>
            <w:hideMark/>
          </w:tcPr>
          <w:p w14:paraId="43560E3B" w14:textId="77777777" w:rsidR="002F590A" w:rsidRDefault="002F590A">
            <w:pPr>
              <w:jc w:val="center"/>
              <w:rPr>
                <w:bCs/>
                <w:sz w:val="12"/>
                <w:szCs w:val="12"/>
              </w:rPr>
            </w:pPr>
            <w:r>
              <w:rPr>
                <w:bCs/>
                <w:sz w:val="12"/>
                <w:szCs w:val="12"/>
              </w:rPr>
              <w:t>23</w:t>
            </w:r>
          </w:p>
        </w:tc>
        <w:tc>
          <w:tcPr>
            <w:tcW w:w="172" w:type="pct"/>
            <w:tcBorders>
              <w:top w:val="single" w:sz="4" w:space="0" w:color="auto"/>
              <w:left w:val="single" w:sz="4" w:space="0" w:color="auto"/>
              <w:bottom w:val="single" w:sz="4" w:space="0" w:color="auto"/>
              <w:right w:val="single" w:sz="4" w:space="0" w:color="auto"/>
            </w:tcBorders>
            <w:vAlign w:val="center"/>
            <w:hideMark/>
          </w:tcPr>
          <w:p w14:paraId="576CD74E" w14:textId="77777777" w:rsidR="002F590A" w:rsidRDefault="002F590A">
            <w:pPr>
              <w:jc w:val="center"/>
              <w:rPr>
                <w:bCs/>
                <w:sz w:val="12"/>
                <w:szCs w:val="12"/>
              </w:rPr>
            </w:pPr>
            <w:r>
              <w:rPr>
                <w:bCs/>
                <w:sz w:val="12"/>
                <w:szCs w:val="12"/>
              </w:rPr>
              <w:t>24</w:t>
            </w:r>
          </w:p>
        </w:tc>
      </w:tr>
      <w:tr w:rsidR="002F590A" w14:paraId="200E1AD1" w14:textId="77777777" w:rsidTr="002F590A">
        <w:trPr>
          <w:trHeight w:val="897"/>
        </w:trPr>
        <w:tc>
          <w:tcPr>
            <w:tcW w:w="173" w:type="pct"/>
            <w:tcBorders>
              <w:top w:val="single" w:sz="4" w:space="0" w:color="auto"/>
              <w:left w:val="single" w:sz="4" w:space="0" w:color="auto"/>
              <w:bottom w:val="single" w:sz="4" w:space="0" w:color="auto"/>
              <w:right w:val="single" w:sz="4" w:space="0" w:color="auto"/>
            </w:tcBorders>
            <w:vAlign w:val="center"/>
            <w:hideMark/>
          </w:tcPr>
          <w:p w14:paraId="03723571" w14:textId="77777777" w:rsidR="002F590A" w:rsidRDefault="002F590A">
            <w:pPr>
              <w:jc w:val="center"/>
              <w:rPr>
                <w:sz w:val="12"/>
                <w:szCs w:val="12"/>
              </w:rPr>
            </w:pPr>
            <w:r>
              <w:rPr>
                <w:sz w:val="12"/>
                <w:szCs w:val="12"/>
              </w:rPr>
              <w:t>3.2.12.2</w:t>
            </w:r>
          </w:p>
        </w:tc>
        <w:tc>
          <w:tcPr>
            <w:tcW w:w="280" w:type="pct"/>
            <w:tcBorders>
              <w:top w:val="single" w:sz="4" w:space="0" w:color="auto"/>
              <w:left w:val="single" w:sz="4" w:space="0" w:color="auto"/>
              <w:bottom w:val="single" w:sz="4" w:space="0" w:color="auto"/>
              <w:right w:val="single" w:sz="4" w:space="0" w:color="auto"/>
            </w:tcBorders>
            <w:vAlign w:val="center"/>
            <w:hideMark/>
          </w:tcPr>
          <w:p w14:paraId="4F78DB5C" w14:textId="77777777" w:rsidR="002F590A" w:rsidRDefault="002F590A">
            <w:pPr>
              <w:rPr>
                <w:color w:val="000000"/>
                <w:sz w:val="12"/>
                <w:szCs w:val="12"/>
              </w:rPr>
            </w:pPr>
            <w:r>
              <w:rPr>
                <w:color w:val="000000"/>
                <w:sz w:val="12"/>
                <w:szCs w:val="12"/>
              </w:rPr>
              <w:t xml:space="preserve">Реконструкция с установкой </w:t>
            </w:r>
            <w:proofErr w:type="gramStart"/>
            <w:r>
              <w:rPr>
                <w:color w:val="000000"/>
                <w:sz w:val="12"/>
                <w:szCs w:val="12"/>
              </w:rPr>
              <w:t>автоматичес-кой</w:t>
            </w:r>
            <w:proofErr w:type="gramEnd"/>
            <w:r>
              <w:rPr>
                <w:color w:val="000000"/>
                <w:sz w:val="12"/>
                <w:szCs w:val="12"/>
              </w:rPr>
              <w:t xml:space="preserve"> химводоподго-товки</w:t>
            </w:r>
          </w:p>
        </w:tc>
        <w:tc>
          <w:tcPr>
            <w:tcW w:w="313" w:type="pct"/>
            <w:tcBorders>
              <w:top w:val="single" w:sz="4" w:space="0" w:color="auto"/>
              <w:left w:val="single" w:sz="4" w:space="0" w:color="auto"/>
              <w:bottom w:val="single" w:sz="4" w:space="0" w:color="auto"/>
              <w:right w:val="single" w:sz="4" w:space="0" w:color="auto"/>
            </w:tcBorders>
            <w:vAlign w:val="center"/>
            <w:hideMark/>
          </w:tcPr>
          <w:p w14:paraId="6A8431CF" w14:textId="77777777" w:rsidR="002F590A" w:rsidRDefault="002F590A">
            <w:pPr>
              <w:jc w:val="center"/>
              <w:rPr>
                <w:sz w:val="12"/>
                <w:szCs w:val="12"/>
              </w:rPr>
            </w:pPr>
            <w:r>
              <w:rPr>
                <w:sz w:val="12"/>
                <w:szCs w:val="12"/>
              </w:rPr>
              <w:t>Повышение надежности (бесперебойности) услуг теплоснабжения, повышение энергетической эффективности</w:t>
            </w:r>
          </w:p>
        </w:tc>
        <w:tc>
          <w:tcPr>
            <w:tcW w:w="275" w:type="pct"/>
            <w:tcBorders>
              <w:top w:val="single" w:sz="4" w:space="0" w:color="auto"/>
              <w:left w:val="single" w:sz="4" w:space="0" w:color="auto"/>
              <w:bottom w:val="single" w:sz="4" w:space="0" w:color="auto"/>
              <w:right w:val="single" w:sz="4" w:space="0" w:color="auto"/>
            </w:tcBorders>
            <w:vAlign w:val="center"/>
            <w:hideMark/>
          </w:tcPr>
          <w:p w14:paraId="6C77C6C9" w14:textId="77777777" w:rsidR="002F590A" w:rsidRDefault="002F590A">
            <w:pPr>
              <w:jc w:val="center"/>
              <w:rPr>
                <w:sz w:val="12"/>
                <w:szCs w:val="12"/>
              </w:rPr>
            </w:pPr>
            <w:r>
              <w:rPr>
                <w:sz w:val="12"/>
                <w:szCs w:val="12"/>
              </w:rPr>
              <w:t> </w:t>
            </w:r>
          </w:p>
        </w:tc>
        <w:tc>
          <w:tcPr>
            <w:tcW w:w="303" w:type="pct"/>
            <w:tcBorders>
              <w:top w:val="single" w:sz="4" w:space="0" w:color="auto"/>
              <w:left w:val="single" w:sz="4" w:space="0" w:color="auto"/>
              <w:bottom w:val="single" w:sz="4" w:space="0" w:color="auto"/>
              <w:right w:val="single" w:sz="4" w:space="0" w:color="auto"/>
            </w:tcBorders>
            <w:vAlign w:val="center"/>
            <w:hideMark/>
          </w:tcPr>
          <w:p w14:paraId="4A11FF23" w14:textId="77777777" w:rsidR="002F590A" w:rsidRDefault="002F590A">
            <w:pPr>
              <w:jc w:val="center"/>
              <w:rPr>
                <w:sz w:val="12"/>
                <w:szCs w:val="12"/>
              </w:rPr>
            </w:pPr>
            <w:r>
              <w:rPr>
                <w:color w:val="000000"/>
                <w:sz w:val="12"/>
                <w:szCs w:val="12"/>
              </w:rPr>
              <w:t>Технические характеристики</w:t>
            </w:r>
          </w:p>
        </w:tc>
        <w:tc>
          <w:tcPr>
            <w:tcW w:w="139" w:type="pct"/>
            <w:tcBorders>
              <w:top w:val="single" w:sz="4" w:space="0" w:color="auto"/>
              <w:left w:val="single" w:sz="4" w:space="0" w:color="auto"/>
              <w:bottom w:val="single" w:sz="4" w:space="0" w:color="auto"/>
              <w:right w:val="single" w:sz="4" w:space="0" w:color="auto"/>
            </w:tcBorders>
            <w:vAlign w:val="center"/>
          </w:tcPr>
          <w:p w14:paraId="2F75ADC5" w14:textId="77777777" w:rsidR="002F590A" w:rsidRDefault="002F590A">
            <w:pPr>
              <w:jc w:val="center"/>
              <w:rPr>
                <w:sz w:val="12"/>
                <w:szCs w:val="12"/>
              </w:rPr>
            </w:pPr>
          </w:p>
        </w:tc>
        <w:tc>
          <w:tcPr>
            <w:tcW w:w="300" w:type="pct"/>
            <w:tcBorders>
              <w:top w:val="single" w:sz="4" w:space="0" w:color="auto"/>
              <w:left w:val="single" w:sz="4" w:space="0" w:color="auto"/>
              <w:bottom w:val="single" w:sz="4" w:space="0" w:color="auto"/>
              <w:right w:val="single" w:sz="4" w:space="0" w:color="auto"/>
            </w:tcBorders>
            <w:vAlign w:val="center"/>
            <w:hideMark/>
          </w:tcPr>
          <w:p w14:paraId="5098200E" w14:textId="77777777" w:rsidR="002F590A" w:rsidRDefault="002F590A">
            <w:pPr>
              <w:jc w:val="center"/>
              <w:rPr>
                <w:color w:val="000000"/>
                <w:sz w:val="12"/>
                <w:szCs w:val="12"/>
              </w:rPr>
            </w:pPr>
            <w:r>
              <w:rPr>
                <w:color w:val="000000"/>
                <w:sz w:val="12"/>
                <w:szCs w:val="12"/>
              </w:rPr>
              <w:t xml:space="preserve">Отсутствует система умягчения холодной воды </w:t>
            </w:r>
          </w:p>
        </w:tc>
        <w:tc>
          <w:tcPr>
            <w:tcW w:w="351" w:type="pct"/>
            <w:tcBorders>
              <w:top w:val="single" w:sz="4" w:space="0" w:color="auto"/>
              <w:left w:val="single" w:sz="4" w:space="0" w:color="auto"/>
              <w:bottom w:val="single" w:sz="4" w:space="0" w:color="auto"/>
              <w:right w:val="single" w:sz="4" w:space="0" w:color="auto"/>
            </w:tcBorders>
            <w:vAlign w:val="center"/>
            <w:hideMark/>
          </w:tcPr>
          <w:p w14:paraId="7712897B" w14:textId="77777777" w:rsidR="002F590A" w:rsidRDefault="002F590A">
            <w:pPr>
              <w:jc w:val="center"/>
              <w:rPr>
                <w:color w:val="000000"/>
                <w:sz w:val="12"/>
                <w:szCs w:val="12"/>
              </w:rPr>
            </w:pPr>
            <w:r>
              <w:rPr>
                <w:sz w:val="12"/>
                <w:szCs w:val="12"/>
              </w:rPr>
              <w:t>Оборудование позволит снизить жесткость воды (убрать излишек магния и кальция), исключает образование отложений солей жесткости на внутренних поверхностях труб, котлов и др. теплового оборудования, что увеличит срок службы, снизит расход топлива, исключаются затраты на замену котлов и другого тепломеханического оборудования.</w:t>
            </w:r>
          </w:p>
        </w:tc>
        <w:tc>
          <w:tcPr>
            <w:tcW w:w="139" w:type="pct"/>
            <w:tcBorders>
              <w:top w:val="single" w:sz="4" w:space="0" w:color="auto"/>
              <w:left w:val="single" w:sz="4" w:space="0" w:color="auto"/>
              <w:bottom w:val="single" w:sz="4" w:space="0" w:color="auto"/>
              <w:right w:val="single" w:sz="4" w:space="0" w:color="auto"/>
            </w:tcBorders>
            <w:vAlign w:val="center"/>
            <w:hideMark/>
          </w:tcPr>
          <w:p w14:paraId="1D313011" w14:textId="77777777" w:rsidR="002F590A" w:rsidRDefault="002F590A">
            <w:pPr>
              <w:jc w:val="center"/>
              <w:rPr>
                <w:sz w:val="12"/>
                <w:szCs w:val="12"/>
              </w:rPr>
            </w:pPr>
            <w:r>
              <w:rPr>
                <w:sz w:val="12"/>
                <w:szCs w:val="12"/>
              </w:rPr>
              <w:t>2025</w:t>
            </w:r>
          </w:p>
        </w:tc>
        <w:tc>
          <w:tcPr>
            <w:tcW w:w="167" w:type="pct"/>
            <w:tcBorders>
              <w:top w:val="single" w:sz="4" w:space="0" w:color="auto"/>
              <w:left w:val="single" w:sz="4" w:space="0" w:color="auto"/>
              <w:bottom w:val="single" w:sz="4" w:space="0" w:color="auto"/>
              <w:right w:val="single" w:sz="4" w:space="0" w:color="auto"/>
            </w:tcBorders>
            <w:vAlign w:val="center"/>
            <w:hideMark/>
          </w:tcPr>
          <w:p w14:paraId="030DC3BD" w14:textId="77777777" w:rsidR="002F590A" w:rsidRDefault="002F590A">
            <w:pPr>
              <w:jc w:val="center"/>
              <w:rPr>
                <w:sz w:val="12"/>
                <w:szCs w:val="12"/>
              </w:rPr>
            </w:pPr>
            <w:r>
              <w:rPr>
                <w:sz w:val="12"/>
                <w:szCs w:val="12"/>
              </w:rPr>
              <w:t>2025</w:t>
            </w:r>
          </w:p>
        </w:tc>
        <w:tc>
          <w:tcPr>
            <w:tcW w:w="216" w:type="pct"/>
            <w:tcBorders>
              <w:top w:val="single" w:sz="4" w:space="0" w:color="auto"/>
              <w:left w:val="single" w:sz="4" w:space="0" w:color="auto"/>
              <w:bottom w:val="single" w:sz="4" w:space="0" w:color="auto"/>
              <w:right w:val="single" w:sz="4" w:space="0" w:color="auto"/>
            </w:tcBorders>
            <w:vAlign w:val="center"/>
            <w:hideMark/>
          </w:tcPr>
          <w:p w14:paraId="421AC8AE" w14:textId="77777777" w:rsidR="002F590A" w:rsidRDefault="002F590A">
            <w:pPr>
              <w:jc w:val="center"/>
              <w:rPr>
                <w:color w:val="000000"/>
                <w:sz w:val="12"/>
                <w:szCs w:val="12"/>
              </w:rPr>
            </w:pPr>
            <w:r>
              <w:rPr>
                <w:color w:val="000000"/>
                <w:sz w:val="12"/>
                <w:szCs w:val="12"/>
              </w:rPr>
              <w:t>51,52</w:t>
            </w:r>
          </w:p>
        </w:tc>
        <w:tc>
          <w:tcPr>
            <w:tcW w:w="174" w:type="pct"/>
            <w:tcBorders>
              <w:top w:val="single" w:sz="4" w:space="0" w:color="auto"/>
              <w:left w:val="single" w:sz="4" w:space="0" w:color="auto"/>
              <w:bottom w:val="single" w:sz="4" w:space="0" w:color="auto"/>
              <w:right w:val="single" w:sz="4" w:space="0" w:color="auto"/>
            </w:tcBorders>
            <w:vAlign w:val="center"/>
            <w:hideMark/>
          </w:tcPr>
          <w:p w14:paraId="18919CB3" w14:textId="77777777" w:rsidR="002F590A" w:rsidRDefault="002F590A">
            <w:pPr>
              <w:jc w:val="center"/>
              <w:rPr>
                <w:color w:val="000000"/>
                <w:sz w:val="12"/>
                <w:szCs w:val="12"/>
              </w:rPr>
            </w:pPr>
            <w:r>
              <w:rPr>
                <w:color w:val="000000"/>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25352F35" w14:textId="77777777" w:rsidR="002F590A" w:rsidRDefault="002F590A">
            <w:pPr>
              <w:jc w:val="center"/>
              <w:rPr>
                <w:sz w:val="12"/>
                <w:szCs w:val="12"/>
              </w:rPr>
            </w:pPr>
            <w:r>
              <w:rPr>
                <w:sz w:val="12"/>
                <w:szCs w:val="12"/>
              </w:rPr>
              <w:t>0,00</w:t>
            </w:r>
          </w:p>
        </w:tc>
        <w:tc>
          <w:tcPr>
            <w:tcW w:w="172" w:type="pct"/>
            <w:tcBorders>
              <w:top w:val="single" w:sz="4" w:space="0" w:color="auto"/>
              <w:left w:val="single" w:sz="4" w:space="0" w:color="auto"/>
              <w:bottom w:val="single" w:sz="4" w:space="0" w:color="auto"/>
              <w:right w:val="single" w:sz="4" w:space="0" w:color="auto"/>
            </w:tcBorders>
            <w:vAlign w:val="center"/>
            <w:hideMark/>
          </w:tcPr>
          <w:p w14:paraId="0460D63B"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12073DF9" w14:textId="77777777" w:rsidR="002F590A" w:rsidRDefault="002F590A">
            <w:pPr>
              <w:jc w:val="center"/>
              <w:rPr>
                <w:sz w:val="12"/>
                <w:szCs w:val="12"/>
              </w:rPr>
            </w:pPr>
            <w:r>
              <w:rPr>
                <w:sz w:val="12"/>
                <w:szCs w:val="12"/>
              </w:rPr>
              <w:t>0,00</w:t>
            </w:r>
          </w:p>
        </w:tc>
        <w:tc>
          <w:tcPr>
            <w:tcW w:w="216" w:type="pct"/>
            <w:tcBorders>
              <w:top w:val="single" w:sz="4" w:space="0" w:color="auto"/>
              <w:left w:val="single" w:sz="4" w:space="0" w:color="auto"/>
              <w:bottom w:val="single" w:sz="4" w:space="0" w:color="auto"/>
              <w:right w:val="single" w:sz="4" w:space="0" w:color="auto"/>
            </w:tcBorders>
            <w:vAlign w:val="center"/>
            <w:hideMark/>
          </w:tcPr>
          <w:p w14:paraId="3AE13733" w14:textId="77777777" w:rsidR="002F590A" w:rsidRDefault="002F590A">
            <w:pPr>
              <w:jc w:val="center"/>
              <w:rPr>
                <w:sz w:val="12"/>
                <w:szCs w:val="12"/>
              </w:rPr>
            </w:pPr>
            <w:r>
              <w:rPr>
                <w:sz w:val="12"/>
                <w:szCs w:val="12"/>
              </w:rPr>
              <w:t>51,52</w:t>
            </w:r>
          </w:p>
        </w:tc>
        <w:tc>
          <w:tcPr>
            <w:tcW w:w="174" w:type="pct"/>
            <w:tcBorders>
              <w:top w:val="single" w:sz="4" w:space="0" w:color="auto"/>
              <w:left w:val="single" w:sz="4" w:space="0" w:color="auto"/>
              <w:bottom w:val="single" w:sz="4" w:space="0" w:color="auto"/>
              <w:right w:val="single" w:sz="4" w:space="0" w:color="auto"/>
            </w:tcBorders>
            <w:vAlign w:val="center"/>
            <w:hideMark/>
          </w:tcPr>
          <w:p w14:paraId="6D0F6CC7"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03CCF28D" w14:textId="77777777" w:rsidR="002F590A" w:rsidRDefault="002F590A">
            <w:pPr>
              <w:jc w:val="center"/>
              <w:rPr>
                <w:sz w:val="12"/>
                <w:szCs w:val="12"/>
              </w:rPr>
            </w:pPr>
            <w:r>
              <w:rPr>
                <w:sz w:val="12"/>
                <w:szCs w:val="12"/>
              </w:rPr>
              <w:t>0,00</w:t>
            </w:r>
          </w:p>
        </w:tc>
        <w:tc>
          <w:tcPr>
            <w:tcW w:w="218" w:type="pct"/>
            <w:tcBorders>
              <w:top w:val="single" w:sz="4" w:space="0" w:color="auto"/>
              <w:left w:val="single" w:sz="4" w:space="0" w:color="auto"/>
              <w:bottom w:val="single" w:sz="4" w:space="0" w:color="auto"/>
              <w:right w:val="single" w:sz="4" w:space="0" w:color="auto"/>
            </w:tcBorders>
            <w:vAlign w:val="center"/>
            <w:hideMark/>
          </w:tcPr>
          <w:p w14:paraId="6881C032"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54B7281D"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118AB43C" w14:textId="77777777" w:rsidR="002F590A" w:rsidRDefault="002F590A">
            <w:pPr>
              <w:jc w:val="center"/>
              <w:rPr>
                <w:sz w:val="12"/>
                <w:szCs w:val="12"/>
              </w:rPr>
            </w:pPr>
            <w:r>
              <w:rPr>
                <w:sz w:val="12"/>
                <w:szCs w:val="12"/>
              </w:rPr>
              <w:t>0,00</w:t>
            </w:r>
          </w:p>
        </w:tc>
        <w:tc>
          <w:tcPr>
            <w:tcW w:w="175" w:type="pct"/>
            <w:tcBorders>
              <w:top w:val="single" w:sz="4" w:space="0" w:color="auto"/>
              <w:left w:val="single" w:sz="4" w:space="0" w:color="auto"/>
              <w:bottom w:val="single" w:sz="4" w:space="0" w:color="auto"/>
              <w:right w:val="single" w:sz="4" w:space="0" w:color="auto"/>
            </w:tcBorders>
            <w:vAlign w:val="center"/>
            <w:hideMark/>
          </w:tcPr>
          <w:p w14:paraId="11311128"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226BD737" w14:textId="77777777" w:rsidR="002F590A" w:rsidRDefault="002F590A">
            <w:pPr>
              <w:jc w:val="center"/>
              <w:rPr>
                <w:color w:val="000000"/>
                <w:sz w:val="12"/>
                <w:szCs w:val="12"/>
              </w:rPr>
            </w:pPr>
            <w:r>
              <w:rPr>
                <w:color w:val="000000"/>
                <w:sz w:val="12"/>
                <w:szCs w:val="12"/>
              </w:rPr>
              <w:t>0,00</w:t>
            </w:r>
          </w:p>
        </w:tc>
        <w:tc>
          <w:tcPr>
            <w:tcW w:w="172" w:type="pct"/>
            <w:tcBorders>
              <w:top w:val="single" w:sz="4" w:space="0" w:color="auto"/>
              <w:left w:val="single" w:sz="4" w:space="0" w:color="auto"/>
              <w:bottom w:val="single" w:sz="4" w:space="0" w:color="auto"/>
              <w:right w:val="single" w:sz="4" w:space="0" w:color="auto"/>
            </w:tcBorders>
            <w:vAlign w:val="center"/>
            <w:hideMark/>
          </w:tcPr>
          <w:p w14:paraId="1E2C2EDA" w14:textId="77777777" w:rsidR="002F590A" w:rsidRDefault="002F590A">
            <w:pPr>
              <w:jc w:val="center"/>
              <w:rPr>
                <w:color w:val="000000"/>
                <w:sz w:val="12"/>
                <w:szCs w:val="12"/>
              </w:rPr>
            </w:pPr>
            <w:r>
              <w:rPr>
                <w:color w:val="000000"/>
                <w:sz w:val="12"/>
                <w:szCs w:val="12"/>
              </w:rPr>
              <w:t>0,00</w:t>
            </w:r>
          </w:p>
        </w:tc>
      </w:tr>
      <w:tr w:rsidR="002F590A" w14:paraId="7B24A21B" w14:textId="77777777" w:rsidTr="002F590A">
        <w:trPr>
          <w:trHeight w:val="1055"/>
        </w:trPr>
        <w:tc>
          <w:tcPr>
            <w:tcW w:w="173" w:type="pct"/>
            <w:tcBorders>
              <w:top w:val="single" w:sz="4" w:space="0" w:color="auto"/>
              <w:left w:val="single" w:sz="4" w:space="0" w:color="auto"/>
              <w:bottom w:val="single" w:sz="4" w:space="0" w:color="auto"/>
              <w:right w:val="single" w:sz="4" w:space="0" w:color="auto"/>
            </w:tcBorders>
            <w:vAlign w:val="center"/>
            <w:hideMark/>
          </w:tcPr>
          <w:p w14:paraId="5827918D" w14:textId="77777777" w:rsidR="002F590A" w:rsidRDefault="002F590A">
            <w:pPr>
              <w:jc w:val="center"/>
              <w:rPr>
                <w:bCs/>
                <w:sz w:val="12"/>
                <w:szCs w:val="12"/>
              </w:rPr>
            </w:pPr>
            <w:r>
              <w:rPr>
                <w:bCs/>
                <w:sz w:val="12"/>
                <w:szCs w:val="12"/>
              </w:rPr>
              <w:t>3.2.13.</w:t>
            </w:r>
          </w:p>
        </w:tc>
        <w:tc>
          <w:tcPr>
            <w:tcW w:w="280" w:type="pct"/>
            <w:tcBorders>
              <w:top w:val="single" w:sz="4" w:space="0" w:color="auto"/>
              <w:left w:val="single" w:sz="4" w:space="0" w:color="auto"/>
              <w:bottom w:val="single" w:sz="4" w:space="0" w:color="auto"/>
              <w:right w:val="single" w:sz="4" w:space="0" w:color="auto"/>
            </w:tcBorders>
            <w:vAlign w:val="center"/>
            <w:hideMark/>
          </w:tcPr>
          <w:p w14:paraId="0107AEF6" w14:textId="77777777" w:rsidR="002F590A" w:rsidRDefault="002F590A">
            <w:pPr>
              <w:rPr>
                <w:bCs/>
                <w:color w:val="000000"/>
                <w:sz w:val="12"/>
                <w:szCs w:val="12"/>
              </w:rPr>
            </w:pPr>
            <w:r>
              <w:rPr>
                <w:bCs/>
                <w:color w:val="000000"/>
                <w:sz w:val="12"/>
                <w:szCs w:val="12"/>
              </w:rPr>
              <w:t>Реконструкция котельной №65</w:t>
            </w:r>
          </w:p>
        </w:tc>
        <w:tc>
          <w:tcPr>
            <w:tcW w:w="313" w:type="pct"/>
            <w:tcBorders>
              <w:top w:val="single" w:sz="4" w:space="0" w:color="auto"/>
              <w:left w:val="single" w:sz="4" w:space="0" w:color="auto"/>
              <w:bottom w:val="single" w:sz="4" w:space="0" w:color="auto"/>
              <w:right w:val="single" w:sz="4" w:space="0" w:color="auto"/>
            </w:tcBorders>
            <w:vAlign w:val="center"/>
          </w:tcPr>
          <w:p w14:paraId="1ECFB397" w14:textId="77777777" w:rsidR="002F590A" w:rsidRDefault="002F590A">
            <w:pPr>
              <w:jc w:val="center"/>
              <w:rPr>
                <w:sz w:val="12"/>
                <w:szCs w:val="12"/>
              </w:rPr>
            </w:pPr>
          </w:p>
        </w:tc>
        <w:tc>
          <w:tcPr>
            <w:tcW w:w="275" w:type="pct"/>
            <w:tcBorders>
              <w:top w:val="single" w:sz="4" w:space="0" w:color="auto"/>
              <w:left w:val="single" w:sz="4" w:space="0" w:color="auto"/>
              <w:bottom w:val="single" w:sz="4" w:space="0" w:color="auto"/>
              <w:right w:val="single" w:sz="4" w:space="0" w:color="auto"/>
            </w:tcBorders>
            <w:vAlign w:val="center"/>
            <w:hideMark/>
          </w:tcPr>
          <w:p w14:paraId="21295F61" w14:textId="77777777" w:rsidR="002F590A" w:rsidRDefault="002F590A">
            <w:pPr>
              <w:jc w:val="center"/>
              <w:rPr>
                <w:bCs/>
                <w:sz w:val="12"/>
                <w:szCs w:val="12"/>
              </w:rPr>
            </w:pPr>
            <w:r>
              <w:rPr>
                <w:bCs/>
                <w:sz w:val="12"/>
                <w:szCs w:val="12"/>
              </w:rPr>
              <w:t xml:space="preserve">Кемеровский городской округ, </w:t>
            </w:r>
            <w:proofErr w:type="gramStart"/>
            <w:r>
              <w:rPr>
                <w:bCs/>
                <w:sz w:val="12"/>
                <w:szCs w:val="12"/>
              </w:rPr>
              <w:t>ж .</w:t>
            </w:r>
            <w:proofErr w:type="gramEnd"/>
            <w:r>
              <w:rPr>
                <w:bCs/>
                <w:sz w:val="12"/>
                <w:szCs w:val="12"/>
              </w:rPr>
              <w:t xml:space="preserve">р. Кедровский, ул. Греческая Деревня, </w:t>
            </w:r>
            <w:r>
              <w:rPr>
                <w:bCs/>
                <w:sz w:val="12"/>
                <w:szCs w:val="12"/>
              </w:rPr>
              <w:br/>
              <w:t xml:space="preserve">д 157б </w:t>
            </w:r>
          </w:p>
        </w:tc>
        <w:tc>
          <w:tcPr>
            <w:tcW w:w="303" w:type="pct"/>
            <w:tcBorders>
              <w:top w:val="single" w:sz="4" w:space="0" w:color="auto"/>
              <w:left w:val="single" w:sz="4" w:space="0" w:color="auto"/>
              <w:bottom w:val="single" w:sz="4" w:space="0" w:color="auto"/>
              <w:right w:val="single" w:sz="4" w:space="0" w:color="auto"/>
            </w:tcBorders>
            <w:vAlign w:val="center"/>
            <w:hideMark/>
          </w:tcPr>
          <w:p w14:paraId="4B3CE211" w14:textId="77777777" w:rsidR="002F590A" w:rsidRDefault="002F590A">
            <w:pPr>
              <w:jc w:val="center"/>
              <w:rPr>
                <w:sz w:val="12"/>
                <w:szCs w:val="12"/>
              </w:rPr>
            </w:pPr>
            <w:r>
              <w:rPr>
                <w:color w:val="000000"/>
                <w:sz w:val="12"/>
                <w:szCs w:val="12"/>
              </w:rPr>
              <w:t>Технические характеристики</w:t>
            </w:r>
          </w:p>
        </w:tc>
        <w:tc>
          <w:tcPr>
            <w:tcW w:w="139" w:type="pct"/>
            <w:tcBorders>
              <w:top w:val="single" w:sz="4" w:space="0" w:color="auto"/>
              <w:left w:val="single" w:sz="4" w:space="0" w:color="auto"/>
              <w:bottom w:val="single" w:sz="4" w:space="0" w:color="auto"/>
              <w:right w:val="single" w:sz="4" w:space="0" w:color="auto"/>
            </w:tcBorders>
            <w:vAlign w:val="center"/>
          </w:tcPr>
          <w:p w14:paraId="79B995DA" w14:textId="77777777" w:rsidR="002F590A" w:rsidRDefault="002F590A">
            <w:pPr>
              <w:jc w:val="center"/>
              <w:rPr>
                <w:sz w:val="12"/>
                <w:szCs w:val="12"/>
              </w:rPr>
            </w:pPr>
          </w:p>
        </w:tc>
        <w:tc>
          <w:tcPr>
            <w:tcW w:w="300" w:type="pct"/>
            <w:tcBorders>
              <w:top w:val="single" w:sz="4" w:space="0" w:color="auto"/>
              <w:left w:val="single" w:sz="4" w:space="0" w:color="auto"/>
              <w:bottom w:val="single" w:sz="4" w:space="0" w:color="auto"/>
              <w:right w:val="single" w:sz="4" w:space="0" w:color="auto"/>
            </w:tcBorders>
            <w:vAlign w:val="center"/>
            <w:hideMark/>
          </w:tcPr>
          <w:p w14:paraId="5FB6D576" w14:textId="77777777" w:rsidR="002F590A" w:rsidRDefault="002F590A">
            <w:pPr>
              <w:jc w:val="center"/>
              <w:rPr>
                <w:sz w:val="12"/>
                <w:szCs w:val="12"/>
              </w:rPr>
            </w:pPr>
            <w:r>
              <w:rPr>
                <w:sz w:val="12"/>
                <w:szCs w:val="12"/>
              </w:rPr>
              <w:t> </w:t>
            </w:r>
          </w:p>
        </w:tc>
        <w:tc>
          <w:tcPr>
            <w:tcW w:w="351" w:type="pct"/>
            <w:tcBorders>
              <w:top w:val="single" w:sz="4" w:space="0" w:color="auto"/>
              <w:left w:val="single" w:sz="4" w:space="0" w:color="auto"/>
              <w:bottom w:val="single" w:sz="4" w:space="0" w:color="auto"/>
              <w:right w:val="single" w:sz="4" w:space="0" w:color="auto"/>
            </w:tcBorders>
            <w:vAlign w:val="center"/>
            <w:hideMark/>
          </w:tcPr>
          <w:p w14:paraId="04280715" w14:textId="77777777" w:rsidR="002F590A" w:rsidRDefault="002F590A">
            <w:pPr>
              <w:jc w:val="center"/>
              <w:rPr>
                <w:sz w:val="12"/>
                <w:szCs w:val="12"/>
              </w:rPr>
            </w:pPr>
            <w:r>
              <w:rPr>
                <w:sz w:val="12"/>
                <w:szCs w:val="12"/>
              </w:rPr>
              <w:t> </w:t>
            </w:r>
          </w:p>
        </w:tc>
        <w:tc>
          <w:tcPr>
            <w:tcW w:w="139" w:type="pct"/>
            <w:tcBorders>
              <w:top w:val="single" w:sz="4" w:space="0" w:color="auto"/>
              <w:left w:val="single" w:sz="4" w:space="0" w:color="auto"/>
              <w:bottom w:val="single" w:sz="4" w:space="0" w:color="auto"/>
              <w:right w:val="single" w:sz="4" w:space="0" w:color="auto"/>
            </w:tcBorders>
            <w:vAlign w:val="center"/>
          </w:tcPr>
          <w:p w14:paraId="0EA463BC" w14:textId="77777777" w:rsidR="002F590A" w:rsidRDefault="002F590A">
            <w:pPr>
              <w:jc w:val="center"/>
              <w:rPr>
                <w:sz w:val="12"/>
                <w:szCs w:val="12"/>
              </w:rPr>
            </w:pPr>
          </w:p>
        </w:tc>
        <w:tc>
          <w:tcPr>
            <w:tcW w:w="167" w:type="pct"/>
            <w:tcBorders>
              <w:top w:val="single" w:sz="4" w:space="0" w:color="auto"/>
              <w:left w:val="single" w:sz="4" w:space="0" w:color="auto"/>
              <w:bottom w:val="single" w:sz="4" w:space="0" w:color="auto"/>
              <w:right w:val="single" w:sz="4" w:space="0" w:color="auto"/>
            </w:tcBorders>
            <w:vAlign w:val="center"/>
          </w:tcPr>
          <w:p w14:paraId="5392D220" w14:textId="77777777" w:rsidR="002F590A" w:rsidRDefault="002F590A">
            <w:pPr>
              <w:jc w:val="center"/>
              <w:rPr>
                <w:sz w:val="12"/>
                <w:szCs w:val="12"/>
              </w:rPr>
            </w:pPr>
          </w:p>
        </w:tc>
        <w:tc>
          <w:tcPr>
            <w:tcW w:w="216" w:type="pct"/>
            <w:tcBorders>
              <w:top w:val="single" w:sz="4" w:space="0" w:color="auto"/>
              <w:left w:val="single" w:sz="4" w:space="0" w:color="auto"/>
              <w:bottom w:val="single" w:sz="4" w:space="0" w:color="auto"/>
              <w:right w:val="single" w:sz="4" w:space="0" w:color="auto"/>
            </w:tcBorders>
            <w:vAlign w:val="center"/>
          </w:tcPr>
          <w:p w14:paraId="4294039F" w14:textId="77777777" w:rsidR="002F590A" w:rsidRDefault="002F590A">
            <w:pPr>
              <w:jc w:val="center"/>
              <w:rPr>
                <w:color w:val="000000"/>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435BB71D" w14:textId="77777777" w:rsidR="002F590A" w:rsidRDefault="002F590A">
            <w:pPr>
              <w:jc w:val="center"/>
              <w:rPr>
                <w:color w:val="000000"/>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308CB0E6" w14:textId="77777777" w:rsidR="002F590A" w:rsidRDefault="002F590A">
            <w:pPr>
              <w:jc w:val="center"/>
              <w:rPr>
                <w:sz w:val="12"/>
                <w:szCs w:val="12"/>
              </w:rPr>
            </w:pPr>
          </w:p>
        </w:tc>
        <w:tc>
          <w:tcPr>
            <w:tcW w:w="172" w:type="pct"/>
            <w:tcBorders>
              <w:top w:val="single" w:sz="4" w:space="0" w:color="auto"/>
              <w:left w:val="single" w:sz="4" w:space="0" w:color="auto"/>
              <w:bottom w:val="single" w:sz="4" w:space="0" w:color="auto"/>
              <w:right w:val="single" w:sz="4" w:space="0" w:color="auto"/>
            </w:tcBorders>
            <w:vAlign w:val="center"/>
          </w:tcPr>
          <w:p w14:paraId="206B2779" w14:textId="77777777" w:rsidR="002F590A" w:rsidRDefault="002F590A">
            <w:pPr>
              <w:jc w:val="center"/>
              <w:rPr>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49D5FE1C" w14:textId="77777777" w:rsidR="002F590A" w:rsidRDefault="002F590A">
            <w:pPr>
              <w:jc w:val="center"/>
              <w:rPr>
                <w:sz w:val="12"/>
                <w:szCs w:val="12"/>
              </w:rPr>
            </w:pPr>
          </w:p>
        </w:tc>
        <w:tc>
          <w:tcPr>
            <w:tcW w:w="216" w:type="pct"/>
            <w:tcBorders>
              <w:top w:val="single" w:sz="4" w:space="0" w:color="auto"/>
              <w:left w:val="single" w:sz="4" w:space="0" w:color="auto"/>
              <w:bottom w:val="single" w:sz="4" w:space="0" w:color="auto"/>
              <w:right w:val="single" w:sz="4" w:space="0" w:color="auto"/>
            </w:tcBorders>
            <w:vAlign w:val="center"/>
          </w:tcPr>
          <w:p w14:paraId="31825802" w14:textId="77777777" w:rsidR="002F590A" w:rsidRDefault="002F590A">
            <w:pPr>
              <w:jc w:val="center"/>
              <w:rPr>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7077046A" w14:textId="77777777" w:rsidR="002F590A" w:rsidRDefault="002F590A">
            <w:pPr>
              <w:jc w:val="center"/>
              <w:rPr>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20F13F7C" w14:textId="77777777" w:rsidR="002F590A" w:rsidRDefault="002F590A">
            <w:pPr>
              <w:jc w:val="center"/>
              <w:rPr>
                <w:sz w:val="12"/>
                <w:szCs w:val="12"/>
              </w:rPr>
            </w:pPr>
          </w:p>
        </w:tc>
        <w:tc>
          <w:tcPr>
            <w:tcW w:w="218" w:type="pct"/>
            <w:tcBorders>
              <w:top w:val="single" w:sz="4" w:space="0" w:color="auto"/>
              <w:left w:val="single" w:sz="4" w:space="0" w:color="auto"/>
              <w:bottom w:val="single" w:sz="4" w:space="0" w:color="auto"/>
              <w:right w:val="single" w:sz="4" w:space="0" w:color="auto"/>
            </w:tcBorders>
            <w:vAlign w:val="center"/>
          </w:tcPr>
          <w:p w14:paraId="621D3DF4" w14:textId="77777777" w:rsidR="002F590A" w:rsidRDefault="002F590A">
            <w:pPr>
              <w:jc w:val="center"/>
              <w:rPr>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16DEA58A" w14:textId="77777777" w:rsidR="002F590A" w:rsidRDefault="002F590A">
            <w:pPr>
              <w:jc w:val="center"/>
              <w:rPr>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7681682F" w14:textId="77777777" w:rsidR="002F590A" w:rsidRDefault="002F590A">
            <w:pPr>
              <w:jc w:val="center"/>
              <w:rPr>
                <w:sz w:val="12"/>
                <w:szCs w:val="12"/>
              </w:rPr>
            </w:pPr>
          </w:p>
        </w:tc>
        <w:tc>
          <w:tcPr>
            <w:tcW w:w="175" w:type="pct"/>
            <w:tcBorders>
              <w:top w:val="single" w:sz="4" w:space="0" w:color="auto"/>
              <w:left w:val="single" w:sz="4" w:space="0" w:color="auto"/>
              <w:bottom w:val="single" w:sz="4" w:space="0" w:color="auto"/>
              <w:right w:val="single" w:sz="4" w:space="0" w:color="auto"/>
            </w:tcBorders>
            <w:vAlign w:val="center"/>
          </w:tcPr>
          <w:p w14:paraId="5D86D719" w14:textId="77777777" w:rsidR="002F590A" w:rsidRDefault="002F590A">
            <w:pPr>
              <w:jc w:val="center"/>
              <w:rPr>
                <w:sz w:val="12"/>
                <w:szCs w:val="12"/>
              </w:rPr>
            </w:pPr>
          </w:p>
        </w:tc>
        <w:tc>
          <w:tcPr>
            <w:tcW w:w="173" w:type="pct"/>
            <w:tcBorders>
              <w:top w:val="single" w:sz="4" w:space="0" w:color="auto"/>
              <w:left w:val="single" w:sz="4" w:space="0" w:color="auto"/>
              <w:bottom w:val="single" w:sz="4" w:space="0" w:color="auto"/>
              <w:right w:val="single" w:sz="4" w:space="0" w:color="auto"/>
            </w:tcBorders>
            <w:vAlign w:val="center"/>
          </w:tcPr>
          <w:p w14:paraId="18F6B606" w14:textId="77777777" w:rsidR="002F590A" w:rsidRDefault="002F590A">
            <w:pPr>
              <w:jc w:val="center"/>
              <w:rPr>
                <w:color w:val="000000"/>
                <w:sz w:val="12"/>
                <w:szCs w:val="12"/>
              </w:rPr>
            </w:pPr>
          </w:p>
        </w:tc>
        <w:tc>
          <w:tcPr>
            <w:tcW w:w="172" w:type="pct"/>
            <w:tcBorders>
              <w:top w:val="single" w:sz="4" w:space="0" w:color="auto"/>
              <w:left w:val="single" w:sz="4" w:space="0" w:color="auto"/>
              <w:bottom w:val="single" w:sz="4" w:space="0" w:color="auto"/>
              <w:right w:val="single" w:sz="4" w:space="0" w:color="auto"/>
            </w:tcBorders>
            <w:vAlign w:val="center"/>
          </w:tcPr>
          <w:p w14:paraId="4BB1B2C9" w14:textId="77777777" w:rsidR="002F590A" w:rsidRDefault="002F590A">
            <w:pPr>
              <w:jc w:val="center"/>
              <w:rPr>
                <w:color w:val="000000"/>
                <w:sz w:val="12"/>
                <w:szCs w:val="12"/>
              </w:rPr>
            </w:pPr>
          </w:p>
        </w:tc>
      </w:tr>
      <w:tr w:rsidR="002F590A" w14:paraId="3CD7624E" w14:textId="77777777" w:rsidTr="002F590A">
        <w:trPr>
          <w:trHeight w:val="2536"/>
        </w:trPr>
        <w:tc>
          <w:tcPr>
            <w:tcW w:w="173" w:type="pct"/>
            <w:tcBorders>
              <w:top w:val="single" w:sz="4" w:space="0" w:color="auto"/>
              <w:left w:val="single" w:sz="4" w:space="0" w:color="auto"/>
              <w:bottom w:val="single" w:sz="4" w:space="0" w:color="auto"/>
              <w:right w:val="single" w:sz="4" w:space="0" w:color="auto"/>
            </w:tcBorders>
            <w:vAlign w:val="center"/>
            <w:hideMark/>
          </w:tcPr>
          <w:p w14:paraId="476BE4E3" w14:textId="77777777" w:rsidR="002F590A" w:rsidRDefault="002F590A">
            <w:pPr>
              <w:jc w:val="center"/>
              <w:rPr>
                <w:sz w:val="12"/>
                <w:szCs w:val="12"/>
              </w:rPr>
            </w:pPr>
            <w:r>
              <w:rPr>
                <w:sz w:val="12"/>
                <w:szCs w:val="12"/>
              </w:rPr>
              <w:t>3.2.13.1</w:t>
            </w:r>
          </w:p>
        </w:tc>
        <w:tc>
          <w:tcPr>
            <w:tcW w:w="280" w:type="pct"/>
            <w:tcBorders>
              <w:top w:val="single" w:sz="4" w:space="0" w:color="auto"/>
              <w:left w:val="single" w:sz="4" w:space="0" w:color="auto"/>
              <w:bottom w:val="single" w:sz="4" w:space="0" w:color="auto"/>
              <w:right w:val="single" w:sz="4" w:space="0" w:color="auto"/>
            </w:tcBorders>
            <w:vAlign w:val="center"/>
            <w:hideMark/>
          </w:tcPr>
          <w:p w14:paraId="1138B4B4" w14:textId="77777777" w:rsidR="002F590A" w:rsidRDefault="002F590A">
            <w:pPr>
              <w:rPr>
                <w:color w:val="000000"/>
                <w:sz w:val="12"/>
                <w:szCs w:val="12"/>
              </w:rPr>
            </w:pPr>
            <w:r>
              <w:rPr>
                <w:color w:val="000000"/>
                <w:sz w:val="12"/>
                <w:szCs w:val="12"/>
              </w:rPr>
              <w:t xml:space="preserve">Реконструкция с монтажем установки </w:t>
            </w:r>
            <w:proofErr w:type="gramStart"/>
            <w:r>
              <w:rPr>
                <w:color w:val="000000"/>
                <w:sz w:val="12"/>
                <w:szCs w:val="12"/>
              </w:rPr>
              <w:t>автоматичес-кой</w:t>
            </w:r>
            <w:proofErr w:type="gramEnd"/>
            <w:r>
              <w:rPr>
                <w:color w:val="000000"/>
                <w:sz w:val="12"/>
                <w:szCs w:val="12"/>
              </w:rPr>
              <w:t xml:space="preserve"> химводоподго-товки</w:t>
            </w:r>
          </w:p>
        </w:tc>
        <w:tc>
          <w:tcPr>
            <w:tcW w:w="313" w:type="pct"/>
            <w:tcBorders>
              <w:top w:val="single" w:sz="4" w:space="0" w:color="auto"/>
              <w:left w:val="single" w:sz="4" w:space="0" w:color="auto"/>
              <w:bottom w:val="single" w:sz="4" w:space="0" w:color="auto"/>
              <w:right w:val="single" w:sz="4" w:space="0" w:color="auto"/>
            </w:tcBorders>
            <w:vAlign w:val="center"/>
            <w:hideMark/>
          </w:tcPr>
          <w:p w14:paraId="477927DF" w14:textId="77777777" w:rsidR="002F590A" w:rsidRDefault="002F590A">
            <w:pPr>
              <w:jc w:val="center"/>
              <w:rPr>
                <w:sz w:val="12"/>
                <w:szCs w:val="12"/>
              </w:rPr>
            </w:pPr>
            <w:r>
              <w:rPr>
                <w:sz w:val="12"/>
                <w:szCs w:val="12"/>
              </w:rPr>
              <w:t>Повышение надежности (бесперебойности) услуг теплоснабжения, повышение энергетической эффективности</w:t>
            </w:r>
          </w:p>
        </w:tc>
        <w:tc>
          <w:tcPr>
            <w:tcW w:w="275" w:type="pct"/>
            <w:tcBorders>
              <w:top w:val="single" w:sz="4" w:space="0" w:color="auto"/>
              <w:left w:val="single" w:sz="4" w:space="0" w:color="auto"/>
              <w:bottom w:val="single" w:sz="4" w:space="0" w:color="auto"/>
              <w:right w:val="single" w:sz="4" w:space="0" w:color="auto"/>
            </w:tcBorders>
            <w:vAlign w:val="center"/>
            <w:hideMark/>
          </w:tcPr>
          <w:p w14:paraId="0DFB5E9F" w14:textId="77777777" w:rsidR="002F590A" w:rsidRDefault="002F590A">
            <w:pPr>
              <w:jc w:val="center"/>
              <w:rPr>
                <w:sz w:val="12"/>
                <w:szCs w:val="12"/>
              </w:rPr>
            </w:pPr>
            <w:r>
              <w:rPr>
                <w:sz w:val="12"/>
                <w:szCs w:val="12"/>
              </w:rPr>
              <w:t> </w:t>
            </w:r>
          </w:p>
        </w:tc>
        <w:tc>
          <w:tcPr>
            <w:tcW w:w="303" w:type="pct"/>
            <w:tcBorders>
              <w:top w:val="single" w:sz="4" w:space="0" w:color="auto"/>
              <w:left w:val="single" w:sz="4" w:space="0" w:color="auto"/>
              <w:bottom w:val="single" w:sz="4" w:space="0" w:color="auto"/>
              <w:right w:val="single" w:sz="4" w:space="0" w:color="auto"/>
            </w:tcBorders>
            <w:vAlign w:val="center"/>
            <w:hideMark/>
          </w:tcPr>
          <w:p w14:paraId="7F69AD9C" w14:textId="77777777" w:rsidR="002F590A" w:rsidRDefault="002F590A">
            <w:pPr>
              <w:jc w:val="center"/>
              <w:rPr>
                <w:sz w:val="12"/>
                <w:szCs w:val="12"/>
              </w:rPr>
            </w:pPr>
            <w:r>
              <w:rPr>
                <w:color w:val="000000"/>
                <w:sz w:val="12"/>
                <w:szCs w:val="12"/>
              </w:rPr>
              <w:t>Технические характеристики</w:t>
            </w:r>
          </w:p>
        </w:tc>
        <w:tc>
          <w:tcPr>
            <w:tcW w:w="139" w:type="pct"/>
            <w:tcBorders>
              <w:top w:val="single" w:sz="4" w:space="0" w:color="auto"/>
              <w:left w:val="single" w:sz="4" w:space="0" w:color="auto"/>
              <w:bottom w:val="single" w:sz="4" w:space="0" w:color="auto"/>
              <w:right w:val="single" w:sz="4" w:space="0" w:color="auto"/>
            </w:tcBorders>
            <w:vAlign w:val="center"/>
          </w:tcPr>
          <w:p w14:paraId="14362E30" w14:textId="77777777" w:rsidR="002F590A" w:rsidRDefault="002F590A">
            <w:pPr>
              <w:jc w:val="center"/>
              <w:rPr>
                <w:sz w:val="12"/>
                <w:szCs w:val="12"/>
              </w:rPr>
            </w:pPr>
          </w:p>
        </w:tc>
        <w:tc>
          <w:tcPr>
            <w:tcW w:w="300" w:type="pct"/>
            <w:tcBorders>
              <w:top w:val="single" w:sz="4" w:space="0" w:color="auto"/>
              <w:left w:val="single" w:sz="4" w:space="0" w:color="auto"/>
              <w:bottom w:val="single" w:sz="4" w:space="0" w:color="auto"/>
              <w:right w:val="single" w:sz="4" w:space="0" w:color="auto"/>
            </w:tcBorders>
            <w:vAlign w:val="center"/>
            <w:hideMark/>
          </w:tcPr>
          <w:p w14:paraId="7D96AC4B" w14:textId="77777777" w:rsidR="002F590A" w:rsidRDefault="002F590A">
            <w:pPr>
              <w:jc w:val="center"/>
              <w:rPr>
                <w:color w:val="000000"/>
                <w:sz w:val="12"/>
                <w:szCs w:val="12"/>
              </w:rPr>
            </w:pPr>
            <w:r>
              <w:rPr>
                <w:color w:val="000000"/>
                <w:sz w:val="12"/>
                <w:szCs w:val="12"/>
              </w:rPr>
              <w:t xml:space="preserve">Отсутствует система умягчения холодной воды </w:t>
            </w:r>
          </w:p>
        </w:tc>
        <w:tc>
          <w:tcPr>
            <w:tcW w:w="351" w:type="pct"/>
            <w:tcBorders>
              <w:top w:val="single" w:sz="4" w:space="0" w:color="auto"/>
              <w:left w:val="single" w:sz="4" w:space="0" w:color="auto"/>
              <w:bottom w:val="single" w:sz="4" w:space="0" w:color="auto"/>
              <w:right w:val="single" w:sz="4" w:space="0" w:color="auto"/>
            </w:tcBorders>
            <w:vAlign w:val="center"/>
            <w:hideMark/>
          </w:tcPr>
          <w:p w14:paraId="185CB6AE" w14:textId="77777777" w:rsidR="002F590A" w:rsidRDefault="002F590A">
            <w:pPr>
              <w:jc w:val="center"/>
              <w:rPr>
                <w:color w:val="000000"/>
                <w:sz w:val="12"/>
                <w:szCs w:val="12"/>
              </w:rPr>
            </w:pPr>
            <w:r>
              <w:rPr>
                <w:sz w:val="12"/>
                <w:szCs w:val="12"/>
              </w:rPr>
              <w:t>Оборудование позволит снизить жесткость воды (убрать излишек магния и кальция), исключает образование отложений солей жесткости на внутренних поверхностях труб, котлов и др. теплового оборудования, что увеличит срок службы, снизит расход топлива, исключаются затраты на замену котлов и другого тепломеханического оборудования.</w:t>
            </w:r>
          </w:p>
        </w:tc>
        <w:tc>
          <w:tcPr>
            <w:tcW w:w="139" w:type="pct"/>
            <w:tcBorders>
              <w:top w:val="single" w:sz="4" w:space="0" w:color="auto"/>
              <w:left w:val="single" w:sz="4" w:space="0" w:color="auto"/>
              <w:bottom w:val="single" w:sz="4" w:space="0" w:color="auto"/>
              <w:right w:val="single" w:sz="4" w:space="0" w:color="auto"/>
            </w:tcBorders>
            <w:vAlign w:val="center"/>
            <w:hideMark/>
          </w:tcPr>
          <w:p w14:paraId="37D8E763" w14:textId="77777777" w:rsidR="002F590A" w:rsidRDefault="002F590A">
            <w:pPr>
              <w:jc w:val="center"/>
              <w:rPr>
                <w:sz w:val="12"/>
                <w:szCs w:val="12"/>
              </w:rPr>
            </w:pPr>
            <w:r>
              <w:rPr>
                <w:sz w:val="12"/>
                <w:szCs w:val="12"/>
              </w:rPr>
              <w:t>2025</w:t>
            </w:r>
          </w:p>
        </w:tc>
        <w:tc>
          <w:tcPr>
            <w:tcW w:w="167" w:type="pct"/>
            <w:tcBorders>
              <w:top w:val="single" w:sz="4" w:space="0" w:color="auto"/>
              <w:left w:val="single" w:sz="4" w:space="0" w:color="auto"/>
              <w:bottom w:val="single" w:sz="4" w:space="0" w:color="auto"/>
              <w:right w:val="single" w:sz="4" w:space="0" w:color="auto"/>
            </w:tcBorders>
            <w:vAlign w:val="center"/>
            <w:hideMark/>
          </w:tcPr>
          <w:p w14:paraId="173180F5" w14:textId="77777777" w:rsidR="002F590A" w:rsidRDefault="002F590A">
            <w:pPr>
              <w:jc w:val="center"/>
              <w:rPr>
                <w:sz w:val="12"/>
                <w:szCs w:val="12"/>
              </w:rPr>
            </w:pPr>
            <w:r>
              <w:rPr>
                <w:sz w:val="12"/>
                <w:szCs w:val="12"/>
              </w:rPr>
              <w:t>2025</w:t>
            </w:r>
          </w:p>
        </w:tc>
        <w:tc>
          <w:tcPr>
            <w:tcW w:w="216" w:type="pct"/>
            <w:tcBorders>
              <w:top w:val="single" w:sz="4" w:space="0" w:color="auto"/>
              <w:left w:val="single" w:sz="4" w:space="0" w:color="auto"/>
              <w:bottom w:val="single" w:sz="4" w:space="0" w:color="auto"/>
              <w:right w:val="single" w:sz="4" w:space="0" w:color="auto"/>
            </w:tcBorders>
            <w:vAlign w:val="center"/>
            <w:hideMark/>
          </w:tcPr>
          <w:p w14:paraId="612CEF20" w14:textId="77777777" w:rsidR="002F590A" w:rsidRDefault="002F590A">
            <w:pPr>
              <w:jc w:val="center"/>
              <w:rPr>
                <w:color w:val="000000"/>
                <w:sz w:val="12"/>
                <w:szCs w:val="12"/>
              </w:rPr>
            </w:pPr>
            <w:r>
              <w:rPr>
                <w:color w:val="000000"/>
                <w:sz w:val="12"/>
                <w:szCs w:val="12"/>
              </w:rPr>
              <w:t>51,52</w:t>
            </w:r>
          </w:p>
        </w:tc>
        <w:tc>
          <w:tcPr>
            <w:tcW w:w="174" w:type="pct"/>
            <w:tcBorders>
              <w:top w:val="single" w:sz="4" w:space="0" w:color="auto"/>
              <w:left w:val="single" w:sz="4" w:space="0" w:color="auto"/>
              <w:bottom w:val="single" w:sz="4" w:space="0" w:color="auto"/>
              <w:right w:val="single" w:sz="4" w:space="0" w:color="auto"/>
            </w:tcBorders>
            <w:vAlign w:val="center"/>
            <w:hideMark/>
          </w:tcPr>
          <w:p w14:paraId="13DE7A57" w14:textId="77777777" w:rsidR="002F590A" w:rsidRDefault="002F590A">
            <w:pPr>
              <w:jc w:val="center"/>
              <w:rPr>
                <w:color w:val="000000"/>
                <w:sz w:val="12"/>
                <w:szCs w:val="12"/>
              </w:rPr>
            </w:pPr>
            <w:r>
              <w:rPr>
                <w:color w:val="000000"/>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59081BAB" w14:textId="77777777" w:rsidR="002F590A" w:rsidRDefault="002F590A">
            <w:pPr>
              <w:jc w:val="center"/>
              <w:rPr>
                <w:sz w:val="12"/>
                <w:szCs w:val="12"/>
              </w:rPr>
            </w:pPr>
            <w:r>
              <w:rPr>
                <w:sz w:val="12"/>
                <w:szCs w:val="12"/>
              </w:rPr>
              <w:t>0,00</w:t>
            </w:r>
          </w:p>
        </w:tc>
        <w:tc>
          <w:tcPr>
            <w:tcW w:w="172" w:type="pct"/>
            <w:tcBorders>
              <w:top w:val="single" w:sz="4" w:space="0" w:color="auto"/>
              <w:left w:val="single" w:sz="4" w:space="0" w:color="auto"/>
              <w:bottom w:val="single" w:sz="4" w:space="0" w:color="auto"/>
              <w:right w:val="single" w:sz="4" w:space="0" w:color="auto"/>
            </w:tcBorders>
            <w:vAlign w:val="center"/>
            <w:hideMark/>
          </w:tcPr>
          <w:p w14:paraId="271A5493"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382B62FF" w14:textId="77777777" w:rsidR="002F590A" w:rsidRDefault="002F590A">
            <w:pPr>
              <w:jc w:val="center"/>
              <w:rPr>
                <w:sz w:val="12"/>
                <w:szCs w:val="12"/>
              </w:rPr>
            </w:pPr>
            <w:r>
              <w:rPr>
                <w:sz w:val="12"/>
                <w:szCs w:val="12"/>
              </w:rPr>
              <w:t>0,00</w:t>
            </w:r>
          </w:p>
        </w:tc>
        <w:tc>
          <w:tcPr>
            <w:tcW w:w="216" w:type="pct"/>
            <w:tcBorders>
              <w:top w:val="single" w:sz="4" w:space="0" w:color="auto"/>
              <w:left w:val="single" w:sz="4" w:space="0" w:color="auto"/>
              <w:bottom w:val="single" w:sz="4" w:space="0" w:color="auto"/>
              <w:right w:val="single" w:sz="4" w:space="0" w:color="auto"/>
            </w:tcBorders>
            <w:vAlign w:val="center"/>
            <w:hideMark/>
          </w:tcPr>
          <w:p w14:paraId="73819112" w14:textId="77777777" w:rsidR="002F590A" w:rsidRDefault="002F590A">
            <w:pPr>
              <w:jc w:val="center"/>
              <w:rPr>
                <w:sz w:val="12"/>
                <w:szCs w:val="12"/>
              </w:rPr>
            </w:pPr>
            <w:r>
              <w:rPr>
                <w:sz w:val="12"/>
                <w:szCs w:val="12"/>
              </w:rPr>
              <w:t>51,52</w:t>
            </w:r>
          </w:p>
        </w:tc>
        <w:tc>
          <w:tcPr>
            <w:tcW w:w="174" w:type="pct"/>
            <w:tcBorders>
              <w:top w:val="single" w:sz="4" w:space="0" w:color="auto"/>
              <w:left w:val="single" w:sz="4" w:space="0" w:color="auto"/>
              <w:bottom w:val="single" w:sz="4" w:space="0" w:color="auto"/>
              <w:right w:val="single" w:sz="4" w:space="0" w:color="auto"/>
            </w:tcBorders>
            <w:vAlign w:val="center"/>
            <w:hideMark/>
          </w:tcPr>
          <w:p w14:paraId="4CA767D5"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4D473FCD" w14:textId="77777777" w:rsidR="002F590A" w:rsidRDefault="002F590A">
            <w:pPr>
              <w:jc w:val="center"/>
              <w:rPr>
                <w:sz w:val="12"/>
                <w:szCs w:val="12"/>
              </w:rPr>
            </w:pPr>
            <w:r>
              <w:rPr>
                <w:sz w:val="12"/>
                <w:szCs w:val="12"/>
              </w:rPr>
              <w:t>0,00</w:t>
            </w:r>
          </w:p>
        </w:tc>
        <w:tc>
          <w:tcPr>
            <w:tcW w:w="218" w:type="pct"/>
            <w:tcBorders>
              <w:top w:val="single" w:sz="4" w:space="0" w:color="auto"/>
              <w:left w:val="single" w:sz="4" w:space="0" w:color="auto"/>
              <w:bottom w:val="single" w:sz="4" w:space="0" w:color="auto"/>
              <w:right w:val="single" w:sz="4" w:space="0" w:color="auto"/>
            </w:tcBorders>
            <w:vAlign w:val="center"/>
            <w:hideMark/>
          </w:tcPr>
          <w:p w14:paraId="41678B1E"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3C50CA1A"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026616E0" w14:textId="77777777" w:rsidR="002F590A" w:rsidRDefault="002F590A">
            <w:pPr>
              <w:jc w:val="center"/>
              <w:rPr>
                <w:sz w:val="12"/>
                <w:szCs w:val="12"/>
              </w:rPr>
            </w:pPr>
            <w:r>
              <w:rPr>
                <w:sz w:val="12"/>
                <w:szCs w:val="12"/>
              </w:rPr>
              <w:t>0,00</w:t>
            </w:r>
          </w:p>
        </w:tc>
        <w:tc>
          <w:tcPr>
            <w:tcW w:w="175" w:type="pct"/>
            <w:tcBorders>
              <w:top w:val="single" w:sz="4" w:space="0" w:color="auto"/>
              <w:left w:val="single" w:sz="4" w:space="0" w:color="auto"/>
              <w:bottom w:val="single" w:sz="4" w:space="0" w:color="auto"/>
              <w:right w:val="single" w:sz="4" w:space="0" w:color="auto"/>
            </w:tcBorders>
            <w:vAlign w:val="center"/>
            <w:hideMark/>
          </w:tcPr>
          <w:p w14:paraId="2188312B"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00D31565" w14:textId="77777777" w:rsidR="002F590A" w:rsidRDefault="002F590A">
            <w:pPr>
              <w:jc w:val="center"/>
              <w:rPr>
                <w:color w:val="000000"/>
                <w:sz w:val="12"/>
                <w:szCs w:val="12"/>
              </w:rPr>
            </w:pPr>
            <w:r>
              <w:rPr>
                <w:color w:val="000000"/>
                <w:sz w:val="12"/>
                <w:szCs w:val="12"/>
              </w:rPr>
              <w:t>0,00</w:t>
            </w:r>
          </w:p>
        </w:tc>
        <w:tc>
          <w:tcPr>
            <w:tcW w:w="172" w:type="pct"/>
            <w:tcBorders>
              <w:top w:val="single" w:sz="4" w:space="0" w:color="auto"/>
              <w:left w:val="single" w:sz="4" w:space="0" w:color="auto"/>
              <w:bottom w:val="single" w:sz="4" w:space="0" w:color="auto"/>
              <w:right w:val="single" w:sz="4" w:space="0" w:color="auto"/>
            </w:tcBorders>
            <w:vAlign w:val="center"/>
            <w:hideMark/>
          </w:tcPr>
          <w:p w14:paraId="3CE874D8" w14:textId="77777777" w:rsidR="002F590A" w:rsidRDefault="002F590A">
            <w:pPr>
              <w:jc w:val="center"/>
              <w:rPr>
                <w:color w:val="000000"/>
                <w:sz w:val="12"/>
                <w:szCs w:val="12"/>
              </w:rPr>
            </w:pPr>
            <w:r>
              <w:rPr>
                <w:color w:val="000000"/>
                <w:sz w:val="12"/>
                <w:szCs w:val="12"/>
              </w:rPr>
              <w:t>0,00</w:t>
            </w:r>
          </w:p>
        </w:tc>
      </w:tr>
      <w:tr w:rsidR="002F590A" w14:paraId="50673EF1" w14:textId="77777777" w:rsidTr="002F590A">
        <w:trPr>
          <w:trHeight w:val="2537"/>
        </w:trPr>
        <w:tc>
          <w:tcPr>
            <w:tcW w:w="173" w:type="pct"/>
            <w:tcBorders>
              <w:top w:val="single" w:sz="4" w:space="0" w:color="auto"/>
              <w:left w:val="single" w:sz="4" w:space="0" w:color="auto"/>
              <w:bottom w:val="single" w:sz="4" w:space="0" w:color="auto"/>
              <w:right w:val="single" w:sz="4" w:space="0" w:color="auto"/>
            </w:tcBorders>
            <w:vAlign w:val="center"/>
            <w:hideMark/>
          </w:tcPr>
          <w:p w14:paraId="2DE3157E" w14:textId="77777777" w:rsidR="002F590A" w:rsidRDefault="002F590A">
            <w:pPr>
              <w:jc w:val="center"/>
              <w:rPr>
                <w:sz w:val="12"/>
                <w:szCs w:val="12"/>
              </w:rPr>
            </w:pPr>
            <w:r>
              <w:rPr>
                <w:sz w:val="12"/>
                <w:szCs w:val="12"/>
              </w:rPr>
              <w:t>3.2.13.2</w:t>
            </w:r>
          </w:p>
        </w:tc>
        <w:tc>
          <w:tcPr>
            <w:tcW w:w="280" w:type="pct"/>
            <w:tcBorders>
              <w:top w:val="single" w:sz="4" w:space="0" w:color="auto"/>
              <w:left w:val="single" w:sz="4" w:space="0" w:color="auto"/>
              <w:bottom w:val="single" w:sz="4" w:space="0" w:color="auto"/>
              <w:right w:val="single" w:sz="4" w:space="0" w:color="auto"/>
            </w:tcBorders>
            <w:vAlign w:val="center"/>
            <w:hideMark/>
          </w:tcPr>
          <w:p w14:paraId="7BBC3D5D" w14:textId="77777777" w:rsidR="002F590A" w:rsidRDefault="002F590A">
            <w:pPr>
              <w:rPr>
                <w:color w:val="000000"/>
                <w:sz w:val="12"/>
                <w:szCs w:val="12"/>
              </w:rPr>
            </w:pPr>
            <w:r>
              <w:rPr>
                <w:color w:val="000000"/>
                <w:sz w:val="12"/>
                <w:szCs w:val="12"/>
              </w:rPr>
              <w:t>Реконструкция с заменой ГРУ</w:t>
            </w:r>
          </w:p>
        </w:tc>
        <w:tc>
          <w:tcPr>
            <w:tcW w:w="313" w:type="pct"/>
            <w:tcBorders>
              <w:top w:val="single" w:sz="4" w:space="0" w:color="auto"/>
              <w:left w:val="single" w:sz="4" w:space="0" w:color="auto"/>
              <w:bottom w:val="single" w:sz="4" w:space="0" w:color="auto"/>
              <w:right w:val="single" w:sz="4" w:space="0" w:color="auto"/>
            </w:tcBorders>
            <w:vAlign w:val="center"/>
            <w:hideMark/>
          </w:tcPr>
          <w:p w14:paraId="7F8B1AA2" w14:textId="77777777" w:rsidR="002F590A" w:rsidRDefault="002F590A">
            <w:pPr>
              <w:jc w:val="center"/>
              <w:rPr>
                <w:sz w:val="12"/>
                <w:szCs w:val="12"/>
              </w:rPr>
            </w:pPr>
            <w:r>
              <w:rPr>
                <w:sz w:val="12"/>
                <w:szCs w:val="12"/>
              </w:rPr>
              <w:t>Повышение надежности (бесперебойности) услуг теплоснабжения, повышение энергетической эффективности</w:t>
            </w:r>
          </w:p>
        </w:tc>
        <w:tc>
          <w:tcPr>
            <w:tcW w:w="275" w:type="pct"/>
            <w:tcBorders>
              <w:top w:val="single" w:sz="4" w:space="0" w:color="auto"/>
              <w:left w:val="single" w:sz="4" w:space="0" w:color="auto"/>
              <w:bottom w:val="single" w:sz="4" w:space="0" w:color="auto"/>
              <w:right w:val="single" w:sz="4" w:space="0" w:color="auto"/>
            </w:tcBorders>
            <w:vAlign w:val="center"/>
            <w:hideMark/>
          </w:tcPr>
          <w:p w14:paraId="1689B0D1" w14:textId="77777777" w:rsidR="002F590A" w:rsidRDefault="002F590A">
            <w:pPr>
              <w:jc w:val="center"/>
              <w:rPr>
                <w:sz w:val="12"/>
                <w:szCs w:val="12"/>
              </w:rPr>
            </w:pPr>
            <w:r>
              <w:rPr>
                <w:sz w:val="12"/>
                <w:szCs w:val="12"/>
              </w:rPr>
              <w:t> </w:t>
            </w:r>
          </w:p>
        </w:tc>
        <w:tc>
          <w:tcPr>
            <w:tcW w:w="303" w:type="pct"/>
            <w:tcBorders>
              <w:top w:val="single" w:sz="4" w:space="0" w:color="auto"/>
              <w:left w:val="single" w:sz="4" w:space="0" w:color="auto"/>
              <w:bottom w:val="single" w:sz="4" w:space="0" w:color="auto"/>
              <w:right w:val="single" w:sz="4" w:space="0" w:color="auto"/>
            </w:tcBorders>
            <w:vAlign w:val="center"/>
            <w:hideMark/>
          </w:tcPr>
          <w:p w14:paraId="3B50EE0F" w14:textId="77777777" w:rsidR="002F590A" w:rsidRDefault="002F590A">
            <w:pPr>
              <w:jc w:val="center"/>
              <w:rPr>
                <w:sz w:val="12"/>
                <w:szCs w:val="12"/>
              </w:rPr>
            </w:pPr>
            <w:r>
              <w:rPr>
                <w:color w:val="000000"/>
                <w:sz w:val="12"/>
                <w:szCs w:val="12"/>
              </w:rPr>
              <w:t>Технические характеристики</w:t>
            </w:r>
          </w:p>
        </w:tc>
        <w:tc>
          <w:tcPr>
            <w:tcW w:w="139" w:type="pct"/>
            <w:tcBorders>
              <w:top w:val="single" w:sz="4" w:space="0" w:color="auto"/>
              <w:left w:val="single" w:sz="4" w:space="0" w:color="auto"/>
              <w:bottom w:val="single" w:sz="4" w:space="0" w:color="auto"/>
              <w:right w:val="single" w:sz="4" w:space="0" w:color="auto"/>
            </w:tcBorders>
            <w:vAlign w:val="center"/>
          </w:tcPr>
          <w:p w14:paraId="2AC98EC4" w14:textId="77777777" w:rsidR="002F590A" w:rsidRDefault="002F590A">
            <w:pPr>
              <w:jc w:val="center"/>
              <w:rPr>
                <w:sz w:val="12"/>
                <w:szCs w:val="12"/>
              </w:rPr>
            </w:pPr>
          </w:p>
        </w:tc>
        <w:tc>
          <w:tcPr>
            <w:tcW w:w="3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176BC77" w14:textId="77777777" w:rsidR="002F590A" w:rsidRDefault="002F590A">
            <w:pPr>
              <w:jc w:val="center"/>
              <w:rPr>
                <w:sz w:val="12"/>
                <w:szCs w:val="12"/>
              </w:rPr>
            </w:pPr>
            <w:r>
              <w:rPr>
                <w:sz w:val="12"/>
                <w:szCs w:val="12"/>
              </w:rPr>
              <w:t xml:space="preserve"> Срок эксплуатации ГРУ до 2022 года, дальнейшая эксплуатация запрещена. Нет второй (резервной) линии редуцирования.</w:t>
            </w:r>
          </w:p>
        </w:tc>
        <w:tc>
          <w:tcPr>
            <w:tcW w:w="351" w:type="pct"/>
            <w:tcBorders>
              <w:top w:val="single" w:sz="4" w:space="0" w:color="auto"/>
              <w:left w:val="single" w:sz="4" w:space="0" w:color="auto"/>
              <w:bottom w:val="single" w:sz="4" w:space="0" w:color="auto"/>
              <w:right w:val="single" w:sz="4" w:space="0" w:color="auto"/>
            </w:tcBorders>
            <w:vAlign w:val="center"/>
            <w:hideMark/>
          </w:tcPr>
          <w:p w14:paraId="1328CABE" w14:textId="77777777" w:rsidR="002F590A" w:rsidRDefault="002F590A">
            <w:pPr>
              <w:jc w:val="center"/>
              <w:rPr>
                <w:sz w:val="12"/>
                <w:szCs w:val="12"/>
              </w:rPr>
            </w:pPr>
            <w:r>
              <w:rPr>
                <w:sz w:val="12"/>
                <w:szCs w:val="12"/>
              </w:rPr>
              <w:t>Оборудование с техническими характеристиками не ниже существующего на объекте</w:t>
            </w:r>
          </w:p>
        </w:tc>
        <w:tc>
          <w:tcPr>
            <w:tcW w:w="139" w:type="pct"/>
            <w:tcBorders>
              <w:top w:val="single" w:sz="4" w:space="0" w:color="auto"/>
              <w:left w:val="single" w:sz="4" w:space="0" w:color="auto"/>
              <w:bottom w:val="single" w:sz="4" w:space="0" w:color="auto"/>
              <w:right w:val="single" w:sz="4" w:space="0" w:color="auto"/>
            </w:tcBorders>
            <w:vAlign w:val="center"/>
            <w:hideMark/>
          </w:tcPr>
          <w:p w14:paraId="1EF6A6A1" w14:textId="77777777" w:rsidR="002F590A" w:rsidRDefault="002F590A">
            <w:pPr>
              <w:jc w:val="center"/>
              <w:rPr>
                <w:sz w:val="12"/>
                <w:szCs w:val="12"/>
              </w:rPr>
            </w:pPr>
            <w:r>
              <w:rPr>
                <w:sz w:val="12"/>
                <w:szCs w:val="12"/>
              </w:rPr>
              <w:t>2022</w:t>
            </w:r>
          </w:p>
        </w:tc>
        <w:tc>
          <w:tcPr>
            <w:tcW w:w="167" w:type="pct"/>
            <w:tcBorders>
              <w:top w:val="single" w:sz="4" w:space="0" w:color="auto"/>
              <w:left w:val="single" w:sz="4" w:space="0" w:color="auto"/>
              <w:bottom w:val="single" w:sz="4" w:space="0" w:color="auto"/>
              <w:right w:val="single" w:sz="4" w:space="0" w:color="auto"/>
            </w:tcBorders>
            <w:vAlign w:val="center"/>
            <w:hideMark/>
          </w:tcPr>
          <w:p w14:paraId="77632C87" w14:textId="77777777" w:rsidR="002F590A" w:rsidRDefault="002F590A">
            <w:pPr>
              <w:jc w:val="center"/>
              <w:rPr>
                <w:sz w:val="12"/>
                <w:szCs w:val="12"/>
              </w:rPr>
            </w:pPr>
            <w:r>
              <w:rPr>
                <w:sz w:val="12"/>
                <w:szCs w:val="12"/>
              </w:rPr>
              <w:t>2022</w:t>
            </w:r>
          </w:p>
        </w:tc>
        <w:tc>
          <w:tcPr>
            <w:tcW w:w="216" w:type="pct"/>
            <w:tcBorders>
              <w:top w:val="single" w:sz="4" w:space="0" w:color="auto"/>
              <w:left w:val="single" w:sz="4" w:space="0" w:color="auto"/>
              <w:bottom w:val="single" w:sz="4" w:space="0" w:color="auto"/>
              <w:right w:val="single" w:sz="4" w:space="0" w:color="auto"/>
            </w:tcBorders>
            <w:vAlign w:val="center"/>
            <w:hideMark/>
          </w:tcPr>
          <w:p w14:paraId="32B0202B" w14:textId="77777777" w:rsidR="002F590A" w:rsidRDefault="002F590A">
            <w:pPr>
              <w:jc w:val="center"/>
              <w:rPr>
                <w:color w:val="000000"/>
                <w:sz w:val="12"/>
                <w:szCs w:val="12"/>
              </w:rPr>
            </w:pPr>
            <w:r>
              <w:rPr>
                <w:color w:val="000000"/>
                <w:sz w:val="12"/>
                <w:szCs w:val="12"/>
              </w:rPr>
              <w:t>624,54</w:t>
            </w:r>
          </w:p>
        </w:tc>
        <w:tc>
          <w:tcPr>
            <w:tcW w:w="174" w:type="pct"/>
            <w:tcBorders>
              <w:top w:val="single" w:sz="4" w:space="0" w:color="auto"/>
              <w:left w:val="single" w:sz="4" w:space="0" w:color="auto"/>
              <w:bottom w:val="single" w:sz="4" w:space="0" w:color="auto"/>
              <w:right w:val="single" w:sz="4" w:space="0" w:color="auto"/>
            </w:tcBorders>
            <w:vAlign w:val="center"/>
            <w:hideMark/>
          </w:tcPr>
          <w:p w14:paraId="29CEE578" w14:textId="77777777" w:rsidR="002F590A" w:rsidRDefault="002F590A">
            <w:pPr>
              <w:jc w:val="center"/>
              <w:rPr>
                <w:color w:val="000000"/>
                <w:sz w:val="12"/>
                <w:szCs w:val="12"/>
              </w:rPr>
            </w:pPr>
            <w:r>
              <w:rPr>
                <w:color w:val="000000"/>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0145E9E4" w14:textId="77777777" w:rsidR="002F590A" w:rsidRDefault="002F590A">
            <w:pPr>
              <w:jc w:val="center"/>
              <w:rPr>
                <w:sz w:val="12"/>
                <w:szCs w:val="12"/>
              </w:rPr>
            </w:pPr>
            <w:r>
              <w:rPr>
                <w:sz w:val="12"/>
                <w:szCs w:val="12"/>
              </w:rPr>
              <w:t>624,540</w:t>
            </w:r>
          </w:p>
        </w:tc>
        <w:tc>
          <w:tcPr>
            <w:tcW w:w="172" w:type="pct"/>
            <w:tcBorders>
              <w:top w:val="single" w:sz="4" w:space="0" w:color="auto"/>
              <w:left w:val="single" w:sz="4" w:space="0" w:color="auto"/>
              <w:bottom w:val="single" w:sz="4" w:space="0" w:color="auto"/>
              <w:right w:val="single" w:sz="4" w:space="0" w:color="auto"/>
            </w:tcBorders>
            <w:vAlign w:val="center"/>
            <w:hideMark/>
          </w:tcPr>
          <w:p w14:paraId="722A7344"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6194F4AF" w14:textId="77777777" w:rsidR="002F590A" w:rsidRDefault="002F590A">
            <w:pPr>
              <w:jc w:val="center"/>
              <w:rPr>
                <w:sz w:val="12"/>
                <w:szCs w:val="12"/>
              </w:rPr>
            </w:pPr>
            <w:r>
              <w:rPr>
                <w:sz w:val="12"/>
                <w:szCs w:val="12"/>
              </w:rPr>
              <w:t>0,00</w:t>
            </w:r>
          </w:p>
        </w:tc>
        <w:tc>
          <w:tcPr>
            <w:tcW w:w="216" w:type="pct"/>
            <w:tcBorders>
              <w:top w:val="single" w:sz="4" w:space="0" w:color="auto"/>
              <w:left w:val="single" w:sz="4" w:space="0" w:color="auto"/>
              <w:bottom w:val="single" w:sz="4" w:space="0" w:color="auto"/>
              <w:right w:val="single" w:sz="4" w:space="0" w:color="auto"/>
            </w:tcBorders>
            <w:vAlign w:val="center"/>
            <w:hideMark/>
          </w:tcPr>
          <w:p w14:paraId="2A7BC20E"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68D05CD0"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1C858D94" w14:textId="77777777" w:rsidR="002F590A" w:rsidRDefault="002F590A">
            <w:pPr>
              <w:jc w:val="center"/>
              <w:rPr>
                <w:sz w:val="12"/>
                <w:szCs w:val="12"/>
              </w:rPr>
            </w:pPr>
            <w:r>
              <w:rPr>
                <w:sz w:val="12"/>
                <w:szCs w:val="12"/>
              </w:rPr>
              <w:t>0,00</w:t>
            </w:r>
          </w:p>
        </w:tc>
        <w:tc>
          <w:tcPr>
            <w:tcW w:w="218" w:type="pct"/>
            <w:tcBorders>
              <w:top w:val="single" w:sz="4" w:space="0" w:color="auto"/>
              <w:left w:val="single" w:sz="4" w:space="0" w:color="auto"/>
              <w:bottom w:val="single" w:sz="4" w:space="0" w:color="auto"/>
              <w:right w:val="single" w:sz="4" w:space="0" w:color="auto"/>
            </w:tcBorders>
            <w:vAlign w:val="center"/>
            <w:hideMark/>
          </w:tcPr>
          <w:p w14:paraId="4A951D77"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559828A2"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495BB6DA" w14:textId="77777777" w:rsidR="002F590A" w:rsidRDefault="002F590A">
            <w:pPr>
              <w:jc w:val="center"/>
              <w:rPr>
                <w:sz w:val="12"/>
                <w:szCs w:val="12"/>
              </w:rPr>
            </w:pPr>
            <w:r>
              <w:rPr>
                <w:sz w:val="12"/>
                <w:szCs w:val="12"/>
              </w:rPr>
              <w:t>0,00</w:t>
            </w:r>
          </w:p>
        </w:tc>
        <w:tc>
          <w:tcPr>
            <w:tcW w:w="175" w:type="pct"/>
            <w:tcBorders>
              <w:top w:val="single" w:sz="4" w:space="0" w:color="auto"/>
              <w:left w:val="single" w:sz="4" w:space="0" w:color="auto"/>
              <w:bottom w:val="single" w:sz="4" w:space="0" w:color="auto"/>
              <w:right w:val="single" w:sz="4" w:space="0" w:color="auto"/>
            </w:tcBorders>
            <w:vAlign w:val="center"/>
            <w:hideMark/>
          </w:tcPr>
          <w:p w14:paraId="5E82A787"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5561DA2E" w14:textId="77777777" w:rsidR="002F590A" w:rsidRDefault="002F590A">
            <w:pPr>
              <w:jc w:val="center"/>
              <w:rPr>
                <w:color w:val="000000"/>
                <w:sz w:val="12"/>
                <w:szCs w:val="12"/>
              </w:rPr>
            </w:pPr>
            <w:r>
              <w:rPr>
                <w:color w:val="000000"/>
                <w:sz w:val="12"/>
                <w:szCs w:val="12"/>
              </w:rPr>
              <w:t>0,00</w:t>
            </w:r>
          </w:p>
        </w:tc>
        <w:tc>
          <w:tcPr>
            <w:tcW w:w="172" w:type="pct"/>
            <w:tcBorders>
              <w:top w:val="single" w:sz="4" w:space="0" w:color="auto"/>
              <w:left w:val="single" w:sz="4" w:space="0" w:color="auto"/>
              <w:bottom w:val="single" w:sz="4" w:space="0" w:color="auto"/>
              <w:right w:val="single" w:sz="4" w:space="0" w:color="auto"/>
            </w:tcBorders>
            <w:vAlign w:val="center"/>
            <w:hideMark/>
          </w:tcPr>
          <w:p w14:paraId="25FC0562" w14:textId="77777777" w:rsidR="002F590A" w:rsidRDefault="002F590A">
            <w:pPr>
              <w:jc w:val="center"/>
              <w:rPr>
                <w:color w:val="000000"/>
                <w:sz w:val="12"/>
                <w:szCs w:val="12"/>
              </w:rPr>
            </w:pPr>
            <w:r>
              <w:rPr>
                <w:color w:val="000000"/>
                <w:sz w:val="12"/>
                <w:szCs w:val="12"/>
              </w:rPr>
              <w:t>0,00</w:t>
            </w:r>
          </w:p>
        </w:tc>
      </w:tr>
      <w:tr w:rsidR="002F590A" w14:paraId="59D929B4" w14:textId="77777777" w:rsidTr="002F590A">
        <w:trPr>
          <w:trHeight w:val="552"/>
        </w:trPr>
        <w:tc>
          <w:tcPr>
            <w:tcW w:w="173" w:type="pct"/>
            <w:tcBorders>
              <w:top w:val="single" w:sz="4" w:space="0" w:color="auto"/>
              <w:left w:val="single" w:sz="4" w:space="0" w:color="auto"/>
              <w:bottom w:val="single" w:sz="4" w:space="0" w:color="auto"/>
              <w:right w:val="single" w:sz="4" w:space="0" w:color="auto"/>
            </w:tcBorders>
            <w:vAlign w:val="center"/>
            <w:hideMark/>
          </w:tcPr>
          <w:p w14:paraId="23E68230" w14:textId="77777777" w:rsidR="002F590A" w:rsidRDefault="002F590A">
            <w:pPr>
              <w:jc w:val="center"/>
              <w:rPr>
                <w:bCs/>
                <w:sz w:val="12"/>
                <w:szCs w:val="12"/>
              </w:rPr>
            </w:pPr>
            <w:r>
              <w:rPr>
                <w:bCs/>
                <w:sz w:val="12"/>
                <w:szCs w:val="12"/>
              </w:rPr>
              <w:t>1</w:t>
            </w:r>
          </w:p>
        </w:tc>
        <w:tc>
          <w:tcPr>
            <w:tcW w:w="280" w:type="pct"/>
            <w:tcBorders>
              <w:top w:val="single" w:sz="4" w:space="0" w:color="auto"/>
              <w:left w:val="single" w:sz="4" w:space="0" w:color="auto"/>
              <w:bottom w:val="single" w:sz="4" w:space="0" w:color="auto"/>
              <w:right w:val="single" w:sz="4" w:space="0" w:color="auto"/>
            </w:tcBorders>
            <w:vAlign w:val="center"/>
            <w:hideMark/>
          </w:tcPr>
          <w:p w14:paraId="5D1D2EB9" w14:textId="77777777" w:rsidR="002F590A" w:rsidRDefault="002F590A">
            <w:pPr>
              <w:jc w:val="center"/>
              <w:rPr>
                <w:bCs/>
                <w:sz w:val="12"/>
                <w:szCs w:val="12"/>
              </w:rPr>
            </w:pPr>
            <w:r>
              <w:rPr>
                <w:bCs/>
                <w:sz w:val="12"/>
                <w:szCs w:val="12"/>
              </w:rPr>
              <w:t>2</w:t>
            </w:r>
          </w:p>
        </w:tc>
        <w:tc>
          <w:tcPr>
            <w:tcW w:w="313" w:type="pct"/>
            <w:tcBorders>
              <w:top w:val="single" w:sz="4" w:space="0" w:color="auto"/>
              <w:left w:val="single" w:sz="4" w:space="0" w:color="auto"/>
              <w:bottom w:val="single" w:sz="4" w:space="0" w:color="auto"/>
              <w:right w:val="single" w:sz="4" w:space="0" w:color="auto"/>
            </w:tcBorders>
            <w:vAlign w:val="center"/>
            <w:hideMark/>
          </w:tcPr>
          <w:p w14:paraId="43964D64" w14:textId="77777777" w:rsidR="002F590A" w:rsidRDefault="002F590A">
            <w:pPr>
              <w:jc w:val="center"/>
              <w:rPr>
                <w:bCs/>
                <w:sz w:val="12"/>
                <w:szCs w:val="12"/>
              </w:rPr>
            </w:pPr>
            <w:r>
              <w:rPr>
                <w:bCs/>
                <w:sz w:val="12"/>
                <w:szCs w:val="12"/>
              </w:rPr>
              <w:t>3</w:t>
            </w:r>
          </w:p>
        </w:tc>
        <w:tc>
          <w:tcPr>
            <w:tcW w:w="275" w:type="pct"/>
            <w:tcBorders>
              <w:top w:val="single" w:sz="4" w:space="0" w:color="auto"/>
              <w:left w:val="single" w:sz="4" w:space="0" w:color="auto"/>
              <w:bottom w:val="single" w:sz="4" w:space="0" w:color="auto"/>
              <w:right w:val="single" w:sz="4" w:space="0" w:color="auto"/>
            </w:tcBorders>
            <w:vAlign w:val="center"/>
            <w:hideMark/>
          </w:tcPr>
          <w:p w14:paraId="7823DB87" w14:textId="77777777" w:rsidR="002F590A" w:rsidRDefault="002F590A">
            <w:pPr>
              <w:jc w:val="center"/>
              <w:rPr>
                <w:bCs/>
                <w:sz w:val="12"/>
                <w:szCs w:val="12"/>
              </w:rPr>
            </w:pPr>
            <w:r>
              <w:rPr>
                <w:bCs/>
                <w:sz w:val="12"/>
                <w:szCs w:val="12"/>
              </w:rPr>
              <w:t>4</w:t>
            </w:r>
          </w:p>
        </w:tc>
        <w:tc>
          <w:tcPr>
            <w:tcW w:w="303" w:type="pct"/>
            <w:tcBorders>
              <w:top w:val="single" w:sz="4" w:space="0" w:color="auto"/>
              <w:left w:val="single" w:sz="4" w:space="0" w:color="auto"/>
              <w:bottom w:val="single" w:sz="4" w:space="0" w:color="auto"/>
              <w:right w:val="single" w:sz="4" w:space="0" w:color="auto"/>
            </w:tcBorders>
            <w:vAlign w:val="center"/>
            <w:hideMark/>
          </w:tcPr>
          <w:p w14:paraId="12A9C0F5" w14:textId="77777777" w:rsidR="002F590A" w:rsidRDefault="002F590A">
            <w:pPr>
              <w:jc w:val="center"/>
              <w:rPr>
                <w:bCs/>
                <w:sz w:val="12"/>
                <w:szCs w:val="12"/>
              </w:rPr>
            </w:pPr>
            <w:r>
              <w:rPr>
                <w:bCs/>
                <w:sz w:val="12"/>
                <w:szCs w:val="12"/>
              </w:rPr>
              <w:t>5</w:t>
            </w:r>
          </w:p>
        </w:tc>
        <w:tc>
          <w:tcPr>
            <w:tcW w:w="139" w:type="pct"/>
            <w:tcBorders>
              <w:top w:val="single" w:sz="4" w:space="0" w:color="auto"/>
              <w:left w:val="single" w:sz="4" w:space="0" w:color="auto"/>
              <w:bottom w:val="single" w:sz="4" w:space="0" w:color="auto"/>
              <w:right w:val="single" w:sz="4" w:space="0" w:color="auto"/>
            </w:tcBorders>
            <w:vAlign w:val="center"/>
            <w:hideMark/>
          </w:tcPr>
          <w:p w14:paraId="155C34AC" w14:textId="77777777" w:rsidR="002F590A" w:rsidRDefault="002F590A">
            <w:pPr>
              <w:jc w:val="center"/>
              <w:rPr>
                <w:bCs/>
                <w:sz w:val="12"/>
                <w:szCs w:val="12"/>
              </w:rPr>
            </w:pPr>
            <w:r>
              <w:rPr>
                <w:bCs/>
                <w:sz w:val="12"/>
                <w:szCs w:val="12"/>
              </w:rPr>
              <w:t>6</w:t>
            </w:r>
          </w:p>
        </w:tc>
        <w:tc>
          <w:tcPr>
            <w:tcW w:w="300" w:type="pct"/>
            <w:tcBorders>
              <w:top w:val="single" w:sz="4" w:space="0" w:color="auto"/>
              <w:left w:val="single" w:sz="4" w:space="0" w:color="auto"/>
              <w:bottom w:val="single" w:sz="4" w:space="0" w:color="auto"/>
              <w:right w:val="single" w:sz="4" w:space="0" w:color="auto"/>
            </w:tcBorders>
            <w:vAlign w:val="center"/>
            <w:hideMark/>
          </w:tcPr>
          <w:p w14:paraId="0D5D70C5" w14:textId="77777777" w:rsidR="002F590A" w:rsidRDefault="002F590A">
            <w:pPr>
              <w:jc w:val="center"/>
              <w:rPr>
                <w:bCs/>
                <w:sz w:val="12"/>
                <w:szCs w:val="12"/>
              </w:rPr>
            </w:pPr>
            <w:r>
              <w:rPr>
                <w:bCs/>
                <w:sz w:val="12"/>
                <w:szCs w:val="12"/>
              </w:rPr>
              <w:t>7</w:t>
            </w:r>
          </w:p>
        </w:tc>
        <w:tc>
          <w:tcPr>
            <w:tcW w:w="351" w:type="pct"/>
            <w:tcBorders>
              <w:top w:val="single" w:sz="4" w:space="0" w:color="auto"/>
              <w:left w:val="single" w:sz="4" w:space="0" w:color="auto"/>
              <w:bottom w:val="single" w:sz="4" w:space="0" w:color="auto"/>
              <w:right w:val="single" w:sz="4" w:space="0" w:color="auto"/>
            </w:tcBorders>
            <w:vAlign w:val="center"/>
            <w:hideMark/>
          </w:tcPr>
          <w:p w14:paraId="54BBF794" w14:textId="77777777" w:rsidR="002F590A" w:rsidRDefault="002F590A">
            <w:pPr>
              <w:jc w:val="center"/>
              <w:rPr>
                <w:bCs/>
                <w:sz w:val="12"/>
                <w:szCs w:val="12"/>
              </w:rPr>
            </w:pPr>
            <w:r>
              <w:rPr>
                <w:bCs/>
                <w:sz w:val="12"/>
                <w:szCs w:val="12"/>
              </w:rPr>
              <w:t>8</w:t>
            </w:r>
          </w:p>
        </w:tc>
        <w:tc>
          <w:tcPr>
            <w:tcW w:w="139" w:type="pct"/>
            <w:tcBorders>
              <w:top w:val="single" w:sz="4" w:space="0" w:color="auto"/>
              <w:left w:val="single" w:sz="4" w:space="0" w:color="auto"/>
              <w:bottom w:val="single" w:sz="4" w:space="0" w:color="auto"/>
              <w:right w:val="single" w:sz="4" w:space="0" w:color="auto"/>
            </w:tcBorders>
            <w:vAlign w:val="center"/>
            <w:hideMark/>
          </w:tcPr>
          <w:p w14:paraId="4A15C394" w14:textId="77777777" w:rsidR="002F590A" w:rsidRDefault="002F590A">
            <w:pPr>
              <w:jc w:val="center"/>
              <w:rPr>
                <w:bCs/>
                <w:sz w:val="12"/>
                <w:szCs w:val="12"/>
              </w:rPr>
            </w:pPr>
            <w:r>
              <w:rPr>
                <w:bCs/>
                <w:sz w:val="12"/>
                <w:szCs w:val="12"/>
              </w:rPr>
              <w:t>9</w:t>
            </w:r>
          </w:p>
        </w:tc>
        <w:tc>
          <w:tcPr>
            <w:tcW w:w="167" w:type="pct"/>
            <w:tcBorders>
              <w:top w:val="single" w:sz="4" w:space="0" w:color="auto"/>
              <w:left w:val="single" w:sz="4" w:space="0" w:color="auto"/>
              <w:bottom w:val="single" w:sz="4" w:space="0" w:color="auto"/>
              <w:right w:val="single" w:sz="4" w:space="0" w:color="auto"/>
            </w:tcBorders>
            <w:vAlign w:val="center"/>
            <w:hideMark/>
          </w:tcPr>
          <w:p w14:paraId="3FFCE44D" w14:textId="77777777" w:rsidR="002F590A" w:rsidRDefault="002F590A">
            <w:pPr>
              <w:jc w:val="center"/>
              <w:rPr>
                <w:bCs/>
                <w:sz w:val="12"/>
                <w:szCs w:val="12"/>
              </w:rPr>
            </w:pPr>
            <w:r>
              <w:rPr>
                <w:bCs/>
                <w:sz w:val="12"/>
                <w:szCs w:val="12"/>
              </w:rPr>
              <w:t>10</w:t>
            </w:r>
          </w:p>
        </w:tc>
        <w:tc>
          <w:tcPr>
            <w:tcW w:w="216" w:type="pct"/>
            <w:tcBorders>
              <w:top w:val="single" w:sz="4" w:space="0" w:color="auto"/>
              <w:left w:val="single" w:sz="4" w:space="0" w:color="auto"/>
              <w:bottom w:val="single" w:sz="4" w:space="0" w:color="auto"/>
              <w:right w:val="single" w:sz="4" w:space="0" w:color="auto"/>
            </w:tcBorders>
            <w:vAlign w:val="center"/>
            <w:hideMark/>
          </w:tcPr>
          <w:p w14:paraId="63CF2826" w14:textId="77777777" w:rsidR="002F590A" w:rsidRDefault="002F590A">
            <w:pPr>
              <w:jc w:val="center"/>
              <w:rPr>
                <w:bCs/>
                <w:sz w:val="12"/>
                <w:szCs w:val="12"/>
              </w:rPr>
            </w:pPr>
            <w:r>
              <w:rPr>
                <w:bCs/>
                <w:sz w:val="12"/>
                <w:szCs w:val="12"/>
              </w:rPr>
              <w:t>11</w:t>
            </w:r>
          </w:p>
        </w:tc>
        <w:tc>
          <w:tcPr>
            <w:tcW w:w="174" w:type="pct"/>
            <w:tcBorders>
              <w:top w:val="single" w:sz="4" w:space="0" w:color="auto"/>
              <w:left w:val="single" w:sz="4" w:space="0" w:color="auto"/>
              <w:bottom w:val="single" w:sz="4" w:space="0" w:color="auto"/>
              <w:right w:val="single" w:sz="4" w:space="0" w:color="auto"/>
            </w:tcBorders>
            <w:vAlign w:val="center"/>
            <w:hideMark/>
          </w:tcPr>
          <w:p w14:paraId="1D443344" w14:textId="77777777" w:rsidR="002F590A" w:rsidRDefault="002F590A">
            <w:pPr>
              <w:jc w:val="center"/>
              <w:rPr>
                <w:bCs/>
                <w:sz w:val="12"/>
                <w:szCs w:val="12"/>
              </w:rPr>
            </w:pPr>
            <w:r>
              <w:rPr>
                <w:bCs/>
                <w:sz w:val="12"/>
                <w:szCs w:val="12"/>
              </w:rPr>
              <w:t>12</w:t>
            </w:r>
          </w:p>
        </w:tc>
        <w:tc>
          <w:tcPr>
            <w:tcW w:w="174" w:type="pct"/>
            <w:tcBorders>
              <w:top w:val="single" w:sz="4" w:space="0" w:color="auto"/>
              <w:left w:val="single" w:sz="4" w:space="0" w:color="auto"/>
              <w:bottom w:val="single" w:sz="4" w:space="0" w:color="auto"/>
              <w:right w:val="single" w:sz="4" w:space="0" w:color="auto"/>
            </w:tcBorders>
            <w:vAlign w:val="center"/>
            <w:hideMark/>
          </w:tcPr>
          <w:p w14:paraId="5C6F7C09" w14:textId="77777777" w:rsidR="002F590A" w:rsidRDefault="002F590A">
            <w:pPr>
              <w:jc w:val="center"/>
              <w:rPr>
                <w:bCs/>
                <w:sz w:val="12"/>
                <w:szCs w:val="12"/>
              </w:rPr>
            </w:pPr>
            <w:r>
              <w:rPr>
                <w:bCs/>
                <w:sz w:val="12"/>
                <w:szCs w:val="12"/>
              </w:rPr>
              <w:t>13</w:t>
            </w:r>
          </w:p>
        </w:tc>
        <w:tc>
          <w:tcPr>
            <w:tcW w:w="172" w:type="pct"/>
            <w:tcBorders>
              <w:top w:val="single" w:sz="4" w:space="0" w:color="auto"/>
              <w:left w:val="single" w:sz="4" w:space="0" w:color="auto"/>
              <w:bottom w:val="single" w:sz="4" w:space="0" w:color="auto"/>
              <w:right w:val="single" w:sz="4" w:space="0" w:color="auto"/>
            </w:tcBorders>
            <w:vAlign w:val="center"/>
            <w:hideMark/>
          </w:tcPr>
          <w:p w14:paraId="3BF65849" w14:textId="77777777" w:rsidR="002F590A" w:rsidRDefault="002F590A">
            <w:pPr>
              <w:jc w:val="center"/>
              <w:rPr>
                <w:bCs/>
                <w:sz w:val="12"/>
                <w:szCs w:val="12"/>
              </w:rPr>
            </w:pPr>
            <w:r>
              <w:rPr>
                <w:bCs/>
                <w:sz w:val="12"/>
                <w:szCs w:val="12"/>
              </w:rPr>
              <w:t>14</w:t>
            </w:r>
          </w:p>
        </w:tc>
        <w:tc>
          <w:tcPr>
            <w:tcW w:w="174" w:type="pct"/>
            <w:tcBorders>
              <w:top w:val="single" w:sz="4" w:space="0" w:color="auto"/>
              <w:left w:val="single" w:sz="4" w:space="0" w:color="auto"/>
              <w:bottom w:val="single" w:sz="4" w:space="0" w:color="auto"/>
              <w:right w:val="single" w:sz="4" w:space="0" w:color="auto"/>
            </w:tcBorders>
            <w:vAlign w:val="center"/>
            <w:hideMark/>
          </w:tcPr>
          <w:p w14:paraId="74A5BB63" w14:textId="77777777" w:rsidR="002F590A" w:rsidRDefault="002F590A">
            <w:pPr>
              <w:jc w:val="center"/>
              <w:rPr>
                <w:bCs/>
                <w:sz w:val="12"/>
                <w:szCs w:val="12"/>
              </w:rPr>
            </w:pPr>
            <w:r>
              <w:rPr>
                <w:bCs/>
                <w:sz w:val="12"/>
                <w:szCs w:val="12"/>
              </w:rPr>
              <w:t>15</w:t>
            </w:r>
          </w:p>
        </w:tc>
        <w:tc>
          <w:tcPr>
            <w:tcW w:w="216" w:type="pct"/>
            <w:tcBorders>
              <w:top w:val="single" w:sz="4" w:space="0" w:color="auto"/>
              <w:left w:val="single" w:sz="4" w:space="0" w:color="auto"/>
              <w:bottom w:val="single" w:sz="4" w:space="0" w:color="auto"/>
              <w:right w:val="single" w:sz="4" w:space="0" w:color="auto"/>
            </w:tcBorders>
            <w:vAlign w:val="center"/>
            <w:hideMark/>
          </w:tcPr>
          <w:p w14:paraId="1512C120" w14:textId="77777777" w:rsidR="002F590A" w:rsidRDefault="002F590A">
            <w:pPr>
              <w:jc w:val="center"/>
              <w:rPr>
                <w:bCs/>
                <w:sz w:val="12"/>
                <w:szCs w:val="12"/>
              </w:rPr>
            </w:pPr>
            <w:r>
              <w:rPr>
                <w:bCs/>
                <w:sz w:val="12"/>
                <w:szCs w:val="12"/>
              </w:rPr>
              <w:t>16</w:t>
            </w:r>
          </w:p>
        </w:tc>
        <w:tc>
          <w:tcPr>
            <w:tcW w:w="174" w:type="pct"/>
            <w:tcBorders>
              <w:top w:val="single" w:sz="4" w:space="0" w:color="auto"/>
              <w:left w:val="single" w:sz="4" w:space="0" w:color="auto"/>
              <w:bottom w:val="single" w:sz="4" w:space="0" w:color="auto"/>
              <w:right w:val="single" w:sz="4" w:space="0" w:color="auto"/>
            </w:tcBorders>
            <w:vAlign w:val="center"/>
            <w:hideMark/>
          </w:tcPr>
          <w:p w14:paraId="0B879B5B" w14:textId="77777777" w:rsidR="002F590A" w:rsidRDefault="002F590A">
            <w:pPr>
              <w:jc w:val="center"/>
              <w:rPr>
                <w:bCs/>
                <w:sz w:val="12"/>
                <w:szCs w:val="12"/>
              </w:rPr>
            </w:pPr>
            <w:r>
              <w:rPr>
                <w:bCs/>
                <w:sz w:val="12"/>
                <w:szCs w:val="12"/>
              </w:rPr>
              <w:t>17</w:t>
            </w:r>
          </w:p>
        </w:tc>
        <w:tc>
          <w:tcPr>
            <w:tcW w:w="174" w:type="pct"/>
            <w:tcBorders>
              <w:top w:val="single" w:sz="4" w:space="0" w:color="auto"/>
              <w:left w:val="single" w:sz="4" w:space="0" w:color="auto"/>
              <w:bottom w:val="single" w:sz="4" w:space="0" w:color="auto"/>
              <w:right w:val="single" w:sz="4" w:space="0" w:color="auto"/>
            </w:tcBorders>
            <w:vAlign w:val="center"/>
            <w:hideMark/>
          </w:tcPr>
          <w:p w14:paraId="6C5FA468" w14:textId="77777777" w:rsidR="002F590A" w:rsidRDefault="002F590A">
            <w:pPr>
              <w:jc w:val="center"/>
              <w:rPr>
                <w:bCs/>
                <w:sz w:val="12"/>
                <w:szCs w:val="12"/>
              </w:rPr>
            </w:pPr>
            <w:r>
              <w:rPr>
                <w:bCs/>
                <w:sz w:val="12"/>
                <w:szCs w:val="12"/>
              </w:rPr>
              <w:t>18</w:t>
            </w:r>
          </w:p>
        </w:tc>
        <w:tc>
          <w:tcPr>
            <w:tcW w:w="218" w:type="pct"/>
            <w:tcBorders>
              <w:top w:val="single" w:sz="4" w:space="0" w:color="auto"/>
              <w:left w:val="single" w:sz="4" w:space="0" w:color="auto"/>
              <w:bottom w:val="single" w:sz="4" w:space="0" w:color="auto"/>
              <w:right w:val="single" w:sz="4" w:space="0" w:color="auto"/>
            </w:tcBorders>
            <w:vAlign w:val="center"/>
            <w:hideMark/>
          </w:tcPr>
          <w:p w14:paraId="2C332C62" w14:textId="77777777" w:rsidR="002F590A" w:rsidRDefault="002F590A">
            <w:pPr>
              <w:jc w:val="center"/>
              <w:rPr>
                <w:bCs/>
                <w:sz w:val="12"/>
                <w:szCs w:val="12"/>
              </w:rPr>
            </w:pPr>
            <w:r>
              <w:rPr>
                <w:bCs/>
                <w:sz w:val="12"/>
                <w:szCs w:val="12"/>
              </w:rPr>
              <w:t>19</w:t>
            </w:r>
          </w:p>
        </w:tc>
        <w:tc>
          <w:tcPr>
            <w:tcW w:w="174" w:type="pct"/>
            <w:tcBorders>
              <w:top w:val="single" w:sz="4" w:space="0" w:color="auto"/>
              <w:left w:val="single" w:sz="4" w:space="0" w:color="auto"/>
              <w:bottom w:val="single" w:sz="4" w:space="0" w:color="auto"/>
              <w:right w:val="single" w:sz="4" w:space="0" w:color="auto"/>
            </w:tcBorders>
            <w:vAlign w:val="center"/>
            <w:hideMark/>
          </w:tcPr>
          <w:p w14:paraId="423A7628" w14:textId="77777777" w:rsidR="002F590A" w:rsidRDefault="002F590A">
            <w:pPr>
              <w:jc w:val="center"/>
              <w:rPr>
                <w:bCs/>
                <w:sz w:val="12"/>
                <w:szCs w:val="12"/>
              </w:rPr>
            </w:pPr>
            <w:r>
              <w:rPr>
                <w:bCs/>
                <w:sz w:val="12"/>
                <w:szCs w:val="12"/>
              </w:rPr>
              <w:t>20</w:t>
            </w:r>
          </w:p>
        </w:tc>
        <w:tc>
          <w:tcPr>
            <w:tcW w:w="174" w:type="pct"/>
            <w:tcBorders>
              <w:top w:val="single" w:sz="4" w:space="0" w:color="auto"/>
              <w:left w:val="single" w:sz="4" w:space="0" w:color="auto"/>
              <w:bottom w:val="single" w:sz="4" w:space="0" w:color="auto"/>
              <w:right w:val="single" w:sz="4" w:space="0" w:color="auto"/>
            </w:tcBorders>
            <w:vAlign w:val="center"/>
            <w:hideMark/>
          </w:tcPr>
          <w:p w14:paraId="57D3AC1B" w14:textId="77777777" w:rsidR="002F590A" w:rsidRDefault="002F590A">
            <w:pPr>
              <w:jc w:val="center"/>
              <w:rPr>
                <w:bCs/>
                <w:sz w:val="12"/>
                <w:szCs w:val="12"/>
              </w:rPr>
            </w:pPr>
            <w:r>
              <w:rPr>
                <w:bCs/>
                <w:sz w:val="12"/>
                <w:szCs w:val="12"/>
              </w:rPr>
              <w:t>21</w:t>
            </w:r>
          </w:p>
        </w:tc>
        <w:tc>
          <w:tcPr>
            <w:tcW w:w="175" w:type="pct"/>
            <w:tcBorders>
              <w:top w:val="single" w:sz="4" w:space="0" w:color="auto"/>
              <w:left w:val="single" w:sz="4" w:space="0" w:color="auto"/>
              <w:bottom w:val="single" w:sz="4" w:space="0" w:color="auto"/>
              <w:right w:val="single" w:sz="4" w:space="0" w:color="auto"/>
            </w:tcBorders>
            <w:vAlign w:val="center"/>
            <w:hideMark/>
          </w:tcPr>
          <w:p w14:paraId="6E7E5DE6" w14:textId="77777777" w:rsidR="002F590A" w:rsidRDefault="002F590A">
            <w:pPr>
              <w:jc w:val="center"/>
              <w:rPr>
                <w:bCs/>
                <w:sz w:val="12"/>
                <w:szCs w:val="12"/>
              </w:rPr>
            </w:pPr>
            <w:r>
              <w:rPr>
                <w:bCs/>
                <w:sz w:val="12"/>
                <w:szCs w:val="12"/>
              </w:rPr>
              <w:t>22</w:t>
            </w:r>
          </w:p>
        </w:tc>
        <w:tc>
          <w:tcPr>
            <w:tcW w:w="173" w:type="pct"/>
            <w:tcBorders>
              <w:top w:val="single" w:sz="4" w:space="0" w:color="auto"/>
              <w:left w:val="single" w:sz="4" w:space="0" w:color="auto"/>
              <w:bottom w:val="single" w:sz="4" w:space="0" w:color="auto"/>
              <w:right w:val="single" w:sz="4" w:space="0" w:color="auto"/>
            </w:tcBorders>
            <w:vAlign w:val="center"/>
            <w:hideMark/>
          </w:tcPr>
          <w:p w14:paraId="00E53572" w14:textId="77777777" w:rsidR="002F590A" w:rsidRDefault="002F590A">
            <w:pPr>
              <w:jc w:val="center"/>
              <w:rPr>
                <w:bCs/>
                <w:sz w:val="12"/>
                <w:szCs w:val="12"/>
              </w:rPr>
            </w:pPr>
            <w:r>
              <w:rPr>
                <w:bCs/>
                <w:sz w:val="12"/>
                <w:szCs w:val="12"/>
              </w:rPr>
              <w:t>23</w:t>
            </w:r>
          </w:p>
        </w:tc>
        <w:tc>
          <w:tcPr>
            <w:tcW w:w="172" w:type="pct"/>
            <w:tcBorders>
              <w:top w:val="single" w:sz="4" w:space="0" w:color="auto"/>
              <w:left w:val="single" w:sz="4" w:space="0" w:color="auto"/>
              <w:bottom w:val="single" w:sz="4" w:space="0" w:color="auto"/>
              <w:right w:val="single" w:sz="4" w:space="0" w:color="auto"/>
            </w:tcBorders>
            <w:vAlign w:val="center"/>
            <w:hideMark/>
          </w:tcPr>
          <w:p w14:paraId="744017AC" w14:textId="77777777" w:rsidR="002F590A" w:rsidRDefault="002F590A">
            <w:pPr>
              <w:jc w:val="center"/>
              <w:rPr>
                <w:bCs/>
                <w:sz w:val="12"/>
                <w:szCs w:val="12"/>
              </w:rPr>
            </w:pPr>
            <w:r>
              <w:rPr>
                <w:bCs/>
                <w:sz w:val="12"/>
                <w:szCs w:val="12"/>
              </w:rPr>
              <w:t>24</w:t>
            </w:r>
          </w:p>
        </w:tc>
      </w:tr>
      <w:tr w:rsidR="002F590A" w14:paraId="5E98CCF7" w14:textId="77777777" w:rsidTr="002F590A">
        <w:trPr>
          <w:trHeight w:val="897"/>
        </w:trPr>
        <w:tc>
          <w:tcPr>
            <w:tcW w:w="173" w:type="pct"/>
            <w:tcBorders>
              <w:top w:val="single" w:sz="4" w:space="0" w:color="auto"/>
              <w:left w:val="single" w:sz="4" w:space="0" w:color="auto"/>
              <w:bottom w:val="single" w:sz="4" w:space="0" w:color="auto"/>
              <w:right w:val="single" w:sz="4" w:space="0" w:color="auto"/>
            </w:tcBorders>
            <w:vAlign w:val="center"/>
            <w:hideMark/>
          </w:tcPr>
          <w:p w14:paraId="7B21CC4F" w14:textId="77777777" w:rsidR="002F590A" w:rsidRDefault="002F590A">
            <w:pPr>
              <w:jc w:val="center"/>
              <w:rPr>
                <w:sz w:val="12"/>
                <w:szCs w:val="12"/>
              </w:rPr>
            </w:pPr>
            <w:r>
              <w:rPr>
                <w:sz w:val="12"/>
                <w:szCs w:val="12"/>
              </w:rPr>
              <w:t>3.2.13.3</w:t>
            </w:r>
          </w:p>
        </w:tc>
        <w:tc>
          <w:tcPr>
            <w:tcW w:w="280" w:type="pct"/>
            <w:tcBorders>
              <w:top w:val="single" w:sz="4" w:space="0" w:color="auto"/>
              <w:left w:val="single" w:sz="4" w:space="0" w:color="auto"/>
              <w:bottom w:val="single" w:sz="4" w:space="0" w:color="auto"/>
              <w:right w:val="single" w:sz="4" w:space="0" w:color="auto"/>
            </w:tcBorders>
            <w:vAlign w:val="center"/>
            <w:hideMark/>
          </w:tcPr>
          <w:p w14:paraId="5AA7DE72" w14:textId="77777777" w:rsidR="002F590A" w:rsidRDefault="002F590A">
            <w:pPr>
              <w:rPr>
                <w:color w:val="000000"/>
                <w:sz w:val="12"/>
                <w:szCs w:val="12"/>
              </w:rPr>
            </w:pPr>
            <w:r>
              <w:rPr>
                <w:color w:val="000000"/>
                <w:sz w:val="12"/>
                <w:szCs w:val="12"/>
              </w:rPr>
              <w:t>Реконструкция системы автоматической подпитки тепловой сети из водопровода</w:t>
            </w:r>
          </w:p>
        </w:tc>
        <w:tc>
          <w:tcPr>
            <w:tcW w:w="313" w:type="pct"/>
            <w:tcBorders>
              <w:top w:val="single" w:sz="4" w:space="0" w:color="auto"/>
              <w:left w:val="single" w:sz="4" w:space="0" w:color="auto"/>
              <w:bottom w:val="single" w:sz="4" w:space="0" w:color="auto"/>
              <w:right w:val="single" w:sz="4" w:space="0" w:color="auto"/>
            </w:tcBorders>
            <w:vAlign w:val="center"/>
            <w:hideMark/>
          </w:tcPr>
          <w:p w14:paraId="750D9D0B" w14:textId="77777777" w:rsidR="002F590A" w:rsidRDefault="002F590A">
            <w:pPr>
              <w:jc w:val="center"/>
              <w:rPr>
                <w:sz w:val="12"/>
                <w:szCs w:val="12"/>
              </w:rPr>
            </w:pPr>
            <w:r>
              <w:rPr>
                <w:sz w:val="12"/>
                <w:szCs w:val="12"/>
              </w:rPr>
              <w:t>Повышение надежности (бесперебойности) услуг теплоснабжения, повышение энергетической эффективности</w:t>
            </w:r>
          </w:p>
        </w:tc>
        <w:tc>
          <w:tcPr>
            <w:tcW w:w="275" w:type="pct"/>
            <w:tcBorders>
              <w:top w:val="single" w:sz="4" w:space="0" w:color="auto"/>
              <w:left w:val="single" w:sz="4" w:space="0" w:color="auto"/>
              <w:bottom w:val="single" w:sz="4" w:space="0" w:color="auto"/>
              <w:right w:val="single" w:sz="4" w:space="0" w:color="auto"/>
            </w:tcBorders>
            <w:vAlign w:val="center"/>
            <w:hideMark/>
          </w:tcPr>
          <w:p w14:paraId="264EA2D6" w14:textId="77777777" w:rsidR="002F590A" w:rsidRDefault="002F590A">
            <w:pPr>
              <w:jc w:val="center"/>
              <w:rPr>
                <w:sz w:val="12"/>
                <w:szCs w:val="12"/>
              </w:rPr>
            </w:pPr>
            <w:r>
              <w:rPr>
                <w:sz w:val="12"/>
                <w:szCs w:val="12"/>
              </w:rPr>
              <w:t> </w:t>
            </w:r>
          </w:p>
        </w:tc>
        <w:tc>
          <w:tcPr>
            <w:tcW w:w="303" w:type="pct"/>
            <w:tcBorders>
              <w:top w:val="single" w:sz="4" w:space="0" w:color="auto"/>
              <w:left w:val="single" w:sz="4" w:space="0" w:color="auto"/>
              <w:bottom w:val="single" w:sz="4" w:space="0" w:color="auto"/>
              <w:right w:val="single" w:sz="4" w:space="0" w:color="auto"/>
            </w:tcBorders>
            <w:vAlign w:val="center"/>
            <w:hideMark/>
          </w:tcPr>
          <w:p w14:paraId="31C9BEB0" w14:textId="77777777" w:rsidR="002F590A" w:rsidRDefault="002F590A">
            <w:pPr>
              <w:jc w:val="center"/>
              <w:rPr>
                <w:sz w:val="12"/>
                <w:szCs w:val="12"/>
              </w:rPr>
            </w:pPr>
            <w:r>
              <w:rPr>
                <w:color w:val="000000"/>
                <w:sz w:val="12"/>
                <w:szCs w:val="12"/>
              </w:rPr>
              <w:t>Технические характеристики</w:t>
            </w:r>
          </w:p>
        </w:tc>
        <w:tc>
          <w:tcPr>
            <w:tcW w:w="139" w:type="pct"/>
            <w:tcBorders>
              <w:top w:val="single" w:sz="4" w:space="0" w:color="auto"/>
              <w:left w:val="single" w:sz="4" w:space="0" w:color="auto"/>
              <w:bottom w:val="single" w:sz="4" w:space="0" w:color="auto"/>
              <w:right w:val="single" w:sz="4" w:space="0" w:color="auto"/>
            </w:tcBorders>
            <w:vAlign w:val="center"/>
          </w:tcPr>
          <w:p w14:paraId="23A542B3" w14:textId="77777777" w:rsidR="002F590A" w:rsidRDefault="002F590A">
            <w:pPr>
              <w:jc w:val="center"/>
              <w:rPr>
                <w:sz w:val="12"/>
                <w:szCs w:val="12"/>
              </w:rPr>
            </w:pPr>
          </w:p>
        </w:tc>
        <w:tc>
          <w:tcPr>
            <w:tcW w:w="300" w:type="pct"/>
            <w:tcBorders>
              <w:top w:val="single" w:sz="4" w:space="0" w:color="auto"/>
              <w:left w:val="single" w:sz="4" w:space="0" w:color="auto"/>
              <w:bottom w:val="single" w:sz="4" w:space="0" w:color="auto"/>
              <w:right w:val="single" w:sz="4" w:space="0" w:color="auto"/>
            </w:tcBorders>
            <w:vAlign w:val="center"/>
            <w:hideMark/>
          </w:tcPr>
          <w:p w14:paraId="15FCA1ED" w14:textId="77777777" w:rsidR="002F590A" w:rsidRDefault="002F590A">
            <w:pPr>
              <w:jc w:val="center"/>
              <w:rPr>
                <w:sz w:val="12"/>
                <w:szCs w:val="12"/>
              </w:rPr>
            </w:pPr>
            <w:r>
              <w:rPr>
                <w:sz w:val="12"/>
                <w:szCs w:val="12"/>
              </w:rPr>
              <w:t>Редукционный клапан Ду15, счетчик СГВ-15, кран муфтовый Ду15, обратный клапан резьбовой Ду15мм.</w:t>
            </w:r>
          </w:p>
        </w:tc>
        <w:tc>
          <w:tcPr>
            <w:tcW w:w="351" w:type="pct"/>
            <w:tcBorders>
              <w:top w:val="single" w:sz="4" w:space="0" w:color="auto"/>
              <w:left w:val="single" w:sz="4" w:space="0" w:color="auto"/>
              <w:bottom w:val="single" w:sz="4" w:space="0" w:color="auto"/>
              <w:right w:val="single" w:sz="4" w:space="0" w:color="auto"/>
            </w:tcBorders>
            <w:vAlign w:val="center"/>
            <w:hideMark/>
          </w:tcPr>
          <w:p w14:paraId="17DCACDC" w14:textId="77777777" w:rsidR="002F590A" w:rsidRDefault="002F590A">
            <w:pPr>
              <w:jc w:val="center"/>
              <w:rPr>
                <w:sz w:val="12"/>
                <w:szCs w:val="12"/>
              </w:rPr>
            </w:pPr>
            <w:r>
              <w:rPr>
                <w:sz w:val="12"/>
                <w:szCs w:val="12"/>
              </w:rPr>
              <w:t>Оборудование с техническими характеристиками не ниже существующего на объекте</w:t>
            </w:r>
          </w:p>
        </w:tc>
        <w:tc>
          <w:tcPr>
            <w:tcW w:w="139" w:type="pct"/>
            <w:tcBorders>
              <w:top w:val="single" w:sz="4" w:space="0" w:color="auto"/>
              <w:left w:val="single" w:sz="4" w:space="0" w:color="auto"/>
              <w:bottom w:val="single" w:sz="4" w:space="0" w:color="auto"/>
              <w:right w:val="single" w:sz="4" w:space="0" w:color="auto"/>
            </w:tcBorders>
            <w:vAlign w:val="center"/>
            <w:hideMark/>
          </w:tcPr>
          <w:p w14:paraId="07E02A66" w14:textId="77777777" w:rsidR="002F590A" w:rsidRDefault="002F590A">
            <w:pPr>
              <w:jc w:val="center"/>
              <w:rPr>
                <w:sz w:val="12"/>
                <w:szCs w:val="12"/>
              </w:rPr>
            </w:pPr>
            <w:r>
              <w:rPr>
                <w:sz w:val="12"/>
                <w:szCs w:val="12"/>
              </w:rPr>
              <w:t>2025</w:t>
            </w:r>
          </w:p>
        </w:tc>
        <w:tc>
          <w:tcPr>
            <w:tcW w:w="167" w:type="pct"/>
            <w:tcBorders>
              <w:top w:val="single" w:sz="4" w:space="0" w:color="auto"/>
              <w:left w:val="single" w:sz="4" w:space="0" w:color="auto"/>
              <w:bottom w:val="single" w:sz="4" w:space="0" w:color="auto"/>
              <w:right w:val="single" w:sz="4" w:space="0" w:color="auto"/>
            </w:tcBorders>
            <w:vAlign w:val="center"/>
            <w:hideMark/>
          </w:tcPr>
          <w:p w14:paraId="3DC7408E" w14:textId="77777777" w:rsidR="002F590A" w:rsidRDefault="002F590A">
            <w:pPr>
              <w:jc w:val="center"/>
              <w:rPr>
                <w:sz w:val="12"/>
                <w:szCs w:val="12"/>
              </w:rPr>
            </w:pPr>
            <w:r>
              <w:rPr>
                <w:sz w:val="12"/>
                <w:szCs w:val="12"/>
              </w:rPr>
              <w:t>2025</w:t>
            </w:r>
          </w:p>
        </w:tc>
        <w:tc>
          <w:tcPr>
            <w:tcW w:w="216" w:type="pct"/>
            <w:tcBorders>
              <w:top w:val="single" w:sz="4" w:space="0" w:color="auto"/>
              <w:left w:val="single" w:sz="4" w:space="0" w:color="auto"/>
              <w:bottom w:val="single" w:sz="4" w:space="0" w:color="auto"/>
              <w:right w:val="single" w:sz="4" w:space="0" w:color="auto"/>
            </w:tcBorders>
            <w:vAlign w:val="center"/>
            <w:hideMark/>
          </w:tcPr>
          <w:p w14:paraId="20045597" w14:textId="77777777" w:rsidR="002F590A" w:rsidRDefault="002F590A">
            <w:pPr>
              <w:jc w:val="center"/>
              <w:rPr>
                <w:color w:val="000000"/>
                <w:sz w:val="12"/>
                <w:szCs w:val="12"/>
              </w:rPr>
            </w:pPr>
            <w:r>
              <w:rPr>
                <w:color w:val="000000"/>
                <w:sz w:val="12"/>
                <w:szCs w:val="12"/>
              </w:rPr>
              <w:t>12,24</w:t>
            </w:r>
          </w:p>
        </w:tc>
        <w:tc>
          <w:tcPr>
            <w:tcW w:w="174" w:type="pct"/>
            <w:tcBorders>
              <w:top w:val="single" w:sz="4" w:space="0" w:color="auto"/>
              <w:left w:val="single" w:sz="4" w:space="0" w:color="auto"/>
              <w:bottom w:val="single" w:sz="4" w:space="0" w:color="auto"/>
              <w:right w:val="single" w:sz="4" w:space="0" w:color="auto"/>
            </w:tcBorders>
            <w:vAlign w:val="center"/>
            <w:hideMark/>
          </w:tcPr>
          <w:p w14:paraId="615438B4" w14:textId="77777777" w:rsidR="002F590A" w:rsidRDefault="002F590A">
            <w:pPr>
              <w:jc w:val="center"/>
              <w:rPr>
                <w:color w:val="000000"/>
                <w:sz w:val="12"/>
                <w:szCs w:val="12"/>
              </w:rPr>
            </w:pPr>
            <w:r>
              <w:rPr>
                <w:color w:val="000000"/>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771029BA" w14:textId="77777777" w:rsidR="002F590A" w:rsidRDefault="002F590A">
            <w:pPr>
              <w:jc w:val="center"/>
              <w:rPr>
                <w:sz w:val="12"/>
                <w:szCs w:val="12"/>
              </w:rPr>
            </w:pPr>
            <w:r>
              <w:rPr>
                <w:sz w:val="12"/>
                <w:szCs w:val="12"/>
              </w:rPr>
              <w:t>0,00</w:t>
            </w:r>
          </w:p>
        </w:tc>
        <w:tc>
          <w:tcPr>
            <w:tcW w:w="172" w:type="pct"/>
            <w:tcBorders>
              <w:top w:val="single" w:sz="4" w:space="0" w:color="auto"/>
              <w:left w:val="single" w:sz="4" w:space="0" w:color="auto"/>
              <w:bottom w:val="single" w:sz="4" w:space="0" w:color="auto"/>
              <w:right w:val="single" w:sz="4" w:space="0" w:color="auto"/>
            </w:tcBorders>
            <w:vAlign w:val="center"/>
            <w:hideMark/>
          </w:tcPr>
          <w:p w14:paraId="421DCAB1"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0BF5C78A" w14:textId="77777777" w:rsidR="002F590A" w:rsidRDefault="002F590A">
            <w:pPr>
              <w:jc w:val="center"/>
              <w:rPr>
                <w:sz w:val="12"/>
                <w:szCs w:val="12"/>
              </w:rPr>
            </w:pPr>
            <w:r>
              <w:rPr>
                <w:sz w:val="12"/>
                <w:szCs w:val="12"/>
              </w:rPr>
              <w:t>0,00</w:t>
            </w:r>
          </w:p>
        </w:tc>
        <w:tc>
          <w:tcPr>
            <w:tcW w:w="216" w:type="pct"/>
            <w:tcBorders>
              <w:top w:val="single" w:sz="4" w:space="0" w:color="auto"/>
              <w:left w:val="single" w:sz="4" w:space="0" w:color="auto"/>
              <w:bottom w:val="single" w:sz="4" w:space="0" w:color="auto"/>
              <w:right w:val="single" w:sz="4" w:space="0" w:color="auto"/>
            </w:tcBorders>
            <w:vAlign w:val="center"/>
            <w:hideMark/>
          </w:tcPr>
          <w:p w14:paraId="6EF4A770" w14:textId="77777777" w:rsidR="002F590A" w:rsidRDefault="002F590A">
            <w:pPr>
              <w:jc w:val="center"/>
              <w:rPr>
                <w:sz w:val="12"/>
                <w:szCs w:val="12"/>
              </w:rPr>
            </w:pPr>
            <w:r>
              <w:rPr>
                <w:sz w:val="12"/>
                <w:szCs w:val="12"/>
              </w:rPr>
              <w:t>12,24</w:t>
            </w:r>
          </w:p>
        </w:tc>
        <w:tc>
          <w:tcPr>
            <w:tcW w:w="174" w:type="pct"/>
            <w:tcBorders>
              <w:top w:val="single" w:sz="4" w:space="0" w:color="auto"/>
              <w:left w:val="single" w:sz="4" w:space="0" w:color="auto"/>
              <w:bottom w:val="single" w:sz="4" w:space="0" w:color="auto"/>
              <w:right w:val="single" w:sz="4" w:space="0" w:color="auto"/>
            </w:tcBorders>
            <w:vAlign w:val="center"/>
            <w:hideMark/>
          </w:tcPr>
          <w:p w14:paraId="3AC85745"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32C8B4FA" w14:textId="77777777" w:rsidR="002F590A" w:rsidRDefault="002F590A">
            <w:pPr>
              <w:jc w:val="center"/>
              <w:rPr>
                <w:sz w:val="12"/>
                <w:szCs w:val="12"/>
              </w:rPr>
            </w:pPr>
            <w:r>
              <w:rPr>
                <w:sz w:val="12"/>
                <w:szCs w:val="12"/>
              </w:rPr>
              <w:t>0,00</w:t>
            </w:r>
          </w:p>
        </w:tc>
        <w:tc>
          <w:tcPr>
            <w:tcW w:w="218" w:type="pct"/>
            <w:tcBorders>
              <w:top w:val="single" w:sz="4" w:space="0" w:color="auto"/>
              <w:left w:val="single" w:sz="4" w:space="0" w:color="auto"/>
              <w:bottom w:val="single" w:sz="4" w:space="0" w:color="auto"/>
              <w:right w:val="single" w:sz="4" w:space="0" w:color="auto"/>
            </w:tcBorders>
            <w:vAlign w:val="center"/>
            <w:hideMark/>
          </w:tcPr>
          <w:p w14:paraId="58D3BC87"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4DF45B7D"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32669916" w14:textId="77777777" w:rsidR="002F590A" w:rsidRDefault="002F590A">
            <w:pPr>
              <w:jc w:val="center"/>
              <w:rPr>
                <w:sz w:val="12"/>
                <w:szCs w:val="12"/>
              </w:rPr>
            </w:pPr>
            <w:r>
              <w:rPr>
                <w:sz w:val="12"/>
                <w:szCs w:val="12"/>
              </w:rPr>
              <w:t>0,00</w:t>
            </w:r>
          </w:p>
        </w:tc>
        <w:tc>
          <w:tcPr>
            <w:tcW w:w="175" w:type="pct"/>
            <w:tcBorders>
              <w:top w:val="single" w:sz="4" w:space="0" w:color="auto"/>
              <w:left w:val="single" w:sz="4" w:space="0" w:color="auto"/>
              <w:bottom w:val="single" w:sz="4" w:space="0" w:color="auto"/>
              <w:right w:val="single" w:sz="4" w:space="0" w:color="auto"/>
            </w:tcBorders>
            <w:vAlign w:val="center"/>
            <w:hideMark/>
          </w:tcPr>
          <w:p w14:paraId="250BB032"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4C73216A" w14:textId="77777777" w:rsidR="002F590A" w:rsidRDefault="002F590A">
            <w:pPr>
              <w:jc w:val="center"/>
              <w:rPr>
                <w:color w:val="000000"/>
                <w:sz w:val="12"/>
                <w:szCs w:val="12"/>
              </w:rPr>
            </w:pPr>
            <w:r>
              <w:rPr>
                <w:color w:val="000000"/>
                <w:sz w:val="12"/>
                <w:szCs w:val="12"/>
              </w:rPr>
              <w:t>0,00</w:t>
            </w:r>
          </w:p>
        </w:tc>
        <w:tc>
          <w:tcPr>
            <w:tcW w:w="172" w:type="pct"/>
            <w:tcBorders>
              <w:top w:val="single" w:sz="4" w:space="0" w:color="auto"/>
              <w:left w:val="single" w:sz="4" w:space="0" w:color="auto"/>
              <w:bottom w:val="single" w:sz="4" w:space="0" w:color="auto"/>
              <w:right w:val="single" w:sz="4" w:space="0" w:color="auto"/>
            </w:tcBorders>
            <w:vAlign w:val="center"/>
            <w:hideMark/>
          </w:tcPr>
          <w:p w14:paraId="77D5C2A3" w14:textId="77777777" w:rsidR="002F590A" w:rsidRDefault="002F590A">
            <w:pPr>
              <w:jc w:val="center"/>
              <w:rPr>
                <w:color w:val="000000"/>
                <w:sz w:val="12"/>
                <w:szCs w:val="12"/>
              </w:rPr>
            </w:pPr>
            <w:r>
              <w:rPr>
                <w:color w:val="000000"/>
                <w:sz w:val="12"/>
                <w:szCs w:val="12"/>
              </w:rPr>
              <w:t>0,00</w:t>
            </w:r>
          </w:p>
        </w:tc>
      </w:tr>
      <w:tr w:rsidR="002F590A" w14:paraId="4F952891" w14:textId="77777777" w:rsidTr="002F590A">
        <w:trPr>
          <w:trHeight w:val="1157"/>
        </w:trPr>
        <w:tc>
          <w:tcPr>
            <w:tcW w:w="173" w:type="pct"/>
            <w:tcBorders>
              <w:top w:val="single" w:sz="4" w:space="0" w:color="auto"/>
              <w:left w:val="single" w:sz="4" w:space="0" w:color="auto"/>
              <w:bottom w:val="single" w:sz="4" w:space="0" w:color="auto"/>
              <w:right w:val="single" w:sz="4" w:space="0" w:color="auto"/>
            </w:tcBorders>
            <w:vAlign w:val="center"/>
            <w:hideMark/>
          </w:tcPr>
          <w:p w14:paraId="26FC1359" w14:textId="77777777" w:rsidR="002F590A" w:rsidRDefault="002F590A">
            <w:pPr>
              <w:jc w:val="center"/>
              <w:rPr>
                <w:bCs/>
                <w:sz w:val="12"/>
                <w:szCs w:val="12"/>
              </w:rPr>
            </w:pPr>
            <w:r>
              <w:rPr>
                <w:bCs/>
                <w:sz w:val="12"/>
                <w:szCs w:val="12"/>
              </w:rPr>
              <w:t>3.2.14.</w:t>
            </w:r>
          </w:p>
        </w:tc>
        <w:tc>
          <w:tcPr>
            <w:tcW w:w="280" w:type="pct"/>
            <w:tcBorders>
              <w:top w:val="single" w:sz="4" w:space="0" w:color="auto"/>
              <w:left w:val="single" w:sz="4" w:space="0" w:color="auto"/>
              <w:bottom w:val="single" w:sz="4" w:space="0" w:color="auto"/>
              <w:right w:val="single" w:sz="4" w:space="0" w:color="auto"/>
            </w:tcBorders>
            <w:vAlign w:val="center"/>
            <w:hideMark/>
          </w:tcPr>
          <w:p w14:paraId="2F7EFB39" w14:textId="77777777" w:rsidR="002F590A" w:rsidRDefault="002F590A">
            <w:pPr>
              <w:rPr>
                <w:bCs/>
                <w:color w:val="000000"/>
                <w:sz w:val="12"/>
                <w:szCs w:val="12"/>
              </w:rPr>
            </w:pPr>
            <w:r>
              <w:rPr>
                <w:bCs/>
                <w:color w:val="000000"/>
                <w:sz w:val="12"/>
                <w:szCs w:val="12"/>
              </w:rPr>
              <w:t>Реконструкция ИТП котельной №64</w:t>
            </w:r>
          </w:p>
        </w:tc>
        <w:tc>
          <w:tcPr>
            <w:tcW w:w="313" w:type="pct"/>
            <w:tcBorders>
              <w:top w:val="single" w:sz="4" w:space="0" w:color="auto"/>
              <w:left w:val="single" w:sz="4" w:space="0" w:color="auto"/>
              <w:bottom w:val="single" w:sz="4" w:space="0" w:color="auto"/>
              <w:right w:val="single" w:sz="4" w:space="0" w:color="auto"/>
            </w:tcBorders>
            <w:vAlign w:val="center"/>
          </w:tcPr>
          <w:p w14:paraId="357894E5" w14:textId="77777777" w:rsidR="002F590A" w:rsidRDefault="002F590A">
            <w:pPr>
              <w:jc w:val="center"/>
              <w:rPr>
                <w:sz w:val="12"/>
                <w:szCs w:val="12"/>
              </w:rPr>
            </w:pPr>
          </w:p>
        </w:tc>
        <w:tc>
          <w:tcPr>
            <w:tcW w:w="275" w:type="pct"/>
            <w:tcBorders>
              <w:top w:val="single" w:sz="4" w:space="0" w:color="auto"/>
              <w:left w:val="single" w:sz="4" w:space="0" w:color="auto"/>
              <w:bottom w:val="single" w:sz="4" w:space="0" w:color="auto"/>
              <w:right w:val="single" w:sz="4" w:space="0" w:color="auto"/>
            </w:tcBorders>
            <w:vAlign w:val="center"/>
            <w:hideMark/>
          </w:tcPr>
          <w:p w14:paraId="6DF4F133" w14:textId="77777777" w:rsidR="002F590A" w:rsidRDefault="002F590A">
            <w:pPr>
              <w:jc w:val="center"/>
              <w:rPr>
                <w:color w:val="000000"/>
                <w:sz w:val="12"/>
                <w:szCs w:val="12"/>
              </w:rPr>
            </w:pPr>
            <w:r>
              <w:rPr>
                <w:color w:val="000000"/>
                <w:sz w:val="12"/>
                <w:szCs w:val="12"/>
              </w:rPr>
              <w:t>Кемеровский городской округ, ул. Греческая Деревня, д 147а, пом. 3</w:t>
            </w:r>
          </w:p>
        </w:tc>
        <w:tc>
          <w:tcPr>
            <w:tcW w:w="303" w:type="pct"/>
            <w:tcBorders>
              <w:top w:val="single" w:sz="4" w:space="0" w:color="auto"/>
              <w:left w:val="single" w:sz="4" w:space="0" w:color="auto"/>
              <w:bottom w:val="single" w:sz="4" w:space="0" w:color="auto"/>
              <w:right w:val="single" w:sz="4" w:space="0" w:color="auto"/>
            </w:tcBorders>
            <w:vAlign w:val="center"/>
            <w:hideMark/>
          </w:tcPr>
          <w:p w14:paraId="68D633D3" w14:textId="77777777" w:rsidR="002F590A" w:rsidRDefault="002F590A">
            <w:pPr>
              <w:jc w:val="center"/>
              <w:rPr>
                <w:sz w:val="12"/>
                <w:szCs w:val="12"/>
              </w:rPr>
            </w:pPr>
            <w:r>
              <w:rPr>
                <w:color w:val="000000"/>
                <w:sz w:val="12"/>
                <w:szCs w:val="12"/>
              </w:rPr>
              <w:t>Технические характеристики</w:t>
            </w:r>
          </w:p>
        </w:tc>
        <w:tc>
          <w:tcPr>
            <w:tcW w:w="139" w:type="pct"/>
            <w:tcBorders>
              <w:top w:val="single" w:sz="4" w:space="0" w:color="auto"/>
              <w:left w:val="single" w:sz="4" w:space="0" w:color="auto"/>
              <w:bottom w:val="single" w:sz="4" w:space="0" w:color="auto"/>
              <w:right w:val="single" w:sz="4" w:space="0" w:color="auto"/>
            </w:tcBorders>
            <w:vAlign w:val="center"/>
          </w:tcPr>
          <w:p w14:paraId="7C8F210E" w14:textId="77777777" w:rsidR="002F590A" w:rsidRDefault="002F590A">
            <w:pPr>
              <w:jc w:val="center"/>
              <w:rPr>
                <w:sz w:val="12"/>
                <w:szCs w:val="12"/>
              </w:rPr>
            </w:pPr>
          </w:p>
        </w:tc>
        <w:tc>
          <w:tcPr>
            <w:tcW w:w="300" w:type="pct"/>
            <w:tcBorders>
              <w:top w:val="single" w:sz="4" w:space="0" w:color="auto"/>
              <w:left w:val="single" w:sz="4" w:space="0" w:color="auto"/>
              <w:bottom w:val="single" w:sz="4" w:space="0" w:color="auto"/>
              <w:right w:val="single" w:sz="4" w:space="0" w:color="auto"/>
            </w:tcBorders>
            <w:vAlign w:val="center"/>
            <w:hideMark/>
          </w:tcPr>
          <w:p w14:paraId="19F41C83" w14:textId="77777777" w:rsidR="002F590A" w:rsidRDefault="002F590A">
            <w:pPr>
              <w:jc w:val="center"/>
              <w:rPr>
                <w:sz w:val="12"/>
                <w:szCs w:val="12"/>
              </w:rPr>
            </w:pPr>
            <w:r>
              <w:rPr>
                <w:sz w:val="12"/>
                <w:szCs w:val="12"/>
              </w:rPr>
              <w:t> </w:t>
            </w:r>
          </w:p>
        </w:tc>
        <w:tc>
          <w:tcPr>
            <w:tcW w:w="351" w:type="pct"/>
            <w:tcBorders>
              <w:top w:val="single" w:sz="4" w:space="0" w:color="auto"/>
              <w:left w:val="single" w:sz="4" w:space="0" w:color="auto"/>
              <w:bottom w:val="single" w:sz="4" w:space="0" w:color="auto"/>
              <w:right w:val="single" w:sz="4" w:space="0" w:color="auto"/>
            </w:tcBorders>
            <w:vAlign w:val="center"/>
            <w:hideMark/>
          </w:tcPr>
          <w:p w14:paraId="44F67BF8" w14:textId="77777777" w:rsidR="002F590A" w:rsidRDefault="002F590A">
            <w:pPr>
              <w:jc w:val="center"/>
              <w:rPr>
                <w:sz w:val="12"/>
                <w:szCs w:val="12"/>
              </w:rPr>
            </w:pPr>
            <w:r>
              <w:rPr>
                <w:sz w:val="12"/>
                <w:szCs w:val="12"/>
              </w:rPr>
              <w:t> </w:t>
            </w:r>
          </w:p>
        </w:tc>
        <w:tc>
          <w:tcPr>
            <w:tcW w:w="139" w:type="pct"/>
            <w:tcBorders>
              <w:top w:val="single" w:sz="4" w:space="0" w:color="auto"/>
              <w:left w:val="single" w:sz="4" w:space="0" w:color="auto"/>
              <w:bottom w:val="single" w:sz="4" w:space="0" w:color="auto"/>
              <w:right w:val="single" w:sz="4" w:space="0" w:color="auto"/>
            </w:tcBorders>
            <w:vAlign w:val="center"/>
          </w:tcPr>
          <w:p w14:paraId="3EFEC3A4" w14:textId="77777777" w:rsidR="002F590A" w:rsidRDefault="002F590A">
            <w:pPr>
              <w:jc w:val="center"/>
              <w:rPr>
                <w:sz w:val="12"/>
                <w:szCs w:val="12"/>
              </w:rPr>
            </w:pPr>
          </w:p>
        </w:tc>
        <w:tc>
          <w:tcPr>
            <w:tcW w:w="167" w:type="pct"/>
            <w:tcBorders>
              <w:top w:val="single" w:sz="4" w:space="0" w:color="auto"/>
              <w:left w:val="single" w:sz="4" w:space="0" w:color="auto"/>
              <w:bottom w:val="single" w:sz="4" w:space="0" w:color="auto"/>
              <w:right w:val="single" w:sz="4" w:space="0" w:color="auto"/>
            </w:tcBorders>
            <w:vAlign w:val="center"/>
          </w:tcPr>
          <w:p w14:paraId="4EA44FA8" w14:textId="77777777" w:rsidR="002F590A" w:rsidRDefault="002F590A">
            <w:pPr>
              <w:jc w:val="center"/>
              <w:rPr>
                <w:sz w:val="12"/>
                <w:szCs w:val="12"/>
              </w:rPr>
            </w:pPr>
          </w:p>
        </w:tc>
        <w:tc>
          <w:tcPr>
            <w:tcW w:w="216" w:type="pct"/>
            <w:tcBorders>
              <w:top w:val="single" w:sz="4" w:space="0" w:color="auto"/>
              <w:left w:val="single" w:sz="4" w:space="0" w:color="auto"/>
              <w:bottom w:val="single" w:sz="4" w:space="0" w:color="auto"/>
              <w:right w:val="single" w:sz="4" w:space="0" w:color="auto"/>
            </w:tcBorders>
            <w:vAlign w:val="center"/>
          </w:tcPr>
          <w:p w14:paraId="1090BB26" w14:textId="77777777" w:rsidR="002F590A" w:rsidRDefault="002F590A">
            <w:pPr>
              <w:jc w:val="center"/>
              <w:rPr>
                <w:color w:val="000000"/>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1B684F7D" w14:textId="77777777" w:rsidR="002F590A" w:rsidRDefault="002F590A">
            <w:pPr>
              <w:jc w:val="center"/>
              <w:rPr>
                <w:color w:val="000000"/>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0BBE281C" w14:textId="77777777" w:rsidR="002F590A" w:rsidRDefault="002F590A">
            <w:pPr>
              <w:jc w:val="center"/>
              <w:rPr>
                <w:sz w:val="12"/>
                <w:szCs w:val="12"/>
              </w:rPr>
            </w:pPr>
          </w:p>
        </w:tc>
        <w:tc>
          <w:tcPr>
            <w:tcW w:w="172" w:type="pct"/>
            <w:tcBorders>
              <w:top w:val="single" w:sz="4" w:space="0" w:color="auto"/>
              <w:left w:val="single" w:sz="4" w:space="0" w:color="auto"/>
              <w:bottom w:val="single" w:sz="4" w:space="0" w:color="auto"/>
              <w:right w:val="single" w:sz="4" w:space="0" w:color="auto"/>
            </w:tcBorders>
            <w:vAlign w:val="center"/>
          </w:tcPr>
          <w:p w14:paraId="19156868" w14:textId="77777777" w:rsidR="002F590A" w:rsidRDefault="002F590A">
            <w:pPr>
              <w:jc w:val="center"/>
              <w:rPr>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65531407" w14:textId="77777777" w:rsidR="002F590A" w:rsidRDefault="002F590A">
            <w:pPr>
              <w:jc w:val="center"/>
              <w:rPr>
                <w:sz w:val="12"/>
                <w:szCs w:val="12"/>
              </w:rPr>
            </w:pPr>
          </w:p>
        </w:tc>
        <w:tc>
          <w:tcPr>
            <w:tcW w:w="216" w:type="pct"/>
            <w:tcBorders>
              <w:top w:val="single" w:sz="4" w:space="0" w:color="auto"/>
              <w:left w:val="single" w:sz="4" w:space="0" w:color="auto"/>
              <w:bottom w:val="single" w:sz="4" w:space="0" w:color="auto"/>
              <w:right w:val="single" w:sz="4" w:space="0" w:color="auto"/>
            </w:tcBorders>
            <w:vAlign w:val="center"/>
          </w:tcPr>
          <w:p w14:paraId="3F343DDD" w14:textId="77777777" w:rsidR="002F590A" w:rsidRDefault="002F590A">
            <w:pPr>
              <w:jc w:val="center"/>
              <w:rPr>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523621A6" w14:textId="77777777" w:rsidR="002F590A" w:rsidRDefault="002F590A">
            <w:pPr>
              <w:jc w:val="center"/>
              <w:rPr>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01B5B965" w14:textId="77777777" w:rsidR="002F590A" w:rsidRDefault="002F590A">
            <w:pPr>
              <w:jc w:val="center"/>
              <w:rPr>
                <w:sz w:val="12"/>
                <w:szCs w:val="12"/>
              </w:rPr>
            </w:pPr>
          </w:p>
        </w:tc>
        <w:tc>
          <w:tcPr>
            <w:tcW w:w="218" w:type="pct"/>
            <w:tcBorders>
              <w:top w:val="single" w:sz="4" w:space="0" w:color="auto"/>
              <w:left w:val="single" w:sz="4" w:space="0" w:color="auto"/>
              <w:bottom w:val="single" w:sz="4" w:space="0" w:color="auto"/>
              <w:right w:val="single" w:sz="4" w:space="0" w:color="auto"/>
            </w:tcBorders>
            <w:vAlign w:val="center"/>
          </w:tcPr>
          <w:p w14:paraId="3396143C" w14:textId="77777777" w:rsidR="002F590A" w:rsidRDefault="002F590A">
            <w:pPr>
              <w:jc w:val="center"/>
              <w:rPr>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1F9312A6" w14:textId="77777777" w:rsidR="002F590A" w:rsidRDefault="002F590A">
            <w:pPr>
              <w:jc w:val="center"/>
              <w:rPr>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683F3468" w14:textId="77777777" w:rsidR="002F590A" w:rsidRDefault="002F590A">
            <w:pPr>
              <w:jc w:val="center"/>
              <w:rPr>
                <w:sz w:val="12"/>
                <w:szCs w:val="12"/>
              </w:rPr>
            </w:pPr>
          </w:p>
        </w:tc>
        <w:tc>
          <w:tcPr>
            <w:tcW w:w="175" w:type="pct"/>
            <w:tcBorders>
              <w:top w:val="single" w:sz="4" w:space="0" w:color="auto"/>
              <w:left w:val="single" w:sz="4" w:space="0" w:color="auto"/>
              <w:bottom w:val="single" w:sz="4" w:space="0" w:color="auto"/>
              <w:right w:val="single" w:sz="4" w:space="0" w:color="auto"/>
            </w:tcBorders>
            <w:vAlign w:val="center"/>
          </w:tcPr>
          <w:p w14:paraId="5BCA6C45" w14:textId="77777777" w:rsidR="002F590A" w:rsidRDefault="002F590A">
            <w:pPr>
              <w:jc w:val="center"/>
              <w:rPr>
                <w:sz w:val="12"/>
                <w:szCs w:val="12"/>
              </w:rPr>
            </w:pPr>
          </w:p>
        </w:tc>
        <w:tc>
          <w:tcPr>
            <w:tcW w:w="173" w:type="pct"/>
            <w:tcBorders>
              <w:top w:val="single" w:sz="4" w:space="0" w:color="auto"/>
              <w:left w:val="single" w:sz="4" w:space="0" w:color="auto"/>
              <w:bottom w:val="single" w:sz="4" w:space="0" w:color="auto"/>
              <w:right w:val="single" w:sz="4" w:space="0" w:color="auto"/>
            </w:tcBorders>
            <w:vAlign w:val="center"/>
          </w:tcPr>
          <w:p w14:paraId="7FA881E2" w14:textId="77777777" w:rsidR="002F590A" w:rsidRDefault="002F590A">
            <w:pPr>
              <w:jc w:val="center"/>
              <w:rPr>
                <w:color w:val="000000"/>
                <w:sz w:val="12"/>
                <w:szCs w:val="12"/>
              </w:rPr>
            </w:pPr>
          </w:p>
        </w:tc>
        <w:tc>
          <w:tcPr>
            <w:tcW w:w="172" w:type="pct"/>
            <w:tcBorders>
              <w:top w:val="single" w:sz="4" w:space="0" w:color="auto"/>
              <w:left w:val="single" w:sz="4" w:space="0" w:color="auto"/>
              <w:bottom w:val="single" w:sz="4" w:space="0" w:color="auto"/>
              <w:right w:val="single" w:sz="4" w:space="0" w:color="auto"/>
            </w:tcBorders>
            <w:vAlign w:val="center"/>
          </w:tcPr>
          <w:p w14:paraId="7E8BADBD" w14:textId="77777777" w:rsidR="002F590A" w:rsidRDefault="002F590A">
            <w:pPr>
              <w:jc w:val="center"/>
              <w:rPr>
                <w:color w:val="000000"/>
                <w:sz w:val="12"/>
                <w:szCs w:val="12"/>
              </w:rPr>
            </w:pPr>
          </w:p>
        </w:tc>
      </w:tr>
      <w:tr w:rsidR="002F590A" w14:paraId="23E248AF" w14:textId="77777777" w:rsidTr="002F590A">
        <w:trPr>
          <w:trHeight w:val="1382"/>
        </w:trPr>
        <w:tc>
          <w:tcPr>
            <w:tcW w:w="173" w:type="pct"/>
            <w:tcBorders>
              <w:top w:val="single" w:sz="4" w:space="0" w:color="auto"/>
              <w:left w:val="single" w:sz="4" w:space="0" w:color="auto"/>
              <w:bottom w:val="single" w:sz="4" w:space="0" w:color="auto"/>
              <w:right w:val="single" w:sz="4" w:space="0" w:color="auto"/>
            </w:tcBorders>
            <w:vAlign w:val="center"/>
            <w:hideMark/>
          </w:tcPr>
          <w:p w14:paraId="284214B9" w14:textId="77777777" w:rsidR="002F590A" w:rsidRDefault="002F590A">
            <w:pPr>
              <w:jc w:val="center"/>
              <w:rPr>
                <w:sz w:val="12"/>
                <w:szCs w:val="12"/>
              </w:rPr>
            </w:pPr>
            <w:r>
              <w:rPr>
                <w:sz w:val="12"/>
                <w:szCs w:val="12"/>
              </w:rPr>
              <w:t>3.2.14.1</w:t>
            </w:r>
          </w:p>
        </w:tc>
        <w:tc>
          <w:tcPr>
            <w:tcW w:w="280" w:type="pct"/>
            <w:tcBorders>
              <w:top w:val="single" w:sz="4" w:space="0" w:color="auto"/>
              <w:left w:val="single" w:sz="4" w:space="0" w:color="auto"/>
              <w:bottom w:val="single" w:sz="4" w:space="0" w:color="auto"/>
              <w:right w:val="single" w:sz="4" w:space="0" w:color="auto"/>
            </w:tcBorders>
            <w:vAlign w:val="center"/>
            <w:hideMark/>
          </w:tcPr>
          <w:p w14:paraId="0A21D314" w14:textId="77777777" w:rsidR="002F590A" w:rsidRDefault="002F590A">
            <w:pPr>
              <w:rPr>
                <w:color w:val="000000"/>
                <w:sz w:val="12"/>
                <w:szCs w:val="12"/>
              </w:rPr>
            </w:pPr>
            <w:r>
              <w:rPr>
                <w:color w:val="000000"/>
                <w:sz w:val="12"/>
                <w:szCs w:val="12"/>
              </w:rPr>
              <w:t>Реконструкция теплообменников</w:t>
            </w:r>
          </w:p>
        </w:tc>
        <w:tc>
          <w:tcPr>
            <w:tcW w:w="313" w:type="pct"/>
            <w:tcBorders>
              <w:top w:val="single" w:sz="4" w:space="0" w:color="auto"/>
              <w:left w:val="single" w:sz="4" w:space="0" w:color="auto"/>
              <w:bottom w:val="single" w:sz="4" w:space="0" w:color="auto"/>
              <w:right w:val="single" w:sz="4" w:space="0" w:color="auto"/>
            </w:tcBorders>
            <w:vAlign w:val="center"/>
            <w:hideMark/>
          </w:tcPr>
          <w:p w14:paraId="4EAB5FE3" w14:textId="77777777" w:rsidR="002F590A" w:rsidRDefault="002F590A">
            <w:pPr>
              <w:jc w:val="center"/>
              <w:rPr>
                <w:sz w:val="12"/>
                <w:szCs w:val="12"/>
              </w:rPr>
            </w:pPr>
            <w:r>
              <w:rPr>
                <w:sz w:val="12"/>
                <w:szCs w:val="12"/>
              </w:rPr>
              <w:t>Повышение надежности (бесперебойности) услуг теплоснабжения, повышение энергетической эффективности</w:t>
            </w:r>
          </w:p>
        </w:tc>
        <w:tc>
          <w:tcPr>
            <w:tcW w:w="275" w:type="pct"/>
            <w:tcBorders>
              <w:top w:val="single" w:sz="4" w:space="0" w:color="auto"/>
              <w:left w:val="single" w:sz="4" w:space="0" w:color="auto"/>
              <w:bottom w:val="single" w:sz="4" w:space="0" w:color="auto"/>
              <w:right w:val="single" w:sz="4" w:space="0" w:color="auto"/>
            </w:tcBorders>
            <w:vAlign w:val="center"/>
            <w:hideMark/>
          </w:tcPr>
          <w:p w14:paraId="1F8A5518" w14:textId="77777777" w:rsidR="002F590A" w:rsidRDefault="002F590A">
            <w:pPr>
              <w:jc w:val="center"/>
              <w:rPr>
                <w:sz w:val="12"/>
                <w:szCs w:val="12"/>
              </w:rPr>
            </w:pPr>
            <w:r>
              <w:rPr>
                <w:sz w:val="12"/>
                <w:szCs w:val="12"/>
              </w:rPr>
              <w:t> </w:t>
            </w:r>
          </w:p>
        </w:tc>
        <w:tc>
          <w:tcPr>
            <w:tcW w:w="303" w:type="pct"/>
            <w:tcBorders>
              <w:top w:val="single" w:sz="4" w:space="0" w:color="auto"/>
              <w:left w:val="single" w:sz="4" w:space="0" w:color="auto"/>
              <w:bottom w:val="single" w:sz="4" w:space="0" w:color="auto"/>
              <w:right w:val="single" w:sz="4" w:space="0" w:color="auto"/>
            </w:tcBorders>
            <w:vAlign w:val="center"/>
            <w:hideMark/>
          </w:tcPr>
          <w:p w14:paraId="18EF3417" w14:textId="77777777" w:rsidR="002F590A" w:rsidRDefault="002F590A">
            <w:pPr>
              <w:jc w:val="center"/>
              <w:rPr>
                <w:sz w:val="12"/>
                <w:szCs w:val="12"/>
              </w:rPr>
            </w:pPr>
            <w:r>
              <w:rPr>
                <w:color w:val="000000"/>
                <w:sz w:val="12"/>
                <w:szCs w:val="12"/>
              </w:rPr>
              <w:t>Технические характеристики</w:t>
            </w:r>
          </w:p>
        </w:tc>
        <w:tc>
          <w:tcPr>
            <w:tcW w:w="139" w:type="pct"/>
            <w:tcBorders>
              <w:top w:val="single" w:sz="4" w:space="0" w:color="auto"/>
              <w:left w:val="single" w:sz="4" w:space="0" w:color="auto"/>
              <w:bottom w:val="single" w:sz="4" w:space="0" w:color="auto"/>
              <w:right w:val="single" w:sz="4" w:space="0" w:color="auto"/>
            </w:tcBorders>
            <w:vAlign w:val="center"/>
          </w:tcPr>
          <w:p w14:paraId="2BAE1CF1" w14:textId="77777777" w:rsidR="002F590A" w:rsidRDefault="002F590A">
            <w:pPr>
              <w:jc w:val="center"/>
              <w:rPr>
                <w:sz w:val="12"/>
                <w:szCs w:val="12"/>
              </w:rPr>
            </w:pPr>
          </w:p>
        </w:tc>
        <w:tc>
          <w:tcPr>
            <w:tcW w:w="300" w:type="pct"/>
            <w:tcBorders>
              <w:top w:val="single" w:sz="4" w:space="0" w:color="auto"/>
              <w:left w:val="single" w:sz="4" w:space="0" w:color="auto"/>
              <w:bottom w:val="single" w:sz="4" w:space="0" w:color="auto"/>
              <w:right w:val="single" w:sz="4" w:space="0" w:color="auto"/>
            </w:tcBorders>
            <w:vAlign w:val="center"/>
            <w:hideMark/>
          </w:tcPr>
          <w:p w14:paraId="51990112" w14:textId="77777777" w:rsidR="002F590A" w:rsidRDefault="002F590A">
            <w:pPr>
              <w:jc w:val="center"/>
              <w:rPr>
                <w:sz w:val="12"/>
                <w:szCs w:val="12"/>
              </w:rPr>
            </w:pPr>
            <w:r>
              <w:rPr>
                <w:sz w:val="12"/>
                <w:szCs w:val="12"/>
              </w:rPr>
              <w:t>Теплообменник (2 шт) кожухотрубный марки SAMARAS. Теплоноситель- вода. Расход воды одного теплообменника- 8 м3/ч.</w:t>
            </w:r>
          </w:p>
        </w:tc>
        <w:tc>
          <w:tcPr>
            <w:tcW w:w="351" w:type="pct"/>
            <w:tcBorders>
              <w:top w:val="single" w:sz="4" w:space="0" w:color="auto"/>
              <w:left w:val="single" w:sz="4" w:space="0" w:color="auto"/>
              <w:bottom w:val="single" w:sz="4" w:space="0" w:color="auto"/>
              <w:right w:val="single" w:sz="4" w:space="0" w:color="auto"/>
            </w:tcBorders>
            <w:vAlign w:val="center"/>
          </w:tcPr>
          <w:p w14:paraId="75CB003A" w14:textId="77777777" w:rsidR="002F590A" w:rsidRDefault="002F590A">
            <w:pPr>
              <w:jc w:val="center"/>
              <w:rPr>
                <w:sz w:val="12"/>
                <w:szCs w:val="12"/>
              </w:rPr>
            </w:pPr>
            <w:r>
              <w:rPr>
                <w:sz w:val="12"/>
                <w:szCs w:val="12"/>
              </w:rPr>
              <w:t>Оборудование с техническими характеристиками не ниже существующего на объекте.</w:t>
            </w:r>
          </w:p>
          <w:p w14:paraId="07D4B878" w14:textId="77777777" w:rsidR="002F590A" w:rsidRDefault="002F590A">
            <w:pPr>
              <w:jc w:val="center"/>
              <w:rPr>
                <w:sz w:val="12"/>
                <w:szCs w:val="12"/>
              </w:rPr>
            </w:pPr>
          </w:p>
        </w:tc>
        <w:tc>
          <w:tcPr>
            <w:tcW w:w="139" w:type="pct"/>
            <w:tcBorders>
              <w:top w:val="single" w:sz="4" w:space="0" w:color="auto"/>
              <w:left w:val="single" w:sz="4" w:space="0" w:color="auto"/>
              <w:bottom w:val="single" w:sz="4" w:space="0" w:color="auto"/>
              <w:right w:val="single" w:sz="4" w:space="0" w:color="auto"/>
            </w:tcBorders>
            <w:vAlign w:val="center"/>
            <w:hideMark/>
          </w:tcPr>
          <w:p w14:paraId="06B58FC4" w14:textId="77777777" w:rsidR="002F590A" w:rsidRDefault="002F590A">
            <w:pPr>
              <w:jc w:val="center"/>
              <w:rPr>
                <w:sz w:val="12"/>
                <w:szCs w:val="12"/>
              </w:rPr>
            </w:pPr>
            <w:r>
              <w:rPr>
                <w:sz w:val="12"/>
                <w:szCs w:val="12"/>
              </w:rPr>
              <w:t>2026</w:t>
            </w:r>
          </w:p>
        </w:tc>
        <w:tc>
          <w:tcPr>
            <w:tcW w:w="167" w:type="pct"/>
            <w:tcBorders>
              <w:top w:val="single" w:sz="4" w:space="0" w:color="auto"/>
              <w:left w:val="single" w:sz="4" w:space="0" w:color="auto"/>
              <w:bottom w:val="single" w:sz="4" w:space="0" w:color="auto"/>
              <w:right w:val="single" w:sz="4" w:space="0" w:color="auto"/>
            </w:tcBorders>
            <w:vAlign w:val="center"/>
            <w:hideMark/>
          </w:tcPr>
          <w:p w14:paraId="7E590035" w14:textId="77777777" w:rsidR="002F590A" w:rsidRDefault="002F590A">
            <w:pPr>
              <w:jc w:val="center"/>
              <w:rPr>
                <w:sz w:val="12"/>
                <w:szCs w:val="12"/>
              </w:rPr>
            </w:pPr>
            <w:r>
              <w:rPr>
                <w:sz w:val="12"/>
                <w:szCs w:val="12"/>
              </w:rPr>
              <w:t>2026</w:t>
            </w:r>
          </w:p>
        </w:tc>
        <w:tc>
          <w:tcPr>
            <w:tcW w:w="216" w:type="pct"/>
            <w:tcBorders>
              <w:top w:val="single" w:sz="4" w:space="0" w:color="auto"/>
              <w:left w:val="single" w:sz="4" w:space="0" w:color="auto"/>
              <w:bottom w:val="single" w:sz="4" w:space="0" w:color="auto"/>
              <w:right w:val="single" w:sz="4" w:space="0" w:color="auto"/>
            </w:tcBorders>
            <w:vAlign w:val="center"/>
            <w:hideMark/>
          </w:tcPr>
          <w:p w14:paraId="3769DF53" w14:textId="77777777" w:rsidR="002F590A" w:rsidRDefault="002F590A">
            <w:pPr>
              <w:jc w:val="center"/>
              <w:rPr>
                <w:color w:val="000000"/>
                <w:sz w:val="12"/>
                <w:szCs w:val="12"/>
              </w:rPr>
            </w:pPr>
            <w:r>
              <w:rPr>
                <w:color w:val="000000"/>
                <w:sz w:val="12"/>
                <w:szCs w:val="12"/>
              </w:rPr>
              <w:t>296,69</w:t>
            </w:r>
          </w:p>
        </w:tc>
        <w:tc>
          <w:tcPr>
            <w:tcW w:w="174" w:type="pct"/>
            <w:tcBorders>
              <w:top w:val="single" w:sz="4" w:space="0" w:color="auto"/>
              <w:left w:val="single" w:sz="4" w:space="0" w:color="auto"/>
              <w:bottom w:val="single" w:sz="4" w:space="0" w:color="auto"/>
              <w:right w:val="single" w:sz="4" w:space="0" w:color="auto"/>
            </w:tcBorders>
            <w:vAlign w:val="center"/>
            <w:hideMark/>
          </w:tcPr>
          <w:p w14:paraId="73A9468B" w14:textId="77777777" w:rsidR="002F590A" w:rsidRDefault="002F590A">
            <w:pPr>
              <w:jc w:val="center"/>
              <w:rPr>
                <w:color w:val="000000"/>
                <w:sz w:val="12"/>
                <w:szCs w:val="12"/>
              </w:rPr>
            </w:pPr>
            <w:r>
              <w:rPr>
                <w:color w:val="000000"/>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40044911" w14:textId="77777777" w:rsidR="002F590A" w:rsidRDefault="002F590A">
            <w:pPr>
              <w:jc w:val="center"/>
              <w:rPr>
                <w:sz w:val="12"/>
                <w:szCs w:val="12"/>
              </w:rPr>
            </w:pPr>
            <w:r>
              <w:rPr>
                <w:sz w:val="12"/>
                <w:szCs w:val="12"/>
              </w:rPr>
              <w:t>0,00</w:t>
            </w:r>
          </w:p>
        </w:tc>
        <w:tc>
          <w:tcPr>
            <w:tcW w:w="172" w:type="pct"/>
            <w:tcBorders>
              <w:top w:val="single" w:sz="4" w:space="0" w:color="auto"/>
              <w:left w:val="single" w:sz="4" w:space="0" w:color="auto"/>
              <w:bottom w:val="single" w:sz="4" w:space="0" w:color="auto"/>
              <w:right w:val="single" w:sz="4" w:space="0" w:color="auto"/>
            </w:tcBorders>
            <w:vAlign w:val="center"/>
            <w:hideMark/>
          </w:tcPr>
          <w:p w14:paraId="7F73F3B4"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1E593B20" w14:textId="77777777" w:rsidR="002F590A" w:rsidRDefault="002F590A">
            <w:pPr>
              <w:jc w:val="center"/>
              <w:rPr>
                <w:sz w:val="12"/>
                <w:szCs w:val="12"/>
              </w:rPr>
            </w:pPr>
            <w:r>
              <w:rPr>
                <w:sz w:val="12"/>
                <w:szCs w:val="12"/>
              </w:rPr>
              <w:t>0,00</w:t>
            </w:r>
          </w:p>
        </w:tc>
        <w:tc>
          <w:tcPr>
            <w:tcW w:w="216" w:type="pct"/>
            <w:tcBorders>
              <w:top w:val="single" w:sz="4" w:space="0" w:color="auto"/>
              <w:left w:val="single" w:sz="4" w:space="0" w:color="auto"/>
              <w:bottom w:val="single" w:sz="4" w:space="0" w:color="auto"/>
              <w:right w:val="single" w:sz="4" w:space="0" w:color="auto"/>
            </w:tcBorders>
            <w:vAlign w:val="center"/>
            <w:hideMark/>
          </w:tcPr>
          <w:p w14:paraId="603E027B"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45F209F1" w14:textId="77777777" w:rsidR="002F590A" w:rsidRDefault="002F590A">
            <w:pPr>
              <w:jc w:val="center"/>
              <w:rPr>
                <w:sz w:val="12"/>
                <w:szCs w:val="12"/>
              </w:rPr>
            </w:pPr>
            <w:r>
              <w:rPr>
                <w:sz w:val="12"/>
                <w:szCs w:val="12"/>
              </w:rPr>
              <w:t>296,69</w:t>
            </w:r>
          </w:p>
        </w:tc>
        <w:tc>
          <w:tcPr>
            <w:tcW w:w="174" w:type="pct"/>
            <w:tcBorders>
              <w:top w:val="single" w:sz="4" w:space="0" w:color="auto"/>
              <w:left w:val="single" w:sz="4" w:space="0" w:color="auto"/>
              <w:bottom w:val="single" w:sz="4" w:space="0" w:color="auto"/>
              <w:right w:val="single" w:sz="4" w:space="0" w:color="auto"/>
            </w:tcBorders>
            <w:vAlign w:val="center"/>
            <w:hideMark/>
          </w:tcPr>
          <w:p w14:paraId="7174338C" w14:textId="77777777" w:rsidR="002F590A" w:rsidRDefault="002F590A">
            <w:pPr>
              <w:jc w:val="center"/>
              <w:rPr>
                <w:sz w:val="12"/>
                <w:szCs w:val="12"/>
              </w:rPr>
            </w:pPr>
            <w:r>
              <w:rPr>
                <w:sz w:val="12"/>
                <w:szCs w:val="12"/>
              </w:rPr>
              <w:t>0,00</w:t>
            </w:r>
          </w:p>
        </w:tc>
        <w:tc>
          <w:tcPr>
            <w:tcW w:w="218" w:type="pct"/>
            <w:tcBorders>
              <w:top w:val="single" w:sz="4" w:space="0" w:color="auto"/>
              <w:left w:val="single" w:sz="4" w:space="0" w:color="auto"/>
              <w:bottom w:val="single" w:sz="4" w:space="0" w:color="auto"/>
              <w:right w:val="single" w:sz="4" w:space="0" w:color="auto"/>
            </w:tcBorders>
            <w:vAlign w:val="center"/>
            <w:hideMark/>
          </w:tcPr>
          <w:p w14:paraId="11EA6943"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68D4FC4A"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4DDF91A0" w14:textId="77777777" w:rsidR="002F590A" w:rsidRDefault="002F590A">
            <w:pPr>
              <w:jc w:val="center"/>
              <w:rPr>
                <w:sz w:val="12"/>
                <w:szCs w:val="12"/>
              </w:rPr>
            </w:pPr>
            <w:r>
              <w:rPr>
                <w:sz w:val="12"/>
                <w:szCs w:val="12"/>
              </w:rPr>
              <w:t>0,00</w:t>
            </w:r>
          </w:p>
        </w:tc>
        <w:tc>
          <w:tcPr>
            <w:tcW w:w="175" w:type="pct"/>
            <w:tcBorders>
              <w:top w:val="single" w:sz="4" w:space="0" w:color="auto"/>
              <w:left w:val="single" w:sz="4" w:space="0" w:color="auto"/>
              <w:bottom w:val="single" w:sz="4" w:space="0" w:color="auto"/>
              <w:right w:val="single" w:sz="4" w:space="0" w:color="auto"/>
            </w:tcBorders>
            <w:vAlign w:val="center"/>
            <w:hideMark/>
          </w:tcPr>
          <w:p w14:paraId="14E292CD"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5326769F" w14:textId="77777777" w:rsidR="002F590A" w:rsidRDefault="002F590A">
            <w:pPr>
              <w:jc w:val="center"/>
              <w:rPr>
                <w:color w:val="000000"/>
                <w:sz w:val="12"/>
                <w:szCs w:val="12"/>
              </w:rPr>
            </w:pPr>
            <w:r>
              <w:rPr>
                <w:color w:val="000000"/>
                <w:sz w:val="12"/>
                <w:szCs w:val="12"/>
              </w:rPr>
              <w:t>0,00</w:t>
            </w:r>
          </w:p>
        </w:tc>
        <w:tc>
          <w:tcPr>
            <w:tcW w:w="172" w:type="pct"/>
            <w:tcBorders>
              <w:top w:val="single" w:sz="4" w:space="0" w:color="auto"/>
              <w:left w:val="single" w:sz="4" w:space="0" w:color="auto"/>
              <w:bottom w:val="single" w:sz="4" w:space="0" w:color="auto"/>
              <w:right w:val="single" w:sz="4" w:space="0" w:color="auto"/>
            </w:tcBorders>
            <w:vAlign w:val="center"/>
            <w:hideMark/>
          </w:tcPr>
          <w:p w14:paraId="05A19BCA" w14:textId="77777777" w:rsidR="002F590A" w:rsidRDefault="002F590A">
            <w:pPr>
              <w:jc w:val="center"/>
              <w:rPr>
                <w:color w:val="000000"/>
                <w:sz w:val="12"/>
                <w:szCs w:val="12"/>
              </w:rPr>
            </w:pPr>
            <w:r>
              <w:rPr>
                <w:color w:val="000000"/>
                <w:sz w:val="12"/>
                <w:szCs w:val="12"/>
              </w:rPr>
              <w:t>0,00</w:t>
            </w:r>
          </w:p>
        </w:tc>
      </w:tr>
      <w:tr w:rsidR="002F590A" w14:paraId="53D9E53B" w14:textId="77777777" w:rsidTr="002F590A">
        <w:trPr>
          <w:trHeight w:val="1541"/>
        </w:trPr>
        <w:tc>
          <w:tcPr>
            <w:tcW w:w="173" w:type="pct"/>
            <w:tcBorders>
              <w:top w:val="single" w:sz="4" w:space="0" w:color="auto"/>
              <w:left w:val="single" w:sz="4" w:space="0" w:color="auto"/>
              <w:bottom w:val="single" w:sz="4" w:space="0" w:color="auto"/>
              <w:right w:val="single" w:sz="4" w:space="0" w:color="auto"/>
            </w:tcBorders>
            <w:vAlign w:val="center"/>
            <w:hideMark/>
          </w:tcPr>
          <w:p w14:paraId="3B0B332C" w14:textId="77777777" w:rsidR="002F590A" w:rsidRDefault="002F590A">
            <w:pPr>
              <w:jc w:val="center"/>
              <w:rPr>
                <w:bCs/>
                <w:sz w:val="12"/>
                <w:szCs w:val="12"/>
              </w:rPr>
            </w:pPr>
            <w:r>
              <w:rPr>
                <w:bCs/>
                <w:sz w:val="12"/>
                <w:szCs w:val="12"/>
              </w:rPr>
              <w:t>3.2.15.</w:t>
            </w:r>
          </w:p>
        </w:tc>
        <w:tc>
          <w:tcPr>
            <w:tcW w:w="280" w:type="pct"/>
            <w:tcBorders>
              <w:top w:val="single" w:sz="4" w:space="0" w:color="auto"/>
              <w:left w:val="single" w:sz="4" w:space="0" w:color="auto"/>
              <w:bottom w:val="single" w:sz="4" w:space="0" w:color="auto"/>
              <w:right w:val="single" w:sz="4" w:space="0" w:color="auto"/>
            </w:tcBorders>
            <w:vAlign w:val="center"/>
            <w:hideMark/>
          </w:tcPr>
          <w:p w14:paraId="37B6F168" w14:textId="77777777" w:rsidR="002F590A" w:rsidRDefault="002F590A">
            <w:pPr>
              <w:rPr>
                <w:bCs/>
                <w:color w:val="000000"/>
                <w:sz w:val="12"/>
                <w:szCs w:val="12"/>
              </w:rPr>
            </w:pPr>
            <w:r>
              <w:rPr>
                <w:bCs/>
                <w:color w:val="000000"/>
                <w:sz w:val="12"/>
                <w:szCs w:val="12"/>
              </w:rPr>
              <w:t>Реконструкция котельной №66</w:t>
            </w:r>
          </w:p>
        </w:tc>
        <w:tc>
          <w:tcPr>
            <w:tcW w:w="313" w:type="pct"/>
            <w:tcBorders>
              <w:top w:val="single" w:sz="4" w:space="0" w:color="auto"/>
              <w:left w:val="single" w:sz="4" w:space="0" w:color="auto"/>
              <w:bottom w:val="single" w:sz="4" w:space="0" w:color="auto"/>
              <w:right w:val="single" w:sz="4" w:space="0" w:color="auto"/>
            </w:tcBorders>
            <w:vAlign w:val="center"/>
          </w:tcPr>
          <w:p w14:paraId="0057F522" w14:textId="77777777" w:rsidR="002F590A" w:rsidRDefault="002F590A">
            <w:pPr>
              <w:jc w:val="center"/>
              <w:rPr>
                <w:sz w:val="12"/>
                <w:szCs w:val="12"/>
              </w:rPr>
            </w:pPr>
          </w:p>
        </w:tc>
        <w:tc>
          <w:tcPr>
            <w:tcW w:w="275" w:type="pct"/>
            <w:tcBorders>
              <w:top w:val="single" w:sz="4" w:space="0" w:color="auto"/>
              <w:left w:val="single" w:sz="4" w:space="0" w:color="auto"/>
              <w:bottom w:val="single" w:sz="4" w:space="0" w:color="auto"/>
              <w:right w:val="single" w:sz="4" w:space="0" w:color="auto"/>
            </w:tcBorders>
            <w:vAlign w:val="center"/>
            <w:hideMark/>
          </w:tcPr>
          <w:p w14:paraId="4963BE5E" w14:textId="77777777" w:rsidR="002F590A" w:rsidRDefault="002F590A">
            <w:pPr>
              <w:jc w:val="center"/>
              <w:rPr>
                <w:color w:val="000000"/>
                <w:sz w:val="12"/>
                <w:szCs w:val="12"/>
              </w:rPr>
            </w:pPr>
            <w:r>
              <w:rPr>
                <w:color w:val="000000"/>
                <w:sz w:val="12"/>
                <w:szCs w:val="12"/>
              </w:rPr>
              <w:t xml:space="preserve">Кемеровский городской округ, </w:t>
            </w:r>
            <w:r>
              <w:rPr>
                <w:color w:val="000000"/>
                <w:sz w:val="12"/>
                <w:szCs w:val="12"/>
              </w:rPr>
              <w:br/>
              <w:t>ул. Греческая Деревня, северо-западнее жилого дома № 275</w:t>
            </w:r>
          </w:p>
        </w:tc>
        <w:tc>
          <w:tcPr>
            <w:tcW w:w="303" w:type="pct"/>
            <w:tcBorders>
              <w:top w:val="single" w:sz="4" w:space="0" w:color="auto"/>
              <w:left w:val="single" w:sz="4" w:space="0" w:color="auto"/>
              <w:bottom w:val="single" w:sz="4" w:space="0" w:color="auto"/>
              <w:right w:val="single" w:sz="4" w:space="0" w:color="auto"/>
            </w:tcBorders>
            <w:vAlign w:val="center"/>
            <w:hideMark/>
          </w:tcPr>
          <w:p w14:paraId="128AEBA7" w14:textId="77777777" w:rsidR="002F590A" w:rsidRDefault="002F590A">
            <w:pPr>
              <w:jc w:val="center"/>
              <w:rPr>
                <w:sz w:val="12"/>
                <w:szCs w:val="12"/>
              </w:rPr>
            </w:pPr>
            <w:r>
              <w:rPr>
                <w:color w:val="000000"/>
                <w:sz w:val="12"/>
                <w:szCs w:val="12"/>
              </w:rPr>
              <w:t>Технические характеристики</w:t>
            </w:r>
          </w:p>
        </w:tc>
        <w:tc>
          <w:tcPr>
            <w:tcW w:w="139" w:type="pct"/>
            <w:tcBorders>
              <w:top w:val="single" w:sz="4" w:space="0" w:color="auto"/>
              <w:left w:val="single" w:sz="4" w:space="0" w:color="auto"/>
              <w:bottom w:val="single" w:sz="4" w:space="0" w:color="auto"/>
              <w:right w:val="single" w:sz="4" w:space="0" w:color="auto"/>
            </w:tcBorders>
            <w:vAlign w:val="center"/>
          </w:tcPr>
          <w:p w14:paraId="767F1CD0" w14:textId="77777777" w:rsidR="002F590A" w:rsidRDefault="002F590A">
            <w:pPr>
              <w:jc w:val="center"/>
              <w:rPr>
                <w:sz w:val="12"/>
                <w:szCs w:val="12"/>
              </w:rPr>
            </w:pPr>
          </w:p>
        </w:tc>
        <w:tc>
          <w:tcPr>
            <w:tcW w:w="300" w:type="pct"/>
            <w:tcBorders>
              <w:top w:val="single" w:sz="4" w:space="0" w:color="auto"/>
              <w:left w:val="single" w:sz="4" w:space="0" w:color="auto"/>
              <w:bottom w:val="single" w:sz="4" w:space="0" w:color="auto"/>
              <w:right w:val="single" w:sz="4" w:space="0" w:color="auto"/>
            </w:tcBorders>
            <w:vAlign w:val="center"/>
            <w:hideMark/>
          </w:tcPr>
          <w:p w14:paraId="05814BC8" w14:textId="77777777" w:rsidR="002F590A" w:rsidRDefault="002F590A">
            <w:pPr>
              <w:jc w:val="center"/>
              <w:rPr>
                <w:sz w:val="12"/>
                <w:szCs w:val="12"/>
              </w:rPr>
            </w:pPr>
            <w:r>
              <w:rPr>
                <w:sz w:val="12"/>
                <w:szCs w:val="12"/>
              </w:rPr>
              <w:t> </w:t>
            </w:r>
          </w:p>
        </w:tc>
        <w:tc>
          <w:tcPr>
            <w:tcW w:w="351" w:type="pct"/>
            <w:tcBorders>
              <w:top w:val="single" w:sz="4" w:space="0" w:color="auto"/>
              <w:left w:val="single" w:sz="4" w:space="0" w:color="auto"/>
              <w:bottom w:val="single" w:sz="4" w:space="0" w:color="auto"/>
              <w:right w:val="single" w:sz="4" w:space="0" w:color="auto"/>
            </w:tcBorders>
            <w:vAlign w:val="center"/>
            <w:hideMark/>
          </w:tcPr>
          <w:p w14:paraId="4C44E0A4" w14:textId="77777777" w:rsidR="002F590A" w:rsidRDefault="002F590A">
            <w:pPr>
              <w:jc w:val="center"/>
              <w:rPr>
                <w:sz w:val="12"/>
                <w:szCs w:val="12"/>
              </w:rPr>
            </w:pPr>
            <w:r>
              <w:rPr>
                <w:sz w:val="12"/>
                <w:szCs w:val="12"/>
              </w:rPr>
              <w:t> </w:t>
            </w:r>
          </w:p>
        </w:tc>
        <w:tc>
          <w:tcPr>
            <w:tcW w:w="139" w:type="pct"/>
            <w:tcBorders>
              <w:top w:val="single" w:sz="4" w:space="0" w:color="auto"/>
              <w:left w:val="single" w:sz="4" w:space="0" w:color="auto"/>
              <w:bottom w:val="single" w:sz="4" w:space="0" w:color="auto"/>
              <w:right w:val="single" w:sz="4" w:space="0" w:color="auto"/>
            </w:tcBorders>
            <w:vAlign w:val="center"/>
          </w:tcPr>
          <w:p w14:paraId="096ADB22" w14:textId="77777777" w:rsidR="002F590A" w:rsidRDefault="002F590A">
            <w:pPr>
              <w:jc w:val="center"/>
              <w:rPr>
                <w:sz w:val="12"/>
                <w:szCs w:val="12"/>
              </w:rPr>
            </w:pPr>
          </w:p>
        </w:tc>
        <w:tc>
          <w:tcPr>
            <w:tcW w:w="167" w:type="pct"/>
            <w:tcBorders>
              <w:top w:val="single" w:sz="4" w:space="0" w:color="auto"/>
              <w:left w:val="single" w:sz="4" w:space="0" w:color="auto"/>
              <w:bottom w:val="single" w:sz="4" w:space="0" w:color="auto"/>
              <w:right w:val="single" w:sz="4" w:space="0" w:color="auto"/>
            </w:tcBorders>
            <w:vAlign w:val="center"/>
          </w:tcPr>
          <w:p w14:paraId="63655BE0" w14:textId="77777777" w:rsidR="002F590A" w:rsidRDefault="002F590A">
            <w:pPr>
              <w:jc w:val="center"/>
              <w:rPr>
                <w:sz w:val="12"/>
                <w:szCs w:val="12"/>
              </w:rPr>
            </w:pPr>
          </w:p>
        </w:tc>
        <w:tc>
          <w:tcPr>
            <w:tcW w:w="216" w:type="pct"/>
            <w:tcBorders>
              <w:top w:val="single" w:sz="4" w:space="0" w:color="auto"/>
              <w:left w:val="single" w:sz="4" w:space="0" w:color="auto"/>
              <w:bottom w:val="single" w:sz="4" w:space="0" w:color="auto"/>
              <w:right w:val="single" w:sz="4" w:space="0" w:color="auto"/>
            </w:tcBorders>
            <w:vAlign w:val="center"/>
          </w:tcPr>
          <w:p w14:paraId="428286E1" w14:textId="77777777" w:rsidR="002F590A" w:rsidRDefault="002F590A">
            <w:pPr>
              <w:jc w:val="center"/>
              <w:rPr>
                <w:color w:val="000000"/>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247D2BCC" w14:textId="77777777" w:rsidR="002F590A" w:rsidRDefault="002F590A">
            <w:pPr>
              <w:jc w:val="center"/>
              <w:rPr>
                <w:color w:val="000000"/>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71060494" w14:textId="77777777" w:rsidR="002F590A" w:rsidRDefault="002F590A">
            <w:pPr>
              <w:jc w:val="center"/>
              <w:rPr>
                <w:sz w:val="12"/>
                <w:szCs w:val="12"/>
              </w:rPr>
            </w:pPr>
          </w:p>
        </w:tc>
        <w:tc>
          <w:tcPr>
            <w:tcW w:w="172" w:type="pct"/>
            <w:tcBorders>
              <w:top w:val="single" w:sz="4" w:space="0" w:color="auto"/>
              <w:left w:val="single" w:sz="4" w:space="0" w:color="auto"/>
              <w:bottom w:val="single" w:sz="4" w:space="0" w:color="auto"/>
              <w:right w:val="single" w:sz="4" w:space="0" w:color="auto"/>
            </w:tcBorders>
            <w:vAlign w:val="center"/>
          </w:tcPr>
          <w:p w14:paraId="0EEA88F2" w14:textId="77777777" w:rsidR="002F590A" w:rsidRDefault="002F590A">
            <w:pPr>
              <w:jc w:val="center"/>
              <w:rPr>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56946409" w14:textId="77777777" w:rsidR="002F590A" w:rsidRDefault="002F590A">
            <w:pPr>
              <w:jc w:val="center"/>
              <w:rPr>
                <w:sz w:val="12"/>
                <w:szCs w:val="12"/>
              </w:rPr>
            </w:pPr>
          </w:p>
        </w:tc>
        <w:tc>
          <w:tcPr>
            <w:tcW w:w="216" w:type="pct"/>
            <w:tcBorders>
              <w:top w:val="single" w:sz="4" w:space="0" w:color="auto"/>
              <w:left w:val="single" w:sz="4" w:space="0" w:color="auto"/>
              <w:bottom w:val="single" w:sz="4" w:space="0" w:color="auto"/>
              <w:right w:val="single" w:sz="4" w:space="0" w:color="auto"/>
            </w:tcBorders>
            <w:vAlign w:val="center"/>
          </w:tcPr>
          <w:p w14:paraId="15CE88FC" w14:textId="77777777" w:rsidR="002F590A" w:rsidRDefault="002F590A">
            <w:pPr>
              <w:jc w:val="center"/>
              <w:rPr>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2F69EB9D" w14:textId="77777777" w:rsidR="002F590A" w:rsidRDefault="002F590A">
            <w:pPr>
              <w:jc w:val="center"/>
              <w:rPr>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0D80A521" w14:textId="77777777" w:rsidR="002F590A" w:rsidRDefault="002F590A">
            <w:pPr>
              <w:jc w:val="center"/>
              <w:rPr>
                <w:sz w:val="12"/>
                <w:szCs w:val="12"/>
              </w:rPr>
            </w:pPr>
          </w:p>
        </w:tc>
        <w:tc>
          <w:tcPr>
            <w:tcW w:w="218" w:type="pct"/>
            <w:tcBorders>
              <w:top w:val="single" w:sz="4" w:space="0" w:color="auto"/>
              <w:left w:val="single" w:sz="4" w:space="0" w:color="auto"/>
              <w:bottom w:val="single" w:sz="4" w:space="0" w:color="auto"/>
              <w:right w:val="single" w:sz="4" w:space="0" w:color="auto"/>
            </w:tcBorders>
            <w:vAlign w:val="center"/>
          </w:tcPr>
          <w:p w14:paraId="1B4B9438" w14:textId="77777777" w:rsidR="002F590A" w:rsidRDefault="002F590A">
            <w:pPr>
              <w:jc w:val="center"/>
              <w:rPr>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3D81E8C8" w14:textId="77777777" w:rsidR="002F590A" w:rsidRDefault="002F590A">
            <w:pPr>
              <w:jc w:val="center"/>
              <w:rPr>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3BCC2297" w14:textId="77777777" w:rsidR="002F590A" w:rsidRDefault="002F590A">
            <w:pPr>
              <w:jc w:val="center"/>
              <w:rPr>
                <w:sz w:val="12"/>
                <w:szCs w:val="12"/>
              </w:rPr>
            </w:pPr>
          </w:p>
        </w:tc>
        <w:tc>
          <w:tcPr>
            <w:tcW w:w="175" w:type="pct"/>
            <w:tcBorders>
              <w:top w:val="single" w:sz="4" w:space="0" w:color="auto"/>
              <w:left w:val="single" w:sz="4" w:space="0" w:color="auto"/>
              <w:bottom w:val="single" w:sz="4" w:space="0" w:color="auto"/>
              <w:right w:val="single" w:sz="4" w:space="0" w:color="auto"/>
            </w:tcBorders>
            <w:vAlign w:val="center"/>
          </w:tcPr>
          <w:p w14:paraId="2157BDD8" w14:textId="77777777" w:rsidR="002F590A" w:rsidRDefault="002F590A">
            <w:pPr>
              <w:jc w:val="center"/>
              <w:rPr>
                <w:sz w:val="12"/>
                <w:szCs w:val="12"/>
              </w:rPr>
            </w:pPr>
          </w:p>
        </w:tc>
        <w:tc>
          <w:tcPr>
            <w:tcW w:w="173" w:type="pct"/>
            <w:tcBorders>
              <w:top w:val="single" w:sz="4" w:space="0" w:color="auto"/>
              <w:left w:val="single" w:sz="4" w:space="0" w:color="auto"/>
              <w:bottom w:val="single" w:sz="4" w:space="0" w:color="auto"/>
              <w:right w:val="single" w:sz="4" w:space="0" w:color="auto"/>
            </w:tcBorders>
            <w:vAlign w:val="center"/>
          </w:tcPr>
          <w:p w14:paraId="3E1AC9C8" w14:textId="77777777" w:rsidR="002F590A" w:rsidRDefault="002F590A">
            <w:pPr>
              <w:jc w:val="center"/>
              <w:rPr>
                <w:color w:val="000000"/>
                <w:sz w:val="12"/>
                <w:szCs w:val="12"/>
              </w:rPr>
            </w:pPr>
          </w:p>
        </w:tc>
        <w:tc>
          <w:tcPr>
            <w:tcW w:w="172" w:type="pct"/>
            <w:tcBorders>
              <w:top w:val="single" w:sz="4" w:space="0" w:color="auto"/>
              <w:left w:val="single" w:sz="4" w:space="0" w:color="auto"/>
              <w:bottom w:val="single" w:sz="4" w:space="0" w:color="auto"/>
              <w:right w:val="single" w:sz="4" w:space="0" w:color="auto"/>
            </w:tcBorders>
            <w:vAlign w:val="center"/>
          </w:tcPr>
          <w:p w14:paraId="24BBCDFB" w14:textId="77777777" w:rsidR="002F590A" w:rsidRDefault="002F590A">
            <w:pPr>
              <w:jc w:val="center"/>
              <w:rPr>
                <w:color w:val="000000"/>
                <w:sz w:val="12"/>
                <w:szCs w:val="12"/>
              </w:rPr>
            </w:pPr>
          </w:p>
        </w:tc>
      </w:tr>
      <w:tr w:rsidR="002F590A" w14:paraId="396367CD" w14:textId="77777777" w:rsidTr="002F590A">
        <w:trPr>
          <w:trHeight w:val="897"/>
        </w:trPr>
        <w:tc>
          <w:tcPr>
            <w:tcW w:w="173" w:type="pct"/>
            <w:tcBorders>
              <w:top w:val="single" w:sz="4" w:space="0" w:color="auto"/>
              <w:left w:val="single" w:sz="4" w:space="0" w:color="auto"/>
              <w:bottom w:val="single" w:sz="4" w:space="0" w:color="auto"/>
              <w:right w:val="single" w:sz="4" w:space="0" w:color="auto"/>
            </w:tcBorders>
            <w:vAlign w:val="center"/>
            <w:hideMark/>
          </w:tcPr>
          <w:p w14:paraId="693BFA79" w14:textId="77777777" w:rsidR="002F590A" w:rsidRDefault="002F590A">
            <w:pPr>
              <w:jc w:val="center"/>
              <w:rPr>
                <w:sz w:val="12"/>
                <w:szCs w:val="12"/>
              </w:rPr>
            </w:pPr>
            <w:r>
              <w:rPr>
                <w:sz w:val="12"/>
                <w:szCs w:val="12"/>
              </w:rPr>
              <w:t>3.2.15.1</w:t>
            </w:r>
          </w:p>
        </w:tc>
        <w:tc>
          <w:tcPr>
            <w:tcW w:w="280" w:type="pct"/>
            <w:tcBorders>
              <w:top w:val="single" w:sz="4" w:space="0" w:color="auto"/>
              <w:left w:val="single" w:sz="4" w:space="0" w:color="auto"/>
              <w:bottom w:val="single" w:sz="4" w:space="0" w:color="auto"/>
              <w:right w:val="single" w:sz="4" w:space="0" w:color="auto"/>
            </w:tcBorders>
            <w:vAlign w:val="center"/>
            <w:hideMark/>
          </w:tcPr>
          <w:p w14:paraId="3D04DF54" w14:textId="77777777" w:rsidR="002F590A" w:rsidRDefault="002F590A">
            <w:pPr>
              <w:rPr>
                <w:sz w:val="12"/>
                <w:szCs w:val="12"/>
              </w:rPr>
            </w:pPr>
            <w:r>
              <w:rPr>
                <w:sz w:val="12"/>
                <w:szCs w:val="12"/>
              </w:rPr>
              <w:t xml:space="preserve">Реконструкция с монтажом </w:t>
            </w:r>
            <w:proofErr w:type="gramStart"/>
            <w:r>
              <w:rPr>
                <w:sz w:val="12"/>
                <w:szCs w:val="12"/>
              </w:rPr>
              <w:t>автоматичес-кой</w:t>
            </w:r>
            <w:proofErr w:type="gramEnd"/>
            <w:r>
              <w:rPr>
                <w:sz w:val="12"/>
                <w:szCs w:val="12"/>
              </w:rPr>
              <w:t xml:space="preserve"> химводоподго-товки</w:t>
            </w:r>
          </w:p>
        </w:tc>
        <w:tc>
          <w:tcPr>
            <w:tcW w:w="313" w:type="pct"/>
            <w:tcBorders>
              <w:top w:val="single" w:sz="4" w:space="0" w:color="auto"/>
              <w:left w:val="single" w:sz="4" w:space="0" w:color="auto"/>
              <w:bottom w:val="single" w:sz="4" w:space="0" w:color="auto"/>
              <w:right w:val="single" w:sz="4" w:space="0" w:color="auto"/>
            </w:tcBorders>
            <w:vAlign w:val="center"/>
            <w:hideMark/>
          </w:tcPr>
          <w:p w14:paraId="7EF87E84" w14:textId="77777777" w:rsidR="002F590A" w:rsidRDefault="002F590A">
            <w:pPr>
              <w:jc w:val="center"/>
              <w:rPr>
                <w:sz w:val="12"/>
                <w:szCs w:val="12"/>
              </w:rPr>
            </w:pPr>
            <w:r>
              <w:rPr>
                <w:sz w:val="12"/>
                <w:szCs w:val="12"/>
              </w:rPr>
              <w:t>Повышение надежности (бесперебойности) услуг теплоснабжения, повышение энергетической эффективности</w:t>
            </w:r>
          </w:p>
        </w:tc>
        <w:tc>
          <w:tcPr>
            <w:tcW w:w="275" w:type="pct"/>
            <w:tcBorders>
              <w:top w:val="single" w:sz="4" w:space="0" w:color="auto"/>
              <w:left w:val="single" w:sz="4" w:space="0" w:color="auto"/>
              <w:bottom w:val="single" w:sz="4" w:space="0" w:color="auto"/>
              <w:right w:val="single" w:sz="4" w:space="0" w:color="auto"/>
            </w:tcBorders>
            <w:vAlign w:val="center"/>
            <w:hideMark/>
          </w:tcPr>
          <w:p w14:paraId="1E1A8877" w14:textId="77777777" w:rsidR="002F590A" w:rsidRDefault="002F590A">
            <w:pPr>
              <w:jc w:val="center"/>
              <w:rPr>
                <w:sz w:val="12"/>
                <w:szCs w:val="12"/>
              </w:rPr>
            </w:pPr>
            <w:r>
              <w:rPr>
                <w:sz w:val="12"/>
                <w:szCs w:val="12"/>
              </w:rPr>
              <w:t> </w:t>
            </w:r>
          </w:p>
        </w:tc>
        <w:tc>
          <w:tcPr>
            <w:tcW w:w="303" w:type="pct"/>
            <w:tcBorders>
              <w:top w:val="single" w:sz="4" w:space="0" w:color="auto"/>
              <w:left w:val="single" w:sz="4" w:space="0" w:color="auto"/>
              <w:bottom w:val="single" w:sz="4" w:space="0" w:color="auto"/>
              <w:right w:val="single" w:sz="4" w:space="0" w:color="auto"/>
            </w:tcBorders>
            <w:vAlign w:val="center"/>
            <w:hideMark/>
          </w:tcPr>
          <w:p w14:paraId="7AF1F01A" w14:textId="77777777" w:rsidR="002F590A" w:rsidRDefault="002F590A">
            <w:pPr>
              <w:jc w:val="center"/>
              <w:rPr>
                <w:sz w:val="12"/>
                <w:szCs w:val="12"/>
              </w:rPr>
            </w:pPr>
            <w:r>
              <w:rPr>
                <w:color w:val="000000"/>
                <w:sz w:val="12"/>
                <w:szCs w:val="12"/>
              </w:rPr>
              <w:t>Технические характеристики</w:t>
            </w:r>
          </w:p>
        </w:tc>
        <w:tc>
          <w:tcPr>
            <w:tcW w:w="139" w:type="pct"/>
            <w:tcBorders>
              <w:top w:val="single" w:sz="4" w:space="0" w:color="auto"/>
              <w:left w:val="single" w:sz="4" w:space="0" w:color="auto"/>
              <w:bottom w:val="single" w:sz="4" w:space="0" w:color="auto"/>
              <w:right w:val="single" w:sz="4" w:space="0" w:color="auto"/>
            </w:tcBorders>
            <w:vAlign w:val="center"/>
          </w:tcPr>
          <w:p w14:paraId="2E952276" w14:textId="77777777" w:rsidR="002F590A" w:rsidRDefault="002F590A">
            <w:pPr>
              <w:jc w:val="center"/>
              <w:rPr>
                <w:sz w:val="12"/>
                <w:szCs w:val="12"/>
              </w:rPr>
            </w:pPr>
          </w:p>
        </w:tc>
        <w:tc>
          <w:tcPr>
            <w:tcW w:w="300" w:type="pct"/>
            <w:tcBorders>
              <w:top w:val="single" w:sz="4" w:space="0" w:color="auto"/>
              <w:left w:val="single" w:sz="4" w:space="0" w:color="auto"/>
              <w:bottom w:val="single" w:sz="4" w:space="0" w:color="auto"/>
              <w:right w:val="single" w:sz="4" w:space="0" w:color="auto"/>
            </w:tcBorders>
            <w:vAlign w:val="center"/>
            <w:hideMark/>
          </w:tcPr>
          <w:p w14:paraId="2A57DD03" w14:textId="77777777" w:rsidR="002F590A" w:rsidRDefault="002F590A">
            <w:pPr>
              <w:jc w:val="center"/>
              <w:rPr>
                <w:color w:val="000000"/>
                <w:sz w:val="12"/>
                <w:szCs w:val="12"/>
              </w:rPr>
            </w:pPr>
            <w:r>
              <w:rPr>
                <w:color w:val="000000"/>
                <w:sz w:val="12"/>
                <w:szCs w:val="12"/>
              </w:rPr>
              <w:t xml:space="preserve">Отсутствует система умягчения холодной воды </w:t>
            </w:r>
          </w:p>
        </w:tc>
        <w:tc>
          <w:tcPr>
            <w:tcW w:w="351" w:type="pct"/>
            <w:tcBorders>
              <w:top w:val="single" w:sz="4" w:space="0" w:color="auto"/>
              <w:left w:val="single" w:sz="4" w:space="0" w:color="auto"/>
              <w:bottom w:val="single" w:sz="4" w:space="0" w:color="auto"/>
              <w:right w:val="single" w:sz="4" w:space="0" w:color="auto"/>
            </w:tcBorders>
            <w:vAlign w:val="center"/>
            <w:hideMark/>
          </w:tcPr>
          <w:p w14:paraId="07C69542" w14:textId="77777777" w:rsidR="002F590A" w:rsidRDefault="002F590A">
            <w:pPr>
              <w:jc w:val="center"/>
              <w:rPr>
                <w:sz w:val="12"/>
                <w:szCs w:val="12"/>
              </w:rPr>
            </w:pPr>
            <w:r>
              <w:rPr>
                <w:sz w:val="12"/>
                <w:szCs w:val="12"/>
              </w:rPr>
              <w:t>Оборудование позволит снизить жесткость воды (убрать излишек магния и кальция), исключает образование отложений солей жесткости на внутренних поверхностях труб, котлов и др. теплового оборудования, что увеличит срок службы, снизит расход топлива, исключаются затраты на замену котлов и другого тепломеханического оборудования.</w:t>
            </w:r>
          </w:p>
        </w:tc>
        <w:tc>
          <w:tcPr>
            <w:tcW w:w="139" w:type="pct"/>
            <w:tcBorders>
              <w:top w:val="single" w:sz="4" w:space="0" w:color="auto"/>
              <w:left w:val="single" w:sz="4" w:space="0" w:color="auto"/>
              <w:bottom w:val="single" w:sz="4" w:space="0" w:color="auto"/>
              <w:right w:val="single" w:sz="4" w:space="0" w:color="auto"/>
            </w:tcBorders>
            <w:vAlign w:val="center"/>
            <w:hideMark/>
          </w:tcPr>
          <w:p w14:paraId="6858BE4B" w14:textId="77777777" w:rsidR="002F590A" w:rsidRDefault="002F590A">
            <w:pPr>
              <w:jc w:val="center"/>
              <w:rPr>
                <w:sz w:val="12"/>
                <w:szCs w:val="12"/>
              </w:rPr>
            </w:pPr>
            <w:r>
              <w:rPr>
                <w:sz w:val="12"/>
                <w:szCs w:val="12"/>
              </w:rPr>
              <w:t>2025</w:t>
            </w:r>
          </w:p>
        </w:tc>
        <w:tc>
          <w:tcPr>
            <w:tcW w:w="167" w:type="pct"/>
            <w:tcBorders>
              <w:top w:val="single" w:sz="4" w:space="0" w:color="auto"/>
              <w:left w:val="single" w:sz="4" w:space="0" w:color="auto"/>
              <w:bottom w:val="single" w:sz="4" w:space="0" w:color="auto"/>
              <w:right w:val="single" w:sz="4" w:space="0" w:color="auto"/>
            </w:tcBorders>
            <w:vAlign w:val="center"/>
            <w:hideMark/>
          </w:tcPr>
          <w:p w14:paraId="2F8941BA" w14:textId="77777777" w:rsidR="002F590A" w:rsidRDefault="002F590A">
            <w:pPr>
              <w:jc w:val="center"/>
              <w:rPr>
                <w:sz w:val="12"/>
                <w:szCs w:val="12"/>
              </w:rPr>
            </w:pPr>
            <w:r>
              <w:rPr>
                <w:sz w:val="12"/>
                <w:szCs w:val="12"/>
              </w:rPr>
              <w:t>2025</w:t>
            </w:r>
          </w:p>
        </w:tc>
        <w:tc>
          <w:tcPr>
            <w:tcW w:w="216" w:type="pct"/>
            <w:tcBorders>
              <w:top w:val="single" w:sz="4" w:space="0" w:color="auto"/>
              <w:left w:val="single" w:sz="4" w:space="0" w:color="auto"/>
              <w:bottom w:val="single" w:sz="4" w:space="0" w:color="auto"/>
              <w:right w:val="single" w:sz="4" w:space="0" w:color="auto"/>
            </w:tcBorders>
            <w:vAlign w:val="center"/>
            <w:hideMark/>
          </w:tcPr>
          <w:p w14:paraId="3FAB476D" w14:textId="77777777" w:rsidR="002F590A" w:rsidRDefault="002F590A">
            <w:pPr>
              <w:jc w:val="center"/>
              <w:rPr>
                <w:color w:val="000000"/>
                <w:sz w:val="12"/>
                <w:szCs w:val="12"/>
              </w:rPr>
            </w:pPr>
            <w:r>
              <w:rPr>
                <w:color w:val="000000"/>
                <w:sz w:val="12"/>
                <w:szCs w:val="12"/>
              </w:rPr>
              <w:t>51,52</w:t>
            </w:r>
          </w:p>
        </w:tc>
        <w:tc>
          <w:tcPr>
            <w:tcW w:w="174" w:type="pct"/>
            <w:tcBorders>
              <w:top w:val="single" w:sz="4" w:space="0" w:color="auto"/>
              <w:left w:val="single" w:sz="4" w:space="0" w:color="auto"/>
              <w:bottom w:val="single" w:sz="4" w:space="0" w:color="auto"/>
              <w:right w:val="single" w:sz="4" w:space="0" w:color="auto"/>
            </w:tcBorders>
            <w:vAlign w:val="center"/>
            <w:hideMark/>
          </w:tcPr>
          <w:p w14:paraId="28DFE5AF" w14:textId="77777777" w:rsidR="002F590A" w:rsidRDefault="002F590A">
            <w:pPr>
              <w:jc w:val="center"/>
              <w:rPr>
                <w:color w:val="000000"/>
                <w:sz w:val="12"/>
                <w:szCs w:val="12"/>
              </w:rPr>
            </w:pPr>
            <w:r>
              <w:rPr>
                <w:color w:val="000000"/>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307B302F" w14:textId="77777777" w:rsidR="002F590A" w:rsidRDefault="002F590A">
            <w:pPr>
              <w:jc w:val="center"/>
              <w:rPr>
                <w:sz w:val="12"/>
                <w:szCs w:val="12"/>
              </w:rPr>
            </w:pPr>
            <w:r>
              <w:rPr>
                <w:sz w:val="12"/>
                <w:szCs w:val="12"/>
              </w:rPr>
              <w:t>0,00</w:t>
            </w:r>
          </w:p>
        </w:tc>
        <w:tc>
          <w:tcPr>
            <w:tcW w:w="172" w:type="pct"/>
            <w:tcBorders>
              <w:top w:val="single" w:sz="4" w:space="0" w:color="auto"/>
              <w:left w:val="single" w:sz="4" w:space="0" w:color="auto"/>
              <w:bottom w:val="single" w:sz="4" w:space="0" w:color="auto"/>
              <w:right w:val="single" w:sz="4" w:space="0" w:color="auto"/>
            </w:tcBorders>
            <w:vAlign w:val="center"/>
            <w:hideMark/>
          </w:tcPr>
          <w:p w14:paraId="00F44B1A"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36F1D79F" w14:textId="77777777" w:rsidR="002F590A" w:rsidRDefault="002F590A">
            <w:pPr>
              <w:jc w:val="center"/>
              <w:rPr>
                <w:sz w:val="12"/>
                <w:szCs w:val="12"/>
              </w:rPr>
            </w:pPr>
            <w:r>
              <w:rPr>
                <w:sz w:val="12"/>
                <w:szCs w:val="12"/>
              </w:rPr>
              <w:t>0,00</w:t>
            </w:r>
          </w:p>
        </w:tc>
        <w:tc>
          <w:tcPr>
            <w:tcW w:w="216" w:type="pct"/>
            <w:tcBorders>
              <w:top w:val="single" w:sz="4" w:space="0" w:color="auto"/>
              <w:left w:val="single" w:sz="4" w:space="0" w:color="auto"/>
              <w:bottom w:val="single" w:sz="4" w:space="0" w:color="auto"/>
              <w:right w:val="single" w:sz="4" w:space="0" w:color="auto"/>
            </w:tcBorders>
            <w:vAlign w:val="center"/>
            <w:hideMark/>
          </w:tcPr>
          <w:p w14:paraId="76E9CAEC" w14:textId="77777777" w:rsidR="002F590A" w:rsidRDefault="002F590A">
            <w:pPr>
              <w:jc w:val="center"/>
              <w:rPr>
                <w:sz w:val="12"/>
                <w:szCs w:val="12"/>
              </w:rPr>
            </w:pPr>
            <w:r>
              <w:rPr>
                <w:sz w:val="12"/>
                <w:szCs w:val="12"/>
              </w:rPr>
              <w:t>51,52</w:t>
            </w:r>
          </w:p>
        </w:tc>
        <w:tc>
          <w:tcPr>
            <w:tcW w:w="174" w:type="pct"/>
            <w:tcBorders>
              <w:top w:val="single" w:sz="4" w:space="0" w:color="auto"/>
              <w:left w:val="single" w:sz="4" w:space="0" w:color="auto"/>
              <w:bottom w:val="single" w:sz="4" w:space="0" w:color="auto"/>
              <w:right w:val="single" w:sz="4" w:space="0" w:color="auto"/>
            </w:tcBorders>
            <w:vAlign w:val="center"/>
            <w:hideMark/>
          </w:tcPr>
          <w:p w14:paraId="021AB514"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55A15EC3" w14:textId="77777777" w:rsidR="002F590A" w:rsidRDefault="002F590A">
            <w:pPr>
              <w:jc w:val="center"/>
              <w:rPr>
                <w:sz w:val="12"/>
                <w:szCs w:val="12"/>
              </w:rPr>
            </w:pPr>
            <w:r>
              <w:rPr>
                <w:sz w:val="12"/>
                <w:szCs w:val="12"/>
              </w:rPr>
              <w:t>0,00</w:t>
            </w:r>
          </w:p>
        </w:tc>
        <w:tc>
          <w:tcPr>
            <w:tcW w:w="218" w:type="pct"/>
            <w:tcBorders>
              <w:top w:val="single" w:sz="4" w:space="0" w:color="auto"/>
              <w:left w:val="single" w:sz="4" w:space="0" w:color="auto"/>
              <w:bottom w:val="single" w:sz="4" w:space="0" w:color="auto"/>
              <w:right w:val="single" w:sz="4" w:space="0" w:color="auto"/>
            </w:tcBorders>
            <w:vAlign w:val="center"/>
            <w:hideMark/>
          </w:tcPr>
          <w:p w14:paraId="2ABD35E9"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37C9F8AC"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5A55ADD5" w14:textId="77777777" w:rsidR="002F590A" w:rsidRDefault="002F590A">
            <w:pPr>
              <w:jc w:val="center"/>
              <w:rPr>
                <w:sz w:val="12"/>
                <w:szCs w:val="12"/>
              </w:rPr>
            </w:pPr>
            <w:r>
              <w:rPr>
                <w:sz w:val="12"/>
                <w:szCs w:val="12"/>
              </w:rPr>
              <w:t>0,00</w:t>
            </w:r>
          </w:p>
        </w:tc>
        <w:tc>
          <w:tcPr>
            <w:tcW w:w="175" w:type="pct"/>
            <w:tcBorders>
              <w:top w:val="single" w:sz="4" w:space="0" w:color="auto"/>
              <w:left w:val="single" w:sz="4" w:space="0" w:color="auto"/>
              <w:bottom w:val="single" w:sz="4" w:space="0" w:color="auto"/>
              <w:right w:val="single" w:sz="4" w:space="0" w:color="auto"/>
            </w:tcBorders>
            <w:vAlign w:val="center"/>
            <w:hideMark/>
          </w:tcPr>
          <w:p w14:paraId="23FAABEF"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62A2A459" w14:textId="77777777" w:rsidR="002F590A" w:rsidRDefault="002F590A">
            <w:pPr>
              <w:jc w:val="center"/>
              <w:rPr>
                <w:color w:val="000000"/>
                <w:sz w:val="12"/>
                <w:szCs w:val="12"/>
              </w:rPr>
            </w:pPr>
            <w:r>
              <w:rPr>
                <w:color w:val="000000"/>
                <w:sz w:val="12"/>
                <w:szCs w:val="12"/>
              </w:rPr>
              <w:t>0,00</w:t>
            </w:r>
          </w:p>
        </w:tc>
        <w:tc>
          <w:tcPr>
            <w:tcW w:w="172" w:type="pct"/>
            <w:tcBorders>
              <w:top w:val="single" w:sz="4" w:space="0" w:color="auto"/>
              <w:left w:val="single" w:sz="4" w:space="0" w:color="auto"/>
              <w:bottom w:val="single" w:sz="4" w:space="0" w:color="auto"/>
              <w:right w:val="single" w:sz="4" w:space="0" w:color="auto"/>
            </w:tcBorders>
            <w:vAlign w:val="center"/>
            <w:hideMark/>
          </w:tcPr>
          <w:p w14:paraId="1487D0D6" w14:textId="77777777" w:rsidR="002F590A" w:rsidRDefault="002F590A">
            <w:pPr>
              <w:jc w:val="center"/>
              <w:rPr>
                <w:color w:val="000000"/>
                <w:sz w:val="12"/>
                <w:szCs w:val="12"/>
              </w:rPr>
            </w:pPr>
            <w:r>
              <w:rPr>
                <w:color w:val="000000"/>
                <w:sz w:val="12"/>
                <w:szCs w:val="12"/>
              </w:rPr>
              <w:t>0,00</w:t>
            </w:r>
          </w:p>
        </w:tc>
      </w:tr>
      <w:tr w:rsidR="002F590A" w14:paraId="01B4AB11" w14:textId="77777777" w:rsidTr="002F590A">
        <w:trPr>
          <w:trHeight w:val="1357"/>
        </w:trPr>
        <w:tc>
          <w:tcPr>
            <w:tcW w:w="173" w:type="pct"/>
            <w:tcBorders>
              <w:top w:val="single" w:sz="4" w:space="0" w:color="auto"/>
              <w:left w:val="single" w:sz="4" w:space="0" w:color="auto"/>
              <w:bottom w:val="single" w:sz="4" w:space="0" w:color="auto"/>
              <w:right w:val="single" w:sz="4" w:space="0" w:color="auto"/>
            </w:tcBorders>
            <w:vAlign w:val="center"/>
            <w:hideMark/>
          </w:tcPr>
          <w:p w14:paraId="3591F6F2" w14:textId="77777777" w:rsidR="002F590A" w:rsidRDefault="002F590A">
            <w:pPr>
              <w:jc w:val="center"/>
              <w:rPr>
                <w:sz w:val="12"/>
                <w:szCs w:val="12"/>
              </w:rPr>
            </w:pPr>
            <w:r>
              <w:rPr>
                <w:sz w:val="12"/>
                <w:szCs w:val="12"/>
              </w:rPr>
              <w:t>3.2.15.2</w:t>
            </w:r>
          </w:p>
        </w:tc>
        <w:tc>
          <w:tcPr>
            <w:tcW w:w="280" w:type="pct"/>
            <w:tcBorders>
              <w:top w:val="single" w:sz="4" w:space="0" w:color="auto"/>
              <w:left w:val="single" w:sz="4" w:space="0" w:color="auto"/>
              <w:bottom w:val="single" w:sz="4" w:space="0" w:color="auto"/>
              <w:right w:val="single" w:sz="4" w:space="0" w:color="auto"/>
            </w:tcBorders>
            <w:vAlign w:val="center"/>
            <w:hideMark/>
          </w:tcPr>
          <w:p w14:paraId="3BBB62BA" w14:textId="77777777" w:rsidR="002F590A" w:rsidRDefault="002F590A">
            <w:pPr>
              <w:rPr>
                <w:sz w:val="12"/>
                <w:szCs w:val="12"/>
              </w:rPr>
            </w:pPr>
            <w:r>
              <w:rPr>
                <w:sz w:val="12"/>
                <w:szCs w:val="12"/>
              </w:rPr>
              <w:t>Реконструкция системы автоматической подпитки тепловой сети из водопровода</w:t>
            </w:r>
          </w:p>
        </w:tc>
        <w:tc>
          <w:tcPr>
            <w:tcW w:w="313" w:type="pct"/>
            <w:tcBorders>
              <w:top w:val="single" w:sz="4" w:space="0" w:color="auto"/>
              <w:left w:val="single" w:sz="4" w:space="0" w:color="auto"/>
              <w:bottom w:val="single" w:sz="4" w:space="0" w:color="auto"/>
              <w:right w:val="single" w:sz="4" w:space="0" w:color="auto"/>
            </w:tcBorders>
            <w:vAlign w:val="center"/>
            <w:hideMark/>
          </w:tcPr>
          <w:p w14:paraId="1EC757FB" w14:textId="77777777" w:rsidR="002F590A" w:rsidRDefault="002F590A">
            <w:pPr>
              <w:jc w:val="center"/>
              <w:rPr>
                <w:sz w:val="12"/>
                <w:szCs w:val="12"/>
              </w:rPr>
            </w:pPr>
            <w:r>
              <w:rPr>
                <w:sz w:val="12"/>
                <w:szCs w:val="12"/>
              </w:rPr>
              <w:t>Повышение надежности (бесперебойности) услуг теплоснабжения, повышение энергетической эффективности</w:t>
            </w:r>
          </w:p>
        </w:tc>
        <w:tc>
          <w:tcPr>
            <w:tcW w:w="275" w:type="pct"/>
            <w:tcBorders>
              <w:top w:val="single" w:sz="4" w:space="0" w:color="auto"/>
              <w:left w:val="single" w:sz="4" w:space="0" w:color="auto"/>
              <w:bottom w:val="single" w:sz="4" w:space="0" w:color="auto"/>
              <w:right w:val="single" w:sz="4" w:space="0" w:color="auto"/>
            </w:tcBorders>
            <w:vAlign w:val="center"/>
            <w:hideMark/>
          </w:tcPr>
          <w:p w14:paraId="60870CED" w14:textId="77777777" w:rsidR="002F590A" w:rsidRDefault="002F590A">
            <w:pPr>
              <w:jc w:val="center"/>
              <w:rPr>
                <w:sz w:val="12"/>
                <w:szCs w:val="12"/>
              </w:rPr>
            </w:pPr>
            <w:r>
              <w:rPr>
                <w:sz w:val="12"/>
                <w:szCs w:val="12"/>
              </w:rPr>
              <w:t> </w:t>
            </w:r>
          </w:p>
        </w:tc>
        <w:tc>
          <w:tcPr>
            <w:tcW w:w="303" w:type="pct"/>
            <w:tcBorders>
              <w:top w:val="single" w:sz="4" w:space="0" w:color="auto"/>
              <w:left w:val="single" w:sz="4" w:space="0" w:color="auto"/>
              <w:bottom w:val="single" w:sz="4" w:space="0" w:color="auto"/>
              <w:right w:val="single" w:sz="4" w:space="0" w:color="auto"/>
            </w:tcBorders>
            <w:vAlign w:val="center"/>
            <w:hideMark/>
          </w:tcPr>
          <w:p w14:paraId="3807CAA6" w14:textId="77777777" w:rsidR="002F590A" w:rsidRDefault="002F590A">
            <w:pPr>
              <w:jc w:val="center"/>
              <w:rPr>
                <w:sz w:val="12"/>
                <w:szCs w:val="12"/>
              </w:rPr>
            </w:pPr>
            <w:r>
              <w:rPr>
                <w:color w:val="000000"/>
                <w:sz w:val="12"/>
                <w:szCs w:val="12"/>
              </w:rPr>
              <w:t>Технические характеристики</w:t>
            </w:r>
          </w:p>
        </w:tc>
        <w:tc>
          <w:tcPr>
            <w:tcW w:w="139" w:type="pct"/>
            <w:tcBorders>
              <w:top w:val="single" w:sz="4" w:space="0" w:color="auto"/>
              <w:left w:val="single" w:sz="4" w:space="0" w:color="auto"/>
              <w:bottom w:val="single" w:sz="4" w:space="0" w:color="auto"/>
              <w:right w:val="single" w:sz="4" w:space="0" w:color="auto"/>
            </w:tcBorders>
            <w:vAlign w:val="center"/>
          </w:tcPr>
          <w:p w14:paraId="1DF60106" w14:textId="77777777" w:rsidR="002F590A" w:rsidRDefault="002F590A">
            <w:pPr>
              <w:jc w:val="center"/>
              <w:rPr>
                <w:sz w:val="12"/>
                <w:szCs w:val="12"/>
              </w:rPr>
            </w:pPr>
          </w:p>
        </w:tc>
        <w:tc>
          <w:tcPr>
            <w:tcW w:w="300" w:type="pct"/>
            <w:tcBorders>
              <w:top w:val="single" w:sz="4" w:space="0" w:color="auto"/>
              <w:left w:val="single" w:sz="4" w:space="0" w:color="auto"/>
              <w:bottom w:val="single" w:sz="4" w:space="0" w:color="auto"/>
              <w:right w:val="single" w:sz="4" w:space="0" w:color="auto"/>
            </w:tcBorders>
            <w:vAlign w:val="center"/>
            <w:hideMark/>
          </w:tcPr>
          <w:p w14:paraId="0191F7EF" w14:textId="77777777" w:rsidR="002F590A" w:rsidRDefault="002F590A">
            <w:pPr>
              <w:jc w:val="center"/>
              <w:rPr>
                <w:sz w:val="12"/>
                <w:szCs w:val="12"/>
              </w:rPr>
            </w:pPr>
            <w:r>
              <w:rPr>
                <w:sz w:val="12"/>
                <w:szCs w:val="12"/>
              </w:rPr>
              <w:t>Редукционный клапан Ду15, счетчик СГВ-15, кран муфтовый Ду15, обратный клапан резьбовой Ду15мм.</w:t>
            </w:r>
          </w:p>
        </w:tc>
        <w:tc>
          <w:tcPr>
            <w:tcW w:w="351" w:type="pct"/>
            <w:tcBorders>
              <w:top w:val="single" w:sz="4" w:space="0" w:color="auto"/>
              <w:left w:val="single" w:sz="4" w:space="0" w:color="auto"/>
              <w:bottom w:val="single" w:sz="4" w:space="0" w:color="auto"/>
              <w:right w:val="single" w:sz="4" w:space="0" w:color="auto"/>
            </w:tcBorders>
            <w:vAlign w:val="center"/>
            <w:hideMark/>
          </w:tcPr>
          <w:p w14:paraId="57E13A81" w14:textId="77777777" w:rsidR="002F590A" w:rsidRDefault="002F590A">
            <w:pPr>
              <w:jc w:val="center"/>
              <w:rPr>
                <w:sz w:val="12"/>
                <w:szCs w:val="12"/>
              </w:rPr>
            </w:pPr>
            <w:r>
              <w:rPr>
                <w:sz w:val="12"/>
                <w:szCs w:val="12"/>
              </w:rPr>
              <w:t>Оборудование с техническими характеристиками не ниже существующего на объекте.</w:t>
            </w:r>
          </w:p>
        </w:tc>
        <w:tc>
          <w:tcPr>
            <w:tcW w:w="139" w:type="pct"/>
            <w:tcBorders>
              <w:top w:val="single" w:sz="4" w:space="0" w:color="auto"/>
              <w:left w:val="single" w:sz="4" w:space="0" w:color="auto"/>
              <w:bottom w:val="single" w:sz="4" w:space="0" w:color="auto"/>
              <w:right w:val="single" w:sz="4" w:space="0" w:color="auto"/>
            </w:tcBorders>
            <w:vAlign w:val="center"/>
            <w:hideMark/>
          </w:tcPr>
          <w:p w14:paraId="768E46EB" w14:textId="77777777" w:rsidR="002F590A" w:rsidRDefault="002F590A">
            <w:pPr>
              <w:jc w:val="center"/>
              <w:rPr>
                <w:sz w:val="12"/>
                <w:szCs w:val="12"/>
              </w:rPr>
            </w:pPr>
            <w:r>
              <w:rPr>
                <w:sz w:val="12"/>
                <w:szCs w:val="12"/>
              </w:rPr>
              <w:t>2025</w:t>
            </w:r>
          </w:p>
        </w:tc>
        <w:tc>
          <w:tcPr>
            <w:tcW w:w="167" w:type="pct"/>
            <w:tcBorders>
              <w:top w:val="single" w:sz="4" w:space="0" w:color="auto"/>
              <w:left w:val="single" w:sz="4" w:space="0" w:color="auto"/>
              <w:bottom w:val="single" w:sz="4" w:space="0" w:color="auto"/>
              <w:right w:val="single" w:sz="4" w:space="0" w:color="auto"/>
            </w:tcBorders>
            <w:vAlign w:val="center"/>
            <w:hideMark/>
          </w:tcPr>
          <w:p w14:paraId="4B43ABCB" w14:textId="77777777" w:rsidR="002F590A" w:rsidRDefault="002F590A">
            <w:pPr>
              <w:jc w:val="center"/>
              <w:rPr>
                <w:sz w:val="12"/>
                <w:szCs w:val="12"/>
              </w:rPr>
            </w:pPr>
            <w:r>
              <w:rPr>
                <w:sz w:val="12"/>
                <w:szCs w:val="12"/>
              </w:rPr>
              <w:t>2025</w:t>
            </w:r>
          </w:p>
        </w:tc>
        <w:tc>
          <w:tcPr>
            <w:tcW w:w="216" w:type="pct"/>
            <w:tcBorders>
              <w:top w:val="single" w:sz="4" w:space="0" w:color="auto"/>
              <w:left w:val="single" w:sz="4" w:space="0" w:color="auto"/>
              <w:bottom w:val="single" w:sz="4" w:space="0" w:color="auto"/>
              <w:right w:val="single" w:sz="4" w:space="0" w:color="auto"/>
            </w:tcBorders>
            <w:vAlign w:val="center"/>
            <w:hideMark/>
          </w:tcPr>
          <w:p w14:paraId="7E225F7D" w14:textId="77777777" w:rsidR="002F590A" w:rsidRDefault="002F590A">
            <w:pPr>
              <w:jc w:val="center"/>
              <w:rPr>
                <w:color w:val="000000"/>
                <w:sz w:val="12"/>
                <w:szCs w:val="12"/>
              </w:rPr>
            </w:pPr>
            <w:r>
              <w:rPr>
                <w:color w:val="000000"/>
                <w:sz w:val="12"/>
                <w:szCs w:val="12"/>
              </w:rPr>
              <w:t>11,81</w:t>
            </w:r>
          </w:p>
        </w:tc>
        <w:tc>
          <w:tcPr>
            <w:tcW w:w="174" w:type="pct"/>
            <w:tcBorders>
              <w:top w:val="single" w:sz="4" w:space="0" w:color="auto"/>
              <w:left w:val="single" w:sz="4" w:space="0" w:color="auto"/>
              <w:bottom w:val="single" w:sz="4" w:space="0" w:color="auto"/>
              <w:right w:val="single" w:sz="4" w:space="0" w:color="auto"/>
            </w:tcBorders>
            <w:vAlign w:val="center"/>
            <w:hideMark/>
          </w:tcPr>
          <w:p w14:paraId="07B628F6" w14:textId="77777777" w:rsidR="002F590A" w:rsidRDefault="002F590A">
            <w:pPr>
              <w:jc w:val="center"/>
              <w:rPr>
                <w:color w:val="000000"/>
                <w:sz w:val="12"/>
                <w:szCs w:val="12"/>
              </w:rPr>
            </w:pPr>
            <w:r>
              <w:rPr>
                <w:color w:val="000000"/>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724E243B" w14:textId="77777777" w:rsidR="002F590A" w:rsidRDefault="002F590A">
            <w:pPr>
              <w:jc w:val="center"/>
              <w:rPr>
                <w:sz w:val="12"/>
                <w:szCs w:val="12"/>
              </w:rPr>
            </w:pPr>
            <w:r>
              <w:rPr>
                <w:sz w:val="12"/>
                <w:szCs w:val="12"/>
              </w:rPr>
              <w:t>0,00</w:t>
            </w:r>
          </w:p>
        </w:tc>
        <w:tc>
          <w:tcPr>
            <w:tcW w:w="172" w:type="pct"/>
            <w:tcBorders>
              <w:top w:val="single" w:sz="4" w:space="0" w:color="auto"/>
              <w:left w:val="single" w:sz="4" w:space="0" w:color="auto"/>
              <w:bottom w:val="single" w:sz="4" w:space="0" w:color="auto"/>
              <w:right w:val="single" w:sz="4" w:space="0" w:color="auto"/>
            </w:tcBorders>
            <w:vAlign w:val="center"/>
            <w:hideMark/>
          </w:tcPr>
          <w:p w14:paraId="3AD0D47C"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787465FF" w14:textId="77777777" w:rsidR="002F590A" w:rsidRDefault="002F590A">
            <w:pPr>
              <w:jc w:val="center"/>
              <w:rPr>
                <w:sz w:val="12"/>
                <w:szCs w:val="12"/>
              </w:rPr>
            </w:pPr>
            <w:r>
              <w:rPr>
                <w:sz w:val="12"/>
                <w:szCs w:val="12"/>
              </w:rPr>
              <w:t>0,00</w:t>
            </w:r>
          </w:p>
        </w:tc>
        <w:tc>
          <w:tcPr>
            <w:tcW w:w="216" w:type="pct"/>
            <w:tcBorders>
              <w:top w:val="single" w:sz="4" w:space="0" w:color="auto"/>
              <w:left w:val="single" w:sz="4" w:space="0" w:color="auto"/>
              <w:bottom w:val="single" w:sz="4" w:space="0" w:color="auto"/>
              <w:right w:val="single" w:sz="4" w:space="0" w:color="auto"/>
            </w:tcBorders>
            <w:vAlign w:val="center"/>
            <w:hideMark/>
          </w:tcPr>
          <w:p w14:paraId="2479D662" w14:textId="77777777" w:rsidR="002F590A" w:rsidRDefault="002F590A">
            <w:pPr>
              <w:jc w:val="center"/>
              <w:rPr>
                <w:sz w:val="12"/>
                <w:szCs w:val="12"/>
              </w:rPr>
            </w:pPr>
            <w:r>
              <w:rPr>
                <w:sz w:val="12"/>
                <w:szCs w:val="12"/>
              </w:rPr>
              <w:t>11,81</w:t>
            </w:r>
          </w:p>
        </w:tc>
        <w:tc>
          <w:tcPr>
            <w:tcW w:w="174" w:type="pct"/>
            <w:tcBorders>
              <w:top w:val="single" w:sz="4" w:space="0" w:color="auto"/>
              <w:left w:val="single" w:sz="4" w:space="0" w:color="auto"/>
              <w:bottom w:val="single" w:sz="4" w:space="0" w:color="auto"/>
              <w:right w:val="single" w:sz="4" w:space="0" w:color="auto"/>
            </w:tcBorders>
            <w:vAlign w:val="center"/>
            <w:hideMark/>
          </w:tcPr>
          <w:p w14:paraId="7122330F"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480DAEE6" w14:textId="77777777" w:rsidR="002F590A" w:rsidRDefault="002F590A">
            <w:pPr>
              <w:jc w:val="center"/>
              <w:rPr>
                <w:sz w:val="12"/>
                <w:szCs w:val="12"/>
              </w:rPr>
            </w:pPr>
            <w:r>
              <w:rPr>
                <w:sz w:val="12"/>
                <w:szCs w:val="12"/>
              </w:rPr>
              <w:t>0,00</w:t>
            </w:r>
          </w:p>
        </w:tc>
        <w:tc>
          <w:tcPr>
            <w:tcW w:w="218" w:type="pct"/>
            <w:tcBorders>
              <w:top w:val="single" w:sz="4" w:space="0" w:color="auto"/>
              <w:left w:val="single" w:sz="4" w:space="0" w:color="auto"/>
              <w:bottom w:val="single" w:sz="4" w:space="0" w:color="auto"/>
              <w:right w:val="single" w:sz="4" w:space="0" w:color="auto"/>
            </w:tcBorders>
            <w:vAlign w:val="center"/>
            <w:hideMark/>
          </w:tcPr>
          <w:p w14:paraId="4FFB8F7C"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00BC7166"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5857185D" w14:textId="77777777" w:rsidR="002F590A" w:rsidRDefault="002F590A">
            <w:pPr>
              <w:jc w:val="center"/>
              <w:rPr>
                <w:sz w:val="12"/>
                <w:szCs w:val="12"/>
              </w:rPr>
            </w:pPr>
            <w:r>
              <w:rPr>
                <w:sz w:val="12"/>
                <w:szCs w:val="12"/>
              </w:rPr>
              <w:t>0,00</w:t>
            </w:r>
          </w:p>
        </w:tc>
        <w:tc>
          <w:tcPr>
            <w:tcW w:w="175" w:type="pct"/>
            <w:tcBorders>
              <w:top w:val="single" w:sz="4" w:space="0" w:color="auto"/>
              <w:left w:val="single" w:sz="4" w:space="0" w:color="auto"/>
              <w:bottom w:val="single" w:sz="4" w:space="0" w:color="auto"/>
              <w:right w:val="single" w:sz="4" w:space="0" w:color="auto"/>
            </w:tcBorders>
            <w:vAlign w:val="center"/>
            <w:hideMark/>
          </w:tcPr>
          <w:p w14:paraId="204E9E7A"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03226279" w14:textId="77777777" w:rsidR="002F590A" w:rsidRDefault="002F590A">
            <w:pPr>
              <w:jc w:val="center"/>
              <w:rPr>
                <w:color w:val="000000"/>
                <w:sz w:val="12"/>
                <w:szCs w:val="12"/>
              </w:rPr>
            </w:pPr>
            <w:r>
              <w:rPr>
                <w:color w:val="000000"/>
                <w:sz w:val="12"/>
                <w:szCs w:val="12"/>
              </w:rPr>
              <w:t>0,00</w:t>
            </w:r>
          </w:p>
        </w:tc>
        <w:tc>
          <w:tcPr>
            <w:tcW w:w="172" w:type="pct"/>
            <w:tcBorders>
              <w:top w:val="single" w:sz="4" w:space="0" w:color="auto"/>
              <w:left w:val="single" w:sz="4" w:space="0" w:color="auto"/>
              <w:bottom w:val="single" w:sz="4" w:space="0" w:color="auto"/>
              <w:right w:val="single" w:sz="4" w:space="0" w:color="auto"/>
            </w:tcBorders>
            <w:vAlign w:val="center"/>
            <w:hideMark/>
          </w:tcPr>
          <w:p w14:paraId="59287F9E" w14:textId="77777777" w:rsidR="002F590A" w:rsidRDefault="002F590A">
            <w:pPr>
              <w:jc w:val="center"/>
              <w:rPr>
                <w:color w:val="000000"/>
                <w:sz w:val="12"/>
                <w:szCs w:val="12"/>
              </w:rPr>
            </w:pPr>
            <w:r>
              <w:rPr>
                <w:color w:val="000000"/>
                <w:sz w:val="12"/>
                <w:szCs w:val="12"/>
              </w:rPr>
              <w:t>0,00</w:t>
            </w:r>
          </w:p>
        </w:tc>
      </w:tr>
      <w:tr w:rsidR="002F590A" w14:paraId="1719D715" w14:textId="77777777" w:rsidTr="002F590A">
        <w:trPr>
          <w:trHeight w:val="552"/>
        </w:trPr>
        <w:tc>
          <w:tcPr>
            <w:tcW w:w="173" w:type="pct"/>
            <w:tcBorders>
              <w:top w:val="single" w:sz="4" w:space="0" w:color="auto"/>
              <w:left w:val="single" w:sz="4" w:space="0" w:color="auto"/>
              <w:bottom w:val="single" w:sz="4" w:space="0" w:color="auto"/>
              <w:right w:val="single" w:sz="4" w:space="0" w:color="auto"/>
            </w:tcBorders>
            <w:vAlign w:val="center"/>
            <w:hideMark/>
          </w:tcPr>
          <w:p w14:paraId="0B136D6A" w14:textId="77777777" w:rsidR="002F590A" w:rsidRDefault="002F590A">
            <w:pPr>
              <w:jc w:val="center"/>
              <w:rPr>
                <w:bCs/>
                <w:sz w:val="12"/>
                <w:szCs w:val="12"/>
              </w:rPr>
            </w:pPr>
            <w:r>
              <w:rPr>
                <w:bCs/>
                <w:sz w:val="12"/>
                <w:szCs w:val="12"/>
              </w:rPr>
              <w:t>1</w:t>
            </w:r>
          </w:p>
        </w:tc>
        <w:tc>
          <w:tcPr>
            <w:tcW w:w="280" w:type="pct"/>
            <w:tcBorders>
              <w:top w:val="single" w:sz="4" w:space="0" w:color="auto"/>
              <w:left w:val="single" w:sz="4" w:space="0" w:color="auto"/>
              <w:bottom w:val="single" w:sz="4" w:space="0" w:color="auto"/>
              <w:right w:val="single" w:sz="4" w:space="0" w:color="auto"/>
            </w:tcBorders>
            <w:vAlign w:val="center"/>
            <w:hideMark/>
          </w:tcPr>
          <w:p w14:paraId="035944DE" w14:textId="77777777" w:rsidR="002F590A" w:rsidRDefault="002F590A">
            <w:pPr>
              <w:jc w:val="center"/>
              <w:rPr>
                <w:bCs/>
                <w:sz w:val="12"/>
                <w:szCs w:val="12"/>
              </w:rPr>
            </w:pPr>
            <w:r>
              <w:rPr>
                <w:bCs/>
                <w:sz w:val="12"/>
                <w:szCs w:val="12"/>
              </w:rPr>
              <w:t>2</w:t>
            </w:r>
          </w:p>
        </w:tc>
        <w:tc>
          <w:tcPr>
            <w:tcW w:w="313" w:type="pct"/>
            <w:tcBorders>
              <w:top w:val="single" w:sz="4" w:space="0" w:color="auto"/>
              <w:left w:val="single" w:sz="4" w:space="0" w:color="auto"/>
              <w:bottom w:val="single" w:sz="4" w:space="0" w:color="auto"/>
              <w:right w:val="single" w:sz="4" w:space="0" w:color="auto"/>
            </w:tcBorders>
            <w:vAlign w:val="center"/>
            <w:hideMark/>
          </w:tcPr>
          <w:p w14:paraId="12B3BC74" w14:textId="77777777" w:rsidR="002F590A" w:rsidRDefault="002F590A">
            <w:pPr>
              <w:jc w:val="center"/>
              <w:rPr>
                <w:bCs/>
                <w:sz w:val="12"/>
                <w:szCs w:val="12"/>
              </w:rPr>
            </w:pPr>
            <w:r>
              <w:rPr>
                <w:bCs/>
                <w:sz w:val="12"/>
                <w:szCs w:val="12"/>
              </w:rPr>
              <w:t>3</w:t>
            </w:r>
          </w:p>
        </w:tc>
        <w:tc>
          <w:tcPr>
            <w:tcW w:w="275" w:type="pct"/>
            <w:tcBorders>
              <w:top w:val="single" w:sz="4" w:space="0" w:color="auto"/>
              <w:left w:val="single" w:sz="4" w:space="0" w:color="auto"/>
              <w:bottom w:val="single" w:sz="4" w:space="0" w:color="auto"/>
              <w:right w:val="single" w:sz="4" w:space="0" w:color="auto"/>
            </w:tcBorders>
            <w:vAlign w:val="center"/>
            <w:hideMark/>
          </w:tcPr>
          <w:p w14:paraId="1451611F" w14:textId="77777777" w:rsidR="002F590A" w:rsidRDefault="002F590A">
            <w:pPr>
              <w:jc w:val="center"/>
              <w:rPr>
                <w:bCs/>
                <w:sz w:val="12"/>
                <w:szCs w:val="12"/>
              </w:rPr>
            </w:pPr>
            <w:r>
              <w:rPr>
                <w:bCs/>
                <w:sz w:val="12"/>
                <w:szCs w:val="12"/>
              </w:rPr>
              <w:t>4</w:t>
            </w:r>
          </w:p>
        </w:tc>
        <w:tc>
          <w:tcPr>
            <w:tcW w:w="303" w:type="pct"/>
            <w:tcBorders>
              <w:top w:val="single" w:sz="4" w:space="0" w:color="auto"/>
              <w:left w:val="single" w:sz="4" w:space="0" w:color="auto"/>
              <w:bottom w:val="single" w:sz="4" w:space="0" w:color="auto"/>
              <w:right w:val="single" w:sz="4" w:space="0" w:color="auto"/>
            </w:tcBorders>
            <w:vAlign w:val="center"/>
            <w:hideMark/>
          </w:tcPr>
          <w:p w14:paraId="1107B0F1" w14:textId="77777777" w:rsidR="002F590A" w:rsidRDefault="002F590A">
            <w:pPr>
              <w:jc w:val="center"/>
              <w:rPr>
                <w:bCs/>
                <w:sz w:val="12"/>
                <w:szCs w:val="12"/>
              </w:rPr>
            </w:pPr>
            <w:r>
              <w:rPr>
                <w:bCs/>
                <w:sz w:val="12"/>
                <w:szCs w:val="12"/>
              </w:rPr>
              <w:t>5</w:t>
            </w:r>
          </w:p>
        </w:tc>
        <w:tc>
          <w:tcPr>
            <w:tcW w:w="139" w:type="pct"/>
            <w:tcBorders>
              <w:top w:val="single" w:sz="4" w:space="0" w:color="auto"/>
              <w:left w:val="single" w:sz="4" w:space="0" w:color="auto"/>
              <w:bottom w:val="single" w:sz="4" w:space="0" w:color="auto"/>
              <w:right w:val="single" w:sz="4" w:space="0" w:color="auto"/>
            </w:tcBorders>
            <w:vAlign w:val="center"/>
            <w:hideMark/>
          </w:tcPr>
          <w:p w14:paraId="6F1BB662" w14:textId="77777777" w:rsidR="002F590A" w:rsidRDefault="002F590A">
            <w:pPr>
              <w:jc w:val="center"/>
              <w:rPr>
                <w:bCs/>
                <w:sz w:val="12"/>
                <w:szCs w:val="12"/>
              </w:rPr>
            </w:pPr>
            <w:r>
              <w:rPr>
                <w:bCs/>
                <w:sz w:val="12"/>
                <w:szCs w:val="12"/>
              </w:rPr>
              <w:t>6</w:t>
            </w:r>
          </w:p>
        </w:tc>
        <w:tc>
          <w:tcPr>
            <w:tcW w:w="300" w:type="pct"/>
            <w:tcBorders>
              <w:top w:val="single" w:sz="4" w:space="0" w:color="auto"/>
              <w:left w:val="single" w:sz="4" w:space="0" w:color="auto"/>
              <w:bottom w:val="single" w:sz="4" w:space="0" w:color="auto"/>
              <w:right w:val="single" w:sz="4" w:space="0" w:color="auto"/>
            </w:tcBorders>
            <w:vAlign w:val="center"/>
            <w:hideMark/>
          </w:tcPr>
          <w:p w14:paraId="1530CD95" w14:textId="77777777" w:rsidR="002F590A" w:rsidRDefault="002F590A">
            <w:pPr>
              <w:jc w:val="center"/>
              <w:rPr>
                <w:bCs/>
                <w:sz w:val="12"/>
                <w:szCs w:val="12"/>
              </w:rPr>
            </w:pPr>
            <w:r>
              <w:rPr>
                <w:bCs/>
                <w:sz w:val="12"/>
                <w:szCs w:val="12"/>
              </w:rPr>
              <w:t>7</w:t>
            </w:r>
          </w:p>
        </w:tc>
        <w:tc>
          <w:tcPr>
            <w:tcW w:w="351" w:type="pct"/>
            <w:tcBorders>
              <w:top w:val="single" w:sz="4" w:space="0" w:color="auto"/>
              <w:left w:val="single" w:sz="4" w:space="0" w:color="auto"/>
              <w:bottom w:val="single" w:sz="4" w:space="0" w:color="auto"/>
              <w:right w:val="single" w:sz="4" w:space="0" w:color="auto"/>
            </w:tcBorders>
            <w:vAlign w:val="center"/>
            <w:hideMark/>
          </w:tcPr>
          <w:p w14:paraId="0C4B89E6" w14:textId="77777777" w:rsidR="002F590A" w:rsidRDefault="002F590A">
            <w:pPr>
              <w:jc w:val="center"/>
              <w:rPr>
                <w:bCs/>
                <w:sz w:val="12"/>
                <w:szCs w:val="12"/>
              </w:rPr>
            </w:pPr>
            <w:r>
              <w:rPr>
                <w:bCs/>
                <w:sz w:val="12"/>
                <w:szCs w:val="12"/>
              </w:rPr>
              <w:t>8</w:t>
            </w:r>
          </w:p>
        </w:tc>
        <w:tc>
          <w:tcPr>
            <w:tcW w:w="139" w:type="pct"/>
            <w:tcBorders>
              <w:top w:val="single" w:sz="4" w:space="0" w:color="auto"/>
              <w:left w:val="single" w:sz="4" w:space="0" w:color="auto"/>
              <w:bottom w:val="single" w:sz="4" w:space="0" w:color="auto"/>
              <w:right w:val="single" w:sz="4" w:space="0" w:color="auto"/>
            </w:tcBorders>
            <w:vAlign w:val="center"/>
            <w:hideMark/>
          </w:tcPr>
          <w:p w14:paraId="48F5FBF2" w14:textId="77777777" w:rsidR="002F590A" w:rsidRDefault="002F590A">
            <w:pPr>
              <w:jc w:val="center"/>
              <w:rPr>
                <w:bCs/>
                <w:sz w:val="12"/>
                <w:szCs w:val="12"/>
              </w:rPr>
            </w:pPr>
            <w:r>
              <w:rPr>
                <w:bCs/>
                <w:sz w:val="12"/>
                <w:szCs w:val="12"/>
              </w:rPr>
              <w:t>9</w:t>
            </w:r>
          </w:p>
        </w:tc>
        <w:tc>
          <w:tcPr>
            <w:tcW w:w="167" w:type="pct"/>
            <w:tcBorders>
              <w:top w:val="single" w:sz="4" w:space="0" w:color="auto"/>
              <w:left w:val="single" w:sz="4" w:space="0" w:color="auto"/>
              <w:bottom w:val="single" w:sz="4" w:space="0" w:color="auto"/>
              <w:right w:val="single" w:sz="4" w:space="0" w:color="auto"/>
            </w:tcBorders>
            <w:vAlign w:val="center"/>
            <w:hideMark/>
          </w:tcPr>
          <w:p w14:paraId="1FCF4004" w14:textId="77777777" w:rsidR="002F590A" w:rsidRDefault="002F590A">
            <w:pPr>
              <w:jc w:val="center"/>
              <w:rPr>
                <w:bCs/>
                <w:sz w:val="12"/>
                <w:szCs w:val="12"/>
              </w:rPr>
            </w:pPr>
            <w:r>
              <w:rPr>
                <w:bCs/>
                <w:sz w:val="12"/>
                <w:szCs w:val="12"/>
              </w:rPr>
              <w:t>10</w:t>
            </w:r>
          </w:p>
        </w:tc>
        <w:tc>
          <w:tcPr>
            <w:tcW w:w="216" w:type="pct"/>
            <w:tcBorders>
              <w:top w:val="single" w:sz="4" w:space="0" w:color="auto"/>
              <w:left w:val="single" w:sz="4" w:space="0" w:color="auto"/>
              <w:bottom w:val="single" w:sz="4" w:space="0" w:color="auto"/>
              <w:right w:val="single" w:sz="4" w:space="0" w:color="auto"/>
            </w:tcBorders>
            <w:vAlign w:val="center"/>
            <w:hideMark/>
          </w:tcPr>
          <w:p w14:paraId="6CD7AFC5" w14:textId="77777777" w:rsidR="002F590A" w:rsidRDefault="002F590A">
            <w:pPr>
              <w:jc w:val="center"/>
              <w:rPr>
                <w:bCs/>
                <w:sz w:val="12"/>
                <w:szCs w:val="12"/>
              </w:rPr>
            </w:pPr>
            <w:r>
              <w:rPr>
                <w:bCs/>
                <w:sz w:val="12"/>
                <w:szCs w:val="12"/>
              </w:rPr>
              <w:t>11</w:t>
            </w:r>
          </w:p>
        </w:tc>
        <w:tc>
          <w:tcPr>
            <w:tcW w:w="174" w:type="pct"/>
            <w:tcBorders>
              <w:top w:val="single" w:sz="4" w:space="0" w:color="auto"/>
              <w:left w:val="single" w:sz="4" w:space="0" w:color="auto"/>
              <w:bottom w:val="single" w:sz="4" w:space="0" w:color="auto"/>
              <w:right w:val="single" w:sz="4" w:space="0" w:color="auto"/>
            </w:tcBorders>
            <w:vAlign w:val="center"/>
            <w:hideMark/>
          </w:tcPr>
          <w:p w14:paraId="297EFBFF" w14:textId="77777777" w:rsidR="002F590A" w:rsidRDefault="002F590A">
            <w:pPr>
              <w:jc w:val="center"/>
              <w:rPr>
                <w:bCs/>
                <w:sz w:val="12"/>
                <w:szCs w:val="12"/>
              </w:rPr>
            </w:pPr>
            <w:r>
              <w:rPr>
                <w:bCs/>
                <w:sz w:val="12"/>
                <w:szCs w:val="12"/>
              </w:rPr>
              <w:t>12</w:t>
            </w:r>
          </w:p>
        </w:tc>
        <w:tc>
          <w:tcPr>
            <w:tcW w:w="174" w:type="pct"/>
            <w:tcBorders>
              <w:top w:val="single" w:sz="4" w:space="0" w:color="auto"/>
              <w:left w:val="single" w:sz="4" w:space="0" w:color="auto"/>
              <w:bottom w:val="single" w:sz="4" w:space="0" w:color="auto"/>
              <w:right w:val="single" w:sz="4" w:space="0" w:color="auto"/>
            </w:tcBorders>
            <w:vAlign w:val="center"/>
            <w:hideMark/>
          </w:tcPr>
          <w:p w14:paraId="079640FA" w14:textId="77777777" w:rsidR="002F590A" w:rsidRDefault="002F590A">
            <w:pPr>
              <w:jc w:val="center"/>
              <w:rPr>
                <w:bCs/>
                <w:sz w:val="12"/>
                <w:szCs w:val="12"/>
              </w:rPr>
            </w:pPr>
            <w:r>
              <w:rPr>
                <w:bCs/>
                <w:sz w:val="12"/>
                <w:szCs w:val="12"/>
              </w:rPr>
              <w:t>13</w:t>
            </w:r>
          </w:p>
        </w:tc>
        <w:tc>
          <w:tcPr>
            <w:tcW w:w="172" w:type="pct"/>
            <w:tcBorders>
              <w:top w:val="single" w:sz="4" w:space="0" w:color="auto"/>
              <w:left w:val="single" w:sz="4" w:space="0" w:color="auto"/>
              <w:bottom w:val="single" w:sz="4" w:space="0" w:color="auto"/>
              <w:right w:val="single" w:sz="4" w:space="0" w:color="auto"/>
            </w:tcBorders>
            <w:vAlign w:val="center"/>
            <w:hideMark/>
          </w:tcPr>
          <w:p w14:paraId="2A477A68" w14:textId="77777777" w:rsidR="002F590A" w:rsidRDefault="002F590A">
            <w:pPr>
              <w:jc w:val="center"/>
              <w:rPr>
                <w:bCs/>
                <w:sz w:val="12"/>
                <w:szCs w:val="12"/>
              </w:rPr>
            </w:pPr>
            <w:r>
              <w:rPr>
                <w:bCs/>
                <w:sz w:val="12"/>
                <w:szCs w:val="12"/>
              </w:rPr>
              <w:t>14</w:t>
            </w:r>
          </w:p>
        </w:tc>
        <w:tc>
          <w:tcPr>
            <w:tcW w:w="174" w:type="pct"/>
            <w:tcBorders>
              <w:top w:val="single" w:sz="4" w:space="0" w:color="auto"/>
              <w:left w:val="single" w:sz="4" w:space="0" w:color="auto"/>
              <w:bottom w:val="single" w:sz="4" w:space="0" w:color="auto"/>
              <w:right w:val="single" w:sz="4" w:space="0" w:color="auto"/>
            </w:tcBorders>
            <w:vAlign w:val="center"/>
            <w:hideMark/>
          </w:tcPr>
          <w:p w14:paraId="132FBB7B" w14:textId="77777777" w:rsidR="002F590A" w:rsidRDefault="002F590A">
            <w:pPr>
              <w:jc w:val="center"/>
              <w:rPr>
                <w:bCs/>
                <w:sz w:val="12"/>
                <w:szCs w:val="12"/>
              </w:rPr>
            </w:pPr>
            <w:r>
              <w:rPr>
                <w:bCs/>
                <w:sz w:val="12"/>
                <w:szCs w:val="12"/>
              </w:rPr>
              <w:t>15</w:t>
            </w:r>
          </w:p>
        </w:tc>
        <w:tc>
          <w:tcPr>
            <w:tcW w:w="216" w:type="pct"/>
            <w:tcBorders>
              <w:top w:val="single" w:sz="4" w:space="0" w:color="auto"/>
              <w:left w:val="single" w:sz="4" w:space="0" w:color="auto"/>
              <w:bottom w:val="single" w:sz="4" w:space="0" w:color="auto"/>
              <w:right w:val="single" w:sz="4" w:space="0" w:color="auto"/>
            </w:tcBorders>
            <w:vAlign w:val="center"/>
            <w:hideMark/>
          </w:tcPr>
          <w:p w14:paraId="29380D0A" w14:textId="77777777" w:rsidR="002F590A" w:rsidRDefault="002F590A">
            <w:pPr>
              <w:jc w:val="center"/>
              <w:rPr>
                <w:bCs/>
                <w:sz w:val="12"/>
                <w:szCs w:val="12"/>
              </w:rPr>
            </w:pPr>
            <w:r>
              <w:rPr>
                <w:bCs/>
                <w:sz w:val="12"/>
                <w:szCs w:val="12"/>
              </w:rPr>
              <w:t>16</w:t>
            </w:r>
          </w:p>
        </w:tc>
        <w:tc>
          <w:tcPr>
            <w:tcW w:w="174" w:type="pct"/>
            <w:tcBorders>
              <w:top w:val="single" w:sz="4" w:space="0" w:color="auto"/>
              <w:left w:val="single" w:sz="4" w:space="0" w:color="auto"/>
              <w:bottom w:val="single" w:sz="4" w:space="0" w:color="auto"/>
              <w:right w:val="single" w:sz="4" w:space="0" w:color="auto"/>
            </w:tcBorders>
            <w:vAlign w:val="center"/>
            <w:hideMark/>
          </w:tcPr>
          <w:p w14:paraId="66590AAD" w14:textId="77777777" w:rsidR="002F590A" w:rsidRDefault="002F590A">
            <w:pPr>
              <w:jc w:val="center"/>
              <w:rPr>
                <w:bCs/>
                <w:sz w:val="12"/>
                <w:szCs w:val="12"/>
              </w:rPr>
            </w:pPr>
            <w:r>
              <w:rPr>
                <w:bCs/>
                <w:sz w:val="12"/>
                <w:szCs w:val="12"/>
              </w:rPr>
              <w:t>17</w:t>
            </w:r>
          </w:p>
        </w:tc>
        <w:tc>
          <w:tcPr>
            <w:tcW w:w="174" w:type="pct"/>
            <w:tcBorders>
              <w:top w:val="single" w:sz="4" w:space="0" w:color="auto"/>
              <w:left w:val="single" w:sz="4" w:space="0" w:color="auto"/>
              <w:bottom w:val="single" w:sz="4" w:space="0" w:color="auto"/>
              <w:right w:val="single" w:sz="4" w:space="0" w:color="auto"/>
            </w:tcBorders>
            <w:vAlign w:val="center"/>
            <w:hideMark/>
          </w:tcPr>
          <w:p w14:paraId="00FB8B15" w14:textId="77777777" w:rsidR="002F590A" w:rsidRDefault="002F590A">
            <w:pPr>
              <w:jc w:val="center"/>
              <w:rPr>
                <w:bCs/>
                <w:sz w:val="12"/>
                <w:szCs w:val="12"/>
              </w:rPr>
            </w:pPr>
            <w:r>
              <w:rPr>
                <w:bCs/>
                <w:sz w:val="12"/>
                <w:szCs w:val="12"/>
              </w:rPr>
              <w:t>18</w:t>
            </w:r>
          </w:p>
        </w:tc>
        <w:tc>
          <w:tcPr>
            <w:tcW w:w="218" w:type="pct"/>
            <w:tcBorders>
              <w:top w:val="single" w:sz="4" w:space="0" w:color="auto"/>
              <w:left w:val="single" w:sz="4" w:space="0" w:color="auto"/>
              <w:bottom w:val="single" w:sz="4" w:space="0" w:color="auto"/>
              <w:right w:val="single" w:sz="4" w:space="0" w:color="auto"/>
            </w:tcBorders>
            <w:vAlign w:val="center"/>
            <w:hideMark/>
          </w:tcPr>
          <w:p w14:paraId="4D135E40" w14:textId="77777777" w:rsidR="002F590A" w:rsidRDefault="002F590A">
            <w:pPr>
              <w:jc w:val="center"/>
              <w:rPr>
                <w:bCs/>
                <w:sz w:val="12"/>
                <w:szCs w:val="12"/>
              </w:rPr>
            </w:pPr>
            <w:r>
              <w:rPr>
                <w:bCs/>
                <w:sz w:val="12"/>
                <w:szCs w:val="12"/>
              </w:rPr>
              <w:t>19</w:t>
            </w:r>
          </w:p>
        </w:tc>
        <w:tc>
          <w:tcPr>
            <w:tcW w:w="174" w:type="pct"/>
            <w:tcBorders>
              <w:top w:val="single" w:sz="4" w:space="0" w:color="auto"/>
              <w:left w:val="single" w:sz="4" w:space="0" w:color="auto"/>
              <w:bottom w:val="single" w:sz="4" w:space="0" w:color="auto"/>
              <w:right w:val="single" w:sz="4" w:space="0" w:color="auto"/>
            </w:tcBorders>
            <w:vAlign w:val="center"/>
            <w:hideMark/>
          </w:tcPr>
          <w:p w14:paraId="7B138AE0" w14:textId="77777777" w:rsidR="002F590A" w:rsidRDefault="002F590A">
            <w:pPr>
              <w:jc w:val="center"/>
              <w:rPr>
                <w:bCs/>
                <w:sz w:val="12"/>
                <w:szCs w:val="12"/>
              </w:rPr>
            </w:pPr>
            <w:r>
              <w:rPr>
                <w:bCs/>
                <w:sz w:val="12"/>
                <w:szCs w:val="12"/>
              </w:rPr>
              <w:t>20</w:t>
            </w:r>
          </w:p>
        </w:tc>
        <w:tc>
          <w:tcPr>
            <w:tcW w:w="174" w:type="pct"/>
            <w:tcBorders>
              <w:top w:val="single" w:sz="4" w:space="0" w:color="auto"/>
              <w:left w:val="single" w:sz="4" w:space="0" w:color="auto"/>
              <w:bottom w:val="single" w:sz="4" w:space="0" w:color="auto"/>
              <w:right w:val="single" w:sz="4" w:space="0" w:color="auto"/>
            </w:tcBorders>
            <w:vAlign w:val="center"/>
            <w:hideMark/>
          </w:tcPr>
          <w:p w14:paraId="37C39F93" w14:textId="77777777" w:rsidR="002F590A" w:rsidRDefault="002F590A">
            <w:pPr>
              <w:jc w:val="center"/>
              <w:rPr>
                <w:bCs/>
                <w:sz w:val="12"/>
                <w:szCs w:val="12"/>
              </w:rPr>
            </w:pPr>
            <w:r>
              <w:rPr>
                <w:bCs/>
                <w:sz w:val="12"/>
                <w:szCs w:val="12"/>
              </w:rPr>
              <w:t>21</w:t>
            </w:r>
          </w:p>
        </w:tc>
        <w:tc>
          <w:tcPr>
            <w:tcW w:w="175" w:type="pct"/>
            <w:tcBorders>
              <w:top w:val="single" w:sz="4" w:space="0" w:color="auto"/>
              <w:left w:val="single" w:sz="4" w:space="0" w:color="auto"/>
              <w:bottom w:val="single" w:sz="4" w:space="0" w:color="auto"/>
              <w:right w:val="single" w:sz="4" w:space="0" w:color="auto"/>
            </w:tcBorders>
            <w:vAlign w:val="center"/>
            <w:hideMark/>
          </w:tcPr>
          <w:p w14:paraId="66CD88F7" w14:textId="77777777" w:rsidR="002F590A" w:rsidRDefault="002F590A">
            <w:pPr>
              <w:jc w:val="center"/>
              <w:rPr>
                <w:bCs/>
                <w:sz w:val="12"/>
                <w:szCs w:val="12"/>
              </w:rPr>
            </w:pPr>
            <w:r>
              <w:rPr>
                <w:bCs/>
                <w:sz w:val="12"/>
                <w:szCs w:val="12"/>
              </w:rPr>
              <w:t>22</w:t>
            </w:r>
          </w:p>
        </w:tc>
        <w:tc>
          <w:tcPr>
            <w:tcW w:w="173" w:type="pct"/>
            <w:tcBorders>
              <w:top w:val="single" w:sz="4" w:space="0" w:color="auto"/>
              <w:left w:val="single" w:sz="4" w:space="0" w:color="auto"/>
              <w:bottom w:val="single" w:sz="4" w:space="0" w:color="auto"/>
              <w:right w:val="single" w:sz="4" w:space="0" w:color="auto"/>
            </w:tcBorders>
            <w:vAlign w:val="center"/>
            <w:hideMark/>
          </w:tcPr>
          <w:p w14:paraId="760C5F44" w14:textId="77777777" w:rsidR="002F590A" w:rsidRDefault="002F590A">
            <w:pPr>
              <w:jc w:val="center"/>
              <w:rPr>
                <w:bCs/>
                <w:sz w:val="12"/>
                <w:szCs w:val="12"/>
              </w:rPr>
            </w:pPr>
            <w:r>
              <w:rPr>
                <w:bCs/>
                <w:sz w:val="12"/>
                <w:szCs w:val="12"/>
              </w:rPr>
              <w:t>23</w:t>
            </w:r>
          </w:p>
        </w:tc>
        <w:tc>
          <w:tcPr>
            <w:tcW w:w="172" w:type="pct"/>
            <w:tcBorders>
              <w:top w:val="single" w:sz="4" w:space="0" w:color="auto"/>
              <w:left w:val="single" w:sz="4" w:space="0" w:color="auto"/>
              <w:bottom w:val="single" w:sz="4" w:space="0" w:color="auto"/>
              <w:right w:val="single" w:sz="4" w:space="0" w:color="auto"/>
            </w:tcBorders>
            <w:vAlign w:val="center"/>
            <w:hideMark/>
          </w:tcPr>
          <w:p w14:paraId="53AFB75A" w14:textId="77777777" w:rsidR="002F590A" w:rsidRDefault="002F590A">
            <w:pPr>
              <w:jc w:val="center"/>
              <w:rPr>
                <w:bCs/>
                <w:sz w:val="12"/>
                <w:szCs w:val="12"/>
              </w:rPr>
            </w:pPr>
            <w:r>
              <w:rPr>
                <w:bCs/>
                <w:sz w:val="12"/>
                <w:szCs w:val="12"/>
              </w:rPr>
              <w:t>24</w:t>
            </w:r>
          </w:p>
        </w:tc>
      </w:tr>
      <w:tr w:rsidR="002F590A" w14:paraId="41698ACD" w14:textId="77777777" w:rsidTr="002F590A">
        <w:trPr>
          <w:trHeight w:val="897"/>
        </w:trPr>
        <w:tc>
          <w:tcPr>
            <w:tcW w:w="173" w:type="pct"/>
            <w:tcBorders>
              <w:top w:val="single" w:sz="4" w:space="0" w:color="auto"/>
              <w:left w:val="single" w:sz="4" w:space="0" w:color="auto"/>
              <w:bottom w:val="single" w:sz="4" w:space="0" w:color="auto"/>
              <w:right w:val="single" w:sz="4" w:space="0" w:color="auto"/>
            </w:tcBorders>
            <w:vAlign w:val="center"/>
            <w:hideMark/>
          </w:tcPr>
          <w:p w14:paraId="555CFCDF" w14:textId="77777777" w:rsidR="002F590A" w:rsidRDefault="002F590A">
            <w:pPr>
              <w:jc w:val="center"/>
              <w:rPr>
                <w:bCs/>
                <w:sz w:val="12"/>
                <w:szCs w:val="12"/>
              </w:rPr>
            </w:pPr>
            <w:r>
              <w:rPr>
                <w:bCs/>
                <w:sz w:val="12"/>
                <w:szCs w:val="12"/>
              </w:rPr>
              <w:t>3.2.16.</w:t>
            </w:r>
          </w:p>
        </w:tc>
        <w:tc>
          <w:tcPr>
            <w:tcW w:w="280" w:type="pct"/>
            <w:tcBorders>
              <w:top w:val="single" w:sz="4" w:space="0" w:color="auto"/>
              <w:left w:val="single" w:sz="4" w:space="0" w:color="auto"/>
              <w:bottom w:val="single" w:sz="4" w:space="0" w:color="auto"/>
              <w:right w:val="single" w:sz="4" w:space="0" w:color="auto"/>
            </w:tcBorders>
            <w:vAlign w:val="center"/>
            <w:hideMark/>
          </w:tcPr>
          <w:p w14:paraId="6B5DD259" w14:textId="77777777" w:rsidR="002F590A" w:rsidRDefault="002F590A">
            <w:pPr>
              <w:rPr>
                <w:bCs/>
                <w:color w:val="000000"/>
                <w:sz w:val="12"/>
                <w:szCs w:val="12"/>
              </w:rPr>
            </w:pPr>
            <w:r>
              <w:rPr>
                <w:bCs/>
                <w:color w:val="000000"/>
                <w:sz w:val="12"/>
                <w:szCs w:val="12"/>
              </w:rPr>
              <w:t>Реконструкция котельной пр-т Кузнецкий, 260</w:t>
            </w:r>
          </w:p>
        </w:tc>
        <w:tc>
          <w:tcPr>
            <w:tcW w:w="313" w:type="pct"/>
            <w:tcBorders>
              <w:top w:val="single" w:sz="4" w:space="0" w:color="auto"/>
              <w:left w:val="single" w:sz="4" w:space="0" w:color="auto"/>
              <w:bottom w:val="single" w:sz="4" w:space="0" w:color="auto"/>
              <w:right w:val="single" w:sz="4" w:space="0" w:color="auto"/>
            </w:tcBorders>
            <w:vAlign w:val="center"/>
          </w:tcPr>
          <w:p w14:paraId="095B8A49" w14:textId="77777777" w:rsidR="002F590A" w:rsidRDefault="002F590A">
            <w:pPr>
              <w:jc w:val="center"/>
              <w:rPr>
                <w:sz w:val="12"/>
                <w:szCs w:val="12"/>
              </w:rPr>
            </w:pPr>
          </w:p>
        </w:tc>
        <w:tc>
          <w:tcPr>
            <w:tcW w:w="275" w:type="pct"/>
            <w:tcBorders>
              <w:top w:val="single" w:sz="4" w:space="0" w:color="auto"/>
              <w:left w:val="single" w:sz="4" w:space="0" w:color="auto"/>
              <w:bottom w:val="single" w:sz="4" w:space="0" w:color="auto"/>
              <w:right w:val="single" w:sz="4" w:space="0" w:color="auto"/>
            </w:tcBorders>
            <w:vAlign w:val="center"/>
            <w:hideMark/>
          </w:tcPr>
          <w:p w14:paraId="17D4C001" w14:textId="77777777" w:rsidR="002F590A" w:rsidRDefault="002F590A">
            <w:pPr>
              <w:jc w:val="center"/>
              <w:rPr>
                <w:color w:val="000000"/>
                <w:sz w:val="12"/>
                <w:szCs w:val="12"/>
              </w:rPr>
            </w:pPr>
            <w:r>
              <w:rPr>
                <w:color w:val="000000"/>
                <w:sz w:val="12"/>
                <w:szCs w:val="12"/>
              </w:rPr>
              <w:t xml:space="preserve">Кемеровский городской округ, пр-т Кузнецкий, </w:t>
            </w:r>
            <w:r>
              <w:rPr>
                <w:color w:val="000000"/>
                <w:sz w:val="12"/>
                <w:szCs w:val="12"/>
              </w:rPr>
              <w:br/>
              <w:t>д 260</w:t>
            </w:r>
          </w:p>
        </w:tc>
        <w:tc>
          <w:tcPr>
            <w:tcW w:w="303" w:type="pct"/>
            <w:tcBorders>
              <w:top w:val="single" w:sz="4" w:space="0" w:color="auto"/>
              <w:left w:val="single" w:sz="4" w:space="0" w:color="auto"/>
              <w:bottom w:val="single" w:sz="4" w:space="0" w:color="auto"/>
              <w:right w:val="single" w:sz="4" w:space="0" w:color="auto"/>
            </w:tcBorders>
            <w:vAlign w:val="center"/>
            <w:hideMark/>
          </w:tcPr>
          <w:p w14:paraId="57D6A3A7" w14:textId="77777777" w:rsidR="002F590A" w:rsidRDefault="002F590A">
            <w:pPr>
              <w:jc w:val="center"/>
              <w:rPr>
                <w:sz w:val="12"/>
                <w:szCs w:val="12"/>
              </w:rPr>
            </w:pPr>
            <w:r>
              <w:rPr>
                <w:color w:val="000000"/>
                <w:sz w:val="12"/>
                <w:szCs w:val="12"/>
              </w:rPr>
              <w:t>Технические характеристики</w:t>
            </w:r>
          </w:p>
        </w:tc>
        <w:tc>
          <w:tcPr>
            <w:tcW w:w="139" w:type="pct"/>
            <w:tcBorders>
              <w:top w:val="single" w:sz="4" w:space="0" w:color="auto"/>
              <w:left w:val="single" w:sz="4" w:space="0" w:color="auto"/>
              <w:bottom w:val="single" w:sz="4" w:space="0" w:color="auto"/>
              <w:right w:val="single" w:sz="4" w:space="0" w:color="auto"/>
            </w:tcBorders>
            <w:vAlign w:val="center"/>
          </w:tcPr>
          <w:p w14:paraId="60512DD5" w14:textId="77777777" w:rsidR="002F590A" w:rsidRDefault="002F590A">
            <w:pPr>
              <w:jc w:val="center"/>
              <w:rPr>
                <w:sz w:val="12"/>
                <w:szCs w:val="12"/>
              </w:rPr>
            </w:pPr>
          </w:p>
        </w:tc>
        <w:tc>
          <w:tcPr>
            <w:tcW w:w="300" w:type="pct"/>
            <w:tcBorders>
              <w:top w:val="single" w:sz="4" w:space="0" w:color="auto"/>
              <w:left w:val="single" w:sz="4" w:space="0" w:color="auto"/>
              <w:bottom w:val="single" w:sz="4" w:space="0" w:color="auto"/>
              <w:right w:val="single" w:sz="4" w:space="0" w:color="auto"/>
            </w:tcBorders>
            <w:vAlign w:val="center"/>
            <w:hideMark/>
          </w:tcPr>
          <w:p w14:paraId="2558415C" w14:textId="77777777" w:rsidR="002F590A" w:rsidRDefault="002F590A">
            <w:pPr>
              <w:jc w:val="center"/>
              <w:rPr>
                <w:sz w:val="12"/>
                <w:szCs w:val="12"/>
              </w:rPr>
            </w:pPr>
            <w:r>
              <w:rPr>
                <w:sz w:val="12"/>
                <w:szCs w:val="12"/>
              </w:rPr>
              <w:t> </w:t>
            </w:r>
          </w:p>
        </w:tc>
        <w:tc>
          <w:tcPr>
            <w:tcW w:w="351" w:type="pct"/>
            <w:tcBorders>
              <w:top w:val="single" w:sz="4" w:space="0" w:color="auto"/>
              <w:left w:val="single" w:sz="4" w:space="0" w:color="auto"/>
              <w:bottom w:val="single" w:sz="4" w:space="0" w:color="auto"/>
              <w:right w:val="single" w:sz="4" w:space="0" w:color="auto"/>
            </w:tcBorders>
            <w:vAlign w:val="center"/>
            <w:hideMark/>
          </w:tcPr>
          <w:p w14:paraId="45D03F5D" w14:textId="77777777" w:rsidR="002F590A" w:rsidRDefault="002F590A">
            <w:pPr>
              <w:jc w:val="center"/>
              <w:rPr>
                <w:sz w:val="12"/>
                <w:szCs w:val="12"/>
              </w:rPr>
            </w:pPr>
            <w:r>
              <w:rPr>
                <w:sz w:val="12"/>
                <w:szCs w:val="12"/>
              </w:rPr>
              <w:t> </w:t>
            </w:r>
          </w:p>
        </w:tc>
        <w:tc>
          <w:tcPr>
            <w:tcW w:w="139" w:type="pct"/>
            <w:tcBorders>
              <w:top w:val="single" w:sz="4" w:space="0" w:color="auto"/>
              <w:left w:val="single" w:sz="4" w:space="0" w:color="auto"/>
              <w:bottom w:val="single" w:sz="4" w:space="0" w:color="auto"/>
              <w:right w:val="single" w:sz="4" w:space="0" w:color="auto"/>
            </w:tcBorders>
            <w:vAlign w:val="center"/>
          </w:tcPr>
          <w:p w14:paraId="611B9D90" w14:textId="77777777" w:rsidR="002F590A" w:rsidRDefault="002F590A">
            <w:pPr>
              <w:jc w:val="center"/>
              <w:rPr>
                <w:sz w:val="12"/>
                <w:szCs w:val="12"/>
              </w:rPr>
            </w:pPr>
          </w:p>
        </w:tc>
        <w:tc>
          <w:tcPr>
            <w:tcW w:w="167" w:type="pct"/>
            <w:tcBorders>
              <w:top w:val="single" w:sz="4" w:space="0" w:color="auto"/>
              <w:left w:val="single" w:sz="4" w:space="0" w:color="auto"/>
              <w:bottom w:val="single" w:sz="4" w:space="0" w:color="auto"/>
              <w:right w:val="single" w:sz="4" w:space="0" w:color="auto"/>
            </w:tcBorders>
            <w:vAlign w:val="center"/>
          </w:tcPr>
          <w:p w14:paraId="7B7881CA" w14:textId="77777777" w:rsidR="002F590A" w:rsidRDefault="002F590A">
            <w:pPr>
              <w:jc w:val="center"/>
              <w:rPr>
                <w:sz w:val="12"/>
                <w:szCs w:val="12"/>
              </w:rPr>
            </w:pPr>
          </w:p>
        </w:tc>
        <w:tc>
          <w:tcPr>
            <w:tcW w:w="216" w:type="pct"/>
            <w:tcBorders>
              <w:top w:val="single" w:sz="4" w:space="0" w:color="auto"/>
              <w:left w:val="single" w:sz="4" w:space="0" w:color="auto"/>
              <w:bottom w:val="single" w:sz="4" w:space="0" w:color="auto"/>
              <w:right w:val="single" w:sz="4" w:space="0" w:color="auto"/>
            </w:tcBorders>
            <w:vAlign w:val="center"/>
          </w:tcPr>
          <w:p w14:paraId="59181279" w14:textId="77777777" w:rsidR="002F590A" w:rsidRDefault="002F590A">
            <w:pPr>
              <w:jc w:val="center"/>
              <w:rPr>
                <w:color w:val="000000"/>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0B89A1F9" w14:textId="77777777" w:rsidR="002F590A" w:rsidRDefault="002F590A">
            <w:pPr>
              <w:jc w:val="center"/>
              <w:rPr>
                <w:color w:val="000000"/>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3A178428" w14:textId="77777777" w:rsidR="002F590A" w:rsidRDefault="002F590A">
            <w:pPr>
              <w:jc w:val="center"/>
              <w:rPr>
                <w:sz w:val="12"/>
                <w:szCs w:val="12"/>
              </w:rPr>
            </w:pPr>
          </w:p>
        </w:tc>
        <w:tc>
          <w:tcPr>
            <w:tcW w:w="172" w:type="pct"/>
            <w:tcBorders>
              <w:top w:val="single" w:sz="4" w:space="0" w:color="auto"/>
              <w:left w:val="single" w:sz="4" w:space="0" w:color="auto"/>
              <w:bottom w:val="single" w:sz="4" w:space="0" w:color="auto"/>
              <w:right w:val="single" w:sz="4" w:space="0" w:color="auto"/>
            </w:tcBorders>
            <w:vAlign w:val="center"/>
          </w:tcPr>
          <w:p w14:paraId="3335BCF0" w14:textId="77777777" w:rsidR="002F590A" w:rsidRDefault="002F590A">
            <w:pPr>
              <w:jc w:val="center"/>
              <w:rPr>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2F9E04D3" w14:textId="77777777" w:rsidR="002F590A" w:rsidRDefault="002F590A">
            <w:pPr>
              <w:jc w:val="center"/>
              <w:rPr>
                <w:sz w:val="12"/>
                <w:szCs w:val="12"/>
              </w:rPr>
            </w:pPr>
          </w:p>
        </w:tc>
        <w:tc>
          <w:tcPr>
            <w:tcW w:w="216" w:type="pct"/>
            <w:tcBorders>
              <w:top w:val="single" w:sz="4" w:space="0" w:color="auto"/>
              <w:left w:val="single" w:sz="4" w:space="0" w:color="auto"/>
              <w:bottom w:val="single" w:sz="4" w:space="0" w:color="auto"/>
              <w:right w:val="single" w:sz="4" w:space="0" w:color="auto"/>
            </w:tcBorders>
            <w:vAlign w:val="center"/>
          </w:tcPr>
          <w:p w14:paraId="5C2BF0FC" w14:textId="77777777" w:rsidR="002F590A" w:rsidRDefault="002F590A">
            <w:pPr>
              <w:jc w:val="center"/>
              <w:rPr>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1CC8E7B0" w14:textId="77777777" w:rsidR="002F590A" w:rsidRDefault="002F590A">
            <w:pPr>
              <w:jc w:val="center"/>
              <w:rPr>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626D133E" w14:textId="77777777" w:rsidR="002F590A" w:rsidRDefault="002F590A">
            <w:pPr>
              <w:jc w:val="center"/>
              <w:rPr>
                <w:sz w:val="12"/>
                <w:szCs w:val="12"/>
              </w:rPr>
            </w:pPr>
          </w:p>
        </w:tc>
        <w:tc>
          <w:tcPr>
            <w:tcW w:w="218" w:type="pct"/>
            <w:tcBorders>
              <w:top w:val="single" w:sz="4" w:space="0" w:color="auto"/>
              <w:left w:val="single" w:sz="4" w:space="0" w:color="auto"/>
              <w:bottom w:val="single" w:sz="4" w:space="0" w:color="auto"/>
              <w:right w:val="single" w:sz="4" w:space="0" w:color="auto"/>
            </w:tcBorders>
            <w:vAlign w:val="center"/>
          </w:tcPr>
          <w:p w14:paraId="0D88163B" w14:textId="77777777" w:rsidR="002F590A" w:rsidRDefault="002F590A">
            <w:pPr>
              <w:jc w:val="center"/>
              <w:rPr>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38C98DB5" w14:textId="77777777" w:rsidR="002F590A" w:rsidRDefault="002F590A">
            <w:pPr>
              <w:jc w:val="center"/>
              <w:rPr>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274E1C0B" w14:textId="77777777" w:rsidR="002F590A" w:rsidRDefault="002F590A">
            <w:pPr>
              <w:jc w:val="center"/>
              <w:rPr>
                <w:sz w:val="12"/>
                <w:szCs w:val="12"/>
              </w:rPr>
            </w:pPr>
          </w:p>
        </w:tc>
        <w:tc>
          <w:tcPr>
            <w:tcW w:w="175" w:type="pct"/>
            <w:tcBorders>
              <w:top w:val="single" w:sz="4" w:space="0" w:color="auto"/>
              <w:left w:val="single" w:sz="4" w:space="0" w:color="auto"/>
              <w:bottom w:val="single" w:sz="4" w:space="0" w:color="auto"/>
              <w:right w:val="single" w:sz="4" w:space="0" w:color="auto"/>
            </w:tcBorders>
            <w:vAlign w:val="center"/>
          </w:tcPr>
          <w:p w14:paraId="7A9689D0" w14:textId="77777777" w:rsidR="002F590A" w:rsidRDefault="002F590A">
            <w:pPr>
              <w:jc w:val="center"/>
              <w:rPr>
                <w:sz w:val="12"/>
                <w:szCs w:val="12"/>
              </w:rPr>
            </w:pPr>
          </w:p>
        </w:tc>
        <w:tc>
          <w:tcPr>
            <w:tcW w:w="173" w:type="pct"/>
            <w:tcBorders>
              <w:top w:val="single" w:sz="4" w:space="0" w:color="auto"/>
              <w:left w:val="single" w:sz="4" w:space="0" w:color="auto"/>
              <w:bottom w:val="single" w:sz="4" w:space="0" w:color="auto"/>
              <w:right w:val="single" w:sz="4" w:space="0" w:color="auto"/>
            </w:tcBorders>
            <w:vAlign w:val="center"/>
          </w:tcPr>
          <w:p w14:paraId="7C31FD20" w14:textId="77777777" w:rsidR="002F590A" w:rsidRDefault="002F590A">
            <w:pPr>
              <w:jc w:val="center"/>
              <w:rPr>
                <w:color w:val="000000"/>
                <w:sz w:val="12"/>
                <w:szCs w:val="12"/>
              </w:rPr>
            </w:pPr>
          </w:p>
        </w:tc>
        <w:tc>
          <w:tcPr>
            <w:tcW w:w="172" w:type="pct"/>
            <w:tcBorders>
              <w:top w:val="single" w:sz="4" w:space="0" w:color="auto"/>
              <w:left w:val="single" w:sz="4" w:space="0" w:color="auto"/>
              <w:bottom w:val="single" w:sz="4" w:space="0" w:color="auto"/>
              <w:right w:val="single" w:sz="4" w:space="0" w:color="auto"/>
            </w:tcBorders>
            <w:vAlign w:val="center"/>
          </w:tcPr>
          <w:p w14:paraId="24C8AB8A" w14:textId="77777777" w:rsidR="002F590A" w:rsidRDefault="002F590A">
            <w:pPr>
              <w:jc w:val="center"/>
              <w:rPr>
                <w:color w:val="000000"/>
                <w:sz w:val="12"/>
                <w:szCs w:val="12"/>
              </w:rPr>
            </w:pPr>
          </w:p>
        </w:tc>
      </w:tr>
      <w:tr w:rsidR="002F590A" w14:paraId="06B75A51" w14:textId="77777777" w:rsidTr="002F590A">
        <w:trPr>
          <w:trHeight w:val="897"/>
        </w:trPr>
        <w:tc>
          <w:tcPr>
            <w:tcW w:w="173" w:type="pct"/>
            <w:tcBorders>
              <w:top w:val="single" w:sz="4" w:space="0" w:color="auto"/>
              <w:left w:val="single" w:sz="4" w:space="0" w:color="auto"/>
              <w:bottom w:val="single" w:sz="4" w:space="0" w:color="auto"/>
              <w:right w:val="single" w:sz="4" w:space="0" w:color="auto"/>
            </w:tcBorders>
            <w:vAlign w:val="center"/>
            <w:hideMark/>
          </w:tcPr>
          <w:p w14:paraId="08FEA0C2" w14:textId="77777777" w:rsidR="002F590A" w:rsidRDefault="002F590A">
            <w:pPr>
              <w:jc w:val="center"/>
              <w:rPr>
                <w:sz w:val="12"/>
                <w:szCs w:val="12"/>
              </w:rPr>
            </w:pPr>
            <w:r>
              <w:rPr>
                <w:sz w:val="12"/>
                <w:szCs w:val="12"/>
              </w:rPr>
              <w:t>3.2.16.1</w:t>
            </w:r>
          </w:p>
        </w:tc>
        <w:tc>
          <w:tcPr>
            <w:tcW w:w="280" w:type="pct"/>
            <w:tcBorders>
              <w:top w:val="single" w:sz="4" w:space="0" w:color="auto"/>
              <w:left w:val="single" w:sz="4" w:space="0" w:color="auto"/>
              <w:bottom w:val="single" w:sz="4" w:space="0" w:color="auto"/>
              <w:right w:val="single" w:sz="4" w:space="0" w:color="auto"/>
            </w:tcBorders>
            <w:vAlign w:val="center"/>
            <w:hideMark/>
          </w:tcPr>
          <w:p w14:paraId="2B69F47D" w14:textId="77777777" w:rsidR="002F590A" w:rsidRDefault="002F590A">
            <w:pPr>
              <w:rPr>
                <w:sz w:val="12"/>
                <w:szCs w:val="12"/>
              </w:rPr>
            </w:pPr>
            <w:r>
              <w:rPr>
                <w:sz w:val="12"/>
                <w:szCs w:val="12"/>
              </w:rPr>
              <w:t>Замена ГРУ-13-1ВУ1</w:t>
            </w:r>
          </w:p>
        </w:tc>
        <w:tc>
          <w:tcPr>
            <w:tcW w:w="313" w:type="pct"/>
            <w:tcBorders>
              <w:top w:val="single" w:sz="4" w:space="0" w:color="auto"/>
              <w:left w:val="single" w:sz="4" w:space="0" w:color="auto"/>
              <w:bottom w:val="single" w:sz="4" w:space="0" w:color="auto"/>
              <w:right w:val="single" w:sz="4" w:space="0" w:color="auto"/>
            </w:tcBorders>
            <w:vAlign w:val="center"/>
            <w:hideMark/>
          </w:tcPr>
          <w:p w14:paraId="1AD53A3A" w14:textId="77777777" w:rsidR="002F590A" w:rsidRDefault="002F590A">
            <w:pPr>
              <w:jc w:val="center"/>
              <w:rPr>
                <w:sz w:val="12"/>
                <w:szCs w:val="12"/>
              </w:rPr>
            </w:pPr>
            <w:r>
              <w:rPr>
                <w:sz w:val="12"/>
                <w:szCs w:val="12"/>
              </w:rPr>
              <w:t>Повышение надежности (бесперебойности) услуг теплоснабжения, повышение энергетической эффективности</w:t>
            </w:r>
          </w:p>
        </w:tc>
        <w:tc>
          <w:tcPr>
            <w:tcW w:w="275" w:type="pct"/>
            <w:tcBorders>
              <w:top w:val="single" w:sz="4" w:space="0" w:color="auto"/>
              <w:left w:val="single" w:sz="4" w:space="0" w:color="auto"/>
              <w:bottom w:val="single" w:sz="4" w:space="0" w:color="auto"/>
              <w:right w:val="single" w:sz="4" w:space="0" w:color="auto"/>
            </w:tcBorders>
            <w:vAlign w:val="center"/>
          </w:tcPr>
          <w:p w14:paraId="01277C3F" w14:textId="77777777" w:rsidR="002F590A" w:rsidRDefault="002F590A">
            <w:pPr>
              <w:jc w:val="center"/>
              <w:rPr>
                <w:sz w:val="12"/>
                <w:szCs w:val="12"/>
              </w:rPr>
            </w:pPr>
          </w:p>
        </w:tc>
        <w:tc>
          <w:tcPr>
            <w:tcW w:w="303" w:type="pct"/>
            <w:tcBorders>
              <w:top w:val="single" w:sz="4" w:space="0" w:color="auto"/>
              <w:left w:val="single" w:sz="4" w:space="0" w:color="auto"/>
              <w:bottom w:val="single" w:sz="4" w:space="0" w:color="auto"/>
              <w:right w:val="single" w:sz="4" w:space="0" w:color="auto"/>
            </w:tcBorders>
            <w:vAlign w:val="center"/>
            <w:hideMark/>
          </w:tcPr>
          <w:p w14:paraId="62D620B3" w14:textId="77777777" w:rsidR="002F590A" w:rsidRDefault="002F590A">
            <w:pPr>
              <w:jc w:val="center"/>
              <w:rPr>
                <w:sz w:val="12"/>
                <w:szCs w:val="12"/>
              </w:rPr>
            </w:pPr>
            <w:r>
              <w:rPr>
                <w:color w:val="000000"/>
                <w:sz w:val="12"/>
                <w:szCs w:val="12"/>
              </w:rPr>
              <w:t>Технические характеристики</w:t>
            </w:r>
          </w:p>
        </w:tc>
        <w:tc>
          <w:tcPr>
            <w:tcW w:w="139" w:type="pct"/>
            <w:tcBorders>
              <w:top w:val="single" w:sz="4" w:space="0" w:color="auto"/>
              <w:left w:val="single" w:sz="4" w:space="0" w:color="auto"/>
              <w:bottom w:val="single" w:sz="4" w:space="0" w:color="auto"/>
              <w:right w:val="single" w:sz="4" w:space="0" w:color="auto"/>
            </w:tcBorders>
            <w:vAlign w:val="center"/>
          </w:tcPr>
          <w:p w14:paraId="4BB16C7D" w14:textId="77777777" w:rsidR="002F590A" w:rsidRDefault="002F590A">
            <w:pPr>
              <w:jc w:val="center"/>
              <w:rPr>
                <w:sz w:val="12"/>
                <w:szCs w:val="12"/>
              </w:rPr>
            </w:pPr>
          </w:p>
        </w:tc>
        <w:tc>
          <w:tcPr>
            <w:tcW w:w="3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09BC735" w14:textId="77777777" w:rsidR="002F590A" w:rsidRDefault="002F590A">
            <w:pPr>
              <w:jc w:val="center"/>
              <w:rPr>
                <w:sz w:val="12"/>
                <w:szCs w:val="12"/>
              </w:rPr>
            </w:pPr>
            <w:r>
              <w:rPr>
                <w:sz w:val="12"/>
                <w:szCs w:val="12"/>
              </w:rPr>
              <w:t xml:space="preserve"> Срок эксплуатации ГРУ до 2027 года, дальнейшая эксплуатация запрещена. Нет второй (резервной) линии редуцирования.</w:t>
            </w:r>
          </w:p>
        </w:tc>
        <w:tc>
          <w:tcPr>
            <w:tcW w:w="351" w:type="pct"/>
            <w:tcBorders>
              <w:top w:val="single" w:sz="4" w:space="0" w:color="auto"/>
              <w:left w:val="single" w:sz="4" w:space="0" w:color="auto"/>
              <w:bottom w:val="single" w:sz="4" w:space="0" w:color="auto"/>
              <w:right w:val="single" w:sz="4" w:space="0" w:color="auto"/>
            </w:tcBorders>
            <w:vAlign w:val="center"/>
            <w:hideMark/>
          </w:tcPr>
          <w:p w14:paraId="23362741" w14:textId="77777777" w:rsidR="002F590A" w:rsidRDefault="002F590A">
            <w:pPr>
              <w:jc w:val="center"/>
              <w:rPr>
                <w:sz w:val="12"/>
                <w:szCs w:val="12"/>
              </w:rPr>
            </w:pPr>
            <w:r>
              <w:rPr>
                <w:sz w:val="12"/>
                <w:szCs w:val="12"/>
              </w:rPr>
              <w:t>Две линии редуцирования (рабочая и резервная)</w:t>
            </w:r>
          </w:p>
        </w:tc>
        <w:tc>
          <w:tcPr>
            <w:tcW w:w="139" w:type="pct"/>
            <w:tcBorders>
              <w:top w:val="single" w:sz="4" w:space="0" w:color="auto"/>
              <w:left w:val="single" w:sz="4" w:space="0" w:color="auto"/>
              <w:bottom w:val="single" w:sz="4" w:space="0" w:color="auto"/>
              <w:right w:val="single" w:sz="4" w:space="0" w:color="auto"/>
            </w:tcBorders>
            <w:vAlign w:val="center"/>
            <w:hideMark/>
          </w:tcPr>
          <w:p w14:paraId="6F8CAAC6" w14:textId="77777777" w:rsidR="002F590A" w:rsidRDefault="002F590A">
            <w:pPr>
              <w:jc w:val="center"/>
              <w:rPr>
                <w:sz w:val="12"/>
                <w:szCs w:val="12"/>
              </w:rPr>
            </w:pPr>
            <w:r>
              <w:rPr>
                <w:sz w:val="12"/>
                <w:szCs w:val="12"/>
              </w:rPr>
              <w:t>2029</w:t>
            </w:r>
          </w:p>
        </w:tc>
        <w:tc>
          <w:tcPr>
            <w:tcW w:w="167" w:type="pct"/>
            <w:tcBorders>
              <w:top w:val="single" w:sz="4" w:space="0" w:color="auto"/>
              <w:left w:val="single" w:sz="4" w:space="0" w:color="auto"/>
              <w:bottom w:val="single" w:sz="4" w:space="0" w:color="auto"/>
              <w:right w:val="single" w:sz="4" w:space="0" w:color="auto"/>
            </w:tcBorders>
            <w:vAlign w:val="center"/>
            <w:hideMark/>
          </w:tcPr>
          <w:p w14:paraId="028056AF" w14:textId="77777777" w:rsidR="002F590A" w:rsidRDefault="002F590A">
            <w:pPr>
              <w:jc w:val="center"/>
              <w:rPr>
                <w:sz w:val="12"/>
                <w:szCs w:val="12"/>
              </w:rPr>
            </w:pPr>
            <w:r>
              <w:rPr>
                <w:sz w:val="12"/>
                <w:szCs w:val="12"/>
              </w:rPr>
              <w:t>2029</w:t>
            </w:r>
          </w:p>
        </w:tc>
        <w:tc>
          <w:tcPr>
            <w:tcW w:w="216" w:type="pct"/>
            <w:tcBorders>
              <w:top w:val="single" w:sz="4" w:space="0" w:color="auto"/>
              <w:left w:val="single" w:sz="4" w:space="0" w:color="auto"/>
              <w:bottom w:val="single" w:sz="4" w:space="0" w:color="auto"/>
              <w:right w:val="single" w:sz="4" w:space="0" w:color="auto"/>
            </w:tcBorders>
            <w:vAlign w:val="center"/>
            <w:hideMark/>
          </w:tcPr>
          <w:p w14:paraId="108A28A8" w14:textId="77777777" w:rsidR="002F590A" w:rsidRDefault="002F590A">
            <w:pPr>
              <w:jc w:val="center"/>
              <w:rPr>
                <w:color w:val="000000"/>
                <w:sz w:val="12"/>
                <w:szCs w:val="12"/>
              </w:rPr>
            </w:pPr>
            <w:r>
              <w:rPr>
                <w:color w:val="000000"/>
                <w:sz w:val="12"/>
                <w:szCs w:val="12"/>
              </w:rPr>
              <w:t>263,44</w:t>
            </w:r>
          </w:p>
        </w:tc>
        <w:tc>
          <w:tcPr>
            <w:tcW w:w="174" w:type="pct"/>
            <w:tcBorders>
              <w:top w:val="single" w:sz="4" w:space="0" w:color="auto"/>
              <w:left w:val="single" w:sz="4" w:space="0" w:color="auto"/>
              <w:bottom w:val="single" w:sz="4" w:space="0" w:color="auto"/>
              <w:right w:val="single" w:sz="4" w:space="0" w:color="auto"/>
            </w:tcBorders>
            <w:vAlign w:val="center"/>
            <w:hideMark/>
          </w:tcPr>
          <w:p w14:paraId="1F46678A" w14:textId="77777777" w:rsidR="002F590A" w:rsidRDefault="002F590A">
            <w:pPr>
              <w:jc w:val="center"/>
              <w:rPr>
                <w:color w:val="000000"/>
                <w:sz w:val="12"/>
                <w:szCs w:val="12"/>
              </w:rPr>
            </w:pPr>
            <w:r>
              <w:rPr>
                <w:color w:val="000000"/>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6AFECD95" w14:textId="77777777" w:rsidR="002F590A" w:rsidRDefault="002F590A">
            <w:pPr>
              <w:jc w:val="center"/>
              <w:rPr>
                <w:sz w:val="12"/>
                <w:szCs w:val="12"/>
              </w:rPr>
            </w:pPr>
            <w:r>
              <w:rPr>
                <w:sz w:val="12"/>
                <w:szCs w:val="12"/>
              </w:rPr>
              <w:t>0,00</w:t>
            </w:r>
          </w:p>
        </w:tc>
        <w:tc>
          <w:tcPr>
            <w:tcW w:w="172" w:type="pct"/>
            <w:tcBorders>
              <w:top w:val="single" w:sz="4" w:space="0" w:color="auto"/>
              <w:left w:val="single" w:sz="4" w:space="0" w:color="auto"/>
              <w:bottom w:val="single" w:sz="4" w:space="0" w:color="auto"/>
              <w:right w:val="single" w:sz="4" w:space="0" w:color="auto"/>
            </w:tcBorders>
            <w:vAlign w:val="center"/>
            <w:hideMark/>
          </w:tcPr>
          <w:p w14:paraId="4C21ACA9"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42E9C003" w14:textId="77777777" w:rsidR="002F590A" w:rsidRDefault="002F590A">
            <w:pPr>
              <w:jc w:val="center"/>
              <w:rPr>
                <w:sz w:val="12"/>
                <w:szCs w:val="12"/>
              </w:rPr>
            </w:pPr>
            <w:r>
              <w:rPr>
                <w:sz w:val="12"/>
                <w:szCs w:val="12"/>
              </w:rPr>
              <w:t>0,00</w:t>
            </w:r>
          </w:p>
        </w:tc>
        <w:tc>
          <w:tcPr>
            <w:tcW w:w="216" w:type="pct"/>
            <w:tcBorders>
              <w:top w:val="single" w:sz="4" w:space="0" w:color="auto"/>
              <w:left w:val="single" w:sz="4" w:space="0" w:color="auto"/>
              <w:bottom w:val="single" w:sz="4" w:space="0" w:color="auto"/>
              <w:right w:val="single" w:sz="4" w:space="0" w:color="auto"/>
            </w:tcBorders>
            <w:vAlign w:val="center"/>
            <w:hideMark/>
          </w:tcPr>
          <w:p w14:paraId="1C780D28"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449D77BF"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6807A769" w14:textId="77777777" w:rsidR="002F590A" w:rsidRDefault="002F590A">
            <w:pPr>
              <w:jc w:val="center"/>
              <w:rPr>
                <w:sz w:val="12"/>
                <w:szCs w:val="12"/>
              </w:rPr>
            </w:pPr>
            <w:r>
              <w:rPr>
                <w:sz w:val="12"/>
                <w:szCs w:val="12"/>
              </w:rPr>
              <w:t>0,00</w:t>
            </w:r>
          </w:p>
        </w:tc>
        <w:tc>
          <w:tcPr>
            <w:tcW w:w="218" w:type="pct"/>
            <w:tcBorders>
              <w:top w:val="single" w:sz="4" w:space="0" w:color="auto"/>
              <w:left w:val="single" w:sz="4" w:space="0" w:color="auto"/>
              <w:bottom w:val="single" w:sz="4" w:space="0" w:color="auto"/>
              <w:right w:val="single" w:sz="4" w:space="0" w:color="auto"/>
            </w:tcBorders>
            <w:vAlign w:val="center"/>
            <w:hideMark/>
          </w:tcPr>
          <w:p w14:paraId="08AE5CDC"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242D251D" w14:textId="77777777" w:rsidR="002F590A" w:rsidRDefault="002F590A">
            <w:pPr>
              <w:jc w:val="center"/>
              <w:rPr>
                <w:sz w:val="12"/>
                <w:szCs w:val="12"/>
              </w:rPr>
            </w:pPr>
            <w:r>
              <w:rPr>
                <w:sz w:val="12"/>
                <w:szCs w:val="12"/>
              </w:rPr>
              <w:t>263,44</w:t>
            </w:r>
          </w:p>
        </w:tc>
        <w:tc>
          <w:tcPr>
            <w:tcW w:w="174" w:type="pct"/>
            <w:tcBorders>
              <w:top w:val="single" w:sz="4" w:space="0" w:color="auto"/>
              <w:left w:val="single" w:sz="4" w:space="0" w:color="auto"/>
              <w:bottom w:val="single" w:sz="4" w:space="0" w:color="auto"/>
              <w:right w:val="single" w:sz="4" w:space="0" w:color="auto"/>
            </w:tcBorders>
            <w:vAlign w:val="center"/>
            <w:hideMark/>
          </w:tcPr>
          <w:p w14:paraId="72F57E0F" w14:textId="77777777" w:rsidR="002F590A" w:rsidRDefault="002F590A">
            <w:pPr>
              <w:jc w:val="center"/>
              <w:rPr>
                <w:sz w:val="12"/>
                <w:szCs w:val="12"/>
              </w:rPr>
            </w:pPr>
            <w:r>
              <w:rPr>
                <w:sz w:val="12"/>
                <w:szCs w:val="12"/>
              </w:rPr>
              <w:t>0,00</w:t>
            </w:r>
          </w:p>
        </w:tc>
        <w:tc>
          <w:tcPr>
            <w:tcW w:w="175" w:type="pct"/>
            <w:tcBorders>
              <w:top w:val="single" w:sz="4" w:space="0" w:color="auto"/>
              <w:left w:val="single" w:sz="4" w:space="0" w:color="auto"/>
              <w:bottom w:val="single" w:sz="4" w:space="0" w:color="auto"/>
              <w:right w:val="single" w:sz="4" w:space="0" w:color="auto"/>
            </w:tcBorders>
            <w:vAlign w:val="center"/>
            <w:hideMark/>
          </w:tcPr>
          <w:p w14:paraId="4EF1EBF3"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31F5B5B3" w14:textId="77777777" w:rsidR="002F590A" w:rsidRDefault="002F590A">
            <w:pPr>
              <w:jc w:val="center"/>
              <w:rPr>
                <w:color w:val="000000"/>
                <w:sz w:val="12"/>
                <w:szCs w:val="12"/>
              </w:rPr>
            </w:pPr>
            <w:r>
              <w:rPr>
                <w:color w:val="000000"/>
                <w:sz w:val="12"/>
                <w:szCs w:val="12"/>
              </w:rPr>
              <w:t>0,00</w:t>
            </w:r>
          </w:p>
        </w:tc>
        <w:tc>
          <w:tcPr>
            <w:tcW w:w="172" w:type="pct"/>
            <w:tcBorders>
              <w:top w:val="single" w:sz="4" w:space="0" w:color="auto"/>
              <w:left w:val="single" w:sz="4" w:space="0" w:color="auto"/>
              <w:bottom w:val="single" w:sz="4" w:space="0" w:color="auto"/>
              <w:right w:val="single" w:sz="4" w:space="0" w:color="auto"/>
            </w:tcBorders>
            <w:vAlign w:val="center"/>
            <w:hideMark/>
          </w:tcPr>
          <w:p w14:paraId="3A486780" w14:textId="77777777" w:rsidR="002F590A" w:rsidRDefault="002F590A">
            <w:pPr>
              <w:jc w:val="center"/>
              <w:rPr>
                <w:color w:val="000000"/>
                <w:sz w:val="12"/>
                <w:szCs w:val="12"/>
              </w:rPr>
            </w:pPr>
            <w:r>
              <w:rPr>
                <w:color w:val="000000"/>
                <w:sz w:val="12"/>
                <w:szCs w:val="12"/>
              </w:rPr>
              <w:t>0,00</w:t>
            </w:r>
          </w:p>
        </w:tc>
      </w:tr>
      <w:tr w:rsidR="002F590A" w14:paraId="5DBD4D5D" w14:textId="77777777" w:rsidTr="002F590A">
        <w:trPr>
          <w:trHeight w:val="897"/>
        </w:trPr>
        <w:tc>
          <w:tcPr>
            <w:tcW w:w="173" w:type="pct"/>
            <w:tcBorders>
              <w:top w:val="single" w:sz="4" w:space="0" w:color="auto"/>
              <w:left w:val="single" w:sz="4" w:space="0" w:color="auto"/>
              <w:bottom w:val="single" w:sz="4" w:space="0" w:color="auto"/>
              <w:right w:val="single" w:sz="4" w:space="0" w:color="auto"/>
            </w:tcBorders>
            <w:vAlign w:val="center"/>
            <w:hideMark/>
          </w:tcPr>
          <w:p w14:paraId="43108D79" w14:textId="77777777" w:rsidR="002F590A" w:rsidRDefault="002F590A">
            <w:pPr>
              <w:jc w:val="center"/>
              <w:rPr>
                <w:sz w:val="12"/>
                <w:szCs w:val="12"/>
              </w:rPr>
            </w:pPr>
            <w:r>
              <w:rPr>
                <w:sz w:val="12"/>
                <w:szCs w:val="12"/>
              </w:rPr>
              <w:t>3.2.16.2</w:t>
            </w:r>
          </w:p>
        </w:tc>
        <w:tc>
          <w:tcPr>
            <w:tcW w:w="280" w:type="pct"/>
            <w:tcBorders>
              <w:top w:val="single" w:sz="4" w:space="0" w:color="auto"/>
              <w:left w:val="single" w:sz="4" w:space="0" w:color="auto"/>
              <w:bottom w:val="single" w:sz="4" w:space="0" w:color="auto"/>
              <w:right w:val="single" w:sz="4" w:space="0" w:color="auto"/>
            </w:tcBorders>
            <w:vAlign w:val="center"/>
            <w:hideMark/>
          </w:tcPr>
          <w:p w14:paraId="6D102FB3" w14:textId="77777777" w:rsidR="002F590A" w:rsidRDefault="002F590A">
            <w:pPr>
              <w:rPr>
                <w:sz w:val="12"/>
                <w:szCs w:val="12"/>
              </w:rPr>
            </w:pPr>
            <w:r>
              <w:rPr>
                <w:sz w:val="12"/>
                <w:szCs w:val="12"/>
              </w:rPr>
              <w:t>Реконструкция основных насосных агрегатов марки Grundfos (8 шт.)</w:t>
            </w:r>
          </w:p>
        </w:tc>
        <w:tc>
          <w:tcPr>
            <w:tcW w:w="313" w:type="pct"/>
            <w:tcBorders>
              <w:top w:val="single" w:sz="4" w:space="0" w:color="auto"/>
              <w:left w:val="single" w:sz="4" w:space="0" w:color="auto"/>
              <w:bottom w:val="single" w:sz="4" w:space="0" w:color="auto"/>
              <w:right w:val="single" w:sz="4" w:space="0" w:color="auto"/>
            </w:tcBorders>
            <w:vAlign w:val="center"/>
            <w:hideMark/>
          </w:tcPr>
          <w:p w14:paraId="2102D094" w14:textId="77777777" w:rsidR="002F590A" w:rsidRDefault="002F590A">
            <w:pPr>
              <w:jc w:val="center"/>
              <w:rPr>
                <w:sz w:val="12"/>
                <w:szCs w:val="12"/>
              </w:rPr>
            </w:pPr>
            <w:r>
              <w:rPr>
                <w:sz w:val="12"/>
                <w:szCs w:val="12"/>
              </w:rPr>
              <w:t>Повышение надежности (бесперебойности) услуг теплоснабжения, повышение энергетической эффективности</w:t>
            </w:r>
          </w:p>
        </w:tc>
        <w:tc>
          <w:tcPr>
            <w:tcW w:w="275" w:type="pct"/>
            <w:tcBorders>
              <w:top w:val="single" w:sz="4" w:space="0" w:color="auto"/>
              <w:left w:val="single" w:sz="4" w:space="0" w:color="auto"/>
              <w:bottom w:val="single" w:sz="4" w:space="0" w:color="auto"/>
              <w:right w:val="single" w:sz="4" w:space="0" w:color="auto"/>
            </w:tcBorders>
            <w:vAlign w:val="center"/>
          </w:tcPr>
          <w:p w14:paraId="04087CA2" w14:textId="77777777" w:rsidR="002F590A" w:rsidRDefault="002F590A">
            <w:pPr>
              <w:jc w:val="center"/>
              <w:rPr>
                <w:sz w:val="12"/>
                <w:szCs w:val="12"/>
              </w:rPr>
            </w:pPr>
          </w:p>
        </w:tc>
        <w:tc>
          <w:tcPr>
            <w:tcW w:w="303" w:type="pct"/>
            <w:tcBorders>
              <w:top w:val="single" w:sz="4" w:space="0" w:color="auto"/>
              <w:left w:val="single" w:sz="4" w:space="0" w:color="auto"/>
              <w:bottom w:val="single" w:sz="4" w:space="0" w:color="auto"/>
              <w:right w:val="single" w:sz="4" w:space="0" w:color="auto"/>
            </w:tcBorders>
            <w:vAlign w:val="center"/>
            <w:hideMark/>
          </w:tcPr>
          <w:p w14:paraId="54A21589" w14:textId="77777777" w:rsidR="002F590A" w:rsidRDefault="002F590A">
            <w:pPr>
              <w:jc w:val="center"/>
              <w:rPr>
                <w:sz w:val="12"/>
                <w:szCs w:val="12"/>
              </w:rPr>
            </w:pPr>
            <w:r>
              <w:rPr>
                <w:color w:val="000000"/>
                <w:sz w:val="12"/>
                <w:szCs w:val="12"/>
              </w:rPr>
              <w:t>Технические характеристики</w:t>
            </w:r>
          </w:p>
        </w:tc>
        <w:tc>
          <w:tcPr>
            <w:tcW w:w="139" w:type="pct"/>
            <w:tcBorders>
              <w:top w:val="single" w:sz="4" w:space="0" w:color="auto"/>
              <w:left w:val="single" w:sz="4" w:space="0" w:color="auto"/>
              <w:bottom w:val="single" w:sz="4" w:space="0" w:color="auto"/>
              <w:right w:val="single" w:sz="4" w:space="0" w:color="auto"/>
            </w:tcBorders>
            <w:vAlign w:val="center"/>
          </w:tcPr>
          <w:p w14:paraId="69211BEF" w14:textId="77777777" w:rsidR="002F590A" w:rsidRDefault="002F590A">
            <w:pPr>
              <w:jc w:val="center"/>
              <w:rPr>
                <w:sz w:val="12"/>
                <w:szCs w:val="12"/>
              </w:rPr>
            </w:pPr>
          </w:p>
        </w:tc>
        <w:tc>
          <w:tcPr>
            <w:tcW w:w="300" w:type="pct"/>
            <w:tcBorders>
              <w:top w:val="single" w:sz="4" w:space="0" w:color="auto"/>
              <w:left w:val="single" w:sz="4" w:space="0" w:color="auto"/>
              <w:bottom w:val="single" w:sz="4" w:space="0" w:color="auto"/>
              <w:right w:val="single" w:sz="4" w:space="0" w:color="auto"/>
            </w:tcBorders>
            <w:vAlign w:val="center"/>
            <w:hideMark/>
          </w:tcPr>
          <w:p w14:paraId="363980A2" w14:textId="77777777" w:rsidR="002F590A" w:rsidRDefault="002F590A">
            <w:pPr>
              <w:jc w:val="center"/>
              <w:rPr>
                <w:sz w:val="12"/>
                <w:szCs w:val="12"/>
              </w:rPr>
            </w:pPr>
            <w:r>
              <w:rPr>
                <w:sz w:val="12"/>
                <w:szCs w:val="12"/>
              </w:rPr>
              <w:t>Торцевые уплотнения вала выполнены из графитового материала.</w:t>
            </w:r>
          </w:p>
        </w:tc>
        <w:tc>
          <w:tcPr>
            <w:tcW w:w="351" w:type="pct"/>
            <w:tcBorders>
              <w:top w:val="single" w:sz="4" w:space="0" w:color="auto"/>
              <w:left w:val="single" w:sz="4" w:space="0" w:color="auto"/>
              <w:bottom w:val="single" w:sz="4" w:space="0" w:color="auto"/>
              <w:right w:val="single" w:sz="4" w:space="0" w:color="auto"/>
            </w:tcBorders>
            <w:vAlign w:val="center"/>
            <w:hideMark/>
          </w:tcPr>
          <w:p w14:paraId="57089467" w14:textId="77777777" w:rsidR="002F590A" w:rsidRDefault="002F590A">
            <w:pPr>
              <w:jc w:val="center"/>
              <w:rPr>
                <w:sz w:val="12"/>
                <w:szCs w:val="12"/>
              </w:rPr>
            </w:pPr>
            <w:r>
              <w:rPr>
                <w:sz w:val="12"/>
                <w:szCs w:val="12"/>
              </w:rPr>
              <w:t>Торцевые уплотнения вала выполнены из металлокерамики</w:t>
            </w:r>
          </w:p>
        </w:tc>
        <w:tc>
          <w:tcPr>
            <w:tcW w:w="139" w:type="pct"/>
            <w:tcBorders>
              <w:top w:val="single" w:sz="4" w:space="0" w:color="auto"/>
              <w:left w:val="single" w:sz="4" w:space="0" w:color="auto"/>
              <w:bottom w:val="single" w:sz="4" w:space="0" w:color="auto"/>
              <w:right w:val="single" w:sz="4" w:space="0" w:color="auto"/>
            </w:tcBorders>
            <w:vAlign w:val="center"/>
            <w:hideMark/>
          </w:tcPr>
          <w:p w14:paraId="7F320D2E" w14:textId="77777777" w:rsidR="002F590A" w:rsidRDefault="002F590A">
            <w:pPr>
              <w:jc w:val="center"/>
              <w:rPr>
                <w:sz w:val="12"/>
                <w:szCs w:val="12"/>
              </w:rPr>
            </w:pPr>
            <w:r>
              <w:rPr>
                <w:sz w:val="12"/>
                <w:szCs w:val="12"/>
              </w:rPr>
              <w:t>2022</w:t>
            </w:r>
          </w:p>
        </w:tc>
        <w:tc>
          <w:tcPr>
            <w:tcW w:w="167" w:type="pct"/>
            <w:tcBorders>
              <w:top w:val="single" w:sz="4" w:space="0" w:color="auto"/>
              <w:left w:val="single" w:sz="4" w:space="0" w:color="auto"/>
              <w:bottom w:val="single" w:sz="4" w:space="0" w:color="auto"/>
              <w:right w:val="single" w:sz="4" w:space="0" w:color="auto"/>
            </w:tcBorders>
            <w:vAlign w:val="center"/>
            <w:hideMark/>
          </w:tcPr>
          <w:p w14:paraId="3E308EC7" w14:textId="77777777" w:rsidR="002F590A" w:rsidRDefault="002F590A">
            <w:pPr>
              <w:jc w:val="center"/>
              <w:rPr>
                <w:sz w:val="12"/>
                <w:szCs w:val="12"/>
              </w:rPr>
            </w:pPr>
            <w:r>
              <w:rPr>
                <w:sz w:val="12"/>
                <w:szCs w:val="12"/>
              </w:rPr>
              <w:t>2022</w:t>
            </w:r>
          </w:p>
        </w:tc>
        <w:tc>
          <w:tcPr>
            <w:tcW w:w="216" w:type="pct"/>
            <w:tcBorders>
              <w:top w:val="single" w:sz="4" w:space="0" w:color="auto"/>
              <w:left w:val="single" w:sz="4" w:space="0" w:color="auto"/>
              <w:bottom w:val="single" w:sz="4" w:space="0" w:color="auto"/>
              <w:right w:val="single" w:sz="4" w:space="0" w:color="auto"/>
            </w:tcBorders>
            <w:vAlign w:val="center"/>
            <w:hideMark/>
          </w:tcPr>
          <w:p w14:paraId="67E245E0" w14:textId="77777777" w:rsidR="002F590A" w:rsidRDefault="002F590A">
            <w:pPr>
              <w:jc w:val="center"/>
              <w:rPr>
                <w:color w:val="000000"/>
                <w:sz w:val="12"/>
                <w:szCs w:val="12"/>
              </w:rPr>
            </w:pPr>
            <w:r>
              <w:rPr>
                <w:color w:val="000000"/>
                <w:sz w:val="12"/>
                <w:szCs w:val="12"/>
              </w:rPr>
              <w:t>141,37</w:t>
            </w:r>
          </w:p>
        </w:tc>
        <w:tc>
          <w:tcPr>
            <w:tcW w:w="174" w:type="pct"/>
            <w:tcBorders>
              <w:top w:val="single" w:sz="4" w:space="0" w:color="auto"/>
              <w:left w:val="single" w:sz="4" w:space="0" w:color="auto"/>
              <w:bottom w:val="single" w:sz="4" w:space="0" w:color="auto"/>
              <w:right w:val="single" w:sz="4" w:space="0" w:color="auto"/>
            </w:tcBorders>
            <w:vAlign w:val="center"/>
            <w:hideMark/>
          </w:tcPr>
          <w:p w14:paraId="6E9F9D8E" w14:textId="77777777" w:rsidR="002F590A" w:rsidRDefault="002F590A">
            <w:pPr>
              <w:jc w:val="center"/>
              <w:rPr>
                <w:color w:val="000000"/>
                <w:sz w:val="12"/>
                <w:szCs w:val="12"/>
              </w:rPr>
            </w:pPr>
            <w:r>
              <w:rPr>
                <w:color w:val="000000"/>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7C6C4219" w14:textId="77777777" w:rsidR="002F590A" w:rsidRDefault="002F590A">
            <w:pPr>
              <w:jc w:val="center"/>
              <w:rPr>
                <w:sz w:val="12"/>
                <w:szCs w:val="12"/>
              </w:rPr>
            </w:pPr>
            <w:r>
              <w:rPr>
                <w:sz w:val="12"/>
                <w:szCs w:val="12"/>
              </w:rPr>
              <w:t>141,37</w:t>
            </w:r>
          </w:p>
        </w:tc>
        <w:tc>
          <w:tcPr>
            <w:tcW w:w="172" w:type="pct"/>
            <w:tcBorders>
              <w:top w:val="single" w:sz="4" w:space="0" w:color="auto"/>
              <w:left w:val="single" w:sz="4" w:space="0" w:color="auto"/>
              <w:bottom w:val="single" w:sz="4" w:space="0" w:color="auto"/>
              <w:right w:val="single" w:sz="4" w:space="0" w:color="auto"/>
            </w:tcBorders>
            <w:vAlign w:val="center"/>
            <w:hideMark/>
          </w:tcPr>
          <w:p w14:paraId="6030C07A"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4954EADA" w14:textId="77777777" w:rsidR="002F590A" w:rsidRDefault="002F590A">
            <w:pPr>
              <w:jc w:val="center"/>
              <w:rPr>
                <w:sz w:val="12"/>
                <w:szCs w:val="12"/>
              </w:rPr>
            </w:pPr>
            <w:r>
              <w:rPr>
                <w:sz w:val="12"/>
                <w:szCs w:val="12"/>
              </w:rPr>
              <w:t>0,00</w:t>
            </w:r>
          </w:p>
        </w:tc>
        <w:tc>
          <w:tcPr>
            <w:tcW w:w="216" w:type="pct"/>
            <w:tcBorders>
              <w:top w:val="single" w:sz="4" w:space="0" w:color="auto"/>
              <w:left w:val="single" w:sz="4" w:space="0" w:color="auto"/>
              <w:bottom w:val="single" w:sz="4" w:space="0" w:color="auto"/>
              <w:right w:val="single" w:sz="4" w:space="0" w:color="auto"/>
            </w:tcBorders>
            <w:vAlign w:val="center"/>
            <w:hideMark/>
          </w:tcPr>
          <w:p w14:paraId="59C28190"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15F15F63"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67E505EB" w14:textId="77777777" w:rsidR="002F590A" w:rsidRDefault="002F590A">
            <w:pPr>
              <w:jc w:val="center"/>
              <w:rPr>
                <w:sz w:val="12"/>
                <w:szCs w:val="12"/>
              </w:rPr>
            </w:pPr>
            <w:r>
              <w:rPr>
                <w:sz w:val="12"/>
                <w:szCs w:val="12"/>
              </w:rPr>
              <w:t>0,00</w:t>
            </w:r>
          </w:p>
        </w:tc>
        <w:tc>
          <w:tcPr>
            <w:tcW w:w="218" w:type="pct"/>
            <w:tcBorders>
              <w:top w:val="single" w:sz="4" w:space="0" w:color="auto"/>
              <w:left w:val="single" w:sz="4" w:space="0" w:color="auto"/>
              <w:bottom w:val="single" w:sz="4" w:space="0" w:color="auto"/>
              <w:right w:val="single" w:sz="4" w:space="0" w:color="auto"/>
            </w:tcBorders>
            <w:vAlign w:val="center"/>
            <w:hideMark/>
          </w:tcPr>
          <w:p w14:paraId="582107F9"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063BC21D"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3D92802B" w14:textId="77777777" w:rsidR="002F590A" w:rsidRDefault="002F590A">
            <w:pPr>
              <w:jc w:val="center"/>
              <w:rPr>
                <w:sz w:val="12"/>
                <w:szCs w:val="12"/>
              </w:rPr>
            </w:pPr>
            <w:r>
              <w:rPr>
                <w:sz w:val="12"/>
                <w:szCs w:val="12"/>
              </w:rPr>
              <w:t>0,00</w:t>
            </w:r>
          </w:p>
        </w:tc>
        <w:tc>
          <w:tcPr>
            <w:tcW w:w="175" w:type="pct"/>
            <w:tcBorders>
              <w:top w:val="single" w:sz="4" w:space="0" w:color="auto"/>
              <w:left w:val="single" w:sz="4" w:space="0" w:color="auto"/>
              <w:bottom w:val="single" w:sz="4" w:space="0" w:color="auto"/>
              <w:right w:val="single" w:sz="4" w:space="0" w:color="auto"/>
            </w:tcBorders>
            <w:vAlign w:val="center"/>
            <w:hideMark/>
          </w:tcPr>
          <w:p w14:paraId="384BBCDA"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4C98B8C2" w14:textId="77777777" w:rsidR="002F590A" w:rsidRDefault="002F590A">
            <w:pPr>
              <w:jc w:val="center"/>
              <w:rPr>
                <w:color w:val="000000"/>
                <w:sz w:val="12"/>
                <w:szCs w:val="12"/>
              </w:rPr>
            </w:pPr>
            <w:r>
              <w:rPr>
                <w:color w:val="000000"/>
                <w:sz w:val="12"/>
                <w:szCs w:val="12"/>
              </w:rPr>
              <w:t>0,00</w:t>
            </w:r>
          </w:p>
        </w:tc>
        <w:tc>
          <w:tcPr>
            <w:tcW w:w="172" w:type="pct"/>
            <w:tcBorders>
              <w:top w:val="single" w:sz="4" w:space="0" w:color="auto"/>
              <w:left w:val="single" w:sz="4" w:space="0" w:color="auto"/>
              <w:bottom w:val="single" w:sz="4" w:space="0" w:color="auto"/>
              <w:right w:val="single" w:sz="4" w:space="0" w:color="auto"/>
            </w:tcBorders>
            <w:vAlign w:val="center"/>
            <w:hideMark/>
          </w:tcPr>
          <w:p w14:paraId="19F4C1D8" w14:textId="77777777" w:rsidR="002F590A" w:rsidRDefault="002F590A">
            <w:pPr>
              <w:jc w:val="center"/>
              <w:rPr>
                <w:color w:val="000000"/>
                <w:sz w:val="12"/>
                <w:szCs w:val="12"/>
              </w:rPr>
            </w:pPr>
            <w:r>
              <w:rPr>
                <w:color w:val="000000"/>
                <w:sz w:val="12"/>
                <w:szCs w:val="12"/>
              </w:rPr>
              <w:t>0,00</w:t>
            </w:r>
          </w:p>
        </w:tc>
      </w:tr>
      <w:tr w:rsidR="002F590A" w14:paraId="5B738490" w14:textId="77777777" w:rsidTr="002F590A">
        <w:trPr>
          <w:trHeight w:val="897"/>
        </w:trPr>
        <w:tc>
          <w:tcPr>
            <w:tcW w:w="173" w:type="pct"/>
            <w:tcBorders>
              <w:top w:val="single" w:sz="4" w:space="0" w:color="auto"/>
              <w:left w:val="single" w:sz="4" w:space="0" w:color="auto"/>
              <w:bottom w:val="single" w:sz="4" w:space="0" w:color="auto"/>
              <w:right w:val="single" w:sz="4" w:space="0" w:color="auto"/>
            </w:tcBorders>
            <w:vAlign w:val="center"/>
            <w:hideMark/>
          </w:tcPr>
          <w:p w14:paraId="424DD714" w14:textId="77777777" w:rsidR="002F590A" w:rsidRDefault="002F590A">
            <w:pPr>
              <w:jc w:val="center"/>
              <w:rPr>
                <w:sz w:val="12"/>
                <w:szCs w:val="12"/>
              </w:rPr>
            </w:pPr>
            <w:r>
              <w:rPr>
                <w:sz w:val="12"/>
                <w:szCs w:val="12"/>
              </w:rPr>
              <w:t>3.2.16.3</w:t>
            </w:r>
          </w:p>
        </w:tc>
        <w:tc>
          <w:tcPr>
            <w:tcW w:w="280" w:type="pct"/>
            <w:tcBorders>
              <w:top w:val="single" w:sz="4" w:space="0" w:color="auto"/>
              <w:left w:val="single" w:sz="4" w:space="0" w:color="auto"/>
              <w:bottom w:val="single" w:sz="4" w:space="0" w:color="auto"/>
              <w:right w:val="single" w:sz="4" w:space="0" w:color="auto"/>
            </w:tcBorders>
            <w:vAlign w:val="center"/>
            <w:hideMark/>
          </w:tcPr>
          <w:p w14:paraId="3F41027E" w14:textId="77777777" w:rsidR="002F590A" w:rsidRDefault="002F590A">
            <w:pPr>
              <w:rPr>
                <w:sz w:val="12"/>
                <w:szCs w:val="12"/>
              </w:rPr>
            </w:pPr>
            <w:r>
              <w:rPr>
                <w:sz w:val="12"/>
                <w:szCs w:val="12"/>
              </w:rPr>
              <w:t>Реконструкция кровли здания котельной</w:t>
            </w:r>
          </w:p>
        </w:tc>
        <w:tc>
          <w:tcPr>
            <w:tcW w:w="313" w:type="pct"/>
            <w:tcBorders>
              <w:top w:val="single" w:sz="4" w:space="0" w:color="auto"/>
              <w:left w:val="single" w:sz="4" w:space="0" w:color="auto"/>
              <w:bottom w:val="single" w:sz="4" w:space="0" w:color="auto"/>
              <w:right w:val="single" w:sz="4" w:space="0" w:color="auto"/>
            </w:tcBorders>
            <w:vAlign w:val="center"/>
            <w:hideMark/>
          </w:tcPr>
          <w:p w14:paraId="3C0968A7" w14:textId="77777777" w:rsidR="002F590A" w:rsidRDefault="002F590A">
            <w:pPr>
              <w:jc w:val="center"/>
              <w:rPr>
                <w:sz w:val="12"/>
                <w:szCs w:val="12"/>
              </w:rPr>
            </w:pPr>
            <w:r>
              <w:rPr>
                <w:sz w:val="12"/>
                <w:szCs w:val="12"/>
              </w:rPr>
              <w:t>Повышение надежности (бесперебойности) услуг теплоснабжения, повышение энергетической эффективности</w:t>
            </w:r>
          </w:p>
        </w:tc>
        <w:tc>
          <w:tcPr>
            <w:tcW w:w="275" w:type="pct"/>
            <w:tcBorders>
              <w:top w:val="single" w:sz="4" w:space="0" w:color="auto"/>
              <w:left w:val="single" w:sz="4" w:space="0" w:color="auto"/>
              <w:bottom w:val="single" w:sz="4" w:space="0" w:color="auto"/>
              <w:right w:val="single" w:sz="4" w:space="0" w:color="auto"/>
            </w:tcBorders>
            <w:vAlign w:val="center"/>
          </w:tcPr>
          <w:p w14:paraId="50009014" w14:textId="77777777" w:rsidR="002F590A" w:rsidRDefault="002F590A">
            <w:pPr>
              <w:jc w:val="center"/>
              <w:rPr>
                <w:sz w:val="12"/>
                <w:szCs w:val="12"/>
              </w:rPr>
            </w:pPr>
          </w:p>
        </w:tc>
        <w:tc>
          <w:tcPr>
            <w:tcW w:w="303" w:type="pct"/>
            <w:tcBorders>
              <w:top w:val="single" w:sz="4" w:space="0" w:color="auto"/>
              <w:left w:val="single" w:sz="4" w:space="0" w:color="auto"/>
              <w:bottom w:val="single" w:sz="4" w:space="0" w:color="auto"/>
              <w:right w:val="single" w:sz="4" w:space="0" w:color="auto"/>
            </w:tcBorders>
            <w:vAlign w:val="center"/>
            <w:hideMark/>
          </w:tcPr>
          <w:p w14:paraId="40A43F0F" w14:textId="77777777" w:rsidR="002F590A" w:rsidRDefault="002F590A">
            <w:pPr>
              <w:jc w:val="center"/>
              <w:rPr>
                <w:sz w:val="12"/>
                <w:szCs w:val="12"/>
              </w:rPr>
            </w:pPr>
            <w:r>
              <w:rPr>
                <w:color w:val="000000"/>
                <w:sz w:val="12"/>
                <w:szCs w:val="12"/>
              </w:rPr>
              <w:t>Технические характеристики</w:t>
            </w:r>
          </w:p>
        </w:tc>
        <w:tc>
          <w:tcPr>
            <w:tcW w:w="139" w:type="pct"/>
            <w:tcBorders>
              <w:top w:val="single" w:sz="4" w:space="0" w:color="auto"/>
              <w:left w:val="single" w:sz="4" w:space="0" w:color="auto"/>
              <w:bottom w:val="single" w:sz="4" w:space="0" w:color="auto"/>
              <w:right w:val="single" w:sz="4" w:space="0" w:color="auto"/>
            </w:tcBorders>
            <w:vAlign w:val="center"/>
          </w:tcPr>
          <w:p w14:paraId="7813FC96" w14:textId="77777777" w:rsidR="002F590A" w:rsidRDefault="002F590A">
            <w:pPr>
              <w:jc w:val="center"/>
              <w:rPr>
                <w:sz w:val="12"/>
                <w:szCs w:val="12"/>
              </w:rPr>
            </w:pPr>
          </w:p>
        </w:tc>
        <w:tc>
          <w:tcPr>
            <w:tcW w:w="300" w:type="pct"/>
            <w:tcBorders>
              <w:top w:val="single" w:sz="4" w:space="0" w:color="auto"/>
              <w:left w:val="single" w:sz="4" w:space="0" w:color="auto"/>
              <w:bottom w:val="single" w:sz="4" w:space="0" w:color="auto"/>
              <w:right w:val="single" w:sz="4" w:space="0" w:color="auto"/>
            </w:tcBorders>
            <w:vAlign w:val="center"/>
            <w:hideMark/>
          </w:tcPr>
          <w:p w14:paraId="31CDF40A" w14:textId="77777777" w:rsidR="002F590A" w:rsidRDefault="002F590A">
            <w:pPr>
              <w:jc w:val="center"/>
              <w:rPr>
                <w:sz w:val="12"/>
                <w:szCs w:val="12"/>
              </w:rPr>
            </w:pPr>
            <w:r>
              <w:rPr>
                <w:sz w:val="12"/>
                <w:szCs w:val="12"/>
              </w:rPr>
              <w:t>Мягкая кровля из рулонных материалов, утепление - шлак</w:t>
            </w:r>
          </w:p>
        </w:tc>
        <w:tc>
          <w:tcPr>
            <w:tcW w:w="351" w:type="pct"/>
            <w:tcBorders>
              <w:top w:val="single" w:sz="4" w:space="0" w:color="auto"/>
              <w:left w:val="single" w:sz="4" w:space="0" w:color="auto"/>
              <w:bottom w:val="single" w:sz="4" w:space="0" w:color="auto"/>
              <w:right w:val="single" w:sz="4" w:space="0" w:color="auto"/>
            </w:tcBorders>
            <w:vAlign w:val="center"/>
            <w:hideMark/>
          </w:tcPr>
          <w:p w14:paraId="4517ECB0" w14:textId="77777777" w:rsidR="002F590A" w:rsidRDefault="002F590A">
            <w:pPr>
              <w:jc w:val="center"/>
              <w:rPr>
                <w:sz w:val="12"/>
                <w:szCs w:val="12"/>
              </w:rPr>
            </w:pPr>
            <w:r>
              <w:rPr>
                <w:sz w:val="12"/>
                <w:szCs w:val="12"/>
              </w:rPr>
              <w:t>Применяемы материалы в соответствии с проектным решением</w:t>
            </w:r>
          </w:p>
        </w:tc>
        <w:tc>
          <w:tcPr>
            <w:tcW w:w="139" w:type="pct"/>
            <w:tcBorders>
              <w:top w:val="single" w:sz="4" w:space="0" w:color="auto"/>
              <w:left w:val="single" w:sz="4" w:space="0" w:color="auto"/>
              <w:bottom w:val="single" w:sz="4" w:space="0" w:color="auto"/>
              <w:right w:val="single" w:sz="4" w:space="0" w:color="auto"/>
            </w:tcBorders>
            <w:vAlign w:val="center"/>
            <w:hideMark/>
          </w:tcPr>
          <w:p w14:paraId="41DFF999" w14:textId="77777777" w:rsidR="002F590A" w:rsidRDefault="002F590A">
            <w:pPr>
              <w:jc w:val="center"/>
              <w:rPr>
                <w:color w:val="000000"/>
                <w:sz w:val="12"/>
                <w:szCs w:val="12"/>
              </w:rPr>
            </w:pPr>
            <w:r>
              <w:rPr>
                <w:color w:val="000000"/>
                <w:sz w:val="12"/>
                <w:szCs w:val="12"/>
              </w:rPr>
              <w:t>2022</w:t>
            </w:r>
          </w:p>
        </w:tc>
        <w:tc>
          <w:tcPr>
            <w:tcW w:w="167" w:type="pct"/>
            <w:tcBorders>
              <w:top w:val="single" w:sz="4" w:space="0" w:color="auto"/>
              <w:left w:val="single" w:sz="4" w:space="0" w:color="auto"/>
              <w:bottom w:val="single" w:sz="4" w:space="0" w:color="auto"/>
              <w:right w:val="single" w:sz="4" w:space="0" w:color="auto"/>
            </w:tcBorders>
            <w:vAlign w:val="center"/>
            <w:hideMark/>
          </w:tcPr>
          <w:p w14:paraId="48773E5E" w14:textId="77777777" w:rsidR="002F590A" w:rsidRDefault="002F590A">
            <w:pPr>
              <w:jc w:val="center"/>
              <w:rPr>
                <w:color w:val="000000"/>
                <w:sz w:val="12"/>
                <w:szCs w:val="12"/>
              </w:rPr>
            </w:pPr>
            <w:r>
              <w:rPr>
                <w:color w:val="000000"/>
                <w:sz w:val="12"/>
                <w:szCs w:val="12"/>
              </w:rPr>
              <w:t>2022</w:t>
            </w:r>
          </w:p>
        </w:tc>
        <w:tc>
          <w:tcPr>
            <w:tcW w:w="216" w:type="pct"/>
            <w:tcBorders>
              <w:top w:val="single" w:sz="4" w:space="0" w:color="auto"/>
              <w:left w:val="single" w:sz="4" w:space="0" w:color="auto"/>
              <w:bottom w:val="single" w:sz="4" w:space="0" w:color="auto"/>
              <w:right w:val="single" w:sz="4" w:space="0" w:color="auto"/>
            </w:tcBorders>
            <w:vAlign w:val="center"/>
            <w:hideMark/>
          </w:tcPr>
          <w:p w14:paraId="21A0898C" w14:textId="77777777" w:rsidR="002F590A" w:rsidRDefault="002F590A">
            <w:pPr>
              <w:jc w:val="center"/>
              <w:rPr>
                <w:color w:val="000000"/>
                <w:sz w:val="12"/>
                <w:szCs w:val="12"/>
              </w:rPr>
            </w:pPr>
            <w:r>
              <w:rPr>
                <w:color w:val="000000"/>
                <w:sz w:val="12"/>
                <w:szCs w:val="12"/>
              </w:rPr>
              <w:t>2064,72</w:t>
            </w:r>
          </w:p>
        </w:tc>
        <w:tc>
          <w:tcPr>
            <w:tcW w:w="174" w:type="pct"/>
            <w:tcBorders>
              <w:top w:val="single" w:sz="4" w:space="0" w:color="auto"/>
              <w:left w:val="single" w:sz="4" w:space="0" w:color="auto"/>
              <w:bottom w:val="single" w:sz="4" w:space="0" w:color="auto"/>
              <w:right w:val="single" w:sz="4" w:space="0" w:color="auto"/>
            </w:tcBorders>
            <w:vAlign w:val="center"/>
            <w:hideMark/>
          </w:tcPr>
          <w:p w14:paraId="26C97AD4" w14:textId="77777777" w:rsidR="002F590A" w:rsidRDefault="002F590A">
            <w:pPr>
              <w:jc w:val="center"/>
              <w:rPr>
                <w:color w:val="000000"/>
                <w:sz w:val="12"/>
                <w:szCs w:val="12"/>
              </w:rPr>
            </w:pPr>
            <w:r>
              <w:rPr>
                <w:color w:val="000000"/>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1A79EEFC" w14:textId="77777777" w:rsidR="002F590A" w:rsidRDefault="002F590A">
            <w:pPr>
              <w:jc w:val="center"/>
              <w:rPr>
                <w:sz w:val="12"/>
                <w:szCs w:val="12"/>
              </w:rPr>
            </w:pPr>
            <w:r>
              <w:rPr>
                <w:sz w:val="12"/>
                <w:szCs w:val="12"/>
              </w:rPr>
              <w:t>2064,72</w:t>
            </w:r>
          </w:p>
        </w:tc>
        <w:tc>
          <w:tcPr>
            <w:tcW w:w="172" w:type="pct"/>
            <w:tcBorders>
              <w:top w:val="single" w:sz="4" w:space="0" w:color="auto"/>
              <w:left w:val="single" w:sz="4" w:space="0" w:color="auto"/>
              <w:bottom w:val="single" w:sz="4" w:space="0" w:color="auto"/>
              <w:right w:val="single" w:sz="4" w:space="0" w:color="auto"/>
            </w:tcBorders>
            <w:vAlign w:val="center"/>
            <w:hideMark/>
          </w:tcPr>
          <w:p w14:paraId="52D1F676"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5BE9008E" w14:textId="77777777" w:rsidR="002F590A" w:rsidRDefault="002F590A">
            <w:pPr>
              <w:jc w:val="center"/>
              <w:rPr>
                <w:sz w:val="12"/>
                <w:szCs w:val="12"/>
              </w:rPr>
            </w:pPr>
            <w:r>
              <w:rPr>
                <w:sz w:val="12"/>
                <w:szCs w:val="12"/>
              </w:rPr>
              <w:t>0,00</w:t>
            </w:r>
          </w:p>
        </w:tc>
        <w:tc>
          <w:tcPr>
            <w:tcW w:w="216" w:type="pct"/>
            <w:tcBorders>
              <w:top w:val="single" w:sz="4" w:space="0" w:color="auto"/>
              <w:left w:val="single" w:sz="4" w:space="0" w:color="auto"/>
              <w:bottom w:val="single" w:sz="4" w:space="0" w:color="auto"/>
              <w:right w:val="single" w:sz="4" w:space="0" w:color="auto"/>
            </w:tcBorders>
            <w:vAlign w:val="center"/>
            <w:hideMark/>
          </w:tcPr>
          <w:p w14:paraId="14C732D0"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38F50644"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2AFE3B17" w14:textId="77777777" w:rsidR="002F590A" w:rsidRDefault="002F590A">
            <w:pPr>
              <w:jc w:val="center"/>
              <w:rPr>
                <w:sz w:val="12"/>
                <w:szCs w:val="12"/>
              </w:rPr>
            </w:pPr>
            <w:r>
              <w:rPr>
                <w:sz w:val="12"/>
                <w:szCs w:val="12"/>
              </w:rPr>
              <w:t>0,00</w:t>
            </w:r>
          </w:p>
        </w:tc>
        <w:tc>
          <w:tcPr>
            <w:tcW w:w="218" w:type="pct"/>
            <w:tcBorders>
              <w:top w:val="single" w:sz="4" w:space="0" w:color="auto"/>
              <w:left w:val="single" w:sz="4" w:space="0" w:color="auto"/>
              <w:bottom w:val="single" w:sz="4" w:space="0" w:color="auto"/>
              <w:right w:val="single" w:sz="4" w:space="0" w:color="auto"/>
            </w:tcBorders>
            <w:vAlign w:val="center"/>
            <w:hideMark/>
          </w:tcPr>
          <w:p w14:paraId="762DB9C5"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533CA14B"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58049548" w14:textId="77777777" w:rsidR="002F590A" w:rsidRDefault="002F590A">
            <w:pPr>
              <w:jc w:val="center"/>
              <w:rPr>
                <w:sz w:val="12"/>
                <w:szCs w:val="12"/>
              </w:rPr>
            </w:pPr>
            <w:r>
              <w:rPr>
                <w:sz w:val="12"/>
                <w:szCs w:val="12"/>
              </w:rPr>
              <w:t>0,00</w:t>
            </w:r>
          </w:p>
        </w:tc>
        <w:tc>
          <w:tcPr>
            <w:tcW w:w="175" w:type="pct"/>
            <w:tcBorders>
              <w:top w:val="single" w:sz="4" w:space="0" w:color="auto"/>
              <w:left w:val="single" w:sz="4" w:space="0" w:color="auto"/>
              <w:bottom w:val="single" w:sz="4" w:space="0" w:color="auto"/>
              <w:right w:val="single" w:sz="4" w:space="0" w:color="auto"/>
            </w:tcBorders>
            <w:vAlign w:val="center"/>
            <w:hideMark/>
          </w:tcPr>
          <w:p w14:paraId="42DFDF98"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2191AE66" w14:textId="77777777" w:rsidR="002F590A" w:rsidRDefault="002F590A">
            <w:pPr>
              <w:jc w:val="center"/>
              <w:rPr>
                <w:color w:val="000000"/>
                <w:sz w:val="12"/>
                <w:szCs w:val="12"/>
              </w:rPr>
            </w:pPr>
            <w:r>
              <w:rPr>
                <w:color w:val="000000"/>
                <w:sz w:val="12"/>
                <w:szCs w:val="12"/>
              </w:rPr>
              <w:t>0,00</w:t>
            </w:r>
          </w:p>
        </w:tc>
        <w:tc>
          <w:tcPr>
            <w:tcW w:w="172" w:type="pct"/>
            <w:tcBorders>
              <w:top w:val="single" w:sz="4" w:space="0" w:color="auto"/>
              <w:left w:val="single" w:sz="4" w:space="0" w:color="auto"/>
              <w:bottom w:val="single" w:sz="4" w:space="0" w:color="auto"/>
              <w:right w:val="single" w:sz="4" w:space="0" w:color="auto"/>
            </w:tcBorders>
            <w:vAlign w:val="center"/>
            <w:hideMark/>
          </w:tcPr>
          <w:p w14:paraId="6CDC5346" w14:textId="77777777" w:rsidR="002F590A" w:rsidRDefault="002F590A">
            <w:pPr>
              <w:jc w:val="center"/>
              <w:rPr>
                <w:color w:val="000000"/>
                <w:sz w:val="12"/>
                <w:szCs w:val="12"/>
              </w:rPr>
            </w:pPr>
            <w:r>
              <w:rPr>
                <w:color w:val="000000"/>
                <w:sz w:val="12"/>
                <w:szCs w:val="12"/>
              </w:rPr>
              <w:t>0,00</w:t>
            </w:r>
          </w:p>
        </w:tc>
      </w:tr>
      <w:tr w:rsidR="002F590A" w14:paraId="140704D2" w14:textId="77777777" w:rsidTr="002F590A">
        <w:trPr>
          <w:trHeight w:val="47"/>
        </w:trPr>
        <w:tc>
          <w:tcPr>
            <w:tcW w:w="2440" w:type="pct"/>
            <w:gridSpan w:val="10"/>
            <w:tcBorders>
              <w:top w:val="single" w:sz="4" w:space="0" w:color="auto"/>
              <w:left w:val="single" w:sz="4" w:space="0" w:color="auto"/>
              <w:bottom w:val="single" w:sz="4" w:space="0" w:color="auto"/>
              <w:right w:val="single" w:sz="4" w:space="0" w:color="auto"/>
            </w:tcBorders>
            <w:vAlign w:val="center"/>
            <w:hideMark/>
          </w:tcPr>
          <w:p w14:paraId="79B163F2" w14:textId="77777777" w:rsidR="002F590A" w:rsidRDefault="002F590A">
            <w:pPr>
              <w:rPr>
                <w:sz w:val="13"/>
                <w:szCs w:val="13"/>
              </w:rPr>
            </w:pPr>
            <w:r>
              <w:rPr>
                <w:sz w:val="13"/>
                <w:szCs w:val="13"/>
              </w:rPr>
              <w:t>Всего по группе 3.</w:t>
            </w:r>
          </w:p>
        </w:tc>
        <w:tc>
          <w:tcPr>
            <w:tcW w:w="216" w:type="pct"/>
            <w:tcBorders>
              <w:top w:val="single" w:sz="4" w:space="0" w:color="auto"/>
              <w:left w:val="single" w:sz="4" w:space="0" w:color="auto"/>
              <w:bottom w:val="single" w:sz="4" w:space="0" w:color="auto"/>
              <w:right w:val="single" w:sz="4" w:space="0" w:color="auto"/>
            </w:tcBorders>
            <w:vAlign w:val="center"/>
            <w:hideMark/>
          </w:tcPr>
          <w:p w14:paraId="255440BD" w14:textId="77777777" w:rsidR="002F590A" w:rsidRDefault="002F590A">
            <w:pPr>
              <w:jc w:val="center"/>
              <w:rPr>
                <w:sz w:val="12"/>
                <w:szCs w:val="12"/>
              </w:rPr>
            </w:pPr>
            <w:r>
              <w:rPr>
                <w:sz w:val="12"/>
                <w:szCs w:val="12"/>
              </w:rPr>
              <w:t>43 859,65</w:t>
            </w:r>
          </w:p>
        </w:tc>
        <w:tc>
          <w:tcPr>
            <w:tcW w:w="174" w:type="pct"/>
            <w:tcBorders>
              <w:top w:val="single" w:sz="4" w:space="0" w:color="auto"/>
              <w:left w:val="single" w:sz="4" w:space="0" w:color="auto"/>
              <w:bottom w:val="single" w:sz="4" w:space="0" w:color="auto"/>
              <w:right w:val="single" w:sz="4" w:space="0" w:color="auto"/>
            </w:tcBorders>
            <w:vAlign w:val="center"/>
            <w:hideMark/>
          </w:tcPr>
          <w:p w14:paraId="2C445606"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54A4E2F8" w14:textId="77777777" w:rsidR="002F590A" w:rsidRDefault="002F590A">
            <w:pPr>
              <w:jc w:val="center"/>
              <w:rPr>
                <w:sz w:val="12"/>
                <w:szCs w:val="12"/>
              </w:rPr>
            </w:pPr>
            <w:r>
              <w:rPr>
                <w:sz w:val="12"/>
                <w:szCs w:val="12"/>
              </w:rPr>
              <w:t>4 206,63</w:t>
            </w:r>
          </w:p>
        </w:tc>
        <w:tc>
          <w:tcPr>
            <w:tcW w:w="172" w:type="pct"/>
            <w:tcBorders>
              <w:top w:val="single" w:sz="4" w:space="0" w:color="auto"/>
              <w:left w:val="single" w:sz="4" w:space="0" w:color="auto"/>
              <w:bottom w:val="single" w:sz="4" w:space="0" w:color="auto"/>
              <w:right w:val="single" w:sz="4" w:space="0" w:color="auto"/>
            </w:tcBorders>
            <w:vAlign w:val="center"/>
            <w:hideMark/>
          </w:tcPr>
          <w:p w14:paraId="54A4262D" w14:textId="77777777" w:rsidR="002F590A" w:rsidRDefault="002F590A">
            <w:pPr>
              <w:jc w:val="center"/>
              <w:rPr>
                <w:sz w:val="12"/>
                <w:szCs w:val="12"/>
              </w:rPr>
            </w:pPr>
            <w:r>
              <w:rPr>
                <w:sz w:val="12"/>
                <w:szCs w:val="12"/>
              </w:rPr>
              <w:t>11 398,73</w:t>
            </w:r>
          </w:p>
        </w:tc>
        <w:tc>
          <w:tcPr>
            <w:tcW w:w="174" w:type="pct"/>
            <w:tcBorders>
              <w:top w:val="single" w:sz="4" w:space="0" w:color="auto"/>
              <w:left w:val="single" w:sz="4" w:space="0" w:color="auto"/>
              <w:bottom w:val="single" w:sz="4" w:space="0" w:color="auto"/>
              <w:right w:val="single" w:sz="4" w:space="0" w:color="auto"/>
            </w:tcBorders>
            <w:vAlign w:val="center"/>
            <w:hideMark/>
          </w:tcPr>
          <w:p w14:paraId="38595D45" w14:textId="77777777" w:rsidR="002F590A" w:rsidRDefault="002F590A">
            <w:pPr>
              <w:jc w:val="center"/>
              <w:rPr>
                <w:sz w:val="12"/>
                <w:szCs w:val="12"/>
              </w:rPr>
            </w:pPr>
            <w:r>
              <w:rPr>
                <w:sz w:val="12"/>
                <w:szCs w:val="12"/>
              </w:rPr>
              <w:t>8 324,42</w:t>
            </w:r>
          </w:p>
        </w:tc>
        <w:tc>
          <w:tcPr>
            <w:tcW w:w="216" w:type="pct"/>
            <w:tcBorders>
              <w:top w:val="single" w:sz="4" w:space="0" w:color="auto"/>
              <w:left w:val="single" w:sz="4" w:space="0" w:color="auto"/>
              <w:bottom w:val="single" w:sz="4" w:space="0" w:color="auto"/>
              <w:right w:val="single" w:sz="4" w:space="0" w:color="auto"/>
            </w:tcBorders>
            <w:vAlign w:val="center"/>
            <w:hideMark/>
          </w:tcPr>
          <w:p w14:paraId="575C007F" w14:textId="77777777" w:rsidR="002F590A" w:rsidRDefault="002F590A">
            <w:pPr>
              <w:jc w:val="center"/>
              <w:rPr>
                <w:sz w:val="12"/>
                <w:szCs w:val="12"/>
              </w:rPr>
            </w:pPr>
            <w:r>
              <w:rPr>
                <w:sz w:val="12"/>
                <w:szCs w:val="12"/>
              </w:rPr>
              <w:t>3 848,06</w:t>
            </w:r>
          </w:p>
        </w:tc>
        <w:tc>
          <w:tcPr>
            <w:tcW w:w="174" w:type="pct"/>
            <w:tcBorders>
              <w:top w:val="single" w:sz="4" w:space="0" w:color="auto"/>
              <w:left w:val="single" w:sz="4" w:space="0" w:color="auto"/>
              <w:bottom w:val="single" w:sz="4" w:space="0" w:color="auto"/>
              <w:right w:val="single" w:sz="4" w:space="0" w:color="auto"/>
            </w:tcBorders>
            <w:vAlign w:val="center"/>
            <w:hideMark/>
          </w:tcPr>
          <w:p w14:paraId="7F8BFF92" w14:textId="77777777" w:rsidR="002F590A" w:rsidRDefault="002F590A">
            <w:pPr>
              <w:jc w:val="center"/>
              <w:rPr>
                <w:sz w:val="12"/>
                <w:szCs w:val="12"/>
              </w:rPr>
            </w:pPr>
            <w:r>
              <w:rPr>
                <w:sz w:val="12"/>
                <w:szCs w:val="12"/>
              </w:rPr>
              <w:t>3 948,03</w:t>
            </w:r>
          </w:p>
        </w:tc>
        <w:tc>
          <w:tcPr>
            <w:tcW w:w="174" w:type="pct"/>
            <w:tcBorders>
              <w:top w:val="single" w:sz="4" w:space="0" w:color="auto"/>
              <w:left w:val="single" w:sz="4" w:space="0" w:color="auto"/>
              <w:bottom w:val="single" w:sz="4" w:space="0" w:color="auto"/>
              <w:right w:val="single" w:sz="4" w:space="0" w:color="auto"/>
            </w:tcBorders>
            <w:vAlign w:val="center"/>
            <w:hideMark/>
          </w:tcPr>
          <w:p w14:paraId="38D87269" w14:textId="77777777" w:rsidR="002F590A" w:rsidRDefault="002F590A">
            <w:pPr>
              <w:jc w:val="center"/>
              <w:rPr>
                <w:sz w:val="12"/>
                <w:szCs w:val="12"/>
              </w:rPr>
            </w:pPr>
            <w:r>
              <w:rPr>
                <w:sz w:val="12"/>
                <w:szCs w:val="12"/>
              </w:rPr>
              <w:t>5 048,46</w:t>
            </w:r>
          </w:p>
        </w:tc>
        <w:tc>
          <w:tcPr>
            <w:tcW w:w="218" w:type="pct"/>
            <w:tcBorders>
              <w:top w:val="single" w:sz="4" w:space="0" w:color="auto"/>
              <w:left w:val="single" w:sz="4" w:space="0" w:color="auto"/>
              <w:bottom w:val="single" w:sz="4" w:space="0" w:color="auto"/>
              <w:right w:val="single" w:sz="4" w:space="0" w:color="auto"/>
            </w:tcBorders>
            <w:vAlign w:val="center"/>
            <w:hideMark/>
          </w:tcPr>
          <w:p w14:paraId="62A9EF0C" w14:textId="77777777" w:rsidR="002F590A" w:rsidRDefault="002F590A">
            <w:pPr>
              <w:jc w:val="center"/>
              <w:rPr>
                <w:sz w:val="12"/>
                <w:szCs w:val="12"/>
              </w:rPr>
            </w:pPr>
            <w:r>
              <w:rPr>
                <w:sz w:val="12"/>
                <w:szCs w:val="12"/>
              </w:rPr>
              <w:t>2 870,77</w:t>
            </w:r>
          </w:p>
        </w:tc>
        <w:tc>
          <w:tcPr>
            <w:tcW w:w="174" w:type="pct"/>
            <w:tcBorders>
              <w:top w:val="single" w:sz="4" w:space="0" w:color="auto"/>
              <w:left w:val="single" w:sz="4" w:space="0" w:color="auto"/>
              <w:bottom w:val="single" w:sz="4" w:space="0" w:color="auto"/>
              <w:right w:val="single" w:sz="4" w:space="0" w:color="auto"/>
            </w:tcBorders>
            <w:vAlign w:val="center"/>
            <w:hideMark/>
          </w:tcPr>
          <w:p w14:paraId="2C449573" w14:textId="77777777" w:rsidR="002F590A" w:rsidRDefault="002F590A">
            <w:pPr>
              <w:jc w:val="center"/>
              <w:rPr>
                <w:sz w:val="12"/>
                <w:szCs w:val="12"/>
              </w:rPr>
            </w:pPr>
            <w:r>
              <w:rPr>
                <w:sz w:val="12"/>
                <w:szCs w:val="12"/>
              </w:rPr>
              <w:t>705,95</w:t>
            </w:r>
          </w:p>
        </w:tc>
        <w:tc>
          <w:tcPr>
            <w:tcW w:w="174" w:type="pct"/>
            <w:tcBorders>
              <w:top w:val="single" w:sz="4" w:space="0" w:color="auto"/>
              <w:left w:val="single" w:sz="4" w:space="0" w:color="auto"/>
              <w:bottom w:val="single" w:sz="4" w:space="0" w:color="auto"/>
              <w:right w:val="single" w:sz="4" w:space="0" w:color="auto"/>
            </w:tcBorders>
            <w:vAlign w:val="center"/>
            <w:hideMark/>
          </w:tcPr>
          <w:p w14:paraId="5E261A71" w14:textId="77777777" w:rsidR="002F590A" w:rsidRDefault="002F590A">
            <w:pPr>
              <w:jc w:val="center"/>
              <w:rPr>
                <w:sz w:val="12"/>
                <w:szCs w:val="12"/>
              </w:rPr>
            </w:pPr>
            <w:r>
              <w:rPr>
                <w:sz w:val="12"/>
                <w:szCs w:val="12"/>
              </w:rPr>
              <w:t>2 873,92</w:t>
            </w:r>
          </w:p>
        </w:tc>
        <w:tc>
          <w:tcPr>
            <w:tcW w:w="175" w:type="pct"/>
            <w:tcBorders>
              <w:top w:val="single" w:sz="4" w:space="0" w:color="auto"/>
              <w:left w:val="single" w:sz="4" w:space="0" w:color="auto"/>
              <w:bottom w:val="single" w:sz="4" w:space="0" w:color="auto"/>
              <w:right w:val="single" w:sz="4" w:space="0" w:color="auto"/>
            </w:tcBorders>
            <w:vAlign w:val="center"/>
            <w:hideMark/>
          </w:tcPr>
          <w:p w14:paraId="76D14DB2" w14:textId="77777777" w:rsidR="002F590A" w:rsidRDefault="002F590A">
            <w:pPr>
              <w:jc w:val="center"/>
              <w:rPr>
                <w:sz w:val="12"/>
                <w:szCs w:val="12"/>
              </w:rPr>
            </w:pPr>
            <w:r>
              <w:rPr>
                <w:sz w:val="12"/>
                <w:szCs w:val="12"/>
              </w:rPr>
              <w:t>634,68</w:t>
            </w:r>
          </w:p>
        </w:tc>
        <w:tc>
          <w:tcPr>
            <w:tcW w:w="173" w:type="pct"/>
            <w:tcBorders>
              <w:top w:val="single" w:sz="4" w:space="0" w:color="auto"/>
              <w:left w:val="single" w:sz="4" w:space="0" w:color="auto"/>
              <w:bottom w:val="single" w:sz="4" w:space="0" w:color="auto"/>
              <w:right w:val="single" w:sz="4" w:space="0" w:color="auto"/>
            </w:tcBorders>
            <w:vAlign w:val="center"/>
            <w:hideMark/>
          </w:tcPr>
          <w:p w14:paraId="569E8E0A" w14:textId="77777777" w:rsidR="002F590A" w:rsidRDefault="002F590A">
            <w:pPr>
              <w:jc w:val="center"/>
              <w:rPr>
                <w:sz w:val="12"/>
                <w:szCs w:val="12"/>
              </w:rPr>
            </w:pPr>
            <w:r>
              <w:rPr>
                <w:sz w:val="12"/>
                <w:szCs w:val="12"/>
              </w:rPr>
              <w:t>0,00</w:t>
            </w:r>
          </w:p>
        </w:tc>
        <w:tc>
          <w:tcPr>
            <w:tcW w:w="172" w:type="pct"/>
            <w:tcBorders>
              <w:top w:val="single" w:sz="4" w:space="0" w:color="auto"/>
              <w:left w:val="single" w:sz="4" w:space="0" w:color="auto"/>
              <w:bottom w:val="single" w:sz="4" w:space="0" w:color="auto"/>
              <w:right w:val="single" w:sz="4" w:space="0" w:color="auto"/>
            </w:tcBorders>
            <w:vAlign w:val="center"/>
            <w:hideMark/>
          </w:tcPr>
          <w:p w14:paraId="1BBBF086" w14:textId="77777777" w:rsidR="002F590A" w:rsidRDefault="002F590A">
            <w:pPr>
              <w:jc w:val="center"/>
              <w:rPr>
                <w:sz w:val="12"/>
                <w:szCs w:val="12"/>
              </w:rPr>
            </w:pPr>
            <w:r>
              <w:rPr>
                <w:sz w:val="12"/>
                <w:szCs w:val="12"/>
              </w:rPr>
              <w:t>0,00</w:t>
            </w:r>
          </w:p>
        </w:tc>
      </w:tr>
      <w:tr w:rsidR="002F590A" w14:paraId="6ED6D3CD" w14:textId="77777777" w:rsidTr="002F590A">
        <w:trPr>
          <w:trHeight w:val="47"/>
        </w:trPr>
        <w:tc>
          <w:tcPr>
            <w:tcW w:w="5000" w:type="pct"/>
            <w:gridSpan w:val="24"/>
            <w:tcBorders>
              <w:top w:val="single" w:sz="4" w:space="0" w:color="auto"/>
              <w:left w:val="single" w:sz="4" w:space="0" w:color="auto"/>
              <w:bottom w:val="single" w:sz="4" w:space="0" w:color="auto"/>
              <w:right w:val="single" w:sz="4" w:space="0" w:color="auto"/>
            </w:tcBorders>
            <w:hideMark/>
          </w:tcPr>
          <w:p w14:paraId="6C50B258" w14:textId="77777777" w:rsidR="002F590A" w:rsidRDefault="002F590A">
            <w:pPr>
              <w:rPr>
                <w:sz w:val="13"/>
                <w:szCs w:val="13"/>
              </w:rPr>
            </w:pPr>
            <w:r>
              <w:rPr>
                <w:bCs/>
                <w:sz w:val="13"/>
                <w:szCs w:val="13"/>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2F590A" w14:paraId="3C9F473E" w14:textId="77777777" w:rsidTr="002F590A">
        <w:trPr>
          <w:trHeight w:val="47"/>
        </w:trPr>
        <w:tc>
          <w:tcPr>
            <w:tcW w:w="2440" w:type="pct"/>
            <w:gridSpan w:val="10"/>
            <w:tcBorders>
              <w:top w:val="single" w:sz="4" w:space="0" w:color="auto"/>
              <w:left w:val="single" w:sz="4" w:space="0" w:color="auto"/>
              <w:bottom w:val="single" w:sz="4" w:space="0" w:color="auto"/>
              <w:right w:val="single" w:sz="4" w:space="0" w:color="auto"/>
            </w:tcBorders>
            <w:vAlign w:val="center"/>
            <w:hideMark/>
          </w:tcPr>
          <w:p w14:paraId="428846CD" w14:textId="77777777" w:rsidR="002F590A" w:rsidRDefault="002F590A">
            <w:pPr>
              <w:rPr>
                <w:sz w:val="13"/>
                <w:szCs w:val="13"/>
              </w:rPr>
            </w:pPr>
            <w:r>
              <w:rPr>
                <w:sz w:val="13"/>
                <w:szCs w:val="13"/>
              </w:rPr>
              <w:t>Всего по группе 4.</w:t>
            </w:r>
          </w:p>
        </w:tc>
        <w:tc>
          <w:tcPr>
            <w:tcW w:w="216" w:type="pct"/>
            <w:tcBorders>
              <w:top w:val="single" w:sz="4" w:space="0" w:color="auto"/>
              <w:left w:val="single" w:sz="4" w:space="0" w:color="auto"/>
              <w:bottom w:val="single" w:sz="4" w:space="0" w:color="auto"/>
              <w:right w:val="single" w:sz="4" w:space="0" w:color="auto"/>
            </w:tcBorders>
            <w:vAlign w:val="center"/>
            <w:hideMark/>
          </w:tcPr>
          <w:p w14:paraId="0110EC89" w14:textId="77777777" w:rsidR="002F590A" w:rsidRDefault="002F590A">
            <w:pPr>
              <w:jc w:val="center"/>
              <w:rPr>
                <w:sz w:val="12"/>
                <w:szCs w:val="12"/>
              </w:rPr>
            </w:pPr>
            <w:r>
              <w:rPr>
                <w:sz w:val="12"/>
                <w:szCs w:val="12"/>
              </w:rPr>
              <w:t>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014EF0E1" w14:textId="77777777" w:rsidR="002F590A" w:rsidRDefault="002F590A">
            <w:pPr>
              <w:jc w:val="center"/>
              <w:rPr>
                <w:sz w:val="12"/>
                <w:szCs w:val="12"/>
              </w:rPr>
            </w:pPr>
            <w:r>
              <w:rPr>
                <w:sz w:val="12"/>
                <w:szCs w:val="12"/>
              </w:rPr>
              <w:t>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4C7BA88D" w14:textId="77777777" w:rsidR="002F590A" w:rsidRDefault="002F590A">
            <w:pPr>
              <w:jc w:val="center"/>
              <w:rPr>
                <w:sz w:val="12"/>
                <w:szCs w:val="12"/>
              </w:rPr>
            </w:pPr>
            <w:r>
              <w:rPr>
                <w:sz w:val="12"/>
                <w:szCs w:val="12"/>
              </w:rPr>
              <w:t>0,0</w:t>
            </w:r>
          </w:p>
        </w:tc>
        <w:tc>
          <w:tcPr>
            <w:tcW w:w="172" w:type="pct"/>
            <w:tcBorders>
              <w:top w:val="single" w:sz="4" w:space="0" w:color="auto"/>
              <w:left w:val="single" w:sz="4" w:space="0" w:color="auto"/>
              <w:bottom w:val="single" w:sz="4" w:space="0" w:color="auto"/>
              <w:right w:val="single" w:sz="4" w:space="0" w:color="auto"/>
            </w:tcBorders>
            <w:vAlign w:val="center"/>
            <w:hideMark/>
          </w:tcPr>
          <w:p w14:paraId="3EFE1322" w14:textId="77777777" w:rsidR="002F590A" w:rsidRDefault="002F590A">
            <w:pPr>
              <w:jc w:val="center"/>
              <w:rPr>
                <w:sz w:val="12"/>
                <w:szCs w:val="12"/>
              </w:rPr>
            </w:pPr>
            <w:r>
              <w:rPr>
                <w:sz w:val="12"/>
                <w:szCs w:val="12"/>
              </w:rPr>
              <w:t>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3430CBC8" w14:textId="77777777" w:rsidR="002F590A" w:rsidRDefault="002F590A">
            <w:pPr>
              <w:jc w:val="center"/>
              <w:rPr>
                <w:sz w:val="12"/>
                <w:szCs w:val="12"/>
              </w:rPr>
            </w:pPr>
            <w:r>
              <w:rPr>
                <w:sz w:val="12"/>
                <w:szCs w:val="12"/>
              </w:rPr>
              <w:t>0,0</w:t>
            </w:r>
          </w:p>
        </w:tc>
        <w:tc>
          <w:tcPr>
            <w:tcW w:w="216" w:type="pct"/>
            <w:tcBorders>
              <w:top w:val="single" w:sz="4" w:space="0" w:color="auto"/>
              <w:left w:val="single" w:sz="4" w:space="0" w:color="auto"/>
              <w:bottom w:val="single" w:sz="4" w:space="0" w:color="auto"/>
              <w:right w:val="single" w:sz="4" w:space="0" w:color="auto"/>
            </w:tcBorders>
            <w:vAlign w:val="center"/>
            <w:hideMark/>
          </w:tcPr>
          <w:p w14:paraId="4F06759F" w14:textId="77777777" w:rsidR="002F590A" w:rsidRDefault="002F590A">
            <w:pPr>
              <w:jc w:val="center"/>
              <w:rPr>
                <w:sz w:val="12"/>
                <w:szCs w:val="12"/>
              </w:rPr>
            </w:pPr>
            <w:r>
              <w:rPr>
                <w:sz w:val="12"/>
                <w:szCs w:val="12"/>
              </w:rPr>
              <w:t>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45DB36EB" w14:textId="77777777" w:rsidR="002F590A" w:rsidRDefault="002F590A">
            <w:pPr>
              <w:jc w:val="center"/>
              <w:rPr>
                <w:sz w:val="12"/>
                <w:szCs w:val="12"/>
              </w:rPr>
            </w:pPr>
            <w:r>
              <w:rPr>
                <w:sz w:val="12"/>
                <w:szCs w:val="12"/>
              </w:rPr>
              <w:t>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05D6AD44" w14:textId="77777777" w:rsidR="002F590A" w:rsidRDefault="002F590A">
            <w:pPr>
              <w:jc w:val="center"/>
              <w:rPr>
                <w:sz w:val="12"/>
                <w:szCs w:val="12"/>
              </w:rPr>
            </w:pPr>
            <w:r>
              <w:rPr>
                <w:sz w:val="12"/>
                <w:szCs w:val="12"/>
              </w:rPr>
              <w:t>0,0</w:t>
            </w:r>
          </w:p>
        </w:tc>
        <w:tc>
          <w:tcPr>
            <w:tcW w:w="218" w:type="pct"/>
            <w:tcBorders>
              <w:top w:val="single" w:sz="4" w:space="0" w:color="auto"/>
              <w:left w:val="single" w:sz="4" w:space="0" w:color="auto"/>
              <w:bottom w:val="single" w:sz="4" w:space="0" w:color="auto"/>
              <w:right w:val="single" w:sz="4" w:space="0" w:color="auto"/>
            </w:tcBorders>
            <w:vAlign w:val="center"/>
            <w:hideMark/>
          </w:tcPr>
          <w:p w14:paraId="17C1BFA7" w14:textId="77777777" w:rsidR="002F590A" w:rsidRDefault="002F590A">
            <w:pPr>
              <w:jc w:val="center"/>
              <w:rPr>
                <w:sz w:val="12"/>
                <w:szCs w:val="12"/>
              </w:rPr>
            </w:pPr>
            <w:r>
              <w:rPr>
                <w:sz w:val="12"/>
                <w:szCs w:val="12"/>
              </w:rPr>
              <w:t>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7EE23B1D" w14:textId="77777777" w:rsidR="002F590A" w:rsidRDefault="002F590A">
            <w:pPr>
              <w:jc w:val="center"/>
              <w:rPr>
                <w:sz w:val="12"/>
                <w:szCs w:val="12"/>
              </w:rPr>
            </w:pPr>
            <w:r>
              <w:rPr>
                <w:sz w:val="12"/>
                <w:szCs w:val="12"/>
              </w:rPr>
              <w:t>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4802B262" w14:textId="77777777" w:rsidR="002F590A" w:rsidRDefault="002F590A">
            <w:pPr>
              <w:jc w:val="center"/>
              <w:rPr>
                <w:sz w:val="12"/>
                <w:szCs w:val="12"/>
              </w:rPr>
            </w:pPr>
            <w:r>
              <w:rPr>
                <w:sz w:val="12"/>
                <w:szCs w:val="12"/>
              </w:rPr>
              <w:t>0,0</w:t>
            </w:r>
          </w:p>
        </w:tc>
        <w:tc>
          <w:tcPr>
            <w:tcW w:w="175" w:type="pct"/>
            <w:tcBorders>
              <w:top w:val="single" w:sz="4" w:space="0" w:color="auto"/>
              <w:left w:val="single" w:sz="4" w:space="0" w:color="auto"/>
              <w:bottom w:val="single" w:sz="4" w:space="0" w:color="auto"/>
              <w:right w:val="single" w:sz="4" w:space="0" w:color="auto"/>
            </w:tcBorders>
            <w:vAlign w:val="center"/>
            <w:hideMark/>
          </w:tcPr>
          <w:p w14:paraId="2A823457" w14:textId="77777777" w:rsidR="002F590A" w:rsidRDefault="002F590A">
            <w:pPr>
              <w:jc w:val="center"/>
              <w:rPr>
                <w:sz w:val="12"/>
                <w:szCs w:val="12"/>
              </w:rPr>
            </w:pPr>
            <w:r>
              <w:rPr>
                <w:sz w:val="12"/>
                <w:szCs w:val="12"/>
              </w:rPr>
              <w:t>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601EC62B" w14:textId="77777777" w:rsidR="002F590A" w:rsidRDefault="002F590A">
            <w:pPr>
              <w:jc w:val="center"/>
              <w:rPr>
                <w:sz w:val="12"/>
                <w:szCs w:val="12"/>
              </w:rPr>
            </w:pPr>
            <w:r>
              <w:rPr>
                <w:sz w:val="12"/>
                <w:szCs w:val="12"/>
              </w:rPr>
              <w:t>0,0</w:t>
            </w:r>
          </w:p>
        </w:tc>
        <w:tc>
          <w:tcPr>
            <w:tcW w:w="172" w:type="pct"/>
            <w:tcBorders>
              <w:top w:val="single" w:sz="4" w:space="0" w:color="auto"/>
              <w:left w:val="single" w:sz="4" w:space="0" w:color="auto"/>
              <w:bottom w:val="single" w:sz="4" w:space="0" w:color="auto"/>
              <w:right w:val="single" w:sz="4" w:space="0" w:color="auto"/>
            </w:tcBorders>
            <w:vAlign w:val="center"/>
            <w:hideMark/>
          </w:tcPr>
          <w:p w14:paraId="17A5544A" w14:textId="77777777" w:rsidR="002F590A" w:rsidRDefault="002F590A">
            <w:pPr>
              <w:jc w:val="center"/>
              <w:rPr>
                <w:sz w:val="12"/>
                <w:szCs w:val="12"/>
              </w:rPr>
            </w:pPr>
            <w:r>
              <w:rPr>
                <w:sz w:val="12"/>
                <w:szCs w:val="12"/>
              </w:rPr>
              <w:t>0,0</w:t>
            </w:r>
          </w:p>
        </w:tc>
      </w:tr>
      <w:tr w:rsidR="002F590A" w14:paraId="6245B37E" w14:textId="77777777" w:rsidTr="002F590A">
        <w:trPr>
          <w:trHeight w:val="122"/>
        </w:trPr>
        <w:tc>
          <w:tcPr>
            <w:tcW w:w="5000" w:type="pct"/>
            <w:gridSpan w:val="24"/>
            <w:tcBorders>
              <w:top w:val="single" w:sz="4" w:space="0" w:color="auto"/>
              <w:left w:val="single" w:sz="4" w:space="0" w:color="auto"/>
              <w:bottom w:val="single" w:sz="4" w:space="0" w:color="auto"/>
              <w:right w:val="single" w:sz="4" w:space="0" w:color="auto"/>
            </w:tcBorders>
            <w:hideMark/>
          </w:tcPr>
          <w:p w14:paraId="457CDD61" w14:textId="77777777" w:rsidR="002F590A" w:rsidRDefault="002F590A">
            <w:pPr>
              <w:rPr>
                <w:bCs/>
                <w:sz w:val="13"/>
                <w:szCs w:val="13"/>
              </w:rPr>
            </w:pPr>
            <w:r>
              <w:rPr>
                <w:bCs/>
                <w:sz w:val="13"/>
                <w:szCs w:val="13"/>
              </w:rPr>
              <w:t>Группа 5. Вывод из эксплуатации, консервация и демонтаж объектов системы централизованного теплоснабжения</w:t>
            </w:r>
          </w:p>
        </w:tc>
      </w:tr>
      <w:tr w:rsidR="002F590A" w14:paraId="5ABA5FC0" w14:textId="77777777" w:rsidTr="002F590A">
        <w:trPr>
          <w:trHeight w:val="96"/>
        </w:trPr>
        <w:tc>
          <w:tcPr>
            <w:tcW w:w="5000" w:type="pct"/>
            <w:gridSpan w:val="24"/>
            <w:tcBorders>
              <w:top w:val="single" w:sz="4" w:space="0" w:color="auto"/>
              <w:left w:val="single" w:sz="4" w:space="0" w:color="auto"/>
              <w:bottom w:val="single" w:sz="4" w:space="0" w:color="auto"/>
              <w:right w:val="single" w:sz="4" w:space="0" w:color="auto"/>
            </w:tcBorders>
            <w:hideMark/>
          </w:tcPr>
          <w:p w14:paraId="2703E023" w14:textId="77777777" w:rsidR="002F590A" w:rsidRDefault="002F590A">
            <w:pPr>
              <w:rPr>
                <w:bCs/>
                <w:sz w:val="13"/>
                <w:szCs w:val="13"/>
              </w:rPr>
            </w:pPr>
            <w:r>
              <w:rPr>
                <w:bCs/>
                <w:sz w:val="13"/>
                <w:szCs w:val="13"/>
              </w:rPr>
              <w:t>5.1. Вывод из эксплуатации, консервация и демонтаж тепловых сетей</w:t>
            </w:r>
          </w:p>
        </w:tc>
      </w:tr>
      <w:tr w:rsidR="002F590A" w14:paraId="6025208E" w14:textId="77777777" w:rsidTr="002F590A">
        <w:trPr>
          <w:trHeight w:val="60"/>
        </w:trPr>
        <w:tc>
          <w:tcPr>
            <w:tcW w:w="5000" w:type="pct"/>
            <w:gridSpan w:val="24"/>
            <w:tcBorders>
              <w:top w:val="single" w:sz="4" w:space="0" w:color="auto"/>
              <w:left w:val="single" w:sz="4" w:space="0" w:color="auto"/>
              <w:bottom w:val="single" w:sz="4" w:space="0" w:color="auto"/>
              <w:right w:val="single" w:sz="4" w:space="0" w:color="auto"/>
            </w:tcBorders>
            <w:hideMark/>
          </w:tcPr>
          <w:p w14:paraId="3AF83C11" w14:textId="77777777" w:rsidR="002F590A" w:rsidRDefault="002F590A">
            <w:pPr>
              <w:rPr>
                <w:bCs/>
                <w:sz w:val="13"/>
                <w:szCs w:val="13"/>
              </w:rPr>
            </w:pPr>
            <w:r>
              <w:rPr>
                <w:bCs/>
                <w:sz w:val="13"/>
                <w:szCs w:val="13"/>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2F590A" w14:paraId="14916D76" w14:textId="77777777" w:rsidTr="002F590A">
        <w:trPr>
          <w:trHeight w:val="47"/>
        </w:trPr>
        <w:tc>
          <w:tcPr>
            <w:tcW w:w="2440" w:type="pct"/>
            <w:gridSpan w:val="10"/>
            <w:tcBorders>
              <w:top w:val="single" w:sz="4" w:space="0" w:color="auto"/>
              <w:left w:val="single" w:sz="4" w:space="0" w:color="auto"/>
              <w:bottom w:val="single" w:sz="4" w:space="0" w:color="auto"/>
              <w:right w:val="single" w:sz="4" w:space="0" w:color="auto"/>
            </w:tcBorders>
            <w:vAlign w:val="center"/>
            <w:hideMark/>
          </w:tcPr>
          <w:p w14:paraId="0B5ED343" w14:textId="77777777" w:rsidR="002F590A" w:rsidRDefault="002F590A">
            <w:pPr>
              <w:rPr>
                <w:sz w:val="13"/>
                <w:szCs w:val="13"/>
              </w:rPr>
            </w:pPr>
            <w:r>
              <w:rPr>
                <w:sz w:val="13"/>
                <w:szCs w:val="13"/>
              </w:rPr>
              <w:t>Всего по группе 5.</w:t>
            </w:r>
          </w:p>
        </w:tc>
        <w:tc>
          <w:tcPr>
            <w:tcW w:w="216" w:type="pct"/>
            <w:tcBorders>
              <w:top w:val="single" w:sz="4" w:space="0" w:color="auto"/>
              <w:left w:val="single" w:sz="4" w:space="0" w:color="auto"/>
              <w:bottom w:val="single" w:sz="4" w:space="0" w:color="auto"/>
              <w:right w:val="single" w:sz="4" w:space="0" w:color="auto"/>
            </w:tcBorders>
            <w:vAlign w:val="center"/>
            <w:hideMark/>
          </w:tcPr>
          <w:p w14:paraId="4FDB657D" w14:textId="77777777" w:rsidR="002F590A" w:rsidRDefault="002F590A">
            <w:pPr>
              <w:jc w:val="center"/>
              <w:rPr>
                <w:sz w:val="12"/>
                <w:szCs w:val="12"/>
              </w:rPr>
            </w:pPr>
            <w:r>
              <w:rPr>
                <w:sz w:val="12"/>
                <w:szCs w:val="12"/>
              </w:rPr>
              <w:t>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2ED1566F" w14:textId="77777777" w:rsidR="002F590A" w:rsidRDefault="002F590A">
            <w:pPr>
              <w:jc w:val="center"/>
              <w:rPr>
                <w:sz w:val="12"/>
                <w:szCs w:val="12"/>
              </w:rPr>
            </w:pPr>
            <w:r>
              <w:rPr>
                <w:sz w:val="12"/>
                <w:szCs w:val="12"/>
              </w:rPr>
              <w:t>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2FEDBAFD" w14:textId="77777777" w:rsidR="002F590A" w:rsidRDefault="002F590A">
            <w:pPr>
              <w:jc w:val="center"/>
              <w:rPr>
                <w:sz w:val="12"/>
                <w:szCs w:val="12"/>
              </w:rPr>
            </w:pPr>
            <w:r>
              <w:rPr>
                <w:sz w:val="12"/>
                <w:szCs w:val="12"/>
              </w:rPr>
              <w:t>0,0</w:t>
            </w:r>
          </w:p>
        </w:tc>
        <w:tc>
          <w:tcPr>
            <w:tcW w:w="172" w:type="pct"/>
            <w:tcBorders>
              <w:top w:val="single" w:sz="4" w:space="0" w:color="auto"/>
              <w:left w:val="single" w:sz="4" w:space="0" w:color="auto"/>
              <w:bottom w:val="single" w:sz="4" w:space="0" w:color="auto"/>
              <w:right w:val="single" w:sz="4" w:space="0" w:color="auto"/>
            </w:tcBorders>
            <w:vAlign w:val="center"/>
            <w:hideMark/>
          </w:tcPr>
          <w:p w14:paraId="4E2B4D82" w14:textId="77777777" w:rsidR="002F590A" w:rsidRDefault="002F590A">
            <w:pPr>
              <w:jc w:val="center"/>
              <w:rPr>
                <w:sz w:val="12"/>
                <w:szCs w:val="12"/>
              </w:rPr>
            </w:pPr>
            <w:r>
              <w:rPr>
                <w:sz w:val="12"/>
                <w:szCs w:val="12"/>
              </w:rPr>
              <w:t>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6E4946A5" w14:textId="77777777" w:rsidR="002F590A" w:rsidRDefault="002F590A">
            <w:pPr>
              <w:jc w:val="center"/>
              <w:rPr>
                <w:sz w:val="12"/>
                <w:szCs w:val="12"/>
              </w:rPr>
            </w:pPr>
            <w:r>
              <w:rPr>
                <w:sz w:val="12"/>
                <w:szCs w:val="12"/>
              </w:rPr>
              <w:t>0,0</w:t>
            </w:r>
          </w:p>
        </w:tc>
        <w:tc>
          <w:tcPr>
            <w:tcW w:w="216" w:type="pct"/>
            <w:tcBorders>
              <w:top w:val="single" w:sz="4" w:space="0" w:color="auto"/>
              <w:left w:val="single" w:sz="4" w:space="0" w:color="auto"/>
              <w:bottom w:val="single" w:sz="4" w:space="0" w:color="auto"/>
              <w:right w:val="single" w:sz="4" w:space="0" w:color="auto"/>
            </w:tcBorders>
            <w:vAlign w:val="center"/>
            <w:hideMark/>
          </w:tcPr>
          <w:p w14:paraId="0C2820A8" w14:textId="77777777" w:rsidR="002F590A" w:rsidRDefault="002F590A">
            <w:pPr>
              <w:jc w:val="center"/>
              <w:rPr>
                <w:sz w:val="12"/>
                <w:szCs w:val="12"/>
              </w:rPr>
            </w:pPr>
            <w:r>
              <w:rPr>
                <w:sz w:val="12"/>
                <w:szCs w:val="12"/>
              </w:rPr>
              <w:t>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7A79721E" w14:textId="77777777" w:rsidR="002F590A" w:rsidRDefault="002F590A">
            <w:pPr>
              <w:jc w:val="center"/>
              <w:rPr>
                <w:sz w:val="12"/>
                <w:szCs w:val="12"/>
              </w:rPr>
            </w:pPr>
            <w:r>
              <w:rPr>
                <w:sz w:val="12"/>
                <w:szCs w:val="12"/>
              </w:rPr>
              <w:t>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201BE5BB" w14:textId="77777777" w:rsidR="002F590A" w:rsidRDefault="002F590A">
            <w:pPr>
              <w:jc w:val="center"/>
              <w:rPr>
                <w:sz w:val="12"/>
                <w:szCs w:val="12"/>
              </w:rPr>
            </w:pPr>
            <w:r>
              <w:rPr>
                <w:sz w:val="12"/>
                <w:szCs w:val="12"/>
              </w:rPr>
              <w:t>0,0</w:t>
            </w:r>
          </w:p>
        </w:tc>
        <w:tc>
          <w:tcPr>
            <w:tcW w:w="218" w:type="pct"/>
            <w:tcBorders>
              <w:top w:val="single" w:sz="4" w:space="0" w:color="auto"/>
              <w:left w:val="single" w:sz="4" w:space="0" w:color="auto"/>
              <w:bottom w:val="single" w:sz="4" w:space="0" w:color="auto"/>
              <w:right w:val="single" w:sz="4" w:space="0" w:color="auto"/>
            </w:tcBorders>
            <w:vAlign w:val="center"/>
            <w:hideMark/>
          </w:tcPr>
          <w:p w14:paraId="69490216" w14:textId="77777777" w:rsidR="002F590A" w:rsidRDefault="002F590A">
            <w:pPr>
              <w:jc w:val="center"/>
              <w:rPr>
                <w:sz w:val="12"/>
                <w:szCs w:val="12"/>
              </w:rPr>
            </w:pPr>
            <w:r>
              <w:rPr>
                <w:sz w:val="12"/>
                <w:szCs w:val="12"/>
              </w:rPr>
              <w:t>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30E1E6F3" w14:textId="77777777" w:rsidR="002F590A" w:rsidRDefault="002F590A">
            <w:pPr>
              <w:jc w:val="center"/>
              <w:rPr>
                <w:sz w:val="12"/>
                <w:szCs w:val="12"/>
              </w:rPr>
            </w:pPr>
            <w:r>
              <w:rPr>
                <w:sz w:val="12"/>
                <w:szCs w:val="12"/>
              </w:rPr>
              <w:t>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6565D3C3" w14:textId="77777777" w:rsidR="002F590A" w:rsidRDefault="002F590A">
            <w:pPr>
              <w:jc w:val="center"/>
              <w:rPr>
                <w:sz w:val="12"/>
                <w:szCs w:val="12"/>
              </w:rPr>
            </w:pPr>
            <w:r>
              <w:rPr>
                <w:sz w:val="12"/>
                <w:szCs w:val="12"/>
              </w:rPr>
              <w:t>0,0</w:t>
            </w:r>
          </w:p>
        </w:tc>
        <w:tc>
          <w:tcPr>
            <w:tcW w:w="175" w:type="pct"/>
            <w:tcBorders>
              <w:top w:val="single" w:sz="4" w:space="0" w:color="auto"/>
              <w:left w:val="single" w:sz="4" w:space="0" w:color="auto"/>
              <w:bottom w:val="single" w:sz="4" w:space="0" w:color="auto"/>
              <w:right w:val="single" w:sz="4" w:space="0" w:color="auto"/>
            </w:tcBorders>
            <w:vAlign w:val="center"/>
            <w:hideMark/>
          </w:tcPr>
          <w:p w14:paraId="0E79D7BA" w14:textId="77777777" w:rsidR="002F590A" w:rsidRDefault="002F590A">
            <w:pPr>
              <w:jc w:val="center"/>
              <w:rPr>
                <w:sz w:val="12"/>
                <w:szCs w:val="12"/>
              </w:rPr>
            </w:pPr>
            <w:r>
              <w:rPr>
                <w:sz w:val="12"/>
                <w:szCs w:val="12"/>
              </w:rPr>
              <w:t>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7355C605" w14:textId="77777777" w:rsidR="002F590A" w:rsidRDefault="002F590A">
            <w:pPr>
              <w:jc w:val="center"/>
              <w:rPr>
                <w:sz w:val="12"/>
                <w:szCs w:val="12"/>
              </w:rPr>
            </w:pPr>
            <w:r>
              <w:rPr>
                <w:sz w:val="12"/>
                <w:szCs w:val="12"/>
              </w:rPr>
              <w:t>0,0</w:t>
            </w:r>
          </w:p>
        </w:tc>
        <w:tc>
          <w:tcPr>
            <w:tcW w:w="172" w:type="pct"/>
            <w:tcBorders>
              <w:top w:val="single" w:sz="4" w:space="0" w:color="auto"/>
              <w:left w:val="single" w:sz="4" w:space="0" w:color="auto"/>
              <w:bottom w:val="single" w:sz="4" w:space="0" w:color="auto"/>
              <w:right w:val="single" w:sz="4" w:space="0" w:color="auto"/>
            </w:tcBorders>
            <w:vAlign w:val="center"/>
            <w:hideMark/>
          </w:tcPr>
          <w:p w14:paraId="3C9AAAA6" w14:textId="77777777" w:rsidR="002F590A" w:rsidRDefault="002F590A">
            <w:pPr>
              <w:jc w:val="center"/>
              <w:rPr>
                <w:sz w:val="12"/>
                <w:szCs w:val="12"/>
              </w:rPr>
            </w:pPr>
            <w:r>
              <w:rPr>
                <w:sz w:val="12"/>
                <w:szCs w:val="12"/>
              </w:rPr>
              <w:t>0,0</w:t>
            </w:r>
          </w:p>
        </w:tc>
      </w:tr>
      <w:tr w:rsidR="002F590A" w14:paraId="6828763D" w14:textId="77777777" w:rsidTr="002F590A">
        <w:trPr>
          <w:trHeight w:val="47"/>
        </w:trPr>
        <w:tc>
          <w:tcPr>
            <w:tcW w:w="2440" w:type="pct"/>
            <w:gridSpan w:val="10"/>
            <w:tcBorders>
              <w:top w:val="single" w:sz="4" w:space="0" w:color="auto"/>
              <w:left w:val="single" w:sz="4" w:space="0" w:color="auto"/>
              <w:bottom w:val="single" w:sz="4" w:space="0" w:color="auto"/>
              <w:right w:val="single" w:sz="4" w:space="0" w:color="auto"/>
            </w:tcBorders>
            <w:vAlign w:val="center"/>
            <w:hideMark/>
          </w:tcPr>
          <w:p w14:paraId="2A210276" w14:textId="77777777" w:rsidR="002F590A" w:rsidRDefault="002F590A">
            <w:pPr>
              <w:rPr>
                <w:sz w:val="13"/>
                <w:szCs w:val="13"/>
              </w:rPr>
            </w:pPr>
            <w:r>
              <w:rPr>
                <w:sz w:val="13"/>
                <w:szCs w:val="13"/>
              </w:rPr>
              <w:t>ИТОГО по программе</w:t>
            </w:r>
          </w:p>
        </w:tc>
        <w:tc>
          <w:tcPr>
            <w:tcW w:w="216" w:type="pct"/>
            <w:tcBorders>
              <w:top w:val="single" w:sz="4" w:space="0" w:color="auto"/>
              <w:left w:val="single" w:sz="4" w:space="0" w:color="auto"/>
              <w:bottom w:val="single" w:sz="4" w:space="0" w:color="auto"/>
              <w:right w:val="single" w:sz="4" w:space="0" w:color="auto"/>
            </w:tcBorders>
            <w:hideMark/>
          </w:tcPr>
          <w:p w14:paraId="4F68445B" w14:textId="77777777" w:rsidR="002F590A" w:rsidRDefault="002F590A">
            <w:pPr>
              <w:jc w:val="center"/>
              <w:rPr>
                <w:sz w:val="12"/>
                <w:szCs w:val="12"/>
              </w:rPr>
            </w:pPr>
            <w:r>
              <w:rPr>
                <w:sz w:val="12"/>
                <w:szCs w:val="12"/>
              </w:rPr>
              <w:t>43 859,65</w:t>
            </w:r>
          </w:p>
        </w:tc>
        <w:tc>
          <w:tcPr>
            <w:tcW w:w="174" w:type="pct"/>
            <w:tcBorders>
              <w:top w:val="single" w:sz="4" w:space="0" w:color="auto"/>
              <w:left w:val="single" w:sz="4" w:space="0" w:color="auto"/>
              <w:bottom w:val="single" w:sz="4" w:space="0" w:color="auto"/>
              <w:right w:val="single" w:sz="4" w:space="0" w:color="auto"/>
            </w:tcBorders>
            <w:hideMark/>
          </w:tcPr>
          <w:p w14:paraId="6E132894"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hideMark/>
          </w:tcPr>
          <w:p w14:paraId="7008A794" w14:textId="77777777" w:rsidR="002F590A" w:rsidRDefault="002F590A">
            <w:pPr>
              <w:jc w:val="center"/>
              <w:rPr>
                <w:sz w:val="12"/>
                <w:szCs w:val="12"/>
              </w:rPr>
            </w:pPr>
            <w:r>
              <w:rPr>
                <w:sz w:val="12"/>
                <w:szCs w:val="12"/>
              </w:rPr>
              <w:t>4 206,63</w:t>
            </w:r>
          </w:p>
        </w:tc>
        <w:tc>
          <w:tcPr>
            <w:tcW w:w="172" w:type="pct"/>
            <w:tcBorders>
              <w:top w:val="single" w:sz="4" w:space="0" w:color="auto"/>
              <w:left w:val="single" w:sz="4" w:space="0" w:color="auto"/>
              <w:bottom w:val="single" w:sz="4" w:space="0" w:color="auto"/>
              <w:right w:val="single" w:sz="4" w:space="0" w:color="auto"/>
            </w:tcBorders>
            <w:hideMark/>
          </w:tcPr>
          <w:p w14:paraId="1711D5AD" w14:textId="77777777" w:rsidR="002F590A" w:rsidRDefault="002F590A">
            <w:pPr>
              <w:jc w:val="center"/>
              <w:rPr>
                <w:sz w:val="12"/>
                <w:szCs w:val="12"/>
              </w:rPr>
            </w:pPr>
            <w:r>
              <w:rPr>
                <w:sz w:val="12"/>
                <w:szCs w:val="12"/>
              </w:rPr>
              <w:t>11 398,73</w:t>
            </w:r>
          </w:p>
        </w:tc>
        <w:tc>
          <w:tcPr>
            <w:tcW w:w="174" w:type="pct"/>
            <w:tcBorders>
              <w:top w:val="single" w:sz="4" w:space="0" w:color="auto"/>
              <w:left w:val="single" w:sz="4" w:space="0" w:color="auto"/>
              <w:bottom w:val="single" w:sz="4" w:space="0" w:color="auto"/>
              <w:right w:val="single" w:sz="4" w:space="0" w:color="auto"/>
            </w:tcBorders>
            <w:hideMark/>
          </w:tcPr>
          <w:p w14:paraId="223EF988" w14:textId="77777777" w:rsidR="002F590A" w:rsidRDefault="002F590A">
            <w:pPr>
              <w:jc w:val="center"/>
              <w:rPr>
                <w:sz w:val="12"/>
                <w:szCs w:val="12"/>
              </w:rPr>
            </w:pPr>
            <w:r>
              <w:rPr>
                <w:sz w:val="12"/>
                <w:szCs w:val="12"/>
              </w:rPr>
              <w:t>8 324,42</w:t>
            </w:r>
          </w:p>
        </w:tc>
        <w:tc>
          <w:tcPr>
            <w:tcW w:w="216" w:type="pct"/>
            <w:tcBorders>
              <w:top w:val="single" w:sz="4" w:space="0" w:color="auto"/>
              <w:left w:val="single" w:sz="4" w:space="0" w:color="auto"/>
              <w:bottom w:val="single" w:sz="4" w:space="0" w:color="auto"/>
              <w:right w:val="single" w:sz="4" w:space="0" w:color="auto"/>
            </w:tcBorders>
            <w:hideMark/>
          </w:tcPr>
          <w:p w14:paraId="64F7AC46" w14:textId="77777777" w:rsidR="002F590A" w:rsidRDefault="002F590A">
            <w:pPr>
              <w:jc w:val="center"/>
              <w:rPr>
                <w:sz w:val="12"/>
                <w:szCs w:val="12"/>
              </w:rPr>
            </w:pPr>
            <w:r>
              <w:rPr>
                <w:sz w:val="12"/>
                <w:szCs w:val="12"/>
              </w:rPr>
              <w:t>3 848,06</w:t>
            </w:r>
          </w:p>
        </w:tc>
        <w:tc>
          <w:tcPr>
            <w:tcW w:w="174" w:type="pct"/>
            <w:tcBorders>
              <w:top w:val="single" w:sz="4" w:space="0" w:color="auto"/>
              <w:left w:val="single" w:sz="4" w:space="0" w:color="auto"/>
              <w:bottom w:val="single" w:sz="4" w:space="0" w:color="auto"/>
              <w:right w:val="single" w:sz="4" w:space="0" w:color="auto"/>
            </w:tcBorders>
            <w:hideMark/>
          </w:tcPr>
          <w:p w14:paraId="0C98D96B" w14:textId="77777777" w:rsidR="002F590A" w:rsidRDefault="002F590A">
            <w:pPr>
              <w:jc w:val="center"/>
              <w:rPr>
                <w:sz w:val="12"/>
                <w:szCs w:val="12"/>
              </w:rPr>
            </w:pPr>
            <w:r>
              <w:rPr>
                <w:sz w:val="12"/>
                <w:szCs w:val="12"/>
              </w:rPr>
              <w:t>3 948,03</w:t>
            </w:r>
          </w:p>
        </w:tc>
        <w:tc>
          <w:tcPr>
            <w:tcW w:w="174" w:type="pct"/>
            <w:tcBorders>
              <w:top w:val="single" w:sz="4" w:space="0" w:color="auto"/>
              <w:left w:val="single" w:sz="4" w:space="0" w:color="auto"/>
              <w:bottom w:val="single" w:sz="4" w:space="0" w:color="auto"/>
              <w:right w:val="single" w:sz="4" w:space="0" w:color="auto"/>
            </w:tcBorders>
            <w:hideMark/>
          </w:tcPr>
          <w:p w14:paraId="5ED98522" w14:textId="77777777" w:rsidR="002F590A" w:rsidRDefault="002F590A">
            <w:pPr>
              <w:jc w:val="center"/>
              <w:rPr>
                <w:sz w:val="12"/>
                <w:szCs w:val="12"/>
              </w:rPr>
            </w:pPr>
            <w:r>
              <w:rPr>
                <w:sz w:val="12"/>
                <w:szCs w:val="12"/>
              </w:rPr>
              <w:t>5 048,46</w:t>
            </w:r>
          </w:p>
        </w:tc>
        <w:tc>
          <w:tcPr>
            <w:tcW w:w="218" w:type="pct"/>
            <w:tcBorders>
              <w:top w:val="single" w:sz="4" w:space="0" w:color="auto"/>
              <w:left w:val="single" w:sz="4" w:space="0" w:color="auto"/>
              <w:bottom w:val="single" w:sz="4" w:space="0" w:color="auto"/>
              <w:right w:val="single" w:sz="4" w:space="0" w:color="auto"/>
            </w:tcBorders>
            <w:hideMark/>
          </w:tcPr>
          <w:p w14:paraId="59D54A15" w14:textId="77777777" w:rsidR="002F590A" w:rsidRDefault="002F590A">
            <w:pPr>
              <w:jc w:val="center"/>
              <w:rPr>
                <w:sz w:val="12"/>
                <w:szCs w:val="12"/>
              </w:rPr>
            </w:pPr>
            <w:r>
              <w:rPr>
                <w:sz w:val="12"/>
                <w:szCs w:val="12"/>
              </w:rPr>
              <w:t>2 870,77</w:t>
            </w:r>
          </w:p>
        </w:tc>
        <w:tc>
          <w:tcPr>
            <w:tcW w:w="174" w:type="pct"/>
            <w:tcBorders>
              <w:top w:val="single" w:sz="4" w:space="0" w:color="auto"/>
              <w:left w:val="single" w:sz="4" w:space="0" w:color="auto"/>
              <w:bottom w:val="single" w:sz="4" w:space="0" w:color="auto"/>
              <w:right w:val="single" w:sz="4" w:space="0" w:color="auto"/>
            </w:tcBorders>
            <w:hideMark/>
          </w:tcPr>
          <w:p w14:paraId="6687F493" w14:textId="77777777" w:rsidR="002F590A" w:rsidRDefault="002F590A">
            <w:pPr>
              <w:jc w:val="center"/>
              <w:rPr>
                <w:sz w:val="12"/>
                <w:szCs w:val="12"/>
              </w:rPr>
            </w:pPr>
            <w:r>
              <w:rPr>
                <w:sz w:val="12"/>
                <w:szCs w:val="12"/>
              </w:rPr>
              <w:t>705,95</w:t>
            </w:r>
          </w:p>
        </w:tc>
        <w:tc>
          <w:tcPr>
            <w:tcW w:w="174" w:type="pct"/>
            <w:tcBorders>
              <w:top w:val="single" w:sz="4" w:space="0" w:color="auto"/>
              <w:left w:val="single" w:sz="4" w:space="0" w:color="auto"/>
              <w:bottom w:val="single" w:sz="4" w:space="0" w:color="auto"/>
              <w:right w:val="single" w:sz="4" w:space="0" w:color="auto"/>
            </w:tcBorders>
            <w:hideMark/>
          </w:tcPr>
          <w:p w14:paraId="08BE894B" w14:textId="77777777" w:rsidR="002F590A" w:rsidRDefault="002F590A">
            <w:pPr>
              <w:jc w:val="center"/>
              <w:rPr>
                <w:sz w:val="12"/>
                <w:szCs w:val="12"/>
              </w:rPr>
            </w:pPr>
            <w:r>
              <w:rPr>
                <w:sz w:val="12"/>
                <w:szCs w:val="12"/>
              </w:rPr>
              <w:t>2 873,92</w:t>
            </w:r>
          </w:p>
        </w:tc>
        <w:tc>
          <w:tcPr>
            <w:tcW w:w="175" w:type="pct"/>
            <w:tcBorders>
              <w:top w:val="single" w:sz="4" w:space="0" w:color="auto"/>
              <w:left w:val="single" w:sz="4" w:space="0" w:color="auto"/>
              <w:bottom w:val="single" w:sz="4" w:space="0" w:color="auto"/>
              <w:right w:val="single" w:sz="4" w:space="0" w:color="auto"/>
            </w:tcBorders>
            <w:hideMark/>
          </w:tcPr>
          <w:p w14:paraId="10A5A637" w14:textId="77777777" w:rsidR="002F590A" w:rsidRDefault="002F590A">
            <w:pPr>
              <w:jc w:val="center"/>
              <w:rPr>
                <w:sz w:val="12"/>
                <w:szCs w:val="12"/>
              </w:rPr>
            </w:pPr>
            <w:r>
              <w:rPr>
                <w:sz w:val="12"/>
                <w:szCs w:val="12"/>
              </w:rPr>
              <w:t>634,68</w:t>
            </w:r>
          </w:p>
        </w:tc>
        <w:tc>
          <w:tcPr>
            <w:tcW w:w="173" w:type="pct"/>
            <w:tcBorders>
              <w:top w:val="single" w:sz="4" w:space="0" w:color="auto"/>
              <w:left w:val="single" w:sz="4" w:space="0" w:color="auto"/>
              <w:bottom w:val="single" w:sz="4" w:space="0" w:color="auto"/>
              <w:right w:val="single" w:sz="4" w:space="0" w:color="auto"/>
            </w:tcBorders>
            <w:hideMark/>
          </w:tcPr>
          <w:p w14:paraId="3DE646A6" w14:textId="77777777" w:rsidR="002F590A" w:rsidRDefault="002F590A">
            <w:pPr>
              <w:jc w:val="center"/>
              <w:rPr>
                <w:sz w:val="12"/>
                <w:szCs w:val="12"/>
              </w:rPr>
            </w:pPr>
            <w:r>
              <w:rPr>
                <w:sz w:val="12"/>
                <w:szCs w:val="12"/>
              </w:rPr>
              <w:t>0,00</w:t>
            </w:r>
          </w:p>
        </w:tc>
        <w:tc>
          <w:tcPr>
            <w:tcW w:w="172" w:type="pct"/>
            <w:tcBorders>
              <w:top w:val="single" w:sz="4" w:space="0" w:color="auto"/>
              <w:left w:val="single" w:sz="4" w:space="0" w:color="auto"/>
              <w:bottom w:val="single" w:sz="4" w:space="0" w:color="auto"/>
              <w:right w:val="single" w:sz="4" w:space="0" w:color="auto"/>
            </w:tcBorders>
            <w:hideMark/>
          </w:tcPr>
          <w:p w14:paraId="463130C3" w14:textId="77777777" w:rsidR="002F590A" w:rsidRDefault="002F590A">
            <w:pPr>
              <w:jc w:val="center"/>
              <w:rPr>
                <w:sz w:val="12"/>
                <w:szCs w:val="12"/>
              </w:rPr>
            </w:pPr>
            <w:r>
              <w:rPr>
                <w:sz w:val="12"/>
                <w:szCs w:val="12"/>
              </w:rPr>
              <w:t>0,00</w:t>
            </w:r>
          </w:p>
        </w:tc>
      </w:tr>
    </w:tbl>
    <w:p w14:paraId="734CF459" w14:textId="77777777" w:rsidR="002F590A" w:rsidRDefault="002F590A" w:rsidP="002F590A">
      <w:pPr>
        <w:rPr>
          <w:sz w:val="20"/>
          <w:szCs w:val="20"/>
        </w:rPr>
      </w:pPr>
    </w:p>
    <w:p w14:paraId="6A46F3A4" w14:textId="77777777" w:rsidR="002F590A" w:rsidRDefault="002F590A" w:rsidP="002F590A">
      <w:pPr>
        <w:rPr>
          <w:sz w:val="20"/>
          <w:szCs w:val="20"/>
        </w:rPr>
      </w:pPr>
    </w:p>
    <w:p w14:paraId="3EFDB76A" w14:textId="77777777" w:rsidR="002F590A" w:rsidRDefault="002F590A" w:rsidP="002F590A">
      <w:pPr>
        <w:rPr>
          <w:sz w:val="20"/>
          <w:szCs w:val="20"/>
        </w:rPr>
      </w:pPr>
    </w:p>
    <w:p w14:paraId="2672395F" w14:textId="77777777" w:rsidR="002F590A" w:rsidRDefault="002F590A" w:rsidP="002F590A">
      <w:pPr>
        <w:rPr>
          <w:color w:val="000000" w:themeColor="text1"/>
        </w:rPr>
        <w:sectPr w:rsidR="002F590A">
          <w:pgSz w:w="16838" w:h="11906" w:orient="landscape"/>
          <w:pgMar w:top="1701" w:right="1134" w:bottom="850" w:left="1134" w:header="708" w:footer="708" w:gutter="0"/>
          <w:cols w:space="720"/>
        </w:sectPr>
      </w:pPr>
    </w:p>
    <w:p w14:paraId="3E087807" w14:textId="2E0177DB" w:rsidR="00701695" w:rsidRPr="00081AD4" w:rsidRDefault="00701695" w:rsidP="00701695">
      <w:pPr>
        <w:tabs>
          <w:tab w:val="left" w:pos="3686"/>
          <w:tab w:val="left" w:pos="9498"/>
        </w:tabs>
        <w:ind w:left="-3734" w:right="-1" w:firstLine="8129"/>
        <w:rPr>
          <w:color w:val="000000" w:themeColor="text1"/>
        </w:rPr>
      </w:pPr>
      <w:r w:rsidRPr="00081AD4">
        <w:rPr>
          <w:color w:val="000000" w:themeColor="text1"/>
        </w:rPr>
        <w:t xml:space="preserve">Приложение № </w:t>
      </w:r>
      <w:r>
        <w:rPr>
          <w:color w:val="000000" w:themeColor="text1"/>
        </w:rPr>
        <w:t>20</w:t>
      </w:r>
      <w:r>
        <w:rPr>
          <w:color w:val="000000" w:themeColor="text1"/>
        </w:rPr>
        <w:t xml:space="preserve"> к протоколу</w:t>
      </w:r>
      <w:r w:rsidRPr="00081AD4">
        <w:rPr>
          <w:color w:val="000000" w:themeColor="text1"/>
        </w:rPr>
        <w:t xml:space="preserve"> № </w:t>
      </w:r>
      <w:r>
        <w:rPr>
          <w:color w:val="000000" w:themeColor="text1"/>
        </w:rPr>
        <w:t>88</w:t>
      </w:r>
    </w:p>
    <w:p w14:paraId="65F189D8" w14:textId="77777777" w:rsidR="00701695" w:rsidRPr="00081AD4" w:rsidRDefault="00701695" w:rsidP="00701695">
      <w:pPr>
        <w:tabs>
          <w:tab w:val="left" w:pos="3686"/>
          <w:tab w:val="left" w:pos="9498"/>
        </w:tabs>
        <w:ind w:left="-3734" w:right="-1" w:firstLine="8129"/>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7E42137C" w14:textId="77777777" w:rsidR="00701695" w:rsidRPr="00081AD4" w:rsidRDefault="00701695" w:rsidP="00701695">
      <w:pPr>
        <w:tabs>
          <w:tab w:val="left" w:pos="3686"/>
          <w:tab w:val="left" w:pos="9498"/>
        </w:tabs>
        <w:ind w:left="-3734" w:right="-1" w:firstLine="8129"/>
        <w:rPr>
          <w:color w:val="000000" w:themeColor="text1"/>
        </w:rPr>
      </w:pPr>
      <w:r w:rsidRPr="00081AD4">
        <w:rPr>
          <w:color w:val="000000" w:themeColor="text1"/>
        </w:rPr>
        <w:t>энергетической комиссии</w:t>
      </w:r>
    </w:p>
    <w:p w14:paraId="47F26B17" w14:textId="77777777" w:rsidR="00701695" w:rsidRDefault="00701695" w:rsidP="00701695">
      <w:pPr>
        <w:autoSpaceDE w:val="0"/>
        <w:autoSpaceDN w:val="0"/>
        <w:adjustRightInd w:val="0"/>
        <w:ind w:firstLine="4395"/>
        <w:rPr>
          <w:color w:val="000000" w:themeColor="text1"/>
        </w:rPr>
      </w:pPr>
      <w:r w:rsidRPr="00081AD4">
        <w:rPr>
          <w:color w:val="000000" w:themeColor="text1"/>
        </w:rPr>
        <w:t xml:space="preserve">Кузбасса от </w:t>
      </w:r>
      <w:r>
        <w:rPr>
          <w:color w:val="000000" w:themeColor="text1"/>
        </w:rPr>
        <w:t>23</w:t>
      </w:r>
      <w:r w:rsidRPr="00081AD4">
        <w:rPr>
          <w:color w:val="000000" w:themeColor="text1"/>
        </w:rPr>
        <w:t>.</w:t>
      </w:r>
      <w:r>
        <w:rPr>
          <w:color w:val="000000" w:themeColor="text1"/>
        </w:rPr>
        <w:t>12</w:t>
      </w:r>
      <w:r w:rsidRPr="00081AD4">
        <w:rPr>
          <w:color w:val="000000" w:themeColor="text1"/>
        </w:rPr>
        <w:t>.202</w:t>
      </w:r>
      <w:r>
        <w:rPr>
          <w:color w:val="000000" w:themeColor="text1"/>
        </w:rPr>
        <w:t>1</w:t>
      </w:r>
    </w:p>
    <w:p w14:paraId="3005B3F4" w14:textId="77777777" w:rsidR="002F590A" w:rsidRDefault="002F590A" w:rsidP="002F590A">
      <w:pPr>
        <w:tabs>
          <w:tab w:val="left" w:pos="5580"/>
          <w:tab w:val="left" w:pos="9498"/>
        </w:tabs>
        <w:ind w:left="-2347" w:right="-569" w:firstLine="6883"/>
        <w:rPr>
          <w:color w:val="000000" w:themeColor="text1"/>
        </w:rPr>
      </w:pPr>
    </w:p>
    <w:p w14:paraId="65D55C46" w14:textId="77777777" w:rsidR="002F590A" w:rsidRDefault="002F590A" w:rsidP="002F590A">
      <w:pPr>
        <w:autoSpaceDE w:val="0"/>
        <w:autoSpaceDN w:val="0"/>
        <w:adjustRightInd w:val="0"/>
        <w:jc w:val="center"/>
        <w:rPr>
          <w:b/>
          <w:color w:val="000000"/>
          <w:sz w:val="28"/>
          <w:szCs w:val="28"/>
        </w:rPr>
      </w:pPr>
      <w:r>
        <w:rPr>
          <w:b/>
          <w:color w:val="000000"/>
          <w:sz w:val="28"/>
          <w:szCs w:val="28"/>
        </w:rPr>
        <w:t xml:space="preserve">Паспорт инвестиционной программы в сфере теплоснабжения </w:t>
      </w:r>
      <w:r>
        <w:rPr>
          <w:b/>
          <w:color w:val="000000"/>
          <w:sz w:val="28"/>
          <w:szCs w:val="28"/>
        </w:rPr>
        <w:br/>
      </w:r>
      <w:r>
        <w:rPr>
          <w:b/>
          <w:sz w:val="28"/>
          <w:szCs w:val="28"/>
        </w:rPr>
        <w:t xml:space="preserve">ООО «Новосибирская теплосетевая компания» </w:t>
      </w:r>
      <w:r>
        <w:rPr>
          <w:b/>
          <w:sz w:val="28"/>
          <w:szCs w:val="28"/>
        </w:rPr>
        <w:br/>
        <w:t xml:space="preserve">на потребительском рынке Кемеровского городского округа, Кемеровского муниципального округа, </w:t>
      </w:r>
      <w:r>
        <w:rPr>
          <w:b/>
          <w:sz w:val="28"/>
          <w:szCs w:val="28"/>
        </w:rPr>
        <w:br/>
        <w:t xml:space="preserve">Топкинского муниципального округа </w:t>
      </w:r>
      <w:r>
        <w:rPr>
          <w:b/>
          <w:sz w:val="28"/>
          <w:szCs w:val="28"/>
        </w:rPr>
        <w:br/>
        <w:t>на 2022</w:t>
      </w:r>
      <w:r>
        <w:rPr>
          <w:b/>
          <w:color w:val="000000"/>
          <w:sz w:val="28"/>
          <w:szCs w:val="28"/>
        </w:rPr>
        <w:t xml:space="preserve"> - 2031 годы</w:t>
      </w:r>
    </w:p>
    <w:p w14:paraId="4541D1F4" w14:textId="77777777" w:rsidR="002F590A" w:rsidRDefault="002F590A" w:rsidP="002F590A">
      <w:pPr>
        <w:autoSpaceDE w:val="0"/>
        <w:autoSpaceDN w:val="0"/>
        <w:adjustRightInd w:val="0"/>
        <w:jc w:val="center"/>
        <w:rPr>
          <w:b/>
          <w:color w:val="000000"/>
          <w:sz w:val="28"/>
          <w:szCs w:val="28"/>
        </w:rPr>
      </w:pP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724"/>
        <w:gridCol w:w="4620"/>
      </w:tblGrid>
      <w:tr w:rsidR="002F590A" w14:paraId="45505BB1" w14:textId="77777777" w:rsidTr="002F590A">
        <w:trPr>
          <w:trHeight w:val="882"/>
        </w:trPr>
        <w:tc>
          <w:tcPr>
            <w:tcW w:w="25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9206665" w14:textId="77777777" w:rsidR="002F590A" w:rsidRDefault="002F590A" w:rsidP="002F590A">
            <w:pPr>
              <w:widowControl w:val="0"/>
              <w:numPr>
                <w:ilvl w:val="0"/>
                <w:numId w:val="29"/>
              </w:numPr>
              <w:spacing w:line="230" w:lineRule="exact"/>
              <w:ind w:left="0" w:firstLine="0"/>
              <w:jc w:val="center"/>
            </w:pPr>
            <w:r>
              <w:rPr>
                <w:color w:val="000000"/>
              </w:rPr>
              <w:t>Наименование организации, в отношении которой разрабатывается инвестиционная программа в сфере теплоснабжения</w:t>
            </w:r>
          </w:p>
        </w:tc>
        <w:tc>
          <w:tcPr>
            <w:tcW w:w="24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B04E19F" w14:textId="77777777" w:rsidR="002F590A" w:rsidRDefault="002F590A">
            <w:pPr>
              <w:jc w:val="center"/>
            </w:pPr>
            <w:r>
              <w:t>ООО «Новосибирская теплосетевая компания»</w:t>
            </w:r>
          </w:p>
        </w:tc>
      </w:tr>
      <w:tr w:rsidR="002F590A" w14:paraId="08A34843" w14:textId="77777777" w:rsidTr="002F590A">
        <w:trPr>
          <w:trHeight w:val="699"/>
        </w:trPr>
        <w:tc>
          <w:tcPr>
            <w:tcW w:w="25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6DA615B" w14:textId="77777777" w:rsidR="002F590A" w:rsidRDefault="002F590A" w:rsidP="002F590A">
            <w:pPr>
              <w:widowControl w:val="0"/>
              <w:numPr>
                <w:ilvl w:val="0"/>
                <w:numId w:val="29"/>
              </w:numPr>
              <w:spacing w:line="200" w:lineRule="exact"/>
              <w:ind w:left="0" w:firstLine="0"/>
              <w:jc w:val="center"/>
            </w:pPr>
            <w:r>
              <w:rPr>
                <w:color w:val="000000"/>
              </w:rPr>
              <w:t>Местонахождение регулируемой организации</w:t>
            </w:r>
          </w:p>
        </w:tc>
        <w:tc>
          <w:tcPr>
            <w:tcW w:w="2472" w:type="pct"/>
            <w:tcBorders>
              <w:top w:val="single" w:sz="4" w:space="0" w:color="auto"/>
              <w:left w:val="single" w:sz="4" w:space="0" w:color="auto"/>
              <w:bottom w:val="single" w:sz="4" w:space="0" w:color="auto"/>
              <w:right w:val="single" w:sz="4" w:space="0" w:color="auto"/>
            </w:tcBorders>
            <w:vAlign w:val="center"/>
            <w:hideMark/>
          </w:tcPr>
          <w:p w14:paraId="72D5A18B" w14:textId="77777777" w:rsidR="002F590A" w:rsidRDefault="002F590A">
            <w:pPr>
              <w:jc w:val="center"/>
            </w:pPr>
            <w:r>
              <w:t>630007, РФ, Новосибирская область, г. Новосибирск, ул. Серебренниковская, д. 4, офис 40</w:t>
            </w:r>
          </w:p>
        </w:tc>
      </w:tr>
      <w:tr w:rsidR="002F590A" w14:paraId="22719C71" w14:textId="77777777" w:rsidTr="002F590A">
        <w:trPr>
          <w:trHeight w:val="400"/>
        </w:trPr>
        <w:tc>
          <w:tcPr>
            <w:tcW w:w="25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B17E211" w14:textId="77777777" w:rsidR="002F590A" w:rsidRDefault="002F590A" w:rsidP="002F590A">
            <w:pPr>
              <w:widowControl w:val="0"/>
              <w:numPr>
                <w:ilvl w:val="0"/>
                <w:numId w:val="29"/>
              </w:numPr>
              <w:spacing w:line="200" w:lineRule="exact"/>
              <w:ind w:left="0" w:firstLine="0"/>
              <w:jc w:val="center"/>
            </w:pPr>
            <w:r>
              <w:rPr>
                <w:color w:val="000000"/>
              </w:rPr>
              <w:t>Сроки реализации инвестиционной программы</w:t>
            </w:r>
          </w:p>
        </w:tc>
        <w:tc>
          <w:tcPr>
            <w:tcW w:w="2472" w:type="pct"/>
            <w:tcBorders>
              <w:top w:val="single" w:sz="4" w:space="0" w:color="auto"/>
              <w:left w:val="single" w:sz="4" w:space="0" w:color="auto"/>
              <w:bottom w:val="single" w:sz="4" w:space="0" w:color="auto"/>
              <w:right w:val="single" w:sz="4" w:space="0" w:color="auto"/>
            </w:tcBorders>
            <w:vAlign w:val="center"/>
            <w:hideMark/>
          </w:tcPr>
          <w:p w14:paraId="5E489B10" w14:textId="77777777" w:rsidR="002F590A" w:rsidRDefault="002F590A">
            <w:pPr>
              <w:jc w:val="center"/>
            </w:pPr>
            <w:r>
              <w:t>2022 - 2031 г.г.</w:t>
            </w:r>
          </w:p>
        </w:tc>
      </w:tr>
      <w:tr w:rsidR="002F590A" w14:paraId="00562240" w14:textId="77777777" w:rsidTr="002F590A">
        <w:trPr>
          <w:trHeight w:val="110"/>
        </w:trPr>
        <w:tc>
          <w:tcPr>
            <w:tcW w:w="25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B8B568A" w14:textId="77777777" w:rsidR="002F590A" w:rsidRDefault="002F590A" w:rsidP="002F590A">
            <w:pPr>
              <w:widowControl w:val="0"/>
              <w:numPr>
                <w:ilvl w:val="0"/>
                <w:numId w:val="29"/>
              </w:numPr>
              <w:spacing w:line="234" w:lineRule="exact"/>
              <w:ind w:left="0" w:firstLine="0"/>
              <w:jc w:val="center"/>
            </w:pPr>
            <w:r>
              <w:rPr>
                <w:color w:val="000000"/>
              </w:rPr>
              <w:t>Лицо, ответственное за разработку инвестиционной программы</w:t>
            </w:r>
          </w:p>
        </w:tc>
        <w:tc>
          <w:tcPr>
            <w:tcW w:w="2472" w:type="pct"/>
            <w:tcBorders>
              <w:top w:val="single" w:sz="4" w:space="0" w:color="auto"/>
              <w:left w:val="single" w:sz="4" w:space="0" w:color="auto"/>
              <w:bottom w:val="single" w:sz="4" w:space="0" w:color="auto"/>
              <w:right w:val="single" w:sz="4" w:space="0" w:color="auto"/>
            </w:tcBorders>
            <w:vAlign w:val="center"/>
            <w:hideMark/>
          </w:tcPr>
          <w:p w14:paraId="2B83F4E1" w14:textId="77777777" w:rsidR="002F590A" w:rsidRDefault="002F590A">
            <w:pPr>
              <w:jc w:val="center"/>
            </w:pPr>
            <w:r>
              <w:t xml:space="preserve">Директор </w:t>
            </w:r>
            <w:bookmarkStart w:id="80" w:name="_Hlk90972897"/>
            <w:r>
              <w:t>ОП ООО "Новосибирская теплосетевая компания" в г. Кемерово</w:t>
            </w:r>
            <w:r>
              <w:br/>
              <w:t>С.А. Виллуд</w:t>
            </w:r>
            <w:bookmarkEnd w:id="80"/>
          </w:p>
        </w:tc>
      </w:tr>
      <w:tr w:rsidR="002F590A" w14:paraId="77CB218C" w14:textId="77777777" w:rsidTr="002F590A">
        <w:trPr>
          <w:trHeight w:val="626"/>
        </w:trPr>
        <w:tc>
          <w:tcPr>
            <w:tcW w:w="25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36CA1CF" w14:textId="77777777" w:rsidR="002F590A" w:rsidRDefault="002F590A" w:rsidP="002F590A">
            <w:pPr>
              <w:widowControl w:val="0"/>
              <w:numPr>
                <w:ilvl w:val="0"/>
                <w:numId w:val="29"/>
              </w:numPr>
              <w:spacing w:line="230" w:lineRule="exact"/>
              <w:ind w:left="0" w:firstLine="0"/>
              <w:jc w:val="center"/>
            </w:pPr>
            <w:r>
              <w:rPr>
                <w:color w:val="000000"/>
              </w:rPr>
              <w:t>Контактная информация лица, ответственного за разработку инвестиционной программы</w:t>
            </w:r>
          </w:p>
        </w:tc>
        <w:tc>
          <w:tcPr>
            <w:tcW w:w="2472" w:type="pct"/>
            <w:tcBorders>
              <w:top w:val="single" w:sz="4" w:space="0" w:color="auto"/>
              <w:left w:val="single" w:sz="4" w:space="0" w:color="auto"/>
              <w:bottom w:val="single" w:sz="4" w:space="0" w:color="auto"/>
              <w:right w:val="single" w:sz="4" w:space="0" w:color="auto"/>
            </w:tcBorders>
            <w:vAlign w:val="center"/>
            <w:hideMark/>
          </w:tcPr>
          <w:p w14:paraId="79882A49" w14:textId="77777777" w:rsidR="002F590A" w:rsidRDefault="002F590A">
            <w:pPr>
              <w:jc w:val="center"/>
              <w:rPr>
                <w:lang w:val="en-US"/>
              </w:rPr>
            </w:pPr>
            <w:r>
              <w:rPr>
                <w:lang w:val="en-US"/>
              </w:rPr>
              <w:t>E-mail: ViIIud@sibgenco.ru;</w:t>
            </w:r>
            <w:r>
              <w:rPr>
                <w:lang w:val="en-US"/>
              </w:rPr>
              <w:br/>
            </w:r>
            <w:r>
              <w:t>т</w:t>
            </w:r>
            <w:r>
              <w:rPr>
                <w:lang w:val="en-US"/>
              </w:rPr>
              <w:t xml:space="preserve">ел. (3842) 31-69-12, 8-961-864-34-14 </w:t>
            </w:r>
          </w:p>
        </w:tc>
      </w:tr>
      <w:tr w:rsidR="002F590A" w14:paraId="59E6CBD4" w14:textId="77777777" w:rsidTr="002F590A">
        <w:trPr>
          <w:trHeight w:val="373"/>
        </w:trPr>
        <w:tc>
          <w:tcPr>
            <w:tcW w:w="25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6D2E8A0" w14:textId="77777777" w:rsidR="002F590A" w:rsidRDefault="002F590A" w:rsidP="002F590A">
            <w:pPr>
              <w:widowControl w:val="0"/>
              <w:numPr>
                <w:ilvl w:val="0"/>
                <w:numId w:val="29"/>
              </w:numPr>
              <w:spacing w:line="227" w:lineRule="exact"/>
              <w:ind w:left="0" w:firstLine="0"/>
              <w:jc w:val="center"/>
            </w:pPr>
            <w:r>
              <w:rPr>
                <w:color w:val="000000"/>
              </w:rPr>
              <w:t>Наименование органа исполнительной власти субъекта РФ, утвердившего инвестиционную программу</w:t>
            </w:r>
          </w:p>
        </w:tc>
        <w:tc>
          <w:tcPr>
            <w:tcW w:w="2472" w:type="pct"/>
            <w:tcBorders>
              <w:top w:val="single" w:sz="4" w:space="0" w:color="auto"/>
              <w:left w:val="single" w:sz="4" w:space="0" w:color="auto"/>
              <w:bottom w:val="single" w:sz="4" w:space="0" w:color="auto"/>
              <w:right w:val="single" w:sz="4" w:space="0" w:color="auto"/>
            </w:tcBorders>
            <w:vAlign w:val="center"/>
            <w:hideMark/>
          </w:tcPr>
          <w:p w14:paraId="24332A34" w14:textId="77777777" w:rsidR="002F590A" w:rsidRDefault="002F590A">
            <w:pPr>
              <w:jc w:val="center"/>
            </w:pPr>
            <w:r>
              <w:t>Региональная энергетическая комиссия Кузбасса</w:t>
            </w:r>
          </w:p>
        </w:tc>
      </w:tr>
      <w:tr w:rsidR="002F590A" w14:paraId="4C0E5C75" w14:textId="77777777" w:rsidTr="002F590A">
        <w:trPr>
          <w:trHeight w:val="327"/>
        </w:trPr>
        <w:tc>
          <w:tcPr>
            <w:tcW w:w="25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626740A" w14:textId="77777777" w:rsidR="002F590A" w:rsidRDefault="002F590A" w:rsidP="002F590A">
            <w:pPr>
              <w:widowControl w:val="0"/>
              <w:numPr>
                <w:ilvl w:val="0"/>
                <w:numId w:val="29"/>
              </w:numPr>
              <w:spacing w:line="230" w:lineRule="exact"/>
              <w:ind w:left="0" w:firstLine="0"/>
              <w:jc w:val="center"/>
            </w:pPr>
            <w:r>
              <w:rPr>
                <w:color w:val="000000"/>
              </w:rPr>
              <w:t>Местонахождение органа, утвердившего инвестиционную программу</w:t>
            </w:r>
          </w:p>
        </w:tc>
        <w:tc>
          <w:tcPr>
            <w:tcW w:w="2472" w:type="pct"/>
            <w:tcBorders>
              <w:top w:val="single" w:sz="4" w:space="0" w:color="auto"/>
              <w:left w:val="single" w:sz="4" w:space="0" w:color="auto"/>
              <w:bottom w:val="single" w:sz="4" w:space="0" w:color="auto"/>
              <w:right w:val="single" w:sz="4" w:space="0" w:color="auto"/>
            </w:tcBorders>
            <w:vAlign w:val="center"/>
            <w:hideMark/>
          </w:tcPr>
          <w:p w14:paraId="0C3E45F4" w14:textId="77777777" w:rsidR="002F590A" w:rsidRDefault="002F590A">
            <w:pPr>
              <w:jc w:val="center"/>
            </w:pPr>
            <w:r>
              <w:t>650000, г. Кемерово, ул. Н. Островского,32</w:t>
            </w:r>
          </w:p>
        </w:tc>
      </w:tr>
      <w:tr w:rsidR="002F590A" w14:paraId="08995081" w14:textId="77777777" w:rsidTr="002F590A">
        <w:trPr>
          <w:trHeight w:val="637"/>
        </w:trPr>
        <w:tc>
          <w:tcPr>
            <w:tcW w:w="25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DFDE4E5" w14:textId="77777777" w:rsidR="002F590A" w:rsidRDefault="002F590A" w:rsidP="002F590A">
            <w:pPr>
              <w:widowControl w:val="0"/>
              <w:numPr>
                <w:ilvl w:val="0"/>
                <w:numId w:val="29"/>
              </w:numPr>
              <w:spacing w:line="230" w:lineRule="exact"/>
              <w:ind w:left="0" w:firstLine="0"/>
              <w:jc w:val="center"/>
            </w:pPr>
            <w:r>
              <w:rPr>
                <w:color w:val="000000"/>
              </w:rPr>
              <w:t>Должностное лицо, утвердившее инвестиционную программу</w:t>
            </w:r>
          </w:p>
        </w:tc>
        <w:tc>
          <w:tcPr>
            <w:tcW w:w="2472" w:type="pct"/>
            <w:tcBorders>
              <w:top w:val="single" w:sz="4" w:space="0" w:color="auto"/>
              <w:left w:val="single" w:sz="4" w:space="0" w:color="auto"/>
              <w:bottom w:val="single" w:sz="4" w:space="0" w:color="auto"/>
              <w:right w:val="single" w:sz="4" w:space="0" w:color="auto"/>
            </w:tcBorders>
            <w:vAlign w:val="center"/>
            <w:hideMark/>
          </w:tcPr>
          <w:p w14:paraId="704310B6" w14:textId="77777777" w:rsidR="002F590A" w:rsidRDefault="002F590A">
            <w:pPr>
              <w:jc w:val="center"/>
            </w:pPr>
            <w:r>
              <w:t xml:space="preserve">Председатель </w:t>
            </w:r>
          </w:p>
          <w:p w14:paraId="57E5090E" w14:textId="77777777" w:rsidR="002F590A" w:rsidRDefault="002F590A">
            <w:pPr>
              <w:jc w:val="center"/>
            </w:pPr>
            <w:r>
              <w:t>Малюта Дмитрий Владимирович</w:t>
            </w:r>
          </w:p>
        </w:tc>
      </w:tr>
      <w:tr w:rsidR="002F590A" w14:paraId="22FA3DD0" w14:textId="77777777" w:rsidTr="002F590A">
        <w:trPr>
          <w:trHeight w:val="403"/>
        </w:trPr>
        <w:tc>
          <w:tcPr>
            <w:tcW w:w="25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CB22659" w14:textId="77777777" w:rsidR="002F590A" w:rsidRDefault="002F590A" w:rsidP="002F590A">
            <w:pPr>
              <w:widowControl w:val="0"/>
              <w:numPr>
                <w:ilvl w:val="0"/>
                <w:numId w:val="29"/>
              </w:numPr>
              <w:spacing w:line="200" w:lineRule="exact"/>
              <w:ind w:left="0" w:firstLine="0"/>
              <w:jc w:val="center"/>
            </w:pPr>
            <w:r>
              <w:rPr>
                <w:color w:val="000000"/>
              </w:rPr>
              <w:t>Дата утверждения инвестиционной программы</w:t>
            </w:r>
          </w:p>
        </w:tc>
        <w:tc>
          <w:tcPr>
            <w:tcW w:w="2472" w:type="pct"/>
            <w:tcBorders>
              <w:top w:val="single" w:sz="4" w:space="0" w:color="auto"/>
              <w:left w:val="single" w:sz="4" w:space="0" w:color="auto"/>
              <w:bottom w:val="single" w:sz="4" w:space="0" w:color="auto"/>
              <w:right w:val="single" w:sz="4" w:space="0" w:color="auto"/>
            </w:tcBorders>
            <w:vAlign w:val="center"/>
            <w:hideMark/>
          </w:tcPr>
          <w:p w14:paraId="59761B18" w14:textId="77777777" w:rsidR="002F590A" w:rsidRDefault="002F590A">
            <w:pPr>
              <w:jc w:val="center"/>
            </w:pPr>
            <w:r>
              <w:t>___.12.2021</w:t>
            </w:r>
          </w:p>
        </w:tc>
      </w:tr>
      <w:tr w:rsidR="002F590A" w14:paraId="203D9155" w14:textId="77777777" w:rsidTr="002F590A">
        <w:trPr>
          <w:trHeight w:val="634"/>
        </w:trPr>
        <w:tc>
          <w:tcPr>
            <w:tcW w:w="25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5222316" w14:textId="77777777" w:rsidR="002F590A" w:rsidRDefault="002F590A" w:rsidP="002F590A">
            <w:pPr>
              <w:widowControl w:val="0"/>
              <w:numPr>
                <w:ilvl w:val="0"/>
                <w:numId w:val="29"/>
              </w:numPr>
              <w:spacing w:line="230" w:lineRule="exact"/>
              <w:ind w:left="0" w:firstLine="0"/>
              <w:jc w:val="center"/>
            </w:pPr>
            <w:r>
              <w:rPr>
                <w:color w:val="000000"/>
              </w:rPr>
              <w:t>Контактная информация лица, ответственного за утверждение инвестиционной программы</w:t>
            </w:r>
          </w:p>
        </w:tc>
        <w:tc>
          <w:tcPr>
            <w:tcW w:w="2472" w:type="pct"/>
            <w:tcBorders>
              <w:top w:val="single" w:sz="4" w:space="0" w:color="auto"/>
              <w:left w:val="single" w:sz="4" w:space="0" w:color="auto"/>
              <w:bottom w:val="single" w:sz="4" w:space="0" w:color="auto"/>
              <w:right w:val="single" w:sz="4" w:space="0" w:color="auto"/>
            </w:tcBorders>
            <w:vAlign w:val="center"/>
            <w:hideMark/>
          </w:tcPr>
          <w:p w14:paraId="39A8EA9E" w14:textId="77777777" w:rsidR="002F590A" w:rsidRDefault="002F590A">
            <w:pPr>
              <w:jc w:val="center"/>
            </w:pPr>
            <w:r>
              <w:t>+7 (3842) 36-28-28 </w:t>
            </w:r>
          </w:p>
        </w:tc>
      </w:tr>
      <w:tr w:rsidR="002F590A" w14:paraId="681167C3" w14:textId="77777777" w:rsidTr="002F590A">
        <w:trPr>
          <w:trHeight w:val="634"/>
        </w:trPr>
        <w:tc>
          <w:tcPr>
            <w:tcW w:w="25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4FD2CDD" w14:textId="77777777" w:rsidR="002F590A" w:rsidRDefault="002F590A" w:rsidP="002F590A">
            <w:pPr>
              <w:widowControl w:val="0"/>
              <w:numPr>
                <w:ilvl w:val="0"/>
                <w:numId w:val="29"/>
              </w:numPr>
              <w:spacing w:line="230" w:lineRule="exact"/>
              <w:ind w:left="0" w:firstLine="0"/>
              <w:jc w:val="center"/>
            </w:pPr>
            <w:r>
              <w:rPr>
                <w:color w:val="000000"/>
              </w:rPr>
              <w:t>Наименование органа местного самоуправления, согласовавшего инвестиционную программу</w:t>
            </w:r>
          </w:p>
        </w:tc>
        <w:tc>
          <w:tcPr>
            <w:tcW w:w="2472" w:type="pct"/>
            <w:tcBorders>
              <w:top w:val="single" w:sz="4" w:space="0" w:color="auto"/>
              <w:left w:val="single" w:sz="4" w:space="0" w:color="auto"/>
              <w:bottom w:val="single" w:sz="4" w:space="0" w:color="auto"/>
              <w:right w:val="single" w:sz="4" w:space="0" w:color="auto"/>
            </w:tcBorders>
            <w:vAlign w:val="center"/>
            <w:hideMark/>
          </w:tcPr>
          <w:p w14:paraId="2FAF02F6" w14:textId="77777777" w:rsidR="002F590A" w:rsidRDefault="002F590A">
            <w:pPr>
              <w:jc w:val="center"/>
            </w:pPr>
            <w:r>
              <w:t>Администрация города Кемерово</w:t>
            </w:r>
          </w:p>
        </w:tc>
      </w:tr>
      <w:tr w:rsidR="002F590A" w14:paraId="2A15602A" w14:textId="77777777" w:rsidTr="002F590A">
        <w:trPr>
          <w:trHeight w:val="486"/>
        </w:trPr>
        <w:tc>
          <w:tcPr>
            <w:tcW w:w="25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EC6A038" w14:textId="77777777" w:rsidR="002F590A" w:rsidRDefault="002F590A" w:rsidP="002F590A">
            <w:pPr>
              <w:widowControl w:val="0"/>
              <w:numPr>
                <w:ilvl w:val="0"/>
                <w:numId w:val="29"/>
              </w:numPr>
              <w:spacing w:line="234" w:lineRule="exact"/>
              <w:ind w:left="0" w:firstLine="0"/>
              <w:jc w:val="center"/>
            </w:pPr>
            <w:r>
              <w:rPr>
                <w:color w:val="000000"/>
              </w:rPr>
              <w:t>Местонахождение органа, согласовавшего инвестиционную программу</w:t>
            </w:r>
          </w:p>
        </w:tc>
        <w:tc>
          <w:tcPr>
            <w:tcW w:w="2472" w:type="pct"/>
            <w:tcBorders>
              <w:top w:val="single" w:sz="4" w:space="0" w:color="auto"/>
              <w:left w:val="single" w:sz="4" w:space="0" w:color="auto"/>
              <w:bottom w:val="single" w:sz="4" w:space="0" w:color="auto"/>
              <w:right w:val="single" w:sz="4" w:space="0" w:color="auto"/>
            </w:tcBorders>
            <w:vAlign w:val="center"/>
            <w:hideMark/>
          </w:tcPr>
          <w:p w14:paraId="24FD7244" w14:textId="77777777" w:rsidR="002F590A" w:rsidRDefault="002F590A">
            <w:pPr>
              <w:jc w:val="center"/>
            </w:pPr>
            <w:r>
              <w:t>650000, г. Кемерово пр. Советский, 54</w:t>
            </w:r>
          </w:p>
        </w:tc>
      </w:tr>
      <w:tr w:rsidR="002F590A" w14:paraId="7D20E329" w14:textId="77777777" w:rsidTr="002F590A">
        <w:trPr>
          <w:trHeight w:val="408"/>
        </w:trPr>
        <w:tc>
          <w:tcPr>
            <w:tcW w:w="25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116ED59" w14:textId="77777777" w:rsidR="002F590A" w:rsidRDefault="002F590A" w:rsidP="002F590A">
            <w:pPr>
              <w:widowControl w:val="0"/>
              <w:numPr>
                <w:ilvl w:val="0"/>
                <w:numId w:val="29"/>
              </w:numPr>
              <w:spacing w:line="230" w:lineRule="exact"/>
              <w:ind w:left="0" w:firstLine="0"/>
              <w:jc w:val="center"/>
            </w:pPr>
            <w:r>
              <w:rPr>
                <w:color w:val="000000"/>
              </w:rPr>
              <w:t>Должностное лицо, согласовавшее инвестиционную программу</w:t>
            </w:r>
          </w:p>
        </w:tc>
        <w:tc>
          <w:tcPr>
            <w:tcW w:w="2472" w:type="pct"/>
            <w:tcBorders>
              <w:top w:val="single" w:sz="4" w:space="0" w:color="auto"/>
              <w:left w:val="single" w:sz="4" w:space="0" w:color="auto"/>
              <w:bottom w:val="single" w:sz="4" w:space="0" w:color="auto"/>
              <w:right w:val="single" w:sz="4" w:space="0" w:color="auto"/>
            </w:tcBorders>
            <w:vAlign w:val="center"/>
            <w:hideMark/>
          </w:tcPr>
          <w:p w14:paraId="379C2AC0" w14:textId="77777777" w:rsidR="002F590A" w:rsidRDefault="002F590A">
            <w:pPr>
              <w:jc w:val="center"/>
            </w:pPr>
            <w:bookmarkStart w:id="81" w:name="_Hlk90884016"/>
            <w:r>
              <w:t>Заместитель Главы г. Кемерово, начальник управления жилищно-коммунального хозяйства - С.В. Лысенко</w:t>
            </w:r>
            <w:bookmarkEnd w:id="81"/>
          </w:p>
        </w:tc>
      </w:tr>
      <w:tr w:rsidR="002F590A" w14:paraId="40CA0FC1" w14:textId="77777777" w:rsidTr="002F590A">
        <w:trPr>
          <w:trHeight w:val="461"/>
        </w:trPr>
        <w:tc>
          <w:tcPr>
            <w:tcW w:w="25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1B78CCF" w14:textId="77777777" w:rsidR="002F590A" w:rsidRDefault="002F590A" w:rsidP="002F590A">
            <w:pPr>
              <w:widowControl w:val="0"/>
              <w:numPr>
                <w:ilvl w:val="0"/>
                <w:numId w:val="29"/>
              </w:numPr>
              <w:spacing w:line="200" w:lineRule="exact"/>
              <w:ind w:left="0" w:firstLine="0"/>
              <w:jc w:val="center"/>
            </w:pPr>
            <w:r>
              <w:rPr>
                <w:color w:val="000000"/>
              </w:rPr>
              <w:t>Дата согласования инвестиционной программы</w:t>
            </w:r>
          </w:p>
        </w:tc>
        <w:tc>
          <w:tcPr>
            <w:tcW w:w="24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9A1D737" w14:textId="77777777" w:rsidR="002F590A" w:rsidRDefault="002F590A">
            <w:pPr>
              <w:jc w:val="center"/>
            </w:pPr>
            <w:r>
              <w:t>14.12.2021 </w:t>
            </w:r>
          </w:p>
        </w:tc>
      </w:tr>
      <w:tr w:rsidR="002F590A" w14:paraId="4567AACF" w14:textId="77777777" w:rsidTr="002F590A">
        <w:trPr>
          <w:trHeight w:val="268"/>
        </w:trPr>
        <w:tc>
          <w:tcPr>
            <w:tcW w:w="25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2CB307D" w14:textId="77777777" w:rsidR="002F590A" w:rsidRDefault="002F590A" w:rsidP="002F590A">
            <w:pPr>
              <w:widowControl w:val="0"/>
              <w:numPr>
                <w:ilvl w:val="0"/>
                <w:numId w:val="29"/>
              </w:numPr>
              <w:spacing w:line="230" w:lineRule="exact"/>
              <w:ind w:left="0" w:firstLine="0"/>
              <w:jc w:val="center"/>
            </w:pPr>
            <w:r>
              <w:rPr>
                <w:color w:val="000000"/>
              </w:rPr>
              <w:t>Контактная информация лица, ответственного за согласование инвестиционной программы</w:t>
            </w:r>
          </w:p>
        </w:tc>
        <w:tc>
          <w:tcPr>
            <w:tcW w:w="24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80FE8ED" w14:textId="77777777" w:rsidR="002F590A" w:rsidRDefault="002F590A">
            <w:pPr>
              <w:jc w:val="center"/>
            </w:pPr>
            <w:r>
              <w:t>+7 (3842) 58-39-82</w:t>
            </w:r>
          </w:p>
        </w:tc>
      </w:tr>
    </w:tbl>
    <w:p w14:paraId="35109174" w14:textId="77777777" w:rsidR="002F590A" w:rsidRDefault="002F590A" w:rsidP="002F590A">
      <w:pPr>
        <w:ind w:left="10348" w:right="-31"/>
        <w:jc w:val="center"/>
        <w:rPr>
          <w:sz w:val="28"/>
          <w:szCs w:val="28"/>
        </w:rPr>
      </w:pPr>
    </w:p>
    <w:p w14:paraId="57A8E934" w14:textId="77777777" w:rsidR="002F590A" w:rsidRDefault="002F590A" w:rsidP="002F590A">
      <w:pPr>
        <w:rPr>
          <w:sz w:val="28"/>
          <w:szCs w:val="28"/>
        </w:rPr>
        <w:sectPr w:rsidR="002F590A">
          <w:pgSz w:w="11906" w:h="16838"/>
          <w:pgMar w:top="1134" w:right="851" w:bottom="1134" w:left="1701" w:header="708" w:footer="418" w:gutter="0"/>
          <w:cols w:space="720"/>
        </w:sectPr>
      </w:pPr>
    </w:p>
    <w:p w14:paraId="06075679" w14:textId="77777777" w:rsidR="002F590A" w:rsidRDefault="002F590A" w:rsidP="002F590A">
      <w:pPr>
        <w:autoSpaceDE w:val="0"/>
        <w:autoSpaceDN w:val="0"/>
        <w:adjustRightInd w:val="0"/>
        <w:jc w:val="center"/>
        <w:rPr>
          <w:b/>
          <w:color w:val="000000"/>
          <w:sz w:val="28"/>
          <w:szCs w:val="28"/>
        </w:rPr>
      </w:pPr>
      <w:bookmarkStart w:id="82" w:name="_Hlk90285689"/>
      <w:r>
        <w:rPr>
          <w:b/>
          <w:bCs/>
          <w:sz w:val="28"/>
          <w:szCs w:val="28"/>
        </w:rPr>
        <w:t xml:space="preserve">Инвестиционная программа в сфере теплоснабжения </w:t>
      </w:r>
      <w:r>
        <w:rPr>
          <w:b/>
          <w:sz w:val="28"/>
          <w:szCs w:val="28"/>
        </w:rPr>
        <w:t xml:space="preserve">ООО «Новосибирская теплосетевая компания» </w:t>
      </w:r>
      <w:r>
        <w:rPr>
          <w:b/>
          <w:sz w:val="28"/>
          <w:szCs w:val="28"/>
        </w:rPr>
        <w:br/>
        <w:t xml:space="preserve">на потребительском рынке Кемеровского городского округа, Кемеровского муниципального округа, </w:t>
      </w:r>
      <w:r>
        <w:rPr>
          <w:b/>
          <w:sz w:val="28"/>
          <w:szCs w:val="28"/>
        </w:rPr>
        <w:br/>
        <w:t>Топкинского муниципального округа</w:t>
      </w:r>
      <w:r>
        <w:rPr>
          <w:b/>
          <w:color w:val="000000"/>
          <w:sz w:val="28"/>
          <w:szCs w:val="28"/>
        </w:rPr>
        <w:t xml:space="preserve"> </w:t>
      </w:r>
      <w:r>
        <w:rPr>
          <w:b/>
          <w:sz w:val="28"/>
          <w:szCs w:val="28"/>
        </w:rPr>
        <w:t>на 2022</w:t>
      </w:r>
      <w:r>
        <w:rPr>
          <w:b/>
          <w:color w:val="000000"/>
          <w:sz w:val="28"/>
          <w:szCs w:val="28"/>
        </w:rPr>
        <w:t xml:space="preserve"> - 2031 годы</w:t>
      </w:r>
    </w:p>
    <w:p w14:paraId="628D069E" w14:textId="77777777" w:rsidR="002F590A" w:rsidRDefault="002F590A" w:rsidP="002F590A">
      <w:pPr>
        <w:autoSpaceDE w:val="0"/>
        <w:autoSpaceDN w:val="0"/>
        <w:adjustRightInd w:val="0"/>
        <w:jc w:val="center"/>
        <w:rPr>
          <w:b/>
          <w:bCs/>
          <w:sz w:val="28"/>
          <w:szCs w:val="28"/>
        </w:rPr>
      </w:pPr>
    </w:p>
    <w:tbl>
      <w:tblPr>
        <w:tblW w:w="5550" w:type="pct"/>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4"/>
        <w:gridCol w:w="868"/>
        <w:gridCol w:w="1133"/>
        <w:gridCol w:w="848"/>
        <w:gridCol w:w="961"/>
        <w:gridCol w:w="418"/>
        <w:gridCol w:w="1158"/>
        <w:gridCol w:w="1126"/>
        <w:gridCol w:w="421"/>
        <w:gridCol w:w="428"/>
        <w:gridCol w:w="638"/>
        <w:gridCol w:w="574"/>
        <w:gridCol w:w="704"/>
        <w:gridCol w:w="710"/>
        <w:gridCol w:w="691"/>
        <w:gridCol w:w="578"/>
        <w:gridCol w:w="552"/>
        <w:gridCol w:w="558"/>
        <w:gridCol w:w="571"/>
        <w:gridCol w:w="558"/>
        <w:gridCol w:w="558"/>
        <w:gridCol w:w="571"/>
        <w:gridCol w:w="561"/>
        <w:gridCol w:w="413"/>
      </w:tblGrid>
      <w:tr w:rsidR="002F590A" w14:paraId="400A74C8" w14:textId="77777777" w:rsidTr="002F590A">
        <w:trPr>
          <w:trHeight w:val="65"/>
        </w:trPr>
        <w:tc>
          <w:tcPr>
            <w:tcW w:w="175" w:type="pct"/>
            <w:vMerge w:val="restart"/>
            <w:tcBorders>
              <w:top w:val="single" w:sz="4" w:space="0" w:color="auto"/>
              <w:left w:val="single" w:sz="4" w:space="0" w:color="auto"/>
              <w:bottom w:val="single" w:sz="4" w:space="0" w:color="auto"/>
              <w:right w:val="single" w:sz="4" w:space="0" w:color="auto"/>
            </w:tcBorders>
            <w:vAlign w:val="center"/>
            <w:hideMark/>
          </w:tcPr>
          <w:p w14:paraId="5743D11C" w14:textId="77777777" w:rsidR="002F590A" w:rsidRDefault="002F590A">
            <w:pPr>
              <w:jc w:val="center"/>
              <w:rPr>
                <w:bCs/>
                <w:sz w:val="13"/>
                <w:szCs w:val="13"/>
              </w:rPr>
            </w:pPr>
            <w:r>
              <w:rPr>
                <w:bCs/>
                <w:sz w:val="13"/>
                <w:szCs w:val="13"/>
              </w:rPr>
              <w:t>№</w:t>
            </w:r>
            <w:r>
              <w:rPr>
                <w:bCs/>
                <w:sz w:val="13"/>
                <w:szCs w:val="13"/>
              </w:rPr>
              <w:br/>
              <w:t>п/п</w:t>
            </w:r>
          </w:p>
        </w:tc>
        <w:tc>
          <w:tcPr>
            <w:tcW w:w="262" w:type="pct"/>
            <w:vMerge w:val="restart"/>
            <w:tcBorders>
              <w:top w:val="single" w:sz="4" w:space="0" w:color="auto"/>
              <w:left w:val="single" w:sz="4" w:space="0" w:color="auto"/>
              <w:bottom w:val="single" w:sz="4" w:space="0" w:color="auto"/>
              <w:right w:val="single" w:sz="4" w:space="0" w:color="auto"/>
            </w:tcBorders>
            <w:vAlign w:val="center"/>
            <w:hideMark/>
          </w:tcPr>
          <w:p w14:paraId="5FBA06B9" w14:textId="77777777" w:rsidR="002F590A" w:rsidRDefault="002F590A">
            <w:pPr>
              <w:jc w:val="center"/>
              <w:rPr>
                <w:bCs/>
                <w:sz w:val="13"/>
                <w:szCs w:val="13"/>
              </w:rPr>
            </w:pPr>
            <w:r>
              <w:rPr>
                <w:bCs/>
                <w:sz w:val="13"/>
                <w:szCs w:val="13"/>
              </w:rPr>
              <w:t>Наименование</w:t>
            </w:r>
            <w:r>
              <w:rPr>
                <w:bCs/>
                <w:sz w:val="13"/>
                <w:szCs w:val="13"/>
              </w:rPr>
              <w:br/>
              <w:t>мероприятий</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14:paraId="7EA0C217" w14:textId="77777777" w:rsidR="002F590A" w:rsidRDefault="002F590A">
            <w:pPr>
              <w:jc w:val="center"/>
              <w:rPr>
                <w:bCs/>
                <w:sz w:val="13"/>
                <w:szCs w:val="13"/>
              </w:rPr>
            </w:pPr>
            <w:r>
              <w:rPr>
                <w:bCs/>
                <w:sz w:val="13"/>
                <w:szCs w:val="13"/>
              </w:rPr>
              <w:t>Обоснование необходимости (цель реализации)</w:t>
            </w:r>
          </w:p>
        </w:tc>
        <w:tc>
          <w:tcPr>
            <w:tcW w:w="259" w:type="pct"/>
            <w:vMerge w:val="restart"/>
            <w:tcBorders>
              <w:top w:val="single" w:sz="4" w:space="0" w:color="auto"/>
              <w:left w:val="single" w:sz="4" w:space="0" w:color="auto"/>
              <w:bottom w:val="single" w:sz="4" w:space="0" w:color="auto"/>
              <w:right w:val="single" w:sz="4" w:space="0" w:color="auto"/>
            </w:tcBorders>
            <w:vAlign w:val="center"/>
            <w:hideMark/>
          </w:tcPr>
          <w:p w14:paraId="7842F938" w14:textId="77777777" w:rsidR="002F590A" w:rsidRDefault="002F590A">
            <w:pPr>
              <w:jc w:val="center"/>
              <w:rPr>
                <w:bCs/>
                <w:sz w:val="13"/>
                <w:szCs w:val="13"/>
              </w:rPr>
            </w:pPr>
            <w:r>
              <w:rPr>
                <w:bCs/>
                <w:sz w:val="13"/>
                <w:szCs w:val="13"/>
              </w:rPr>
              <w:t>Описание и место расположения</w:t>
            </w:r>
            <w:r>
              <w:rPr>
                <w:bCs/>
                <w:sz w:val="13"/>
                <w:szCs w:val="13"/>
              </w:rPr>
              <w:br/>
              <w:t>объекта</w:t>
            </w:r>
          </w:p>
        </w:tc>
        <w:tc>
          <w:tcPr>
            <w:tcW w:w="1136" w:type="pct"/>
            <w:gridSpan w:val="4"/>
            <w:tcBorders>
              <w:top w:val="single" w:sz="4" w:space="0" w:color="auto"/>
              <w:left w:val="single" w:sz="4" w:space="0" w:color="auto"/>
              <w:bottom w:val="single" w:sz="4" w:space="0" w:color="auto"/>
              <w:right w:val="single" w:sz="4" w:space="0" w:color="auto"/>
            </w:tcBorders>
            <w:vAlign w:val="center"/>
            <w:hideMark/>
          </w:tcPr>
          <w:p w14:paraId="3C5FC5C4" w14:textId="77777777" w:rsidR="002F590A" w:rsidRDefault="002F590A">
            <w:pPr>
              <w:jc w:val="center"/>
              <w:rPr>
                <w:bCs/>
                <w:sz w:val="13"/>
                <w:szCs w:val="13"/>
              </w:rPr>
            </w:pPr>
            <w:r>
              <w:rPr>
                <w:bCs/>
                <w:sz w:val="13"/>
                <w:szCs w:val="13"/>
              </w:rPr>
              <w:t>Основные технические характеристики</w:t>
            </w:r>
          </w:p>
        </w:tc>
        <w:tc>
          <w:tcPr>
            <w:tcW w:w="131" w:type="pct"/>
            <w:vMerge w:val="restart"/>
            <w:tcBorders>
              <w:top w:val="single" w:sz="4" w:space="0" w:color="auto"/>
              <w:left w:val="single" w:sz="4" w:space="0" w:color="auto"/>
              <w:bottom w:val="single" w:sz="4" w:space="0" w:color="auto"/>
              <w:right w:val="single" w:sz="4" w:space="0" w:color="auto"/>
            </w:tcBorders>
            <w:vAlign w:val="center"/>
            <w:hideMark/>
          </w:tcPr>
          <w:p w14:paraId="4132C3C0" w14:textId="77777777" w:rsidR="002F590A" w:rsidRDefault="002F590A">
            <w:pPr>
              <w:ind w:left="-27"/>
              <w:jc w:val="center"/>
              <w:rPr>
                <w:bCs/>
                <w:sz w:val="13"/>
                <w:szCs w:val="13"/>
              </w:rPr>
            </w:pPr>
            <w:r>
              <w:rPr>
                <w:bCs/>
                <w:sz w:val="13"/>
                <w:szCs w:val="13"/>
              </w:rPr>
              <w:t xml:space="preserve">Год начала </w:t>
            </w:r>
            <w:proofErr w:type="gramStart"/>
            <w:r>
              <w:rPr>
                <w:bCs/>
                <w:sz w:val="13"/>
                <w:szCs w:val="13"/>
              </w:rPr>
              <w:t>реали-зации</w:t>
            </w:r>
            <w:proofErr w:type="gramEnd"/>
            <w:r>
              <w:rPr>
                <w:bCs/>
                <w:sz w:val="13"/>
                <w:szCs w:val="13"/>
              </w:rPr>
              <w:t xml:space="preserve"> меро-при-ятия</w:t>
            </w:r>
          </w:p>
        </w:tc>
        <w:tc>
          <w:tcPr>
            <w:tcW w:w="133" w:type="pct"/>
            <w:vMerge w:val="restart"/>
            <w:tcBorders>
              <w:top w:val="single" w:sz="4" w:space="0" w:color="auto"/>
              <w:left w:val="single" w:sz="4" w:space="0" w:color="auto"/>
              <w:bottom w:val="single" w:sz="4" w:space="0" w:color="auto"/>
              <w:right w:val="single" w:sz="4" w:space="0" w:color="auto"/>
            </w:tcBorders>
            <w:vAlign w:val="center"/>
            <w:hideMark/>
          </w:tcPr>
          <w:p w14:paraId="538C6488" w14:textId="77777777" w:rsidR="002F590A" w:rsidRDefault="002F590A">
            <w:pPr>
              <w:ind w:left="-3"/>
              <w:jc w:val="center"/>
              <w:rPr>
                <w:bCs/>
                <w:sz w:val="13"/>
                <w:szCs w:val="13"/>
              </w:rPr>
            </w:pPr>
            <w:r>
              <w:rPr>
                <w:bCs/>
                <w:sz w:val="13"/>
                <w:szCs w:val="13"/>
              </w:rPr>
              <w:t xml:space="preserve">Год </w:t>
            </w:r>
            <w:proofErr w:type="gramStart"/>
            <w:r>
              <w:rPr>
                <w:bCs/>
                <w:sz w:val="13"/>
                <w:szCs w:val="13"/>
              </w:rPr>
              <w:t>окон-чания</w:t>
            </w:r>
            <w:proofErr w:type="gramEnd"/>
            <w:r>
              <w:rPr>
                <w:bCs/>
                <w:sz w:val="13"/>
                <w:szCs w:val="13"/>
              </w:rPr>
              <w:t xml:space="preserve"> реали-зации меро-при-ятия</w:t>
            </w:r>
          </w:p>
        </w:tc>
        <w:tc>
          <w:tcPr>
            <w:tcW w:w="2553" w:type="pct"/>
            <w:gridSpan w:val="14"/>
            <w:tcBorders>
              <w:top w:val="single" w:sz="4" w:space="0" w:color="auto"/>
              <w:left w:val="single" w:sz="4" w:space="0" w:color="auto"/>
              <w:bottom w:val="single" w:sz="4" w:space="0" w:color="auto"/>
              <w:right w:val="single" w:sz="4" w:space="0" w:color="auto"/>
            </w:tcBorders>
            <w:vAlign w:val="center"/>
            <w:hideMark/>
          </w:tcPr>
          <w:p w14:paraId="4BF98FB2" w14:textId="77777777" w:rsidR="002F590A" w:rsidRDefault="002F590A">
            <w:pPr>
              <w:jc w:val="center"/>
              <w:rPr>
                <w:bCs/>
                <w:sz w:val="13"/>
                <w:szCs w:val="13"/>
              </w:rPr>
            </w:pPr>
            <w:r>
              <w:rPr>
                <w:bCs/>
                <w:sz w:val="13"/>
                <w:szCs w:val="13"/>
              </w:rPr>
              <w:t>Расходы на реализацию мероприятий в прогнозных ценах, тыс. руб. (с НДС)</w:t>
            </w:r>
          </w:p>
        </w:tc>
      </w:tr>
      <w:tr w:rsidR="002F590A" w14:paraId="797DBCA6" w14:textId="77777777" w:rsidTr="002F590A">
        <w:trPr>
          <w:trHeight w:val="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2F03AE" w14:textId="77777777" w:rsidR="002F590A" w:rsidRDefault="002F590A">
            <w:pPr>
              <w:spacing w:line="256" w:lineRule="auto"/>
              <w:rPr>
                <w:bCs/>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AD210C" w14:textId="77777777" w:rsidR="002F590A" w:rsidRDefault="002F590A">
            <w:pPr>
              <w:spacing w:line="256" w:lineRule="auto"/>
              <w:rPr>
                <w:bCs/>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D9A67F" w14:textId="77777777" w:rsidR="002F590A" w:rsidRDefault="002F590A">
            <w:pPr>
              <w:spacing w:line="256" w:lineRule="auto"/>
              <w:rPr>
                <w:bCs/>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D52783" w14:textId="77777777" w:rsidR="002F590A" w:rsidRDefault="002F590A">
            <w:pPr>
              <w:spacing w:line="256" w:lineRule="auto"/>
              <w:rPr>
                <w:bCs/>
                <w:sz w:val="13"/>
                <w:szCs w:val="13"/>
              </w:rPr>
            </w:pPr>
          </w:p>
        </w:tc>
        <w:tc>
          <w:tcPr>
            <w:tcW w:w="298" w:type="pct"/>
            <w:vMerge w:val="restart"/>
            <w:tcBorders>
              <w:top w:val="single" w:sz="4" w:space="0" w:color="auto"/>
              <w:left w:val="single" w:sz="4" w:space="0" w:color="auto"/>
              <w:bottom w:val="single" w:sz="4" w:space="0" w:color="auto"/>
              <w:right w:val="single" w:sz="4" w:space="0" w:color="auto"/>
            </w:tcBorders>
            <w:vAlign w:val="center"/>
            <w:hideMark/>
          </w:tcPr>
          <w:p w14:paraId="3A598A1B" w14:textId="77777777" w:rsidR="002F590A" w:rsidRDefault="002F590A">
            <w:pPr>
              <w:jc w:val="center"/>
              <w:rPr>
                <w:bCs/>
                <w:sz w:val="13"/>
                <w:szCs w:val="13"/>
              </w:rPr>
            </w:pPr>
            <w:r>
              <w:rPr>
                <w:bCs/>
                <w:sz w:val="13"/>
                <w:szCs w:val="13"/>
              </w:rPr>
              <w:t xml:space="preserve">Наименование показателя (мощность, протяженность, диаметр </w:t>
            </w:r>
          </w:p>
          <w:p w14:paraId="18140C85" w14:textId="77777777" w:rsidR="002F590A" w:rsidRDefault="002F590A">
            <w:pPr>
              <w:jc w:val="center"/>
              <w:rPr>
                <w:bCs/>
                <w:sz w:val="13"/>
                <w:szCs w:val="13"/>
              </w:rPr>
            </w:pPr>
            <w:r>
              <w:rPr>
                <w:bCs/>
                <w:sz w:val="13"/>
                <w:szCs w:val="13"/>
              </w:rPr>
              <w:t>и т.п.)</w:t>
            </w:r>
          </w:p>
        </w:tc>
        <w:tc>
          <w:tcPr>
            <w:tcW w:w="130" w:type="pct"/>
            <w:vMerge w:val="restart"/>
            <w:tcBorders>
              <w:top w:val="single" w:sz="4" w:space="0" w:color="auto"/>
              <w:left w:val="single" w:sz="4" w:space="0" w:color="auto"/>
              <w:bottom w:val="single" w:sz="4" w:space="0" w:color="auto"/>
              <w:right w:val="single" w:sz="4" w:space="0" w:color="auto"/>
            </w:tcBorders>
            <w:vAlign w:val="center"/>
            <w:hideMark/>
          </w:tcPr>
          <w:p w14:paraId="54311492" w14:textId="77777777" w:rsidR="002F590A" w:rsidRDefault="002F590A">
            <w:pPr>
              <w:ind w:left="-108" w:right="-108"/>
              <w:jc w:val="center"/>
              <w:rPr>
                <w:bCs/>
                <w:sz w:val="13"/>
                <w:szCs w:val="13"/>
              </w:rPr>
            </w:pPr>
            <w:r>
              <w:rPr>
                <w:bCs/>
                <w:sz w:val="13"/>
                <w:szCs w:val="13"/>
              </w:rPr>
              <w:t>Ед.</w:t>
            </w:r>
            <w:r>
              <w:rPr>
                <w:bCs/>
                <w:sz w:val="13"/>
                <w:szCs w:val="13"/>
              </w:rPr>
              <w:br/>
              <w:t>изм.</w:t>
            </w:r>
          </w:p>
        </w:tc>
        <w:tc>
          <w:tcPr>
            <w:tcW w:w="708" w:type="pct"/>
            <w:gridSpan w:val="2"/>
            <w:tcBorders>
              <w:top w:val="single" w:sz="4" w:space="0" w:color="auto"/>
              <w:left w:val="single" w:sz="4" w:space="0" w:color="auto"/>
              <w:bottom w:val="single" w:sz="4" w:space="0" w:color="auto"/>
              <w:right w:val="single" w:sz="4" w:space="0" w:color="auto"/>
            </w:tcBorders>
            <w:vAlign w:val="center"/>
            <w:hideMark/>
          </w:tcPr>
          <w:p w14:paraId="79EEFF1A" w14:textId="77777777" w:rsidR="002F590A" w:rsidRDefault="002F590A">
            <w:pPr>
              <w:jc w:val="center"/>
              <w:rPr>
                <w:bCs/>
                <w:sz w:val="13"/>
                <w:szCs w:val="13"/>
              </w:rPr>
            </w:pPr>
            <w:r>
              <w:rPr>
                <w:bCs/>
                <w:sz w:val="13"/>
                <w:szCs w:val="13"/>
              </w:rPr>
              <w:t>Значение показателя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BD6F05" w14:textId="77777777" w:rsidR="002F590A" w:rsidRDefault="002F590A">
            <w:pPr>
              <w:spacing w:line="256" w:lineRule="auto"/>
              <w:rPr>
                <w:bCs/>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590648" w14:textId="77777777" w:rsidR="002F590A" w:rsidRDefault="002F590A">
            <w:pPr>
              <w:spacing w:line="256" w:lineRule="auto"/>
              <w:rPr>
                <w:bCs/>
                <w:sz w:val="13"/>
                <w:szCs w:val="13"/>
              </w:rPr>
            </w:pPr>
          </w:p>
        </w:tc>
        <w:tc>
          <w:tcPr>
            <w:tcW w:w="198" w:type="pct"/>
            <w:vMerge w:val="restart"/>
            <w:tcBorders>
              <w:top w:val="single" w:sz="4" w:space="0" w:color="auto"/>
              <w:left w:val="single" w:sz="4" w:space="0" w:color="auto"/>
              <w:bottom w:val="single" w:sz="4" w:space="0" w:color="auto"/>
              <w:right w:val="single" w:sz="4" w:space="0" w:color="auto"/>
            </w:tcBorders>
            <w:vAlign w:val="center"/>
            <w:hideMark/>
          </w:tcPr>
          <w:p w14:paraId="1852CE7A" w14:textId="77777777" w:rsidR="002F590A" w:rsidRDefault="002F590A">
            <w:pPr>
              <w:jc w:val="center"/>
              <w:rPr>
                <w:bCs/>
                <w:sz w:val="13"/>
                <w:szCs w:val="13"/>
              </w:rPr>
            </w:pPr>
            <w:r>
              <w:rPr>
                <w:bCs/>
                <w:sz w:val="13"/>
                <w:szCs w:val="13"/>
              </w:rPr>
              <w:t>Всего</w:t>
            </w:r>
          </w:p>
        </w:tc>
        <w:tc>
          <w:tcPr>
            <w:tcW w:w="178" w:type="pct"/>
            <w:vMerge w:val="restart"/>
            <w:tcBorders>
              <w:top w:val="single" w:sz="4" w:space="0" w:color="auto"/>
              <w:left w:val="single" w:sz="4" w:space="0" w:color="auto"/>
              <w:bottom w:val="single" w:sz="4" w:space="0" w:color="auto"/>
              <w:right w:val="single" w:sz="4" w:space="0" w:color="auto"/>
            </w:tcBorders>
            <w:vAlign w:val="center"/>
            <w:hideMark/>
          </w:tcPr>
          <w:p w14:paraId="3BC7DB63" w14:textId="77777777" w:rsidR="002F590A" w:rsidRDefault="002F590A">
            <w:pPr>
              <w:jc w:val="center"/>
              <w:rPr>
                <w:bCs/>
                <w:sz w:val="13"/>
                <w:szCs w:val="13"/>
              </w:rPr>
            </w:pPr>
            <w:r>
              <w:rPr>
                <w:bCs/>
                <w:sz w:val="13"/>
                <w:szCs w:val="13"/>
              </w:rPr>
              <w:t xml:space="preserve">Профи-нанси-ровано </w:t>
            </w:r>
          </w:p>
          <w:p w14:paraId="7D384039" w14:textId="77777777" w:rsidR="002F590A" w:rsidRDefault="002F590A">
            <w:pPr>
              <w:jc w:val="center"/>
              <w:rPr>
                <w:bCs/>
                <w:sz w:val="13"/>
                <w:szCs w:val="13"/>
              </w:rPr>
            </w:pPr>
            <w:r>
              <w:rPr>
                <w:bCs/>
                <w:sz w:val="13"/>
                <w:szCs w:val="13"/>
              </w:rPr>
              <w:t>к 2022</w:t>
            </w:r>
          </w:p>
        </w:tc>
        <w:tc>
          <w:tcPr>
            <w:tcW w:w="1875" w:type="pct"/>
            <w:gridSpan w:val="10"/>
            <w:tcBorders>
              <w:top w:val="single" w:sz="4" w:space="0" w:color="auto"/>
              <w:left w:val="single" w:sz="4" w:space="0" w:color="auto"/>
              <w:bottom w:val="single" w:sz="4" w:space="0" w:color="auto"/>
              <w:right w:val="single" w:sz="4" w:space="0" w:color="auto"/>
            </w:tcBorders>
            <w:vAlign w:val="center"/>
            <w:hideMark/>
          </w:tcPr>
          <w:p w14:paraId="7204D40C" w14:textId="77777777" w:rsidR="002F590A" w:rsidRDefault="002F590A">
            <w:pPr>
              <w:jc w:val="center"/>
              <w:rPr>
                <w:sz w:val="13"/>
                <w:szCs w:val="13"/>
              </w:rPr>
            </w:pPr>
            <w:r>
              <w:rPr>
                <w:bCs/>
                <w:sz w:val="13"/>
                <w:szCs w:val="13"/>
              </w:rPr>
              <w:t>в т.ч. по годам</w:t>
            </w:r>
          </w:p>
        </w:tc>
        <w:tc>
          <w:tcPr>
            <w:tcW w:w="174" w:type="pct"/>
            <w:vMerge w:val="restart"/>
            <w:tcBorders>
              <w:top w:val="single" w:sz="4" w:space="0" w:color="auto"/>
              <w:left w:val="single" w:sz="4" w:space="0" w:color="auto"/>
              <w:bottom w:val="single" w:sz="4" w:space="0" w:color="auto"/>
              <w:right w:val="single" w:sz="4" w:space="0" w:color="auto"/>
            </w:tcBorders>
            <w:vAlign w:val="center"/>
            <w:hideMark/>
          </w:tcPr>
          <w:p w14:paraId="3E47CE9D" w14:textId="77777777" w:rsidR="002F590A" w:rsidRDefault="002F590A">
            <w:pPr>
              <w:jc w:val="center"/>
              <w:rPr>
                <w:sz w:val="13"/>
                <w:szCs w:val="13"/>
              </w:rPr>
            </w:pPr>
            <w:r>
              <w:rPr>
                <w:sz w:val="13"/>
                <w:szCs w:val="13"/>
              </w:rPr>
              <w:t>Остаток финан-сирова-ния</w:t>
            </w:r>
          </w:p>
        </w:tc>
        <w:tc>
          <w:tcPr>
            <w:tcW w:w="128" w:type="pct"/>
            <w:vMerge w:val="restart"/>
            <w:tcBorders>
              <w:top w:val="single" w:sz="4" w:space="0" w:color="auto"/>
              <w:left w:val="single" w:sz="4" w:space="0" w:color="auto"/>
              <w:bottom w:val="single" w:sz="4" w:space="0" w:color="auto"/>
              <w:right w:val="single" w:sz="4" w:space="0" w:color="auto"/>
            </w:tcBorders>
            <w:vAlign w:val="center"/>
            <w:hideMark/>
          </w:tcPr>
          <w:p w14:paraId="63CE396B" w14:textId="77777777" w:rsidR="002F590A" w:rsidRDefault="002F590A">
            <w:pPr>
              <w:ind w:left="-30" w:right="-34"/>
              <w:jc w:val="center"/>
              <w:rPr>
                <w:bCs/>
                <w:sz w:val="13"/>
                <w:szCs w:val="13"/>
              </w:rPr>
            </w:pPr>
            <w:r>
              <w:rPr>
                <w:bCs/>
                <w:sz w:val="13"/>
                <w:szCs w:val="13"/>
              </w:rPr>
              <w:t>в т.</w:t>
            </w:r>
            <w:r>
              <w:rPr>
                <w:sz w:val="13"/>
                <w:szCs w:val="13"/>
              </w:rPr>
              <w:t>ч. за счет платы за под-клю-чение</w:t>
            </w:r>
          </w:p>
        </w:tc>
      </w:tr>
      <w:tr w:rsidR="002F590A" w14:paraId="2126C329" w14:textId="77777777" w:rsidTr="002F590A">
        <w:trPr>
          <w:trHeight w:val="8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BB1307" w14:textId="77777777" w:rsidR="002F590A" w:rsidRDefault="002F590A">
            <w:pPr>
              <w:spacing w:line="256" w:lineRule="auto"/>
              <w:rPr>
                <w:bCs/>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D5F4F3" w14:textId="77777777" w:rsidR="002F590A" w:rsidRDefault="002F590A">
            <w:pPr>
              <w:spacing w:line="256" w:lineRule="auto"/>
              <w:rPr>
                <w:bCs/>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22B5FD" w14:textId="77777777" w:rsidR="002F590A" w:rsidRDefault="002F590A">
            <w:pPr>
              <w:spacing w:line="256" w:lineRule="auto"/>
              <w:rPr>
                <w:bCs/>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AC8F16" w14:textId="77777777" w:rsidR="002F590A" w:rsidRDefault="002F590A">
            <w:pPr>
              <w:spacing w:line="256" w:lineRule="auto"/>
              <w:rPr>
                <w:bCs/>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FA3993" w14:textId="77777777" w:rsidR="002F590A" w:rsidRDefault="002F590A">
            <w:pPr>
              <w:spacing w:line="256" w:lineRule="auto"/>
              <w:rPr>
                <w:bCs/>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7F9C88" w14:textId="77777777" w:rsidR="002F590A" w:rsidRDefault="002F590A">
            <w:pPr>
              <w:spacing w:line="256" w:lineRule="auto"/>
              <w:rPr>
                <w:bCs/>
                <w:sz w:val="13"/>
                <w:szCs w:val="13"/>
              </w:rPr>
            </w:pPr>
          </w:p>
        </w:tc>
        <w:tc>
          <w:tcPr>
            <w:tcW w:w="359" w:type="pct"/>
            <w:tcBorders>
              <w:top w:val="single" w:sz="4" w:space="0" w:color="auto"/>
              <w:left w:val="single" w:sz="4" w:space="0" w:color="auto"/>
              <w:bottom w:val="single" w:sz="4" w:space="0" w:color="auto"/>
              <w:right w:val="single" w:sz="4" w:space="0" w:color="auto"/>
            </w:tcBorders>
            <w:vAlign w:val="center"/>
            <w:hideMark/>
          </w:tcPr>
          <w:p w14:paraId="69A50F54" w14:textId="77777777" w:rsidR="002F590A" w:rsidRDefault="002F590A">
            <w:pPr>
              <w:jc w:val="center"/>
              <w:rPr>
                <w:bCs/>
                <w:sz w:val="13"/>
                <w:szCs w:val="13"/>
              </w:rPr>
            </w:pPr>
            <w:r>
              <w:rPr>
                <w:bCs/>
                <w:sz w:val="13"/>
                <w:szCs w:val="13"/>
              </w:rPr>
              <w:t xml:space="preserve">до </w:t>
            </w:r>
            <w:proofErr w:type="gramStart"/>
            <w:r>
              <w:rPr>
                <w:bCs/>
                <w:sz w:val="13"/>
                <w:szCs w:val="13"/>
              </w:rPr>
              <w:t>реа-лизации</w:t>
            </w:r>
            <w:proofErr w:type="gramEnd"/>
            <w:r>
              <w:rPr>
                <w:bCs/>
                <w:sz w:val="13"/>
                <w:szCs w:val="13"/>
              </w:rPr>
              <w:t xml:space="preserve"> меро-приятия</w:t>
            </w:r>
          </w:p>
        </w:tc>
        <w:tc>
          <w:tcPr>
            <w:tcW w:w="349" w:type="pct"/>
            <w:tcBorders>
              <w:top w:val="single" w:sz="4" w:space="0" w:color="auto"/>
              <w:left w:val="single" w:sz="4" w:space="0" w:color="auto"/>
              <w:bottom w:val="single" w:sz="4" w:space="0" w:color="auto"/>
              <w:right w:val="single" w:sz="4" w:space="0" w:color="auto"/>
            </w:tcBorders>
            <w:vAlign w:val="center"/>
            <w:hideMark/>
          </w:tcPr>
          <w:p w14:paraId="7C4A0884" w14:textId="77777777" w:rsidR="002F590A" w:rsidRDefault="002F590A">
            <w:pPr>
              <w:jc w:val="center"/>
              <w:rPr>
                <w:bCs/>
                <w:sz w:val="13"/>
                <w:szCs w:val="13"/>
              </w:rPr>
            </w:pPr>
            <w:r>
              <w:rPr>
                <w:bCs/>
                <w:sz w:val="13"/>
                <w:szCs w:val="13"/>
              </w:rPr>
              <w:t xml:space="preserve">после </w:t>
            </w:r>
            <w:proofErr w:type="gramStart"/>
            <w:r>
              <w:rPr>
                <w:bCs/>
                <w:sz w:val="13"/>
                <w:szCs w:val="13"/>
              </w:rPr>
              <w:t>реали-зации</w:t>
            </w:r>
            <w:proofErr w:type="gramEnd"/>
            <w:r>
              <w:rPr>
                <w:bCs/>
                <w:sz w:val="13"/>
                <w:szCs w:val="13"/>
              </w:rPr>
              <w:t xml:space="preserve"> меро-приятия</w:t>
            </w:r>
          </w:p>
        </w:tc>
        <w:tc>
          <w:tcPr>
            <w:tcW w:w="131" w:type="pct"/>
            <w:tcBorders>
              <w:top w:val="single" w:sz="4" w:space="0" w:color="auto"/>
              <w:left w:val="single" w:sz="4" w:space="0" w:color="auto"/>
              <w:bottom w:val="single" w:sz="4" w:space="0" w:color="auto"/>
              <w:right w:val="single" w:sz="4" w:space="0" w:color="auto"/>
            </w:tcBorders>
            <w:vAlign w:val="center"/>
            <w:hideMark/>
          </w:tcPr>
          <w:p w14:paraId="3F35AB96" w14:textId="77777777" w:rsidR="002F590A" w:rsidRDefault="002F590A">
            <w:pPr>
              <w:rPr>
                <w:bCs/>
                <w:sz w:val="13"/>
                <w:szCs w:val="13"/>
              </w:rPr>
            </w:pPr>
          </w:p>
        </w:tc>
        <w:tc>
          <w:tcPr>
            <w:tcW w:w="133" w:type="pct"/>
            <w:tcBorders>
              <w:top w:val="single" w:sz="4" w:space="0" w:color="auto"/>
              <w:left w:val="single" w:sz="4" w:space="0" w:color="auto"/>
              <w:bottom w:val="single" w:sz="4" w:space="0" w:color="auto"/>
              <w:right w:val="single" w:sz="4" w:space="0" w:color="auto"/>
            </w:tcBorders>
            <w:vAlign w:val="center"/>
            <w:hideMark/>
          </w:tcPr>
          <w:p w14:paraId="0904683F" w14:textId="77777777" w:rsidR="002F590A" w:rsidRDefault="002F590A">
            <w:pPr>
              <w:spacing w:line="256" w:lineRule="auto"/>
              <w:rPr>
                <w:rFonts w:asciiTheme="minorHAnsi" w:eastAsiaTheme="minorHAnsi" w:hAnsiTheme="minorHAnsi" w:cstheme="minorBidi"/>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1FE8B2" w14:textId="77777777" w:rsidR="002F590A" w:rsidRDefault="002F590A">
            <w:pPr>
              <w:spacing w:line="256" w:lineRule="auto"/>
              <w:rPr>
                <w:bCs/>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2EA3CC" w14:textId="77777777" w:rsidR="002F590A" w:rsidRDefault="002F590A">
            <w:pPr>
              <w:spacing w:line="256" w:lineRule="auto"/>
              <w:rPr>
                <w:bCs/>
                <w:sz w:val="13"/>
                <w:szCs w:val="13"/>
              </w:rPr>
            </w:pPr>
          </w:p>
        </w:tc>
        <w:tc>
          <w:tcPr>
            <w:tcW w:w="218" w:type="pct"/>
            <w:tcBorders>
              <w:top w:val="single" w:sz="4" w:space="0" w:color="auto"/>
              <w:left w:val="single" w:sz="4" w:space="0" w:color="auto"/>
              <w:bottom w:val="single" w:sz="4" w:space="0" w:color="auto"/>
              <w:right w:val="single" w:sz="4" w:space="0" w:color="auto"/>
            </w:tcBorders>
            <w:vAlign w:val="center"/>
            <w:hideMark/>
          </w:tcPr>
          <w:p w14:paraId="204E8641" w14:textId="77777777" w:rsidR="002F590A" w:rsidRDefault="002F590A">
            <w:pPr>
              <w:jc w:val="center"/>
              <w:rPr>
                <w:bCs/>
                <w:sz w:val="13"/>
                <w:szCs w:val="13"/>
              </w:rPr>
            </w:pPr>
            <w:r>
              <w:rPr>
                <w:bCs/>
                <w:sz w:val="13"/>
                <w:szCs w:val="13"/>
              </w:rPr>
              <w:t>2022</w:t>
            </w:r>
          </w:p>
        </w:tc>
        <w:tc>
          <w:tcPr>
            <w:tcW w:w="220" w:type="pct"/>
            <w:tcBorders>
              <w:top w:val="single" w:sz="4" w:space="0" w:color="auto"/>
              <w:left w:val="single" w:sz="4" w:space="0" w:color="auto"/>
              <w:bottom w:val="single" w:sz="4" w:space="0" w:color="auto"/>
              <w:right w:val="single" w:sz="4" w:space="0" w:color="auto"/>
            </w:tcBorders>
            <w:vAlign w:val="center"/>
            <w:hideMark/>
          </w:tcPr>
          <w:p w14:paraId="7F81277A" w14:textId="77777777" w:rsidR="002F590A" w:rsidRDefault="002F590A">
            <w:pPr>
              <w:jc w:val="center"/>
              <w:rPr>
                <w:bCs/>
                <w:sz w:val="13"/>
                <w:szCs w:val="13"/>
              </w:rPr>
            </w:pPr>
            <w:r>
              <w:rPr>
                <w:bCs/>
                <w:sz w:val="13"/>
                <w:szCs w:val="13"/>
              </w:rPr>
              <w:t>2023</w:t>
            </w:r>
          </w:p>
        </w:tc>
        <w:tc>
          <w:tcPr>
            <w:tcW w:w="214" w:type="pct"/>
            <w:tcBorders>
              <w:top w:val="single" w:sz="4" w:space="0" w:color="auto"/>
              <w:left w:val="single" w:sz="4" w:space="0" w:color="auto"/>
              <w:bottom w:val="single" w:sz="4" w:space="0" w:color="auto"/>
              <w:right w:val="single" w:sz="4" w:space="0" w:color="auto"/>
            </w:tcBorders>
            <w:vAlign w:val="center"/>
            <w:hideMark/>
          </w:tcPr>
          <w:p w14:paraId="18D4788C" w14:textId="77777777" w:rsidR="002F590A" w:rsidRDefault="002F590A">
            <w:pPr>
              <w:jc w:val="center"/>
              <w:rPr>
                <w:bCs/>
                <w:sz w:val="13"/>
                <w:szCs w:val="13"/>
              </w:rPr>
            </w:pPr>
            <w:r>
              <w:rPr>
                <w:bCs/>
                <w:sz w:val="13"/>
                <w:szCs w:val="13"/>
              </w:rPr>
              <w:t>2024</w:t>
            </w:r>
          </w:p>
        </w:tc>
        <w:tc>
          <w:tcPr>
            <w:tcW w:w="179" w:type="pct"/>
            <w:tcBorders>
              <w:top w:val="single" w:sz="4" w:space="0" w:color="auto"/>
              <w:left w:val="single" w:sz="4" w:space="0" w:color="auto"/>
              <w:bottom w:val="single" w:sz="4" w:space="0" w:color="auto"/>
              <w:right w:val="single" w:sz="4" w:space="0" w:color="auto"/>
            </w:tcBorders>
            <w:vAlign w:val="center"/>
            <w:hideMark/>
          </w:tcPr>
          <w:p w14:paraId="2A2144D7" w14:textId="77777777" w:rsidR="002F590A" w:rsidRDefault="002F590A">
            <w:pPr>
              <w:ind w:left="-14"/>
              <w:jc w:val="center"/>
              <w:rPr>
                <w:bCs/>
                <w:sz w:val="13"/>
                <w:szCs w:val="13"/>
              </w:rPr>
            </w:pPr>
            <w:r>
              <w:rPr>
                <w:bCs/>
                <w:sz w:val="13"/>
                <w:szCs w:val="13"/>
              </w:rPr>
              <w:t>2025</w:t>
            </w:r>
          </w:p>
        </w:tc>
        <w:tc>
          <w:tcPr>
            <w:tcW w:w="171" w:type="pct"/>
            <w:tcBorders>
              <w:top w:val="single" w:sz="4" w:space="0" w:color="auto"/>
              <w:left w:val="single" w:sz="4" w:space="0" w:color="auto"/>
              <w:bottom w:val="single" w:sz="4" w:space="0" w:color="auto"/>
              <w:right w:val="single" w:sz="4" w:space="0" w:color="auto"/>
            </w:tcBorders>
            <w:vAlign w:val="center"/>
            <w:hideMark/>
          </w:tcPr>
          <w:p w14:paraId="595AA580" w14:textId="77777777" w:rsidR="002F590A" w:rsidRDefault="002F590A">
            <w:pPr>
              <w:jc w:val="center"/>
              <w:rPr>
                <w:bCs/>
                <w:sz w:val="13"/>
                <w:szCs w:val="13"/>
              </w:rPr>
            </w:pPr>
            <w:r>
              <w:rPr>
                <w:bCs/>
                <w:sz w:val="13"/>
                <w:szCs w:val="13"/>
              </w:rPr>
              <w:t>2026</w:t>
            </w:r>
          </w:p>
        </w:tc>
        <w:tc>
          <w:tcPr>
            <w:tcW w:w="173" w:type="pct"/>
            <w:tcBorders>
              <w:top w:val="single" w:sz="4" w:space="0" w:color="auto"/>
              <w:left w:val="single" w:sz="4" w:space="0" w:color="auto"/>
              <w:bottom w:val="single" w:sz="4" w:space="0" w:color="auto"/>
              <w:right w:val="single" w:sz="4" w:space="0" w:color="auto"/>
            </w:tcBorders>
            <w:vAlign w:val="center"/>
            <w:hideMark/>
          </w:tcPr>
          <w:p w14:paraId="058BFE97" w14:textId="77777777" w:rsidR="002F590A" w:rsidRDefault="002F590A">
            <w:pPr>
              <w:jc w:val="center"/>
              <w:rPr>
                <w:bCs/>
                <w:sz w:val="13"/>
                <w:szCs w:val="13"/>
              </w:rPr>
            </w:pPr>
            <w:r>
              <w:rPr>
                <w:bCs/>
                <w:sz w:val="13"/>
                <w:szCs w:val="13"/>
              </w:rPr>
              <w:t>2027</w:t>
            </w:r>
          </w:p>
        </w:tc>
        <w:tc>
          <w:tcPr>
            <w:tcW w:w="177" w:type="pct"/>
            <w:tcBorders>
              <w:top w:val="single" w:sz="4" w:space="0" w:color="auto"/>
              <w:left w:val="single" w:sz="4" w:space="0" w:color="auto"/>
              <w:bottom w:val="single" w:sz="4" w:space="0" w:color="auto"/>
              <w:right w:val="single" w:sz="4" w:space="0" w:color="auto"/>
            </w:tcBorders>
            <w:vAlign w:val="center"/>
            <w:hideMark/>
          </w:tcPr>
          <w:p w14:paraId="66B28739" w14:textId="77777777" w:rsidR="002F590A" w:rsidRDefault="002F590A">
            <w:pPr>
              <w:jc w:val="center"/>
              <w:rPr>
                <w:bCs/>
                <w:sz w:val="13"/>
                <w:szCs w:val="13"/>
              </w:rPr>
            </w:pPr>
            <w:r>
              <w:rPr>
                <w:bCs/>
                <w:sz w:val="13"/>
                <w:szCs w:val="13"/>
              </w:rPr>
              <w:t>2028</w:t>
            </w:r>
          </w:p>
        </w:tc>
        <w:tc>
          <w:tcPr>
            <w:tcW w:w="173" w:type="pct"/>
            <w:tcBorders>
              <w:top w:val="single" w:sz="4" w:space="0" w:color="auto"/>
              <w:left w:val="single" w:sz="4" w:space="0" w:color="auto"/>
              <w:bottom w:val="single" w:sz="4" w:space="0" w:color="auto"/>
              <w:right w:val="single" w:sz="4" w:space="0" w:color="auto"/>
            </w:tcBorders>
            <w:vAlign w:val="center"/>
            <w:hideMark/>
          </w:tcPr>
          <w:p w14:paraId="69FA8187" w14:textId="77777777" w:rsidR="002F590A" w:rsidRDefault="002F590A">
            <w:pPr>
              <w:jc w:val="center"/>
              <w:rPr>
                <w:bCs/>
                <w:sz w:val="13"/>
                <w:szCs w:val="13"/>
              </w:rPr>
            </w:pPr>
            <w:r>
              <w:rPr>
                <w:bCs/>
                <w:sz w:val="13"/>
                <w:szCs w:val="13"/>
              </w:rPr>
              <w:t>2029</w:t>
            </w:r>
          </w:p>
        </w:tc>
        <w:tc>
          <w:tcPr>
            <w:tcW w:w="173" w:type="pct"/>
            <w:tcBorders>
              <w:top w:val="single" w:sz="4" w:space="0" w:color="auto"/>
              <w:left w:val="single" w:sz="4" w:space="0" w:color="auto"/>
              <w:bottom w:val="single" w:sz="4" w:space="0" w:color="auto"/>
              <w:right w:val="single" w:sz="4" w:space="0" w:color="auto"/>
            </w:tcBorders>
            <w:vAlign w:val="center"/>
            <w:hideMark/>
          </w:tcPr>
          <w:p w14:paraId="4A48007E" w14:textId="77777777" w:rsidR="002F590A" w:rsidRDefault="002F590A">
            <w:pPr>
              <w:jc w:val="center"/>
              <w:rPr>
                <w:bCs/>
                <w:sz w:val="13"/>
                <w:szCs w:val="13"/>
              </w:rPr>
            </w:pPr>
            <w:r>
              <w:rPr>
                <w:bCs/>
                <w:sz w:val="13"/>
                <w:szCs w:val="13"/>
              </w:rPr>
              <w:t>2030</w:t>
            </w:r>
          </w:p>
        </w:tc>
        <w:tc>
          <w:tcPr>
            <w:tcW w:w="177" w:type="pct"/>
            <w:tcBorders>
              <w:top w:val="single" w:sz="4" w:space="0" w:color="auto"/>
              <w:left w:val="single" w:sz="4" w:space="0" w:color="auto"/>
              <w:bottom w:val="single" w:sz="4" w:space="0" w:color="auto"/>
              <w:right w:val="single" w:sz="4" w:space="0" w:color="auto"/>
            </w:tcBorders>
            <w:vAlign w:val="center"/>
            <w:hideMark/>
          </w:tcPr>
          <w:p w14:paraId="4747C38E" w14:textId="77777777" w:rsidR="002F590A" w:rsidRDefault="002F590A">
            <w:pPr>
              <w:jc w:val="center"/>
              <w:rPr>
                <w:bCs/>
                <w:sz w:val="13"/>
                <w:szCs w:val="13"/>
              </w:rPr>
            </w:pPr>
            <w:r>
              <w:rPr>
                <w:bCs/>
                <w:sz w:val="13"/>
                <w:szCs w:val="13"/>
              </w:rPr>
              <w:t>2031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25FA00" w14:textId="77777777" w:rsidR="002F590A" w:rsidRDefault="002F590A">
            <w:pPr>
              <w:spacing w:line="256" w:lineRule="auto"/>
              <w:rPr>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F49C8D" w14:textId="77777777" w:rsidR="002F590A" w:rsidRDefault="002F590A">
            <w:pPr>
              <w:spacing w:line="256" w:lineRule="auto"/>
              <w:rPr>
                <w:bCs/>
                <w:sz w:val="13"/>
                <w:szCs w:val="13"/>
              </w:rPr>
            </w:pPr>
          </w:p>
        </w:tc>
      </w:tr>
      <w:tr w:rsidR="002F590A" w14:paraId="0D7DB86E" w14:textId="77777777" w:rsidTr="002F590A">
        <w:trPr>
          <w:trHeight w:val="56"/>
        </w:trPr>
        <w:tc>
          <w:tcPr>
            <w:tcW w:w="175" w:type="pct"/>
            <w:tcBorders>
              <w:top w:val="single" w:sz="4" w:space="0" w:color="auto"/>
              <w:left w:val="single" w:sz="4" w:space="0" w:color="auto"/>
              <w:bottom w:val="single" w:sz="4" w:space="0" w:color="auto"/>
              <w:right w:val="single" w:sz="4" w:space="0" w:color="auto"/>
            </w:tcBorders>
            <w:vAlign w:val="center"/>
            <w:hideMark/>
          </w:tcPr>
          <w:p w14:paraId="6719D223" w14:textId="77777777" w:rsidR="002F590A" w:rsidRDefault="002F590A">
            <w:pPr>
              <w:jc w:val="center"/>
              <w:rPr>
                <w:bCs/>
                <w:sz w:val="13"/>
                <w:szCs w:val="13"/>
              </w:rPr>
            </w:pPr>
            <w:r>
              <w:rPr>
                <w:bCs/>
                <w:sz w:val="13"/>
                <w:szCs w:val="13"/>
              </w:rPr>
              <w:t>1</w:t>
            </w:r>
          </w:p>
        </w:tc>
        <w:tc>
          <w:tcPr>
            <w:tcW w:w="262" w:type="pct"/>
            <w:tcBorders>
              <w:top w:val="single" w:sz="4" w:space="0" w:color="auto"/>
              <w:left w:val="single" w:sz="4" w:space="0" w:color="auto"/>
              <w:bottom w:val="single" w:sz="4" w:space="0" w:color="auto"/>
              <w:right w:val="single" w:sz="4" w:space="0" w:color="auto"/>
            </w:tcBorders>
            <w:vAlign w:val="center"/>
            <w:hideMark/>
          </w:tcPr>
          <w:p w14:paraId="649F652D" w14:textId="77777777" w:rsidR="002F590A" w:rsidRDefault="002F590A">
            <w:pPr>
              <w:jc w:val="center"/>
              <w:rPr>
                <w:bCs/>
                <w:sz w:val="13"/>
                <w:szCs w:val="13"/>
              </w:rPr>
            </w:pPr>
            <w:r>
              <w:rPr>
                <w:bCs/>
                <w:sz w:val="13"/>
                <w:szCs w:val="13"/>
              </w:rPr>
              <w:t>2</w:t>
            </w:r>
          </w:p>
        </w:tc>
        <w:tc>
          <w:tcPr>
            <w:tcW w:w="351" w:type="pct"/>
            <w:tcBorders>
              <w:top w:val="single" w:sz="4" w:space="0" w:color="auto"/>
              <w:left w:val="single" w:sz="4" w:space="0" w:color="auto"/>
              <w:bottom w:val="single" w:sz="4" w:space="0" w:color="auto"/>
              <w:right w:val="single" w:sz="4" w:space="0" w:color="auto"/>
            </w:tcBorders>
            <w:vAlign w:val="center"/>
            <w:hideMark/>
          </w:tcPr>
          <w:p w14:paraId="51F94EBB" w14:textId="77777777" w:rsidR="002F590A" w:rsidRDefault="002F590A">
            <w:pPr>
              <w:jc w:val="center"/>
              <w:rPr>
                <w:bCs/>
                <w:sz w:val="13"/>
                <w:szCs w:val="13"/>
              </w:rPr>
            </w:pPr>
            <w:r>
              <w:rPr>
                <w:bCs/>
                <w:sz w:val="13"/>
                <w:szCs w:val="13"/>
              </w:rPr>
              <w:t>3</w:t>
            </w:r>
          </w:p>
        </w:tc>
        <w:tc>
          <w:tcPr>
            <w:tcW w:w="259" w:type="pct"/>
            <w:tcBorders>
              <w:top w:val="single" w:sz="4" w:space="0" w:color="auto"/>
              <w:left w:val="single" w:sz="4" w:space="0" w:color="auto"/>
              <w:bottom w:val="single" w:sz="4" w:space="0" w:color="auto"/>
              <w:right w:val="single" w:sz="4" w:space="0" w:color="auto"/>
            </w:tcBorders>
            <w:vAlign w:val="center"/>
            <w:hideMark/>
          </w:tcPr>
          <w:p w14:paraId="644E3E8A" w14:textId="77777777" w:rsidR="002F590A" w:rsidRDefault="002F590A">
            <w:pPr>
              <w:jc w:val="center"/>
              <w:rPr>
                <w:bCs/>
                <w:sz w:val="13"/>
                <w:szCs w:val="13"/>
              </w:rPr>
            </w:pPr>
            <w:r>
              <w:rPr>
                <w:bCs/>
                <w:sz w:val="13"/>
                <w:szCs w:val="13"/>
              </w:rPr>
              <w:t>4</w:t>
            </w:r>
          </w:p>
        </w:tc>
        <w:tc>
          <w:tcPr>
            <w:tcW w:w="298" w:type="pct"/>
            <w:tcBorders>
              <w:top w:val="single" w:sz="4" w:space="0" w:color="auto"/>
              <w:left w:val="single" w:sz="4" w:space="0" w:color="auto"/>
              <w:bottom w:val="single" w:sz="4" w:space="0" w:color="auto"/>
              <w:right w:val="single" w:sz="4" w:space="0" w:color="auto"/>
            </w:tcBorders>
            <w:vAlign w:val="center"/>
            <w:hideMark/>
          </w:tcPr>
          <w:p w14:paraId="28C20F79" w14:textId="77777777" w:rsidR="002F590A" w:rsidRDefault="002F590A">
            <w:pPr>
              <w:jc w:val="center"/>
              <w:rPr>
                <w:bCs/>
                <w:sz w:val="13"/>
                <w:szCs w:val="13"/>
              </w:rPr>
            </w:pPr>
            <w:r>
              <w:rPr>
                <w:bCs/>
                <w:sz w:val="13"/>
                <w:szCs w:val="13"/>
              </w:rPr>
              <w:t>5</w:t>
            </w:r>
          </w:p>
        </w:tc>
        <w:tc>
          <w:tcPr>
            <w:tcW w:w="130" w:type="pct"/>
            <w:tcBorders>
              <w:top w:val="single" w:sz="4" w:space="0" w:color="auto"/>
              <w:left w:val="single" w:sz="4" w:space="0" w:color="auto"/>
              <w:bottom w:val="single" w:sz="4" w:space="0" w:color="auto"/>
              <w:right w:val="single" w:sz="4" w:space="0" w:color="auto"/>
            </w:tcBorders>
            <w:vAlign w:val="center"/>
            <w:hideMark/>
          </w:tcPr>
          <w:p w14:paraId="37D8588B" w14:textId="77777777" w:rsidR="002F590A" w:rsidRDefault="002F590A">
            <w:pPr>
              <w:jc w:val="center"/>
              <w:rPr>
                <w:bCs/>
                <w:sz w:val="13"/>
                <w:szCs w:val="13"/>
              </w:rPr>
            </w:pPr>
            <w:r>
              <w:rPr>
                <w:bCs/>
                <w:sz w:val="13"/>
                <w:szCs w:val="13"/>
              </w:rPr>
              <w:t>6</w:t>
            </w:r>
          </w:p>
        </w:tc>
        <w:tc>
          <w:tcPr>
            <w:tcW w:w="359" w:type="pct"/>
            <w:tcBorders>
              <w:top w:val="single" w:sz="4" w:space="0" w:color="auto"/>
              <w:left w:val="single" w:sz="4" w:space="0" w:color="auto"/>
              <w:bottom w:val="single" w:sz="4" w:space="0" w:color="auto"/>
              <w:right w:val="single" w:sz="4" w:space="0" w:color="auto"/>
            </w:tcBorders>
            <w:vAlign w:val="center"/>
            <w:hideMark/>
          </w:tcPr>
          <w:p w14:paraId="01C9A032" w14:textId="77777777" w:rsidR="002F590A" w:rsidRDefault="002F590A">
            <w:pPr>
              <w:jc w:val="center"/>
              <w:rPr>
                <w:bCs/>
                <w:sz w:val="13"/>
                <w:szCs w:val="13"/>
              </w:rPr>
            </w:pPr>
            <w:r>
              <w:rPr>
                <w:bCs/>
                <w:sz w:val="13"/>
                <w:szCs w:val="13"/>
              </w:rPr>
              <w:t>7</w:t>
            </w:r>
          </w:p>
        </w:tc>
        <w:tc>
          <w:tcPr>
            <w:tcW w:w="349" w:type="pct"/>
            <w:tcBorders>
              <w:top w:val="single" w:sz="4" w:space="0" w:color="auto"/>
              <w:left w:val="single" w:sz="4" w:space="0" w:color="auto"/>
              <w:bottom w:val="single" w:sz="4" w:space="0" w:color="auto"/>
              <w:right w:val="single" w:sz="4" w:space="0" w:color="auto"/>
            </w:tcBorders>
            <w:vAlign w:val="center"/>
            <w:hideMark/>
          </w:tcPr>
          <w:p w14:paraId="2F134D85" w14:textId="77777777" w:rsidR="002F590A" w:rsidRDefault="002F590A">
            <w:pPr>
              <w:jc w:val="center"/>
              <w:rPr>
                <w:bCs/>
                <w:sz w:val="13"/>
                <w:szCs w:val="13"/>
              </w:rPr>
            </w:pPr>
            <w:r>
              <w:rPr>
                <w:bCs/>
                <w:sz w:val="13"/>
                <w:szCs w:val="13"/>
              </w:rPr>
              <w:t>8</w:t>
            </w:r>
          </w:p>
        </w:tc>
        <w:tc>
          <w:tcPr>
            <w:tcW w:w="131" w:type="pct"/>
            <w:tcBorders>
              <w:top w:val="single" w:sz="4" w:space="0" w:color="auto"/>
              <w:left w:val="single" w:sz="4" w:space="0" w:color="auto"/>
              <w:bottom w:val="single" w:sz="4" w:space="0" w:color="auto"/>
              <w:right w:val="single" w:sz="4" w:space="0" w:color="auto"/>
            </w:tcBorders>
            <w:vAlign w:val="center"/>
            <w:hideMark/>
          </w:tcPr>
          <w:p w14:paraId="1291B95E" w14:textId="77777777" w:rsidR="002F590A" w:rsidRDefault="002F590A">
            <w:pPr>
              <w:jc w:val="center"/>
              <w:rPr>
                <w:bCs/>
                <w:sz w:val="13"/>
                <w:szCs w:val="13"/>
              </w:rPr>
            </w:pPr>
            <w:r>
              <w:rPr>
                <w:bCs/>
                <w:sz w:val="13"/>
                <w:szCs w:val="13"/>
              </w:rPr>
              <w:t>9</w:t>
            </w:r>
          </w:p>
        </w:tc>
        <w:tc>
          <w:tcPr>
            <w:tcW w:w="133" w:type="pct"/>
            <w:tcBorders>
              <w:top w:val="single" w:sz="4" w:space="0" w:color="auto"/>
              <w:left w:val="single" w:sz="4" w:space="0" w:color="auto"/>
              <w:bottom w:val="single" w:sz="4" w:space="0" w:color="auto"/>
              <w:right w:val="single" w:sz="4" w:space="0" w:color="auto"/>
            </w:tcBorders>
            <w:vAlign w:val="center"/>
            <w:hideMark/>
          </w:tcPr>
          <w:p w14:paraId="7B8111A7" w14:textId="77777777" w:rsidR="002F590A" w:rsidRDefault="002F590A">
            <w:pPr>
              <w:jc w:val="center"/>
              <w:rPr>
                <w:bCs/>
                <w:sz w:val="13"/>
                <w:szCs w:val="13"/>
              </w:rPr>
            </w:pPr>
            <w:r>
              <w:rPr>
                <w:bCs/>
                <w:sz w:val="13"/>
                <w:szCs w:val="13"/>
              </w:rPr>
              <w:t>10</w:t>
            </w:r>
          </w:p>
        </w:tc>
        <w:tc>
          <w:tcPr>
            <w:tcW w:w="198" w:type="pct"/>
            <w:tcBorders>
              <w:top w:val="single" w:sz="4" w:space="0" w:color="auto"/>
              <w:left w:val="single" w:sz="4" w:space="0" w:color="auto"/>
              <w:bottom w:val="single" w:sz="4" w:space="0" w:color="auto"/>
              <w:right w:val="single" w:sz="4" w:space="0" w:color="auto"/>
            </w:tcBorders>
            <w:vAlign w:val="center"/>
            <w:hideMark/>
          </w:tcPr>
          <w:p w14:paraId="218F30F3" w14:textId="77777777" w:rsidR="002F590A" w:rsidRDefault="002F590A">
            <w:pPr>
              <w:jc w:val="center"/>
              <w:rPr>
                <w:bCs/>
                <w:sz w:val="13"/>
                <w:szCs w:val="13"/>
              </w:rPr>
            </w:pPr>
            <w:r>
              <w:rPr>
                <w:bCs/>
                <w:sz w:val="13"/>
                <w:szCs w:val="13"/>
              </w:rPr>
              <w:t>11</w:t>
            </w:r>
          </w:p>
        </w:tc>
        <w:tc>
          <w:tcPr>
            <w:tcW w:w="178" w:type="pct"/>
            <w:tcBorders>
              <w:top w:val="single" w:sz="4" w:space="0" w:color="auto"/>
              <w:left w:val="single" w:sz="4" w:space="0" w:color="auto"/>
              <w:bottom w:val="single" w:sz="4" w:space="0" w:color="auto"/>
              <w:right w:val="single" w:sz="4" w:space="0" w:color="auto"/>
            </w:tcBorders>
            <w:vAlign w:val="center"/>
            <w:hideMark/>
          </w:tcPr>
          <w:p w14:paraId="0D55A8BB" w14:textId="77777777" w:rsidR="002F590A" w:rsidRDefault="002F590A">
            <w:pPr>
              <w:jc w:val="center"/>
              <w:rPr>
                <w:bCs/>
                <w:sz w:val="13"/>
                <w:szCs w:val="13"/>
              </w:rPr>
            </w:pPr>
            <w:r>
              <w:rPr>
                <w:bCs/>
                <w:sz w:val="13"/>
                <w:szCs w:val="13"/>
              </w:rPr>
              <w:t>12</w:t>
            </w:r>
          </w:p>
        </w:tc>
        <w:tc>
          <w:tcPr>
            <w:tcW w:w="218" w:type="pct"/>
            <w:tcBorders>
              <w:top w:val="single" w:sz="4" w:space="0" w:color="auto"/>
              <w:left w:val="single" w:sz="4" w:space="0" w:color="auto"/>
              <w:bottom w:val="single" w:sz="4" w:space="0" w:color="auto"/>
              <w:right w:val="single" w:sz="4" w:space="0" w:color="auto"/>
            </w:tcBorders>
            <w:vAlign w:val="center"/>
            <w:hideMark/>
          </w:tcPr>
          <w:p w14:paraId="2A36C83B" w14:textId="77777777" w:rsidR="002F590A" w:rsidRDefault="002F590A">
            <w:pPr>
              <w:jc w:val="center"/>
              <w:rPr>
                <w:bCs/>
                <w:sz w:val="13"/>
                <w:szCs w:val="13"/>
              </w:rPr>
            </w:pPr>
            <w:r>
              <w:rPr>
                <w:bCs/>
                <w:sz w:val="13"/>
                <w:szCs w:val="13"/>
              </w:rPr>
              <w:t>13</w:t>
            </w:r>
          </w:p>
        </w:tc>
        <w:tc>
          <w:tcPr>
            <w:tcW w:w="220" w:type="pct"/>
            <w:tcBorders>
              <w:top w:val="single" w:sz="4" w:space="0" w:color="auto"/>
              <w:left w:val="single" w:sz="4" w:space="0" w:color="auto"/>
              <w:bottom w:val="single" w:sz="4" w:space="0" w:color="auto"/>
              <w:right w:val="single" w:sz="4" w:space="0" w:color="auto"/>
            </w:tcBorders>
            <w:vAlign w:val="center"/>
            <w:hideMark/>
          </w:tcPr>
          <w:p w14:paraId="12AC3F0D" w14:textId="77777777" w:rsidR="002F590A" w:rsidRDefault="002F590A">
            <w:pPr>
              <w:jc w:val="center"/>
              <w:rPr>
                <w:bCs/>
                <w:sz w:val="13"/>
                <w:szCs w:val="13"/>
              </w:rPr>
            </w:pPr>
            <w:r>
              <w:rPr>
                <w:bCs/>
                <w:sz w:val="13"/>
                <w:szCs w:val="13"/>
              </w:rPr>
              <w:t>14</w:t>
            </w:r>
          </w:p>
        </w:tc>
        <w:tc>
          <w:tcPr>
            <w:tcW w:w="214" w:type="pct"/>
            <w:tcBorders>
              <w:top w:val="single" w:sz="4" w:space="0" w:color="auto"/>
              <w:left w:val="single" w:sz="4" w:space="0" w:color="auto"/>
              <w:bottom w:val="single" w:sz="4" w:space="0" w:color="auto"/>
              <w:right w:val="single" w:sz="4" w:space="0" w:color="auto"/>
            </w:tcBorders>
            <w:vAlign w:val="center"/>
            <w:hideMark/>
          </w:tcPr>
          <w:p w14:paraId="74FB915D" w14:textId="77777777" w:rsidR="002F590A" w:rsidRDefault="002F590A">
            <w:pPr>
              <w:jc w:val="center"/>
              <w:rPr>
                <w:bCs/>
                <w:sz w:val="13"/>
                <w:szCs w:val="13"/>
              </w:rPr>
            </w:pPr>
            <w:r>
              <w:rPr>
                <w:bCs/>
                <w:sz w:val="13"/>
                <w:szCs w:val="13"/>
              </w:rPr>
              <w:t>15</w:t>
            </w:r>
          </w:p>
        </w:tc>
        <w:tc>
          <w:tcPr>
            <w:tcW w:w="179" w:type="pct"/>
            <w:tcBorders>
              <w:top w:val="single" w:sz="4" w:space="0" w:color="auto"/>
              <w:left w:val="single" w:sz="4" w:space="0" w:color="auto"/>
              <w:bottom w:val="single" w:sz="4" w:space="0" w:color="auto"/>
              <w:right w:val="single" w:sz="4" w:space="0" w:color="auto"/>
            </w:tcBorders>
            <w:vAlign w:val="center"/>
            <w:hideMark/>
          </w:tcPr>
          <w:p w14:paraId="72048D1A" w14:textId="77777777" w:rsidR="002F590A" w:rsidRDefault="002F590A">
            <w:pPr>
              <w:jc w:val="center"/>
              <w:rPr>
                <w:bCs/>
                <w:sz w:val="13"/>
                <w:szCs w:val="13"/>
              </w:rPr>
            </w:pPr>
            <w:r>
              <w:rPr>
                <w:bCs/>
                <w:sz w:val="13"/>
                <w:szCs w:val="13"/>
              </w:rPr>
              <w:t>16</w:t>
            </w:r>
          </w:p>
        </w:tc>
        <w:tc>
          <w:tcPr>
            <w:tcW w:w="171" w:type="pct"/>
            <w:tcBorders>
              <w:top w:val="single" w:sz="4" w:space="0" w:color="auto"/>
              <w:left w:val="single" w:sz="4" w:space="0" w:color="auto"/>
              <w:bottom w:val="single" w:sz="4" w:space="0" w:color="auto"/>
              <w:right w:val="single" w:sz="4" w:space="0" w:color="auto"/>
            </w:tcBorders>
            <w:vAlign w:val="center"/>
            <w:hideMark/>
          </w:tcPr>
          <w:p w14:paraId="33A60313" w14:textId="77777777" w:rsidR="002F590A" w:rsidRDefault="002F590A">
            <w:pPr>
              <w:jc w:val="center"/>
              <w:rPr>
                <w:bCs/>
                <w:sz w:val="13"/>
                <w:szCs w:val="13"/>
              </w:rPr>
            </w:pPr>
            <w:r>
              <w:rPr>
                <w:bCs/>
                <w:sz w:val="13"/>
                <w:szCs w:val="13"/>
              </w:rPr>
              <w:t>17</w:t>
            </w:r>
          </w:p>
        </w:tc>
        <w:tc>
          <w:tcPr>
            <w:tcW w:w="173" w:type="pct"/>
            <w:tcBorders>
              <w:top w:val="single" w:sz="4" w:space="0" w:color="auto"/>
              <w:left w:val="single" w:sz="4" w:space="0" w:color="auto"/>
              <w:bottom w:val="single" w:sz="4" w:space="0" w:color="auto"/>
              <w:right w:val="single" w:sz="4" w:space="0" w:color="auto"/>
            </w:tcBorders>
            <w:vAlign w:val="center"/>
            <w:hideMark/>
          </w:tcPr>
          <w:p w14:paraId="02D0C7A6" w14:textId="77777777" w:rsidR="002F590A" w:rsidRDefault="002F590A">
            <w:pPr>
              <w:jc w:val="center"/>
              <w:rPr>
                <w:bCs/>
                <w:sz w:val="13"/>
                <w:szCs w:val="13"/>
              </w:rPr>
            </w:pPr>
            <w:r>
              <w:rPr>
                <w:bCs/>
                <w:sz w:val="13"/>
                <w:szCs w:val="13"/>
              </w:rPr>
              <w:t>18</w:t>
            </w:r>
          </w:p>
        </w:tc>
        <w:tc>
          <w:tcPr>
            <w:tcW w:w="177" w:type="pct"/>
            <w:tcBorders>
              <w:top w:val="single" w:sz="4" w:space="0" w:color="auto"/>
              <w:left w:val="single" w:sz="4" w:space="0" w:color="auto"/>
              <w:bottom w:val="single" w:sz="4" w:space="0" w:color="auto"/>
              <w:right w:val="single" w:sz="4" w:space="0" w:color="auto"/>
            </w:tcBorders>
            <w:vAlign w:val="center"/>
            <w:hideMark/>
          </w:tcPr>
          <w:p w14:paraId="1E87D352" w14:textId="77777777" w:rsidR="002F590A" w:rsidRDefault="002F590A">
            <w:pPr>
              <w:jc w:val="center"/>
              <w:rPr>
                <w:bCs/>
                <w:sz w:val="13"/>
                <w:szCs w:val="13"/>
              </w:rPr>
            </w:pPr>
            <w:r>
              <w:rPr>
                <w:bCs/>
                <w:sz w:val="13"/>
                <w:szCs w:val="13"/>
              </w:rPr>
              <w:t>19</w:t>
            </w:r>
          </w:p>
        </w:tc>
        <w:tc>
          <w:tcPr>
            <w:tcW w:w="173" w:type="pct"/>
            <w:tcBorders>
              <w:top w:val="single" w:sz="4" w:space="0" w:color="auto"/>
              <w:left w:val="single" w:sz="4" w:space="0" w:color="auto"/>
              <w:bottom w:val="single" w:sz="4" w:space="0" w:color="auto"/>
              <w:right w:val="single" w:sz="4" w:space="0" w:color="auto"/>
            </w:tcBorders>
            <w:vAlign w:val="center"/>
            <w:hideMark/>
          </w:tcPr>
          <w:p w14:paraId="5BC2A41E" w14:textId="77777777" w:rsidR="002F590A" w:rsidRDefault="002F590A">
            <w:pPr>
              <w:jc w:val="center"/>
              <w:rPr>
                <w:bCs/>
                <w:sz w:val="13"/>
                <w:szCs w:val="13"/>
              </w:rPr>
            </w:pPr>
            <w:r>
              <w:rPr>
                <w:bCs/>
                <w:sz w:val="13"/>
                <w:szCs w:val="13"/>
              </w:rPr>
              <w:t>20</w:t>
            </w:r>
          </w:p>
        </w:tc>
        <w:tc>
          <w:tcPr>
            <w:tcW w:w="173" w:type="pct"/>
            <w:tcBorders>
              <w:top w:val="single" w:sz="4" w:space="0" w:color="auto"/>
              <w:left w:val="single" w:sz="4" w:space="0" w:color="auto"/>
              <w:bottom w:val="single" w:sz="4" w:space="0" w:color="auto"/>
              <w:right w:val="single" w:sz="4" w:space="0" w:color="auto"/>
            </w:tcBorders>
            <w:vAlign w:val="center"/>
            <w:hideMark/>
          </w:tcPr>
          <w:p w14:paraId="551EEDA3" w14:textId="77777777" w:rsidR="002F590A" w:rsidRDefault="002F590A">
            <w:pPr>
              <w:jc w:val="center"/>
              <w:rPr>
                <w:bCs/>
                <w:sz w:val="13"/>
                <w:szCs w:val="13"/>
              </w:rPr>
            </w:pPr>
            <w:r>
              <w:rPr>
                <w:bCs/>
                <w:sz w:val="13"/>
                <w:szCs w:val="13"/>
              </w:rPr>
              <w:t>21</w:t>
            </w:r>
          </w:p>
        </w:tc>
        <w:tc>
          <w:tcPr>
            <w:tcW w:w="177" w:type="pct"/>
            <w:tcBorders>
              <w:top w:val="single" w:sz="4" w:space="0" w:color="auto"/>
              <w:left w:val="single" w:sz="4" w:space="0" w:color="auto"/>
              <w:bottom w:val="single" w:sz="4" w:space="0" w:color="auto"/>
              <w:right w:val="single" w:sz="4" w:space="0" w:color="auto"/>
            </w:tcBorders>
            <w:vAlign w:val="center"/>
            <w:hideMark/>
          </w:tcPr>
          <w:p w14:paraId="1E8F5EC8" w14:textId="77777777" w:rsidR="002F590A" w:rsidRDefault="002F590A">
            <w:pPr>
              <w:jc w:val="center"/>
              <w:rPr>
                <w:bCs/>
                <w:sz w:val="13"/>
                <w:szCs w:val="13"/>
              </w:rPr>
            </w:pPr>
            <w:r>
              <w:rPr>
                <w:bCs/>
                <w:sz w:val="13"/>
                <w:szCs w:val="13"/>
              </w:rPr>
              <w:t>22</w:t>
            </w:r>
          </w:p>
        </w:tc>
        <w:tc>
          <w:tcPr>
            <w:tcW w:w="174" w:type="pct"/>
            <w:tcBorders>
              <w:top w:val="single" w:sz="4" w:space="0" w:color="auto"/>
              <w:left w:val="single" w:sz="4" w:space="0" w:color="auto"/>
              <w:bottom w:val="single" w:sz="4" w:space="0" w:color="auto"/>
              <w:right w:val="single" w:sz="4" w:space="0" w:color="auto"/>
            </w:tcBorders>
            <w:vAlign w:val="center"/>
            <w:hideMark/>
          </w:tcPr>
          <w:p w14:paraId="7D33ECF4" w14:textId="77777777" w:rsidR="002F590A" w:rsidRDefault="002F590A">
            <w:pPr>
              <w:jc w:val="center"/>
              <w:rPr>
                <w:bCs/>
                <w:sz w:val="13"/>
                <w:szCs w:val="13"/>
              </w:rPr>
            </w:pPr>
            <w:r>
              <w:rPr>
                <w:bCs/>
                <w:sz w:val="13"/>
                <w:szCs w:val="13"/>
              </w:rPr>
              <w:t>23</w:t>
            </w:r>
          </w:p>
        </w:tc>
        <w:tc>
          <w:tcPr>
            <w:tcW w:w="128" w:type="pct"/>
            <w:tcBorders>
              <w:top w:val="single" w:sz="4" w:space="0" w:color="auto"/>
              <w:left w:val="single" w:sz="4" w:space="0" w:color="auto"/>
              <w:bottom w:val="single" w:sz="4" w:space="0" w:color="auto"/>
              <w:right w:val="single" w:sz="4" w:space="0" w:color="auto"/>
            </w:tcBorders>
            <w:vAlign w:val="center"/>
            <w:hideMark/>
          </w:tcPr>
          <w:p w14:paraId="4C1645B9" w14:textId="77777777" w:rsidR="002F590A" w:rsidRDefault="002F590A">
            <w:pPr>
              <w:jc w:val="center"/>
              <w:rPr>
                <w:bCs/>
                <w:sz w:val="13"/>
                <w:szCs w:val="13"/>
              </w:rPr>
            </w:pPr>
            <w:r>
              <w:rPr>
                <w:bCs/>
                <w:sz w:val="13"/>
                <w:szCs w:val="13"/>
              </w:rPr>
              <w:t>24</w:t>
            </w:r>
          </w:p>
        </w:tc>
      </w:tr>
      <w:tr w:rsidR="002F590A" w14:paraId="7B5BB88E" w14:textId="77777777" w:rsidTr="002F590A">
        <w:trPr>
          <w:trHeight w:val="56"/>
        </w:trPr>
        <w:tc>
          <w:tcPr>
            <w:tcW w:w="5000" w:type="pct"/>
            <w:gridSpan w:val="24"/>
            <w:tcBorders>
              <w:top w:val="single" w:sz="4" w:space="0" w:color="auto"/>
              <w:left w:val="single" w:sz="4" w:space="0" w:color="auto"/>
              <w:bottom w:val="single" w:sz="4" w:space="0" w:color="auto"/>
              <w:right w:val="single" w:sz="4" w:space="0" w:color="auto"/>
            </w:tcBorders>
            <w:hideMark/>
          </w:tcPr>
          <w:p w14:paraId="2B190EDB" w14:textId="77777777" w:rsidR="002F590A" w:rsidRDefault="002F590A">
            <w:pPr>
              <w:rPr>
                <w:sz w:val="13"/>
                <w:szCs w:val="13"/>
              </w:rPr>
            </w:pPr>
            <w:r>
              <w:rPr>
                <w:sz w:val="13"/>
                <w:szCs w:val="13"/>
              </w:rPr>
              <w:t>Группа 1. Строительство, реконструкция или модернизация объектов в целях подключения потребителей:</w:t>
            </w:r>
          </w:p>
        </w:tc>
      </w:tr>
      <w:tr w:rsidR="002F590A" w14:paraId="634CE4DC" w14:textId="77777777" w:rsidTr="002F590A">
        <w:trPr>
          <w:trHeight w:val="56"/>
        </w:trPr>
        <w:tc>
          <w:tcPr>
            <w:tcW w:w="5000" w:type="pct"/>
            <w:gridSpan w:val="24"/>
            <w:tcBorders>
              <w:top w:val="single" w:sz="4" w:space="0" w:color="auto"/>
              <w:left w:val="single" w:sz="4" w:space="0" w:color="auto"/>
              <w:bottom w:val="single" w:sz="4" w:space="0" w:color="auto"/>
              <w:right w:val="single" w:sz="4" w:space="0" w:color="auto"/>
            </w:tcBorders>
            <w:hideMark/>
          </w:tcPr>
          <w:p w14:paraId="08C406FE" w14:textId="77777777" w:rsidR="002F590A" w:rsidRDefault="002F590A">
            <w:pPr>
              <w:rPr>
                <w:sz w:val="13"/>
                <w:szCs w:val="13"/>
              </w:rPr>
            </w:pPr>
            <w:r>
              <w:rPr>
                <w:sz w:val="13"/>
                <w:szCs w:val="13"/>
              </w:rPr>
              <w:t>1.1. Строительство новых тепловых сетей в целях подключения потребителей</w:t>
            </w:r>
          </w:p>
        </w:tc>
      </w:tr>
      <w:tr w:rsidR="002F590A" w14:paraId="22A9F76F" w14:textId="77777777" w:rsidTr="002F590A">
        <w:trPr>
          <w:trHeight w:val="56"/>
        </w:trPr>
        <w:tc>
          <w:tcPr>
            <w:tcW w:w="5000" w:type="pct"/>
            <w:gridSpan w:val="24"/>
            <w:tcBorders>
              <w:top w:val="single" w:sz="4" w:space="0" w:color="auto"/>
              <w:left w:val="single" w:sz="4" w:space="0" w:color="auto"/>
              <w:bottom w:val="single" w:sz="4" w:space="0" w:color="auto"/>
              <w:right w:val="single" w:sz="4" w:space="0" w:color="auto"/>
            </w:tcBorders>
            <w:hideMark/>
          </w:tcPr>
          <w:p w14:paraId="17F4BAAB" w14:textId="77777777" w:rsidR="002F590A" w:rsidRDefault="002F590A">
            <w:pPr>
              <w:rPr>
                <w:sz w:val="13"/>
                <w:szCs w:val="13"/>
              </w:rPr>
            </w:pPr>
            <w:r>
              <w:rPr>
                <w:sz w:val="13"/>
                <w:szCs w:val="13"/>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2F590A" w14:paraId="4B5938FB" w14:textId="77777777" w:rsidTr="002F590A">
        <w:trPr>
          <w:trHeight w:val="56"/>
        </w:trPr>
        <w:tc>
          <w:tcPr>
            <w:tcW w:w="5000" w:type="pct"/>
            <w:gridSpan w:val="24"/>
            <w:tcBorders>
              <w:top w:val="single" w:sz="4" w:space="0" w:color="auto"/>
              <w:left w:val="single" w:sz="4" w:space="0" w:color="auto"/>
              <w:bottom w:val="single" w:sz="4" w:space="0" w:color="auto"/>
              <w:right w:val="single" w:sz="4" w:space="0" w:color="auto"/>
            </w:tcBorders>
            <w:hideMark/>
          </w:tcPr>
          <w:p w14:paraId="6D861179" w14:textId="77777777" w:rsidR="002F590A" w:rsidRDefault="002F590A">
            <w:pPr>
              <w:rPr>
                <w:sz w:val="13"/>
                <w:szCs w:val="13"/>
              </w:rPr>
            </w:pPr>
            <w:r>
              <w:rPr>
                <w:sz w:val="13"/>
                <w:szCs w:val="13"/>
              </w:rPr>
              <w:t>1.3. Увеличение пропускной способности существующих тепловых сетей в целях подключения потребителей</w:t>
            </w:r>
          </w:p>
        </w:tc>
      </w:tr>
      <w:tr w:rsidR="002F590A" w14:paraId="4994694D" w14:textId="77777777" w:rsidTr="002F590A">
        <w:trPr>
          <w:trHeight w:val="56"/>
        </w:trPr>
        <w:tc>
          <w:tcPr>
            <w:tcW w:w="5000" w:type="pct"/>
            <w:gridSpan w:val="24"/>
            <w:tcBorders>
              <w:top w:val="single" w:sz="4" w:space="0" w:color="auto"/>
              <w:left w:val="single" w:sz="4" w:space="0" w:color="auto"/>
              <w:bottom w:val="single" w:sz="4" w:space="0" w:color="auto"/>
              <w:right w:val="single" w:sz="4" w:space="0" w:color="auto"/>
            </w:tcBorders>
            <w:hideMark/>
          </w:tcPr>
          <w:p w14:paraId="38EBCFEC" w14:textId="77777777" w:rsidR="002F590A" w:rsidRDefault="002F590A">
            <w:pPr>
              <w:rPr>
                <w:sz w:val="13"/>
                <w:szCs w:val="13"/>
              </w:rPr>
            </w:pPr>
            <w:r>
              <w:rPr>
                <w:sz w:val="13"/>
                <w:szCs w:val="13"/>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2F590A" w14:paraId="5981FC50" w14:textId="77777777" w:rsidTr="002F590A">
        <w:trPr>
          <w:trHeight w:val="47"/>
        </w:trPr>
        <w:tc>
          <w:tcPr>
            <w:tcW w:w="2447" w:type="pct"/>
            <w:gridSpan w:val="10"/>
            <w:tcBorders>
              <w:top w:val="single" w:sz="4" w:space="0" w:color="auto"/>
              <w:left w:val="single" w:sz="4" w:space="0" w:color="auto"/>
              <w:bottom w:val="single" w:sz="4" w:space="0" w:color="auto"/>
              <w:right w:val="single" w:sz="4" w:space="0" w:color="auto"/>
            </w:tcBorders>
            <w:vAlign w:val="center"/>
            <w:hideMark/>
          </w:tcPr>
          <w:p w14:paraId="5D987D45" w14:textId="77777777" w:rsidR="002F590A" w:rsidRDefault="002F590A">
            <w:pPr>
              <w:rPr>
                <w:sz w:val="13"/>
                <w:szCs w:val="13"/>
              </w:rPr>
            </w:pPr>
            <w:r>
              <w:rPr>
                <w:sz w:val="13"/>
                <w:szCs w:val="13"/>
              </w:rPr>
              <w:t>Всего по группе 1.</w:t>
            </w:r>
          </w:p>
        </w:tc>
        <w:tc>
          <w:tcPr>
            <w:tcW w:w="198" w:type="pct"/>
            <w:tcBorders>
              <w:top w:val="single" w:sz="4" w:space="0" w:color="auto"/>
              <w:left w:val="single" w:sz="4" w:space="0" w:color="auto"/>
              <w:bottom w:val="single" w:sz="4" w:space="0" w:color="auto"/>
              <w:right w:val="single" w:sz="4" w:space="0" w:color="auto"/>
            </w:tcBorders>
            <w:hideMark/>
          </w:tcPr>
          <w:p w14:paraId="3E0AB927" w14:textId="77777777" w:rsidR="002F590A" w:rsidRDefault="002F590A">
            <w:pPr>
              <w:jc w:val="center"/>
              <w:rPr>
                <w:sz w:val="13"/>
                <w:szCs w:val="13"/>
              </w:rPr>
            </w:pPr>
            <w:r>
              <w:rPr>
                <w:sz w:val="13"/>
                <w:szCs w:val="13"/>
              </w:rPr>
              <w:t>0,0</w:t>
            </w:r>
          </w:p>
        </w:tc>
        <w:tc>
          <w:tcPr>
            <w:tcW w:w="178" w:type="pct"/>
            <w:tcBorders>
              <w:top w:val="single" w:sz="4" w:space="0" w:color="auto"/>
              <w:left w:val="single" w:sz="4" w:space="0" w:color="auto"/>
              <w:bottom w:val="single" w:sz="4" w:space="0" w:color="auto"/>
              <w:right w:val="single" w:sz="4" w:space="0" w:color="auto"/>
            </w:tcBorders>
            <w:hideMark/>
          </w:tcPr>
          <w:p w14:paraId="3C6DD506" w14:textId="77777777" w:rsidR="002F590A" w:rsidRDefault="002F590A">
            <w:pPr>
              <w:jc w:val="center"/>
              <w:rPr>
                <w:sz w:val="13"/>
                <w:szCs w:val="13"/>
              </w:rPr>
            </w:pPr>
            <w:r>
              <w:rPr>
                <w:sz w:val="13"/>
                <w:szCs w:val="13"/>
              </w:rPr>
              <w:t>0,0</w:t>
            </w:r>
          </w:p>
        </w:tc>
        <w:tc>
          <w:tcPr>
            <w:tcW w:w="218" w:type="pct"/>
            <w:tcBorders>
              <w:top w:val="single" w:sz="4" w:space="0" w:color="auto"/>
              <w:left w:val="single" w:sz="4" w:space="0" w:color="auto"/>
              <w:bottom w:val="single" w:sz="4" w:space="0" w:color="auto"/>
              <w:right w:val="single" w:sz="4" w:space="0" w:color="auto"/>
            </w:tcBorders>
            <w:hideMark/>
          </w:tcPr>
          <w:p w14:paraId="5C92286F" w14:textId="77777777" w:rsidR="002F590A" w:rsidRDefault="002F590A">
            <w:pPr>
              <w:jc w:val="center"/>
              <w:rPr>
                <w:sz w:val="13"/>
                <w:szCs w:val="13"/>
              </w:rPr>
            </w:pPr>
            <w:r>
              <w:rPr>
                <w:sz w:val="13"/>
                <w:szCs w:val="13"/>
              </w:rPr>
              <w:t>0,0</w:t>
            </w:r>
          </w:p>
        </w:tc>
        <w:tc>
          <w:tcPr>
            <w:tcW w:w="220" w:type="pct"/>
            <w:tcBorders>
              <w:top w:val="single" w:sz="4" w:space="0" w:color="auto"/>
              <w:left w:val="single" w:sz="4" w:space="0" w:color="auto"/>
              <w:bottom w:val="single" w:sz="4" w:space="0" w:color="auto"/>
              <w:right w:val="single" w:sz="4" w:space="0" w:color="auto"/>
            </w:tcBorders>
            <w:hideMark/>
          </w:tcPr>
          <w:p w14:paraId="6E2621AF" w14:textId="77777777" w:rsidR="002F590A" w:rsidRDefault="002F590A">
            <w:pPr>
              <w:jc w:val="center"/>
              <w:rPr>
                <w:sz w:val="13"/>
                <w:szCs w:val="13"/>
              </w:rPr>
            </w:pPr>
            <w:r>
              <w:rPr>
                <w:sz w:val="13"/>
                <w:szCs w:val="13"/>
              </w:rPr>
              <w:t>0,0</w:t>
            </w:r>
          </w:p>
        </w:tc>
        <w:tc>
          <w:tcPr>
            <w:tcW w:w="214" w:type="pct"/>
            <w:tcBorders>
              <w:top w:val="single" w:sz="4" w:space="0" w:color="auto"/>
              <w:left w:val="single" w:sz="4" w:space="0" w:color="auto"/>
              <w:bottom w:val="single" w:sz="4" w:space="0" w:color="auto"/>
              <w:right w:val="single" w:sz="4" w:space="0" w:color="auto"/>
            </w:tcBorders>
            <w:hideMark/>
          </w:tcPr>
          <w:p w14:paraId="47E71DFA" w14:textId="77777777" w:rsidR="002F590A" w:rsidRDefault="002F590A">
            <w:pPr>
              <w:jc w:val="center"/>
              <w:rPr>
                <w:sz w:val="13"/>
                <w:szCs w:val="13"/>
              </w:rPr>
            </w:pPr>
            <w:r>
              <w:rPr>
                <w:sz w:val="13"/>
                <w:szCs w:val="13"/>
              </w:rPr>
              <w:t>0,0</w:t>
            </w:r>
          </w:p>
        </w:tc>
        <w:tc>
          <w:tcPr>
            <w:tcW w:w="179" w:type="pct"/>
            <w:tcBorders>
              <w:top w:val="single" w:sz="4" w:space="0" w:color="auto"/>
              <w:left w:val="single" w:sz="4" w:space="0" w:color="auto"/>
              <w:bottom w:val="single" w:sz="4" w:space="0" w:color="auto"/>
              <w:right w:val="single" w:sz="4" w:space="0" w:color="auto"/>
            </w:tcBorders>
            <w:hideMark/>
          </w:tcPr>
          <w:p w14:paraId="0875CCC6" w14:textId="77777777" w:rsidR="002F590A" w:rsidRDefault="002F590A">
            <w:pPr>
              <w:jc w:val="center"/>
              <w:rPr>
                <w:sz w:val="13"/>
                <w:szCs w:val="13"/>
              </w:rPr>
            </w:pPr>
            <w:r>
              <w:rPr>
                <w:sz w:val="13"/>
                <w:szCs w:val="13"/>
              </w:rPr>
              <w:t>0,0</w:t>
            </w:r>
          </w:p>
        </w:tc>
        <w:tc>
          <w:tcPr>
            <w:tcW w:w="171" w:type="pct"/>
            <w:tcBorders>
              <w:top w:val="single" w:sz="4" w:space="0" w:color="auto"/>
              <w:left w:val="single" w:sz="4" w:space="0" w:color="auto"/>
              <w:bottom w:val="single" w:sz="4" w:space="0" w:color="auto"/>
              <w:right w:val="single" w:sz="4" w:space="0" w:color="auto"/>
            </w:tcBorders>
            <w:hideMark/>
          </w:tcPr>
          <w:p w14:paraId="2A3D9050" w14:textId="77777777" w:rsidR="002F590A" w:rsidRDefault="002F590A">
            <w:pPr>
              <w:jc w:val="center"/>
              <w:rPr>
                <w:sz w:val="13"/>
                <w:szCs w:val="13"/>
              </w:rPr>
            </w:pPr>
            <w:r>
              <w:rPr>
                <w:sz w:val="13"/>
                <w:szCs w:val="13"/>
              </w:rPr>
              <w:t>0,0</w:t>
            </w:r>
          </w:p>
        </w:tc>
        <w:tc>
          <w:tcPr>
            <w:tcW w:w="173" w:type="pct"/>
            <w:tcBorders>
              <w:top w:val="single" w:sz="4" w:space="0" w:color="auto"/>
              <w:left w:val="single" w:sz="4" w:space="0" w:color="auto"/>
              <w:bottom w:val="single" w:sz="4" w:space="0" w:color="auto"/>
              <w:right w:val="single" w:sz="4" w:space="0" w:color="auto"/>
            </w:tcBorders>
            <w:hideMark/>
          </w:tcPr>
          <w:p w14:paraId="16D61260" w14:textId="77777777" w:rsidR="002F590A" w:rsidRDefault="002F590A">
            <w:pPr>
              <w:jc w:val="center"/>
              <w:rPr>
                <w:sz w:val="13"/>
                <w:szCs w:val="13"/>
              </w:rPr>
            </w:pPr>
            <w:r>
              <w:rPr>
                <w:sz w:val="13"/>
                <w:szCs w:val="13"/>
              </w:rPr>
              <w:t>0,0</w:t>
            </w:r>
          </w:p>
        </w:tc>
        <w:tc>
          <w:tcPr>
            <w:tcW w:w="177" w:type="pct"/>
            <w:tcBorders>
              <w:top w:val="single" w:sz="4" w:space="0" w:color="auto"/>
              <w:left w:val="single" w:sz="4" w:space="0" w:color="auto"/>
              <w:bottom w:val="single" w:sz="4" w:space="0" w:color="auto"/>
              <w:right w:val="single" w:sz="4" w:space="0" w:color="auto"/>
            </w:tcBorders>
            <w:hideMark/>
          </w:tcPr>
          <w:p w14:paraId="2D8BA107" w14:textId="77777777" w:rsidR="002F590A" w:rsidRDefault="002F590A">
            <w:pPr>
              <w:jc w:val="center"/>
              <w:rPr>
                <w:sz w:val="13"/>
                <w:szCs w:val="13"/>
              </w:rPr>
            </w:pPr>
            <w:r>
              <w:rPr>
                <w:sz w:val="13"/>
                <w:szCs w:val="13"/>
              </w:rPr>
              <w:t>0,0</w:t>
            </w:r>
          </w:p>
        </w:tc>
        <w:tc>
          <w:tcPr>
            <w:tcW w:w="173" w:type="pct"/>
            <w:tcBorders>
              <w:top w:val="single" w:sz="4" w:space="0" w:color="auto"/>
              <w:left w:val="single" w:sz="4" w:space="0" w:color="auto"/>
              <w:bottom w:val="single" w:sz="4" w:space="0" w:color="auto"/>
              <w:right w:val="single" w:sz="4" w:space="0" w:color="auto"/>
            </w:tcBorders>
            <w:hideMark/>
          </w:tcPr>
          <w:p w14:paraId="60AD4D34" w14:textId="77777777" w:rsidR="002F590A" w:rsidRDefault="002F590A">
            <w:pPr>
              <w:jc w:val="center"/>
              <w:rPr>
                <w:sz w:val="13"/>
                <w:szCs w:val="13"/>
              </w:rPr>
            </w:pPr>
            <w:r>
              <w:rPr>
                <w:sz w:val="13"/>
                <w:szCs w:val="13"/>
              </w:rPr>
              <w:t>0,0</w:t>
            </w:r>
          </w:p>
        </w:tc>
        <w:tc>
          <w:tcPr>
            <w:tcW w:w="173" w:type="pct"/>
            <w:tcBorders>
              <w:top w:val="single" w:sz="4" w:space="0" w:color="auto"/>
              <w:left w:val="single" w:sz="4" w:space="0" w:color="auto"/>
              <w:bottom w:val="single" w:sz="4" w:space="0" w:color="auto"/>
              <w:right w:val="single" w:sz="4" w:space="0" w:color="auto"/>
            </w:tcBorders>
            <w:hideMark/>
          </w:tcPr>
          <w:p w14:paraId="73779E8D" w14:textId="77777777" w:rsidR="002F590A" w:rsidRDefault="002F590A">
            <w:pPr>
              <w:jc w:val="center"/>
              <w:rPr>
                <w:sz w:val="13"/>
                <w:szCs w:val="13"/>
              </w:rPr>
            </w:pPr>
            <w:r>
              <w:rPr>
                <w:sz w:val="13"/>
                <w:szCs w:val="13"/>
              </w:rPr>
              <w:t>0,0</w:t>
            </w:r>
          </w:p>
        </w:tc>
        <w:tc>
          <w:tcPr>
            <w:tcW w:w="177" w:type="pct"/>
            <w:tcBorders>
              <w:top w:val="single" w:sz="4" w:space="0" w:color="auto"/>
              <w:left w:val="single" w:sz="4" w:space="0" w:color="auto"/>
              <w:bottom w:val="single" w:sz="4" w:space="0" w:color="auto"/>
              <w:right w:val="single" w:sz="4" w:space="0" w:color="auto"/>
            </w:tcBorders>
            <w:hideMark/>
          </w:tcPr>
          <w:p w14:paraId="4F0A7F2F" w14:textId="77777777" w:rsidR="002F590A" w:rsidRDefault="002F590A">
            <w:pPr>
              <w:jc w:val="center"/>
              <w:rPr>
                <w:sz w:val="13"/>
                <w:szCs w:val="13"/>
              </w:rPr>
            </w:pPr>
            <w:r>
              <w:rPr>
                <w:sz w:val="13"/>
                <w:szCs w:val="13"/>
              </w:rPr>
              <w:t>0,0</w:t>
            </w:r>
          </w:p>
        </w:tc>
        <w:tc>
          <w:tcPr>
            <w:tcW w:w="174" w:type="pct"/>
            <w:tcBorders>
              <w:top w:val="single" w:sz="4" w:space="0" w:color="auto"/>
              <w:left w:val="single" w:sz="4" w:space="0" w:color="auto"/>
              <w:bottom w:val="single" w:sz="4" w:space="0" w:color="auto"/>
              <w:right w:val="single" w:sz="4" w:space="0" w:color="auto"/>
            </w:tcBorders>
            <w:hideMark/>
          </w:tcPr>
          <w:p w14:paraId="60BE0092" w14:textId="77777777" w:rsidR="002F590A" w:rsidRDefault="002F590A">
            <w:pPr>
              <w:jc w:val="center"/>
              <w:rPr>
                <w:sz w:val="13"/>
                <w:szCs w:val="13"/>
              </w:rPr>
            </w:pPr>
            <w:r>
              <w:rPr>
                <w:sz w:val="13"/>
                <w:szCs w:val="13"/>
              </w:rPr>
              <w:t>0,0</w:t>
            </w:r>
          </w:p>
        </w:tc>
        <w:tc>
          <w:tcPr>
            <w:tcW w:w="128" w:type="pct"/>
            <w:tcBorders>
              <w:top w:val="single" w:sz="4" w:space="0" w:color="auto"/>
              <w:left w:val="single" w:sz="4" w:space="0" w:color="auto"/>
              <w:bottom w:val="single" w:sz="4" w:space="0" w:color="auto"/>
              <w:right w:val="single" w:sz="4" w:space="0" w:color="auto"/>
            </w:tcBorders>
            <w:hideMark/>
          </w:tcPr>
          <w:p w14:paraId="7428BA5A" w14:textId="77777777" w:rsidR="002F590A" w:rsidRDefault="002F590A">
            <w:pPr>
              <w:jc w:val="center"/>
              <w:rPr>
                <w:sz w:val="13"/>
                <w:szCs w:val="13"/>
              </w:rPr>
            </w:pPr>
            <w:r>
              <w:rPr>
                <w:sz w:val="13"/>
                <w:szCs w:val="13"/>
              </w:rPr>
              <w:t>0,0</w:t>
            </w:r>
          </w:p>
        </w:tc>
      </w:tr>
      <w:tr w:rsidR="002F590A" w14:paraId="69585872" w14:textId="77777777" w:rsidTr="002F590A">
        <w:trPr>
          <w:trHeight w:val="37"/>
        </w:trPr>
        <w:tc>
          <w:tcPr>
            <w:tcW w:w="5000" w:type="pct"/>
            <w:gridSpan w:val="24"/>
            <w:tcBorders>
              <w:top w:val="single" w:sz="4" w:space="0" w:color="auto"/>
              <w:left w:val="single" w:sz="4" w:space="0" w:color="auto"/>
              <w:bottom w:val="single" w:sz="4" w:space="0" w:color="auto"/>
              <w:right w:val="single" w:sz="4" w:space="0" w:color="auto"/>
            </w:tcBorders>
            <w:hideMark/>
          </w:tcPr>
          <w:p w14:paraId="6AB97F5F" w14:textId="77777777" w:rsidR="002F590A" w:rsidRDefault="002F590A">
            <w:pPr>
              <w:rPr>
                <w:sz w:val="13"/>
                <w:szCs w:val="13"/>
              </w:rPr>
            </w:pPr>
            <w:r>
              <w:rPr>
                <w:sz w:val="13"/>
                <w:szCs w:val="13"/>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2F590A" w14:paraId="420C015E" w14:textId="77777777" w:rsidTr="002F590A">
        <w:trPr>
          <w:trHeight w:val="47"/>
        </w:trPr>
        <w:tc>
          <w:tcPr>
            <w:tcW w:w="2447" w:type="pct"/>
            <w:gridSpan w:val="10"/>
            <w:tcBorders>
              <w:top w:val="single" w:sz="4" w:space="0" w:color="auto"/>
              <w:left w:val="single" w:sz="4" w:space="0" w:color="auto"/>
              <w:bottom w:val="single" w:sz="4" w:space="0" w:color="auto"/>
              <w:right w:val="single" w:sz="4" w:space="0" w:color="auto"/>
            </w:tcBorders>
            <w:vAlign w:val="center"/>
            <w:hideMark/>
          </w:tcPr>
          <w:p w14:paraId="7D45EDB2" w14:textId="77777777" w:rsidR="002F590A" w:rsidRDefault="002F590A">
            <w:pPr>
              <w:rPr>
                <w:sz w:val="13"/>
                <w:szCs w:val="13"/>
              </w:rPr>
            </w:pPr>
            <w:r>
              <w:rPr>
                <w:sz w:val="13"/>
                <w:szCs w:val="13"/>
              </w:rPr>
              <w:t>Всего по группе 2.</w:t>
            </w:r>
          </w:p>
        </w:tc>
        <w:tc>
          <w:tcPr>
            <w:tcW w:w="198" w:type="pct"/>
            <w:tcBorders>
              <w:top w:val="single" w:sz="4" w:space="0" w:color="auto"/>
              <w:left w:val="single" w:sz="4" w:space="0" w:color="auto"/>
              <w:bottom w:val="single" w:sz="4" w:space="0" w:color="auto"/>
              <w:right w:val="single" w:sz="4" w:space="0" w:color="auto"/>
            </w:tcBorders>
            <w:vAlign w:val="center"/>
            <w:hideMark/>
          </w:tcPr>
          <w:p w14:paraId="7EBCAF29" w14:textId="77777777" w:rsidR="002F590A" w:rsidRDefault="002F590A">
            <w:pPr>
              <w:jc w:val="center"/>
              <w:rPr>
                <w:sz w:val="13"/>
                <w:szCs w:val="13"/>
              </w:rPr>
            </w:pPr>
            <w:r>
              <w:rPr>
                <w:sz w:val="13"/>
                <w:szCs w:val="13"/>
              </w:rPr>
              <w:t>0,0</w:t>
            </w:r>
          </w:p>
        </w:tc>
        <w:tc>
          <w:tcPr>
            <w:tcW w:w="178" w:type="pct"/>
            <w:tcBorders>
              <w:top w:val="single" w:sz="4" w:space="0" w:color="auto"/>
              <w:left w:val="single" w:sz="4" w:space="0" w:color="auto"/>
              <w:bottom w:val="single" w:sz="4" w:space="0" w:color="auto"/>
              <w:right w:val="single" w:sz="4" w:space="0" w:color="auto"/>
            </w:tcBorders>
            <w:vAlign w:val="center"/>
            <w:hideMark/>
          </w:tcPr>
          <w:p w14:paraId="2798AE82" w14:textId="77777777" w:rsidR="002F590A" w:rsidRDefault="002F590A">
            <w:pPr>
              <w:jc w:val="center"/>
              <w:rPr>
                <w:sz w:val="13"/>
                <w:szCs w:val="13"/>
              </w:rPr>
            </w:pPr>
            <w:r>
              <w:rPr>
                <w:sz w:val="13"/>
                <w:szCs w:val="13"/>
              </w:rPr>
              <w:t>0,0</w:t>
            </w:r>
          </w:p>
        </w:tc>
        <w:tc>
          <w:tcPr>
            <w:tcW w:w="218" w:type="pct"/>
            <w:tcBorders>
              <w:top w:val="single" w:sz="4" w:space="0" w:color="auto"/>
              <w:left w:val="single" w:sz="4" w:space="0" w:color="auto"/>
              <w:bottom w:val="single" w:sz="4" w:space="0" w:color="auto"/>
              <w:right w:val="single" w:sz="4" w:space="0" w:color="auto"/>
            </w:tcBorders>
            <w:vAlign w:val="center"/>
            <w:hideMark/>
          </w:tcPr>
          <w:p w14:paraId="276B7962" w14:textId="77777777" w:rsidR="002F590A" w:rsidRDefault="002F590A">
            <w:pPr>
              <w:jc w:val="center"/>
              <w:rPr>
                <w:color w:val="000000"/>
                <w:sz w:val="13"/>
                <w:szCs w:val="13"/>
              </w:rPr>
            </w:pPr>
            <w:r>
              <w:rPr>
                <w:sz w:val="13"/>
                <w:szCs w:val="13"/>
              </w:rPr>
              <w:t>0,0</w:t>
            </w:r>
          </w:p>
        </w:tc>
        <w:tc>
          <w:tcPr>
            <w:tcW w:w="220" w:type="pct"/>
            <w:tcBorders>
              <w:top w:val="single" w:sz="4" w:space="0" w:color="auto"/>
              <w:left w:val="single" w:sz="4" w:space="0" w:color="auto"/>
              <w:bottom w:val="single" w:sz="4" w:space="0" w:color="auto"/>
              <w:right w:val="single" w:sz="4" w:space="0" w:color="auto"/>
            </w:tcBorders>
            <w:vAlign w:val="center"/>
            <w:hideMark/>
          </w:tcPr>
          <w:p w14:paraId="611C7B5E" w14:textId="77777777" w:rsidR="002F590A" w:rsidRDefault="002F590A">
            <w:pPr>
              <w:jc w:val="center"/>
              <w:rPr>
                <w:sz w:val="13"/>
                <w:szCs w:val="13"/>
              </w:rPr>
            </w:pPr>
            <w:r>
              <w:rPr>
                <w:sz w:val="13"/>
                <w:szCs w:val="13"/>
              </w:rPr>
              <w:t>0,0</w:t>
            </w:r>
          </w:p>
        </w:tc>
        <w:tc>
          <w:tcPr>
            <w:tcW w:w="214" w:type="pct"/>
            <w:tcBorders>
              <w:top w:val="single" w:sz="4" w:space="0" w:color="auto"/>
              <w:left w:val="single" w:sz="4" w:space="0" w:color="auto"/>
              <w:bottom w:val="single" w:sz="4" w:space="0" w:color="auto"/>
              <w:right w:val="single" w:sz="4" w:space="0" w:color="auto"/>
            </w:tcBorders>
            <w:vAlign w:val="center"/>
            <w:hideMark/>
          </w:tcPr>
          <w:p w14:paraId="1CB5AC07" w14:textId="77777777" w:rsidR="002F590A" w:rsidRDefault="002F590A">
            <w:pPr>
              <w:jc w:val="center"/>
              <w:rPr>
                <w:sz w:val="13"/>
                <w:szCs w:val="13"/>
              </w:rPr>
            </w:pPr>
            <w:r>
              <w:rPr>
                <w:sz w:val="13"/>
                <w:szCs w:val="13"/>
              </w:rPr>
              <w:t>0,0</w:t>
            </w:r>
          </w:p>
        </w:tc>
        <w:tc>
          <w:tcPr>
            <w:tcW w:w="179" w:type="pct"/>
            <w:tcBorders>
              <w:top w:val="single" w:sz="4" w:space="0" w:color="auto"/>
              <w:left w:val="single" w:sz="4" w:space="0" w:color="auto"/>
              <w:bottom w:val="single" w:sz="4" w:space="0" w:color="auto"/>
              <w:right w:val="single" w:sz="4" w:space="0" w:color="auto"/>
            </w:tcBorders>
            <w:vAlign w:val="center"/>
            <w:hideMark/>
          </w:tcPr>
          <w:p w14:paraId="00954B15" w14:textId="77777777" w:rsidR="002F590A" w:rsidRDefault="002F590A">
            <w:pPr>
              <w:jc w:val="center"/>
              <w:rPr>
                <w:color w:val="000000"/>
                <w:sz w:val="13"/>
                <w:szCs w:val="13"/>
              </w:rPr>
            </w:pPr>
            <w:r>
              <w:rPr>
                <w:sz w:val="13"/>
                <w:szCs w:val="13"/>
              </w:rPr>
              <w:t>0,0</w:t>
            </w:r>
          </w:p>
        </w:tc>
        <w:tc>
          <w:tcPr>
            <w:tcW w:w="171" w:type="pct"/>
            <w:tcBorders>
              <w:top w:val="single" w:sz="4" w:space="0" w:color="auto"/>
              <w:left w:val="single" w:sz="4" w:space="0" w:color="auto"/>
              <w:bottom w:val="single" w:sz="4" w:space="0" w:color="auto"/>
              <w:right w:val="single" w:sz="4" w:space="0" w:color="auto"/>
            </w:tcBorders>
            <w:vAlign w:val="center"/>
            <w:hideMark/>
          </w:tcPr>
          <w:p w14:paraId="7A6E237E" w14:textId="77777777" w:rsidR="002F590A" w:rsidRDefault="002F590A">
            <w:pPr>
              <w:jc w:val="center"/>
              <w:rPr>
                <w:color w:val="000000"/>
                <w:sz w:val="13"/>
                <w:szCs w:val="13"/>
              </w:rPr>
            </w:pPr>
            <w:r>
              <w:rPr>
                <w:sz w:val="13"/>
                <w:szCs w:val="13"/>
              </w:rPr>
              <w:t>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6E5481D2" w14:textId="77777777" w:rsidR="002F590A" w:rsidRDefault="002F590A">
            <w:pPr>
              <w:jc w:val="center"/>
              <w:rPr>
                <w:color w:val="000000"/>
                <w:sz w:val="13"/>
                <w:szCs w:val="13"/>
              </w:rPr>
            </w:pPr>
            <w:r>
              <w:rPr>
                <w:sz w:val="13"/>
                <w:szCs w:val="13"/>
              </w:rPr>
              <w:t>0,0</w:t>
            </w:r>
          </w:p>
        </w:tc>
        <w:tc>
          <w:tcPr>
            <w:tcW w:w="177" w:type="pct"/>
            <w:tcBorders>
              <w:top w:val="single" w:sz="4" w:space="0" w:color="auto"/>
              <w:left w:val="single" w:sz="4" w:space="0" w:color="auto"/>
              <w:bottom w:val="single" w:sz="4" w:space="0" w:color="auto"/>
              <w:right w:val="single" w:sz="4" w:space="0" w:color="auto"/>
            </w:tcBorders>
            <w:vAlign w:val="center"/>
            <w:hideMark/>
          </w:tcPr>
          <w:p w14:paraId="3B0553FE" w14:textId="77777777" w:rsidR="002F590A" w:rsidRDefault="002F590A">
            <w:pPr>
              <w:jc w:val="center"/>
              <w:rPr>
                <w:sz w:val="13"/>
                <w:szCs w:val="13"/>
              </w:rPr>
            </w:pPr>
            <w:r>
              <w:rPr>
                <w:sz w:val="13"/>
                <w:szCs w:val="13"/>
              </w:rPr>
              <w:t>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5674171B" w14:textId="77777777" w:rsidR="002F590A" w:rsidRDefault="002F590A">
            <w:pPr>
              <w:jc w:val="center"/>
              <w:rPr>
                <w:color w:val="000000"/>
                <w:sz w:val="13"/>
                <w:szCs w:val="13"/>
              </w:rPr>
            </w:pPr>
            <w:r>
              <w:rPr>
                <w:sz w:val="13"/>
                <w:szCs w:val="13"/>
              </w:rPr>
              <w:t>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3EA74CDD" w14:textId="77777777" w:rsidR="002F590A" w:rsidRDefault="002F590A">
            <w:pPr>
              <w:jc w:val="center"/>
              <w:rPr>
                <w:color w:val="000000"/>
                <w:sz w:val="13"/>
                <w:szCs w:val="13"/>
              </w:rPr>
            </w:pPr>
            <w:r>
              <w:rPr>
                <w:sz w:val="13"/>
                <w:szCs w:val="13"/>
              </w:rPr>
              <w:t>0,0</w:t>
            </w:r>
          </w:p>
        </w:tc>
        <w:tc>
          <w:tcPr>
            <w:tcW w:w="177" w:type="pct"/>
            <w:tcBorders>
              <w:top w:val="single" w:sz="4" w:space="0" w:color="auto"/>
              <w:left w:val="single" w:sz="4" w:space="0" w:color="auto"/>
              <w:bottom w:val="single" w:sz="4" w:space="0" w:color="auto"/>
              <w:right w:val="single" w:sz="4" w:space="0" w:color="auto"/>
            </w:tcBorders>
            <w:vAlign w:val="center"/>
            <w:hideMark/>
          </w:tcPr>
          <w:p w14:paraId="333C7CE6" w14:textId="77777777" w:rsidR="002F590A" w:rsidRDefault="002F590A">
            <w:pPr>
              <w:jc w:val="center"/>
              <w:rPr>
                <w:sz w:val="13"/>
                <w:szCs w:val="13"/>
              </w:rPr>
            </w:pPr>
            <w:r>
              <w:rPr>
                <w:sz w:val="13"/>
                <w:szCs w:val="13"/>
              </w:rPr>
              <w:t>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32904964" w14:textId="77777777" w:rsidR="002F590A" w:rsidRDefault="002F590A">
            <w:pPr>
              <w:jc w:val="center"/>
              <w:rPr>
                <w:sz w:val="13"/>
                <w:szCs w:val="13"/>
              </w:rPr>
            </w:pPr>
            <w:r>
              <w:rPr>
                <w:sz w:val="13"/>
                <w:szCs w:val="13"/>
              </w:rPr>
              <w:t>0,0</w:t>
            </w:r>
          </w:p>
        </w:tc>
        <w:tc>
          <w:tcPr>
            <w:tcW w:w="128" w:type="pct"/>
            <w:tcBorders>
              <w:top w:val="single" w:sz="4" w:space="0" w:color="auto"/>
              <w:left w:val="single" w:sz="4" w:space="0" w:color="auto"/>
              <w:bottom w:val="single" w:sz="4" w:space="0" w:color="auto"/>
              <w:right w:val="single" w:sz="4" w:space="0" w:color="auto"/>
            </w:tcBorders>
            <w:vAlign w:val="center"/>
            <w:hideMark/>
          </w:tcPr>
          <w:p w14:paraId="645C3FE4" w14:textId="77777777" w:rsidR="002F590A" w:rsidRDefault="002F590A">
            <w:pPr>
              <w:jc w:val="center"/>
              <w:rPr>
                <w:sz w:val="13"/>
                <w:szCs w:val="13"/>
              </w:rPr>
            </w:pPr>
            <w:r>
              <w:rPr>
                <w:sz w:val="13"/>
                <w:szCs w:val="13"/>
              </w:rPr>
              <w:t>0,0</w:t>
            </w:r>
          </w:p>
        </w:tc>
      </w:tr>
      <w:tr w:rsidR="002F590A" w14:paraId="6B2391A1" w14:textId="77777777" w:rsidTr="002F590A">
        <w:trPr>
          <w:trHeight w:val="56"/>
        </w:trPr>
        <w:tc>
          <w:tcPr>
            <w:tcW w:w="5000" w:type="pct"/>
            <w:gridSpan w:val="24"/>
            <w:tcBorders>
              <w:top w:val="single" w:sz="4" w:space="0" w:color="auto"/>
              <w:left w:val="single" w:sz="4" w:space="0" w:color="auto"/>
              <w:bottom w:val="single" w:sz="4" w:space="0" w:color="auto"/>
              <w:right w:val="single" w:sz="4" w:space="0" w:color="auto"/>
            </w:tcBorders>
            <w:hideMark/>
          </w:tcPr>
          <w:p w14:paraId="619D506F" w14:textId="77777777" w:rsidR="002F590A" w:rsidRDefault="002F590A">
            <w:pPr>
              <w:rPr>
                <w:sz w:val="13"/>
                <w:szCs w:val="13"/>
              </w:rPr>
            </w:pPr>
            <w:r>
              <w:rPr>
                <w:sz w:val="13"/>
                <w:szCs w:val="13"/>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2F590A" w14:paraId="0AA2CDF3" w14:textId="77777777" w:rsidTr="002F590A">
        <w:trPr>
          <w:trHeight w:val="86"/>
        </w:trPr>
        <w:tc>
          <w:tcPr>
            <w:tcW w:w="5000" w:type="pct"/>
            <w:gridSpan w:val="24"/>
            <w:tcBorders>
              <w:top w:val="single" w:sz="4" w:space="0" w:color="auto"/>
              <w:left w:val="single" w:sz="4" w:space="0" w:color="auto"/>
              <w:bottom w:val="single" w:sz="4" w:space="0" w:color="auto"/>
              <w:right w:val="single" w:sz="4" w:space="0" w:color="auto"/>
            </w:tcBorders>
            <w:hideMark/>
          </w:tcPr>
          <w:p w14:paraId="4E96CF7D" w14:textId="77777777" w:rsidR="002F590A" w:rsidRDefault="002F590A">
            <w:pPr>
              <w:rPr>
                <w:sz w:val="13"/>
                <w:szCs w:val="13"/>
              </w:rPr>
            </w:pPr>
            <w:r>
              <w:rPr>
                <w:sz w:val="13"/>
                <w:szCs w:val="13"/>
              </w:rPr>
              <w:t>3.1. Реконструкция или модернизация существующих тепловых сетей</w:t>
            </w:r>
          </w:p>
        </w:tc>
      </w:tr>
      <w:tr w:rsidR="002F590A" w14:paraId="427279DD" w14:textId="77777777" w:rsidTr="002F590A">
        <w:trPr>
          <w:trHeight w:val="1794"/>
        </w:trPr>
        <w:tc>
          <w:tcPr>
            <w:tcW w:w="175" w:type="pct"/>
            <w:tcBorders>
              <w:top w:val="single" w:sz="4" w:space="0" w:color="auto"/>
              <w:left w:val="single" w:sz="4" w:space="0" w:color="auto"/>
              <w:bottom w:val="single" w:sz="4" w:space="0" w:color="auto"/>
              <w:right w:val="single" w:sz="4" w:space="0" w:color="auto"/>
            </w:tcBorders>
            <w:vAlign w:val="center"/>
            <w:hideMark/>
          </w:tcPr>
          <w:p w14:paraId="22C38718" w14:textId="77777777" w:rsidR="002F590A" w:rsidRDefault="002F590A">
            <w:pPr>
              <w:jc w:val="center"/>
              <w:rPr>
                <w:sz w:val="12"/>
                <w:szCs w:val="12"/>
              </w:rPr>
            </w:pPr>
            <w:r>
              <w:rPr>
                <w:sz w:val="12"/>
                <w:szCs w:val="12"/>
              </w:rPr>
              <w:t>3.1.1.</w:t>
            </w:r>
          </w:p>
        </w:tc>
        <w:tc>
          <w:tcPr>
            <w:tcW w:w="2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22276D0" w14:textId="77777777" w:rsidR="002F590A" w:rsidRDefault="002F590A">
            <w:pPr>
              <w:rPr>
                <w:color w:val="000000"/>
                <w:sz w:val="12"/>
                <w:szCs w:val="12"/>
              </w:rPr>
            </w:pPr>
            <w:r>
              <w:rPr>
                <w:color w:val="000000"/>
                <w:sz w:val="12"/>
                <w:szCs w:val="12"/>
              </w:rPr>
              <w:t>Реконструкция тепловой сети от здания котельной до ТК-1, от ТК-1П до ТК-9, от ТК-9 до ТК 1а, от ТК 1а до УП-2, от УП-2 до здания школы по адресу пр. Кузнецкий, 262.</w:t>
            </w:r>
          </w:p>
        </w:tc>
        <w:tc>
          <w:tcPr>
            <w:tcW w:w="35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F34F443" w14:textId="77777777" w:rsidR="002F590A" w:rsidRDefault="002F590A">
            <w:pPr>
              <w:jc w:val="center"/>
              <w:rPr>
                <w:color w:val="000000"/>
                <w:sz w:val="12"/>
                <w:szCs w:val="12"/>
              </w:rPr>
            </w:pPr>
            <w:r>
              <w:rPr>
                <w:color w:val="000000"/>
                <w:sz w:val="12"/>
                <w:szCs w:val="12"/>
              </w:rPr>
              <w:t>Повышение надежности и увеличения пропускной способности трубопроводов ТС</w:t>
            </w:r>
          </w:p>
        </w:tc>
        <w:tc>
          <w:tcPr>
            <w:tcW w:w="25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D8B7AFD" w14:textId="77777777" w:rsidR="002F590A" w:rsidRDefault="002F590A">
            <w:pPr>
              <w:jc w:val="center"/>
              <w:rPr>
                <w:color w:val="000000"/>
                <w:sz w:val="12"/>
                <w:szCs w:val="12"/>
              </w:rPr>
            </w:pPr>
            <w:r>
              <w:rPr>
                <w:color w:val="000000"/>
                <w:sz w:val="12"/>
                <w:szCs w:val="12"/>
              </w:rPr>
              <w:t xml:space="preserve">Кемеровский городской округ, пр-т Кузнецкий, </w:t>
            </w:r>
            <w:r>
              <w:rPr>
                <w:color w:val="000000"/>
                <w:sz w:val="12"/>
                <w:szCs w:val="12"/>
              </w:rPr>
              <w:br/>
              <w:t>д 260</w:t>
            </w:r>
          </w:p>
        </w:tc>
        <w:tc>
          <w:tcPr>
            <w:tcW w:w="29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AFA3526" w14:textId="77777777" w:rsidR="002F590A" w:rsidRDefault="002F590A">
            <w:pPr>
              <w:jc w:val="center"/>
              <w:rPr>
                <w:color w:val="000000"/>
                <w:sz w:val="12"/>
                <w:szCs w:val="12"/>
              </w:rPr>
            </w:pPr>
            <w:r>
              <w:rPr>
                <w:color w:val="000000"/>
                <w:sz w:val="12"/>
                <w:szCs w:val="12"/>
              </w:rPr>
              <w:t>Технические характеристики</w:t>
            </w:r>
          </w:p>
        </w:tc>
        <w:tc>
          <w:tcPr>
            <w:tcW w:w="13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BD5A263" w14:textId="77777777" w:rsidR="002F590A" w:rsidRDefault="002F590A">
            <w:pPr>
              <w:jc w:val="center"/>
              <w:rPr>
                <w:color w:val="000000"/>
                <w:sz w:val="12"/>
                <w:szCs w:val="12"/>
              </w:rPr>
            </w:pPr>
            <w:r>
              <w:rPr>
                <w:color w:val="000000"/>
                <w:sz w:val="12"/>
                <w:szCs w:val="12"/>
              </w:rPr>
              <w:t>-</w:t>
            </w:r>
          </w:p>
        </w:tc>
        <w:tc>
          <w:tcPr>
            <w:tcW w:w="359" w:type="pct"/>
            <w:tcBorders>
              <w:top w:val="single" w:sz="4" w:space="0" w:color="auto"/>
              <w:left w:val="single" w:sz="4" w:space="0" w:color="auto"/>
              <w:bottom w:val="single" w:sz="4" w:space="0" w:color="auto"/>
              <w:right w:val="single" w:sz="4" w:space="0" w:color="auto"/>
            </w:tcBorders>
            <w:vAlign w:val="center"/>
            <w:hideMark/>
          </w:tcPr>
          <w:p w14:paraId="1DC3708E" w14:textId="77777777" w:rsidR="002F590A" w:rsidRDefault="002F590A">
            <w:pPr>
              <w:jc w:val="center"/>
              <w:rPr>
                <w:sz w:val="12"/>
                <w:szCs w:val="12"/>
              </w:rPr>
            </w:pPr>
            <w:r>
              <w:rPr>
                <w:sz w:val="12"/>
                <w:szCs w:val="12"/>
              </w:rPr>
              <w:t xml:space="preserve">Канал-кирпич, опоры-хомутовые приварные, запорная арматура - стальная клиновая, антикоррозийная защита-лак БТ, труба-сталь 20, изоляция - мин. маты </w:t>
            </w:r>
          </w:p>
        </w:tc>
        <w:tc>
          <w:tcPr>
            <w:tcW w:w="349" w:type="pct"/>
            <w:tcBorders>
              <w:top w:val="single" w:sz="4" w:space="0" w:color="auto"/>
              <w:left w:val="single" w:sz="4" w:space="0" w:color="auto"/>
              <w:bottom w:val="single" w:sz="4" w:space="0" w:color="auto"/>
              <w:right w:val="single" w:sz="4" w:space="0" w:color="auto"/>
            </w:tcBorders>
            <w:vAlign w:val="center"/>
            <w:hideMark/>
          </w:tcPr>
          <w:p w14:paraId="6DC1C117" w14:textId="77777777" w:rsidR="002F590A" w:rsidRDefault="002F590A">
            <w:pPr>
              <w:jc w:val="center"/>
              <w:rPr>
                <w:sz w:val="12"/>
                <w:szCs w:val="12"/>
              </w:rPr>
            </w:pPr>
            <w:r>
              <w:rPr>
                <w:sz w:val="12"/>
                <w:szCs w:val="12"/>
              </w:rPr>
              <w:t xml:space="preserve">Канал-ж/б лотки, опоры-хомутовые с диэлектрической прокладкой, запорная арматура - кран шаровый, антикоррозийная защита-мастика Вектор 1214, 1025, труба-сталь 09Г2С, изоляция - маты прошивные, стеклопластик  </w:t>
            </w:r>
          </w:p>
        </w:tc>
        <w:tc>
          <w:tcPr>
            <w:tcW w:w="131" w:type="pct"/>
            <w:tcBorders>
              <w:top w:val="single" w:sz="4" w:space="0" w:color="auto"/>
              <w:left w:val="single" w:sz="4" w:space="0" w:color="auto"/>
              <w:bottom w:val="single" w:sz="4" w:space="0" w:color="auto"/>
              <w:right w:val="single" w:sz="4" w:space="0" w:color="auto"/>
            </w:tcBorders>
            <w:vAlign w:val="center"/>
            <w:hideMark/>
          </w:tcPr>
          <w:p w14:paraId="3D197077" w14:textId="77777777" w:rsidR="002F590A" w:rsidRDefault="002F590A">
            <w:pPr>
              <w:jc w:val="center"/>
              <w:rPr>
                <w:color w:val="000000"/>
                <w:sz w:val="12"/>
                <w:szCs w:val="12"/>
              </w:rPr>
            </w:pPr>
            <w:r>
              <w:rPr>
                <w:color w:val="000000"/>
                <w:sz w:val="12"/>
                <w:szCs w:val="12"/>
              </w:rPr>
              <w:t>2022</w:t>
            </w:r>
          </w:p>
        </w:tc>
        <w:tc>
          <w:tcPr>
            <w:tcW w:w="133" w:type="pct"/>
            <w:tcBorders>
              <w:top w:val="single" w:sz="4" w:space="0" w:color="auto"/>
              <w:left w:val="single" w:sz="4" w:space="0" w:color="auto"/>
              <w:bottom w:val="single" w:sz="4" w:space="0" w:color="auto"/>
              <w:right w:val="single" w:sz="4" w:space="0" w:color="auto"/>
            </w:tcBorders>
            <w:vAlign w:val="center"/>
            <w:hideMark/>
          </w:tcPr>
          <w:p w14:paraId="13FC484B" w14:textId="77777777" w:rsidR="002F590A" w:rsidRDefault="002F590A">
            <w:pPr>
              <w:jc w:val="center"/>
              <w:rPr>
                <w:color w:val="000000"/>
                <w:sz w:val="12"/>
                <w:szCs w:val="12"/>
              </w:rPr>
            </w:pPr>
            <w:r>
              <w:rPr>
                <w:color w:val="000000"/>
                <w:sz w:val="12"/>
                <w:szCs w:val="12"/>
              </w:rPr>
              <w:t>2026</w:t>
            </w:r>
          </w:p>
        </w:tc>
        <w:tc>
          <w:tcPr>
            <w:tcW w:w="198" w:type="pct"/>
            <w:tcBorders>
              <w:top w:val="single" w:sz="4" w:space="0" w:color="auto"/>
              <w:left w:val="single" w:sz="4" w:space="0" w:color="auto"/>
              <w:bottom w:val="single" w:sz="4" w:space="0" w:color="auto"/>
              <w:right w:val="single" w:sz="4" w:space="0" w:color="auto"/>
            </w:tcBorders>
            <w:vAlign w:val="center"/>
            <w:hideMark/>
          </w:tcPr>
          <w:p w14:paraId="506E2E86" w14:textId="77777777" w:rsidR="002F590A" w:rsidRDefault="002F590A">
            <w:pPr>
              <w:jc w:val="center"/>
              <w:rPr>
                <w:color w:val="000000"/>
                <w:sz w:val="12"/>
                <w:szCs w:val="12"/>
              </w:rPr>
            </w:pPr>
            <w:r>
              <w:rPr>
                <w:color w:val="000000"/>
                <w:sz w:val="12"/>
                <w:szCs w:val="12"/>
              </w:rPr>
              <w:t>27 954,75</w:t>
            </w:r>
          </w:p>
        </w:tc>
        <w:tc>
          <w:tcPr>
            <w:tcW w:w="178" w:type="pct"/>
            <w:tcBorders>
              <w:top w:val="single" w:sz="4" w:space="0" w:color="auto"/>
              <w:left w:val="single" w:sz="4" w:space="0" w:color="auto"/>
              <w:bottom w:val="single" w:sz="4" w:space="0" w:color="auto"/>
              <w:right w:val="single" w:sz="4" w:space="0" w:color="auto"/>
            </w:tcBorders>
            <w:vAlign w:val="center"/>
            <w:hideMark/>
          </w:tcPr>
          <w:p w14:paraId="2DFBBD3F" w14:textId="77777777" w:rsidR="002F590A" w:rsidRDefault="002F590A">
            <w:pPr>
              <w:jc w:val="center"/>
              <w:rPr>
                <w:color w:val="000000"/>
                <w:sz w:val="12"/>
                <w:szCs w:val="12"/>
              </w:rPr>
            </w:pPr>
            <w:r>
              <w:rPr>
                <w:color w:val="000000"/>
                <w:sz w:val="12"/>
                <w:szCs w:val="12"/>
              </w:rPr>
              <w:t>0,00</w:t>
            </w:r>
          </w:p>
        </w:tc>
        <w:tc>
          <w:tcPr>
            <w:tcW w:w="218" w:type="pct"/>
            <w:tcBorders>
              <w:top w:val="single" w:sz="4" w:space="0" w:color="auto"/>
              <w:left w:val="single" w:sz="4" w:space="0" w:color="auto"/>
              <w:bottom w:val="single" w:sz="4" w:space="0" w:color="auto"/>
              <w:right w:val="single" w:sz="4" w:space="0" w:color="auto"/>
            </w:tcBorders>
            <w:vAlign w:val="center"/>
            <w:hideMark/>
          </w:tcPr>
          <w:p w14:paraId="2D97E950" w14:textId="77777777" w:rsidR="002F590A" w:rsidRDefault="002F590A">
            <w:pPr>
              <w:jc w:val="center"/>
              <w:rPr>
                <w:color w:val="000000"/>
                <w:sz w:val="12"/>
                <w:szCs w:val="12"/>
              </w:rPr>
            </w:pPr>
            <w:r>
              <w:rPr>
                <w:color w:val="000000"/>
                <w:sz w:val="12"/>
                <w:szCs w:val="12"/>
              </w:rPr>
              <w:t>1 376,00</w:t>
            </w:r>
          </w:p>
        </w:tc>
        <w:tc>
          <w:tcPr>
            <w:tcW w:w="220" w:type="pct"/>
            <w:tcBorders>
              <w:top w:val="single" w:sz="4" w:space="0" w:color="auto"/>
              <w:left w:val="single" w:sz="4" w:space="0" w:color="auto"/>
              <w:bottom w:val="single" w:sz="4" w:space="0" w:color="auto"/>
              <w:right w:val="single" w:sz="4" w:space="0" w:color="auto"/>
            </w:tcBorders>
            <w:vAlign w:val="center"/>
            <w:hideMark/>
          </w:tcPr>
          <w:p w14:paraId="37DE6A38" w14:textId="77777777" w:rsidR="002F590A" w:rsidRDefault="002F590A">
            <w:pPr>
              <w:jc w:val="center"/>
              <w:rPr>
                <w:color w:val="000000"/>
                <w:sz w:val="12"/>
                <w:szCs w:val="12"/>
              </w:rPr>
            </w:pPr>
            <w:r>
              <w:rPr>
                <w:color w:val="000000"/>
                <w:sz w:val="12"/>
                <w:szCs w:val="12"/>
              </w:rPr>
              <w:t>11 398,73</w:t>
            </w:r>
          </w:p>
        </w:tc>
        <w:tc>
          <w:tcPr>
            <w:tcW w:w="214" w:type="pct"/>
            <w:tcBorders>
              <w:top w:val="single" w:sz="4" w:space="0" w:color="auto"/>
              <w:left w:val="single" w:sz="4" w:space="0" w:color="auto"/>
              <w:bottom w:val="single" w:sz="4" w:space="0" w:color="auto"/>
              <w:right w:val="single" w:sz="4" w:space="0" w:color="auto"/>
            </w:tcBorders>
            <w:vAlign w:val="center"/>
            <w:hideMark/>
          </w:tcPr>
          <w:p w14:paraId="6A9DBD1C" w14:textId="77777777" w:rsidR="002F590A" w:rsidRDefault="002F590A">
            <w:pPr>
              <w:jc w:val="center"/>
              <w:rPr>
                <w:color w:val="000000"/>
                <w:sz w:val="12"/>
                <w:szCs w:val="12"/>
              </w:rPr>
            </w:pPr>
            <w:r>
              <w:rPr>
                <w:color w:val="000000"/>
                <w:sz w:val="12"/>
                <w:szCs w:val="12"/>
              </w:rPr>
              <w:t>8 324,42</w:t>
            </w:r>
          </w:p>
        </w:tc>
        <w:tc>
          <w:tcPr>
            <w:tcW w:w="179" w:type="pct"/>
            <w:tcBorders>
              <w:top w:val="single" w:sz="4" w:space="0" w:color="auto"/>
              <w:left w:val="single" w:sz="4" w:space="0" w:color="auto"/>
              <w:bottom w:val="single" w:sz="4" w:space="0" w:color="auto"/>
              <w:right w:val="single" w:sz="4" w:space="0" w:color="auto"/>
            </w:tcBorders>
            <w:vAlign w:val="center"/>
            <w:hideMark/>
          </w:tcPr>
          <w:p w14:paraId="406CC20C" w14:textId="77777777" w:rsidR="002F590A" w:rsidRDefault="002F590A">
            <w:pPr>
              <w:jc w:val="center"/>
              <w:rPr>
                <w:color w:val="000000"/>
                <w:sz w:val="12"/>
                <w:szCs w:val="12"/>
              </w:rPr>
            </w:pPr>
            <w:r>
              <w:rPr>
                <w:color w:val="000000"/>
                <w:sz w:val="12"/>
                <w:szCs w:val="12"/>
              </w:rPr>
              <w:t>3 204,26</w:t>
            </w:r>
          </w:p>
        </w:tc>
        <w:tc>
          <w:tcPr>
            <w:tcW w:w="171" w:type="pct"/>
            <w:tcBorders>
              <w:top w:val="single" w:sz="4" w:space="0" w:color="auto"/>
              <w:left w:val="single" w:sz="4" w:space="0" w:color="auto"/>
              <w:bottom w:val="single" w:sz="4" w:space="0" w:color="auto"/>
              <w:right w:val="single" w:sz="4" w:space="0" w:color="auto"/>
            </w:tcBorders>
            <w:vAlign w:val="center"/>
            <w:hideMark/>
          </w:tcPr>
          <w:p w14:paraId="275D2F43" w14:textId="77777777" w:rsidR="002F590A" w:rsidRDefault="002F590A">
            <w:pPr>
              <w:jc w:val="center"/>
              <w:rPr>
                <w:color w:val="000000"/>
                <w:sz w:val="12"/>
                <w:szCs w:val="12"/>
              </w:rPr>
            </w:pPr>
            <w:r>
              <w:rPr>
                <w:color w:val="000000"/>
                <w:sz w:val="12"/>
                <w:szCs w:val="12"/>
              </w:rPr>
              <w:t>3 651,34</w:t>
            </w:r>
          </w:p>
        </w:tc>
        <w:tc>
          <w:tcPr>
            <w:tcW w:w="173" w:type="pct"/>
            <w:tcBorders>
              <w:top w:val="single" w:sz="4" w:space="0" w:color="auto"/>
              <w:left w:val="single" w:sz="4" w:space="0" w:color="auto"/>
              <w:bottom w:val="single" w:sz="4" w:space="0" w:color="auto"/>
              <w:right w:val="single" w:sz="4" w:space="0" w:color="auto"/>
            </w:tcBorders>
            <w:vAlign w:val="center"/>
            <w:hideMark/>
          </w:tcPr>
          <w:p w14:paraId="3CEADC35" w14:textId="77777777" w:rsidR="002F590A" w:rsidRDefault="002F590A">
            <w:pPr>
              <w:jc w:val="center"/>
              <w:rPr>
                <w:color w:val="000000"/>
                <w:sz w:val="12"/>
                <w:szCs w:val="12"/>
              </w:rPr>
            </w:pPr>
            <w:r>
              <w:rPr>
                <w:color w:val="000000"/>
                <w:sz w:val="12"/>
                <w:szCs w:val="12"/>
              </w:rPr>
              <w:t>0,00</w:t>
            </w:r>
          </w:p>
        </w:tc>
        <w:tc>
          <w:tcPr>
            <w:tcW w:w="177" w:type="pct"/>
            <w:tcBorders>
              <w:top w:val="single" w:sz="4" w:space="0" w:color="auto"/>
              <w:left w:val="single" w:sz="4" w:space="0" w:color="auto"/>
              <w:bottom w:val="single" w:sz="4" w:space="0" w:color="auto"/>
              <w:right w:val="single" w:sz="4" w:space="0" w:color="auto"/>
            </w:tcBorders>
            <w:vAlign w:val="center"/>
            <w:hideMark/>
          </w:tcPr>
          <w:p w14:paraId="190E9FF1" w14:textId="77777777" w:rsidR="002F590A" w:rsidRDefault="002F590A">
            <w:pPr>
              <w:jc w:val="center"/>
              <w:rPr>
                <w:color w:val="000000"/>
                <w:sz w:val="12"/>
                <w:szCs w:val="12"/>
              </w:rPr>
            </w:pPr>
            <w:r>
              <w:rPr>
                <w:color w:val="000000"/>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611AAD5A" w14:textId="77777777" w:rsidR="002F590A" w:rsidRDefault="002F590A">
            <w:pPr>
              <w:jc w:val="center"/>
              <w:rPr>
                <w:color w:val="000000"/>
                <w:sz w:val="12"/>
                <w:szCs w:val="12"/>
              </w:rPr>
            </w:pPr>
            <w:r>
              <w:rPr>
                <w:color w:val="000000"/>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57793680" w14:textId="77777777" w:rsidR="002F590A" w:rsidRDefault="002F590A">
            <w:pPr>
              <w:jc w:val="center"/>
              <w:rPr>
                <w:color w:val="000000"/>
                <w:sz w:val="12"/>
                <w:szCs w:val="12"/>
              </w:rPr>
            </w:pPr>
            <w:r>
              <w:rPr>
                <w:color w:val="000000"/>
                <w:sz w:val="12"/>
                <w:szCs w:val="12"/>
              </w:rPr>
              <w:t>0,00</w:t>
            </w:r>
          </w:p>
        </w:tc>
        <w:tc>
          <w:tcPr>
            <w:tcW w:w="177" w:type="pct"/>
            <w:tcBorders>
              <w:top w:val="single" w:sz="4" w:space="0" w:color="auto"/>
              <w:left w:val="single" w:sz="4" w:space="0" w:color="auto"/>
              <w:bottom w:val="single" w:sz="4" w:space="0" w:color="auto"/>
              <w:right w:val="single" w:sz="4" w:space="0" w:color="auto"/>
            </w:tcBorders>
            <w:vAlign w:val="center"/>
            <w:hideMark/>
          </w:tcPr>
          <w:p w14:paraId="602CC06A" w14:textId="77777777" w:rsidR="002F590A" w:rsidRDefault="002F590A">
            <w:pPr>
              <w:jc w:val="center"/>
              <w:rPr>
                <w:color w:val="000000"/>
                <w:sz w:val="12"/>
                <w:szCs w:val="12"/>
              </w:rPr>
            </w:pPr>
            <w:r>
              <w:rPr>
                <w:color w:val="000000"/>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2FDE7C46" w14:textId="77777777" w:rsidR="002F590A" w:rsidRDefault="002F590A">
            <w:pPr>
              <w:jc w:val="center"/>
              <w:rPr>
                <w:color w:val="000000"/>
                <w:sz w:val="12"/>
                <w:szCs w:val="12"/>
              </w:rPr>
            </w:pPr>
            <w:r>
              <w:rPr>
                <w:color w:val="000000"/>
                <w:sz w:val="12"/>
                <w:szCs w:val="12"/>
              </w:rPr>
              <w:t>0,00</w:t>
            </w:r>
          </w:p>
        </w:tc>
        <w:tc>
          <w:tcPr>
            <w:tcW w:w="128" w:type="pct"/>
            <w:tcBorders>
              <w:top w:val="single" w:sz="4" w:space="0" w:color="auto"/>
              <w:left w:val="single" w:sz="4" w:space="0" w:color="auto"/>
              <w:bottom w:val="single" w:sz="4" w:space="0" w:color="auto"/>
              <w:right w:val="single" w:sz="4" w:space="0" w:color="auto"/>
            </w:tcBorders>
            <w:vAlign w:val="center"/>
            <w:hideMark/>
          </w:tcPr>
          <w:p w14:paraId="05525423" w14:textId="77777777" w:rsidR="002F590A" w:rsidRDefault="002F590A">
            <w:pPr>
              <w:jc w:val="center"/>
              <w:rPr>
                <w:color w:val="000000"/>
                <w:sz w:val="12"/>
                <w:szCs w:val="12"/>
              </w:rPr>
            </w:pPr>
            <w:r>
              <w:rPr>
                <w:color w:val="000000"/>
                <w:sz w:val="12"/>
                <w:szCs w:val="12"/>
              </w:rPr>
              <w:t>0,00</w:t>
            </w:r>
          </w:p>
        </w:tc>
      </w:tr>
      <w:tr w:rsidR="002F590A" w14:paraId="41FECAFD" w14:textId="77777777" w:rsidTr="002F590A">
        <w:trPr>
          <w:trHeight w:val="82"/>
        </w:trPr>
        <w:tc>
          <w:tcPr>
            <w:tcW w:w="5000" w:type="pct"/>
            <w:gridSpan w:val="24"/>
            <w:tcBorders>
              <w:top w:val="single" w:sz="4" w:space="0" w:color="auto"/>
              <w:left w:val="single" w:sz="4" w:space="0" w:color="auto"/>
              <w:bottom w:val="single" w:sz="4" w:space="0" w:color="auto"/>
              <w:right w:val="single" w:sz="4" w:space="0" w:color="auto"/>
            </w:tcBorders>
            <w:hideMark/>
          </w:tcPr>
          <w:p w14:paraId="3CB9E123" w14:textId="77777777" w:rsidR="002F590A" w:rsidRDefault="002F590A">
            <w:pPr>
              <w:rPr>
                <w:sz w:val="13"/>
                <w:szCs w:val="13"/>
              </w:rPr>
            </w:pPr>
            <w:r>
              <w:rPr>
                <w:sz w:val="13"/>
                <w:szCs w:val="13"/>
              </w:rPr>
              <w:t>3.2. Реконструкция или модернизация существующих объектов системы централизованного теплоснабжения, за исключением тепловых сетей</w:t>
            </w:r>
          </w:p>
        </w:tc>
      </w:tr>
      <w:tr w:rsidR="002F590A" w14:paraId="43289346" w14:textId="77777777" w:rsidTr="002F590A">
        <w:trPr>
          <w:trHeight w:val="897"/>
        </w:trPr>
        <w:tc>
          <w:tcPr>
            <w:tcW w:w="175" w:type="pct"/>
            <w:tcBorders>
              <w:top w:val="single" w:sz="4" w:space="0" w:color="auto"/>
              <w:left w:val="single" w:sz="4" w:space="0" w:color="auto"/>
              <w:bottom w:val="single" w:sz="4" w:space="0" w:color="auto"/>
              <w:right w:val="single" w:sz="4" w:space="0" w:color="auto"/>
            </w:tcBorders>
            <w:vAlign w:val="center"/>
            <w:hideMark/>
          </w:tcPr>
          <w:p w14:paraId="66BE2C7E" w14:textId="77777777" w:rsidR="002F590A" w:rsidRDefault="002F590A">
            <w:pPr>
              <w:jc w:val="center"/>
              <w:rPr>
                <w:bCs/>
                <w:color w:val="000000"/>
                <w:sz w:val="12"/>
                <w:szCs w:val="12"/>
              </w:rPr>
            </w:pPr>
            <w:r>
              <w:rPr>
                <w:bCs/>
                <w:color w:val="000000"/>
                <w:sz w:val="12"/>
                <w:szCs w:val="12"/>
              </w:rPr>
              <w:t>3.2.1.</w:t>
            </w:r>
          </w:p>
        </w:tc>
        <w:tc>
          <w:tcPr>
            <w:tcW w:w="262" w:type="pct"/>
            <w:tcBorders>
              <w:top w:val="single" w:sz="4" w:space="0" w:color="auto"/>
              <w:left w:val="single" w:sz="4" w:space="0" w:color="auto"/>
              <w:bottom w:val="single" w:sz="4" w:space="0" w:color="auto"/>
              <w:right w:val="single" w:sz="4" w:space="0" w:color="auto"/>
            </w:tcBorders>
            <w:vAlign w:val="center"/>
            <w:hideMark/>
          </w:tcPr>
          <w:p w14:paraId="28BDBCC9" w14:textId="77777777" w:rsidR="002F590A" w:rsidRDefault="002F590A">
            <w:pPr>
              <w:rPr>
                <w:bCs/>
                <w:color w:val="000000"/>
                <w:sz w:val="12"/>
                <w:szCs w:val="12"/>
              </w:rPr>
            </w:pPr>
            <w:r>
              <w:rPr>
                <w:bCs/>
                <w:color w:val="000000"/>
                <w:sz w:val="12"/>
                <w:szCs w:val="12"/>
              </w:rPr>
              <w:t>Реконструкция котельной №15</w:t>
            </w:r>
          </w:p>
        </w:tc>
        <w:tc>
          <w:tcPr>
            <w:tcW w:w="351" w:type="pct"/>
            <w:tcBorders>
              <w:top w:val="single" w:sz="4" w:space="0" w:color="auto"/>
              <w:left w:val="single" w:sz="4" w:space="0" w:color="auto"/>
              <w:bottom w:val="single" w:sz="4" w:space="0" w:color="auto"/>
              <w:right w:val="single" w:sz="4" w:space="0" w:color="auto"/>
            </w:tcBorders>
            <w:vAlign w:val="center"/>
          </w:tcPr>
          <w:p w14:paraId="12002AC9" w14:textId="77777777" w:rsidR="002F590A" w:rsidRDefault="002F590A">
            <w:pPr>
              <w:jc w:val="center"/>
              <w:rPr>
                <w:sz w:val="12"/>
                <w:szCs w:val="12"/>
              </w:rPr>
            </w:pPr>
          </w:p>
        </w:tc>
        <w:tc>
          <w:tcPr>
            <w:tcW w:w="259" w:type="pct"/>
            <w:tcBorders>
              <w:top w:val="single" w:sz="4" w:space="0" w:color="auto"/>
              <w:left w:val="single" w:sz="4" w:space="0" w:color="auto"/>
              <w:bottom w:val="single" w:sz="4" w:space="0" w:color="auto"/>
              <w:right w:val="single" w:sz="4" w:space="0" w:color="auto"/>
            </w:tcBorders>
            <w:vAlign w:val="center"/>
            <w:hideMark/>
          </w:tcPr>
          <w:p w14:paraId="2B762A9A" w14:textId="77777777" w:rsidR="002F590A" w:rsidRDefault="002F590A">
            <w:pPr>
              <w:jc w:val="center"/>
              <w:rPr>
                <w:bCs/>
                <w:color w:val="000000"/>
                <w:sz w:val="12"/>
                <w:szCs w:val="12"/>
              </w:rPr>
            </w:pPr>
            <w:r>
              <w:rPr>
                <w:bCs/>
                <w:color w:val="000000"/>
                <w:sz w:val="12"/>
                <w:szCs w:val="12"/>
              </w:rPr>
              <w:t>Кемеровский городской округ, Рудничный район, севернее строения №151 по ул. Елыкаевская</w:t>
            </w:r>
          </w:p>
        </w:tc>
        <w:tc>
          <w:tcPr>
            <w:tcW w:w="298" w:type="pct"/>
            <w:tcBorders>
              <w:top w:val="single" w:sz="4" w:space="0" w:color="auto"/>
              <w:left w:val="single" w:sz="4" w:space="0" w:color="auto"/>
              <w:bottom w:val="single" w:sz="4" w:space="0" w:color="auto"/>
              <w:right w:val="single" w:sz="4" w:space="0" w:color="auto"/>
            </w:tcBorders>
            <w:vAlign w:val="center"/>
          </w:tcPr>
          <w:p w14:paraId="6F4D17A8" w14:textId="77777777" w:rsidR="002F590A" w:rsidRDefault="002F590A">
            <w:pPr>
              <w:jc w:val="center"/>
              <w:rPr>
                <w:sz w:val="12"/>
                <w:szCs w:val="12"/>
              </w:rPr>
            </w:pPr>
          </w:p>
        </w:tc>
        <w:tc>
          <w:tcPr>
            <w:tcW w:w="130" w:type="pct"/>
            <w:tcBorders>
              <w:top w:val="single" w:sz="4" w:space="0" w:color="auto"/>
              <w:left w:val="single" w:sz="4" w:space="0" w:color="auto"/>
              <w:bottom w:val="single" w:sz="4" w:space="0" w:color="auto"/>
              <w:right w:val="single" w:sz="4" w:space="0" w:color="auto"/>
            </w:tcBorders>
            <w:vAlign w:val="center"/>
          </w:tcPr>
          <w:p w14:paraId="7B916D55" w14:textId="77777777" w:rsidR="002F590A" w:rsidRDefault="002F590A">
            <w:pPr>
              <w:jc w:val="center"/>
              <w:rPr>
                <w:sz w:val="12"/>
                <w:szCs w:val="12"/>
              </w:rPr>
            </w:pPr>
          </w:p>
        </w:tc>
        <w:tc>
          <w:tcPr>
            <w:tcW w:w="359" w:type="pct"/>
            <w:tcBorders>
              <w:top w:val="single" w:sz="4" w:space="0" w:color="auto"/>
              <w:left w:val="single" w:sz="4" w:space="0" w:color="auto"/>
              <w:bottom w:val="single" w:sz="4" w:space="0" w:color="auto"/>
              <w:right w:val="single" w:sz="4" w:space="0" w:color="auto"/>
            </w:tcBorders>
            <w:vAlign w:val="center"/>
          </w:tcPr>
          <w:p w14:paraId="151C45E6" w14:textId="77777777" w:rsidR="002F590A" w:rsidRDefault="002F590A">
            <w:pPr>
              <w:jc w:val="center"/>
              <w:rPr>
                <w:b/>
                <w:bCs/>
                <w:sz w:val="12"/>
                <w:szCs w:val="12"/>
              </w:rPr>
            </w:pPr>
          </w:p>
        </w:tc>
        <w:tc>
          <w:tcPr>
            <w:tcW w:w="349" w:type="pct"/>
            <w:tcBorders>
              <w:top w:val="single" w:sz="4" w:space="0" w:color="auto"/>
              <w:left w:val="single" w:sz="4" w:space="0" w:color="auto"/>
              <w:bottom w:val="single" w:sz="4" w:space="0" w:color="auto"/>
              <w:right w:val="single" w:sz="4" w:space="0" w:color="auto"/>
            </w:tcBorders>
            <w:vAlign w:val="center"/>
          </w:tcPr>
          <w:p w14:paraId="78B2514F" w14:textId="77777777" w:rsidR="002F590A" w:rsidRDefault="002F590A">
            <w:pPr>
              <w:jc w:val="center"/>
              <w:rPr>
                <w:b/>
                <w:bCs/>
                <w:sz w:val="12"/>
                <w:szCs w:val="12"/>
              </w:rPr>
            </w:pPr>
          </w:p>
        </w:tc>
        <w:tc>
          <w:tcPr>
            <w:tcW w:w="131" w:type="pct"/>
            <w:tcBorders>
              <w:top w:val="single" w:sz="4" w:space="0" w:color="auto"/>
              <w:left w:val="single" w:sz="4" w:space="0" w:color="auto"/>
              <w:bottom w:val="single" w:sz="4" w:space="0" w:color="auto"/>
              <w:right w:val="single" w:sz="4" w:space="0" w:color="auto"/>
            </w:tcBorders>
            <w:vAlign w:val="center"/>
          </w:tcPr>
          <w:p w14:paraId="6BE62BD9" w14:textId="77777777" w:rsidR="002F590A" w:rsidRDefault="002F590A">
            <w:pPr>
              <w:jc w:val="center"/>
              <w:rPr>
                <w:sz w:val="12"/>
                <w:szCs w:val="12"/>
              </w:rPr>
            </w:pPr>
          </w:p>
        </w:tc>
        <w:tc>
          <w:tcPr>
            <w:tcW w:w="133" w:type="pct"/>
            <w:tcBorders>
              <w:top w:val="single" w:sz="4" w:space="0" w:color="auto"/>
              <w:left w:val="single" w:sz="4" w:space="0" w:color="auto"/>
              <w:bottom w:val="single" w:sz="4" w:space="0" w:color="auto"/>
              <w:right w:val="single" w:sz="4" w:space="0" w:color="auto"/>
            </w:tcBorders>
            <w:vAlign w:val="center"/>
          </w:tcPr>
          <w:p w14:paraId="782D1040" w14:textId="77777777" w:rsidR="002F590A" w:rsidRDefault="002F590A">
            <w:pPr>
              <w:jc w:val="center"/>
              <w:rPr>
                <w:sz w:val="12"/>
                <w:szCs w:val="12"/>
              </w:rPr>
            </w:pPr>
          </w:p>
        </w:tc>
        <w:tc>
          <w:tcPr>
            <w:tcW w:w="198" w:type="pct"/>
            <w:tcBorders>
              <w:top w:val="single" w:sz="4" w:space="0" w:color="auto"/>
              <w:left w:val="single" w:sz="4" w:space="0" w:color="auto"/>
              <w:bottom w:val="single" w:sz="4" w:space="0" w:color="auto"/>
              <w:right w:val="single" w:sz="4" w:space="0" w:color="auto"/>
            </w:tcBorders>
            <w:vAlign w:val="center"/>
          </w:tcPr>
          <w:p w14:paraId="73D56128" w14:textId="77777777" w:rsidR="002F590A" w:rsidRDefault="002F590A">
            <w:pPr>
              <w:jc w:val="center"/>
              <w:rPr>
                <w:color w:val="000000"/>
                <w:sz w:val="12"/>
                <w:szCs w:val="12"/>
              </w:rPr>
            </w:pPr>
          </w:p>
        </w:tc>
        <w:tc>
          <w:tcPr>
            <w:tcW w:w="178" w:type="pct"/>
            <w:tcBorders>
              <w:top w:val="single" w:sz="4" w:space="0" w:color="auto"/>
              <w:left w:val="single" w:sz="4" w:space="0" w:color="auto"/>
              <w:bottom w:val="single" w:sz="4" w:space="0" w:color="auto"/>
              <w:right w:val="single" w:sz="4" w:space="0" w:color="auto"/>
            </w:tcBorders>
            <w:vAlign w:val="center"/>
          </w:tcPr>
          <w:p w14:paraId="5BFD29C0" w14:textId="77777777" w:rsidR="002F590A" w:rsidRDefault="002F590A">
            <w:pPr>
              <w:jc w:val="center"/>
              <w:rPr>
                <w:color w:val="000000"/>
                <w:sz w:val="12"/>
                <w:szCs w:val="12"/>
              </w:rPr>
            </w:pPr>
          </w:p>
        </w:tc>
        <w:tc>
          <w:tcPr>
            <w:tcW w:w="218" w:type="pct"/>
            <w:tcBorders>
              <w:top w:val="single" w:sz="4" w:space="0" w:color="auto"/>
              <w:left w:val="single" w:sz="4" w:space="0" w:color="auto"/>
              <w:bottom w:val="single" w:sz="4" w:space="0" w:color="auto"/>
              <w:right w:val="single" w:sz="4" w:space="0" w:color="auto"/>
            </w:tcBorders>
            <w:vAlign w:val="center"/>
          </w:tcPr>
          <w:p w14:paraId="1A378C16" w14:textId="77777777" w:rsidR="002F590A" w:rsidRDefault="002F590A">
            <w:pPr>
              <w:jc w:val="center"/>
              <w:rPr>
                <w:b/>
                <w:bCs/>
                <w:sz w:val="12"/>
                <w:szCs w:val="12"/>
              </w:rPr>
            </w:pPr>
          </w:p>
        </w:tc>
        <w:tc>
          <w:tcPr>
            <w:tcW w:w="220" w:type="pct"/>
            <w:tcBorders>
              <w:top w:val="single" w:sz="4" w:space="0" w:color="auto"/>
              <w:left w:val="single" w:sz="4" w:space="0" w:color="auto"/>
              <w:bottom w:val="single" w:sz="4" w:space="0" w:color="auto"/>
              <w:right w:val="single" w:sz="4" w:space="0" w:color="auto"/>
            </w:tcBorders>
            <w:vAlign w:val="center"/>
            <w:hideMark/>
          </w:tcPr>
          <w:p w14:paraId="6005D998" w14:textId="77777777" w:rsidR="002F590A" w:rsidRDefault="002F590A">
            <w:pPr>
              <w:jc w:val="center"/>
              <w:rPr>
                <w:b/>
                <w:bCs/>
                <w:sz w:val="12"/>
                <w:szCs w:val="12"/>
              </w:rPr>
            </w:pPr>
            <w:r>
              <w:rPr>
                <w:b/>
                <w:bCs/>
                <w:sz w:val="12"/>
                <w:szCs w:val="12"/>
              </w:rPr>
              <w:t> </w:t>
            </w:r>
          </w:p>
        </w:tc>
        <w:tc>
          <w:tcPr>
            <w:tcW w:w="214" w:type="pct"/>
            <w:tcBorders>
              <w:top w:val="single" w:sz="4" w:space="0" w:color="auto"/>
              <w:left w:val="single" w:sz="4" w:space="0" w:color="auto"/>
              <w:bottom w:val="single" w:sz="4" w:space="0" w:color="auto"/>
              <w:right w:val="single" w:sz="4" w:space="0" w:color="auto"/>
            </w:tcBorders>
            <w:vAlign w:val="center"/>
            <w:hideMark/>
          </w:tcPr>
          <w:p w14:paraId="5B797F7F" w14:textId="77777777" w:rsidR="002F590A" w:rsidRDefault="002F590A">
            <w:pPr>
              <w:jc w:val="center"/>
              <w:rPr>
                <w:b/>
                <w:bCs/>
                <w:sz w:val="12"/>
                <w:szCs w:val="12"/>
              </w:rPr>
            </w:pPr>
            <w:r>
              <w:rPr>
                <w:b/>
                <w:bCs/>
                <w:sz w:val="12"/>
                <w:szCs w:val="12"/>
              </w:rPr>
              <w:t> </w:t>
            </w:r>
          </w:p>
        </w:tc>
        <w:tc>
          <w:tcPr>
            <w:tcW w:w="179" w:type="pct"/>
            <w:tcBorders>
              <w:top w:val="single" w:sz="4" w:space="0" w:color="auto"/>
              <w:left w:val="single" w:sz="4" w:space="0" w:color="auto"/>
              <w:bottom w:val="single" w:sz="4" w:space="0" w:color="auto"/>
              <w:right w:val="single" w:sz="4" w:space="0" w:color="auto"/>
            </w:tcBorders>
            <w:vAlign w:val="center"/>
            <w:hideMark/>
          </w:tcPr>
          <w:p w14:paraId="5F1D1ED3" w14:textId="77777777" w:rsidR="002F590A" w:rsidRDefault="002F590A">
            <w:pPr>
              <w:jc w:val="center"/>
              <w:rPr>
                <w:b/>
                <w:bCs/>
                <w:sz w:val="12"/>
                <w:szCs w:val="12"/>
              </w:rPr>
            </w:pPr>
            <w:r>
              <w:rPr>
                <w:b/>
                <w:bCs/>
                <w:sz w:val="12"/>
                <w:szCs w:val="12"/>
              </w:rPr>
              <w:t> </w:t>
            </w:r>
          </w:p>
        </w:tc>
        <w:tc>
          <w:tcPr>
            <w:tcW w:w="171" w:type="pct"/>
            <w:tcBorders>
              <w:top w:val="single" w:sz="4" w:space="0" w:color="auto"/>
              <w:left w:val="single" w:sz="4" w:space="0" w:color="auto"/>
              <w:bottom w:val="single" w:sz="4" w:space="0" w:color="auto"/>
              <w:right w:val="single" w:sz="4" w:space="0" w:color="auto"/>
            </w:tcBorders>
            <w:vAlign w:val="center"/>
            <w:hideMark/>
          </w:tcPr>
          <w:p w14:paraId="7B346FDF" w14:textId="77777777" w:rsidR="002F590A" w:rsidRDefault="002F590A">
            <w:pPr>
              <w:jc w:val="center"/>
              <w:rPr>
                <w:b/>
                <w:bCs/>
                <w:sz w:val="12"/>
                <w:szCs w:val="12"/>
              </w:rPr>
            </w:pPr>
            <w:r>
              <w:rPr>
                <w:b/>
                <w:bCs/>
                <w:sz w:val="12"/>
                <w:szCs w:val="12"/>
              </w:rPr>
              <w:t> </w:t>
            </w:r>
          </w:p>
        </w:tc>
        <w:tc>
          <w:tcPr>
            <w:tcW w:w="173" w:type="pct"/>
            <w:tcBorders>
              <w:top w:val="single" w:sz="4" w:space="0" w:color="auto"/>
              <w:left w:val="single" w:sz="4" w:space="0" w:color="auto"/>
              <w:bottom w:val="single" w:sz="4" w:space="0" w:color="auto"/>
              <w:right w:val="single" w:sz="4" w:space="0" w:color="auto"/>
            </w:tcBorders>
            <w:vAlign w:val="center"/>
            <w:hideMark/>
          </w:tcPr>
          <w:p w14:paraId="25B4BB72" w14:textId="77777777" w:rsidR="002F590A" w:rsidRDefault="002F590A">
            <w:pPr>
              <w:jc w:val="center"/>
              <w:rPr>
                <w:b/>
                <w:bCs/>
                <w:sz w:val="12"/>
                <w:szCs w:val="12"/>
              </w:rPr>
            </w:pPr>
            <w:r>
              <w:rPr>
                <w:b/>
                <w:bCs/>
                <w:sz w:val="12"/>
                <w:szCs w:val="12"/>
              </w:rPr>
              <w:t> </w:t>
            </w:r>
          </w:p>
        </w:tc>
        <w:tc>
          <w:tcPr>
            <w:tcW w:w="177" w:type="pct"/>
            <w:tcBorders>
              <w:top w:val="single" w:sz="4" w:space="0" w:color="auto"/>
              <w:left w:val="single" w:sz="4" w:space="0" w:color="auto"/>
              <w:bottom w:val="single" w:sz="4" w:space="0" w:color="auto"/>
              <w:right w:val="single" w:sz="4" w:space="0" w:color="auto"/>
            </w:tcBorders>
            <w:vAlign w:val="center"/>
            <w:hideMark/>
          </w:tcPr>
          <w:p w14:paraId="2187BA97" w14:textId="77777777" w:rsidR="002F590A" w:rsidRDefault="002F590A">
            <w:pPr>
              <w:jc w:val="center"/>
              <w:rPr>
                <w:b/>
                <w:bCs/>
                <w:sz w:val="12"/>
                <w:szCs w:val="12"/>
              </w:rPr>
            </w:pPr>
            <w:r>
              <w:rPr>
                <w:b/>
                <w:bCs/>
                <w:sz w:val="12"/>
                <w:szCs w:val="12"/>
              </w:rPr>
              <w:t> </w:t>
            </w:r>
          </w:p>
        </w:tc>
        <w:tc>
          <w:tcPr>
            <w:tcW w:w="173" w:type="pct"/>
            <w:tcBorders>
              <w:top w:val="single" w:sz="4" w:space="0" w:color="auto"/>
              <w:left w:val="single" w:sz="4" w:space="0" w:color="auto"/>
              <w:bottom w:val="single" w:sz="4" w:space="0" w:color="auto"/>
              <w:right w:val="single" w:sz="4" w:space="0" w:color="auto"/>
            </w:tcBorders>
            <w:vAlign w:val="center"/>
            <w:hideMark/>
          </w:tcPr>
          <w:p w14:paraId="6F0DF2D7" w14:textId="77777777" w:rsidR="002F590A" w:rsidRDefault="002F590A">
            <w:pPr>
              <w:jc w:val="center"/>
              <w:rPr>
                <w:b/>
                <w:bCs/>
                <w:sz w:val="12"/>
                <w:szCs w:val="12"/>
              </w:rPr>
            </w:pPr>
            <w:r>
              <w:rPr>
                <w:b/>
                <w:bCs/>
                <w:sz w:val="12"/>
                <w:szCs w:val="12"/>
              </w:rPr>
              <w:t> </w:t>
            </w:r>
          </w:p>
        </w:tc>
        <w:tc>
          <w:tcPr>
            <w:tcW w:w="173" w:type="pct"/>
            <w:tcBorders>
              <w:top w:val="single" w:sz="4" w:space="0" w:color="auto"/>
              <w:left w:val="single" w:sz="4" w:space="0" w:color="auto"/>
              <w:bottom w:val="single" w:sz="4" w:space="0" w:color="auto"/>
              <w:right w:val="single" w:sz="4" w:space="0" w:color="auto"/>
            </w:tcBorders>
            <w:vAlign w:val="center"/>
            <w:hideMark/>
          </w:tcPr>
          <w:p w14:paraId="052A26F5" w14:textId="77777777" w:rsidR="002F590A" w:rsidRDefault="002F590A">
            <w:pPr>
              <w:jc w:val="center"/>
              <w:rPr>
                <w:b/>
                <w:bCs/>
                <w:sz w:val="12"/>
                <w:szCs w:val="12"/>
              </w:rPr>
            </w:pPr>
            <w:r>
              <w:rPr>
                <w:b/>
                <w:bCs/>
                <w:sz w:val="12"/>
                <w:szCs w:val="12"/>
              </w:rPr>
              <w:t> </w:t>
            </w:r>
          </w:p>
        </w:tc>
        <w:tc>
          <w:tcPr>
            <w:tcW w:w="177" w:type="pct"/>
            <w:tcBorders>
              <w:top w:val="single" w:sz="4" w:space="0" w:color="auto"/>
              <w:left w:val="single" w:sz="4" w:space="0" w:color="auto"/>
              <w:bottom w:val="single" w:sz="4" w:space="0" w:color="auto"/>
              <w:right w:val="single" w:sz="4" w:space="0" w:color="auto"/>
            </w:tcBorders>
            <w:vAlign w:val="center"/>
            <w:hideMark/>
          </w:tcPr>
          <w:p w14:paraId="3D253A6E" w14:textId="77777777" w:rsidR="002F590A" w:rsidRDefault="002F590A">
            <w:pPr>
              <w:jc w:val="center"/>
              <w:rPr>
                <w:b/>
                <w:bCs/>
                <w:sz w:val="12"/>
                <w:szCs w:val="12"/>
              </w:rPr>
            </w:pPr>
            <w:r>
              <w:rPr>
                <w:b/>
                <w:bCs/>
                <w:sz w:val="12"/>
                <w:szCs w:val="12"/>
              </w:rPr>
              <w:t> </w:t>
            </w:r>
          </w:p>
        </w:tc>
        <w:tc>
          <w:tcPr>
            <w:tcW w:w="174" w:type="pct"/>
            <w:tcBorders>
              <w:top w:val="single" w:sz="4" w:space="0" w:color="auto"/>
              <w:left w:val="single" w:sz="4" w:space="0" w:color="auto"/>
              <w:bottom w:val="single" w:sz="4" w:space="0" w:color="auto"/>
              <w:right w:val="single" w:sz="4" w:space="0" w:color="auto"/>
            </w:tcBorders>
            <w:vAlign w:val="center"/>
          </w:tcPr>
          <w:p w14:paraId="583F54FE" w14:textId="77777777" w:rsidR="002F590A" w:rsidRDefault="002F590A">
            <w:pPr>
              <w:jc w:val="center"/>
              <w:rPr>
                <w:color w:val="000000"/>
                <w:sz w:val="12"/>
                <w:szCs w:val="12"/>
              </w:rPr>
            </w:pPr>
          </w:p>
        </w:tc>
        <w:tc>
          <w:tcPr>
            <w:tcW w:w="128" w:type="pct"/>
            <w:tcBorders>
              <w:top w:val="single" w:sz="4" w:space="0" w:color="auto"/>
              <w:left w:val="single" w:sz="4" w:space="0" w:color="auto"/>
              <w:bottom w:val="single" w:sz="4" w:space="0" w:color="auto"/>
              <w:right w:val="single" w:sz="4" w:space="0" w:color="auto"/>
            </w:tcBorders>
            <w:vAlign w:val="center"/>
          </w:tcPr>
          <w:p w14:paraId="10AC759C" w14:textId="77777777" w:rsidR="002F590A" w:rsidRDefault="002F590A">
            <w:pPr>
              <w:jc w:val="center"/>
              <w:rPr>
                <w:color w:val="000000"/>
                <w:sz w:val="12"/>
                <w:szCs w:val="12"/>
              </w:rPr>
            </w:pPr>
          </w:p>
        </w:tc>
      </w:tr>
      <w:tr w:rsidR="002F590A" w14:paraId="08372C68" w14:textId="77777777" w:rsidTr="002F590A">
        <w:trPr>
          <w:trHeight w:val="897"/>
        </w:trPr>
        <w:tc>
          <w:tcPr>
            <w:tcW w:w="175" w:type="pct"/>
            <w:tcBorders>
              <w:top w:val="single" w:sz="4" w:space="0" w:color="auto"/>
              <w:left w:val="single" w:sz="4" w:space="0" w:color="auto"/>
              <w:bottom w:val="single" w:sz="4" w:space="0" w:color="auto"/>
              <w:right w:val="single" w:sz="4" w:space="0" w:color="auto"/>
            </w:tcBorders>
            <w:vAlign w:val="center"/>
            <w:hideMark/>
          </w:tcPr>
          <w:p w14:paraId="06A6C7B7" w14:textId="77777777" w:rsidR="002F590A" w:rsidRDefault="002F590A">
            <w:pPr>
              <w:jc w:val="center"/>
              <w:rPr>
                <w:sz w:val="12"/>
                <w:szCs w:val="12"/>
              </w:rPr>
            </w:pPr>
            <w:r>
              <w:rPr>
                <w:bCs/>
                <w:color w:val="000000"/>
                <w:sz w:val="12"/>
                <w:szCs w:val="12"/>
              </w:rPr>
              <w:t>3.2.</w:t>
            </w:r>
            <w:r>
              <w:rPr>
                <w:sz w:val="12"/>
                <w:szCs w:val="12"/>
              </w:rPr>
              <w:t>1.1</w:t>
            </w:r>
          </w:p>
        </w:tc>
        <w:tc>
          <w:tcPr>
            <w:tcW w:w="262" w:type="pct"/>
            <w:tcBorders>
              <w:top w:val="single" w:sz="4" w:space="0" w:color="auto"/>
              <w:left w:val="single" w:sz="4" w:space="0" w:color="auto"/>
              <w:bottom w:val="single" w:sz="4" w:space="0" w:color="auto"/>
              <w:right w:val="single" w:sz="4" w:space="0" w:color="auto"/>
            </w:tcBorders>
            <w:vAlign w:val="center"/>
            <w:hideMark/>
          </w:tcPr>
          <w:p w14:paraId="47485E71" w14:textId="77777777" w:rsidR="002F590A" w:rsidRDefault="002F590A">
            <w:pPr>
              <w:rPr>
                <w:color w:val="000000"/>
                <w:sz w:val="12"/>
                <w:szCs w:val="12"/>
              </w:rPr>
            </w:pPr>
            <w:r>
              <w:rPr>
                <w:color w:val="000000"/>
                <w:sz w:val="12"/>
                <w:szCs w:val="12"/>
              </w:rPr>
              <w:t>Реконструкция подпиточной линии</w:t>
            </w:r>
          </w:p>
        </w:tc>
        <w:tc>
          <w:tcPr>
            <w:tcW w:w="351" w:type="pct"/>
            <w:tcBorders>
              <w:top w:val="single" w:sz="4" w:space="0" w:color="auto"/>
              <w:left w:val="single" w:sz="4" w:space="0" w:color="auto"/>
              <w:bottom w:val="single" w:sz="4" w:space="0" w:color="auto"/>
              <w:right w:val="single" w:sz="4" w:space="0" w:color="auto"/>
            </w:tcBorders>
            <w:vAlign w:val="center"/>
            <w:hideMark/>
          </w:tcPr>
          <w:p w14:paraId="3E5C0046" w14:textId="77777777" w:rsidR="002F590A" w:rsidRDefault="002F590A">
            <w:pPr>
              <w:jc w:val="center"/>
              <w:rPr>
                <w:sz w:val="12"/>
                <w:szCs w:val="12"/>
              </w:rPr>
            </w:pPr>
            <w:r>
              <w:rPr>
                <w:sz w:val="12"/>
                <w:szCs w:val="12"/>
              </w:rPr>
              <w:t>Повышение надежности (бесперебойности) услуг теплоснабжения, повышение энергетической эффективности</w:t>
            </w:r>
          </w:p>
        </w:tc>
        <w:tc>
          <w:tcPr>
            <w:tcW w:w="259" w:type="pct"/>
            <w:tcBorders>
              <w:top w:val="single" w:sz="4" w:space="0" w:color="auto"/>
              <w:left w:val="single" w:sz="4" w:space="0" w:color="auto"/>
              <w:bottom w:val="single" w:sz="4" w:space="0" w:color="auto"/>
              <w:right w:val="single" w:sz="4" w:space="0" w:color="auto"/>
            </w:tcBorders>
            <w:vAlign w:val="center"/>
            <w:hideMark/>
          </w:tcPr>
          <w:p w14:paraId="6A83547E" w14:textId="77777777" w:rsidR="002F590A" w:rsidRDefault="002F590A">
            <w:pPr>
              <w:jc w:val="center"/>
              <w:rPr>
                <w:color w:val="000000"/>
                <w:sz w:val="12"/>
                <w:szCs w:val="12"/>
              </w:rPr>
            </w:pPr>
            <w:r>
              <w:rPr>
                <w:color w:val="000000"/>
                <w:sz w:val="12"/>
                <w:szCs w:val="12"/>
              </w:rPr>
              <w:t> </w:t>
            </w:r>
          </w:p>
        </w:tc>
        <w:tc>
          <w:tcPr>
            <w:tcW w:w="298" w:type="pct"/>
            <w:tcBorders>
              <w:top w:val="single" w:sz="4" w:space="0" w:color="auto"/>
              <w:left w:val="single" w:sz="4" w:space="0" w:color="auto"/>
              <w:bottom w:val="single" w:sz="4" w:space="0" w:color="auto"/>
              <w:right w:val="single" w:sz="4" w:space="0" w:color="auto"/>
            </w:tcBorders>
            <w:vAlign w:val="center"/>
            <w:hideMark/>
          </w:tcPr>
          <w:p w14:paraId="4B4D6886" w14:textId="77777777" w:rsidR="002F590A" w:rsidRDefault="002F590A">
            <w:pPr>
              <w:jc w:val="center"/>
              <w:rPr>
                <w:sz w:val="12"/>
                <w:szCs w:val="12"/>
              </w:rPr>
            </w:pPr>
            <w:r>
              <w:rPr>
                <w:color w:val="000000"/>
                <w:sz w:val="12"/>
                <w:szCs w:val="12"/>
              </w:rPr>
              <w:t>Технические характеристики</w:t>
            </w:r>
          </w:p>
        </w:tc>
        <w:tc>
          <w:tcPr>
            <w:tcW w:w="130" w:type="pct"/>
            <w:tcBorders>
              <w:top w:val="single" w:sz="4" w:space="0" w:color="auto"/>
              <w:left w:val="single" w:sz="4" w:space="0" w:color="auto"/>
              <w:bottom w:val="single" w:sz="4" w:space="0" w:color="auto"/>
              <w:right w:val="single" w:sz="4" w:space="0" w:color="auto"/>
            </w:tcBorders>
            <w:vAlign w:val="center"/>
          </w:tcPr>
          <w:p w14:paraId="73AFB518" w14:textId="77777777" w:rsidR="002F590A" w:rsidRDefault="002F590A">
            <w:pPr>
              <w:jc w:val="center"/>
              <w:rPr>
                <w:sz w:val="12"/>
                <w:szCs w:val="12"/>
              </w:rPr>
            </w:pPr>
          </w:p>
        </w:tc>
        <w:tc>
          <w:tcPr>
            <w:tcW w:w="359" w:type="pct"/>
            <w:tcBorders>
              <w:top w:val="single" w:sz="4" w:space="0" w:color="auto"/>
              <w:left w:val="single" w:sz="4" w:space="0" w:color="auto"/>
              <w:bottom w:val="single" w:sz="4" w:space="0" w:color="auto"/>
              <w:right w:val="single" w:sz="4" w:space="0" w:color="auto"/>
            </w:tcBorders>
            <w:vAlign w:val="center"/>
            <w:hideMark/>
          </w:tcPr>
          <w:p w14:paraId="36C34072" w14:textId="77777777" w:rsidR="002F590A" w:rsidRDefault="002F590A">
            <w:pPr>
              <w:jc w:val="center"/>
              <w:rPr>
                <w:sz w:val="12"/>
                <w:szCs w:val="12"/>
              </w:rPr>
            </w:pPr>
            <w:r>
              <w:rPr>
                <w:sz w:val="12"/>
                <w:szCs w:val="12"/>
              </w:rPr>
              <w:t>Отсутствие насоса на подпиточной линии и расширительного бака</w:t>
            </w:r>
          </w:p>
        </w:tc>
        <w:tc>
          <w:tcPr>
            <w:tcW w:w="349" w:type="pct"/>
            <w:tcBorders>
              <w:top w:val="single" w:sz="4" w:space="0" w:color="auto"/>
              <w:left w:val="single" w:sz="4" w:space="0" w:color="auto"/>
              <w:bottom w:val="single" w:sz="4" w:space="0" w:color="auto"/>
              <w:right w:val="single" w:sz="4" w:space="0" w:color="auto"/>
            </w:tcBorders>
            <w:vAlign w:val="center"/>
            <w:hideMark/>
          </w:tcPr>
          <w:p w14:paraId="7B8C3073" w14:textId="77777777" w:rsidR="002F590A" w:rsidRDefault="002F590A">
            <w:pPr>
              <w:jc w:val="center"/>
              <w:rPr>
                <w:color w:val="000000"/>
                <w:sz w:val="12"/>
                <w:szCs w:val="12"/>
              </w:rPr>
            </w:pPr>
            <w:r>
              <w:rPr>
                <w:color w:val="000000"/>
                <w:sz w:val="12"/>
                <w:szCs w:val="12"/>
              </w:rPr>
              <w:t>Оборудование для поддержания стабильного давления в обратном трубопроводе тепловой сети и стабильного гидравлического режима работы котельной</w:t>
            </w:r>
          </w:p>
        </w:tc>
        <w:tc>
          <w:tcPr>
            <w:tcW w:w="131" w:type="pct"/>
            <w:tcBorders>
              <w:top w:val="single" w:sz="4" w:space="0" w:color="auto"/>
              <w:left w:val="single" w:sz="4" w:space="0" w:color="auto"/>
              <w:bottom w:val="single" w:sz="4" w:space="0" w:color="auto"/>
              <w:right w:val="single" w:sz="4" w:space="0" w:color="auto"/>
            </w:tcBorders>
            <w:vAlign w:val="center"/>
            <w:hideMark/>
          </w:tcPr>
          <w:p w14:paraId="4C2BA037" w14:textId="77777777" w:rsidR="002F590A" w:rsidRDefault="002F590A">
            <w:pPr>
              <w:jc w:val="center"/>
              <w:rPr>
                <w:sz w:val="12"/>
                <w:szCs w:val="12"/>
              </w:rPr>
            </w:pPr>
            <w:r>
              <w:rPr>
                <w:sz w:val="12"/>
                <w:szCs w:val="12"/>
              </w:rPr>
              <w:t>2029</w:t>
            </w:r>
          </w:p>
        </w:tc>
        <w:tc>
          <w:tcPr>
            <w:tcW w:w="133" w:type="pct"/>
            <w:tcBorders>
              <w:top w:val="single" w:sz="4" w:space="0" w:color="auto"/>
              <w:left w:val="single" w:sz="4" w:space="0" w:color="auto"/>
              <w:bottom w:val="single" w:sz="4" w:space="0" w:color="auto"/>
              <w:right w:val="single" w:sz="4" w:space="0" w:color="auto"/>
            </w:tcBorders>
            <w:vAlign w:val="center"/>
            <w:hideMark/>
          </w:tcPr>
          <w:p w14:paraId="40AE424F" w14:textId="77777777" w:rsidR="002F590A" w:rsidRDefault="002F590A">
            <w:pPr>
              <w:jc w:val="center"/>
              <w:rPr>
                <w:sz w:val="12"/>
                <w:szCs w:val="12"/>
              </w:rPr>
            </w:pPr>
            <w:r>
              <w:rPr>
                <w:sz w:val="12"/>
                <w:szCs w:val="12"/>
              </w:rPr>
              <w:t>2029</w:t>
            </w:r>
          </w:p>
        </w:tc>
        <w:tc>
          <w:tcPr>
            <w:tcW w:w="198" w:type="pct"/>
            <w:tcBorders>
              <w:top w:val="single" w:sz="4" w:space="0" w:color="auto"/>
              <w:left w:val="single" w:sz="4" w:space="0" w:color="auto"/>
              <w:bottom w:val="single" w:sz="4" w:space="0" w:color="auto"/>
              <w:right w:val="single" w:sz="4" w:space="0" w:color="auto"/>
            </w:tcBorders>
            <w:vAlign w:val="center"/>
            <w:hideMark/>
          </w:tcPr>
          <w:p w14:paraId="7832B2DA" w14:textId="77777777" w:rsidR="002F590A" w:rsidRDefault="002F590A">
            <w:pPr>
              <w:jc w:val="center"/>
              <w:rPr>
                <w:color w:val="000000"/>
                <w:sz w:val="12"/>
                <w:szCs w:val="12"/>
              </w:rPr>
            </w:pPr>
            <w:r>
              <w:rPr>
                <w:color w:val="000000"/>
                <w:sz w:val="12"/>
                <w:szCs w:val="12"/>
              </w:rPr>
              <w:t>88,62</w:t>
            </w:r>
          </w:p>
        </w:tc>
        <w:tc>
          <w:tcPr>
            <w:tcW w:w="178" w:type="pct"/>
            <w:tcBorders>
              <w:top w:val="single" w:sz="4" w:space="0" w:color="auto"/>
              <w:left w:val="single" w:sz="4" w:space="0" w:color="auto"/>
              <w:bottom w:val="single" w:sz="4" w:space="0" w:color="auto"/>
              <w:right w:val="single" w:sz="4" w:space="0" w:color="auto"/>
            </w:tcBorders>
            <w:vAlign w:val="center"/>
            <w:hideMark/>
          </w:tcPr>
          <w:p w14:paraId="4C045373" w14:textId="77777777" w:rsidR="002F590A" w:rsidRDefault="002F590A">
            <w:pPr>
              <w:jc w:val="center"/>
              <w:rPr>
                <w:color w:val="000000"/>
                <w:sz w:val="12"/>
                <w:szCs w:val="12"/>
              </w:rPr>
            </w:pPr>
            <w:r>
              <w:rPr>
                <w:color w:val="000000"/>
                <w:sz w:val="12"/>
                <w:szCs w:val="12"/>
              </w:rPr>
              <w:t>0,00</w:t>
            </w:r>
          </w:p>
        </w:tc>
        <w:tc>
          <w:tcPr>
            <w:tcW w:w="218" w:type="pct"/>
            <w:tcBorders>
              <w:top w:val="single" w:sz="4" w:space="0" w:color="auto"/>
              <w:left w:val="single" w:sz="4" w:space="0" w:color="auto"/>
              <w:bottom w:val="single" w:sz="4" w:space="0" w:color="auto"/>
              <w:right w:val="single" w:sz="4" w:space="0" w:color="auto"/>
            </w:tcBorders>
            <w:vAlign w:val="center"/>
            <w:hideMark/>
          </w:tcPr>
          <w:p w14:paraId="5D023F2A" w14:textId="77777777" w:rsidR="002F590A" w:rsidRDefault="002F590A">
            <w:pPr>
              <w:jc w:val="center"/>
              <w:rPr>
                <w:sz w:val="12"/>
                <w:szCs w:val="12"/>
              </w:rPr>
            </w:pPr>
            <w:r>
              <w:rPr>
                <w:sz w:val="12"/>
                <w:szCs w:val="12"/>
              </w:rPr>
              <w:t>0,00</w:t>
            </w:r>
          </w:p>
        </w:tc>
        <w:tc>
          <w:tcPr>
            <w:tcW w:w="220" w:type="pct"/>
            <w:tcBorders>
              <w:top w:val="single" w:sz="4" w:space="0" w:color="auto"/>
              <w:left w:val="single" w:sz="4" w:space="0" w:color="auto"/>
              <w:bottom w:val="single" w:sz="4" w:space="0" w:color="auto"/>
              <w:right w:val="single" w:sz="4" w:space="0" w:color="auto"/>
            </w:tcBorders>
            <w:vAlign w:val="center"/>
            <w:hideMark/>
          </w:tcPr>
          <w:p w14:paraId="3A3E06AD" w14:textId="77777777" w:rsidR="002F590A" w:rsidRDefault="002F590A">
            <w:pPr>
              <w:jc w:val="center"/>
              <w:rPr>
                <w:sz w:val="12"/>
                <w:szCs w:val="12"/>
              </w:rPr>
            </w:pPr>
            <w:r>
              <w:rPr>
                <w:sz w:val="12"/>
                <w:szCs w:val="12"/>
              </w:rPr>
              <w:t>0,00</w:t>
            </w:r>
          </w:p>
        </w:tc>
        <w:tc>
          <w:tcPr>
            <w:tcW w:w="214" w:type="pct"/>
            <w:tcBorders>
              <w:top w:val="single" w:sz="4" w:space="0" w:color="auto"/>
              <w:left w:val="single" w:sz="4" w:space="0" w:color="auto"/>
              <w:bottom w:val="single" w:sz="4" w:space="0" w:color="auto"/>
              <w:right w:val="single" w:sz="4" w:space="0" w:color="auto"/>
            </w:tcBorders>
            <w:vAlign w:val="center"/>
            <w:hideMark/>
          </w:tcPr>
          <w:p w14:paraId="7892DB35" w14:textId="77777777" w:rsidR="002F590A" w:rsidRDefault="002F590A">
            <w:pPr>
              <w:jc w:val="center"/>
              <w:rPr>
                <w:sz w:val="12"/>
                <w:szCs w:val="12"/>
              </w:rPr>
            </w:pPr>
            <w:r>
              <w:rPr>
                <w:sz w:val="12"/>
                <w:szCs w:val="12"/>
              </w:rPr>
              <w:t>0,00</w:t>
            </w:r>
          </w:p>
        </w:tc>
        <w:tc>
          <w:tcPr>
            <w:tcW w:w="179" w:type="pct"/>
            <w:tcBorders>
              <w:top w:val="single" w:sz="4" w:space="0" w:color="auto"/>
              <w:left w:val="single" w:sz="4" w:space="0" w:color="auto"/>
              <w:bottom w:val="single" w:sz="4" w:space="0" w:color="auto"/>
              <w:right w:val="single" w:sz="4" w:space="0" w:color="auto"/>
            </w:tcBorders>
            <w:vAlign w:val="center"/>
            <w:hideMark/>
          </w:tcPr>
          <w:p w14:paraId="34F08195" w14:textId="77777777" w:rsidR="002F590A" w:rsidRDefault="002F590A">
            <w:pPr>
              <w:jc w:val="center"/>
              <w:rPr>
                <w:sz w:val="12"/>
                <w:szCs w:val="12"/>
              </w:rPr>
            </w:pPr>
            <w:r>
              <w:rPr>
                <w:sz w:val="12"/>
                <w:szCs w:val="12"/>
              </w:rPr>
              <w:t>0,00</w:t>
            </w:r>
          </w:p>
        </w:tc>
        <w:tc>
          <w:tcPr>
            <w:tcW w:w="171" w:type="pct"/>
            <w:tcBorders>
              <w:top w:val="single" w:sz="4" w:space="0" w:color="auto"/>
              <w:left w:val="single" w:sz="4" w:space="0" w:color="auto"/>
              <w:bottom w:val="single" w:sz="4" w:space="0" w:color="auto"/>
              <w:right w:val="single" w:sz="4" w:space="0" w:color="auto"/>
            </w:tcBorders>
            <w:vAlign w:val="center"/>
            <w:hideMark/>
          </w:tcPr>
          <w:p w14:paraId="09A7F864"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0BF0BDD8" w14:textId="77777777" w:rsidR="002F590A" w:rsidRDefault="002F590A">
            <w:pPr>
              <w:jc w:val="center"/>
              <w:rPr>
                <w:sz w:val="12"/>
                <w:szCs w:val="12"/>
              </w:rPr>
            </w:pPr>
            <w:r>
              <w:rPr>
                <w:sz w:val="12"/>
                <w:szCs w:val="12"/>
              </w:rPr>
              <w:t>0,00</w:t>
            </w:r>
          </w:p>
        </w:tc>
        <w:tc>
          <w:tcPr>
            <w:tcW w:w="177" w:type="pct"/>
            <w:tcBorders>
              <w:top w:val="single" w:sz="4" w:space="0" w:color="auto"/>
              <w:left w:val="single" w:sz="4" w:space="0" w:color="auto"/>
              <w:bottom w:val="single" w:sz="4" w:space="0" w:color="auto"/>
              <w:right w:val="single" w:sz="4" w:space="0" w:color="auto"/>
            </w:tcBorders>
            <w:vAlign w:val="center"/>
            <w:hideMark/>
          </w:tcPr>
          <w:p w14:paraId="2DAFACB6"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47818028" w14:textId="77777777" w:rsidR="002F590A" w:rsidRDefault="002F590A">
            <w:pPr>
              <w:jc w:val="center"/>
              <w:rPr>
                <w:sz w:val="12"/>
                <w:szCs w:val="12"/>
              </w:rPr>
            </w:pPr>
            <w:r>
              <w:rPr>
                <w:sz w:val="12"/>
                <w:szCs w:val="12"/>
              </w:rPr>
              <w:t>88,62</w:t>
            </w:r>
          </w:p>
        </w:tc>
        <w:tc>
          <w:tcPr>
            <w:tcW w:w="173" w:type="pct"/>
            <w:tcBorders>
              <w:top w:val="single" w:sz="4" w:space="0" w:color="auto"/>
              <w:left w:val="single" w:sz="4" w:space="0" w:color="auto"/>
              <w:bottom w:val="single" w:sz="4" w:space="0" w:color="auto"/>
              <w:right w:val="single" w:sz="4" w:space="0" w:color="auto"/>
            </w:tcBorders>
            <w:vAlign w:val="center"/>
            <w:hideMark/>
          </w:tcPr>
          <w:p w14:paraId="4E1E67A8" w14:textId="77777777" w:rsidR="002F590A" w:rsidRDefault="002F590A">
            <w:pPr>
              <w:jc w:val="center"/>
              <w:rPr>
                <w:sz w:val="12"/>
                <w:szCs w:val="12"/>
              </w:rPr>
            </w:pPr>
            <w:r>
              <w:rPr>
                <w:sz w:val="12"/>
                <w:szCs w:val="12"/>
              </w:rPr>
              <w:t>0,00</w:t>
            </w:r>
          </w:p>
        </w:tc>
        <w:tc>
          <w:tcPr>
            <w:tcW w:w="177" w:type="pct"/>
            <w:tcBorders>
              <w:top w:val="single" w:sz="4" w:space="0" w:color="auto"/>
              <w:left w:val="single" w:sz="4" w:space="0" w:color="auto"/>
              <w:bottom w:val="single" w:sz="4" w:space="0" w:color="auto"/>
              <w:right w:val="single" w:sz="4" w:space="0" w:color="auto"/>
            </w:tcBorders>
            <w:vAlign w:val="center"/>
            <w:hideMark/>
          </w:tcPr>
          <w:p w14:paraId="7F7B6BCC"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3CE37429" w14:textId="77777777" w:rsidR="002F590A" w:rsidRDefault="002F590A">
            <w:pPr>
              <w:jc w:val="center"/>
              <w:rPr>
                <w:color w:val="000000"/>
                <w:sz w:val="12"/>
                <w:szCs w:val="12"/>
              </w:rPr>
            </w:pPr>
            <w:r>
              <w:rPr>
                <w:color w:val="000000"/>
                <w:sz w:val="12"/>
                <w:szCs w:val="12"/>
              </w:rPr>
              <w:t>0,00</w:t>
            </w:r>
          </w:p>
        </w:tc>
        <w:tc>
          <w:tcPr>
            <w:tcW w:w="128" w:type="pct"/>
            <w:tcBorders>
              <w:top w:val="single" w:sz="4" w:space="0" w:color="auto"/>
              <w:left w:val="single" w:sz="4" w:space="0" w:color="auto"/>
              <w:bottom w:val="single" w:sz="4" w:space="0" w:color="auto"/>
              <w:right w:val="single" w:sz="4" w:space="0" w:color="auto"/>
            </w:tcBorders>
            <w:vAlign w:val="center"/>
            <w:hideMark/>
          </w:tcPr>
          <w:p w14:paraId="7CEC16E4" w14:textId="77777777" w:rsidR="002F590A" w:rsidRDefault="002F590A">
            <w:pPr>
              <w:jc w:val="center"/>
              <w:rPr>
                <w:color w:val="000000"/>
                <w:sz w:val="12"/>
                <w:szCs w:val="12"/>
              </w:rPr>
            </w:pPr>
            <w:r>
              <w:rPr>
                <w:color w:val="000000"/>
                <w:sz w:val="12"/>
                <w:szCs w:val="12"/>
              </w:rPr>
              <w:t>0,00</w:t>
            </w:r>
          </w:p>
        </w:tc>
      </w:tr>
    </w:tbl>
    <w:p w14:paraId="47AF43C2" w14:textId="77777777" w:rsidR="002F590A" w:rsidRDefault="002F590A" w:rsidP="002F590A">
      <w:pPr>
        <w:rPr>
          <w:sz w:val="12"/>
          <w:szCs w:val="12"/>
        </w:rPr>
      </w:pPr>
    </w:p>
    <w:p w14:paraId="29C7493D" w14:textId="77777777" w:rsidR="002F590A" w:rsidRDefault="002F590A" w:rsidP="002F590A">
      <w:pPr>
        <w:rPr>
          <w:sz w:val="12"/>
          <w:szCs w:val="12"/>
        </w:rPr>
      </w:pPr>
    </w:p>
    <w:p w14:paraId="5D5161E1" w14:textId="77777777" w:rsidR="002F590A" w:rsidRDefault="002F590A" w:rsidP="002F590A">
      <w:pPr>
        <w:rPr>
          <w:sz w:val="12"/>
          <w:szCs w:val="12"/>
        </w:rPr>
      </w:pPr>
    </w:p>
    <w:p w14:paraId="1624E1D6" w14:textId="77777777" w:rsidR="002F590A" w:rsidRDefault="002F590A" w:rsidP="002F590A">
      <w:pPr>
        <w:rPr>
          <w:sz w:val="12"/>
          <w:szCs w:val="12"/>
        </w:rPr>
      </w:pPr>
    </w:p>
    <w:p w14:paraId="1FF89434" w14:textId="77777777" w:rsidR="002F590A" w:rsidRDefault="002F590A" w:rsidP="002F590A">
      <w:pPr>
        <w:rPr>
          <w:sz w:val="12"/>
          <w:szCs w:val="12"/>
        </w:rPr>
      </w:pPr>
    </w:p>
    <w:tbl>
      <w:tblPr>
        <w:tblW w:w="5550" w:type="pct"/>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44"/>
        <w:gridCol w:w="1082"/>
        <w:gridCol w:w="1113"/>
        <w:gridCol w:w="815"/>
        <w:gridCol w:w="941"/>
        <w:gridCol w:w="398"/>
        <w:gridCol w:w="1410"/>
        <w:gridCol w:w="1106"/>
        <w:gridCol w:w="401"/>
        <w:gridCol w:w="408"/>
        <w:gridCol w:w="618"/>
        <w:gridCol w:w="553"/>
        <w:gridCol w:w="683"/>
        <w:gridCol w:w="689"/>
        <w:gridCol w:w="670"/>
        <w:gridCol w:w="557"/>
        <w:gridCol w:w="531"/>
        <w:gridCol w:w="537"/>
        <w:gridCol w:w="550"/>
        <w:gridCol w:w="537"/>
        <w:gridCol w:w="537"/>
        <w:gridCol w:w="550"/>
        <w:gridCol w:w="540"/>
        <w:gridCol w:w="392"/>
      </w:tblGrid>
      <w:tr w:rsidR="002F590A" w14:paraId="45804E82" w14:textId="77777777" w:rsidTr="002F590A">
        <w:trPr>
          <w:trHeight w:val="141"/>
        </w:trPr>
        <w:tc>
          <w:tcPr>
            <w:tcW w:w="175" w:type="pct"/>
            <w:tcBorders>
              <w:top w:val="single" w:sz="4" w:space="0" w:color="auto"/>
              <w:left w:val="single" w:sz="4" w:space="0" w:color="auto"/>
              <w:bottom w:val="single" w:sz="4" w:space="0" w:color="auto"/>
              <w:right w:val="single" w:sz="4" w:space="0" w:color="auto"/>
            </w:tcBorders>
            <w:vAlign w:val="center"/>
            <w:hideMark/>
          </w:tcPr>
          <w:p w14:paraId="1E5A50FB" w14:textId="77777777" w:rsidR="002F590A" w:rsidRDefault="002F590A">
            <w:pPr>
              <w:jc w:val="center"/>
              <w:rPr>
                <w:bCs/>
                <w:sz w:val="12"/>
                <w:szCs w:val="12"/>
              </w:rPr>
            </w:pPr>
            <w:r>
              <w:rPr>
                <w:bCs/>
                <w:sz w:val="12"/>
                <w:szCs w:val="12"/>
              </w:rPr>
              <w:t>1</w:t>
            </w:r>
          </w:p>
        </w:tc>
        <w:tc>
          <w:tcPr>
            <w:tcW w:w="262" w:type="pct"/>
            <w:tcBorders>
              <w:top w:val="single" w:sz="4" w:space="0" w:color="auto"/>
              <w:left w:val="single" w:sz="4" w:space="0" w:color="auto"/>
              <w:bottom w:val="single" w:sz="4" w:space="0" w:color="auto"/>
              <w:right w:val="single" w:sz="4" w:space="0" w:color="auto"/>
            </w:tcBorders>
            <w:vAlign w:val="center"/>
            <w:hideMark/>
          </w:tcPr>
          <w:p w14:paraId="09E1689B" w14:textId="77777777" w:rsidR="002F590A" w:rsidRDefault="002F590A">
            <w:pPr>
              <w:jc w:val="center"/>
              <w:rPr>
                <w:bCs/>
                <w:sz w:val="12"/>
                <w:szCs w:val="12"/>
              </w:rPr>
            </w:pPr>
            <w:r>
              <w:rPr>
                <w:bCs/>
                <w:sz w:val="12"/>
                <w:szCs w:val="12"/>
              </w:rPr>
              <w:t>2</w:t>
            </w:r>
          </w:p>
        </w:tc>
        <w:tc>
          <w:tcPr>
            <w:tcW w:w="351" w:type="pct"/>
            <w:tcBorders>
              <w:top w:val="single" w:sz="4" w:space="0" w:color="auto"/>
              <w:left w:val="single" w:sz="4" w:space="0" w:color="auto"/>
              <w:bottom w:val="single" w:sz="4" w:space="0" w:color="auto"/>
              <w:right w:val="single" w:sz="4" w:space="0" w:color="auto"/>
            </w:tcBorders>
            <w:vAlign w:val="center"/>
            <w:hideMark/>
          </w:tcPr>
          <w:p w14:paraId="2776B75C" w14:textId="77777777" w:rsidR="002F590A" w:rsidRDefault="002F590A">
            <w:pPr>
              <w:jc w:val="center"/>
              <w:rPr>
                <w:bCs/>
                <w:sz w:val="12"/>
                <w:szCs w:val="12"/>
              </w:rPr>
            </w:pPr>
            <w:r>
              <w:rPr>
                <w:bCs/>
                <w:sz w:val="12"/>
                <w:szCs w:val="12"/>
              </w:rPr>
              <w:t>3</w:t>
            </w:r>
          </w:p>
        </w:tc>
        <w:tc>
          <w:tcPr>
            <w:tcW w:w="259" w:type="pct"/>
            <w:tcBorders>
              <w:top w:val="single" w:sz="4" w:space="0" w:color="auto"/>
              <w:left w:val="single" w:sz="4" w:space="0" w:color="auto"/>
              <w:bottom w:val="single" w:sz="4" w:space="0" w:color="auto"/>
              <w:right w:val="single" w:sz="4" w:space="0" w:color="auto"/>
            </w:tcBorders>
            <w:vAlign w:val="center"/>
            <w:hideMark/>
          </w:tcPr>
          <w:p w14:paraId="10650EFB" w14:textId="77777777" w:rsidR="002F590A" w:rsidRDefault="002F590A">
            <w:pPr>
              <w:jc w:val="center"/>
              <w:rPr>
                <w:bCs/>
                <w:sz w:val="12"/>
                <w:szCs w:val="12"/>
              </w:rPr>
            </w:pPr>
            <w:r>
              <w:rPr>
                <w:bCs/>
                <w:sz w:val="12"/>
                <w:szCs w:val="12"/>
              </w:rPr>
              <w:t>4</w:t>
            </w:r>
          </w:p>
        </w:tc>
        <w:tc>
          <w:tcPr>
            <w:tcW w:w="298" w:type="pct"/>
            <w:tcBorders>
              <w:top w:val="single" w:sz="4" w:space="0" w:color="auto"/>
              <w:left w:val="single" w:sz="4" w:space="0" w:color="auto"/>
              <w:bottom w:val="single" w:sz="4" w:space="0" w:color="auto"/>
              <w:right w:val="single" w:sz="4" w:space="0" w:color="auto"/>
            </w:tcBorders>
            <w:vAlign w:val="center"/>
            <w:hideMark/>
          </w:tcPr>
          <w:p w14:paraId="0FFC5C66" w14:textId="77777777" w:rsidR="002F590A" w:rsidRDefault="002F590A">
            <w:pPr>
              <w:jc w:val="center"/>
              <w:rPr>
                <w:bCs/>
                <w:sz w:val="12"/>
                <w:szCs w:val="12"/>
              </w:rPr>
            </w:pPr>
            <w:r>
              <w:rPr>
                <w:bCs/>
                <w:sz w:val="12"/>
                <w:szCs w:val="12"/>
              </w:rPr>
              <w:t>5</w:t>
            </w:r>
          </w:p>
        </w:tc>
        <w:tc>
          <w:tcPr>
            <w:tcW w:w="130" w:type="pct"/>
            <w:tcBorders>
              <w:top w:val="single" w:sz="4" w:space="0" w:color="auto"/>
              <w:left w:val="single" w:sz="4" w:space="0" w:color="auto"/>
              <w:bottom w:val="single" w:sz="4" w:space="0" w:color="auto"/>
              <w:right w:val="single" w:sz="4" w:space="0" w:color="auto"/>
            </w:tcBorders>
            <w:vAlign w:val="center"/>
            <w:hideMark/>
          </w:tcPr>
          <w:p w14:paraId="5F7164C8" w14:textId="77777777" w:rsidR="002F590A" w:rsidRDefault="002F590A">
            <w:pPr>
              <w:jc w:val="center"/>
              <w:rPr>
                <w:bCs/>
                <w:sz w:val="12"/>
                <w:szCs w:val="12"/>
              </w:rPr>
            </w:pPr>
            <w:r>
              <w:rPr>
                <w:bCs/>
                <w:sz w:val="12"/>
                <w:szCs w:val="12"/>
              </w:rPr>
              <w:t>6</w:t>
            </w:r>
          </w:p>
        </w:tc>
        <w:tc>
          <w:tcPr>
            <w:tcW w:w="359" w:type="pct"/>
            <w:tcBorders>
              <w:top w:val="single" w:sz="4" w:space="0" w:color="auto"/>
              <w:left w:val="single" w:sz="4" w:space="0" w:color="auto"/>
              <w:bottom w:val="single" w:sz="4" w:space="0" w:color="auto"/>
              <w:right w:val="single" w:sz="4" w:space="0" w:color="auto"/>
            </w:tcBorders>
            <w:vAlign w:val="center"/>
            <w:hideMark/>
          </w:tcPr>
          <w:p w14:paraId="1C34418C" w14:textId="77777777" w:rsidR="002F590A" w:rsidRDefault="002F590A">
            <w:pPr>
              <w:jc w:val="center"/>
              <w:rPr>
                <w:bCs/>
                <w:sz w:val="12"/>
                <w:szCs w:val="12"/>
              </w:rPr>
            </w:pPr>
            <w:r>
              <w:rPr>
                <w:bCs/>
                <w:sz w:val="12"/>
                <w:szCs w:val="12"/>
              </w:rPr>
              <w:t>7</w:t>
            </w:r>
          </w:p>
        </w:tc>
        <w:tc>
          <w:tcPr>
            <w:tcW w:w="349" w:type="pct"/>
            <w:tcBorders>
              <w:top w:val="single" w:sz="4" w:space="0" w:color="auto"/>
              <w:left w:val="single" w:sz="4" w:space="0" w:color="auto"/>
              <w:bottom w:val="single" w:sz="4" w:space="0" w:color="auto"/>
              <w:right w:val="single" w:sz="4" w:space="0" w:color="auto"/>
            </w:tcBorders>
            <w:vAlign w:val="center"/>
            <w:hideMark/>
          </w:tcPr>
          <w:p w14:paraId="1BC35920" w14:textId="77777777" w:rsidR="002F590A" w:rsidRDefault="002F590A">
            <w:pPr>
              <w:jc w:val="center"/>
              <w:rPr>
                <w:bCs/>
                <w:sz w:val="12"/>
                <w:szCs w:val="12"/>
              </w:rPr>
            </w:pPr>
            <w:r>
              <w:rPr>
                <w:bCs/>
                <w:sz w:val="12"/>
                <w:szCs w:val="12"/>
              </w:rPr>
              <w:t>8</w:t>
            </w:r>
          </w:p>
        </w:tc>
        <w:tc>
          <w:tcPr>
            <w:tcW w:w="131" w:type="pct"/>
            <w:tcBorders>
              <w:top w:val="single" w:sz="4" w:space="0" w:color="auto"/>
              <w:left w:val="single" w:sz="4" w:space="0" w:color="auto"/>
              <w:bottom w:val="single" w:sz="4" w:space="0" w:color="auto"/>
              <w:right w:val="single" w:sz="4" w:space="0" w:color="auto"/>
            </w:tcBorders>
            <w:vAlign w:val="center"/>
            <w:hideMark/>
          </w:tcPr>
          <w:p w14:paraId="303EDC1F" w14:textId="77777777" w:rsidR="002F590A" w:rsidRDefault="002F590A">
            <w:pPr>
              <w:jc w:val="center"/>
              <w:rPr>
                <w:bCs/>
                <w:sz w:val="12"/>
                <w:szCs w:val="12"/>
              </w:rPr>
            </w:pPr>
            <w:r>
              <w:rPr>
                <w:bCs/>
                <w:sz w:val="12"/>
                <w:szCs w:val="12"/>
              </w:rPr>
              <w:t>9</w:t>
            </w:r>
          </w:p>
        </w:tc>
        <w:tc>
          <w:tcPr>
            <w:tcW w:w="133" w:type="pct"/>
            <w:tcBorders>
              <w:top w:val="single" w:sz="4" w:space="0" w:color="auto"/>
              <w:left w:val="single" w:sz="4" w:space="0" w:color="auto"/>
              <w:bottom w:val="single" w:sz="4" w:space="0" w:color="auto"/>
              <w:right w:val="single" w:sz="4" w:space="0" w:color="auto"/>
            </w:tcBorders>
            <w:vAlign w:val="center"/>
            <w:hideMark/>
          </w:tcPr>
          <w:p w14:paraId="768F4D47" w14:textId="77777777" w:rsidR="002F590A" w:rsidRDefault="002F590A">
            <w:pPr>
              <w:jc w:val="center"/>
              <w:rPr>
                <w:bCs/>
                <w:sz w:val="12"/>
                <w:szCs w:val="12"/>
              </w:rPr>
            </w:pPr>
            <w:r>
              <w:rPr>
                <w:bCs/>
                <w:sz w:val="12"/>
                <w:szCs w:val="12"/>
              </w:rPr>
              <w:t>10</w:t>
            </w:r>
          </w:p>
        </w:tc>
        <w:tc>
          <w:tcPr>
            <w:tcW w:w="198" w:type="pct"/>
            <w:tcBorders>
              <w:top w:val="single" w:sz="4" w:space="0" w:color="auto"/>
              <w:left w:val="single" w:sz="4" w:space="0" w:color="auto"/>
              <w:bottom w:val="single" w:sz="4" w:space="0" w:color="auto"/>
              <w:right w:val="single" w:sz="4" w:space="0" w:color="auto"/>
            </w:tcBorders>
            <w:vAlign w:val="center"/>
            <w:hideMark/>
          </w:tcPr>
          <w:p w14:paraId="72948996" w14:textId="77777777" w:rsidR="002F590A" w:rsidRDefault="002F590A">
            <w:pPr>
              <w:jc w:val="center"/>
              <w:rPr>
                <w:bCs/>
                <w:sz w:val="12"/>
                <w:szCs w:val="12"/>
              </w:rPr>
            </w:pPr>
            <w:r>
              <w:rPr>
                <w:bCs/>
                <w:sz w:val="12"/>
                <w:szCs w:val="12"/>
              </w:rPr>
              <w:t>11</w:t>
            </w:r>
          </w:p>
        </w:tc>
        <w:tc>
          <w:tcPr>
            <w:tcW w:w="178" w:type="pct"/>
            <w:tcBorders>
              <w:top w:val="single" w:sz="4" w:space="0" w:color="auto"/>
              <w:left w:val="single" w:sz="4" w:space="0" w:color="auto"/>
              <w:bottom w:val="single" w:sz="4" w:space="0" w:color="auto"/>
              <w:right w:val="single" w:sz="4" w:space="0" w:color="auto"/>
            </w:tcBorders>
            <w:vAlign w:val="center"/>
            <w:hideMark/>
          </w:tcPr>
          <w:p w14:paraId="476F35CE" w14:textId="77777777" w:rsidR="002F590A" w:rsidRDefault="002F590A">
            <w:pPr>
              <w:jc w:val="center"/>
              <w:rPr>
                <w:bCs/>
                <w:sz w:val="12"/>
                <w:szCs w:val="12"/>
              </w:rPr>
            </w:pPr>
            <w:r>
              <w:rPr>
                <w:bCs/>
                <w:sz w:val="12"/>
                <w:szCs w:val="12"/>
              </w:rPr>
              <w:t>12</w:t>
            </w:r>
          </w:p>
        </w:tc>
        <w:tc>
          <w:tcPr>
            <w:tcW w:w="218" w:type="pct"/>
            <w:tcBorders>
              <w:top w:val="single" w:sz="4" w:space="0" w:color="auto"/>
              <w:left w:val="single" w:sz="4" w:space="0" w:color="auto"/>
              <w:bottom w:val="single" w:sz="4" w:space="0" w:color="auto"/>
              <w:right w:val="single" w:sz="4" w:space="0" w:color="auto"/>
            </w:tcBorders>
            <w:vAlign w:val="center"/>
            <w:hideMark/>
          </w:tcPr>
          <w:p w14:paraId="106FF27C" w14:textId="77777777" w:rsidR="002F590A" w:rsidRDefault="002F590A">
            <w:pPr>
              <w:jc w:val="center"/>
              <w:rPr>
                <w:bCs/>
                <w:sz w:val="12"/>
                <w:szCs w:val="12"/>
              </w:rPr>
            </w:pPr>
            <w:r>
              <w:rPr>
                <w:bCs/>
                <w:sz w:val="12"/>
                <w:szCs w:val="12"/>
              </w:rPr>
              <w:t>13</w:t>
            </w:r>
          </w:p>
        </w:tc>
        <w:tc>
          <w:tcPr>
            <w:tcW w:w="220" w:type="pct"/>
            <w:tcBorders>
              <w:top w:val="single" w:sz="4" w:space="0" w:color="auto"/>
              <w:left w:val="single" w:sz="4" w:space="0" w:color="auto"/>
              <w:bottom w:val="single" w:sz="4" w:space="0" w:color="auto"/>
              <w:right w:val="single" w:sz="4" w:space="0" w:color="auto"/>
            </w:tcBorders>
            <w:vAlign w:val="center"/>
            <w:hideMark/>
          </w:tcPr>
          <w:p w14:paraId="31B63FF0" w14:textId="77777777" w:rsidR="002F590A" w:rsidRDefault="002F590A">
            <w:pPr>
              <w:jc w:val="center"/>
              <w:rPr>
                <w:bCs/>
                <w:sz w:val="12"/>
                <w:szCs w:val="12"/>
              </w:rPr>
            </w:pPr>
            <w:r>
              <w:rPr>
                <w:bCs/>
                <w:sz w:val="12"/>
                <w:szCs w:val="12"/>
              </w:rPr>
              <w:t>14</w:t>
            </w:r>
          </w:p>
        </w:tc>
        <w:tc>
          <w:tcPr>
            <w:tcW w:w="214" w:type="pct"/>
            <w:tcBorders>
              <w:top w:val="single" w:sz="4" w:space="0" w:color="auto"/>
              <w:left w:val="single" w:sz="4" w:space="0" w:color="auto"/>
              <w:bottom w:val="single" w:sz="4" w:space="0" w:color="auto"/>
              <w:right w:val="single" w:sz="4" w:space="0" w:color="auto"/>
            </w:tcBorders>
            <w:vAlign w:val="center"/>
            <w:hideMark/>
          </w:tcPr>
          <w:p w14:paraId="37BF9934" w14:textId="77777777" w:rsidR="002F590A" w:rsidRDefault="002F590A">
            <w:pPr>
              <w:jc w:val="center"/>
              <w:rPr>
                <w:bCs/>
                <w:sz w:val="12"/>
                <w:szCs w:val="12"/>
              </w:rPr>
            </w:pPr>
            <w:r>
              <w:rPr>
                <w:bCs/>
                <w:sz w:val="12"/>
                <w:szCs w:val="12"/>
              </w:rPr>
              <w:t>15</w:t>
            </w:r>
          </w:p>
        </w:tc>
        <w:tc>
          <w:tcPr>
            <w:tcW w:w="179" w:type="pct"/>
            <w:tcBorders>
              <w:top w:val="single" w:sz="4" w:space="0" w:color="auto"/>
              <w:left w:val="single" w:sz="4" w:space="0" w:color="auto"/>
              <w:bottom w:val="single" w:sz="4" w:space="0" w:color="auto"/>
              <w:right w:val="single" w:sz="4" w:space="0" w:color="auto"/>
            </w:tcBorders>
            <w:vAlign w:val="center"/>
            <w:hideMark/>
          </w:tcPr>
          <w:p w14:paraId="4C653083" w14:textId="77777777" w:rsidR="002F590A" w:rsidRDefault="002F590A">
            <w:pPr>
              <w:jc w:val="center"/>
              <w:rPr>
                <w:bCs/>
                <w:sz w:val="12"/>
                <w:szCs w:val="12"/>
              </w:rPr>
            </w:pPr>
            <w:r>
              <w:rPr>
                <w:bCs/>
                <w:sz w:val="12"/>
                <w:szCs w:val="12"/>
              </w:rPr>
              <w:t>16</w:t>
            </w:r>
          </w:p>
        </w:tc>
        <w:tc>
          <w:tcPr>
            <w:tcW w:w="171" w:type="pct"/>
            <w:tcBorders>
              <w:top w:val="single" w:sz="4" w:space="0" w:color="auto"/>
              <w:left w:val="single" w:sz="4" w:space="0" w:color="auto"/>
              <w:bottom w:val="single" w:sz="4" w:space="0" w:color="auto"/>
              <w:right w:val="single" w:sz="4" w:space="0" w:color="auto"/>
            </w:tcBorders>
            <w:vAlign w:val="center"/>
            <w:hideMark/>
          </w:tcPr>
          <w:p w14:paraId="6102FC83" w14:textId="77777777" w:rsidR="002F590A" w:rsidRDefault="002F590A">
            <w:pPr>
              <w:jc w:val="center"/>
              <w:rPr>
                <w:bCs/>
                <w:sz w:val="12"/>
                <w:szCs w:val="12"/>
              </w:rPr>
            </w:pPr>
            <w:r>
              <w:rPr>
                <w:bCs/>
                <w:sz w:val="12"/>
                <w:szCs w:val="12"/>
              </w:rPr>
              <w:t>17</w:t>
            </w:r>
          </w:p>
        </w:tc>
        <w:tc>
          <w:tcPr>
            <w:tcW w:w="173" w:type="pct"/>
            <w:tcBorders>
              <w:top w:val="single" w:sz="4" w:space="0" w:color="auto"/>
              <w:left w:val="single" w:sz="4" w:space="0" w:color="auto"/>
              <w:bottom w:val="single" w:sz="4" w:space="0" w:color="auto"/>
              <w:right w:val="single" w:sz="4" w:space="0" w:color="auto"/>
            </w:tcBorders>
            <w:vAlign w:val="center"/>
            <w:hideMark/>
          </w:tcPr>
          <w:p w14:paraId="4A9E0F25" w14:textId="77777777" w:rsidR="002F590A" w:rsidRDefault="002F590A">
            <w:pPr>
              <w:jc w:val="center"/>
              <w:rPr>
                <w:bCs/>
                <w:sz w:val="12"/>
                <w:szCs w:val="12"/>
              </w:rPr>
            </w:pPr>
            <w:r>
              <w:rPr>
                <w:bCs/>
                <w:sz w:val="12"/>
                <w:szCs w:val="12"/>
              </w:rPr>
              <w:t>18</w:t>
            </w:r>
          </w:p>
        </w:tc>
        <w:tc>
          <w:tcPr>
            <w:tcW w:w="177" w:type="pct"/>
            <w:tcBorders>
              <w:top w:val="single" w:sz="4" w:space="0" w:color="auto"/>
              <w:left w:val="single" w:sz="4" w:space="0" w:color="auto"/>
              <w:bottom w:val="single" w:sz="4" w:space="0" w:color="auto"/>
              <w:right w:val="single" w:sz="4" w:space="0" w:color="auto"/>
            </w:tcBorders>
            <w:vAlign w:val="center"/>
            <w:hideMark/>
          </w:tcPr>
          <w:p w14:paraId="2CB7EB50" w14:textId="77777777" w:rsidR="002F590A" w:rsidRDefault="002F590A">
            <w:pPr>
              <w:jc w:val="center"/>
              <w:rPr>
                <w:bCs/>
                <w:sz w:val="12"/>
                <w:szCs w:val="12"/>
              </w:rPr>
            </w:pPr>
            <w:r>
              <w:rPr>
                <w:bCs/>
                <w:sz w:val="12"/>
                <w:szCs w:val="12"/>
              </w:rPr>
              <w:t>19</w:t>
            </w:r>
          </w:p>
        </w:tc>
        <w:tc>
          <w:tcPr>
            <w:tcW w:w="173" w:type="pct"/>
            <w:tcBorders>
              <w:top w:val="single" w:sz="4" w:space="0" w:color="auto"/>
              <w:left w:val="single" w:sz="4" w:space="0" w:color="auto"/>
              <w:bottom w:val="single" w:sz="4" w:space="0" w:color="auto"/>
              <w:right w:val="single" w:sz="4" w:space="0" w:color="auto"/>
            </w:tcBorders>
            <w:vAlign w:val="center"/>
            <w:hideMark/>
          </w:tcPr>
          <w:p w14:paraId="26CB32FB" w14:textId="77777777" w:rsidR="002F590A" w:rsidRDefault="002F590A">
            <w:pPr>
              <w:jc w:val="center"/>
              <w:rPr>
                <w:bCs/>
                <w:sz w:val="12"/>
                <w:szCs w:val="12"/>
              </w:rPr>
            </w:pPr>
            <w:r>
              <w:rPr>
                <w:bCs/>
                <w:sz w:val="12"/>
                <w:szCs w:val="12"/>
              </w:rPr>
              <w:t>20</w:t>
            </w:r>
          </w:p>
        </w:tc>
        <w:tc>
          <w:tcPr>
            <w:tcW w:w="173" w:type="pct"/>
            <w:tcBorders>
              <w:top w:val="single" w:sz="4" w:space="0" w:color="auto"/>
              <w:left w:val="single" w:sz="4" w:space="0" w:color="auto"/>
              <w:bottom w:val="single" w:sz="4" w:space="0" w:color="auto"/>
              <w:right w:val="single" w:sz="4" w:space="0" w:color="auto"/>
            </w:tcBorders>
            <w:vAlign w:val="center"/>
            <w:hideMark/>
          </w:tcPr>
          <w:p w14:paraId="5C6F95A2" w14:textId="77777777" w:rsidR="002F590A" w:rsidRDefault="002F590A">
            <w:pPr>
              <w:jc w:val="center"/>
              <w:rPr>
                <w:bCs/>
                <w:sz w:val="12"/>
                <w:szCs w:val="12"/>
              </w:rPr>
            </w:pPr>
            <w:r>
              <w:rPr>
                <w:bCs/>
                <w:sz w:val="12"/>
                <w:szCs w:val="12"/>
              </w:rPr>
              <w:t>21</w:t>
            </w:r>
          </w:p>
        </w:tc>
        <w:tc>
          <w:tcPr>
            <w:tcW w:w="177" w:type="pct"/>
            <w:tcBorders>
              <w:top w:val="single" w:sz="4" w:space="0" w:color="auto"/>
              <w:left w:val="single" w:sz="4" w:space="0" w:color="auto"/>
              <w:bottom w:val="single" w:sz="4" w:space="0" w:color="auto"/>
              <w:right w:val="single" w:sz="4" w:space="0" w:color="auto"/>
            </w:tcBorders>
            <w:vAlign w:val="center"/>
            <w:hideMark/>
          </w:tcPr>
          <w:p w14:paraId="3FCC4882" w14:textId="77777777" w:rsidR="002F590A" w:rsidRDefault="002F590A">
            <w:pPr>
              <w:jc w:val="center"/>
              <w:rPr>
                <w:bCs/>
                <w:sz w:val="12"/>
                <w:szCs w:val="12"/>
              </w:rPr>
            </w:pPr>
            <w:r>
              <w:rPr>
                <w:bCs/>
                <w:sz w:val="12"/>
                <w:szCs w:val="12"/>
              </w:rPr>
              <w:t>22</w:t>
            </w:r>
          </w:p>
        </w:tc>
        <w:tc>
          <w:tcPr>
            <w:tcW w:w="174" w:type="pct"/>
            <w:tcBorders>
              <w:top w:val="single" w:sz="4" w:space="0" w:color="auto"/>
              <w:left w:val="single" w:sz="4" w:space="0" w:color="auto"/>
              <w:bottom w:val="single" w:sz="4" w:space="0" w:color="auto"/>
              <w:right w:val="single" w:sz="4" w:space="0" w:color="auto"/>
            </w:tcBorders>
            <w:vAlign w:val="center"/>
            <w:hideMark/>
          </w:tcPr>
          <w:p w14:paraId="1B068935" w14:textId="77777777" w:rsidR="002F590A" w:rsidRDefault="002F590A">
            <w:pPr>
              <w:jc w:val="center"/>
              <w:rPr>
                <w:bCs/>
                <w:sz w:val="12"/>
                <w:szCs w:val="12"/>
              </w:rPr>
            </w:pPr>
            <w:r>
              <w:rPr>
                <w:bCs/>
                <w:sz w:val="12"/>
                <w:szCs w:val="12"/>
              </w:rPr>
              <w:t>23</w:t>
            </w:r>
          </w:p>
        </w:tc>
        <w:tc>
          <w:tcPr>
            <w:tcW w:w="128" w:type="pct"/>
            <w:tcBorders>
              <w:top w:val="single" w:sz="4" w:space="0" w:color="auto"/>
              <w:left w:val="single" w:sz="4" w:space="0" w:color="auto"/>
              <w:bottom w:val="single" w:sz="4" w:space="0" w:color="auto"/>
              <w:right w:val="single" w:sz="4" w:space="0" w:color="auto"/>
            </w:tcBorders>
            <w:vAlign w:val="center"/>
            <w:hideMark/>
          </w:tcPr>
          <w:p w14:paraId="64CA71E5" w14:textId="77777777" w:rsidR="002F590A" w:rsidRDefault="002F590A">
            <w:pPr>
              <w:jc w:val="center"/>
              <w:rPr>
                <w:bCs/>
                <w:sz w:val="12"/>
                <w:szCs w:val="12"/>
              </w:rPr>
            </w:pPr>
            <w:r>
              <w:rPr>
                <w:bCs/>
                <w:sz w:val="12"/>
                <w:szCs w:val="12"/>
              </w:rPr>
              <w:t>24</w:t>
            </w:r>
          </w:p>
        </w:tc>
      </w:tr>
      <w:tr w:rsidR="002F590A" w14:paraId="7E04EEB0" w14:textId="77777777" w:rsidTr="002F590A">
        <w:trPr>
          <w:trHeight w:val="897"/>
        </w:trPr>
        <w:tc>
          <w:tcPr>
            <w:tcW w:w="175" w:type="pct"/>
            <w:tcBorders>
              <w:top w:val="single" w:sz="4" w:space="0" w:color="auto"/>
              <w:left w:val="single" w:sz="4" w:space="0" w:color="auto"/>
              <w:bottom w:val="single" w:sz="4" w:space="0" w:color="auto"/>
              <w:right w:val="single" w:sz="4" w:space="0" w:color="auto"/>
            </w:tcBorders>
            <w:vAlign w:val="center"/>
            <w:hideMark/>
          </w:tcPr>
          <w:p w14:paraId="6650B5C7" w14:textId="77777777" w:rsidR="002F590A" w:rsidRDefault="002F590A">
            <w:pPr>
              <w:jc w:val="center"/>
              <w:rPr>
                <w:bCs/>
                <w:sz w:val="12"/>
                <w:szCs w:val="12"/>
              </w:rPr>
            </w:pPr>
            <w:r>
              <w:rPr>
                <w:bCs/>
                <w:color w:val="000000"/>
                <w:sz w:val="12"/>
                <w:szCs w:val="12"/>
              </w:rPr>
              <w:t>3.2.</w:t>
            </w:r>
            <w:r>
              <w:rPr>
                <w:bCs/>
                <w:sz w:val="12"/>
                <w:szCs w:val="12"/>
              </w:rPr>
              <w:t>2.</w:t>
            </w:r>
          </w:p>
        </w:tc>
        <w:tc>
          <w:tcPr>
            <w:tcW w:w="262" w:type="pct"/>
            <w:tcBorders>
              <w:top w:val="single" w:sz="4" w:space="0" w:color="auto"/>
              <w:left w:val="single" w:sz="4" w:space="0" w:color="auto"/>
              <w:bottom w:val="single" w:sz="4" w:space="0" w:color="auto"/>
              <w:right w:val="single" w:sz="4" w:space="0" w:color="auto"/>
            </w:tcBorders>
            <w:vAlign w:val="center"/>
            <w:hideMark/>
          </w:tcPr>
          <w:p w14:paraId="415A8A5B" w14:textId="77777777" w:rsidR="002F590A" w:rsidRDefault="002F590A">
            <w:pPr>
              <w:rPr>
                <w:bCs/>
                <w:color w:val="000000"/>
                <w:sz w:val="12"/>
                <w:szCs w:val="12"/>
              </w:rPr>
            </w:pPr>
            <w:r>
              <w:rPr>
                <w:bCs/>
                <w:color w:val="000000"/>
                <w:sz w:val="12"/>
                <w:szCs w:val="12"/>
              </w:rPr>
              <w:t>Реконструкция котельной №17</w:t>
            </w:r>
          </w:p>
        </w:tc>
        <w:tc>
          <w:tcPr>
            <w:tcW w:w="351" w:type="pct"/>
            <w:tcBorders>
              <w:top w:val="single" w:sz="4" w:space="0" w:color="auto"/>
              <w:left w:val="single" w:sz="4" w:space="0" w:color="auto"/>
              <w:bottom w:val="single" w:sz="4" w:space="0" w:color="auto"/>
              <w:right w:val="single" w:sz="4" w:space="0" w:color="auto"/>
            </w:tcBorders>
            <w:vAlign w:val="center"/>
          </w:tcPr>
          <w:p w14:paraId="497A9096" w14:textId="77777777" w:rsidR="002F590A" w:rsidRDefault="002F590A">
            <w:pPr>
              <w:jc w:val="center"/>
              <w:rPr>
                <w:sz w:val="12"/>
                <w:szCs w:val="12"/>
              </w:rPr>
            </w:pPr>
          </w:p>
        </w:tc>
        <w:tc>
          <w:tcPr>
            <w:tcW w:w="259" w:type="pct"/>
            <w:tcBorders>
              <w:top w:val="single" w:sz="4" w:space="0" w:color="auto"/>
              <w:left w:val="single" w:sz="4" w:space="0" w:color="auto"/>
              <w:bottom w:val="single" w:sz="4" w:space="0" w:color="auto"/>
              <w:right w:val="single" w:sz="4" w:space="0" w:color="auto"/>
            </w:tcBorders>
            <w:vAlign w:val="center"/>
            <w:hideMark/>
          </w:tcPr>
          <w:p w14:paraId="7E09A7ED" w14:textId="77777777" w:rsidR="002F590A" w:rsidRDefault="002F590A">
            <w:pPr>
              <w:jc w:val="center"/>
              <w:rPr>
                <w:bCs/>
                <w:color w:val="000000"/>
                <w:sz w:val="12"/>
                <w:szCs w:val="12"/>
              </w:rPr>
            </w:pPr>
            <w:r>
              <w:rPr>
                <w:bCs/>
                <w:color w:val="000000"/>
                <w:sz w:val="12"/>
                <w:szCs w:val="12"/>
              </w:rPr>
              <w:t xml:space="preserve">Кемеровский городской округ, Кировский район, юго-восточнее строения № 15а по ул. Багратиона   </w:t>
            </w:r>
          </w:p>
        </w:tc>
        <w:tc>
          <w:tcPr>
            <w:tcW w:w="298" w:type="pct"/>
            <w:tcBorders>
              <w:top w:val="single" w:sz="4" w:space="0" w:color="auto"/>
              <w:left w:val="single" w:sz="4" w:space="0" w:color="auto"/>
              <w:bottom w:val="single" w:sz="4" w:space="0" w:color="auto"/>
              <w:right w:val="single" w:sz="4" w:space="0" w:color="auto"/>
            </w:tcBorders>
            <w:vAlign w:val="center"/>
            <w:hideMark/>
          </w:tcPr>
          <w:p w14:paraId="537C1C58" w14:textId="77777777" w:rsidR="002F590A" w:rsidRDefault="002F590A">
            <w:pPr>
              <w:jc w:val="center"/>
              <w:rPr>
                <w:sz w:val="12"/>
                <w:szCs w:val="12"/>
              </w:rPr>
            </w:pPr>
            <w:r>
              <w:rPr>
                <w:color w:val="000000"/>
                <w:sz w:val="12"/>
                <w:szCs w:val="12"/>
              </w:rPr>
              <w:t>Технические характеристики</w:t>
            </w:r>
          </w:p>
        </w:tc>
        <w:tc>
          <w:tcPr>
            <w:tcW w:w="130" w:type="pct"/>
            <w:tcBorders>
              <w:top w:val="single" w:sz="4" w:space="0" w:color="auto"/>
              <w:left w:val="single" w:sz="4" w:space="0" w:color="auto"/>
              <w:bottom w:val="single" w:sz="4" w:space="0" w:color="auto"/>
              <w:right w:val="single" w:sz="4" w:space="0" w:color="auto"/>
            </w:tcBorders>
            <w:vAlign w:val="center"/>
          </w:tcPr>
          <w:p w14:paraId="5B582F83" w14:textId="77777777" w:rsidR="002F590A" w:rsidRDefault="002F590A">
            <w:pPr>
              <w:jc w:val="center"/>
              <w:rPr>
                <w:sz w:val="12"/>
                <w:szCs w:val="12"/>
              </w:rPr>
            </w:pPr>
          </w:p>
        </w:tc>
        <w:tc>
          <w:tcPr>
            <w:tcW w:w="359" w:type="pct"/>
            <w:tcBorders>
              <w:top w:val="single" w:sz="4" w:space="0" w:color="auto"/>
              <w:left w:val="single" w:sz="4" w:space="0" w:color="auto"/>
              <w:bottom w:val="single" w:sz="4" w:space="0" w:color="auto"/>
              <w:right w:val="single" w:sz="4" w:space="0" w:color="auto"/>
            </w:tcBorders>
            <w:vAlign w:val="center"/>
            <w:hideMark/>
          </w:tcPr>
          <w:p w14:paraId="6123A2BC" w14:textId="77777777" w:rsidR="002F590A" w:rsidRDefault="002F590A">
            <w:pPr>
              <w:jc w:val="center"/>
              <w:rPr>
                <w:sz w:val="12"/>
                <w:szCs w:val="12"/>
              </w:rPr>
            </w:pPr>
            <w:r>
              <w:rPr>
                <w:sz w:val="12"/>
                <w:szCs w:val="12"/>
              </w:rPr>
              <w:t> </w:t>
            </w:r>
          </w:p>
        </w:tc>
        <w:tc>
          <w:tcPr>
            <w:tcW w:w="349" w:type="pct"/>
            <w:tcBorders>
              <w:top w:val="single" w:sz="4" w:space="0" w:color="auto"/>
              <w:left w:val="single" w:sz="4" w:space="0" w:color="auto"/>
              <w:bottom w:val="single" w:sz="4" w:space="0" w:color="auto"/>
              <w:right w:val="single" w:sz="4" w:space="0" w:color="auto"/>
            </w:tcBorders>
            <w:vAlign w:val="center"/>
            <w:hideMark/>
          </w:tcPr>
          <w:p w14:paraId="2F26E096" w14:textId="77777777" w:rsidR="002F590A" w:rsidRDefault="002F590A">
            <w:pPr>
              <w:jc w:val="center"/>
              <w:rPr>
                <w:sz w:val="12"/>
                <w:szCs w:val="12"/>
              </w:rPr>
            </w:pPr>
            <w:r>
              <w:rPr>
                <w:sz w:val="12"/>
                <w:szCs w:val="12"/>
              </w:rPr>
              <w:t> </w:t>
            </w:r>
          </w:p>
        </w:tc>
        <w:tc>
          <w:tcPr>
            <w:tcW w:w="131" w:type="pct"/>
            <w:tcBorders>
              <w:top w:val="single" w:sz="4" w:space="0" w:color="auto"/>
              <w:left w:val="single" w:sz="4" w:space="0" w:color="auto"/>
              <w:bottom w:val="single" w:sz="4" w:space="0" w:color="auto"/>
              <w:right w:val="single" w:sz="4" w:space="0" w:color="auto"/>
            </w:tcBorders>
            <w:vAlign w:val="center"/>
          </w:tcPr>
          <w:p w14:paraId="0182AF9D" w14:textId="77777777" w:rsidR="002F590A" w:rsidRDefault="002F590A">
            <w:pPr>
              <w:jc w:val="center"/>
              <w:rPr>
                <w:sz w:val="12"/>
                <w:szCs w:val="12"/>
              </w:rPr>
            </w:pPr>
          </w:p>
        </w:tc>
        <w:tc>
          <w:tcPr>
            <w:tcW w:w="133" w:type="pct"/>
            <w:tcBorders>
              <w:top w:val="single" w:sz="4" w:space="0" w:color="auto"/>
              <w:left w:val="single" w:sz="4" w:space="0" w:color="auto"/>
              <w:bottom w:val="single" w:sz="4" w:space="0" w:color="auto"/>
              <w:right w:val="single" w:sz="4" w:space="0" w:color="auto"/>
            </w:tcBorders>
            <w:vAlign w:val="center"/>
          </w:tcPr>
          <w:p w14:paraId="0D97DAB4" w14:textId="77777777" w:rsidR="002F590A" w:rsidRDefault="002F590A">
            <w:pPr>
              <w:jc w:val="center"/>
              <w:rPr>
                <w:sz w:val="12"/>
                <w:szCs w:val="12"/>
              </w:rPr>
            </w:pPr>
          </w:p>
        </w:tc>
        <w:tc>
          <w:tcPr>
            <w:tcW w:w="198" w:type="pct"/>
            <w:tcBorders>
              <w:top w:val="single" w:sz="4" w:space="0" w:color="auto"/>
              <w:left w:val="single" w:sz="4" w:space="0" w:color="auto"/>
              <w:bottom w:val="single" w:sz="4" w:space="0" w:color="auto"/>
              <w:right w:val="single" w:sz="4" w:space="0" w:color="auto"/>
            </w:tcBorders>
            <w:vAlign w:val="center"/>
          </w:tcPr>
          <w:p w14:paraId="15ADD581" w14:textId="77777777" w:rsidR="002F590A" w:rsidRDefault="002F590A">
            <w:pPr>
              <w:jc w:val="center"/>
              <w:rPr>
                <w:color w:val="000000"/>
                <w:sz w:val="12"/>
                <w:szCs w:val="12"/>
              </w:rPr>
            </w:pPr>
          </w:p>
        </w:tc>
        <w:tc>
          <w:tcPr>
            <w:tcW w:w="178" w:type="pct"/>
            <w:tcBorders>
              <w:top w:val="single" w:sz="4" w:space="0" w:color="auto"/>
              <w:left w:val="single" w:sz="4" w:space="0" w:color="auto"/>
              <w:bottom w:val="single" w:sz="4" w:space="0" w:color="auto"/>
              <w:right w:val="single" w:sz="4" w:space="0" w:color="auto"/>
            </w:tcBorders>
            <w:vAlign w:val="center"/>
          </w:tcPr>
          <w:p w14:paraId="48E477FD" w14:textId="77777777" w:rsidR="002F590A" w:rsidRDefault="002F590A">
            <w:pPr>
              <w:jc w:val="center"/>
              <w:rPr>
                <w:color w:val="000000"/>
                <w:sz w:val="12"/>
                <w:szCs w:val="12"/>
              </w:rPr>
            </w:pPr>
          </w:p>
        </w:tc>
        <w:tc>
          <w:tcPr>
            <w:tcW w:w="218" w:type="pct"/>
            <w:tcBorders>
              <w:top w:val="single" w:sz="4" w:space="0" w:color="auto"/>
              <w:left w:val="single" w:sz="4" w:space="0" w:color="auto"/>
              <w:bottom w:val="single" w:sz="4" w:space="0" w:color="auto"/>
              <w:right w:val="single" w:sz="4" w:space="0" w:color="auto"/>
            </w:tcBorders>
            <w:vAlign w:val="center"/>
          </w:tcPr>
          <w:p w14:paraId="7FDBF6FE" w14:textId="77777777" w:rsidR="002F590A" w:rsidRDefault="002F590A">
            <w:pPr>
              <w:jc w:val="center"/>
              <w:rPr>
                <w:sz w:val="12"/>
                <w:szCs w:val="12"/>
              </w:rPr>
            </w:pPr>
          </w:p>
        </w:tc>
        <w:tc>
          <w:tcPr>
            <w:tcW w:w="220" w:type="pct"/>
            <w:tcBorders>
              <w:top w:val="single" w:sz="4" w:space="0" w:color="auto"/>
              <w:left w:val="single" w:sz="4" w:space="0" w:color="auto"/>
              <w:bottom w:val="single" w:sz="4" w:space="0" w:color="auto"/>
              <w:right w:val="single" w:sz="4" w:space="0" w:color="auto"/>
            </w:tcBorders>
            <w:vAlign w:val="center"/>
          </w:tcPr>
          <w:p w14:paraId="349F5AC5" w14:textId="77777777" w:rsidR="002F590A" w:rsidRDefault="002F590A">
            <w:pPr>
              <w:jc w:val="center"/>
              <w:rPr>
                <w:sz w:val="12"/>
                <w:szCs w:val="12"/>
              </w:rPr>
            </w:pPr>
          </w:p>
        </w:tc>
        <w:tc>
          <w:tcPr>
            <w:tcW w:w="214" w:type="pct"/>
            <w:tcBorders>
              <w:top w:val="single" w:sz="4" w:space="0" w:color="auto"/>
              <w:left w:val="single" w:sz="4" w:space="0" w:color="auto"/>
              <w:bottom w:val="single" w:sz="4" w:space="0" w:color="auto"/>
              <w:right w:val="single" w:sz="4" w:space="0" w:color="auto"/>
            </w:tcBorders>
            <w:vAlign w:val="center"/>
          </w:tcPr>
          <w:p w14:paraId="606A1201" w14:textId="77777777" w:rsidR="002F590A" w:rsidRDefault="002F590A">
            <w:pPr>
              <w:jc w:val="center"/>
              <w:rPr>
                <w:sz w:val="12"/>
                <w:szCs w:val="12"/>
              </w:rPr>
            </w:pPr>
          </w:p>
        </w:tc>
        <w:tc>
          <w:tcPr>
            <w:tcW w:w="179" w:type="pct"/>
            <w:tcBorders>
              <w:top w:val="single" w:sz="4" w:space="0" w:color="auto"/>
              <w:left w:val="single" w:sz="4" w:space="0" w:color="auto"/>
              <w:bottom w:val="single" w:sz="4" w:space="0" w:color="auto"/>
              <w:right w:val="single" w:sz="4" w:space="0" w:color="auto"/>
            </w:tcBorders>
            <w:vAlign w:val="center"/>
          </w:tcPr>
          <w:p w14:paraId="6041936B" w14:textId="77777777" w:rsidR="002F590A" w:rsidRDefault="002F590A">
            <w:pPr>
              <w:jc w:val="center"/>
              <w:rPr>
                <w:sz w:val="12"/>
                <w:szCs w:val="12"/>
              </w:rPr>
            </w:pPr>
          </w:p>
        </w:tc>
        <w:tc>
          <w:tcPr>
            <w:tcW w:w="171" w:type="pct"/>
            <w:tcBorders>
              <w:top w:val="single" w:sz="4" w:space="0" w:color="auto"/>
              <w:left w:val="single" w:sz="4" w:space="0" w:color="auto"/>
              <w:bottom w:val="single" w:sz="4" w:space="0" w:color="auto"/>
              <w:right w:val="single" w:sz="4" w:space="0" w:color="auto"/>
            </w:tcBorders>
            <w:vAlign w:val="center"/>
          </w:tcPr>
          <w:p w14:paraId="4EC14EA8" w14:textId="77777777" w:rsidR="002F590A" w:rsidRDefault="002F590A">
            <w:pPr>
              <w:jc w:val="center"/>
              <w:rPr>
                <w:sz w:val="12"/>
                <w:szCs w:val="12"/>
              </w:rPr>
            </w:pPr>
          </w:p>
        </w:tc>
        <w:tc>
          <w:tcPr>
            <w:tcW w:w="173" w:type="pct"/>
            <w:tcBorders>
              <w:top w:val="single" w:sz="4" w:space="0" w:color="auto"/>
              <w:left w:val="single" w:sz="4" w:space="0" w:color="auto"/>
              <w:bottom w:val="single" w:sz="4" w:space="0" w:color="auto"/>
              <w:right w:val="single" w:sz="4" w:space="0" w:color="auto"/>
            </w:tcBorders>
            <w:vAlign w:val="center"/>
          </w:tcPr>
          <w:p w14:paraId="68F35440" w14:textId="77777777" w:rsidR="002F590A" w:rsidRDefault="002F590A">
            <w:pPr>
              <w:jc w:val="center"/>
              <w:rPr>
                <w:sz w:val="12"/>
                <w:szCs w:val="12"/>
              </w:rPr>
            </w:pPr>
          </w:p>
        </w:tc>
        <w:tc>
          <w:tcPr>
            <w:tcW w:w="177" w:type="pct"/>
            <w:tcBorders>
              <w:top w:val="single" w:sz="4" w:space="0" w:color="auto"/>
              <w:left w:val="single" w:sz="4" w:space="0" w:color="auto"/>
              <w:bottom w:val="single" w:sz="4" w:space="0" w:color="auto"/>
              <w:right w:val="single" w:sz="4" w:space="0" w:color="auto"/>
            </w:tcBorders>
            <w:vAlign w:val="center"/>
          </w:tcPr>
          <w:p w14:paraId="59F4178E" w14:textId="77777777" w:rsidR="002F590A" w:rsidRDefault="002F590A">
            <w:pPr>
              <w:jc w:val="center"/>
              <w:rPr>
                <w:sz w:val="12"/>
                <w:szCs w:val="12"/>
              </w:rPr>
            </w:pPr>
          </w:p>
        </w:tc>
        <w:tc>
          <w:tcPr>
            <w:tcW w:w="173" w:type="pct"/>
            <w:tcBorders>
              <w:top w:val="single" w:sz="4" w:space="0" w:color="auto"/>
              <w:left w:val="single" w:sz="4" w:space="0" w:color="auto"/>
              <w:bottom w:val="single" w:sz="4" w:space="0" w:color="auto"/>
              <w:right w:val="single" w:sz="4" w:space="0" w:color="auto"/>
            </w:tcBorders>
            <w:vAlign w:val="center"/>
          </w:tcPr>
          <w:p w14:paraId="0438898B" w14:textId="77777777" w:rsidR="002F590A" w:rsidRDefault="002F590A">
            <w:pPr>
              <w:jc w:val="center"/>
              <w:rPr>
                <w:sz w:val="12"/>
                <w:szCs w:val="12"/>
              </w:rPr>
            </w:pPr>
          </w:p>
        </w:tc>
        <w:tc>
          <w:tcPr>
            <w:tcW w:w="173" w:type="pct"/>
            <w:tcBorders>
              <w:top w:val="single" w:sz="4" w:space="0" w:color="auto"/>
              <w:left w:val="single" w:sz="4" w:space="0" w:color="auto"/>
              <w:bottom w:val="single" w:sz="4" w:space="0" w:color="auto"/>
              <w:right w:val="single" w:sz="4" w:space="0" w:color="auto"/>
            </w:tcBorders>
            <w:vAlign w:val="center"/>
          </w:tcPr>
          <w:p w14:paraId="08013CA4" w14:textId="77777777" w:rsidR="002F590A" w:rsidRDefault="002F590A">
            <w:pPr>
              <w:jc w:val="center"/>
              <w:rPr>
                <w:sz w:val="12"/>
                <w:szCs w:val="12"/>
              </w:rPr>
            </w:pPr>
          </w:p>
        </w:tc>
        <w:tc>
          <w:tcPr>
            <w:tcW w:w="177" w:type="pct"/>
            <w:tcBorders>
              <w:top w:val="single" w:sz="4" w:space="0" w:color="auto"/>
              <w:left w:val="single" w:sz="4" w:space="0" w:color="auto"/>
              <w:bottom w:val="single" w:sz="4" w:space="0" w:color="auto"/>
              <w:right w:val="single" w:sz="4" w:space="0" w:color="auto"/>
            </w:tcBorders>
            <w:vAlign w:val="center"/>
          </w:tcPr>
          <w:p w14:paraId="32801A53" w14:textId="77777777" w:rsidR="002F590A" w:rsidRDefault="002F590A">
            <w:pPr>
              <w:jc w:val="center"/>
              <w:rPr>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777EA536" w14:textId="77777777" w:rsidR="002F590A" w:rsidRDefault="002F590A">
            <w:pPr>
              <w:jc w:val="center"/>
              <w:rPr>
                <w:color w:val="000000"/>
                <w:sz w:val="12"/>
                <w:szCs w:val="12"/>
              </w:rPr>
            </w:pPr>
          </w:p>
        </w:tc>
        <w:tc>
          <w:tcPr>
            <w:tcW w:w="128" w:type="pct"/>
            <w:tcBorders>
              <w:top w:val="single" w:sz="4" w:space="0" w:color="auto"/>
              <w:left w:val="single" w:sz="4" w:space="0" w:color="auto"/>
              <w:bottom w:val="single" w:sz="4" w:space="0" w:color="auto"/>
              <w:right w:val="single" w:sz="4" w:space="0" w:color="auto"/>
            </w:tcBorders>
            <w:vAlign w:val="center"/>
          </w:tcPr>
          <w:p w14:paraId="5094F842" w14:textId="77777777" w:rsidR="002F590A" w:rsidRDefault="002F590A">
            <w:pPr>
              <w:jc w:val="center"/>
              <w:rPr>
                <w:color w:val="000000"/>
                <w:sz w:val="12"/>
                <w:szCs w:val="12"/>
              </w:rPr>
            </w:pPr>
          </w:p>
        </w:tc>
      </w:tr>
      <w:tr w:rsidR="002F590A" w14:paraId="52D955B7" w14:textId="77777777" w:rsidTr="002F590A">
        <w:trPr>
          <w:trHeight w:val="897"/>
        </w:trPr>
        <w:tc>
          <w:tcPr>
            <w:tcW w:w="175" w:type="pct"/>
            <w:tcBorders>
              <w:top w:val="single" w:sz="4" w:space="0" w:color="auto"/>
              <w:left w:val="single" w:sz="4" w:space="0" w:color="auto"/>
              <w:bottom w:val="single" w:sz="4" w:space="0" w:color="auto"/>
              <w:right w:val="single" w:sz="4" w:space="0" w:color="auto"/>
            </w:tcBorders>
            <w:vAlign w:val="center"/>
            <w:hideMark/>
          </w:tcPr>
          <w:p w14:paraId="1E45D9AA" w14:textId="77777777" w:rsidR="002F590A" w:rsidRDefault="002F590A">
            <w:pPr>
              <w:jc w:val="center"/>
              <w:rPr>
                <w:sz w:val="12"/>
                <w:szCs w:val="12"/>
              </w:rPr>
            </w:pPr>
            <w:r>
              <w:rPr>
                <w:sz w:val="12"/>
                <w:szCs w:val="12"/>
              </w:rPr>
              <w:t>3.2.2.1</w:t>
            </w:r>
          </w:p>
        </w:tc>
        <w:tc>
          <w:tcPr>
            <w:tcW w:w="262" w:type="pct"/>
            <w:tcBorders>
              <w:top w:val="single" w:sz="4" w:space="0" w:color="auto"/>
              <w:left w:val="single" w:sz="4" w:space="0" w:color="auto"/>
              <w:bottom w:val="single" w:sz="4" w:space="0" w:color="auto"/>
              <w:right w:val="single" w:sz="4" w:space="0" w:color="auto"/>
            </w:tcBorders>
            <w:vAlign w:val="center"/>
            <w:hideMark/>
          </w:tcPr>
          <w:p w14:paraId="78BC0ED2" w14:textId="77777777" w:rsidR="002F590A" w:rsidRDefault="002F590A">
            <w:pPr>
              <w:rPr>
                <w:color w:val="000000"/>
                <w:sz w:val="12"/>
                <w:szCs w:val="12"/>
              </w:rPr>
            </w:pPr>
            <w:r>
              <w:rPr>
                <w:color w:val="000000"/>
                <w:sz w:val="12"/>
                <w:szCs w:val="12"/>
              </w:rPr>
              <w:t>Реконструкция системы автоматической подпитки тепловой сети из водопровода</w:t>
            </w:r>
          </w:p>
        </w:tc>
        <w:tc>
          <w:tcPr>
            <w:tcW w:w="351" w:type="pct"/>
            <w:tcBorders>
              <w:top w:val="single" w:sz="4" w:space="0" w:color="auto"/>
              <w:left w:val="single" w:sz="4" w:space="0" w:color="auto"/>
              <w:bottom w:val="single" w:sz="4" w:space="0" w:color="auto"/>
              <w:right w:val="single" w:sz="4" w:space="0" w:color="auto"/>
            </w:tcBorders>
            <w:vAlign w:val="center"/>
            <w:hideMark/>
          </w:tcPr>
          <w:p w14:paraId="619173BE" w14:textId="77777777" w:rsidR="002F590A" w:rsidRDefault="002F590A">
            <w:pPr>
              <w:jc w:val="center"/>
              <w:rPr>
                <w:sz w:val="12"/>
                <w:szCs w:val="12"/>
              </w:rPr>
            </w:pPr>
            <w:r>
              <w:rPr>
                <w:sz w:val="12"/>
                <w:szCs w:val="12"/>
              </w:rPr>
              <w:t>Повышение надежности (бесперебойности) услуг теплоснабжения, повышение энергетической эффективности</w:t>
            </w:r>
          </w:p>
        </w:tc>
        <w:tc>
          <w:tcPr>
            <w:tcW w:w="259" w:type="pct"/>
            <w:tcBorders>
              <w:top w:val="single" w:sz="4" w:space="0" w:color="auto"/>
              <w:left w:val="single" w:sz="4" w:space="0" w:color="auto"/>
              <w:bottom w:val="single" w:sz="4" w:space="0" w:color="auto"/>
              <w:right w:val="single" w:sz="4" w:space="0" w:color="auto"/>
            </w:tcBorders>
            <w:vAlign w:val="center"/>
            <w:hideMark/>
          </w:tcPr>
          <w:p w14:paraId="241217C4" w14:textId="77777777" w:rsidR="002F590A" w:rsidRDefault="002F590A">
            <w:pPr>
              <w:jc w:val="center"/>
              <w:rPr>
                <w:sz w:val="12"/>
                <w:szCs w:val="12"/>
              </w:rPr>
            </w:pPr>
            <w:r>
              <w:rPr>
                <w:sz w:val="12"/>
                <w:szCs w:val="12"/>
              </w:rPr>
              <w:t> </w:t>
            </w:r>
          </w:p>
        </w:tc>
        <w:tc>
          <w:tcPr>
            <w:tcW w:w="298" w:type="pct"/>
            <w:tcBorders>
              <w:top w:val="single" w:sz="4" w:space="0" w:color="auto"/>
              <w:left w:val="single" w:sz="4" w:space="0" w:color="auto"/>
              <w:bottom w:val="single" w:sz="4" w:space="0" w:color="auto"/>
              <w:right w:val="single" w:sz="4" w:space="0" w:color="auto"/>
            </w:tcBorders>
            <w:vAlign w:val="center"/>
            <w:hideMark/>
          </w:tcPr>
          <w:p w14:paraId="65268894" w14:textId="77777777" w:rsidR="002F590A" w:rsidRDefault="002F590A">
            <w:pPr>
              <w:jc w:val="center"/>
              <w:rPr>
                <w:sz w:val="12"/>
                <w:szCs w:val="12"/>
              </w:rPr>
            </w:pPr>
            <w:r>
              <w:rPr>
                <w:color w:val="000000"/>
                <w:sz w:val="12"/>
                <w:szCs w:val="12"/>
              </w:rPr>
              <w:t>Технические характеристики</w:t>
            </w:r>
          </w:p>
        </w:tc>
        <w:tc>
          <w:tcPr>
            <w:tcW w:w="130" w:type="pct"/>
            <w:tcBorders>
              <w:top w:val="single" w:sz="4" w:space="0" w:color="auto"/>
              <w:left w:val="single" w:sz="4" w:space="0" w:color="auto"/>
              <w:bottom w:val="single" w:sz="4" w:space="0" w:color="auto"/>
              <w:right w:val="single" w:sz="4" w:space="0" w:color="auto"/>
            </w:tcBorders>
            <w:vAlign w:val="center"/>
          </w:tcPr>
          <w:p w14:paraId="12526F75" w14:textId="77777777" w:rsidR="002F590A" w:rsidRDefault="002F590A">
            <w:pPr>
              <w:jc w:val="center"/>
              <w:rPr>
                <w:sz w:val="12"/>
                <w:szCs w:val="12"/>
              </w:rPr>
            </w:pPr>
          </w:p>
        </w:tc>
        <w:tc>
          <w:tcPr>
            <w:tcW w:w="359" w:type="pct"/>
            <w:tcBorders>
              <w:top w:val="single" w:sz="4" w:space="0" w:color="auto"/>
              <w:left w:val="single" w:sz="4" w:space="0" w:color="auto"/>
              <w:bottom w:val="single" w:sz="4" w:space="0" w:color="auto"/>
              <w:right w:val="single" w:sz="4" w:space="0" w:color="auto"/>
            </w:tcBorders>
            <w:vAlign w:val="center"/>
            <w:hideMark/>
          </w:tcPr>
          <w:p w14:paraId="7F8A9F3C" w14:textId="77777777" w:rsidR="002F590A" w:rsidRDefault="002F590A">
            <w:pPr>
              <w:jc w:val="center"/>
              <w:rPr>
                <w:sz w:val="12"/>
                <w:szCs w:val="12"/>
              </w:rPr>
            </w:pPr>
            <w:r>
              <w:rPr>
                <w:sz w:val="12"/>
                <w:szCs w:val="12"/>
              </w:rPr>
              <w:t>Редукционный клапан Ду15, счетчик СГВ-15, кран муфтовый Ду15, обратный клапан резьбовой Ду15мм.</w:t>
            </w:r>
          </w:p>
        </w:tc>
        <w:tc>
          <w:tcPr>
            <w:tcW w:w="349" w:type="pct"/>
            <w:tcBorders>
              <w:top w:val="single" w:sz="4" w:space="0" w:color="auto"/>
              <w:left w:val="single" w:sz="4" w:space="0" w:color="auto"/>
              <w:bottom w:val="single" w:sz="4" w:space="0" w:color="auto"/>
              <w:right w:val="single" w:sz="4" w:space="0" w:color="auto"/>
            </w:tcBorders>
            <w:vAlign w:val="center"/>
            <w:hideMark/>
          </w:tcPr>
          <w:p w14:paraId="040BC8CC" w14:textId="77777777" w:rsidR="002F590A" w:rsidRDefault="002F590A">
            <w:pPr>
              <w:jc w:val="center"/>
              <w:rPr>
                <w:sz w:val="12"/>
                <w:szCs w:val="12"/>
              </w:rPr>
            </w:pPr>
            <w:r>
              <w:rPr>
                <w:sz w:val="12"/>
                <w:szCs w:val="12"/>
              </w:rPr>
              <w:t>Оборудование с техническими характеристиками не ниже существующего на объекте</w:t>
            </w:r>
          </w:p>
        </w:tc>
        <w:tc>
          <w:tcPr>
            <w:tcW w:w="131" w:type="pct"/>
            <w:tcBorders>
              <w:top w:val="single" w:sz="4" w:space="0" w:color="auto"/>
              <w:left w:val="single" w:sz="4" w:space="0" w:color="auto"/>
              <w:bottom w:val="single" w:sz="4" w:space="0" w:color="auto"/>
              <w:right w:val="single" w:sz="4" w:space="0" w:color="auto"/>
            </w:tcBorders>
            <w:vAlign w:val="center"/>
            <w:hideMark/>
          </w:tcPr>
          <w:p w14:paraId="5322E14C" w14:textId="77777777" w:rsidR="002F590A" w:rsidRDefault="002F590A">
            <w:pPr>
              <w:jc w:val="center"/>
              <w:rPr>
                <w:sz w:val="12"/>
                <w:szCs w:val="12"/>
              </w:rPr>
            </w:pPr>
            <w:r>
              <w:rPr>
                <w:sz w:val="12"/>
                <w:szCs w:val="12"/>
              </w:rPr>
              <w:t>2029</w:t>
            </w:r>
          </w:p>
        </w:tc>
        <w:tc>
          <w:tcPr>
            <w:tcW w:w="133" w:type="pct"/>
            <w:tcBorders>
              <w:top w:val="single" w:sz="4" w:space="0" w:color="auto"/>
              <w:left w:val="single" w:sz="4" w:space="0" w:color="auto"/>
              <w:bottom w:val="single" w:sz="4" w:space="0" w:color="auto"/>
              <w:right w:val="single" w:sz="4" w:space="0" w:color="auto"/>
            </w:tcBorders>
            <w:vAlign w:val="center"/>
            <w:hideMark/>
          </w:tcPr>
          <w:p w14:paraId="7C29FA5F" w14:textId="77777777" w:rsidR="002F590A" w:rsidRDefault="002F590A">
            <w:pPr>
              <w:jc w:val="center"/>
              <w:rPr>
                <w:sz w:val="12"/>
                <w:szCs w:val="12"/>
              </w:rPr>
            </w:pPr>
            <w:r>
              <w:rPr>
                <w:sz w:val="12"/>
                <w:szCs w:val="12"/>
              </w:rPr>
              <w:t>2029</w:t>
            </w:r>
          </w:p>
        </w:tc>
        <w:tc>
          <w:tcPr>
            <w:tcW w:w="198" w:type="pct"/>
            <w:tcBorders>
              <w:top w:val="single" w:sz="4" w:space="0" w:color="auto"/>
              <w:left w:val="single" w:sz="4" w:space="0" w:color="auto"/>
              <w:bottom w:val="single" w:sz="4" w:space="0" w:color="auto"/>
              <w:right w:val="single" w:sz="4" w:space="0" w:color="auto"/>
            </w:tcBorders>
            <w:vAlign w:val="center"/>
            <w:hideMark/>
          </w:tcPr>
          <w:p w14:paraId="7176FF93" w14:textId="77777777" w:rsidR="002F590A" w:rsidRDefault="002F590A">
            <w:pPr>
              <w:jc w:val="center"/>
              <w:rPr>
                <w:color w:val="000000"/>
                <w:sz w:val="12"/>
                <w:szCs w:val="12"/>
              </w:rPr>
            </w:pPr>
            <w:r>
              <w:rPr>
                <w:color w:val="000000"/>
                <w:sz w:val="12"/>
                <w:szCs w:val="12"/>
              </w:rPr>
              <w:t>52,3</w:t>
            </w:r>
          </w:p>
        </w:tc>
        <w:tc>
          <w:tcPr>
            <w:tcW w:w="178" w:type="pct"/>
            <w:tcBorders>
              <w:top w:val="single" w:sz="4" w:space="0" w:color="auto"/>
              <w:left w:val="single" w:sz="4" w:space="0" w:color="auto"/>
              <w:bottom w:val="single" w:sz="4" w:space="0" w:color="auto"/>
              <w:right w:val="single" w:sz="4" w:space="0" w:color="auto"/>
            </w:tcBorders>
            <w:vAlign w:val="center"/>
            <w:hideMark/>
          </w:tcPr>
          <w:p w14:paraId="7D37AE59" w14:textId="77777777" w:rsidR="002F590A" w:rsidRDefault="002F590A">
            <w:pPr>
              <w:jc w:val="center"/>
              <w:rPr>
                <w:color w:val="000000"/>
                <w:sz w:val="12"/>
                <w:szCs w:val="12"/>
              </w:rPr>
            </w:pPr>
            <w:r>
              <w:rPr>
                <w:color w:val="000000"/>
                <w:sz w:val="12"/>
                <w:szCs w:val="12"/>
              </w:rPr>
              <w:t>0,00</w:t>
            </w:r>
          </w:p>
        </w:tc>
        <w:tc>
          <w:tcPr>
            <w:tcW w:w="218" w:type="pct"/>
            <w:tcBorders>
              <w:top w:val="single" w:sz="4" w:space="0" w:color="auto"/>
              <w:left w:val="single" w:sz="4" w:space="0" w:color="auto"/>
              <w:bottom w:val="single" w:sz="4" w:space="0" w:color="auto"/>
              <w:right w:val="single" w:sz="4" w:space="0" w:color="auto"/>
            </w:tcBorders>
            <w:vAlign w:val="center"/>
            <w:hideMark/>
          </w:tcPr>
          <w:p w14:paraId="5C288796" w14:textId="77777777" w:rsidR="002F590A" w:rsidRDefault="002F590A">
            <w:pPr>
              <w:jc w:val="center"/>
              <w:rPr>
                <w:sz w:val="12"/>
                <w:szCs w:val="12"/>
              </w:rPr>
            </w:pPr>
            <w:r>
              <w:rPr>
                <w:sz w:val="12"/>
                <w:szCs w:val="12"/>
              </w:rPr>
              <w:t>0,00</w:t>
            </w:r>
          </w:p>
        </w:tc>
        <w:tc>
          <w:tcPr>
            <w:tcW w:w="220" w:type="pct"/>
            <w:tcBorders>
              <w:top w:val="single" w:sz="4" w:space="0" w:color="auto"/>
              <w:left w:val="single" w:sz="4" w:space="0" w:color="auto"/>
              <w:bottom w:val="single" w:sz="4" w:space="0" w:color="auto"/>
              <w:right w:val="single" w:sz="4" w:space="0" w:color="auto"/>
            </w:tcBorders>
            <w:vAlign w:val="center"/>
            <w:hideMark/>
          </w:tcPr>
          <w:p w14:paraId="19E67E0E" w14:textId="77777777" w:rsidR="002F590A" w:rsidRDefault="002F590A">
            <w:pPr>
              <w:jc w:val="center"/>
              <w:rPr>
                <w:sz w:val="12"/>
                <w:szCs w:val="12"/>
              </w:rPr>
            </w:pPr>
            <w:r>
              <w:rPr>
                <w:sz w:val="12"/>
                <w:szCs w:val="12"/>
              </w:rPr>
              <w:t>0,00</w:t>
            </w:r>
          </w:p>
        </w:tc>
        <w:tc>
          <w:tcPr>
            <w:tcW w:w="214" w:type="pct"/>
            <w:tcBorders>
              <w:top w:val="single" w:sz="4" w:space="0" w:color="auto"/>
              <w:left w:val="single" w:sz="4" w:space="0" w:color="auto"/>
              <w:bottom w:val="single" w:sz="4" w:space="0" w:color="auto"/>
              <w:right w:val="single" w:sz="4" w:space="0" w:color="auto"/>
            </w:tcBorders>
            <w:vAlign w:val="center"/>
            <w:hideMark/>
          </w:tcPr>
          <w:p w14:paraId="3A7E9C87" w14:textId="77777777" w:rsidR="002F590A" w:rsidRDefault="002F590A">
            <w:pPr>
              <w:jc w:val="center"/>
              <w:rPr>
                <w:sz w:val="12"/>
                <w:szCs w:val="12"/>
              </w:rPr>
            </w:pPr>
            <w:r>
              <w:rPr>
                <w:sz w:val="12"/>
                <w:szCs w:val="12"/>
              </w:rPr>
              <w:t>0,00</w:t>
            </w:r>
          </w:p>
        </w:tc>
        <w:tc>
          <w:tcPr>
            <w:tcW w:w="179" w:type="pct"/>
            <w:tcBorders>
              <w:top w:val="single" w:sz="4" w:space="0" w:color="auto"/>
              <w:left w:val="single" w:sz="4" w:space="0" w:color="auto"/>
              <w:bottom w:val="single" w:sz="4" w:space="0" w:color="auto"/>
              <w:right w:val="single" w:sz="4" w:space="0" w:color="auto"/>
            </w:tcBorders>
            <w:vAlign w:val="center"/>
            <w:hideMark/>
          </w:tcPr>
          <w:p w14:paraId="2647BEC9" w14:textId="77777777" w:rsidR="002F590A" w:rsidRDefault="002F590A">
            <w:pPr>
              <w:jc w:val="center"/>
              <w:rPr>
                <w:sz w:val="12"/>
                <w:szCs w:val="12"/>
              </w:rPr>
            </w:pPr>
            <w:r>
              <w:rPr>
                <w:sz w:val="12"/>
                <w:szCs w:val="12"/>
              </w:rPr>
              <w:t>0,00</w:t>
            </w:r>
          </w:p>
        </w:tc>
        <w:tc>
          <w:tcPr>
            <w:tcW w:w="171" w:type="pct"/>
            <w:tcBorders>
              <w:top w:val="single" w:sz="4" w:space="0" w:color="auto"/>
              <w:left w:val="single" w:sz="4" w:space="0" w:color="auto"/>
              <w:bottom w:val="single" w:sz="4" w:space="0" w:color="auto"/>
              <w:right w:val="single" w:sz="4" w:space="0" w:color="auto"/>
            </w:tcBorders>
            <w:vAlign w:val="center"/>
            <w:hideMark/>
          </w:tcPr>
          <w:p w14:paraId="296EF365"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207C4362" w14:textId="77777777" w:rsidR="002F590A" w:rsidRDefault="002F590A">
            <w:pPr>
              <w:jc w:val="center"/>
              <w:rPr>
                <w:sz w:val="12"/>
                <w:szCs w:val="12"/>
              </w:rPr>
            </w:pPr>
            <w:r>
              <w:rPr>
                <w:sz w:val="12"/>
                <w:szCs w:val="12"/>
              </w:rPr>
              <w:t>0,00</w:t>
            </w:r>
          </w:p>
        </w:tc>
        <w:tc>
          <w:tcPr>
            <w:tcW w:w="177" w:type="pct"/>
            <w:tcBorders>
              <w:top w:val="single" w:sz="4" w:space="0" w:color="auto"/>
              <w:left w:val="single" w:sz="4" w:space="0" w:color="auto"/>
              <w:bottom w:val="single" w:sz="4" w:space="0" w:color="auto"/>
              <w:right w:val="single" w:sz="4" w:space="0" w:color="auto"/>
            </w:tcBorders>
            <w:vAlign w:val="center"/>
            <w:hideMark/>
          </w:tcPr>
          <w:p w14:paraId="5A31CA56"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432C26E0" w14:textId="77777777" w:rsidR="002F590A" w:rsidRDefault="002F590A">
            <w:pPr>
              <w:jc w:val="center"/>
              <w:rPr>
                <w:sz w:val="12"/>
                <w:szCs w:val="12"/>
              </w:rPr>
            </w:pPr>
            <w:r>
              <w:rPr>
                <w:sz w:val="12"/>
                <w:szCs w:val="12"/>
              </w:rPr>
              <w:t>52,3</w:t>
            </w:r>
          </w:p>
        </w:tc>
        <w:tc>
          <w:tcPr>
            <w:tcW w:w="173" w:type="pct"/>
            <w:tcBorders>
              <w:top w:val="single" w:sz="4" w:space="0" w:color="auto"/>
              <w:left w:val="single" w:sz="4" w:space="0" w:color="auto"/>
              <w:bottom w:val="single" w:sz="4" w:space="0" w:color="auto"/>
              <w:right w:val="single" w:sz="4" w:space="0" w:color="auto"/>
            </w:tcBorders>
            <w:vAlign w:val="center"/>
            <w:hideMark/>
          </w:tcPr>
          <w:p w14:paraId="0FDC2CDB" w14:textId="77777777" w:rsidR="002F590A" w:rsidRDefault="002F590A">
            <w:pPr>
              <w:jc w:val="center"/>
              <w:rPr>
                <w:sz w:val="12"/>
                <w:szCs w:val="12"/>
              </w:rPr>
            </w:pPr>
            <w:r>
              <w:rPr>
                <w:sz w:val="12"/>
                <w:szCs w:val="12"/>
              </w:rPr>
              <w:t>0,00</w:t>
            </w:r>
          </w:p>
        </w:tc>
        <w:tc>
          <w:tcPr>
            <w:tcW w:w="177" w:type="pct"/>
            <w:tcBorders>
              <w:top w:val="single" w:sz="4" w:space="0" w:color="auto"/>
              <w:left w:val="single" w:sz="4" w:space="0" w:color="auto"/>
              <w:bottom w:val="single" w:sz="4" w:space="0" w:color="auto"/>
              <w:right w:val="single" w:sz="4" w:space="0" w:color="auto"/>
            </w:tcBorders>
            <w:vAlign w:val="center"/>
            <w:hideMark/>
          </w:tcPr>
          <w:p w14:paraId="0CB179FF"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0FA1D41A" w14:textId="77777777" w:rsidR="002F590A" w:rsidRDefault="002F590A">
            <w:pPr>
              <w:jc w:val="center"/>
              <w:rPr>
                <w:color w:val="000000"/>
                <w:sz w:val="12"/>
                <w:szCs w:val="12"/>
              </w:rPr>
            </w:pPr>
            <w:r>
              <w:rPr>
                <w:color w:val="000000"/>
                <w:sz w:val="12"/>
                <w:szCs w:val="12"/>
              </w:rPr>
              <w:t>0,00</w:t>
            </w:r>
          </w:p>
        </w:tc>
        <w:tc>
          <w:tcPr>
            <w:tcW w:w="128" w:type="pct"/>
            <w:tcBorders>
              <w:top w:val="single" w:sz="4" w:space="0" w:color="auto"/>
              <w:left w:val="single" w:sz="4" w:space="0" w:color="auto"/>
              <w:bottom w:val="single" w:sz="4" w:space="0" w:color="auto"/>
              <w:right w:val="single" w:sz="4" w:space="0" w:color="auto"/>
            </w:tcBorders>
            <w:vAlign w:val="center"/>
            <w:hideMark/>
          </w:tcPr>
          <w:p w14:paraId="4E52A038" w14:textId="77777777" w:rsidR="002F590A" w:rsidRDefault="002F590A">
            <w:pPr>
              <w:jc w:val="center"/>
              <w:rPr>
                <w:color w:val="000000"/>
                <w:sz w:val="12"/>
                <w:szCs w:val="12"/>
              </w:rPr>
            </w:pPr>
            <w:r>
              <w:rPr>
                <w:color w:val="000000"/>
                <w:sz w:val="12"/>
                <w:szCs w:val="12"/>
              </w:rPr>
              <w:t>0,00</w:t>
            </w:r>
          </w:p>
        </w:tc>
      </w:tr>
      <w:tr w:rsidR="002F590A" w14:paraId="09397BE9" w14:textId="77777777" w:rsidTr="002F590A">
        <w:trPr>
          <w:trHeight w:val="897"/>
        </w:trPr>
        <w:tc>
          <w:tcPr>
            <w:tcW w:w="175" w:type="pct"/>
            <w:tcBorders>
              <w:top w:val="single" w:sz="4" w:space="0" w:color="auto"/>
              <w:left w:val="single" w:sz="4" w:space="0" w:color="auto"/>
              <w:bottom w:val="single" w:sz="4" w:space="0" w:color="auto"/>
              <w:right w:val="single" w:sz="4" w:space="0" w:color="auto"/>
            </w:tcBorders>
            <w:vAlign w:val="center"/>
            <w:hideMark/>
          </w:tcPr>
          <w:p w14:paraId="76BA315B" w14:textId="77777777" w:rsidR="002F590A" w:rsidRDefault="002F590A">
            <w:pPr>
              <w:jc w:val="center"/>
              <w:rPr>
                <w:bCs/>
                <w:color w:val="000000"/>
                <w:sz w:val="12"/>
                <w:szCs w:val="12"/>
              </w:rPr>
            </w:pPr>
            <w:r>
              <w:rPr>
                <w:bCs/>
                <w:color w:val="000000"/>
                <w:sz w:val="12"/>
                <w:szCs w:val="12"/>
              </w:rPr>
              <w:t>3.2.3.</w:t>
            </w:r>
          </w:p>
        </w:tc>
        <w:tc>
          <w:tcPr>
            <w:tcW w:w="262" w:type="pct"/>
            <w:tcBorders>
              <w:top w:val="single" w:sz="4" w:space="0" w:color="auto"/>
              <w:left w:val="single" w:sz="4" w:space="0" w:color="auto"/>
              <w:bottom w:val="single" w:sz="4" w:space="0" w:color="auto"/>
              <w:right w:val="single" w:sz="4" w:space="0" w:color="auto"/>
            </w:tcBorders>
            <w:vAlign w:val="center"/>
            <w:hideMark/>
          </w:tcPr>
          <w:p w14:paraId="60047521" w14:textId="77777777" w:rsidR="002F590A" w:rsidRDefault="002F590A">
            <w:pPr>
              <w:rPr>
                <w:bCs/>
                <w:color w:val="000000"/>
                <w:sz w:val="12"/>
                <w:szCs w:val="12"/>
              </w:rPr>
            </w:pPr>
            <w:r>
              <w:rPr>
                <w:bCs/>
                <w:color w:val="000000"/>
                <w:sz w:val="12"/>
                <w:szCs w:val="12"/>
              </w:rPr>
              <w:t>Реконструкция котельной №24</w:t>
            </w:r>
          </w:p>
        </w:tc>
        <w:tc>
          <w:tcPr>
            <w:tcW w:w="351" w:type="pct"/>
            <w:tcBorders>
              <w:top w:val="single" w:sz="4" w:space="0" w:color="auto"/>
              <w:left w:val="single" w:sz="4" w:space="0" w:color="auto"/>
              <w:bottom w:val="single" w:sz="4" w:space="0" w:color="auto"/>
              <w:right w:val="single" w:sz="4" w:space="0" w:color="auto"/>
            </w:tcBorders>
            <w:vAlign w:val="center"/>
          </w:tcPr>
          <w:p w14:paraId="260E639B" w14:textId="77777777" w:rsidR="002F590A" w:rsidRDefault="002F590A">
            <w:pPr>
              <w:jc w:val="center"/>
              <w:rPr>
                <w:sz w:val="12"/>
                <w:szCs w:val="12"/>
              </w:rPr>
            </w:pPr>
          </w:p>
        </w:tc>
        <w:tc>
          <w:tcPr>
            <w:tcW w:w="259" w:type="pct"/>
            <w:tcBorders>
              <w:top w:val="single" w:sz="4" w:space="0" w:color="auto"/>
              <w:left w:val="single" w:sz="4" w:space="0" w:color="auto"/>
              <w:bottom w:val="single" w:sz="4" w:space="0" w:color="auto"/>
              <w:right w:val="single" w:sz="4" w:space="0" w:color="auto"/>
            </w:tcBorders>
            <w:vAlign w:val="center"/>
            <w:hideMark/>
          </w:tcPr>
          <w:p w14:paraId="11100B60" w14:textId="77777777" w:rsidR="002F590A" w:rsidRDefault="002F590A">
            <w:pPr>
              <w:jc w:val="center"/>
              <w:rPr>
                <w:bCs/>
                <w:sz w:val="12"/>
                <w:szCs w:val="12"/>
              </w:rPr>
            </w:pPr>
            <w:r>
              <w:rPr>
                <w:bCs/>
                <w:sz w:val="12"/>
                <w:szCs w:val="12"/>
              </w:rPr>
              <w:t xml:space="preserve">Кемеровский </w:t>
            </w:r>
            <w:proofErr w:type="gramStart"/>
            <w:r>
              <w:rPr>
                <w:bCs/>
                <w:sz w:val="12"/>
                <w:szCs w:val="12"/>
              </w:rPr>
              <w:t>муниципаль-ный</w:t>
            </w:r>
            <w:proofErr w:type="gramEnd"/>
            <w:r>
              <w:rPr>
                <w:bCs/>
                <w:sz w:val="12"/>
                <w:szCs w:val="12"/>
              </w:rPr>
              <w:t xml:space="preserve"> округ, 0,2 км., севернее                                  д. Журавлево </w:t>
            </w:r>
          </w:p>
        </w:tc>
        <w:tc>
          <w:tcPr>
            <w:tcW w:w="298" w:type="pct"/>
            <w:tcBorders>
              <w:top w:val="single" w:sz="4" w:space="0" w:color="auto"/>
              <w:left w:val="single" w:sz="4" w:space="0" w:color="auto"/>
              <w:bottom w:val="single" w:sz="4" w:space="0" w:color="auto"/>
              <w:right w:val="single" w:sz="4" w:space="0" w:color="auto"/>
            </w:tcBorders>
            <w:vAlign w:val="center"/>
            <w:hideMark/>
          </w:tcPr>
          <w:p w14:paraId="2F912217" w14:textId="77777777" w:rsidR="002F590A" w:rsidRDefault="002F590A">
            <w:pPr>
              <w:jc w:val="center"/>
              <w:rPr>
                <w:sz w:val="12"/>
                <w:szCs w:val="12"/>
              </w:rPr>
            </w:pPr>
            <w:r>
              <w:rPr>
                <w:color w:val="000000"/>
                <w:sz w:val="12"/>
                <w:szCs w:val="12"/>
              </w:rPr>
              <w:t>Технические характеристики</w:t>
            </w:r>
          </w:p>
        </w:tc>
        <w:tc>
          <w:tcPr>
            <w:tcW w:w="130" w:type="pct"/>
            <w:tcBorders>
              <w:top w:val="single" w:sz="4" w:space="0" w:color="auto"/>
              <w:left w:val="single" w:sz="4" w:space="0" w:color="auto"/>
              <w:bottom w:val="single" w:sz="4" w:space="0" w:color="auto"/>
              <w:right w:val="single" w:sz="4" w:space="0" w:color="auto"/>
            </w:tcBorders>
            <w:vAlign w:val="center"/>
          </w:tcPr>
          <w:p w14:paraId="6DD59961" w14:textId="77777777" w:rsidR="002F590A" w:rsidRDefault="002F590A">
            <w:pPr>
              <w:jc w:val="center"/>
              <w:rPr>
                <w:sz w:val="12"/>
                <w:szCs w:val="12"/>
              </w:rPr>
            </w:pPr>
          </w:p>
        </w:tc>
        <w:tc>
          <w:tcPr>
            <w:tcW w:w="359" w:type="pct"/>
            <w:tcBorders>
              <w:top w:val="single" w:sz="4" w:space="0" w:color="auto"/>
              <w:left w:val="single" w:sz="4" w:space="0" w:color="auto"/>
              <w:bottom w:val="single" w:sz="4" w:space="0" w:color="auto"/>
              <w:right w:val="single" w:sz="4" w:space="0" w:color="auto"/>
            </w:tcBorders>
            <w:vAlign w:val="center"/>
            <w:hideMark/>
          </w:tcPr>
          <w:p w14:paraId="366A13F4" w14:textId="77777777" w:rsidR="002F590A" w:rsidRDefault="002F590A">
            <w:pPr>
              <w:jc w:val="center"/>
              <w:rPr>
                <w:sz w:val="12"/>
                <w:szCs w:val="12"/>
              </w:rPr>
            </w:pPr>
            <w:r>
              <w:rPr>
                <w:sz w:val="12"/>
                <w:szCs w:val="12"/>
              </w:rPr>
              <w:t> </w:t>
            </w:r>
          </w:p>
        </w:tc>
        <w:tc>
          <w:tcPr>
            <w:tcW w:w="349" w:type="pct"/>
            <w:tcBorders>
              <w:top w:val="single" w:sz="4" w:space="0" w:color="auto"/>
              <w:left w:val="single" w:sz="4" w:space="0" w:color="auto"/>
              <w:bottom w:val="single" w:sz="4" w:space="0" w:color="auto"/>
              <w:right w:val="single" w:sz="4" w:space="0" w:color="auto"/>
            </w:tcBorders>
            <w:vAlign w:val="center"/>
            <w:hideMark/>
          </w:tcPr>
          <w:p w14:paraId="1E8C38E8" w14:textId="77777777" w:rsidR="002F590A" w:rsidRDefault="002F590A">
            <w:pPr>
              <w:jc w:val="center"/>
              <w:rPr>
                <w:sz w:val="12"/>
                <w:szCs w:val="12"/>
              </w:rPr>
            </w:pPr>
            <w:r>
              <w:rPr>
                <w:sz w:val="12"/>
                <w:szCs w:val="12"/>
              </w:rPr>
              <w:t> </w:t>
            </w:r>
          </w:p>
        </w:tc>
        <w:tc>
          <w:tcPr>
            <w:tcW w:w="131" w:type="pct"/>
            <w:tcBorders>
              <w:top w:val="single" w:sz="4" w:space="0" w:color="auto"/>
              <w:left w:val="single" w:sz="4" w:space="0" w:color="auto"/>
              <w:bottom w:val="single" w:sz="4" w:space="0" w:color="auto"/>
              <w:right w:val="single" w:sz="4" w:space="0" w:color="auto"/>
            </w:tcBorders>
            <w:vAlign w:val="center"/>
          </w:tcPr>
          <w:p w14:paraId="046FD7C7" w14:textId="77777777" w:rsidR="002F590A" w:rsidRDefault="002F590A">
            <w:pPr>
              <w:jc w:val="center"/>
              <w:rPr>
                <w:sz w:val="12"/>
                <w:szCs w:val="12"/>
              </w:rPr>
            </w:pPr>
          </w:p>
        </w:tc>
        <w:tc>
          <w:tcPr>
            <w:tcW w:w="133" w:type="pct"/>
            <w:tcBorders>
              <w:top w:val="single" w:sz="4" w:space="0" w:color="auto"/>
              <w:left w:val="single" w:sz="4" w:space="0" w:color="auto"/>
              <w:bottom w:val="single" w:sz="4" w:space="0" w:color="auto"/>
              <w:right w:val="single" w:sz="4" w:space="0" w:color="auto"/>
            </w:tcBorders>
            <w:vAlign w:val="center"/>
          </w:tcPr>
          <w:p w14:paraId="51B5A94F" w14:textId="77777777" w:rsidR="002F590A" w:rsidRDefault="002F590A">
            <w:pPr>
              <w:jc w:val="center"/>
              <w:rPr>
                <w:sz w:val="12"/>
                <w:szCs w:val="12"/>
              </w:rPr>
            </w:pPr>
          </w:p>
        </w:tc>
        <w:tc>
          <w:tcPr>
            <w:tcW w:w="198" w:type="pct"/>
            <w:tcBorders>
              <w:top w:val="single" w:sz="4" w:space="0" w:color="auto"/>
              <w:left w:val="single" w:sz="4" w:space="0" w:color="auto"/>
              <w:bottom w:val="single" w:sz="4" w:space="0" w:color="auto"/>
              <w:right w:val="single" w:sz="4" w:space="0" w:color="auto"/>
            </w:tcBorders>
            <w:vAlign w:val="center"/>
          </w:tcPr>
          <w:p w14:paraId="412D287F" w14:textId="77777777" w:rsidR="002F590A" w:rsidRDefault="002F590A">
            <w:pPr>
              <w:jc w:val="center"/>
              <w:rPr>
                <w:color w:val="000000"/>
                <w:sz w:val="12"/>
                <w:szCs w:val="12"/>
              </w:rPr>
            </w:pPr>
          </w:p>
        </w:tc>
        <w:tc>
          <w:tcPr>
            <w:tcW w:w="178" w:type="pct"/>
            <w:tcBorders>
              <w:top w:val="single" w:sz="4" w:space="0" w:color="auto"/>
              <w:left w:val="single" w:sz="4" w:space="0" w:color="auto"/>
              <w:bottom w:val="single" w:sz="4" w:space="0" w:color="auto"/>
              <w:right w:val="single" w:sz="4" w:space="0" w:color="auto"/>
            </w:tcBorders>
            <w:vAlign w:val="center"/>
          </w:tcPr>
          <w:p w14:paraId="7C776015" w14:textId="77777777" w:rsidR="002F590A" w:rsidRDefault="002F590A">
            <w:pPr>
              <w:jc w:val="center"/>
              <w:rPr>
                <w:color w:val="000000"/>
                <w:sz w:val="12"/>
                <w:szCs w:val="12"/>
              </w:rPr>
            </w:pPr>
          </w:p>
        </w:tc>
        <w:tc>
          <w:tcPr>
            <w:tcW w:w="218" w:type="pct"/>
            <w:tcBorders>
              <w:top w:val="single" w:sz="4" w:space="0" w:color="auto"/>
              <w:left w:val="single" w:sz="4" w:space="0" w:color="auto"/>
              <w:bottom w:val="single" w:sz="4" w:space="0" w:color="auto"/>
              <w:right w:val="single" w:sz="4" w:space="0" w:color="auto"/>
            </w:tcBorders>
            <w:vAlign w:val="center"/>
          </w:tcPr>
          <w:p w14:paraId="0AADFE91" w14:textId="77777777" w:rsidR="002F590A" w:rsidRDefault="002F590A">
            <w:pPr>
              <w:jc w:val="center"/>
              <w:rPr>
                <w:sz w:val="12"/>
                <w:szCs w:val="12"/>
              </w:rPr>
            </w:pPr>
          </w:p>
        </w:tc>
        <w:tc>
          <w:tcPr>
            <w:tcW w:w="220" w:type="pct"/>
            <w:tcBorders>
              <w:top w:val="single" w:sz="4" w:space="0" w:color="auto"/>
              <w:left w:val="single" w:sz="4" w:space="0" w:color="auto"/>
              <w:bottom w:val="single" w:sz="4" w:space="0" w:color="auto"/>
              <w:right w:val="single" w:sz="4" w:space="0" w:color="auto"/>
            </w:tcBorders>
            <w:vAlign w:val="center"/>
          </w:tcPr>
          <w:p w14:paraId="500BBABF" w14:textId="77777777" w:rsidR="002F590A" w:rsidRDefault="002F590A">
            <w:pPr>
              <w:jc w:val="center"/>
              <w:rPr>
                <w:sz w:val="12"/>
                <w:szCs w:val="12"/>
              </w:rPr>
            </w:pPr>
          </w:p>
        </w:tc>
        <w:tc>
          <w:tcPr>
            <w:tcW w:w="214" w:type="pct"/>
            <w:tcBorders>
              <w:top w:val="single" w:sz="4" w:space="0" w:color="auto"/>
              <w:left w:val="single" w:sz="4" w:space="0" w:color="auto"/>
              <w:bottom w:val="single" w:sz="4" w:space="0" w:color="auto"/>
              <w:right w:val="single" w:sz="4" w:space="0" w:color="auto"/>
            </w:tcBorders>
            <w:vAlign w:val="center"/>
          </w:tcPr>
          <w:p w14:paraId="6D080275" w14:textId="77777777" w:rsidR="002F590A" w:rsidRDefault="002F590A">
            <w:pPr>
              <w:jc w:val="center"/>
              <w:rPr>
                <w:sz w:val="12"/>
                <w:szCs w:val="12"/>
              </w:rPr>
            </w:pPr>
          </w:p>
        </w:tc>
        <w:tc>
          <w:tcPr>
            <w:tcW w:w="179" w:type="pct"/>
            <w:tcBorders>
              <w:top w:val="single" w:sz="4" w:space="0" w:color="auto"/>
              <w:left w:val="single" w:sz="4" w:space="0" w:color="auto"/>
              <w:bottom w:val="single" w:sz="4" w:space="0" w:color="auto"/>
              <w:right w:val="single" w:sz="4" w:space="0" w:color="auto"/>
            </w:tcBorders>
            <w:vAlign w:val="center"/>
          </w:tcPr>
          <w:p w14:paraId="675330DF" w14:textId="77777777" w:rsidR="002F590A" w:rsidRDefault="002F590A">
            <w:pPr>
              <w:jc w:val="center"/>
              <w:rPr>
                <w:sz w:val="12"/>
                <w:szCs w:val="12"/>
              </w:rPr>
            </w:pPr>
          </w:p>
        </w:tc>
        <w:tc>
          <w:tcPr>
            <w:tcW w:w="171" w:type="pct"/>
            <w:tcBorders>
              <w:top w:val="single" w:sz="4" w:space="0" w:color="auto"/>
              <w:left w:val="single" w:sz="4" w:space="0" w:color="auto"/>
              <w:bottom w:val="single" w:sz="4" w:space="0" w:color="auto"/>
              <w:right w:val="single" w:sz="4" w:space="0" w:color="auto"/>
            </w:tcBorders>
            <w:vAlign w:val="center"/>
          </w:tcPr>
          <w:p w14:paraId="7D86CA47" w14:textId="77777777" w:rsidR="002F590A" w:rsidRDefault="002F590A">
            <w:pPr>
              <w:jc w:val="center"/>
              <w:rPr>
                <w:sz w:val="12"/>
                <w:szCs w:val="12"/>
              </w:rPr>
            </w:pPr>
          </w:p>
        </w:tc>
        <w:tc>
          <w:tcPr>
            <w:tcW w:w="173" w:type="pct"/>
            <w:tcBorders>
              <w:top w:val="single" w:sz="4" w:space="0" w:color="auto"/>
              <w:left w:val="single" w:sz="4" w:space="0" w:color="auto"/>
              <w:bottom w:val="single" w:sz="4" w:space="0" w:color="auto"/>
              <w:right w:val="single" w:sz="4" w:space="0" w:color="auto"/>
            </w:tcBorders>
            <w:vAlign w:val="center"/>
          </w:tcPr>
          <w:p w14:paraId="370AFBE1" w14:textId="77777777" w:rsidR="002F590A" w:rsidRDefault="002F590A">
            <w:pPr>
              <w:jc w:val="center"/>
              <w:rPr>
                <w:sz w:val="12"/>
                <w:szCs w:val="12"/>
              </w:rPr>
            </w:pPr>
          </w:p>
        </w:tc>
        <w:tc>
          <w:tcPr>
            <w:tcW w:w="177" w:type="pct"/>
            <w:tcBorders>
              <w:top w:val="single" w:sz="4" w:space="0" w:color="auto"/>
              <w:left w:val="single" w:sz="4" w:space="0" w:color="auto"/>
              <w:bottom w:val="single" w:sz="4" w:space="0" w:color="auto"/>
              <w:right w:val="single" w:sz="4" w:space="0" w:color="auto"/>
            </w:tcBorders>
            <w:vAlign w:val="center"/>
          </w:tcPr>
          <w:p w14:paraId="3B6DCAC5" w14:textId="77777777" w:rsidR="002F590A" w:rsidRDefault="002F590A">
            <w:pPr>
              <w:jc w:val="center"/>
              <w:rPr>
                <w:sz w:val="12"/>
                <w:szCs w:val="12"/>
              </w:rPr>
            </w:pPr>
          </w:p>
        </w:tc>
        <w:tc>
          <w:tcPr>
            <w:tcW w:w="173" w:type="pct"/>
            <w:tcBorders>
              <w:top w:val="single" w:sz="4" w:space="0" w:color="auto"/>
              <w:left w:val="single" w:sz="4" w:space="0" w:color="auto"/>
              <w:bottom w:val="single" w:sz="4" w:space="0" w:color="auto"/>
              <w:right w:val="single" w:sz="4" w:space="0" w:color="auto"/>
            </w:tcBorders>
            <w:vAlign w:val="center"/>
          </w:tcPr>
          <w:p w14:paraId="7E08ADD8" w14:textId="77777777" w:rsidR="002F590A" w:rsidRDefault="002F590A">
            <w:pPr>
              <w:jc w:val="center"/>
              <w:rPr>
                <w:sz w:val="12"/>
                <w:szCs w:val="12"/>
              </w:rPr>
            </w:pPr>
          </w:p>
        </w:tc>
        <w:tc>
          <w:tcPr>
            <w:tcW w:w="173" w:type="pct"/>
            <w:tcBorders>
              <w:top w:val="single" w:sz="4" w:space="0" w:color="auto"/>
              <w:left w:val="single" w:sz="4" w:space="0" w:color="auto"/>
              <w:bottom w:val="single" w:sz="4" w:space="0" w:color="auto"/>
              <w:right w:val="single" w:sz="4" w:space="0" w:color="auto"/>
            </w:tcBorders>
            <w:vAlign w:val="center"/>
          </w:tcPr>
          <w:p w14:paraId="2E024635" w14:textId="77777777" w:rsidR="002F590A" w:rsidRDefault="002F590A">
            <w:pPr>
              <w:jc w:val="center"/>
              <w:rPr>
                <w:sz w:val="12"/>
                <w:szCs w:val="12"/>
              </w:rPr>
            </w:pPr>
          </w:p>
        </w:tc>
        <w:tc>
          <w:tcPr>
            <w:tcW w:w="177" w:type="pct"/>
            <w:tcBorders>
              <w:top w:val="single" w:sz="4" w:space="0" w:color="auto"/>
              <w:left w:val="single" w:sz="4" w:space="0" w:color="auto"/>
              <w:bottom w:val="single" w:sz="4" w:space="0" w:color="auto"/>
              <w:right w:val="single" w:sz="4" w:space="0" w:color="auto"/>
            </w:tcBorders>
            <w:vAlign w:val="center"/>
          </w:tcPr>
          <w:p w14:paraId="284C3A25" w14:textId="77777777" w:rsidR="002F590A" w:rsidRDefault="002F590A">
            <w:pPr>
              <w:jc w:val="center"/>
              <w:rPr>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0F5F5D95" w14:textId="77777777" w:rsidR="002F590A" w:rsidRDefault="002F590A">
            <w:pPr>
              <w:jc w:val="center"/>
              <w:rPr>
                <w:color w:val="000000"/>
                <w:sz w:val="12"/>
                <w:szCs w:val="12"/>
              </w:rPr>
            </w:pPr>
          </w:p>
        </w:tc>
        <w:tc>
          <w:tcPr>
            <w:tcW w:w="128" w:type="pct"/>
            <w:tcBorders>
              <w:top w:val="single" w:sz="4" w:space="0" w:color="auto"/>
              <w:left w:val="single" w:sz="4" w:space="0" w:color="auto"/>
              <w:bottom w:val="single" w:sz="4" w:space="0" w:color="auto"/>
              <w:right w:val="single" w:sz="4" w:space="0" w:color="auto"/>
            </w:tcBorders>
            <w:vAlign w:val="center"/>
          </w:tcPr>
          <w:p w14:paraId="5895E330" w14:textId="77777777" w:rsidR="002F590A" w:rsidRDefault="002F590A">
            <w:pPr>
              <w:jc w:val="center"/>
              <w:rPr>
                <w:color w:val="000000"/>
                <w:sz w:val="12"/>
                <w:szCs w:val="12"/>
              </w:rPr>
            </w:pPr>
          </w:p>
        </w:tc>
      </w:tr>
      <w:tr w:rsidR="002F590A" w14:paraId="0CEE2ABC" w14:textId="77777777" w:rsidTr="002F590A">
        <w:trPr>
          <w:trHeight w:val="897"/>
        </w:trPr>
        <w:tc>
          <w:tcPr>
            <w:tcW w:w="175" w:type="pct"/>
            <w:tcBorders>
              <w:top w:val="single" w:sz="4" w:space="0" w:color="auto"/>
              <w:left w:val="single" w:sz="4" w:space="0" w:color="auto"/>
              <w:bottom w:val="single" w:sz="4" w:space="0" w:color="auto"/>
              <w:right w:val="single" w:sz="4" w:space="0" w:color="auto"/>
            </w:tcBorders>
            <w:vAlign w:val="center"/>
            <w:hideMark/>
          </w:tcPr>
          <w:p w14:paraId="7D535A74" w14:textId="77777777" w:rsidR="002F590A" w:rsidRDefault="002F590A">
            <w:pPr>
              <w:jc w:val="center"/>
              <w:rPr>
                <w:sz w:val="12"/>
                <w:szCs w:val="12"/>
              </w:rPr>
            </w:pPr>
            <w:r>
              <w:rPr>
                <w:sz w:val="12"/>
                <w:szCs w:val="12"/>
              </w:rPr>
              <w:t>3.2.3.1</w:t>
            </w:r>
          </w:p>
        </w:tc>
        <w:tc>
          <w:tcPr>
            <w:tcW w:w="262" w:type="pct"/>
            <w:tcBorders>
              <w:top w:val="single" w:sz="4" w:space="0" w:color="auto"/>
              <w:left w:val="single" w:sz="4" w:space="0" w:color="auto"/>
              <w:bottom w:val="single" w:sz="4" w:space="0" w:color="auto"/>
              <w:right w:val="single" w:sz="4" w:space="0" w:color="auto"/>
            </w:tcBorders>
            <w:vAlign w:val="center"/>
            <w:hideMark/>
          </w:tcPr>
          <w:p w14:paraId="01C218EB" w14:textId="77777777" w:rsidR="002F590A" w:rsidRDefault="002F590A">
            <w:pPr>
              <w:rPr>
                <w:color w:val="000000"/>
                <w:sz w:val="12"/>
                <w:szCs w:val="12"/>
              </w:rPr>
            </w:pPr>
            <w:r>
              <w:rPr>
                <w:color w:val="000000"/>
                <w:sz w:val="12"/>
                <w:szCs w:val="12"/>
              </w:rPr>
              <w:t>Реконструкция предохранительных клапанов</w:t>
            </w:r>
          </w:p>
        </w:tc>
        <w:tc>
          <w:tcPr>
            <w:tcW w:w="351" w:type="pct"/>
            <w:tcBorders>
              <w:top w:val="single" w:sz="4" w:space="0" w:color="auto"/>
              <w:left w:val="single" w:sz="4" w:space="0" w:color="auto"/>
              <w:bottom w:val="single" w:sz="4" w:space="0" w:color="auto"/>
              <w:right w:val="single" w:sz="4" w:space="0" w:color="auto"/>
            </w:tcBorders>
            <w:vAlign w:val="center"/>
            <w:hideMark/>
          </w:tcPr>
          <w:p w14:paraId="0E429DC1" w14:textId="77777777" w:rsidR="002F590A" w:rsidRDefault="002F590A">
            <w:pPr>
              <w:jc w:val="center"/>
              <w:rPr>
                <w:sz w:val="12"/>
                <w:szCs w:val="12"/>
              </w:rPr>
            </w:pPr>
            <w:r>
              <w:rPr>
                <w:sz w:val="12"/>
                <w:szCs w:val="12"/>
              </w:rPr>
              <w:t>Повышение надежности (бесперебойности) услуг теплоснабжения, повышение энергетической эффективности</w:t>
            </w:r>
          </w:p>
        </w:tc>
        <w:tc>
          <w:tcPr>
            <w:tcW w:w="259" w:type="pct"/>
            <w:tcBorders>
              <w:top w:val="single" w:sz="4" w:space="0" w:color="auto"/>
              <w:left w:val="single" w:sz="4" w:space="0" w:color="auto"/>
              <w:bottom w:val="single" w:sz="4" w:space="0" w:color="auto"/>
              <w:right w:val="single" w:sz="4" w:space="0" w:color="auto"/>
            </w:tcBorders>
            <w:vAlign w:val="center"/>
            <w:hideMark/>
          </w:tcPr>
          <w:p w14:paraId="2CAAB94D" w14:textId="77777777" w:rsidR="002F590A" w:rsidRDefault="002F590A">
            <w:pPr>
              <w:jc w:val="center"/>
              <w:rPr>
                <w:sz w:val="12"/>
                <w:szCs w:val="12"/>
              </w:rPr>
            </w:pPr>
            <w:r>
              <w:rPr>
                <w:sz w:val="12"/>
                <w:szCs w:val="12"/>
              </w:rPr>
              <w:t> </w:t>
            </w:r>
          </w:p>
        </w:tc>
        <w:tc>
          <w:tcPr>
            <w:tcW w:w="298" w:type="pct"/>
            <w:tcBorders>
              <w:top w:val="single" w:sz="4" w:space="0" w:color="auto"/>
              <w:left w:val="single" w:sz="4" w:space="0" w:color="auto"/>
              <w:bottom w:val="single" w:sz="4" w:space="0" w:color="auto"/>
              <w:right w:val="single" w:sz="4" w:space="0" w:color="auto"/>
            </w:tcBorders>
            <w:vAlign w:val="center"/>
            <w:hideMark/>
          </w:tcPr>
          <w:p w14:paraId="2C9394B1" w14:textId="77777777" w:rsidR="002F590A" w:rsidRDefault="002F590A">
            <w:pPr>
              <w:jc w:val="center"/>
              <w:rPr>
                <w:sz w:val="12"/>
                <w:szCs w:val="12"/>
              </w:rPr>
            </w:pPr>
            <w:r>
              <w:rPr>
                <w:color w:val="000000"/>
                <w:sz w:val="12"/>
                <w:szCs w:val="12"/>
              </w:rPr>
              <w:t>Технические характеристики</w:t>
            </w:r>
          </w:p>
        </w:tc>
        <w:tc>
          <w:tcPr>
            <w:tcW w:w="130" w:type="pct"/>
            <w:tcBorders>
              <w:top w:val="single" w:sz="4" w:space="0" w:color="auto"/>
              <w:left w:val="single" w:sz="4" w:space="0" w:color="auto"/>
              <w:bottom w:val="single" w:sz="4" w:space="0" w:color="auto"/>
              <w:right w:val="single" w:sz="4" w:space="0" w:color="auto"/>
            </w:tcBorders>
            <w:vAlign w:val="center"/>
          </w:tcPr>
          <w:p w14:paraId="34BC1C59" w14:textId="77777777" w:rsidR="002F590A" w:rsidRDefault="002F590A">
            <w:pPr>
              <w:jc w:val="center"/>
              <w:rPr>
                <w:sz w:val="12"/>
                <w:szCs w:val="12"/>
              </w:rPr>
            </w:pPr>
          </w:p>
        </w:tc>
        <w:tc>
          <w:tcPr>
            <w:tcW w:w="359" w:type="pct"/>
            <w:tcBorders>
              <w:top w:val="single" w:sz="4" w:space="0" w:color="auto"/>
              <w:left w:val="single" w:sz="4" w:space="0" w:color="auto"/>
              <w:bottom w:val="single" w:sz="4" w:space="0" w:color="auto"/>
              <w:right w:val="single" w:sz="4" w:space="0" w:color="auto"/>
            </w:tcBorders>
            <w:vAlign w:val="center"/>
            <w:hideMark/>
          </w:tcPr>
          <w:p w14:paraId="2F985834" w14:textId="77777777" w:rsidR="002F590A" w:rsidRDefault="002F590A">
            <w:pPr>
              <w:jc w:val="center"/>
              <w:rPr>
                <w:sz w:val="12"/>
                <w:szCs w:val="12"/>
              </w:rPr>
            </w:pPr>
            <w:r>
              <w:rPr>
                <w:sz w:val="12"/>
                <w:szCs w:val="12"/>
              </w:rPr>
              <w:t>Предохранительный пружинный клапан Ду50\65 фланцевый</w:t>
            </w:r>
          </w:p>
        </w:tc>
        <w:tc>
          <w:tcPr>
            <w:tcW w:w="349" w:type="pct"/>
            <w:tcBorders>
              <w:top w:val="single" w:sz="4" w:space="0" w:color="auto"/>
              <w:left w:val="single" w:sz="4" w:space="0" w:color="auto"/>
              <w:bottom w:val="single" w:sz="4" w:space="0" w:color="auto"/>
              <w:right w:val="single" w:sz="4" w:space="0" w:color="auto"/>
            </w:tcBorders>
            <w:vAlign w:val="center"/>
            <w:hideMark/>
          </w:tcPr>
          <w:p w14:paraId="027C7C84" w14:textId="77777777" w:rsidR="002F590A" w:rsidRDefault="002F590A">
            <w:pPr>
              <w:jc w:val="center"/>
              <w:rPr>
                <w:sz w:val="12"/>
                <w:szCs w:val="12"/>
              </w:rPr>
            </w:pPr>
            <w:r>
              <w:rPr>
                <w:sz w:val="12"/>
                <w:szCs w:val="12"/>
              </w:rPr>
              <w:t>Оборудование с техническими характеристиками не ниже существующего на объекте</w:t>
            </w:r>
          </w:p>
        </w:tc>
        <w:tc>
          <w:tcPr>
            <w:tcW w:w="131" w:type="pct"/>
            <w:tcBorders>
              <w:top w:val="single" w:sz="4" w:space="0" w:color="auto"/>
              <w:left w:val="single" w:sz="4" w:space="0" w:color="auto"/>
              <w:bottom w:val="single" w:sz="4" w:space="0" w:color="auto"/>
              <w:right w:val="single" w:sz="4" w:space="0" w:color="auto"/>
            </w:tcBorders>
            <w:vAlign w:val="center"/>
            <w:hideMark/>
          </w:tcPr>
          <w:p w14:paraId="7CC17B36" w14:textId="77777777" w:rsidR="002F590A" w:rsidRDefault="002F590A">
            <w:pPr>
              <w:jc w:val="center"/>
              <w:rPr>
                <w:sz w:val="12"/>
                <w:szCs w:val="12"/>
              </w:rPr>
            </w:pPr>
            <w:r>
              <w:rPr>
                <w:sz w:val="12"/>
                <w:szCs w:val="12"/>
              </w:rPr>
              <w:t>2029</w:t>
            </w:r>
          </w:p>
        </w:tc>
        <w:tc>
          <w:tcPr>
            <w:tcW w:w="133" w:type="pct"/>
            <w:tcBorders>
              <w:top w:val="single" w:sz="4" w:space="0" w:color="auto"/>
              <w:left w:val="single" w:sz="4" w:space="0" w:color="auto"/>
              <w:bottom w:val="single" w:sz="4" w:space="0" w:color="auto"/>
              <w:right w:val="single" w:sz="4" w:space="0" w:color="auto"/>
            </w:tcBorders>
            <w:vAlign w:val="center"/>
            <w:hideMark/>
          </w:tcPr>
          <w:p w14:paraId="25A0CDB8" w14:textId="77777777" w:rsidR="002F590A" w:rsidRDefault="002F590A">
            <w:pPr>
              <w:jc w:val="center"/>
              <w:rPr>
                <w:sz w:val="12"/>
                <w:szCs w:val="12"/>
              </w:rPr>
            </w:pPr>
            <w:r>
              <w:rPr>
                <w:sz w:val="12"/>
                <w:szCs w:val="12"/>
              </w:rPr>
              <w:t>2029</w:t>
            </w:r>
          </w:p>
        </w:tc>
        <w:tc>
          <w:tcPr>
            <w:tcW w:w="198" w:type="pct"/>
            <w:tcBorders>
              <w:top w:val="single" w:sz="4" w:space="0" w:color="auto"/>
              <w:left w:val="single" w:sz="4" w:space="0" w:color="auto"/>
              <w:bottom w:val="single" w:sz="4" w:space="0" w:color="auto"/>
              <w:right w:val="single" w:sz="4" w:space="0" w:color="auto"/>
            </w:tcBorders>
            <w:vAlign w:val="center"/>
            <w:hideMark/>
          </w:tcPr>
          <w:p w14:paraId="2500C311" w14:textId="77777777" w:rsidR="002F590A" w:rsidRDefault="002F590A">
            <w:pPr>
              <w:jc w:val="center"/>
              <w:rPr>
                <w:color w:val="000000"/>
                <w:sz w:val="12"/>
                <w:szCs w:val="12"/>
              </w:rPr>
            </w:pPr>
            <w:r>
              <w:rPr>
                <w:color w:val="000000"/>
                <w:sz w:val="12"/>
                <w:szCs w:val="12"/>
              </w:rPr>
              <w:t>113,41</w:t>
            </w:r>
          </w:p>
        </w:tc>
        <w:tc>
          <w:tcPr>
            <w:tcW w:w="178" w:type="pct"/>
            <w:tcBorders>
              <w:top w:val="single" w:sz="4" w:space="0" w:color="auto"/>
              <w:left w:val="single" w:sz="4" w:space="0" w:color="auto"/>
              <w:bottom w:val="single" w:sz="4" w:space="0" w:color="auto"/>
              <w:right w:val="single" w:sz="4" w:space="0" w:color="auto"/>
            </w:tcBorders>
            <w:vAlign w:val="center"/>
            <w:hideMark/>
          </w:tcPr>
          <w:p w14:paraId="294837FF" w14:textId="77777777" w:rsidR="002F590A" w:rsidRDefault="002F590A">
            <w:pPr>
              <w:jc w:val="center"/>
              <w:rPr>
                <w:color w:val="000000"/>
                <w:sz w:val="12"/>
                <w:szCs w:val="12"/>
              </w:rPr>
            </w:pPr>
            <w:r>
              <w:rPr>
                <w:color w:val="000000"/>
                <w:sz w:val="12"/>
                <w:szCs w:val="12"/>
              </w:rPr>
              <w:t>0,00</w:t>
            </w:r>
          </w:p>
        </w:tc>
        <w:tc>
          <w:tcPr>
            <w:tcW w:w="218" w:type="pct"/>
            <w:tcBorders>
              <w:top w:val="single" w:sz="4" w:space="0" w:color="auto"/>
              <w:left w:val="single" w:sz="4" w:space="0" w:color="auto"/>
              <w:bottom w:val="single" w:sz="4" w:space="0" w:color="auto"/>
              <w:right w:val="single" w:sz="4" w:space="0" w:color="auto"/>
            </w:tcBorders>
            <w:vAlign w:val="center"/>
            <w:hideMark/>
          </w:tcPr>
          <w:p w14:paraId="5298FCCA" w14:textId="77777777" w:rsidR="002F590A" w:rsidRDefault="002F590A">
            <w:pPr>
              <w:jc w:val="center"/>
              <w:rPr>
                <w:sz w:val="12"/>
                <w:szCs w:val="12"/>
              </w:rPr>
            </w:pPr>
            <w:r>
              <w:rPr>
                <w:sz w:val="12"/>
                <w:szCs w:val="12"/>
              </w:rPr>
              <w:t>0,00</w:t>
            </w:r>
          </w:p>
        </w:tc>
        <w:tc>
          <w:tcPr>
            <w:tcW w:w="220" w:type="pct"/>
            <w:tcBorders>
              <w:top w:val="single" w:sz="4" w:space="0" w:color="auto"/>
              <w:left w:val="single" w:sz="4" w:space="0" w:color="auto"/>
              <w:bottom w:val="single" w:sz="4" w:space="0" w:color="auto"/>
              <w:right w:val="single" w:sz="4" w:space="0" w:color="auto"/>
            </w:tcBorders>
            <w:vAlign w:val="center"/>
            <w:hideMark/>
          </w:tcPr>
          <w:p w14:paraId="5226B257" w14:textId="77777777" w:rsidR="002F590A" w:rsidRDefault="002F590A">
            <w:pPr>
              <w:jc w:val="center"/>
              <w:rPr>
                <w:sz w:val="12"/>
                <w:szCs w:val="12"/>
              </w:rPr>
            </w:pPr>
            <w:r>
              <w:rPr>
                <w:sz w:val="12"/>
                <w:szCs w:val="12"/>
              </w:rPr>
              <w:t>0,00</w:t>
            </w:r>
          </w:p>
        </w:tc>
        <w:tc>
          <w:tcPr>
            <w:tcW w:w="214" w:type="pct"/>
            <w:tcBorders>
              <w:top w:val="single" w:sz="4" w:space="0" w:color="auto"/>
              <w:left w:val="single" w:sz="4" w:space="0" w:color="auto"/>
              <w:bottom w:val="single" w:sz="4" w:space="0" w:color="auto"/>
              <w:right w:val="single" w:sz="4" w:space="0" w:color="auto"/>
            </w:tcBorders>
            <w:vAlign w:val="center"/>
            <w:hideMark/>
          </w:tcPr>
          <w:p w14:paraId="31948F18" w14:textId="77777777" w:rsidR="002F590A" w:rsidRDefault="002F590A">
            <w:pPr>
              <w:jc w:val="center"/>
              <w:rPr>
                <w:sz w:val="12"/>
                <w:szCs w:val="12"/>
              </w:rPr>
            </w:pPr>
            <w:r>
              <w:rPr>
                <w:sz w:val="12"/>
                <w:szCs w:val="12"/>
              </w:rPr>
              <w:t>0,00</w:t>
            </w:r>
          </w:p>
        </w:tc>
        <w:tc>
          <w:tcPr>
            <w:tcW w:w="179" w:type="pct"/>
            <w:tcBorders>
              <w:top w:val="single" w:sz="4" w:space="0" w:color="auto"/>
              <w:left w:val="single" w:sz="4" w:space="0" w:color="auto"/>
              <w:bottom w:val="single" w:sz="4" w:space="0" w:color="auto"/>
              <w:right w:val="single" w:sz="4" w:space="0" w:color="auto"/>
            </w:tcBorders>
            <w:vAlign w:val="center"/>
            <w:hideMark/>
          </w:tcPr>
          <w:p w14:paraId="2B425D3E" w14:textId="77777777" w:rsidR="002F590A" w:rsidRDefault="002F590A">
            <w:pPr>
              <w:jc w:val="center"/>
              <w:rPr>
                <w:sz w:val="12"/>
                <w:szCs w:val="12"/>
              </w:rPr>
            </w:pPr>
            <w:r>
              <w:rPr>
                <w:sz w:val="12"/>
                <w:szCs w:val="12"/>
              </w:rPr>
              <w:t>0,00</w:t>
            </w:r>
          </w:p>
        </w:tc>
        <w:tc>
          <w:tcPr>
            <w:tcW w:w="171" w:type="pct"/>
            <w:tcBorders>
              <w:top w:val="single" w:sz="4" w:space="0" w:color="auto"/>
              <w:left w:val="single" w:sz="4" w:space="0" w:color="auto"/>
              <w:bottom w:val="single" w:sz="4" w:space="0" w:color="auto"/>
              <w:right w:val="single" w:sz="4" w:space="0" w:color="auto"/>
            </w:tcBorders>
            <w:vAlign w:val="center"/>
            <w:hideMark/>
          </w:tcPr>
          <w:p w14:paraId="2BFFDEFA"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1219F34A" w14:textId="77777777" w:rsidR="002F590A" w:rsidRDefault="002F590A">
            <w:pPr>
              <w:jc w:val="center"/>
              <w:rPr>
                <w:sz w:val="12"/>
                <w:szCs w:val="12"/>
              </w:rPr>
            </w:pPr>
            <w:r>
              <w:rPr>
                <w:sz w:val="12"/>
                <w:szCs w:val="12"/>
              </w:rPr>
              <w:t>0,00</w:t>
            </w:r>
          </w:p>
        </w:tc>
        <w:tc>
          <w:tcPr>
            <w:tcW w:w="177" w:type="pct"/>
            <w:tcBorders>
              <w:top w:val="single" w:sz="4" w:space="0" w:color="auto"/>
              <w:left w:val="single" w:sz="4" w:space="0" w:color="auto"/>
              <w:bottom w:val="single" w:sz="4" w:space="0" w:color="auto"/>
              <w:right w:val="single" w:sz="4" w:space="0" w:color="auto"/>
            </w:tcBorders>
            <w:vAlign w:val="center"/>
            <w:hideMark/>
          </w:tcPr>
          <w:p w14:paraId="089728E4"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2A085F7D" w14:textId="77777777" w:rsidR="002F590A" w:rsidRDefault="002F590A">
            <w:pPr>
              <w:jc w:val="center"/>
              <w:rPr>
                <w:sz w:val="12"/>
                <w:szCs w:val="12"/>
              </w:rPr>
            </w:pPr>
            <w:r>
              <w:rPr>
                <w:sz w:val="12"/>
                <w:szCs w:val="12"/>
              </w:rPr>
              <w:t>113,41</w:t>
            </w:r>
          </w:p>
        </w:tc>
        <w:tc>
          <w:tcPr>
            <w:tcW w:w="173" w:type="pct"/>
            <w:tcBorders>
              <w:top w:val="single" w:sz="4" w:space="0" w:color="auto"/>
              <w:left w:val="single" w:sz="4" w:space="0" w:color="auto"/>
              <w:bottom w:val="single" w:sz="4" w:space="0" w:color="auto"/>
              <w:right w:val="single" w:sz="4" w:space="0" w:color="auto"/>
            </w:tcBorders>
            <w:vAlign w:val="center"/>
            <w:hideMark/>
          </w:tcPr>
          <w:p w14:paraId="1E43FBC7" w14:textId="77777777" w:rsidR="002F590A" w:rsidRDefault="002F590A">
            <w:pPr>
              <w:jc w:val="center"/>
              <w:rPr>
                <w:sz w:val="12"/>
                <w:szCs w:val="12"/>
              </w:rPr>
            </w:pPr>
            <w:r>
              <w:rPr>
                <w:sz w:val="12"/>
                <w:szCs w:val="12"/>
              </w:rPr>
              <w:t>0,00</w:t>
            </w:r>
          </w:p>
        </w:tc>
        <w:tc>
          <w:tcPr>
            <w:tcW w:w="177" w:type="pct"/>
            <w:tcBorders>
              <w:top w:val="single" w:sz="4" w:space="0" w:color="auto"/>
              <w:left w:val="single" w:sz="4" w:space="0" w:color="auto"/>
              <w:bottom w:val="single" w:sz="4" w:space="0" w:color="auto"/>
              <w:right w:val="single" w:sz="4" w:space="0" w:color="auto"/>
            </w:tcBorders>
            <w:vAlign w:val="center"/>
            <w:hideMark/>
          </w:tcPr>
          <w:p w14:paraId="311ED211"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066DA8AD" w14:textId="77777777" w:rsidR="002F590A" w:rsidRDefault="002F590A">
            <w:pPr>
              <w:jc w:val="center"/>
              <w:rPr>
                <w:color w:val="000000"/>
                <w:sz w:val="12"/>
                <w:szCs w:val="12"/>
              </w:rPr>
            </w:pPr>
            <w:r>
              <w:rPr>
                <w:color w:val="000000"/>
                <w:sz w:val="12"/>
                <w:szCs w:val="12"/>
              </w:rPr>
              <w:t>0,00</w:t>
            </w:r>
          </w:p>
        </w:tc>
        <w:tc>
          <w:tcPr>
            <w:tcW w:w="128" w:type="pct"/>
            <w:tcBorders>
              <w:top w:val="single" w:sz="4" w:space="0" w:color="auto"/>
              <w:left w:val="single" w:sz="4" w:space="0" w:color="auto"/>
              <w:bottom w:val="single" w:sz="4" w:space="0" w:color="auto"/>
              <w:right w:val="single" w:sz="4" w:space="0" w:color="auto"/>
            </w:tcBorders>
            <w:vAlign w:val="center"/>
            <w:hideMark/>
          </w:tcPr>
          <w:p w14:paraId="37ECA7CD" w14:textId="77777777" w:rsidR="002F590A" w:rsidRDefault="002F590A">
            <w:pPr>
              <w:jc w:val="center"/>
              <w:rPr>
                <w:color w:val="000000"/>
                <w:sz w:val="12"/>
                <w:szCs w:val="12"/>
              </w:rPr>
            </w:pPr>
            <w:r>
              <w:rPr>
                <w:color w:val="000000"/>
                <w:sz w:val="12"/>
                <w:szCs w:val="12"/>
              </w:rPr>
              <w:t>0,00</w:t>
            </w:r>
          </w:p>
        </w:tc>
      </w:tr>
      <w:tr w:rsidR="002F590A" w14:paraId="514B1C6E" w14:textId="77777777" w:rsidTr="002F590A">
        <w:trPr>
          <w:trHeight w:val="897"/>
        </w:trPr>
        <w:tc>
          <w:tcPr>
            <w:tcW w:w="175" w:type="pct"/>
            <w:tcBorders>
              <w:top w:val="single" w:sz="4" w:space="0" w:color="auto"/>
              <w:left w:val="single" w:sz="4" w:space="0" w:color="auto"/>
              <w:bottom w:val="single" w:sz="4" w:space="0" w:color="auto"/>
              <w:right w:val="single" w:sz="4" w:space="0" w:color="auto"/>
            </w:tcBorders>
            <w:vAlign w:val="center"/>
            <w:hideMark/>
          </w:tcPr>
          <w:p w14:paraId="27EA17CF" w14:textId="77777777" w:rsidR="002F590A" w:rsidRDefault="002F590A">
            <w:pPr>
              <w:jc w:val="center"/>
              <w:rPr>
                <w:sz w:val="12"/>
                <w:szCs w:val="12"/>
              </w:rPr>
            </w:pPr>
            <w:r>
              <w:rPr>
                <w:sz w:val="12"/>
                <w:szCs w:val="12"/>
              </w:rPr>
              <w:t>3.2.3.2</w:t>
            </w:r>
          </w:p>
        </w:tc>
        <w:tc>
          <w:tcPr>
            <w:tcW w:w="262" w:type="pct"/>
            <w:tcBorders>
              <w:top w:val="single" w:sz="4" w:space="0" w:color="auto"/>
              <w:left w:val="single" w:sz="4" w:space="0" w:color="auto"/>
              <w:bottom w:val="single" w:sz="4" w:space="0" w:color="auto"/>
              <w:right w:val="single" w:sz="4" w:space="0" w:color="auto"/>
            </w:tcBorders>
            <w:vAlign w:val="center"/>
            <w:hideMark/>
          </w:tcPr>
          <w:p w14:paraId="5AA02BCD" w14:textId="77777777" w:rsidR="002F590A" w:rsidRDefault="002F590A">
            <w:pPr>
              <w:rPr>
                <w:color w:val="000000"/>
                <w:sz w:val="12"/>
                <w:szCs w:val="12"/>
              </w:rPr>
            </w:pPr>
            <w:r>
              <w:rPr>
                <w:color w:val="000000"/>
                <w:sz w:val="12"/>
                <w:szCs w:val="12"/>
              </w:rPr>
              <w:t>Реконструкция котла</w:t>
            </w:r>
          </w:p>
        </w:tc>
        <w:tc>
          <w:tcPr>
            <w:tcW w:w="351" w:type="pct"/>
            <w:tcBorders>
              <w:top w:val="single" w:sz="4" w:space="0" w:color="auto"/>
              <w:left w:val="single" w:sz="4" w:space="0" w:color="auto"/>
              <w:bottom w:val="single" w:sz="4" w:space="0" w:color="auto"/>
              <w:right w:val="single" w:sz="4" w:space="0" w:color="auto"/>
            </w:tcBorders>
            <w:vAlign w:val="center"/>
            <w:hideMark/>
          </w:tcPr>
          <w:p w14:paraId="4DBD3BE0" w14:textId="77777777" w:rsidR="002F590A" w:rsidRDefault="002F590A">
            <w:pPr>
              <w:jc w:val="center"/>
              <w:rPr>
                <w:sz w:val="12"/>
                <w:szCs w:val="12"/>
              </w:rPr>
            </w:pPr>
            <w:r>
              <w:rPr>
                <w:sz w:val="12"/>
                <w:szCs w:val="12"/>
              </w:rPr>
              <w:t>Повышение надежности (бесперебойности) услуг теплоснабжения, повышение энергетической эффективности</w:t>
            </w:r>
          </w:p>
        </w:tc>
        <w:tc>
          <w:tcPr>
            <w:tcW w:w="259" w:type="pct"/>
            <w:tcBorders>
              <w:top w:val="single" w:sz="4" w:space="0" w:color="auto"/>
              <w:left w:val="single" w:sz="4" w:space="0" w:color="auto"/>
              <w:bottom w:val="single" w:sz="4" w:space="0" w:color="auto"/>
              <w:right w:val="single" w:sz="4" w:space="0" w:color="auto"/>
            </w:tcBorders>
            <w:vAlign w:val="center"/>
            <w:hideMark/>
          </w:tcPr>
          <w:p w14:paraId="6FAEE97F" w14:textId="77777777" w:rsidR="002F590A" w:rsidRDefault="002F590A">
            <w:pPr>
              <w:jc w:val="center"/>
              <w:rPr>
                <w:sz w:val="12"/>
                <w:szCs w:val="12"/>
              </w:rPr>
            </w:pPr>
            <w:r>
              <w:rPr>
                <w:sz w:val="12"/>
                <w:szCs w:val="12"/>
              </w:rPr>
              <w:t> </w:t>
            </w:r>
          </w:p>
        </w:tc>
        <w:tc>
          <w:tcPr>
            <w:tcW w:w="298" w:type="pct"/>
            <w:tcBorders>
              <w:top w:val="single" w:sz="4" w:space="0" w:color="auto"/>
              <w:left w:val="single" w:sz="4" w:space="0" w:color="auto"/>
              <w:bottom w:val="single" w:sz="4" w:space="0" w:color="auto"/>
              <w:right w:val="single" w:sz="4" w:space="0" w:color="auto"/>
            </w:tcBorders>
            <w:vAlign w:val="center"/>
            <w:hideMark/>
          </w:tcPr>
          <w:p w14:paraId="2440A746" w14:textId="77777777" w:rsidR="002F590A" w:rsidRDefault="002F590A">
            <w:pPr>
              <w:jc w:val="center"/>
              <w:rPr>
                <w:sz w:val="12"/>
                <w:szCs w:val="12"/>
              </w:rPr>
            </w:pPr>
            <w:r>
              <w:rPr>
                <w:color w:val="000000"/>
                <w:sz w:val="12"/>
                <w:szCs w:val="12"/>
              </w:rPr>
              <w:t>Технические характеристики</w:t>
            </w:r>
          </w:p>
        </w:tc>
        <w:tc>
          <w:tcPr>
            <w:tcW w:w="130" w:type="pct"/>
            <w:tcBorders>
              <w:top w:val="single" w:sz="4" w:space="0" w:color="auto"/>
              <w:left w:val="single" w:sz="4" w:space="0" w:color="auto"/>
              <w:bottom w:val="single" w:sz="4" w:space="0" w:color="auto"/>
              <w:right w:val="single" w:sz="4" w:space="0" w:color="auto"/>
            </w:tcBorders>
            <w:vAlign w:val="center"/>
          </w:tcPr>
          <w:p w14:paraId="5F5DDEE7" w14:textId="77777777" w:rsidR="002F590A" w:rsidRDefault="002F590A">
            <w:pPr>
              <w:jc w:val="center"/>
              <w:rPr>
                <w:sz w:val="12"/>
                <w:szCs w:val="12"/>
              </w:rPr>
            </w:pPr>
          </w:p>
        </w:tc>
        <w:tc>
          <w:tcPr>
            <w:tcW w:w="359" w:type="pct"/>
            <w:tcBorders>
              <w:top w:val="single" w:sz="4" w:space="0" w:color="auto"/>
              <w:left w:val="single" w:sz="4" w:space="0" w:color="auto"/>
              <w:bottom w:val="single" w:sz="4" w:space="0" w:color="auto"/>
              <w:right w:val="single" w:sz="4" w:space="0" w:color="auto"/>
            </w:tcBorders>
            <w:vAlign w:val="center"/>
            <w:hideMark/>
          </w:tcPr>
          <w:p w14:paraId="2F3D1FC8" w14:textId="77777777" w:rsidR="002F590A" w:rsidRDefault="002F590A">
            <w:pPr>
              <w:jc w:val="center"/>
              <w:rPr>
                <w:sz w:val="12"/>
                <w:szCs w:val="12"/>
              </w:rPr>
            </w:pPr>
            <w:r>
              <w:rPr>
                <w:sz w:val="12"/>
                <w:szCs w:val="12"/>
              </w:rPr>
              <w:t xml:space="preserve">Теплопроизводительность водогрейного котла (номинальная) -0,63 МВт; КПД котла - 62%; Вид топлива- каменный уголь </w:t>
            </w:r>
          </w:p>
        </w:tc>
        <w:tc>
          <w:tcPr>
            <w:tcW w:w="349" w:type="pct"/>
            <w:tcBorders>
              <w:top w:val="single" w:sz="4" w:space="0" w:color="auto"/>
              <w:left w:val="single" w:sz="4" w:space="0" w:color="auto"/>
              <w:bottom w:val="single" w:sz="4" w:space="0" w:color="auto"/>
              <w:right w:val="single" w:sz="4" w:space="0" w:color="auto"/>
            </w:tcBorders>
            <w:vAlign w:val="center"/>
            <w:hideMark/>
          </w:tcPr>
          <w:p w14:paraId="56F909A8" w14:textId="77777777" w:rsidR="002F590A" w:rsidRDefault="002F590A">
            <w:pPr>
              <w:jc w:val="center"/>
              <w:rPr>
                <w:color w:val="000000"/>
                <w:sz w:val="12"/>
                <w:szCs w:val="12"/>
              </w:rPr>
            </w:pPr>
            <w:r>
              <w:rPr>
                <w:sz w:val="12"/>
                <w:szCs w:val="12"/>
              </w:rPr>
              <w:t>Оборудование с техническими характеристиками не ниже существующего на объекте.</w:t>
            </w:r>
            <w:r>
              <w:rPr>
                <w:color w:val="000000"/>
                <w:sz w:val="12"/>
                <w:szCs w:val="12"/>
              </w:rPr>
              <w:t xml:space="preserve"> Вид топлива- каменный уголь </w:t>
            </w:r>
          </w:p>
        </w:tc>
        <w:tc>
          <w:tcPr>
            <w:tcW w:w="131" w:type="pct"/>
            <w:tcBorders>
              <w:top w:val="single" w:sz="4" w:space="0" w:color="auto"/>
              <w:left w:val="single" w:sz="4" w:space="0" w:color="auto"/>
              <w:bottom w:val="single" w:sz="4" w:space="0" w:color="auto"/>
              <w:right w:val="single" w:sz="4" w:space="0" w:color="auto"/>
            </w:tcBorders>
            <w:vAlign w:val="center"/>
            <w:hideMark/>
          </w:tcPr>
          <w:p w14:paraId="2AF44F3E" w14:textId="77777777" w:rsidR="002F590A" w:rsidRDefault="002F590A">
            <w:pPr>
              <w:jc w:val="center"/>
              <w:rPr>
                <w:sz w:val="12"/>
                <w:szCs w:val="12"/>
              </w:rPr>
            </w:pPr>
            <w:r>
              <w:rPr>
                <w:sz w:val="12"/>
                <w:szCs w:val="12"/>
              </w:rPr>
              <w:t>2030</w:t>
            </w:r>
          </w:p>
        </w:tc>
        <w:tc>
          <w:tcPr>
            <w:tcW w:w="133" w:type="pct"/>
            <w:tcBorders>
              <w:top w:val="single" w:sz="4" w:space="0" w:color="auto"/>
              <w:left w:val="single" w:sz="4" w:space="0" w:color="auto"/>
              <w:bottom w:val="single" w:sz="4" w:space="0" w:color="auto"/>
              <w:right w:val="single" w:sz="4" w:space="0" w:color="auto"/>
            </w:tcBorders>
            <w:vAlign w:val="center"/>
            <w:hideMark/>
          </w:tcPr>
          <w:p w14:paraId="7990D5DC" w14:textId="77777777" w:rsidR="002F590A" w:rsidRDefault="002F590A">
            <w:pPr>
              <w:jc w:val="center"/>
              <w:rPr>
                <w:sz w:val="12"/>
                <w:szCs w:val="12"/>
              </w:rPr>
            </w:pPr>
            <w:r>
              <w:rPr>
                <w:sz w:val="12"/>
                <w:szCs w:val="12"/>
              </w:rPr>
              <w:t>2030</w:t>
            </w:r>
          </w:p>
        </w:tc>
        <w:tc>
          <w:tcPr>
            <w:tcW w:w="198" w:type="pct"/>
            <w:tcBorders>
              <w:top w:val="single" w:sz="4" w:space="0" w:color="auto"/>
              <w:left w:val="single" w:sz="4" w:space="0" w:color="auto"/>
              <w:bottom w:val="single" w:sz="4" w:space="0" w:color="auto"/>
              <w:right w:val="single" w:sz="4" w:space="0" w:color="auto"/>
            </w:tcBorders>
            <w:vAlign w:val="center"/>
            <w:hideMark/>
          </w:tcPr>
          <w:p w14:paraId="44695F0B" w14:textId="77777777" w:rsidR="002F590A" w:rsidRDefault="002F590A">
            <w:pPr>
              <w:jc w:val="center"/>
              <w:rPr>
                <w:color w:val="000000"/>
                <w:sz w:val="12"/>
                <w:szCs w:val="12"/>
              </w:rPr>
            </w:pPr>
            <w:r>
              <w:rPr>
                <w:color w:val="000000"/>
                <w:sz w:val="12"/>
                <w:szCs w:val="12"/>
              </w:rPr>
              <w:t>2052,02</w:t>
            </w:r>
          </w:p>
        </w:tc>
        <w:tc>
          <w:tcPr>
            <w:tcW w:w="178" w:type="pct"/>
            <w:tcBorders>
              <w:top w:val="single" w:sz="4" w:space="0" w:color="auto"/>
              <w:left w:val="single" w:sz="4" w:space="0" w:color="auto"/>
              <w:bottom w:val="single" w:sz="4" w:space="0" w:color="auto"/>
              <w:right w:val="single" w:sz="4" w:space="0" w:color="auto"/>
            </w:tcBorders>
            <w:vAlign w:val="center"/>
            <w:hideMark/>
          </w:tcPr>
          <w:p w14:paraId="1970083C" w14:textId="77777777" w:rsidR="002F590A" w:rsidRDefault="002F590A">
            <w:pPr>
              <w:jc w:val="center"/>
              <w:rPr>
                <w:color w:val="000000"/>
                <w:sz w:val="12"/>
                <w:szCs w:val="12"/>
              </w:rPr>
            </w:pPr>
            <w:r>
              <w:rPr>
                <w:color w:val="000000"/>
                <w:sz w:val="12"/>
                <w:szCs w:val="12"/>
              </w:rPr>
              <w:t>0,00</w:t>
            </w:r>
          </w:p>
        </w:tc>
        <w:tc>
          <w:tcPr>
            <w:tcW w:w="218" w:type="pct"/>
            <w:tcBorders>
              <w:top w:val="single" w:sz="4" w:space="0" w:color="auto"/>
              <w:left w:val="single" w:sz="4" w:space="0" w:color="auto"/>
              <w:bottom w:val="single" w:sz="4" w:space="0" w:color="auto"/>
              <w:right w:val="single" w:sz="4" w:space="0" w:color="auto"/>
            </w:tcBorders>
            <w:vAlign w:val="center"/>
            <w:hideMark/>
          </w:tcPr>
          <w:p w14:paraId="79F89419" w14:textId="77777777" w:rsidR="002F590A" w:rsidRDefault="002F590A">
            <w:pPr>
              <w:jc w:val="center"/>
              <w:rPr>
                <w:sz w:val="12"/>
                <w:szCs w:val="12"/>
              </w:rPr>
            </w:pPr>
            <w:r>
              <w:rPr>
                <w:sz w:val="12"/>
                <w:szCs w:val="12"/>
              </w:rPr>
              <w:t>0,00</w:t>
            </w:r>
          </w:p>
        </w:tc>
        <w:tc>
          <w:tcPr>
            <w:tcW w:w="220" w:type="pct"/>
            <w:tcBorders>
              <w:top w:val="single" w:sz="4" w:space="0" w:color="auto"/>
              <w:left w:val="single" w:sz="4" w:space="0" w:color="auto"/>
              <w:bottom w:val="single" w:sz="4" w:space="0" w:color="auto"/>
              <w:right w:val="single" w:sz="4" w:space="0" w:color="auto"/>
            </w:tcBorders>
            <w:vAlign w:val="center"/>
            <w:hideMark/>
          </w:tcPr>
          <w:p w14:paraId="50568D06" w14:textId="77777777" w:rsidR="002F590A" w:rsidRDefault="002F590A">
            <w:pPr>
              <w:jc w:val="center"/>
              <w:rPr>
                <w:sz w:val="12"/>
                <w:szCs w:val="12"/>
              </w:rPr>
            </w:pPr>
            <w:r>
              <w:rPr>
                <w:sz w:val="12"/>
                <w:szCs w:val="12"/>
              </w:rPr>
              <w:t>0,00</w:t>
            </w:r>
          </w:p>
        </w:tc>
        <w:tc>
          <w:tcPr>
            <w:tcW w:w="214" w:type="pct"/>
            <w:tcBorders>
              <w:top w:val="single" w:sz="4" w:space="0" w:color="auto"/>
              <w:left w:val="single" w:sz="4" w:space="0" w:color="auto"/>
              <w:bottom w:val="single" w:sz="4" w:space="0" w:color="auto"/>
              <w:right w:val="single" w:sz="4" w:space="0" w:color="auto"/>
            </w:tcBorders>
            <w:vAlign w:val="center"/>
            <w:hideMark/>
          </w:tcPr>
          <w:p w14:paraId="236D0875" w14:textId="77777777" w:rsidR="002F590A" w:rsidRDefault="002F590A">
            <w:pPr>
              <w:jc w:val="center"/>
              <w:rPr>
                <w:sz w:val="12"/>
                <w:szCs w:val="12"/>
              </w:rPr>
            </w:pPr>
            <w:r>
              <w:rPr>
                <w:sz w:val="12"/>
                <w:szCs w:val="12"/>
              </w:rPr>
              <w:t>0,00</w:t>
            </w:r>
          </w:p>
        </w:tc>
        <w:tc>
          <w:tcPr>
            <w:tcW w:w="179" w:type="pct"/>
            <w:tcBorders>
              <w:top w:val="single" w:sz="4" w:space="0" w:color="auto"/>
              <w:left w:val="single" w:sz="4" w:space="0" w:color="auto"/>
              <w:bottom w:val="single" w:sz="4" w:space="0" w:color="auto"/>
              <w:right w:val="single" w:sz="4" w:space="0" w:color="auto"/>
            </w:tcBorders>
            <w:vAlign w:val="center"/>
            <w:hideMark/>
          </w:tcPr>
          <w:p w14:paraId="28EA2BD9" w14:textId="77777777" w:rsidR="002F590A" w:rsidRDefault="002F590A">
            <w:pPr>
              <w:jc w:val="center"/>
              <w:rPr>
                <w:sz w:val="12"/>
                <w:szCs w:val="12"/>
              </w:rPr>
            </w:pPr>
            <w:r>
              <w:rPr>
                <w:sz w:val="12"/>
                <w:szCs w:val="12"/>
              </w:rPr>
              <w:t>0,00</w:t>
            </w:r>
          </w:p>
        </w:tc>
        <w:tc>
          <w:tcPr>
            <w:tcW w:w="171" w:type="pct"/>
            <w:tcBorders>
              <w:top w:val="single" w:sz="4" w:space="0" w:color="auto"/>
              <w:left w:val="single" w:sz="4" w:space="0" w:color="auto"/>
              <w:bottom w:val="single" w:sz="4" w:space="0" w:color="auto"/>
              <w:right w:val="single" w:sz="4" w:space="0" w:color="auto"/>
            </w:tcBorders>
            <w:vAlign w:val="center"/>
            <w:hideMark/>
          </w:tcPr>
          <w:p w14:paraId="3AA0F847"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4C618A78" w14:textId="77777777" w:rsidR="002F590A" w:rsidRDefault="002F590A">
            <w:pPr>
              <w:jc w:val="center"/>
              <w:rPr>
                <w:sz w:val="12"/>
                <w:szCs w:val="12"/>
              </w:rPr>
            </w:pPr>
            <w:r>
              <w:rPr>
                <w:sz w:val="12"/>
                <w:szCs w:val="12"/>
              </w:rPr>
              <w:t>0,00</w:t>
            </w:r>
          </w:p>
        </w:tc>
        <w:tc>
          <w:tcPr>
            <w:tcW w:w="177" w:type="pct"/>
            <w:tcBorders>
              <w:top w:val="single" w:sz="4" w:space="0" w:color="auto"/>
              <w:left w:val="single" w:sz="4" w:space="0" w:color="auto"/>
              <w:bottom w:val="single" w:sz="4" w:space="0" w:color="auto"/>
              <w:right w:val="single" w:sz="4" w:space="0" w:color="auto"/>
            </w:tcBorders>
            <w:vAlign w:val="center"/>
            <w:hideMark/>
          </w:tcPr>
          <w:p w14:paraId="5509ECCB"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78CE015B"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1217098E" w14:textId="77777777" w:rsidR="002F590A" w:rsidRDefault="002F590A">
            <w:pPr>
              <w:jc w:val="center"/>
              <w:rPr>
                <w:sz w:val="12"/>
                <w:szCs w:val="12"/>
              </w:rPr>
            </w:pPr>
            <w:r>
              <w:rPr>
                <w:sz w:val="12"/>
                <w:szCs w:val="12"/>
              </w:rPr>
              <w:t>2052,02</w:t>
            </w:r>
          </w:p>
        </w:tc>
        <w:tc>
          <w:tcPr>
            <w:tcW w:w="177" w:type="pct"/>
            <w:tcBorders>
              <w:top w:val="single" w:sz="4" w:space="0" w:color="auto"/>
              <w:left w:val="single" w:sz="4" w:space="0" w:color="auto"/>
              <w:bottom w:val="single" w:sz="4" w:space="0" w:color="auto"/>
              <w:right w:val="single" w:sz="4" w:space="0" w:color="auto"/>
            </w:tcBorders>
            <w:vAlign w:val="center"/>
            <w:hideMark/>
          </w:tcPr>
          <w:p w14:paraId="18D64C0E"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703062CA" w14:textId="77777777" w:rsidR="002F590A" w:rsidRDefault="002F590A">
            <w:pPr>
              <w:jc w:val="center"/>
              <w:rPr>
                <w:color w:val="000000"/>
                <w:sz w:val="12"/>
                <w:szCs w:val="12"/>
              </w:rPr>
            </w:pPr>
            <w:r>
              <w:rPr>
                <w:color w:val="000000"/>
                <w:sz w:val="12"/>
                <w:szCs w:val="12"/>
              </w:rPr>
              <w:t>0,00</w:t>
            </w:r>
          </w:p>
        </w:tc>
        <w:tc>
          <w:tcPr>
            <w:tcW w:w="128" w:type="pct"/>
            <w:tcBorders>
              <w:top w:val="single" w:sz="4" w:space="0" w:color="auto"/>
              <w:left w:val="single" w:sz="4" w:space="0" w:color="auto"/>
              <w:bottom w:val="single" w:sz="4" w:space="0" w:color="auto"/>
              <w:right w:val="single" w:sz="4" w:space="0" w:color="auto"/>
            </w:tcBorders>
            <w:vAlign w:val="center"/>
            <w:hideMark/>
          </w:tcPr>
          <w:p w14:paraId="0B4AD7F2" w14:textId="77777777" w:rsidR="002F590A" w:rsidRDefault="002F590A">
            <w:pPr>
              <w:jc w:val="center"/>
              <w:rPr>
                <w:color w:val="000000"/>
                <w:sz w:val="12"/>
                <w:szCs w:val="12"/>
              </w:rPr>
            </w:pPr>
            <w:r>
              <w:rPr>
                <w:color w:val="000000"/>
                <w:sz w:val="12"/>
                <w:szCs w:val="12"/>
              </w:rPr>
              <w:t>0,00</w:t>
            </w:r>
          </w:p>
        </w:tc>
      </w:tr>
      <w:tr w:rsidR="002F590A" w14:paraId="0D3E9FE3" w14:textId="77777777" w:rsidTr="002F590A">
        <w:trPr>
          <w:trHeight w:val="897"/>
        </w:trPr>
        <w:tc>
          <w:tcPr>
            <w:tcW w:w="175" w:type="pct"/>
            <w:tcBorders>
              <w:top w:val="single" w:sz="4" w:space="0" w:color="auto"/>
              <w:left w:val="single" w:sz="4" w:space="0" w:color="auto"/>
              <w:bottom w:val="single" w:sz="4" w:space="0" w:color="auto"/>
              <w:right w:val="single" w:sz="4" w:space="0" w:color="auto"/>
            </w:tcBorders>
            <w:vAlign w:val="center"/>
            <w:hideMark/>
          </w:tcPr>
          <w:p w14:paraId="498E86AC" w14:textId="77777777" w:rsidR="002F590A" w:rsidRDefault="002F590A">
            <w:pPr>
              <w:jc w:val="center"/>
              <w:rPr>
                <w:bCs/>
                <w:sz w:val="12"/>
                <w:szCs w:val="12"/>
              </w:rPr>
            </w:pPr>
            <w:r>
              <w:rPr>
                <w:bCs/>
                <w:sz w:val="12"/>
                <w:szCs w:val="12"/>
              </w:rPr>
              <w:t>3.2.4.</w:t>
            </w:r>
          </w:p>
        </w:tc>
        <w:tc>
          <w:tcPr>
            <w:tcW w:w="262" w:type="pct"/>
            <w:tcBorders>
              <w:top w:val="single" w:sz="4" w:space="0" w:color="auto"/>
              <w:left w:val="single" w:sz="4" w:space="0" w:color="auto"/>
              <w:bottom w:val="single" w:sz="4" w:space="0" w:color="auto"/>
              <w:right w:val="single" w:sz="4" w:space="0" w:color="auto"/>
            </w:tcBorders>
            <w:vAlign w:val="center"/>
            <w:hideMark/>
          </w:tcPr>
          <w:p w14:paraId="7BD13EBC" w14:textId="77777777" w:rsidR="002F590A" w:rsidRDefault="002F590A">
            <w:pPr>
              <w:rPr>
                <w:bCs/>
                <w:color w:val="000000"/>
                <w:sz w:val="12"/>
                <w:szCs w:val="12"/>
              </w:rPr>
            </w:pPr>
            <w:r>
              <w:rPr>
                <w:bCs/>
                <w:color w:val="000000"/>
                <w:sz w:val="12"/>
                <w:szCs w:val="12"/>
              </w:rPr>
              <w:t>Реконструкция котельной №25</w:t>
            </w:r>
          </w:p>
        </w:tc>
        <w:tc>
          <w:tcPr>
            <w:tcW w:w="351" w:type="pct"/>
            <w:tcBorders>
              <w:top w:val="single" w:sz="4" w:space="0" w:color="auto"/>
              <w:left w:val="single" w:sz="4" w:space="0" w:color="auto"/>
              <w:bottom w:val="single" w:sz="4" w:space="0" w:color="auto"/>
              <w:right w:val="single" w:sz="4" w:space="0" w:color="auto"/>
            </w:tcBorders>
            <w:vAlign w:val="center"/>
          </w:tcPr>
          <w:p w14:paraId="2560B2BA" w14:textId="77777777" w:rsidR="002F590A" w:rsidRDefault="002F590A">
            <w:pPr>
              <w:jc w:val="center"/>
              <w:rPr>
                <w:sz w:val="12"/>
                <w:szCs w:val="12"/>
              </w:rPr>
            </w:pPr>
          </w:p>
        </w:tc>
        <w:tc>
          <w:tcPr>
            <w:tcW w:w="259" w:type="pct"/>
            <w:tcBorders>
              <w:top w:val="single" w:sz="4" w:space="0" w:color="auto"/>
              <w:left w:val="single" w:sz="4" w:space="0" w:color="auto"/>
              <w:bottom w:val="single" w:sz="4" w:space="0" w:color="auto"/>
              <w:right w:val="single" w:sz="4" w:space="0" w:color="auto"/>
            </w:tcBorders>
            <w:vAlign w:val="center"/>
            <w:hideMark/>
          </w:tcPr>
          <w:p w14:paraId="09B549F0" w14:textId="77777777" w:rsidR="002F590A" w:rsidRDefault="002F590A">
            <w:pPr>
              <w:jc w:val="center"/>
              <w:rPr>
                <w:bCs/>
                <w:sz w:val="12"/>
                <w:szCs w:val="12"/>
              </w:rPr>
            </w:pPr>
            <w:r>
              <w:rPr>
                <w:bCs/>
                <w:sz w:val="12"/>
                <w:szCs w:val="12"/>
              </w:rPr>
              <w:t xml:space="preserve">Кемеровский </w:t>
            </w:r>
            <w:proofErr w:type="gramStart"/>
            <w:r>
              <w:rPr>
                <w:bCs/>
                <w:sz w:val="12"/>
                <w:szCs w:val="12"/>
              </w:rPr>
              <w:t>муниципаль-ный</w:t>
            </w:r>
            <w:proofErr w:type="gramEnd"/>
            <w:r>
              <w:rPr>
                <w:bCs/>
                <w:sz w:val="12"/>
                <w:szCs w:val="12"/>
              </w:rPr>
              <w:t xml:space="preserve"> округ, Пригородный лесхоз, ГЛД «Старочервов-ская»,</w:t>
            </w:r>
            <w:r>
              <w:rPr>
                <w:bCs/>
                <w:sz w:val="12"/>
                <w:szCs w:val="12"/>
              </w:rPr>
              <w:br/>
              <w:t xml:space="preserve"> в 1414 м., северо-западней д. Ляпки </w:t>
            </w:r>
          </w:p>
        </w:tc>
        <w:tc>
          <w:tcPr>
            <w:tcW w:w="298" w:type="pct"/>
            <w:tcBorders>
              <w:top w:val="single" w:sz="4" w:space="0" w:color="auto"/>
              <w:left w:val="single" w:sz="4" w:space="0" w:color="auto"/>
              <w:bottom w:val="single" w:sz="4" w:space="0" w:color="auto"/>
              <w:right w:val="single" w:sz="4" w:space="0" w:color="auto"/>
            </w:tcBorders>
            <w:vAlign w:val="center"/>
            <w:hideMark/>
          </w:tcPr>
          <w:p w14:paraId="0AE230CA" w14:textId="77777777" w:rsidR="002F590A" w:rsidRDefault="002F590A">
            <w:pPr>
              <w:jc w:val="center"/>
              <w:rPr>
                <w:sz w:val="12"/>
                <w:szCs w:val="12"/>
              </w:rPr>
            </w:pPr>
            <w:r>
              <w:rPr>
                <w:color w:val="000000"/>
                <w:sz w:val="12"/>
                <w:szCs w:val="12"/>
              </w:rPr>
              <w:t>Технические характеристики</w:t>
            </w:r>
          </w:p>
        </w:tc>
        <w:tc>
          <w:tcPr>
            <w:tcW w:w="130" w:type="pct"/>
            <w:tcBorders>
              <w:top w:val="single" w:sz="4" w:space="0" w:color="auto"/>
              <w:left w:val="single" w:sz="4" w:space="0" w:color="auto"/>
              <w:bottom w:val="single" w:sz="4" w:space="0" w:color="auto"/>
              <w:right w:val="single" w:sz="4" w:space="0" w:color="auto"/>
            </w:tcBorders>
            <w:vAlign w:val="center"/>
          </w:tcPr>
          <w:p w14:paraId="22767C7E" w14:textId="77777777" w:rsidR="002F590A" w:rsidRDefault="002F590A">
            <w:pPr>
              <w:jc w:val="center"/>
              <w:rPr>
                <w:sz w:val="12"/>
                <w:szCs w:val="12"/>
              </w:rPr>
            </w:pPr>
          </w:p>
        </w:tc>
        <w:tc>
          <w:tcPr>
            <w:tcW w:w="359" w:type="pct"/>
            <w:tcBorders>
              <w:top w:val="single" w:sz="4" w:space="0" w:color="auto"/>
              <w:left w:val="single" w:sz="4" w:space="0" w:color="auto"/>
              <w:bottom w:val="single" w:sz="4" w:space="0" w:color="auto"/>
              <w:right w:val="single" w:sz="4" w:space="0" w:color="auto"/>
            </w:tcBorders>
            <w:vAlign w:val="center"/>
            <w:hideMark/>
          </w:tcPr>
          <w:p w14:paraId="3692AFB6" w14:textId="77777777" w:rsidR="002F590A" w:rsidRDefault="002F590A">
            <w:pPr>
              <w:jc w:val="center"/>
              <w:rPr>
                <w:sz w:val="12"/>
                <w:szCs w:val="12"/>
              </w:rPr>
            </w:pPr>
            <w:r>
              <w:rPr>
                <w:sz w:val="12"/>
                <w:szCs w:val="12"/>
              </w:rPr>
              <w:t> </w:t>
            </w:r>
          </w:p>
        </w:tc>
        <w:tc>
          <w:tcPr>
            <w:tcW w:w="349" w:type="pct"/>
            <w:tcBorders>
              <w:top w:val="single" w:sz="4" w:space="0" w:color="auto"/>
              <w:left w:val="single" w:sz="4" w:space="0" w:color="auto"/>
              <w:bottom w:val="single" w:sz="4" w:space="0" w:color="auto"/>
              <w:right w:val="single" w:sz="4" w:space="0" w:color="auto"/>
            </w:tcBorders>
            <w:vAlign w:val="center"/>
            <w:hideMark/>
          </w:tcPr>
          <w:p w14:paraId="346BACF7" w14:textId="77777777" w:rsidR="002F590A" w:rsidRDefault="002F590A">
            <w:pPr>
              <w:jc w:val="center"/>
              <w:rPr>
                <w:color w:val="000000"/>
                <w:sz w:val="12"/>
                <w:szCs w:val="12"/>
              </w:rPr>
            </w:pPr>
            <w:r>
              <w:rPr>
                <w:color w:val="000000"/>
                <w:sz w:val="12"/>
                <w:szCs w:val="12"/>
              </w:rPr>
              <w:t> </w:t>
            </w:r>
          </w:p>
        </w:tc>
        <w:tc>
          <w:tcPr>
            <w:tcW w:w="131" w:type="pct"/>
            <w:tcBorders>
              <w:top w:val="single" w:sz="4" w:space="0" w:color="auto"/>
              <w:left w:val="single" w:sz="4" w:space="0" w:color="auto"/>
              <w:bottom w:val="single" w:sz="4" w:space="0" w:color="auto"/>
              <w:right w:val="single" w:sz="4" w:space="0" w:color="auto"/>
            </w:tcBorders>
            <w:vAlign w:val="center"/>
          </w:tcPr>
          <w:p w14:paraId="21D73D06" w14:textId="77777777" w:rsidR="002F590A" w:rsidRDefault="002F590A">
            <w:pPr>
              <w:jc w:val="center"/>
              <w:rPr>
                <w:sz w:val="12"/>
                <w:szCs w:val="12"/>
              </w:rPr>
            </w:pPr>
          </w:p>
        </w:tc>
        <w:tc>
          <w:tcPr>
            <w:tcW w:w="133" w:type="pct"/>
            <w:tcBorders>
              <w:top w:val="single" w:sz="4" w:space="0" w:color="auto"/>
              <w:left w:val="single" w:sz="4" w:space="0" w:color="auto"/>
              <w:bottom w:val="single" w:sz="4" w:space="0" w:color="auto"/>
              <w:right w:val="single" w:sz="4" w:space="0" w:color="auto"/>
            </w:tcBorders>
            <w:vAlign w:val="center"/>
          </w:tcPr>
          <w:p w14:paraId="594CD8FC" w14:textId="77777777" w:rsidR="002F590A" w:rsidRDefault="002F590A">
            <w:pPr>
              <w:jc w:val="center"/>
              <w:rPr>
                <w:sz w:val="12"/>
                <w:szCs w:val="12"/>
              </w:rPr>
            </w:pPr>
          </w:p>
        </w:tc>
        <w:tc>
          <w:tcPr>
            <w:tcW w:w="198" w:type="pct"/>
            <w:tcBorders>
              <w:top w:val="single" w:sz="4" w:space="0" w:color="auto"/>
              <w:left w:val="single" w:sz="4" w:space="0" w:color="auto"/>
              <w:bottom w:val="single" w:sz="4" w:space="0" w:color="auto"/>
              <w:right w:val="single" w:sz="4" w:space="0" w:color="auto"/>
            </w:tcBorders>
            <w:vAlign w:val="center"/>
          </w:tcPr>
          <w:p w14:paraId="742D1229" w14:textId="77777777" w:rsidR="002F590A" w:rsidRDefault="002F590A">
            <w:pPr>
              <w:jc w:val="center"/>
              <w:rPr>
                <w:color w:val="000000"/>
                <w:sz w:val="12"/>
                <w:szCs w:val="12"/>
              </w:rPr>
            </w:pPr>
          </w:p>
        </w:tc>
        <w:tc>
          <w:tcPr>
            <w:tcW w:w="178" w:type="pct"/>
            <w:tcBorders>
              <w:top w:val="single" w:sz="4" w:space="0" w:color="auto"/>
              <w:left w:val="single" w:sz="4" w:space="0" w:color="auto"/>
              <w:bottom w:val="single" w:sz="4" w:space="0" w:color="auto"/>
              <w:right w:val="single" w:sz="4" w:space="0" w:color="auto"/>
            </w:tcBorders>
            <w:vAlign w:val="center"/>
          </w:tcPr>
          <w:p w14:paraId="001EAE34" w14:textId="77777777" w:rsidR="002F590A" w:rsidRDefault="002F590A">
            <w:pPr>
              <w:jc w:val="center"/>
              <w:rPr>
                <w:color w:val="000000"/>
                <w:sz w:val="12"/>
                <w:szCs w:val="12"/>
              </w:rPr>
            </w:pPr>
          </w:p>
        </w:tc>
        <w:tc>
          <w:tcPr>
            <w:tcW w:w="218" w:type="pct"/>
            <w:tcBorders>
              <w:top w:val="single" w:sz="4" w:space="0" w:color="auto"/>
              <w:left w:val="single" w:sz="4" w:space="0" w:color="auto"/>
              <w:bottom w:val="single" w:sz="4" w:space="0" w:color="auto"/>
              <w:right w:val="single" w:sz="4" w:space="0" w:color="auto"/>
            </w:tcBorders>
            <w:vAlign w:val="center"/>
          </w:tcPr>
          <w:p w14:paraId="340DA562" w14:textId="77777777" w:rsidR="002F590A" w:rsidRDefault="002F590A">
            <w:pPr>
              <w:jc w:val="center"/>
              <w:rPr>
                <w:sz w:val="12"/>
                <w:szCs w:val="12"/>
              </w:rPr>
            </w:pPr>
          </w:p>
        </w:tc>
        <w:tc>
          <w:tcPr>
            <w:tcW w:w="220" w:type="pct"/>
            <w:tcBorders>
              <w:top w:val="single" w:sz="4" w:space="0" w:color="auto"/>
              <w:left w:val="single" w:sz="4" w:space="0" w:color="auto"/>
              <w:bottom w:val="single" w:sz="4" w:space="0" w:color="auto"/>
              <w:right w:val="single" w:sz="4" w:space="0" w:color="auto"/>
            </w:tcBorders>
            <w:vAlign w:val="center"/>
          </w:tcPr>
          <w:p w14:paraId="0A8E65B1" w14:textId="77777777" w:rsidR="002F590A" w:rsidRDefault="002F590A">
            <w:pPr>
              <w:jc w:val="center"/>
              <w:rPr>
                <w:sz w:val="12"/>
                <w:szCs w:val="12"/>
              </w:rPr>
            </w:pPr>
          </w:p>
        </w:tc>
        <w:tc>
          <w:tcPr>
            <w:tcW w:w="214" w:type="pct"/>
            <w:tcBorders>
              <w:top w:val="single" w:sz="4" w:space="0" w:color="auto"/>
              <w:left w:val="single" w:sz="4" w:space="0" w:color="auto"/>
              <w:bottom w:val="single" w:sz="4" w:space="0" w:color="auto"/>
              <w:right w:val="single" w:sz="4" w:space="0" w:color="auto"/>
            </w:tcBorders>
            <w:vAlign w:val="center"/>
          </w:tcPr>
          <w:p w14:paraId="13DFE4EF" w14:textId="77777777" w:rsidR="002F590A" w:rsidRDefault="002F590A">
            <w:pPr>
              <w:jc w:val="center"/>
              <w:rPr>
                <w:sz w:val="12"/>
                <w:szCs w:val="12"/>
              </w:rPr>
            </w:pPr>
          </w:p>
        </w:tc>
        <w:tc>
          <w:tcPr>
            <w:tcW w:w="179" w:type="pct"/>
            <w:tcBorders>
              <w:top w:val="single" w:sz="4" w:space="0" w:color="auto"/>
              <w:left w:val="single" w:sz="4" w:space="0" w:color="auto"/>
              <w:bottom w:val="single" w:sz="4" w:space="0" w:color="auto"/>
              <w:right w:val="single" w:sz="4" w:space="0" w:color="auto"/>
            </w:tcBorders>
            <w:vAlign w:val="center"/>
          </w:tcPr>
          <w:p w14:paraId="0F5E700E" w14:textId="77777777" w:rsidR="002F590A" w:rsidRDefault="002F590A">
            <w:pPr>
              <w:jc w:val="center"/>
              <w:rPr>
                <w:sz w:val="12"/>
                <w:szCs w:val="12"/>
              </w:rPr>
            </w:pPr>
          </w:p>
        </w:tc>
        <w:tc>
          <w:tcPr>
            <w:tcW w:w="171" w:type="pct"/>
            <w:tcBorders>
              <w:top w:val="single" w:sz="4" w:space="0" w:color="auto"/>
              <w:left w:val="single" w:sz="4" w:space="0" w:color="auto"/>
              <w:bottom w:val="single" w:sz="4" w:space="0" w:color="auto"/>
              <w:right w:val="single" w:sz="4" w:space="0" w:color="auto"/>
            </w:tcBorders>
            <w:vAlign w:val="center"/>
          </w:tcPr>
          <w:p w14:paraId="34FD8AA6" w14:textId="77777777" w:rsidR="002F590A" w:rsidRDefault="002F590A">
            <w:pPr>
              <w:jc w:val="center"/>
              <w:rPr>
                <w:sz w:val="12"/>
                <w:szCs w:val="12"/>
              </w:rPr>
            </w:pPr>
          </w:p>
        </w:tc>
        <w:tc>
          <w:tcPr>
            <w:tcW w:w="173" w:type="pct"/>
            <w:tcBorders>
              <w:top w:val="single" w:sz="4" w:space="0" w:color="auto"/>
              <w:left w:val="single" w:sz="4" w:space="0" w:color="auto"/>
              <w:bottom w:val="single" w:sz="4" w:space="0" w:color="auto"/>
              <w:right w:val="single" w:sz="4" w:space="0" w:color="auto"/>
            </w:tcBorders>
            <w:vAlign w:val="center"/>
          </w:tcPr>
          <w:p w14:paraId="7DBCD9AB" w14:textId="77777777" w:rsidR="002F590A" w:rsidRDefault="002F590A">
            <w:pPr>
              <w:jc w:val="center"/>
              <w:rPr>
                <w:sz w:val="12"/>
                <w:szCs w:val="12"/>
              </w:rPr>
            </w:pPr>
          </w:p>
        </w:tc>
        <w:tc>
          <w:tcPr>
            <w:tcW w:w="177" w:type="pct"/>
            <w:tcBorders>
              <w:top w:val="single" w:sz="4" w:space="0" w:color="auto"/>
              <w:left w:val="single" w:sz="4" w:space="0" w:color="auto"/>
              <w:bottom w:val="single" w:sz="4" w:space="0" w:color="auto"/>
              <w:right w:val="single" w:sz="4" w:space="0" w:color="auto"/>
            </w:tcBorders>
            <w:vAlign w:val="center"/>
          </w:tcPr>
          <w:p w14:paraId="50F76D61" w14:textId="77777777" w:rsidR="002F590A" w:rsidRDefault="002F590A">
            <w:pPr>
              <w:jc w:val="center"/>
              <w:rPr>
                <w:sz w:val="12"/>
                <w:szCs w:val="12"/>
              </w:rPr>
            </w:pPr>
          </w:p>
        </w:tc>
        <w:tc>
          <w:tcPr>
            <w:tcW w:w="173" w:type="pct"/>
            <w:tcBorders>
              <w:top w:val="single" w:sz="4" w:space="0" w:color="auto"/>
              <w:left w:val="single" w:sz="4" w:space="0" w:color="auto"/>
              <w:bottom w:val="single" w:sz="4" w:space="0" w:color="auto"/>
              <w:right w:val="single" w:sz="4" w:space="0" w:color="auto"/>
            </w:tcBorders>
            <w:vAlign w:val="center"/>
          </w:tcPr>
          <w:p w14:paraId="3F2C109C" w14:textId="77777777" w:rsidR="002F590A" w:rsidRDefault="002F590A">
            <w:pPr>
              <w:jc w:val="center"/>
              <w:rPr>
                <w:sz w:val="12"/>
                <w:szCs w:val="12"/>
              </w:rPr>
            </w:pPr>
          </w:p>
        </w:tc>
        <w:tc>
          <w:tcPr>
            <w:tcW w:w="173" w:type="pct"/>
            <w:tcBorders>
              <w:top w:val="single" w:sz="4" w:space="0" w:color="auto"/>
              <w:left w:val="single" w:sz="4" w:space="0" w:color="auto"/>
              <w:bottom w:val="single" w:sz="4" w:space="0" w:color="auto"/>
              <w:right w:val="single" w:sz="4" w:space="0" w:color="auto"/>
            </w:tcBorders>
            <w:vAlign w:val="center"/>
          </w:tcPr>
          <w:p w14:paraId="1885F981" w14:textId="77777777" w:rsidR="002F590A" w:rsidRDefault="002F590A">
            <w:pPr>
              <w:jc w:val="center"/>
              <w:rPr>
                <w:sz w:val="12"/>
                <w:szCs w:val="12"/>
              </w:rPr>
            </w:pPr>
          </w:p>
        </w:tc>
        <w:tc>
          <w:tcPr>
            <w:tcW w:w="177" w:type="pct"/>
            <w:tcBorders>
              <w:top w:val="single" w:sz="4" w:space="0" w:color="auto"/>
              <w:left w:val="single" w:sz="4" w:space="0" w:color="auto"/>
              <w:bottom w:val="single" w:sz="4" w:space="0" w:color="auto"/>
              <w:right w:val="single" w:sz="4" w:space="0" w:color="auto"/>
            </w:tcBorders>
            <w:vAlign w:val="center"/>
          </w:tcPr>
          <w:p w14:paraId="66C1929E" w14:textId="77777777" w:rsidR="002F590A" w:rsidRDefault="002F590A">
            <w:pPr>
              <w:jc w:val="center"/>
              <w:rPr>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2B229F8D" w14:textId="77777777" w:rsidR="002F590A" w:rsidRDefault="002F590A">
            <w:pPr>
              <w:jc w:val="center"/>
              <w:rPr>
                <w:color w:val="000000"/>
                <w:sz w:val="12"/>
                <w:szCs w:val="12"/>
              </w:rPr>
            </w:pPr>
          </w:p>
        </w:tc>
        <w:tc>
          <w:tcPr>
            <w:tcW w:w="128" w:type="pct"/>
            <w:tcBorders>
              <w:top w:val="single" w:sz="4" w:space="0" w:color="auto"/>
              <w:left w:val="single" w:sz="4" w:space="0" w:color="auto"/>
              <w:bottom w:val="single" w:sz="4" w:space="0" w:color="auto"/>
              <w:right w:val="single" w:sz="4" w:space="0" w:color="auto"/>
            </w:tcBorders>
            <w:vAlign w:val="center"/>
          </w:tcPr>
          <w:p w14:paraId="6A4FAA21" w14:textId="77777777" w:rsidR="002F590A" w:rsidRDefault="002F590A">
            <w:pPr>
              <w:jc w:val="center"/>
              <w:rPr>
                <w:color w:val="000000"/>
                <w:sz w:val="12"/>
                <w:szCs w:val="12"/>
              </w:rPr>
            </w:pPr>
          </w:p>
        </w:tc>
      </w:tr>
      <w:tr w:rsidR="002F590A" w14:paraId="423E0BD4" w14:textId="77777777" w:rsidTr="002F590A">
        <w:trPr>
          <w:trHeight w:val="897"/>
        </w:trPr>
        <w:tc>
          <w:tcPr>
            <w:tcW w:w="175" w:type="pct"/>
            <w:tcBorders>
              <w:top w:val="single" w:sz="4" w:space="0" w:color="auto"/>
              <w:left w:val="single" w:sz="4" w:space="0" w:color="auto"/>
              <w:bottom w:val="single" w:sz="4" w:space="0" w:color="auto"/>
              <w:right w:val="single" w:sz="4" w:space="0" w:color="auto"/>
            </w:tcBorders>
            <w:vAlign w:val="center"/>
            <w:hideMark/>
          </w:tcPr>
          <w:p w14:paraId="36889085" w14:textId="77777777" w:rsidR="002F590A" w:rsidRDefault="002F590A">
            <w:pPr>
              <w:jc w:val="center"/>
              <w:rPr>
                <w:sz w:val="12"/>
                <w:szCs w:val="12"/>
              </w:rPr>
            </w:pPr>
            <w:r>
              <w:rPr>
                <w:sz w:val="12"/>
                <w:szCs w:val="12"/>
              </w:rPr>
              <w:t>3.2.4.1</w:t>
            </w:r>
          </w:p>
        </w:tc>
        <w:tc>
          <w:tcPr>
            <w:tcW w:w="262" w:type="pct"/>
            <w:tcBorders>
              <w:top w:val="single" w:sz="4" w:space="0" w:color="auto"/>
              <w:left w:val="single" w:sz="4" w:space="0" w:color="auto"/>
              <w:bottom w:val="single" w:sz="4" w:space="0" w:color="auto"/>
              <w:right w:val="single" w:sz="4" w:space="0" w:color="auto"/>
            </w:tcBorders>
            <w:vAlign w:val="center"/>
            <w:hideMark/>
          </w:tcPr>
          <w:p w14:paraId="301D1BFA" w14:textId="77777777" w:rsidR="002F590A" w:rsidRDefault="002F590A">
            <w:pPr>
              <w:rPr>
                <w:color w:val="000000"/>
                <w:sz w:val="12"/>
                <w:szCs w:val="12"/>
              </w:rPr>
            </w:pPr>
            <w:r>
              <w:rPr>
                <w:color w:val="000000"/>
                <w:sz w:val="12"/>
                <w:szCs w:val="12"/>
              </w:rPr>
              <w:t>Реконструкция подпиточного насоса № 1</w:t>
            </w:r>
          </w:p>
        </w:tc>
        <w:tc>
          <w:tcPr>
            <w:tcW w:w="351" w:type="pct"/>
            <w:tcBorders>
              <w:top w:val="single" w:sz="4" w:space="0" w:color="auto"/>
              <w:left w:val="single" w:sz="4" w:space="0" w:color="auto"/>
              <w:bottom w:val="single" w:sz="4" w:space="0" w:color="auto"/>
              <w:right w:val="single" w:sz="4" w:space="0" w:color="auto"/>
            </w:tcBorders>
            <w:vAlign w:val="center"/>
            <w:hideMark/>
          </w:tcPr>
          <w:p w14:paraId="67C7219B" w14:textId="77777777" w:rsidR="002F590A" w:rsidRDefault="002F590A">
            <w:pPr>
              <w:jc w:val="center"/>
              <w:rPr>
                <w:sz w:val="12"/>
                <w:szCs w:val="12"/>
              </w:rPr>
            </w:pPr>
            <w:r>
              <w:rPr>
                <w:sz w:val="12"/>
                <w:szCs w:val="12"/>
              </w:rPr>
              <w:t>Повышение надежности (бесперебойности) услуг теплоснабжения, повышение энергетической эффективности</w:t>
            </w:r>
          </w:p>
        </w:tc>
        <w:tc>
          <w:tcPr>
            <w:tcW w:w="259" w:type="pct"/>
            <w:tcBorders>
              <w:top w:val="single" w:sz="4" w:space="0" w:color="auto"/>
              <w:left w:val="single" w:sz="4" w:space="0" w:color="auto"/>
              <w:bottom w:val="single" w:sz="4" w:space="0" w:color="auto"/>
              <w:right w:val="single" w:sz="4" w:space="0" w:color="auto"/>
            </w:tcBorders>
            <w:vAlign w:val="center"/>
            <w:hideMark/>
          </w:tcPr>
          <w:p w14:paraId="5D6124B4" w14:textId="77777777" w:rsidR="002F590A" w:rsidRDefault="002F590A">
            <w:pPr>
              <w:jc w:val="center"/>
              <w:rPr>
                <w:sz w:val="12"/>
                <w:szCs w:val="12"/>
              </w:rPr>
            </w:pPr>
            <w:r>
              <w:rPr>
                <w:sz w:val="12"/>
                <w:szCs w:val="12"/>
              </w:rPr>
              <w:t> </w:t>
            </w:r>
          </w:p>
        </w:tc>
        <w:tc>
          <w:tcPr>
            <w:tcW w:w="298" w:type="pct"/>
            <w:tcBorders>
              <w:top w:val="single" w:sz="4" w:space="0" w:color="auto"/>
              <w:left w:val="single" w:sz="4" w:space="0" w:color="auto"/>
              <w:bottom w:val="single" w:sz="4" w:space="0" w:color="auto"/>
              <w:right w:val="single" w:sz="4" w:space="0" w:color="auto"/>
            </w:tcBorders>
            <w:vAlign w:val="center"/>
            <w:hideMark/>
          </w:tcPr>
          <w:p w14:paraId="72C9EEB8" w14:textId="77777777" w:rsidR="002F590A" w:rsidRDefault="002F590A">
            <w:pPr>
              <w:jc w:val="center"/>
              <w:rPr>
                <w:sz w:val="12"/>
                <w:szCs w:val="12"/>
              </w:rPr>
            </w:pPr>
            <w:r>
              <w:rPr>
                <w:color w:val="000000"/>
                <w:sz w:val="12"/>
                <w:szCs w:val="12"/>
              </w:rPr>
              <w:t>Технические характеристики</w:t>
            </w:r>
          </w:p>
        </w:tc>
        <w:tc>
          <w:tcPr>
            <w:tcW w:w="130" w:type="pct"/>
            <w:tcBorders>
              <w:top w:val="single" w:sz="4" w:space="0" w:color="auto"/>
              <w:left w:val="single" w:sz="4" w:space="0" w:color="auto"/>
              <w:bottom w:val="single" w:sz="4" w:space="0" w:color="auto"/>
              <w:right w:val="single" w:sz="4" w:space="0" w:color="auto"/>
            </w:tcBorders>
            <w:vAlign w:val="center"/>
          </w:tcPr>
          <w:p w14:paraId="47D8072C" w14:textId="77777777" w:rsidR="002F590A" w:rsidRDefault="002F590A">
            <w:pPr>
              <w:jc w:val="center"/>
              <w:rPr>
                <w:sz w:val="12"/>
                <w:szCs w:val="12"/>
              </w:rPr>
            </w:pPr>
          </w:p>
        </w:tc>
        <w:tc>
          <w:tcPr>
            <w:tcW w:w="35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598066A" w14:textId="77777777" w:rsidR="002F590A" w:rsidRDefault="002F590A">
            <w:pPr>
              <w:spacing w:before="100" w:beforeAutospacing="1" w:after="100" w:afterAutospacing="1"/>
              <w:jc w:val="center"/>
              <w:rPr>
                <w:color w:val="2C2D2E"/>
                <w:sz w:val="12"/>
                <w:szCs w:val="12"/>
              </w:rPr>
            </w:pPr>
            <w:r>
              <w:rPr>
                <w:color w:val="2C2D2E"/>
                <w:sz w:val="12"/>
                <w:szCs w:val="12"/>
              </w:rPr>
              <w:t>Насос марки К 80-65-160, промышленный, центробежный, консольного типа. Перекачивает чистую техническую воду с температурой до 85 °С. Материал корпуса и крыльчатки – чугун СЧ20, вал – сталь. Подача — 20 м³/ч, напор – 30 м.</w:t>
            </w:r>
          </w:p>
        </w:tc>
        <w:tc>
          <w:tcPr>
            <w:tcW w:w="34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43AEBC5" w14:textId="77777777" w:rsidR="002F590A" w:rsidRDefault="002F590A">
            <w:pPr>
              <w:spacing w:before="100" w:beforeAutospacing="1" w:after="100" w:afterAutospacing="1"/>
              <w:jc w:val="center"/>
              <w:rPr>
                <w:color w:val="2C2D2E"/>
                <w:sz w:val="12"/>
                <w:szCs w:val="12"/>
              </w:rPr>
            </w:pPr>
            <w:r>
              <w:rPr>
                <w:color w:val="2C2D2E"/>
                <w:sz w:val="12"/>
                <w:szCs w:val="12"/>
              </w:rPr>
              <w:t>Оборудование с техническими характеристиками не ниже существующего на объекте</w:t>
            </w:r>
            <w:r>
              <w:rPr>
                <w:color w:val="000000"/>
                <w:sz w:val="12"/>
                <w:szCs w:val="12"/>
              </w:rPr>
              <w:t>.</w:t>
            </w:r>
          </w:p>
        </w:tc>
        <w:tc>
          <w:tcPr>
            <w:tcW w:w="131" w:type="pct"/>
            <w:tcBorders>
              <w:top w:val="single" w:sz="4" w:space="0" w:color="auto"/>
              <w:left w:val="single" w:sz="4" w:space="0" w:color="auto"/>
              <w:bottom w:val="single" w:sz="4" w:space="0" w:color="auto"/>
              <w:right w:val="single" w:sz="4" w:space="0" w:color="auto"/>
            </w:tcBorders>
            <w:vAlign w:val="center"/>
            <w:hideMark/>
          </w:tcPr>
          <w:p w14:paraId="1373C78D" w14:textId="77777777" w:rsidR="002F590A" w:rsidRDefault="002F590A">
            <w:pPr>
              <w:jc w:val="center"/>
              <w:rPr>
                <w:sz w:val="12"/>
                <w:szCs w:val="12"/>
              </w:rPr>
            </w:pPr>
            <w:r>
              <w:rPr>
                <w:sz w:val="12"/>
                <w:szCs w:val="12"/>
              </w:rPr>
              <w:t>2029</w:t>
            </w:r>
          </w:p>
        </w:tc>
        <w:tc>
          <w:tcPr>
            <w:tcW w:w="133" w:type="pct"/>
            <w:tcBorders>
              <w:top w:val="single" w:sz="4" w:space="0" w:color="auto"/>
              <w:left w:val="single" w:sz="4" w:space="0" w:color="auto"/>
              <w:bottom w:val="single" w:sz="4" w:space="0" w:color="auto"/>
              <w:right w:val="single" w:sz="4" w:space="0" w:color="auto"/>
            </w:tcBorders>
            <w:vAlign w:val="center"/>
            <w:hideMark/>
          </w:tcPr>
          <w:p w14:paraId="5BBB1DC0" w14:textId="77777777" w:rsidR="002F590A" w:rsidRDefault="002F590A">
            <w:pPr>
              <w:jc w:val="center"/>
              <w:rPr>
                <w:sz w:val="12"/>
                <w:szCs w:val="12"/>
              </w:rPr>
            </w:pPr>
            <w:r>
              <w:rPr>
                <w:sz w:val="12"/>
                <w:szCs w:val="12"/>
              </w:rPr>
              <w:t>2029</w:t>
            </w:r>
          </w:p>
        </w:tc>
        <w:tc>
          <w:tcPr>
            <w:tcW w:w="198" w:type="pct"/>
            <w:tcBorders>
              <w:top w:val="single" w:sz="4" w:space="0" w:color="auto"/>
              <w:left w:val="single" w:sz="4" w:space="0" w:color="auto"/>
              <w:bottom w:val="single" w:sz="4" w:space="0" w:color="auto"/>
              <w:right w:val="single" w:sz="4" w:space="0" w:color="auto"/>
            </w:tcBorders>
            <w:vAlign w:val="center"/>
            <w:hideMark/>
          </w:tcPr>
          <w:p w14:paraId="34712B10" w14:textId="77777777" w:rsidR="002F590A" w:rsidRDefault="002F590A">
            <w:pPr>
              <w:jc w:val="center"/>
              <w:rPr>
                <w:color w:val="000000"/>
                <w:sz w:val="12"/>
                <w:szCs w:val="12"/>
              </w:rPr>
            </w:pPr>
            <w:r>
              <w:rPr>
                <w:color w:val="000000"/>
                <w:sz w:val="12"/>
                <w:szCs w:val="12"/>
              </w:rPr>
              <w:t>188,18</w:t>
            </w:r>
          </w:p>
        </w:tc>
        <w:tc>
          <w:tcPr>
            <w:tcW w:w="178" w:type="pct"/>
            <w:tcBorders>
              <w:top w:val="single" w:sz="4" w:space="0" w:color="auto"/>
              <w:left w:val="single" w:sz="4" w:space="0" w:color="auto"/>
              <w:bottom w:val="single" w:sz="4" w:space="0" w:color="auto"/>
              <w:right w:val="single" w:sz="4" w:space="0" w:color="auto"/>
            </w:tcBorders>
            <w:vAlign w:val="center"/>
            <w:hideMark/>
          </w:tcPr>
          <w:p w14:paraId="748DD642" w14:textId="77777777" w:rsidR="002F590A" w:rsidRDefault="002F590A">
            <w:pPr>
              <w:jc w:val="center"/>
              <w:rPr>
                <w:color w:val="000000"/>
                <w:sz w:val="12"/>
                <w:szCs w:val="12"/>
              </w:rPr>
            </w:pPr>
            <w:r>
              <w:rPr>
                <w:color w:val="000000"/>
                <w:sz w:val="12"/>
                <w:szCs w:val="12"/>
              </w:rPr>
              <w:t>0,00</w:t>
            </w:r>
          </w:p>
        </w:tc>
        <w:tc>
          <w:tcPr>
            <w:tcW w:w="218" w:type="pct"/>
            <w:tcBorders>
              <w:top w:val="single" w:sz="4" w:space="0" w:color="auto"/>
              <w:left w:val="single" w:sz="4" w:space="0" w:color="auto"/>
              <w:bottom w:val="single" w:sz="4" w:space="0" w:color="auto"/>
              <w:right w:val="single" w:sz="4" w:space="0" w:color="auto"/>
            </w:tcBorders>
            <w:vAlign w:val="center"/>
            <w:hideMark/>
          </w:tcPr>
          <w:p w14:paraId="00618CD4" w14:textId="77777777" w:rsidR="002F590A" w:rsidRDefault="002F590A">
            <w:pPr>
              <w:jc w:val="center"/>
              <w:rPr>
                <w:sz w:val="12"/>
                <w:szCs w:val="12"/>
              </w:rPr>
            </w:pPr>
            <w:r>
              <w:rPr>
                <w:sz w:val="12"/>
                <w:szCs w:val="12"/>
              </w:rPr>
              <w:t>0,00</w:t>
            </w:r>
          </w:p>
        </w:tc>
        <w:tc>
          <w:tcPr>
            <w:tcW w:w="220" w:type="pct"/>
            <w:tcBorders>
              <w:top w:val="single" w:sz="4" w:space="0" w:color="auto"/>
              <w:left w:val="single" w:sz="4" w:space="0" w:color="auto"/>
              <w:bottom w:val="single" w:sz="4" w:space="0" w:color="auto"/>
              <w:right w:val="single" w:sz="4" w:space="0" w:color="auto"/>
            </w:tcBorders>
            <w:vAlign w:val="center"/>
            <w:hideMark/>
          </w:tcPr>
          <w:p w14:paraId="39645564" w14:textId="77777777" w:rsidR="002F590A" w:rsidRDefault="002F590A">
            <w:pPr>
              <w:jc w:val="center"/>
              <w:rPr>
                <w:sz w:val="12"/>
                <w:szCs w:val="12"/>
              </w:rPr>
            </w:pPr>
            <w:r>
              <w:rPr>
                <w:sz w:val="12"/>
                <w:szCs w:val="12"/>
              </w:rPr>
              <w:t>0,00</w:t>
            </w:r>
          </w:p>
        </w:tc>
        <w:tc>
          <w:tcPr>
            <w:tcW w:w="214" w:type="pct"/>
            <w:tcBorders>
              <w:top w:val="single" w:sz="4" w:space="0" w:color="auto"/>
              <w:left w:val="single" w:sz="4" w:space="0" w:color="auto"/>
              <w:bottom w:val="single" w:sz="4" w:space="0" w:color="auto"/>
              <w:right w:val="single" w:sz="4" w:space="0" w:color="auto"/>
            </w:tcBorders>
            <w:vAlign w:val="center"/>
            <w:hideMark/>
          </w:tcPr>
          <w:p w14:paraId="592CB5E5" w14:textId="77777777" w:rsidR="002F590A" w:rsidRDefault="002F590A">
            <w:pPr>
              <w:jc w:val="center"/>
              <w:rPr>
                <w:sz w:val="12"/>
                <w:szCs w:val="12"/>
              </w:rPr>
            </w:pPr>
            <w:r>
              <w:rPr>
                <w:sz w:val="12"/>
                <w:szCs w:val="12"/>
              </w:rPr>
              <w:t>0,00</w:t>
            </w:r>
          </w:p>
        </w:tc>
        <w:tc>
          <w:tcPr>
            <w:tcW w:w="179" w:type="pct"/>
            <w:tcBorders>
              <w:top w:val="single" w:sz="4" w:space="0" w:color="auto"/>
              <w:left w:val="single" w:sz="4" w:space="0" w:color="auto"/>
              <w:bottom w:val="single" w:sz="4" w:space="0" w:color="auto"/>
              <w:right w:val="single" w:sz="4" w:space="0" w:color="auto"/>
            </w:tcBorders>
            <w:vAlign w:val="center"/>
            <w:hideMark/>
          </w:tcPr>
          <w:p w14:paraId="234AEEE1" w14:textId="77777777" w:rsidR="002F590A" w:rsidRDefault="002F590A">
            <w:pPr>
              <w:jc w:val="center"/>
              <w:rPr>
                <w:sz w:val="12"/>
                <w:szCs w:val="12"/>
              </w:rPr>
            </w:pPr>
            <w:r>
              <w:rPr>
                <w:sz w:val="12"/>
                <w:szCs w:val="12"/>
              </w:rPr>
              <w:t>0,00</w:t>
            </w:r>
          </w:p>
        </w:tc>
        <w:tc>
          <w:tcPr>
            <w:tcW w:w="171" w:type="pct"/>
            <w:tcBorders>
              <w:top w:val="single" w:sz="4" w:space="0" w:color="auto"/>
              <w:left w:val="single" w:sz="4" w:space="0" w:color="auto"/>
              <w:bottom w:val="single" w:sz="4" w:space="0" w:color="auto"/>
              <w:right w:val="single" w:sz="4" w:space="0" w:color="auto"/>
            </w:tcBorders>
            <w:vAlign w:val="center"/>
            <w:hideMark/>
          </w:tcPr>
          <w:p w14:paraId="0CBAFBAB"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7C557EFF" w14:textId="77777777" w:rsidR="002F590A" w:rsidRDefault="002F590A">
            <w:pPr>
              <w:jc w:val="center"/>
              <w:rPr>
                <w:sz w:val="12"/>
                <w:szCs w:val="12"/>
              </w:rPr>
            </w:pPr>
            <w:r>
              <w:rPr>
                <w:sz w:val="12"/>
                <w:szCs w:val="12"/>
              </w:rPr>
              <w:t>0,00</w:t>
            </w:r>
          </w:p>
        </w:tc>
        <w:tc>
          <w:tcPr>
            <w:tcW w:w="177" w:type="pct"/>
            <w:tcBorders>
              <w:top w:val="single" w:sz="4" w:space="0" w:color="auto"/>
              <w:left w:val="single" w:sz="4" w:space="0" w:color="auto"/>
              <w:bottom w:val="single" w:sz="4" w:space="0" w:color="auto"/>
              <w:right w:val="single" w:sz="4" w:space="0" w:color="auto"/>
            </w:tcBorders>
            <w:vAlign w:val="center"/>
            <w:hideMark/>
          </w:tcPr>
          <w:p w14:paraId="76F5FF75"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56563166" w14:textId="77777777" w:rsidR="002F590A" w:rsidRDefault="002F590A">
            <w:pPr>
              <w:jc w:val="center"/>
              <w:rPr>
                <w:sz w:val="12"/>
                <w:szCs w:val="12"/>
              </w:rPr>
            </w:pPr>
            <w:r>
              <w:rPr>
                <w:sz w:val="12"/>
                <w:szCs w:val="12"/>
              </w:rPr>
              <w:t>188,18</w:t>
            </w:r>
          </w:p>
        </w:tc>
        <w:tc>
          <w:tcPr>
            <w:tcW w:w="173" w:type="pct"/>
            <w:tcBorders>
              <w:top w:val="single" w:sz="4" w:space="0" w:color="auto"/>
              <w:left w:val="single" w:sz="4" w:space="0" w:color="auto"/>
              <w:bottom w:val="single" w:sz="4" w:space="0" w:color="auto"/>
              <w:right w:val="single" w:sz="4" w:space="0" w:color="auto"/>
            </w:tcBorders>
            <w:vAlign w:val="center"/>
            <w:hideMark/>
          </w:tcPr>
          <w:p w14:paraId="43B206AC" w14:textId="77777777" w:rsidR="002F590A" w:rsidRDefault="002F590A">
            <w:pPr>
              <w:jc w:val="center"/>
              <w:rPr>
                <w:sz w:val="12"/>
                <w:szCs w:val="12"/>
              </w:rPr>
            </w:pPr>
            <w:r>
              <w:rPr>
                <w:sz w:val="12"/>
                <w:szCs w:val="12"/>
              </w:rPr>
              <w:t>0,00</w:t>
            </w:r>
          </w:p>
        </w:tc>
        <w:tc>
          <w:tcPr>
            <w:tcW w:w="177" w:type="pct"/>
            <w:tcBorders>
              <w:top w:val="single" w:sz="4" w:space="0" w:color="auto"/>
              <w:left w:val="single" w:sz="4" w:space="0" w:color="auto"/>
              <w:bottom w:val="single" w:sz="4" w:space="0" w:color="auto"/>
              <w:right w:val="single" w:sz="4" w:space="0" w:color="auto"/>
            </w:tcBorders>
            <w:vAlign w:val="center"/>
            <w:hideMark/>
          </w:tcPr>
          <w:p w14:paraId="1FB6CE8D"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431EB770" w14:textId="77777777" w:rsidR="002F590A" w:rsidRDefault="002F590A">
            <w:pPr>
              <w:jc w:val="center"/>
              <w:rPr>
                <w:color w:val="000000"/>
                <w:sz w:val="12"/>
                <w:szCs w:val="12"/>
              </w:rPr>
            </w:pPr>
            <w:r>
              <w:rPr>
                <w:color w:val="000000"/>
                <w:sz w:val="12"/>
                <w:szCs w:val="12"/>
              </w:rPr>
              <w:t>0,00</w:t>
            </w:r>
          </w:p>
        </w:tc>
        <w:tc>
          <w:tcPr>
            <w:tcW w:w="128" w:type="pct"/>
            <w:tcBorders>
              <w:top w:val="single" w:sz="4" w:space="0" w:color="auto"/>
              <w:left w:val="single" w:sz="4" w:space="0" w:color="auto"/>
              <w:bottom w:val="single" w:sz="4" w:space="0" w:color="auto"/>
              <w:right w:val="single" w:sz="4" w:space="0" w:color="auto"/>
            </w:tcBorders>
            <w:vAlign w:val="center"/>
            <w:hideMark/>
          </w:tcPr>
          <w:p w14:paraId="0C7010B8" w14:textId="77777777" w:rsidR="002F590A" w:rsidRDefault="002F590A">
            <w:pPr>
              <w:jc w:val="center"/>
              <w:rPr>
                <w:color w:val="000000"/>
                <w:sz w:val="12"/>
                <w:szCs w:val="12"/>
              </w:rPr>
            </w:pPr>
            <w:r>
              <w:rPr>
                <w:color w:val="000000"/>
                <w:sz w:val="12"/>
                <w:szCs w:val="12"/>
              </w:rPr>
              <w:t>0,00</w:t>
            </w:r>
          </w:p>
        </w:tc>
      </w:tr>
    </w:tbl>
    <w:p w14:paraId="6158AB91" w14:textId="77777777" w:rsidR="002F590A" w:rsidRDefault="002F590A" w:rsidP="002F590A">
      <w:pPr>
        <w:rPr>
          <w:sz w:val="12"/>
          <w:szCs w:val="12"/>
        </w:rPr>
      </w:pPr>
    </w:p>
    <w:p w14:paraId="21BAB491" w14:textId="77777777" w:rsidR="002F590A" w:rsidRDefault="002F590A" w:rsidP="002F590A">
      <w:pPr>
        <w:rPr>
          <w:sz w:val="12"/>
          <w:szCs w:val="12"/>
        </w:rPr>
      </w:pPr>
    </w:p>
    <w:p w14:paraId="12ADDED1" w14:textId="77777777" w:rsidR="002F590A" w:rsidRDefault="002F590A" w:rsidP="002F590A">
      <w:pPr>
        <w:rPr>
          <w:sz w:val="12"/>
          <w:szCs w:val="12"/>
        </w:rPr>
      </w:pPr>
    </w:p>
    <w:p w14:paraId="3349BDFC" w14:textId="77777777" w:rsidR="002F590A" w:rsidRDefault="002F590A" w:rsidP="002F590A">
      <w:pPr>
        <w:rPr>
          <w:sz w:val="12"/>
          <w:szCs w:val="12"/>
        </w:rPr>
      </w:pPr>
    </w:p>
    <w:p w14:paraId="2F0A4005" w14:textId="77777777" w:rsidR="002F590A" w:rsidRDefault="002F590A" w:rsidP="002F590A">
      <w:pPr>
        <w:rPr>
          <w:sz w:val="12"/>
          <w:szCs w:val="12"/>
        </w:rPr>
      </w:pPr>
    </w:p>
    <w:p w14:paraId="3746C0A1" w14:textId="77777777" w:rsidR="002F590A" w:rsidRDefault="002F590A" w:rsidP="002F590A">
      <w:pPr>
        <w:rPr>
          <w:sz w:val="12"/>
          <w:szCs w:val="12"/>
        </w:rPr>
      </w:pPr>
    </w:p>
    <w:tbl>
      <w:tblPr>
        <w:tblW w:w="5550" w:type="pct"/>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49"/>
        <w:gridCol w:w="964"/>
        <w:gridCol w:w="1118"/>
        <w:gridCol w:w="820"/>
        <w:gridCol w:w="946"/>
        <w:gridCol w:w="403"/>
        <w:gridCol w:w="1410"/>
        <w:gridCol w:w="1112"/>
        <w:gridCol w:w="405"/>
        <w:gridCol w:w="416"/>
        <w:gridCol w:w="623"/>
        <w:gridCol w:w="558"/>
        <w:gridCol w:w="688"/>
        <w:gridCol w:w="694"/>
        <w:gridCol w:w="675"/>
        <w:gridCol w:w="562"/>
        <w:gridCol w:w="537"/>
        <w:gridCol w:w="543"/>
        <w:gridCol w:w="556"/>
        <w:gridCol w:w="543"/>
        <w:gridCol w:w="543"/>
        <w:gridCol w:w="556"/>
        <w:gridCol w:w="546"/>
        <w:gridCol w:w="395"/>
      </w:tblGrid>
      <w:tr w:rsidR="002F590A" w14:paraId="3F5552B1" w14:textId="77777777" w:rsidTr="002F590A">
        <w:trPr>
          <w:trHeight w:val="232"/>
        </w:trPr>
        <w:tc>
          <w:tcPr>
            <w:tcW w:w="175" w:type="pct"/>
            <w:tcBorders>
              <w:top w:val="single" w:sz="4" w:space="0" w:color="auto"/>
              <w:left w:val="single" w:sz="4" w:space="0" w:color="auto"/>
              <w:bottom w:val="single" w:sz="4" w:space="0" w:color="auto"/>
              <w:right w:val="single" w:sz="4" w:space="0" w:color="auto"/>
            </w:tcBorders>
            <w:vAlign w:val="center"/>
            <w:hideMark/>
          </w:tcPr>
          <w:p w14:paraId="3058BEE6" w14:textId="77777777" w:rsidR="002F590A" w:rsidRDefault="002F590A">
            <w:pPr>
              <w:jc w:val="center"/>
              <w:rPr>
                <w:bCs/>
                <w:sz w:val="12"/>
                <w:szCs w:val="12"/>
              </w:rPr>
            </w:pPr>
            <w:r>
              <w:rPr>
                <w:bCs/>
                <w:sz w:val="12"/>
                <w:szCs w:val="12"/>
              </w:rPr>
              <w:t>1</w:t>
            </w:r>
          </w:p>
        </w:tc>
        <w:tc>
          <w:tcPr>
            <w:tcW w:w="262" w:type="pct"/>
            <w:tcBorders>
              <w:top w:val="single" w:sz="4" w:space="0" w:color="auto"/>
              <w:left w:val="single" w:sz="4" w:space="0" w:color="auto"/>
              <w:bottom w:val="single" w:sz="4" w:space="0" w:color="auto"/>
              <w:right w:val="single" w:sz="4" w:space="0" w:color="auto"/>
            </w:tcBorders>
            <w:vAlign w:val="center"/>
            <w:hideMark/>
          </w:tcPr>
          <w:p w14:paraId="57A0524C" w14:textId="77777777" w:rsidR="002F590A" w:rsidRDefault="002F590A">
            <w:pPr>
              <w:jc w:val="center"/>
              <w:rPr>
                <w:bCs/>
                <w:sz w:val="12"/>
                <w:szCs w:val="12"/>
              </w:rPr>
            </w:pPr>
            <w:r>
              <w:rPr>
                <w:bCs/>
                <w:sz w:val="12"/>
                <w:szCs w:val="12"/>
              </w:rPr>
              <w:t>2</w:t>
            </w:r>
          </w:p>
        </w:tc>
        <w:tc>
          <w:tcPr>
            <w:tcW w:w="351" w:type="pct"/>
            <w:tcBorders>
              <w:top w:val="single" w:sz="4" w:space="0" w:color="auto"/>
              <w:left w:val="single" w:sz="4" w:space="0" w:color="auto"/>
              <w:bottom w:val="single" w:sz="4" w:space="0" w:color="auto"/>
              <w:right w:val="single" w:sz="4" w:space="0" w:color="auto"/>
            </w:tcBorders>
            <w:vAlign w:val="center"/>
            <w:hideMark/>
          </w:tcPr>
          <w:p w14:paraId="3C821828" w14:textId="77777777" w:rsidR="002F590A" w:rsidRDefault="002F590A">
            <w:pPr>
              <w:jc w:val="center"/>
              <w:rPr>
                <w:bCs/>
                <w:sz w:val="12"/>
                <w:szCs w:val="12"/>
              </w:rPr>
            </w:pPr>
            <w:r>
              <w:rPr>
                <w:bCs/>
                <w:sz w:val="12"/>
                <w:szCs w:val="12"/>
              </w:rPr>
              <w:t>3</w:t>
            </w:r>
          </w:p>
        </w:tc>
        <w:tc>
          <w:tcPr>
            <w:tcW w:w="259" w:type="pct"/>
            <w:tcBorders>
              <w:top w:val="single" w:sz="4" w:space="0" w:color="auto"/>
              <w:left w:val="single" w:sz="4" w:space="0" w:color="auto"/>
              <w:bottom w:val="single" w:sz="4" w:space="0" w:color="auto"/>
              <w:right w:val="single" w:sz="4" w:space="0" w:color="auto"/>
            </w:tcBorders>
            <w:vAlign w:val="center"/>
            <w:hideMark/>
          </w:tcPr>
          <w:p w14:paraId="65E59B9C" w14:textId="77777777" w:rsidR="002F590A" w:rsidRDefault="002F590A">
            <w:pPr>
              <w:jc w:val="center"/>
              <w:rPr>
                <w:bCs/>
                <w:sz w:val="12"/>
                <w:szCs w:val="12"/>
              </w:rPr>
            </w:pPr>
            <w:r>
              <w:rPr>
                <w:bCs/>
                <w:sz w:val="12"/>
                <w:szCs w:val="12"/>
              </w:rPr>
              <w:t>4</w:t>
            </w:r>
          </w:p>
        </w:tc>
        <w:tc>
          <w:tcPr>
            <w:tcW w:w="298" w:type="pct"/>
            <w:tcBorders>
              <w:top w:val="single" w:sz="4" w:space="0" w:color="auto"/>
              <w:left w:val="single" w:sz="4" w:space="0" w:color="auto"/>
              <w:bottom w:val="single" w:sz="4" w:space="0" w:color="auto"/>
              <w:right w:val="single" w:sz="4" w:space="0" w:color="auto"/>
            </w:tcBorders>
            <w:vAlign w:val="center"/>
            <w:hideMark/>
          </w:tcPr>
          <w:p w14:paraId="348F8AC9" w14:textId="77777777" w:rsidR="002F590A" w:rsidRDefault="002F590A">
            <w:pPr>
              <w:jc w:val="center"/>
              <w:rPr>
                <w:bCs/>
                <w:sz w:val="12"/>
                <w:szCs w:val="12"/>
              </w:rPr>
            </w:pPr>
            <w:r>
              <w:rPr>
                <w:bCs/>
                <w:sz w:val="12"/>
                <w:szCs w:val="12"/>
              </w:rPr>
              <w:t>5</w:t>
            </w:r>
          </w:p>
        </w:tc>
        <w:tc>
          <w:tcPr>
            <w:tcW w:w="130" w:type="pct"/>
            <w:tcBorders>
              <w:top w:val="single" w:sz="4" w:space="0" w:color="auto"/>
              <w:left w:val="single" w:sz="4" w:space="0" w:color="auto"/>
              <w:bottom w:val="single" w:sz="4" w:space="0" w:color="auto"/>
              <w:right w:val="single" w:sz="4" w:space="0" w:color="auto"/>
            </w:tcBorders>
            <w:vAlign w:val="center"/>
            <w:hideMark/>
          </w:tcPr>
          <w:p w14:paraId="01CC1611" w14:textId="77777777" w:rsidR="002F590A" w:rsidRDefault="002F590A">
            <w:pPr>
              <w:jc w:val="center"/>
              <w:rPr>
                <w:bCs/>
                <w:sz w:val="12"/>
                <w:szCs w:val="12"/>
              </w:rPr>
            </w:pPr>
            <w:r>
              <w:rPr>
                <w:bCs/>
                <w:sz w:val="12"/>
                <w:szCs w:val="12"/>
              </w:rPr>
              <w:t>6</w:t>
            </w:r>
          </w:p>
        </w:tc>
        <w:tc>
          <w:tcPr>
            <w:tcW w:w="359" w:type="pct"/>
            <w:tcBorders>
              <w:top w:val="single" w:sz="4" w:space="0" w:color="auto"/>
              <w:left w:val="single" w:sz="4" w:space="0" w:color="auto"/>
              <w:bottom w:val="single" w:sz="4" w:space="0" w:color="auto"/>
              <w:right w:val="single" w:sz="4" w:space="0" w:color="auto"/>
            </w:tcBorders>
            <w:vAlign w:val="center"/>
            <w:hideMark/>
          </w:tcPr>
          <w:p w14:paraId="0D7743E0" w14:textId="77777777" w:rsidR="002F590A" w:rsidRDefault="002F590A">
            <w:pPr>
              <w:jc w:val="center"/>
              <w:rPr>
                <w:bCs/>
                <w:sz w:val="12"/>
                <w:szCs w:val="12"/>
              </w:rPr>
            </w:pPr>
            <w:r>
              <w:rPr>
                <w:bCs/>
                <w:sz w:val="12"/>
                <w:szCs w:val="12"/>
              </w:rPr>
              <w:t>7</w:t>
            </w:r>
          </w:p>
        </w:tc>
        <w:tc>
          <w:tcPr>
            <w:tcW w:w="349" w:type="pct"/>
            <w:tcBorders>
              <w:top w:val="single" w:sz="4" w:space="0" w:color="auto"/>
              <w:left w:val="single" w:sz="4" w:space="0" w:color="auto"/>
              <w:bottom w:val="single" w:sz="4" w:space="0" w:color="auto"/>
              <w:right w:val="single" w:sz="4" w:space="0" w:color="auto"/>
            </w:tcBorders>
            <w:vAlign w:val="center"/>
            <w:hideMark/>
          </w:tcPr>
          <w:p w14:paraId="3373969C" w14:textId="77777777" w:rsidR="002F590A" w:rsidRDefault="002F590A">
            <w:pPr>
              <w:jc w:val="center"/>
              <w:rPr>
                <w:bCs/>
                <w:sz w:val="12"/>
                <w:szCs w:val="12"/>
              </w:rPr>
            </w:pPr>
            <w:r>
              <w:rPr>
                <w:bCs/>
                <w:sz w:val="12"/>
                <w:szCs w:val="12"/>
              </w:rPr>
              <w:t>8</w:t>
            </w:r>
          </w:p>
        </w:tc>
        <w:tc>
          <w:tcPr>
            <w:tcW w:w="131" w:type="pct"/>
            <w:tcBorders>
              <w:top w:val="single" w:sz="4" w:space="0" w:color="auto"/>
              <w:left w:val="single" w:sz="4" w:space="0" w:color="auto"/>
              <w:bottom w:val="single" w:sz="4" w:space="0" w:color="auto"/>
              <w:right w:val="single" w:sz="4" w:space="0" w:color="auto"/>
            </w:tcBorders>
            <w:vAlign w:val="center"/>
            <w:hideMark/>
          </w:tcPr>
          <w:p w14:paraId="7465ABEC" w14:textId="77777777" w:rsidR="002F590A" w:rsidRDefault="002F590A">
            <w:pPr>
              <w:jc w:val="center"/>
              <w:rPr>
                <w:bCs/>
                <w:sz w:val="12"/>
                <w:szCs w:val="12"/>
              </w:rPr>
            </w:pPr>
            <w:r>
              <w:rPr>
                <w:bCs/>
                <w:sz w:val="12"/>
                <w:szCs w:val="12"/>
              </w:rPr>
              <w:t>9</w:t>
            </w:r>
          </w:p>
        </w:tc>
        <w:tc>
          <w:tcPr>
            <w:tcW w:w="133" w:type="pct"/>
            <w:tcBorders>
              <w:top w:val="single" w:sz="4" w:space="0" w:color="auto"/>
              <w:left w:val="single" w:sz="4" w:space="0" w:color="auto"/>
              <w:bottom w:val="single" w:sz="4" w:space="0" w:color="auto"/>
              <w:right w:val="single" w:sz="4" w:space="0" w:color="auto"/>
            </w:tcBorders>
            <w:vAlign w:val="center"/>
            <w:hideMark/>
          </w:tcPr>
          <w:p w14:paraId="7B8160FC" w14:textId="77777777" w:rsidR="002F590A" w:rsidRDefault="002F590A">
            <w:pPr>
              <w:jc w:val="center"/>
              <w:rPr>
                <w:bCs/>
                <w:sz w:val="12"/>
                <w:szCs w:val="12"/>
              </w:rPr>
            </w:pPr>
            <w:r>
              <w:rPr>
                <w:bCs/>
                <w:sz w:val="12"/>
                <w:szCs w:val="12"/>
              </w:rPr>
              <w:t>10</w:t>
            </w:r>
          </w:p>
        </w:tc>
        <w:tc>
          <w:tcPr>
            <w:tcW w:w="198" w:type="pct"/>
            <w:tcBorders>
              <w:top w:val="single" w:sz="4" w:space="0" w:color="auto"/>
              <w:left w:val="single" w:sz="4" w:space="0" w:color="auto"/>
              <w:bottom w:val="single" w:sz="4" w:space="0" w:color="auto"/>
              <w:right w:val="single" w:sz="4" w:space="0" w:color="auto"/>
            </w:tcBorders>
            <w:vAlign w:val="center"/>
            <w:hideMark/>
          </w:tcPr>
          <w:p w14:paraId="2D72A540" w14:textId="77777777" w:rsidR="002F590A" w:rsidRDefault="002F590A">
            <w:pPr>
              <w:jc w:val="center"/>
              <w:rPr>
                <w:bCs/>
                <w:sz w:val="12"/>
                <w:szCs w:val="12"/>
              </w:rPr>
            </w:pPr>
            <w:r>
              <w:rPr>
                <w:bCs/>
                <w:sz w:val="12"/>
                <w:szCs w:val="12"/>
              </w:rPr>
              <w:t>11</w:t>
            </w:r>
          </w:p>
        </w:tc>
        <w:tc>
          <w:tcPr>
            <w:tcW w:w="178" w:type="pct"/>
            <w:tcBorders>
              <w:top w:val="single" w:sz="4" w:space="0" w:color="auto"/>
              <w:left w:val="single" w:sz="4" w:space="0" w:color="auto"/>
              <w:bottom w:val="single" w:sz="4" w:space="0" w:color="auto"/>
              <w:right w:val="single" w:sz="4" w:space="0" w:color="auto"/>
            </w:tcBorders>
            <w:vAlign w:val="center"/>
            <w:hideMark/>
          </w:tcPr>
          <w:p w14:paraId="223A4BEA" w14:textId="77777777" w:rsidR="002F590A" w:rsidRDefault="002F590A">
            <w:pPr>
              <w:jc w:val="center"/>
              <w:rPr>
                <w:bCs/>
                <w:sz w:val="12"/>
                <w:szCs w:val="12"/>
              </w:rPr>
            </w:pPr>
            <w:r>
              <w:rPr>
                <w:bCs/>
                <w:sz w:val="12"/>
                <w:szCs w:val="12"/>
              </w:rPr>
              <w:t>12</w:t>
            </w:r>
          </w:p>
        </w:tc>
        <w:tc>
          <w:tcPr>
            <w:tcW w:w="218" w:type="pct"/>
            <w:tcBorders>
              <w:top w:val="single" w:sz="4" w:space="0" w:color="auto"/>
              <w:left w:val="single" w:sz="4" w:space="0" w:color="auto"/>
              <w:bottom w:val="single" w:sz="4" w:space="0" w:color="auto"/>
              <w:right w:val="single" w:sz="4" w:space="0" w:color="auto"/>
            </w:tcBorders>
            <w:vAlign w:val="center"/>
            <w:hideMark/>
          </w:tcPr>
          <w:p w14:paraId="317F044F" w14:textId="77777777" w:rsidR="002F590A" w:rsidRDefault="002F590A">
            <w:pPr>
              <w:jc w:val="center"/>
              <w:rPr>
                <w:bCs/>
                <w:sz w:val="12"/>
                <w:szCs w:val="12"/>
              </w:rPr>
            </w:pPr>
            <w:r>
              <w:rPr>
                <w:bCs/>
                <w:sz w:val="12"/>
                <w:szCs w:val="12"/>
              </w:rPr>
              <w:t>13</w:t>
            </w:r>
          </w:p>
        </w:tc>
        <w:tc>
          <w:tcPr>
            <w:tcW w:w="220" w:type="pct"/>
            <w:tcBorders>
              <w:top w:val="single" w:sz="4" w:space="0" w:color="auto"/>
              <w:left w:val="single" w:sz="4" w:space="0" w:color="auto"/>
              <w:bottom w:val="single" w:sz="4" w:space="0" w:color="auto"/>
              <w:right w:val="single" w:sz="4" w:space="0" w:color="auto"/>
            </w:tcBorders>
            <w:vAlign w:val="center"/>
            <w:hideMark/>
          </w:tcPr>
          <w:p w14:paraId="70D51C4B" w14:textId="77777777" w:rsidR="002F590A" w:rsidRDefault="002F590A">
            <w:pPr>
              <w:jc w:val="center"/>
              <w:rPr>
                <w:bCs/>
                <w:sz w:val="12"/>
                <w:szCs w:val="12"/>
              </w:rPr>
            </w:pPr>
            <w:r>
              <w:rPr>
                <w:bCs/>
                <w:sz w:val="12"/>
                <w:szCs w:val="12"/>
              </w:rPr>
              <w:t>14</w:t>
            </w:r>
          </w:p>
        </w:tc>
        <w:tc>
          <w:tcPr>
            <w:tcW w:w="214" w:type="pct"/>
            <w:tcBorders>
              <w:top w:val="single" w:sz="4" w:space="0" w:color="auto"/>
              <w:left w:val="single" w:sz="4" w:space="0" w:color="auto"/>
              <w:bottom w:val="single" w:sz="4" w:space="0" w:color="auto"/>
              <w:right w:val="single" w:sz="4" w:space="0" w:color="auto"/>
            </w:tcBorders>
            <w:vAlign w:val="center"/>
            <w:hideMark/>
          </w:tcPr>
          <w:p w14:paraId="3AAB6208" w14:textId="77777777" w:rsidR="002F590A" w:rsidRDefault="002F590A">
            <w:pPr>
              <w:jc w:val="center"/>
              <w:rPr>
                <w:bCs/>
                <w:sz w:val="12"/>
                <w:szCs w:val="12"/>
              </w:rPr>
            </w:pPr>
            <w:r>
              <w:rPr>
                <w:bCs/>
                <w:sz w:val="12"/>
                <w:szCs w:val="12"/>
              </w:rPr>
              <w:t>15</w:t>
            </w:r>
          </w:p>
        </w:tc>
        <w:tc>
          <w:tcPr>
            <w:tcW w:w="179" w:type="pct"/>
            <w:tcBorders>
              <w:top w:val="single" w:sz="4" w:space="0" w:color="auto"/>
              <w:left w:val="single" w:sz="4" w:space="0" w:color="auto"/>
              <w:bottom w:val="single" w:sz="4" w:space="0" w:color="auto"/>
              <w:right w:val="single" w:sz="4" w:space="0" w:color="auto"/>
            </w:tcBorders>
            <w:vAlign w:val="center"/>
            <w:hideMark/>
          </w:tcPr>
          <w:p w14:paraId="5BDC9F40" w14:textId="77777777" w:rsidR="002F590A" w:rsidRDefault="002F590A">
            <w:pPr>
              <w:jc w:val="center"/>
              <w:rPr>
                <w:bCs/>
                <w:sz w:val="12"/>
                <w:szCs w:val="12"/>
              </w:rPr>
            </w:pPr>
            <w:r>
              <w:rPr>
                <w:bCs/>
                <w:sz w:val="12"/>
                <w:szCs w:val="12"/>
              </w:rPr>
              <w:t>16</w:t>
            </w:r>
          </w:p>
        </w:tc>
        <w:tc>
          <w:tcPr>
            <w:tcW w:w="171" w:type="pct"/>
            <w:tcBorders>
              <w:top w:val="single" w:sz="4" w:space="0" w:color="auto"/>
              <w:left w:val="single" w:sz="4" w:space="0" w:color="auto"/>
              <w:bottom w:val="single" w:sz="4" w:space="0" w:color="auto"/>
              <w:right w:val="single" w:sz="4" w:space="0" w:color="auto"/>
            </w:tcBorders>
            <w:vAlign w:val="center"/>
            <w:hideMark/>
          </w:tcPr>
          <w:p w14:paraId="39D64BFE" w14:textId="77777777" w:rsidR="002F590A" w:rsidRDefault="002F590A">
            <w:pPr>
              <w:jc w:val="center"/>
              <w:rPr>
                <w:bCs/>
                <w:sz w:val="12"/>
                <w:szCs w:val="12"/>
              </w:rPr>
            </w:pPr>
            <w:r>
              <w:rPr>
                <w:bCs/>
                <w:sz w:val="12"/>
                <w:szCs w:val="12"/>
              </w:rPr>
              <w:t>17</w:t>
            </w:r>
          </w:p>
        </w:tc>
        <w:tc>
          <w:tcPr>
            <w:tcW w:w="173" w:type="pct"/>
            <w:tcBorders>
              <w:top w:val="single" w:sz="4" w:space="0" w:color="auto"/>
              <w:left w:val="single" w:sz="4" w:space="0" w:color="auto"/>
              <w:bottom w:val="single" w:sz="4" w:space="0" w:color="auto"/>
              <w:right w:val="single" w:sz="4" w:space="0" w:color="auto"/>
            </w:tcBorders>
            <w:vAlign w:val="center"/>
            <w:hideMark/>
          </w:tcPr>
          <w:p w14:paraId="6D2E1EC5" w14:textId="77777777" w:rsidR="002F590A" w:rsidRDefault="002F590A">
            <w:pPr>
              <w:jc w:val="center"/>
              <w:rPr>
                <w:bCs/>
                <w:sz w:val="12"/>
                <w:szCs w:val="12"/>
              </w:rPr>
            </w:pPr>
            <w:r>
              <w:rPr>
                <w:bCs/>
                <w:sz w:val="12"/>
                <w:szCs w:val="12"/>
              </w:rPr>
              <w:t>18</w:t>
            </w:r>
          </w:p>
        </w:tc>
        <w:tc>
          <w:tcPr>
            <w:tcW w:w="177" w:type="pct"/>
            <w:tcBorders>
              <w:top w:val="single" w:sz="4" w:space="0" w:color="auto"/>
              <w:left w:val="single" w:sz="4" w:space="0" w:color="auto"/>
              <w:bottom w:val="single" w:sz="4" w:space="0" w:color="auto"/>
              <w:right w:val="single" w:sz="4" w:space="0" w:color="auto"/>
            </w:tcBorders>
            <w:vAlign w:val="center"/>
            <w:hideMark/>
          </w:tcPr>
          <w:p w14:paraId="1D5F610E" w14:textId="77777777" w:rsidR="002F590A" w:rsidRDefault="002F590A">
            <w:pPr>
              <w:jc w:val="center"/>
              <w:rPr>
                <w:bCs/>
                <w:sz w:val="12"/>
                <w:szCs w:val="12"/>
              </w:rPr>
            </w:pPr>
            <w:r>
              <w:rPr>
                <w:bCs/>
                <w:sz w:val="12"/>
                <w:szCs w:val="12"/>
              </w:rPr>
              <w:t>19</w:t>
            </w:r>
          </w:p>
        </w:tc>
        <w:tc>
          <w:tcPr>
            <w:tcW w:w="173" w:type="pct"/>
            <w:tcBorders>
              <w:top w:val="single" w:sz="4" w:space="0" w:color="auto"/>
              <w:left w:val="single" w:sz="4" w:space="0" w:color="auto"/>
              <w:bottom w:val="single" w:sz="4" w:space="0" w:color="auto"/>
              <w:right w:val="single" w:sz="4" w:space="0" w:color="auto"/>
            </w:tcBorders>
            <w:vAlign w:val="center"/>
            <w:hideMark/>
          </w:tcPr>
          <w:p w14:paraId="6F1B28BB" w14:textId="77777777" w:rsidR="002F590A" w:rsidRDefault="002F590A">
            <w:pPr>
              <w:jc w:val="center"/>
              <w:rPr>
                <w:bCs/>
                <w:sz w:val="12"/>
                <w:szCs w:val="12"/>
              </w:rPr>
            </w:pPr>
            <w:r>
              <w:rPr>
                <w:bCs/>
                <w:sz w:val="12"/>
                <w:szCs w:val="12"/>
              </w:rPr>
              <w:t>20</w:t>
            </w:r>
          </w:p>
        </w:tc>
        <w:tc>
          <w:tcPr>
            <w:tcW w:w="173" w:type="pct"/>
            <w:tcBorders>
              <w:top w:val="single" w:sz="4" w:space="0" w:color="auto"/>
              <w:left w:val="single" w:sz="4" w:space="0" w:color="auto"/>
              <w:bottom w:val="single" w:sz="4" w:space="0" w:color="auto"/>
              <w:right w:val="single" w:sz="4" w:space="0" w:color="auto"/>
            </w:tcBorders>
            <w:vAlign w:val="center"/>
            <w:hideMark/>
          </w:tcPr>
          <w:p w14:paraId="7FF6752E" w14:textId="77777777" w:rsidR="002F590A" w:rsidRDefault="002F590A">
            <w:pPr>
              <w:jc w:val="center"/>
              <w:rPr>
                <w:bCs/>
                <w:sz w:val="12"/>
                <w:szCs w:val="12"/>
              </w:rPr>
            </w:pPr>
            <w:r>
              <w:rPr>
                <w:bCs/>
                <w:sz w:val="12"/>
                <w:szCs w:val="12"/>
              </w:rPr>
              <w:t>21</w:t>
            </w:r>
          </w:p>
        </w:tc>
        <w:tc>
          <w:tcPr>
            <w:tcW w:w="177" w:type="pct"/>
            <w:tcBorders>
              <w:top w:val="single" w:sz="4" w:space="0" w:color="auto"/>
              <w:left w:val="single" w:sz="4" w:space="0" w:color="auto"/>
              <w:bottom w:val="single" w:sz="4" w:space="0" w:color="auto"/>
              <w:right w:val="single" w:sz="4" w:space="0" w:color="auto"/>
            </w:tcBorders>
            <w:vAlign w:val="center"/>
            <w:hideMark/>
          </w:tcPr>
          <w:p w14:paraId="2CFA719B" w14:textId="77777777" w:rsidR="002F590A" w:rsidRDefault="002F590A">
            <w:pPr>
              <w:jc w:val="center"/>
              <w:rPr>
                <w:bCs/>
                <w:sz w:val="12"/>
                <w:szCs w:val="12"/>
              </w:rPr>
            </w:pPr>
            <w:r>
              <w:rPr>
                <w:bCs/>
                <w:sz w:val="12"/>
                <w:szCs w:val="12"/>
              </w:rPr>
              <w:t>22</w:t>
            </w:r>
          </w:p>
        </w:tc>
        <w:tc>
          <w:tcPr>
            <w:tcW w:w="174" w:type="pct"/>
            <w:tcBorders>
              <w:top w:val="single" w:sz="4" w:space="0" w:color="auto"/>
              <w:left w:val="single" w:sz="4" w:space="0" w:color="auto"/>
              <w:bottom w:val="single" w:sz="4" w:space="0" w:color="auto"/>
              <w:right w:val="single" w:sz="4" w:space="0" w:color="auto"/>
            </w:tcBorders>
            <w:vAlign w:val="center"/>
            <w:hideMark/>
          </w:tcPr>
          <w:p w14:paraId="1EE4FF95" w14:textId="77777777" w:rsidR="002F590A" w:rsidRDefault="002F590A">
            <w:pPr>
              <w:jc w:val="center"/>
              <w:rPr>
                <w:bCs/>
                <w:sz w:val="12"/>
                <w:szCs w:val="12"/>
              </w:rPr>
            </w:pPr>
            <w:r>
              <w:rPr>
                <w:bCs/>
                <w:sz w:val="12"/>
                <w:szCs w:val="12"/>
              </w:rPr>
              <w:t>23</w:t>
            </w:r>
          </w:p>
        </w:tc>
        <w:tc>
          <w:tcPr>
            <w:tcW w:w="128" w:type="pct"/>
            <w:tcBorders>
              <w:top w:val="single" w:sz="4" w:space="0" w:color="auto"/>
              <w:left w:val="single" w:sz="4" w:space="0" w:color="auto"/>
              <w:bottom w:val="single" w:sz="4" w:space="0" w:color="auto"/>
              <w:right w:val="single" w:sz="4" w:space="0" w:color="auto"/>
            </w:tcBorders>
            <w:vAlign w:val="center"/>
            <w:hideMark/>
          </w:tcPr>
          <w:p w14:paraId="522DBA6A" w14:textId="77777777" w:rsidR="002F590A" w:rsidRDefault="002F590A">
            <w:pPr>
              <w:jc w:val="center"/>
              <w:rPr>
                <w:bCs/>
                <w:sz w:val="12"/>
                <w:szCs w:val="12"/>
              </w:rPr>
            </w:pPr>
            <w:r>
              <w:rPr>
                <w:bCs/>
                <w:sz w:val="12"/>
                <w:szCs w:val="12"/>
              </w:rPr>
              <w:t>24</w:t>
            </w:r>
          </w:p>
        </w:tc>
      </w:tr>
      <w:tr w:rsidR="002F590A" w14:paraId="5ADF898C" w14:textId="77777777" w:rsidTr="002F590A">
        <w:trPr>
          <w:trHeight w:val="897"/>
        </w:trPr>
        <w:tc>
          <w:tcPr>
            <w:tcW w:w="175" w:type="pct"/>
            <w:tcBorders>
              <w:top w:val="single" w:sz="4" w:space="0" w:color="auto"/>
              <w:left w:val="single" w:sz="4" w:space="0" w:color="auto"/>
              <w:bottom w:val="single" w:sz="4" w:space="0" w:color="auto"/>
              <w:right w:val="single" w:sz="4" w:space="0" w:color="auto"/>
            </w:tcBorders>
            <w:vAlign w:val="center"/>
            <w:hideMark/>
          </w:tcPr>
          <w:p w14:paraId="47523681" w14:textId="77777777" w:rsidR="002F590A" w:rsidRDefault="002F590A">
            <w:pPr>
              <w:jc w:val="center"/>
              <w:rPr>
                <w:sz w:val="12"/>
                <w:szCs w:val="12"/>
              </w:rPr>
            </w:pPr>
            <w:r>
              <w:rPr>
                <w:sz w:val="12"/>
                <w:szCs w:val="12"/>
              </w:rPr>
              <w:t>3.2.4.2</w:t>
            </w:r>
          </w:p>
        </w:tc>
        <w:tc>
          <w:tcPr>
            <w:tcW w:w="262" w:type="pct"/>
            <w:tcBorders>
              <w:top w:val="single" w:sz="4" w:space="0" w:color="auto"/>
              <w:left w:val="single" w:sz="4" w:space="0" w:color="auto"/>
              <w:bottom w:val="single" w:sz="4" w:space="0" w:color="auto"/>
              <w:right w:val="single" w:sz="4" w:space="0" w:color="auto"/>
            </w:tcBorders>
            <w:vAlign w:val="center"/>
            <w:hideMark/>
          </w:tcPr>
          <w:p w14:paraId="3801C369" w14:textId="77777777" w:rsidR="002F590A" w:rsidRDefault="002F590A">
            <w:pPr>
              <w:rPr>
                <w:color w:val="000000"/>
                <w:sz w:val="12"/>
                <w:szCs w:val="12"/>
              </w:rPr>
            </w:pPr>
            <w:r>
              <w:rPr>
                <w:color w:val="000000"/>
                <w:sz w:val="12"/>
                <w:szCs w:val="12"/>
              </w:rPr>
              <w:t>Реконструкция котла</w:t>
            </w:r>
          </w:p>
        </w:tc>
        <w:tc>
          <w:tcPr>
            <w:tcW w:w="351" w:type="pct"/>
            <w:tcBorders>
              <w:top w:val="single" w:sz="4" w:space="0" w:color="auto"/>
              <w:left w:val="single" w:sz="4" w:space="0" w:color="auto"/>
              <w:bottom w:val="single" w:sz="4" w:space="0" w:color="auto"/>
              <w:right w:val="single" w:sz="4" w:space="0" w:color="auto"/>
            </w:tcBorders>
            <w:vAlign w:val="center"/>
            <w:hideMark/>
          </w:tcPr>
          <w:p w14:paraId="36B2771A" w14:textId="77777777" w:rsidR="002F590A" w:rsidRDefault="002F590A">
            <w:pPr>
              <w:jc w:val="center"/>
              <w:rPr>
                <w:sz w:val="12"/>
                <w:szCs w:val="12"/>
              </w:rPr>
            </w:pPr>
            <w:r>
              <w:rPr>
                <w:sz w:val="12"/>
                <w:szCs w:val="12"/>
              </w:rPr>
              <w:t>Повышение надежности (бесперебойности) услуг теплоснабжения, повышение энергетической эффективности</w:t>
            </w:r>
          </w:p>
        </w:tc>
        <w:tc>
          <w:tcPr>
            <w:tcW w:w="259" w:type="pct"/>
            <w:tcBorders>
              <w:top w:val="single" w:sz="4" w:space="0" w:color="auto"/>
              <w:left w:val="single" w:sz="4" w:space="0" w:color="auto"/>
              <w:bottom w:val="single" w:sz="4" w:space="0" w:color="auto"/>
              <w:right w:val="single" w:sz="4" w:space="0" w:color="auto"/>
            </w:tcBorders>
            <w:vAlign w:val="center"/>
            <w:hideMark/>
          </w:tcPr>
          <w:p w14:paraId="778FDFC2" w14:textId="77777777" w:rsidR="002F590A" w:rsidRDefault="002F590A">
            <w:pPr>
              <w:jc w:val="center"/>
              <w:rPr>
                <w:sz w:val="12"/>
                <w:szCs w:val="12"/>
              </w:rPr>
            </w:pPr>
            <w:r>
              <w:rPr>
                <w:sz w:val="12"/>
                <w:szCs w:val="12"/>
              </w:rPr>
              <w:t> </w:t>
            </w:r>
          </w:p>
        </w:tc>
        <w:tc>
          <w:tcPr>
            <w:tcW w:w="298" w:type="pct"/>
            <w:tcBorders>
              <w:top w:val="single" w:sz="4" w:space="0" w:color="auto"/>
              <w:left w:val="single" w:sz="4" w:space="0" w:color="auto"/>
              <w:bottom w:val="single" w:sz="4" w:space="0" w:color="auto"/>
              <w:right w:val="single" w:sz="4" w:space="0" w:color="auto"/>
            </w:tcBorders>
            <w:vAlign w:val="center"/>
            <w:hideMark/>
          </w:tcPr>
          <w:p w14:paraId="658801F9" w14:textId="77777777" w:rsidR="002F590A" w:rsidRDefault="002F590A">
            <w:pPr>
              <w:jc w:val="center"/>
              <w:rPr>
                <w:sz w:val="12"/>
                <w:szCs w:val="12"/>
              </w:rPr>
            </w:pPr>
            <w:r>
              <w:rPr>
                <w:color w:val="000000"/>
                <w:sz w:val="12"/>
                <w:szCs w:val="12"/>
              </w:rPr>
              <w:t>Технические характеристики</w:t>
            </w:r>
          </w:p>
        </w:tc>
        <w:tc>
          <w:tcPr>
            <w:tcW w:w="130" w:type="pct"/>
            <w:tcBorders>
              <w:top w:val="single" w:sz="4" w:space="0" w:color="auto"/>
              <w:left w:val="single" w:sz="4" w:space="0" w:color="auto"/>
              <w:bottom w:val="single" w:sz="4" w:space="0" w:color="auto"/>
              <w:right w:val="single" w:sz="4" w:space="0" w:color="auto"/>
            </w:tcBorders>
            <w:vAlign w:val="center"/>
          </w:tcPr>
          <w:p w14:paraId="2DC087E6" w14:textId="77777777" w:rsidR="002F590A" w:rsidRDefault="002F590A">
            <w:pPr>
              <w:jc w:val="center"/>
              <w:rPr>
                <w:sz w:val="12"/>
                <w:szCs w:val="12"/>
              </w:rPr>
            </w:pPr>
          </w:p>
        </w:tc>
        <w:tc>
          <w:tcPr>
            <w:tcW w:w="359" w:type="pct"/>
            <w:tcBorders>
              <w:top w:val="single" w:sz="4" w:space="0" w:color="auto"/>
              <w:left w:val="single" w:sz="4" w:space="0" w:color="auto"/>
              <w:bottom w:val="single" w:sz="4" w:space="0" w:color="auto"/>
              <w:right w:val="single" w:sz="4" w:space="0" w:color="auto"/>
            </w:tcBorders>
            <w:vAlign w:val="center"/>
            <w:hideMark/>
          </w:tcPr>
          <w:p w14:paraId="4E2A3F3F" w14:textId="77777777" w:rsidR="002F590A" w:rsidRDefault="002F590A">
            <w:pPr>
              <w:jc w:val="center"/>
              <w:rPr>
                <w:sz w:val="12"/>
                <w:szCs w:val="12"/>
              </w:rPr>
            </w:pPr>
            <w:r>
              <w:rPr>
                <w:sz w:val="12"/>
                <w:szCs w:val="12"/>
              </w:rPr>
              <w:t xml:space="preserve">Теплопроизводительность водогрейного котла (номинальная) -0,63 МВт; КПД котла - 66%; Вид топлива- каменный уголь </w:t>
            </w:r>
          </w:p>
        </w:tc>
        <w:tc>
          <w:tcPr>
            <w:tcW w:w="349" w:type="pct"/>
            <w:tcBorders>
              <w:top w:val="single" w:sz="4" w:space="0" w:color="auto"/>
              <w:left w:val="single" w:sz="4" w:space="0" w:color="auto"/>
              <w:bottom w:val="single" w:sz="4" w:space="0" w:color="auto"/>
              <w:right w:val="single" w:sz="4" w:space="0" w:color="auto"/>
            </w:tcBorders>
            <w:vAlign w:val="center"/>
          </w:tcPr>
          <w:p w14:paraId="45C932AC" w14:textId="77777777" w:rsidR="002F590A" w:rsidRDefault="002F590A">
            <w:pPr>
              <w:jc w:val="center"/>
              <w:rPr>
                <w:sz w:val="12"/>
                <w:szCs w:val="12"/>
              </w:rPr>
            </w:pPr>
            <w:r>
              <w:rPr>
                <w:sz w:val="12"/>
                <w:szCs w:val="12"/>
              </w:rPr>
              <w:t>Оборудование с техническими характеристиками не ниже существующего на объекте. Вид топлива- каменный уголь</w:t>
            </w:r>
          </w:p>
          <w:p w14:paraId="52A9C1B5" w14:textId="77777777" w:rsidR="002F590A" w:rsidRDefault="002F590A">
            <w:pPr>
              <w:jc w:val="center"/>
              <w:rPr>
                <w:sz w:val="12"/>
                <w:szCs w:val="12"/>
              </w:rPr>
            </w:pPr>
          </w:p>
          <w:p w14:paraId="557912B2" w14:textId="77777777" w:rsidR="002F590A" w:rsidRDefault="002F590A">
            <w:pPr>
              <w:jc w:val="center"/>
              <w:rPr>
                <w:sz w:val="12"/>
                <w:szCs w:val="12"/>
              </w:rPr>
            </w:pPr>
            <w:r>
              <w:rPr>
                <w:sz w:val="12"/>
                <w:szCs w:val="12"/>
              </w:rPr>
              <w:t xml:space="preserve"> </w:t>
            </w:r>
          </w:p>
        </w:tc>
        <w:tc>
          <w:tcPr>
            <w:tcW w:w="131" w:type="pct"/>
            <w:tcBorders>
              <w:top w:val="single" w:sz="4" w:space="0" w:color="auto"/>
              <w:left w:val="single" w:sz="4" w:space="0" w:color="auto"/>
              <w:bottom w:val="single" w:sz="4" w:space="0" w:color="auto"/>
              <w:right w:val="single" w:sz="4" w:space="0" w:color="auto"/>
            </w:tcBorders>
            <w:vAlign w:val="center"/>
            <w:hideMark/>
          </w:tcPr>
          <w:p w14:paraId="20CF1D9E" w14:textId="77777777" w:rsidR="002F590A" w:rsidRDefault="002F590A">
            <w:pPr>
              <w:jc w:val="center"/>
              <w:rPr>
                <w:sz w:val="12"/>
                <w:szCs w:val="12"/>
              </w:rPr>
            </w:pPr>
            <w:r>
              <w:rPr>
                <w:sz w:val="12"/>
                <w:szCs w:val="12"/>
              </w:rPr>
              <w:t>2027</w:t>
            </w:r>
          </w:p>
        </w:tc>
        <w:tc>
          <w:tcPr>
            <w:tcW w:w="133" w:type="pct"/>
            <w:tcBorders>
              <w:top w:val="single" w:sz="4" w:space="0" w:color="auto"/>
              <w:left w:val="single" w:sz="4" w:space="0" w:color="auto"/>
              <w:bottom w:val="single" w:sz="4" w:space="0" w:color="auto"/>
              <w:right w:val="single" w:sz="4" w:space="0" w:color="auto"/>
            </w:tcBorders>
            <w:vAlign w:val="center"/>
            <w:hideMark/>
          </w:tcPr>
          <w:p w14:paraId="44AFFFE7" w14:textId="77777777" w:rsidR="002F590A" w:rsidRDefault="002F590A">
            <w:pPr>
              <w:jc w:val="center"/>
              <w:rPr>
                <w:sz w:val="12"/>
                <w:szCs w:val="12"/>
              </w:rPr>
            </w:pPr>
            <w:r>
              <w:rPr>
                <w:sz w:val="12"/>
                <w:szCs w:val="12"/>
              </w:rPr>
              <w:t>2027</w:t>
            </w:r>
          </w:p>
        </w:tc>
        <w:tc>
          <w:tcPr>
            <w:tcW w:w="198" w:type="pct"/>
            <w:tcBorders>
              <w:top w:val="single" w:sz="4" w:space="0" w:color="auto"/>
              <w:left w:val="single" w:sz="4" w:space="0" w:color="auto"/>
              <w:bottom w:val="single" w:sz="4" w:space="0" w:color="auto"/>
              <w:right w:val="single" w:sz="4" w:space="0" w:color="auto"/>
            </w:tcBorders>
            <w:vAlign w:val="center"/>
            <w:hideMark/>
          </w:tcPr>
          <w:p w14:paraId="2EF92207" w14:textId="77777777" w:rsidR="002F590A" w:rsidRDefault="002F590A">
            <w:pPr>
              <w:jc w:val="center"/>
              <w:rPr>
                <w:color w:val="000000"/>
                <w:sz w:val="12"/>
                <w:szCs w:val="12"/>
              </w:rPr>
            </w:pPr>
            <w:r>
              <w:rPr>
                <w:color w:val="000000"/>
                <w:sz w:val="12"/>
                <w:szCs w:val="12"/>
              </w:rPr>
              <w:t>2551,73</w:t>
            </w:r>
          </w:p>
        </w:tc>
        <w:tc>
          <w:tcPr>
            <w:tcW w:w="178" w:type="pct"/>
            <w:tcBorders>
              <w:top w:val="single" w:sz="4" w:space="0" w:color="auto"/>
              <w:left w:val="single" w:sz="4" w:space="0" w:color="auto"/>
              <w:bottom w:val="single" w:sz="4" w:space="0" w:color="auto"/>
              <w:right w:val="single" w:sz="4" w:space="0" w:color="auto"/>
            </w:tcBorders>
            <w:vAlign w:val="center"/>
            <w:hideMark/>
          </w:tcPr>
          <w:p w14:paraId="269B299B" w14:textId="77777777" w:rsidR="002F590A" w:rsidRDefault="002F590A">
            <w:pPr>
              <w:jc w:val="center"/>
              <w:rPr>
                <w:color w:val="000000"/>
                <w:sz w:val="12"/>
                <w:szCs w:val="12"/>
              </w:rPr>
            </w:pPr>
            <w:r>
              <w:rPr>
                <w:color w:val="000000"/>
                <w:sz w:val="12"/>
                <w:szCs w:val="12"/>
              </w:rPr>
              <w:t>0,00</w:t>
            </w:r>
          </w:p>
        </w:tc>
        <w:tc>
          <w:tcPr>
            <w:tcW w:w="218" w:type="pct"/>
            <w:tcBorders>
              <w:top w:val="single" w:sz="4" w:space="0" w:color="auto"/>
              <w:left w:val="single" w:sz="4" w:space="0" w:color="auto"/>
              <w:bottom w:val="single" w:sz="4" w:space="0" w:color="auto"/>
              <w:right w:val="single" w:sz="4" w:space="0" w:color="auto"/>
            </w:tcBorders>
            <w:vAlign w:val="center"/>
            <w:hideMark/>
          </w:tcPr>
          <w:p w14:paraId="2997E897" w14:textId="77777777" w:rsidR="002F590A" w:rsidRDefault="002F590A">
            <w:pPr>
              <w:jc w:val="center"/>
              <w:rPr>
                <w:sz w:val="12"/>
                <w:szCs w:val="12"/>
              </w:rPr>
            </w:pPr>
            <w:r>
              <w:rPr>
                <w:sz w:val="12"/>
                <w:szCs w:val="12"/>
              </w:rPr>
              <w:t>0,00</w:t>
            </w:r>
          </w:p>
        </w:tc>
        <w:tc>
          <w:tcPr>
            <w:tcW w:w="220" w:type="pct"/>
            <w:tcBorders>
              <w:top w:val="single" w:sz="4" w:space="0" w:color="auto"/>
              <w:left w:val="single" w:sz="4" w:space="0" w:color="auto"/>
              <w:bottom w:val="single" w:sz="4" w:space="0" w:color="auto"/>
              <w:right w:val="single" w:sz="4" w:space="0" w:color="auto"/>
            </w:tcBorders>
            <w:vAlign w:val="center"/>
            <w:hideMark/>
          </w:tcPr>
          <w:p w14:paraId="43C2B50F" w14:textId="77777777" w:rsidR="002F590A" w:rsidRDefault="002F590A">
            <w:pPr>
              <w:jc w:val="center"/>
              <w:rPr>
                <w:sz w:val="12"/>
                <w:szCs w:val="12"/>
              </w:rPr>
            </w:pPr>
            <w:r>
              <w:rPr>
                <w:sz w:val="12"/>
                <w:szCs w:val="12"/>
              </w:rPr>
              <w:t>0,00</w:t>
            </w:r>
          </w:p>
        </w:tc>
        <w:tc>
          <w:tcPr>
            <w:tcW w:w="214" w:type="pct"/>
            <w:tcBorders>
              <w:top w:val="single" w:sz="4" w:space="0" w:color="auto"/>
              <w:left w:val="single" w:sz="4" w:space="0" w:color="auto"/>
              <w:bottom w:val="single" w:sz="4" w:space="0" w:color="auto"/>
              <w:right w:val="single" w:sz="4" w:space="0" w:color="auto"/>
            </w:tcBorders>
            <w:vAlign w:val="center"/>
            <w:hideMark/>
          </w:tcPr>
          <w:p w14:paraId="1FA8CFE0" w14:textId="77777777" w:rsidR="002F590A" w:rsidRDefault="002F590A">
            <w:pPr>
              <w:jc w:val="center"/>
              <w:rPr>
                <w:sz w:val="12"/>
                <w:szCs w:val="12"/>
              </w:rPr>
            </w:pPr>
            <w:r>
              <w:rPr>
                <w:sz w:val="12"/>
                <w:szCs w:val="12"/>
              </w:rPr>
              <w:t>0,00</w:t>
            </w:r>
          </w:p>
        </w:tc>
        <w:tc>
          <w:tcPr>
            <w:tcW w:w="179" w:type="pct"/>
            <w:tcBorders>
              <w:top w:val="single" w:sz="4" w:space="0" w:color="auto"/>
              <w:left w:val="single" w:sz="4" w:space="0" w:color="auto"/>
              <w:bottom w:val="single" w:sz="4" w:space="0" w:color="auto"/>
              <w:right w:val="single" w:sz="4" w:space="0" w:color="auto"/>
            </w:tcBorders>
            <w:vAlign w:val="center"/>
            <w:hideMark/>
          </w:tcPr>
          <w:p w14:paraId="2A3B8C88" w14:textId="77777777" w:rsidR="002F590A" w:rsidRDefault="002F590A">
            <w:pPr>
              <w:jc w:val="center"/>
              <w:rPr>
                <w:sz w:val="12"/>
                <w:szCs w:val="12"/>
              </w:rPr>
            </w:pPr>
            <w:r>
              <w:rPr>
                <w:sz w:val="12"/>
                <w:szCs w:val="12"/>
              </w:rPr>
              <w:t>0,00</w:t>
            </w:r>
          </w:p>
        </w:tc>
        <w:tc>
          <w:tcPr>
            <w:tcW w:w="171" w:type="pct"/>
            <w:tcBorders>
              <w:top w:val="single" w:sz="4" w:space="0" w:color="auto"/>
              <w:left w:val="single" w:sz="4" w:space="0" w:color="auto"/>
              <w:bottom w:val="single" w:sz="4" w:space="0" w:color="auto"/>
              <w:right w:val="single" w:sz="4" w:space="0" w:color="auto"/>
            </w:tcBorders>
            <w:vAlign w:val="center"/>
            <w:hideMark/>
          </w:tcPr>
          <w:p w14:paraId="498B142C"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7791C2DC" w14:textId="77777777" w:rsidR="002F590A" w:rsidRDefault="002F590A">
            <w:pPr>
              <w:jc w:val="center"/>
              <w:rPr>
                <w:sz w:val="12"/>
                <w:szCs w:val="12"/>
              </w:rPr>
            </w:pPr>
            <w:r>
              <w:rPr>
                <w:sz w:val="12"/>
                <w:szCs w:val="12"/>
              </w:rPr>
              <w:t>2551,73</w:t>
            </w:r>
          </w:p>
        </w:tc>
        <w:tc>
          <w:tcPr>
            <w:tcW w:w="177" w:type="pct"/>
            <w:tcBorders>
              <w:top w:val="single" w:sz="4" w:space="0" w:color="auto"/>
              <w:left w:val="single" w:sz="4" w:space="0" w:color="auto"/>
              <w:bottom w:val="single" w:sz="4" w:space="0" w:color="auto"/>
              <w:right w:val="single" w:sz="4" w:space="0" w:color="auto"/>
            </w:tcBorders>
            <w:vAlign w:val="center"/>
            <w:hideMark/>
          </w:tcPr>
          <w:p w14:paraId="2DED5AD3"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05C20F85"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00DA2402" w14:textId="77777777" w:rsidR="002F590A" w:rsidRDefault="002F590A">
            <w:pPr>
              <w:jc w:val="center"/>
              <w:rPr>
                <w:sz w:val="12"/>
                <w:szCs w:val="12"/>
              </w:rPr>
            </w:pPr>
            <w:r>
              <w:rPr>
                <w:sz w:val="12"/>
                <w:szCs w:val="12"/>
              </w:rPr>
              <w:t>0,00</w:t>
            </w:r>
          </w:p>
        </w:tc>
        <w:tc>
          <w:tcPr>
            <w:tcW w:w="177" w:type="pct"/>
            <w:tcBorders>
              <w:top w:val="single" w:sz="4" w:space="0" w:color="auto"/>
              <w:left w:val="single" w:sz="4" w:space="0" w:color="auto"/>
              <w:bottom w:val="single" w:sz="4" w:space="0" w:color="auto"/>
              <w:right w:val="single" w:sz="4" w:space="0" w:color="auto"/>
            </w:tcBorders>
            <w:vAlign w:val="center"/>
            <w:hideMark/>
          </w:tcPr>
          <w:p w14:paraId="4BA4072A"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6EB3B710" w14:textId="77777777" w:rsidR="002F590A" w:rsidRDefault="002F590A">
            <w:pPr>
              <w:jc w:val="center"/>
              <w:rPr>
                <w:color w:val="000000"/>
                <w:sz w:val="12"/>
                <w:szCs w:val="12"/>
              </w:rPr>
            </w:pPr>
            <w:r>
              <w:rPr>
                <w:color w:val="000000"/>
                <w:sz w:val="12"/>
                <w:szCs w:val="12"/>
              </w:rPr>
              <w:t>0,00</w:t>
            </w:r>
          </w:p>
        </w:tc>
        <w:tc>
          <w:tcPr>
            <w:tcW w:w="128" w:type="pct"/>
            <w:tcBorders>
              <w:top w:val="single" w:sz="4" w:space="0" w:color="auto"/>
              <w:left w:val="single" w:sz="4" w:space="0" w:color="auto"/>
              <w:bottom w:val="single" w:sz="4" w:space="0" w:color="auto"/>
              <w:right w:val="single" w:sz="4" w:space="0" w:color="auto"/>
            </w:tcBorders>
            <w:vAlign w:val="center"/>
            <w:hideMark/>
          </w:tcPr>
          <w:p w14:paraId="7F82E030" w14:textId="77777777" w:rsidR="002F590A" w:rsidRDefault="002F590A">
            <w:pPr>
              <w:jc w:val="center"/>
              <w:rPr>
                <w:color w:val="000000"/>
                <w:sz w:val="12"/>
                <w:szCs w:val="12"/>
              </w:rPr>
            </w:pPr>
            <w:r>
              <w:rPr>
                <w:color w:val="000000"/>
                <w:sz w:val="12"/>
                <w:szCs w:val="12"/>
              </w:rPr>
              <w:t>0,00</w:t>
            </w:r>
          </w:p>
        </w:tc>
      </w:tr>
      <w:tr w:rsidR="002F590A" w14:paraId="0C2D9FC3" w14:textId="77777777" w:rsidTr="002F590A">
        <w:trPr>
          <w:trHeight w:val="897"/>
        </w:trPr>
        <w:tc>
          <w:tcPr>
            <w:tcW w:w="175" w:type="pct"/>
            <w:tcBorders>
              <w:top w:val="single" w:sz="4" w:space="0" w:color="auto"/>
              <w:left w:val="single" w:sz="4" w:space="0" w:color="auto"/>
              <w:bottom w:val="single" w:sz="4" w:space="0" w:color="auto"/>
              <w:right w:val="single" w:sz="4" w:space="0" w:color="auto"/>
            </w:tcBorders>
            <w:vAlign w:val="center"/>
            <w:hideMark/>
          </w:tcPr>
          <w:p w14:paraId="4CACA04B" w14:textId="77777777" w:rsidR="002F590A" w:rsidRDefault="002F590A">
            <w:pPr>
              <w:jc w:val="center"/>
              <w:rPr>
                <w:sz w:val="12"/>
                <w:szCs w:val="12"/>
              </w:rPr>
            </w:pPr>
            <w:r>
              <w:rPr>
                <w:sz w:val="12"/>
                <w:szCs w:val="12"/>
              </w:rPr>
              <w:t>3.2.4.3</w:t>
            </w:r>
          </w:p>
        </w:tc>
        <w:tc>
          <w:tcPr>
            <w:tcW w:w="262" w:type="pct"/>
            <w:tcBorders>
              <w:top w:val="single" w:sz="4" w:space="0" w:color="auto"/>
              <w:left w:val="single" w:sz="4" w:space="0" w:color="auto"/>
              <w:bottom w:val="single" w:sz="4" w:space="0" w:color="auto"/>
              <w:right w:val="single" w:sz="4" w:space="0" w:color="auto"/>
            </w:tcBorders>
            <w:vAlign w:val="center"/>
            <w:hideMark/>
          </w:tcPr>
          <w:p w14:paraId="158E2E52" w14:textId="77777777" w:rsidR="002F590A" w:rsidRDefault="002F590A">
            <w:pPr>
              <w:rPr>
                <w:color w:val="000000"/>
                <w:sz w:val="12"/>
                <w:szCs w:val="12"/>
              </w:rPr>
            </w:pPr>
            <w:r>
              <w:rPr>
                <w:color w:val="000000"/>
                <w:sz w:val="12"/>
                <w:szCs w:val="12"/>
              </w:rPr>
              <w:t>Реконструкция котла</w:t>
            </w:r>
          </w:p>
        </w:tc>
        <w:tc>
          <w:tcPr>
            <w:tcW w:w="351" w:type="pct"/>
            <w:tcBorders>
              <w:top w:val="single" w:sz="4" w:space="0" w:color="auto"/>
              <w:left w:val="single" w:sz="4" w:space="0" w:color="auto"/>
              <w:bottom w:val="single" w:sz="4" w:space="0" w:color="auto"/>
              <w:right w:val="single" w:sz="4" w:space="0" w:color="auto"/>
            </w:tcBorders>
            <w:vAlign w:val="center"/>
            <w:hideMark/>
          </w:tcPr>
          <w:p w14:paraId="0A93C7CC" w14:textId="77777777" w:rsidR="002F590A" w:rsidRDefault="002F590A">
            <w:pPr>
              <w:jc w:val="center"/>
              <w:rPr>
                <w:sz w:val="12"/>
                <w:szCs w:val="12"/>
              </w:rPr>
            </w:pPr>
            <w:r>
              <w:rPr>
                <w:sz w:val="12"/>
                <w:szCs w:val="12"/>
              </w:rPr>
              <w:t>Повышение надежности (бесперебойности) услуг теплоснабжения, повышение энергетической эффективности</w:t>
            </w:r>
          </w:p>
        </w:tc>
        <w:tc>
          <w:tcPr>
            <w:tcW w:w="259" w:type="pct"/>
            <w:tcBorders>
              <w:top w:val="single" w:sz="4" w:space="0" w:color="auto"/>
              <w:left w:val="single" w:sz="4" w:space="0" w:color="auto"/>
              <w:bottom w:val="single" w:sz="4" w:space="0" w:color="auto"/>
              <w:right w:val="single" w:sz="4" w:space="0" w:color="auto"/>
            </w:tcBorders>
            <w:vAlign w:val="center"/>
            <w:hideMark/>
          </w:tcPr>
          <w:p w14:paraId="6264A5F0" w14:textId="77777777" w:rsidR="002F590A" w:rsidRDefault="002F590A">
            <w:pPr>
              <w:jc w:val="center"/>
              <w:rPr>
                <w:sz w:val="12"/>
                <w:szCs w:val="12"/>
              </w:rPr>
            </w:pPr>
            <w:r>
              <w:rPr>
                <w:sz w:val="12"/>
                <w:szCs w:val="12"/>
              </w:rPr>
              <w:t> </w:t>
            </w:r>
          </w:p>
        </w:tc>
        <w:tc>
          <w:tcPr>
            <w:tcW w:w="298" w:type="pct"/>
            <w:tcBorders>
              <w:top w:val="single" w:sz="4" w:space="0" w:color="auto"/>
              <w:left w:val="single" w:sz="4" w:space="0" w:color="auto"/>
              <w:bottom w:val="single" w:sz="4" w:space="0" w:color="auto"/>
              <w:right w:val="single" w:sz="4" w:space="0" w:color="auto"/>
            </w:tcBorders>
            <w:vAlign w:val="center"/>
            <w:hideMark/>
          </w:tcPr>
          <w:p w14:paraId="4A3ED74E" w14:textId="77777777" w:rsidR="002F590A" w:rsidRDefault="002F590A">
            <w:pPr>
              <w:jc w:val="center"/>
              <w:rPr>
                <w:sz w:val="12"/>
                <w:szCs w:val="12"/>
              </w:rPr>
            </w:pPr>
            <w:r>
              <w:rPr>
                <w:color w:val="000000"/>
                <w:sz w:val="12"/>
                <w:szCs w:val="12"/>
              </w:rPr>
              <w:t>Технические характеристики</w:t>
            </w:r>
          </w:p>
        </w:tc>
        <w:tc>
          <w:tcPr>
            <w:tcW w:w="130" w:type="pct"/>
            <w:tcBorders>
              <w:top w:val="single" w:sz="4" w:space="0" w:color="auto"/>
              <w:left w:val="single" w:sz="4" w:space="0" w:color="auto"/>
              <w:bottom w:val="single" w:sz="4" w:space="0" w:color="auto"/>
              <w:right w:val="single" w:sz="4" w:space="0" w:color="auto"/>
            </w:tcBorders>
            <w:vAlign w:val="center"/>
          </w:tcPr>
          <w:p w14:paraId="67D6B37C" w14:textId="77777777" w:rsidR="002F590A" w:rsidRDefault="002F590A">
            <w:pPr>
              <w:jc w:val="center"/>
              <w:rPr>
                <w:sz w:val="12"/>
                <w:szCs w:val="12"/>
              </w:rPr>
            </w:pPr>
          </w:p>
        </w:tc>
        <w:tc>
          <w:tcPr>
            <w:tcW w:w="359" w:type="pct"/>
            <w:tcBorders>
              <w:top w:val="single" w:sz="4" w:space="0" w:color="auto"/>
              <w:left w:val="single" w:sz="4" w:space="0" w:color="auto"/>
              <w:bottom w:val="single" w:sz="4" w:space="0" w:color="auto"/>
              <w:right w:val="single" w:sz="4" w:space="0" w:color="auto"/>
            </w:tcBorders>
            <w:vAlign w:val="center"/>
            <w:hideMark/>
          </w:tcPr>
          <w:p w14:paraId="32B08852" w14:textId="77777777" w:rsidR="002F590A" w:rsidRDefault="002F590A">
            <w:pPr>
              <w:jc w:val="center"/>
              <w:rPr>
                <w:sz w:val="12"/>
                <w:szCs w:val="12"/>
              </w:rPr>
            </w:pPr>
            <w:r>
              <w:rPr>
                <w:sz w:val="12"/>
                <w:szCs w:val="12"/>
              </w:rPr>
              <w:t xml:space="preserve">Теплопроизводительность водогрейного котла (номинальная) -0,63 МВт; КПД котла - 66%; Вид топлива- каменный уголь </w:t>
            </w:r>
          </w:p>
        </w:tc>
        <w:tc>
          <w:tcPr>
            <w:tcW w:w="349" w:type="pct"/>
            <w:tcBorders>
              <w:top w:val="single" w:sz="4" w:space="0" w:color="auto"/>
              <w:left w:val="single" w:sz="4" w:space="0" w:color="auto"/>
              <w:bottom w:val="single" w:sz="4" w:space="0" w:color="auto"/>
              <w:right w:val="single" w:sz="4" w:space="0" w:color="auto"/>
            </w:tcBorders>
            <w:vAlign w:val="center"/>
            <w:hideMark/>
          </w:tcPr>
          <w:p w14:paraId="396A7753" w14:textId="77777777" w:rsidR="002F590A" w:rsidRDefault="002F590A">
            <w:pPr>
              <w:jc w:val="center"/>
              <w:rPr>
                <w:sz w:val="12"/>
                <w:szCs w:val="12"/>
              </w:rPr>
            </w:pPr>
            <w:r>
              <w:rPr>
                <w:sz w:val="12"/>
                <w:szCs w:val="12"/>
              </w:rPr>
              <w:t>Оборудование с техническими характеристиками не ниже существующего на объекте. Вид топлива- каменный уголь</w:t>
            </w:r>
          </w:p>
          <w:p w14:paraId="44707435" w14:textId="77777777" w:rsidR="002F590A" w:rsidRDefault="002F590A">
            <w:pPr>
              <w:jc w:val="center"/>
              <w:rPr>
                <w:sz w:val="12"/>
                <w:szCs w:val="12"/>
              </w:rPr>
            </w:pPr>
            <w:r>
              <w:rPr>
                <w:sz w:val="12"/>
                <w:szCs w:val="12"/>
              </w:rPr>
              <w:t xml:space="preserve"> </w:t>
            </w:r>
          </w:p>
        </w:tc>
        <w:tc>
          <w:tcPr>
            <w:tcW w:w="131" w:type="pct"/>
            <w:tcBorders>
              <w:top w:val="single" w:sz="4" w:space="0" w:color="auto"/>
              <w:left w:val="single" w:sz="4" w:space="0" w:color="auto"/>
              <w:bottom w:val="single" w:sz="4" w:space="0" w:color="auto"/>
              <w:right w:val="single" w:sz="4" w:space="0" w:color="auto"/>
            </w:tcBorders>
            <w:vAlign w:val="center"/>
            <w:hideMark/>
          </w:tcPr>
          <w:p w14:paraId="2926F2EA" w14:textId="77777777" w:rsidR="002F590A" w:rsidRDefault="002F590A">
            <w:pPr>
              <w:jc w:val="center"/>
              <w:rPr>
                <w:sz w:val="12"/>
                <w:szCs w:val="12"/>
              </w:rPr>
            </w:pPr>
            <w:r>
              <w:rPr>
                <w:sz w:val="12"/>
                <w:szCs w:val="12"/>
              </w:rPr>
              <w:t>2027</w:t>
            </w:r>
          </w:p>
        </w:tc>
        <w:tc>
          <w:tcPr>
            <w:tcW w:w="133" w:type="pct"/>
            <w:tcBorders>
              <w:top w:val="single" w:sz="4" w:space="0" w:color="auto"/>
              <w:left w:val="single" w:sz="4" w:space="0" w:color="auto"/>
              <w:bottom w:val="single" w:sz="4" w:space="0" w:color="auto"/>
              <w:right w:val="single" w:sz="4" w:space="0" w:color="auto"/>
            </w:tcBorders>
            <w:vAlign w:val="center"/>
            <w:hideMark/>
          </w:tcPr>
          <w:p w14:paraId="5641D6CB" w14:textId="77777777" w:rsidR="002F590A" w:rsidRDefault="002F590A">
            <w:pPr>
              <w:jc w:val="center"/>
              <w:rPr>
                <w:sz w:val="12"/>
                <w:szCs w:val="12"/>
              </w:rPr>
            </w:pPr>
            <w:r>
              <w:rPr>
                <w:sz w:val="12"/>
                <w:szCs w:val="12"/>
              </w:rPr>
              <w:t>2027</w:t>
            </w:r>
          </w:p>
        </w:tc>
        <w:tc>
          <w:tcPr>
            <w:tcW w:w="198" w:type="pct"/>
            <w:tcBorders>
              <w:top w:val="single" w:sz="4" w:space="0" w:color="auto"/>
              <w:left w:val="single" w:sz="4" w:space="0" w:color="auto"/>
              <w:bottom w:val="single" w:sz="4" w:space="0" w:color="auto"/>
              <w:right w:val="single" w:sz="4" w:space="0" w:color="auto"/>
            </w:tcBorders>
            <w:vAlign w:val="center"/>
            <w:hideMark/>
          </w:tcPr>
          <w:p w14:paraId="36DA1724" w14:textId="77777777" w:rsidR="002F590A" w:rsidRDefault="002F590A">
            <w:pPr>
              <w:jc w:val="center"/>
              <w:rPr>
                <w:color w:val="000000"/>
                <w:sz w:val="12"/>
                <w:szCs w:val="12"/>
              </w:rPr>
            </w:pPr>
            <w:r>
              <w:rPr>
                <w:color w:val="000000"/>
                <w:sz w:val="12"/>
                <w:szCs w:val="12"/>
              </w:rPr>
              <w:t>2496,73</w:t>
            </w:r>
          </w:p>
        </w:tc>
        <w:tc>
          <w:tcPr>
            <w:tcW w:w="178" w:type="pct"/>
            <w:tcBorders>
              <w:top w:val="single" w:sz="4" w:space="0" w:color="auto"/>
              <w:left w:val="single" w:sz="4" w:space="0" w:color="auto"/>
              <w:bottom w:val="single" w:sz="4" w:space="0" w:color="auto"/>
              <w:right w:val="single" w:sz="4" w:space="0" w:color="auto"/>
            </w:tcBorders>
            <w:vAlign w:val="center"/>
            <w:hideMark/>
          </w:tcPr>
          <w:p w14:paraId="67B6A168" w14:textId="77777777" w:rsidR="002F590A" w:rsidRDefault="002F590A">
            <w:pPr>
              <w:jc w:val="center"/>
              <w:rPr>
                <w:color w:val="000000"/>
                <w:sz w:val="12"/>
                <w:szCs w:val="12"/>
              </w:rPr>
            </w:pPr>
            <w:r>
              <w:rPr>
                <w:color w:val="000000"/>
                <w:sz w:val="12"/>
                <w:szCs w:val="12"/>
              </w:rPr>
              <w:t>0,00</w:t>
            </w:r>
          </w:p>
        </w:tc>
        <w:tc>
          <w:tcPr>
            <w:tcW w:w="218" w:type="pct"/>
            <w:tcBorders>
              <w:top w:val="single" w:sz="4" w:space="0" w:color="auto"/>
              <w:left w:val="single" w:sz="4" w:space="0" w:color="auto"/>
              <w:bottom w:val="single" w:sz="4" w:space="0" w:color="auto"/>
              <w:right w:val="single" w:sz="4" w:space="0" w:color="auto"/>
            </w:tcBorders>
            <w:vAlign w:val="center"/>
            <w:hideMark/>
          </w:tcPr>
          <w:p w14:paraId="645B111C" w14:textId="77777777" w:rsidR="002F590A" w:rsidRDefault="002F590A">
            <w:pPr>
              <w:jc w:val="center"/>
              <w:rPr>
                <w:sz w:val="12"/>
                <w:szCs w:val="12"/>
              </w:rPr>
            </w:pPr>
            <w:r>
              <w:rPr>
                <w:sz w:val="12"/>
                <w:szCs w:val="12"/>
              </w:rPr>
              <w:t>0,00</w:t>
            </w:r>
          </w:p>
        </w:tc>
        <w:tc>
          <w:tcPr>
            <w:tcW w:w="220" w:type="pct"/>
            <w:tcBorders>
              <w:top w:val="single" w:sz="4" w:space="0" w:color="auto"/>
              <w:left w:val="single" w:sz="4" w:space="0" w:color="auto"/>
              <w:bottom w:val="single" w:sz="4" w:space="0" w:color="auto"/>
              <w:right w:val="single" w:sz="4" w:space="0" w:color="auto"/>
            </w:tcBorders>
            <w:vAlign w:val="center"/>
            <w:hideMark/>
          </w:tcPr>
          <w:p w14:paraId="14AC4274" w14:textId="77777777" w:rsidR="002F590A" w:rsidRDefault="002F590A">
            <w:pPr>
              <w:jc w:val="center"/>
              <w:rPr>
                <w:sz w:val="12"/>
                <w:szCs w:val="12"/>
              </w:rPr>
            </w:pPr>
            <w:r>
              <w:rPr>
                <w:sz w:val="12"/>
                <w:szCs w:val="12"/>
              </w:rPr>
              <w:t>0,00</w:t>
            </w:r>
          </w:p>
        </w:tc>
        <w:tc>
          <w:tcPr>
            <w:tcW w:w="214" w:type="pct"/>
            <w:tcBorders>
              <w:top w:val="single" w:sz="4" w:space="0" w:color="auto"/>
              <w:left w:val="single" w:sz="4" w:space="0" w:color="auto"/>
              <w:bottom w:val="single" w:sz="4" w:space="0" w:color="auto"/>
              <w:right w:val="single" w:sz="4" w:space="0" w:color="auto"/>
            </w:tcBorders>
            <w:vAlign w:val="center"/>
            <w:hideMark/>
          </w:tcPr>
          <w:p w14:paraId="2F7E2978" w14:textId="77777777" w:rsidR="002F590A" w:rsidRDefault="002F590A">
            <w:pPr>
              <w:jc w:val="center"/>
              <w:rPr>
                <w:sz w:val="12"/>
                <w:szCs w:val="12"/>
              </w:rPr>
            </w:pPr>
            <w:r>
              <w:rPr>
                <w:sz w:val="12"/>
                <w:szCs w:val="12"/>
              </w:rPr>
              <w:t>0,00</w:t>
            </w:r>
          </w:p>
        </w:tc>
        <w:tc>
          <w:tcPr>
            <w:tcW w:w="179" w:type="pct"/>
            <w:tcBorders>
              <w:top w:val="single" w:sz="4" w:space="0" w:color="auto"/>
              <w:left w:val="single" w:sz="4" w:space="0" w:color="auto"/>
              <w:bottom w:val="single" w:sz="4" w:space="0" w:color="auto"/>
              <w:right w:val="single" w:sz="4" w:space="0" w:color="auto"/>
            </w:tcBorders>
            <w:vAlign w:val="center"/>
            <w:hideMark/>
          </w:tcPr>
          <w:p w14:paraId="1609A575" w14:textId="77777777" w:rsidR="002F590A" w:rsidRDefault="002F590A">
            <w:pPr>
              <w:jc w:val="center"/>
              <w:rPr>
                <w:sz w:val="12"/>
                <w:szCs w:val="12"/>
              </w:rPr>
            </w:pPr>
            <w:r>
              <w:rPr>
                <w:sz w:val="12"/>
                <w:szCs w:val="12"/>
              </w:rPr>
              <w:t>0,00</w:t>
            </w:r>
          </w:p>
        </w:tc>
        <w:tc>
          <w:tcPr>
            <w:tcW w:w="171" w:type="pct"/>
            <w:tcBorders>
              <w:top w:val="single" w:sz="4" w:space="0" w:color="auto"/>
              <w:left w:val="single" w:sz="4" w:space="0" w:color="auto"/>
              <w:bottom w:val="single" w:sz="4" w:space="0" w:color="auto"/>
              <w:right w:val="single" w:sz="4" w:space="0" w:color="auto"/>
            </w:tcBorders>
            <w:vAlign w:val="center"/>
            <w:hideMark/>
          </w:tcPr>
          <w:p w14:paraId="0B1D2A36"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78E90FA3" w14:textId="77777777" w:rsidR="002F590A" w:rsidRDefault="002F590A">
            <w:pPr>
              <w:jc w:val="center"/>
              <w:rPr>
                <w:sz w:val="12"/>
                <w:szCs w:val="12"/>
              </w:rPr>
            </w:pPr>
            <w:r>
              <w:rPr>
                <w:sz w:val="12"/>
                <w:szCs w:val="12"/>
              </w:rPr>
              <w:t>2496,73</w:t>
            </w:r>
          </w:p>
        </w:tc>
        <w:tc>
          <w:tcPr>
            <w:tcW w:w="177" w:type="pct"/>
            <w:tcBorders>
              <w:top w:val="single" w:sz="4" w:space="0" w:color="auto"/>
              <w:left w:val="single" w:sz="4" w:space="0" w:color="auto"/>
              <w:bottom w:val="single" w:sz="4" w:space="0" w:color="auto"/>
              <w:right w:val="single" w:sz="4" w:space="0" w:color="auto"/>
            </w:tcBorders>
            <w:vAlign w:val="center"/>
            <w:hideMark/>
          </w:tcPr>
          <w:p w14:paraId="2009DEFF"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35BC9D00"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1FDFE3F7" w14:textId="77777777" w:rsidR="002F590A" w:rsidRDefault="002F590A">
            <w:pPr>
              <w:jc w:val="center"/>
              <w:rPr>
                <w:sz w:val="12"/>
                <w:szCs w:val="12"/>
              </w:rPr>
            </w:pPr>
            <w:r>
              <w:rPr>
                <w:sz w:val="12"/>
                <w:szCs w:val="12"/>
              </w:rPr>
              <w:t>0,00</w:t>
            </w:r>
          </w:p>
        </w:tc>
        <w:tc>
          <w:tcPr>
            <w:tcW w:w="177" w:type="pct"/>
            <w:tcBorders>
              <w:top w:val="single" w:sz="4" w:space="0" w:color="auto"/>
              <w:left w:val="single" w:sz="4" w:space="0" w:color="auto"/>
              <w:bottom w:val="single" w:sz="4" w:space="0" w:color="auto"/>
              <w:right w:val="single" w:sz="4" w:space="0" w:color="auto"/>
            </w:tcBorders>
            <w:vAlign w:val="center"/>
            <w:hideMark/>
          </w:tcPr>
          <w:p w14:paraId="6B3941D6"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0E9F970C" w14:textId="77777777" w:rsidR="002F590A" w:rsidRDefault="002F590A">
            <w:pPr>
              <w:jc w:val="center"/>
              <w:rPr>
                <w:color w:val="000000"/>
                <w:sz w:val="12"/>
                <w:szCs w:val="12"/>
              </w:rPr>
            </w:pPr>
            <w:r>
              <w:rPr>
                <w:color w:val="000000"/>
                <w:sz w:val="12"/>
                <w:szCs w:val="12"/>
              </w:rPr>
              <w:t>0,00</w:t>
            </w:r>
          </w:p>
        </w:tc>
        <w:tc>
          <w:tcPr>
            <w:tcW w:w="128" w:type="pct"/>
            <w:tcBorders>
              <w:top w:val="single" w:sz="4" w:space="0" w:color="auto"/>
              <w:left w:val="single" w:sz="4" w:space="0" w:color="auto"/>
              <w:bottom w:val="single" w:sz="4" w:space="0" w:color="auto"/>
              <w:right w:val="single" w:sz="4" w:space="0" w:color="auto"/>
            </w:tcBorders>
            <w:vAlign w:val="center"/>
            <w:hideMark/>
          </w:tcPr>
          <w:p w14:paraId="1B7254D8" w14:textId="77777777" w:rsidR="002F590A" w:rsidRDefault="002F590A">
            <w:pPr>
              <w:jc w:val="center"/>
              <w:rPr>
                <w:color w:val="000000"/>
                <w:sz w:val="12"/>
                <w:szCs w:val="12"/>
              </w:rPr>
            </w:pPr>
            <w:r>
              <w:rPr>
                <w:color w:val="000000"/>
                <w:sz w:val="12"/>
                <w:szCs w:val="12"/>
              </w:rPr>
              <w:t>0,00</w:t>
            </w:r>
          </w:p>
        </w:tc>
      </w:tr>
      <w:tr w:rsidR="002F590A" w14:paraId="4CCEA1E1" w14:textId="77777777" w:rsidTr="002F590A">
        <w:trPr>
          <w:trHeight w:val="897"/>
        </w:trPr>
        <w:tc>
          <w:tcPr>
            <w:tcW w:w="175" w:type="pct"/>
            <w:tcBorders>
              <w:top w:val="single" w:sz="4" w:space="0" w:color="auto"/>
              <w:left w:val="single" w:sz="4" w:space="0" w:color="auto"/>
              <w:bottom w:val="single" w:sz="4" w:space="0" w:color="auto"/>
              <w:right w:val="single" w:sz="4" w:space="0" w:color="auto"/>
            </w:tcBorders>
            <w:vAlign w:val="center"/>
            <w:hideMark/>
          </w:tcPr>
          <w:p w14:paraId="4D56C5A5" w14:textId="77777777" w:rsidR="002F590A" w:rsidRDefault="002F590A">
            <w:pPr>
              <w:jc w:val="center"/>
              <w:rPr>
                <w:bCs/>
                <w:sz w:val="12"/>
                <w:szCs w:val="12"/>
              </w:rPr>
            </w:pPr>
            <w:r>
              <w:rPr>
                <w:bCs/>
                <w:sz w:val="12"/>
                <w:szCs w:val="12"/>
              </w:rPr>
              <w:t xml:space="preserve">3.2.5. </w:t>
            </w:r>
          </w:p>
        </w:tc>
        <w:tc>
          <w:tcPr>
            <w:tcW w:w="262" w:type="pct"/>
            <w:tcBorders>
              <w:top w:val="single" w:sz="4" w:space="0" w:color="auto"/>
              <w:left w:val="single" w:sz="4" w:space="0" w:color="auto"/>
              <w:bottom w:val="single" w:sz="4" w:space="0" w:color="auto"/>
              <w:right w:val="single" w:sz="4" w:space="0" w:color="auto"/>
            </w:tcBorders>
            <w:vAlign w:val="center"/>
            <w:hideMark/>
          </w:tcPr>
          <w:p w14:paraId="14E92190" w14:textId="77777777" w:rsidR="002F590A" w:rsidRDefault="002F590A">
            <w:pPr>
              <w:rPr>
                <w:bCs/>
                <w:color w:val="000000"/>
                <w:sz w:val="12"/>
                <w:szCs w:val="12"/>
              </w:rPr>
            </w:pPr>
            <w:r>
              <w:rPr>
                <w:bCs/>
                <w:color w:val="000000"/>
                <w:sz w:val="12"/>
                <w:szCs w:val="12"/>
              </w:rPr>
              <w:t>Реконструкция котельной №31</w:t>
            </w:r>
          </w:p>
        </w:tc>
        <w:tc>
          <w:tcPr>
            <w:tcW w:w="351" w:type="pct"/>
            <w:tcBorders>
              <w:top w:val="single" w:sz="4" w:space="0" w:color="auto"/>
              <w:left w:val="single" w:sz="4" w:space="0" w:color="auto"/>
              <w:bottom w:val="single" w:sz="4" w:space="0" w:color="auto"/>
              <w:right w:val="single" w:sz="4" w:space="0" w:color="auto"/>
            </w:tcBorders>
            <w:vAlign w:val="center"/>
          </w:tcPr>
          <w:p w14:paraId="4EB943E3" w14:textId="77777777" w:rsidR="002F590A" w:rsidRDefault="002F590A">
            <w:pPr>
              <w:jc w:val="center"/>
              <w:rPr>
                <w:sz w:val="12"/>
                <w:szCs w:val="12"/>
              </w:rPr>
            </w:pPr>
          </w:p>
        </w:tc>
        <w:tc>
          <w:tcPr>
            <w:tcW w:w="259" w:type="pct"/>
            <w:tcBorders>
              <w:top w:val="single" w:sz="4" w:space="0" w:color="auto"/>
              <w:left w:val="single" w:sz="4" w:space="0" w:color="auto"/>
              <w:bottom w:val="single" w:sz="4" w:space="0" w:color="auto"/>
              <w:right w:val="single" w:sz="4" w:space="0" w:color="auto"/>
            </w:tcBorders>
            <w:vAlign w:val="center"/>
            <w:hideMark/>
          </w:tcPr>
          <w:p w14:paraId="346E4C9C" w14:textId="77777777" w:rsidR="002F590A" w:rsidRDefault="002F590A">
            <w:pPr>
              <w:jc w:val="center"/>
              <w:rPr>
                <w:bCs/>
                <w:sz w:val="12"/>
                <w:szCs w:val="12"/>
              </w:rPr>
            </w:pPr>
            <w:r>
              <w:rPr>
                <w:bCs/>
                <w:sz w:val="12"/>
                <w:szCs w:val="12"/>
              </w:rPr>
              <w:t>Кемеровский городской округ, Рудничный район, ул. Вахрушева, 4а</w:t>
            </w:r>
          </w:p>
        </w:tc>
        <w:tc>
          <w:tcPr>
            <w:tcW w:w="298" w:type="pct"/>
            <w:tcBorders>
              <w:top w:val="single" w:sz="4" w:space="0" w:color="auto"/>
              <w:left w:val="single" w:sz="4" w:space="0" w:color="auto"/>
              <w:bottom w:val="single" w:sz="4" w:space="0" w:color="auto"/>
              <w:right w:val="single" w:sz="4" w:space="0" w:color="auto"/>
            </w:tcBorders>
            <w:vAlign w:val="center"/>
            <w:hideMark/>
          </w:tcPr>
          <w:p w14:paraId="067DBACB" w14:textId="77777777" w:rsidR="002F590A" w:rsidRDefault="002F590A">
            <w:pPr>
              <w:jc w:val="center"/>
              <w:rPr>
                <w:sz w:val="12"/>
                <w:szCs w:val="12"/>
              </w:rPr>
            </w:pPr>
            <w:r>
              <w:rPr>
                <w:color w:val="000000"/>
                <w:sz w:val="12"/>
                <w:szCs w:val="12"/>
              </w:rPr>
              <w:t>Технические характеристики</w:t>
            </w:r>
          </w:p>
        </w:tc>
        <w:tc>
          <w:tcPr>
            <w:tcW w:w="130" w:type="pct"/>
            <w:tcBorders>
              <w:top w:val="single" w:sz="4" w:space="0" w:color="auto"/>
              <w:left w:val="single" w:sz="4" w:space="0" w:color="auto"/>
              <w:bottom w:val="single" w:sz="4" w:space="0" w:color="auto"/>
              <w:right w:val="single" w:sz="4" w:space="0" w:color="auto"/>
            </w:tcBorders>
            <w:vAlign w:val="center"/>
          </w:tcPr>
          <w:p w14:paraId="2073A11D" w14:textId="77777777" w:rsidR="002F590A" w:rsidRDefault="002F590A">
            <w:pPr>
              <w:jc w:val="center"/>
              <w:rPr>
                <w:sz w:val="12"/>
                <w:szCs w:val="12"/>
              </w:rPr>
            </w:pPr>
          </w:p>
        </w:tc>
        <w:tc>
          <w:tcPr>
            <w:tcW w:w="359" w:type="pct"/>
            <w:tcBorders>
              <w:top w:val="single" w:sz="4" w:space="0" w:color="auto"/>
              <w:left w:val="single" w:sz="4" w:space="0" w:color="auto"/>
              <w:bottom w:val="single" w:sz="4" w:space="0" w:color="auto"/>
              <w:right w:val="single" w:sz="4" w:space="0" w:color="auto"/>
            </w:tcBorders>
            <w:vAlign w:val="center"/>
            <w:hideMark/>
          </w:tcPr>
          <w:p w14:paraId="0EF8A530" w14:textId="77777777" w:rsidR="002F590A" w:rsidRDefault="002F590A">
            <w:pPr>
              <w:jc w:val="center"/>
              <w:rPr>
                <w:sz w:val="12"/>
                <w:szCs w:val="12"/>
              </w:rPr>
            </w:pPr>
            <w:r>
              <w:rPr>
                <w:sz w:val="12"/>
                <w:szCs w:val="12"/>
              </w:rPr>
              <w:t> </w:t>
            </w:r>
          </w:p>
        </w:tc>
        <w:tc>
          <w:tcPr>
            <w:tcW w:w="349" w:type="pct"/>
            <w:tcBorders>
              <w:top w:val="single" w:sz="4" w:space="0" w:color="auto"/>
              <w:left w:val="single" w:sz="4" w:space="0" w:color="auto"/>
              <w:bottom w:val="single" w:sz="4" w:space="0" w:color="auto"/>
              <w:right w:val="single" w:sz="4" w:space="0" w:color="auto"/>
            </w:tcBorders>
            <w:vAlign w:val="center"/>
            <w:hideMark/>
          </w:tcPr>
          <w:p w14:paraId="73E5D922" w14:textId="77777777" w:rsidR="002F590A" w:rsidRDefault="002F590A">
            <w:pPr>
              <w:jc w:val="center"/>
              <w:rPr>
                <w:sz w:val="12"/>
                <w:szCs w:val="12"/>
              </w:rPr>
            </w:pPr>
            <w:r>
              <w:rPr>
                <w:sz w:val="12"/>
                <w:szCs w:val="12"/>
              </w:rPr>
              <w:t> </w:t>
            </w:r>
          </w:p>
        </w:tc>
        <w:tc>
          <w:tcPr>
            <w:tcW w:w="131" w:type="pct"/>
            <w:tcBorders>
              <w:top w:val="single" w:sz="4" w:space="0" w:color="auto"/>
              <w:left w:val="single" w:sz="4" w:space="0" w:color="auto"/>
              <w:bottom w:val="single" w:sz="4" w:space="0" w:color="auto"/>
              <w:right w:val="single" w:sz="4" w:space="0" w:color="auto"/>
            </w:tcBorders>
            <w:vAlign w:val="center"/>
          </w:tcPr>
          <w:p w14:paraId="53C7DE1E" w14:textId="77777777" w:rsidR="002F590A" w:rsidRDefault="002F590A">
            <w:pPr>
              <w:jc w:val="center"/>
              <w:rPr>
                <w:sz w:val="12"/>
                <w:szCs w:val="12"/>
              </w:rPr>
            </w:pPr>
          </w:p>
        </w:tc>
        <w:tc>
          <w:tcPr>
            <w:tcW w:w="133" w:type="pct"/>
            <w:tcBorders>
              <w:top w:val="single" w:sz="4" w:space="0" w:color="auto"/>
              <w:left w:val="single" w:sz="4" w:space="0" w:color="auto"/>
              <w:bottom w:val="single" w:sz="4" w:space="0" w:color="auto"/>
              <w:right w:val="single" w:sz="4" w:space="0" w:color="auto"/>
            </w:tcBorders>
            <w:vAlign w:val="center"/>
          </w:tcPr>
          <w:p w14:paraId="35A10CFA" w14:textId="77777777" w:rsidR="002F590A" w:rsidRDefault="002F590A">
            <w:pPr>
              <w:jc w:val="center"/>
              <w:rPr>
                <w:sz w:val="12"/>
                <w:szCs w:val="12"/>
              </w:rPr>
            </w:pPr>
          </w:p>
        </w:tc>
        <w:tc>
          <w:tcPr>
            <w:tcW w:w="198" w:type="pct"/>
            <w:tcBorders>
              <w:top w:val="single" w:sz="4" w:space="0" w:color="auto"/>
              <w:left w:val="single" w:sz="4" w:space="0" w:color="auto"/>
              <w:bottom w:val="single" w:sz="4" w:space="0" w:color="auto"/>
              <w:right w:val="single" w:sz="4" w:space="0" w:color="auto"/>
            </w:tcBorders>
            <w:vAlign w:val="center"/>
          </w:tcPr>
          <w:p w14:paraId="7E7B91C2" w14:textId="77777777" w:rsidR="002F590A" w:rsidRDefault="002F590A">
            <w:pPr>
              <w:jc w:val="center"/>
              <w:rPr>
                <w:color w:val="000000"/>
                <w:sz w:val="12"/>
                <w:szCs w:val="12"/>
              </w:rPr>
            </w:pPr>
          </w:p>
        </w:tc>
        <w:tc>
          <w:tcPr>
            <w:tcW w:w="178" w:type="pct"/>
            <w:tcBorders>
              <w:top w:val="single" w:sz="4" w:space="0" w:color="auto"/>
              <w:left w:val="single" w:sz="4" w:space="0" w:color="auto"/>
              <w:bottom w:val="single" w:sz="4" w:space="0" w:color="auto"/>
              <w:right w:val="single" w:sz="4" w:space="0" w:color="auto"/>
            </w:tcBorders>
            <w:vAlign w:val="center"/>
          </w:tcPr>
          <w:p w14:paraId="6593AF7E" w14:textId="77777777" w:rsidR="002F590A" w:rsidRDefault="002F590A">
            <w:pPr>
              <w:jc w:val="center"/>
              <w:rPr>
                <w:color w:val="000000"/>
                <w:sz w:val="12"/>
                <w:szCs w:val="12"/>
              </w:rPr>
            </w:pPr>
          </w:p>
        </w:tc>
        <w:tc>
          <w:tcPr>
            <w:tcW w:w="218" w:type="pct"/>
            <w:tcBorders>
              <w:top w:val="single" w:sz="4" w:space="0" w:color="auto"/>
              <w:left w:val="single" w:sz="4" w:space="0" w:color="auto"/>
              <w:bottom w:val="single" w:sz="4" w:space="0" w:color="auto"/>
              <w:right w:val="single" w:sz="4" w:space="0" w:color="auto"/>
            </w:tcBorders>
            <w:vAlign w:val="center"/>
          </w:tcPr>
          <w:p w14:paraId="6DC063E4" w14:textId="77777777" w:rsidR="002F590A" w:rsidRDefault="002F590A">
            <w:pPr>
              <w:jc w:val="center"/>
              <w:rPr>
                <w:sz w:val="12"/>
                <w:szCs w:val="12"/>
              </w:rPr>
            </w:pPr>
          </w:p>
        </w:tc>
        <w:tc>
          <w:tcPr>
            <w:tcW w:w="220" w:type="pct"/>
            <w:tcBorders>
              <w:top w:val="single" w:sz="4" w:space="0" w:color="auto"/>
              <w:left w:val="single" w:sz="4" w:space="0" w:color="auto"/>
              <w:bottom w:val="single" w:sz="4" w:space="0" w:color="auto"/>
              <w:right w:val="single" w:sz="4" w:space="0" w:color="auto"/>
            </w:tcBorders>
            <w:vAlign w:val="center"/>
          </w:tcPr>
          <w:p w14:paraId="08C509FB" w14:textId="77777777" w:rsidR="002F590A" w:rsidRDefault="002F590A">
            <w:pPr>
              <w:jc w:val="center"/>
              <w:rPr>
                <w:sz w:val="12"/>
                <w:szCs w:val="12"/>
              </w:rPr>
            </w:pPr>
          </w:p>
        </w:tc>
        <w:tc>
          <w:tcPr>
            <w:tcW w:w="214" w:type="pct"/>
            <w:tcBorders>
              <w:top w:val="single" w:sz="4" w:space="0" w:color="auto"/>
              <w:left w:val="single" w:sz="4" w:space="0" w:color="auto"/>
              <w:bottom w:val="single" w:sz="4" w:space="0" w:color="auto"/>
              <w:right w:val="single" w:sz="4" w:space="0" w:color="auto"/>
            </w:tcBorders>
            <w:vAlign w:val="center"/>
          </w:tcPr>
          <w:p w14:paraId="0A1CA83F" w14:textId="77777777" w:rsidR="002F590A" w:rsidRDefault="002F590A">
            <w:pPr>
              <w:jc w:val="center"/>
              <w:rPr>
                <w:sz w:val="12"/>
                <w:szCs w:val="12"/>
              </w:rPr>
            </w:pPr>
          </w:p>
        </w:tc>
        <w:tc>
          <w:tcPr>
            <w:tcW w:w="179" w:type="pct"/>
            <w:tcBorders>
              <w:top w:val="single" w:sz="4" w:space="0" w:color="auto"/>
              <w:left w:val="single" w:sz="4" w:space="0" w:color="auto"/>
              <w:bottom w:val="single" w:sz="4" w:space="0" w:color="auto"/>
              <w:right w:val="single" w:sz="4" w:space="0" w:color="auto"/>
            </w:tcBorders>
            <w:vAlign w:val="center"/>
          </w:tcPr>
          <w:p w14:paraId="086F25FF" w14:textId="77777777" w:rsidR="002F590A" w:rsidRDefault="002F590A">
            <w:pPr>
              <w:jc w:val="center"/>
              <w:rPr>
                <w:sz w:val="12"/>
                <w:szCs w:val="12"/>
              </w:rPr>
            </w:pPr>
          </w:p>
        </w:tc>
        <w:tc>
          <w:tcPr>
            <w:tcW w:w="171" w:type="pct"/>
            <w:tcBorders>
              <w:top w:val="single" w:sz="4" w:space="0" w:color="auto"/>
              <w:left w:val="single" w:sz="4" w:space="0" w:color="auto"/>
              <w:bottom w:val="single" w:sz="4" w:space="0" w:color="auto"/>
              <w:right w:val="single" w:sz="4" w:space="0" w:color="auto"/>
            </w:tcBorders>
            <w:vAlign w:val="center"/>
          </w:tcPr>
          <w:p w14:paraId="2B116874" w14:textId="77777777" w:rsidR="002F590A" w:rsidRDefault="002F590A">
            <w:pPr>
              <w:jc w:val="center"/>
              <w:rPr>
                <w:sz w:val="12"/>
                <w:szCs w:val="12"/>
              </w:rPr>
            </w:pPr>
          </w:p>
        </w:tc>
        <w:tc>
          <w:tcPr>
            <w:tcW w:w="173" w:type="pct"/>
            <w:tcBorders>
              <w:top w:val="single" w:sz="4" w:space="0" w:color="auto"/>
              <w:left w:val="single" w:sz="4" w:space="0" w:color="auto"/>
              <w:bottom w:val="single" w:sz="4" w:space="0" w:color="auto"/>
              <w:right w:val="single" w:sz="4" w:space="0" w:color="auto"/>
            </w:tcBorders>
            <w:vAlign w:val="center"/>
          </w:tcPr>
          <w:p w14:paraId="55E0E230" w14:textId="77777777" w:rsidR="002F590A" w:rsidRDefault="002F590A">
            <w:pPr>
              <w:jc w:val="center"/>
              <w:rPr>
                <w:sz w:val="12"/>
                <w:szCs w:val="12"/>
              </w:rPr>
            </w:pPr>
          </w:p>
        </w:tc>
        <w:tc>
          <w:tcPr>
            <w:tcW w:w="177" w:type="pct"/>
            <w:tcBorders>
              <w:top w:val="single" w:sz="4" w:space="0" w:color="auto"/>
              <w:left w:val="single" w:sz="4" w:space="0" w:color="auto"/>
              <w:bottom w:val="single" w:sz="4" w:space="0" w:color="auto"/>
              <w:right w:val="single" w:sz="4" w:space="0" w:color="auto"/>
            </w:tcBorders>
            <w:vAlign w:val="center"/>
          </w:tcPr>
          <w:p w14:paraId="2F52202F" w14:textId="77777777" w:rsidR="002F590A" w:rsidRDefault="002F590A">
            <w:pPr>
              <w:jc w:val="center"/>
              <w:rPr>
                <w:sz w:val="12"/>
                <w:szCs w:val="12"/>
              </w:rPr>
            </w:pPr>
          </w:p>
        </w:tc>
        <w:tc>
          <w:tcPr>
            <w:tcW w:w="173" w:type="pct"/>
            <w:tcBorders>
              <w:top w:val="single" w:sz="4" w:space="0" w:color="auto"/>
              <w:left w:val="single" w:sz="4" w:space="0" w:color="auto"/>
              <w:bottom w:val="single" w:sz="4" w:space="0" w:color="auto"/>
              <w:right w:val="single" w:sz="4" w:space="0" w:color="auto"/>
            </w:tcBorders>
            <w:vAlign w:val="center"/>
          </w:tcPr>
          <w:p w14:paraId="7CA96F41" w14:textId="77777777" w:rsidR="002F590A" w:rsidRDefault="002F590A">
            <w:pPr>
              <w:jc w:val="center"/>
              <w:rPr>
                <w:sz w:val="12"/>
                <w:szCs w:val="12"/>
              </w:rPr>
            </w:pPr>
          </w:p>
        </w:tc>
        <w:tc>
          <w:tcPr>
            <w:tcW w:w="173" w:type="pct"/>
            <w:tcBorders>
              <w:top w:val="single" w:sz="4" w:space="0" w:color="auto"/>
              <w:left w:val="single" w:sz="4" w:space="0" w:color="auto"/>
              <w:bottom w:val="single" w:sz="4" w:space="0" w:color="auto"/>
              <w:right w:val="single" w:sz="4" w:space="0" w:color="auto"/>
            </w:tcBorders>
            <w:vAlign w:val="center"/>
          </w:tcPr>
          <w:p w14:paraId="0B1E1C0F" w14:textId="77777777" w:rsidR="002F590A" w:rsidRDefault="002F590A">
            <w:pPr>
              <w:jc w:val="center"/>
              <w:rPr>
                <w:sz w:val="12"/>
                <w:szCs w:val="12"/>
              </w:rPr>
            </w:pPr>
          </w:p>
        </w:tc>
        <w:tc>
          <w:tcPr>
            <w:tcW w:w="177" w:type="pct"/>
            <w:tcBorders>
              <w:top w:val="single" w:sz="4" w:space="0" w:color="auto"/>
              <w:left w:val="single" w:sz="4" w:space="0" w:color="auto"/>
              <w:bottom w:val="single" w:sz="4" w:space="0" w:color="auto"/>
              <w:right w:val="single" w:sz="4" w:space="0" w:color="auto"/>
            </w:tcBorders>
            <w:vAlign w:val="center"/>
          </w:tcPr>
          <w:p w14:paraId="1D272047" w14:textId="77777777" w:rsidR="002F590A" w:rsidRDefault="002F590A">
            <w:pPr>
              <w:jc w:val="center"/>
              <w:rPr>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010DF972" w14:textId="77777777" w:rsidR="002F590A" w:rsidRDefault="002F590A">
            <w:pPr>
              <w:jc w:val="center"/>
              <w:rPr>
                <w:color w:val="000000"/>
                <w:sz w:val="12"/>
                <w:szCs w:val="12"/>
              </w:rPr>
            </w:pPr>
          </w:p>
        </w:tc>
        <w:tc>
          <w:tcPr>
            <w:tcW w:w="128" w:type="pct"/>
            <w:tcBorders>
              <w:top w:val="single" w:sz="4" w:space="0" w:color="auto"/>
              <w:left w:val="single" w:sz="4" w:space="0" w:color="auto"/>
              <w:bottom w:val="single" w:sz="4" w:space="0" w:color="auto"/>
              <w:right w:val="single" w:sz="4" w:space="0" w:color="auto"/>
            </w:tcBorders>
            <w:vAlign w:val="center"/>
          </w:tcPr>
          <w:p w14:paraId="10273FFE" w14:textId="77777777" w:rsidR="002F590A" w:rsidRDefault="002F590A">
            <w:pPr>
              <w:jc w:val="center"/>
              <w:rPr>
                <w:color w:val="000000"/>
                <w:sz w:val="12"/>
                <w:szCs w:val="12"/>
              </w:rPr>
            </w:pPr>
          </w:p>
        </w:tc>
      </w:tr>
      <w:tr w:rsidR="002F590A" w14:paraId="310F0B00" w14:textId="77777777" w:rsidTr="002F590A">
        <w:trPr>
          <w:trHeight w:val="1866"/>
        </w:trPr>
        <w:tc>
          <w:tcPr>
            <w:tcW w:w="175" w:type="pct"/>
            <w:tcBorders>
              <w:top w:val="single" w:sz="4" w:space="0" w:color="auto"/>
              <w:left w:val="single" w:sz="4" w:space="0" w:color="auto"/>
              <w:bottom w:val="single" w:sz="4" w:space="0" w:color="auto"/>
              <w:right w:val="single" w:sz="4" w:space="0" w:color="auto"/>
            </w:tcBorders>
            <w:vAlign w:val="center"/>
            <w:hideMark/>
          </w:tcPr>
          <w:p w14:paraId="2E251955" w14:textId="77777777" w:rsidR="002F590A" w:rsidRDefault="002F590A">
            <w:pPr>
              <w:jc w:val="center"/>
              <w:rPr>
                <w:sz w:val="12"/>
                <w:szCs w:val="12"/>
              </w:rPr>
            </w:pPr>
            <w:r>
              <w:rPr>
                <w:sz w:val="12"/>
                <w:szCs w:val="12"/>
              </w:rPr>
              <w:t>3.2.5.1</w:t>
            </w:r>
          </w:p>
        </w:tc>
        <w:tc>
          <w:tcPr>
            <w:tcW w:w="262" w:type="pct"/>
            <w:tcBorders>
              <w:top w:val="single" w:sz="4" w:space="0" w:color="auto"/>
              <w:left w:val="single" w:sz="4" w:space="0" w:color="auto"/>
              <w:bottom w:val="single" w:sz="4" w:space="0" w:color="auto"/>
              <w:right w:val="single" w:sz="4" w:space="0" w:color="auto"/>
            </w:tcBorders>
            <w:vAlign w:val="center"/>
            <w:hideMark/>
          </w:tcPr>
          <w:p w14:paraId="604992EA" w14:textId="77777777" w:rsidR="002F590A" w:rsidRDefault="002F590A">
            <w:pPr>
              <w:rPr>
                <w:color w:val="000000"/>
                <w:sz w:val="12"/>
                <w:szCs w:val="12"/>
              </w:rPr>
            </w:pPr>
            <w:r>
              <w:rPr>
                <w:color w:val="000000"/>
                <w:sz w:val="12"/>
                <w:szCs w:val="12"/>
              </w:rPr>
              <w:t>Реконструкция циркуляционных насосов котлового контура</w:t>
            </w:r>
          </w:p>
        </w:tc>
        <w:tc>
          <w:tcPr>
            <w:tcW w:w="351" w:type="pct"/>
            <w:tcBorders>
              <w:top w:val="single" w:sz="4" w:space="0" w:color="auto"/>
              <w:left w:val="single" w:sz="4" w:space="0" w:color="auto"/>
              <w:bottom w:val="single" w:sz="4" w:space="0" w:color="auto"/>
              <w:right w:val="single" w:sz="4" w:space="0" w:color="auto"/>
            </w:tcBorders>
            <w:vAlign w:val="center"/>
            <w:hideMark/>
          </w:tcPr>
          <w:p w14:paraId="01960E54" w14:textId="77777777" w:rsidR="002F590A" w:rsidRDefault="002F590A">
            <w:pPr>
              <w:jc w:val="center"/>
              <w:rPr>
                <w:sz w:val="12"/>
                <w:szCs w:val="12"/>
              </w:rPr>
            </w:pPr>
            <w:r>
              <w:rPr>
                <w:sz w:val="12"/>
                <w:szCs w:val="12"/>
              </w:rPr>
              <w:t>Повышение надежности (бесперебойности) услуг теплоснабжения, повышение энергетической эффективности</w:t>
            </w:r>
          </w:p>
        </w:tc>
        <w:tc>
          <w:tcPr>
            <w:tcW w:w="259" w:type="pct"/>
            <w:tcBorders>
              <w:top w:val="single" w:sz="4" w:space="0" w:color="auto"/>
              <w:left w:val="single" w:sz="4" w:space="0" w:color="auto"/>
              <w:bottom w:val="single" w:sz="4" w:space="0" w:color="auto"/>
              <w:right w:val="single" w:sz="4" w:space="0" w:color="auto"/>
            </w:tcBorders>
            <w:vAlign w:val="center"/>
            <w:hideMark/>
          </w:tcPr>
          <w:p w14:paraId="74B04E88" w14:textId="77777777" w:rsidR="002F590A" w:rsidRDefault="002F590A">
            <w:pPr>
              <w:jc w:val="center"/>
              <w:rPr>
                <w:sz w:val="12"/>
                <w:szCs w:val="12"/>
              </w:rPr>
            </w:pPr>
            <w:r>
              <w:rPr>
                <w:sz w:val="12"/>
                <w:szCs w:val="12"/>
              </w:rPr>
              <w:t> </w:t>
            </w:r>
          </w:p>
        </w:tc>
        <w:tc>
          <w:tcPr>
            <w:tcW w:w="298" w:type="pct"/>
            <w:tcBorders>
              <w:top w:val="single" w:sz="4" w:space="0" w:color="auto"/>
              <w:left w:val="single" w:sz="4" w:space="0" w:color="auto"/>
              <w:bottom w:val="single" w:sz="4" w:space="0" w:color="auto"/>
              <w:right w:val="single" w:sz="4" w:space="0" w:color="auto"/>
            </w:tcBorders>
            <w:vAlign w:val="center"/>
            <w:hideMark/>
          </w:tcPr>
          <w:p w14:paraId="2AC1A315" w14:textId="77777777" w:rsidR="002F590A" w:rsidRDefault="002F590A">
            <w:pPr>
              <w:jc w:val="center"/>
              <w:rPr>
                <w:sz w:val="12"/>
                <w:szCs w:val="12"/>
              </w:rPr>
            </w:pPr>
            <w:r>
              <w:rPr>
                <w:color w:val="000000"/>
                <w:sz w:val="12"/>
                <w:szCs w:val="12"/>
              </w:rPr>
              <w:t>Технические характеристики</w:t>
            </w:r>
          </w:p>
        </w:tc>
        <w:tc>
          <w:tcPr>
            <w:tcW w:w="130" w:type="pct"/>
            <w:tcBorders>
              <w:top w:val="single" w:sz="4" w:space="0" w:color="auto"/>
              <w:left w:val="single" w:sz="4" w:space="0" w:color="auto"/>
              <w:bottom w:val="single" w:sz="4" w:space="0" w:color="auto"/>
              <w:right w:val="single" w:sz="4" w:space="0" w:color="auto"/>
            </w:tcBorders>
            <w:vAlign w:val="center"/>
          </w:tcPr>
          <w:p w14:paraId="619A1C64" w14:textId="77777777" w:rsidR="002F590A" w:rsidRDefault="002F590A">
            <w:pPr>
              <w:jc w:val="center"/>
              <w:rPr>
                <w:sz w:val="12"/>
                <w:szCs w:val="12"/>
              </w:rPr>
            </w:pPr>
          </w:p>
        </w:tc>
        <w:tc>
          <w:tcPr>
            <w:tcW w:w="359" w:type="pct"/>
            <w:tcBorders>
              <w:top w:val="single" w:sz="4" w:space="0" w:color="auto"/>
              <w:left w:val="single" w:sz="4" w:space="0" w:color="auto"/>
              <w:bottom w:val="single" w:sz="4" w:space="0" w:color="auto"/>
              <w:right w:val="single" w:sz="4" w:space="0" w:color="auto"/>
            </w:tcBorders>
            <w:vAlign w:val="center"/>
            <w:hideMark/>
          </w:tcPr>
          <w:p w14:paraId="70401845" w14:textId="77777777" w:rsidR="002F590A" w:rsidRDefault="002F590A">
            <w:pPr>
              <w:jc w:val="center"/>
              <w:rPr>
                <w:sz w:val="12"/>
                <w:szCs w:val="12"/>
              </w:rPr>
            </w:pPr>
            <w:r>
              <w:rPr>
                <w:sz w:val="12"/>
                <w:szCs w:val="12"/>
              </w:rPr>
              <w:t>Насос марки KSB Eta</w:t>
            </w:r>
            <w:r>
              <w:rPr>
                <w:sz w:val="12"/>
                <w:szCs w:val="12"/>
                <w:lang w:val="en-US"/>
              </w:rPr>
              <w:t>bloc</w:t>
            </w:r>
            <w:r>
              <w:rPr>
                <w:sz w:val="12"/>
                <w:szCs w:val="12"/>
              </w:rPr>
              <w:t xml:space="preserve"> 80-210\304, центробежный одноступенчатый, циркуляционный, электрический, перекачиваемая среда - неагрессивная жидкость, мощность 3 кВт, максимальная температура среды 140</w:t>
            </w:r>
            <w:r>
              <w:rPr>
                <w:rFonts w:ascii="Calibri" w:hAnsi="Calibri" w:cs="Calibri"/>
                <w:sz w:val="12"/>
                <w:szCs w:val="12"/>
              </w:rPr>
              <w:t>◦</w:t>
            </w:r>
            <w:r>
              <w:rPr>
                <w:sz w:val="12"/>
                <w:szCs w:val="12"/>
              </w:rPr>
              <w:t>С.</w:t>
            </w:r>
          </w:p>
        </w:tc>
        <w:tc>
          <w:tcPr>
            <w:tcW w:w="349" w:type="pct"/>
            <w:tcBorders>
              <w:top w:val="single" w:sz="4" w:space="0" w:color="auto"/>
              <w:left w:val="single" w:sz="4" w:space="0" w:color="auto"/>
              <w:bottom w:val="single" w:sz="4" w:space="0" w:color="auto"/>
              <w:right w:val="single" w:sz="4" w:space="0" w:color="auto"/>
            </w:tcBorders>
            <w:vAlign w:val="center"/>
            <w:hideMark/>
          </w:tcPr>
          <w:p w14:paraId="65EFF724" w14:textId="77777777" w:rsidR="002F590A" w:rsidRDefault="002F590A">
            <w:pPr>
              <w:jc w:val="center"/>
              <w:rPr>
                <w:sz w:val="12"/>
                <w:szCs w:val="12"/>
              </w:rPr>
            </w:pPr>
            <w:r>
              <w:rPr>
                <w:sz w:val="12"/>
                <w:szCs w:val="12"/>
              </w:rPr>
              <w:t>Оборудование с техническими характеристиками не ниже существующего на объекте.</w:t>
            </w:r>
          </w:p>
        </w:tc>
        <w:tc>
          <w:tcPr>
            <w:tcW w:w="131" w:type="pct"/>
            <w:tcBorders>
              <w:top w:val="single" w:sz="4" w:space="0" w:color="auto"/>
              <w:left w:val="single" w:sz="4" w:space="0" w:color="auto"/>
              <w:bottom w:val="single" w:sz="4" w:space="0" w:color="auto"/>
              <w:right w:val="single" w:sz="4" w:space="0" w:color="auto"/>
            </w:tcBorders>
            <w:vAlign w:val="center"/>
            <w:hideMark/>
          </w:tcPr>
          <w:p w14:paraId="41E90575" w14:textId="77777777" w:rsidR="002F590A" w:rsidRDefault="002F590A">
            <w:pPr>
              <w:jc w:val="center"/>
              <w:rPr>
                <w:sz w:val="12"/>
                <w:szCs w:val="12"/>
              </w:rPr>
            </w:pPr>
            <w:r>
              <w:rPr>
                <w:sz w:val="12"/>
                <w:szCs w:val="12"/>
              </w:rPr>
              <w:t>2025</w:t>
            </w:r>
          </w:p>
        </w:tc>
        <w:tc>
          <w:tcPr>
            <w:tcW w:w="133" w:type="pct"/>
            <w:tcBorders>
              <w:top w:val="single" w:sz="4" w:space="0" w:color="auto"/>
              <w:left w:val="single" w:sz="4" w:space="0" w:color="auto"/>
              <w:bottom w:val="single" w:sz="4" w:space="0" w:color="auto"/>
              <w:right w:val="single" w:sz="4" w:space="0" w:color="auto"/>
            </w:tcBorders>
            <w:vAlign w:val="center"/>
            <w:hideMark/>
          </w:tcPr>
          <w:p w14:paraId="23832A21" w14:textId="77777777" w:rsidR="002F590A" w:rsidRDefault="002F590A">
            <w:pPr>
              <w:jc w:val="center"/>
              <w:rPr>
                <w:sz w:val="12"/>
                <w:szCs w:val="12"/>
              </w:rPr>
            </w:pPr>
            <w:r>
              <w:rPr>
                <w:sz w:val="12"/>
                <w:szCs w:val="12"/>
              </w:rPr>
              <w:t>2025</w:t>
            </w:r>
          </w:p>
        </w:tc>
        <w:tc>
          <w:tcPr>
            <w:tcW w:w="198" w:type="pct"/>
            <w:tcBorders>
              <w:top w:val="single" w:sz="4" w:space="0" w:color="auto"/>
              <w:left w:val="single" w:sz="4" w:space="0" w:color="auto"/>
              <w:bottom w:val="single" w:sz="4" w:space="0" w:color="auto"/>
              <w:right w:val="single" w:sz="4" w:space="0" w:color="auto"/>
            </w:tcBorders>
            <w:vAlign w:val="center"/>
            <w:hideMark/>
          </w:tcPr>
          <w:p w14:paraId="79F3F88B" w14:textId="77777777" w:rsidR="002F590A" w:rsidRDefault="002F590A">
            <w:pPr>
              <w:jc w:val="center"/>
              <w:rPr>
                <w:color w:val="000000"/>
                <w:sz w:val="12"/>
                <w:szCs w:val="12"/>
              </w:rPr>
            </w:pPr>
            <w:r>
              <w:rPr>
                <w:color w:val="000000"/>
                <w:sz w:val="12"/>
                <w:szCs w:val="12"/>
              </w:rPr>
              <w:t>321,88</w:t>
            </w:r>
          </w:p>
        </w:tc>
        <w:tc>
          <w:tcPr>
            <w:tcW w:w="178" w:type="pct"/>
            <w:tcBorders>
              <w:top w:val="single" w:sz="4" w:space="0" w:color="auto"/>
              <w:left w:val="single" w:sz="4" w:space="0" w:color="auto"/>
              <w:bottom w:val="single" w:sz="4" w:space="0" w:color="auto"/>
              <w:right w:val="single" w:sz="4" w:space="0" w:color="auto"/>
            </w:tcBorders>
            <w:vAlign w:val="center"/>
            <w:hideMark/>
          </w:tcPr>
          <w:p w14:paraId="1F92F46B" w14:textId="77777777" w:rsidR="002F590A" w:rsidRDefault="002F590A">
            <w:pPr>
              <w:jc w:val="center"/>
              <w:rPr>
                <w:color w:val="000000"/>
                <w:sz w:val="12"/>
                <w:szCs w:val="12"/>
              </w:rPr>
            </w:pPr>
            <w:r>
              <w:rPr>
                <w:color w:val="000000"/>
                <w:sz w:val="12"/>
                <w:szCs w:val="12"/>
              </w:rPr>
              <w:t>0,00</w:t>
            </w:r>
          </w:p>
        </w:tc>
        <w:tc>
          <w:tcPr>
            <w:tcW w:w="218" w:type="pct"/>
            <w:tcBorders>
              <w:top w:val="single" w:sz="4" w:space="0" w:color="auto"/>
              <w:left w:val="single" w:sz="4" w:space="0" w:color="auto"/>
              <w:bottom w:val="single" w:sz="4" w:space="0" w:color="auto"/>
              <w:right w:val="single" w:sz="4" w:space="0" w:color="auto"/>
            </w:tcBorders>
            <w:vAlign w:val="center"/>
            <w:hideMark/>
          </w:tcPr>
          <w:p w14:paraId="63B77387" w14:textId="77777777" w:rsidR="002F590A" w:rsidRDefault="002F590A">
            <w:pPr>
              <w:jc w:val="center"/>
              <w:rPr>
                <w:sz w:val="12"/>
                <w:szCs w:val="12"/>
              </w:rPr>
            </w:pPr>
            <w:r>
              <w:rPr>
                <w:sz w:val="12"/>
                <w:szCs w:val="12"/>
              </w:rPr>
              <w:t>0,00</w:t>
            </w:r>
          </w:p>
        </w:tc>
        <w:tc>
          <w:tcPr>
            <w:tcW w:w="220" w:type="pct"/>
            <w:tcBorders>
              <w:top w:val="single" w:sz="4" w:space="0" w:color="auto"/>
              <w:left w:val="single" w:sz="4" w:space="0" w:color="auto"/>
              <w:bottom w:val="single" w:sz="4" w:space="0" w:color="auto"/>
              <w:right w:val="single" w:sz="4" w:space="0" w:color="auto"/>
            </w:tcBorders>
            <w:vAlign w:val="center"/>
            <w:hideMark/>
          </w:tcPr>
          <w:p w14:paraId="0FD7E6E6" w14:textId="77777777" w:rsidR="002F590A" w:rsidRDefault="002F590A">
            <w:pPr>
              <w:jc w:val="center"/>
              <w:rPr>
                <w:sz w:val="12"/>
                <w:szCs w:val="12"/>
              </w:rPr>
            </w:pPr>
            <w:r>
              <w:rPr>
                <w:sz w:val="12"/>
                <w:szCs w:val="12"/>
              </w:rPr>
              <w:t>0,00</w:t>
            </w:r>
          </w:p>
        </w:tc>
        <w:tc>
          <w:tcPr>
            <w:tcW w:w="214" w:type="pct"/>
            <w:tcBorders>
              <w:top w:val="single" w:sz="4" w:space="0" w:color="auto"/>
              <w:left w:val="single" w:sz="4" w:space="0" w:color="auto"/>
              <w:bottom w:val="single" w:sz="4" w:space="0" w:color="auto"/>
              <w:right w:val="single" w:sz="4" w:space="0" w:color="auto"/>
            </w:tcBorders>
            <w:vAlign w:val="center"/>
            <w:hideMark/>
          </w:tcPr>
          <w:p w14:paraId="68C1CBC3" w14:textId="77777777" w:rsidR="002F590A" w:rsidRDefault="002F590A">
            <w:pPr>
              <w:jc w:val="center"/>
              <w:rPr>
                <w:sz w:val="12"/>
                <w:szCs w:val="12"/>
              </w:rPr>
            </w:pPr>
            <w:r>
              <w:rPr>
                <w:sz w:val="12"/>
                <w:szCs w:val="12"/>
              </w:rPr>
              <w:t>0,00</w:t>
            </w:r>
          </w:p>
        </w:tc>
        <w:tc>
          <w:tcPr>
            <w:tcW w:w="179" w:type="pct"/>
            <w:tcBorders>
              <w:top w:val="single" w:sz="4" w:space="0" w:color="auto"/>
              <w:left w:val="single" w:sz="4" w:space="0" w:color="auto"/>
              <w:bottom w:val="single" w:sz="4" w:space="0" w:color="auto"/>
              <w:right w:val="single" w:sz="4" w:space="0" w:color="auto"/>
            </w:tcBorders>
            <w:vAlign w:val="center"/>
            <w:hideMark/>
          </w:tcPr>
          <w:p w14:paraId="6DB2D93F" w14:textId="77777777" w:rsidR="002F590A" w:rsidRDefault="002F590A">
            <w:pPr>
              <w:jc w:val="center"/>
              <w:rPr>
                <w:sz w:val="12"/>
                <w:szCs w:val="12"/>
              </w:rPr>
            </w:pPr>
            <w:r>
              <w:rPr>
                <w:sz w:val="12"/>
                <w:szCs w:val="12"/>
              </w:rPr>
              <w:t>321,88</w:t>
            </w:r>
          </w:p>
        </w:tc>
        <w:tc>
          <w:tcPr>
            <w:tcW w:w="171" w:type="pct"/>
            <w:tcBorders>
              <w:top w:val="single" w:sz="4" w:space="0" w:color="auto"/>
              <w:left w:val="single" w:sz="4" w:space="0" w:color="auto"/>
              <w:bottom w:val="single" w:sz="4" w:space="0" w:color="auto"/>
              <w:right w:val="single" w:sz="4" w:space="0" w:color="auto"/>
            </w:tcBorders>
            <w:vAlign w:val="center"/>
            <w:hideMark/>
          </w:tcPr>
          <w:p w14:paraId="014524D3"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54A26B86" w14:textId="77777777" w:rsidR="002F590A" w:rsidRDefault="002F590A">
            <w:pPr>
              <w:jc w:val="center"/>
              <w:rPr>
                <w:sz w:val="12"/>
                <w:szCs w:val="12"/>
              </w:rPr>
            </w:pPr>
            <w:r>
              <w:rPr>
                <w:sz w:val="12"/>
                <w:szCs w:val="12"/>
              </w:rPr>
              <w:t>0,00</w:t>
            </w:r>
          </w:p>
        </w:tc>
        <w:tc>
          <w:tcPr>
            <w:tcW w:w="177" w:type="pct"/>
            <w:tcBorders>
              <w:top w:val="single" w:sz="4" w:space="0" w:color="auto"/>
              <w:left w:val="single" w:sz="4" w:space="0" w:color="auto"/>
              <w:bottom w:val="single" w:sz="4" w:space="0" w:color="auto"/>
              <w:right w:val="single" w:sz="4" w:space="0" w:color="auto"/>
            </w:tcBorders>
            <w:vAlign w:val="center"/>
            <w:hideMark/>
          </w:tcPr>
          <w:p w14:paraId="7603C859"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0A29ED61"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05845D36" w14:textId="77777777" w:rsidR="002F590A" w:rsidRDefault="002F590A">
            <w:pPr>
              <w:jc w:val="center"/>
              <w:rPr>
                <w:sz w:val="12"/>
                <w:szCs w:val="12"/>
              </w:rPr>
            </w:pPr>
            <w:r>
              <w:rPr>
                <w:sz w:val="12"/>
                <w:szCs w:val="12"/>
              </w:rPr>
              <w:t>0,00</w:t>
            </w:r>
          </w:p>
        </w:tc>
        <w:tc>
          <w:tcPr>
            <w:tcW w:w="177" w:type="pct"/>
            <w:tcBorders>
              <w:top w:val="single" w:sz="4" w:space="0" w:color="auto"/>
              <w:left w:val="single" w:sz="4" w:space="0" w:color="auto"/>
              <w:bottom w:val="single" w:sz="4" w:space="0" w:color="auto"/>
              <w:right w:val="single" w:sz="4" w:space="0" w:color="auto"/>
            </w:tcBorders>
            <w:vAlign w:val="center"/>
            <w:hideMark/>
          </w:tcPr>
          <w:p w14:paraId="41F89238"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780E519F" w14:textId="77777777" w:rsidR="002F590A" w:rsidRDefault="002F590A">
            <w:pPr>
              <w:jc w:val="center"/>
              <w:rPr>
                <w:color w:val="000000"/>
                <w:sz w:val="12"/>
                <w:szCs w:val="12"/>
              </w:rPr>
            </w:pPr>
            <w:r>
              <w:rPr>
                <w:color w:val="000000"/>
                <w:sz w:val="12"/>
                <w:szCs w:val="12"/>
              </w:rPr>
              <w:t>0,00</w:t>
            </w:r>
          </w:p>
        </w:tc>
        <w:tc>
          <w:tcPr>
            <w:tcW w:w="128" w:type="pct"/>
            <w:tcBorders>
              <w:top w:val="single" w:sz="4" w:space="0" w:color="auto"/>
              <w:left w:val="single" w:sz="4" w:space="0" w:color="auto"/>
              <w:bottom w:val="single" w:sz="4" w:space="0" w:color="auto"/>
              <w:right w:val="single" w:sz="4" w:space="0" w:color="auto"/>
            </w:tcBorders>
            <w:vAlign w:val="center"/>
            <w:hideMark/>
          </w:tcPr>
          <w:p w14:paraId="585E3473" w14:textId="77777777" w:rsidR="002F590A" w:rsidRDefault="002F590A">
            <w:pPr>
              <w:jc w:val="center"/>
              <w:rPr>
                <w:color w:val="000000"/>
                <w:sz w:val="12"/>
                <w:szCs w:val="12"/>
              </w:rPr>
            </w:pPr>
            <w:r>
              <w:rPr>
                <w:color w:val="000000"/>
                <w:sz w:val="12"/>
                <w:szCs w:val="12"/>
              </w:rPr>
              <w:t>0,00</w:t>
            </w:r>
          </w:p>
        </w:tc>
      </w:tr>
      <w:tr w:rsidR="002F590A" w14:paraId="3BB827E6" w14:textId="77777777" w:rsidTr="002F590A">
        <w:trPr>
          <w:trHeight w:val="1197"/>
        </w:trPr>
        <w:tc>
          <w:tcPr>
            <w:tcW w:w="175" w:type="pct"/>
            <w:tcBorders>
              <w:top w:val="single" w:sz="4" w:space="0" w:color="auto"/>
              <w:left w:val="single" w:sz="4" w:space="0" w:color="auto"/>
              <w:bottom w:val="single" w:sz="4" w:space="0" w:color="auto"/>
              <w:right w:val="single" w:sz="4" w:space="0" w:color="auto"/>
            </w:tcBorders>
            <w:vAlign w:val="center"/>
            <w:hideMark/>
          </w:tcPr>
          <w:p w14:paraId="2925D612" w14:textId="77777777" w:rsidR="002F590A" w:rsidRDefault="002F590A">
            <w:pPr>
              <w:jc w:val="center"/>
              <w:rPr>
                <w:sz w:val="12"/>
                <w:szCs w:val="12"/>
              </w:rPr>
            </w:pPr>
            <w:r>
              <w:rPr>
                <w:sz w:val="12"/>
                <w:szCs w:val="12"/>
              </w:rPr>
              <w:t>3.2.5.2</w:t>
            </w:r>
          </w:p>
        </w:tc>
        <w:tc>
          <w:tcPr>
            <w:tcW w:w="262" w:type="pct"/>
            <w:tcBorders>
              <w:top w:val="single" w:sz="4" w:space="0" w:color="auto"/>
              <w:left w:val="single" w:sz="4" w:space="0" w:color="auto"/>
              <w:bottom w:val="single" w:sz="4" w:space="0" w:color="auto"/>
              <w:right w:val="single" w:sz="4" w:space="0" w:color="auto"/>
            </w:tcBorders>
            <w:vAlign w:val="center"/>
            <w:hideMark/>
          </w:tcPr>
          <w:p w14:paraId="2B922690" w14:textId="77777777" w:rsidR="002F590A" w:rsidRDefault="002F590A">
            <w:pPr>
              <w:rPr>
                <w:sz w:val="12"/>
                <w:szCs w:val="12"/>
              </w:rPr>
            </w:pPr>
            <w:r>
              <w:rPr>
                <w:sz w:val="12"/>
                <w:szCs w:val="12"/>
              </w:rPr>
              <w:t>Реконструкция кровли здания котельной</w:t>
            </w:r>
          </w:p>
        </w:tc>
        <w:tc>
          <w:tcPr>
            <w:tcW w:w="351" w:type="pct"/>
            <w:tcBorders>
              <w:top w:val="single" w:sz="4" w:space="0" w:color="auto"/>
              <w:left w:val="single" w:sz="4" w:space="0" w:color="auto"/>
              <w:bottom w:val="single" w:sz="4" w:space="0" w:color="auto"/>
              <w:right w:val="single" w:sz="4" w:space="0" w:color="auto"/>
            </w:tcBorders>
            <w:vAlign w:val="center"/>
            <w:hideMark/>
          </w:tcPr>
          <w:p w14:paraId="20DE3ABB" w14:textId="77777777" w:rsidR="002F590A" w:rsidRDefault="002F590A">
            <w:pPr>
              <w:jc w:val="center"/>
              <w:rPr>
                <w:sz w:val="12"/>
                <w:szCs w:val="12"/>
              </w:rPr>
            </w:pPr>
            <w:r>
              <w:rPr>
                <w:sz w:val="12"/>
                <w:szCs w:val="12"/>
              </w:rPr>
              <w:t>Повышение надежности (бесперебойности) услуг теплоснабжения, повышение энергетической эффективности</w:t>
            </w:r>
          </w:p>
        </w:tc>
        <w:tc>
          <w:tcPr>
            <w:tcW w:w="259" w:type="pct"/>
            <w:tcBorders>
              <w:top w:val="single" w:sz="4" w:space="0" w:color="auto"/>
              <w:left w:val="single" w:sz="4" w:space="0" w:color="auto"/>
              <w:bottom w:val="single" w:sz="4" w:space="0" w:color="auto"/>
              <w:right w:val="single" w:sz="4" w:space="0" w:color="auto"/>
            </w:tcBorders>
            <w:vAlign w:val="center"/>
            <w:hideMark/>
          </w:tcPr>
          <w:p w14:paraId="087FD84D" w14:textId="77777777" w:rsidR="002F590A" w:rsidRDefault="002F590A">
            <w:pPr>
              <w:jc w:val="center"/>
              <w:rPr>
                <w:sz w:val="12"/>
                <w:szCs w:val="12"/>
              </w:rPr>
            </w:pPr>
            <w:r>
              <w:rPr>
                <w:sz w:val="12"/>
                <w:szCs w:val="12"/>
              </w:rPr>
              <w:t> </w:t>
            </w:r>
          </w:p>
        </w:tc>
        <w:tc>
          <w:tcPr>
            <w:tcW w:w="298" w:type="pct"/>
            <w:tcBorders>
              <w:top w:val="single" w:sz="4" w:space="0" w:color="auto"/>
              <w:left w:val="single" w:sz="4" w:space="0" w:color="auto"/>
              <w:bottom w:val="single" w:sz="4" w:space="0" w:color="auto"/>
              <w:right w:val="single" w:sz="4" w:space="0" w:color="auto"/>
            </w:tcBorders>
            <w:vAlign w:val="center"/>
            <w:hideMark/>
          </w:tcPr>
          <w:p w14:paraId="2B99B693" w14:textId="77777777" w:rsidR="002F590A" w:rsidRDefault="002F590A">
            <w:pPr>
              <w:jc w:val="center"/>
              <w:rPr>
                <w:sz w:val="12"/>
                <w:szCs w:val="12"/>
              </w:rPr>
            </w:pPr>
            <w:r>
              <w:rPr>
                <w:color w:val="000000"/>
                <w:sz w:val="12"/>
                <w:szCs w:val="12"/>
              </w:rPr>
              <w:t>Технические характеристики</w:t>
            </w:r>
          </w:p>
        </w:tc>
        <w:tc>
          <w:tcPr>
            <w:tcW w:w="130" w:type="pct"/>
            <w:tcBorders>
              <w:top w:val="single" w:sz="4" w:space="0" w:color="auto"/>
              <w:left w:val="single" w:sz="4" w:space="0" w:color="auto"/>
              <w:bottom w:val="single" w:sz="4" w:space="0" w:color="auto"/>
              <w:right w:val="single" w:sz="4" w:space="0" w:color="auto"/>
            </w:tcBorders>
            <w:vAlign w:val="center"/>
          </w:tcPr>
          <w:p w14:paraId="42FDEC82" w14:textId="77777777" w:rsidR="002F590A" w:rsidRDefault="002F590A">
            <w:pPr>
              <w:jc w:val="center"/>
              <w:rPr>
                <w:sz w:val="12"/>
                <w:szCs w:val="12"/>
              </w:rPr>
            </w:pPr>
          </w:p>
        </w:tc>
        <w:tc>
          <w:tcPr>
            <w:tcW w:w="359" w:type="pct"/>
            <w:tcBorders>
              <w:top w:val="single" w:sz="4" w:space="0" w:color="auto"/>
              <w:left w:val="single" w:sz="4" w:space="0" w:color="auto"/>
              <w:bottom w:val="single" w:sz="4" w:space="0" w:color="auto"/>
              <w:right w:val="single" w:sz="4" w:space="0" w:color="auto"/>
            </w:tcBorders>
            <w:vAlign w:val="center"/>
            <w:hideMark/>
          </w:tcPr>
          <w:p w14:paraId="22671F87" w14:textId="77777777" w:rsidR="002F590A" w:rsidRDefault="002F590A">
            <w:pPr>
              <w:jc w:val="center"/>
              <w:rPr>
                <w:sz w:val="12"/>
                <w:szCs w:val="12"/>
              </w:rPr>
            </w:pPr>
            <w:r>
              <w:rPr>
                <w:sz w:val="12"/>
                <w:szCs w:val="12"/>
              </w:rPr>
              <w:t>Изоляционный слой толщиной 75 мм</w:t>
            </w:r>
          </w:p>
        </w:tc>
        <w:tc>
          <w:tcPr>
            <w:tcW w:w="349" w:type="pct"/>
            <w:tcBorders>
              <w:top w:val="single" w:sz="4" w:space="0" w:color="auto"/>
              <w:left w:val="single" w:sz="4" w:space="0" w:color="auto"/>
              <w:bottom w:val="single" w:sz="4" w:space="0" w:color="auto"/>
              <w:right w:val="single" w:sz="4" w:space="0" w:color="auto"/>
            </w:tcBorders>
            <w:vAlign w:val="center"/>
            <w:hideMark/>
          </w:tcPr>
          <w:p w14:paraId="693151E3" w14:textId="77777777" w:rsidR="002F590A" w:rsidRDefault="002F590A">
            <w:pPr>
              <w:jc w:val="center"/>
              <w:rPr>
                <w:sz w:val="12"/>
                <w:szCs w:val="12"/>
              </w:rPr>
            </w:pPr>
            <w:r>
              <w:rPr>
                <w:sz w:val="12"/>
                <w:szCs w:val="12"/>
              </w:rPr>
              <w:t>Укладка изоляционного слоя не меньше существующего, установка обрешетки, профлиста, снегозадержателей</w:t>
            </w:r>
          </w:p>
        </w:tc>
        <w:tc>
          <w:tcPr>
            <w:tcW w:w="131" w:type="pct"/>
            <w:tcBorders>
              <w:top w:val="single" w:sz="4" w:space="0" w:color="auto"/>
              <w:left w:val="single" w:sz="4" w:space="0" w:color="auto"/>
              <w:bottom w:val="single" w:sz="4" w:space="0" w:color="auto"/>
              <w:right w:val="single" w:sz="4" w:space="0" w:color="auto"/>
            </w:tcBorders>
            <w:vAlign w:val="center"/>
            <w:hideMark/>
          </w:tcPr>
          <w:p w14:paraId="241F551F" w14:textId="77777777" w:rsidR="002F590A" w:rsidRDefault="002F590A">
            <w:pPr>
              <w:jc w:val="center"/>
              <w:rPr>
                <w:sz w:val="12"/>
                <w:szCs w:val="12"/>
              </w:rPr>
            </w:pPr>
            <w:r>
              <w:rPr>
                <w:sz w:val="12"/>
                <w:szCs w:val="12"/>
              </w:rPr>
              <w:t>2030</w:t>
            </w:r>
          </w:p>
        </w:tc>
        <w:tc>
          <w:tcPr>
            <w:tcW w:w="133" w:type="pct"/>
            <w:tcBorders>
              <w:top w:val="single" w:sz="4" w:space="0" w:color="auto"/>
              <w:left w:val="single" w:sz="4" w:space="0" w:color="auto"/>
              <w:bottom w:val="single" w:sz="4" w:space="0" w:color="auto"/>
              <w:right w:val="single" w:sz="4" w:space="0" w:color="auto"/>
            </w:tcBorders>
            <w:vAlign w:val="center"/>
            <w:hideMark/>
          </w:tcPr>
          <w:p w14:paraId="61115010" w14:textId="77777777" w:rsidR="002F590A" w:rsidRDefault="002F590A">
            <w:pPr>
              <w:jc w:val="center"/>
              <w:rPr>
                <w:sz w:val="12"/>
                <w:szCs w:val="12"/>
              </w:rPr>
            </w:pPr>
            <w:r>
              <w:rPr>
                <w:sz w:val="12"/>
                <w:szCs w:val="12"/>
              </w:rPr>
              <w:t>2030</w:t>
            </w:r>
          </w:p>
        </w:tc>
        <w:tc>
          <w:tcPr>
            <w:tcW w:w="198" w:type="pct"/>
            <w:tcBorders>
              <w:top w:val="single" w:sz="4" w:space="0" w:color="auto"/>
              <w:left w:val="single" w:sz="4" w:space="0" w:color="auto"/>
              <w:bottom w:val="single" w:sz="4" w:space="0" w:color="auto"/>
              <w:right w:val="single" w:sz="4" w:space="0" w:color="auto"/>
            </w:tcBorders>
            <w:vAlign w:val="center"/>
            <w:hideMark/>
          </w:tcPr>
          <w:p w14:paraId="703972CA" w14:textId="77777777" w:rsidR="002F590A" w:rsidRDefault="002F590A">
            <w:pPr>
              <w:jc w:val="center"/>
              <w:rPr>
                <w:color w:val="000000"/>
                <w:sz w:val="12"/>
                <w:szCs w:val="12"/>
              </w:rPr>
            </w:pPr>
            <w:r>
              <w:rPr>
                <w:color w:val="000000"/>
                <w:sz w:val="12"/>
                <w:szCs w:val="12"/>
              </w:rPr>
              <w:t>821,9</w:t>
            </w:r>
          </w:p>
        </w:tc>
        <w:tc>
          <w:tcPr>
            <w:tcW w:w="178" w:type="pct"/>
            <w:tcBorders>
              <w:top w:val="single" w:sz="4" w:space="0" w:color="auto"/>
              <w:left w:val="single" w:sz="4" w:space="0" w:color="auto"/>
              <w:bottom w:val="single" w:sz="4" w:space="0" w:color="auto"/>
              <w:right w:val="single" w:sz="4" w:space="0" w:color="auto"/>
            </w:tcBorders>
            <w:vAlign w:val="center"/>
            <w:hideMark/>
          </w:tcPr>
          <w:p w14:paraId="66F5AEAF" w14:textId="77777777" w:rsidR="002F590A" w:rsidRDefault="002F590A">
            <w:pPr>
              <w:jc w:val="center"/>
              <w:rPr>
                <w:color w:val="000000"/>
                <w:sz w:val="12"/>
                <w:szCs w:val="12"/>
              </w:rPr>
            </w:pPr>
            <w:r>
              <w:rPr>
                <w:color w:val="000000"/>
                <w:sz w:val="12"/>
                <w:szCs w:val="12"/>
              </w:rPr>
              <w:t>0,00</w:t>
            </w:r>
          </w:p>
        </w:tc>
        <w:tc>
          <w:tcPr>
            <w:tcW w:w="218" w:type="pct"/>
            <w:tcBorders>
              <w:top w:val="single" w:sz="4" w:space="0" w:color="auto"/>
              <w:left w:val="single" w:sz="4" w:space="0" w:color="auto"/>
              <w:bottom w:val="single" w:sz="4" w:space="0" w:color="auto"/>
              <w:right w:val="single" w:sz="4" w:space="0" w:color="auto"/>
            </w:tcBorders>
            <w:vAlign w:val="center"/>
            <w:hideMark/>
          </w:tcPr>
          <w:p w14:paraId="7A3B60CA" w14:textId="77777777" w:rsidR="002F590A" w:rsidRDefault="002F590A">
            <w:pPr>
              <w:jc w:val="center"/>
              <w:rPr>
                <w:sz w:val="12"/>
                <w:szCs w:val="12"/>
              </w:rPr>
            </w:pPr>
            <w:r>
              <w:rPr>
                <w:sz w:val="12"/>
                <w:szCs w:val="12"/>
              </w:rPr>
              <w:t>0,00</w:t>
            </w:r>
          </w:p>
        </w:tc>
        <w:tc>
          <w:tcPr>
            <w:tcW w:w="220" w:type="pct"/>
            <w:tcBorders>
              <w:top w:val="single" w:sz="4" w:space="0" w:color="auto"/>
              <w:left w:val="single" w:sz="4" w:space="0" w:color="auto"/>
              <w:bottom w:val="single" w:sz="4" w:space="0" w:color="auto"/>
              <w:right w:val="single" w:sz="4" w:space="0" w:color="auto"/>
            </w:tcBorders>
            <w:vAlign w:val="center"/>
            <w:hideMark/>
          </w:tcPr>
          <w:p w14:paraId="52FD10D4" w14:textId="77777777" w:rsidR="002F590A" w:rsidRDefault="002F590A">
            <w:pPr>
              <w:jc w:val="center"/>
              <w:rPr>
                <w:sz w:val="12"/>
                <w:szCs w:val="12"/>
              </w:rPr>
            </w:pPr>
            <w:r>
              <w:rPr>
                <w:sz w:val="12"/>
                <w:szCs w:val="12"/>
              </w:rPr>
              <w:t>0,00</w:t>
            </w:r>
          </w:p>
        </w:tc>
        <w:tc>
          <w:tcPr>
            <w:tcW w:w="214" w:type="pct"/>
            <w:tcBorders>
              <w:top w:val="single" w:sz="4" w:space="0" w:color="auto"/>
              <w:left w:val="single" w:sz="4" w:space="0" w:color="auto"/>
              <w:bottom w:val="single" w:sz="4" w:space="0" w:color="auto"/>
              <w:right w:val="single" w:sz="4" w:space="0" w:color="auto"/>
            </w:tcBorders>
            <w:vAlign w:val="center"/>
            <w:hideMark/>
          </w:tcPr>
          <w:p w14:paraId="517B8123" w14:textId="77777777" w:rsidR="002F590A" w:rsidRDefault="002F590A">
            <w:pPr>
              <w:jc w:val="center"/>
              <w:rPr>
                <w:sz w:val="12"/>
                <w:szCs w:val="12"/>
              </w:rPr>
            </w:pPr>
            <w:r>
              <w:rPr>
                <w:sz w:val="12"/>
                <w:szCs w:val="12"/>
              </w:rPr>
              <w:t>0,00</w:t>
            </w:r>
          </w:p>
        </w:tc>
        <w:tc>
          <w:tcPr>
            <w:tcW w:w="179" w:type="pct"/>
            <w:tcBorders>
              <w:top w:val="single" w:sz="4" w:space="0" w:color="auto"/>
              <w:left w:val="single" w:sz="4" w:space="0" w:color="auto"/>
              <w:bottom w:val="single" w:sz="4" w:space="0" w:color="auto"/>
              <w:right w:val="single" w:sz="4" w:space="0" w:color="auto"/>
            </w:tcBorders>
            <w:vAlign w:val="center"/>
            <w:hideMark/>
          </w:tcPr>
          <w:p w14:paraId="0A15F9AE" w14:textId="77777777" w:rsidR="002F590A" w:rsidRDefault="002F590A">
            <w:pPr>
              <w:jc w:val="center"/>
              <w:rPr>
                <w:sz w:val="12"/>
                <w:szCs w:val="12"/>
              </w:rPr>
            </w:pPr>
            <w:r>
              <w:rPr>
                <w:sz w:val="12"/>
                <w:szCs w:val="12"/>
              </w:rPr>
              <w:t>0,00</w:t>
            </w:r>
          </w:p>
        </w:tc>
        <w:tc>
          <w:tcPr>
            <w:tcW w:w="171" w:type="pct"/>
            <w:tcBorders>
              <w:top w:val="single" w:sz="4" w:space="0" w:color="auto"/>
              <w:left w:val="single" w:sz="4" w:space="0" w:color="auto"/>
              <w:bottom w:val="single" w:sz="4" w:space="0" w:color="auto"/>
              <w:right w:val="single" w:sz="4" w:space="0" w:color="auto"/>
            </w:tcBorders>
            <w:vAlign w:val="center"/>
            <w:hideMark/>
          </w:tcPr>
          <w:p w14:paraId="08183326"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236EEF5B" w14:textId="77777777" w:rsidR="002F590A" w:rsidRDefault="002F590A">
            <w:pPr>
              <w:jc w:val="center"/>
              <w:rPr>
                <w:sz w:val="12"/>
                <w:szCs w:val="12"/>
              </w:rPr>
            </w:pPr>
            <w:r>
              <w:rPr>
                <w:sz w:val="12"/>
                <w:szCs w:val="12"/>
              </w:rPr>
              <w:t>0,00</w:t>
            </w:r>
          </w:p>
        </w:tc>
        <w:tc>
          <w:tcPr>
            <w:tcW w:w="177" w:type="pct"/>
            <w:tcBorders>
              <w:top w:val="single" w:sz="4" w:space="0" w:color="auto"/>
              <w:left w:val="single" w:sz="4" w:space="0" w:color="auto"/>
              <w:bottom w:val="single" w:sz="4" w:space="0" w:color="auto"/>
              <w:right w:val="single" w:sz="4" w:space="0" w:color="auto"/>
            </w:tcBorders>
            <w:vAlign w:val="center"/>
            <w:hideMark/>
          </w:tcPr>
          <w:p w14:paraId="71E13286"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675C2EEC"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5680F178" w14:textId="77777777" w:rsidR="002F590A" w:rsidRDefault="002F590A">
            <w:pPr>
              <w:jc w:val="center"/>
              <w:rPr>
                <w:sz w:val="12"/>
                <w:szCs w:val="12"/>
              </w:rPr>
            </w:pPr>
            <w:r>
              <w:rPr>
                <w:sz w:val="12"/>
                <w:szCs w:val="12"/>
              </w:rPr>
              <w:t>821,9</w:t>
            </w:r>
          </w:p>
        </w:tc>
        <w:tc>
          <w:tcPr>
            <w:tcW w:w="177" w:type="pct"/>
            <w:tcBorders>
              <w:top w:val="single" w:sz="4" w:space="0" w:color="auto"/>
              <w:left w:val="single" w:sz="4" w:space="0" w:color="auto"/>
              <w:bottom w:val="single" w:sz="4" w:space="0" w:color="auto"/>
              <w:right w:val="single" w:sz="4" w:space="0" w:color="auto"/>
            </w:tcBorders>
            <w:vAlign w:val="center"/>
            <w:hideMark/>
          </w:tcPr>
          <w:p w14:paraId="2BBC6B5A"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766F1E9A" w14:textId="77777777" w:rsidR="002F590A" w:rsidRDefault="002F590A">
            <w:pPr>
              <w:jc w:val="center"/>
              <w:rPr>
                <w:color w:val="000000"/>
                <w:sz w:val="12"/>
                <w:szCs w:val="12"/>
              </w:rPr>
            </w:pPr>
            <w:r>
              <w:rPr>
                <w:color w:val="000000"/>
                <w:sz w:val="12"/>
                <w:szCs w:val="12"/>
              </w:rPr>
              <w:t>0,00</w:t>
            </w:r>
          </w:p>
        </w:tc>
        <w:tc>
          <w:tcPr>
            <w:tcW w:w="128" w:type="pct"/>
            <w:tcBorders>
              <w:top w:val="single" w:sz="4" w:space="0" w:color="auto"/>
              <w:left w:val="single" w:sz="4" w:space="0" w:color="auto"/>
              <w:bottom w:val="single" w:sz="4" w:space="0" w:color="auto"/>
              <w:right w:val="single" w:sz="4" w:space="0" w:color="auto"/>
            </w:tcBorders>
            <w:vAlign w:val="center"/>
            <w:hideMark/>
          </w:tcPr>
          <w:p w14:paraId="1FF60204" w14:textId="77777777" w:rsidR="002F590A" w:rsidRDefault="002F590A">
            <w:pPr>
              <w:jc w:val="center"/>
              <w:rPr>
                <w:color w:val="000000"/>
                <w:sz w:val="12"/>
                <w:szCs w:val="12"/>
              </w:rPr>
            </w:pPr>
            <w:r>
              <w:rPr>
                <w:color w:val="000000"/>
                <w:sz w:val="12"/>
                <w:szCs w:val="12"/>
              </w:rPr>
              <w:t>0,00</w:t>
            </w:r>
          </w:p>
        </w:tc>
      </w:tr>
      <w:tr w:rsidR="002F590A" w14:paraId="048D5468" w14:textId="77777777" w:rsidTr="002F590A">
        <w:trPr>
          <w:trHeight w:val="1781"/>
        </w:trPr>
        <w:tc>
          <w:tcPr>
            <w:tcW w:w="175" w:type="pct"/>
            <w:tcBorders>
              <w:top w:val="single" w:sz="4" w:space="0" w:color="auto"/>
              <w:left w:val="single" w:sz="4" w:space="0" w:color="auto"/>
              <w:bottom w:val="single" w:sz="4" w:space="0" w:color="auto"/>
              <w:right w:val="single" w:sz="4" w:space="0" w:color="auto"/>
            </w:tcBorders>
            <w:vAlign w:val="center"/>
            <w:hideMark/>
          </w:tcPr>
          <w:p w14:paraId="22DF713B" w14:textId="77777777" w:rsidR="002F590A" w:rsidRDefault="002F590A">
            <w:pPr>
              <w:jc w:val="center"/>
              <w:rPr>
                <w:bCs/>
                <w:sz w:val="12"/>
                <w:szCs w:val="12"/>
              </w:rPr>
            </w:pPr>
            <w:r>
              <w:rPr>
                <w:bCs/>
                <w:sz w:val="12"/>
                <w:szCs w:val="12"/>
              </w:rPr>
              <w:t>3.2.6.</w:t>
            </w:r>
          </w:p>
        </w:tc>
        <w:tc>
          <w:tcPr>
            <w:tcW w:w="262" w:type="pct"/>
            <w:tcBorders>
              <w:top w:val="single" w:sz="4" w:space="0" w:color="auto"/>
              <w:left w:val="single" w:sz="4" w:space="0" w:color="auto"/>
              <w:bottom w:val="single" w:sz="4" w:space="0" w:color="auto"/>
              <w:right w:val="single" w:sz="4" w:space="0" w:color="auto"/>
            </w:tcBorders>
            <w:vAlign w:val="center"/>
            <w:hideMark/>
          </w:tcPr>
          <w:p w14:paraId="7107B3A1" w14:textId="77777777" w:rsidR="002F590A" w:rsidRDefault="002F590A">
            <w:pPr>
              <w:rPr>
                <w:bCs/>
                <w:color w:val="000000"/>
                <w:sz w:val="12"/>
                <w:szCs w:val="12"/>
              </w:rPr>
            </w:pPr>
            <w:r>
              <w:rPr>
                <w:bCs/>
                <w:color w:val="000000"/>
                <w:sz w:val="12"/>
                <w:szCs w:val="12"/>
              </w:rPr>
              <w:t>Реконструкция котельной №34</w:t>
            </w:r>
          </w:p>
        </w:tc>
        <w:tc>
          <w:tcPr>
            <w:tcW w:w="351" w:type="pct"/>
            <w:tcBorders>
              <w:top w:val="single" w:sz="4" w:space="0" w:color="auto"/>
              <w:left w:val="single" w:sz="4" w:space="0" w:color="auto"/>
              <w:bottom w:val="single" w:sz="4" w:space="0" w:color="auto"/>
              <w:right w:val="single" w:sz="4" w:space="0" w:color="auto"/>
            </w:tcBorders>
            <w:vAlign w:val="center"/>
          </w:tcPr>
          <w:p w14:paraId="4F832777" w14:textId="77777777" w:rsidR="002F590A" w:rsidRDefault="002F590A">
            <w:pPr>
              <w:jc w:val="center"/>
              <w:rPr>
                <w:sz w:val="12"/>
                <w:szCs w:val="12"/>
              </w:rPr>
            </w:pPr>
          </w:p>
        </w:tc>
        <w:tc>
          <w:tcPr>
            <w:tcW w:w="259" w:type="pct"/>
            <w:tcBorders>
              <w:top w:val="single" w:sz="4" w:space="0" w:color="auto"/>
              <w:left w:val="single" w:sz="4" w:space="0" w:color="auto"/>
              <w:bottom w:val="single" w:sz="4" w:space="0" w:color="auto"/>
              <w:right w:val="single" w:sz="4" w:space="0" w:color="auto"/>
            </w:tcBorders>
            <w:vAlign w:val="center"/>
            <w:hideMark/>
          </w:tcPr>
          <w:p w14:paraId="758DE35C" w14:textId="77777777" w:rsidR="002F590A" w:rsidRDefault="002F590A">
            <w:pPr>
              <w:jc w:val="center"/>
              <w:rPr>
                <w:bCs/>
                <w:sz w:val="12"/>
                <w:szCs w:val="12"/>
              </w:rPr>
            </w:pPr>
            <w:r>
              <w:rPr>
                <w:bCs/>
                <w:sz w:val="12"/>
                <w:szCs w:val="12"/>
              </w:rPr>
              <w:t>Кемеровский городской округ, Рудничный район, северо-западнее строения № 38 по ул. Черноморская</w:t>
            </w:r>
          </w:p>
        </w:tc>
        <w:tc>
          <w:tcPr>
            <w:tcW w:w="298" w:type="pct"/>
            <w:tcBorders>
              <w:top w:val="single" w:sz="4" w:space="0" w:color="auto"/>
              <w:left w:val="single" w:sz="4" w:space="0" w:color="auto"/>
              <w:bottom w:val="single" w:sz="4" w:space="0" w:color="auto"/>
              <w:right w:val="single" w:sz="4" w:space="0" w:color="auto"/>
            </w:tcBorders>
            <w:vAlign w:val="center"/>
            <w:hideMark/>
          </w:tcPr>
          <w:p w14:paraId="5F58262C" w14:textId="77777777" w:rsidR="002F590A" w:rsidRDefault="002F590A">
            <w:pPr>
              <w:jc w:val="center"/>
              <w:rPr>
                <w:sz w:val="12"/>
                <w:szCs w:val="12"/>
              </w:rPr>
            </w:pPr>
            <w:r>
              <w:rPr>
                <w:color w:val="000000"/>
                <w:sz w:val="12"/>
                <w:szCs w:val="12"/>
              </w:rPr>
              <w:t>Технические характеристики</w:t>
            </w:r>
          </w:p>
        </w:tc>
        <w:tc>
          <w:tcPr>
            <w:tcW w:w="130" w:type="pct"/>
            <w:tcBorders>
              <w:top w:val="single" w:sz="4" w:space="0" w:color="auto"/>
              <w:left w:val="single" w:sz="4" w:space="0" w:color="auto"/>
              <w:bottom w:val="single" w:sz="4" w:space="0" w:color="auto"/>
              <w:right w:val="single" w:sz="4" w:space="0" w:color="auto"/>
            </w:tcBorders>
            <w:vAlign w:val="center"/>
          </w:tcPr>
          <w:p w14:paraId="53BD5999" w14:textId="77777777" w:rsidR="002F590A" w:rsidRDefault="002F590A">
            <w:pPr>
              <w:jc w:val="center"/>
              <w:rPr>
                <w:sz w:val="12"/>
                <w:szCs w:val="12"/>
              </w:rPr>
            </w:pPr>
          </w:p>
        </w:tc>
        <w:tc>
          <w:tcPr>
            <w:tcW w:w="359" w:type="pct"/>
            <w:tcBorders>
              <w:top w:val="single" w:sz="4" w:space="0" w:color="auto"/>
              <w:left w:val="single" w:sz="4" w:space="0" w:color="auto"/>
              <w:bottom w:val="single" w:sz="4" w:space="0" w:color="auto"/>
              <w:right w:val="single" w:sz="4" w:space="0" w:color="auto"/>
            </w:tcBorders>
            <w:vAlign w:val="center"/>
            <w:hideMark/>
          </w:tcPr>
          <w:p w14:paraId="222326D7" w14:textId="77777777" w:rsidR="002F590A" w:rsidRDefault="002F590A">
            <w:pPr>
              <w:jc w:val="center"/>
              <w:rPr>
                <w:sz w:val="12"/>
                <w:szCs w:val="12"/>
              </w:rPr>
            </w:pPr>
            <w:r>
              <w:rPr>
                <w:sz w:val="12"/>
                <w:szCs w:val="12"/>
              </w:rPr>
              <w:t> </w:t>
            </w:r>
          </w:p>
        </w:tc>
        <w:tc>
          <w:tcPr>
            <w:tcW w:w="349" w:type="pct"/>
            <w:tcBorders>
              <w:top w:val="single" w:sz="4" w:space="0" w:color="auto"/>
              <w:left w:val="single" w:sz="4" w:space="0" w:color="auto"/>
              <w:bottom w:val="single" w:sz="4" w:space="0" w:color="auto"/>
              <w:right w:val="single" w:sz="4" w:space="0" w:color="auto"/>
            </w:tcBorders>
            <w:vAlign w:val="center"/>
            <w:hideMark/>
          </w:tcPr>
          <w:p w14:paraId="3995BAEE" w14:textId="77777777" w:rsidR="002F590A" w:rsidRDefault="002F590A">
            <w:pPr>
              <w:jc w:val="center"/>
              <w:rPr>
                <w:sz w:val="12"/>
                <w:szCs w:val="12"/>
              </w:rPr>
            </w:pPr>
            <w:r>
              <w:rPr>
                <w:sz w:val="12"/>
                <w:szCs w:val="12"/>
              </w:rPr>
              <w:t> </w:t>
            </w:r>
          </w:p>
        </w:tc>
        <w:tc>
          <w:tcPr>
            <w:tcW w:w="131" w:type="pct"/>
            <w:tcBorders>
              <w:top w:val="single" w:sz="4" w:space="0" w:color="auto"/>
              <w:left w:val="single" w:sz="4" w:space="0" w:color="auto"/>
              <w:bottom w:val="single" w:sz="4" w:space="0" w:color="auto"/>
              <w:right w:val="single" w:sz="4" w:space="0" w:color="auto"/>
            </w:tcBorders>
            <w:vAlign w:val="center"/>
          </w:tcPr>
          <w:p w14:paraId="40311879" w14:textId="77777777" w:rsidR="002F590A" w:rsidRDefault="002F590A">
            <w:pPr>
              <w:jc w:val="center"/>
              <w:rPr>
                <w:sz w:val="12"/>
                <w:szCs w:val="12"/>
              </w:rPr>
            </w:pPr>
          </w:p>
        </w:tc>
        <w:tc>
          <w:tcPr>
            <w:tcW w:w="133" w:type="pct"/>
            <w:tcBorders>
              <w:top w:val="single" w:sz="4" w:space="0" w:color="auto"/>
              <w:left w:val="single" w:sz="4" w:space="0" w:color="auto"/>
              <w:bottom w:val="single" w:sz="4" w:space="0" w:color="auto"/>
              <w:right w:val="single" w:sz="4" w:space="0" w:color="auto"/>
            </w:tcBorders>
            <w:vAlign w:val="center"/>
          </w:tcPr>
          <w:p w14:paraId="3684B5E5" w14:textId="77777777" w:rsidR="002F590A" w:rsidRDefault="002F590A">
            <w:pPr>
              <w:jc w:val="center"/>
              <w:rPr>
                <w:sz w:val="12"/>
                <w:szCs w:val="12"/>
              </w:rPr>
            </w:pPr>
          </w:p>
        </w:tc>
        <w:tc>
          <w:tcPr>
            <w:tcW w:w="198" w:type="pct"/>
            <w:tcBorders>
              <w:top w:val="single" w:sz="4" w:space="0" w:color="auto"/>
              <w:left w:val="single" w:sz="4" w:space="0" w:color="auto"/>
              <w:bottom w:val="single" w:sz="4" w:space="0" w:color="auto"/>
              <w:right w:val="single" w:sz="4" w:space="0" w:color="auto"/>
            </w:tcBorders>
            <w:vAlign w:val="center"/>
          </w:tcPr>
          <w:p w14:paraId="1C42E72A" w14:textId="77777777" w:rsidR="002F590A" w:rsidRDefault="002F590A">
            <w:pPr>
              <w:jc w:val="center"/>
              <w:rPr>
                <w:color w:val="000000"/>
                <w:sz w:val="12"/>
                <w:szCs w:val="12"/>
              </w:rPr>
            </w:pPr>
          </w:p>
        </w:tc>
        <w:tc>
          <w:tcPr>
            <w:tcW w:w="178" w:type="pct"/>
            <w:tcBorders>
              <w:top w:val="single" w:sz="4" w:space="0" w:color="auto"/>
              <w:left w:val="single" w:sz="4" w:space="0" w:color="auto"/>
              <w:bottom w:val="single" w:sz="4" w:space="0" w:color="auto"/>
              <w:right w:val="single" w:sz="4" w:space="0" w:color="auto"/>
            </w:tcBorders>
            <w:vAlign w:val="center"/>
          </w:tcPr>
          <w:p w14:paraId="4DAAE8FC" w14:textId="77777777" w:rsidR="002F590A" w:rsidRDefault="002F590A">
            <w:pPr>
              <w:jc w:val="center"/>
              <w:rPr>
                <w:color w:val="000000"/>
                <w:sz w:val="12"/>
                <w:szCs w:val="12"/>
              </w:rPr>
            </w:pPr>
          </w:p>
        </w:tc>
        <w:tc>
          <w:tcPr>
            <w:tcW w:w="218" w:type="pct"/>
            <w:tcBorders>
              <w:top w:val="single" w:sz="4" w:space="0" w:color="auto"/>
              <w:left w:val="single" w:sz="4" w:space="0" w:color="auto"/>
              <w:bottom w:val="single" w:sz="4" w:space="0" w:color="auto"/>
              <w:right w:val="single" w:sz="4" w:space="0" w:color="auto"/>
            </w:tcBorders>
            <w:vAlign w:val="center"/>
          </w:tcPr>
          <w:p w14:paraId="30B8E443" w14:textId="77777777" w:rsidR="002F590A" w:rsidRDefault="002F590A">
            <w:pPr>
              <w:jc w:val="center"/>
              <w:rPr>
                <w:sz w:val="12"/>
                <w:szCs w:val="12"/>
              </w:rPr>
            </w:pPr>
          </w:p>
        </w:tc>
        <w:tc>
          <w:tcPr>
            <w:tcW w:w="220" w:type="pct"/>
            <w:tcBorders>
              <w:top w:val="single" w:sz="4" w:space="0" w:color="auto"/>
              <w:left w:val="single" w:sz="4" w:space="0" w:color="auto"/>
              <w:bottom w:val="single" w:sz="4" w:space="0" w:color="auto"/>
              <w:right w:val="single" w:sz="4" w:space="0" w:color="auto"/>
            </w:tcBorders>
            <w:vAlign w:val="center"/>
          </w:tcPr>
          <w:p w14:paraId="4019BA94" w14:textId="77777777" w:rsidR="002F590A" w:rsidRDefault="002F590A">
            <w:pPr>
              <w:jc w:val="center"/>
              <w:rPr>
                <w:sz w:val="12"/>
                <w:szCs w:val="12"/>
              </w:rPr>
            </w:pPr>
          </w:p>
        </w:tc>
        <w:tc>
          <w:tcPr>
            <w:tcW w:w="214" w:type="pct"/>
            <w:tcBorders>
              <w:top w:val="single" w:sz="4" w:space="0" w:color="auto"/>
              <w:left w:val="single" w:sz="4" w:space="0" w:color="auto"/>
              <w:bottom w:val="single" w:sz="4" w:space="0" w:color="auto"/>
              <w:right w:val="single" w:sz="4" w:space="0" w:color="auto"/>
            </w:tcBorders>
            <w:vAlign w:val="center"/>
          </w:tcPr>
          <w:p w14:paraId="36178A3F" w14:textId="77777777" w:rsidR="002F590A" w:rsidRDefault="002F590A">
            <w:pPr>
              <w:jc w:val="center"/>
              <w:rPr>
                <w:sz w:val="12"/>
                <w:szCs w:val="12"/>
              </w:rPr>
            </w:pPr>
          </w:p>
        </w:tc>
        <w:tc>
          <w:tcPr>
            <w:tcW w:w="179" w:type="pct"/>
            <w:tcBorders>
              <w:top w:val="single" w:sz="4" w:space="0" w:color="auto"/>
              <w:left w:val="single" w:sz="4" w:space="0" w:color="auto"/>
              <w:bottom w:val="single" w:sz="4" w:space="0" w:color="auto"/>
              <w:right w:val="single" w:sz="4" w:space="0" w:color="auto"/>
            </w:tcBorders>
            <w:vAlign w:val="center"/>
          </w:tcPr>
          <w:p w14:paraId="401F5B7E" w14:textId="77777777" w:rsidR="002F590A" w:rsidRDefault="002F590A">
            <w:pPr>
              <w:jc w:val="center"/>
              <w:rPr>
                <w:sz w:val="12"/>
                <w:szCs w:val="12"/>
              </w:rPr>
            </w:pPr>
          </w:p>
        </w:tc>
        <w:tc>
          <w:tcPr>
            <w:tcW w:w="171" w:type="pct"/>
            <w:tcBorders>
              <w:top w:val="single" w:sz="4" w:space="0" w:color="auto"/>
              <w:left w:val="single" w:sz="4" w:space="0" w:color="auto"/>
              <w:bottom w:val="single" w:sz="4" w:space="0" w:color="auto"/>
              <w:right w:val="single" w:sz="4" w:space="0" w:color="auto"/>
            </w:tcBorders>
            <w:vAlign w:val="center"/>
          </w:tcPr>
          <w:p w14:paraId="0E05CAFE" w14:textId="77777777" w:rsidR="002F590A" w:rsidRDefault="002F590A">
            <w:pPr>
              <w:jc w:val="center"/>
              <w:rPr>
                <w:sz w:val="12"/>
                <w:szCs w:val="12"/>
              </w:rPr>
            </w:pPr>
          </w:p>
        </w:tc>
        <w:tc>
          <w:tcPr>
            <w:tcW w:w="173" w:type="pct"/>
            <w:tcBorders>
              <w:top w:val="single" w:sz="4" w:space="0" w:color="auto"/>
              <w:left w:val="single" w:sz="4" w:space="0" w:color="auto"/>
              <w:bottom w:val="single" w:sz="4" w:space="0" w:color="auto"/>
              <w:right w:val="single" w:sz="4" w:space="0" w:color="auto"/>
            </w:tcBorders>
            <w:vAlign w:val="center"/>
          </w:tcPr>
          <w:p w14:paraId="0F491A10" w14:textId="77777777" w:rsidR="002F590A" w:rsidRDefault="002F590A">
            <w:pPr>
              <w:jc w:val="center"/>
              <w:rPr>
                <w:sz w:val="12"/>
                <w:szCs w:val="12"/>
              </w:rPr>
            </w:pPr>
          </w:p>
        </w:tc>
        <w:tc>
          <w:tcPr>
            <w:tcW w:w="177" w:type="pct"/>
            <w:tcBorders>
              <w:top w:val="single" w:sz="4" w:space="0" w:color="auto"/>
              <w:left w:val="single" w:sz="4" w:space="0" w:color="auto"/>
              <w:bottom w:val="single" w:sz="4" w:space="0" w:color="auto"/>
              <w:right w:val="single" w:sz="4" w:space="0" w:color="auto"/>
            </w:tcBorders>
            <w:vAlign w:val="center"/>
          </w:tcPr>
          <w:p w14:paraId="02799C9A" w14:textId="77777777" w:rsidR="002F590A" w:rsidRDefault="002F590A">
            <w:pPr>
              <w:jc w:val="center"/>
              <w:rPr>
                <w:sz w:val="12"/>
                <w:szCs w:val="12"/>
              </w:rPr>
            </w:pPr>
          </w:p>
        </w:tc>
        <w:tc>
          <w:tcPr>
            <w:tcW w:w="173" w:type="pct"/>
            <w:tcBorders>
              <w:top w:val="single" w:sz="4" w:space="0" w:color="auto"/>
              <w:left w:val="single" w:sz="4" w:space="0" w:color="auto"/>
              <w:bottom w:val="single" w:sz="4" w:space="0" w:color="auto"/>
              <w:right w:val="single" w:sz="4" w:space="0" w:color="auto"/>
            </w:tcBorders>
            <w:vAlign w:val="center"/>
          </w:tcPr>
          <w:p w14:paraId="0E7969AF" w14:textId="77777777" w:rsidR="002F590A" w:rsidRDefault="002F590A">
            <w:pPr>
              <w:jc w:val="center"/>
              <w:rPr>
                <w:sz w:val="12"/>
                <w:szCs w:val="12"/>
              </w:rPr>
            </w:pPr>
          </w:p>
        </w:tc>
        <w:tc>
          <w:tcPr>
            <w:tcW w:w="173" w:type="pct"/>
            <w:tcBorders>
              <w:top w:val="single" w:sz="4" w:space="0" w:color="auto"/>
              <w:left w:val="single" w:sz="4" w:space="0" w:color="auto"/>
              <w:bottom w:val="single" w:sz="4" w:space="0" w:color="auto"/>
              <w:right w:val="single" w:sz="4" w:space="0" w:color="auto"/>
            </w:tcBorders>
            <w:vAlign w:val="center"/>
          </w:tcPr>
          <w:p w14:paraId="62D818B8" w14:textId="77777777" w:rsidR="002F590A" w:rsidRDefault="002F590A">
            <w:pPr>
              <w:jc w:val="center"/>
              <w:rPr>
                <w:sz w:val="12"/>
                <w:szCs w:val="12"/>
              </w:rPr>
            </w:pPr>
          </w:p>
        </w:tc>
        <w:tc>
          <w:tcPr>
            <w:tcW w:w="177" w:type="pct"/>
            <w:tcBorders>
              <w:top w:val="single" w:sz="4" w:space="0" w:color="auto"/>
              <w:left w:val="single" w:sz="4" w:space="0" w:color="auto"/>
              <w:bottom w:val="single" w:sz="4" w:space="0" w:color="auto"/>
              <w:right w:val="single" w:sz="4" w:space="0" w:color="auto"/>
            </w:tcBorders>
            <w:vAlign w:val="center"/>
          </w:tcPr>
          <w:p w14:paraId="173939E4" w14:textId="77777777" w:rsidR="002F590A" w:rsidRDefault="002F590A">
            <w:pPr>
              <w:jc w:val="center"/>
              <w:rPr>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096E9AA7" w14:textId="77777777" w:rsidR="002F590A" w:rsidRDefault="002F590A">
            <w:pPr>
              <w:jc w:val="center"/>
              <w:rPr>
                <w:color w:val="000000"/>
                <w:sz w:val="12"/>
                <w:szCs w:val="12"/>
              </w:rPr>
            </w:pPr>
          </w:p>
        </w:tc>
        <w:tc>
          <w:tcPr>
            <w:tcW w:w="128" w:type="pct"/>
            <w:tcBorders>
              <w:top w:val="single" w:sz="4" w:space="0" w:color="auto"/>
              <w:left w:val="single" w:sz="4" w:space="0" w:color="auto"/>
              <w:bottom w:val="single" w:sz="4" w:space="0" w:color="auto"/>
              <w:right w:val="single" w:sz="4" w:space="0" w:color="auto"/>
            </w:tcBorders>
            <w:vAlign w:val="center"/>
          </w:tcPr>
          <w:p w14:paraId="732F9C55" w14:textId="77777777" w:rsidR="002F590A" w:rsidRDefault="002F590A">
            <w:pPr>
              <w:jc w:val="center"/>
              <w:rPr>
                <w:color w:val="000000"/>
                <w:sz w:val="12"/>
                <w:szCs w:val="12"/>
              </w:rPr>
            </w:pPr>
          </w:p>
        </w:tc>
      </w:tr>
      <w:tr w:rsidR="002F590A" w14:paraId="106F0DFE" w14:textId="77777777" w:rsidTr="002F590A">
        <w:trPr>
          <w:trHeight w:val="1765"/>
        </w:trPr>
        <w:tc>
          <w:tcPr>
            <w:tcW w:w="175" w:type="pct"/>
            <w:tcBorders>
              <w:top w:val="single" w:sz="4" w:space="0" w:color="auto"/>
              <w:left w:val="single" w:sz="4" w:space="0" w:color="auto"/>
              <w:bottom w:val="single" w:sz="4" w:space="0" w:color="auto"/>
              <w:right w:val="single" w:sz="4" w:space="0" w:color="auto"/>
            </w:tcBorders>
            <w:vAlign w:val="center"/>
            <w:hideMark/>
          </w:tcPr>
          <w:p w14:paraId="3CEBC012" w14:textId="77777777" w:rsidR="002F590A" w:rsidRDefault="002F590A">
            <w:pPr>
              <w:jc w:val="center"/>
              <w:rPr>
                <w:sz w:val="12"/>
                <w:szCs w:val="12"/>
              </w:rPr>
            </w:pPr>
            <w:r>
              <w:rPr>
                <w:sz w:val="12"/>
                <w:szCs w:val="12"/>
              </w:rPr>
              <w:t>3.2.6.1</w:t>
            </w:r>
          </w:p>
        </w:tc>
        <w:tc>
          <w:tcPr>
            <w:tcW w:w="262" w:type="pct"/>
            <w:tcBorders>
              <w:top w:val="single" w:sz="4" w:space="0" w:color="auto"/>
              <w:left w:val="single" w:sz="4" w:space="0" w:color="auto"/>
              <w:bottom w:val="single" w:sz="4" w:space="0" w:color="auto"/>
              <w:right w:val="single" w:sz="4" w:space="0" w:color="auto"/>
            </w:tcBorders>
            <w:vAlign w:val="center"/>
            <w:hideMark/>
          </w:tcPr>
          <w:p w14:paraId="3B344569" w14:textId="77777777" w:rsidR="002F590A" w:rsidRDefault="002F590A">
            <w:pPr>
              <w:rPr>
                <w:color w:val="000000"/>
                <w:sz w:val="12"/>
                <w:szCs w:val="12"/>
              </w:rPr>
            </w:pPr>
            <w:r>
              <w:rPr>
                <w:color w:val="000000"/>
                <w:sz w:val="12"/>
                <w:szCs w:val="12"/>
              </w:rPr>
              <w:t xml:space="preserve">Установка дополнительного насоса </w:t>
            </w:r>
          </w:p>
        </w:tc>
        <w:tc>
          <w:tcPr>
            <w:tcW w:w="351" w:type="pct"/>
            <w:tcBorders>
              <w:top w:val="single" w:sz="4" w:space="0" w:color="auto"/>
              <w:left w:val="single" w:sz="4" w:space="0" w:color="auto"/>
              <w:bottom w:val="single" w:sz="4" w:space="0" w:color="auto"/>
              <w:right w:val="single" w:sz="4" w:space="0" w:color="auto"/>
            </w:tcBorders>
            <w:vAlign w:val="center"/>
            <w:hideMark/>
          </w:tcPr>
          <w:p w14:paraId="5F57A2F0" w14:textId="77777777" w:rsidR="002F590A" w:rsidRDefault="002F590A">
            <w:pPr>
              <w:jc w:val="center"/>
              <w:rPr>
                <w:sz w:val="12"/>
                <w:szCs w:val="12"/>
              </w:rPr>
            </w:pPr>
            <w:r>
              <w:rPr>
                <w:sz w:val="12"/>
                <w:szCs w:val="12"/>
              </w:rPr>
              <w:t>Повышение надежности (бесперебойности) услуг теплоснабжения, повышение энергетической эффективности</w:t>
            </w:r>
          </w:p>
        </w:tc>
        <w:tc>
          <w:tcPr>
            <w:tcW w:w="259" w:type="pct"/>
            <w:tcBorders>
              <w:top w:val="single" w:sz="4" w:space="0" w:color="auto"/>
              <w:left w:val="single" w:sz="4" w:space="0" w:color="auto"/>
              <w:bottom w:val="single" w:sz="4" w:space="0" w:color="auto"/>
              <w:right w:val="single" w:sz="4" w:space="0" w:color="auto"/>
            </w:tcBorders>
            <w:vAlign w:val="center"/>
            <w:hideMark/>
          </w:tcPr>
          <w:p w14:paraId="4012AA34" w14:textId="77777777" w:rsidR="002F590A" w:rsidRDefault="002F590A">
            <w:pPr>
              <w:jc w:val="center"/>
              <w:rPr>
                <w:sz w:val="12"/>
                <w:szCs w:val="12"/>
              </w:rPr>
            </w:pPr>
            <w:r>
              <w:rPr>
                <w:sz w:val="12"/>
                <w:szCs w:val="12"/>
              </w:rPr>
              <w:t> </w:t>
            </w:r>
          </w:p>
        </w:tc>
        <w:tc>
          <w:tcPr>
            <w:tcW w:w="298" w:type="pct"/>
            <w:tcBorders>
              <w:top w:val="single" w:sz="4" w:space="0" w:color="auto"/>
              <w:left w:val="single" w:sz="4" w:space="0" w:color="auto"/>
              <w:bottom w:val="single" w:sz="4" w:space="0" w:color="auto"/>
              <w:right w:val="single" w:sz="4" w:space="0" w:color="auto"/>
            </w:tcBorders>
            <w:vAlign w:val="center"/>
            <w:hideMark/>
          </w:tcPr>
          <w:p w14:paraId="27185EA4" w14:textId="77777777" w:rsidR="002F590A" w:rsidRDefault="002F590A">
            <w:pPr>
              <w:jc w:val="center"/>
              <w:rPr>
                <w:sz w:val="12"/>
                <w:szCs w:val="12"/>
              </w:rPr>
            </w:pPr>
            <w:r>
              <w:rPr>
                <w:color w:val="000000"/>
                <w:sz w:val="12"/>
                <w:szCs w:val="12"/>
              </w:rPr>
              <w:t>Технические характеристики</w:t>
            </w:r>
          </w:p>
        </w:tc>
        <w:tc>
          <w:tcPr>
            <w:tcW w:w="130" w:type="pct"/>
            <w:tcBorders>
              <w:top w:val="single" w:sz="4" w:space="0" w:color="auto"/>
              <w:left w:val="single" w:sz="4" w:space="0" w:color="auto"/>
              <w:bottom w:val="single" w:sz="4" w:space="0" w:color="auto"/>
              <w:right w:val="single" w:sz="4" w:space="0" w:color="auto"/>
            </w:tcBorders>
            <w:vAlign w:val="center"/>
          </w:tcPr>
          <w:p w14:paraId="6CF37392" w14:textId="77777777" w:rsidR="002F590A" w:rsidRDefault="002F590A">
            <w:pPr>
              <w:jc w:val="center"/>
              <w:rPr>
                <w:sz w:val="12"/>
                <w:szCs w:val="12"/>
              </w:rPr>
            </w:pPr>
          </w:p>
        </w:tc>
        <w:tc>
          <w:tcPr>
            <w:tcW w:w="359" w:type="pct"/>
            <w:tcBorders>
              <w:top w:val="single" w:sz="4" w:space="0" w:color="auto"/>
              <w:left w:val="single" w:sz="4" w:space="0" w:color="auto"/>
              <w:bottom w:val="single" w:sz="4" w:space="0" w:color="auto"/>
              <w:right w:val="single" w:sz="4" w:space="0" w:color="auto"/>
            </w:tcBorders>
            <w:vAlign w:val="center"/>
            <w:hideMark/>
          </w:tcPr>
          <w:p w14:paraId="52A59881" w14:textId="77777777" w:rsidR="002F590A" w:rsidRDefault="002F590A">
            <w:pPr>
              <w:jc w:val="center"/>
              <w:rPr>
                <w:sz w:val="12"/>
                <w:szCs w:val="12"/>
              </w:rPr>
            </w:pPr>
            <w:r>
              <w:rPr>
                <w:sz w:val="12"/>
                <w:szCs w:val="12"/>
              </w:rPr>
              <w:t xml:space="preserve">Отсутствие дополнительного насоса </w:t>
            </w:r>
          </w:p>
        </w:tc>
        <w:tc>
          <w:tcPr>
            <w:tcW w:w="349" w:type="pct"/>
            <w:tcBorders>
              <w:top w:val="single" w:sz="4" w:space="0" w:color="auto"/>
              <w:left w:val="single" w:sz="4" w:space="0" w:color="auto"/>
              <w:bottom w:val="single" w:sz="4" w:space="0" w:color="auto"/>
              <w:right w:val="single" w:sz="4" w:space="0" w:color="auto"/>
            </w:tcBorders>
            <w:vAlign w:val="center"/>
            <w:hideMark/>
          </w:tcPr>
          <w:p w14:paraId="35D87F6E" w14:textId="77777777" w:rsidR="002F590A" w:rsidRDefault="002F590A">
            <w:pPr>
              <w:jc w:val="center"/>
              <w:rPr>
                <w:sz w:val="12"/>
                <w:szCs w:val="12"/>
              </w:rPr>
            </w:pPr>
            <w:r>
              <w:rPr>
                <w:sz w:val="12"/>
                <w:szCs w:val="12"/>
              </w:rPr>
              <w:t>Оборудование для поддержания стабильного режима работы котельной</w:t>
            </w:r>
          </w:p>
        </w:tc>
        <w:tc>
          <w:tcPr>
            <w:tcW w:w="131" w:type="pct"/>
            <w:tcBorders>
              <w:top w:val="single" w:sz="4" w:space="0" w:color="auto"/>
              <w:left w:val="single" w:sz="4" w:space="0" w:color="auto"/>
              <w:bottom w:val="single" w:sz="4" w:space="0" w:color="auto"/>
              <w:right w:val="single" w:sz="4" w:space="0" w:color="auto"/>
            </w:tcBorders>
            <w:vAlign w:val="center"/>
            <w:hideMark/>
          </w:tcPr>
          <w:p w14:paraId="4D9D6E62" w14:textId="77777777" w:rsidR="002F590A" w:rsidRDefault="002F590A">
            <w:pPr>
              <w:jc w:val="center"/>
              <w:rPr>
                <w:sz w:val="12"/>
                <w:szCs w:val="12"/>
              </w:rPr>
            </w:pPr>
            <w:r>
              <w:rPr>
                <w:sz w:val="12"/>
                <w:szCs w:val="12"/>
              </w:rPr>
              <w:t>2031</w:t>
            </w:r>
          </w:p>
        </w:tc>
        <w:tc>
          <w:tcPr>
            <w:tcW w:w="133" w:type="pct"/>
            <w:tcBorders>
              <w:top w:val="single" w:sz="4" w:space="0" w:color="auto"/>
              <w:left w:val="single" w:sz="4" w:space="0" w:color="auto"/>
              <w:bottom w:val="single" w:sz="4" w:space="0" w:color="auto"/>
              <w:right w:val="single" w:sz="4" w:space="0" w:color="auto"/>
            </w:tcBorders>
            <w:vAlign w:val="center"/>
            <w:hideMark/>
          </w:tcPr>
          <w:p w14:paraId="2BA0941F" w14:textId="77777777" w:rsidR="002F590A" w:rsidRDefault="002F590A">
            <w:pPr>
              <w:jc w:val="center"/>
              <w:rPr>
                <w:sz w:val="12"/>
                <w:szCs w:val="12"/>
              </w:rPr>
            </w:pPr>
            <w:r>
              <w:rPr>
                <w:sz w:val="12"/>
                <w:szCs w:val="12"/>
              </w:rPr>
              <w:t>2031</w:t>
            </w:r>
          </w:p>
        </w:tc>
        <w:tc>
          <w:tcPr>
            <w:tcW w:w="198" w:type="pct"/>
            <w:tcBorders>
              <w:top w:val="single" w:sz="4" w:space="0" w:color="auto"/>
              <w:left w:val="single" w:sz="4" w:space="0" w:color="auto"/>
              <w:bottom w:val="single" w:sz="4" w:space="0" w:color="auto"/>
              <w:right w:val="single" w:sz="4" w:space="0" w:color="auto"/>
            </w:tcBorders>
            <w:vAlign w:val="center"/>
            <w:hideMark/>
          </w:tcPr>
          <w:p w14:paraId="4A5F4007" w14:textId="77777777" w:rsidR="002F590A" w:rsidRDefault="002F590A">
            <w:pPr>
              <w:jc w:val="center"/>
              <w:rPr>
                <w:color w:val="000000"/>
                <w:sz w:val="12"/>
                <w:szCs w:val="12"/>
              </w:rPr>
            </w:pPr>
            <w:r>
              <w:rPr>
                <w:color w:val="000000"/>
                <w:sz w:val="12"/>
                <w:szCs w:val="12"/>
              </w:rPr>
              <w:t>159,61</w:t>
            </w:r>
          </w:p>
        </w:tc>
        <w:tc>
          <w:tcPr>
            <w:tcW w:w="178" w:type="pct"/>
            <w:tcBorders>
              <w:top w:val="single" w:sz="4" w:space="0" w:color="auto"/>
              <w:left w:val="single" w:sz="4" w:space="0" w:color="auto"/>
              <w:bottom w:val="single" w:sz="4" w:space="0" w:color="auto"/>
              <w:right w:val="single" w:sz="4" w:space="0" w:color="auto"/>
            </w:tcBorders>
            <w:vAlign w:val="center"/>
            <w:hideMark/>
          </w:tcPr>
          <w:p w14:paraId="4328336B" w14:textId="77777777" w:rsidR="002F590A" w:rsidRDefault="002F590A">
            <w:pPr>
              <w:jc w:val="center"/>
              <w:rPr>
                <w:color w:val="000000"/>
                <w:sz w:val="12"/>
                <w:szCs w:val="12"/>
              </w:rPr>
            </w:pPr>
            <w:r>
              <w:rPr>
                <w:color w:val="000000"/>
                <w:sz w:val="12"/>
                <w:szCs w:val="12"/>
              </w:rPr>
              <w:t>0,00</w:t>
            </w:r>
          </w:p>
        </w:tc>
        <w:tc>
          <w:tcPr>
            <w:tcW w:w="218" w:type="pct"/>
            <w:tcBorders>
              <w:top w:val="single" w:sz="4" w:space="0" w:color="auto"/>
              <w:left w:val="single" w:sz="4" w:space="0" w:color="auto"/>
              <w:bottom w:val="single" w:sz="4" w:space="0" w:color="auto"/>
              <w:right w:val="single" w:sz="4" w:space="0" w:color="auto"/>
            </w:tcBorders>
            <w:vAlign w:val="center"/>
            <w:hideMark/>
          </w:tcPr>
          <w:p w14:paraId="784978C5" w14:textId="77777777" w:rsidR="002F590A" w:rsidRDefault="002F590A">
            <w:pPr>
              <w:jc w:val="center"/>
              <w:rPr>
                <w:sz w:val="12"/>
                <w:szCs w:val="12"/>
              </w:rPr>
            </w:pPr>
            <w:r>
              <w:rPr>
                <w:sz w:val="12"/>
                <w:szCs w:val="12"/>
              </w:rPr>
              <w:t>0,00</w:t>
            </w:r>
          </w:p>
        </w:tc>
        <w:tc>
          <w:tcPr>
            <w:tcW w:w="220" w:type="pct"/>
            <w:tcBorders>
              <w:top w:val="single" w:sz="4" w:space="0" w:color="auto"/>
              <w:left w:val="single" w:sz="4" w:space="0" w:color="auto"/>
              <w:bottom w:val="single" w:sz="4" w:space="0" w:color="auto"/>
              <w:right w:val="single" w:sz="4" w:space="0" w:color="auto"/>
            </w:tcBorders>
            <w:vAlign w:val="center"/>
            <w:hideMark/>
          </w:tcPr>
          <w:p w14:paraId="35AB02CC" w14:textId="77777777" w:rsidR="002F590A" w:rsidRDefault="002F590A">
            <w:pPr>
              <w:jc w:val="center"/>
              <w:rPr>
                <w:sz w:val="12"/>
                <w:szCs w:val="12"/>
              </w:rPr>
            </w:pPr>
            <w:r>
              <w:rPr>
                <w:sz w:val="12"/>
                <w:szCs w:val="12"/>
              </w:rPr>
              <w:t>0,00</w:t>
            </w:r>
          </w:p>
        </w:tc>
        <w:tc>
          <w:tcPr>
            <w:tcW w:w="214" w:type="pct"/>
            <w:tcBorders>
              <w:top w:val="single" w:sz="4" w:space="0" w:color="auto"/>
              <w:left w:val="single" w:sz="4" w:space="0" w:color="auto"/>
              <w:bottom w:val="single" w:sz="4" w:space="0" w:color="auto"/>
              <w:right w:val="single" w:sz="4" w:space="0" w:color="auto"/>
            </w:tcBorders>
            <w:vAlign w:val="center"/>
            <w:hideMark/>
          </w:tcPr>
          <w:p w14:paraId="7C970EDE" w14:textId="77777777" w:rsidR="002F590A" w:rsidRDefault="002F590A">
            <w:pPr>
              <w:jc w:val="center"/>
              <w:rPr>
                <w:sz w:val="12"/>
                <w:szCs w:val="12"/>
              </w:rPr>
            </w:pPr>
            <w:r>
              <w:rPr>
                <w:sz w:val="12"/>
                <w:szCs w:val="12"/>
              </w:rPr>
              <w:t>0,00</w:t>
            </w:r>
          </w:p>
        </w:tc>
        <w:tc>
          <w:tcPr>
            <w:tcW w:w="179" w:type="pct"/>
            <w:tcBorders>
              <w:top w:val="single" w:sz="4" w:space="0" w:color="auto"/>
              <w:left w:val="single" w:sz="4" w:space="0" w:color="auto"/>
              <w:bottom w:val="single" w:sz="4" w:space="0" w:color="auto"/>
              <w:right w:val="single" w:sz="4" w:space="0" w:color="auto"/>
            </w:tcBorders>
            <w:vAlign w:val="center"/>
            <w:hideMark/>
          </w:tcPr>
          <w:p w14:paraId="4A2254C8" w14:textId="77777777" w:rsidR="002F590A" w:rsidRDefault="002F590A">
            <w:pPr>
              <w:jc w:val="center"/>
              <w:rPr>
                <w:sz w:val="12"/>
                <w:szCs w:val="12"/>
              </w:rPr>
            </w:pPr>
            <w:r>
              <w:rPr>
                <w:sz w:val="12"/>
                <w:szCs w:val="12"/>
              </w:rPr>
              <w:t>0,00</w:t>
            </w:r>
          </w:p>
        </w:tc>
        <w:tc>
          <w:tcPr>
            <w:tcW w:w="171" w:type="pct"/>
            <w:tcBorders>
              <w:top w:val="single" w:sz="4" w:space="0" w:color="auto"/>
              <w:left w:val="single" w:sz="4" w:space="0" w:color="auto"/>
              <w:bottom w:val="single" w:sz="4" w:space="0" w:color="auto"/>
              <w:right w:val="single" w:sz="4" w:space="0" w:color="auto"/>
            </w:tcBorders>
            <w:vAlign w:val="center"/>
            <w:hideMark/>
          </w:tcPr>
          <w:p w14:paraId="221B597F"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0E4512A4" w14:textId="77777777" w:rsidR="002F590A" w:rsidRDefault="002F590A">
            <w:pPr>
              <w:jc w:val="center"/>
              <w:rPr>
                <w:sz w:val="12"/>
                <w:szCs w:val="12"/>
              </w:rPr>
            </w:pPr>
            <w:r>
              <w:rPr>
                <w:sz w:val="12"/>
                <w:szCs w:val="12"/>
              </w:rPr>
              <w:t>0,00</w:t>
            </w:r>
          </w:p>
        </w:tc>
        <w:tc>
          <w:tcPr>
            <w:tcW w:w="177" w:type="pct"/>
            <w:tcBorders>
              <w:top w:val="single" w:sz="4" w:space="0" w:color="auto"/>
              <w:left w:val="single" w:sz="4" w:space="0" w:color="auto"/>
              <w:bottom w:val="single" w:sz="4" w:space="0" w:color="auto"/>
              <w:right w:val="single" w:sz="4" w:space="0" w:color="auto"/>
            </w:tcBorders>
            <w:vAlign w:val="center"/>
            <w:hideMark/>
          </w:tcPr>
          <w:p w14:paraId="0AE8C538"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1EE2AC32"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78F4AC23" w14:textId="77777777" w:rsidR="002F590A" w:rsidRDefault="002F590A">
            <w:pPr>
              <w:jc w:val="center"/>
              <w:rPr>
                <w:sz w:val="12"/>
                <w:szCs w:val="12"/>
              </w:rPr>
            </w:pPr>
            <w:r>
              <w:rPr>
                <w:sz w:val="12"/>
                <w:szCs w:val="12"/>
              </w:rPr>
              <w:t>0,00</w:t>
            </w:r>
          </w:p>
        </w:tc>
        <w:tc>
          <w:tcPr>
            <w:tcW w:w="177" w:type="pct"/>
            <w:tcBorders>
              <w:top w:val="single" w:sz="4" w:space="0" w:color="auto"/>
              <w:left w:val="single" w:sz="4" w:space="0" w:color="auto"/>
              <w:bottom w:val="single" w:sz="4" w:space="0" w:color="auto"/>
              <w:right w:val="single" w:sz="4" w:space="0" w:color="auto"/>
            </w:tcBorders>
            <w:vAlign w:val="center"/>
            <w:hideMark/>
          </w:tcPr>
          <w:p w14:paraId="5D7CC0D6" w14:textId="77777777" w:rsidR="002F590A" w:rsidRDefault="002F590A">
            <w:pPr>
              <w:jc w:val="center"/>
              <w:rPr>
                <w:sz w:val="12"/>
                <w:szCs w:val="12"/>
              </w:rPr>
            </w:pPr>
            <w:r>
              <w:rPr>
                <w:sz w:val="12"/>
                <w:szCs w:val="12"/>
              </w:rPr>
              <w:t>159,61</w:t>
            </w:r>
          </w:p>
        </w:tc>
        <w:tc>
          <w:tcPr>
            <w:tcW w:w="174" w:type="pct"/>
            <w:tcBorders>
              <w:top w:val="single" w:sz="4" w:space="0" w:color="auto"/>
              <w:left w:val="single" w:sz="4" w:space="0" w:color="auto"/>
              <w:bottom w:val="single" w:sz="4" w:space="0" w:color="auto"/>
              <w:right w:val="single" w:sz="4" w:space="0" w:color="auto"/>
            </w:tcBorders>
            <w:vAlign w:val="center"/>
            <w:hideMark/>
          </w:tcPr>
          <w:p w14:paraId="15FEB0FB" w14:textId="77777777" w:rsidR="002F590A" w:rsidRDefault="002F590A">
            <w:pPr>
              <w:jc w:val="center"/>
              <w:rPr>
                <w:color w:val="000000"/>
                <w:sz w:val="12"/>
                <w:szCs w:val="12"/>
              </w:rPr>
            </w:pPr>
            <w:r>
              <w:rPr>
                <w:color w:val="000000"/>
                <w:sz w:val="12"/>
                <w:szCs w:val="12"/>
              </w:rPr>
              <w:t>0,00</w:t>
            </w:r>
          </w:p>
        </w:tc>
        <w:tc>
          <w:tcPr>
            <w:tcW w:w="128" w:type="pct"/>
            <w:tcBorders>
              <w:top w:val="single" w:sz="4" w:space="0" w:color="auto"/>
              <w:left w:val="single" w:sz="4" w:space="0" w:color="auto"/>
              <w:bottom w:val="single" w:sz="4" w:space="0" w:color="auto"/>
              <w:right w:val="single" w:sz="4" w:space="0" w:color="auto"/>
            </w:tcBorders>
            <w:vAlign w:val="center"/>
            <w:hideMark/>
          </w:tcPr>
          <w:p w14:paraId="66D83B7D" w14:textId="77777777" w:rsidR="002F590A" w:rsidRDefault="002F590A">
            <w:pPr>
              <w:jc w:val="center"/>
              <w:rPr>
                <w:color w:val="000000"/>
                <w:sz w:val="12"/>
                <w:szCs w:val="12"/>
              </w:rPr>
            </w:pPr>
            <w:r>
              <w:rPr>
                <w:color w:val="000000"/>
                <w:sz w:val="12"/>
                <w:szCs w:val="12"/>
              </w:rPr>
              <w:t>0,00</w:t>
            </w:r>
          </w:p>
        </w:tc>
      </w:tr>
      <w:tr w:rsidR="002F590A" w14:paraId="6904E3B8" w14:textId="77777777" w:rsidTr="002F590A">
        <w:trPr>
          <w:trHeight w:val="269"/>
        </w:trPr>
        <w:tc>
          <w:tcPr>
            <w:tcW w:w="175" w:type="pct"/>
            <w:tcBorders>
              <w:top w:val="single" w:sz="4" w:space="0" w:color="auto"/>
              <w:left w:val="single" w:sz="4" w:space="0" w:color="auto"/>
              <w:bottom w:val="single" w:sz="4" w:space="0" w:color="auto"/>
              <w:right w:val="single" w:sz="4" w:space="0" w:color="auto"/>
            </w:tcBorders>
            <w:vAlign w:val="center"/>
            <w:hideMark/>
          </w:tcPr>
          <w:p w14:paraId="0F788C1D" w14:textId="77777777" w:rsidR="002F590A" w:rsidRDefault="002F590A">
            <w:pPr>
              <w:jc w:val="center"/>
              <w:rPr>
                <w:bCs/>
                <w:sz w:val="12"/>
                <w:szCs w:val="12"/>
              </w:rPr>
            </w:pPr>
            <w:r>
              <w:rPr>
                <w:bCs/>
                <w:sz w:val="12"/>
                <w:szCs w:val="12"/>
              </w:rPr>
              <w:t>1</w:t>
            </w:r>
          </w:p>
        </w:tc>
        <w:tc>
          <w:tcPr>
            <w:tcW w:w="262" w:type="pct"/>
            <w:tcBorders>
              <w:top w:val="single" w:sz="4" w:space="0" w:color="auto"/>
              <w:left w:val="single" w:sz="4" w:space="0" w:color="auto"/>
              <w:bottom w:val="single" w:sz="4" w:space="0" w:color="auto"/>
              <w:right w:val="single" w:sz="4" w:space="0" w:color="auto"/>
            </w:tcBorders>
            <w:vAlign w:val="center"/>
            <w:hideMark/>
          </w:tcPr>
          <w:p w14:paraId="1EA3E8EA" w14:textId="77777777" w:rsidR="002F590A" w:rsidRDefault="002F590A">
            <w:pPr>
              <w:jc w:val="center"/>
              <w:rPr>
                <w:bCs/>
                <w:sz w:val="12"/>
                <w:szCs w:val="12"/>
              </w:rPr>
            </w:pPr>
            <w:r>
              <w:rPr>
                <w:bCs/>
                <w:sz w:val="12"/>
                <w:szCs w:val="12"/>
              </w:rPr>
              <w:t>2</w:t>
            </w:r>
          </w:p>
        </w:tc>
        <w:tc>
          <w:tcPr>
            <w:tcW w:w="351" w:type="pct"/>
            <w:tcBorders>
              <w:top w:val="single" w:sz="4" w:space="0" w:color="auto"/>
              <w:left w:val="single" w:sz="4" w:space="0" w:color="auto"/>
              <w:bottom w:val="single" w:sz="4" w:space="0" w:color="auto"/>
              <w:right w:val="single" w:sz="4" w:space="0" w:color="auto"/>
            </w:tcBorders>
            <w:vAlign w:val="center"/>
            <w:hideMark/>
          </w:tcPr>
          <w:p w14:paraId="112B0B37" w14:textId="77777777" w:rsidR="002F590A" w:rsidRDefault="002F590A">
            <w:pPr>
              <w:jc w:val="center"/>
              <w:rPr>
                <w:bCs/>
                <w:sz w:val="12"/>
                <w:szCs w:val="12"/>
              </w:rPr>
            </w:pPr>
            <w:r>
              <w:rPr>
                <w:bCs/>
                <w:sz w:val="12"/>
                <w:szCs w:val="12"/>
              </w:rPr>
              <w:t>3</w:t>
            </w:r>
          </w:p>
        </w:tc>
        <w:tc>
          <w:tcPr>
            <w:tcW w:w="259" w:type="pct"/>
            <w:tcBorders>
              <w:top w:val="single" w:sz="4" w:space="0" w:color="auto"/>
              <w:left w:val="single" w:sz="4" w:space="0" w:color="auto"/>
              <w:bottom w:val="single" w:sz="4" w:space="0" w:color="auto"/>
              <w:right w:val="single" w:sz="4" w:space="0" w:color="auto"/>
            </w:tcBorders>
            <w:vAlign w:val="center"/>
            <w:hideMark/>
          </w:tcPr>
          <w:p w14:paraId="3B59E4EB" w14:textId="77777777" w:rsidR="002F590A" w:rsidRDefault="002F590A">
            <w:pPr>
              <w:jc w:val="center"/>
              <w:rPr>
                <w:bCs/>
                <w:sz w:val="12"/>
                <w:szCs w:val="12"/>
              </w:rPr>
            </w:pPr>
            <w:r>
              <w:rPr>
                <w:bCs/>
                <w:sz w:val="12"/>
                <w:szCs w:val="12"/>
              </w:rPr>
              <w:t>4</w:t>
            </w:r>
          </w:p>
        </w:tc>
        <w:tc>
          <w:tcPr>
            <w:tcW w:w="298" w:type="pct"/>
            <w:tcBorders>
              <w:top w:val="single" w:sz="4" w:space="0" w:color="auto"/>
              <w:left w:val="single" w:sz="4" w:space="0" w:color="auto"/>
              <w:bottom w:val="single" w:sz="4" w:space="0" w:color="auto"/>
              <w:right w:val="single" w:sz="4" w:space="0" w:color="auto"/>
            </w:tcBorders>
            <w:vAlign w:val="center"/>
            <w:hideMark/>
          </w:tcPr>
          <w:p w14:paraId="02AFDE19" w14:textId="77777777" w:rsidR="002F590A" w:rsidRDefault="002F590A">
            <w:pPr>
              <w:jc w:val="center"/>
              <w:rPr>
                <w:bCs/>
                <w:sz w:val="12"/>
                <w:szCs w:val="12"/>
              </w:rPr>
            </w:pPr>
            <w:r>
              <w:rPr>
                <w:bCs/>
                <w:sz w:val="12"/>
                <w:szCs w:val="12"/>
              </w:rPr>
              <w:t>5</w:t>
            </w:r>
          </w:p>
        </w:tc>
        <w:tc>
          <w:tcPr>
            <w:tcW w:w="130" w:type="pct"/>
            <w:tcBorders>
              <w:top w:val="single" w:sz="4" w:space="0" w:color="auto"/>
              <w:left w:val="single" w:sz="4" w:space="0" w:color="auto"/>
              <w:bottom w:val="single" w:sz="4" w:space="0" w:color="auto"/>
              <w:right w:val="single" w:sz="4" w:space="0" w:color="auto"/>
            </w:tcBorders>
            <w:vAlign w:val="center"/>
            <w:hideMark/>
          </w:tcPr>
          <w:p w14:paraId="2FE80694" w14:textId="77777777" w:rsidR="002F590A" w:rsidRDefault="002F590A">
            <w:pPr>
              <w:jc w:val="center"/>
              <w:rPr>
                <w:bCs/>
                <w:sz w:val="12"/>
                <w:szCs w:val="12"/>
              </w:rPr>
            </w:pPr>
            <w:r>
              <w:rPr>
                <w:bCs/>
                <w:sz w:val="12"/>
                <w:szCs w:val="12"/>
              </w:rPr>
              <w:t>6</w:t>
            </w:r>
          </w:p>
        </w:tc>
        <w:tc>
          <w:tcPr>
            <w:tcW w:w="359" w:type="pct"/>
            <w:tcBorders>
              <w:top w:val="single" w:sz="4" w:space="0" w:color="auto"/>
              <w:left w:val="single" w:sz="4" w:space="0" w:color="auto"/>
              <w:bottom w:val="single" w:sz="4" w:space="0" w:color="auto"/>
              <w:right w:val="single" w:sz="4" w:space="0" w:color="auto"/>
            </w:tcBorders>
            <w:vAlign w:val="center"/>
            <w:hideMark/>
          </w:tcPr>
          <w:p w14:paraId="735116A9" w14:textId="77777777" w:rsidR="002F590A" w:rsidRDefault="002F590A">
            <w:pPr>
              <w:jc w:val="center"/>
              <w:rPr>
                <w:bCs/>
                <w:sz w:val="12"/>
                <w:szCs w:val="12"/>
              </w:rPr>
            </w:pPr>
            <w:r>
              <w:rPr>
                <w:bCs/>
                <w:sz w:val="12"/>
                <w:szCs w:val="12"/>
              </w:rPr>
              <w:t>7</w:t>
            </w:r>
          </w:p>
        </w:tc>
        <w:tc>
          <w:tcPr>
            <w:tcW w:w="349" w:type="pct"/>
            <w:tcBorders>
              <w:top w:val="single" w:sz="4" w:space="0" w:color="auto"/>
              <w:left w:val="single" w:sz="4" w:space="0" w:color="auto"/>
              <w:bottom w:val="single" w:sz="4" w:space="0" w:color="auto"/>
              <w:right w:val="single" w:sz="4" w:space="0" w:color="auto"/>
            </w:tcBorders>
            <w:vAlign w:val="center"/>
            <w:hideMark/>
          </w:tcPr>
          <w:p w14:paraId="08DF3966" w14:textId="77777777" w:rsidR="002F590A" w:rsidRDefault="002F590A">
            <w:pPr>
              <w:jc w:val="center"/>
              <w:rPr>
                <w:bCs/>
                <w:sz w:val="12"/>
                <w:szCs w:val="12"/>
              </w:rPr>
            </w:pPr>
            <w:r>
              <w:rPr>
                <w:bCs/>
                <w:sz w:val="12"/>
                <w:szCs w:val="12"/>
              </w:rPr>
              <w:t>8</w:t>
            </w:r>
          </w:p>
        </w:tc>
        <w:tc>
          <w:tcPr>
            <w:tcW w:w="131" w:type="pct"/>
            <w:tcBorders>
              <w:top w:val="single" w:sz="4" w:space="0" w:color="auto"/>
              <w:left w:val="single" w:sz="4" w:space="0" w:color="auto"/>
              <w:bottom w:val="single" w:sz="4" w:space="0" w:color="auto"/>
              <w:right w:val="single" w:sz="4" w:space="0" w:color="auto"/>
            </w:tcBorders>
            <w:vAlign w:val="center"/>
            <w:hideMark/>
          </w:tcPr>
          <w:p w14:paraId="76A9B606" w14:textId="77777777" w:rsidR="002F590A" w:rsidRDefault="002F590A">
            <w:pPr>
              <w:jc w:val="center"/>
              <w:rPr>
                <w:bCs/>
                <w:sz w:val="12"/>
                <w:szCs w:val="12"/>
              </w:rPr>
            </w:pPr>
            <w:r>
              <w:rPr>
                <w:bCs/>
                <w:sz w:val="12"/>
                <w:szCs w:val="12"/>
              </w:rPr>
              <w:t>9</w:t>
            </w:r>
          </w:p>
        </w:tc>
        <w:tc>
          <w:tcPr>
            <w:tcW w:w="133" w:type="pct"/>
            <w:tcBorders>
              <w:top w:val="single" w:sz="4" w:space="0" w:color="auto"/>
              <w:left w:val="single" w:sz="4" w:space="0" w:color="auto"/>
              <w:bottom w:val="single" w:sz="4" w:space="0" w:color="auto"/>
              <w:right w:val="single" w:sz="4" w:space="0" w:color="auto"/>
            </w:tcBorders>
            <w:vAlign w:val="center"/>
            <w:hideMark/>
          </w:tcPr>
          <w:p w14:paraId="67B8F851" w14:textId="77777777" w:rsidR="002F590A" w:rsidRDefault="002F590A">
            <w:pPr>
              <w:jc w:val="center"/>
              <w:rPr>
                <w:bCs/>
                <w:sz w:val="12"/>
                <w:szCs w:val="12"/>
              </w:rPr>
            </w:pPr>
            <w:r>
              <w:rPr>
                <w:bCs/>
                <w:sz w:val="12"/>
                <w:szCs w:val="12"/>
              </w:rPr>
              <w:t>10</w:t>
            </w:r>
          </w:p>
        </w:tc>
        <w:tc>
          <w:tcPr>
            <w:tcW w:w="198" w:type="pct"/>
            <w:tcBorders>
              <w:top w:val="single" w:sz="4" w:space="0" w:color="auto"/>
              <w:left w:val="single" w:sz="4" w:space="0" w:color="auto"/>
              <w:bottom w:val="single" w:sz="4" w:space="0" w:color="auto"/>
              <w:right w:val="single" w:sz="4" w:space="0" w:color="auto"/>
            </w:tcBorders>
            <w:vAlign w:val="center"/>
            <w:hideMark/>
          </w:tcPr>
          <w:p w14:paraId="3E1B2A3F" w14:textId="77777777" w:rsidR="002F590A" w:rsidRDefault="002F590A">
            <w:pPr>
              <w:jc w:val="center"/>
              <w:rPr>
                <w:bCs/>
                <w:sz w:val="12"/>
                <w:szCs w:val="12"/>
              </w:rPr>
            </w:pPr>
            <w:r>
              <w:rPr>
                <w:bCs/>
                <w:sz w:val="12"/>
                <w:szCs w:val="12"/>
              </w:rPr>
              <w:t>11</w:t>
            </w:r>
          </w:p>
        </w:tc>
        <w:tc>
          <w:tcPr>
            <w:tcW w:w="178" w:type="pct"/>
            <w:tcBorders>
              <w:top w:val="single" w:sz="4" w:space="0" w:color="auto"/>
              <w:left w:val="single" w:sz="4" w:space="0" w:color="auto"/>
              <w:bottom w:val="single" w:sz="4" w:space="0" w:color="auto"/>
              <w:right w:val="single" w:sz="4" w:space="0" w:color="auto"/>
            </w:tcBorders>
            <w:vAlign w:val="center"/>
            <w:hideMark/>
          </w:tcPr>
          <w:p w14:paraId="33307F2A" w14:textId="77777777" w:rsidR="002F590A" w:rsidRDefault="002F590A">
            <w:pPr>
              <w:jc w:val="center"/>
              <w:rPr>
                <w:bCs/>
                <w:sz w:val="12"/>
                <w:szCs w:val="12"/>
              </w:rPr>
            </w:pPr>
            <w:r>
              <w:rPr>
                <w:bCs/>
                <w:sz w:val="12"/>
                <w:szCs w:val="12"/>
              </w:rPr>
              <w:t>12</w:t>
            </w:r>
          </w:p>
        </w:tc>
        <w:tc>
          <w:tcPr>
            <w:tcW w:w="218" w:type="pct"/>
            <w:tcBorders>
              <w:top w:val="single" w:sz="4" w:space="0" w:color="auto"/>
              <w:left w:val="single" w:sz="4" w:space="0" w:color="auto"/>
              <w:bottom w:val="single" w:sz="4" w:space="0" w:color="auto"/>
              <w:right w:val="single" w:sz="4" w:space="0" w:color="auto"/>
            </w:tcBorders>
            <w:vAlign w:val="center"/>
            <w:hideMark/>
          </w:tcPr>
          <w:p w14:paraId="668B44A6" w14:textId="77777777" w:rsidR="002F590A" w:rsidRDefault="002F590A">
            <w:pPr>
              <w:jc w:val="center"/>
              <w:rPr>
                <w:bCs/>
                <w:sz w:val="12"/>
                <w:szCs w:val="12"/>
              </w:rPr>
            </w:pPr>
            <w:r>
              <w:rPr>
                <w:bCs/>
                <w:sz w:val="12"/>
                <w:szCs w:val="12"/>
              </w:rPr>
              <w:t>13</w:t>
            </w:r>
          </w:p>
        </w:tc>
        <w:tc>
          <w:tcPr>
            <w:tcW w:w="220" w:type="pct"/>
            <w:tcBorders>
              <w:top w:val="single" w:sz="4" w:space="0" w:color="auto"/>
              <w:left w:val="single" w:sz="4" w:space="0" w:color="auto"/>
              <w:bottom w:val="single" w:sz="4" w:space="0" w:color="auto"/>
              <w:right w:val="single" w:sz="4" w:space="0" w:color="auto"/>
            </w:tcBorders>
            <w:vAlign w:val="center"/>
            <w:hideMark/>
          </w:tcPr>
          <w:p w14:paraId="07D57EB5" w14:textId="77777777" w:rsidR="002F590A" w:rsidRDefault="002F590A">
            <w:pPr>
              <w:jc w:val="center"/>
              <w:rPr>
                <w:bCs/>
                <w:sz w:val="12"/>
                <w:szCs w:val="12"/>
              </w:rPr>
            </w:pPr>
            <w:r>
              <w:rPr>
                <w:bCs/>
                <w:sz w:val="12"/>
                <w:szCs w:val="12"/>
              </w:rPr>
              <w:t>14</w:t>
            </w:r>
          </w:p>
        </w:tc>
        <w:tc>
          <w:tcPr>
            <w:tcW w:w="214" w:type="pct"/>
            <w:tcBorders>
              <w:top w:val="single" w:sz="4" w:space="0" w:color="auto"/>
              <w:left w:val="single" w:sz="4" w:space="0" w:color="auto"/>
              <w:bottom w:val="single" w:sz="4" w:space="0" w:color="auto"/>
              <w:right w:val="single" w:sz="4" w:space="0" w:color="auto"/>
            </w:tcBorders>
            <w:vAlign w:val="center"/>
            <w:hideMark/>
          </w:tcPr>
          <w:p w14:paraId="246A9689" w14:textId="77777777" w:rsidR="002F590A" w:rsidRDefault="002F590A">
            <w:pPr>
              <w:jc w:val="center"/>
              <w:rPr>
                <w:bCs/>
                <w:sz w:val="12"/>
                <w:szCs w:val="12"/>
              </w:rPr>
            </w:pPr>
            <w:r>
              <w:rPr>
                <w:bCs/>
                <w:sz w:val="12"/>
                <w:szCs w:val="12"/>
              </w:rPr>
              <w:t>15</w:t>
            </w:r>
          </w:p>
        </w:tc>
        <w:tc>
          <w:tcPr>
            <w:tcW w:w="179" w:type="pct"/>
            <w:tcBorders>
              <w:top w:val="single" w:sz="4" w:space="0" w:color="auto"/>
              <w:left w:val="single" w:sz="4" w:space="0" w:color="auto"/>
              <w:bottom w:val="single" w:sz="4" w:space="0" w:color="auto"/>
              <w:right w:val="single" w:sz="4" w:space="0" w:color="auto"/>
            </w:tcBorders>
            <w:vAlign w:val="center"/>
            <w:hideMark/>
          </w:tcPr>
          <w:p w14:paraId="281DC2C3" w14:textId="77777777" w:rsidR="002F590A" w:rsidRDefault="002F590A">
            <w:pPr>
              <w:jc w:val="center"/>
              <w:rPr>
                <w:bCs/>
                <w:sz w:val="12"/>
                <w:szCs w:val="12"/>
              </w:rPr>
            </w:pPr>
            <w:r>
              <w:rPr>
                <w:bCs/>
                <w:sz w:val="12"/>
                <w:szCs w:val="12"/>
              </w:rPr>
              <w:t>16</w:t>
            </w:r>
          </w:p>
        </w:tc>
        <w:tc>
          <w:tcPr>
            <w:tcW w:w="171" w:type="pct"/>
            <w:tcBorders>
              <w:top w:val="single" w:sz="4" w:space="0" w:color="auto"/>
              <w:left w:val="single" w:sz="4" w:space="0" w:color="auto"/>
              <w:bottom w:val="single" w:sz="4" w:space="0" w:color="auto"/>
              <w:right w:val="single" w:sz="4" w:space="0" w:color="auto"/>
            </w:tcBorders>
            <w:vAlign w:val="center"/>
            <w:hideMark/>
          </w:tcPr>
          <w:p w14:paraId="18C58723" w14:textId="77777777" w:rsidR="002F590A" w:rsidRDefault="002F590A">
            <w:pPr>
              <w:jc w:val="center"/>
              <w:rPr>
                <w:bCs/>
                <w:sz w:val="12"/>
                <w:szCs w:val="12"/>
              </w:rPr>
            </w:pPr>
            <w:r>
              <w:rPr>
                <w:bCs/>
                <w:sz w:val="12"/>
                <w:szCs w:val="12"/>
              </w:rPr>
              <w:t>17</w:t>
            </w:r>
          </w:p>
        </w:tc>
        <w:tc>
          <w:tcPr>
            <w:tcW w:w="173" w:type="pct"/>
            <w:tcBorders>
              <w:top w:val="single" w:sz="4" w:space="0" w:color="auto"/>
              <w:left w:val="single" w:sz="4" w:space="0" w:color="auto"/>
              <w:bottom w:val="single" w:sz="4" w:space="0" w:color="auto"/>
              <w:right w:val="single" w:sz="4" w:space="0" w:color="auto"/>
            </w:tcBorders>
            <w:vAlign w:val="center"/>
            <w:hideMark/>
          </w:tcPr>
          <w:p w14:paraId="6CDE0A73" w14:textId="77777777" w:rsidR="002F590A" w:rsidRDefault="002F590A">
            <w:pPr>
              <w:jc w:val="center"/>
              <w:rPr>
                <w:bCs/>
                <w:sz w:val="12"/>
                <w:szCs w:val="12"/>
              </w:rPr>
            </w:pPr>
            <w:r>
              <w:rPr>
                <w:bCs/>
                <w:sz w:val="12"/>
                <w:szCs w:val="12"/>
              </w:rPr>
              <w:t>18</w:t>
            </w:r>
          </w:p>
        </w:tc>
        <w:tc>
          <w:tcPr>
            <w:tcW w:w="177" w:type="pct"/>
            <w:tcBorders>
              <w:top w:val="single" w:sz="4" w:space="0" w:color="auto"/>
              <w:left w:val="single" w:sz="4" w:space="0" w:color="auto"/>
              <w:bottom w:val="single" w:sz="4" w:space="0" w:color="auto"/>
              <w:right w:val="single" w:sz="4" w:space="0" w:color="auto"/>
            </w:tcBorders>
            <w:vAlign w:val="center"/>
            <w:hideMark/>
          </w:tcPr>
          <w:p w14:paraId="1D43DB96" w14:textId="77777777" w:rsidR="002F590A" w:rsidRDefault="002F590A">
            <w:pPr>
              <w:jc w:val="center"/>
              <w:rPr>
                <w:bCs/>
                <w:sz w:val="12"/>
                <w:szCs w:val="12"/>
              </w:rPr>
            </w:pPr>
            <w:r>
              <w:rPr>
                <w:bCs/>
                <w:sz w:val="12"/>
                <w:szCs w:val="12"/>
              </w:rPr>
              <w:t>19</w:t>
            </w:r>
          </w:p>
        </w:tc>
        <w:tc>
          <w:tcPr>
            <w:tcW w:w="173" w:type="pct"/>
            <w:tcBorders>
              <w:top w:val="single" w:sz="4" w:space="0" w:color="auto"/>
              <w:left w:val="single" w:sz="4" w:space="0" w:color="auto"/>
              <w:bottom w:val="single" w:sz="4" w:space="0" w:color="auto"/>
              <w:right w:val="single" w:sz="4" w:space="0" w:color="auto"/>
            </w:tcBorders>
            <w:vAlign w:val="center"/>
            <w:hideMark/>
          </w:tcPr>
          <w:p w14:paraId="4F4BBC11" w14:textId="77777777" w:rsidR="002F590A" w:rsidRDefault="002F590A">
            <w:pPr>
              <w:jc w:val="center"/>
              <w:rPr>
                <w:bCs/>
                <w:sz w:val="12"/>
                <w:szCs w:val="12"/>
              </w:rPr>
            </w:pPr>
            <w:r>
              <w:rPr>
                <w:bCs/>
                <w:sz w:val="12"/>
                <w:szCs w:val="12"/>
              </w:rPr>
              <w:t>20</w:t>
            </w:r>
          </w:p>
        </w:tc>
        <w:tc>
          <w:tcPr>
            <w:tcW w:w="173" w:type="pct"/>
            <w:tcBorders>
              <w:top w:val="single" w:sz="4" w:space="0" w:color="auto"/>
              <w:left w:val="single" w:sz="4" w:space="0" w:color="auto"/>
              <w:bottom w:val="single" w:sz="4" w:space="0" w:color="auto"/>
              <w:right w:val="single" w:sz="4" w:space="0" w:color="auto"/>
            </w:tcBorders>
            <w:vAlign w:val="center"/>
            <w:hideMark/>
          </w:tcPr>
          <w:p w14:paraId="277AC952" w14:textId="77777777" w:rsidR="002F590A" w:rsidRDefault="002F590A">
            <w:pPr>
              <w:jc w:val="center"/>
              <w:rPr>
                <w:bCs/>
                <w:sz w:val="12"/>
                <w:szCs w:val="12"/>
              </w:rPr>
            </w:pPr>
            <w:r>
              <w:rPr>
                <w:bCs/>
                <w:sz w:val="12"/>
                <w:szCs w:val="12"/>
              </w:rPr>
              <w:t>21</w:t>
            </w:r>
          </w:p>
        </w:tc>
        <w:tc>
          <w:tcPr>
            <w:tcW w:w="177" w:type="pct"/>
            <w:tcBorders>
              <w:top w:val="single" w:sz="4" w:space="0" w:color="auto"/>
              <w:left w:val="single" w:sz="4" w:space="0" w:color="auto"/>
              <w:bottom w:val="single" w:sz="4" w:space="0" w:color="auto"/>
              <w:right w:val="single" w:sz="4" w:space="0" w:color="auto"/>
            </w:tcBorders>
            <w:vAlign w:val="center"/>
            <w:hideMark/>
          </w:tcPr>
          <w:p w14:paraId="2C8A0CE8" w14:textId="77777777" w:rsidR="002F590A" w:rsidRDefault="002F590A">
            <w:pPr>
              <w:jc w:val="center"/>
              <w:rPr>
                <w:bCs/>
                <w:sz w:val="12"/>
                <w:szCs w:val="12"/>
              </w:rPr>
            </w:pPr>
            <w:r>
              <w:rPr>
                <w:bCs/>
                <w:sz w:val="12"/>
                <w:szCs w:val="12"/>
              </w:rPr>
              <w:t>22</w:t>
            </w:r>
          </w:p>
        </w:tc>
        <w:tc>
          <w:tcPr>
            <w:tcW w:w="174" w:type="pct"/>
            <w:tcBorders>
              <w:top w:val="single" w:sz="4" w:space="0" w:color="auto"/>
              <w:left w:val="single" w:sz="4" w:space="0" w:color="auto"/>
              <w:bottom w:val="single" w:sz="4" w:space="0" w:color="auto"/>
              <w:right w:val="single" w:sz="4" w:space="0" w:color="auto"/>
            </w:tcBorders>
            <w:vAlign w:val="center"/>
            <w:hideMark/>
          </w:tcPr>
          <w:p w14:paraId="471DEA03" w14:textId="77777777" w:rsidR="002F590A" w:rsidRDefault="002F590A">
            <w:pPr>
              <w:jc w:val="center"/>
              <w:rPr>
                <w:bCs/>
                <w:sz w:val="12"/>
                <w:szCs w:val="12"/>
              </w:rPr>
            </w:pPr>
            <w:r>
              <w:rPr>
                <w:bCs/>
                <w:sz w:val="12"/>
                <w:szCs w:val="12"/>
              </w:rPr>
              <w:t>23</w:t>
            </w:r>
          </w:p>
        </w:tc>
        <w:tc>
          <w:tcPr>
            <w:tcW w:w="128" w:type="pct"/>
            <w:tcBorders>
              <w:top w:val="single" w:sz="4" w:space="0" w:color="auto"/>
              <w:left w:val="single" w:sz="4" w:space="0" w:color="auto"/>
              <w:bottom w:val="single" w:sz="4" w:space="0" w:color="auto"/>
              <w:right w:val="single" w:sz="4" w:space="0" w:color="auto"/>
            </w:tcBorders>
            <w:vAlign w:val="center"/>
            <w:hideMark/>
          </w:tcPr>
          <w:p w14:paraId="61A744BD" w14:textId="77777777" w:rsidR="002F590A" w:rsidRDefault="002F590A">
            <w:pPr>
              <w:jc w:val="center"/>
              <w:rPr>
                <w:bCs/>
                <w:sz w:val="12"/>
                <w:szCs w:val="12"/>
              </w:rPr>
            </w:pPr>
            <w:r>
              <w:rPr>
                <w:bCs/>
                <w:sz w:val="12"/>
                <w:szCs w:val="12"/>
              </w:rPr>
              <w:t>24</w:t>
            </w:r>
          </w:p>
        </w:tc>
      </w:tr>
      <w:tr w:rsidR="002F590A" w14:paraId="4178DF07" w14:textId="77777777" w:rsidTr="002F590A">
        <w:trPr>
          <w:trHeight w:val="995"/>
        </w:trPr>
        <w:tc>
          <w:tcPr>
            <w:tcW w:w="175" w:type="pct"/>
            <w:tcBorders>
              <w:top w:val="single" w:sz="4" w:space="0" w:color="auto"/>
              <w:left w:val="single" w:sz="4" w:space="0" w:color="auto"/>
              <w:bottom w:val="single" w:sz="4" w:space="0" w:color="auto"/>
              <w:right w:val="single" w:sz="4" w:space="0" w:color="auto"/>
            </w:tcBorders>
            <w:vAlign w:val="center"/>
            <w:hideMark/>
          </w:tcPr>
          <w:p w14:paraId="7BA0FA9C" w14:textId="77777777" w:rsidR="002F590A" w:rsidRDefault="002F590A">
            <w:pPr>
              <w:jc w:val="center"/>
              <w:rPr>
                <w:bCs/>
                <w:sz w:val="12"/>
                <w:szCs w:val="12"/>
              </w:rPr>
            </w:pPr>
            <w:r>
              <w:rPr>
                <w:bCs/>
                <w:sz w:val="12"/>
                <w:szCs w:val="12"/>
              </w:rPr>
              <w:t>3.2.7.</w:t>
            </w:r>
          </w:p>
        </w:tc>
        <w:tc>
          <w:tcPr>
            <w:tcW w:w="262" w:type="pct"/>
            <w:tcBorders>
              <w:top w:val="single" w:sz="4" w:space="0" w:color="auto"/>
              <w:left w:val="single" w:sz="4" w:space="0" w:color="auto"/>
              <w:bottom w:val="single" w:sz="4" w:space="0" w:color="auto"/>
              <w:right w:val="single" w:sz="4" w:space="0" w:color="auto"/>
            </w:tcBorders>
            <w:vAlign w:val="center"/>
            <w:hideMark/>
          </w:tcPr>
          <w:p w14:paraId="69BB1AAC" w14:textId="77777777" w:rsidR="002F590A" w:rsidRDefault="002F590A">
            <w:pPr>
              <w:rPr>
                <w:bCs/>
                <w:color w:val="000000"/>
                <w:sz w:val="12"/>
                <w:szCs w:val="12"/>
              </w:rPr>
            </w:pPr>
            <w:r>
              <w:rPr>
                <w:bCs/>
                <w:color w:val="000000"/>
                <w:sz w:val="12"/>
                <w:szCs w:val="12"/>
              </w:rPr>
              <w:t>Реконструкция котельной №38</w:t>
            </w:r>
          </w:p>
        </w:tc>
        <w:tc>
          <w:tcPr>
            <w:tcW w:w="351" w:type="pct"/>
            <w:tcBorders>
              <w:top w:val="single" w:sz="4" w:space="0" w:color="auto"/>
              <w:left w:val="single" w:sz="4" w:space="0" w:color="auto"/>
              <w:bottom w:val="single" w:sz="4" w:space="0" w:color="auto"/>
              <w:right w:val="single" w:sz="4" w:space="0" w:color="auto"/>
            </w:tcBorders>
            <w:vAlign w:val="center"/>
          </w:tcPr>
          <w:p w14:paraId="49FB16D2" w14:textId="77777777" w:rsidR="002F590A" w:rsidRDefault="002F590A">
            <w:pPr>
              <w:jc w:val="center"/>
              <w:rPr>
                <w:sz w:val="12"/>
                <w:szCs w:val="12"/>
              </w:rPr>
            </w:pPr>
          </w:p>
        </w:tc>
        <w:tc>
          <w:tcPr>
            <w:tcW w:w="259" w:type="pct"/>
            <w:tcBorders>
              <w:top w:val="single" w:sz="4" w:space="0" w:color="auto"/>
              <w:left w:val="single" w:sz="4" w:space="0" w:color="auto"/>
              <w:bottom w:val="single" w:sz="4" w:space="0" w:color="auto"/>
              <w:right w:val="single" w:sz="4" w:space="0" w:color="auto"/>
            </w:tcBorders>
            <w:vAlign w:val="center"/>
            <w:hideMark/>
          </w:tcPr>
          <w:p w14:paraId="40A74411" w14:textId="77777777" w:rsidR="002F590A" w:rsidRDefault="002F590A">
            <w:pPr>
              <w:jc w:val="center"/>
              <w:rPr>
                <w:bCs/>
                <w:sz w:val="12"/>
                <w:szCs w:val="12"/>
              </w:rPr>
            </w:pPr>
            <w:r>
              <w:rPr>
                <w:bCs/>
                <w:sz w:val="12"/>
                <w:szCs w:val="12"/>
              </w:rPr>
              <w:t>Кемеровский городской округ, Рудничный район, ул. Авроры, 16</w:t>
            </w:r>
          </w:p>
        </w:tc>
        <w:tc>
          <w:tcPr>
            <w:tcW w:w="298" w:type="pct"/>
            <w:tcBorders>
              <w:top w:val="single" w:sz="4" w:space="0" w:color="auto"/>
              <w:left w:val="single" w:sz="4" w:space="0" w:color="auto"/>
              <w:bottom w:val="single" w:sz="4" w:space="0" w:color="auto"/>
              <w:right w:val="single" w:sz="4" w:space="0" w:color="auto"/>
            </w:tcBorders>
            <w:vAlign w:val="center"/>
            <w:hideMark/>
          </w:tcPr>
          <w:p w14:paraId="6BEB087B" w14:textId="77777777" w:rsidR="002F590A" w:rsidRDefault="002F590A">
            <w:pPr>
              <w:jc w:val="center"/>
              <w:rPr>
                <w:sz w:val="12"/>
                <w:szCs w:val="12"/>
              </w:rPr>
            </w:pPr>
            <w:r>
              <w:rPr>
                <w:color w:val="000000"/>
                <w:sz w:val="12"/>
                <w:szCs w:val="12"/>
              </w:rPr>
              <w:t>Технические характеристики</w:t>
            </w:r>
          </w:p>
        </w:tc>
        <w:tc>
          <w:tcPr>
            <w:tcW w:w="130" w:type="pct"/>
            <w:tcBorders>
              <w:top w:val="single" w:sz="4" w:space="0" w:color="auto"/>
              <w:left w:val="single" w:sz="4" w:space="0" w:color="auto"/>
              <w:bottom w:val="single" w:sz="4" w:space="0" w:color="auto"/>
              <w:right w:val="single" w:sz="4" w:space="0" w:color="auto"/>
            </w:tcBorders>
            <w:vAlign w:val="center"/>
          </w:tcPr>
          <w:p w14:paraId="32B13B63" w14:textId="77777777" w:rsidR="002F590A" w:rsidRDefault="002F590A">
            <w:pPr>
              <w:jc w:val="center"/>
              <w:rPr>
                <w:sz w:val="12"/>
                <w:szCs w:val="12"/>
              </w:rPr>
            </w:pPr>
          </w:p>
        </w:tc>
        <w:tc>
          <w:tcPr>
            <w:tcW w:w="359" w:type="pct"/>
            <w:tcBorders>
              <w:top w:val="single" w:sz="4" w:space="0" w:color="auto"/>
              <w:left w:val="single" w:sz="4" w:space="0" w:color="auto"/>
              <w:bottom w:val="single" w:sz="4" w:space="0" w:color="auto"/>
              <w:right w:val="single" w:sz="4" w:space="0" w:color="auto"/>
            </w:tcBorders>
            <w:vAlign w:val="center"/>
            <w:hideMark/>
          </w:tcPr>
          <w:p w14:paraId="54402399" w14:textId="77777777" w:rsidR="002F590A" w:rsidRDefault="002F590A">
            <w:pPr>
              <w:jc w:val="center"/>
              <w:rPr>
                <w:sz w:val="12"/>
                <w:szCs w:val="12"/>
              </w:rPr>
            </w:pPr>
            <w:r>
              <w:rPr>
                <w:sz w:val="12"/>
                <w:szCs w:val="12"/>
              </w:rPr>
              <w:t> </w:t>
            </w:r>
          </w:p>
        </w:tc>
        <w:tc>
          <w:tcPr>
            <w:tcW w:w="349" w:type="pct"/>
            <w:tcBorders>
              <w:top w:val="single" w:sz="4" w:space="0" w:color="auto"/>
              <w:left w:val="single" w:sz="4" w:space="0" w:color="auto"/>
              <w:bottom w:val="single" w:sz="4" w:space="0" w:color="auto"/>
              <w:right w:val="single" w:sz="4" w:space="0" w:color="auto"/>
            </w:tcBorders>
            <w:vAlign w:val="center"/>
            <w:hideMark/>
          </w:tcPr>
          <w:p w14:paraId="3BA28E3B" w14:textId="77777777" w:rsidR="002F590A" w:rsidRDefault="002F590A">
            <w:pPr>
              <w:jc w:val="center"/>
              <w:rPr>
                <w:sz w:val="12"/>
                <w:szCs w:val="12"/>
              </w:rPr>
            </w:pPr>
            <w:r>
              <w:rPr>
                <w:sz w:val="12"/>
                <w:szCs w:val="12"/>
              </w:rPr>
              <w:t> </w:t>
            </w:r>
          </w:p>
        </w:tc>
        <w:tc>
          <w:tcPr>
            <w:tcW w:w="131" w:type="pct"/>
            <w:tcBorders>
              <w:top w:val="single" w:sz="4" w:space="0" w:color="auto"/>
              <w:left w:val="single" w:sz="4" w:space="0" w:color="auto"/>
              <w:bottom w:val="single" w:sz="4" w:space="0" w:color="auto"/>
              <w:right w:val="single" w:sz="4" w:space="0" w:color="auto"/>
            </w:tcBorders>
            <w:vAlign w:val="center"/>
          </w:tcPr>
          <w:p w14:paraId="66374B9E" w14:textId="77777777" w:rsidR="002F590A" w:rsidRDefault="002F590A">
            <w:pPr>
              <w:jc w:val="center"/>
              <w:rPr>
                <w:sz w:val="12"/>
                <w:szCs w:val="12"/>
              </w:rPr>
            </w:pPr>
          </w:p>
        </w:tc>
        <w:tc>
          <w:tcPr>
            <w:tcW w:w="133" w:type="pct"/>
            <w:tcBorders>
              <w:top w:val="single" w:sz="4" w:space="0" w:color="auto"/>
              <w:left w:val="single" w:sz="4" w:space="0" w:color="auto"/>
              <w:bottom w:val="single" w:sz="4" w:space="0" w:color="auto"/>
              <w:right w:val="single" w:sz="4" w:space="0" w:color="auto"/>
            </w:tcBorders>
            <w:vAlign w:val="center"/>
          </w:tcPr>
          <w:p w14:paraId="725CD299" w14:textId="77777777" w:rsidR="002F590A" w:rsidRDefault="002F590A">
            <w:pPr>
              <w:jc w:val="center"/>
              <w:rPr>
                <w:sz w:val="12"/>
                <w:szCs w:val="12"/>
              </w:rPr>
            </w:pPr>
          </w:p>
        </w:tc>
        <w:tc>
          <w:tcPr>
            <w:tcW w:w="198" w:type="pct"/>
            <w:tcBorders>
              <w:top w:val="single" w:sz="4" w:space="0" w:color="auto"/>
              <w:left w:val="single" w:sz="4" w:space="0" w:color="auto"/>
              <w:bottom w:val="single" w:sz="4" w:space="0" w:color="auto"/>
              <w:right w:val="single" w:sz="4" w:space="0" w:color="auto"/>
            </w:tcBorders>
            <w:vAlign w:val="center"/>
          </w:tcPr>
          <w:p w14:paraId="6E082E7E" w14:textId="77777777" w:rsidR="002F590A" w:rsidRDefault="002F590A">
            <w:pPr>
              <w:jc w:val="center"/>
              <w:rPr>
                <w:color w:val="000000"/>
                <w:sz w:val="12"/>
                <w:szCs w:val="12"/>
              </w:rPr>
            </w:pPr>
          </w:p>
        </w:tc>
        <w:tc>
          <w:tcPr>
            <w:tcW w:w="178" w:type="pct"/>
            <w:tcBorders>
              <w:top w:val="single" w:sz="4" w:space="0" w:color="auto"/>
              <w:left w:val="single" w:sz="4" w:space="0" w:color="auto"/>
              <w:bottom w:val="single" w:sz="4" w:space="0" w:color="auto"/>
              <w:right w:val="single" w:sz="4" w:space="0" w:color="auto"/>
            </w:tcBorders>
            <w:vAlign w:val="center"/>
          </w:tcPr>
          <w:p w14:paraId="4AEC7BCD" w14:textId="77777777" w:rsidR="002F590A" w:rsidRDefault="002F590A">
            <w:pPr>
              <w:jc w:val="center"/>
              <w:rPr>
                <w:color w:val="000000"/>
                <w:sz w:val="12"/>
                <w:szCs w:val="12"/>
              </w:rPr>
            </w:pPr>
          </w:p>
        </w:tc>
        <w:tc>
          <w:tcPr>
            <w:tcW w:w="218" w:type="pct"/>
            <w:tcBorders>
              <w:top w:val="single" w:sz="4" w:space="0" w:color="auto"/>
              <w:left w:val="single" w:sz="4" w:space="0" w:color="auto"/>
              <w:bottom w:val="single" w:sz="4" w:space="0" w:color="auto"/>
              <w:right w:val="single" w:sz="4" w:space="0" w:color="auto"/>
            </w:tcBorders>
            <w:vAlign w:val="center"/>
          </w:tcPr>
          <w:p w14:paraId="6D565431" w14:textId="77777777" w:rsidR="002F590A" w:rsidRDefault="002F590A">
            <w:pPr>
              <w:jc w:val="center"/>
              <w:rPr>
                <w:sz w:val="12"/>
                <w:szCs w:val="12"/>
              </w:rPr>
            </w:pPr>
          </w:p>
        </w:tc>
        <w:tc>
          <w:tcPr>
            <w:tcW w:w="220" w:type="pct"/>
            <w:tcBorders>
              <w:top w:val="single" w:sz="4" w:space="0" w:color="auto"/>
              <w:left w:val="single" w:sz="4" w:space="0" w:color="auto"/>
              <w:bottom w:val="single" w:sz="4" w:space="0" w:color="auto"/>
              <w:right w:val="single" w:sz="4" w:space="0" w:color="auto"/>
            </w:tcBorders>
            <w:vAlign w:val="center"/>
          </w:tcPr>
          <w:p w14:paraId="23E8CB25" w14:textId="77777777" w:rsidR="002F590A" w:rsidRDefault="002F590A">
            <w:pPr>
              <w:jc w:val="center"/>
              <w:rPr>
                <w:sz w:val="12"/>
                <w:szCs w:val="12"/>
              </w:rPr>
            </w:pPr>
          </w:p>
        </w:tc>
        <w:tc>
          <w:tcPr>
            <w:tcW w:w="214" w:type="pct"/>
            <w:tcBorders>
              <w:top w:val="single" w:sz="4" w:space="0" w:color="auto"/>
              <w:left w:val="single" w:sz="4" w:space="0" w:color="auto"/>
              <w:bottom w:val="single" w:sz="4" w:space="0" w:color="auto"/>
              <w:right w:val="single" w:sz="4" w:space="0" w:color="auto"/>
            </w:tcBorders>
            <w:vAlign w:val="center"/>
          </w:tcPr>
          <w:p w14:paraId="34C62149" w14:textId="77777777" w:rsidR="002F590A" w:rsidRDefault="002F590A">
            <w:pPr>
              <w:jc w:val="center"/>
              <w:rPr>
                <w:sz w:val="12"/>
                <w:szCs w:val="12"/>
              </w:rPr>
            </w:pPr>
          </w:p>
        </w:tc>
        <w:tc>
          <w:tcPr>
            <w:tcW w:w="179" w:type="pct"/>
            <w:tcBorders>
              <w:top w:val="single" w:sz="4" w:space="0" w:color="auto"/>
              <w:left w:val="single" w:sz="4" w:space="0" w:color="auto"/>
              <w:bottom w:val="single" w:sz="4" w:space="0" w:color="auto"/>
              <w:right w:val="single" w:sz="4" w:space="0" w:color="auto"/>
            </w:tcBorders>
            <w:vAlign w:val="center"/>
          </w:tcPr>
          <w:p w14:paraId="2FF7B501" w14:textId="77777777" w:rsidR="002F590A" w:rsidRDefault="002F590A">
            <w:pPr>
              <w:jc w:val="center"/>
              <w:rPr>
                <w:sz w:val="12"/>
                <w:szCs w:val="12"/>
              </w:rPr>
            </w:pPr>
          </w:p>
        </w:tc>
        <w:tc>
          <w:tcPr>
            <w:tcW w:w="171" w:type="pct"/>
            <w:tcBorders>
              <w:top w:val="single" w:sz="4" w:space="0" w:color="auto"/>
              <w:left w:val="single" w:sz="4" w:space="0" w:color="auto"/>
              <w:bottom w:val="single" w:sz="4" w:space="0" w:color="auto"/>
              <w:right w:val="single" w:sz="4" w:space="0" w:color="auto"/>
            </w:tcBorders>
            <w:vAlign w:val="center"/>
          </w:tcPr>
          <w:p w14:paraId="4CE7A5C7" w14:textId="77777777" w:rsidR="002F590A" w:rsidRDefault="002F590A">
            <w:pPr>
              <w:jc w:val="center"/>
              <w:rPr>
                <w:sz w:val="12"/>
                <w:szCs w:val="12"/>
              </w:rPr>
            </w:pPr>
          </w:p>
        </w:tc>
        <w:tc>
          <w:tcPr>
            <w:tcW w:w="173" w:type="pct"/>
            <w:tcBorders>
              <w:top w:val="single" w:sz="4" w:space="0" w:color="auto"/>
              <w:left w:val="single" w:sz="4" w:space="0" w:color="auto"/>
              <w:bottom w:val="single" w:sz="4" w:space="0" w:color="auto"/>
              <w:right w:val="single" w:sz="4" w:space="0" w:color="auto"/>
            </w:tcBorders>
            <w:vAlign w:val="center"/>
          </w:tcPr>
          <w:p w14:paraId="6DCFA8E5" w14:textId="77777777" w:rsidR="002F590A" w:rsidRDefault="002F590A">
            <w:pPr>
              <w:jc w:val="center"/>
              <w:rPr>
                <w:sz w:val="12"/>
                <w:szCs w:val="12"/>
              </w:rPr>
            </w:pPr>
          </w:p>
        </w:tc>
        <w:tc>
          <w:tcPr>
            <w:tcW w:w="177" w:type="pct"/>
            <w:tcBorders>
              <w:top w:val="single" w:sz="4" w:space="0" w:color="auto"/>
              <w:left w:val="single" w:sz="4" w:space="0" w:color="auto"/>
              <w:bottom w:val="single" w:sz="4" w:space="0" w:color="auto"/>
              <w:right w:val="single" w:sz="4" w:space="0" w:color="auto"/>
            </w:tcBorders>
            <w:vAlign w:val="center"/>
          </w:tcPr>
          <w:p w14:paraId="528F3EB8" w14:textId="77777777" w:rsidR="002F590A" w:rsidRDefault="002F590A">
            <w:pPr>
              <w:jc w:val="center"/>
              <w:rPr>
                <w:sz w:val="12"/>
                <w:szCs w:val="12"/>
              </w:rPr>
            </w:pPr>
          </w:p>
        </w:tc>
        <w:tc>
          <w:tcPr>
            <w:tcW w:w="173" w:type="pct"/>
            <w:tcBorders>
              <w:top w:val="single" w:sz="4" w:space="0" w:color="auto"/>
              <w:left w:val="single" w:sz="4" w:space="0" w:color="auto"/>
              <w:bottom w:val="single" w:sz="4" w:space="0" w:color="auto"/>
              <w:right w:val="single" w:sz="4" w:space="0" w:color="auto"/>
            </w:tcBorders>
            <w:vAlign w:val="center"/>
          </w:tcPr>
          <w:p w14:paraId="5C65F77A" w14:textId="77777777" w:rsidR="002F590A" w:rsidRDefault="002F590A">
            <w:pPr>
              <w:jc w:val="center"/>
              <w:rPr>
                <w:sz w:val="12"/>
                <w:szCs w:val="12"/>
              </w:rPr>
            </w:pPr>
          </w:p>
        </w:tc>
        <w:tc>
          <w:tcPr>
            <w:tcW w:w="173" w:type="pct"/>
            <w:tcBorders>
              <w:top w:val="single" w:sz="4" w:space="0" w:color="auto"/>
              <w:left w:val="single" w:sz="4" w:space="0" w:color="auto"/>
              <w:bottom w:val="single" w:sz="4" w:space="0" w:color="auto"/>
              <w:right w:val="single" w:sz="4" w:space="0" w:color="auto"/>
            </w:tcBorders>
            <w:vAlign w:val="center"/>
          </w:tcPr>
          <w:p w14:paraId="4ED3ECF8" w14:textId="77777777" w:rsidR="002F590A" w:rsidRDefault="002F590A">
            <w:pPr>
              <w:jc w:val="center"/>
              <w:rPr>
                <w:sz w:val="12"/>
                <w:szCs w:val="12"/>
              </w:rPr>
            </w:pPr>
          </w:p>
        </w:tc>
        <w:tc>
          <w:tcPr>
            <w:tcW w:w="177" w:type="pct"/>
            <w:tcBorders>
              <w:top w:val="single" w:sz="4" w:space="0" w:color="auto"/>
              <w:left w:val="single" w:sz="4" w:space="0" w:color="auto"/>
              <w:bottom w:val="single" w:sz="4" w:space="0" w:color="auto"/>
              <w:right w:val="single" w:sz="4" w:space="0" w:color="auto"/>
            </w:tcBorders>
            <w:vAlign w:val="center"/>
          </w:tcPr>
          <w:p w14:paraId="3336C448" w14:textId="77777777" w:rsidR="002F590A" w:rsidRDefault="002F590A">
            <w:pPr>
              <w:jc w:val="center"/>
              <w:rPr>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5714BDFE" w14:textId="77777777" w:rsidR="002F590A" w:rsidRDefault="002F590A">
            <w:pPr>
              <w:jc w:val="center"/>
              <w:rPr>
                <w:color w:val="000000"/>
                <w:sz w:val="12"/>
                <w:szCs w:val="12"/>
              </w:rPr>
            </w:pPr>
          </w:p>
        </w:tc>
        <w:tc>
          <w:tcPr>
            <w:tcW w:w="128" w:type="pct"/>
            <w:tcBorders>
              <w:top w:val="single" w:sz="4" w:space="0" w:color="auto"/>
              <w:left w:val="single" w:sz="4" w:space="0" w:color="auto"/>
              <w:bottom w:val="single" w:sz="4" w:space="0" w:color="auto"/>
              <w:right w:val="single" w:sz="4" w:space="0" w:color="auto"/>
            </w:tcBorders>
            <w:vAlign w:val="center"/>
          </w:tcPr>
          <w:p w14:paraId="51C9B02F" w14:textId="77777777" w:rsidR="002F590A" w:rsidRDefault="002F590A">
            <w:pPr>
              <w:jc w:val="center"/>
              <w:rPr>
                <w:color w:val="000000"/>
                <w:sz w:val="12"/>
                <w:szCs w:val="12"/>
              </w:rPr>
            </w:pPr>
          </w:p>
        </w:tc>
      </w:tr>
      <w:tr w:rsidR="002F590A" w14:paraId="6D1CEC60" w14:textId="77777777" w:rsidTr="002F590A">
        <w:trPr>
          <w:trHeight w:val="1406"/>
        </w:trPr>
        <w:tc>
          <w:tcPr>
            <w:tcW w:w="175" w:type="pct"/>
            <w:tcBorders>
              <w:top w:val="single" w:sz="4" w:space="0" w:color="auto"/>
              <w:left w:val="single" w:sz="4" w:space="0" w:color="auto"/>
              <w:bottom w:val="single" w:sz="4" w:space="0" w:color="auto"/>
              <w:right w:val="single" w:sz="4" w:space="0" w:color="auto"/>
            </w:tcBorders>
            <w:vAlign w:val="center"/>
            <w:hideMark/>
          </w:tcPr>
          <w:p w14:paraId="5510F538" w14:textId="77777777" w:rsidR="002F590A" w:rsidRDefault="002F590A">
            <w:pPr>
              <w:jc w:val="center"/>
              <w:rPr>
                <w:sz w:val="12"/>
                <w:szCs w:val="12"/>
              </w:rPr>
            </w:pPr>
            <w:r>
              <w:rPr>
                <w:sz w:val="12"/>
                <w:szCs w:val="12"/>
              </w:rPr>
              <w:t>3.2.7.1</w:t>
            </w:r>
          </w:p>
        </w:tc>
        <w:tc>
          <w:tcPr>
            <w:tcW w:w="262" w:type="pct"/>
            <w:tcBorders>
              <w:top w:val="single" w:sz="4" w:space="0" w:color="auto"/>
              <w:left w:val="single" w:sz="4" w:space="0" w:color="auto"/>
              <w:bottom w:val="single" w:sz="4" w:space="0" w:color="auto"/>
              <w:right w:val="single" w:sz="4" w:space="0" w:color="auto"/>
            </w:tcBorders>
            <w:vAlign w:val="center"/>
            <w:hideMark/>
          </w:tcPr>
          <w:p w14:paraId="069C51D8" w14:textId="77777777" w:rsidR="002F590A" w:rsidRDefault="002F590A">
            <w:pPr>
              <w:rPr>
                <w:color w:val="000000"/>
                <w:sz w:val="12"/>
                <w:szCs w:val="12"/>
              </w:rPr>
            </w:pPr>
            <w:r>
              <w:rPr>
                <w:color w:val="000000"/>
                <w:sz w:val="12"/>
                <w:szCs w:val="12"/>
              </w:rPr>
              <w:t xml:space="preserve">Реконструкция солевого насоса </w:t>
            </w:r>
          </w:p>
        </w:tc>
        <w:tc>
          <w:tcPr>
            <w:tcW w:w="351" w:type="pct"/>
            <w:tcBorders>
              <w:top w:val="single" w:sz="4" w:space="0" w:color="auto"/>
              <w:left w:val="single" w:sz="4" w:space="0" w:color="auto"/>
              <w:bottom w:val="single" w:sz="4" w:space="0" w:color="auto"/>
              <w:right w:val="single" w:sz="4" w:space="0" w:color="auto"/>
            </w:tcBorders>
            <w:vAlign w:val="center"/>
            <w:hideMark/>
          </w:tcPr>
          <w:p w14:paraId="35FC7F8B" w14:textId="77777777" w:rsidR="002F590A" w:rsidRDefault="002F590A">
            <w:pPr>
              <w:jc w:val="center"/>
              <w:rPr>
                <w:sz w:val="12"/>
                <w:szCs w:val="12"/>
              </w:rPr>
            </w:pPr>
            <w:r>
              <w:rPr>
                <w:sz w:val="12"/>
                <w:szCs w:val="12"/>
              </w:rPr>
              <w:t>Повышение надежности (бесперебойности) услуг теплоснабжения, повышение энергетической эффективности</w:t>
            </w:r>
          </w:p>
        </w:tc>
        <w:tc>
          <w:tcPr>
            <w:tcW w:w="259" w:type="pct"/>
            <w:tcBorders>
              <w:top w:val="single" w:sz="4" w:space="0" w:color="auto"/>
              <w:left w:val="single" w:sz="4" w:space="0" w:color="auto"/>
              <w:bottom w:val="single" w:sz="4" w:space="0" w:color="auto"/>
              <w:right w:val="single" w:sz="4" w:space="0" w:color="auto"/>
            </w:tcBorders>
            <w:vAlign w:val="center"/>
            <w:hideMark/>
          </w:tcPr>
          <w:p w14:paraId="32B5DA8D" w14:textId="77777777" w:rsidR="002F590A" w:rsidRDefault="002F590A">
            <w:pPr>
              <w:jc w:val="center"/>
              <w:rPr>
                <w:sz w:val="12"/>
                <w:szCs w:val="12"/>
              </w:rPr>
            </w:pPr>
            <w:r>
              <w:rPr>
                <w:sz w:val="12"/>
                <w:szCs w:val="12"/>
              </w:rPr>
              <w:t> </w:t>
            </w:r>
          </w:p>
        </w:tc>
        <w:tc>
          <w:tcPr>
            <w:tcW w:w="298" w:type="pct"/>
            <w:tcBorders>
              <w:top w:val="single" w:sz="4" w:space="0" w:color="auto"/>
              <w:left w:val="single" w:sz="4" w:space="0" w:color="auto"/>
              <w:bottom w:val="single" w:sz="4" w:space="0" w:color="auto"/>
              <w:right w:val="single" w:sz="4" w:space="0" w:color="auto"/>
            </w:tcBorders>
            <w:vAlign w:val="center"/>
            <w:hideMark/>
          </w:tcPr>
          <w:p w14:paraId="058E3203" w14:textId="77777777" w:rsidR="002F590A" w:rsidRDefault="002F590A">
            <w:pPr>
              <w:jc w:val="center"/>
              <w:rPr>
                <w:sz w:val="12"/>
                <w:szCs w:val="12"/>
              </w:rPr>
            </w:pPr>
            <w:r>
              <w:rPr>
                <w:color w:val="000000"/>
                <w:sz w:val="12"/>
                <w:szCs w:val="12"/>
              </w:rPr>
              <w:t>Технические характеристики</w:t>
            </w:r>
          </w:p>
        </w:tc>
        <w:tc>
          <w:tcPr>
            <w:tcW w:w="130" w:type="pct"/>
            <w:tcBorders>
              <w:top w:val="single" w:sz="4" w:space="0" w:color="auto"/>
              <w:left w:val="single" w:sz="4" w:space="0" w:color="auto"/>
              <w:bottom w:val="single" w:sz="4" w:space="0" w:color="auto"/>
              <w:right w:val="single" w:sz="4" w:space="0" w:color="auto"/>
            </w:tcBorders>
            <w:vAlign w:val="center"/>
          </w:tcPr>
          <w:p w14:paraId="3B2147F3" w14:textId="77777777" w:rsidR="002F590A" w:rsidRDefault="002F590A">
            <w:pPr>
              <w:jc w:val="center"/>
              <w:rPr>
                <w:sz w:val="12"/>
                <w:szCs w:val="12"/>
              </w:rPr>
            </w:pPr>
          </w:p>
        </w:tc>
        <w:tc>
          <w:tcPr>
            <w:tcW w:w="359" w:type="pct"/>
            <w:tcBorders>
              <w:top w:val="single" w:sz="4" w:space="0" w:color="auto"/>
              <w:left w:val="single" w:sz="4" w:space="0" w:color="auto"/>
              <w:bottom w:val="single" w:sz="4" w:space="0" w:color="auto"/>
              <w:right w:val="single" w:sz="4" w:space="0" w:color="auto"/>
            </w:tcBorders>
            <w:vAlign w:val="center"/>
            <w:hideMark/>
          </w:tcPr>
          <w:p w14:paraId="06D20B39" w14:textId="77777777" w:rsidR="002F590A" w:rsidRDefault="002F590A">
            <w:pPr>
              <w:jc w:val="center"/>
              <w:rPr>
                <w:sz w:val="12"/>
                <w:szCs w:val="12"/>
              </w:rPr>
            </w:pPr>
            <w:r>
              <w:rPr>
                <w:sz w:val="12"/>
                <w:szCs w:val="12"/>
              </w:rPr>
              <w:t xml:space="preserve">Насос марки К 65-50-160, центробежный консольный, одноступенчатый, с горизонтальным расположением вала, подача 25,0 м3/час, напор 32,0 м, </w:t>
            </w:r>
          </w:p>
        </w:tc>
        <w:tc>
          <w:tcPr>
            <w:tcW w:w="349" w:type="pct"/>
            <w:tcBorders>
              <w:top w:val="single" w:sz="4" w:space="0" w:color="auto"/>
              <w:left w:val="single" w:sz="4" w:space="0" w:color="auto"/>
              <w:bottom w:val="single" w:sz="4" w:space="0" w:color="auto"/>
              <w:right w:val="single" w:sz="4" w:space="0" w:color="auto"/>
            </w:tcBorders>
            <w:vAlign w:val="center"/>
            <w:hideMark/>
          </w:tcPr>
          <w:p w14:paraId="43054A4C" w14:textId="77777777" w:rsidR="002F590A" w:rsidRDefault="002F590A">
            <w:pPr>
              <w:jc w:val="center"/>
              <w:rPr>
                <w:sz w:val="12"/>
                <w:szCs w:val="12"/>
              </w:rPr>
            </w:pPr>
            <w:r>
              <w:rPr>
                <w:sz w:val="12"/>
                <w:szCs w:val="12"/>
              </w:rPr>
              <w:t>Оборудование с техническими характеристиками не ниже существующего на объекте.</w:t>
            </w:r>
          </w:p>
        </w:tc>
        <w:tc>
          <w:tcPr>
            <w:tcW w:w="131" w:type="pct"/>
            <w:tcBorders>
              <w:top w:val="single" w:sz="4" w:space="0" w:color="auto"/>
              <w:left w:val="single" w:sz="4" w:space="0" w:color="auto"/>
              <w:bottom w:val="single" w:sz="4" w:space="0" w:color="auto"/>
              <w:right w:val="single" w:sz="4" w:space="0" w:color="auto"/>
            </w:tcBorders>
            <w:vAlign w:val="center"/>
            <w:hideMark/>
          </w:tcPr>
          <w:p w14:paraId="3D000F1D" w14:textId="77777777" w:rsidR="002F590A" w:rsidRDefault="002F590A">
            <w:pPr>
              <w:jc w:val="center"/>
              <w:rPr>
                <w:sz w:val="12"/>
                <w:szCs w:val="12"/>
              </w:rPr>
            </w:pPr>
            <w:r>
              <w:rPr>
                <w:sz w:val="12"/>
                <w:szCs w:val="12"/>
              </w:rPr>
              <w:t>2031</w:t>
            </w:r>
          </w:p>
        </w:tc>
        <w:tc>
          <w:tcPr>
            <w:tcW w:w="133" w:type="pct"/>
            <w:tcBorders>
              <w:top w:val="single" w:sz="4" w:space="0" w:color="auto"/>
              <w:left w:val="single" w:sz="4" w:space="0" w:color="auto"/>
              <w:bottom w:val="single" w:sz="4" w:space="0" w:color="auto"/>
              <w:right w:val="single" w:sz="4" w:space="0" w:color="auto"/>
            </w:tcBorders>
            <w:vAlign w:val="center"/>
            <w:hideMark/>
          </w:tcPr>
          <w:p w14:paraId="4650ACA4" w14:textId="77777777" w:rsidR="002F590A" w:rsidRDefault="002F590A">
            <w:pPr>
              <w:jc w:val="center"/>
              <w:rPr>
                <w:sz w:val="12"/>
                <w:szCs w:val="12"/>
              </w:rPr>
            </w:pPr>
            <w:r>
              <w:rPr>
                <w:sz w:val="12"/>
                <w:szCs w:val="12"/>
              </w:rPr>
              <w:t>2031</w:t>
            </w:r>
          </w:p>
        </w:tc>
        <w:tc>
          <w:tcPr>
            <w:tcW w:w="198" w:type="pct"/>
            <w:tcBorders>
              <w:top w:val="single" w:sz="4" w:space="0" w:color="auto"/>
              <w:left w:val="single" w:sz="4" w:space="0" w:color="auto"/>
              <w:bottom w:val="single" w:sz="4" w:space="0" w:color="auto"/>
              <w:right w:val="single" w:sz="4" w:space="0" w:color="auto"/>
            </w:tcBorders>
            <w:vAlign w:val="center"/>
            <w:hideMark/>
          </w:tcPr>
          <w:p w14:paraId="1FFBF901" w14:textId="77777777" w:rsidR="002F590A" w:rsidRDefault="002F590A">
            <w:pPr>
              <w:jc w:val="center"/>
              <w:rPr>
                <w:color w:val="000000"/>
                <w:sz w:val="12"/>
                <w:szCs w:val="12"/>
              </w:rPr>
            </w:pPr>
            <w:r>
              <w:rPr>
                <w:color w:val="000000"/>
                <w:sz w:val="12"/>
                <w:szCs w:val="12"/>
              </w:rPr>
              <w:t>159,61</w:t>
            </w:r>
          </w:p>
        </w:tc>
        <w:tc>
          <w:tcPr>
            <w:tcW w:w="178" w:type="pct"/>
            <w:tcBorders>
              <w:top w:val="single" w:sz="4" w:space="0" w:color="auto"/>
              <w:left w:val="single" w:sz="4" w:space="0" w:color="auto"/>
              <w:bottom w:val="single" w:sz="4" w:space="0" w:color="auto"/>
              <w:right w:val="single" w:sz="4" w:space="0" w:color="auto"/>
            </w:tcBorders>
            <w:vAlign w:val="center"/>
            <w:hideMark/>
          </w:tcPr>
          <w:p w14:paraId="208C64A5" w14:textId="77777777" w:rsidR="002F590A" w:rsidRDefault="002F590A">
            <w:pPr>
              <w:jc w:val="center"/>
              <w:rPr>
                <w:color w:val="000000"/>
                <w:sz w:val="12"/>
                <w:szCs w:val="12"/>
              </w:rPr>
            </w:pPr>
            <w:r>
              <w:rPr>
                <w:color w:val="000000"/>
                <w:sz w:val="12"/>
                <w:szCs w:val="12"/>
              </w:rPr>
              <w:t>0,00</w:t>
            </w:r>
          </w:p>
        </w:tc>
        <w:tc>
          <w:tcPr>
            <w:tcW w:w="218" w:type="pct"/>
            <w:tcBorders>
              <w:top w:val="single" w:sz="4" w:space="0" w:color="auto"/>
              <w:left w:val="single" w:sz="4" w:space="0" w:color="auto"/>
              <w:bottom w:val="single" w:sz="4" w:space="0" w:color="auto"/>
              <w:right w:val="single" w:sz="4" w:space="0" w:color="auto"/>
            </w:tcBorders>
            <w:vAlign w:val="center"/>
            <w:hideMark/>
          </w:tcPr>
          <w:p w14:paraId="44FDDA25" w14:textId="77777777" w:rsidR="002F590A" w:rsidRDefault="002F590A">
            <w:pPr>
              <w:jc w:val="center"/>
              <w:rPr>
                <w:sz w:val="12"/>
                <w:szCs w:val="12"/>
              </w:rPr>
            </w:pPr>
            <w:r>
              <w:rPr>
                <w:sz w:val="12"/>
                <w:szCs w:val="12"/>
              </w:rPr>
              <w:t>0,00</w:t>
            </w:r>
          </w:p>
        </w:tc>
        <w:tc>
          <w:tcPr>
            <w:tcW w:w="220" w:type="pct"/>
            <w:tcBorders>
              <w:top w:val="single" w:sz="4" w:space="0" w:color="auto"/>
              <w:left w:val="single" w:sz="4" w:space="0" w:color="auto"/>
              <w:bottom w:val="single" w:sz="4" w:space="0" w:color="auto"/>
              <w:right w:val="single" w:sz="4" w:space="0" w:color="auto"/>
            </w:tcBorders>
            <w:vAlign w:val="center"/>
            <w:hideMark/>
          </w:tcPr>
          <w:p w14:paraId="59A68CDD" w14:textId="77777777" w:rsidR="002F590A" w:rsidRDefault="002F590A">
            <w:pPr>
              <w:jc w:val="center"/>
              <w:rPr>
                <w:sz w:val="12"/>
                <w:szCs w:val="12"/>
              </w:rPr>
            </w:pPr>
            <w:r>
              <w:rPr>
                <w:sz w:val="12"/>
                <w:szCs w:val="12"/>
              </w:rPr>
              <w:t>0,00</w:t>
            </w:r>
          </w:p>
        </w:tc>
        <w:tc>
          <w:tcPr>
            <w:tcW w:w="214" w:type="pct"/>
            <w:tcBorders>
              <w:top w:val="single" w:sz="4" w:space="0" w:color="auto"/>
              <w:left w:val="single" w:sz="4" w:space="0" w:color="auto"/>
              <w:bottom w:val="single" w:sz="4" w:space="0" w:color="auto"/>
              <w:right w:val="single" w:sz="4" w:space="0" w:color="auto"/>
            </w:tcBorders>
            <w:vAlign w:val="center"/>
            <w:hideMark/>
          </w:tcPr>
          <w:p w14:paraId="6576E8CD" w14:textId="77777777" w:rsidR="002F590A" w:rsidRDefault="002F590A">
            <w:pPr>
              <w:jc w:val="center"/>
              <w:rPr>
                <w:sz w:val="12"/>
                <w:szCs w:val="12"/>
              </w:rPr>
            </w:pPr>
            <w:r>
              <w:rPr>
                <w:sz w:val="12"/>
                <w:szCs w:val="12"/>
              </w:rPr>
              <w:t>0,00</w:t>
            </w:r>
          </w:p>
        </w:tc>
        <w:tc>
          <w:tcPr>
            <w:tcW w:w="179" w:type="pct"/>
            <w:tcBorders>
              <w:top w:val="single" w:sz="4" w:space="0" w:color="auto"/>
              <w:left w:val="single" w:sz="4" w:space="0" w:color="auto"/>
              <w:bottom w:val="single" w:sz="4" w:space="0" w:color="auto"/>
              <w:right w:val="single" w:sz="4" w:space="0" w:color="auto"/>
            </w:tcBorders>
            <w:vAlign w:val="center"/>
            <w:hideMark/>
          </w:tcPr>
          <w:p w14:paraId="1DCDFD9B" w14:textId="77777777" w:rsidR="002F590A" w:rsidRDefault="002F590A">
            <w:pPr>
              <w:jc w:val="center"/>
              <w:rPr>
                <w:sz w:val="12"/>
                <w:szCs w:val="12"/>
              </w:rPr>
            </w:pPr>
            <w:r>
              <w:rPr>
                <w:sz w:val="12"/>
                <w:szCs w:val="12"/>
              </w:rPr>
              <w:t>0,00</w:t>
            </w:r>
          </w:p>
        </w:tc>
        <w:tc>
          <w:tcPr>
            <w:tcW w:w="171" w:type="pct"/>
            <w:tcBorders>
              <w:top w:val="single" w:sz="4" w:space="0" w:color="auto"/>
              <w:left w:val="single" w:sz="4" w:space="0" w:color="auto"/>
              <w:bottom w:val="single" w:sz="4" w:space="0" w:color="auto"/>
              <w:right w:val="single" w:sz="4" w:space="0" w:color="auto"/>
            </w:tcBorders>
            <w:vAlign w:val="center"/>
            <w:hideMark/>
          </w:tcPr>
          <w:p w14:paraId="0286E3D3"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0BDED831" w14:textId="77777777" w:rsidR="002F590A" w:rsidRDefault="002F590A">
            <w:pPr>
              <w:jc w:val="center"/>
              <w:rPr>
                <w:sz w:val="12"/>
                <w:szCs w:val="12"/>
              </w:rPr>
            </w:pPr>
            <w:r>
              <w:rPr>
                <w:sz w:val="12"/>
                <w:szCs w:val="12"/>
              </w:rPr>
              <w:t>0,00</w:t>
            </w:r>
          </w:p>
        </w:tc>
        <w:tc>
          <w:tcPr>
            <w:tcW w:w="177" w:type="pct"/>
            <w:tcBorders>
              <w:top w:val="single" w:sz="4" w:space="0" w:color="auto"/>
              <w:left w:val="single" w:sz="4" w:space="0" w:color="auto"/>
              <w:bottom w:val="single" w:sz="4" w:space="0" w:color="auto"/>
              <w:right w:val="single" w:sz="4" w:space="0" w:color="auto"/>
            </w:tcBorders>
            <w:vAlign w:val="center"/>
            <w:hideMark/>
          </w:tcPr>
          <w:p w14:paraId="7F188EAA"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6C260FCC"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0B39065D" w14:textId="77777777" w:rsidR="002F590A" w:rsidRDefault="002F590A">
            <w:pPr>
              <w:jc w:val="center"/>
              <w:rPr>
                <w:sz w:val="12"/>
                <w:szCs w:val="12"/>
              </w:rPr>
            </w:pPr>
            <w:r>
              <w:rPr>
                <w:sz w:val="12"/>
                <w:szCs w:val="12"/>
              </w:rPr>
              <w:t>0,00</w:t>
            </w:r>
          </w:p>
        </w:tc>
        <w:tc>
          <w:tcPr>
            <w:tcW w:w="177" w:type="pct"/>
            <w:tcBorders>
              <w:top w:val="single" w:sz="4" w:space="0" w:color="auto"/>
              <w:left w:val="single" w:sz="4" w:space="0" w:color="auto"/>
              <w:bottom w:val="single" w:sz="4" w:space="0" w:color="auto"/>
              <w:right w:val="single" w:sz="4" w:space="0" w:color="auto"/>
            </w:tcBorders>
            <w:vAlign w:val="center"/>
            <w:hideMark/>
          </w:tcPr>
          <w:p w14:paraId="25B5DE00" w14:textId="77777777" w:rsidR="002F590A" w:rsidRDefault="002F590A">
            <w:pPr>
              <w:jc w:val="center"/>
              <w:rPr>
                <w:sz w:val="12"/>
                <w:szCs w:val="12"/>
              </w:rPr>
            </w:pPr>
            <w:r>
              <w:rPr>
                <w:sz w:val="12"/>
                <w:szCs w:val="12"/>
              </w:rPr>
              <w:t>159,61</w:t>
            </w:r>
          </w:p>
        </w:tc>
        <w:tc>
          <w:tcPr>
            <w:tcW w:w="174" w:type="pct"/>
            <w:tcBorders>
              <w:top w:val="single" w:sz="4" w:space="0" w:color="auto"/>
              <w:left w:val="single" w:sz="4" w:space="0" w:color="auto"/>
              <w:bottom w:val="single" w:sz="4" w:space="0" w:color="auto"/>
              <w:right w:val="single" w:sz="4" w:space="0" w:color="auto"/>
            </w:tcBorders>
            <w:vAlign w:val="center"/>
            <w:hideMark/>
          </w:tcPr>
          <w:p w14:paraId="4D127307" w14:textId="77777777" w:rsidR="002F590A" w:rsidRDefault="002F590A">
            <w:pPr>
              <w:jc w:val="center"/>
              <w:rPr>
                <w:color w:val="000000"/>
                <w:sz w:val="12"/>
                <w:szCs w:val="12"/>
              </w:rPr>
            </w:pPr>
            <w:r>
              <w:rPr>
                <w:color w:val="000000"/>
                <w:sz w:val="12"/>
                <w:szCs w:val="12"/>
              </w:rPr>
              <w:t>0,00</w:t>
            </w:r>
          </w:p>
        </w:tc>
        <w:tc>
          <w:tcPr>
            <w:tcW w:w="128" w:type="pct"/>
            <w:tcBorders>
              <w:top w:val="single" w:sz="4" w:space="0" w:color="auto"/>
              <w:left w:val="single" w:sz="4" w:space="0" w:color="auto"/>
              <w:bottom w:val="single" w:sz="4" w:space="0" w:color="auto"/>
              <w:right w:val="single" w:sz="4" w:space="0" w:color="auto"/>
            </w:tcBorders>
            <w:vAlign w:val="center"/>
            <w:hideMark/>
          </w:tcPr>
          <w:p w14:paraId="57D3A2E4" w14:textId="77777777" w:rsidR="002F590A" w:rsidRDefault="002F590A">
            <w:pPr>
              <w:jc w:val="center"/>
              <w:rPr>
                <w:color w:val="000000"/>
                <w:sz w:val="12"/>
                <w:szCs w:val="12"/>
              </w:rPr>
            </w:pPr>
            <w:r>
              <w:rPr>
                <w:color w:val="000000"/>
                <w:sz w:val="12"/>
                <w:szCs w:val="12"/>
              </w:rPr>
              <w:t>0,00</w:t>
            </w:r>
          </w:p>
        </w:tc>
      </w:tr>
      <w:tr w:rsidR="002F590A" w14:paraId="52553725" w14:textId="77777777" w:rsidTr="002F590A">
        <w:trPr>
          <w:trHeight w:val="1397"/>
        </w:trPr>
        <w:tc>
          <w:tcPr>
            <w:tcW w:w="175" w:type="pct"/>
            <w:tcBorders>
              <w:top w:val="single" w:sz="4" w:space="0" w:color="auto"/>
              <w:left w:val="single" w:sz="4" w:space="0" w:color="auto"/>
              <w:bottom w:val="single" w:sz="4" w:space="0" w:color="auto"/>
              <w:right w:val="single" w:sz="4" w:space="0" w:color="auto"/>
            </w:tcBorders>
            <w:vAlign w:val="center"/>
            <w:hideMark/>
          </w:tcPr>
          <w:p w14:paraId="09A52021" w14:textId="77777777" w:rsidR="002F590A" w:rsidRDefault="002F590A">
            <w:pPr>
              <w:jc w:val="center"/>
              <w:rPr>
                <w:bCs/>
                <w:sz w:val="12"/>
                <w:szCs w:val="12"/>
              </w:rPr>
            </w:pPr>
            <w:r>
              <w:rPr>
                <w:bCs/>
                <w:sz w:val="12"/>
                <w:szCs w:val="12"/>
              </w:rPr>
              <w:t>3.2.8.</w:t>
            </w:r>
          </w:p>
        </w:tc>
        <w:tc>
          <w:tcPr>
            <w:tcW w:w="262" w:type="pct"/>
            <w:tcBorders>
              <w:top w:val="single" w:sz="4" w:space="0" w:color="auto"/>
              <w:left w:val="single" w:sz="4" w:space="0" w:color="auto"/>
              <w:bottom w:val="single" w:sz="4" w:space="0" w:color="auto"/>
              <w:right w:val="single" w:sz="4" w:space="0" w:color="auto"/>
            </w:tcBorders>
            <w:vAlign w:val="center"/>
            <w:hideMark/>
          </w:tcPr>
          <w:p w14:paraId="1ECE5234" w14:textId="77777777" w:rsidR="002F590A" w:rsidRDefault="002F590A">
            <w:pPr>
              <w:rPr>
                <w:bCs/>
                <w:color w:val="000000"/>
                <w:sz w:val="12"/>
                <w:szCs w:val="12"/>
              </w:rPr>
            </w:pPr>
            <w:r>
              <w:rPr>
                <w:bCs/>
                <w:color w:val="000000"/>
                <w:sz w:val="12"/>
                <w:szCs w:val="12"/>
              </w:rPr>
              <w:t>Реконструкция котельной №43</w:t>
            </w:r>
          </w:p>
        </w:tc>
        <w:tc>
          <w:tcPr>
            <w:tcW w:w="351" w:type="pct"/>
            <w:tcBorders>
              <w:top w:val="single" w:sz="4" w:space="0" w:color="auto"/>
              <w:left w:val="single" w:sz="4" w:space="0" w:color="auto"/>
              <w:bottom w:val="single" w:sz="4" w:space="0" w:color="auto"/>
              <w:right w:val="single" w:sz="4" w:space="0" w:color="auto"/>
            </w:tcBorders>
            <w:vAlign w:val="center"/>
          </w:tcPr>
          <w:p w14:paraId="6C3461EA" w14:textId="77777777" w:rsidR="002F590A" w:rsidRDefault="002F590A">
            <w:pPr>
              <w:jc w:val="center"/>
              <w:rPr>
                <w:sz w:val="12"/>
                <w:szCs w:val="12"/>
              </w:rPr>
            </w:pPr>
          </w:p>
        </w:tc>
        <w:tc>
          <w:tcPr>
            <w:tcW w:w="259" w:type="pct"/>
            <w:tcBorders>
              <w:top w:val="single" w:sz="4" w:space="0" w:color="auto"/>
              <w:left w:val="single" w:sz="4" w:space="0" w:color="auto"/>
              <w:bottom w:val="single" w:sz="4" w:space="0" w:color="auto"/>
              <w:right w:val="single" w:sz="4" w:space="0" w:color="auto"/>
            </w:tcBorders>
            <w:vAlign w:val="center"/>
            <w:hideMark/>
          </w:tcPr>
          <w:p w14:paraId="309D43B9" w14:textId="77777777" w:rsidR="002F590A" w:rsidRDefault="002F590A">
            <w:pPr>
              <w:jc w:val="center"/>
              <w:rPr>
                <w:bCs/>
                <w:sz w:val="12"/>
                <w:szCs w:val="12"/>
              </w:rPr>
            </w:pPr>
            <w:r>
              <w:rPr>
                <w:bCs/>
                <w:sz w:val="12"/>
                <w:szCs w:val="12"/>
              </w:rPr>
              <w:t>Кемеровский городской округ, Заводский район, севернее строения №47 по ул. 4-я Цветочная</w:t>
            </w:r>
          </w:p>
        </w:tc>
        <w:tc>
          <w:tcPr>
            <w:tcW w:w="298" w:type="pct"/>
            <w:tcBorders>
              <w:top w:val="single" w:sz="4" w:space="0" w:color="auto"/>
              <w:left w:val="single" w:sz="4" w:space="0" w:color="auto"/>
              <w:bottom w:val="single" w:sz="4" w:space="0" w:color="auto"/>
              <w:right w:val="single" w:sz="4" w:space="0" w:color="auto"/>
            </w:tcBorders>
            <w:vAlign w:val="center"/>
            <w:hideMark/>
          </w:tcPr>
          <w:p w14:paraId="1C3BD179" w14:textId="77777777" w:rsidR="002F590A" w:rsidRDefault="002F590A">
            <w:pPr>
              <w:jc w:val="center"/>
              <w:rPr>
                <w:sz w:val="12"/>
                <w:szCs w:val="12"/>
              </w:rPr>
            </w:pPr>
            <w:r>
              <w:rPr>
                <w:color w:val="000000"/>
                <w:sz w:val="12"/>
                <w:szCs w:val="12"/>
              </w:rPr>
              <w:t>Технические характеристики</w:t>
            </w:r>
          </w:p>
        </w:tc>
        <w:tc>
          <w:tcPr>
            <w:tcW w:w="130" w:type="pct"/>
            <w:tcBorders>
              <w:top w:val="single" w:sz="4" w:space="0" w:color="auto"/>
              <w:left w:val="single" w:sz="4" w:space="0" w:color="auto"/>
              <w:bottom w:val="single" w:sz="4" w:space="0" w:color="auto"/>
              <w:right w:val="single" w:sz="4" w:space="0" w:color="auto"/>
            </w:tcBorders>
            <w:vAlign w:val="center"/>
          </w:tcPr>
          <w:p w14:paraId="3DDFCA73" w14:textId="77777777" w:rsidR="002F590A" w:rsidRDefault="002F590A">
            <w:pPr>
              <w:jc w:val="center"/>
              <w:rPr>
                <w:sz w:val="12"/>
                <w:szCs w:val="12"/>
              </w:rPr>
            </w:pPr>
          </w:p>
        </w:tc>
        <w:tc>
          <w:tcPr>
            <w:tcW w:w="359" w:type="pct"/>
            <w:tcBorders>
              <w:top w:val="single" w:sz="4" w:space="0" w:color="auto"/>
              <w:left w:val="single" w:sz="4" w:space="0" w:color="auto"/>
              <w:bottom w:val="single" w:sz="4" w:space="0" w:color="auto"/>
              <w:right w:val="single" w:sz="4" w:space="0" w:color="auto"/>
            </w:tcBorders>
            <w:vAlign w:val="center"/>
            <w:hideMark/>
          </w:tcPr>
          <w:p w14:paraId="4D668028" w14:textId="77777777" w:rsidR="002F590A" w:rsidRDefault="002F590A">
            <w:pPr>
              <w:jc w:val="center"/>
              <w:rPr>
                <w:sz w:val="12"/>
                <w:szCs w:val="12"/>
              </w:rPr>
            </w:pPr>
            <w:r>
              <w:rPr>
                <w:sz w:val="12"/>
                <w:szCs w:val="12"/>
              </w:rPr>
              <w:t> </w:t>
            </w:r>
          </w:p>
        </w:tc>
        <w:tc>
          <w:tcPr>
            <w:tcW w:w="349" w:type="pct"/>
            <w:tcBorders>
              <w:top w:val="single" w:sz="4" w:space="0" w:color="auto"/>
              <w:left w:val="single" w:sz="4" w:space="0" w:color="auto"/>
              <w:bottom w:val="single" w:sz="4" w:space="0" w:color="auto"/>
              <w:right w:val="single" w:sz="4" w:space="0" w:color="auto"/>
            </w:tcBorders>
            <w:vAlign w:val="center"/>
            <w:hideMark/>
          </w:tcPr>
          <w:p w14:paraId="704F6B53" w14:textId="77777777" w:rsidR="002F590A" w:rsidRDefault="002F590A">
            <w:pPr>
              <w:jc w:val="center"/>
              <w:rPr>
                <w:sz w:val="12"/>
                <w:szCs w:val="12"/>
              </w:rPr>
            </w:pPr>
            <w:r>
              <w:rPr>
                <w:sz w:val="12"/>
                <w:szCs w:val="12"/>
              </w:rPr>
              <w:t> </w:t>
            </w:r>
          </w:p>
        </w:tc>
        <w:tc>
          <w:tcPr>
            <w:tcW w:w="131" w:type="pct"/>
            <w:tcBorders>
              <w:top w:val="single" w:sz="4" w:space="0" w:color="auto"/>
              <w:left w:val="single" w:sz="4" w:space="0" w:color="auto"/>
              <w:bottom w:val="single" w:sz="4" w:space="0" w:color="auto"/>
              <w:right w:val="single" w:sz="4" w:space="0" w:color="auto"/>
            </w:tcBorders>
            <w:vAlign w:val="center"/>
          </w:tcPr>
          <w:p w14:paraId="31D54577" w14:textId="77777777" w:rsidR="002F590A" w:rsidRDefault="002F590A">
            <w:pPr>
              <w:jc w:val="center"/>
              <w:rPr>
                <w:sz w:val="12"/>
                <w:szCs w:val="12"/>
              </w:rPr>
            </w:pPr>
          </w:p>
        </w:tc>
        <w:tc>
          <w:tcPr>
            <w:tcW w:w="133" w:type="pct"/>
            <w:tcBorders>
              <w:top w:val="single" w:sz="4" w:space="0" w:color="auto"/>
              <w:left w:val="single" w:sz="4" w:space="0" w:color="auto"/>
              <w:bottom w:val="single" w:sz="4" w:space="0" w:color="auto"/>
              <w:right w:val="single" w:sz="4" w:space="0" w:color="auto"/>
            </w:tcBorders>
            <w:vAlign w:val="center"/>
          </w:tcPr>
          <w:p w14:paraId="5DD6B8E0" w14:textId="77777777" w:rsidR="002F590A" w:rsidRDefault="002F590A">
            <w:pPr>
              <w:jc w:val="center"/>
              <w:rPr>
                <w:sz w:val="12"/>
                <w:szCs w:val="12"/>
              </w:rPr>
            </w:pPr>
          </w:p>
        </w:tc>
        <w:tc>
          <w:tcPr>
            <w:tcW w:w="198" w:type="pct"/>
            <w:tcBorders>
              <w:top w:val="single" w:sz="4" w:space="0" w:color="auto"/>
              <w:left w:val="single" w:sz="4" w:space="0" w:color="auto"/>
              <w:bottom w:val="single" w:sz="4" w:space="0" w:color="auto"/>
              <w:right w:val="single" w:sz="4" w:space="0" w:color="auto"/>
            </w:tcBorders>
            <w:vAlign w:val="center"/>
          </w:tcPr>
          <w:p w14:paraId="117F50A1" w14:textId="77777777" w:rsidR="002F590A" w:rsidRDefault="002F590A">
            <w:pPr>
              <w:jc w:val="center"/>
              <w:rPr>
                <w:color w:val="000000"/>
                <w:sz w:val="12"/>
                <w:szCs w:val="12"/>
              </w:rPr>
            </w:pPr>
          </w:p>
        </w:tc>
        <w:tc>
          <w:tcPr>
            <w:tcW w:w="178" w:type="pct"/>
            <w:tcBorders>
              <w:top w:val="single" w:sz="4" w:space="0" w:color="auto"/>
              <w:left w:val="single" w:sz="4" w:space="0" w:color="auto"/>
              <w:bottom w:val="single" w:sz="4" w:space="0" w:color="auto"/>
              <w:right w:val="single" w:sz="4" w:space="0" w:color="auto"/>
            </w:tcBorders>
            <w:vAlign w:val="center"/>
          </w:tcPr>
          <w:p w14:paraId="5C44EF80" w14:textId="77777777" w:rsidR="002F590A" w:rsidRDefault="002F590A">
            <w:pPr>
              <w:jc w:val="center"/>
              <w:rPr>
                <w:color w:val="000000"/>
                <w:sz w:val="12"/>
                <w:szCs w:val="12"/>
              </w:rPr>
            </w:pPr>
          </w:p>
        </w:tc>
        <w:tc>
          <w:tcPr>
            <w:tcW w:w="218" w:type="pct"/>
            <w:tcBorders>
              <w:top w:val="single" w:sz="4" w:space="0" w:color="auto"/>
              <w:left w:val="single" w:sz="4" w:space="0" w:color="auto"/>
              <w:bottom w:val="single" w:sz="4" w:space="0" w:color="auto"/>
              <w:right w:val="single" w:sz="4" w:space="0" w:color="auto"/>
            </w:tcBorders>
            <w:vAlign w:val="center"/>
          </w:tcPr>
          <w:p w14:paraId="5BA4F87C" w14:textId="77777777" w:rsidR="002F590A" w:rsidRDefault="002F590A">
            <w:pPr>
              <w:jc w:val="center"/>
              <w:rPr>
                <w:sz w:val="12"/>
                <w:szCs w:val="12"/>
              </w:rPr>
            </w:pPr>
          </w:p>
        </w:tc>
        <w:tc>
          <w:tcPr>
            <w:tcW w:w="220" w:type="pct"/>
            <w:tcBorders>
              <w:top w:val="single" w:sz="4" w:space="0" w:color="auto"/>
              <w:left w:val="single" w:sz="4" w:space="0" w:color="auto"/>
              <w:bottom w:val="single" w:sz="4" w:space="0" w:color="auto"/>
              <w:right w:val="single" w:sz="4" w:space="0" w:color="auto"/>
            </w:tcBorders>
            <w:vAlign w:val="center"/>
          </w:tcPr>
          <w:p w14:paraId="62DD97F8" w14:textId="77777777" w:rsidR="002F590A" w:rsidRDefault="002F590A">
            <w:pPr>
              <w:jc w:val="center"/>
              <w:rPr>
                <w:sz w:val="12"/>
                <w:szCs w:val="12"/>
              </w:rPr>
            </w:pPr>
          </w:p>
        </w:tc>
        <w:tc>
          <w:tcPr>
            <w:tcW w:w="214" w:type="pct"/>
            <w:tcBorders>
              <w:top w:val="single" w:sz="4" w:space="0" w:color="auto"/>
              <w:left w:val="single" w:sz="4" w:space="0" w:color="auto"/>
              <w:bottom w:val="single" w:sz="4" w:space="0" w:color="auto"/>
              <w:right w:val="single" w:sz="4" w:space="0" w:color="auto"/>
            </w:tcBorders>
            <w:vAlign w:val="center"/>
          </w:tcPr>
          <w:p w14:paraId="6A1BE6A6" w14:textId="77777777" w:rsidR="002F590A" w:rsidRDefault="002F590A">
            <w:pPr>
              <w:jc w:val="center"/>
              <w:rPr>
                <w:sz w:val="12"/>
                <w:szCs w:val="12"/>
              </w:rPr>
            </w:pPr>
          </w:p>
        </w:tc>
        <w:tc>
          <w:tcPr>
            <w:tcW w:w="179" w:type="pct"/>
            <w:tcBorders>
              <w:top w:val="single" w:sz="4" w:space="0" w:color="auto"/>
              <w:left w:val="single" w:sz="4" w:space="0" w:color="auto"/>
              <w:bottom w:val="single" w:sz="4" w:space="0" w:color="auto"/>
              <w:right w:val="single" w:sz="4" w:space="0" w:color="auto"/>
            </w:tcBorders>
            <w:vAlign w:val="center"/>
          </w:tcPr>
          <w:p w14:paraId="4B6C5B2D" w14:textId="77777777" w:rsidR="002F590A" w:rsidRDefault="002F590A">
            <w:pPr>
              <w:jc w:val="center"/>
              <w:rPr>
                <w:sz w:val="12"/>
                <w:szCs w:val="12"/>
              </w:rPr>
            </w:pPr>
          </w:p>
        </w:tc>
        <w:tc>
          <w:tcPr>
            <w:tcW w:w="171" w:type="pct"/>
            <w:tcBorders>
              <w:top w:val="single" w:sz="4" w:space="0" w:color="auto"/>
              <w:left w:val="single" w:sz="4" w:space="0" w:color="auto"/>
              <w:bottom w:val="single" w:sz="4" w:space="0" w:color="auto"/>
              <w:right w:val="single" w:sz="4" w:space="0" w:color="auto"/>
            </w:tcBorders>
            <w:vAlign w:val="center"/>
          </w:tcPr>
          <w:p w14:paraId="16F2A444" w14:textId="77777777" w:rsidR="002F590A" w:rsidRDefault="002F590A">
            <w:pPr>
              <w:jc w:val="center"/>
              <w:rPr>
                <w:sz w:val="12"/>
                <w:szCs w:val="12"/>
              </w:rPr>
            </w:pPr>
          </w:p>
        </w:tc>
        <w:tc>
          <w:tcPr>
            <w:tcW w:w="173" w:type="pct"/>
            <w:tcBorders>
              <w:top w:val="single" w:sz="4" w:space="0" w:color="auto"/>
              <w:left w:val="single" w:sz="4" w:space="0" w:color="auto"/>
              <w:bottom w:val="single" w:sz="4" w:space="0" w:color="auto"/>
              <w:right w:val="single" w:sz="4" w:space="0" w:color="auto"/>
            </w:tcBorders>
            <w:vAlign w:val="center"/>
          </w:tcPr>
          <w:p w14:paraId="75949326" w14:textId="77777777" w:rsidR="002F590A" w:rsidRDefault="002F590A">
            <w:pPr>
              <w:jc w:val="center"/>
              <w:rPr>
                <w:sz w:val="12"/>
                <w:szCs w:val="12"/>
              </w:rPr>
            </w:pPr>
          </w:p>
        </w:tc>
        <w:tc>
          <w:tcPr>
            <w:tcW w:w="177" w:type="pct"/>
            <w:tcBorders>
              <w:top w:val="single" w:sz="4" w:space="0" w:color="auto"/>
              <w:left w:val="single" w:sz="4" w:space="0" w:color="auto"/>
              <w:bottom w:val="single" w:sz="4" w:space="0" w:color="auto"/>
              <w:right w:val="single" w:sz="4" w:space="0" w:color="auto"/>
            </w:tcBorders>
            <w:vAlign w:val="center"/>
          </w:tcPr>
          <w:p w14:paraId="5FDE1FD3" w14:textId="77777777" w:rsidR="002F590A" w:rsidRDefault="002F590A">
            <w:pPr>
              <w:jc w:val="center"/>
              <w:rPr>
                <w:sz w:val="12"/>
                <w:szCs w:val="12"/>
              </w:rPr>
            </w:pPr>
          </w:p>
        </w:tc>
        <w:tc>
          <w:tcPr>
            <w:tcW w:w="173" w:type="pct"/>
            <w:tcBorders>
              <w:top w:val="single" w:sz="4" w:space="0" w:color="auto"/>
              <w:left w:val="single" w:sz="4" w:space="0" w:color="auto"/>
              <w:bottom w:val="single" w:sz="4" w:space="0" w:color="auto"/>
              <w:right w:val="single" w:sz="4" w:space="0" w:color="auto"/>
            </w:tcBorders>
            <w:vAlign w:val="center"/>
          </w:tcPr>
          <w:p w14:paraId="6777C7C7" w14:textId="77777777" w:rsidR="002F590A" w:rsidRDefault="002F590A">
            <w:pPr>
              <w:jc w:val="center"/>
              <w:rPr>
                <w:sz w:val="12"/>
                <w:szCs w:val="12"/>
              </w:rPr>
            </w:pPr>
          </w:p>
        </w:tc>
        <w:tc>
          <w:tcPr>
            <w:tcW w:w="173" w:type="pct"/>
            <w:tcBorders>
              <w:top w:val="single" w:sz="4" w:space="0" w:color="auto"/>
              <w:left w:val="single" w:sz="4" w:space="0" w:color="auto"/>
              <w:bottom w:val="single" w:sz="4" w:space="0" w:color="auto"/>
              <w:right w:val="single" w:sz="4" w:space="0" w:color="auto"/>
            </w:tcBorders>
            <w:vAlign w:val="center"/>
          </w:tcPr>
          <w:p w14:paraId="79380D3C" w14:textId="77777777" w:rsidR="002F590A" w:rsidRDefault="002F590A">
            <w:pPr>
              <w:jc w:val="center"/>
              <w:rPr>
                <w:sz w:val="12"/>
                <w:szCs w:val="12"/>
              </w:rPr>
            </w:pPr>
          </w:p>
        </w:tc>
        <w:tc>
          <w:tcPr>
            <w:tcW w:w="177" w:type="pct"/>
            <w:tcBorders>
              <w:top w:val="single" w:sz="4" w:space="0" w:color="auto"/>
              <w:left w:val="single" w:sz="4" w:space="0" w:color="auto"/>
              <w:bottom w:val="single" w:sz="4" w:space="0" w:color="auto"/>
              <w:right w:val="single" w:sz="4" w:space="0" w:color="auto"/>
            </w:tcBorders>
            <w:vAlign w:val="center"/>
          </w:tcPr>
          <w:p w14:paraId="76609EDF" w14:textId="77777777" w:rsidR="002F590A" w:rsidRDefault="002F590A">
            <w:pPr>
              <w:jc w:val="center"/>
              <w:rPr>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73BBB663" w14:textId="77777777" w:rsidR="002F590A" w:rsidRDefault="002F590A">
            <w:pPr>
              <w:jc w:val="center"/>
              <w:rPr>
                <w:color w:val="000000"/>
                <w:sz w:val="12"/>
                <w:szCs w:val="12"/>
              </w:rPr>
            </w:pPr>
          </w:p>
        </w:tc>
        <w:tc>
          <w:tcPr>
            <w:tcW w:w="128" w:type="pct"/>
            <w:tcBorders>
              <w:top w:val="single" w:sz="4" w:space="0" w:color="auto"/>
              <w:left w:val="single" w:sz="4" w:space="0" w:color="auto"/>
              <w:bottom w:val="single" w:sz="4" w:space="0" w:color="auto"/>
              <w:right w:val="single" w:sz="4" w:space="0" w:color="auto"/>
            </w:tcBorders>
            <w:vAlign w:val="center"/>
          </w:tcPr>
          <w:p w14:paraId="0350EB08" w14:textId="77777777" w:rsidR="002F590A" w:rsidRDefault="002F590A">
            <w:pPr>
              <w:jc w:val="center"/>
              <w:rPr>
                <w:color w:val="000000"/>
                <w:sz w:val="12"/>
                <w:szCs w:val="12"/>
              </w:rPr>
            </w:pPr>
          </w:p>
        </w:tc>
      </w:tr>
      <w:tr w:rsidR="002F590A" w14:paraId="22596426" w14:textId="77777777" w:rsidTr="002F590A">
        <w:trPr>
          <w:trHeight w:val="1262"/>
        </w:trPr>
        <w:tc>
          <w:tcPr>
            <w:tcW w:w="175" w:type="pct"/>
            <w:tcBorders>
              <w:top w:val="single" w:sz="4" w:space="0" w:color="auto"/>
              <w:left w:val="single" w:sz="4" w:space="0" w:color="auto"/>
              <w:bottom w:val="single" w:sz="4" w:space="0" w:color="auto"/>
              <w:right w:val="single" w:sz="4" w:space="0" w:color="auto"/>
            </w:tcBorders>
            <w:vAlign w:val="center"/>
            <w:hideMark/>
          </w:tcPr>
          <w:p w14:paraId="2A316AD9" w14:textId="77777777" w:rsidR="002F590A" w:rsidRDefault="002F590A">
            <w:pPr>
              <w:jc w:val="center"/>
              <w:rPr>
                <w:sz w:val="12"/>
                <w:szCs w:val="12"/>
              </w:rPr>
            </w:pPr>
            <w:r>
              <w:rPr>
                <w:sz w:val="12"/>
                <w:szCs w:val="12"/>
              </w:rPr>
              <w:t>3.2.8.1</w:t>
            </w:r>
          </w:p>
        </w:tc>
        <w:tc>
          <w:tcPr>
            <w:tcW w:w="262" w:type="pct"/>
            <w:tcBorders>
              <w:top w:val="single" w:sz="4" w:space="0" w:color="auto"/>
              <w:left w:val="single" w:sz="4" w:space="0" w:color="auto"/>
              <w:bottom w:val="single" w:sz="4" w:space="0" w:color="auto"/>
              <w:right w:val="single" w:sz="4" w:space="0" w:color="auto"/>
            </w:tcBorders>
            <w:vAlign w:val="center"/>
            <w:hideMark/>
          </w:tcPr>
          <w:p w14:paraId="44DCE099" w14:textId="77777777" w:rsidR="002F590A" w:rsidRDefault="002F590A">
            <w:pPr>
              <w:rPr>
                <w:color w:val="000000"/>
                <w:sz w:val="12"/>
                <w:szCs w:val="12"/>
              </w:rPr>
            </w:pPr>
            <w:r>
              <w:rPr>
                <w:color w:val="000000"/>
                <w:sz w:val="12"/>
                <w:szCs w:val="12"/>
              </w:rPr>
              <w:t>Реконструкция расширительного бака</w:t>
            </w:r>
          </w:p>
        </w:tc>
        <w:tc>
          <w:tcPr>
            <w:tcW w:w="351" w:type="pct"/>
            <w:tcBorders>
              <w:top w:val="single" w:sz="4" w:space="0" w:color="auto"/>
              <w:left w:val="single" w:sz="4" w:space="0" w:color="auto"/>
              <w:bottom w:val="single" w:sz="4" w:space="0" w:color="auto"/>
              <w:right w:val="single" w:sz="4" w:space="0" w:color="auto"/>
            </w:tcBorders>
            <w:vAlign w:val="center"/>
            <w:hideMark/>
          </w:tcPr>
          <w:p w14:paraId="68A11849" w14:textId="77777777" w:rsidR="002F590A" w:rsidRDefault="002F590A">
            <w:pPr>
              <w:jc w:val="center"/>
              <w:rPr>
                <w:sz w:val="12"/>
                <w:szCs w:val="12"/>
              </w:rPr>
            </w:pPr>
            <w:r>
              <w:rPr>
                <w:sz w:val="12"/>
                <w:szCs w:val="12"/>
              </w:rPr>
              <w:t>Повышение надежности (бесперебойности) услуг теплоснабжения, повышение энергетической эффективности</w:t>
            </w:r>
          </w:p>
        </w:tc>
        <w:tc>
          <w:tcPr>
            <w:tcW w:w="259" w:type="pct"/>
            <w:tcBorders>
              <w:top w:val="single" w:sz="4" w:space="0" w:color="auto"/>
              <w:left w:val="single" w:sz="4" w:space="0" w:color="auto"/>
              <w:bottom w:val="single" w:sz="4" w:space="0" w:color="auto"/>
              <w:right w:val="single" w:sz="4" w:space="0" w:color="auto"/>
            </w:tcBorders>
            <w:vAlign w:val="center"/>
            <w:hideMark/>
          </w:tcPr>
          <w:p w14:paraId="072D8609" w14:textId="77777777" w:rsidR="002F590A" w:rsidRDefault="002F590A">
            <w:pPr>
              <w:jc w:val="center"/>
              <w:rPr>
                <w:sz w:val="12"/>
                <w:szCs w:val="12"/>
              </w:rPr>
            </w:pPr>
            <w:r>
              <w:rPr>
                <w:sz w:val="12"/>
                <w:szCs w:val="12"/>
              </w:rPr>
              <w:t> </w:t>
            </w:r>
          </w:p>
        </w:tc>
        <w:tc>
          <w:tcPr>
            <w:tcW w:w="298" w:type="pct"/>
            <w:tcBorders>
              <w:top w:val="single" w:sz="4" w:space="0" w:color="auto"/>
              <w:left w:val="single" w:sz="4" w:space="0" w:color="auto"/>
              <w:bottom w:val="single" w:sz="4" w:space="0" w:color="auto"/>
              <w:right w:val="single" w:sz="4" w:space="0" w:color="auto"/>
            </w:tcBorders>
            <w:vAlign w:val="center"/>
            <w:hideMark/>
          </w:tcPr>
          <w:p w14:paraId="787BAEC1" w14:textId="77777777" w:rsidR="002F590A" w:rsidRDefault="002F590A">
            <w:pPr>
              <w:jc w:val="center"/>
              <w:rPr>
                <w:sz w:val="12"/>
                <w:szCs w:val="12"/>
              </w:rPr>
            </w:pPr>
            <w:r>
              <w:rPr>
                <w:color w:val="000000"/>
                <w:sz w:val="12"/>
                <w:szCs w:val="12"/>
              </w:rPr>
              <w:t>Технические характеристики</w:t>
            </w:r>
          </w:p>
        </w:tc>
        <w:tc>
          <w:tcPr>
            <w:tcW w:w="130" w:type="pct"/>
            <w:tcBorders>
              <w:top w:val="single" w:sz="4" w:space="0" w:color="auto"/>
              <w:left w:val="single" w:sz="4" w:space="0" w:color="auto"/>
              <w:bottom w:val="single" w:sz="4" w:space="0" w:color="auto"/>
              <w:right w:val="single" w:sz="4" w:space="0" w:color="auto"/>
            </w:tcBorders>
            <w:vAlign w:val="center"/>
          </w:tcPr>
          <w:p w14:paraId="3BEC17C0" w14:textId="77777777" w:rsidR="002F590A" w:rsidRDefault="002F590A">
            <w:pPr>
              <w:jc w:val="center"/>
              <w:rPr>
                <w:sz w:val="12"/>
                <w:szCs w:val="12"/>
              </w:rPr>
            </w:pPr>
          </w:p>
        </w:tc>
        <w:tc>
          <w:tcPr>
            <w:tcW w:w="359" w:type="pct"/>
            <w:tcBorders>
              <w:top w:val="single" w:sz="4" w:space="0" w:color="auto"/>
              <w:left w:val="single" w:sz="4" w:space="0" w:color="auto"/>
              <w:bottom w:val="single" w:sz="4" w:space="0" w:color="auto"/>
              <w:right w:val="single" w:sz="4" w:space="0" w:color="auto"/>
            </w:tcBorders>
            <w:vAlign w:val="center"/>
            <w:hideMark/>
          </w:tcPr>
          <w:p w14:paraId="6B58017B" w14:textId="77777777" w:rsidR="002F590A" w:rsidRDefault="002F590A">
            <w:pPr>
              <w:jc w:val="center"/>
              <w:rPr>
                <w:sz w:val="12"/>
                <w:szCs w:val="12"/>
              </w:rPr>
            </w:pPr>
            <w:r>
              <w:rPr>
                <w:sz w:val="12"/>
                <w:szCs w:val="12"/>
              </w:rPr>
              <w:t>Расширительный бак Reflex 35 л</w:t>
            </w:r>
          </w:p>
        </w:tc>
        <w:tc>
          <w:tcPr>
            <w:tcW w:w="349" w:type="pct"/>
            <w:tcBorders>
              <w:top w:val="single" w:sz="4" w:space="0" w:color="auto"/>
              <w:left w:val="single" w:sz="4" w:space="0" w:color="auto"/>
              <w:bottom w:val="single" w:sz="4" w:space="0" w:color="auto"/>
              <w:right w:val="single" w:sz="4" w:space="0" w:color="auto"/>
            </w:tcBorders>
            <w:vAlign w:val="center"/>
            <w:hideMark/>
          </w:tcPr>
          <w:p w14:paraId="2A3DB8A2" w14:textId="77777777" w:rsidR="002F590A" w:rsidRDefault="002F590A">
            <w:pPr>
              <w:jc w:val="center"/>
              <w:rPr>
                <w:sz w:val="12"/>
                <w:szCs w:val="12"/>
              </w:rPr>
            </w:pPr>
            <w:r>
              <w:rPr>
                <w:sz w:val="12"/>
                <w:szCs w:val="12"/>
              </w:rPr>
              <w:t>Оборудование с техническими характеристиками не ниже существующего на объекте.</w:t>
            </w:r>
          </w:p>
        </w:tc>
        <w:tc>
          <w:tcPr>
            <w:tcW w:w="131" w:type="pct"/>
            <w:tcBorders>
              <w:top w:val="single" w:sz="4" w:space="0" w:color="auto"/>
              <w:left w:val="single" w:sz="4" w:space="0" w:color="auto"/>
              <w:bottom w:val="single" w:sz="4" w:space="0" w:color="auto"/>
              <w:right w:val="single" w:sz="4" w:space="0" w:color="auto"/>
            </w:tcBorders>
            <w:vAlign w:val="center"/>
            <w:hideMark/>
          </w:tcPr>
          <w:p w14:paraId="1CE0D687" w14:textId="77777777" w:rsidR="002F590A" w:rsidRDefault="002F590A">
            <w:pPr>
              <w:jc w:val="center"/>
              <w:rPr>
                <w:sz w:val="12"/>
                <w:szCs w:val="12"/>
              </w:rPr>
            </w:pPr>
            <w:r>
              <w:rPr>
                <w:sz w:val="12"/>
                <w:szCs w:val="12"/>
              </w:rPr>
              <w:t>2031</w:t>
            </w:r>
          </w:p>
        </w:tc>
        <w:tc>
          <w:tcPr>
            <w:tcW w:w="133" w:type="pct"/>
            <w:tcBorders>
              <w:top w:val="single" w:sz="4" w:space="0" w:color="auto"/>
              <w:left w:val="single" w:sz="4" w:space="0" w:color="auto"/>
              <w:bottom w:val="single" w:sz="4" w:space="0" w:color="auto"/>
              <w:right w:val="single" w:sz="4" w:space="0" w:color="auto"/>
            </w:tcBorders>
            <w:vAlign w:val="center"/>
            <w:hideMark/>
          </w:tcPr>
          <w:p w14:paraId="7892AAF1" w14:textId="77777777" w:rsidR="002F590A" w:rsidRDefault="002F590A">
            <w:pPr>
              <w:jc w:val="center"/>
              <w:rPr>
                <w:sz w:val="12"/>
                <w:szCs w:val="12"/>
              </w:rPr>
            </w:pPr>
            <w:r>
              <w:rPr>
                <w:sz w:val="12"/>
                <w:szCs w:val="12"/>
              </w:rPr>
              <w:t>2031</w:t>
            </w:r>
          </w:p>
        </w:tc>
        <w:tc>
          <w:tcPr>
            <w:tcW w:w="198" w:type="pct"/>
            <w:tcBorders>
              <w:top w:val="single" w:sz="4" w:space="0" w:color="auto"/>
              <w:left w:val="single" w:sz="4" w:space="0" w:color="auto"/>
              <w:bottom w:val="single" w:sz="4" w:space="0" w:color="auto"/>
              <w:right w:val="single" w:sz="4" w:space="0" w:color="auto"/>
            </w:tcBorders>
            <w:vAlign w:val="center"/>
            <w:hideMark/>
          </w:tcPr>
          <w:p w14:paraId="2DB4DEB5" w14:textId="77777777" w:rsidR="002F590A" w:rsidRDefault="002F590A">
            <w:pPr>
              <w:jc w:val="center"/>
              <w:rPr>
                <w:color w:val="000000"/>
                <w:sz w:val="12"/>
                <w:szCs w:val="12"/>
              </w:rPr>
            </w:pPr>
            <w:r>
              <w:rPr>
                <w:color w:val="000000"/>
                <w:sz w:val="12"/>
                <w:szCs w:val="12"/>
              </w:rPr>
              <w:t>285,05</w:t>
            </w:r>
          </w:p>
        </w:tc>
        <w:tc>
          <w:tcPr>
            <w:tcW w:w="178" w:type="pct"/>
            <w:tcBorders>
              <w:top w:val="single" w:sz="4" w:space="0" w:color="auto"/>
              <w:left w:val="single" w:sz="4" w:space="0" w:color="auto"/>
              <w:bottom w:val="single" w:sz="4" w:space="0" w:color="auto"/>
              <w:right w:val="single" w:sz="4" w:space="0" w:color="auto"/>
            </w:tcBorders>
            <w:vAlign w:val="center"/>
            <w:hideMark/>
          </w:tcPr>
          <w:p w14:paraId="0ED082AD" w14:textId="77777777" w:rsidR="002F590A" w:rsidRDefault="002F590A">
            <w:pPr>
              <w:jc w:val="center"/>
              <w:rPr>
                <w:color w:val="000000"/>
                <w:sz w:val="12"/>
                <w:szCs w:val="12"/>
              </w:rPr>
            </w:pPr>
            <w:r>
              <w:rPr>
                <w:color w:val="000000"/>
                <w:sz w:val="12"/>
                <w:szCs w:val="12"/>
              </w:rPr>
              <w:t>0,00</w:t>
            </w:r>
          </w:p>
        </w:tc>
        <w:tc>
          <w:tcPr>
            <w:tcW w:w="218" w:type="pct"/>
            <w:tcBorders>
              <w:top w:val="single" w:sz="4" w:space="0" w:color="auto"/>
              <w:left w:val="single" w:sz="4" w:space="0" w:color="auto"/>
              <w:bottom w:val="single" w:sz="4" w:space="0" w:color="auto"/>
              <w:right w:val="single" w:sz="4" w:space="0" w:color="auto"/>
            </w:tcBorders>
            <w:vAlign w:val="center"/>
            <w:hideMark/>
          </w:tcPr>
          <w:p w14:paraId="7031CDCF" w14:textId="77777777" w:rsidR="002F590A" w:rsidRDefault="002F590A">
            <w:pPr>
              <w:jc w:val="center"/>
              <w:rPr>
                <w:sz w:val="12"/>
                <w:szCs w:val="12"/>
              </w:rPr>
            </w:pPr>
            <w:r>
              <w:rPr>
                <w:sz w:val="12"/>
                <w:szCs w:val="12"/>
              </w:rPr>
              <w:t>0,00</w:t>
            </w:r>
          </w:p>
        </w:tc>
        <w:tc>
          <w:tcPr>
            <w:tcW w:w="220" w:type="pct"/>
            <w:tcBorders>
              <w:top w:val="single" w:sz="4" w:space="0" w:color="auto"/>
              <w:left w:val="single" w:sz="4" w:space="0" w:color="auto"/>
              <w:bottom w:val="single" w:sz="4" w:space="0" w:color="auto"/>
              <w:right w:val="single" w:sz="4" w:space="0" w:color="auto"/>
            </w:tcBorders>
            <w:vAlign w:val="center"/>
            <w:hideMark/>
          </w:tcPr>
          <w:p w14:paraId="41B1696C" w14:textId="77777777" w:rsidR="002F590A" w:rsidRDefault="002F590A">
            <w:pPr>
              <w:jc w:val="center"/>
              <w:rPr>
                <w:sz w:val="12"/>
                <w:szCs w:val="12"/>
              </w:rPr>
            </w:pPr>
            <w:r>
              <w:rPr>
                <w:sz w:val="12"/>
                <w:szCs w:val="12"/>
              </w:rPr>
              <w:t>0,00</w:t>
            </w:r>
          </w:p>
        </w:tc>
        <w:tc>
          <w:tcPr>
            <w:tcW w:w="214" w:type="pct"/>
            <w:tcBorders>
              <w:top w:val="single" w:sz="4" w:space="0" w:color="auto"/>
              <w:left w:val="single" w:sz="4" w:space="0" w:color="auto"/>
              <w:bottom w:val="single" w:sz="4" w:space="0" w:color="auto"/>
              <w:right w:val="single" w:sz="4" w:space="0" w:color="auto"/>
            </w:tcBorders>
            <w:vAlign w:val="center"/>
            <w:hideMark/>
          </w:tcPr>
          <w:p w14:paraId="4E262B60" w14:textId="77777777" w:rsidR="002F590A" w:rsidRDefault="002F590A">
            <w:pPr>
              <w:jc w:val="center"/>
              <w:rPr>
                <w:sz w:val="12"/>
                <w:szCs w:val="12"/>
              </w:rPr>
            </w:pPr>
            <w:r>
              <w:rPr>
                <w:sz w:val="12"/>
                <w:szCs w:val="12"/>
              </w:rPr>
              <w:t>0,00</w:t>
            </w:r>
          </w:p>
        </w:tc>
        <w:tc>
          <w:tcPr>
            <w:tcW w:w="179" w:type="pct"/>
            <w:tcBorders>
              <w:top w:val="single" w:sz="4" w:space="0" w:color="auto"/>
              <w:left w:val="single" w:sz="4" w:space="0" w:color="auto"/>
              <w:bottom w:val="single" w:sz="4" w:space="0" w:color="auto"/>
              <w:right w:val="single" w:sz="4" w:space="0" w:color="auto"/>
            </w:tcBorders>
            <w:vAlign w:val="center"/>
            <w:hideMark/>
          </w:tcPr>
          <w:p w14:paraId="295AE53B" w14:textId="77777777" w:rsidR="002F590A" w:rsidRDefault="002F590A">
            <w:pPr>
              <w:jc w:val="center"/>
              <w:rPr>
                <w:sz w:val="12"/>
                <w:szCs w:val="12"/>
              </w:rPr>
            </w:pPr>
            <w:r>
              <w:rPr>
                <w:sz w:val="12"/>
                <w:szCs w:val="12"/>
              </w:rPr>
              <w:t>0,00</w:t>
            </w:r>
          </w:p>
        </w:tc>
        <w:tc>
          <w:tcPr>
            <w:tcW w:w="171" w:type="pct"/>
            <w:tcBorders>
              <w:top w:val="single" w:sz="4" w:space="0" w:color="auto"/>
              <w:left w:val="single" w:sz="4" w:space="0" w:color="auto"/>
              <w:bottom w:val="single" w:sz="4" w:space="0" w:color="auto"/>
              <w:right w:val="single" w:sz="4" w:space="0" w:color="auto"/>
            </w:tcBorders>
            <w:vAlign w:val="center"/>
            <w:hideMark/>
          </w:tcPr>
          <w:p w14:paraId="1F18DCBB"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17D8B2AD" w14:textId="77777777" w:rsidR="002F590A" w:rsidRDefault="002F590A">
            <w:pPr>
              <w:jc w:val="center"/>
              <w:rPr>
                <w:sz w:val="12"/>
                <w:szCs w:val="12"/>
              </w:rPr>
            </w:pPr>
            <w:r>
              <w:rPr>
                <w:sz w:val="12"/>
                <w:szCs w:val="12"/>
              </w:rPr>
              <w:t>0,00</w:t>
            </w:r>
          </w:p>
        </w:tc>
        <w:tc>
          <w:tcPr>
            <w:tcW w:w="177" w:type="pct"/>
            <w:tcBorders>
              <w:top w:val="single" w:sz="4" w:space="0" w:color="auto"/>
              <w:left w:val="single" w:sz="4" w:space="0" w:color="auto"/>
              <w:bottom w:val="single" w:sz="4" w:space="0" w:color="auto"/>
              <w:right w:val="single" w:sz="4" w:space="0" w:color="auto"/>
            </w:tcBorders>
            <w:vAlign w:val="center"/>
            <w:hideMark/>
          </w:tcPr>
          <w:p w14:paraId="6F4B47EC"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361327F7"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17F0F2B1" w14:textId="77777777" w:rsidR="002F590A" w:rsidRDefault="002F590A">
            <w:pPr>
              <w:jc w:val="center"/>
              <w:rPr>
                <w:sz w:val="12"/>
                <w:szCs w:val="12"/>
              </w:rPr>
            </w:pPr>
            <w:r>
              <w:rPr>
                <w:sz w:val="12"/>
                <w:szCs w:val="12"/>
              </w:rPr>
              <w:t>0,00</w:t>
            </w:r>
          </w:p>
        </w:tc>
        <w:tc>
          <w:tcPr>
            <w:tcW w:w="177" w:type="pct"/>
            <w:tcBorders>
              <w:top w:val="single" w:sz="4" w:space="0" w:color="auto"/>
              <w:left w:val="single" w:sz="4" w:space="0" w:color="auto"/>
              <w:bottom w:val="single" w:sz="4" w:space="0" w:color="auto"/>
              <w:right w:val="single" w:sz="4" w:space="0" w:color="auto"/>
            </w:tcBorders>
            <w:vAlign w:val="center"/>
            <w:hideMark/>
          </w:tcPr>
          <w:p w14:paraId="119B407A" w14:textId="77777777" w:rsidR="002F590A" w:rsidRDefault="002F590A">
            <w:pPr>
              <w:jc w:val="center"/>
              <w:rPr>
                <w:sz w:val="12"/>
                <w:szCs w:val="12"/>
              </w:rPr>
            </w:pPr>
            <w:r>
              <w:rPr>
                <w:sz w:val="12"/>
                <w:szCs w:val="12"/>
              </w:rPr>
              <w:t>285,05</w:t>
            </w:r>
          </w:p>
        </w:tc>
        <w:tc>
          <w:tcPr>
            <w:tcW w:w="174" w:type="pct"/>
            <w:tcBorders>
              <w:top w:val="single" w:sz="4" w:space="0" w:color="auto"/>
              <w:left w:val="single" w:sz="4" w:space="0" w:color="auto"/>
              <w:bottom w:val="single" w:sz="4" w:space="0" w:color="auto"/>
              <w:right w:val="single" w:sz="4" w:space="0" w:color="auto"/>
            </w:tcBorders>
            <w:vAlign w:val="center"/>
            <w:hideMark/>
          </w:tcPr>
          <w:p w14:paraId="0C054970" w14:textId="77777777" w:rsidR="002F590A" w:rsidRDefault="002F590A">
            <w:pPr>
              <w:jc w:val="center"/>
              <w:rPr>
                <w:color w:val="000000"/>
                <w:sz w:val="12"/>
                <w:szCs w:val="12"/>
              </w:rPr>
            </w:pPr>
            <w:r>
              <w:rPr>
                <w:color w:val="000000"/>
                <w:sz w:val="12"/>
                <w:szCs w:val="12"/>
              </w:rPr>
              <w:t>0,00</w:t>
            </w:r>
          </w:p>
        </w:tc>
        <w:tc>
          <w:tcPr>
            <w:tcW w:w="128" w:type="pct"/>
            <w:tcBorders>
              <w:top w:val="single" w:sz="4" w:space="0" w:color="auto"/>
              <w:left w:val="single" w:sz="4" w:space="0" w:color="auto"/>
              <w:bottom w:val="single" w:sz="4" w:space="0" w:color="auto"/>
              <w:right w:val="single" w:sz="4" w:space="0" w:color="auto"/>
            </w:tcBorders>
            <w:vAlign w:val="center"/>
            <w:hideMark/>
          </w:tcPr>
          <w:p w14:paraId="41DEFB3E" w14:textId="77777777" w:rsidR="002F590A" w:rsidRDefault="002F590A">
            <w:pPr>
              <w:jc w:val="center"/>
              <w:rPr>
                <w:color w:val="000000"/>
                <w:sz w:val="12"/>
                <w:szCs w:val="12"/>
              </w:rPr>
            </w:pPr>
            <w:r>
              <w:rPr>
                <w:color w:val="000000"/>
                <w:sz w:val="12"/>
                <w:szCs w:val="12"/>
              </w:rPr>
              <w:t>0,00</w:t>
            </w:r>
          </w:p>
        </w:tc>
      </w:tr>
      <w:tr w:rsidR="002F590A" w14:paraId="6DF4561F" w14:textId="77777777" w:rsidTr="002F590A">
        <w:trPr>
          <w:trHeight w:val="982"/>
        </w:trPr>
        <w:tc>
          <w:tcPr>
            <w:tcW w:w="175" w:type="pct"/>
            <w:tcBorders>
              <w:top w:val="single" w:sz="4" w:space="0" w:color="auto"/>
              <w:left w:val="single" w:sz="4" w:space="0" w:color="auto"/>
              <w:bottom w:val="single" w:sz="4" w:space="0" w:color="auto"/>
              <w:right w:val="single" w:sz="4" w:space="0" w:color="auto"/>
            </w:tcBorders>
            <w:vAlign w:val="center"/>
            <w:hideMark/>
          </w:tcPr>
          <w:p w14:paraId="5A63CB7D" w14:textId="77777777" w:rsidR="002F590A" w:rsidRDefault="002F590A">
            <w:pPr>
              <w:jc w:val="center"/>
              <w:rPr>
                <w:bCs/>
                <w:sz w:val="12"/>
                <w:szCs w:val="12"/>
              </w:rPr>
            </w:pPr>
            <w:r>
              <w:rPr>
                <w:bCs/>
                <w:sz w:val="12"/>
                <w:szCs w:val="12"/>
              </w:rPr>
              <w:t>3.2.9.</w:t>
            </w:r>
          </w:p>
        </w:tc>
        <w:tc>
          <w:tcPr>
            <w:tcW w:w="262" w:type="pct"/>
            <w:tcBorders>
              <w:top w:val="single" w:sz="4" w:space="0" w:color="auto"/>
              <w:left w:val="single" w:sz="4" w:space="0" w:color="auto"/>
              <w:bottom w:val="single" w:sz="4" w:space="0" w:color="auto"/>
              <w:right w:val="single" w:sz="4" w:space="0" w:color="auto"/>
            </w:tcBorders>
            <w:vAlign w:val="center"/>
            <w:hideMark/>
          </w:tcPr>
          <w:p w14:paraId="41825167" w14:textId="77777777" w:rsidR="002F590A" w:rsidRDefault="002F590A">
            <w:pPr>
              <w:rPr>
                <w:bCs/>
                <w:color w:val="000000"/>
                <w:sz w:val="12"/>
                <w:szCs w:val="12"/>
              </w:rPr>
            </w:pPr>
            <w:r>
              <w:rPr>
                <w:bCs/>
                <w:color w:val="000000"/>
                <w:sz w:val="12"/>
                <w:szCs w:val="12"/>
              </w:rPr>
              <w:t>Реконструкция котельной №47</w:t>
            </w:r>
          </w:p>
        </w:tc>
        <w:tc>
          <w:tcPr>
            <w:tcW w:w="351" w:type="pct"/>
            <w:tcBorders>
              <w:top w:val="single" w:sz="4" w:space="0" w:color="auto"/>
              <w:left w:val="single" w:sz="4" w:space="0" w:color="auto"/>
              <w:bottom w:val="single" w:sz="4" w:space="0" w:color="auto"/>
              <w:right w:val="single" w:sz="4" w:space="0" w:color="auto"/>
            </w:tcBorders>
            <w:vAlign w:val="center"/>
          </w:tcPr>
          <w:p w14:paraId="3F79B1D6" w14:textId="77777777" w:rsidR="002F590A" w:rsidRDefault="002F590A">
            <w:pPr>
              <w:jc w:val="center"/>
              <w:rPr>
                <w:sz w:val="12"/>
                <w:szCs w:val="12"/>
              </w:rPr>
            </w:pPr>
          </w:p>
        </w:tc>
        <w:tc>
          <w:tcPr>
            <w:tcW w:w="259" w:type="pct"/>
            <w:tcBorders>
              <w:top w:val="single" w:sz="4" w:space="0" w:color="auto"/>
              <w:left w:val="single" w:sz="4" w:space="0" w:color="auto"/>
              <w:bottom w:val="single" w:sz="4" w:space="0" w:color="auto"/>
              <w:right w:val="single" w:sz="4" w:space="0" w:color="auto"/>
            </w:tcBorders>
            <w:vAlign w:val="center"/>
            <w:hideMark/>
          </w:tcPr>
          <w:p w14:paraId="3AA83B47" w14:textId="77777777" w:rsidR="002F590A" w:rsidRDefault="002F590A">
            <w:pPr>
              <w:jc w:val="center"/>
              <w:rPr>
                <w:bCs/>
                <w:sz w:val="12"/>
                <w:szCs w:val="12"/>
              </w:rPr>
            </w:pPr>
            <w:r>
              <w:rPr>
                <w:bCs/>
                <w:sz w:val="12"/>
                <w:szCs w:val="12"/>
              </w:rPr>
              <w:t>Кемеровский городской округ, ул. Бийская, 37 (котельная №47)</w:t>
            </w:r>
          </w:p>
        </w:tc>
        <w:tc>
          <w:tcPr>
            <w:tcW w:w="298" w:type="pct"/>
            <w:tcBorders>
              <w:top w:val="single" w:sz="4" w:space="0" w:color="auto"/>
              <w:left w:val="single" w:sz="4" w:space="0" w:color="auto"/>
              <w:bottom w:val="single" w:sz="4" w:space="0" w:color="auto"/>
              <w:right w:val="single" w:sz="4" w:space="0" w:color="auto"/>
            </w:tcBorders>
            <w:vAlign w:val="center"/>
            <w:hideMark/>
          </w:tcPr>
          <w:p w14:paraId="62F6F925" w14:textId="77777777" w:rsidR="002F590A" w:rsidRDefault="002F590A">
            <w:pPr>
              <w:jc w:val="center"/>
              <w:rPr>
                <w:sz w:val="12"/>
                <w:szCs w:val="12"/>
              </w:rPr>
            </w:pPr>
            <w:r>
              <w:rPr>
                <w:color w:val="000000"/>
                <w:sz w:val="12"/>
                <w:szCs w:val="12"/>
              </w:rPr>
              <w:t>Технические характеристики</w:t>
            </w:r>
          </w:p>
        </w:tc>
        <w:tc>
          <w:tcPr>
            <w:tcW w:w="130" w:type="pct"/>
            <w:tcBorders>
              <w:top w:val="single" w:sz="4" w:space="0" w:color="auto"/>
              <w:left w:val="single" w:sz="4" w:space="0" w:color="auto"/>
              <w:bottom w:val="single" w:sz="4" w:space="0" w:color="auto"/>
              <w:right w:val="single" w:sz="4" w:space="0" w:color="auto"/>
            </w:tcBorders>
            <w:vAlign w:val="center"/>
          </w:tcPr>
          <w:p w14:paraId="37C0DEED" w14:textId="77777777" w:rsidR="002F590A" w:rsidRDefault="002F590A">
            <w:pPr>
              <w:jc w:val="center"/>
              <w:rPr>
                <w:sz w:val="12"/>
                <w:szCs w:val="12"/>
              </w:rPr>
            </w:pPr>
          </w:p>
        </w:tc>
        <w:tc>
          <w:tcPr>
            <w:tcW w:w="359" w:type="pct"/>
            <w:tcBorders>
              <w:top w:val="single" w:sz="4" w:space="0" w:color="auto"/>
              <w:left w:val="single" w:sz="4" w:space="0" w:color="auto"/>
              <w:bottom w:val="single" w:sz="4" w:space="0" w:color="auto"/>
              <w:right w:val="single" w:sz="4" w:space="0" w:color="auto"/>
            </w:tcBorders>
            <w:vAlign w:val="center"/>
            <w:hideMark/>
          </w:tcPr>
          <w:p w14:paraId="7D3505CE" w14:textId="77777777" w:rsidR="002F590A" w:rsidRDefault="002F590A">
            <w:pPr>
              <w:jc w:val="center"/>
              <w:rPr>
                <w:sz w:val="12"/>
                <w:szCs w:val="12"/>
              </w:rPr>
            </w:pPr>
            <w:r>
              <w:rPr>
                <w:sz w:val="12"/>
                <w:szCs w:val="12"/>
              </w:rPr>
              <w:t> </w:t>
            </w:r>
          </w:p>
        </w:tc>
        <w:tc>
          <w:tcPr>
            <w:tcW w:w="349" w:type="pct"/>
            <w:tcBorders>
              <w:top w:val="single" w:sz="4" w:space="0" w:color="auto"/>
              <w:left w:val="single" w:sz="4" w:space="0" w:color="auto"/>
              <w:bottom w:val="single" w:sz="4" w:space="0" w:color="auto"/>
              <w:right w:val="single" w:sz="4" w:space="0" w:color="auto"/>
            </w:tcBorders>
            <w:vAlign w:val="center"/>
            <w:hideMark/>
          </w:tcPr>
          <w:p w14:paraId="762CBCA0" w14:textId="77777777" w:rsidR="002F590A" w:rsidRDefault="002F590A">
            <w:pPr>
              <w:jc w:val="center"/>
              <w:rPr>
                <w:sz w:val="12"/>
                <w:szCs w:val="12"/>
              </w:rPr>
            </w:pPr>
            <w:r>
              <w:rPr>
                <w:sz w:val="12"/>
                <w:szCs w:val="12"/>
              </w:rPr>
              <w:t> </w:t>
            </w:r>
          </w:p>
        </w:tc>
        <w:tc>
          <w:tcPr>
            <w:tcW w:w="131" w:type="pct"/>
            <w:tcBorders>
              <w:top w:val="single" w:sz="4" w:space="0" w:color="auto"/>
              <w:left w:val="single" w:sz="4" w:space="0" w:color="auto"/>
              <w:bottom w:val="single" w:sz="4" w:space="0" w:color="auto"/>
              <w:right w:val="single" w:sz="4" w:space="0" w:color="auto"/>
            </w:tcBorders>
            <w:vAlign w:val="center"/>
          </w:tcPr>
          <w:p w14:paraId="2D4D2BA8" w14:textId="77777777" w:rsidR="002F590A" w:rsidRDefault="002F590A">
            <w:pPr>
              <w:jc w:val="center"/>
              <w:rPr>
                <w:sz w:val="12"/>
                <w:szCs w:val="12"/>
              </w:rPr>
            </w:pPr>
          </w:p>
        </w:tc>
        <w:tc>
          <w:tcPr>
            <w:tcW w:w="133" w:type="pct"/>
            <w:tcBorders>
              <w:top w:val="single" w:sz="4" w:space="0" w:color="auto"/>
              <w:left w:val="single" w:sz="4" w:space="0" w:color="auto"/>
              <w:bottom w:val="single" w:sz="4" w:space="0" w:color="auto"/>
              <w:right w:val="single" w:sz="4" w:space="0" w:color="auto"/>
            </w:tcBorders>
            <w:vAlign w:val="center"/>
          </w:tcPr>
          <w:p w14:paraId="0490844E" w14:textId="77777777" w:rsidR="002F590A" w:rsidRDefault="002F590A">
            <w:pPr>
              <w:jc w:val="center"/>
              <w:rPr>
                <w:sz w:val="12"/>
                <w:szCs w:val="12"/>
              </w:rPr>
            </w:pPr>
          </w:p>
        </w:tc>
        <w:tc>
          <w:tcPr>
            <w:tcW w:w="198" w:type="pct"/>
            <w:tcBorders>
              <w:top w:val="single" w:sz="4" w:space="0" w:color="auto"/>
              <w:left w:val="single" w:sz="4" w:space="0" w:color="auto"/>
              <w:bottom w:val="single" w:sz="4" w:space="0" w:color="auto"/>
              <w:right w:val="single" w:sz="4" w:space="0" w:color="auto"/>
            </w:tcBorders>
            <w:vAlign w:val="center"/>
          </w:tcPr>
          <w:p w14:paraId="3730679F" w14:textId="77777777" w:rsidR="002F590A" w:rsidRDefault="002F590A">
            <w:pPr>
              <w:jc w:val="center"/>
              <w:rPr>
                <w:color w:val="000000"/>
                <w:sz w:val="12"/>
                <w:szCs w:val="12"/>
              </w:rPr>
            </w:pPr>
          </w:p>
        </w:tc>
        <w:tc>
          <w:tcPr>
            <w:tcW w:w="178" w:type="pct"/>
            <w:tcBorders>
              <w:top w:val="single" w:sz="4" w:space="0" w:color="auto"/>
              <w:left w:val="single" w:sz="4" w:space="0" w:color="auto"/>
              <w:bottom w:val="single" w:sz="4" w:space="0" w:color="auto"/>
              <w:right w:val="single" w:sz="4" w:space="0" w:color="auto"/>
            </w:tcBorders>
            <w:vAlign w:val="center"/>
          </w:tcPr>
          <w:p w14:paraId="57041CF2" w14:textId="77777777" w:rsidR="002F590A" w:rsidRDefault="002F590A">
            <w:pPr>
              <w:jc w:val="center"/>
              <w:rPr>
                <w:color w:val="000000"/>
                <w:sz w:val="12"/>
                <w:szCs w:val="12"/>
              </w:rPr>
            </w:pPr>
          </w:p>
        </w:tc>
        <w:tc>
          <w:tcPr>
            <w:tcW w:w="218" w:type="pct"/>
            <w:tcBorders>
              <w:top w:val="single" w:sz="4" w:space="0" w:color="auto"/>
              <w:left w:val="single" w:sz="4" w:space="0" w:color="auto"/>
              <w:bottom w:val="single" w:sz="4" w:space="0" w:color="auto"/>
              <w:right w:val="single" w:sz="4" w:space="0" w:color="auto"/>
            </w:tcBorders>
            <w:vAlign w:val="center"/>
          </w:tcPr>
          <w:p w14:paraId="53D7561E" w14:textId="77777777" w:rsidR="002F590A" w:rsidRDefault="002F590A">
            <w:pPr>
              <w:jc w:val="center"/>
              <w:rPr>
                <w:sz w:val="12"/>
                <w:szCs w:val="12"/>
              </w:rPr>
            </w:pPr>
          </w:p>
        </w:tc>
        <w:tc>
          <w:tcPr>
            <w:tcW w:w="220" w:type="pct"/>
            <w:tcBorders>
              <w:top w:val="single" w:sz="4" w:space="0" w:color="auto"/>
              <w:left w:val="single" w:sz="4" w:space="0" w:color="auto"/>
              <w:bottom w:val="single" w:sz="4" w:space="0" w:color="auto"/>
              <w:right w:val="single" w:sz="4" w:space="0" w:color="auto"/>
            </w:tcBorders>
            <w:vAlign w:val="center"/>
          </w:tcPr>
          <w:p w14:paraId="070F8D73" w14:textId="77777777" w:rsidR="002F590A" w:rsidRDefault="002F590A">
            <w:pPr>
              <w:jc w:val="center"/>
              <w:rPr>
                <w:sz w:val="12"/>
                <w:szCs w:val="12"/>
              </w:rPr>
            </w:pPr>
          </w:p>
        </w:tc>
        <w:tc>
          <w:tcPr>
            <w:tcW w:w="214" w:type="pct"/>
            <w:tcBorders>
              <w:top w:val="single" w:sz="4" w:space="0" w:color="auto"/>
              <w:left w:val="single" w:sz="4" w:space="0" w:color="auto"/>
              <w:bottom w:val="single" w:sz="4" w:space="0" w:color="auto"/>
              <w:right w:val="single" w:sz="4" w:space="0" w:color="auto"/>
            </w:tcBorders>
            <w:vAlign w:val="center"/>
          </w:tcPr>
          <w:p w14:paraId="7AB2325D" w14:textId="77777777" w:rsidR="002F590A" w:rsidRDefault="002F590A">
            <w:pPr>
              <w:jc w:val="center"/>
              <w:rPr>
                <w:sz w:val="12"/>
                <w:szCs w:val="12"/>
              </w:rPr>
            </w:pPr>
          </w:p>
        </w:tc>
        <w:tc>
          <w:tcPr>
            <w:tcW w:w="179" w:type="pct"/>
            <w:tcBorders>
              <w:top w:val="single" w:sz="4" w:space="0" w:color="auto"/>
              <w:left w:val="single" w:sz="4" w:space="0" w:color="auto"/>
              <w:bottom w:val="single" w:sz="4" w:space="0" w:color="auto"/>
              <w:right w:val="single" w:sz="4" w:space="0" w:color="auto"/>
            </w:tcBorders>
            <w:vAlign w:val="center"/>
          </w:tcPr>
          <w:p w14:paraId="214325D4" w14:textId="77777777" w:rsidR="002F590A" w:rsidRDefault="002F590A">
            <w:pPr>
              <w:jc w:val="center"/>
              <w:rPr>
                <w:sz w:val="12"/>
                <w:szCs w:val="12"/>
              </w:rPr>
            </w:pPr>
          </w:p>
        </w:tc>
        <w:tc>
          <w:tcPr>
            <w:tcW w:w="171" w:type="pct"/>
            <w:tcBorders>
              <w:top w:val="single" w:sz="4" w:space="0" w:color="auto"/>
              <w:left w:val="single" w:sz="4" w:space="0" w:color="auto"/>
              <w:bottom w:val="single" w:sz="4" w:space="0" w:color="auto"/>
              <w:right w:val="single" w:sz="4" w:space="0" w:color="auto"/>
            </w:tcBorders>
            <w:vAlign w:val="center"/>
          </w:tcPr>
          <w:p w14:paraId="280EFC3A" w14:textId="77777777" w:rsidR="002F590A" w:rsidRDefault="002F590A">
            <w:pPr>
              <w:jc w:val="center"/>
              <w:rPr>
                <w:sz w:val="12"/>
                <w:szCs w:val="12"/>
              </w:rPr>
            </w:pPr>
          </w:p>
        </w:tc>
        <w:tc>
          <w:tcPr>
            <w:tcW w:w="173" w:type="pct"/>
            <w:tcBorders>
              <w:top w:val="single" w:sz="4" w:space="0" w:color="auto"/>
              <w:left w:val="single" w:sz="4" w:space="0" w:color="auto"/>
              <w:bottom w:val="single" w:sz="4" w:space="0" w:color="auto"/>
              <w:right w:val="single" w:sz="4" w:space="0" w:color="auto"/>
            </w:tcBorders>
            <w:vAlign w:val="center"/>
          </w:tcPr>
          <w:p w14:paraId="61EEF81D" w14:textId="77777777" w:rsidR="002F590A" w:rsidRDefault="002F590A">
            <w:pPr>
              <w:jc w:val="center"/>
              <w:rPr>
                <w:sz w:val="12"/>
                <w:szCs w:val="12"/>
              </w:rPr>
            </w:pPr>
          </w:p>
        </w:tc>
        <w:tc>
          <w:tcPr>
            <w:tcW w:w="177" w:type="pct"/>
            <w:tcBorders>
              <w:top w:val="single" w:sz="4" w:space="0" w:color="auto"/>
              <w:left w:val="single" w:sz="4" w:space="0" w:color="auto"/>
              <w:bottom w:val="single" w:sz="4" w:space="0" w:color="auto"/>
              <w:right w:val="single" w:sz="4" w:space="0" w:color="auto"/>
            </w:tcBorders>
            <w:vAlign w:val="center"/>
          </w:tcPr>
          <w:p w14:paraId="27B14F79" w14:textId="77777777" w:rsidR="002F590A" w:rsidRDefault="002F590A">
            <w:pPr>
              <w:jc w:val="center"/>
              <w:rPr>
                <w:sz w:val="12"/>
                <w:szCs w:val="12"/>
              </w:rPr>
            </w:pPr>
          </w:p>
        </w:tc>
        <w:tc>
          <w:tcPr>
            <w:tcW w:w="173" w:type="pct"/>
            <w:tcBorders>
              <w:top w:val="single" w:sz="4" w:space="0" w:color="auto"/>
              <w:left w:val="single" w:sz="4" w:space="0" w:color="auto"/>
              <w:bottom w:val="single" w:sz="4" w:space="0" w:color="auto"/>
              <w:right w:val="single" w:sz="4" w:space="0" w:color="auto"/>
            </w:tcBorders>
            <w:vAlign w:val="center"/>
          </w:tcPr>
          <w:p w14:paraId="58428DC0" w14:textId="77777777" w:rsidR="002F590A" w:rsidRDefault="002F590A">
            <w:pPr>
              <w:jc w:val="center"/>
              <w:rPr>
                <w:sz w:val="12"/>
                <w:szCs w:val="12"/>
              </w:rPr>
            </w:pPr>
          </w:p>
        </w:tc>
        <w:tc>
          <w:tcPr>
            <w:tcW w:w="173" w:type="pct"/>
            <w:tcBorders>
              <w:top w:val="single" w:sz="4" w:space="0" w:color="auto"/>
              <w:left w:val="single" w:sz="4" w:space="0" w:color="auto"/>
              <w:bottom w:val="single" w:sz="4" w:space="0" w:color="auto"/>
              <w:right w:val="single" w:sz="4" w:space="0" w:color="auto"/>
            </w:tcBorders>
            <w:vAlign w:val="center"/>
          </w:tcPr>
          <w:p w14:paraId="0C44F2D1" w14:textId="77777777" w:rsidR="002F590A" w:rsidRDefault="002F590A">
            <w:pPr>
              <w:jc w:val="center"/>
              <w:rPr>
                <w:sz w:val="12"/>
                <w:szCs w:val="12"/>
              </w:rPr>
            </w:pPr>
          </w:p>
        </w:tc>
        <w:tc>
          <w:tcPr>
            <w:tcW w:w="177" w:type="pct"/>
            <w:tcBorders>
              <w:top w:val="single" w:sz="4" w:space="0" w:color="auto"/>
              <w:left w:val="single" w:sz="4" w:space="0" w:color="auto"/>
              <w:bottom w:val="single" w:sz="4" w:space="0" w:color="auto"/>
              <w:right w:val="single" w:sz="4" w:space="0" w:color="auto"/>
            </w:tcBorders>
            <w:vAlign w:val="center"/>
          </w:tcPr>
          <w:p w14:paraId="4C23FD43" w14:textId="77777777" w:rsidR="002F590A" w:rsidRDefault="002F590A">
            <w:pPr>
              <w:jc w:val="center"/>
              <w:rPr>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1BB7DC2B" w14:textId="77777777" w:rsidR="002F590A" w:rsidRDefault="002F590A">
            <w:pPr>
              <w:jc w:val="center"/>
              <w:rPr>
                <w:color w:val="000000"/>
                <w:sz w:val="12"/>
                <w:szCs w:val="12"/>
              </w:rPr>
            </w:pPr>
          </w:p>
        </w:tc>
        <w:tc>
          <w:tcPr>
            <w:tcW w:w="128" w:type="pct"/>
            <w:tcBorders>
              <w:top w:val="single" w:sz="4" w:space="0" w:color="auto"/>
              <w:left w:val="single" w:sz="4" w:space="0" w:color="auto"/>
              <w:bottom w:val="single" w:sz="4" w:space="0" w:color="auto"/>
              <w:right w:val="single" w:sz="4" w:space="0" w:color="auto"/>
            </w:tcBorders>
            <w:vAlign w:val="center"/>
          </w:tcPr>
          <w:p w14:paraId="77861584" w14:textId="77777777" w:rsidR="002F590A" w:rsidRDefault="002F590A">
            <w:pPr>
              <w:jc w:val="center"/>
              <w:rPr>
                <w:color w:val="000000"/>
                <w:sz w:val="12"/>
                <w:szCs w:val="12"/>
              </w:rPr>
            </w:pPr>
          </w:p>
        </w:tc>
      </w:tr>
      <w:tr w:rsidR="002F590A" w14:paraId="5BFB63E4" w14:textId="77777777" w:rsidTr="002F590A">
        <w:trPr>
          <w:trHeight w:val="1989"/>
        </w:trPr>
        <w:tc>
          <w:tcPr>
            <w:tcW w:w="175" w:type="pct"/>
            <w:tcBorders>
              <w:top w:val="single" w:sz="4" w:space="0" w:color="auto"/>
              <w:left w:val="single" w:sz="4" w:space="0" w:color="auto"/>
              <w:bottom w:val="single" w:sz="4" w:space="0" w:color="auto"/>
              <w:right w:val="single" w:sz="4" w:space="0" w:color="auto"/>
            </w:tcBorders>
            <w:vAlign w:val="center"/>
            <w:hideMark/>
          </w:tcPr>
          <w:p w14:paraId="5198D620" w14:textId="77777777" w:rsidR="002F590A" w:rsidRDefault="002F590A">
            <w:pPr>
              <w:jc w:val="center"/>
              <w:rPr>
                <w:sz w:val="12"/>
                <w:szCs w:val="12"/>
              </w:rPr>
            </w:pPr>
            <w:r>
              <w:rPr>
                <w:sz w:val="12"/>
                <w:szCs w:val="12"/>
              </w:rPr>
              <w:t>3.2.9.1</w:t>
            </w:r>
          </w:p>
        </w:tc>
        <w:tc>
          <w:tcPr>
            <w:tcW w:w="262" w:type="pct"/>
            <w:tcBorders>
              <w:top w:val="single" w:sz="4" w:space="0" w:color="auto"/>
              <w:left w:val="single" w:sz="4" w:space="0" w:color="auto"/>
              <w:bottom w:val="single" w:sz="4" w:space="0" w:color="auto"/>
              <w:right w:val="single" w:sz="4" w:space="0" w:color="auto"/>
            </w:tcBorders>
            <w:vAlign w:val="center"/>
            <w:hideMark/>
          </w:tcPr>
          <w:p w14:paraId="6F5B74FF" w14:textId="77777777" w:rsidR="002F590A" w:rsidRDefault="002F590A">
            <w:pPr>
              <w:rPr>
                <w:color w:val="000000"/>
                <w:sz w:val="12"/>
                <w:szCs w:val="12"/>
              </w:rPr>
            </w:pPr>
            <w:r>
              <w:rPr>
                <w:color w:val="000000"/>
                <w:sz w:val="12"/>
                <w:szCs w:val="12"/>
              </w:rPr>
              <w:t>Реконструкция системы автоматической подпитки тепловой сети из водопровода</w:t>
            </w:r>
          </w:p>
        </w:tc>
        <w:tc>
          <w:tcPr>
            <w:tcW w:w="351" w:type="pct"/>
            <w:tcBorders>
              <w:top w:val="single" w:sz="4" w:space="0" w:color="auto"/>
              <w:left w:val="single" w:sz="4" w:space="0" w:color="auto"/>
              <w:bottom w:val="single" w:sz="4" w:space="0" w:color="auto"/>
              <w:right w:val="single" w:sz="4" w:space="0" w:color="auto"/>
            </w:tcBorders>
            <w:vAlign w:val="center"/>
            <w:hideMark/>
          </w:tcPr>
          <w:p w14:paraId="22A43FA4" w14:textId="77777777" w:rsidR="002F590A" w:rsidRDefault="002F590A">
            <w:pPr>
              <w:jc w:val="center"/>
              <w:rPr>
                <w:sz w:val="12"/>
                <w:szCs w:val="12"/>
              </w:rPr>
            </w:pPr>
            <w:r>
              <w:rPr>
                <w:sz w:val="12"/>
                <w:szCs w:val="12"/>
              </w:rPr>
              <w:t>Повышение надежности (бесперебойности) услуг теплоснабжения, повышение энергетической эффективности</w:t>
            </w:r>
          </w:p>
        </w:tc>
        <w:tc>
          <w:tcPr>
            <w:tcW w:w="259" w:type="pct"/>
            <w:tcBorders>
              <w:top w:val="single" w:sz="4" w:space="0" w:color="auto"/>
              <w:left w:val="single" w:sz="4" w:space="0" w:color="auto"/>
              <w:bottom w:val="single" w:sz="4" w:space="0" w:color="auto"/>
              <w:right w:val="single" w:sz="4" w:space="0" w:color="auto"/>
            </w:tcBorders>
            <w:vAlign w:val="center"/>
            <w:hideMark/>
          </w:tcPr>
          <w:p w14:paraId="122A4ABA" w14:textId="77777777" w:rsidR="002F590A" w:rsidRDefault="002F590A">
            <w:pPr>
              <w:jc w:val="center"/>
              <w:rPr>
                <w:sz w:val="12"/>
                <w:szCs w:val="12"/>
              </w:rPr>
            </w:pPr>
            <w:r>
              <w:rPr>
                <w:sz w:val="12"/>
                <w:szCs w:val="12"/>
              </w:rPr>
              <w:t> </w:t>
            </w:r>
          </w:p>
        </w:tc>
        <w:tc>
          <w:tcPr>
            <w:tcW w:w="298" w:type="pct"/>
            <w:tcBorders>
              <w:top w:val="single" w:sz="4" w:space="0" w:color="auto"/>
              <w:left w:val="single" w:sz="4" w:space="0" w:color="auto"/>
              <w:bottom w:val="single" w:sz="4" w:space="0" w:color="auto"/>
              <w:right w:val="single" w:sz="4" w:space="0" w:color="auto"/>
            </w:tcBorders>
            <w:vAlign w:val="center"/>
            <w:hideMark/>
          </w:tcPr>
          <w:p w14:paraId="7B81745E" w14:textId="77777777" w:rsidR="002F590A" w:rsidRDefault="002F590A">
            <w:pPr>
              <w:jc w:val="center"/>
              <w:rPr>
                <w:sz w:val="12"/>
                <w:szCs w:val="12"/>
              </w:rPr>
            </w:pPr>
            <w:r>
              <w:rPr>
                <w:color w:val="000000"/>
                <w:sz w:val="12"/>
                <w:szCs w:val="12"/>
              </w:rPr>
              <w:t>Технические характеристики</w:t>
            </w:r>
          </w:p>
        </w:tc>
        <w:tc>
          <w:tcPr>
            <w:tcW w:w="130" w:type="pct"/>
            <w:tcBorders>
              <w:top w:val="single" w:sz="4" w:space="0" w:color="auto"/>
              <w:left w:val="single" w:sz="4" w:space="0" w:color="auto"/>
              <w:bottom w:val="single" w:sz="4" w:space="0" w:color="auto"/>
              <w:right w:val="single" w:sz="4" w:space="0" w:color="auto"/>
            </w:tcBorders>
            <w:vAlign w:val="center"/>
          </w:tcPr>
          <w:p w14:paraId="305A4032" w14:textId="77777777" w:rsidR="002F590A" w:rsidRDefault="002F590A">
            <w:pPr>
              <w:jc w:val="center"/>
              <w:rPr>
                <w:sz w:val="12"/>
                <w:szCs w:val="12"/>
              </w:rPr>
            </w:pPr>
          </w:p>
        </w:tc>
        <w:tc>
          <w:tcPr>
            <w:tcW w:w="359" w:type="pct"/>
            <w:tcBorders>
              <w:top w:val="single" w:sz="4" w:space="0" w:color="auto"/>
              <w:left w:val="single" w:sz="4" w:space="0" w:color="auto"/>
              <w:bottom w:val="single" w:sz="4" w:space="0" w:color="auto"/>
              <w:right w:val="single" w:sz="4" w:space="0" w:color="auto"/>
            </w:tcBorders>
            <w:vAlign w:val="center"/>
            <w:hideMark/>
          </w:tcPr>
          <w:p w14:paraId="115D965C" w14:textId="77777777" w:rsidR="002F590A" w:rsidRDefault="002F590A">
            <w:pPr>
              <w:jc w:val="center"/>
              <w:rPr>
                <w:sz w:val="12"/>
                <w:szCs w:val="12"/>
              </w:rPr>
            </w:pPr>
            <w:r>
              <w:rPr>
                <w:sz w:val="12"/>
                <w:szCs w:val="12"/>
              </w:rPr>
              <w:t>Редукционный клапан Ду15, счетчик СГВ-15, кран муфтовый Ду15, обратный клапан резьбовой Ду15мм.</w:t>
            </w:r>
          </w:p>
        </w:tc>
        <w:tc>
          <w:tcPr>
            <w:tcW w:w="349" w:type="pct"/>
            <w:tcBorders>
              <w:top w:val="single" w:sz="4" w:space="0" w:color="auto"/>
              <w:left w:val="single" w:sz="4" w:space="0" w:color="auto"/>
              <w:bottom w:val="single" w:sz="4" w:space="0" w:color="auto"/>
              <w:right w:val="single" w:sz="4" w:space="0" w:color="auto"/>
            </w:tcBorders>
            <w:vAlign w:val="center"/>
            <w:hideMark/>
          </w:tcPr>
          <w:p w14:paraId="4E5DF2E1" w14:textId="77777777" w:rsidR="002F590A" w:rsidRDefault="002F590A">
            <w:pPr>
              <w:jc w:val="center"/>
              <w:rPr>
                <w:sz w:val="12"/>
                <w:szCs w:val="12"/>
              </w:rPr>
            </w:pPr>
            <w:r>
              <w:rPr>
                <w:sz w:val="12"/>
                <w:szCs w:val="12"/>
              </w:rPr>
              <w:t>Оборудование с техническими характеристиками не ниже существующего на объекте.</w:t>
            </w:r>
          </w:p>
        </w:tc>
        <w:tc>
          <w:tcPr>
            <w:tcW w:w="131" w:type="pct"/>
            <w:tcBorders>
              <w:top w:val="single" w:sz="4" w:space="0" w:color="auto"/>
              <w:left w:val="single" w:sz="4" w:space="0" w:color="auto"/>
              <w:bottom w:val="single" w:sz="4" w:space="0" w:color="auto"/>
              <w:right w:val="single" w:sz="4" w:space="0" w:color="auto"/>
            </w:tcBorders>
            <w:vAlign w:val="center"/>
            <w:hideMark/>
          </w:tcPr>
          <w:p w14:paraId="053B8911" w14:textId="77777777" w:rsidR="002F590A" w:rsidRDefault="002F590A">
            <w:pPr>
              <w:jc w:val="center"/>
              <w:rPr>
                <w:sz w:val="12"/>
                <w:szCs w:val="12"/>
              </w:rPr>
            </w:pPr>
            <w:r>
              <w:rPr>
                <w:sz w:val="12"/>
                <w:szCs w:val="12"/>
              </w:rPr>
              <w:t>2031</w:t>
            </w:r>
          </w:p>
        </w:tc>
        <w:tc>
          <w:tcPr>
            <w:tcW w:w="133" w:type="pct"/>
            <w:tcBorders>
              <w:top w:val="single" w:sz="4" w:space="0" w:color="auto"/>
              <w:left w:val="single" w:sz="4" w:space="0" w:color="auto"/>
              <w:bottom w:val="single" w:sz="4" w:space="0" w:color="auto"/>
              <w:right w:val="single" w:sz="4" w:space="0" w:color="auto"/>
            </w:tcBorders>
            <w:vAlign w:val="center"/>
            <w:hideMark/>
          </w:tcPr>
          <w:p w14:paraId="58061728" w14:textId="77777777" w:rsidR="002F590A" w:rsidRDefault="002F590A">
            <w:pPr>
              <w:jc w:val="center"/>
              <w:rPr>
                <w:sz w:val="12"/>
                <w:szCs w:val="12"/>
              </w:rPr>
            </w:pPr>
            <w:r>
              <w:rPr>
                <w:sz w:val="12"/>
                <w:szCs w:val="12"/>
              </w:rPr>
              <w:t>2031</w:t>
            </w:r>
          </w:p>
        </w:tc>
        <w:tc>
          <w:tcPr>
            <w:tcW w:w="198" w:type="pct"/>
            <w:tcBorders>
              <w:top w:val="single" w:sz="4" w:space="0" w:color="auto"/>
              <w:left w:val="single" w:sz="4" w:space="0" w:color="auto"/>
              <w:bottom w:val="single" w:sz="4" w:space="0" w:color="auto"/>
              <w:right w:val="single" w:sz="4" w:space="0" w:color="auto"/>
            </w:tcBorders>
            <w:vAlign w:val="center"/>
            <w:hideMark/>
          </w:tcPr>
          <w:p w14:paraId="7CB34C65" w14:textId="77777777" w:rsidR="002F590A" w:rsidRDefault="002F590A">
            <w:pPr>
              <w:jc w:val="center"/>
              <w:rPr>
                <w:color w:val="000000"/>
                <w:sz w:val="12"/>
                <w:szCs w:val="12"/>
              </w:rPr>
            </w:pPr>
            <w:r>
              <w:rPr>
                <w:color w:val="000000"/>
                <w:sz w:val="12"/>
                <w:szCs w:val="12"/>
              </w:rPr>
              <w:t>30,41</w:t>
            </w:r>
          </w:p>
        </w:tc>
        <w:tc>
          <w:tcPr>
            <w:tcW w:w="178" w:type="pct"/>
            <w:tcBorders>
              <w:top w:val="single" w:sz="4" w:space="0" w:color="auto"/>
              <w:left w:val="single" w:sz="4" w:space="0" w:color="auto"/>
              <w:bottom w:val="single" w:sz="4" w:space="0" w:color="auto"/>
              <w:right w:val="single" w:sz="4" w:space="0" w:color="auto"/>
            </w:tcBorders>
            <w:vAlign w:val="center"/>
            <w:hideMark/>
          </w:tcPr>
          <w:p w14:paraId="0586A9FE" w14:textId="77777777" w:rsidR="002F590A" w:rsidRDefault="002F590A">
            <w:pPr>
              <w:jc w:val="center"/>
              <w:rPr>
                <w:color w:val="000000"/>
                <w:sz w:val="12"/>
                <w:szCs w:val="12"/>
              </w:rPr>
            </w:pPr>
            <w:r>
              <w:rPr>
                <w:color w:val="000000"/>
                <w:sz w:val="12"/>
                <w:szCs w:val="12"/>
              </w:rPr>
              <w:t>0,00</w:t>
            </w:r>
          </w:p>
        </w:tc>
        <w:tc>
          <w:tcPr>
            <w:tcW w:w="218" w:type="pct"/>
            <w:tcBorders>
              <w:top w:val="single" w:sz="4" w:space="0" w:color="auto"/>
              <w:left w:val="single" w:sz="4" w:space="0" w:color="auto"/>
              <w:bottom w:val="single" w:sz="4" w:space="0" w:color="auto"/>
              <w:right w:val="single" w:sz="4" w:space="0" w:color="auto"/>
            </w:tcBorders>
            <w:vAlign w:val="center"/>
            <w:hideMark/>
          </w:tcPr>
          <w:p w14:paraId="1A342CF3" w14:textId="77777777" w:rsidR="002F590A" w:rsidRDefault="002F590A">
            <w:pPr>
              <w:jc w:val="center"/>
              <w:rPr>
                <w:sz w:val="12"/>
                <w:szCs w:val="12"/>
              </w:rPr>
            </w:pPr>
            <w:r>
              <w:rPr>
                <w:sz w:val="12"/>
                <w:szCs w:val="12"/>
              </w:rPr>
              <w:t>0,00</w:t>
            </w:r>
          </w:p>
        </w:tc>
        <w:tc>
          <w:tcPr>
            <w:tcW w:w="220" w:type="pct"/>
            <w:tcBorders>
              <w:top w:val="single" w:sz="4" w:space="0" w:color="auto"/>
              <w:left w:val="single" w:sz="4" w:space="0" w:color="auto"/>
              <w:bottom w:val="single" w:sz="4" w:space="0" w:color="auto"/>
              <w:right w:val="single" w:sz="4" w:space="0" w:color="auto"/>
            </w:tcBorders>
            <w:vAlign w:val="center"/>
            <w:hideMark/>
          </w:tcPr>
          <w:p w14:paraId="5EAD182E" w14:textId="77777777" w:rsidR="002F590A" w:rsidRDefault="002F590A">
            <w:pPr>
              <w:jc w:val="center"/>
              <w:rPr>
                <w:sz w:val="12"/>
                <w:szCs w:val="12"/>
              </w:rPr>
            </w:pPr>
            <w:r>
              <w:rPr>
                <w:sz w:val="12"/>
                <w:szCs w:val="12"/>
              </w:rPr>
              <w:t>0,00</w:t>
            </w:r>
          </w:p>
        </w:tc>
        <w:tc>
          <w:tcPr>
            <w:tcW w:w="214" w:type="pct"/>
            <w:tcBorders>
              <w:top w:val="single" w:sz="4" w:space="0" w:color="auto"/>
              <w:left w:val="single" w:sz="4" w:space="0" w:color="auto"/>
              <w:bottom w:val="single" w:sz="4" w:space="0" w:color="auto"/>
              <w:right w:val="single" w:sz="4" w:space="0" w:color="auto"/>
            </w:tcBorders>
            <w:vAlign w:val="center"/>
            <w:hideMark/>
          </w:tcPr>
          <w:p w14:paraId="31857581" w14:textId="77777777" w:rsidR="002F590A" w:rsidRDefault="002F590A">
            <w:pPr>
              <w:jc w:val="center"/>
              <w:rPr>
                <w:sz w:val="12"/>
                <w:szCs w:val="12"/>
              </w:rPr>
            </w:pPr>
            <w:r>
              <w:rPr>
                <w:sz w:val="12"/>
                <w:szCs w:val="12"/>
              </w:rPr>
              <w:t>0,00</w:t>
            </w:r>
          </w:p>
        </w:tc>
        <w:tc>
          <w:tcPr>
            <w:tcW w:w="179" w:type="pct"/>
            <w:tcBorders>
              <w:top w:val="single" w:sz="4" w:space="0" w:color="auto"/>
              <w:left w:val="single" w:sz="4" w:space="0" w:color="auto"/>
              <w:bottom w:val="single" w:sz="4" w:space="0" w:color="auto"/>
              <w:right w:val="single" w:sz="4" w:space="0" w:color="auto"/>
            </w:tcBorders>
            <w:vAlign w:val="center"/>
            <w:hideMark/>
          </w:tcPr>
          <w:p w14:paraId="67F992B4" w14:textId="77777777" w:rsidR="002F590A" w:rsidRDefault="002F590A">
            <w:pPr>
              <w:jc w:val="center"/>
              <w:rPr>
                <w:sz w:val="12"/>
                <w:szCs w:val="12"/>
              </w:rPr>
            </w:pPr>
            <w:r>
              <w:rPr>
                <w:sz w:val="12"/>
                <w:szCs w:val="12"/>
              </w:rPr>
              <w:t>0,00</w:t>
            </w:r>
          </w:p>
        </w:tc>
        <w:tc>
          <w:tcPr>
            <w:tcW w:w="171" w:type="pct"/>
            <w:tcBorders>
              <w:top w:val="single" w:sz="4" w:space="0" w:color="auto"/>
              <w:left w:val="single" w:sz="4" w:space="0" w:color="auto"/>
              <w:bottom w:val="single" w:sz="4" w:space="0" w:color="auto"/>
              <w:right w:val="single" w:sz="4" w:space="0" w:color="auto"/>
            </w:tcBorders>
            <w:vAlign w:val="center"/>
            <w:hideMark/>
          </w:tcPr>
          <w:p w14:paraId="6C7DF01C"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36715184" w14:textId="77777777" w:rsidR="002F590A" w:rsidRDefault="002F590A">
            <w:pPr>
              <w:jc w:val="center"/>
              <w:rPr>
                <w:sz w:val="12"/>
                <w:szCs w:val="12"/>
              </w:rPr>
            </w:pPr>
            <w:r>
              <w:rPr>
                <w:sz w:val="12"/>
                <w:szCs w:val="12"/>
              </w:rPr>
              <w:t>0,00</w:t>
            </w:r>
          </w:p>
        </w:tc>
        <w:tc>
          <w:tcPr>
            <w:tcW w:w="177" w:type="pct"/>
            <w:tcBorders>
              <w:top w:val="single" w:sz="4" w:space="0" w:color="auto"/>
              <w:left w:val="single" w:sz="4" w:space="0" w:color="auto"/>
              <w:bottom w:val="single" w:sz="4" w:space="0" w:color="auto"/>
              <w:right w:val="single" w:sz="4" w:space="0" w:color="auto"/>
            </w:tcBorders>
            <w:vAlign w:val="center"/>
            <w:hideMark/>
          </w:tcPr>
          <w:p w14:paraId="34510BCC"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243E5898"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06D97DA3" w14:textId="77777777" w:rsidR="002F590A" w:rsidRDefault="002F590A">
            <w:pPr>
              <w:jc w:val="center"/>
              <w:rPr>
                <w:sz w:val="12"/>
                <w:szCs w:val="12"/>
              </w:rPr>
            </w:pPr>
            <w:r>
              <w:rPr>
                <w:sz w:val="12"/>
                <w:szCs w:val="12"/>
              </w:rPr>
              <w:t>0,00</w:t>
            </w:r>
          </w:p>
        </w:tc>
        <w:tc>
          <w:tcPr>
            <w:tcW w:w="177" w:type="pct"/>
            <w:tcBorders>
              <w:top w:val="single" w:sz="4" w:space="0" w:color="auto"/>
              <w:left w:val="single" w:sz="4" w:space="0" w:color="auto"/>
              <w:bottom w:val="single" w:sz="4" w:space="0" w:color="auto"/>
              <w:right w:val="single" w:sz="4" w:space="0" w:color="auto"/>
            </w:tcBorders>
            <w:vAlign w:val="center"/>
            <w:hideMark/>
          </w:tcPr>
          <w:p w14:paraId="60B59574" w14:textId="77777777" w:rsidR="002F590A" w:rsidRDefault="002F590A">
            <w:pPr>
              <w:jc w:val="center"/>
              <w:rPr>
                <w:sz w:val="12"/>
                <w:szCs w:val="12"/>
              </w:rPr>
            </w:pPr>
            <w:r>
              <w:rPr>
                <w:sz w:val="12"/>
                <w:szCs w:val="12"/>
              </w:rPr>
              <w:t>30,41</w:t>
            </w:r>
          </w:p>
        </w:tc>
        <w:tc>
          <w:tcPr>
            <w:tcW w:w="174" w:type="pct"/>
            <w:tcBorders>
              <w:top w:val="single" w:sz="4" w:space="0" w:color="auto"/>
              <w:left w:val="single" w:sz="4" w:space="0" w:color="auto"/>
              <w:bottom w:val="single" w:sz="4" w:space="0" w:color="auto"/>
              <w:right w:val="single" w:sz="4" w:space="0" w:color="auto"/>
            </w:tcBorders>
            <w:vAlign w:val="center"/>
            <w:hideMark/>
          </w:tcPr>
          <w:p w14:paraId="313368AB" w14:textId="77777777" w:rsidR="002F590A" w:rsidRDefault="002F590A">
            <w:pPr>
              <w:jc w:val="center"/>
              <w:rPr>
                <w:color w:val="000000"/>
                <w:sz w:val="12"/>
                <w:szCs w:val="12"/>
              </w:rPr>
            </w:pPr>
            <w:r>
              <w:rPr>
                <w:color w:val="000000"/>
                <w:sz w:val="12"/>
                <w:szCs w:val="12"/>
              </w:rPr>
              <w:t>0,00</w:t>
            </w:r>
          </w:p>
        </w:tc>
        <w:tc>
          <w:tcPr>
            <w:tcW w:w="128" w:type="pct"/>
            <w:tcBorders>
              <w:top w:val="single" w:sz="4" w:space="0" w:color="auto"/>
              <w:left w:val="single" w:sz="4" w:space="0" w:color="auto"/>
              <w:bottom w:val="single" w:sz="4" w:space="0" w:color="auto"/>
              <w:right w:val="single" w:sz="4" w:space="0" w:color="auto"/>
            </w:tcBorders>
            <w:vAlign w:val="center"/>
            <w:hideMark/>
          </w:tcPr>
          <w:p w14:paraId="1C4346AF" w14:textId="77777777" w:rsidR="002F590A" w:rsidRDefault="002F590A">
            <w:pPr>
              <w:jc w:val="center"/>
              <w:rPr>
                <w:color w:val="000000"/>
                <w:sz w:val="12"/>
                <w:szCs w:val="12"/>
              </w:rPr>
            </w:pPr>
            <w:r>
              <w:rPr>
                <w:color w:val="000000"/>
                <w:sz w:val="12"/>
                <w:szCs w:val="12"/>
              </w:rPr>
              <w:t>0,00</w:t>
            </w:r>
          </w:p>
        </w:tc>
      </w:tr>
      <w:tr w:rsidR="002F590A" w14:paraId="3A0778CA" w14:textId="77777777" w:rsidTr="002F590A">
        <w:trPr>
          <w:trHeight w:val="982"/>
        </w:trPr>
        <w:tc>
          <w:tcPr>
            <w:tcW w:w="175" w:type="pct"/>
            <w:tcBorders>
              <w:top w:val="single" w:sz="4" w:space="0" w:color="auto"/>
              <w:left w:val="single" w:sz="4" w:space="0" w:color="auto"/>
              <w:bottom w:val="single" w:sz="4" w:space="0" w:color="auto"/>
              <w:right w:val="single" w:sz="4" w:space="0" w:color="auto"/>
            </w:tcBorders>
            <w:vAlign w:val="center"/>
            <w:hideMark/>
          </w:tcPr>
          <w:p w14:paraId="56340422" w14:textId="77777777" w:rsidR="002F590A" w:rsidRDefault="002F590A">
            <w:pPr>
              <w:jc w:val="center"/>
              <w:rPr>
                <w:bCs/>
                <w:sz w:val="12"/>
                <w:szCs w:val="12"/>
              </w:rPr>
            </w:pPr>
            <w:r>
              <w:rPr>
                <w:bCs/>
                <w:sz w:val="12"/>
                <w:szCs w:val="12"/>
              </w:rPr>
              <w:t>3.2.10.</w:t>
            </w:r>
          </w:p>
        </w:tc>
        <w:tc>
          <w:tcPr>
            <w:tcW w:w="262" w:type="pct"/>
            <w:tcBorders>
              <w:top w:val="single" w:sz="4" w:space="0" w:color="auto"/>
              <w:left w:val="single" w:sz="4" w:space="0" w:color="auto"/>
              <w:bottom w:val="single" w:sz="4" w:space="0" w:color="auto"/>
              <w:right w:val="single" w:sz="4" w:space="0" w:color="auto"/>
            </w:tcBorders>
            <w:vAlign w:val="center"/>
            <w:hideMark/>
          </w:tcPr>
          <w:p w14:paraId="248F722E" w14:textId="77777777" w:rsidR="002F590A" w:rsidRDefault="002F590A">
            <w:pPr>
              <w:rPr>
                <w:bCs/>
                <w:color w:val="000000"/>
                <w:sz w:val="12"/>
                <w:szCs w:val="12"/>
              </w:rPr>
            </w:pPr>
            <w:r>
              <w:rPr>
                <w:bCs/>
                <w:color w:val="000000"/>
                <w:sz w:val="12"/>
                <w:szCs w:val="12"/>
              </w:rPr>
              <w:t>Реконструкция котельной №54</w:t>
            </w:r>
          </w:p>
        </w:tc>
        <w:tc>
          <w:tcPr>
            <w:tcW w:w="351" w:type="pct"/>
            <w:tcBorders>
              <w:top w:val="single" w:sz="4" w:space="0" w:color="auto"/>
              <w:left w:val="single" w:sz="4" w:space="0" w:color="auto"/>
              <w:bottom w:val="single" w:sz="4" w:space="0" w:color="auto"/>
              <w:right w:val="single" w:sz="4" w:space="0" w:color="auto"/>
            </w:tcBorders>
            <w:vAlign w:val="center"/>
          </w:tcPr>
          <w:p w14:paraId="2E1C22C8" w14:textId="77777777" w:rsidR="002F590A" w:rsidRDefault="002F590A">
            <w:pPr>
              <w:jc w:val="center"/>
              <w:rPr>
                <w:sz w:val="12"/>
                <w:szCs w:val="12"/>
              </w:rPr>
            </w:pPr>
          </w:p>
        </w:tc>
        <w:tc>
          <w:tcPr>
            <w:tcW w:w="259" w:type="pct"/>
            <w:tcBorders>
              <w:top w:val="single" w:sz="4" w:space="0" w:color="auto"/>
              <w:left w:val="single" w:sz="4" w:space="0" w:color="auto"/>
              <w:bottom w:val="single" w:sz="4" w:space="0" w:color="auto"/>
              <w:right w:val="single" w:sz="4" w:space="0" w:color="auto"/>
            </w:tcBorders>
            <w:vAlign w:val="center"/>
            <w:hideMark/>
          </w:tcPr>
          <w:p w14:paraId="086F24DB" w14:textId="77777777" w:rsidR="002F590A" w:rsidRDefault="002F590A">
            <w:pPr>
              <w:jc w:val="center"/>
              <w:rPr>
                <w:bCs/>
                <w:sz w:val="12"/>
                <w:szCs w:val="12"/>
              </w:rPr>
            </w:pPr>
            <w:r>
              <w:rPr>
                <w:bCs/>
                <w:sz w:val="12"/>
                <w:szCs w:val="12"/>
              </w:rPr>
              <w:t xml:space="preserve">Топкинский </w:t>
            </w:r>
            <w:proofErr w:type="gramStart"/>
            <w:r>
              <w:rPr>
                <w:bCs/>
                <w:sz w:val="12"/>
                <w:szCs w:val="12"/>
              </w:rPr>
              <w:t>муниципаль-ный</w:t>
            </w:r>
            <w:proofErr w:type="gramEnd"/>
            <w:r>
              <w:rPr>
                <w:bCs/>
                <w:sz w:val="12"/>
                <w:szCs w:val="12"/>
              </w:rPr>
              <w:t xml:space="preserve"> округ, о/л "Солнечный", котельная № 54</w:t>
            </w:r>
          </w:p>
        </w:tc>
        <w:tc>
          <w:tcPr>
            <w:tcW w:w="298" w:type="pct"/>
            <w:tcBorders>
              <w:top w:val="single" w:sz="4" w:space="0" w:color="auto"/>
              <w:left w:val="single" w:sz="4" w:space="0" w:color="auto"/>
              <w:bottom w:val="single" w:sz="4" w:space="0" w:color="auto"/>
              <w:right w:val="single" w:sz="4" w:space="0" w:color="auto"/>
            </w:tcBorders>
            <w:vAlign w:val="center"/>
            <w:hideMark/>
          </w:tcPr>
          <w:p w14:paraId="2AE5A300" w14:textId="77777777" w:rsidR="002F590A" w:rsidRDefault="002F590A">
            <w:pPr>
              <w:jc w:val="center"/>
              <w:rPr>
                <w:sz w:val="12"/>
                <w:szCs w:val="12"/>
              </w:rPr>
            </w:pPr>
            <w:r>
              <w:rPr>
                <w:color w:val="000000"/>
                <w:sz w:val="12"/>
                <w:szCs w:val="12"/>
              </w:rPr>
              <w:t>Технические характеристики</w:t>
            </w:r>
          </w:p>
        </w:tc>
        <w:tc>
          <w:tcPr>
            <w:tcW w:w="130" w:type="pct"/>
            <w:tcBorders>
              <w:top w:val="single" w:sz="4" w:space="0" w:color="auto"/>
              <w:left w:val="single" w:sz="4" w:space="0" w:color="auto"/>
              <w:bottom w:val="single" w:sz="4" w:space="0" w:color="auto"/>
              <w:right w:val="single" w:sz="4" w:space="0" w:color="auto"/>
            </w:tcBorders>
            <w:vAlign w:val="center"/>
          </w:tcPr>
          <w:p w14:paraId="46AB0EBE" w14:textId="77777777" w:rsidR="002F590A" w:rsidRDefault="002F590A">
            <w:pPr>
              <w:jc w:val="center"/>
              <w:rPr>
                <w:sz w:val="12"/>
                <w:szCs w:val="12"/>
              </w:rPr>
            </w:pPr>
          </w:p>
        </w:tc>
        <w:tc>
          <w:tcPr>
            <w:tcW w:w="359" w:type="pct"/>
            <w:tcBorders>
              <w:top w:val="single" w:sz="4" w:space="0" w:color="auto"/>
              <w:left w:val="single" w:sz="4" w:space="0" w:color="auto"/>
              <w:bottom w:val="single" w:sz="4" w:space="0" w:color="auto"/>
              <w:right w:val="single" w:sz="4" w:space="0" w:color="auto"/>
            </w:tcBorders>
            <w:vAlign w:val="center"/>
            <w:hideMark/>
          </w:tcPr>
          <w:p w14:paraId="2B615D66" w14:textId="77777777" w:rsidR="002F590A" w:rsidRDefault="002F590A">
            <w:pPr>
              <w:jc w:val="center"/>
              <w:rPr>
                <w:sz w:val="12"/>
                <w:szCs w:val="12"/>
              </w:rPr>
            </w:pPr>
            <w:r>
              <w:rPr>
                <w:sz w:val="12"/>
                <w:szCs w:val="12"/>
              </w:rPr>
              <w:t> </w:t>
            </w:r>
          </w:p>
        </w:tc>
        <w:tc>
          <w:tcPr>
            <w:tcW w:w="349" w:type="pct"/>
            <w:tcBorders>
              <w:top w:val="single" w:sz="4" w:space="0" w:color="auto"/>
              <w:left w:val="single" w:sz="4" w:space="0" w:color="auto"/>
              <w:bottom w:val="single" w:sz="4" w:space="0" w:color="auto"/>
              <w:right w:val="single" w:sz="4" w:space="0" w:color="auto"/>
            </w:tcBorders>
            <w:vAlign w:val="center"/>
            <w:hideMark/>
          </w:tcPr>
          <w:p w14:paraId="5148EBBE" w14:textId="77777777" w:rsidR="002F590A" w:rsidRDefault="002F590A">
            <w:pPr>
              <w:jc w:val="center"/>
              <w:rPr>
                <w:sz w:val="12"/>
                <w:szCs w:val="12"/>
              </w:rPr>
            </w:pPr>
            <w:r>
              <w:rPr>
                <w:sz w:val="12"/>
                <w:szCs w:val="12"/>
              </w:rPr>
              <w:t> </w:t>
            </w:r>
          </w:p>
        </w:tc>
        <w:tc>
          <w:tcPr>
            <w:tcW w:w="131" w:type="pct"/>
            <w:tcBorders>
              <w:top w:val="single" w:sz="4" w:space="0" w:color="auto"/>
              <w:left w:val="single" w:sz="4" w:space="0" w:color="auto"/>
              <w:bottom w:val="single" w:sz="4" w:space="0" w:color="auto"/>
              <w:right w:val="single" w:sz="4" w:space="0" w:color="auto"/>
            </w:tcBorders>
            <w:vAlign w:val="center"/>
          </w:tcPr>
          <w:p w14:paraId="7588C21E" w14:textId="77777777" w:rsidR="002F590A" w:rsidRDefault="002F590A">
            <w:pPr>
              <w:jc w:val="center"/>
              <w:rPr>
                <w:sz w:val="12"/>
                <w:szCs w:val="12"/>
              </w:rPr>
            </w:pPr>
          </w:p>
        </w:tc>
        <w:tc>
          <w:tcPr>
            <w:tcW w:w="133" w:type="pct"/>
            <w:tcBorders>
              <w:top w:val="single" w:sz="4" w:space="0" w:color="auto"/>
              <w:left w:val="single" w:sz="4" w:space="0" w:color="auto"/>
              <w:bottom w:val="single" w:sz="4" w:space="0" w:color="auto"/>
              <w:right w:val="single" w:sz="4" w:space="0" w:color="auto"/>
            </w:tcBorders>
            <w:vAlign w:val="center"/>
          </w:tcPr>
          <w:p w14:paraId="1A8C00E5" w14:textId="77777777" w:rsidR="002F590A" w:rsidRDefault="002F590A">
            <w:pPr>
              <w:jc w:val="center"/>
              <w:rPr>
                <w:sz w:val="12"/>
                <w:szCs w:val="12"/>
              </w:rPr>
            </w:pPr>
          </w:p>
        </w:tc>
        <w:tc>
          <w:tcPr>
            <w:tcW w:w="198" w:type="pct"/>
            <w:tcBorders>
              <w:top w:val="single" w:sz="4" w:space="0" w:color="auto"/>
              <w:left w:val="single" w:sz="4" w:space="0" w:color="auto"/>
              <w:bottom w:val="single" w:sz="4" w:space="0" w:color="auto"/>
              <w:right w:val="single" w:sz="4" w:space="0" w:color="auto"/>
            </w:tcBorders>
            <w:vAlign w:val="center"/>
          </w:tcPr>
          <w:p w14:paraId="080B1EBF" w14:textId="77777777" w:rsidR="002F590A" w:rsidRDefault="002F590A">
            <w:pPr>
              <w:jc w:val="center"/>
              <w:rPr>
                <w:color w:val="000000"/>
                <w:sz w:val="12"/>
                <w:szCs w:val="12"/>
              </w:rPr>
            </w:pPr>
          </w:p>
        </w:tc>
        <w:tc>
          <w:tcPr>
            <w:tcW w:w="178" w:type="pct"/>
            <w:tcBorders>
              <w:top w:val="single" w:sz="4" w:space="0" w:color="auto"/>
              <w:left w:val="single" w:sz="4" w:space="0" w:color="auto"/>
              <w:bottom w:val="single" w:sz="4" w:space="0" w:color="auto"/>
              <w:right w:val="single" w:sz="4" w:space="0" w:color="auto"/>
            </w:tcBorders>
            <w:vAlign w:val="center"/>
          </w:tcPr>
          <w:p w14:paraId="2DA738CA" w14:textId="77777777" w:rsidR="002F590A" w:rsidRDefault="002F590A">
            <w:pPr>
              <w:jc w:val="center"/>
              <w:rPr>
                <w:color w:val="000000"/>
                <w:sz w:val="12"/>
                <w:szCs w:val="12"/>
              </w:rPr>
            </w:pPr>
          </w:p>
        </w:tc>
        <w:tc>
          <w:tcPr>
            <w:tcW w:w="218" w:type="pct"/>
            <w:tcBorders>
              <w:top w:val="single" w:sz="4" w:space="0" w:color="auto"/>
              <w:left w:val="single" w:sz="4" w:space="0" w:color="auto"/>
              <w:bottom w:val="single" w:sz="4" w:space="0" w:color="auto"/>
              <w:right w:val="single" w:sz="4" w:space="0" w:color="auto"/>
            </w:tcBorders>
            <w:vAlign w:val="center"/>
          </w:tcPr>
          <w:p w14:paraId="033A6817" w14:textId="77777777" w:rsidR="002F590A" w:rsidRDefault="002F590A">
            <w:pPr>
              <w:jc w:val="center"/>
              <w:rPr>
                <w:sz w:val="12"/>
                <w:szCs w:val="12"/>
              </w:rPr>
            </w:pPr>
          </w:p>
        </w:tc>
        <w:tc>
          <w:tcPr>
            <w:tcW w:w="220" w:type="pct"/>
            <w:tcBorders>
              <w:top w:val="single" w:sz="4" w:space="0" w:color="auto"/>
              <w:left w:val="single" w:sz="4" w:space="0" w:color="auto"/>
              <w:bottom w:val="single" w:sz="4" w:space="0" w:color="auto"/>
              <w:right w:val="single" w:sz="4" w:space="0" w:color="auto"/>
            </w:tcBorders>
            <w:vAlign w:val="center"/>
          </w:tcPr>
          <w:p w14:paraId="72B7F180" w14:textId="77777777" w:rsidR="002F590A" w:rsidRDefault="002F590A">
            <w:pPr>
              <w:jc w:val="center"/>
              <w:rPr>
                <w:sz w:val="12"/>
                <w:szCs w:val="12"/>
              </w:rPr>
            </w:pPr>
          </w:p>
        </w:tc>
        <w:tc>
          <w:tcPr>
            <w:tcW w:w="214" w:type="pct"/>
            <w:tcBorders>
              <w:top w:val="single" w:sz="4" w:space="0" w:color="auto"/>
              <w:left w:val="single" w:sz="4" w:space="0" w:color="auto"/>
              <w:bottom w:val="single" w:sz="4" w:space="0" w:color="auto"/>
              <w:right w:val="single" w:sz="4" w:space="0" w:color="auto"/>
            </w:tcBorders>
            <w:vAlign w:val="center"/>
          </w:tcPr>
          <w:p w14:paraId="15B8AFB8" w14:textId="77777777" w:rsidR="002F590A" w:rsidRDefault="002F590A">
            <w:pPr>
              <w:jc w:val="center"/>
              <w:rPr>
                <w:sz w:val="12"/>
                <w:szCs w:val="12"/>
              </w:rPr>
            </w:pPr>
          </w:p>
        </w:tc>
        <w:tc>
          <w:tcPr>
            <w:tcW w:w="179" w:type="pct"/>
            <w:tcBorders>
              <w:top w:val="single" w:sz="4" w:space="0" w:color="auto"/>
              <w:left w:val="single" w:sz="4" w:space="0" w:color="auto"/>
              <w:bottom w:val="single" w:sz="4" w:space="0" w:color="auto"/>
              <w:right w:val="single" w:sz="4" w:space="0" w:color="auto"/>
            </w:tcBorders>
            <w:vAlign w:val="center"/>
          </w:tcPr>
          <w:p w14:paraId="6939E5C1" w14:textId="77777777" w:rsidR="002F590A" w:rsidRDefault="002F590A">
            <w:pPr>
              <w:jc w:val="center"/>
              <w:rPr>
                <w:sz w:val="12"/>
                <w:szCs w:val="12"/>
              </w:rPr>
            </w:pPr>
          </w:p>
        </w:tc>
        <w:tc>
          <w:tcPr>
            <w:tcW w:w="171" w:type="pct"/>
            <w:tcBorders>
              <w:top w:val="single" w:sz="4" w:space="0" w:color="auto"/>
              <w:left w:val="single" w:sz="4" w:space="0" w:color="auto"/>
              <w:bottom w:val="single" w:sz="4" w:space="0" w:color="auto"/>
              <w:right w:val="single" w:sz="4" w:space="0" w:color="auto"/>
            </w:tcBorders>
            <w:vAlign w:val="center"/>
          </w:tcPr>
          <w:p w14:paraId="6D301AFE" w14:textId="77777777" w:rsidR="002F590A" w:rsidRDefault="002F590A">
            <w:pPr>
              <w:jc w:val="center"/>
              <w:rPr>
                <w:sz w:val="12"/>
                <w:szCs w:val="12"/>
              </w:rPr>
            </w:pPr>
          </w:p>
        </w:tc>
        <w:tc>
          <w:tcPr>
            <w:tcW w:w="173" w:type="pct"/>
            <w:tcBorders>
              <w:top w:val="single" w:sz="4" w:space="0" w:color="auto"/>
              <w:left w:val="single" w:sz="4" w:space="0" w:color="auto"/>
              <w:bottom w:val="single" w:sz="4" w:space="0" w:color="auto"/>
              <w:right w:val="single" w:sz="4" w:space="0" w:color="auto"/>
            </w:tcBorders>
            <w:vAlign w:val="center"/>
          </w:tcPr>
          <w:p w14:paraId="6988621B" w14:textId="77777777" w:rsidR="002F590A" w:rsidRDefault="002F590A">
            <w:pPr>
              <w:jc w:val="center"/>
              <w:rPr>
                <w:sz w:val="12"/>
                <w:szCs w:val="12"/>
              </w:rPr>
            </w:pPr>
          </w:p>
        </w:tc>
        <w:tc>
          <w:tcPr>
            <w:tcW w:w="177" w:type="pct"/>
            <w:tcBorders>
              <w:top w:val="single" w:sz="4" w:space="0" w:color="auto"/>
              <w:left w:val="single" w:sz="4" w:space="0" w:color="auto"/>
              <w:bottom w:val="single" w:sz="4" w:space="0" w:color="auto"/>
              <w:right w:val="single" w:sz="4" w:space="0" w:color="auto"/>
            </w:tcBorders>
            <w:vAlign w:val="center"/>
          </w:tcPr>
          <w:p w14:paraId="30288BF0" w14:textId="77777777" w:rsidR="002F590A" w:rsidRDefault="002F590A">
            <w:pPr>
              <w:jc w:val="center"/>
              <w:rPr>
                <w:sz w:val="12"/>
                <w:szCs w:val="12"/>
              </w:rPr>
            </w:pPr>
          </w:p>
        </w:tc>
        <w:tc>
          <w:tcPr>
            <w:tcW w:w="173" w:type="pct"/>
            <w:tcBorders>
              <w:top w:val="single" w:sz="4" w:space="0" w:color="auto"/>
              <w:left w:val="single" w:sz="4" w:space="0" w:color="auto"/>
              <w:bottom w:val="single" w:sz="4" w:space="0" w:color="auto"/>
              <w:right w:val="single" w:sz="4" w:space="0" w:color="auto"/>
            </w:tcBorders>
            <w:vAlign w:val="center"/>
          </w:tcPr>
          <w:p w14:paraId="1E8D3FC5" w14:textId="77777777" w:rsidR="002F590A" w:rsidRDefault="002F590A">
            <w:pPr>
              <w:jc w:val="center"/>
              <w:rPr>
                <w:sz w:val="12"/>
                <w:szCs w:val="12"/>
              </w:rPr>
            </w:pPr>
          </w:p>
        </w:tc>
        <w:tc>
          <w:tcPr>
            <w:tcW w:w="173" w:type="pct"/>
            <w:tcBorders>
              <w:top w:val="single" w:sz="4" w:space="0" w:color="auto"/>
              <w:left w:val="single" w:sz="4" w:space="0" w:color="auto"/>
              <w:bottom w:val="single" w:sz="4" w:space="0" w:color="auto"/>
              <w:right w:val="single" w:sz="4" w:space="0" w:color="auto"/>
            </w:tcBorders>
            <w:vAlign w:val="center"/>
          </w:tcPr>
          <w:p w14:paraId="2BD42A48" w14:textId="77777777" w:rsidR="002F590A" w:rsidRDefault="002F590A">
            <w:pPr>
              <w:jc w:val="center"/>
              <w:rPr>
                <w:sz w:val="12"/>
                <w:szCs w:val="12"/>
              </w:rPr>
            </w:pPr>
          </w:p>
        </w:tc>
        <w:tc>
          <w:tcPr>
            <w:tcW w:w="177" w:type="pct"/>
            <w:tcBorders>
              <w:top w:val="single" w:sz="4" w:space="0" w:color="auto"/>
              <w:left w:val="single" w:sz="4" w:space="0" w:color="auto"/>
              <w:bottom w:val="single" w:sz="4" w:space="0" w:color="auto"/>
              <w:right w:val="single" w:sz="4" w:space="0" w:color="auto"/>
            </w:tcBorders>
            <w:vAlign w:val="center"/>
          </w:tcPr>
          <w:p w14:paraId="0566CB1A" w14:textId="77777777" w:rsidR="002F590A" w:rsidRDefault="002F590A">
            <w:pPr>
              <w:jc w:val="center"/>
              <w:rPr>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538A47BC" w14:textId="77777777" w:rsidR="002F590A" w:rsidRDefault="002F590A">
            <w:pPr>
              <w:jc w:val="center"/>
              <w:rPr>
                <w:color w:val="000000"/>
                <w:sz w:val="12"/>
                <w:szCs w:val="12"/>
              </w:rPr>
            </w:pPr>
          </w:p>
        </w:tc>
        <w:tc>
          <w:tcPr>
            <w:tcW w:w="128" w:type="pct"/>
            <w:tcBorders>
              <w:top w:val="single" w:sz="4" w:space="0" w:color="auto"/>
              <w:left w:val="single" w:sz="4" w:space="0" w:color="auto"/>
              <w:bottom w:val="single" w:sz="4" w:space="0" w:color="auto"/>
              <w:right w:val="single" w:sz="4" w:space="0" w:color="auto"/>
            </w:tcBorders>
            <w:vAlign w:val="center"/>
          </w:tcPr>
          <w:p w14:paraId="7AEEE656" w14:textId="77777777" w:rsidR="002F590A" w:rsidRDefault="002F590A">
            <w:pPr>
              <w:jc w:val="center"/>
              <w:rPr>
                <w:color w:val="000000"/>
                <w:sz w:val="12"/>
                <w:szCs w:val="12"/>
              </w:rPr>
            </w:pPr>
          </w:p>
        </w:tc>
      </w:tr>
      <w:tr w:rsidR="002F590A" w14:paraId="08C0C2CA" w14:textId="77777777" w:rsidTr="002F590A">
        <w:trPr>
          <w:trHeight w:val="897"/>
        </w:trPr>
        <w:tc>
          <w:tcPr>
            <w:tcW w:w="175" w:type="pct"/>
            <w:tcBorders>
              <w:top w:val="single" w:sz="4" w:space="0" w:color="auto"/>
              <w:left w:val="single" w:sz="4" w:space="0" w:color="auto"/>
              <w:bottom w:val="single" w:sz="4" w:space="0" w:color="auto"/>
              <w:right w:val="single" w:sz="4" w:space="0" w:color="auto"/>
            </w:tcBorders>
            <w:vAlign w:val="center"/>
            <w:hideMark/>
          </w:tcPr>
          <w:p w14:paraId="4BB1A77D" w14:textId="77777777" w:rsidR="002F590A" w:rsidRDefault="002F590A">
            <w:pPr>
              <w:jc w:val="center"/>
              <w:rPr>
                <w:sz w:val="12"/>
                <w:szCs w:val="12"/>
              </w:rPr>
            </w:pPr>
            <w:r>
              <w:rPr>
                <w:sz w:val="12"/>
                <w:szCs w:val="12"/>
              </w:rPr>
              <w:t>3.2.10.1</w:t>
            </w:r>
          </w:p>
        </w:tc>
        <w:tc>
          <w:tcPr>
            <w:tcW w:w="262" w:type="pct"/>
            <w:tcBorders>
              <w:top w:val="single" w:sz="4" w:space="0" w:color="auto"/>
              <w:left w:val="single" w:sz="4" w:space="0" w:color="auto"/>
              <w:bottom w:val="single" w:sz="4" w:space="0" w:color="auto"/>
              <w:right w:val="single" w:sz="4" w:space="0" w:color="auto"/>
            </w:tcBorders>
            <w:vAlign w:val="center"/>
            <w:hideMark/>
          </w:tcPr>
          <w:p w14:paraId="79733289" w14:textId="77777777" w:rsidR="002F590A" w:rsidRDefault="002F590A">
            <w:pPr>
              <w:rPr>
                <w:color w:val="000000"/>
                <w:sz w:val="12"/>
                <w:szCs w:val="12"/>
              </w:rPr>
            </w:pPr>
            <w:r>
              <w:rPr>
                <w:color w:val="000000"/>
                <w:sz w:val="12"/>
                <w:szCs w:val="12"/>
              </w:rPr>
              <w:t>Реконструкция котла</w:t>
            </w:r>
          </w:p>
        </w:tc>
        <w:tc>
          <w:tcPr>
            <w:tcW w:w="351" w:type="pct"/>
            <w:tcBorders>
              <w:top w:val="single" w:sz="4" w:space="0" w:color="auto"/>
              <w:left w:val="single" w:sz="4" w:space="0" w:color="auto"/>
              <w:bottom w:val="single" w:sz="4" w:space="0" w:color="auto"/>
              <w:right w:val="single" w:sz="4" w:space="0" w:color="auto"/>
            </w:tcBorders>
            <w:vAlign w:val="center"/>
            <w:hideMark/>
          </w:tcPr>
          <w:p w14:paraId="5366A096" w14:textId="77777777" w:rsidR="002F590A" w:rsidRDefault="002F590A">
            <w:pPr>
              <w:jc w:val="center"/>
              <w:rPr>
                <w:sz w:val="12"/>
                <w:szCs w:val="12"/>
              </w:rPr>
            </w:pPr>
            <w:r>
              <w:rPr>
                <w:sz w:val="12"/>
                <w:szCs w:val="12"/>
              </w:rPr>
              <w:t>Повышение надежности (бесперебойности) услуг теплоснабжения, повышение энергетической эффективности</w:t>
            </w:r>
          </w:p>
        </w:tc>
        <w:tc>
          <w:tcPr>
            <w:tcW w:w="259" w:type="pct"/>
            <w:tcBorders>
              <w:top w:val="single" w:sz="4" w:space="0" w:color="auto"/>
              <w:left w:val="single" w:sz="4" w:space="0" w:color="auto"/>
              <w:bottom w:val="single" w:sz="4" w:space="0" w:color="auto"/>
              <w:right w:val="single" w:sz="4" w:space="0" w:color="auto"/>
            </w:tcBorders>
            <w:vAlign w:val="center"/>
            <w:hideMark/>
          </w:tcPr>
          <w:p w14:paraId="232B8D36" w14:textId="77777777" w:rsidR="002F590A" w:rsidRDefault="002F590A">
            <w:pPr>
              <w:jc w:val="center"/>
              <w:rPr>
                <w:sz w:val="12"/>
                <w:szCs w:val="12"/>
              </w:rPr>
            </w:pPr>
            <w:r>
              <w:rPr>
                <w:sz w:val="12"/>
                <w:szCs w:val="12"/>
              </w:rPr>
              <w:t> </w:t>
            </w:r>
          </w:p>
        </w:tc>
        <w:tc>
          <w:tcPr>
            <w:tcW w:w="298" w:type="pct"/>
            <w:tcBorders>
              <w:top w:val="single" w:sz="4" w:space="0" w:color="auto"/>
              <w:left w:val="single" w:sz="4" w:space="0" w:color="auto"/>
              <w:bottom w:val="single" w:sz="4" w:space="0" w:color="auto"/>
              <w:right w:val="single" w:sz="4" w:space="0" w:color="auto"/>
            </w:tcBorders>
            <w:vAlign w:val="center"/>
            <w:hideMark/>
          </w:tcPr>
          <w:p w14:paraId="58D5079D" w14:textId="77777777" w:rsidR="002F590A" w:rsidRDefault="002F590A">
            <w:pPr>
              <w:jc w:val="center"/>
              <w:rPr>
                <w:sz w:val="12"/>
                <w:szCs w:val="12"/>
              </w:rPr>
            </w:pPr>
            <w:r>
              <w:rPr>
                <w:color w:val="000000"/>
                <w:sz w:val="12"/>
                <w:szCs w:val="12"/>
              </w:rPr>
              <w:t>Технические характеристики</w:t>
            </w:r>
          </w:p>
        </w:tc>
        <w:tc>
          <w:tcPr>
            <w:tcW w:w="130" w:type="pct"/>
            <w:tcBorders>
              <w:top w:val="single" w:sz="4" w:space="0" w:color="auto"/>
              <w:left w:val="single" w:sz="4" w:space="0" w:color="auto"/>
              <w:bottom w:val="single" w:sz="4" w:space="0" w:color="auto"/>
              <w:right w:val="single" w:sz="4" w:space="0" w:color="auto"/>
            </w:tcBorders>
            <w:vAlign w:val="center"/>
          </w:tcPr>
          <w:p w14:paraId="7F91F84F" w14:textId="77777777" w:rsidR="002F590A" w:rsidRDefault="002F590A">
            <w:pPr>
              <w:jc w:val="center"/>
              <w:rPr>
                <w:sz w:val="12"/>
                <w:szCs w:val="12"/>
              </w:rPr>
            </w:pPr>
          </w:p>
        </w:tc>
        <w:tc>
          <w:tcPr>
            <w:tcW w:w="359" w:type="pct"/>
            <w:tcBorders>
              <w:top w:val="single" w:sz="4" w:space="0" w:color="auto"/>
              <w:left w:val="single" w:sz="4" w:space="0" w:color="auto"/>
              <w:bottom w:val="single" w:sz="4" w:space="0" w:color="auto"/>
              <w:right w:val="single" w:sz="4" w:space="0" w:color="auto"/>
            </w:tcBorders>
            <w:vAlign w:val="center"/>
            <w:hideMark/>
          </w:tcPr>
          <w:p w14:paraId="1DEFEC95" w14:textId="77777777" w:rsidR="002F590A" w:rsidRDefault="002F590A">
            <w:pPr>
              <w:jc w:val="center"/>
              <w:rPr>
                <w:sz w:val="12"/>
                <w:szCs w:val="12"/>
              </w:rPr>
            </w:pPr>
            <w:r>
              <w:rPr>
                <w:sz w:val="12"/>
                <w:szCs w:val="12"/>
              </w:rPr>
              <w:t xml:space="preserve">Теплопроизводительность водогрейного котла (номинальная) -0,58 МВт; КПД котла - 67%; Вид топлива- каменный уголь </w:t>
            </w:r>
          </w:p>
        </w:tc>
        <w:tc>
          <w:tcPr>
            <w:tcW w:w="349" w:type="pct"/>
            <w:tcBorders>
              <w:top w:val="single" w:sz="4" w:space="0" w:color="auto"/>
              <w:left w:val="single" w:sz="4" w:space="0" w:color="auto"/>
              <w:bottom w:val="single" w:sz="4" w:space="0" w:color="auto"/>
              <w:right w:val="single" w:sz="4" w:space="0" w:color="auto"/>
            </w:tcBorders>
            <w:vAlign w:val="center"/>
            <w:hideMark/>
          </w:tcPr>
          <w:p w14:paraId="1853C99A" w14:textId="77777777" w:rsidR="002F590A" w:rsidRDefault="002F590A">
            <w:pPr>
              <w:jc w:val="center"/>
              <w:rPr>
                <w:sz w:val="12"/>
                <w:szCs w:val="12"/>
              </w:rPr>
            </w:pPr>
            <w:r>
              <w:rPr>
                <w:sz w:val="12"/>
                <w:szCs w:val="12"/>
              </w:rPr>
              <w:t xml:space="preserve">Оборудование с техническими характеристиками не ниже существующего на объекте. Вид топлива- каменный уголь </w:t>
            </w:r>
          </w:p>
        </w:tc>
        <w:tc>
          <w:tcPr>
            <w:tcW w:w="131" w:type="pct"/>
            <w:tcBorders>
              <w:top w:val="single" w:sz="4" w:space="0" w:color="auto"/>
              <w:left w:val="single" w:sz="4" w:space="0" w:color="auto"/>
              <w:bottom w:val="single" w:sz="4" w:space="0" w:color="auto"/>
              <w:right w:val="single" w:sz="4" w:space="0" w:color="auto"/>
            </w:tcBorders>
            <w:vAlign w:val="center"/>
            <w:hideMark/>
          </w:tcPr>
          <w:p w14:paraId="6169D8A2" w14:textId="77777777" w:rsidR="002F590A" w:rsidRDefault="002F590A">
            <w:pPr>
              <w:jc w:val="center"/>
              <w:rPr>
                <w:sz w:val="12"/>
                <w:szCs w:val="12"/>
              </w:rPr>
            </w:pPr>
            <w:r>
              <w:rPr>
                <w:sz w:val="12"/>
                <w:szCs w:val="12"/>
              </w:rPr>
              <w:t>2028</w:t>
            </w:r>
          </w:p>
        </w:tc>
        <w:tc>
          <w:tcPr>
            <w:tcW w:w="133" w:type="pct"/>
            <w:tcBorders>
              <w:top w:val="single" w:sz="4" w:space="0" w:color="auto"/>
              <w:left w:val="single" w:sz="4" w:space="0" w:color="auto"/>
              <w:bottom w:val="single" w:sz="4" w:space="0" w:color="auto"/>
              <w:right w:val="single" w:sz="4" w:space="0" w:color="auto"/>
            </w:tcBorders>
            <w:vAlign w:val="center"/>
            <w:hideMark/>
          </w:tcPr>
          <w:p w14:paraId="34A8A7D4" w14:textId="77777777" w:rsidR="002F590A" w:rsidRDefault="002F590A">
            <w:pPr>
              <w:jc w:val="center"/>
              <w:rPr>
                <w:sz w:val="12"/>
                <w:szCs w:val="12"/>
              </w:rPr>
            </w:pPr>
            <w:r>
              <w:rPr>
                <w:sz w:val="12"/>
                <w:szCs w:val="12"/>
              </w:rPr>
              <w:t>2028</w:t>
            </w:r>
          </w:p>
        </w:tc>
        <w:tc>
          <w:tcPr>
            <w:tcW w:w="198" w:type="pct"/>
            <w:tcBorders>
              <w:top w:val="single" w:sz="4" w:space="0" w:color="auto"/>
              <w:left w:val="single" w:sz="4" w:space="0" w:color="auto"/>
              <w:bottom w:val="single" w:sz="4" w:space="0" w:color="auto"/>
              <w:right w:val="single" w:sz="4" w:space="0" w:color="auto"/>
            </w:tcBorders>
            <w:vAlign w:val="center"/>
            <w:hideMark/>
          </w:tcPr>
          <w:p w14:paraId="453B35D9" w14:textId="77777777" w:rsidR="002F590A" w:rsidRDefault="002F590A">
            <w:pPr>
              <w:jc w:val="center"/>
              <w:rPr>
                <w:color w:val="000000"/>
                <w:sz w:val="12"/>
                <w:szCs w:val="12"/>
              </w:rPr>
            </w:pPr>
            <w:r>
              <w:rPr>
                <w:color w:val="000000"/>
                <w:sz w:val="12"/>
                <w:szCs w:val="12"/>
              </w:rPr>
              <w:t>2412,49</w:t>
            </w:r>
          </w:p>
        </w:tc>
        <w:tc>
          <w:tcPr>
            <w:tcW w:w="178" w:type="pct"/>
            <w:tcBorders>
              <w:top w:val="single" w:sz="4" w:space="0" w:color="auto"/>
              <w:left w:val="single" w:sz="4" w:space="0" w:color="auto"/>
              <w:bottom w:val="single" w:sz="4" w:space="0" w:color="auto"/>
              <w:right w:val="single" w:sz="4" w:space="0" w:color="auto"/>
            </w:tcBorders>
            <w:vAlign w:val="center"/>
            <w:hideMark/>
          </w:tcPr>
          <w:p w14:paraId="0B8DAAC4" w14:textId="77777777" w:rsidR="002F590A" w:rsidRDefault="002F590A">
            <w:pPr>
              <w:jc w:val="center"/>
              <w:rPr>
                <w:color w:val="000000"/>
                <w:sz w:val="12"/>
                <w:szCs w:val="12"/>
              </w:rPr>
            </w:pPr>
            <w:r>
              <w:rPr>
                <w:color w:val="000000"/>
                <w:sz w:val="12"/>
                <w:szCs w:val="12"/>
              </w:rPr>
              <w:t>0,00</w:t>
            </w:r>
          </w:p>
        </w:tc>
        <w:tc>
          <w:tcPr>
            <w:tcW w:w="218" w:type="pct"/>
            <w:tcBorders>
              <w:top w:val="single" w:sz="4" w:space="0" w:color="auto"/>
              <w:left w:val="single" w:sz="4" w:space="0" w:color="auto"/>
              <w:bottom w:val="single" w:sz="4" w:space="0" w:color="auto"/>
              <w:right w:val="single" w:sz="4" w:space="0" w:color="auto"/>
            </w:tcBorders>
            <w:vAlign w:val="center"/>
            <w:hideMark/>
          </w:tcPr>
          <w:p w14:paraId="54DCC804" w14:textId="77777777" w:rsidR="002F590A" w:rsidRDefault="002F590A">
            <w:pPr>
              <w:jc w:val="center"/>
              <w:rPr>
                <w:sz w:val="12"/>
                <w:szCs w:val="12"/>
              </w:rPr>
            </w:pPr>
            <w:r>
              <w:rPr>
                <w:sz w:val="12"/>
                <w:szCs w:val="12"/>
              </w:rPr>
              <w:t>0,00</w:t>
            </w:r>
          </w:p>
        </w:tc>
        <w:tc>
          <w:tcPr>
            <w:tcW w:w="220" w:type="pct"/>
            <w:tcBorders>
              <w:top w:val="single" w:sz="4" w:space="0" w:color="auto"/>
              <w:left w:val="single" w:sz="4" w:space="0" w:color="auto"/>
              <w:bottom w:val="single" w:sz="4" w:space="0" w:color="auto"/>
              <w:right w:val="single" w:sz="4" w:space="0" w:color="auto"/>
            </w:tcBorders>
            <w:vAlign w:val="center"/>
            <w:hideMark/>
          </w:tcPr>
          <w:p w14:paraId="34F21EBD" w14:textId="77777777" w:rsidR="002F590A" w:rsidRDefault="002F590A">
            <w:pPr>
              <w:jc w:val="center"/>
              <w:rPr>
                <w:sz w:val="12"/>
                <w:szCs w:val="12"/>
              </w:rPr>
            </w:pPr>
            <w:r>
              <w:rPr>
                <w:sz w:val="12"/>
                <w:szCs w:val="12"/>
              </w:rPr>
              <w:t>0,00</w:t>
            </w:r>
          </w:p>
        </w:tc>
        <w:tc>
          <w:tcPr>
            <w:tcW w:w="214" w:type="pct"/>
            <w:tcBorders>
              <w:top w:val="single" w:sz="4" w:space="0" w:color="auto"/>
              <w:left w:val="single" w:sz="4" w:space="0" w:color="auto"/>
              <w:bottom w:val="single" w:sz="4" w:space="0" w:color="auto"/>
              <w:right w:val="single" w:sz="4" w:space="0" w:color="auto"/>
            </w:tcBorders>
            <w:vAlign w:val="center"/>
            <w:hideMark/>
          </w:tcPr>
          <w:p w14:paraId="479217F8" w14:textId="77777777" w:rsidR="002F590A" w:rsidRDefault="002F590A">
            <w:pPr>
              <w:jc w:val="center"/>
              <w:rPr>
                <w:sz w:val="12"/>
                <w:szCs w:val="12"/>
              </w:rPr>
            </w:pPr>
            <w:r>
              <w:rPr>
                <w:sz w:val="12"/>
                <w:szCs w:val="12"/>
              </w:rPr>
              <w:t>0,00</w:t>
            </w:r>
          </w:p>
        </w:tc>
        <w:tc>
          <w:tcPr>
            <w:tcW w:w="179" w:type="pct"/>
            <w:tcBorders>
              <w:top w:val="single" w:sz="4" w:space="0" w:color="auto"/>
              <w:left w:val="single" w:sz="4" w:space="0" w:color="auto"/>
              <w:bottom w:val="single" w:sz="4" w:space="0" w:color="auto"/>
              <w:right w:val="single" w:sz="4" w:space="0" w:color="auto"/>
            </w:tcBorders>
            <w:vAlign w:val="center"/>
            <w:hideMark/>
          </w:tcPr>
          <w:p w14:paraId="4AAE60BB" w14:textId="77777777" w:rsidR="002F590A" w:rsidRDefault="002F590A">
            <w:pPr>
              <w:jc w:val="center"/>
              <w:rPr>
                <w:sz w:val="12"/>
                <w:szCs w:val="12"/>
              </w:rPr>
            </w:pPr>
            <w:r>
              <w:rPr>
                <w:sz w:val="12"/>
                <w:szCs w:val="12"/>
              </w:rPr>
              <w:t>0,00</w:t>
            </w:r>
          </w:p>
        </w:tc>
        <w:tc>
          <w:tcPr>
            <w:tcW w:w="171" w:type="pct"/>
            <w:tcBorders>
              <w:top w:val="single" w:sz="4" w:space="0" w:color="auto"/>
              <w:left w:val="single" w:sz="4" w:space="0" w:color="auto"/>
              <w:bottom w:val="single" w:sz="4" w:space="0" w:color="auto"/>
              <w:right w:val="single" w:sz="4" w:space="0" w:color="auto"/>
            </w:tcBorders>
            <w:vAlign w:val="center"/>
            <w:hideMark/>
          </w:tcPr>
          <w:p w14:paraId="1EC1C565"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0ABE76E8" w14:textId="77777777" w:rsidR="002F590A" w:rsidRDefault="002F590A">
            <w:pPr>
              <w:jc w:val="center"/>
              <w:rPr>
                <w:sz w:val="12"/>
                <w:szCs w:val="12"/>
              </w:rPr>
            </w:pPr>
            <w:r>
              <w:rPr>
                <w:sz w:val="12"/>
                <w:szCs w:val="12"/>
              </w:rPr>
              <w:t>0,00</w:t>
            </w:r>
          </w:p>
        </w:tc>
        <w:tc>
          <w:tcPr>
            <w:tcW w:w="177" w:type="pct"/>
            <w:tcBorders>
              <w:top w:val="single" w:sz="4" w:space="0" w:color="auto"/>
              <w:left w:val="single" w:sz="4" w:space="0" w:color="auto"/>
              <w:bottom w:val="single" w:sz="4" w:space="0" w:color="auto"/>
              <w:right w:val="single" w:sz="4" w:space="0" w:color="auto"/>
            </w:tcBorders>
            <w:vAlign w:val="center"/>
            <w:hideMark/>
          </w:tcPr>
          <w:p w14:paraId="47E45322" w14:textId="77777777" w:rsidR="002F590A" w:rsidRDefault="002F590A">
            <w:pPr>
              <w:jc w:val="center"/>
              <w:rPr>
                <w:sz w:val="12"/>
                <w:szCs w:val="12"/>
              </w:rPr>
            </w:pPr>
            <w:r>
              <w:rPr>
                <w:sz w:val="12"/>
                <w:szCs w:val="12"/>
              </w:rPr>
              <w:t>2412,49</w:t>
            </w:r>
          </w:p>
        </w:tc>
        <w:tc>
          <w:tcPr>
            <w:tcW w:w="173" w:type="pct"/>
            <w:tcBorders>
              <w:top w:val="single" w:sz="4" w:space="0" w:color="auto"/>
              <w:left w:val="single" w:sz="4" w:space="0" w:color="auto"/>
              <w:bottom w:val="single" w:sz="4" w:space="0" w:color="auto"/>
              <w:right w:val="single" w:sz="4" w:space="0" w:color="auto"/>
            </w:tcBorders>
            <w:vAlign w:val="center"/>
            <w:hideMark/>
          </w:tcPr>
          <w:p w14:paraId="1D5629AD"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0D89A206" w14:textId="77777777" w:rsidR="002F590A" w:rsidRDefault="002F590A">
            <w:pPr>
              <w:jc w:val="center"/>
              <w:rPr>
                <w:sz w:val="12"/>
                <w:szCs w:val="12"/>
              </w:rPr>
            </w:pPr>
            <w:r>
              <w:rPr>
                <w:sz w:val="12"/>
                <w:szCs w:val="12"/>
              </w:rPr>
              <w:t>0,00</w:t>
            </w:r>
          </w:p>
        </w:tc>
        <w:tc>
          <w:tcPr>
            <w:tcW w:w="177" w:type="pct"/>
            <w:tcBorders>
              <w:top w:val="single" w:sz="4" w:space="0" w:color="auto"/>
              <w:left w:val="single" w:sz="4" w:space="0" w:color="auto"/>
              <w:bottom w:val="single" w:sz="4" w:space="0" w:color="auto"/>
              <w:right w:val="single" w:sz="4" w:space="0" w:color="auto"/>
            </w:tcBorders>
            <w:vAlign w:val="center"/>
            <w:hideMark/>
          </w:tcPr>
          <w:p w14:paraId="7419814A"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1181EE2B" w14:textId="77777777" w:rsidR="002F590A" w:rsidRDefault="002F590A">
            <w:pPr>
              <w:jc w:val="center"/>
              <w:rPr>
                <w:color w:val="000000"/>
                <w:sz w:val="12"/>
                <w:szCs w:val="12"/>
              </w:rPr>
            </w:pPr>
            <w:r>
              <w:rPr>
                <w:color w:val="000000"/>
                <w:sz w:val="12"/>
                <w:szCs w:val="12"/>
              </w:rPr>
              <w:t>0,00</w:t>
            </w:r>
          </w:p>
        </w:tc>
        <w:tc>
          <w:tcPr>
            <w:tcW w:w="128" w:type="pct"/>
            <w:tcBorders>
              <w:top w:val="single" w:sz="4" w:space="0" w:color="auto"/>
              <w:left w:val="single" w:sz="4" w:space="0" w:color="auto"/>
              <w:bottom w:val="single" w:sz="4" w:space="0" w:color="auto"/>
              <w:right w:val="single" w:sz="4" w:space="0" w:color="auto"/>
            </w:tcBorders>
            <w:vAlign w:val="center"/>
            <w:hideMark/>
          </w:tcPr>
          <w:p w14:paraId="409AABE2" w14:textId="77777777" w:rsidR="002F590A" w:rsidRDefault="002F590A">
            <w:pPr>
              <w:jc w:val="center"/>
              <w:rPr>
                <w:color w:val="000000"/>
                <w:sz w:val="12"/>
                <w:szCs w:val="12"/>
              </w:rPr>
            </w:pPr>
            <w:r>
              <w:rPr>
                <w:color w:val="000000"/>
                <w:sz w:val="12"/>
                <w:szCs w:val="12"/>
              </w:rPr>
              <w:t>0,00</w:t>
            </w:r>
          </w:p>
        </w:tc>
      </w:tr>
      <w:tr w:rsidR="002F590A" w14:paraId="71CAB395" w14:textId="77777777" w:rsidTr="002F590A">
        <w:trPr>
          <w:trHeight w:val="269"/>
        </w:trPr>
        <w:tc>
          <w:tcPr>
            <w:tcW w:w="175" w:type="pct"/>
            <w:tcBorders>
              <w:top w:val="single" w:sz="4" w:space="0" w:color="auto"/>
              <w:left w:val="single" w:sz="4" w:space="0" w:color="auto"/>
              <w:bottom w:val="single" w:sz="4" w:space="0" w:color="auto"/>
              <w:right w:val="single" w:sz="4" w:space="0" w:color="auto"/>
            </w:tcBorders>
            <w:vAlign w:val="center"/>
            <w:hideMark/>
          </w:tcPr>
          <w:p w14:paraId="65FD7002" w14:textId="77777777" w:rsidR="002F590A" w:rsidRDefault="002F590A">
            <w:pPr>
              <w:jc w:val="center"/>
              <w:rPr>
                <w:bCs/>
                <w:sz w:val="12"/>
                <w:szCs w:val="12"/>
              </w:rPr>
            </w:pPr>
            <w:r>
              <w:rPr>
                <w:bCs/>
                <w:sz w:val="12"/>
                <w:szCs w:val="12"/>
              </w:rPr>
              <w:t>1</w:t>
            </w:r>
          </w:p>
        </w:tc>
        <w:tc>
          <w:tcPr>
            <w:tcW w:w="262" w:type="pct"/>
            <w:tcBorders>
              <w:top w:val="single" w:sz="4" w:space="0" w:color="auto"/>
              <w:left w:val="single" w:sz="4" w:space="0" w:color="auto"/>
              <w:bottom w:val="single" w:sz="4" w:space="0" w:color="auto"/>
              <w:right w:val="single" w:sz="4" w:space="0" w:color="auto"/>
            </w:tcBorders>
            <w:vAlign w:val="center"/>
            <w:hideMark/>
          </w:tcPr>
          <w:p w14:paraId="46BEF882" w14:textId="77777777" w:rsidR="002F590A" w:rsidRDefault="002F590A">
            <w:pPr>
              <w:jc w:val="center"/>
              <w:rPr>
                <w:bCs/>
                <w:sz w:val="12"/>
                <w:szCs w:val="12"/>
              </w:rPr>
            </w:pPr>
            <w:r>
              <w:rPr>
                <w:bCs/>
                <w:sz w:val="12"/>
                <w:szCs w:val="12"/>
              </w:rPr>
              <w:t>2</w:t>
            </w:r>
          </w:p>
        </w:tc>
        <w:tc>
          <w:tcPr>
            <w:tcW w:w="351" w:type="pct"/>
            <w:tcBorders>
              <w:top w:val="single" w:sz="4" w:space="0" w:color="auto"/>
              <w:left w:val="single" w:sz="4" w:space="0" w:color="auto"/>
              <w:bottom w:val="single" w:sz="4" w:space="0" w:color="auto"/>
              <w:right w:val="single" w:sz="4" w:space="0" w:color="auto"/>
            </w:tcBorders>
            <w:vAlign w:val="center"/>
            <w:hideMark/>
          </w:tcPr>
          <w:p w14:paraId="27506FC4" w14:textId="77777777" w:rsidR="002F590A" w:rsidRDefault="002F590A">
            <w:pPr>
              <w:jc w:val="center"/>
              <w:rPr>
                <w:bCs/>
                <w:sz w:val="12"/>
                <w:szCs w:val="12"/>
              </w:rPr>
            </w:pPr>
            <w:r>
              <w:rPr>
                <w:bCs/>
                <w:sz w:val="12"/>
                <w:szCs w:val="12"/>
              </w:rPr>
              <w:t>3</w:t>
            </w:r>
          </w:p>
        </w:tc>
        <w:tc>
          <w:tcPr>
            <w:tcW w:w="259" w:type="pct"/>
            <w:tcBorders>
              <w:top w:val="single" w:sz="4" w:space="0" w:color="auto"/>
              <w:left w:val="single" w:sz="4" w:space="0" w:color="auto"/>
              <w:bottom w:val="single" w:sz="4" w:space="0" w:color="auto"/>
              <w:right w:val="single" w:sz="4" w:space="0" w:color="auto"/>
            </w:tcBorders>
            <w:vAlign w:val="center"/>
            <w:hideMark/>
          </w:tcPr>
          <w:p w14:paraId="53DC7231" w14:textId="77777777" w:rsidR="002F590A" w:rsidRDefault="002F590A">
            <w:pPr>
              <w:jc w:val="center"/>
              <w:rPr>
                <w:bCs/>
                <w:sz w:val="12"/>
                <w:szCs w:val="12"/>
              </w:rPr>
            </w:pPr>
            <w:r>
              <w:rPr>
                <w:bCs/>
                <w:sz w:val="12"/>
                <w:szCs w:val="12"/>
              </w:rPr>
              <w:t>4</w:t>
            </w:r>
          </w:p>
        </w:tc>
        <w:tc>
          <w:tcPr>
            <w:tcW w:w="298" w:type="pct"/>
            <w:tcBorders>
              <w:top w:val="single" w:sz="4" w:space="0" w:color="auto"/>
              <w:left w:val="single" w:sz="4" w:space="0" w:color="auto"/>
              <w:bottom w:val="single" w:sz="4" w:space="0" w:color="auto"/>
              <w:right w:val="single" w:sz="4" w:space="0" w:color="auto"/>
            </w:tcBorders>
            <w:vAlign w:val="center"/>
            <w:hideMark/>
          </w:tcPr>
          <w:p w14:paraId="4B15A049" w14:textId="77777777" w:rsidR="002F590A" w:rsidRDefault="002F590A">
            <w:pPr>
              <w:jc w:val="center"/>
              <w:rPr>
                <w:bCs/>
                <w:sz w:val="12"/>
                <w:szCs w:val="12"/>
              </w:rPr>
            </w:pPr>
            <w:r>
              <w:rPr>
                <w:bCs/>
                <w:sz w:val="12"/>
                <w:szCs w:val="12"/>
              </w:rPr>
              <w:t>5</w:t>
            </w:r>
          </w:p>
        </w:tc>
        <w:tc>
          <w:tcPr>
            <w:tcW w:w="130" w:type="pct"/>
            <w:tcBorders>
              <w:top w:val="single" w:sz="4" w:space="0" w:color="auto"/>
              <w:left w:val="single" w:sz="4" w:space="0" w:color="auto"/>
              <w:bottom w:val="single" w:sz="4" w:space="0" w:color="auto"/>
              <w:right w:val="single" w:sz="4" w:space="0" w:color="auto"/>
            </w:tcBorders>
            <w:vAlign w:val="center"/>
            <w:hideMark/>
          </w:tcPr>
          <w:p w14:paraId="17B2EC3C" w14:textId="77777777" w:rsidR="002F590A" w:rsidRDefault="002F590A">
            <w:pPr>
              <w:jc w:val="center"/>
              <w:rPr>
                <w:bCs/>
                <w:sz w:val="12"/>
                <w:szCs w:val="12"/>
              </w:rPr>
            </w:pPr>
            <w:r>
              <w:rPr>
                <w:bCs/>
                <w:sz w:val="12"/>
                <w:szCs w:val="12"/>
              </w:rPr>
              <w:t>6</w:t>
            </w:r>
          </w:p>
        </w:tc>
        <w:tc>
          <w:tcPr>
            <w:tcW w:w="359" w:type="pct"/>
            <w:tcBorders>
              <w:top w:val="single" w:sz="4" w:space="0" w:color="auto"/>
              <w:left w:val="single" w:sz="4" w:space="0" w:color="auto"/>
              <w:bottom w:val="single" w:sz="4" w:space="0" w:color="auto"/>
              <w:right w:val="single" w:sz="4" w:space="0" w:color="auto"/>
            </w:tcBorders>
            <w:vAlign w:val="center"/>
            <w:hideMark/>
          </w:tcPr>
          <w:p w14:paraId="461D79DC" w14:textId="77777777" w:rsidR="002F590A" w:rsidRDefault="002F590A">
            <w:pPr>
              <w:jc w:val="center"/>
              <w:rPr>
                <w:bCs/>
                <w:sz w:val="12"/>
                <w:szCs w:val="12"/>
              </w:rPr>
            </w:pPr>
            <w:r>
              <w:rPr>
                <w:bCs/>
                <w:sz w:val="12"/>
                <w:szCs w:val="12"/>
              </w:rPr>
              <w:t>7</w:t>
            </w:r>
          </w:p>
        </w:tc>
        <w:tc>
          <w:tcPr>
            <w:tcW w:w="349" w:type="pct"/>
            <w:tcBorders>
              <w:top w:val="single" w:sz="4" w:space="0" w:color="auto"/>
              <w:left w:val="single" w:sz="4" w:space="0" w:color="auto"/>
              <w:bottom w:val="single" w:sz="4" w:space="0" w:color="auto"/>
              <w:right w:val="single" w:sz="4" w:space="0" w:color="auto"/>
            </w:tcBorders>
            <w:vAlign w:val="center"/>
            <w:hideMark/>
          </w:tcPr>
          <w:p w14:paraId="73D8D25F" w14:textId="77777777" w:rsidR="002F590A" w:rsidRDefault="002F590A">
            <w:pPr>
              <w:jc w:val="center"/>
              <w:rPr>
                <w:bCs/>
                <w:sz w:val="12"/>
                <w:szCs w:val="12"/>
              </w:rPr>
            </w:pPr>
            <w:r>
              <w:rPr>
                <w:bCs/>
                <w:sz w:val="12"/>
                <w:szCs w:val="12"/>
              </w:rPr>
              <w:t>8</w:t>
            </w:r>
          </w:p>
        </w:tc>
        <w:tc>
          <w:tcPr>
            <w:tcW w:w="131" w:type="pct"/>
            <w:tcBorders>
              <w:top w:val="single" w:sz="4" w:space="0" w:color="auto"/>
              <w:left w:val="single" w:sz="4" w:space="0" w:color="auto"/>
              <w:bottom w:val="single" w:sz="4" w:space="0" w:color="auto"/>
              <w:right w:val="single" w:sz="4" w:space="0" w:color="auto"/>
            </w:tcBorders>
            <w:vAlign w:val="center"/>
            <w:hideMark/>
          </w:tcPr>
          <w:p w14:paraId="600B8477" w14:textId="77777777" w:rsidR="002F590A" w:rsidRDefault="002F590A">
            <w:pPr>
              <w:jc w:val="center"/>
              <w:rPr>
                <w:bCs/>
                <w:sz w:val="12"/>
                <w:szCs w:val="12"/>
              </w:rPr>
            </w:pPr>
            <w:r>
              <w:rPr>
                <w:bCs/>
                <w:sz w:val="12"/>
                <w:szCs w:val="12"/>
              </w:rPr>
              <w:t>9</w:t>
            </w:r>
          </w:p>
        </w:tc>
        <w:tc>
          <w:tcPr>
            <w:tcW w:w="133" w:type="pct"/>
            <w:tcBorders>
              <w:top w:val="single" w:sz="4" w:space="0" w:color="auto"/>
              <w:left w:val="single" w:sz="4" w:space="0" w:color="auto"/>
              <w:bottom w:val="single" w:sz="4" w:space="0" w:color="auto"/>
              <w:right w:val="single" w:sz="4" w:space="0" w:color="auto"/>
            </w:tcBorders>
            <w:vAlign w:val="center"/>
            <w:hideMark/>
          </w:tcPr>
          <w:p w14:paraId="34E5B01C" w14:textId="77777777" w:rsidR="002F590A" w:rsidRDefault="002F590A">
            <w:pPr>
              <w:jc w:val="center"/>
              <w:rPr>
                <w:bCs/>
                <w:sz w:val="12"/>
                <w:szCs w:val="12"/>
              </w:rPr>
            </w:pPr>
            <w:r>
              <w:rPr>
                <w:bCs/>
                <w:sz w:val="12"/>
                <w:szCs w:val="12"/>
              </w:rPr>
              <w:t>10</w:t>
            </w:r>
          </w:p>
        </w:tc>
        <w:tc>
          <w:tcPr>
            <w:tcW w:w="198" w:type="pct"/>
            <w:tcBorders>
              <w:top w:val="single" w:sz="4" w:space="0" w:color="auto"/>
              <w:left w:val="single" w:sz="4" w:space="0" w:color="auto"/>
              <w:bottom w:val="single" w:sz="4" w:space="0" w:color="auto"/>
              <w:right w:val="single" w:sz="4" w:space="0" w:color="auto"/>
            </w:tcBorders>
            <w:vAlign w:val="center"/>
            <w:hideMark/>
          </w:tcPr>
          <w:p w14:paraId="6AA1E4B5" w14:textId="77777777" w:rsidR="002F590A" w:rsidRDefault="002F590A">
            <w:pPr>
              <w:jc w:val="center"/>
              <w:rPr>
                <w:bCs/>
                <w:sz w:val="12"/>
                <w:szCs w:val="12"/>
              </w:rPr>
            </w:pPr>
            <w:r>
              <w:rPr>
                <w:bCs/>
                <w:sz w:val="12"/>
                <w:szCs w:val="12"/>
              </w:rPr>
              <w:t>11</w:t>
            </w:r>
          </w:p>
        </w:tc>
        <w:tc>
          <w:tcPr>
            <w:tcW w:w="178" w:type="pct"/>
            <w:tcBorders>
              <w:top w:val="single" w:sz="4" w:space="0" w:color="auto"/>
              <w:left w:val="single" w:sz="4" w:space="0" w:color="auto"/>
              <w:bottom w:val="single" w:sz="4" w:space="0" w:color="auto"/>
              <w:right w:val="single" w:sz="4" w:space="0" w:color="auto"/>
            </w:tcBorders>
            <w:vAlign w:val="center"/>
            <w:hideMark/>
          </w:tcPr>
          <w:p w14:paraId="5FCFD8FB" w14:textId="77777777" w:rsidR="002F590A" w:rsidRDefault="002F590A">
            <w:pPr>
              <w:jc w:val="center"/>
              <w:rPr>
                <w:bCs/>
                <w:sz w:val="12"/>
                <w:szCs w:val="12"/>
              </w:rPr>
            </w:pPr>
            <w:r>
              <w:rPr>
                <w:bCs/>
                <w:sz w:val="12"/>
                <w:szCs w:val="12"/>
              </w:rPr>
              <w:t>12</w:t>
            </w:r>
          </w:p>
        </w:tc>
        <w:tc>
          <w:tcPr>
            <w:tcW w:w="218" w:type="pct"/>
            <w:tcBorders>
              <w:top w:val="single" w:sz="4" w:space="0" w:color="auto"/>
              <w:left w:val="single" w:sz="4" w:space="0" w:color="auto"/>
              <w:bottom w:val="single" w:sz="4" w:space="0" w:color="auto"/>
              <w:right w:val="single" w:sz="4" w:space="0" w:color="auto"/>
            </w:tcBorders>
            <w:vAlign w:val="center"/>
            <w:hideMark/>
          </w:tcPr>
          <w:p w14:paraId="43C3FE3C" w14:textId="77777777" w:rsidR="002F590A" w:rsidRDefault="002F590A">
            <w:pPr>
              <w:jc w:val="center"/>
              <w:rPr>
                <w:bCs/>
                <w:sz w:val="12"/>
                <w:szCs w:val="12"/>
              </w:rPr>
            </w:pPr>
            <w:r>
              <w:rPr>
                <w:bCs/>
                <w:sz w:val="12"/>
                <w:szCs w:val="12"/>
              </w:rPr>
              <w:t>13</w:t>
            </w:r>
          </w:p>
        </w:tc>
        <w:tc>
          <w:tcPr>
            <w:tcW w:w="220" w:type="pct"/>
            <w:tcBorders>
              <w:top w:val="single" w:sz="4" w:space="0" w:color="auto"/>
              <w:left w:val="single" w:sz="4" w:space="0" w:color="auto"/>
              <w:bottom w:val="single" w:sz="4" w:space="0" w:color="auto"/>
              <w:right w:val="single" w:sz="4" w:space="0" w:color="auto"/>
            </w:tcBorders>
            <w:vAlign w:val="center"/>
            <w:hideMark/>
          </w:tcPr>
          <w:p w14:paraId="50FD1099" w14:textId="77777777" w:rsidR="002F590A" w:rsidRDefault="002F590A">
            <w:pPr>
              <w:jc w:val="center"/>
              <w:rPr>
                <w:bCs/>
                <w:sz w:val="12"/>
                <w:szCs w:val="12"/>
              </w:rPr>
            </w:pPr>
            <w:r>
              <w:rPr>
                <w:bCs/>
                <w:sz w:val="12"/>
                <w:szCs w:val="12"/>
              </w:rPr>
              <w:t>14</w:t>
            </w:r>
          </w:p>
        </w:tc>
        <w:tc>
          <w:tcPr>
            <w:tcW w:w="214" w:type="pct"/>
            <w:tcBorders>
              <w:top w:val="single" w:sz="4" w:space="0" w:color="auto"/>
              <w:left w:val="single" w:sz="4" w:space="0" w:color="auto"/>
              <w:bottom w:val="single" w:sz="4" w:space="0" w:color="auto"/>
              <w:right w:val="single" w:sz="4" w:space="0" w:color="auto"/>
            </w:tcBorders>
            <w:vAlign w:val="center"/>
            <w:hideMark/>
          </w:tcPr>
          <w:p w14:paraId="17729E64" w14:textId="77777777" w:rsidR="002F590A" w:rsidRDefault="002F590A">
            <w:pPr>
              <w:jc w:val="center"/>
              <w:rPr>
                <w:bCs/>
                <w:sz w:val="12"/>
                <w:szCs w:val="12"/>
              </w:rPr>
            </w:pPr>
            <w:r>
              <w:rPr>
                <w:bCs/>
                <w:sz w:val="12"/>
                <w:szCs w:val="12"/>
              </w:rPr>
              <w:t>15</w:t>
            </w:r>
          </w:p>
        </w:tc>
        <w:tc>
          <w:tcPr>
            <w:tcW w:w="179" w:type="pct"/>
            <w:tcBorders>
              <w:top w:val="single" w:sz="4" w:space="0" w:color="auto"/>
              <w:left w:val="single" w:sz="4" w:space="0" w:color="auto"/>
              <w:bottom w:val="single" w:sz="4" w:space="0" w:color="auto"/>
              <w:right w:val="single" w:sz="4" w:space="0" w:color="auto"/>
            </w:tcBorders>
            <w:vAlign w:val="center"/>
            <w:hideMark/>
          </w:tcPr>
          <w:p w14:paraId="23332FE2" w14:textId="77777777" w:rsidR="002F590A" w:rsidRDefault="002F590A">
            <w:pPr>
              <w:jc w:val="center"/>
              <w:rPr>
                <w:bCs/>
                <w:sz w:val="12"/>
                <w:szCs w:val="12"/>
              </w:rPr>
            </w:pPr>
            <w:r>
              <w:rPr>
                <w:bCs/>
                <w:sz w:val="12"/>
                <w:szCs w:val="12"/>
              </w:rPr>
              <w:t>16</w:t>
            </w:r>
          </w:p>
        </w:tc>
        <w:tc>
          <w:tcPr>
            <w:tcW w:w="171" w:type="pct"/>
            <w:tcBorders>
              <w:top w:val="single" w:sz="4" w:space="0" w:color="auto"/>
              <w:left w:val="single" w:sz="4" w:space="0" w:color="auto"/>
              <w:bottom w:val="single" w:sz="4" w:space="0" w:color="auto"/>
              <w:right w:val="single" w:sz="4" w:space="0" w:color="auto"/>
            </w:tcBorders>
            <w:vAlign w:val="center"/>
            <w:hideMark/>
          </w:tcPr>
          <w:p w14:paraId="7DC0A480" w14:textId="77777777" w:rsidR="002F590A" w:rsidRDefault="002F590A">
            <w:pPr>
              <w:jc w:val="center"/>
              <w:rPr>
                <w:bCs/>
                <w:sz w:val="12"/>
                <w:szCs w:val="12"/>
              </w:rPr>
            </w:pPr>
            <w:r>
              <w:rPr>
                <w:bCs/>
                <w:sz w:val="12"/>
                <w:szCs w:val="12"/>
              </w:rPr>
              <w:t>17</w:t>
            </w:r>
          </w:p>
        </w:tc>
        <w:tc>
          <w:tcPr>
            <w:tcW w:w="173" w:type="pct"/>
            <w:tcBorders>
              <w:top w:val="single" w:sz="4" w:space="0" w:color="auto"/>
              <w:left w:val="single" w:sz="4" w:space="0" w:color="auto"/>
              <w:bottom w:val="single" w:sz="4" w:space="0" w:color="auto"/>
              <w:right w:val="single" w:sz="4" w:space="0" w:color="auto"/>
            </w:tcBorders>
            <w:vAlign w:val="center"/>
            <w:hideMark/>
          </w:tcPr>
          <w:p w14:paraId="6273B391" w14:textId="77777777" w:rsidR="002F590A" w:rsidRDefault="002F590A">
            <w:pPr>
              <w:jc w:val="center"/>
              <w:rPr>
                <w:bCs/>
                <w:sz w:val="12"/>
                <w:szCs w:val="12"/>
              </w:rPr>
            </w:pPr>
            <w:r>
              <w:rPr>
                <w:bCs/>
                <w:sz w:val="12"/>
                <w:szCs w:val="12"/>
              </w:rPr>
              <w:t>18</w:t>
            </w:r>
          </w:p>
        </w:tc>
        <w:tc>
          <w:tcPr>
            <w:tcW w:w="177" w:type="pct"/>
            <w:tcBorders>
              <w:top w:val="single" w:sz="4" w:space="0" w:color="auto"/>
              <w:left w:val="single" w:sz="4" w:space="0" w:color="auto"/>
              <w:bottom w:val="single" w:sz="4" w:space="0" w:color="auto"/>
              <w:right w:val="single" w:sz="4" w:space="0" w:color="auto"/>
            </w:tcBorders>
            <w:vAlign w:val="center"/>
            <w:hideMark/>
          </w:tcPr>
          <w:p w14:paraId="0BBC9F44" w14:textId="77777777" w:rsidR="002F590A" w:rsidRDefault="002F590A">
            <w:pPr>
              <w:jc w:val="center"/>
              <w:rPr>
                <w:bCs/>
                <w:sz w:val="12"/>
                <w:szCs w:val="12"/>
              </w:rPr>
            </w:pPr>
            <w:r>
              <w:rPr>
                <w:bCs/>
                <w:sz w:val="12"/>
                <w:szCs w:val="12"/>
              </w:rPr>
              <w:t>19</w:t>
            </w:r>
          </w:p>
        </w:tc>
        <w:tc>
          <w:tcPr>
            <w:tcW w:w="173" w:type="pct"/>
            <w:tcBorders>
              <w:top w:val="single" w:sz="4" w:space="0" w:color="auto"/>
              <w:left w:val="single" w:sz="4" w:space="0" w:color="auto"/>
              <w:bottom w:val="single" w:sz="4" w:space="0" w:color="auto"/>
              <w:right w:val="single" w:sz="4" w:space="0" w:color="auto"/>
            </w:tcBorders>
            <w:vAlign w:val="center"/>
            <w:hideMark/>
          </w:tcPr>
          <w:p w14:paraId="5E36A228" w14:textId="77777777" w:rsidR="002F590A" w:rsidRDefault="002F590A">
            <w:pPr>
              <w:jc w:val="center"/>
              <w:rPr>
                <w:bCs/>
                <w:sz w:val="12"/>
                <w:szCs w:val="12"/>
              </w:rPr>
            </w:pPr>
            <w:r>
              <w:rPr>
                <w:bCs/>
                <w:sz w:val="12"/>
                <w:szCs w:val="12"/>
              </w:rPr>
              <w:t>20</w:t>
            </w:r>
          </w:p>
        </w:tc>
        <w:tc>
          <w:tcPr>
            <w:tcW w:w="173" w:type="pct"/>
            <w:tcBorders>
              <w:top w:val="single" w:sz="4" w:space="0" w:color="auto"/>
              <w:left w:val="single" w:sz="4" w:space="0" w:color="auto"/>
              <w:bottom w:val="single" w:sz="4" w:space="0" w:color="auto"/>
              <w:right w:val="single" w:sz="4" w:space="0" w:color="auto"/>
            </w:tcBorders>
            <w:vAlign w:val="center"/>
            <w:hideMark/>
          </w:tcPr>
          <w:p w14:paraId="70F7CA0C" w14:textId="77777777" w:rsidR="002F590A" w:rsidRDefault="002F590A">
            <w:pPr>
              <w:jc w:val="center"/>
              <w:rPr>
                <w:bCs/>
                <w:sz w:val="12"/>
                <w:szCs w:val="12"/>
              </w:rPr>
            </w:pPr>
            <w:r>
              <w:rPr>
                <w:bCs/>
                <w:sz w:val="12"/>
                <w:szCs w:val="12"/>
              </w:rPr>
              <w:t>21</w:t>
            </w:r>
          </w:p>
        </w:tc>
        <w:tc>
          <w:tcPr>
            <w:tcW w:w="177" w:type="pct"/>
            <w:tcBorders>
              <w:top w:val="single" w:sz="4" w:space="0" w:color="auto"/>
              <w:left w:val="single" w:sz="4" w:space="0" w:color="auto"/>
              <w:bottom w:val="single" w:sz="4" w:space="0" w:color="auto"/>
              <w:right w:val="single" w:sz="4" w:space="0" w:color="auto"/>
            </w:tcBorders>
            <w:vAlign w:val="center"/>
            <w:hideMark/>
          </w:tcPr>
          <w:p w14:paraId="6D0F0F50" w14:textId="77777777" w:rsidR="002F590A" w:rsidRDefault="002F590A">
            <w:pPr>
              <w:jc w:val="center"/>
              <w:rPr>
                <w:bCs/>
                <w:sz w:val="12"/>
                <w:szCs w:val="12"/>
              </w:rPr>
            </w:pPr>
            <w:r>
              <w:rPr>
                <w:bCs/>
                <w:sz w:val="12"/>
                <w:szCs w:val="12"/>
              </w:rPr>
              <w:t>22</w:t>
            </w:r>
          </w:p>
        </w:tc>
        <w:tc>
          <w:tcPr>
            <w:tcW w:w="174" w:type="pct"/>
            <w:tcBorders>
              <w:top w:val="single" w:sz="4" w:space="0" w:color="auto"/>
              <w:left w:val="single" w:sz="4" w:space="0" w:color="auto"/>
              <w:bottom w:val="single" w:sz="4" w:space="0" w:color="auto"/>
              <w:right w:val="single" w:sz="4" w:space="0" w:color="auto"/>
            </w:tcBorders>
            <w:vAlign w:val="center"/>
            <w:hideMark/>
          </w:tcPr>
          <w:p w14:paraId="75CB720F" w14:textId="77777777" w:rsidR="002F590A" w:rsidRDefault="002F590A">
            <w:pPr>
              <w:jc w:val="center"/>
              <w:rPr>
                <w:bCs/>
                <w:sz w:val="12"/>
                <w:szCs w:val="12"/>
              </w:rPr>
            </w:pPr>
            <w:r>
              <w:rPr>
                <w:bCs/>
                <w:sz w:val="12"/>
                <w:szCs w:val="12"/>
              </w:rPr>
              <w:t>23</w:t>
            </w:r>
          </w:p>
        </w:tc>
        <w:tc>
          <w:tcPr>
            <w:tcW w:w="128" w:type="pct"/>
            <w:tcBorders>
              <w:top w:val="single" w:sz="4" w:space="0" w:color="auto"/>
              <w:left w:val="single" w:sz="4" w:space="0" w:color="auto"/>
              <w:bottom w:val="single" w:sz="4" w:space="0" w:color="auto"/>
              <w:right w:val="single" w:sz="4" w:space="0" w:color="auto"/>
            </w:tcBorders>
            <w:vAlign w:val="center"/>
            <w:hideMark/>
          </w:tcPr>
          <w:p w14:paraId="18E3AF59" w14:textId="77777777" w:rsidR="002F590A" w:rsidRDefault="002F590A">
            <w:pPr>
              <w:jc w:val="center"/>
              <w:rPr>
                <w:bCs/>
                <w:sz w:val="12"/>
                <w:szCs w:val="12"/>
              </w:rPr>
            </w:pPr>
            <w:r>
              <w:rPr>
                <w:bCs/>
                <w:sz w:val="12"/>
                <w:szCs w:val="12"/>
              </w:rPr>
              <w:t>24</w:t>
            </w:r>
          </w:p>
        </w:tc>
      </w:tr>
      <w:tr w:rsidR="002F590A" w14:paraId="4A4CC492" w14:textId="77777777" w:rsidTr="002F590A">
        <w:trPr>
          <w:trHeight w:val="897"/>
        </w:trPr>
        <w:tc>
          <w:tcPr>
            <w:tcW w:w="175" w:type="pct"/>
            <w:tcBorders>
              <w:top w:val="single" w:sz="4" w:space="0" w:color="auto"/>
              <w:left w:val="single" w:sz="4" w:space="0" w:color="auto"/>
              <w:bottom w:val="single" w:sz="4" w:space="0" w:color="auto"/>
              <w:right w:val="single" w:sz="4" w:space="0" w:color="auto"/>
            </w:tcBorders>
            <w:vAlign w:val="center"/>
            <w:hideMark/>
          </w:tcPr>
          <w:p w14:paraId="08585B8F" w14:textId="77777777" w:rsidR="002F590A" w:rsidRDefault="002F590A">
            <w:pPr>
              <w:jc w:val="center"/>
              <w:rPr>
                <w:sz w:val="12"/>
                <w:szCs w:val="12"/>
              </w:rPr>
            </w:pPr>
            <w:r>
              <w:rPr>
                <w:sz w:val="12"/>
                <w:szCs w:val="12"/>
              </w:rPr>
              <w:t>3.2.10.2</w:t>
            </w:r>
          </w:p>
        </w:tc>
        <w:tc>
          <w:tcPr>
            <w:tcW w:w="262" w:type="pct"/>
            <w:tcBorders>
              <w:top w:val="single" w:sz="4" w:space="0" w:color="auto"/>
              <w:left w:val="single" w:sz="4" w:space="0" w:color="auto"/>
              <w:bottom w:val="single" w:sz="4" w:space="0" w:color="auto"/>
              <w:right w:val="single" w:sz="4" w:space="0" w:color="auto"/>
            </w:tcBorders>
            <w:vAlign w:val="center"/>
            <w:hideMark/>
          </w:tcPr>
          <w:p w14:paraId="40BD3D50" w14:textId="77777777" w:rsidR="002F590A" w:rsidRDefault="002F590A">
            <w:pPr>
              <w:rPr>
                <w:color w:val="000000"/>
                <w:sz w:val="12"/>
                <w:szCs w:val="12"/>
              </w:rPr>
            </w:pPr>
            <w:r>
              <w:rPr>
                <w:color w:val="000000"/>
                <w:sz w:val="12"/>
                <w:szCs w:val="12"/>
              </w:rPr>
              <w:t>Реконструкция подпиточного насоса № 1</w:t>
            </w:r>
          </w:p>
        </w:tc>
        <w:tc>
          <w:tcPr>
            <w:tcW w:w="351" w:type="pct"/>
            <w:tcBorders>
              <w:top w:val="single" w:sz="4" w:space="0" w:color="auto"/>
              <w:left w:val="single" w:sz="4" w:space="0" w:color="auto"/>
              <w:bottom w:val="single" w:sz="4" w:space="0" w:color="auto"/>
              <w:right w:val="single" w:sz="4" w:space="0" w:color="auto"/>
            </w:tcBorders>
            <w:vAlign w:val="center"/>
            <w:hideMark/>
          </w:tcPr>
          <w:p w14:paraId="36E60107" w14:textId="77777777" w:rsidR="002F590A" w:rsidRDefault="002F590A">
            <w:pPr>
              <w:jc w:val="center"/>
              <w:rPr>
                <w:sz w:val="12"/>
                <w:szCs w:val="12"/>
              </w:rPr>
            </w:pPr>
            <w:r>
              <w:rPr>
                <w:sz w:val="12"/>
                <w:szCs w:val="12"/>
              </w:rPr>
              <w:t>Повышение надежности (бесперебойности) услуг теплоснабжения, повышение энергетической эффективности</w:t>
            </w:r>
          </w:p>
        </w:tc>
        <w:tc>
          <w:tcPr>
            <w:tcW w:w="259" w:type="pct"/>
            <w:tcBorders>
              <w:top w:val="single" w:sz="4" w:space="0" w:color="auto"/>
              <w:left w:val="single" w:sz="4" w:space="0" w:color="auto"/>
              <w:bottom w:val="single" w:sz="4" w:space="0" w:color="auto"/>
              <w:right w:val="single" w:sz="4" w:space="0" w:color="auto"/>
            </w:tcBorders>
            <w:vAlign w:val="center"/>
            <w:hideMark/>
          </w:tcPr>
          <w:p w14:paraId="30C230A7" w14:textId="77777777" w:rsidR="002F590A" w:rsidRDefault="002F590A">
            <w:pPr>
              <w:jc w:val="center"/>
              <w:rPr>
                <w:sz w:val="12"/>
                <w:szCs w:val="12"/>
              </w:rPr>
            </w:pPr>
            <w:r>
              <w:rPr>
                <w:sz w:val="12"/>
                <w:szCs w:val="12"/>
              </w:rPr>
              <w:t> </w:t>
            </w:r>
          </w:p>
        </w:tc>
        <w:tc>
          <w:tcPr>
            <w:tcW w:w="298" w:type="pct"/>
            <w:tcBorders>
              <w:top w:val="single" w:sz="4" w:space="0" w:color="auto"/>
              <w:left w:val="single" w:sz="4" w:space="0" w:color="auto"/>
              <w:bottom w:val="single" w:sz="4" w:space="0" w:color="auto"/>
              <w:right w:val="single" w:sz="4" w:space="0" w:color="auto"/>
            </w:tcBorders>
            <w:vAlign w:val="center"/>
            <w:hideMark/>
          </w:tcPr>
          <w:p w14:paraId="24D1389B" w14:textId="77777777" w:rsidR="002F590A" w:rsidRDefault="002F590A">
            <w:pPr>
              <w:jc w:val="center"/>
              <w:rPr>
                <w:sz w:val="12"/>
                <w:szCs w:val="12"/>
              </w:rPr>
            </w:pPr>
            <w:r>
              <w:rPr>
                <w:color w:val="000000"/>
                <w:sz w:val="12"/>
                <w:szCs w:val="12"/>
              </w:rPr>
              <w:t>Технические характеристики</w:t>
            </w:r>
          </w:p>
        </w:tc>
        <w:tc>
          <w:tcPr>
            <w:tcW w:w="130" w:type="pct"/>
            <w:tcBorders>
              <w:top w:val="single" w:sz="4" w:space="0" w:color="auto"/>
              <w:left w:val="single" w:sz="4" w:space="0" w:color="auto"/>
              <w:bottom w:val="single" w:sz="4" w:space="0" w:color="auto"/>
              <w:right w:val="single" w:sz="4" w:space="0" w:color="auto"/>
            </w:tcBorders>
            <w:vAlign w:val="center"/>
          </w:tcPr>
          <w:p w14:paraId="09756628" w14:textId="77777777" w:rsidR="002F590A" w:rsidRDefault="002F590A">
            <w:pPr>
              <w:jc w:val="center"/>
              <w:rPr>
                <w:sz w:val="12"/>
                <w:szCs w:val="12"/>
              </w:rPr>
            </w:pPr>
          </w:p>
        </w:tc>
        <w:tc>
          <w:tcPr>
            <w:tcW w:w="359" w:type="pct"/>
            <w:tcBorders>
              <w:top w:val="single" w:sz="4" w:space="0" w:color="auto"/>
              <w:left w:val="single" w:sz="4" w:space="0" w:color="auto"/>
              <w:bottom w:val="single" w:sz="4" w:space="0" w:color="auto"/>
              <w:right w:val="single" w:sz="4" w:space="0" w:color="auto"/>
            </w:tcBorders>
            <w:vAlign w:val="center"/>
            <w:hideMark/>
          </w:tcPr>
          <w:p w14:paraId="77DCC9D2" w14:textId="77777777" w:rsidR="002F590A" w:rsidRDefault="002F590A">
            <w:pPr>
              <w:jc w:val="center"/>
              <w:rPr>
                <w:sz w:val="12"/>
                <w:szCs w:val="12"/>
              </w:rPr>
            </w:pPr>
            <w:r>
              <w:rPr>
                <w:sz w:val="12"/>
                <w:szCs w:val="12"/>
              </w:rPr>
              <w:t xml:space="preserve">Насос марки К 8\18, консольный, подача 8м3/час, напор 18м, </w:t>
            </w:r>
          </w:p>
        </w:tc>
        <w:tc>
          <w:tcPr>
            <w:tcW w:w="349" w:type="pct"/>
            <w:tcBorders>
              <w:top w:val="single" w:sz="4" w:space="0" w:color="auto"/>
              <w:left w:val="single" w:sz="4" w:space="0" w:color="auto"/>
              <w:bottom w:val="single" w:sz="4" w:space="0" w:color="auto"/>
              <w:right w:val="single" w:sz="4" w:space="0" w:color="auto"/>
            </w:tcBorders>
            <w:vAlign w:val="center"/>
          </w:tcPr>
          <w:p w14:paraId="6C376D74" w14:textId="77777777" w:rsidR="002F590A" w:rsidRDefault="002F590A">
            <w:pPr>
              <w:jc w:val="center"/>
              <w:rPr>
                <w:sz w:val="12"/>
                <w:szCs w:val="12"/>
              </w:rPr>
            </w:pPr>
            <w:r>
              <w:rPr>
                <w:sz w:val="12"/>
                <w:szCs w:val="12"/>
              </w:rPr>
              <w:t>Оборудование с техническими характеристиками не ниже существующего на объекте.</w:t>
            </w:r>
          </w:p>
          <w:p w14:paraId="256EF833" w14:textId="77777777" w:rsidR="002F590A" w:rsidRDefault="002F590A">
            <w:pPr>
              <w:jc w:val="center"/>
              <w:rPr>
                <w:sz w:val="12"/>
                <w:szCs w:val="12"/>
              </w:rPr>
            </w:pPr>
          </w:p>
          <w:p w14:paraId="2D347626" w14:textId="77777777" w:rsidR="002F590A" w:rsidRDefault="002F590A">
            <w:pPr>
              <w:jc w:val="center"/>
              <w:rPr>
                <w:sz w:val="12"/>
                <w:szCs w:val="12"/>
              </w:rPr>
            </w:pPr>
          </w:p>
          <w:p w14:paraId="50A55D6E" w14:textId="77777777" w:rsidR="002F590A" w:rsidRDefault="002F590A">
            <w:pPr>
              <w:jc w:val="center"/>
              <w:rPr>
                <w:sz w:val="12"/>
                <w:szCs w:val="12"/>
              </w:rPr>
            </w:pPr>
          </w:p>
        </w:tc>
        <w:tc>
          <w:tcPr>
            <w:tcW w:w="131" w:type="pct"/>
            <w:tcBorders>
              <w:top w:val="single" w:sz="4" w:space="0" w:color="auto"/>
              <w:left w:val="single" w:sz="4" w:space="0" w:color="auto"/>
              <w:bottom w:val="single" w:sz="4" w:space="0" w:color="auto"/>
              <w:right w:val="single" w:sz="4" w:space="0" w:color="auto"/>
            </w:tcBorders>
            <w:vAlign w:val="center"/>
            <w:hideMark/>
          </w:tcPr>
          <w:p w14:paraId="72FE25B1" w14:textId="77777777" w:rsidR="002F590A" w:rsidRDefault="002F590A">
            <w:pPr>
              <w:jc w:val="center"/>
              <w:rPr>
                <w:sz w:val="12"/>
                <w:szCs w:val="12"/>
              </w:rPr>
            </w:pPr>
            <w:r>
              <w:rPr>
                <w:sz w:val="12"/>
                <w:szCs w:val="12"/>
              </w:rPr>
              <w:t>2028</w:t>
            </w:r>
          </w:p>
        </w:tc>
        <w:tc>
          <w:tcPr>
            <w:tcW w:w="133" w:type="pct"/>
            <w:tcBorders>
              <w:top w:val="single" w:sz="4" w:space="0" w:color="auto"/>
              <w:left w:val="single" w:sz="4" w:space="0" w:color="auto"/>
              <w:bottom w:val="single" w:sz="4" w:space="0" w:color="auto"/>
              <w:right w:val="single" w:sz="4" w:space="0" w:color="auto"/>
            </w:tcBorders>
            <w:vAlign w:val="center"/>
            <w:hideMark/>
          </w:tcPr>
          <w:p w14:paraId="1AF8E440" w14:textId="77777777" w:rsidR="002F590A" w:rsidRDefault="002F590A">
            <w:pPr>
              <w:jc w:val="center"/>
              <w:rPr>
                <w:sz w:val="12"/>
                <w:szCs w:val="12"/>
              </w:rPr>
            </w:pPr>
            <w:r>
              <w:rPr>
                <w:sz w:val="12"/>
                <w:szCs w:val="12"/>
              </w:rPr>
              <w:t>2028</w:t>
            </w:r>
          </w:p>
        </w:tc>
        <w:tc>
          <w:tcPr>
            <w:tcW w:w="198" w:type="pct"/>
            <w:tcBorders>
              <w:top w:val="single" w:sz="4" w:space="0" w:color="auto"/>
              <w:left w:val="single" w:sz="4" w:space="0" w:color="auto"/>
              <w:bottom w:val="single" w:sz="4" w:space="0" w:color="auto"/>
              <w:right w:val="single" w:sz="4" w:space="0" w:color="auto"/>
            </w:tcBorders>
            <w:vAlign w:val="center"/>
            <w:hideMark/>
          </w:tcPr>
          <w:p w14:paraId="595922EC" w14:textId="77777777" w:rsidR="002F590A" w:rsidRDefault="002F590A">
            <w:pPr>
              <w:jc w:val="center"/>
              <w:rPr>
                <w:color w:val="000000"/>
                <w:sz w:val="12"/>
                <w:szCs w:val="12"/>
              </w:rPr>
            </w:pPr>
            <w:r>
              <w:rPr>
                <w:color w:val="000000"/>
                <w:sz w:val="12"/>
                <w:szCs w:val="12"/>
              </w:rPr>
              <w:t>150,02</w:t>
            </w:r>
          </w:p>
        </w:tc>
        <w:tc>
          <w:tcPr>
            <w:tcW w:w="178" w:type="pct"/>
            <w:tcBorders>
              <w:top w:val="single" w:sz="4" w:space="0" w:color="auto"/>
              <w:left w:val="single" w:sz="4" w:space="0" w:color="auto"/>
              <w:bottom w:val="single" w:sz="4" w:space="0" w:color="auto"/>
              <w:right w:val="single" w:sz="4" w:space="0" w:color="auto"/>
            </w:tcBorders>
            <w:vAlign w:val="center"/>
            <w:hideMark/>
          </w:tcPr>
          <w:p w14:paraId="4B9D9000" w14:textId="77777777" w:rsidR="002F590A" w:rsidRDefault="002F590A">
            <w:pPr>
              <w:jc w:val="center"/>
              <w:rPr>
                <w:color w:val="000000"/>
                <w:sz w:val="12"/>
                <w:szCs w:val="12"/>
              </w:rPr>
            </w:pPr>
            <w:r>
              <w:rPr>
                <w:color w:val="000000"/>
                <w:sz w:val="12"/>
                <w:szCs w:val="12"/>
              </w:rPr>
              <w:t>0,00</w:t>
            </w:r>
          </w:p>
        </w:tc>
        <w:tc>
          <w:tcPr>
            <w:tcW w:w="218" w:type="pct"/>
            <w:tcBorders>
              <w:top w:val="single" w:sz="4" w:space="0" w:color="auto"/>
              <w:left w:val="single" w:sz="4" w:space="0" w:color="auto"/>
              <w:bottom w:val="single" w:sz="4" w:space="0" w:color="auto"/>
              <w:right w:val="single" w:sz="4" w:space="0" w:color="auto"/>
            </w:tcBorders>
            <w:vAlign w:val="center"/>
            <w:hideMark/>
          </w:tcPr>
          <w:p w14:paraId="76AA28C9" w14:textId="77777777" w:rsidR="002F590A" w:rsidRDefault="002F590A">
            <w:pPr>
              <w:jc w:val="center"/>
              <w:rPr>
                <w:sz w:val="12"/>
                <w:szCs w:val="12"/>
              </w:rPr>
            </w:pPr>
            <w:r>
              <w:rPr>
                <w:sz w:val="12"/>
                <w:szCs w:val="12"/>
              </w:rPr>
              <w:t>0,00</w:t>
            </w:r>
          </w:p>
        </w:tc>
        <w:tc>
          <w:tcPr>
            <w:tcW w:w="220" w:type="pct"/>
            <w:tcBorders>
              <w:top w:val="single" w:sz="4" w:space="0" w:color="auto"/>
              <w:left w:val="single" w:sz="4" w:space="0" w:color="auto"/>
              <w:bottom w:val="single" w:sz="4" w:space="0" w:color="auto"/>
              <w:right w:val="single" w:sz="4" w:space="0" w:color="auto"/>
            </w:tcBorders>
            <w:vAlign w:val="center"/>
            <w:hideMark/>
          </w:tcPr>
          <w:p w14:paraId="78EBB096" w14:textId="77777777" w:rsidR="002F590A" w:rsidRDefault="002F590A">
            <w:pPr>
              <w:jc w:val="center"/>
              <w:rPr>
                <w:sz w:val="12"/>
                <w:szCs w:val="12"/>
              </w:rPr>
            </w:pPr>
            <w:r>
              <w:rPr>
                <w:sz w:val="12"/>
                <w:szCs w:val="12"/>
              </w:rPr>
              <w:t>0,00</w:t>
            </w:r>
          </w:p>
        </w:tc>
        <w:tc>
          <w:tcPr>
            <w:tcW w:w="214" w:type="pct"/>
            <w:tcBorders>
              <w:top w:val="single" w:sz="4" w:space="0" w:color="auto"/>
              <w:left w:val="single" w:sz="4" w:space="0" w:color="auto"/>
              <w:bottom w:val="single" w:sz="4" w:space="0" w:color="auto"/>
              <w:right w:val="single" w:sz="4" w:space="0" w:color="auto"/>
            </w:tcBorders>
            <w:vAlign w:val="center"/>
            <w:hideMark/>
          </w:tcPr>
          <w:p w14:paraId="04E25738" w14:textId="77777777" w:rsidR="002F590A" w:rsidRDefault="002F590A">
            <w:pPr>
              <w:jc w:val="center"/>
              <w:rPr>
                <w:sz w:val="12"/>
                <w:szCs w:val="12"/>
              </w:rPr>
            </w:pPr>
            <w:r>
              <w:rPr>
                <w:sz w:val="12"/>
                <w:szCs w:val="12"/>
              </w:rPr>
              <w:t>0,00</w:t>
            </w:r>
          </w:p>
        </w:tc>
        <w:tc>
          <w:tcPr>
            <w:tcW w:w="179" w:type="pct"/>
            <w:tcBorders>
              <w:top w:val="single" w:sz="4" w:space="0" w:color="auto"/>
              <w:left w:val="single" w:sz="4" w:space="0" w:color="auto"/>
              <w:bottom w:val="single" w:sz="4" w:space="0" w:color="auto"/>
              <w:right w:val="single" w:sz="4" w:space="0" w:color="auto"/>
            </w:tcBorders>
            <w:vAlign w:val="center"/>
            <w:hideMark/>
          </w:tcPr>
          <w:p w14:paraId="7A38A208" w14:textId="77777777" w:rsidR="002F590A" w:rsidRDefault="002F590A">
            <w:pPr>
              <w:jc w:val="center"/>
              <w:rPr>
                <w:sz w:val="12"/>
                <w:szCs w:val="12"/>
              </w:rPr>
            </w:pPr>
            <w:r>
              <w:rPr>
                <w:sz w:val="12"/>
                <w:szCs w:val="12"/>
              </w:rPr>
              <w:t>0,00</w:t>
            </w:r>
          </w:p>
        </w:tc>
        <w:tc>
          <w:tcPr>
            <w:tcW w:w="171" w:type="pct"/>
            <w:tcBorders>
              <w:top w:val="single" w:sz="4" w:space="0" w:color="auto"/>
              <w:left w:val="single" w:sz="4" w:space="0" w:color="auto"/>
              <w:bottom w:val="single" w:sz="4" w:space="0" w:color="auto"/>
              <w:right w:val="single" w:sz="4" w:space="0" w:color="auto"/>
            </w:tcBorders>
            <w:vAlign w:val="center"/>
            <w:hideMark/>
          </w:tcPr>
          <w:p w14:paraId="69AD10ED"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2F6F5666" w14:textId="77777777" w:rsidR="002F590A" w:rsidRDefault="002F590A">
            <w:pPr>
              <w:jc w:val="center"/>
              <w:rPr>
                <w:sz w:val="12"/>
                <w:szCs w:val="12"/>
              </w:rPr>
            </w:pPr>
            <w:r>
              <w:rPr>
                <w:sz w:val="12"/>
                <w:szCs w:val="12"/>
              </w:rPr>
              <w:t>0,00</w:t>
            </w:r>
          </w:p>
        </w:tc>
        <w:tc>
          <w:tcPr>
            <w:tcW w:w="177" w:type="pct"/>
            <w:tcBorders>
              <w:top w:val="single" w:sz="4" w:space="0" w:color="auto"/>
              <w:left w:val="single" w:sz="4" w:space="0" w:color="auto"/>
              <w:bottom w:val="single" w:sz="4" w:space="0" w:color="auto"/>
              <w:right w:val="single" w:sz="4" w:space="0" w:color="auto"/>
            </w:tcBorders>
            <w:vAlign w:val="center"/>
            <w:hideMark/>
          </w:tcPr>
          <w:p w14:paraId="5D525C06" w14:textId="77777777" w:rsidR="002F590A" w:rsidRDefault="002F590A">
            <w:pPr>
              <w:jc w:val="center"/>
              <w:rPr>
                <w:sz w:val="12"/>
                <w:szCs w:val="12"/>
              </w:rPr>
            </w:pPr>
            <w:r>
              <w:rPr>
                <w:sz w:val="12"/>
                <w:szCs w:val="12"/>
              </w:rPr>
              <w:t>150,02</w:t>
            </w:r>
          </w:p>
        </w:tc>
        <w:tc>
          <w:tcPr>
            <w:tcW w:w="173" w:type="pct"/>
            <w:tcBorders>
              <w:top w:val="single" w:sz="4" w:space="0" w:color="auto"/>
              <w:left w:val="single" w:sz="4" w:space="0" w:color="auto"/>
              <w:bottom w:val="single" w:sz="4" w:space="0" w:color="auto"/>
              <w:right w:val="single" w:sz="4" w:space="0" w:color="auto"/>
            </w:tcBorders>
            <w:vAlign w:val="center"/>
            <w:hideMark/>
          </w:tcPr>
          <w:p w14:paraId="3BA12B45"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3105CEC8" w14:textId="77777777" w:rsidR="002F590A" w:rsidRDefault="002F590A">
            <w:pPr>
              <w:jc w:val="center"/>
              <w:rPr>
                <w:sz w:val="12"/>
                <w:szCs w:val="12"/>
              </w:rPr>
            </w:pPr>
            <w:r>
              <w:rPr>
                <w:sz w:val="12"/>
                <w:szCs w:val="12"/>
              </w:rPr>
              <w:t>0,00</w:t>
            </w:r>
          </w:p>
        </w:tc>
        <w:tc>
          <w:tcPr>
            <w:tcW w:w="177" w:type="pct"/>
            <w:tcBorders>
              <w:top w:val="single" w:sz="4" w:space="0" w:color="auto"/>
              <w:left w:val="single" w:sz="4" w:space="0" w:color="auto"/>
              <w:bottom w:val="single" w:sz="4" w:space="0" w:color="auto"/>
              <w:right w:val="single" w:sz="4" w:space="0" w:color="auto"/>
            </w:tcBorders>
            <w:vAlign w:val="center"/>
            <w:hideMark/>
          </w:tcPr>
          <w:p w14:paraId="46DAAAE5"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4DDADDAB" w14:textId="77777777" w:rsidR="002F590A" w:rsidRDefault="002F590A">
            <w:pPr>
              <w:jc w:val="center"/>
              <w:rPr>
                <w:color w:val="000000"/>
                <w:sz w:val="12"/>
                <w:szCs w:val="12"/>
              </w:rPr>
            </w:pPr>
            <w:r>
              <w:rPr>
                <w:color w:val="000000"/>
                <w:sz w:val="12"/>
                <w:szCs w:val="12"/>
              </w:rPr>
              <w:t>0,00</w:t>
            </w:r>
          </w:p>
        </w:tc>
        <w:tc>
          <w:tcPr>
            <w:tcW w:w="128" w:type="pct"/>
            <w:tcBorders>
              <w:top w:val="single" w:sz="4" w:space="0" w:color="auto"/>
              <w:left w:val="single" w:sz="4" w:space="0" w:color="auto"/>
              <w:bottom w:val="single" w:sz="4" w:space="0" w:color="auto"/>
              <w:right w:val="single" w:sz="4" w:space="0" w:color="auto"/>
            </w:tcBorders>
            <w:vAlign w:val="center"/>
            <w:hideMark/>
          </w:tcPr>
          <w:p w14:paraId="6076D817" w14:textId="77777777" w:rsidR="002F590A" w:rsidRDefault="002F590A">
            <w:pPr>
              <w:jc w:val="center"/>
              <w:rPr>
                <w:color w:val="000000"/>
                <w:sz w:val="12"/>
                <w:szCs w:val="12"/>
              </w:rPr>
            </w:pPr>
            <w:r>
              <w:rPr>
                <w:color w:val="000000"/>
                <w:sz w:val="12"/>
                <w:szCs w:val="12"/>
              </w:rPr>
              <w:t>0,00</w:t>
            </w:r>
          </w:p>
        </w:tc>
      </w:tr>
      <w:tr w:rsidR="002F590A" w14:paraId="0B2DAEF2" w14:textId="77777777" w:rsidTr="002F590A">
        <w:trPr>
          <w:trHeight w:val="897"/>
        </w:trPr>
        <w:tc>
          <w:tcPr>
            <w:tcW w:w="175" w:type="pct"/>
            <w:tcBorders>
              <w:top w:val="single" w:sz="4" w:space="0" w:color="auto"/>
              <w:left w:val="single" w:sz="4" w:space="0" w:color="auto"/>
              <w:bottom w:val="single" w:sz="4" w:space="0" w:color="auto"/>
              <w:right w:val="single" w:sz="4" w:space="0" w:color="auto"/>
            </w:tcBorders>
            <w:vAlign w:val="center"/>
            <w:hideMark/>
          </w:tcPr>
          <w:p w14:paraId="7E1DE330" w14:textId="77777777" w:rsidR="002F590A" w:rsidRDefault="002F590A">
            <w:pPr>
              <w:jc w:val="center"/>
              <w:rPr>
                <w:sz w:val="12"/>
                <w:szCs w:val="12"/>
              </w:rPr>
            </w:pPr>
            <w:r>
              <w:rPr>
                <w:sz w:val="12"/>
                <w:szCs w:val="12"/>
              </w:rPr>
              <w:t>3.2.10.3</w:t>
            </w:r>
          </w:p>
        </w:tc>
        <w:tc>
          <w:tcPr>
            <w:tcW w:w="262" w:type="pct"/>
            <w:tcBorders>
              <w:top w:val="single" w:sz="4" w:space="0" w:color="auto"/>
              <w:left w:val="single" w:sz="4" w:space="0" w:color="auto"/>
              <w:bottom w:val="single" w:sz="4" w:space="0" w:color="auto"/>
              <w:right w:val="single" w:sz="4" w:space="0" w:color="auto"/>
            </w:tcBorders>
            <w:vAlign w:val="center"/>
            <w:hideMark/>
          </w:tcPr>
          <w:p w14:paraId="5BA19395" w14:textId="77777777" w:rsidR="002F590A" w:rsidRDefault="002F590A">
            <w:pPr>
              <w:rPr>
                <w:color w:val="000000"/>
                <w:sz w:val="12"/>
                <w:szCs w:val="12"/>
              </w:rPr>
            </w:pPr>
            <w:r>
              <w:rPr>
                <w:color w:val="000000"/>
                <w:sz w:val="12"/>
                <w:szCs w:val="12"/>
              </w:rPr>
              <w:t>Реконструкция АСУ подпиточного насоса № 1 с установкой частотного преобразователя</w:t>
            </w:r>
          </w:p>
        </w:tc>
        <w:tc>
          <w:tcPr>
            <w:tcW w:w="351" w:type="pct"/>
            <w:tcBorders>
              <w:top w:val="single" w:sz="4" w:space="0" w:color="auto"/>
              <w:left w:val="single" w:sz="4" w:space="0" w:color="auto"/>
              <w:bottom w:val="single" w:sz="4" w:space="0" w:color="auto"/>
              <w:right w:val="single" w:sz="4" w:space="0" w:color="auto"/>
            </w:tcBorders>
            <w:vAlign w:val="center"/>
            <w:hideMark/>
          </w:tcPr>
          <w:p w14:paraId="60A7B1BD" w14:textId="77777777" w:rsidR="002F590A" w:rsidRDefault="002F590A">
            <w:pPr>
              <w:jc w:val="center"/>
              <w:rPr>
                <w:sz w:val="12"/>
                <w:szCs w:val="12"/>
              </w:rPr>
            </w:pPr>
            <w:r>
              <w:rPr>
                <w:sz w:val="12"/>
                <w:szCs w:val="12"/>
              </w:rPr>
              <w:t>Повышение надежности (бесперебойности) услуг теплоснабжения, повышение энергетической эффективности</w:t>
            </w:r>
          </w:p>
        </w:tc>
        <w:tc>
          <w:tcPr>
            <w:tcW w:w="259" w:type="pct"/>
            <w:tcBorders>
              <w:top w:val="single" w:sz="4" w:space="0" w:color="auto"/>
              <w:left w:val="single" w:sz="4" w:space="0" w:color="auto"/>
              <w:bottom w:val="single" w:sz="4" w:space="0" w:color="auto"/>
              <w:right w:val="single" w:sz="4" w:space="0" w:color="auto"/>
            </w:tcBorders>
            <w:vAlign w:val="center"/>
            <w:hideMark/>
          </w:tcPr>
          <w:p w14:paraId="1C5A8E1B" w14:textId="77777777" w:rsidR="002F590A" w:rsidRDefault="002F590A">
            <w:pPr>
              <w:jc w:val="center"/>
              <w:rPr>
                <w:sz w:val="12"/>
                <w:szCs w:val="12"/>
              </w:rPr>
            </w:pPr>
            <w:r>
              <w:rPr>
                <w:sz w:val="12"/>
                <w:szCs w:val="12"/>
              </w:rPr>
              <w:t> </w:t>
            </w:r>
          </w:p>
        </w:tc>
        <w:tc>
          <w:tcPr>
            <w:tcW w:w="298" w:type="pct"/>
            <w:tcBorders>
              <w:top w:val="single" w:sz="4" w:space="0" w:color="auto"/>
              <w:left w:val="single" w:sz="4" w:space="0" w:color="auto"/>
              <w:bottom w:val="single" w:sz="4" w:space="0" w:color="auto"/>
              <w:right w:val="single" w:sz="4" w:space="0" w:color="auto"/>
            </w:tcBorders>
            <w:vAlign w:val="center"/>
            <w:hideMark/>
          </w:tcPr>
          <w:p w14:paraId="590A719B" w14:textId="77777777" w:rsidR="002F590A" w:rsidRDefault="002F590A">
            <w:pPr>
              <w:jc w:val="center"/>
              <w:rPr>
                <w:sz w:val="12"/>
                <w:szCs w:val="12"/>
              </w:rPr>
            </w:pPr>
            <w:r>
              <w:rPr>
                <w:color w:val="000000"/>
                <w:sz w:val="12"/>
                <w:szCs w:val="12"/>
              </w:rPr>
              <w:t>Технические характеристики</w:t>
            </w:r>
          </w:p>
        </w:tc>
        <w:tc>
          <w:tcPr>
            <w:tcW w:w="130" w:type="pct"/>
            <w:tcBorders>
              <w:top w:val="single" w:sz="4" w:space="0" w:color="auto"/>
              <w:left w:val="single" w:sz="4" w:space="0" w:color="auto"/>
              <w:bottom w:val="single" w:sz="4" w:space="0" w:color="auto"/>
              <w:right w:val="single" w:sz="4" w:space="0" w:color="auto"/>
            </w:tcBorders>
            <w:vAlign w:val="center"/>
          </w:tcPr>
          <w:p w14:paraId="00B5324F" w14:textId="77777777" w:rsidR="002F590A" w:rsidRDefault="002F590A">
            <w:pPr>
              <w:jc w:val="center"/>
              <w:rPr>
                <w:sz w:val="12"/>
                <w:szCs w:val="12"/>
              </w:rPr>
            </w:pPr>
          </w:p>
        </w:tc>
        <w:tc>
          <w:tcPr>
            <w:tcW w:w="359" w:type="pct"/>
            <w:tcBorders>
              <w:top w:val="single" w:sz="4" w:space="0" w:color="auto"/>
              <w:left w:val="single" w:sz="4" w:space="0" w:color="auto"/>
              <w:bottom w:val="single" w:sz="4" w:space="0" w:color="auto"/>
              <w:right w:val="single" w:sz="4" w:space="0" w:color="auto"/>
            </w:tcBorders>
            <w:vAlign w:val="center"/>
            <w:hideMark/>
          </w:tcPr>
          <w:p w14:paraId="4257C2DC" w14:textId="77777777" w:rsidR="002F590A" w:rsidRDefault="002F590A">
            <w:pPr>
              <w:jc w:val="center"/>
              <w:rPr>
                <w:sz w:val="12"/>
                <w:szCs w:val="12"/>
              </w:rPr>
            </w:pPr>
            <w:r>
              <w:rPr>
                <w:sz w:val="12"/>
                <w:szCs w:val="12"/>
              </w:rPr>
              <w:t>Отсутствует частотный преобразователь на подпиточном насосе. Насос подключен на прямую к системе электроснабжения</w:t>
            </w:r>
          </w:p>
        </w:tc>
        <w:tc>
          <w:tcPr>
            <w:tcW w:w="349" w:type="pct"/>
            <w:tcBorders>
              <w:top w:val="single" w:sz="4" w:space="0" w:color="auto"/>
              <w:left w:val="single" w:sz="4" w:space="0" w:color="auto"/>
              <w:bottom w:val="single" w:sz="4" w:space="0" w:color="auto"/>
              <w:right w:val="single" w:sz="4" w:space="0" w:color="auto"/>
            </w:tcBorders>
            <w:vAlign w:val="center"/>
          </w:tcPr>
          <w:p w14:paraId="3BDB5AAC" w14:textId="77777777" w:rsidR="002F590A" w:rsidRDefault="002F590A">
            <w:pPr>
              <w:jc w:val="center"/>
              <w:rPr>
                <w:sz w:val="12"/>
                <w:szCs w:val="12"/>
              </w:rPr>
            </w:pPr>
            <w:r>
              <w:rPr>
                <w:sz w:val="12"/>
                <w:szCs w:val="12"/>
              </w:rPr>
              <w:t>Оборудование позволит повысить надежность и снизить затраты на расходы электроэнергии, поддерживать стабильное давление в обратном трубопроводе</w:t>
            </w:r>
          </w:p>
          <w:p w14:paraId="69325B3D" w14:textId="77777777" w:rsidR="002F590A" w:rsidRDefault="002F590A">
            <w:pPr>
              <w:jc w:val="center"/>
              <w:rPr>
                <w:sz w:val="12"/>
                <w:szCs w:val="12"/>
              </w:rPr>
            </w:pPr>
          </w:p>
          <w:p w14:paraId="4BE31C6F" w14:textId="77777777" w:rsidR="002F590A" w:rsidRDefault="002F590A">
            <w:pPr>
              <w:jc w:val="center"/>
              <w:rPr>
                <w:sz w:val="12"/>
                <w:szCs w:val="12"/>
              </w:rPr>
            </w:pPr>
          </w:p>
          <w:p w14:paraId="62C6B007" w14:textId="77777777" w:rsidR="002F590A" w:rsidRDefault="002F590A">
            <w:pPr>
              <w:jc w:val="center"/>
              <w:rPr>
                <w:sz w:val="12"/>
                <w:szCs w:val="12"/>
              </w:rPr>
            </w:pPr>
          </w:p>
        </w:tc>
        <w:tc>
          <w:tcPr>
            <w:tcW w:w="131" w:type="pct"/>
            <w:tcBorders>
              <w:top w:val="single" w:sz="4" w:space="0" w:color="auto"/>
              <w:left w:val="single" w:sz="4" w:space="0" w:color="auto"/>
              <w:bottom w:val="single" w:sz="4" w:space="0" w:color="auto"/>
              <w:right w:val="single" w:sz="4" w:space="0" w:color="auto"/>
            </w:tcBorders>
            <w:vAlign w:val="center"/>
            <w:hideMark/>
          </w:tcPr>
          <w:p w14:paraId="7B5BF759" w14:textId="77777777" w:rsidR="002F590A" w:rsidRDefault="002F590A">
            <w:pPr>
              <w:jc w:val="center"/>
              <w:rPr>
                <w:sz w:val="12"/>
                <w:szCs w:val="12"/>
              </w:rPr>
            </w:pPr>
            <w:r>
              <w:rPr>
                <w:sz w:val="12"/>
                <w:szCs w:val="12"/>
              </w:rPr>
              <w:t>2028</w:t>
            </w:r>
          </w:p>
        </w:tc>
        <w:tc>
          <w:tcPr>
            <w:tcW w:w="133" w:type="pct"/>
            <w:tcBorders>
              <w:top w:val="single" w:sz="4" w:space="0" w:color="auto"/>
              <w:left w:val="single" w:sz="4" w:space="0" w:color="auto"/>
              <w:bottom w:val="single" w:sz="4" w:space="0" w:color="auto"/>
              <w:right w:val="single" w:sz="4" w:space="0" w:color="auto"/>
            </w:tcBorders>
            <w:vAlign w:val="center"/>
            <w:hideMark/>
          </w:tcPr>
          <w:p w14:paraId="122D0660" w14:textId="77777777" w:rsidR="002F590A" w:rsidRDefault="002F590A">
            <w:pPr>
              <w:jc w:val="center"/>
              <w:rPr>
                <w:sz w:val="12"/>
                <w:szCs w:val="12"/>
              </w:rPr>
            </w:pPr>
            <w:r>
              <w:rPr>
                <w:sz w:val="12"/>
                <w:szCs w:val="12"/>
              </w:rPr>
              <w:t>2028</w:t>
            </w:r>
          </w:p>
        </w:tc>
        <w:tc>
          <w:tcPr>
            <w:tcW w:w="198" w:type="pct"/>
            <w:tcBorders>
              <w:top w:val="single" w:sz="4" w:space="0" w:color="auto"/>
              <w:left w:val="single" w:sz="4" w:space="0" w:color="auto"/>
              <w:bottom w:val="single" w:sz="4" w:space="0" w:color="auto"/>
              <w:right w:val="single" w:sz="4" w:space="0" w:color="auto"/>
            </w:tcBorders>
            <w:vAlign w:val="center"/>
            <w:hideMark/>
          </w:tcPr>
          <w:p w14:paraId="645A39DC" w14:textId="77777777" w:rsidR="002F590A" w:rsidRDefault="002F590A">
            <w:pPr>
              <w:jc w:val="center"/>
              <w:rPr>
                <w:color w:val="000000"/>
                <w:sz w:val="12"/>
                <w:szCs w:val="12"/>
              </w:rPr>
            </w:pPr>
            <w:r>
              <w:rPr>
                <w:color w:val="000000"/>
                <w:sz w:val="12"/>
                <w:szCs w:val="12"/>
              </w:rPr>
              <w:t>308,26</w:t>
            </w:r>
          </w:p>
        </w:tc>
        <w:tc>
          <w:tcPr>
            <w:tcW w:w="178" w:type="pct"/>
            <w:tcBorders>
              <w:top w:val="single" w:sz="4" w:space="0" w:color="auto"/>
              <w:left w:val="single" w:sz="4" w:space="0" w:color="auto"/>
              <w:bottom w:val="single" w:sz="4" w:space="0" w:color="auto"/>
              <w:right w:val="single" w:sz="4" w:space="0" w:color="auto"/>
            </w:tcBorders>
            <w:vAlign w:val="center"/>
            <w:hideMark/>
          </w:tcPr>
          <w:p w14:paraId="746A9478" w14:textId="77777777" w:rsidR="002F590A" w:rsidRDefault="002F590A">
            <w:pPr>
              <w:jc w:val="center"/>
              <w:rPr>
                <w:color w:val="000000"/>
                <w:sz w:val="12"/>
                <w:szCs w:val="12"/>
              </w:rPr>
            </w:pPr>
            <w:r>
              <w:rPr>
                <w:color w:val="000000"/>
                <w:sz w:val="12"/>
                <w:szCs w:val="12"/>
              </w:rPr>
              <w:t>0,00</w:t>
            </w:r>
          </w:p>
        </w:tc>
        <w:tc>
          <w:tcPr>
            <w:tcW w:w="218" w:type="pct"/>
            <w:tcBorders>
              <w:top w:val="single" w:sz="4" w:space="0" w:color="auto"/>
              <w:left w:val="single" w:sz="4" w:space="0" w:color="auto"/>
              <w:bottom w:val="single" w:sz="4" w:space="0" w:color="auto"/>
              <w:right w:val="single" w:sz="4" w:space="0" w:color="auto"/>
            </w:tcBorders>
            <w:vAlign w:val="center"/>
            <w:hideMark/>
          </w:tcPr>
          <w:p w14:paraId="37CEC0D9" w14:textId="77777777" w:rsidR="002F590A" w:rsidRDefault="002F590A">
            <w:pPr>
              <w:jc w:val="center"/>
              <w:rPr>
                <w:sz w:val="12"/>
                <w:szCs w:val="12"/>
              </w:rPr>
            </w:pPr>
            <w:r>
              <w:rPr>
                <w:sz w:val="12"/>
                <w:szCs w:val="12"/>
              </w:rPr>
              <w:t>0,00</w:t>
            </w:r>
          </w:p>
        </w:tc>
        <w:tc>
          <w:tcPr>
            <w:tcW w:w="220" w:type="pct"/>
            <w:tcBorders>
              <w:top w:val="single" w:sz="4" w:space="0" w:color="auto"/>
              <w:left w:val="single" w:sz="4" w:space="0" w:color="auto"/>
              <w:bottom w:val="single" w:sz="4" w:space="0" w:color="auto"/>
              <w:right w:val="single" w:sz="4" w:space="0" w:color="auto"/>
            </w:tcBorders>
            <w:vAlign w:val="center"/>
            <w:hideMark/>
          </w:tcPr>
          <w:p w14:paraId="11C9050C" w14:textId="77777777" w:rsidR="002F590A" w:rsidRDefault="002F590A">
            <w:pPr>
              <w:jc w:val="center"/>
              <w:rPr>
                <w:sz w:val="12"/>
                <w:szCs w:val="12"/>
              </w:rPr>
            </w:pPr>
            <w:r>
              <w:rPr>
                <w:sz w:val="12"/>
                <w:szCs w:val="12"/>
              </w:rPr>
              <w:t>0,00</w:t>
            </w:r>
          </w:p>
        </w:tc>
        <w:tc>
          <w:tcPr>
            <w:tcW w:w="214" w:type="pct"/>
            <w:tcBorders>
              <w:top w:val="single" w:sz="4" w:space="0" w:color="auto"/>
              <w:left w:val="single" w:sz="4" w:space="0" w:color="auto"/>
              <w:bottom w:val="single" w:sz="4" w:space="0" w:color="auto"/>
              <w:right w:val="single" w:sz="4" w:space="0" w:color="auto"/>
            </w:tcBorders>
            <w:vAlign w:val="center"/>
            <w:hideMark/>
          </w:tcPr>
          <w:p w14:paraId="67D36A62" w14:textId="77777777" w:rsidR="002F590A" w:rsidRDefault="002F590A">
            <w:pPr>
              <w:jc w:val="center"/>
              <w:rPr>
                <w:sz w:val="12"/>
                <w:szCs w:val="12"/>
              </w:rPr>
            </w:pPr>
            <w:r>
              <w:rPr>
                <w:sz w:val="12"/>
                <w:szCs w:val="12"/>
              </w:rPr>
              <w:t>0,00</w:t>
            </w:r>
          </w:p>
        </w:tc>
        <w:tc>
          <w:tcPr>
            <w:tcW w:w="179" w:type="pct"/>
            <w:tcBorders>
              <w:top w:val="single" w:sz="4" w:space="0" w:color="auto"/>
              <w:left w:val="single" w:sz="4" w:space="0" w:color="auto"/>
              <w:bottom w:val="single" w:sz="4" w:space="0" w:color="auto"/>
              <w:right w:val="single" w:sz="4" w:space="0" w:color="auto"/>
            </w:tcBorders>
            <w:vAlign w:val="center"/>
            <w:hideMark/>
          </w:tcPr>
          <w:p w14:paraId="34A52751" w14:textId="77777777" w:rsidR="002F590A" w:rsidRDefault="002F590A">
            <w:pPr>
              <w:jc w:val="center"/>
              <w:rPr>
                <w:sz w:val="12"/>
                <w:szCs w:val="12"/>
              </w:rPr>
            </w:pPr>
            <w:r>
              <w:rPr>
                <w:sz w:val="12"/>
                <w:szCs w:val="12"/>
              </w:rPr>
              <w:t>0,00</w:t>
            </w:r>
          </w:p>
        </w:tc>
        <w:tc>
          <w:tcPr>
            <w:tcW w:w="171" w:type="pct"/>
            <w:tcBorders>
              <w:top w:val="single" w:sz="4" w:space="0" w:color="auto"/>
              <w:left w:val="single" w:sz="4" w:space="0" w:color="auto"/>
              <w:bottom w:val="single" w:sz="4" w:space="0" w:color="auto"/>
              <w:right w:val="single" w:sz="4" w:space="0" w:color="auto"/>
            </w:tcBorders>
            <w:vAlign w:val="center"/>
            <w:hideMark/>
          </w:tcPr>
          <w:p w14:paraId="3EE20F9D"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017DD4ED" w14:textId="77777777" w:rsidR="002F590A" w:rsidRDefault="002F590A">
            <w:pPr>
              <w:jc w:val="center"/>
              <w:rPr>
                <w:sz w:val="12"/>
                <w:szCs w:val="12"/>
              </w:rPr>
            </w:pPr>
            <w:r>
              <w:rPr>
                <w:sz w:val="12"/>
                <w:szCs w:val="12"/>
              </w:rPr>
              <w:t>0,00</w:t>
            </w:r>
          </w:p>
        </w:tc>
        <w:tc>
          <w:tcPr>
            <w:tcW w:w="177" w:type="pct"/>
            <w:tcBorders>
              <w:top w:val="single" w:sz="4" w:space="0" w:color="auto"/>
              <w:left w:val="single" w:sz="4" w:space="0" w:color="auto"/>
              <w:bottom w:val="single" w:sz="4" w:space="0" w:color="auto"/>
              <w:right w:val="single" w:sz="4" w:space="0" w:color="auto"/>
            </w:tcBorders>
            <w:vAlign w:val="center"/>
            <w:hideMark/>
          </w:tcPr>
          <w:p w14:paraId="535E483C" w14:textId="77777777" w:rsidR="002F590A" w:rsidRDefault="002F590A">
            <w:pPr>
              <w:jc w:val="center"/>
              <w:rPr>
                <w:sz w:val="12"/>
                <w:szCs w:val="12"/>
              </w:rPr>
            </w:pPr>
            <w:r>
              <w:rPr>
                <w:sz w:val="12"/>
                <w:szCs w:val="12"/>
              </w:rPr>
              <w:t>308,26</w:t>
            </w:r>
          </w:p>
        </w:tc>
        <w:tc>
          <w:tcPr>
            <w:tcW w:w="173" w:type="pct"/>
            <w:tcBorders>
              <w:top w:val="single" w:sz="4" w:space="0" w:color="auto"/>
              <w:left w:val="single" w:sz="4" w:space="0" w:color="auto"/>
              <w:bottom w:val="single" w:sz="4" w:space="0" w:color="auto"/>
              <w:right w:val="single" w:sz="4" w:space="0" w:color="auto"/>
            </w:tcBorders>
            <w:vAlign w:val="center"/>
            <w:hideMark/>
          </w:tcPr>
          <w:p w14:paraId="63061238"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7AF5CD46" w14:textId="77777777" w:rsidR="002F590A" w:rsidRDefault="002F590A">
            <w:pPr>
              <w:jc w:val="center"/>
              <w:rPr>
                <w:sz w:val="12"/>
                <w:szCs w:val="12"/>
              </w:rPr>
            </w:pPr>
            <w:r>
              <w:rPr>
                <w:sz w:val="12"/>
                <w:szCs w:val="12"/>
              </w:rPr>
              <w:t>0,00</w:t>
            </w:r>
          </w:p>
        </w:tc>
        <w:tc>
          <w:tcPr>
            <w:tcW w:w="177" w:type="pct"/>
            <w:tcBorders>
              <w:top w:val="single" w:sz="4" w:space="0" w:color="auto"/>
              <w:left w:val="single" w:sz="4" w:space="0" w:color="auto"/>
              <w:bottom w:val="single" w:sz="4" w:space="0" w:color="auto"/>
              <w:right w:val="single" w:sz="4" w:space="0" w:color="auto"/>
            </w:tcBorders>
            <w:vAlign w:val="center"/>
            <w:hideMark/>
          </w:tcPr>
          <w:p w14:paraId="42D0FBF4"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665E8D7D" w14:textId="77777777" w:rsidR="002F590A" w:rsidRDefault="002F590A">
            <w:pPr>
              <w:jc w:val="center"/>
              <w:rPr>
                <w:color w:val="000000"/>
                <w:sz w:val="12"/>
                <w:szCs w:val="12"/>
              </w:rPr>
            </w:pPr>
            <w:r>
              <w:rPr>
                <w:color w:val="000000"/>
                <w:sz w:val="12"/>
                <w:szCs w:val="12"/>
              </w:rPr>
              <w:t>0,00</w:t>
            </w:r>
          </w:p>
        </w:tc>
        <w:tc>
          <w:tcPr>
            <w:tcW w:w="128" w:type="pct"/>
            <w:tcBorders>
              <w:top w:val="single" w:sz="4" w:space="0" w:color="auto"/>
              <w:left w:val="single" w:sz="4" w:space="0" w:color="auto"/>
              <w:bottom w:val="single" w:sz="4" w:space="0" w:color="auto"/>
              <w:right w:val="single" w:sz="4" w:space="0" w:color="auto"/>
            </w:tcBorders>
            <w:vAlign w:val="center"/>
            <w:hideMark/>
          </w:tcPr>
          <w:p w14:paraId="5466EA0C" w14:textId="77777777" w:rsidR="002F590A" w:rsidRDefault="002F590A">
            <w:pPr>
              <w:jc w:val="center"/>
              <w:rPr>
                <w:color w:val="000000"/>
                <w:sz w:val="12"/>
                <w:szCs w:val="12"/>
              </w:rPr>
            </w:pPr>
            <w:r>
              <w:rPr>
                <w:color w:val="000000"/>
                <w:sz w:val="12"/>
                <w:szCs w:val="12"/>
              </w:rPr>
              <w:t>0,00</w:t>
            </w:r>
          </w:p>
        </w:tc>
      </w:tr>
      <w:tr w:rsidR="002F590A" w14:paraId="052A1220" w14:textId="77777777" w:rsidTr="002F590A">
        <w:trPr>
          <w:trHeight w:val="897"/>
        </w:trPr>
        <w:tc>
          <w:tcPr>
            <w:tcW w:w="175" w:type="pct"/>
            <w:tcBorders>
              <w:top w:val="single" w:sz="4" w:space="0" w:color="auto"/>
              <w:left w:val="single" w:sz="4" w:space="0" w:color="auto"/>
              <w:bottom w:val="single" w:sz="4" w:space="0" w:color="auto"/>
              <w:right w:val="single" w:sz="4" w:space="0" w:color="auto"/>
            </w:tcBorders>
            <w:vAlign w:val="center"/>
            <w:hideMark/>
          </w:tcPr>
          <w:p w14:paraId="729D328F" w14:textId="77777777" w:rsidR="002F590A" w:rsidRDefault="002F590A">
            <w:pPr>
              <w:jc w:val="center"/>
              <w:rPr>
                <w:bCs/>
                <w:sz w:val="12"/>
                <w:szCs w:val="12"/>
              </w:rPr>
            </w:pPr>
            <w:r>
              <w:rPr>
                <w:bCs/>
                <w:sz w:val="12"/>
                <w:szCs w:val="12"/>
              </w:rPr>
              <w:t>3.2.11.</w:t>
            </w:r>
          </w:p>
        </w:tc>
        <w:tc>
          <w:tcPr>
            <w:tcW w:w="262" w:type="pct"/>
            <w:tcBorders>
              <w:top w:val="single" w:sz="4" w:space="0" w:color="auto"/>
              <w:left w:val="single" w:sz="4" w:space="0" w:color="auto"/>
              <w:bottom w:val="single" w:sz="4" w:space="0" w:color="auto"/>
              <w:right w:val="single" w:sz="4" w:space="0" w:color="auto"/>
            </w:tcBorders>
            <w:vAlign w:val="center"/>
            <w:hideMark/>
          </w:tcPr>
          <w:p w14:paraId="13A97E14" w14:textId="77777777" w:rsidR="002F590A" w:rsidRDefault="002F590A">
            <w:pPr>
              <w:rPr>
                <w:bCs/>
                <w:color w:val="000000"/>
                <w:sz w:val="12"/>
                <w:szCs w:val="12"/>
              </w:rPr>
            </w:pPr>
            <w:r>
              <w:rPr>
                <w:bCs/>
                <w:color w:val="000000"/>
                <w:sz w:val="12"/>
                <w:szCs w:val="12"/>
              </w:rPr>
              <w:t>Реконструкция котельной №56</w:t>
            </w:r>
          </w:p>
        </w:tc>
        <w:tc>
          <w:tcPr>
            <w:tcW w:w="351" w:type="pct"/>
            <w:tcBorders>
              <w:top w:val="single" w:sz="4" w:space="0" w:color="auto"/>
              <w:left w:val="single" w:sz="4" w:space="0" w:color="auto"/>
              <w:bottom w:val="single" w:sz="4" w:space="0" w:color="auto"/>
              <w:right w:val="single" w:sz="4" w:space="0" w:color="auto"/>
            </w:tcBorders>
            <w:vAlign w:val="center"/>
          </w:tcPr>
          <w:p w14:paraId="68568EEB" w14:textId="77777777" w:rsidR="002F590A" w:rsidRDefault="002F590A">
            <w:pPr>
              <w:jc w:val="center"/>
              <w:rPr>
                <w:sz w:val="12"/>
                <w:szCs w:val="12"/>
              </w:rPr>
            </w:pPr>
          </w:p>
        </w:tc>
        <w:tc>
          <w:tcPr>
            <w:tcW w:w="259" w:type="pct"/>
            <w:tcBorders>
              <w:top w:val="single" w:sz="4" w:space="0" w:color="auto"/>
              <w:left w:val="single" w:sz="4" w:space="0" w:color="auto"/>
              <w:bottom w:val="single" w:sz="4" w:space="0" w:color="auto"/>
              <w:right w:val="single" w:sz="4" w:space="0" w:color="auto"/>
            </w:tcBorders>
            <w:vAlign w:val="center"/>
            <w:hideMark/>
          </w:tcPr>
          <w:p w14:paraId="5BB5BC6A" w14:textId="77777777" w:rsidR="002F590A" w:rsidRDefault="002F590A">
            <w:pPr>
              <w:jc w:val="center"/>
              <w:rPr>
                <w:bCs/>
                <w:sz w:val="12"/>
                <w:szCs w:val="12"/>
              </w:rPr>
            </w:pPr>
            <w:r>
              <w:rPr>
                <w:bCs/>
                <w:sz w:val="12"/>
                <w:szCs w:val="12"/>
              </w:rPr>
              <w:t xml:space="preserve">Кемеровский городской округ, Заводский район, западнее жилого дома №23 по ул. Пригородная    </w:t>
            </w:r>
          </w:p>
        </w:tc>
        <w:tc>
          <w:tcPr>
            <w:tcW w:w="298" w:type="pct"/>
            <w:tcBorders>
              <w:top w:val="single" w:sz="4" w:space="0" w:color="auto"/>
              <w:left w:val="single" w:sz="4" w:space="0" w:color="auto"/>
              <w:bottom w:val="single" w:sz="4" w:space="0" w:color="auto"/>
              <w:right w:val="single" w:sz="4" w:space="0" w:color="auto"/>
            </w:tcBorders>
            <w:vAlign w:val="center"/>
            <w:hideMark/>
          </w:tcPr>
          <w:p w14:paraId="660A0FB0" w14:textId="77777777" w:rsidR="002F590A" w:rsidRDefault="002F590A">
            <w:pPr>
              <w:jc w:val="center"/>
              <w:rPr>
                <w:sz w:val="12"/>
                <w:szCs w:val="12"/>
              </w:rPr>
            </w:pPr>
            <w:r>
              <w:rPr>
                <w:color w:val="000000"/>
                <w:sz w:val="12"/>
                <w:szCs w:val="12"/>
              </w:rPr>
              <w:t>Технические характеристики</w:t>
            </w:r>
          </w:p>
        </w:tc>
        <w:tc>
          <w:tcPr>
            <w:tcW w:w="130" w:type="pct"/>
            <w:tcBorders>
              <w:top w:val="single" w:sz="4" w:space="0" w:color="auto"/>
              <w:left w:val="single" w:sz="4" w:space="0" w:color="auto"/>
              <w:bottom w:val="single" w:sz="4" w:space="0" w:color="auto"/>
              <w:right w:val="single" w:sz="4" w:space="0" w:color="auto"/>
            </w:tcBorders>
            <w:vAlign w:val="center"/>
          </w:tcPr>
          <w:p w14:paraId="2B08C355" w14:textId="77777777" w:rsidR="002F590A" w:rsidRDefault="002F590A">
            <w:pPr>
              <w:jc w:val="center"/>
              <w:rPr>
                <w:sz w:val="12"/>
                <w:szCs w:val="12"/>
              </w:rPr>
            </w:pPr>
          </w:p>
        </w:tc>
        <w:tc>
          <w:tcPr>
            <w:tcW w:w="359" w:type="pct"/>
            <w:tcBorders>
              <w:top w:val="single" w:sz="4" w:space="0" w:color="auto"/>
              <w:left w:val="single" w:sz="4" w:space="0" w:color="auto"/>
              <w:bottom w:val="single" w:sz="4" w:space="0" w:color="auto"/>
              <w:right w:val="single" w:sz="4" w:space="0" w:color="auto"/>
            </w:tcBorders>
            <w:vAlign w:val="center"/>
            <w:hideMark/>
          </w:tcPr>
          <w:p w14:paraId="0A3A590B" w14:textId="77777777" w:rsidR="002F590A" w:rsidRDefault="002F590A">
            <w:pPr>
              <w:jc w:val="center"/>
              <w:rPr>
                <w:sz w:val="12"/>
                <w:szCs w:val="12"/>
              </w:rPr>
            </w:pPr>
            <w:r>
              <w:rPr>
                <w:sz w:val="12"/>
                <w:szCs w:val="12"/>
              </w:rPr>
              <w:t> </w:t>
            </w:r>
          </w:p>
        </w:tc>
        <w:tc>
          <w:tcPr>
            <w:tcW w:w="349" w:type="pct"/>
            <w:tcBorders>
              <w:top w:val="single" w:sz="4" w:space="0" w:color="auto"/>
              <w:left w:val="single" w:sz="4" w:space="0" w:color="auto"/>
              <w:bottom w:val="single" w:sz="4" w:space="0" w:color="auto"/>
              <w:right w:val="single" w:sz="4" w:space="0" w:color="auto"/>
            </w:tcBorders>
            <w:vAlign w:val="center"/>
            <w:hideMark/>
          </w:tcPr>
          <w:p w14:paraId="7B76A135" w14:textId="77777777" w:rsidR="002F590A" w:rsidRDefault="002F590A">
            <w:pPr>
              <w:jc w:val="center"/>
              <w:rPr>
                <w:sz w:val="12"/>
                <w:szCs w:val="12"/>
              </w:rPr>
            </w:pPr>
            <w:r>
              <w:rPr>
                <w:sz w:val="12"/>
                <w:szCs w:val="12"/>
              </w:rPr>
              <w:t> </w:t>
            </w:r>
          </w:p>
        </w:tc>
        <w:tc>
          <w:tcPr>
            <w:tcW w:w="131" w:type="pct"/>
            <w:tcBorders>
              <w:top w:val="single" w:sz="4" w:space="0" w:color="auto"/>
              <w:left w:val="single" w:sz="4" w:space="0" w:color="auto"/>
              <w:bottom w:val="single" w:sz="4" w:space="0" w:color="auto"/>
              <w:right w:val="single" w:sz="4" w:space="0" w:color="auto"/>
            </w:tcBorders>
            <w:vAlign w:val="center"/>
          </w:tcPr>
          <w:p w14:paraId="11136086" w14:textId="77777777" w:rsidR="002F590A" w:rsidRDefault="002F590A">
            <w:pPr>
              <w:jc w:val="center"/>
              <w:rPr>
                <w:sz w:val="12"/>
                <w:szCs w:val="12"/>
              </w:rPr>
            </w:pPr>
          </w:p>
        </w:tc>
        <w:tc>
          <w:tcPr>
            <w:tcW w:w="133" w:type="pct"/>
            <w:tcBorders>
              <w:top w:val="single" w:sz="4" w:space="0" w:color="auto"/>
              <w:left w:val="single" w:sz="4" w:space="0" w:color="auto"/>
              <w:bottom w:val="single" w:sz="4" w:space="0" w:color="auto"/>
              <w:right w:val="single" w:sz="4" w:space="0" w:color="auto"/>
            </w:tcBorders>
            <w:vAlign w:val="center"/>
          </w:tcPr>
          <w:p w14:paraId="2F6AA84E" w14:textId="77777777" w:rsidR="002F590A" w:rsidRDefault="002F590A">
            <w:pPr>
              <w:jc w:val="center"/>
              <w:rPr>
                <w:sz w:val="12"/>
                <w:szCs w:val="12"/>
              </w:rPr>
            </w:pPr>
          </w:p>
        </w:tc>
        <w:tc>
          <w:tcPr>
            <w:tcW w:w="198" w:type="pct"/>
            <w:tcBorders>
              <w:top w:val="single" w:sz="4" w:space="0" w:color="auto"/>
              <w:left w:val="single" w:sz="4" w:space="0" w:color="auto"/>
              <w:bottom w:val="single" w:sz="4" w:space="0" w:color="auto"/>
              <w:right w:val="single" w:sz="4" w:space="0" w:color="auto"/>
            </w:tcBorders>
            <w:vAlign w:val="center"/>
          </w:tcPr>
          <w:p w14:paraId="29C797F2" w14:textId="77777777" w:rsidR="002F590A" w:rsidRDefault="002F590A">
            <w:pPr>
              <w:jc w:val="center"/>
              <w:rPr>
                <w:color w:val="000000"/>
                <w:sz w:val="12"/>
                <w:szCs w:val="12"/>
              </w:rPr>
            </w:pPr>
          </w:p>
        </w:tc>
        <w:tc>
          <w:tcPr>
            <w:tcW w:w="178" w:type="pct"/>
            <w:tcBorders>
              <w:top w:val="single" w:sz="4" w:space="0" w:color="auto"/>
              <w:left w:val="single" w:sz="4" w:space="0" w:color="auto"/>
              <w:bottom w:val="single" w:sz="4" w:space="0" w:color="auto"/>
              <w:right w:val="single" w:sz="4" w:space="0" w:color="auto"/>
            </w:tcBorders>
            <w:vAlign w:val="center"/>
          </w:tcPr>
          <w:p w14:paraId="691CF00F" w14:textId="77777777" w:rsidR="002F590A" w:rsidRDefault="002F590A">
            <w:pPr>
              <w:jc w:val="center"/>
              <w:rPr>
                <w:color w:val="000000"/>
                <w:sz w:val="12"/>
                <w:szCs w:val="12"/>
              </w:rPr>
            </w:pPr>
          </w:p>
        </w:tc>
        <w:tc>
          <w:tcPr>
            <w:tcW w:w="218" w:type="pct"/>
            <w:tcBorders>
              <w:top w:val="single" w:sz="4" w:space="0" w:color="auto"/>
              <w:left w:val="single" w:sz="4" w:space="0" w:color="auto"/>
              <w:bottom w:val="single" w:sz="4" w:space="0" w:color="auto"/>
              <w:right w:val="single" w:sz="4" w:space="0" w:color="auto"/>
            </w:tcBorders>
            <w:vAlign w:val="center"/>
          </w:tcPr>
          <w:p w14:paraId="163264CA" w14:textId="77777777" w:rsidR="002F590A" w:rsidRDefault="002F590A">
            <w:pPr>
              <w:jc w:val="center"/>
              <w:rPr>
                <w:sz w:val="12"/>
                <w:szCs w:val="12"/>
              </w:rPr>
            </w:pPr>
          </w:p>
        </w:tc>
        <w:tc>
          <w:tcPr>
            <w:tcW w:w="220" w:type="pct"/>
            <w:tcBorders>
              <w:top w:val="single" w:sz="4" w:space="0" w:color="auto"/>
              <w:left w:val="single" w:sz="4" w:space="0" w:color="auto"/>
              <w:bottom w:val="single" w:sz="4" w:space="0" w:color="auto"/>
              <w:right w:val="single" w:sz="4" w:space="0" w:color="auto"/>
            </w:tcBorders>
            <w:vAlign w:val="center"/>
          </w:tcPr>
          <w:p w14:paraId="26515E18" w14:textId="77777777" w:rsidR="002F590A" w:rsidRDefault="002F590A">
            <w:pPr>
              <w:jc w:val="center"/>
              <w:rPr>
                <w:sz w:val="12"/>
                <w:szCs w:val="12"/>
              </w:rPr>
            </w:pPr>
          </w:p>
        </w:tc>
        <w:tc>
          <w:tcPr>
            <w:tcW w:w="214" w:type="pct"/>
            <w:tcBorders>
              <w:top w:val="single" w:sz="4" w:space="0" w:color="auto"/>
              <w:left w:val="single" w:sz="4" w:space="0" w:color="auto"/>
              <w:bottom w:val="single" w:sz="4" w:space="0" w:color="auto"/>
              <w:right w:val="single" w:sz="4" w:space="0" w:color="auto"/>
            </w:tcBorders>
            <w:vAlign w:val="center"/>
          </w:tcPr>
          <w:p w14:paraId="1A9387DA" w14:textId="77777777" w:rsidR="002F590A" w:rsidRDefault="002F590A">
            <w:pPr>
              <w:jc w:val="center"/>
              <w:rPr>
                <w:sz w:val="12"/>
                <w:szCs w:val="12"/>
              </w:rPr>
            </w:pPr>
          </w:p>
        </w:tc>
        <w:tc>
          <w:tcPr>
            <w:tcW w:w="179" w:type="pct"/>
            <w:tcBorders>
              <w:top w:val="single" w:sz="4" w:space="0" w:color="auto"/>
              <w:left w:val="single" w:sz="4" w:space="0" w:color="auto"/>
              <w:bottom w:val="single" w:sz="4" w:space="0" w:color="auto"/>
              <w:right w:val="single" w:sz="4" w:space="0" w:color="auto"/>
            </w:tcBorders>
            <w:vAlign w:val="center"/>
          </w:tcPr>
          <w:p w14:paraId="28CF7476" w14:textId="77777777" w:rsidR="002F590A" w:rsidRDefault="002F590A">
            <w:pPr>
              <w:jc w:val="center"/>
              <w:rPr>
                <w:sz w:val="12"/>
                <w:szCs w:val="12"/>
              </w:rPr>
            </w:pPr>
          </w:p>
        </w:tc>
        <w:tc>
          <w:tcPr>
            <w:tcW w:w="171" w:type="pct"/>
            <w:tcBorders>
              <w:top w:val="single" w:sz="4" w:space="0" w:color="auto"/>
              <w:left w:val="single" w:sz="4" w:space="0" w:color="auto"/>
              <w:bottom w:val="single" w:sz="4" w:space="0" w:color="auto"/>
              <w:right w:val="single" w:sz="4" w:space="0" w:color="auto"/>
            </w:tcBorders>
            <w:vAlign w:val="center"/>
          </w:tcPr>
          <w:p w14:paraId="39B3AA89" w14:textId="77777777" w:rsidR="002F590A" w:rsidRDefault="002F590A">
            <w:pPr>
              <w:jc w:val="center"/>
              <w:rPr>
                <w:sz w:val="12"/>
                <w:szCs w:val="12"/>
              </w:rPr>
            </w:pPr>
          </w:p>
        </w:tc>
        <w:tc>
          <w:tcPr>
            <w:tcW w:w="173" w:type="pct"/>
            <w:tcBorders>
              <w:top w:val="single" w:sz="4" w:space="0" w:color="auto"/>
              <w:left w:val="single" w:sz="4" w:space="0" w:color="auto"/>
              <w:bottom w:val="single" w:sz="4" w:space="0" w:color="auto"/>
              <w:right w:val="single" w:sz="4" w:space="0" w:color="auto"/>
            </w:tcBorders>
            <w:vAlign w:val="center"/>
          </w:tcPr>
          <w:p w14:paraId="3CA2112D" w14:textId="77777777" w:rsidR="002F590A" w:rsidRDefault="002F590A">
            <w:pPr>
              <w:jc w:val="center"/>
              <w:rPr>
                <w:sz w:val="12"/>
                <w:szCs w:val="12"/>
              </w:rPr>
            </w:pPr>
          </w:p>
        </w:tc>
        <w:tc>
          <w:tcPr>
            <w:tcW w:w="177" w:type="pct"/>
            <w:tcBorders>
              <w:top w:val="single" w:sz="4" w:space="0" w:color="auto"/>
              <w:left w:val="single" w:sz="4" w:space="0" w:color="auto"/>
              <w:bottom w:val="single" w:sz="4" w:space="0" w:color="auto"/>
              <w:right w:val="single" w:sz="4" w:space="0" w:color="auto"/>
            </w:tcBorders>
            <w:vAlign w:val="center"/>
          </w:tcPr>
          <w:p w14:paraId="3079C929" w14:textId="77777777" w:rsidR="002F590A" w:rsidRDefault="002F590A">
            <w:pPr>
              <w:jc w:val="center"/>
              <w:rPr>
                <w:sz w:val="12"/>
                <w:szCs w:val="12"/>
              </w:rPr>
            </w:pPr>
          </w:p>
        </w:tc>
        <w:tc>
          <w:tcPr>
            <w:tcW w:w="173" w:type="pct"/>
            <w:tcBorders>
              <w:top w:val="single" w:sz="4" w:space="0" w:color="auto"/>
              <w:left w:val="single" w:sz="4" w:space="0" w:color="auto"/>
              <w:bottom w:val="single" w:sz="4" w:space="0" w:color="auto"/>
              <w:right w:val="single" w:sz="4" w:space="0" w:color="auto"/>
            </w:tcBorders>
            <w:vAlign w:val="center"/>
          </w:tcPr>
          <w:p w14:paraId="4B26ED41" w14:textId="77777777" w:rsidR="002F590A" w:rsidRDefault="002F590A">
            <w:pPr>
              <w:jc w:val="center"/>
              <w:rPr>
                <w:sz w:val="12"/>
                <w:szCs w:val="12"/>
              </w:rPr>
            </w:pPr>
          </w:p>
        </w:tc>
        <w:tc>
          <w:tcPr>
            <w:tcW w:w="173" w:type="pct"/>
            <w:tcBorders>
              <w:top w:val="single" w:sz="4" w:space="0" w:color="auto"/>
              <w:left w:val="single" w:sz="4" w:space="0" w:color="auto"/>
              <w:bottom w:val="single" w:sz="4" w:space="0" w:color="auto"/>
              <w:right w:val="single" w:sz="4" w:space="0" w:color="auto"/>
            </w:tcBorders>
            <w:vAlign w:val="center"/>
          </w:tcPr>
          <w:p w14:paraId="2F68BBC5" w14:textId="77777777" w:rsidR="002F590A" w:rsidRDefault="002F590A">
            <w:pPr>
              <w:jc w:val="center"/>
              <w:rPr>
                <w:sz w:val="12"/>
                <w:szCs w:val="12"/>
              </w:rPr>
            </w:pPr>
          </w:p>
        </w:tc>
        <w:tc>
          <w:tcPr>
            <w:tcW w:w="177" w:type="pct"/>
            <w:tcBorders>
              <w:top w:val="single" w:sz="4" w:space="0" w:color="auto"/>
              <w:left w:val="single" w:sz="4" w:space="0" w:color="auto"/>
              <w:bottom w:val="single" w:sz="4" w:space="0" w:color="auto"/>
              <w:right w:val="single" w:sz="4" w:space="0" w:color="auto"/>
            </w:tcBorders>
            <w:vAlign w:val="center"/>
          </w:tcPr>
          <w:p w14:paraId="5FF83048" w14:textId="77777777" w:rsidR="002F590A" w:rsidRDefault="002F590A">
            <w:pPr>
              <w:jc w:val="center"/>
              <w:rPr>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4F613171" w14:textId="77777777" w:rsidR="002F590A" w:rsidRDefault="002F590A">
            <w:pPr>
              <w:jc w:val="center"/>
              <w:rPr>
                <w:color w:val="000000"/>
                <w:sz w:val="12"/>
                <w:szCs w:val="12"/>
              </w:rPr>
            </w:pPr>
          </w:p>
        </w:tc>
        <w:tc>
          <w:tcPr>
            <w:tcW w:w="128" w:type="pct"/>
            <w:tcBorders>
              <w:top w:val="single" w:sz="4" w:space="0" w:color="auto"/>
              <w:left w:val="single" w:sz="4" w:space="0" w:color="auto"/>
              <w:bottom w:val="single" w:sz="4" w:space="0" w:color="auto"/>
              <w:right w:val="single" w:sz="4" w:space="0" w:color="auto"/>
            </w:tcBorders>
            <w:vAlign w:val="center"/>
          </w:tcPr>
          <w:p w14:paraId="5EB29C7B" w14:textId="77777777" w:rsidR="002F590A" w:rsidRDefault="002F590A">
            <w:pPr>
              <w:jc w:val="center"/>
              <w:rPr>
                <w:color w:val="000000"/>
                <w:sz w:val="12"/>
                <w:szCs w:val="12"/>
              </w:rPr>
            </w:pPr>
          </w:p>
        </w:tc>
      </w:tr>
      <w:tr w:rsidR="002F590A" w14:paraId="47BA5460" w14:textId="77777777" w:rsidTr="002F590A">
        <w:trPr>
          <w:trHeight w:val="897"/>
        </w:trPr>
        <w:tc>
          <w:tcPr>
            <w:tcW w:w="175" w:type="pct"/>
            <w:tcBorders>
              <w:top w:val="single" w:sz="4" w:space="0" w:color="auto"/>
              <w:left w:val="single" w:sz="4" w:space="0" w:color="auto"/>
              <w:bottom w:val="single" w:sz="4" w:space="0" w:color="auto"/>
              <w:right w:val="single" w:sz="4" w:space="0" w:color="auto"/>
            </w:tcBorders>
            <w:vAlign w:val="center"/>
            <w:hideMark/>
          </w:tcPr>
          <w:p w14:paraId="3A05F745" w14:textId="77777777" w:rsidR="002F590A" w:rsidRDefault="002F590A">
            <w:pPr>
              <w:jc w:val="center"/>
              <w:rPr>
                <w:sz w:val="12"/>
                <w:szCs w:val="12"/>
              </w:rPr>
            </w:pPr>
            <w:r>
              <w:rPr>
                <w:sz w:val="12"/>
                <w:szCs w:val="12"/>
              </w:rPr>
              <w:t>3.2.11.1</w:t>
            </w:r>
          </w:p>
        </w:tc>
        <w:tc>
          <w:tcPr>
            <w:tcW w:w="262" w:type="pct"/>
            <w:tcBorders>
              <w:top w:val="single" w:sz="4" w:space="0" w:color="auto"/>
              <w:left w:val="single" w:sz="4" w:space="0" w:color="auto"/>
              <w:bottom w:val="single" w:sz="4" w:space="0" w:color="auto"/>
              <w:right w:val="single" w:sz="4" w:space="0" w:color="auto"/>
            </w:tcBorders>
            <w:vAlign w:val="center"/>
            <w:hideMark/>
          </w:tcPr>
          <w:p w14:paraId="11EBDAE6" w14:textId="77777777" w:rsidR="002F590A" w:rsidRDefault="002F590A">
            <w:pPr>
              <w:rPr>
                <w:color w:val="000000"/>
                <w:sz w:val="12"/>
                <w:szCs w:val="12"/>
              </w:rPr>
            </w:pPr>
            <w:r>
              <w:rPr>
                <w:color w:val="000000"/>
                <w:sz w:val="12"/>
                <w:szCs w:val="12"/>
              </w:rPr>
              <w:t xml:space="preserve">Реконструкция с монтажом установки </w:t>
            </w:r>
            <w:proofErr w:type="gramStart"/>
            <w:r>
              <w:rPr>
                <w:color w:val="000000"/>
                <w:sz w:val="12"/>
                <w:szCs w:val="12"/>
              </w:rPr>
              <w:t>автоматичес-кой</w:t>
            </w:r>
            <w:proofErr w:type="gramEnd"/>
            <w:r>
              <w:rPr>
                <w:color w:val="000000"/>
                <w:sz w:val="12"/>
                <w:szCs w:val="12"/>
              </w:rPr>
              <w:t xml:space="preserve"> химводоподго-товки</w:t>
            </w:r>
          </w:p>
        </w:tc>
        <w:tc>
          <w:tcPr>
            <w:tcW w:w="351" w:type="pct"/>
            <w:tcBorders>
              <w:top w:val="single" w:sz="4" w:space="0" w:color="auto"/>
              <w:left w:val="single" w:sz="4" w:space="0" w:color="auto"/>
              <w:bottom w:val="single" w:sz="4" w:space="0" w:color="auto"/>
              <w:right w:val="single" w:sz="4" w:space="0" w:color="auto"/>
            </w:tcBorders>
            <w:vAlign w:val="center"/>
            <w:hideMark/>
          </w:tcPr>
          <w:p w14:paraId="20397250" w14:textId="77777777" w:rsidR="002F590A" w:rsidRDefault="002F590A">
            <w:pPr>
              <w:jc w:val="center"/>
              <w:rPr>
                <w:sz w:val="12"/>
                <w:szCs w:val="12"/>
              </w:rPr>
            </w:pPr>
            <w:r>
              <w:rPr>
                <w:sz w:val="12"/>
                <w:szCs w:val="12"/>
              </w:rPr>
              <w:t>Повышение надежности (бесперебойности) услуг теплоснабжения, повышение энергетической эффективности</w:t>
            </w:r>
          </w:p>
        </w:tc>
        <w:tc>
          <w:tcPr>
            <w:tcW w:w="259" w:type="pct"/>
            <w:tcBorders>
              <w:top w:val="single" w:sz="4" w:space="0" w:color="auto"/>
              <w:left w:val="single" w:sz="4" w:space="0" w:color="auto"/>
              <w:bottom w:val="single" w:sz="4" w:space="0" w:color="auto"/>
              <w:right w:val="single" w:sz="4" w:space="0" w:color="auto"/>
            </w:tcBorders>
            <w:vAlign w:val="center"/>
            <w:hideMark/>
          </w:tcPr>
          <w:p w14:paraId="56E328D9" w14:textId="77777777" w:rsidR="002F590A" w:rsidRDefault="002F590A">
            <w:pPr>
              <w:jc w:val="center"/>
              <w:rPr>
                <w:color w:val="000000"/>
                <w:sz w:val="12"/>
                <w:szCs w:val="12"/>
              </w:rPr>
            </w:pPr>
            <w:r>
              <w:rPr>
                <w:color w:val="000000"/>
                <w:sz w:val="12"/>
                <w:szCs w:val="12"/>
              </w:rPr>
              <w:t> </w:t>
            </w:r>
          </w:p>
        </w:tc>
        <w:tc>
          <w:tcPr>
            <w:tcW w:w="298" w:type="pct"/>
            <w:tcBorders>
              <w:top w:val="single" w:sz="4" w:space="0" w:color="auto"/>
              <w:left w:val="single" w:sz="4" w:space="0" w:color="auto"/>
              <w:bottom w:val="single" w:sz="4" w:space="0" w:color="auto"/>
              <w:right w:val="single" w:sz="4" w:space="0" w:color="auto"/>
            </w:tcBorders>
            <w:vAlign w:val="center"/>
            <w:hideMark/>
          </w:tcPr>
          <w:p w14:paraId="63A2F91A" w14:textId="77777777" w:rsidR="002F590A" w:rsidRDefault="002F590A">
            <w:pPr>
              <w:jc w:val="center"/>
              <w:rPr>
                <w:sz w:val="12"/>
                <w:szCs w:val="12"/>
              </w:rPr>
            </w:pPr>
            <w:r>
              <w:rPr>
                <w:color w:val="000000"/>
                <w:sz w:val="12"/>
                <w:szCs w:val="12"/>
              </w:rPr>
              <w:t>Технические характеристики</w:t>
            </w:r>
          </w:p>
        </w:tc>
        <w:tc>
          <w:tcPr>
            <w:tcW w:w="130" w:type="pct"/>
            <w:tcBorders>
              <w:top w:val="single" w:sz="4" w:space="0" w:color="auto"/>
              <w:left w:val="single" w:sz="4" w:space="0" w:color="auto"/>
              <w:bottom w:val="single" w:sz="4" w:space="0" w:color="auto"/>
              <w:right w:val="single" w:sz="4" w:space="0" w:color="auto"/>
            </w:tcBorders>
            <w:vAlign w:val="center"/>
          </w:tcPr>
          <w:p w14:paraId="7E3B4657" w14:textId="77777777" w:rsidR="002F590A" w:rsidRDefault="002F590A">
            <w:pPr>
              <w:jc w:val="center"/>
              <w:rPr>
                <w:sz w:val="12"/>
                <w:szCs w:val="12"/>
              </w:rPr>
            </w:pPr>
          </w:p>
        </w:tc>
        <w:tc>
          <w:tcPr>
            <w:tcW w:w="359" w:type="pct"/>
            <w:tcBorders>
              <w:top w:val="single" w:sz="4" w:space="0" w:color="auto"/>
              <w:left w:val="single" w:sz="4" w:space="0" w:color="auto"/>
              <w:bottom w:val="single" w:sz="4" w:space="0" w:color="auto"/>
              <w:right w:val="single" w:sz="4" w:space="0" w:color="auto"/>
            </w:tcBorders>
            <w:vAlign w:val="center"/>
            <w:hideMark/>
          </w:tcPr>
          <w:p w14:paraId="43066706" w14:textId="77777777" w:rsidR="002F590A" w:rsidRDefault="002F590A">
            <w:pPr>
              <w:jc w:val="center"/>
              <w:rPr>
                <w:color w:val="000000"/>
                <w:sz w:val="12"/>
                <w:szCs w:val="12"/>
              </w:rPr>
            </w:pPr>
            <w:r>
              <w:rPr>
                <w:color w:val="000000"/>
                <w:sz w:val="12"/>
                <w:szCs w:val="12"/>
              </w:rPr>
              <w:t xml:space="preserve">Отсутствует система умягчения холодной воды </w:t>
            </w:r>
          </w:p>
        </w:tc>
        <w:tc>
          <w:tcPr>
            <w:tcW w:w="349" w:type="pct"/>
            <w:tcBorders>
              <w:top w:val="single" w:sz="4" w:space="0" w:color="auto"/>
              <w:left w:val="single" w:sz="4" w:space="0" w:color="auto"/>
              <w:bottom w:val="single" w:sz="4" w:space="0" w:color="auto"/>
              <w:right w:val="single" w:sz="4" w:space="0" w:color="auto"/>
            </w:tcBorders>
            <w:vAlign w:val="center"/>
          </w:tcPr>
          <w:p w14:paraId="67AB2EEA" w14:textId="77777777" w:rsidR="002F590A" w:rsidRDefault="002F590A">
            <w:pPr>
              <w:jc w:val="center"/>
              <w:rPr>
                <w:sz w:val="12"/>
                <w:szCs w:val="12"/>
              </w:rPr>
            </w:pPr>
            <w:r>
              <w:rPr>
                <w:sz w:val="12"/>
                <w:szCs w:val="12"/>
              </w:rPr>
              <w:t>Оборудование позволит снизить жесткость воды (убрать излишек магния и кальция), исключает образование отложений солей жесткости на внутренних поверхностях труб, котлов и др. теплового оборудования, что увеличит срок службы, снизит расход топлива, исключаются затраты на замену котлов и другого тепломеханического оборудования.</w:t>
            </w:r>
          </w:p>
          <w:p w14:paraId="2D33A9C4" w14:textId="77777777" w:rsidR="002F590A" w:rsidRDefault="002F590A">
            <w:pPr>
              <w:jc w:val="center"/>
              <w:rPr>
                <w:sz w:val="12"/>
                <w:szCs w:val="12"/>
              </w:rPr>
            </w:pPr>
          </w:p>
          <w:p w14:paraId="3204871E" w14:textId="77777777" w:rsidR="002F590A" w:rsidRDefault="002F590A">
            <w:pPr>
              <w:jc w:val="center"/>
              <w:rPr>
                <w:sz w:val="12"/>
                <w:szCs w:val="12"/>
              </w:rPr>
            </w:pPr>
          </w:p>
          <w:p w14:paraId="72C0453D" w14:textId="77777777" w:rsidR="002F590A" w:rsidRDefault="002F590A">
            <w:pPr>
              <w:jc w:val="center"/>
              <w:rPr>
                <w:sz w:val="12"/>
                <w:szCs w:val="12"/>
              </w:rPr>
            </w:pPr>
            <w:r>
              <w:rPr>
                <w:sz w:val="12"/>
                <w:szCs w:val="12"/>
              </w:rPr>
              <w:t xml:space="preserve"> </w:t>
            </w:r>
          </w:p>
        </w:tc>
        <w:tc>
          <w:tcPr>
            <w:tcW w:w="131" w:type="pct"/>
            <w:tcBorders>
              <w:top w:val="single" w:sz="4" w:space="0" w:color="auto"/>
              <w:left w:val="single" w:sz="4" w:space="0" w:color="auto"/>
              <w:bottom w:val="single" w:sz="4" w:space="0" w:color="auto"/>
              <w:right w:val="single" w:sz="4" w:space="0" w:color="auto"/>
            </w:tcBorders>
            <w:vAlign w:val="center"/>
            <w:hideMark/>
          </w:tcPr>
          <w:p w14:paraId="552D2FF7" w14:textId="77777777" w:rsidR="002F590A" w:rsidRDefault="002F590A">
            <w:pPr>
              <w:jc w:val="center"/>
              <w:rPr>
                <w:sz w:val="12"/>
                <w:szCs w:val="12"/>
              </w:rPr>
            </w:pPr>
            <w:r>
              <w:rPr>
                <w:sz w:val="12"/>
                <w:szCs w:val="12"/>
              </w:rPr>
              <w:t>2025</w:t>
            </w:r>
          </w:p>
        </w:tc>
        <w:tc>
          <w:tcPr>
            <w:tcW w:w="133" w:type="pct"/>
            <w:tcBorders>
              <w:top w:val="single" w:sz="4" w:space="0" w:color="auto"/>
              <w:left w:val="single" w:sz="4" w:space="0" w:color="auto"/>
              <w:bottom w:val="single" w:sz="4" w:space="0" w:color="auto"/>
              <w:right w:val="single" w:sz="4" w:space="0" w:color="auto"/>
            </w:tcBorders>
            <w:vAlign w:val="center"/>
            <w:hideMark/>
          </w:tcPr>
          <w:p w14:paraId="41960BD8" w14:textId="77777777" w:rsidR="002F590A" w:rsidRDefault="002F590A">
            <w:pPr>
              <w:jc w:val="center"/>
              <w:rPr>
                <w:sz w:val="12"/>
                <w:szCs w:val="12"/>
              </w:rPr>
            </w:pPr>
            <w:r>
              <w:rPr>
                <w:sz w:val="12"/>
                <w:szCs w:val="12"/>
              </w:rPr>
              <w:t>2025</w:t>
            </w:r>
          </w:p>
        </w:tc>
        <w:tc>
          <w:tcPr>
            <w:tcW w:w="198" w:type="pct"/>
            <w:tcBorders>
              <w:top w:val="single" w:sz="4" w:space="0" w:color="auto"/>
              <w:left w:val="single" w:sz="4" w:space="0" w:color="auto"/>
              <w:bottom w:val="single" w:sz="4" w:space="0" w:color="auto"/>
              <w:right w:val="single" w:sz="4" w:space="0" w:color="auto"/>
            </w:tcBorders>
            <w:vAlign w:val="center"/>
            <w:hideMark/>
          </w:tcPr>
          <w:p w14:paraId="345133A3" w14:textId="77777777" w:rsidR="002F590A" w:rsidRDefault="002F590A">
            <w:pPr>
              <w:jc w:val="center"/>
              <w:rPr>
                <w:color w:val="000000"/>
                <w:sz w:val="12"/>
                <w:szCs w:val="12"/>
              </w:rPr>
            </w:pPr>
            <w:r>
              <w:rPr>
                <w:color w:val="000000"/>
                <w:sz w:val="12"/>
                <w:szCs w:val="12"/>
              </w:rPr>
              <w:t>112,94</w:t>
            </w:r>
          </w:p>
        </w:tc>
        <w:tc>
          <w:tcPr>
            <w:tcW w:w="178" w:type="pct"/>
            <w:tcBorders>
              <w:top w:val="single" w:sz="4" w:space="0" w:color="auto"/>
              <w:left w:val="single" w:sz="4" w:space="0" w:color="auto"/>
              <w:bottom w:val="single" w:sz="4" w:space="0" w:color="auto"/>
              <w:right w:val="single" w:sz="4" w:space="0" w:color="auto"/>
            </w:tcBorders>
            <w:vAlign w:val="center"/>
            <w:hideMark/>
          </w:tcPr>
          <w:p w14:paraId="2A36C9B6" w14:textId="77777777" w:rsidR="002F590A" w:rsidRDefault="002F590A">
            <w:pPr>
              <w:jc w:val="center"/>
              <w:rPr>
                <w:color w:val="000000"/>
                <w:sz w:val="12"/>
                <w:szCs w:val="12"/>
              </w:rPr>
            </w:pPr>
            <w:r>
              <w:rPr>
                <w:color w:val="000000"/>
                <w:sz w:val="12"/>
                <w:szCs w:val="12"/>
              </w:rPr>
              <w:t>0,00</w:t>
            </w:r>
          </w:p>
        </w:tc>
        <w:tc>
          <w:tcPr>
            <w:tcW w:w="218" w:type="pct"/>
            <w:tcBorders>
              <w:top w:val="single" w:sz="4" w:space="0" w:color="auto"/>
              <w:left w:val="single" w:sz="4" w:space="0" w:color="auto"/>
              <w:bottom w:val="single" w:sz="4" w:space="0" w:color="auto"/>
              <w:right w:val="single" w:sz="4" w:space="0" w:color="auto"/>
            </w:tcBorders>
            <w:vAlign w:val="center"/>
            <w:hideMark/>
          </w:tcPr>
          <w:p w14:paraId="12E50843" w14:textId="77777777" w:rsidR="002F590A" w:rsidRDefault="002F590A">
            <w:pPr>
              <w:jc w:val="center"/>
              <w:rPr>
                <w:sz w:val="12"/>
                <w:szCs w:val="12"/>
              </w:rPr>
            </w:pPr>
            <w:r>
              <w:rPr>
                <w:sz w:val="12"/>
                <w:szCs w:val="12"/>
              </w:rPr>
              <w:t>0,00</w:t>
            </w:r>
          </w:p>
        </w:tc>
        <w:tc>
          <w:tcPr>
            <w:tcW w:w="220" w:type="pct"/>
            <w:tcBorders>
              <w:top w:val="single" w:sz="4" w:space="0" w:color="auto"/>
              <w:left w:val="single" w:sz="4" w:space="0" w:color="auto"/>
              <w:bottom w:val="single" w:sz="4" w:space="0" w:color="auto"/>
              <w:right w:val="single" w:sz="4" w:space="0" w:color="auto"/>
            </w:tcBorders>
            <w:vAlign w:val="center"/>
            <w:hideMark/>
          </w:tcPr>
          <w:p w14:paraId="777AAE34" w14:textId="77777777" w:rsidR="002F590A" w:rsidRDefault="002F590A">
            <w:pPr>
              <w:jc w:val="center"/>
              <w:rPr>
                <w:sz w:val="12"/>
                <w:szCs w:val="12"/>
              </w:rPr>
            </w:pPr>
            <w:r>
              <w:rPr>
                <w:sz w:val="12"/>
                <w:szCs w:val="12"/>
              </w:rPr>
              <w:t>0,00</w:t>
            </w:r>
          </w:p>
        </w:tc>
        <w:tc>
          <w:tcPr>
            <w:tcW w:w="214" w:type="pct"/>
            <w:tcBorders>
              <w:top w:val="single" w:sz="4" w:space="0" w:color="auto"/>
              <w:left w:val="single" w:sz="4" w:space="0" w:color="auto"/>
              <w:bottom w:val="single" w:sz="4" w:space="0" w:color="auto"/>
              <w:right w:val="single" w:sz="4" w:space="0" w:color="auto"/>
            </w:tcBorders>
            <w:vAlign w:val="center"/>
            <w:hideMark/>
          </w:tcPr>
          <w:p w14:paraId="387A061D" w14:textId="77777777" w:rsidR="002F590A" w:rsidRDefault="002F590A">
            <w:pPr>
              <w:jc w:val="center"/>
              <w:rPr>
                <w:sz w:val="12"/>
                <w:szCs w:val="12"/>
              </w:rPr>
            </w:pPr>
            <w:r>
              <w:rPr>
                <w:sz w:val="12"/>
                <w:szCs w:val="12"/>
              </w:rPr>
              <w:t>0,00</w:t>
            </w:r>
          </w:p>
        </w:tc>
        <w:tc>
          <w:tcPr>
            <w:tcW w:w="179" w:type="pct"/>
            <w:tcBorders>
              <w:top w:val="single" w:sz="4" w:space="0" w:color="auto"/>
              <w:left w:val="single" w:sz="4" w:space="0" w:color="auto"/>
              <w:bottom w:val="single" w:sz="4" w:space="0" w:color="auto"/>
              <w:right w:val="single" w:sz="4" w:space="0" w:color="auto"/>
            </w:tcBorders>
            <w:vAlign w:val="center"/>
            <w:hideMark/>
          </w:tcPr>
          <w:p w14:paraId="3C495EE0" w14:textId="77777777" w:rsidR="002F590A" w:rsidRDefault="002F590A">
            <w:pPr>
              <w:jc w:val="center"/>
              <w:rPr>
                <w:sz w:val="12"/>
                <w:szCs w:val="12"/>
              </w:rPr>
            </w:pPr>
            <w:r>
              <w:rPr>
                <w:sz w:val="12"/>
                <w:szCs w:val="12"/>
              </w:rPr>
              <w:t>112,94</w:t>
            </w:r>
          </w:p>
        </w:tc>
        <w:tc>
          <w:tcPr>
            <w:tcW w:w="171" w:type="pct"/>
            <w:tcBorders>
              <w:top w:val="single" w:sz="4" w:space="0" w:color="auto"/>
              <w:left w:val="single" w:sz="4" w:space="0" w:color="auto"/>
              <w:bottom w:val="single" w:sz="4" w:space="0" w:color="auto"/>
              <w:right w:val="single" w:sz="4" w:space="0" w:color="auto"/>
            </w:tcBorders>
            <w:vAlign w:val="center"/>
            <w:hideMark/>
          </w:tcPr>
          <w:p w14:paraId="65C99722"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01B7D271" w14:textId="77777777" w:rsidR="002F590A" w:rsidRDefault="002F590A">
            <w:pPr>
              <w:jc w:val="center"/>
              <w:rPr>
                <w:sz w:val="12"/>
                <w:szCs w:val="12"/>
              </w:rPr>
            </w:pPr>
            <w:r>
              <w:rPr>
                <w:sz w:val="12"/>
                <w:szCs w:val="12"/>
              </w:rPr>
              <w:t>0,00</w:t>
            </w:r>
          </w:p>
        </w:tc>
        <w:tc>
          <w:tcPr>
            <w:tcW w:w="177" w:type="pct"/>
            <w:tcBorders>
              <w:top w:val="single" w:sz="4" w:space="0" w:color="auto"/>
              <w:left w:val="single" w:sz="4" w:space="0" w:color="auto"/>
              <w:bottom w:val="single" w:sz="4" w:space="0" w:color="auto"/>
              <w:right w:val="single" w:sz="4" w:space="0" w:color="auto"/>
            </w:tcBorders>
            <w:vAlign w:val="center"/>
            <w:hideMark/>
          </w:tcPr>
          <w:p w14:paraId="0410D96C"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1571C9B3"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49538ABF" w14:textId="77777777" w:rsidR="002F590A" w:rsidRDefault="002F590A">
            <w:pPr>
              <w:jc w:val="center"/>
              <w:rPr>
                <w:sz w:val="12"/>
                <w:szCs w:val="12"/>
              </w:rPr>
            </w:pPr>
            <w:r>
              <w:rPr>
                <w:sz w:val="12"/>
                <w:szCs w:val="12"/>
              </w:rPr>
              <w:t>0,00</w:t>
            </w:r>
          </w:p>
        </w:tc>
        <w:tc>
          <w:tcPr>
            <w:tcW w:w="177" w:type="pct"/>
            <w:tcBorders>
              <w:top w:val="single" w:sz="4" w:space="0" w:color="auto"/>
              <w:left w:val="single" w:sz="4" w:space="0" w:color="auto"/>
              <w:bottom w:val="single" w:sz="4" w:space="0" w:color="auto"/>
              <w:right w:val="single" w:sz="4" w:space="0" w:color="auto"/>
            </w:tcBorders>
            <w:vAlign w:val="center"/>
            <w:hideMark/>
          </w:tcPr>
          <w:p w14:paraId="24FE8ADB"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5421BE09" w14:textId="77777777" w:rsidR="002F590A" w:rsidRDefault="002F590A">
            <w:pPr>
              <w:jc w:val="center"/>
              <w:rPr>
                <w:color w:val="000000"/>
                <w:sz w:val="12"/>
                <w:szCs w:val="12"/>
              </w:rPr>
            </w:pPr>
            <w:r>
              <w:rPr>
                <w:color w:val="000000"/>
                <w:sz w:val="12"/>
                <w:szCs w:val="12"/>
              </w:rPr>
              <w:t>0,00</w:t>
            </w:r>
          </w:p>
        </w:tc>
        <w:tc>
          <w:tcPr>
            <w:tcW w:w="128" w:type="pct"/>
            <w:tcBorders>
              <w:top w:val="single" w:sz="4" w:space="0" w:color="auto"/>
              <w:left w:val="single" w:sz="4" w:space="0" w:color="auto"/>
              <w:bottom w:val="single" w:sz="4" w:space="0" w:color="auto"/>
              <w:right w:val="single" w:sz="4" w:space="0" w:color="auto"/>
            </w:tcBorders>
            <w:vAlign w:val="center"/>
            <w:hideMark/>
          </w:tcPr>
          <w:p w14:paraId="2D844E3D" w14:textId="77777777" w:rsidR="002F590A" w:rsidRDefault="002F590A">
            <w:pPr>
              <w:jc w:val="center"/>
              <w:rPr>
                <w:color w:val="000000"/>
                <w:sz w:val="12"/>
                <w:szCs w:val="12"/>
              </w:rPr>
            </w:pPr>
            <w:r>
              <w:rPr>
                <w:color w:val="000000"/>
                <w:sz w:val="12"/>
                <w:szCs w:val="12"/>
              </w:rPr>
              <w:t>0,00</w:t>
            </w:r>
          </w:p>
        </w:tc>
      </w:tr>
      <w:tr w:rsidR="002F590A" w14:paraId="3AD7ABDC" w14:textId="77777777" w:rsidTr="002F590A">
        <w:trPr>
          <w:trHeight w:val="1140"/>
        </w:trPr>
        <w:tc>
          <w:tcPr>
            <w:tcW w:w="175" w:type="pct"/>
            <w:tcBorders>
              <w:top w:val="single" w:sz="4" w:space="0" w:color="auto"/>
              <w:left w:val="single" w:sz="4" w:space="0" w:color="auto"/>
              <w:bottom w:val="single" w:sz="4" w:space="0" w:color="auto"/>
              <w:right w:val="single" w:sz="4" w:space="0" w:color="auto"/>
            </w:tcBorders>
            <w:vAlign w:val="center"/>
            <w:hideMark/>
          </w:tcPr>
          <w:p w14:paraId="5243B506" w14:textId="77777777" w:rsidR="002F590A" w:rsidRDefault="002F590A">
            <w:pPr>
              <w:jc w:val="center"/>
              <w:rPr>
                <w:bCs/>
                <w:sz w:val="12"/>
                <w:szCs w:val="12"/>
              </w:rPr>
            </w:pPr>
            <w:r>
              <w:rPr>
                <w:bCs/>
                <w:sz w:val="12"/>
                <w:szCs w:val="12"/>
              </w:rPr>
              <w:t>3.2.12.</w:t>
            </w:r>
          </w:p>
        </w:tc>
        <w:tc>
          <w:tcPr>
            <w:tcW w:w="262" w:type="pct"/>
            <w:tcBorders>
              <w:top w:val="single" w:sz="4" w:space="0" w:color="auto"/>
              <w:left w:val="single" w:sz="4" w:space="0" w:color="auto"/>
              <w:bottom w:val="single" w:sz="4" w:space="0" w:color="auto"/>
              <w:right w:val="single" w:sz="4" w:space="0" w:color="auto"/>
            </w:tcBorders>
            <w:vAlign w:val="center"/>
            <w:hideMark/>
          </w:tcPr>
          <w:p w14:paraId="0A849255" w14:textId="77777777" w:rsidR="002F590A" w:rsidRDefault="002F590A">
            <w:pPr>
              <w:rPr>
                <w:bCs/>
                <w:color w:val="000000"/>
                <w:sz w:val="12"/>
                <w:szCs w:val="12"/>
              </w:rPr>
            </w:pPr>
            <w:r>
              <w:rPr>
                <w:bCs/>
                <w:color w:val="000000"/>
                <w:sz w:val="12"/>
                <w:szCs w:val="12"/>
              </w:rPr>
              <w:t>Реконструкция котельной №60</w:t>
            </w:r>
          </w:p>
        </w:tc>
        <w:tc>
          <w:tcPr>
            <w:tcW w:w="351" w:type="pct"/>
            <w:tcBorders>
              <w:top w:val="single" w:sz="4" w:space="0" w:color="auto"/>
              <w:left w:val="single" w:sz="4" w:space="0" w:color="auto"/>
              <w:bottom w:val="single" w:sz="4" w:space="0" w:color="auto"/>
              <w:right w:val="single" w:sz="4" w:space="0" w:color="auto"/>
            </w:tcBorders>
            <w:vAlign w:val="center"/>
          </w:tcPr>
          <w:p w14:paraId="1AEE709E" w14:textId="77777777" w:rsidR="002F590A" w:rsidRDefault="002F590A">
            <w:pPr>
              <w:jc w:val="center"/>
              <w:rPr>
                <w:sz w:val="12"/>
                <w:szCs w:val="12"/>
              </w:rPr>
            </w:pPr>
          </w:p>
        </w:tc>
        <w:tc>
          <w:tcPr>
            <w:tcW w:w="259" w:type="pct"/>
            <w:tcBorders>
              <w:top w:val="single" w:sz="4" w:space="0" w:color="auto"/>
              <w:left w:val="single" w:sz="4" w:space="0" w:color="auto"/>
              <w:bottom w:val="single" w:sz="4" w:space="0" w:color="auto"/>
              <w:right w:val="single" w:sz="4" w:space="0" w:color="auto"/>
            </w:tcBorders>
            <w:vAlign w:val="center"/>
            <w:hideMark/>
          </w:tcPr>
          <w:p w14:paraId="4863178B" w14:textId="77777777" w:rsidR="002F590A" w:rsidRDefault="002F590A">
            <w:pPr>
              <w:jc w:val="center"/>
              <w:rPr>
                <w:bCs/>
                <w:sz w:val="12"/>
                <w:szCs w:val="12"/>
              </w:rPr>
            </w:pPr>
            <w:r>
              <w:rPr>
                <w:bCs/>
                <w:sz w:val="12"/>
                <w:szCs w:val="12"/>
              </w:rPr>
              <w:t xml:space="preserve">Кемеровский городской округ, Заводской район, ул. Муромцева, 2б к1, 2в  </w:t>
            </w:r>
          </w:p>
        </w:tc>
        <w:tc>
          <w:tcPr>
            <w:tcW w:w="298" w:type="pct"/>
            <w:tcBorders>
              <w:top w:val="single" w:sz="4" w:space="0" w:color="auto"/>
              <w:left w:val="single" w:sz="4" w:space="0" w:color="auto"/>
              <w:bottom w:val="single" w:sz="4" w:space="0" w:color="auto"/>
              <w:right w:val="single" w:sz="4" w:space="0" w:color="auto"/>
            </w:tcBorders>
            <w:vAlign w:val="center"/>
            <w:hideMark/>
          </w:tcPr>
          <w:p w14:paraId="1C8B078A" w14:textId="77777777" w:rsidR="002F590A" w:rsidRDefault="002F590A">
            <w:pPr>
              <w:jc w:val="center"/>
              <w:rPr>
                <w:sz w:val="12"/>
                <w:szCs w:val="12"/>
              </w:rPr>
            </w:pPr>
            <w:r>
              <w:rPr>
                <w:color w:val="000000"/>
                <w:sz w:val="12"/>
                <w:szCs w:val="12"/>
              </w:rPr>
              <w:t>Технические характеристики</w:t>
            </w:r>
          </w:p>
        </w:tc>
        <w:tc>
          <w:tcPr>
            <w:tcW w:w="130" w:type="pct"/>
            <w:tcBorders>
              <w:top w:val="single" w:sz="4" w:space="0" w:color="auto"/>
              <w:left w:val="single" w:sz="4" w:space="0" w:color="auto"/>
              <w:bottom w:val="single" w:sz="4" w:space="0" w:color="auto"/>
              <w:right w:val="single" w:sz="4" w:space="0" w:color="auto"/>
            </w:tcBorders>
            <w:vAlign w:val="center"/>
          </w:tcPr>
          <w:p w14:paraId="1CACFD05" w14:textId="77777777" w:rsidR="002F590A" w:rsidRDefault="002F590A">
            <w:pPr>
              <w:jc w:val="center"/>
              <w:rPr>
                <w:sz w:val="12"/>
                <w:szCs w:val="12"/>
              </w:rPr>
            </w:pPr>
          </w:p>
        </w:tc>
        <w:tc>
          <w:tcPr>
            <w:tcW w:w="359" w:type="pct"/>
            <w:tcBorders>
              <w:top w:val="single" w:sz="4" w:space="0" w:color="auto"/>
              <w:left w:val="single" w:sz="4" w:space="0" w:color="auto"/>
              <w:bottom w:val="single" w:sz="4" w:space="0" w:color="auto"/>
              <w:right w:val="single" w:sz="4" w:space="0" w:color="auto"/>
            </w:tcBorders>
            <w:vAlign w:val="center"/>
            <w:hideMark/>
          </w:tcPr>
          <w:p w14:paraId="33737206" w14:textId="77777777" w:rsidR="002F590A" w:rsidRDefault="002F590A">
            <w:pPr>
              <w:jc w:val="center"/>
              <w:rPr>
                <w:sz w:val="12"/>
                <w:szCs w:val="12"/>
              </w:rPr>
            </w:pPr>
            <w:r>
              <w:rPr>
                <w:sz w:val="12"/>
                <w:szCs w:val="12"/>
              </w:rPr>
              <w:t> </w:t>
            </w:r>
          </w:p>
        </w:tc>
        <w:tc>
          <w:tcPr>
            <w:tcW w:w="349" w:type="pct"/>
            <w:tcBorders>
              <w:top w:val="single" w:sz="4" w:space="0" w:color="auto"/>
              <w:left w:val="single" w:sz="4" w:space="0" w:color="auto"/>
              <w:bottom w:val="single" w:sz="4" w:space="0" w:color="auto"/>
              <w:right w:val="single" w:sz="4" w:space="0" w:color="auto"/>
            </w:tcBorders>
            <w:vAlign w:val="center"/>
            <w:hideMark/>
          </w:tcPr>
          <w:p w14:paraId="6EEA1569" w14:textId="77777777" w:rsidR="002F590A" w:rsidRDefault="002F590A">
            <w:pPr>
              <w:jc w:val="center"/>
              <w:rPr>
                <w:sz w:val="12"/>
                <w:szCs w:val="12"/>
              </w:rPr>
            </w:pPr>
            <w:r>
              <w:rPr>
                <w:sz w:val="12"/>
                <w:szCs w:val="12"/>
              </w:rPr>
              <w:t> </w:t>
            </w:r>
          </w:p>
        </w:tc>
        <w:tc>
          <w:tcPr>
            <w:tcW w:w="131" w:type="pct"/>
            <w:tcBorders>
              <w:top w:val="single" w:sz="4" w:space="0" w:color="auto"/>
              <w:left w:val="single" w:sz="4" w:space="0" w:color="auto"/>
              <w:bottom w:val="single" w:sz="4" w:space="0" w:color="auto"/>
              <w:right w:val="single" w:sz="4" w:space="0" w:color="auto"/>
            </w:tcBorders>
            <w:vAlign w:val="center"/>
          </w:tcPr>
          <w:p w14:paraId="2544570E" w14:textId="77777777" w:rsidR="002F590A" w:rsidRDefault="002F590A">
            <w:pPr>
              <w:jc w:val="center"/>
              <w:rPr>
                <w:sz w:val="12"/>
                <w:szCs w:val="12"/>
              </w:rPr>
            </w:pPr>
          </w:p>
        </w:tc>
        <w:tc>
          <w:tcPr>
            <w:tcW w:w="133" w:type="pct"/>
            <w:tcBorders>
              <w:top w:val="single" w:sz="4" w:space="0" w:color="auto"/>
              <w:left w:val="single" w:sz="4" w:space="0" w:color="auto"/>
              <w:bottom w:val="single" w:sz="4" w:space="0" w:color="auto"/>
              <w:right w:val="single" w:sz="4" w:space="0" w:color="auto"/>
            </w:tcBorders>
            <w:vAlign w:val="center"/>
          </w:tcPr>
          <w:p w14:paraId="49CC7BF1" w14:textId="77777777" w:rsidR="002F590A" w:rsidRDefault="002F590A">
            <w:pPr>
              <w:jc w:val="center"/>
              <w:rPr>
                <w:sz w:val="12"/>
                <w:szCs w:val="12"/>
              </w:rPr>
            </w:pPr>
          </w:p>
        </w:tc>
        <w:tc>
          <w:tcPr>
            <w:tcW w:w="198" w:type="pct"/>
            <w:tcBorders>
              <w:top w:val="single" w:sz="4" w:space="0" w:color="auto"/>
              <w:left w:val="single" w:sz="4" w:space="0" w:color="auto"/>
              <w:bottom w:val="single" w:sz="4" w:space="0" w:color="auto"/>
              <w:right w:val="single" w:sz="4" w:space="0" w:color="auto"/>
            </w:tcBorders>
            <w:vAlign w:val="center"/>
          </w:tcPr>
          <w:p w14:paraId="44BBADCF" w14:textId="77777777" w:rsidR="002F590A" w:rsidRDefault="002F590A">
            <w:pPr>
              <w:jc w:val="center"/>
              <w:rPr>
                <w:color w:val="000000"/>
                <w:sz w:val="12"/>
                <w:szCs w:val="12"/>
              </w:rPr>
            </w:pPr>
          </w:p>
        </w:tc>
        <w:tc>
          <w:tcPr>
            <w:tcW w:w="178" w:type="pct"/>
            <w:tcBorders>
              <w:top w:val="single" w:sz="4" w:space="0" w:color="auto"/>
              <w:left w:val="single" w:sz="4" w:space="0" w:color="auto"/>
              <w:bottom w:val="single" w:sz="4" w:space="0" w:color="auto"/>
              <w:right w:val="single" w:sz="4" w:space="0" w:color="auto"/>
            </w:tcBorders>
            <w:vAlign w:val="center"/>
          </w:tcPr>
          <w:p w14:paraId="6F07AF32" w14:textId="77777777" w:rsidR="002F590A" w:rsidRDefault="002F590A">
            <w:pPr>
              <w:jc w:val="center"/>
              <w:rPr>
                <w:color w:val="000000"/>
                <w:sz w:val="12"/>
                <w:szCs w:val="12"/>
              </w:rPr>
            </w:pPr>
          </w:p>
        </w:tc>
        <w:tc>
          <w:tcPr>
            <w:tcW w:w="218" w:type="pct"/>
            <w:tcBorders>
              <w:top w:val="single" w:sz="4" w:space="0" w:color="auto"/>
              <w:left w:val="single" w:sz="4" w:space="0" w:color="auto"/>
              <w:bottom w:val="single" w:sz="4" w:space="0" w:color="auto"/>
              <w:right w:val="single" w:sz="4" w:space="0" w:color="auto"/>
            </w:tcBorders>
            <w:vAlign w:val="center"/>
          </w:tcPr>
          <w:p w14:paraId="14D8F891" w14:textId="77777777" w:rsidR="002F590A" w:rsidRDefault="002F590A">
            <w:pPr>
              <w:jc w:val="center"/>
              <w:rPr>
                <w:sz w:val="12"/>
                <w:szCs w:val="12"/>
              </w:rPr>
            </w:pPr>
          </w:p>
        </w:tc>
        <w:tc>
          <w:tcPr>
            <w:tcW w:w="220" w:type="pct"/>
            <w:tcBorders>
              <w:top w:val="single" w:sz="4" w:space="0" w:color="auto"/>
              <w:left w:val="single" w:sz="4" w:space="0" w:color="auto"/>
              <w:bottom w:val="single" w:sz="4" w:space="0" w:color="auto"/>
              <w:right w:val="single" w:sz="4" w:space="0" w:color="auto"/>
            </w:tcBorders>
            <w:vAlign w:val="center"/>
          </w:tcPr>
          <w:p w14:paraId="62C49FA0" w14:textId="77777777" w:rsidR="002F590A" w:rsidRDefault="002F590A">
            <w:pPr>
              <w:jc w:val="center"/>
              <w:rPr>
                <w:sz w:val="12"/>
                <w:szCs w:val="12"/>
              </w:rPr>
            </w:pPr>
          </w:p>
        </w:tc>
        <w:tc>
          <w:tcPr>
            <w:tcW w:w="214" w:type="pct"/>
            <w:tcBorders>
              <w:top w:val="single" w:sz="4" w:space="0" w:color="auto"/>
              <w:left w:val="single" w:sz="4" w:space="0" w:color="auto"/>
              <w:bottom w:val="single" w:sz="4" w:space="0" w:color="auto"/>
              <w:right w:val="single" w:sz="4" w:space="0" w:color="auto"/>
            </w:tcBorders>
            <w:vAlign w:val="center"/>
          </w:tcPr>
          <w:p w14:paraId="2C2CABDF" w14:textId="77777777" w:rsidR="002F590A" w:rsidRDefault="002F590A">
            <w:pPr>
              <w:jc w:val="center"/>
              <w:rPr>
                <w:sz w:val="12"/>
                <w:szCs w:val="12"/>
              </w:rPr>
            </w:pPr>
          </w:p>
        </w:tc>
        <w:tc>
          <w:tcPr>
            <w:tcW w:w="179" w:type="pct"/>
            <w:tcBorders>
              <w:top w:val="single" w:sz="4" w:space="0" w:color="auto"/>
              <w:left w:val="single" w:sz="4" w:space="0" w:color="auto"/>
              <w:bottom w:val="single" w:sz="4" w:space="0" w:color="auto"/>
              <w:right w:val="single" w:sz="4" w:space="0" w:color="auto"/>
            </w:tcBorders>
            <w:vAlign w:val="center"/>
          </w:tcPr>
          <w:p w14:paraId="48CA4F52" w14:textId="77777777" w:rsidR="002F590A" w:rsidRDefault="002F590A">
            <w:pPr>
              <w:jc w:val="center"/>
              <w:rPr>
                <w:sz w:val="12"/>
                <w:szCs w:val="12"/>
              </w:rPr>
            </w:pPr>
          </w:p>
        </w:tc>
        <w:tc>
          <w:tcPr>
            <w:tcW w:w="171" w:type="pct"/>
            <w:tcBorders>
              <w:top w:val="single" w:sz="4" w:space="0" w:color="auto"/>
              <w:left w:val="single" w:sz="4" w:space="0" w:color="auto"/>
              <w:bottom w:val="single" w:sz="4" w:space="0" w:color="auto"/>
              <w:right w:val="single" w:sz="4" w:space="0" w:color="auto"/>
            </w:tcBorders>
            <w:vAlign w:val="center"/>
          </w:tcPr>
          <w:p w14:paraId="1451D74E" w14:textId="77777777" w:rsidR="002F590A" w:rsidRDefault="002F590A">
            <w:pPr>
              <w:jc w:val="center"/>
              <w:rPr>
                <w:sz w:val="12"/>
                <w:szCs w:val="12"/>
              </w:rPr>
            </w:pPr>
          </w:p>
        </w:tc>
        <w:tc>
          <w:tcPr>
            <w:tcW w:w="173" w:type="pct"/>
            <w:tcBorders>
              <w:top w:val="single" w:sz="4" w:space="0" w:color="auto"/>
              <w:left w:val="single" w:sz="4" w:space="0" w:color="auto"/>
              <w:bottom w:val="single" w:sz="4" w:space="0" w:color="auto"/>
              <w:right w:val="single" w:sz="4" w:space="0" w:color="auto"/>
            </w:tcBorders>
            <w:vAlign w:val="center"/>
          </w:tcPr>
          <w:p w14:paraId="22BD8F00" w14:textId="77777777" w:rsidR="002F590A" w:rsidRDefault="002F590A">
            <w:pPr>
              <w:jc w:val="center"/>
              <w:rPr>
                <w:sz w:val="12"/>
                <w:szCs w:val="12"/>
              </w:rPr>
            </w:pPr>
          </w:p>
        </w:tc>
        <w:tc>
          <w:tcPr>
            <w:tcW w:w="177" w:type="pct"/>
            <w:tcBorders>
              <w:top w:val="single" w:sz="4" w:space="0" w:color="auto"/>
              <w:left w:val="single" w:sz="4" w:space="0" w:color="auto"/>
              <w:bottom w:val="single" w:sz="4" w:space="0" w:color="auto"/>
              <w:right w:val="single" w:sz="4" w:space="0" w:color="auto"/>
            </w:tcBorders>
            <w:vAlign w:val="center"/>
          </w:tcPr>
          <w:p w14:paraId="5D23A74C" w14:textId="77777777" w:rsidR="002F590A" w:rsidRDefault="002F590A">
            <w:pPr>
              <w:jc w:val="center"/>
              <w:rPr>
                <w:sz w:val="12"/>
                <w:szCs w:val="12"/>
              </w:rPr>
            </w:pPr>
          </w:p>
        </w:tc>
        <w:tc>
          <w:tcPr>
            <w:tcW w:w="173" w:type="pct"/>
            <w:tcBorders>
              <w:top w:val="single" w:sz="4" w:space="0" w:color="auto"/>
              <w:left w:val="single" w:sz="4" w:space="0" w:color="auto"/>
              <w:bottom w:val="single" w:sz="4" w:space="0" w:color="auto"/>
              <w:right w:val="single" w:sz="4" w:space="0" w:color="auto"/>
            </w:tcBorders>
            <w:vAlign w:val="center"/>
          </w:tcPr>
          <w:p w14:paraId="3BD60692" w14:textId="77777777" w:rsidR="002F590A" w:rsidRDefault="002F590A">
            <w:pPr>
              <w:jc w:val="center"/>
              <w:rPr>
                <w:sz w:val="12"/>
                <w:szCs w:val="12"/>
              </w:rPr>
            </w:pPr>
          </w:p>
        </w:tc>
        <w:tc>
          <w:tcPr>
            <w:tcW w:w="173" w:type="pct"/>
            <w:tcBorders>
              <w:top w:val="single" w:sz="4" w:space="0" w:color="auto"/>
              <w:left w:val="single" w:sz="4" w:space="0" w:color="auto"/>
              <w:bottom w:val="single" w:sz="4" w:space="0" w:color="auto"/>
              <w:right w:val="single" w:sz="4" w:space="0" w:color="auto"/>
            </w:tcBorders>
            <w:vAlign w:val="center"/>
          </w:tcPr>
          <w:p w14:paraId="1CC6E176" w14:textId="77777777" w:rsidR="002F590A" w:rsidRDefault="002F590A">
            <w:pPr>
              <w:jc w:val="center"/>
              <w:rPr>
                <w:sz w:val="12"/>
                <w:szCs w:val="12"/>
              </w:rPr>
            </w:pPr>
          </w:p>
        </w:tc>
        <w:tc>
          <w:tcPr>
            <w:tcW w:w="177" w:type="pct"/>
            <w:tcBorders>
              <w:top w:val="single" w:sz="4" w:space="0" w:color="auto"/>
              <w:left w:val="single" w:sz="4" w:space="0" w:color="auto"/>
              <w:bottom w:val="single" w:sz="4" w:space="0" w:color="auto"/>
              <w:right w:val="single" w:sz="4" w:space="0" w:color="auto"/>
            </w:tcBorders>
            <w:vAlign w:val="center"/>
          </w:tcPr>
          <w:p w14:paraId="14C43E37" w14:textId="77777777" w:rsidR="002F590A" w:rsidRDefault="002F590A">
            <w:pPr>
              <w:jc w:val="center"/>
              <w:rPr>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47938F5C" w14:textId="77777777" w:rsidR="002F590A" w:rsidRDefault="002F590A">
            <w:pPr>
              <w:jc w:val="center"/>
              <w:rPr>
                <w:color w:val="000000"/>
                <w:sz w:val="12"/>
                <w:szCs w:val="12"/>
              </w:rPr>
            </w:pPr>
          </w:p>
        </w:tc>
        <w:tc>
          <w:tcPr>
            <w:tcW w:w="128" w:type="pct"/>
            <w:tcBorders>
              <w:top w:val="single" w:sz="4" w:space="0" w:color="auto"/>
              <w:left w:val="single" w:sz="4" w:space="0" w:color="auto"/>
              <w:bottom w:val="single" w:sz="4" w:space="0" w:color="auto"/>
              <w:right w:val="single" w:sz="4" w:space="0" w:color="auto"/>
            </w:tcBorders>
            <w:vAlign w:val="center"/>
          </w:tcPr>
          <w:p w14:paraId="02EF8BED" w14:textId="77777777" w:rsidR="002F590A" w:rsidRDefault="002F590A">
            <w:pPr>
              <w:jc w:val="center"/>
              <w:rPr>
                <w:color w:val="000000"/>
                <w:sz w:val="12"/>
                <w:szCs w:val="12"/>
              </w:rPr>
            </w:pPr>
          </w:p>
        </w:tc>
      </w:tr>
      <w:tr w:rsidR="002F590A" w14:paraId="5D1CB450" w14:textId="77777777" w:rsidTr="002F590A">
        <w:trPr>
          <w:trHeight w:val="897"/>
        </w:trPr>
        <w:tc>
          <w:tcPr>
            <w:tcW w:w="175" w:type="pct"/>
            <w:tcBorders>
              <w:top w:val="single" w:sz="4" w:space="0" w:color="auto"/>
              <w:left w:val="single" w:sz="4" w:space="0" w:color="auto"/>
              <w:bottom w:val="single" w:sz="4" w:space="0" w:color="auto"/>
              <w:right w:val="single" w:sz="4" w:space="0" w:color="auto"/>
            </w:tcBorders>
            <w:vAlign w:val="center"/>
            <w:hideMark/>
          </w:tcPr>
          <w:p w14:paraId="7EE8E991" w14:textId="77777777" w:rsidR="002F590A" w:rsidRDefault="002F590A">
            <w:pPr>
              <w:jc w:val="center"/>
              <w:rPr>
                <w:sz w:val="12"/>
                <w:szCs w:val="12"/>
              </w:rPr>
            </w:pPr>
            <w:r>
              <w:rPr>
                <w:sz w:val="12"/>
                <w:szCs w:val="12"/>
              </w:rPr>
              <w:t>3.2.12.1</w:t>
            </w:r>
          </w:p>
        </w:tc>
        <w:tc>
          <w:tcPr>
            <w:tcW w:w="262" w:type="pct"/>
            <w:tcBorders>
              <w:top w:val="single" w:sz="4" w:space="0" w:color="auto"/>
              <w:left w:val="single" w:sz="4" w:space="0" w:color="auto"/>
              <w:bottom w:val="single" w:sz="4" w:space="0" w:color="auto"/>
              <w:right w:val="single" w:sz="4" w:space="0" w:color="auto"/>
            </w:tcBorders>
            <w:vAlign w:val="center"/>
            <w:hideMark/>
          </w:tcPr>
          <w:p w14:paraId="48555DEE" w14:textId="77777777" w:rsidR="002F590A" w:rsidRDefault="002F590A">
            <w:pPr>
              <w:rPr>
                <w:color w:val="000000"/>
                <w:sz w:val="12"/>
                <w:szCs w:val="12"/>
              </w:rPr>
            </w:pPr>
            <w:r>
              <w:rPr>
                <w:color w:val="000000"/>
                <w:sz w:val="12"/>
                <w:szCs w:val="12"/>
              </w:rPr>
              <w:t xml:space="preserve">Реконструкция системы </w:t>
            </w:r>
            <w:proofErr w:type="gramStart"/>
            <w:r>
              <w:rPr>
                <w:color w:val="000000"/>
                <w:sz w:val="12"/>
                <w:szCs w:val="12"/>
              </w:rPr>
              <w:t>автоматичес-кой</w:t>
            </w:r>
            <w:proofErr w:type="gramEnd"/>
            <w:r>
              <w:rPr>
                <w:color w:val="000000"/>
                <w:sz w:val="12"/>
                <w:szCs w:val="12"/>
              </w:rPr>
              <w:t xml:space="preserve"> подпитки тепловой сети из водопровода:</w:t>
            </w:r>
          </w:p>
        </w:tc>
        <w:tc>
          <w:tcPr>
            <w:tcW w:w="351" w:type="pct"/>
            <w:tcBorders>
              <w:top w:val="single" w:sz="4" w:space="0" w:color="auto"/>
              <w:left w:val="single" w:sz="4" w:space="0" w:color="auto"/>
              <w:bottom w:val="single" w:sz="4" w:space="0" w:color="auto"/>
              <w:right w:val="single" w:sz="4" w:space="0" w:color="auto"/>
            </w:tcBorders>
            <w:vAlign w:val="center"/>
            <w:hideMark/>
          </w:tcPr>
          <w:p w14:paraId="0E014FDA" w14:textId="77777777" w:rsidR="002F590A" w:rsidRDefault="002F590A">
            <w:pPr>
              <w:jc w:val="center"/>
              <w:rPr>
                <w:sz w:val="12"/>
                <w:szCs w:val="12"/>
              </w:rPr>
            </w:pPr>
            <w:r>
              <w:rPr>
                <w:sz w:val="12"/>
                <w:szCs w:val="12"/>
              </w:rPr>
              <w:t>Повышение надежности (бесперебойности) услуг теплоснабжения, повышение энергетической эффективности</w:t>
            </w:r>
          </w:p>
        </w:tc>
        <w:tc>
          <w:tcPr>
            <w:tcW w:w="259" w:type="pct"/>
            <w:tcBorders>
              <w:top w:val="single" w:sz="4" w:space="0" w:color="auto"/>
              <w:left w:val="single" w:sz="4" w:space="0" w:color="auto"/>
              <w:bottom w:val="single" w:sz="4" w:space="0" w:color="auto"/>
              <w:right w:val="single" w:sz="4" w:space="0" w:color="auto"/>
            </w:tcBorders>
            <w:vAlign w:val="center"/>
            <w:hideMark/>
          </w:tcPr>
          <w:p w14:paraId="6361103F" w14:textId="77777777" w:rsidR="002F590A" w:rsidRDefault="002F590A">
            <w:pPr>
              <w:jc w:val="center"/>
              <w:rPr>
                <w:sz w:val="12"/>
                <w:szCs w:val="12"/>
              </w:rPr>
            </w:pPr>
            <w:r>
              <w:rPr>
                <w:sz w:val="12"/>
                <w:szCs w:val="12"/>
              </w:rPr>
              <w:t> </w:t>
            </w:r>
          </w:p>
        </w:tc>
        <w:tc>
          <w:tcPr>
            <w:tcW w:w="298" w:type="pct"/>
            <w:tcBorders>
              <w:top w:val="single" w:sz="4" w:space="0" w:color="auto"/>
              <w:left w:val="single" w:sz="4" w:space="0" w:color="auto"/>
              <w:bottom w:val="single" w:sz="4" w:space="0" w:color="auto"/>
              <w:right w:val="single" w:sz="4" w:space="0" w:color="auto"/>
            </w:tcBorders>
            <w:vAlign w:val="center"/>
            <w:hideMark/>
          </w:tcPr>
          <w:p w14:paraId="1DB9279E" w14:textId="77777777" w:rsidR="002F590A" w:rsidRDefault="002F590A">
            <w:pPr>
              <w:jc w:val="center"/>
              <w:rPr>
                <w:sz w:val="12"/>
                <w:szCs w:val="12"/>
              </w:rPr>
            </w:pPr>
            <w:r>
              <w:rPr>
                <w:color w:val="000000"/>
                <w:sz w:val="12"/>
                <w:szCs w:val="12"/>
              </w:rPr>
              <w:t>Технические характеристики</w:t>
            </w:r>
          </w:p>
        </w:tc>
        <w:tc>
          <w:tcPr>
            <w:tcW w:w="130" w:type="pct"/>
            <w:tcBorders>
              <w:top w:val="single" w:sz="4" w:space="0" w:color="auto"/>
              <w:left w:val="single" w:sz="4" w:space="0" w:color="auto"/>
              <w:bottom w:val="single" w:sz="4" w:space="0" w:color="auto"/>
              <w:right w:val="single" w:sz="4" w:space="0" w:color="auto"/>
            </w:tcBorders>
            <w:vAlign w:val="center"/>
          </w:tcPr>
          <w:p w14:paraId="63318CFF" w14:textId="77777777" w:rsidR="002F590A" w:rsidRDefault="002F590A">
            <w:pPr>
              <w:jc w:val="center"/>
              <w:rPr>
                <w:sz w:val="12"/>
                <w:szCs w:val="12"/>
              </w:rPr>
            </w:pPr>
          </w:p>
        </w:tc>
        <w:tc>
          <w:tcPr>
            <w:tcW w:w="359" w:type="pct"/>
            <w:tcBorders>
              <w:top w:val="single" w:sz="4" w:space="0" w:color="auto"/>
              <w:left w:val="single" w:sz="4" w:space="0" w:color="auto"/>
              <w:bottom w:val="single" w:sz="4" w:space="0" w:color="auto"/>
              <w:right w:val="single" w:sz="4" w:space="0" w:color="auto"/>
            </w:tcBorders>
            <w:vAlign w:val="center"/>
            <w:hideMark/>
          </w:tcPr>
          <w:p w14:paraId="7EFB001A" w14:textId="77777777" w:rsidR="002F590A" w:rsidRDefault="002F590A">
            <w:pPr>
              <w:jc w:val="center"/>
              <w:rPr>
                <w:sz w:val="12"/>
                <w:szCs w:val="12"/>
              </w:rPr>
            </w:pPr>
            <w:r>
              <w:rPr>
                <w:sz w:val="12"/>
                <w:szCs w:val="12"/>
              </w:rPr>
              <w:t>Редукционный клапан Ду20, счетчик СХВ-20, обратный клапан резьбовой Ду20мм.</w:t>
            </w:r>
          </w:p>
        </w:tc>
        <w:tc>
          <w:tcPr>
            <w:tcW w:w="349" w:type="pct"/>
            <w:tcBorders>
              <w:top w:val="single" w:sz="4" w:space="0" w:color="auto"/>
              <w:left w:val="single" w:sz="4" w:space="0" w:color="auto"/>
              <w:bottom w:val="single" w:sz="4" w:space="0" w:color="auto"/>
              <w:right w:val="single" w:sz="4" w:space="0" w:color="auto"/>
            </w:tcBorders>
            <w:vAlign w:val="center"/>
            <w:hideMark/>
          </w:tcPr>
          <w:p w14:paraId="7E3FF41B" w14:textId="77777777" w:rsidR="002F590A" w:rsidRDefault="002F590A">
            <w:pPr>
              <w:jc w:val="center"/>
              <w:rPr>
                <w:sz w:val="12"/>
                <w:szCs w:val="12"/>
              </w:rPr>
            </w:pPr>
            <w:r>
              <w:rPr>
                <w:sz w:val="12"/>
                <w:szCs w:val="12"/>
              </w:rPr>
              <w:t>Оборудование с техническими характеристиками не ниже существующего на объекте.</w:t>
            </w:r>
          </w:p>
        </w:tc>
        <w:tc>
          <w:tcPr>
            <w:tcW w:w="131" w:type="pct"/>
            <w:tcBorders>
              <w:top w:val="single" w:sz="4" w:space="0" w:color="auto"/>
              <w:left w:val="single" w:sz="4" w:space="0" w:color="auto"/>
              <w:bottom w:val="single" w:sz="4" w:space="0" w:color="auto"/>
              <w:right w:val="single" w:sz="4" w:space="0" w:color="auto"/>
            </w:tcBorders>
            <w:vAlign w:val="center"/>
            <w:hideMark/>
          </w:tcPr>
          <w:p w14:paraId="7684AA03" w14:textId="77777777" w:rsidR="002F590A" w:rsidRDefault="002F590A">
            <w:pPr>
              <w:jc w:val="center"/>
              <w:rPr>
                <w:sz w:val="12"/>
                <w:szCs w:val="12"/>
              </w:rPr>
            </w:pPr>
            <w:r>
              <w:rPr>
                <w:sz w:val="12"/>
                <w:szCs w:val="12"/>
              </w:rPr>
              <w:t>2025</w:t>
            </w:r>
          </w:p>
        </w:tc>
        <w:tc>
          <w:tcPr>
            <w:tcW w:w="133" w:type="pct"/>
            <w:tcBorders>
              <w:top w:val="single" w:sz="4" w:space="0" w:color="auto"/>
              <w:left w:val="single" w:sz="4" w:space="0" w:color="auto"/>
              <w:bottom w:val="single" w:sz="4" w:space="0" w:color="auto"/>
              <w:right w:val="single" w:sz="4" w:space="0" w:color="auto"/>
            </w:tcBorders>
            <w:vAlign w:val="center"/>
            <w:hideMark/>
          </w:tcPr>
          <w:p w14:paraId="5A7B3F2E" w14:textId="77777777" w:rsidR="002F590A" w:rsidRDefault="002F590A">
            <w:pPr>
              <w:jc w:val="center"/>
              <w:rPr>
                <w:sz w:val="12"/>
                <w:szCs w:val="12"/>
              </w:rPr>
            </w:pPr>
            <w:r>
              <w:rPr>
                <w:sz w:val="12"/>
                <w:szCs w:val="12"/>
              </w:rPr>
              <w:t>2025</w:t>
            </w:r>
          </w:p>
        </w:tc>
        <w:tc>
          <w:tcPr>
            <w:tcW w:w="198" w:type="pct"/>
            <w:tcBorders>
              <w:top w:val="single" w:sz="4" w:space="0" w:color="auto"/>
              <w:left w:val="single" w:sz="4" w:space="0" w:color="auto"/>
              <w:bottom w:val="single" w:sz="4" w:space="0" w:color="auto"/>
              <w:right w:val="single" w:sz="4" w:space="0" w:color="auto"/>
            </w:tcBorders>
            <w:vAlign w:val="center"/>
            <w:hideMark/>
          </w:tcPr>
          <w:p w14:paraId="4533BEEC" w14:textId="77777777" w:rsidR="002F590A" w:rsidRDefault="002F590A">
            <w:pPr>
              <w:jc w:val="center"/>
              <w:rPr>
                <w:color w:val="000000"/>
                <w:sz w:val="12"/>
                <w:szCs w:val="12"/>
              </w:rPr>
            </w:pPr>
            <w:r>
              <w:rPr>
                <w:color w:val="000000"/>
                <w:sz w:val="12"/>
                <w:szCs w:val="12"/>
              </w:rPr>
              <w:t>30,37</w:t>
            </w:r>
          </w:p>
        </w:tc>
        <w:tc>
          <w:tcPr>
            <w:tcW w:w="178" w:type="pct"/>
            <w:tcBorders>
              <w:top w:val="single" w:sz="4" w:space="0" w:color="auto"/>
              <w:left w:val="single" w:sz="4" w:space="0" w:color="auto"/>
              <w:bottom w:val="single" w:sz="4" w:space="0" w:color="auto"/>
              <w:right w:val="single" w:sz="4" w:space="0" w:color="auto"/>
            </w:tcBorders>
            <w:vAlign w:val="center"/>
            <w:hideMark/>
          </w:tcPr>
          <w:p w14:paraId="6D303D32" w14:textId="77777777" w:rsidR="002F590A" w:rsidRDefault="002F590A">
            <w:pPr>
              <w:jc w:val="center"/>
              <w:rPr>
                <w:color w:val="000000"/>
                <w:sz w:val="12"/>
                <w:szCs w:val="12"/>
              </w:rPr>
            </w:pPr>
            <w:r>
              <w:rPr>
                <w:color w:val="000000"/>
                <w:sz w:val="12"/>
                <w:szCs w:val="12"/>
              </w:rPr>
              <w:t>0,00</w:t>
            </w:r>
          </w:p>
        </w:tc>
        <w:tc>
          <w:tcPr>
            <w:tcW w:w="218" w:type="pct"/>
            <w:tcBorders>
              <w:top w:val="single" w:sz="4" w:space="0" w:color="auto"/>
              <w:left w:val="single" w:sz="4" w:space="0" w:color="auto"/>
              <w:bottom w:val="single" w:sz="4" w:space="0" w:color="auto"/>
              <w:right w:val="single" w:sz="4" w:space="0" w:color="auto"/>
            </w:tcBorders>
            <w:vAlign w:val="center"/>
            <w:hideMark/>
          </w:tcPr>
          <w:p w14:paraId="6EA8A2B8" w14:textId="77777777" w:rsidR="002F590A" w:rsidRDefault="002F590A">
            <w:pPr>
              <w:jc w:val="center"/>
              <w:rPr>
                <w:sz w:val="12"/>
                <w:szCs w:val="12"/>
              </w:rPr>
            </w:pPr>
            <w:r>
              <w:rPr>
                <w:sz w:val="12"/>
                <w:szCs w:val="12"/>
              </w:rPr>
              <w:t>0,00</w:t>
            </w:r>
          </w:p>
        </w:tc>
        <w:tc>
          <w:tcPr>
            <w:tcW w:w="220" w:type="pct"/>
            <w:tcBorders>
              <w:top w:val="single" w:sz="4" w:space="0" w:color="auto"/>
              <w:left w:val="single" w:sz="4" w:space="0" w:color="auto"/>
              <w:bottom w:val="single" w:sz="4" w:space="0" w:color="auto"/>
              <w:right w:val="single" w:sz="4" w:space="0" w:color="auto"/>
            </w:tcBorders>
            <w:vAlign w:val="center"/>
            <w:hideMark/>
          </w:tcPr>
          <w:p w14:paraId="56775AEA" w14:textId="77777777" w:rsidR="002F590A" w:rsidRDefault="002F590A">
            <w:pPr>
              <w:jc w:val="center"/>
              <w:rPr>
                <w:sz w:val="12"/>
                <w:szCs w:val="12"/>
              </w:rPr>
            </w:pPr>
            <w:r>
              <w:rPr>
                <w:sz w:val="12"/>
                <w:szCs w:val="12"/>
              </w:rPr>
              <w:t>0,00</w:t>
            </w:r>
          </w:p>
        </w:tc>
        <w:tc>
          <w:tcPr>
            <w:tcW w:w="214" w:type="pct"/>
            <w:tcBorders>
              <w:top w:val="single" w:sz="4" w:space="0" w:color="auto"/>
              <w:left w:val="single" w:sz="4" w:space="0" w:color="auto"/>
              <w:bottom w:val="single" w:sz="4" w:space="0" w:color="auto"/>
              <w:right w:val="single" w:sz="4" w:space="0" w:color="auto"/>
            </w:tcBorders>
            <w:vAlign w:val="center"/>
            <w:hideMark/>
          </w:tcPr>
          <w:p w14:paraId="3BE79667" w14:textId="77777777" w:rsidR="002F590A" w:rsidRDefault="002F590A">
            <w:pPr>
              <w:jc w:val="center"/>
              <w:rPr>
                <w:sz w:val="12"/>
                <w:szCs w:val="12"/>
              </w:rPr>
            </w:pPr>
            <w:r>
              <w:rPr>
                <w:sz w:val="12"/>
                <w:szCs w:val="12"/>
              </w:rPr>
              <w:t>0,00</w:t>
            </w:r>
          </w:p>
        </w:tc>
        <w:tc>
          <w:tcPr>
            <w:tcW w:w="179" w:type="pct"/>
            <w:tcBorders>
              <w:top w:val="single" w:sz="4" w:space="0" w:color="auto"/>
              <w:left w:val="single" w:sz="4" w:space="0" w:color="auto"/>
              <w:bottom w:val="single" w:sz="4" w:space="0" w:color="auto"/>
              <w:right w:val="single" w:sz="4" w:space="0" w:color="auto"/>
            </w:tcBorders>
            <w:vAlign w:val="center"/>
            <w:hideMark/>
          </w:tcPr>
          <w:p w14:paraId="3E81CDA0" w14:textId="77777777" w:rsidR="002F590A" w:rsidRDefault="002F590A">
            <w:pPr>
              <w:jc w:val="center"/>
              <w:rPr>
                <w:sz w:val="12"/>
                <w:szCs w:val="12"/>
              </w:rPr>
            </w:pPr>
            <w:r>
              <w:rPr>
                <w:sz w:val="12"/>
                <w:szCs w:val="12"/>
              </w:rPr>
              <w:t>30,37</w:t>
            </w:r>
          </w:p>
        </w:tc>
        <w:tc>
          <w:tcPr>
            <w:tcW w:w="171" w:type="pct"/>
            <w:tcBorders>
              <w:top w:val="single" w:sz="4" w:space="0" w:color="auto"/>
              <w:left w:val="single" w:sz="4" w:space="0" w:color="auto"/>
              <w:bottom w:val="single" w:sz="4" w:space="0" w:color="auto"/>
              <w:right w:val="single" w:sz="4" w:space="0" w:color="auto"/>
            </w:tcBorders>
            <w:vAlign w:val="center"/>
            <w:hideMark/>
          </w:tcPr>
          <w:p w14:paraId="14BA55A9"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4B74E266" w14:textId="77777777" w:rsidR="002F590A" w:rsidRDefault="002F590A">
            <w:pPr>
              <w:jc w:val="center"/>
              <w:rPr>
                <w:sz w:val="12"/>
                <w:szCs w:val="12"/>
              </w:rPr>
            </w:pPr>
            <w:r>
              <w:rPr>
                <w:sz w:val="12"/>
                <w:szCs w:val="12"/>
              </w:rPr>
              <w:t>0,00</w:t>
            </w:r>
          </w:p>
        </w:tc>
        <w:tc>
          <w:tcPr>
            <w:tcW w:w="177" w:type="pct"/>
            <w:tcBorders>
              <w:top w:val="single" w:sz="4" w:space="0" w:color="auto"/>
              <w:left w:val="single" w:sz="4" w:space="0" w:color="auto"/>
              <w:bottom w:val="single" w:sz="4" w:space="0" w:color="auto"/>
              <w:right w:val="single" w:sz="4" w:space="0" w:color="auto"/>
            </w:tcBorders>
            <w:vAlign w:val="center"/>
            <w:hideMark/>
          </w:tcPr>
          <w:p w14:paraId="5E1E511F"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4C1B0BF2"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44A61C27" w14:textId="77777777" w:rsidR="002F590A" w:rsidRDefault="002F590A">
            <w:pPr>
              <w:jc w:val="center"/>
              <w:rPr>
                <w:sz w:val="12"/>
                <w:szCs w:val="12"/>
              </w:rPr>
            </w:pPr>
            <w:r>
              <w:rPr>
                <w:sz w:val="12"/>
                <w:szCs w:val="12"/>
              </w:rPr>
              <w:t>0,00</w:t>
            </w:r>
          </w:p>
        </w:tc>
        <w:tc>
          <w:tcPr>
            <w:tcW w:w="177" w:type="pct"/>
            <w:tcBorders>
              <w:top w:val="single" w:sz="4" w:space="0" w:color="auto"/>
              <w:left w:val="single" w:sz="4" w:space="0" w:color="auto"/>
              <w:bottom w:val="single" w:sz="4" w:space="0" w:color="auto"/>
              <w:right w:val="single" w:sz="4" w:space="0" w:color="auto"/>
            </w:tcBorders>
            <w:vAlign w:val="center"/>
            <w:hideMark/>
          </w:tcPr>
          <w:p w14:paraId="3392EAD2"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26474E49" w14:textId="77777777" w:rsidR="002F590A" w:rsidRDefault="002F590A">
            <w:pPr>
              <w:jc w:val="center"/>
              <w:rPr>
                <w:color w:val="000000"/>
                <w:sz w:val="12"/>
                <w:szCs w:val="12"/>
              </w:rPr>
            </w:pPr>
            <w:r>
              <w:rPr>
                <w:color w:val="000000"/>
                <w:sz w:val="12"/>
                <w:szCs w:val="12"/>
              </w:rPr>
              <w:t>0,00</w:t>
            </w:r>
          </w:p>
        </w:tc>
        <w:tc>
          <w:tcPr>
            <w:tcW w:w="128" w:type="pct"/>
            <w:tcBorders>
              <w:top w:val="single" w:sz="4" w:space="0" w:color="auto"/>
              <w:left w:val="single" w:sz="4" w:space="0" w:color="auto"/>
              <w:bottom w:val="single" w:sz="4" w:space="0" w:color="auto"/>
              <w:right w:val="single" w:sz="4" w:space="0" w:color="auto"/>
            </w:tcBorders>
            <w:vAlign w:val="center"/>
            <w:hideMark/>
          </w:tcPr>
          <w:p w14:paraId="189311C0" w14:textId="77777777" w:rsidR="002F590A" w:rsidRDefault="002F590A">
            <w:pPr>
              <w:jc w:val="center"/>
              <w:rPr>
                <w:color w:val="000000"/>
                <w:sz w:val="12"/>
                <w:szCs w:val="12"/>
              </w:rPr>
            </w:pPr>
            <w:r>
              <w:rPr>
                <w:color w:val="000000"/>
                <w:sz w:val="12"/>
                <w:szCs w:val="12"/>
              </w:rPr>
              <w:t>0,00</w:t>
            </w:r>
          </w:p>
        </w:tc>
      </w:tr>
      <w:tr w:rsidR="002F590A" w14:paraId="786070B2" w14:textId="77777777" w:rsidTr="002F590A">
        <w:trPr>
          <w:trHeight w:val="411"/>
        </w:trPr>
        <w:tc>
          <w:tcPr>
            <w:tcW w:w="175" w:type="pct"/>
            <w:tcBorders>
              <w:top w:val="single" w:sz="4" w:space="0" w:color="auto"/>
              <w:left w:val="single" w:sz="4" w:space="0" w:color="auto"/>
              <w:bottom w:val="single" w:sz="4" w:space="0" w:color="auto"/>
              <w:right w:val="single" w:sz="4" w:space="0" w:color="auto"/>
            </w:tcBorders>
            <w:vAlign w:val="center"/>
            <w:hideMark/>
          </w:tcPr>
          <w:p w14:paraId="313E386E" w14:textId="77777777" w:rsidR="002F590A" w:rsidRDefault="002F590A">
            <w:pPr>
              <w:jc w:val="center"/>
              <w:rPr>
                <w:bCs/>
                <w:sz w:val="12"/>
                <w:szCs w:val="12"/>
              </w:rPr>
            </w:pPr>
            <w:r>
              <w:rPr>
                <w:bCs/>
                <w:sz w:val="12"/>
                <w:szCs w:val="12"/>
              </w:rPr>
              <w:t>1</w:t>
            </w:r>
          </w:p>
        </w:tc>
        <w:tc>
          <w:tcPr>
            <w:tcW w:w="262" w:type="pct"/>
            <w:tcBorders>
              <w:top w:val="single" w:sz="4" w:space="0" w:color="auto"/>
              <w:left w:val="single" w:sz="4" w:space="0" w:color="auto"/>
              <w:bottom w:val="single" w:sz="4" w:space="0" w:color="auto"/>
              <w:right w:val="single" w:sz="4" w:space="0" w:color="auto"/>
            </w:tcBorders>
            <w:vAlign w:val="center"/>
            <w:hideMark/>
          </w:tcPr>
          <w:p w14:paraId="3B07A5DC" w14:textId="77777777" w:rsidR="002F590A" w:rsidRDefault="002F590A">
            <w:pPr>
              <w:jc w:val="center"/>
              <w:rPr>
                <w:bCs/>
                <w:sz w:val="12"/>
                <w:szCs w:val="12"/>
              </w:rPr>
            </w:pPr>
            <w:r>
              <w:rPr>
                <w:bCs/>
                <w:sz w:val="12"/>
                <w:szCs w:val="12"/>
              </w:rPr>
              <w:t>2</w:t>
            </w:r>
          </w:p>
        </w:tc>
        <w:tc>
          <w:tcPr>
            <w:tcW w:w="351" w:type="pct"/>
            <w:tcBorders>
              <w:top w:val="single" w:sz="4" w:space="0" w:color="auto"/>
              <w:left w:val="single" w:sz="4" w:space="0" w:color="auto"/>
              <w:bottom w:val="single" w:sz="4" w:space="0" w:color="auto"/>
              <w:right w:val="single" w:sz="4" w:space="0" w:color="auto"/>
            </w:tcBorders>
            <w:vAlign w:val="center"/>
            <w:hideMark/>
          </w:tcPr>
          <w:p w14:paraId="2F72B0DB" w14:textId="77777777" w:rsidR="002F590A" w:rsidRDefault="002F590A">
            <w:pPr>
              <w:jc w:val="center"/>
              <w:rPr>
                <w:bCs/>
                <w:sz w:val="12"/>
                <w:szCs w:val="12"/>
              </w:rPr>
            </w:pPr>
            <w:r>
              <w:rPr>
                <w:bCs/>
                <w:sz w:val="12"/>
                <w:szCs w:val="12"/>
              </w:rPr>
              <w:t>3</w:t>
            </w:r>
          </w:p>
        </w:tc>
        <w:tc>
          <w:tcPr>
            <w:tcW w:w="259" w:type="pct"/>
            <w:tcBorders>
              <w:top w:val="single" w:sz="4" w:space="0" w:color="auto"/>
              <w:left w:val="single" w:sz="4" w:space="0" w:color="auto"/>
              <w:bottom w:val="single" w:sz="4" w:space="0" w:color="auto"/>
              <w:right w:val="single" w:sz="4" w:space="0" w:color="auto"/>
            </w:tcBorders>
            <w:vAlign w:val="center"/>
            <w:hideMark/>
          </w:tcPr>
          <w:p w14:paraId="5DF7836B" w14:textId="77777777" w:rsidR="002F590A" w:rsidRDefault="002F590A">
            <w:pPr>
              <w:jc w:val="center"/>
              <w:rPr>
                <w:bCs/>
                <w:sz w:val="12"/>
                <w:szCs w:val="12"/>
              </w:rPr>
            </w:pPr>
            <w:r>
              <w:rPr>
                <w:bCs/>
                <w:sz w:val="12"/>
                <w:szCs w:val="12"/>
              </w:rPr>
              <w:t>4</w:t>
            </w:r>
          </w:p>
        </w:tc>
        <w:tc>
          <w:tcPr>
            <w:tcW w:w="298" w:type="pct"/>
            <w:tcBorders>
              <w:top w:val="single" w:sz="4" w:space="0" w:color="auto"/>
              <w:left w:val="single" w:sz="4" w:space="0" w:color="auto"/>
              <w:bottom w:val="single" w:sz="4" w:space="0" w:color="auto"/>
              <w:right w:val="single" w:sz="4" w:space="0" w:color="auto"/>
            </w:tcBorders>
            <w:vAlign w:val="center"/>
            <w:hideMark/>
          </w:tcPr>
          <w:p w14:paraId="7B79931C" w14:textId="77777777" w:rsidR="002F590A" w:rsidRDefault="002F590A">
            <w:pPr>
              <w:jc w:val="center"/>
              <w:rPr>
                <w:bCs/>
                <w:sz w:val="12"/>
                <w:szCs w:val="12"/>
              </w:rPr>
            </w:pPr>
            <w:r>
              <w:rPr>
                <w:bCs/>
                <w:sz w:val="12"/>
                <w:szCs w:val="12"/>
              </w:rPr>
              <w:t>5</w:t>
            </w:r>
          </w:p>
        </w:tc>
        <w:tc>
          <w:tcPr>
            <w:tcW w:w="130" w:type="pct"/>
            <w:tcBorders>
              <w:top w:val="single" w:sz="4" w:space="0" w:color="auto"/>
              <w:left w:val="single" w:sz="4" w:space="0" w:color="auto"/>
              <w:bottom w:val="single" w:sz="4" w:space="0" w:color="auto"/>
              <w:right w:val="single" w:sz="4" w:space="0" w:color="auto"/>
            </w:tcBorders>
            <w:vAlign w:val="center"/>
            <w:hideMark/>
          </w:tcPr>
          <w:p w14:paraId="020D80F4" w14:textId="77777777" w:rsidR="002F590A" w:rsidRDefault="002F590A">
            <w:pPr>
              <w:jc w:val="center"/>
              <w:rPr>
                <w:bCs/>
                <w:sz w:val="12"/>
                <w:szCs w:val="12"/>
              </w:rPr>
            </w:pPr>
            <w:r>
              <w:rPr>
                <w:bCs/>
                <w:sz w:val="12"/>
                <w:szCs w:val="12"/>
              </w:rPr>
              <w:t>6</w:t>
            </w:r>
          </w:p>
        </w:tc>
        <w:tc>
          <w:tcPr>
            <w:tcW w:w="359" w:type="pct"/>
            <w:tcBorders>
              <w:top w:val="single" w:sz="4" w:space="0" w:color="auto"/>
              <w:left w:val="single" w:sz="4" w:space="0" w:color="auto"/>
              <w:bottom w:val="single" w:sz="4" w:space="0" w:color="auto"/>
              <w:right w:val="single" w:sz="4" w:space="0" w:color="auto"/>
            </w:tcBorders>
            <w:vAlign w:val="center"/>
            <w:hideMark/>
          </w:tcPr>
          <w:p w14:paraId="5B18B3C8" w14:textId="77777777" w:rsidR="002F590A" w:rsidRDefault="002F590A">
            <w:pPr>
              <w:jc w:val="center"/>
              <w:rPr>
                <w:bCs/>
                <w:sz w:val="12"/>
                <w:szCs w:val="12"/>
              </w:rPr>
            </w:pPr>
            <w:r>
              <w:rPr>
                <w:bCs/>
                <w:sz w:val="12"/>
                <w:szCs w:val="12"/>
              </w:rPr>
              <w:t>7</w:t>
            </w:r>
          </w:p>
        </w:tc>
        <w:tc>
          <w:tcPr>
            <w:tcW w:w="349" w:type="pct"/>
            <w:tcBorders>
              <w:top w:val="single" w:sz="4" w:space="0" w:color="auto"/>
              <w:left w:val="single" w:sz="4" w:space="0" w:color="auto"/>
              <w:bottom w:val="single" w:sz="4" w:space="0" w:color="auto"/>
              <w:right w:val="single" w:sz="4" w:space="0" w:color="auto"/>
            </w:tcBorders>
            <w:vAlign w:val="center"/>
            <w:hideMark/>
          </w:tcPr>
          <w:p w14:paraId="5DB5E0C4" w14:textId="77777777" w:rsidR="002F590A" w:rsidRDefault="002F590A">
            <w:pPr>
              <w:jc w:val="center"/>
              <w:rPr>
                <w:bCs/>
                <w:sz w:val="12"/>
                <w:szCs w:val="12"/>
              </w:rPr>
            </w:pPr>
            <w:r>
              <w:rPr>
                <w:bCs/>
                <w:sz w:val="12"/>
                <w:szCs w:val="12"/>
              </w:rPr>
              <w:t>8</w:t>
            </w:r>
          </w:p>
        </w:tc>
        <w:tc>
          <w:tcPr>
            <w:tcW w:w="131" w:type="pct"/>
            <w:tcBorders>
              <w:top w:val="single" w:sz="4" w:space="0" w:color="auto"/>
              <w:left w:val="single" w:sz="4" w:space="0" w:color="auto"/>
              <w:bottom w:val="single" w:sz="4" w:space="0" w:color="auto"/>
              <w:right w:val="single" w:sz="4" w:space="0" w:color="auto"/>
            </w:tcBorders>
            <w:vAlign w:val="center"/>
            <w:hideMark/>
          </w:tcPr>
          <w:p w14:paraId="257C9945" w14:textId="77777777" w:rsidR="002F590A" w:rsidRDefault="002F590A">
            <w:pPr>
              <w:jc w:val="center"/>
              <w:rPr>
                <w:bCs/>
                <w:sz w:val="12"/>
                <w:szCs w:val="12"/>
              </w:rPr>
            </w:pPr>
            <w:r>
              <w:rPr>
                <w:bCs/>
                <w:sz w:val="12"/>
                <w:szCs w:val="12"/>
              </w:rPr>
              <w:t>9</w:t>
            </w:r>
          </w:p>
        </w:tc>
        <w:tc>
          <w:tcPr>
            <w:tcW w:w="133" w:type="pct"/>
            <w:tcBorders>
              <w:top w:val="single" w:sz="4" w:space="0" w:color="auto"/>
              <w:left w:val="single" w:sz="4" w:space="0" w:color="auto"/>
              <w:bottom w:val="single" w:sz="4" w:space="0" w:color="auto"/>
              <w:right w:val="single" w:sz="4" w:space="0" w:color="auto"/>
            </w:tcBorders>
            <w:vAlign w:val="center"/>
            <w:hideMark/>
          </w:tcPr>
          <w:p w14:paraId="3810AC48" w14:textId="77777777" w:rsidR="002F590A" w:rsidRDefault="002F590A">
            <w:pPr>
              <w:jc w:val="center"/>
              <w:rPr>
                <w:bCs/>
                <w:sz w:val="12"/>
                <w:szCs w:val="12"/>
              </w:rPr>
            </w:pPr>
            <w:r>
              <w:rPr>
                <w:bCs/>
                <w:sz w:val="12"/>
                <w:szCs w:val="12"/>
              </w:rPr>
              <w:t>10</w:t>
            </w:r>
          </w:p>
        </w:tc>
        <w:tc>
          <w:tcPr>
            <w:tcW w:w="198" w:type="pct"/>
            <w:tcBorders>
              <w:top w:val="single" w:sz="4" w:space="0" w:color="auto"/>
              <w:left w:val="single" w:sz="4" w:space="0" w:color="auto"/>
              <w:bottom w:val="single" w:sz="4" w:space="0" w:color="auto"/>
              <w:right w:val="single" w:sz="4" w:space="0" w:color="auto"/>
            </w:tcBorders>
            <w:vAlign w:val="center"/>
            <w:hideMark/>
          </w:tcPr>
          <w:p w14:paraId="72AE132E" w14:textId="77777777" w:rsidR="002F590A" w:rsidRDefault="002F590A">
            <w:pPr>
              <w:jc w:val="center"/>
              <w:rPr>
                <w:bCs/>
                <w:sz w:val="12"/>
                <w:szCs w:val="12"/>
              </w:rPr>
            </w:pPr>
            <w:r>
              <w:rPr>
                <w:bCs/>
                <w:sz w:val="12"/>
                <w:szCs w:val="12"/>
              </w:rPr>
              <w:t>11</w:t>
            </w:r>
          </w:p>
        </w:tc>
        <w:tc>
          <w:tcPr>
            <w:tcW w:w="178" w:type="pct"/>
            <w:tcBorders>
              <w:top w:val="single" w:sz="4" w:space="0" w:color="auto"/>
              <w:left w:val="single" w:sz="4" w:space="0" w:color="auto"/>
              <w:bottom w:val="single" w:sz="4" w:space="0" w:color="auto"/>
              <w:right w:val="single" w:sz="4" w:space="0" w:color="auto"/>
            </w:tcBorders>
            <w:vAlign w:val="center"/>
            <w:hideMark/>
          </w:tcPr>
          <w:p w14:paraId="1B22C16D" w14:textId="77777777" w:rsidR="002F590A" w:rsidRDefault="002F590A">
            <w:pPr>
              <w:jc w:val="center"/>
              <w:rPr>
                <w:bCs/>
                <w:sz w:val="12"/>
                <w:szCs w:val="12"/>
              </w:rPr>
            </w:pPr>
            <w:r>
              <w:rPr>
                <w:bCs/>
                <w:sz w:val="12"/>
                <w:szCs w:val="12"/>
              </w:rPr>
              <w:t>12</w:t>
            </w:r>
          </w:p>
        </w:tc>
        <w:tc>
          <w:tcPr>
            <w:tcW w:w="218" w:type="pct"/>
            <w:tcBorders>
              <w:top w:val="single" w:sz="4" w:space="0" w:color="auto"/>
              <w:left w:val="single" w:sz="4" w:space="0" w:color="auto"/>
              <w:bottom w:val="single" w:sz="4" w:space="0" w:color="auto"/>
              <w:right w:val="single" w:sz="4" w:space="0" w:color="auto"/>
            </w:tcBorders>
            <w:vAlign w:val="center"/>
            <w:hideMark/>
          </w:tcPr>
          <w:p w14:paraId="1F6333DD" w14:textId="77777777" w:rsidR="002F590A" w:rsidRDefault="002F590A">
            <w:pPr>
              <w:jc w:val="center"/>
              <w:rPr>
                <w:bCs/>
                <w:sz w:val="12"/>
                <w:szCs w:val="12"/>
              </w:rPr>
            </w:pPr>
            <w:r>
              <w:rPr>
                <w:bCs/>
                <w:sz w:val="12"/>
                <w:szCs w:val="12"/>
              </w:rPr>
              <w:t>13</w:t>
            </w:r>
          </w:p>
        </w:tc>
        <w:tc>
          <w:tcPr>
            <w:tcW w:w="220" w:type="pct"/>
            <w:tcBorders>
              <w:top w:val="single" w:sz="4" w:space="0" w:color="auto"/>
              <w:left w:val="single" w:sz="4" w:space="0" w:color="auto"/>
              <w:bottom w:val="single" w:sz="4" w:space="0" w:color="auto"/>
              <w:right w:val="single" w:sz="4" w:space="0" w:color="auto"/>
            </w:tcBorders>
            <w:vAlign w:val="center"/>
            <w:hideMark/>
          </w:tcPr>
          <w:p w14:paraId="3BC960C7" w14:textId="77777777" w:rsidR="002F590A" w:rsidRDefault="002F590A">
            <w:pPr>
              <w:jc w:val="center"/>
              <w:rPr>
                <w:bCs/>
                <w:sz w:val="12"/>
                <w:szCs w:val="12"/>
              </w:rPr>
            </w:pPr>
            <w:r>
              <w:rPr>
                <w:bCs/>
                <w:sz w:val="12"/>
                <w:szCs w:val="12"/>
              </w:rPr>
              <w:t>14</w:t>
            </w:r>
          </w:p>
        </w:tc>
        <w:tc>
          <w:tcPr>
            <w:tcW w:w="214" w:type="pct"/>
            <w:tcBorders>
              <w:top w:val="single" w:sz="4" w:space="0" w:color="auto"/>
              <w:left w:val="single" w:sz="4" w:space="0" w:color="auto"/>
              <w:bottom w:val="single" w:sz="4" w:space="0" w:color="auto"/>
              <w:right w:val="single" w:sz="4" w:space="0" w:color="auto"/>
            </w:tcBorders>
            <w:vAlign w:val="center"/>
            <w:hideMark/>
          </w:tcPr>
          <w:p w14:paraId="379294AD" w14:textId="77777777" w:rsidR="002F590A" w:rsidRDefault="002F590A">
            <w:pPr>
              <w:jc w:val="center"/>
              <w:rPr>
                <w:bCs/>
                <w:sz w:val="12"/>
                <w:szCs w:val="12"/>
              </w:rPr>
            </w:pPr>
            <w:r>
              <w:rPr>
                <w:bCs/>
                <w:sz w:val="12"/>
                <w:szCs w:val="12"/>
              </w:rPr>
              <w:t>15</w:t>
            </w:r>
          </w:p>
        </w:tc>
        <w:tc>
          <w:tcPr>
            <w:tcW w:w="179" w:type="pct"/>
            <w:tcBorders>
              <w:top w:val="single" w:sz="4" w:space="0" w:color="auto"/>
              <w:left w:val="single" w:sz="4" w:space="0" w:color="auto"/>
              <w:bottom w:val="single" w:sz="4" w:space="0" w:color="auto"/>
              <w:right w:val="single" w:sz="4" w:space="0" w:color="auto"/>
            </w:tcBorders>
            <w:vAlign w:val="center"/>
            <w:hideMark/>
          </w:tcPr>
          <w:p w14:paraId="0D5E7749" w14:textId="77777777" w:rsidR="002F590A" w:rsidRDefault="002F590A">
            <w:pPr>
              <w:jc w:val="center"/>
              <w:rPr>
                <w:bCs/>
                <w:sz w:val="12"/>
                <w:szCs w:val="12"/>
              </w:rPr>
            </w:pPr>
            <w:r>
              <w:rPr>
                <w:bCs/>
                <w:sz w:val="12"/>
                <w:szCs w:val="12"/>
              </w:rPr>
              <w:t>16</w:t>
            </w:r>
          </w:p>
        </w:tc>
        <w:tc>
          <w:tcPr>
            <w:tcW w:w="171" w:type="pct"/>
            <w:tcBorders>
              <w:top w:val="single" w:sz="4" w:space="0" w:color="auto"/>
              <w:left w:val="single" w:sz="4" w:space="0" w:color="auto"/>
              <w:bottom w:val="single" w:sz="4" w:space="0" w:color="auto"/>
              <w:right w:val="single" w:sz="4" w:space="0" w:color="auto"/>
            </w:tcBorders>
            <w:vAlign w:val="center"/>
            <w:hideMark/>
          </w:tcPr>
          <w:p w14:paraId="7C12D51A" w14:textId="77777777" w:rsidR="002F590A" w:rsidRDefault="002F590A">
            <w:pPr>
              <w:jc w:val="center"/>
              <w:rPr>
                <w:bCs/>
                <w:sz w:val="12"/>
                <w:szCs w:val="12"/>
              </w:rPr>
            </w:pPr>
            <w:r>
              <w:rPr>
                <w:bCs/>
                <w:sz w:val="12"/>
                <w:szCs w:val="12"/>
              </w:rPr>
              <w:t>17</w:t>
            </w:r>
          </w:p>
        </w:tc>
        <w:tc>
          <w:tcPr>
            <w:tcW w:w="173" w:type="pct"/>
            <w:tcBorders>
              <w:top w:val="single" w:sz="4" w:space="0" w:color="auto"/>
              <w:left w:val="single" w:sz="4" w:space="0" w:color="auto"/>
              <w:bottom w:val="single" w:sz="4" w:space="0" w:color="auto"/>
              <w:right w:val="single" w:sz="4" w:space="0" w:color="auto"/>
            </w:tcBorders>
            <w:vAlign w:val="center"/>
            <w:hideMark/>
          </w:tcPr>
          <w:p w14:paraId="79863F60" w14:textId="77777777" w:rsidR="002F590A" w:rsidRDefault="002F590A">
            <w:pPr>
              <w:jc w:val="center"/>
              <w:rPr>
                <w:bCs/>
                <w:sz w:val="12"/>
                <w:szCs w:val="12"/>
              </w:rPr>
            </w:pPr>
            <w:r>
              <w:rPr>
                <w:bCs/>
                <w:sz w:val="12"/>
                <w:szCs w:val="12"/>
              </w:rPr>
              <w:t>18</w:t>
            </w:r>
          </w:p>
        </w:tc>
        <w:tc>
          <w:tcPr>
            <w:tcW w:w="177" w:type="pct"/>
            <w:tcBorders>
              <w:top w:val="single" w:sz="4" w:space="0" w:color="auto"/>
              <w:left w:val="single" w:sz="4" w:space="0" w:color="auto"/>
              <w:bottom w:val="single" w:sz="4" w:space="0" w:color="auto"/>
              <w:right w:val="single" w:sz="4" w:space="0" w:color="auto"/>
            </w:tcBorders>
            <w:vAlign w:val="center"/>
            <w:hideMark/>
          </w:tcPr>
          <w:p w14:paraId="2E3A4CAC" w14:textId="77777777" w:rsidR="002F590A" w:rsidRDefault="002F590A">
            <w:pPr>
              <w:jc w:val="center"/>
              <w:rPr>
                <w:bCs/>
                <w:sz w:val="12"/>
                <w:szCs w:val="12"/>
              </w:rPr>
            </w:pPr>
            <w:r>
              <w:rPr>
                <w:bCs/>
                <w:sz w:val="12"/>
                <w:szCs w:val="12"/>
              </w:rPr>
              <w:t>19</w:t>
            </w:r>
          </w:p>
        </w:tc>
        <w:tc>
          <w:tcPr>
            <w:tcW w:w="173" w:type="pct"/>
            <w:tcBorders>
              <w:top w:val="single" w:sz="4" w:space="0" w:color="auto"/>
              <w:left w:val="single" w:sz="4" w:space="0" w:color="auto"/>
              <w:bottom w:val="single" w:sz="4" w:space="0" w:color="auto"/>
              <w:right w:val="single" w:sz="4" w:space="0" w:color="auto"/>
            </w:tcBorders>
            <w:vAlign w:val="center"/>
            <w:hideMark/>
          </w:tcPr>
          <w:p w14:paraId="0D9C33A3" w14:textId="77777777" w:rsidR="002F590A" w:rsidRDefault="002F590A">
            <w:pPr>
              <w:jc w:val="center"/>
              <w:rPr>
                <w:bCs/>
                <w:sz w:val="12"/>
                <w:szCs w:val="12"/>
              </w:rPr>
            </w:pPr>
            <w:r>
              <w:rPr>
                <w:bCs/>
                <w:sz w:val="12"/>
                <w:szCs w:val="12"/>
              </w:rPr>
              <w:t>20</w:t>
            </w:r>
          </w:p>
        </w:tc>
        <w:tc>
          <w:tcPr>
            <w:tcW w:w="173" w:type="pct"/>
            <w:tcBorders>
              <w:top w:val="single" w:sz="4" w:space="0" w:color="auto"/>
              <w:left w:val="single" w:sz="4" w:space="0" w:color="auto"/>
              <w:bottom w:val="single" w:sz="4" w:space="0" w:color="auto"/>
              <w:right w:val="single" w:sz="4" w:space="0" w:color="auto"/>
            </w:tcBorders>
            <w:vAlign w:val="center"/>
            <w:hideMark/>
          </w:tcPr>
          <w:p w14:paraId="3C759CD4" w14:textId="77777777" w:rsidR="002F590A" w:rsidRDefault="002F590A">
            <w:pPr>
              <w:jc w:val="center"/>
              <w:rPr>
                <w:bCs/>
                <w:sz w:val="12"/>
                <w:szCs w:val="12"/>
              </w:rPr>
            </w:pPr>
            <w:r>
              <w:rPr>
                <w:bCs/>
                <w:sz w:val="12"/>
                <w:szCs w:val="12"/>
              </w:rPr>
              <w:t>21</w:t>
            </w:r>
          </w:p>
        </w:tc>
        <w:tc>
          <w:tcPr>
            <w:tcW w:w="177" w:type="pct"/>
            <w:tcBorders>
              <w:top w:val="single" w:sz="4" w:space="0" w:color="auto"/>
              <w:left w:val="single" w:sz="4" w:space="0" w:color="auto"/>
              <w:bottom w:val="single" w:sz="4" w:space="0" w:color="auto"/>
              <w:right w:val="single" w:sz="4" w:space="0" w:color="auto"/>
            </w:tcBorders>
            <w:vAlign w:val="center"/>
            <w:hideMark/>
          </w:tcPr>
          <w:p w14:paraId="070E35BB" w14:textId="77777777" w:rsidR="002F590A" w:rsidRDefault="002F590A">
            <w:pPr>
              <w:jc w:val="center"/>
              <w:rPr>
                <w:bCs/>
                <w:sz w:val="12"/>
                <w:szCs w:val="12"/>
              </w:rPr>
            </w:pPr>
            <w:r>
              <w:rPr>
                <w:bCs/>
                <w:sz w:val="12"/>
                <w:szCs w:val="12"/>
              </w:rPr>
              <w:t>22</w:t>
            </w:r>
          </w:p>
        </w:tc>
        <w:tc>
          <w:tcPr>
            <w:tcW w:w="174" w:type="pct"/>
            <w:tcBorders>
              <w:top w:val="single" w:sz="4" w:space="0" w:color="auto"/>
              <w:left w:val="single" w:sz="4" w:space="0" w:color="auto"/>
              <w:bottom w:val="single" w:sz="4" w:space="0" w:color="auto"/>
              <w:right w:val="single" w:sz="4" w:space="0" w:color="auto"/>
            </w:tcBorders>
            <w:vAlign w:val="center"/>
            <w:hideMark/>
          </w:tcPr>
          <w:p w14:paraId="472FE9B3" w14:textId="77777777" w:rsidR="002F590A" w:rsidRDefault="002F590A">
            <w:pPr>
              <w:jc w:val="center"/>
              <w:rPr>
                <w:bCs/>
                <w:sz w:val="12"/>
                <w:szCs w:val="12"/>
              </w:rPr>
            </w:pPr>
            <w:r>
              <w:rPr>
                <w:bCs/>
                <w:sz w:val="12"/>
                <w:szCs w:val="12"/>
              </w:rPr>
              <w:t>23</w:t>
            </w:r>
          </w:p>
        </w:tc>
        <w:tc>
          <w:tcPr>
            <w:tcW w:w="128" w:type="pct"/>
            <w:tcBorders>
              <w:top w:val="single" w:sz="4" w:space="0" w:color="auto"/>
              <w:left w:val="single" w:sz="4" w:space="0" w:color="auto"/>
              <w:bottom w:val="single" w:sz="4" w:space="0" w:color="auto"/>
              <w:right w:val="single" w:sz="4" w:space="0" w:color="auto"/>
            </w:tcBorders>
            <w:vAlign w:val="center"/>
            <w:hideMark/>
          </w:tcPr>
          <w:p w14:paraId="14255CA9" w14:textId="77777777" w:rsidR="002F590A" w:rsidRDefault="002F590A">
            <w:pPr>
              <w:jc w:val="center"/>
              <w:rPr>
                <w:bCs/>
                <w:sz w:val="12"/>
                <w:szCs w:val="12"/>
              </w:rPr>
            </w:pPr>
            <w:r>
              <w:rPr>
                <w:bCs/>
                <w:sz w:val="12"/>
                <w:szCs w:val="12"/>
              </w:rPr>
              <w:t>24</w:t>
            </w:r>
          </w:p>
        </w:tc>
      </w:tr>
      <w:tr w:rsidR="002F590A" w14:paraId="33B01E5E" w14:textId="77777777" w:rsidTr="002F590A">
        <w:trPr>
          <w:trHeight w:val="897"/>
        </w:trPr>
        <w:tc>
          <w:tcPr>
            <w:tcW w:w="175" w:type="pct"/>
            <w:tcBorders>
              <w:top w:val="single" w:sz="4" w:space="0" w:color="auto"/>
              <w:left w:val="single" w:sz="4" w:space="0" w:color="auto"/>
              <w:bottom w:val="single" w:sz="4" w:space="0" w:color="auto"/>
              <w:right w:val="single" w:sz="4" w:space="0" w:color="auto"/>
            </w:tcBorders>
            <w:vAlign w:val="center"/>
            <w:hideMark/>
          </w:tcPr>
          <w:p w14:paraId="26D04A70" w14:textId="77777777" w:rsidR="002F590A" w:rsidRDefault="002F590A">
            <w:pPr>
              <w:jc w:val="center"/>
              <w:rPr>
                <w:sz w:val="12"/>
                <w:szCs w:val="12"/>
              </w:rPr>
            </w:pPr>
            <w:r>
              <w:rPr>
                <w:sz w:val="12"/>
                <w:szCs w:val="12"/>
              </w:rPr>
              <w:t>3.2.12.2</w:t>
            </w:r>
          </w:p>
        </w:tc>
        <w:tc>
          <w:tcPr>
            <w:tcW w:w="262" w:type="pct"/>
            <w:tcBorders>
              <w:top w:val="single" w:sz="4" w:space="0" w:color="auto"/>
              <w:left w:val="single" w:sz="4" w:space="0" w:color="auto"/>
              <w:bottom w:val="single" w:sz="4" w:space="0" w:color="auto"/>
              <w:right w:val="single" w:sz="4" w:space="0" w:color="auto"/>
            </w:tcBorders>
            <w:vAlign w:val="center"/>
            <w:hideMark/>
          </w:tcPr>
          <w:p w14:paraId="1FC46236" w14:textId="77777777" w:rsidR="002F590A" w:rsidRDefault="002F590A">
            <w:pPr>
              <w:rPr>
                <w:color w:val="000000"/>
                <w:sz w:val="12"/>
                <w:szCs w:val="12"/>
              </w:rPr>
            </w:pPr>
            <w:r>
              <w:rPr>
                <w:color w:val="000000"/>
                <w:sz w:val="12"/>
                <w:szCs w:val="12"/>
              </w:rPr>
              <w:t xml:space="preserve">Реконструкция с установкой </w:t>
            </w:r>
            <w:proofErr w:type="gramStart"/>
            <w:r>
              <w:rPr>
                <w:color w:val="000000"/>
                <w:sz w:val="12"/>
                <w:szCs w:val="12"/>
              </w:rPr>
              <w:t>автоматичес-кой</w:t>
            </w:r>
            <w:proofErr w:type="gramEnd"/>
            <w:r>
              <w:rPr>
                <w:color w:val="000000"/>
                <w:sz w:val="12"/>
                <w:szCs w:val="12"/>
              </w:rPr>
              <w:t xml:space="preserve"> химводоподго-товки</w:t>
            </w:r>
          </w:p>
        </w:tc>
        <w:tc>
          <w:tcPr>
            <w:tcW w:w="351" w:type="pct"/>
            <w:tcBorders>
              <w:top w:val="single" w:sz="4" w:space="0" w:color="auto"/>
              <w:left w:val="single" w:sz="4" w:space="0" w:color="auto"/>
              <w:bottom w:val="single" w:sz="4" w:space="0" w:color="auto"/>
              <w:right w:val="single" w:sz="4" w:space="0" w:color="auto"/>
            </w:tcBorders>
            <w:vAlign w:val="center"/>
            <w:hideMark/>
          </w:tcPr>
          <w:p w14:paraId="4BF87BF2" w14:textId="77777777" w:rsidR="002F590A" w:rsidRDefault="002F590A">
            <w:pPr>
              <w:jc w:val="center"/>
              <w:rPr>
                <w:sz w:val="12"/>
                <w:szCs w:val="12"/>
              </w:rPr>
            </w:pPr>
            <w:r>
              <w:rPr>
                <w:sz w:val="12"/>
                <w:szCs w:val="12"/>
              </w:rPr>
              <w:t>Повышение надежности (бесперебойности) услуг теплоснабжения, повышение энергетической эффективности</w:t>
            </w:r>
          </w:p>
        </w:tc>
        <w:tc>
          <w:tcPr>
            <w:tcW w:w="259" w:type="pct"/>
            <w:tcBorders>
              <w:top w:val="single" w:sz="4" w:space="0" w:color="auto"/>
              <w:left w:val="single" w:sz="4" w:space="0" w:color="auto"/>
              <w:bottom w:val="single" w:sz="4" w:space="0" w:color="auto"/>
              <w:right w:val="single" w:sz="4" w:space="0" w:color="auto"/>
            </w:tcBorders>
            <w:vAlign w:val="center"/>
            <w:hideMark/>
          </w:tcPr>
          <w:p w14:paraId="16B7D3F3" w14:textId="77777777" w:rsidR="002F590A" w:rsidRDefault="002F590A">
            <w:pPr>
              <w:jc w:val="center"/>
              <w:rPr>
                <w:sz w:val="12"/>
                <w:szCs w:val="12"/>
              </w:rPr>
            </w:pPr>
            <w:r>
              <w:rPr>
                <w:sz w:val="12"/>
                <w:szCs w:val="12"/>
              </w:rPr>
              <w:t> </w:t>
            </w:r>
          </w:p>
        </w:tc>
        <w:tc>
          <w:tcPr>
            <w:tcW w:w="298" w:type="pct"/>
            <w:tcBorders>
              <w:top w:val="single" w:sz="4" w:space="0" w:color="auto"/>
              <w:left w:val="single" w:sz="4" w:space="0" w:color="auto"/>
              <w:bottom w:val="single" w:sz="4" w:space="0" w:color="auto"/>
              <w:right w:val="single" w:sz="4" w:space="0" w:color="auto"/>
            </w:tcBorders>
            <w:vAlign w:val="center"/>
            <w:hideMark/>
          </w:tcPr>
          <w:p w14:paraId="254ACD5F" w14:textId="77777777" w:rsidR="002F590A" w:rsidRDefault="002F590A">
            <w:pPr>
              <w:jc w:val="center"/>
              <w:rPr>
                <w:sz w:val="12"/>
                <w:szCs w:val="12"/>
              </w:rPr>
            </w:pPr>
            <w:r>
              <w:rPr>
                <w:color w:val="000000"/>
                <w:sz w:val="12"/>
                <w:szCs w:val="12"/>
              </w:rPr>
              <w:t>Технические характеристики</w:t>
            </w:r>
          </w:p>
        </w:tc>
        <w:tc>
          <w:tcPr>
            <w:tcW w:w="130" w:type="pct"/>
            <w:tcBorders>
              <w:top w:val="single" w:sz="4" w:space="0" w:color="auto"/>
              <w:left w:val="single" w:sz="4" w:space="0" w:color="auto"/>
              <w:bottom w:val="single" w:sz="4" w:space="0" w:color="auto"/>
              <w:right w:val="single" w:sz="4" w:space="0" w:color="auto"/>
            </w:tcBorders>
            <w:vAlign w:val="center"/>
          </w:tcPr>
          <w:p w14:paraId="41B582EA" w14:textId="77777777" w:rsidR="002F590A" w:rsidRDefault="002F590A">
            <w:pPr>
              <w:jc w:val="center"/>
              <w:rPr>
                <w:sz w:val="12"/>
                <w:szCs w:val="12"/>
              </w:rPr>
            </w:pPr>
          </w:p>
        </w:tc>
        <w:tc>
          <w:tcPr>
            <w:tcW w:w="359" w:type="pct"/>
            <w:tcBorders>
              <w:top w:val="single" w:sz="4" w:space="0" w:color="auto"/>
              <w:left w:val="single" w:sz="4" w:space="0" w:color="auto"/>
              <w:bottom w:val="single" w:sz="4" w:space="0" w:color="auto"/>
              <w:right w:val="single" w:sz="4" w:space="0" w:color="auto"/>
            </w:tcBorders>
            <w:vAlign w:val="center"/>
            <w:hideMark/>
          </w:tcPr>
          <w:p w14:paraId="6B6C16D5" w14:textId="77777777" w:rsidR="002F590A" w:rsidRDefault="002F590A">
            <w:pPr>
              <w:jc w:val="center"/>
              <w:rPr>
                <w:color w:val="000000"/>
                <w:sz w:val="12"/>
                <w:szCs w:val="12"/>
              </w:rPr>
            </w:pPr>
            <w:r>
              <w:rPr>
                <w:color w:val="000000"/>
                <w:sz w:val="12"/>
                <w:szCs w:val="12"/>
              </w:rPr>
              <w:t xml:space="preserve">Отсутствует система умягчения холодной воды </w:t>
            </w:r>
          </w:p>
        </w:tc>
        <w:tc>
          <w:tcPr>
            <w:tcW w:w="349" w:type="pct"/>
            <w:tcBorders>
              <w:top w:val="single" w:sz="4" w:space="0" w:color="auto"/>
              <w:left w:val="single" w:sz="4" w:space="0" w:color="auto"/>
              <w:bottom w:val="single" w:sz="4" w:space="0" w:color="auto"/>
              <w:right w:val="single" w:sz="4" w:space="0" w:color="auto"/>
            </w:tcBorders>
            <w:vAlign w:val="center"/>
            <w:hideMark/>
          </w:tcPr>
          <w:p w14:paraId="2CB4E2B0" w14:textId="77777777" w:rsidR="002F590A" w:rsidRDefault="002F590A">
            <w:pPr>
              <w:jc w:val="center"/>
              <w:rPr>
                <w:color w:val="000000"/>
                <w:sz w:val="12"/>
                <w:szCs w:val="12"/>
              </w:rPr>
            </w:pPr>
            <w:r>
              <w:rPr>
                <w:sz w:val="12"/>
                <w:szCs w:val="12"/>
              </w:rPr>
              <w:t>Оборудование позволит снизить жесткость воды (убрать излишек магния и кальция), исключает образование отложений солей жесткости на внутренних поверхностях труб, котлов и др. теплового оборудования, что увеличит срок службы, снизит расход топлива, исключаются затраты на замену котлов и другого тепломеханического оборудования.</w:t>
            </w:r>
          </w:p>
        </w:tc>
        <w:tc>
          <w:tcPr>
            <w:tcW w:w="131" w:type="pct"/>
            <w:tcBorders>
              <w:top w:val="single" w:sz="4" w:space="0" w:color="auto"/>
              <w:left w:val="single" w:sz="4" w:space="0" w:color="auto"/>
              <w:bottom w:val="single" w:sz="4" w:space="0" w:color="auto"/>
              <w:right w:val="single" w:sz="4" w:space="0" w:color="auto"/>
            </w:tcBorders>
            <w:vAlign w:val="center"/>
            <w:hideMark/>
          </w:tcPr>
          <w:p w14:paraId="326956C6" w14:textId="77777777" w:rsidR="002F590A" w:rsidRDefault="002F590A">
            <w:pPr>
              <w:jc w:val="center"/>
              <w:rPr>
                <w:sz w:val="12"/>
                <w:szCs w:val="12"/>
              </w:rPr>
            </w:pPr>
            <w:r>
              <w:rPr>
                <w:sz w:val="12"/>
                <w:szCs w:val="12"/>
              </w:rPr>
              <w:t>2025</w:t>
            </w:r>
          </w:p>
        </w:tc>
        <w:tc>
          <w:tcPr>
            <w:tcW w:w="133" w:type="pct"/>
            <w:tcBorders>
              <w:top w:val="single" w:sz="4" w:space="0" w:color="auto"/>
              <w:left w:val="single" w:sz="4" w:space="0" w:color="auto"/>
              <w:bottom w:val="single" w:sz="4" w:space="0" w:color="auto"/>
              <w:right w:val="single" w:sz="4" w:space="0" w:color="auto"/>
            </w:tcBorders>
            <w:vAlign w:val="center"/>
            <w:hideMark/>
          </w:tcPr>
          <w:p w14:paraId="0E32C5CC" w14:textId="77777777" w:rsidR="002F590A" w:rsidRDefault="002F590A">
            <w:pPr>
              <w:jc w:val="center"/>
              <w:rPr>
                <w:sz w:val="12"/>
                <w:szCs w:val="12"/>
              </w:rPr>
            </w:pPr>
            <w:r>
              <w:rPr>
                <w:sz w:val="12"/>
                <w:szCs w:val="12"/>
              </w:rPr>
              <w:t>2025</w:t>
            </w:r>
          </w:p>
        </w:tc>
        <w:tc>
          <w:tcPr>
            <w:tcW w:w="198" w:type="pct"/>
            <w:tcBorders>
              <w:top w:val="single" w:sz="4" w:space="0" w:color="auto"/>
              <w:left w:val="single" w:sz="4" w:space="0" w:color="auto"/>
              <w:bottom w:val="single" w:sz="4" w:space="0" w:color="auto"/>
              <w:right w:val="single" w:sz="4" w:space="0" w:color="auto"/>
            </w:tcBorders>
            <w:vAlign w:val="center"/>
            <w:hideMark/>
          </w:tcPr>
          <w:p w14:paraId="4CDACABF" w14:textId="77777777" w:rsidR="002F590A" w:rsidRDefault="002F590A">
            <w:pPr>
              <w:jc w:val="center"/>
              <w:rPr>
                <w:color w:val="000000"/>
                <w:sz w:val="12"/>
                <w:szCs w:val="12"/>
              </w:rPr>
            </w:pPr>
            <w:r>
              <w:rPr>
                <w:color w:val="000000"/>
                <w:sz w:val="12"/>
                <w:szCs w:val="12"/>
              </w:rPr>
              <w:t>51,52</w:t>
            </w:r>
          </w:p>
        </w:tc>
        <w:tc>
          <w:tcPr>
            <w:tcW w:w="178" w:type="pct"/>
            <w:tcBorders>
              <w:top w:val="single" w:sz="4" w:space="0" w:color="auto"/>
              <w:left w:val="single" w:sz="4" w:space="0" w:color="auto"/>
              <w:bottom w:val="single" w:sz="4" w:space="0" w:color="auto"/>
              <w:right w:val="single" w:sz="4" w:space="0" w:color="auto"/>
            </w:tcBorders>
            <w:vAlign w:val="center"/>
            <w:hideMark/>
          </w:tcPr>
          <w:p w14:paraId="00A0DE9A" w14:textId="77777777" w:rsidR="002F590A" w:rsidRDefault="002F590A">
            <w:pPr>
              <w:jc w:val="center"/>
              <w:rPr>
                <w:color w:val="000000"/>
                <w:sz w:val="12"/>
                <w:szCs w:val="12"/>
              </w:rPr>
            </w:pPr>
            <w:r>
              <w:rPr>
                <w:color w:val="000000"/>
                <w:sz w:val="12"/>
                <w:szCs w:val="12"/>
              </w:rPr>
              <w:t>0,00</w:t>
            </w:r>
          </w:p>
        </w:tc>
        <w:tc>
          <w:tcPr>
            <w:tcW w:w="218" w:type="pct"/>
            <w:tcBorders>
              <w:top w:val="single" w:sz="4" w:space="0" w:color="auto"/>
              <w:left w:val="single" w:sz="4" w:space="0" w:color="auto"/>
              <w:bottom w:val="single" w:sz="4" w:space="0" w:color="auto"/>
              <w:right w:val="single" w:sz="4" w:space="0" w:color="auto"/>
            </w:tcBorders>
            <w:vAlign w:val="center"/>
            <w:hideMark/>
          </w:tcPr>
          <w:p w14:paraId="36886BEC" w14:textId="77777777" w:rsidR="002F590A" w:rsidRDefault="002F590A">
            <w:pPr>
              <w:jc w:val="center"/>
              <w:rPr>
                <w:sz w:val="12"/>
                <w:szCs w:val="12"/>
              </w:rPr>
            </w:pPr>
            <w:r>
              <w:rPr>
                <w:sz w:val="12"/>
                <w:szCs w:val="12"/>
              </w:rPr>
              <w:t>0,00</w:t>
            </w:r>
          </w:p>
        </w:tc>
        <w:tc>
          <w:tcPr>
            <w:tcW w:w="220" w:type="pct"/>
            <w:tcBorders>
              <w:top w:val="single" w:sz="4" w:space="0" w:color="auto"/>
              <w:left w:val="single" w:sz="4" w:space="0" w:color="auto"/>
              <w:bottom w:val="single" w:sz="4" w:space="0" w:color="auto"/>
              <w:right w:val="single" w:sz="4" w:space="0" w:color="auto"/>
            </w:tcBorders>
            <w:vAlign w:val="center"/>
            <w:hideMark/>
          </w:tcPr>
          <w:p w14:paraId="2AA11C7F" w14:textId="77777777" w:rsidR="002F590A" w:rsidRDefault="002F590A">
            <w:pPr>
              <w:jc w:val="center"/>
              <w:rPr>
                <w:sz w:val="12"/>
                <w:szCs w:val="12"/>
              </w:rPr>
            </w:pPr>
            <w:r>
              <w:rPr>
                <w:sz w:val="12"/>
                <w:szCs w:val="12"/>
              </w:rPr>
              <w:t>0,00</w:t>
            </w:r>
          </w:p>
        </w:tc>
        <w:tc>
          <w:tcPr>
            <w:tcW w:w="214" w:type="pct"/>
            <w:tcBorders>
              <w:top w:val="single" w:sz="4" w:space="0" w:color="auto"/>
              <w:left w:val="single" w:sz="4" w:space="0" w:color="auto"/>
              <w:bottom w:val="single" w:sz="4" w:space="0" w:color="auto"/>
              <w:right w:val="single" w:sz="4" w:space="0" w:color="auto"/>
            </w:tcBorders>
            <w:vAlign w:val="center"/>
            <w:hideMark/>
          </w:tcPr>
          <w:p w14:paraId="01CEF853" w14:textId="77777777" w:rsidR="002F590A" w:rsidRDefault="002F590A">
            <w:pPr>
              <w:jc w:val="center"/>
              <w:rPr>
                <w:sz w:val="12"/>
                <w:szCs w:val="12"/>
              </w:rPr>
            </w:pPr>
            <w:r>
              <w:rPr>
                <w:sz w:val="12"/>
                <w:szCs w:val="12"/>
              </w:rPr>
              <w:t>0,00</w:t>
            </w:r>
          </w:p>
        </w:tc>
        <w:tc>
          <w:tcPr>
            <w:tcW w:w="179" w:type="pct"/>
            <w:tcBorders>
              <w:top w:val="single" w:sz="4" w:space="0" w:color="auto"/>
              <w:left w:val="single" w:sz="4" w:space="0" w:color="auto"/>
              <w:bottom w:val="single" w:sz="4" w:space="0" w:color="auto"/>
              <w:right w:val="single" w:sz="4" w:space="0" w:color="auto"/>
            </w:tcBorders>
            <w:vAlign w:val="center"/>
            <w:hideMark/>
          </w:tcPr>
          <w:p w14:paraId="7C1946DD" w14:textId="77777777" w:rsidR="002F590A" w:rsidRDefault="002F590A">
            <w:pPr>
              <w:jc w:val="center"/>
              <w:rPr>
                <w:sz w:val="12"/>
                <w:szCs w:val="12"/>
              </w:rPr>
            </w:pPr>
            <w:r>
              <w:rPr>
                <w:sz w:val="12"/>
                <w:szCs w:val="12"/>
              </w:rPr>
              <w:t>51,52</w:t>
            </w:r>
          </w:p>
        </w:tc>
        <w:tc>
          <w:tcPr>
            <w:tcW w:w="171" w:type="pct"/>
            <w:tcBorders>
              <w:top w:val="single" w:sz="4" w:space="0" w:color="auto"/>
              <w:left w:val="single" w:sz="4" w:space="0" w:color="auto"/>
              <w:bottom w:val="single" w:sz="4" w:space="0" w:color="auto"/>
              <w:right w:val="single" w:sz="4" w:space="0" w:color="auto"/>
            </w:tcBorders>
            <w:vAlign w:val="center"/>
            <w:hideMark/>
          </w:tcPr>
          <w:p w14:paraId="70C08DC3"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260B5DF7" w14:textId="77777777" w:rsidR="002F590A" w:rsidRDefault="002F590A">
            <w:pPr>
              <w:jc w:val="center"/>
              <w:rPr>
                <w:sz w:val="12"/>
                <w:szCs w:val="12"/>
              </w:rPr>
            </w:pPr>
            <w:r>
              <w:rPr>
                <w:sz w:val="12"/>
                <w:szCs w:val="12"/>
              </w:rPr>
              <w:t>0,00</w:t>
            </w:r>
          </w:p>
        </w:tc>
        <w:tc>
          <w:tcPr>
            <w:tcW w:w="177" w:type="pct"/>
            <w:tcBorders>
              <w:top w:val="single" w:sz="4" w:space="0" w:color="auto"/>
              <w:left w:val="single" w:sz="4" w:space="0" w:color="auto"/>
              <w:bottom w:val="single" w:sz="4" w:space="0" w:color="auto"/>
              <w:right w:val="single" w:sz="4" w:space="0" w:color="auto"/>
            </w:tcBorders>
            <w:vAlign w:val="center"/>
            <w:hideMark/>
          </w:tcPr>
          <w:p w14:paraId="1D208468"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03843BB0"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02F2815E" w14:textId="77777777" w:rsidR="002F590A" w:rsidRDefault="002F590A">
            <w:pPr>
              <w:jc w:val="center"/>
              <w:rPr>
                <w:sz w:val="12"/>
                <w:szCs w:val="12"/>
              </w:rPr>
            </w:pPr>
            <w:r>
              <w:rPr>
                <w:sz w:val="12"/>
                <w:szCs w:val="12"/>
              </w:rPr>
              <w:t>0,00</w:t>
            </w:r>
          </w:p>
        </w:tc>
        <w:tc>
          <w:tcPr>
            <w:tcW w:w="177" w:type="pct"/>
            <w:tcBorders>
              <w:top w:val="single" w:sz="4" w:space="0" w:color="auto"/>
              <w:left w:val="single" w:sz="4" w:space="0" w:color="auto"/>
              <w:bottom w:val="single" w:sz="4" w:space="0" w:color="auto"/>
              <w:right w:val="single" w:sz="4" w:space="0" w:color="auto"/>
            </w:tcBorders>
            <w:vAlign w:val="center"/>
            <w:hideMark/>
          </w:tcPr>
          <w:p w14:paraId="2C59AFFE"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07C169A3" w14:textId="77777777" w:rsidR="002F590A" w:rsidRDefault="002F590A">
            <w:pPr>
              <w:jc w:val="center"/>
              <w:rPr>
                <w:color w:val="000000"/>
                <w:sz w:val="12"/>
                <w:szCs w:val="12"/>
              </w:rPr>
            </w:pPr>
            <w:r>
              <w:rPr>
                <w:color w:val="000000"/>
                <w:sz w:val="12"/>
                <w:szCs w:val="12"/>
              </w:rPr>
              <w:t>0,00</w:t>
            </w:r>
          </w:p>
        </w:tc>
        <w:tc>
          <w:tcPr>
            <w:tcW w:w="128" w:type="pct"/>
            <w:tcBorders>
              <w:top w:val="single" w:sz="4" w:space="0" w:color="auto"/>
              <w:left w:val="single" w:sz="4" w:space="0" w:color="auto"/>
              <w:bottom w:val="single" w:sz="4" w:space="0" w:color="auto"/>
              <w:right w:val="single" w:sz="4" w:space="0" w:color="auto"/>
            </w:tcBorders>
            <w:vAlign w:val="center"/>
            <w:hideMark/>
          </w:tcPr>
          <w:p w14:paraId="21FE4BD6" w14:textId="77777777" w:rsidR="002F590A" w:rsidRDefault="002F590A">
            <w:pPr>
              <w:jc w:val="center"/>
              <w:rPr>
                <w:color w:val="000000"/>
                <w:sz w:val="12"/>
                <w:szCs w:val="12"/>
              </w:rPr>
            </w:pPr>
            <w:r>
              <w:rPr>
                <w:color w:val="000000"/>
                <w:sz w:val="12"/>
                <w:szCs w:val="12"/>
              </w:rPr>
              <w:t>0,00</w:t>
            </w:r>
          </w:p>
        </w:tc>
      </w:tr>
      <w:tr w:rsidR="002F590A" w14:paraId="3D163591" w14:textId="77777777" w:rsidTr="002F590A">
        <w:trPr>
          <w:trHeight w:val="1055"/>
        </w:trPr>
        <w:tc>
          <w:tcPr>
            <w:tcW w:w="175" w:type="pct"/>
            <w:tcBorders>
              <w:top w:val="single" w:sz="4" w:space="0" w:color="auto"/>
              <w:left w:val="single" w:sz="4" w:space="0" w:color="auto"/>
              <w:bottom w:val="single" w:sz="4" w:space="0" w:color="auto"/>
              <w:right w:val="single" w:sz="4" w:space="0" w:color="auto"/>
            </w:tcBorders>
            <w:vAlign w:val="center"/>
            <w:hideMark/>
          </w:tcPr>
          <w:p w14:paraId="0689DCE2" w14:textId="77777777" w:rsidR="002F590A" w:rsidRDefault="002F590A">
            <w:pPr>
              <w:jc w:val="center"/>
              <w:rPr>
                <w:bCs/>
                <w:sz w:val="12"/>
                <w:szCs w:val="12"/>
              </w:rPr>
            </w:pPr>
            <w:r>
              <w:rPr>
                <w:bCs/>
                <w:sz w:val="12"/>
                <w:szCs w:val="12"/>
              </w:rPr>
              <w:t>3.2.13.</w:t>
            </w:r>
          </w:p>
        </w:tc>
        <w:tc>
          <w:tcPr>
            <w:tcW w:w="262" w:type="pct"/>
            <w:tcBorders>
              <w:top w:val="single" w:sz="4" w:space="0" w:color="auto"/>
              <w:left w:val="single" w:sz="4" w:space="0" w:color="auto"/>
              <w:bottom w:val="single" w:sz="4" w:space="0" w:color="auto"/>
              <w:right w:val="single" w:sz="4" w:space="0" w:color="auto"/>
            </w:tcBorders>
            <w:vAlign w:val="center"/>
            <w:hideMark/>
          </w:tcPr>
          <w:p w14:paraId="71EB90AE" w14:textId="77777777" w:rsidR="002F590A" w:rsidRDefault="002F590A">
            <w:pPr>
              <w:rPr>
                <w:bCs/>
                <w:color w:val="000000"/>
                <w:sz w:val="12"/>
                <w:szCs w:val="12"/>
              </w:rPr>
            </w:pPr>
            <w:r>
              <w:rPr>
                <w:bCs/>
                <w:color w:val="000000"/>
                <w:sz w:val="12"/>
                <w:szCs w:val="12"/>
              </w:rPr>
              <w:t>Реконструкция котельной №65</w:t>
            </w:r>
          </w:p>
        </w:tc>
        <w:tc>
          <w:tcPr>
            <w:tcW w:w="351" w:type="pct"/>
            <w:tcBorders>
              <w:top w:val="single" w:sz="4" w:space="0" w:color="auto"/>
              <w:left w:val="single" w:sz="4" w:space="0" w:color="auto"/>
              <w:bottom w:val="single" w:sz="4" w:space="0" w:color="auto"/>
              <w:right w:val="single" w:sz="4" w:space="0" w:color="auto"/>
            </w:tcBorders>
            <w:vAlign w:val="center"/>
          </w:tcPr>
          <w:p w14:paraId="751A6775" w14:textId="77777777" w:rsidR="002F590A" w:rsidRDefault="002F590A">
            <w:pPr>
              <w:jc w:val="center"/>
              <w:rPr>
                <w:sz w:val="12"/>
                <w:szCs w:val="12"/>
              </w:rPr>
            </w:pPr>
          </w:p>
        </w:tc>
        <w:tc>
          <w:tcPr>
            <w:tcW w:w="259" w:type="pct"/>
            <w:tcBorders>
              <w:top w:val="single" w:sz="4" w:space="0" w:color="auto"/>
              <w:left w:val="single" w:sz="4" w:space="0" w:color="auto"/>
              <w:bottom w:val="single" w:sz="4" w:space="0" w:color="auto"/>
              <w:right w:val="single" w:sz="4" w:space="0" w:color="auto"/>
            </w:tcBorders>
            <w:vAlign w:val="center"/>
            <w:hideMark/>
          </w:tcPr>
          <w:p w14:paraId="10FFE446" w14:textId="77777777" w:rsidR="002F590A" w:rsidRDefault="002F590A">
            <w:pPr>
              <w:jc w:val="center"/>
              <w:rPr>
                <w:bCs/>
                <w:sz w:val="12"/>
                <w:szCs w:val="12"/>
              </w:rPr>
            </w:pPr>
            <w:r>
              <w:rPr>
                <w:bCs/>
                <w:sz w:val="12"/>
                <w:szCs w:val="12"/>
              </w:rPr>
              <w:t xml:space="preserve">Кемеровский городской округ, </w:t>
            </w:r>
            <w:proofErr w:type="gramStart"/>
            <w:r>
              <w:rPr>
                <w:bCs/>
                <w:sz w:val="12"/>
                <w:szCs w:val="12"/>
              </w:rPr>
              <w:t>ж .</w:t>
            </w:r>
            <w:proofErr w:type="gramEnd"/>
            <w:r>
              <w:rPr>
                <w:bCs/>
                <w:sz w:val="12"/>
                <w:szCs w:val="12"/>
              </w:rPr>
              <w:t xml:space="preserve">р. Кедровский, ул. Греческая Деревня, </w:t>
            </w:r>
            <w:r>
              <w:rPr>
                <w:bCs/>
                <w:sz w:val="12"/>
                <w:szCs w:val="12"/>
              </w:rPr>
              <w:br/>
              <w:t xml:space="preserve">д 157б </w:t>
            </w:r>
          </w:p>
        </w:tc>
        <w:tc>
          <w:tcPr>
            <w:tcW w:w="298" w:type="pct"/>
            <w:tcBorders>
              <w:top w:val="single" w:sz="4" w:space="0" w:color="auto"/>
              <w:left w:val="single" w:sz="4" w:space="0" w:color="auto"/>
              <w:bottom w:val="single" w:sz="4" w:space="0" w:color="auto"/>
              <w:right w:val="single" w:sz="4" w:space="0" w:color="auto"/>
            </w:tcBorders>
            <w:vAlign w:val="center"/>
            <w:hideMark/>
          </w:tcPr>
          <w:p w14:paraId="43E51324" w14:textId="77777777" w:rsidR="002F590A" w:rsidRDefault="002F590A">
            <w:pPr>
              <w:jc w:val="center"/>
              <w:rPr>
                <w:sz w:val="12"/>
                <w:szCs w:val="12"/>
              </w:rPr>
            </w:pPr>
            <w:r>
              <w:rPr>
                <w:color w:val="000000"/>
                <w:sz w:val="12"/>
                <w:szCs w:val="12"/>
              </w:rPr>
              <w:t>Технические характеристики</w:t>
            </w:r>
          </w:p>
        </w:tc>
        <w:tc>
          <w:tcPr>
            <w:tcW w:w="130" w:type="pct"/>
            <w:tcBorders>
              <w:top w:val="single" w:sz="4" w:space="0" w:color="auto"/>
              <w:left w:val="single" w:sz="4" w:space="0" w:color="auto"/>
              <w:bottom w:val="single" w:sz="4" w:space="0" w:color="auto"/>
              <w:right w:val="single" w:sz="4" w:space="0" w:color="auto"/>
            </w:tcBorders>
            <w:vAlign w:val="center"/>
          </w:tcPr>
          <w:p w14:paraId="461C3162" w14:textId="77777777" w:rsidR="002F590A" w:rsidRDefault="002F590A">
            <w:pPr>
              <w:jc w:val="center"/>
              <w:rPr>
                <w:sz w:val="12"/>
                <w:szCs w:val="12"/>
              </w:rPr>
            </w:pPr>
          </w:p>
        </w:tc>
        <w:tc>
          <w:tcPr>
            <w:tcW w:w="359" w:type="pct"/>
            <w:tcBorders>
              <w:top w:val="single" w:sz="4" w:space="0" w:color="auto"/>
              <w:left w:val="single" w:sz="4" w:space="0" w:color="auto"/>
              <w:bottom w:val="single" w:sz="4" w:space="0" w:color="auto"/>
              <w:right w:val="single" w:sz="4" w:space="0" w:color="auto"/>
            </w:tcBorders>
            <w:vAlign w:val="center"/>
            <w:hideMark/>
          </w:tcPr>
          <w:p w14:paraId="429F4642" w14:textId="77777777" w:rsidR="002F590A" w:rsidRDefault="002F590A">
            <w:pPr>
              <w:jc w:val="center"/>
              <w:rPr>
                <w:sz w:val="12"/>
                <w:szCs w:val="12"/>
              </w:rPr>
            </w:pPr>
            <w:r>
              <w:rPr>
                <w:sz w:val="12"/>
                <w:szCs w:val="12"/>
              </w:rPr>
              <w:t> </w:t>
            </w:r>
          </w:p>
        </w:tc>
        <w:tc>
          <w:tcPr>
            <w:tcW w:w="349" w:type="pct"/>
            <w:tcBorders>
              <w:top w:val="single" w:sz="4" w:space="0" w:color="auto"/>
              <w:left w:val="single" w:sz="4" w:space="0" w:color="auto"/>
              <w:bottom w:val="single" w:sz="4" w:space="0" w:color="auto"/>
              <w:right w:val="single" w:sz="4" w:space="0" w:color="auto"/>
            </w:tcBorders>
            <w:vAlign w:val="center"/>
            <w:hideMark/>
          </w:tcPr>
          <w:p w14:paraId="73571AA7" w14:textId="77777777" w:rsidR="002F590A" w:rsidRDefault="002F590A">
            <w:pPr>
              <w:jc w:val="center"/>
              <w:rPr>
                <w:sz w:val="12"/>
                <w:szCs w:val="12"/>
              </w:rPr>
            </w:pPr>
            <w:r>
              <w:rPr>
                <w:sz w:val="12"/>
                <w:szCs w:val="12"/>
              </w:rPr>
              <w:t> </w:t>
            </w:r>
          </w:p>
        </w:tc>
        <w:tc>
          <w:tcPr>
            <w:tcW w:w="131" w:type="pct"/>
            <w:tcBorders>
              <w:top w:val="single" w:sz="4" w:space="0" w:color="auto"/>
              <w:left w:val="single" w:sz="4" w:space="0" w:color="auto"/>
              <w:bottom w:val="single" w:sz="4" w:space="0" w:color="auto"/>
              <w:right w:val="single" w:sz="4" w:space="0" w:color="auto"/>
            </w:tcBorders>
            <w:vAlign w:val="center"/>
          </w:tcPr>
          <w:p w14:paraId="6FA68036" w14:textId="77777777" w:rsidR="002F590A" w:rsidRDefault="002F590A">
            <w:pPr>
              <w:jc w:val="center"/>
              <w:rPr>
                <w:sz w:val="12"/>
                <w:szCs w:val="12"/>
              </w:rPr>
            </w:pPr>
          </w:p>
        </w:tc>
        <w:tc>
          <w:tcPr>
            <w:tcW w:w="133" w:type="pct"/>
            <w:tcBorders>
              <w:top w:val="single" w:sz="4" w:space="0" w:color="auto"/>
              <w:left w:val="single" w:sz="4" w:space="0" w:color="auto"/>
              <w:bottom w:val="single" w:sz="4" w:space="0" w:color="auto"/>
              <w:right w:val="single" w:sz="4" w:space="0" w:color="auto"/>
            </w:tcBorders>
            <w:vAlign w:val="center"/>
          </w:tcPr>
          <w:p w14:paraId="61918815" w14:textId="77777777" w:rsidR="002F590A" w:rsidRDefault="002F590A">
            <w:pPr>
              <w:jc w:val="center"/>
              <w:rPr>
                <w:sz w:val="12"/>
                <w:szCs w:val="12"/>
              </w:rPr>
            </w:pPr>
          </w:p>
        </w:tc>
        <w:tc>
          <w:tcPr>
            <w:tcW w:w="198" w:type="pct"/>
            <w:tcBorders>
              <w:top w:val="single" w:sz="4" w:space="0" w:color="auto"/>
              <w:left w:val="single" w:sz="4" w:space="0" w:color="auto"/>
              <w:bottom w:val="single" w:sz="4" w:space="0" w:color="auto"/>
              <w:right w:val="single" w:sz="4" w:space="0" w:color="auto"/>
            </w:tcBorders>
            <w:vAlign w:val="center"/>
          </w:tcPr>
          <w:p w14:paraId="271E8032" w14:textId="77777777" w:rsidR="002F590A" w:rsidRDefault="002F590A">
            <w:pPr>
              <w:jc w:val="center"/>
              <w:rPr>
                <w:color w:val="000000"/>
                <w:sz w:val="12"/>
                <w:szCs w:val="12"/>
              </w:rPr>
            </w:pPr>
          </w:p>
        </w:tc>
        <w:tc>
          <w:tcPr>
            <w:tcW w:w="178" w:type="pct"/>
            <w:tcBorders>
              <w:top w:val="single" w:sz="4" w:space="0" w:color="auto"/>
              <w:left w:val="single" w:sz="4" w:space="0" w:color="auto"/>
              <w:bottom w:val="single" w:sz="4" w:space="0" w:color="auto"/>
              <w:right w:val="single" w:sz="4" w:space="0" w:color="auto"/>
            </w:tcBorders>
            <w:vAlign w:val="center"/>
          </w:tcPr>
          <w:p w14:paraId="5828CD96" w14:textId="77777777" w:rsidR="002F590A" w:rsidRDefault="002F590A">
            <w:pPr>
              <w:jc w:val="center"/>
              <w:rPr>
                <w:color w:val="000000"/>
                <w:sz w:val="12"/>
                <w:szCs w:val="12"/>
              </w:rPr>
            </w:pPr>
          </w:p>
        </w:tc>
        <w:tc>
          <w:tcPr>
            <w:tcW w:w="218" w:type="pct"/>
            <w:tcBorders>
              <w:top w:val="single" w:sz="4" w:space="0" w:color="auto"/>
              <w:left w:val="single" w:sz="4" w:space="0" w:color="auto"/>
              <w:bottom w:val="single" w:sz="4" w:space="0" w:color="auto"/>
              <w:right w:val="single" w:sz="4" w:space="0" w:color="auto"/>
            </w:tcBorders>
            <w:vAlign w:val="center"/>
          </w:tcPr>
          <w:p w14:paraId="3063E203" w14:textId="77777777" w:rsidR="002F590A" w:rsidRDefault="002F590A">
            <w:pPr>
              <w:jc w:val="center"/>
              <w:rPr>
                <w:sz w:val="12"/>
                <w:szCs w:val="12"/>
              </w:rPr>
            </w:pPr>
          </w:p>
        </w:tc>
        <w:tc>
          <w:tcPr>
            <w:tcW w:w="220" w:type="pct"/>
            <w:tcBorders>
              <w:top w:val="single" w:sz="4" w:space="0" w:color="auto"/>
              <w:left w:val="single" w:sz="4" w:space="0" w:color="auto"/>
              <w:bottom w:val="single" w:sz="4" w:space="0" w:color="auto"/>
              <w:right w:val="single" w:sz="4" w:space="0" w:color="auto"/>
            </w:tcBorders>
            <w:vAlign w:val="center"/>
          </w:tcPr>
          <w:p w14:paraId="02E263DC" w14:textId="77777777" w:rsidR="002F590A" w:rsidRDefault="002F590A">
            <w:pPr>
              <w:jc w:val="center"/>
              <w:rPr>
                <w:sz w:val="12"/>
                <w:szCs w:val="12"/>
              </w:rPr>
            </w:pPr>
          </w:p>
        </w:tc>
        <w:tc>
          <w:tcPr>
            <w:tcW w:w="214" w:type="pct"/>
            <w:tcBorders>
              <w:top w:val="single" w:sz="4" w:space="0" w:color="auto"/>
              <w:left w:val="single" w:sz="4" w:space="0" w:color="auto"/>
              <w:bottom w:val="single" w:sz="4" w:space="0" w:color="auto"/>
              <w:right w:val="single" w:sz="4" w:space="0" w:color="auto"/>
            </w:tcBorders>
            <w:vAlign w:val="center"/>
          </w:tcPr>
          <w:p w14:paraId="421DAF6F" w14:textId="77777777" w:rsidR="002F590A" w:rsidRDefault="002F590A">
            <w:pPr>
              <w:jc w:val="center"/>
              <w:rPr>
                <w:sz w:val="12"/>
                <w:szCs w:val="12"/>
              </w:rPr>
            </w:pPr>
          </w:p>
        </w:tc>
        <w:tc>
          <w:tcPr>
            <w:tcW w:w="179" w:type="pct"/>
            <w:tcBorders>
              <w:top w:val="single" w:sz="4" w:space="0" w:color="auto"/>
              <w:left w:val="single" w:sz="4" w:space="0" w:color="auto"/>
              <w:bottom w:val="single" w:sz="4" w:space="0" w:color="auto"/>
              <w:right w:val="single" w:sz="4" w:space="0" w:color="auto"/>
            </w:tcBorders>
            <w:vAlign w:val="center"/>
          </w:tcPr>
          <w:p w14:paraId="07E01E3B" w14:textId="77777777" w:rsidR="002F590A" w:rsidRDefault="002F590A">
            <w:pPr>
              <w:jc w:val="center"/>
              <w:rPr>
                <w:sz w:val="12"/>
                <w:szCs w:val="12"/>
              </w:rPr>
            </w:pPr>
          </w:p>
        </w:tc>
        <w:tc>
          <w:tcPr>
            <w:tcW w:w="171" w:type="pct"/>
            <w:tcBorders>
              <w:top w:val="single" w:sz="4" w:space="0" w:color="auto"/>
              <w:left w:val="single" w:sz="4" w:space="0" w:color="auto"/>
              <w:bottom w:val="single" w:sz="4" w:space="0" w:color="auto"/>
              <w:right w:val="single" w:sz="4" w:space="0" w:color="auto"/>
            </w:tcBorders>
            <w:vAlign w:val="center"/>
          </w:tcPr>
          <w:p w14:paraId="3BF46CF0" w14:textId="77777777" w:rsidR="002F590A" w:rsidRDefault="002F590A">
            <w:pPr>
              <w:jc w:val="center"/>
              <w:rPr>
                <w:sz w:val="12"/>
                <w:szCs w:val="12"/>
              </w:rPr>
            </w:pPr>
          </w:p>
        </w:tc>
        <w:tc>
          <w:tcPr>
            <w:tcW w:w="173" w:type="pct"/>
            <w:tcBorders>
              <w:top w:val="single" w:sz="4" w:space="0" w:color="auto"/>
              <w:left w:val="single" w:sz="4" w:space="0" w:color="auto"/>
              <w:bottom w:val="single" w:sz="4" w:space="0" w:color="auto"/>
              <w:right w:val="single" w:sz="4" w:space="0" w:color="auto"/>
            </w:tcBorders>
            <w:vAlign w:val="center"/>
          </w:tcPr>
          <w:p w14:paraId="2B04132C" w14:textId="77777777" w:rsidR="002F590A" w:rsidRDefault="002F590A">
            <w:pPr>
              <w:jc w:val="center"/>
              <w:rPr>
                <w:sz w:val="12"/>
                <w:szCs w:val="12"/>
              </w:rPr>
            </w:pPr>
          </w:p>
        </w:tc>
        <w:tc>
          <w:tcPr>
            <w:tcW w:w="177" w:type="pct"/>
            <w:tcBorders>
              <w:top w:val="single" w:sz="4" w:space="0" w:color="auto"/>
              <w:left w:val="single" w:sz="4" w:space="0" w:color="auto"/>
              <w:bottom w:val="single" w:sz="4" w:space="0" w:color="auto"/>
              <w:right w:val="single" w:sz="4" w:space="0" w:color="auto"/>
            </w:tcBorders>
            <w:vAlign w:val="center"/>
          </w:tcPr>
          <w:p w14:paraId="56604C9C" w14:textId="77777777" w:rsidR="002F590A" w:rsidRDefault="002F590A">
            <w:pPr>
              <w:jc w:val="center"/>
              <w:rPr>
                <w:sz w:val="12"/>
                <w:szCs w:val="12"/>
              </w:rPr>
            </w:pPr>
          </w:p>
        </w:tc>
        <w:tc>
          <w:tcPr>
            <w:tcW w:w="173" w:type="pct"/>
            <w:tcBorders>
              <w:top w:val="single" w:sz="4" w:space="0" w:color="auto"/>
              <w:left w:val="single" w:sz="4" w:space="0" w:color="auto"/>
              <w:bottom w:val="single" w:sz="4" w:space="0" w:color="auto"/>
              <w:right w:val="single" w:sz="4" w:space="0" w:color="auto"/>
            </w:tcBorders>
            <w:vAlign w:val="center"/>
          </w:tcPr>
          <w:p w14:paraId="4767DD67" w14:textId="77777777" w:rsidR="002F590A" w:rsidRDefault="002F590A">
            <w:pPr>
              <w:jc w:val="center"/>
              <w:rPr>
                <w:sz w:val="12"/>
                <w:szCs w:val="12"/>
              </w:rPr>
            </w:pPr>
          </w:p>
        </w:tc>
        <w:tc>
          <w:tcPr>
            <w:tcW w:w="173" w:type="pct"/>
            <w:tcBorders>
              <w:top w:val="single" w:sz="4" w:space="0" w:color="auto"/>
              <w:left w:val="single" w:sz="4" w:space="0" w:color="auto"/>
              <w:bottom w:val="single" w:sz="4" w:space="0" w:color="auto"/>
              <w:right w:val="single" w:sz="4" w:space="0" w:color="auto"/>
            </w:tcBorders>
            <w:vAlign w:val="center"/>
          </w:tcPr>
          <w:p w14:paraId="76A5A55C" w14:textId="77777777" w:rsidR="002F590A" w:rsidRDefault="002F590A">
            <w:pPr>
              <w:jc w:val="center"/>
              <w:rPr>
                <w:sz w:val="12"/>
                <w:szCs w:val="12"/>
              </w:rPr>
            </w:pPr>
          </w:p>
        </w:tc>
        <w:tc>
          <w:tcPr>
            <w:tcW w:w="177" w:type="pct"/>
            <w:tcBorders>
              <w:top w:val="single" w:sz="4" w:space="0" w:color="auto"/>
              <w:left w:val="single" w:sz="4" w:space="0" w:color="auto"/>
              <w:bottom w:val="single" w:sz="4" w:space="0" w:color="auto"/>
              <w:right w:val="single" w:sz="4" w:space="0" w:color="auto"/>
            </w:tcBorders>
            <w:vAlign w:val="center"/>
          </w:tcPr>
          <w:p w14:paraId="4BC5BEAB" w14:textId="77777777" w:rsidR="002F590A" w:rsidRDefault="002F590A">
            <w:pPr>
              <w:jc w:val="center"/>
              <w:rPr>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7C3096E3" w14:textId="77777777" w:rsidR="002F590A" w:rsidRDefault="002F590A">
            <w:pPr>
              <w:jc w:val="center"/>
              <w:rPr>
                <w:color w:val="000000"/>
                <w:sz w:val="12"/>
                <w:szCs w:val="12"/>
              </w:rPr>
            </w:pPr>
          </w:p>
        </w:tc>
        <w:tc>
          <w:tcPr>
            <w:tcW w:w="128" w:type="pct"/>
            <w:tcBorders>
              <w:top w:val="single" w:sz="4" w:space="0" w:color="auto"/>
              <w:left w:val="single" w:sz="4" w:space="0" w:color="auto"/>
              <w:bottom w:val="single" w:sz="4" w:space="0" w:color="auto"/>
              <w:right w:val="single" w:sz="4" w:space="0" w:color="auto"/>
            </w:tcBorders>
            <w:vAlign w:val="center"/>
          </w:tcPr>
          <w:p w14:paraId="6F196A76" w14:textId="77777777" w:rsidR="002F590A" w:rsidRDefault="002F590A">
            <w:pPr>
              <w:jc w:val="center"/>
              <w:rPr>
                <w:color w:val="000000"/>
                <w:sz w:val="12"/>
                <w:szCs w:val="12"/>
              </w:rPr>
            </w:pPr>
          </w:p>
        </w:tc>
      </w:tr>
      <w:tr w:rsidR="002F590A" w14:paraId="6BC4FFFF" w14:textId="77777777" w:rsidTr="002F590A">
        <w:trPr>
          <w:trHeight w:val="2536"/>
        </w:trPr>
        <w:tc>
          <w:tcPr>
            <w:tcW w:w="175" w:type="pct"/>
            <w:tcBorders>
              <w:top w:val="single" w:sz="4" w:space="0" w:color="auto"/>
              <w:left w:val="single" w:sz="4" w:space="0" w:color="auto"/>
              <w:bottom w:val="single" w:sz="4" w:space="0" w:color="auto"/>
              <w:right w:val="single" w:sz="4" w:space="0" w:color="auto"/>
            </w:tcBorders>
            <w:vAlign w:val="center"/>
            <w:hideMark/>
          </w:tcPr>
          <w:p w14:paraId="1811C987" w14:textId="77777777" w:rsidR="002F590A" w:rsidRDefault="002F590A">
            <w:pPr>
              <w:jc w:val="center"/>
              <w:rPr>
                <w:sz w:val="12"/>
                <w:szCs w:val="12"/>
              </w:rPr>
            </w:pPr>
            <w:r>
              <w:rPr>
                <w:sz w:val="12"/>
                <w:szCs w:val="12"/>
              </w:rPr>
              <w:t>3.2.13.1</w:t>
            </w:r>
          </w:p>
        </w:tc>
        <w:tc>
          <w:tcPr>
            <w:tcW w:w="262" w:type="pct"/>
            <w:tcBorders>
              <w:top w:val="single" w:sz="4" w:space="0" w:color="auto"/>
              <w:left w:val="single" w:sz="4" w:space="0" w:color="auto"/>
              <w:bottom w:val="single" w:sz="4" w:space="0" w:color="auto"/>
              <w:right w:val="single" w:sz="4" w:space="0" w:color="auto"/>
            </w:tcBorders>
            <w:vAlign w:val="center"/>
            <w:hideMark/>
          </w:tcPr>
          <w:p w14:paraId="7D6D0F50" w14:textId="77777777" w:rsidR="002F590A" w:rsidRDefault="002F590A">
            <w:pPr>
              <w:rPr>
                <w:color w:val="000000"/>
                <w:sz w:val="12"/>
                <w:szCs w:val="12"/>
              </w:rPr>
            </w:pPr>
            <w:r>
              <w:rPr>
                <w:color w:val="000000"/>
                <w:sz w:val="12"/>
                <w:szCs w:val="12"/>
              </w:rPr>
              <w:t xml:space="preserve">Реконструкция с монтажем установки </w:t>
            </w:r>
            <w:proofErr w:type="gramStart"/>
            <w:r>
              <w:rPr>
                <w:color w:val="000000"/>
                <w:sz w:val="12"/>
                <w:szCs w:val="12"/>
              </w:rPr>
              <w:t>автоматичес-кой</w:t>
            </w:r>
            <w:proofErr w:type="gramEnd"/>
            <w:r>
              <w:rPr>
                <w:color w:val="000000"/>
                <w:sz w:val="12"/>
                <w:szCs w:val="12"/>
              </w:rPr>
              <w:t xml:space="preserve"> химводоподго-товки</w:t>
            </w:r>
          </w:p>
        </w:tc>
        <w:tc>
          <w:tcPr>
            <w:tcW w:w="351" w:type="pct"/>
            <w:tcBorders>
              <w:top w:val="single" w:sz="4" w:space="0" w:color="auto"/>
              <w:left w:val="single" w:sz="4" w:space="0" w:color="auto"/>
              <w:bottom w:val="single" w:sz="4" w:space="0" w:color="auto"/>
              <w:right w:val="single" w:sz="4" w:space="0" w:color="auto"/>
            </w:tcBorders>
            <w:vAlign w:val="center"/>
            <w:hideMark/>
          </w:tcPr>
          <w:p w14:paraId="5BF17702" w14:textId="77777777" w:rsidR="002F590A" w:rsidRDefault="002F590A">
            <w:pPr>
              <w:jc w:val="center"/>
              <w:rPr>
                <w:sz w:val="12"/>
                <w:szCs w:val="12"/>
              </w:rPr>
            </w:pPr>
            <w:r>
              <w:rPr>
                <w:sz w:val="12"/>
                <w:szCs w:val="12"/>
              </w:rPr>
              <w:t>Повышение надежности (бесперебойности) услуг теплоснабжения, повышение энергетической эффективности</w:t>
            </w:r>
          </w:p>
        </w:tc>
        <w:tc>
          <w:tcPr>
            <w:tcW w:w="259" w:type="pct"/>
            <w:tcBorders>
              <w:top w:val="single" w:sz="4" w:space="0" w:color="auto"/>
              <w:left w:val="single" w:sz="4" w:space="0" w:color="auto"/>
              <w:bottom w:val="single" w:sz="4" w:space="0" w:color="auto"/>
              <w:right w:val="single" w:sz="4" w:space="0" w:color="auto"/>
            </w:tcBorders>
            <w:vAlign w:val="center"/>
            <w:hideMark/>
          </w:tcPr>
          <w:p w14:paraId="596F66CF" w14:textId="77777777" w:rsidR="002F590A" w:rsidRDefault="002F590A">
            <w:pPr>
              <w:jc w:val="center"/>
              <w:rPr>
                <w:sz w:val="12"/>
                <w:szCs w:val="12"/>
              </w:rPr>
            </w:pPr>
            <w:r>
              <w:rPr>
                <w:sz w:val="12"/>
                <w:szCs w:val="12"/>
              </w:rPr>
              <w:t> </w:t>
            </w:r>
          </w:p>
        </w:tc>
        <w:tc>
          <w:tcPr>
            <w:tcW w:w="298" w:type="pct"/>
            <w:tcBorders>
              <w:top w:val="single" w:sz="4" w:space="0" w:color="auto"/>
              <w:left w:val="single" w:sz="4" w:space="0" w:color="auto"/>
              <w:bottom w:val="single" w:sz="4" w:space="0" w:color="auto"/>
              <w:right w:val="single" w:sz="4" w:space="0" w:color="auto"/>
            </w:tcBorders>
            <w:vAlign w:val="center"/>
            <w:hideMark/>
          </w:tcPr>
          <w:p w14:paraId="21C8004C" w14:textId="77777777" w:rsidR="002F590A" w:rsidRDefault="002F590A">
            <w:pPr>
              <w:jc w:val="center"/>
              <w:rPr>
                <w:sz w:val="12"/>
                <w:szCs w:val="12"/>
              </w:rPr>
            </w:pPr>
            <w:r>
              <w:rPr>
                <w:color w:val="000000"/>
                <w:sz w:val="12"/>
                <w:szCs w:val="12"/>
              </w:rPr>
              <w:t>Технические характеристики</w:t>
            </w:r>
          </w:p>
        </w:tc>
        <w:tc>
          <w:tcPr>
            <w:tcW w:w="130" w:type="pct"/>
            <w:tcBorders>
              <w:top w:val="single" w:sz="4" w:space="0" w:color="auto"/>
              <w:left w:val="single" w:sz="4" w:space="0" w:color="auto"/>
              <w:bottom w:val="single" w:sz="4" w:space="0" w:color="auto"/>
              <w:right w:val="single" w:sz="4" w:space="0" w:color="auto"/>
            </w:tcBorders>
            <w:vAlign w:val="center"/>
          </w:tcPr>
          <w:p w14:paraId="10C02912" w14:textId="77777777" w:rsidR="002F590A" w:rsidRDefault="002F590A">
            <w:pPr>
              <w:jc w:val="center"/>
              <w:rPr>
                <w:sz w:val="12"/>
                <w:szCs w:val="12"/>
              </w:rPr>
            </w:pPr>
          </w:p>
        </w:tc>
        <w:tc>
          <w:tcPr>
            <w:tcW w:w="359" w:type="pct"/>
            <w:tcBorders>
              <w:top w:val="single" w:sz="4" w:space="0" w:color="auto"/>
              <w:left w:val="single" w:sz="4" w:space="0" w:color="auto"/>
              <w:bottom w:val="single" w:sz="4" w:space="0" w:color="auto"/>
              <w:right w:val="single" w:sz="4" w:space="0" w:color="auto"/>
            </w:tcBorders>
            <w:vAlign w:val="center"/>
            <w:hideMark/>
          </w:tcPr>
          <w:p w14:paraId="36F459A0" w14:textId="77777777" w:rsidR="002F590A" w:rsidRDefault="002F590A">
            <w:pPr>
              <w:jc w:val="center"/>
              <w:rPr>
                <w:color w:val="000000"/>
                <w:sz w:val="12"/>
                <w:szCs w:val="12"/>
              </w:rPr>
            </w:pPr>
            <w:r>
              <w:rPr>
                <w:color w:val="000000"/>
                <w:sz w:val="12"/>
                <w:szCs w:val="12"/>
              </w:rPr>
              <w:t xml:space="preserve">Отсутствует система умягчения холодной воды </w:t>
            </w:r>
          </w:p>
        </w:tc>
        <w:tc>
          <w:tcPr>
            <w:tcW w:w="349" w:type="pct"/>
            <w:tcBorders>
              <w:top w:val="single" w:sz="4" w:space="0" w:color="auto"/>
              <w:left w:val="single" w:sz="4" w:space="0" w:color="auto"/>
              <w:bottom w:val="single" w:sz="4" w:space="0" w:color="auto"/>
              <w:right w:val="single" w:sz="4" w:space="0" w:color="auto"/>
            </w:tcBorders>
            <w:vAlign w:val="center"/>
            <w:hideMark/>
          </w:tcPr>
          <w:p w14:paraId="571F30E8" w14:textId="77777777" w:rsidR="002F590A" w:rsidRDefault="002F590A">
            <w:pPr>
              <w:jc w:val="center"/>
              <w:rPr>
                <w:color w:val="000000"/>
                <w:sz w:val="12"/>
                <w:szCs w:val="12"/>
              </w:rPr>
            </w:pPr>
            <w:r>
              <w:rPr>
                <w:sz w:val="12"/>
                <w:szCs w:val="12"/>
              </w:rPr>
              <w:t>Оборудование позволит снизить жесткость воды (убрать излишек магния и кальция), исключает образование отложений солей жесткости на внутренних поверхностях труб, котлов и др. теплового оборудования, что увеличит срок службы, снизит расход топлива, исключаются затраты на замену котлов и другого тепломеханического оборудования.</w:t>
            </w:r>
          </w:p>
        </w:tc>
        <w:tc>
          <w:tcPr>
            <w:tcW w:w="131" w:type="pct"/>
            <w:tcBorders>
              <w:top w:val="single" w:sz="4" w:space="0" w:color="auto"/>
              <w:left w:val="single" w:sz="4" w:space="0" w:color="auto"/>
              <w:bottom w:val="single" w:sz="4" w:space="0" w:color="auto"/>
              <w:right w:val="single" w:sz="4" w:space="0" w:color="auto"/>
            </w:tcBorders>
            <w:vAlign w:val="center"/>
            <w:hideMark/>
          </w:tcPr>
          <w:p w14:paraId="62A40FB1" w14:textId="77777777" w:rsidR="002F590A" w:rsidRDefault="002F590A">
            <w:pPr>
              <w:jc w:val="center"/>
              <w:rPr>
                <w:sz w:val="12"/>
                <w:szCs w:val="12"/>
              </w:rPr>
            </w:pPr>
            <w:r>
              <w:rPr>
                <w:sz w:val="12"/>
                <w:szCs w:val="12"/>
              </w:rPr>
              <w:t>2025</w:t>
            </w:r>
          </w:p>
        </w:tc>
        <w:tc>
          <w:tcPr>
            <w:tcW w:w="133" w:type="pct"/>
            <w:tcBorders>
              <w:top w:val="single" w:sz="4" w:space="0" w:color="auto"/>
              <w:left w:val="single" w:sz="4" w:space="0" w:color="auto"/>
              <w:bottom w:val="single" w:sz="4" w:space="0" w:color="auto"/>
              <w:right w:val="single" w:sz="4" w:space="0" w:color="auto"/>
            </w:tcBorders>
            <w:vAlign w:val="center"/>
            <w:hideMark/>
          </w:tcPr>
          <w:p w14:paraId="4AFAEA38" w14:textId="77777777" w:rsidR="002F590A" w:rsidRDefault="002F590A">
            <w:pPr>
              <w:jc w:val="center"/>
              <w:rPr>
                <w:sz w:val="12"/>
                <w:szCs w:val="12"/>
              </w:rPr>
            </w:pPr>
            <w:r>
              <w:rPr>
                <w:sz w:val="12"/>
                <w:szCs w:val="12"/>
              </w:rPr>
              <w:t>2025</w:t>
            </w:r>
          </w:p>
        </w:tc>
        <w:tc>
          <w:tcPr>
            <w:tcW w:w="198" w:type="pct"/>
            <w:tcBorders>
              <w:top w:val="single" w:sz="4" w:space="0" w:color="auto"/>
              <w:left w:val="single" w:sz="4" w:space="0" w:color="auto"/>
              <w:bottom w:val="single" w:sz="4" w:space="0" w:color="auto"/>
              <w:right w:val="single" w:sz="4" w:space="0" w:color="auto"/>
            </w:tcBorders>
            <w:vAlign w:val="center"/>
            <w:hideMark/>
          </w:tcPr>
          <w:p w14:paraId="16F835EC" w14:textId="77777777" w:rsidR="002F590A" w:rsidRDefault="002F590A">
            <w:pPr>
              <w:jc w:val="center"/>
              <w:rPr>
                <w:color w:val="000000"/>
                <w:sz w:val="12"/>
                <w:szCs w:val="12"/>
              </w:rPr>
            </w:pPr>
            <w:r>
              <w:rPr>
                <w:color w:val="000000"/>
                <w:sz w:val="12"/>
                <w:szCs w:val="12"/>
              </w:rPr>
              <w:t>51,52</w:t>
            </w:r>
          </w:p>
        </w:tc>
        <w:tc>
          <w:tcPr>
            <w:tcW w:w="178" w:type="pct"/>
            <w:tcBorders>
              <w:top w:val="single" w:sz="4" w:space="0" w:color="auto"/>
              <w:left w:val="single" w:sz="4" w:space="0" w:color="auto"/>
              <w:bottom w:val="single" w:sz="4" w:space="0" w:color="auto"/>
              <w:right w:val="single" w:sz="4" w:space="0" w:color="auto"/>
            </w:tcBorders>
            <w:vAlign w:val="center"/>
            <w:hideMark/>
          </w:tcPr>
          <w:p w14:paraId="4B394E77" w14:textId="77777777" w:rsidR="002F590A" w:rsidRDefault="002F590A">
            <w:pPr>
              <w:jc w:val="center"/>
              <w:rPr>
                <w:color w:val="000000"/>
                <w:sz w:val="12"/>
                <w:szCs w:val="12"/>
              </w:rPr>
            </w:pPr>
            <w:r>
              <w:rPr>
                <w:color w:val="000000"/>
                <w:sz w:val="12"/>
                <w:szCs w:val="12"/>
              </w:rPr>
              <w:t>0,00</w:t>
            </w:r>
          </w:p>
        </w:tc>
        <w:tc>
          <w:tcPr>
            <w:tcW w:w="218" w:type="pct"/>
            <w:tcBorders>
              <w:top w:val="single" w:sz="4" w:space="0" w:color="auto"/>
              <w:left w:val="single" w:sz="4" w:space="0" w:color="auto"/>
              <w:bottom w:val="single" w:sz="4" w:space="0" w:color="auto"/>
              <w:right w:val="single" w:sz="4" w:space="0" w:color="auto"/>
            </w:tcBorders>
            <w:vAlign w:val="center"/>
            <w:hideMark/>
          </w:tcPr>
          <w:p w14:paraId="7083F9C1" w14:textId="77777777" w:rsidR="002F590A" w:rsidRDefault="002F590A">
            <w:pPr>
              <w:jc w:val="center"/>
              <w:rPr>
                <w:sz w:val="12"/>
                <w:szCs w:val="12"/>
              </w:rPr>
            </w:pPr>
            <w:r>
              <w:rPr>
                <w:sz w:val="12"/>
                <w:szCs w:val="12"/>
              </w:rPr>
              <w:t>0,00</w:t>
            </w:r>
          </w:p>
        </w:tc>
        <w:tc>
          <w:tcPr>
            <w:tcW w:w="220" w:type="pct"/>
            <w:tcBorders>
              <w:top w:val="single" w:sz="4" w:space="0" w:color="auto"/>
              <w:left w:val="single" w:sz="4" w:space="0" w:color="auto"/>
              <w:bottom w:val="single" w:sz="4" w:space="0" w:color="auto"/>
              <w:right w:val="single" w:sz="4" w:space="0" w:color="auto"/>
            </w:tcBorders>
            <w:vAlign w:val="center"/>
            <w:hideMark/>
          </w:tcPr>
          <w:p w14:paraId="121148BE" w14:textId="77777777" w:rsidR="002F590A" w:rsidRDefault="002F590A">
            <w:pPr>
              <w:jc w:val="center"/>
              <w:rPr>
                <w:sz w:val="12"/>
                <w:szCs w:val="12"/>
              </w:rPr>
            </w:pPr>
            <w:r>
              <w:rPr>
                <w:sz w:val="12"/>
                <w:szCs w:val="12"/>
              </w:rPr>
              <w:t>0,00</w:t>
            </w:r>
          </w:p>
        </w:tc>
        <w:tc>
          <w:tcPr>
            <w:tcW w:w="214" w:type="pct"/>
            <w:tcBorders>
              <w:top w:val="single" w:sz="4" w:space="0" w:color="auto"/>
              <w:left w:val="single" w:sz="4" w:space="0" w:color="auto"/>
              <w:bottom w:val="single" w:sz="4" w:space="0" w:color="auto"/>
              <w:right w:val="single" w:sz="4" w:space="0" w:color="auto"/>
            </w:tcBorders>
            <w:vAlign w:val="center"/>
            <w:hideMark/>
          </w:tcPr>
          <w:p w14:paraId="3C205C98" w14:textId="77777777" w:rsidR="002F590A" w:rsidRDefault="002F590A">
            <w:pPr>
              <w:jc w:val="center"/>
              <w:rPr>
                <w:sz w:val="12"/>
                <w:szCs w:val="12"/>
              </w:rPr>
            </w:pPr>
            <w:r>
              <w:rPr>
                <w:sz w:val="12"/>
                <w:szCs w:val="12"/>
              </w:rPr>
              <w:t>0,00</w:t>
            </w:r>
          </w:p>
        </w:tc>
        <w:tc>
          <w:tcPr>
            <w:tcW w:w="179" w:type="pct"/>
            <w:tcBorders>
              <w:top w:val="single" w:sz="4" w:space="0" w:color="auto"/>
              <w:left w:val="single" w:sz="4" w:space="0" w:color="auto"/>
              <w:bottom w:val="single" w:sz="4" w:space="0" w:color="auto"/>
              <w:right w:val="single" w:sz="4" w:space="0" w:color="auto"/>
            </w:tcBorders>
            <w:vAlign w:val="center"/>
            <w:hideMark/>
          </w:tcPr>
          <w:p w14:paraId="408CF634" w14:textId="77777777" w:rsidR="002F590A" w:rsidRDefault="002F590A">
            <w:pPr>
              <w:jc w:val="center"/>
              <w:rPr>
                <w:sz w:val="12"/>
                <w:szCs w:val="12"/>
              </w:rPr>
            </w:pPr>
            <w:r>
              <w:rPr>
                <w:sz w:val="12"/>
                <w:szCs w:val="12"/>
              </w:rPr>
              <w:t>51,52</w:t>
            </w:r>
          </w:p>
        </w:tc>
        <w:tc>
          <w:tcPr>
            <w:tcW w:w="171" w:type="pct"/>
            <w:tcBorders>
              <w:top w:val="single" w:sz="4" w:space="0" w:color="auto"/>
              <w:left w:val="single" w:sz="4" w:space="0" w:color="auto"/>
              <w:bottom w:val="single" w:sz="4" w:space="0" w:color="auto"/>
              <w:right w:val="single" w:sz="4" w:space="0" w:color="auto"/>
            </w:tcBorders>
            <w:vAlign w:val="center"/>
            <w:hideMark/>
          </w:tcPr>
          <w:p w14:paraId="7ACE1190"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4E84B800" w14:textId="77777777" w:rsidR="002F590A" w:rsidRDefault="002F590A">
            <w:pPr>
              <w:jc w:val="center"/>
              <w:rPr>
                <w:sz w:val="12"/>
                <w:szCs w:val="12"/>
              </w:rPr>
            </w:pPr>
            <w:r>
              <w:rPr>
                <w:sz w:val="12"/>
                <w:szCs w:val="12"/>
              </w:rPr>
              <w:t>0,00</w:t>
            </w:r>
          </w:p>
        </w:tc>
        <w:tc>
          <w:tcPr>
            <w:tcW w:w="177" w:type="pct"/>
            <w:tcBorders>
              <w:top w:val="single" w:sz="4" w:space="0" w:color="auto"/>
              <w:left w:val="single" w:sz="4" w:space="0" w:color="auto"/>
              <w:bottom w:val="single" w:sz="4" w:space="0" w:color="auto"/>
              <w:right w:val="single" w:sz="4" w:space="0" w:color="auto"/>
            </w:tcBorders>
            <w:vAlign w:val="center"/>
            <w:hideMark/>
          </w:tcPr>
          <w:p w14:paraId="5493A70C"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3F7C6967"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22E4596E" w14:textId="77777777" w:rsidR="002F590A" w:rsidRDefault="002F590A">
            <w:pPr>
              <w:jc w:val="center"/>
              <w:rPr>
                <w:sz w:val="12"/>
                <w:szCs w:val="12"/>
              </w:rPr>
            </w:pPr>
            <w:r>
              <w:rPr>
                <w:sz w:val="12"/>
                <w:szCs w:val="12"/>
              </w:rPr>
              <w:t>0,00</w:t>
            </w:r>
          </w:p>
        </w:tc>
        <w:tc>
          <w:tcPr>
            <w:tcW w:w="177" w:type="pct"/>
            <w:tcBorders>
              <w:top w:val="single" w:sz="4" w:space="0" w:color="auto"/>
              <w:left w:val="single" w:sz="4" w:space="0" w:color="auto"/>
              <w:bottom w:val="single" w:sz="4" w:space="0" w:color="auto"/>
              <w:right w:val="single" w:sz="4" w:space="0" w:color="auto"/>
            </w:tcBorders>
            <w:vAlign w:val="center"/>
            <w:hideMark/>
          </w:tcPr>
          <w:p w14:paraId="2D478F9A"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2D5CDB17" w14:textId="77777777" w:rsidR="002F590A" w:rsidRDefault="002F590A">
            <w:pPr>
              <w:jc w:val="center"/>
              <w:rPr>
                <w:color w:val="000000"/>
                <w:sz w:val="12"/>
                <w:szCs w:val="12"/>
              </w:rPr>
            </w:pPr>
            <w:r>
              <w:rPr>
                <w:color w:val="000000"/>
                <w:sz w:val="12"/>
                <w:szCs w:val="12"/>
              </w:rPr>
              <w:t>0,00</w:t>
            </w:r>
          </w:p>
        </w:tc>
        <w:tc>
          <w:tcPr>
            <w:tcW w:w="128" w:type="pct"/>
            <w:tcBorders>
              <w:top w:val="single" w:sz="4" w:space="0" w:color="auto"/>
              <w:left w:val="single" w:sz="4" w:space="0" w:color="auto"/>
              <w:bottom w:val="single" w:sz="4" w:space="0" w:color="auto"/>
              <w:right w:val="single" w:sz="4" w:space="0" w:color="auto"/>
            </w:tcBorders>
            <w:vAlign w:val="center"/>
            <w:hideMark/>
          </w:tcPr>
          <w:p w14:paraId="5E4DDA85" w14:textId="77777777" w:rsidR="002F590A" w:rsidRDefault="002F590A">
            <w:pPr>
              <w:jc w:val="center"/>
              <w:rPr>
                <w:color w:val="000000"/>
                <w:sz w:val="12"/>
                <w:szCs w:val="12"/>
              </w:rPr>
            </w:pPr>
            <w:r>
              <w:rPr>
                <w:color w:val="000000"/>
                <w:sz w:val="12"/>
                <w:szCs w:val="12"/>
              </w:rPr>
              <w:t>0,00</w:t>
            </w:r>
          </w:p>
        </w:tc>
      </w:tr>
      <w:tr w:rsidR="002F590A" w14:paraId="6E9E6E16" w14:textId="77777777" w:rsidTr="002F590A">
        <w:trPr>
          <w:trHeight w:val="2537"/>
        </w:trPr>
        <w:tc>
          <w:tcPr>
            <w:tcW w:w="175" w:type="pct"/>
            <w:tcBorders>
              <w:top w:val="single" w:sz="4" w:space="0" w:color="auto"/>
              <w:left w:val="single" w:sz="4" w:space="0" w:color="auto"/>
              <w:bottom w:val="single" w:sz="4" w:space="0" w:color="auto"/>
              <w:right w:val="single" w:sz="4" w:space="0" w:color="auto"/>
            </w:tcBorders>
            <w:vAlign w:val="center"/>
            <w:hideMark/>
          </w:tcPr>
          <w:p w14:paraId="7F9DD81D" w14:textId="77777777" w:rsidR="002F590A" w:rsidRDefault="002F590A">
            <w:pPr>
              <w:jc w:val="center"/>
              <w:rPr>
                <w:sz w:val="12"/>
                <w:szCs w:val="12"/>
              </w:rPr>
            </w:pPr>
            <w:r>
              <w:rPr>
                <w:sz w:val="12"/>
                <w:szCs w:val="12"/>
              </w:rPr>
              <w:t>3.2.13.2</w:t>
            </w:r>
          </w:p>
        </w:tc>
        <w:tc>
          <w:tcPr>
            <w:tcW w:w="262" w:type="pct"/>
            <w:tcBorders>
              <w:top w:val="single" w:sz="4" w:space="0" w:color="auto"/>
              <w:left w:val="single" w:sz="4" w:space="0" w:color="auto"/>
              <w:bottom w:val="single" w:sz="4" w:space="0" w:color="auto"/>
              <w:right w:val="single" w:sz="4" w:space="0" w:color="auto"/>
            </w:tcBorders>
            <w:vAlign w:val="center"/>
            <w:hideMark/>
          </w:tcPr>
          <w:p w14:paraId="6578C1C0" w14:textId="77777777" w:rsidR="002F590A" w:rsidRDefault="002F590A">
            <w:pPr>
              <w:rPr>
                <w:color w:val="000000"/>
                <w:sz w:val="12"/>
                <w:szCs w:val="12"/>
              </w:rPr>
            </w:pPr>
            <w:r>
              <w:rPr>
                <w:color w:val="000000"/>
                <w:sz w:val="12"/>
                <w:szCs w:val="12"/>
              </w:rPr>
              <w:t>Реконструкция с заменой ГРУ</w:t>
            </w:r>
          </w:p>
        </w:tc>
        <w:tc>
          <w:tcPr>
            <w:tcW w:w="351" w:type="pct"/>
            <w:tcBorders>
              <w:top w:val="single" w:sz="4" w:space="0" w:color="auto"/>
              <w:left w:val="single" w:sz="4" w:space="0" w:color="auto"/>
              <w:bottom w:val="single" w:sz="4" w:space="0" w:color="auto"/>
              <w:right w:val="single" w:sz="4" w:space="0" w:color="auto"/>
            </w:tcBorders>
            <w:vAlign w:val="center"/>
            <w:hideMark/>
          </w:tcPr>
          <w:p w14:paraId="64ADCE45" w14:textId="77777777" w:rsidR="002F590A" w:rsidRDefault="002F590A">
            <w:pPr>
              <w:jc w:val="center"/>
              <w:rPr>
                <w:sz w:val="12"/>
                <w:szCs w:val="12"/>
              </w:rPr>
            </w:pPr>
            <w:r>
              <w:rPr>
                <w:sz w:val="12"/>
                <w:szCs w:val="12"/>
              </w:rPr>
              <w:t>Повышение надежности (бесперебойности) услуг теплоснабжения, повышение энергетической эффективности</w:t>
            </w:r>
          </w:p>
        </w:tc>
        <w:tc>
          <w:tcPr>
            <w:tcW w:w="259" w:type="pct"/>
            <w:tcBorders>
              <w:top w:val="single" w:sz="4" w:space="0" w:color="auto"/>
              <w:left w:val="single" w:sz="4" w:space="0" w:color="auto"/>
              <w:bottom w:val="single" w:sz="4" w:space="0" w:color="auto"/>
              <w:right w:val="single" w:sz="4" w:space="0" w:color="auto"/>
            </w:tcBorders>
            <w:vAlign w:val="center"/>
            <w:hideMark/>
          </w:tcPr>
          <w:p w14:paraId="7ACF2001" w14:textId="77777777" w:rsidR="002F590A" w:rsidRDefault="002F590A">
            <w:pPr>
              <w:jc w:val="center"/>
              <w:rPr>
                <w:sz w:val="12"/>
                <w:szCs w:val="12"/>
              </w:rPr>
            </w:pPr>
            <w:r>
              <w:rPr>
                <w:sz w:val="12"/>
                <w:szCs w:val="12"/>
              </w:rPr>
              <w:t> </w:t>
            </w:r>
          </w:p>
        </w:tc>
        <w:tc>
          <w:tcPr>
            <w:tcW w:w="298" w:type="pct"/>
            <w:tcBorders>
              <w:top w:val="single" w:sz="4" w:space="0" w:color="auto"/>
              <w:left w:val="single" w:sz="4" w:space="0" w:color="auto"/>
              <w:bottom w:val="single" w:sz="4" w:space="0" w:color="auto"/>
              <w:right w:val="single" w:sz="4" w:space="0" w:color="auto"/>
            </w:tcBorders>
            <w:vAlign w:val="center"/>
            <w:hideMark/>
          </w:tcPr>
          <w:p w14:paraId="770BB8A0" w14:textId="77777777" w:rsidR="002F590A" w:rsidRDefault="002F590A">
            <w:pPr>
              <w:jc w:val="center"/>
              <w:rPr>
                <w:sz w:val="12"/>
                <w:szCs w:val="12"/>
              </w:rPr>
            </w:pPr>
            <w:r>
              <w:rPr>
                <w:color w:val="000000"/>
                <w:sz w:val="12"/>
                <w:szCs w:val="12"/>
              </w:rPr>
              <w:t>Технические характеристики</w:t>
            </w:r>
          </w:p>
        </w:tc>
        <w:tc>
          <w:tcPr>
            <w:tcW w:w="130" w:type="pct"/>
            <w:tcBorders>
              <w:top w:val="single" w:sz="4" w:space="0" w:color="auto"/>
              <w:left w:val="single" w:sz="4" w:space="0" w:color="auto"/>
              <w:bottom w:val="single" w:sz="4" w:space="0" w:color="auto"/>
              <w:right w:val="single" w:sz="4" w:space="0" w:color="auto"/>
            </w:tcBorders>
            <w:vAlign w:val="center"/>
          </w:tcPr>
          <w:p w14:paraId="17B6D27B" w14:textId="77777777" w:rsidR="002F590A" w:rsidRDefault="002F590A">
            <w:pPr>
              <w:jc w:val="center"/>
              <w:rPr>
                <w:sz w:val="12"/>
                <w:szCs w:val="12"/>
              </w:rPr>
            </w:pPr>
          </w:p>
        </w:tc>
        <w:tc>
          <w:tcPr>
            <w:tcW w:w="35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BB57201" w14:textId="77777777" w:rsidR="002F590A" w:rsidRDefault="002F590A">
            <w:pPr>
              <w:jc w:val="center"/>
              <w:rPr>
                <w:sz w:val="12"/>
                <w:szCs w:val="12"/>
              </w:rPr>
            </w:pPr>
            <w:r>
              <w:rPr>
                <w:sz w:val="12"/>
                <w:szCs w:val="12"/>
              </w:rPr>
              <w:t xml:space="preserve"> Срок эксплуатации ГРУ до 2022 года, дальнейшая эксплуатация запрещена. Нет второй (резервной) линии редуцирования.</w:t>
            </w:r>
          </w:p>
        </w:tc>
        <w:tc>
          <w:tcPr>
            <w:tcW w:w="349" w:type="pct"/>
            <w:tcBorders>
              <w:top w:val="single" w:sz="4" w:space="0" w:color="auto"/>
              <w:left w:val="single" w:sz="4" w:space="0" w:color="auto"/>
              <w:bottom w:val="single" w:sz="4" w:space="0" w:color="auto"/>
              <w:right w:val="single" w:sz="4" w:space="0" w:color="auto"/>
            </w:tcBorders>
            <w:vAlign w:val="center"/>
            <w:hideMark/>
          </w:tcPr>
          <w:p w14:paraId="5AE3687A" w14:textId="77777777" w:rsidR="002F590A" w:rsidRDefault="002F590A">
            <w:pPr>
              <w:jc w:val="center"/>
              <w:rPr>
                <w:sz w:val="12"/>
                <w:szCs w:val="12"/>
              </w:rPr>
            </w:pPr>
            <w:r>
              <w:rPr>
                <w:sz w:val="12"/>
                <w:szCs w:val="12"/>
              </w:rPr>
              <w:t>Оборудование с техническими характеристиками не ниже существующего на объекте</w:t>
            </w:r>
          </w:p>
        </w:tc>
        <w:tc>
          <w:tcPr>
            <w:tcW w:w="131" w:type="pct"/>
            <w:tcBorders>
              <w:top w:val="single" w:sz="4" w:space="0" w:color="auto"/>
              <w:left w:val="single" w:sz="4" w:space="0" w:color="auto"/>
              <w:bottom w:val="single" w:sz="4" w:space="0" w:color="auto"/>
              <w:right w:val="single" w:sz="4" w:space="0" w:color="auto"/>
            </w:tcBorders>
            <w:vAlign w:val="center"/>
            <w:hideMark/>
          </w:tcPr>
          <w:p w14:paraId="612C0189" w14:textId="77777777" w:rsidR="002F590A" w:rsidRDefault="002F590A">
            <w:pPr>
              <w:jc w:val="center"/>
              <w:rPr>
                <w:sz w:val="12"/>
                <w:szCs w:val="12"/>
              </w:rPr>
            </w:pPr>
            <w:r>
              <w:rPr>
                <w:sz w:val="12"/>
                <w:szCs w:val="12"/>
              </w:rPr>
              <w:t>2022</w:t>
            </w:r>
          </w:p>
        </w:tc>
        <w:tc>
          <w:tcPr>
            <w:tcW w:w="133" w:type="pct"/>
            <w:tcBorders>
              <w:top w:val="single" w:sz="4" w:space="0" w:color="auto"/>
              <w:left w:val="single" w:sz="4" w:space="0" w:color="auto"/>
              <w:bottom w:val="single" w:sz="4" w:space="0" w:color="auto"/>
              <w:right w:val="single" w:sz="4" w:space="0" w:color="auto"/>
            </w:tcBorders>
            <w:vAlign w:val="center"/>
            <w:hideMark/>
          </w:tcPr>
          <w:p w14:paraId="7043D037" w14:textId="77777777" w:rsidR="002F590A" w:rsidRDefault="002F590A">
            <w:pPr>
              <w:jc w:val="center"/>
              <w:rPr>
                <w:sz w:val="12"/>
                <w:szCs w:val="12"/>
              </w:rPr>
            </w:pPr>
            <w:r>
              <w:rPr>
                <w:sz w:val="12"/>
                <w:szCs w:val="12"/>
              </w:rPr>
              <w:t>2022</w:t>
            </w:r>
          </w:p>
        </w:tc>
        <w:tc>
          <w:tcPr>
            <w:tcW w:w="198" w:type="pct"/>
            <w:tcBorders>
              <w:top w:val="single" w:sz="4" w:space="0" w:color="auto"/>
              <w:left w:val="single" w:sz="4" w:space="0" w:color="auto"/>
              <w:bottom w:val="single" w:sz="4" w:space="0" w:color="auto"/>
              <w:right w:val="single" w:sz="4" w:space="0" w:color="auto"/>
            </w:tcBorders>
            <w:vAlign w:val="center"/>
            <w:hideMark/>
          </w:tcPr>
          <w:p w14:paraId="7497B9F3" w14:textId="77777777" w:rsidR="002F590A" w:rsidRDefault="002F590A">
            <w:pPr>
              <w:jc w:val="center"/>
              <w:rPr>
                <w:color w:val="000000"/>
                <w:sz w:val="12"/>
                <w:szCs w:val="12"/>
              </w:rPr>
            </w:pPr>
            <w:r>
              <w:rPr>
                <w:color w:val="000000"/>
                <w:sz w:val="12"/>
                <w:szCs w:val="12"/>
              </w:rPr>
              <w:t>624,54</w:t>
            </w:r>
          </w:p>
        </w:tc>
        <w:tc>
          <w:tcPr>
            <w:tcW w:w="178" w:type="pct"/>
            <w:tcBorders>
              <w:top w:val="single" w:sz="4" w:space="0" w:color="auto"/>
              <w:left w:val="single" w:sz="4" w:space="0" w:color="auto"/>
              <w:bottom w:val="single" w:sz="4" w:space="0" w:color="auto"/>
              <w:right w:val="single" w:sz="4" w:space="0" w:color="auto"/>
            </w:tcBorders>
            <w:vAlign w:val="center"/>
            <w:hideMark/>
          </w:tcPr>
          <w:p w14:paraId="7BC595BC" w14:textId="77777777" w:rsidR="002F590A" w:rsidRDefault="002F590A">
            <w:pPr>
              <w:jc w:val="center"/>
              <w:rPr>
                <w:color w:val="000000"/>
                <w:sz w:val="12"/>
                <w:szCs w:val="12"/>
              </w:rPr>
            </w:pPr>
            <w:r>
              <w:rPr>
                <w:color w:val="000000"/>
                <w:sz w:val="12"/>
                <w:szCs w:val="12"/>
              </w:rPr>
              <w:t>0,00</w:t>
            </w:r>
          </w:p>
        </w:tc>
        <w:tc>
          <w:tcPr>
            <w:tcW w:w="218" w:type="pct"/>
            <w:tcBorders>
              <w:top w:val="single" w:sz="4" w:space="0" w:color="auto"/>
              <w:left w:val="single" w:sz="4" w:space="0" w:color="auto"/>
              <w:bottom w:val="single" w:sz="4" w:space="0" w:color="auto"/>
              <w:right w:val="single" w:sz="4" w:space="0" w:color="auto"/>
            </w:tcBorders>
            <w:vAlign w:val="center"/>
            <w:hideMark/>
          </w:tcPr>
          <w:p w14:paraId="660E543E" w14:textId="77777777" w:rsidR="002F590A" w:rsidRDefault="002F590A">
            <w:pPr>
              <w:jc w:val="center"/>
              <w:rPr>
                <w:sz w:val="12"/>
                <w:szCs w:val="12"/>
              </w:rPr>
            </w:pPr>
            <w:r>
              <w:rPr>
                <w:sz w:val="12"/>
                <w:szCs w:val="12"/>
              </w:rPr>
              <w:t>624,540</w:t>
            </w:r>
          </w:p>
        </w:tc>
        <w:tc>
          <w:tcPr>
            <w:tcW w:w="220" w:type="pct"/>
            <w:tcBorders>
              <w:top w:val="single" w:sz="4" w:space="0" w:color="auto"/>
              <w:left w:val="single" w:sz="4" w:space="0" w:color="auto"/>
              <w:bottom w:val="single" w:sz="4" w:space="0" w:color="auto"/>
              <w:right w:val="single" w:sz="4" w:space="0" w:color="auto"/>
            </w:tcBorders>
            <w:vAlign w:val="center"/>
            <w:hideMark/>
          </w:tcPr>
          <w:p w14:paraId="4EC2AD9B" w14:textId="77777777" w:rsidR="002F590A" w:rsidRDefault="002F590A">
            <w:pPr>
              <w:jc w:val="center"/>
              <w:rPr>
                <w:sz w:val="12"/>
                <w:szCs w:val="12"/>
              </w:rPr>
            </w:pPr>
            <w:r>
              <w:rPr>
                <w:sz w:val="12"/>
                <w:szCs w:val="12"/>
              </w:rPr>
              <w:t>0,00</w:t>
            </w:r>
          </w:p>
        </w:tc>
        <w:tc>
          <w:tcPr>
            <w:tcW w:w="214" w:type="pct"/>
            <w:tcBorders>
              <w:top w:val="single" w:sz="4" w:space="0" w:color="auto"/>
              <w:left w:val="single" w:sz="4" w:space="0" w:color="auto"/>
              <w:bottom w:val="single" w:sz="4" w:space="0" w:color="auto"/>
              <w:right w:val="single" w:sz="4" w:space="0" w:color="auto"/>
            </w:tcBorders>
            <w:vAlign w:val="center"/>
            <w:hideMark/>
          </w:tcPr>
          <w:p w14:paraId="1D8B0068" w14:textId="77777777" w:rsidR="002F590A" w:rsidRDefault="002F590A">
            <w:pPr>
              <w:jc w:val="center"/>
              <w:rPr>
                <w:sz w:val="12"/>
                <w:szCs w:val="12"/>
              </w:rPr>
            </w:pPr>
            <w:r>
              <w:rPr>
                <w:sz w:val="12"/>
                <w:szCs w:val="12"/>
              </w:rPr>
              <w:t>0,00</w:t>
            </w:r>
          </w:p>
        </w:tc>
        <w:tc>
          <w:tcPr>
            <w:tcW w:w="179" w:type="pct"/>
            <w:tcBorders>
              <w:top w:val="single" w:sz="4" w:space="0" w:color="auto"/>
              <w:left w:val="single" w:sz="4" w:space="0" w:color="auto"/>
              <w:bottom w:val="single" w:sz="4" w:space="0" w:color="auto"/>
              <w:right w:val="single" w:sz="4" w:space="0" w:color="auto"/>
            </w:tcBorders>
            <w:vAlign w:val="center"/>
            <w:hideMark/>
          </w:tcPr>
          <w:p w14:paraId="789B5B3D" w14:textId="77777777" w:rsidR="002F590A" w:rsidRDefault="002F590A">
            <w:pPr>
              <w:jc w:val="center"/>
              <w:rPr>
                <w:sz w:val="12"/>
                <w:szCs w:val="12"/>
              </w:rPr>
            </w:pPr>
            <w:r>
              <w:rPr>
                <w:sz w:val="12"/>
                <w:szCs w:val="12"/>
              </w:rPr>
              <w:t>0,00</w:t>
            </w:r>
          </w:p>
        </w:tc>
        <w:tc>
          <w:tcPr>
            <w:tcW w:w="171" w:type="pct"/>
            <w:tcBorders>
              <w:top w:val="single" w:sz="4" w:space="0" w:color="auto"/>
              <w:left w:val="single" w:sz="4" w:space="0" w:color="auto"/>
              <w:bottom w:val="single" w:sz="4" w:space="0" w:color="auto"/>
              <w:right w:val="single" w:sz="4" w:space="0" w:color="auto"/>
            </w:tcBorders>
            <w:vAlign w:val="center"/>
            <w:hideMark/>
          </w:tcPr>
          <w:p w14:paraId="7B081B9B"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0118119B" w14:textId="77777777" w:rsidR="002F590A" w:rsidRDefault="002F590A">
            <w:pPr>
              <w:jc w:val="center"/>
              <w:rPr>
                <w:sz w:val="12"/>
                <w:szCs w:val="12"/>
              </w:rPr>
            </w:pPr>
            <w:r>
              <w:rPr>
                <w:sz w:val="12"/>
                <w:szCs w:val="12"/>
              </w:rPr>
              <w:t>0,00</w:t>
            </w:r>
          </w:p>
        </w:tc>
        <w:tc>
          <w:tcPr>
            <w:tcW w:w="177" w:type="pct"/>
            <w:tcBorders>
              <w:top w:val="single" w:sz="4" w:space="0" w:color="auto"/>
              <w:left w:val="single" w:sz="4" w:space="0" w:color="auto"/>
              <w:bottom w:val="single" w:sz="4" w:space="0" w:color="auto"/>
              <w:right w:val="single" w:sz="4" w:space="0" w:color="auto"/>
            </w:tcBorders>
            <w:vAlign w:val="center"/>
            <w:hideMark/>
          </w:tcPr>
          <w:p w14:paraId="13682A5F"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1E2E47CC"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70850E72" w14:textId="77777777" w:rsidR="002F590A" w:rsidRDefault="002F590A">
            <w:pPr>
              <w:jc w:val="center"/>
              <w:rPr>
                <w:sz w:val="12"/>
                <w:szCs w:val="12"/>
              </w:rPr>
            </w:pPr>
            <w:r>
              <w:rPr>
                <w:sz w:val="12"/>
                <w:szCs w:val="12"/>
              </w:rPr>
              <w:t>0,00</w:t>
            </w:r>
          </w:p>
        </w:tc>
        <w:tc>
          <w:tcPr>
            <w:tcW w:w="177" w:type="pct"/>
            <w:tcBorders>
              <w:top w:val="single" w:sz="4" w:space="0" w:color="auto"/>
              <w:left w:val="single" w:sz="4" w:space="0" w:color="auto"/>
              <w:bottom w:val="single" w:sz="4" w:space="0" w:color="auto"/>
              <w:right w:val="single" w:sz="4" w:space="0" w:color="auto"/>
            </w:tcBorders>
            <w:vAlign w:val="center"/>
            <w:hideMark/>
          </w:tcPr>
          <w:p w14:paraId="3B882FDA"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72A086CC" w14:textId="77777777" w:rsidR="002F590A" w:rsidRDefault="002F590A">
            <w:pPr>
              <w:jc w:val="center"/>
              <w:rPr>
                <w:color w:val="000000"/>
                <w:sz w:val="12"/>
                <w:szCs w:val="12"/>
              </w:rPr>
            </w:pPr>
            <w:r>
              <w:rPr>
                <w:color w:val="000000"/>
                <w:sz w:val="12"/>
                <w:szCs w:val="12"/>
              </w:rPr>
              <w:t>0,00</w:t>
            </w:r>
          </w:p>
        </w:tc>
        <w:tc>
          <w:tcPr>
            <w:tcW w:w="128" w:type="pct"/>
            <w:tcBorders>
              <w:top w:val="single" w:sz="4" w:space="0" w:color="auto"/>
              <w:left w:val="single" w:sz="4" w:space="0" w:color="auto"/>
              <w:bottom w:val="single" w:sz="4" w:space="0" w:color="auto"/>
              <w:right w:val="single" w:sz="4" w:space="0" w:color="auto"/>
            </w:tcBorders>
            <w:vAlign w:val="center"/>
            <w:hideMark/>
          </w:tcPr>
          <w:p w14:paraId="136040B0" w14:textId="77777777" w:rsidR="002F590A" w:rsidRDefault="002F590A">
            <w:pPr>
              <w:jc w:val="center"/>
              <w:rPr>
                <w:color w:val="000000"/>
                <w:sz w:val="12"/>
                <w:szCs w:val="12"/>
              </w:rPr>
            </w:pPr>
            <w:r>
              <w:rPr>
                <w:color w:val="000000"/>
                <w:sz w:val="12"/>
                <w:szCs w:val="12"/>
              </w:rPr>
              <w:t>0,00</w:t>
            </w:r>
          </w:p>
        </w:tc>
      </w:tr>
      <w:tr w:rsidR="002F590A" w14:paraId="2A20F4A4" w14:textId="77777777" w:rsidTr="002F590A">
        <w:trPr>
          <w:trHeight w:val="552"/>
        </w:trPr>
        <w:tc>
          <w:tcPr>
            <w:tcW w:w="175" w:type="pct"/>
            <w:tcBorders>
              <w:top w:val="single" w:sz="4" w:space="0" w:color="auto"/>
              <w:left w:val="single" w:sz="4" w:space="0" w:color="auto"/>
              <w:bottom w:val="single" w:sz="4" w:space="0" w:color="auto"/>
              <w:right w:val="single" w:sz="4" w:space="0" w:color="auto"/>
            </w:tcBorders>
            <w:vAlign w:val="center"/>
            <w:hideMark/>
          </w:tcPr>
          <w:p w14:paraId="4EF22D24" w14:textId="77777777" w:rsidR="002F590A" w:rsidRDefault="002F590A">
            <w:pPr>
              <w:jc w:val="center"/>
              <w:rPr>
                <w:bCs/>
                <w:sz w:val="12"/>
                <w:szCs w:val="12"/>
              </w:rPr>
            </w:pPr>
            <w:r>
              <w:rPr>
                <w:bCs/>
                <w:sz w:val="12"/>
                <w:szCs w:val="12"/>
              </w:rPr>
              <w:t>1</w:t>
            </w:r>
          </w:p>
        </w:tc>
        <w:tc>
          <w:tcPr>
            <w:tcW w:w="262" w:type="pct"/>
            <w:tcBorders>
              <w:top w:val="single" w:sz="4" w:space="0" w:color="auto"/>
              <w:left w:val="single" w:sz="4" w:space="0" w:color="auto"/>
              <w:bottom w:val="single" w:sz="4" w:space="0" w:color="auto"/>
              <w:right w:val="single" w:sz="4" w:space="0" w:color="auto"/>
            </w:tcBorders>
            <w:vAlign w:val="center"/>
            <w:hideMark/>
          </w:tcPr>
          <w:p w14:paraId="3BBA8E54" w14:textId="77777777" w:rsidR="002F590A" w:rsidRDefault="002F590A">
            <w:pPr>
              <w:jc w:val="center"/>
              <w:rPr>
                <w:bCs/>
                <w:sz w:val="12"/>
                <w:szCs w:val="12"/>
              </w:rPr>
            </w:pPr>
            <w:r>
              <w:rPr>
                <w:bCs/>
                <w:sz w:val="12"/>
                <w:szCs w:val="12"/>
              </w:rPr>
              <w:t>2</w:t>
            </w:r>
          </w:p>
        </w:tc>
        <w:tc>
          <w:tcPr>
            <w:tcW w:w="351" w:type="pct"/>
            <w:tcBorders>
              <w:top w:val="single" w:sz="4" w:space="0" w:color="auto"/>
              <w:left w:val="single" w:sz="4" w:space="0" w:color="auto"/>
              <w:bottom w:val="single" w:sz="4" w:space="0" w:color="auto"/>
              <w:right w:val="single" w:sz="4" w:space="0" w:color="auto"/>
            </w:tcBorders>
            <w:vAlign w:val="center"/>
            <w:hideMark/>
          </w:tcPr>
          <w:p w14:paraId="7EF2F498" w14:textId="77777777" w:rsidR="002F590A" w:rsidRDefault="002F590A">
            <w:pPr>
              <w:jc w:val="center"/>
              <w:rPr>
                <w:bCs/>
                <w:sz w:val="12"/>
                <w:szCs w:val="12"/>
              </w:rPr>
            </w:pPr>
            <w:r>
              <w:rPr>
                <w:bCs/>
                <w:sz w:val="12"/>
                <w:szCs w:val="12"/>
              </w:rPr>
              <w:t>3</w:t>
            </w:r>
          </w:p>
        </w:tc>
        <w:tc>
          <w:tcPr>
            <w:tcW w:w="259" w:type="pct"/>
            <w:tcBorders>
              <w:top w:val="single" w:sz="4" w:space="0" w:color="auto"/>
              <w:left w:val="single" w:sz="4" w:space="0" w:color="auto"/>
              <w:bottom w:val="single" w:sz="4" w:space="0" w:color="auto"/>
              <w:right w:val="single" w:sz="4" w:space="0" w:color="auto"/>
            </w:tcBorders>
            <w:vAlign w:val="center"/>
            <w:hideMark/>
          </w:tcPr>
          <w:p w14:paraId="499E6161" w14:textId="77777777" w:rsidR="002F590A" w:rsidRDefault="002F590A">
            <w:pPr>
              <w:jc w:val="center"/>
              <w:rPr>
                <w:bCs/>
                <w:sz w:val="12"/>
                <w:szCs w:val="12"/>
              </w:rPr>
            </w:pPr>
            <w:r>
              <w:rPr>
                <w:bCs/>
                <w:sz w:val="12"/>
                <w:szCs w:val="12"/>
              </w:rPr>
              <w:t>4</w:t>
            </w:r>
          </w:p>
        </w:tc>
        <w:tc>
          <w:tcPr>
            <w:tcW w:w="298" w:type="pct"/>
            <w:tcBorders>
              <w:top w:val="single" w:sz="4" w:space="0" w:color="auto"/>
              <w:left w:val="single" w:sz="4" w:space="0" w:color="auto"/>
              <w:bottom w:val="single" w:sz="4" w:space="0" w:color="auto"/>
              <w:right w:val="single" w:sz="4" w:space="0" w:color="auto"/>
            </w:tcBorders>
            <w:vAlign w:val="center"/>
            <w:hideMark/>
          </w:tcPr>
          <w:p w14:paraId="5C0AB14F" w14:textId="77777777" w:rsidR="002F590A" w:rsidRDefault="002F590A">
            <w:pPr>
              <w:jc w:val="center"/>
              <w:rPr>
                <w:bCs/>
                <w:sz w:val="12"/>
                <w:szCs w:val="12"/>
              </w:rPr>
            </w:pPr>
            <w:r>
              <w:rPr>
                <w:bCs/>
                <w:sz w:val="12"/>
                <w:szCs w:val="12"/>
              </w:rPr>
              <w:t>5</w:t>
            </w:r>
          </w:p>
        </w:tc>
        <w:tc>
          <w:tcPr>
            <w:tcW w:w="130" w:type="pct"/>
            <w:tcBorders>
              <w:top w:val="single" w:sz="4" w:space="0" w:color="auto"/>
              <w:left w:val="single" w:sz="4" w:space="0" w:color="auto"/>
              <w:bottom w:val="single" w:sz="4" w:space="0" w:color="auto"/>
              <w:right w:val="single" w:sz="4" w:space="0" w:color="auto"/>
            </w:tcBorders>
            <w:vAlign w:val="center"/>
            <w:hideMark/>
          </w:tcPr>
          <w:p w14:paraId="21411332" w14:textId="77777777" w:rsidR="002F590A" w:rsidRDefault="002F590A">
            <w:pPr>
              <w:jc w:val="center"/>
              <w:rPr>
                <w:bCs/>
                <w:sz w:val="12"/>
                <w:szCs w:val="12"/>
              </w:rPr>
            </w:pPr>
            <w:r>
              <w:rPr>
                <w:bCs/>
                <w:sz w:val="12"/>
                <w:szCs w:val="12"/>
              </w:rPr>
              <w:t>6</w:t>
            </w:r>
          </w:p>
        </w:tc>
        <w:tc>
          <w:tcPr>
            <w:tcW w:w="359" w:type="pct"/>
            <w:tcBorders>
              <w:top w:val="single" w:sz="4" w:space="0" w:color="auto"/>
              <w:left w:val="single" w:sz="4" w:space="0" w:color="auto"/>
              <w:bottom w:val="single" w:sz="4" w:space="0" w:color="auto"/>
              <w:right w:val="single" w:sz="4" w:space="0" w:color="auto"/>
            </w:tcBorders>
            <w:vAlign w:val="center"/>
            <w:hideMark/>
          </w:tcPr>
          <w:p w14:paraId="588A236E" w14:textId="77777777" w:rsidR="002F590A" w:rsidRDefault="002F590A">
            <w:pPr>
              <w:jc w:val="center"/>
              <w:rPr>
                <w:bCs/>
                <w:sz w:val="12"/>
                <w:szCs w:val="12"/>
              </w:rPr>
            </w:pPr>
            <w:r>
              <w:rPr>
                <w:bCs/>
                <w:sz w:val="12"/>
                <w:szCs w:val="12"/>
              </w:rPr>
              <w:t>7</w:t>
            </w:r>
          </w:p>
        </w:tc>
        <w:tc>
          <w:tcPr>
            <w:tcW w:w="349" w:type="pct"/>
            <w:tcBorders>
              <w:top w:val="single" w:sz="4" w:space="0" w:color="auto"/>
              <w:left w:val="single" w:sz="4" w:space="0" w:color="auto"/>
              <w:bottom w:val="single" w:sz="4" w:space="0" w:color="auto"/>
              <w:right w:val="single" w:sz="4" w:space="0" w:color="auto"/>
            </w:tcBorders>
            <w:vAlign w:val="center"/>
            <w:hideMark/>
          </w:tcPr>
          <w:p w14:paraId="467E0AA1" w14:textId="77777777" w:rsidR="002F590A" w:rsidRDefault="002F590A">
            <w:pPr>
              <w:jc w:val="center"/>
              <w:rPr>
                <w:bCs/>
                <w:sz w:val="12"/>
                <w:szCs w:val="12"/>
              </w:rPr>
            </w:pPr>
            <w:r>
              <w:rPr>
                <w:bCs/>
                <w:sz w:val="12"/>
                <w:szCs w:val="12"/>
              </w:rPr>
              <w:t>8</w:t>
            </w:r>
          </w:p>
        </w:tc>
        <w:tc>
          <w:tcPr>
            <w:tcW w:w="131" w:type="pct"/>
            <w:tcBorders>
              <w:top w:val="single" w:sz="4" w:space="0" w:color="auto"/>
              <w:left w:val="single" w:sz="4" w:space="0" w:color="auto"/>
              <w:bottom w:val="single" w:sz="4" w:space="0" w:color="auto"/>
              <w:right w:val="single" w:sz="4" w:space="0" w:color="auto"/>
            </w:tcBorders>
            <w:vAlign w:val="center"/>
            <w:hideMark/>
          </w:tcPr>
          <w:p w14:paraId="6C6A89E4" w14:textId="77777777" w:rsidR="002F590A" w:rsidRDefault="002F590A">
            <w:pPr>
              <w:jc w:val="center"/>
              <w:rPr>
                <w:bCs/>
                <w:sz w:val="12"/>
                <w:szCs w:val="12"/>
              </w:rPr>
            </w:pPr>
            <w:r>
              <w:rPr>
                <w:bCs/>
                <w:sz w:val="12"/>
                <w:szCs w:val="12"/>
              </w:rPr>
              <w:t>9</w:t>
            </w:r>
          </w:p>
        </w:tc>
        <w:tc>
          <w:tcPr>
            <w:tcW w:w="133" w:type="pct"/>
            <w:tcBorders>
              <w:top w:val="single" w:sz="4" w:space="0" w:color="auto"/>
              <w:left w:val="single" w:sz="4" w:space="0" w:color="auto"/>
              <w:bottom w:val="single" w:sz="4" w:space="0" w:color="auto"/>
              <w:right w:val="single" w:sz="4" w:space="0" w:color="auto"/>
            </w:tcBorders>
            <w:vAlign w:val="center"/>
            <w:hideMark/>
          </w:tcPr>
          <w:p w14:paraId="4E38F400" w14:textId="77777777" w:rsidR="002F590A" w:rsidRDefault="002F590A">
            <w:pPr>
              <w:jc w:val="center"/>
              <w:rPr>
                <w:bCs/>
                <w:sz w:val="12"/>
                <w:szCs w:val="12"/>
              </w:rPr>
            </w:pPr>
            <w:r>
              <w:rPr>
                <w:bCs/>
                <w:sz w:val="12"/>
                <w:szCs w:val="12"/>
              </w:rPr>
              <w:t>10</w:t>
            </w:r>
          </w:p>
        </w:tc>
        <w:tc>
          <w:tcPr>
            <w:tcW w:w="198" w:type="pct"/>
            <w:tcBorders>
              <w:top w:val="single" w:sz="4" w:space="0" w:color="auto"/>
              <w:left w:val="single" w:sz="4" w:space="0" w:color="auto"/>
              <w:bottom w:val="single" w:sz="4" w:space="0" w:color="auto"/>
              <w:right w:val="single" w:sz="4" w:space="0" w:color="auto"/>
            </w:tcBorders>
            <w:vAlign w:val="center"/>
            <w:hideMark/>
          </w:tcPr>
          <w:p w14:paraId="79F58DB8" w14:textId="77777777" w:rsidR="002F590A" w:rsidRDefault="002F590A">
            <w:pPr>
              <w:jc w:val="center"/>
              <w:rPr>
                <w:bCs/>
                <w:sz w:val="12"/>
                <w:szCs w:val="12"/>
              </w:rPr>
            </w:pPr>
            <w:r>
              <w:rPr>
                <w:bCs/>
                <w:sz w:val="12"/>
                <w:szCs w:val="12"/>
              </w:rPr>
              <w:t>11</w:t>
            </w:r>
          </w:p>
        </w:tc>
        <w:tc>
          <w:tcPr>
            <w:tcW w:w="178" w:type="pct"/>
            <w:tcBorders>
              <w:top w:val="single" w:sz="4" w:space="0" w:color="auto"/>
              <w:left w:val="single" w:sz="4" w:space="0" w:color="auto"/>
              <w:bottom w:val="single" w:sz="4" w:space="0" w:color="auto"/>
              <w:right w:val="single" w:sz="4" w:space="0" w:color="auto"/>
            </w:tcBorders>
            <w:vAlign w:val="center"/>
            <w:hideMark/>
          </w:tcPr>
          <w:p w14:paraId="5C4AD75C" w14:textId="77777777" w:rsidR="002F590A" w:rsidRDefault="002F590A">
            <w:pPr>
              <w:jc w:val="center"/>
              <w:rPr>
                <w:bCs/>
                <w:sz w:val="12"/>
                <w:szCs w:val="12"/>
              </w:rPr>
            </w:pPr>
            <w:r>
              <w:rPr>
                <w:bCs/>
                <w:sz w:val="12"/>
                <w:szCs w:val="12"/>
              </w:rPr>
              <w:t>12</w:t>
            </w:r>
          </w:p>
        </w:tc>
        <w:tc>
          <w:tcPr>
            <w:tcW w:w="218" w:type="pct"/>
            <w:tcBorders>
              <w:top w:val="single" w:sz="4" w:space="0" w:color="auto"/>
              <w:left w:val="single" w:sz="4" w:space="0" w:color="auto"/>
              <w:bottom w:val="single" w:sz="4" w:space="0" w:color="auto"/>
              <w:right w:val="single" w:sz="4" w:space="0" w:color="auto"/>
            </w:tcBorders>
            <w:vAlign w:val="center"/>
            <w:hideMark/>
          </w:tcPr>
          <w:p w14:paraId="3E34C6A7" w14:textId="77777777" w:rsidR="002F590A" w:rsidRDefault="002F590A">
            <w:pPr>
              <w:jc w:val="center"/>
              <w:rPr>
                <w:bCs/>
                <w:sz w:val="12"/>
                <w:szCs w:val="12"/>
              </w:rPr>
            </w:pPr>
            <w:r>
              <w:rPr>
                <w:bCs/>
                <w:sz w:val="12"/>
                <w:szCs w:val="12"/>
              </w:rPr>
              <w:t>13</w:t>
            </w:r>
          </w:p>
        </w:tc>
        <w:tc>
          <w:tcPr>
            <w:tcW w:w="220" w:type="pct"/>
            <w:tcBorders>
              <w:top w:val="single" w:sz="4" w:space="0" w:color="auto"/>
              <w:left w:val="single" w:sz="4" w:space="0" w:color="auto"/>
              <w:bottom w:val="single" w:sz="4" w:space="0" w:color="auto"/>
              <w:right w:val="single" w:sz="4" w:space="0" w:color="auto"/>
            </w:tcBorders>
            <w:vAlign w:val="center"/>
            <w:hideMark/>
          </w:tcPr>
          <w:p w14:paraId="09B5D388" w14:textId="77777777" w:rsidR="002F590A" w:rsidRDefault="002F590A">
            <w:pPr>
              <w:jc w:val="center"/>
              <w:rPr>
                <w:bCs/>
                <w:sz w:val="12"/>
                <w:szCs w:val="12"/>
              </w:rPr>
            </w:pPr>
            <w:r>
              <w:rPr>
                <w:bCs/>
                <w:sz w:val="12"/>
                <w:szCs w:val="12"/>
              </w:rPr>
              <w:t>14</w:t>
            </w:r>
          </w:p>
        </w:tc>
        <w:tc>
          <w:tcPr>
            <w:tcW w:w="214" w:type="pct"/>
            <w:tcBorders>
              <w:top w:val="single" w:sz="4" w:space="0" w:color="auto"/>
              <w:left w:val="single" w:sz="4" w:space="0" w:color="auto"/>
              <w:bottom w:val="single" w:sz="4" w:space="0" w:color="auto"/>
              <w:right w:val="single" w:sz="4" w:space="0" w:color="auto"/>
            </w:tcBorders>
            <w:vAlign w:val="center"/>
            <w:hideMark/>
          </w:tcPr>
          <w:p w14:paraId="1F80BA3C" w14:textId="77777777" w:rsidR="002F590A" w:rsidRDefault="002F590A">
            <w:pPr>
              <w:jc w:val="center"/>
              <w:rPr>
                <w:bCs/>
                <w:sz w:val="12"/>
                <w:szCs w:val="12"/>
              </w:rPr>
            </w:pPr>
            <w:r>
              <w:rPr>
                <w:bCs/>
                <w:sz w:val="12"/>
                <w:szCs w:val="12"/>
              </w:rPr>
              <w:t>15</w:t>
            </w:r>
          </w:p>
        </w:tc>
        <w:tc>
          <w:tcPr>
            <w:tcW w:w="179" w:type="pct"/>
            <w:tcBorders>
              <w:top w:val="single" w:sz="4" w:space="0" w:color="auto"/>
              <w:left w:val="single" w:sz="4" w:space="0" w:color="auto"/>
              <w:bottom w:val="single" w:sz="4" w:space="0" w:color="auto"/>
              <w:right w:val="single" w:sz="4" w:space="0" w:color="auto"/>
            </w:tcBorders>
            <w:vAlign w:val="center"/>
            <w:hideMark/>
          </w:tcPr>
          <w:p w14:paraId="2875619F" w14:textId="77777777" w:rsidR="002F590A" w:rsidRDefault="002F590A">
            <w:pPr>
              <w:jc w:val="center"/>
              <w:rPr>
                <w:bCs/>
                <w:sz w:val="12"/>
                <w:szCs w:val="12"/>
              </w:rPr>
            </w:pPr>
            <w:r>
              <w:rPr>
                <w:bCs/>
                <w:sz w:val="12"/>
                <w:szCs w:val="12"/>
              </w:rPr>
              <w:t>16</w:t>
            </w:r>
          </w:p>
        </w:tc>
        <w:tc>
          <w:tcPr>
            <w:tcW w:w="171" w:type="pct"/>
            <w:tcBorders>
              <w:top w:val="single" w:sz="4" w:space="0" w:color="auto"/>
              <w:left w:val="single" w:sz="4" w:space="0" w:color="auto"/>
              <w:bottom w:val="single" w:sz="4" w:space="0" w:color="auto"/>
              <w:right w:val="single" w:sz="4" w:space="0" w:color="auto"/>
            </w:tcBorders>
            <w:vAlign w:val="center"/>
            <w:hideMark/>
          </w:tcPr>
          <w:p w14:paraId="3A2ED1BA" w14:textId="77777777" w:rsidR="002F590A" w:rsidRDefault="002F590A">
            <w:pPr>
              <w:jc w:val="center"/>
              <w:rPr>
                <w:bCs/>
                <w:sz w:val="12"/>
                <w:szCs w:val="12"/>
              </w:rPr>
            </w:pPr>
            <w:r>
              <w:rPr>
                <w:bCs/>
                <w:sz w:val="12"/>
                <w:szCs w:val="12"/>
              </w:rPr>
              <w:t>17</w:t>
            </w:r>
          </w:p>
        </w:tc>
        <w:tc>
          <w:tcPr>
            <w:tcW w:w="173" w:type="pct"/>
            <w:tcBorders>
              <w:top w:val="single" w:sz="4" w:space="0" w:color="auto"/>
              <w:left w:val="single" w:sz="4" w:space="0" w:color="auto"/>
              <w:bottom w:val="single" w:sz="4" w:space="0" w:color="auto"/>
              <w:right w:val="single" w:sz="4" w:space="0" w:color="auto"/>
            </w:tcBorders>
            <w:vAlign w:val="center"/>
            <w:hideMark/>
          </w:tcPr>
          <w:p w14:paraId="3130928E" w14:textId="77777777" w:rsidR="002F590A" w:rsidRDefault="002F590A">
            <w:pPr>
              <w:jc w:val="center"/>
              <w:rPr>
                <w:bCs/>
                <w:sz w:val="12"/>
                <w:szCs w:val="12"/>
              </w:rPr>
            </w:pPr>
            <w:r>
              <w:rPr>
                <w:bCs/>
                <w:sz w:val="12"/>
                <w:szCs w:val="12"/>
              </w:rPr>
              <w:t>18</w:t>
            </w:r>
          </w:p>
        </w:tc>
        <w:tc>
          <w:tcPr>
            <w:tcW w:w="177" w:type="pct"/>
            <w:tcBorders>
              <w:top w:val="single" w:sz="4" w:space="0" w:color="auto"/>
              <w:left w:val="single" w:sz="4" w:space="0" w:color="auto"/>
              <w:bottom w:val="single" w:sz="4" w:space="0" w:color="auto"/>
              <w:right w:val="single" w:sz="4" w:space="0" w:color="auto"/>
            </w:tcBorders>
            <w:vAlign w:val="center"/>
            <w:hideMark/>
          </w:tcPr>
          <w:p w14:paraId="2F731E17" w14:textId="77777777" w:rsidR="002F590A" w:rsidRDefault="002F590A">
            <w:pPr>
              <w:jc w:val="center"/>
              <w:rPr>
                <w:bCs/>
                <w:sz w:val="12"/>
                <w:szCs w:val="12"/>
              </w:rPr>
            </w:pPr>
            <w:r>
              <w:rPr>
                <w:bCs/>
                <w:sz w:val="12"/>
                <w:szCs w:val="12"/>
              </w:rPr>
              <w:t>19</w:t>
            </w:r>
          </w:p>
        </w:tc>
        <w:tc>
          <w:tcPr>
            <w:tcW w:w="173" w:type="pct"/>
            <w:tcBorders>
              <w:top w:val="single" w:sz="4" w:space="0" w:color="auto"/>
              <w:left w:val="single" w:sz="4" w:space="0" w:color="auto"/>
              <w:bottom w:val="single" w:sz="4" w:space="0" w:color="auto"/>
              <w:right w:val="single" w:sz="4" w:space="0" w:color="auto"/>
            </w:tcBorders>
            <w:vAlign w:val="center"/>
            <w:hideMark/>
          </w:tcPr>
          <w:p w14:paraId="6E561D49" w14:textId="77777777" w:rsidR="002F590A" w:rsidRDefault="002F590A">
            <w:pPr>
              <w:jc w:val="center"/>
              <w:rPr>
                <w:bCs/>
                <w:sz w:val="12"/>
                <w:szCs w:val="12"/>
              </w:rPr>
            </w:pPr>
            <w:r>
              <w:rPr>
                <w:bCs/>
                <w:sz w:val="12"/>
                <w:szCs w:val="12"/>
              </w:rPr>
              <w:t>20</w:t>
            </w:r>
          </w:p>
        </w:tc>
        <w:tc>
          <w:tcPr>
            <w:tcW w:w="173" w:type="pct"/>
            <w:tcBorders>
              <w:top w:val="single" w:sz="4" w:space="0" w:color="auto"/>
              <w:left w:val="single" w:sz="4" w:space="0" w:color="auto"/>
              <w:bottom w:val="single" w:sz="4" w:space="0" w:color="auto"/>
              <w:right w:val="single" w:sz="4" w:space="0" w:color="auto"/>
            </w:tcBorders>
            <w:vAlign w:val="center"/>
            <w:hideMark/>
          </w:tcPr>
          <w:p w14:paraId="78AE7DEA" w14:textId="77777777" w:rsidR="002F590A" w:rsidRDefault="002F590A">
            <w:pPr>
              <w:jc w:val="center"/>
              <w:rPr>
                <w:bCs/>
                <w:sz w:val="12"/>
                <w:szCs w:val="12"/>
              </w:rPr>
            </w:pPr>
            <w:r>
              <w:rPr>
                <w:bCs/>
                <w:sz w:val="12"/>
                <w:szCs w:val="12"/>
              </w:rPr>
              <w:t>21</w:t>
            </w:r>
          </w:p>
        </w:tc>
        <w:tc>
          <w:tcPr>
            <w:tcW w:w="177" w:type="pct"/>
            <w:tcBorders>
              <w:top w:val="single" w:sz="4" w:space="0" w:color="auto"/>
              <w:left w:val="single" w:sz="4" w:space="0" w:color="auto"/>
              <w:bottom w:val="single" w:sz="4" w:space="0" w:color="auto"/>
              <w:right w:val="single" w:sz="4" w:space="0" w:color="auto"/>
            </w:tcBorders>
            <w:vAlign w:val="center"/>
            <w:hideMark/>
          </w:tcPr>
          <w:p w14:paraId="592178B6" w14:textId="77777777" w:rsidR="002F590A" w:rsidRDefault="002F590A">
            <w:pPr>
              <w:jc w:val="center"/>
              <w:rPr>
                <w:bCs/>
                <w:sz w:val="12"/>
                <w:szCs w:val="12"/>
              </w:rPr>
            </w:pPr>
            <w:r>
              <w:rPr>
                <w:bCs/>
                <w:sz w:val="12"/>
                <w:szCs w:val="12"/>
              </w:rPr>
              <w:t>22</w:t>
            </w:r>
          </w:p>
        </w:tc>
        <w:tc>
          <w:tcPr>
            <w:tcW w:w="174" w:type="pct"/>
            <w:tcBorders>
              <w:top w:val="single" w:sz="4" w:space="0" w:color="auto"/>
              <w:left w:val="single" w:sz="4" w:space="0" w:color="auto"/>
              <w:bottom w:val="single" w:sz="4" w:space="0" w:color="auto"/>
              <w:right w:val="single" w:sz="4" w:space="0" w:color="auto"/>
            </w:tcBorders>
            <w:vAlign w:val="center"/>
            <w:hideMark/>
          </w:tcPr>
          <w:p w14:paraId="7420BDF3" w14:textId="77777777" w:rsidR="002F590A" w:rsidRDefault="002F590A">
            <w:pPr>
              <w:jc w:val="center"/>
              <w:rPr>
                <w:bCs/>
                <w:sz w:val="12"/>
                <w:szCs w:val="12"/>
              </w:rPr>
            </w:pPr>
            <w:r>
              <w:rPr>
                <w:bCs/>
                <w:sz w:val="12"/>
                <w:szCs w:val="12"/>
              </w:rPr>
              <w:t>23</w:t>
            </w:r>
          </w:p>
        </w:tc>
        <w:tc>
          <w:tcPr>
            <w:tcW w:w="128" w:type="pct"/>
            <w:tcBorders>
              <w:top w:val="single" w:sz="4" w:space="0" w:color="auto"/>
              <w:left w:val="single" w:sz="4" w:space="0" w:color="auto"/>
              <w:bottom w:val="single" w:sz="4" w:space="0" w:color="auto"/>
              <w:right w:val="single" w:sz="4" w:space="0" w:color="auto"/>
            </w:tcBorders>
            <w:vAlign w:val="center"/>
            <w:hideMark/>
          </w:tcPr>
          <w:p w14:paraId="2723F955" w14:textId="77777777" w:rsidR="002F590A" w:rsidRDefault="002F590A">
            <w:pPr>
              <w:jc w:val="center"/>
              <w:rPr>
                <w:bCs/>
                <w:sz w:val="12"/>
                <w:szCs w:val="12"/>
              </w:rPr>
            </w:pPr>
            <w:r>
              <w:rPr>
                <w:bCs/>
                <w:sz w:val="12"/>
                <w:szCs w:val="12"/>
              </w:rPr>
              <w:t>24</w:t>
            </w:r>
          </w:p>
        </w:tc>
      </w:tr>
      <w:tr w:rsidR="002F590A" w14:paraId="7DD68EBD" w14:textId="77777777" w:rsidTr="002F590A">
        <w:trPr>
          <w:trHeight w:val="897"/>
        </w:trPr>
        <w:tc>
          <w:tcPr>
            <w:tcW w:w="175" w:type="pct"/>
            <w:tcBorders>
              <w:top w:val="single" w:sz="4" w:space="0" w:color="auto"/>
              <w:left w:val="single" w:sz="4" w:space="0" w:color="auto"/>
              <w:bottom w:val="single" w:sz="4" w:space="0" w:color="auto"/>
              <w:right w:val="single" w:sz="4" w:space="0" w:color="auto"/>
            </w:tcBorders>
            <w:vAlign w:val="center"/>
            <w:hideMark/>
          </w:tcPr>
          <w:p w14:paraId="4D560B59" w14:textId="77777777" w:rsidR="002F590A" w:rsidRDefault="002F590A">
            <w:pPr>
              <w:jc w:val="center"/>
              <w:rPr>
                <w:sz w:val="12"/>
                <w:szCs w:val="12"/>
              </w:rPr>
            </w:pPr>
            <w:r>
              <w:rPr>
                <w:sz w:val="12"/>
                <w:szCs w:val="12"/>
              </w:rPr>
              <w:t>3.2.13.3</w:t>
            </w:r>
          </w:p>
        </w:tc>
        <w:tc>
          <w:tcPr>
            <w:tcW w:w="262" w:type="pct"/>
            <w:tcBorders>
              <w:top w:val="single" w:sz="4" w:space="0" w:color="auto"/>
              <w:left w:val="single" w:sz="4" w:space="0" w:color="auto"/>
              <w:bottom w:val="single" w:sz="4" w:space="0" w:color="auto"/>
              <w:right w:val="single" w:sz="4" w:space="0" w:color="auto"/>
            </w:tcBorders>
            <w:vAlign w:val="center"/>
            <w:hideMark/>
          </w:tcPr>
          <w:p w14:paraId="78FE3204" w14:textId="77777777" w:rsidR="002F590A" w:rsidRDefault="002F590A">
            <w:pPr>
              <w:rPr>
                <w:color w:val="000000"/>
                <w:sz w:val="12"/>
                <w:szCs w:val="12"/>
              </w:rPr>
            </w:pPr>
            <w:r>
              <w:rPr>
                <w:color w:val="000000"/>
                <w:sz w:val="12"/>
                <w:szCs w:val="12"/>
              </w:rPr>
              <w:t>Реконструкция системы автоматической подпитки тепловой сети из водопровода</w:t>
            </w:r>
          </w:p>
        </w:tc>
        <w:tc>
          <w:tcPr>
            <w:tcW w:w="351" w:type="pct"/>
            <w:tcBorders>
              <w:top w:val="single" w:sz="4" w:space="0" w:color="auto"/>
              <w:left w:val="single" w:sz="4" w:space="0" w:color="auto"/>
              <w:bottom w:val="single" w:sz="4" w:space="0" w:color="auto"/>
              <w:right w:val="single" w:sz="4" w:space="0" w:color="auto"/>
            </w:tcBorders>
            <w:vAlign w:val="center"/>
            <w:hideMark/>
          </w:tcPr>
          <w:p w14:paraId="4AD1B7BE" w14:textId="77777777" w:rsidR="002F590A" w:rsidRDefault="002F590A">
            <w:pPr>
              <w:jc w:val="center"/>
              <w:rPr>
                <w:sz w:val="12"/>
                <w:szCs w:val="12"/>
              </w:rPr>
            </w:pPr>
            <w:r>
              <w:rPr>
                <w:sz w:val="12"/>
                <w:szCs w:val="12"/>
              </w:rPr>
              <w:t>Повышение надежности (бесперебойности) услуг теплоснабжения, повышение энергетической эффективности</w:t>
            </w:r>
          </w:p>
        </w:tc>
        <w:tc>
          <w:tcPr>
            <w:tcW w:w="259" w:type="pct"/>
            <w:tcBorders>
              <w:top w:val="single" w:sz="4" w:space="0" w:color="auto"/>
              <w:left w:val="single" w:sz="4" w:space="0" w:color="auto"/>
              <w:bottom w:val="single" w:sz="4" w:space="0" w:color="auto"/>
              <w:right w:val="single" w:sz="4" w:space="0" w:color="auto"/>
            </w:tcBorders>
            <w:vAlign w:val="center"/>
            <w:hideMark/>
          </w:tcPr>
          <w:p w14:paraId="6A82CA43" w14:textId="77777777" w:rsidR="002F590A" w:rsidRDefault="002F590A">
            <w:pPr>
              <w:jc w:val="center"/>
              <w:rPr>
                <w:sz w:val="12"/>
                <w:szCs w:val="12"/>
              </w:rPr>
            </w:pPr>
            <w:r>
              <w:rPr>
                <w:sz w:val="12"/>
                <w:szCs w:val="12"/>
              </w:rPr>
              <w:t> </w:t>
            </w:r>
          </w:p>
        </w:tc>
        <w:tc>
          <w:tcPr>
            <w:tcW w:w="298" w:type="pct"/>
            <w:tcBorders>
              <w:top w:val="single" w:sz="4" w:space="0" w:color="auto"/>
              <w:left w:val="single" w:sz="4" w:space="0" w:color="auto"/>
              <w:bottom w:val="single" w:sz="4" w:space="0" w:color="auto"/>
              <w:right w:val="single" w:sz="4" w:space="0" w:color="auto"/>
            </w:tcBorders>
            <w:vAlign w:val="center"/>
            <w:hideMark/>
          </w:tcPr>
          <w:p w14:paraId="36966F2A" w14:textId="77777777" w:rsidR="002F590A" w:rsidRDefault="002F590A">
            <w:pPr>
              <w:jc w:val="center"/>
              <w:rPr>
                <w:sz w:val="12"/>
                <w:szCs w:val="12"/>
              </w:rPr>
            </w:pPr>
            <w:r>
              <w:rPr>
                <w:color w:val="000000"/>
                <w:sz w:val="12"/>
                <w:szCs w:val="12"/>
              </w:rPr>
              <w:t>Технические характеристики</w:t>
            </w:r>
          </w:p>
        </w:tc>
        <w:tc>
          <w:tcPr>
            <w:tcW w:w="130" w:type="pct"/>
            <w:tcBorders>
              <w:top w:val="single" w:sz="4" w:space="0" w:color="auto"/>
              <w:left w:val="single" w:sz="4" w:space="0" w:color="auto"/>
              <w:bottom w:val="single" w:sz="4" w:space="0" w:color="auto"/>
              <w:right w:val="single" w:sz="4" w:space="0" w:color="auto"/>
            </w:tcBorders>
            <w:vAlign w:val="center"/>
          </w:tcPr>
          <w:p w14:paraId="44337DA4" w14:textId="77777777" w:rsidR="002F590A" w:rsidRDefault="002F590A">
            <w:pPr>
              <w:jc w:val="center"/>
              <w:rPr>
                <w:sz w:val="12"/>
                <w:szCs w:val="12"/>
              </w:rPr>
            </w:pPr>
          </w:p>
        </w:tc>
        <w:tc>
          <w:tcPr>
            <w:tcW w:w="359" w:type="pct"/>
            <w:tcBorders>
              <w:top w:val="single" w:sz="4" w:space="0" w:color="auto"/>
              <w:left w:val="single" w:sz="4" w:space="0" w:color="auto"/>
              <w:bottom w:val="single" w:sz="4" w:space="0" w:color="auto"/>
              <w:right w:val="single" w:sz="4" w:space="0" w:color="auto"/>
            </w:tcBorders>
            <w:vAlign w:val="center"/>
            <w:hideMark/>
          </w:tcPr>
          <w:p w14:paraId="0667DF30" w14:textId="77777777" w:rsidR="002F590A" w:rsidRDefault="002F590A">
            <w:pPr>
              <w:jc w:val="center"/>
              <w:rPr>
                <w:sz w:val="12"/>
                <w:szCs w:val="12"/>
              </w:rPr>
            </w:pPr>
            <w:r>
              <w:rPr>
                <w:sz w:val="12"/>
                <w:szCs w:val="12"/>
              </w:rPr>
              <w:t>Редукционный клапан Ду15, счетчик СГВ-15, кран муфтовый Ду15, обратный клапан резьбовой Ду15мм.</w:t>
            </w:r>
          </w:p>
        </w:tc>
        <w:tc>
          <w:tcPr>
            <w:tcW w:w="349" w:type="pct"/>
            <w:tcBorders>
              <w:top w:val="single" w:sz="4" w:space="0" w:color="auto"/>
              <w:left w:val="single" w:sz="4" w:space="0" w:color="auto"/>
              <w:bottom w:val="single" w:sz="4" w:space="0" w:color="auto"/>
              <w:right w:val="single" w:sz="4" w:space="0" w:color="auto"/>
            </w:tcBorders>
            <w:vAlign w:val="center"/>
            <w:hideMark/>
          </w:tcPr>
          <w:p w14:paraId="59E9E969" w14:textId="77777777" w:rsidR="002F590A" w:rsidRDefault="002F590A">
            <w:pPr>
              <w:jc w:val="center"/>
              <w:rPr>
                <w:sz w:val="12"/>
                <w:szCs w:val="12"/>
              </w:rPr>
            </w:pPr>
            <w:r>
              <w:rPr>
                <w:sz w:val="12"/>
                <w:szCs w:val="12"/>
              </w:rPr>
              <w:t>Оборудование с техническими характеристиками не ниже существующего на объекте</w:t>
            </w:r>
          </w:p>
        </w:tc>
        <w:tc>
          <w:tcPr>
            <w:tcW w:w="131" w:type="pct"/>
            <w:tcBorders>
              <w:top w:val="single" w:sz="4" w:space="0" w:color="auto"/>
              <w:left w:val="single" w:sz="4" w:space="0" w:color="auto"/>
              <w:bottom w:val="single" w:sz="4" w:space="0" w:color="auto"/>
              <w:right w:val="single" w:sz="4" w:space="0" w:color="auto"/>
            </w:tcBorders>
            <w:vAlign w:val="center"/>
            <w:hideMark/>
          </w:tcPr>
          <w:p w14:paraId="7DAC4B17" w14:textId="77777777" w:rsidR="002F590A" w:rsidRDefault="002F590A">
            <w:pPr>
              <w:jc w:val="center"/>
              <w:rPr>
                <w:sz w:val="12"/>
                <w:szCs w:val="12"/>
              </w:rPr>
            </w:pPr>
            <w:r>
              <w:rPr>
                <w:sz w:val="12"/>
                <w:szCs w:val="12"/>
              </w:rPr>
              <w:t>2025</w:t>
            </w:r>
          </w:p>
        </w:tc>
        <w:tc>
          <w:tcPr>
            <w:tcW w:w="133" w:type="pct"/>
            <w:tcBorders>
              <w:top w:val="single" w:sz="4" w:space="0" w:color="auto"/>
              <w:left w:val="single" w:sz="4" w:space="0" w:color="auto"/>
              <w:bottom w:val="single" w:sz="4" w:space="0" w:color="auto"/>
              <w:right w:val="single" w:sz="4" w:space="0" w:color="auto"/>
            </w:tcBorders>
            <w:vAlign w:val="center"/>
            <w:hideMark/>
          </w:tcPr>
          <w:p w14:paraId="55C9AB6A" w14:textId="77777777" w:rsidR="002F590A" w:rsidRDefault="002F590A">
            <w:pPr>
              <w:jc w:val="center"/>
              <w:rPr>
                <w:sz w:val="12"/>
                <w:szCs w:val="12"/>
              </w:rPr>
            </w:pPr>
            <w:r>
              <w:rPr>
                <w:sz w:val="12"/>
                <w:szCs w:val="12"/>
              </w:rPr>
              <w:t>2025</w:t>
            </w:r>
          </w:p>
        </w:tc>
        <w:tc>
          <w:tcPr>
            <w:tcW w:w="198" w:type="pct"/>
            <w:tcBorders>
              <w:top w:val="single" w:sz="4" w:space="0" w:color="auto"/>
              <w:left w:val="single" w:sz="4" w:space="0" w:color="auto"/>
              <w:bottom w:val="single" w:sz="4" w:space="0" w:color="auto"/>
              <w:right w:val="single" w:sz="4" w:space="0" w:color="auto"/>
            </w:tcBorders>
            <w:vAlign w:val="center"/>
            <w:hideMark/>
          </w:tcPr>
          <w:p w14:paraId="34C1D74D" w14:textId="77777777" w:rsidR="002F590A" w:rsidRDefault="002F590A">
            <w:pPr>
              <w:jc w:val="center"/>
              <w:rPr>
                <w:color w:val="000000"/>
                <w:sz w:val="12"/>
                <w:szCs w:val="12"/>
              </w:rPr>
            </w:pPr>
            <w:r>
              <w:rPr>
                <w:color w:val="000000"/>
                <w:sz w:val="12"/>
                <w:szCs w:val="12"/>
              </w:rPr>
              <w:t>12,24</w:t>
            </w:r>
          </w:p>
        </w:tc>
        <w:tc>
          <w:tcPr>
            <w:tcW w:w="178" w:type="pct"/>
            <w:tcBorders>
              <w:top w:val="single" w:sz="4" w:space="0" w:color="auto"/>
              <w:left w:val="single" w:sz="4" w:space="0" w:color="auto"/>
              <w:bottom w:val="single" w:sz="4" w:space="0" w:color="auto"/>
              <w:right w:val="single" w:sz="4" w:space="0" w:color="auto"/>
            </w:tcBorders>
            <w:vAlign w:val="center"/>
            <w:hideMark/>
          </w:tcPr>
          <w:p w14:paraId="0B6D7DFE" w14:textId="77777777" w:rsidR="002F590A" w:rsidRDefault="002F590A">
            <w:pPr>
              <w:jc w:val="center"/>
              <w:rPr>
                <w:color w:val="000000"/>
                <w:sz w:val="12"/>
                <w:szCs w:val="12"/>
              </w:rPr>
            </w:pPr>
            <w:r>
              <w:rPr>
                <w:color w:val="000000"/>
                <w:sz w:val="12"/>
                <w:szCs w:val="12"/>
              </w:rPr>
              <w:t>0,00</w:t>
            </w:r>
          </w:p>
        </w:tc>
        <w:tc>
          <w:tcPr>
            <w:tcW w:w="218" w:type="pct"/>
            <w:tcBorders>
              <w:top w:val="single" w:sz="4" w:space="0" w:color="auto"/>
              <w:left w:val="single" w:sz="4" w:space="0" w:color="auto"/>
              <w:bottom w:val="single" w:sz="4" w:space="0" w:color="auto"/>
              <w:right w:val="single" w:sz="4" w:space="0" w:color="auto"/>
            </w:tcBorders>
            <w:vAlign w:val="center"/>
            <w:hideMark/>
          </w:tcPr>
          <w:p w14:paraId="028724A9" w14:textId="77777777" w:rsidR="002F590A" w:rsidRDefault="002F590A">
            <w:pPr>
              <w:jc w:val="center"/>
              <w:rPr>
                <w:sz w:val="12"/>
                <w:szCs w:val="12"/>
              </w:rPr>
            </w:pPr>
            <w:r>
              <w:rPr>
                <w:sz w:val="12"/>
                <w:szCs w:val="12"/>
              </w:rPr>
              <w:t>0,00</w:t>
            </w:r>
          </w:p>
        </w:tc>
        <w:tc>
          <w:tcPr>
            <w:tcW w:w="220" w:type="pct"/>
            <w:tcBorders>
              <w:top w:val="single" w:sz="4" w:space="0" w:color="auto"/>
              <w:left w:val="single" w:sz="4" w:space="0" w:color="auto"/>
              <w:bottom w:val="single" w:sz="4" w:space="0" w:color="auto"/>
              <w:right w:val="single" w:sz="4" w:space="0" w:color="auto"/>
            </w:tcBorders>
            <w:vAlign w:val="center"/>
            <w:hideMark/>
          </w:tcPr>
          <w:p w14:paraId="15962164" w14:textId="77777777" w:rsidR="002F590A" w:rsidRDefault="002F590A">
            <w:pPr>
              <w:jc w:val="center"/>
              <w:rPr>
                <w:sz w:val="12"/>
                <w:szCs w:val="12"/>
              </w:rPr>
            </w:pPr>
            <w:r>
              <w:rPr>
                <w:sz w:val="12"/>
                <w:szCs w:val="12"/>
              </w:rPr>
              <w:t>0,00</w:t>
            </w:r>
          </w:p>
        </w:tc>
        <w:tc>
          <w:tcPr>
            <w:tcW w:w="214" w:type="pct"/>
            <w:tcBorders>
              <w:top w:val="single" w:sz="4" w:space="0" w:color="auto"/>
              <w:left w:val="single" w:sz="4" w:space="0" w:color="auto"/>
              <w:bottom w:val="single" w:sz="4" w:space="0" w:color="auto"/>
              <w:right w:val="single" w:sz="4" w:space="0" w:color="auto"/>
            </w:tcBorders>
            <w:vAlign w:val="center"/>
            <w:hideMark/>
          </w:tcPr>
          <w:p w14:paraId="3B8BC36F" w14:textId="77777777" w:rsidR="002F590A" w:rsidRDefault="002F590A">
            <w:pPr>
              <w:jc w:val="center"/>
              <w:rPr>
                <w:sz w:val="12"/>
                <w:szCs w:val="12"/>
              </w:rPr>
            </w:pPr>
            <w:r>
              <w:rPr>
                <w:sz w:val="12"/>
                <w:szCs w:val="12"/>
              </w:rPr>
              <w:t>0,00</w:t>
            </w:r>
          </w:p>
        </w:tc>
        <w:tc>
          <w:tcPr>
            <w:tcW w:w="179" w:type="pct"/>
            <w:tcBorders>
              <w:top w:val="single" w:sz="4" w:space="0" w:color="auto"/>
              <w:left w:val="single" w:sz="4" w:space="0" w:color="auto"/>
              <w:bottom w:val="single" w:sz="4" w:space="0" w:color="auto"/>
              <w:right w:val="single" w:sz="4" w:space="0" w:color="auto"/>
            </w:tcBorders>
            <w:vAlign w:val="center"/>
            <w:hideMark/>
          </w:tcPr>
          <w:p w14:paraId="7BD55C73" w14:textId="77777777" w:rsidR="002F590A" w:rsidRDefault="002F590A">
            <w:pPr>
              <w:jc w:val="center"/>
              <w:rPr>
                <w:sz w:val="12"/>
                <w:szCs w:val="12"/>
              </w:rPr>
            </w:pPr>
            <w:r>
              <w:rPr>
                <w:sz w:val="12"/>
                <w:szCs w:val="12"/>
              </w:rPr>
              <w:t>12,24</w:t>
            </w:r>
          </w:p>
        </w:tc>
        <w:tc>
          <w:tcPr>
            <w:tcW w:w="171" w:type="pct"/>
            <w:tcBorders>
              <w:top w:val="single" w:sz="4" w:space="0" w:color="auto"/>
              <w:left w:val="single" w:sz="4" w:space="0" w:color="auto"/>
              <w:bottom w:val="single" w:sz="4" w:space="0" w:color="auto"/>
              <w:right w:val="single" w:sz="4" w:space="0" w:color="auto"/>
            </w:tcBorders>
            <w:vAlign w:val="center"/>
            <w:hideMark/>
          </w:tcPr>
          <w:p w14:paraId="4348B3E5"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572A2571" w14:textId="77777777" w:rsidR="002F590A" w:rsidRDefault="002F590A">
            <w:pPr>
              <w:jc w:val="center"/>
              <w:rPr>
                <w:sz w:val="12"/>
                <w:szCs w:val="12"/>
              </w:rPr>
            </w:pPr>
            <w:r>
              <w:rPr>
                <w:sz w:val="12"/>
                <w:szCs w:val="12"/>
              </w:rPr>
              <w:t>0,00</w:t>
            </w:r>
          </w:p>
        </w:tc>
        <w:tc>
          <w:tcPr>
            <w:tcW w:w="177" w:type="pct"/>
            <w:tcBorders>
              <w:top w:val="single" w:sz="4" w:space="0" w:color="auto"/>
              <w:left w:val="single" w:sz="4" w:space="0" w:color="auto"/>
              <w:bottom w:val="single" w:sz="4" w:space="0" w:color="auto"/>
              <w:right w:val="single" w:sz="4" w:space="0" w:color="auto"/>
            </w:tcBorders>
            <w:vAlign w:val="center"/>
            <w:hideMark/>
          </w:tcPr>
          <w:p w14:paraId="06EB444F"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0AA83F87"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7399D3B0" w14:textId="77777777" w:rsidR="002F590A" w:rsidRDefault="002F590A">
            <w:pPr>
              <w:jc w:val="center"/>
              <w:rPr>
                <w:sz w:val="12"/>
                <w:szCs w:val="12"/>
              </w:rPr>
            </w:pPr>
            <w:r>
              <w:rPr>
                <w:sz w:val="12"/>
                <w:szCs w:val="12"/>
              </w:rPr>
              <w:t>0,00</w:t>
            </w:r>
          </w:p>
        </w:tc>
        <w:tc>
          <w:tcPr>
            <w:tcW w:w="177" w:type="pct"/>
            <w:tcBorders>
              <w:top w:val="single" w:sz="4" w:space="0" w:color="auto"/>
              <w:left w:val="single" w:sz="4" w:space="0" w:color="auto"/>
              <w:bottom w:val="single" w:sz="4" w:space="0" w:color="auto"/>
              <w:right w:val="single" w:sz="4" w:space="0" w:color="auto"/>
            </w:tcBorders>
            <w:vAlign w:val="center"/>
            <w:hideMark/>
          </w:tcPr>
          <w:p w14:paraId="6F5B093C"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127E3E35" w14:textId="77777777" w:rsidR="002F590A" w:rsidRDefault="002F590A">
            <w:pPr>
              <w:jc w:val="center"/>
              <w:rPr>
                <w:color w:val="000000"/>
                <w:sz w:val="12"/>
                <w:szCs w:val="12"/>
              </w:rPr>
            </w:pPr>
            <w:r>
              <w:rPr>
                <w:color w:val="000000"/>
                <w:sz w:val="12"/>
                <w:szCs w:val="12"/>
              </w:rPr>
              <w:t>0,00</w:t>
            </w:r>
          </w:p>
        </w:tc>
        <w:tc>
          <w:tcPr>
            <w:tcW w:w="128" w:type="pct"/>
            <w:tcBorders>
              <w:top w:val="single" w:sz="4" w:space="0" w:color="auto"/>
              <w:left w:val="single" w:sz="4" w:space="0" w:color="auto"/>
              <w:bottom w:val="single" w:sz="4" w:space="0" w:color="auto"/>
              <w:right w:val="single" w:sz="4" w:space="0" w:color="auto"/>
            </w:tcBorders>
            <w:vAlign w:val="center"/>
            <w:hideMark/>
          </w:tcPr>
          <w:p w14:paraId="10253107" w14:textId="77777777" w:rsidR="002F590A" w:rsidRDefault="002F590A">
            <w:pPr>
              <w:jc w:val="center"/>
              <w:rPr>
                <w:color w:val="000000"/>
                <w:sz w:val="12"/>
                <w:szCs w:val="12"/>
              </w:rPr>
            </w:pPr>
            <w:r>
              <w:rPr>
                <w:color w:val="000000"/>
                <w:sz w:val="12"/>
                <w:szCs w:val="12"/>
              </w:rPr>
              <w:t>0,00</w:t>
            </w:r>
          </w:p>
        </w:tc>
      </w:tr>
      <w:tr w:rsidR="002F590A" w14:paraId="50480A91" w14:textId="77777777" w:rsidTr="002F590A">
        <w:trPr>
          <w:trHeight w:val="1157"/>
        </w:trPr>
        <w:tc>
          <w:tcPr>
            <w:tcW w:w="175" w:type="pct"/>
            <w:tcBorders>
              <w:top w:val="single" w:sz="4" w:space="0" w:color="auto"/>
              <w:left w:val="single" w:sz="4" w:space="0" w:color="auto"/>
              <w:bottom w:val="single" w:sz="4" w:space="0" w:color="auto"/>
              <w:right w:val="single" w:sz="4" w:space="0" w:color="auto"/>
            </w:tcBorders>
            <w:vAlign w:val="center"/>
            <w:hideMark/>
          </w:tcPr>
          <w:p w14:paraId="2B2EE784" w14:textId="77777777" w:rsidR="002F590A" w:rsidRDefault="002F590A">
            <w:pPr>
              <w:jc w:val="center"/>
              <w:rPr>
                <w:bCs/>
                <w:sz w:val="12"/>
                <w:szCs w:val="12"/>
              </w:rPr>
            </w:pPr>
            <w:r>
              <w:rPr>
                <w:bCs/>
                <w:sz w:val="12"/>
                <w:szCs w:val="12"/>
              </w:rPr>
              <w:t>3.2.14.</w:t>
            </w:r>
          </w:p>
        </w:tc>
        <w:tc>
          <w:tcPr>
            <w:tcW w:w="262" w:type="pct"/>
            <w:tcBorders>
              <w:top w:val="single" w:sz="4" w:space="0" w:color="auto"/>
              <w:left w:val="single" w:sz="4" w:space="0" w:color="auto"/>
              <w:bottom w:val="single" w:sz="4" w:space="0" w:color="auto"/>
              <w:right w:val="single" w:sz="4" w:space="0" w:color="auto"/>
            </w:tcBorders>
            <w:vAlign w:val="center"/>
            <w:hideMark/>
          </w:tcPr>
          <w:p w14:paraId="41747A5C" w14:textId="77777777" w:rsidR="002F590A" w:rsidRDefault="002F590A">
            <w:pPr>
              <w:rPr>
                <w:bCs/>
                <w:color w:val="000000"/>
                <w:sz w:val="12"/>
                <w:szCs w:val="12"/>
              </w:rPr>
            </w:pPr>
            <w:r>
              <w:rPr>
                <w:bCs/>
                <w:color w:val="000000"/>
                <w:sz w:val="12"/>
                <w:szCs w:val="12"/>
              </w:rPr>
              <w:t>Реконструкция ИТП котельной №64</w:t>
            </w:r>
          </w:p>
        </w:tc>
        <w:tc>
          <w:tcPr>
            <w:tcW w:w="351" w:type="pct"/>
            <w:tcBorders>
              <w:top w:val="single" w:sz="4" w:space="0" w:color="auto"/>
              <w:left w:val="single" w:sz="4" w:space="0" w:color="auto"/>
              <w:bottom w:val="single" w:sz="4" w:space="0" w:color="auto"/>
              <w:right w:val="single" w:sz="4" w:space="0" w:color="auto"/>
            </w:tcBorders>
            <w:vAlign w:val="center"/>
          </w:tcPr>
          <w:p w14:paraId="2C86F93C" w14:textId="77777777" w:rsidR="002F590A" w:rsidRDefault="002F590A">
            <w:pPr>
              <w:jc w:val="center"/>
              <w:rPr>
                <w:sz w:val="12"/>
                <w:szCs w:val="12"/>
              </w:rPr>
            </w:pPr>
          </w:p>
        </w:tc>
        <w:tc>
          <w:tcPr>
            <w:tcW w:w="259" w:type="pct"/>
            <w:tcBorders>
              <w:top w:val="single" w:sz="4" w:space="0" w:color="auto"/>
              <w:left w:val="single" w:sz="4" w:space="0" w:color="auto"/>
              <w:bottom w:val="single" w:sz="4" w:space="0" w:color="auto"/>
              <w:right w:val="single" w:sz="4" w:space="0" w:color="auto"/>
            </w:tcBorders>
            <w:vAlign w:val="center"/>
            <w:hideMark/>
          </w:tcPr>
          <w:p w14:paraId="51143628" w14:textId="77777777" w:rsidR="002F590A" w:rsidRDefault="002F590A">
            <w:pPr>
              <w:jc w:val="center"/>
              <w:rPr>
                <w:color w:val="000000"/>
                <w:sz w:val="12"/>
                <w:szCs w:val="12"/>
              </w:rPr>
            </w:pPr>
            <w:r>
              <w:rPr>
                <w:color w:val="000000"/>
                <w:sz w:val="12"/>
                <w:szCs w:val="12"/>
              </w:rPr>
              <w:t>Кемеровский городской округ, ул. Греческая Деревня, д 147а, пом. 3</w:t>
            </w:r>
          </w:p>
        </w:tc>
        <w:tc>
          <w:tcPr>
            <w:tcW w:w="298" w:type="pct"/>
            <w:tcBorders>
              <w:top w:val="single" w:sz="4" w:space="0" w:color="auto"/>
              <w:left w:val="single" w:sz="4" w:space="0" w:color="auto"/>
              <w:bottom w:val="single" w:sz="4" w:space="0" w:color="auto"/>
              <w:right w:val="single" w:sz="4" w:space="0" w:color="auto"/>
            </w:tcBorders>
            <w:vAlign w:val="center"/>
            <w:hideMark/>
          </w:tcPr>
          <w:p w14:paraId="0F6E81B0" w14:textId="77777777" w:rsidR="002F590A" w:rsidRDefault="002F590A">
            <w:pPr>
              <w:jc w:val="center"/>
              <w:rPr>
                <w:sz w:val="12"/>
                <w:szCs w:val="12"/>
              </w:rPr>
            </w:pPr>
            <w:r>
              <w:rPr>
                <w:color w:val="000000"/>
                <w:sz w:val="12"/>
                <w:szCs w:val="12"/>
              </w:rPr>
              <w:t>Технические характеристики</w:t>
            </w:r>
          </w:p>
        </w:tc>
        <w:tc>
          <w:tcPr>
            <w:tcW w:w="130" w:type="pct"/>
            <w:tcBorders>
              <w:top w:val="single" w:sz="4" w:space="0" w:color="auto"/>
              <w:left w:val="single" w:sz="4" w:space="0" w:color="auto"/>
              <w:bottom w:val="single" w:sz="4" w:space="0" w:color="auto"/>
              <w:right w:val="single" w:sz="4" w:space="0" w:color="auto"/>
            </w:tcBorders>
            <w:vAlign w:val="center"/>
          </w:tcPr>
          <w:p w14:paraId="1D71F8A8" w14:textId="77777777" w:rsidR="002F590A" w:rsidRDefault="002F590A">
            <w:pPr>
              <w:jc w:val="center"/>
              <w:rPr>
                <w:sz w:val="12"/>
                <w:szCs w:val="12"/>
              </w:rPr>
            </w:pPr>
          </w:p>
        </w:tc>
        <w:tc>
          <w:tcPr>
            <w:tcW w:w="359" w:type="pct"/>
            <w:tcBorders>
              <w:top w:val="single" w:sz="4" w:space="0" w:color="auto"/>
              <w:left w:val="single" w:sz="4" w:space="0" w:color="auto"/>
              <w:bottom w:val="single" w:sz="4" w:space="0" w:color="auto"/>
              <w:right w:val="single" w:sz="4" w:space="0" w:color="auto"/>
            </w:tcBorders>
            <w:vAlign w:val="center"/>
            <w:hideMark/>
          </w:tcPr>
          <w:p w14:paraId="385D15F4" w14:textId="77777777" w:rsidR="002F590A" w:rsidRDefault="002F590A">
            <w:pPr>
              <w:jc w:val="center"/>
              <w:rPr>
                <w:sz w:val="12"/>
                <w:szCs w:val="12"/>
              </w:rPr>
            </w:pPr>
            <w:r>
              <w:rPr>
                <w:sz w:val="12"/>
                <w:szCs w:val="12"/>
              </w:rPr>
              <w:t> </w:t>
            </w:r>
          </w:p>
        </w:tc>
        <w:tc>
          <w:tcPr>
            <w:tcW w:w="349" w:type="pct"/>
            <w:tcBorders>
              <w:top w:val="single" w:sz="4" w:space="0" w:color="auto"/>
              <w:left w:val="single" w:sz="4" w:space="0" w:color="auto"/>
              <w:bottom w:val="single" w:sz="4" w:space="0" w:color="auto"/>
              <w:right w:val="single" w:sz="4" w:space="0" w:color="auto"/>
            </w:tcBorders>
            <w:vAlign w:val="center"/>
            <w:hideMark/>
          </w:tcPr>
          <w:p w14:paraId="66201212" w14:textId="77777777" w:rsidR="002F590A" w:rsidRDefault="002F590A">
            <w:pPr>
              <w:jc w:val="center"/>
              <w:rPr>
                <w:sz w:val="12"/>
                <w:szCs w:val="12"/>
              </w:rPr>
            </w:pPr>
            <w:r>
              <w:rPr>
                <w:sz w:val="12"/>
                <w:szCs w:val="12"/>
              </w:rPr>
              <w:t> </w:t>
            </w:r>
          </w:p>
        </w:tc>
        <w:tc>
          <w:tcPr>
            <w:tcW w:w="131" w:type="pct"/>
            <w:tcBorders>
              <w:top w:val="single" w:sz="4" w:space="0" w:color="auto"/>
              <w:left w:val="single" w:sz="4" w:space="0" w:color="auto"/>
              <w:bottom w:val="single" w:sz="4" w:space="0" w:color="auto"/>
              <w:right w:val="single" w:sz="4" w:space="0" w:color="auto"/>
            </w:tcBorders>
            <w:vAlign w:val="center"/>
          </w:tcPr>
          <w:p w14:paraId="776233F9" w14:textId="77777777" w:rsidR="002F590A" w:rsidRDefault="002F590A">
            <w:pPr>
              <w:jc w:val="center"/>
              <w:rPr>
                <w:sz w:val="12"/>
                <w:szCs w:val="12"/>
              </w:rPr>
            </w:pPr>
          </w:p>
        </w:tc>
        <w:tc>
          <w:tcPr>
            <w:tcW w:w="133" w:type="pct"/>
            <w:tcBorders>
              <w:top w:val="single" w:sz="4" w:space="0" w:color="auto"/>
              <w:left w:val="single" w:sz="4" w:space="0" w:color="auto"/>
              <w:bottom w:val="single" w:sz="4" w:space="0" w:color="auto"/>
              <w:right w:val="single" w:sz="4" w:space="0" w:color="auto"/>
            </w:tcBorders>
            <w:vAlign w:val="center"/>
          </w:tcPr>
          <w:p w14:paraId="0D70C5D4" w14:textId="77777777" w:rsidR="002F590A" w:rsidRDefault="002F590A">
            <w:pPr>
              <w:jc w:val="center"/>
              <w:rPr>
                <w:sz w:val="12"/>
                <w:szCs w:val="12"/>
              </w:rPr>
            </w:pPr>
          </w:p>
        </w:tc>
        <w:tc>
          <w:tcPr>
            <w:tcW w:w="198" w:type="pct"/>
            <w:tcBorders>
              <w:top w:val="single" w:sz="4" w:space="0" w:color="auto"/>
              <w:left w:val="single" w:sz="4" w:space="0" w:color="auto"/>
              <w:bottom w:val="single" w:sz="4" w:space="0" w:color="auto"/>
              <w:right w:val="single" w:sz="4" w:space="0" w:color="auto"/>
            </w:tcBorders>
            <w:vAlign w:val="center"/>
          </w:tcPr>
          <w:p w14:paraId="3A621EEC" w14:textId="77777777" w:rsidR="002F590A" w:rsidRDefault="002F590A">
            <w:pPr>
              <w:jc w:val="center"/>
              <w:rPr>
                <w:color w:val="000000"/>
                <w:sz w:val="12"/>
                <w:szCs w:val="12"/>
              </w:rPr>
            </w:pPr>
          </w:p>
        </w:tc>
        <w:tc>
          <w:tcPr>
            <w:tcW w:w="178" w:type="pct"/>
            <w:tcBorders>
              <w:top w:val="single" w:sz="4" w:space="0" w:color="auto"/>
              <w:left w:val="single" w:sz="4" w:space="0" w:color="auto"/>
              <w:bottom w:val="single" w:sz="4" w:space="0" w:color="auto"/>
              <w:right w:val="single" w:sz="4" w:space="0" w:color="auto"/>
            </w:tcBorders>
            <w:vAlign w:val="center"/>
          </w:tcPr>
          <w:p w14:paraId="61491375" w14:textId="77777777" w:rsidR="002F590A" w:rsidRDefault="002F590A">
            <w:pPr>
              <w:jc w:val="center"/>
              <w:rPr>
                <w:color w:val="000000"/>
                <w:sz w:val="12"/>
                <w:szCs w:val="12"/>
              </w:rPr>
            </w:pPr>
          </w:p>
        </w:tc>
        <w:tc>
          <w:tcPr>
            <w:tcW w:w="218" w:type="pct"/>
            <w:tcBorders>
              <w:top w:val="single" w:sz="4" w:space="0" w:color="auto"/>
              <w:left w:val="single" w:sz="4" w:space="0" w:color="auto"/>
              <w:bottom w:val="single" w:sz="4" w:space="0" w:color="auto"/>
              <w:right w:val="single" w:sz="4" w:space="0" w:color="auto"/>
            </w:tcBorders>
            <w:vAlign w:val="center"/>
          </w:tcPr>
          <w:p w14:paraId="4B7C5388" w14:textId="77777777" w:rsidR="002F590A" w:rsidRDefault="002F590A">
            <w:pPr>
              <w:jc w:val="center"/>
              <w:rPr>
                <w:sz w:val="12"/>
                <w:szCs w:val="12"/>
              </w:rPr>
            </w:pPr>
          </w:p>
        </w:tc>
        <w:tc>
          <w:tcPr>
            <w:tcW w:w="220" w:type="pct"/>
            <w:tcBorders>
              <w:top w:val="single" w:sz="4" w:space="0" w:color="auto"/>
              <w:left w:val="single" w:sz="4" w:space="0" w:color="auto"/>
              <w:bottom w:val="single" w:sz="4" w:space="0" w:color="auto"/>
              <w:right w:val="single" w:sz="4" w:space="0" w:color="auto"/>
            </w:tcBorders>
            <w:vAlign w:val="center"/>
          </w:tcPr>
          <w:p w14:paraId="7B9D750D" w14:textId="77777777" w:rsidR="002F590A" w:rsidRDefault="002F590A">
            <w:pPr>
              <w:jc w:val="center"/>
              <w:rPr>
                <w:sz w:val="12"/>
                <w:szCs w:val="12"/>
              </w:rPr>
            </w:pPr>
          </w:p>
        </w:tc>
        <w:tc>
          <w:tcPr>
            <w:tcW w:w="214" w:type="pct"/>
            <w:tcBorders>
              <w:top w:val="single" w:sz="4" w:space="0" w:color="auto"/>
              <w:left w:val="single" w:sz="4" w:space="0" w:color="auto"/>
              <w:bottom w:val="single" w:sz="4" w:space="0" w:color="auto"/>
              <w:right w:val="single" w:sz="4" w:space="0" w:color="auto"/>
            </w:tcBorders>
            <w:vAlign w:val="center"/>
          </w:tcPr>
          <w:p w14:paraId="62A05C19" w14:textId="77777777" w:rsidR="002F590A" w:rsidRDefault="002F590A">
            <w:pPr>
              <w:jc w:val="center"/>
              <w:rPr>
                <w:sz w:val="12"/>
                <w:szCs w:val="12"/>
              </w:rPr>
            </w:pPr>
          </w:p>
        </w:tc>
        <w:tc>
          <w:tcPr>
            <w:tcW w:w="179" w:type="pct"/>
            <w:tcBorders>
              <w:top w:val="single" w:sz="4" w:space="0" w:color="auto"/>
              <w:left w:val="single" w:sz="4" w:space="0" w:color="auto"/>
              <w:bottom w:val="single" w:sz="4" w:space="0" w:color="auto"/>
              <w:right w:val="single" w:sz="4" w:space="0" w:color="auto"/>
            </w:tcBorders>
            <w:vAlign w:val="center"/>
          </w:tcPr>
          <w:p w14:paraId="3CFA05F8" w14:textId="77777777" w:rsidR="002F590A" w:rsidRDefault="002F590A">
            <w:pPr>
              <w:jc w:val="center"/>
              <w:rPr>
                <w:sz w:val="12"/>
                <w:szCs w:val="12"/>
              </w:rPr>
            </w:pPr>
          </w:p>
        </w:tc>
        <w:tc>
          <w:tcPr>
            <w:tcW w:w="171" w:type="pct"/>
            <w:tcBorders>
              <w:top w:val="single" w:sz="4" w:space="0" w:color="auto"/>
              <w:left w:val="single" w:sz="4" w:space="0" w:color="auto"/>
              <w:bottom w:val="single" w:sz="4" w:space="0" w:color="auto"/>
              <w:right w:val="single" w:sz="4" w:space="0" w:color="auto"/>
            </w:tcBorders>
            <w:vAlign w:val="center"/>
          </w:tcPr>
          <w:p w14:paraId="5EC3E198" w14:textId="77777777" w:rsidR="002F590A" w:rsidRDefault="002F590A">
            <w:pPr>
              <w:jc w:val="center"/>
              <w:rPr>
                <w:sz w:val="12"/>
                <w:szCs w:val="12"/>
              </w:rPr>
            </w:pPr>
          </w:p>
        </w:tc>
        <w:tc>
          <w:tcPr>
            <w:tcW w:w="173" w:type="pct"/>
            <w:tcBorders>
              <w:top w:val="single" w:sz="4" w:space="0" w:color="auto"/>
              <w:left w:val="single" w:sz="4" w:space="0" w:color="auto"/>
              <w:bottom w:val="single" w:sz="4" w:space="0" w:color="auto"/>
              <w:right w:val="single" w:sz="4" w:space="0" w:color="auto"/>
            </w:tcBorders>
            <w:vAlign w:val="center"/>
          </w:tcPr>
          <w:p w14:paraId="1BB270A4" w14:textId="77777777" w:rsidR="002F590A" w:rsidRDefault="002F590A">
            <w:pPr>
              <w:jc w:val="center"/>
              <w:rPr>
                <w:sz w:val="12"/>
                <w:szCs w:val="12"/>
              </w:rPr>
            </w:pPr>
          </w:p>
        </w:tc>
        <w:tc>
          <w:tcPr>
            <w:tcW w:w="177" w:type="pct"/>
            <w:tcBorders>
              <w:top w:val="single" w:sz="4" w:space="0" w:color="auto"/>
              <w:left w:val="single" w:sz="4" w:space="0" w:color="auto"/>
              <w:bottom w:val="single" w:sz="4" w:space="0" w:color="auto"/>
              <w:right w:val="single" w:sz="4" w:space="0" w:color="auto"/>
            </w:tcBorders>
            <w:vAlign w:val="center"/>
          </w:tcPr>
          <w:p w14:paraId="2798170D" w14:textId="77777777" w:rsidR="002F590A" w:rsidRDefault="002F590A">
            <w:pPr>
              <w:jc w:val="center"/>
              <w:rPr>
                <w:sz w:val="12"/>
                <w:szCs w:val="12"/>
              </w:rPr>
            </w:pPr>
          </w:p>
        </w:tc>
        <w:tc>
          <w:tcPr>
            <w:tcW w:w="173" w:type="pct"/>
            <w:tcBorders>
              <w:top w:val="single" w:sz="4" w:space="0" w:color="auto"/>
              <w:left w:val="single" w:sz="4" w:space="0" w:color="auto"/>
              <w:bottom w:val="single" w:sz="4" w:space="0" w:color="auto"/>
              <w:right w:val="single" w:sz="4" w:space="0" w:color="auto"/>
            </w:tcBorders>
            <w:vAlign w:val="center"/>
          </w:tcPr>
          <w:p w14:paraId="10B90E8A" w14:textId="77777777" w:rsidR="002F590A" w:rsidRDefault="002F590A">
            <w:pPr>
              <w:jc w:val="center"/>
              <w:rPr>
                <w:sz w:val="12"/>
                <w:szCs w:val="12"/>
              </w:rPr>
            </w:pPr>
          </w:p>
        </w:tc>
        <w:tc>
          <w:tcPr>
            <w:tcW w:w="173" w:type="pct"/>
            <w:tcBorders>
              <w:top w:val="single" w:sz="4" w:space="0" w:color="auto"/>
              <w:left w:val="single" w:sz="4" w:space="0" w:color="auto"/>
              <w:bottom w:val="single" w:sz="4" w:space="0" w:color="auto"/>
              <w:right w:val="single" w:sz="4" w:space="0" w:color="auto"/>
            </w:tcBorders>
            <w:vAlign w:val="center"/>
          </w:tcPr>
          <w:p w14:paraId="266F7C2E" w14:textId="77777777" w:rsidR="002F590A" w:rsidRDefault="002F590A">
            <w:pPr>
              <w:jc w:val="center"/>
              <w:rPr>
                <w:sz w:val="12"/>
                <w:szCs w:val="12"/>
              </w:rPr>
            </w:pPr>
          </w:p>
        </w:tc>
        <w:tc>
          <w:tcPr>
            <w:tcW w:w="177" w:type="pct"/>
            <w:tcBorders>
              <w:top w:val="single" w:sz="4" w:space="0" w:color="auto"/>
              <w:left w:val="single" w:sz="4" w:space="0" w:color="auto"/>
              <w:bottom w:val="single" w:sz="4" w:space="0" w:color="auto"/>
              <w:right w:val="single" w:sz="4" w:space="0" w:color="auto"/>
            </w:tcBorders>
            <w:vAlign w:val="center"/>
          </w:tcPr>
          <w:p w14:paraId="1DFBC575" w14:textId="77777777" w:rsidR="002F590A" w:rsidRDefault="002F590A">
            <w:pPr>
              <w:jc w:val="center"/>
              <w:rPr>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5ED2DDB0" w14:textId="77777777" w:rsidR="002F590A" w:rsidRDefault="002F590A">
            <w:pPr>
              <w:jc w:val="center"/>
              <w:rPr>
                <w:color w:val="000000"/>
                <w:sz w:val="12"/>
                <w:szCs w:val="12"/>
              </w:rPr>
            </w:pPr>
          </w:p>
        </w:tc>
        <w:tc>
          <w:tcPr>
            <w:tcW w:w="128" w:type="pct"/>
            <w:tcBorders>
              <w:top w:val="single" w:sz="4" w:space="0" w:color="auto"/>
              <w:left w:val="single" w:sz="4" w:space="0" w:color="auto"/>
              <w:bottom w:val="single" w:sz="4" w:space="0" w:color="auto"/>
              <w:right w:val="single" w:sz="4" w:space="0" w:color="auto"/>
            </w:tcBorders>
            <w:vAlign w:val="center"/>
          </w:tcPr>
          <w:p w14:paraId="5A8F8E04" w14:textId="77777777" w:rsidR="002F590A" w:rsidRDefault="002F590A">
            <w:pPr>
              <w:jc w:val="center"/>
              <w:rPr>
                <w:color w:val="000000"/>
                <w:sz w:val="12"/>
                <w:szCs w:val="12"/>
              </w:rPr>
            </w:pPr>
          </w:p>
        </w:tc>
      </w:tr>
      <w:tr w:rsidR="002F590A" w14:paraId="57EF537A" w14:textId="77777777" w:rsidTr="002F590A">
        <w:trPr>
          <w:trHeight w:val="1382"/>
        </w:trPr>
        <w:tc>
          <w:tcPr>
            <w:tcW w:w="175" w:type="pct"/>
            <w:tcBorders>
              <w:top w:val="single" w:sz="4" w:space="0" w:color="auto"/>
              <w:left w:val="single" w:sz="4" w:space="0" w:color="auto"/>
              <w:bottom w:val="single" w:sz="4" w:space="0" w:color="auto"/>
              <w:right w:val="single" w:sz="4" w:space="0" w:color="auto"/>
            </w:tcBorders>
            <w:vAlign w:val="center"/>
            <w:hideMark/>
          </w:tcPr>
          <w:p w14:paraId="76CA31B7" w14:textId="77777777" w:rsidR="002F590A" w:rsidRDefault="002F590A">
            <w:pPr>
              <w:jc w:val="center"/>
              <w:rPr>
                <w:sz w:val="12"/>
                <w:szCs w:val="12"/>
              </w:rPr>
            </w:pPr>
            <w:r>
              <w:rPr>
                <w:sz w:val="12"/>
                <w:szCs w:val="12"/>
              </w:rPr>
              <w:t>3.2.14.1</w:t>
            </w:r>
          </w:p>
        </w:tc>
        <w:tc>
          <w:tcPr>
            <w:tcW w:w="262" w:type="pct"/>
            <w:tcBorders>
              <w:top w:val="single" w:sz="4" w:space="0" w:color="auto"/>
              <w:left w:val="single" w:sz="4" w:space="0" w:color="auto"/>
              <w:bottom w:val="single" w:sz="4" w:space="0" w:color="auto"/>
              <w:right w:val="single" w:sz="4" w:space="0" w:color="auto"/>
            </w:tcBorders>
            <w:vAlign w:val="center"/>
            <w:hideMark/>
          </w:tcPr>
          <w:p w14:paraId="45E23FE7" w14:textId="77777777" w:rsidR="002F590A" w:rsidRDefault="002F590A">
            <w:pPr>
              <w:rPr>
                <w:color w:val="000000"/>
                <w:sz w:val="12"/>
                <w:szCs w:val="12"/>
              </w:rPr>
            </w:pPr>
            <w:r>
              <w:rPr>
                <w:color w:val="000000"/>
                <w:sz w:val="12"/>
                <w:szCs w:val="12"/>
              </w:rPr>
              <w:t>Реконструкция теплообменников</w:t>
            </w:r>
          </w:p>
        </w:tc>
        <w:tc>
          <w:tcPr>
            <w:tcW w:w="351" w:type="pct"/>
            <w:tcBorders>
              <w:top w:val="single" w:sz="4" w:space="0" w:color="auto"/>
              <w:left w:val="single" w:sz="4" w:space="0" w:color="auto"/>
              <w:bottom w:val="single" w:sz="4" w:space="0" w:color="auto"/>
              <w:right w:val="single" w:sz="4" w:space="0" w:color="auto"/>
            </w:tcBorders>
            <w:vAlign w:val="center"/>
            <w:hideMark/>
          </w:tcPr>
          <w:p w14:paraId="13BA55AA" w14:textId="77777777" w:rsidR="002F590A" w:rsidRDefault="002F590A">
            <w:pPr>
              <w:jc w:val="center"/>
              <w:rPr>
                <w:sz w:val="12"/>
                <w:szCs w:val="12"/>
              </w:rPr>
            </w:pPr>
            <w:r>
              <w:rPr>
                <w:sz w:val="12"/>
                <w:szCs w:val="12"/>
              </w:rPr>
              <w:t>Повышение надежности (бесперебойности) услуг теплоснабжения, повышение энергетической эффективности</w:t>
            </w:r>
          </w:p>
        </w:tc>
        <w:tc>
          <w:tcPr>
            <w:tcW w:w="259" w:type="pct"/>
            <w:tcBorders>
              <w:top w:val="single" w:sz="4" w:space="0" w:color="auto"/>
              <w:left w:val="single" w:sz="4" w:space="0" w:color="auto"/>
              <w:bottom w:val="single" w:sz="4" w:space="0" w:color="auto"/>
              <w:right w:val="single" w:sz="4" w:space="0" w:color="auto"/>
            </w:tcBorders>
            <w:vAlign w:val="center"/>
            <w:hideMark/>
          </w:tcPr>
          <w:p w14:paraId="6E751EF1" w14:textId="77777777" w:rsidR="002F590A" w:rsidRDefault="002F590A">
            <w:pPr>
              <w:jc w:val="center"/>
              <w:rPr>
                <w:sz w:val="12"/>
                <w:szCs w:val="12"/>
              </w:rPr>
            </w:pPr>
            <w:r>
              <w:rPr>
                <w:sz w:val="12"/>
                <w:szCs w:val="12"/>
              </w:rPr>
              <w:t> </w:t>
            </w:r>
          </w:p>
        </w:tc>
        <w:tc>
          <w:tcPr>
            <w:tcW w:w="298" w:type="pct"/>
            <w:tcBorders>
              <w:top w:val="single" w:sz="4" w:space="0" w:color="auto"/>
              <w:left w:val="single" w:sz="4" w:space="0" w:color="auto"/>
              <w:bottom w:val="single" w:sz="4" w:space="0" w:color="auto"/>
              <w:right w:val="single" w:sz="4" w:space="0" w:color="auto"/>
            </w:tcBorders>
            <w:vAlign w:val="center"/>
            <w:hideMark/>
          </w:tcPr>
          <w:p w14:paraId="1E30E8A2" w14:textId="77777777" w:rsidR="002F590A" w:rsidRDefault="002F590A">
            <w:pPr>
              <w:jc w:val="center"/>
              <w:rPr>
                <w:sz w:val="12"/>
                <w:szCs w:val="12"/>
              </w:rPr>
            </w:pPr>
            <w:r>
              <w:rPr>
                <w:color w:val="000000"/>
                <w:sz w:val="12"/>
                <w:szCs w:val="12"/>
              </w:rPr>
              <w:t>Технические характеристики</w:t>
            </w:r>
          </w:p>
        </w:tc>
        <w:tc>
          <w:tcPr>
            <w:tcW w:w="130" w:type="pct"/>
            <w:tcBorders>
              <w:top w:val="single" w:sz="4" w:space="0" w:color="auto"/>
              <w:left w:val="single" w:sz="4" w:space="0" w:color="auto"/>
              <w:bottom w:val="single" w:sz="4" w:space="0" w:color="auto"/>
              <w:right w:val="single" w:sz="4" w:space="0" w:color="auto"/>
            </w:tcBorders>
            <w:vAlign w:val="center"/>
          </w:tcPr>
          <w:p w14:paraId="555943AD" w14:textId="77777777" w:rsidR="002F590A" w:rsidRDefault="002F590A">
            <w:pPr>
              <w:jc w:val="center"/>
              <w:rPr>
                <w:sz w:val="12"/>
                <w:szCs w:val="12"/>
              </w:rPr>
            </w:pPr>
          </w:p>
        </w:tc>
        <w:tc>
          <w:tcPr>
            <w:tcW w:w="359" w:type="pct"/>
            <w:tcBorders>
              <w:top w:val="single" w:sz="4" w:space="0" w:color="auto"/>
              <w:left w:val="single" w:sz="4" w:space="0" w:color="auto"/>
              <w:bottom w:val="single" w:sz="4" w:space="0" w:color="auto"/>
              <w:right w:val="single" w:sz="4" w:space="0" w:color="auto"/>
            </w:tcBorders>
            <w:vAlign w:val="center"/>
            <w:hideMark/>
          </w:tcPr>
          <w:p w14:paraId="5C861FDC" w14:textId="77777777" w:rsidR="002F590A" w:rsidRDefault="002F590A">
            <w:pPr>
              <w:jc w:val="center"/>
              <w:rPr>
                <w:sz w:val="12"/>
                <w:szCs w:val="12"/>
              </w:rPr>
            </w:pPr>
            <w:r>
              <w:rPr>
                <w:sz w:val="12"/>
                <w:szCs w:val="12"/>
              </w:rPr>
              <w:t>Теплообменник (2 шт) кожухотрубный марки SAMARAS. Теплоноситель- вода. Расход воды одного теплообменника- 8 м3/ч.</w:t>
            </w:r>
          </w:p>
        </w:tc>
        <w:tc>
          <w:tcPr>
            <w:tcW w:w="349" w:type="pct"/>
            <w:tcBorders>
              <w:top w:val="single" w:sz="4" w:space="0" w:color="auto"/>
              <w:left w:val="single" w:sz="4" w:space="0" w:color="auto"/>
              <w:bottom w:val="single" w:sz="4" w:space="0" w:color="auto"/>
              <w:right w:val="single" w:sz="4" w:space="0" w:color="auto"/>
            </w:tcBorders>
            <w:vAlign w:val="center"/>
          </w:tcPr>
          <w:p w14:paraId="208116DC" w14:textId="77777777" w:rsidR="002F590A" w:rsidRDefault="002F590A">
            <w:pPr>
              <w:jc w:val="center"/>
              <w:rPr>
                <w:sz w:val="12"/>
                <w:szCs w:val="12"/>
              </w:rPr>
            </w:pPr>
            <w:r>
              <w:rPr>
                <w:sz w:val="12"/>
                <w:szCs w:val="12"/>
              </w:rPr>
              <w:t>Оборудование с техническими характеристиками не ниже существующего на объекте.</w:t>
            </w:r>
          </w:p>
          <w:p w14:paraId="1356CAE5" w14:textId="77777777" w:rsidR="002F590A" w:rsidRDefault="002F590A">
            <w:pPr>
              <w:jc w:val="center"/>
              <w:rPr>
                <w:sz w:val="12"/>
                <w:szCs w:val="12"/>
              </w:rPr>
            </w:pPr>
          </w:p>
        </w:tc>
        <w:tc>
          <w:tcPr>
            <w:tcW w:w="131" w:type="pct"/>
            <w:tcBorders>
              <w:top w:val="single" w:sz="4" w:space="0" w:color="auto"/>
              <w:left w:val="single" w:sz="4" w:space="0" w:color="auto"/>
              <w:bottom w:val="single" w:sz="4" w:space="0" w:color="auto"/>
              <w:right w:val="single" w:sz="4" w:space="0" w:color="auto"/>
            </w:tcBorders>
            <w:vAlign w:val="center"/>
            <w:hideMark/>
          </w:tcPr>
          <w:p w14:paraId="03B265EC" w14:textId="77777777" w:rsidR="002F590A" w:rsidRDefault="002F590A">
            <w:pPr>
              <w:jc w:val="center"/>
              <w:rPr>
                <w:sz w:val="12"/>
                <w:szCs w:val="12"/>
              </w:rPr>
            </w:pPr>
            <w:r>
              <w:rPr>
                <w:sz w:val="12"/>
                <w:szCs w:val="12"/>
              </w:rPr>
              <w:t>2026</w:t>
            </w:r>
          </w:p>
        </w:tc>
        <w:tc>
          <w:tcPr>
            <w:tcW w:w="133" w:type="pct"/>
            <w:tcBorders>
              <w:top w:val="single" w:sz="4" w:space="0" w:color="auto"/>
              <w:left w:val="single" w:sz="4" w:space="0" w:color="auto"/>
              <w:bottom w:val="single" w:sz="4" w:space="0" w:color="auto"/>
              <w:right w:val="single" w:sz="4" w:space="0" w:color="auto"/>
            </w:tcBorders>
            <w:vAlign w:val="center"/>
            <w:hideMark/>
          </w:tcPr>
          <w:p w14:paraId="6DFCC115" w14:textId="77777777" w:rsidR="002F590A" w:rsidRDefault="002F590A">
            <w:pPr>
              <w:jc w:val="center"/>
              <w:rPr>
                <w:sz w:val="12"/>
                <w:szCs w:val="12"/>
              </w:rPr>
            </w:pPr>
            <w:r>
              <w:rPr>
                <w:sz w:val="12"/>
                <w:szCs w:val="12"/>
              </w:rPr>
              <w:t>2026</w:t>
            </w:r>
          </w:p>
        </w:tc>
        <w:tc>
          <w:tcPr>
            <w:tcW w:w="198" w:type="pct"/>
            <w:tcBorders>
              <w:top w:val="single" w:sz="4" w:space="0" w:color="auto"/>
              <w:left w:val="single" w:sz="4" w:space="0" w:color="auto"/>
              <w:bottom w:val="single" w:sz="4" w:space="0" w:color="auto"/>
              <w:right w:val="single" w:sz="4" w:space="0" w:color="auto"/>
            </w:tcBorders>
            <w:vAlign w:val="center"/>
            <w:hideMark/>
          </w:tcPr>
          <w:p w14:paraId="1488453B" w14:textId="77777777" w:rsidR="002F590A" w:rsidRDefault="002F590A">
            <w:pPr>
              <w:jc w:val="center"/>
              <w:rPr>
                <w:color w:val="000000"/>
                <w:sz w:val="12"/>
                <w:szCs w:val="12"/>
              </w:rPr>
            </w:pPr>
            <w:r>
              <w:rPr>
                <w:color w:val="000000"/>
                <w:sz w:val="12"/>
                <w:szCs w:val="12"/>
              </w:rPr>
              <w:t>296,69</w:t>
            </w:r>
          </w:p>
        </w:tc>
        <w:tc>
          <w:tcPr>
            <w:tcW w:w="178" w:type="pct"/>
            <w:tcBorders>
              <w:top w:val="single" w:sz="4" w:space="0" w:color="auto"/>
              <w:left w:val="single" w:sz="4" w:space="0" w:color="auto"/>
              <w:bottom w:val="single" w:sz="4" w:space="0" w:color="auto"/>
              <w:right w:val="single" w:sz="4" w:space="0" w:color="auto"/>
            </w:tcBorders>
            <w:vAlign w:val="center"/>
            <w:hideMark/>
          </w:tcPr>
          <w:p w14:paraId="4AD4B2FD" w14:textId="77777777" w:rsidR="002F590A" w:rsidRDefault="002F590A">
            <w:pPr>
              <w:jc w:val="center"/>
              <w:rPr>
                <w:color w:val="000000"/>
                <w:sz w:val="12"/>
                <w:szCs w:val="12"/>
              </w:rPr>
            </w:pPr>
            <w:r>
              <w:rPr>
                <w:color w:val="000000"/>
                <w:sz w:val="12"/>
                <w:szCs w:val="12"/>
              </w:rPr>
              <w:t>0,00</w:t>
            </w:r>
          </w:p>
        </w:tc>
        <w:tc>
          <w:tcPr>
            <w:tcW w:w="218" w:type="pct"/>
            <w:tcBorders>
              <w:top w:val="single" w:sz="4" w:space="0" w:color="auto"/>
              <w:left w:val="single" w:sz="4" w:space="0" w:color="auto"/>
              <w:bottom w:val="single" w:sz="4" w:space="0" w:color="auto"/>
              <w:right w:val="single" w:sz="4" w:space="0" w:color="auto"/>
            </w:tcBorders>
            <w:vAlign w:val="center"/>
            <w:hideMark/>
          </w:tcPr>
          <w:p w14:paraId="5CE3637C" w14:textId="77777777" w:rsidR="002F590A" w:rsidRDefault="002F590A">
            <w:pPr>
              <w:jc w:val="center"/>
              <w:rPr>
                <w:sz w:val="12"/>
                <w:szCs w:val="12"/>
              </w:rPr>
            </w:pPr>
            <w:r>
              <w:rPr>
                <w:sz w:val="12"/>
                <w:szCs w:val="12"/>
              </w:rPr>
              <w:t>0,00</w:t>
            </w:r>
          </w:p>
        </w:tc>
        <w:tc>
          <w:tcPr>
            <w:tcW w:w="220" w:type="pct"/>
            <w:tcBorders>
              <w:top w:val="single" w:sz="4" w:space="0" w:color="auto"/>
              <w:left w:val="single" w:sz="4" w:space="0" w:color="auto"/>
              <w:bottom w:val="single" w:sz="4" w:space="0" w:color="auto"/>
              <w:right w:val="single" w:sz="4" w:space="0" w:color="auto"/>
            </w:tcBorders>
            <w:vAlign w:val="center"/>
            <w:hideMark/>
          </w:tcPr>
          <w:p w14:paraId="1A6C6224" w14:textId="77777777" w:rsidR="002F590A" w:rsidRDefault="002F590A">
            <w:pPr>
              <w:jc w:val="center"/>
              <w:rPr>
                <w:sz w:val="12"/>
                <w:szCs w:val="12"/>
              </w:rPr>
            </w:pPr>
            <w:r>
              <w:rPr>
                <w:sz w:val="12"/>
                <w:szCs w:val="12"/>
              </w:rPr>
              <w:t>0,00</w:t>
            </w:r>
          </w:p>
        </w:tc>
        <w:tc>
          <w:tcPr>
            <w:tcW w:w="214" w:type="pct"/>
            <w:tcBorders>
              <w:top w:val="single" w:sz="4" w:space="0" w:color="auto"/>
              <w:left w:val="single" w:sz="4" w:space="0" w:color="auto"/>
              <w:bottom w:val="single" w:sz="4" w:space="0" w:color="auto"/>
              <w:right w:val="single" w:sz="4" w:space="0" w:color="auto"/>
            </w:tcBorders>
            <w:vAlign w:val="center"/>
            <w:hideMark/>
          </w:tcPr>
          <w:p w14:paraId="4AFDCD9A" w14:textId="77777777" w:rsidR="002F590A" w:rsidRDefault="002F590A">
            <w:pPr>
              <w:jc w:val="center"/>
              <w:rPr>
                <w:sz w:val="12"/>
                <w:szCs w:val="12"/>
              </w:rPr>
            </w:pPr>
            <w:r>
              <w:rPr>
                <w:sz w:val="12"/>
                <w:szCs w:val="12"/>
              </w:rPr>
              <w:t>0,00</w:t>
            </w:r>
          </w:p>
        </w:tc>
        <w:tc>
          <w:tcPr>
            <w:tcW w:w="179" w:type="pct"/>
            <w:tcBorders>
              <w:top w:val="single" w:sz="4" w:space="0" w:color="auto"/>
              <w:left w:val="single" w:sz="4" w:space="0" w:color="auto"/>
              <w:bottom w:val="single" w:sz="4" w:space="0" w:color="auto"/>
              <w:right w:val="single" w:sz="4" w:space="0" w:color="auto"/>
            </w:tcBorders>
            <w:vAlign w:val="center"/>
            <w:hideMark/>
          </w:tcPr>
          <w:p w14:paraId="05C57493" w14:textId="77777777" w:rsidR="002F590A" w:rsidRDefault="002F590A">
            <w:pPr>
              <w:jc w:val="center"/>
              <w:rPr>
                <w:sz w:val="12"/>
                <w:szCs w:val="12"/>
              </w:rPr>
            </w:pPr>
            <w:r>
              <w:rPr>
                <w:sz w:val="12"/>
                <w:szCs w:val="12"/>
              </w:rPr>
              <w:t>0,00</w:t>
            </w:r>
          </w:p>
        </w:tc>
        <w:tc>
          <w:tcPr>
            <w:tcW w:w="171" w:type="pct"/>
            <w:tcBorders>
              <w:top w:val="single" w:sz="4" w:space="0" w:color="auto"/>
              <w:left w:val="single" w:sz="4" w:space="0" w:color="auto"/>
              <w:bottom w:val="single" w:sz="4" w:space="0" w:color="auto"/>
              <w:right w:val="single" w:sz="4" w:space="0" w:color="auto"/>
            </w:tcBorders>
            <w:vAlign w:val="center"/>
            <w:hideMark/>
          </w:tcPr>
          <w:p w14:paraId="0315E6E6" w14:textId="77777777" w:rsidR="002F590A" w:rsidRDefault="002F590A">
            <w:pPr>
              <w:jc w:val="center"/>
              <w:rPr>
                <w:sz w:val="12"/>
                <w:szCs w:val="12"/>
              </w:rPr>
            </w:pPr>
            <w:r>
              <w:rPr>
                <w:sz w:val="12"/>
                <w:szCs w:val="12"/>
              </w:rPr>
              <w:t>296,69</w:t>
            </w:r>
          </w:p>
        </w:tc>
        <w:tc>
          <w:tcPr>
            <w:tcW w:w="173" w:type="pct"/>
            <w:tcBorders>
              <w:top w:val="single" w:sz="4" w:space="0" w:color="auto"/>
              <w:left w:val="single" w:sz="4" w:space="0" w:color="auto"/>
              <w:bottom w:val="single" w:sz="4" w:space="0" w:color="auto"/>
              <w:right w:val="single" w:sz="4" w:space="0" w:color="auto"/>
            </w:tcBorders>
            <w:vAlign w:val="center"/>
            <w:hideMark/>
          </w:tcPr>
          <w:p w14:paraId="7A47C192" w14:textId="77777777" w:rsidR="002F590A" w:rsidRDefault="002F590A">
            <w:pPr>
              <w:jc w:val="center"/>
              <w:rPr>
                <w:sz w:val="12"/>
                <w:szCs w:val="12"/>
              </w:rPr>
            </w:pPr>
            <w:r>
              <w:rPr>
                <w:sz w:val="12"/>
                <w:szCs w:val="12"/>
              </w:rPr>
              <w:t>0,00</w:t>
            </w:r>
          </w:p>
        </w:tc>
        <w:tc>
          <w:tcPr>
            <w:tcW w:w="177" w:type="pct"/>
            <w:tcBorders>
              <w:top w:val="single" w:sz="4" w:space="0" w:color="auto"/>
              <w:left w:val="single" w:sz="4" w:space="0" w:color="auto"/>
              <w:bottom w:val="single" w:sz="4" w:space="0" w:color="auto"/>
              <w:right w:val="single" w:sz="4" w:space="0" w:color="auto"/>
            </w:tcBorders>
            <w:vAlign w:val="center"/>
            <w:hideMark/>
          </w:tcPr>
          <w:p w14:paraId="2DD9EAD7"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1C12FAC5"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1F2B280B" w14:textId="77777777" w:rsidR="002F590A" w:rsidRDefault="002F590A">
            <w:pPr>
              <w:jc w:val="center"/>
              <w:rPr>
                <w:sz w:val="12"/>
                <w:szCs w:val="12"/>
              </w:rPr>
            </w:pPr>
            <w:r>
              <w:rPr>
                <w:sz w:val="12"/>
                <w:szCs w:val="12"/>
              </w:rPr>
              <w:t>0,00</w:t>
            </w:r>
          </w:p>
        </w:tc>
        <w:tc>
          <w:tcPr>
            <w:tcW w:w="177" w:type="pct"/>
            <w:tcBorders>
              <w:top w:val="single" w:sz="4" w:space="0" w:color="auto"/>
              <w:left w:val="single" w:sz="4" w:space="0" w:color="auto"/>
              <w:bottom w:val="single" w:sz="4" w:space="0" w:color="auto"/>
              <w:right w:val="single" w:sz="4" w:space="0" w:color="auto"/>
            </w:tcBorders>
            <w:vAlign w:val="center"/>
            <w:hideMark/>
          </w:tcPr>
          <w:p w14:paraId="55ABE49E"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3E6E6B33" w14:textId="77777777" w:rsidR="002F590A" w:rsidRDefault="002F590A">
            <w:pPr>
              <w:jc w:val="center"/>
              <w:rPr>
                <w:color w:val="000000"/>
                <w:sz w:val="12"/>
                <w:szCs w:val="12"/>
              </w:rPr>
            </w:pPr>
            <w:r>
              <w:rPr>
                <w:color w:val="000000"/>
                <w:sz w:val="12"/>
                <w:szCs w:val="12"/>
              </w:rPr>
              <w:t>0,00</w:t>
            </w:r>
          </w:p>
        </w:tc>
        <w:tc>
          <w:tcPr>
            <w:tcW w:w="128" w:type="pct"/>
            <w:tcBorders>
              <w:top w:val="single" w:sz="4" w:space="0" w:color="auto"/>
              <w:left w:val="single" w:sz="4" w:space="0" w:color="auto"/>
              <w:bottom w:val="single" w:sz="4" w:space="0" w:color="auto"/>
              <w:right w:val="single" w:sz="4" w:space="0" w:color="auto"/>
            </w:tcBorders>
            <w:vAlign w:val="center"/>
            <w:hideMark/>
          </w:tcPr>
          <w:p w14:paraId="2D134949" w14:textId="77777777" w:rsidR="002F590A" w:rsidRDefault="002F590A">
            <w:pPr>
              <w:jc w:val="center"/>
              <w:rPr>
                <w:color w:val="000000"/>
                <w:sz w:val="12"/>
                <w:szCs w:val="12"/>
              </w:rPr>
            </w:pPr>
            <w:r>
              <w:rPr>
                <w:color w:val="000000"/>
                <w:sz w:val="12"/>
                <w:szCs w:val="12"/>
              </w:rPr>
              <w:t>0,00</w:t>
            </w:r>
          </w:p>
        </w:tc>
      </w:tr>
      <w:tr w:rsidR="002F590A" w14:paraId="24D93D8D" w14:textId="77777777" w:rsidTr="002F590A">
        <w:trPr>
          <w:trHeight w:val="1541"/>
        </w:trPr>
        <w:tc>
          <w:tcPr>
            <w:tcW w:w="175" w:type="pct"/>
            <w:tcBorders>
              <w:top w:val="single" w:sz="4" w:space="0" w:color="auto"/>
              <w:left w:val="single" w:sz="4" w:space="0" w:color="auto"/>
              <w:bottom w:val="single" w:sz="4" w:space="0" w:color="auto"/>
              <w:right w:val="single" w:sz="4" w:space="0" w:color="auto"/>
            </w:tcBorders>
            <w:vAlign w:val="center"/>
            <w:hideMark/>
          </w:tcPr>
          <w:p w14:paraId="136266FC" w14:textId="77777777" w:rsidR="002F590A" w:rsidRDefault="002F590A">
            <w:pPr>
              <w:jc w:val="center"/>
              <w:rPr>
                <w:bCs/>
                <w:sz w:val="12"/>
                <w:szCs w:val="12"/>
              </w:rPr>
            </w:pPr>
            <w:r>
              <w:rPr>
                <w:bCs/>
                <w:sz w:val="12"/>
                <w:szCs w:val="12"/>
              </w:rPr>
              <w:t>3.2.15.</w:t>
            </w:r>
          </w:p>
        </w:tc>
        <w:tc>
          <w:tcPr>
            <w:tcW w:w="262" w:type="pct"/>
            <w:tcBorders>
              <w:top w:val="single" w:sz="4" w:space="0" w:color="auto"/>
              <w:left w:val="single" w:sz="4" w:space="0" w:color="auto"/>
              <w:bottom w:val="single" w:sz="4" w:space="0" w:color="auto"/>
              <w:right w:val="single" w:sz="4" w:space="0" w:color="auto"/>
            </w:tcBorders>
            <w:vAlign w:val="center"/>
            <w:hideMark/>
          </w:tcPr>
          <w:p w14:paraId="41158818" w14:textId="77777777" w:rsidR="002F590A" w:rsidRDefault="002F590A">
            <w:pPr>
              <w:rPr>
                <w:bCs/>
                <w:color w:val="000000"/>
                <w:sz w:val="12"/>
                <w:szCs w:val="12"/>
              </w:rPr>
            </w:pPr>
            <w:r>
              <w:rPr>
                <w:bCs/>
                <w:color w:val="000000"/>
                <w:sz w:val="12"/>
                <w:szCs w:val="12"/>
              </w:rPr>
              <w:t>Реконструкция котельной №66</w:t>
            </w:r>
          </w:p>
        </w:tc>
        <w:tc>
          <w:tcPr>
            <w:tcW w:w="351" w:type="pct"/>
            <w:tcBorders>
              <w:top w:val="single" w:sz="4" w:space="0" w:color="auto"/>
              <w:left w:val="single" w:sz="4" w:space="0" w:color="auto"/>
              <w:bottom w:val="single" w:sz="4" w:space="0" w:color="auto"/>
              <w:right w:val="single" w:sz="4" w:space="0" w:color="auto"/>
            </w:tcBorders>
            <w:vAlign w:val="center"/>
          </w:tcPr>
          <w:p w14:paraId="7212E38C" w14:textId="77777777" w:rsidR="002F590A" w:rsidRDefault="002F590A">
            <w:pPr>
              <w:jc w:val="center"/>
              <w:rPr>
                <w:sz w:val="12"/>
                <w:szCs w:val="12"/>
              </w:rPr>
            </w:pPr>
          </w:p>
        </w:tc>
        <w:tc>
          <w:tcPr>
            <w:tcW w:w="259" w:type="pct"/>
            <w:tcBorders>
              <w:top w:val="single" w:sz="4" w:space="0" w:color="auto"/>
              <w:left w:val="single" w:sz="4" w:space="0" w:color="auto"/>
              <w:bottom w:val="single" w:sz="4" w:space="0" w:color="auto"/>
              <w:right w:val="single" w:sz="4" w:space="0" w:color="auto"/>
            </w:tcBorders>
            <w:vAlign w:val="center"/>
            <w:hideMark/>
          </w:tcPr>
          <w:p w14:paraId="59B0621A" w14:textId="77777777" w:rsidR="002F590A" w:rsidRDefault="002F590A">
            <w:pPr>
              <w:jc w:val="center"/>
              <w:rPr>
                <w:color w:val="000000"/>
                <w:sz w:val="12"/>
                <w:szCs w:val="12"/>
              </w:rPr>
            </w:pPr>
            <w:r>
              <w:rPr>
                <w:color w:val="000000"/>
                <w:sz w:val="12"/>
                <w:szCs w:val="12"/>
              </w:rPr>
              <w:t xml:space="preserve">Кемеровский городской округ, </w:t>
            </w:r>
            <w:r>
              <w:rPr>
                <w:color w:val="000000"/>
                <w:sz w:val="12"/>
                <w:szCs w:val="12"/>
              </w:rPr>
              <w:br/>
              <w:t>ул. Греческая Деревня, северо-западнее жилого дома № 275</w:t>
            </w:r>
          </w:p>
        </w:tc>
        <w:tc>
          <w:tcPr>
            <w:tcW w:w="298" w:type="pct"/>
            <w:tcBorders>
              <w:top w:val="single" w:sz="4" w:space="0" w:color="auto"/>
              <w:left w:val="single" w:sz="4" w:space="0" w:color="auto"/>
              <w:bottom w:val="single" w:sz="4" w:space="0" w:color="auto"/>
              <w:right w:val="single" w:sz="4" w:space="0" w:color="auto"/>
            </w:tcBorders>
            <w:vAlign w:val="center"/>
            <w:hideMark/>
          </w:tcPr>
          <w:p w14:paraId="5EB05D2E" w14:textId="77777777" w:rsidR="002F590A" w:rsidRDefault="002F590A">
            <w:pPr>
              <w:jc w:val="center"/>
              <w:rPr>
                <w:sz w:val="12"/>
                <w:szCs w:val="12"/>
              </w:rPr>
            </w:pPr>
            <w:r>
              <w:rPr>
                <w:color w:val="000000"/>
                <w:sz w:val="12"/>
                <w:szCs w:val="12"/>
              </w:rPr>
              <w:t>Технические характеристики</w:t>
            </w:r>
          </w:p>
        </w:tc>
        <w:tc>
          <w:tcPr>
            <w:tcW w:w="130" w:type="pct"/>
            <w:tcBorders>
              <w:top w:val="single" w:sz="4" w:space="0" w:color="auto"/>
              <w:left w:val="single" w:sz="4" w:space="0" w:color="auto"/>
              <w:bottom w:val="single" w:sz="4" w:space="0" w:color="auto"/>
              <w:right w:val="single" w:sz="4" w:space="0" w:color="auto"/>
            </w:tcBorders>
            <w:vAlign w:val="center"/>
          </w:tcPr>
          <w:p w14:paraId="2EF39078" w14:textId="77777777" w:rsidR="002F590A" w:rsidRDefault="002F590A">
            <w:pPr>
              <w:jc w:val="center"/>
              <w:rPr>
                <w:sz w:val="12"/>
                <w:szCs w:val="12"/>
              </w:rPr>
            </w:pPr>
          </w:p>
        </w:tc>
        <w:tc>
          <w:tcPr>
            <w:tcW w:w="359" w:type="pct"/>
            <w:tcBorders>
              <w:top w:val="single" w:sz="4" w:space="0" w:color="auto"/>
              <w:left w:val="single" w:sz="4" w:space="0" w:color="auto"/>
              <w:bottom w:val="single" w:sz="4" w:space="0" w:color="auto"/>
              <w:right w:val="single" w:sz="4" w:space="0" w:color="auto"/>
            </w:tcBorders>
            <w:vAlign w:val="center"/>
            <w:hideMark/>
          </w:tcPr>
          <w:p w14:paraId="50FA0E81" w14:textId="77777777" w:rsidR="002F590A" w:rsidRDefault="002F590A">
            <w:pPr>
              <w:jc w:val="center"/>
              <w:rPr>
                <w:sz w:val="12"/>
                <w:szCs w:val="12"/>
              </w:rPr>
            </w:pPr>
            <w:r>
              <w:rPr>
                <w:sz w:val="12"/>
                <w:szCs w:val="12"/>
              </w:rPr>
              <w:t> </w:t>
            </w:r>
          </w:p>
        </w:tc>
        <w:tc>
          <w:tcPr>
            <w:tcW w:w="349" w:type="pct"/>
            <w:tcBorders>
              <w:top w:val="single" w:sz="4" w:space="0" w:color="auto"/>
              <w:left w:val="single" w:sz="4" w:space="0" w:color="auto"/>
              <w:bottom w:val="single" w:sz="4" w:space="0" w:color="auto"/>
              <w:right w:val="single" w:sz="4" w:space="0" w:color="auto"/>
            </w:tcBorders>
            <w:vAlign w:val="center"/>
            <w:hideMark/>
          </w:tcPr>
          <w:p w14:paraId="240B4C92" w14:textId="77777777" w:rsidR="002F590A" w:rsidRDefault="002F590A">
            <w:pPr>
              <w:jc w:val="center"/>
              <w:rPr>
                <w:sz w:val="12"/>
                <w:szCs w:val="12"/>
              </w:rPr>
            </w:pPr>
            <w:r>
              <w:rPr>
                <w:sz w:val="12"/>
                <w:szCs w:val="12"/>
              </w:rPr>
              <w:t> </w:t>
            </w:r>
          </w:p>
        </w:tc>
        <w:tc>
          <w:tcPr>
            <w:tcW w:w="131" w:type="pct"/>
            <w:tcBorders>
              <w:top w:val="single" w:sz="4" w:space="0" w:color="auto"/>
              <w:left w:val="single" w:sz="4" w:space="0" w:color="auto"/>
              <w:bottom w:val="single" w:sz="4" w:space="0" w:color="auto"/>
              <w:right w:val="single" w:sz="4" w:space="0" w:color="auto"/>
            </w:tcBorders>
            <w:vAlign w:val="center"/>
          </w:tcPr>
          <w:p w14:paraId="6085517B" w14:textId="77777777" w:rsidR="002F590A" w:rsidRDefault="002F590A">
            <w:pPr>
              <w:jc w:val="center"/>
              <w:rPr>
                <w:sz w:val="12"/>
                <w:szCs w:val="12"/>
              </w:rPr>
            </w:pPr>
          </w:p>
        </w:tc>
        <w:tc>
          <w:tcPr>
            <w:tcW w:w="133" w:type="pct"/>
            <w:tcBorders>
              <w:top w:val="single" w:sz="4" w:space="0" w:color="auto"/>
              <w:left w:val="single" w:sz="4" w:space="0" w:color="auto"/>
              <w:bottom w:val="single" w:sz="4" w:space="0" w:color="auto"/>
              <w:right w:val="single" w:sz="4" w:space="0" w:color="auto"/>
            </w:tcBorders>
            <w:vAlign w:val="center"/>
          </w:tcPr>
          <w:p w14:paraId="7593D0B8" w14:textId="77777777" w:rsidR="002F590A" w:rsidRDefault="002F590A">
            <w:pPr>
              <w:jc w:val="center"/>
              <w:rPr>
                <w:sz w:val="12"/>
                <w:szCs w:val="12"/>
              </w:rPr>
            </w:pPr>
          </w:p>
        </w:tc>
        <w:tc>
          <w:tcPr>
            <w:tcW w:w="198" w:type="pct"/>
            <w:tcBorders>
              <w:top w:val="single" w:sz="4" w:space="0" w:color="auto"/>
              <w:left w:val="single" w:sz="4" w:space="0" w:color="auto"/>
              <w:bottom w:val="single" w:sz="4" w:space="0" w:color="auto"/>
              <w:right w:val="single" w:sz="4" w:space="0" w:color="auto"/>
            </w:tcBorders>
            <w:vAlign w:val="center"/>
          </w:tcPr>
          <w:p w14:paraId="42BB1868" w14:textId="77777777" w:rsidR="002F590A" w:rsidRDefault="002F590A">
            <w:pPr>
              <w:jc w:val="center"/>
              <w:rPr>
                <w:color w:val="000000"/>
                <w:sz w:val="12"/>
                <w:szCs w:val="12"/>
              </w:rPr>
            </w:pPr>
          </w:p>
        </w:tc>
        <w:tc>
          <w:tcPr>
            <w:tcW w:w="178" w:type="pct"/>
            <w:tcBorders>
              <w:top w:val="single" w:sz="4" w:space="0" w:color="auto"/>
              <w:left w:val="single" w:sz="4" w:space="0" w:color="auto"/>
              <w:bottom w:val="single" w:sz="4" w:space="0" w:color="auto"/>
              <w:right w:val="single" w:sz="4" w:space="0" w:color="auto"/>
            </w:tcBorders>
            <w:vAlign w:val="center"/>
          </w:tcPr>
          <w:p w14:paraId="1EA42779" w14:textId="77777777" w:rsidR="002F590A" w:rsidRDefault="002F590A">
            <w:pPr>
              <w:jc w:val="center"/>
              <w:rPr>
                <w:color w:val="000000"/>
                <w:sz w:val="12"/>
                <w:szCs w:val="12"/>
              </w:rPr>
            </w:pPr>
          </w:p>
        </w:tc>
        <w:tc>
          <w:tcPr>
            <w:tcW w:w="218" w:type="pct"/>
            <w:tcBorders>
              <w:top w:val="single" w:sz="4" w:space="0" w:color="auto"/>
              <w:left w:val="single" w:sz="4" w:space="0" w:color="auto"/>
              <w:bottom w:val="single" w:sz="4" w:space="0" w:color="auto"/>
              <w:right w:val="single" w:sz="4" w:space="0" w:color="auto"/>
            </w:tcBorders>
            <w:vAlign w:val="center"/>
          </w:tcPr>
          <w:p w14:paraId="1A8B10B2" w14:textId="77777777" w:rsidR="002F590A" w:rsidRDefault="002F590A">
            <w:pPr>
              <w:jc w:val="center"/>
              <w:rPr>
                <w:sz w:val="12"/>
                <w:szCs w:val="12"/>
              </w:rPr>
            </w:pPr>
          </w:p>
        </w:tc>
        <w:tc>
          <w:tcPr>
            <w:tcW w:w="220" w:type="pct"/>
            <w:tcBorders>
              <w:top w:val="single" w:sz="4" w:space="0" w:color="auto"/>
              <w:left w:val="single" w:sz="4" w:space="0" w:color="auto"/>
              <w:bottom w:val="single" w:sz="4" w:space="0" w:color="auto"/>
              <w:right w:val="single" w:sz="4" w:space="0" w:color="auto"/>
            </w:tcBorders>
            <w:vAlign w:val="center"/>
          </w:tcPr>
          <w:p w14:paraId="640C37EE" w14:textId="77777777" w:rsidR="002F590A" w:rsidRDefault="002F590A">
            <w:pPr>
              <w:jc w:val="center"/>
              <w:rPr>
                <w:sz w:val="12"/>
                <w:szCs w:val="12"/>
              </w:rPr>
            </w:pPr>
          </w:p>
        </w:tc>
        <w:tc>
          <w:tcPr>
            <w:tcW w:w="214" w:type="pct"/>
            <w:tcBorders>
              <w:top w:val="single" w:sz="4" w:space="0" w:color="auto"/>
              <w:left w:val="single" w:sz="4" w:space="0" w:color="auto"/>
              <w:bottom w:val="single" w:sz="4" w:space="0" w:color="auto"/>
              <w:right w:val="single" w:sz="4" w:space="0" w:color="auto"/>
            </w:tcBorders>
            <w:vAlign w:val="center"/>
          </w:tcPr>
          <w:p w14:paraId="43CA994D" w14:textId="77777777" w:rsidR="002F590A" w:rsidRDefault="002F590A">
            <w:pPr>
              <w:jc w:val="center"/>
              <w:rPr>
                <w:sz w:val="12"/>
                <w:szCs w:val="12"/>
              </w:rPr>
            </w:pPr>
          </w:p>
        </w:tc>
        <w:tc>
          <w:tcPr>
            <w:tcW w:w="179" w:type="pct"/>
            <w:tcBorders>
              <w:top w:val="single" w:sz="4" w:space="0" w:color="auto"/>
              <w:left w:val="single" w:sz="4" w:space="0" w:color="auto"/>
              <w:bottom w:val="single" w:sz="4" w:space="0" w:color="auto"/>
              <w:right w:val="single" w:sz="4" w:space="0" w:color="auto"/>
            </w:tcBorders>
            <w:vAlign w:val="center"/>
          </w:tcPr>
          <w:p w14:paraId="4E67F1C5" w14:textId="77777777" w:rsidR="002F590A" w:rsidRDefault="002F590A">
            <w:pPr>
              <w:jc w:val="center"/>
              <w:rPr>
                <w:sz w:val="12"/>
                <w:szCs w:val="12"/>
              </w:rPr>
            </w:pPr>
          </w:p>
        </w:tc>
        <w:tc>
          <w:tcPr>
            <w:tcW w:w="171" w:type="pct"/>
            <w:tcBorders>
              <w:top w:val="single" w:sz="4" w:space="0" w:color="auto"/>
              <w:left w:val="single" w:sz="4" w:space="0" w:color="auto"/>
              <w:bottom w:val="single" w:sz="4" w:space="0" w:color="auto"/>
              <w:right w:val="single" w:sz="4" w:space="0" w:color="auto"/>
            </w:tcBorders>
            <w:vAlign w:val="center"/>
          </w:tcPr>
          <w:p w14:paraId="04B2E165" w14:textId="77777777" w:rsidR="002F590A" w:rsidRDefault="002F590A">
            <w:pPr>
              <w:jc w:val="center"/>
              <w:rPr>
                <w:sz w:val="12"/>
                <w:szCs w:val="12"/>
              </w:rPr>
            </w:pPr>
          </w:p>
        </w:tc>
        <w:tc>
          <w:tcPr>
            <w:tcW w:w="173" w:type="pct"/>
            <w:tcBorders>
              <w:top w:val="single" w:sz="4" w:space="0" w:color="auto"/>
              <w:left w:val="single" w:sz="4" w:space="0" w:color="auto"/>
              <w:bottom w:val="single" w:sz="4" w:space="0" w:color="auto"/>
              <w:right w:val="single" w:sz="4" w:space="0" w:color="auto"/>
            </w:tcBorders>
            <w:vAlign w:val="center"/>
          </w:tcPr>
          <w:p w14:paraId="5D7D9676" w14:textId="77777777" w:rsidR="002F590A" w:rsidRDefault="002F590A">
            <w:pPr>
              <w:jc w:val="center"/>
              <w:rPr>
                <w:sz w:val="12"/>
                <w:szCs w:val="12"/>
              </w:rPr>
            </w:pPr>
          </w:p>
        </w:tc>
        <w:tc>
          <w:tcPr>
            <w:tcW w:w="177" w:type="pct"/>
            <w:tcBorders>
              <w:top w:val="single" w:sz="4" w:space="0" w:color="auto"/>
              <w:left w:val="single" w:sz="4" w:space="0" w:color="auto"/>
              <w:bottom w:val="single" w:sz="4" w:space="0" w:color="auto"/>
              <w:right w:val="single" w:sz="4" w:space="0" w:color="auto"/>
            </w:tcBorders>
            <w:vAlign w:val="center"/>
          </w:tcPr>
          <w:p w14:paraId="3602249B" w14:textId="77777777" w:rsidR="002F590A" w:rsidRDefault="002F590A">
            <w:pPr>
              <w:jc w:val="center"/>
              <w:rPr>
                <w:sz w:val="12"/>
                <w:szCs w:val="12"/>
              </w:rPr>
            </w:pPr>
          </w:p>
        </w:tc>
        <w:tc>
          <w:tcPr>
            <w:tcW w:w="173" w:type="pct"/>
            <w:tcBorders>
              <w:top w:val="single" w:sz="4" w:space="0" w:color="auto"/>
              <w:left w:val="single" w:sz="4" w:space="0" w:color="auto"/>
              <w:bottom w:val="single" w:sz="4" w:space="0" w:color="auto"/>
              <w:right w:val="single" w:sz="4" w:space="0" w:color="auto"/>
            </w:tcBorders>
            <w:vAlign w:val="center"/>
          </w:tcPr>
          <w:p w14:paraId="0B430BD4" w14:textId="77777777" w:rsidR="002F590A" w:rsidRDefault="002F590A">
            <w:pPr>
              <w:jc w:val="center"/>
              <w:rPr>
                <w:sz w:val="12"/>
                <w:szCs w:val="12"/>
              </w:rPr>
            </w:pPr>
          </w:p>
        </w:tc>
        <w:tc>
          <w:tcPr>
            <w:tcW w:w="173" w:type="pct"/>
            <w:tcBorders>
              <w:top w:val="single" w:sz="4" w:space="0" w:color="auto"/>
              <w:left w:val="single" w:sz="4" w:space="0" w:color="auto"/>
              <w:bottom w:val="single" w:sz="4" w:space="0" w:color="auto"/>
              <w:right w:val="single" w:sz="4" w:space="0" w:color="auto"/>
            </w:tcBorders>
            <w:vAlign w:val="center"/>
          </w:tcPr>
          <w:p w14:paraId="26297C5D" w14:textId="77777777" w:rsidR="002F590A" w:rsidRDefault="002F590A">
            <w:pPr>
              <w:jc w:val="center"/>
              <w:rPr>
                <w:sz w:val="12"/>
                <w:szCs w:val="12"/>
              </w:rPr>
            </w:pPr>
          </w:p>
        </w:tc>
        <w:tc>
          <w:tcPr>
            <w:tcW w:w="177" w:type="pct"/>
            <w:tcBorders>
              <w:top w:val="single" w:sz="4" w:space="0" w:color="auto"/>
              <w:left w:val="single" w:sz="4" w:space="0" w:color="auto"/>
              <w:bottom w:val="single" w:sz="4" w:space="0" w:color="auto"/>
              <w:right w:val="single" w:sz="4" w:space="0" w:color="auto"/>
            </w:tcBorders>
            <w:vAlign w:val="center"/>
          </w:tcPr>
          <w:p w14:paraId="2094C60B" w14:textId="77777777" w:rsidR="002F590A" w:rsidRDefault="002F590A">
            <w:pPr>
              <w:jc w:val="center"/>
              <w:rPr>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067E47B3" w14:textId="77777777" w:rsidR="002F590A" w:rsidRDefault="002F590A">
            <w:pPr>
              <w:jc w:val="center"/>
              <w:rPr>
                <w:color w:val="000000"/>
                <w:sz w:val="12"/>
                <w:szCs w:val="12"/>
              </w:rPr>
            </w:pPr>
          </w:p>
        </w:tc>
        <w:tc>
          <w:tcPr>
            <w:tcW w:w="128" w:type="pct"/>
            <w:tcBorders>
              <w:top w:val="single" w:sz="4" w:space="0" w:color="auto"/>
              <w:left w:val="single" w:sz="4" w:space="0" w:color="auto"/>
              <w:bottom w:val="single" w:sz="4" w:space="0" w:color="auto"/>
              <w:right w:val="single" w:sz="4" w:space="0" w:color="auto"/>
            </w:tcBorders>
            <w:vAlign w:val="center"/>
          </w:tcPr>
          <w:p w14:paraId="35915E3E" w14:textId="77777777" w:rsidR="002F590A" w:rsidRDefault="002F590A">
            <w:pPr>
              <w:jc w:val="center"/>
              <w:rPr>
                <w:color w:val="000000"/>
                <w:sz w:val="12"/>
                <w:szCs w:val="12"/>
              </w:rPr>
            </w:pPr>
          </w:p>
        </w:tc>
      </w:tr>
      <w:tr w:rsidR="002F590A" w14:paraId="47C0B91F" w14:textId="77777777" w:rsidTr="002F590A">
        <w:trPr>
          <w:trHeight w:val="897"/>
        </w:trPr>
        <w:tc>
          <w:tcPr>
            <w:tcW w:w="175" w:type="pct"/>
            <w:tcBorders>
              <w:top w:val="single" w:sz="4" w:space="0" w:color="auto"/>
              <w:left w:val="single" w:sz="4" w:space="0" w:color="auto"/>
              <w:bottom w:val="single" w:sz="4" w:space="0" w:color="auto"/>
              <w:right w:val="single" w:sz="4" w:space="0" w:color="auto"/>
            </w:tcBorders>
            <w:vAlign w:val="center"/>
            <w:hideMark/>
          </w:tcPr>
          <w:p w14:paraId="3D1B1992" w14:textId="77777777" w:rsidR="002F590A" w:rsidRDefault="002F590A">
            <w:pPr>
              <w:jc w:val="center"/>
              <w:rPr>
                <w:sz w:val="12"/>
                <w:szCs w:val="12"/>
              </w:rPr>
            </w:pPr>
            <w:r>
              <w:rPr>
                <w:sz w:val="12"/>
                <w:szCs w:val="12"/>
              </w:rPr>
              <w:t>3.2.15.1</w:t>
            </w:r>
          </w:p>
        </w:tc>
        <w:tc>
          <w:tcPr>
            <w:tcW w:w="262" w:type="pct"/>
            <w:tcBorders>
              <w:top w:val="single" w:sz="4" w:space="0" w:color="auto"/>
              <w:left w:val="single" w:sz="4" w:space="0" w:color="auto"/>
              <w:bottom w:val="single" w:sz="4" w:space="0" w:color="auto"/>
              <w:right w:val="single" w:sz="4" w:space="0" w:color="auto"/>
            </w:tcBorders>
            <w:vAlign w:val="center"/>
            <w:hideMark/>
          </w:tcPr>
          <w:p w14:paraId="53B0DD97" w14:textId="77777777" w:rsidR="002F590A" w:rsidRDefault="002F590A">
            <w:pPr>
              <w:rPr>
                <w:sz w:val="12"/>
                <w:szCs w:val="12"/>
              </w:rPr>
            </w:pPr>
            <w:r>
              <w:rPr>
                <w:sz w:val="12"/>
                <w:szCs w:val="12"/>
              </w:rPr>
              <w:t xml:space="preserve">Реконструкция с монтажом </w:t>
            </w:r>
            <w:proofErr w:type="gramStart"/>
            <w:r>
              <w:rPr>
                <w:sz w:val="12"/>
                <w:szCs w:val="12"/>
              </w:rPr>
              <w:t>автоматичес-кой</w:t>
            </w:r>
            <w:proofErr w:type="gramEnd"/>
            <w:r>
              <w:rPr>
                <w:sz w:val="12"/>
                <w:szCs w:val="12"/>
              </w:rPr>
              <w:t xml:space="preserve"> химводоподго-товки</w:t>
            </w:r>
          </w:p>
        </w:tc>
        <w:tc>
          <w:tcPr>
            <w:tcW w:w="351" w:type="pct"/>
            <w:tcBorders>
              <w:top w:val="single" w:sz="4" w:space="0" w:color="auto"/>
              <w:left w:val="single" w:sz="4" w:space="0" w:color="auto"/>
              <w:bottom w:val="single" w:sz="4" w:space="0" w:color="auto"/>
              <w:right w:val="single" w:sz="4" w:space="0" w:color="auto"/>
            </w:tcBorders>
            <w:vAlign w:val="center"/>
            <w:hideMark/>
          </w:tcPr>
          <w:p w14:paraId="4331C4BE" w14:textId="77777777" w:rsidR="002F590A" w:rsidRDefault="002F590A">
            <w:pPr>
              <w:jc w:val="center"/>
              <w:rPr>
                <w:sz w:val="12"/>
                <w:szCs w:val="12"/>
              </w:rPr>
            </w:pPr>
            <w:r>
              <w:rPr>
                <w:sz w:val="12"/>
                <w:szCs w:val="12"/>
              </w:rPr>
              <w:t>Повышение надежности (бесперебойности) услуг теплоснабжения, повышение энергетической эффективности</w:t>
            </w:r>
          </w:p>
        </w:tc>
        <w:tc>
          <w:tcPr>
            <w:tcW w:w="259" w:type="pct"/>
            <w:tcBorders>
              <w:top w:val="single" w:sz="4" w:space="0" w:color="auto"/>
              <w:left w:val="single" w:sz="4" w:space="0" w:color="auto"/>
              <w:bottom w:val="single" w:sz="4" w:space="0" w:color="auto"/>
              <w:right w:val="single" w:sz="4" w:space="0" w:color="auto"/>
            </w:tcBorders>
            <w:vAlign w:val="center"/>
            <w:hideMark/>
          </w:tcPr>
          <w:p w14:paraId="67559386" w14:textId="77777777" w:rsidR="002F590A" w:rsidRDefault="002F590A">
            <w:pPr>
              <w:jc w:val="center"/>
              <w:rPr>
                <w:sz w:val="12"/>
                <w:szCs w:val="12"/>
              </w:rPr>
            </w:pPr>
            <w:r>
              <w:rPr>
                <w:sz w:val="12"/>
                <w:szCs w:val="12"/>
              </w:rPr>
              <w:t> </w:t>
            </w:r>
          </w:p>
        </w:tc>
        <w:tc>
          <w:tcPr>
            <w:tcW w:w="298" w:type="pct"/>
            <w:tcBorders>
              <w:top w:val="single" w:sz="4" w:space="0" w:color="auto"/>
              <w:left w:val="single" w:sz="4" w:space="0" w:color="auto"/>
              <w:bottom w:val="single" w:sz="4" w:space="0" w:color="auto"/>
              <w:right w:val="single" w:sz="4" w:space="0" w:color="auto"/>
            </w:tcBorders>
            <w:vAlign w:val="center"/>
            <w:hideMark/>
          </w:tcPr>
          <w:p w14:paraId="5909681A" w14:textId="77777777" w:rsidR="002F590A" w:rsidRDefault="002F590A">
            <w:pPr>
              <w:jc w:val="center"/>
              <w:rPr>
                <w:sz w:val="12"/>
                <w:szCs w:val="12"/>
              </w:rPr>
            </w:pPr>
            <w:r>
              <w:rPr>
                <w:color w:val="000000"/>
                <w:sz w:val="12"/>
                <w:szCs w:val="12"/>
              </w:rPr>
              <w:t>Технические характеристики</w:t>
            </w:r>
          </w:p>
        </w:tc>
        <w:tc>
          <w:tcPr>
            <w:tcW w:w="130" w:type="pct"/>
            <w:tcBorders>
              <w:top w:val="single" w:sz="4" w:space="0" w:color="auto"/>
              <w:left w:val="single" w:sz="4" w:space="0" w:color="auto"/>
              <w:bottom w:val="single" w:sz="4" w:space="0" w:color="auto"/>
              <w:right w:val="single" w:sz="4" w:space="0" w:color="auto"/>
            </w:tcBorders>
            <w:vAlign w:val="center"/>
          </w:tcPr>
          <w:p w14:paraId="58EB80EA" w14:textId="77777777" w:rsidR="002F590A" w:rsidRDefault="002F590A">
            <w:pPr>
              <w:jc w:val="center"/>
              <w:rPr>
                <w:sz w:val="12"/>
                <w:szCs w:val="12"/>
              </w:rPr>
            </w:pPr>
          </w:p>
        </w:tc>
        <w:tc>
          <w:tcPr>
            <w:tcW w:w="359" w:type="pct"/>
            <w:tcBorders>
              <w:top w:val="single" w:sz="4" w:space="0" w:color="auto"/>
              <w:left w:val="single" w:sz="4" w:space="0" w:color="auto"/>
              <w:bottom w:val="single" w:sz="4" w:space="0" w:color="auto"/>
              <w:right w:val="single" w:sz="4" w:space="0" w:color="auto"/>
            </w:tcBorders>
            <w:vAlign w:val="center"/>
            <w:hideMark/>
          </w:tcPr>
          <w:p w14:paraId="5DBD782F" w14:textId="77777777" w:rsidR="002F590A" w:rsidRDefault="002F590A">
            <w:pPr>
              <w:jc w:val="center"/>
              <w:rPr>
                <w:color w:val="000000"/>
                <w:sz w:val="12"/>
                <w:szCs w:val="12"/>
              </w:rPr>
            </w:pPr>
            <w:r>
              <w:rPr>
                <w:color w:val="000000"/>
                <w:sz w:val="12"/>
                <w:szCs w:val="12"/>
              </w:rPr>
              <w:t xml:space="preserve">Отсутствует система умягчения холодной воды </w:t>
            </w:r>
          </w:p>
        </w:tc>
        <w:tc>
          <w:tcPr>
            <w:tcW w:w="349" w:type="pct"/>
            <w:tcBorders>
              <w:top w:val="single" w:sz="4" w:space="0" w:color="auto"/>
              <w:left w:val="single" w:sz="4" w:space="0" w:color="auto"/>
              <w:bottom w:val="single" w:sz="4" w:space="0" w:color="auto"/>
              <w:right w:val="single" w:sz="4" w:space="0" w:color="auto"/>
            </w:tcBorders>
            <w:vAlign w:val="center"/>
            <w:hideMark/>
          </w:tcPr>
          <w:p w14:paraId="48B8817C" w14:textId="77777777" w:rsidR="002F590A" w:rsidRDefault="002F590A">
            <w:pPr>
              <w:jc w:val="center"/>
              <w:rPr>
                <w:sz w:val="12"/>
                <w:szCs w:val="12"/>
              </w:rPr>
            </w:pPr>
            <w:r>
              <w:rPr>
                <w:sz w:val="12"/>
                <w:szCs w:val="12"/>
              </w:rPr>
              <w:t>Оборудование позволит снизить жесткость воды (убрать излишек магния и кальция), исключает образование отложений солей жесткости на внутренних поверхностях труб, котлов и др. теплового оборудования, что увеличит срок службы, снизит расход топлива, исключаются затраты на замену котлов и другого тепломеханического оборудования.</w:t>
            </w:r>
          </w:p>
        </w:tc>
        <w:tc>
          <w:tcPr>
            <w:tcW w:w="131" w:type="pct"/>
            <w:tcBorders>
              <w:top w:val="single" w:sz="4" w:space="0" w:color="auto"/>
              <w:left w:val="single" w:sz="4" w:space="0" w:color="auto"/>
              <w:bottom w:val="single" w:sz="4" w:space="0" w:color="auto"/>
              <w:right w:val="single" w:sz="4" w:space="0" w:color="auto"/>
            </w:tcBorders>
            <w:vAlign w:val="center"/>
            <w:hideMark/>
          </w:tcPr>
          <w:p w14:paraId="694C46CA" w14:textId="77777777" w:rsidR="002F590A" w:rsidRDefault="002F590A">
            <w:pPr>
              <w:jc w:val="center"/>
              <w:rPr>
                <w:sz w:val="12"/>
                <w:szCs w:val="12"/>
              </w:rPr>
            </w:pPr>
            <w:r>
              <w:rPr>
                <w:sz w:val="12"/>
                <w:szCs w:val="12"/>
              </w:rPr>
              <w:t>2025</w:t>
            </w:r>
          </w:p>
        </w:tc>
        <w:tc>
          <w:tcPr>
            <w:tcW w:w="133" w:type="pct"/>
            <w:tcBorders>
              <w:top w:val="single" w:sz="4" w:space="0" w:color="auto"/>
              <w:left w:val="single" w:sz="4" w:space="0" w:color="auto"/>
              <w:bottom w:val="single" w:sz="4" w:space="0" w:color="auto"/>
              <w:right w:val="single" w:sz="4" w:space="0" w:color="auto"/>
            </w:tcBorders>
            <w:vAlign w:val="center"/>
            <w:hideMark/>
          </w:tcPr>
          <w:p w14:paraId="2E449DEF" w14:textId="77777777" w:rsidR="002F590A" w:rsidRDefault="002F590A">
            <w:pPr>
              <w:jc w:val="center"/>
              <w:rPr>
                <w:sz w:val="12"/>
                <w:szCs w:val="12"/>
              </w:rPr>
            </w:pPr>
            <w:r>
              <w:rPr>
                <w:sz w:val="12"/>
                <w:szCs w:val="12"/>
              </w:rPr>
              <w:t>2025</w:t>
            </w:r>
          </w:p>
        </w:tc>
        <w:tc>
          <w:tcPr>
            <w:tcW w:w="198" w:type="pct"/>
            <w:tcBorders>
              <w:top w:val="single" w:sz="4" w:space="0" w:color="auto"/>
              <w:left w:val="single" w:sz="4" w:space="0" w:color="auto"/>
              <w:bottom w:val="single" w:sz="4" w:space="0" w:color="auto"/>
              <w:right w:val="single" w:sz="4" w:space="0" w:color="auto"/>
            </w:tcBorders>
            <w:vAlign w:val="center"/>
            <w:hideMark/>
          </w:tcPr>
          <w:p w14:paraId="196B988B" w14:textId="77777777" w:rsidR="002F590A" w:rsidRDefault="002F590A">
            <w:pPr>
              <w:jc w:val="center"/>
              <w:rPr>
                <w:color w:val="000000"/>
                <w:sz w:val="12"/>
                <w:szCs w:val="12"/>
              </w:rPr>
            </w:pPr>
            <w:r>
              <w:rPr>
                <w:color w:val="000000"/>
                <w:sz w:val="12"/>
                <w:szCs w:val="12"/>
              </w:rPr>
              <w:t>51,52</w:t>
            </w:r>
          </w:p>
        </w:tc>
        <w:tc>
          <w:tcPr>
            <w:tcW w:w="178" w:type="pct"/>
            <w:tcBorders>
              <w:top w:val="single" w:sz="4" w:space="0" w:color="auto"/>
              <w:left w:val="single" w:sz="4" w:space="0" w:color="auto"/>
              <w:bottom w:val="single" w:sz="4" w:space="0" w:color="auto"/>
              <w:right w:val="single" w:sz="4" w:space="0" w:color="auto"/>
            </w:tcBorders>
            <w:vAlign w:val="center"/>
            <w:hideMark/>
          </w:tcPr>
          <w:p w14:paraId="4FC7C13F" w14:textId="77777777" w:rsidR="002F590A" w:rsidRDefault="002F590A">
            <w:pPr>
              <w:jc w:val="center"/>
              <w:rPr>
                <w:color w:val="000000"/>
                <w:sz w:val="12"/>
                <w:szCs w:val="12"/>
              </w:rPr>
            </w:pPr>
            <w:r>
              <w:rPr>
                <w:color w:val="000000"/>
                <w:sz w:val="12"/>
                <w:szCs w:val="12"/>
              </w:rPr>
              <w:t>0,00</w:t>
            </w:r>
          </w:p>
        </w:tc>
        <w:tc>
          <w:tcPr>
            <w:tcW w:w="218" w:type="pct"/>
            <w:tcBorders>
              <w:top w:val="single" w:sz="4" w:space="0" w:color="auto"/>
              <w:left w:val="single" w:sz="4" w:space="0" w:color="auto"/>
              <w:bottom w:val="single" w:sz="4" w:space="0" w:color="auto"/>
              <w:right w:val="single" w:sz="4" w:space="0" w:color="auto"/>
            </w:tcBorders>
            <w:vAlign w:val="center"/>
            <w:hideMark/>
          </w:tcPr>
          <w:p w14:paraId="3D4D62EE" w14:textId="77777777" w:rsidR="002F590A" w:rsidRDefault="002F590A">
            <w:pPr>
              <w:jc w:val="center"/>
              <w:rPr>
                <w:sz w:val="12"/>
                <w:szCs w:val="12"/>
              </w:rPr>
            </w:pPr>
            <w:r>
              <w:rPr>
                <w:sz w:val="12"/>
                <w:szCs w:val="12"/>
              </w:rPr>
              <w:t>0,00</w:t>
            </w:r>
          </w:p>
        </w:tc>
        <w:tc>
          <w:tcPr>
            <w:tcW w:w="220" w:type="pct"/>
            <w:tcBorders>
              <w:top w:val="single" w:sz="4" w:space="0" w:color="auto"/>
              <w:left w:val="single" w:sz="4" w:space="0" w:color="auto"/>
              <w:bottom w:val="single" w:sz="4" w:space="0" w:color="auto"/>
              <w:right w:val="single" w:sz="4" w:space="0" w:color="auto"/>
            </w:tcBorders>
            <w:vAlign w:val="center"/>
            <w:hideMark/>
          </w:tcPr>
          <w:p w14:paraId="5CD92484" w14:textId="77777777" w:rsidR="002F590A" w:rsidRDefault="002F590A">
            <w:pPr>
              <w:jc w:val="center"/>
              <w:rPr>
                <w:sz w:val="12"/>
                <w:szCs w:val="12"/>
              </w:rPr>
            </w:pPr>
            <w:r>
              <w:rPr>
                <w:sz w:val="12"/>
                <w:szCs w:val="12"/>
              </w:rPr>
              <w:t>0,00</w:t>
            </w:r>
          </w:p>
        </w:tc>
        <w:tc>
          <w:tcPr>
            <w:tcW w:w="214" w:type="pct"/>
            <w:tcBorders>
              <w:top w:val="single" w:sz="4" w:space="0" w:color="auto"/>
              <w:left w:val="single" w:sz="4" w:space="0" w:color="auto"/>
              <w:bottom w:val="single" w:sz="4" w:space="0" w:color="auto"/>
              <w:right w:val="single" w:sz="4" w:space="0" w:color="auto"/>
            </w:tcBorders>
            <w:vAlign w:val="center"/>
            <w:hideMark/>
          </w:tcPr>
          <w:p w14:paraId="115AD6EA" w14:textId="77777777" w:rsidR="002F590A" w:rsidRDefault="002F590A">
            <w:pPr>
              <w:jc w:val="center"/>
              <w:rPr>
                <w:sz w:val="12"/>
                <w:szCs w:val="12"/>
              </w:rPr>
            </w:pPr>
            <w:r>
              <w:rPr>
                <w:sz w:val="12"/>
                <w:szCs w:val="12"/>
              </w:rPr>
              <w:t>0,00</w:t>
            </w:r>
          </w:p>
        </w:tc>
        <w:tc>
          <w:tcPr>
            <w:tcW w:w="179" w:type="pct"/>
            <w:tcBorders>
              <w:top w:val="single" w:sz="4" w:space="0" w:color="auto"/>
              <w:left w:val="single" w:sz="4" w:space="0" w:color="auto"/>
              <w:bottom w:val="single" w:sz="4" w:space="0" w:color="auto"/>
              <w:right w:val="single" w:sz="4" w:space="0" w:color="auto"/>
            </w:tcBorders>
            <w:vAlign w:val="center"/>
            <w:hideMark/>
          </w:tcPr>
          <w:p w14:paraId="64F38541" w14:textId="77777777" w:rsidR="002F590A" w:rsidRDefault="002F590A">
            <w:pPr>
              <w:jc w:val="center"/>
              <w:rPr>
                <w:sz w:val="12"/>
                <w:szCs w:val="12"/>
              </w:rPr>
            </w:pPr>
            <w:r>
              <w:rPr>
                <w:sz w:val="12"/>
                <w:szCs w:val="12"/>
              </w:rPr>
              <w:t>51,52</w:t>
            </w:r>
          </w:p>
        </w:tc>
        <w:tc>
          <w:tcPr>
            <w:tcW w:w="171" w:type="pct"/>
            <w:tcBorders>
              <w:top w:val="single" w:sz="4" w:space="0" w:color="auto"/>
              <w:left w:val="single" w:sz="4" w:space="0" w:color="auto"/>
              <w:bottom w:val="single" w:sz="4" w:space="0" w:color="auto"/>
              <w:right w:val="single" w:sz="4" w:space="0" w:color="auto"/>
            </w:tcBorders>
            <w:vAlign w:val="center"/>
            <w:hideMark/>
          </w:tcPr>
          <w:p w14:paraId="6D4BFBEE"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170CDA31" w14:textId="77777777" w:rsidR="002F590A" w:rsidRDefault="002F590A">
            <w:pPr>
              <w:jc w:val="center"/>
              <w:rPr>
                <w:sz w:val="12"/>
                <w:szCs w:val="12"/>
              </w:rPr>
            </w:pPr>
            <w:r>
              <w:rPr>
                <w:sz w:val="12"/>
                <w:szCs w:val="12"/>
              </w:rPr>
              <w:t>0,00</w:t>
            </w:r>
          </w:p>
        </w:tc>
        <w:tc>
          <w:tcPr>
            <w:tcW w:w="177" w:type="pct"/>
            <w:tcBorders>
              <w:top w:val="single" w:sz="4" w:space="0" w:color="auto"/>
              <w:left w:val="single" w:sz="4" w:space="0" w:color="auto"/>
              <w:bottom w:val="single" w:sz="4" w:space="0" w:color="auto"/>
              <w:right w:val="single" w:sz="4" w:space="0" w:color="auto"/>
            </w:tcBorders>
            <w:vAlign w:val="center"/>
            <w:hideMark/>
          </w:tcPr>
          <w:p w14:paraId="631B3FAC"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27669A54"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263B511F" w14:textId="77777777" w:rsidR="002F590A" w:rsidRDefault="002F590A">
            <w:pPr>
              <w:jc w:val="center"/>
              <w:rPr>
                <w:sz w:val="12"/>
                <w:szCs w:val="12"/>
              </w:rPr>
            </w:pPr>
            <w:r>
              <w:rPr>
                <w:sz w:val="12"/>
                <w:szCs w:val="12"/>
              </w:rPr>
              <w:t>0,00</w:t>
            </w:r>
          </w:p>
        </w:tc>
        <w:tc>
          <w:tcPr>
            <w:tcW w:w="177" w:type="pct"/>
            <w:tcBorders>
              <w:top w:val="single" w:sz="4" w:space="0" w:color="auto"/>
              <w:left w:val="single" w:sz="4" w:space="0" w:color="auto"/>
              <w:bottom w:val="single" w:sz="4" w:space="0" w:color="auto"/>
              <w:right w:val="single" w:sz="4" w:space="0" w:color="auto"/>
            </w:tcBorders>
            <w:vAlign w:val="center"/>
            <w:hideMark/>
          </w:tcPr>
          <w:p w14:paraId="4CA3EC7A"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47B3D278" w14:textId="77777777" w:rsidR="002F590A" w:rsidRDefault="002F590A">
            <w:pPr>
              <w:jc w:val="center"/>
              <w:rPr>
                <w:color w:val="000000"/>
                <w:sz w:val="12"/>
                <w:szCs w:val="12"/>
              </w:rPr>
            </w:pPr>
            <w:r>
              <w:rPr>
                <w:color w:val="000000"/>
                <w:sz w:val="12"/>
                <w:szCs w:val="12"/>
              </w:rPr>
              <w:t>0,00</w:t>
            </w:r>
          </w:p>
        </w:tc>
        <w:tc>
          <w:tcPr>
            <w:tcW w:w="128" w:type="pct"/>
            <w:tcBorders>
              <w:top w:val="single" w:sz="4" w:space="0" w:color="auto"/>
              <w:left w:val="single" w:sz="4" w:space="0" w:color="auto"/>
              <w:bottom w:val="single" w:sz="4" w:space="0" w:color="auto"/>
              <w:right w:val="single" w:sz="4" w:space="0" w:color="auto"/>
            </w:tcBorders>
            <w:vAlign w:val="center"/>
            <w:hideMark/>
          </w:tcPr>
          <w:p w14:paraId="589E30BD" w14:textId="77777777" w:rsidR="002F590A" w:rsidRDefault="002F590A">
            <w:pPr>
              <w:jc w:val="center"/>
              <w:rPr>
                <w:color w:val="000000"/>
                <w:sz w:val="12"/>
                <w:szCs w:val="12"/>
              </w:rPr>
            </w:pPr>
            <w:r>
              <w:rPr>
                <w:color w:val="000000"/>
                <w:sz w:val="12"/>
                <w:szCs w:val="12"/>
              </w:rPr>
              <w:t>0,00</w:t>
            </w:r>
          </w:p>
        </w:tc>
      </w:tr>
      <w:tr w:rsidR="002F590A" w14:paraId="27C3741A" w14:textId="77777777" w:rsidTr="002F590A">
        <w:trPr>
          <w:trHeight w:val="1357"/>
        </w:trPr>
        <w:tc>
          <w:tcPr>
            <w:tcW w:w="175" w:type="pct"/>
            <w:tcBorders>
              <w:top w:val="single" w:sz="4" w:space="0" w:color="auto"/>
              <w:left w:val="single" w:sz="4" w:space="0" w:color="auto"/>
              <w:bottom w:val="single" w:sz="4" w:space="0" w:color="auto"/>
              <w:right w:val="single" w:sz="4" w:space="0" w:color="auto"/>
            </w:tcBorders>
            <w:vAlign w:val="center"/>
            <w:hideMark/>
          </w:tcPr>
          <w:p w14:paraId="478ABAC5" w14:textId="77777777" w:rsidR="002F590A" w:rsidRDefault="002F590A">
            <w:pPr>
              <w:jc w:val="center"/>
              <w:rPr>
                <w:sz w:val="12"/>
                <w:szCs w:val="12"/>
              </w:rPr>
            </w:pPr>
            <w:r>
              <w:rPr>
                <w:sz w:val="12"/>
                <w:szCs w:val="12"/>
              </w:rPr>
              <w:t>3.2.15.2</w:t>
            </w:r>
          </w:p>
        </w:tc>
        <w:tc>
          <w:tcPr>
            <w:tcW w:w="262" w:type="pct"/>
            <w:tcBorders>
              <w:top w:val="single" w:sz="4" w:space="0" w:color="auto"/>
              <w:left w:val="single" w:sz="4" w:space="0" w:color="auto"/>
              <w:bottom w:val="single" w:sz="4" w:space="0" w:color="auto"/>
              <w:right w:val="single" w:sz="4" w:space="0" w:color="auto"/>
            </w:tcBorders>
            <w:vAlign w:val="center"/>
            <w:hideMark/>
          </w:tcPr>
          <w:p w14:paraId="302BEF9C" w14:textId="77777777" w:rsidR="002F590A" w:rsidRDefault="002F590A">
            <w:pPr>
              <w:rPr>
                <w:sz w:val="12"/>
                <w:szCs w:val="12"/>
              </w:rPr>
            </w:pPr>
            <w:r>
              <w:rPr>
                <w:sz w:val="12"/>
                <w:szCs w:val="12"/>
              </w:rPr>
              <w:t>Реконструкция системы автоматической подпитки тепловой сети из водопровода</w:t>
            </w:r>
          </w:p>
        </w:tc>
        <w:tc>
          <w:tcPr>
            <w:tcW w:w="351" w:type="pct"/>
            <w:tcBorders>
              <w:top w:val="single" w:sz="4" w:space="0" w:color="auto"/>
              <w:left w:val="single" w:sz="4" w:space="0" w:color="auto"/>
              <w:bottom w:val="single" w:sz="4" w:space="0" w:color="auto"/>
              <w:right w:val="single" w:sz="4" w:space="0" w:color="auto"/>
            </w:tcBorders>
            <w:vAlign w:val="center"/>
            <w:hideMark/>
          </w:tcPr>
          <w:p w14:paraId="2093F78F" w14:textId="77777777" w:rsidR="002F590A" w:rsidRDefault="002F590A">
            <w:pPr>
              <w:jc w:val="center"/>
              <w:rPr>
                <w:sz w:val="12"/>
                <w:szCs w:val="12"/>
              </w:rPr>
            </w:pPr>
            <w:r>
              <w:rPr>
                <w:sz w:val="12"/>
                <w:szCs w:val="12"/>
              </w:rPr>
              <w:t>Повышение надежности (бесперебойности) услуг теплоснабжения, повышение энергетической эффективности</w:t>
            </w:r>
          </w:p>
        </w:tc>
        <w:tc>
          <w:tcPr>
            <w:tcW w:w="259" w:type="pct"/>
            <w:tcBorders>
              <w:top w:val="single" w:sz="4" w:space="0" w:color="auto"/>
              <w:left w:val="single" w:sz="4" w:space="0" w:color="auto"/>
              <w:bottom w:val="single" w:sz="4" w:space="0" w:color="auto"/>
              <w:right w:val="single" w:sz="4" w:space="0" w:color="auto"/>
            </w:tcBorders>
            <w:vAlign w:val="center"/>
            <w:hideMark/>
          </w:tcPr>
          <w:p w14:paraId="678CF227" w14:textId="77777777" w:rsidR="002F590A" w:rsidRDefault="002F590A">
            <w:pPr>
              <w:jc w:val="center"/>
              <w:rPr>
                <w:sz w:val="12"/>
                <w:szCs w:val="12"/>
              </w:rPr>
            </w:pPr>
            <w:r>
              <w:rPr>
                <w:sz w:val="12"/>
                <w:szCs w:val="12"/>
              </w:rPr>
              <w:t> </w:t>
            </w:r>
          </w:p>
        </w:tc>
        <w:tc>
          <w:tcPr>
            <w:tcW w:w="298" w:type="pct"/>
            <w:tcBorders>
              <w:top w:val="single" w:sz="4" w:space="0" w:color="auto"/>
              <w:left w:val="single" w:sz="4" w:space="0" w:color="auto"/>
              <w:bottom w:val="single" w:sz="4" w:space="0" w:color="auto"/>
              <w:right w:val="single" w:sz="4" w:space="0" w:color="auto"/>
            </w:tcBorders>
            <w:vAlign w:val="center"/>
            <w:hideMark/>
          </w:tcPr>
          <w:p w14:paraId="2532ADC4" w14:textId="77777777" w:rsidR="002F590A" w:rsidRDefault="002F590A">
            <w:pPr>
              <w:jc w:val="center"/>
              <w:rPr>
                <w:sz w:val="12"/>
                <w:szCs w:val="12"/>
              </w:rPr>
            </w:pPr>
            <w:r>
              <w:rPr>
                <w:color w:val="000000"/>
                <w:sz w:val="12"/>
                <w:szCs w:val="12"/>
              </w:rPr>
              <w:t>Технические характеристики</w:t>
            </w:r>
          </w:p>
        </w:tc>
        <w:tc>
          <w:tcPr>
            <w:tcW w:w="130" w:type="pct"/>
            <w:tcBorders>
              <w:top w:val="single" w:sz="4" w:space="0" w:color="auto"/>
              <w:left w:val="single" w:sz="4" w:space="0" w:color="auto"/>
              <w:bottom w:val="single" w:sz="4" w:space="0" w:color="auto"/>
              <w:right w:val="single" w:sz="4" w:space="0" w:color="auto"/>
            </w:tcBorders>
            <w:vAlign w:val="center"/>
          </w:tcPr>
          <w:p w14:paraId="24410BC0" w14:textId="77777777" w:rsidR="002F590A" w:rsidRDefault="002F590A">
            <w:pPr>
              <w:jc w:val="center"/>
              <w:rPr>
                <w:sz w:val="12"/>
                <w:szCs w:val="12"/>
              </w:rPr>
            </w:pPr>
          </w:p>
        </w:tc>
        <w:tc>
          <w:tcPr>
            <w:tcW w:w="359" w:type="pct"/>
            <w:tcBorders>
              <w:top w:val="single" w:sz="4" w:space="0" w:color="auto"/>
              <w:left w:val="single" w:sz="4" w:space="0" w:color="auto"/>
              <w:bottom w:val="single" w:sz="4" w:space="0" w:color="auto"/>
              <w:right w:val="single" w:sz="4" w:space="0" w:color="auto"/>
            </w:tcBorders>
            <w:vAlign w:val="center"/>
            <w:hideMark/>
          </w:tcPr>
          <w:p w14:paraId="6E6C8C87" w14:textId="77777777" w:rsidR="002F590A" w:rsidRDefault="002F590A">
            <w:pPr>
              <w:jc w:val="center"/>
              <w:rPr>
                <w:sz w:val="12"/>
                <w:szCs w:val="12"/>
              </w:rPr>
            </w:pPr>
            <w:r>
              <w:rPr>
                <w:sz w:val="12"/>
                <w:szCs w:val="12"/>
              </w:rPr>
              <w:t>Редукционный клапан Ду15, счетчик СГВ-15, кран муфтовый Ду15, обратный клапан резьбовой Ду15мм.</w:t>
            </w:r>
          </w:p>
        </w:tc>
        <w:tc>
          <w:tcPr>
            <w:tcW w:w="349" w:type="pct"/>
            <w:tcBorders>
              <w:top w:val="single" w:sz="4" w:space="0" w:color="auto"/>
              <w:left w:val="single" w:sz="4" w:space="0" w:color="auto"/>
              <w:bottom w:val="single" w:sz="4" w:space="0" w:color="auto"/>
              <w:right w:val="single" w:sz="4" w:space="0" w:color="auto"/>
            </w:tcBorders>
            <w:vAlign w:val="center"/>
            <w:hideMark/>
          </w:tcPr>
          <w:p w14:paraId="555817B2" w14:textId="77777777" w:rsidR="002F590A" w:rsidRDefault="002F590A">
            <w:pPr>
              <w:jc w:val="center"/>
              <w:rPr>
                <w:sz w:val="12"/>
                <w:szCs w:val="12"/>
              </w:rPr>
            </w:pPr>
            <w:r>
              <w:rPr>
                <w:sz w:val="12"/>
                <w:szCs w:val="12"/>
              </w:rPr>
              <w:t>Оборудование с техническими характеристиками не ниже существующего на объекте.</w:t>
            </w:r>
          </w:p>
        </w:tc>
        <w:tc>
          <w:tcPr>
            <w:tcW w:w="131" w:type="pct"/>
            <w:tcBorders>
              <w:top w:val="single" w:sz="4" w:space="0" w:color="auto"/>
              <w:left w:val="single" w:sz="4" w:space="0" w:color="auto"/>
              <w:bottom w:val="single" w:sz="4" w:space="0" w:color="auto"/>
              <w:right w:val="single" w:sz="4" w:space="0" w:color="auto"/>
            </w:tcBorders>
            <w:vAlign w:val="center"/>
            <w:hideMark/>
          </w:tcPr>
          <w:p w14:paraId="2F91DCDC" w14:textId="77777777" w:rsidR="002F590A" w:rsidRDefault="002F590A">
            <w:pPr>
              <w:jc w:val="center"/>
              <w:rPr>
                <w:sz w:val="12"/>
                <w:szCs w:val="12"/>
              </w:rPr>
            </w:pPr>
            <w:r>
              <w:rPr>
                <w:sz w:val="12"/>
                <w:szCs w:val="12"/>
              </w:rPr>
              <w:t>2025</w:t>
            </w:r>
          </w:p>
        </w:tc>
        <w:tc>
          <w:tcPr>
            <w:tcW w:w="133" w:type="pct"/>
            <w:tcBorders>
              <w:top w:val="single" w:sz="4" w:space="0" w:color="auto"/>
              <w:left w:val="single" w:sz="4" w:space="0" w:color="auto"/>
              <w:bottom w:val="single" w:sz="4" w:space="0" w:color="auto"/>
              <w:right w:val="single" w:sz="4" w:space="0" w:color="auto"/>
            </w:tcBorders>
            <w:vAlign w:val="center"/>
            <w:hideMark/>
          </w:tcPr>
          <w:p w14:paraId="09D2AB8F" w14:textId="77777777" w:rsidR="002F590A" w:rsidRDefault="002F590A">
            <w:pPr>
              <w:jc w:val="center"/>
              <w:rPr>
                <w:sz w:val="12"/>
                <w:szCs w:val="12"/>
              </w:rPr>
            </w:pPr>
            <w:r>
              <w:rPr>
                <w:sz w:val="12"/>
                <w:szCs w:val="12"/>
              </w:rPr>
              <w:t>2025</w:t>
            </w:r>
          </w:p>
        </w:tc>
        <w:tc>
          <w:tcPr>
            <w:tcW w:w="198" w:type="pct"/>
            <w:tcBorders>
              <w:top w:val="single" w:sz="4" w:space="0" w:color="auto"/>
              <w:left w:val="single" w:sz="4" w:space="0" w:color="auto"/>
              <w:bottom w:val="single" w:sz="4" w:space="0" w:color="auto"/>
              <w:right w:val="single" w:sz="4" w:space="0" w:color="auto"/>
            </w:tcBorders>
            <w:vAlign w:val="center"/>
            <w:hideMark/>
          </w:tcPr>
          <w:p w14:paraId="720C32EF" w14:textId="77777777" w:rsidR="002F590A" w:rsidRDefault="002F590A">
            <w:pPr>
              <w:jc w:val="center"/>
              <w:rPr>
                <w:color w:val="000000"/>
                <w:sz w:val="12"/>
                <w:szCs w:val="12"/>
              </w:rPr>
            </w:pPr>
            <w:r>
              <w:rPr>
                <w:color w:val="000000"/>
                <w:sz w:val="12"/>
                <w:szCs w:val="12"/>
              </w:rPr>
              <w:t>11,81</w:t>
            </w:r>
          </w:p>
        </w:tc>
        <w:tc>
          <w:tcPr>
            <w:tcW w:w="178" w:type="pct"/>
            <w:tcBorders>
              <w:top w:val="single" w:sz="4" w:space="0" w:color="auto"/>
              <w:left w:val="single" w:sz="4" w:space="0" w:color="auto"/>
              <w:bottom w:val="single" w:sz="4" w:space="0" w:color="auto"/>
              <w:right w:val="single" w:sz="4" w:space="0" w:color="auto"/>
            </w:tcBorders>
            <w:vAlign w:val="center"/>
            <w:hideMark/>
          </w:tcPr>
          <w:p w14:paraId="590AFE8C" w14:textId="77777777" w:rsidR="002F590A" w:rsidRDefault="002F590A">
            <w:pPr>
              <w:jc w:val="center"/>
              <w:rPr>
                <w:color w:val="000000"/>
                <w:sz w:val="12"/>
                <w:szCs w:val="12"/>
              </w:rPr>
            </w:pPr>
            <w:r>
              <w:rPr>
                <w:color w:val="000000"/>
                <w:sz w:val="12"/>
                <w:szCs w:val="12"/>
              </w:rPr>
              <w:t>0,00</w:t>
            </w:r>
          </w:p>
        </w:tc>
        <w:tc>
          <w:tcPr>
            <w:tcW w:w="218" w:type="pct"/>
            <w:tcBorders>
              <w:top w:val="single" w:sz="4" w:space="0" w:color="auto"/>
              <w:left w:val="single" w:sz="4" w:space="0" w:color="auto"/>
              <w:bottom w:val="single" w:sz="4" w:space="0" w:color="auto"/>
              <w:right w:val="single" w:sz="4" w:space="0" w:color="auto"/>
            </w:tcBorders>
            <w:vAlign w:val="center"/>
            <w:hideMark/>
          </w:tcPr>
          <w:p w14:paraId="15D4274A" w14:textId="77777777" w:rsidR="002F590A" w:rsidRDefault="002F590A">
            <w:pPr>
              <w:jc w:val="center"/>
              <w:rPr>
                <w:sz w:val="12"/>
                <w:szCs w:val="12"/>
              </w:rPr>
            </w:pPr>
            <w:r>
              <w:rPr>
                <w:sz w:val="12"/>
                <w:szCs w:val="12"/>
              </w:rPr>
              <w:t>0,00</w:t>
            </w:r>
          </w:p>
        </w:tc>
        <w:tc>
          <w:tcPr>
            <w:tcW w:w="220" w:type="pct"/>
            <w:tcBorders>
              <w:top w:val="single" w:sz="4" w:space="0" w:color="auto"/>
              <w:left w:val="single" w:sz="4" w:space="0" w:color="auto"/>
              <w:bottom w:val="single" w:sz="4" w:space="0" w:color="auto"/>
              <w:right w:val="single" w:sz="4" w:space="0" w:color="auto"/>
            </w:tcBorders>
            <w:vAlign w:val="center"/>
            <w:hideMark/>
          </w:tcPr>
          <w:p w14:paraId="06F400FA" w14:textId="77777777" w:rsidR="002F590A" w:rsidRDefault="002F590A">
            <w:pPr>
              <w:jc w:val="center"/>
              <w:rPr>
                <w:sz w:val="12"/>
                <w:szCs w:val="12"/>
              </w:rPr>
            </w:pPr>
            <w:r>
              <w:rPr>
                <w:sz w:val="12"/>
                <w:szCs w:val="12"/>
              </w:rPr>
              <w:t>0,00</w:t>
            </w:r>
          </w:p>
        </w:tc>
        <w:tc>
          <w:tcPr>
            <w:tcW w:w="214" w:type="pct"/>
            <w:tcBorders>
              <w:top w:val="single" w:sz="4" w:space="0" w:color="auto"/>
              <w:left w:val="single" w:sz="4" w:space="0" w:color="auto"/>
              <w:bottom w:val="single" w:sz="4" w:space="0" w:color="auto"/>
              <w:right w:val="single" w:sz="4" w:space="0" w:color="auto"/>
            </w:tcBorders>
            <w:vAlign w:val="center"/>
            <w:hideMark/>
          </w:tcPr>
          <w:p w14:paraId="59D6280C" w14:textId="77777777" w:rsidR="002F590A" w:rsidRDefault="002F590A">
            <w:pPr>
              <w:jc w:val="center"/>
              <w:rPr>
                <w:sz w:val="12"/>
                <w:szCs w:val="12"/>
              </w:rPr>
            </w:pPr>
            <w:r>
              <w:rPr>
                <w:sz w:val="12"/>
                <w:szCs w:val="12"/>
              </w:rPr>
              <w:t>0,00</w:t>
            </w:r>
          </w:p>
        </w:tc>
        <w:tc>
          <w:tcPr>
            <w:tcW w:w="179" w:type="pct"/>
            <w:tcBorders>
              <w:top w:val="single" w:sz="4" w:space="0" w:color="auto"/>
              <w:left w:val="single" w:sz="4" w:space="0" w:color="auto"/>
              <w:bottom w:val="single" w:sz="4" w:space="0" w:color="auto"/>
              <w:right w:val="single" w:sz="4" w:space="0" w:color="auto"/>
            </w:tcBorders>
            <w:vAlign w:val="center"/>
            <w:hideMark/>
          </w:tcPr>
          <w:p w14:paraId="07CB3B2A" w14:textId="77777777" w:rsidR="002F590A" w:rsidRDefault="002F590A">
            <w:pPr>
              <w:jc w:val="center"/>
              <w:rPr>
                <w:sz w:val="12"/>
                <w:szCs w:val="12"/>
              </w:rPr>
            </w:pPr>
            <w:r>
              <w:rPr>
                <w:sz w:val="12"/>
                <w:szCs w:val="12"/>
              </w:rPr>
              <w:t>11,81</w:t>
            </w:r>
          </w:p>
        </w:tc>
        <w:tc>
          <w:tcPr>
            <w:tcW w:w="171" w:type="pct"/>
            <w:tcBorders>
              <w:top w:val="single" w:sz="4" w:space="0" w:color="auto"/>
              <w:left w:val="single" w:sz="4" w:space="0" w:color="auto"/>
              <w:bottom w:val="single" w:sz="4" w:space="0" w:color="auto"/>
              <w:right w:val="single" w:sz="4" w:space="0" w:color="auto"/>
            </w:tcBorders>
            <w:vAlign w:val="center"/>
            <w:hideMark/>
          </w:tcPr>
          <w:p w14:paraId="1AA975D4"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721A0900" w14:textId="77777777" w:rsidR="002F590A" w:rsidRDefault="002F590A">
            <w:pPr>
              <w:jc w:val="center"/>
              <w:rPr>
                <w:sz w:val="12"/>
                <w:szCs w:val="12"/>
              </w:rPr>
            </w:pPr>
            <w:r>
              <w:rPr>
                <w:sz w:val="12"/>
                <w:szCs w:val="12"/>
              </w:rPr>
              <w:t>0,00</w:t>
            </w:r>
          </w:p>
        </w:tc>
        <w:tc>
          <w:tcPr>
            <w:tcW w:w="177" w:type="pct"/>
            <w:tcBorders>
              <w:top w:val="single" w:sz="4" w:space="0" w:color="auto"/>
              <w:left w:val="single" w:sz="4" w:space="0" w:color="auto"/>
              <w:bottom w:val="single" w:sz="4" w:space="0" w:color="auto"/>
              <w:right w:val="single" w:sz="4" w:space="0" w:color="auto"/>
            </w:tcBorders>
            <w:vAlign w:val="center"/>
            <w:hideMark/>
          </w:tcPr>
          <w:p w14:paraId="6BD82DAC"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5F5D163E"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112B44FC" w14:textId="77777777" w:rsidR="002F590A" w:rsidRDefault="002F590A">
            <w:pPr>
              <w:jc w:val="center"/>
              <w:rPr>
                <w:sz w:val="12"/>
                <w:szCs w:val="12"/>
              </w:rPr>
            </w:pPr>
            <w:r>
              <w:rPr>
                <w:sz w:val="12"/>
                <w:szCs w:val="12"/>
              </w:rPr>
              <w:t>0,00</w:t>
            </w:r>
          </w:p>
        </w:tc>
        <w:tc>
          <w:tcPr>
            <w:tcW w:w="177" w:type="pct"/>
            <w:tcBorders>
              <w:top w:val="single" w:sz="4" w:space="0" w:color="auto"/>
              <w:left w:val="single" w:sz="4" w:space="0" w:color="auto"/>
              <w:bottom w:val="single" w:sz="4" w:space="0" w:color="auto"/>
              <w:right w:val="single" w:sz="4" w:space="0" w:color="auto"/>
            </w:tcBorders>
            <w:vAlign w:val="center"/>
            <w:hideMark/>
          </w:tcPr>
          <w:p w14:paraId="44021FB5"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20874A62" w14:textId="77777777" w:rsidR="002F590A" w:rsidRDefault="002F590A">
            <w:pPr>
              <w:jc w:val="center"/>
              <w:rPr>
                <w:color w:val="000000"/>
                <w:sz w:val="12"/>
                <w:szCs w:val="12"/>
              </w:rPr>
            </w:pPr>
            <w:r>
              <w:rPr>
                <w:color w:val="000000"/>
                <w:sz w:val="12"/>
                <w:szCs w:val="12"/>
              </w:rPr>
              <w:t>0,00</w:t>
            </w:r>
          </w:p>
        </w:tc>
        <w:tc>
          <w:tcPr>
            <w:tcW w:w="128" w:type="pct"/>
            <w:tcBorders>
              <w:top w:val="single" w:sz="4" w:space="0" w:color="auto"/>
              <w:left w:val="single" w:sz="4" w:space="0" w:color="auto"/>
              <w:bottom w:val="single" w:sz="4" w:space="0" w:color="auto"/>
              <w:right w:val="single" w:sz="4" w:space="0" w:color="auto"/>
            </w:tcBorders>
            <w:vAlign w:val="center"/>
            <w:hideMark/>
          </w:tcPr>
          <w:p w14:paraId="013D4D19" w14:textId="77777777" w:rsidR="002F590A" w:rsidRDefault="002F590A">
            <w:pPr>
              <w:jc w:val="center"/>
              <w:rPr>
                <w:color w:val="000000"/>
                <w:sz w:val="12"/>
                <w:szCs w:val="12"/>
              </w:rPr>
            </w:pPr>
            <w:r>
              <w:rPr>
                <w:color w:val="000000"/>
                <w:sz w:val="12"/>
                <w:szCs w:val="12"/>
              </w:rPr>
              <w:t>0,00</w:t>
            </w:r>
          </w:p>
        </w:tc>
      </w:tr>
      <w:tr w:rsidR="002F590A" w14:paraId="70863F67" w14:textId="77777777" w:rsidTr="002F590A">
        <w:trPr>
          <w:trHeight w:val="552"/>
        </w:trPr>
        <w:tc>
          <w:tcPr>
            <w:tcW w:w="175" w:type="pct"/>
            <w:tcBorders>
              <w:top w:val="single" w:sz="4" w:space="0" w:color="auto"/>
              <w:left w:val="single" w:sz="4" w:space="0" w:color="auto"/>
              <w:bottom w:val="single" w:sz="4" w:space="0" w:color="auto"/>
              <w:right w:val="single" w:sz="4" w:space="0" w:color="auto"/>
            </w:tcBorders>
            <w:vAlign w:val="center"/>
            <w:hideMark/>
          </w:tcPr>
          <w:p w14:paraId="1049CFE2" w14:textId="77777777" w:rsidR="002F590A" w:rsidRDefault="002F590A">
            <w:pPr>
              <w:jc w:val="center"/>
              <w:rPr>
                <w:bCs/>
                <w:sz w:val="12"/>
                <w:szCs w:val="12"/>
              </w:rPr>
            </w:pPr>
            <w:r>
              <w:rPr>
                <w:bCs/>
                <w:sz w:val="12"/>
                <w:szCs w:val="12"/>
              </w:rPr>
              <w:t>1</w:t>
            </w:r>
          </w:p>
        </w:tc>
        <w:tc>
          <w:tcPr>
            <w:tcW w:w="262" w:type="pct"/>
            <w:tcBorders>
              <w:top w:val="single" w:sz="4" w:space="0" w:color="auto"/>
              <w:left w:val="single" w:sz="4" w:space="0" w:color="auto"/>
              <w:bottom w:val="single" w:sz="4" w:space="0" w:color="auto"/>
              <w:right w:val="single" w:sz="4" w:space="0" w:color="auto"/>
            </w:tcBorders>
            <w:vAlign w:val="center"/>
            <w:hideMark/>
          </w:tcPr>
          <w:p w14:paraId="7AB8C62F" w14:textId="77777777" w:rsidR="002F590A" w:rsidRDefault="002F590A">
            <w:pPr>
              <w:jc w:val="center"/>
              <w:rPr>
                <w:bCs/>
                <w:sz w:val="12"/>
                <w:szCs w:val="12"/>
              </w:rPr>
            </w:pPr>
            <w:r>
              <w:rPr>
                <w:bCs/>
                <w:sz w:val="12"/>
                <w:szCs w:val="12"/>
              </w:rPr>
              <w:t>2</w:t>
            </w:r>
          </w:p>
        </w:tc>
        <w:tc>
          <w:tcPr>
            <w:tcW w:w="351" w:type="pct"/>
            <w:tcBorders>
              <w:top w:val="single" w:sz="4" w:space="0" w:color="auto"/>
              <w:left w:val="single" w:sz="4" w:space="0" w:color="auto"/>
              <w:bottom w:val="single" w:sz="4" w:space="0" w:color="auto"/>
              <w:right w:val="single" w:sz="4" w:space="0" w:color="auto"/>
            </w:tcBorders>
            <w:vAlign w:val="center"/>
            <w:hideMark/>
          </w:tcPr>
          <w:p w14:paraId="1D9800A9" w14:textId="77777777" w:rsidR="002F590A" w:rsidRDefault="002F590A">
            <w:pPr>
              <w:jc w:val="center"/>
              <w:rPr>
                <w:bCs/>
                <w:sz w:val="12"/>
                <w:szCs w:val="12"/>
              </w:rPr>
            </w:pPr>
            <w:r>
              <w:rPr>
                <w:bCs/>
                <w:sz w:val="12"/>
                <w:szCs w:val="12"/>
              </w:rPr>
              <w:t>3</w:t>
            </w:r>
          </w:p>
        </w:tc>
        <w:tc>
          <w:tcPr>
            <w:tcW w:w="259" w:type="pct"/>
            <w:tcBorders>
              <w:top w:val="single" w:sz="4" w:space="0" w:color="auto"/>
              <w:left w:val="single" w:sz="4" w:space="0" w:color="auto"/>
              <w:bottom w:val="single" w:sz="4" w:space="0" w:color="auto"/>
              <w:right w:val="single" w:sz="4" w:space="0" w:color="auto"/>
            </w:tcBorders>
            <w:vAlign w:val="center"/>
            <w:hideMark/>
          </w:tcPr>
          <w:p w14:paraId="6B5E0DC3" w14:textId="77777777" w:rsidR="002F590A" w:rsidRDefault="002F590A">
            <w:pPr>
              <w:jc w:val="center"/>
              <w:rPr>
                <w:bCs/>
                <w:sz w:val="12"/>
                <w:szCs w:val="12"/>
              </w:rPr>
            </w:pPr>
            <w:r>
              <w:rPr>
                <w:bCs/>
                <w:sz w:val="12"/>
                <w:szCs w:val="12"/>
              </w:rPr>
              <w:t>4</w:t>
            </w:r>
          </w:p>
        </w:tc>
        <w:tc>
          <w:tcPr>
            <w:tcW w:w="298" w:type="pct"/>
            <w:tcBorders>
              <w:top w:val="single" w:sz="4" w:space="0" w:color="auto"/>
              <w:left w:val="single" w:sz="4" w:space="0" w:color="auto"/>
              <w:bottom w:val="single" w:sz="4" w:space="0" w:color="auto"/>
              <w:right w:val="single" w:sz="4" w:space="0" w:color="auto"/>
            </w:tcBorders>
            <w:vAlign w:val="center"/>
            <w:hideMark/>
          </w:tcPr>
          <w:p w14:paraId="1242DECA" w14:textId="77777777" w:rsidR="002F590A" w:rsidRDefault="002F590A">
            <w:pPr>
              <w:jc w:val="center"/>
              <w:rPr>
                <w:bCs/>
                <w:sz w:val="12"/>
                <w:szCs w:val="12"/>
              </w:rPr>
            </w:pPr>
            <w:r>
              <w:rPr>
                <w:bCs/>
                <w:sz w:val="12"/>
                <w:szCs w:val="12"/>
              </w:rPr>
              <w:t>5</w:t>
            </w:r>
          </w:p>
        </w:tc>
        <w:tc>
          <w:tcPr>
            <w:tcW w:w="130" w:type="pct"/>
            <w:tcBorders>
              <w:top w:val="single" w:sz="4" w:space="0" w:color="auto"/>
              <w:left w:val="single" w:sz="4" w:space="0" w:color="auto"/>
              <w:bottom w:val="single" w:sz="4" w:space="0" w:color="auto"/>
              <w:right w:val="single" w:sz="4" w:space="0" w:color="auto"/>
            </w:tcBorders>
            <w:vAlign w:val="center"/>
            <w:hideMark/>
          </w:tcPr>
          <w:p w14:paraId="2A69A30E" w14:textId="77777777" w:rsidR="002F590A" w:rsidRDefault="002F590A">
            <w:pPr>
              <w:jc w:val="center"/>
              <w:rPr>
                <w:bCs/>
                <w:sz w:val="12"/>
                <w:szCs w:val="12"/>
              </w:rPr>
            </w:pPr>
            <w:r>
              <w:rPr>
                <w:bCs/>
                <w:sz w:val="12"/>
                <w:szCs w:val="12"/>
              </w:rPr>
              <w:t>6</w:t>
            </w:r>
          </w:p>
        </w:tc>
        <w:tc>
          <w:tcPr>
            <w:tcW w:w="359" w:type="pct"/>
            <w:tcBorders>
              <w:top w:val="single" w:sz="4" w:space="0" w:color="auto"/>
              <w:left w:val="single" w:sz="4" w:space="0" w:color="auto"/>
              <w:bottom w:val="single" w:sz="4" w:space="0" w:color="auto"/>
              <w:right w:val="single" w:sz="4" w:space="0" w:color="auto"/>
            </w:tcBorders>
            <w:vAlign w:val="center"/>
            <w:hideMark/>
          </w:tcPr>
          <w:p w14:paraId="31A1285A" w14:textId="77777777" w:rsidR="002F590A" w:rsidRDefault="002F590A">
            <w:pPr>
              <w:jc w:val="center"/>
              <w:rPr>
                <w:bCs/>
                <w:sz w:val="12"/>
                <w:szCs w:val="12"/>
              </w:rPr>
            </w:pPr>
            <w:r>
              <w:rPr>
                <w:bCs/>
                <w:sz w:val="12"/>
                <w:szCs w:val="12"/>
              </w:rPr>
              <w:t>7</w:t>
            </w:r>
          </w:p>
        </w:tc>
        <w:tc>
          <w:tcPr>
            <w:tcW w:w="349" w:type="pct"/>
            <w:tcBorders>
              <w:top w:val="single" w:sz="4" w:space="0" w:color="auto"/>
              <w:left w:val="single" w:sz="4" w:space="0" w:color="auto"/>
              <w:bottom w:val="single" w:sz="4" w:space="0" w:color="auto"/>
              <w:right w:val="single" w:sz="4" w:space="0" w:color="auto"/>
            </w:tcBorders>
            <w:vAlign w:val="center"/>
            <w:hideMark/>
          </w:tcPr>
          <w:p w14:paraId="0E95DD7D" w14:textId="77777777" w:rsidR="002F590A" w:rsidRDefault="002F590A">
            <w:pPr>
              <w:jc w:val="center"/>
              <w:rPr>
                <w:bCs/>
                <w:sz w:val="12"/>
                <w:szCs w:val="12"/>
              </w:rPr>
            </w:pPr>
            <w:r>
              <w:rPr>
                <w:bCs/>
                <w:sz w:val="12"/>
                <w:szCs w:val="12"/>
              </w:rPr>
              <w:t>8</w:t>
            </w:r>
          </w:p>
        </w:tc>
        <w:tc>
          <w:tcPr>
            <w:tcW w:w="131" w:type="pct"/>
            <w:tcBorders>
              <w:top w:val="single" w:sz="4" w:space="0" w:color="auto"/>
              <w:left w:val="single" w:sz="4" w:space="0" w:color="auto"/>
              <w:bottom w:val="single" w:sz="4" w:space="0" w:color="auto"/>
              <w:right w:val="single" w:sz="4" w:space="0" w:color="auto"/>
            </w:tcBorders>
            <w:vAlign w:val="center"/>
            <w:hideMark/>
          </w:tcPr>
          <w:p w14:paraId="265EC141" w14:textId="77777777" w:rsidR="002F590A" w:rsidRDefault="002F590A">
            <w:pPr>
              <w:jc w:val="center"/>
              <w:rPr>
                <w:bCs/>
                <w:sz w:val="12"/>
                <w:szCs w:val="12"/>
              </w:rPr>
            </w:pPr>
            <w:r>
              <w:rPr>
                <w:bCs/>
                <w:sz w:val="12"/>
                <w:szCs w:val="12"/>
              </w:rPr>
              <w:t>9</w:t>
            </w:r>
          </w:p>
        </w:tc>
        <w:tc>
          <w:tcPr>
            <w:tcW w:w="133" w:type="pct"/>
            <w:tcBorders>
              <w:top w:val="single" w:sz="4" w:space="0" w:color="auto"/>
              <w:left w:val="single" w:sz="4" w:space="0" w:color="auto"/>
              <w:bottom w:val="single" w:sz="4" w:space="0" w:color="auto"/>
              <w:right w:val="single" w:sz="4" w:space="0" w:color="auto"/>
            </w:tcBorders>
            <w:vAlign w:val="center"/>
            <w:hideMark/>
          </w:tcPr>
          <w:p w14:paraId="1C28A0F9" w14:textId="77777777" w:rsidR="002F590A" w:rsidRDefault="002F590A">
            <w:pPr>
              <w:jc w:val="center"/>
              <w:rPr>
                <w:bCs/>
                <w:sz w:val="12"/>
                <w:szCs w:val="12"/>
              </w:rPr>
            </w:pPr>
            <w:r>
              <w:rPr>
                <w:bCs/>
                <w:sz w:val="12"/>
                <w:szCs w:val="12"/>
              </w:rPr>
              <w:t>10</w:t>
            </w:r>
          </w:p>
        </w:tc>
        <w:tc>
          <w:tcPr>
            <w:tcW w:w="198" w:type="pct"/>
            <w:tcBorders>
              <w:top w:val="single" w:sz="4" w:space="0" w:color="auto"/>
              <w:left w:val="single" w:sz="4" w:space="0" w:color="auto"/>
              <w:bottom w:val="single" w:sz="4" w:space="0" w:color="auto"/>
              <w:right w:val="single" w:sz="4" w:space="0" w:color="auto"/>
            </w:tcBorders>
            <w:vAlign w:val="center"/>
            <w:hideMark/>
          </w:tcPr>
          <w:p w14:paraId="5DB43970" w14:textId="77777777" w:rsidR="002F590A" w:rsidRDefault="002F590A">
            <w:pPr>
              <w:jc w:val="center"/>
              <w:rPr>
                <w:bCs/>
                <w:sz w:val="12"/>
                <w:szCs w:val="12"/>
              </w:rPr>
            </w:pPr>
            <w:r>
              <w:rPr>
                <w:bCs/>
                <w:sz w:val="12"/>
                <w:szCs w:val="12"/>
              </w:rPr>
              <w:t>11</w:t>
            </w:r>
          </w:p>
        </w:tc>
        <w:tc>
          <w:tcPr>
            <w:tcW w:w="178" w:type="pct"/>
            <w:tcBorders>
              <w:top w:val="single" w:sz="4" w:space="0" w:color="auto"/>
              <w:left w:val="single" w:sz="4" w:space="0" w:color="auto"/>
              <w:bottom w:val="single" w:sz="4" w:space="0" w:color="auto"/>
              <w:right w:val="single" w:sz="4" w:space="0" w:color="auto"/>
            </w:tcBorders>
            <w:vAlign w:val="center"/>
            <w:hideMark/>
          </w:tcPr>
          <w:p w14:paraId="660C5461" w14:textId="77777777" w:rsidR="002F590A" w:rsidRDefault="002F590A">
            <w:pPr>
              <w:jc w:val="center"/>
              <w:rPr>
                <w:bCs/>
                <w:sz w:val="12"/>
                <w:szCs w:val="12"/>
              </w:rPr>
            </w:pPr>
            <w:r>
              <w:rPr>
                <w:bCs/>
                <w:sz w:val="12"/>
                <w:szCs w:val="12"/>
              </w:rPr>
              <w:t>12</w:t>
            </w:r>
          </w:p>
        </w:tc>
        <w:tc>
          <w:tcPr>
            <w:tcW w:w="218" w:type="pct"/>
            <w:tcBorders>
              <w:top w:val="single" w:sz="4" w:space="0" w:color="auto"/>
              <w:left w:val="single" w:sz="4" w:space="0" w:color="auto"/>
              <w:bottom w:val="single" w:sz="4" w:space="0" w:color="auto"/>
              <w:right w:val="single" w:sz="4" w:space="0" w:color="auto"/>
            </w:tcBorders>
            <w:vAlign w:val="center"/>
            <w:hideMark/>
          </w:tcPr>
          <w:p w14:paraId="020DED27" w14:textId="77777777" w:rsidR="002F590A" w:rsidRDefault="002F590A">
            <w:pPr>
              <w:jc w:val="center"/>
              <w:rPr>
                <w:bCs/>
                <w:sz w:val="12"/>
                <w:szCs w:val="12"/>
              </w:rPr>
            </w:pPr>
            <w:r>
              <w:rPr>
                <w:bCs/>
                <w:sz w:val="12"/>
                <w:szCs w:val="12"/>
              </w:rPr>
              <w:t>13</w:t>
            </w:r>
          </w:p>
        </w:tc>
        <w:tc>
          <w:tcPr>
            <w:tcW w:w="220" w:type="pct"/>
            <w:tcBorders>
              <w:top w:val="single" w:sz="4" w:space="0" w:color="auto"/>
              <w:left w:val="single" w:sz="4" w:space="0" w:color="auto"/>
              <w:bottom w:val="single" w:sz="4" w:space="0" w:color="auto"/>
              <w:right w:val="single" w:sz="4" w:space="0" w:color="auto"/>
            </w:tcBorders>
            <w:vAlign w:val="center"/>
            <w:hideMark/>
          </w:tcPr>
          <w:p w14:paraId="6B4F9176" w14:textId="77777777" w:rsidR="002F590A" w:rsidRDefault="002F590A">
            <w:pPr>
              <w:jc w:val="center"/>
              <w:rPr>
                <w:bCs/>
                <w:sz w:val="12"/>
                <w:szCs w:val="12"/>
              </w:rPr>
            </w:pPr>
            <w:r>
              <w:rPr>
                <w:bCs/>
                <w:sz w:val="12"/>
                <w:szCs w:val="12"/>
              </w:rPr>
              <w:t>14</w:t>
            </w:r>
          </w:p>
        </w:tc>
        <w:tc>
          <w:tcPr>
            <w:tcW w:w="214" w:type="pct"/>
            <w:tcBorders>
              <w:top w:val="single" w:sz="4" w:space="0" w:color="auto"/>
              <w:left w:val="single" w:sz="4" w:space="0" w:color="auto"/>
              <w:bottom w:val="single" w:sz="4" w:space="0" w:color="auto"/>
              <w:right w:val="single" w:sz="4" w:space="0" w:color="auto"/>
            </w:tcBorders>
            <w:vAlign w:val="center"/>
            <w:hideMark/>
          </w:tcPr>
          <w:p w14:paraId="668C40B9" w14:textId="77777777" w:rsidR="002F590A" w:rsidRDefault="002F590A">
            <w:pPr>
              <w:jc w:val="center"/>
              <w:rPr>
                <w:bCs/>
                <w:sz w:val="12"/>
                <w:szCs w:val="12"/>
              </w:rPr>
            </w:pPr>
            <w:r>
              <w:rPr>
                <w:bCs/>
                <w:sz w:val="12"/>
                <w:szCs w:val="12"/>
              </w:rPr>
              <w:t>15</w:t>
            </w:r>
          </w:p>
        </w:tc>
        <w:tc>
          <w:tcPr>
            <w:tcW w:w="179" w:type="pct"/>
            <w:tcBorders>
              <w:top w:val="single" w:sz="4" w:space="0" w:color="auto"/>
              <w:left w:val="single" w:sz="4" w:space="0" w:color="auto"/>
              <w:bottom w:val="single" w:sz="4" w:space="0" w:color="auto"/>
              <w:right w:val="single" w:sz="4" w:space="0" w:color="auto"/>
            </w:tcBorders>
            <w:vAlign w:val="center"/>
            <w:hideMark/>
          </w:tcPr>
          <w:p w14:paraId="2D9BD67F" w14:textId="77777777" w:rsidR="002F590A" w:rsidRDefault="002F590A">
            <w:pPr>
              <w:jc w:val="center"/>
              <w:rPr>
                <w:bCs/>
                <w:sz w:val="12"/>
                <w:szCs w:val="12"/>
              </w:rPr>
            </w:pPr>
            <w:r>
              <w:rPr>
                <w:bCs/>
                <w:sz w:val="12"/>
                <w:szCs w:val="12"/>
              </w:rPr>
              <w:t>16</w:t>
            </w:r>
          </w:p>
        </w:tc>
        <w:tc>
          <w:tcPr>
            <w:tcW w:w="171" w:type="pct"/>
            <w:tcBorders>
              <w:top w:val="single" w:sz="4" w:space="0" w:color="auto"/>
              <w:left w:val="single" w:sz="4" w:space="0" w:color="auto"/>
              <w:bottom w:val="single" w:sz="4" w:space="0" w:color="auto"/>
              <w:right w:val="single" w:sz="4" w:space="0" w:color="auto"/>
            </w:tcBorders>
            <w:vAlign w:val="center"/>
            <w:hideMark/>
          </w:tcPr>
          <w:p w14:paraId="4E807F15" w14:textId="77777777" w:rsidR="002F590A" w:rsidRDefault="002F590A">
            <w:pPr>
              <w:jc w:val="center"/>
              <w:rPr>
                <w:bCs/>
                <w:sz w:val="12"/>
                <w:szCs w:val="12"/>
              </w:rPr>
            </w:pPr>
            <w:r>
              <w:rPr>
                <w:bCs/>
                <w:sz w:val="12"/>
                <w:szCs w:val="12"/>
              </w:rPr>
              <w:t>17</w:t>
            </w:r>
          </w:p>
        </w:tc>
        <w:tc>
          <w:tcPr>
            <w:tcW w:w="173" w:type="pct"/>
            <w:tcBorders>
              <w:top w:val="single" w:sz="4" w:space="0" w:color="auto"/>
              <w:left w:val="single" w:sz="4" w:space="0" w:color="auto"/>
              <w:bottom w:val="single" w:sz="4" w:space="0" w:color="auto"/>
              <w:right w:val="single" w:sz="4" w:space="0" w:color="auto"/>
            </w:tcBorders>
            <w:vAlign w:val="center"/>
            <w:hideMark/>
          </w:tcPr>
          <w:p w14:paraId="32982444" w14:textId="77777777" w:rsidR="002F590A" w:rsidRDefault="002F590A">
            <w:pPr>
              <w:jc w:val="center"/>
              <w:rPr>
                <w:bCs/>
                <w:sz w:val="12"/>
                <w:szCs w:val="12"/>
              </w:rPr>
            </w:pPr>
            <w:r>
              <w:rPr>
                <w:bCs/>
                <w:sz w:val="12"/>
                <w:szCs w:val="12"/>
              </w:rPr>
              <w:t>18</w:t>
            </w:r>
          </w:p>
        </w:tc>
        <w:tc>
          <w:tcPr>
            <w:tcW w:w="177" w:type="pct"/>
            <w:tcBorders>
              <w:top w:val="single" w:sz="4" w:space="0" w:color="auto"/>
              <w:left w:val="single" w:sz="4" w:space="0" w:color="auto"/>
              <w:bottom w:val="single" w:sz="4" w:space="0" w:color="auto"/>
              <w:right w:val="single" w:sz="4" w:space="0" w:color="auto"/>
            </w:tcBorders>
            <w:vAlign w:val="center"/>
            <w:hideMark/>
          </w:tcPr>
          <w:p w14:paraId="11B4242A" w14:textId="77777777" w:rsidR="002F590A" w:rsidRDefault="002F590A">
            <w:pPr>
              <w:jc w:val="center"/>
              <w:rPr>
                <w:bCs/>
                <w:sz w:val="12"/>
                <w:szCs w:val="12"/>
              </w:rPr>
            </w:pPr>
            <w:r>
              <w:rPr>
                <w:bCs/>
                <w:sz w:val="12"/>
                <w:szCs w:val="12"/>
              </w:rPr>
              <w:t>19</w:t>
            </w:r>
          </w:p>
        </w:tc>
        <w:tc>
          <w:tcPr>
            <w:tcW w:w="173" w:type="pct"/>
            <w:tcBorders>
              <w:top w:val="single" w:sz="4" w:space="0" w:color="auto"/>
              <w:left w:val="single" w:sz="4" w:space="0" w:color="auto"/>
              <w:bottom w:val="single" w:sz="4" w:space="0" w:color="auto"/>
              <w:right w:val="single" w:sz="4" w:space="0" w:color="auto"/>
            </w:tcBorders>
            <w:vAlign w:val="center"/>
            <w:hideMark/>
          </w:tcPr>
          <w:p w14:paraId="46DC2278" w14:textId="77777777" w:rsidR="002F590A" w:rsidRDefault="002F590A">
            <w:pPr>
              <w:jc w:val="center"/>
              <w:rPr>
                <w:bCs/>
                <w:sz w:val="12"/>
                <w:szCs w:val="12"/>
              </w:rPr>
            </w:pPr>
            <w:r>
              <w:rPr>
                <w:bCs/>
                <w:sz w:val="12"/>
                <w:szCs w:val="12"/>
              </w:rPr>
              <w:t>20</w:t>
            </w:r>
          </w:p>
        </w:tc>
        <w:tc>
          <w:tcPr>
            <w:tcW w:w="173" w:type="pct"/>
            <w:tcBorders>
              <w:top w:val="single" w:sz="4" w:space="0" w:color="auto"/>
              <w:left w:val="single" w:sz="4" w:space="0" w:color="auto"/>
              <w:bottom w:val="single" w:sz="4" w:space="0" w:color="auto"/>
              <w:right w:val="single" w:sz="4" w:space="0" w:color="auto"/>
            </w:tcBorders>
            <w:vAlign w:val="center"/>
            <w:hideMark/>
          </w:tcPr>
          <w:p w14:paraId="06232CD0" w14:textId="77777777" w:rsidR="002F590A" w:rsidRDefault="002F590A">
            <w:pPr>
              <w:jc w:val="center"/>
              <w:rPr>
                <w:bCs/>
                <w:sz w:val="12"/>
                <w:szCs w:val="12"/>
              </w:rPr>
            </w:pPr>
            <w:r>
              <w:rPr>
                <w:bCs/>
                <w:sz w:val="12"/>
                <w:szCs w:val="12"/>
              </w:rPr>
              <w:t>21</w:t>
            </w:r>
          </w:p>
        </w:tc>
        <w:tc>
          <w:tcPr>
            <w:tcW w:w="177" w:type="pct"/>
            <w:tcBorders>
              <w:top w:val="single" w:sz="4" w:space="0" w:color="auto"/>
              <w:left w:val="single" w:sz="4" w:space="0" w:color="auto"/>
              <w:bottom w:val="single" w:sz="4" w:space="0" w:color="auto"/>
              <w:right w:val="single" w:sz="4" w:space="0" w:color="auto"/>
            </w:tcBorders>
            <w:vAlign w:val="center"/>
            <w:hideMark/>
          </w:tcPr>
          <w:p w14:paraId="0E7AEB87" w14:textId="77777777" w:rsidR="002F590A" w:rsidRDefault="002F590A">
            <w:pPr>
              <w:jc w:val="center"/>
              <w:rPr>
                <w:bCs/>
                <w:sz w:val="12"/>
                <w:szCs w:val="12"/>
              </w:rPr>
            </w:pPr>
            <w:r>
              <w:rPr>
                <w:bCs/>
                <w:sz w:val="12"/>
                <w:szCs w:val="12"/>
              </w:rPr>
              <w:t>22</w:t>
            </w:r>
          </w:p>
        </w:tc>
        <w:tc>
          <w:tcPr>
            <w:tcW w:w="174" w:type="pct"/>
            <w:tcBorders>
              <w:top w:val="single" w:sz="4" w:space="0" w:color="auto"/>
              <w:left w:val="single" w:sz="4" w:space="0" w:color="auto"/>
              <w:bottom w:val="single" w:sz="4" w:space="0" w:color="auto"/>
              <w:right w:val="single" w:sz="4" w:space="0" w:color="auto"/>
            </w:tcBorders>
            <w:vAlign w:val="center"/>
            <w:hideMark/>
          </w:tcPr>
          <w:p w14:paraId="1CAA43DB" w14:textId="77777777" w:rsidR="002F590A" w:rsidRDefault="002F590A">
            <w:pPr>
              <w:jc w:val="center"/>
              <w:rPr>
                <w:bCs/>
                <w:sz w:val="12"/>
                <w:szCs w:val="12"/>
              </w:rPr>
            </w:pPr>
            <w:r>
              <w:rPr>
                <w:bCs/>
                <w:sz w:val="12"/>
                <w:szCs w:val="12"/>
              </w:rPr>
              <w:t>23</w:t>
            </w:r>
          </w:p>
        </w:tc>
        <w:tc>
          <w:tcPr>
            <w:tcW w:w="128" w:type="pct"/>
            <w:tcBorders>
              <w:top w:val="single" w:sz="4" w:space="0" w:color="auto"/>
              <w:left w:val="single" w:sz="4" w:space="0" w:color="auto"/>
              <w:bottom w:val="single" w:sz="4" w:space="0" w:color="auto"/>
              <w:right w:val="single" w:sz="4" w:space="0" w:color="auto"/>
            </w:tcBorders>
            <w:vAlign w:val="center"/>
            <w:hideMark/>
          </w:tcPr>
          <w:p w14:paraId="4AF9E9AC" w14:textId="77777777" w:rsidR="002F590A" w:rsidRDefault="002F590A">
            <w:pPr>
              <w:jc w:val="center"/>
              <w:rPr>
                <w:bCs/>
                <w:sz w:val="12"/>
                <w:szCs w:val="12"/>
              </w:rPr>
            </w:pPr>
            <w:r>
              <w:rPr>
                <w:bCs/>
                <w:sz w:val="12"/>
                <w:szCs w:val="12"/>
              </w:rPr>
              <w:t>24</w:t>
            </w:r>
          </w:p>
        </w:tc>
      </w:tr>
      <w:tr w:rsidR="002F590A" w14:paraId="6A4CD52A" w14:textId="77777777" w:rsidTr="002F590A">
        <w:trPr>
          <w:trHeight w:val="897"/>
        </w:trPr>
        <w:tc>
          <w:tcPr>
            <w:tcW w:w="175" w:type="pct"/>
            <w:tcBorders>
              <w:top w:val="single" w:sz="4" w:space="0" w:color="auto"/>
              <w:left w:val="single" w:sz="4" w:space="0" w:color="auto"/>
              <w:bottom w:val="single" w:sz="4" w:space="0" w:color="auto"/>
              <w:right w:val="single" w:sz="4" w:space="0" w:color="auto"/>
            </w:tcBorders>
            <w:vAlign w:val="center"/>
            <w:hideMark/>
          </w:tcPr>
          <w:p w14:paraId="693B3D0A" w14:textId="77777777" w:rsidR="002F590A" w:rsidRDefault="002F590A">
            <w:pPr>
              <w:jc w:val="center"/>
              <w:rPr>
                <w:bCs/>
                <w:sz w:val="12"/>
                <w:szCs w:val="12"/>
              </w:rPr>
            </w:pPr>
            <w:r>
              <w:rPr>
                <w:bCs/>
                <w:sz w:val="12"/>
                <w:szCs w:val="12"/>
              </w:rPr>
              <w:t>3.2.16.</w:t>
            </w:r>
          </w:p>
        </w:tc>
        <w:tc>
          <w:tcPr>
            <w:tcW w:w="262" w:type="pct"/>
            <w:tcBorders>
              <w:top w:val="single" w:sz="4" w:space="0" w:color="auto"/>
              <w:left w:val="single" w:sz="4" w:space="0" w:color="auto"/>
              <w:bottom w:val="single" w:sz="4" w:space="0" w:color="auto"/>
              <w:right w:val="single" w:sz="4" w:space="0" w:color="auto"/>
            </w:tcBorders>
            <w:vAlign w:val="center"/>
            <w:hideMark/>
          </w:tcPr>
          <w:p w14:paraId="20A194C2" w14:textId="77777777" w:rsidR="002F590A" w:rsidRDefault="002F590A">
            <w:pPr>
              <w:rPr>
                <w:bCs/>
                <w:color w:val="000000"/>
                <w:sz w:val="12"/>
                <w:szCs w:val="12"/>
              </w:rPr>
            </w:pPr>
            <w:r>
              <w:rPr>
                <w:bCs/>
                <w:color w:val="000000"/>
                <w:sz w:val="12"/>
                <w:szCs w:val="12"/>
              </w:rPr>
              <w:t>Реконструкция котельной пр-т Кузнецкий, 260</w:t>
            </w:r>
          </w:p>
        </w:tc>
        <w:tc>
          <w:tcPr>
            <w:tcW w:w="351" w:type="pct"/>
            <w:tcBorders>
              <w:top w:val="single" w:sz="4" w:space="0" w:color="auto"/>
              <w:left w:val="single" w:sz="4" w:space="0" w:color="auto"/>
              <w:bottom w:val="single" w:sz="4" w:space="0" w:color="auto"/>
              <w:right w:val="single" w:sz="4" w:space="0" w:color="auto"/>
            </w:tcBorders>
            <w:vAlign w:val="center"/>
          </w:tcPr>
          <w:p w14:paraId="71D48E12" w14:textId="77777777" w:rsidR="002F590A" w:rsidRDefault="002F590A">
            <w:pPr>
              <w:jc w:val="center"/>
              <w:rPr>
                <w:sz w:val="12"/>
                <w:szCs w:val="12"/>
              </w:rPr>
            </w:pPr>
          </w:p>
        </w:tc>
        <w:tc>
          <w:tcPr>
            <w:tcW w:w="259" w:type="pct"/>
            <w:tcBorders>
              <w:top w:val="single" w:sz="4" w:space="0" w:color="auto"/>
              <w:left w:val="single" w:sz="4" w:space="0" w:color="auto"/>
              <w:bottom w:val="single" w:sz="4" w:space="0" w:color="auto"/>
              <w:right w:val="single" w:sz="4" w:space="0" w:color="auto"/>
            </w:tcBorders>
            <w:vAlign w:val="center"/>
            <w:hideMark/>
          </w:tcPr>
          <w:p w14:paraId="025B4034" w14:textId="77777777" w:rsidR="002F590A" w:rsidRDefault="002F590A">
            <w:pPr>
              <w:jc w:val="center"/>
              <w:rPr>
                <w:color w:val="000000"/>
                <w:sz w:val="12"/>
                <w:szCs w:val="12"/>
              </w:rPr>
            </w:pPr>
            <w:r>
              <w:rPr>
                <w:color w:val="000000"/>
                <w:sz w:val="12"/>
                <w:szCs w:val="12"/>
              </w:rPr>
              <w:t xml:space="preserve">Кемеровский городской округ, пр-т Кузнецкий, </w:t>
            </w:r>
            <w:r>
              <w:rPr>
                <w:color w:val="000000"/>
                <w:sz w:val="12"/>
                <w:szCs w:val="12"/>
              </w:rPr>
              <w:br/>
              <w:t>д 260</w:t>
            </w:r>
          </w:p>
        </w:tc>
        <w:tc>
          <w:tcPr>
            <w:tcW w:w="298" w:type="pct"/>
            <w:tcBorders>
              <w:top w:val="single" w:sz="4" w:space="0" w:color="auto"/>
              <w:left w:val="single" w:sz="4" w:space="0" w:color="auto"/>
              <w:bottom w:val="single" w:sz="4" w:space="0" w:color="auto"/>
              <w:right w:val="single" w:sz="4" w:space="0" w:color="auto"/>
            </w:tcBorders>
            <w:vAlign w:val="center"/>
            <w:hideMark/>
          </w:tcPr>
          <w:p w14:paraId="01BAC184" w14:textId="77777777" w:rsidR="002F590A" w:rsidRDefault="002F590A">
            <w:pPr>
              <w:jc w:val="center"/>
              <w:rPr>
                <w:sz w:val="12"/>
                <w:szCs w:val="12"/>
              </w:rPr>
            </w:pPr>
            <w:r>
              <w:rPr>
                <w:color w:val="000000"/>
                <w:sz w:val="12"/>
                <w:szCs w:val="12"/>
              </w:rPr>
              <w:t>Технические характеристики</w:t>
            </w:r>
          </w:p>
        </w:tc>
        <w:tc>
          <w:tcPr>
            <w:tcW w:w="130" w:type="pct"/>
            <w:tcBorders>
              <w:top w:val="single" w:sz="4" w:space="0" w:color="auto"/>
              <w:left w:val="single" w:sz="4" w:space="0" w:color="auto"/>
              <w:bottom w:val="single" w:sz="4" w:space="0" w:color="auto"/>
              <w:right w:val="single" w:sz="4" w:space="0" w:color="auto"/>
            </w:tcBorders>
            <w:vAlign w:val="center"/>
          </w:tcPr>
          <w:p w14:paraId="749EA863" w14:textId="77777777" w:rsidR="002F590A" w:rsidRDefault="002F590A">
            <w:pPr>
              <w:jc w:val="center"/>
              <w:rPr>
                <w:sz w:val="12"/>
                <w:szCs w:val="12"/>
              </w:rPr>
            </w:pPr>
          </w:p>
        </w:tc>
        <w:tc>
          <w:tcPr>
            <w:tcW w:w="359" w:type="pct"/>
            <w:tcBorders>
              <w:top w:val="single" w:sz="4" w:space="0" w:color="auto"/>
              <w:left w:val="single" w:sz="4" w:space="0" w:color="auto"/>
              <w:bottom w:val="single" w:sz="4" w:space="0" w:color="auto"/>
              <w:right w:val="single" w:sz="4" w:space="0" w:color="auto"/>
            </w:tcBorders>
            <w:vAlign w:val="center"/>
            <w:hideMark/>
          </w:tcPr>
          <w:p w14:paraId="05AEE117" w14:textId="77777777" w:rsidR="002F590A" w:rsidRDefault="002F590A">
            <w:pPr>
              <w:jc w:val="center"/>
              <w:rPr>
                <w:sz w:val="12"/>
                <w:szCs w:val="12"/>
              </w:rPr>
            </w:pPr>
            <w:r>
              <w:rPr>
                <w:sz w:val="12"/>
                <w:szCs w:val="12"/>
              </w:rPr>
              <w:t> </w:t>
            </w:r>
          </w:p>
        </w:tc>
        <w:tc>
          <w:tcPr>
            <w:tcW w:w="349" w:type="pct"/>
            <w:tcBorders>
              <w:top w:val="single" w:sz="4" w:space="0" w:color="auto"/>
              <w:left w:val="single" w:sz="4" w:space="0" w:color="auto"/>
              <w:bottom w:val="single" w:sz="4" w:space="0" w:color="auto"/>
              <w:right w:val="single" w:sz="4" w:space="0" w:color="auto"/>
            </w:tcBorders>
            <w:vAlign w:val="center"/>
            <w:hideMark/>
          </w:tcPr>
          <w:p w14:paraId="20FDD665" w14:textId="77777777" w:rsidR="002F590A" w:rsidRDefault="002F590A">
            <w:pPr>
              <w:jc w:val="center"/>
              <w:rPr>
                <w:sz w:val="12"/>
                <w:szCs w:val="12"/>
              </w:rPr>
            </w:pPr>
            <w:r>
              <w:rPr>
                <w:sz w:val="12"/>
                <w:szCs w:val="12"/>
              </w:rPr>
              <w:t> </w:t>
            </w:r>
          </w:p>
        </w:tc>
        <w:tc>
          <w:tcPr>
            <w:tcW w:w="131" w:type="pct"/>
            <w:tcBorders>
              <w:top w:val="single" w:sz="4" w:space="0" w:color="auto"/>
              <w:left w:val="single" w:sz="4" w:space="0" w:color="auto"/>
              <w:bottom w:val="single" w:sz="4" w:space="0" w:color="auto"/>
              <w:right w:val="single" w:sz="4" w:space="0" w:color="auto"/>
            </w:tcBorders>
            <w:vAlign w:val="center"/>
          </w:tcPr>
          <w:p w14:paraId="4516AC85" w14:textId="77777777" w:rsidR="002F590A" w:rsidRDefault="002F590A">
            <w:pPr>
              <w:jc w:val="center"/>
              <w:rPr>
                <w:sz w:val="12"/>
                <w:szCs w:val="12"/>
              </w:rPr>
            </w:pPr>
          </w:p>
        </w:tc>
        <w:tc>
          <w:tcPr>
            <w:tcW w:w="133" w:type="pct"/>
            <w:tcBorders>
              <w:top w:val="single" w:sz="4" w:space="0" w:color="auto"/>
              <w:left w:val="single" w:sz="4" w:space="0" w:color="auto"/>
              <w:bottom w:val="single" w:sz="4" w:space="0" w:color="auto"/>
              <w:right w:val="single" w:sz="4" w:space="0" w:color="auto"/>
            </w:tcBorders>
            <w:vAlign w:val="center"/>
          </w:tcPr>
          <w:p w14:paraId="11E53D44" w14:textId="77777777" w:rsidR="002F590A" w:rsidRDefault="002F590A">
            <w:pPr>
              <w:jc w:val="center"/>
              <w:rPr>
                <w:sz w:val="12"/>
                <w:szCs w:val="12"/>
              </w:rPr>
            </w:pPr>
          </w:p>
        </w:tc>
        <w:tc>
          <w:tcPr>
            <w:tcW w:w="198" w:type="pct"/>
            <w:tcBorders>
              <w:top w:val="single" w:sz="4" w:space="0" w:color="auto"/>
              <w:left w:val="single" w:sz="4" w:space="0" w:color="auto"/>
              <w:bottom w:val="single" w:sz="4" w:space="0" w:color="auto"/>
              <w:right w:val="single" w:sz="4" w:space="0" w:color="auto"/>
            </w:tcBorders>
            <w:vAlign w:val="center"/>
          </w:tcPr>
          <w:p w14:paraId="226C101A" w14:textId="77777777" w:rsidR="002F590A" w:rsidRDefault="002F590A">
            <w:pPr>
              <w:jc w:val="center"/>
              <w:rPr>
                <w:color w:val="000000"/>
                <w:sz w:val="12"/>
                <w:szCs w:val="12"/>
              </w:rPr>
            </w:pPr>
          </w:p>
        </w:tc>
        <w:tc>
          <w:tcPr>
            <w:tcW w:w="178" w:type="pct"/>
            <w:tcBorders>
              <w:top w:val="single" w:sz="4" w:space="0" w:color="auto"/>
              <w:left w:val="single" w:sz="4" w:space="0" w:color="auto"/>
              <w:bottom w:val="single" w:sz="4" w:space="0" w:color="auto"/>
              <w:right w:val="single" w:sz="4" w:space="0" w:color="auto"/>
            </w:tcBorders>
            <w:vAlign w:val="center"/>
          </w:tcPr>
          <w:p w14:paraId="26B28A57" w14:textId="77777777" w:rsidR="002F590A" w:rsidRDefault="002F590A">
            <w:pPr>
              <w:jc w:val="center"/>
              <w:rPr>
                <w:color w:val="000000"/>
                <w:sz w:val="12"/>
                <w:szCs w:val="12"/>
              </w:rPr>
            </w:pPr>
          </w:p>
        </w:tc>
        <w:tc>
          <w:tcPr>
            <w:tcW w:w="218" w:type="pct"/>
            <w:tcBorders>
              <w:top w:val="single" w:sz="4" w:space="0" w:color="auto"/>
              <w:left w:val="single" w:sz="4" w:space="0" w:color="auto"/>
              <w:bottom w:val="single" w:sz="4" w:space="0" w:color="auto"/>
              <w:right w:val="single" w:sz="4" w:space="0" w:color="auto"/>
            </w:tcBorders>
            <w:vAlign w:val="center"/>
          </w:tcPr>
          <w:p w14:paraId="2A71FDBB" w14:textId="77777777" w:rsidR="002F590A" w:rsidRDefault="002F590A">
            <w:pPr>
              <w:jc w:val="center"/>
              <w:rPr>
                <w:sz w:val="12"/>
                <w:szCs w:val="12"/>
              </w:rPr>
            </w:pPr>
          </w:p>
        </w:tc>
        <w:tc>
          <w:tcPr>
            <w:tcW w:w="220" w:type="pct"/>
            <w:tcBorders>
              <w:top w:val="single" w:sz="4" w:space="0" w:color="auto"/>
              <w:left w:val="single" w:sz="4" w:space="0" w:color="auto"/>
              <w:bottom w:val="single" w:sz="4" w:space="0" w:color="auto"/>
              <w:right w:val="single" w:sz="4" w:space="0" w:color="auto"/>
            </w:tcBorders>
            <w:vAlign w:val="center"/>
          </w:tcPr>
          <w:p w14:paraId="721FA567" w14:textId="77777777" w:rsidR="002F590A" w:rsidRDefault="002F590A">
            <w:pPr>
              <w:jc w:val="center"/>
              <w:rPr>
                <w:sz w:val="12"/>
                <w:szCs w:val="12"/>
              </w:rPr>
            </w:pPr>
          </w:p>
        </w:tc>
        <w:tc>
          <w:tcPr>
            <w:tcW w:w="214" w:type="pct"/>
            <w:tcBorders>
              <w:top w:val="single" w:sz="4" w:space="0" w:color="auto"/>
              <w:left w:val="single" w:sz="4" w:space="0" w:color="auto"/>
              <w:bottom w:val="single" w:sz="4" w:space="0" w:color="auto"/>
              <w:right w:val="single" w:sz="4" w:space="0" w:color="auto"/>
            </w:tcBorders>
            <w:vAlign w:val="center"/>
          </w:tcPr>
          <w:p w14:paraId="431962A5" w14:textId="77777777" w:rsidR="002F590A" w:rsidRDefault="002F590A">
            <w:pPr>
              <w:jc w:val="center"/>
              <w:rPr>
                <w:sz w:val="12"/>
                <w:szCs w:val="12"/>
              </w:rPr>
            </w:pPr>
          </w:p>
        </w:tc>
        <w:tc>
          <w:tcPr>
            <w:tcW w:w="179" w:type="pct"/>
            <w:tcBorders>
              <w:top w:val="single" w:sz="4" w:space="0" w:color="auto"/>
              <w:left w:val="single" w:sz="4" w:space="0" w:color="auto"/>
              <w:bottom w:val="single" w:sz="4" w:space="0" w:color="auto"/>
              <w:right w:val="single" w:sz="4" w:space="0" w:color="auto"/>
            </w:tcBorders>
            <w:vAlign w:val="center"/>
          </w:tcPr>
          <w:p w14:paraId="3FEA2218" w14:textId="77777777" w:rsidR="002F590A" w:rsidRDefault="002F590A">
            <w:pPr>
              <w:jc w:val="center"/>
              <w:rPr>
                <w:sz w:val="12"/>
                <w:szCs w:val="12"/>
              </w:rPr>
            </w:pPr>
          </w:p>
        </w:tc>
        <w:tc>
          <w:tcPr>
            <w:tcW w:w="171" w:type="pct"/>
            <w:tcBorders>
              <w:top w:val="single" w:sz="4" w:space="0" w:color="auto"/>
              <w:left w:val="single" w:sz="4" w:space="0" w:color="auto"/>
              <w:bottom w:val="single" w:sz="4" w:space="0" w:color="auto"/>
              <w:right w:val="single" w:sz="4" w:space="0" w:color="auto"/>
            </w:tcBorders>
            <w:vAlign w:val="center"/>
          </w:tcPr>
          <w:p w14:paraId="142AB782" w14:textId="77777777" w:rsidR="002F590A" w:rsidRDefault="002F590A">
            <w:pPr>
              <w:jc w:val="center"/>
              <w:rPr>
                <w:sz w:val="12"/>
                <w:szCs w:val="12"/>
              </w:rPr>
            </w:pPr>
          </w:p>
        </w:tc>
        <w:tc>
          <w:tcPr>
            <w:tcW w:w="173" w:type="pct"/>
            <w:tcBorders>
              <w:top w:val="single" w:sz="4" w:space="0" w:color="auto"/>
              <w:left w:val="single" w:sz="4" w:space="0" w:color="auto"/>
              <w:bottom w:val="single" w:sz="4" w:space="0" w:color="auto"/>
              <w:right w:val="single" w:sz="4" w:space="0" w:color="auto"/>
            </w:tcBorders>
            <w:vAlign w:val="center"/>
          </w:tcPr>
          <w:p w14:paraId="45CE9FF6" w14:textId="77777777" w:rsidR="002F590A" w:rsidRDefault="002F590A">
            <w:pPr>
              <w:jc w:val="center"/>
              <w:rPr>
                <w:sz w:val="12"/>
                <w:szCs w:val="12"/>
              </w:rPr>
            </w:pPr>
          </w:p>
        </w:tc>
        <w:tc>
          <w:tcPr>
            <w:tcW w:w="177" w:type="pct"/>
            <w:tcBorders>
              <w:top w:val="single" w:sz="4" w:space="0" w:color="auto"/>
              <w:left w:val="single" w:sz="4" w:space="0" w:color="auto"/>
              <w:bottom w:val="single" w:sz="4" w:space="0" w:color="auto"/>
              <w:right w:val="single" w:sz="4" w:space="0" w:color="auto"/>
            </w:tcBorders>
            <w:vAlign w:val="center"/>
          </w:tcPr>
          <w:p w14:paraId="22DB80E0" w14:textId="77777777" w:rsidR="002F590A" w:rsidRDefault="002F590A">
            <w:pPr>
              <w:jc w:val="center"/>
              <w:rPr>
                <w:sz w:val="12"/>
                <w:szCs w:val="12"/>
              </w:rPr>
            </w:pPr>
          </w:p>
        </w:tc>
        <w:tc>
          <w:tcPr>
            <w:tcW w:w="173" w:type="pct"/>
            <w:tcBorders>
              <w:top w:val="single" w:sz="4" w:space="0" w:color="auto"/>
              <w:left w:val="single" w:sz="4" w:space="0" w:color="auto"/>
              <w:bottom w:val="single" w:sz="4" w:space="0" w:color="auto"/>
              <w:right w:val="single" w:sz="4" w:space="0" w:color="auto"/>
            </w:tcBorders>
            <w:vAlign w:val="center"/>
          </w:tcPr>
          <w:p w14:paraId="59EBE96A" w14:textId="77777777" w:rsidR="002F590A" w:rsidRDefault="002F590A">
            <w:pPr>
              <w:jc w:val="center"/>
              <w:rPr>
                <w:sz w:val="12"/>
                <w:szCs w:val="12"/>
              </w:rPr>
            </w:pPr>
          </w:p>
        </w:tc>
        <w:tc>
          <w:tcPr>
            <w:tcW w:w="173" w:type="pct"/>
            <w:tcBorders>
              <w:top w:val="single" w:sz="4" w:space="0" w:color="auto"/>
              <w:left w:val="single" w:sz="4" w:space="0" w:color="auto"/>
              <w:bottom w:val="single" w:sz="4" w:space="0" w:color="auto"/>
              <w:right w:val="single" w:sz="4" w:space="0" w:color="auto"/>
            </w:tcBorders>
            <w:vAlign w:val="center"/>
          </w:tcPr>
          <w:p w14:paraId="4A6671C1" w14:textId="77777777" w:rsidR="002F590A" w:rsidRDefault="002F590A">
            <w:pPr>
              <w:jc w:val="center"/>
              <w:rPr>
                <w:sz w:val="12"/>
                <w:szCs w:val="12"/>
              </w:rPr>
            </w:pPr>
          </w:p>
        </w:tc>
        <w:tc>
          <w:tcPr>
            <w:tcW w:w="177" w:type="pct"/>
            <w:tcBorders>
              <w:top w:val="single" w:sz="4" w:space="0" w:color="auto"/>
              <w:left w:val="single" w:sz="4" w:space="0" w:color="auto"/>
              <w:bottom w:val="single" w:sz="4" w:space="0" w:color="auto"/>
              <w:right w:val="single" w:sz="4" w:space="0" w:color="auto"/>
            </w:tcBorders>
            <w:vAlign w:val="center"/>
          </w:tcPr>
          <w:p w14:paraId="5726E8AE" w14:textId="77777777" w:rsidR="002F590A" w:rsidRDefault="002F590A">
            <w:pPr>
              <w:jc w:val="center"/>
              <w:rPr>
                <w:sz w:val="12"/>
                <w:szCs w:val="12"/>
              </w:rPr>
            </w:pPr>
          </w:p>
        </w:tc>
        <w:tc>
          <w:tcPr>
            <w:tcW w:w="174" w:type="pct"/>
            <w:tcBorders>
              <w:top w:val="single" w:sz="4" w:space="0" w:color="auto"/>
              <w:left w:val="single" w:sz="4" w:space="0" w:color="auto"/>
              <w:bottom w:val="single" w:sz="4" w:space="0" w:color="auto"/>
              <w:right w:val="single" w:sz="4" w:space="0" w:color="auto"/>
            </w:tcBorders>
            <w:vAlign w:val="center"/>
          </w:tcPr>
          <w:p w14:paraId="0AB946D0" w14:textId="77777777" w:rsidR="002F590A" w:rsidRDefault="002F590A">
            <w:pPr>
              <w:jc w:val="center"/>
              <w:rPr>
                <w:color w:val="000000"/>
                <w:sz w:val="12"/>
                <w:szCs w:val="12"/>
              </w:rPr>
            </w:pPr>
          </w:p>
        </w:tc>
        <w:tc>
          <w:tcPr>
            <w:tcW w:w="128" w:type="pct"/>
            <w:tcBorders>
              <w:top w:val="single" w:sz="4" w:space="0" w:color="auto"/>
              <w:left w:val="single" w:sz="4" w:space="0" w:color="auto"/>
              <w:bottom w:val="single" w:sz="4" w:space="0" w:color="auto"/>
              <w:right w:val="single" w:sz="4" w:space="0" w:color="auto"/>
            </w:tcBorders>
            <w:vAlign w:val="center"/>
          </w:tcPr>
          <w:p w14:paraId="00DE46C0" w14:textId="77777777" w:rsidR="002F590A" w:rsidRDefault="002F590A">
            <w:pPr>
              <w:jc w:val="center"/>
              <w:rPr>
                <w:color w:val="000000"/>
                <w:sz w:val="12"/>
                <w:szCs w:val="12"/>
              </w:rPr>
            </w:pPr>
          </w:p>
        </w:tc>
      </w:tr>
      <w:tr w:rsidR="002F590A" w14:paraId="079DD031" w14:textId="77777777" w:rsidTr="002F590A">
        <w:trPr>
          <w:trHeight w:val="897"/>
        </w:trPr>
        <w:tc>
          <w:tcPr>
            <w:tcW w:w="175" w:type="pct"/>
            <w:tcBorders>
              <w:top w:val="single" w:sz="4" w:space="0" w:color="auto"/>
              <w:left w:val="single" w:sz="4" w:space="0" w:color="auto"/>
              <w:bottom w:val="single" w:sz="4" w:space="0" w:color="auto"/>
              <w:right w:val="single" w:sz="4" w:space="0" w:color="auto"/>
            </w:tcBorders>
            <w:vAlign w:val="center"/>
            <w:hideMark/>
          </w:tcPr>
          <w:p w14:paraId="209AACEA" w14:textId="77777777" w:rsidR="002F590A" w:rsidRDefault="002F590A">
            <w:pPr>
              <w:jc w:val="center"/>
              <w:rPr>
                <w:sz w:val="12"/>
                <w:szCs w:val="12"/>
              </w:rPr>
            </w:pPr>
            <w:r>
              <w:rPr>
                <w:sz w:val="12"/>
                <w:szCs w:val="12"/>
              </w:rPr>
              <w:t>3.2.16.1</w:t>
            </w:r>
          </w:p>
        </w:tc>
        <w:tc>
          <w:tcPr>
            <w:tcW w:w="262" w:type="pct"/>
            <w:tcBorders>
              <w:top w:val="single" w:sz="4" w:space="0" w:color="auto"/>
              <w:left w:val="single" w:sz="4" w:space="0" w:color="auto"/>
              <w:bottom w:val="single" w:sz="4" w:space="0" w:color="auto"/>
              <w:right w:val="single" w:sz="4" w:space="0" w:color="auto"/>
            </w:tcBorders>
            <w:vAlign w:val="center"/>
            <w:hideMark/>
          </w:tcPr>
          <w:p w14:paraId="68E8473A" w14:textId="77777777" w:rsidR="002F590A" w:rsidRDefault="002F590A">
            <w:pPr>
              <w:rPr>
                <w:sz w:val="12"/>
                <w:szCs w:val="12"/>
              </w:rPr>
            </w:pPr>
            <w:r>
              <w:rPr>
                <w:sz w:val="12"/>
                <w:szCs w:val="12"/>
              </w:rPr>
              <w:t>Замена ГРУ-13-1ВУ1</w:t>
            </w:r>
          </w:p>
        </w:tc>
        <w:tc>
          <w:tcPr>
            <w:tcW w:w="351" w:type="pct"/>
            <w:tcBorders>
              <w:top w:val="single" w:sz="4" w:space="0" w:color="auto"/>
              <w:left w:val="single" w:sz="4" w:space="0" w:color="auto"/>
              <w:bottom w:val="single" w:sz="4" w:space="0" w:color="auto"/>
              <w:right w:val="single" w:sz="4" w:space="0" w:color="auto"/>
            </w:tcBorders>
            <w:vAlign w:val="center"/>
            <w:hideMark/>
          </w:tcPr>
          <w:p w14:paraId="32015B15" w14:textId="77777777" w:rsidR="002F590A" w:rsidRDefault="002F590A">
            <w:pPr>
              <w:jc w:val="center"/>
              <w:rPr>
                <w:sz w:val="12"/>
                <w:szCs w:val="12"/>
              </w:rPr>
            </w:pPr>
            <w:r>
              <w:rPr>
                <w:sz w:val="12"/>
                <w:szCs w:val="12"/>
              </w:rPr>
              <w:t>Повышение надежности (бесперебойности) услуг теплоснабжения, повышение энергетической эффективности</w:t>
            </w:r>
          </w:p>
        </w:tc>
        <w:tc>
          <w:tcPr>
            <w:tcW w:w="259" w:type="pct"/>
            <w:tcBorders>
              <w:top w:val="single" w:sz="4" w:space="0" w:color="auto"/>
              <w:left w:val="single" w:sz="4" w:space="0" w:color="auto"/>
              <w:bottom w:val="single" w:sz="4" w:space="0" w:color="auto"/>
              <w:right w:val="single" w:sz="4" w:space="0" w:color="auto"/>
            </w:tcBorders>
            <w:vAlign w:val="center"/>
          </w:tcPr>
          <w:p w14:paraId="790FF464" w14:textId="77777777" w:rsidR="002F590A" w:rsidRDefault="002F590A">
            <w:pPr>
              <w:jc w:val="center"/>
              <w:rPr>
                <w:sz w:val="12"/>
                <w:szCs w:val="12"/>
              </w:rPr>
            </w:pPr>
          </w:p>
        </w:tc>
        <w:tc>
          <w:tcPr>
            <w:tcW w:w="298" w:type="pct"/>
            <w:tcBorders>
              <w:top w:val="single" w:sz="4" w:space="0" w:color="auto"/>
              <w:left w:val="single" w:sz="4" w:space="0" w:color="auto"/>
              <w:bottom w:val="single" w:sz="4" w:space="0" w:color="auto"/>
              <w:right w:val="single" w:sz="4" w:space="0" w:color="auto"/>
            </w:tcBorders>
            <w:vAlign w:val="center"/>
            <w:hideMark/>
          </w:tcPr>
          <w:p w14:paraId="741F9045" w14:textId="77777777" w:rsidR="002F590A" w:rsidRDefault="002F590A">
            <w:pPr>
              <w:jc w:val="center"/>
              <w:rPr>
                <w:sz w:val="12"/>
                <w:szCs w:val="12"/>
              </w:rPr>
            </w:pPr>
            <w:r>
              <w:rPr>
                <w:color w:val="000000"/>
                <w:sz w:val="12"/>
                <w:szCs w:val="12"/>
              </w:rPr>
              <w:t>Технические характеристики</w:t>
            </w:r>
          </w:p>
        </w:tc>
        <w:tc>
          <w:tcPr>
            <w:tcW w:w="130" w:type="pct"/>
            <w:tcBorders>
              <w:top w:val="single" w:sz="4" w:space="0" w:color="auto"/>
              <w:left w:val="single" w:sz="4" w:space="0" w:color="auto"/>
              <w:bottom w:val="single" w:sz="4" w:space="0" w:color="auto"/>
              <w:right w:val="single" w:sz="4" w:space="0" w:color="auto"/>
            </w:tcBorders>
            <w:vAlign w:val="center"/>
          </w:tcPr>
          <w:p w14:paraId="79EE8F4A" w14:textId="77777777" w:rsidR="002F590A" w:rsidRDefault="002F590A">
            <w:pPr>
              <w:jc w:val="center"/>
              <w:rPr>
                <w:sz w:val="12"/>
                <w:szCs w:val="12"/>
              </w:rPr>
            </w:pPr>
          </w:p>
        </w:tc>
        <w:tc>
          <w:tcPr>
            <w:tcW w:w="35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FFBFD32" w14:textId="77777777" w:rsidR="002F590A" w:rsidRDefault="002F590A">
            <w:pPr>
              <w:jc w:val="center"/>
              <w:rPr>
                <w:sz w:val="12"/>
                <w:szCs w:val="12"/>
              </w:rPr>
            </w:pPr>
            <w:r>
              <w:rPr>
                <w:sz w:val="12"/>
                <w:szCs w:val="12"/>
              </w:rPr>
              <w:t xml:space="preserve"> Срок эксплуатации ГРУ до 2027 года, дальнейшая эксплуатация запрещена. Нет второй (резервной) линии редуцирования.</w:t>
            </w:r>
          </w:p>
        </w:tc>
        <w:tc>
          <w:tcPr>
            <w:tcW w:w="349" w:type="pct"/>
            <w:tcBorders>
              <w:top w:val="single" w:sz="4" w:space="0" w:color="auto"/>
              <w:left w:val="single" w:sz="4" w:space="0" w:color="auto"/>
              <w:bottom w:val="single" w:sz="4" w:space="0" w:color="auto"/>
              <w:right w:val="single" w:sz="4" w:space="0" w:color="auto"/>
            </w:tcBorders>
            <w:vAlign w:val="center"/>
            <w:hideMark/>
          </w:tcPr>
          <w:p w14:paraId="112D55FC" w14:textId="77777777" w:rsidR="002F590A" w:rsidRDefault="002F590A">
            <w:pPr>
              <w:jc w:val="center"/>
              <w:rPr>
                <w:sz w:val="12"/>
                <w:szCs w:val="12"/>
              </w:rPr>
            </w:pPr>
            <w:r>
              <w:rPr>
                <w:sz w:val="12"/>
                <w:szCs w:val="12"/>
              </w:rPr>
              <w:t>Две линии редуцирования (рабочая и резервная)</w:t>
            </w:r>
          </w:p>
        </w:tc>
        <w:tc>
          <w:tcPr>
            <w:tcW w:w="131" w:type="pct"/>
            <w:tcBorders>
              <w:top w:val="single" w:sz="4" w:space="0" w:color="auto"/>
              <w:left w:val="single" w:sz="4" w:space="0" w:color="auto"/>
              <w:bottom w:val="single" w:sz="4" w:space="0" w:color="auto"/>
              <w:right w:val="single" w:sz="4" w:space="0" w:color="auto"/>
            </w:tcBorders>
            <w:vAlign w:val="center"/>
            <w:hideMark/>
          </w:tcPr>
          <w:p w14:paraId="134870D4" w14:textId="77777777" w:rsidR="002F590A" w:rsidRDefault="002F590A">
            <w:pPr>
              <w:jc w:val="center"/>
              <w:rPr>
                <w:sz w:val="12"/>
                <w:szCs w:val="12"/>
              </w:rPr>
            </w:pPr>
            <w:r>
              <w:rPr>
                <w:sz w:val="12"/>
                <w:szCs w:val="12"/>
              </w:rPr>
              <w:t>2029</w:t>
            </w:r>
          </w:p>
        </w:tc>
        <w:tc>
          <w:tcPr>
            <w:tcW w:w="133" w:type="pct"/>
            <w:tcBorders>
              <w:top w:val="single" w:sz="4" w:space="0" w:color="auto"/>
              <w:left w:val="single" w:sz="4" w:space="0" w:color="auto"/>
              <w:bottom w:val="single" w:sz="4" w:space="0" w:color="auto"/>
              <w:right w:val="single" w:sz="4" w:space="0" w:color="auto"/>
            </w:tcBorders>
            <w:vAlign w:val="center"/>
            <w:hideMark/>
          </w:tcPr>
          <w:p w14:paraId="5D1D250B" w14:textId="77777777" w:rsidR="002F590A" w:rsidRDefault="002F590A">
            <w:pPr>
              <w:jc w:val="center"/>
              <w:rPr>
                <w:sz w:val="12"/>
                <w:szCs w:val="12"/>
              </w:rPr>
            </w:pPr>
            <w:r>
              <w:rPr>
                <w:sz w:val="12"/>
                <w:szCs w:val="12"/>
              </w:rPr>
              <w:t>2029</w:t>
            </w:r>
          </w:p>
        </w:tc>
        <w:tc>
          <w:tcPr>
            <w:tcW w:w="198" w:type="pct"/>
            <w:tcBorders>
              <w:top w:val="single" w:sz="4" w:space="0" w:color="auto"/>
              <w:left w:val="single" w:sz="4" w:space="0" w:color="auto"/>
              <w:bottom w:val="single" w:sz="4" w:space="0" w:color="auto"/>
              <w:right w:val="single" w:sz="4" w:space="0" w:color="auto"/>
            </w:tcBorders>
            <w:vAlign w:val="center"/>
            <w:hideMark/>
          </w:tcPr>
          <w:p w14:paraId="42230165" w14:textId="77777777" w:rsidR="002F590A" w:rsidRDefault="002F590A">
            <w:pPr>
              <w:jc w:val="center"/>
              <w:rPr>
                <w:color w:val="000000"/>
                <w:sz w:val="12"/>
                <w:szCs w:val="12"/>
              </w:rPr>
            </w:pPr>
            <w:r>
              <w:rPr>
                <w:color w:val="000000"/>
                <w:sz w:val="12"/>
                <w:szCs w:val="12"/>
              </w:rPr>
              <w:t>263,44</w:t>
            </w:r>
          </w:p>
        </w:tc>
        <w:tc>
          <w:tcPr>
            <w:tcW w:w="178" w:type="pct"/>
            <w:tcBorders>
              <w:top w:val="single" w:sz="4" w:space="0" w:color="auto"/>
              <w:left w:val="single" w:sz="4" w:space="0" w:color="auto"/>
              <w:bottom w:val="single" w:sz="4" w:space="0" w:color="auto"/>
              <w:right w:val="single" w:sz="4" w:space="0" w:color="auto"/>
            </w:tcBorders>
            <w:vAlign w:val="center"/>
            <w:hideMark/>
          </w:tcPr>
          <w:p w14:paraId="53F956D5" w14:textId="77777777" w:rsidR="002F590A" w:rsidRDefault="002F590A">
            <w:pPr>
              <w:jc w:val="center"/>
              <w:rPr>
                <w:color w:val="000000"/>
                <w:sz w:val="12"/>
                <w:szCs w:val="12"/>
              </w:rPr>
            </w:pPr>
            <w:r>
              <w:rPr>
                <w:color w:val="000000"/>
                <w:sz w:val="12"/>
                <w:szCs w:val="12"/>
              </w:rPr>
              <w:t>0,00</w:t>
            </w:r>
          </w:p>
        </w:tc>
        <w:tc>
          <w:tcPr>
            <w:tcW w:w="218" w:type="pct"/>
            <w:tcBorders>
              <w:top w:val="single" w:sz="4" w:space="0" w:color="auto"/>
              <w:left w:val="single" w:sz="4" w:space="0" w:color="auto"/>
              <w:bottom w:val="single" w:sz="4" w:space="0" w:color="auto"/>
              <w:right w:val="single" w:sz="4" w:space="0" w:color="auto"/>
            </w:tcBorders>
            <w:vAlign w:val="center"/>
            <w:hideMark/>
          </w:tcPr>
          <w:p w14:paraId="1F850CBC" w14:textId="77777777" w:rsidR="002F590A" w:rsidRDefault="002F590A">
            <w:pPr>
              <w:jc w:val="center"/>
              <w:rPr>
                <w:sz w:val="12"/>
                <w:szCs w:val="12"/>
              </w:rPr>
            </w:pPr>
            <w:r>
              <w:rPr>
                <w:sz w:val="12"/>
                <w:szCs w:val="12"/>
              </w:rPr>
              <w:t>0,00</w:t>
            </w:r>
          </w:p>
        </w:tc>
        <w:tc>
          <w:tcPr>
            <w:tcW w:w="220" w:type="pct"/>
            <w:tcBorders>
              <w:top w:val="single" w:sz="4" w:space="0" w:color="auto"/>
              <w:left w:val="single" w:sz="4" w:space="0" w:color="auto"/>
              <w:bottom w:val="single" w:sz="4" w:space="0" w:color="auto"/>
              <w:right w:val="single" w:sz="4" w:space="0" w:color="auto"/>
            </w:tcBorders>
            <w:vAlign w:val="center"/>
            <w:hideMark/>
          </w:tcPr>
          <w:p w14:paraId="4E465C97" w14:textId="77777777" w:rsidR="002F590A" w:rsidRDefault="002F590A">
            <w:pPr>
              <w:jc w:val="center"/>
              <w:rPr>
                <w:sz w:val="12"/>
                <w:szCs w:val="12"/>
              </w:rPr>
            </w:pPr>
            <w:r>
              <w:rPr>
                <w:sz w:val="12"/>
                <w:szCs w:val="12"/>
              </w:rPr>
              <w:t>0,00</w:t>
            </w:r>
          </w:p>
        </w:tc>
        <w:tc>
          <w:tcPr>
            <w:tcW w:w="214" w:type="pct"/>
            <w:tcBorders>
              <w:top w:val="single" w:sz="4" w:space="0" w:color="auto"/>
              <w:left w:val="single" w:sz="4" w:space="0" w:color="auto"/>
              <w:bottom w:val="single" w:sz="4" w:space="0" w:color="auto"/>
              <w:right w:val="single" w:sz="4" w:space="0" w:color="auto"/>
            </w:tcBorders>
            <w:vAlign w:val="center"/>
            <w:hideMark/>
          </w:tcPr>
          <w:p w14:paraId="7C5AF3F4" w14:textId="77777777" w:rsidR="002F590A" w:rsidRDefault="002F590A">
            <w:pPr>
              <w:jc w:val="center"/>
              <w:rPr>
                <w:sz w:val="12"/>
                <w:szCs w:val="12"/>
              </w:rPr>
            </w:pPr>
            <w:r>
              <w:rPr>
                <w:sz w:val="12"/>
                <w:szCs w:val="12"/>
              </w:rPr>
              <w:t>0,00</w:t>
            </w:r>
          </w:p>
        </w:tc>
        <w:tc>
          <w:tcPr>
            <w:tcW w:w="179" w:type="pct"/>
            <w:tcBorders>
              <w:top w:val="single" w:sz="4" w:space="0" w:color="auto"/>
              <w:left w:val="single" w:sz="4" w:space="0" w:color="auto"/>
              <w:bottom w:val="single" w:sz="4" w:space="0" w:color="auto"/>
              <w:right w:val="single" w:sz="4" w:space="0" w:color="auto"/>
            </w:tcBorders>
            <w:vAlign w:val="center"/>
            <w:hideMark/>
          </w:tcPr>
          <w:p w14:paraId="484DD572" w14:textId="77777777" w:rsidR="002F590A" w:rsidRDefault="002F590A">
            <w:pPr>
              <w:jc w:val="center"/>
              <w:rPr>
                <w:sz w:val="12"/>
                <w:szCs w:val="12"/>
              </w:rPr>
            </w:pPr>
            <w:r>
              <w:rPr>
                <w:sz w:val="12"/>
                <w:szCs w:val="12"/>
              </w:rPr>
              <w:t>0,00</w:t>
            </w:r>
          </w:p>
        </w:tc>
        <w:tc>
          <w:tcPr>
            <w:tcW w:w="171" w:type="pct"/>
            <w:tcBorders>
              <w:top w:val="single" w:sz="4" w:space="0" w:color="auto"/>
              <w:left w:val="single" w:sz="4" w:space="0" w:color="auto"/>
              <w:bottom w:val="single" w:sz="4" w:space="0" w:color="auto"/>
              <w:right w:val="single" w:sz="4" w:space="0" w:color="auto"/>
            </w:tcBorders>
            <w:vAlign w:val="center"/>
            <w:hideMark/>
          </w:tcPr>
          <w:p w14:paraId="6D024F5A"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0CAB20D7" w14:textId="77777777" w:rsidR="002F590A" w:rsidRDefault="002F590A">
            <w:pPr>
              <w:jc w:val="center"/>
              <w:rPr>
                <w:sz w:val="12"/>
                <w:szCs w:val="12"/>
              </w:rPr>
            </w:pPr>
            <w:r>
              <w:rPr>
                <w:sz w:val="12"/>
                <w:szCs w:val="12"/>
              </w:rPr>
              <w:t>0,00</w:t>
            </w:r>
          </w:p>
        </w:tc>
        <w:tc>
          <w:tcPr>
            <w:tcW w:w="177" w:type="pct"/>
            <w:tcBorders>
              <w:top w:val="single" w:sz="4" w:space="0" w:color="auto"/>
              <w:left w:val="single" w:sz="4" w:space="0" w:color="auto"/>
              <w:bottom w:val="single" w:sz="4" w:space="0" w:color="auto"/>
              <w:right w:val="single" w:sz="4" w:space="0" w:color="auto"/>
            </w:tcBorders>
            <w:vAlign w:val="center"/>
            <w:hideMark/>
          </w:tcPr>
          <w:p w14:paraId="1C179660"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4FF0922D" w14:textId="77777777" w:rsidR="002F590A" w:rsidRDefault="002F590A">
            <w:pPr>
              <w:jc w:val="center"/>
              <w:rPr>
                <w:sz w:val="12"/>
                <w:szCs w:val="12"/>
              </w:rPr>
            </w:pPr>
            <w:r>
              <w:rPr>
                <w:sz w:val="12"/>
                <w:szCs w:val="12"/>
              </w:rPr>
              <w:t>263,44</w:t>
            </w:r>
          </w:p>
        </w:tc>
        <w:tc>
          <w:tcPr>
            <w:tcW w:w="173" w:type="pct"/>
            <w:tcBorders>
              <w:top w:val="single" w:sz="4" w:space="0" w:color="auto"/>
              <w:left w:val="single" w:sz="4" w:space="0" w:color="auto"/>
              <w:bottom w:val="single" w:sz="4" w:space="0" w:color="auto"/>
              <w:right w:val="single" w:sz="4" w:space="0" w:color="auto"/>
            </w:tcBorders>
            <w:vAlign w:val="center"/>
            <w:hideMark/>
          </w:tcPr>
          <w:p w14:paraId="5B24B61E" w14:textId="77777777" w:rsidR="002F590A" w:rsidRDefault="002F590A">
            <w:pPr>
              <w:jc w:val="center"/>
              <w:rPr>
                <w:sz w:val="12"/>
                <w:szCs w:val="12"/>
              </w:rPr>
            </w:pPr>
            <w:r>
              <w:rPr>
                <w:sz w:val="12"/>
                <w:szCs w:val="12"/>
              </w:rPr>
              <w:t>0,00</w:t>
            </w:r>
          </w:p>
        </w:tc>
        <w:tc>
          <w:tcPr>
            <w:tcW w:w="177" w:type="pct"/>
            <w:tcBorders>
              <w:top w:val="single" w:sz="4" w:space="0" w:color="auto"/>
              <w:left w:val="single" w:sz="4" w:space="0" w:color="auto"/>
              <w:bottom w:val="single" w:sz="4" w:space="0" w:color="auto"/>
              <w:right w:val="single" w:sz="4" w:space="0" w:color="auto"/>
            </w:tcBorders>
            <w:vAlign w:val="center"/>
            <w:hideMark/>
          </w:tcPr>
          <w:p w14:paraId="2A6B7AB6"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784F5B7A" w14:textId="77777777" w:rsidR="002F590A" w:rsidRDefault="002F590A">
            <w:pPr>
              <w:jc w:val="center"/>
              <w:rPr>
                <w:color w:val="000000"/>
                <w:sz w:val="12"/>
                <w:szCs w:val="12"/>
              </w:rPr>
            </w:pPr>
            <w:r>
              <w:rPr>
                <w:color w:val="000000"/>
                <w:sz w:val="12"/>
                <w:szCs w:val="12"/>
              </w:rPr>
              <w:t>0,00</w:t>
            </w:r>
          </w:p>
        </w:tc>
        <w:tc>
          <w:tcPr>
            <w:tcW w:w="128" w:type="pct"/>
            <w:tcBorders>
              <w:top w:val="single" w:sz="4" w:space="0" w:color="auto"/>
              <w:left w:val="single" w:sz="4" w:space="0" w:color="auto"/>
              <w:bottom w:val="single" w:sz="4" w:space="0" w:color="auto"/>
              <w:right w:val="single" w:sz="4" w:space="0" w:color="auto"/>
            </w:tcBorders>
            <w:vAlign w:val="center"/>
            <w:hideMark/>
          </w:tcPr>
          <w:p w14:paraId="17753C7A" w14:textId="77777777" w:rsidR="002F590A" w:rsidRDefault="002F590A">
            <w:pPr>
              <w:jc w:val="center"/>
              <w:rPr>
                <w:color w:val="000000"/>
                <w:sz w:val="12"/>
                <w:szCs w:val="12"/>
              </w:rPr>
            </w:pPr>
            <w:r>
              <w:rPr>
                <w:color w:val="000000"/>
                <w:sz w:val="12"/>
                <w:szCs w:val="12"/>
              </w:rPr>
              <w:t>0,00</w:t>
            </w:r>
          </w:p>
        </w:tc>
      </w:tr>
      <w:tr w:rsidR="002F590A" w14:paraId="30AEB041" w14:textId="77777777" w:rsidTr="002F590A">
        <w:trPr>
          <w:trHeight w:val="897"/>
        </w:trPr>
        <w:tc>
          <w:tcPr>
            <w:tcW w:w="175" w:type="pct"/>
            <w:tcBorders>
              <w:top w:val="single" w:sz="4" w:space="0" w:color="auto"/>
              <w:left w:val="single" w:sz="4" w:space="0" w:color="auto"/>
              <w:bottom w:val="single" w:sz="4" w:space="0" w:color="auto"/>
              <w:right w:val="single" w:sz="4" w:space="0" w:color="auto"/>
            </w:tcBorders>
            <w:vAlign w:val="center"/>
            <w:hideMark/>
          </w:tcPr>
          <w:p w14:paraId="4C48A04C" w14:textId="77777777" w:rsidR="002F590A" w:rsidRDefault="002F590A">
            <w:pPr>
              <w:jc w:val="center"/>
              <w:rPr>
                <w:sz w:val="12"/>
                <w:szCs w:val="12"/>
              </w:rPr>
            </w:pPr>
            <w:r>
              <w:rPr>
                <w:sz w:val="12"/>
                <w:szCs w:val="12"/>
              </w:rPr>
              <w:t>3.2.16.2</w:t>
            </w:r>
          </w:p>
        </w:tc>
        <w:tc>
          <w:tcPr>
            <w:tcW w:w="262" w:type="pct"/>
            <w:tcBorders>
              <w:top w:val="single" w:sz="4" w:space="0" w:color="auto"/>
              <w:left w:val="single" w:sz="4" w:space="0" w:color="auto"/>
              <w:bottom w:val="single" w:sz="4" w:space="0" w:color="auto"/>
              <w:right w:val="single" w:sz="4" w:space="0" w:color="auto"/>
            </w:tcBorders>
            <w:vAlign w:val="center"/>
            <w:hideMark/>
          </w:tcPr>
          <w:p w14:paraId="193A5BCD" w14:textId="77777777" w:rsidR="002F590A" w:rsidRDefault="002F590A">
            <w:pPr>
              <w:rPr>
                <w:sz w:val="12"/>
                <w:szCs w:val="12"/>
              </w:rPr>
            </w:pPr>
            <w:r>
              <w:rPr>
                <w:sz w:val="12"/>
                <w:szCs w:val="12"/>
              </w:rPr>
              <w:t>Реконструкция основных насосных агрегатов марки Grundfos (8 шт.)</w:t>
            </w:r>
          </w:p>
        </w:tc>
        <w:tc>
          <w:tcPr>
            <w:tcW w:w="351" w:type="pct"/>
            <w:tcBorders>
              <w:top w:val="single" w:sz="4" w:space="0" w:color="auto"/>
              <w:left w:val="single" w:sz="4" w:space="0" w:color="auto"/>
              <w:bottom w:val="single" w:sz="4" w:space="0" w:color="auto"/>
              <w:right w:val="single" w:sz="4" w:space="0" w:color="auto"/>
            </w:tcBorders>
            <w:vAlign w:val="center"/>
            <w:hideMark/>
          </w:tcPr>
          <w:p w14:paraId="6EE0994B" w14:textId="77777777" w:rsidR="002F590A" w:rsidRDefault="002F590A">
            <w:pPr>
              <w:jc w:val="center"/>
              <w:rPr>
                <w:sz w:val="12"/>
                <w:szCs w:val="12"/>
              </w:rPr>
            </w:pPr>
            <w:r>
              <w:rPr>
                <w:sz w:val="12"/>
                <w:szCs w:val="12"/>
              </w:rPr>
              <w:t>Повышение надежности (бесперебойности) услуг теплоснабжения, повышение энергетической эффективности</w:t>
            </w:r>
          </w:p>
        </w:tc>
        <w:tc>
          <w:tcPr>
            <w:tcW w:w="259" w:type="pct"/>
            <w:tcBorders>
              <w:top w:val="single" w:sz="4" w:space="0" w:color="auto"/>
              <w:left w:val="single" w:sz="4" w:space="0" w:color="auto"/>
              <w:bottom w:val="single" w:sz="4" w:space="0" w:color="auto"/>
              <w:right w:val="single" w:sz="4" w:space="0" w:color="auto"/>
            </w:tcBorders>
            <w:vAlign w:val="center"/>
          </w:tcPr>
          <w:p w14:paraId="3965B993" w14:textId="77777777" w:rsidR="002F590A" w:rsidRDefault="002F590A">
            <w:pPr>
              <w:jc w:val="center"/>
              <w:rPr>
                <w:sz w:val="12"/>
                <w:szCs w:val="12"/>
              </w:rPr>
            </w:pPr>
          </w:p>
        </w:tc>
        <w:tc>
          <w:tcPr>
            <w:tcW w:w="298" w:type="pct"/>
            <w:tcBorders>
              <w:top w:val="single" w:sz="4" w:space="0" w:color="auto"/>
              <w:left w:val="single" w:sz="4" w:space="0" w:color="auto"/>
              <w:bottom w:val="single" w:sz="4" w:space="0" w:color="auto"/>
              <w:right w:val="single" w:sz="4" w:space="0" w:color="auto"/>
            </w:tcBorders>
            <w:vAlign w:val="center"/>
            <w:hideMark/>
          </w:tcPr>
          <w:p w14:paraId="0E8D0277" w14:textId="77777777" w:rsidR="002F590A" w:rsidRDefault="002F590A">
            <w:pPr>
              <w:jc w:val="center"/>
              <w:rPr>
                <w:sz w:val="12"/>
                <w:szCs w:val="12"/>
              </w:rPr>
            </w:pPr>
            <w:r>
              <w:rPr>
                <w:color w:val="000000"/>
                <w:sz w:val="12"/>
                <w:szCs w:val="12"/>
              </w:rPr>
              <w:t>Технические характеристики</w:t>
            </w:r>
          </w:p>
        </w:tc>
        <w:tc>
          <w:tcPr>
            <w:tcW w:w="130" w:type="pct"/>
            <w:tcBorders>
              <w:top w:val="single" w:sz="4" w:space="0" w:color="auto"/>
              <w:left w:val="single" w:sz="4" w:space="0" w:color="auto"/>
              <w:bottom w:val="single" w:sz="4" w:space="0" w:color="auto"/>
              <w:right w:val="single" w:sz="4" w:space="0" w:color="auto"/>
            </w:tcBorders>
            <w:vAlign w:val="center"/>
          </w:tcPr>
          <w:p w14:paraId="52A43C56" w14:textId="77777777" w:rsidR="002F590A" w:rsidRDefault="002F590A">
            <w:pPr>
              <w:jc w:val="center"/>
              <w:rPr>
                <w:sz w:val="12"/>
                <w:szCs w:val="12"/>
              </w:rPr>
            </w:pPr>
          </w:p>
        </w:tc>
        <w:tc>
          <w:tcPr>
            <w:tcW w:w="359" w:type="pct"/>
            <w:tcBorders>
              <w:top w:val="single" w:sz="4" w:space="0" w:color="auto"/>
              <w:left w:val="single" w:sz="4" w:space="0" w:color="auto"/>
              <w:bottom w:val="single" w:sz="4" w:space="0" w:color="auto"/>
              <w:right w:val="single" w:sz="4" w:space="0" w:color="auto"/>
            </w:tcBorders>
            <w:vAlign w:val="center"/>
            <w:hideMark/>
          </w:tcPr>
          <w:p w14:paraId="01AB966C" w14:textId="77777777" w:rsidR="002F590A" w:rsidRDefault="002F590A">
            <w:pPr>
              <w:jc w:val="center"/>
              <w:rPr>
                <w:sz w:val="12"/>
                <w:szCs w:val="12"/>
              </w:rPr>
            </w:pPr>
            <w:r>
              <w:rPr>
                <w:sz w:val="12"/>
                <w:szCs w:val="12"/>
              </w:rPr>
              <w:t>Торцевые уплотнения вала выполнены из графитового материала.</w:t>
            </w:r>
          </w:p>
        </w:tc>
        <w:tc>
          <w:tcPr>
            <w:tcW w:w="349" w:type="pct"/>
            <w:tcBorders>
              <w:top w:val="single" w:sz="4" w:space="0" w:color="auto"/>
              <w:left w:val="single" w:sz="4" w:space="0" w:color="auto"/>
              <w:bottom w:val="single" w:sz="4" w:space="0" w:color="auto"/>
              <w:right w:val="single" w:sz="4" w:space="0" w:color="auto"/>
            </w:tcBorders>
            <w:vAlign w:val="center"/>
            <w:hideMark/>
          </w:tcPr>
          <w:p w14:paraId="2EB66548" w14:textId="77777777" w:rsidR="002F590A" w:rsidRDefault="002F590A">
            <w:pPr>
              <w:jc w:val="center"/>
              <w:rPr>
                <w:sz w:val="12"/>
                <w:szCs w:val="12"/>
              </w:rPr>
            </w:pPr>
            <w:r>
              <w:rPr>
                <w:sz w:val="12"/>
                <w:szCs w:val="12"/>
              </w:rPr>
              <w:t>Торцевые уплотнения вала выполнены из металлокерамики</w:t>
            </w:r>
          </w:p>
        </w:tc>
        <w:tc>
          <w:tcPr>
            <w:tcW w:w="131" w:type="pct"/>
            <w:tcBorders>
              <w:top w:val="single" w:sz="4" w:space="0" w:color="auto"/>
              <w:left w:val="single" w:sz="4" w:space="0" w:color="auto"/>
              <w:bottom w:val="single" w:sz="4" w:space="0" w:color="auto"/>
              <w:right w:val="single" w:sz="4" w:space="0" w:color="auto"/>
            </w:tcBorders>
            <w:vAlign w:val="center"/>
            <w:hideMark/>
          </w:tcPr>
          <w:p w14:paraId="26584FE8" w14:textId="77777777" w:rsidR="002F590A" w:rsidRDefault="002F590A">
            <w:pPr>
              <w:jc w:val="center"/>
              <w:rPr>
                <w:sz w:val="12"/>
                <w:szCs w:val="12"/>
              </w:rPr>
            </w:pPr>
            <w:r>
              <w:rPr>
                <w:sz w:val="12"/>
                <w:szCs w:val="12"/>
              </w:rPr>
              <w:t>2022</w:t>
            </w:r>
          </w:p>
        </w:tc>
        <w:tc>
          <w:tcPr>
            <w:tcW w:w="133" w:type="pct"/>
            <w:tcBorders>
              <w:top w:val="single" w:sz="4" w:space="0" w:color="auto"/>
              <w:left w:val="single" w:sz="4" w:space="0" w:color="auto"/>
              <w:bottom w:val="single" w:sz="4" w:space="0" w:color="auto"/>
              <w:right w:val="single" w:sz="4" w:space="0" w:color="auto"/>
            </w:tcBorders>
            <w:vAlign w:val="center"/>
            <w:hideMark/>
          </w:tcPr>
          <w:p w14:paraId="24FE2C1C" w14:textId="77777777" w:rsidR="002F590A" w:rsidRDefault="002F590A">
            <w:pPr>
              <w:jc w:val="center"/>
              <w:rPr>
                <w:sz w:val="12"/>
                <w:szCs w:val="12"/>
              </w:rPr>
            </w:pPr>
            <w:r>
              <w:rPr>
                <w:sz w:val="12"/>
                <w:szCs w:val="12"/>
              </w:rPr>
              <w:t>2022</w:t>
            </w:r>
          </w:p>
        </w:tc>
        <w:tc>
          <w:tcPr>
            <w:tcW w:w="198" w:type="pct"/>
            <w:tcBorders>
              <w:top w:val="single" w:sz="4" w:space="0" w:color="auto"/>
              <w:left w:val="single" w:sz="4" w:space="0" w:color="auto"/>
              <w:bottom w:val="single" w:sz="4" w:space="0" w:color="auto"/>
              <w:right w:val="single" w:sz="4" w:space="0" w:color="auto"/>
            </w:tcBorders>
            <w:vAlign w:val="center"/>
            <w:hideMark/>
          </w:tcPr>
          <w:p w14:paraId="45EEE3D2" w14:textId="77777777" w:rsidR="002F590A" w:rsidRDefault="002F590A">
            <w:pPr>
              <w:jc w:val="center"/>
              <w:rPr>
                <w:color w:val="000000"/>
                <w:sz w:val="12"/>
                <w:szCs w:val="12"/>
              </w:rPr>
            </w:pPr>
            <w:r>
              <w:rPr>
                <w:color w:val="000000"/>
                <w:sz w:val="12"/>
                <w:szCs w:val="12"/>
              </w:rPr>
              <w:t>141,37</w:t>
            </w:r>
          </w:p>
        </w:tc>
        <w:tc>
          <w:tcPr>
            <w:tcW w:w="178" w:type="pct"/>
            <w:tcBorders>
              <w:top w:val="single" w:sz="4" w:space="0" w:color="auto"/>
              <w:left w:val="single" w:sz="4" w:space="0" w:color="auto"/>
              <w:bottom w:val="single" w:sz="4" w:space="0" w:color="auto"/>
              <w:right w:val="single" w:sz="4" w:space="0" w:color="auto"/>
            </w:tcBorders>
            <w:vAlign w:val="center"/>
            <w:hideMark/>
          </w:tcPr>
          <w:p w14:paraId="78A6CB39" w14:textId="77777777" w:rsidR="002F590A" w:rsidRDefault="002F590A">
            <w:pPr>
              <w:jc w:val="center"/>
              <w:rPr>
                <w:color w:val="000000"/>
                <w:sz w:val="12"/>
                <w:szCs w:val="12"/>
              </w:rPr>
            </w:pPr>
            <w:r>
              <w:rPr>
                <w:color w:val="000000"/>
                <w:sz w:val="12"/>
                <w:szCs w:val="12"/>
              </w:rPr>
              <w:t>0,00</w:t>
            </w:r>
          </w:p>
        </w:tc>
        <w:tc>
          <w:tcPr>
            <w:tcW w:w="218" w:type="pct"/>
            <w:tcBorders>
              <w:top w:val="single" w:sz="4" w:space="0" w:color="auto"/>
              <w:left w:val="single" w:sz="4" w:space="0" w:color="auto"/>
              <w:bottom w:val="single" w:sz="4" w:space="0" w:color="auto"/>
              <w:right w:val="single" w:sz="4" w:space="0" w:color="auto"/>
            </w:tcBorders>
            <w:vAlign w:val="center"/>
            <w:hideMark/>
          </w:tcPr>
          <w:p w14:paraId="31CF450A" w14:textId="77777777" w:rsidR="002F590A" w:rsidRDefault="002F590A">
            <w:pPr>
              <w:jc w:val="center"/>
              <w:rPr>
                <w:sz w:val="12"/>
                <w:szCs w:val="12"/>
              </w:rPr>
            </w:pPr>
            <w:r>
              <w:rPr>
                <w:sz w:val="12"/>
                <w:szCs w:val="12"/>
              </w:rPr>
              <w:t>141,37</w:t>
            </w:r>
          </w:p>
        </w:tc>
        <w:tc>
          <w:tcPr>
            <w:tcW w:w="220" w:type="pct"/>
            <w:tcBorders>
              <w:top w:val="single" w:sz="4" w:space="0" w:color="auto"/>
              <w:left w:val="single" w:sz="4" w:space="0" w:color="auto"/>
              <w:bottom w:val="single" w:sz="4" w:space="0" w:color="auto"/>
              <w:right w:val="single" w:sz="4" w:space="0" w:color="auto"/>
            </w:tcBorders>
            <w:vAlign w:val="center"/>
            <w:hideMark/>
          </w:tcPr>
          <w:p w14:paraId="779869DF" w14:textId="77777777" w:rsidR="002F590A" w:rsidRDefault="002F590A">
            <w:pPr>
              <w:jc w:val="center"/>
              <w:rPr>
                <w:sz w:val="12"/>
                <w:szCs w:val="12"/>
              </w:rPr>
            </w:pPr>
            <w:r>
              <w:rPr>
                <w:sz w:val="12"/>
                <w:szCs w:val="12"/>
              </w:rPr>
              <w:t>0,00</w:t>
            </w:r>
          </w:p>
        </w:tc>
        <w:tc>
          <w:tcPr>
            <w:tcW w:w="214" w:type="pct"/>
            <w:tcBorders>
              <w:top w:val="single" w:sz="4" w:space="0" w:color="auto"/>
              <w:left w:val="single" w:sz="4" w:space="0" w:color="auto"/>
              <w:bottom w:val="single" w:sz="4" w:space="0" w:color="auto"/>
              <w:right w:val="single" w:sz="4" w:space="0" w:color="auto"/>
            </w:tcBorders>
            <w:vAlign w:val="center"/>
            <w:hideMark/>
          </w:tcPr>
          <w:p w14:paraId="2D2276AA" w14:textId="77777777" w:rsidR="002F590A" w:rsidRDefault="002F590A">
            <w:pPr>
              <w:jc w:val="center"/>
              <w:rPr>
                <w:sz w:val="12"/>
                <w:szCs w:val="12"/>
              </w:rPr>
            </w:pPr>
            <w:r>
              <w:rPr>
                <w:sz w:val="12"/>
                <w:szCs w:val="12"/>
              </w:rPr>
              <w:t>0,00</w:t>
            </w:r>
          </w:p>
        </w:tc>
        <w:tc>
          <w:tcPr>
            <w:tcW w:w="179" w:type="pct"/>
            <w:tcBorders>
              <w:top w:val="single" w:sz="4" w:space="0" w:color="auto"/>
              <w:left w:val="single" w:sz="4" w:space="0" w:color="auto"/>
              <w:bottom w:val="single" w:sz="4" w:space="0" w:color="auto"/>
              <w:right w:val="single" w:sz="4" w:space="0" w:color="auto"/>
            </w:tcBorders>
            <w:vAlign w:val="center"/>
            <w:hideMark/>
          </w:tcPr>
          <w:p w14:paraId="1E2F2BE8" w14:textId="77777777" w:rsidR="002F590A" w:rsidRDefault="002F590A">
            <w:pPr>
              <w:jc w:val="center"/>
              <w:rPr>
                <w:sz w:val="12"/>
                <w:szCs w:val="12"/>
              </w:rPr>
            </w:pPr>
            <w:r>
              <w:rPr>
                <w:sz w:val="12"/>
                <w:szCs w:val="12"/>
              </w:rPr>
              <w:t>0,00</w:t>
            </w:r>
          </w:p>
        </w:tc>
        <w:tc>
          <w:tcPr>
            <w:tcW w:w="171" w:type="pct"/>
            <w:tcBorders>
              <w:top w:val="single" w:sz="4" w:space="0" w:color="auto"/>
              <w:left w:val="single" w:sz="4" w:space="0" w:color="auto"/>
              <w:bottom w:val="single" w:sz="4" w:space="0" w:color="auto"/>
              <w:right w:val="single" w:sz="4" w:space="0" w:color="auto"/>
            </w:tcBorders>
            <w:vAlign w:val="center"/>
            <w:hideMark/>
          </w:tcPr>
          <w:p w14:paraId="12B41616"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21C00351" w14:textId="77777777" w:rsidR="002F590A" w:rsidRDefault="002F590A">
            <w:pPr>
              <w:jc w:val="center"/>
              <w:rPr>
                <w:sz w:val="12"/>
                <w:szCs w:val="12"/>
              </w:rPr>
            </w:pPr>
            <w:r>
              <w:rPr>
                <w:sz w:val="12"/>
                <w:szCs w:val="12"/>
              </w:rPr>
              <w:t>0,00</w:t>
            </w:r>
          </w:p>
        </w:tc>
        <w:tc>
          <w:tcPr>
            <w:tcW w:w="177" w:type="pct"/>
            <w:tcBorders>
              <w:top w:val="single" w:sz="4" w:space="0" w:color="auto"/>
              <w:left w:val="single" w:sz="4" w:space="0" w:color="auto"/>
              <w:bottom w:val="single" w:sz="4" w:space="0" w:color="auto"/>
              <w:right w:val="single" w:sz="4" w:space="0" w:color="auto"/>
            </w:tcBorders>
            <w:vAlign w:val="center"/>
            <w:hideMark/>
          </w:tcPr>
          <w:p w14:paraId="5E4BEC2D"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21B06B91"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081B5EC3" w14:textId="77777777" w:rsidR="002F590A" w:rsidRDefault="002F590A">
            <w:pPr>
              <w:jc w:val="center"/>
              <w:rPr>
                <w:sz w:val="12"/>
                <w:szCs w:val="12"/>
              </w:rPr>
            </w:pPr>
            <w:r>
              <w:rPr>
                <w:sz w:val="12"/>
                <w:szCs w:val="12"/>
              </w:rPr>
              <w:t>0,00</w:t>
            </w:r>
          </w:p>
        </w:tc>
        <w:tc>
          <w:tcPr>
            <w:tcW w:w="177" w:type="pct"/>
            <w:tcBorders>
              <w:top w:val="single" w:sz="4" w:space="0" w:color="auto"/>
              <w:left w:val="single" w:sz="4" w:space="0" w:color="auto"/>
              <w:bottom w:val="single" w:sz="4" w:space="0" w:color="auto"/>
              <w:right w:val="single" w:sz="4" w:space="0" w:color="auto"/>
            </w:tcBorders>
            <w:vAlign w:val="center"/>
            <w:hideMark/>
          </w:tcPr>
          <w:p w14:paraId="1D0F2473"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68F61FCC" w14:textId="77777777" w:rsidR="002F590A" w:rsidRDefault="002F590A">
            <w:pPr>
              <w:jc w:val="center"/>
              <w:rPr>
                <w:color w:val="000000"/>
                <w:sz w:val="12"/>
                <w:szCs w:val="12"/>
              </w:rPr>
            </w:pPr>
            <w:r>
              <w:rPr>
                <w:color w:val="000000"/>
                <w:sz w:val="12"/>
                <w:szCs w:val="12"/>
              </w:rPr>
              <w:t>0,00</w:t>
            </w:r>
          </w:p>
        </w:tc>
        <w:tc>
          <w:tcPr>
            <w:tcW w:w="128" w:type="pct"/>
            <w:tcBorders>
              <w:top w:val="single" w:sz="4" w:space="0" w:color="auto"/>
              <w:left w:val="single" w:sz="4" w:space="0" w:color="auto"/>
              <w:bottom w:val="single" w:sz="4" w:space="0" w:color="auto"/>
              <w:right w:val="single" w:sz="4" w:space="0" w:color="auto"/>
            </w:tcBorders>
            <w:vAlign w:val="center"/>
            <w:hideMark/>
          </w:tcPr>
          <w:p w14:paraId="452ED503" w14:textId="77777777" w:rsidR="002F590A" w:rsidRDefault="002F590A">
            <w:pPr>
              <w:jc w:val="center"/>
              <w:rPr>
                <w:color w:val="000000"/>
                <w:sz w:val="12"/>
                <w:szCs w:val="12"/>
              </w:rPr>
            </w:pPr>
            <w:r>
              <w:rPr>
                <w:color w:val="000000"/>
                <w:sz w:val="12"/>
                <w:szCs w:val="12"/>
              </w:rPr>
              <w:t>0,00</w:t>
            </w:r>
          </w:p>
        </w:tc>
      </w:tr>
      <w:tr w:rsidR="002F590A" w14:paraId="2FB6D04D" w14:textId="77777777" w:rsidTr="002F590A">
        <w:trPr>
          <w:trHeight w:val="897"/>
        </w:trPr>
        <w:tc>
          <w:tcPr>
            <w:tcW w:w="175" w:type="pct"/>
            <w:tcBorders>
              <w:top w:val="single" w:sz="4" w:space="0" w:color="auto"/>
              <w:left w:val="single" w:sz="4" w:space="0" w:color="auto"/>
              <w:bottom w:val="single" w:sz="4" w:space="0" w:color="auto"/>
              <w:right w:val="single" w:sz="4" w:space="0" w:color="auto"/>
            </w:tcBorders>
            <w:vAlign w:val="center"/>
            <w:hideMark/>
          </w:tcPr>
          <w:p w14:paraId="38AC7120" w14:textId="77777777" w:rsidR="002F590A" w:rsidRDefault="002F590A">
            <w:pPr>
              <w:jc w:val="center"/>
              <w:rPr>
                <w:sz w:val="12"/>
                <w:szCs w:val="12"/>
              </w:rPr>
            </w:pPr>
            <w:r>
              <w:rPr>
                <w:sz w:val="12"/>
                <w:szCs w:val="12"/>
              </w:rPr>
              <w:t>3.2.16.3</w:t>
            </w:r>
          </w:p>
        </w:tc>
        <w:tc>
          <w:tcPr>
            <w:tcW w:w="262" w:type="pct"/>
            <w:tcBorders>
              <w:top w:val="single" w:sz="4" w:space="0" w:color="auto"/>
              <w:left w:val="single" w:sz="4" w:space="0" w:color="auto"/>
              <w:bottom w:val="single" w:sz="4" w:space="0" w:color="auto"/>
              <w:right w:val="single" w:sz="4" w:space="0" w:color="auto"/>
            </w:tcBorders>
            <w:vAlign w:val="center"/>
            <w:hideMark/>
          </w:tcPr>
          <w:p w14:paraId="4A7CA55A" w14:textId="77777777" w:rsidR="002F590A" w:rsidRDefault="002F590A">
            <w:pPr>
              <w:rPr>
                <w:sz w:val="12"/>
                <w:szCs w:val="12"/>
              </w:rPr>
            </w:pPr>
            <w:r>
              <w:rPr>
                <w:sz w:val="12"/>
                <w:szCs w:val="12"/>
              </w:rPr>
              <w:t>Реконструкция кровли здания котельной</w:t>
            </w:r>
          </w:p>
        </w:tc>
        <w:tc>
          <w:tcPr>
            <w:tcW w:w="351" w:type="pct"/>
            <w:tcBorders>
              <w:top w:val="single" w:sz="4" w:space="0" w:color="auto"/>
              <w:left w:val="single" w:sz="4" w:space="0" w:color="auto"/>
              <w:bottom w:val="single" w:sz="4" w:space="0" w:color="auto"/>
              <w:right w:val="single" w:sz="4" w:space="0" w:color="auto"/>
            </w:tcBorders>
            <w:vAlign w:val="center"/>
            <w:hideMark/>
          </w:tcPr>
          <w:p w14:paraId="2AE04789" w14:textId="77777777" w:rsidR="002F590A" w:rsidRDefault="002F590A">
            <w:pPr>
              <w:jc w:val="center"/>
              <w:rPr>
                <w:sz w:val="12"/>
                <w:szCs w:val="12"/>
              </w:rPr>
            </w:pPr>
            <w:r>
              <w:rPr>
                <w:sz w:val="12"/>
                <w:szCs w:val="12"/>
              </w:rPr>
              <w:t>Повышение надежности (бесперебойности) услуг теплоснабжения, повышение энергетической эффективности</w:t>
            </w:r>
          </w:p>
        </w:tc>
        <w:tc>
          <w:tcPr>
            <w:tcW w:w="259" w:type="pct"/>
            <w:tcBorders>
              <w:top w:val="single" w:sz="4" w:space="0" w:color="auto"/>
              <w:left w:val="single" w:sz="4" w:space="0" w:color="auto"/>
              <w:bottom w:val="single" w:sz="4" w:space="0" w:color="auto"/>
              <w:right w:val="single" w:sz="4" w:space="0" w:color="auto"/>
            </w:tcBorders>
            <w:vAlign w:val="center"/>
          </w:tcPr>
          <w:p w14:paraId="79252470" w14:textId="77777777" w:rsidR="002F590A" w:rsidRDefault="002F590A">
            <w:pPr>
              <w:jc w:val="center"/>
              <w:rPr>
                <w:sz w:val="12"/>
                <w:szCs w:val="12"/>
              </w:rPr>
            </w:pPr>
          </w:p>
        </w:tc>
        <w:tc>
          <w:tcPr>
            <w:tcW w:w="298" w:type="pct"/>
            <w:tcBorders>
              <w:top w:val="single" w:sz="4" w:space="0" w:color="auto"/>
              <w:left w:val="single" w:sz="4" w:space="0" w:color="auto"/>
              <w:bottom w:val="single" w:sz="4" w:space="0" w:color="auto"/>
              <w:right w:val="single" w:sz="4" w:space="0" w:color="auto"/>
            </w:tcBorders>
            <w:vAlign w:val="center"/>
            <w:hideMark/>
          </w:tcPr>
          <w:p w14:paraId="20F3DC71" w14:textId="77777777" w:rsidR="002F590A" w:rsidRDefault="002F590A">
            <w:pPr>
              <w:jc w:val="center"/>
              <w:rPr>
                <w:sz w:val="12"/>
                <w:szCs w:val="12"/>
              </w:rPr>
            </w:pPr>
            <w:r>
              <w:rPr>
                <w:color w:val="000000"/>
                <w:sz w:val="12"/>
                <w:szCs w:val="12"/>
              </w:rPr>
              <w:t>Технические характеристики</w:t>
            </w:r>
          </w:p>
        </w:tc>
        <w:tc>
          <w:tcPr>
            <w:tcW w:w="130" w:type="pct"/>
            <w:tcBorders>
              <w:top w:val="single" w:sz="4" w:space="0" w:color="auto"/>
              <w:left w:val="single" w:sz="4" w:space="0" w:color="auto"/>
              <w:bottom w:val="single" w:sz="4" w:space="0" w:color="auto"/>
              <w:right w:val="single" w:sz="4" w:space="0" w:color="auto"/>
            </w:tcBorders>
            <w:vAlign w:val="center"/>
          </w:tcPr>
          <w:p w14:paraId="465CA95A" w14:textId="77777777" w:rsidR="002F590A" w:rsidRDefault="002F590A">
            <w:pPr>
              <w:jc w:val="center"/>
              <w:rPr>
                <w:sz w:val="12"/>
                <w:szCs w:val="12"/>
              </w:rPr>
            </w:pPr>
          </w:p>
        </w:tc>
        <w:tc>
          <w:tcPr>
            <w:tcW w:w="359" w:type="pct"/>
            <w:tcBorders>
              <w:top w:val="single" w:sz="4" w:space="0" w:color="auto"/>
              <w:left w:val="single" w:sz="4" w:space="0" w:color="auto"/>
              <w:bottom w:val="single" w:sz="4" w:space="0" w:color="auto"/>
              <w:right w:val="single" w:sz="4" w:space="0" w:color="auto"/>
            </w:tcBorders>
            <w:vAlign w:val="center"/>
            <w:hideMark/>
          </w:tcPr>
          <w:p w14:paraId="6BD9B46A" w14:textId="77777777" w:rsidR="002F590A" w:rsidRDefault="002F590A">
            <w:pPr>
              <w:jc w:val="center"/>
              <w:rPr>
                <w:sz w:val="12"/>
                <w:szCs w:val="12"/>
              </w:rPr>
            </w:pPr>
            <w:r>
              <w:rPr>
                <w:sz w:val="12"/>
                <w:szCs w:val="12"/>
              </w:rPr>
              <w:t>Мягкая кровля из рулонных материалов, утепление - шлак</w:t>
            </w:r>
          </w:p>
        </w:tc>
        <w:tc>
          <w:tcPr>
            <w:tcW w:w="349" w:type="pct"/>
            <w:tcBorders>
              <w:top w:val="single" w:sz="4" w:space="0" w:color="auto"/>
              <w:left w:val="single" w:sz="4" w:space="0" w:color="auto"/>
              <w:bottom w:val="single" w:sz="4" w:space="0" w:color="auto"/>
              <w:right w:val="single" w:sz="4" w:space="0" w:color="auto"/>
            </w:tcBorders>
            <w:vAlign w:val="center"/>
            <w:hideMark/>
          </w:tcPr>
          <w:p w14:paraId="19EB34BB" w14:textId="77777777" w:rsidR="002F590A" w:rsidRDefault="002F590A">
            <w:pPr>
              <w:jc w:val="center"/>
              <w:rPr>
                <w:sz w:val="12"/>
                <w:szCs w:val="12"/>
              </w:rPr>
            </w:pPr>
            <w:r>
              <w:rPr>
                <w:sz w:val="12"/>
                <w:szCs w:val="12"/>
              </w:rPr>
              <w:t>Применяемы материалы в соответствии с проектным решением</w:t>
            </w:r>
          </w:p>
        </w:tc>
        <w:tc>
          <w:tcPr>
            <w:tcW w:w="131" w:type="pct"/>
            <w:tcBorders>
              <w:top w:val="single" w:sz="4" w:space="0" w:color="auto"/>
              <w:left w:val="single" w:sz="4" w:space="0" w:color="auto"/>
              <w:bottom w:val="single" w:sz="4" w:space="0" w:color="auto"/>
              <w:right w:val="single" w:sz="4" w:space="0" w:color="auto"/>
            </w:tcBorders>
            <w:vAlign w:val="center"/>
            <w:hideMark/>
          </w:tcPr>
          <w:p w14:paraId="6F52A4E6" w14:textId="77777777" w:rsidR="002F590A" w:rsidRDefault="002F590A">
            <w:pPr>
              <w:jc w:val="center"/>
              <w:rPr>
                <w:color w:val="000000"/>
                <w:sz w:val="12"/>
                <w:szCs w:val="12"/>
              </w:rPr>
            </w:pPr>
            <w:r>
              <w:rPr>
                <w:color w:val="000000"/>
                <w:sz w:val="12"/>
                <w:szCs w:val="12"/>
              </w:rPr>
              <w:t>2022</w:t>
            </w:r>
          </w:p>
        </w:tc>
        <w:tc>
          <w:tcPr>
            <w:tcW w:w="133" w:type="pct"/>
            <w:tcBorders>
              <w:top w:val="single" w:sz="4" w:space="0" w:color="auto"/>
              <w:left w:val="single" w:sz="4" w:space="0" w:color="auto"/>
              <w:bottom w:val="single" w:sz="4" w:space="0" w:color="auto"/>
              <w:right w:val="single" w:sz="4" w:space="0" w:color="auto"/>
            </w:tcBorders>
            <w:vAlign w:val="center"/>
            <w:hideMark/>
          </w:tcPr>
          <w:p w14:paraId="508D09E2" w14:textId="77777777" w:rsidR="002F590A" w:rsidRDefault="002F590A">
            <w:pPr>
              <w:jc w:val="center"/>
              <w:rPr>
                <w:color w:val="000000"/>
                <w:sz w:val="12"/>
                <w:szCs w:val="12"/>
              </w:rPr>
            </w:pPr>
            <w:r>
              <w:rPr>
                <w:color w:val="000000"/>
                <w:sz w:val="12"/>
                <w:szCs w:val="12"/>
              </w:rPr>
              <w:t>2022</w:t>
            </w:r>
          </w:p>
        </w:tc>
        <w:tc>
          <w:tcPr>
            <w:tcW w:w="198" w:type="pct"/>
            <w:tcBorders>
              <w:top w:val="single" w:sz="4" w:space="0" w:color="auto"/>
              <w:left w:val="single" w:sz="4" w:space="0" w:color="auto"/>
              <w:bottom w:val="single" w:sz="4" w:space="0" w:color="auto"/>
              <w:right w:val="single" w:sz="4" w:space="0" w:color="auto"/>
            </w:tcBorders>
            <w:vAlign w:val="center"/>
            <w:hideMark/>
          </w:tcPr>
          <w:p w14:paraId="4DC10688" w14:textId="77777777" w:rsidR="002F590A" w:rsidRDefault="002F590A">
            <w:pPr>
              <w:jc w:val="center"/>
              <w:rPr>
                <w:color w:val="000000"/>
                <w:sz w:val="12"/>
                <w:szCs w:val="12"/>
              </w:rPr>
            </w:pPr>
            <w:r>
              <w:rPr>
                <w:color w:val="000000"/>
                <w:sz w:val="12"/>
                <w:szCs w:val="12"/>
              </w:rPr>
              <w:t>2064,72</w:t>
            </w:r>
          </w:p>
        </w:tc>
        <w:tc>
          <w:tcPr>
            <w:tcW w:w="178" w:type="pct"/>
            <w:tcBorders>
              <w:top w:val="single" w:sz="4" w:space="0" w:color="auto"/>
              <w:left w:val="single" w:sz="4" w:space="0" w:color="auto"/>
              <w:bottom w:val="single" w:sz="4" w:space="0" w:color="auto"/>
              <w:right w:val="single" w:sz="4" w:space="0" w:color="auto"/>
            </w:tcBorders>
            <w:vAlign w:val="center"/>
            <w:hideMark/>
          </w:tcPr>
          <w:p w14:paraId="01246AAC" w14:textId="77777777" w:rsidR="002F590A" w:rsidRDefault="002F590A">
            <w:pPr>
              <w:jc w:val="center"/>
              <w:rPr>
                <w:color w:val="000000"/>
                <w:sz w:val="12"/>
                <w:szCs w:val="12"/>
              </w:rPr>
            </w:pPr>
            <w:r>
              <w:rPr>
                <w:color w:val="000000"/>
                <w:sz w:val="12"/>
                <w:szCs w:val="12"/>
              </w:rPr>
              <w:t>0,00</w:t>
            </w:r>
          </w:p>
        </w:tc>
        <w:tc>
          <w:tcPr>
            <w:tcW w:w="218" w:type="pct"/>
            <w:tcBorders>
              <w:top w:val="single" w:sz="4" w:space="0" w:color="auto"/>
              <w:left w:val="single" w:sz="4" w:space="0" w:color="auto"/>
              <w:bottom w:val="single" w:sz="4" w:space="0" w:color="auto"/>
              <w:right w:val="single" w:sz="4" w:space="0" w:color="auto"/>
            </w:tcBorders>
            <w:vAlign w:val="center"/>
            <w:hideMark/>
          </w:tcPr>
          <w:p w14:paraId="6D1D0519" w14:textId="77777777" w:rsidR="002F590A" w:rsidRDefault="002F590A">
            <w:pPr>
              <w:jc w:val="center"/>
              <w:rPr>
                <w:sz w:val="12"/>
                <w:szCs w:val="12"/>
              </w:rPr>
            </w:pPr>
            <w:r>
              <w:rPr>
                <w:sz w:val="12"/>
                <w:szCs w:val="12"/>
              </w:rPr>
              <w:t>2064,72</w:t>
            </w:r>
          </w:p>
        </w:tc>
        <w:tc>
          <w:tcPr>
            <w:tcW w:w="220" w:type="pct"/>
            <w:tcBorders>
              <w:top w:val="single" w:sz="4" w:space="0" w:color="auto"/>
              <w:left w:val="single" w:sz="4" w:space="0" w:color="auto"/>
              <w:bottom w:val="single" w:sz="4" w:space="0" w:color="auto"/>
              <w:right w:val="single" w:sz="4" w:space="0" w:color="auto"/>
            </w:tcBorders>
            <w:vAlign w:val="center"/>
            <w:hideMark/>
          </w:tcPr>
          <w:p w14:paraId="0D598E44" w14:textId="77777777" w:rsidR="002F590A" w:rsidRDefault="002F590A">
            <w:pPr>
              <w:jc w:val="center"/>
              <w:rPr>
                <w:sz w:val="12"/>
                <w:szCs w:val="12"/>
              </w:rPr>
            </w:pPr>
            <w:r>
              <w:rPr>
                <w:sz w:val="12"/>
                <w:szCs w:val="12"/>
              </w:rPr>
              <w:t>0,00</w:t>
            </w:r>
          </w:p>
        </w:tc>
        <w:tc>
          <w:tcPr>
            <w:tcW w:w="214" w:type="pct"/>
            <w:tcBorders>
              <w:top w:val="single" w:sz="4" w:space="0" w:color="auto"/>
              <w:left w:val="single" w:sz="4" w:space="0" w:color="auto"/>
              <w:bottom w:val="single" w:sz="4" w:space="0" w:color="auto"/>
              <w:right w:val="single" w:sz="4" w:space="0" w:color="auto"/>
            </w:tcBorders>
            <w:vAlign w:val="center"/>
            <w:hideMark/>
          </w:tcPr>
          <w:p w14:paraId="3FB38139" w14:textId="77777777" w:rsidR="002F590A" w:rsidRDefault="002F590A">
            <w:pPr>
              <w:jc w:val="center"/>
              <w:rPr>
                <w:sz w:val="12"/>
                <w:szCs w:val="12"/>
              </w:rPr>
            </w:pPr>
            <w:r>
              <w:rPr>
                <w:sz w:val="12"/>
                <w:szCs w:val="12"/>
              </w:rPr>
              <w:t>0,00</w:t>
            </w:r>
          </w:p>
        </w:tc>
        <w:tc>
          <w:tcPr>
            <w:tcW w:w="179" w:type="pct"/>
            <w:tcBorders>
              <w:top w:val="single" w:sz="4" w:space="0" w:color="auto"/>
              <w:left w:val="single" w:sz="4" w:space="0" w:color="auto"/>
              <w:bottom w:val="single" w:sz="4" w:space="0" w:color="auto"/>
              <w:right w:val="single" w:sz="4" w:space="0" w:color="auto"/>
            </w:tcBorders>
            <w:vAlign w:val="center"/>
            <w:hideMark/>
          </w:tcPr>
          <w:p w14:paraId="64713C39" w14:textId="77777777" w:rsidR="002F590A" w:rsidRDefault="002F590A">
            <w:pPr>
              <w:jc w:val="center"/>
              <w:rPr>
                <w:sz w:val="12"/>
                <w:szCs w:val="12"/>
              </w:rPr>
            </w:pPr>
            <w:r>
              <w:rPr>
                <w:sz w:val="12"/>
                <w:szCs w:val="12"/>
              </w:rPr>
              <w:t>0,00</w:t>
            </w:r>
          </w:p>
        </w:tc>
        <w:tc>
          <w:tcPr>
            <w:tcW w:w="171" w:type="pct"/>
            <w:tcBorders>
              <w:top w:val="single" w:sz="4" w:space="0" w:color="auto"/>
              <w:left w:val="single" w:sz="4" w:space="0" w:color="auto"/>
              <w:bottom w:val="single" w:sz="4" w:space="0" w:color="auto"/>
              <w:right w:val="single" w:sz="4" w:space="0" w:color="auto"/>
            </w:tcBorders>
            <w:vAlign w:val="center"/>
            <w:hideMark/>
          </w:tcPr>
          <w:p w14:paraId="672052B6"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5E12018F" w14:textId="77777777" w:rsidR="002F590A" w:rsidRDefault="002F590A">
            <w:pPr>
              <w:jc w:val="center"/>
              <w:rPr>
                <w:sz w:val="12"/>
                <w:szCs w:val="12"/>
              </w:rPr>
            </w:pPr>
            <w:r>
              <w:rPr>
                <w:sz w:val="12"/>
                <w:szCs w:val="12"/>
              </w:rPr>
              <w:t>0,00</w:t>
            </w:r>
          </w:p>
        </w:tc>
        <w:tc>
          <w:tcPr>
            <w:tcW w:w="177" w:type="pct"/>
            <w:tcBorders>
              <w:top w:val="single" w:sz="4" w:space="0" w:color="auto"/>
              <w:left w:val="single" w:sz="4" w:space="0" w:color="auto"/>
              <w:bottom w:val="single" w:sz="4" w:space="0" w:color="auto"/>
              <w:right w:val="single" w:sz="4" w:space="0" w:color="auto"/>
            </w:tcBorders>
            <w:vAlign w:val="center"/>
            <w:hideMark/>
          </w:tcPr>
          <w:p w14:paraId="73D2A4EF"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730E6ACB" w14:textId="77777777" w:rsidR="002F590A" w:rsidRDefault="002F590A">
            <w:pPr>
              <w:jc w:val="center"/>
              <w:rPr>
                <w:sz w:val="12"/>
                <w:szCs w:val="12"/>
              </w:rPr>
            </w:pPr>
            <w:r>
              <w:rPr>
                <w:sz w:val="12"/>
                <w:szCs w:val="12"/>
              </w:rPr>
              <w:t>0,00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0B23E543" w14:textId="77777777" w:rsidR="002F590A" w:rsidRDefault="002F590A">
            <w:pPr>
              <w:jc w:val="center"/>
              <w:rPr>
                <w:sz w:val="12"/>
                <w:szCs w:val="12"/>
              </w:rPr>
            </w:pPr>
            <w:r>
              <w:rPr>
                <w:sz w:val="12"/>
                <w:szCs w:val="12"/>
              </w:rPr>
              <w:t>0,00</w:t>
            </w:r>
          </w:p>
        </w:tc>
        <w:tc>
          <w:tcPr>
            <w:tcW w:w="177" w:type="pct"/>
            <w:tcBorders>
              <w:top w:val="single" w:sz="4" w:space="0" w:color="auto"/>
              <w:left w:val="single" w:sz="4" w:space="0" w:color="auto"/>
              <w:bottom w:val="single" w:sz="4" w:space="0" w:color="auto"/>
              <w:right w:val="single" w:sz="4" w:space="0" w:color="auto"/>
            </w:tcBorders>
            <w:vAlign w:val="center"/>
            <w:hideMark/>
          </w:tcPr>
          <w:p w14:paraId="7B1EE406" w14:textId="77777777" w:rsidR="002F590A" w:rsidRDefault="002F590A">
            <w:pPr>
              <w:jc w:val="center"/>
              <w:rPr>
                <w:sz w:val="12"/>
                <w:szCs w:val="12"/>
              </w:rPr>
            </w:pPr>
            <w:r>
              <w:rPr>
                <w:sz w:val="12"/>
                <w:szCs w:val="12"/>
              </w:rPr>
              <w:t>0,00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6B1EAC38" w14:textId="77777777" w:rsidR="002F590A" w:rsidRDefault="002F590A">
            <w:pPr>
              <w:jc w:val="center"/>
              <w:rPr>
                <w:color w:val="000000"/>
                <w:sz w:val="12"/>
                <w:szCs w:val="12"/>
              </w:rPr>
            </w:pPr>
            <w:r>
              <w:rPr>
                <w:color w:val="000000"/>
                <w:sz w:val="12"/>
                <w:szCs w:val="12"/>
              </w:rPr>
              <w:t>0,00</w:t>
            </w:r>
          </w:p>
        </w:tc>
        <w:tc>
          <w:tcPr>
            <w:tcW w:w="128" w:type="pct"/>
            <w:tcBorders>
              <w:top w:val="single" w:sz="4" w:space="0" w:color="auto"/>
              <w:left w:val="single" w:sz="4" w:space="0" w:color="auto"/>
              <w:bottom w:val="single" w:sz="4" w:space="0" w:color="auto"/>
              <w:right w:val="single" w:sz="4" w:space="0" w:color="auto"/>
            </w:tcBorders>
            <w:vAlign w:val="center"/>
            <w:hideMark/>
          </w:tcPr>
          <w:p w14:paraId="12C1CBDE" w14:textId="77777777" w:rsidR="002F590A" w:rsidRDefault="002F590A">
            <w:pPr>
              <w:jc w:val="center"/>
              <w:rPr>
                <w:color w:val="000000"/>
                <w:sz w:val="12"/>
                <w:szCs w:val="12"/>
              </w:rPr>
            </w:pPr>
            <w:r>
              <w:rPr>
                <w:color w:val="000000"/>
                <w:sz w:val="12"/>
                <w:szCs w:val="12"/>
              </w:rPr>
              <w:t>0,00</w:t>
            </w:r>
          </w:p>
        </w:tc>
      </w:tr>
      <w:tr w:rsidR="002F590A" w14:paraId="0A226110" w14:textId="77777777" w:rsidTr="002F590A">
        <w:trPr>
          <w:trHeight w:val="47"/>
        </w:trPr>
        <w:tc>
          <w:tcPr>
            <w:tcW w:w="2448" w:type="pct"/>
            <w:gridSpan w:val="10"/>
            <w:tcBorders>
              <w:top w:val="single" w:sz="4" w:space="0" w:color="auto"/>
              <w:left w:val="single" w:sz="4" w:space="0" w:color="auto"/>
              <w:bottom w:val="single" w:sz="4" w:space="0" w:color="auto"/>
              <w:right w:val="single" w:sz="4" w:space="0" w:color="auto"/>
            </w:tcBorders>
            <w:vAlign w:val="center"/>
            <w:hideMark/>
          </w:tcPr>
          <w:p w14:paraId="1361ECD9" w14:textId="77777777" w:rsidR="002F590A" w:rsidRDefault="002F590A">
            <w:pPr>
              <w:rPr>
                <w:sz w:val="13"/>
                <w:szCs w:val="13"/>
              </w:rPr>
            </w:pPr>
            <w:r>
              <w:rPr>
                <w:sz w:val="13"/>
                <w:szCs w:val="13"/>
              </w:rPr>
              <w:t>Всего по группе 3.</w:t>
            </w:r>
          </w:p>
        </w:tc>
        <w:tc>
          <w:tcPr>
            <w:tcW w:w="198" w:type="pct"/>
            <w:tcBorders>
              <w:top w:val="single" w:sz="4" w:space="0" w:color="auto"/>
              <w:left w:val="single" w:sz="4" w:space="0" w:color="auto"/>
              <w:bottom w:val="single" w:sz="4" w:space="0" w:color="auto"/>
              <w:right w:val="single" w:sz="4" w:space="0" w:color="auto"/>
            </w:tcBorders>
            <w:vAlign w:val="center"/>
            <w:hideMark/>
          </w:tcPr>
          <w:p w14:paraId="2EC7F043" w14:textId="77777777" w:rsidR="002F590A" w:rsidRDefault="002F590A">
            <w:pPr>
              <w:jc w:val="center"/>
              <w:rPr>
                <w:sz w:val="12"/>
                <w:szCs w:val="12"/>
              </w:rPr>
            </w:pPr>
            <w:r>
              <w:rPr>
                <w:sz w:val="12"/>
                <w:szCs w:val="12"/>
              </w:rPr>
              <w:t>43 859,65</w:t>
            </w:r>
          </w:p>
        </w:tc>
        <w:tc>
          <w:tcPr>
            <w:tcW w:w="178" w:type="pct"/>
            <w:tcBorders>
              <w:top w:val="single" w:sz="4" w:space="0" w:color="auto"/>
              <w:left w:val="single" w:sz="4" w:space="0" w:color="auto"/>
              <w:bottom w:val="single" w:sz="4" w:space="0" w:color="auto"/>
              <w:right w:val="single" w:sz="4" w:space="0" w:color="auto"/>
            </w:tcBorders>
            <w:vAlign w:val="center"/>
            <w:hideMark/>
          </w:tcPr>
          <w:p w14:paraId="4759135B" w14:textId="77777777" w:rsidR="002F590A" w:rsidRDefault="002F590A">
            <w:pPr>
              <w:jc w:val="center"/>
              <w:rPr>
                <w:sz w:val="12"/>
                <w:szCs w:val="12"/>
              </w:rPr>
            </w:pPr>
            <w:r>
              <w:rPr>
                <w:sz w:val="12"/>
                <w:szCs w:val="12"/>
              </w:rPr>
              <w:t>0,00</w:t>
            </w:r>
          </w:p>
        </w:tc>
        <w:tc>
          <w:tcPr>
            <w:tcW w:w="218" w:type="pct"/>
            <w:tcBorders>
              <w:top w:val="single" w:sz="4" w:space="0" w:color="auto"/>
              <w:left w:val="single" w:sz="4" w:space="0" w:color="auto"/>
              <w:bottom w:val="single" w:sz="4" w:space="0" w:color="auto"/>
              <w:right w:val="single" w:sz="4" w:space="0" w:color="auto"/>
            </w:tcBorders>
            <w:vAlign w:val="center"/>
            <w:hideMark/>
          </w:tcPr>
          <w:p w14:paraId="3F485BCE" w14:textId="77777777" w:rsidR="002F590A" w:rsidRDefault="002F590A">
            <w:pPr>
              <w:jc w:val="center"/>
              <w:rPr>
                <w:sz w:val="12"/>
                <w:szCs w:val="12"/>
              </w:rPr>
            </w:pPr>
            <w:r>
              <w:rPr>
                <w:sz w:val="12"/>
                <w:szCs w:val="12"/>
              </w:rPr>
              <w:t>4 206,63</w:t>
            </w:r>
          </w:p>
        </w:tc>
        <w:tc>
          <w:tcPr>
            <w:tcW w:w="220" w:type="pct"/>
            <w:tcBorders>
              <w:top w:val="single" w:sz="4" w:space="0" w:color="auto"/>
              <w:left w:val="single" w:sz="4" w:space="0" w:color="auto"/>
              <w:bottom w:val="single" w:sz="4" w:space="0" w:color="auto"/>
              <w:right w:val="single" w:sz="4" w:space="0" w:color="auto"/>
            </w:tcBorders>
            <w:vAlign w:val="center"/>
            <w:hideMark/>
          </w:tcPr>
          <w:p w14:paraId="55F6CE31" w14:textId="77777777" w:rsidR="002F590A" w:rsidRDefault="002F590A">
            <w:pPr>
              <w:jc w:val="center"/>
              <w:rPr>
                <w:sz w:val="12"/>
                <w:szCs w:val="12"/>
              </w:rPr>
            </w:pPr>
            <w:r>
              <w:rPr>
                <w:sz w:val="12"/>
                <w:szCs w:val="12"/>
              </w:rPr>
              <w:t>11 398,73</w:t>
            </w:r>
          </w:p>
        </w:tc>
        <w:tc>
          <w:tcPr>
            <w:tcW w:w="214" w:type="pct"/>
            <w:tcBorders>
              <w:top w:val="single" w:sz="4" w:space="0" w:color="auto"/>
              <w:left w:val="single" w:sz="4" w:space="0" w:color="auto"/>
              <w:bottom w:val="single" w:sz="4" w:space="0" w:color="auto"/>
              <w:right w:val="single" w:sz="4" w:space="0" w:color="auto"/>
            </w:tcBorders>
            <w:vAlign w:val="center"/>
            <w:hideMark/>
          </w:tcPr>
          <w:p w14:paraId="78511E44" w14:textId="77777777" w:rsidR="002F590A" w:rsidRDefault="002F590A">
            <w:pPr>
              <w:jc w:val="center"/>
              <w:rPr>
                <w:sz w:val="12"/>
                <w:szCs w:val="12"/>
              </w:rPr>
            </w:pPr>
            <w:r>
              <w:rPr>
                <w:sz w:val="12"/>
                <w:szCs w:val="12"/>
              </w:rPr>
              <w:t>8 324,42</w:t>
            </w:r>
          </w:p>
        </w:tc>
        <w:tc>
          <w:tcPr>
            <w:tcW w:w="179" w:type="pct"/>
            <w:tcBorders>
              <w:top w:val="single" w:sz="4" w:space="0" w:color="auto"/>
              <w:left w:val="single" w:sz="4" w:space="0" w:color="auto"/>
              <w:bottom w:val="single" w:sz="4" w:space="0" w:color="auto"/>
              <w:right w:val="single" w:sz="4" w:space="0" w:color="auto"/>
            </w:tcBorders>
            <w:vAlign w:val="center"/>
            <w:hideMark/>
          </w:tcPr>
          <w:p w14:paraId="5B030931" w14:textId="77777777" w:rsidR="002F590A" w:rsidRDefault="002F590A">
            <w:pPr>
              <w:jc w:val="center"/>
              <w:rPr>
                <w:sz w:val="12"/>
                <w:szCs w:val="12"/>
              </w:rPr>
            </w:pPr>
            <w:r>
              <w:rPr>
                <w:sz w:val="12"/>
                <w:szCs w:val="12"/>
              </w:rPr>
              <w:t>3 848,06</w:t>
            </w:r>
          </w:p>
        </w:tc>
        <w:tc>
          <w:tcPr>
            <w:tcW w:w="171" w:type="pct"/>
            <w:tcBorders>
              <w:top w:val="single" w:sz="4" w:space="0" w:color="auto"/>
              <w:left w:val="single" w:sz="4" w:space="0" w:color="auto"/>
              <w:bottom w:val="single" w:sz="4" w:space="0" w:color="auto"/>
              <w:right w:val="single" w:sz="4" w:space="0" w:color="auto"/>
            </w:tcBorders>
            <w:vAlign w:val="center"/>
            <w:hideMark/>
          </w:tcPr>
          <w:p w14:paraId="1E848B9F" w14:textId="77777777" w:rsidR="002F590A" w:rsidRDefault="002F590A">
            <w:pPr>
              <w:jc w:val="center"/>
              <w:rPr>
                <w:sz w:val="12"/>
                <w:szCs w:val="12"/>
              </w:rPr>
            </w:pPr>
            <w:r>
              <w:rPr>
                <w:sz w:val="12"/>
                <w:szCs w:val="12"/>
              </w:rPr>
              <w:t>3 948,03</w:t>
            </w:r>
          </w:p>
        </w:tc>
        <w:tc>
          <w:tcPr>
            <w:tcW w:w="173" w:type="pct"/>
            <w:tcBorders>
              <w:top w:val="single" w:sz="4" w:space="0" w:color="auto"/>
              <w:left w:val="single" w:sz="4" w:space="0" w:color="auto"/>
              <w:bottom w:val="single" w:sz="4" w:space="0" w:color="auto"/>
              <w:right w:val="single" w:sz="4" w:space="0" w:color="auto"/>
            </w:tcBorders>
            <w:vAlign w:val="center"/>
            <w:hideMark/>
          </w:tcPr>
          <w:p w14:paraId="5DED1F0A" w14:textId="77777777" w:rsidR="002F590A" w:rsidRDefault="002F590A">
            <w:pPr>
              <w:jc w:val="center"/>
              <w:rPr>
                <w:sz w:val="12"/>
                <w:szCs w:val="12"/>
              </w:rPr>
            </w:pPr>
            <w:r>
              <w:rPr>
                <w:sz w:val="12"/>
                <w:szCs w:val="12"/>
              </w:rPr>
              <w:t>5 048,46</w:t>
            </w:r>
          </w:p>
        </w:tc>
        <w:tc>
          <w:tcPr>
            <w:tcW w:w="177" w:type="pct"/>
            <w:tcBorders>
              <w:top w:val="single" w:sz="4" w:space="0" w:color="auto"/>
              <w:left w:val="single" w:sz="4" w:space="0" w:color="auto"/>
              <w:bottom w:val="single" w:sz="4" w:space="0" w:color="auto"/>
              <w:right w:val="single" w:sz="4" w:space="0" w:color="auto"/>
            </w:tcBorders>
            <w:vAlign w:val="center"/>
            <w:hideMark/>
          </w:tcPr>
          <w:p w14:paraId="6CCC9906" w14:textId="77777777" w:rsidR="002F590A" w:rsidRDefault="002F590A">
            <w:pPr>
              <w:jc w:val="center"/>
              <w:rPr>
                <w:sz w:val="12"/>
                <w:szCs w:val="12"/>
              </w:rPr>
            </w:pPr>
            <w:r>
              <w:rPr>
                <w:sz w:val="12"/>
                <w:szCs w:val="12"/>
              </w:rPr>
              <w:t>2 870,77</w:t>
            </w:r>
          </w:p>
        </w:tc>
        <w:tc>
          <w:tcPr>
            <w:tcW w:w="173" w:type="pct"/>
            <w:tcBorders>
              <w:top w:val="single" w:sz="4" w:space="0" w:color="auto"/>
              <w:left w:val="single" w:sz="4" w:space="0" w:color="auto"/>
              <w:bottom w:val="single" w:sz="4" w:space="0" w:color="auto"/>
              <w:right w:val="single" w:sz="4" w:space="0" w:color="auto"/>
            </w:tcBorders>
            <w:vAlign w:val="center"/>
            <w:hideMark/>
          </w:tcPr>
          <w:p w14:paraId="00176595" w14:textId="77777777" w:rsidR="002F590A" w:rsidRDefault="002F590A">
            <w:pPr>
              <w:jc w:val="center"/>
              <w:rPr>
                <w:sz w:val="12"/>
                <w:szCs w:val="12"/>
              </w:rPr>
            </w:pPr>
            <w:r>
              <w:rPr>
                <w:sz w:val="12"/>
                <w:szCs w:val="12"/>
              </w:rPr>
              <w:t>705,95</w:t>
            </w:r>
          </w:p>
        </w:tc>
        <w:tc>
          <w:tcPr>
            <w:tcW w:w="173" w:type="pct"/>
            <w:tcBorders>
              <w:top w:val="single" w:sz="4" w:space="0" w:color="auto"/>
              <w:left w:val="single" w:sz="4" w:space="0" w:color="auto"/>
              <w:bottom w:val="single" w:sz="4" w:space="0" w:color="auto"/>
              <w:right w:val="single" w:sz="4" w:space="0" w:color="auto"/>
            </w:tcBorders>
            <w:vAlign w:val="center"/>
            <w:hideMark/>
          </w:tcPr>
          <w:p w14:paraId="1CA0B5E9" w14:textId="77777777" w:rsidR="002F590A" w:rsidRDefault="002F590A">
            <w:pPr>
              <w:jc w:val="center"/>
              <w:rPr>
                <w:sz w:val="12"/>
                <w:szCs w:val="12"/>
              </w:rPr>
            </w:pPr>
            <w:r>
              <w:rPr>
                <w:sz w:val="12"/>
                <w:szCs w:val="12"/>
              </w:rPr>
              <w:t>2 873,92</w:t>
            </w:r>
          </w:p>
        </w:tc>
        <w:tc>
          <w:tcPr>
            <w:tcW w:w="177" w:type="pct"/>
            <w:tcBorders>
              <w:top w:val="single" w:sz="4" w:space="0" w:color="auto"/>
              <w:left w:val="single" w:sz="4" w:space="0" w:color="auto"/>
              <w:bottom w:val="single" w:sz="4" w:space="0" w:color="auto"/>
              <w:right w:val="single" w:sz="4" w:space="0" w:color="auto"/>
            </w:tcBorders>
            <w:vAlign w:val="center"/>
            <w:hideMark/>
          </w:tcPr>
          <w:p w14:paraId="5C6F68A3" w14:textId="77777777" w:rsidR="002F590A" w:rsidRDefault="002F590A">
            <w:pPr>
              <w:jc w:val="center"/>
              <w:rPr>
                <w:sz w:val="12"/>
                <w:szCs w:val="12"/>
              </w:rPr>
            </w:pPr>
            <w:r>
              <w:rPr>
                <w:sz w:val="12"/>
                <w:szCs w:val="12"/>
              </w:rPr>
              <w:t>634,68</w:t>
            </w:r>
          </w:p>
        </w:tc>
        <w:tc>
          <w:tcPr>
            <w:tcW w:w="174" w:type="pct"/>
            <w:tcBorders>
              <w:top w:val="single" w:sz="4" w:space="0" w:color="auto"/>
              <w:left w:val="single" w:sz="4" w:space="0" w:color="auto"/>
              <w:bottom w:val="single" w:sz="4" w:space="0" w:color="auto"/>
              <w:right w:val="single" w:sz="4" w:space="0" w:color="auto"/>
            </w:tcBorders>
            <w:vAlign w:val="center"/>
            <w:hideMark/>
          </w:tcPr>
          <w:p w14:paraId="390E1726" w14:textId="77777777" w:rsidR="002F590A" w:rsidRDefault="002F590A">
            <w:pPr>
              <w:jc w:val="center"/>
              <w:rPr>
                <w:sz w:val="12"/>
                <w:szCs w:val="12"/>
              </w:rPr>
            </w:pPr>
            <w:r>
              <w:rPr>
                <w:sz w:val="12"/>
                <w:szCs w:val="12"/>
              </w:rPr>
              <w:t>0,00</w:t>
            </w:r>
          </w:p>
        </w:tc>
        <w:tc>
          <w:tcPr>
            <w:tcW w:w="128" w:type="pct"/>
            <w:tcBorders>
              <w:top w:val="single" w:sz="4" w:space="0" w:color="auto"/>
              <w:left w:val="single" w:sz="4" w:space="0" w:color="auto"/>
              <w:bottom w:val="single" w:sz="4" w:space="0" w:color="auto"/>
              <w:right w:val="single" w:sz="4" w:space="0" w:color="auto"/>
            </w:tcBorders>
            <w:vAlign w:val="center"/>
            <w:hideMark/>
          </w:tcPr>
          <w:p w14:paraId="6C9ACFCA" w14:textId="77777777" w:rsidR="002F590A" w:rsidRDefault="002F590A">
            <w:pPr>
              <w:jc w:val="center"/>
              <w:rPr>
                <w:sz w:val="12"/>
                <w:szCs w:val="12"/>
              </w:rPr>
            </w:pPr>
            <w:r>
              <w:rPr>
                <w:sz w:val="12"/>
                <w:szCs w:val="12"/>
              </w:rPr>
              <w:t>0,00</w:t>
            </w:r>
          </w:p>
        </w:tc>
      </w:tr>
      <w:tr w:rsidR="002F590A" w14:paraId="617AF6D9" w14:textId="77777777" w:rsidTr="002F590A">
        <w:trPr>
          <w:trHeight w:val="47"/>
        </w:trPr>
        <w:tc>
          <w:tcPr>
            <w:tcW w:w="5000" w:type="pct"/>
            <w:gridSpan w:val="24"/>
            <w:tcBorders>
              <w:top w:val="single" w:sz="4" w:space="0" w:color="auto"/>
              <w:left w:val="single" w:sz="4" w:space="0" w:color="auto"/>
              <w:bottom w:val="single" w:sz="4" w:space="0" w:color="auto"/>
              <w:right w:val="single" w:sz="4" w:space="0" w:color="auto"/>
            </w:tcBorders>
            <w:hideMark/>
          </w:tcPr>
          <w:p w14:paraId="63F24CD8" w14:textId="77777777" w:rsidR="002F590A" w:rsidRDefault="002F590A">
            <w:pPr>
              <w:rPr>
                <w:sz w:val="13"/>
                <w:szCs w:val="13"/>
              </w:rPr>
            </w:pPr>
            <w:r>
              <w:rPr>
                <w:bCs/>
                <w:sz w:val="13"/>
                <w:szCs w:val="13"/>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2F590A" w14:paraId="17BF767E" w14:textId="77777777" w:rsidTr="002F590A">
        <w:trPr>
          <w:trHeight w:val="47"/>
        </w:trPr>
        <w:tc>
          <w:tcPr>
            <w:tcW w:w="2448" w:type="pct"/>
            <w:gridSpan w:val="10"/>
            <w:tcBorders>
              <w:top w:val="single" w:sz="4" w:space="0" w:color="auto"/>
              <w:left w:val="single" w:sz="4" w:space="0" w:color="auto"/>
              <w:bottom w:val="single" w:sz="4" w:space="0" w:color="auto"/>
              <w:right w:val="single" w:sz="4" w:space="0" w:color="auto"/>
            </w:tcBorders>
            <w:vAlign w:val="center"/>
            <w:hideMark/>
          </w:tcPr>
          <w:p w14:paraId="455CD0C0" w14:textId="77777777" w:rsidR="002F590A" w:rsidRDefault="002F590A">
            <w:pPr>
              <w:rPr>
                <w:sz w:val="13"/>
                <w:szCs w:val="13"/>
              </w:rPr>
            </w:pPr>
            <w:r>
              <w:rPr>
                <w:sz w:val="13"/>
                <w:szCs w:val="13"/>
              </w:rPr>
              <w:t>Всего по группе 4.</w:t>
            </w:r>
          </w:p>
        </w:tc>
        <w:tc>
          <w:tcPr>
            <w:tcW w:w="198" w:type="pct"/>
            <w:tcBorders>
              <w:top w:val="single" w:sz="4" w:space="0" w:color="auto"/>
              <w:left w:val="single" w:sz="4" w:space="0" w:color="auto"/>
              <w:bottom w:val="single" w:sz="4" w:space="0" w:color="auto"/>
              <w:right w:val="single" w:sz="4" w:space="0" w:color="auto"/>
            </w:tcBorders>
            <w:vAlign w:val="center"/>
            <w:hideMark/>
          </w:tcPr>
          <w:p w14:paraId="14C14180" w14:textId="77777777" w:rsidR="002F590A" w:rsidRDefault="002F590A">
            <w:pPr>
              <w:jc w:val="center"/>
              <w:rPr>
                <w:sz w:val="12"/>
                <w:szCs w:val="12"/>
              </w:rPr>
            </w:pPr>
            <w:r>
              <w:rPr>
                <w:sz w:val="12"/>
                <w:szCs w:val="12"/>
              </w:rPr>
              <w:t>0,0</w:t>
            </w:r>
          </w:p>
        </w:tc>
        <w:tc>
          <w:tcPr>
            <w:tcW w:w="178" w:type="pct"/>
            <w:tcBorders>
              <w:top w:val="single" w:sz="4" w:space="0" w:color="auto"/>
              <w:left w:val="single" w:sz="4" w:space="0" w:color="auto"/>
              <w:bottom w:val="single" w:sz="4" w:space="0" w:color="auto"/>
              <w:right w:val="single" w:sz="4" w:space="0" w:color="auto"/>
            </w:tcBorders>
            <w:vAlign w:val="center"/>
            <w:hideMark/>
          </w:tcPr>
          <w:p w14:paraId="54FA869E" w14:textId="77777777" w:rsidR="002F590A" w:rsidRDefault="002F590A">
            <w:pPr>
              <w:jc w:val="center"/>
              <w:rPr>
                <w:sz w:val="12"/>
                <w:szCs w:val="12"/>
              </w:rPr>
            </w:pPr>
            <w:r>
              <w:rPr>
                <w:sz w:val="12"/>
                <w:szCs w:val="12"/>
              </w:rPr>
              <w:t>0,0</w:t>
            </w:r>
          </w:p>
        </w:tc>
        <w:tc>
          <w:tcPr>
            <w:tcW w:w="218" w:type="pct"/>
            <w:tcBorders>
              <w:top w:val="single" w:sz="4" w:space="0" w:color="auto"/>
              <w:left w:val="single" w:sz="4" w:space="0" w:color="auto"/>
              <w:bottom w:val="single" w:sz="4" w:space="0" w:color="auto"/>
              <w:right w:val="single" w:sz="4" w:space="0" w:color="auto"/>
            </w:tcBorders>
            <w:vAlign w:val="center"/>
            <w:hideMark/>
          </w:tcPr>
          <w:p w14:paraId="2A0B414D" w14:textId="77777777" w:rsidR="002F590A" w:rsidRDefault="002F590A">
            <w:pPr>
              <w:jc w:val="center"/>
              <w:rPr>
                <w:sz w:val="12"/>
                <w:szCs w:val="12"/>
              </w:rPr>
            </w:pPr>
            <w:r>
              <w:rPr>
                <w:sz w:val="12"/>
                <w:szCs w:val="12"/>
              </w:rPr>
              <w:t>0,0</w:t>
            </w:r>
          </w:p>
        </w:tc>
        <w:tc>
          <w:tcPr>
            <w:tcW w:w="220" w:type="pct"/>
            <w:tcBorders>
              <w:top w:val="single" w:sz="4" w:space="0" w:color="auto"/>
              <w:left w:val="single" w:sz="4" w:space="0" w:color="auto"/>
              <w:bottom w:val="single" w:sz="4" w:space="0" w:color="auto"/>
              <w:right w:val="single" w:sz="4" w:space="0" w:color="auto"/>
            </w:tcBorders>
            <w:vAlign w:val="center"/>
            <w:hideMark/>
          </w:tcPr>
          <w:p w14:paraId="0CD50204" w14:textId="77777777" w:rsidR="002F590A" w:rsidRDefault="002F590A">
            <w:pPr>
              <w:jc w:val="center"/>
              <w:rPr>
                <w:sz w:val="12"/>
                <w:szCs w:val="12"/>
              </w:rPr>
            </w:pPr>
            <w:r>
              <w:rPr>
                <w:sz w:val="12"/>
                <w:szCs w:val="12"/>
              </w:rPr>
              <w:t>0,0</w:t>
            </w:r>
          </w:p>
        </w:tc>
        <w:tc>
          <w:tcPr>
            <w:tcW w:w="214" w:type="pct"/>
            <w:tcBorders>
              <w:top w:val="single" w:sz="4" w:space="0" w:color="auto"/>
              <w:left w:val="single" w:sz="4" w:space="0" w:color="auto"/>
              <w:bottom w:val="single" w:sz="4" w:space="0" w:color="auto"/>
              <w:right w:val="single" w:sz="4" w:space="0" w:color="auto"/>
            </w:tcBorders>
            <w:vAlign w:val="center"/>
            <w:hideMark/>
          </w:tcPr>
          <w:p w14:paraId="62BAFB2A" w14:textId="77777777" w:rsidR="002F590A" w:rsidRDefault="002F590A">
            <w:pPr>
              <w:jc w:val="center"/>
              <w:rPr>
                <w:sz w:val="12"/>
                <w:szCs w:val="12"/>
              </w:rPr>
            </w:pPr>
            <w:r>
              <w:rPr>
                <w:sz w:val="12"/>
                <w:szCs w:val="12"/>
              </w:rPr>
              <w:t>0,0</w:t>
            </w:r>
          </w:p>
        </w:tc>
        <w:tc>
          <w:tcPr>
            <w:tcW w:w="179" w:type="pct"/>
            <w:tcBorders>
              <w:top w:val="single" w:sz="4" w:space="0" w:color="auto"/>
              <w:left w:val="single" w:sz="4" w:space="0" w:color="auto"/>
              <w:bottom w:val="single" w:sz="4" w:space="0" w:color="auto"/>
              <w:right w:val="single" w:sz="4" w:space="0" w:color="auto"/>
            </w:tcBorders>
            <w:vAlign w:val="center"/>
            <w:hideMark/>
          </w:tcPr>
          <w:p w14:paraId="3A425E70" w14:textId="77777777" w:rsidR="002F590A" w:rsidRDefault="002F590A">
            <w:pPr>
              <w:jc w:val="center"/>
              <w:rPr>
                <w:sz w:val="12"/>
                <w:szCs w:val="12"/>
              </w:rPr>
            </w:pPr>
            <w:r>
              <w:rPr>
                <w:sz w:val="12"/>
                <w:szCs w:val="12"/>
              </w:rPr>
              <w:t>0,0</w:t>
            </w:r>
          </w:p>
        </w:tc>
        <w:tc>
          <w:tcPr>
            <w:tcW w:w="171" w:type="pct"/>
            <w:tcBorders>
              <w:top w:val="single" w:sz="4" w:space="0" w:color="auto"/>
              <w:left w:val="single" w:sz="4" w:space="0" w:color="auto"/>
              <w:bottom w:val="single" w:sz="4" w:space="0" w:color="auto"/>
              <w:right w:val="single" w:sz="4" w:space="0" w:color="auto"/>
            </w:tcBorders>
            <w:vAlign w:val="center"/>
            <w:hideMark/>
          </w:tcPr>
          <w:p w14:paraId="1F2DC2E9" w14:textId="77777777" w:rsidR="002F590A" w:rsidRDefault="002F590A">
            <w:pPr>
              <w:jc w:val="center"/>
              <w:rPr>
                <w:sz w:val="12"/>
                <w:szCs w:val="12"/>
              </w:rPr>
            </w:pPr>
            <w:r>
              <w:rPr>
                <w:sz w:val="12"/>
                <w:szCs w:val="12"/>
              </w:rPr>
              <w:t>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399B1E6A" w14:textId="77777777" w:rsidR="002F590A" w:rsidRDefault="002F590A">
            <w:pPr>
              <w:jc w:val="center"/>
              <w:rPr>
                <w:sz w:val="12"/>
                <w:szCs w:val="12"/>
              </w:rPr>
            </w:pPr>
            <w:r>
              <w:rPr>
                <w:sz w:val="12"/>
                <w:szCs w:val="12"/>
              </w:rPr>
              <w:t>0,0</w:t>
            </w:r>
          </w:p>
        </w:tc>
        <w:tc>
          <w:tcPr>
            <w:tcW w:w="177" w:type="pct"/>
            <w:tcBorders>
              <w:top w:val="single" w:sz="4" w:space="0" w:color="auto"/>
              <w:left w:val="single" w:sz="4" w:space="0" w:color="auto"/>
              <w:bottom w:val="single" w:sz="4" w:space="0" w:color="auto"/>
              <w:right w:val="single" w:sz="4" w:space="0" w:color="auto"/>
            </w:tcBorders>
            <w:vAlign w:val="center"/>
            <w:hideMark/>
          </w:tcPr>
          <w:p w14:paraId="0EEAA413" w14:textId="77777777" w:rsidR="002F590A" w:rsidRDefault="002F590A">
            <w:pPr>
              <w:jc w:val="center"/>
              <w:rPr>
                <w:sz w:val="12"/>
                <w:szCs w:val="12"/>
              </w:rPr>
            </w:pPr>
            <w:r>
              <w:rPr>
                <w:sz w:val="12"/>
                <w:szCs w:val="12"/>
              </w:rPr>
              <w:t>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5AA51F07" w14:textId="77777777" w:rsidR="002F590A" w:rsidRDefault="002F590A">
            <w:pPr>
              <w:jc w:val="center"/>
              <w:rPr>
                <w:sz w:val="12"/>
                <w:szCs w:val="12"/>
              </w:rPr>
            </w:pPr>
            <w:r>
              <w:rPr>
                <w:sz w:val="12"/>
                <w:szCs w:val="12"/>
              </w:rPr>
              <w:t>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0BA43D3E" w14:textId="77777777" w:rsidR="002F590A" w:rsidRDefault="002F590A">
            <w:pPr>
              <w:jc w:val="center"/>
              <w:rPr>
                <w:sz w:val="12"/>
                <w:szCs w:val="12"/>
              </w:rPr>
            </w:pPr>
            <w:r>
              <w:rPr>
                <w:sz w:val="12"/>
                <w:szCs w:val="12"/>
              </w:rPr>
              <w:t>0,0</w:t>
            </w:r>
          </w:p>
        </w:tc>
        <w:tc>
          <w:tcPr>
            <w:tcW w:w="177" w:type="pct"/>
            <w:tcBorders>
              <w:top w:val="single" w:sz="4" w:space="0" w:color="auto"/>
              <w:left w:val="single" w:sz="4" w:space="0" w:color="auto"/>
              <w:bottom w:val="single" w:sz="4" w:space="0" w:color="auto"/>
              <w:right w:val="single" w:sz="4" w:space="0" w:color="auto"/>
            </w:tcBorders>
            <w:vAlign w:val="center"/>
            <w:hideMark/>
          </w:tcPr>
          <w:p w14:paraId="36CE2401" w14:textId="77777777" w:rsidR="002F590A" w:rsidRDefault="002F590A">
            <w:pPr>
              <w:jc w:val="center"/>
              <w:rPr>
                <w:sz w:val="12"/>
                <w:szCs w:val="12"/>
              </w:rPr>
            </w:pPr>
            <w:r>
              <w:rPr>
                <w:sz w:val="12"/>
                <w:szCs w:val="12"/>
              </w:rPr>
              <w:t>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1D4801D9" w14:textId="77777777" w:rsidR="002F590A" w:rsidRDefault="002F590A">
            <w:pPr>
              <w:jc w:val="center"/>
              <w:rPr>
                <w:sz w:val="12"/>
                <w:szCs w:val="12"/>
              </w:rPr>
            </w:pPr>
            <w:r>
              <w:rPr>
                <w:sz w:val="12"/>
                <w:szCs w:val="12"/>
              </w:rPr>
              <w:t>0,0</w:t>
            </w:r>
          </w:p>
        </w:tc>
        <w:tc>
          <w:tcPr>
            <w:tcW w:w="128" w:type="pct"/>
            <w:tcBorders>
              <w:top w:val="single" w:sz="4" w:space="0" w:color="auto"/>
              <w:left w:val="single" w:sz="4" w:space="0" w:color="auto"/>
              <w:bottom w:val="single" w:sz="4" w:space="0" w:color="auto"/>
              <w:right w:val="single" w:sz="4" w:space="0" w:color="auto"/>
            </w:tcBorders>
            <w:vAlign w:val="center"/>
            <w:hideMark/>
          </w:tcPr>
          <w:p w14:paraId="6E7BA03F" w14:textId="77777777" w:rsidR="002F590A" w:rsidRDefault="002F590A">
            <w:pPr>
              <w:jc w:val="center"/>
              <w:rPr>
                <w:sz w:val="12"/>
                <w:szCs w:val="12"/>
              </w:rPr>
            </w:pPr>
            <w:r>
              <w:rPr>
                <w:sz w:val="12"/>
                <w:szCs w:val="12"/>
              </w:rPr>
              <w:t>0,0</w:t>
            </w:r>
          </w:p>
        </w:tc>
      </w:tr>
      <w:tr w:rsidR="002F590A" w14:paraId="30DF9BC0" w14:textId="77777777" w:rsidTr="002F590A">
        <w:trPr>
          <w:trHeight w:val="122"/>
        </w:trPr>
        <w:tc>
          <w:tcPr>
            <w:tcW w:w="5000" w:type="pct"/>
            <w:gridSpan w:val="24"/>
            <w:tcBorders>
              <w:top w:val="single" w:sz="4" w:space="0" w:color="auto"/>
              <w:left w:val="single" w:sz="4" w:space="0" w:color="auto"/>
              <w:bottom w:val="single" w:sz="4" w:space="0" w:color="auto"/>
              <w:right w:val="single" w:sz="4" w:space="0" w:color="auto"/>
            </w:tcBorders>
            <w:hideMark/>
          </w:tcPr>
          <w:p w14:paraId="27317EF1" w14:textId="77777777" w:rsidR="002F590A" w:rsidRDefault="002F590A">
            <w:pPr>
              <w:rPr>
                <w:bCs/>
                <w:sz w:val="13"/>
                <w:szCs w:val="13"/>
              </w:rPr>
            </w:pPr>
            <w:r>
              <w:rPr>
                <w:bCs/>
                <w:sz w:val="13"/>
                <w:szCs w:val="13"/>
              </w:rPr>
              <w:t>Группа 5. Вывод из эксплуатации, консервация и демонтаж объектов системы централизованного теплоснабжения</w:t>
            </w:r>
          </w:p>
        </w:tc>
      </w:tr>
      <w:tr w:rsidR="002F590A" w14:paraId="3C6F5B7B" w14:textId="77777777" w:rsidTr="002F590A">
        <w:trPr>
          <w:trHeight w:val="96"/>
        </w:trPr>
        <w:tc>
          <w:tcPr>
            <w:tcW w:w="5000" w:type="pct"/>
            <w:gridSpan w:val="24"/>
            <w:tcBorders>
              <w:top w:val="single" w:sz="4" w:space="0" w:color="auto"/>
              <w:left w:val="single" w:sz="4" w:space="0" w:color="auto"/>
              <w:bottom w:val="single" w:sz="4" w:space="0" w:color="auto"/>
              <w:right w:val="single" w:sz="4" w:space="0" w:color="auto"/>
            </w:tcBorders>
            <w:hideMark/>
          </w:tcPr>
          <w:p w14:paraId="0D66D112" w14:textId="77777777" w:rsidR="002F590A" w:rsidRDefault="002F590A">
            <w:pPr>
              <w:rPr>
                <w:bCs/>
                <w:sz w:val="13"/>
                <w:szCs w:val="13"/>
              </w:rPr>
            </w:pPr>
            <w:r>
              <w:rPr>
                <w:bCs/>
                <w:sz w:val="13"/>
                <w:szCs w:val="13"/>
              </w:rPr>
              <w:t>5.1. Вывод из эксплуатации, консервация и демонтаж тепловых сетей</w:t>
            </w:r>
          </w:p>
        </w:tc>
      </w:tr>
      <w:tr w:rsidR="002F590A" w14:paraId="2A976CA9" w14:textId="77777777" w:rsidTr="002F590A">
        <w:trPr>
          <w:trHeight w:val="60"/>
        </w:trPr>
        <w:tc>
          <w:tcPr>
            <w:tcW w:w="5000" w:type="pct"/>
            <w:gridSpan w:val="24"/>
            <w:tcBorders>
              <w:top w:val="single" w:sz="4" w:space="0" w:color="auto"/>
              <w:left w:val="single" w:sz="4" w:space="0" w:color="auto"/>
              <w:bottom w:val="single" w:sz="4" w:space="0" w:color="auto"/>
              <w:right w:val="single" w:sz="4" w:space="0" w:color="auto"/>
            </w:tcBorders>
            <w:hideMark/>
          </w:tcPr>
          <w:p w14:paraId="17156384" w14:textId="77777777" w:rsidR="002F590A" w:rsidRDefault="002F590A">
            <w:pPr>
              <w:rPr>
                <w:bCs/>
                <w:sz w:val="13"/>
                <w:szCs w:val="13"/>
              </w:rPr>
            </w:pPr>
            <w:r>
              <w:rPr>
                <w:bCs/>
                <w:sz w:val="13"/>
                <w:szCs w:val="13"/>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2F590A" w14:paraId="614BB21A" w14:textId="77777777" w:rsidTr="002F590A">
        <w:trPr>
          <w:trHeight w:val="47"/>
        </w:trPr>
        <w:tc>
          <w:tcPr>
            <w:tcW w:w="2448" w:type="pct"/>
            <w:gridSpan w:val="10"/>
            <w:tcBorders>
              <w:top w:val="single" w:sz="4" w:space="0" w:color="auto"/>
              <w:left w:val="single" w:sz="4" w:space="0" w:color="auto"/>
              <w:bottom w:val="single" w:sz="4" w:space="0" w:color="auto"/>
              <w:right w:val="single" w:sz="4" w:space="0" w:color="auto"/>
            </w:tcBorders>
            <w:vAlign w:val="center"/>
            <w:hideMark/>
          </w:tcPr>
          <w:p w14:paraId="0E306198" w14:textId="77777777" w:rsidR="002F590A" w:rsidRDefault="002F590A">
            <w:pPr>
              <w:rPr>
                <w:sz w:val="13"/>
                <w:szCs w:val="13"/>
              </w:rPr>
            </w:pPr>
            <w:r>
              <w:rPr>
                <w:sz w:val="13"/>
                <w:szCs w:val="13"/>
              </w:rPr>
              <w:t>Всего по группе 5.</w:t>
            </w:r>
          </w:p>
        </w:tc>
        <w:tc>
          <w:tcPr>
            <w:tcW w:w="198" w:type="pct"/>
            <w:tcBorders>
              <w:top w:val="single" w:sz="4" w:space="0" w:color="auto"/>
              <w:left w:val="single" w:sz="4" w:space="0" w:color="auto"/>
              <w:bottom w:val="single" w:sz="4" w:space="0" w:color="auto"/>
              <w:right w:val="single" w:sz="4" w:space="0" w:color="auto"/>
            </w:tcBorders>
            <w:vAlign w:val="center"/>
            <w:hideMark/>
          </w:tcPr>
          <w:p w14:paraId="711CC1A8" w14:textId="77777777" w:rsidR="002F590A" w:rsidRDefault="002F590A">
            <w:pPr>
              <w:jc w:val="center"/>
              <w:rPr>
                <w:sz w:val="12"/>
                <w:szCs w:val="12"/>
              </w:rPr>
            </w:pPr>
            <w:r>
              <w:rPr>
                <w:sz w:val="12"/>
                <w:szCs w:val="12"/>
              </w:rPr>
              <w:t>0,0</w:t>
            </w:r>
          </w:p>
        </w:tc>
        <w:tc>
          <w:tcPr>
            <w:tcW w:w="178" w:type="pct"/>
            <w:tcBorders>
              <w:top w:val="single" w:sz="4" w:space="0" w:color="auto"/>
              <w:left w:val="single" w:sz="4" w:space="0" w:color="auto"/>
              <w:bottom w:val="single" w:sz="4" w:space="0" w:color="auto"/>
              <w:right w:val="single" w:sz="4" w:space="0" w:color="auto"/>
            </w:tcBorders>
            <w:vAlign w:val="center"/>
            <w:hideMark/>
          </w:tcPr>
          <w:p w14:paraId="773E4822" w14:textId="77777777" w:rsidR="002F590A" w:rsidRDefault="002F590A">
            <w:pPr>
              <w:jc w:val="center"/>
              <w:rPr>
                <w:sz w:val="12"/>
                <w:szCs w:val="12"/>
              </w:rPr>
            </w:pPr>
            <w:r>
              <w:rPr>
                <w:sz w:val="12"/>
                <w:szCs w:val="12"/>
              </w:rPr>
              <w:t>0,0</w:t>
            </w:r>
          </w:p>
        </w:tc>
        <w:tc>
          <w:tcPr>
            <w:tcW w:w="218" w:type="pct"/>
            <w:tcBorders>
              <w:top w:val="single" w:sz="4" w:space="0" w:color="auto"/>
              <w:left w:val="single" w:sz="4" w:space="0" w:color="auto"/>
              <w:bottom w:val="single" w:sz="4" w:space="0" w:color="auto"/>
              <w:right w:val="single" w:sz="4" w:space="0" w:color="auto"/>
            </w:tcBorders>
            <w:vAlign w:val="center"/>
            <w:hideMark/>
          </w:tcPr>
          <w:p w14:paraId="2B62352B" w14:textId="77777777" w:rsidR="002F590A" w:rsidRDefault="002F590A">
            <w:pPr>
              <w:jc w:val="center"/>
              <w:rPr>
                <w:sz w:val="12"/>
                <w:szCs w:val="12"/>
              </w:rPr>
            </w:pPr>
            <w:r>
              <w:rPr>
                <w:sz w:val="12"/>
                <w:szCs w:val="12"/>
              </w:rPr>
              <w:t>0,0</w:t>
            </w:r>
          </w:p>
        </w:tc>
        <w:tc>
          <w:tcPr>
            <w:tcW w:w="220" w:type="pct"/>
            <w:tcBorders>
              <w:top w:val="single" w:sz="4" w:space="0" w:color="auto"/>
              <w:left w:val="single" w:sz="4" w:space="0" w:color="auto"/>
              <w:bottom w:val="single" w:sz="4" w:space="0" w:color="auto"/>
              <w:right w:val="single" w:sz="4" w:space="0" w:color="auto"/>
            </w:tcBorders>
            <w:vAlign w:val="center"/>
            <w:hideMark/>
          </w:tcPr>
          <w:p w14:paraId="719E6CFD" w14:textId="77777777" w:rsidR="002F590A" w:rsidRDefault="002F590A">
            <w:pPr>
              <w:jc w:val="center"/>
              <w:rPr>
                <w:sz w:val="12"/>
                <w:szCs w:val="12"/>
              </w:rPr>
            </w:pPr>
            <w:r>
              <w:rPr>
                <w:sz w:val="12"/>
                <w:szCs w:val="12"/>
              </w:rPr>
              <w:t>0,0</w:t>
            </w:r>
          </w:p>
        </w:tc>
        <w:tc>
          <w:tcPr>
            <w:tcW w:w="214" w:type="pct"/>
            <w:tcBorders>
              <w:top w:val="single" w:sz="4" w:space="0" w:color="auto"/>
              <w:left w:val="single" w:sz="4" w:space="0" w:color="auto"/>
              <w:bottom w:val="single" w:sz="4" w:space="0" w:color="auto"/>
              <w:right w:val="single" w:sz="4" w:space="0" w:color="auto"/>
            </w:tcBorders>
            <w:vAlign w:val="center"/>
            <w:hideMark/>
          </w:tcPr>
          <w:p w14:paraId="65C812DB" w14:textId="77777777" w:rsidR="002F590A" w:rsidRDefault="002F590A">
            <w:pPr>
              <w:jc w:val="center"/>
              <w:rPr>
                <w:sz w:val="12"/>
                <w:szCs w:val="12"/>
              </w:rPr>
            </w:pPr>
            <w:r>
              <w:rPr>
                <w:sz w:val="12"/>
                <w:szCs w:val="12"/>
              </w:rPr>
              <w:t>0,0</w:t>
            </w:r>
          </w:p>
        </w:tc>
        <w:tc>
          <w:tcPr>
            <w:tcW w:w="179" w:type="pct"/>
            <w:tcBorders>
              <w:top w:val="single" w:sz="4" w:space="0" w:color="auto"/>
              <w:left w:val="single" w:sz="4" w:space="0" w:color="auto"/>
              <w:bottom w:val="single" w:sz="4" w:space="0" w:color="auto"/>
              <w:right w:val="single" w:sz="4" w:space="0" w:color="auto"/>
            </w:tcBorders>
            <w:vAlign w:val="center"/>
            <w:hideMark/>
          </w:tcPr>
          <w:p w14:paraId="47883998" w14:textId="77777777" w:rsidR="002F590A" w:rsidRDefault="002F590A">
            <w:pPr>
              <w:jc w:val="center"/>
              <w:rPr>
                <w:sz w:val="12"/>
                <w:szCs w:val="12"/>
              </w:rPr>
            </w:pPr>
            <w:r>
              <w:rPr>
                <w:sz w:val="12"/>
                <w:szCs w:val="12"/>
              </w:rPr>
              <w:t>0,0</w:t>
            </w:r>
          </w:p>
        </w:tc>
        <w:tc>
          <w:tcPr>
            <w:tcW w:w="171" w:type="pct"/>
            <w:tcBorders>
              <w:top w:val="single" w:sz="4" w:space="0" w:color="auto"/>
              <w:left w:val="single" w:sz="4" w:space="0" w:color="auto"/>
              <w:bottom w:val="single" w:sz="4" w:space="0" w:color="auto"/>
              <w:right w:val="single" w:sz="4" w:space="0" w:color="auto"/>
            </w:tcBorders>
            <w:vAlign w:val="center"/>
            <w:hideMark/>
          </w:tcPr>
          <w:p w14:paraId="5016547C" w14:textId="77777777" w:rsidR="002F590A" w:rsidRDefault="002F590A">
            <w:pPr>
              <w:jc w:val="center"/>
              <w:rPr>
                <w:sz w:val="12"/>
                <w:szCs w:val="12"/>
              </w:rPr>
            </w:pPr>
            <w:r>
              <w:rPr>
                <w:sz w:val="12"/>
                <w:szCs w:val="12"/>
              </w:rPr>
              <w:t>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03B3F1D7" w14:textId="77777777" w:rsidR="002F590A" w:rsidRDefault="002F590A">
            <w:pPr>
              <w:jc w:val="center"/>
              <w:rPr>
                <w:sz w:val="12"/>
                <w:szCs w:val="12"/>
              </w:rPr>
            </w:pPr>
            <w:r>
              <w:rPr>
                <w:sz w:val="12"/>
                <w:szCs w:val="12"/>
              </w:rPr>
              <w:t>0,0</w:t>
            </w:r>
          </w:p>
        </w:tc>
        <w:tc>
          <w:tcPr>
            <w:tcW w:w="177" w:type="pct"/>
            <w:tcBorders>
              <w:top w:val="single" w:sz="4" w:space="0" w:color="auto"/>
              <w:left w:val="single" w:sz="4" w:space="0" w:color="auto"/>
              <w:bottom w:val="single" w:sz="4" w:space="0" w:color="auto"/>
              <w:right w:val="single" w:sz="4" w:space="0" w:color="auto"/>
            </w:tcBorders>
            <w:vAlign w:val="center"/>
            <w:hideMark/>
          </w:tcPr>
          <w:p w14:paraId="295181F3" w14:textId="77777777" w:rsidR="002F590A" w:rsidRDefault="002F590A">
            <w:pPr>
              <w:jc w:val="center"/>
              <w:rPr>
                <w:sz w:val="12"/>
                <w:szCs w:val="12"/>
              </w:rPr>
            </w:pPr>
            <w:r>
              <w:rPr>
                <w:sz w:val="12"/>
                <w:szCs w:val="12"/>
              </w:rPr>
              <w:t>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36F30DA3" w14:textId="77777777" w:rsidR="002F590A" w:rsidRDefault="002F590A">
            <w:pPr>
              <w:jc w:val="center"/>
              <w:rPr>
                <w:sz w:val="12"/>
                <w:szCs w:val="12"/>
              </w:rPr>
            </w:pPr>
            <w:r>
              <w:rPr>
                <w:sz w:val="12"/>
                <w:szCs w:val="12"/>
              </w:rPr>
              <w:t>0,0</w:t>
            </w:r>
          </w:p>
        </w:tc>
        <w:tc>
          <w:tcPr>
            <w:tcW w:w="173" w:type="pct"/>
            <w:tcBorders>
              <w:top w:val="single" w:sz="4" w:space="0" w:color="auto"/>
              <w:left w:val="single" w:sz="4" w:space="0" w:color="auto"/>
              <w:bottom w:val="single" w:sz="4" w:space="0" w:color="auto"/>
              <w:right w:val="single" w:sz="4" w:space="0" w:color="auto"/>
            </w:tcBorders>
            <w:vAlign w:val="center"/>
            <w:hideMark/>
          </w:tcPr>
          <w:p w14:paraId="255EEF32" w14:textId="77777777" w:rsidR="002F590A" w:rsidRDefault="002F590A">
            <w:pPr>
              <w:jc w:val="center"/>
              <w:rPr>
                <w:sz w:val="12"/>
                <w:szCs w:val="12"/>
              </w:rPr>
            </w:pPr>
            <w:r>
              <w:rPr>
                <w:sz w:val="12"/>
                <w:szCs w:val="12"/>
              </w:rPr>
              <w:t>0,0</w:t>
            </w:r>
          </w:p>
        </w:tc>
        <w:tc>
          <w:tcPr>
            <w:tcW w:w="177" w:type="pct"/>
            <w:tcBorders>
              <w:top w:val="single" w:sz="4" w:space="0" w:color="auto"/>
              <w:left w:val="single" w:sz="4" w:space="0" w:color="auto"/>
              <w:bottom w:val="single" w:sz="4" w:space="0" w:color="auto"/>
              <w:right w:val="single" w:sz="4" w:space="0" w:color="auto"/>
            </w:tcBorders>
            <w:vAlign w:val="center"/>
            <w:hideMark/>
          </w:tcPr>
          <w:p w14:paraId="460B27DB" w14:textId="77777777" w:rsidR="002F590A" w:rsidRDefault="002F590A">
            <w:pPr>
              <w:jc w:val="center"/>
              <w:rPr>
                <w:sz w:val="12"/>
                <w:szCs w:val="12"/>
              </w:rPr>
            </w:pPr>
            <w:r>
              <w:rPr>
                <w:sz w:val="12"/>
                <w:szCs w:val="12"/>
              </w:rPr>
              <w:t>0,0</w:t>
            </w:r>
          </w:p>
        </w:tc>
        <w:tc>
          <w:tcPr>
            <w:tcW w:w="174" w:type="pct"/>
            <w:tcBorders>
              <w:top w:val="single" w:sz="4" w:space="0" w:color="auto"/>
              <w:left w:val="single" w:sz="4" w:space="0" w:color="auto"/>
              <w:bottom w:val="single" w:sz="4" w:space="0" w:color="auto"/>
              <w:right w:val="single" w:sz="4" w:space="0" w:color="auto"/>
            </w:tcBorders>
            <w:vAlign w:val="center"/>
            <w:hideMark/>
          </w:tcPr>
          <w:p w14:paraId="3504DC78" w14:textId="77777777" w:rsidR="002F590A" w:rsidRDefault="002F590A">
            <w:pPr>
              <w:jc w:val="center"/>
              <w:rPr>
                <w:sz w:val="12"/>
                <w:szCs w:val="12"/>
              </w:rPr>
            </w:pPr>
            <w:r>
              <w:rPr>
                <w:sz w:val="12"/>
                <w:szCs w:val="12"/>
              </w:rPr>
              <w:t>0,0</w:t>
            </w:r>
          </w:p>
        </w:tc>
        <w:tc>
          <w:tcPr>
            <w:tcW w:w="128" w:type="pct"/>
            <w:tcBorders>
              <w:top w:val="single" w:sz="4" w:space="0" w:color="auto"/>
              <w:left w:val="single" w:sz="4" w:space="0" w:color="auto"/>
              <w:bottom w:val="single" w:sz="4" w:space="0" w:color="auto"/>
              <w:right w:val="single" w:sz="4" w:space="0" w:color="auto"/>
            </w:tcBorders>
            <w:vAlign w:val="center"/>
            <w:hideMark/>
          </w:tcPr>
          <w:p w14:paraId="168AAE41" w14:textId="77777777" w:rsidR="002F590A" w:rsidRDefault="002F590A">
            <w:pPr>
              <w:jc w:val="center"/>
              <w:rPr>
                <w:sz w:val="12"/>
                <w:szCs w:val="12"/>
              </w:rPr>
            </w:pPr>
            <w:r>
              <w:rPr>
                <w:sz w:val="12"/>
                <w:szCs w:val="12"/>
              </w:rPr>
              <w:t>0,0</w:t>
            </w:r>
          </w:p>
        </w:tc>
      </w:tr>
      <w:tr w:rsidR="002F590A" w14:paraId="331D5977" w14:textId="77777777" w:rsidTr="002F590A">
        <w:trPr>
          <w:trHeight w:val="47"/>
        </w:trPr>
        <w:tc>
          <w:tcPr>
            <w:tcW w:w="2448" w:type="pct"/>
            <w:gridSpan w:val="10"/>
            <w:tcBorders>
              <w:top w:val="single" w:sz="4" w:space="0" w:color="auto"/>
              <w:left w:val="single" w:sz="4" w:space="0" w:color="auto"/>
              <w:bottom w:val="single" w:sz="4" w:space="0" w:color="auto"/>
              <w:right w:val="single" w:sz="4" w:space="0" w:color="auto"/>
            </w:tcBorders>
            <w:vAlign w:val="center"/>
            <w:hideMark/>
          </w:tcPr>
          <w:p w14:paraId="2FFC7C05" w14:textId="77777777" w:rsidR="002F590A" w:rsidRDefault="002F590A">
            <w:pPr>
              <w:rPr>
                <w:sz w:val="13"/>
                <w:szCs w:val="13"/>
              </w:rPr>
            </w:pPr>
            <w:r>
              <w:rPr>
                <w:sz w:val="13"/>
                <w:szCs w:val="13"/>
              </w:rPr>
              <w:t>ИТОГО по программе</w:t>
            </w:r>
          </w:p>
        </w:tc>
        <w:tc>
          <w:tcPr>
            <w:tcW w:w="198" w:type="pct"/>
            <w:tcBorders>
              <w:top w:val="single" w:sz="4" w:space="0" w:color="auto"/>
              <w:left w:val="single" w:sz="4" w:space="0" w:color="auto"/>
              <w:bottom w:val="single" w:sz="4" w:space="0" w:color="auto"/>
              <w:right w:val="single" w:sz="4" w:space="0" w:color="auto"/>
            </w:tcBorders>
            <w:hideMark/>
          </w:tcPr>
          <w:p w14:paraId="042E86DD" w14:textId="77777777" w:rsidR="002F590A" w:rsidRDefault="002F590A">
            <w:pPr>
              <w:jc w:val="center"/>
              <w:rPr>
                <w:sz w:val="12"/>
                <w:szCs w:val="12"/>
              </w:rPr>
            </w:pPr>
            <w:r>
              <w:rPr>
                <w:sz w:val="12"/>
                <w:szCs w:val="12"/>
              </w:rPr>
              <w:t>43 859,65</w:t>
            </w:r>
          </w:p>
        </w:tc>
        <w:tc>
          <w:tcPr>
            <w:tcW w:w="178" w:type="pct"/>
            <w:tcBorders>
              <w:top w:val="single" w:sz="4" w:space="0" w:color="auto"/>
              <w:left w:val="single" w:sz="4" w:space="0" w:color="auto"/>
              <w:bottom w:val="single" w:sz="4" w:space="0" w:color="auto"/>
              <w:right w:val="single" w:sz="4" w:space="0" w:color="auto"/>
            </w:tcBorders>
            <w:hideMark/>
          </w:tcPr>
          <w:p w14:paraId="07F884DC" w14:textId="77777777" w:rsidR="002F590A" w:rsidRDefault="002F590A">
            <w:pPr>
              <w:jc w:val="center"/>
              <w:rPr>
                <w:sz w:val="12"/>
                <w:szCs w:val="12"/>
              </w:rPr>
            </w:pPr>
            <w:r>
              <w:rPr>
                <w:sz w:val="12"/>
                <w:szCs w:val="12"/>
              </w:rPr>
              <w:t>0,00</w:t>
            </w:r>
          </w:p>
        </w:tc>
        <w:tc>
          <w:tcPr>
            <w:tcW w:w="218" w:type="pct"/>
            <w:tcBorders>
              <w:top w:val="single" w:sz="4" w:space="0" w:color="auto"/>
              <w:left w:val="single" w:sz="4" w:space="0" w:color="auto"/>
              <w:bottom w:val="single" w:sz="4" w:space="0" w:color="auto"/>
              <w:right w:val="single" w:sz="4" w:space="0" w:color="auto"/>
            </w:tcBorders>
            <w:hideMark/>
          </w:tcPr>
          <w:p w14:paraId="640DA4B7" w14:textId="77777777" w:rsidR="002F590A" w:rsidRDefault="002F590A">
            <w:pPr>
              <w:jc w:val="center"/>
              <w:rPr>
                <w:sz w:val="12"/>
                <w:szCs w:val="12"/>
              </w:rPr>
            </w:pPr>
            <w:r>
              <w:rPr>
                <w:sz w:val="12"/>
                <w:szCs w:val="12"/>
              </w:rPr>
              <w:t>4 206,63</w:t>
            </w:r>
          </w:p>
        </w:tc>
        <w:tc>
          <w:tcPr>
            <w:tcW w:w="220" w:type="pct"/>
            <w:tcBorders>
              <w:top w:val="single" w:sz="4" w:space="0" w:color="auto"/>
              <w:left w:val="single" w:sz="4" w:space="0" w:color="auto"/>
              <w:bottom w:val="single" w:sz="4" w:space="0" w:color="auto"/>
              <w:right w:val="single" w:sz="4" w:space="0" w:color="auto"/>
            </w:tcBorders>
            <w:hideMark/>
          </w:tcPr>
          <w:p w14:paraId="7A74F48B" w14:textId="77777777" w:rsidR="002F590A" w:rsidRDefault="002F590A">
            <w:pPr>
              <w:jc w:val="center"/>
              <w:rPr>
                <w:sz w:val="12"/>
                <w:szCs w:val="12"/>
              </w:rPr>
            </w:pPr>
            <w:r>
              <w:rPr>
                <w:sz w:val="12"/>
                <w:szCs w:val="12"/>
              </w:rPr>
              <w:t>11 398,73</w:t>
            </w:r>
          </w:p>
        </w:tc>
        <w:tc>
          <w:tcPr>
            <w:tcW w:w="214" w:type="pct"/>
            <w:tcBorders>
              <w:top w:val="single" w:sz="4" w:space="0" w:color="auto"/>
              <w:left w:val="single" w:sz="4" w:space="0" w:color="auto"/>
              <w:bottom w:val="single" w:sz="4" w:space="0" w:color="auto"/>
              <w:right w:val="single" w:sz="4" w:space="0" w:color="auto"/>
            </w:tcBorders>
            <w:hideMark/>
          </w:tcPr>
          <w:p w14:paraId="73D66032" w14:textId="77777777" w:rsidR="002F590A" w:rsidRDefault="002F590A">
            <w:pPr>
              <w:jc w:val="center"/>
              <w:rPr>
                <w:sz w:val="12"/>
                <w:szCs w:val="12"/>
              </w:rPr>
            </w:pPr>
            <w:r>
              <w:rPr>
                <w:sz w:val="12"/>
                <w:szCs w:val="12"/>
              </w:rPr>
              <w:t>8 324,42</w:t>
            </w:r>
          </w:p>
        </w:tc>
        <w:tc>
          <w:tcPr>
            <w:tcW w:w="179" w:type="pct"/>
            <w:tcBorders>
              <w:top w:val="single" w:sz="4" w:space="0" w:color="auto"/>
              <w:left w:val="single" w:sz="4" w:space="0" w:color="auto"/>
              <w:bottom w:val="single" w:sz="4" w:space="0" w:color="auto"/>
              <w:right w:val="single" w:sz="4" w:space="0" w:color="auto"/>
            </w:tcBorders>
            <w:hideMark/>
          </w:tcPr>
          <w:p w14:paraId="023546FE" w14:textId="77777777" w:rsidR="002F590A" w:rsidRDefault="002F590A">
            <w:pPr>
              <w:jc w:val="center"/>
              <w:rPr>
                <w:sz w:val="12"/>
                <w:szCs w:val="12"/>
              </w:rPr>
            </w:pPr>
            <w:r>
              <w:rPr>
                <w:sz w:val="12"/>
                <w:szCs w:val="12"/>
              </w:rPr>
              <w:t>3 848,06</w:t>
            </w:r>
          </w:p>
        </w:tc>
        <w:tc>
          <w:tcPr>
            <w:tcW w:w="171" w:type="pct"/>
            <w:tcBorders>
              <w:top w:val="single" w:sz="4" w:space="0" w:color="auto"/>
              <w:left w:val="single" w:sz="4" w:space="0" w:color="auto"/>
              <w:bottom w:val="single" w:sz="4" w:space="0" w:color="auto"/>
              <w:right w:val="single" w:sz="4" w:space="0" w:color="auto"/>
            </w:tcBorders>
            <w:hideMark/>
          </w:tcPr>
          <w:p w14:paraId="50F1363F" w14:textId="77777777" w:rsidR="002F590A" w:rsidRDefault="002F590A">
            <w:pPr>
              <w:jc w:val="center"/>
              <w:rPr>
                <w:sz w:val="12"/>
                <w:szCs w:val="12"/>
              </w:rPr>
            </w:pPr>
            <w:r>
              <w:rPr>
                <w:sz w:val="12"/>
                <w:szCs w:val="12"/>
              </w:rPr>
              <w:t>3 948,03</w:t>
            </w:r>
          </w:p>
        </w:tc>
        <w:tc>
          <w:tcPr>
            <w:tcW w:w="173" w:type="pct"/>
            <w:tcBorders>
              <w:top w:val="single" w:sz="4" w:space="0" w:color="auto"/>
              <w:left w:val="single" w:sz="4" w:space="0" w:color="auto"/>
              <w:bottom w:val="single" w:sz="4" w:space="0" w:color="auto"/>
              <w:right w:val="single" w:sz="4" w:space="0" w:color="auto"/>
            </w:tcBorders>
            <w:hideMark/>
          </w:tcPr>
          <w:p w14:paraId="50BADCAA" w14:textId="77777777" w:rsidR="002F590A" w:rsidRDefault="002F590A">
            <w:pPr>
              <w:jc w:val="center"/>
              <w:rPr>
                <w:sz w:val="12"/>
                <w:szCs w:val="12"/>
              </w:rPr>
            </w:pPr>
            <w:r>
              <w:rPr>
                <w:sz w:val="12"/>
                <w:szCs w:val="12"/>
              </w:rPr>
              <w:t>5 048,46</w:t>
            </w:r>
          </w:p>
        </w:tc>
        <w:tc>
          <w:tcPr>
            <w:tcW w:w="177" w:type="pct"/>
            <w:tcBorders>
              <w:top w:val="single" w:sz="4" w:space="0" w:color="auto"/>
              <w:left w:val="single" w:sz="4" w:space="0" w:color="auto"/>
              <w:bottom w:val="single" w:sz="4" w:space="0" w:color="auto"/>
              <w:right w:val="single" w:sz="4" w:space="0" w:color="auto"/>
            </w:tcBorders>
            <w:hideMark/>
          </w:tcPr>
          <w:p w14:paraId="2BB04511" w14:textId="77777777" w:rsidR="002F590A" w:rsidRDefault="002F590A">
            <w:pPr>
              <w:jc w:val="center"/>
              <w:rPr>
                <w:sz w:val="12"/>
                <w:szCs w:val="12"/>
              </w:rPr>
            </w:pPr>
            <w:r>
              <w:rPr>
                <w:sz w:val="12"/>
                <w:szCs w:val="12"/>
              </w:rPr>
              <w:t>2 870,77</w:t>
            </w:r>
          </w:p>
        </w:tc>
        <w:tc>
          <w:tcPr>
            <w:tcW w:w="173" w:type="pct"/>
            <w:tcBorders>
              <w:top w:val="single" w:sz="4" w:space="0" w:color="auto"/>
              <w:left w:val="single" w:sz="4" w:space="0" w:color="auto"/>
              <w:bottom w:val="single" w:sz="4" w:space="0" w:color="auto"/>
              <w:right w:val="single" w:sz="4" w:space="0" w:color="auto"/>
            </w:tcBorders>
            <w:hideMark/>
          </w:tcPr>
          <w:p w14:paraId="245678D1" w14:textId="77777777" w:rsidR="002F590A" w:rsidRDefault="002F590A">
            <w:pPr>
              <w:jc w:val="center"/>
              <w:rPr>
                <w:sz w:val="12"/>
                <w:szCs w:val="12"/>
              </w:rPr>
            </w:pPr>
            <w:r>
              <w:rPr>
                <w:sz w:val="12"/>
                <w:szCs w:val="12"/>
              </w:rPr>
              <w:t>705,95</w:t>
            </w:r>
          </w:p>
        </w:tc>
        <w:tc>
          <w:tcPr>
            <w:tcW w:w="173" w:type="pct"/>
            <w:tcBorders>
              <w:top w:val="single" w:sz="4" w:space="0" w:color="auto"/>
              <w:left w:val="single" w:sz="4" w:space="0" w:color="auto"/>
              <w:bottom w:val="single" w:sz="4" w:space="0" w:color="auto"/>
              <w:right w:val="single" w:sz="4" w:space="0" w:color="auto"/>
            </w:tcBorders>
            <w:hideMark/>
          </w:tcPr>
          <w:p w14:paraId="2465A306" w14:textId="77777777" w:rsidR="002F590A" w:rsidRDefault="002F590A">
            <w:pPr>
              <w:jc w:val="center"/>
              <w:rPr>
                <w:sz w:val="12"/>
                <w:szCs w:val="12"/>
              </w:rPr>
            </w:pPr>
            <w:r>
              <w:rPr>
                <w:sz w:val="12"/>
                <w:szCs w:val="12"/>
              </w:rPr>
              <w:t>2 873,92</w:t>
            </w:r>
          </w:p>
        </w:tc>
        <w:tc>
          <w:tcPr>
            <w:tcW w:w="177" w:type="pct"/>
            <w:tcBorders>
              <w:top w:val="single" w:sz="4" w:space="0" w:color="auto"/>
              <w:left w:val="single" w:sz="4" w:space="0" w:color="auto"/>
              <w:bottom w:val="single" w:sz="4" w:space="0" w:color="auto"/>
              <w:right w:val="single" w:sz="4" w:space="0" w:color="auto"/>
            </w:tcBorders>
            <w:hideMark/>
          </w:tcPr>
          <w:p w14:paraId="6A2BE063" w14:textId="77777777" w:rsidR="002F590A" w:rsidRDefault="002F590A">
            <w:pPr>
              <w:jc w:val="center"/>
              <w:rPr>
                <w:sz w:val="12"/>
                <w:szCs w:val="12"/>
              </w:rPr>
            </w:pPr>
            <w:r>
              <w:rPr>
                <w:sz w:val="12"/>
                <w:szCs w:val="12"/>
              </w:rPr>
              <w:t>634,68</w:t>
            </w:r>
          </w:p>
        </w:tc>
        <w:tc>
          <w:tcPr>
            <w:tcW w:w="174" w:type="pct"/>
            <w:tcBorders>
              <w:top w:val="single" w:sz="4" w:space="0" w:color="auto"/>
              <w:left w:val="single" w:sz="4" w:space="0" w:color="auto"/>
              <w:bottom w:val="single" w:sz="4" w:space="0" w:color="auto"/>
              <w:right w:val="single" w:sz="4" w:space="0" w:color="auto"/>
            </w:tcBorders>
            <w:hideMark/>
          </w:tcPr>
          <w:p w14:paraId="304C338C" w14:textId="77777777" w:rsidR="002F590A" w:rsidRDefault="002F590A">
            <w:pPr>
              <w:jc w:val="center"/>
              <w:rPr>
                <w:sz w:val="12"/>
                <w:szCs w:val="12"/>
              </w:rPr>
            </w:pPr>
            <w:r>
              <w:rPr>
                <w:sz w:val="12"/>
                <w:szCs w:val="12"/>
              </w:rPr>
              <w:t>0,00</w:t>
            </w:r>
          </w:p>
        </w:tc>
        <w:tc>
          <w:tcPr>
            <w:tcW w:w="128" w:type="pct"/>
            <w:tcBorders>
              <w:top w:val="single" w:sz="4" w:space="0" w:color="auto"/>
              <w:left w:val="single" w:sz="4" w:space="0" w:color="auto"/>
              <w:bottom w:val="single" w:sz="4" w:space="0" w:color="auto"/>
              <w:right w:val="single" w:sz="4" w:space="0" w:color="auto"/>
            </w:tcBorders>
            <w:hideMark/>
          </w:tcPr>
          <w:p w14:paraId="766245D1" w14:textId="77777777" w:rsidR="002F590A" w:rsidRDefault="002F590A">
            <w:pPr>
              <w:jc w:val="center"/>
              <w:rPr>
                <w:sz w:val="12"/>
                <w:szCs w:val="12"/>
              </w:rPr>
            </w:pPr>
            <w:r>
              <w:rPr>
                <w:sz w:val="12"/>
                <w:szCs w:val="12"/>
              </w:rPr>
              <w:t>0,00</w:t>
            </w:r>
          </w:p>
        </w:tc>
      </w:tr>
    </w:tbl>
    <w:p w14:paraId="07FDEB7F" w14:textId="77777777" w:rsidR="002F590A" w:rsidRDefault="002F590A" w:rsidP="002F590A">
      <w:pPr>
        <w:rPr>
          <w:sz w:val="20"/>
          <w:szCs w:val="20"/>
        </w:rPr>
      </w:pPr>
    </w:p>
    <w:p w14:paraId="334022A2" w14:textId="77777777" w:rsidR="002F590A" w:rsidRDefault="002F590A" w:rsidP="002F590A">
      <w:pPr>
        <w:rPr>
          <w:sz w:val="20"/>
          <w:szCs w:val="20"/>
        </w:rPr>
      </w:pPr>
    </w:p>
    <w:bookmarkEnd w:id="82"/>
    <w:p w14:paraId="3E7D5CDF" w14:textId="77777777" w:rsidR="002F590A" w:rsidRDefault="002F590A" w:rsidP="002F590A">
      <w:pPr>
        <w:rPr>
          <w:sz w:val="20"/>
          <w:szCs w:val="20"/>
        </w:rPr>
      </w:pPr>
    </w:p>
    <w:p w14:paraId="6A609D71" w14:textId="77777777" w:rsidR="002F590A" w:rsidRDefault="002F590A" w:rsidP="002F590A">
      <w:pPr>
        <w:rPr>
          <w:sz w:val="20"/>
          <w:szCs w:val="20"/>
        </w:rPr>
      </w:pPr>
    </w:p>
    <w:p w14:paraId="1784EE5E" w14:textId="77777777" w:rsidR="002F590A" w:rsidRDefault="002F590A" w:rsidP="002F590A">
      <w:pPr>
        <w:rPr>
          <w:sz w:val="20"/>
          <w:szCs w:val="20"/>
        </w:rPr>
      </w:pPr>
    </w:p>
    <w:p w14:paraId="61B9385B" w14:textId="77777777" w:rsidR="002F590A" w:rsidRDefault="002F590A" w:rsidP="002F590A">
      <w:pPr>
        <w:rPr>
          <w:sz w:val="20"/>
          <w:szCs w:val="20"/>
        </w:rPr>
      </w:pPr>
    </w:p>
    <w:p w14:paraId="19B3DB58" w14:textId="77777777" w:rsidR="002F590A" w:rsidRDefault="002F590A" w:rsidP="002F590A">
      <w:pPr>
        <w:rPr>
          <w:sz w:val="20"/>
          <w:szCs w:val="20"/>
        </w:rPr>
        <w:sectPr w:rsidR="002F590A">
          <w:pgSz w:w="16838" w:h="11906" w:orient="landscape"/>
          <w:pgMar w:top="1082" w:right="1134" w:bottom="142" w:left="1134" w:header="709" w:footer="256" w:gutter="0"/>
          <w:cols w:space="720"/>
        </w:sectPr>
      </w:pPr>
    </w:p>
    <w:p w14:paraId="23F2821B" w14:textId="77777777" w:rsidR="002F590A" w:rsidRDefault="002F590A" w:rsidP="002F590A">
      <w:pPr>
        <w:jc w:val="center"/>
        <w:rPr>
          <w:b/>
          <w:bCs/>
          <w:sz w:val="28"/>
          <w:szCs w:val="28"/>
        </w:rPr>
      </w:pPr>
      <w:r>
        <w:rPr>
          <w:b/>
          <w:bCs/>
          <w:sz w:val="28"/>
          <w:szCs w:val="28"/>
        </w:rPr>
        <w:t xml:space="preserve">Плановые значения показателей, достижение которых предусмотрено в результате реализации мероприятий инвестиционной программы в сфере теплоснабжения </w:t>
      </w:r>
      <w:r>
        <w:rPr>
          <w:b/>
          <w:sz w:val="28"/>
          <w:szCs w:val="28"/>
        </w:rPr>
        <w:t xml:space="preserve">ООО «Новосибирская теплосетевая компания» </w:t>
      </w:r>
      <w:r>
        <w:rPr>
          <w:b/>
          <w:sz w:val="28"/>
          <w:szCs w:val="28"/>
        </w:rPr>
        <w:br/>
        <w:t xml:space="preserve">на потребительском рынке Кемеровского городского округа, Кемеровского муниципального округа, </w:t>
      </w:r>
      <w:r>
        <w:rPr>
          <w:b/>
          <w:sz w:val="28"/>
          <w:szCs w:val="28"/>
        </w:rPr>
        <w:br/>
        <w:t>Топкинского муниципального округа</w:t>
      </w:r>
      <w:r>
        <w:rPr>
          <w:b/>
          <w:color w:val="000000"/>
          <w:sz w:val="28"/>
          <w:szCs w:val="28"/>
        </w:rPr>
        <w:t xml:space="preserve"> </w:t>
      </w:r>
      <w:r>
        <w:rPr>
          <w:b/>
          <w:sz w:val="28"/>
          <w:szCs w:val="28"/>
        </w:rPr>
        <w:t>на 2022</w:t>
      </w:r>
      <w:r>
        <w:rPr>
          <w:b/>
          <w:color w:val="000000"/>
          <w:sz w:val="28"/>
          <w:szCs w:val="28"/>
        </w:rPr>
        <w:t xml:space="preserve"> - 2031 годы</w:t>
      </w:r>
    </w:p>
    <w:p w14:paraId="2976160F" w14:textId="77777777" w:rsidR="002F590A" w:rsidRDefault="002F590A" w:rsidP="002F590A">
      <w:pPr>
        <w:jc w:val="center"/>
        <w:rPr>
          <w:sz w:val="20"/>
          <w:szCs w:val="20"/>
        </w:rPr>
      </w:pPr>
    </w:p>
    <w:tbl>
      <w:tblPr>
        <w:tblW w:w="525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
        <w:gridCol w:w="4359"/>
        <w:gridCol w:w="1129"/>
        <w:gridCol w:w="981"/>
        <w:gridCol w:w="1266"/>
        <w:gridCol w:w="615"/>
        <w:gridCol w:w="731"/>
        <w:gridCol w:w="618"/>
        <w:gridCol w:w="697"/>
        <w:gridCol w:w="737"/>
        <w:gridCol w:w="761"/>
        <w:gridCol w:w="731"/>
        <w:gridCol w:w="731"/>
        <w:gridCol w:w="731"/>
        <w:gridCol w:w="731"/>
      </w:tblGrid>
      <w:tr w:rsidR="002F590A" w14:paraId="60F0EBAF" w14:textId="77777777" w:rsidTr="002F590A">
        <w:trPr>
          <w:trHeight w:val="480"/>
        </w:trPr>
        <w:tc>
          <w:tcPr>
            <w:tcW w:w="154"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2390588" w14:textId="77777777" w:rsidR="002F590A" w:rsidRDefault="002F590A">
            <w:pPr>
              <w:jc w:val="center"/>
              <w:rPr>
                <w:sz w:val="16"/>
                <w:szCs w:val="16"/>
              </w:rPr>
            </w:pPr>
            <w:r>
              <w:rPr>
                <w:sz w:val="16"/>
                <w:szCs w:val="16"/>
              </w:rPr>
              <w:t>№ п/п</w:t>
            </w:r>
          </w:p>
        </w:tc>
        <w:tc>
          <w:tcPr>
            <w:tcW w:w="1426"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0960234" w14:textId="77777777" w:rsidR="002F590A" w:rsidRDefault="002F590A">
            <w:pPr>
              <w:tabs>
                <w:tab w:val="left" w:pos="569"/>
              </w:tabs>
              <w:jc w:val="center"/>
              <w:rPr>
                <w:sz w:val="16"/>
                <w:szCs w:val="16"/>
              </w:rPr>
            </w:pPr>
            <w:r>
              <w:rPr>
                <w:sz w:val="16"/>
                <w:szCs w:val="16"/>
              </w:rPr>
              <w:t>Наименование показателя</w:t>
            </w:r>
          </w:p>
        </w:tc>
        <w:tc>
          <w:tcPr>
            <w:tcW w:w="369"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5DF6FE4" w14:textId="77777777" w:rsidR="002F590A" w:rsidRDefault="002F590A">
            <w:pPr>
              <w:jc w:val="center"/>
              <w:rPr>
                <w:sz w:val="16"/>
                <w:szCs w:val="16"/>
              </w:rPr>
            </w:pPr>
            <w:r>
              <w:rPr>
                <w:sz w:val="16"/>
                <w:szCs w:val="16"/>
              </w:rPr>
              <w:t>Ед. изм.</w:t>
            </w:r>
          </w:p>
        </w:tc>
        <w:tc>
          <w:tcPr>
            <w:tcW w:w="321"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7D43FFE" w14:textId="77777777" w:rsidR="002F590A" w:rsidRDefault="002F590A">
            <w:pPr>
              <w:jc w:val="center"/>
              <w:rPr>
                <w:sz w:val="16"/>
                <w:szCs w:val="16"/>
              </w:rPr>
            </w:pPr>
            <w:r>
              <w:rPr>
                <w:sz w:val="16"/>
                <w:szCs w:val="16"/>
              </w:rPr>
              <w:t>Фактические значения</w:t>
            </w:r>
          </w:p>
        </w:tc>
        <w:tc>
          <w:tcPr>
            <w:tcW w:w="2731" w:type="pct"/>
            <w:gridSpan w:val="11"/>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4A7B5A8" w14:textId="77777777" w:rsidR="002F590A" w:rsidRDefault="002F590A">
            <w:pPr>
              <w:jc w:val="center"/>
              <w:rPr>
                <w:sz w:val="16"/>
                <w:szCs w:val="16"/>
              </w:rPr>
            </w:pPr>
            <w:r>
              <w:rPr>
                <w:sz w:val="16"/>
                <w:szCs w:val="16"/>
              </w:rPr>
              <w:t>Плановые значения</w:t>
            </w:r>
          </w:p>
        </w:tc>
      </w:tr>
      <w:tr w:rsidR="002F590A" w14:paraId="64380518" w14:textId="77777777" w:rsidTr="002F590A">
        <w:trPr>
          <w:trHeight w:val="6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8E89F2" w14:textId="77777777" w:rsidR="002F590A" w:rsidRDefault="002F590A">
            <w:pPr>
              <w:spacing w:line="256" w:lineRule="auto"/>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4EB593" w14:textId="77777777" w:rsidR="002F590A" w:rsidRDefault="002F590A">
            <w:pPr>
              <w:spacing w:line="256" w:lineRule="auto"/>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9885C5" w14:textId="77777777" w:rsidR="002F590A" w:rsidRDefault="002F590A">
            <w:pPr>
              <w:spacing w:line="256" w:lineRule="auto"/>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50A756" w14:textId="77777777" w:rsidR="002F590A" w:rsidRDefault="002F590A">
            <w:pPr>
              <w:spacing w:line="256" w:lineRule="auto"/>
              <w:rPr>
                <w:sz w:val="16"/>
                <w:szCs w:val="16"/>
              </w:rPr>
            </w:pPr>
          </w:p>
        </w:tc>
        <w:tc>
          <w:tcPr>
            <w:tcW w:w="414"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D30871B" w14:textId="77777777" w:rsidR="002F590A" w:rsidRDefault="002F590A">
            <w:pPr>
              <w:jc w:val="center"/>
              <w:rPr>
                <w:sz w:val="16"/>
                <w:szCs w:val="16"/>
              </w:rPr>
            </w:pPr>
            <w:r>
              <w:rPr>
                <w:sz w:val="16"/>
                <w:szCs w:val="16"/>
              </w:rPr>
              <w:t>Утвержденный период</w:t>
            </w:r>
          </w:p>
        </w:tc>
        <w:tc>
          <w:tcPr>
            <w:tcW w:w="2317" w:type="pct"/>
            <w:gridSpan w:val="10"/>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9BBC9C2" w14:textId="77777777" w:rsidR="002F590A" w:rsidRDefault="002F590A">
            <w:pPr>
              <w:jc w:val="center"/>
              <w:rPr>
                <w:sz w:val="16"/>
                <w:szCs w:val="16"/>
              </w:rPr>
            </w:pPr>
            <w:r>
              <w:rPr>
                <w:sz w:val="16"/>
                <w:szCs w:val="16"/>
              </w:rPr>
              <w:t>в т.ч. по годам реализации</w:t>
            </w:r>
          </w:p>
        </w:tc>
      </w:tr>
      <w:tr w:rsidR="002F590A" w14:paraId="2A61EFED" w14:textId="77777777" w:rsidTr="002F590A">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285FF4" w14:textId="77777777" w:rsidR="002F590A" w:rsidRDefault="002F590A">
            <w:pPr>
              <w:spacing w:line="256" w:lineRule="auto"/>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F6059C" w14:textId="77777777" w:rsidR="002F590A" w:rsidRDefault="002F590A">
            <w:pPr>
              <w:spacing w:line="256" w:lineRule="auto"/>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41EFB7" w14:textId="77777777" w:rsidR="002F590A" w:rsidRDefault="002F590A">
            <w:pPr>
              <w:spacing w:line="256" w:lineRule="auto"/>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96023E" w14:textId="77777777" w:rsidR="002F590A" w:rsidRDefault="002F590A">
            <w:pPr>
              <w:spacing w:line="256" w:lineRule="auto"/>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E0D84A" w14:textId="77777777" w:rsidR="002F590A" w:rsidRDefault="002F590A">
            <w:pPr>
              <w:spacing w:line="256" w:lineRule="auto"/>
              <w:rPr>
                <w:sz w:val="16"/>
                <w:szCs w:val="16"/>
              </w:rPr>
            </w:pPr>
          </w:p>
        </w:tc>
        <w:tc>
          <w:tcPr>
            <w:tcW w:w="2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1D691EF" w14:textId="77777777" w:rsidR="002F590A" w:rsidRDefault="002F590A">
            <w:pPr>
              <w:jc w:val="center"/>
              <w:rPr>
                <w:sz w:val="16"/>
                <w:szCs w:val="16"/>
              </w:rPr>
            </w:pPr>
            <w:r>
              <w:rPr>
                <w:sz w:val="16"/>
                <w:szCs w:val="16"/>
              </w:rPr>
              <w:t>2022</w:t>
            </w:r>
          </w:p>
        </w:tc>
        <w:tc>
          <w:tcPr>
            <w:tcW w:w="2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FA94BD3" w14:textId="77777777" w:rsidR="002F590A" w:rsidRDefault="002F590A">
            <w:pPr>
              <w:jc w:val="center"/>
              <w:rPr>
                <w:sz w:val="16"/>
                <w:szCs w:val="16"/>
              </w:rPr>
            </w:pPr>
            <w:r>
              <w:rPr>
                <w:sz w:val="16"/>
                <w:szCs w:val="16"/>
              </w:rPr>
              <w:t>2023</w:t>
            </w:r>
          </w:p>
        </w:tc>
        <w:tc>
          <w:tcPr>
            <w:tcW w:w="20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CCEBADC" w14:textId="77777777" w:rsidR="002F590A" w:rsidRDefault="002F590A">
            <w:pPr>
              <w:jc w:val="center"/>
              <w:rPr>
                <w:sz w:val="16"/>
                <w:szCs w:val="16"/>
              </w:rPr>
            </w:pPr>
            <w:r>
              <w:rPr>
                <w:sz w:val="16"/>
                <w:szCs w:val="16"/>
              </w:rPr>
              <w:t>2024</w:t>
            </w:r>
          </w:p>
        </w:tc>
        <w:tc>
          <w:tcPr>
            <w:tcW w:w="2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1E388A1" w14:textId="77777777" w:rsidR="002F590A" w:rsidRDefault="002F590A">
            <w:pPr>
              <w:jc w:val="center"/>
              <w:rPr>
                <w:sz w:val="16"/>
                <w:szCs w:val="16"/>
              </w:rPr>
            </w:pPr>
            <w:r>
              <w:rPr>
                <w:sz w:val="16"/>
                <w:szCs w:val="16"/>
              </w:rPr>
              <w:t>2025</w:t>
            </w:r>
          </w:p>
        </w:tc>
        <w:tc>
          <w:tcPr>
            <w:tcW w:w="24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0FD41F6" w14:textId="77777777" w:rsidR="002F590A" w:rsidRDefault="002F590A">
            <w:pPr>
              <w:jc w:val="center"/>
              <w:rPr>
                <w:sz w:val="16"/>
                <w:szCs w:val="16"/>
              </w:rPr>
            </w:pPr>
            <w:r>
              <w:rPr>
                <w:sz w:val="16"/>
                <w:szCs w:val="16"/>
              </w:rPr>
              <w:t>2026</w:t>
            </w:r>
          </w:p>
        </w:tc>
        <w:tc>
          <w:tcPr>
            <w:tcW w:w="2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ED83A0D" w14:textId="77777777" w:rsidR="002F590A" w:rsidRDefault="002F590A">
            <w:pPr>
              <w:jc w:val="center"/>
              <w:rPr>
                <w:sz w:val="16"/>
                <w:szCs w:val="16"/>
              </w:rPr>
            </w:pPr>
            <w:r>
              <w:rPr>
                <w:sz w:val="16"/>
                <w:szCs w:val="16"/>
              </w:rPr>
              <w:t>2027</w:t>
            </w:r>
          </w:p>
        </w:tc>
        <w:tc>
          <w:tcPr>
            <w:tcW w:w="2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838140F" w14:textId="77777777" w:rsidR="002F590A" w:rsidRDefault="002F590A">
            <w:pPr>
              <w:jc w:val="center"/>
              <w:rPr>
                <w:sz w:val="16"/>
                <w:szCs w:val="16"/>
              </w:rPr>
            </w:pPr>
            <w:r>
              <w:rPr>
                <w:sz w:val="16"/>
                <w:szCs w:val="16"/>
              </w:rPr>
              <w:t>2028</w:t>
            </w:r>
          </w:p>
        </w:tc>
        <w:tc>
          <w:tcPr>
            <w:tcW w:w="2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A666FB9" w14:textId="77777777" w:rsidR="002F590A" w:rsidRDefault="002F590A">
            <w:pPr>
              <w:jc w:val="center"/>
              <w:rPr>
                <w:sz w:val="16"/>
                <w:szCs w:val="16"/>
              </w:rPr>
            </w:pPr>
            <w:r>
              <w:rPr>
                <w:sz w:val="16"/>
                <w:szCs w:val="16"/>
              </w:rPr>
              <w:t>2029</w:t>
            </w:r>
          </w:p>
        </w:tc>
        <w:tc>
          <w:tcPr>
            <w:tcW w:w="2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6D8D1BE" w14:textId="77777777" w:rsidR="002F590A" w:rsidRDefault="002F590A">
            <w:pPr>
              <w:jc w:val="center"/>
              <w:rPr>
                <w:sz w:val="16"/>
                <w:szCs w:val="16"/>
              </w:rPr>
            </w:pPr>
            <w:r>
              <w:rPr>
                <w:sz w:val="16"/>
                <w:szCs w:val="16"/>
              </w:rPr>
              <w:t>2030</w:t>
            </w:r>
          </w:p>
        </w:tc>
        <w:tc>
          <w:tcPr>
            <w:tcW w:w="2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6F32F14" w14:textId="77777777" w:rsidR="002F590A" w:rsidRDefault="002F590A">
            <w:pPr>
              <w:jc w:val="center"/>
              <w:rPr>
                <w:sz w:val="16"/>
                <w:szCs w:val="16"/>
              </w:rPr>
            </w:pPr>
            <w:r>
              <w:rPr>
                <w:sz w:val="16"/>
                <w:szCs w:val="16"/>
              </w:rPr>
              <w:t>2031</w:t>
            </w:r>
          </w:p>
        </w:tc>
      </w:tr>
      <w:tr w:rsidR="002F590A" w14:paraId="734FF3E3" w14:textId="77777777" w:rsidTr="002F590A">
        <w:trPr>
          <w:trHeight w:val="510"/>
        </w:trPr>
        <w:tc>
          <w:tcPr>
            <w:tcW w:w="15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A3E32E3" w14:textId="77777777" w:rsidR="002F590A" w:rsidRDefault="002F590A">
            <w:pPr>
              <w:jc w:val="center"/>
              <w:rPr>
                <w:sz w:val="16"/>
                <w:szCs w:val="16"/>
              </w:rPr>
            </w:pPr>
            <w:r>
              <w:rPr>
                <w:sz w:val="16"/>
                <w:szCs w:val="16"/>
              </w:rPr>
              <w:t>1.</w:t>
            </w:r>
          </w:p>
        </w:tc>
        <w:tc>
          <w:tcPr>
            <w:tcW w:w="142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F32F580" w14:textId="77777777" w:rsidR="002F590A" w:rsidRDefault="002F590A">
            <w:pPr>
              <w:rPr>
                <w:sz w:val="16"/>
                <w:szCs w:val="16"/>
              </w:rPr>
            </w:pPr>
            <w:r>
              <w:rPr>
                <w:sz w:val="16"/>
                <w:szCs w:val="16"/>
              </w:rPr>
              <w:t>Удельный расход электрической энергии на транспортировку теплоносителя</w:t>
            </w:r>
          </w:p>
        </w:tc>
        <w:tc>
          <w:tcPr>
            <w:tcW w:w="3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100EA78" w14:textId="77777777" w:rsidR="002F590A" w:rsidRDefault="002F590A">
            <w:pPr>
              <w:jc w:val="center"/>
              <w:rPr>
                <w:sz w:val="16"/>
                <w:szCs w:val="16"/>
              </w:rPr>
            </w:pPr>
            <w:r>
              <w:rPr>
                <w:sz w:val="16"/>
                <w:szCs w:val="16"/>
              </w:rPr>
              <w:t>кВтч/м</w:t>
            </w:r>
            <w:r>
              <w:rPr>
                <w:sz w:val="16"/>
                <w:szCs w:val="16"/>
                <w:vertAlign w:val="superscript"/>
              </w:rPr>
              <w:t>3</w:t>
            </w:r>
          </w:p>
        </w:tc>
        <w:tc>
          <w:tcPr>
            <w:tcW w:w="3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B2FD590" w14:textId="77777777" w:rsidR="002F590A" w:rsidRDefault="002F590A">
            <w:pPr>
              <w:jc w:val="center"/>
              <w:rPr>
                <w:sz w:val="16"/>
                <w:szCs w:val="16"/>
              </w:rPr>
            </w:pPr>
            <w:r>
              <w:rPr>
                <w:sz w:val="16"/>
                <w:szCs w:val="16"/>
              </w:rPr>
              <w:t>-</w:t>
            </w:r>
          </w:p>
        </w:tc>
        <w:tc>
          <w:tcPr>
            <w:tcW w:w="41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520B23B" w14:textId="77777777" w:rsidR="002F590A" w:rsidRDefault="002F590A">
            <w:pPr>
              <w:jc w:val="center"/>
              <w:rPr>
                <w:sz w:val="16"/>
                <w:szCs w:val="16"/>
              </w:rPr>
            </w:pPr>
            <w:r>
              <w:rPr>
                <w:sz w:val="16"/>
                <w:szCs w:val="16"/>
              </w:rPr>
              <w:t>-</w:t>
            </w:r>
          </w:p>
        </w:tc>
        <w:tc>
          <w:tcPr>
            <w:tcW w:w="2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2624EC3" w14:textId="77777777" w:rsidR="002F590A" w:rsidRDefault="002F590A">
            <w:pPr>
              <w:jc w:val="center"/>
              <w:rPr>
                <w:sz w:val="16"/>
                <w:szCs w:val="16"/>
              </w:rPr>
            </w:pPr>
            <w:r>
              <w:rPr>
                <w:sz w:val="16"/>
                <w:szCs w:val="16"/>
              </w:rPr>
              <w:t>-</w:t>
            </w:r>
          </w:p>
        </w:tc>
        <w:tc>
          <w:tcPr>
            <w:tcW w:w="2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07453B3" w14:textId="77777777" w:rsidR="002F590A" w:rsidRDefault="002F590A">
            <w:pPr>
              <w:jc w:val="center"/>
              <w:rPr>
                <w:sz w:val="16"/>
                <w:szCs w:val="16"/>
              </w:rPr>
            </w:pPr>
            <w:r>
              <w:rPr>
                <w:sz w:val="16"/>
                <w:szCs w:val="16"/>
              </w:rPr>
              <w:t>-</w:t>
            </w:r>
          </w:p>
        </w:tc>
        <w:tc>
          <w:tcPr>
            <w:tcW w:w="20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9BBD118" w14:textId="77777777" w:rsidR="002F590A" w:rsidRDefault="002F590A">
            <w:pPr>
              <w:jc w:val="center"/>
              <w:rPr>
                <w:sz w:val="16"/>
                <w:szCs w:val="16"/>
              </w:rPr>
            </w:pPr>
            <w:r>
              <w:rPr>
                <w:sz w:val="16"/>
                <w:szCs w:val="16"/>
              </w:rPr>
              <w:t>-</w:t>
            </w:r>
          </w:p>
        </w:tc>
        <w:tc>
          <w:tcPr>
            <w:tcW w:w="2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551621A" w14:textId="77777777" w:rsidR="002F590A" w:rsidRDefault="002F590A">
            <w:pPr>
              <w:jc w:val="center"/>
              <w:rPr>
                <w:sz w:val="16"/>
                <w:szCs w:val="16"/>
              </w:rPr>
            </w:pPr>
            <w:r>
              <w:rPr>
                <w:sz w:val="16"/>
                <w:szCs w:val="16"/>
              </w:rPr>
              <w:t>-</w:t>
            </w:r>
          </w:p>
        </w:tc>
        <w:tc>
          <w:tcPr>
            <w:tcW w:w="24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E2D7E38" w14:textId="77777777" w:rsidR="002F590A" w:rsidRDefault="002F590A">
            <w:pPr>
              <w:jc w:val="center"/>
              <w:rPr>
                <w:sz w:val="16"/>
                <w:szCs w:val="16"/>
              </w:rPr>
            </w:pPr>
            <w:r>
              <w:rPr>
                <w:sz w:val="16"/>
                <w:szCs w:val="16"/>
              </w:rPr>
              <w:t>-</w:t>
            </w:r>
          </w:p>
        </w:tc>
        <w:tc>
          <w:tcPr>
            <w:tcW w:w="2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250376F" w14:textId="77777777" w:rsidR="002F590A" w:rsidRDefault="002F590A">
            <w:pPr>
              <w:jc w:val="center"/>
              <w:rPr>
                <w:sz w:val="16"/>
                <w:szCs w:val="16"/>
              </w:rPr>
            </w:pPr>
            <w:r>
              <w:rPr>
                <w:sz w:val="16"/>
                <w:szCs w:val="16"/>
              </w:rPr>
              <w:t>-</w:t>
            </w:r>
          </w:p>
        </w:tc>
        <w:tc>
          <w:tcPr>
            <w:tcW w:w="2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A6B785D" w14:textId="77777777" w:rsidR="002F590A" w:rsidRDefault="002F590A">
            <w:pPr>
              <w:jc w:val="center"/>
              <w:rPr>
                <w:sz w:val="16"/>
                <w:szCs w:val="16"/>
              </w:rPr>
            </w:pPr>
            <w:r>
              <w:rPr>
                <w:sz w:val="16"/>
                <w:szCs w:val="16"/>
              </w:rPr>
              <w:t>-</w:t>
            </w:r>
          </w:p>
        </w:tc>
        <w:tc>
          <w:tcPr>
            <w:tcW w:w="2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7F555DD" w14:textId="77777777" w:rsidR="002F590A" w:rsidRDefault="002F590A">
            <w:pPr>
              <w:jc w:val="center"/>
              <w:rPr>
                <w:sz w:val="16"/>
                <w:szCs w:val="16"/>
              </w:rPr>
            </w:pPr>
            <w:r>
              <w:rPr>
                <w:sz w:val="16"/>
                <w:szCs w:val="16"/>
              </w:rPr>
              <w:t>-</w:t>
            </w:r>
          </w:p>
        </w:tc>
        <w:tc>
          <w:tcPr>
            <w:tcW w:w="2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9EBBD1A" w14:textId="77777777" w:rsidR="002F590A" w:rsidRDefault="002F590A">
            <w:pPr>
              <w:jc w:val="center"/>
              <w:rPr>
                <w:sz w:val="16"/>
                <w:szCs w:val="16"/>
              </w:rPr>
            </w:pPr>
            <w:r>
              <w:rPr>
                <w:sz w:val="16"/>
                <w:szCs w:val="16"/>
              </w:rPr>
              <w:t>-</w:t>
            </w:r>
          </w:p>
        </w:tc>
        <w:tc>
          <w:tcPr>
            <w:tcW w:w="2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3C262AB" w14:textId="77777777" w:rsidR="002F590A" w:rsidRDefault="002F590A">
            <w:pPr>
              <w:jc w:val="center"/>
              <w:rPr>
                <w:sz w:val="16"/>
                <w:szCs w:val="16"/>
              </w:rPr>
            </w:pPr>
            <w:r>
              <w:rPr>
                <w:sz w:val="16"/>
                <w:szCs w:val="16"/>
              </w:rPr>
              <w:t>-</w:t>
            </w:r>
          </w:p>
        </w:tc>
      </w:tr>
      <w:tr w:rsidR="002F590A" w14:paraId="09079558" w14:textId="77777777" w:rsidTr="002F590A">
        <w:trPr>
          <w:trHeight w:val="510"/>
        </w:trPr>
        <w:tc>
          <w:tcPr>
            <w:tcW w:w="15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D4C4D64" w14:textId="77777777" w:rsidR="002F590A" w:rsidRDefault="002F590A">
            <w:pPr>
              <w:jc w:val="center"/>
              <w:rPr>
                <w:sz w:val="16"/>
                <w:szCs w:val="16"/>
              </w:rPr>
            </w:pPr>
            <w:r>
              <w:rPr>
                <w:sz w:val="16"/>
                <w:szCs w:val="16"/>
              </w:rPr>
              <w:t>2.</w:t>
            </w:r>
          </w:p>
        </w:tc>
        <w:tc>
          <w:tcPr>
            <w:tcW w:w="142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341CDF8" w14:textId="77777777" w:rsidR="002F590A" w:rsidRDefault="002F590A">
            <w:pPr>
              <w:rPr>
                <w:sz w:val="16"/>
                <w:szCs w:val="16"/>
              </w:rPr>
            </w:pPr>
            <w:r>
              <w:rPr>
                <w:sz w:val="16"/>
                <w:szCs w:val="16"/>
              </w:rPr>
              <w:t>Удельный расход условного топлива на выработку единицы тепловой энергии и (или) теплоносителя</w:t>
            </w:r>
          </w:p>
        </w:tc>
        <w:tc>
          <w:tcPr>
            <w:tcW w:w="3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E87785D" w14:textId="77777777" w:rsidR="002F590A" w:rsidRDefault="002F590A">
            <w:pPr>
              <w:jc w:val="center"/>
              <w:rPr>
                <w:sz w:val="16"/>
                <w:szCs w:val="16"/>
              </w:rPr>
            </w:pPr>
            <w:r>
              <w:rPr>
                <w:sz w:val="16"/>
                <w:szCs w:val="16"/>
              </w:rPr>
              <w:t>кг.у.т./Гкал</w:t>
            </w:r>
          </w:p>
        </w:tc>
        <w:tc>
          <w:tcPr>
            <w:tcW w:w="3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E215662" w14:textId="77777777" w:rsidR="002F590A" w:rsidRDefault="002F590A">
            <w:pPr>
              <w:jc w:val="center"/>
              <w:rPr>
                <w:sz w:val="16"/>
                <w:szCs w:val="16"/>
              </w:rPr>
            </w:pPr>
            <w:r>
              <w:rPr>
                <w:sz w:val="16"/>
                <w:szCs w:val="16"/>
              </w:rPr>
              <w:t>-</w:t>
            </w:r>
          </w:p>
        </w:tc>
        <w:tc>
          <w:tcPr>
            <w:tcW w:w="41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FFBDC31" w14:textId="77777777" w:rsidR="002F590A" w:rsidRDefault="002F590A">
            <w:pPr>
              <w:jc w:val="center"/>
              <w:rPr>
                <w:sz w:val="16"/>
                <w:szCs w:val="16"/>
              </w:rPr>
            </w:pPr>
            <w:r>
              <w:rPr>
                <w:sz w:val="16"/>
                <w:szCs w:val="16"/>
              </w:rPr>
              <w:t>-</w:t>
            </w:r>
          </w:p>
        </w:tc>
        <w:tc>
          <w:tcPr>
            <w:tcW w:w="2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C3B47E7" w14:textId="77777777" w:rsidR="002F590A" w:rsidRDefault="002F590A">
            <w:pPr>
              <w:jc w:val="center"/>
              <w:rPr>
                <w:sz w:val="16"/>
                <w:szCs w:val="16"/>
              </w:rPr>
            </w:pPr>
            <w:r>
              <w:rPr>
                <w:sz w:val="16"/>
                <w:szCs w:val="16"/>
              </w:rPr>
              <w:t>-</w:t>
            </w:r>
          </w:p>
        </w:tc>
        <w:tc>
          <w:tcPr>
            <w:tcW w:w="2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9422562" w14:textId="77777777" w:rsidR="002F590A" w:rsidRDefault="002F590A">
            <w:pPr>
              <w:jc w:val="center"/>
              <w:rPr>
                <w:sz w:val="16"/>
                <w:szCs w:val="16"/>
              </w:rPr>
            </w:pPr>
            <w:r>
              <w:rPr>
                <w:sz w:val="16"/>
                <w:szCs w:val="16"/>
              </w:rPr>
              <w:t>-</w:t>
            </w:r>
          </w:p>
        </w:tc>
        <w:tc>
          <w:tcPr>
            <w:tcW w:w="20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9A110D7" w14:textId="77777777" w:rsidR="002F590A" w:rsidRDefault="002F590A">
            <w:pPr>
              <w:jc w:val="center"/>
              <w:rPr>
                <w:sz w:val="16"/>
                <w:szCs w:val="16"/>
              </w:rPr>
            </w:pPr>
            <w:r>
              <w:rPr>
                <w:sz w:val="16"/>
                <w:szCs w:val="16"/>
              </w:rPr>
              <w:t>-</w:t>
            </w:r>
          </w:p>
        </w:tc>
        <w:tc>
          <w:tcPr>
            <w:tcW w:w="2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3100C35" w14:textId="77777777" w:rsidR="002F590A" w:rsidRDefault="002F590A">
            <w:pPr>
              <w:jc w:val="center"/>
              <w:rPr>
                <w:sz w:val="16"/>
                <w:szCs w:val="16"/>
              </w:rPr>
            </w:pPr>
            <w:r>
              <w:rPr>
                <w:sz w:val="16"/>
                <w:szCs w:val="16"/>
              </w:rPr>
              <w:t>-</w:t>
            </w:r>
          </w:p>
        </w:tc>
        <w:tc>
          <w:tcPr>
            <w:tcW w:w="24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9B109BA" w14:textId="77777777" w:rsidR="002F590A" w:rsidRDefault="002F590A">
            <w:pPr>
              <w:jc w:val="center"/>
              <w:rPr>
                <w:sz w:val="16"/>
                <w:szCs w:val="16"/>
              </w:rPr>
            </w:pPr>
            <w:r>
              <w:rPr>
                <w:sz w:val="16"/>
                <w:szCs w:val="16"/>
              </w:rPr>
              <w:t>-</w:t>
            </w:r>
          </w:p>
        </w:tc>
        <w:tc>
          <w:tcPr>
            <w:tcW w:w="2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7CEC816" w14:textId="77777777" w:rsidR="002F590A" w:rsidRDefault="002F590A">
            <w:pPr>
              <w:jc w:val="center"/>
              <w:rPr>
                <w:sz w:val="16"/>
                <w:szCs w:val="16"/>
              </w:rPr>
            </w:pPr>
            <w:r>
              <w:rPr>
                <w:sz w:val="16"/>
                <w:szCs w:val="16"/>
              </w:rPr>
              <w:t>-</w:t>
            </w:r>
          </w:p>
        </w:tc>
        <w:tc>
          <w:tcPr>
            <w:tcW w:w="2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2DED195" w14:textId="77777777" w:rsidR="002F590A" w:rsidRDefault="002F590A">
            <w:pPr>
              <w:jc w:val="center"/>
              <w:rPr>
                <w:sz w:val="16"/>
                <w:szCs w:val="16"/>
              </w:rPr>
            </w:pPr>
            <w:r>
              <w:rPr>
                <w:sz w:val="16"/>
                <w:szCs w:val="16"/>
              </w:rPr>
              <w:t>-</w:t>
            </w:r>
          </w:p>
        </w:tc>
        <w:tc>
          <w:tcPr>
            <w:tcW w:w="2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91AEF96" w14:textId="77777777" w:rsidR="002F590A" w:rsidRDefault="002F590A">
            <w:pPr>
              <w:jc w:val="center"/>
              <w:rPr>
                <w:sz w:val="16"/>
                <w:szCs w:val="16"/>
              </w:rPr>
            </w:pPr>
            <w:r>
              <w:rPr>
                <w:sz w:val="16"/>
                <w:szCs w:val="16"/>
              </w:rPr>
              <w:t>-</w:t>
            </w:r>
          </w:p>
        </w:tc>
        <w:tc>
          <w:tcPr>
            <w:tcW w:w="2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96618A5" w14:textId="77777777" w:rsidR="002F590A" w:rsidRDefault="002F590A">
            <w:pPr>
              <w:jc w:val="center"/>
              <w:rPr>
                <w:sz w:val="16"/>
                <w:szCs w:val="16"/>
              </w:rPr>
            </w:pPr>
            <w:r>
              <w:rPr>
                <w:sz w:val="16"/>
                <w:szCs w:val="16"/>
              </w:rPr>
              <w:t>-</w:t>
            </w:r>
          </w:p>
        </w:tc>
        <w:tc>
          <w:tcPr>
            <w:tcW w:w="2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CCC69E7" w14:textId="77777777" w:rsidR="002F590A" w:rsidRDefault="002F590A">
            <w:pPr>
              <w:jc w:val="center"/>
              <w:rPr>
                <w:sz w:val="16"/>
                <w:szCs w:val="16"/>
              </w:rPr>
            </w:pPr>
            <w:r>
              <w:rPr>
                <w:sz w:val="16"/>
                <w:szCs w:val="16"/>
              </w:rPr>
              <w:t>-</w:t>
            </w:r>
          </w:p>
        </w:tc>
      </w:tr>
      <w:tr w:rsidR="002F590A" w14:paraId="20E41C60" w14:textId="77777777" w:rsidTr="002F590A">
        <w:trPr>
          <w:trHeight w:val="510"/>
        </w:trPr>
        <w:tc>
          <w:tcPr>
            <w:tcW w:w="15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2F8FCF5" w14:textId="77777777" w:rsidR="002F590A" w:rsidRDefault="002F590A">
            <w:pPr>
              <w:jc w:val="center"/>
              <w:rPr>
                <w:sz w:val="16"/>
                <w:szCs w:val="16"/>
              </w:rPr>
            </w:pPr>
            <w:r>
              <w:rPr>
                <w:sz w:val="16"/>
                <w:szCs w:val="16"/>
              </w:rPr>
              <w:t>3.</w:t>
            </w:r>
          </w:p>
        </w:tc>
        <w:tc>
          <w:tcPr>
            <w:tcW w:w="142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50CE805" w14:textId="77777777" w:rsidR="002F590A" w:rsidRDefault="002F590A">
            <w:pPr>
              <w:rPr>
                <w:sz w:val="16"/>
                <w:szCs w:val="16"/>
              </w:rPr>
            </w:pPr>
            <w:r>
              <w:rPr>
                <w:sz w:val="16"/>
                <w:szCs w:val="16"/>
              </w:rPr>
              <w:t>Объем присоединенной тепловой нагрузки новых потребителей</w:t>
            </w:r>
          </w:p>
        </w:tc>
        <w:tc>
          <w:tcPr>
            <w:tcW w:w="3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B2DD750" w14:textId="77777777" w:rsidR="002F590A" w:rsidRDefault="002F590A">
            <w:pPr>
              <w:jc w:val="center"/>
              <w:rPr>
                <w:sz w:val="16"/>
                <w:szCs w:val="16"/>
              </w:rPr>
            </w:pPr>
            <w:r>
              <w:rPr>
                <w:sz w:val="16"/>
                <w:szCs w:val="16"/>
              </w:rPr>
              <w:t>Гкал/ч</w:t>
            </w:r>
          </w:p>
        </w:tc>
        <w:tc>
          <w:tcPr>
            <w:tcW w:w="3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8AA248E" w14:textId="77777777" w:rsidR="002F590A" w:rsidRDefault="002F590A">
            <w:pPr>
              <w:jc w:val="center"/>
              <w:rPr>
                <w:sz w:val="16"/>
                <w:szCs w:val="16"/>
              </w:rPr>
            </w:pPr>
            <w:r>
              <w:rPr>
                <w:sz w:val="16"/>
                <w:szCs w:val="16"/>
              </w:rPr>
              <w:t>-</w:t>
            </w:r>
          </w:p>
        </w:tc>
        <w:tc>
          <w:tcPr>
            <w:tcW w:w="41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249253E" w14:textId="77777777" w:rsidR="002F590A" w:rsidRDefault="002F590A">
            <w:pPr>
              <w:jc w:val="center"/>
              <w:rPr>
                <w:sz w:val="16"/>
                <w:szCs w:val="16"/>
              </w:rPr>
            </w:pPr>
            <w:r>
              <w:rPr>
                <w:sz w:val="16"/>
                <w:szCs w:val="16"/>
              </w:rPr>
              <w:t>-</w:t>
            </w:r>
          </w:p>
        </w:tc>
        <w:tc>
          <w:tcPr>
            <w:tcW w:w="2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B268434" w14:textId="77777777" w:rsidR="002F590A" w:rsidRDefault="002F590A">
            <w:pPr>
              <w:jc w:val="center"/>
              <w:rPr>
                <w:sz w:val="16"/>
                <w:szCs w:val="16"/>
              </w:rPr>
            </w:pPr>
            <w:r>
              <w:rPr>
                <w:sz w:val="16"/>
                <w:szCs w:val="16"/>
              </w:rPr>
              <w:t>-</w:t>
            </w:r>
          </w:p>
        </w:tc>
        <w:tc>
          <w:tcPr>
            <w:tcW w:w="2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FAAA013" w14:textId="77777777" w:rsidR="002F590A" w:rsidRDefault="002F590A">
            <w:pPr>
              <w:jc w:val="center"/>
              <w:rPr>
                <w:sz w:val="16"/>
                <w:szCs w:val="16"/>
              </w:rPr>
            </w:pPr>
            <w:r>
              <w:rPr>
                <w:sz w:val="16"/>
                <w:szCs w:val="16"/>
              </w:rPr>
              <w:t>-</w:t>
            </w:r>
          </w:p>
        </w:tc>
        <w:tc>
          <w:tcPr>
            <w:tcW w:w="20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FCBC302" w14:textId="77777777" w:rsidR="002F590A" w:rsidRDefault="002F590A">
            <w:pPr>
              <w:jc w:val="center"/>
              <w:rPr>
                <w:sz w:val="16"/>
                <w:szCs w:val="16"/>
              </w:rPr>
            </w:pPr>
            <w:r>
              <w:rPr>
                <w:sz w:val="16"/>
                <w:szCs w:val="16"/>
              </w:rPr>
              <w:t>-</w:t>
            </w:r>
          </w:p>
        </w:tc>
        <w:tc>
          <w:tcPr>
            <w:tcW w:w="2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704EFDB" w14:textId="77777777" w:rsidR="002F590A" w:rsidRDefault="002F590A">
            <w:pPr>
              <w:jc w:val="center"/>
              <w:rPr>
                <w:sz w:val="16"/>
                <w:szCs w:val="16"/>
              </w:rPr>
            </w:pPr>
            <w:r>
              <w:rPr>
                <w:sz w:val="16"/>
                <w:szCs w:val="16"/>
              </w:rPr>
              <w:t>-</w:t>
            </w:r>
          </w:p>
        </w:tc>
        <w:tc>
          <w:tcPr>
            <w:tcW w:w="24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3726D04" w14:textId="77777777" w:rsidR="002F590A" w:rsidRDefault="002F590A">
            <w:pPr>
              <w:jc w:val="center"/>
              <w:rPr>
                <w:sz w:val="16"/>
                <w:szCs w:val="16"/>
              </w:rPr>
            </w:pPr>
            <w:r>
              <w:rPr>
                <w:sz w:val="16"/>
                <w:szCs w:val="16"/>
              </w:rPr>
              <w:t>-</w:t>
            </w:r>
          </w:p>
        </w:tc>
        <w:tc>
          <w:tcPr>
            <w:tcW w:w="2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7CCFEBB" w14:textId="77777777" w:rsidR="002F590A" w:rsidRDefault="002F590A">
            <w:pPr>
              <w:jc w:val="center"/>
              <w:rPr>
                <w:sz w:val="16"/>
                <w:szCs w:val="16"/>
              </w:rPr>
            </w:pPr>
            <w:r>
              <w:rPr>
                <w:sz w:val="16"/>
                <w:szCs w:val="16"/>
              </w:rPr>
              <w:t>-</w:t>
            </w:r>
          </w:p>
        </w:tc>
        <w:tc>
          <w:tcPr>
            <w:tcW w:w="2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E552254" w14:textId="77777777" w:rsidR="002F590A" w:rsidRDefault="002F590A">
            <w:pPr>
              <w:jc w:val="center"/>
              <w:rPr>
                <w:sz w:val="16"/>
                <w:szCs w:val="16"/>
              </w:rPr>
            </w:pPr>
            <w:r>
              <w:rPr>
                <w:sz w:val="16"/>
                <w:szCs w:val="16"/>
              </w:rPr>
              <w:t>-</w:t>
            </w:r>
          </w:p>
        </w:tc>
        <w:tc>
          <w:tcPr>
            <w:tcW w:w="2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312B48D" w14:textId="77777777" w:rsidR="002F590A" w:rsidRDefault="002F590A">
            <w:pPr>
              <w:jc w:val="center"/>
              <w:rPr>
                <w:sz w:val="16"/>
                <w:szCs w:val="16"/>
              </w:rPr>
            </w:pPr>
            <w:r>
              <w:rPr>
                <w:sz w:val="16"/>
                <w:szCs w:val="16"/>
              </w:rPr>
              <w:t>-</w:t>
            </w:r>
          </w:p>
        </w:tc>
        <w:tc>
          <w:tcPr>
            <w:tcW w:w="2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FA55C5D" w14:textId="77777777" w:rsidR="002F590A" w:rsidRDefault="002F590A">
            <w:pPr>
              <w:jc w:val="center"/>
              <w:rPr>
                <w:sz w:val="16"/>
                <w:szCs w:val="16"/>
              </w:rPr>
            </w:pPr>
            <w:r>
              <w:rPr>
                <w:sz w:val="16"/>
                <w:szCs w:val="16"/>
              </w:rPr>
              <w:t>-</w:t>
            </w:r>
          </w:p>
        </w:tc>
        <w:tc>
          <w:tcPr>
            <w:tcW w:w="2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5D53F24" w14:textId="77777777" w:rsidR="002F590A" w:rsidRDefault="002F590A">
            <w:pPr>
              <w:jc w:val="center"/>
              <w:rPr>
                <w:sz w:val="16"/>
                <w:szCs w:val="16"/>
              </w:rPr>
            </w:pPr>
            <w:r>
              <w:rPr>
                <w:sz w:val="16"/>
                <w:szCs w:val="16"/>
              </w:rPr>
              <w:t>-</w:t>
            </w:r>
          </w:p>
        </w:tc>
      </w:tr>
      <w:tr w:rsidR="002F590A" w14:paraId="086ABCBD" w14:textId="77777777" w:rsidTr="002F590A">
        <w:trPr>
          <w:trHeight w:val="420"/>
        </w:trPr>
        <w:tc>
          <w:tcPr>
            <w:tcW w:w="15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A214F9C" w14:textId="77777777" w:rsidR="002F590A" w:rsidRDefault="002F590A">
            <w:pPr>
              <w:jc w:val="center"/>
              <w:rPr>
                <w:sz w:val="16"/>
                <w:szCs w:val="16"/>
              </w:rPr>
            </w:pPr>
            <w:r>
              <w:rPr>
                <w:sz w:val="16"/>
                <w:szCs w:val="16"/>
              </w:rPr>
              <w:t>4.</w:t>
            </w:r>
          </w:p>
        </w:tc>
        <w:tc>
          <w:tcPr>
            <w:tcW w:w="142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AF8117B" w14:textId="77777777" w:rsidR="002F590A" w:rsidRDefault="002F590A">
            <w:pPr>
              <w:rPr>
                <w:sz w:val="16"/>
                <w:szCs w:val="16"/>
              </w:rPr>
            </w:pPr>
            <w:r>
              <w:rPr>
                <w:sz w:val="16"/>
                <w:szCs w:val="16"/>
              </w:rPr>
              <w:t>Износ объектов системы теплоснабжения, существующих на начало реализации Инвестиционной программы</w:t>
            </w:r>
          </w:p>
        </w:tc>
        <w:tc>
          <w:tcPr>
            <w:tcW w:w="3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9C34E30" w14:textId="77777777" w:rsidR="002F590A" w:rsidRDefault="002F590A">
            <w:pPr>
              <w:jc w:val="center"/>
              <w:rPr>
                <w:sz w:val="16"/>
                <w:szCs w:val="16"/>
              </w:rPr>
            </w:pPr>
            <w:r>
              <w:rPr>
                <w:sz w:val="16"/>
                <w:szCs w:val="16"/>
              </w:rPr>
              <w:t>%</w:t>
            </w:r>
          </w:p>
        </w:tc>
        <w:tc>
          <w:tcPr>
            <w:tcW w:w="3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49B4B40" w14:textId="77777777" w:rsidR="002F590A" w:rsidRDefault="002F590A">
            <w:pPr>
              <w:jc w:val="center"/>
              <w:rPr>
                <w:sz w:val="16"/>
                <w:szCs w:val="16"/>
              </w:rPr>
            </w:pPr>
            <w:r>
              <w:rPr>
                <w:sz w:val="16"/>
                <w:szCs w:val="16"/>
              </w:rPr>
              <w:t>-</w:t>
            </w:r>
          </w:p>
        </w:tc>
        <w:tc>
          <w:tcPr>
            <w:tcW w:w="41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4A2987D" w14:textId="77777777" w:rsidR="002F590A" w:rsidRDefault="002F590A">
            <w:pPr>
              <w:jc w:val="center"/>
              <w:rPr>
                <w:sz w:val="16"/>
                <w:szCs w:val="16"/>
              </w:rPr>
            </w:pPr>
            <w:r>
              <w:rPr>
                <w:sz w:val="16"/>
                <w:szCs w:val="16"/>
              </w:rPr>
              <w:t>-</w:t>
            </w:r>
          </w:p>
        </w:tc>
        <w:tc>
          <w:tcPr>
            <w:tcW w:w="2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CC0BCC5" w14:textId="77777777" w:rsidR="002F590A" w:rsidRDefault="002F590A">
            <w:pPr>
              <w:jc w:val="center"/>
              <w:rPr>
                <w:sz w:val="16"/>
                <w:szCs w:val="16"/>
              </w:rPr>
            </w:pPr>
            <w:r>
              <w:rPr>
                <w:sz w:val="16"/>
                <w:szCs w:val="16"/>
              </w:rPr>
              <w:t>-</w:t>
            </w:r>
          </w:p>
        </w:tc>
        <w:tc>
          <w:tcPr>
            <w:tcW w:w="2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9167E5F" w14:textId="77777777" w:rsidR="002F590A" w:rsidRDefault="002F590A">
            <w:pPr>
              <w:jc w:val="center"/>
              <w:rPr>
                <w:sz w:val="16"/>
                <w:szCs w:val="16"/>
              </w:rPr>
            </w:pPr>
            <w:r>
              <w:rPr>
                <w:sz w:val="16"/>
                <w:szCs w:val="16"/>
              </w:rPr>
              <w:t>-</w:t>
            </w:r>
          </w:p>
        </w:tc>
        <w:tc>
          <w:tcPr>
            <w:tcW w:w="20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EFAF42D" w14:textId="77777777" w:rsidR="002F590A" w:rsidRDefault="002F590A">
            <w:pPr>
              <w:jc w:val="center"/>
              <w:rPr>
                <w:sz w:val="16"/>
                <w:szCs w:val="16"/>
              </w:rPr>
            </w:pPr>
            <w:r>
              <w:rPr>
                <w:sz w:val="16"/>
                <w:szCs w:val="16"/>
              </w:rPr>
              <w:t>-</w:t>
            </w:r>
          </w:p>
        </w:tc>
        <w:tc>
          <w:tcPr>
            <w:tcW w:w="2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C76513F" w14:textId="77777777" w:rsidR="002F590A" w:rsidRDefault="002F590A">
            <w:pPr>
              <w:jc w:val="center"/>
              <w:rPr>
                <w:sz w:val="16"/>
                <w:szCs w:val="16"/>
              </w:rPr>
            </w:pPr>
            <w:r>
              <w:rPr>
                <w:sz w:val="16"/>
                <w:szCs w:val="16"/>
              </w:rPr>
              <w:t>-</w:t>
            </w:r>
          </w:p>
        </w:tc>
        <w:tc>
          <w:tcPr>
            <w:tcW w:w="24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2178AC5" w14:textId="77777777" w:rsidR="002F590A" w:rsidRDefault="002F590A">
            <w:pPr>
              <w:jc w:val="center"/>
              <w:rPr>
                <w:sz w:val="16"/>
                <w:szCs w:val="16"/>
              </w:rPr>
            </w:pPr>
            <w:r>
              <w:rPr>
                <w:sz w:val="16"/>
                <w:szCs w:val="16"/>
              </w:rPr>
              <w:t>-</w:t>
            </w:r>
          </w:p>
        </w:tc>
        <w:tc>
          <w:tcPr>
            <w:tcW w:w="2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C3379D6" w14:textId="77777777" w:rsidR="002F590A" w:rsidRDefault="002F590A">
            <w:pPr>
              <w:jc w:val="center"/>
              <w:rPr>
                <w:sz w:val="16"/>
                <w:szCs w:val="16"/>
              </w:rPr>
            </w:pPr>
            <w:r>
              <w:rPr>
                <w:sz w:val="16"/>
                <w:szCs w:val="16"/>
              </w:rPr>
              <w:t>-</w:t>
            </w:r>
          </w:p>
        </w:tc>
        <w:tc>
          <w:tcPr>
            <w:tcW w:w="2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DD5F183" w14:textId="77777777" w:rsidR="002F590A" w:rsidRDefault="002F590A">
            <w:pPr>
              <w:jc w:val="center"/>
              <w:rPr>
                <w:sz w:val="16"/>
                <w:szCs w:val="16"/>
              </w:rPr>
            </w:pPr>
            <w:r>
              <w:rPr>
                <w:sz w:val="16"/>
                <w:szCs w:val="16"/>
              </w:rPr>
              <w:t>-</w:t>
            </w:r>
          </w:p>
        </w:tc>
        <w:tc>
          <w:tcPr>
            <w:tcW w:w="2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39F2893" w14:textId="77777777" w:rsidR="002F590A" w:rsidRDefault="002F590A">
            <w:pPr>
              <w:jc w:val="center"/>
              <w:rPr>
                <w:sz w:val="16"/>
                <w:szCs w:val="16"/>
              </w:rPr>
            </w:pPr>
            <w:r>
              <w:rPr>
                <w:sz w:val="16"/>
                <w:szCs w:val="16"/>
              </w:rPr>
              <w:t>-</w:t>
            </w:r>
          </w:p>
        </w:tc>
        <w:tc>
          <w:tcPr>
            <w:tcW w:w="2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BE45E27" w14:textId="77777777" w:rsidR="002F590A" w:rsidRDefault="002F590A">
            <w:pPr>
              <w:jc w:val="center"/>
              <w:rPr>
                <w:sz w:val="16"/>
                <w:szCs w:val="16"/>
              </w:rPr>
            </w:pPr>
            <w:r>
              <w:rPr>
                <w:sz w:val="16"/>
                <w:szCs w:val="16"/>
              </w:rPr>
              <w:t>-</w:t>
            </w:r>
          </w:p>
        </w:tc>
        <w:tc>
          <w:tcPr>
            <w:tcW w:w="2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2FCD457" w14:textId="77777777" w:rsidR="002F590A" w:rsidRDefault="002F590A">
            <w:pPr>
              <w:jc w:val="center"/>
              <w:rPr>
                <w:sz w:val="16"/>
                <w:szCs w:val="16"/>
              </w:rPr>
            </w:pPr>
            <w:r>
              <w:rPr>
                <w:sz w:val="16"/>
                <w:szCs w:val="16"/>
              </w:rPr>
              <w:t>-</w:t>
            </w:r>
          </w:p>
        </w:tc>
      </w:tr>
      <w:tr w:rsidR="002F590A" w14:paraId="78BDFD68" w14:textId="77777777" w:rsidTr="002F590A">
        <w:trPr>
          <w:trHeight w:val="775"/>
        </w:trPr>
        <w:tc>
          <w:tcPr>
            <w:tcW w:w="154"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1D75BCE" w14:textId="77777777" w:rsidR="002F590A" w:rsidRDefault="002F590A">
            <w:pPr>
              <w:jc w:val="center"/>
              <w:rPr>
                <w:sz w:val="16"/>
                <w:szCs w:val="16"/>
              </w:rPr>
            </w:pPr>
            <w:r>
              <w:rPr>
                <w:sz w:val="16"/>
                <w:szCs w:val="16"/>
              </w:rPr>
              <w:t>5.</w:t>
            </w:r>
          </w:p>
        </w:tc>
        <w:tc>
          <w:tcPr>
            <w:tcW w:w="1426"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DE9A9B4" w14:textId="77777777" w:rsidR="002F590A" w:rsidRDefault="002F590A">
            <w:pPr>
              <w:rPr>
                <w:sz w:val="16"/>
                <w:szCs w:val="16"/>
              </w:rPr>
            </w:pPr>
            <w:r>
              <w:rPr>
                <w:sz w:val="16"/>
                <w:szCs w:val="16"/>
              </w:rPr>
              <w:t>Потери тепловой энергии при передаче тепловой энергии по тепловым сетям</w:t>
            </w:r>
          </w:p>
        </w:tc>
        <w:tc>
          <w:tcPr>
            <w:tcW w:w="3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8203D41" w14:textId="77777777" w:rsidR="002F590A" w:rsidRDefault="002F590A">
            <w:pPr>
              <w:jc w:val="center"/>
              <w:rPr>
                <w:sz w:val="16"/>
                <w:szCs w:val="16"/>
              </w:rPr>
            </w:pPr>
            <w:r>
              <w:rPr>
                <w:sz w:val="16"/>
                <w:szCs w:val="16"/>
              </w:rPr>
              <w:t>Гкал/год</w:t>
            </w:r>
          </w:p>
        </w:tc>
        <w:tc>
          <w:tcPr>
            <w:tcW w:w="3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7DAAF72" w14:textId="77777777" w:rsidR="002F590A" w:rsidRDefault="002F590A">
            <w:pPr>
              <w:jc w:val="center"/>
              <w:rPr>
                <w:color w:val="000000"/>
                <w:sz w:val="16"/>
                <w:szCs w:val="16"/>
              </w:rPr>
            </w:pPr>
            <w:r>
              <w:rPr>
                <w:color w:val="000000"/>
                <w:sz w:val="16"/>
                <w:szCs w:val="16"/>
              </w:rPr>
              <w:t>1 397,738</w:t>
            </w:r>
          </w:p>
        </w:tc>
        <w:tc>
          <w:tcPr>
            <w:tcW w:w="41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B89712C" w14:textId="77777777" w:rsidR="002F590A" w:rsidRDefault="002F590A">
            <w:pPr>
              <w:jc w:val="center"/>
              <w:rPr>
                <w:color w:val="000000"/>
                <w:sz w:val="16"/>
                <w:szCs w:val="16"/>
              </w:rPr>
            </w:pPr>
            <w:r>
              <w:rPr>
                <w:color w:val="000000"/>
                <w:sz w:val="16"/>
                <w:szCs w:val="16"/>
              </w:rPr>
              <w:t>3 940,00</w:t>
            </w:r>
          </w:p>
        </w:tc>
        <w:tc>
          <w:tcPr>
            <w:tcW w:w="2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2C766C6" w14:textId="77777777" w:rsidR="002F590A" w:rsidRDefault="002F590A">
            <w:pPr>
              <w:jc w:val="center"/>
              <w:rPr>
                <w:color w:val="000000"/>
                <w:sz w:val="16"/>
                <w:szCs w:val="16"/>
              </w:rPr>
            </w:pPr>
            <w:r>
              <w:rPr>
                <w:color w:val="000000"/>
                <w:sz w:val="16"/>
                <w:szCs w:val="16"/>
              </w:rPr>
              <w:t>4 130,00</w:t>
            </w:r>
          </w:p>
        </w:tc>
        <w:tc>
          <w:tcPr>
            <w:tcW w:w="2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6BE7FD6" w14:textId="77777777" w:rsidR="002F590A" w:rsidRDefault="002F590A">
            <w:pPr>
              <w:jc w:val="center"/>
              <w:rPr>
                <w:color w:val="000000"/>
                <w:sz w:val="16"/>
                <w:szCs w:val="16"/>
              </w:rPr>
            </w:pPr>
            <w:r>
              <w:rPr>
                <w:color w:val="000000"/>
                <w:sz w:val="16"/>
                <w:szCs w:val="16"/>
              </w:rPr>
              <w:t>4 130,00</w:t>
            </w:r>
          </w:p>
        </w:tc>
        <w:tc>
          <w:tcPr>
            <w:tcW w:w="202"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53B20A3" w14:textId="77777777" w:rsidR="002F590A" w:rsidRDefault="002F590A">
            <w:pPr>
              <w:jc w:val="center"/>
              <w:rPr>
                <w:color w:val="000000"/>
                <w:sz w:val="16"/>
                <w:szCs w:val="16"/>
              </w:rPr>
            </w:pPr>
            <w:r>
              <w:rPr>
                <w:color w:val="000000"/>
                <w:sz w:val="16"/>
                <w:szCs w:val="16"/>
              </w:rPr>
              <w:t>4 000,00</w:t>
            </w:r>
          </w:p>
        </w:tc>
        <w:tc>
          <w:tcPr>
            <w:tcW w:w="2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85FFCA3" w14:textId="77777777" w:rsidR="002F590A" w:rsidRDefault="002F590A">
            <w:pPr>
              <w:jc w:val="center"/>
              <w:rPr>
                <w:color w:val="000000"/>
                <w:sz w:val="16"/>
                <w:szCs w:val="16"/>
              </w:rPr>
            </w:pPr>
            <w:r>
              <w:rPr>
                <w:color w:val="000000"/>
                <w:sz w:val="16"/>
                <w:szCs w:val="16"/>
              </w:rPr>
              <w:t>3 970,00</w:t>
            </w:r>
          </w:p>
        </w:tc>
        <w:tc>
          <w:tcPr>
            <w:tcW w:w="24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56BB084" w14:textId="77777777" w:rsidR="002F590A" w:rsidRDefault="002F590A">
            <w:pPr>
              <w:jc w:val="center"/>
              <w:rPr>
                <w:color w:val="000000"/>
                <w:sz w:val="16"/>
                <w:szCs w:val="16"/>
              </w:rPr>
            </w:pPr>
            <w:r>
              <w:rPr>
                <w:color w:val="000000"/>
                <w:sz w:val="16"/>
                <w:szCs w:val="16"/>
              </w:rPr>
              <w:t>3 940,00</w:t>
            </w:r>
          </w:p>
        </w:tc>
        <w:tc>
          <w:tcPr>
            <w:tcW w:w="2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F5F6D61" w14:textId="77777777" w:rsidR="002F590A" w:rsidRDefault="002F590A">
            <w:pPr>
              <w:jc w:val="center"/>
              <w:rPr>
                <w:color w:val="000000"/>
                <w:sz w:val="16"/>
                <w:szCs w:val="16"/>
              </w:rPr>
            </w:pPr>
            <w:r>
              <w:rPr>
                <w:color w:val="000000"/>
                <w:sz w:val="16"/>
                <w:szCs w:val="16"/>
              </w:rPr>
              <w:t>3 940,00</w:t>
            </w:r>
          </w:p>
        </w:tc>
        <w:tc>
          <w:tcPr>
            <w:tcW w:w="239"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AF3E945" w14:textId="77777777" w:rsidR="002F590A" w:rsidRDefault="002F590A">
            <w:pPr>
              <w:jc w:val="center"/>
              <w:rPr>
                <w:color w:val="000000"/>
                <w:sz w:val="16"/>
                <w:szCs w:val="16"/>
              </w:rPr>
            </w:pPr>
            <w:r>
              <w:rPr>
                <w:color w:val="000000"/>
                <w:sz w:val="16"/>
                <w:szCs w:val="16"/>
              </w:rPr>
              <w:t>3 940,000</w:t>
            </w:r>
          </w:p>
        </w:tc>
        <w:tc>
          <w:tcPr>
            <w:tcW w:w="2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A48DD66" w14:textId="77777777" w:rsidR="002F590A" w:rsidRDefault="002F590A">
            <w:pPr>
              <w:jc w:val="center"/>
              <w:rPr>
                <w:color w:val="000000"/>
                <w:sz w:val="16"/>
                <w:szCs w:val="16"/>
              </w:rPr>
            </w:pPr>
            <w:r>
              <w:rPr>
                <w:color w:val="000000"/>
                <w:sz w:val="16"/>
                <w:szCs w:val="16"/>
              </w:rPr>
              <w:t>3 940,00</w:t>
            </w:r>
          </w:p>
        </w:tc>
        <w:tc>
          <w:tcPr>
            <w:tcW w:w="2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8626A05" w14:textId="77777777" w:rsidR="002F590A" w:rsidRDefault="002F590A">
            <w:pPr>
              <w:jc w:val="center"/>
              <w:rPr>
                <w:color w:val="000000"/>
                <w:sz w:val="16"/>
                <w:szCs w:val="16"/>
              </w:rPr>
            </w:pPr>
            <w:r>
              <w:rPr>
                <w:color w:val="000000"/>
                <w:sz w:val="16"/>
                <w:szCs w:val="16"/>
              </w:rPr>
              <w:t>3 940,00</w:t>
            </w:r>
          </w:p>
        </w:tc>
        <w:tc>
          <w:tcPr>
            <w:tcW w:w="2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28A2519" w14:textId="77777777" w:rsidR="002F590A" w:rsidRDefault="002F590A">
            <w:pPr>
              <w:jc w:val="center"/>
              <w:rPr>
                <w:color w:val="000000"/>
                <w:sz w:val="16"/>
                <w:szCs w:val="16"/>
              </w:rPr>
            </w:pPr>
            <w:r>
              <w:rPr>
                <w:color w:val="000000"/>
                <w:sz w:val="16"/>
                <w:szCs w:val="16"/>
              </w:rPr>
              <w:t>3 940,00</w:t>
            </w:r>
          </w:p>
        </w:tc>
      </w:tr>
      <w:tr w:rsidR="002F590A" w14:paraId="12EFBF75" w14:textId="77777777" w:rsidTr="002F590A">
        <w:trPr>
          <w:trHeight w:val="7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AF6A01" w14:textId="77777777" w:rsidR="002F590A" w:rsidRDefault="002F590A">
            <w:pPr>
              <w:spacing w:line="256" w:lineRule="auto"/>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827F82" w14:textId="77777777" w:rsidR="002F590A" w:rsidRDefault="002F590A">
            <w:pPr>
              <w:spacing w:line="256" w:lineRule="auto"/>
              <w:rPr>
                <w:sz w:val="16"/>
                <w:szCs w:val="16"/>
              </w:rPr>
            </w:pPr>
          </w:p>
        </w:tc>
        <w:tc>
          <w:tcPr>
            <w:tcW w:w="3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0625B38" w14:textId="77777777" w:rsidR="002F590A" w:rsidRDefault="002F590A">
            <w:pPr>
              <w:jc w:val="center"/>
              <w:rPr>
                <w:sz w:val="16"/>
                <w:szCs w:val="16"/>
              </w:rPr>
            </w:pPr>
            <w:r>
              <w:rPr>
                <w:sz w:val="16"/>
                <w:szCs w:val="16"/>
              </w:rPr>
              <w:t>% от полезного отпуска тепловой энергии</w:t>
            </w:r>
          </w:p>
        </w:tc>
        <w:tc>
          <w:tcPr>
            <w:tcW w:w="3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85247A4" w14:textId="77777777" w:rsidR="002F590A" w:rsidRDefault="002F590A">
            <w:pPr>
              <w:jc w:val="center"/>
              <w:rPr>
                <w:color w:val="000000"/>
                <w:sz w:val="16"/>
                <w:szCs w:val="16"/>
              </w:rPr>
            </w:pPr>
            <w:r>
              <w:rPr>
                <w:color w:val="000000"/>
                <w:sz w:val="16"/>
                <w:szCs w:val="16"/>
              </w:rPr>
              <w:t>29</w:t>
            </w:r>
          </w:p>
        </w:tc>
        <w:tc>
          <w:tcPr>
            <w:tcW w:w="41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7931F51" w14:textId="77777777" w:rsidR="002F590A" w:rsidRDefault="002F590A">
            <w:pPr>
              <w:jc w:val="center"/>
              <w:rPr>
                <w:color w:val="000000"/>
                <w:sz w:val="16"/>
                <w:szCs w:val="16"/>
              </w:rPr>
            </w:pPr>
            <w:r>
              <w:rPr>
                <w:color w:val="000000"/>
                <w:sz w:val="16"/>
                <w:szCs w:val="16"/>
              </w:rPr>
              <w:t>19</w:t>
            </w:r>
          </w:p>
        </w:tc>
        <w:tc>
          <w:tcPr>
            <w:tcW w:w="2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2253DDE" w14:textId="77777777" w:rsidR="002F590A" w:rsidRDefault="002F590A">
            <w:pPr>
              <w:jc w:val="center"/>
              <w:rPr>
                <w:color w:val="000000"/>
                <w:sz w:val="16"/>
                <w:szCs w:val="16"/>
              </w:rPr>
            </w:pPr>
            <w:r>
              <w:rPr>
                <w:color w:val="000000"/>
                <w:sz w:val="16"/>
                <w:szCs w:val="16"/>
              </w:rPr>
              <w:t>20</w:t>
            </w:r>
          </w:p>
        </w:tc>
        <w:tc>
          <w:tcPr>
            <w:tcW w:w="2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9C34683" w14:textId="77777777" w:rsidR="002F590A" w:rsidRDefault="002F590A">
            <w:pPr>
              <w:jc w:val="center"/>
              <w:rPr>
                <w:color w:val="000000"/>
                <w:sz w:val="16"/>
                <w:szCs w:val="16"/>
              </w:rPr>
            </w:pPr>
            <w:r>
              <w:rPr>
                <w:color w:val="000000"/>
                <w:sz w:val="16"/>
                <w:szCs w:val="16"/>
              </w:rPr>
              <w:t>20</w:t>
            </w:r>
          </w:p>
        </w:tc>
        <w:tc>
          <w:tcPr>
            <w:tcW w:w="20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374F9C3" w14:textId="77777777" w:rsidR="002F590A" w:rsidRDefault="002F590A">
            <w:pPr>
              <w:jc w:val="center"/>
              <w:rPr>
                <w:color w:val="000000"/>
                <w:sz w:val="16"/>
                <w:szCs w:val="16"/>
              </w:rPr>
            </w:pPr>
            <w:r>
              <w:rPr>
                <w:color w:val="000000"/>
                <w:sz w:val="16"/>
                <w:szCs w:val="16"/>
              </w:rPr>
              <w:t>19</w:t>
            </w:r>
          </w:p>
        </w:tc>
        <w:tc>
          <w:tcPr>
            <w:tcW w:w="2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99E9684" w14:textId="77777777" w:rsidR="002F590A" w:rsidRDefault="002F590A">
            <w:pPr>
              <w:jc w:val="center"/>
              <w:rPr>
                <w:color w:val="000000"/>
                <w:sz w:val="16"/>
                <w:szCs w:val="16"/>
              </w:rPr>
            </w:pPr>
            <w:r>
              <w:rPr>
                <w:color w:val="000000"/>
                <w:sz w:val="16"/>
                <w:szCs w:val="16"/>
              </w:rPr>
              <w:t>19</w:t>
            </w:r>
          </w:p>
        </w:tc>
        <w:tc>
          <w:tcPr>
            <w:tcW w:w="24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4011646" w14:textId="77777777" w:rsidR="002F590A" w:rsidRDefault="002F590A">
            <w:pPr>
              <w:jc w:val="center"/>
              <w:rPr>
                <w:color w:val="000000"/>
                <w:sz w:val="16"/>
                <w:szCs w:val="16"/>
              </w:rPr>
            </w:pPr>
            <w:r>
              <w:rPr>
                <w:color w:val="000000"/>
                <w:sz w:val="16"/>
                <w:szCs w:val="16"/>
              </w:rPr>
              <w:t>19</w:t>
            </w:r>
          </w:p>
        </w:tc>
        <w:tc>
          <w:tcPr>
            <w:tcW w:w="2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8C070D8" w14:textId="77777777" w:rsidR="002F590A" w:rsidRDefault="002F590A">
            <w:pPr>
              <w:jc w:val="center"/>
              <w:rPr>
                <w:color w:val="000000"/>
                <w:sz w:val="16"/>
                <w:szCs w:val="16"/>
              </w:rPr>
            </w:pPr>
            <w:r>
              <w:rPr>
                <w:color w:val="000000"/>
                <w:sz w:val="16"/>
                <w:szCs w:val="16"/>
              </w:rPr>
              <w:t>19</w:t>
            </w:r>
          </w:p>
        </w:tc>
        <w:tc>
          <w:tcPr>
            <w:tcW w:w="2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9B5DA26" w14:textId="77777777" w:rsidR="002F590A" w:rsidRDefault="002F590A">
            <w:pPr>
              <w:jc w:val="center"/>
              <w:rPr>
                <w:color w:val="000000"/>
                <w:sz w:val="16"/>
                <w:szCs w:val="16"/>
              </w:rPr>
            </w:pPr>
            <w:r>
              <w:rPr>
                <w:color w:val="000000"/>
                <w:sz w:val="16"/>
                <w:szCs w:val="16"/>
              </w:rPr>
              <w:t>19</w:t>
            </w:r>
          </w:p>
        </w:tc>
        <w:tc>
          <w:tcPr>
            <w:tcW w:w="2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07EA8D0" w14:textId="77777777" w:rsidR="002F590A" w:rsidRDefault="002F590A">
            <w:pPr>
              <w:jc w:val="center"/>
              <w:rPr>
                <w:color w:val="000000"/>
                <w:sz w:val="16"/>
                <w:szCs w:val="16"/>
              </w:rPr>
            </w:pPr>
            <w:r>
              <w:rPr>
                <w:color w:val="000000"/>
                <w:sz w:val="16"/>
                <w:szCs w:val="16"/>
              </w:rPr>
              <w:t>19</w:t>
            </w:r>
          </w:p>
        </w:tc>
        <w:tc>
          <w:tcPr>
            <w:tcW w:w="2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61F1891" w14:textId="77777777" w:rsidR="002F590A" w:rsidRDefault="002F590A">
            <w:pPr>
              <w:jc w:val="center"/>
              <w:rPr>
                <w:color w:val="000000"/>
                <w:sz w:val="16"/>
                <w:szCs w:val="16"/>
              </w:rPr>
            </w:pPr>
            <w:r>
              <w:rPr>
                <w:color w:val="000000"/>
                <w:sz w:val="16"/>
                <w:szCs w:val="16"/>
              </w:rPr>
              <w:t>19</w:t>
            </w:r>
          </w:p>
        </w:tc>
        <w:tc>
          <w:tcPr>
            <w:tcW w:w="2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1FE46D3" w14:textId="77777777" w:rsidR="002F590A" w:rsidRDefault="002F590A">
            <w:pPr>
              <w:jc w:val="center"/>
              <w:rPr>
                <w:color w:val="000000"/>
                <w:sz w:val="16"/>
                <w:szCs w:val="16"/>
              </w:rPr>
            </w:pPr>
            <w:r>
              <w:rPr>
                <w:color w:val="000000"/>
                <w:sz w:val="16"/>
                <w:szCs w:val="16"/>
              </w:rPr>
              <w:t>19</w:t>
            </w:r>
          </w:p>
        </w:tc>
      </w:tr>
      <w:tr w:rsidR="002F590A" w14:paraId="7559BDB4" w14:textId="77777777" w:rsidTr="002F590A">
        <w:trPr>
          <w:trHeight w:val="255"/>
        </w:trPr>
        <w:tc>
          <w:tcPr>
            <w:tcW w:w="154"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290A4D4" w14:textId="77777777" w:rsidR="002F590A" w:rsidRDefault="002F590A">
            <w:pPr>
              <w:jc w:val="center"/>
              <w:rPr>
                <w:sz w:val="16"/>
                <w:szCs w:val="16"/>
              </w:rPr>
            </w:pPr>
            <w:r>
              <w:rPr>
                <w:sz w:val="16"/>
                <w:szCs w:val="16"/>
              </w:rPr>
              <w:t>6.</w:t>
            </w:r>
          </w:p>
        </w:tc>
        <w:tc>
          <w:tcPr>
            <w:tcW w:w="1426"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21021C5" w14:textId="77777777" w:rsidR="002F590A" w:rsidRDefault="002F590A">
            <w:pPr>
              <w:rPr>
                <w:sz w:val="16"/>
                <w:szCs w:val="16"/>
              </w:rPr>
            </w:pPr>
            <w:r>
              <w:rPr>
                <w:sz w:val="16"/>
                <w:szCs w:val="16"/>
              </w:rPr>
              <w:t>Потери теплоносителя при передаче тепловой энергии по тепловым сетям</w:t>
            </w:r>
          </w:p>
        </w:tc>
        <w:tc>
          <w:tcPr>
            <w:tcW w:w="3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FEC6AB7" w14:textId="77777777" w:rsidR="002F590A" w:rsidRDefault="002F590A">
            <w:pPr>
              <w:jc w:val="center"/>
              <w:rPr>
                <w:sz w:val="16"/>
                <w:szCs w:val="16"/>
              </w:rPr>
            </w:pPr>
            <w:r>
              <w:rPr>
                <w:sz w:val="16"/>
                <w:szCs w:val="16"/>
              </w:rPr>
              <w:t>тонн в год для воды</w:t>
            </w:r>
          </w:p>
        </w:tc>
        <w:tc>
          <w:tcPr>
            <w:tcW w:w="3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BC6DAC1" w14:textId="77777777" w:rsidR="002F590A" w:rsidRDefault="002F590A">
            <w:pPr>
              <w:jc w:val="center"/>
              <w:rPr>
                <w:color w:val="000000"/>
                <w:sz w:val="16"/>
                <w:szCs w:val="16"/>
              </w:rPr>
            </w:pPr>
            <w:r>
              <w:rPr>
                <w:color w:val="000000"/>
                <w:sz w:val="16"/>
                <w:szCs w:val="16"/>
              </w:rPr>
              <w:t>607,65</w:t>
            </w:r>
          </w:p>
        </w:tc>
        <w:tc>
          <w:tcPr>
            <w:tcW w:w="41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6C2E3A5" w14:textId="77777777" w:rsidR="002F590A" w:rsidRDefault="002F590A">
            <w:pPr>
              <w:jc w:val="center"/>
              <w:rPr>
                <w:color w:val="000000"/>
                <w:sz w:val="16"/>
                <w:szCs w:val="16"/>
              </w:rPr>
            </w:pPr>
            <w:r>
              <w:rPr>
                <w:color w:val="000000"/>
                <w:sz w:val="16"/>
                <w:szCs w:val="16"/>
              </w:rPr>
              <w:t>2 690,00</w:t>
            </w:r>
          </w:p>
        </w:tc>
        <w:tc>
          <w:tcPr>
            <w:tcW w:w="2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DA4205D" w14:textId="77777777" w:rsidR="002F590A" w:rsidRDefault="002F590A">
            <w:pPr>
              <w:jc w:val="center"/>
              <w:rPr>
                <w:color w:val="000000"/>
                <w:sz w:val="16"/>
                <w:szCs w:val="16"/>
              </w:rPr>
            </w:pPr>
            <w:r>
              <w:rPr>
                <w:color w:val="000000"/>
                <w:sz w:val="16"/>
                <w:szCs w:val="16"/>
              </w:rPr>
              <w:t>2 620,00</w:t>
            </w:r>
          </w:p>
        </w:tc>
        <w:tc>
          <w:tcPr>
            <w:tcW w:w="2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C7A4714" w14:textId="77777777" w:rsidR="002F590A" w:rsidRDefault="002F590A">
            <w:pPr>
              <w:jc w:val="center"/>
              <w:rPr>
                <w:color w:val="000000"/>
                <w:sz w:val="16"/>
                <w:szCs w:val="16"/>
              </w:rPr>
            </w:pPr>
            <w:r>
              <w:rPr>
                <w:color w:val="000000"/>
                <w:sz w:val="16"/>
                <w:szCs w:val="16"/>
              </w:rPr>
              <w:t>2 620,00</w:t>
            </w:r>
          </w:p>
        </w:tc>
        <w:tc>
          <w:tcPr>
            <w:tcW w:w="202"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A05CC6B" w14:textId="77777777" w:rsidR="002F590A" w:rsidRDefault="002F590A">
            <w:pPr>
              <w:jc w:val="center"/>
              <w:rPr>
                <w:color w:val="000000"/>
                <w:sz w:val="16"/>
                <w:szCs w:val="16"/>
              </w:rPr>
            </w:pPr>
            <w:r>
              <w:rPr>
                <w:color w:val="000000"/>
                <w:sz w:val="16"/>
                <w:szCs w:val="16"/>
              </w:rPr>
              <w:t>2 690,00</w:t>
            </w:r>
          </w:p>
        </w:tc>
        <w:tc>
          <w:tcPr>
            <w:tcW w:w="228"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B7FEBFB" w14:textId="77777777" w:rsidR="002F590A" w:rsidRDefault="002F590A">
            <w:pPr>
              <w:jc w:val="center"/>
              <w:rPr>
                <w:color w:val="000000"/>
                <w:sz w:val="16"/>
                <w:szCs w:val="16"/>
              </w:rPr>
            </w:pPr>
            <w:r>
              <w:rPr>
                <w:color w:val="000000"/>
                <w:sz w:val="16"/>
                <w:szCs w:val="16"/>
              </w:rPr>
              <w:t>2 690,00</w:t>
            </w:r>
          </w:p>
        </w:tc>
        <w:tc>
          <w:tcPr>
            <w:tcW w:w="241"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58CBE1F" w14:textId="77777777" w:rsidR="002F590A" w:rsidRDefault="002F590A">
            <w:pPr>
              <w:jc w:val="center"/>
              <w:rPr>
                <w:color w:val="000000"/>
                <w:sz w:val="16"/>
                <w:szCs w:val="16"/>
              </w:rPr>
            </w:pPr>
            <w:r>
              <w:rPr>
                <w:color w:val="000000"/>
                <w:sz w:val="16"/>
                <w:szCs w:val="16"/>
              </w:rPr>
              <w:t>2 690,00</w:t>
            </w:r>
          </w:p>
        </w:tc>
        <w:tc>
          <w:tcPr>
            <w:tcW w:w="249"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3667F1B" w14:textId="77777777" w:rsidR="002F590A" w:rsidRDefault="002F590A">
            <w:pPr>
              <w:jc w:val="center"/>
              <w:rPr>
                <w:color w:val="000000"/>
                <w:sz w:val="16"/>
                <w:szCs w:val="16"/>
              </w:rPr>
            </w:pPr>
            <w:r>
              <w:rPr>
                <w:color w:val="000000"/>
                <w:sz w:val="16"/>
                <w:szCs w:val="16"/>
              </w:rPr>
              <w:t>2 690,00</w:t>
            </w:r>
          </w:p>
        </w:tc>
        <w:tc>
          <w:tcPr>
            <w:tcW w:w="239"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E271277" w14:textId="77777777" w:rsidR="002F590A" w:rsidRDefault="002F590A">
            <w:pPr>
              <w:jc w:val="center"/>
              <w:rPr>
                <w:color w:val="000000"/>
                <w:sz w:val="16"/>
                <w:szCs w:val="16"/>
              </w:rPr>
            </w:pPr>
            <w:r>
              <w:rPr>
                <w:color w:val="000000"/>
                <w:sz w:val="16"/>
                <w:szCs w:val="16"/>
              </w:rPr>
              <w:t>2 690,00</w:t>
            </w:r>
          </w:p>
        </w:tc>
        <w:tc>
          <w:tcPr>
            <w:tcW w:w="239"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BFC292E" w14:textId="77777777" w:rsidR="002F590A" w:rsidRDefault="002F590A">
            <w:pPr>
              <w:jc w:val="center"/>
              <w:rPr>
                <w:color w:val="000000"/>
                <w:sz w:val="16"/>
                <w:szCs w:val="16"/>
              </w:rPr>
            </w:pPr>
            <w:r>
              <w:rPr>
                <w:color w:val="000000"/>
                <w:sz w:val="16"/>
                <w:szCs w:val="16"/>
              </w:rPr>
              <w:t>2 690,00</w:t>
            </w:r>
          </w:p>
        </w:tc>
        <w:tc>
          <w:tcPr>
            <w:tcW w:w="239"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3C4D4A2" w14:textId="77777777" w:rsidR="002F590A" w:rsidRDefault="002F590A">
            <w:pPr>
              <w:jc w:val="center"/>
              <w:rPr>
                <w:color w:val="000000"/>
                <w:sz w:val="16"/>
                <w:szCs w:val="16"/>
              </w:rPr>
            </w:pPr>
            <w:r>
              <w:rPr>
                <w:color w:val="000000"/>
                <w:sz w:val="16"/>
                <w:szCs w:val="16"/>
              </w:rPr>
              <w:t>2 690,00</w:t>
            </w:r>
          </w:p>
        </w:tc>
        <w:tc>
          <w:tcPr>
            <w:tcW w:w="239"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11DF557" w14:textId="77777777" w:rsidR="002F590A" w:rsidRDefault="002F590A">
            <w:pPr>
              <w:jc w:val="center"/>
              <w:rPr>
                <w:color w:val="000000"/>
                <w:sz w:val="16"/>
                <w:szCs w:val="16"/>
              </w:rPr>
            </w:pPr>
            <w:r>
              <w:rPr>
                <w:color w:val="000000"/>
                <w:sz w:val="16"/>
                <w:szCs w:val="16"/>
              </w:rPr>
              <w:t>2 690,00</w:t>
            </w:r>
          </w:p>
        </w:tc>
      </w:tr>
      <w:tr w:rsidR="002F590A" w14:paraId="2A05D6A5" w14:textId="77777777" w:rsidTr="002F590A">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CF9DF4" w14:textId="77777777" w:rsidR="002F590A" w:rsidRDefault="002F590A">
            <w:pPr>
              <w:spacing w:line="256" w:lineRule="auto"/>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EB4686" w14:textId="77777777" w:rsidR="002F590A" w:rsidRDefault="002F590A">
            <w:pPr>
              <w:spacing w:line="256" w:lineRule="auto"/>
              <w:rPr>
                <w:sz w:val="16"/>
                <w:szCs w:val="16"/>
              </w:rPr>
            </w:pPr>
          </w:p>
        </w:tc>
        <w:tc>
          <w:tcPr>
            <w:tcW w:w="3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5FD54F3" w14:textId="77777777" w:rsidR="002F590A" w:rsidRDefault="002F590A">
            <w:pPr>
              <w:jc w:val="center"/>
              <w:rPr>
                <w:sz w:val="16"/>
                <w:szCs w:val="16"/>
              </w:rPr>
            </w:pPr>
            <w:r>
              <w:rPr>
                <w:sz w:val="16"/>
                <w:szCs w:val="16"/>
              </w:rPr>
              <w:t>м</w:t>
            </w:r>
            <w:r>
              <w:rPr>
                <w:sz w:val="16"/>
                <w:szCs w:val="16"/>
                <w:vertAlign w:val="superscript"/>
              </w:rPr>
              <w:t>3</w:t>
            </w:r>
            <w:r>
              <w:rPr>
                <w:sz w:val="16"/>
                <w:szCs w:val="16"/>
              </w:rPr>
              <w:t xml:space="preserve"> для пара</w:t>
            </w:r>
          </w:p>
        </w:tc>
        <w:tc>
          <w:tcPr>
            <w:tcW w:w="3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2B0D90C" w14:textId="77777777" w:rsidR="002F590A" w:rsidRDefault="002F590A">
            <w:pPr>
              <w:jc w:val="center"/>
              <w:rPr>
                <w:sz w:val="16"/>
                <w:szCs w:val="16"/>
              </w:rPr>
            </w:pPr>
            <w:r>
              <w:rPr>
                <w:sz w:val="16"/>
                <w:szCs w:val="16"/>
              </w:rPr>
              <w:t>-</w:t>
            </w:r>
          </w:p>
        </w:tc>
        <w:tc>
          <w:tcPr>
            <w:tcW w:w="41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5839B59" w14:textId="77777777" w:rsidR="002F590A" w:rsidRDefault="002F590A">
            <w:pPr>
              <w:jc w:val="center"/>
              <w:rPr>
                <w:sz w:val="16"/>
                <w:szCs w:val="16"/>
              </w:rPr>
            </w:pPr>
            <w:r>
              <w:rPr>
                <w:sz w:val="16"/>
                <w:szCs w:val="16"/>
              </w:rPr>
              <w:t>-</w:t>
            </w:r>
          </w:p>
        </w:tc>
        <w:tc>
          <w:tcPr>
            <w:tcW w:w="2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4EB4DB8" w14:textId="77777777" w:rsidR="002F590A" w:rsidRDefault="002F590A">
            <w:pPr>
              <w:jc w:val="center"/>
              <w:rPr>
                <w:sz w:val="16"/>
                <w:szCs w:val="16"/>
              </w:rPr>
            </w:pPr>
            <w:r>
              <w:rPr>
                <w:sz w:val="16"/>
                <w:szCs w:val="16"/>
              </w:rPr>
              <w:t>-</w:t>
            </w:r>
          </w:p>
        </w:tc>
        <w:tc>
          <w:tcPr>
            <w:tcW w:w="2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2116202" w14:textId="77777777" w:rsidR="002F590A" w:rsidRDefault="002F590A">
            <w:pPr>
              <w:jc w:val="center"/>
              <w:rPr>
                <w:sz w:val="16"/>
                <w:szCs w:val="16"/>
              </w:rPr>
            </w:pPr>
            <w:r>
              <w:rPr>
                <w:sz w:val="16"/>
                <w:szCs w:val="16"/>
              </w:rPr>
              <w:t>-</w:t>
            </w:r>
          </w:p>
        </w:tc>
        <w:tc>
          <w:tcPr>
            <w:tcW w:w="20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FE9E296" w14:textId="77777777" w:rsidR="002F590A" w:rsidRDefault="002F590A">
            <w:pPr>
              <w:jc w:val="center"/>
              <w:rPr>
                <w:sz w:val="16"/>
                <w:szCs w:val="16"/>
              </w:rPr>
            </w:pPr>
            <w:r>
              <w:rPr>
                <w:sz w:val="16"/>
                <w:szCs w:val="16"/>
              </w:rPr>
              <w:t>-</w:t>
            </w:r>
          </w:p>
        </w:tc>
        <w:tc>
          <w:tcPr>
            <w:tcW w:w="2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AA651B5" w14:textId="77777777" w:rsidR="002F590A" w:rsidRDefault="002F590A">
            <w:pPr>
              <w:jc w:val="center"/>
              <w:rPr>
                <w:sz w:val="16"/>
                <w:szCs w:val="16"/>
              </w:rPr>
            </w:pPr>
            <w:r>
              <w:rPr>
                <w:sz w:val="16"/>
                <w:szCs w:val="16"/>
              </w:rPr>
              <w:t>-</w:t>
            </w:r>
          </w:p>
        </w:tc>
        <w:tc>
          <w:tcPr>
            <w:tcW w:w="24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99975F5" w14:textId="77777777" w:rsidR="002F590A" w:rsidRDefault="002F590A">
            <w:pPr>
              <w:jc w:val="center"/>
              <w:rPr>
                <w:sz w:val="16"/>
                <w:szCs w:val="16"/>
              </w:rPr>
            </w:pPr>
            <w:r>
              <w:rPr>
                <w:sz w:val="16"/>
                <w:szCs w:val="16"/>
              </w:rPr>
              <w:t>-</w:t>
            </w:r>
          </w:p>
        </w:tc>
        <w:tc>
          <w:tcPr>
            <w:tcW w:w="2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F4EEC61" w14:textId="77777777" w:rsidR="002F590A" w:rsidRDefault="002F590A">
            <w:pPr>
              <w:jc w:val="center"/>
              <w:rPr>
                <w:sz w:val="16"/>
                <w:szCs w:val="16"/>
              </w:rPr>
            </w:pPr>
            <w:r>
              <w:rPr>
                <w:sz w:val="16"/>
                <w:szCs w:val="16"/>
              </w:rPr>
              <w:t>-</w:t>
            </w:r>
          </w:p>
        </w:tc>
        <w:tc>
          <w:tcPr>
            <w:tcW w:w="2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1CF1DCD" w14:textId="77777777" w:rsidR="002F590A" w:rsidRDefault="002F590A">
            <w:pPr>
              <w:jc w:val="center"/>
              <w:rPr>
                <w:sz w:val="16"/>
                <w:szCs w:val="16"/>
              </w:rPr>
            </w:pPr>
            <w:r>
              <w:rPr>
                <w:sz w:val="16"/>
                <w:szCs w:val="16"/>
              </w:rPr>
              <w:t>-</w:t>
            </w:r>
          </w:p>
        </w:tc>
        <w:tc>
          <w:tcPr>
            <w:tcW w:w="2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1B73623" w14:textId="77777777" w:rsidR="002F590A" w:rsidRDefault="002F590A">
            <w:pPr>
              <w:jc w:val="center"/>
              <w:rPr>
                <w:sz w:val="16"/>
                <w:szCs w:val="16"/>
              </w:rPr>
            </w:pPr>
            <w:r>
              <w:rPr>
                <w:sz w:val="16"/>
                <w:szCs w:val="16"/>
              </w:rPr>
              <w:t>-</w:t>
            </w:r>
          </w:p>
        </w:tc>
        <w:tc>
          <w:tcPr>
            <w:tcW w:w="2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CA4AF82" w14:textId="77777777" w:rsidR="002F590A" w:rsidRDefault="002F590A">
            <w:pPr>
              <w:jc w:val="center"/>
              <w:rPr>
                <w:sz w:val="16"/>
                <w:szCs w:val="16"/>
              </w:rPr>
            </w:pPr>
            <w:r>
              <w:rPr>
                <w:sz w:val="16"/>
                <w:szCs w:val="16"/>
              </w:rPr>
              <w:t>-</w:t>
            </w:r>
          </w:p>
        </w:tc>
        <w:tc>
          <w:tcPr>
            <w:tcW w:w="2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4EE036A" w14:textId="77777777" w:rsidR="002F590A" w:rsidRDefault="002F590A">
            <w:pPr>
              <w:jc w:val="center"/>
              <w:rPr>
                <w:sz w:val="16"/>
                <w:szCs w:val="16"/>
              </w:rPr>
            </w:pPr>
            <w:r>
              <w:rPr>
                <w:sz w:val="16"/>
                <w:szCs w:val="16"/>
              </w:rPr>
              <w:t>-</w:t>
            </w:r>
          </w:p>
        </w:tc>
      </w:tr>
      <w:tr w:rsidR="002F590A" w14:paraId="230006C4" w14:textId="77777777" w:rsidTr="002F590A">
        <w:trPr>
          <w:trHeight w:val="1020"/>
        </w:trPr>
        <w:tc>
          <w:tcPr>
            <w:tcW w:w="15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D084950" w14:textId="77777777" w:rsidR="002F590A" w:rsidRDefault="002F590A">
            <w:pPr>
              <w:jc w:val="center"/>
              <w:rPr>
                <w:sz w:val="16"/>
                <w:szCs w:val="16"/>
              </w:rPr>
            </w:pPr>
            <w:r>
              <w:rPr>
                <w:sz w:val="16"/>
                <w:szCs w:val="16"/>
              </w:rPr>
              <w:t>7.</w:t>
            </w:r>
          </w:p>
        </w:tc>
        <w:tc>
          <w:tcPr>
            <w:tcW w:w="142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1F165F2" w14:textId="77777777" w:rsidR="002F590A" w:rsidRDefault="002F590A">
            <w:pPr>
              <w:rPr>
                <w:sz w:val="16"/>
                <w:szCs w:val="16"/>
              </w:rPr>
            </w:pPr>
            <w:r>
              <w:rPr>
                <w:sz w:val="16"/>
                <w:szCs w:val="16"/>
              </w:rPr>
              <w:t>Показатели, характеризующие снижение негативного воздействия на окружающую среду, определяемые в соответствии с законодательством РФ об охране окружающей среды</w:t>
            </w:r>
          </w:p>
        </w:tc>
        <w:tc>
          <w:tcPr>
            <w:tcW w:w="36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4E0AD43" w14:textId="77777777" w:rsidR="002F590A" w:rsidRDefault="002F590A">
            <w:pPr>
              <w:jc w:val="center"/>
              <w:rPr>
                <w:sz w:val="16"/>
                <w:szCs w:val="16"/>
              </w:rPr>
            </w:pPr>
            <w:r>
              <w:rPr>
                <w:sz w:val="16"/>
                <w:szCs w:val="16"/>
              </w:rPr>
              <w:t>Эффективность очистки, %</w:t>
            </w:r>
          </w:p>
        </w:tc>
        <w:tc>
          <w:tcPr>
            <w:tcW w:w="3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A63AD98" w14:textId="77777777" w:rsidR="002F590A" w:rsidRDefault="002F590A">
            <w:pPr>
              <w:jc w:val="center"/>
              <w:rPr>
                <w:sz w:val="16"/>
                <w:szCs w:val="16"/>
              </w:rPr>
            </w:pPr>
            <w:r>
              <w:rPr>
                <w:sz w:val="16"/>
                <w:szCs w:val="16"/>
              </w:rPr>
              <w:t>-</w:t>
            </w:r>
          </w:p>
        </w:tc>
        <w:tc>
          <w:tcPr>
            <w:tcW w:w="41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D079149" w14:textId="77777777" w:rsidR="002F590A" w:rsidRDefault="002F590A">
            <w:pPr>
              <w:jc w:val="center"/>
              <w:rPr>
                <w:sz w:val="16"/>
                <w:szCs w:val="16"/>
              </w:rPr>
            </w:pPr>
            <w:r>
              <w:rPr>
                <w:sz w:val="16"/>
                <w:szCs w:val="16"/>
              </w:rPr>
              <w:t>-</w:t>
            </w:r>
          </w:p>
        </w:tc>
        <w:tc>
          <w:tcPr>
            <w:tcW w:w="20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65D7B07" w14:textId="77777777" w:rsidR="002F590A" w:rsidRDefault="002F590A">
            <w:pPr>
              <w:jc w:val="center"/>
              <w:rPr>
                <w:sz w:val="16"/>
                <w:szCs w:val="16"/>
              </w:rPr>
            </w:pPr>
            <w:r>
              <w:rPr>
                <w:sz w:val="16"/>
                <w:szCs w:val="16"/>
              </w:rPr>
              <w:t>-</w:t>
            </w:r>
          </w:p>
        </w:tc>
        <w:tc>
          <w:tcPr>
            <w:tcW w:w="2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B45AFC2" w14:textId="77777777" w:rsidR="002F590A" w:rsidRDefault="002F590A">
            <w:pPr>
              <w:jc w:val="center"/>
              <w:rPr>
                <w:sz w:val="16"/>
                <w:szCs w:val="16"/>
              </w:rPr>
            </w:pPr>
            <w:r>
              <w:rPr>
                <w:sz w:val="16"/>
                <w:szCs w:val="16"/>
              </w:rPr>
              <w:t>-</w:t>
            </w:r>
          </w:p>
        </w:tc>
        <w:tc>
          <w:tcPr>
            <w:tcW w:w="20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B7474C1" w14:textId="77777777" w:rsidR="002F590A" w:rsidRDefault="002F590A">
            <w:pPr>
              <w:jc w:val="center"/>
              <w:rPr>
                <w:sz w:val="16"/>
                <w:szCs w:val="16"/>
              </w:rPr>
            </w:pPr>
            <w:r>
              <w:rPr>
                <w:sz w:val="16"/>
                <w:szCs w:val="16"/>
              </w:rPr>
              <w:t>-</w:t>
            </w:r>
          </w:p>
        </w:tc>
        <w:tc>
          <w:tcPr>
            <w:tcW w:w="2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DAFCA56" w14:textId="77777777" w:rsidR="002F590A" w:rsidRDefault="002F590A">
            <w:pPr>
              <w:jc w:val="center"/>
              <w:rPr>
                <w:sz w:val="16"/>
                <w:szCs w:val="16"/>
              </w:rPr>
            </w:pPr>
            <w:r>
              <w:rPr>
                <w:sz w:val="16"/>
                <w:szCs w:val="16"/>
              </w:rPr>
              <w:t>-</w:t>
            </w:r>
          </w:p>
        </w:tc>
        <w:tc>
          <w:tcPr>
            <w:tcW w:w="24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BF1FDE3" w14:textId="77777777" w:rsidR="002F590A" w:rsidRDefault="002F590A">
            <w:pPr>
              <w:jc w:val="center"/>
              <w:rPr>
                <w:sz w:val="16"/>
                <w:szCs w:val="16"/>
              </w:rPr>
            </w:pPr>
            <w:r>
              <w:rPr>
                <w:sz w:val="16"/>
                <w:szCs w:val="16"/>
              </w:rPr>
              <w:t>-</w:t>
            </w:r>
          </w:p>
        </w:tc>
        <w:tc>
          <w:tcPr>
            <w:tcW w:w="2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DA5D398" w14:textId="77777777" w:rsidR="002F590A" w:rsidRDefault="002F590A">
            <w:pPr>
              <w:jc w:val="center"/>
              <w:rPr>
                <w:sz w:val="16"/>
                <w:szCs w:val="16"/>
              </w:rPr>
            </w:pPr>
            <w:r>
              <w:rPr>
                <w:sz w:val="16"/>
                <w:szCs w:val="16"/>
              </w:rPr>
              <w:t>-</w:t>
            </w:r>
          </w:p>
        </w:tc>
        <w:tc>
          <w:tcPr>
            <w:tcW w:w="2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DB337CB" w14:textId="77777777" w:rsidR="002F590A" w:rsidRDefault="002F590A">
            <w:pPr>
              <w:jc w:val="center"/>
              <w:rPr>
                <w:sz w:val="16"/>
                <w:szCs w:val="16"/>
              </w:rPr>
            </w:pPr>
            <w:r>
              <w:rPr>
                <w:sz w:val="16"/>
                <w:szCs w:val="16"/>
              </w:rPr>
              <w:t>-</w:t>
            </w:r>
          </w:p>
        </w:tc>
        <w:tc>
          <w:tcPr>
            <w:tcW w:w="2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F70752F" w14:textId="77777777" w:rsidR="002F590A" w:rsidRDefault="002F590A">
            <w:pPr>
              <w:jc w:val="center"/>
              <w:rPr>
                <w:sz w:val="16"/>
                <w:szCs w:val="16"/>
              </w:rPr>
            </w:pPr>
            <w:r>
              <w:rPr>
                <w:sz w:val="16"/>
                <w:szCs w:val="16"/>
              </w:rPr>
              <w:t>-</w:t>
            </w:r>
          </w:p>
        </w:tc>
        <w:tc>
          <w:tcPr>
            <w:tcW w:w="2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84C7173" w14:textId="77777777" w:rsidR="002F590A" w:rsidRDefault="002F590A">
            <w:pPr>
              <w:jc w:val="center"/>
              <w:rPr>
                <w:sz w:val="16"/>
                <w:szCs w:val="16"/>
              </w:rPr>
            </w:pPr>
            <w:r>
              <w:rPr>
                <w:sz w:val="16"/>
                <w:szCs w:val="16"/>
              </w:rPr>
              <w:t>-</w:t>
            </w:r>
          </w:p>
        </w:tc>
        <w:tc>
          <w:tcPr>
            <w:tcW w:w="2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7A93FC4" w14:textId="77777777" w:rsidR="002F590A" w:rsidRDefault="002F590A">
            <w:pPr>
              <w:jc w:val="center"/>
              <w:rPr>
                <w:sz w:val="16"/>
                <w:szCs w:val="16"/>
              </w:rPr>
            </w:pPr>
            <w:r>
              <w:rPr>
                <w:sz w:val="16"/>
                <w:szCs w:val="16"/>
              </w:rPr>
              <w:t>-</w:t>
            </w:r>
          </w:p>
        </w:tc>
      </w:tr>
    </w:tbl>
    <w:p w14:paraId="53104865" w14:textId="77777777" w:rsidR="002F590A" w:rsidRDefault="002F590A" w:rsidP="002F590A">
      <w:pPr>
        <w:rPr>
          <w:sz w:val="20"/>
          <w:szCs w:val="20"/>
        </w:rPr>
      </w:pPr>
    </w:p>
    <w:p w14:paraId="32B63790" w14:textId="77777777" w:rsidR="002F590A" w:rsidRDefault="002F590A" w:rsidP="002F590A">
      <w:pPr>
        <w:rPr>
          <w:sz w:val="20"/>
          <w:szCs w:val="20"/>
        </w:rPr>
      </w:pPr>
    </w:p>
    <w:p w14:paraId="137E663B" w14:textId="77777777" w:rsidR="002F590A" w:rsidRDefault="002F590A" w:rsidP="002F590A">
      <w:pPr>
        <w:ind w:left="10348" w:right="-31"/>
        <w:jc w:val="center"/>
        <w:rPr>
          <w:sz w:val="20"/>
          <w:szCs w:val="20"/>
        </w:rPr>
      </w:pPr>
    </w:p>
    <w:p w14:paraId="7324B3E1" w14:textId="77777777" w:rsidR="002F590A" w:rsidRDefault="002F590A" w:rsidP="002F590A">
      <w:pPr>
        <w:ind w:left="10348" w:right="-31"/>
        <w:jc w:val="center"/>
        <w:rPr>
          <w:sz w:val="20"/>
          <w:szCs w:val="20"/>
        </w:rPr>
      </w:pPr>
    </w:p>
    <w:p w14:paraId="6215C5C2" w14:textId="77777777" w:rsidR="002F590A" w:rsidRDefault="002F590A" w:rsidP="002F590A">
      <w:pPr>
        <w:ind w:left="10348" w:right="-31"/>
        <w:jc w:val="center"/>
        <w:rPr>
          <w:sz w:val="20"/>
          <w:szCs w:val="20"/>
        </w:rPr>
      </w:pPr>
    </w:p>
    <w:p w14:paraId="7850899A" w14:textId="77777777" w:rsidR="002F590A" w:rsidRDefault="002F590A" w:rsidP="002F590A">
      <w:pPr>
        <w:rPr>
          <w:sz w:val="20"/>
          <w:szCs w:val="20"/>
        </w:rPr>
        <w:sectPr w:rsidR="002F590A">
          <w:pgSz w:w="16838" w:h="11906" w:orient="landscape"/>
          <w:pgMar w:top="1701" w:right="1134" w:bottom="851" w:left="1134" w:header="709" w:footer="255" w:gutter="0"/>
          <w:cols w:space="720"/>
        </w:sectPr>
      </w:pPr>
    </w:p>
    <w:p w14:paraId="44BBC8E3" w14:textId="77777777" w:rsidR="002F590A" w:rsidRDefault="002F590A" w:rsidP="002F590A">
      <w:pPr>
        <w:ind w:left="284" w:right="536"/>
        <w:jc w:val="center"/>
        <w:rPr>
          <w:b/>
          <w:bCs/>
          <w:sz w:val="28"/>
          <w:szCs w:val="28"/>
        </w:rPr>
      </w:pPr>
      <w:r>
        <w:rPr>
          <w:b/>
          <w:bCs/>
          <w:sz w:val="28"/>
          <w:szCs w:val="28"/>
        </w:rPr>
        <w:t xml:space="preserve">Показатели надежности и энергетической эффективности объектов системы теплоснабжения </w:t>
      </w:r>
    </w:p>
    <w:p w14:paraId="731694B0" w14:textId="77777777" w:rsidR="002F590A" w:rsidRDefault="002F590A" w:rsidP="002F590A">
      <w:pPr>
        <w:autoSpaceDE w:val="0"/>
        <w:autoSpaceDN w:val="0"/>
        <w:adjustRightInd w:val="0"/>
        <w:jc w:val="center"/>
        <w:rPr>
          <w:b/>
          <w:color w:val="000000"/>
          <w:sz w:val="28"/>
          <w:szCs w:val="28"/>
        </w:rPr>
      </w:pPr>
      <w:bookmarkStart w:id="83" w:name="_Hlk89763356"/>
      <w:r>
        <w:rPr>
          <w:b/>
          <w:color w:val="000000"/>
          <w:sz w:val="28"/>
          <w:szCs w:val="28"/>
        </w:rPr>
        <w:t>ООО «Новосибирская теплосетевая компания» на потребительском рынке Кемеровского городского округа, Кемеровского муниципального округа, Топкинского муниципального округа</w:t>
      </w:r>
      <w:bookmarkEnd w:id="83"/>
      <w:r>
        <w:rPr>
          <w:b/>
          <w:color w:val="000000"/>
          <w:sz w:val="28"/>
          <w:szCs w:val="28"/>
        </w:rPr>
        <w:t xml:space="preserve"> </w:t>
      </w:r>
      <w:r>
        <w:rPr>
          <w:b/>
          <w:sz w:val="28"/>
          <w:szCs w:val="28"/>
        </w:rPr>
        <w:t>на 2022</w:t>
      </w:r>
      <w:r>
        <w:rPr>
          <w:b/>
          <w:color w:val="000000"/>
          <w:sz w:val="28"/>
          <w:szCs w:val="28"/>
        </w:rPr>
        <w:t xml:space="preserve"> - 2031 годы</w:t>
      </w:r>
    </w:p>
    <w:p w14:paraId="4453172D" w14:textId="77777777" w:rsidR="002F590A" w:rsidRDefault="002F590A" w:rsidP="002F590A">
      <w:pPr>
        <w:autoSpaceDE w:val="0"/>
        <w:autoSpaceDN w:val="0"/>
        <w:adjustRightInd w:val="0"/>
        <w:jc w:val="center"/>
        <w:rPr>
          <w:b/>
          <w:bCs/>
          <w:sz w:val="28"/>
          <w:szCs w:val="28"/>
        </w:rPr>
      </w:pPr>
    </w:p>
    <w:tbl>
      <w:tblPr>
        <w:tblW w:w="1497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
        <w:gridCol w:w="3287"/>
        <w:gridCol w:w="851"/>
        <w:gridCol w:w="476"/>
        <w:gridCol w:w="476"/>
        <w:gridCol w:w="476"/>
        <w:gridCol w:w="494"/>
        <w:gridCol w:w="476"/>
        <w:gridCol w:w="476"/>
        <w:gridCol w:w="476"/>
        <w:gridCol w:w="476"/>
        <w:gridCol w:w="476"/>
        <w:gridCol w:w="513"/>
        <w:gridCol w:w="715"/>
        <w:gridCol w:w="524"/>
        <w:gridCol w:w="476"/>
        <w:gridCol w:w="476"/>
        <w:gridCol w:w="488"/>
        <w:gridCol w:w="476"/>
        <w:gridCol w:w="476"/>
        <w:gridCol w:w="476"/>
        <w:gridCol w:w="476"/>
        <w:gridCol w:w="476"/>
        <w:gridCol w:w="567"/>
      </w:tblGrid>
      <w:tr w:rsidR="002F590A" w14:paraId="5E2661A9" w14:textId="77777777" w:rsidTr="002F590A">
        <w:trPr>
          <w:trHeight w:val="155"/>
        </w:trPr>
        <w:tc>
          <w:tcPr>
            <w:tcW w:w="399" w:type="dxa"/>
            <w:vMerge w:val="restart"/>
            <w:tcBorders>
              <w:top w:val="single" w:sz="4" w:space="0" w:color="auto"/>
              <w:left w:val="single" w:sz="4" w:space="0" w:color="auto"/>
              <w:bottom w:val="single" w:sz="4" w:space="0" w:color="auto"/>
              <w:right w:val="single" w:sz="4" w:space="0" w:color="auto"/>
            </w:tcBorders>
            <w:vAlign w:val="center"/>
            <w:hideMark/>
          </w:tcPr>
          <w:p w14:paraId="42AD0146" w14:textId="77777777" w:rsidR="002F590A" w:rsidRDefault="002F590A">
            <w:pPr>
              <w:jc w:val="center"/>
              <w:rPr>
                <w:color w:val="000000"/>
                <w:sz w:val="13"/>
                <w:szCs w:val="13"/>
              </w:rPr>
            </w:pPr>
            <w:r>
              <w:rPr>
                <w:color w:val="000000"/>
                <w:sz w:val="13"/>
                <w:szCs w:val="13"/>
              </w:rPr>
              <w:t>N п/п</w:t>
            </w:r>
          </w:p>
        </w:tc>
        <w:tc>
          <w:tcPr>
            <w:tcW w:w="3287" w:type="dxa"/>
            <w:vMerge w:val="restart"/>
            <w:tcBorders>
              <w:top w:val="single" w:sz="4" w:space="0" w:color="auto"/>
              <w:left w:val="single" w:sz="4" w:space="0" w:color="auto"/>
              <w:bottom w:val="single" w:sz="4" w:space="0" w:color="auto"/>
              <w:right w:val="single" w:sz="4" w:space="0" w:color="auto"/>
            </w:tcBorders>
            <w:vAlign w:val="center"/>
            <w:hideMark/>
          </w:tcPr>
          <w:p w14:paraId="0216B1CD" w14:textId="77777777" w:rsidR="002F590A" w:rsidRDefault="002F590A">
            <w:pPr>
              <w:jc w:val="center"/>
              <w:rPr>
                <w:color w:val="000000"/>
                <w:sz w:val="13"/>
                <w:szCs w:val="13"/>
              </w:rPr>
            </w:pPr>
            <w:r>
              <w:rPr>
                <w:color w:val="000000"/>
                <w:sz w:val="13"/>
                <w:szCs w:val="13"/>
              </w:rPr>
              <w:t>Наименование объекта</w:t>
            </w:r>
          </w:p>
        </w:tc>
        <w:tc>
          <w:tcPr>
            <w:tcW w:w="11292" w:type="dxa"/>
            <w:gridSpan w:val="22"/>
            <w:tcBorders>
              <w:top w:val="single" w:sz="4" w:space="0" w:color="auto"/>
              <w:left w:val="single" w:sz="4" w:space="0" w:color="auto"/>
              <w:bottom w:val="single" w:sz="4" w:space="0" w:color="auto"/>
              <w:right w:val="single" w:sz="4" w:space="0" w:color="auto"/>
            </w:tcBorders>
            <w:vAlign w:val="center"/>
            <w:hideMark/>
          </w:tcPr>
          <w:p w14:paraId="3BAFB102" w14:textId="77777777" w:rsidR="002F590A" w:rsidRDefault="002F590A">
            <w:pPr>
              <w:jc w:val="center"/>
              <w:rPr>
                <w:color w:val="000000"/>
                <w:sz w:val="13"/>
                <w:szCs w:val="13"/>
              </w:rPr>
            </w:pPr>
            <w:r>
              <w:rPr>
                <w:color w:val="000000"/>
                <w:sz w:val="13"/>
                <w:szCs w:val="13"/>
              </w:rPr>
              <w:t>Показатели надежности</w:t>
            </w:r>
          </w:p>
        </w:tc>
      </w:tr>
      <w:tr w:rsidR="002F590A" w14:paraId="7E830A18" w14:textId="77777777" w:rsidTr="002F590A">
        <w:trPr>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7D6943" w14:textId="77777777" w:rsidR="002F590A" w:rsidRDefault="002F590A">
            <w:pPr>
              <w:spacing w:line="256" w:lineRule="auto"/>
              <w:rPr>
                <w:color w:val="000000"/>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3BF326" w14:textId="77777777" w:rsidR="002F590A" w:rsidRDefault="002F590A">
            <w:pPr>
              <w:spacing w:line="256" w:lineRule="auto"/>
              <w:rPr>
                <w:color w:val="000000"/>
                <w:sz w:val="13"/>
                <w:szCs w:val="13"/>
              </w:rPr>
            </w:pPr>
          </w:p>
        </w:tc>
        <w:tc>
          <w:tcPr>
            <w:tcW w:w="5666" w:type="dxa"/>
            <w:gridSpan w:val="11"/>
            <w:tcBorders>
              <w:top w:val="single" w:sz="4" w:space="0" w:color="auto"/>
              <w:left w:val="single" w:sz="4" w:space="0" w:color="auto"/>
              <w:bottom w:val="single" w:sz="4" w:space="0" w:color="auto"/>
              <w:right w:val="single" w:sz="4" w:space="0" w:color="auto"/>
            </w:tcBorders>
            <w:vAlign w:val="center"/>
            <w:hideMark/>
          </w:tcPr>
          <w:p w14:paraId="6DEBE167" w14:textId="77777777" w:rsidR="002F590A" w:rsidRDefault="002F590A">
            <w:pPr>
              <w:jc w:val="center"/>
              <w:rPr>
                <w:color w:val="000000"/>
                <w:sz w:val="13"/>
                <w:szCs w:val="13"/>
              </w:rPr>
            </w:pPr>
            <w:r>
              <w:rPr>
                <w:color w:val="000000"/>
                <w:sz w:val="13"/>
                <w:szCs w:val="13"/>
              </w:rPr>
              <w:t>Количество прекращений подачи тепловой энергии, теплоносителя в результате технологических нарушений на тепловых сетях на 1 км тепловых сетей</w:t>
            </w:r>
          </w:p>
        </w:tc>
        <w:tc>
          <w:tcPr>
            <w:tcW w:w="5626" w:type="dxa"/>
            <w:gridSpan w:val="11"/>
            <w:tcBorders>
              <w:top w:val="single" w:sz="4" w:space="0" w:color="auto"/>
              <w:left w:val="single" w:sz="4" w:space="0" w:color="auto"/>
              <w:bottom w:val="single" w:sz="4" w:space="0" w:color="auto"/>
              <w:right w:val="single" w:sz="4" w:space="0" w:color="auto"/>
            </w:tcBorders>
            <w:vAlign w:val="center"/>
            <w:hideMark/>
          </w:tcPr>
          <w:p w14:paraId="0D33279A" w14:textId="77777777" w:rsidR="002F590A" w:rsidRDefault="002F590A">
            <w:pPr>
              <w:jc w:val="center"/>
              <w:rPr>
                <w:color w:val="000000"/>
                <w:sz w:val="13"/>
                <w:szCs w:val="13"/>
              </w:rPr>
            </w:pPr>
            <w:r>
              <w:rPr>
                <w:color w:val="000000"/>
                <w:sz w:val="13"/>
                <w:szCs w:val="13"/>
              </w:rP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tc>
      </w:tr>
      <w:tr w:rsidR="002F590A" w14:paraId="643BFE2F" w14:textId="77777777" w:rsidTr="002F590A">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27420B" w14:textId="77777777" w:rsidR="002F590A" w:rsidRDefault="002F590A">
            <w:pPr>
              <w:spacing w:line="256" w:lineRule="auto"/>
              <w:rPr>
                <w:color w:val="000000"/>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1D5544" w14:textId="77777777" w:rsidR="002F590A" w:rsidRDefault="002F590A">
            <w:pPr>
              <w:spacing w:line="256" w:lineRule="auto"/>
              <w:rPr>
                <w:color w:val="000000"/>
                <w:sz w:val="13"/>
                <w:szCs w:val="13"/>
              </w:rPr>
            </w:pP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0D5D1787" w14:textId="77777777" w:rsidR="002F590A" w:rsidRDefault="002F590A">
            <w:pPr>
              <w:jc w:val="center"/>
              <w:rPr>
                <w:color w:val="000000"/>
                <w:sz w:val="13"/>
                <w:szCs w:val="13"/>
              </w:rPr>
            </w:pPr>
            <w:r>
              <w:rPr>
                <w:color w:val="000000"/>
                <w:sz w:val="13"/>
                <w:szCs w:val="13"/>
              </w:rPr>
              <w:t>Текущее значение</w:t>
            </w:r>
          </w:p>
        </w:tc>
        <w:tc>
          <w:tcPr>
            <w:tcW w:w="4815" w:type="dxa"/>
            <w:gridSpan w:val="10"/>
            <w:tcBorders>
              <w:top w:val="single" w:sz="4" w:space="0" w:color="auto"/>
              <w:left w:val="single" w:sz="4" w:space="0" w:color="auto"/>
              <w:bottom w:val="single" w:sz="4" w:space="0" w:color="auto"/>
              <w:right w:val="single" w:sz="4" w:space="0" w:color="auto"/>
            </w:tcBorders>
            <w:vAlign w:val="center"/>
            <w:hideMark/>
          </w:tcPr>
          <w:p w14:paraId="475C5967" w14:textId="77777777" w:rsidR="002F590A" w:rsidRDefault="002F590A">
            <w:pPr>
              <w:jc w:val="center"/>
              <w:rPr>
                <w:color w:val="000000"/>
                <w:sz w:val="13"/>
                <w:szCs w:val="13"/>
              </w:rPr>
            </w:pPr>
            <w:r>
              <w:rPr>
                <w:color w:val="000000"/>
                <w:sz w:val="13"/>
                <w:szCs w:val="13"/>
              </w:rPr>
              <w:t>Плановое значение</w:t>
            </w:r>
          </w:p>
        </w:tc>
        <w:tc>
          <w:tcPr>
            <w:tcW w:w="715" w:type="dxa"/>
            <w:vMerge w:val="restart"/>
            <w:tcBorders>
              <w:top w:val="single" w:sz="4" w:space="0" w:color="auto"/>
              <w:left w:val="single" w:sz="4" w:space="0" w:color="auto"/>
              <w:bottom w:val="single" w:sz="4" w:space="0" w:color="auto"/>
              <w:right w:val="single" w:sz="4" w:space="0" w:color="auto"/>
            </w:tcBorders>
            <w:vAlign w:val="center"/>
            <w:hideMark/>
          </w:tcPr>
          <w:p w14:paraId="3CDEA992" w14:textId="77777777" w:rsidR="002F590A" w:rsidRDefault="002F590A">
            <w:pPr>
              <w:jc w:val="center"/>
              <w:rPr>
                <w:color w:val="000000"/>
                <w:sz w:val="13"/>
                <w:szCs w:val="13"/>
              </w:rPr>
            </w:pPr>
            <w:r>
              <w:rPr>
                <w:color w:val="000000"/>
                <w:sz w:val="13"/>
                <w:szCs w:val="13"/>
              </w:rPr>
              <w:t>Текущее значение</w:t>
            </w:r>
          </w:p>
        </w:tc>
        <w:tc>
          <w:tcPr>
            <w:tcW w:w="4911" w:type="dxa"/>
            <w:gridSpan w:val="10"/>
            <w:tcBorders>
              <w:top w:val="single" w:sz="4" w:space="0" w:color="auto"/>
              <w:left w:val="single" w:sz="4" w:space="0" w:color="auto"/>
              <w:bottom w:val="single" w:sz="4" w:space="0" w:color="auto"/>
              <w:right w:val="single" w:sz="4" w:space="0" w:color="auto"/>
            </w:tcBorders>
            <w:vAlign w:val="center"/>
            <w:hideMark/>
          </w:tcPr>
          <w:p w14:paraId="451C281F" w14:textId="77777777" w:rsidR="002F590A" w:rsidRDefault="002F590A">
            <w:pPr>
              <w:jc w:val="center"/>
              <w:rPr>
                <w:color w:val="000000"/>
                <w:sz w:val="13"/>
                <w:szCs w:val="13"/>
              </w:rPr>
            </w:pPr>
            <w:r>
              <w:rPr>
                <w:color w:val="000000"/>
                <w:sz w:val="13"/>
                <w:szCs w:val="13"/>
              </w:rPr>
              <w:t>Плановое значение</w:t>
            </w:r>
          </w:p>
        </w:tc>
      </w:tr>
      <w:tr w:rsidR="002F590A" w14:paraId="0420F144" w14:textId="77777777" w:rsidTr="002F590A">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933181" w14:textId="77777777" w:rsidR="002F590A" w:rsidRDefault="002F590A">
            <w:pPr>
              <w:spacing w:line="256" w:lineRule="auto"/>
              <w:rPr>
                <w:color w:val="000000"/>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DF194C" w14:textId="77777777" w:rsidR="002F590A" w:rsidRDefault="002F590A">
            <w:pPr>
              <w:spacing w:line="256" w:lineRule="auto"/>
              <w:rPr>
                <w:color w:val="000000"/>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DA6721" w14:textId="77777777" w:rsidR="002F590A" w:rsidRDefault="002F590A">
            <w:pPr>
              <w:spacing w:line="256" w:lineRule="auto"/>
              <w:rPr>
                <w:color w:val="000000"/>
                <w:sz w:val="13"/>
                <w:szCs w:val="13"/>
              </w:rPr>
            </w:pPr>
          </w:p>
        </w:tc>
        <w:tc>
          <w:tcPr>
            <w:tcW w:w="476" w:type="dxa"/>
            <w:tcBorders>
              <w:top w:val="single" w:sz="4" w:space="0" w:color="auto"/>
              <w:left w:val="single" w:sz="4" w:space="0" w:color="auto"/>
              <w:bottom w:val="single" w:sz="4" w:space="0" w:color="auto"/>
              <w:right w:val="single" w:sz="4" w:space="0" w:color="auto"/>
            </w:tcBorders>
            <w:vAlign w:val="center"/>
            <w:hideMark/>
          </w:tcPr>
          <w:p w14:paraId="67B333C1" w14:textId="77777777" w:rsidR="002F590A" w:rsidRDefault="002F590A">
            <w:pPr>
              <w:jc w:val="center"/>
              <w:rPr>
                <w:color w:val="000000"/>
                <w:sz w:val="13"/>
                <w:szCs w:val="13"/>
              </w:rPr>
            </w:pPr>
            <w:r>
              <w:rPr>
                <w:color w:val="000000"/>
                <w:sz w:val="13"/>
                <w:szCs w:val="13"/>
              </w:rPr>
              <w:t>2022</w:t>
            </w:r>
          </w:p>
        </w:tc>
        <w:tc>
          <w:tcPr>
            <w:tcW w:w="476" w:type="dxa"/>
            <w:tcBorders>
              <w:top w:val="single" w:sz="4" w:space="0" w:color="auto"/>
              <w:left w:val="single" w:sz="4" w:space="0" w:color="auto"/>
              <w:bottom w:val="single" w:sz="4" w:space="0" w:color="auto"/>
              <w:right w:val="single" w:sz="4" w:space="0" w:color="auto"/>
            </w:tcBorders>
            <w:vAlign w:val="center"/>
            <w:hideMark/>
          </w:tcPr>
          <w:p w14:paraId="60D559FD" w14:textId="77777777" w:rsidR="002F590A" w:rsidRDefault="002F590A">
            <w:pPr>
              <w:jc w:val="center"/>
              <w:rPr>
                <w:color w:val="000000"/>
                <w:sz w:val="13"/>
                <w:szCs w:val="13"/>
              </w:rPr>
            </w:pPr>
            <w:r>
              <w:rPr>
                <w:color w:val="000000"/>
                <w:sz w:val="13"/>
                <w:szCs w:val="13"/>
              </w:rPr>
              <w:t>2023</w:t>
            </w:r>
          </w:p>
        </w:tc>
        <w:tc>
          <w:tcPr>
            <w:tcW w:w="476" w:type="dxa"/>
            <w:tcBorders>
              <w:top w:val="single" w:sz="4" w:space="0" w:color="auto"/>
              <w:left w:val="single" w:sz="4" w:space="0" w:color="auto"/>
              <w:bottom w:val="single" w:sz="4" w:space="0" w:color="auto"/>
              <w:right w:val="single" w:sz="4" w:space="0" w:color="auto"/>
            </w:tcBorders>
            <w:vAlign w:val="center"/>
            <w:hideMark/>
          </w:tcPr>
          <w:p w14:paraId="73EA27CF" w14:textId="77777777" w:rsidR="002F590A" w:rsidRDefault="002F590A">
            <w:pPr>
              <w:jc w:val="center"/>
              <w:rPr>
                <w:color w:val="000000"/>
                <w:sz w:val="13"/>
                <w:szCs w:val="13"/>
              </w:rPr>
            </w:pPr>
            <w:r>
              <w:rPr>
                <w:color w:val="000000"/>
                <w:sz w:val="13"/>
                <w:szCs w:val="13"/>
              </w:rPr>
              <w:t>2024</w:t>
            </w:r>
          </w:p>
        </w:tc>
        <w:tc>
          <w:tcPr>
            <w:tcW w:w="494" w:type="dxa"/>
            <w:tcBorders>
              <w:top w:val="single" w:sz="4" w:space="0" w:color="auto"/>
              <w:left w:val="single" w:sz="4" w:space="0" w:color="auto"/>
              <w:bottom w:val="single" w:sz="4" w:space="0" w:color="auto"/>
              <w:right w:val="single" w:sz="4" w:space="0" w:color="auto"/>
            </w:tcBorders>
            <w:vAlign w:val="center"/>
            <w:hideMark/>
          </w:tcPr>
          <w:p w14:paraId="7906156D" w14:textId="77777777" w:rsidR="002F590A" w:rsidRDefault="002F590A">
            <w:pPr>
              <w:jc w:val="center"/>
              <w:rPr>
                <w:color w:val="000000"/>
                <w:sz w:val="13"/>
                <w:szCs w:val="13"/>
              </w:rPr>
            </w:pPr>
            <w:r>
              <w:rPr>
                <w:color w:val="000000"/>
                <w:sz w:val="13"/>
                <w:szCs w:val="13"/>
              </w:rPr>
              <w:t>2025</w:t>
            </w:r>
          </w:p>
        </w:tc>
        <w:tc>
          <w:tcPr>
            <w:tcW w:w="476" w:type="dxa"/>
            <w:tcBorders>
              <w:top w:val="single" w:sz="4" w:space="0" w:color="auto"/>
              <w:left w:val="single" w:sz="4" w:space="0" w:color="auto"/>
              <w:bottom w:val="single" w:sz="4" w:space="0" w:color="auto"/>
              <w:right w:val="single" w:sz="4" w:space="0" w:color="auto"/>
            </w:tcBorders>
            <w:vAlign w:val="center"/>
            <w:hideMark/>
          </w:tcPr>
          <w:p w14:paraId="7970DFB8" w14:textId="77777777" w:rsidR="002F590A" w:rsidRDefault="002F590A">
            <w:pPr>
              <w:jc w:val="center"/>
              <w:rPr>
                <w:color w:val="000000"/>
                <w:sz w:val="13"/>
                <w:szCs w:val="13"/>
              </w:rPr>
            </w:pPr>
            <w:r>
              <w:rPr>
                <w:color w:val="000000"/>
                <w:sz w:val="13"/>
                <w:szCs w:val="13"/>
              </w:rPr>
              <w:t>2026</w:t>
            </w:r>
          </w:p>
        </w:tc>
        <w:tc>
          <w:tcPr>
            <w:tcW w:w="476" w:type="dxa"/>
            <w:tcBorders>
              <w:top w:val="single" w:sz="4" w:space="0" w:color="auto"/>
              <w:left w:val="single" w:sz="4" w:space="0" w:color="auto"/>
              <w:bottom w:val="single" w:sz="4" w:space="0" w:color="auto"/>
              <w:right w:val="single" w:sz="4" w:space="0" w:color="auto"/>
            </w:tcBorders>
            <w:vAlign w:val="center"/>
            <w:hideMark/>
          </w:tcPr>
          <w:p w14:paraId="7A43900C" w14:textId="77777777" w:rsidR="002F590A" w:rsidRDefault="002F590A">
            <w:pPr>
              <w:jc w:val="center"/>
              <w:rPr>
                <w:color w:val="000000"/>
                <w:sz w:val="13"/>
                <w:szCs w:val="13"/>
              </w:rPr>
            </w:pPr>
            <w:r>
              <w:rPr>
                <w:color w:val="000000"/>
                <w:sz w:val="13"/>
                <w:szCs w:val="13"/>
              </w:rPr>
              <w:t>2027</w:t>
            </w:r>
          </w:p>
        </w:tc>
        <w:tc>
          <w:tcPr>
            <w:tcW w:w="476" w:type="dxa"/>
            <w:tcBorders>
              <w:top w:val="single" w:sz="4" w:space="0" w:color="auto"/>
              <w:left w:val="single" w:sz="4" w:space="0" w:color="auto"/>
              <w:bottom w:val="single" w:sz="4" w:space="0" w:color="auto"/>
              <w:right w:val="single" w:sz="4" w:space="0" w:color="auto"/>
            </w:tcBorders>
            <w:vAlign w:val="center"/>
            <w:hideMark/>
          </w:tcPr>
          <w:p w14:paraId="0CFA2675" w14:textId="77777777" w:rsidR="002F590A" w:rsidRDefault="002F590A">
            <w:pPr>
              <w:jc w:val="center"/>
              <w:rPr>
                <w:color w:val="000000"/>
                <w:sz w:val="13"/>
                <w:szCs w:val="13"/>
              </w:rPr>
            </w:pPr>
            <w:r>
              <w:rPr>
                <w:color w:val="000000"/>
                <w:sz w:val="13"/>
                <w:szCs w:val="13"/>
              </w:rPr>
              <w:t>2028</w:t>
            </w:r>
          </w:p>
        </w:tc>
        <w:tc>
          <w:tcPr>
            <w:tcW w:w="476" w:type="dxa"/>
            <w:tcBorders>
              <w:top w:val="single" w:sz="4" w:space="0" w:color="auto"/>
              <w:left w:val="single" w:sz="4" w:space="0" w:color="auto"/>
              <w:bottom w:val="single" w:sz="4" w:space="0" w:color="auto"/>
              <w:right w:val="single" w:sz="4" w:space="0" w:color="auto"/>
            </w:tcBorders>
            <w:vAlign w:val="center"/>
            <w:hideMark/>
          </w:tcPr>
          <w:p w14:paraId="73A200FC" w14:textId="77777777" w:rsidR="002F590A" w:rsidRDefault="002F590A">
            <w:pPr>
              <w:jc w:val="center"/>
              <w:rPr>
                <w:color w:val="000000"/>
                <w:sz w:val="13"/>
                <w:szCs w:val="13"/>
              </w:rPr>
            </w:pPr>
            <w:r>
              <w:rPr>
                <w:color w:val="000000"/>
                <w:sz w:val="13"/>
                <w:szCs w:val="13"/>
              </w:rPr>
              <w:t>2029</w:t>
            </w:r>
          </w:p>
        </w:tc>
        <w:tc>
          <w:tcPr>
            <w:tcW w:w="476" w:type="dxa"/>
            <w:tcBorders>
              <w:top w:val="single" w:sz="4" w:space="0" w:color="auto"/>
              <w:left w:val="single" w:sz="4" w:space="0" w:color="auto"/>
              <w:bottom w:val="single" w:sz="4" w:space="0" w:color="auto"/>
              <w:right w:val="single" w:sz="4" w:space="0" w:color="auto"/>
            </w:tcBorders>
            <w:vAlign w:val="center"/>
            <w:hideMark/>
          </w:tcPr>
          <w:p w14:paraId="290CC360" w14:textId="77777777" w:rsidR="002F590A" w:rsidRDefault="002F590A">
            <w:pPr>
              <w:jc w:val="center"/>
              <w:rPr>
                <w:color w:val="000000"/>
                <w:sz w:val="13"/>
                <w:szCs w:val="13"/>
              </w:rPr>
            </w:pPr>
            <w:r>
              <w:rPr>
                <w:color w:val="000000"/>
                <w:sz w:val="13"/>
                <w:szCs w:val="13"/>
              </w:rPr>
              <w:t>2030</w:t>
            </w:r>
          </w:p>
        </w:tc>
        <w:tc>
          <w:tcPr>
            <w:tcW w:w="513" w:type="dxa"/>
            <w:tcBorders>
              <w:top w:val="single" w:sz="4" w:space="0" w:color="auto"/>
              <w:left w:val="single" w:sz="4" w:space="0" w:color="auto"/>
              <w:bottom w:val="single" w:sz="4" w:space="0" w:color="auto"/>
              <w:right w:val="single" w:sz="4" w:space="0" w:color="auto"/>
            </w:tcBorders>
            <w:vAlign w:val="center"/>
            <w:hideMark/>
          </w:tcPr>
          <w:p w14:paraId="69B00F37" w14:textId="77777777" w:rsidR="002F590A" w:rsidRDefault="002F590A">
            <w:pPr>
              <w:jc w:val="center"/>
              <w:rPr>
                <w:color w:val="000000"/>
                <w:sz w:val="13"/>
                <w:szCs w:val="13"/>
              </w:rPr>
            </w:pPr>
            <w:r>
              <w:rPr>
                <w:color w:val="000000"/>
                <w:sz w:val="13"/>
                <w:szCs w:val="13"/>
              </w:rPr>
              <w:t>2031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44ACEA" w14:textId="77777777" w:rsidR="002F590A" w:rsidRDefault="002F590A">
            <w:pPr>
              <w:spacing w:line="256" w:lineRule="auto"/>
              <w:rPr>
                <w:color w:val="000000"/>
                <w:sz w:val="13"/>
                <w:szCs w:val="13"/>
              </w:rPr>
            </w:pPr>
          </w:p>
        </w:tc>
        <w:tc>
          <w:tcPr>
            <w:tcW w:w="524" w:type="dxa"/>
            <w:tcBorders>
              <w:top w:val="single" w:sz="4" w:space="0" w:color="auto"/>
              <w:left w:val="single" w:sz="4" w:space="0" w:color="auto"/>
              <w:bottom w:val="single" w:sz="4" w:space="0" w:color="auto"/>
              <w:right w:val="single" w:sz="4" w:space="0" w:color="auto"/>
            </w:tcBorders>
            <w:vAlign w:val="center"/>
            <w:hideMark/>
          </w:tcPr>
          <w:p w14:paraId="3FAA511E" w14:textId="77777777" w:rsidR="002F590A" w:rsidRDefault="002F590A">
            <w:pPr>
              <w:jc w:val="center"/>
              <w:rPr>
                <w:color w:val="000000"/>
                <w:sz w:val="13"/>
                <w:szCs w:val="13"/>
              </w:rPr>
            </w:pPr>
            <w:r>
              <w:rPr>
                <w:color w:val="000000"/>
                <w:sz w:val="13"/>
                <w:szCs w:val="13"/>
              </w:rPr>
              <w:t>2022</w:t>
            </w:r>
          </w:p>
        </w:tc>
        <w:tc>
          <w:tcPr>
            <w:tcW w:w="476" w:type="dxa"/>
            <w:tcBorders>
              <w:top w:val="single" w:sz="4" w:space="0" w:color="auto"/>
              <w:left w:val="single" w:sz="4" w:space="0" w:color="auto"/>
              <w:bottom w:val="single" w:sz="4" w:space="0" w:color="auto"/>
              <w:right w:val="single" w:sz="4" w:space="0" w:color="auto"/>
            </w:tcBorders>
            <w:vAlign w:val="center"/>
            <w:hideMark/>
          </w:tcPr>
          <w:p w14:paraId="03F6CA03" w14:textId="77777777" w:rsidR="002F590A" w:rsidRDefault="002F590A">
            <w:pPr>
              <w:jc w:val="center"/>
              <w:rPr>
                <w:color w:val="000000"/>
                <w:sz w:val="13"/>
                <w:szCs w:val="13"/>
              </w:rPr>
            </w:pPr>
            <w:r>
              <w:rPr>
                <w:color w:val="000000"/>
                <w:sz w:val="13"/>
                <w:szCs w:val="13"/>
              </w:rPr>
              <w:t>2023</w:t>
            </w:r>
          </w:p>
        </w:tc>
        <w:tc>
          <w:tcPr>
            <w:tcW w:w="476" w:type="dxa"/>
            <w:tcBorders>
              <w:top w:val="single" w:sz="4" w:space="0" w:color="auto"/>
              <w:left w:val="single" w:sz="4" w:space="0" w:color="auto"/>
              <w:bottom w:val="single" w:sz="4" w:space="0" w:color="auto"/>
              <w:right w:val="single" w:sz="4" w:space="0" w:color="auto"/>
            </w:tcBorders>
            <w:vAlign w:val="center"/>
            <w:hideMark/>
          </w:tcPr>
          <w:p w14:paraId="2DB08DF6" w14:textId="77777777" w:rsidR="002F590A" w:rsidRDefault="002F590A">
            <w:pPr>
              <w:jc w:val="center"/>
              <w:rPr>
                <w:color w:val="000000"/>
                <w:sz w:val="13"/>
                <w:szCs w:val="13"/>
              </w:rPr>
            </w:pPr>
            <w:r>
              <w:rPr>
                <w:color w:val="000000"/>
                <w:sz w:val="13"/>
                <w:szCs w:val="13"/>
              </w:rPr>
              <w:t>2024</w:t>
            </w:r>
          </w:p>
        </w:tc>
        <w:tc>
          <w:tcPr>
            <w:tcW w:w="488" w:type="dxa"/>
            <w:tcBorders>
              <w:top w:val="single" w:sz="4" w:space="0" w:color="auto"/>
              <w:left w:val="single" w:sz="4" w:space="0" w:color="auto"/>
              <w:bottom w:val="single" w:sz="4" w:space="0" w:color="auto"/>
              <w:right w:val="single" w:sz="4" w:space="0" w:color="auto"/>
            </w:tcBorders>
            <w:vAlign w:val="center"/>
            <w:hideMark/>
          </w:tcPr>
          <w:p w14:paraId="6942EB09" w14:textId="77777777" w:rsidR="002F590A" w:rsidRDefault="002F590A">
            <w:pPr>
              <w:jc w:val="center"/>
              <w:rPr>
                <w:color w:val="000000"/>
                <w:sz w:val="13"/>
                <w:szCs w:val="13"/>
              </w:rPr>
            </w:pPr>
            <w:r>
              <w:rPr>
                <w:color w:val="000000"/>
                <w:sz w:val="13"/>
                <w:szCs w:val="13"/>
              </w:rPr>
              <w:t>2025</w:t>
            </w:r>
          </w:p>
        </w:tc>
        <w:tc>
          <w:tcPr>
            <w:tcW w:w="476" w:type="dxa"/>
            <w:tcBorders>
              <w:top w:val="single" w:sz="4" w:space="0" w:color="auto"/>
              <w:left w:val="single" w:sz="4" w:space="0" w:color="auto"/>
              <w:bottom w:val="single" w:sz="4" w:space="0" w:color="auto"/>
              <w:right w:val="single" w:sz="4" w:space="0" w:color="auto"/>
            </w:tcBorders>
            <w:vAlign w:val="center"/>
            <w:hideMark/>
          </w:tcPr>
          <w:p w14:paraId="473F9BD9" w14:textId="77777777" w:rsidR="002F590A" w:rsidRDefault="002F590A">
            <w:pPr>
              <w:jc w:val="center"/>
              <w:rPr>
                <w:color w:val="000000"/>
                <w:sz w:val="13"/>
                <w:szCs w:val="13"/>
              </w:rPr>
            </w:pPr>
            <w:r>
              <w:rPr>
                <w:color w:val="000000"/>
                <w:sz w:val="13"/>
                <w:szCs w:val="13"/>
              </w:rPr>
              <w:t>2026</w:t>
            </w:r>
          </w:p>
        </w:tc>
        <w:tc>
          <w:tcPr>
            <w:tcW w:w="476" w:type="dxa"/>
            <w:tcBorders>
              <w:top w:val="single" w:sz="4" w:space="0" w:color="auto"/>
              <w:left w:val="single" w:sz="4" w:space="0" w:color="auto"/>
              <w:bottom w:val="single" w:sz="4" w:space="0" w:color="auto"/>
              <w:right w:val="single" w:sz="4" w:space="0" w:color="auto"/>
            </w:tcBorders>
            <w:vAlign w:val="center"/>
            <w:hideMark/>
          </w:tcPr>
          <w:p w14:paraId="6E4ABD07" w14:textId="77777777" w:rsidR="002F590A" w:rsidRDefault="002F590A">
            <w:pPr>
              <w:jc w:val="center"/>
              <w:rPr>
                <w:color w:val="000000"/>
                <w:sz w:val="13"/>
                <w:szCs w:val="13"/>
              </w:rPr>
            </w:pPr>
            <w:r>
              <w:rPr>
                <w:color w:val="000000"/>
                <w:sz w:val="13"/>
                <w:szCs w:val="13"/>
              </w:rPr>
              <w:t>2027</w:t>
            </w:r>
          </w:p>
        </w:tc>
        <w:tc>
          <w:tcPr>
            <w:tcW w:w="476" w:type="dxa"/>
            <w:tcBorders>
              <w:top w:val="single" w:sz="4" w:space="0" w:color="auto"/>
              <w:left w:val="single" w:sz="4" w:space="0" w:color="auto"/>
              <w:bottom w:val="single" w:sz="4" w:space="0" w:color="auto"/>
              <w:right w:val="single" w:sz="4" w:space="0" w:color="auto"/>
            </w:tcBorders>
            <w:vAlign w:val="center"/>
            <w:hideMark/>
          </w:tcPr>
          <w:p w14:paraId="4442B6A5" w14:textId="77777777" w:rsidR="002F590A" w:rsidRDefault="002F590A">
            <w:pPr>
              <w:jc w:val="center"/>
              <w:rPr>
                <w:color w:val="000000"/>
                <w:sz w:val="13"/>
                <w:szCs w:val="13"/>
              </w:rPr>
            </w:pPr>
            <w:r>
              <w:rPr>
                <w:color w:val="000000"/>
                <w:sz w:val="13"/>
                <w:szCs w:val="13"/>
              </w:rPr>
              <w:t>2028</w:t>
            </w:r>
          </w:p>
        </w:tc>
        <w:tc>
          <w:tcPr>
            <w:tcW w:w="476" w:type="dxa"/>
            <w:tcBorders>
              <w:top w:val="single" w:sz="4" w:space="0" w:color="auto"/>
              <w:left w:val="single" w:sz="4" w:space="0" w:color="auto"/>
              <w:bottom w:val="single" w:sz="4" w:space="0" w:color="auto"/>
              <w:right w:val="single" w:sz="4" w:space="0" w:color="auto"/>
            </w:tcBorders>
            <w:vAlign w:val="center"/>
            <w:hideMark/>
          </w:tcPr>
          <w:p w14:paraId="4E65B095" w14:textId="77777777" w:rsidR="002F590A" w:rsidRDefault="002F590A">
            <w:pPr>
              <w:jc w:val="center"/>
              <w:rPr>
                <w:color w:val="000000"/>
                <w:sz w:val="13"/>
                <w:szCs w:val="13"/>
              </w:rPr>
            </w:pPr>
            <w:r>
              <w:rPr>
                <w:color w:val="000000"/>
                <w:sz w:val="13"/>
                <w:szCs w:val="13"/>
              </w:rPr>
              <w:t>2029</w:t>
            </w:r>
          </w:p>
        </w:tc>
        <w:tc>
          <w:tcPr>
            <w:tcW w:w="476" w:type="dxa"/>
            <w:tcBorders>
              <w:top w:val="single" w:sz="4" w:space="0" w:color="auto"/>
              <w:left w:val="single" w:sz="4" w:space="0" w:color="auto"/>
              <w:bottom w:val="single" w:sz="4" w:space="0" w:color="auto"/>
              <w:right w:val="single" w:sz="4" w:space="0" w:color="auto"/>
            </w:tcBorders>
            <w:vAlign w:val="center"/>
            <w:hideMark/>
          </w:tcPr>
          <w:p w14:paraId="2E341966" w14:textId="77777777" w:rsidR="002F590A" w:rsidRDefault="002F590A">
            <w:pPr>
              <w:jc w:val="center"/>
              <w:rPr>
                <w:color w:val="000000"/>
                <w:sz w:val="13"/>
                <w:szCs w:val="13"/>
              </w:rPr>
            </w:pPr>
            <w:r>
              <w:rPr>
                <w:color w:val="000000"/>
                <w:sz w:val="13"/>
                <w:szCs w:val="13"/>
              </w:rPr>
              <w:t>2030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FBF2CA8" w14:textId="77777777" w:rsidR="002F590A" w:rsidRDefault="002F590A">
            <w:pPr>
              <w:jc w:val="center"/>
              <w:rPr>
                <w:color w:val="000000"/>
                <w:sz w:val="13"/>
                <w:szCs w:val="13"/>
              </w:rPr>
            </w:pPr>
            <w:r>
              <w:rPr>
                <w:color w:val="000000"/>
                <w:sz w:val="13"/>
                <w:szCs w:val="13"/>
              </w:rPr>
              <w:t>2031</w:t>
            </w:r>
          </w:p>
        </w:tc>
      </w:tr>
      <w:tr w:rsidR="002F590A" w14:paraId="197EC59E" w14:textId="77777777" w:rsidTr="002F590A">
        <w:trPr>
          <w:trHeight w:val="315"/>
        </w:trPr>
        <w:tc>
          <w:tcPr>
            <w:tcW w:w="399" w:type="dxa"/>
            <w:tcBorders>
              <w:top w:val="single" w:sz="4" w:space="0" w:color="auto"/>
              <w:left w:val="single" w:sz="4" w:space="0" w:color="auto"/>
              <w:bottom w:val="single" w:sz="4" w:space="0" w:color="auto"/>
              <w:right w:val="single" w:sz="4" w:space="0" w:color="auto"/>
            </w:tcBorders>
            <w:hideMark/>
          </w:tcPr>
          <w:p w14:paraId="7ED47512" w14:textId="77777777" w:rsidR="002F590A" w:rsidRDefault="002F590A">
            <w:pPr>
              <w:jc w:val="center"/>
              <w:rPr>
                <w:color w:val="000000"/>
                <w:sz w:val="13"/>
                <w:szCs w:val="13"/>
              </w:rPr>
            </w:pPr>
            <w:r>
              <w:rPr>
                <w:color w:val="000000"/>
                <w:sz w:val="13"/>
                <w:szCs w:val="13"/>
              </w:rPr>
              <w:t>1</w:t>
            </w:r>
          </w:p>
        </w:tc>
        <w:tc>
          <w:tcPr>
            <w:tcW w:w="3287" w:type="dxa"/>
            <w:tcBorders>
              <w:top w:val="single" w:sz="4" w:space="0" w:color="auto"/>
              <w:left w:val="single" w:sz="4" w:space="0" w:color="auto"/>
              <w:bottom w:val="single" w:sz="4" w:space="0" w:color="auto"/>
              <w:right w:val="single" w:sz="4" w:space="0" w:color="auto"/>
            </w:tcBorders>
            <w:hideMark/>
          </w:tcPr>
          <w:p w14:paraId="379C3CA9" w14:textId="77777777" w:rsidR="002F590A" w:rsidRDefault="002F590A">
            <w:pPr>
              <w:jc w:val="center"/>
              <w:rPr>
                <w:color w:val="000000"/>
                <w:sz w:val="13"/>
                <w:szCs w:val="13"/>
              </w:rPr>
            </w:pPr>
            <w:r>
              <w:rPr>
                <w:color w:val="000000"/>
                <w:sz w:val="13"/>
                <w:szCs w:val="13"/>
              </w:rPr>
              <w:t>2</w:t>
            </w:r>
          </w:p>
        </w:tc>
        <w:tc>
          <w:tcPr>
            <w:tcW w:w="851" w:type="dxa"/>
            <w:tcBorders>
              <w:top w:val="single" w:sz="4" w:space="0" w:color="auto"/>
              <w:left w:val="single" w:sz="4" w:space="0" w:color="auto"/>
              <w:bottom w:val="single" w:sz="4" w:space="0" w:color="auto"/>
              <w:right w:val="single" w:sz="4" w:space="0" w:color="auto"/>
            </w:tcBorders>
            <w:hideMark/>
          </w:tcPr>
          <w:p w14:paraId="7FCFE274" w14:textId="77777777" w:rsidR="002F590A" w:rsidRDefault="002F590A">
            <w:pPr>
              <w:jc w:val="center"/>
              <w:rPr>
                <w:color w:val="000000"/>
                <w:sz w:val="13"/>
                <w:szCs w:val="13"/>
              </w:rPr>
            </w:pPr>
            <w:r>
              <w:rPr>
                <w:color w:val="000000"/>
                <w:sz w:val="13"/>
                <w:szCs w:val="13"/>
              </w:rPr>
              <w:t>3</w:t>
            </w:r>
          </w:p>
        </w:tc>
        <w:tc>
          <w:tcPr>
            <w:tcW w:w="476" w:type="dxa"/>
            <w:tcBorders>
              <w:top w:val="single" w:sz="4" w:space="0" w:color="auto"/>
              <w:left w:val="single" w:sz="4" w:space="0" w:color="auto"/>
              <w:bottom w:val="single" w:sz="4" w:space="0" w:color="auto"/>
              <w:right w:val="single" w:sz="4" w:space="0" w:color="auto"/>
            </w:tcBorders>
            <w:hideMark/>
          </w:tcPr>
          <w:p w14:paraId="652F6BC8" w14:textId="77777777" w:rsidR="002F590A" w:rsidRDefault="002F590A">
            <w:pPr>
              <w:jc w:val="center"/>
              <w:rPr>
                <w:color w:val="000000"/>
                <w:sz w:val="13"/>
                <w:szCs w:val="13"/>
              </w:rPr>
            </w:pPr>
            <w:r>
              <w:rPr>
                <w:color w:val="000000"/>
                <w:sz w:val="13"/>
                <w:szCs w:val="13"/>
              </w:rPr>
              <w:t>4</w:t>
            </w:r>
          </w:p>
        </w:tc>
        <w:tc>
          <w:tcPr>
            <w:tcW w:w="476" w:type="dxa"/>
            <w:tcBorders>
              <w:top w:val="single" w:sz="4" w:space="0" w:color="auto"/>
              <w:left w:val="single" w:sz="4" w:space="0" w:color="auto"/>
              <w:bottom w:val="single" w:sz="4" w:space="0" w:color="auto"/>
              <w:right w:val="single" w:sz="4" w:space="0" w:color="auto"/>
            </w:tcBorders>
            <w:hideMark/>
          </w:tcPr>
          <w:p w14:paraId="6746CA5F" w14:textId="77777777" w:rsidR="002F590A" w:rsidRDefault="002F590A">
            <w:pPr>
              <w:jc w:val="center"/>
              <w:rPr>
                <w:color w:val="000000"/>
                <w:sz w:val="13"/>
                <w:szCs w:val="13"/>
              </w:rPr>
            </w:pPr>
            <w:r>
              <w:rPr>
                <w:color w:val="000000"/>
                <w:sz w:val="13"/>
                <w:szCs w:val="13"/>
              </w:rPr>
              <w:t>5</w:t>
            </w:r>
          </w:p>
        </w:tc>
        <w:tc>
          <w:tcPr>
            <w:tcW w:w="476" w:type="dxa"/>
            <w:tcBorders>
              <w:top w:val="single" w:sz="4" w:space="0" w:color="auto"/>
              <w:left w:val="single" w:sz="4" w:space="0" w:color="auto"/>
              <w:bottom w:val="single" w:sz="4" w:space="0" w:color="auto"/>
              <w:right w:val="single" w:sz="4" w:space="0" w:color="auto"/>
            </w:tcBorders>
            <w:hideMark/>
          </w:tcPr>
          <w:p w14:paraId="21CE7BE0" w14:textId="77777777" w:rsidR="002F590A" w:rsidRDefault="002F590A">
            <w:pPr>
              <w:jc w:val="center"/>
              <w:rPr>
                <w:color w:val="000000"/>
                <w:sz w:val="13"/>
                <w:szCs w:val="13"/>
              </w:rPr>
            </w:pPr>
            <w:r>
              <w:rPr>
                <w:color w:val="000000"/>
                <w:sz w:val="13"/>
                <w:szCs w:val="13"/>
              </w:rPr>
              <w:t>6</w:t>
            </w:r>
          </w:p>
        </w:tc>
        <w:tc>
          <w:tcPr>
            <w:tcW w:w="494" w:type="dxa"/>
            <w:tcBorders>
              <w:top w:val="single" w:sz="4" w:space="0" w:color="auto"/>
              <w:left w:val="single" w:sz="4" w:space="0" w:color="auto"/>
              <w:bottom w:val="single" w:sz="4" w:space="0" w:color="auto"/>
              <w:right w:val="single" w:sz="4" w:space="0" w:color="auto"/>
            </w:tcBorders>
            <w:hideMark/>
          </w:tcPr>
          <w:p w14:paraId="0973004B" w14:textId="77777777" w:rsidR="002F590A" w:rsidRDefault="002F590A">
            <w:pPr>
              <w:jc w:val="center"/>
              <w:rPr>
                <w:color w:val="000000"/>
                <w:sz w:val="13"/>
                <w:szCs w:val="13"/>
              </w:rPr>
            </w:pPr>
            <w:r>
              <w:rPr>
                <w:color w:val="000000"/>
                <w:sz w:val="13"/>
                <w:szCs w:val="13"/>
              </w:rPr>
              <w:t>7</w:t>
            </w:r>
          </w:p>
        </w:tc>
        <w:tc>
          <w:tcPr>
            <w:tcW w:w="476" w:type="dxa"/>
            <w:tcBorders>
              <w:top w:val="single" w:sz="4" w:space="0" w:color="auto"/>
              <w:left w:val="single" w:sz="4" w:space="0" w:color="auto"/>
              <w:bottom w:val="single" w:sz="4" w:space="0" w:color="auto"/>
              <w:right w:val="single" w:sz="4" w:space="0" w:color="auto"/>
            </w:tcBorders>
            <w:hideMark/>
          </w:tcPr>
          <w:p w14:paraId="1BDEEE67" w14:textId="77777777" w:rsidR="002F590A" w:rsidRDefault="002F590A">
            <w:pPr>
              <w:jc w:val="center"/>
              <w:rPr>
                <w:color w:val="000000"/>
                <w:sz w:val="13"/>
                <w:szCs w:val="13"/>
              </w:rPr>
            </w:pPr>
            <w:r>
              <w:rPr>
                <w:color w:val="000000"/>
                <w:sz w:val="13"/>
                <w:szCs w:val="13"/>
              </w:rPr>
              <w:t>8</w:t>
            </w:r>
          </w:p>
        </w:tc>
        <w:tc>
          <w:tcPr>
            <w:tcW w:w="476" w:type="dxa"/>
            <w:tcBorders>
              <w:top w:val="single" w:sz="4" w:space="0" w:color="auto"/>
              <w:left w:val="single" w:sz="4" w:space="0" w:color="auto"/>
              <w:bottom w:val="single" w:sz="4" w:space="0" w:color="auto"/>
              <w:right w:val="single" w:sz="4" w:space="0" w:color="auto"/>
            </w:tcBorders>
            <w:hideMark/>
          </w:tcPr>
          <w:p w14:paraId="526C9EE3" w14:textId="77777777" w:rsidR="002F590A" w:rsidRDefault="002F590A">
            <w:pPr>
              <w:jc w:val="center"/>
              <w:rPr>
                <w:color w:val="000000"/>
                <w:sz w:val="13"/>
                <w:szCs w:val="13"/>
              </w:rPr>
            </w:pPr>
            <w:r>
              <w:rPr>
                <w:color w:val="000000"/>
                <w:sz w:val="13"/>
                <w:szCs w:val="13"/>
              </w:rPr>
              <w:t>9</w:t>
            </w:r>
          </w:p>
        </w:tc>
        <w:tc>
          <w:tcPr>
            <w:tcW w:w="476" w:type="dxa"/>
            <w:tcBorders>
              <w:top w:val="single" w:sz="4" w:space="0" w:color="auto"/>
              <w:left w:val="single" w:sz="4" w:space="0" w:color="auto"/>
              <w:bottom w:val="single" w:sz="4" w:space="0" w:color="auto"/>
              <w:right w:val="single" w:sz="4" w:space="0" w:color="auto"/>
            </w:tcBorders>
            <w:hideMark/>
          </w:tcPr>
          <w:p w14:paraId="2C185085" w14:textId="77777777" w:rsidR="002F590A" w:rsidRDefault="002F590A">
            <w:pPr>
              <w:jc w:val="center"/>
              <w:rPr>
                <w:color w:val="000000"/>
                <w:sz w:val="13"/>
                <w:szCs w:val="13"/>
              </w:rPr>
            </w:pPr>
            <w:r>
              <w:rPr>
                <w:color w:val="000000"/>
                <w:sz w:val="13"/>
                <w:szCs w:val="13"/>
              </w:rPr>
              <w:t>10</w:t>
            </w:r>
          </w:p>
        </w:tc>
        <w:tc>
          <w:tcPr>
            <w:tcW w:w="476" w:type="dxa"/>
            <w:tcBorders>
              <w:top w:val="single" w:sz="4" w:space="0" w:color="auto"/>
              <w:left w:val="single" w:sz="4" w:space="0" w:color="auto"/>
              <w:bottom w:val="single" w:sz="4" w:space="0" w:color="auto"/>
              <w:right w:val="single" w:sz="4" w:space="0" w:color="auto"/>
            </w:tcBorders>
            <w:hideMark/>
          </w:tcPr>
          <w:p w14:paraId="3BD5C0EE" w14:textId="77777777" w:rsidR="002F590A" w:rsidRDefault="002F590A">
            <w:pPr>
              <w:jc w:val="center"/>
              <w:rPr>
                <w:color w:val="000000"/>
                <w:sz w:val="13"/>
                <w:szCs w:val="13"/>
              </w:rPr>
            </w:pPr>
            <w:r>
              <w:rPr>
                <w:color w:val="000000"/>
                <w:sz w:val="13"/>
                <w:szCs w:val="13"/>
              </w:rPr>
              <w:t>11</w:t>
            </w:r>
          </w:p>
        </w:tc>
        <w:tc>
          <w:tcPr>
            <w:tcW w:w="476" w:type="dxa"/>
            <w:tcBorders>
              <w:top w:val="single" w:sz="4" w:space="0" w:color="auto"/>
              <w:left w:val="single" w:sz="4" w:space="0" w:color="auto"/>
              <w:bottom w:val="single" w:sz="4" w:space="0" w:color="auto"/>
              <w:right w:val="single" w:sz="4" w:space="0" w:color="auto"/>
            </w:tcBorders>
            <w:hideMark/>
          </w:tcPr>
          <w:p w14:paraId="1257304C" w14:textId="77777777" w:rsidR="002F590A" w:rsidRDefault="002F590A">
            <w:pPr>
              <w:jc w:val="center"/>
              <w:rPr>
                <w:color w:val="000000"/>
                <w:sz w:val="13"/>
                <w:szCs w:val="13"/>
              </w:rPr>
            </w:pPr>
            <w:r>
              <w:rPr>
                <w:color w:val="000000"/>
                <w:sz w:val="13"/>
                <w:szCs w:val="13"/>
              </w:rPr>
              <w:t>12</w:t>
            </w:r>
          </w:p>
        </w:tc>
        <w:tc>
          <w:tcPr>
            <w:tcW w:w="513" w:type="dxa"/>
            <w:tcBorders>
              <w:top w:val="single" w:sz="4" w:space="0" w:color="auto"/>
              <w:left w:val="single" w:sz="4" w:space="0" w:color="auto"/>
              <w:bottom w:val="single" w:sz="4" w:space="0" w:color="auto"/>
              <w:right w:val="single" w:sz="4" w:space="0" w:color="auto"/>
            </w:tcBorders>
            <w:hideMark/>
          </w:tcPr>
          <w:p w14:paraId="35E4922D" w14:textId="77777777" w:rsidR="002F590A" w:rsidRDefault="002F590A">
            <w:pPr>
              <w:jc w:val="center"/>
              <w:rPr>
                <w:color w:val="000000"/>
                <w:sz w:val="13"/>
                <w:szCs w:val="13"/>
              </w:rPr>
            </w:pPr>
            <w:r>
              <w:rPr>
                <w:color w:val="000000"/>
                <w:sz w:val="13"/>
                <w:szCs w:val="13"/>
              </w:rPr>
              <w:t>13</w:t>
            </w:r>
          </w:p>
        </w:tc>
        <w:tc>
          <w:tcPr>
            <w:tcW w:w="715" w:type="dxa"/>
            <w:tcBorders>
              <w:top w:val="single" w:sz="4" w:space="0" w:color="auto"/>
              <w:left w:val="single" w:sz="4" w:space="0" w:color="auto"/>
              <w:bottom w:val="single" w:sz="4" w:space="0" w:color="auto"/>
              <w:right w:val="single" w:sz="4" w:space="0" w:color="auto"/>
            </w:tcBorders>
            <w:hideMark/>
          </w:tcPr>
          <w:p w14:paraId="1CC89587" w14:textId="77777777" w:rsidR="002F590A" w:rsidRDefault="002F590A">
            <w:pPr>
              <w:jc w:val="center"/>
              <w:rPr>
                <w:color w:val="000000"/>
                <w:sz w:val="13"/>
                <w:szCs w:val="13"/>
              </w:rPr>
            </w:pPr>
            <w:r>
              <w:rPr>
                <w:color w:val="000000"/>
                <w:sz w:val="13"/>
                <w:szCs w:val="13"/>
              </w:rPr>
              <w:t>14</w:t>
            </w:r>
          </w:p>
        </w:tc>
        <w:tc>
          <w:tcPr>
            <w:tcW w:w="524" w:type="dxa"/>
            <w:tcBorders>
              <w:top w:val="single" w:sz="4" w:space="0" w:color="auto"/>
              <w:left w:val="single" w:sz="4" w:space="0" w:color="auto"/>
              <w:bottom w:val="single" w:sz="4" w:space="0" w:color="auto"/>
              <w:right w:val="single" w:sz="4" w:space="0" w:color="auto"/>
            </w:tcBorders>
            <w:hideMark/>
          </w:tcPr>
          <w:p w14:paraId="561D12F7" w14:textId="77777777" w:rsidR="002F590A" w:rsidRDefault="002F590A">
            <w:pPr>
              <w:jc w:val="center"/>
              <w:rPr>
                <w:color w:val="000000"/>
                <w:sz w:val="13"/>
                <w:szCs w:val="13"/>
              </w:rPr>
            </w:pPr>
            <w:r>
              <w:rPr>
                <w:color w:val="000000"/>
                <w:sz w:val="13"/>
                <w:szCs w:val="13"/>
              </w:rPr>
              <w:t>15</w:t>
            </w:r>
          </w:p>
        </w:tc>
        <w:tc>
          <w:tcPr>
            <w:tcW w:w="476" w:type="dxa"/>
            <w:tcBorders>
              <w:top w:val="single" w:sz="4" w:space="0" w:color="auto"/>
              <w:left w:val="single" w:sz="4" w:space="0" w:color="auto"/>
              <w:bottom w:val="single" w:sz="4" w:space="0" w:color="auto"/>
              <w:right w:val="single" w:sz="4" w:space="0" w:color="auto"/>
            </w:tcBorders>
            <w:hideMark/>
          </w:tcPr>
          <w:p w14:paraId="346D6D0A" w14:textId="77777777" w:rsidR="002F590A" w:rsidRDefault="002F590A">
            <w:pPr>
              <w:jc w:val="center"/>
              <w:rPr>
                <w:color w:val="000000"/>
                <w:sz w:val="13"/>
                <w:szCs w:val="13"/>
              </w:rPr>
            </w:pPr>
            <w:r>
              <w:rPr>
                <w:color w:val="000000"/>
                <w:sz w:val="13"/>
                <w:szCs w:val="13"/>
              </w:rPr>
              <w:t>16</w:t>
            </w:r>
          </w:p>
        </w:tc>
        <w:tc>
          <w:tcPr>
            <w:tcW w:w="476" w:type="dxa"/>
            <w:tcBorders>
              <w:top w:val="single" w:sz="4" w:space="0" w:color="auto"/>
              <w:left w:val="single" w:sz="4" w:space="0" w:color="auto"/>
              <w:bottom w:val="single" w:sz="4" w:space="0" w:color="auto"/>
              <w:right w:val="single" w:sz="4" w:space="0" w:color="auto"/>
            </w:tcBorders>
            <w:hideMark/>
          </w:tcPr>
          <w:p w14:paraId="64FCF445" w14:textId="77777777" w:rsidR="002F590A" w:rsidRDefault="002F590A">
            <w:pPr>
              <w:jc w:val="center"/>
              <w:rPr>
                <w:color w:val="000000"/>
                <w:sz w:val="13"/>
                <w:szCs w:val="13"/>
              </w:rPr>
            </w:pPr>
            <w:r>
              <w:rPr>
                <w:color w:val="000000"/>
                <w:sz w:val="13"/>
                <w:szCs w:val="13"/>
              </w:rPr>
              <w:t>17</w:t>
            </w:r>
          </w:p>
        </w:tc>
        <w:tc>
          <w:tcPr>
            <w:tcW w:w="488" w:type="dxa"/>
            <w:tcBorders>
              <w:top w:val="single" w:sz="4" w:space="0" w:color="auto"/>
              <w:left w:val="single" w:sz="4" w:space="0" w:color="auto"/>
              <w:bottom w:val="single" w:sz="4" w:space="0" w:color="auto"/>
              <w:right w:val="single" w:sz="4" w:space="0" w:color="auto"/>
            </w:tcBorders>
            <w:hideMark/>
          </w:tcPr>
          <w:p w14:paraId="5733DA86" w14:textId="77777777" w:rsidR="002F590A" w:rsidRDefault="002F590A">
            <w:pPr>
              <w:jc w:val="center"/>
              <w:rPr>
                <w:color w:val="000000"/>
                <w:sz w:val="13"/>
                <w:szCs w:val="13"/>
              </w:rPr>
            </w:pPr>
            <w:r>
              <w:rPr>
                <w:color w:val="000000"/>
                <w:sz w:val="13"/>
                <w:szCs w:val="13"/>
              </w:rPr>
              <w:t>18</w:t>
            </w:r>
          </w:p>
        </w:tc>
        <w:tc>
          <w:tcPr>
            <w:tcW w:w="476" w:type="dxa"/>
            <w:tcBorders>
              <w:top w:val="single" w:sz="4" w:space="0" w:color="auto"/>
              <w:left w:val="single" w:sz="4" w:space="0" w:color="auto"/>
              <w:bottom w:val="single" w:sz="4" w:space="0" w:color="auto"/>
              <w:right w:val="single" w:sz="4" w:space="0" w:color="auto"/>
            </w:tcBorders>
            <w:hideMark/>
          </w:tcPr>
          <w:p w14:paraId="7B533040" w14:textId="77777777" w:rsidR="002F590A" w:rsidRDefault="002F590A">
            <w:pPr>
              <w:jc w:val="center"/>
              <w:rPr>
                <w:color w:val="000000"/>
                <w:sz w:val="13"/>
                <w:szCs w:val="13"/>
              </w:rPr>
            </w:pPr>
            <w:r>
              <w:rPr>
                <w:color w:val="000000"/>
                <w:sz w:val="13"/>
                <w:szCs w:val="13"/>
              </w:rPr>
              <w:t>19</w:t>
            </w:r>
          </w:p>
        </w:tc>
        <w:tc>
          <w:tcPr>
            <w:tcW w:w="476" w:type="dxa"/>
            <w:tcBorders>
              <w:top w:val="single" w:sz="4" w:space="0" w:color="auto"/>
              <w:left w:val="single" w:sz="4" w:space="0" w:color="auto"/>
              <w:bottom w:val="single" w:sz="4" w:space="0" w:color="auto"/>
              <w:right w:val="single" w:sz="4" w:space="0" w:color="auto"/>
            </w:tcBorders>
            <w:hideMark/>
          </w:tcPr>
          <w:p w14:paraId="416F04D4" w14:textId="77777777" w:rsidR="002F590A" w:rsidRDefault="002F590A">
            <w:pPr>
              <w:jc w:val="center"/>
              <w:rPr>
                <w:color w:val="000000"/>
                <w:sz w:val="13"/>
                <w:szCs w:val="13"/>
              </w:rPr>
            </w:pPr>
            <w:r>
              <w:rPr>
                <w:color w:val="000000"/>
                <w:sz w:val="13"/>
                <w:szCs w:val="13"/>
              </w:rPr>
              <w:t>20</w:t>
            </w:r>
          </w:p>
        </w:tc>
        <w:tc>
          <w:tcPr>
            <w:tcW w:w="476" w:type="dxa"/>
            <w:tcBorders>
              <w:top w:val="single" w:sz="4" w:space="0" w:color="auto"/>
              <w:left w:val="single" w:sz="4" w:space="0" w:color="auto"/>
              <w:bottom w:val="single" w:sz="4" w:space="0" w:color="auto"/>
              <w:right w:val="single" w:sz="4" w:space="0" w:color="auto"/>
            </w:tcBorders>
            <w:hideMark/>
          </w:tcPr>
          <w:p w14:paraId="5B192356" w14:textId="77777777" w:rsidR="002F590A" w:rsidRDefault="002F590A">
            <w:pPr>
              <w:jc w:val="center"/>
              <w:rPr>
                <w:color w:val="000000"/>
                <w:sz w:val="13"/>
                <w:szCs w:val="13"/>
              </w:rPr>
            </w:pPr>
            <w:r>
              <w:rPr>
                <w:color w:val="000000"/>
                <w:sz w:val="13"/>
                <w:szCs w:val="13"/>
              </w:rPr>
              <w:t>21</w:t>
            </w:r>
          </w:p>
        </w:tc>
        <w:tc>
          <w:tcPr>
            <w:tcW w:w="476" w:type="dxa"/>
            <w:tcBorders>
              <w:top w:val="single" w:sz="4" w:space="0" w:color="auto"/>
              <w:left w:val="single" w:sz="4" w:space="0" w:color="auto"/>
              <w:bottom w:val="single" w:sz="4" w:space="0" w:color="auto"/>
              <w:right w:val="single" w:sz="4" w:space="0" w:color="auto"/>
            </w:tcBorders>
            <w:hideMark/>
          </w:tcPr>
          <w:p w14:paraId="6E6D90C7" w14:textId="77777777" w:rsidR="002F590A" w:rsidRDefault="002F590A">
            <w:pPr>
              <w:jc w:val="center"/>
              <w:rPr>
                <w:color w:val="000000"/>
                <w:sz w:val="13"/>
                <w:szCs w:val="13"/>
              </w:rPr>
            </w:pPr>
            <w:r>
              <w:rPr>
                <w:color w:val="000000"/>
                <w:sz w:val="13"/>
                <w:szCs w:val="13"/>
              </w:rPr>
              <w:t>22</w:t>
            </w:r>
          </w:p>
        </w:tc>
        <w:tc>
          <w:tcPr>
            <w:tcW w:w="476" w:type="dxa"/>
            <w:tcBorders>
              <w:top w:val="single" w:sz="4" w:space="0" w:color="auto"/>
              <w:left w:val="single" w:sz="4" w:space="0" w:color="auto"/>
              <w:bottom w:val="single" w:sz="4" w:space="0" w:color="auto"/>
              <w:right w:val="single" w:sz="4" w:space="0" w:color="auto"/>
            </w:tcBorders>
            <w:hideMark/>
          </w:tcPr>
          <w:p w14:paraId="7C5809C4" w14:textId="77777777" w:rsidR="002F590A" w:rsidRDefault="002F590A">
            <w:pPr>
              <w:jc w:val="center"/>
              <w:rPr>
                <w:color w:val="000000"/>
                <w:sz w:val="13"/>
                <w:szCs w:val="13"/>
              </w:rPr>
            </w:pPr>
            <w:r>
              <w:rPr>
                <w:color w:val="000000"/>
                <w:sz w:val="13"/>
                <w:szCs w:val="13"/>
              </w:rPr>
              <w:t>23</w:t>
            </w:r>
          </w:p>
        </w:tc>
        <w:tc>
          <w:tcPr>
            <w:tcW w:w="567" w:type="dxa"/>
            <w:tcBorders>
              <w:top w:val="single" w:sz="4" w:space="0" w:color="auto"/>
              <w:left w:val="single" w:sz="4" w:space="0" w:color="auto"/>
              <w:bottom w:val="single" w:sz="4" w:space="0" w:color="auto"/>
              <w:right w:val="single" w:sz="4" w:space="0" w:color="auto"/>
            </w:tcBorders>
            <w:hideMark/>
          </w:tcPr>
          <w:p w14:paraId="587B9E8F" w14:textId="77777777" w:rsidR="002F590A" w:rsidRDefault="002F590A">
            <w:pPr>
              <w:jc w:val="center"/>
              <w:rPr>
                <w:color w:val="000000"/>
                <w:sz w:val="13"/>
                <w:szCs w:val="13"/>
              </w:rPr>
            </w:pPr>
            <w:r>
              <w:rPr>
                <w:color w:val="000000"/>
                <w:sz w:val="13"/>
                <w:szCs w:val="13"/>
              </w:rPr>
              <w:t>24</w:t>
            </w:r>
          </w:p>
        </w:tc>
      </w:tr>
      <w:tr w:rsidR="002F590A" w14:paraId="2C16C389" w14:textId="77777777" w:rsidTr="002F590A">
        <w:trPr>
          <w:trHeight w:val="458"/>
        </w:trPr>
        <w:tc>
          <w:tcPr>
            <w:tcW w:w="399" w:type="dxa"/>
            <w:vMerge w:val="restart"/>
            <w:tcBorders>
              <w:top w:val="single" w:sz="4" w:space="0" w:color="auto"/>
              <w:left w:val="single" w:sz="4" w:space="0" w:color="auto"/>
              <w:bottom w:val="single" w:sz="4" w:space="0" w:color="auto"/>
              <w:right w:val="single" w:sz="4" w:space="0" w:color="auto"/>
            </w:tcBorders>
            <w:vAlign w:val="center"/>
            <w:hideMark/>
          </w:tcPr>
          <w:p w14:paraId="2F7006EE" w14:textId="77777777" w:rsidR="002F590A" w:rsidRDefault="002F590A">
            <w:pPr>
              <w:jc w:val="center"/>
              <w:rPr>
                <w:color w:val="000000"/>
                <w:sz w:val="13"/>
                <w:szCs w:val="13"/>
              </w:rPr>
            </w:pPr>
            <w:r>
              <w:rPr>
                <w:color w:val="000000"/>
                <w:sz w:val="13"/>
                <w:szCs w:val="13"/>
              </w:rPr>
              <w:t>1</w:t>
            </w:r>
          </w:p>
        </w:tc>
        <w:tc>
          <w:tcPr>
            <w:tcW w:w="3287" w:type="dxa"/>
            <w:vMerge w:val="restart"/>
            <w:tcBorders>
              <w:top w:val="single" w:sz="4" w:space="0" w:color="auto"/>
              <w:left w:val="single" w:sz="4" w:space="0" w:color="auto"/>
              <w:bottom w:val="single" w:sz="4" w:space="0" w:color="auto"/>
              <w:right w:val="single" w:sz="4" w:space="0" w:color="auto"/>
            </w:tcBorders>
            <w:vAlign w:val="center"/>
            <w:hideMark/>
          </w:tcPr>
          <w:p w14:paraId="77C6ABB4" w14:textId="77777777" w:rsidR="002F590A" w:rsidRDefault="002F590A">
            <w:pPr>
              <w:rPr>
                <w:color w:val="000000"/>
                <w:sz w:val="13"/>
                <w:szCs w:val="13"/>
              </w:rPr>
            </w:pPr>
            <w:r>
              <w:rPr>
                <w:color w:val="000000"/>
                <w:sz w:val="13"/>
                <w:szCs w:val="13"/>
              </w:rPr>
              <w:t>ООО «Новосибирская теплосетевая компания»</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1BB61107" w14:textId="77777777" w:rsidR="002F590A" w:rsidRDefault="002F590A">
            <w:pPr>
              <w:jc w:val="center"/>
              <w:rPr>
                <w:color w:val="000000"/>
                <w:sz w:val="13"/>
                <w:szCs w:val="13"/>
              </w:rPr>
            </w:pPr>
            <w:r>
              <w:rPr>
                <w:color w:val="000000"/>
                <w:sz w:val="13"/>
                <w:szCs w:val="13"/>
              </w:rPr>
              <w:t>0</w:t>
            </w:r>
          </w:p>
        </w:tc>
        <w:tc>
          <w:tcPr>
            <w:tcW w:w="476" w:type="dxa"/>
            <w:vMerge w:val="restart"/>
            <w:tcBorders>
              <w:top w:val="single" w:sz="4" w:space="0" w:color="auto"/>
              <w:left w:val="single" w:sz="4" w:space="0" w:color="auto"/>
              <w:bottom w:val="single" w:sz="4" w:space="0" w:color="auto"/>
              <w:right w:val="single" w:sz="4" w:space="0" w:color="auto"/>
            </w:tcBorders>
            <w:vAlign w:val="center"/>
            <w:hideMark/>
          </w:tcPr>
          <w:p w14:paraId="32B7FE1A" w14:textId="77777777" w:rsidR="002F590A" w:rsidRDefault="002F590A">
            <w:pPr>
              <w:jc w:val="center"/>
              <w:rPr>
                <w:color w:val="000000"/>
                <w:sz w:val="13"/>
                <w:szCs w:val="13"/>
              </w:rPr>
            </w:pPr>
            <w:r>
              <w:rPr>
                <w:color w:val="000000"/>
                <w:sz w:val="13"/>
                <w:szCs w:val="13"/>
              </w:rPr>
              <w:t>0</w:t>
            </w:r>
          </w:p>
        </w:tc>
        <w:tc>
          <w:tcPr>
            <w:tcW w:w="476" w:type="dxa"/>
            <w:vMerge w:val="restart"/>
            <w:tcBorders>
              <w:top w:val="single" w:sz="4" w:space="0" w:color="auto"/>
              <w:left w:val="single" w:sz="4" w:space="0" w:color="auto"/>
              <w:bottom w:val="single" w:sz="4" w:space="0" w:color="auto"/>
              <w:right w:val="single" w:sz="4" w:space="0" w:color="auto"/>
            </w:tcBorders>
            <w:vAlign w:val="center"/>
            <w:hideMark/>
          </w:tcPr>
          <w:p w14:paraId="579C0D00" w14:textId="77777777" w:rsidR="002F590A" w:rsidRDefault="002F590A">
            <w:pPr>
              <w:jc w:val="center"/>
              <w:rPr>
                <w:color w:val="000000"/>
                <w:sz w:val="13"/>
                <w:szCs w:val="13"/>
              </w:rPr>
            </w:pPr>
            <w:r>
              <w:rPr>
                <w:color w:val="000000"/>
                <w:sz w:val="13"/>
                <w:szCs w:val="13"/>
              </w:rPr>
              <w:t>0</w:t>
            </w:r>
          </w:p>
        </w:tc>
        <w:tc>
          <w:tcPr>
            <w:tcW w:w="476" w:type="dxa"/>
            <w:vMerge w:val="restart"/>
            <w:tcBorders>
              <w:top w:val="single" w:sz="4" w:space="0" w:color="auto"/>
              <w:left w:val="single" w:sz="4" w:space="0" w:color="auto"/>
              <w:bottom w:val="single" w:sz="4" w:space="0" w:color="auto"/>
              <w:right w:val="single" w:sz="4" w:space="0" w:color="auto"/>
            </w:tcBorders>
            <w:vAlign w:val="center"/>
            <w:hideMark/>
          </w:tcPr>
          <w:p w14:paraId="18ABA5E0" w14:textId="77777777" w:rsidR="002F590A" w:rsidRDefault="002F590A">
            <w:pPr>
              <w:jc w:val="center"/>
              <w:rPr>
                <w:color w:val="000000"/>
                <w:sz w:val="13"/>
                <w:szCs w:val="13"/>
              </w:rPr>
            </w:pPr>
            <w:r>
              <w:rPr>
                <w:color w:val="000000"/>
                <w:sz w:val="13"/>
                <w:szCs w:val="13"/>
              </w:rPr>
              <w:t>0</w:t>
            </w:r>
          </w:p>
        </w:tc>
        <w:tc>
          <w:tcPr>
            <w:tcW w:w="494" w:type="dxa"/>
            <w:vMerge w:val="restart"/>
            <w:tcBorders>
              <w:top w:val="single" w:sz="4" w:space="0" w:color="auto"/>
              <w:left w:val="single" w:sz="4" w:space="0" w:color="auto"/>
              <w:bottom w:val="single" w:sz="4" w:space="0" w:color="auto"/>
              <w:right w:val="single" w:sz="4" w:space="0" w:color="auto"/>
            </w:tcBorders>
            <w:vAlign w:val="center"/>
            <w:hideMark/>
          </w:tcPr>
          <w:p w14:paraId="0C0732EF" w14:textId="77777777" w:rsidR="002F590A" w:rsidRDefault="002F590A">
            <w:pPr>
              <w:jc w:val="center"/>
              <w:rPr>
                <w:color w:val="000000"/>
                <w:sz w:val="13"/>
                <w:szCs w:val="13"/>
              </w:rPr>
            </w:pPr>
            <w:r>
              <w:rPr>
                <w:color w:val="000000"/>
                <w:sz w:val="13"/>
                <w:szCs w:val="13"/>
              </w:rPr>
              <w:t>0</w:t>
            </w:r>
          </w:p>
        </w:tc>
        <w:tc>
          <w:tcPr>
            <w:tcW w:w="476" w:type="dxa"/>
            <w:vMerge w:val="restart"/>
            <w:tcBorders>
              <w:top w:val="single" w:sz="4" w:space="0" w:color="auto"/>
              <w:left w:val="single" w:sz="4" w:space="0" w:color="auto"/>
              <w:bottom w:val="single" w:sz="4" w:space="0" w:color="auto"/>
              <w:right w:val="single" w:sz="4" w:space="0" w:color="auto"/>
            </w:tcBorders>
            <w:vAlign w:val="center"/>
            <w:hideMark/>
          </w:tcPr>
          <w:p w14:paraId="0B39A2EA" w14:textId="77777777" w:rsidR="002F590A" w:rsidRDefault="002F590A">
            <w:pPr>
              <w:jc w:val="center"/>
              <w:rPr>
                <w:color w:val="000000"/>
                <w:sz w:val="13"/>
                <w:szCs w:val="13"/>
              </w:rPr>
            </w:pPr>
            <w:r>
              <w:rPr>
                <w:color w:val="000000"/>
                <w:sz w:val="13"/>
                <w:szCs w:val="13"/>
              </w:rPr>
              <w:t>0</w:t>
            </w:r>
          </w:p>
        </w:tc>
        <w:tc>
          <w:tcPr>
            <w:tcW w:w="476" w:type="dxa"/>
            <w:vMerge w:val="restart"/>
            <w:tcBorders>
              <w:top w:val="single" w:sz="4" w:space="0" w:color="auto"/>
              <w:left w:val="single" w:sz="4" w:space="0" w:color="auto"/>
              <w:bottom w:val="single" w:sz="4" w:space="0" w:color="auto"/>
              <w:right w:val="single" w:sz="4" w:space="0" w:color="auto"/>
            </w:tcBorders>
            <w:vAlign w:val="center"/>
            <w:hideMark/>
          </w:tcPr>
          <w:p w14:paraId="3D2BA54D" w14:textId="77777777" w:rsidR="002F590A" w:rsidRDefault="002F590A">
            <w:pPr>
              <w:jc w:val="center"/>
              <w:rPr>
                <w:color w:val="000000"/>
                <w:sz w:val="13"/>
                <w:szCs w:val="13"/>
              </w:rPr>
            </w:pPr>
            <w:r>
              <w:rPr>
                <w:color w:val="000000"/>
                <w:sz w:val="13"/>
                <w:szCs w:val="13"/>
              </w:rPr>
              <w:t>0</w:t>
            </w:r>
          </w:p>
        </w:tc>
        <w:tc>
          <w:tcPr>
            <w:tcW w:w="476" w:type="dxa"/>
            <w:vMerge w:val="restart"/>
            <w:tcBorders>
              <w:top w:val="single" w:sz="4" w:space="0" w:color="auto"/>
              <w:left w:val="single" w:sz="4" w:space="0" w:color="auto"/>
              <w:bottom w:val="single" w:sz="4" w:space="0" w:color="auto"/>
              <w:right w:val="single" w:sz="4" w:space="0" w:color="auto"/>
            </w:tcBorders>
            <w:vAlign w:val="center"/>
            <w:hideMark/>
          </w:tcPr>
          <w:p w14:paraId="4E7160F3" w14:textId="77777777" w:rsidR="002F590A" w:rsidRDefault="002F590A">
            <w:pPr>
              <w:jc w:val="center"/>
              <w:rPr>
                <w:color w:val="000000"/>
                <w:sz w:val="13"/>
                <w:szCs w:val="13"/>
              </w:rPr>
            </w:pPr>
            <w:r>
              <w:rPr>
                <w:color w:val="000000"/>
                <w:sz w:val="13"/>
                <w:szCs w:val="13"/>
              </w:rPr>
              <w:t>0</w:t>
            </w:r>
          </w:p>
        </w:tc>
        <w:tc>
          <w:tcPr>
            <w:tcW w:w="476" w:type="dxa"/>
            <w:vMerge w:val="restart"/>
            <w:tcBorders>
              <w:top w:val="single" w:sz="4" w:space="0" w:color="auto"/>
              <w:left w:val="single" w:sz="4" w:space="0" w:color="auto"/>
              <w:bottom w:val="single" w:sz="4" w:space="0" w:color="auto"/>
              <w:right w:val="single" w:sz="4" w:space="0" w:color="auto"/>
            </w:tcBorders>
            <w:vAlign w:val="center"/>
            <w:hideMark/>
          </w:tcPr>
          <w:p w14:paraId="6EA12C48" w14:textId="77777777" w:rsidR="002F590A" w:rsidRDefault="002F590A">
            <w:pPr>
              <w:jc w:val="center"/>
              <w:rPr>
                <w:color w:val="000000"/>
                <w:sz w:val="13"/>
                <w:szCs w:val="13"/>
              </w:rPr>
            </w:pPr>
            <w:r>
              <w:rPr>
                <w:color w:val="000000"/>
                <w:sz w:val="13"/>
                <w:szCs w:val="13"/>
              </w:rPr>
              <w:t>0</w:t>
            </w:r>
          </w:p>
        </w:tc>
        <w:tc>
          <w:tcPr>
            <w:tcW w:w="476" w:type="dxa"/>
            <w:vMerge w:val="restart"/>
            <w:tcBorders>
              <w:top w:val="single" w:sz="4" w:space="0" w:color="auto"/>
              <w:left w:val="single" w:sz="4" w:space="0" w:color="auto"/>
              <w:bottom w:val="single" w:sz="4" w:space="0" w:color="auto"/>
              <w:right w:val="single" w:sz="4" w:space="0" w:color="auto"/>
            </w:tcBorders>
            <w:vAlign w:val="center"/>
            <w:hideMark/>
          </w:tcPr>
          <w:p w14:paraId="382CB679" w14:textId="77777777" w:rsidR="002F590A" w:rsidRDefault="002F590A">
            <w:pPr>
              <w:jc w:val="center"/>
              <w:rPr>
                <w:color w:val="000000"/>
                <w:sz w:val="13"/>
                <w:szCs w:val="13"/>
              </w:rPr>
            </w:pPr>
            <w:r>
              <w:rPr>
                <w:color w:val="000000"/>
                <w:sz w:val="13"/>
                <w:szCs w:val="13"/>
              </w:rPr>
              <w:t>0</w:t>
            </w:r>
          </w:p>
        </w:tc>
        <w:tc>
          <w:tcPr>
            <w:tcW w:w="513" w:type="dxa"/>
            <w:vMerge w:val="restart"/>
            <w:tcBorders>
              <w:top w:val="single" w:sz="4" w:space="0" w:color="auto"/>
              <w:left w:val="single" w:sz="4" w:space="0" w:color="auto"/>
              <w:bottom w:val="single" w:sz="4" w:space="0" w:color="auto"/>
              <w:right w:val="single" w:sz="4" w:space="0" w:color="auto"/>
            </w:tcBorders>
            <w:vAlign w:val="center"/>
            <w:hideMark/>
          </w:tcPr>
          <w:p w14:paraId="26612496" w14:textId="77777777" w:rsidR="002F590A" w:rsidRDefault="002F590A">
            <w:pPr>
              <w:jc w:val="center"/>
              <w:rPr>
                <w:color w:val="000000"/>
                <w:sz w:val="13"/>
                <w:szCs w:val="13"/>
              </w:rPr>
            </w:pPr>
            <w:r>
              <w:rPr>
                <w:color w:val="000000"/>
                <w:sz w:val="13"/>
                <w:szCs w:val="13"/>
              </w:rPr>
              <w:t>0</w:t>
            </w:r>
          </w:p>
        </w:tc>
        <w:tc>
          <w:tcPr>
            <w:tcW w:w="715" w:type="dxa"/>
            <w:vMerge w:val="restart"/>
            <w:tcBorders>
              <w:top w:val="single" w:sz="4" w:space="0" w:color="auto"/>
              <w:left w:val="single" w:sz="4" w:space="0" w:color="auto"/>
              <w:bottom w:val="single" w:sz="4" w:space="0" w:color="auto"/>
              <w:right w:val="single" w:sz="4" w:space="0" w:color="auto"/>
            </w:tcBorders>
            <w:vAlign w:val="center"/>
            <w:hideMark/>
          </w:tcPr>
          <w:p w14:paraId="77C56628" w14:textId="77777777" w:rsidR="002F590A" w:rsidRDefault="002F590A">
            <w:pPr>
              <w:jc w:val="center"/>
              <w:rPr>
                <w:color w:val="000000"/>
                <w:sz w:val="13"/>
                <w:szCs w:val="13"/>
              </w:rPr>
            </w:pPr>
            <w:r>
              <w:rPr>
                <w:color w:val="000000"/>
                <w:sz w:val="13"/>
                <w:szCs w:val="13"/>
              </w:rPr>
              <w:t>0</w:t>
            </w:r>
          </w:p>
        </w:tc>
        <w:tc>
          <w:tcPr>
            <w:tcW w:w="524" w:type="dxa"/>
            <w:vMerge w:val="restart"/>
            <w:tcBorders>
              <w:top w:val="single" w:sz="4" w:space="0" w:color="auto"/>
              <w:left w:val="single" w:sz="4" w:space="0" w:color="auto"/>
              <w:bottom w:val="single" w:sz="4" w:space="0" w:color="auto"/>
              <w:right w:val="single" w:sz="4" w:space="0" w:color="auto"/>
            </w:tcBorders>
            <w:vAlign w:val="center"/>
            <w:hideMark/>
          </w:tcPr>
          <w:p w14:paraId="6AECFA4D" w14:textId="77777777" w:rsidR="002F590A" w:rsidRDefault="002F590A">
            <w:pPr>
              <w:jc w:val="center"/>
              <w:rPr>
                <w:color w:val="000000"/>
                <w:sz w:val="13"/>
                <w:szCs w:val="13"/>
              </w:rPr>
            </w:pPr>
            <w:r>
              <w:rPr>
                <w:color w:val="000000"/>
                <w:sz w:val="13"/>
                <w:szCs w:val="13"/>
              </w:rPr>
              <w:t>0</w:t>
            </w:r>
          </w:p>
        </w:tc>
        <w:tc>
          <w:tcPr>
            <w:tcW w:w="476" w:type="dxa"/>
            <w:vMerge w:val="restart"/>
            <w:tcBorders>
              <w:top w:val="single" w:sz="4" w:space="0" w:color="auto"/>
              <w:left w:val="single" w:sz="4" w:space="0" w:color="auto"/>
              <w:bottom w:val="single" w:sz="4" w:space="0" w:color="auto"/>
              <w:right w:val="single" w:sz="4" w:space="0" w:color="auto"/>
            </w:tcBorders>
            <w:vAlign w:val="center"/>
            <w:hideMark/>
          </w:tcPr>
          <w:p w14:paraId="204B39DC" w14:textId="77777777" w:rsidR="002F590A" w:rsidRDefault="002F590A">
            <w:pPr>
              <w:jc w:val="center"/>
              <w:rPr>
                <w:color w:val="000000"/>
                <w:sz w:val="13"/>
                <w:szCs w:val="13"/>
              </w:rPr>
            </w:pPr>
            <w:r>
              <w:rPr>
                <w:color w:val="000000"/>
                <w:sz w:val="13"/>
                <w:szCs w:val="13"/>
              </w:rPr>
              <w:t>0</w:t>
            </w:r>
          </w:p>
        </w:tc>
        <w:tc>
          <w:tcPr>
            <w:tcW w:w="476" w:type="dxa"/>
            <w:vMerge w:val="restart"/>
            <w:tcBorders>
              <w:top w:val="single" w:sz="4" w:space="0" w:color="auto"/>
              <w:left w:val="single" w:sz="4" w:space="0" w:color="auto"/>
              <w:bottom w:val="single" w:sz="4" w:space="0" w:color="auto"/>
              <w:right w:val="single" w:sz="4" w:space="0" w:color="auto"/>
            </w:tcBorders>
            <w:vAlign w:val="center"/>
            <w:hideMark/>
          </w:tcPr>
          <w:p w14:paraId="00F77754" w14:textId="77777777" w:rsidR="002F590A" w:rsidRDefault="002F590A">
            <w:pPr>
              <w:jc w:val="center"/>
              <w:rPr>
                <w:color w:val="000000"/>
                <w:sz w:val="13"/>
                <w:szCs w:val="13"/>
              </w:rPr>
            </w:pPr>
            <w:r>
              <w:rPr>
                <w:color w:val="000000"/>
                <w:sz w:val="13"/>
                <w:szCs w:val="13"/>
              </w:rPr>
              <w:t>0</w:t>
            </w:r>
          </w:p>
        </w:tc>
        <w:tc>
          <w:tcPr>
            <w:tcW w:w="488" w:type="dxa"/>
            <w:vMerge w:val="restart"/>
            <w:tcBorders>
              <w:top w:val="single" w:sz="4" w:space="0" w:color="auto"/>
              <w:left w:val="single" w:sz="4" w:space="0" w:color="auto"/>
              <w:bottom w:val="single" w:sz="4" w:space="0" w:color="auto"/>
              <w:right w:val="single" w:sz="4" w:space="0" w:color="auto"/>
            </w:tcBorders>
            <w:vAlign w:val="center"/>
            <w:hideMark/>
          </w:tcPr>
          <w:p w14:paraId="30A99327" w14:textId="77777777" w:rsidR="002F590A" w:rsidRDefault="002F590A">
            <w:pPr>
              <w:jc w:val="center"/>
              <w:rPr>
                <w:color w:val="000000"/>
                <w:sz w:val="13"/>
                <w:szCs w:val="13"/>
              </w:rPr>
            </w:pPr>
            <w:r>
              <w:rPr>
                <w:color w:val="000000"/>
                <w:sz w:val="13"/>
                <w:szCs w:val="13"/>
              </w:rPr>
              <w:t>0</w:t>
            </w:r>
          </w:p>
        </w:tc>
        <w:tc>
          <w:tcPr>
            <w:tcW w:w="476" w:type="dxa"/>
            <w:vMerge w:val="restart"/>
            <w:tcBorders>
              <w:top w:val="single" w:sz="4" w:space="0" w:color="auto"/>
              <w:left w:val="single" w:sz="4" w:space="0" w:color="auto"/>
              <w:bottom w:val="single" w:sz="4" w:space="0" w:color="auto"/>
              <w:right w:val="single" w:sz="4" w:space="0" w:color="auto"/>
            </w:tcBorders>
            <w:vAlign w:val="center"/>
            <w:hideMark/>
          </w:tcPr>
          <w:p w14:paraId="747F1D80" w14:textId="77777777" w:rsidR="002F590A" w:rsidRDefault="002F590A">
            <w:pPr>
              <w:jc w:val="center"/>
              <w:rPr>
                <w:color w:val="000000"/>
                <w:sz w:val="13"/>
                <w:szCs w:val="13"/>
              </w:rPr>
            </w:pPr>
            <w:r>
              <w:rPr>
                <w:color w:val="000000"/>
                <w:sz w:val="13"/>
                <w:szCs w:val="13"/>
              </w:rPr>
              <w:t>0</w:t>
            </w:r>
          </w:p>
        </w:tc>
        <w:tc>
          <w:tcPr>
            <w:tcW w:w="476" w:type="dxa"/>
            <w:vMerge w:val="restart"/>
            <w:tcBorders>
              <w:top w:val="single" w:sz="4" w:space="0" w:color="auto"/>
              <w:left w:val="single" w:sz="4" w:space="0" w:color="auto"/>
              <w:bottom w:val="single" w:sz="4" w:space="0" w:color="auto"/>
              <w:right w:val="single" w:sz="4" w:space="0" w:color="auto"/>
            </w:tcBorders>
            <w:vAlign w:val="center"/>
            <w:hideMark/>
          </w:tcPr>
          <w:p w14:paraId="4B9BB724" w14:textId="77777777" w:rsidR="002F590A" w:rsidRDefault="002F590A">
            <w:pPr>
              <w:jc w:val="center"/>
              <w:rPr>
                <w:color w:val="000000"/>
                <w:sz w:val="13"/>
                <w:szCs w:val="13"/>
              </w:rPr>
            </w:pPr>
            <w:r>
              <w:rPr>
                <w:color w:val="000000"/>
                <w:sz w:val="13"/>
                <w:szCs w:val="13"/>
              </w:rPr>
              <w:t>0</w:t>
            </w:r>
          </w:p>
        </w:tc>
        <w:tc>
          <w:tcPr>
            <w:tcW w:w="476" w:type="dxa"/>
            <w:vMerge w:val="restart"/>
            <w:tcBorders>
              <w:top w:val="single" w:sz="4" w:space="0" w:color="auto"/>
              <w:left w:val="single" w:sz="4" w:space="0" w:color="auto"/>
              <w:bottom w:val="single" w:sz="4" w:space="0" w:color="auto"/>
              <w:right w:val="single" w:sz="4" w:space="0" w:color="auto"/>
            </w:tcBorders>
            <w:vAlign w:val="center"/>
            <w:hideMark/>
          </w:tcPr>
          <w:p w14:paraId="2FCDB712" w14:textId="77777777" w:rsidR="002F590A" w:rsidRDefault="002F590A">
            <w:pPr>
              <w:jc w:val="center"/>
              <w:rPr>
                <w:color w:val="000000"/>
                <w:sz w:val="13"/>
                <w:szCs w:val="13"/>
              </w:rPr>
            </w:pPr>
            <w:r>
              <w:rPr>
                <w:color w:val="000000"/>
                <w:sz w:val="13"/>
                <w:szCs w:val="13"/>
              </w:rPr>
              <w:t>0</w:t>
            </w:r>
          </w:p>
        </w:tc>
        <w:tc>
          <w:tcPr>
            <w:tcW w:w="476" w:type="dxa"/>
            <w:vMerge w:val="restart"/>
            <w:tcBorders>
              <w:top w:val="single" w:sz="4" w:space="0" w:color="auto"/>
              <w:left w:val="single" w:sz="4" w:space="0" w:color="auto"/>
              <w:bottom w:val="single" w:sz="4" w:space="0" w:color="auto"/>
              <w:right w:val="single" w:sz="4" w:space="0" w:color="auto"/>
            </w:tcBorders>
            <w:vAlign w:val="center"/>
            <w:hideMark/>
          </w:tcPr>
          <w:p w14:paraId="01F502F6" w14:textId="77777777" w:rsidR="002F590A" w:rsidRDefault="002F590A">
            <w:pPr>
              <w:jc w:val="center"/>
              <w:rPr>
                <w:color w:val="000000"/>
                <w:sz w:val="13"/>
                <w:szCs w:val="13"/>
              </w:rPr>
            </w:pPr>
            <w:r>
              <w:rPr>
                <w:color w:val="000000"/>
                <w:sz w:val="13"/>
                <w:szCs w:val="13"/>
              </w:rPr>
              <w:t>0</w:t>
            </w:r>
          </w:p>
        </w:tc>
        <w:tc>
          <w:tcPr>
            <w:tcW w:w="476" w:type="dxa"/>
            <w:vMerge w:val="restart"/>
            <w:tcBorders>
              <w:top w:val="single" w:sz="4" w:space="0" w:color="auto"/>
              <w:left w:val="single" w:sz="4" w:space="0" w:color="auto"/>
              <w:bottom w:val="single" w:sz="4" w:space="0" w:color="auto"/>
              <w:right w:val="single" w:sz="4" w:space="0" w:color="auto"/>
            </w:tcBorders>
            <w:vAlign w:val="center"/>
            <w:hideMark/>
          </w:tcPr>
          <w:p w14:paraId="2F7F4D8B" w14:textId="77777777" w:rsidR="002F590A" w:rsidRDefault="002F590A">
            <w:pPr>
              <w:jc w:val="center"/>
              <w:rPr>
                <w:color w:val="000000"/>
                <w:sz w:val="13"/>
                <w:szCs w:val="13"/>
              </w:rPr>
            </w:pPr>
            <w:r>
              <w:rPr>
                <w:color w:val="000000"/>
                <w:sz w:val="13"/>
                <w:szCs w:val="13"/>
              </w:rPr>
              <w:t>0</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41CE8D7D" w14:textId="77777777" w:rsidR="002F590A" w:rsidRDefault="002F590A">
            <w:pPr>
              <w:jc w:val="center"/>
              <w:rPr>
                <w:color w:val="000000"/>
                <w:sz w:val="13"/>
                <w:szCs w:val="13"/>
              </w:rPr>
            </w:pPr>
            <w:r>
              <w:rPr>
                <w:color w:val="000000"/>
                <w:sz w:val="13"/>
                <w:szCs w:val="13"/>
              </w:rPr>
              <w:t>0</w:t>
            </w:r>
          </w:p>
        </w:tc>
      </w:tr>
      <w:tr w:rsidR="002F590A" w14:paraId="4A317F4F" w14:textId="77777777" w:rsidTr="002F590A">
        <w:trPr>
          <w:trHeight w:val="4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58316B" w14:textId="77777777" w:rsidR="002F590A" w:rsidRDefault="002F590A">
            <w:pPr>
              <w:spacing w:line="256" w:lineRule="auto"/>
              <w:rPr>
                <w:color w:val="000000"/>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6C96C2" w14:textId="77777777" w:rsidR="002F590A" w:rsidRDefault="002F590A">
            <w:pPr>
              <w:spacing w:line="256" w:lineRule="auto"/>
              <w:rPr>
                <w:color w:val="000000"/>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E075DC" w14:textId="77777777" w:rsidR="002F590A" w:rsidRDefault="002F590A">
            <w:pPr>
              <w:spacing w:line="256" w:lineRule="auto"/>
              <w:rPr>
                <w:color w:val="000000"/>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163192" w14:textId="77777777" w:rsidR="002F590A" w:rsidRDefault="002F590A">
            <w:pPr>
              <w:spacing w:line="256" w:lineRule="auto"/>
              <w:rPr>
                <w:color w:val="000000"/>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786DCD" w14:textId="77777777" w:rsidR="002F590A" w:rsidRDefault="002F590A">
            <w:pPr>
              <w:spacing w:line="256" w:lineRule="auto"/>
              <w:rPr>
                <w:color w:val="000000"/>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19416B" w14:textId="77777777" w:rsidR="002F590A" w:rsidRDefault="002F590A">
            <w:pPr>
              <w:spacing w:line="256" w:lineRule="auto"/>
              <w:rPr>
                <w:color w:val="000000"/>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EF755E" w14:textId="77777777" w:rsidR="002F590A" w:rsidRDefault="002F590A">
            <w:pPr>
              <w:spacing w:line="256" w:lineRule="auto"/>
              <w:rPr>
                <w:color w:val="000000"/>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768CA3" w14:textId="77777777" w:rsidR="002F590A" w:rsidRDefault="002F590A">
            <w:pPr>
              <w:spacing w:line="256" w:lineRule="auto"/>
              <w:rPr>
                <w:color w:val="000000"/>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FE1BDD" w14:textId="77777777" w:rsidR="002F590A" w:rsidRDefault="002F590A">
            <w:pPr>
              <w:spacing w:line="256" w:lineRule="auto"/>
              <w:rPr>
                <w:color w:val="000000"/>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7FAE2D" w14:textId="77777777" w:rsidR="002F590A" w:rsidRDefault="002F590A">
            <w:pPr>
              <w:spacing w:line="256" w:lineRule="auto"/>
              <w:rPr>
                <w:color w:val="000000"/>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49B35D" w14:textId="77777777" w:rsidR="002F590A" w:rsidRDefault="002F590A">
            <w:pPr>
              <w:spacing w:line="256" w:lineRule="auto"/>
              <w:rPr>
                <w:color w:val="000000"/>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72C769" w14:textId="77777777" w:rsidR="002F590A" w:rsidRDefault="002F590A">
            <w:pPr>
              <w:spacing w:line="256" w:lineRule="auto"/>
              <w:rPr>
                <w:color w:val="000000"/>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58CBB4" w14:textId="77777777" w:rsidR="002F590A" w:rsidRDefault="002F590A">
            <w:pPr>
              <w:spacing w:line="256" w:lineRule="auto"/>
              <w:rPr>
                <w:color w:val="000000"/>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8B99F3" w14:textId="77777777" w:rsidR="002F590A" w:rsidRDefault="002F590A">
            <w:pPr>
              <w:spacing w:line="256" w:lineRule="auto"/>
              <w:rPr>
                <w:color w:val="000000"/>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9DC5EF" w14:textId="77777777" w:rsidR="002F590A" w:rsidRDefault="002F590A">
            <w:pPr>
              <w:spacing w:line="256" w:lineRule="auto"/>
              <w:rPr>
                <w:color w:val="000000"/>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BF46AE" w14:textId="77777777" w:rsidR="002F590A" w:rsidRDefault="002F590A">
            <w:pPr>
              <w:spacing w:line="256" w:lineRule="auto"/>
              <w:rPr>
                <w:color w:val="000000"/>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7476C" w14:textId="77777777" w:rsidR="002F590A" w:rsidRDefault="002F590A">
            <w:pPr>
              <w:spacing w:line="256" w:lineRule="auto"/>
              <w:rPr>
                <w:color w:val="000000"/>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4BB547" w14:textId="77777777" w:rsidR="002F590A" w:rsidRDefault="002F590A">
            <w:pPr>
              <w:spacing w:line="256" w:lineRule="auto"/>
              <w:rPr>
                <w:color w:val="000000"/>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7643B9" w14:textId="77777777" w:rsidR="002F590A" w:rsidRDefault="002F590A">
            <w:pPr>
              <w:spacing w:line="256" w:lineRule="auto"/>
              <w:rPr>
                <w:color w:val="000000"/>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1115BC" w14:textId="77777777" w:rsidR="002F590A" w:rsidRDefault="002F590A">
            <w:pPr>
              <w:spacing w:line="256" w:lineRule="auto"/>
              <w:rPr>
                <w:color w:val="000000"/>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7B74C9" w14:textId="77777777" w:rsidR="002F590A" w:rsidRDefault="002F590A">
            <w:pPr>
              <w:spacing w:line="256" w:lineRule="auto"/>
              <w:rPr>
                <w:color w:val="000000"/>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3C124C" w14:textId="77777777" w:rsidR="002F590A" w:rsidRDefault="002F590A">
            <w:pPr>
              <w:spacing w:line="256" w:lineRule="auto"/>
              <w:rPr>
                <w:color w:val="000000"/>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96A7D4" w14:textId="77777777" w:rsidR="002F590A" w:rsidRDefault="002F590A">
            <w:pPr>
              <w:spacing w:line="256" w:lineRule="auto"/>
              <w:rPr>
                <w:color w:val="000000"/>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B14F06" w14:textId="77777777" w:rsidR="002F590A" w:rsidRDefault="002F590A">
            <w:pPr>
              <w:spacing w:line="256" w:lineRule="auto"/>
              <w:rPr>
                <w:color w:val="000000"/>
                <w:sz w:val="13"/>
                <w:szCs w:val="13"/>
              </w:rPr>
            </w:pPr>
          </w:p>
        </w:tc>
      </w:tr>
    </w:tbl>
    <w:p w14:paraId="67EDC347" w14:textId="77777777" w:rsidR="002F590A" w:rsidRDefault="002F590A" w:rsidP="002F590A">
      <w:pPr>
        <w:autoSpaceDE w:val="0"/>
        <w:autoSpaceDN w:val="0"/>
        <w:adjustRightInd w:val="0"/>
        <w:jc w:val="center"/>
        <w:rPr>
          <w:b/>
          <w:bCs/>
          <w:sz w:val="28"/>
          <w:szCs w:val="28"/>
        </w:rPr>
      </w:pPr>
    </w:p>
    <w:tbl>
      <w:tblPr>
        <w:tblW w:w="1497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715"/>
        <w:gridCol w:w="476"/>
        <w:gridCol w:w="476"/>
        <w:gridCol w:w="476"/>
        <w:gridCol w:w="476"/>
        <w:gridCol w:w="476"/>
        <w:gridCol w:w="476"/>
        <w:gridCol w:w="476"/>
        <w:gridCol w:w="476"/>
        <w:gridCol w:w="476"/>
        <w:gridCol w:w="813"/>
        <w:gridCol w:w="715"/>
        <w:gridCol w:w="476"/>
        <w:gridCol w:w="476"/>
        <w:gridCol w:w="476"/>
        <w:gridCol w:w="476"/>
        <w:gridCol w:w="476"/>
        <w:gridCol w:w="476"/>
        <w:gridCol w:w="476"/>
        <w:gridCol w:w="476"/>
        <w:gridCol w:w="476"/>
        <w:gridCol w:w="481"/>
      </w:tblGrid>
      <w:tr w:rsidR="002F590A" w14:paraId="3224314C" w14:textId="77777777" w:rsidTr="002F590A">
        <w:trPr>
          <w:trHeight w:val="315"/>
        </w:trPr>
        <w:tc>
          <w:tcPr>
            <w:tcW w:w="3686" w:type="dxa"/>
            <w:vMerge w:val="restart"/>
            <w:tcBorders>
              <w:top w:val="single" w:sz="4" w:space="0" w:color="auto"/>
              <w:left w:val="single" w:sz="4" w:space="0" w:color="auto"/>
              <w:bottom w:val="single" w:sz="4" w:space="0" w:color="auto"/>
              <w:right w:val="single" w:sz="4" w:space="0" w:color="auto"/>
            </w:tcBorders>
            <w:vAlign w:val="center"/>
            <w:hideMark/>
          </w:tcPr>
          <w:p w14:paraId="276962DF" w14:textId="77777777" w:rsidR="002F590A" w:rsidRDefault="002F590A">
            <w:pPr>
              <w:jc w:val="center"/>
              <w:rPr>
                <w:sz w:val="13"/>
                <w:szCs w:val="13"/>
              </w:rPr>
            </w:pPr>
            <w:r>
              <w:rPr>
                <w:sz w:val="13"/>
                <w:szCs w:val="13"/>
              </w:rPr>
              <w:t>Наименование объекта</w:t>
            </w:r>
          </w:p>
        </w:tc>
        <w:tc>
          <w:tcPr>
            <w:tcW w:w="11292" w:type="dxa"/>
            <w:gridSpan w:val="22"/>
            <w:tcBorders>
              <w:top w:val="single" w:sz="4" w:space="0" w:color="auto"/>
              <w:left w:val="single" w:sz="4" w:space="0" w:color="auto"/>
              <w:bottom w:val="single" w:sz="4" w:space="0" w:color="auto"/>
              <w:right w:val="single" w:sz="4" w:space="0" w:color="auto"/>
            </w:tcBorders>
            <w:vAlign w:val="center"/>
            <w:hideMark/>
          </w:tcPr>
          <w:p w14:paraId="1102C3F4" w14:textId="77777777" w:rsidR="002F590A" w:rsidRDefault="002F590A">
            <w:pPr>
              <w:jc w:val="center"/>
              <w:rPr>
                <w:sz w:val="13"/>
                <w:szCs w:val="13"/>
              </w:rPr>
            </w:pPr>
            <w:r>
              <w:rPr>
                <w:sz w:val="13"/>
                <w:szCs w:val="13"/>
              </w:rPr>
              <w:t>Показатели энергетической эффективности</w:t>
            </w:r>
          </w:p>
        </w:tc>
      </w:tr>
      <w:tr w:rsidR="002F590A" w14:paraId="0370896B" w14:textId="77777777" w:rsidTr="002F590A">
        <w:trPr>
          <w:trHeight w:val="1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83F94B" w14:textId="77777777" w:rsidR="002F590A" w:rsidRDefault="002F590A">
            <w:pPr>
              <w:spacing w:line="256" w:lineRule="auto"/>
              <w:rPr>
                <w:sz w:val="13"/>
                <w:szCs w:val="13"/>
              </w:rPr>
            </w:pPr>
          </w:p>
        </w:tc>
        <w:tc>
          <w:tcPr>
            <w:tcW w:w="5812" w:type="dxa"/>
            <w:gridSpan w:val="11"/>
            <w:tcBorders>
              <w:top w:val="single" w:sz="4" w:space="0" w:color="auto"/>
              <w:left w:val="single" w:sz="4" w:space="0" w:color="auto"/>
              <w:bottom w:val="single" w:sz="4" w:space="0" w:color="auto"/>
              <w:right w:val="single" w:sz="4" w:space="0" w:color="auto"/>
            </w:tcBorders>
            <w:vAlign w:val="center"/>
            <w:hideMark/>
          </w:tcPr>
          <w:p w14:paraId="2EFF6D11" w14:textId="77777777" w:rsidR="002F590A" w:rsidRDefault="002F590A">
            <w:pPr>
              <w:jc w:val="center"/>
              <w:rPr>
                <w:sz w:val="13"/>
                <w:szCs w:val="13"/>
              </w:rPr>
            </w:pPr>
            <w:r>
              <w:rPr>
                <w:sz w:val="13"/>
                <w:szCs w:val="13"/>
              </w:rPr>
              <w:t>Удельный расход топлива на производство единицы тепловой энергии, отпускаемой с коллекторов источников тепловой энергии,</w:t>
            </w:r>
            <w:r>
              <w:rPr>
                <w:sz w:val="13"/>
                <w:szCs w:val="13"/>
              </w:rPr>
              <w:br/>
              <w:t>кг. у.т./Гкал</w:t>
            </w:r>
          </w:p>
        </w:tc>
        <w:tc>
          <w:tcPr>
            <w:tcW w:w="5480" w:type="dxa"/>
            <w:gridSpan w:val="11"/>
            <w:tcBorders>
              <w:top w:val="single" w:sz="4" w:space="0" w:color="auto"/>
              <w:left w:val="single" w:sz="4" w:space="0" w:color="auto"/>
              <w:bottom w:val="single" w:sz="4" w:space="0" w:color="auto"/>
              <w:right w:val="single" w:sz="4" w:space="0" w:color="auto"/>
            </w:tcBorders>
            <w:vAlign w:val="center"/>
            <w:hideMark/>
          </w:tcPr>
          <w:p w14:paraId="1807EF35" w14:textId="77777777" w:rsidR="002F590A" w:rsidRDefault="002F590A">
            <w:pPr>
              <w:jc w:val="center"/>
              <w:rPr>
                <w:sz w:val="13"/>
                <w:szCs w:val="13"/>
              </w:rPr>
            </w:pPr>
            <w:r>
              <w:rPr>
                <w:sz w:val="13"/>
                <w:szCs w:val="13"/>
              </w:rPr>
              <w:t>Отношение величины технологических потерь тепловой энергии к материальной характеристике тепловой сети,</w:t>
            </w:r>
            <w:r>
              <w:rPr>
                <w:sz w:val="13"/>
                <w:szCs w:val="13"/>
              </w:rPr>
              <w:br/>
              <w:t>тыс. Гкал/кв. м</w:t>
            </w:r>
          </w:p>
        </w:tc>
      </w:tr>
      <w:tr w:rsidR="002F590A" w14:paraId="125ECDF6" w14:textId="77777777" w:rsidTr="002F590A">
        <w:trPr>
          <w:trHeight w:val="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547416" w14:textId="77777777" w:rsidR="002F590A" w:rsidRDefault="002F590A">
            <w:pPr>
              <w:spacing w:line="256" w:lineRule="auto"/>
              <w:rPr>
                <w:sz w:val="13"/>
                <w:szCs w:val="13"/>
              </w:rPr>
            </w:pPr>
          </w:p>
        </w:tc>
        <w:tc>
          <w:tcPr>
            <w:tcW w:w="715" w:type="dxa"/>
            <w:vMerge w:val="restart"/>
            <w:tcBorders>
              <w:top w:val="single" w:sz="4" w:space="0" w:color="auto"/>
              <w:left w:val="single" w:sz="4" w:space="0" w:color="auto"/>
              <w:bottom w:val="single" w:sz="4" w:space="0" w:color="auto"/>
              <w:right w:val="single" w:sz="4" w:space="0" w:color="auto"/>
            </w:tcBorders>
            <w:vAlign w:val="center"/>
            <w:hideMark/>
          </w:tcPr>
          <w:p w14:paraId="35F63BE5" w14:textId="77777777" w:rsidR="002F590A" w:rsidRDefault="002F590A">
            <w:pPr>
              <w:jc w:val="center"/>
              <w:rPr>
                <w:sz w:val="13"/>
                <w:szCs w:val="13"/>
              </w:rPr>
            </w:pPr>
            <w:r>
              <w:rPr>
                <w:sz w:val="13"/>
                <w:szCs w:val="13"/>
              </w:rPr>
              <w:t>Текущее значение</w:t>
            </w:r>
          </w:p>
        </w:tc>
        <w:tc>
          <w:tcPr>
            <w:tcW w:w="5097" w:type="dxa"/>
            <w:gridSpan w:val="10"/>
            <w:tcBorders>
              <w:top w:val="single" w:sz="4" w:space="0" w:color="auto"/>
              <w:left w:val="single" w:sz="4" w:space="0" w:color="auto"/>
              <w:bottom w:val="single" w:sz="4" w:space="0" w:color="auto"/>
              <w:right w:val="single" w:sz="4" w:space="0" w:color="auto"/>
            </w:tcBorders>
            <w:vAlign w:val="center"/>
            <w:hideMark/>
          </w:tcPr>
          <w:p w14:paraId="42649A1B" w14:textId="77777777" w:rsidR="002F590A" w:rsidRDefault="002F590A">
            <w:pPr>
              <w:jc w:val="center"/>
              <w:rPr>
                <w:sz w:val="13"/>
                <w:szCs w:val="13"/>
              </w:rPr>
            </w:pPr>
            <w:r>
              <w:rPr>
                <w:sz w:val="13"/>
                <w:szCs w:val="13"/>
              </w:rPr>
              <w:t>Плановое значение</w:t>
            </w:r>
          </w:p>
        </w:tc>
        <w:tc>
          <w:tcPr>
            <w:tcW w:w="715" w:type="dxa"/>
            <w:vMerge w:val="restart"/>
            <w:tcBorders>
              <w:top w:val="single" w:sz="4" w:space="0" w:color="auto"/>
              <w:left w:val="single" w:sz="4" w:space="0" w:color="auto"/>
              <w:bottom w:val="single" w:sz="4" w:space="0" w:color="auto"/>
              <w:right w:val="single" w:sz="4" w:space="0" w:color="auto"/>
            </w:tcBorders>
            <w:vAlign w:val="center"/>
            <w:hideMark/>
          </w:tcPr>
          <w:p w14:paraId="2878D673" w14:textId="77777777" w:rsidR="002F590A" w:rsidRDefault="002F590A">
            <w:pPr>
              <w:jc w:val="center"/>
              <w:rPr>
                <w:sz w:val="13"/>
                <w:szCs w:val="13"/>
              </w:rPr>
            </w:pPr>
            <w:r>
              <w:rPr>
                <w:sz w:val="13"/>
                <w:szCs w:val="13"/>
              </w:rPr>
              <w:t xml:space="preserve">Текущее значение </w:t>
            </w:r>
          </w:p>
        </w:tc>
        <w:tc>
          <w:tcPr>
            <w:tcW w:w="4765" w:type="dxa"/>
            <w:gridSpan w:val="10"/>
            <w:tcBorders>
              <w:top w:val="single" w:sz="4" w:space="0" w:color="auto"/>
              <w:left w:val="single" w:sz="4" w:space="0" w:color="auto"/>
              <w:bottom w:val="single" w:sz="4" w:space="0" w:color="auto"/>
              <w:right w:val="single" w:sz="4" w:space="0" w:color="auto"/>
            </w:tcBorders>
            <w:vAlign w:val="center"/>
            <w:hideMark/>
          </w:tcPr>
          <w:p w14:paraId="3EC7CF0C" w14:textId="77777777" w:rsidR="002F590A" w:rsidRDefault="002F590A">
            <w:pPr>
              <w:jc w:val="center"/>
              <w:rPr>
                <w:sz w:val="13"/>
                <w:szCs w:val="13"/>
              </w:rPr>
            </w:pPr>
            <w:r>
              <w:rPr>
                <w:sz w:val="13"/>
                <w:szCs w:val="13"/>
              </w:rPr>
              <w:t>Плановое значение</w:t>
            </w:r>
          </w:p>
        </w:tc>
      </w:tr>
      <w:tr w:rsidR="002F590A" w14:paraId="304785DE" w14:textId="77777777" w:rsidTr="002F590A">
        <w:trPr>
          <w:trHeight w:val="4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101E99" w14:textId="77777777" w:rsidR="002F590A" w:rsidRDefault="002F590A">
            <w:pPr>
              <w:spacing w:line="256" w:lineRule="auto"/>
              <w:rPr>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72B151" w14:textId="77777777" w:rsidR="002F590A" w:rsidRDefault="002F590A">
            <w:pPr>
              <w:spacing w:line="256" w:lineRule="auto"/>
              <w:rPr>
                <w:sz w:val="13"/>
                <w:szCs w:val="13"/>
              </w:rPr>
            </w:pPr>
          </w:p>
        </w:tc>
        <w:tc>
          <w:tcPr>
            <w:tcW w:w="476" w:type="dxa"/>
            <w:tcBorders>
              <w:top w:val="single" w:sz="4" w:space="0" w:color="auto"/>
              <w:left w:val="single" w:sz="4" w:space="0" w:color="auto"/>
              <w:bottom w:val="single" w:sz="4" w:space="0" w:color="auto"/>
              <w:right w:val="single" w:sz="4" w:space="0" w:color="auto"/>
            </w:tcBorders>
            <w:vAlign w:val="center"/>
            <w:hideMark/>
          </w:tcPr>
          <w:p w14:paraId="4609532E" w14:textId="77777777" w:rsidR="002F590A" w:rsidRDefault="002F590A">
            <w:pPr>
              <w:jc w:val="center"/>
              <w:rPr>
                <w:sz w:val="13"/>
                <w:szCs w:val="13"/>
              </w:rPr>
            </w:pPr>
            <w:r>
              <w:rPr>
                <w:sz w:val="13"/>
                <w:szCs w:val="13"/>
              </w:rPr>
              <w:t>2022</w:t>
            </w:r>
          </w:p>
        </w:tc>
        <w:tc>
          <w:tcPr>
            <w:tcW w:w="476" w:type="dxa"/>
            <w:tcBorders>
              <w:top w:val="single" w:sz="4" w:space="0" w:color="auto"/>
              <w:left w:val="single" w:sz="4" w:space="0" w:color="auto"/>
              <w:bottom w:val="single" w:sz="4" w:space="0" w:color="auto"/>
              <w:right w:val="single" w:sz="4" w:space="0" w:color="auto"/>
            </w:tcBorders>
            <w:vAlign w:val="center"/>
            <w:hideMark/>
          </w:tcPr>
          <w:p w14:paraId="6EC8F4FC" w14:textId="77777777" w:rsidR="002F590A" w:rsidRDefault="002F590A">
            <w:pPr>
              <w:jc w:val="center"/>
              <w:rPr>
                <w:sz w:val="13"/>
                <w:szCs w:val="13"/>
              </w:rPr>
            </w:pPr>
            <w:r>
              <w:rPr>
                <w:sz w:val="13"/>
                <w:szCs w:val="13"/>
              </w:rPr>
              <w:t>2023</w:t>
            </w:r>
          </w:p>
        </w:tc>
        <w:tc>
          <w:tcPr>
            <w:tcW w:w="476" w:type="dxa"/>
            <w:tcBorders>
              <w:top w:val="single" w:sz="4" w:space="0" w:color="auto"/>
              <w:left w:val="single" w:sz="4" w:space="0" w:color="auto"/>
              <w:bottom w:val="single" w:sz="4" w:space="0" w:color="auto"/>
              <w:right w:val="single" w:sz="4" w:space="0" w:color="auto"/>
            </w:tcBorders>
            <w:vAlign w:val="center"/>
            <w:hideMark/>
          </w:tcPr>
          <w:p w14:paraId="2E6B4941" w14:textId="77777777" w:rsidR="002F590A" w:rsidRDefault="002F590A">
            <w:pPr>
              <w:jc w:val="center"/>
              <w:rPr>
                <w:sz w:val="13"/>
                <w:szCs w:val="13"/>
              </w:rPr>
            </w:pPr>
            <w:r>
              <w:rPr>
                <w:sz w:val="13"/>
                <w:szCs w:val="13"/>
              </w:rPr>
              <w:t>2024</w:t>
            </w:r>
          </w:p>
        </w:tc>
        <w:tc>
          <w:tcPr>
            <w:tcW w:w="476" w:type="dxa"/>
            <w:tcBorders>
              <w:top w:val="single" w:sz="4" w:space="0" w:color="auto"/>
              <w:left w:val="single" w:sz="4" w:space="0" w:color="auto"/>
              <w:bottom w:val="single" w:sz="4" w:space="0" w:color="auto"/>
              <w:right w:val="single" w:sz="4" w:space="0" w:color="auto"/>
            </w:tcBorders>
            <w:vAlign w:val="center"/>
            <w:hideMark/>
          </w:tcPr>
          <w:p w14:paraId="64E6170E" w14:textId="77777777" w:rsidR="002F590A" w:rsidRDefault="002F590A">
            <w:pPr>
              <w:jc w:val="center"/>
              <w:rPr>
                <w:sz w:val="13"/>
                <w:szCs w:val="13"/>
              </w:rPr>
            </w:pPr>
            <w:r>
              <w:rPr>
                <w:sz w:val="13"/>
                <w:szCs w:val="13"/>
              </w:rPr>
              <w:t>2025</w:t>
            </w:r>
          </w:p>
        </w:tc>
        <w:tc>
          <w:tcPr>
            <w:tcW w:w="476" w:type="dxa"/>
            <w:tcBorders>
              <w:top w:val="single" w:sz="4" w:space="0" w:color="auto"/>
              <w:left w:val="single" w:sz="4" w:space="0" w:color="auto"/>
              <w:bottom w:val="single" w:sz="4" w:space="0" w:color="auto"/>
              <w:right w:val="single" w:sz="4" w:space="0" w:color="auto"/>
            </w:tcBorders>
            <w:vAlign w:val="center"/>
            <w:hideMark/>
          </w:tcPr>
          <w:p w14:paraId="6A0F691F" w14:textId="77777777" w:rsidR="002F590A" w:rsidRDefault="002F590A">
            <w:pPr>
              <w:jc w:val="center"/>
              <w:rPr>
                <w:sz w:val="13"/>
                <w:szCs w:val="13"/>
              </w:rPr>
            </w:pPr>
            <w:r>
              <w:rPr>
                <w:sz w:val="13"/>
                <w:szCs w:val="13"/>
              </w:rPr>
              <w:t>2026</w:t>
            </w:r>
          </w:p>
        </w:tc>
        <w:tc>
          <w:tcPr>
            <w:tcW w:w="476" w:type="dxa"/>
            <w:tcBorders>
              <w:top w:val="single" w:sz="4" w:space="0" w:color="auto"/>
              <w:left w:val="single" w:sz="4" w:space="0" w:color="auto"/>
              <w:bottom w:val="single" w:sz="4" w:space="0" w:color="auto"/>
              <w:right w:val="single" w:sz="4" w:space="0" w:color="auto"/>
            </w:tcBorders>
            <w:vAlign w:val="center"/>
            <w:hideMark/>
          </w:tcPr>
          <w:p w14:paraId="6C40BFD2" w14:textId="77777777" w:rsidR="002F590A" w:rsidRDefault="002F590A">
            <w:pPr>
              <w:jc w:val="center"/>
              <w:rPr>
                <w:sz w:val="13"/>
                <w:szCs w:val="13"/>
              </w:rPr>
            </w:pPr>
            <w:r>
              <w:rPr>
                <w:sz w:val="13"/>
                <w:szCs w:val="13"/>
              </w:rPr>
              <w:t>2027</w:t>
            </w:r>
          </w:p>
        </w:tc>
        <w:tc>
          <w:tcPr>
            <w:tcW w:w="476" w:type="dxa"/>
            <w:tcBorders>
              <w:top w:val="single" w:sz="4" w:space="0" w:color="auto"/>
              <w:left w:val="single" w:sz="4" w:space="0" w:color="auto"/>
              <w:bottom w:val="single" w:sz="4" w:space="0" w:color="auto"/>
              <w:right w:val="single" w:sz="4" w:space="0" w:color="auto"/>
            </w:tcBorders>
            <w:vAlign w:val="center"/>
            <w:hideMark/>
          </w:tcPr>
          <w:p w14:paraId="0B0BDB45" w14:textId="77777777" w:rsidR="002F590A" w:rsidRDefault="002F590A">
            <w:pPr>
              <w:jc w:val="center"/>
              <w:rPr>
                <w:sz w:val="13"/>
                <w:szCs w:val="13"/>
              </w:rPr>
            </w:pPr>
            <w:r>
              <w:rPr>
                <w:sz w:val="13"/>
                <w:szCs w:val="13"/>
              </w:rPr>
              <w:t>2028</w:t>
            </w:r>
          </w:p>
        </w:tc>
        <w:tc>
          <w:tcPr>
            <w:tcW w:w="476" w:type="dxa"/>
            <w:tcBorders>
              <w:top w:val="single" w:sz="4" w:space="0" w:color="auto"/>
              <w:left w:val="single" w:sz="4" w:space="0" w:color="auto"/>
              <w:bottom w:val="single" w:sz="4" w:space="0" w:color="auto"/>
              <w:right w:val="single" w:sz="4" w:space="0" w:color="auto"/>
            </w:tcBorders>
            <w:vAlign w:val="center"/>
            <w:hideMark/>
          </w:tcPr>
          <w:p w14:paraId="60E7A2D5" w14:textId="77777777" w:rsidR="002F590A" w:rsidRDefault="002F590A">
            <w:pPr>
              <w:jc w:val="center"/>
              <w:rPr>
                <w:sz w:val="13"/>
                <w:szCs w:val="13"/>
              </w:rPr>
            </w:pPr>
            <w:r>
              <w:rPr>
                <w:sz w:val="13"/>
                <w:szCs w:val="13"/>
              </w:rPr>
              <w:t>2029</w:t>
            </w:r>
          </w:p>
        </w:tc>
        <w:tc>
          <w:tcPr>
            <w:tcW w:w="476" w:type="dxa"/>
            <w:tcBorders>
              <w:top w:val="single" w:sz="4" w:space="0" w:color="auto"/>
              <w:left w:val="single" w:sz="4" w:space="0" w:color="auto"/>
              <w:bottom w:val="single" w:sz="4" w:space="0" w:color="auto"/>
              <w:right w:val="single" w:sz="4" w:space="0" w:color="auto"/>
            </w:tcBorders>
            <w:vAlign w:val="center"/>
            <w:hideMark/>
          </w:tcPr>
          <w:p w14:paraId="315EAB22" w14:textId="77777777" w:rsidR="002F590A" w:rsidRDefault="002F590A">
            <w:pPr>
              <w:jc w:val="center"/>
              <w:rPr>
                <w:sz w:val="13"/>
                <w:szCs w:val="13"/>
              </w:rPr>
            </w:pPr>
            <w:r>
              <w:rPr>
                <w:sz w:val="13"/>
                <w:szCs w:val="13"/>
              </w:rPr>
              <w:t>2030</w:t>
            </w:r>
          </w:p>
        </w:tc>
        <w:tc>
          <w:tcPr>
            <w:tcW w:w="813" w:type="dxa"/>
            <w:tcBorders>
              <w:top w:val="single" w:sz="4" w:space="0" w:color="auto"/>
              <w:left w:val="single" w:sz="4" w:space="0" w:color="auto"/>
              <w:bottom w:val="single" w:sz="4" w:space="0" w:color="auto"/>
              <w:right w:val="single" w:sz="4" w:space="0" w:color="auto"/>
            </w:tcBorders>
            <w:vAlign w:val="center"/>
            <w:hideMark/>
          </w:tcPr>
          <w:p w14:paraId="17D80475" w14:textId="77777777" w:rsidR="002F590A" w:rsidRDefault="002F590A">
            <w:pPr>
              <w:jc w:val="center"/>
              <w:rPr>
                <w:sz w:val="13"/>
                <w:szCs w:val="13"/>
              </w:rPr>
            </w:pPr>
            <w:r>
              <w:rPr>
                <w:sz w:val="13"/>
                <w:szCs w:val="13"/>
              </w:rPr>
              <w:t>2031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2FAC75" w14:textId="77777777" w:rsidR="002F590A" w:rsidRDefault="002F590A">
            <w:pPr>
              <w:spacing w:line="256" w:lineRule="auto"/>
              <w:rPr>
                <w:sz w:val="13"/>
                <w:szCs w:val="13"/>
              </w:rPr>
            </w:pPr>
          </w:p>
        </w:tc>
        <w:tc>
          <w:tcPr>
            <w:tcW w:w="476" w:type="dxa"/>
            <w:tcBorders>
              <w:top w:val="single" w:sz="4" w:space="0" w:color="auto"/>
              <w:left w:val="single" w:sz="4" w:space="0" w:color="auto"/>
              <w:bottom w:val="single" w:sz="4" w:space="0" w:color="auto"/>
              <w:right w:val="single" w:sz="4" w:space="0" w:color="auto"/>
            </w:tcBorders>
            <w:vAlign w:val="center"/>
            <w:hideMark/>
          </w:tcPr>
          <w:p w14:paraId="20F7E7F0" w14:textId="77777777" w:rsidR="002F590A" w:rsidRDefault="002F590A">
            <w:pPr>
              <w:jc w:val="center"/>
              <w:rPr>
                <w:sz w:val="13"/>
                <w:szCs w:val="13"/>
              </w:rPr>
            </w:pPr>
            <w:r>
              <w:rPr>
                <w:sz w:val="13"/>
                <w:szCs w:val="13"/>
              </w:rPr>
              <w:t>2022</w:t>
            </w:r>
          </w:p>
        </w:tc>
        <w:tc>
          <w:tcPr>
            <w:tcW w:w="476" w:type="dxa"/>
            <w:tcBorders>
              <w:top w:val="single" w:sz="4" w:space="0" w:color="auto"/>
              <w:left w:val="single" w:sz="4" w:space="0" w:color="auto"/>
              <w:bottom w:val="single" w:sz="4" w:space="0" w:color="auto"/>
              <w:right w:val="single" w:sz="4" w:space="0" w:color="auto"/>
            </w:tcBorders>
            <w:vAlign w:val="center"/>
            <w:hideMark/>
          </w:tcPr>
          <w:p w14:paraId="61899716" w14:textId="77777777" w:rsidR="002F590A" w:rsidRDefault="002F590A">
            <w:pPr>
              <w:jc w:val="center"/>
              <w:rPr>
                <w:sz w:val="13"/>
                <w:szCs w:val="13"/>
              </w:rPr>
            </w:pPr>
            <w:r>
              <w:rPr>
                <w:sz w:val="13"/>
                <w:szCs w:val="13"/>
              </w:rPr>
              <w:t>2023</w:t>
            </w:r>
          </w:p>
        </w:tc>
        <w:tc>
          <w:tcPr>
            <w:tcW w:w="476" w:type="dxa"/>
            <w:tcBorders>
              <w:top w:val="single" w:sz="4" w:space="0" w:color="auto"/>
              <w:left w:val="single" w:sz="4" w:space="0" w:color="auto"/>
              <w:bottom w:val="single" w:sz="4" w:space="0" w:color="auto"/>
              <w:right w:val="single" w:sz="4" w:space="0" w:color="auto"/>
            </w:tcBorders>
            <w:vAlign w:val="center"/>
            <w:hideMark/>
          </w:tcPr>
          <w:p w14:paraId="767609F8" w14:textId="77777777" w:rsidR="002F590A" w:rsidRDefault="002F590A">
            <w:pPr>
              <w:jc w:val="center"/>
              <w:rPr>
                <w:sz w:val="13"/>
                <w:szCs w:val="13"/>
              </w:rPr>
            </w:pPr>
            <w:r>
              <w:rPr>
                <w:sz w:val="13"/>
                <w:szCs w:val="13"/>
              </w:rPr>
              <w:t>2024</w:t>
            </w:r>
          </w:p>
        </w:tc>
        <w:tc>
          <w:tcPr>
            <w:tcW w:w="476" w:type="dxa"/>
            <w:tcBorders>
              <w:top w:val="single" w:sz="4" w:space="0" w:color="auto"/>
              <w:left w:val="single" w:sz="4" w:space="0" w:color="auto"/>
              <w:bottom w:val="single" w:sz="4" w:space="0" w:color="auto"/>
              <w:right w:val="single" w:sz="4" w:space="0" w:color="auto"/>
            </w:tcBorders>
            <w:vAlign w:val="center"/>
            <w:hideMark/>
          </w:tcPr>
          <w:p w14:paraId="29696D46" w14:textId="77777777" w:rsidR="002F590A" w:rsidRDefault="002F590A">
            <w:pPr>
              <w:jc w:val="center"/>
              <w:rPr>
                <w:sz w:val="13"/>
                <w:szCs w:val="13"/>
              </w:rPr>
            </w:pPr>
            <w:r>
              <w:rPr>
                <w:sz w:val="13"/>
                <w:szCs w:val="13"/>
              </w:rPr>
              <w:t>2025</w:t>
            </w:r>
          </w:p>
        </w:tc>
        <w:tc>
          <w:tcPr>
            <w:tcW w:w="476" w:type="dxa"/>
            <w:tcBorders>
              <w:top w:val="single" w:sz="4" w:space="0" w:color="auto"/>
              <w:left w:val="single" w:sz="4" w:space="0" w:color="auto"/>
              <w:bottom w:val="single" w:sz="4" w:space="0" w:color="auto"/>
              <w:right w:val="single" w:sz="4" w:space="0" w:color="auto"/>
            </w:tcBorders>
            <w:vAlign w:val="center"/>
            <w:hideMark/>
          </w:tcPr>
          <w:p w14:paraId="4C91EBC6" w14:textId="77777777" w:rsidR="002F590A" w:rsidRDefault="002F590A">
            <w:pPr>
              <w:jc w:val="center"/>
              <w:rPr>
                <w:sz w:val="13"/>
                <w:szCs w:val="13"/>
              </w:rPr>
            </w:pPr>
            <w:r>
              <w:rPr>
                <w:sz w:val="13"/>
                <w:szCs w:val="13"/>
              </w:rPr>
              <w:t>2026</w:t>
            </w:r>
          </w:p>
        </w:tc>
        <w:tc>
          <w:tcPr>
            <w:tcW w:w="476" w:type="dxa"/>
            <w:tcBorders>
              <w:top w:val="single" w:sz="4" w:space="0" w:color="auto"/>
              <w:left w:val="single" w:sz="4" w:space="0" w:color="auto"/>
              <w:bottom w:val="single" w:sz="4" w:space="0" w:color="auto"/>
              <w:right w:val="single" w:sz="4" w:space="0" w:color="auto"/>
            </w:tcBorders>
            <w:vAlign w:val="center"/>
            <w:hideMark/>
          </w:tcPr>
          <w:p w14:paraId="150EE080" w14:textId="77777777" w:rsidR="002F590A" w:rsidRDefault="002F590A">
            <w:pPr>
              <w:jc w:val="center"/>
              <w:rPr>
                <w:sz w:val="13"/>
                <w:szCs w:val="13"/>
              </w:rPr>
            </w:pPr>
            <w:r>
              <w:rPr>
                <w:sz w:val="13"/>
                <w:szCs w:val="13"/>
              </w:rPr>
              <w:t>2027</w:t>
            </w:r>
          </w:p>
        </w:tc>
        <w:tc>
          <w:tcPr>
            <w:tcW w:w="476" w:type="dxa"/>
            <w:tcBorders>
              <w:top w:val="single" w:sz="4" w:space="0" w:color="auto"/>
              <w:left w:val="single" w:sz="4" w:space="0" w:color="auto"/>
              <w:bottom w:val="single" w:sz="4" w:space="0" w:color="auto"/>
              <w:right w:val="single" w:sz="4" w:space="0" w:color="auto"/>
            </w:tcBorders>
            <w:vAlign w:val="center"/>
            <w:hideMark/>
          </w:tcPr>
          <w:p w14:paraId="76C7529B" w14:textId="77777777" w:rsidR="002F590A" w:rsidRDefault="002F590A">
            <w:pPr>
              <w:jc w:val="center"/>
              <w:rPr>
                <w:sz w:val="13"/>
                <w:szCs w:val="13"/>
              </w:rPr>
            </w:pPr>
            <w:r>
              <w:rPr>
                <w:sz w:val="13"/>
                <w:szCs w:val="13"/>
              </w:rPr>
              <w:t>2028</w:t>
            </w:r>
          </w:p>
        </w:tc>
        <w:tc>
          <w:tcPr>
            <w:tcW w:w="476" w:type="dxa"/>
            <w:tcBorders>
              <w:top w:val="single" w:sz="4" w:space="0" w:color="auto"/>
              <w:left w:val="single" w:sz="4" w:space="0" w:color="auto"/>
              <w:bottom w:val="single" w:sz="4" w:space="0" w:color="auto"/>
              <w:right w:val="single" w:sz="4" w:space="0" w:color="auto"/>
            </w:tcBorders>
            <w:vAlign w:val="center"/>
            <w:hideMark/>
          </w:tcPr>
          <w:p w14:paraId="57B908C8" w14:textId="77777777" w:rsidR="002F590A" w:rsidRDefault="002F590A">
            <w:pPr>
              <w:jc w:val="center"/>
              <w:rPr>
                <w:sz w:val="13"/>
                <w:szCs w:val="13"/>
              </w:rPr>
            </w:pPr>
            <w:r>
              <w:rPr>
                <w:sz w:val="13"/>
                <w:szCs w:val="13"/>
              </w:rPr>
              <w:t>2029</w:t>
            </w:r>
          </w:p>
        </w:tc>
        <w:tc>
          <w:tcPr>
            <w:tcW w:w="476" w:type="dxa"/>
            <w:tcBorders>
              <w:top w:val="single" w:sz="4" w:space="0" w:color="auto"/>
              <w:left w:val="single" w:sz="4" w:space="0" w:color="auto"/>
              <w:bottom w:val="single" w:sz="4" w:space="0" w:color="auto"/>
              <w:right w:val="single" w:sz="4" w:space="0" w:color="auto"/>
            </w:tcBorders>
            <w:vAlign w:val="center"/>
            <w:hideMark/>
          </w:tcPr>
          <w:p w14:paraId="7092BFE3" w14:textId="77777777" w:rsidR="002F590A" w:rsidRDefault="002F590A">
            <w:pPr>
              <w:jc w:val="center"/>
              <w:rPr>
                <w:sz w:val="13"/>
                <w:szCs w:val="13"/>
              </w:rPr>
            </w:pPr>
            <w:r>
              <w:rPr>
                <w:sz w:val="13"/>
                <w:szCs w:val="13"/>
              </w:rPr>
              <w:t>2030</w:t>
            </w:r>
          </w:p>
        </w:tc>
        <w:tc>
          <w:tcPr>
            <w:tcW w:w="481" w:type="dxa"/>
            <w:tcBorders>
              <w:top w:val="single" w:sz="4" w:space="0" w:color="auto"/>
              <w:left w:val="single" w:sz="4" w:space="0" w:color="auto"/>
              <w:bottom w:val="single" w:sz="4" w:space="0" w:color="auto"/>
              <w:right w:val="single" w:sz="4" w:space="0" w:color="auto"/>
            </w:tcBorders>
            <w:vAlign w:val="center"/>
            <w:hideMark/>
          </w:tcPr>
          <w:p w14:paraId="48D8627F" w14:textId="77777777" w:rsidR="002F590A" w:rsidRDefault="002F590A">
            <w:pPr>
              <w:jc w:val="center"/>
              <w:rPr>
                <w:sz w:val="13"/>
                <w:szCs w:val="13"/>
              </w:rPr>
            </w:pPr>
            <w:r>
              <w:rPr>
                <w:sz w:val="13"/>
                <w:szCs w:val="13"/>
              </w:rPr>
              <w:t>2031</w:t>
            </w:r>
          </w:p>
        </w:tc>
      </w:tr>
      <w:tr w:rsidR="002F590A" w14:paraId="49B4D8A9" w14:textId="77777777" w:rsidTr="002F590A">
        <w:trPr>
          <w:trHeight w:val="60"/>
        </w:trPr>
        <w:tc>
          <w:tcPr>
            <w:tcW w:w="3686" w:type="dxa"/>
            <w:tcBorders>
              <w:top w:val="single" w:sz="4" w:space="0" w:color="auto"/>
              <w:left w:val="single" w:sz="4" w:space="0" w:color="auto"/>
              <w:bottom w:val="single" w:sz="4" w:space="0" w:color="auto"/>
              <w:right w:val="single" w:sz="4" w:space="0" w:color="auto"/>
            </w:tcBorders>
            <w:hideMark/>
          </w:tcPr>
          <w:p w14:paraId="42E7666C" w14:textId="77777777" w:rsidR="002F590A" w:rsidRDefault="002F590A">
            <w:pPr>
              <w:jc w:val="center"/>
              <w:rPr>
                <w:sz w:val="13"/>
                <w:szCs w:val="13"/>
              </w:rPr>
            </w:pPr>
            <w:r>
              <w:rPr>
                <w:sz w:val="13"/>
                <w:szCs w:val="13"/>
              </w:rPr>
              <w:t>1</w:t>
            </w:r>
          </w:p>
        </w:tc>
        <w:tc>
          <w:tcPr>
            <w:tcW w:w="715" w:type="dxa"/>
            <w:tcBorders>
              <w:top w:val="single" w:sz="4" w:space="0" w:color="auto"/>
              <w:left w:val="single" w:sz="4" w:space="0" w:color="auto"/>
              <w:bottom w:val="single" w:sz="4" w:space="0" w:color="auto"/>
              <w:right w:val="single" w:sz="4" w:space="0" w:color="auto"/>
            </w:tcBorders>
            <w:hideMark/>
          </w:tcPr>
          <w:p w14:paraId="42510FBB" w14:textId="77777777" w:rsidR="002F590A" w:rsidRDefault="002F590A">
            <w:pPr>
              <w:jc w:val="center"/>
              <w:rPr>
                <w:sz w:val="13"/>
                <w:szCs w:val="13"/>
              </w:rPr>
            </w:pPr>
            <w:r>
              <w:rPr>
                <w:sz w:val="13"/>
                <w:szCs w:val="13"/>
              </w:rPr>
              <w:t>2</w:t>
            </w:r>
          </w:p>
        </w:tc>
        <w:tc>
          <w:tcPr>
            <w:tcW w:w="476" w:type="dxa"/>
            <w:tcBorders>
              <w:top w:val="single" w:sz="4" w:space="0" w:color="auto"/>
              <w:left w:val="single" w:sz="4" w:space="0" w:color="auto"/>
              <w:bottom w:val="single" w:sz="4" w:space="0" w:color="auto"/>
              <w:right w:val="single" w:sz="4" w:space="0" w:color="auto"/>
            </w:tcBorders>
            <w:hideMark/>
          </w:tcPr>
          <w:p w14:paraId="3AD55240" w14:textId="77777777" w:rsidR="002F590A" w:rsidRDefault="002F590A">
            <w:pPr>
              <w:jc w:val="center"/>
              <w:rPr>
                <w:sz w:val="13"/>
                <w:szCs w:val="13"/>
              </w:rPr>
            </w:pPr>
            <w:r>
              <w:rPr>
                <w:sz w:val="13"/>
                <w:szCs w:val="13"/>
              </w:rPr>
              <w:t>3</w:t>
            </w:r>
          </w:p>
        </w:tc>
        <w:tc>
          <w:tcPr>
            <w:tcW w:w="476" w:type="dxa"/>
            <w:tcBorders>
              <w:top w:val="single" w:sz="4" w:space="0" w:color="auto"/>
              <w:left w:val="single" w:sz="4" w:space="0" w:color="auto"/>
              <w:bottom w:val="single" w:sz="4" w:space="0" w:color="auto"/>
              <w:right w:val="single" w:sz="4" w:space="0" w:color="auto"/>
            </w:tcBorders>
            <w:hideMark/>
          </w:tcPr>
          <w:p w14:paraId="24C12882" w14:textId="77777777" w:rsidR="002F590A" w:rsidRDefault="002F590A">
            <w:pPr>
              <w:jc w:val="center"/>
              <w:rPr>
                <w:sz w:val="13"/>
                <w:szCs w:val="13"/>
              </w:rPr>
            </w:pPr>
            <w:r>
              <w:rPr>
                <w:sz w:val="13"/>
                <w:szCs w:val="13"/>
              </w:rPr>
              <w:t>4</w:t>
            </w:r>
          </w:p>
        </w:tc>
        <w:tc>
          <w:tcPr>
            <w:tcW w:w="476" w:type="dxa"/>
            <w:tcBorders>
              <w:top w:val="single" w:sz="4" w:space="0" w:color="auto"/>
              <w:left w:val="single" w:sz="4" w:space="0" w:color="auto"/>
              <w:bottom w:val="single" w:sz="4" w:space="0" w:color="auto"/>
              <w:right w:val="single" w:sz="4" w:space="0" w:color="auto"/>
            </w:tcBorders>
            <w:hideMark/>
          </w:tcPr>
          <w:p w14:paraId="213BD31A" w14:textId="77777777" w:rsidR="002F590A" w:rsidRDefault="002F590A">
            <w:pPr>
              <w:jc w:val="center"/>
              <w:rPr>
                <w:sz w:val="13"/>
                <w:szCs w:val="13"/>
              </w:rPr>
            </w:pPr>
            <w:r>
              <w:rPr>
                <w:sz w:val="13"/>
                <w:szCs w:val="13"/>
              </w:rPr>
              <w:t>5</w:t>
            </w:r>
          </w:p>
        </w:tc>
        <w:tc>
          <w:tcPr>
            <w:tcW w:w="476" w:type="dxa"/>
            <w:tcBorders>
              <w:top w:val="single" w:sz="4" w:space="0" w:color="auto"/>
              <w:left w:val="single" w:sz="4" w:space="0" w:color="auto"/>
              <w:bottom w:val="single" w:sz="4" w:space="0" w:color="auto"/>
              <w:right w:val="single" w:sz="4" w:space="0" w:color="auto"/>
            </w:tcBorders>
            <w:hideMark/>
          </w:tcPr>
          <w:p w14:paraId="0F1E580D" w14:textId="77777777" w:rsidR="002F590A" w:rsidRDefault="002F590A">
            <w:pPr>
              <w:jc w:val="center"/>
              <w:rPr>
                <w:sz w:val="13"/>
                <w:szCs w:val="13"/>
              </w:rPr>
            </w:pPr>
            <w:r>
              <w:rPr>
                <w:sz w:val="13"/>
                <w:szCs w:val="13"/>
              </w:rPr>
              <w:t>6</w:t>
            </w:r>
          </w:p>
        </w:tc>
        <w:tc>
          <w:tcPr>
            <w:tcW w:w="476" w:type="dxa"/>
            <w:tcBorders>
              <w:top w:val="single" w:sz="4" w:space="0" w:color="auto"/>
              <w:left w:val="single" w:sz="4" w:space="0" w:color="auto"/>
              <w:bottom w:val="single" w:sz="4" w:space="0" w:color="auto"/>
              <w:right w:val="single" w:sz="4" w:space="0" w:color="auto"/>
            </w:tcBorders>
            <w:hideMark/>
          </w:tcPr>
          <w:p w14:paraId="1A24A8C4" w14:textId="77777777" w:rsidR="002F590A" w:rsidRDefault="002F590A">
            <w:pPr>
              <w:jc w:val="center"/>
              <w:rPr>
                <w:sz w:val="13"/>
                <w:szCs w:val="13"/>
              </w:rPr>
            </w:pPr>
            <w:r>
              <w:rPr>
                <w:sz w:val="13"/>
                <w:szCs w:val="13"/>
              </w:rPr>
              <w:t>7</w:t>
            </w:r>
          </w:p>
        </w:tc>
        <w:tc>
          <w:tcPr>
            <w:tcW w:w="476" w:type="dxa"/>
            <w:tcBorders>
              <w:top w:val="single" w:sz="4" w:space="0" w:color="auto"/>
              <w:left w:val="single" w:sz="4" w:space="0" w:color="auto"/>
              <w:bottom w:val="single" w:sz="4" w:space="0" w:color="auto"/>
              <w:right w:val="single" w:sz="4" w:space="0" w:color="auto"/>
            </w:tcBorders>
            <w:hideMark/>
          </w:tcPr>
          <w:p w14:paraId="0B6B29F8" w14:textId="77777777" w:rsidR="002F590A" w:rsidRDefault="002F590A">
            <w:pPr>
              <w:jc w:val="center"/>
              <w:rPr>
                <w:sz w:val="13"/>
                <w:szCs w:val="13"/>
              </w:rPr>
            </w:pPr>
            <w:r>
              <w:rPr>
                <w:sz w:val="13"/>
                <w:szCs w:val="13"/>
              </w:rPr>
              <w:t>8</w:t>
            </w:r>
          </w:p>
        </w:tc>
        <w:tc>
          <w:tcPr>
            <w:tcW w:w="476" w:type="dxa"/>
            <w:tcBorders>
              <w:top w:val="single" w:sz="4" w:space="0" w:color="auto"/>
              <w:left w:val="single" w:sz="4" w:space="0" w:color="auto"/>
              <w:bottom w:val="single" w:sz="4" w:space="0" w:color="auto"/>
              <w:right w:val="single" w:sz="4" w:space="0" w:color="auto"/>
            </w:tcBorders>
            <w:hideMark/>
          </w:tcPr>
          <w:p w14:paraId="2935BC81" w14:textId="77777777" w:rsidR="002F590A" w:rsidRDefault="002F590A">
            <w:pPr>
              <w:jc w:val="center"/>
              <w:rPr>
                <w:sz w:val="13"/>
                <w:szCs w:val="13"/>
              </w:rPr>
            </w:pPr>
            <w:r>
              <w:rPr>
                <w:sz w:val="13"/>
                <w:szCs w:val="13"/>
              </w:rPr>
              <w:t>9</w:t>
            </w:r>
          </w:p>
        </w:tc>
        <w:tc>
          <w:tcPr>
            <w:tcW w:w="476" w:type="dxa"/>
            <w:tcBorders>
              <w:top w:val="single" w:sz="4" w:space="0" w:color="auto"/>
              <w:left w:val="single" w:sz="4" w:space="0" w:color="auto"/>
              <w:bottom w:val="single" w:sz="4" w:space="0" w:color="auto"/>
              <w:right w:val="single" w:sz="4" w:space="0" w:color="auto"/>
            </w:tcBorders>
            <w:hideMark/>
          </w:tcPr>
          <w:p w14:paraId="0D8D5731" w14:textId="77777777" w:rsidR="002F590A" w:rsidRDefault="002F590A">
            <w:pPr>
              <w:jc w:val="center"/>
              <w:rPr>
                <w:sz w:val="13"/>
                <w:szCs w:val="13"/>
              </w:rPr>
            </w:pPr>
            <w:r>
              <w:rPr>
                <w:sz w:val="13"/>
                <w:szCs w:val="13"/>
              </w:rPr>
              <w:t>10</w:t>
            </w:r>
          </w:p>
        </w:tc>
        <w:tc>
          <w:tcPr>
            <w:tcW w:w="476" w:type="dxa"/>
            <w:tcBorders>
              <w:top w:val="single" w:sz="4" w:space="0" w:color="auto"/>
              <w:left w:val="single" w:sz="4" w:space="0" w:color="auto"/>
              <w:bottom w:val="single" w:sz="4" w:space="0" w:color="auto"/>
              <w:right w:val="single" w:sz="4" w:space="0" w:color="auto"/>
            </w:tcBorders>
            <w:hideMark/>
          </w:tcPr>
          <w:p w14:paraId="02569A5E" w14:textId="77777777" w:rsidR="002F590A" w:rsidRDefault="002F590A">
            <w:pPr>
              <w:jc w:val="center"/>
              <w:rPr>
                <w:sz w:val="13"/>
                <w:szCs w:val="13"/>
              </w:rPr>
            </w:pPr>
            <w:r>
              <w:rPr>
                <w:sz w:val="13"/>
                <w:szCs w:val="13"/>
              </w:rPr>
              <w:t>11</w:t>
            </w:r>
          </w:p>
        </w:tc>
        <w:tc>
          <w:tcPr>
            <w:tcW w:w="813" w:type="dxa"/>
            <w:tcBorders>
              <w:top w:val="single" w:sz="4" w:space="0" w:color="auto"/>
              <w:left w:val="single" w:sz="4" w:space="0" w:color="auto"/>
              <w:bottom w:val="single" w:sz="4" w:space="0" w:color="auto"/>
              <w:right w:val="single" w:sz="4" w:space="0" w:color="auto"/>
            </w:tcBorders>
            <w:hideMark/>
          </w:tcPr>
          <w:p w14:paraId="4F6CB807" w14:textId="77777777" w:rsidR="002F590A" w:rsidRDefault="002F590A">
            <w:pPr>
              <w:jc w:val="center"/>
              <w:rPr>
                <w:sz w:val="13"/>
                <w:szCs w:val="13"/>
              </w:rPr>
            </w:pPr>
            <w:r>
              <w:rPr>
                <w:sz w:val="13"/>
                <w:szCs w:val="13"/>
              </w:rPr>
              <w:t>12</w:t>
            </w:r>
          </w:p>
        </w:tc>
        <w:tc>
          <w:tcPr>
            <w:tcW w:w="715" w:type="dxa"/>
            <w:tcBorders>
              <w:top w:val="single" w:sz="4" w:space="0" w:color="auto"/>
              <w:left w:val="single" w:sz="4" w:space="0" w:color="auto"/>
              <w:bottom w:val="single" w:sz="4" w:space="0" w:color="auto"/>
              <w:right w:val="single" w:sz="4" w:space="0" w:color="auto"/>
            </w:tcBorders>
            <w:hideMark/>
          </w:tcPr>
          <w:p w14:paraId="18DCC102" w14:textId="77777777" w:rsidR="002F590A" w:rsidRDefault="002F590A">
            <w:pPr>
              <w:jc w:val="center"/>
              <w:rPr>
                <w:sz w:val="13"/>
                <w:szCs w:val="13"/>
              </w:rPr>
            </w:pPr>
            <w:r>
              <w:rPr>
                <w:sz w:val="13"/>
                <w:szCs w:val="13"/>
              </w:rPr>
              <w:t>13</w:t>
            </w:r>
          </w:p>
        </w:tc>
        <w:tc>
          <w:tcPr>
            <w:tcW w:w="476" w:type="dxa"/>
            <w:tcBorders>
              <w:top w:val="single" w:sz="4" w:space="0" w:color="auto"/>
              <w:left w:val="single" w:sz="4" w:space="0" w:color="auto"/>
              <w:bottom w:val="single" w:sz="4" w:space="0" w:color="auto"/>
              <w:right w:val="single" w:sz="4" w:space="0" w:color="auto"/>
            </w:tcBorders>
            <w:hideMark/>
          </w:tcPr>
          <w:p w14:paraId="67E539BF" w14:textId="77777777" w:rsidR="002F590A" w:rsidRDefault="002F590A">
            <w:pPr>
              <w:jc w:val="center"/>
              <w:rPr>
                <w:sz w:val="13"/>
                <w:szCs w:val="13"/>
              </w:rPr>
            </w:pPr>
            <w:r>
              <w:rPr>
                <w:sz w:val="13"/>
                <w:szCs w:val="13"/>
              </w:rPr>
              <w:t>14</w:t>
            </w:r>
          </w:p>
        </w:tc>
        <w:tc>
          <w:tcPr>
            <w:tcW w:w="476" w:type="dxa"/>
            <w:tcBorders>
              <w:top w:val="single" w:sz="4" w:space="0" w:color="auto"/>
              <w:left w:val="single" w:sz="4" w:space="0" w:color="auto"/>
              <w:bottom w:val="single" w:sz="4" w:space="0" w:color="auto"/>
              <w:right w:val="single" w:sz="4" w:space="0" w:color="auto"/>
            </w:tcBorders>
            <w:hideMark/>
          </w:tcPr>
          <w:p w14:paraId="5FE5544A" w14:textId="77777777" w:rsidR="002F590A" w:rsidRDefault="002F590A">
            <w:pPr>
              <w:jc w:val="center"/>
              <w:rPr>
                <w:sz w:val="13"/>
                <w:szCs w:val="13"/>
              </w:rPr>
            </w:pPr>
            <w:r>
              <w:rPr>
                <w:sz w:val="13"/>
                <w:szCs w:val="13"/>
              </w:rPr>
              <w:t>15</w:t>
            </w:r>
          </w:p>
        </w:tc>
        <w:tc>
          <w:tcPr>
            <w:tcW w:w="476" w:type="dxa"/>
            <w:tcBorders>
              <w:top w:val="single" w:sz="4" w:space="0" w:color="auto"/>
              <w:left w:val="single" w:sz="4" w:space="0" w:color="auto"/>
              <w:bottom w:val="single" w:sz="4" w:space="0" w:color="auto"/>
              <w:right w:val="single" w:sz="4" w:space="0" w:color="auto"/>
            </w:tcBorders>
            <w:hideMark/>
          </w:tcPr>
          <w:p w14:paraId="7BDF770B" w14:textId="77777777" w:rsidR="002F590A" w:rsidRDefault="002F590A">
            <w:pPr>
              <w:jc w:val="center"/>
              <w:rPr>
                <w:sz w:val="13"/>
                <w:szCs w:val="13"/>
              </w:rPr>
            </w:pPr>
            <w:r>
              <w:rPr>
                <w:sz w:val="13"/>
                <w:szCs w:val="13"/>
              </w:rPr>
              <w:t>16</w:t>
            </w:r>
          </w:p>
        </w:tc>
        <w:tc>
          <w:tcPr>
            <w:tcW w:w="476" w:type="dxa"/>
            <w:tcBorders>
              <w:top w:val="single" w:sz="4" w:space="0" w:color="auto"/>
              <w:left w:val="single" w:sz="4" w:space="0" w:color="auto"/>
              <w:bottom w:val="single" w:sz="4" w:space="0" w:color="auto"/>
              <w:right w:val="single" w:sz="4" w:space="0" w:color="auto"/>
            </w:tcBorders>
            <w:hideMark/>
          </w:tcPr>
          <w:p w14:paraId="46E6CADF" w14:textId="77777777" w:rsidR="002F590A" w:rsidRDefault="002F590A">
            <w:pPr>
              <w:jc w:val="center"/>
              <w:rPr>
                <w:sz w:val="13"/>
                <w:szCs w:val="13"/>
              </w:rPr>
            </w:pPr>
            <w:r>
              <w:rPr>
                <w:sz w:val="13"/>
                <w:szCs w:val="13"/>
              </w:rPr>
              <w:t>17</w:t>
            </w:r>
          </w:p>
        </w:tc>
        <w:tc>
          <w:tcPr>
            <w:tcW w:w="476" w:type="dxa"/>
            <w:tcBorders>
              <w:top w:val="single" w:sz="4" w:space="0" w:color="auto"/>
              <w:left w:val="single" w:sz="4" w:space="0" w:color="auto"/>
              <w:bottom w:val="single" w:sz="4" w:space="0" w:color="auto"/>
              <w:right w:val="single" w:sz="4" w:space="0" w:color="auto"/>
            </w:tcBorders>
            <w:hideMark/>
          </w:tcPr>
          <w:p w14:paraId="1F0199D1" w14:textId="77777777" w:rsidR="002F590A" w:rsidRDefault="002F590A">
            <w:pPr>
              <w:jc w:val="center"/>
              <w:rPr>
                <w:sz w:val="13"/>
                <w:szCs w:val="13"/>
              </w:rPr>
            </w:pPr>
            <w:r>
              <w:rPr>
                <w:sz w:val="13"/>
                <w:szCs w:val="13"/>
              </w:rPr>
              <w:t>18</w:t>
            </w:r>
          </w:p>
        </w:tc>
        <w:tc>
          <w:tcPr>
            <w:tcW w:w="476" w:type="dxa"/>
            <w:tcBorders>
              <w:top w:val="single" w:sz="4" w:space="0" w:color="auto"/>
              <w:left w:val="single" w:sz="4" w:space="0" w:color="auto"/>
              <w:bottom w:val="single" w:sz="4" w:space="0" w:color="auto"/>
              <w:right w:val="single" w:sz="4" w:space="0" w:color="auto"/>
            </w:tcBorders>
            <w:hideMark/>
          </w:tcPr>
          <w:p w14:paraId="1B76A15F" w14:textId="77777777" w:rsidR="002F590A" w:rsidRDefault="002F590A">
            <w:pPr>
              <w:jc w:val="center"/>
              <w:rPr>
                <w:sz w:val="13"/>
                <w:szCs w:val="13"/>
              </w:rPr>
            </w:pPr>
            <w:r>
              <w:rPr>
                <w:sz w:val="13"/>
                <w:szCs w:val="13"/>
              </w:rPr>
              <w:t>19</w:t>
            </w:r>
          </w:p>
        </w:tc>
        <w:tc>
          <w:tcPr>
            <w:tcW w:w="476" w:type="dxa"/>
            <w:tcBorders>
              <w:top w:val="single" w:sz="4" w:space="0" w:color="auto"/>
              <w:left w:val="single" w:sz="4" w:space="0" w:color="auto"/>
              <w:bottom w:val="single" w:sz="4" w:space="0" w:color="auto"/>
              <w:right w:val="single" w:sz="4" w:space="0" w:color="auto"/>
            </w:tcBorders>
            <w:hideMark/>
          </w:tcPr>
          <w:p w14:paraId="31198710" w14:textId="77777777" w:rsidR="002F590A" w:rsidRDefault="002F590A">
            <w:pPr>
              <w:jc w:val="center"/>
              <w:rPr>
                <w:sz w:val="13"/>
                <w:szCs w:val="13"/>
              </w:rPr>
            </w:pPr>
            <w:r>
              <w:rPr>
                <w:sz w:val="13"/>
                <w:szCs w:val="13"/>
              </w:rPr>
              <w:t>20</w:t>
            </w:r>
          </w:p>
        </w:tc>
        <w:tc>
          <w:tcPr>
            <w:tcW w:w="476" w:type="dxa"/>
            <w:tcBorders>
              <w:top w:val="single" w:sz="4" w:space="0" w:color="auto"/>
              <w:left w:val="single" w:sz="4" w:space="0" w:color="auto"/>
              <w:bottom w:val="single" w:sz="4" w:space="0" w:color="auto"/>
              <w:right w:val="single" w:sz="4" w:space="0" w:color="auto"/>
            </w:tcBorders>
            <w:hideMark/>
          </w:tcPr>
          <w:p w14:paraId="3B5F4A94" w14:textId="77777777" w:rsidR="002F590A" w:rsidRDefault="002F590A">
            <w:pPr>
              <w:jc w:val="center"/>
              <w:rPr>
                <w:sz w:val="13"/>
                <w:szCs w:val="13"/>
              </w:rPr>
            </w:pPr>
            <w:r>
              <w:rPr>
                <w:sz w:val="13"/>
                <w:szCs w:val="13"/>
              </w:rPr>
              <w:t>21</w:t>
            </w:r>
          </w:p>
        </w:tc>
        <w:tc>
          <w:tcPr>
            <w:tcW w:w="476" w:type="dxa"/>
            <w:tcBorders>
              <w:top w:val="single" w:sz="4" w:space="0" w:color="auto"/>
              <w:left w:val="single" w:sz="4" w:space="0" w:color="auto"/>
              <w:bottom w:val="single" w:sz="4" w:space="0" w:color="auto"/>
              <w:right w:val="single" w:sz="4" w:space="0" w:color="auto"/>
            </w:tcBorders>
            <w:hideMark/>
          </w:tcPr>
          <w:p w14:paraId="51BCDA78" w14:textId="77777777" w:rsidR="002F590A" w:rsidRDefault="002F590A">
            <w:pPr>
              <w:jc w:val="center"/>
              <w:rPr>
                <w:sz w:val="13"/>
                <w:szCs w:val="13"/>
              </w:rPr>
            </w:pPr>
            <w:r>
              <w:rPr>
                <w:sz w:val="13"/>
                <w:szCs w:val="13"/>
              </w:rPr>
              <w:t>22</w:t>
            </w:r>
          </w:p>
        </w:tc>
        <w:tc>
          <w:tcPr>
            <w:tcW w:w="481" w:type="dxa"/>
            <w:tcBorders>
              <w:top w:val="single" w:sz="4" w:space="0" w:color="auto"/>
              <w:left w:val="single" w:sz="4" w:space="0" w:color="auto"/>
              <w:bottom w:val="single" w:sz="4" w:space="0" w:color="auto"/>
              <w:right w:val="single" w:sz="4" w:space="0" w:color="auto"/>
            </w:tcBorders>
            <w:hideMark/>
          </w:tcPr>
          <w:p w14:paraId="55160B1A" w14:textId="77777777" w:rsidR="002F590A" w:rsidRDefault="002F590A">
            <w:pPr>
              <w:jc w:val="center"/>
              <w:rPr>
                <w:sz w:val="13"/>
                <w:szCs w:val="13"/>
              </w:rPr>
            </w:pPr>
            <w:r>
              <w:rPr>
                <w:sz w:val="13"/>
                <w:szCs w:val="13"/>
              </w:rPr>
              <w:t>23</w:t>
            </w:r>
          </w:p>
        </w:tc>
      </w:tr>
      <w:tr w:rsidR="002F590A" w14:paraId="5281BCE8" w14:textId="77777777" w:rsidTr="002F590A">
        <w:trPr>
          <w:trHeight w:val="466"/>
        </w:trPr>
        <w:tc>
          <w:tcPr>
            <w:tcW w:w="3686" w:type="dxa"/>
            <w:vMerge w:val="restart"/>
            <w:tcBorders>
              <w:top w:val="single" w:sz="4" w:space="0" w:color="auto"/>
              <w:left w:val="single" w:sz="4" w:space="0" w:color="auto"/>
              <w:bottom w:val="single" w:sz="4" w:space="0" w:color="auto"/>
              <w:right w:val="single" w:sz="4" w:space="0" w:color="auto"/>
            </w:tcBorders>
            <w:vAlign w:val="center"/>
            <w:hideMark/>
          </w:tcPr>
          <w:p w14:paraId="39E89AAB" w14:textId="77777777" w:rsidR="002F590A" w:rsidRDefault="002F590A">
            <w:pPr>
              <w:jc w:val="center"/>
              <w:rPr>
                <w:sz w:val="13"/>
                <w:szCs w:val="13"/>
              </w:rPr>
            </w:pPr>
            <w:r>
              <w:rPr>
                <w:sz w:val="13"/>
                <w:szCs w:val="13"/>
              </w:rPr>
              <w:t>ООО «Новосибирская теплосетевая компания»</w:t>
            </w:r>
          </w:p>
        </w:tc>
        <w:tc>
          <w:tcPr>
            <w:tcW w:w="715" w:type="dxa"/>
            <w:vMerge w:val="restart"/>
            <w:tcBorders>
              <w:top w:val="single" w:sz="4" w:space="0" w:color="auto"/>
              <w:left w:val="single" w:sz="4" w:space="0" w:color="auto"/>
              <w:bottom w:val="single" w:sz="4" w:space="0" w:color="auto"/>
              <w:right w:val="single" w:sz="4" w:space="0" w:color="auto"/>
            </w:tcBorders>
            <w:vAlign w:val="center"/>
            <w:hideMark/>
          </w:tcPr>
          <w:p w14:paraId="2B8272B5" w14:textId="77777777" w:rsidR="002F590A" w:rsidRDefault="002F590A">
            <w:pPr>
              <w:jc w:val="center"/>
              <w:rPr>
                <w:sz w:val="13"/>
                <w:szCs w:val="13"/>
              </w:rPr>
            </w:pPr>
            <w:r>
              <w:rPr>
                <w:sz w:val="13"/>
                <w:szCs w:val="13"/>
              </w:rPr>
              <w:t>-</w:t>
            </w:r>
          </w:p>
        </w:tc>
        <w:tc>
          <w:tcPr>
            <w:tcW w:w="476" w:type="dxa"/>
            <w:vMerge w:val="restart"/>
            <w:tcBorders>
              <w:top w:val="single" w:sz="4" w:space="0" w:color="auto"/>
              <w:left w:val="single" w:sz="4" w:space="0" w:color="auto"/>
              <w:bottom w:val="single" w:sz="4" w:space="0" w:color="auto"/>
              <w:right w:val="single" w:sz="4" w:space="0" w:color="auto"/>
            </w:tcBorders>
            <w:vAlign w:val="center"/>
            <w:hideMark/>
          </w:tcPr>
          <w:p w14:paraId="46774266" w14:textId="77777777" w:rsidR="002F590A" w:rsidRDefault="002F590A">
            <w:pPr>
              <w:jc w:val="center"/>
              <w:rPr>
                <w:sz w:val="13"/>
                <w:szCs w:val="13"/>
              </w:rPr>
            </w:pPr>
            <w:r>
              <w:rPr>
                <w:sz w:val="13"/>
                <w:szCs w:val="13"/>
              </w:rPr>
              <w:t>-</w:t>
            </w:r>
          </w:p>
        </w:tc>
        <w:tc>
          <w:tcPr>
            <w:tcW w:w="476" w:type="dxa"/>
            <w:vMerge w:val="restart"/>
            <w:tcBorders>
              <w:top w:val="single" w:sz="4" w:space="0" w:color="auto"/>
              <w:left w:val="single" w:sz="4" w:space="0" w:color="auto"/>
              <w:bottom w:val="single" w:sz="4" w:space="0" w:color="auto"/>
              <w:right w:val="single" w:sz="4" w:space="0" w:color="auto"/>
            </w:tcBorders>
            <w:vAlign w:val="center"/>
            <w:hideMark/>
          </w:tcPr>
          <w:p w14:paraId="683B292E" w14:textId="77777777" w:rsidR="002F590A" w:rsidRDefault="002F590A">
            <w:pPr>
              <w:jc w:val="center"/>
              <w:rPr>
                <w:sz w:val="13"/>
                <w:szCs w:val="13"/>
              </w:rPr>
            </w:pPr>
            <w:r>
              <w:rPr>
                <w:sz w:val="13"/>
                <w:szCs w:val="13"/>
              </w:rPr>
              <w:t>-</w:t>
            </w:r>
          </w:p>
        </w:tc>
        <w:tc>
          <w:tcPr>
            <w:tcW w:w="476" w:type="dxa"/>
            <w:vMerge w:val="restart"/>
            <w:tcBorders>
              <w:top w:val="single" w:sz="4" w:space="0" w:color="auto"/>
              <w:left w:val="single" w:sz="4" w:space="0" w:color="auto"/>
              <w:bottom w:val="single" w:sz="4" w:space="0" w:color="auto"/>
              <w:right w:val="single" w:sz="4" w:space="0" w:color="auto"/>
            </w:tcBorders>
            <w:vAlign w:val="center"/>
            <w:hideMark/>
          </w:tcPr>
          <w:p w14:paraId="40A7B9A7" w14:textId="77777777" w:rsidR="002F590A" w:rsidRDefault="002F590A">
            <w:pPr>
              <w:jc w:val="center"/>
              <w:rPr>
                <w:sz w:val="13"/>
                <w:szCs w:val="13"/>
              </w:rPr>
            </w:pPr>
            <w:r>
              <w:rPr>
                <w:sz w:val="13"/>
                <w:szCs w:val="13"/>
              </w:rPr>
              <w:t>-</w:t>
            </w:r>
          </w:p>
        </w:tc>
        <w:tc>
          <w:tcPr>
            <w:tcW w:w="476" w:type="dxa"/>
            <w:vMerge w:val="restart"/>
            <w:tcBorders>
              <w:top w:val="single" w:sz="4" w:space="0" w:color="auto"/>
              <w:left w:val="single" w:sz="4" w:space="0" w:color="auto"/>
              <w:bottom w:val="single" w:sz="4" w:space="0" w:color="auto"/>
              <w:right w:val="single" w:sz="4" w:space="0" w:color="auto"/>
            </w:tcBorders>
            <w:vAlign w:val="center"/>
            <w:hideMark/>
          </w:tcPr>
          <w:p w14:paraId="7D8A23BD" w14:textId="77777777" w:rsidR="002F590A" w:rsidRDefault="002F590A">
            <w:pPr>
              <w:jc w:val="center"/>
              <w:rPr>
                <w:sz w:val="13"/>
                <w:szCs w:val="13"/>
              </w:rPr>
            </w:pPr>
            <w:r>
              <w:rPr>
                <w:sz w:val="13"/>
                <w:szCs w:val="13"/>
              </w:rPr>
              <w:t>-</w:t>
            </w:r>
          </w:p>
        </w:tc>
        <w:tc>
          <w:tcPr>
            <w:tcW w:w="476" w:type="dxa"/>
            <w:vMerge w:val="restart"/>
            <w:tcBorders>
              <w:top w:val="single" w:sz="4" w:space="0" w:color="auto"/>
              <w:left w:val="single" w:sz="4" w:space="0" w:color="auto"/>
              <w:bottom w:val="single" w:sz="4" w:space="0" w:color="auto"/>
              <w:right w:val="single" w:sz="4" w:space="0" w:color="auto"/>
            </w:tcBorders>
            <w:vAlign w:val="center"/>
            <w:hideMark/>
          </w:tcPr>
          <w:p w14:paraId="378A1554" w14:textId="77777777" w:rsidR="002F590A" w:rsidRDefault="002F590A">
            <w:pPr>
              <w:jc w:val="center"/>
              <w:rPr>
                <w:sz w:val="13"/>
                <w:szCs w:val="13"/>
              </w:rPr>
            </w:pPr>
            <w:r>
              <w:rPr>
                <w:sz w:val="13"/>
                <w:szCs w:val="13"/>
              </w:rPr>
              <w:t>-</w:t>
            </w:r>
          </w:p>
        </w:tc>
        <w:tc>
          <w:tcPr>
            <w:tcW w:w="476" w:type="dxa"/>
            <w:vMerge w:val="restart"/>
            <w:tcBorders>
              <w:top w:val="single" w:sz="4" w:space="0" w:color="auto"/>
              <w:left w:val="single" w:sz="4" w:space="0" w:color="auto"/>
              <w:bottom w:val="single" w:sz="4" w:space="0" w:color="auto"/>
              <w:right w:val="single" w:sz="4" w:space="0" w:color="auto"/>
            </w:tcBorders>
            <w:vAlign w:val="center"/>
            <w:hideMark/>
          </w:tcPr>
          <w:p w14:paraId="4761012C" w14:textId="77777777" w:rsidR="002F590A" w:rsidRDefault="002F590A">
            <w:pPr>
              <w:jc w:val="center"/>
              <w:rPr>
                <w:sz w:val="13"/>
                <w:szCs w:val="13"/>
              </w:rPr>
            </w:pPr>
            <w:r>
              <w:rPr>
                <w:sz w:val="13"/>
                <w:szCs w:val="13"/>
              </w:rPr>
              <w:t>-</w:t>
            </w:r>
          </w:p>
        </w:tc>
        <w:tc>
          <w:tcPr>
            <w:tcW w:w="476" w:type="dxa"/>
            <w:vMerge w:val="restart"/>
            <w:tcBorders>
              <w:top w:val="single" w:sz="4" w:space="0" w:color="auto"/>
              <w:left w:val="single" w:sz="4" w:space="0" w:color="auto"/>
              <w:bottom w:val="single" w:sz="4" w:space="0" w:color="auto"/>
              <w:right w:val="single" w:sz="4" w:space="0" w:color="auto"/>
            </w:tcBorders>
            <w:vAlign w:val="center"/>
            <w:hideMark/>
          </w:tcPr>
          <w:p w14:paraId="6F76BDAA" w14:textId="77777777" w:rsidR="002F590A" w:rsidRDefault="002F590A">
            <w:pPr>
              <w:jc w:val="center"/>
              <w:rPr>
                <w:sz w:val="13"/>
                <w:szCs w:val="13"/>
              </w:rPr>
            </w:pPr>
            <w:r>
              <w:rPr>
                <w:sz w:val="13"/>
                <w:szCs w:val="13"/>
              </w:rPr>
              <w:t>-</w:t>
            </w:r>
          </w:p>
        </w:tc>
        <w:tc>
          <w:tcPr>
            <w:tcW w:w="476" w:type="dxa"/>
            <w:vMerge w:val="restart"/>
            <w:tcBorders>
              <w:top w:val="single" w:sz="4" w:space="0" w:color="auto"/>
              <w:left w:val="single" w:sz="4" w:space="0" w:color="auto"/>
              <w:bottom w:val="single" w:sz="4" w:space="0" w:color="auto"/>
              <w:right w:val="single" w:sz="4" w:space="0" w:color="auto"/>
            </w:tcBorders>
            <w:vAlign w:val="center"/>
            <w:hideMark/>
          </w:tcPr>
          <w:p w14:paraId="395703F1" w14:textId="77777777" w:rsidR="002F590A" w:rsidRDefault="002F590A">
            <w:pPr>
              <w:jc w:val="center"/>
              <w:rPr>
                <w:sz w:val="13"/>
                <w:szCs w:val="13"/>
              </w:rPr>
            </w:pPr>
            <w:r>
              <w:rPr>
                <w:sz w:val="13"/>
                <w:szCs w:val="13"/>
              </w:rPr>
              <w:t>-</w:t>
            </w:r>
          </w:p>
        </w:tc>
        <w:tc>
          <w:tcPr>
            <w:tcW w:w="476" w:type="dxa"/>
            <w:vMerge w:val="restart"/>
            <w:tcBorders>
              <w:top w:val="single" w:sz="4" w:space="0" w:color="auto"/>
              <w:left w:val="single" w:sz="4" w:space="0" w:color="auto"/>
              <w:bottom w:val="single" w:sz="4" w:space="0" w:color="auto"/>
              <w:right w:val="single" w:sz="4" w:space="0" w:color="auto"/>
            </w:tcBorders>
            <w:vAlign w:val="center"/>
            <w:hideMark/>
          </w:tcPr>
          <w:p w14:paraId="5A3EFEA7" w14:textId="77777777" w:rsidR="002F590A" w:rsidRDefault="002F590A">
            <w:pPr>
              <w:jc w:val="center"/>
              <w:rPr>
                <w:sz w:val="13"/>
                <w:szCs w:val="13"/>
              </w:rPr>
            </w:pPr>
            <w:r>
              <w:rPr>
                <w:sz w:val="13"/>
                <w:szCs w:val="13"/>
              </w:rPr>
              <w:t>-</w:t>
            </w:r>
          </w:p>
        </w:tc>
        <w:tc>
          <w:tcPr>
            <w:tcW w:w="813" w:type="dxa"/>
            <w:vMerge w:val="restart"/>
            <w:tcBorders>
              <w:top w:val="single" w:sz="4" w:space="0" w:color="auto"/>
              <w:left w:val="single" w:sz="4" w:space="0" w:color="auto"/>
              <w:bottom w:val="single" w:sz="4" w:space="0" w:color="auto"/>
              <w:right w:val="single" w:sz="4" w:space="0" w:color="auto"/>
            </w:tcBorders>
            <w:vAlign w:val="center"/>
            <w:hideMark/>
          </w:tcPr>
          <w:p w14:paraId="3DBC3F29" w14:textId="77777777" w:rsidR="002F590A" w:rsidRDefault="002F590A">
            <w:pPr>
              <w:jc w:val="center"/>
              <w:rPr>
                <w:sz w:val="13"/>
                <w:szCs w:val="13"/>
              </w:rPr>
            </w:pPr>
            <w:r>
              <w:rPr>
                <w:sz w:val="13"/>
                <w:szCs w:val="13"/>
              </w:rPr>
              <w:t>-</w:t>
            </w:r>
          </w:p>
        </w:tc>
        <w:tc>
          <w:tcPr>
            <w:tcW w:w="71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9CFD059" w14:textId="77777777" w:rsidR="002F590A" w:rsidRDefault="002F590A">
            <w:pPr>
              <w:jc w:val="center"/>
              <w:rPr>
                <w:color w:val="000000"/>
                <w:sz w:val="16"/>
                <w:szCs w:val="16"/>
              </w:rPr>
            </w:pPr>
            <w:r>
              <w:rPr>
                <w:color w:val="000000"/>
                <w:sz w:val="16"/>
                <w:szCs w:val="16"/>
              </w:rPr>
              <w:t>2,52</w:t>
            </w:r>
          </w:p>
        </w:tc>
        <w:tc>
          <w:tcPr>
            <w:tcW w:w="47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478D8F9" w14:textId="77777777" w:rsidR="002F590A" w:rsidRDefault="002F590A">
            <w:pPr>
              <w:jc w:val="center"/>
              <w:rPr>
                <w:sz w:val="16"/>
                <w:szCs w:val="16"/>
              </w:rPr>
            </w:pPr>
            <w:r>
              <w:rPr>
                <w:sz w:val="16"/>
                <w:szCs w:val="16"/>
              </w:rPr>
              <w:t>2,73</w:t>
            </w:r>
          </w:p>
        </w:tc>
        <w:tc>
          <w:tcPr>
            <w:tcW w:w="476"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14:paraId="1B289F00" w14:textId="77777777" w:rsidR="002F590A" w:rsidRDefault="002F590A">
            <w:pPr>
              <w:jc w:val="center"/>
              <w:rPr>
                <w:sz w:val="16"/>
                <w:szCs w:val="16"/>
              </w:rPr>
            </w:pPr>
            <w:r>
              <w:rPr>
                <w:sz w:val="16"/>
                <w:szCs w:val="16"/>
              </w:rPr>
              <w:t>2,73</w:t>
            </w:r>
          </w:p>
        </w:tc>
        <w:tc>
          <w:tcPr>
            <w:tcW w:w="476"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14:paraId="006894FA" w14:textId="77777777" w:rsidR="002F590A" w:rsidRDefault="002F590A">
            <w:pPr>
              <w:jc w:val="center"/>
              <w:rPr>
                <w:sz w:val="16"/>
                <w:szCs w:val="16"/>
              </w:rPr>
            </w:pPr>
            <w:r>
              <w:rPr>
                <w:sz w:val="16"/>
                <w:szCs w:val="16"/>
              </w:rPr>
              <w:t>2,61</w:t>
            </w:r>
          </w:p>
        </w:tc>
        <w:tc>
          <w:tcPr>
            <w:tcW w:w="476"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14:paraId="4727E35B" w14:textId="77777777" w:rsidR="002F590A" w:rsidRDefault="002F590A">
            <w:pPr>
              <w:jc w:val="center"/>
              <w:rPr>
                <w:sz w:val="16"/>
                <w:szCs w:val="16"/>
              </w:rPr>
            </w:pPr>
            <w:r>
              <w:rPr>
                <w:sz w:val="16"/>
                <w:szCs w:val="16"/>
              </w:rPr>
              <w:t>2,58</w:t>
            </w:r>
          </w:p>
        </w:tc>
        <w:tc>
          <w:tcPr>
            <w:tcW w:w="476"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14:paraId="6049FE2A" w14:textId="77777777" w:rsidR="002F590A" w:rsidRDefault="002F590A">
            <w:pPr>
              <w:jc w:val="center"/>
              <w:rPr>
                <w:sz w:val="16"/>
                <w:szCs w:val="16"/>
              </w:rPr>
            </w:pPr>
            <w:r>
              <w:rPr>
                <w:sz w:val="16"/>
                <w:szCs w:val="16"/>
              </w:rPr>
              <w:t>2,54</w:t>
            </w:r>
          </w:p>
        </w:tc>
        <w:tc>
          <w:tcPr>
            <w:tcW w:w="476"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14:paraId="11A86CE6" w14:textId="77777777" w:rsidR="002F590A" w:rsidRDefault="002F590A">
            <w:pPr>
              <w:jc w:val="center"/>
              <w:rPr>
                <w:sz w:val="16"/>
                <w:szCs w:val="16"/>
              </w:rPr>
            </w:pPr>
            <w:r>
              <w:rPr>
                <w:sz w:val="16"/>
                <w:szCs w:val="16"/>
              </w:rPr>
              <w:t>2,54</w:t>
            </w:r>
          </w:p>
        </w:tc>
        <w:tc>
          <w:tcPr>
            <w:tcW w:w="476"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14:paraId="05666CA7" w14:textId="77777777" w:rsidR="002F590A" w:rsidRDefault="002F590A">
            <w:pPr>
              <w:jc w:val="center"/>
              <w:rPr>
                <w:sz w:val="16"/>
                <w:szCs w:val="16"/>
              </w:rPr>
            </w:pPr>
            <w:r>
              <w:rPr>
                <w:sz w:val="16"/>
                <w:szCs w:val="16"/>
              </w:rPr>
              <w:t>2,54</w:t>
            </w:r>
          </w:p>
        </w:tc>
        <w:tc>
          <w:tcPr>
            <w:tcW w:w="476"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14:paraId="456305E1" w14:textId="77777777" w:rsidR="002F590A" w:rsidRDefault="002F590A">
            <w:pPr>
              <w:jc w:val="center"/>
              <w:rPr>
                <w:sz w:val="16"/>
                <w:szCs w:val="16"/>
              </w:rPr>
            </w:pPr>
            <w:r>
              <w:rPr>
                <w:sz w:val="16"/>
                <w:szCs w:val="16"/>
              </w:rPr>
              <w:t>2,54</w:t>
            </w:r>
          </w:p>
        </w:tc>
        <w:tc>
          <w:tcPr>
            <w:tcW w:w="476"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14:paraId="02E55FF5" w14:textId="77777777" w:rsidR="002F590A" w:rsidRDefault="002F590A">
            <w:pPr>
              <w:jc w:val="center"/>
              <w:rPr>
                <w:sz w:val="16"/>
                <w:szCs w:val="16"/>
              </w:rPr>
            </w:pPr>
            <w:r>
              <w:rPr>
                <w:sz w:val="16"/>
                <w:szCs w:val="16"/>
              </w:rPr>
              <w:t>2,54</w:t>
            </w:r>
          </w:p>
        </w:tc>
        <w:tc>
          <w:tcPr>
            <w:tcW w:w="481"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14:paraId="349EFDF7" w14:textId="77777777" w:rsidR="002F590A" w:rsidRDefault="002F590A">
            <w:pPr>
              <w:jc w:val="center"/>
              <w:rPr>
                <w:sz w:val="16"/>
                <w:szCs w:val="16"/>
              </w:rPr>
            </w:pPr>
            <w:r>
              <w:rPr>
                <w:sz w:val="16"/>
                <w:szCs w:val="16"/>
              </w:rPr>
              <w:t>2,54</w:t>
            </w:r>
          </w:p>
        </w:tc>
      </w:tr>
      <w:tr w:rsidR="002F590A" w14:paraId="409E0A90" w14:textId="77777777" w:rsidTr="002F590A">
        <w:trPr>
          <w:trHeight w:val="4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38E865" w14:textId="77777777" w:rsidR="002F590A" w:rsidRDefault="002F590A">
            <w:pPr>
              <w:spacing w:line="256" w:lineRule="auto"/>
              <w:rPr>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385BE8" w14:textId="77777777" w:rsidR="002F590A" w:rsidRDefault="002F590A">
            <w:pPr>
              <w:spacing w:line="256" w:lineRule="auto"/>
              <w:rPr>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2ABEBA" w14:textId="77777777" w:rsidR="002F590A" w:rsidRDefault="002F590A">
            <w:pPr>
              <w:spacing w:line="256" w:lineRule="auto"/>
              <w:rPr>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E3D18B" w14:textId="77777777" w:rsidR="002F590A" w:rsidRDefault="002F590A">
            <w:pPr>
              <w:spacing w:line="256" w:lineRule="auto"/>
              <w:rPr>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EA9199" w14:textId="77777777" w:rsidR="002F590A" w:rsidRDefault="002F590A">
            <w:pPr>
              <w:spacing w:line="256" w:lineRule="auto"/>
              <w:rPr>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E054B9" w14:textId="77777777" w:rsidR="002F590A" w:rsidRDefault="002F590A">
            <w:pPr>
              <w:spacing w:line="256" w:lineRule="auto"/>
              <w:rPr>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1F3B9D" w14:textId="77777777" w:rsidR="002F590A" w:rsidRDefault="002F590A">
            <w:pPr>
              <w:spacing w:line="256" w:lineRule="auto"/>
              <w:rPr>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3EB9FF" w14:textId="77777777" w:rsidR="002F590A" w:rsidRDefault="002F590A">
            <w:pPr>
              <w:spacing w:line="256" w:lineRule="auto"/>
              <w:rPr>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723BD0" w14:textId="77777777" w:rsidR="002F590A" w:rsidRDefault="002F590A">
            <w:pPr>
              <w:spacing w:line="256" w:lineRule="auto"/>
              <w:rPr>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6D5BAD" w14:textId="77777777" w:rsidR="002F590A" w:rsidRDefault="002F590A">
            <w:pPr>
              <w:spacing w:line="256" w:lineRule="auto"/>
              <w:rPr>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62CFC4" w14:textId="77777777" w:rsidR="002F590A" w:rsidRDefault="002F590A">
            <w:pPr>
              <w:spacing w:line="256" w:lineRule="auto"/>
              <w:rPr>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C97CD4" w14:textId="77777777" w:rsidR="002F590A" w:rsidRDefault="002F590A">
            <w:pPr>
              <w:spacing w:line="256" w:lineRule="auto"/>
              <w:rPr>
                <w:sz w:val="13"/>
                <w:szCs w:val="1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C696B2" w14:textId="77777777" w:rsidR="002F590A" w:rsidRDefault="002F590A">
            <w:pPr>
              <w:spacing w:line="256" w:lineRule="auto"/>
              <w:rPr>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902804" w14:textId="77777777" w:rsidR="002F590A" w:rsidRDefault="002F590A">
            <w:pPr>
              <w:spacing w:line="256" w:lineRule="auto"/>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5C1D4F" w14:textId="77777777" w:rsidR="002F590A" w:rsidRDefault="002F590A">
            <w:pPr>
              <w:spacing w:line="256" w:lineRule="auto"/>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DD4333" w14:textId="77777777" w:rsidR="002F590A" w:rsidRDefault="002F590A">
            <w:pPr>
              <w:spacing w:line="256" w:lineRule="auto"/>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68041E" w14:textId="77777777" w:rsidR="002F590A" w:rsidRDefault="002F590A">
            <w:pPr>
              <w:spacing w:line="256" w:lineRule="auto"/>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72F831" w14:textId="77777777" w:rsidR="002F590A" w:rsidRDefault="002F590A">
            <w:pPr>
              <w:spacing w:line="256" w:lineRule="auto"/>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A87567" w14:textId="77777777" w:rsidR="002F590A" w:rsidRDefault="002F590A">
            <w:pPr>
              <w:spacing w:line="256" w:lineRule="auto"/>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AC9ECD" w14:textId="77777777" w:rsidR="002F590A" w:rsidRDefault="002F590A">
            <w:pPr>
              <w:spacing w:line="256" w:lineRule="auto"/>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54E2A8" w14:textId="77777777" w:rsidR="002F590A" w:rsidRDefault="002F590A">
            <w:pPr>
              <w:spacing w:line="256" w:lineRule="auto"/>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882C1B" w14:textId="77777777" w:rsidR="002F590A" w:rsidRDefault="002F590A">
            <w:pPr>
              <w:spacing w:line="256" w:lineRule="auto"/>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110948" w14:textId="77777777" w:rsidR="002F590A" w:rsidRDefault="002F590A">
            <w:pPr>
              <w:spacing w:line="256" w:lineRule="auto"/>
              <w:rPr>
                <w:sz w:val="16"/>
                <w:szCs w:val="16"/>
              </w:rPr>
            </w:pPr>
          </w:p>
        </w:tc>
      </w:tr>
    </w:tbl>
    <w:p w14:paraId="0A081673" w14:textId="77777777" w:rsidR="002F590A" w:rsidRDefault="002F590A" w:rsidP="002F590A">
      <w:pPr>
        <w:ind w:left="284" w:right="536"/>
        <w:jc w:val="center"/>
        <w:rPr>
          <w:b/>
          <w:bCs/>
          <w:sz w:val="28"/>
          <w:szCs w:val="28"/>
        </w:rPr>
      </w:pPr>
    </w:p>
    <w:tbl>
      <w:tblPr>
        <w:tblW w:w="14955"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
        <w:gridCol w:w="565"/>
        <w:gridCol w:w="407"/>
        <w:gridCol w:w="361"/>
        <w:gridCol w:w="346"/>
        <w:gridCol w:w="414"/>
        <w:gridCol w:w="436"/>
        <w:gridCol w:w="380"/>
        <w:gridCol w:w="328"/>
        <w:gridCol w:w="426"/>
        <w:gridCol w:w="325"/>
        <w:gridCol w:w="383"/>
        <w:gridCol w:w="555"/>
        <w:gridCol w:w="475"/>
        <w:gridCol w:w="473"/>
        <w:gridCol w:w="473"/>
        <w:gridCol w:w="361"/>
        <w:gridCol w:w="408"/>
        <w:gridCol w:w="360"/>
        <w:gridCol w:w="454"/>
        <w:gridCol w:w="406"/>
        <w:gridCol w:w="473"/>
        <w:gridCol w:w="433"/>
        <w:gridCol w:w="567"/>
        <w:gridCol w:w="426"/>
        <w:gridCol w:w="444"/>
        <w:gridCol w:w="425"/>
        <w:gridCol w:w="425"/>
        <w:gridCol w:w="426"/>
        <w:gridCol w:w="425"/>
        <w:gridCol w:w="425"/>
        <w:gridCol w:w="425"/>
        <w:gridCol w:w="355"/>
        <w:gridCol w:w="354"/>
        <w:gridCol w:w="7"/>
      </w:tblGrid>
      <w:tr w:rsidR="002F590A" w14:paraId="0E235579" w14:textId="77777777" w:rsidTr="002F590A">
        <w:trPr>
          <w:trHeight w:val="315"/>
        </w:trPr>
        <w:tc>
          <w:tcPr>
            <w:tcW w:w="1011"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351EEF9" w14:textId="77777777" w:rsidR="002F590A" w:rsidRDefault="002F590A">
            <w:pPr>
              <w:jc w:val="center"/>
              <w:rPr>
                <w:sz w:val="13"/>
                <w:szCs w:val="13"/>
              </w:rPr>
            </w:pPr>
            <w:r>
              <w:rPr>
                <w:sz w:val="13"/>
                <w:szCs w:val="13"/>
              </w:rPr>
              <w:t>Наименование объекта</w:t>
            </w:r>
          </w:p>
        </w:tc>
        <w:tc>
          <w:tcPr>
            <w:tcW w:w="13951" w:type="dxa"/>
            <w:gridSpan w:val="3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949C550" w14:textId="77777777" w:rsidR="002F590A" w:rsidRDefault="002F590A">
            <w:pPr>
              <w:jc w:val="center"/>
              <w:rPr>
                <w:sz w:val="13"/>
                <w:szCs w:val="13"/>
              </w:rPr>
            </w:pPr>
            <w:r>
              <w:rPr>
                <w:sz w:val="13"/>
                <w:szCs w:val="13"/>
              </w:rPr>
              <w:t>Показатели энергетической эффективности</w:t>
            </w:r>
          </w:p>
        </w:tc>
      </w:tr>
      <w:tr w:rsidR="002F590A" w14:paraId="1674E8C5" w14:textId="77777777" w:rsidTr="002F590A">
        <w:trPr>
          <w:trHeight w:val="6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C92BA67" w14:textId="77777777" w:rsidR="002F590A" w:rsidRDefault="002F590A">
            <w:pPr>
              <w:spacing w:line="256" w:lineRule="auto"/>
              <w:rPr>
                <w:sz w:val="13"/>
                <w:szCs w:val="13"/>
              </w:rPr>
            </w:pPr>
          </w:p>
        </w:tc>
        <w:tc>
          <w:tcPr>
            <w:tcW w:w="4376" w:type="dxa"/>
            <w:gridSpan w:val="11"/>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405EB25" w14:textId="77777777" w:rsidR="002F590A" w:rsidRDefault="002F590A">
            <w:pPr>
              <w:jc w:val="center"/>
              <w:rPr>
                <w:sz w:val="13"/>
                <w:szCs w:val="13"/>
              </w:rPr>
            </w:pPr>
            <w:r>
              <w:rPr>
                <w:sz w:val="13"/>
                <w:szCs w:val="13"/>
              </w:rPr>
              <w:t xml:space="preserve">Отношение величины технологических потерь теплоносителя к материальной характеристике тепловой сети, </w:t>
            </w:r>
            <w:r>
              <w:rPr>
                <w:sz w:val="13"/>
                <w:szCs w:val="13"/>
              </w:rPr>
              <w:br/>
              <w:t>тыс. куб. м/кв. м</w:t>
            </w:r>
          </w:p>
        </w:tc>
        <w:tc>
          <w:tcPr>
            <w:tcW w:w="4871" w:type="dxa"/>
            <w:gridSpan w:val="11"/>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21AA94F" w14:textId="77777777" w:rsidR="002F590A" w:rsidRDefault="002F590A">
            <w:pPr>
              <w:jc w:val="center"/>
              <w:rPr>
                <w:sz w:val="13"/>
                <w:szCs w:val="13"/>
              </w:rPr>
            </w:pPr>
            <w:r>
              <w:rPr>
                <w:sz w:val="13"/>
                <w:szCs w:val="13"/>
              </w:rPr>
              <w:t>Величина технологических потерь при передаче тепловой энергии по тепловым сетям,</w:t>
            </w:r>
            <w:r>
              <w:rPr>
                <w:sz w:val="13"/>
                <w:szCs w:val="13"/>
              </w:rPr>
              <w:br/>
              <w:t>Гкал</w:t>
            </w:r>
          </w:p>
        </w:tc>
        <w:tc>
          <w:tcPr>
            <w:tcW w:w="4704" w:type="dxa"/>
            <w:gridSpan w:val="1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3DDFE63" w14:textId="77777777" w:rsidR="002F590A" w:rsidRDefault="002F590A">
            <w:pPr>
              <w:jc w:val="center"/>
              <w:rPr>
                <w:sz w:val="13"/>
                <w:szCs w:val="13"/>
              </w:rPr>
            </w:pPr>
            <w:r>
              <w:rPr>
                <w:sz w:val="13"/>
                <w:szCs w:val="13"/>
              </w:rPr>
              <w:t xml:space="preserve">Величина технологических потерь теплоносителя по тепловым сетям, </w:t>
            </w:r>
            <w:r>
              <w:rPr>
                <w:sz w:val="13"/>
                <w:szCs w:val="13"/>
              </w:rPr>
              <w:br/>
              <w:t>куб. м.</w:t>
            </w:r>
          </w:p>
        </w:tc>
      </w:tr>
      <w:tr w:rsidR="002F590A" w14:paraId="1478FA29" w14:textId="77777777" w:rsidTr="002F590A">
        <w:trPr>
          <w:trHeight w:val="12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E128803" w14:textId="77777777" w:rsidR="002F590A" w:rsidRDefault="002F590A">
            <w:pPr>
              <w:spacing w:line="256" w:lineRule="auto"/>
              <w:rPr>
                <w:sz w:val="13"/>
                <w:szCs w:val="13"/>
              </w:rPr>
            </w:pPr>
          </w:p>
        </w:tc>
        <w:tc>
          <w:tcPr>
            <w:tcW w:w="566"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7F8A8A4" w14:textId="77777777" w:rsidR="002F590A" w:rsidRDefault="002F590A">
            <w:pPr>
              <w:jc w:val="center"/>
              <w:rPr>
                <w:sz w:val="13"/>
                <w:szCs w:val="13"/>
              </w:rPr>
            </w:pPr>
            <w:r>
              <w:rPr>
                <w:sz w:val="13"/>
                <w:szCs w:val="13"/>
              </w:rPr>
              <w:t xml:space="preserve">Текущее значение </w:t>
            </w:r>
          </w:p>
        </w:tc>
        <w:tc>
          <w:tcPr>
            <w:tcW w:w="3810" w:type="dxa"/>
            <w:gridSpan w:val="10"/>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96A7558" w14:textId="77777777" w:rsidR="002F590A" w:rsidRDefault="002F590A">
            <w:pPr>
              <w:jc w:val="center"/>
              <w:rPr>
                <w:sz w:val="13"/>
                <w:szCs w:val="13"/>
              </w:rPr>
            </w:pPr>
            <w:r>
              <w:rPr>
                <w:sz w:val="13"/>
                <w:szCs w:val="13"/>
              </w:rPr>
              <w:t>Плановое значение</w:t>
            </w:r>
          </w:p>
        </w:tc>
        <w:tc>
          <w:tcPr>
            <w:tcW w:w="555"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4247BAB" w14:textId="77777777" w:rsidR="002F590A" w:rsidRDefault="002F590A">
            <w:pPr>
              <w:jc w:val="center"/>
              <w:rPr>
                <w:sz w:val="13"/>
                <w:szCs w:val="13"/>
              </w:rPr>
            </w:pPr>
            <w:r>
              <w:rPr>
                <w:sz w:val="13"/>
                <w:szCs w:val="13"/>
              </w:rPr>
              <w:t xml:space="preserve">Текущее значение </w:t>
            </w:r>
          </w:p>
        </w:tc>
        <w:tc>
          <w:tcPr>
            <w:tcW w:w="4316" w:type="dxa"/>
            <w:gridSpan w:val="10"/>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6A952FF" w14:textId="77777777" w:rsidR="002F590A" w:rsidRDefault="002F590A">
            <w:pPr>
              <w:jc w:val="center"/>
              <w:rPr>
                <w:sz w:val="13"/>
                <w:szCs w:val="13"/>
              </w:rPr>
            </w:pPr>
            <w:r>
              <w:rPr>
                <w:sz w:val="13"/>
                <w:szCs w:val="13"/>
              </w:rPr>
              <w:t>Плановое значение</w:t>
            </w:r>
          </w:p>
        </w:tc>
        <w:tc>
          <w:tcPr>
            <w:tcW w:w="567"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8E1CE7D" w14:textId="77777777" w:rsidR="002F590A" w:rsidRDefault="002F590A">
            <w:pPr>
              <w:jc w:val="center"/>
              <w:rPr>
                <w:sz w:val="13"/>
                <w:szCs w:val="13"/>
              </w:rPr>
            </w:pPr>
            <w:r>
              <w:rPr>
                <w:sz w:val="13"/>
                <w:szCs w:val="13"/>
              </w:rPr>
              <w:t xml:space="preserve">Текущее значение </w:t>
            </w:r>
          </w:p>
        </w:tc>
        <w:tc>
          <w:tcPr>
            <w:tcW w:w="4137" w:type="dxa"/>
            <w:gridSpan w:val="11"/>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9BB60B0" w14:textId="77777777" w:rsidR="002F590A" w:rsidRDefault="002F590A">
            <w:pPr>
              <w:jc w:val="center"/>
              <w:rPr>
                <w:sz w:val="13"/>
                <w:szCs w:val="13"/>
              </w:rPr>
            </w:pPr>
            <w:r>
              <w:rPr>
                <w:sz w:val="13"/>
                <w:szCs w:val="13"/>
              </w:rPr>
              <w:t>Плановое значение</w:t>
            </w:r>
          </w:p>
        </w:tc>
      </w:tr>
      <w:tr w:rsidR="002F590A" w14:paraId="208FCC7B" w14:textId="77777777" w:rsidTr="002F590A">
        <w:trPr>
          <w:gridAfter w:val="1"/>
          <w:wAfter w:w="7" w:type="dxa"/>
          <w:trHeight w:val="48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021AF8B" w14:textId="77777777" w:rsidR="002F590A" w:rsidRDefault="002F590A">
            <w:pPr>
              <w:spacing w:line="256" w:lineRule="auto"/>
              <w:rPr>
                <w:sz w:val="13"/>
                <w:szCs w:val="13"/>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7582743" w14:textId="77777777" w:rsidR="002F590A" w:rsidRDefault="002F590A">
            <w:pPr>
              <w:spacing w:line="256" w:lineRule="auto"/>
              <w:rPr>
                <w:sz w:val="13"/>
                <w:szCs w:val="13"/>
              </w:rPr>
            </w:pPr>
          </w:p>
        </w:tc>
        <w:tc>
          <w:tcPr>
            <w:tcW w:w="4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BE6FEEB" w14:textId="77777777" w:rsidR="002F590A" w:rsidRDefault="002F590A">
            <w:pPr>
              <w:jc w:val="center"/>
              <w:rPr>
                <w:sz w:val="13"/>
                <w:szCs w:val="13"/>
              </w:rPr>
            </w:pPr>
            <w:r>
              <w:rPr>
                <w:sz w:val="13"/>
                <w:szCs w:val="13"/>
              </w:rPr>
              <w:t>2022</w:t>
            </w:r>
          </w:p>
        </w:tc>
        <w:tc>
          <w:tcPr>
            <w:tcW w:w="3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7CE73D5" w14:textId="77777777" w:rsidR="002F590A" w:rsidRDefault="002F590A">
            <w:pPr>
              <w:jc w:val="center"/>
              <w:rPr>
                <w:sz w:val="13"/>
                <w:szCs w:val="13"/>
              </w:rPr>
            </w:pPr>
            <w:r>
              <w:rPr>
                <w:sz w:val="13"/>
                <w:szCs w:val="13"/>
              </w:rPr>
              <w:t>2023</w:t>
            </w:r>
          </w:p>
        </w:tc>
        <w:tc>
          <w:tcPr>
            <w:tcW w:w="34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63E92F5" w14:textId="77777777" w:rsidR="002F590A" w:rsidRDefault="002F590A">
            <w:pPr>
              <w:jc w:val="center"/>
              <w:rPr>
                <w:sz w:val="13"/>
                <w:szCs w:val="13"/>
              </w:rPr>
            </w:pPr>
            <w:r>
              <w:rPr>
                <w:sz w:val="13"/>
                <w:szCs w:val="13"/>
              </w:rPr>
              <w:t>2024</w:t>
            </w:r>
          </w:p>
        </w:tc>
        <w:tc>
          <w:tcPr>
            <w:tcW w:w="41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998C660" w14:textId="77777777" w:rsidR="002F590A" w:rsidRDefault="002F590A">
            <w:pPr>
              <w:jc w:val="center"/>
              <w:rPr>
                <w:sz w:val="13"/>
                <w:szCs w:val="13"/>
              </w:rPr>
            </w:pPr>
            <w:r>
              <w:rPr>
                <w:sz w:val="13"/>
                <w:szCs w:val="13"/>
              </w:rPr>
              <w:t>2025</w:t>
            </w:r>
          </w:p>
        </w:tc>
        <w:tc>
          <w:tcPr>
            <w:tcW w:w="43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4FF3700" w14:textId="77777777" w:rsidR="002F590A" w:rsidRDefault="002F590A">
            <w:pPr>
              <w:jc w:val="center"/>
              <w:rPr>
                <w:sz w:val="13"/>
                <w:szCs w:val="13"/>
              </w:rPr>
            </w:pPr>
            <w:r>
              <w:rPr>
                <w:sz w:val="13"/>
                <w:szCs w:val="13"/>
              </w:rPr>
              <w:t>2026</w:t>
            </w:r>
          </w:p>
        </w:tc>
        <w:tc>
          <w:tcPr>
            <w:tcW w:w="38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DEDEAF1" w14:textId="77777777" w:rsidR="002F590A" w:rsidRDefault="002F590A">
            <w:pPr>
              <w:jc w:val="center"/>
              <w:rPr>
                <w:sz w:val="13"/>
                <w:szCs w:val="13"/>
              </w:rPr>
            </w:pPr>
            <w:r>
              <w:rPr>
                <w:sz w:val="13"/>
                <w:szCs w:val="13"/>
              </w:rPr>
              <w:t>2027</w:t>
            </w:r>
          </w:p>
        </w:tc>
        <w:tc>
          <w:tcPr>
            <w:tcW w:w="3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B5B07A1" w14:textId="77777777" w:rsidR="002F590A" w:rsidRDefault="002F590A">
            <w:pPr>
              <w:jc w:val="center"/>
              <w:rPr>
                <w:sz w:val="13"/>
                <w:szCs w:val="13"/>
              </w:rPr>
            </w:pPr>
            <w:r>
              <w:rPr>
                <w:sz w:val="13"/>
                <w:szCs w:val="13"/>
              </w:rPr>
              <w:t>2028</w:t>
            </w:r>
          </w:p>
        </w:tc>
        <w:tc>
          <w:tcPr>
            <w:tcW w:w="4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E406A6E" w14:textId="77777777" w:rsidR="002F590A" w:rsidRDefault="002F590A">
            <w:pPr>
              <w:jc w:val="center"/>
              <w:rPr>
                <w:sz w:val="13"/>
                <w:szCs w:val="13"/>
              </w:rPr>
            </w:pPr>
            <w:r>
              <w:rPr>
                <w:sz w:val="13"/>
                <w:szCs w:val="13"/>
              </w:rPr>
              <w:t>2029</w:t>
            </w:r>
          </w:p>
        </w:tc>
        <w:tc>
          <w:tcPr>
            <w:tcW w:w="32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83FC79E" w14:textId="77777777" w:rsidR="002F590A" w:rsidRDefault="002F590A">
            <w:pPr>
              <w:jc w:val="center"/>
              <w:rPr>
                <w:sz w:val="13"/>
                <w:szCs w:val="13"/>
              </w:rPr>
            </w:pPr>
            <w:r>
              <w:rPr>
                <w:sz w:val="13"/>
                <w:szCs w:val="13"/>
              </w:rPr>
              <w:t>2030</w:t>
            </w:r>
          </w:p>
        </w:tc>
        <w:tc>
          <w:tcPr>
            <w:tcW w:w="3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1D9C114" w14:textId="77777777" w:rsidR="002F590A" w:rsidRDefault="002F590A">
            <w:pPr>
              <w:jc w:val="center"/>
              <w:rPr>
                <w:sz w:val="13"/>
                <w:szCs w:val="13"/>
              </w:rPr>
            </w:pPr>
            <w:r>
              <w:rPr>
                <w:sz w:val="13"/>
                <w:szCs w:val="13"/>
              </w:rPr>
              <w:t>2031</w:t>
            </w: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9D0FD73" w14:textId="77777777" w:rsidR="002F590A" w:rsidRDefault="002F590A">
            <w:pPr>
              <w:spacing w:line="256" w:lineRule="auto"/>
              <w:rPr>
                <w:sz w:val="13"/>
                <w:szCs w:val="13"/>
              </w:rPr>
            </w:pPr>
          </w:p>
        </w:tc>
        <w:tc>
          <w:tcPr>
            <w:tcW w:w="4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197EECE" w14:textId="77777777" w:rsidR="002F590A" w:rsidRDefault="002F590A">
            <w:pPr>
              <w:jc w:val="center"/>
              <w:rPr>
                <w:sz w:val="13"/>
                <w:szCs w:val="13"/>
              </w:rPr>
            </w:pPr>
            <w:r>
              <w:rPr>
                <w:sz w:val="13"/>
                <w:szCs w:val="13"/>
              </w:rPr>
              <w:t>2022</w:t>
            </w:r>
          </w:p>
        </w:tc>
        <w:tc>
          <w:tcPr>
            <w:tcW w:w="47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CB1405C" w14:textId="77777777" w:rsidR="002F590A" w:rsidRDefault="002F590A">
            <w:pPr>
              <w:jc w:val="center"/>
              <w:rPr>
                <w:sz w:val="13"/>
                <w:szCs w:val="13"/>
              </w:rPr>
            </w:pPr>
            <w:r>
              <w:rPr>
                <w:sz w:val="13"/>
                <w:szCs w:val="13"/>
              </w:rPr>
              <w:t>2023</w:t>
            </w:r>
          </w:p>
        </w:tc>
        <w:tc>
          <w:tcPr>
            <w:tcW w:w="47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6FED600" w14:textId="77777777" w:rsidR="002F590A" w:rsidRDefault="002F590A">
            <w:pPr>
              <w:jc w:val="center"/>
              <w:rPr>
                <w:sz w:val="13"/>
                <w:szCs w:val="13"/>
              </w:rPr>
            </w:pPr>
            <w:r>
              <w:rPr>
                <w:sz w:val="13"/>
                <w:szCs w:val="13"/>
              </w:rPr>
              <w:t>2024</w:t>
            </w:r>
          </w:p>
        </w:tc>
        <w:tc>
          <w:tcPr>
            <w:tcW w:w="3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96489E7" w14:textId="77777777" w:rsidR="002F590A" w:rsidRDefault="002F590A">
            <w:pPr>
              <w:jc w:val="center"/>
              <w:rPr>
                <w:sz w:val="13"/>
                <w:szCs w:val="13"/>
              </w:rPr>
            </w:pPr>
            <w:r>
              <w:rPr>
                <w:sz w:val="13"/>
                <w:szCs w:val="13"/>
              </w:rPr>
              <w:t>2025</w:t>
            </w:r>
          </w:p>
        </w:tc>
        <w:tc>
          <w:tcPr>
            <w:tcW w:w="4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10B3CD5" w14:textId="77777777" w:rsidR="002F590A" w:rsidRDefault="002F590A">
            <w:pPr>
              <w:jc w:val="center"/>
              <w:rPr>
                <w:sz w:val="13"/>
                <w:szCs w:val="13"/>
              </w:rPr>
            </w:pPr>
            <w:r>
              <w:rPr>
                <w:sz w:val="13"/>
                <w:szCs w:val="13"/>
              </w:rPr>
              <w:t>2026</w:t>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7299006" w14:textId="77777777" w:rsidR="002F590A" w:rsidRDefault="002F590A">
            <w:pPr>
              <w:jc w:val="center"/>
              <w:rPr>
                <w:sz w:val="13"/>
                <w:szCs w:val="13"/>
              </w:rPr>
            </w:pPr>
            <w:r>
              <w:rPr>
                <w:sz w:val="13"/>
                <w:szCs w:val="13"/>
              </w:rPr>
              <w:t>2027</w:t>
            </w:r>
          </w:p>
        </w:tc>
        <w:tc>
          <w:tcPr>
            <w:tcW w:w="45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086E515" w14:textId="77777777" w:rsidR="002F590A" w:rsidRDefault="002F590A">
            <w:pPr>
              <w:jc w:val="center"/>
              <w:rPr>
                <w:sz w:val="13"/>
                <w:szCs w:val="13"/>
              </w:rPr>
            </w:pPr>
            <w:r>
              <w:rPr>
                <w:sz w:val="13"/>
                <w:szCs w:val="13"/>
              </w:rPr>
              <w:t>2028</w:t>
            </w:r>
          </w:p>
        </w:tc>
        <w:tc>
          <w:tcPr>
            <w:tcW w:w="4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20F4B98" w14:textId="77777777" w:rsidR="002F590A" w:rsidRDefault="002F590A">
            <w:pPr>
              <w:jc w:val="center"/>
              <w:rPr>
                <w:sz w:val="13"/>
                <w:szCs w:val="13"/>
              </w:rPr>
            </w:pPr>
            <w:r>
              <w:rPr>
                <w:sz w:val="13"/>
                <w:szCs w:val="13"/>
              </w:rPr>
              <w:t>2029</w:t>
            </w:r>
          </w:p>
        </w:tc>
        <w:tc>
          <w:tcPr>
            <w:tcW w:w="47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FD3CE74" w14:textId="77777777" w:rsidR="002F590A" w:rsidRDefault="002F590A">
            <w:pPr>
              <w:jc w:val="center"/>
              <w:rPr>
                <w:sz w:val="13"/>
                <w:szCs w:val="13"/>
              </w:rPr>
            </w:pPr>
            <w:r>
              <w:rPr>
                <w:sz w:val="13"/>
                <w:szCs w:val="13"/>
              </w:rPr>
              <w:t>2030</w:t>
            </w:r>
          </w:p>
        </w:tc>
        <w:tc>
          <w:tcPr>
            <w:tcW w:w="43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BA3EF83" w14:textId="77777777" w:rsidR="002F590A" w:rsidRDefault="002F590A">
            <w:pPr>
              <w:jc w:val="center"/>
              <w:rPr>
                <w:sz w:val="13"/>
                <w:szCs w:val="13"/>
              </w:rPr>
            </w:pPr>
            <w:r>
              <w:rPr>
                <w:sz w:val="13"/>
                <w:szCs w:val="13"/>
              </w:rPr>
              <w:t>2031</w:t>
            </w:r>
          </w:p>
        </w:tc>
        <w:tc>
          <w:tcPr>
            <w:tcW w:w="4704" w:type="dxa"/>
            <w:vMerge/>
            <w:tcBorders>
              <w:top w:val="single" w:sz="4" w:space="0" w:color="auto"/>
              <w:left w:val="single" w:sz="4" w:space="0" w:color="auto"/>
              <w:bottom w:val="single" w:sz="4" w:space="0" w:color="auto"/>
              <w:right w:val="single" w:sz="4" w:space="0" w:color="auto"/>
            </w:tcBorders>
            <w:vAlign w:val="center"/>
            <w:hideMark/>
          </w:tcPr>
          <w:p w14:paraId="6B285758" w14:textId="77777777" w:rsidR="002F590A" w:rsidRDefault="002F590A">
            <w:pPr>
              <w:spacing w:line="256" w:lineRule="auto"/>
              <w:rPr>
                <w:sz w:val="13"/>
                <w:szCs w:val="13"/>
              </w:rPr>
            </w:pPr>
          </w:p>
        </w:tc>
        <w:tc>
          <w:tcPr>
            <w:tcW w:w="4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5ABB43F" w14:textId="77777777" w:rsidR="002F590A" w:rsidRDefault="002F590A">
            <w:pPr>
              <w:jc w:val="center"/>
              <w:rPr>
                <w:sz w:val="13"/>
                <w:szCs w:val="13"/>
              </w:rPr>
            </w:pPr>
            <w:r>
              <w:rPr>
                <w:sz w:val="13"/>
                <w:szCs w:val="13"/>
              </w:rPr>
              <w:t>2022</w:t>
            </w:r>
          </w:p>
        </w:tc>
        <w:tc>
          <w:tcPr>
            <w:tcW w:w="4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72E904F" w14:textId="77777777" w:rsidR="002F590A" w:rsidRDefault="002F590A">
            <w:pPr>
              <w:jc w:val="center"/>
              <w:rPr>
                <w:sz w:val="13"/>
                <w:szCs w:val="13"/>
              </w:rPr>
            </w:pPr>
            <w:r>
              <w:rPr>
                <w:sz w:val="13"/>
                <w:szCs w:val="13"/>
              </w:rPr>
              <w:t>2023</w:t>
            </w:r>
          </w:p>
        </w:tc>
        <w:tc>
          <w:tcPr>
            <w:tcW w:w="42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062DBC0" w14:textId="77777777" w:rsidR="002F590A" w:rsidRDefault="002F590A">
            <w:pPr>
              <w:jc w:val="center"/>
              <w:rPr>
                <w:sz w:val="13"/>
                <w:szCs w:val="13"/>
              </w:rPr>
            </w:pPr>
            <w:r>
              <w:rPr>
                <w:sz w:val="13"/>
                <w:szCs w:val="13"/>
              </w:rPr>
              <w:t>2024</w:t>
            </w:r>
          </w:p>
        </w:tc>
        <w:tc>
          <w:tcPr>
            <w:tcW w:w="42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B951F4E" w14:textId="77777777" w:rsidR="002F590A" w:rsidRDefault="002F590A">
            <w:pPr>
              <w:jc w:val="center"/>
              <w:rPr>
                <w:sz w:val="13"/>
                <w:szCs w:val="13"/>
              </w:rPr>
            </w:pPr>
            <w:r>
              <w:rPr>
                <w:sz w:val="13"/>
                <w:szCs w:val="13"/>
              </w:rPr>
              <w:t>2025</w:t>
            </w:r>
          </w:p>
        </w:tc>
        <w:tc>
          <w:tcPr>
            <w:tcW w:w="4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2DEC2EA" w14:textId="77777777" w:rsidR="002F590A" w:rsidRDefault="002F590A">
            <w:pPr>
              <w:jc w:val="center"/>
              <w:rPr>
                <w:sz w:val="13"/>
                <w:szCs w:val="13"/>
              </w:rPr>
            </w:pPr>
            <w:r>
              <w:rPr>
                <w:sz w:val="13"/>
                <w:szCs w:val="13"/>
              </w:rPr>
              <w:t>2026</w:t>
            </w:r>
          </w:p>
        </w:tc>
        <w:tc>
          <w:tcPr>
            <w:tcW w:w="42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6E83ABE" w14:textId="77777777" w:rsidR="002F590A" w:rsidRDefault="002F590A">
            <w:pPr>
              <w:jc w:val="center"/>
              <w:rPr>
                <w:sz w:val="13"/>
                <w:szCs w:val="13"/>
              </w:rPr>
            </w:pPr>
            <w:r>
              <w:rPr>
                <w:sz w:val="13"/>
                <w:szCs w:val="13"/>
              </w:rPr>
              <w:t>2027</w:t>
            </w:r>
          </w:p>
        </w:tc>
        <w:tc>
          <w:tcPr>
            <w:tcW w:w="42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6223330" w14:textId="77777777" w:rsidR="002F590A" w:rsidRDefault="002F590A">
            <w:pPr>
              <w:jc w:val="center"/>
              <w:rPr>
                <w:sz w:val="13"/>
                <w:szCs w:val="13"/>
              </w:rPr>
            </w:pPr>
            <w:r>
              <w:rPr>
                <w:sz w:val="13"/>
                <w:szCs w:val="13"/>
              </w:rPr>
              <w:t>2028</w:t>
            </w:r>
          </w:p>
        </w:tc>
        <w:tc>
          <w:tcPr>
            <w:tcW w:w="42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91279B3" w14:textId="77777777" w:rsidR="002F590A" w:rsidRDefault="002F590A">
            <w:pPr>
              <w:jc w:val="center"/>
              <w:rPr>
                <w:sz w:val="13"/>
                <w:szCs w:val="13"/>
              </w:rPr>
            </w:pPr>
            <w:r>
              <w:rPr>
                <w:sz w:val="13"/>
                <w:szCs w:val="13"/>
              </w:rPr>
              <w:t>2029</w:t>
            </w:r>
          </w:p>
        </w:tc>
        <w:tc>
          <w:tcPr>
            <w:tcW w:w="35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4D3A9E3" w14:textId="77777777" w:rsidR="002F590A" w:rsidRDefault="002F590A">
            <w:pPr>
              <w:jc w:val="center"/>
              <w:rPr>
                <w:sz w:val="13"/>
                <w:szCs w:val="13"/>
              </w:rPr>
            </w:pPr>
            <w:r>
              <w:rPr>
                <w:sz w:val="13"/>
                <w:szCs w:val="13"/>
              </w:rPr>
              <w:t>2030</w:t>
            </w:r>
          </w:p>
        </w:tc>
        <w:tc>
          <w:tcPr>
            <w:tcW w:w="35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729257C" w14:textId="77777777" w:rsidR="002F590A" w:rsidRDefault="002F590A">
            <w:pPr>
              <w:jc w:val="center"/>
              <w:rPr>
                <w:sz w:val="13"/>
                <w:szCs w:val="13"/>
              </w:rPr>
            </w:pPr>
            <w:r>
              <w:rPr>
                <w:sz w:val="13"/>
                <w:szCs w:val="13"/>
              </w:rPr>
              <w:t>2031</w:t>
            </w:r>
          </w:p>
        </w:tc>
      </w:tr>
      <w:tr w:rsidR="002F590A" w14:paraId="6FCB2ECB" w14:textId="77777777" w:rsidTr="002F590A">
        <w:trPr>
          <w:gridAfter w:val="1"/>
          <w:wAfter w:w="7" w:type="dxa"/>
          <w:trHeight w:val="300"/>
        </w:trPr>
        <w:tc>
          <w:tcPr>
            <w:tcW w:w="101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7A45AA2" w14:textId="77777777" w:rsidR="002F590A" w:rsidRDefault="002F590A">
            <w:pPr>
              <w:jc w:val="center"/>
              <w:rPr>
                <w:sz w:val="13"/>
                <w:szCs w:val="13"/>
              </w:rPr>
            </w:pPr>
            <w:r>
              <w:rPr>
                <w:sz w:val="13"/>
                <w:szCs w:val="13"/>
              </w:rPr>
              <w:t>1</w:t>
            </w:r>
          </w:p>
        </w:tc>
        <w:tc>
          <w:tcPr>
            <w:tcW w:w="56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735CB6D" w14:textId="77777777" w:rsidR="002F590A" w:rsidRDefault="002F590A">
            <w:pPr>
              <w:jc w:val="center"/>
              <w:rPr>
                <w:sz w:val="13"/>
                <w:szCs w:val="13"/>
              </w:rPr>
            </w:pPr>
            <w:r>
              <w:rPr>
                <w:sz w:val="13"/>
                <w:szCs w:val="13"/>
              </w:rPr>
              <w:t>24</w:t>
            </w:r>
          </w:p>
        </w:tc>
        <w:tc>
          <w:tcPr>
            <w:tcW w:w="4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5C9CE85" w14:textId="77777777" w:rsidR="002F590A" w:rsidRDefault="002F590A">
            <w:pPr>
              <w:jc w:val="center"/>
              <w:rPr>
                <w:sz w:val="13"/>
                <w:szCs w:val="13"/>
              </w:rPr>
            </w:pPr>
            <w:r>
              <w:rPr>
                <w:sz w:val="13"/>
                <w:szCs w:val="13"/>
              </w:rPr>
              <w:t>25</w:t>
            </w:r>
          </w:p>
        </w:tc>
        <w:tc>
          <w:tcPr>
            <w:tcW w:w="36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A048774" w14:textId="77777777" w:rsidR="002F590A" w:rsidRDefault="002F590A">
            <w:pPr>
              <w:jc w:val="center"/>
              <w:rPr>
                <w:sz w:val="13"/>
                <w:szCs w:val="13"/>
              </w:rPr>
            </w:pPr>
            <w:r>
              <w:rPr>
                <w:sz w:val="13"/>
                <w:szCs w:val="13"/>
              </w:rPr>
              <w:t>26</w:t>
            </w:r>
          </w:p>
        </w:tc>
        <w:tc>
          <w:tcPr>
            <w:tcW w:w="34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ACD3D64" w14:textId="77777777" w:rsidR="002F590A" w:rsidRDefault="002F590A">
            <w:pPr>
              <w:jc w:val="center"/>
              <w:rPr>
                <w:sz w:val="13"/>
                <w:szCs w:val="13"/>
              </w:rPr>
            </w:pPr>
            <w:r>
              <w:rPr>
                <w:sz w:val="13"/>
                <w:szCs w:val="13"/>
              </w:rPr>
              <w:t>27</w:t>
            </w:r>
          </w:p>
        </w:tc>
        <w:tc>
          <w:tcPr>
            <w:tcW w:w="41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EB8ED68" w14:textId="77777777" w:rsidR="002F590A" w:rsidRDefault="002F590A">
            <w:pPr>
              <w:jc w:val="center"/>
              <w:rPr>
                <w:sz w:val="13"/>
                <w:szCs w:val="13"/>
              </w:rPr>
            </w:pPr>
            <w:r>
              <w:rPr>
                <w:sz w:val="13"/>
                <w:szCs w:val="13"/>
              </w:rPr>
              <w:t>28</w:t>
            </w:r>
          </w:p>
        </w:tc>
        <w:tc>
          <w:tcPr>
            <w:tcW w:w="43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778A4F1" w14:textId="77777777" w:rsidR="002F590A" w:rsidRDefault="002F590A">
            <w:pPr>
              <w:jc w:val="center"/>
              <w:rPr>
                <w:sz w:val="13"/>
                <w:szCs w:val="13"/>
              </w:rPr>
            </w:pPr>
            <w:r>
              <w:rPr>
                <w:sz w:val="13"/>
                <w:szCs w:val="13"/>
              </w:rPr>
              <w:t>29</w:t>
            </w:r>
          </w:p>
        </w:tc>
        <w:tc>
          <w:tcPr>
            <w:tcW w:w="38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A5C9C9F" w14:textId="77777777" w:rsidR="002F590A" w:rsidRDefault="002F590A">
            <w:pPr>
              <w:jc w:val="center"/>
              <w:rPr>
                <w:sz w:val="13"/>
                <w:szCs w:val="13"/>
              </w:rPr>
            </w:pPr>
            <w:r>
              <w:rPr>
                <w:sz w:val="13"/>
                <w:szCs w:val="13"/>
              </w:rPr>
              <w:t>30</w:t>
            </w:r>
          </w:p>
        </w:tc>
        <w:tc>
          <w:tcPr>
            <w:tcW w:w="3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DF16F41" w14:textId="77777777" w:rsidR="002F590A" w:rsidRDefault="002F590A">
            <w:pPr>
              <w:jc w:val="center"/>
              <w:rPr>
                <w:sz w:val="13"/>
                <w:szCs w:val="13"/>
              </w:rPr>
            </w:pPr>
            <w:r>
              <w:rPr>
                <w:sz w:val="13"/>
                <w:szCs w:val="13"/>
              </w:rPr>
              <w:t>31</w:t>
            </w:r>
          </w:p>
        </w:tc>
        <w:tc>
          <w:tcPr>
            <w:tcW w:w="4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245F53E" w14:textId="77777777" w:rsidR="002F590A" w:rsidRDefault="002F590A">
            <w:pPr>
              <w:jc w:val="center"/>
              <w:rPr>
                <w:sz w:val="13"/>
                <w:szCs w:val="13"/>
              </w:rPr>
            </w:pPr>
            <w:r>
              <w:rPr>
                <w:sz w:val="13"/>
                <w:szCs w:val="13"/>
              </w:rPr>
              <w:t>32</w:t>
            </w:r>
          </w:p>
        </w:tc>
        <w:tc>
          <w:tcPr>
            <w:tcW w:w="32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0DE2331" w14:textId="77777777" w:rsidR="002F590A" w:rsidRDefault="002F590A">
            <w:pPr>
              <w:jc w:val="center"/>
              <w:rPr>
                <w:sz w:val="13"/>
                <w:szCs w:val="13"/>
              </w:rPr>
            </w:pPr>
            <w:r>
              <w:rPr>
                <w:sz w:val="13"/>
                <w:szCs w:val="13"/>
              </w:rPr>
              <w:t>33</w:t>
            </w:r>
          </w:p>
        </w:tc>
        <w:tc>
          <w:tcPr>
            <w:tcW w:w="3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4F8D635" w14:textId="77777777" w:rsidR="002F590A" w:rsidRDefault="002F590A">
            <w:pPr>
              <w:jc w:val="center"/>
              <w:rPr>
                <w:sz w:val="13"/>
                <w:szCs w:val="13"/>
              </w:rPr>
            </w:pPr>
            <w:r>
              <w:rPr>
                <w:sz w:val="13"/>
                <w:szCs w:val="13"/>
              </w:rPr>
              <w:t>34</w:t>
            </w:r>
          </w:p>
        </w:tc>
        <w:tc>
          <w:tcPr>
            <w:tcW w:w="55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93E8D10" w14:textId="77777777" w:rsidR="002F590A" w:rsidRDefault="002F590A">
            <w:pPr>
              <w:jc w:val="center"/>
              <w:rPr>
                <w:sz w:val="13"/>
                <w:szCs w:val="13"/>
              </w:rPr>
            </w:pPr>
            <w:r>
              <w:rPr>
                <w:sz w:val="13"/>
                <w:szCs w:val="13"/>
              </w:rPr>
              <w:t>37</w:t>
            </w:r>
          </w:p>
        </w:tc>
        <w:tc>
          <w:tcPr>
            <w:tcW w:w="4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FB68888" w14:textId="77777777" w:rsidR="002F590A" w:rsidRDefault="002F590A">
            <w:pPr>
              <w:jc w:val="center"/>
              <w:rPr>
                <w:sz w:val="13"/>
                <w:szCs w:val="13"/>
              </w:rPr>
            </w:pPr>
            <w:r>
              <w:rPr>
                <w:sz w:val="13"/>
                <w:szCs w:val="13"/>
              </w:rPr>
              <w:t>38</w:t>
            </w:r>
          </w:p>
        </w:tc>
        <w:tc>
          <w:tcPr>
            <w:tcW w:w="47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8A0D4ED" w14:textId="77777777" w:rsidR="002F590A" w:rsidRDefault="002F590A">
            <w:pPr>
              <w:jc w:val="center"/>
              <w:rPr>
                <w:sz w:val="13"/>
                <w:szCs w:val="13"/>
              </w:rPr>
            </w:pPr>
            <w:r>
              <w:rPr>
                <w:sz w:val="13"/>
                <w:szCs w:val="13"/>
              </w:rPr>
              <w:t>39</w:t>
            </w:r>
          </w:p>
        </w:tc>
        <w:tc>
          <w:tcPr>
            <w:tcW w:w="47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D1543F7" w14:textId="77777777" w:rsidR="002F590A" w:rsidRDefault="002F590A">
            <w:pPr>
              <w:jc w:val="center"/>
              <w:rPr>
                <w:sz w:val="13"/>
                <w:szCs w:val="13"/>
              </w:rPr>
            </w:pPr>
            <w:r>
              <w:rPr>
                <w:sz w:val="13"/>
                <w:szCs w:val="13"/>
              </w:rPr>
              <w:t>40</w:t>
            </w:r>
          </w:p>
        </w:tc>
        <w:tc>
          <w:tcPr>
            <w:tcW w:w="3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3DD3996" w14:textId="77777777" w:rsidR="002F590A" w:rsidRDefault="002F590A">
            <w:pPr>
              <w:jc w:val="center"/>
              <w:rPr>
                <w:sz w:val="13"/>
                <w:szCs w:val="13"/>
              </w:rPr>
            </w:pPr>
            <w:r>
              <w:rPr>
                <w:sz w:val="13"/>
                <w:szCs w:val="13"/>
              </w:rPr>
              <w:t>41</w:t>
            </w:r>
          </w:p>
        </w:tc>
        <w:tc>
          <w:tcPr>
            <w:tcW w:w="4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8F72E32" w14:textId="77777777" w:rsidR="002F590A" w:rsidRDefault="002F590A">
            <w:pPr>
              <w:jc w:val="center"/>
              <w:rPr>
                <w:sz w:val="13"/>
                <w:szCs w:val="13"/>
              </w:rPr>
            </w:pPr>
            <w:r>
              <w:rPr>
                <w:sz w:val="13"/>
                <w:szCs w:val="13"/>
              </w:rPr>
              <w:t>42</w:t>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DB413EB" w14:textId="77777777" w:rsidR="002F590A" w:rsidRDefault="002F590A">
            <w:pPr>
              <w:jc w:val="center"/>
              <w:rPr>
                <w:sz w:val="13"/>
                <w:szCs w:val="13"/>
              </w:rPr>
            </w:pPr>
            <w:r>
              <w:rPr>
                <w:sz w:val="13"/>
                <w:szCs w:val="13"/>
              </w:rPr>
              <w:t>43</w:t>
            </w:r>
          </w:p>
        </w:tc>
        <w:tc>
          <w:tcPr>
            <w:tcW w:w="45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06D23D3" w14:textId="77777777" w:rsidR="002F590A" w:rsidRDefault="002F590A">
            <w:pPr>
              <w:jc w:val="center"/>
              <w:rPr>
                <w:sz w:val="13"/>
                <w:szCs w:val="13"/>
              </w:rPr>
            </w:pPr>
            <w:r>
              <w:rPr>
                <w:sz w:val="13"/>
                <w:szCs w:val="13"/>
              </w:rPr>
              <w:t>44</w:t>
            </w:r>
          </w:p>
        </w:tc>
        <w:tc>
          <w:tcPr>
            <w:tcW w:w="4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603F618" w14:textId="77777777" w:rsidR="002F590A" w:rsidRDefault="002F590A">
            <w:pPr>
              <w:jc w:val="center"/>
              <w:rPr>
                <w:sz w:val="13"/>
                <w:szCs w:val="13"/>
              </w:rPr>
            </w:pPr>
            <w:r>
              <w:rPr>
                <w:sz w:val="13"/>
                <w:szCs w:val="13"/>
              </w:rPr>
              <w:t>45</w:t>
            </w:r>
          </w:p>
        </w:tc>
        <w:tc>
          <w:tcPr>
            <w:tcW w:w="47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104E983" w14:textId="77777777" w:rsidR="002F590A" w:rsidRDefault="002F590A">
            <w:pPr>
              <w:jc w:val="center"/>
              <w:rPr>
                <w:sz w:val="13"/>
                <w:szCs w:val="13"/>
              </w:rPr>
            </w:pPr>
            <w:r>
              <w:rPr>
                <w:sz w:val="13"/>
                <w:szCs w:val="13"/>
              </w:rPr>
              <w:t>46</w:t>
            </w:r>
          </w:p>
        </w:tc>
        <w:tc>
          <w:tcPr>
            <w:tcW w:w="43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47F1019" w14:textId="77777777" w:rsidR="002F590A" w:rsidRDefault="002F590A">
            <w:pPr>
              <w:jc w:val="center"/>
              <w:rPr>
                <w:sz w:val="13"/>
                <w:szCs w:val="13"/>
              </w:rPr>
            </w:pPr>
            <w:r>
              <w:rPr>
                <w:sz w:val="13"/>
                <w:szCs w:val="13"/>
              </w:rPr>
              <w:t>47</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99949D4" w14:textId="77777777" w:rsidR="002F590A" w:rsidRDefault="002F590A">
            <w:pPr>
              <w:jc w:val="center"/>
              <w:rPr>
                <w:sz w:val="13"/>
                <w:szCs w:val="13"/>
              </w:rPr>
            </w:pPr>
            <w:r>
              <w:rPr>
                <w:sz w:val="13"/>
                <w:szCs w:val="13"/>
              </w:rPr>
              <w:t>51</w:t>
            </w:r>
          </w:p>
        </w:tc>
        <w:tc>
          <w:tcPr>
            <w:tcW w:w="4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8B20D14" w14:textId="77777777" w:rsidR="002F590A" w:rsidRDefault="002F590A">
            <w:pPr>
              <w:jc w:val="center"/>
              <w:rPr>
                <w:sz w:val="13"/>
                <w:szCs w:val="13"/>
              </w:rPr>
            </w:pPr>
            <w:r>
              <w:rPr>
                <w:sz w:val="13"/>
                <w:szCs w:val="13"/>
              </w:rPr>
              <w:t>52</w:t>
            </w:r>
          </w:p>
        </w:tc>
        <w:tc>
          <w:tcPr>
            <w:tcW w:w="44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1AC818B" w14:textId="77777777" w:rsidR="002F590A" w:rsidRDefault="002F590A">
            <w:pPr>
              <w:jc w:val="center"/>
              <w:rPr>
                <w:sz w:val="13"/>
                <w:szCs w:val="13"/>
              </w:rPr>
            </w:pPr>
            <w:r>
              <w:rPr>
                <w:sz w:val="13"/>
                <w:szCs w:val="13"/>
              </w:rPr>
              <w:t>53</w:t>
            </w:r>
          </w:p>
        </w:tc>
        <w:tc>
          <w:tcPr>
            <w:tcW w:w="42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1F2A40F" w14:textId="77777777" w:rsidR="002F590A" w:rsidRDefault="002F590A">
            <w:pPr>
              <w:jc w:val="center"/>
              <w:rPr>
                <w:sz w:val="13"/>
                <w:szCs w:val="13"/>
              </w:rPr>
            </w:pPr>
            <w:r>
              <w:rPr>
                <w:sz w:val="13"/>
                <w:szCs w:val="13"/>
              </w:rPr>
              <w:t>54</w:t>
            </w:r>
          </w:p>
        </w:tc>
        <w:tc>
          <w:tcPr>
            <w:tcW w:w="42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48CC93D" w14:textId="77777777" w:rsidR="002F590A" w:rsidRDefault="002F590A">
            <w:pPr>
              <w:jc w:val="center"/>
              <w:rPr>
                <w:sz w:val="13"/>
                <w:szCs w:val="13"/>
              </w:rPr>
            </w:pPr>
            <w:r>
              <w:rPr>
                <w:sz w:val="13"/>
                <w:szCs w:val="13"/>
              </w:rPr>
              <w:t>55</w:t>
            </w:r>
          </w:p>
        </w:tc>
        <w:tc>
          <w:tcPr>
            <w:tcW w:w="4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810F152" w14:textId="77777777" w:rsidR="002F590A" w:rsidRDefault="002F590A">
            <w:pPr>
              <w:jc w:val="center"/>
              <w:rPr>
                <w:sz w:val="13"/>
                <w:szCs w:val="13"/>
              </w:rPr>
            </w:pPr>
            <w:r>
              <w:rPr>
                <w:sz w:val="13"/>
                <w:szCs w:val="13"/>
              </w:rPr>
              <w:t>56</w:t>
            </w:r>
          </w:p>
        </w:tc>
        <w:tc>
          <w:tcPr>
            <w:tcW w:w="42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D068731" w14:textId="77777777" w:rsidR="002F590A" w:rsidRDefault="002F590A">
            <w:pPr>
              <w:jc w:val="center"/>
              <w:rPr>
                <w:sz w:val="13"/>
                <w:szCs w:val="13"/>
              </w:rPr>
            </w:pPr>
            <w:r>
              <w:rPr>
                <w:sz w:val="13"/>
                <w:szCs w:val="13"/>
              </w:rPr>
              <w:t>57</w:t>
            </w:r>
          </w:p>
        </w:tc>
        <w:tc>
          <w:tcPr>
            <w:tcW w:w="42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E7D49AD" w14:textId="77777777" w:rsidR="002F590A" w:rsidRDefault="002F590A">
            <w:pPr>
              <w:jc w:val="center"/>
              <w:rPr>
                <w:sz w:val="13"/>
                <w:szCs w:val="13"/>
              </w:rPr>
            </w:pPr>
            <w:r>
              <w:rPr>
                <w:sz w:val="13"/>
                <w:szCs w:val="13"/>
              </w:rPr>
              <w:t>58</w:t>
            </w:r>
          </w:p>
        </w:tc>
        <w:tc>
          <w:tcPr>
            <w:tcW w:w="42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7805AC0" w14:textId="77777777" w:rsidR="002F590A" w:rsidRDefault="002F590A">
            <w:pPr>
              <w:jc w:val="center"/>
              <w:rPr>
                <w:sz w:val="13"/>
                <w:szCs w:val="13"/>
              </w:rPr>
            </w:pPr>
            <w:r>
              <w:rPr>
                <w:sz w:val="13"/>
                <w:szCs w:val="13"/>
              </w:rPr>
              <w:t>59</w:t>
            </w:r>
          </w:p>
        </w:tc>
        <w:tc>
          <w:tcPr>
            <w:tcW w:w="35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226369D" w14:textId="77777777" w:rsidR="002F590A" w:rsidRDefault="002F590A">
            <w:pPr>
              <w:jc w:val="center"/>
              <w:rPr>
                <w:sz w:val="13"/>
                <w:szCs w:val="13"/>
              </w:rPr>
            </w:pPr>
            <w:r>
              <w:rPr>
                <w:sz w:val="13"/>
                <w:szCs w:val="13"/>
              </w:rPr>
              <w:t>60</w:t>
            </w:r>
          </w:p>
        </w:tc>
        <w:tc>
          <w:tcPr>
            <w:tcW w:w="35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F0A0E15" w14:textId="77777777" w:rsidR="002F590A" w:rsidRDefault="002F590A">
            <w:pPr>
              <w:jc w:val="center"/>
              <w:rPr>
                <w:sz w:val="13"/>
                <w:szCs w:val="13"/>
              </w:rPr>
            </w:pPr>
            <w:r>
              <w:rPr>
                <w:sz w:val="13"/>
                <w:szCs w:val="13"/>
              </w:rPr>
              <w:t>61</w:t>
            </w:r>
          </w:p>
        </w:tc>
      </w:tr>
      <w:tr w:rsidR="002F590A" w14:paraId="2CBFC971" w14:textId="77777777" w:rsidTr="002F590A">
        <w:trPr>
          <w:gridAfter w:val="1"/>
          <w:wAfter w:w="7" w:type="dxa"/>
          <w:trHeight w:val="840"/>
        </w:trPr>
        <w:tc>
          <w:tcPr>
            <w:tcW w:w="1011"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0CF02A0" w14:textId="77777777" w:rsidR="002F590A" w:rsidRDefault="002F590A">
            <w:pPr>
              <w:jc w:val="center"/>
              <w:rPr>
                <w:sz w:val="13"/>
                <w:szCs w:val="13"/>
              </w:rPr>
            </w:pPr>
            <w:r>
              <w:rPr>
                <w:sz w:val="13"/>
                <w:szCs w:val="13"/>
              </w:rPr>
              <w:t>ООО «Новосибирская теплосетевая компания»</w:t>
            </w:r>
          </w:p>
        </w:tc>
        <w:tc>
          <w:tcPr>
            <w:tcW w:w="566"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hideMark/>
          </w:tcPr>
          <w:p w14:paraId="00A4AF16" w14:textId="77777777" w:rsidR="002F590A" w:rsidRDefault="002F590A">
            <w:pPr>
              <w:jc w:val="center"/>
              <w:rPr>
                <w:color w:val="000000"/>
                <w:sz w:val="16"/>
                <w:szCs w:val="16"/>
              </w:rPr>
            </w:pPr>
            <w:r>
              <w:rPr>
                <w:color w:val="000000"/>
                <w:sz w:val="16"/>
                <w:szCs w:val="16"/>
              </w:rPr>
              <w:t>1,41</w:t>
            </w:r>
          </w:p>
        </w:tc>
        <w:tc>
          <w:tcPr>
            <w:tcW w:w="408"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hideMark/>
          </w:tcPr>
          <w:p w14:paraId="48DD953D" w14:textId="77777777" w:rsidR="002F590A" w:rsidRDefault="002F590A">
            <w:pPr>
              <w:jc w:val="center"/>
              <w:rPr>
                <w:sz w:val="16"/>
                <w:szCs w:val="16"/>
              </w:rPr>
            </w:pPr>
            <w:r>
              <w:rPr>
                <w:sz w:val="16"/>
                <w:szCs w:val="16"/>
              </w:rPr>
              <w:t>1,73</w:t>
            </w:r>
          </w:p>
        </w:tc>
        <w:tc>
          <w:tcPr>
            <w:tcW w:w="36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hideMark/>
          </w:tcPr>
          <w:p w14:paraId="77B3327B" w14:textId="77777777" w:rsidR="002F590A" w:rsidRDefault="002F590A">
            <w:pPr>
              <w:jc w:val="center"/>
              <w:rPr>
                <w:sz w:val="16"/>
                <w:szCs w:val="16"/>
              </w:rPr>
            </w:pPr>
            <w:r>
              <w:rPr>
                <w:sz w:val="16"/>
                <w:szCs w:val="16"/>
              </w:rPr>
              <w:t>1,73</w:t>
            </w:r>
          </w:p>
        </w:tc>
        <w:tc>
          <w:tcPr>
            <w:tcW w:w="347"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hideMark/>
          </w:tcPr>
          <w:p w14:paraId="30A47E83" w14:textId="77777777" w:rsidR="002F590A" w:rsidRDefault="002F590A">
            <w:pPr>
              <w:jc w:val="center"/>
              <w:rPr>
                <w:sz w:val="16"/>
                <w:szCs w:val="16"/>
              </w:rPr>
            </w:pPr>
            <w:r>
              <w:rPr>
                <w:sz w:val="16"/>
                <w:szCs w:val="16"/>
              </w:rPr>
              <w:t>1,76</w:t>
            </w:r>
          </w:p>
        </w:tc>
        <w:tc>
          <w:tcPr>
            <w:tcW w:w="415"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hideMark/>
          </w:tcPr>
          <w:p w14:paraId="31963BBC" w14:textId="77777777" w:rsidR="002F590A" w:rsidRDefault="002F590A">
            <w:pPr>
              <w:jc w:val="center"/>
              <w:rPr>
                <w:sz w:val="16"/>
                <w:szCs w:val="16"/>
              </w:rPr>
            </w:pPr>
            <w:r>
              <w:rPr>
                <w:sz w:val="16"/>
                <w:szCs w:val="16"/>
              </w:rPr>
              <w:t>1,75</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hideMark/>
          </w:tcPr>
          <w:p w14:paraId="6B7E7476" w14:textId="77777777" w:rsidR="002F590A" w:rsidRDefault="002F590A">
            <w:pPr>
              <w:jc w:val="center"/>
              <w:rPr>
                <w:sz w:val="16"/>
                <w:szCs w:val="16"/>
              </w:rPr>
            </w:pPr>
            <w:r>
              <w:rPr>
                <w:sz w:val="16"/>
                <w:szCs w:val="16"/>
              </w:rPr>
              <w:t>1,74</w:t>
            </w:r>
          </w:p>
        </w:tc>
        <w:tc>
          <w:tcPr>
            <w:tcW w:w="38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hideMark/>
          </w:tcPr>
          <w:p w14:paraId="6D46B28C" w14:textId="77777777" w:rsidR="002F590A" w:rsidRDefault="002F590A">
            <w:pPr>
              <w:jc w:val="center"/>
              <w:rPr>
                <w:sz w:val="16"/>
                <w:szCs w:val="16"/>
              </w:rPr>
            </w:pPr>
            <w:r>
              <w:rPr>
                <w:sz w:val="16"/>
                <w:szCs w:val="16"/>
              </w:rPr>
              <w:t>1,74</w:t>
            </w:r>
          </w:p>
        </w:tc>
        <w:tc>
          <w:tcPr>
            <w:tcW w:w="328"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hideMark/>
          </w:tcPr>
          <w:p w14:paraId="4C3CA36A" w14:textId="77777777" w:rsidR="002F590A" w:rsidRDefault="002F590A">
            <w:pPr>
              <w:jc w:val="center"/>
              <w:rPr>
                <w:sz w:val="16"/>
                <w:szCs w:val="16"/>
              </w:rPr>
            </w:pPr>
            <w:r>
              <w:rPr>
                <w:sz w:val="16"/>
                <w:szCs w:val="16"/>
              </w:rPr>
              <w:t>1,74</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hideMark/>
          </w:tcPr>
          <w:p w14:paraId="4D55EB67" w14:textId="77777777" w:rsidR="002F590A" w:rsidRDefault="002F590A">
            <w:pPr>
              <w:jc w:val="center"/>
              <w:rPr>
                <w:sz w:val="16"/>
                <w:szCs w:val="16"/>
              </w:rPr>
            </w:pPr>
            <w:r>
              <w:rPr>
                <w:sz w:val="16"/>
                <w:szCs w:val="16"/>
              </w:rPr>
              <w:t>1,74</w:t>
            </w:r>
          </w:p>
        </w:tc>
        <w:tc>
          <w:tcPr>
            <w:tcW w:w="325"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hideMark/>
          </w:tcPr>
          <w:p w14:paraId="7434BCB6" w14:textId="77777777" w:rsidR="002F590A" w:rsidRDefault="002F590A">
            <w:pPr>
              <w:jc w:val="center"/>
              <w:rPr>
                <w:sz w:val="16"/>
                <w:szCs w:val="16"/>
              </w:rPr>
            </w:pPr>
            <w:r>
              <w:rPr>
                <w:sz w:val="16"/>
                <w:szCs w:val="16"/>
              </w:rPr>
              <w:t>1,74</w:t>
            </w:r>
          </w:p>
        </w:tc>
        <w:tc>
          <w:tcPr>
            <w:tcW w:w="383"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hideMark/>
          </w:tcPr>
          <w:p w14:paraId="26387A58" w14:textId="77777777" w:rsidR="002F590A" w:rsidRDefault="002F590A">
            <w:pPr>
              <w:jc w:val="center"/>
              <w:rPr>
                <w:sz w:val="16"/>
                <w:szCs w:val="16"/>
              </w:rPr>
            </w:pPr>
            <w:r>
              <w:rPr>
                <w:sz w:val="16"/>
                <w:szCs w:val="16"/>
              </w:rPr>
              <w:t>1,74</w:t>
            </w:r>
          </w:p>
        </w:tc>
        <w:tc>
          <w:tcPr>
            <w:tcW w:w="555"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hideMark/>
          </w:tcPr>
          <w:p w14:paraId="5FBA4EEB" w14:textId="77777777" w:rsidR="002F590A" w:rsidRDefault="002F590A">
            <w:pPr>
              <w:jc w:val="center"/>
              <w:rPr>
                <w:sz w:val="16"/>
                <w:szCs w:val="16"/>
                <w:highlight w:val="yellow"/>
              </w:rPr>
            </w:pPr>
            <w:r>
              <w:rPr>
                <w:sz w:val="16"/>
                <w:szCs w:val="16"/>
              </w:rPr>
              <w:t>1 397,738</w:t>
            </w:r>
          </w:p>
        </w:tc>
        <w:tc>
          <w:tcPr>
            <w:tcW w:w="475"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hideMark/>
          </w:tcPr>
          <w:p w14:paraId="09727C1E" w14:textId="77777777" w:rsidR="002F590A" w:rsidRDefault="002F590A">
            <w:pPr>
              <w:jc w:val="center"/>
              <w:rPr>
                <w:sz w:val="16"/>
                <w:szCs w:val="16"/>
              </w:rPr>
            </w:pPr>
            <w:r>
              <w:rPr>
                <w:sz w:val="16"/>
                <w:szCs w:val="16"/>
              </w:rPr>
              <w:t>4 130,00</w:t>
            </w:r>
          </w:p>
        </w:tc>
        <w:tc>
          <w:tcPr>
            <w:tcW w:w="473"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hideMark/>
          </w:tcPr>
          <w:p w14:paraId="08105036" w14:textId="77777777" w:rsidR="002F590A" w:rsidRDefault="002F590A">
            <w:pPr>
              <w:jc w:val="center"/>
              <w:rPr>
                <w:sz w:val="16"/>
                <w:szCs w:val="16"/>
              </w:rPr>
            </w:pPr>
            <w:r>
              <w:rPr>
                <w:sz w:val="16"/>
                <w:szCs w:val="16"/>
              </w:rPr>
              <w:t>4 130,00</w:t>
            </w:r>
          </w:p>
        </w:tc>
        <w:tc>
          <w:tcPr>
            <w:tcW w:w="473"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hideMark/>
          </w:tcPr>
          <w:p w14:paraId="74E1DBC4" w14:textId="77777777" w:rsidR="002F590A" w:rsidRDefault="002F590A">
            <w:pPr>
              <w:jc w:val="center"/>
              <w:rPr>
                <w:sz w:val="16"/>
                <w:szCs w:val="16"/>
              </w:rPr>
            </w:pPr>
            <w:r>
              <w:rPr>
                <w:sz w:val="16"/>
                <w:szCs w:val="16"/>
              </w:rPr>
              <w:t>4 000,00</w:t>
            </w:r>
          </w:p>
        </w:tc>
        <w:tc>
          <w:tcPr>
            <w:tcW w:w="36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hideMark/>
          </w:tcPr>
          <w:p w14:paraId="17B8D83B" w14:textId="77777777" w:rsidR="002F590A" w:rsidRDefault="002F590A">
            <w:pPr>
              <w:jc w:val="center"/>
              <w:rPr>
                <w:sz w:val="16"/>
                <w:szCs w:val="16"/>
              </w:rPr>
            </w:pPr>
            <w:r>
              <w:rPr>
                <w:sz w:val="16"/>
                <w:szCs w:val="16"/>
              </w:rPr>
              <w:t>3 970,00</w:t>
            </w:r>
          </w:p>
        </w:tc>
        <w:tc>
          <w:tcPr>
            <w:tcW w:w="408"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hideMark/>
          </w:tcPr>
          <w:p w14:paraId="294C03CF" w14:textId="77777777" w:rsidR="002F590A" w:rsidRDefault="002F590A">
            <w:pPr>
              <w:jc w:val="center"/>
              <w:rPr>
                <w:sz w:val="16"/>
                <w:szCs w:val="16"/>
              </w:rPr>
            </w:pPr>
            <w:r>
              <w:rPr>
                <w:sz w:val="16"/>
                <w:szCs w:val="16"/>
              </w:rPr>
              <w:t>3 940,00</w:t>
            </w:r>
          </w:p>
        </w:tc>
        <w:tc>
          <w:tcPr>
            <w:tcW w:w="36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hideMark/>
          </w:tcPr>
          <w:p w14:paraId="643AF4C3" w14:textId="77777777" w:rsidR="002F590A" w:rsidRDefault="002F590A">
            <w:pPr>
              <w:jc w:val="center"/>
              <w:rPr>
                <w:sz w:val="16"/>
                <w:szCs w:val="16"/>
              </w:rPr>
            </w:pPr>
            <w:r>
              <w:rPr>
                <w:sz w:val="16"/>
                <w:szCs w:val="16"/>
              </w:rPr>
              <w:t>3 940,00</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hideMark/>
          </w:tcPr>
          <w:p w14:paraId="44CCD181" w14:textId="77777777" w:rsidR="002F590A" w:rsidRDefault="002F590A">
            <w:pPr>
              <w:jc w:val="center"/>
              <w:rPr>
                <w:sz w:val="16"/>
                <w:szCs w:val="16"/>
              </w:rPr>
            </w:pPr>
            <w:r>
              <w:rPr>
                <w:sz w:val="16"/>
                <w:szCs w:val="16"/>
              </w:rPr>
              <w:t>3 940,00</w:t>
            </w:r>
          </w:p>
        </w:tc>
        <w:tc>
          <w:tcPr>
            <w:tcW w:w="406"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hideMark/>
          </w:tcPr>
          <w:p w14:paraId="008E1497" w14:textId="77777777" w:rsidR="002F590A" w:rsidRDefault="002F590A">
            <w:pPr>
              <w:jc w:val="center"/>
              <w:rPr>
                <w:sz w:val="16"/>
                <w:szCs w:val="16"/>
              </w:rPr>
            </w:pPr>
            <w:r>
              <w:rPr>
                <w:sz w:val="16"/>
                <w:szCs w:val="16"/>
              </w:rPr>
              <w:t>3 940,00</w:t>
            </w:r>
          </w:p>
        </w:tc>
        <w:tc>
          <w:tcPr>
            <w:tcW w:w="473"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hideMark/>
          </w:tcPr>
          <w:p w14:paraId="65B88659" w14:textId="77777777" w:rsidR="002F590A" w:rsidRDefault="002F590A">
            <w:pPr>
              <w:jc w:val="center"/>
              <w:rPr>
                <w:sz w:val="16"/>
                <w:szCs w:val="16"/>
              </w:rPr>
            </w:pPr>
            <w:r>
              <w:rPr>
                <w:sz w:val="16"/>
                <w:szCs w:val="16"/>
              </w:rPr>
              <w:t>3 940,00</w:t>
            </w:r>
          </w:p>
        </w:tc>
        <w:tc>
          <w:tcPr>
            <w:tcW w:w="433"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extDirection w:val="btLr"/>
            <w:vAlign w:val="center"/>
            <w:hideMark/>
          </w:tcPr>
          <w:p w14:paraId="7306E596" w14:textId="77777777" w:rsidR="002F590A" w:rsidRDefault="002F590A">
            <w:pPr>
              <w:jc w:val="center"/>
              <w:rPr>
                <w:sz w:val="16"/>
                <w:szCs w:val="16"/>
              </w:rPr>
            </w:pPr>
            <w:r>
              <w:rPr>
                <w:sz w:val="16"/>
                <w:szCs w:val="16"/>
              </w:rPr>
              <w:t>3 940,00</w:t>
            </w:r>
          </w:p>
        </w:tc>
        <w:tc>
          <w:tcPr>
            <w:tcW w:w="567"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hideMark/>
          </w:tcPr>
          <w:p w14:paraId="6AA2AE51" w14:textId="77777777" w:rsidR="002F590A" w:rsidRDefault="002F590A">
            <w:pPr>
              <w:jc w:val="center"/>
              <w:rPr>
                <w:sz w:val="16"/>
                <w:szCs w:val="16"/>
              </w:rPr>
            </w:pPr>
            <w:r>
              <w:rPr>
                <w:sz w:val="16"/>
                <w:szCs w:val="16"/>
              </w:rPr>
              <w:t>607,65</w:t>
            </w:r>
          </w:p>
        </w:tc>
        <w:tc>
          <w:tcPr>
            <w:tcW w:w="426"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hideMark/>
          </w:tcPr>
          <w:p w14:paraId="7E0638F5" w14:textId="77777777" w:rsidR="002F590A" w:rsidRDefault="002F590A">
            <w:pPr>
              <w:jc w:val="center"/>
              <w:rPr>
                <w:sz w:val="16"/>
                <w:szCs w:val="16"/>
              </w:rPr>
            </w:pPr>
            <w:r>
              <w:rPr>
                <w:sz w:val="16"/>
                <w:szCs w:val="16"/>
              </w:rPr>
              <w:t>2 620,00</w:t>
            </w:r>
          </w:p>
        </w:tc>
        <w:tc>
          <w:tcPr>
            <w:tcW w:w="444"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hideMark/>
          </w:tcPr>
          <w:p w14:paraId="4FC3FF8C" w14:textId="77777777" w:rsidR="002F590A" w:rsidRDefault="002F590A">
            <w:pPr>
              <w:jc w:val="center"/>
              <w:rPr>
                <w:sz w:val="16"/>
                <w:szCs w:val="16"/>
              </w:rPr>
            </w:pPr>
            <w:r>
              <w:rPr>
                <w:sz w:val="16"/>
                <w:szCs w:val="16"/>
              </w:rPr>
              <w:t>2 620,00</w:t>
            </w:r>
          </w:p>
        </w:tc>
        <w:tc>
          <w:tcPr>
            <w:tcW w:w="425"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hideMark/>
          </w:tcPr>
          <w:p w14:paraId="2D2F711B" w14:textId="77777777" w:rsidR="002F590A" w:rsidRDefault="002F590A">
            <w:pPr>
              <w:jc w:val="center"/>
              <w:rPr>
                <w:sz w:val="16"/>
                <w:szCs w:val="16"/>
              </w:rPr>
            </w:pPr>
            <w:r>
              <w:rPr>
                <w:sz w:val="16"/>
                <w:szCs w:val="16"/>
              </w:rPr>
              <w:t>2 690,00</w:t>
            </w:r>
          </w:p>
        </w:tc>
        <w:tc>
          <w:tcPr>
            <w:tcW w:w="425"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hideMark/>
          </w:tcPr>
          <w:p w14:paraId="1012EB15" w14:textId="77777777" w:rsidR="002F590A" w:rsidRDefault="002F590A">
            <w:pPr>
              <w:jc w:val="center"/>
              <w:rPr>
                <w:sz w:val="16"/>
                <w:szCs w:val="16"/>
              </w:rPr>
            </w:pPr>
            <w:r>
              <w:rPr>
                <w:sz w:val="16"/>
                <w:szCs w:val="16"/>
              </w:rPr>
              <w:t>2 690,00</w:t>
            </w:r>
          </w:p>
        </w:tc>
        <w:tc>
          <w:tcPr>
            <w:tcW w:w="426"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hideMark/>
          </w:tcPr>
          <w:p w14:paraId="40D1490A" w14:textId="77777777" w:rsidR="002F590A" w:rsidRDefault="002F590A">
            <w:pPr>
              <w:jc w:val="center"/>
              <w:rPr>
                <w:sz w:val="16"/>
                <w:szCs w:val="16"/>
              </w:rPr>
            </w:pPr>
            <w:r>
              <w:rPr>
                <w:sz w:val="16"/>
                <w:szCs w:val="16"/>
              </w:rPr>
              <w:t>2 690,00</w:t>
            </w:r>
          </w:p>
        </w:tc>
        <w:tc>
          <w:tcPr>
            <w:tcW w:w="425"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hideMark/>
          </w:tcPr>
          <w:p w14:paraId="37EBD841" w14:textId="77777777" w:rsidR="002F590A" w:rsidRDefault="002F590A">
            <w:pPr>
              <w:jc w:val="center"/>
              <w:rPr>
                <w:sz w:val="16"/>
                <w:szCs w:val="16"/>
              </w:rPr>
            </w:pPr>
            <w:r>
              <w:rPr>
                <w:sz w:val="16"/>
                <w:szCs w:val="16"/>
              </w:rPr>
              <w:t>2 690,00</w:t>
            </w:r>
          </w:p>
        </w:tc>
        <w:tc>
          <w:tcPr>
            <w:tcW w:w="425"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hideMark/>
          </w:tcPr>
          <w:p w14:paraId="6DD4045C" w14:textId="77777777" w:rsidR="002F590A" w:rsidRDefault="002F590A">
            <w:pPr>
              <w:jc w:val="center"/>
              <w:rPr>
                <w:sz w:val="16"/>
                <w:szCs w:val="16"/>
              </w:rPr>
            </w:pPr>
            <w:r>
              <w:rPr>
                <w:sz w:val="16"/>
                <w:szCs w:val="16"/>
              </w:rPr>
              <w:t>2 690,00</w:t>
            </w:r>
          </w:p>
        </w:tc>
        <w:tc>
          <w:tcPr>
            <w:tcW w:w="425"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hideMark/>
          </w:tcPr>
          <w:p w14:paraId="79B839F3" w14:textId="77777777" w:rsidR="002F590A" w:rsidRDefault="002F590A">
            <w:pPr>
              <w:jc w:val="center"/>
              <w:rPr>
                <w:sz w:val="16"/>
                <w:szCs w:val="16"/>
              </w:rPr>
            </w:pPr>
            <w:r>
              <w:rPr>
                <w:sz w:val="16"/>
                <w:szCs w:val="16"/>
              </w:rPr>
              <w:t>2 690,00</w:t>
            </w:r>
          </w:p>
        </w:tc>
        <w:tc>
          <w:tcPr>
            <w:tcW w:w="355"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hideMark/>
          </w:tcPr>
          <w:p w14:paraId="2B941B49" w14:textId="77777777" w:rsidR="002F590A" w:rsidRDefault="002F590A">
            <w:pPr>
              <w:jc w:val="center"/>
              <w:rPr>
                <w:sz w:val="16"/>
                <w:szCs w:val="16"/>
              </w:rPr>
            </w:pPr>
            <w:r>
              <w:rPr>
                <w:sz w:val="16"/>
                <w:szCs w:val="16"/>
              </w:rPr>
              <w:t>2 690,00</w:t>
            </w:r>
          </w:p>
        </w:tc>
        <w:tc>
          <w:tcPr>
            <w:tcW w:w="354"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extDirection w:val="btLr"/>
            <w:vAlign w:val="center"/>
            <w:hideMark/>
          </w:tcPr>
          <w:p w14:paraId="6BE78AAC" w14:textId="77777777" w:rsidR="002F590A" w:rsidRDefault="002F590A">
            <w:pPr>
              <w:jc w:val="center"/>
              <w:rPr>
                <w:sz w:val="16"/>
                <w:szCs w:val="16"/>
              </w:rPr>
            </w:pPr>
            <w:r>
              <w:rPr>
                <w:sz w:val="16"/>
                <w:szCs w:val="16"/>
              </w:rPr>
              <w:t>2 690,00</w:t>
            </w:r>
          </w:p>
        </w:tc>
      </w:tr>
      <w:tr w:rsidR="002F590A" w14:paraId="24D96321" w14:textId="77777777" w:rsidTr="002F590A">
        <w:trPr>
          <w:gridAfter w:val="1"/>
          <w:wAfter w:w="7" w:type="dxa"/>
          <w:trHeight w:val="45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49FCFB0" w14:textId="77777777" w:rsidR="002F590A" w:rsidRDefault="002F590A">
            <w:pPr>
              <w:spacing w:line="256" w:lineRule="auto"/>
              <w:rPr>
                <w:sz w:val="13"/>
                <w:szCs w:val="13"/>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1EF7266" w14:textId="77777777" w:rsidR="002F590A" w:rsidRDefault="002F590A">
            <w:pPr>
              <w:spacing w:line="256" w:lineRule="auto"/>
              <w:rPr>
                <w:color w:val="000000"/>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A047644" w14:textId="77777777" w:rsidR="002F590A" w:rsidRDefault="002F590A">
            <w:pPr>
              <w:spacing w:line="256" w:lineRule="auto"/>
              <w:rPr>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839E5EC" w14:textId="77777777" w:rsidR="002F590A" w:rsidRDefault="002F590A">
            <w:pPr>
              <w:spacing w:line="256" w:lineRule="auto"/>
              <w:rPr>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03652B2" w14:textId="77777777" w:rsidR="002F590A" w:rsidRDefault="002F590A">
            <w:pPr>
              <w:spacing w:line="256" w:lineRule="auto"/>
              <w:rPr>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F0F46D7" w14:textId="77777777" w:rsidR="002F590A" w:rsidRDefault="002F590A">
            <w:pPr>
              <w:spacing w:line="256" w:lineRule="auto"/>
              <w:rPr>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81D6737" w14:textId="77777777" w:rsidR="002F590A" w:rsidRDefault="002F590A">
            <w:pPr>
              <w:spacing w:line="256" w:lineRule="auto"/>
              <w:rPr>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B0DA344" w14:textId="77777777" w:rsidR="002F590A" w:rsidRDefault="002F590A">
            <w:pPr>
              <w:spacing w:line="256" w:lineRule="auto"/>
              <w:rPr>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53D2BF6" w14:textId="77777777" w:rsidR="002F590A" w:rsidRDefault="002F590A">
            <w:pPr>
              <w:spacing w:line="256" w:lineRule="auto"/>
              <w:rPr>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6CC686A" w14:textId="77777777" w:rsidR="002F590A" w:rsidRDefault="002F590A">
            <w:pPr>
              <w:spacing w:line="256" w:lineRule="auto"/>
              <w:rPr>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ACE81A7" w14:textId="77777777" w:rsidR="002F590A" w:rsidRDefault="002F590A">
            <w:pPr>
              <w:spacing w:line="256" w:lineRule="auto"/>
              <w:rPr>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F50A0A9" w14:textId="77777777" w:rsidR="002F590A" w:rsidRDefault="002F590A">
            <w:pPr>
              <w:spacing w:line="256" w:lineRule="auto"/>
              <w:rPr>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33047B0" w14:textId="77777777" w:rsidR="002F590A" w:rsidRDefault="002F590A">
            <w:pPr>
              <w:spacing w:line="256" w:lineRule="auto"/>
              <w:rPr>
                <w:sz w:val="16"/>
                <w:szCs w:val="16"/>
                <w:highlight w:val="yellow"/>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E3B120A" w14:textId="77777777" w:rsidR="002F590A" w:rsidRDefault="002F590A">
            <w:pPr>
              <w:spacing w:line="256" w:lineRule="auto"/>
              <w:rPr>
                <w:sz w:val="16"/>
                <w:szCs w:val="16"/>
              </w:rPr>
            </w:pPr>
          </w:p>
        </w:tc>
        <w:tc>
          <w:tcPr>
            <w:tcW w:w="773" w:type="dxa"/>
            <w:vMerge/>
            <w:tcBorders>
              <w:top w:val="single" w:sz="4" w:space="0" w:color="auto"/>
              <w:left w:val="single" w:sz="4" w:space="0" w:color="auto"/>
              <w:bottom w:val="single" w:sz="4" w:space="0" w:color="auto"/>
              <w:right w:val="single" w:sz="4" w:space="0" w:color="auto"/>
            </w:tcBorders>
            <w:vAlign w:val="center"/>
            <w:hideMark/>
          </w:tcPr>
          <w:p w14:paraId="4B2FE113" w14:textId="77777777" w:rsidR="002F590A" w:rsidRDefault="002F590A">
            <w:pPr>
              <w:spacing w:line="256" w:lineRule="auto"/>
              <w:rPr>
                <w:sz w:val="16"/>
                <w:szCs w:val="16"/>
              </w:rPr>
            </w:pPr>
          </w:p>
        </w:tc>
        <w:tc>
          <w:tcPr>
            <w:tcW w:w="473" w:type="dxa"/>
            <w:vMerge/>
            <w:tcBorders>
              <w:top w:val="single" w:sz="4" w:space="0" w:color="auto"/>
              <w:left w:val="single" w:sz="4" w:space="0" w:color="auto"/>
              <w:bottom w:val="single" w:sz="4" w:space="0" w:color="auto"/>
              <w:right w:val="single" w:sz="4" w:space="0" w:color="auto"/>
            </w:tcBorders>
            <w:vAlign w:val="center"/>
            <w:hideMark/>
          </w:tcPr>
          <w:p w14:paraId="06DA6EC5" w14:textId="77777777" w:rsidR="002F590A" w:rsidRDefault="002F590A">
            <w:pPr>
              <w:spacing w:line="256" w:lineRule="auto"/>
              <w:rPr>
                <w:sz w:val="16"/>
                <w:szCs w:val="16"/>
              </w:rPr>
            </w:pPr>
          </w:p>
        </w:tc>
        <w:tc>
          <w:tcPr>
            <w:tcW w:w="361" w:type="dxa"/>
            <w:vMerge/>
            <w:tcBorders>
              <w:top w:val="single" w:sz="4" w:space="0" w:color="auto"/>
              <w:left w:val="single" w:sz="4" w:space="0" w:color="auto"/>
              <w:bottom w:val="single" w:sz="4" w:space="0" w:color="auto"/>
              <w:right w:val="single" w:sz="4" w:space="0" w:color="auto"/>
            </w:tcBorders>
            <w:vAlign w:val="center"/>
            <w:hideMark/>
          </w:tcPr>
          <w:p w14:paraId="04D83F61" w14:textId="77777777" w:rsidR="002F590A" w:rsidRDefault="002F590A">
            <w:pPr>
              <w:spacing w:line="256" w:lineRule="auto"/>
              <w:rPr>
                <w:sz w:val="16"/>
                <w:szCs w:val="16"/>
              </w:rPr>
            </w:pPr>
          </w:p>
        </w:tc>
        <w:tc>
          <w:tcPr>
            <w:tcW w:w="408" w:type="dxa"/>
            <w:vMerge/>
            <w:tcBorders>
              <w:top w:val="single" w:sz="4" w:space="0" w:color="auto"/>
              <w:left w:val="single" w:sz="4" w:space="0" w:color="auto"/>
              <w:bottom w:val="single" w:sz="4" w:space="0" w:color="auto"/>
              <w:right w:val="single" w:sz="4" w:space="0" w:color="auto"/>
            </w:tcBorders>
            <w:vAlign w:val="center"/>
            <w:hideMark/>
          </w:tcPr>
          <w:p w14:paraId="77042E79" w14:textId="77777777" w:rsidR="002F590A" w:rsidRDefault="002F590A">
            <w:pPr>
              <w:spacing w:line="256" w:lineRule="auto"/>
              <w:rPr>
                <w:sz w:val="16"/>
                <w:szCs w:val="16"/>
              </w:rPr>
            </w:pPr>
          </w:p>
        </w:tc>
        <w:tc>
          <w:tcPr>
            <w:tcW w:w="360" w:type="dxa"/>
            <w:vMerge/>
            <w:tcBorders>
              <w:top w:val="single" w:sz="4" w:space="0" w:color="auto"/>
              <w:left w:val="single" w:sz="4" w:space="0" w:color="auto"/>
              <w:bottom w:val="single" w:sz="4" w:space="0" w:color="auto"/>
              <w:right w:val="single" w:sz="4" w:space="0" w:color="auto"/>
            </w:tcBorders>
            <w:vAlign w:val="center"/>
            <w:hideMark/>
          </w:tcPr>
          <w:p w14:paraId="7677C7AC" w14:textId="77777777" w:rsidR="002F590A" w:rsidRDefault="002F590A">
            <w:pPr>
              <w:spacing w:line="256" w:lineRule="auto"/>
              <w:rPr>
                <w:sz w:val="16"/>
                <w:szCs w:val="16"/>
              </w:rPr>
            </w:pPr>
          </w:p>
        </w:tc>
        <w:tc>
          <w:tcPr>
            <w:tcW w:w="454" w:type="dxa"/>
            <w:vMerge/>
            <w:tcBorders>
              <w:top w:val="single" w:sz="4" w:space="0" w:color="auto"/>
              <w:left w:val="single" w:sz="4" w:space="0" w:color="auto"/>
              <w:bottom w:val="single" w:sz="4" w:space="0" w:color="auto"/>
              <w:right w:val="single" w:sz="4" w:space="0" w:color="auto"/>
            </w:tcBorders>
            <w:vAlign w:val="center"/>
            <w:hideMark/>
          </w:tcPr>
          <w:p w14:paraId="6C340B17" w14:textId="77777777" w:rsidR="002F590A" w:rsidRDefault="002F590A">
            <w:pPr>
              <w:spacing w:line="256" w:lineRule="auto"/>
              <w:rPr>
                <w:sz w:val="16"/>
                <w:szCs w:val="16"/>
              </w:rPr>
            </w:pPr>
          </w:p>
        </w:tc>
        <w:tc>
          <w:tcPr>
            <w:tcW w:w="406" w:type="dxa"/>
            <w:vMerge/>
            <w:tcBorders>
              <w:top w:val="single" w:sz="4" w:space="0" w:color="auto"/>
              <w:left w:val="single" w:sz="4" w:space="0" w:color="auto"/>
              <w:bottom w:val="single" w:sz="4" w:space="0" w:color="auto"/>
              <w:right w:val="single" w:sz="4" w:space="0" w:color="auto"/>
            </w:tcBorders>
            <w:vAlign w:val="center"/>
            <w:hideMark/>
          </w:tcPr>
          <w:p w14:paraId="239A6A11" w14:textId="77777777" w:rsidR="002F590A" w:rsidRDefault="002F590A">
            <w:pPr>
              <w:spacing w:line="256" w:lineRule="auto"/>
              <w:rPr>
                <w:sz w:val="16"/>
                <w:szCs w:val="16"/>
              </w:rPr>
            </w:pPr>
          </w:p>
        </w:tc>
        <w:tc>
          <w:tcPr>
            <w:tcW w:w="473" w:type="dxa"/>
            <w:vMerge/>
            <w:tcBorders>
              <w:top w:val="single" w:sz="4" w:space="0" w:color="auto"/>
              <w:left w:val="single" w:sz="4" w:space="0" w:color="auto"/>
              <w:bottom w:val="single" w:sz="4" w:space="0" w:color="auto"/>
              <w:right w:val="single" w:sz="4" w:space="0" w:color="auto"/>
            </w:tcBorders>
            <w:vAlign w:val="center"/>
            <w:hideMark/>
          </w:tcPr>
          <w:p w14:paraId="75E3D9A0" w14:textId="77777777" w:rsidR="002F590A" w:rsidRDefault="002F590A">
            <w:pPr>
              <w:spacing w:line="256" w:lineRule="auto"/>
              <w:rPr>
                <w:sz w:val="16"/>
                <w:szCs w:val="16"/>
              </w:rPr>
            </w:pPr>
          </w:p>
        </w:tc>
        <w:tc>
          <w:tcPr>
            <w:tcW w:w="433" w:type="dxa"/>
            <w:vMerge/>
            <w:tcBorders>
              <w:top w:val="single" w:sz="4" w:space="0" w:color="auto"/>
              <w:left w:val="single" w:sz="4" w:space="0" w:color="auto"/>
              <w:bottom w:val="single" w:sz="4" w:space="0" w:color="auto"/>
              <w:right w:val="single" w:sz="4" w:space="0" w:color="auto"/>
            </w:tcBorders>
            <w:vAlign w:val="center"/>
            <w:hideMark/>
          </w:tcPr>
          <w:p w14:paraId="4120CBF5" w14:textId="77777777" w:rsidR="002F590A" w:rsidRDefault="002F590A">
            <w:pPr>
              <w:spacing w:line="256" w:lineRule="auto"/>
              <w:rPr>
                <w:sz w:val="16"/>
                <w:szCs w:val="16"/>
              </w:rPr>
            </w:pPr>
          </w:p>
        </w:tc>
        <w:tc>
          <w:tcPr>
            <w:tcW w:w="4704" w:type="dxa"/>
            <w:vMerge/>
            <w:tcBorders>
              <w:top w:val="single" w:sz="4" w:space="0" w:color="auto"/>
              <w:left w:val="single" w:sz="4" w:space="0" w:color="auto"/>
              <w:bottom w:val="single" w:sz="4" w:space="0" w:color="auto"/>
              <w:right w:val="single" w:sz="4" w:space="0" w:color="auto"/>
            </w:tcBorders>
            <w:vAlign w:val="center"/>
            <w:hideMark/>
          </w:tcPr>
          <w:p w14:paraId="223D4129" w14:textId="77777777" w:rsidR="002F590A" w:rsidRDefault="002F590A">
            <w:pPr>
              <w:spacing w:line="256" w:lineRule="auto"/>
              <w:rPr>
                <w:sz w:val="16"/>
                <w:szCs w:val="16"/>
              </w:rPr>
            </w:pPr>
          </w:p>
        </w:tc>
        <w:tc>
          <w:tcPr>
            <w:tcW w:w="4137" w:type="dxa"/>
            <w:vMerge/>
            <w:tcBorders>
              <w:top w:val="single" w:sz="4" w:space="0" w:color="auto"/>
              <w:left w:val="single" w:sz="4" w:space="0" w:color="auto"/>
              <w:bottom w:val="single" w:sz="4" w:space="0" w:color="auto"/>
              <w:right w:val="single" w:sz="4" w:space="0" w:color="auto"/>
            </w:tcBorders>
            <w:vAlign w:val="center"/>
            <w:hideMark/>
          </w:tcPr>
          <w:p w14:paraId="22F97C7E" w14:textId="77777777" w:rsidR="002F590A" w:rsidRDefault="002F590A">
            <w:pPr>
              <w:spacing w:line="256" w:lineRule="auto"/>
              <w:rPr>
                <w:sz w:val="16"/>
                <w:szCs w:val="16"/>
              </w:rPr>
            </w:pPr>
          </w:p>
        </w:tc>
        <w:tc>
          <w:tcPr>
            <w:tcW w:w="444" w:type="dxa"/>
            <w:vMerge/>
            <w:tcBorders>
              <w:top w:val="single" w:sz="4" w:space="0" w:color="auto"/>
              <w:left w:val="single" w:sz="4" w:space="0" w:color="auto"/>
              <w:bottom w:val="single" w:sz="4" w:space="0" w:color="auto"/>
              <w:right w:val="single" w:sz="4" w:space="0" w:color="auto"/>
            </w:tcBorders>
            <w:vAlign w:val="center"/>
            <w:hideMark/>
          </w:tcPr>
          <w:p w14:paraId="5829A2E5" w14:textId="77777777" w:rsidR="002F590A" w:rsidRDefault="002F590A">
            <w:pPr>
              <w:spacing w:line="256" w:lineRule="auto"/>
              <w:rPr>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05B2313" w14:textId="77777777" w:rsidR="002F590A" w:rsidRDefault="002F590A">
            <w:pPr>
              <w:spacing w:line="256" w:lineRule="auto"/>
              <w:rPr>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35D81B8" w14:textId="77777777" w:rsidR="002F590A" w:rsidRDefault="002F590A">
            <w:pPr>
              <w:spacing w:line="256" w:lineRule="auto"/>
              <w:rPr>
                <w:sz w:val="16"/>
                <w:szCs w:val="16"/>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45464650" w14:textId="77777777" w:rsidR="002F590A" w:rsidRDefault="002F590A">
            <w:pPr>
              <w:spacing w:line="256" w:lineRule="auto"/>
              <w:rPr>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34043611" w14:textId="77777777" w:rsidR="002F590A" w:rsidRDefault="002F590A">
            <w:pPr>
              <w:spacing w:line="256" w:lineRule="auto"/>
              <w:rPr>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09AFD33" w14:textId="77777777" w:rsidR="002F590A" w:rsidRDefault="002F590A">
            <w:pPr>
              <w:spacing w:line="256" w:lineRule="auto"/>
              <w:rPr>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4F04AE4" w14:textId="77777777" w:rsidR="002F590A" w:rsidRDefault="002F590A">
            <w:pPr>
              <w:spacing w:line="256" w:lineRule="auto"/>
              <w:rPr>
                <w:sz w:val="16"/>
                <w:szCs w:val="16"/>
              </w:rPr>
            </w:pPr>
          </w:p>
        </w:tc>
        <w:tc>
          <w:tcPr>
            <w:tcW w:w="355" w:type="dxa"/>
            <w:vMerge/>
            <w:tcBorders>
              <w:top w:val="single" w:sz="4" w:space="0" w:color="auto"/>
              <w:left w:val="single" w:sz="4" w:space="0" w:color="auto"/>
              <w:bottom w:val="single" w:sz="4" w:space="0" w:color="auto"/>
              <w:right w:val="single" w:sz="4" w:space="0" w:color="auto"/>
            </w:tcBorders>
            <w:vAlign w:val="center"/>
            <w:hideMark/>
          </w:tcPr>
          <w:p w14:paraId="417603F7" w14:textId="77777777" w:rsidR="002F590A" w:rsidRDefault="002F590A">
            <w:pPr>
              <w:spacing w:line="256" w:lineRule="auto"/>
              <w:rPr>
                <w:sz w:val="16"/>
                <w:szCs w:val="16"/>
              </w:rPr>
            </w:pPr>
          </w:p>
        </w:tc>
        <w:tc>
          <w:tcPr>
            <w:tcW w:w="354" w:type="dxa"/>
            <w:vMerge/>
            <w:tcBorders>
              <w:top w:val="single" w:sz="4" w:space="0" w:color="auto"/>
              <w:left w:val="single" w:sz="4" w:space="0" w:color="auto"/>
              <w:bottom w:val="single" w:sz="4" w:space="0" w:color="auto"/>
              <w:right w:val="single" w:sz="4" w:space="0" w:color="auto"/>
            </w:tcBorders>
            <w:vAlign w:val="center"/>
            <w:hideMark/>
          </w:tcPr>
          <w:p w14:paraId="6782ED60" w14:textId="77777777" w:rsidR="002F590A" w:rsidRDefault="002F590A">
            <w:pPr>
              <w:spacing w:line="256" w:lineRule="auto"/>
              <w:rPr>
                <w:sz w:val="16"/>
                <w:szCs w:val="16"/>
              </w:rPr>
            </w:pPr>
          </w:p>
        </w:tc>
      </w:tr>
    </w:tbl>
    <w:p w14:paraId="42BCA801" w14:textId="77777777" w:rsidR="002F590A" w:rsidRDefault="002F590A" w:rsidP="002F590A">
      <w:pPr>
        <w:ind w:left="284" w:right="536"/>
        <w:jc w:val="center"/>
        <w:rPr>
          <w:b/>
          <w:bCs/>
          <w:sz w:val="28"/>
          <w:szCs w:val="28"/>
        </w:rPr>
      </w:pPr>
    </w:p>
    <w:p w14:paraId="5A85FEFC" w14:textId="77777777" w:rsidR="002F590A" w:rsidRDefault="002F590A" w:rsidP="002F590A">
      <w:pPr>
        <w:ind w:left="284" w:right="536"/>
        <w:jc w:val="center"/>
        <w:rPr>
          <w:b/>
          <w:bCs/>
          <w:sz w:val="28"/>
          <w:szCs w:val="28"/>
        </w:rPr>
      </w:pPr>
    </w:p>
    <w:p w14:paraId="6193F478" w14:textId="77777777" w:rsidR="002F590A" w:rsidRDefault="002F590A" w:rsidP="002F590A">
      <w:pPr>
        <w:autoSpaceDE w:val="0"/>
        <w:autoSpaceDN w:val="0"/>
        <w:adjustRightInd w:val="0"/>
        <w:jc w:val="center"/>
        <w:rPr>
          <w:b/>
          <w:bCs/>
          <w:sz w:val="28"/>
          <w:szCs w:val="28"/>
        </w:rPr>
      </w:pPr>
      <w:r>
        <w:rPr>
          <w:b/>
          <w:bCs/>
          <w:sz w:val="28"/>
          <w:szCs w:val="28"/>
        </w:rPr>
        <w:t xml:space="preserve">Финансовый план в сфере теплоснабжения </w:t>
      </w:r>
      <w:r>
        <w:rPr>
          <w:b/>
          <w:color w:val="000000"/>
          <w:sz w:val="28"/>
          <w:szCs w:val="28"/>
        </w:rPr>
        <w:t xml:space="preserve">ООО «Новосибирская теплосетевая компания» на потребительском рынке Кемеровского городского округа, Кемеровского муниципального округа, Топкинского муниципального округа </w:t>
      </w:r>
      <w:r>
        <w:rPr>
          <w:b/>
          <w:sz w:val="28"/>
          <w:szCs w:val="28"/>
        </w:rPr>
        <w:t>на 2022</w:t>
      </w:r>
      <w:r>
        <w:rPr>
          <w:b/>
          <w:color w:val="000000"/>
          <w:sz w:val="28"/>
          <w:szCs w:val="28"/>
        </w:rPr>
        <w:t xml:space="preserve"> – 2031 годы</w:t>
      </w:r>
    </w:p>
    <w:p w14:paraId="04168128" w14:textId="77777777" w:rsidR="002F590A" w:rsidRDefault="002F590A" w:rsidP="002F590A">
      <w:pPr>
        <w:jc w:val="center"/>
        <w:rPr>
          <w:bCs/>
          <w:color w:val="000000"/>
        </w:rPr>
      </w:pPr>
    </w:p>
    <w:p w14:paraId="6E657BAC" w14:textId="77777777" w:rsidR="002F590A" w:rsidRDefault="002F590A" w:rsidP="002F590A">
      <w:pPr>
        <w:jc w:val="center"/>
        <w:rPr>
          <w:bCs/>
          <w:color w:val="000000"/>
        </w:rPr>
      </w:pPr>
    </w:p>
    <w:tbl>
      <w:tblPr>
        <w:tblW w:w="15740"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2755"/>
        <w:gridCol w:w="1508"/>
        <w:gridCol w:w="992"/>
        <w:gridCol w:w="993"/>
        <w:gridCol w:w="992"/>
        <w:gridCol w:w="992"/>
        <w:gridCol w:w="992"/>
        <w:gridCol w:w="992"/>
        <w:gridCol w:w="993"/>
        <w:gridCol w:w="992"/>
        <w:gridCol w:w="992"/>
        <w:gridCol w:w="992"/>
        <w:gridCol w:w="998"/>
      </w:tblGrid>
      <w:tr w:rsidR="002F590A" w14:paraId="64B36411" w14:textId="77777777" w:rsidTr="002F590A">
        <w:trPr>
          <w:trHeight w:val="458"/>
        </w:trPr>
        <w:tc>
          <w:tcPr>
            <w:tcW w:w="557"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64672C4" w14:textId="77777777" w:rsidR="002F590A" w:rsidRDefault="002F590A">
            <w:pPr>
              <w:jc w:val="center"/>
              <w:rPr>
                <w:color w:val="000000"/>
                <w:sz w:val="20"/>
                <w:szCs w:val="20"/>
              </w:rPr>
            </w:pPr>
            <w:r>
              <w:rPr>
                <w:color w:val="000000"/>
                <w:sz w:val="20"/>
                <w:szCs w:val="20"/>
              </w:rPr>
              <w:t>N п/п</w:t>
            </w:r>
          </w:p>
        </w:tc>
        <w:tc>
          <w:tcPr>
            <w:tcW w:w="2755"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7AD97A8" w14:textId="77777777" w:rsidR="002F590A" w:rsidRDefault="002F590A">
            <w:pPr>
              <w:jc w:val="center"/>
              <w:rPr>
                <w:color w:val="000000"/>
                <w:sz w:val="20"/>
                <w:szCs w:val="20"/>
              </w:rPr>
            </w:pPr>
            <w:r>
              <w:rPr>
                <w:color w:val="000000"/>
                <w:sz w:val="20"/>
                <w:szCs w:val="20"/>
              </w:rPr>
              <w:t>Источники финансирования</w:t>
            </w:r>
          </w:p>
        </w:tc>
        <w:tc>
          <w:tcPr>
            <w:tcW w:w="12428" w:type="dxa"/>
            <w:gridSpan w:val="12"/>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99FC253" w14:textId="77777777" w:rsidR="002F590A" w:rsidRDefault="002F590A">
            <w:pPr>
              <w:jc w:val="center"/>
              <w:rPr>
                <w:color w:val="000000"/>
                <w:sz w:val="20"/>
                <w:szCs w:val="20"/>
              </w:rPr>
            </w:pPr>
            <w:r>
              <w:rPr>
                <w:color w:val="000000"/>
                <w:sz w:val="20"/>
                <w:szCs w:val="20"/>
              </w:rPr>
              <w:t>Расходы на реализацию инвестиционной программы (тыс. руб.)</w:t>
            </w:r>
          </w:p>
          <w:p w14:paraId="00EED022" w14:textId="77777777" w:rsidR="002F590A" w:rsidRDefault="002F590A">
            <w:pPr>
              <w:jc w:val="center"/>
              <w:rPr>
                <w:color w:val="000000"/>
                <w:sz w:val="20"/>
                <w:szCs w:val="20"/>
              </w:rPr>
            </w:pPr>
            <w:r>
              <w:rPr>
                <w:color w:val="000000"/>
                <w:sz w:val="20"/>
                <w:szCs w:val="20"/>
              </w:rPr>
              <w:t>(без НДС)</w:t>
            </w:r>
          </w:p>
        </w:tc>
      </w:tr>
      <w:tr w:rsidR="002F590A" w14:paraId="066666A4" w14:textId="77777777" w:rsidTr="002F590A">
        <w:trPr>
          <w:trHeight w:val="4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12D776" w14:textId="77777777" w:rsidR="002F590A" w:rsidRDefault="002F590A">
            <w:pPr>
              <w:spacing w:line="256" w:lineRule="auto"/>
              <w:rPr>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E0B5C3" w14:textId="77777777" w:rsidR="002F590A" w:rsidRDefault="002F590A">
            <w:pPr>
              <w:spacing w:line="256" w:lineRule="auto"/>
              <w:rPr>
                <w:color w:val="000000"/>
                <w:sz w:val="20"/>
                <w:szCs w:val="20"/>
              </w:rPr>
            </w:pPr>
          </w:p>
        </w:tc>
        <w:tc>
          <w:tcPr>
            <w:tcW w:w="0" w:type="auto"/>
            <w:gridSpan w:val="12"/>
            <w:vMerge/>
            <w:tcBorders>
              <w:top w:val="single" w:sz="4" w:space="0" w:color="auto"/>
              <w:left w:val="single" w:sz="4" w:space="0" w:color="auto"/>
              <w:bottom w:val="single" w:sz="4" w:space="0" w:color="auto"/>
              <w:right w:val="single" w:sz="4" w:space="0" w:color="auto"/>
            </w:tcBorders>
            <w:vAlign w:val="center"/>
            <w:hideMark/>
          </w:tcPr>
          <w:p w14:paraId="79A9E941" w14:textId="77777777" w:rsidR="002F590A" w:rsidRDefault="002F590A">
            <w:pPr>
              <w:spacing w:line="256" w:lineRule="auto"/>
              <w:rPr>
                <w:color w:val="000000"/>
                <w:sz w:val="20"/>
                <w:szCs w:val="20"/>
              </w:rPr>
            </w:pPr>
          </w:p>
        </w:tc>
      </w:tr>
      <w:tr w:rsidR="002F590A" w14:paraId="74A04C58" w14:textId="77777777" w:rsidTr="002F590A">
        <w:trPr>
          <w:trHeight w:val="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7C5727" w14:textId="77777777" w:rsidR="002F590A" w:rsidRDefault="002F590A">
            <w:pPr>
              <w:spacing w:line="256" w:lineRule="auto"/>
              <w:rPr>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284823" w14:textId="77777777" w:rsidR="002F590A" w:rsidRDefault="002F590A">
            <w:pPr>
              <w:spacing w:line="256" w:lineRule="auto"/>
              <w:rPr>
                <w:color w:val="000000"/>
                <w:sz w:val="20"/>
                <w:szCs w:val="20"/>
              </w:rPr>
            </w:pPr>
          </w:p>
        </w:tc>
        <w:tc>
          <w:tcPr>
            <w:tcW w:w="15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6643FCE" w14:textId="77777777" w:rsidR="002F590A" w:rsidRDefault="002F590A">
            <w:pPr>
              <w:jc w:val="center"/>
              <w:rPr>
                <w:color w:val="000000"/>
                <w:sz w:val="20"/>
                <w:szCs w:val="20"/>
              </w:rPr>
            </w:pPr>
            <w:r>
              <w:rPr>
                <w:color w:val="000000"/>
                <w:sz w:val="20"/>
                <w:szCs w:val="20"/>
              </w:rPr>
              <w:t>по видам деятельности</w:t>
            </w:r>
          </w:p>
        </w:tc>
        <w:tc>
          <w:tcPr>
            <w:tcW w:w="992"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EF09A8D" w14:textId="77777777" w:rsidR="002F590A" w:rsidRDefault="002F590A">
            <w:pPr>
              <w:jc w:val="center"/>
              <w:rPr>
                <w:color w:val="000000"/>
                <w:sz w:val="20"/>
                <w:szCs w:val="20"/>
              </w:rPr>
            </w:pPr>
            <w:r>
              <w:rPr>
                <w:color w:val="000000"/>
                <w:sz w:val="20"/>
                <w:szCs w:val="20"/>
              </w:rPr>
              <w:t>Всего</w:t>
            </w:r>
          </w:p>
        </w:tc>
        <w:tc>
          <w:tcPr>
            <w:tcW w:w="9928" w:type="dxa"/>
            <w:gridSpan w:val="10"/>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F65EF76" w14:textId="77777777" w:rsidR="002F590A" w:rsidRDefault="002F590A">
            <w:pPr>
              <w:jc w:val="center"/>
              <w:rPr>
                <w:color w:val="000000"/>
                <w:sz w:val="20"/>
                <w:szCs w:val="20"/>
              </w:rPr>
            </w:pPr>
            <w:r>
              <w:rPr>
                <w:color w:val="000000"/>
                <w:sz w:val="20"/>
                <w:szCs w:val="20"/>
              </w:rPr>
              <w:t>по годам реализации инвестпрограммы</w:t>
            </w:r>
          </w:p>
        </w:tc>
      </w:tr>
      <w:tr w:rsidR="002F590A" w14:paraId="33A0D7B4" w14:textId="77777777" w:rsidTr="002F590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9DBAF0" w14:textId="77777777" w:rsidR="002F590A" w:rsidRDefault="002F590A">
            <w:pPr>
              <w:spacing w:line="256" w:lineRule="auto"/>
              <w:rPr>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196379" w14:textId="77777777" w:rsidR="002F590A" w:rsidRDefault="002F590A">
            <w:pPr>
              <w:spacing w:line="256" w:lineRule="auto"/>
              <w:rPr>
                <w:color w:val="000000"/>
                <w:sz w:val="20"/>
                <w:szCs w:val="20"/>
              </w:rPr>
            </w:pPr>
          </w:p>
        </w:tc>
        <w:tc>
          <w:tcPr>
            <w:tcW w:w="15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30A1470" w14:textId="77777777" w:rsidR="002F590A" w:rsidRDefault="002F590A">
            <w:pPr>
              <w:jc w:val="center"/>
              <w:rPr>
                <w:color w:val="000000"/>
                <w:sz w:val="20"/>
                <w:szCs w:val="20"/>
              </w:rPr>
            </w:pPr>
            <w:r>
              <w:rPr>
                <w:color w:val="000000"/>
                <w:sz w:val="20"/>
                <w:szCs w:val="20"/>
              </w:rPr>
              <w:t>теплоснабжение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BEF3B7" w14:textId="77777777" w:rsidR="002F590A" w:rsidRDefault="002F590A">
            <w:pPr>
              <w:spacing w:line="256" w:lineRule="auto"/>
              <w:rPr>
                <w:color w:val="000000"/>
                <w:sz w:val="20"/>
                <w:szCs w:val="20"/>
              </w:rPr>
            </w:pP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C9883F3" w14:textId="77777777" w:rsidR="002F590A" w:rsidRDefault="002F590A">
            <w:pPr>
              <w:jc w:val="center"/>
              <w:rPr>
                <w:color w:val="000000"/>
                <w:sz w:val="20"/>
                <w:szCs w:val="20"/>
              </w:rPr>
            </w:pPr>
            <w:r>
              <w:rPr>
                <w:color w:val="000000"/>
                <w:sz w:val="20"/>
                <w:szCs w:val="20"/>
              </w:rPr>
              <w:t>2022</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20B04A1" w14:textId="77777777" w:rsidR="002F590A" w:rsidRDefault="002F590A">
            <w:pPr>
              <w:jc w:val="center"/>
              <w:rPr>
                <w:color w:val="000000"/>
                <w:sz w:val="20"/>
                <w:szCs w:val="20"/>
              </w:rPr>
            </w:pPr>
            <w:r>
              <w:rPr>
                <w:color w:val="000000"/>
                <w:sz w:val="20"/>
                <w:szCs w:val="20"/>
              </w:rPr>
              <w:t>2023</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BBD57FF" w14:textId="77777777" w:rsidR="002F590A" w:rsidRDefault="002F590A">
            <w:pPr>
              <w:jc w:val="center"/>
              <w:rPr>
                <w:color w:val="000000"/>
                <w:sz w:val="20"/>
                <w:szCs w:val="20"/>
              </w:rPr>
            </w:pPr>
            <w:r>
              <w:rPr>
                <w:color w:val="000000"/>
                <w:sz w:val="20"/>
                <w:szCs w:val="20"/>
              </w:rPr>
              <w:t>2024</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9E5C4BA" w14:textId="77777777" w:rsidR="002F590A" w:rsidRDefault="002F590A">
            <w:pPr>
              <w:jc w:val="center"/>
              <w:rPr>
                <w:color w:val="000000"/>
                <w:sz w:val="20"/>
                <w:szCs w:val="20"/>
              </w:rPr>
            </w:pPr>
            <w:r>
              <w:rPr>
                <w:color w:val="000000"/>
                <w:sz w:val="20"/>
                <w:szCs w:val="20"/>
              </w:rPr>
              <w:t>2025</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EB8ED68" w14:textId="77777777" w:rsidR="002F590A" w:rsidRDefault="002F590A">
            <w:pPr>
              <w:jc w:val="center"/>
              <w:rPr>
                <w:color w:val="000000"/>
                <w:sz w:val="20"/>
                <w:szCs w:val="20"/>
              </w:rPr>
            </w:pPr>
            <w:r>
              <w:rPr>
                <w:color w:val="000000"/>
                <w:sz w:val="20"/>
                <w:szCs w:val="20"/>
              </w:rPr>
              <w:t>2026</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778A6D0" w14:textId="77777777" w:rsidR="002F590A" w:rsidRDefault="002F590A">
            <w:pPr>
              <w:jc w:val="center"/>
              <w:rPr>
                <w:color w:val="000000"/>
                <w:sz w:val="20"/>
                <w:szCs w:val="20"/>
              </w:rPr>
            </w:pPr>
            <w:r>
              <w:rPr>
                <w:color w:val="000000"/>
                <w:sz w:val="20"/>
                <w:szCs w:val="20"/>
              </w:rPr>
              <w:t>2027</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AA47950" w14:textId="77777777" w:rsidR="002F590A" w:rsidRDefault="002F590A">
            <w:pPr>
              <w:jc w:val="center"/>
              <w:rPr>
                <w:color w:val="000000"/>
                <w:sz w:val="20"/>
                <w:szCs w:val="20"/>
              </w:rPr>
            </w:pPr>
            <w:r>
              <w:rPr>
                <w:color w:val="000000"/>
                <w:sz w:val="20"/>
                <w:szCs w:val="20"/>
              </w:rPr>
              <w:t>2028</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2CEE6BA" w14:textId="77777777" w:rsidR="002F590A" w:rsidRDefault="002F590A">
            <w:pPr>
              <w:jc w:val="center"/>
              <w:rPr>
                <w:color w:val="000000"/>
                <w:sz w:val="20"/>
                <w:szCs w:val="20"/>
              </w:rPr>
            </w:pPr>
            <w:r>
              <w:rPr>
                <w:color w:val="000000"/>
                <w:sz w:val="20"/>
                <w:szCs w:val="20"/>
              </w:rPr>
              <w:t>2029</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676404B" w14:textId="77777777" w:rsidR="002F590A" w:rsidRDefault="002F590A">
            <w:pPr>
              <w:jc w:val="center"/>
              <w:rPr>
                <w:color w:val="000000"/>
                <w:sz w:val="20"/>
                <w:szCs w:val="20"/>
              </w:rPr>
            </w:pPr>
            <w:r>
              <w:rPr>
                <w:color w:val="000000"/>
                <w:sz w:val="20"/>
                <w:szCs w:val="20"/>
              </w:rPr>
              <w:t>2030</w:t>
            </w:r>
          </w:p>
        </w:tc>
        <w:tc>
          <w:tcPr>
            <w:tcW w:w="9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18D451A" w14:textId="77777777" w:rsidR="002F590A" w:rsidRDefault="002F590A">
            <w:pPr>
              <w:jc w:val="center"/>
              <w:rPr>
                <w:color w:val="000000"/>
                <w:sz w:val="20"/>
                <w:szCs w:val="20"/>
              </w:rPr>
            </w:pPr>
            <w:r>
              <w:rPr>
                <w:color w:val="000000"/>
                <w:sz w:val="20"/>
                <w:szCs w:val="20"/>
              </w:rPr>
              <w:t>2031</w:t>
            </w:r>
          </w:p>
        </w:tc>
      </w:tr>
      <w:tr w:rsidR="002F590A" w14:paraId="40EE59FA" w14:textId="77777777" w:rsidTr="002F590A">
        <w:trPr>
          <w:trHeight w:val="20"/>
        </w:trPr>
        <w:tc>
          <w:tcPr>
            <w:tcW w:w="5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C7FE563" w14:textId="77777777" w:rsidR="002F590A" w:rsidRDefault="002F590A">
            <w:pPr>
              <w:jc w:val="center"/>
              <w:rPr>
                <w:color w:val="000000"/>
                <w:sz w:val="20"/>
                <w:szCs w:val="20"/>
              </w:rPr>
            </w:pPr>
            <w:r>
              <w:rPr>
                <w:color w:val="000000"/>
                <w:sz w:val="20"/>
                <w:szCs w:val="20"/>
              </w:rPr>
              <w:t>1</w:t>
            </w:r>
          </w:p>
        </w:tc>
        <w:tc>
          <w:tcPr>
            <w:tcW w:w="275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18FEE5E" w14:textId="77777777" w:rsidR="002F590A" w:rsidRDefault="002F590A">
            <w:pPr>
              <w:jc w:val="center"/>
              <w:rPr>
                <w:color w:val="000000"/>
                <w:sz w:val="20"/>
                <w:szCs w:val="20"/>
              </w:rPr>
            </w:pPr>
            <w:r>
              <w:rPr>
                <w:color w:val="000000"/>
                <w:sz w:val="20"/>
                <w:szCs w:val="20"/>
              </w:rPr>
              <w:t>2</w:t>
            </w:r>
          </w:p>
        </w:tc>
        <w:tc>
          <w:tcPr>
            <w:tcW w:w="15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9B85919" w14:textId="77777777" w:rsidR="002F590A" w:rsidRDefault="002F590A">
            <w:pPr>
              <w:jc w:val="center"/>
              <w:rPr>
                <w:color w:val="000000"/>
                <w:sz w:val="20"/>
                <w:szCs w:val="20"/>
              </w:rPr>
            </w:pPr>
            <w:r>
              <w:rPr>
                <w:color w:val="000000"/>
                <w:sz w:val="20"/>
                <w:szCs w:val="20"/>
              </w:rPr>
              <w:t>3</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03F02D4" w14:textId="77777777" w:rsidR="002F590A" w:rsidRDefault="002F590A">
            <w:pPr>
              <w:jc w:val="center"/>
              <w:rPr>
                <w:color w:val="000000"/>
                <w:sz w:val="20"/>
                <w:szCs w:val="20"/>
              </w:rPr>
            </w:pPr>
            <w:r>
              <w:rPr>
                <w:color w:val="000000"/>
                <w:sz w:val="20"/>
                <w:szCs w:val="20"/>
              </w:rPr>
              <w:t>4</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C5C4453" w14:textId="77777777" w:rsidR="002F590A" w:rsidRDefault="002F590A">
            <w:pPr>
              <w:jc w:val="center"/>
              <w:rPr>
                <w:color w:val="000000"/>
                <w:sz w:val="20"/>
                <w:szCs w:val="20"/>
              </w:rPr>
            </w:pPr>
            <w:r>
              <w:rPr>
                <w:color w:val="000000"/>
                <w:sz w:val="20"/>
                <w:szCs w:val="20"/>
              </w:rPr>
              <w:t>5</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AB5FEAA" w14:textId="77777777" w:rsidR="002F590A" w:rsidRDefault="002F590A">
            <w:pPr>
              <w:jc w:val="center"/>
              <w:rPr>
                <w:color w:val="000000"/>
                <w:sz w:val="20"/>
                <w:szCs w:val="20"/>
              </w:rPr>
            </w:pPr>
            <w:r>
              <w:rPr>
                <w:color w:val="000000"/>
                <w:sz w:val="20"/>
                <w:szCs w:val="20"/>
              </w:rPr>
              <w:t>6</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2F7A9C9" w14:textId="77777777" w:rsidR="002F590A" w:rsidRDefault="002F590A">
            <w:pPr>
              <w:jc w:val="center"/>
              <w:rPr>
                <w:color w:val="000000"/>
                <w:sz w:val="20"/>
                <w:szCs w:val="20"/>
              </w:rPr>
            </w:pPr>
            <w:r>
              <w:rPr>
                <w:color w:val="000000"/>
                <w:sz w:val="20"/>
                <w:szCs w:val="20"/>
              </w:rPr>
              <w:t>7</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2393852" w14:textId="77777777" w:rsidR="002F590A" w:rsidRDefault="002F590A">
            <w:pPr>
              <w:jc w:val="center"/>
              <w:rPr>
                <w:color w:val="000000"/>
                <w:sz w:val="20"/>
                <w:szCs w:val="20"/>
              </w:rPr>
            </w:pPr>
            <w:r>
              <w:rPr>
                <w:color w:val="000000"/>
                <w:sz w:val="20"/>
                <w:szCs w:val="20"/>
              </w:rPr>
              <w:t>8</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8327363" w14:textId="77777777" w:rsidR="002F590A" w:rsidRDefault="002F590A">
            <w:pPr>
              <w:jc w:val="center"/>
              <w:rPr>
                <w:color w:val="000000"/>
                <w:sz w:val="20"/>
                <w:szCs w:val="20"/>
              </w:rPr>
            </w:pPr>
            <w:r>
              <w:rPr>
                <w:color w:val="000000"/>
                <w:sz w:val="20"/>
                <w:szCs w:val="20"/>
              </w:rPr>
              <w:t>9</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2816F63" w14:textId="77777777" w:rsidR="002F590A" w:rsidRDefault="002F590A">
            <w:pPr>
              <w:jc w:val="center"/>
              <w:rPr>
                <w:color w:val="000000"/>
                <w:sz w:val="20"/>
                <w:szCs w:val="20"/>
              </w:rPr>
            </w:pPr>
            <w:r>
              <w:rPr>
                <w:color w:val="000000"/>
                <w:sz w:val="20"/>
                <w:szCs w:val="20"/>
              </w:rPr>
              <w:t>10</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A9AFB50" w14:textId="77777777" w:rsidR="002F590A" w:rsidRDefault="002F590A">
            <w:pPr>
              <w:jc w:val="center"/>
              <w:rPr>
                <w:color w:val="000000"/>
                <w:sz w:val="20"/>
                <w:szCs w:val="20"/>
              </w:rPr>
            </w:pPr>
            <w:r>
              <w:rPr>
                <w:color w:val="000000"/>
                <w:sz w:val="20"/>
                <w:szCs w:val="20"/>
              </w:rPr>
              <w:t>11</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6A7F771" w14:textId="77777777" w:rsidR="002F590A" w:rsidRDefault="002F590A">
            <w:pPr>
              <w:jc w:val="center"/>
              <w:rPr>
                <w:color w:val="000000"/>
                <w:sz w:val="20"/>
                <w:szCs w:val="20"/>
              </w:rPr>
            </w:pPr>
            <w:r>
              <w:rPr>
                <w:color w:val="000000"/>
                <w:sz w:val="20"/>
                <w:szCs w:val="20"/>
              </w:rPr>
              <w:t>12</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4CC798D" w14:textId="77777777" w:rsidR="002F590A" w:rsidRDefault="002F590A">
            <w:pPr>
              <w:jc w:val="center"/>
              <w:rPr>
                <w:color w:val="000000"/>
                <w:sz w:val="20"/>
                <w:szCs w:val="20"/>
              </w:rPr>
            </w:pPr>
            <w:r>
              <w:rPr>
                <w:color w:val="000000"/>
                <w:sz w:val="20"/>
                <w:szCs w:val="20"/>
              </w:rPr>
              <w:t>13</w:t>
            </w:r>
          </w:p>
        </w:tc>
        <w:tc>
          <w:tcPr>
            <w:tcW w:w="9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35FE558" w14:textId="77777777" w:rsidR="002F590A" w:rsidRDefault="002F590A">
            <w:pPr>
              <w:jc w:val="center"/>
              <w:rPr>
                <w:color w:val="000000"/>
                <w:sz w:val="20"/>
                <w:szCs w:val="20"/>
              </w:rPr>
            </w:pPr>
            <w:r>
              <w:rPr>
                <w:color w:val="000000"/>
                <w:sz w:val="20"/>
                <w:szCs w:val="20"/>
              </w:rPr>
              <w:t>14</w:t>
            </w:r>
          </w:p>
        </w:tc>
      </w:tr>
      <w:tr w:rsidR="002F590A" w14:paraId="6C0309F3" w14:textId="77777777" w:rsidTr="002F590A">
        <w:trPr>
          <w:trHeight w:val="20"/>
        </w:trPr>
        <w:tc>
          <w:tcPr>
            <w:tcW w:w="5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2FEB326" w14:textId="77777777" w:rsidR="002F590A" w:rsidRDefault="002F590A">
            <w:pPr>
              <w:jc w:val="center"/>
              <w:rPr>
                <w:color w:val="000000"/>
                <w:sz w:val="20"/>
                <w:szCs w:val="20"/>
              </w:rPr>
            </w:pPr>
            <w:r>
              <w:rPr>
                <w:color w:val="000000"/>
                <w:sz w:val="20"/>
                <w:szCs w:val="20"/>
              </w:rPr>
              <w:t xml:space="preserve">   1.</w:t>
            </w:r>
          </w:p>
        </w:tc>
        <w:tc>
          <w:tcPr>
            <w:tcW w:w="275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02B7EC9" w14:textId="77777777" w:rsidR="002F590A" w:rsidRDefault="002F590A">
            <w:pPr>
              <w:jc w:val="center"/>
              <w:rPr>
                <w:color w:val="000000"/>
                <w:sz w:val="20"/>
                <w:szCs w:val="20"/>
              </w:rPr>
            </w:pPr>
            <w:r>
              <w:rPr>
                <w:color w:val="000000"/>
                <w:sz w:val="20"/>
                <w:szCs w:val="20"/>
              </w:rPr>
              <w:t>Собственные средства</w:t>
            </w:r>
          </w:p>
        </w:tc>
        <w:tc>
          <w:tcPr>
            <w:tcW w:w="15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FABD7E3" w14:textId="77777777" w:rsidR="002F590A" w:rsidRDefault="002F590A">
            <w:pPr>
              <w:jc w:val="center"/>
              <w:rPr>
                <w:color w:val="000000"/>
                <w:sz w:val="20"/>
                <w:szCs w:val="20"/>
              </w:rPr>
            </w:pPr>
            <w:bookmarkStart w:id="84" w:name="_Hlk90285330"/>
            <w:r>
              <w:rPr>
                <w:color w:val="000000"/>
                <w:sz w:val="20"/>
                <w:szCs w:val="20"/>
              </w:rPr>
              <w:t>36 549,71</w:t>
            </w:r>
            <w:bookmarkEnd w:id="84"/>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E85E465" w14:textId="77777777" w:rsidR="002F590A" w:rsidRDefault="002F590A">
            <w:pPr>
              <w:jc w:val="center"/>
              <w:rPr>
                <w:color w:val="000000"/>
                <w:sz w:val="20"/>
                <w:szCs w:val="20"/>
              </w:rPr>
            </w:pPr>
            <w:r>
              <w:rPr>
                <w:color w:val="000000"/>
                <w:sz w:val="20"/>
                <w:szCs w:val="20"/>
              </w:rPr>
              <w:t>36 549,71</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197FB18" w14:textId="77777777" w:rsidR="002F590A" w:rsidRDefault="002F590A">
            <w:pPr>
              <w:jc w:val="center"/>
              <w:rPr>
                <w:color w:val="000000"/>
                <w:sz w:val="20"/>
                <w:szCs w:val="20"/>
              </w:rPr>
            </w:pPr>
            <w:r>
              <w:rPr>
                <w:color w:val="000000"/>
                <w:sz w:val="20"/>
                <w:szCs w:val="20"/>
              </w:rPr>
              <w:t>3 505,53</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E8879B2" w14:textId="77777777" w:rsidR="002F590A" w:rsidRDefault="002F590A">
            <w:pPr>
              <w:jc w:val="center"/>
              <w:rPr>
                <w:color w:val="000000"/>
                <w:sz w:val="20"/>
                <w:szCs w:val="20"/>
              </w:rPr>
            </w:pPr>
            <w:r>
              <w:rPr>
                <w:color w:val="000000"/>
                <w:sz w:val="20"/>
                <w:szCs w:val="20"/>
              </w:rPr>
              <w:t>9 498,94</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4B1816C" w14:textId="77777777" w:rsidR="002F590A" w:rsidRDefault="002F590A">
            <w:pPr>
              <w:jc w:val="center"/>
              <w:rPr>
                <w:color w:val="000000"/>
                <w:sz w:val="20"/>
                <w:szCs w:val="20"/>
              </w:rPr>
            </w:pPr>
            <w:r>
              <w:rPr>
                <w:color w:val="000000"/>
                <w:sz w:val="20"/>
                <w:szCs w:val="20"/>
              </w:rPr>
              <w:t>6 937,02</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8BEEB52" w14:textId="77777777" w:rsidR="002F590A" w:rsidRDefault="002F590A">
            <w:pPr>
              <w:jc w:val="center"/>
              <w:rPr>
                <w:color w:val="000000"/>
                <w:sz w:val="20"/>
                <w:szCs w:val="20"/>
              </w:rPr>
            </w:pPr>
            <w:r>
              <w:rPr>
                <w:color w:val="000000"/>
                <w:sz w:val="20"/>
                <w:szCs w:val="20"/>
              </w:rPr>
              <w:t>3 206,71</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F566F85" w14:textId="77777777" w:rsidR="002F590A" w:rsidRDefault="002F590A">
            <w:pPr>
              <w:jc w:val="center"/>
              <w:rPr>
                <w:color w:val="000000"/>
                <w:sz w:val="20"/>
                <w:szCs w:val="20"/>
              </w:rPr>
            </w:pPr>
            <w:r>
              <w:rPr>
                <w:color w:val="000000"/>
                <w:sz w:val="20"/>
                <w:szCs w:val="20"/>
              </w:rPr>
              <w:t>3 290,02</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2012D23" w14:textId="77777777" w:rsidR="002F590A" w:rsidRDefault="002F590A">
            <w:pPr>
              <w:jc w:val="center"/>
              <w:rPr>
                <w:color w:val="000000"/>
                <w:sz w:val="20"/>
                <w:szCs w:val="20"/>
              </w:rPr>
            </w:pPr>
            <w:r>
              <w:rPr>
                <w:color w:val="000000"/>
                <w:sz w:val="20"/>
                <w:szCs w:val="20"/>
              </w:rPr>
              <w:t>4 207,05</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22D803D" w14:textId="77777777" w:rsidR="002F590A" w:rsidRDefault="002F590A">
            <w:pPr>
              <w:jc w:val="center"/>
              <w:rPr>
                <w:color w:val="000000"/>
                <w:sz w:val="20"/>
                <w:szCs w:val="20"/>
              </w:rPr>
            </w:pPr>
            <w:r>
              <w:rPr>
                <w:color w:val="000000"/>
                <w:sz w:val="20"/>
                <w:szCs w:val="20"/>
              </w:rPr>
              <w:t>2 392,31</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69D8CEA" w14:textId="77777777" w:rsidR="002F590A" w:rsidRDefault="002F590A">
            <w:pPr>
              <w:jc w:val="center"/>
              <w:rPr>
                <w:color w:val="000000"/>
                <w:sz w:val="20"/>
                <w:szCs w:val="20"/>
              </w:rPr>
            </w:pPr>
            <w:r>
              <w:rPr>
                <w:color w:val="000000"/>
                <w:sz w:val="20"/>
                <w:szCs w:val="20"/>
              </w:rPr>
              <w:t>588,29</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5339DEF" w14:textId="77777777" w:rsidR="002F590A" w:rsidRDefault="002F590A">
            <w:pPr>
              <w:jc w:val="center"/>
              <w:rPr>
                <w:color w:val="000000"/>
                <w:sz w:val="20"/>
                <w:szCs w:val="20"/>
              </w:rPr>
            </w:pPr>
            <w:r>
              <w:rPr>
                <w:color w:val="000000"/>
                <w:sz w:val="20"/>
                <w:szCs w:val="20"/>
              </w:rPr>
              <w:t>2 394,94</w:t>
            </w:r>
          </w:p>
        </w:tc>
        <w:tc>
          <w:tcPr>
            <w:tcW w:w="9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83ECB1F" w14:textId="77777777" w:rsidR="002F590A" w:rsidRDefault="002F590A">
            <w:pPr>
              <w:jc w:val="center"/>
              <w:rPr>
                <w:color w:val="000000"/>
                <w:sz w:val="20"/>
                <w:szCs w:val="20"/>
              </w:rPr>
            </w:pPr>
            <w:r>
              <w:rPr>
                <w:color w:val="000000"/>
                <w:sz w:val="20"/>
                <w:szCs w:val="20"/>
              </w:rPr>
              <w:t>528,90</w:t>
            </w:r>
          </w:p>
        </w:tc>
      </w:tr>
      <w:tr w:rsidR="002F590A" w14:paraId="38F0B026" w14:textId="77777777" w:rsidTr="002F590A">
        <w:trPr>
          <w:trHeight w:val="20"/>
        </w:trPr>
        <w:tc>
          <w:tcPr>
            <w:tcW w:w="5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BA19721" w14:textId="77777777" w:rsidR="002F590A" w:rsidRDefault="002F590A">
            <w:pPr>
              <w:jc w:val="center"/>
              <w:rPr>
                <w:color w:val="000000"/>
                <w:sz w:val="20"/>
                <w:szCs w:val="20"/>
              </w:rPr>
            </w:pPr>
            <w:r>
              <w:rPr>
                <w:color w:val="000000"/>
                <w:sz w:val="20"/>
                <w:szCs w:val="20"/>
              </w:rPr>
              <w:t>1.1.</w:t>
            </w:r>
          </w:p>
        </w:tc>
        <w:tc>
          <w:tcPr>
            <w:tcW w:w="275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12F9D8A" w14:textId="77777777" w:rsidR="002F590A" w:rsidRDefault="002F590A">
            <w:pPr>
              <w:jc w:val="center"/>
              <w:rPr>
                <w:color w:val="000000"/>
                <w:sz w:val="20"/>
                <w:szCs w:val="20"/>
              </w:rPr>
            </w:pPr>
            <w:r>
              <w:rPr>
                <w:color w:val="000000"/>
                <w:sz w:val="20"/>
                <w:szCs w:val="20"/>
              </w:rPr>
              <w:t>амортизационные отчисления</w:t>
            </w:r>
          </w:p>
        </w:tc>
        <w:tc>
          <w:tcPr>
            <w:tcW w:w="15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ABB74B9" w14:textId="77777777" w:rsidR="002F590A" w:rsidRDefault="002F590A">
            <w:pPr>
              <w:jc w:val="center"/>
              <w:rPr>
                <w:color w:val="000000"/>
                <w:sz w:val="20"/>
                <w:szCs w:val="20"/>
              </w:rPr>
            </w:pPr>
            <w:bookmarkStart w:id="85" w:name="_Hlk90285346"/>
            <w:r>
              <w:rPr>
                <w:color w:val="000000"/>
                <w:sz w:val="20"/>
                <w:szCs w:val="20"/>
              </w:rPr>
              <w:t>34 025,21</w:t>
            </w:r>
            <w:bookmarkEnd w:id="85"/>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479C2E3" w14:textId="77777777" w:rsidR="002F590A" w:rsidRDefault="002F590A">
            <w:pPr>
              <w:jc w:val="center"/>
              <w:rPr>
                <w:color w:val="000000"/>
                <w:sz w:val="20"/>
                <w:szCs w:val="20"/>
              </w:rPr>
            </w:pPr>
            <w:r>
              <w:rPr>
                <w:color w:val="000000"/>
                <w:sz w:val="20"/>
                <w:szCs w:val="20"/>
              </w:rPr>
              <w:t>34 025,21</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E364499" w14:textId="77777777" w:rsidR="002F590A" w:rsidRDefault="002F590A">
            <w:pPr>
              <w:jc w:val="center"/>
              <w:rPr>
                <w:color w:val="000000"/>
                <w:sz w:val="20"/>
                <w:szCs w:val="20"/>
              </w:rPr>
            </w:pPr>
            <w:r>
              <w:rPr>
                <w:color w:val="000000"/>
                <w:sz w:val="20"/>
                <w:szCs w:val="20"/>
              </w:rPr>
              <w:t>3 505,53</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2F27C05" w14:textId="77777777" w:rsidR="002F590A" w:rsidRDefault="002F590A">
            <w:pPr>
              <w:jc w:val="center"/>
              <w:rPr>
                <w:color w:val="000000"/>
                <w:sz w:val="20"/>
                <w:szCs w:val="20"/>
              </w:rPr>
            </w:pPr>
            <w:r>
              <w:rPr>
                <w:color w:val="000000"/>
                <w:sz w:val="20"/>
                <w:szCs w:val="20"/>
              </w:rPr>
              <w:t>6 974,44</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B8CAEDF" w14:textId="77777777" w:rsidR="002F590A" w:rsidRDefault="002F590A">
            <w:pPr>
              <w:jc w:val="center"/>
              <w:rPr>
                <w:color w:val="000000"/>
                <w:sz w:val="20"/>
                <w:szCs w:val="20"/>
              </w:rPr>
            </w:pPr>
            <w:r>
              <w:rPr>
                <w:color w:val="000000"/>
                <w:sz w:val="20"/>
                <w:szCs w:val="20"/>
              </w:rPr>
              <w:t>6 937,02</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F1D7FCD" w14:textId="77777777" w:rsidR="002F590A" w:rsidRDefault="002F590A">
            <w:pPr>
              <w:jc w:val="center"/>
              <w:rPr>
                <w:color w:val="000000"/>
                <w:sz w:val="20"/>
                <w:szCs w:val="20"/>
              </w:rPr>
            </w:pPr>
            <w:r>
              <w:rPr>
                <w:color w:val="000000"/>
                <w:sz w:val="20"/>
                <w:szCs w:val="20"/>
              </w:rPr>
              <w:t>3 206,71</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9BC8667" w14:textId="77777777" w:rsidR="002F590A" w:rsidRDefault="002F590A">
            <w:pPr>
              <w:jc w:val="center"/>
              <w:rPr>
                <w:color w:val="000000"/>
                <w:sz w:val="20"/>
                <w:szCs w:val="20"/>
              </w:rPr>
            </w:pPr>
            <w:r>
              <w:rPr>
                <w:color w:val="000000"/>
                <w:sz w:val="20"/>
                <w:szCs w:val="20"/>
              </w:rPr>
              <w:t>3 290,02</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07D20B1" w14:textId="77777777" w:rsidR="002F590A" w:rsidRDefault="002F590A">
            <w:pPr>
              <w:jc w:val="center"/>
              <w:rPr>
                <w:color w:val="000000"/>
                <w:sz w:val="20"/>
                <w:szCs w:val="20"/>
              </w:rPr>
            </w:pPr>
            <w:r>
              <w:rPr>
                <w:color w:val="000000"/>
                <w:sz w:val="20"/>
                <w:szCs w:val="20"/>
              </w:rPr>
              <w:t>4 207,05</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B5C0921" w14:textId="77777777" w:rsidR="002F590A" w:rsidRDefault="002F590A">
            <w:pPr>
              <w:jc w:val="center"/>
              <w:rPr>
                <w:color w:val="000000"/>
                <w:sz w:val="20"/>
                <w:szCs w:val="20"/>
              </w:rPr>
            </w:pPr>
            <w:r>
              <w:rPr>
                <w:color w:val="000000"/>
                <w:sz w:val="20"/>
                <w:szCs w:val="20"/>
              </w:rPr>
              <w:t>2 392,31</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4D7273B" w14:textId="77777777" w:rsidR="002F590A" w:rsidRDefault="002F590A">
            <w:pPr>
              <w:jc w:val="center"/>
              <w:rPr>
                <w:color w:val="000000"/>
                <w:sz w:val="20"/>
                <w:szCs w:val="20"/>
              </w:rPr>
            </w:pPr>
            <w:r>
              <w:rPr>
                <w:color w:val="000000"/>
                <w:sz w:val="20"/>
                <w:szCs w:val="20"/>
              </w:rPr>
              <w:t>588,29</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D08E02C" w14:textId="77777777" w:rsidR="002F590A" w:rsidRDefault="002F590A">
            <w:pPr>
              <w:jc w:val="center"/>
              <w:rPr>
                <w:color w:val="000000"/>
                <w:sz w:val="20"/>
                <w:szCs w:val="20"/>
              </w:rPr>
            </w:pPr>
            <w:r>
              <w:rPr>
                <w:color w:val="000000"/>
                <w:sz w:val="20"/>
                <w:szCs w:val="20"/>
              </w:rPr>
              <w:t>2 394,94</w:t>
            </w:r>
          </w:p>
        </w:tc>
        <w:tc>
          <w:tcPr>
            <w:tcW w:w="9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88CB461" w14:textId="77777777" w:rsidR="002F590A" w:rsidRDefault="002F590A">
            <w:pPr>
              <w:jc w:val="center"/>
              <w:rPr>
                <w:color w:val="000000"/>
                <w:sz w:val="20"/>
                <w:szCs w:val="20"/>
              </w:rPr>
            </w:pPr>
            <w:r>
              <w:rPr>
                <w:color w:val="000000"/>
                <w:sz w:val="20"/>
                <w:szCs w:val="20"/>
              </w:rPr>
              <w:t>528,90</w:t>
            </w:r>
          </w:p>
        </w:tc>
      </w:tr>
      <w:tr w:rsidR="002F590A" w14:paraId="768E1215" w14:textId="77777777" w:rsidTr="002F590A">
        <w:trPr>
          <w:trHeight w:val="20"/>
        </w:trPr>
        <w:tc>
          <w:tcPr>
            <w:tcW w:w="5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4A28384" w14:textId="77777777" w:rsidR="002F590A" w:rsidRDefault="002F590A">
            <w:pPr>
              <w:jc w:val="center"/>
              <w:rPr>
                <w:color w:val="000000"/>
                <w:sz w:val="20"/>
                <w:szCs w:val="20"/>
              </w:rPr>
            </w:pPr>
            <w:r>
              <w:rPr>
                <w:color w:val="000000"/>
                <w:sz w:val="20"/>
                <w:szCs w:val="20"/>
              </w:rPr>
              <w:t>1.2.</w:t>
            </w:r>
          </w:p>
        </w:tc>
        <w:tc>
          <w:tcPr>
            <w:tcW w:w="275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99C0D08" w14:textId="77777777" w:rsidR="002F590A" w:rsidRDefault="002F590A">
            <w:pPr>
              <w:jc w:val="center"/>
              <w:rPr>
                <w:color w:val="000000"/>
                <w:sz w:val="20"/>
                <w:szCs w:val="20"/>
              </w:rPr>
            </w:pPr>
            <w:r>
              <w:rPr>
                <w:color w:val="000000"/>
                <w:sz w:val="20"/>
                <w:szCs w:val="20"/>
              </w:rPr>
              <w:t>прибыль, направленная на инвестиции</w:t>
            </w:r>
          </w:p>
        </w:tc>
        <w:tc>
          <w:tcPr>
            <w:tcW w:w="15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2ACE0F2" w14:textId="77777777" w:rsidR="002F590A" w:rsidRDefault="002F590A">
            <w:pPr>
              <w:jc w:val="center"/>
              <w:rPr>
                <w:color w:val="000000"/>
                <w:sz w:val="20"/>
                <w:szCs w:val="20"/>
              </w:rPr>
            </w:pPr>
            <w:bookmarkStart w:id="86" w:name="_Hlk90285375"/>
            <w:r>
              <w:rPr>
                <w:color w:val="000000"/>
                <w:sz w:val="20"/>
                <w:szCs w:val="20"/>
              </w:rPr>
              <w:t>2 524,50</w:t>
            </w:r>
            <w:bookmarkEnd w:id="86"/>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D3E731D" w14:textId="77777777" w:rsidR="002F590A" w:rsidRDefault="002F590A">
            <w:pPr>
              <w:jc w:val="center"/>
              <w:rPr>
                <w:color w:val="000000"/>
                <w:sz w:val="20"/>
                <w:szCs w:val="20"/>
              </w:rPr>
            </w:pPr>
            <w:r>
              <w:rPr>
                <w:color w:val="000000"/>
                <w:sz w:val="20"/>
                <w:szCs w:val="20"/>
              </w:rPr>
              <w:t>0,00</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FD2F926" w14:textId="77777777" w:rsidR="002F590A" w:rsidRDefault="002F590A">
            <w:pPr>
              <w:jc w:val="center"/>
              <w:rPr>
                <w:color w:val="000000"/>
                <w:sz w:val="20"/>
                <w:szCs w:val="20"/>
              </w:rPr>
            </w:pPr>
            <w:r>
              <w:rPr>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BAD09F0" w14:textId="77777777" w:rsidR="002F590A" w:rsidRDefault="002F590A">
            <w:pPr>
              <w:jc w:val="center"/>
              <w:rPr>
                <w:color w:val="000000"/>
                <w:sz w:val="20"/>
                <w:szCs w:val="20"/>
              </w:rPr>
            </w:pPr>
            <w:r>
              <w:rPr>
                <w:color w:val="000000"/>
                <w:sz w:val="20"/>
                <w:szCs w:val="20"/>
              </w:rPr>
              <w:t>2 524,50</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862FB93" w14:textId="77777777" w:rsidR="002F590A" w:rsidRDefault="002F590A">
            <w:pPr>
              <w:jc w:val="center"/>
              <w:rPr>
                <w:color w:val="000000"/>
                <w:sz w:val="20"/>
                <w:szCs w:val="20"/>
              </w:rPr>
            </w:pPr>
            <w:r>
              <w:rPr>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85A29DD" w14:textId="77777777" w:rsidR="002F590A" w:rsidRDefault="002F590A">
            <w:pPr>
              <w:jc w:val="center"/>
              <w:rPr>
                <w:color w:val="000000"/>
                <w:sz w:val="20"/>
                <w:szCs w:val="20"/>
              </w:rPr>
            </w:pPr>
            <w:r>
              <w:rPr>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604FFF7" w14:textId="77777777" w:rsidR="002F590A" w:rsidRDefault="002F590A">
            <w:pPr>
              <w:jc w:val="center"/>
              <w:rPr>
                <w:color w:val="000000"/>
                <w:sz w:val="20"/>
                <w:szCs w:val="20"/>
              </w:rPr>
            </w:pPr>
            <w:r>
              <w:rPr>
                <w:color w:val="000000"/>
                <w:sz w:val="20"/>
                <w:szCs w:val="20"/>
              </w:rPr>
              <w:t>0,00</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8DC8A28" w14:textId="77777777" w:rsidR="002F590A" w:rsidRDefault="002F590A">
            <w:pPr>
              <w:jc w:val="center"/>
              <w:rPr>
                <w:color w:val="000000"/>
                <w:sz w:val="20"/>
                <w:szCs w:val="20"/>
              </w:rPr>
            </w:pPr>
            <w:r>
              <w:rPr>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FAD2228" w14:textId="77777777" w:rsidR="002F590A" w:rsidRDefault="002F590A">
            <w:pPr>
              <w:jc w:val="center"/>
              <w:rPr>
                <w:color w:val="000000"/>
                <w:sz w:val="20"/>
                <w:szCs w:val="20"/>
              </w:rPr>
            </w:pPr>
            <w:r>
              <w:rPr>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0043B83" w14:textId="77777777" w:rsidR="002F590A" w:rsidRDefault="002F590A">
            <w:pPr>
              <w:jc w:val="center"/>
              <w:rPr>
                <w:color w:val="000000"/>
                <w:sz w:val="20"/>
                <w:szCs w:val="20"/>
              </w:rPr>
            </w:pPr>
            <w:r>
              <w:rPr>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D6BE87C" w14:textId="77777777" w:rsidR="002F590A" w:rsidRDefault="002F590A">
            <w:pPr>
              <w:jc w:val="center"/>
              <w:rPr>
                <w:color w:val="000000"/>
                <w:sz w:val="20"/>
                <w:szCs w:val="20"/>
              </w:rPr>
            </w:pPr>
            <w:r>
              <w:rPr>
                <w:color w:val="000000"/>
                <w:sz w:val="20"/>
                <w:szCs w:val="20"/>
              </w:rPr>
              <w:t>0,00</w:t>
            </w:r>
          </w:p>
        </w:tc>
        <w:tc>
          <w:tcPr>
            <w:tcW w:w="9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FC292FF" w14:textId="77777777" w:rsidR="002F590A" w:rsidRDefault="002F590A">
            <w:pPr>
              <w:jc w:val="center"/>
              <w:rPr>
                <w:color w:val="000000"/>
                <w:sz w:val="20"/>
                <w:szCs w:val="20"/>
              </w:rPr>
            </w:pPr>
            <w:r>
              <w:rPr>
                <w:color w:val="000000"/>
                <w:sz w:val="20"/>
                <w:szCs w:val="20"/>
              </w:rPr>
              <w:t>0,00</w:t>
            </w:r>
          </w:p>
        </w:tc>
      </w:tr>
      <w:tr w:rsidR="002F590A" w14:paraId="293E5C7D" w14:textId="77777777" w:rsidTr="002F590A">
        <w:trPr>
          <w:trHeight w:val="20"/>
        </w:trPr>
        <w:tc>
          <w:tcPr>
            <w:tcW w:w="5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3589A7A" w14:textId="77777777" w:rsidR="002F590A" w:rsidRDefault="002F590A">
            <w:pPr>
              <w:jc w:val="center"/>
              <w:rPr>
                <w:color w:val="000000"/>
                <w:sz w:val="20"/>
                <w:szCs w:val="20"/>
              </w:rPr>
            </w:pPr>
            <w:r>
              <w:rPr>
                <w:color w:val="000000"/>
                <w:sz w:val="20"/>
                <w:szCs w:val="20"/>
              </w:rPr>
              <w:t>1.3.</w:t>
            </w:r>
          </w:p>
        </w:tc>
        <w:tc>
          <w:tcPr>
            <w:tcW w:w="275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92B150F" w14:textId="77777777" w:rsidR="002F590A" w:rsidRDefault="002F590A">
            <w:pPr>
              <w:jc w:val="center"/>
              <w:rPr>
                <w:color w:val="000000"/>
                <w:sz w:val="20"/>
                <w:szCs w:val="20"/>
              </w:rPr>
            </w:pPr>
            <w:r>
              <w:rPr>
                <w:color w:val="000000"/>
                <w:sz w:val="20"/>
                <w:szCs w:val="20"/>
              </w:rPr>
              <w:t>средства, полученные за счет платы за подключение</w:t>
            </w:r>
          </w:p>
        </w:tc>
        <w:tc>
          <w:tcPr>
            <w:tcW w:w="15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4D3B904" w14:textId="77777777" w:rsidR="002F590A" w:rsidRDefault="002F590A">
            <w:pPr>
              <w:jc w:val="center"/>
              <w:rPr>
                <w:color w:val="000000"/>
                <w:sz w:val="20"/>
                <w:szCs w:val="20"/>
              </w:rPr>
            </w:pPr>
            <w:r>
              <w:rPr>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096D9CC2" w14:textId="77777777" w:rsidR="002F590A" w:rsidRDefault="002F590A">
            <w:pPr>
              <w:jc w:val="center"/>
              <w:rPr>
                <w:color w:val="000000"/>
                <w:sz w:val="20"/>
                <w:szCs w:val="20"/>
              </w:rPr>
            </w:pPr>
            <w:r>
              <w:rPr>
                <w:color w:val="000000"/>
                <w:sz w:val="20"/>
                <w:szCs w:val="20"/>
              </w:rPr>
              <w:t>0,00</w:t>
            </w:r>
          </w:p>
        </w:tc>
        <w:tc>
          <w:tcPr>
            <w:tcW w:w="99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hideMark/>
          </w:tcPr>
          <w:p w14:paraId="4D236AD5" w14:textId="77777777" w:rsidR="002F590A" w:rsidRDefault="002F590A">
            <w:pPr>
              <w:jc w:val="center"/>
              <w:rPr>
                <w:color w:val="000000"/>
                <w:sz w:val="20"/>
                <w:szCs w:val="20"/>
              </w:rPr>
            </w:pPr>
            <w:r>
              <w:rPr>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2C65B99" w14:textId="77777777" w:rsidR="002F590A" w:rsidRDefault="002F590A">
            <w:pPr>
              <w:jc w:val="center"/>
              <w:rPr>
                <w:color w:val="000000"/>
                <w:sz w:val="20"/>
                <w:szCs w:val="20"/>
              </w:rPr>
            </w:pPr>
            <w:r>
              <w:rPr>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EB4DDD6" w14:textId="77777777" w:rsidR="002F590A" w:rsidRDefault="002F590A">
            <w:pPr>
              <w:jc w:val="center"/>
              <w:rPr>
                <w:color w:val="000000"/>
                <w:sz w:val="20"/>
                <w:szCs w:val="20"/>
              </w:rPr>
            </w:pPr>
            <w:r>
              <w:rPr>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BAF521B" w14:textId="77777777" w:rsidR="002F590A" w:rsidRDefault="002F590A">
            <w:pPr>
              <w:jc w:val="center"/>
              <w:rPr>
                <w:color w:val="000000"/>
                <w:sz w:val="20"/>
                <w:szCs w:val="20"/>
              </w:rPr>
            </w:pPr>
            <w:r>
              <w:rPr>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FED96EB" w14:textId="77777777" w:rsidR="002F590A" w:rsidRDefault="002F590A">
            <w:pPr>
              <w:jc w:val="center"/>
              <w:rPr>
                <w:color w:val="000000"/>
                <w:sz w:val="20"/>
                <w:szCs w:val="20"/>
              </w:rPr>
            </w:pPr>
            <w:r>
              <w:rPr>
                <w:color w:val="000000"/>
                <w:sz w:val="20"/>
                <w:szCs w:val="20"/>
              </w:rPr>
              <w:t>0,00</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8C3AFA7" w14:textId="77777777" w:rsidR="002F590A" w:rsidRDefault="002F590A">
            <w:pPr>
              <w:jc w:val="center"/>
              <w:rPr>
                <w:color w:val="000000"/>
                <w:sz w:val="20"/>
                <w:szCs w:val="20"/>
              </w:rPr>
            </w:pPr>
            <w:r>
              <w:rPr>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636844A" w14:textId="77777777" w:rsidR="002F590A" w:rsidRDefault="002F590A">
            <w:pPr>
              <w:jc w:val="center"/>
              <w:rPr>
                <w:color w:val="000000"/>
                <w:sz w:val="20"/>
                <w:szCs w:val="20"/>
              </w:rPr>
            </w:pPr>
            <w:r>
              <w:rPr>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47DF6EE" w14:textId="77777777" w:rsidR="002F590A" w:rsidRDefault="002F590A">
            <w:pPr>
              <w:jc w:val="center"/>
              <w:rPr>
                <w:color w:val="000000"/>
                <w:sz w:val="20"/>
                <w:szCs w:val="20"/>
              </w:rPr>
            </w:pPr>
            <w:r>
              <w:rPr>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F76DF73" w14:textId="77777777" w:rsidR="002F590A" w:rsidRDefault="002F590A">
            <w:pPr>
              <w:jc w:val="center"/>
              <w:rPr>
                <w:color w:val="000000"/>
                <w:sz w:val="20"/>
                <w:szCs w:val="20"/>
              </w:rPr>
            </w:pPr>
            <w:r>
              <w:rPr>
                <w:color w:val="000000"/>
                <w:sz w:val="20"/>
                <w:szCs w:val="20"/>
              </w:rPr>
              <w:t>0,00</w:t>
            </w:r>
          </w:p>
        </w:tc>
        <w:tc>
          <w:tcPr>
            <w:tcW w:w="9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E673A90" w14:textId="77777777" w:rsidR="002F590A" w:rsidRDefault="002F590A">
            <w:pPr>
              <w:jc w:val="center"/>
              <w:rPr>
                <w:color w:val="000000"/>
                <w:sz w:val="20"/>
                <w:szCs w:val="20"/>
              </w:rPr>
            </w:pPr>
            <w:r>
              <w:rPr>
                <w:color w:val="000000"/>
                <w:sz w:val="20"/>
                <w:szCs w:val="20"/>
              </w:rPr>
              <w:t>0,00</w:t>
            </w:r>
          </w:p>
        </w:tc>
      </w:tr>
      <w:tr w:rsidR="002F590A" w14:paraId="2194A412" w14:textId="77777777" w:rsidTr="002F590A">
        <w:trPr>
          <w:trHeight w:val="20"/>
        </w:trPr>
        <w:tc>
          <w:tcPr>
            <w:tcW w:w="5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86EE766" w14:textId="77777777" w:rsidR="002F590A" w:rsidRDefault="002F590A">
            <w:pPr>
              <w:jc w:val="center"/>
              <w:rPr>
                <w:color w:val="000000"/>
                <w:sz w:val="20"/>
                <w:szCs w:val="20"/>
              </w:rPr>
            </w:pPr>
            <w:r>
              <w:rPr>
                <w:color w:val="000000"/>
                <w:sz w:val="20"/>
                <w:szCs w:val="20"/>
              </w:rPr>
              <w:t>1.4.</w:t>
            </w:r>
          </w:p>
        </w:tc>
        <w:tc>
          <w:tcPr>
            <w:tcW w:w="275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1B0128A" w14:textId="77777777" w:rsidR="002F590A" w:rsidRDefault="002F590A">
            <w:pPr>
              <w:jc w:val="center"/>
              <w:rPr>
                <w:color w:val="000000"/>
                <w:sz w:val="20"/>
                <w:szCs w:val="20"/>
              </w:rPr>
            </w:pPr>
            <w:r>
              <w:rPr>
                <w:color w:val="000000"/>
                <w:sz w:val="20"/>
                <w:szCs w:val="20"/>
              </w:rPr>
              <w:t>прочие собственные средства, в т.ч. средства от эмиссии ценных бумаг</w:t>
            </w:r>
          </w:p>
        </w:tc>
        <w:tc>
          <w:tcPr>
            <w:tcW w:w="15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AC413D8" w14:textId="77777777" w:rsidR="002F590A" w:rsidRDefault="002F590A">
            <w:pPr>
              <w:jc w:val="center"/>
              <w:rPr>
                <w:color w:val="000000"/>
                <w:sz w:val="20"/>
                <w:szCs w:val="20"/>
              </w:rPr>
            </w:pPr>
            <w:r>
              <w:rPr>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F3A2BE5" w14:textId="77777777" w:rsidR="002F590A" w:rsidRDefault="002F590A">
            <w:pPr>
              <w:jc w:val="center"/>
              <w:rPr>
                <w:color w:val="000000"/>
                <w:sz w:val="20"/>
                <w:szCs w:val="20"/>
              </w:rPr>
            </w:pPr>
            <w:r>
              <w:rPr>
                <w:color w:val="000000"/>
                <w:sz w:val="20"/>
                <w:szCs w:val="20"/>
              </w:rPr>
              <w:t>0,00</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5B2D5A5" w14:textId="77777777" w:rsidR="002F590A" w:rsidRDefault="002F590A">
            <w:pPr>
              <w:jc w:val="center"/>
              <w:rPr>
                <w:color w:val="000000"/>
                <w:sz w:val="20"/>
                <w:szCs w:val="20"/>
              </w:rPr>
            </w:pPr>
            <w:r>
              <w:rPr>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8BAF288" w14:textId="77777777" w:rsidR="002F590A" w:rsidRDefault="002F590A">
            <w:pPr>
              <w:jc w:val="center"/>
              <w:rPr>
                <w:color w:val="000000"/>
                <w:sz w:val="20"/>
                <w:szCs w:val="20"/>
              </w:rPr>
            </w:pPr>
            <w:r>
              <w:rPr>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6F73235" w14:textId="77777777" w:rsidR="002F590A" w:rsidRDefault="002F590A">
            <w:pPr>
              <w:jc w:val="center"/>
              <w:rPr>
                <w:color w:val="000000"/>
                <w:sz w:val="20"/>
                <w:szCs w:val="20"/>
              </w:rPr>
            </w:pPr>
            <w:r>
              <w:rPr>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44DFD30" w14:textId="77777777" w:rsidR="002F590A" w:rsidRDefault="002F590A">
            <w:pPr>
              <w:jc w:val="center"/>
              <w:rPr>
                <w:color w:val="000000"/>
                <w:sz w:val="20"/>
                <w:szCs w:val="20"/>
              </w:rPr>
            </w:pPr>
            <w:r>
              <w:rPr>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EF6DD6D" w14:textId="77777777" w:rsidR="002F590A" w:rsidRDefault="002F590A">
            <w:pPr>
              <w:jc w:val="center"/>
              <w:rPr>
                <w:color w:val="000000"/>
                <w:sz w:val="20"/>
                <w:szCs w:val="20"/>
              </w:rPr>
            </w:pPr>
            <w:r>
              <w:rPr>
                <w:color w:val="000000"/>
                <w:sz w:val="20"/>
                <w:szCs w:val="20"/>
              </w:rPr>
              <w:t>0,00</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F9960E9" w14:textId="77777777" w:rsidR="002F590A" w:rsidRDefault="002F590A">
            <w:pPr>
              <w:jc w:val="center"/>
              <w:rPr>
                <w:color w:val="000000"/>
                <w:sz w:val="20"/>
                <w:szCs w:val="20"/>
              </w:rPr>
            </w:pPr>
            <w:r>
              <w:rPr>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A279AF8" w14:textId="77777777" w:rsidR="002F590A" w:rsidRDefault="002F590A">
            <w:pPr>
              <w:jc w:val="center"/>
              <w:rPr>
                <w:color w:val="000000"/>
                <w:sz w:val="20"/>
                <w:szCs w:val="20"/>
              </w:rPr>
            </w:pPr>
            <w:r>
              <w:rPr>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C70EB25" w14:textId="77777777" w:rsidR="002F590A" w:rsidRDefault="002F590A">
            <w:pPr>
              <w:jc w:val="center"/>
              <w:rPr>
                <w:color w:val="000000"/>
                <w:sz w:val="20"/>
                <w:szCs w:val="20"/>
              </w:rPr>
            </w:pPr>
            <w:r>
              <w:rPr>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2F9B61F" w14:textId="77777777" w:rsidR="002F590A" w:rsidRDefault="002F590A">
            <w:pPr>
              <w:jc w:val="center"/>
              <w:rPr>
                <w:color w:val="000000"/>
                <w:sz w:val="20"/>
                <w:szCs w:val="20"/>
              </w:rPr>
            </w:pPr>
            <w:r>
              <w:rPr>
                <w:color w:val="000000"/>
                <w:sz w:val="20"/>
                <w:szCs w:val="20"/>
              </w:rPr>
              <w:t>0,00</w:t>
            </w:r>
          </w:p>
        </w:tc>
        <w:tc>
          <w:tcPr>
            <w:tcW w:w="9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0CC8845" w14:textId="77777777" w:rsidR="002F590A" w:rsidRDefault="002F590A">
            <w:pPr>
              <w:jc w:val="center"/>
              <w:rPr>
                <w:color w:val="000000"/>
                <w:sz w:val="20"/>
                <w:szCs w:val="20"/>
              </w:rPr>
            </w:pPr>
            <w:r>
              <w:rPr>
                <w:color w:val="000000"/>
                <w:sz w:val="20"/>
                <w:szCs w:val="20"/>
              </w:rPr>
              <w:t>0,00</w:t>
            </w:r>
          </w:p>
        </w:tc>
      </w:tr>
      <w:tr w:rsidR="002F590A" w14:paraId="0213CCDE" w14:textId="77777777" w:rsidTr="002F590A">
        <w:trPr>
          <w:trHeight w:val="20"/>
        </w:trPr>
        <w:tc>
          <w:tcPr>
            <w:tcW w:w="5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E671AAF" w14:textId="77777777" w:rsidR="002F590A" w:rsidRDefault="002F590A">
            <w:pPr>
              <w:jc w:val="center"/>
              <w:rPr>
                <w:color w:val="000000"/>
                <w:sz w:val="20"/>
                <w:szCs w:val="20"/>
              </w:rPr>
            </w:pPr>
            <w:r>
              <w:rPr>
                <w:color w:val="000000"/>
                <w:sz w:val="20"/>
                <w:szCs w:val="20"/>
              </w:rPr>
              <w:t xml:space="preserve">   2.</w:t>
            </w:r>
          </w:p>
        </w:tc>
        <w:tc>
          <w:tcPr>
            <w:tcW w:w="275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47784BD" w14:textId="77777777" w:rsidR="002F590A" w:rsidRDefault="002F590A">
            <w:pPr>
              <w:jc w:val="center"/>
              <w:rPr>
                <w:color w:val="000000"/>
                <w:sz w:val="20"/>
                <w:szCs w:val="20"/>
              </w:rPr>
            </w:pPr>
            <w:r>
              <w:rPr>
                <w:color w:val="000000"/>
                <w:sz w:val="20"/>
                <w:szCs w:val="20"/>
              </w:rPr>
              <w:t>Привлеченные средства</w:t>
            </w:r>
          </w:p>
        </w:tc>
        <w:tc>
          <w:tcPr>
            <w:tcW w:w="15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82C2657" w14:textId="77777777" w:rsidR="002F590A" w:rsidRDefault="002F590A">
            <w:pPr>
              <w:jc w:val="center"/>
              <w:rPr>
                <w:color w:val="000000"/>
                <w:sz w:val="20"/>
                <w:szCs w:val="20"/>
              </w:rPr>
            </w:pPr>
            <w:r>
              <w:rPr>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0C7D617" w14:textId="77777777" w:rsidR="002F590A" w:rsidRDefault="002F590A">
            <w:pPr>
              <w:jc w:val="center"/>
              <w:rPr>
                <w:color w:val="000000"/>
                <w:sz w:val="20"/>
                <w:szCs w:val="20"/>
              </w:rPr>
            </w:pPr>
            <w:r>
              <w:rPr>
                <w:color w:val="000000"/>
                <w:sz w:val="20"/>
                <w:szCs w:val="20"/>
              </w:rPr>
              <w:t>0,00</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D6CD4D9" w14:textId="77777777" w:rsidR="002F590A" w:rsidRDefault="002F590A">
            <w:pPr>
              <w:jc w:val="center"/>
              <w:rPr>
                <w:color w:val="000000"/>
                <w:sz w:val="20"/>
                <w:szCs w:val="20"/>
              </w:rPr>
            </w:pPr>
            <w:r>
              <w:rPr>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32E4DEB" w14:textId="77777777" w:rsidR="002F590A" w:rsidRDefault="002F590A">
            <w:pPr>
              <w:jc w:val="center"/>
              <w:rPr>
                <w:color w:val="000000"/>
                <w:sz w:val="20"/>
                <w:szCs w:val="20"/>
              </w:rPr>
            </w:pPr>
            <w:r>
              <w:rPr>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270017B" w14:textId="77777777" w:rsidR="002F590A" w:rsidRDefault="002F590A">
            <w:pPr>
              <w:jc w:val="center"/>
              <w:rPr>
                <w:color w:val="000000"/>
                <w:sz w:val="20"/>
                <w:szCs w:val="20"/>
              </w:rPr>
            </w:pPr>
            <w:r>
              <w:rPr>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DF5AA5B" w14:textId="77777777" w:rsidR="002F590A" w:rsidRDefault="002F590A">
            <w:pPr>
              <w:jc w:val="center"/>
              <w:rPr>
                <w:color w:val="000000"/>
                <w:sz w:val="20"/>
                <w:szCs w:val="20"/>
              </w:rPr>
            </w:pPr>
            <w:r>
              <w:rPr>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4953EF9" w14:textId="77777777" w:rsidR="002F590A" w:rsidRDefault="002F590A">
            <w:pPr>
              <w:jc w:val="center"/>
              <w:rPr>
                <w:color w:val="000000"/>
                <w:sz w:val="20"/>
                <w:szCs w:val="20"/>
              </w:rPr>
            </w:pPr>
            <w:r>
              <w:rPr>
                <w:color w:val="000000"/>
                <w:sz w:val="20"/>
                <w:szCs w:val="20"/>
              </w:rPr>
              <w:t>0,00</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C9DAF19" w14:textId="77777777" w:rsidR="002F590A" w:rsidRDefault="002F590A">
            <w:pPr>
              <w:jc w:val="center"/>
              <w:rPr>
                <w:color w:val="000000"/>
                <w:sz w:val="20"/>
                <w:szCs w:val="20"/>
              </w:rPr>
            </w:pPr>
            <w:r>
              <w:rPr>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853275A" w14:textId="77777777" w:rsidR="002F590A" w:rsidRDefault="002F590A">
            <w:pPr>
              <w:jc w:val="center"/>
              <w:rPr>
                <w:color w:val="000000"/>
                <w:sz w:val="20"/>
                <w:szCs w:val="20"/>
              </w:rPr>
            </w:pPr>
            <w:r>
              <w:rPr>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919764C" w14:textId="77777777" w:rsidR="002F590A" w:rsidRDefault="002F590A">
            <w:pPr>
              <w:jc w:val="center"/>
              <w:rPr>
                <w:color w:val="000000"/>
                <w:sz w:val="20"/>
                <w:szCs w:val="20"/>
              </w:rPr>
            </w:pPr>
            <w:r>
              <w:rPr>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0DC09D8" w14:textId="77777777" w:rsidR="002F590A" w:rsidRDefault="002F590A">
            <w:pPr>
              <w:jc w:val="center"/>
              <w:rPr>
                <w:color w:val="000000"/>
                <w:sz w:val="20"/>
                <w:szCs w:val="20"/>
              </w:rPr>
            </w:pPr>
            <w:r>
              <w:rPr>
                <w:color w:val="000000"/>
                <w:sz w:val="20"/>
                <w:szCs w:val="20"/>
              </w:rPr>
              <w:t>0,00</w:t>
            </w:r>
          </w:p>
        </w:tc>
        <w:tc>
          <w:tcPr>
            <w:tcW w:w="9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4725AD8" w14:textId="77777777" w:rsidR="002F590A" w:rsidRDefault="002F590A">
            <w:pPr>
              <w:jc w:val="center"/>
              <w:rPr>
                <w:color w:val="000000"/>
                <w:sz w:val="20"/>
                <w:szCs w:val="20"/>
              </w:rPr>
            </w:pPr>
            <w:r>
              <w:rPr>
                <w:color w:val="000000"/>
                <w:sz w:val="20"/>
                <w:szCs w:val="20"/>
              </w:rPr>
              <w:t>0,00</w:t>
            </w:r>
          </w:p>
        </w:tc>
      </w:tr>
      <w:tr w:rsidR="002F590A" w14:paraId="5551AF8D" w14:textId="77777777" w:rsidTr="002F590A">
        <w:trPr>
          <w:trHeight w:val="20"/>
        </w:trPr>
        <w:tc>
          <w:tcPr>
            <w:tcW w:w="5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CA708B2" w14:textId="77777777" w:rsidR="002F590A" w:rsidRDefault="002F590A">
            <w:pPr>
              <w:jc w:val="center"/>
              <w:rPr>
                <w:color w:val="000000"/>
                <w:sz w:val="20"/>
                <w:szCs w:val="20"/>
              </w:rPr>
            </w:pPr>
            <w:r>
              <w:rPr>
                <w:color w:val="000000"/>
                <w:sz w:val="20"/>
                <w:szCs w:val="20"/>
              </w:rPr>
              <w:t>2.1.</w:t>
            </w:r>
          </w:p>
        </w:tc>
        <w:tc>
          <w:tcPr>
            <w:tcW w:w="275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F058506" w14:textId="77777777" w:rsidR="002F590A" w:rsidRDefault="002F590A">
            <w:pPr>
              <w:jc w:val="center"/>
              <w:rPr>
                <w:color w:val="000000"/>
                <w:sz w:val="20"/>
                <w:szCs w:val="20"/>
              </w:rPr>
            </w:pPr>
            <w:r>
              <w:rPr>
                <w:color w:val="000000"/>
                <w:sz w:val="20"/>
                <w:szCs w:val="20"/>
              </w:rPr>
              <w:t>кредиты</w:t>
            </w:r>
          </w:p>
        </w:tc>
        <w:tc>
          <w:tcPr>
            <w:tcW w:w="15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1CCFCA3" w14:textId="77777777" w:rsidR="002F590A" w:rsidRDefault="002F590A">
            <w:pPr>
              <w:jc w:val="center"/>
              <w:rPr>
                <w:color w:val="000000"/>
                <w:sz w:val="20"/>
                <w:szCs w:val="20"/>
              </w:rPr>
            </w:pPr>
            <w:r>
              <w:rPr>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004E1AA" w14:textId="77777777" w:rsidR="002F590A" w:rsidRDefault="002F590A">
            <w:pPr>
              <w:jc w:val="center"/>
              <w:rPr>
                <w:color w:val="000000"/>
                <w:sz w:val="20"/>
                <w:szCs w:val="20"/>
              </w:rPr>
            </w:pPr>
            <w:r>
              <w:rPr>
                <w:color w:val="000000"/>
                <w:sz w:val="20"/>
                <w:szCs w:val="20"/>
              </w:rPr>
              <w:t>0,00</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652188B" w14:textId="77777777" w:rsidR="002F590A" w:rsidRDefault="002F590A">
            <w:pPr>
              <w:jc w:val="center"/>
              <w:rPr>
                <w:color w:val="000000"/>
                <w:sz w:val="20"/>
                <w:szCs w:val="20"/>
              </w:rPr>
            </w:pPr>
            <w:r>
              <w:rPr>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684418B" w14:textId="77777777" w:rsidR="002F590A" w:rsidRDefault="002F590A">
            <w:pPr>
              <w:jc w:val="center"/>
              <w:rPr>
                <w:color w:val="000000"/>
                <w:sz w:val="20"/>
                <w:szCs w:val="20"/>
              </w:rPr>
            </w:pPr>
            <w:r>
              <w:rPr>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AD36269" w14:textId="77777777" w:rsidR="002F590A" w:rsidRDefault="002F590A">
            <w:pPr>
              <w:jc w:val="center"/>
              <w:rPr>
                <w:color w:val="000000"/>
                <w:sz w:val="20"/>
                <w:szCs w:val="20"/>
              </w:rPr>
            </w:pPr>
            <w:r>
              <w:rPr>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A734C16" w14:textId="77777777" w:rsidR="002F590A" w:rsidRDefault="002F590A">
            <w:pPr>
              <w:jc w:val="center"/>
              <w:rPr>
                <w:color w:val="000000"/>
                <w:sz w:val="20"/>
                <w:szCs w:val="20"/>
              </w:rPr>
            </w:pPr>
            <w:r>
              <w:rPr>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43A97DF" w14:textId="77777777" w:rsidR="002F590A" w:rsidRDefault="002F590A">
            <w:pPr>
              <w:jc w:val="center"/>
              <w:rPr>
                <w:color w:val="000000"/>
                <w:sz w:val="20"/>
                <w:szCs w:val="20"/>
              </w:rPr>
            </w:pPr>
            <w:r>
              <w:rPr>
                <w:color w:val="000000"/>
                <w:sz w:val="20"/>
                <w:szCs w:val="20"/>
              </w:rPr>
              <w:t>0,00</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6E12279" w14:textId="77777777" w:rsidR="002F590A" w:rsidRDefault="002F590A">
            <w:pPr>
              <w:jc w:val="center"/>
              <w:rPr>
                <w:color w:val="000000"/>
                <w:sz w:val="20"/>
                <w:szCs w:val="20"/>
              </w:rPr>
            </w:pPr>
            <w:r>
              <w:rPr>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5F45B57" w14:textId="77777777" w:rsidR="002F590A" w:rsidRDefault="002F590A">
            <w:pPr>
              <w:jc w:val="center"/>
              <w:rPr>
                <w:color w:val="000000"/>
                <w:sz w:val="20"/>
                <w:szCs w:val="20"/>
              </w:rPr>
            </w:pPr>
            <w:r>
              <w:rPr>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A60FB35" w14:textId="77777777" w:rsidR="002F590A" w:rsidRDefault="002F590A">
            <w:pPr>
              <w:jc w:val="center"/>
              <w:rPr>
                <w:color w:val="000000"/>
                <w:sz w:val="20"/>
                <w:szCs w:val="20"/>
              </w:rPr>
            </w:pPr>
            <w:r>
              <w:rPr>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59221F5" w14:textId="77777777" w:rsidR="002F590A" w:rsidRDefault="002F590A">
            <w:pPr>
              <w:jc w:val="center"/>
              <w:rPr>
                <w:color w:val="000000"/>
                <w:sz w:val="20"/>
                <w:szCs w:val="20"/>
              </w:rPr>
            </w:pPr>
            <w:r>
              <w:rPr>
                <w:color w:val="000000"/>
                <w:sz w:val="20"/>
                <w:szCs w:val="20"/>
              </w:rPr>
              <w:t>0,00</w:t>
            </w:r>
          </w:p>
        </w:tc>
        <w:tc>
          <w:tcPr>
            <w:tcW w:w="9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22D7796" w14:textId="77777777" w:rsidR="002F590A" w:rsidRDefault="002F590A">
            <w:pPr>
              <w:jc w:val="center"/>
              <w:rPr>
                <w:color w:val="000000"/>
                <w:sz w:val="20"/>
                <w:szCs w:val="20"/>
              </w:rPr>
            </w:pPr>
            <w:r>
              <w:rPr>
                <w:color w:val="000000"/>
                <w:sz w:val="20"/>
                <w:szCs w:val="20"/>
              </w:rPr>
              <w:t>0,00</w:t>
            </w:r>
          </w:p>
        </w:tc>
      </w:tr>
      <w:tr w:rsidR="002F590A" w14:paraId="035E833F" w14:textId="77777777" w:rsidTr="002F590A">
        <w:trPr>
          <w:trHeight w:val="20"/>
        </w:trPr>
        <w:tc>
          <w:tcPr>
            <w:tcW w:w="5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9C88A04" w14:textId="77777777" w:rsidR="002F590A" w:rsidRDefault="002F590A">
            <w:pPr>
              <w:jc w:val="center"/>
              <w:rPr>
                <w:color w:val="000000"/>
                <w:sz w:val="20"/>
                <w:szCs w:val="20"/>
              </w:rPr>
            </w:pPr>
            <w:r>
              <w:rPr>
                <w:color w:val="000000"/>
                <w:sz w:val="20"/>
                <w:szCs w:val="20"/>
              </w:rPr>
              <w:t>2.2.</w:t>
            </w:r>
          </w:p>
        </w:tc>
        <w:tc>
          <w:tcPr>
            <w:tcW w:w="275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D639477" w14:textId="77777777" w:rsidR="002F590A" w:rsidRDefault="002F590A">
            <w:pPr>
              <w:jc w:val="center"/>
              <w:rPr>
                <w:color w:val="000000"/>
                <w:sz w:val="20"/>
                <w:szCs w:val="20"/>
              </w:rPr>
            </w:pPr>
            <w:r>
              <w:rPr>
                <w:color w:val="000000"/>
                <w:sz w:val="20"/>
                <w:szCs w:val="20"/>
              </w:rPr>
              <w:t>займы организаций</w:t>
            </w:r>
          </w:p>
        </w:tc>
        <w:tc>
          <w:tcPr>
            <w:tcW w:w="15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0439157" w14:textId="77777777" w:rsidR="002F590A" w:rsidRDefault="002F590A">
            <w:pPr>
              <w:jc w:val="center"/>
              <w:rPr>
                <w:color w:val="000000"/>
                <w:sz w:val="20"/>
                <w:szCs w:val="20"/>
              </w:rPr>
            </w:pPr>
            <w:r>
              <w:rPr>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B2B96F7" w14:textId="77777777" w:rsidR="002F590A" w:rsidRDefault="002F590A">
            <w:pPr>
              <w:jc w:val="center"/>
              <w:rPr>
                <w:color w:val="000000"/>
                <w:sz w:val="20"/>
                <w:szCs w:val="20"/>
              </w:rPr>
            </w:pPr>
            <w:r>
              <w:rPr>
                <w:color w:val="000000"/>
                <w:sz w:val="20"/>
                <w:szCs w:val="20"/>
              </w:rPr>
              <w:t>0,00</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24B4BD5" w14:textId="77777777" w:rsidR="002F590A" w:rsidRDefault="002F590A">
            <w:pPr>
              <w:jc w:val="center"/>
              <w:rPr>
                <w:color w:val="000000"/>
                <w:sz w:val="20"/>
                <w:szCs w:val="20"/>
              </w:rPr>
            </w:pPr>
            <w:r>
              <w:rPr>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DA91CDE" w14:textId="77777777" w:rsidR="002F590A" w:rsidRDefault="002F590A">
            <w:pPr>
              <w:jc w:val="center"/>
              <w:rPr>
                <w:color w:val="000000"/>
                <w:sz w:val="20"/>
                <w:szCs w:val="20"/>
              </w:rPr>
            </w:pPr>
            <w:r>
              <w:rPr>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BC55F77" w14:textId="77777777" w:rsidR="002F590A" w:rsidRDefault="002F590A">
            <w:pPr>
              <w:jc w:val="center"/>
              <w:rPr>
                <w:color w:val="000000"/>
                <w:sz w:val="20"/>
                <w:szCs w:val="20"/>
              </w:rPr>
            </w:pPr>
            <w:r>
              <w:rPr>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DEC4AF2" w14:textId="77777777" w:rsidR="002F590A" w:rsidRDefault="002F590A">
            <w:pPr>
              <w:jc w:val="center"/>
              <w:rPr>
                <w:color w:val="000000"/>
                <w:sz w:val="20"/>
                <w:szCs w:val="20"/>
              </w:rPr>
            </w:pPr>
            <w:r>
              <w:rPr>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D040347" w14:textId="77777777" w:rsidR="002F590A" w:rsidRDefault="002F590A">
            <w:pPr>
              <w:jc w:val="center"/>
              <w:rPr>
                <w:color w:val="000000"/>
                <w:sz w:val="20"/>
                <w:szCs w:val="20"/>
              </w:rPr>
            </w:pPr>
            <w:r>
              <w:rPr>
                <w:color w:val="000000"/>
                <w:sz w:val="20"/>
                <w:szCs w:val="20"/>
              </w:rPr>
              <w:t>0,00</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DFE7AB6" w14:textId="77777777" w:rsidR="002F590A" w:rsidRDefault="002F590A">
            <w:pPr>
              <w:jc w:val="center"/>
              <w:rPr>
                <w:color w:val="000000"/>
                <w:sz w:val="20"/>
                <w:szCs w:val="20"/>
              </w:rPr>
            </w:pPr>
            <w:r>
              <w:rPr>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6B64944" w14:textId="77777777" w:rsidR="002F590A" w:rsidRDefault="002F590A">
            <w:pPr>
              <w:jc w:val="center"/>
              <w:rPr>
                <w:color w:val="000000"/>
                <w:sz w:val="20"/>
                <w:szCs w:val="20"/>
              </w:rPr>
            </w:pPr>
            <w:r>
              <w:rPr>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A25BBE6" w14:textId="77777777" w:rsidR="002F590A" w:rsidRDefault="002F590A">
            <w:pPr>
              <w:jc w:val="center"/>
              <w:rPr>
                <w:color w:val="000000"/>
                <w:sz w:val="20"/>
                <w:szCs w:val="20"/>
              </w:rPr>
            </w:pPr>
            <w:r>
              <w:rPr>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4A64CAF" w14:textId="77777777" w:rsidR="002F590A" w:rsidRDefault="002F590A">
            <w:pPr>
              <w:jc w:val="center"/>
              <w:rPr>
                <w:color w:val="000000"/>
                <w:sz w:val="20"/>
                <w:szCs w:val="20"/>
              </w:rPr>
            </w:pPr>
            <w:r>
              <w:rPr>
                <w:color w:val="000000"/>
                <w:sz w:val="20"/>
                <w:szCs w:val="20"/>
              </w:rPr>
              <w:t>0,00</w:t>
            </w:r>
          </w:p>
        </w:tc>
        <w:tc>
          <w:tcPr>
            <w:tcW w:w="9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AD89F28" w14:textId="77777777" w:rsidR="002F590A" w:rsidRDefault="002F590A">
            <w:pPr>
              <w:jc w:val="center"/>
              <w:rPr>
                <w:color w:val="000000"/>
                <w:sz w:val="20"/>
                <w:szCs w:val="20"/>
              </w:rPr>
            </w:pPr>
            <w:r>
              <w:rPr>
                <w:color w:val="000000"/>
                <w:sz w:val="20"/>
                <w:szCs w:val="20"/>
              </w:rPr>
              <w:t>0,00</w:t>
            </w:r>
          </w:p>
        </w:tc>
      </w:tr>
      <w:tr w:rsidR="002F590A" w14:paraId="1D93E0E8" w14:textId="77777777" w:rsidTr="002F590A">
        <w:trPr>
          <w:trHeight w:val="20"/>
        </w:trPr>
        <w:tc>
          <w:tcPr>
            <w:tcW w:w="5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BDDC6D3" w14:textId="77777777" w:rsidR="002F590A" w:rsidRDefault="002F590A">
            <w:pPr>
              <w:jc w:val="center"/>
              <w:rPr>
                <w:color w:val="000000"/>
                <w:sz w:val="20"/>
                <w:szCs w:val="20"/>
              </w:rPr>
            </w:pPr>
            <w:r>
              <w:rPr>
                <w:color w:val="000000"/>
                <w:sz w:val="20"/>
                <w:szCs w:val="20"/>
              </w:rPr>
              <w:t>2.3.</w:t>
            </w:r>
          </w:p>
        </w:tc>
        <w:tc>
          <w:tcPr>
            <w:tcW w:w="275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6217CAB" w14:textId="77777777" w:rsidR="002F590A" w:rsidRDefault="002F590A">
            <w:pPr>
              <w:jc w:val="center"/>
              <w:rPr>
                <w:color w:val="000000"/>
                <w:sz w:val="20"/>
                <w:szCs w:val="20"/>
              </w:rPr>
            </w:pPr>
            <w:r>
              <w:rPr>
                <w:color w:val="000000"/>
                <w:sz w:val="20"/>
                <w:szCs w:val="20"/>
              </w:rPr>
              <w:t>прочие привлеченные средства</w:t>
            </w:r>
          </w:p>
        </w:tc>
        <w:tc>
          <w:tcPr>
            <w:tcW w:w="15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DB89B2B" w14:textId="77777777" w:rsidR="002F590A" w:rsidRDefault="002F590A">
            <w:pPr>
              <w:jc w:val="center"/>
              <w:rPr>
                <w:color w:val="000000"/>
                <w:sz w:val="20"/>
                <w:szCs w:val="20"/>
              </w:rPr>
            </w:pPr>
            <w:r>
              <w:rPr>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E257B71" w14:textId="77777777" w:rsidR="002F590A" w:rsidRDefault="002F590A">
            <w:pPr>
              <w:jc w:val="center"/>
              <w:rPr>
                <w:color w:val="000000"/>
                <w:sz w:val="20"/>
                <w:szCs w:val="20"/>
              </w:rPr>
            </w:pPr>
            <w:r>
              <w:rPr>
                <w:color w:val="000000"/>
                <w:sz w:val="20"/>
                <w:szCs w:val="20"/>
              </w:rPr>
              <w:t>0,00</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EFD6815" w14:textId="77777777" w:rsidR="002F590A" w:rsidRDefault="002F590A">
            <w:pPr>
              <w:jc w:val="center"/>
              <w:rPr>
                <w:color w:val="000000"/>
                <w:sz w:val="20"/>
                <w:szCs w:val="20"/>
              </w:rPr>
            </w:pPr>
            <w:r>
              <w:rPr>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A8EB2C9" w14:textId="77777777" w:rsidR="002F590A" w:rsidRDefault="002F590A">
            <w:pPr>
              <w:jc w:val="center"/>
              <w:rPr>
                <w:color w:val="000000"/>
                <w:sz w:val="20"/>
                <w:szCs w:val="20"/>
              </w:rPr>
            </w:pPr>
            <w:r>
              <w:rPr>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F6DBBF5" w14:textId="77777777" w:rsidR="002F590A" w:rsidRDefault="002F590A">
            <w:pPr>
              <w:jc w:val="center"/>
              <w:rPr>
                <w:color w:val="000000"/>
                <w:sz w:val="20"/>
                <w:szCs w:val="20"/>
              </w:rPr>
            </w:pPr>
            <w:r>
              <w:rPr>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FD0986B" w14:textId="77777777" w:rsidR="002F590A" w:rsidRDefault="002F590A">
            <w:pPr>
              <w:jc w:val="center"/>
              <w:rPr>
                <w:color w:val="000000"/>
                <w:sz w:val="20"/>
                <w:szCs w:val="20"/>
              </w:rPr>
            </w:pPr>
            <w:r>
              <w:rPr>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07428B9" w14:textId="77777777" w:rsidR="002F590A" w:rsidRDefault="002F590A">
            <w:pPr>
              <w:jc w:val="center"/>
              <w:rPr>
                <w:color w:val="000000"/>
                <w:sz w:val="20"/>
                <w:szCs w:val="20"/>
              </w:rPr>
            </w:pPr>
            <w:r>
              <w:rPr>
                <w:color w:val="000000"/>
                <w:sz w:val="20"/>
                <w:szCs w:val="20"/>
              </w:rPr>
              <w:t>0,00</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34B119B" w14:textId="77777777" w:rsidR="002F590A" w:rsidRDefault="002F590A">
            <w:pPr>
              <w:jc w:val="center"/>
              <w:rPr>
                <w:color w:val="000000"/>
                <w:sz w:val="20"/>
                <w:szCs w:val="20"/>
              </w:rPr>
            </w:pPr>
            <w:r>
              <w:rPr>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1EF3D54" w14:textId="77777777" w:rsidR="002F590A" w:rsidRDefault="002F590A">
            <w:pPr>
              <w:jc w:val="center"/>
              <w:rPr>
                <w:color w:val="000000"/>
                <w:sz w:val="20"/>
                <w:szCs w:val="20"/>
              </w:rPr>
            </w:pPr>
            <w:r>
              <w:rPr>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2108713" w14:textId="77777777" w:rsidR="002F590A" w:rsidRDefault="002F590A">
            <w:pPr>
              <w:jc w:val="center"/>
              <w:rPr>
                <w:color w:val="000000"/>
                <w:sz w:val="20"/>
                <w:szCs w:val="20"/>
              </w:rPr>
            </w:pPr>
            <w:r>
              <w:rPr>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F1AA94A" w14:textId="77777777" w:rsidR="002F590A" w:rsidRDefault="002F590A">
            <w:pPr>
              <w:jc w:val="center"/>
              <w:rPr>
                <w:color w:val="000000"/>
                <w:sz w:val="20"/>
                <w:szCs w:val="20"/>
              </w:rPr>
            </w:pPr>
            <w:r>
              <w:rPr>
                <w:color w:val="000000"/>
                <w:sz w:val="20"/>
                <w:szCs w:val="20"/>
              </w:rPr>
              <w:t>0,00</w:t>
            </w:r>
          </w:p>
        </w:tc>
        <w:tc>
          <w:tcPr>
            <w:tcW w:w="9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CDD3701" w14:textId="77777777" w:rsidR="002F590A" w:rsidRDefault="002F590A">
            <w:pPr>
              <w:jc w:val="center"/>
              <w:rPr>
                <w:color w:val="000000"/>
                <w:sz w:val="20"/>
                <w:szCs w:val="20"/>
              </w:rPr>
            </w:pPr>
            <w:r>
              <w:rPr>
                <w:color w:val="000000"/>
                <w:sz w:val="20"/>
                <w:szCs w:val="20"/>
              </w:rPr>
              <w:t>0,00</w:t>
            </w:r>
          </w:p>
        </w:tc>
      </w:tr>
      <w:tr w:rsidR="002F590A" w14:paraId="2694D987" w14:textId="77777777" w:rsidTr="002F590A">
        <w:trPr>
          <w:trHeight w:val="20"/>
        </w:trPr>
        <w:tc>
          <w:tcPr>
            <w:tcW w:w="5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D27D8F5" w14:textId="77777777" w:rsidR="002F590A" w:rsidRDefault="002F590A">
            <w:pPr>
              <w:jc w:val="center"/>
              <w:rPr>
                <w:color w:val="000000"/>
                <w:sz w:val="20"/>
                <w:szCs w:val="20"/>
              </w:rPr>
            </w:pPr>
            <w:r>
              <w:rPr>
                <w:color w:val="000000"/>
                <w:sz w:val="20"/>
                <w:szCs w:val="20"/>
              </w:rPr>
              <w:t xml:space="preserve">   3.</w:t>
            </w:r>
          </w:p>
        </w:tc>
        <w:tc>
          <w:tcPr>
            <w:tcW w:w="275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CBAFD15" w14:textId="77777777" w:rsidR="002F590A" w:rsidRDefault="002F590A">
            <w:pPr>
              <w:jc w:val="center"/>
              <w:rPr>
                <w:color w:val="000000"/>
                <w:sz w:val="20"/>
                <w:szCs w:val="20"/>
              </w:rPr>
            </w:pPr>
            <w:r>
              <w:rPr>
                <w:color w:val="000000"/>
                <w:sz w:val="20"/>
                <w:szCs w:val="20"/>
              </w:rPr>
              <w:t>Бюджетное финансирование</w:t>
            </w:r>
          </w:p>
        </w:tc>
        <w:tc>
          <w:tcPr>
            <w:tcW w:w="15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C8BCC71" w14:textId="77777777" w:rsidR="002F590A" w:rsidRDefault="002F590A">
            <w:pPr>
              <w:jc w:val="center"/>
              <w:rPr>
                <w:color w:val="000000"/>
                <w:sz w:val="20"/>
                <w:szCs w:val="20"/>
              </w:rPr>
            </w:pPr>
            <w:r>
              <w:rPr>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A2F05A3" w14:textId="77777777" w:rsidR="002F590A" w:rsidRDefault="002F590A">
            <w:pPr>
              <w:jc w:val="center"/>
              <w:rPr>
                <w:color w:val="000000"/>
                <w:sz w:val="20"/>
                <w:szCs w:val="20"/>
              </w:rPr>
            </w:pPr>
            <w:r>
              <w:rPr>
                <w:color w:val="000000"/>
                <w:sz w:val="20"/>
                <w:szCs w:val="20"/>
              </w:rPr>
              <w:t>0,00</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8F7F7FD" w14:textId="77777777" w:rsidR="002F590A" w:rsidRDefault="002F590A">
            <w:pPr>
              <w:jc w:val="center"/>
              <w:rPr>
                <w:color w:val="000000"/>
                <w:sz w:val="20"/>
                <w:szCs w:val="20"/>
              </w:rPr>
            </w:pPr>
            <w:r>
              <w:rPr>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BF15A1B" w14:textId="77777777" w:rsidR="002F590A" w:rsidRDefault="002F590A">
            <w:pPr>
              <w:jc w:val="center"/>
              <w:rPr>
                <w:color w:val="000000"/>
                <w:sz w:val="20"/>
                <w:szCs w:val="20"/>
              </w:rPr>
            </w:pPr>
            <w:r>
              <w:rPr>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51ABCA9" w14:textId="77777777" w:rsidR="002F590A" w:rsidRDefault="002F590A">
            <w:pPr>
              <w:jc w:val="center"/>
              <w:rPr>
                <w:color w:val="000000"/>
                <w:sz w:val="20"/>
                <w:szCs w:val="20"/>
              </w:rPr>
            </w:pPr>
            <w:r>
              <w:rPr>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DC48D2B" w14:textId="77777777" w:rsidR="002F590A" w:rsidRDefault="002F590A">
            <w:pPr>
              <w:jc w:val="center"/>
              <w:rPr>
                <w:color w:val="000000"/>
                <w:sz w:val="20"/>
                <w:szCs w:val="20"/>
              </w:rPr>
            </w:pPr>
            <w:r>
              <w:rPr>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8686225" w14:textId="77777777" w:rsidR="002F590A" w:rsidRDefault="002F590A">
            <w:pPr>
              <w:jc w:val="center"/>
              <w:rPr>
                <w:color w:val="000000"/>
                <w:sz w:val="20"/>
                <w:szCs w:val="20"/>
              </w:rPr>
            </w:pPr>
            <w:r>
              <w:rPr>
                <w:color w:val="000000"/>
                <w:sz w:val="20"/>
                <w:szCs w:val="20"/>
              </w:rPr>
              <w:t>0,00</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789EFC4" w14:textId="77777777" w:rsidR="002F590A" w:rsidRDefault="002F590A">
            <w:pPr>
              <w:jc w:val="center"/>
              <w:rPr>
                <w:color w:val="000000"/>
                <w:sz w:val="20"/>
                <w:szCs w:val="20"/>
              </w:rPr>
            </w:pPr>
            <w:r>
              <w:rPr>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1C0399A" w14:textId="77777777" w:rsidR="002F590A" w:rsidRDefault="002F590A">
            <w:pPr>
              <w:jc w:val="center"/>
              <w:rPr>
                <w:color w:val="000000"/>
                <w:sz w:val="20"/>
                <w:szCs w:val="20"/>
              </w:rPr>
            </w:pPr>
            <w:r>
              <w:rPr>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66E851D" w14:textId="77777777" w:rsidR="002F590A" w:rsidRDefault="002F590A">
            <w:pPr>
              <w:jc w:val="center"/>
              <w:rPr>
                <w:color w:val="000000"/>
                <w:sz w:val="20"/>
                <w:szCs w:val="20"/>
              </w:rPr>
            </w:pPr>
            <w:r>
              <w:rPr>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8F57DE9" w14:textId="77777777" w:rsidR="002F590A" w:rsidRDefault="002F590A">
            <w:pPr>
              <w:jc w:val="center"/>
              <w:rPr>
                <w:color w:val="000000"/>
                <w:sz w:val="20"/>
                <w:szCs w:val="20"/>
              </w:rPr>
            </w:pPr>
            <w:r>
              <w:rPr>
                <w:color w:val="000000"/>
                <w:sz w:val="20"/>
                <w:szCs w:val="20"/>
              </w:rPr>
              <w:t>0,00</w:t>
            </w:r>
          </w:p>
        </w:tc>
        <w:tc>
          <w:tcPr>
            <w:tcW w:w="9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CEC0BFE" w14:textId="77777777" w:rsidR="002F590A" w:rsidRDefault="002F590A">
            <w:pPr>
              <w:jc w:val="center"/>
              <w:rPr>
                <w:color w:val="000000"/>
                <w:sz w:val="20"/>
                <w:szCs w:val="20"/>
              </w:rPr>
            </w:pPr>
            <w:r>
              <w:rPr>
                <w:color w:val="000000"/>
                <w:sz w:val="20"/>
                <w:szCs w:val="20"/>
              </w:rPr>
              <w:t>0,00</w:t>
            </w:r>
          </w:p>
        </w:tc>
      </w:tr>
      <w:tr w:rsidR="002F590A" w14:paraId="01D553ED" w14:textId="77777777" w:rsidTr="002F590A">
        <w:trPr>
          <w:trHeight w:val="20"/>
        </w:trPr>
        <w:tc>
          <w:tcPr>
            <w:tcW w:w="5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769EA1C" w14:textId="77777777" w:rsidR="002F590A" w:rsidRDefault="002F590A">
            <w:pPr>
              <w:jc w:val="center"/>
              <w:rPr>
                <w:color w:val="000000"/>
                <w:sz w:val="20"/>
                <w:szCs w:val="20"/>
              </w:rPr>
            </w:pPr>
            <w:r>
              <w:rPr>
                <w:color w:val="000000"/>
                <w:sz w:val="20"/>
                <w:szCs w:val="20"/>
              </w:rPr>
              <w:t xml:space="preserve">   4.</w:t>
            </w:r>
          </w:p>
        </w:tc>
        <w:tc>
          <w:tcPr>
            <w:tcW w:w="275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546F462" w14:textId="77777777" w:rsidR="002F590A" w:rsidRDefault="002F590A">
            <w:pPr>
              <w:jc w:val="center"/>
              <w:rPr>
                <w:color w:val="000000"/>
                <w:sz w:val="20"/>
                <w:szCs w:val="20"/>
              </w:rPr>
            </w:pPr>
            <w:r>
              <w:rPr>
                <w:color w:val="000000"/>
                <w:sz w:val="20"/>
                <w:szCs w:val="20"/>
              </w:rPr>
              <w:t>Прочие источники финансирования, в т.ч. лизинг</w:t>
            </w:r>
          </w:p>
        </w:tc>
        <w:tc>
          <w:tcPr>
            <w:tcW w:w="15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E1A46FE" w14:textId="77777777" w:rsidR="002F590A" w:rsidRDefault="002F590A">
            <w:pPr>
              <w:jc w:val="center"/>
              <w:rPr>
                <w:color w:val="000000"/>
                <w:sz w:val="20"/>
                <w:szCs w:val="20"/>
              </w:rPr>
            </w:pPr>
            <w:r>
              <w:rPr>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1224DA0" w14:textId="77777777" w:rsidR="002F590A" w:rsidRDefault="002F590A">
            <w:pPr>
              <w:jc w:val="center"/>
              <w:rPr>
                <w:color w:val="000000"/>
                <w:sz w:val="20"/>
                <w:szCs w:val="20"/>
              </w:rPr>
            </w:pPr>
            <w:r>
              <w:rPr>
                <w:color w:val="000000"/>
                <w:sz w:val="20"/>
                <w:szCs w:val="20"/>
              </w:rPr>
              <w:t>0,00</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C08B44F" w14:textId="77777777" w:rsidR="002F590A" w:rsidRDefault="002F590A">
            <w:pPr>
              <w:jc w:val="center"/>
              <w:rPr>
                <w:color w:val="000000"/>
                <w:sz w:val="20"/>
                <w:szCs w:val="20"/>
              </w:rPr>
            </w:pPr>
            <w:r>
              <w:rPr>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4FA3BF4" w14:textId="77777777" w:rsidR="002F590A" w:rsidRDefault="002F590A">
            <w:pPr>
              <w:jc w:val="center"/>
              <w:rPr>
                <w:color w:val="000000"/>
                <w:sz w:val="20"/>
                <w:szCs w:val="20"/>
              </w:rPr>
            </w:pPr>
            <w:r>
              <w:rPr>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EDABFDB" w14:textId="77777777" w:rsidR="002F590A" w:rsidRDefault="002F590A">
            <w:pPr>
              <w:jc w:val="center"/>
              <w:rPr>
                <w:color w:val="000000"/>
                <w:sz w:val="20"/>
                <w:szCs w:val="20"/>
              </w:rPr>
            </w:pPr>
            <w:r>
              <w:rPr>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8FF0196" w14:textId="77777777" w:rsidR="002F590A" w:rsidRDefault="002F590A">
            <w:pPr>
              <w:jc w:val="center"/>
              <w:rPr>
                <w:color w:val="000000"/>
                <w:sz w:val="20"/>
                <w:szCs w:val="20"/>
              </w:rPr>
            </w:pPr>
            <w:r>
              <w:rPr>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9ECA6D8" w14:textId="77777777" w:rsidR="002F590A" w:rsidRDefault="002F590A">
            <w:pPr>
              <w:jc w:val="center"/>
              <w:rPr>
                <w:color w:val="000000"/>
                <w:sz w:val="20"/>
                <w:szCs w:val="20"/>
              </w:rPr>
            </w:pPr>
            <w:r>
              <w:rPr>
                <w:color w:val="000000"/>
                <w:sz w:val="20"/>
                <w:szCs w:val="20"/>
              </w:rPr>
              <w:t>0,00</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6C96DA8" w14:textId="77777777" w:rsidR="002F590A" w:rsidRDefault="002F590A">
            <w:pPr>
              <w:jc w:val="center"/>
              <w:rPr>
                <w:color w:val="000000"/>
                <w:sz w:val="20"/>
                <w:szCs w:val="20"/>
              </w:rPr>
            </w:pPr>
            <w:r>
              <w:rPr>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880A0EC" w14:textId="77777777" w:rsidR="002F590A" w:rsidRDefault="002F590A">
            <w:pPr>
              <w:jc w:val="center"/>
              <w:rPr>
                <w:color w:val="000000"/>
                <w:sz w:val="20"/>
                <w:szCs w:val="20"/>
              </w:rPr>
            </w:pPr>
            <w:r>
              <w:rPr>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9AA3DDF" w14:textId="77777777" w:rsidR="002F590A" w:rsidRDefault="002F590A">
            <w:pPr>
              <w:jc w:val="center"/>
              <w:rPr>
                <w:color w:val="000000"/>
                <w:sz w:val="20"/>
                <w:szCs w:val="20"/>
              </w:rPr>
            </w:pPr>
            <w:r>
              <w:rPr>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314806F" w14:textId="77777777" w:rsidR="002F590A" w:rsidRDefault="002F590A">
            <w:pPr>
              <w:jc w:val="center"/>
              <w:rPr>
                <w:color w:val="000000"/>
                <w:sz w:val="20"/>
                <w:szCs w:val="20"/>
              </w:rPr>
            </w:pPr>
            <w:r>
              <w:rPr>
                <w:color w:val="000000"/>
                <w:sz w:val="20"/>
                <w:szCs w:val="20"/>
              </w:rPr>
              <w:t>0,00</w:t>
            </w:r>
          </w:p>
        </w:tc>
        <w:tc>
          <w:tcPr>
            <w:tcW w:w="9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48FF5CB" w14:textId="77777777" w:rsidR="002F590A" w:rsidRDefault="002F590A">
            <w:pPr>
              <w:jc w:val="center"/>
              <w:rPr>
                <w:color w:val="000000"/>
                <w:sz w:val="20"/>
                <w:szCs w:val="20"/>
              </w:rPr>
            </w:pPr>
            <w:r>
              <w:rPr>
                <w:color w:val="000000"/>
                <w:sz w:val="20"/>
                <w:szCs w:val="20"/>
              </w:rPr>
              <w:t>0,00</w:t>
            </w:r>
          </w:p>
        </w:tc>
      </w:tr>
      <w:tr w:rsidR="002F590A" w14:paraId="314F8C56" w14:textId="77777777" w:rsidTr="002F590A">
        <w:trPr>
          <w:trHeight w:val="20"/>
        </w:trPr>
        <w:tc>
          <w:tcPr>
            <w:tcW w:w="55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0016324" w14:textId="77777777" w:rsidR="002F590A" w:rsidRDefault="002F590A">
            <w:pPr>
              <w:jc w:val="center"/>
              <w:rPr>
                <w:color w:val="000000"/>
                <w:sz w:val="20"/>
                <w:szCs w:val="20"/>
              </w:rPr>
            </w:pPr>
            <w:r>
              <w:rPr>
                <w:color w:val="000000"/>
                <w:sz w:val="20"/>
                <w:szCs w:val="20"/>
              </w:rPr>
              <w:t> </w:t>
            </w:r>
          </w:p>
        </w:tc>
        <w:tc>
          <w:tcPr>
            <w:tcW w:w="275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0455731" w14:textId="77777777" w:rsidR="002F590A" w:rsidRDefault="002F590A">
            <w:pPr>
              <w:jc w:val="center"/>
              <w:rPr>
                <w:color w:val="000000"/>
                <w:sz w:val="20"/>
                <w:szCs w:val="20"/>
              </w:rPr>
            </w:pPr>
            <w:r>
              <w:rPr>
                <w:color w:val="000000"/>
                <w:sz w:val="20"/>
                <w:szCs w:val="20"/>
              </w:rPr>
              <w:t>ИТОГО по программе</w:t>
            </w:r>
          </w:p>
        </w:tc>
        <w:tc>
          <w:tcPr>
            <w:tcW w:w="15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F2EA79F" w14:textId="77777777" w:rsidR="002F590A" w:rsidRDefault="002F590A">
            <w:pPr>
              <w:jc w:val="center"/>
              <w:rPr>
                <w:color w:val="000000"/>
                <w:sz w:val="20"/>
                <w:szCs w:val="20"/>
              </w:rPr>
            </w:pPr>
            <w:r>
              <w:rPr>
                <w:color w:val="000000"/>
                <w:sz w:val="20"/>
                <w:szCs w:val="20"/>
              </w:rPr>
              <w:t>36 549,71</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BE18124" w14:textId="77777777" w:rsidR="002F590A" w:rsidRDefault="002F590A">
            <w:pPr>
              <w:jc w:val="center"/>
              <w:rPr>
                <w:color w:val="000000"/>
                <w:sz w:val="20"/>
                <w:szCs w:val="20"/>
              </w:rPr>
            </w:pPr>
            <w:r>
              <w:rPr>
                <w:color w:val="000000"/>
                <w:sz w:val="20"/>
                <w:szCs w:val="20"/>
              </w:rPr>
              <w:t>36 549,71</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524060A" w14:textId="77777777" w:rsidR="002F590A" w:rsidRDefault="002F590A">
            <w:pPr>
              <w:jc w:val="center"/>
              <w:rPr>
                <w:color w:val="000000"/>
                <w:sz w:val="20"/>
                <w:szCs w:val="20"/>
              </w:rPr>
            </w:pPr>
            <w:r>
              <w:rPr>
                <w:color w:val="000000"/>
                <w:sz w:val="20"/>
                <w:szCs w:val="20"/>
              </w:rPr>
              <w:t>3 505,53</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2087DCE" w14:textId="77777777" w:rsidR="002F590A" w:rsidRDefault="002F590A">
            <w:pPr>
              <w:jc w:val="center"/>
              <w:rPr>
                <w:color w:val="000000"/>
                <w:sz w:val="20"/>
                <w:szCs w:val="20"/>
              </w:rPr>
            </w:pPr>
            <w:r>
              <w:rPr>
                <w:color w:val="000000"/>
                <w:sz w:val="20"/>
                <w:szCs w:val="20"/>
              </w:rPr>
              <w:t>9 498,94</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ACF2F4F" w14:textId="77777777" w:rsidR="002F590A" w:rsidRDefault="002F590A">
            <w:pPr>
              <w:jc w:val="center"/>
              <w:rPr>
                <w:color w:val="000000"/>
                <w:sz w:val="20"/>
                <w:szCs w:val="20"/>
              </w:rPr>
            </w:pPr>
            <w:r>
              <w:rPr>
                <w:color w:val="000000"/>
                <w:sz w:val="20"/>
                <w:szCs w:val="20"/>
              </w:rPr>
              <w:t>6 937,02</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956E3FB" w14:textId="77777777" w:rsidR="002F590A" w:rsidRDefault="002F590A">
            <w:pPr>
              <w:jc w:val="center"/>
              <w:rPr>
                <w:color w:val="000000"/>
                <w:sz w:val="20"/>
                <w:szCs w:val="20"/>
              </w:rPr>
            </w:pPr>
            <w:r>
              <w:rPr>
                <w:color w:val="000000"/>
                <w:sz w:val="20"/>
                <w:szCs w:val="20"/>
              </w:rPr>
              <w:t>3 206,71</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574FECF" w14:textId="77777777" w:rsidR="002F590A" w:rsidRDefault="002F590A">
            <w:pPr>
              <w:jc w:val="center"/>
              <w:rPr>
                <w:color w:val="000000"/>
                <w:sz w:val="20"/>
                <w:szCs w:val="20"/>
              </w:rPr>
            </w:pPr>
            <w:r>
              <w:rPr>
                <w:color w:val="000000"/>
                <w:sz w:val="20"/>
                <w:szCs w:val="20"/>
              </w:rPr>
              <w:t>3 290,02</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46010F5" w14:textId="77777777" w:rsidR="002F590A" w:rsidRDefault="002F590A">
            <w:pPr>
              <w:jc w:val="center"/>
              <w:rPr>
                <w:color w:val="000000"/>
                <w:sz w:val="20"/>
                <w:szCs w:val="20"/>
              </w:rPr>
            </w:pPr>
            <w:r>
              <w:rPr>
                <w:color w:val="000000"/>
                <w:sz w:val="20"/>
                <w:szCs w:val="20"/>
              </w:rPr>
              <w:t>4 207,05</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47764F7" w14:textId="77777777" w:rsidR="002F590A" w:rsidRDefault="002F590A">
            <w:pPr>
              <w:jc w:val="center"/>
              <w:rPr>
                <w:color w:val="000000"/>
                <w:sz w:val="20"/>
                <w:szCs w:val="20"/>
              </w:rPr>
            </w:pPr>
            <w:r>
              <w:rPr>
                <w:color w:val="000000"/>
                <w:sz w:val="20"/>
                <w:szCs w:val="20"/>
              </w:rPr>
              <w:t>2 392,31</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3692907" w14:textId="77777777" w:rsidR="002F590A" w:rsidRDefault="002F590A">
            <w:pPr>
              <w:jc w:val="center"/>
              <w:rPr>
                <w:color w:val="000000"/>
                <w:sz w:val="20"/>
                <w:szCs w:val="20"/>
              </w:rPr>
            </w:pPr>
            <w:r>
              <w:rPr>
                <w:color w:val="000000"/>
                <w:sz w:val="20"/>
                <w:szCs w:val="20"/>
              </w:rPr>
              <w:t>588,29</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457CE74" w14:textId="77777777" w:rsidR="002F590A" w:rsidRDefault="002F590A">
            <w:pPr>
              <w:jc w:val="center"/>
              <w:rPr>
                <w:color w:val="000000"/>
                <w:sz w:val="20"/>
                <w:szCs w:val="20"/>
              </w:rPr>
            </w:pPr>
            <w:r>
              <w:rPr>
                <w:color w:val="000000"/>
                <w:sz w:val="20"/>
                <w:szCs w:val="20"/>
              </w:rPr>
              <w:t>2 394,94</w:t>
            </w:r>
          </w:p>
        </w:tc>
        <w:tc>
          <w:tcPr>
            <w:tcW w:w="99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7981AF9" w14:textId="77777777" w:rsidR="002F590A" w:rsidRDefault="002F590A">
            <w:pPr>
              <w:jc w:val="center"/>
              <w:rPr>
                <w:color w:val="000000"/>
                <w:sz w:val="20"/>
                <w:szCs w:val="20"/>
              </w:rPr>
            </w:pPr>
            <w:r>
              <w:rPr>
                <w:color w:val="000000"/>
                <w:sz w:val="20"/>
                <w:szCs w:val="20"/>
              </w:rPr>
              <w:t>528,90</w:t>
            </w:r>
          </w:p>
        </w:tc>
      </w:tr>
    </w:tbl>
    <w:p w14:paraId="53C79CD4" w14:textId="77777777" w:rsidR="002F590A" w:rsidRDefault="002F590A" w:rsidP="002F590A">
      <w:pPr>
        <w:jc w:val="center"/>
        <w:rPr>
          <w:bCs/>
          <w:color w:val="000000"/>
        </w:rPr>
      </w:pPr>
    </w:p>
    <w:p w14:paraId="2BD845D6" w14:textId="77777777" w:rsidR="002F590A" w:rsidRDefault="002F590A" w:rsidP="002F590A">
      <w:pPr>
        <w:jc w:val="center"/>
        <w:rPr>
          <w:bCs/>
          <w:color w:val="000000"/>
        </w:rPr>
      </w:pPr>
    </w:p>
    <w:p w14:paraId="22FBEDE6" w14:textId="77777777" w:rsidR="002F590A" w:rsidRDefault="002F590A" w:rsidP="002F590A">
      <w:pPr>
        <w:jc w:val="center"/>
        <w:rPr>
          <w:bCs/>
          <w:color w:val="000000"/>
        </w:rPr>
      </w:pPr>
    </w:p>
    <w:p w14:paraId="35E24B26" w14:textId="77777777" w:rsidR="002F590A" w:rsidRDefault="002F590A" w:rsidP="002F590A">
      <w:pPr>
        <w:tabs>
          <w:tab w:val="left" w:pos="5580"/>
          <w:tab w:val="left" w:pos="9498"/>
        </w:tabs>
        <w:ind w:right="-569"/>
        <w:rPr>
          <w:color w:val="000000" w:themeColor="text1"/>
        </w:rPr>
      </w:pPr>
    </w:p>
    <w:p w14:paraId="074A89BE" w14:textId="44F78233" w:rsidR="002F590A" w:rsidRDefault="002F590A" w:rsidP="00A070DF">
      <w:pPr>
        <w:autoSpaceDE w:val="0"/>
        <w:autoSpaceDN w:val="0"/>
        <w:adjustRightInd w:val="0"/>
        <w:ind w:firstLine="5529"/>
        <w:rPr>
          <w:color w:val="000000" w:themeColor="text1"/>
        </w:rPr>
      </w:pPr>
    </w:p>
    <w:p w14:paraId="664ABC1C" w14:textId="5C1F795A" w:rsidR="00701695" w:rsidRDefault="00701695" w:rsidP="00A070DF">
      <w:pPr>
        <w:autoSpaceDE w:val="0"/>
        <w:autoSpaceDN w:val="0"/>
        <w:adjustRightInd w:val="0"/>
        <w:ind w:firstLine="5529"/>
        <w:rPr>
          <w:color w:val="000000" w:themeColor="text1"/>
        </w:rPr>
      </w:pPr>
    </w:p>
    <w:p w14:paraId="3E7F6336" w14:textId="380DEF93" w:rsidR="00701695" w:rsidRDefault="00701695" w:rsidP="00A070DF">
      <w:pPr>
        <w:autoSpaceDE w:val="0"/>
        <w:autoSpaceDN w:val="0"/>
        <w:adjustRightInd w:val="0"/>
        <w:ind w:firstLine="5529"/>
        <w:rPr>
          <w:color w:val="000000" w:themeColor="text1"/>
        </w:rPr>
      </w:pPr>
    </w:p>
    <w:p w14:paraId="0B6AE970" w14:textId="77777777" w:rsidR="00701695" w:rsidRDefault="00701695" w:rsidP="00A070DF">
      <w:pPr>
        <w:autoSpaceDE w:val="0"/>
        <w:autoSpaceDN w:val="0"/>
        <w:adjustRightInd w:val="0"/>
        <w:ind w:firstLine="5529"/>
        <w:rPr>
          <w:color w:val="000000" w:themeColor="text1"/>
        </w:rPr>
        <w:sectPr w:rsidR="00701695" w:rsidSect="00701695">
          <w:pgSz w:w="16838" w:h="11906" w:orient="landscape"/>
          <w:pgMar w:top="709" w:right="709" w:bottom="851" w:left="851" w:header="425" w:footer="408" w:gutter="0"/>
          <w:cols w:space="708"/>
          <w:titlePg/>
          <w:docGrid w:linePitch="360"/>
        </w:sectPr>
      </w:pPr>
    </w:p>
    <w:p w14:paraId="09ACB5E5" w14:textId="33061546" w:rsidR="00701695" w:rsidRDefault="00701695" w:rsidP="00A070DF">
      <w:pPr>
        <w:autoSpaceDE w:val="0"/>
        <w:autoSpaceDN w:val="0"/>
        <w:adjustRightInd w:val="0"/>
        <w:ind w:firstLine="5529"/>
        <w:rPr>
          <w:color w:val="000000" w:themeColor="text1"/>
        </w:rPr>
      </w:pPr>
    </w:p>
    <w:p w14:paraId="1F8A1A59" w14:textId="5BFD610D" w:rsidR="00701695" w:rsidRPr="00081AD4" w:rsidRDefault="00701695" w:rsidP="00701695">
      <w:pPr>
        <w:tabs>
          <w:tab w:val="left" w:pos="3686"/>
          <w:tab w:val="left" w:pos="9498"/>
        </w:tabs>
        <w:ind w:left="-3734" w:right="-1" w:firstLine="9121"/>
        <w:rPr>
          <w:color w:val="000000" w:themeColor="text1"/>
        </w:rPr>
      </w:pPr>
      <w:r w:rsidRPr="00081AD4">
        <w:rPr>
          <w:color w:val="000000" w:themeColor="text1"/>
        </w:rPr>
        <w:t xml:space="preserve">Приложение № </w:t>
      </w:r>
      <w:r>
        <w:rPr>
          <w:color w:val="000000" w:themeColor="text1"/>
        </w:rPr>
        <w:t>21</w:t>
      </w:r>
      <w:r>
        <w:rPr>
          <w:color w:val="000000" w:themeColor="text1"/>
        </w:rPr>
        <w:t xml:space="preserve"> к протоколу</w:t>
      </w:r>
      <w:r w:rsidRPr="00081AD4">
        <w:rPr>
          <w:color w:val="000000" w:themeColor="text1"/>
        </w:rPr>
        <w:t xml:space="preserve"> № </w:t>
      </w:r>
      <w:r>
        <w:rPr>
          <w:color w:val="000000" w:themeColor="text1"/>
        </w:rPr>
        <w:t>88</w:t>
      </w:r>
    </w:p>
    <w:p w14:paraId="102185B4" w14:textId="77777777" w:rsidR="00701695" w:rsidRPr="00081AD4" w:rsidRDefault="00701695" w:rsidP="00701695">
      <w:pPr>
        <w:tabs>
          <w:tab w:val="left" w:pos="3686"/>
          <w:tab w:val="left" w:pos="9498"/>
        </w:tabs>
        <w:ind w:left="-3734" w:right="-1" w:firstLine="912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7112F4CC" w14:textId="77777777" w:rsidR="00701695" w:rsidRPr="00081AD4" w:rsidRDefault="00701695" w:rsidP="00701695">
      <w:pPr>
        <w:tabs>
          <w:tab w:val="left" w:pos="3686"/>
          <w:tab w:val="left" w:pos="9498"/>
        </w:tabs>
        <w:ind w:left="-3734" w:right="-1" w:firstLine="9121"/>
        <w:rPr>
          <w:color w:val="000000" w:themeColor="text1"/>
        </w:rPr>
      </w:pPr>
      <w:r w:rsidRPr="00081AD4">
        <w:rPr>
          <w:color w:val="000000" w:themeColor="text1"/>
        </w:rPr>
        <w:t>энергетической комиссии</w:t>
      </w:r>
    </w:p>
    <w:p w14:paraId="7F462EF7" w14:textId="1AADD8E5" w:rsidR="00701695" w:rsidRDefault="00701695" w:rsidP="00701695">
      <w:pPr>
        <w:autoSpaceDE w:val="0"/>
        <w:autoSpaceDN w:val="0"/>
        <w:adjustRightInd w:val="0"/>
        <w:ind w:firstLine="5387"/>
        <w:rPr>
          <w:color w:val="000000" w:themeColor="text1"/>
        </w:rPr>
      </w:pPr>
      <w:r w:rsidRPr="00081AD4">
        <w:rPr>
          <w:color w:val="000000" w:themeColor="text1"/>
        </w:rPr>
        <w:t xml:space="preserve">Кузбасса от </w:t>
      </w:r>
      <w:r>
        <w:rPr>
          <w:color w:val="000000" w:themeColor="text1"/>
        </w:rPr>
        <w:t>23</w:t>
      </w:r>
      <w:r w:rsidRPr="00081AD4">
        <w:rPr>
          <w:color w:val="000000" w:themeColor="text1"/>
        </w:rPr>
        <w:t>.</w:t>
      </w:r>
      <w:r>
        <w:rPr>
          <w:color w:val="000000" w:themeColor="text1"/>
        </w:rPr>
        <w:t>12</w:t>
      </w:r>
      <w:r w:rsidRPr="00081AD4">
        <w:rPr>
          <w:color w:val="000000" w:themeColor="text1"/>
        </w:rPr>
        <w:t>.202</w:t>
      </w:r>
      <w:r>
        <w:rPr>
          <w:color w:val="000000" w:themeColor="text1"/>
        </w:rPr>
        <w:t>1</w:t>
      </w:r>
    </w:p>
    <w:p w14:paraId="1A668A9B" w14:textId="6AE025BC" w:rsidR="00F22587" w:rsidRDefault="00F22587" w:rsidP="00701695">
      <w:pPr>
        <w:autoSpaceDE w:val="0"/>
        <w:autoSpaceDN w:val="0"/>
        <w:adjustRightInd w:val="0"/>
        <w:ind w:firstLine="5387"/>
        <w:rPr>
          <w:color w:val="000000" w:themeColor="text1"/>
        </w:rPr>
      </w:pPr>
    </w:p>
    <w:p w14:paraId="15F688BB" w14:textId="77777777" w:rsidR="00F22587" w:rsidRPr="000E5DBF" w:rsidRDefault="00F22587" w:rsidP="00F22587">
      <w:pPr>
        <w:autoSpaceDE w:val="0"/>
        <w:autoSpaceDN w:val="0"/>
        <w:adjustRightInd w:val="0"/>
        <w:jc w:val="center"/>
        <w:rPr>
          <w:b/>
          <w:bCs/>
          <w:sz w:val="28"/>
          <w:szCs w:val="28"/>
        </w:rPr>
      </w:pPr>
      <w:bookmarkStart w:id="87" w:name="_Toc12025636"/>
      <w:r w:rsidRPr="000E5DBF">
        <w:rPr>
          <w:b/>
          <w:bCs/>
          <w:sz w:val="28"/>
          <w:szCs w:val="28"/>
        </w:rPr>
        <w:t>Экспертное заключение</w:t>
      </w:r>
    </w:p>
    <w:p w14:paraId="2DE83DCF" w14:textId="77777777" w:rsidR="00F22587" w:rsidRPr="000E5DBF" w:rsidRDefault="00F22587" w:rsidP="00F22587">
      <w:pPr>
        <w:spacing w:line="276" w:lineRule="auto"/>
        <w:ind w:left="720"/>
        <w:jc w:val="center"/>
        <w:rPr>
          <w:sz w:val="28"/>
          <w:szCs w:val="28"/>
        </w:rPr>
      </w:pPr>
      <w:r w:rsidRPr="000E5DBF">
        <w:rPr>
          <w:rFonts w:eastAsia="Calibri"/>
          <w:sz w:val="28"/>
          <w:szCs w:val="28"/>
          <w:lang w:eastAsia="en-US"/>
        </w:rPr>
        <w:t>Региональной энергетической комиссии Кузбасса</w:t>
      </w:r>
      <w:r w:rsidRPr="000E5DBF">
        <w:rPr>
          <w:sz w:val="28"/>
          <w:szCs w:val="28"/>
        </w:rPr>
        <w:t xml:space="preserve"> по материалам, представленным ООО «УКиТС», для утверждения изменений в инвестиционную программу в сфере теплоснабжения на 2019-2030 годы</w:t>
      </w:r>
    </w:p>
    <w:p w14:paraId="4197F9CD" w14:textId="77777777" w:rsidR="00F22587" w:rsidRPr="000E5DBF" w:rsidRDefault="00F22587" w:rsidP="00F22587">
      <w:pPr>
        <w:keepNext/>
        <w:numPr>
          <w:ilvl w:val="0"/>
          <w:numId w:val="16"/>
        </w:numPr>
        <w:spacing w:line="360" w:lineRule="auto"/>
        <w:jc w:val="center"/>
        <w:outlineLvl w:val="0"/>
        <w:rPr>
          <w:b/>
          <w:sz w:val="28"/>
          <w:szCs w:val="20"/>
        </w:rPr>
      </w:pPr>
      <w:r w:rsidRPr="000E5DBF">
        <w:rPr>
          <w:b/>
          <w:sz w:val="28"/>
          <w:szCs w:val="20"/>
        </w:rPr>
        <w:t>Нормативно методическая база</w:t>
      </w:r>
      <w:bookmarkEnd w:id="87"/>
    </w:p>
    <w:p w14:paraId="7E5711E0" w14:textId="77777777" w:rsidR="00F22587" w:rsidRPr="000E5DBF" w:rsidRDefault="00F22587" w:rsidP="00F22587">
      <w:pPr>
        <w:spacing w:line="276" w:lineRule="auto"/>
        <w:ind w:left="-142" w:firstLine="505"/>
        <w:jc w:val="both"/>
        <w:rPr>
          <w:rFonts w:eastAsia="Calibri"/>
          <w:sz w:val="28"/>
          <w:szCs w:val="28"/>
          <w:lang w:eastAsia="en-US"/>
        </w:rPr>
      </w:pPr>
      <w:r w:rsidRPr="000E5DBF">
        <w:rPr>
          <w:rFonts w:eastAsia="Calibri"/>
          <w:sz w:val="28"/>
          <w:szCs w:val="28"/>
          <w:lang w:eastAsia="en-US"/>
        </w:rPr>
        <w:t>Нормативно-методической основой проведения анализа материалов, представленных ООО «УКиТС» являются:</w:t>
      </w:r>
    </w:p>
    <w:p w14:paraId="6D55A77F" w14:textId="77777777" w:rsidR="00F22587" w:rsidRPr="000E5DBF" w:rsidRDefault="00F22587" w:rsidP="00F22587">
      <w:pPr>
        <w:spacing w:line="276" w:lineRule="auto"/>
        <w:ind w:left="-142" w:firstLine="505"/>
        <w:jc w:val="both"/>
        <w:rPr>
          <w:sz w:val="28"/>
          <w:szCs w:val="28"/>
        </w:rPr>
      </w:pPr>
      <w:r w:rsidRPr="000E5DBF">
        <w:rPr>
          <w:sz w:val="28"/>
          <w:szCs w:val="28"/>
        </w:rPr>
        <w:t>- Гражданский кодекс Российской Федерации;</w:t>
      </w:r>
    </w:p>
    <w:p w14:paraId="0A07AD59" w14:textId="77777777" w:rsidR="00F22587" w:rsidRPr="000E5DBF" w:rsidRDefault="00F22587" w:rsidP="00F22587">
      <w:pPr>
        <w:spacing w:line="276" w:lineRule="auto"/>
        <w:ind w:left="-142" w:firstLine="505"/>
        <w:jc w:val="both"/>
        <w:rPr>
          <w:sz w:val="28"/>
          <w:szCs w:val="28"/>
        </w:rPr>
      </w:pPr>
      <w:r w:rsidRPr="000E5DBF">
        <w:rPr>
          <w:sz w:val="28"/>
          <w:szCs w:val="28"/>
        </w:rPr>
        <w:t>- Приказ ФСТ России от 13.06.2013 № 760-э «Об утверждении методических указаний по расчету регулируемых цен (тарифов) в сфере теплоснабжения»;</w:t>
      </w:r>
    </w:p>
    <w:p w14:paraId="6391ECB2" w14:textId="77777777" w:rsidR="00F22587" w:rsidRPr="000E5DBF" w:rsidRDefault="00F22587" w:rsidP="00F22587">
      <w:pPr>
        <w:spacing w:line="276" w:lineRule="auto"/>
        <w:ind w:left="-142" w:firstLine="505"/>
        <w:jc w:val="both"/>
        <w:rPr>
          <w:sz w:val="28"/>
          <w:szCs w:val="28"/>
        </w:rPr>
      </w:pPr>
      <w:r w:rsidRPr="000E5DBF">
        <w:rPr>
          <w:sz w:val="28"/>
          <w:szCs w:val="28"/>
        </w:rPr>
        <w:t>- Налоговый кодекс Российской Федерации (в дальнейшем НК РФ);</w:t>
      </w:r>
    </w:p>
    <w:p w14:paraId="70325FCC" w14:textId="77777777" w:rsidR="00F22587" w:rsidRPr="000E5DBF" w:rsidRDefault="00F22587" w:rsidP="00F22587">
      <w:pPr>
        <w:spacing w:line="276" w:lineRule="auto"/>
        <w:ind w:left="-142" w:firstLine="505"/>
        <w:jc w:val="both"/>
        <w:rPr>
          <w:sz w:val="28"/>
          <w:szCs w:val="28"/>
        </w:rPr>
      </w:pPr>
      <w:r w:rsidRPr="000E5DBF">
        <w:rPr>
          <w:sz w:val="28"/>
          <w:szCs w:val="28"/>
        </w:rPr>
        <w:t>- Трудовой Кодекс Российской Федерации (в дальнейшем ТК РФ);</w:t>
      </w:r>
    </w:p>
    <w:p w14:paraId="57920DF8" w14:textId="77777777" w:rsidR="00F22587" w:rsidRPr="000E5DBF" w:rsidRDefault="00F22587" w:rsidP="00F22587">
      <w:pPr>
        <w:spacing w:line="276" w:lineRule="auto"/>
        <w:ind w:left="-142" w:firstLine="505"/>
        <w:jc w:val="both"/>
        <w:rPr>
          <w:sz w:val="28"/>
          <w:szCs w:val="28"/>
        </w:rPr>
      </w:pPr>
      <w:r w:rsidRPr="000E5DBF">
        <w:rPr>
          <w:sz w:val="28"/>
          <w:szCs w:val="28"/>
        </w:rPr>
        <w:t>- Федеральный закон от 27.07.2010 № 190-ФЗ «О теплоснабжении»;</w:t>
      </w:r>
    </w:p>
    <w:p w14:paraId="192EBC7C" w14:textId="77777777" w:rsidR="00F22587" w:rsidRPr="000E5DBF" w:rsidRDefault="00F22587" w:rsidP="00F22587">
      <w:pPr>
        <w:spacing w:line="276" w:lineRule="auto"/>
        <w:ind w:left="-142" w:firstLine="505"/>
        <w:jc w:val="both"/>
        <w:rPr>
          <w:sz w:val="28"/>
          <w:szCs w:val="28"/>
        </w:rPr>
      </w:pPr>
      <w:r w:rsidRPr="000E5DBF">
        <w:rPr>
          <w:sz w:val="28"/>
          <w:szCs w:val="28"/>
        </w:rPr>
        <w:t>- Федеральный Закон от 17.08.1995 № 147-ФЗ «О естественных монополиях»;</w:t>
      </w:r>
    </w:p>
    <w:p w14:paraId="3101AF46" w14:textId="77777777" w:rsidR="00F22587" w:rsidRPr="000E5DBF" w:rsidRDefault="00F22587" w:rsidP="00F22587">
      <w:pPr>
        <w:tabs>
          <w:tab w:val="num" w:pos="360"/>
          <w:tab w:val="num" w:pos="1080"/>
        </w:tabs>
        <w:spacing w:line="276" w:lineRule="auto"/>
        <w:ind w:left="-142" w:firstLine="505"/>
        <w:jc w:val="both"/>
        <w:rPr>
          <w:sz w:val="28"/>
          <w:szCs w:val="28"/>
        </w:rPr>
      </w:pPr>
      <w:r w:rsidRPr="000E5DBF">
        <w:rPr>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28ADDC2F" w14:textId="77777777" w:rsidR="00F22587" w:rsidRPr="000E5DBF" w:rsidRDefault="00F22587" w:rsidP="00F22587">
      <w:pPr>
        <w:tabs>
          <w:tab w:val="num" w:pos="360"/>
          <w:tab w:val="num" w:pos="1080"/>
        </w:tabs>
        <w:spacing w:line="276" w:lineRule="auto"/>
        <w:ind w:left="-142" w:firstLine="505"/>
        <w:jc w:val="both"/>
        <w:rPr>
          <w:sz w:val="28"/>
          <w:szCs w:val="28"/>
        </w:rPr>
      </w:pPr>
      <w:r w:rsidRPr="000E5DBF">
        <w:rPr>
          <w:sz w:val="28"/>
          <w:szCs w:val="28"/>
        </w:rPr>
        <w:t>- Постановление Правительства Российской Федерации 22.10.2012 №1075 «О ценообразовании в сфере теплоснабжения»;</w:t>
      </w:r>
    </w:p>
    <w:p w14:paraId="30E4C30E" w14:textId="77777777" w:rsidR="00F22587" w:rsidRPr="000E5DBF" w:rsidRDefault="00F22587" w:rsidP="00F22587">
      <w:pPr>
        <w:tabs>
          <w:tab w:val="num" w:pos="360"/>
          <w:tab w:val="num" w:pos="1080"/>
        </w:tabs>
        <w:spacing w:line="276" w:lineRule="auto"/>
        <w:ind w:left="-142" w:firstLine="505"/>
        <w:jc w:val="both"/>
        <w:rPr>
          <w:rFonts w:eastAsia="Calibri"/>
          <w:sz w:val="28"/>
          <w:szCs w:val="28"/>
          <w:lang w:eastAsia="en-US"/>
        </w:rPr>
      </w:pPr>
      <w:r w:rsidRPr="000E5DBF">
        <w:rPr>
          <w:rFonts w:eastAsia="Calibri"/>
          <w:sz w:val="28"/>
          <w:szCs w:val="28"/>
          <w:lang w:eastAsia="en-US"/>
        </w:rPr>
        <w:t>- Постановление Правительства РФ от 05.05.2014 № 410 «О порядке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w:t>
      </w:r>
    </w:p>
    <w:p w14:paraId="531BAA9B" w14:textId="77777777" w:rsidR="00F22587" w:rsidRPr="000E5DBF" w:rsidRDefault="00F22587" w:rsidP="00F22587">
      <w:pPr>
        <w:tabs>
          <w:tab w:val="num" w:pos="360"/>
          <w:tab w:val="num" w:pos="1080"/>
        </w:tabs>
        <w:spacing w:line="276" w:lineRule="auto"/>
        <w:ind w:left="-142" w:firstLine="505"/>
        <w:jc w:val="both"/>
        <w:rPr>
          <w:rFonts w:eastAsia="Calibri"/>
          <w:sz w:val="28"/>
          <w:szCs w:val="28"/>
          <w:lang w:eastAsia="en-US"/>
        </w:rPr>
      </w:pPr>
      <w:r w:rsidRPr="000E5DBF">
        <w:rPr>
          <w:sz w:val="28"/>
          <w:szCs w:val="28"/>
        </w:rPr>
        <w:t>- Приказ Министерства строительства и жилищно-коммунального хозяйства Российской Федерации от 28.08.2014 № 506/пр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676CD0D3" w14:textId="77777777" w:rsidR="00F22587" w:rsidRPr="000E5DBF" w:rsidRDefault="00F22587" w:rsidP="00F22587">
      <w:pPr>
        <w:tabs>
          <w:tab w:val="num" w:pos="360"/>
          <w:tab w:val="num" w:pos="1080"/>
        </w:tabs>
        <w:spacing w:line="276" w:lineRule="auto"/>
        <w:ind w:left="-142" w:firstLine="505"/>
        <w:jc w:val="both"/>
        <w:rPr>
          <w:rFonts w:eastAsia="Calibri"/>
          <w:sz w:val="28"/>
          <w:szCs w:val="28"/>
          <w:lang w:eastAsia="en-US"/>
        </w:rPr>
      </w:pPr>
      <w:r w:rsidRPr="000E5DBF">
        <w:rPr>
          <w:rFonts w:eastAsia="Calibri"/>
          <w:sz w:val="28"/>
          <w:szCs w:val="28"/>
          <w:lang w:eastAsia="en-US"/>
        </w:rPr>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54942AA8" w14:textId="77777777" w:rsidR="00F22587" w:rsidRPr="000E5DBF" w:rsidRDefault="00F22587" w:rsidP="00F22587">
      <w:pPr>
        <w:keepNext/>
        <w:numPr>
          <w:ilvl w:val="0"/>
          <w:numId w:val="16"/>
        </w:numPr>
        <w:spacing w:line="360" w:lineRule="auto"/>
        <w:jc w:val="center"/>
        <w:outlineLvl w:val="0"/>
        <w:rPr>
          <w:b/>
          <w:sz w:val="28"/>
          <w:szCs w:val="20"/>
        </w:rPr>
      </w:pPr>
      <w:r w:rsidRPr="000E5DBF">
        <w:rPr>
          <w:b/>
          <w:sz w:val="28"/>
          <w:szCs w:val="20"/>
        </w:rPr>
        <w:t>Экспертное заключения</w:t>
      </w:r>
    </w:p>
    <w:p w14:paraId="53356079" w14:textId="77777777" w:rsidR="00F22587" w:rsidRPr="000E5DBF" w:rsidRDefault="00F22587" w:rsidP="00F22587">
      <w:pPr>
        <w:tabs>
          <w:tab w:val="num" w:pos="360"/>
          <w:tab w:val="num" w:pos="1080"/>
        </w:tabs>
        <w:spacing w:line="276" w:lineRule="auto"/>
        <w:ind w:left="-142" w:firstLine="505"/>
        <w:jc w:val="both"/>
        <w:rPr>
          <w:rFonts w:eastAsia="Calibri"/>
          <w:sz w:val="28"/>
          <w:szCs w:val="28"/>
          <w:lang w:eastAsia="en-US"/>
        </w:rPr>
      </w:pPr>
      <w:r w:rsidRPr="000E5DBF">
        <w:rPr>
          <w:sz w:val="28"/>
          <w:szCs w:val="28"/>
        </w:rPr>
        <w:t>ООО «</w:t>
      </w:r>
      <w:r w:rsidRPr="000E5DBF">
        <w:rPr>
          <w:bCs/>
          <w:sz w:val="28"/>
          <w:szCs w:val="28"/>
        </w:rPr>
        <w:t xml:space="preserve">УКиТС» </w:t>
      </w:r>
      <w:r w:rsidRPr="000E5DBF">
        <w:rPr>
          <w:sz w:val="28"/>
          <w:szCs w:val="28"/>
        </w:rPr>
        <w:t>представило в Региональную энергетическую комиссию Кузбасса (далее РЭК) заявление с просьбой о внесении изменений в утвержденную инвестиционную программу на 2019 – 2030 гг. год.</w:t>
      </w:r>
    </w:p>
    <w:p w14:paraId="41C2DBF2" w14:textId="77777777" w:rsidR="00F22587" w:rsidRPr="000E5DBF" w:rsidRDefault="00F22587" w:rsidP="00F22587">
      <w:pPr>
        <w:tabs>
          <w:tab w:val="num" w:pos="360"/>
          <w:tab w:val="num" w:pos="1080"/>
        </w:tabs>
        <w:spacing w:line="276" w:lineRule="auto"/>
        <w:ind w:left="-142" w:firstLine="505"/>
        <w:jc w:val="both"/>
        <w:rPr>
          <w:sz w:val="28"/>
          <w:szCs w:val="28"/>
        </w:rPr>
      </w:pPr>
      <w:r w:rsidRPr="000E5DBF">
        <w:rPr>
          <w:sz w:val="28"/>
          <w:szCs w:val="28"/>
        </w:rPr>
        <w:t xml:space="preserve">Региональной энергетической комиссией </w:t>
      </w:r>
      <w:r w:rsidRPr="000E5DBF">
        <w:rPr>
          <w:bCs/>
          <w:kern w:val="32"/>
          <w:sz w:val="28"/>
          <w:szCs w:val="28"/>
        </w:rPr>
        <w:t>Кемеровской области</w:t>
      </w:r>
      <w:r w:rsidRPr="000E5DBF">
        <w:rPr>
          <w:sz w:val="28"/>
          <w:szCs w:val="28"/>
        </w:rPr>
        <w:t xml:space="preserve"> постановлением № 168 от 20.06.2019 для ООО «УКиТС» утверждена инвестиционная программа на 2019 – 2030 гг. в размере 59 900,28 тыс. руб., в том числе из амортизации 51 494,43 тыс. руб., из прибыли 5 955,27 тыс. руб. </w:t>
      </w:r>
    </w:p>
    <w:p w14:paraId="6B7CB285" w14:textId="77777777" w:rsidR="00F22587" w:rsidRPr="000E5DBF" w:rsidRDefault="00F22587" w:rsidP="00F22587">
      <w:pPr>
        <w:tabs>
          <w:tab w:val="num" w:pos="360"/>
          <w:tab w:val="num" w:pos="1080"/>
        </w:tabs>
        <w:spacing w:line="276" w:lineRule="auto"/>
        <w:ind w:left="-142" w:firstLine="505"/>
        <w:jc w:val="both"/>
        <w:rPr>
          <w:sz w:val="28"/>
          <w:szCs w:val="28"/>
        </w:rPr>
      </w:pPr>
      <w:r w:rsidRPr="000E5DBF">
        <w:rPr>
          <w:sz w:val="28"/>
          <w:szCs w:val="28"/>
        </w:rPr>
        <w:t>На основании решения УФАС по Кемеровской области о согласовании изменений условий концессионного соглашения (письмо от 05.07.2021 № 11/6683 Решение о согласовании изменений условий концессионного соглашения), а также заключенного дополнительного соглашения № 2 от 29.11.2021 к Концессионному соглашению в отношении объектов теплоснабжения, находящихся в муниципальной собственности муниципального образования Гурьевский муниципальный район от 20.03.2019 г. обратилось за изменением инвестиционной программы предприятия.</w:t>
      </w:r>
    </w:p>
    <w:p w14:paraId="29D98FD4" w14:textId="77777777" w:rsidR="00F22587" w:rsidRPr="000E5DBF" w:rsidRDefault="00F22587" w:rsidP="00F22587">
      <w:pPr>
        <w:tabs>
          <w:tab w:val="num" w:pos="360"/>
          <w:tab w:val="num" w:pos="1080"/>
        </w:tabs>
        <w:spacing w:line="276" w:lineRule="auto"/>
        <w:ind w:left="-142" w:firstLine="505"/>
        <w:jc w:val="both"/>
        <w:rPr>
          <w:sz w:val="28"/>
          <w:szCs w:val="28"/>
        </w:rPr>
      </w:pPr>
      <w:r w:rsidRPr="000E5DBF">
        <w:rPr>
          <w:sz w:val="28"/>
          <w:szCs w:val="28"/>
        </w:rPr>
        <w:t xml:space="preserve">Предприятие представило измененную инвестиционную программу </w:t>
      </w:r>
      <w:r w:rsidRPr="000E5DBF">
        <w:rPr>
          <w:sz w:val="28"/>
          <w:szCs w:val="28"/>
        </w:rPr>
        <w:br/>
        <w:t xml:space="preserve">в размере 59 900,28 тыс. руб., в том числе из амортизации 51 494,43 тыс. руб., из прибыли 5 955,27 тыс. руб., таким образом, объем средств остается неизменным. </w:t>
      </w:r>
    </w:p>
    <w:p w14:paraId="1A6F8711" w14:textId="77777777" w:rsidR="00F22587" w:rsidRPr="000E5DBF" w:rsidRDefault="00F22587" w:rsidP="00F22587">
      <w:pPr>
        <w:tabs>
          <w:tab w:val="num" w:pos="360"/>
          <w:tab w:val="num" w:pos="1080"/>
        </w:tabs>
        <w:spacing w:line="276" w:lineRule="auto"/>
        <w:ind w:left="-142" w:firstLine="505"/>
        <w:jc w:val="both"/>
        <w:rPr>
          <w:sz w:val="28"/>
          <w:szCs w:val="28"/>
        </w:rPr>
      </w:pPr>
      <w:r w:rsidRPr="000E5DBF">
        <w:rPr>
          <w:sz w:val="28"/>
          <w:szCs w:val="28"/>
        </w:rPr>
        <w:t>Инвестиционная программа представлена в приложении к экспертному заключению.</w:t>
      </w:r>
    </w:p>
    <w:p w14:paraId="439D62DA" w14:textId="77777777" w:rsidR="00F22587" w:rsidRPr="000E5DBF" w:rsidRDefault="00F22587" w:rsidP="00F22587">
      <w:pPr>
        <w:spacing w:line="276" w:lineRule="auto"/>
        <w:ind w:firstLine="708"/>
        <w:jc w:val="both"/>
        <w:rPr>
          <w:bCs/>
          <w:sz w:val="28"/>
          <w:szCs w:val="28"/>
        </w:rPr>
      </w:pPr>
      <w:r w:rsidRPr="000E5DBF">
        <w:rPr>
          <w:bCs/>
          <w:sz w:val="28"/>
          <w:szCs w:val="28"/>
        </w:rPr>
        <w:t xml:space="preserve">Инвестиционная программа соответствует </w:t>
      </w:r>
      <w:hyperlink r:id="rId53" w:history="1">
        <w:r w:rsidRPr="000E5DBF">
          <w:rPr>
            <w:bCs/>
            <w:sz w:val="28"/>
            <w:szCs w:val="28"/>
          </w:rPr>
          <w:t>пунктам 8</w:t>
        </w:r>
      </w:hyperlink>
      <w:r w:rsidRPr="000E5DBF">
        <w:rPr>
          <w:bCs/>
          <w:sz w:val="28"/>
          <w:szCs w:val="28"/>
        </w:rPr>
        <w:t xml:space="preserve"> - </w:t>
      </w:r>
      <w:hyperlink r:id="rId54" w:history="1">
        <w:r w:rsidRPr="000E5DBF">
          <w:rPr>
            <w:bCs/>
            <w:sz w:val="28"/>
            <w:szCs w:val="28"/>
          </w:rPr>
          <w:t>19</w:t>
        </w:r>
      </w:hyperlink>
      <w:r w:rsidRPr="000E5DBF">
        <w:rPr>
          <w:bCs/>
          <w:sz w:val="28"/>
          <w:szCs w:val="28"/>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от 5 мая 2014 г. № 410 (далее Правила).</w:t>
      </w:r>
    </w:p>
    <w:p w14:paraId="07E63092" w14:textId="77777777" w:rsidR="00F22587" w:rsidRPr="000E5DBF" w:rsidRDefault="00F22587" w:rsidP="00F22587">
      <w:pPr>
        <w:spacing w:line="276" w:lineRule="auto"/>
        <w:ind w:firstLine="708"/>
        <w:jc w:val="both"/>
        <w:rPr>
          <w:bCs/>
          <w:sz w:val="28"/>
          <w:szCs w:val="28"/>
        </w:rPr>
      </w:pPr>
      <w:bookmarkStart w:id="88" w:name="_Hlk527560050"/>
      <w:r w:rsidRPr="000E5DBF">
        <w:rPr>
          <w:bCs/>
          <w:sz w:val="28"/>
          <w:szCs w:val="28"/>
        </w:rPr>
        <w:t xml:space="preserve">В соответствии с </w:t>
      </w:r>
      <w:bookmarkEnd w:id="88"/>
      <w:r w:rsidRPr="000E5DBF">
        <w:rPr>
          <w:bCs/>
          <w:sz w:val="28"/>
          <w:szCs w:val="28"/>
        </w:rPr>
        <w:t>п. 25 Правил инвестиционная программа письмом согласована администрацией Гурьевского округа.</w:t>
      </w:r>
    </w:p>
    <w:p w14:paraId="24E20FAE" w14:textId="77777777" w:rsidR="00F22587" w:rsidRPr="000E5DBF" w:rsidRDefault="00F22587" w:rsidP="00F22587">
      <w:pPr>
        <w:spacing w:line="276" w:lineRule="auto"/>
        <w:ind w:firstLine="708"/>
        <w:jc w:val="both"/>
        <w:rPr>
          <w:bCs/>
          <w:sz w:val="28"/>
          <w:szCs w:val="28"/>
        </w:rPr>
      </w:pPr>
      <w:r w:rsidRPr="000E5DBF">
        <w:rPr>
          <w:bCs/>
          <w:sz w:val="28"/>
          <w:szCs w:val="28"/>
        </w:rPr>
        <w:t>В качестве обосновывающих материалов представлены договоры на выполняемые работы, сметные расчеты, коммерческие предложения.</w:t>
      </w:r>
    </w:p>
    <w:p w14:paraId="0F805A5C" w14:textId="77777777" w:rsidR="00F22587" w:rsidRPr="000E5DBF" w:rsidRDefault="00F22587" w:rsidP="00F22587">
      <w:pPr>
        <w:spacing w:line="276" w:lineRule="auto"/>
        <w:ind w:firstLine="709"/>
        <w:jc w:val="both"/>
        <w:rPr>
          <w:sz w:val="28"/>
          <w:szCs w:val="28"/>
        </w:rPr>
      </w:pPr>
      <w:r w:rsidRPr="000E5DBF">
        <w:rPr>
          <w:sz w:val="28"/>
          <w:szCs w:val="28"/>
        </w:rPr>
        <w:t>Обоснованность стоимостных показателей (сметных расчетов), включаемых экспертами в инвестиционную программу, проверена с помощью программного комплекса ГРАНД-Смета.</w:t>
      </w:r>
    </w:p>
    <w:p w14:paraId="4A172E39" w14:textId="77777777" w:rsidR="00F22587" w:rsidRPr="000E5DBF" w:rsidRDefault="00F22587" w:rsidP="00F22587">
      <w:pPr>
        <w:spacing w:line="276" w:lineRule="auto"/>
        <w:ind w:firstLine="708"/>
        <w:jc w:val="both"/>
        <w:rPr>
          <w:sz w:val="28"/>
          <w:szCs w:val="28"/>
        </w:rPr>
      </w:pPr>
      <w:r w:rsidRPr="000E5DBF">
        <w:rPr>
          <w:bCs/>
          <w:sz w:val="28"/>
          <w:szCs w:val="28"/>
        </w:rPr>
        <w:t xml:space="preserve">Рассмотрев представленные обосновывающие документы, экспертная группа предлагает принять объем финансирования инвестиционной программы на 2019 - 2030 гг. в размере </w:t>
      </w:r>
      <w:r w:rsidRPr="000E5DBF">
        <w:rPr>
          <w:sz w:val="28"/>
          <w:szCs w:val="28"/>
        </w:rPr>
        <w:t xml:space="preserve">59 900,28 тыс. руб., в том числе из амортизации 51 494,43 тыс. руб., из прибыли 5 955,27 тыс. руб. </w:t>
      </w:r>
    </w:p>
    <w:p w14:paraId="76552063" w14:textId="77777777" w:rsidR="00F22587" w:rsidRPr="000E5DBF" w:rsidRDefault="00F22587" w:rsidP="00F22587">
      <w:pPr>
        <w:tabs>
          <w:tab w:val="left" w:pos="720"/>
        </w:tabs>
        <w:spacing w:line="360" w:lineRule="auto"/>
        <w:ind w:firstLine="709"/>
        <w:jc w:val="right"/>
        <w:rPr>
          <w:sz w:val="28"/>
          <w:szCs w:val="28"/>
        </w:rPr>
      </w:pPr>
      <w:r w:rsidRPr="000E5DBF">
        <w:rPr>
          <w:sz w:val="28"/>
          <w:szCs w:val="28"/>
        </w:rPr>
        <w:t>Таблица 1</w:t>
      </w:r>
    </w:p>
    <w:p w14:paraId="3AC87472" w14:textId="77777777" w:rsidR="00F22587" w:rsidRPr="000E5DBF" w:rsidRDefault="00F22587" w:rsidP="00F22587">
      <w:pPr>
        <w:autoSpaceDE w:val="0"/>
        <w:autoSpaceDN w:val="0"/>
        <w:adjustRightInd w:val="0"/>
        <w:jc w:val="center"/>
        <w:rPr>
          <w:bCs/>
          <w:color w:val="000000"/>
        </w:rPr>
      </w:pPr>
      <w:r w:rsidRPr="000E5DBF">
        <w:rPr>
          <w:b/>
          <w:bCs/>
          <w:sz w:val="28"/>
          <w:szCs w:val="28"/>
        </w:rPr>
        <w:t>Финансовый план ООО «Управление котельных и тепловых сетей» (г. Гурьевск) в сфере теплоснабжения на 2019-2030 годы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76"/>
        <w:gridCol w:w="1176"/>
        <w:gridCol w:w="905"/>
        <w:gridCol w:w="605"/>
        <w:gridCol w:w="532"/>
        <w:gridCol w:w="532"/>
        <w:gridCol w:w="532"/>
        <w:gridCol w:w="532"/>
        <w:gridCol w:w="532"/>
        <w:gridCol w:w="532"/>
        <w:gridCol w:w="532"/>
        <w:gridCol w:w="532"/>
        <w:gridCol w:w="532"/>
        <w:gridCol w:w="532"/>
        <w:gridCol w:w="532"/>
        <w:gridCol w:w="532"/>
      </w:tblGrid>
      <w:tr w:rsidR="00F22587" w:rsidRPr="000E5DBF" w14:paraId="0FF4BB52" w14:textId="77777777" w:rsidTr="008A5C11">
        <w:trPr>
          <w:trHeight w:val="480"/>
        </w:trPr>
        <w:tc>
          <w:tcPr>
            <w:tcW w:w="170" w:type="pct"/>
            <w:vMerge w:val="restart"/>
            <w:shd w:val="clear" w:color="auto" w:fill="auto"/>
            <w:vAlign w:val="center"/>
            <w:hideMark/>
          </w:tcPr>
          <w:p w14:paraId="37280445" w14:textId="77777777" w:rsidR="00F22587" w:rsidRPr="000E5DBF" w:rsidRDefault="00F22587" w:rsidP="008A5C11">
            <w:pPr>
              <w:jc w:val="center"/>
              <w:rPr>
                <w:bCs/>
                <w:sz w:val="16"/>
                <w:szCs w:val="16"/>
              </w:rPr>
            </w:pPr>
            <w:r w:rsidRPr="000E5DBF">
              <w:rPr>
                <w:bCs/>
                <w:sz w:val="16"/>
                <w:szCs w:val="16"/>
              </w:rPr>
              <w:t>№ п/п</w:t>
            </w:r>
          </w:p>
        </w:tc>
        <w:tc>
          <w:tcPr>
            <w:tcW w:w="1113" w:type="pct"/>
            <w:vMerge w:val="restart"/>
            <w:shd w:val="clear" w:color="auto" w:fill="auto"/>
            <w:vAlign w:val="center"/>
            <w:hideMark/>
          </w:tcPr>
          <w:p w14:paraId="15389027" w14:textId="77777777" w:rsidR="00F22587" w:rsidRPr="000E5DBF" w:rsidRDefault="00F22587" w:rsidP="008A5C11">
            <w:pPr>
              <w:jc w:val="center"/>
              <w:rPr>
                <w:bCs/>
                <w:sz w:val="16"/>
                <w:szCs w:val="16"/>
              </w:rPr>
            </w:pPr>
            <w:r w:rsidRPr="000E5DBF">
              <w:rPr>
                <w:bCs/>
                <w:sz w:val="16"/>
                <w:szCs w:val="16"/>
              </w:rPr>
              <w:t>Источники финансирования</w:t>
            </w:r>
          </w:p>
        </w:tc>
        <w:tc>
          <w:tcPr>
            <w:tcW w:w="3716" w:type="pct"/>
            <w:gridSpan w:val="14"/>
            <w:shd w:val="clear" w:color="auto" w:fill="auto"/>
            <w:vAlign w:val="center"/>
            <w:hideMark/>
          </w:tcPr>
          <w:p w14:paraId="35FEEDC7" w14:textId="77777777" w:rsidR="00F22587" w:rsidRPr="000E5DBF" w:rsidRDefault="00F22587" w:rsidP="008A5C11">
            <w:pPr>
              <w:ind w:right="3938"/>
              <w:jc w:val="center"/>
              <w:rPr>
                <w:bCs/>
                <w:sz w:val="16"/>
                <w:szCs w:val="16"/>
              </w:rPr>
            </w:pPr>
            <w:r w:rsidRPr="000E5DBF">
              <w:rPr>
                <w:bCs/>
                <w:sz w:val="16"/>
                <w:szCs w:val="16"/>
              </w:rPr>
              <w:t>Расходы на реализацию инвестиционной программы (тыс. руб. без НДС)</w:t>
            </w:r>
          </w:p>
        </w:tc>
      </w:tr>
      <w:tr w:rsidR="00F22587" w:rsidRPr="000E5DBF" w14:paraId="21F19456" w14:textId="77777777" w:rsidTr="008A5C11">
        <w:trPr>
          <w:trHeight w:val="600"/>
        </w:trPr>
        <w:tc>
          <w:tcPr>
            <w:tcW w:w="170" w:type="pct"/>
            <w:vMerge/>
            <w:vAlign w:val="center"/>
            <w:hideMark/>
          </w:tcPr>
          <w:p w14:paraId="3AC2EBF7" w14:textId="77777777" w:rsidR="00F22587" w:rsidRPr="000E5DBF" w:rsidRDefault="00F22587" w:rsidP="008A5C11">
            <w:pPr>
              <w:rPr>
                <w:bCs/>
                <w:sz w:val="16"/>
                <w:szCs w:val="16"/>
              </w:rPr>
            </w:pPr>
          </w:p>
        </w:tc>
        <w:tc>
          <w:tcPr>
            <w:tcW w:w="1113" w:type="pct"/>
            <w:vMerge/>
            <w:vAlign w:val="center"/>
            <w:hideMark/>
          </w:tcPr>
          <w:p w14:paraId="62E33EE4" w14:textId="77777777" w:rsidR="00F22587" w:rsidRPr="000E5DBF" w:rsidRDefault="00F22587" w:rsidP="008A5C11">
            <w:pPr>
              <w:rPr>
                <w:bCs/>
                <w:sz w:val="16"/>
                <w:szCs w:val="16"/>
              </w:rPr>
            </w:pPr>
          </w:p>
        </w:tc>
        <w:tc>
          <w:tcPr>
            <w:tcW w:w="475" w:type="pct"/>
            <w:shd w:val="clear" w:color="auto" w:fill="auto"/>
            <w:vAlign w:val="center"/>
            <w:hideMark/>
          </w:tcPr>
          <w:p w14:paraId="42F09AB4" w14:textId="77777777" w:rsidR="00F22587" w:rsidRPr="000E5DBF" w:rsidRDefault="00F22587" w:rsidP="008A5C11">
            <w:pPr>
              <w:jc w:val="center"/>
              <w:rPr>
                <w:bCs/>
                <w:sz w:val="16"/>
                <w:szCs w:val="16"/>
              </w:rPr>
            </w:pPr>
            <w:r w:rsidRPr="000E5DBF">
              <w:rPr>
                <w:bCs/>
                <w:sz w:val="16"/>
                <w:szCs w:val="16"/>
              </w:rPr>
              <w:t>по видам деятельности</w:t>
            </w:r>
          </w:p>
        </w:tc>
        <w:tc>
          <w:tcPr>
            <w:tcW w:w="319" w:type="pct"/>
            <w:vMerge w:val="restart"/>
            <w:shd w:val="clear" w:color="auto" w:fill="auto"/>
            <w:vAlign w:val="center"/>
            <w:hideMark/>
          </w:tcPr>
          <w:p w14:paraId="236BB81F" w14:textId="77777777" w:rsidR="00F22587" w:rsidRPr="000E5DBF" w:rsidRDefault="00F22587" w:rsidP="008A5C11">
            <w:pPr>
              <w:jc w:val="center"/>
              <w:rPr>
                <w:bCs/>
                <w:sz w:val="16"/>
                <w:szCs w:val="16"/>
              </w:rPr>
            </w:pPr>
            <w:r w:rsidRPr="000E5DBF">
              <w:rPr>
                <w:bCs/>
                <w:sz w:val="16"/>
                <w:szCs w:val="16"/>
              </w:rPr>
              <w:t>Всего</w:t>
            </w:r>
          </w:p>
        </w:tc>
        <w:tc>
          <w:tcPr>
            <w:tcW w:w="2923" w:type="pct"/>
            <w:gridSpan w:val="12"/>
            <w:shd w:val="clear" w:color="auto" w:fill="auto"/>
            <w:vAlign w:val="center"/>
            <w:hideMark/>
          </w:tcPr>
          <w:p w14:paraId="768330BC" w14:textId="77777777" w:rsidR="00F22587" w:rsidRPr="000E5DBF" w:rsidRDefault="00F22587" w:rsidP="008A5C11">
            <w:pPr>
              <w:jc w:val="center"/>
              <w:rPr>
                <w:bCs/>
                <w:sz w:val="16"/>
                <w:szCs w:val="16"/>
              </w:rPr>
            </w:pPr>
            <w:r w:rsidRPr="000E5DBF">
              <w:rPr>
                <w:bCs/>
                <w:sz w:val="16"/>
                <w:szCs w:val="16"/>
              </w:rPr>
              <w:t>в т.ч. по годам реализации</w:t>
            </w:r>
          </w:p>
        </w:tc>
      </w:tr>
      <w:tr w:rsidR="00F22587" w:rsidRPr="000E5DBF" w14:paraId="20D67581" w14:textId="77777777" w:rsidTr="008A5C11">
        <w:trPr>
          <w:trHeight w:val="810"/>
        </w:trPr>
        <w:tc>
          <w:tcPr>
            <w:tcW w:w="170" w:type="pct"/>
            <w:vMerge/>
            <w:vAlign w:val="center"/>
            <w:hideMark/>
          </w:tcPr>
          <w:p w14:paraId="4BD45A6B" w14:textId="77777777" w:rsidR="00F22587" w:rsidRPr="000E5DBF" w:rsidRDefault="00F22587" w:rsidP="008A5C11">
            <w:pPr>
              <w:rPr>
                <w:bCs/>
                <w:sz w:val="16"/>
                <w:szCs w:val="16"/>
              </w:rPr>
            </w:pPr>
          </w:p>
        </w:tc>
        <w:tc>
          <w:tcPr>
            <w:tcW w:w="1113" w:type="pct"/>
            <w:vMerge/>
            <w:vAlign w:val="center"/>
            <w:hideMark/>
          </w:tcPr>
          <w:p w14:paraId="2C9D9709" w14:textId="77777777" w:rsidR="00F22587" w:rsidRPr="000E5DBF" w:rsidRDefault="00F22587" w:rsidP="008A5C11">
            <w:pPr>
              <w:rPr>
                <w:bCs/>
                <w:sz w:val="16"/>
                <w:szCs w:val="16"/>
              </w:rPr>
            </w:pPr>
          </w:p>
        </w:tc>
        <w:tc>
          <w:tcPr>
            <w:tcW w:w="475" w:type="pct"/>
            <w:shd w:val="clear" w:color="auto" w:fill="auto"/>
            <w:vAlign w:val="center"/>
            <w:hideMark/>
          </w:tcPr>
          <w:p w14:paraId="34B7F7C8" w14:textId="77777777" w:rsidR="00F22587" w:rsidRPr="000E5DBF" w:rsidRDefault="00F22587" w:rsidP="008A5C11">
            <w:pPr>
              <w:jc w:val="center"/>
              <w:rPr>
                <w:bCs/>
                <w:iCs/>
                <w:sz w:val="16"/>
                <w:szCs w:val="16"/>
              </w:rPr>
            </w:pPr>
            <w:r w:rsidRPr="000E5DBF">
              <w:rPr>
                <w:bCs/>
                <w:iCs/>
                <w:sz w:val="16"/>
                <w:szCs w:val="16"/>
              </w:rPr>
              <w:t>производство пара и горячей воды</w:t>
            </w:r>
          </w:p>
        </w:tc>
        <w:tc>
          <w:tcPr>
            <w:tcW w:w="319" w:type="pct"/>
            <w:vMerge/>
            <w:vAlign w:val="center"/>
            <w:hideMark/>
          </w:tcPr>
          <w:p w14:paraId="10A98063" w14:textId="77777777" w:rsidR="00F22587" w:rsidRPr="000E5DBF" w:rsidRDefault="00F22587" w:rsidP="008A5C11">
            <w:pPr>
              <w:rPr>
                <w:bCs/>
                <w:sz w:val="16"/>
                <w:szCs w:val="16"/>
              </w:rPr>
            </w:pPr>
          </w:p>
        </w:tc>
        <w:tc>
          <w:tcPr>
            <w:tcW w:w="286" w:type="pct"/>
            <w:shd w:val="clear" w:color="auto" w:fill="auto"/>
            <w:vAlign w:val="center"/>
          </w:tcPr>
          <w:p w14:paraId="51AF0971" w14:textId="77777777" w:rsidR="00F22587" w:rsidRPr="000E5DBF" w:rsidRDefault="00F22587" w:rsidP="008A5C11">
            <w:pPr>
              <w:jc w:val="center"/>
              <w:rPr>
                <w:bCs/>
                <w:sz w:val="16"/>
                <w:szCs w:val="16"/>
              </w:rPr>
            </w:pPr>
            <w:r w:rsidRPr="000E5DBF">
              <w:rPr>
                <w:bCs/>
                <w:sz w:val="16"/>
                <w:szCs w:val="16"/>
              </w:rPr>
              <w:t>2019</w:t>
            </w:r>
          </w:p>
        </w:tc>
        <w:tc>
          <w:tcPr>
            <w:tcW w:w="286" w:type="pct"/>
            <w:shd w:val="clear" w:color="auto" w:fill="auto"/>
            <w:vAlign w:val="center"/>
          </w:tcPr>
          <w:p w14:paraId="430A05B9" w14:textId="77777777" w:rsidR="00F22587" w:rsidRPr="000E5DBF" w:rsidRDefault="00F22587" w:rsidP="008A5C11">
            <w:pPr>
              <w:jc w:val="center"/>
              <w:rPr>
                <w:bCs/>
                <w:sz w:val="16"/>
                <w:szCs w:val="16"/>
              </w:rPr>
            </w:pPr>
            <w:r w:rsidRPr="000E5DBF">
              <w:rPr>
                <w:bCs/>
                <w:sz w:val="16"/>
                <w:szCs w:val="16"/>
              </w:rPr>
              <w:t>2020</w:t>
            </w:r>
          </w:p>
        </w:tc>
        <w:tc>
          <w:tcPr>
            <w:tcW w:w="286" w:type="pct"/>
            <w:shd w:val="clear" w:color="auto" w:fill="auto"/>
            <w:vAlign w:val="center"/>
          </w:tcPr>
          <w:p w14:paraId="728A6398" w14:textId="77777777" w:rsidR="00F22587" w:rsidRPr="000E5DBF" w:rsidRDefault="00F22587" w:rsidP="008A5C11">
            <w:pPr>
              <w:jc w:val="center"/>
              <w:rPr>
                <w:bCs/>
                <w:sz w:val="16"/>
                <w:szCs w:val="16"/>
              </w:rPr>
            </w:pPr>
            <w:r w:rsidRPr="000E5DBF">
              <w:rPr>
                <w:bCs/>
                <w:sz w:val="16"/>
                <w:szCs w:val="16"/>
              </w:rPr>
              <w:t>2021</w:t>
            </w:r>
          </w:p>
        </w:tc>
        <w:tc>
          <w:tcPr>
            <w:tcW w:w="240" w:type="pct"/>
            <w:vAlign w:val="center"/>
          </w:tcPr>
          <w:p w14:paraId="421BB2CF" w14:textId="77777777" w:rsidR="00F22587" w:rsidRPr="000E5DBF" w:rsidRDefault="00F22587" w:rsidP="008A5C11">
            <w:pPr>
              <w:jc w:val="center"/>
              <w:rPr>
                <w:bCs/>
                <w:sz w:val="16"/>
                <w:szCs w:val="16"/>
              </w:rPr>
            </w:pPr>
            <w:r w:rsidRPr="000E5DBF">
              <w:rPr>
                <w:bCs/>
                <w:sz w:val="16"/>
                <w:szCs w:val="16"/>
              </w:rPr>
              <w:t>2022</w:t>
            </w:r>
          </w:p>
        </w:tc>
        <w:tc>
          <w:tcPr>
            <w:tcW w:w="234" w:type="pct"/>
            <w:vAlign w:val="center"/>
          </w:tcPr>
          <w:p w14:paraId="3BA77AF4" w14:textId="77777777" w:rsidR="00F22587" w:rsidRPr="000E5DBF" w:rsidRDefault="00F22587" w:rsidP="008A5C11">
            <w:pPr>
              <w:jc w:val="center"/>
              <w:rPr>
                <w:bCs/>
                <w:sz w:val="16"/>
                <w:szCs w:val="16"/>
              </w:rPr>
            </w:pPr>
            <w:r w:rsidRPr="000E5DBF">
              <w:rPr>
                <w:bCs/>
                <w:sz w:val="16"/>
                <w:szCs w:val="16"/>
              </w:rPr>
              <w:t>2023</w:t>
            </w:r>
          </w:p>
        </w:tc>
        <w:tc>
          <w:tcPr>
            <w:tcW w:w="234" w:type="pct"/>
            <w:vAlign w:val="center"/>
          </w:tcPr>
          <w:p w14:paraId="2324AE9F" w14:textId="77777777" w:rsidR="00F22587" w:rsidRPr="000E5DBF" w:rsidRDefault="00F22587" w:rsidP="008A5C11">
            <w:pPr>
              <w:jc w:val="center"/>
              <w:rPr>
                <w:bCs/>
                <w:sz w:val="16"/>
                <w:szCs w:val="16"/>
              </w:rPr>
            </w:pPr>
            <w:r w:rsidRPr="000E5DBF">
              <w:rPr>
                <w:bCs/>
                <w:sz w:val="16"/>
                <w:szCs w:val="16"/>
              </w:rPr>
              <w:t>2024</w:t>
            </w:r>
          </w:p>
        </w:tc>
        <w:tc>
          <w:tcPr>
            <w:tcW w:w="234" w:type="pct"/>
            <w:vAlign w:val="center"/>
          </w:tcPr>
          <w:p w14:paraId="514BC448" w14:textId="77777777" w:rsidR="00F22587" w:rsidRPr="000E5DBF" w:rsidRDefault="00F22587" w:rsidP="008A5C11">
            <w:pPr>
              <w:jc w:val="center"/>
              <w:rPr>
                <w:bCs/>
                <w:sz w:val="16"/>
                <w:szCs w:val="16"/>
              </w:rPr>
            </w:pPr>
            <w:r w:rsidRPr="000E5DBF">
              <w:rPr>
                <w:bCs/>
                <w:sz w:val="16"/>
                <w:szCs w:val="16"/>
              </w:rPr>
              <w:t>2025</w:t>
            </w:r>
          </w:p>
        </w:tc>
        <w:tc>
          <w:tcPr>
            <w:tcW w:w="234" w:type="pct"/>
            <w:vAlign w:val="center"/>
          </w:tcPr>
          <w:p w14:paraId="62B5D2AC" w14:textId="77777777" w:rsidR="00F22587" w:rsidRPr="000E5DBF" w:rsidRDefault="00F22587" w:rsidP="008A5C11">
            <w:pPr>
              <w:jc w:val="center"/>
              <w:rPr>
                <w:bCs/>
                <w:sz w:val="16"/>
                <w:szCs w:val="16"/>
              </w:rPr>
            </w:pPr>
            <w:r w:rsidRPr="000E5DBF">
              <w:rPr>
                <w:bCs/>
                <w:sz w:val="16"/>
                <w:szCs w:val="16"/>
              </w:rPr>
              <w:t>2026</w:t>
            </w:r>
          </w:p>
        </w:tc>
        <w:tc>
          <w:tcPr>
            <w:tcW w:w="203" w:type="pct"/>
            <w:vAlign w:val="center"/>
          </w:tcPr>
          <w:p w14:paraId="74600C7D" w14:textId="77777777" w:rsidR="00F22587" w:rsidRPr="000E5DBF" w:rsidRDefault="00F22587" w:rsidP="008A5C11">
            <w:pPr>
              <w:jc w:val="center"/>
              <w:rPr>
                <w:bCs/>
                <w:sz w:val="16"/>
                <w:szCs w:val="16"/>
              </w:rPr>
            </w:pPr>
            <w:r w:rsidRPr="000E5DBF">
              <w:rPr>
                <w:bCs/>
                <w:sz w:val="16"/>
                <w:szCs w:val="16"/>
              </w:rPr>
              <w:t>2027</w:t>
            </w:r>
          </w:p>
        </w:tc>
        <w:tc>
          <w:tcPr>
            <w:tcW w:w="203" w:type="pct"/>
            <w:vAlign w:val="center"/>
          </w:tcPr>
          <w:p w14:paraId="23CC08DB" w14:textId="77777777" w:rsidR="00F22587" w:rsidRPr="000E5DBF" w:rsidRDefault="00F22587" w:rsidP="008A5C11">
            <w:pPr>
              <w:jc w:val="center"/>
              <w:rPr>
                <w:bCs/>
                <w:sz w:val="16"/>
                <w:szCs w:val="16"/>
              </w:rPr>
            </w:pPr>
            <w:r w:rsidRPr="000E5DBF">
              <w:rPr>
                <w:bCs/>
                <w:sz w:val="16"/>
                <w:szCs w:val="16"/>
              </w:rPr>
              <w:t>2028</w:t>
            </w:r>
          </w:p>
        </w:tc>
        <w:tc>
          <w:tcPr>
            <w:tcW w:w="203" w:type="pct"/>
            <w:vAlign w:val="center"/>
          </w:tcPr>
          <w:p w14:paraId="657C6D55" w14:textId="77777777" w:rsidR="00F22587" w:rsidRPr="000E5DBF" w:rsidRDefault="00F22587" w:rsidP="008A5C11">
            <w:pPr>
              <w:jc w:val="center"/>
              <w:rPr>
                <w:bCs/>
                <w:sz w:val="16"/>
                <w:szCs w:val="16"/>
              </w:rPr>
            </w:pPr>
            <w:r w:rsidRPr="000E5DBF">
              <w:rPr>
                <w:bCs/>
                <w:sz w:val="16"/>
                <w:szCs w:val="16"/>
              </w:rPr>
              <w:t>2029</w:t>
            </w:r>
          </w:p>
        </w:tc>
        <w:tc>
          <w:tcPr>
            <w:tcW w:w="279" w:type="pct"/>
            <w:vAlign w:val="center"/>
          </w:tcPr>
          <w:p w14:paraId="717B436C" w14:textId="77777777" w:rsidR="00F22587" w:rsidRPr="000E5DBF" w:rsidRDefault="00F22587" w:rsidP="008A5C11">
            <w:pPr>
              <w:jc w:val="center"/>
              <w:rPr>
                <w:bCs/>
                <w:sz w:val="16"/>
                <w:szCs w:val="16"/>
              </w:rPr>
            </w:pPr>
            <w:r w:rsidRPr="000E5DBF">
              <w:rPr>
                <w:bCs/>
                <w:sz w:val="16"/>
                <w:szCs w:val="16"/>
              </w:rPr>
              <w:t>2030</w:t>
            </w:r>
          </w:p>
        </w:tc>
      </w:tr>
      <w:tr w:rsidR="00F22587" w:rsidRPr="000E5DBF" w14:paraId="166CF201" w14:textId="77777777" w:rsidTr="008A5C11">
        <w:trPr>
          <w:trHeight w:val="255"/>
        </w:trPr>
        <w:tc>
          <w:tcPr>
            <w:tcW w:w="170" w:type="pct"/>
            <w:shd w:val="clear" w:color="auto" w:fill="auto"/>
            <w:vAlign w:val="center"/>
            <w:hideMark/>
          </w:tcPr>
          <w:p w14:paraId="5E66A5A9" w14:textId="77777777" w:rsidR="00F22587" w:rsidRPr="000E5DBF" w:rsidRDefault="00F22587" w:rsidP="008A5C11">
            <w:pPr>
              <w:jc w:val="center"/>
              <w:rPr>
                <w:bCs/>
                <w:sz w:val="16"/>
                <w:szCs w:val="16"/>
              </w:rPr>
            </w:pPr>
            <w:r w:rsidRPr="000E5DBF">
              <w:rPr>
                <w:bCs/>
                <w:sz w:val="16"/>
                <w:szCs w:val="16"/>
              </w:rPr>
              <w:t>1</w:t>
            </w:r>
          </w:p>
        </w:tc>
        <w:tc>
          <w:tcPr>
            <w:tcW w:w="1113" w:type="pct"/>
            <w:shd w:val="clear" w:color="auto" w:fill="auto"/>
            <w:vAlign w:val="center"/>
            <w:hideMark/>
          </w:tcPr>
          <w:p w14:paraId="22EE2F65" w14:textId="77777777" w:rsidR="00F22587" w:rsidRPr="000E5DBF" w:rsidRDefault="00F22587" w:rsidP="008A5C11">
            <w:pPr>
              <w:rPr>
                <w:bCs/>
                <w:sz w:val="16"/>
                <w:szCs w:val="16"/>
              </w:rPr>
            </w:pPr>
            <w:r w:rsidRPr="000E5DBF">
              <w:rPr>
                <w:bCs/>
                <w:sz w:val="16"/>
                <w:szCs w:val="16"/>
              </w:rPr>
              <w:t>Собственные средства</w:t>
            </w:r>
          </w:p>
        </w:tc>
        <w:tc>
          <w:tcPr>
            <w:tcW w:w="475" w:type="pct"/>
            <w:shd w:val="clear" w:color="auto" w:fill="auto"/>
            <w:vAlign w:val="center"/>
          </w:tcPr>
          <w:p w14:paraId="269CF7DB" w14:textId="77777777" w:rsidR="00F22587" w:rsidRPr="000E5DBF" w:rsidRDefault="00F22587" w:rsidP="008A5C11">
            <w:pPr>
              <w:jc w:val="center"/>
              <w:rPr>
                <w:color w:val="000000"/>
                <w:sz w:val="16"/>
                <w:szCs w:val="16"/>
              </w:rPr>
            </w:pPr>
            <w:r w:rsidRPr="000E5DBF">
              <w:rPr>
                <w:color w:val="000000"/>
                <w:sz w:val="16"/>
                <w:szCs w:val="16"/>
              </w:rPr>
              <w:t>59900,28</w:t>
            </w:r>
          </w:p>
        </w:tc>
        <w:tc>
          <w:tcPr>
            <w:tcW w:w="319" w:type="pct"/>
            <w:shd w:val="clear" w:color="auto" w:fill="auto"/>
            <w:vAlign w:val="center"/>
          </w:tcPr>
          <w:p w14:paraId="6EDD4EF1" w14:textId="77777777" w:rsidR="00F22587" w:rsidRPr="000E5DBF" w:rsidRDefault="00F22587" w:rsidP="008A5C11">
            <w:pPr>
              <w:jc w:val="center"/>
              <w:rPr>
                <w:color w:val="000000"/>
                <w:sz w:val="16"/>
                <w:szCs w:val="16"/>
              </w:rPr>
            </w:pPr>
            <w:r w:rsidRPr="000E5DBF">
              <w:rPr>
                <w:color w:val="000000"/>
                <w:sz w:val="16"/>
                <w:szCs w:val="16"/>
              </w:rPr>
              <w:t>59900,28</w:t>
            </w:r>
          </w:p>
        </w:tc>
        <w:tc>
          <w:tcPr>
            <w:tcW w:w="286" w:type="pct"/>
            <w:shd w:val="clear" w:color="auto" w:fill="auto"/>
            <w:vAlign w:val="center"/>
          </w:tcPr>
          <w:p w14:paraId="3B2A7135" w14:textId="77777777" w:rsidR="00F22587" w:rsidRPr="000E5DBF" w:rsidRDefault="00F22587" w:rsidP="008A5C11">
            <w:pPr>
              <w:jc w:val="center"/>
              <w:rPr>
                <w:color w:val="000000"/>
                <w:sz w:val="16"/>
                <w:szCs w:val="16"/>
              </w:rPr>
            </w:pPr>
            <w:r w:rsidRPr="000E5DBF">
              <w:rPr>
                <w:color w:val="000000"/>
                <w:sz w:val="16"/>
                <w:szCs w:val="16"/>
              </w:rPr>
              <w:t>4685,98</w:t>
            </w:r>
          </w:p>
        </w:tc>
        <w:tc>
          <w:tcPr>
            <w:tcW w:w="286" w:type="pct"/>
            <w:shd w:val="clear" w:color="auto" w:fill="auto"/>
            <w:vAlign w:val="center"/>
          </w:tcPr>
          <w:p w14:paraId="6645C941" w14:textId="77777777" w:rsidR="00F22587" w:rsidRPr="000E5DBF" w:rsidRDefault="00F22587" w:rsidP="008A5C11">
            <w:pPr>
              <w:jc w:val="center"/>
              <w:rPr>
                <w:color w:val="000000"/>
                <w:sz w:val="16"/>
                <w:szCs w:val="16"/>
              </w:rPr>
            </w:pPr>
            <w:r w:rsidRPr="000E5DBF">
              <w:rPr>
                <w:color w:val="000000"/>
                <w:sz w:val="16"/>
                <w:szCs w:val="16"/>
              </w:rPr>
              <w:t>5551,50</w:t>
            </w:r>
          </w:p>
        </w:tc>
        <w:tc>
          <w:tcPr>
            <w:tcW w:w="286" w:type="pct"/>
            <w:shd w:val="clear" w:color="auto" w:fill="auto"/>
            <w:vAlign w:val="center"/>
          </w:tcPr>
          <w:p w14:paraId="1E46BC00" w14:textId="77777777" w:rsidR="00F22587" w:rsidRPr="000E5DBF" w:rsidRDefault="00F22587" w:rsidP="008A5C11">
            <w:pPr>
              <w:jc w:val="center"/>
              <w:rPr>
                <w:color w:val="000000"/>
                <w:sz w:val="16"/>
                <w:szCs w:val="16"/>
              </w:rPr>
            </w:pPr>
            <w:r w:rsidRPr="000E5DBF">
              <w:rPr>
                <w:color w:val="000000"/>
                <w:sz w:val="16"/>
                <w:szCs w:val="16"/>
              </w:rPr>
              <w:t>6216,00</w:t>
            </w:r>
          </w:p>
        </w:tc>
        <w:tc>
          <w:tcPr>
            <w:tcW w:w="240" w:type="pct"/>
            <w:shd w:val="clear" w:color="auto" w:fill="auto"/>
            <w:vAlign w:val="center"/>
          </w:tcPr>
          <w:p w14:paraId="1AA7095E" w14:textId="77777777" w:rsidR="00F22587" w:rsidRPr="000E5DBF" w:rsidRDefault="00F22587" w:rsidP="008A5C11">
            <w:pPr>
              <w:jc w:val="center"/>
              <w:rPr>
                <w:color w:val="000000"/>
                <w:sz w:val="16"/>
                <w:szCs w:val="16"/>
              </w:rPr>
            </w:pPr>
            <w:r w:rsidRPr="000E5DBF">
              <w:rPr>
                <w:color w:val="000000"/>
                <w:sz w:val="16"/>
                <w:szCs w:val="16"/>
              </w:rPr>
              <w:t>6115,00</w:t>
            </w:r>
          </w:p>
        </w:tc>
        <w:tc>
          <w:tcPr>
            <w:tcW w:w="234" w:type="pct"/>
            <w:shd w:val="clear" w:color="auto" w:fill="auto"/>
            <w:vAlign w:val="center"/>
          </w:tcPr>
          <w:p w14:paraId="151F2BED" w14:textId="77777777" w:rsidR="00F22587" w:rsidRPr="000E5DBF" w:rsidRDefault="00F22587" w:rsidP="008A5C11">
            <w:pPr>
              <w:jc w:val="center"/>
              <w:rPr>
                <w:color w:val="000000"/>
                <w:sz w:val="16"/>
                <w:szCs w:val="16"/>
              </w:rPr>
            </w:pPr>
            <w:r w:rsidRPr="000E5DBF">
              <w:rPr>
                <w:color w:val="000000"/>
                <w:sz w:val="16"/>
                <w:szCs w:val="16"/>
              </w:rPr>
              <w:t>3525,00</w:t>
            </w:r>
          </w:p>
        </w:tc>
        <w:tc>
          <w:tcPr>
            <w:tcW w:w="234" w:type="pct"/>
            <w:shd w:val="clear" w:color="auto" w:fill="auto"/>
            <w:vAlign w:val="center"/>
          </w:tcPr>
          <w:p w14:paraId="67E4CF3A" w14:textId="77777777" w:rsidR="00F22587" w:rsidRPr="000E5DBF" w:rsidRDefault="00F22587" w:rsidP="008A5C11">
            <w:pPr>
              <w:jc w:val="center"/>
              <w:rPr>
                <w:color w:val="000000"/>
                <w:sz w:val="16"/>
                <w:szCs w:val="16"/>
              </w:rPr>
            </w:pPr>
            <w:r w:rsidRPr="000E5DBF">
              <w:rPr>
                <w:color w:val="000000"/>
                <w:sz w:val="16"/>
                <w:szCs w:val="16"/>
              </w:rPr>
              <w:t>4332,00</w:t>
            </w:r>
          </w:p>
        </w:tc>
        <w:tc>
          <w:tcPr>
            <w:tcW w:w="234" w:type="pct"/>
            <w:shd w:val="clear" w:color="auto" w:fill="auto"/>
            <w:vAlign w:val="center"/>
          </w:tcPr>
          <w:p w14:paraId="4FEEE3BF" w14:textId="77777777" w:rsidR="00F22587" w:rsidRPr="000E5DBF" w:rsidRDefault="00F22587" w:rsidP="008A5C11">
            <w:pPr>
              <w:jc w:val="center"/>
              <w:rPr>
                <w:color w:val="000000"/>
                <w:sz w:val="16"/>
                <w:szCs w:val="16"/>
              </w:rPr>
            </w:pPr>
            <w:r w:rsidRPr="000E5DBF">
              <w:rPr>
                <w:color w:val="000000"/>
                <w:sz w:val="16"/>
                <w:szCs w:val="16"/>
              </w:rPr>
              <w:t>3628,20</w:t>
            </w:r>
          </w:p>
        </w:tc>
        <w:tc>
          <w:tcPr>
            <w:tcW w:w="234" w:type="pct"/>
            <w:shd w:val="clear" w:color="auto" w:fill="auto"/>
            <w:vAlign w:val="center"/>
          </w:tcPr>
          <w:p w14:paraId="1AA40402" w14:textId="77777777" w:rsidR="00F22587" w:rsidRPr="000E5DBF" w:rsidRDefault="00F22587" w:rsidP="008A5C11">
            <w:pPr>
              <w:jc w:val="center"/>
              <w:rPr>
                <w:color w:val="000000"/>
                <w:sz w:val="16"/>
                <w:szCs w:val="16"/>
              </w:rPr>
            </w:pPr>
            <w:r w:rsidRPr="000E5DBF">
              <w:rPr>
                <w:color w:val="000000"/>
                <w:sz w:val="16"/>
                <w:szCs w:val="16"/>
              </w:rPr>
              <w:t>6655,20</w:t>
            </w:r>
          </w:p>
        </w:tc>
        <w:tc>
          <w:tcPr>
            <w:tcW w:w="203" w:type="pct"/>
            <w:shd w:val="clear" w:color="auto" w:fill="auto"/>
            <w:vAlign w:val="center"/>
          </w:tcPr>
          <w:p w14:paraId="213A909A" w14:textId="77777777" w:rsidR="00F22587" w:rsidRPr="000E5DBF" w:rsidRDefault="00F22587" w:rsidP="008A5C11">
            <w:pPr>
              <w:jc w:val="center"/>
              <w:rPr>
                <w:color w:val="000000"/>
                <w:sz w:val="16"/>
                <w:szCs w:val="16"/>
              </w:rPr>
            </w:pPr>
            <w:r w:rsidRPr="000E5DBF">
              <w:rPr>
                <w:color w:val="000000"/>
                <w:sz w:val="16"/>
                <w:szCs w:val="16"/>
              </w:rPr>
              <w:t>4340,00</w:t>
            </w:r>
          </w:p>
        </w:tc>
        <w:tc>
          <w:tcPr>
            <w:tcW w:w="203" w:type="pct"/>
            <w:shd w:val="clear" w:color="auto" w:fill="auto"/>
            <w:vAlign w:val="center"/>
          </w:tcPr>
          <w:p w14:paraId="5ECA2F8C" w14:textId="77777777" w:rsidR="00F22587" w:rsidRPr="000E5DBF" w:rsidRDefault="00F22587" w:rsidP="008A5C11">
            <w:pPr>
              <w:jc w:val="center"/>
              <w:rPr>
                <w:color w:val="000000"/>
                <w:sz w:val="16"/>
                <w:szCs w:val="16"/>
              </w:rPr>
            </w:pPr>
            <w:r w:rsidRPr="000E5DBF">
              <w:rPr>
                <w:color w:val="000000"/>
                <w:sz w:val="16"/>
                <w:szCs w:val="16"/>
              </w:rPr>
              <w:t>4980,00</w:t>
            </w:r>
          </w:p>
        </w:tc>
        <w:tc>
          <w:tcPr>
            <w:tcW w:w="203" w:type="pct"/>
            <w:shd w:val="clear" w:color="auto" w:fill="auto"/>
            <w:vAlign w:val="center"/>
          </w:tcPr>
          <w:p w14:paraId="0D8EF244" w14:textId="77777777" w:rsidR="00F22587" w:rsidRPr="000E5DBF" w:rsidRDefault="00F22587" w:rsidP="008A5C11">
            <w:pPr>
              <w:jc w:val="center"/>
              <w:rPr>
                <w:color w:val="000000"/>
                <w:sz w:val="16"/>
                <w:szCs w:val="16"/>
              </w:rPr>
            </w:pPr>
            <w:r w:rsidRPr="000E5DBF">
              <w:rPr>
                <w:color w:val="000000"/>
                <w:sz w:val="16"/>
                <w:szCs w:val="16"/>
              </w:rPr>
              <w:t>5948,20</w:t>
            </w:r>
          </w:p>
        </w:tc>
        <w:tc>
          <w:tcPr>
            <w:tcW w:w="279" w:type="pct"/>
            <w:shd w:val="clear" w:color="auto" w:fill="auto"/>
            <w:vAlign w:val="center"/>
          </w:tcPr>
          <w:p w14:paraId="3FF0DD77" w14:textId="77777777" w:rsidR="00F22587" w:rsidRPr="000E5DBF" w:rsidRDefault="00F22587" w:rsidP="008A5C11">
            <w:pPr>
              <w:jc w:val="center"/>
              <w:rPr>
                <w:color w:val="000000"/>
                <w:sz w:val="16"/>
                <w:szCs w:val="16"/>
              </w:rPr>
            </w:pPr>
            <w:r w:rsidRPr="000E5DBF">
              <w:rPr>
                <w:color w:val="000000"/>
                <w:sz w:val="16"/>
                <w:szCs w:val="16"/>
              </w:rPr>
              <w:t>3923,20</w:t>
            </w:r>
          </w:p>
        </w:tc>
      </w:tr>
      <w:tr w:rsidR="00F22587" w:rsidRPr="000E5DBF" w14:paraId="0F78B287" w14:textId="77777777" w:rsidTr="008A5C11">
        <w:trPr>
          <w:trHeight w:val="255"/>
        </w:trPr>
        <w:tc>
          <w:tcPr>
            <w:tcW w:w="170" w:type="pct"/>
            <w:shd w:val="clear" w:color="auto" w:fill="auto"/>
            <w:vAlign w:val="center"/>
            <w:hideMark/>
          </w:tcPr>
          <w:p w14:paraId="6C8CC6AF" w14:textId="77777777" w:rsidR="00F22587" w:rsidRPr="000E5DBF" w:rsidRDefault="00F22587" w:rsidP="008A5C11">
            <w:pPr>
              <w:jc w:val="center"/>
              <w:rPr>
                <w:sz w:val="16"/>
                <w:szCs w:val="16"/>
              </w:rPr>
            </w:pPr>
            <w:r w:rsidRPr="000E5DBF">
              <w:rPr>
                <w:sz w:val="16"/>
                <w:szCs w:val="16"/>
              </w:rPr>
              <w:t>1.1.</w:t>
            </w:r>
          </w:p>
        </w:tc>
        <w:tc>
          <w:tcPr>
            <w:tcW w:w="1113" w:type="pct"/>
            <w:shd w:val="clear" w:color="auto" w:fill="auto"/>
            <w:vAlign w:val="center"/>
            <w:hideMark/>
          </w:tcPr>
          <w:p w14:paraId="6FAF1BDC" w14:textId="77777777" w:rsidR="00F22587" w:rsidRPr="000E5DBF" w:rsidRDefault="00F22587" w:rsidP="008A5C11">
            <w:pPr>
              <w:rPr>
                <w:sz w:val="16"/>
                <w:szCs w:val="16"/>
              </w:rPr>
            </w:pPr>
            <w:r w:rsidRPr="000E5DBF">
              <w:rPr>
                <w:sz w:val="16"/>
                <w:szCs w:val="16"/>
              </w:rPr>
              <w:t>амортизационные отчисления</w:t>
            </w:r>
          </w:p>
        </w:tc>
        <w:tc>
          <w:tcPr>
            <w:tcW w:w="475" w:type="pct"/>
            <w:shd w:val="clear" w:color="auto" w:fill="auto"/>
            <w:vAlign w:val="center"/>
          </w:tcPr>
          <w:p w14:paraId="2BCCC387" w14:textId="77777777" w:rsidR="00F22587" w:rsidRPr="000E5DBF" w:rsidRDefault="00F22587" w:rsidP="008A5C11">
            <w:pPr>
              <w:jc w:val="center"/>
              <w:rPr>
                <w:color w:val="000000"/>
                <w:sz w:val="16"/>
                <w:szCs w:val="16"/>
              </w:rPr>
            </w:pPr>
            <w:r w:rsidRPr="000E5DBF">
              <w:rPr>
                <w:color w:val="000000"/>
                <w:sz w:val="16"/>
                <w:szCs w:val="16"/>
              </w:rPr>
              <w:t>51494,43</w:t>
            </w:r>
          </w:p>
        </w:tc>
        <w:tc>
          <w:tcPr>
            <w:tcW w:w="319" w:type="pct"/>
            <w:shd w:val="clear" w:color="auto" w:fill="auto"/>
            <w:vAlign w:val="center"/>
          </w:tcPr>
          <w:p w14:paraId="6975EE94" w14:textId="77777777" w:rsidR="00F22587" w:rsidRPr="000E5DBF" w:rsidRDefault="00F22587" w:rsidP="008A5C11">
            <w:pPr>
              <w:jc w:val="center"/>
              <w:rPr>
                <w:color w:val="000000"/>
                <w:sz w:val="16"/>
                <w:szCs w:val="16"/>
              </w:rPr>
            </w:pPr>
            <w:r w:rsidRPr="000E5DBF">
              <w:rPr>
                <w:color w:val="000000"/>
                <w:sz w:val="16"/>
                <w:szCs w:val="16"/>
              </w:rPr>
              <w:t>51494,43</w:t>
            </w:r>
          </w:p>
        </w:tc>
        <w:tc>
          <w:tcPr>
            <w:tcW w:w="286" w:type="pct"/>
            <w:shd w:val="clear" w:color="auto" w:fill="auto"/>
            <w:vAlign w:val="center"/>
          </w:tcPr>
          <w:p w14:paraId="6C4E8A1E" w14:textId="77777777" w:rsidR="00F22587" w:rsidRPr="000E5DBF" w:rsidRDefault="00F22587" w:rsidP="008A5C11">
            <w:pPr>
              <w:jc w:val="center"/>
              <w:rPr>
                <w:color w:val="000000"/>
                <w:sz w:val="16"/>
                <w:szCs w:val="16"/>
              </w:rPr>
            </w:pPr>
            <w:r w:rsidRPr="000E5DBF">
              <w:rPr>
                <w:color w:val="000000"/>
                <w:sz w:val="16"/>
                <w:szCs w:val="16"/>
              </w:rPr>
              <w:t>2235,40</w:t>
            </w:r>
          </w:p>
        </w:tc>
        <w:tc>
          <w:tcPr>
            <w:tcW w:w="286" w:type="pct"/>
            <w:shd w:val="clear" w:color="auto" w:fill="auto"/>
            <w:vAlign w:val="center"/>
          </w:tcPr>
          <w:p w14:paraId="1C157F63" w14:textId="77777777" w:rsidR="00F22587" w:rsidRPr="000E5DBF" w:rsidRDefault="00F22587" w:rsidP="008A5C11">
            <w:pPr>
              <w:jc w:val="center"/>
              <w:rPr>
                <w:color w:val="000000"/>
                <w:sz w:val="16"/>
                <w:szCs w:val="16"/>
              </w:rPr>
            </w:pPr>
            <w:r w:rsidRPr="000E5DBF">
              <w:rPr>
                <w:color w:val="000000"/>
                <w:sz w:val="16"/>
                <w:szCs w:val="16"/>
              </w:rPr>
              <w:t>3247,01</w:t>
            </w:r>
          </w:p>
        </w:tc>
        <w:tc>
          <w:tcPr>
            <w:tcW w:w="286" w:type="pct"/>
            <w:shd w:val="clear" w:color="auto" w:fill="auto"/>
            <w:vAlign w:val="center"/>
          </w:tcPr>
          <w:p w14:paraId="7FC4AE63" w14:textId="77777777" w:rsidR="00F22587" w:rsidRPr="000E5DBF" w:rsidRDefault="00F22587" w:rsidP="008A5C11">
            <w:pPr>
              <w:jc w:val="center"/>
              <w:rPr>
                <w:color w:val="000000"/>
                <w:sz w:val="16"/>
                <w:szCs w:val="16"/>
              </w:rPr>
            </w:pPr>
            <w:r w:rsidRPr="000E5DBF">
              <w:rPr>
                <w:color w:val="000000"/>
                <w:sz w:val="16"/>
                <w:szCs w:val="16"/>
              </w:rPr>
              <w:t>3965,10</w:t>
            </w:r>
          </w:p>
        </w:tc>
        <w:tc>
          <w:tcPr>
            <w:tcW w:w="240" w:type="pct"/>
            <w:shd w:val="clear" w:color="auto" w:fill="auto"/>
            <w:vAlign w:val="center"/>
          </w:tcPr>
          <w:p w14:paraId="3762F95C" w14:textId="77777777" w:rsidR="00F22587" w:rsidRPr="000E5DBF" w:rsidRDefault="00F22587" w:rsidP="008A5C11">
            <w:pPr>
              <w:jc w:val="center"/>
              <w:rPr>
                <w:color w:val="000000"/>
                <w:sz w:val="16"/>
                <w:szCs w:val="16"/>
              </w:rPr>
            </w:pPr>
            <w:r w:rsidRPr="000E5DBF">
              <w:rPr>
                <w:color w:val="000000"/>
                <w:sz w:val="16"/>
                <w:szCs w:val="16"/>
              </w:rPr>
              <w:t>4715,12</w:t>
            </w:r>
          </w:p>
        </w:tc>
        <w:tc>
          <w:tcPr>
            <w:tcW w:w="234" w:type="pct"/>
            <w:shd w:val="clear" w:color="auto" w:fill="auto"/>
            <w:vAlign w:val="center"/>
          </w:tcPr>
          <w:p w14:paraId="6B051FC0" w14:textId="77777777" w:rsidR="00F22587" w:rsidRPr="000E5DBF" w:rsidRDefault="00F22587" w:rsidP="008A5C11">
            <w:pPr>
              <w:jc w:val="center"/>
              <w:rPr>
                <w:color w:val="000000"/>
                <w:sz w:val="16"/>
                <w:szCs w:val="16"/>
              </w:rPr>
            </w:pPr>
            <w:r w:rsidRPr="000E5DBF">
              <w:rPr>
                <w:color w:val="000000"/>
                <w:sz w:val="16"/>
                <w:szCs w:val="16"/>
              </w:rPr>
              <w:t>3525,00</w:t>
            </w:r>
          </w:p>
        </w:tc>
        <w:tc>
          <w:tcPr>
            <w:tcW w:w="234" w:type="pct"/>
            <w:shd w:val="clear" w:color="auto" w:fill="auto"/>
            <w:vAlign w:val="center"/>
          </w:tcPr>
          <w:p w14:paraId="3EA00714" w14:textId="77777777" w:rsidR="00F22587" w:rsidRPr="000E5DBF" w:rsidRDefault="00F22587" w:rsidP="008A5C11">
            <w:pPr>
              <w:jc w:val="center"/>
              <w:rPr>
                <w:color w:val="000000"/>
                <w:sz w:val="16"/>
                <w:szCs w:val="16"/>
              </w:rPr>
            </w:pPr>
            <w:r w:rsidRPr="000E5DBF">
              <w:rPr>
                <w:color w:val="000000"/>
                <w:sz w:val="16"/>
                <w:szCs w:val="16"/>
              </w:rPr>
              <w:t>4332,00</w:t>
            </w:r>
          </w:p>
        </w:tc>
        <w:tc>
          <w:tcPr>
            <w:tcW w:w="234" w:type="pct"/>
            <w:shd w:val="clear" w:color="auto" w:fill="auto"/>
            <w:vAlign w:val="center"/>
          </w:tcPr>
          <w:p w14:paraId="1C3C6DB3" w14:textId="77777777" w:rsidR="00F22587" w:rsidRPr="000E5DBF" w:rsidRDefault="00F22587" w:rsidP="008A5C11">
            <w:pPr>
              <w:jc w:val="center"/>
              <w:rPr>
                <w:color w:val="000000"/>
                <w:sz w:val="16"/>
                <w:szCs w:val="16"/>
              </w:rPr>
            </w:pPr>
            <w:r w:rsidRPr="000E5DBF">
              <w:rPr>
                <w:color w:val="000000"/>
                <w:sz w:val="16"/>
                <w:szCs w:val="16"/>
              </w:rPr>
              <w:t>3628,20</w:t>
            </w:r>
          </w:p>
        </w:tc>
        <w:tc>
          <w:tcPr>
            <w:tcW w:w="234" w:type="pct"/>
            <w:shd w:val="clear" w:color="auto" w:fill="auto"/>
            <w:vAlign w:val="center"/>
          </w:tcPr>
          <w:p w14:paraId="554920ED" w14:textId="77777777" w:rsidR="00F22587" w:rsidRPr="000E5DBF" w:rsidRDefault="00F22587" w:rsidP="008A5C11">
            <w:pPr>
              <w:jc w:val="center"/>
              <w:rPr>
                <w:color w:val="000000"/>
                <w:sz w:val="16"/>
                <w:szCs w:val="16"/>
              </w:rPr>
            </w:pPr>
            <w:r w:rsidRPr="000E5DBF">
              <w:rPr>
                <w:color w:val="000000"/>
                <w:sz w:val="16"/>
                <w:szCs w:val="16"/>
              </w:rPr>
              <w:t>6655,20</w:t>
            </w:r>
          </w:p>
        </w:tc>
        <w:tc>
          <w:tcPr>
            <w:tcW w:w="203" w:type="pct"/>
            <w:shd w:val="clear" w:color="auto" w:fill="auto"/>
            <w:vAlign w:val="center"/>
          </w:tcPr>
          <w:p w14:paraId="71810713" w14:textId="77777777" w:rsidR="00F22587" w:rsidRPr="000E5DBF" w:rsidRDefault="00F22587" w:rsidP="008A5C11">
            <w:pPr>
              <w:jc w:val="center"/>
              <w:rPr>
                <w:color w:val="000000"/>
                <w:sz w:val="16"/>
                <w:szCs w:val="16"/>
              </w:rPr>
            </w:pPr>
            <w:r w:rsidRPr="000E5DBF">
              <w:rPr>
                <w:color w:val="000000"/>
                <w:sz w:val="16"/>
                <w:szCs w:val="16"/>
              </w:rPr>
              <w:t>4340,00</w:t>
            </w:r>
          </w:p>
        </w:tc>
        <w:tc>
          <w:tcPr>
            <w:tcW w:w="203" w:type="pct"/>
            <w:shd w:val="clear" w:color="auto" w:fill="auto"/>
            <w:vAlign w:val="center"/>
          </w:tcPr>
          <w:p w14:paraId="7DF96214" w14:textId="77777777" w:rsidR="00F22587" w:rsidRPr="000E5DBF" w:rsidRDefault="00F22587" w:rsidP="008A5C11">
            <w:pPr>
              <w:jc w:val="center"/>
              <w:rPr>
                <w:color w:val="000000"/>
                <w:sz w:val="16"/>
                <w:szCs w:val="16"/>
              </w:rPr>
            </w:pPr>
            <w:r w:rsidRPr="000E5DBF">
              <w:rPr>
                <w:color w:val="000000"/>
                <w:sz w:val="16"/>
                <w:szCs w:val="16"/>
              </w:rPr>
              <w:t>4980,00</w:t>
            </w:r>
          </w:p>
        </w:tc>
        <w:tc>
          <w:tcPr>
            <w:tcW w:w="203" w:type="pct"/>
            <w:shd w:val="clear" w:color="auto" w:fill="auto"/>
            <w:vAlign w:val="center"/>
          </w:tcPr>
          <w:p w14:paraId="633494F8" w14:textId="77777777" w:rsidR="00F22587" w:rsidRPr="000E5DBF" w:rsidRDefault="00F22587" w:rsidP="008A5C11">
            <w:pPr>
              <w:jc w:val="center"/>
              <w:rPr>
                <w:color w:val="000000"/>
                <w:sz w:val="16"/>
                <w:szCs w:val="16"/>
              </w:rPr>
            </w:pPr>
            <w:r w:rsidRPr="000E5DBF">
              <w:rPr>
                <w:color w:val="000000"/>
                <w:sz w:val="16"/>
                <w:szCs w:val="16"/>
              </w:rPr>
              <w:t>5948,20</w:t>
            </w:r>
          </w:p>
        </w:tc>
        <w:tc>
          <w:tcPr>
            <w:tcW w:w="279" w:type="pct"/>
            <w:shd w:val="clear" w:color="auto" w:fill="auto"/>
            <w:vAlign w:val="center"/>
          </w:tcPr>
          <w:p w14:paraId="7343EA19" w14:textId="77777777" w:rsidR="00F22587" w:rsidRPr="000E5DBF" w:rsidRDefault="00F22587" w:rsidP="008A5C11">
            <w:pPr>
              <w:jc w:val="center"/>
              <w:rPr>
                <w:color w:val="000000"/>
                <w:sz w:val="16"/>
                <w:szCs w:val="16"/>
              </w:rPr>
            </w:pPr>
            <w:r w:rsidRPr="000E5DBF">
              <w:rPr>
                <w:color w:val="000000"/>
                <w:sz w:val="16"/>
                <w:szCs w:val="16"/>
              </w:rPr>
              <w:t>3923,20</w:t>
            </w:r>
          </w:p>
        </w:tc>
      </w:tr>
      <w:tr w:rsidR="00F22587" w:rsidRPr="000E5DBF" w14:paraId="13E74D8C" w14:textId="77777777" w:rsidTr="008A5C11">
        <w:trPr>
          <w:trHeight w:val="510"/>
        </w:trPr>
        <w:tc>
          <w:tcPr>
            <w:tcW w:w="170" w:type="pct"/>
            <w:shd w:val="clear" w:color="auto" w:fill="auto"/>
            <w:vAlign w:val="center"/>
            <w:hideMark/>
          </w:tcPr>
          <w:p w14:paraId="246598D2" w14:textId="77777777" w:rsidR="00F22587" w:rsidRPr="000E5DBF" w:rsidRDefault="00F22587" w:rsidP="008A5C11">
            <w:pPr>
              <w:jc w:val="center"/>
              <w:rPr>
                <w:sz w:val="16"/>
                <w:szCs w:val="16"/>
              </w:rPr>
            </w:pPr>
            <w:r w:rsidRPr="000E5DBF">
              <w:rPr>
                <w:sz w:val="16"/>
                <w:szCs w:val="16"/>
              </w:rPr>
              <w:t>1.2.</w:t>
            </w:r>
          </w:p>
        </w:tc>
        <w:tc>
          <w:tcPr>
            <w:tcW w:w="1113" w:type="pct"/>
            <w:shd w:val="clear" w:color="auto" w:fill="auto"/>
            <w:vAlign w:val="center"/>
            <w:hideMark/>
          </w:tcPr>
          <w:p w14:paraId="68A47778" w14:textId="77777777" w:rsidR="00F22587" w:rsidRPr="000E5DBF" w:rsidRDefault="00F22587" w:rsidP="008A5C11">
            <w:pPr>
              <w:rPr>
                <w:sz w:val="16"/>
                <w:szCs w:val="16"/>
              </w:rPr>
            </w:pPr>
            <w:r w:rsidRPr="000E5DBF">
              <w:rPr>
                <w:sz w:val="16"/>
                <w:szCs w:val="16"/>
              </w:rPr>
              <w:t>прибыль, направленная на инвестиции</w:t>
            </w:r>
          </w:p>
        </w:tc>
        <w:tc>
          <w:tcPr>
            <w:tcW w:w="475" w:type="pct"/>
            <w:shd w:val="clear" w:color="auto" w:fill="auto"/>
            <w:vAlign w:val="center"/>
          </w:tcPr>
          <w:p w14:paraId="088825DE" w14:textId="77777777" w:rsidR="00F22587" w:rsidRPr="000E5DBF" w:rsidRDefault="00F22587" w:rsidP="008A5C11">
            <w:pPr>
              <w:jc w:val="center"/>
              <w:rPr>
                <w:color w:val="000000"/>
                <w:sz w:val="16"/>
                <w:szCs w:val="16"/>
              </w:rPr>
            </w:pPr>
            <w:r w:rsidRPr="000E5DBF">
              <w:rPr>
                <w:color w:val="000000"/>
                <w:sz w:val="16"/>
                <w:szCs w:val="16"/>
              </w:rPr>
              <w:t>5955,27</w:t>
            </w:r>
          </w:p>
        </w:tc>
        <w:tc>
          <w:tcPr>
            <w:tcW w:w="319" w:type="pct"/>
            <w:shd w:val="clear" w:color="auto" w:fill="auto"/>
            <w:vAlign w:val="center"/>
          </w:tcPr>
          <w:p w14:paraId="6A215F02" w14:textId="77777777" w:rsidR="00F22587" w:rsidRPr="000E5DBF" w:rsidRDefault="00F22587" w:rsidP="008A5C11">
            <w:pPr>
              <w:jc w:val="center"/>
              <w:rPr>
                <w:color w:val="000000"/>
                <w:sz w:val="16"/>
                <w:szCs w:val="16"/>
              </w:rPr>
            </w:pPr>
            <w:r w:rsidRPr="000E5DBF">
              <w:rPr>
                <w:color w:val="000000"/>
                <w:sz w:val="16"/>
                <w:szCs w:val="16"/>
              </w:rPr>
              <w:t>5955,27</w:t>
            </w:r>
          </w:p>
        </w:tc>
        <w:tc>
          <w:tcPr>
            <w:tcW w:w="286" w:type="pct"/>
            <w:shd w:val="clear" w:color="auto" w:fill="auto"/>
            <w:vAlign w:val="center"/>
          </w:tcPr>
          <w:p w14:paraId="1D46B3C2" w14:textId="77777777" w:rsidR="00F22587" w:rsidRPr="000E5DBF" w:rsidRDefault="00F22587" w:rsidP="008A5C11">
            <w:pPr>
              <w:jc w:val="center"/>
              <w:rPr>
                <w:color w:val="000000"/>
                <w:sz w:val="16"/>
                <w:szCs w:val="16"/>
              </w:rPr>
            </w:pPr>
            <w:r w:rsidRPr="000E5DBF">
              <w:rPr>
                <w:color w:val="000000"/>
                <w:sz w:val="16"/>
                <w:szCs w:val="16"/>
              </w:rPr>
              <w:t>0,00</w:t>
            </w:r>
          </w:p>
        </w:tc>
        <w:tc>
          <w:tcPr>
            <w:tcW w:w="286" w:type="pct"/>
            <w:shd w:val="clear" w:color="auto" w:fill="auto"/>
            <w:vAlign w:val="center"/>
          </w:tcPr>
          <w:p w14:paraId="3C6ADFC3" w14:textId="77777777" w:rsidR="00F22587" w:rsidRPr="000E5DBF" w:rsidRDefault="00F22587" w:rsidP="008A5C11">
            <w:pPr>
              <w:jc w:val="center"/>
              <w:rPr>
                <w:color w:val="000000"/>
                <w:sz w:val="16"/>
                <w:szCs w:val="16"/>
              </w:rPr>
            </w:pPr>
            <w:r w:rsidRPr="000E5DBF">
              <w:rPr>
                <w:color w:val="000000"/>
                <w:sz w:val="16"/>
                <w:szCs w:val="16"/>
              </w:rPr>
              <w:t>2304,49</w:t>
            </w:r>
          </w:p>
        </w:tc>
        <w:tc>
          <w:tcPr>
            <w:tcW w:w="286" w:type="pct"/>
            <w:shd w:val="clear" w:color="auto" w:fill="auto"/>
            <w:vAlign w:val="center"/>
          </w:tcPr>
          <w:p w14:paraId="6B16FDD9" w14:textId="77777777" w:rsidR="00F22587" w:rsidRPr="000E5DBF" w:rsidRDefault="00F22587" w:rsidP="008A5C11">
            <w:pPr>
              <w:jc w:val="center"/>
              <w:rPr>
                <w:color w:val="000000"/>
                <w:sz w:val="16"/>
                <w:szCs w:val="16"/>
              </w:rPr>
            </w:pPr>
            <w:r w:rsidRPr="000E5DBF">
              <w:rPr>
                <w:color w:val="000000"/>
                <w:sz w:val="16"/>
                <w:szCs w:val="16"/>
              </w:rPr>
              <w:t>2250,90</w:t>
            </w:r>
          </w:p>
        </w:tc>
        <w:tc>
          <w:tcPr>
            <w:tcW w:w="240" w:type="pct"/>
            <w:shd w:val="clear" w:color="auto" w:fill="auto"/>
            <w:vAlign w:val="center"/>
          </w:tcPr>
          <w:p w14:paraId="6C156F02" w14:textId="77777777" w:rsidR="00F22587" w:rsidRPr="000E5DBF" w:rsidRDefault="00F22587" w:rsidP="008A5C11">
            <w:pPr>
              <w:jc w:val="center"/>
              <w:rPr>
                <w:color w:val="000000"/>
                <w:sz w:val="16"/>
                <w:szCs w:val="16"/>
              </w:rPr>
            </w:pPr>
            <w:r w:rsidRPr="000E5DBF">
              <w:rPr>
                <w:color w:val="000000"/>
                <w:sz w:val="16"/>
                <w:szCs w:val="16"/>
              </w:rPr>
              <w:t>1399,88</w:t>
            </w:r>
          </w:p>
        </w:tc>
        <w:tc>
          <w:tcPr>
            <w:tcW w:w="234" w:type="pct"/>
            <w:shd w:val="clear" w:color="auto" w:fill="auto"/>
            <w:vAlign w:val="center"/>
          </w:tcPr>
          <w:p w14:paraId="0D507F43" w14:textId="77777777" w:rsidR="00F22587" w:rsidRPr="000E5DBF" w:rsidRDefault="00F22587" w:rsidP="008A5C11">
            <w:pPr>
              <w:jc w:val="center"/>
              <w:rPr>
                <w:color w:val="000000"/>
                <w:sz w:val="16"/>
                <w:szCs w:val="16"/>
              </w:rPr>
            </w:pPr>
            <w:r w:rsidRPr="000E5DBF">
              <w:rPr>
                <w:color w:val="000000"/>
                <w:sz w:val="16"/>
                <w:szCs w:val="16"/>
              </w:rPr>
              <w:t>0,00</w:t>
            </w:r>
          </w:p>
        </w:tc>
        <w:tc>
          <w:tcPr>
            <w:tcW w:w="234" w:type="pct"/>
            <w:shd w:val="clear" w:color="auto" w:fill="auto"/>
            <w:vAlign w:val="center"/>
          </w:tcPr>
          <w:p w14:paraId="642EF798" w14:textId="77777777" w:rsidR="00F22587" w:rsidRPr="000E5DBF" w:rsidRDefault="00F22587" w:rsidP="008A5C11">
            <w:pPr>
              <w:jc w:val="center"/>
              <w:rPr>
                <w:color w:val="000000"/>
                <w:sz w:val="16"/>
                <w:szCs w:val="16"/>
              </w:rPr>
            </w:pPr>
            <w:r w:rsidRPr="000E5DBF">
              <w:rPr>
                <w:color w:val="000000"/>
                <w:sz w:val="16"/>
                <w:szCs w:val="16"/>
              </w:rPr>
              <w:t>0,00</w:t>
            </w:r>
          </w:p>
        </w:tc>
        <w:tc>
          <w:tcPr>
            <w:tcW w:w="234" w:type="pct"/>
            <w:shd w:val="clear" w:color="auto" w:fill="auto"/>
            <w:vAlign w:val="center"/>
          </w:tcPr>
          <w:p w14:paraId="78DD5C48" w14:textId="77777777" w:rsidR="00F22587" w:rsidRPr="000E5DBF" w:rsidRDefault="00F22587" w:rsidP="008A5C11">
            <w:pPr>
              <w:jc w:val="center"/>
              <w:rPr>
                <w:color w:val="000000"/>
                <w:sz w:val="16"/>
                <w:szCs w:val="16"/>
              </w:rPr>
            </w:pPr>
            <w:r w:rsidRPr="000E5DBF">
              <w:rPr>
                <w:color w:val="000000"/>
                <w:sz w:val="16"/>
                <w:szCs w:val="16"/>
              </w:rPr>
              <w:t>0,00</w:t>
            </w:r>
          </w:p>
        </w:tc>
        <w:tc>
          <w:tcPr>
            <w:tcW w:w="234" w:type="pct"/>
            <w:shd w:val="clear" w:color="auto" w:fill="auto"/>
            <w:vAlign w:val="center"/>
          </w:tcPr>
          <w:p w14:paraId="5F2A1CBB" w14:textId="77777777" w:rsidR="00F22587" w:rsidRPr="000E5DBF" w:rsidRDefault="00F22587" w:rsidP="008A5C11">
            <w:pPr>
              <w:jc w:val="center"/>
              <w:rPr>
                <w:color w:val="000000"/>
                <w:sz w:val="16"/>
                <w:szCs w:val="16"/>
              </w:rPr>
            </w:pPr>
            <w:r w:rsidRPr="000E5DBF">
              <w:rPr>
                <w:color w:val="000000"/>
                <w:sz w:val="16"/>
                <w:szCs w:val="16"/>
              </w:rPr>
              <w:t>0,00</w:t>
            </w:r>
          </w:p>
        </w:tc>
        <w:tc>
          <w:tcPr>
            <w:tcW w:w="203" w:type="pct"/>
            <w:shd w:val="clear" w:color="auto" w:fill="auto"/>
            <w:vAlign w:val="center"/>
          </w:tcPr>
          <w:p w14:paraId="6D9D2565" w14:textId="77777777" w:rsidR="00F22587" w:rsidRPr="000E5DBF" w:rsidRDefault="00F22587" w:rsidP="008A5C11">
            <w:pPr>
              <w:jc w:val="center"/>
              <w:rPr>
                <w:color w:val="000000"/>
                <w:sz w:val="16"/>
                <w:szCs w:val="16"/>
              </w:rPr>
            </w:pPr>
            <w:r w:rsidRPr="000E5DBF">
              <w:rPr>
                <w:color w:val="000000"/>
                <w:sz w:val="16"/>
                <w:szCs w:val="16"/>
              </w:rPr>
              <w:t>0,00</w:t>
            </w:r>
          </w:p>
        </w:tc>
        <w:tc>
          <w:tcPr>
            <w:tcW w:w="203" w:type="pct"/>
            <w:shd w:val="clear" w:color="auto" w:fill="auto"/>
            <w:vAlign w:val="center"/>
          </w:tcPr>
          <w:p w14:paraId="40B0905F" w14:textId="77777777" w:rsidR="00F22587" w:rsidRPr="000E5DBF" w:rsidRDefault="00F22587" w:rsidP="008A5C11">
            <w:pPr>
              <w:jc w:val="center"/>
              <w:rPr>
                <w:color w:val="000000"/>
                <w:sz w:val="16"/>
                <w:szCs w:val="16"/>
              </w:rPr>
            </w:pPr>
            <w:r w:rsidRPr="000E5DBF">
              <w:rPr>
                <w:color w:val="000000"/>
                <w:sz w:val="16"/>
                <w:szCs w:val="16"/>
              </w:rPr>
              <w:t>0,00</w:t>
            </w:r>
          </w:p>
        </w:tc>
        <w:tc>
          <w:tcPr>
            <w:tcW w:w="203" w:type="pct"/>
            <w:shd w:val="clear" w:color="auto" w:fill="auto"/>
            <w:vAlign w:val="center"/>
          </w:tcPr>
          <w:p w14:paraId="509F6FF1" w14:textId="77777777" w:rsidR="00F22587" w:rsidRPr="000E5DBF" w:rsidRDefault="00F22587" w:rsidP="008A5C11">
            <w:pPr>
              <w:jc w:val="center"/>
              <w:rPr>
                <w:color w:val="000000"/>
                <w:sz w:val="16"/>
                <w:szCs w:val="16"/>
              </w:rPr>
            </w:pPr>
            <w:r w:rsidRPr="000E5DBF">
              <w:rPr>
                <w:color w:val="000000"/>
                <w:sz w:val="16"/>
                <w:szCs w:val="16"/>
              </w:rPr>
              <w:t>0,00</w:t>
            </w:r>
          </w:p>
        </w:tc>
        <w:tc>
          <w:tcPr>
            <w:tcW w:w="279" w:type="pct"/>
            <w:shd w:val="clear" w:color="auto" w:fill="auto"/>
            <w:vAlign w:val="center"/>
          </w:tcPr>
          <w:p w14:paraId="0F964BD1" w14:textId="77777777" w:rsidR="00F22587" w:rsidRPr="000E5DBF" w:rsidRDefault="00F22587" w:rsidP="008A5C11">
            <w:pPr>
              <w:jc w:val="center"/>
              <w:rPr>
                <w:color w:val="000000"/>
                <w:sz w:val="16"/>
                <w:szCs w:val="16"/>
              </w:rPr>
            </w:pPr>
            <w:r w:rsidRPr="000E5DBF">
              <w:rPr>
                <w:color w:val="000000"/>
                <w:sz w:val="16"/>
                <w:szCs w:val="16"/>
              </w:rPr>
              <w:t>0,00</w:t>
            </w:r>
          </w:p>
        </w:tc>
      </w:tr>
      <w:tr w:rsidR="00F22587" w:rsidRPr="000E5DBF" w14:paraId="33420A85" w14:textId="77777777" w:rsidTr="008A5C11">
        <w:trPr>
          <w:trHeight w:val="510"/>
        </w:trPr>
        <w:tc>
          <w:tcPr>
            <w:tcW w:w="170" w:type="pct"/>
            <w:shd w:val="clear" w:color="auto" w:fill="auto"/>
            <w:vAlign w:val="center"/>
            <w:hideMark/>
          </w:tcPr>
          <w:p w14:paraId="2B96A550" w14:textId="77777777" w:rsidR="00F22587" w:rsidRPr="000E5DBF" w:rsidRDefault="00F22587" w:rsidP="008A5C11">
            <w:pPr>
              <w:jc w:val="center"/>
              <w:rPr>
                <w:sz w:val="16"/>
                <w:szCs w:val="16"/>
              </w:rPr>
            </w:pPr>
            <w:r w:rsidRPr="000E5DBF">
              <w:rPr>
                <w:sz w:val="16"/>
                <w:szCs w:val="16"/>
              </w:rPr>
              <w:t>1.3.</w:t>
            </w:r>
          </w:p>
        </w:tc>
        <w:tc>
          <w:tcPr>
            <w:tcW w:w="1113" w:type="pct"/>
            <w:shd w:val="clear" w:color="auto" w:fill="auto"/>
            <w:vAlign w:val="center"/>
            <w:hideMark/>
          </w:tcPr>
          <w:p w14:paraId="4D50C368" w14:textId="77777777" w:rsidR="00F22587" w:rsidRPr="000E5DBF" w:rsidRDefault="00F22587" w:rsidP="008A5C11">
            <w:pPr>
              <w:rPr>
                <w:sz w:val="16"/>
                <w:szCs w:val="16"/>
              </w:rPr>
            </w:pPr>
            <w:r w:rsidRPr="000E5DBF">
              <w:rPr>
                <w:sz w:val="16"/>
                <w:szCs w:val="16"/>
              </w:rPr>
              <w:t>средства полученные за счет платы за подключение</w:t>
            </w:r>
          </w:p>
        </w:tc>
        <w:tc>
          <w:tcPr>
            <w:tcW w:w="475" w:type="pct"/>
            <w:shd w:val="clear" w:color="auto" w:fill="auto"/>
            <w:vAlign w:val="center"/>
          </w:tcPr>
          <w:p w14:paraId="2E65425A" w14:textId="77777777" w:rsidR="00F22587" w:rsidRPr="000E5DBF" w:rsidRDefault="00F22587" w:rsidP="008A5C11">
            <w:pPr>
              <w:jc w:val="center"/>
              <w:rPr>
                <w:color w:val="000000"/>
                <w:sz w:val="16"/>
                <w:szCs w:val="16"/>
              </w:rPr>
            </w:pPr>
            <w:r w:rsidRPr="000E5DBF">
              <w:rPr>
                <w:color w:val="000000"/>
                <w:sz w:val="16"/>
                <w:szCs w:val="16"/>
              </w:rPr>
              <w:t>0,00</w:t>
            </w:r>
          </w:p>
        </w:tc>
        <w:tc>
          <w:tcPr>
            <w:tcW w:w="319" w:type="pct"/>
            <w:shd w:val="clear" w:color="auto" w:fill="auto"/>
            <w:vAlign w:val="center"/>
          </w:tcPr>
          <w:p w14:paraId="7DAF3ACD" w14:textId="77777777" w:rsidR="00F22587" w:rsidRPr="000E5DBF" w:rsidRDefault="00F22587" w:rsidP="008A5C11">
            <w:pPr>
              <w:jc w:val="center"/>
              <w:rPr>
                <w:color w:val="000000"/>
                <w:sz w:val="16"/>
                <w:szCs w:val="16"/>
              </w:rPr>
            </w:pPr>
            <w:r w:rsidRPr="000E5DBF">
              <w:rPr>
                <w:color w:val="000000"/>
                <w:sz w:val="16"/>
                <w:szCs w:val="16"/>
              </w:rPr>
              <w:t>0,00</w:t>
            </w:r>
          </w:p>
        </w:tc>
        <w:tc>
          <w:tcPr>
            <w:tcW w:w="286" w:type="pct"/>
            <w:shd w:val="clear" w:color="auto" w:fill="auto"/>
            <w:vAlign w:val="center"/>
          </w:tcPr>
          <w:p w14:paraId="466FCEF2" w14:textId="77777777" w:rsidR="00F22587" w:rsidRPr="000E5DBF" w:rsidRDefault="00F22587" w:rsidP="008A5C11">
            <w:pPr>
              <w:jc w:val="center"/>
              <w:rPr>
                <w:color w:val="000000"/>
                <w:sz w:val="16"/>
                <w:szCs w:val="16"/>
              </w:rPr>
            </w:pPr>
            <w:r w:rsidRPr="000E5DBF">
              <w:rPr>
                <w:color w:val="000000"/>
                <w:sz w:val="16"/>
                <w:szCs w:val="16"/>
              </w:rPr>
              <w:t>0,00</w:t>
            </w:r>
          </w:p>
        </w:tc>
        <w:tc>
          <w:tcPr>
            <w:tcW w:w="286" w:type="pct"/>
            <w:shd w:val="clear" w:color="auto" w:fill="auto"/>
            <w:vAlign w:val="center"/>
          </w:tcPr>
          <w:p w14:paraId="4A62F926" w14:textId="77777777" w:rsidR="00F22587" w:rsidRPr="000E5DBF" w:rsidRDefault="00F22587" w:rsidP="008A5C11">
            <w:pPr>
              <w:jc w:val="center"/>
              <w:rPr>
                <w:color w:val="000000"/>
                <w:sz w:val="16"/>
                <w:szCs w:val="16"/>
              </w:rPr>
            </w:pPr>
            <w:r w:rsidRPr="000E5DBF">
              <w:rPr>
                <w:color w:val="000000"/>
                <w:sz w:val="16"/>
                <w:szCs w:val="16"/>
              </w:rPr>
              <w:t>0,00</w:t>
            </w:r>
          </w:p>
        </w:tc>
        <w:tc>
          <w:tcPr>
            <w:tcW w:w="286" w:type="pct"/>
            <w:shd w:val="clear" w:color="auto" w:fill="auto"/>
            <w:vAlign w:val="center"/>
          </w:tcPr>
          <w:p w14:paraId="51FCFB79" w14:textId="77777777" w:rsidR="00F22587" w:rsidRPr="000E5DBF" w:rsidRDefault="00F22587" w:rsidP="008A5C11">
            <w:pPr>
              <w:jc w:val="center"/>
              <w:rPr>
                <w:color w:val="000000"/>
                <w:sz w:val="16"/>
                <w:szCs w:val="16"/>
              </w:rPr>
            </w:pPr>
            <w:r w:rsidRPr="000E5DBF">
              <w:rPr>
                <w:color w:val="000000"/>
                <w:sz w:val="16"/>
                <w:szCs w:val="16"/>
              </w:rPr>
              <w:t>0,00</w:t>
            </w:r>
          </w:p>
        </w:tc>
        <w:tc>
          <w:tcPr>
            <w:tcW w:w="240" w:type="pct"/>
            <w:shd w:val="clear" w:color="auto" w:fill="auto"/>
            <w:vAlign w:val="center"/>
          </w:tcPr>
          <w:p w14:paraId="71483489" w14:textId="77777777" w:rsidR="00F22587" w:rsidRPr="000E5DBF" w:rsidRDefault="00F22587" w:rsidP="008A5C11">
            <w:pPr>
              <w:jc w:val="center"/>
              <w:rPr>
                <w:color w:val="000000"/>
                <w:sz w:val="16"/>
                <w:szCs w:val="16"/>
              </w:rPr>
            </w:pPr>
            <w:r w:rsidRPr="000E5DBF">
              <w:rPr>
                <w:color w:val="000000"/>
                <w:sz w:val="16"/>
                <w:szCs w:val="16"/>
              </w:rPr>
              <w:t>0,00</w:t>
            </w:r>
          </w:p>
        </w:tc>
        <w:tc>
          <w:tcPr>
            <w:tcW w:w="234" w:type="pct"/>
            <w:shd w:val="clear" w:color="auto" w:fill="auto"/>
            <w:vAlign w:val="center"/>
          </w:tcPr>
          <w:p w14:paraId="7A1454F7" w14:textId="77777777" w:rsidR="00F22587" w:rsidRPr="000E5DBF" w:rsidRDefault="00F22587" w:rsidP="008A5C11">
            <w:pPr>
              <w:jc w:val="center"/>
              <w:rPr>
                <w:color w:val="000000"/>
                <w:sz w:val="16"/>
                <w:szCs w:val="16"/>
              </w:rPr>
            </w:pPr>
            <w:r w:rsidRPr="000E5DBF">
              <w:rPr>
                <w:color w:val="000000"/>
                <w:sz w:val="16"/>
                <w:szCs w:val="16"/>
              </w:rPr>
              <w:t>0,00</w:t>
            </w:r>
          </w:p>
        </w:tc>
        <w:tc>
          <w:tcPr>
            <w:tcW w:w="234" w:type="pct"/>
            <w:shd w:val="clear" w:color="auto" w:fill="auto"/>
            <w:vAlign w:val="center"/>
          </w:tcPr>
          <w:p w14:paraId="790C88D4" w14:textId="77777777" w:rsidR="00F22587" w:rsidRPr="000E5DBF" w:rsidRDefault="00F22587" w:rsidP="008A5C11">
            <w:pPr>
              <w:jc w:val="center"/>
              <w:rPr>
                <w:color w:val="000000"/>
                <w:sz w:val="16"/>
                <w:szCs w:val="16"/>
              </w:rPr>
            </w:pPr>
            <w:r w:rsidRPr="000E5DBF">
              <w:rPr>
                <w:color w:val="000000"/>
                <w:sz w:val="16"/>
                <w:szCs w:val="16"/>
              </w:rPr>
              <w:t>0,00</w:t>
            </w:r>
          </w:p>
        </w:tc>
        <w:tc>
          <w:tcPr>
            <w:tcW w:w="234" w:type="pct"/>
            <w:shd w:val="clear" w:color="auto" w:fill="auto"/>
            <w:vAlign w:val="center"/>
          </w:tcPr>
          <w:p w14:paraId="70EA2C04" w14:textId="77777777" w:rsidR="00F22587" w:rsidRPr="000E5DBF" w:rsidRDefault="00F22587" w:rsidP="008A5C11">
            <w:pPr>
              <w:jc w:val="center"/>
              <w:rPr>
                <w:color w:val="000000"/>
                <w:sz w:val="16"/>
                <w:szCs w:val="16"/>
              </w:rPr>
            </w:pPr>
            <w:r w:rsidRPr="000E5DBF">
              <w:rPr>
                <w:color w:val="000000"/>
                <w:sz w:val="16"/>
                <w:szCs w:val="16"/>
              </w:rPr>
              <w:t>0,00</w:t>
            </w:r>
          </w:p>
        </w:tc>
        <w:tc>
          <w:tcPr>
            <w:tcW w:w="234" w:type="pct"/>
            <w:shd w:val="clear" w:color="auto" w:fill="auto"/>
            <w:vAlign w:val="center"/>
          </w:tcPr>
          <w:p w14:paraId="62A79128" w14:textId="77777777" w:rsidR="00F22587" w:rsidRPr="000E5DBF" w:rsidRDefault="00F22587" w:rsidP="008A5C11">
            <w:pPr>
              <w:jc w:val="center"/>
              <w:rPr>
                <w:color w:val="000000"/>
                <w:sz w:val="16"/>
                <w:szCs w:val="16"/>
              </w:rPr>
            </w:pPr>
            <w:r w:rsidRPr="000E5DBF">
              <w:rPr>
                <w:color w:val="000000"/>
                <w:sz w:val="16"/>
                <w:szCs w:val="16"/>
              </w:rPr>
              <w:t>0,00</w:t>
            </w:r>
          </w:p>
        </w:tc>
        <w:tc>
          <w:tcPr>
            <w:tcW w:w="203" w:type="pct"/>
            <w:shd w:val="clear" w:color="auto" w:fill="auto"/>
            <w:vAlign w:val="center"/>
          </w:tcPr>
          <w:p w14:paraId="5178A789" w14:textId="77777777" w:rsidR="00F22587" w:rsidRPr="000E5DBF" w:rsidRDefault="00F22587" w:rsidP="008A5C11">
            <w:pPr>
              <w:jc w:val="center"/>
              <w:rPr>
                <w:color w:val="000000"/>
                <w:sz w:val="16"/>
                <w:szCs w:val="16"/>
              </w:rPr>
            </w:pPr>
            <w:r w:rsidRPr="000E5DBF">
              <w:rPr>
                <w:color w:val="000000"/>
                <w:sz w:val="16"/>
                <w:szCs w:val="16"/>
              </w:rPr>
              <w:t>0,00</w:t>
            </w:r>
          </w:p>
        </w:tc>
        <w:tc>
          <w:tcPr>
            <w:tcW w:w="203" w:type="pct"/>
            <w:shd w:val="clear" w:color="auto" w:fill="auto"/>
            <w:vAlign w:val="center"/>
          </w:tcPr>
          <w:p w14:paraId="1CC02437" w14:textId="77777777" w:rsidR="00F22587" w:rsidRPr="000E5DBF" w:rsidRDefault="00F22587" w:rsidP="008A5C11">
            <w:pPr>
              <w:jc w:val="center"/>
              <w:rPr>
                <w:color w:val="000000"/>
                <w:sz w:val="16"/>
                <w:szCs w:val="16"/>
              </w:rPr>
            </w:pPr>
            <w:r w:rsidRPr="000E5DBF">
              <w:rPr>
                <w:color w:val="000000"/>
                <w:sz w:val="16"/>
                <w:szCs w:val="16"/>
              </w:rPr>
              <w:t>0,00</w:t>
            </w:r>
          </w:p>
        </w:tc>
        <w:tc>
          <w:tcPr>
            <w:tcW w:w="203" w:type="pct"/>
            <w:shd w:val="clear" w:color="auto" w:fill="auto"/>
            <w:vAlign w:val="center"/>
          </w:tcPr>
          <w:p w14:paraId="123A059C" w14:textId="77777777" w:rsidR="00F22587" w:rsidRPr="000E5DBF" w:rsidRDefault="00F22587" w:rsidP="008A5C11">
            <w:pPr>
              <w:jc w:val="center"/>
              <w:rPr>
                <w:color w:val="000000"/>
                <w:sz w:val="16"/>
                <w:szCs w:val="16"/>
              </w:rPr>
            </w:pPr>
            <w:r w:rsidRPr="000E5DBF">
              <w:rPr>
                <w:color w:val="000000"/>
                <w:sz w:val="16"/>
                <w:szCs w:val="16"/>
              </w:rPr>
              <w:t>0,00</w:t>
            </w:r>
          </w:p>
        </w:tc>
        <w:tc>
          <w:tcPr>
            <w:tcW w:w="279" w:type="pct"/>
            <w:shd w:val="clear" w:color="auto" w:fill="auto"/>
            <w:vAlign w:val="center"/>
          </w:tcPr>
          <w:p w14:paraId="56F5EAEB" w14:textId="77777777" w:rsidR="00F22587" w:rsidRPr="000E5DBF" w:rsidRDefault="00F22587" w:rsidP="008A5C11">
            <w:pPr>
              <w:jc w:val="center"/>
              <w:rPr>
                <w:color w:val="000000"/>
                <w:sz w:val="16"/>
                <w:szCs w:val="16"/>
              </w:rPr>
            </w:pPr>
            <w:r w:rsidRPr="000E5DBF">
              <w:rPr>
                <w:color w:val="000000"/>
                <w:sz w:val="16"/>
                <w:szCs w:val="16"/>
              </w:rPr>
              <w:t>0,00</w:t>
            </w:r>
          </w:p>
        </w:tc>
      </w:tr>
      <w:tr w:rsidR="00F22587" w:rsidRPr="000E5DBF" w14:paraId="0F2FF8B5" w14:textId="77777777" w:rsidTr="008A5C11">
        <w:trPr>
          <w:trHeight w:val="510"/>
        </w:trPr>
        <w:tc>
          <w:tcPr>
            <w:tcW w:w="170" w:type="pct"/>
            <w:shd w:val="clear" w:color="auto" w:fill="auto"/>
            <w:vAlign w:val="center"/>
            <w:hideMark/>
          </w:tcPr>
          <w:p w14:paraId="079A5F4B" w14:textId="77777777" w:rsidR="00F22587" w:rsidRPr="000E5DBF" w:rsidRDefault="00F22587" w:rsidP="008A5C11">
            <w:pPr>
              <w:jc w:val="center"/>
              <w:rPr>
                <w:sz w:val="16"/>
                <w:szCs w:val="16"/>
              </w:rPr>
            </w:pPr>
            <w:r w:rsidRPr="000E5DBF">
              <w:rPr>
                <w:sz w:val="16"/>
                <w:szCs w:val="16"/>
              </w:rPr>
              <w:t>1.4.</w:t>
            </w:r>
          </w:p>
        </w:tc>
        <w:tc>
          <w:tcPr>
            <w:tcW w:w="1113" w:type="pct"/>
            <w:shd w:val="clear" w:color="auto" w:fill="auto"/>
            <w:vAlign w:val="center"/>
            <w:hideMark/>
          </w:tcPr>
          <w:p w14:paraId="484684F5" w14:textId="77777777" w:rsidR="00F22587" w:rsidRPr="000E5DBF" w:rsidRDefault="00F22587" w:rsidP="008A5C11">
            <w:pPr>
              <w:rPr>
                <w:sz w:val="16"/>
                <w:szCs w:val="16"/>
              </w:rPr>
            </w:pPr>
            <w:r w:rsidRPr="000E5DBF">
              <w:rPr>
                <w:sz w:val="16"/>
                <w:szCs w:val="16"/>
              </w:rPr>
              <w:t>прочие собственные средства, в т.ч. средства от эмиссии ценных бумаг</w:t>
            </w:r>
          </w:p>
        </w:tc>
        <w:tc>
          <w:tcPr>
            <w:tcW w:w="475" w:type="pct"/>
            <w:shd w:val="clear" w:color="auto" w:fill="auto"/>
            <w:vAlign w:val="center"/>
          </w:tcPr>
          <w:p w14:paraId="54677422" w14:textId="77777777" w:rsidR="00F22587" w:rsidRPr="000E5DBF" w:rsidRDefault="00F22587" w:rsidP="008A5C11">
            <w:pPr>
              <w:jc w:val="center"/>
              <w:rPr>
                <w:color w:val="000000"/>
                <w:sz w:val="16"/>
                <w:szCs w:val="16"/>
              </w:rPr>
            </w:pPr>
            <w:r w:rsidRPr="000E5DBF">
              <w:rPr>
                <w:color w:val="000000"/>
                <w:sz w:val="16"/>
                <w:szCs w:val="16"/>
              </w:rPr>
              <w:t>2450,58</w:t>
            </w:r>
          </w:p>
        </w:tc>
        <w:tc>
          <w:tcPr>
            <w:tcW w:w="319" w:type="pct"/>
            <w:shd w:val="clear" w:color="auto" w:fill="auto"/>
            <w:vAlign w:val="center"/>
          </w:tcPr>
          <w:p w14:paraId="1FDF20FC" w14:textId="77777777" w:rsidR="00F22587" w:rsidRPr="000E5DBF" w:rsidRDefault="00F22587" w:rsidP="008A5C11">
            <w:pPr>
              <w:jc w:val="center"/>
              <w:rPr>
                <w:color w:val="000000"/>
                <w:sz w:val="16"/>
                <w:szCs w:val="16"/>
              </w:rPr>
            </w:pPr>
            <w:r w:rsidRPr="000E5DBF">
              <w:rPr>
                <w:color w:val="000000"/>
                <w:sz w:val="16"/>
                <w:szCs w:val="16"/>
              </w:rPr>
              <w:t>2450,58</w:t>
            </w:r>
          </w:p>
        </w:tc>
        <w:tc>
          <w:tcPr>
            <w:tcW w:w="286" w:type="pct"/>
            <w:shd w:val="clear" w:color="auto" w:fill="auto"/>
            <w:vAlign w:val="center"/>
          </w:tcPr>
          <w:p w14:paraId="4E0114D9" w14:textId="77777777" w:rsidR="00F22587" w:rsidRPr="000E5DBF" w:rsidRDefault="00F22587" w:rsidP="008A5C11">
            <w:pPr>
              <w:jc w:val="center"/>
              <w:rPr>
                <w:color w:val="000000"/>
                <w:sz w:val="16"/>
                <w:szCs w:val="16"/>
              </w:rPr>
            </w:pPr>
            <w:r w:rsidRPr="000E5DBF">
              <w:rPr>
                <w:color w:val="000000"/>
                <w:sz w:val="16"/>
                <w:szCs w:val="16"/>
              </w:rPr>
              <w:t>2450,58</w:t>
            </w:r>
          </w:p>
        </w:tc>
        <w:tc>
          <w:tcPr>
            <w:tcW w:w="286" w:type="pct"/>
            <w:shd w:val="clear" w:color="auto" w:fill="auto"/>
            <w:vAlign w:val="center"/>
          </w:tcPr>
          <w:p w14:paraId="1A89B69B" w14:textId="77777777" w:rsidR="00F22587" w:rsidRPr="000E5DBF" w:rsidRDefault="00F22587" w:rsidP="008A5C11">
            <w:pPr>
              <w:jc w:val="center"/>
              <w:rPr>
                <w:color w:val="000000"/>
                <w:sz w:val="16"/>
                <w:szCs w:val="16"/>
              </w:rPr>
            </w:pPr>
            <w:r w:rsidRPr="000E5DBF">
              <w:rPr>
                <w:color w:val="000000"/>
                <w:sz w:val="16"/>
                <w:szCs w:val="16"/>
              </w:rPr>
              <w:t>0,00</w:t>
            </w:r>
          </w:p>
        </w:tc>
        <w:tc>
          <w:tcPr>
            <w:tcW w:w="286" w:type="pct"/>
            <w:shd w:val="clear" w:color="auto" w:fill="auto"/>
            <w:vAlign w:val="center"/>
          </w:tcPr>
          <w:p w14:paraId="302F0FC2" w14:textId="77777777" w:rsidR="00F22587" w:rsidRPr="000E5DBF" w:rsidRDefault="00F22587" w:rsidP="008A5C11">
            <w:pPr>
              <w:jc w:val="center"/>
              <w:rPr>
                <w:color w:val="000000"/>
                <w:sz w:val="16"/>
                <w:szCs w:val="16"/>
              </w:rPr>
            </w:pPr>
            <w:r w:rsidRPr="000E5DBF">
              <w:rPr>
                <w:color w:val="000000"/>
                <w:sz w:val="16"/>
                <w:szCs w:val="16"/>
              </w:rPr>
              <w:t>0,00</w:t>
            </w:r>
          </w:p>
        </w:tc>
        <w:tc>
          <w:tcPr>
            <w:tcW w:w="240" w:type="pct"/>
            <w:shd w:val="clear" w:color="auto" w:fill="auto"/>
            <w:vAlign w:val="center"/>
          </w:tcPr>
          <w:p w14:paraId="187C48D7" w14:textId="77777777" w:rsidR="00F22587" w:rsidRPr="000E5DBF" w:rsidRDefault="00F22587" w:rsidP="008A5C11">
            <w:pPr>
              <w:jc w:val="center"/>
              <w:rPr>
                <w:color w:val="000000"/>
                <w:sz w:val="16"/>
                <w:szCs w:val="16"/>
              </w:rPr>
            </w:pPr>
            <w:r w:rsidRPr="000E5DBF">
              <w:rPr>
                <w:color w:val="000000"/>
                <w:sz w:val="16"/>
                <w:szCs w:val="16"/>
              </w:rPr>
              <w:t>0,00</w:t>
            </w:r>
          </w:p>
        </w:tc>
        <w:tc>
          <w:tcPr>
            <w:tcW w:w="234" w:type="pct"/>
            <w:shd w:val="clear" w:color="auto" w:fill="auto"/>
            <w:vAlign w:val="center"/>
          </w:tcPr>
          <w:p w14:paraId="73031EE5" w14:textId="77777777" w:rsidR="00F22587" w:rsidRPr="000E5DBF" w:rsidRDefault="00F22587" w:rsidP="008A5C11">
            <w:pPr>
              <w:jc w:val="center"/>
              <w:rPr>
                <w:color w:val="000000"/>
                <w:sz w:val="16"/>
                <w:szCs w:val="16"/>
              </w:rPr>
            </w:pPr>
            <w:r w:rsidRPr="000E5DBF">
              <w:rPr>
                <w:color w:val="000000"/>
                <w:sz w:val="16"/>
                <w:szCs w:val="16"/>
              </w:rPr>
              <w:t>0,00</w:t>
            </w:r>
          </w:p>
        </w:tc>
        <w:tc>
          <w:tcPr>
            <w:tcW w:w="234" w:type="pct"/>
            <w:shd w:val="clear" w:color="auto" w:fill="auto"/>
            <w:vAlign w:val="center"/>
          </w:tcPr>
          <w:p w14:paraId="59C51945" w14:textId="77777777" w:rsidR="00F22587" w:rsidRPr="000E5DBF" w:rsidRDefault="00F22587" w:rsidP="008A5C11">
            <w:pPr>
              <w:jc w:val="center"/>
              <w:rPr>
                <w:color w:val="000000"/>
                <w:sz w:val="16"/>
                <w:szCs w:val="16"/>
              </w:rPr>
            </w:pPr>
            <w:r w:rsidRPr="000E5DBF">
              <w:rPr>
                <w:color w:val="000000"/>
                <w:sz w:val="16"/>
                <w:szCs w:val="16"/>
              </w:rPr>
              <w:t>0,00</w:t>
            </w:r>
          </w:p>
        </w:tc>
        <w:tc>
          <w:tcPr>
            <w:tcW w:w="234" w:type="pct"/>
            <w:shd w:val="clear" w:color="auto" w:fill="auto"/>
            <w:vAlign w:val="center"/>
          </w:tcPr>
          <w:p w14:paraId="7967636D" w14:textId="77777777" w:rsidR="00F22587" w:rsidRPr="000E5DBF" w:rsidRDefault="00F22587" w:rsidP="008A5C11">
            <w:pPr>
              <w:jc w:val="center"/>
              <w:rPr>
                <w:color w:val="000000"/>
                <w:sz w:val="16"/>
                <w:szCs w:val="16"/>
              </w:rPr>
            </w:pPr>
            <w:r w:rsidRPr="000E5DBF">
              <w:rPr>
                <w:color w:val="000000"/>
                <w:sz w:val="16"/>
                <w:szCs w:val="16"/>
              </w:rPr>
              <w:t>0,00</w:t>
            </w:r>
          </w:p>
        </w:tc>
        <w:tc>
          <w:tcPr>
            <w:tcW w:w="234" w:type="pct"/>
            <w:shd w:val="clear" w:color="auto" w:fill="auto"/>
            <w:vAlign w:val="center"/>
          </w:tcPr>
          <w:p w14:paraId="0E5E3401" w14:textId="77777777" w:rsidR="00F22587" w:rsidRPr="000E5DBF" w:rsidRDefault="00F22587" w:rsidP="008A5C11">
            <w:pPr>
              <w:jc w:val="center"/>
              <w:rPr>
                <w:color w:val="000000"/>
                <w:sz w:val="16"/>
                <w:szCs w:val="16"/>
              </w:rPr>
            </w:pPr>
            <w:r w:rsidRPr="000E5DBF">
              <w:rPr>
                <w:color w:val="000000"/>
                <w:sz w:val="16"/>
                <w:szCs w:val="16"/>
              </w:rPr>
              <w:t>0,00</w:t>
            </w:r>
          </w:p>
        </w:tc>
        <w:tc>
          <w:tcPr>
            <w:tcW w:w="203" w:type="pct"/>
            <w:shd w:val="clear" w:color="auto" w:fill="auto"/>
            <w:vAlign w:val="center"/>
          </w:tcPr>
          <w:p w14:paraId="4EFDB0F3" w14:textId="77777777" w:rsidR="00F22587" w:rsidRPr="000E5DBF" w:rsidRDefault="00F22587" w:rsidP="008A5C11">
            <w:pPr>
              <w:jc w:val="center"/>
              <w:rPr>
                <w:color w:val="000000"/>
                <w:sz w:val="16"/>
                <w:szCs w:val="16"/>
              </w:rPr>
            </w:pPr>
            <w:r w:rsidRPr="000E5DBF">
              <w:rPr>
                <w:color w:val="000000"/>
                <w:sz w:val="16"/>
                <w:szCs w:val="16"/>
              </w:rPr>
              <w:t>0,00</w:t>
            </w:r>
          </w:p>
        </w:tc>
        <w:tc>
          <w:tcPr>
            <w:tcW w:w="203" w:type="pct"/>
            <w:shd w:val="clear" w:color="auto" w:fill="auto"/>
            <w:vAlign w:val="center"/>
          </w:tcPr>
          <w:p w14:paraId="757A4905" w14:textId="77777777" w:rsidR="00F22587" w:rsidRPr="000E5DBF" w:rsidRDefault="00F22587" w:rsidP="008A5C11">
            <w:pPr>
              <w:jc w:val="center"/>
              <w:rPr>
                <w:color w:val="000000"/>
                <w:sz w:val="16"/>
                <w:szCs w:val="16"/>
              </w:rPr>
            </w:pPr>
            <w:r w:rsidRPr="000E5DBF">
              <w:rPr>
                <w:color w:val="000000"/>
                <w:sz w:val="16"/>
                <w:szCs w:val="16"/>
              </w:rPr>
              <w:t>0,00</w:t>
            </w:r>
          </w:p>
        </w:tc>
        <w:tc>
          <w:tcPr>
            <w:tcW w:w="203" w:type="pct"/>
            <w:shd w:val="clear" w:color="auto" w:fill="auto"/>
            <w:vAlign w:val="center"/>
          </w:tcPr>
          <w:p w14:paraId="6F50307C" w14:textId="77777777" w:rsidR="00F22587" w:rsidRPr="000E5DBF" w:rsidRDefault="00F22587" w:rsidP="008A5C11">
            <w:pPr>
              <w:jc w:val="center"/>
              <w:rPr>
                <w:color w:val="000000"/>
                <w:sz w:val="16"/>
                <w:szCs w:val="16"/>
              </w:rPr>
            </w:pPr>
            <w:r w:rsidRPr="000E5DBF">
              <w:rPr>
                <w:color w:val="000000"/>
                <w:sz w:val="16"/>
                <w:szCs w:val="16"/>
              </w:rPr>
              <w:t>0,00</w:t>
            </w:r>
          </w:p>
        </w:tc>
        <w:tc>
          <w:tcPr>
            <w:tcW w:w="279" w:type="pct"/>
            <w:shd w:val="clear" w:color="auto" w:fill="auto"/>
            <w:vAlign w:val="center"/>
          </w:tcPr>
          <w:p w14:paraId="726105FF" w14:textId="77777777" w:rsidR="00F22587" w:rsidRPr="000E5DBF" w:rsidRDefault="00F22587" w:rsidP="008A5C11">
            <w:pPr>
              <w:jc w:val="center"/>
              <w:rPr>
                <w:color w:val="000000"/>
                <w:sz w:val="16"/>
                <w:szCs w:val="16"/>
              </w:rPr>
            </w:pPr>
            <w:r w:rsidRPr="000E5DBF">
              <w:rPr>
                <w:color w:val="000000"/>
                <w:sz w:val="16"/>
                <w:szCs w:val="16"/>
              </w:rPr>
              <w:t>0,00</w:t>
            </w:r>
          </w:p>
        </w:tc>
      </w:tr>
      <w:tr w:rsidR="00F22587" w:rsidRPr="000E5DBF" w14:paraId="78D96BB8" w14:textId="77777777" w:rsidTr="008A5C11">
        <w:trPr>
          <w:trHeight w:val="255"/>
        </w:trPr>
        <w:tc>
          <w:tcPr>
            <w:tcW w:w="170" w:type="pct"/>
            <w:shd w:val="clear" w:color="auto" w:fill="auto"/>
            <w:vAlign w:val="center"/>
            <w:hideMark/>
          </w:tcPr>
          <w:p w14:paraId="3E64EEFA" w14:textId="77777777" w:rsidR="00F22587" w:rsidRPr="000E5DBF" w:rsidRDefault="00F22587" w:rsidP="008A5C11">
            <w:pPr>
              <w:jc w:val="center"/>
              <w:rPr>
                <w:bCs/>
                <w:sz w:val="16"/>
                <w:szCs w:val="16"/>
              </w:rPr>
            </w:pPr>
            <w:r w:rsidRPr="000E5DBF">
              <w:rPr>
                <w:bCs/>
                <w:sz w:val="16"/>
                <w:szCs w:val="16"/>
              </w:rPr>
              <w:t>2</w:t>
            </w:r>
          </w:p>
        </w:tc>
        <w:tc>
          <w:tcPr>
            <w:tcW w:w="1113" w:type="pct"/>
            <w:shd w:val="clear" w:color="auto" w:fill="auto"/>
            <w:vAlign w:val="center"/>
            <w:hideMark/>
          </w:tcPr>
          <w:p w14:paraId="4130C1A4" w14:textId="77777777" w:rsidR="00F22587" w:rsidRPr="000E5DBF" w:rsidRDefault="00F22587" w:rsidP="008A5C11">
            <w:pPr>
              <w:rPr>
                <w:bCs/>
                <w:sz w:val="16"/>
                <w:szCs w:val="16"/>
              </w:rPr>
            </w:pPr>
            <w:r w:rsidRPr="000E5DBF">
              <w:rPr>
                <w:bCs/>
                <w:sz w:val="16"/>
                <w:szCs w:val="16"/>
              </w:rPr>
              <w:t>Привлеченные средства</w:t>
            </w:r>
          </w:p>
        </w:tc>
        <w:tc>
          <w:tcPr>
            <w:tcW w:w="475" w:type="pct"/>
            <w:shd w:val="clear" w:color="auto" w:fill="auto"/>
            <w:vAlign w:val="center"/>
          </w:tcPr>
          <w:p w14:paraId="06817BBC" w14:textId="77777777" w:rsidR="00F22587" w:rsidRPr="000E5DBF" w:rsidRDefault="00F22587" w:rsidP="008A5C11">
            <w:pPr>
              <w:jc w:val="center"/>
              <w:rPr>
                <w:color w:val="000000"/>
                <w:sz w:val="16"/>
                <w:szCs w:val="16"/>
              </w:rPr>
            </w:pPr>
            <w:r w:rsidRPr="000E5DBF">
              <w:rPr>
                <w:color w:val="000000"/>
                <w:sz w:val="16"/>
                <w:szCs w:val="16"/>
              </w:rPr>
              <w:t>0,00</w:t>
            </w:r>
          </w:p>
        </w:tc>
        <w:tc>
          <w:tcPr>
            <w:tcW w:w="319" w:type="pct"/>
            <w:shd w:val="clear" w:color="auto" w:fill="auto"/>
            <w:vAlign w:val="center"/>
          </w:tcPr>
          <w:p w14:paraId="307495E4" w14:textId="77777777" w:rsidR="00F22587" w:rsidRPr="000E5DBF" w:rsidRDefault="00F22587" w:rsidP="008A5C11">
            <w:pPr>
              <w:jc w:val="center"/>
              <w:rPr>
                <w:color w:val="000000"/>
                <w:sz w:val="16"/>
                <w:szCs w:val="16"/>
              </w:rPr>
            </w:pPr>
            <w:r w:rsidRPr="000E5DBF">
              <w:rPr>
                <w:color w:val="000000"/>
                <w:sz w:val="16"/>
                <w:szCs w:val="16"/>
              </w:rPr>
              <w:t>0,00</w:t>
            </w:r>
          </w:p>
        </w:tc>
        <w:tc>
          <w:tcPr>
            <w:tcW w:w="286" w:type="pct"/>
            <w:shd w:val="clear" w:color="auto" w:fill="auto"/>
            <w:vAlign w:val="center"/>
          </w:tcPr>
          <w:p w14:paraId="03A72752" w14:textId="77777777" w:rsidR="00F22587" w:rsidRPr="000E5DBF" w:rsidRDefault="00F22587" w:rsidP="008A5C11">
            <w:pPr>
              <w:jc w:val="center"/>
              <w:rPr>
                <w:color w:val="000000"/>
                <w:sz w:val="16"/>
                <w:szCs w:val="16"/>
              </w:rPr>
            </w:pPr>
            <w:r w:rsidRPr="000E5DBF">
              <w:rPr>
                <w:color w:val="000000"/>
                <w:sz w:val="16"/>
                <w:szCs w:val="16"/>
              </w:rPr>
              <w:t>0,00</w:t>
            </w:r>
          </w:p>
        </w:tc>
        <w:tc>
          <w:tcPr>
            <w:tcW w:w="286" w:type="pct"/>
            <w:shd w:val="clear" w:color="auto" w:fill="auto"/>
            <w:vAlign w:val="center"/>
          </w:tcPr>
          <w:p w14:paraId="3E9C1FF3" w14:textId="77777777" w:rsidR="00F22587" w:rsidRPr="000E5DBF" w:rsidRDefault="00F22587" w:rsidP="008A5C11">
            <w:pPr>
              <w:jc w:val="center"/>
              <w:rPr>
                <w:color w:val="000000"/>
                <w:sz w:val="16"/>
                <w:szCs w:val="16"/>
              </w:rPr>
            </w:pPr>
            <w:r w:rsidRPr="000E5DBF">
              <w:rPr>
                <w:color w:val="000000"/>
                <w:sz w:val="16"/>
                <w:szCs w:val="16"/>
              </w:rPr>
              <w:t>0,00</w:t>
            </w:r>
          </w:p>
        </w:tc>
        <w:tc>
          <w:tcPr>
            <w:tcW w:w="286" w:type="pct"/>
            <w:shd w:val="clear" w:color="auto" w:fill="auto"/>
            <w:vAlign w:val="center"/>
          </w:tcPr>
          <w:p w14:paraId="068278BC" w14:textId="77777777" w:rsidR="00F22587" w:rsidRPr="000E5DBF" w:rsidRDefault="00F22587" w:rsidP="008A5C11">
            <w:pPr>
              <w:jc w:val="center"/>
              <w:rPr>
                <w:color w:val="000000"/>
                <w:sz w:val="16"/>
                <w:szCs w:val="16"/>
              </w:rPr>
            </w:pPr>
            <w:r w:rsidRPr="000E5DBF">
              <w:rPr>
                <w:color w:val="000000"/>
                <w:sz w:val="16"/>
                <w:szCs w:val="16"/>
              </w:rPr>
              <w:t>0,00</w:t>
            </w:r>
          </w:p>
        </w:tc>
        <w:tc>
          <w:tcPr>
            <w:tcW w:w="240" w:type="pct"/>
            <w:shd w:val="clear" w:color="auto" w:fill="auto"/>
            <w:vAlign w:val="center"/>
          </w:tcPr>
          <w:p w14:paraId="565E7466" w14:textId="77777777" w:rsidR="00F22587" w:rsidRPr="000E5DBF" w:rsidRDefault="00F22587" w:rsidP="008A5C11">
            <w:pPr>
              <w:jc w:val="center"/>
              <w:rPr>
                <w:color w:val="000000"/>
                <w:sz w:val="16"/>
                <w:szCs w:val="16"/>
              </w:rPr>
            </w:pPr>
            <w:r w:rsidRPr="000E5DBF">
              <w:rPr>
                <w:color w:val="000000"/>
                <w:sz w:val="16"/>
                <w:szCs w:val="16"/>
              </w:rPr>
              <w:t>0,00</w:t>
            </w:r>
          </w:p>
        </w:tc>
        <w:tc>
          <w:tcPr>
            <w:tcW w:w="234" w:type="pct"/>
            <w:shd w:val="clear" w:color="auto" w:fill="auto"/>
            <w:vAlign w:val="center"/>
          </w:tcPr>
          <w:p w14:paraId="00A45E6D" w14:textId="77777777" w:rsidR="00F22587" w:rsidRPr="000E5DBF" w:rsidRDefault="00F22587" w:rsidP="008A5C11">
            <w:pPr>
              <w:jc w:val="center"/>
              <w:rPr>
                <w:color w:val="000000"/>
                <w:sz w:val="16"/>
                <w:szCs w:val="16"/>
              </w:rPr>
            </w:pPr>
            <w:r w:rsidRPr="000E5DBF">
              <w:rPr>
                <w:color w:val="000000"/>
                <w:sz w:val="16"/>
                <w:szCs w:val="16"/>
              </w:rPr>
              <w:t>0,00</w:t>
            </w:r>
          </w:p>
        </w:tc>
        <w:tc>
          <w:tcPr>
            <w:tcW w:w="234" w:type="pct"/>
            <w:shd w:val="clear" w:color="auto" w:fill="auto"/>
            <w:vAlign w:val="center"/>
          </w:tcPr>
          <w:p w14:paraId="3CC72841" w14:textId="77777777" w:rsidR="00F22587" w:rsidRPr="000E5DBF" w:rsidRDefault="00F22587" w:rsidP="008A5C11">
            <w:pPr>
              <w:jc w:val="center"/>
              <w:rPr>
                <w:color w:val="000000"/>
                <w:sz w:val="16"/>
                <w:szCs w:val="16"/>
              </w:rPr>
            </w:pPr>
            <w:r w:rsidRPr="000E5DBF">
              <w:rPr>
                <w:color w:val="000000"/>
                <w:sz w:val="16"/>
                <w:szCs w:val="16"/>
              </w:rPr>
              <w:t>0,00</w:t>
            </w:r>
          </w:p>
        </w:tc>
        <w:tc>
          <w:tcPr>
            <w:tcW w:w="234" w:type="pct"/>
            <w:shd w:val="clear" w:color="auto" w:fill="auto"/>
            <w:vAlign w:val="center"/>
          </w:tcPr>
          <w:p w14:paraId="3F602958" w14:textId="77777777" w:rsidR="00F22587" w:rsidRPr="000E5DBF" w:rsidRDefault="00F22587" w:rsidP="008A5C11">
            <w:pPr>
              <w:jc w:val="center"/>
              <w:rPr>
                <w:color w:val="000000"/>
                <w:sz w:val="16"/>
                <w:szCs w:val="16"/>
              </w:rPr>
            </w:pPr>
            <w:r w:rsidRPr="000E5DBF">
              <w:rPr>
                <w:color w:val="000000"/>
                <w:sz w:val="16"/>
                <w:szCs w:val="16"/>
              </w:rPr>
              <w:t>0,00</w:t>
            </w:r>
          </w:p>
        </w:tc>
        <w:tc>
          <w:tcPr>
            <w:tcW w:w="234" w:type="pct"/>
            <w:shd w:val="clear" w:color="auto" w:fill="auto"/>
            <w:vAlign w:val="center"/>
          </w:tcPr>
          <w:p w14:paraId="671EF134" w14:textId="77777777" w:rsidR="00F22587" w:rsidRPr="000E5DBF" w:rsidRDefault="00F22587" w:rsidP="008A5C11">
            <w:pPr>
              <w:jc w:val="center"/>
              <w:rPr>
                <w:color w:val="000000"/>
                <w:sz w:val="16"/>
                <w:szCs w:val="16"/>
              </w:rPr>
            </w:pPr>
            <w:r w:rsidRPr="000E5DBF">
              <w:rPr>
                <w:color w:val="000000"/>
                <w:sz w:val="16"/>
                <w:szCs w:val="16"/>
              </w:rPr>
              <w:t>0,00</w:t>
            </w:r>
          </w:p>
        </w:tc>
        <w:tc>
          <w:tcPr>
            <w:tcW w:w="203" w:type="pct"/>
            <w:shd w:val="clear" w:color="auto" w:fill="auto"/>
            <w:vAlign w:val="center"/>
          </w:tcPr>
          <w:p w14:paraId="291848BC" w14:textId="77777777" w:rsidR="00F22587" w:rsidRPr="000E5DBF" w:rsidRDefault="00F22587" w:rsidP="008A5C11">
            <w:pPr>
              <w:jc w:val="center"/>
              <w:rPr>
                <w:color w:val="000000"/>
                <w:sz w:val="16"/>
                <w:szCs w:val="16"/>
              </w:rPr>
            </w:pPr>
            <w:r w:rsidRPr="000E5DBF">
              <w:rPr>
                <w:color w:val="000000"/>
                <w:sz w:val="16"/>
                <w:szCs w:val="16"/>
              </w:rPr>
              <w:t>0,00</w:t>
            </w:r>
          </w:p>
        </w:tc>
        <w:tc>
          <w:tcPr>
            <w:tcW w:w="203" w:type="pct"/>
            <w:shd w:val="clear" w:color="auto" w:fill="auto"/>
            <w:vAlign w:val="center"/>
          </w:tcPr>
          <w:p w14:paraId="23AB1CE8" w14:textId="77777777" w:rsidR="00F22587" w:rsidRPr="000E5DBF" w:rsidRDefault="00F22587" w:rsidP="008A5C11">
            <w:pPr>
              <w:jc w:val="center"/>
              <w:rPr>
                <w:color w:val="000000"/>
                <w:sz w:val="16"/>
                <w:szCs w:val="16"/>
              </w:rPr>
            </w:pPr>
            <w:r w:rsidRPr="000E5DBF">
              <w:rPr>
                <w:color w:val="000000"/>
                <w:sz w:val="16"/>
                <w:szCs w:val="16"/>
              </w:rPr>
              <w:t>0,00</w:t>
            </w:r>
          </w:p>
        </w:tc>
        <w:tc>
          <w:tcPr>
            <w:tcW w:w="203" w:type="pct"/>
            <w:shd w:val="clear" w:color="auto" w:fill="auto"/>
            <w:vAlign w:val="center"/>
          </w:tcPr>
          <w:p w14:paraId="7680A421" w14:textId="77777777" w:rsidR="00F22587" w:rsidRPr="000E5DBF" w:rsidRDefault="00F22587" w:rsidP="008A5C11">
            <w:pPr>
              <w:jc w:val="center"/>
              <w:rPr>
                <w:color w:val="000000"/>
                <w:sz w:val="16"/>
                <w:szCs w:val="16"/>
              </w:rPr>
            </w:pPr>
            <w:r w:rsidRPr="000E5DBF">
              <w:rPr>
                <w:color w:val="000000"/>
                <w:sz w:val="16"/>
                <w:szCs w:val="16"/>
              </w:rPr>
              <w:t>0,00</w:t>
            </w:r>
          </w:p>
        </w:tc>
        <w:tc>
          <w:tcPr>
            <w:tcW w:w="279" w:type="pct"/>
            <w:shd w:val="clear" w:color="auto" w:fill="auto"/>
            <w:vAlign w:val="center"/>
          </w:tcPr>
          <w:p w14:paraId="40257A81" w14:textId="77777777" w:rsidR="00F22587" w:rsidRPr="000E5DBF" w:rsidRDefault="00F22587" w:rsidP="008A5C11">
            <w:pPr>
              <w:jc w:val="center"/>
              <w:rPr>
                <w:color w:val="000000"/>
                <w:sz w:val="16"/>
                <w:szCs w:val="16"/>
              </w:rPr>
            </w:pPr>
            <w:r w:rsidRPr="000E5DBF">
              <w:rPr>
                <w:color w:val="000000"/>
                <w:sz w:val="16"/>
                <w:szCs w:val="16"/>
              </w:rPr>
              <w:t>0,00</w:t>
            </w:r>
          </w:p>
        </w:tc>
      </w:tr>
      <w:tr w:rsidR="00F22587" w:rsidRPr="000E5DBF" w14:paraId="7E320662" w14:textId="77777777" w:rsidTr="008A5C11">
        <w:trPr>
          <w:trHeight w:val="255"/>
        </w:trPr>
        <w:tc>
          <w:tcPr>
            <w:tcW w:w="170" w:type="pct"/>
            <w:shd w:val="clear" w:color="auto" w:fill="auto"/>
            <w:vAlign w:val="center"/>
            <w:hideMark/>
          </w:tcPr>
          <w:p w14:paraId="48066F46" w14:textId="77777777" w:rsidR="00F22587" w:rsidRPr="000E5DBF" w:rsidRDefault="00F22587" w:rsidP="008A5C11">
            <w:pPr>
              <w:jc w:val="center"/>
              <w:rPr>
                <w:sz w:val="16"/>
                <w:szCs w:val="16"/>
              </w:rPr>
            </w:pPr>
            <w:r w:rsidRPr="000E5DBF">
              <w:rPr>
                <w:sz w:val="16"/>
                <w:szCs w:val="16"/>
              </w:rPr>
              <w:t>2.1.</w:t>
            </w:r>
          </w:p>
        </w:tc>
        <w:tc>
          <w:tcPr>
            <w:tcW w:w="1113" w:type="pct"/>
            <w:shd w:val="clear" w:color="auto" w:fill="auto"/>
            <w:vAlign w:val="center"/>
            <w:hideMark/>
          </w:tcPr>
          <w:p w14:paraId="39E7ACF8" w14:textId="77777777" w:rsidR="00F22587" w:rsidRPr="000E5DBF" w:rsidRDefault="00F22587" w:rsidP="008A5C11">
            <w:pPr>
              <w:rPr>
                <w:sz w:val="16"/>
                <w:szCs w:val="16"/>
              </w:rPr>
            </w:pPr>
            <w:r w:rsidRPr="000E5DBF">
              <w:rPr>
                <w:sz w:val="16"/>
                <w:szCs w:val="16"/>
              </w:rPr>
              <w:t>кредиты</w:t>
            </w:r>
          </w:p>
        </w:tc>
        <w:tc>
          <w:tcPr>
            <w:tcW w:w="475" w:type="pct"/>
            <w:shd w:val="clear" w:color="auto" w:fill="auto"/>
            <w:vAlign w:val="center"/>
          </w:tcPr>
          <w:p w14:paraId="07E36616" w14:textId="77777777" w:rsidR="00F22587" w:rsidRPr="000E5DBF" w:rsidRDefault="00F22587" w:rsidP="008A5C11">
            <w:pPr>
              <w:jc w:val="center"/>
              <w:rPr>
                <w:color w:val="000000"/>
                <w:sz w:val="16"/>
                <w:szCs w:val="16"/>
              </w:rPr>
            </w:pPr>
            <w:r w:rsidRPr="000E5DBF">
              <w:rPr>
                <w:color w:val="000000"/>
                <w:sz w:val="16"/>
                <w:szCs w:val="16"/>
              </w:rPr>
              <w:t>0,00</w:t>
            </w:r>
          </w:p>
        </w:tc>
        <w:tc>
          <w:tcPr>
            <w:tcW w:w="319" w:type="pct"/>
            <w:shd w:val="clear" w:color="auto" w:fill="auto"/>
            <w:vAlign w:val="center"/>
          </w:tcPr>
          <w:p w14:paraId="39D0121D" w14:textId="77777777" w:rsidR="00F22587" w:rsidRPr="000E5DBF" w:rsidRDefault="00F22587" w:rsidP="008A5C11">
            <w:pPr>
              <w:jc w:val="center"/>
              <w:rPr>
                <w:color w:val="000000"/>
                <w:sz w:val="16"/>
                <w:szCs w:val="16"/>
              </w:rPr>
            </w:pPr>
            <w:r w:rsidRPr="000E5DBF">
              <w:rPr>
                <w:color w:val="000000"/>
                <w:sz w:val="16"/>
                <w:szCs w:val="16"/>
              </w:rPr>
              <w:t>0,00</w:t>
            </w:r>
          </w:p>
        </w:tc>
        <w:tc>
          <w:tcPr>
            <w:tcW w:w="286" w:type="pct"/>
            <w:shd w:val="clear" w:color="auto" w:fill="auto"/>
            <w:vAlign w:val="center"/>
          </w:tcPr>
          <w:p w14:paraId="7E53BE3E" w14:textId="77777777" w:rsidR="00F22587" w:rsidRPr="000E5DBF" w:rsidRDefault="00F22587" w:rsidP="008A5C11">
            <w:pPr>
              <w:jc w:val="center"/>
              <w:rPr>
                <w:color w:val="000000"/>
                <w:sz w:val="16"/>
                <w:szCs w:val="16"/>
              </w:rPr>
            </w:pPr>
            <w:r w:rsidRPr="000E5DBF">
              <w:rPr>
                <w:color w:val="000000"/>
                <w:sz w:val="16"/>
                <w:szCs w:val="16"/>
              </w:rPr>
              <w:t>0,00</w:t>
            </w:r>
          </w:p>
        </w:tc>
        <w:tc>
          <w:tcPr>
            <w:tcW w:w="286" w:type="pct"/>
            <w:shd w:val="clear" w:color="auto" w:fill="auto"/>
            <w:vAlign w:val="center"/>
          </w:tcPr>
          <w:p w14:paraId="6DB65D50" w14:textId="77777777" w:rsidR="00F22587" w:rsidRPr="000E5DBF" w:rsidRDefault="00F22587" w:rsidP="008A5C11">
            <w:pPr>
              <w:jc w:val="center"/>
              <w:rPr>
                <w:color w:val="000000"/>
                <w:sz w:val="16"/>
                <w:szCs w:val="16"/>
              </w:rPr>
            </w:pPr>
            <w:r w:rsidRPr="000E5DBF">
              <w:rPr>
                <w:color w:val="000000"/>
                <w:sz w:val="16"/>
                <w:szCs w:val="16"/>
              </w:rPr>
              <w:t>0,00</w:t>
            </w:r>
          </w:p>
        </w:tc>
        <w:tc>
          <w:tcPr>
            <w:tcW w:w="286" w:type="pct"/>
            <w:shd w:val="clear" w:color="auto" w:fill="auto"/>
            <w:vAlign w:val="center"/>
          </w:tcPr>
          <w:p w14:paraId="0826AB98" w14:textId="77777777" w:rsidR="00F22587" w:rsidRPr="000E5DBF" w:rsidRDefault="00F22587" w:rsidP="008A5C11">
            <w:pPr>
              <w:jc w:val="center"/>
              <w:rPr>
                <w:color w:val="000000"/>
                <w:sz w:val="16"/>
                <w:szCs w:val="16"/>
              </w:rPr>
            </w:pPr>
            <w:r w:rsidRPr="000E5DBF">
              <w:rPr>
                <w:color w:val="000000"/>
                <w:sz w:val="16"/>
                <w:szCs w:val="16"/>
              </w:rPr>
              <w:t>0,00</w:t>
            </w:r>
          </w:p>
        </w:tc>
        <w:tc>
          <w:tcPr>
            <w:tcW w:w="240" w:type="pct"/>
            <w:shd w:val="clear" w:color="auto" w:fill="auto"/>
            <w:vAlign w:val="center"/>
          </w:tcPr>
          <w:p w14:paraId="4E919E7D" w14:textId="77777777" w:rsidR="00F22587" w:rsidRPr="000E5DBF" w:rsidRDefault="00F22587" w:rsidP="008A5C11">
            <w:pPr>
              <w:jc w:val="center"/>
              <w:rPr>
                <w:color w:val="000000"/>
                <w:sz w:val="16"/>
                <w:szCs w:val="16"/>
              </w:rPr>
            </w:pPr>
            <w:r w:rsidRPr="000E5DBF">
              <w:rPr>
                <w:color w:val="000000"/>
                <w:sz w:val="16"/>
                <w:szCs w:val="16"/>
              </w:rPr>
              <w:t>0,00</w:t>
            </w:r>
          </w:p>
        </w:tc>
        <w:tc>
          <w:tcPr>
            <w:tcW w:w="234" w:type="pct"/>
            <w:shd w:val="clear" w:color="auto" w:fill="auto"/>
            <w:vAlign w:val="center"/>
          </w:tcPr>
          <w:p w14:paraId="437A0B0F" w14:textId="77777777" w:rsidR="00F22587" w:rsidRPr="000E5DBF" w:rsidRDefault="00F22587" w:rsidP="008A5C11">
            <w:pPr>
              <w:jc w:val="center"/>
              <w:rPr>
                <w:color w:val="000000"/>
                <w:sz w:val="16"/>
                <w:szCs w:val="16"/>
              </w:rPr>
            </w:pPr>
            <w:r w:rsidRPr="000E5DBF">
              <w:rPr>
                <w:color w:val="000000"/>
                <w:sz w:val="16"/>
                <w:szCs w:val="16"/>
              </w:rPr>
              <w:t>0,00</w:t>
            </w:r>
          </w:p>
        </w:tc>
        <w:tc>
          <w:tcPr>
            <w:tcW w:w="234" w:type="pct"/>
            <w:shd w:val="clear" w:color="auto" w:fill="auto"/>
            <w:vAlign w:val="center"/>
          </w:tcPr>
          <w:p w14:paraId="3C071CA2" w14:textId="77777777" w:rsidR="00F22587" w:rsidRPr="000E5DBF" w:rsidRDefault="00F22587" w:rsidP="008A5C11">
            <w:pPr>
              <w:jc w:val="center"/>
              <w:rPr>
                <w:color w:val="000000"/>
                <w:sz w:val="16"/>
                <w:szCs w:val="16"/>
              </w:rPr>
            </w:pPr>
            <w:r w:rsidRPr="000E5DBF">
              <w:rPr>
                <w:color w:val="000000"/>
                <w:sz w:val="16"/>
                <w:szCs w:val="16"/>
              </w:rPr>
              <w:t>0,00</w:t>
            </w:r>
          </w:p>
        </w:tc>
        <w:tc>
          <w:tcPr>
            <w:tcW w:w="234" w:type="pct"/>
            <w:shd w:val="clear" w:color="auto" w:fill="auto"/>
            <w:vAlign w:val="center"/>
          </w:tcPr>
          <w:p w14:paraId="77E2590D" w14:textId="77777777" w:rsidR="00F22587" w:rsidRPr="000E5DBF" w:rsidRDefault="00F22587" w:rsidP="008A5C11">
            <w:pPr>
              <w:jc w:val="center"/>
              <w:rPr>
                <w:color w:val="000000"/>
                <w:sz w:val="16"/>
                <w:szCs w:val="16"/>
              </w:rPr>
            </w:pPr>
            <w:r w:rsidRPr="000E5DBF">
              <w:rPr>
                <w:color w:val="000000"/>
                <w:sz w:val="16"/>
                <w:szCs w:val="16"/>
              </w:rPr>
              <w:t>0,00</w:t>
            </w:r>
          </w:p>
        </w:tc>
        <w:tc>
          <w:tcPr>
            <w:tcW w:w="234" w:type="pct"/>
            <w:shd w:val="clear" w:color="auto" w:fill="auto"/>
            <w:vAlign w:val="center"/>
          </w:tcPr>
          <w:p w14:paraId="417F3EA2" w14:textId="77777777" w:rsidR="00F22587" w:rsidRPr="000E5DBF" w:rsidRDefault="00F22587" w:rsidP="008A5C11">
            <w:pPr>
              <w:jc w:val="center"/>
              <w:rPr>
                <w:color w:val="000000"/>
                <w:sz w:val="16"/>
                <w:szCs w:val="16"/>
              </w:rPr>
            </w:pPr>
            <w:r w:rsidRPr="000E5DBF">
              <w:rPr>
                <w:color w:val="000000"/>
                <w:sz w:val="16"/>
                <w:szCs w:val="16"/>
              </w:rPr>
              <w:t>0,00</w:t>
            </w:r>
          </w:p>
        </w:tc>
        <w:tc>
          <w:tcPr>
            <w:tcW w:w="203" w:type="pct"/>
            <w:shd w:val="clear" w:color="auto" w:fill="auto"/>
            <w:vAlign w:val="center"/>
          </w:tcPr>
          <w:p w14:paraId="4992B0E1" w14:textId="77777777" w:rsidR="00F22587" w:rsidRPr="000E5DBF" w:rsidRDefault="00F22587" w:rsidP="008A5C11">
            <w:pPr>
              <w:jc w:val="center"/>
              <w:rPr>
                <w:color w:val="000000"/>
                <w:sz w:val="16"/>
                <w:szCs w:val="16"/>
              </w:rPr>
            </w:pPr>
            <w:r w:rsidRPr="000E5DBF">
              <w:rPr>
                <w:color w:val="000000"/>
                <w:sz w:val="16"/>
                <w:szCs w:val="16"/>
              </w:rPr>
              <w:t>0,00</w:t>
            </w:r>
          </w:p>
        </w:tc>
        <w:tc>
          <w:tcPr>
            <w:tcW w:w="203" w:type="pct"/>
            <w:shd w:val="clear" w:color="auto" w:fill="auto"/>
            <w:vAlign w:val="center"/>
          </w:tcPr>
          <w:p w14:paraId="1B989463" w14:textId="77777777" w:rsidR="00F22587" w:rsidRPr="000E5DBF" w:rsidRDefault="00F22587" w:rsidP="008A5C11">
            <w:pPr>
              <w:jc w:val="center"/>
              <w:rPr>
                <w:color w:val="000000"/>
                <w:sz w:val="16"/>
                <w:szCs w:val="16"/>
              </w:rPr>
            </w:pPr>
            <w:r w:rsidRPr="000E5DBF">
              <w:rPr>
                <w:color w:val="000000"/>
                <w:sz w:val="16"/>
                <w:szCs w:val="16"/>
              </w:rPr>
              <w:t>0,00</w:t>
            </w:r>
          </w:p>
        </w:tc>
        <w:tc>
          <w:tcPr>
            <w:tcW w:w="203" w:type="pct"/>
            <w:shd w:val="clear" w:color="auto" w:fill="auto"/>
            <w:vAlign w:val="center"/>
          </w:tcPr>
          <w:p w14:paraId="47815BFA" w14:textId="77777777" w:rsidR="00F22587" w:rsidRPr="000E5DBF" w:rsidRDefault="00F22587" w:rsidP="008A5C11">
            <w:pPr>
              <w:jc w:val="center"/>
              <w:rPr>
                <w:color w:val="000000"/>
                <w:sz w:val="16"/>
                <w:szCs w:val="16"/>
              </w:rPr>
            </w:pPr>
            <w:r w:rsidRPr="000E5DBF">
              <w:rPr>
                <w:color w:val="000000"/>
                <w:sz w:val="16"/>
                <w:szCs w:val="16"/>
              </w:rPr>
              <w:t>0,00</w:t>
            </w:r>
          </w:p>
        </w:tc>
        <w:tc>
          <w:tcPr>
            <w:tcW w:w="279" w:type="pct"/>
            <w:shd w:val="clear" w:color="auto" w:fill="auto"/>
            <w:vAlign w:val="center"/>
          </w:tcPr>
          <w:p w14:paraId="48B260A2" w14:textId="77777777" w:rsidR="00F22587" w:rsidRPr="000E5DBF" w:rsidRDefault="00F22587" w:rsidP="008A5C11">
            <w:pPr>
              <w:jc w:val="center"/>
              <w:rPr>
                <w:color w:val="000000"/>
                <w:sz w:val="16"/>
                <w:szCs w:val="16"/>
              </w:rPr>
            </w:pPr>
            <w:r w:rsidRPr="000E5DBF">
              <w:rPr>
                <w:color w:val="000000"/>
                <w:sz w:val="16"/>
                <w:szCs w:val="16"/>
              </w:rPr>
              <w:t>0,00</w:t>
            </w:r>
          </w:p>
        </w:tc>
      </w:tr>
      <w:tr w:rsidR="00F22587" w:rsidRPr="000E5DBF" w14:paraId="60A529BF" w14:textId="77777777" w:rsidTr="008A5C11">
        <w:trPr>
          <w:trHeight w:val="255"/>
        </w:trPr>
        <w:tc>
          <w:tcPr>
            <w:tcW w:w="170" w:type="pct"/>
            <w:shd w:val="clear" w:color="auto" w:fill="auto"/>
            <w:vAlign w:val="center"/>
            <w:hideMark/>
          </w:tcPr>
          <w:p w14:paraId="602BCE24" w14:textId="77777777" w:rsidR="00F22587" w:rsidRPr="000E5DBF" w:rsidRDefault="00F22587" w:rsidP="008A5C11">
            <w:pPr>
              <w:jc w:val="center"/>
              <w:rPr>
                <w:sz w:val="16"/>
                <w:szCs w:val="16"/>
              </w:rPr>
            </w:pPr>
            <w:r w:rsidRPr="000E5DBF">
              <w:rPr>
                <w:sz w:val="16"/>
                <w:szCs w:val="16"/>
              </w:rPr>
              <w:t>2.2.</w:t>
            </w:r>
          </w:p>
        </w:tc>
        <w:tc>
          <w:tcPr>
            <w:tcW w:w="1113" w:type="pct"/>
            <w:shd w:val="clear" w:color="auto" w:fill="auto"/>
            <w:vAlign w:val="center"/>
            <w:hideMark/>
          </w:tcPr>
          <w:p w14:paraId="0B9034B1" w14:textId="77777777" w:rsidR="00F22587" w:rsidRPr="000E5DBF" w:rsidRDefault="00F22587" w:rsidP="008A5C11">
            <w:pPr>
              <w:rPr>
                <w:sz w:val="16"/>
                <w:szCs w:val="16"/>
              </w:rPr>
            </w:pPr>
            <w:r w:rsidRPr="000E5DBF">
              <w:rPr>
                <w:sz w:val="16"/>
                <w:szCs w:val="16"/>
              </w:rPr>
              <w:t>займы организаций</w:t>
            </w:r>
          </w:p>
        </w:tc>
        <w:tc>
          <w:tcPr>
            <w:tcW w:w="475" w:type="pct"/>
            <w:shd w:val="clear" w:color="auto" w:fill="auto"/>
            <w:vAlign w:val="center"/>
          </w:tcPr>
          <w:p w14:paraId="36421636" w14:textId="77777777" w:rsidR="00F22587" w:rsidRPr="000E5DBF" w:rsidRDefault="00F22587" w:rsidP="008A5C11">
            <w:pPr>
              <w:jc w:val="center"/>
              <w:rPr>
                <w:color w:val="000000"/>
                <w:sz w:val="16"/>
                <w:szCs w:val="16"/>
              </w:rPr>
            </w:pPr>
            <w:r w:rsidRPr="000E5DBF">
              <w:rPr>
                <w:color w:val="000000"/>
                <w:sz w:val="16"/>
                <w:szCs w:val="16"/>
              </w:rPr>
              <w:t>0,00</w:t>
            </w:r>
          </w:p>
        </w:tc>
        <w:tc>
          <w:tcPr>
            <w:tcW w:w="319" w:type="pct"/>
            <w:shd w:val="clear" w:color="auto" w:fill="auto"/>
            <w:vAlign w:val="center"/>
          </w:tcPr>
          <w:p w14:paraId="205ADA07" w14:textId="77777777" w:rsidR="00F22587" w:rsidRPr="000E5DBF" w:rsidRDefault="00F22587" w:rsidP="008A5C11">
            <w:pPr>
              <w:jc w:val="center"/>
              <w:rPr>
                <w:color w:val="000000"/>
                <w:sz w:val="16"/>
                <w:szCs w:val="16"/>
              </w:rPr>
            </w:pPr>
            <w:r w:rsidRPr="000E5DBF">
              <w:rPr>
                <w:color w:val="000000"/>
                <w:sz w:val="16"/>
                <w:szCs w:val="16"/>
              </w:rPr>
              <w:t>0,00</w:t>
            </w:r>
          </w:p>
        </w:tc>
        <w:tc>
          <w:tcPr>
            <w:tcW w:w="286" w:type="pct"/>
            <w:shd w:val="clear" w:color="auto" w:fill="auto"/>
            <w:vAlign w:val="center"/>
          </w:tcPr>
          <w:p w14:paraId="586B1229" w14:textId="77777777" w:rsidR="00F22587" w:rsidRPr="000E5DBF" w:rsidRDefault="00F22587" w:rsidP="008A5C11">
            <w:pPr>
              <w:jc w:val="center"/>
              <w:rPr>
                <w:color w:val="000000"/>
                <w:sz w:val="16"/>
                <w:szCs w:val="16"/>
              </w:rPr>
            </w:pPr>
            <w:r w:rsidRPr="000E5DBF">
              <w:rPr>
                <w:color w:val="000000"/>
                <w:sz w:val="16"/>
                <w:szCs w:val="16"/>
              </w:rPr>
              <w:t>0,00</w:t>
            </w:r>
          </w:p>
        </w:tc>
        <w:tc>
          <w:tcPr>
            <w:tcW w:w="286" w:type="pct"/>
            <w:shd w:val="clear" w:color="auto" w:fill="auto"/>
            <w:vAlign w:val="center"/>
          </w:tcPr>
          <w:p w14:paraId="1EA4A403" w14:textId="77777777" w:rsidR="00F22587" w:rsidRPr="000E5DBF" w:rsidRDefault="00F22587" w:rsidP="008A5C11">
            <w:pPr>
              <w:jc w:val="center"/>
              <w:rPr>
                <w:color w:val="000000"/>
                <w:sz w:val="16"/>
                <w:szCs w:val="16"/>
              </w:rPr>
            </w:pPr>
            <w:r w:rsidRPr="000E5DBF">
              <w:rPr>
                <w:color w:val="000000"/>
                <w:sz w:val="16"/>
                <w:szCs w:val="16"/>
              </w:rPr>
              <w:t>0,00</w:t>
            </w:r>
          </w:p>
        </w:tc>
        <w:tc>
          <w:tcPr>
            <w:tcW w:w="286" w:type="pct"/>
            <w:shd w:val="clear" w:color="auto" w:fill="auto"/>
            <w:vAlign w:val="center"/>
          </w:tcPr>
          <w:p w14:paraId="2D34B6E5" w14:textId="77777777" w:rsidR="00F22587" w:rsidRPr="000E5DBF" w:rsidRDefault="00F22587" w:rsidP="008A5C11">
            <w:pPr>
              <w:jc w:val="center"/>
              <w:rPr>
                <w:color w:val="000000"/>
                <w:sz w:val="16"/>
                <w:szCs w:val="16"/>
              </w:rPr>
            </w:pPr>
            <w:r w:rsidRPr="000E5DBF">
              <w:rPr>
                <w:color w:val="000000"/>
                <w:sz w:val="16"/>
                <w:szCs w:val="16"/>
              </w:rPr>
              <w:t>0,00</w:t>
            </w:r>
          </w:p>
        </w:tc>
        <w:tc>
          <w:tcPr>
            <w:tcW w:w="240" w:type="pct"/>
            <w:shd w:val="clear" w:color="auto" w:fill="auto"/>
            <w:vAlign w:val="center"/>
          </w:tcPr>
          <w:p w14:paraId="5A5944AF" w14:textId="77777777" w:rsidR="00F22587" w:rsidRPr="000E5DBF" w:rsidRDefault="00F22587" w:rsidP="008A5C11">
            <w:pPr>
              <w:jc w:val="center"/>
              <w:rPr>
                <w:color w:val="000000"/>
                <w:sz w:val="16"/>
                <w:szCs w:val="16"/>
              </w:rPr>
            </w:pPr>
            <w:r w:rsidRPr="000E5DBF">
              <w:rPr>
                <w:color w:val="000000"/>
                <w:sz w:val="16"/>
                <w:szCs w:val="16"/>
              </w:rPr>
              <w:t>0,00</w:t>
            </w:r>
          </w:p>
        </w:tc>
        <w:tc>
          <w:tcPr>
            <w:tcW w:w="234" w:type="pct"/>
            <w:shd w:val="clear" w:color="auto" w:fill="auto"/>
            <w:vAlign w:val="center"/>
          </w:tcPr>
          <w:p w14:paraId="2DACD115" w14:textId="77777777" w:rsidR="00F22587" w:rsidRPr="000E5DBF" w:rsidRDefault="00F22587" w:rsidP="008A5C11">
            <w:pPr>
              <w:jc w:val="center"/>
              <w:rPr>
                <w:color w:val="000000"/>
                <w:sz w:val="16"/>
                <w:szCs w:val="16"/>
              </w:rPr>
            </w:pPr>
            <w:r w:rsidRPr="000E5DBF">
              <w:rPr>
                <w:color w:val="000000"/>
                <w:sz w:val="16"/>
                <w:szCs w:val="16"/>
              </w:rPr>
              <w:t>0,00</w:t>
            </w:r>
          </w:p>
        </w:tc>
        <w:tc>
          <w:tcPr>
            <w:tcW w:w="234" w:type="pct"/>
            <w:shd w:val="clear" w:color="auto" w:fill="auto"/>
            <w:vAlign w:val="center"/>
          </w:tcPr>
          <w:p w14:paraId="59DDCE7F" w14:textId="77777777" w:rsidR="00F22587" w:rsidRPr="000E5DBF" w:rsidRDefault="00F22587" w:rsidP="008A5C11">
            <w:pPr>
              <w:jc w:val="center"/>
              <w:rPr>
                <w:color w:val="000000"/>
                <w:sz w:val="16"/>
                <w:szCs w:val="16"/>
              </w:rPr>
            </w:pPr>
            <w:r w:rsidRPr="000E5DBF">
              <w:rPr>
                <w:color w:val="000000"/>
                <w:sz w:val="16"/>
                <w:szCs w:val="16"/>
              </w:rPr>
              <w:t>0,00</w:t>
            </w:r>
          </w:p>
        </w:tc>
        <w:tc>
          <w:tcPr>
            <w:tcW w:w="234" w:type="pct"/>
            <w:shd w:val="clear" w:color="auto" w:fill="auto"/>
            <w:vAlign w:val="center"/>
          </w:tcPr>
          <w:p w14:paraId="2D47BCFF" w14:textId="77777777" w:rsidR="00F22587" w:rsidRPr="000E5DBF" w:rsidRDefault="00F22587" w:rsidP="008A5C11">
            <w:pPr>
              <w:jc w:val="center"/>
              <w:rPr>
                <w:color w:val="000000"/>
                <w:sz w:val="16"/>
                <w:szCs w:val="16"/>
              </w:rPr>
            </w:pPr>
            <w:r w:rsidRPr="000E5DBF">
              <w:rPr>
                <w:color w:val="000000"/>
                <w:sz w:val="16"/>
                <w:szCs w:val="16"/>
              </w:rPr>
              <w:t>0,00</w:t>
            </w:r>
          </w:p>
        </w:tc>
        <w:tc>
          <w:tcPr>
            <w:tcW w:w="234" w:type="pct"/>
            <w:shd w:val="clear" w:color="auto" w:fill="auto"/>
            <w:vAlign w:val="center"/>
          </w:tcPr>
          <w:p w14:paraId="342A5AD4" w14:textId="77777777" w:rsidR="00F22587" w:rsidRPr="000E5DBF" w:rsidRDefault="00F22587" w:rsidP="008A5C11">
            <w:pPr>
              <w:jc w:val="center"/>
              <w:rPr>
                <w:color w:val="000000"/>
                <w:sz w:val="16"/>
                <w:szCs w:val="16"/>
              </w:rPr>
            </w:pPr>
            <w:r w:rsidRPr="000E5DBF">
              <w:rPr>
                <w:color w:val="000000"/>
                <w:sz w:val="16"/>
                <w:szCs w:val="16"/>
              </w:rPr>
              <w:t>0,00</w:t>
            </w:r>
          </w:p>
        </w:tc>
        <w:tc>
          <w:tcPr>
            <w:tcW w:w="203" w:type="pct"/>
            <w:shd w:val="clear" w:color="auto" w:fill="auto"/>
            <w:vAlign w:val="center"/>
          </w:tcPr>
          <w:p w14:paraId="57EB48D6" w14:textId="77777777" w:rsidR="00F22587" w:rsidRPr="000E5DBF" w:rsidRDefault="00F22587" w:rsidP="008A5C11">
            <w:pPr>
              <w:jc w:val="center"/>
              <w:rPr>
                <w:color w:val="000000"/>
                <w:sz w:val="16"/>
                <w:szCs w:val="16"/>
              </w:rPr>
            </w:pPr>
            <w:r w:rsidRPr="000E5DBF">
              <w:rPr>
                <w:color w:val="000000"/>
                <w:sz w:val="16"/>
                <w:szCs w:val="16"/>
              </w:rPr>
              <w:t>0,00</w:t>
            </w:r>
          </w:p>
        </w:tc>
        <w:tc>
          <w:tcPr>
            <w:tcW w:w="203" w:type="pct"/>
            <w:shd w:val="clear" w:color="auto" w:fill="auto"/>
            <w:vAlign w:val="center"/>
          </w:tcPr>
          <w:p w14:paraId="78562111" w14:textId="77777777" w:rsidR="00F22587" w:rsidRPr="000E5DBF" w:rsidRDefault="00F22587" w:rsidP="008A5C11">
            <w:pPr>
              <w:jc w:val="center"/>
              <w:rPr>
                <w:color w:val="000000"/>
                <w:sz w:val="16"/>
                <w:szCs w:val="16"/>
              </w:rPr>
            </w:pPr>
            <w:r w:rsidRPr="000E5DBF">
              <w:rPr>
                <w:color w:val="000000"/>
                <w:sz w:val="16"/>
                <w:szCs w:val="16"/>
              </w:rPr>
              <w:t>0,00</w:t>
            </w:r>
          </w:p>
        </w:tc>
        <w:tc>
          <w:tcPr>
            <w:tcW w:w="203" w:type="pct"/>
            <w:shd w:val="clear" w:color="auto" w:fill="auto"/>
            <w:vAlign w:val="center"/>
          </w:tcPr>
          <w:p w14:paraId="1B3F7586" w14:textId="77777777" w:rsidR="00F22587" w:rsidRPr="000E5DBF" w:rsidRDefault="00F22587" w:rsidP="008A5C11">
            <w:pPr>
              <w:jc w:val="center"/>
              <w:rPr>
                <w:color w:val="000000"/>
                <w:sz w:val="16"/>
                <w:szCs w:val="16"/>
              </w:rPr>
            </w:pPr>
            <w:r w:rsidRPr="000E5DBF">
              <w:rPr>
                <w:color w:val="000000"/>
                <w:sz w:val="16"/>
                <w:szCs w:val="16"/>
              </w:rPr>
              <w:t>0,00</w:t>
            </w:r>
          </w:p>
        </w:tc>
        <w:tc>
          <w:tcPr>
            <w:tcW w:w="279" w:type="pct"/>
            <w:shd w:val="clear" w:color="auto" w:fill="auto"/>
            <w:vAlign w:val="center"/>
          </w:tcPr>
          <w:p w14:paraId="6C8C6254" w14:textId="77777777" w:rsidR="00F22587" w:rsidRPr="000E5DBF" w:rsidRDefault="00F22587" w:rsidP="008A5C11">
            <w:pPr>
              <w:jc w:val="center"/>
              <w:rPr>
                <w:color w:val="000000"/>
                <w:sz w:val="16"/>
                <w:szCs w:val="16"/>
              </w:rPr>
            </w:pPr>
            <w:r w:rsidRPr="000E5DBF">
              <w:rPr>
                <w:color w:val="000000"/>
                <w:sz w:val="16"/>
                <w:szCs w:val="16"/>
              </w:rPr>
              <w:t>0,00</w:t>
            </w:r>
          </w:p>
        </w:tc>
      </w:tr>
      <w:tr w:rsidR="00F22587" w:rsidRPr="000E5DBF" w14:paraId="24A8AD7A" w14:textId="77777777" w:rsidTr="008A5C11">
        <w:trPr>
          <w:trHeight w:val="255"/>
        </w:trPr>
        <w:tc>
          <w:tcPr>
            <w:tcW w:w="170" w:type="pct"/>
            <w:shd w:val="clear" w:color="auto" w:fill="auto"/>
            <w:vAlign w:val="center"/>
            <w:hideMark/>
          </w:tcPr>
          <w:p w14:paraId="3B3F80B2" w14:textId="77777777" w:rsidR="00F22587" w:rsidRPr="000E5DBF" w:rsidRDefault="00F22587" w:rsidP="008A5C11">
            <w:pPr>
              <w:jc w:val="center"/>
              <w:rPr>
                <w:sz w:val="16"/>
                <w:szCs w:val="16"/>
              </w:rPr>
            </w:pPr>
            <w:r w:rsidRPr="000E5DBF">
              <w:rPr>
                <w:sz w:val="16"/>
                <w:szCs w:val="16"/>
              </w:rPr>
              <w:t>2.3.</w:t>
            </w:r>
          </w:p>
        </w:tc>
        <w:tc>
          <w:tcPr>
            <w:tcW w:w="1113" w:type="pct"/>
            <w:shd w:val="clear" w:color="auto" w:fill="auto"/>
            <w:vAlign w:val="center"/>
            <w:hideMark/>
          </w:tcPr>
          <w:p w14:paraId="0E38ED41" w14:textId="77777777" w:rsidR="00F22587" w:rsidRPr="000E5DBF" w:rsidRDefault="00F22587" w:rsidP="008A5C11">
            <w:pPr>
              <w:rPr>
                <w:sz w:val="16"/>
                <w:szCs w:val="16"/>
              </w:rPr>
            </w:pPr>
            <w:r w:rsidRPr="000E5DBF">
              <w:rPr>
                <w:sz w:val="16"/>
                <w:szCs w:val="16"/>
              </w:rPr>
              <w:t>прочие средства</w:t>
            </w:r>
          </w:p>
        </w:tc>
        <w:tc>
          <w:tcPr>
            <w:tcW w:w="475" w:type="pct"/>
            <w:shd w:val="clear" w:color="auto" w:fill="auto"/>
            <w:vAlign w:val="center"/>
          </w:tcPr>
          <w:p w14:paraId="38F2A01E" w14:textId="77777777" w:rsidR="00F22587" w:rsidRPr="000E5DBF" w:rsidRDefault="00F22587" w:rsidP="008A5C11">
            <w:pPr>
              <w:jc w:val="center"/>
              <w:rPr>
                <w:color w:val="000000"/>
                <w:sz w:val="16"/>
                <w:szCs w:val="16"/>
              </w:rPr>
            </w:pPr>
            <w:r w:rsidRPr="000E5DBF">
              <w:rPr>
                <w:color w:val="000000"/>
                <w:sz w:val="16"/>
                <w:szCs w:val="16"/>
              </w:rPr>
              <w:t>0,00</w:t>
            </w:r>
          </w:p>
        </w:tc>
        <w:tc>
          <w:tcPr>
            <w:tcW w:w="319" w:type="pct"/>
            <w:shd w:val="clear" w:color="auto" w:fill="auto"/>
            <w:vAlign w:val="center"/>
          </w:tcPr>
          <w:p w14:paraId="4EF58001" w14:textId="77777777" w:rsidR="00F22587" w:rsidRPr="000E5DBF" w:rsidRDefault="00F22587" w:rsidP="008A5C11">
            <w:pPr>
              <w:jc w:val="center"/>
              <w:rPr>
                <w:color w:val="000000"/>
                <w:sz w:val="16"/>
                <w:szCs w:val="16"/>
              </w:rPr>
            </w:pPr>
            <w:r w:rsidRPr="000E5DBF">
              <w:rPr>
                <w:color w:val="000000"/>
                <w:sz w:val="16"/>
                <w:szCs w:val="16"/>
              </w:rPr>
              <w:t>0,00</w:t>
            </w:r>
          </w:p>
        </w:tc>
        <w:tc>
          <w:tcPr>
            <w:tcW w:w="286" w:type="pct"/>
            <w:shd w:val="clear" w:color="auto" w:fill="auto"/>
            <w:vAlign w:val="center"/>
          </w:tcPr>
          <w:p w14:paraId="3B3C8FCA" w14:textId="77777777" w:rsidR="00F22587" w:rsidRPr="000E5DBF" w:rsidRDefault="00F22587" w:rsidP="008A5C11">
            <w:pPr>
              <w:jc w:val="center"/>
              <w:rPr>
                <w:color w:val="000000"/>
                <w:sz w:val="16"/>
                <w:szCs w:val="16"/>
              </w:rPr>
            </w:pPr>
            <w:r w:rsidRPr="000E5DBF">
              <w:rPr>
                <w:color w:val="000000"/>
                <w:sz w:val="16"/>
                <w:szCs w:val="16"/>
              </w:rPr>
              <w:t>0,00</w:t>
            </w:r>
          </w:p>
        </w:tc>
        <w:tc>
          <w:tcPr>
            <w:tcW w:w="286" w:type="pct"/>
            <w:shd w:val="clear" w:color="auto" w:fill="auto"/>
            <w:vAlign w:val="center"/>
          </w:tcPr>
          <w:p w14:paraId="1D6501AA" w14:textId="77777777" w:rsidR="00F22587" w:rsidRPr="000E5DBF" w:rsidRDefault="00F22587" w:rsidP="008A5C11">
            <w:pPr>
              <w:jc w:val="center"/>
              <w:rPr>
                <w:color w:val="000000"/>
                <w:sz w:val="16"/>
                <w:szCs w:val="16"/>
              </w:rPr>
            </w:pPr>
            <w:r w:rsidRPr="000E5DBF">
              <w:rPr>
                <w:color w:val="000000"/>
                <w:sz w:val="16"/>
                <w:szCs w:val="16"/>
              </w:rPr>
              <w:t>0,00</w:t>
            </w:r>
          </w:p>
        </w:tc>
        <w:tc>
          <w:tcPr>
            <w:tcW w:w="286" w:type="pct"/>
            <w:shd w:val="clear" w:color="auto" w:fill="auto"/>
            <w:vAlign w:val="center"/>
          </w:tcPr>
          <w:p w14:paraId="46FDA2F6" w14:textId="77777777" w:rsidR="00F22587" w:rsidRPr="000E5DBF" w:rsidRDefault="00F22587" w:rsidP="008A5C11">
            <w:pPr>
              <w:jc w:val="center"/>
              <w:rPr>
                <w:color w:val="000000"/>
                <w:sz w:val="16"/>
                <w:szCs w:val="16"/>
              </w:rPr>
            </w:pPr>
            <w:r w:rsidRPr="000E5DBF">
              <w:rPr>
                <w:color w:val="000000"/>
                <w:sz w:val="16"/>
                <w:szCs w:val="16"/>
              </w:rPr>
              <w:t>0,00</w:t>
            </w:r>
          </w:p>
        </w:tc>
        <w:tc>
          <w:tcPr>
            <w:tcW w:w="240" w:type="pct"/>
            <w:shd w:val="clear" w:color="auto" w:fill="auto"/>
            <w:vAlign w:val="center"/>
          </w:tcPr>
          <w:p w14:paraId="0B6186CB" w14:textId="77777777" w:rsidR="00F22587" w:rsidRPr="000E5DBF" w:rsidRDefault="00F22587" w:rsidP="008A5C11">
            <w:pPr>
              <w:jc w:val="center"/>
              <w:rPr>
                <w:color w:val="000000"/>
                <w:sz w:val="16"/>
                <w:szCs w:val="16"/>
              </w:rPr>
            </w:pPr>
            <w:r w:rsidRPr="000E5DBF">
              <w:rPr>
                <w:color w:val="000000"/>
                <w:sz w:val="16"/>
                <w:szCs w:val="16"/>
              </w:rPr>
              <w:t>0,00</w:t>
            </w:r>
          </w:p>
        </w:tc>
        <w:tc>
          <w:tcPr>
            <w:tcW w:w="234" w:type="pct"/>
            <w:shd w:val="clear" w:color="auto" w:fill="auto"/>
            <w:vAlign w:val="center"/>
          </w:tcPr>
          <w:p w14:paraId="377CE1E7" w14:textId="77777777" w:rsidR="00F22587" w:rsidRPr="000E5DBF" w:rsidRDefault="00F22587" w:rsidP="008A5C11">
            <w:pPr>
              <w:jc w:val="center"/>
              <w:rPr>
                <w:color w:val="000000"/>
                <w:sz w:val="16"/>
                <w:szCs w:val="16"/>
              </w:rPr>
            </w:pPr>
            <w:r w:rsidRPr="000E5DBF">
              <w:rPr>
                <w:color w:val="000000"/>
                <w:sz w:val="16"/>
                <w:szCs w:val="16"/>
              </w:rPr>
              <w:t>0,00</w:t>
            </w:r>
          </w:p>
        </w:tc>
        <w:tc>
          <w:tcPr>
            <w:tcW w:w="234" w:type="pct"/>
            <w:shd w:val="clear" w:color="auto" w:fill="auto"/>
            <w:vAlign w:val="center"/>
          </w:tcPr>
          <w:p w14:paraId="4CF331AF" w14:textId="77777777" w:rsidR="00F22587" w:rsidRPr="000E5DBF" w:rsidRDefault="00F22587" w:rsidP="008A5C11">
            <w:pPr>
              <w:jc w:val="center"/>
              <w:rPr>
                <w:color w:val="000000"/>
                <w:sz w:val="16"/>
                <w:szCs w:val="16"/>
              </w:rPr>
            </w:pPr>
            <w:r w:rsidRPr="000E5DBF">
              <w:rPr>
                <w:color w:val="000000"/>
                <w:sz w:val="16"/>
                <w:szCs w:val="16"/>
              </w:rPr>
              <w:t>0,00</w:t>
            </w:r>
          </w:p>
        </w:tc>
        <w:tc>
          <w:tcPr>
            <w:tcW w:w="234" w:type="pct"/>
            <w:shd w:val="clear" w:color="auto" w:fill="auto"/>
            <w:vAlign w:val="center"/>
          </w:tcPr>
          <w:p w14:paraId="28C5ED74" w14:textId="77777777" w:rsidR="00F22587" w:rsidRPr="000E5DBF" w:rsidRDefault="00F22587" w:rsidP="008A5C11">
            <w:pPr>
              <w:jc w:val="center"/>
              <w:rPr>
                <w:color w:val="000000"/>
                <w:sz w:val="16"/>
                <w:szCs w:val="16"/>
              </w:rPr>
            </w:pPr>
            <w:r w:rsidRPr="000E5DBF">
              <w:rPr>
                <w:color w:val="000000"/>
                <w:sz w:val="16"/>
                <w:szCs w:val="16"/>
              </w:rPr>
              <w:t>0,00</w:t>
            </w:r>
          </w:p>
        </w:tc>
        <w:tc>
          <w:tcPr>
            <w:tcW w:w="234" w:type="pct"/>
            <w:shd w:val="clear" w:color="auto" w:fill="auto"/>
            <w:vAlign w:val="center"/>
          </w:tcPr>
          <w:p w14:paraId="4C333DAD" w14:textId="77777777" w:rsidR="00F22587" w:rsidRPr="000E5DBF" w:rsidRDefault="00F22587" w:rsidP="008A5C11">
            <w:pPr>
              <w:jc w:val="center"/>
              <w:rPr>
                <w:color w:val="000000"/>
                <w:sz w:val="16"/>
                <w:szCs w:val="16"/>
              </w:rPr>
            </w:pPr>
            <w:r w:rsidRPr="000E5DBF">
              <w:rPr>
                <w:color w:val="000000"/>
                <w:sz w:val="16"/>
                <w:szCs w:val="16"/>
              </w:rPr>
              <w:t>0,00</w:t>
            </w:r>
          </w:p>
        </w:tc>
        <w:tc>
          <w:tcPr>
            <w:tcW w:w="203" w:type="pct"/>
            <w:shd w:val="clear" w:color="auto" w:fill="auto"/>
            <w:vAlign w:val="center"/>
          </w:tcPr>
          <w:p w14:paraId="64D1FB13" w14:textId="77777777" w:rsidR="00F22587" w:rsidRPr="000E5DBF" w:rsidRDefault="00F22587" w:rsidP="008A5C11">
            <w:pPr>
              <w:jc w:val="center"/>
              <w:rPr>
                <w:color w:val="000000"/>
                <w:sz w:val="16"/>
                <w:szCs w:val="16"/>
              </w:rPr>
            </w:pPr>
            <w:r w:rsidRPr="000E5DBF">
              <w:rPr>
                <w:color w:val="000000"/>
                <w:sz w:val="16"/>
                <w:szCs w:val="16"/>
              </w:rPr>
              <w:t>0,00</w:t>
            </w:r>
          </w:p>
        </w:tc>
        <w:tc>
          <w:tcPr>
            <w:tcW w:w="203" w:type="pct"/>
            <w:shd w:val="clear" w:color="auto" w:fill="auto"/>
            <w:vAlign w:val="center"/>
          </w:tcPr>
          <w:p w14:paraId="6699F0F3" w14:textId="77777777" w:rsidR="00F22587" w:rsidRPr="000E5DBF" w:rsidRDefault="00F22587" w:rsidP="008A5C11">
            <w:pPr>
              <w:jc w:val="center"/>
              <w:rPr>
                <w:color w:val="000000"/>
                <w:sz w:val="16"/>
                <w:szCs w:val="16"/>
              </w:rPr>
            </w:pPr>
            <w:r w:rsidRPr="000E5DBF">
              <w:rPr>
                <w:color w:val="000000"/>
                <w:sz w:val="16"/>
                <w:szCs w:val="16"/>
              </w:rPr>
              <w:t>0,00</w:t>
            </w:r>
          </w:p>
        </w:tc>
        <w:tc>
          <w:tcPr>
            <w:tcW w:w="203" w:type="pct"/>
            <w:shd w:val="clear" w:color="auto" w:fill="auto"/>
            <w:vAlign w:val="center"/>
          </w:tcPr>
          <w:p w14:paraId="3ABD8D71" w14:textId="77777777" w:rsidR="00F22587" w:rsidRPr="000E5DBF" w:rsidRDefault="00F22587" w:rsidP="008A5C11">
            <w:pPr>
              <w:jc w:val="center"/>
              <w:rPr>
                <w:color w:val="000000"/>
                <w:sz w:val="16"/>
                <w:szCs w:val="16"/>
              </w:rPr>
            </w:pPr>
            <w:r w:rsidRPr="000E5DBF">
              <w:rPr>
                <w:color w:val="000000"/>
                <w:sz w:val="16"/>
                <w:szCs w:val="16"/>
              </w:rPr>
              <w:t>0,00</w:t>
            </w:r>
          </w:p>
        </w:tc>
        <w:tc>
          <w:tcPr>
            <w:tcW w:w="279" w:type="pct"/>
            <w:shd w:val="clear" w:color="auto" w:fill="auto"/>
            <w:vAlign w:val="center"/>
          </w:tcPr>
          <w:p w14:paraId="14E808DC" w14:textId="77777777" w:rsidR="00F22587" w:rsidRPr="000E5DBF" w:rsidRDefault="00F22587" w:rsidP="008A5C11">
            <w:pPr>
              <w:jc w:val="center"/>
              <w:rPr>
                <w:color w:val="000000"/>
                <w:sz w:val="16"/>
                <w:szCs w:val="16"/>
              </w:rPr>
            </w:pPr>
            <w:r w:rsidRPr="000E5DBF">
              <w:rPr>
                <w:color w:val="000000"/>
                <w:sz w:val="16"/>
                <w:szCs w:val="16"/>
              </w:rPr>
              <w:t>0,00</w:t>
            </w:r>
          </w:p>
        </w:tc>
      </w:tr>
      <w:tr w:rsidR="00F22587" w:rsidRPr="000E5DBF" w14:paraId="48CB9F97" w14:textId="77777777" w:rsidTr="008A5C11">
        <w:trPr>
          <w:trHeight w:val="136"/>
        </w:trPr>
        <w:tc>
          <w:tcPr>
            <w:tcW w:w="170" w:type="pct"/>
            <w:shd w:val="clear" w:color="auto" w:fill="auto"/>
            <w:vAlign w:val="center"/>
            <w:hideMark/>
          </w:tcPr>
          <w:p w14:paraId="7613D4B8" w14:textId="77777777" w:rsidR="00F22587" w:rsidRPr="000E5DBF" w:rsidRDefault="00F22587" w:rsidP="008A5C11">
            <w:pPr>
              <w:jc w:val="center"/>
              <w:rPr>
                <w:bCs/>
                <w:sz w:val="16"/>
                <w:szCs w:val="16"/>
              </w:rPr>
            </w:pPr>
            <w:r w:rsidRPr="000E5DBF">
              <w:rPr>
                <w:bCs/>
                <w:sz w:val="16"/>
                <w:szCs w:val="16"/>
              </w:rPr>
              <w:t>3</w:t>
            </w:r>
          </w:p>
        </w:tc>
        <w:tc>
          <w:tcPr>
            <w:tcW w:w="1113" w:type="pct"/>
            <w:shd w:val="clear" w:color="auto" w:fill="auto"/>
            <w:vAlign w:val="center"/>
            <w:hideMark/>
          </w:tcPr>
          <w:p w14:paraId="71D487E8" w14:textId="77777777" w:rsidR="00F22587" w:rsidRPr="000E5DBF" w:rsidRDefault="00F22587" w:rsidP="008A5C11">
            <w:pPr>
              <w:rPr>
                <w:bCs/>
                <w:sz w:val="16"/>
                <w:szCs w:val="16"/>
              </w:rPr>
            </w:pPr>
            <w:r w:rsidRPr="000E5DBF">
              <w:rPr>
                <w:bCs/>
                <w:sz w:val="16"/>
                <w:szCs w:val="16"/>
              </w:rPr>
              <w:t>Бюджетное финансирование (средства местного бюджета)</w:t>
            </w:r>
          </w:p>
        </w:tc>
        <w:tc>
          <w:tcPr>
            <w:tcW w:w="475" w:type="pct"/>
            <w:shd w:val="clear" w:color="auto" w:fill="auto"/>
            <w:vAlign w:val="center"/>
          </w:tcPr>
          <w:p w14:paraId="016ED33C" w14:textId="77777777" w:rsidR="00F22587" w:rsidRPr="000E5DBF" w:rsidRDefault="00F22587" w:rsidP="008A5C11">
            <w:pPr>
              <w:jc w:val="center"/>
              <w:rPr>
                <w:color w:val="000000"/>
                <w:sz w:val="16"/>
                <w:szCs w:val="16"/>
              </w:rPr>
            </w:pPr>
            <w:r w:rsidRPr="000E5DBF">
              <w:rPr>
                <w:color w:val="000000"/>
                <w:sz w:val="16"/>
                <w:szCs w:val="16"/>
              </w:rPr>
              <w:t>0,00</w:t>
            </w:r>
          </w:p>
        </w:tc>
        <w:tc>
          <w:tcPr>
            <w:tcW w:w="319" w:type="pct"/>
            <w:shd w:val="clear" w:color="auto" w:fill="auto"/>
            <w:vAlign w:val="center"/>
          </w:tcPr>
          <w:p w14:paraId="13AA5355" w14:textId="77777777" w:rsidR="00F22587" w:rsidRPr="000E5DBF" w:rsidRDefault="00F22587" w:rsidP="008A5C11">
            <w:pPr>
              <w:jc w:val="center"/>
              <w:rPr>
                <w:color w:val="000000"/>
                <w:sz w:val="16"/>
                <w:szCs w:val="16"/>
              </w:rPr>
            </w:pPr>
            <w:r w:rsidRPr="000E5DBF">
              <w:rPr>
                <w:color w:val="000000"/>
                <w:sz w:val="16"/>
                <w:szCs w:val="16"/>
              </w:rPr>
              <w:t>0,00</w:t>
            </w:r>
          </w:p>
        </w:tc>
        <w:tc>
          <w:tcPr>
            <w:tcW w:w="286" w:type="pct"/>
            <w:shd w:val="clear" w:color="auto" w:fill="auto"/>
            <w:vAlign w:val="center"/>
          </w:tcPr>
          <w:p w14:paraId="084B8FA4" w14:textId="77777777" w:rsidR="00F22587" w:rsidRPr="000E5DBF" w:rsidRDefault="00F22587" w:rsidP="008A5C11">
            <w:pPr>
              <w:jc w:val="center"/>
              <w:rPr>
                <w:color w:val="000000"/>
                <w:sz w:val="16"/>
                <w:szCs w:val="16"/>
              </w:rPr>
            </w:pPr>
            <w:r w:rsidRPr="000E5DBF">
              <w:rPr>
                <w:color w:val="000000"/>
                <w:sz w:val="16"/>
                <w:szCs w:val="16"/>
              </w:rPr>
              <w:t>0,00</w:t>
            </w:r>
          </w:p>
        </w:tc>
        <w:tc>
          <w:tcPr>
            <w:tcW w:w="286" w:type="pct"/>
            <w:shd w:val="clear" w:color="auto" w:fill="auto"/>
            <w:vAlign w:val="center"/>
          </w:tcPr>
          <w:p w14:paraId="55D2488D" w14:textId="77777777" w:rsidR="00F22587" w:rsidRPr="000E5DBF" w:rsidRDefault="00F22587" w:rsidP="008A5C11">
            <w:pPr>
              <w:jc w:val="center"/>
              <w:rPr>
                <w:color w:val="000000"/>
                <w:sz w:val="16"/>
                <w:szCs w:val="16"/>
              </w:rPr>
            </w:pPr>
            <w:r w:rsidRPr="000E5DBF">
              <w:rPr>
                <w:color w:val="000000"/>
                <w:sz w:val="16"/>
                <w:szCs w:val="16"/>
              </w:rPr>
              <w:t>0,00</w:t>
            </w:r>
          </w:p>
        </w:tc>
        <w:tc>
          <w:tcPr>
            <w:tcW w:w="286" w:type="pct"/>
            <w:shd w:val="clear" w:color="auto" w:fill="auto"/>
            <w:vAlign w:val="center"/>
          </w:tcPr>
          <w:p w14:paraId="7F3633BB" w14:textId="77777777" w:rsidR="00F22587" w:rsidRPr="000E5DBF" w:rsidRDefault="00F22587" w:rsidP="008A5C11">
            <w:pPr>
              <w:jc w:val="center"/>
              <w:rPr>
                <w:color w:val="000000"/>
                <w:sz w:val="16"/>
                <w:szCs w:val="16"/>
              </w:rPr>
            </w:pPr>
            <w:r w:rsidRPr="000E5DBF">
              <w:rPr>
                <w:color w:val="000000"/>
                <w:sz w:val="16"/>
                <w:szCs w:val="16"/>
              </w:rPr>
              <w:t>0,00</w:t>
            </w:r>
          </w:p>
        </w:tc>
        <w:tc>
          <w:tcPr>
            <w:tcW w:w="240" w:type="pct"/>
            <w:shd w:val="clear" w:color="auto" w:fill="auto"/>
            <w:vAlign w:val="center"/>
          </w:tcPr>
          <w:p w14:paraId="5D6B81AC" w14:textId="77777777" w:rsidR="00F22587" w:rsidRPr="000E5DBF" w:rsidRDefault="00F22587" w:rsidP="008A5C11">
            <w:pPr>
              <w:jc w:val="center"/>
              <w:rPr>
                <w:color w:val="000000"/>
                <w:sz w:val="16"/>
                <w:szCs w:val="16"/>
              </w:rPr>
            </w:pPr>
            <w:r w:rsidRPr="000E5DBF">
              <w:rPr>
                <w:color w:val="000000"/>
                <w:sz w:val="16"/>
                <w:szCs w:val="16"/>
              </w:rPr>
              <w:t>0,00</w:t>
            </w:r>
          </w:p>
        </w:tc>
        <w:tc>
          <w:tcPr>
            <w:tcW w:w="234" w:type="pct"/>
            <w:shd w:val="clear" w:color="auto" w:fill="auto"/>
            <w:vAlign w:val="center"/>
          </w:tcPr>
          <w:p w14:paraId="005A7D54" w14:textId="77777777" w:rsidR="00F22587" w:rsidRPr="000E5DBF" w:rsidRDefault="00F22587" w:rsidP="008A5C11">
            <w:pPr>
              <w:jc w:val="center"/>
              <w:rPr>
                <w:color w:val="000000"/>
                <w:sz w:val="16"/>
                <w:szCs w:val="16"/>
              </w:rPr>
            </w:pPr>
            <w:r w:rsidRPr="000E5DBF">
              <w:rPr>
                <w:color w:val="000000"/>
                <w:sz w:val="16"/>
                <w:szCs w:val="16"/>
              </w:rPr>
              <w:t>0,00</w:t>
            </w:r>
          </w:p>
        </w:tc>
        <w:tc>
          <w:tcPr>
            <w:tcW w:w="234" w:type="pct"/>
            <w:shd w:val="clear" w:color="auto" w:fill="auto"/>
            <w:vAlign w:val="center"/>
          </w:tcPr>
          <w:p w14:paraId="2A86AAD3" w14:textId="77777777" w:rsidR="00F22587" w:rsidRPr="000E5DBF" w:rsidRDefault="00F22587" w:rsidP="008A5C11">
            <w:pPr>
              <w:jc w:val="center"/>
              <w:rPr>
                <w:color w:val="000000"/>
                <w:sz w:val="16"/>
                <w:szCs w:val="16"/>
              </w:rPr>
            </w:pPr>
            <w:r w:rsidRPr="000E5DBF">
              <w:rPr>
                <w:color w:val="000000"/>
                <w:sz w:val="16"/>
                <w:szCs w:val="16"/>
              </w:rPr>
              <w:t>0,00</w:t>
            </w:r>
          </w:p>
        </w:tc>
        <w:tc>
          <w:tcPr>
            <w:tcW w:w="234" w:type="pct"/>
            <w:shd w:val="clear" w:color="auto" w:fill="auto"/>
            <w:vAlign w:val="center"/>
          </w:tcPr>
          <w:p w14:paraId="0B543A0C" w14:textId="77777777" w:rsidR="00F22587" w:rsidRPr="000E5DBF" w:rsidRDefault="00F22587" w:rsidP="008A5C11">
            <w:pPr>
              <w:jc w:val="center"/>
              <w:rPr>
                <w:color w:val="000000"/>
                <w:sz w:val="16"/>
                <w:szCs w:val="16"/>
              </w:rPr>
            </w:pPr>
            <w:r w:rsidRPr="000E5DBF">
              <w:rPr>
                <w:color w:val="000000"/>
                <w:sz w:val="16"/>
                <w:szCs w:val="16"/>
              </w:rPr>
              <w:t>0,00</w:t>
            </w:r>
          </w:p>
        </w:tc>
        <w:tc>
          <w:tcPr>
            <w:tcW w:w="234" w:type="pct"/>
            <w:shd w:val="clear" w:color="auto" w:fill="auto"/>
            <w:vAlign w:val="center"/>
          </w:tcPr>
          <w:p w14:paraId="3943949C" w14:textId="77777777" w:rsidR="00F22587" w:rsidRPr="000E5DBF" w:rsidRDefault="00F22587" w:rsidP="008A5C11">
            <w:pPr>
              <w:jc w:val="center"/>
              <w:rPr>
                <w:color w:val="000000"/>
                <w:sz w:val="16"/>
                <w:szCs w:val="16"/>
              </w:rPr>
            </w:pPr>
            <w:r w:rsidRPr="000E5DBF">
              <w:rPr>
                <w:color w:val="000000"/>
                <w:sz w:val="16"/>
                <w:szCs w:val="16"/>
              </w:rPr>
              <w:t>0,00</w:t>
            </w:r>
          </w:p>
        </w:tc>
        <w:tc>
          <w:tcPr>
            <w:tcW w:w="203" w:type="pct"/>
            <w:shd w:val="clear" w:color="auto" w:fill="auto"/>
            <w:vAlign w:val="center"/>
          </w:tcPr>
          <w:p w14:paraId="70A8EBA0" w14:textId="77777777" w:rsidR="00F22587" w:rsidRPr="000E5DBF" w:rsidRDefault="00F22587" w:rsidP="008A5C11">
            <w:pPr>
              <w:jc w:val="center"/>
              <w:rPr>
                <w:color w:val="000000"/>
                <w:sz w:val="16"/>
                <w:szCs w:val="16"/>
              </w:rPr>
            </w:pPr>
            <w:r w:rsidRPr="000E5DBF">
              <w:rPr>
                <w:color w:val="000000"/>
                <w:sz w:val="16"/>
                <w:szCs w:val="16"/>
              </w:rPr>
              <w:t>0,00</w:t>
            </w:r>
          </w:p>
        </w:tc>
        <w:tc>
          <w:tcPr>
            <w:tcW w:w="203" w:type="pct"/>
            <w:shd w:val="clear" w:color="auto" w:fill="auto"/>
            <w:vAlign w:val="center"/>
          </w:tcPr>
          <w:p w14:paraId="1B6459DB" w14:textId="77777777" w:rsidR="00F22587" w:rsidRPr="000E5DBF" w:rsidRDefault="00F22587" w:rsidP="008A5C11">
            <w:pPr>
              <w:jc w:val="center"/>
              <w:rPr>
                <w:color w:val="000000"/>
                <w:sz w:val="16"/>
                <w:szCs w:val="16"/>
              </w:rPr>
            </w:pPr>
            <w:r w:rsidRPr="000E5DBF">
              <w:rPr>
                <w:color w:val="000000"/>
                <w:sz w:val="16"/>
                <w:szCs w:val="16"/>
              </w:rPr>
              <w:t>0,00</w:t>
            </w:r>
          </w:p>
        </w:tc>
        <w:tc>
          <w:tcPr>
            <w:tcW w:w="203" w:type="pct"/>
            <w:shd w:val="clear" w:color="auto" w:fill="auto"/>
            <w:vAlign w:val="center"/>
          </w:tcPr>
          <w:p w14:paraId="73D7DC6E" w14:textId="77777777" w:rsidR="00F22587" w:rsidRPr="000E5DBF" w:rsidRDefault="00F22587" w:rsidP="008A5C11">
            <w:pPr>
              <w:jc w:val="center"/>
              <w:rPr>
                <w:color w:val="000000"/>
                <w:sz w:val="16"/>
                <w:szCs w:val="16"/>
              </w:rPr>
            </w:pPr>
            <w:r w:rsidRPr="000E5DBF">
              <w:rPr>
                <w:color w:val="000000"/>
                <w:sz w:val="16"/>
                <w:szCs w:val="16"/>
              </w:rPr>
              <w:t>0,00</w:t>
            </w:r>
          </w:p>
        </w:tc>
        <w:tc>
          <w:tcPr>
            <w:tcW w:w="279" w:type="pct"/>
            <w:shd w:val="clear" w:color="auto" w:fill="auto"/>
            <w:vAlign w:val="center"/>
          </w:tcPr>
          <w:p w14:paraId="3B3058CE" w14:textId="77777777" w:rsidR="00F22587" w:rsidRPr="000E5DBF" w:rsidRDefault="00F22587" w:rsidP="008A5C11">
            <w:pPr>
              <w:jc w:val="center"/>
              <w:rPr>
                <w:color w:val="000000"/>
                <w:sz w:val="16"/>
                <w:szCs w:val="16"/>
              </w:rPr>
            </w:pPr>
            <w:r w:rsidRPr="000E5DBF">
              <w:rPr>
                <w:color w:val="000000"/>
                <w:sz w:val="16"/>
                <w:szCs w:val="16"/>
              </w:rPr>
              <w:t>0,00</w:t>
            </w:r>
          </w:p>
        </w:tc>
      </w:tr>
      <w:tr w:rsidR="00F22587" w:rsidRPr="000E5DBF" w14:paraId="135FAE4F" w14:textId="77777777" w:rsidTr="008A5C11">
        <w:trPr>
          <w:trHeight w:val="60"/>
        </w:trPr>
        <w:tc>
          <w:tcPr>
            <w:tcW w:w="170" w:type="pct"/>
            <w:shd w:val="clear" w:color="auto" w:fill="auto"/>
            <w:vAlign w:val="center"/>
            <w:hideMark/>
          </w:tcPr>
          <w:p w14:paraId="46B64C01" w14:textId="77777777" w:rsidR="00F22587" w:rsidRPr="000E5DBF" w:rsidRDefault="00F22587" w:rsidP="008A5C11">
            <w:pPr>
              <w:jc w:val="center"/>
              <w:rPr>
                <w:bCs/>
                <w:sz w:val="16"/>
                <w:szCs w:val="16"/>
              </w:rPr>
            </w:pPr>
            <w:r w:rsidRPr="000E5DBF">
              <w:rPr>
                <w:bCs/>
                <w:sz w:val="16"/>
                <w:szCs w:val="16"/>
              </w:rPr>
              <w:t>4</w:t>
            </w:r>
          </w:p>
        </w:tc>
        <w:tc>
          <w:tcPr>
            <w:tcW w:w="1113" w:type="pct"/>
            <w:shd w:val="clear" w:color="auto" w:fill="auto"/>
            <w:vAlign w:val="center"/>
            <w:hideMark/>
          </w:tcPr>
          <w:p w14:paraId="5A8EAEA2" w14:textId="77777777" w:rsidR="00F22587" w:rsidRPr="000E5DBF" w:rsidRDefault="00F22587" w:rsidP="008A5C11">
            <w:pPr>
              <w:rPr>
                <w:bCs/>
                <w:sz w:val="16"/>
                <w:szCs w:val="16"/>
              </w:rPr>
            </w:pPr>
            <w:r w:rsidRPr="000E5DBF">
              <w:rPr>
                <w:bCs/>
                <w:sz w:val="16"/>
                <w:szCs w:val="16"/>
              </w:rPr>
              <w:t>Прочие источники финансирования, в т.ч. лизинг</w:t>
            </w:r>
          </w:p>
        </w:tc>
        <w:tc>
          <w:tcPr>
            <w:tcW w:w="475" w:type="pct"/>
            <w:shd w:val="clear" w:color="auto" w:fill="auto"/>
            <w:vAlign w:val="center"/>
          </w:tcPr>
          <w:p w14:paraId="2ECE68C0" w14:textId="77777777" w:rsidR="00F22587" w:rsidRPr="000E5DBF" w:rsidRDefault="00F22587" w:rsidP="008A5C11">
            <w:pPr>
              <w:jc w:val="center"/>
              <w:rPr>
                <w:color w:val="000000"/>
                <w:sz w:val="16"/>
                <w:szCs w:val="16"/>
              </w:rPr>
            </w:pPr>
            <w:r w:rsidRPr="000E5DBF">
              <w:rPr>
                <w:color w:val="000000"/>
                <w:sz w:val="16"/>
                <w:szCs w:val="16"/>
              </w:rPr>
              <w:t>0,00</w:t>
            </w:r>
          </w:p>
        </w:tc>
        <w:tc>
          <w:tcPr>
            <w:tcW w:w="319" w:type="pct"/>
            <w:shd w:val="clear" w:color="auto" w:fill="auto"/>
            <w:vAlign w:val="center"/>
          </w:tcPr>
          <w:p w14:paraId="3F9556CE" w14:textId="77777777" w:rsidR="00F22587" w:rsidRPr="000E5DBF" w:rsidRDefault="00F22587" w:rsidP="008A5C11">
            <w:pPr>
              <w:jc w:val="center"/>
              <w:rPr>
                <w:color w:val="000000"/>
                <w:sz w:val="16"/>
                <w:szCs w:val="16"/>
              </w:rPr>
            </w:pPr>
            <w:r w:rsidRPr="000E5DBF">
              <w:rPr>
                <w:color w:val="000000"/>
                <w:sz w:val="16"/>
                <w:szCs w:val="16"/>
              </w:rPr>
              <w:t>0,00</w:t>
            </w:r>
          </w:p>
        </w:tc>
        <w:tc>
          <w:tcPr>
            <w:tcW w:w="286" w:type="pct"/>
            <w:shd w:val="clear" w:color="auto" w:fill="auto"/>
            <w:vAlign w:val="center"/>
          </w:tcPr>
          <w:p w14:paraId="5F2FFA7F" w14:textId="77777777" w:rsidR="00F22587" w:rsidRPr="000E5DBF" w:rsidRDefault="00F22587" w:rsidP="008A5C11">
            <w:pPr>
              <w:jc w:val="center"/>
              <w:rPr>
                <w:color w:val="000000"/>
                <w:sz w:val="16"/>
                <w:szCs w:val="16"/>
              </w:rPr>
            </w:pPr>
            <w:r w:rsidRPr="000E5DBF">
              <w:rPr>
                <w:color w:val="000000"/>
                <w:sz w:val="16"/>
                <w:szCs w:val="16"/>
              </w:rPr>
              <w:t>0,00</w:t>
            </w:r>
          </w:p>
        </w:tc>
        <w:tc>
          <w:tcPr>
            <w:tcW w:w="286" w:type="pct"/>
            <w:shd w:val="clear" w:color="auto" w:fill="auto"/>
            <w:vAlign w:val="center"/>
          </w:tcPr>
          <w:p w14:paraId="4EA9B5EC" w14:textId="77777777" w:rsidR="00F22587" w:rsidRPr="000E5DBF" w:rsidRDefault="00F22587" w:rsidP="008A5C11">
            <w:pPr>
              <w:jc w:val="center"/>
              <w:rPr>
                <w:color w:val="000000"/>
                <w:sz w:val="16"/>
                <w:szCs w:val="16"/>
              </w:rPr>
            </w:pPr>
            <w:r w:rsidRPr="000E5DBF">
              <w:rPr>
                <w:color w:val="000000"/>
                <w:sz w:val="16"/>
                <w:szCs w:val="16"/>
              </w:rPr>
              <w:t>0,00</w:t>
            </w:r>
          </w:p>
        </w:tc>
        <w:tc>
          <w:tcPr>
            <w:tcW w:w="286" w:type="pct"/>
            <w:shd w:val="clear" w:color="auto" w:fill="auto"/>
            <w:vAlign w:val="center"/>
          </w:tcPr>
          <w:p w14:paraId="5FB50C21" w14:textId="77777777" w:rsidR="00F22587" w:rsidRPr="000E5DBF" w:rsidRDefault="00F22587" w:rsidP="008A5C11">
            <w:pPr>
              <w:jc w:val="center"/>
              <w:rPr>
                <w:color w:val="000000"/>
                <w:sz w:val="16"/>
                <w:szCs w:val="16"/>
              </w:rPr>
            </w:pPr>
            <w:r w:rsidRPr="000E5DBF">
              <w:rPr>
                <w:color w:val="000000"/>
                <w:sz w:val="16"/>
                <w:szCs w:val="16"/>
              </w:rPr>
              <w:t>0,00</w:t>
            </w:r>
          </w:p>
        </w:tc>
        <w:tc>
          <w:tcPr>
            <w:tcW w:w="240" w:type="pct"/>
            <w:shd w:val="clear" w:color="auto" w:fill="auto"/>
            <w:vAlign w:val="center"/>
          </w:tcPr>
          <w:p w14:paraId="3F9F2F52" w14:textId="77777777" w:rsidR="00F22587" w:rsidRPr="000E5DBF" w:rsidRDefault="00F22587" w:rsidP="008A5C11">
            <w:pPr>
              <w:jc w:val="center"/>
              <w:rPr>
                <w:color w:val="000000"/>
                <w:sz w:val="16"/>
                <w:szCs w:val="16"/>
              </w:rPr>
            </w:pPr>
            <w:r w:rsidRPr="000E5DBF">
              <w:rPr>
                <w:color w:val="000000"/>
                <w:sz w:val="16"/>
                <w:szCs w:val="16"/>
              </w:rPr>
              <w:t>0,00</w:t>
            </w:r>
          </w:p>
        </w:tc>
        <w:tc>
          <w:tcPr>
            <w:tcW w:w="234" w:type="pct"/>
            <w:shd w:val="clear" w:color="auto" w:fill="auto"/>
            <w:vAlign w:val="center"/>
          </w:tcPr>
          <w:p w14:paraId="58E734C1" w14:textId="77777777" w:rsidR="00F22587" w:rsidRPr="000E5DBF" w:rsidRDefault="00F22587" w:rsidP="008A5C11">
            <w:pPr>
              <w:jc w:val="center"/>
              <w:rPr>
                <w:color w:val="000000"/>
                <w:sz w:val="16"/>
                <w:szCs w:val="16"/>
              </w:rPr>
            </w:pPr>
            <w:r w:rsidRPr="000E5DBF">
              <w:rPr>
                <w:color w:val="000000"/>
                <w:sz w:val="16"/>
                <w:szCs w:val="16"/>
              </w:rPr>
              <w:t>0,00</w:t>
            </w:r>
          </w:p>
        </w:tc>
        <w:tc>
          <w:tcPr>
            <w:tcW w:w="234" w:type="pct"/>
            <w:shd w:val="clear" w:color="auto" w:fill="auto"/>
            <w:vAlign w:val="center"/>
          </w:tcPr>
          <w:p w14:paraId="38DFB365" w14:textId="77777777" w:rsidR="00F22587" w:rsidRPr="000E5DBF" w:rsidRDefault="00F22587" w:rsidP="008A5C11">
            <w:pPr>
              <w:jc w:val="center"/>
              <w:rPr>
                <w:color w:val="000000"/>
                <w:sz w:val="16"/>
                <w:szCs w:val="16"/>
              </w:rPr>
            </w:pPr>
            <w:r w:rsidRPr="000E5DBF">
              <w:rPr>
                <w:color w:val="000000"/>
                <w:sz w:val="16"/>
                <w:szCs w:val="16"/>
              </w:rPr>
              <w:t>0,00</w:t>
            </w:r>
          </w:p>
        </w:tc>
        <w:tc>
          <w:tcPr>
            <w:tcW w:w="234" w:type="pct"/>
            <w:shd w:val="clear" w:color="auto" w:fill="auto"/>
            <w:vAlign w:val="center"/>
          </w:tcPr>
          <w:p w14:paraId="78F1F704" w14:textId="77777777" w:rsidR="00F22587" w:rsidRPr="000E5DBF" w:rsidRDefault="00F22587" w:rsidP="008A5C11">
            <w:pPr>
              <w:jc w:val="center"/>
              <w:rPr>
                <w:color w:val="000000"/>
                <w:sz w:val="16"/>
                <w:szCs w:val="16"/>
              </w:rPr>
            </w:pPr>
            <w:r w:rsidRPr="000E5DBF">
              <w:rPr>
                <w:color w:val="000000"/>
                <w:sz w:val="16"/>
                <w:szCs w:val="16"/>
              </w:rPr>
              <w:t>0,00</w:t>
            </w:r>
          </w:p>
        </w:tc>
        <w:tc>
          <w:tcPr>
            <w:tcW w:w="234" w:type="pct"/>
            <w:shd w:val="clear" w:color="auto" w:fill="auto"/>
            <w:vAlign w:val="center"/>
          </w:tcPr>
          <w:p w14:paraId="759E3FAC" w14:textId="77777777" w:rsidR="00F22587" w:rsidRPr="000E5DBF" w:rsidRDefault="00F22587" w:rsidP="008A5C11">
            <w:pPr>
              <w:jc w:val="center"/>
              <w:rPr>
                <w:color w:val="000000"/>
                <w:sz w:val="16"/>
                <w:szCs w:val="16"/>
              </w:rPr>
            </w:pPr>
            <w:r w:rsidRPr="000E5DBF">
              <w:rPr>
                <w:color w:val="000000"/>
                <w:sz w:val="16"/>
                <w:szCs w:val="16"/>
              </w:rPr>
              <w:t>0,00</w:t>
            </w:r>
          </w:p>
        </w:tc>
        <w:tc>
          <w:tcPr>
            <w:tcW w:w="203" w:type="pct"/>
            <w:shd w:val="clear" w:color="auto" w:fill="auto"/>
            <w:vAlign w:val="center"/>
          </w:tcPr>
          <w:p w14:paraId="52FDA6FD" w14:textId="77777777" w:rsidR="00F22587" w:rsidRPr="000E5DBF" w:rsidRDefault="00F22587" w:rsidP="008A5C11">
            <w:pPr>
              <w:jc w:val="center"/>
              <w:rPr>
                <w:color w:val="000000"/>
                <w:sz w:val="16"/>
                <w:szCs w:val="16"/>
              </w:rPr>
            </w:pPr>
            <w:r w:rsidRPr="000E5DBF">
              <w:rPr>
                <w:color w:val="000000"/>
                <w:sz w:val="16"/>
                <w:szCs w:val="16"/>
              </w:rPr>
              <w:t>0,00</w:t>
            </w:r>
          </w:p>
        </w:tc>
        <w:tc>
          <w:tcPr>
            <w:tcW w:w="203" w:type="pct"/>
            <w:shd w:val="clear" w:color="auto" w:fill="auto"/>
            <w:vAlign w:val="center"/>
          </w:tcPr>
          <w:p w14:paraId="67FC1B56" w14:textId="77777777" w:rsidR="00F22587" w:rsidRPr="000E5DBF" w:rsidRDefault="00F22587" w:rsidP="008A5C11">
            <w:pPr>
              <w:jc w:val="center"/>
              <w:rPr>
                <w:color w:val="000000"/>
                <w:sz w:val="16"/>
                <w:szCs w:val="16"/>
              </w:rPr>
            </w:pPr>
            <w:r w:rsidRPr="000E5DBF">
              <w:rPr>
                <w:color w:val="000000"/>
                <w:sz w:val="16"/>
                <w:szCs w:val="16"/>
              </w:rPr>
              <w:t>0,00</w:t>
            </w:r>
          </w:p>
        </w:tc>
        <w:tc>
          <w:tcPr>
            <w:tcW w:w="203" w:type="pct"/>
            <w:shd w:val="clear" w:color="auto" w:fill="auto"/>
            <w:vAlign w:val="center"/>
          </w:tcPr>
          <w:p w14:paraId="4DB1B3DE" w14:textId="77777777" w:rsidR="00F22587" w:rsidRPr="000E5DBF" w:rsidRDefault="00F22587" w:rsidP="008A5C11">
            <w:pPr>
              <w:jc w:val="center"/>
              <w:rPr>
                <w:color w:val="000000"/>
                <w:sz w:val="16"/>
                <w:szCs w:val="16"/>
              </w:rPr>
            </w:pPr>
            <w:r w:rsidRPr="000E5DBF">
              <w:rPr>
                <w:color w:val="000000"/>
                <w:sz w:val="16"/>
                <w:szCs w:val="16"/>
              </w:rPr>
              <w:t>0,00</w:t>
            </w:r>
          </w:p>
        </w:tc>
        <w:tc>
          <w:tcPr>
            <w:tcW w:w="279" w:type="pct"/>
            <w:shd w:val="clear" w:color="auto" w:fill="auto"/>
            <w:vAlign w:val="center"/>
          </w:tcPr>
          <w:p w14:paraId="354E2EA1" w14:textId="77777777" w:rsidR="00F22587" w:rsidRPr="000E5DBF" w:rsidRDefault="00F22587" w:rsidP="008A5C11">
            <w:pPr>
              <w:jc w:val="center"/>
              <w:rPr>
                <w:color w:val="000000"/>
                <w:sz w:val="16"/>
                <w:szCs w:val="16"/>
              </w:rPr>
            </w:pPr>
            <w:r w:rsidRPr="000E5DBF">
              <w:rPr>
                <w:color w:val="000000"/>
                <w:sz w:val="16"/>
                <w:szCs w:val="16"/>
              </w:rPr>
              <w:t>0,00</w:t>
            </w:r>
          </w:p>
        </w:tc>
      </w:tr>
      <w:tr w:rsidR="00F22587" w:rsidRPr="000E5DBF" w14:paraId="51557714" w14:textId="77777777" w:rsidTr="008A5C11">
        <w:trPr>
          <w:trHeight w:val="255"/>
        </w:trPr>
        <w:tc>
          <w:tcPr>
            <w:tcW w:w="170" w:type="pct"/>
            <w:shd w:val="clear" w:color="auto" w:fill="auto"/>
            <w:vAlign w:val="center"/>
            <w:hideMark/>
          </w:tcPr>
          <w:p w14:paraId="58AEBBAE" w14:textId="77777777" w:rsidR="00F22587" w:rsidRPr="000E5DBF" w:rsidRDefault="00F22587" w:rsidP="008A5C11">
            <w:pPr>
              <w:jc w:val="center"/>
              <w:rPr>
                <w:bCs/>
                <w:sz w:val="16"/>
                <w:szCs w:val="16"/>
              </w:rPr>
            </w:pPr>
            <w:r w:rsidRPr="000E5DBF">
              <w:rPr>
                <w:bCs/>
                <w:sz w:val="16"/>
                <w:szCs w:val="16"/>
              </w:rPr>
              <w:t> </w:t>
            </w:r>
          </w:p>
        </w:tc>
        <w:tc>
          <w:tcPr>
            <w:tcW w:w="1113" w:type="pct"/>
            <w:shd w:val="clear" w:color="auto" w:fill="auto"/>
            <w:vAlign w:val="center"/>
            <w:hideMark/>
          </w:tcPr>
          <w:p w14:paraId="4262D7C7" w14:textId="77777777" w:rsidR="00F22587" w:rsidRPr="000E5DBF" w:rsidRDefault="00F22587" w:rsidP="008A5C11">
            <w:pPr>
              <w:rPr>
                <w:bCs/>
                <w:sz w:val="16"/>
                <w:szCs w:val="16"/>
              </w:rPr>
            </w:pPr>
            <w:r w:rsidRPr="000E5DBF">
              <w:rPr>
                <w:bCs/>
                <w:sz w:val="16"/>
                <w:szCs w:val="16"/>
              </w:rPr>
              <w:t>ИТОГО по программе</w:t>
            </w:r>
          </w:p>
        </w:tc>
        <w:tc>
          <w:tcPr>
            <w:tcW w:w="475" w:type="pct"/>
            <w:shd w:val="clear" w:color="auto" w:fill="auto"/>
            <w:vAlign w:val="center"/>
          </w:tcPr>
          <w:p w14:paraId="64FCD7C4" w14:textId="77777777" w:rsidR="00F22587" w:rsidRPr="000E5DBF" w:rsidRDefault="00F22587" w:rsidP="008A5C11">
            <w:pPr>
              <w:jc w:val="center"/>
              <w:rPr>
                <w:color w:val="000000"/>
                <w:sz w:val="16"/>
                <w:szCs w:val="16"/>
              </w:rPr>
            </w:pPr>
            <w:r w:rsidRPr="000E5DBF">
              <w:rPr>
                <w:color w:val="000000"/>
                <w:sz w:val="16"/>
                <w:szCs w:val="16"/>
              </w:rPr>
              <w:t>59900,28</w:t>
            </w:r>
          </w:p>
        </w:tc>
        <w:tc>
          <w:tcPr>
            <w:tcW w:w="319" w:type="pct"/>
            <w:shd w:val="clear" w:color="auto" w:fill="auto"/>
            <w:vAlign w:val="center"/>
          </w:tcPr>
          <w:p w14:paraId="52EE5850" w14:textId="77777777" w:rsidR="00F22587" w:rsidRPr="000E5DBF" w:rsidRDefault="00F22587" w:rsidP="008A5C11">
            <w:pPr>
              <w:jc w:val="center"/>
              <w:rPr>
                <w:color w:val="000000"/>
                <w:sz w:val="16"/>
                <w:szCs w:val="16"/>
              </w:rPr>
            </w:pPr>
            <w:r w:rsidRPr="000E5DBF">
              <w:rPr>
                <w:color w:val="000000"/>
                <w:sz w:val="16"/>
                <w:szCs w:val="16"/>
              </w:rPr>
              <w:t>59900,28</w:t>
            </w:r>
          </w:p>
        </w:tc>
        <w:tc>
          <w:tcPr>
            <w:tcW w:w="286" w:type="pct"/>
            <w:shd w:val="clear" w:color="auto" w:fill="auto"/>
            <w:vAlign w:val="center"/>
          </w:tcPr>
          <w:p w14:paraId="1CBED44D" w14:textId="77777777" w:rsidR="00F22587" w:rsidRPr="000E5DBF" w:rsidRDefault="00F22587" w:rsidP="008A5C11">
            <w:pPr>
              <w:jc w:val="center"/>
              <w:rPr>
                <w:color w:val="000000"/>
                <w:sz w:val="16"/>
                <w:szCs w:val="16"/>
              </w:rPr>
            </w:pPr>
            <w:r w:rsidRPr="000E5DBF">
              <w:rPr>
                <w:color w:val="000000"/>
                <w:sz w:val="16"/>
                <w:szCs w:val="16"/>
              </w:rPr>
              <w:t>4685,98</w:t>
            </w:r>
          </w:p>
        </w:tc>
        <w:tc>
          <w:tcPr>
            <w:tcW w:w="286" w:type="pct"/>
            <w:shd w:val="clear" w:color="auto" w:fill="auto"/>
            <w:vAlign w:val="center"/>
          </w:tcPr>
          <w:p w14:paraId="5FE33C47" w14:textId="77777777" w:rsidR="00F22587" w:rsidRPr="000E5DBF" w:rsidRDefault="00F22587" w:rsidP="008A5C11">
            <w:pPr>
              <w:jc w:val="center"/>
              <w:rPr>
                <w:color w:val="000000"/>
                <w:sz w:val="16"/>
                <w:szCs w:val="16"/>
              </w:rPr>
            </w:pPr>
            <w:r w:rsidRPr="000E5DBF">
              <w:rPr>
                <w:color w:val="000000"/>
                <w:sz w:val="16"/>
                <w:szCs w:val="16"/>
              </w:rPr>
              <w:t>5551,50</w:t>
            </w:r>
          </w:p>
        </w:tc>
        <w:tc>
          <w:tcPr>
            <w:tcW w:w="286" w:type="pct"/>
            <w:shd w:val="clear" w:color="auto" w:fill="auto"/>
            <w:vAlign w:val="center"/>
          </w:tcPr>
          <w:p w14:paraId="2B8C5360" w14:textId="77777777" w:rsidR="00F22587" w:rsidRPr="000E5DBF" w:rsidRDefault="00F22587" w:rsidP="008A5C11">
            <w:pPr>
              <w:jc w:val="center"/>
              <w:rPr>
                <w:color w:val="000000"/>
                <w:sz w:val="16"/>
                <w:szCs w:val="16"/>
              </w:rPr>
            </w:pPr>
            <w:r w:rsidRPr="000E5DBF">
              <w:rPr>
                <w:color w:val="000000"/>
                <w:sz w:val="16"/>
                <w:szCs w:val="16"/>
              </w:rPr>
              <w:t>6216,00</w:t>
            </w:r>
          </w:p>
        </w:tc>
        <w:tc>
          <w:tcPr>
            <w:tcW w:w="240" w:type="pct"/>
            <w:shd w:val="clear" w:color="auto" w:fill="auto"/>
            <w:vAlign w:val="center"/>
          </w:tcPr>
          <w:p w14:paraId="41674CB6" w14:textId="77777777" w:rsidR="00F22587" w:rsidRPr="000E5DBF" w:rsidRDefault="00F22587" w:rsidP="008A5C11">
            <w:pPr>
              <w:jc w:val="center"/>
              <w:rPr>
                <w:color w:val="000000"/>
                <w:sz w:val="16"/>
                <w:szCs w:val="16"/>
              </w:rPr>
            </w:pPr>
            <w:r w:rsidRPr="000E5DBF">
              <w:rPr>
                <w:color w:val="000000"/>
                <w:sz w:val="16"/>
                <w:szCs w:val="16"/>
              </w:rPr>
              <w:t>6115,00</w:t>
            </w:r>
          </w:p>
        </w:tc>
        <w:tc>
          <w:tcPr>
            <w:tcW w:w="234" w:type="pct"/>
            <w:shd w:val="clear" w:color="auto" w:fill="auto"/>
            <w:vAlign w:val="center"/>
          </w:tcPr>
          <w:p w14:paraId="32F6BCDB" w14:textId="77777777" w:rsidR="00F22587" w:rsidRPr="000E5DBF" w:rsidRDefault="00F22587" w:rsidP="008A5C11">
            <w:pPr>
              <w:jc w:val="center"/>
              <w:rPr>
                <w:color w:val="000000"/>
                <w:sz w:val="16"/>
                <w:szCs w:val="16"/>
              </w:rPr>
            </w:pPr>
            <w:r w:rsidRPr="000E5DBF">
              <w:rPr>
                <w:color w:val="000000"/>
                <w:sz w:val="16"/>
                <w:szCs w:val="16"/>
              </w:rPr>
              <w:t>3525,00</w:t>
            </w:r>
          </w:p>
        </w:tc>
        <w:tc>
          <w:tcPr>
            <w:tcW w:w="234" w:type="pct"/>
            <w:shd w:val="clear" w:color="auto" w:fill="auto"/>
            <w:vAlign w:val="center"/>
          </w:tcPr>
          <w:p w14:paraId="3EB7F620" w14:textId="77777777" w:rsidR="00F22587" w:rsidRPr="000E5DBF" w:rsidRDefault="00F22587" w:rsidP="008A5C11">
            <w:pPr>
              <w:jc w:val="center"/>
              <w:rPr>
                <w:color w:val="000000"/>
                <w:sz w:val="16"/>
                <w:szCs w:val="16"/>
              </w:rPr>
            </w:pPr>
            <w:r w:rsidRPr="000E5DBF">
              <w:rPr>
                <w:color w:val="000000"/>
                <w:sz w:val="16"/>
                <w:szCs w:val="16"/>
              </w:rPr>
              <w:t>4332,00</w:t>
            </w:r>
          </w:p>
        </w:tc>
        <w:tc>
          <w:tcPr>
            <w:tcW w:w="234" w:type="pct"/>
            <w:shd w:val="clear" w:color="auto" w:fill="auto"/>
            <w:vAlign w:val="center"/>
          </w:tcPr>
          <w:p w14:paraId="3269F7ED" w14:textId="77777777" w:rsidR="00F22587" w:rsidRPr="000E5DBF" w:rsidRDefault="00F22587" w:rsidP="008A5C11">
            <w:pPr>
              <w:jc w:val="center"/>
              <w:rPr>
                <w:color w:val="000000"/>
                <w:sz w:val="16"/>
                <w:szCs w:val="16"/>
              </w:rPr>
            </w:pPr>
            <w:r w:rsidRPr="000E5DBF">
              <w:rPr>
                <w:color w:val="000000"/>
                <w:sz w:val="16"/>
                <w:szCs w:val="16"/>
              </w:rPr>
              <w:t>3628,20</w:t>
            </w:r>
          </w:p>
        </w:tc>
        <w:tc>
          <w:tcPr>
            <w:tcW w:w="234" w:type="pct"/>
            <w:shd w:val="clear" w:color="auto" w:fill="auto"/>
            <w:vAlign w:val="center"/>
          </w:tcPr>
          <w:p w14:paraId="265911D2" w14:textId="77777777" w:rsidR="00F22587" w:rsidRPr="000E5DBF" w:rsidRDefault="00F22587" w:rsidP="008A5C11">
            <w:pPr>
              <w:jc w:val="center"/>
              <w:rPr>
                <w:color w:val="000000"/>
                <w:sz w:val="16"/>
                <w:szCs w:val="16"/>
              </w:rPr>
            </w:pPr>
            <w:r w:rsidRPr="000E5DBF">
              <w:rPr>
                <w:color w:val="000000"/>
                <w:sz w:val="16"/>
                <w:szCs w:val="16"/>
              </w:rPr>
              <w:t>6655,20</w:t>
            </w:r>
          </w:p>
        </w:tc>
        <w:tc>
          <w:tcPr>
            <w:tcW w:w="203" w:type="pct"/>
            <w:shd w:val="clear" w:color="auto" w:fill="auto"/>
            <w:vAlign w:val="center"/>
          </w:tcPr>
          <w:p w14:paraId="420D6D25" w14:textId="77777777" w:rsidR="00F22587" w:rsidRPr="000E5DBF" w:rsidRDefault="00F22587" w:rsidP="008A5C11">
            <w:pPr>
              <w:jc w:val="center"/>
              <w:rPr>
                <w:color w:val="000000"/>
                <w:sz w:val="16"/>
                <w:szCs w:val="16"/>
              </w:rPr>
            </w:pPr>
            <w:r w:rsidRPr="000E5DBF">
              <w:rPr>
                <w:color w:val="000000"/>
                <w:sz w:val="16"/>
                <w:szCs w:val="16"/>
              </w:rPr>
              <w:t>4340,00</w:t>
            </w:r>
          </w:p>
        </w:tc>
        <w:tc>
          <w:tcPr>
            <w:tcW w:w="203" w:type="pct"/>
            <w:shd w:val="clear" w:color="auto" w:fill="auto"/>
            <w:vAlign w:val="center"/>
          </w:tcPr>
          <w:p w14:paraId="182105B3" w14:textId="77777777" w:rsidR="00F22587" w:rsidRPr="000E5DBF" w:rsidRDefault="00F22587" w:rsidP="008A5C11">
            <w:pPr>
              <w:jc w:val="center"/>
              <w:rPr>
                <w:color w:val="000000"/>
                <w:sz w:val="16"/>
                <w:szCs w:val="16"/>
              </w:rPr>
            </w:pPr>
            <w:r w:rsidRPr="000E5DBF">
              <w:rPr>
                <w:color w:val="000000"/>
                <w:sz w:val="16"/>
                <w:szCs w:val="16"/>
              </w:rPr>
              <w:t>4980,00</w:t>
            </w:r>
          </w:p>
        </w:tc>
        <w:tc>
          <w:tcPr>
            <w:tcW w:w="203" w:type="pct"/>
            <w:shd w:val="clear" w:color="auto" w:fill="auto"/>
            <w:vAlign w:val="center"/>
          </w:tcPr>
          <w:p w14:paraId="45E47506" w14:textId="77777777" w:rsidR="00F22587" w:rsidRPr="000E5DBF" w:rsidRDefault="00F22587" w:rsidP="008A5C11">
            <w:pPr>
              <w:jc w:val="center"/>
              <w:rPr>
                <w:color w:val="000000"/>
                <w:sz w:val="16"/>
                <w:szCs w:val="16"/>
              </w:rPr>
            </w:pPr>
            <w:r w:rsidRPr="000E5DBF">
              <w:rPr>
                <w:color w:val="000000"/>
                <w:sz w:val="16"/>
                <w:szCs w:val="16"/>
              </w:rPr>
              <w:t>5948,20</w:t>
            </w:r>
          </w:p>
        </w:tc>
        <w:tc>
          <w:tcPr>
            <w:tcW w:w="279" w:type="pct"/>
            <w:shd w:val="clear" w:color="auto" w:fill="auto"/>
            <w:vAlign w:val="center"/>
          </w:tcPr>
          <w:p w14:paraId="686A4E94" w14:textId="77777777" w:rsidR="00F22587" w:rsidRPr="000E5DBF" w:rsidRDefault="00F22587" w:rsidP="008A5C11">
            <w:pPr>
              <w:jc w:val="center"/>
              <w:rPr>
                <w:color w:val="000000"/>
                <w:sz w:val="16"/>
                <w:szCs w:val="16"/>
              </w:rPr>
            </w:pPr>
            <w:r w:rsidRPr="000E5DBF">
              <w:rPr>
                <w:color w:val="000000"/>
                <w:sz w:val="16"/>
                <w:szCs w:val="16"/>
              </w:rPr>
              <w:t>3923,20</w:t>
            </w:r>
          </w:p>
        </w:tc>
      </w:tr>
    </w:tbl>
    <w:p w14:paraId="56C62902" w14:textId="77777777" w:rsidR="00F22587" w:rsidRPr="000E5DBF" w:rsidRDefault="00F22587" w:rsidP="00F22587">
      <w:pPr>
        <w:tabs>
          <w:tab w:val="left" w:pos="720"/>
        </w:tabs>
        <w:ind w:firstLine="709"/>
        <w:jc w:val="center"/>
        <w:rPr>
          <w:bCs/>
          <w:sz w:val="28"/>
          <w:szCs w:val="28"/>
        </w:rPr>
      </w:pPr>
    </w:p>
    <w:p w14:paraId="0B201D67" w14:textId="77777777" w:rsidR="00F22587" w:rsidRPr="000E5DBF" w:rsidRDefault="00F22587" w:rsidP="00F22587">
      <w:pPr>
        <w:jc w:val="both"/>
        <w:rPr>
          <w:sz w:val="28"/>
          <w:szCs w:val="28"/>
        </w:rPr>
      </w:pPr>
    </w:p>
    <w:p w14:paraId="6A14AC91" w14:textId="77777777" w:rsidR="00F22587" w:rsidRPr="000E5DBF" w:rsidRDefault="00F22587" w:rsidP="00F22587">
      <w:pPr>
        <w:jc w:val="both"/>
        <w:rPr>
          <w:sz w:val="28"/>
          <w:szCs w:val="28"/>
        </w:rPr>
      </w:pPr>
    </w:p>
    <w:p w14:paraId="362D20B3" w14:textId="77777777" w:rsidR="00F22587" w:rsidRPr="000E5DBF" w:rsidRDefault="00F22587" w:rsidP="00F22587">
      <w:pPr>
        <w:jc w:val="center"/>
        <w:rPr>
          <w:bCs/>
          <w:sz w:val="28"/>
          <w:szCs w:val="28"/>
        </w:rPr>
      </w:pPr>
    </w:p>
    <w:p w14:paraId="7C4C4DB0" w14:textId="77777777" w:rsidR="00F22587" w:rsidRPr="000E5DBF" w:rsidRDefault="00F22587" w:rsidP="00F22587">
      <w:pPr>
        <w:jc w:val="center"/>
        <w:rPr>
          <w:bCs/>
          <w:sz w:val="28"/>
          <w:szCs w:val="28"/>
        </w:rPr>
        <w:sectPr w:rsidR="00F22587" w:rsidRPr="000E5DBF" w:rsidSect="009844FE">
          <w:headerReference w:type="default" r:id="rId55"/>
          <w:footerReference w:type="default" r:id="rId56"/>
          <w:pgSz w:w="11906" w:h="16838"/>
          <w:pgMar w:top="851" w:right="849" w:bottom="1135" w:left="1701" w:header="426" w:footer="407" w:gutter="0"/>
          <w:cols w:space="708"/>
          <w:titlePg/>
          <w:docGrid w:linePitch="360"/>
        </w:sectPr>
      </w:pPr>
      <w:r w:rsidRPr="000E5DBF">
        <w:rPr>
          <w:bCs/>
          <w:sz w:val="28"/>
          <w:szCs w:val="28"/>
        </w:rPr>
        <w:t xml:space="preserve"> </w:t>
      </w:r>
    </w:p>
    <w:p w14:paraId="164D50E7" w14:textId="77777777" w:rsidR="00F22587" w:rsidRPr="000E5DBF" w:rsidRDefault="00F22587" w:rsidP="00F22587">
      <w:pPr>
        <w:ind w:left="284" w:right="536"/>
        <w:jc w:val="right"/>
        <w:rPr>
          <w:sz w:val="28"/>
          <w:szCs w:val="28"/>
        </w:rPr>
      </w:pPr>
      <w:r w:rsidRPr="000E5DBF">
        <w:rPr>
          <w:sz w:val="28"/>
          <w:szCs w:val="28"/>
        </w:rPr>
        <w:t>Приложение</w:t>
      </w:r>
    </w:p>
    <w:p w14:paraId="2F255A0D" w14:textId="77777777" w:rsidR="00F22587" w:rsidRPr="000E5DBF" w:rsidRDefault="00F22587" w:rsidP="00F22587">
      <w:pPr>
        <w:autoSpaceDE w:val="0"/>
        <w:autoSpaceDN w:val="0"/>
        <w:adjustRightInd w:val="0"/>
        <w:jc w:val="center"/>
        <w:rPr>
          <w:bCs/>
          <w:sz w:val="28"/>
          <w:szCs w:val="28"/>
        </w:rPr>
      </w:pPr>
      <w:r w:rsidRPr="000E5DBF">
        <w:rPr>
          <w:bCs/>
          <w:sz w:val="28"/>
          <w:szCs w:val="28"/>
        </w:rPr>
        <w:t>Инвестиционная программа ООО «Управление котельных и тепловых сетей» (г. Гурьевск)</w:t>
      </w:r>
    </w:p>
    <w:p w14:paraId="46FC7E09" w14:textId="77777777" w:rsidR="00F22587" w:rsidRPr="000E5DBF" w:rsidRDefault="00F22587" w:rsidP="00F22587">
      <w:pPr>
        <w:jc w:val="center"/>
        <w:rPr>
          <w:bCs/>
          <w:sz w:val="28"/>
          <w:szCs w:val="28"/>
        </w:rPr>
      </w:pPr>
      <w:r w:rsidRPr="000E5DBF">
        <w:rPr>
          <w:bCs/>
          <w:sz w:val="28"/>
          <w:szCs w:val="28"/>
        </w:rPr>
        <w:t xml:space="preserve"> в сфере теплоснабжения на 2019-2030 годы</w:t>
      </w:r>
    </w:p>
    <w:p w14:paraId="5F7C0CE3" w14:textId="77777777" w:rsidR="00F22587" w:rsidRPr="000E5DBF" w:rsidRDefault="00F22587" w:rsidP="00F22587">
      <w:pPr>
        <w:jc w:val="center"/>
        <w:rPr>
          <w:bCs/>
          <w:sz w:val="28"/>
          <w:szCs w:val="28"/>
        </w:rPr>
      </w:pPr>
    </w:p>
    <w:tbl>
      <w:tblPr>
        <w:tblW w:w="16142" w:type="dxa"/>
        <w:tblInd w:w="-965" w:type="dxa"/>
        <w:tblLayout w:type="fixed"/>
        <w:tblCellMar>
          <w:left w:w="28" w:type="dxa"/>
          <w:right w:w="28" w:type="dxa"/>
        </w:tblCellMar>
        <w:tblLook w:val="04A0" w:firstRow="1" w:lastRow="0" w:firstColumn="1" w:lastColumn="0" w:noHBand="0" w:noVBand="1"/>
      </w:tblPr>
      <w:tblGrid>
        <w:gridCol w:w="410"/>
        <w:gridCol w:w="1445"/>
        <w:gridCol w:w="978"/>
        <w:gridCol w:w="1000"/>
        <w:gridCol w:w="998"/>
        <w:gridCol w:w="428"/>
        <w:gridCol w:w="719"/>
        <w:gridCol w:w="725"/>
        <w:gridCol w:w="382"/>
        <w:gridCol w:w="46"/>
        <w:gridCol w:w="420"/>
        <w:gridCol w:w="573"/>
        <w:gridCol w:w="429"/>
        <w:gridCol w:w="18"/>
        <w:gridCol w:w="559"/>
        <w:gridCol w:w="572"/>
        <w:gridCol w:w="572"/>
        <w:gridCol w:w="566"/>
        <w:gridCol w:w="565"/>
        <w:gridCol w:w="574"/>
        <w:gridCol w:w="565"/>
        <w:gridCol w:w="7"/>
        <w:gridCol w:w="570"/>
        <w:gridCol w:w="572"/>
        <w:gridCol w:w="573"/>
        <w:gridCol w:w="574"/>
        <w:gridCol w:w="570"/>
        <w:gridCol w:w="292"/>
        <w:gridCol w:w="52"/>
        <w:gridCol w:w="377"/>
        <w:gridCol w:w="11"/>
      </w:tblGrid>
      <w:tr w:rsidR="00F22587" w:rsidRPr="000E5DBF" w14:paraId="296E74DC" w14:textId="77777777" w:rsidTr="008A5C11">
        <w:trPr>
          <w:trHeight w:val="210"/>
        </w:trPr>
        <w:tc>
          <w:tcPr>
            <w:tcW w:w="411"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350756B4" w14:textId="77777777" w:rsidR="00F22587" w:rsidRPr="000E5DBF" w:rsidRDefault="00F22587" w:rsidP="008A5C11">
            <w:pPr>
              <w:jc w:val="center"/>
              <w:rPr>
                <w:color w:val="000000"/>
                <w:sz w:val="14"/>
                <w:szCs w:val="14"/>
              </w:rPr>
            </w:pPr>
            <w:r w:rsidRPr="000E5DBF">
              <w:rPr>
                <w:color w:val="000000"/>
                <w:sz w:val="14"/>
                <w:szCs w:val="14"/>
              </w:rPr>
              <w:t>N п/п</w:t>
            </w:r>
          </w:p>
        </w:tc>
        <w:tc>
          <w:tcPr>
            <w:tcW w:w="1447"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759602FE" w14:textId="77777777" w:rsidR="00F22587" w:rsidRPr="000E5DBF" w:rsidRDefault="00F22587" w:rsidP="008A5C11">
            <w:pPr>
              <w:jc w:val="center"/>
              <w:rPr>
                <w:color w:val="000000"/>
                <w:sz w:val="14"/>
                <w:szCs w:val="14"/>
              </w:rPr>
            </w:pPr>
            <w:r w:rsidRPr="000E5DBF">
              <w:rPr>
                <w:color w:val="000000"/>
                <w:sz w:val="14"/>
                <w:szCs w:val="14"/>
              </w:rPr>
              <w:t>Наименование мероприятий</w:t>
            </w:r>
          </w:p>
        </w:tc>
        <w:tc>
          <w:tcPr>
            <w:tcW w:w="980"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16FDAEAE" w14:textId="77777777" w:rsidR="00F22587" w:rsidRPr="000E5DBF" w:rsidRDefault="00F22587" w:rsidP="008A5C11">
            <w:pPr>
              <w:jc w:val="center"/>
              <w:rPr>
                <w:color w:val="000000"/>
                <w:sz w:val="14"/>
                <w:szCs w:val="14"/>
              </w:rPr>
            </w:pPr>
            <w:r w:rsidRPr="000E5DBF">
              <w:rPr>
                <w:color w:val="000000"/>
                <w:sz w:val="14"/>
                <w:szCs w:val="14"/>
              </w:rPr>
              <w:t>Обоснование необходимости (цель реализации)</w:t>
            </w:r>
          </w:p>
        </w:tc>
        <w:tc>
          <w:tcPr>
            <w:tcW w:w="1002"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1D230BF9" w14:textId="77777777" w:rsidR="00F22587" w:rsidRPr="000E5DBF" w:rsidRDefault="00F22587" w:rsidP="008A5C11">
            <w:pPr>
              <w:jc w:val="center"/>
              <w:rPr>
                <w:color w:val="000000"/>
                <w:sz w:val="14"/>
                <w:szCs w:val="14"/>
              </w:rPr>
            </w:pPr>
            <w:r w:rsidRPr="000E5DBF">
              <w:rPr>
                <w:color w:val="000000"/>
                <w:sz w:val="14"/>
                <w:szCs w:val="14"/>
              </w:rPr>
              <w:t>Описание и место расположения объекта</w:t>
            </w:r>
          </w:p>
        </w:tc>
        <w:tc>
          <w:tcPr>
            <w:tcW w:w="2873" w:type="dxa"/>
            <w:gridSpan w:val="4"/>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648F233A" w14:textId="77777777" w:rsidR="00F22587" w:rsidRPr="000E5DBF" w:rsidRDefault="00F22587" w:rsidP="008A5C11">
            <w:pPr>
              <w:jc w:val="center"/>
              <w:rPr>
                <w:color w:val="000000"/>
                <w:sz w:val="14"/>
                <w:szCs w:val="14"/>
              </w:rPr>
            </w:pPr>
            <w:r w:rsidRPr="000E5DBF">
              <w:rPr>
                <w:color w:val="000000"/>
                <w:sz w:val="14"/>
                <w:szCs w:val="14"/>
              </w:rPr>
              <w:t>Основные технические характеристики</w:t>
            </w:r>
          </w:p>
        </w:tc>
        <w:tc>
          <w:tcPr>
            <w:tcW w:w="428"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btLr"/>
            <w:vAlign w:val="center"/>
            <w:hideMark/>
          </w:tcPr>
          <w:p w14:paraId="624744C1" w14:textId="77777777" w:rsidR="00F22587" w:rsidRPr="000E5DBF" w:rsidRDefault="00F22587" w:rsidP="008A5C11">
            <w:pPr>
              <w:ind w:left="113" w:right="113"/>
              <w:jc w:val="center"/>
              <w:rPr>
                <w:color w:val="000000"/>
                <w:sz w:val="14"/>
                <w:szCs w:val="14"/>
              </w:rPr>
            </w:pPr>
            <w:r w:rsidRPr="000E5DBF">
              <w:rPr>
                <w:color w:val="000000"/>
                <w:sz w:val="14"/>
                <w:szCs w:val="14"/>
              </w:rPr>
              <w:t>Год начала реализации мероприятия</w:t>
            </w:r>
          </w:p>
        </w:tc>
        <w:tc>
          <w:tcPr>
            <w:tcW w:w="416"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btLr"/>
            <w:vAlign w:val="center"/>
            <w:hideMark/>
          </w:tcPr>
          <w:p w14:paraId="63259466" w14:textId="77777777" w:rsidR="00F22587" w:rsidRPr="000E5DBF" w:rsidRDefault="00F22587" w:rsidP="008A5C11">
            <w:pPr>
              <w:ind w:left="113" w:right="113"/>
              <w:jc w:val="center"/>
              <w:rPr>
                <w:color w:val="000000"/>
                <w:sz w:val="14"/>
                <w:szCs w:val="14"/>
              </w:rPr>
            </w:pPr>
            <w:r w:rsidRPr="000E5DBF">
              <w:rPr>
                <w:color w:val="000000"/>
                <w:sz w:val="14"/>
                <w:szCs w:val="14"/>
              </w:rPr>
              <w:t>Год окончания реализации мероприятия</w:t>
            </w:r>
          </w:p>
        </w:tc>
        <w:tc>
          <w:tcPr>
            <w:tcW w:w="8581" w:type="dxa"/>
            <w:gridSpan w:val="20"/>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33BB09A9" w14:textId="77777777" w:rsidR="00F22587" w:rsidRPr="000E5DBF" w:rsidRDefault="00F22587" w:rsidP="008A5C11">
            <w:pPr>
              <w:jc w:val="center"/>
              <w:rPr>
                <w:color w:val="000000"/>
                <w:sz w:val="14"/>
                <w:szCs w:val="14"/>
              </w:rPr>
            </w:pPr>
            <w:r w:rsidRPr="000E5DBF">
              <w:rPr>
                <w:color w:val="000000"/>
                <w:sz w:val="14"/>
                <w:szCs w:val="14"/>
              </w:rPr>
              <w:t>Расходы на реализацию мероприятий в прогнозных ценах, тыс. руб. (с НДС)</w:t>
            </w:r>
          </w:p>
        </w:tc>
      </w:tr>
      <w:tr w:rsidR="00F22587" w:rsidRPr="000E5DBF" w14:paraId="08BEED72" w14:textId="77777777" w:rsidTr="008A5C11">
        <w:trPr>
          <w:trHeight w:val="677"/>
        </w:trPr>
        <w:tc>
          <w:tcPr>
            <w:tcW w:w="411"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0D85D4F2" w14:textId="77777777" w:rsidR="00F22587" w:rsidRPr="000E5DBF" w:rsidRDefault="00F22587" w:rsidP="008A5C11">
            <w:pPr>
              <w:rPr>
                <w:color w:val="000000"/>
                <w:sz w:val="14"/>
                <w:szCs w:val="14"/>
              </w:rPr>
            </w:pPr>
          </w:p>
        </w:tc>
        <w:tc>
          <w:tcPr>
            <w:tcW w:w="1447"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62470428" w14:textId="77777777" w:rsidR="00F22587" w:rsidRPr="000E5DBF" w:rsidRDefault="00F22587" w:rsidP="008A5C11">
            <w:pPr>
              <w:rPr>
                <w:color w:val="000000"/>
                <w:sz w:val="14"/>
                <w:szCs w:val="14"/>
              </w:rPr>
            </w:pPr>
          </w:p>
        </w:tc>
        <w:tc>
          <w:tcPr>
            <w:tcW w:w="980"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59774DDE" w14:textId="77777777" w:rsidR="00F22587" w:rsidRPr="000E5DBF" w:rsidRDefault="00F22587" w:rsidP="008A5C11">
            <w:pPr>
              <w:rPr>
                <w:color w:val="000000"/>
                <w:sz w:val="14"/>
                <w:szCs w:val="14"/>
              </w:rPr>
            </w:pPr>
          </w:p>
        </w:tc>
        <w:tc>
          <w:tcPr>
            <w:tcW w:w="1002"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50F32799" w14:textId="77777777" w:rsidR="00F22587" w:rsidRPr="000E5DBF" w:rsidRDefault="00F22587" w:rsidP="008A5C11">
            <w:pPr>
              <w:rPr>
                <w:color w:val="000000"/>
                <w:sz w:val="14"/>
                <w:szCs w:val="14"/>
              </w:rPr>
            </w:pPr>
          </w:p>
        </w:tc>
        <w:tc>
          <w:tcPr>
            <w:tcW w:w="10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1B42EC48" w14:textId="77777777" w:rsidR="00F22587" w:rsidRPr="000E5DBF" w:rsidRDefault="00F22587" w:rsidP="008A5C11">
            <w:pPr>
              <w:jc w:val="center"/>
              <w:rPr>
                <w:color w:val="000000"/>
                <w:sz w:val="14"/>
                <w:szCs w:val="14"/>
              </w:rPr>
            </w:pPr>
            <w:r w:rsidRPr="000E5DBF">
              <w:rPr>
                <w:color w:val="000000"/>
                <w:sz w:val="14"/>
                <w:szCs w:val="14"/>
              </w:rPr>
              <w:t>Наименование показателя (мощность, протяженность, диаметр и т.п.)</w:t>
            </w:r>
          </w:p>
        </w:tc>
        <w:tc>
          <w:tcPr>
            <w:tcW w:w="429"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716F3582" w14:textId="77777777" w:rsidR="00F22587" w:rsidRPr="000E5DBF" w:rsidRDefault="00F22587" w:rsidP="008A5C11">
            <w:pPr>
              <w:jc w:val="center"/>
              <w:rPr>
                <w:color w:val="000000"/>
                <w:sz w:val="14"/>
                <w:szCs w:val="14"/>
              </w:rPr>
            </w:pPr>
            <w:r w:rsidRPr="000E5DBF">
              <w:rPr>
                <w:color w:val="000000"/>
                <w:sz w:val="14"/>
                <w:szCs w:val="14"/>
              </w:rPr>
              <w:t>Ед. изм.</w:t>
            </w:r>
          </w:p>
        </w:tc>
        <w:tc>
          <w:tcPr>
            <w:tcW w:w="1443" w:type="dxa"/>
            <w:gridSpan w:val="2"/>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5264B4A3" w14:textId="77777777" w:rsidR="00F22587" w:rsidRPr="000E5DBF" w:rsidRDefault="00F22587" w:rsidP="008A5C11">
            <w:pPr>
              <w:jc w:val="center"/>
              <w:rPr>
                <w:color w:val="000000"/>
                <w:sz w:val="14"/>
                <w:szCs w:val="14"/>
              </w:rPr>
            </w:pPr>
            <w:r w:rsidRPr="000E5DBF">
              <w:rPr>
                <w:color w:val="000000"/>
                <w:sz w:val="14"/>
                <w:szCs w:val="14"/>
              </w:rPr>
              <w:t>Значение показателя</w:t>
            </w:r>
          </w:p>
        </w:tc>
        <w:tc>
          <w:tcPr>
            <w:tcW w:w="428" w:type="dxa"/>
            <w:gridSpan w:val="2"/>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7C72A727" w14:textId="77777777" w:rsidR="00F22587" w:rsidRPr="000E5DBF" w:rsidRDefault="00F22587" w:rsidP="008A5C11">
            <w:pPr>
              <w:rPr>
                <w:color w:val="000000"/>
                <w:sz w:val="14"/>
                <w:szCs w:val="14"/>
              </w:rPr>
            </w:pPr>
          </w:p>
        </w:tc>
        <w:tc>
          <w:tcPr>
            <w:tcW w:w="416"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5583907B" w14:textId="77777777" w:rsidR="00F22587" w:rsidRPr="000E5DBF" w:rsidRDefault="00F22587" w:rsidP="008A5C11">
            <w:pPr>
              <w:rPr>
                <w:color w:val="000000"/>
                <w:sz w:val="14"/>
                <w:szCs w:val="14"/>
              </w:rPr>
            </w:pPr>
          </w:p>
        </w:tc>
        <w:tc>
          <w:tcPr>
            <w:tcW w:w="573"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btLr"/>
            <w:vAlign w:val="center"/>
            <w:hideMark/>
          </w:tcPr>
          <w:p w14:paraId="334AAEB4" w14:textId="77777777" w:rsidR="00F22587" w:rsidRPr="000E5DBF" w:rsidRDefault="00F22587" w:rsidP="008A5C11">
            <w:pPr>
              <w:ind w:left="113" w:right="113"/>
              <w:jc w:val="center"/>
              <w:rPr>
                <w:color w:val="000000"/>
                <w:sz w:val="14"/>
                <w:szCs w:val="14"/>
              </w:rPr>
            </w:pPr>
            <w:r w:rsidRPr="000E5DBF">
              <w:rPr>
                <w:color w:val="000000"/>
                <w:sz w:val="14"/>
                <w:szCs w:val="14"/>
              </w:rPr>
              <w:t>Всего</w:t>
            </w:r>
          </w:p>
        </w:tc>
        <w:tc>
          <w:tcPr>
            <w:tcW w:w="447"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btLr"/>
            <w:vAlign w:val="center"/>
            <w:hideMark/>
          </w:tcPr>
          <w:p w14:paraId="531CF812" w14:textId="77777777" w:rsidR="00F22587" w:rsidRPr="000E5DBF" w:rsidRDefault="00F22587" w:rsidP="008A5C11">
            <w:pPr>
              <w:ind w:left="113" w:right="113"/>
              <w:jc w:val="center"/>
              <w:rPr>
                <w:color w:val="000000"/>
                <w:sz w:val="14"/>
                <w:szCs w:val="14"/>
              </w:rPr>
            </w:pPr>
            <w:r w:rsidRPr="000E5DBF">
              <w:rPr>
                <w:color w:val="000000"/>
                <w:sz w:val="14"/>
                <w:szCs w:val="14"/>
              </w:rPr>
              <w:t>Профинансировано к 2019</w:t>
            </w:r>
          </w:p>
        </w:tc>
        <w:tc>
          <w:tcPr>
            <w:tcW w:w="6839" w:type="dxa"/>
            <w:gridSpan w:val="13"/>
            <w:tcBorders>
              <w:top w:val="single" w:sz="4" w:space="0" w:color="auto"/>
              <w:left w:val="nil"/>
              <w:bottom w:val="single" w:sz="4" w:space="0" w:color="auto"/>
              <w:right w:val="single" w:sz="4" w:space="0" w:color="auto"/>
            </w:tcBorders>
            <w:shd w:val="clear" w:color="000000" w:fill="FFFFFF"/>
            <w:tcMar>
              <w:left w:w="0" w:type="dxa"/>
              <w:right w:w="0" w:type="dxa"/>
            </w:tcMar>
            <w:vAlign w:val="center"/>
            <w:hideMark/>
          </w:tcPr>
          <w:p w14:paraId="1965ABB9" w14:textId="77777777" w:rsidR="00F22587" w:rsidRPr="000E5DBF" w:rsidRDefault="00F22587" w:rsidP="008A5C11">
            <w:pPr>
              <w:jc w:val="center"/>
              <w:rPr>
                <w:color w:val="000000"/>
                <w:sz w:val="14"/>
                <w:szCs w:val="14"/>
              </w:rPr>
            </w:pPr>
            <w:r w:rsidRPr="000E5DBF">
              <w:rPr>
                <w:color w:val="000000"/>
                <w:sz w:val="14"/>
                <w:szCs w:val="14"/>
              </w:rPr>
              <w:t>в т.ч. по годам</w:t>
            </w:r>
          </w:p>
        </w:tc>
        <w:tc>
          <w:tcPr>
            <w:tcW w:w="292" w:type="dxa"/>
            <w:vMerge w:val="restart"/>
            <w:tcBorders>
              <w:top w:val="single" w:sz="4" w:space="0" w:color="auto"/>
              <w:left w:val="single" w:sz="4" w:space="0" w:color="auto"/>
              <w:right w:val="single" w:sz="4" w:space="0" w:color="auto"/>
            </w:tcBorders>
            <w:shd w:val="clear" w:color="auto" w:fill="auto"/>
            <w:tcMar>
              <w:left w:w="0" w:type="dxa"/>
              <w:right w:w="0" w:type="dxa"/>
            </w:tcMar>
            <w:textDirection w:val="btLr"/>
            <w:vAlign w:val="center"/>
            <w:hideMark/>
          </w:tcPr>
          <w:p w14:paraId="6C79A23C" w14:textId="77777777" w:rsidR="00F22587" w:rsidRPr="000E5DBF" w:rsidRDefault="00F22587" w:rsidP="008A5C11">
            <w:pPr>
              <w:ind w:left="113" w:right="113"/>
              <w:jc w:val="center"/>
              <w:rPr>
                <w:color w:val="000000"/>
                <w:sz w:val="14"/>
                <w:szCs w:val="14"/>
              </w:rPr>
            </w:pPr>
            <w:r w:rsidRPr="000E5DBF">
              <w:rPr>
                <w:color w:val="000000"/>
                <w:sz w:val="14"/>
                <w:szCs w:val="14"/>
              </w:rPr>
              <w:t>Остаток финансирования</w:t>
            </w:r>
          </w:p>
        </w:tc>
        <w:tc>
          <w:tcPr>
            <w:tcW w:w="428" w:type="dxa"/>
            <w:gridSpan w:val="3"/>
            <w:vMerge w:val="restart"/>
            <w:tcBorders>
              <w:top w:val="single" w:sz="4" w:space="0" w:color="auto"/>
              <w:left w:val="single" w:sz="4" w:space="0" w:color="auto"/>
              <w:right w:val="single" w:sz="4" w:space="0" w:color="auto"/>
            </w:tcBorders>
            <w:shd w:val="clear" w:color="auto" w:fill="auto"/>
            <w:tcMar>
              <w:left w:w="0" w:type="dxa"/>
              <w:right w:w="0" w:type="dxa"/>
            </w:tcMar>
            <w:textDirection w:val="btLr"/>
            <w:vAlign w:val="center"/>
            <w:hideMark/>
          </w:tcPr>
          <w:p w14:paraId="1151C352" w14:textId="77777777" w:rsidR="00F22587" w:rsidRPr="000E5DBF" w:rsidRDefault="00F22587" w:rsidP="008A5C11">
            <w:pPr>
              <w:ind w:left="113" w:right="113"/>
              <w:jc w:val="center"/>
              <w:rPr>
                <w:color w:val="000000"/>
                <w:sz w:val="14"/>
                <w:szCs w:val="14"/>
              </w:rPr>
            </w:pPr>
            <w:r w:rsidRPr="000E5DBF">
              <w:rPr>
                <w:color w:val="000000"/>
                <w:sz w:val="14"/>
                <w:szCs w:val="14"/>
              </w:rPr>
              <w:t>в т.ч. за счет платы за подключение</w:t>
            </w:r>
          </w:p>
        </w:tc>
      </w:tr>
      <w:tr w:rsidR="00F22587" w:rsidRPr="000E5DBF" w14:paraId="50E8936B" w14:textId="77777777" w:rsidTr="008A5C11">
        <w:trPr>
          <w:gridAfter w:val="1"/>
          <w:wAfter w:w="11" w:type="dxa"/>
          <w:cantSplit/>
          <w:trHeight w:val="1045"/>
        </w:trPr>
        <w:tc>
          <w:tcPr>
            <w:tcW w:w="411"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1FA7DAEC" w14:textId="77777777" w:rsidR="00F22587" w:rsidRPr="000E5DBF" w:rsidRDefault="00F22587" w:rsidP="008A5C11">
            <w:pPr>
              <w:rPr>
                <w:color w:val="000000"/>
                <w:sz w:val="14"/>
                <w:szCs w:val="14"/>
              </w:rPr>
            </w:pPr>
          </w:p>
        </w:tc>
        <w:tc>
          <w:tcPr>
            <w:tcW w:w="1447"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05866588" w14:textId="77777777" w:rsidR="00F22587" w:rsidRPr="000E5DBF" w:rsidRDefault="00F22587" w:rsidP="008A5C11">
            <w:pPr>
              <w:rPr>
                <w:color w:val="000000"/>
                <w:sz w:val="14"/>
                <w:szCs w:val="14"/>
              </w:rPr>
            </w:pPr>
          </w:p>
        </w:tc>
        <w:tc>
          <w:tcPr>
            <w:tcW w:w="980"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0FF1C510" w14:textId="77777777" w:rsidR="00F22587" w:rsidRPr="000E5DBF" w:rsidRDefault="00F22587" w:rsidP="008A5C11">
            <w:pPr>
              <w:rPr>
                <w:color w:val="000000"/>
                <w:sz w:val="14"/>
                <w:szCs w:val="14"/>
              </w:rPr>
            </w:pPr>
          </w:p>
        </w:tc>
        <w:tc>
          <w:tcPr>
            <w:tcW w:w="1002"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4921A232" w14:textId="77777777" w:rsidR="00F22587" w:rsidRPr="000E5DBF" w:rsidRDefault="00F22587" w:rsidP="008A5C11">
            <w:pPr>
              <w:rPr>
                <w:color w:val="000000"/>
                <w:sz w:val="14"/>
                <w:szCs w:val="14"/>
              </w:rPr>
            </w:pPr>
          </w:p>
        </w:tc>
        <w:tc>
          <w:tcPr>
            <w:tcW w:w="1000" w:type="dxa"/>
            <w:vMerge/>
            <w:tcBorders>
              <w:top w:val="nil"/>
              <w:left w:val="single" w:sz="4" w:space="0" w:color="auto"/>
              <w:bottom w:val="single" w:sz="4" w:space="0" w:color="auto"/>
              <w:right w:val="single" w:sz="4" w:space="0" w:color="auto"/>
            </w:tcBorders>
            <w:tcMar>
              <w:left w:w="0" w:type="dxa"/>
              <w:right w:w="0" w:type="dxa"/>
            </w:tcMar>
            <w:vAlign w:val="center"/>
            <w:hideMark/>
          </w:tcPr>
          <w:p w14:paraId="2A583886" w14:textId="77777777" w:rsidR="00F22587" w:rsidRPr="000E5DBF" w:rsidRDefault="00F22587" w:rsidP="008A5C11">
            <w:pPr>
              <w:rPr>
                <w:color w:val="000000"/>
                <w:sz w:val="14"/>
                <w:szCs w:val="14"/>
              </w:rPr>
            </w:pPr>
          </w:p>
        </w:tc>
        <w:tc>
          <w:tcPr>
            <w:tcW w:w="429" w:type="dxa"/>
            <w:vMerge/>
            <w:tcBorders>
              <w:top w:val="nil"/>
              <w:left w:val="single" w:sz="4" w:space="0" w:color="auto"/>
              <w:bottom w:val="single" w:sz="4" w:space="0" w:color="auto"/>
              <w:right w:val="single" w:sz="4" w:space="0" w:color="auto"/>
            </w:tcBorders>
            <w:tcMar>
              <w:left w:w="0" w:type="dxa"/>
              <w:right w:w="0" w:type="dxa"/>
            </w:tcMar>
            <w:vAlign w:val="center"/>
            <w:hideMark/>
          </w:tcPr>
          <w:p w14:paraId="157D36C9" w14:textId="77777777" w:rsidR="00F22587" w:rsidRPr="000E5DBF" w:rsidRDefault="00F22587" w:rsidP="008A5C11">
            <w:pPr>
              <w:rPr>
                <w:color w:val="000000"/>
                <w:sz w:val="14"/>
                <w:szCs w:val="14"/>
              </w:rPr>
            </w:pPr>
          </w:p>
        </w:tc>
        <w:tc>
          <w:tcPr>
            <w:tcW w:w="719"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FAB8925" w14:textId="77777777" w:rsidR="00F22587" w:rsidRPr="000E5DBF" w:rsidRDefault="00F22587" w:rsidP="008A5C11">
            <w:pPr>
              <w:jc w:val="center"/>
              <w:rPr>
                <w:color w:val="000000"/>
                <w:sz w:val="14"/>
                <w:szCs w:val="14"/>
              </w:rPr>
            </w:pPr>
            <w:r w:rsidRPr="000E5DBF">
              <w:rPr>
                <w:color w:val="000000"/>
                <w:sz w:val="14"/>
                <w:szCs w:val="14"/>
              </w:rPr>
              <w:t xml:space="preserve">до реализации </w:t>
            </w:r>
            <w:proofErr w:type="gramStart"/>
            <w:r w:rsidRPr="000E5DBF">
              <w:rPr>
                <w:color w:val="000000"/>
                <w:sz w:val="14"/>
                <w:szCs w:val="14"/>
              </w:rPr>
              <w:t>мероприя-тия</w:t>
            </w:r>
            <w:proofErr w:type="gramEnd"/>
          </w:p>
        </w:tc>
        <w:tc>
          <w:tcPr>
            <w:tcW w:w="723"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2B93F42" w14:textId="77777777" w:rsidR="00F22587" w:rsidRPr="000E5DBF" w:rsidRDefault="00F22587" w:rsidP="008A5C11">
            <w:pPr>
              <w:jc w:val="center"/>
              <w:rPr>
                <w:color w:val="000000"/>
                <w:sz w:val="14"/>
                <w:szCs w:val="14"/>
              </w:rPr>
            </w:pPr>
            <w:r w:rsidRPr="000E5DBF">
              <w:rPr>
                <w:color w:val="000000"/>
                <w:sz w:val="14"/>
                <w:szCs w:val="14"/>
              </w:rPr>
              <w:t xml:space="preserve">после </w:t>
            </w:r>
            <w:proofErr w:type="gramStart"/>
            <w:r w:rsidRPr="000E5DBF">
              <w:rPr>
                <w:color w:val="000000"/>
                <w:sz w:val="14"/>
                <w:szCs w:val="14"/>
              </w:rPr>
              <w:t>реализа-ции</w:t>
            </w:r>
            <w:proofErr w:type="gramEnd"/>
            <w:r w:rsidRPr="000E5DBF">
              <w:rPr>
                <w:color w:val="000000"/>
                <w:sz w:val="14"/>
                <w:szCs w:val="14"/>
              </w:rPr>
              <w:t xml:space="preserve"> мероприя-тия</w:t>
            </w:r>
          </w:p>
        </w:tc>
        <w:tc>
          <w:tcPr>
            <w:tcW w:w="428" w:type="dxa"/>
            <w:gridSpan w:val="2"/>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47BCB9B1" w14:textId="77777777" w:rsidR="00F22587" w:rsidRPr="000E5DBF" w:rsidRDefault="00F22587" w:rsidP="008A5C11">
            <w:pPr>
              <w:rPr>
                <w:color w:val="000000"/>
                <w:sz w:val="14"/>
                <w:szCs w:val="14"/>
              </w:rPr>
            </w:pPr>
          </w:p>
        </w:tc>
        <w:tc>
          <w:tcPr>
            <w:tcW w:w="416"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2E2C98BD" w14:textId="77777777" w:rsidR="00F22587" w:rsidRPr="000E5DBF" w:rsidRDefault="00F22587" w:rsidP="008A5C11">
            <w:pPr>
              <w:rPr>
                <w:color w:val="000000"/>
                <w:sz w:val="14"/>
                <w:szCs w:val="14"/>
              </w:rPr>
            </w:pPr>
          </w:p>
        </w:tc>
        <w:tc>
          <w:tcPr>
            <w:tcW w:w="573" w:type="dxa"/>
            <w:vMerge/>
            <w:tcBorders>
              <w:top w:val="nil"/>
              <w:left w:val="single" w:sz="4" w:space="0" w:color="auto"/>
              <w:bottom w:val="single" w:sz="4" w:space="0" w:color="auto"/>
              <w:right w:val="single" w:sz="4" w:space="0" w:color="auto"/>
            </w:tcBorders>
            <w:tcMar>
              <w:left w:w="0" w:type="dxa"/>
              <w:right w:w="0" w:type="dxa"/>
            </w:tcMar>
            <w:vAlign w:val="center"/>
            <w:hideMark/>
          </w:tcPr>
          <w:p w14:paraId="7FEC518A" w14:textId="77777777" w:rsidR="00F22587" w:rsidRPr="000E5DBF" w:rsidRDefault="00F22587" w:rsidP="008A5C11">
            <w:pPr>
              <w:rPr>
                <w:color w:val="000000"/>
                <w:sz w:val="14"/>
                <w:szCs w:val="14"/>
              </w:rPr>
            </w:pPr>
          </w:p>
        </w:tc>
        <w:tc>
          <w:tcPr>
            <w:tcW w:w="447" w:type="dxa"/>
            <w:gridSpan w:val="2"/>
            <w:vMerge/>
            <w:tcBorders>
              <w:top w:val="nil"/>
              <w:left w:val="single" w:sz="4" w:space="0" w:color="auto"/>
              <w:bottom w:val="single" w:sz="4" w:space="0" w:color="auto"/>
              <w:right w:val="single" w:sz="4" w:space="0" w:color="auto"/>
            </w:tcBorders>
            <w:tcMar>
              <w:left w:w="0" w:type="dxa"/>
              <w:right w:w="0" w:type="dxa"/>
            </w:tcMar>
            <w:vAlign w:val="center"/>
            <w:hideMark/>
          </w:tcPr>
          <w:p w14:paraId="280114E5" w14:textId="77777777" w:rsidR="00F22587" w:rsidRPr="000E5DBF" w:rsidRDefault="00F22587" w:rsidP="008A5C11">
            <w:pPr>
              <w:rPr>
                <w:color w:val="000000"/>
                <w:sz w:val="14"/>
                <w:szCs w:val="14"/>
              </w:rPr>
            </w:pPr>
          </w:p>
        </w:tc>
        <w:tc>
          <w:tcPr>
            <w:tcW w:w="559" w:type="dxa"/>
            <w:tcBorders>
              <w:top w:val="nil"/>
              <w:left w:val="nil"/>
              <w:bottom w:val="single" w:sz="4" w:space="0" w:color="auto"/>
              <w:right w:val="single" w:sz="4" w:space="0" w:color="auto"/>
            </w:tcBorders>
            <w:shd w:val="clear" w:color="000000" w:fill="FFFFFF"/>
            <w:tcMar>
              <w:left w:w="0" w:type="dxa"/>
              <w:right w:w="0" w:type="dxa"/>
            </w:tcMar>
            <w:vAlign w:val="center"/>
          </w:tcPr>
          <w:p w14:paraId="4C8B4F1C" w14:textId="77777777" w:rsidR="00F22587" w:rsidRPr="000E5DBF" w:rsidRDefault="00F22587" w:rsidP="008A5C11">
            <w:pPr>
              <w:jc w:val="center"/>
              <w:rPr>
                <w:color w:val="000000"/>
                <w:sz w:val="14"/>
                <w:szCs w:val="14"/>
              </w:rPr>
            </w:pPr>
            <w:r w:rsidRPr="000E5DBF">
              <w:rPr>
                <w:color w:val="000000"/>
                <w:sz w:val="14"/>
                <w:szCs w:val="14"/>
              </w:rPr>
              <w:t>2019</w:t>
            </w:r>
          </w:p>
        </w:tc>
        <w:tc>
          <w:tcPr>
            <w:tcW w:w="572" w:type="dxa"/>
            <w:tcBorders>
              <w:top w:val="nil"/>
              <w:left w:val="nil"/>
              <w:bottom w:val="single" w:sz="4" w:space="0" w:color="auto"/>
              <w:right w:val="single" w:sz="4" w:space="0" w:color="auto"/>
            </w:tcBorders>
            <w:shd w:val="clear" w:color="000000" w:fill="FFFFFF"/>
            <w:tcMar>
              <w:left w:w="0" w:type="dxa"/>
              <w:right w:w="0" w:type="dxa"/>
            </w:tcMar>
            <w:vAlign w:val="center"/>
          </w:tcPr>
          <w:p w14:paraId="1766CEAC" w14:textId="77777777" w:rsidR="00F22587" w:rsidRPr="000E5DBF" w:rsidRDefault="00F22587" w:rsidP="008A5C11">
            <w:pPr>
              <w:jc w:val="center"/>
              <w:rPr>
                <w:color w:val="000000"/>
                <w:sz w:val="14"/>
                <w:szCs w:val="14"/>
              </w:rPr>
            </w:pPr>
            <w:r w:rsidRPr="000E5DBF">
              <w:rPr>
                <w:color w:val="000000"/>
                <w:sz w:val="14"/>
                <w:szCs w:val="14"/>
              </w:rPr>
              <w:t>2020</w:t>
            </w:r>
          </w:p>
        </w:tc>
        <w:tc>
          <w:tcPr>
            <w:tcW w:w="572" w:type="dxa"/>
            <w:tcBorders>
              <w:top w:val="nil"/>
              <w:left w:val="nil"/>
              <w:bottom w:val="single" w:sz="4" w:space="0" w:color="auto"/>
              <w:right w:val="single" w:sz="4" w:space="0" w:color="auto"/>
            </w:tcBorders>
            <w:shd w:val="clear" w:color="000000" w:fill="FFFFFF"/>
            <w:tcMar>
              <w:left w:w="0" w:type="dxa"/>
              <w:right w:w="0" w:type="dxa"/>
            </w:tcMar>
            <w:vAlign w:val="center"/>
          </w:tcPr>
          <w:p w14:paraId="5E136CBB" w14:textId="77777777" w:rsidR="00F22587" w:rsidRPr="000E5DBF" w:rsidRDefault="00F22587" w:rsidP="008A5C11">
            <w:pPr>
              <w:jc w:val="center"/>
              <w:rPr>
                <w:color w:val="000000"/>
                <w:sz w:val="14"/>
                <w:szCs w:val="14"/>
              </w:rPr>
            </w:pPr>
            <w:r w:rsidRPr="000E5DBF">
              <w:rPr>
                <w:color w:val="000000"/>
                <w:sz w:val="14"/>
                <w:szCs w:val="14"/>
              </w:rPr>
              <w:t>2021</w:t>
            </w:r>
          </w:p>
        </w:tc>
        <w:tc>
          <w:tcPr>
            <w:tcW w:w="566" w:type="dxa"/>
            <w:tcBorders>
              <w:top w:val="nil"/>
              <w:left w:val="nil"/>
              <w:bottom w:val="single" w:sz="4" w:space="0" w:color="auto"/>
              <w:right w:val="single" w:sz="4" w:space="0" w:color="auto"/>
            </w:tcBorders>
            <w:shd w:val="clear" w:color="000000" w:fill="FFFFFF"/>
            <w:tcMar>
              <w:left w:w="0" w:type="dxa"/>
              <w:right w:w="0" w:type="dxa"/>
            </w:tcMar>
            <w:vAlign w:val="center"/>
          </w:tcPr>
          <w:p w14:paraId="2A3F3061" w14:textId="77777777" w:rsidR="00F22587" w:rsidRPr="000E5DBF" w:rsidRDefault="00F22587" w:rsidP="008A5C11">
            <w:pPr>
              <w:jc w:val="center"/>
              <w:rPr>
                <w:color w:val="000000"/>
                <w:sz w:val="14"/>
                <w:szCs w:val="14"/>
              </w:rPr>
            </w:pPr>
            <w:r w:rsidRPr="000E5DBF">
              <w:rPr>
                <w:color w:val="000000"/>
                <w:sz w:val="14"/>
                <w:szCs w:val="14"/>
              </w:rPr>
              <w:t>2022</w:t>
            </w:r>
          </w:p>
        </w:tc>
        <w:tc>
          <w:tcPr>
            <w:tcW w:w="565" w:type="dxa"/>
            <w:tcBorders>
              <w:top w:val="nil"/>
              <w:left w:val="nil"/>
              <w:bottom w:val="single" w:sz="4" w:space="0" w:color="auto"/>
              <w:right w:val="single" w:sz="4" w:space="0" w:color="auto"/>
            </w:tcBorders>
            <w:shd w:val="clear" w:color="000000" w:fill="FFFFFF"/>
            <w:tcMar>
              <w:left w:w="0" w:type="dxa"/>
              <w:right w:w="0" w:type="dxa"/>
            </w:tcMar>
            <w:vAlign w:val="center"/>
          </w:tcPr>
          <w:p w14:paraId="552FC909" w14:textId="77777777" w:rsidR="00F22587" w:rsidRPr="000E5DBF" w:rsidRDefault="00F22587" w:rsidP="008A5C11">
            <w:pPr>
              <w:jc w:val="center"/>
              <w:rPr>
                <w:color w:val="000000"/>
                <w:sz w:val="14"/>
                <w:szCs w:val="14"/>
              </w:rPr>
            </w:pPr>
            <w:r w:rsidRPr="000E5DBF">
              <w:rPr>
                <w:color w:val="000000"/>
                <w:sz w:val="14"/>
                <w:szCs w:val="14"/>
              </w:rPr>
              <w:t>2023</w:t>
            </w:r>
          </w:p>
        </w:tc>
        <w:tc>
          <w:tcPr>
            <w:tcW w:w="574" w:type="dxa"/>
            <w:tcBorders>
              <w:top w:val="nil"/>
              <w:left w:val="nil"/>
              <w:bottom w:val="single" w:sz="4" w:space="0" w:color="auto"/>
              <w:right w:val="single" w:sz="4" w:space="0" w:color="auto"/>
            </w:tcBorders>
            <w:shd w:val="clear" w:color="000000" w:fill="FFFFFF"/>
            <w:tcMar>
              <w:left w:w="0" w:type="dxa"/>
              <w:right w:w="0" w:type="dxa"/>
            </w:tcMar>
            <w:vAlign w:val="center"/>
          </w:tcPr>
          <w:p w14:paraId="25404945" w14:textId="77777777" w:rsidR="00F22587" w:rsidRPr="000E5DBF" w:rsidRDefault="00F22587" w:rsidP="008A5C11">
            <w:pPr>
              <w:jc w:val="center"/>
              <w:rPr>
                <w:color w:val="000000"/>
                <w:sz w:val="14"/>
                <w:szCs w:val="14"/>
              </w:rPr>
            </w:pPr>
            <w:r w:rsidRPr="000E5DBF">
              <w:rPr>
                <w:color w:val="000000"/>
                <w:sz w:val="14"/>
                <w:szCs w:val="14"/>
              </w:rPr>
              <w:t>2024</w:t>
            </w:r>
          </w:p>
        </w:tc>
        <w:tc>
          <w:tcPr>
            <w:tcW w:w="572"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2E479E3B" w14:textId="77777777" w:rsidR="00F22587" w:rsidRPr="000E5DBF" w:rsidRDefault="00F22587" w:rsidP="008A5C11">
            <w:pPr>
              <w:jc w:val="center"/>
              <w:rPr>
                <w:color w:val="000000"/>
                <w:sz w:val="14"/>
                <w:szCs w:val="14"/>
              </w:rPr>
            </w:pPr>
            <w:r w:rsidRPr="000E5DBF">
              <w:rPr>
                <w:color w:val="000000"/>
                <w:sz w:val="14"/>
                <w:szCs w:val="14"/>
              </w:rPr>
              <w:t>2025</w:t>
            </w:r>
          </w:p>
        </w:tc>
        <w:tc>
          <w:tcPr>
            <w:tcW w:w="570" w:type="dxa"/>
            <w:tcBorders>
              <w:top w:val="nil"/>
              <w:left w:val="nil"/>
              <w:bottom w:val="single" w:sz="4" w:space="0" w:color="auto"/>
              <w:right w:val="single" w:sz="4" w:space="0" w:color="auto"/>
            </w:tcBorders>
            <w:shd w:val="clear" w:color="000000" w:fill="FFFFFF"/>
            <w:tcMar>
              <w:left w:w="0" w:type="dxa"/>
              <w:right w:w="0" w:type="dxa"/>
            </w:tcMar>
            <w:vAlign w:val="center"/>
          </w:tcPr>
          <w:p w14:paraId="0C8DFFD3" w14:textId="77777777" w:rsidR="00F22587" w:rsidRPr="000E5DBF" w:rsidRDefault="00F22587" w:rsidP="008A5C11">
            <w:pPr>
              <w:jc w:val="center"/>
              <w:rPr>
                <w:color w:val="000000"/>
                <w:sz w:val="14"/>
                <w:szCs w:val="14"/>
              </w:rPr>
            </w:pPr>
            <w:r w:rsidRPr="000E5DBF">
              <w:rPr>
                <w:color w:val="000000"/>
                <w:sz w:val="14"/>
                <w:szCs w:val="14"/>
              </w:rPr>
              <w:t>2026</w:t>
            </w:r>
          </w:p>
        </w:tc>
        <w:tc>
          <w:tcPr>
            <w:tcW w:w="572" w:type="dxa"/>
            <w:tcBorders>
              <w:top w:val="nil"/>
              <w:left w:val="nil"/>
              <w:bottom w:val="single" w:sz="4" w:space="0" w:color="auto"/>
              <w:right w:val="single" w:sz="4" w:space="0" w:color="auto"/>
            </w:tcBorders>
            <w:shd w:val="clear" w:color="000000" w:fill="FFFFFF"/>
            <w:tcMar>
              <w:left w:w="0" w:type="dxa"/>
              <w:right w:w="0" w:type="dxa"/>
            </w:tcMar>
            <w:vAlign w:val="center"/>
          </w:tcPr>
          <w:p w14:paraId="3E9BF295" w14:textId="77777777" w:rsidR="00F22587" w:rsidRPr="000E5DBF" w:rsidRDefault="00F22587" w:rsidP="008A5C11">
            <w:pPr>
              <w:jc w:val="center"/>
              <w:rPr>
                <w:color w:val="000000"/>
                <w:sz w:val="14"/>
                <w:szCs w:val="14"/>
              </w:rPr>
            </w:pPr>
            <w:r w:rsidRPr="000E5DBF">
              <w:rPr>
                <w:color w:val="000000"/>
                <w:sz w:val="14"/>
                <w:szCs w:val="14"/>
              </w:rPr>
              <w:t>2027</w:t>
            </w:r>
          </w:p>
        </w:tc>
        <w:tc>
          <w:tcPr>
            <w:tcW w:w="573" w:type="dxa"/>
            <w:tcBorders>
              <w:top w:val="nil"/>
              <w:left w:val="nil"/>
              <w:bottom w:val="single" w:sz="4" w:space="0" w:color="auto"/>
              <w:right w:val="single" w:sz="4" w:space="0" w:color="auto"/>
            </w:tcBorders>
            <w:shd w:val="clear" w:color="000000" w:fill="FFFFFF"/>
            <w:tcMar>
              <w:left w:w="0" w:type="dxa"/>
              <w:right w:w="0" w:type="dxa"/>
            </w:tcMar>
            <w:vAlign w:val="center"/>
          </w:tcPr>
          <w:p w14:paraId="7FB6090E" w14:textId="77777777" w:rsidR="00F22587" w:rsidRPr="000E5DBF" w:rsidRDefault="00F22587" w:rsidP="008A5C11">
            <w:pPr>
              <w:jc w:val="center"/>
              <w:rPr>
                <w:color w:val="000000"/>
                <w:sz w:val="14"/>
                <w:szCs w:val="14"/>
              </w:rPr>
            </w:pPr>
            <w:r w:rsidRPr="000E5DBF">
              <w:rPr>
                <w:color w:val="000000"/>
                <w:sz w:val="14"/>
                <w:szCs w:val="14"/>
              </w:rPr>
              <w:t>2028</w:t>
            </w:r>
          </w:p>
        </w:tc>
        <w:tc>
          <w:tcPr>
            <w:tcW w:w="574" w:type="dxa"/>
            <w:tcBorders>
              <w:top w:val="nil"/>
              <w:left w:val="nil"/>
              <w:bottom w:val="single" w:sz="4" w:space="0" w:color="auto"/>
              <w:right w:val="single" w:sz="4" w:space="0" w:color="auto"/>
            </w:tcBorders>
            <w:shd w:val="clear" w:color="000000" w:fill="FFFFFF"/>
            <w:tcMar>
              <w:left w:w="0" w:type="dxa"/>
              <w:right w:w="0" w:type="dxa"/>
            </w:tcMar>
            <w:vAlign w:val="center"/>
          </w:tcPr>
          <w:p w14:paraId="05865081" w14:textId="77777777" w:rsidR="00F22587" w:rsidRPr="000E5DBF" w:rsidRDefault="00F22587" w:rsidP="008A5C11">
            <w:pPr>
              <w:jc w:val="center"/>
              <w:rPr>
                <w:color w:val="000000"/>
                <w:sz w:val="14"/>
                <w:szCs w:val="14"/>
              </w:rPr>
            </w:pPr>
            <w:r w:rsidRPr="000E5DBF">
              <w:rPr>
                <w:color w:val="000000"/>
                <w:sz w:val="14"/>
                <w:szCs w:val="14"/>
              </w:rPr>
              <w:t>2029</w:t>
            </w:r>
          </w:p>
        </w:tc>
        <w:tc>
          <w:tcPr>
            <w:tcW w:w="567" w:type="dxa"/>
            <w:tcBorders>
              <w:top w:val="nil"/>
              <w:left w:val="nil"/>
              <w:bottom w:val="single" w:sz="4" w:space="0" w:color="auto"/>
              <w:right w:val="single" w:sz="4" w:space="0" w:color="auto"/>
            </w:tcBorders>
            <w:shd w:val="clear" w:color="000000" w:fill="FFFFFF"/>
            <w:tcMar>
              <w:left w:w="0" w:type="dxa"/>
              <w:right w:w="0" w:type="dxa"/>
            </w:tcMar>
            <w:vAlign w:val="center"/>
          </w:tcPr>
          <w:p w14:paraId="0CCB266E" w14:textId="77777777" w:rsidR="00F22587" w:rsidRPr="000E5DBF" w:rsidRDefault="00F22587" w:rsidP="008A5C11">
            <w:pPr>
              <w:jc w:val="center"/>
              <w:rPr>
                <w:color w:val="000000"/>
                <w:sz w:val="14"/>
                <w:szCs w:val="14"/>
              </w:rPr>
            </w:pPr>
            <w:r w:rsidRPr="000E5DBF">
              <w:rPr>
                <w:color w:val="000000"/>
                <w:sz w:val="14"/>
                <w:szCs w:val="14"/>
              </w:rPr>
              <w:t>2030</w:t>
            </w:r>
          </w:p>
        </w:tc>
        <w:tc>
          <w:tcPr>
            <w:tcW w:w="292" w:type="dxa"/>
            <w:vMerge/>
            <w:tcBorders>
              <w:left w:val="single" w:sz="4" w:space="0" w:color="auto"/>
              <w:bottom w:val="single" w:sz="4" w:space="0" w:color="auto"/>
              <w:right w:val="single" w:sz="4" w:space="0" w:color="auto"/>
            </w:tcBorders>
            <w:tcMar>
              <w:left w:w="0" w:type="dxa"/>
              <w:right w:w="0" w:type="dxa"/>
            </w:tcMar>
            <w:vAlign w:val="center"/>
            <w:hideMark/>
          </w:tcPr>
          <w:p w14:paraId="688DFAF6" w14:textId="77777777" w:rsidR="00F22587" w:rsidRPr="000E5DBF" w:rsidRDefault="00F22587" w:rsidP="008A5C11">
            <w:pPr>
              <w:rPr>
                <w:color w:val="000000"/>
                <w:sz w:val="14"/>
                <w:szCs w:val="14"/>
              </w:rPr>
            </w:pPr>
          </w:p>
        </w:tc>
        <w:tc>
          <w:tcPr>
            <w:tcW w:w="428" w:type="dxa"/>
            <w:gridSpan w:val="2"/>
            <w:vMerge/>
            <w:tcBorders>
              <w:left w:val="single" w:sz="4" w:space="0" w:color="auto"/>
              <w:bottom w:val="single" w:sz="4" w:space="0" w:color="auto"/>
              <w:right w:val="single" w:sz="4" w:space="0" w:color="auto"/>
            </w:tcBorders>
            <w:tcMar>
              <w:left w:w="0" w:type="dxa"/>
              <w:right w:w="0" w:type="dxa"/>
            </w:tcMar>
            <w:vAlign w:val="center"/>
            <w:hideMark/>
          </w:tcPr>
          <w:p w14:paraId="29E1A7A1" w14:textId="77777777" w:rsidR="00F22587" w:rsidRPr="000E5DBF" w:rsidRDefault="00F22587" w:rsidP="008A5C11">
            <w:pPr>
              <w:rPr>
                <w:color w:val="000000"/>
                <w:sz w:val="14"/>
                <w:szCs w:val="14"/>
              </w:rPr>
            </w:pPr>
          </w:p>
        </w:tc>
      </w:tr>
      <w:tr w:rsidR="00F22587" w:rsidRPr="000E5DBF" w14:paraId="244A9F10" w14:textId="77777777" w:rsidTr="008A5C11">
        <w:trPr>
          <w:gridAfter w:val="1"/>
          <w:wAfter w:w="11" w:type="dxa"/>
          <w:cantSplit/>
          <w:trHeight w:val="249"/>
        </w:trPr>
        <w:tc>
          <w:tcPr>
            <w:tcW w:w="411"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056C581A" w14:textId="77777777" w:rsidR="00F22587" w:rsidRPr="000E5DBF" w:rsidRDefault="00F22587" w:rsidP="008A5C11">
            <w:pPr>
              <w:jc w:val="center"/>
              <w:rPr>
                <w:color w:val="000000"/>
                <w:sz w:val="14"/>
                <w:szCs w:val="14"/>
              </w:rPr>
            </w:pPr>
            <w:r w:rsidRPr="000E5DBF">
              <w:rPr>
                <w:color w:val="000000"/>
                <w:sz w:val="14"/>
                <w:szCs w:val="14"/>
              </w:rPr>
              <w:t>1</w:t>
            </w:r>
          </w:p>
        </w:tc>
        <w:tc>
          <w:tcPr>
            <w:tcW w:w="1447"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87C83F6" w14:textId="77777777" w:rsidR="00F22587" w:rsidRPr="000E5DBF" w:rsidRDefault="00F22587" w:rsidP="008A5C11">
            <w:pPr>
              <w:jc w:val="center"/>
              <w:rPr>
                <w:color w:val="000000"/>
                <w:sz w:val="14"/>
                <w:szCs w:val="14"/>
              </w:rPr>
            </w:pPr>
            <w:r w:rsidRPr="000E5DBF">
              <w:rPr>
                <w:color w:val="000000"/>
                <w:sz w:val="14"/>
                <w:szCs w:val="14"/>
              </w:rPr>
              <w:t>2</w:t>
            </w:r>
          </w:p>
        </w:tc>
        <w:tc>
          <w:tcPr>
            <w:tcW w:w="980"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BDF35C7" w14:textId="77777777" w:rsidR="00F22587" w:rsidRPr="000E5DBF" w:rsidRDefault="00F22587" w:rsidP="008A5C11">
            <w:pPr>
              <w:jc w:val="center"/>
              <w:rPr>
                <w:color w:val="000000"/>
                <w:sz w:val="14"/>
                <w:szCs w:val="14"/>
              </w:rPr>
            </w:pPr>
            <w:r w:rsidRPr="000E5DBF">
              <w:rPr>
                <w:color w:val="000000"/>
                <w:sz w:val="14"/>
                <w:szCs w:val="14"/>
              </w:rPr>
              <w:t>3</w:t>
            </w:r>
          </w:p>
        </w:tc>
        <w:tc>
          <w:tcPr>
            <w:tcW w:w="1002"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D1F0316" w14:textId="77777777" w:rsidR="00F22587" w:rsidRPr="000E5DBF" w:rsidRDefault="00F22587" w:rsidP="008A5C11">
            <w:pPr>
              <w:jc w:val="center"/>
              <w:rPr>
                <w:color w:val="000000"/>
                <w:sz w:val="14"/>
                <w:szCs w:val="14"/>
              </w:rPr>
            </w:pPr>
            <w:r w:rsidRPr="000E5DBF">
              <w:rPr>
                <w:color w:val="000000"/>
                <w:sz w:val="14"/>
                <w:szCs w:val="14"/>
              </w:rPr>
              <w:t>4</w:t>
            </w:r>
          </w:p>
        </w:tc>
        <w:tc>
          <w:tcPr>
            <w:tcW w:w="1000"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9C63D22" w14:textId="77777777" w:rsidR="00F22587" w:rsidRPr="000E5DBF" w:rsidRDefault="00F22587" w:rsidP="008A5C11">
            <w:pPr>
              <w:jc w:val="center"/>
              <w:rPr>
                <w:color w:val="000000"/>
                <w:sz w:val="14"/>
                <w:szCs w:val="14"/>
              </w:rPr>
            </w:pPr>
            <w:r w:rsidRPr="000E5DBF">
              <w:rPr>
                <w:color w:val="000000"/>
                <w:sz w:val="14"/>
                <w:szCs w:val="14"/>
              </w:rPr>
              <w:t>5</w:t>
            </w:r>
          </w:p>
        </w:tc>
        <w:tc>
          <w:tcPr>
            <w:tcW w:w="429"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524088A" w14:textId="77777777" w:rsidR="00F22587" w:rsidRPr="000E5DBF" w:rsidRDefault="00F22587" w:rsidP="008A5C11">
            <w:pPr>
              <w:jc w:val="center"/>
              <w:rPr>
                <w:color w:val="000000"/>
                <w:sz w:val="14"/>
                <w:szCs w:val="14"/>
              </w:rPr>
            </w:pPr>
            <w:r w:rsidRPr="000E5DBF">
              <w:rPr>
                <w:color w:val="000000"/>
                <w:sz w:val="14"/>
                <w:szCs w:val="14"/>
              </w:rPr>
              <w:t>6</w:t>
            </w:r>
          </w:p>
        </w:tc>
        <w:tc>
          <w:tcPr>
            <w:tcW w:w="719"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26838AD" w14:textId="77777777" w:rsidR="00F22587" w:rsidRPr="000E5DBF" w:rsidRDefault="00F22587" w:rsidP="008A5C11">
            <w:pPr>
              <w:jc w:val="center"/>
              <w:rPr>
                <w:color w:val="000000"/>
                <w:sz w:val="14"/>
                <w:szCs w:val="14"/>
              </w:rPr>
            </w:pPr>
            <w:r w:rsidRPr="000E5DBF">
              <w:rPr>
                <w:color w:val="000000"/>
                <w:sz w:val="14"/>
                <w:szCs w:val="14"/>
              </w:rPr>
              <w:t>7</w:t>
            </w:r>
          </w:p>
        </w:tc>
        <w:tc>
          <w:tcPr>
            <w:tcW w:w="723"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3531493" w14:textId="77777777" w:rsidR="00F22587" w:rsidRPr="000E5DBF" w:rsidRDefault="00F22587" w:rsidP="008A5C11">
            <w:pPr>
              <w:jc w:val="center"/>
              <w:rPr>
                <w:color w:val="000000"/>
                <w:sz w:val="14"/>
                <w:szCs w:val="14"/>
              </w:rPr>
            </w:pPr>
            <w:r w:rsidRPr="000E5DBF">
              <w:rPr>
                <w:color w:val="000000"/>
                <w:sz w:val="14"/>
                <w:szCs w:val="14"/>
              </w:rPr>
              <w:t>8</w:t>
            </w:r>
          </w:p>
        </w:tc>
        <w:tc>
          <w:tcPr>
            <w:tcW w:w="428"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25490912" w14:textId="77777777" w:rsidR="00F22587" w:rsidRPr="000E5DBF" w:rsidRDefault="00F22587" w:rsidP="008A5C11">
            <w:pPr>
              <w:jc w:val="center"/>
              <w:rPr>
                <w:color w:val="000000"/>
                <w:sz w:val="14"/>
                <w:szCs w:val="14"/>
              </w:rPr>
            </w:pPr>
            <w:r w:rsidRPr="000E5DBF">
              <w:rPr>
                <w:color w:val="000000"/>
                <w:sz w:val="14"/>
                <w:szCs w:val="14"/>
              </w:rPr>
              <w:t>9</w:t>
            </w:r>
          </w:p>
        </w:tc>
        <w:tc>
          <w:tcPr>
            <w:tcW w:w="416"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DEDBDD2" w14:textId="77777777" w:rsidR="00F22587" w:rsidRPr="000E5DBF" w:rsidRDefault="00F22587" w:rsidP="008A5C11">
            <w:pPr>
              <w:jc w:val="center"/>
              <w:rPr>
                <w:color w:val="000000"/>
                <w:sz w:val="14"/>
                <w:szCs w:val="14"/>
              </w:rPr>
            </w:pPr>
            <w:r w:rsidRPr="000E5DBF">
              <w:rPr>
                <w:color w:val="000000"/>
                <w:sz w:val="14"/>
                <w:szCs w:val="14"/>
              </w:rPr>
              <w:t>10</w:t>
            </w:r>
          </w:p>
        </w:tc>
        <w:tc>
          <w:tcPr>
            <w:tcW w:w="573"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49820AB" w14:textId="77777777" w:rsidR="00F22587" w:rsidRPr="000E5DBF" w:rsidRDefault="00F22587" w:rsidP="008A5C11">
            <w:pPr>
              <w:jc w:val="center"/>
              <w:rPr>
                <w:color w:val="000000"/>
                <w:sz w:val="14"/>
                <w:szCs w:val="14"/>
              </w:rPr>
            </w:pPr>
            <w:r w:rsidRPr="000E5DBF">
              <w:rPr>
                <w:color w:val="000000"/>
                <w:sz w:val="14"/>
                <w:szCs w:val="14"/>
              </w:rPr>
              <w:t>11</w:t>
            </w:r>
          </w:p>
        </w:tc>
        <w:tc>
          <w:tcPr>
            <w:tcW w:w="447"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7B2A11DD" w14:textId="77777777" w:rsidR="00F22587" w:rsidRPr="000E5DBF" w:rsidRDefault="00F22587" w:rsidP="008A5C11">
            <w:pPr>
              <w:jc w:val="center"/>
              <w:rPr>
                <w:color w:val="000000"/>
                <w:sz w:val="14"/>
                <w:szCs w:val="14"/>
              </w:rPr>
            </w:pPr>
            <w:r w:rsidRPr="000E5DBF">
              <w:rPr>
                <w:color w:val="000000"/>
                <w:sz w:val="14"/>
                <w:szCs w:val="14"/>
              </w:rPr>
              <w:t>12</w:t>
            </w:r>
          </w:p>
        </w:tc>
        <w:tc>
          <w:tcPr>
            <w:tcW w:w="559" w:type="dxa"/>
            <w:tcBorders>
              <w:top w:val="nil"/>
              <w:left w:val="nil"/>
              <w:bottom w:val="single" w:sz="4" w:space="0" w:color="auto"/>
              <w:right w:val="single" w:sz="4" w:space="0" w:color="auto"/>
            </w:tcBorders>
            <w:shd w:val="clear" w:color="000000" w:fill="FFFFFF"/>
            <w:tcMar>
              <w:left w:w="0" w:type="dxa"/>
              <w:right w:w="0" w:type="dxa"/>
            </w:tcMar>
            <w:vAlign w:val="center"/>
            <w:hideMark/>
          </w:tcPr>
          <w:p w14:paraId="17FC5202" w14:textId="77777777" w:rsidR="00F22587" w:rsidRPr="000E5DBF" w:rsidRDefault="00F22587" w:rsidP="008A5C11">
            <w:pPr>
              <w:jc w:val="center"/>
              <w:rPr>
                <w:color w:val="000000"/>
                <w:sz w:val="14"/>
                <w:szCs w:val="14"/>
              </w:rPr>
            </w:pPr>
            <w:r w:rsidRPr="000E5DBF">
              <w:rPr>
                <w:color w:val="000000"/>
                <w:sz w:val="14"/>
                <w:szCs w:val="14"/>
              </w:rPr>
              <w:t>13</w:t>
            </w:r>
          </w:p>
        </w:tc>
        <w:tc>
          <w:tcPr>
            <w:tcW w:w="572" w:type="dxa"/>
            <w:tcBorders>
              <w:top w:val="nil"/>
              <w:left w:val="nil"/>
              <w:bottom w:val="single" w:sz="4" w:space="0" w:color="auto"/>
              <w:right w:val="single" w:sz="4" w:space="0" w:color="auto"/>
            </w:tcBorders>
            <w:shd w:val="clear" w:color="000000" w:fill="FFFFFF"/>
            <w:tcMar>
              <w:left w:w="0" w:type="dxa"/>
              <w:right w:w="0" w:type="dxa"/>
            </w:tcMar>
            <w:vAlign w:val="center"/>
            <w:hideMark/>
          </w:tcPr>
          <w:p w14:paraId="45E2E0FB" w14:textId="77777777" w:rsidR="00F22587" w:rsidRPr="000E5DBF" w:rsidRDefault="00F22587" w:rsidP="008A5C11">
            <w:pPr>
              <w:jc w:val="center"/>
              <w:rPr>
                <w:color w:val="000000"/>
                <w:sz w:val="14"/>
                <w:szCs w:val="14"/>
              </w:rPr>
            </w:pPr>
            <w:r w:rsidRPr="000E5DBF">
              <w:rPr>
                <w:color w:val="000000"/>
                <w:sz w:val="14"/>
                <w:szCs w:val="14"/>
              </w:rPr>
              <w:t>14</w:t>
            </w:r>
          </w:p>
        </w:tc>
        <w:tc>
          <w:tcPr>
            <w:tcW w:w="572" w:type="dxa"/>
            <w:tcBorders>
              <w:top w:val="nil"/>
              <w:left w:val="nil"/>
              <w:bottom w:val="single" w:sz="4" w:space="0" w:color="auto"/>
              <w:right w:val="single" w:sz="4" w:space="0" w:color="auto"/>
            </w:tcBorders>
            <w:shd w:val="clear" w:color="000000" w:fill="FFFFFF"/>
            <w:tcMar>
              <w:left w:w="0" w:type="dxa"/>
              <w:right w:w="0" w:type="dxa"/>
            </w:tcMar>
            <w:vAlign w:val="center"/>
            <w:hideMark/>
          </w:tcPr>
          <w:p w14:paraId="2BDDD740" w14:textId="77777777" w:rsidR="00F22587" w:rsidRPr="000E5DBF" w:rsidRDefault="00F22587" w:rsidP="008A5C11">
            <w:pPr>
              <w:jc w:val="center"/>
              <w:rPr>
                <w:color w:val="000000"/>
                <w:sz w:val="14"/>
                <w:szCs w:val="14"/>
              </w:rPr>
            </w:pPr>
            <w:r w:rsidRPr="000E5DBF">
              <w:rPr>
                <w:color w:val="000000"/>
                <w:sz w:val="14"/>
                <w:szCs w:val="14"/>
              </w:rPr>
              <w:t>15</w:t>
            </w:r>
          </w:p>
        </w:tc>
        <w:tc>
          <w:tcPr>
            <w:tcW w:w="566" w:type="dxa"/>
            <w:tcBorders>
              <w:top w:val="nil"/>
              <w:left w:val="nil"/>
              <w:bottom w:val="single" w:sz="4" w:space="0" w:color="auto"/>
              <w:right w:val="single" w:sz="4" w:space="0" w:color="auto"/>
            </w:tcBorders>
            <w:shd w:val="clear" w:color="000000" w:fill="FFFFFF"/>
            <w:tcMar>
              <w:left w:w="0" w:type="dxa"/>
              <w:right w:w="0" w:type="dxa"/>
            </w:tcMar>
            <w:vAlign w:val="center"/>
            <w:hideMark/>
          </w:tcPr>
          <w:p w14:paraId="78977276" w14:textId="77777777" w:rsidR="00F22587" w:rsidRPr="000E5DBF" w:rsidRDefault="00F22587" w:rsidP="008A5C11">
            <w:pPr>
              <w:jc w:val="center"/>
              <w:rPr>
                <w:color w:val="000000"/>
                <w:sz w:val="14"/>
                <w:szCs w:val="14"/>
              </w:rPr>
            </w:pPr>
            <w:r w:rsidRPr="000E5DBF">
              <w:rPr>
                <w:color w:val="000000"/>
                <w:sz w:val="14"/>
                <w:szCs w:val="14"/>
              </w:rPr>
              <w:t>16</w:t>
            </w:r>
          </w:p>
        </w:tc>
        <w:tc>
          <w:tcPr>
            <w:tcW w:w="565" w:type="dxa"/>
            <w:tcBorders>
              <w:top w:val="nil"/>
              <w:left w:val="nil"/>
              <w:bottom w:val="single" w:sz="4" w:space="0" w:color="auto"/>
              <w:right w:val="single" w:sz="4" w:space="0" w:color="auto"/>
            </w:tcBorders>
            <w:shd w:val="clear" w:color="000000" w:fill="FFFFFF"/>
            <w:tcMar>
              <w:left w:w="0" w:type="dxa"/>
              <w:right w:w="0" w:type="dxa"/>
            </w:tcMar>
            <w:vAlign w:val="center"/>
            <w:hideMark/>
          </w:tcPr>
          <w:p w14:paraId="650F0C41" w14:textId="77777777" w:rsidR="00F22587" w:rsidRPr="000E5DBF" w:rsidRDefault="00F22587" w:rsidP="008A5C11">
            <w:pPr>
              <w:jc w:val="center"/>
              <w:rPr>
                <w:color w:val="000000"/>
                <w:sz w:val="14"/>
                <w:szCs w:val="14"/>
              </w:rPr>
            </w:pPr>
            <w:r w:rsidRPr="000E5DBF">
              <w:rPr>
                <w:color w:val="000000"/>
                <w:sz w:val="14"/>
                <w:szCs w:val="14"/>
              </w:rPr>
              <w:t>17</w:t>
            </w:r>
          </w:p>
        </w:tc>
        <w:tc>
          <w:tcPr>
            <w:tcW w:w="574" w:type="dxa"/>
            <w:tcBorders>
              <w:top w:val="nil"/>
              <w:left w:val="nil"/>
              <w:bottom w:val="single" w:sz="4" w:space="0" w:color="auto"/>
              <w:right w:val="single" w:sz="4" w:space="0" w:color="auto"/>
            </w:tcBorders>
            <w:shd w:val="clear" w:color="000000" w:fill="FFFFFF"/>
            <w:tcMar>
              <w:left w:w="0" w:type="dxa"/>
              <w:right w:w="0" w:type="dxa"/>
            </w:tcMar>
            <w:vAlign w:val="center"/>
            <w:hideMark/>
          </w:tcPr>
          <w:p w14:paraId="0D560F54" w14:textId="77777777" w:rsidR="00F22587" w:rsidRPr="000E5DBF" w:rsidRDefault="00F22587" w:rsidP="008A5C11">
            <w:pPr>
              <w:jc w:val="center"/>
              <w:rPr>
                <w:color w:val="000000"/>
                <w:sz w:val="14"/>
                <w:szCs w:val="14"/>
              </w:rPr>
            </w:pPr>
            <w:r w:rsidRPr="000E5DBF">
              <w:rPr>
                <w:color w:val="000000"/>
                <w:sz w:val="14"/>
                <w:szCs w:val="14"/>
              </w:rPr>
              <w:t>18</w:t>
            </w:r>
          </w:p>
        </w:tc>
        <w:tc>
          <w:tcPr>
            <w:tcW w:w="572" w:type="dxa"/>
            <w:gridSpan w:val="2"/>
            <w:tcBorders>
              <w:top w:val="nil"/>
              <w:left w:val="nil"/>
              <w:bottom w:val="single" w:sz="4" w:space="0" w:color="auto"/>
              <w:right w:val="single" w:sz="4" w:space="0" w:color="auto"/>
            </w:tcBorders>
            <w:shd w:val="clear" w:color="000000" w:fill="FFFFFF"/>
            <w:tcMar>
              <w:left w:w="0" w:type="dxa"/>
              <w:right w:w="0" w:type="dxa"/>
            </w:tcMar>
            <w:vAlign w:val="center"/>
            <w:hideMark/>
          </w:tcPr>
          <w:p w14:paraId="3996CAB4" w14:textId="77777777" w:rsidR="00F22587" w:rsidRPr="000E5DBF" w:rsidRDefault="00F22587" w:rsidP="008A5C11">
            <w:pPr>
              <w:jc w:val="center"/>
              <w:rPr>
                <w:color w:val="000000"/>
                <w:sz w:val="14"/>
                <w:szCs w:val="14"/>
              </w:rPr>
            </w:pPr>
            <w:r w:rsidRPr="000E5DBF">
              <w:rPr>
                <w:color w:val="000000"/>
                <w:sz w:val="14"/>
                <w:szCs w:val="14"/>
              </w:rPr>
              <w:t>19</w:t>
            </w:r>
          </w:p>
        </w:tc>
        <w:tc>
          <w:tcPr>
            <w:tcW w:w="570" w:type="dxa"/>
            <w:tcBorders>
              <w:top w:val="nil"/>
              <w:left w:val="nil"/>
              <w:bottom w:val="single" w:sz="4" w:space="0" w:color="auto"/>
              <w:right w:val="single" w:sz="4" w:space="0" w:color="auto"/>
            </w:tcBorders>
            <w:shd w:val="clear" w:color="000000" w:fill="FFFFFF"/>
            <w:tcMar>
              <w:left w:w="0" w:type="dxa"/>
              <w:right w:w="0" w:type="dxa"/>
            </w:tcMar>
            <w:vAlign w:val="center"/>
            <w:hideMark/>
          </w:tcPr>
          <w:p w14:paraId="68EB3647" w14:textId="77777777" w:rsidR="00F22587" w:rsidRPr="000E5DBF" w:rsidRDefault="00F22587" w:rsidP="008A5C11">
            <w:pPr>
              <w:jc w:val="center"/>
              <w:rPr>
                <w:color w:val="000000"/>
                <w:sz w:val="14"/>
                <w:szCs w:val="14"/>
              </w:rPr>
            </w:pPr>
            <w:r w:rsidRPr="000E5DBF">
              <w:rPr>
                <w:color w:val="000000"/>
                <w:sz w:val="14"/>
                <w:szCs w:val="14"/>
              </w:rPr>
              <w:t>20</w:t>
            </w:r>
          </w:p>
        </w:tc>
        <w:tc>
          <w:tcPr>
            <w:tcW w:w="572" w:type="dxa"/>
            <w:tcBorders>
              <w:top w:val="nil"/>
              <w:left w:val="nil"/>
              <w:bottom w:val="single" w:sz="4" w:space="0" w:color="auto"/>
              <w:right w:val="single" w:sz="4" w:space="0" w:color="auto"/>
            </w:tcBorders>
            <w:shd w:val="clear" w:color="000000" w:fill="FFFFFF"/>
            <w:tcMar>
              <w:left w:w="0" w:type="dxa"/>
              <w:right w:w="0" w:type="dxa"/>
            </w:tcMar>
            <w:vAlign w:val="center"/>
            <w:hideMark/>
          </w:tcPr>
          <w:p w14:paraId="228E284C" w14:textId="77777777" w:rsidR="00F22587" w:rsidRPr="000E5DBF" w:rsidRDefault="00F22587" w:rsidP="008A5C11">
            <w:pPr>
              <w:jc w:val="center"/>
              <w:rPr>
                <w:color w:val="000000"/>
                <w:sz w:val="14"/>
                <w:szCs w:val="14"/>
              </w:rPr>
            </w:pPr>
            <w:r w:rsidRPr="000E5DBF">
              <w:rPr>
                <w:color w:val="000000"/>
                <w:sz w:val="14"/>
                <w:szCs w:val="14"/>
              </w:rPr>
              <w:t>21</w:t>
            </w:r>
          </w:p>
        </w:tc>
        <w:tc>
          <w:tcPr>
            <w:tcW w:w="573" w:type="dxa"/>
            <w:tcBorders>
              <w:top w:val="nil"/>
              <w:left w:val="nil"/>
              <w:bottom w:val="single" w:sz="4" w:space="0" w:color="auto"/>
              <w:right w:val="single" w:sz="4" w:space="0" w:color="auto"/>
            </w:tcBorders>
            <w:shd w:val="clear" w:color="000000" w:fill="FFFFFF"/>
            <w:tcMar>
              <w:left w:w="0" w:type="dxa"/>
              <w:right w:w="0" w:type="dxa"/>
            </w:tcMar>
            <w:vAlign w:val="center"/>
            <w:hideMark/>
          </w:tcPr>
          <w:p w14:paraId="42ACB1AB" w14:textId="77777777" w:rsidR="00F22587" w:rsidRPr="000E5DBF" w:rsidRDefault="00F22587" w:rsidP="008A5C11">
            <w:pPr>
              <w:jc w:val="center"/>
              <w:rPr>
                <w:color w:val="000000"/>
                <w:sz w:val="14"/>
                <w:szCs w:val="14"/>
              </w:rPr>
            </w:pPr>
            <w:r w:rsidRPr="000E5DBF">
              <w:rPr>
                <w:color w:val="000000"/>
                <w:sz w:val="14"/>
                <w:szCs w:val="14"/>
              </w:rPr>
              <w:t>22</w:t>
            </w:r>
          </w:p>
        </w:tc>
        <w:tc>
          <w:tcPr>
            <w:tcW w:w="574" w:type="dxa"/>
            <w:tcBorders>
              <w:top w:val="nil"/>
              <w:left w:val="nil"/>
              <w:bottom w:val="single" w:sz="4" w:space="0" w:color="auto"/>
              <w:right w:val="single" w:sz="4" w:space="0" w:color="auto"/>
            </w:tcBorders>
            <w:shd w:val="clear" w:color="000000" w:fill="FFFFFF"/>
            <w:tcMar>
              <w:left w:w="0" w:type="dxa"/>
              <w:right w:w="0" w:type="dxa"/>
            </w:tcMar>
            <w:vAlign w:val="center"/>
            <w:hideMark/>
          </w:tcPr>
          <w:p w14:paraId="7628C097" w14:textId="77777777" w:rsidR="00F22587" w:rsidRPr="000E5DBF" w:rsidRDefault="00F22587" w:rsidP="008A5C11">
            <w:pPr>
              <w:jc w:val="center"/>
              <w:rPr>
                <w:color w:val="000000"/>
                <w:sz w:val="14"/>
                <w:szCs w:val="14"/>
              </w:rPr>
            </w:pPr>
            <w:r w:rsidRPr="000E5DBF">
              <w:rPr>
                <w:color w:val="000000"/>
                <w:sz w:val="14"/>
                <w:szCs w:val="14"/>
              </w:rPr>
              <w:t>23</w:t>
            </w:r>
          </w:p>
        </w:tc>
        <w:tc>
          <w:tcPr>
            <w:tcW w:w="567" w:type="dxa"/>
            <w:tcBorders>
              <w:top w:val="nil"/>
              <w:left w:val="nil"/>
              <w:bottom w:val="single" w:sz="4" w:space="0" w:color="auto"/>
              <w:right w:val="single" w:sz="4" w:space="0" w:color="auto"/>
            </w:tcBorders>
            <w:shd w:val="clear" w:color="000000" w:fill="FFFFFF"/>
            <w:tcMar>
              <w:left w:w="0" w:type="dxa"/>
              <w:right w:w="0" w:type="dxa"/>
            </w:tcMar>
            <w:vAlign w:val="center"/>
            <w:hideMark/>
          </w:tcPr>
          <w:p w14:paraId="14714809" w14:textId="77777777" w:rsidR="00F22587" w:rsidRPr="000E5DBF" w:rsidRDefault="00F22587" w:rsidP="008A5C11">
            <w:pPr>
              <w:jc w:val="center"/>
              <w:rPr>
                <w:color w:val="000000"/>
                <w:sz w:val="14"/>
                <w:szCs w:val="14"/>
              </w:rPr>
            </w:pPr>
            <w:r w:rsidRPr="000E5DBF">
              <w:rPr>
                <w:color w:val="000000"/>
                <w:sz w:val="14"/>
                <w:szCs w:val="14"/>
              </w:rPr>
              <w:t>24</w:t>
            </w:r>
          </w:p>
        </w:tc>
        <w:tc>
          <w:tcPr>
            <w:tcW w:w="292"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8E53964" w14:textId="77777777" w:rsidR="00F22587" w:rsidRPr="000E5DBF" w:rsidRDefault="00F22587" w:rsidP="008A5C11">
            <w:pPr>
              <w:jc w:val="center"/>
              <w:rPr>
                <w:color w:val="000000"/>
                <w:sz w:val="14"/>
                <w:szCs w:val="14"/>
              </w:rPr>
            </w:pPr>
            <w:r w:rsidRPr="000E5DBF">
              <w:rPr>
                <w:color w:val="000000"/>
                <w:sz w:val="14"/>
                <w:szCs w:val="14"/>
              </w:rPr>
              <w:t>25</w:t>
            </w:r>
          </w:p>
        </w:tc>
        <w:tc>
          <w:tcPr>
            <w:tcW w:w="428"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6CD78D0A" w14:textId="77777777" w:rsidR="00F22587" w:rsidRPr="000E5DBF" w:rsidRDefault="00F22587" w:rsidP="008A5C11">
            <w:pPr>
              <w:jc w:val="center"/>
              <w:rPr>
                <w:color w:val="000000"/>
                <w:sz w:val="14"/>
                <w:szCs w:val="14"/>
              </w:rPr>
            </w:pPr>
            <w:r w:rsidRPr="000E5DBF">
              <w:rPr>
                <w:color w:val="000000"/>
                <w:sz w:val="14"/>
                <w:szCs w:val="14"/>
              </w:rPr>
              <w:t>26</w:t>
            </w:r>
          </w:p>
        </w:tc>
      </w:tr>
      <w:tr w:rsidR="00F22587" w:rsidRPr="000E5DBF" w14:paraId="66044061" w14:textId="77777777" w:rsidTr="008A5C11">
        <w:trPr>
          <w:trHeight w:val="267"/>
        </w:trPr>
        <w:tc>
          <w:tcPr>
            <w:tcW w:w="16142" w:type="dxa"/>
            <w:gridSpan w:val="31"/>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5DC4E7FA" w14:textId="77777777" w:rsidR="00F22587" w:rsidRPr="000E5DBF" w:rsidRDefault="00F22587" w:rsidP="008A5C11">
            <w:pPr>
              <w:rPr>
                <w:color w:val="000000"/>
                <w:sz w:val="14"/>
                <w:szCs w:val="14"/>
              </w:rPr>
            </w:pPr>
            <w:r w:rsidRPr="000E5DBF">
              <w:rPr>
                <w:color w:val="000000"/>
                <w:sz w:val="14"/>
                <w:szCs w:val="14"/>
              </w:rPr>
              <w:t>Группа 1. Строительство, реконструкция или модернизация объектов в целях подключения потребителей:</w:t>
            </w:r>
          </w:p>
        </w:tc>
      </w:tr>
      <w:tr w:rsidR="00F22587" w:rsidRPr="000E5DBF" w14:paraId="029E38AE" w14:textId="77777777" w:rsidTr="008A5C11">
        <w:trPr>
          <w:trHeight w:val="242"/>
        </w:trPr>
        <w:tc>
          <w:tcPr>
            <w:tcW w:w="16142" w:type="dxa"/>
            <w:gridSpan w:val="31"/>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4C26ABEB" w14:textId="77777777" w:rsidR="00F22587" w:rsidRPr="000E5DBF" w:rsidRDefault="00F22587" w:rsidP="008A5C11">
            <w:pPr>
              <w:rPr>
                <w:color w:val="000000"/>
                <w:sz w:val="14"/>
                <w:szCs w:val="14"/>
              </w:rPr>
            </w:pPr>
            <w:r w:rsidRPr="000E5DBF">
              <w:rPr>
                <w:color w:val="000000"/>
                <w:sz w:val="14"/>
                <w:szCs w:val="14"/>
              </w:rPr>
              <w:t>1.1. Строительство новых тепловых сетей в целях подключения потребителей</w:t>
            </w:r>
          </w:p>
        </w:tc>
      </w:tr>
      <w:tr w:rsidR="00F22587" w:rsidRPr="000E5DBF" w14:paraId="60FF02EB" w14:textId="77777777" w:rsidTr="008A5C11">
        <w:trPr>
          <w:trHeight w:val="217"/>
        </w:trPr>
        <w:tc>
          <w:tcPr>
            <w:tcW w:w="16142" w:type="dxa"/>
            <w:gridSpan w:val="31"/>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AF12AAE" w14:textId="77777777" w:rsidR="00F22587" w:rsidRPr="000E5DBF" w:rsidRDefault="00F22587" w:rsidP="008A5C11">
            <w:pPr>
              <w:rPr>
                <w:color w:val="000000"/>
                <w:sz w:val="14"/>
                <w:szCs w:val="14"/>
              </w:rPr>
            </w:pPr>
            <w:r w:rsidRPr="000E5DBF">
              <w:rPr>
                <w:bCs/>
                <w:sz w:val="14"/>
                <w:szCs w:val="14"/>
              </w:rPr>
              <w:t>1</w:t>
            </w:r>
            <w:r w:rsidRPr="000E5DBF">
              <w:rPr>
                <w:color w:val="000000"/>
                <w:sz w:val="14"/>
                <w:szCs w:val="14"/>
              </w:rPr>
              <w:t>.2.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F22587" w:rsidRPr="000E5DBF" w14:paraId="0B1091C5" w14:textId="77777777" w:rsidTr="008A5C11">
        <w:trPr>
          <w:trHeight w:val="181"/>
        </w:trPr>
        <w:tc>
          <w:tcPr>
            <w:tcW w:w="16142" w:type="dxa"/>
            <w:gridSpan w:val="31"/>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21FDA90" w14:textId="77777777" w:rsidR="00F22587" w:rsidRPr="000E5DBF" w:rsidRDefault="00F22587" w:rsidP="008A5C11">
            <w:pPr>
              <w:rPr>
                <w:bCs/>
                <w:sz w:val="14"/>
                <w:szCs w:val="14"/>
              </w:rPr>
            </w:pPr>
            <w:r w:rsidRPr="000E5DBF">
              <w:rPr>
                <w:bCs/>
                <w:sz w:val="14"/>
                <w:szCs w:val="14"/>
              </w:rPr>
              <w:t>1.3. Увеличение пропускной способности существующих тепловых сетей в целях подключения потребителей</w:t>
            </w:r>
          </w:p>
        </w:tc>
      </w:tr>
      <w:tr w:rsidR="00F22587" w:rsidRPr="000E5DBF" w14:paraId="5768AB7D" w14:textId="77777777" w:rsidTr="008A5C11">
        <w:trPr>
          <w:trHeight w:val="212"/>
        </w:trPr>
        <w:tc>
          <w:tcPr>
            <w:tcW w:w="16142" w:type="dxa"/>
            <w:gridSpan w:val="31"/>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5B4E2AC" w14:textId="77777777" w:rsidR="00F22587" w:rsidRPr="000E5DBF" w:rsidRDefault="00F22587" w:rsidP="008A5C11">
            <w:pPr>
              <w:rPr>
                <w:bCs/>
                <w:sz w:val="14"/>
                <w:szCs w:val="14"/>
              </w:rPr>
            </w:pPr>
            <w:r w:rsidRPr="000E5DBF">
              <w:rPr>
                <w:bCs/>
                <w:sz w:val="14"/>
                <w:szCs w:val="14"/>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F22587" w:rsidRPr="000E5DBF" w14:paraId="2BACCE88" w14:textId="77777777" w:rsidTr="008A5C11">
        <w:trPr>
          <w:gridAfter w:val="1"/>
          <w:wAfter w:w="11" w:type="dxa"/>
          <w:cantSplit/>
          <w:trHeight w:val="488"/>
        </w:trPr>
        <w:tc>
          <w:tcPr>
            <w:tcW w:w="411"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6587AD6E" w14:textId="77777777" w:rsidR="00F22587" w:rsidRPr="000E5DBF" w:rsidRDefault="00F22587" w:rsidP="008A5C11">
            <w:pPr>
              <w:jc w:val="center"/>
              <w:rPr>
                <w:color w:val="000000"/>
                <w:sz w:val="14"/>
                <w:szCs w:val="14"/>
              </w:rPr>
            </w:pPr>
            <w:r w:rsidRPr="000E5DBF">
              <w:rPr>
                <w:color w:val="000000"/>
                <w:sz w:val="14"/>
                <w:szCs w:val="14"/>
              </w:rPr>
              <w:t> 1.4.1.</w:t>
            </w:r>
          </w:p>
        </w:tc>
        <w:tc>
          <w:tcPr>
            <w:tcW w:w="1447" w:type="dxa"/>
            <w:tcBorders>
              <w:top w:val="nil"/>
              <w:left w:val="nil"/>
              <w:bottom w:val="single" w:sz="4" w:space="0" w:color="auto"/>
              <w:right w:val="single" w:sz="4" w:space="0" w:color="auto"/>
            </w:tcBorders>
            <w:shd w:val="clear" w:color="000000" w:fill="FFFFFF"/>
            <w:tcMar>
              <w:left w:w="0" w:type="dxa"/>
              <w:right w:w="0" w:type="dxa"/>
            </w:tcMar>
            <w:vAlign w:val="center"/>
            <w:hideMark/>
          </w:tcPr>
          <w:p w14:paraId="211538B1" w14:textId="77777777" w:rsidR="00F22587" w:rsidRPr="000E5DBF" w:rsidRDefault="00F22587" w:rsidP="008A5C11">
            <w:pPr>
              <w:jc w:val="center"/>
              <w:rPr>
                <w:color w:val="000000"/>
                <w:sz w:val="14"/>
                <w:szCs w:val="14"/>
              </w:rPr>
            </w:pPr>
            <w:r w:rsidRPr="000E5DBF">
              <w:rPr>
                <w:color w:val="000000"/>
                <w:sz w:val="14"/>
                <w:szCs w:val="14"/>
              </w:rPr>
              <w:t>Замена теплообменного оборудования бойлерной №1</w:t>
            </w:r>
          </w:p>
        </w:tc>
        <w:tc>
          <w:tcPr>
            <w:tcW w:w="980"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62CAF13" w14:textId="77777777" w:rsidR="00F22587" w:rsidRPr="000E5DBF" w:rsidRDefault="00F22587" w:rsidP="008A5C11">
            <w:pPr>
              <w:jc w:val="center"/>
              <w:rPr>
                <w:color w:val="000000"/>
                <w:sz w:val="14"/>
                <w:szCs w:val="14"/>
              </w:rPr>
            </w:pPr>
            <w:r w:rsidRPr="000E5DBF">
              <w:rPr>
                <w:color w:val="000000"/>
                <w:sz w:val="14"/>
                <w:szCs w:val="14"/>
              </w:rPr>
              <w:t>Обеспечение надежности тепло- водоснабжения</w:t>
            </w:r>
          </w:p>
        </w:tc>
        <w:tc>
          <w:tcPr>
            <w:tcW w:w="1002"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B453E66" w14:textId="77777777" w:rsidR="00F22587" w:rsidRPr="000E5DBF" w:rsidRDefault="00F22587" w:rsidP="008A5C11">
            <w:pPr>
              <w:jc w:val="center"/>
              <w:rPr>
                <w:color w:val="000000"/>
                <w:sz w:val="14"/>
                <w:szCs w:val="14"/>
              </w:rPr>
            </w:pPr>
            <w:r w:rsidRPr="000E5DBF">
              <w:rPr>
                <w:color w:val="000000"/>
                <w:sz w:val="14"/>
                <w:szCs w:val="14"/>
              </w:rPr>
              <w:t>ул. Кирова, 8</w:t>
            </w:r>
          </w:p>
        </w:tc>
        <w:tc>
          <w:tcPr>
            <w:tcW w:w="1000" w:type="dxa"/>
            <w:tcBorders>
              <w:top w:val="nil"/>
              <w:left w:val="nil"/>
              <w:bottom w:val="single" w:sz="4" w:space="0" w:color="auto"/>
              <w:right w:val="single" w:sz="4" w:space="0" w:color="auto"/>
            </w:tcBorders>
            <w:shd w:val="clear" w:color="auto" w:fill="auto"/>
            <w:tcMar>
              <w:left w:w="0" w:type="dxa"/>
              <w:right w:w="0" w:type="dxa"/>
            </w:tcMar>
            <w:vAlign w:val="center"/>
          </w:tcPr>
          <w:p w14:paraId="6A77A85E" w14:textId="77777777" w:rsidR="00F22587" w:rsidRPr="000E5DBF" w:rsidRDefault="00F22587" w:rsidP="008A5C11">
            <w:pPr>
              <w:jc w:val="center"/>
              <w:rPr>
                <w:color w:val="000000"/>
                <w:sz w:val="14"/>
                <w:szCs w:val="14"/>
              </w:rPr>
            </w:pPr>
            <w:r w:rsidRPr="000E5DBF">
              <w:rPr>
                <w:color w:val="000000"/>
                <w:sz w:val="14"/>
                <w:szCs w:val="14"/>
              </w:rPr>
              <w:t>мощность</w:t>
            </w:r>
          </w:p>
        </w:tc>
        <w:tc>
          <w:tcPr>
            <w:tcW w:w="429" w:type="dxa"/>
            <w:tcBorders>
              <w:top w:val="nil"/>
              <w:left w:val="nil"/>
              <w:bottom w:val="single" w:sz="4" w:space="0" w:color="auto"/>
              <w:right w:val="single" w:sz="4" w:space="0" w:color="auto"/>
            </w:tcBorders>
            <w:shd w:val="clear" w:color="auto" w:fill="auto"/>
            <w:tcMar>
              <w:left w:w="0" w:type="dxa"/>
              <w:right w:w="0" w:type="dxa"/>
            </w:tcMar>
            <w:vAlign w:val="center"/>
          </w:tcPr>
          <w:p w14:paraId="0B830BC6" w14:textId="77777777" w:rsidR="00F22587" w:rsidRPr="000E5DBF" w:rsidRDefault="00F22587" w:rsidP="008A5C11">
            <w:pPr>
              <w:jc w:val="center"/>
              <w:rPr>
                <w:color w:val="000000"/>
                <w:sz w:val="14"/>
                <w:szCs w:val="14"/>
              </w:rPr>
            </w:pPr>
            <w:r w:rsidRPr="000E5DBF">
              <w:rPr>
                <w:color w:val="000000"/>
                <w:sz w:val="14"/>
                <w:szCs w:val="14"/>
              </w:rPr>
              <w:t>Гкал/ч</w:t>
            </w:r>
          </w:p>
        </w:tc>
        <w:tc>
          <w:tcPr>
            <w:tcW w:w="719" w:type="dxa"/>
            <w:tcBorders>
              <w:top w:val="nil"/>
              <w:left w:val="nil"/>
              <w:bottom w:val="single" w:sz="4" w:space="0" w:color="auto"/>
              <w:right w:val="single" w:sz="4" w:space="0" w:color="auto"/>
            </w:tcBorders>
            <w:shd w:val="clear" w:color="auto" w:fill="auto"/>
            <w:tcMar>
              <w:left w:w="0" w:type="dxa"/>
              <w:right w:w="0" w:type="dxa"/>
            </w:tcMar>
            <w:vAlign w:val="center"/>
          </w:tcPr>
          <w:p w14:paraId="3D675471" w14:textId="77777777" w:rsidR="00F22587" w:rsidRPr="000E5DBF" w:rsidRDefault="00F22587" w:rsidP="008A5C11">
            <w:pPr>
              <w:jc w:val="center"/>
              <w:rPr>
                <w:color w:val="000000"/>
                <w:sz w:val="14"/>
                <w:szCs w:val="14"/>
              </w:rPr>
            </w:pPr>
            <w:r w:rsidRPr="000E5DBF">
              <w:rPr>
                <w:color w:val="000000"/>
                <w:sz w:val="14"/>
                <w:szCs w:val="14"/>
              </w:rPr>
              <w:t>2,2</w:t>
            </w:r>
          </w:p>
        </w:tc>
        <w:tc>
          <w:tcPr>
            <w:tcW w:w="723" w:type="dxa"/>
            <w:tcBorders>
              <w:top w:val="nil"/>
              <w:left w:val="nil"/>
              <w:bottom w:val="single" w:sz="4" w:space="0" w:color="auto"/>
              <w:right w:val="single" w:sz="4" w:space="0" w:color="auto"/>
            </w:tcBorders>
            <w:shd w:val="clear" w:color="auto" w:fill="auto"/>
            <w:tcMar>
              <w:left w:w="0" w:type="dxa"/>
              <w:right w:w="0" w:type="dxa"/>
            </w:tcMar>
            <w:vAlign w:val="center"/>
          </w:tcPr>
          <w:p w14:paraId="401F3EA7" w14:textId="77777777" w:rsidR="00F22587" w:rsidRPr="000E5DBF" w:rsidRDefault="00F22587" w:rsidP="008A5C11">
            <w:pPr>
              <w:jc w:val="center"/>
              <w:rPr>
                <w:color w:val="000000"/>
                <w:sz w:val="14"/>
                <w:szCs w:val="14"/>
              </w:rPr>
            </w:pPr>
            <w:r w:rsidRPr="000E5DBF">
              <w:rPr>
                <w:color w:val="000000"/>
                <w:sz w:val="14"/>
                <w:szCs w:val="14"/>
              </w:rPr>
              <w:t>4</w:t>
            </w:r>
          </w:p>
        </w:tc>
        <w:tc>
          <w:tcPr>
            <w:tcW w:w="428"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09B37113" w14:textId="77777777" w:rsidR="00F22587" w:rsidRPr="000E5DBF" w:rsidRDefault="00F22587" w:rsidP="008A5C11">
            <w:pPr>
              <w:jc w:val="center"/>
              <w:rPr>
                <w:color w:val="000000"/>
                <w:sz w:val="14"/>
                <w:szCs w:val="14"/>
              </w:rPr>
            </w:pPr>
            <w:r w:rsidRPr="000E5DBF">
              <w:rPr>
                <w:color w:val="000000"/>
                <w:sz w:val="14"/>
                <w:szCs w:val="14"/>
              </w:rPr>
              <w:t>2020</w:t>
            </w:r>
          </w:p>
        </w:tc>
        <w:tc>
          <w:tcPr>
            <w:tcW w:w="416"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405A8AA" w14:textId="77777777" w:rsidR="00F22587" w:rsidRPr="000E5DBF" w:rsidRDefault="00F22587" w:rsidP="008A5C11">
            <w:pPr>
              <w:jc w:val="center"/>
              <w:rPr>
                <w:color w:val="000000"/>
                <w:sz w:val="14"/>
                <w:szCs w:val="14"/>
              </w:rPr>
            </w:pPr>
            <w:r w:rsidRPr="000E5DBF">
              <w:rPr>
                <w:color w:val="000000"/>
                <w:sz w:val="14"/>
                <w:szCs w:val="14"/>
              </w:rPr>
              <w:t>2021</w:t>
            </w:r>
          </w:p>
        </w:tc>
        <w:tc>
          <w:tcPr>
            <w:tcW w:w="573"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8245588" w14:textId="77777777" w:rsidR="00F22587" w:rsidRPr="000E5DBF" w:rsidRDefault="00F22587" w:rsidP="008A5C11">
            <w:pPr>
              <w:jc w:val="center"/>
              <w:rPr>
                <w:color w:val="000000"/>
                <w:sz w:val="14"/>
                <w:szCs w:val="14"/>
              </w:rPr>
            </w:pPr>
            <w:r w:rsidRPr="000E5DBF">
              <w:rPr>
                <w:color w:val="000000"/>
                <w:sz w:val="14"/>
                <w:szCs w:val="14"/>
              </w:rPr>
              <w:t>1500,00</w:t>
            </w:r>
          </w:p>
        </w:tc>
        <w:tc>
          <w:tcPr>
            <w:tcW w:w="447"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14F1F8BB" w14:textId="77777777" w:rsidR="00F22587" w:rsidRPr="000E5DBF" w:rsidRDefault="00F22587" w:rsidP="008A5C11">
            <w:pPr>
              <w:jc w:val="center"/>
              <w:rPr>
                <w:color w:val="000000"/>
                <w:sz w:val="14"/>
                <w:szCs w:val="14"/>
              </w:rPr>
            </w:pPr>
            <w:r w:rsidRPr="000E5DBF">
              <w:rPr>
                <w:color w:val="000000"/>
                <w:sz w:val="14"/>
                <w:szCs w:val="14"/>
              </w:rPr>
              <w:t>0,00</w:t>
            </w:r>
          </w:p>
        </w:tc>
        <w:tc>
          <w:tcPr>
            <w:tcW w:w="559" w:type="dxa"/>
            <w:tcBorders>
              <w:top w:val="nil"/>
              <w:left w:val="nil"/>
              <w:bottom w:val="single" w:sz="4" w:space="0" w:color="auto"/>
              <w:right w:val="single" w:sz="4" w:space="0" w:color="auto"/>
            </w:tcBorders>
            <w:shd w:val="clear" w:color="auto" w:fill="auto"/>
            <w:tcMar>
              <w:left w:w="0" w:type="dxa"/>
              <w:right w:w="0" w:type="dxa"/>
            </w:tcMar>
            <w:vAlign w:val="center"/>
          </w:tcPr>
          <w:p w14:paraId="21DFEBDC" w14:textId="77777777" w:rsidR="00F22587" w:rsidRPr="000E5DBF" w:rsidRDefault="00F22587" w:rsidP="008A5C11">
            <w:pPr>
              <w:jc w:val="center"/>
              <w:rPr>
                <w:color w:val="000000"/>
                <w:sz w:val="14"/>
                <w:szCs w:val="14"/>
              </w:rPr>
            </w:pPr>
            <w:r w:rsidRPr="000E5DBF">
              <w:rPr>
                <w:color w:val="000000"/>
                <w:sz w:val="14"/>
                <w:szCs w:val="14"/>
              </w:rPr>
              <w:t>0,00</w:t>
            </w:r>
          </w:p>
        </w:tc>
        <w:tc>
          <w:tcPr>
            <w:tcW w:w="572" w:type="dxa"/>
            <w:tcBorders>
              <w:top w:val="nil"/>
              <w:left w:val="nil"/>
              <w:bottom w:val="single" w:sz="4" w:space="0" w:color="auto"/>
              <w:right w:val="single" w:sz="4" w:space="0" w:color="auto"/>
            </w:tcBorders>
            <w:shd w:val="clear" w:color="auto" w:fill="auto"/>
            <w:tcMar>
              <w:left w:w="0" w:type="dxa"/>
              <w:right w:w="0" w:type="dxa"/>
            </w:tcMar>
            <w:vAlign w:val="center"/>
          </w:tcPr>
          <w:p w14:paraId="26682D2B" w14:textId="77777777" w:rsidR="00F22587" w:rsidRPr="000E5DBF" w:rsidRDefault="00F22587" w:rsidP="008A5C11">
            <w:pPr>
              <w:jc w:val="center"/>
              <w:rPr>
                <w:color w:val="000000"/>
                <w:sz w:val="14"/>
                <w:szCs w:val="14"/>
              </w:rPr>
            </w:pPr>
            <w:r w:rsidRPr="000E5DBF">
              <w:rPr>
                <w:color w:val="000000"/>
                <w:sz w:val="14"/>
                <w:szCs w:val="14"/>
              </w:rPr>
              <w:t>1500,00</w:t>
            </w:r>
          </w:p>
        </w:tc>
        <w:tc>
          <w:tcPr>
            <w:tcW w:w="572" w:type="dxa"/>
            <w:tcBorders>
              <w:top w:val="nil"/>
              <w:left w:val="nil"/>
              <w:bottom w:val="single" w:sz="4" w:space="0" w:color="auto"/>
              <w:right w:val="single" w:sz="4" w:space="0" w:color="auto"/>
            </w:tcBorders>
            <w:shd w:val="clear" w:color="auto" w:fill="auto"/>
            <w:tcMar>
              <w:left w:w="0" w:type="dxa"/>
              <w:right w:w="0" w:type="dxa"/>
            </w:tcMar>
            <w:vAlign w:val="center"/>
          </w:tcPr>
          <w:p w14:paraId="059980B9" w14:textId="77777777" w:rsidR="00F22587" w:rsidRPr="000E5DBF" w:rsidRDefault="00F22587" w:rsidP="008A5C11">
            <w:pPr>
              <w:jc w:val="center"/>
              <w:rPr>
                <w:color w:val="000000"/>
                <w:sz w:val="14"/>
                <w:szCs w:val="14"/>
              </w:rPr>
            </w:pPr>
            <w:r w:rsidRPr="000E5DBF">
              <w:rPr>
                <w:color w:val="000000"/>
                <w:sz w:val="14"/>
                <w:szCs w:val="14"/>
              </w:rPr>
              <w:t>0,00</w:t>
            </w:r>
          </w:p>
        </w:tc>
        <w:tc>
          <w:tcPr>
            <w:tcW w:w="566" w:type="dxa"/>
            <w:tcBorders>
              <w:top w:val="nil"/>
              <w:left w:val="nil"/>
              <w:bottom w:val="single" w:sz="4" w:space="0" w:color="auto"/>
              <w:right w:val="single" w:sz="4" w:space="0" w:color="auto"/>
            </w:tcBorders>
            <w:shd w:val="clear" w:color="auto" w:fill="auto"/>
            <w:tcMar>
              <w:left w:w="0" w:type="dxa"/>
              <w:right w:w="0" w:type="dxa"/>
            </w:tcMar>
            <w:vAlign w:val="center"/>
          </w:tcPr>
          <w:p w14:paraId="6CEBF23A" w14:textId="77777777" w:rsidR="00F22587" w:rsidRPr="000E5DBF" w:rsidRDefault="00F22587" w:rsidP="008A5C11">
            <w:pPr>
              <w:jc w:val="center"/>
              <w:rPr>
                <w:color w:val="000000"/>
                <w:sz w:val="14"/>
                <w:szCs w:val="14"/>
              </w:rPr>
            </w:pPr>
            <w:r w:rsidRPr="000E5DBF">
              <w:rPr>
                <w:color w:val="000000"/>
                <w:sz w:val="14"/>
                <w:szCs w:val="14"/>
              </w:rPr>
              <w:t>0,00</w:t>
            </w:r>
          </w:p>
        </w:tc>
        <w:tc>
          <w:tcPr>
            <w:tcW w:w="565" w:type="dxa"/>
            <w:tcBorders>
              <w:top w:val="nil"/>
              <w:left w:val="nil"/>
              <w:bottom w:val="single" w:sz="4" w:space="0" w:color="auto"/>
              <w:right w:val="single" w:sz="4" w:space="0" w:color="auto"/>
            </w:tcBorders>
            <w:shd w:val="clear" w:color="auto" w:fill="auto"/>
            <w:tcMar>
              <w:left w:w="0" w:type="dxa"/>
              <w:right w:w="0" w:type="dxa"/>
            </w:tcMar>
            <w:vAlign w:val="center"/>
          </w:tcPr>
          <w:p w14:paraId="32B87DAD" w14:textId="77777777" w:rsidR="00F22587" w:rsidRPr="000E5DBF" w:rsidRDefault="00F22587" w:rsidP="008A5C11">
            <w:pPr>
              <w:jc w:val="center"/>
              <w:rPr>
                <w:color w:val="000000"/>
                <w:sz w:val="14"/>
                <w:szCs w:val="14"/>
              </w:rPr>
            </w:pPr>
            <w:r w:rsidRPr="000E5DBF">
              <w:rPr>
                <w:color w:val="000000"/>
                <w:sz w:val="14"/>
                <w:szCs w:val="14"/>
              </w:rPr>
              <w:t>0,00</w:t>
            </w:r>
          </w:p>
        </w:tc>
        <w:tc>
          <w:tcPr>
            <w:tcW w:w="574" w:type="dxa"/>
            <w:tcBorders>
              <w:top w:val="nil"/>
              <w:left w:val="nil"/>
              <w:bottom w:val="single" w:sz="4" w:space="0" w:color="auto"/>
              <w:right w:val="single" w:sz="4" w:space="0" w:color="auto"/>
            </w:tcBorders>
            <w:shd w:val="clear" w:color="000000" w:fill="FFFFFF"/>
            <w:noWrap/>
            <w:tcMar>
              <w:left w:w="0" w:type="dxa"/>
              <w:right w:w="0" w:type="dxa"/>
            </w:tcMar>
            <w:vAlign w:val="center"/>
          </w:tcPr>
          <w:p w14:paraId="6ABA312F" w14:textId="77777777" w:rsidR="00F22587" w:rsidRPr="000E5DBF" w:rsidRDefault="00F22587" w:rsidP="008A5C11">
            <w:pPr>
              <w:jc w:val="center"/>
              <w:rPr>
                <w:color w:val="000000"/>
                <w:sz w:val="14"/>
                <w:szCs w:val="14"/>
              </w:rPr>
            </w:pPr>
            <w:r w:rsidRPr="000E5DBF">
              <w:rPr>
                <w:color w:val="000000"/>
                <w:sz w:val="14"/>
                <w:szCs w:val="14"/>
              </w:rPr>
              <w:t>0,00</w:t>
            </w:r>
          </w:p>
        </w:tc>
        <w:tc>
          <w:tcPr>
            <w:tcW w:w="572" w:type="dxa"/>
            <w:gridSpan w:val="2"/>
            <w:tcBorders>
              <w:top w:val="nil"/>
              <w:left w:val="nil"/>
              <w:bottom w:val="single" w:sz="4" w:space="0" w:color="auto"/>
              <w:right w:val="single" w:sz="4" w:space="0" w:color="auto"/>
            </w:tcBorders>
            <w:shd w:val="clear" w:color="auto" w:fill="auto"/>
            <w:tcMar>
              <w:left w:w="0" w:type="dxa"/>
              <w:right w:w="0" w:type="dxa"/>
            </w:tcMar>
            <w:vAlign w:val="center"/>
          </w:tcPr>
          <w:p w14:paraId="03FDC207" w14:textId="77777777" w:rsidR="00F22587" w:rsidRPr="000E5DBF" w:rsidRDefault="00F22587" w:rsidP="008A5C11">
            <w:pPr>
              <w:jc w:val="center"/>
              <w:rPr>
                <w:color w:val="000000"/>
                <w:sz w:val="14"/>
                <w:szCs w:val="14"/>
              </w:rPr>
            </w:pPr>
            <w:r w:rsidRPr="000E5DBF">
              <w:rPr>
                <w:color w:val="000000"/>
                <w:sz w:val="14"/>
                <w:szCs w:val="14"/>
              </w:rPr>
              <w:t>0,00</w:t>
            </w:r>
          </w:p>
        </w:tc>
        <w:tc>
          <w:tcPr>
            <w:tcW w:w="570" w:type="dxa"/>
            <w:tcBorders>
              <w:top w:val="nil"/>
              <w:left w:val="nil"/>
              <w:bottom w:val="single" w:sz="4" w:space="0" w:color="auto"/>
              <w:right w:val="single" w:sz="4" w:space="0" w:color="auto"/>
            </w:tcBorders>
            <w:shd w:val="clear" w:color="auto" w:fill="auto"/>
            <w:tcMar>
              <w:left w:w="0" w:type="dxa"/>
              <w:right w:w="0" w:type="dxa"/>
            </w:tcMar>
            <w:vAlign w:val="center"/>
          </w:tcPr>
          <w:p w14:paraId="390933E0" w14:textId="77777777" w:rsidR="00F22587" w:rsidRPr="000E5DBF" w:rsidRDefault="00F22587" w:rsidP="008A5C11">
            <w:pPr>
              <w:jc w:val="center"/>
              <w:rPr>
                <w:color w:val="000000"/>
                <w:sz w:val="14"/>
                <w:szCs w:val="14"/>
              </w:rPr>
            </w:pPr>
            <w:r w:rsidRPr="000E5DBF">
              <w:rPr>
                <w:color w:val="000000"/>
                <w:sz w:val="14"/>
                <w:szCs w:val="14"/>
              </w:rPr>
              <w:t>0,00</w:t>
            </w:r>
          </w:p>
        </w:tc>
        <w:tc>
          <w:tcPr>
            <w:tcW w:w="572" w:type="dxa"/>
            <w:tcBorders>
              <w:top w:val="nil"/>
              <w:left w:val="nil"/>
              <w:bottom w:val="single" w:sz="4" w:space="0" w:color="auto"/>
              <w:right w:val="single" w:sz="4" w:space="0" w:color="auto"/>
            </w:tcBorders>
            <w:shd w:val="clear" w:color="auto" w:fill="auto"/>
            <w:tcMar>
              <w:left w:w="0" w:type="dxa"/>
              <w:right w:w="0" w:type="dxa"/>
            </w:tcMar>
            <w:vAlign w:val="center"/>
          </w:tcPr>
          <w:p w14:paraId="3117EE18" w14:textId="77777777" w:rsidR="00F22587" w:rsidRPr="000E5DBF" w:rsidRDefault="00F22587" w:rsidP="008A5C11">
            <w:pPr>
              <w:jc w:val="center"/>
              <w:rPr>
                <w:color w:val="000000"/>
                <w:sz w:val="14"/>
                <w:szCs w:val="14"/>
              </w:rPr>
            </w:pPr>
            <w:r w:rsidRPr="000E5DBF">
              <w:rPr>
                <w:color w:val="000000"/>
                <w:sz w:val="14"/>
                <w:szCs w:val="14"/>
              </w:rPr>
              <w:t>0,00</w:t>
            </w:r>
          </w:p>
        </w:tc>
        <w:tc>
          <w:tcPr>
            <w:tcW w:w="573" w:type="dxa"/>
            <w:tcBorders>
              <w:top w:val="nil"/>
              <w:left w:val="nil"/>
              <w:bottom w:val="single" w:sz="4" w:space="0" w:color="auto"/>
              <w:right w:val="single" w:sz="4" w:space="0" w:color="auto"/>
            </w:tcBorders>
            <w:shd w:val="clear" w:color="auto" w:fill="auto"/>
            <w:tcMar>
              <w:left w:w="0" w:type="dxa"/>
              <w:right w:w="0" w:type="dxa"/>
            </w:tcMar>
            <w:vAlign w:val="center"/>
          </w:tcPr>
          <w:p w14:paraId="7E15E0C3" w14:textId="77777777" w:rsidR="00F22587" w:rsidRPr="000E5DBF" w:rsidRDefault="00F22587" w:rsidP="008A5C11">
            <w:pPr>
              <w:jc w:val="center"/>
              <w:rPr>
                <w:color w:val="000000"/>
                <w:sz w:val="14"/>
                <w:szCs w:val="14"/>
              </w:rPr>
            </w:pPr>
            <w:r w:rsidRPr="000E5DBF">
              <w:rPr>
                <w:color w:val="000000"/>
                <w:sz w:val="14"/>
                <w:szCs w:val="14"/>
              </w:rPr>
              <w:t>0,00</w:t>
            </w:r>
          </w:p>
        </w:tc>
        <w:tc>
          <w:tcPr>
            <w:tcW w:w="574" w:type="dxa"/>
            <w:tcBorders>
              <w:top w:val="nil"/>
              <w:left w:val="nil"/>
              <w:bottom w:val="single" w:sz="4" w:space="0" w:color="auto"/>
              <w:right w:val="single" w:sz="4" w:space="0" w:color="auto"/>
            </w:tcBorders>
            <w:shd w:val="clear" w:color="auto" w:fill="auto"/>
            <w:tcMar>
              <w:left w:w="0" w:type="dxa"/>
              <w:right w:w="0" w:type="dxa"/>
            </w:tcMar>
            <w:vAlign w:val="center"/>
          </w:tcPr>
          <w:p w14:paraId="285C9513" w14:textId="77777777" w:rsidR="00F22587" w:rsidRPr="000E5DBF" w:rsidRDefault="00F22587" w:rsidP="008A5C11">
            <w:pPr>
              <w:jc w:val="center"/>
              <w:rPr>
                <w:color w:val="000000"/>
                <w:sz w:val="14"/>
                <w:szCs w:val="14"/>
              </w:rPr>
            </w:pPr>
            <w:r w:rsidRPr="000E5DBF">
              <w:rPr>
                <w:color w:val="000000"/>
                <w:sz w:val="14"/>
                <w:szCs w:val="14"/>
              </w:rPr>
              <w:t>0,00</w:t>
            </w:r>
          </w:p>
        </w:tc>
        <w:tc>
          <w:tcPr>
            <w:tcW w:w="567"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2CFB3AD" w14:textId="77777777" w:rsidR="00F22587" w:rsidRPr="000E5DBF" w:rsidRDefault="00F22587" w:rsidP="008A5C11">
            <w:pPr>
              <w:jc w:val="center"/>
              <w:rPr>
                <w:color w:val="000000"/>
                <w:sz w:val="14"/>
                <w:szCs w:val="14"/>
              </w:rPr>
            </w:pPr>
            <w:r w:rsidRPr="000E5DBF">
              <w:rPr>
                <w:color w:val="000000"/>
                <w:sz w:val="14"/>
                <w:szCs w:val="14"/>
              </w:rPr>
              <w:t>0,00</w:t>
            </w:r>
          </w:p>
        </w:tc>
        <w:tc>
          <w:tcPr>
            <w:tcW w:w="292"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52CA90B" w14:textId="77777777" w:rsidR="00F22587" w:rsidRPr="000E5DBF" w:rsidRDefault="00F22587" w:rsidP="008A5C11">
            <w:pPr>
              <w:jc w:val="center"/>
              <w:rPr>
                <w:color w:val="000000"/>
                <w:sz w:val="14"/>
                <w:szCs w:val="14"/>
              </w:rPr>
            </w:pPr>
            <w:r w:rsidRPr="000E5DBF">
              <w:rPr>
                <w:color w:val="000000"/>
                <w:sz w:val="14"/>
                <w:szCs w:val="14"/>
              </w:rPr>
              <w:t>0,00</w:t>
            </w:r>
          </w:p>
        </w:tc>
        <w:tc>
          <w:tcPr>
            <w:tcW w:w="428"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4D5E09DA" w14:textId="77777777" w:rsidR="00F22587" w:rsidRPr="000E5DBF" w:rsidRDefault="00F22587" w:rsidP="008A5C11">
            <w:pPr>
              <w:jc w:val="center"/>
              <w:rPr>
                <w:color w:val="000000"/>
                <w:sz w:val="14"/>
                <w:szCs w:val="14"/>
              </w:rPr>
            </w:pPr>
            <w:r w:rsidRPr="000E5DBF">
              <w:rPr>
                <w:color w:val="000000"/>
                <w:sz w:val="14"/>
                <w:szCs w:val="14"/>
              </w:rPr>
              <w:t>0,00</w:t>
            </w:r>
          </w:p>
        </w:tc>
      </w:tr>
      <w:tr w:rsidR="00F22587" w:rsidRPr="000E5DBF" w14:paraId="77E98002" w14:textId="77777777" w:rsidTr="008A5C11">
        <w:trPr>
          <w:cantSplit/>
          <w:trHeight w:val="135"/>
        </w:trPr>
        <w:tc>
          <w:tcPr>
            <w:tcW w:w="7561" w:type="dxa"/>
            <w:gridSpan w:val="11"/>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1F7C052F" w14:textId="77777777" w:rsidR="00F22587" w:rsidRPr="000E5DBF" w:rsidRDefault="00F22587" w:rsidP="008A5C11">
            <w:pPr>
              <w:rPr>
                <w:color w:val="0000FF"/>
                <w:sz w:val="14"/>
                <w:szCs w:val="14"/>
              </w:rPr>
            </w:pPr>
            <w:r w:rsidRPr="000E5DBF">
              <w:rPr>
                <w:sz w:val="14"/>
                <w:szCs w:val="14"/>
              </w:rPr>
              <w:t>Всего по группе 1.</w:t>
            </w:r>
          </w:p>
        </w:tc>
        <w:tc>
          <w:tcPr>
            <w:tcW w:w="573"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3DFA461" w14:textId="77777777" w:rsidR="00F22587" w:rsidRPr="000E5DBF" w:rsidRDefault="00F22587" w:rsidP="008A5C11">
            <w:pPr>
              <w:jc w:val="center"/>
              <w:rPr>
                <w:color w:val="000000"/>
                <w:sz w:val="14"/>
                <w:szCs w:val="14"/>
              </w:rPr>
            </w:pPr>
            <w:r w:rsidRPr="000E5DBF">
              <w:rPr>
                <w:color w:val="000000"/>
                <w:sz w:val="14"/>
                <w:szCs w:val="14"/>
              </w:rPr>
              <w:t>1500,00</w:t>
            </w:r>
          </w:p>
        </w:tc>
        <w:tc>
          <w:tcPr>
            <w:tcW w:w="447"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65B201F1" w14:textId="77777777" w:rsidR="00F22587" w:rsidRPr="000E5DBF" w:rsidRDefault="00F22587" w:rsidP="008A5C11">
            <w:pPr>
              <w:jc w:val="center"/>
              <w:rPr>
                <w:color w:val="000000"/>
                <w:sz w:val="14"/>
                <w:szCs w:val="14"/>
              </w:rPr>
            </w:pPr>
            <w:r w:rsidRPr="000E5DBF">
              <w:rPr>
                <w:color w:val="000000"/>
                <w:sz w:val="14"/>
                <w:szCs w:val="14"/>
              </w:rPr>
              <w:t>0,00</w:t>
            </w:r>
          </w:p>
        </w:tc>
        <w:tc>
          <w:tcPr>
            <w:tcW w:w="559"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901592F" w14:textId="77777777" w:rsidR="00F22587" w:rsidRPr="000E5DBF" w:rsidRDefault="00F22587" w:rsidP="008A5C11">
            <w:pPr>
              <w:jc w:val="center"/>
              <w:rPr>
                <w:color w:val="000000"/>
                <w:sz w:val="14"/>
                <w:szCs w:val="14"/>
              </w:rPr>
            </w:pPr>
            <w:r w:rsidRPr="000E5DBF">
              <w:rPr>
                <w:color w:val="000000"/>
                <w:sz w:val="14"/>
                <w:szCs w:val="14"/>
              </w:rPr>
              <w:t>0,00</w:t>
            </w:r>
          </w:p>
        </w:tc>
        <w:tc>
          <w:tcPr>
            <w:tcW w:w="572"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3C749B9" w14:textId="77777777" w:rsidR="00F22587" w:rsidRPr="000E5DBF" w:rsidRDefault="00F22587" w:rsidP="008A5C11">
            <w:pPr>
              <w:jc w:val="center"/>
              <w:rPr>
                <w:color w:val="000000"/>
                <w:sz w:val="14"/>
                <w:szCs w:val="14"/>
              </w:rPr>
            </w:pPr>
            <w:r w:rsidRPr="000E5DBF">
              <w:rPr>
                <w:color w:val="000000"/>
                <w:sz w:val="14"/>
                <w:szCs w:val="14"/>
              </w:rPr>
              <w:t>1500,00</w:t>
            </w:r>
          </w:p>
        </w:tc>
        <w:tc>
          <w:tcPr>
            <w:tcW w:w="572"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F641C8B" w14:textId="77777777" w:rsidR="00F22587" w:rsidRPr="000E5DBF" w:rsidRDefault="00F22587" w:rsidP="008A5C11">
            <w:pPr>
              <w:jc w:val="center"/>
              <w:rPr>
                <w:color w:val="000000"/>
                <w:sz w:val="14"/>
                <w:szCs w:val="14"/>
              </w:rPr>
            </w:pPr>
            <w:r w:rsidRPr="000E5DBF">
              <w:rPr>
                <w:color w:val="000000"/>
                <w:sz w:val="14"/>
                <w:szCs w:val="14"/>
              </w:rPr>
              <w:t>0,00</w:t>
            </w:r>
          </w:p>
        </w:tc>
        <w:tc>
          <w:tcPr>
            <w:tcW w:w="566"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EA7CE45" w14:textId="77777777" w:rsidR="00F22587" w:rsidRPr="000E5DBF" w:rsidRDefault="00F22587" w:rsidP="008A5C11">
            <w:pPr>
              <w:jc w:val="center"/>
              <w:rPr>
                <w:color w:val="000000"/>
                <w:sz w:val="14"/>
                <w:szCs w:val="14"/>
              </w:rPr>
            </w:pPr>
            <w:r w:rsidRPr="000E5DBF">
              <w:rPr>
                <w:color w:val="000000"/>
                <w:sz w:val="14"/>
                <w:szCs w:val="14"/>
              </w:rPr>
              <w:t>0,00</w:t>
            </w:r>
          </w:p>
        </w:tc>
        <w:tc>
          <w:tcPr>
            <w:tcW w:w="56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6A11BBD" w14:textId="77777777" w:rsidR="00F22587" w:rsidRPr="000E5DBF" w:rsidRDefault="00F22587" w:rsidP="008A5C11">
            <w:pPr>
              <w:jc w:val="center"/>
              <w:rPr>
                <w:color w:val="000000"/>
                <w:sz w:val="14"/>
                <w:szCs w:val="14"/>
              </w:rPr>
            </w:pPr>
            <w:r w:rsidRPr="000E5DBF">
              <w:rPr>
                <w:color w:val="000000"/>
                <w:sz w:val="14"/>
                <w:szCs w:val="14"/>
              </w:rPr>
              <w:t>0,00</w:t>
            </w:r>
          </w:p>
        </w:tc>
        <w:tc>
          <w:tcPr>
            <w:tcW w:w="574"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DB1E000" w14:textId="77777777" w:rsidR="00F22587" w:rsidRPr="000E5DBF" w:rsidRDefault="00F22587" w:rsidP="008A5C11">
            <w:pPr>
              <w:jc w:val="center"/>
              <w:rPr>
                <w:color w:val="000000"/>
                <w:sz w:val="14"/>
                <w:szCs w:val="14"/>
              </w:rPr>
            </w:pPr>
            <w:r w:rsidRPr="000E5DBF">
              <w:rPr>
                <w:color w:val="000000"/>
                <w:sz w:val="14"/>
                <w:szCs w:val="14"/>
              </w:rPr>
              <w:t>0,00</w:t>
            </w:r>
          </w:p>
        </w:tc>
        <w:tc>
          <w:tcPr>
            <w:tcW w:w="572"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6BEB3EA2" w14:textId="77777777" w:rsidR="00F22587" w:rsidRPr="000E5DBF" w:rsidRDefault="00F22587" w:rsidP="008A5C11">
            <w:pPr>
              <w:jc w:val="center"/>
              <w:rPr>
                <w:color w:val="000000"/>
                <w:sz w:val="14"/>
                <w:szCs w:val="14"/>
              </w:rPr>
            </w:pPr>
            <w:r w:rsidRPr="000E5DBF">
              <w:rPr>
                <w:color w:val="000000"/>
                <w:sz w:val="14"/>
                <w:szCs w:val="14"/>
              </w:rPr>
              <w:t>0,00</w:t>
            </w:r>
          </w:p>
        </w:tc>
        <w:tc>
          <w:tcPr>
            <w:tcW w:w="570"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ACEB680" w14:textId="77777777" w:rsidR="00F22587" w:rsidRPr="000E5DBF" w:rsidRDefault="00F22587" w:rsidP="008A5C11">
            <w:pPr>
              <w:jc w:val="center"/>
              <w:rPr>
                <w:color w:val="000000"/>
                <w:sz w:val="14"/>
                <w:szCs w:val="14"/>
              </w:rPr>
            </w:pPr>
            <w:r w:rsidRPr="000E5DBF">
              <w:rPr>
                <w:color w:val="000000"/>
                <w:sz w:val="14"/>
                <w:szCs w:val="14"/>
              </w:rPr>
              <w:t>0,00</w:t>
            </w:r>
          </w:p>
        </w:tc>
        <w:tc>
          <w:tcPr>
            <w:tcW w:w="572"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73C2AD6" w14:textId="77777777" w:rsidR="00F22587" w:rsidRPr="000E5DBF" w:rsidRDefault="00F22587" w:rsidP="008A5C11">
            <w:pPr>
              <w:jc w:val="center"/>
              <w:rPr>
                <w:color w:val="000000"/>
                <w:sz w:val="14"/>
                <w:szCs w:val="14"/>
              </w:rPr>
            </w:pPr>
            <w:r w:rsidRPr="000E5DBF">
              <w:rPr>
                <w:color w:val="000000"/>
                <w:sz w:val="14"/>
                <w:szCs w:val="14"/>
              </w:rPr>
              <w:t>0,00</w:t>
            </w:r>
          </w:p>
        </w:tc>
        <w:tc>
          <w:tcPr>
            <w:tcW w:w="573"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A442184" w14:textId="77777777" w:rsidR="00F22587" w:rsidRPr="000E5DBF" w:rsidRDefault="00F22587" w:rsidP="008A5C11">
            <w:pPr>
              <w:jc w:val="center"/>
              <w:rPr>
                <w:color w:val="000000"/>
                <w:sz w:val="14"/>
                <w:szCs w:val="14"/>
              </w:rPr>
            </w:pPr>
            <w:r w:rsidRPr="000E5DBF">
              <w:rPr>
                <w:color w:val="000000"/>
                <w:sz w:val="14"/>
                <w:szCs w:val="14"/>
              </w:rPr>
              <w:t>0,00</w:t>
            </w:r>
          </w:p>
        </w:tc>
        <w:tc>
          <w:tcPr>
            <w:tcW w:w="574"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2C6B3A0" w14:textId="77777777" w:rsidR="00F22587" w:rsidRPr="000E5DBF" w:rsidRDefault="00F22587" w:rsidP="008A5C11">
            <w:pPr>
              <w:jc w:val="center"/>
              <w:rPr>
                <w:color w:val="000000"/>
                <w:sz w:val="14"/>
                <w:szCs w:val="14"/>
              </w:rPr>
            </w:pPr>
            <w:r w:rsidRPr="000E5DBF">
              <w:rPr>
                <w:color w:val="000000"/>
                <w:sz w:val="14"/>
                <w:szCs w:val="14"/>
              </w:rPr>
              <w:t>0,00</w:t>
            </w:r>
          </w:p>
        </w:tc>
        <w:tc>
          <w:tcPr>
            <w:tcW w:w="567"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BE5BF78" w14:textId="77777777" w:rsidR="00F22587" w:rsidRPr="000E5DBF" w:rsidRDefault="00F22587" w:rsidP="008A5C11">
            <w:pPr>
              <w:jc w:val="center"/>
              <w:rPr>
                <w:color w:val="000000"/>
                <w:sz w:val="14"/>
                <w:szCs w:val="14"/>
              </w:rPr>
            </w:pPr>
            <w:r w:rsidRPr="000E5DBF">
              <w:rPr>
                <w:color w:val="000000"/>
                <w:sz w:val="14"/>
                <w:szCs w:val="14"/>
              </w:rPr>
              <w:t>0,00</w:t>
            </w:r>
          </w:p>
        </w:tc>
        <w:tc>
          <w:tcPr>
            <w:tcW w:w="292"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7EF16DE" w14:textId="77777777" w:rsidR="00F22587" w:rsidRPr="000E5DBF" w:rsidRDefault="00F22587" w:rsidP="008A5C11">
            <w:pPr>
              <w:jc w:val="center"/>
              <w:rPr>
                <w:color w:val="000000"/>
                <w:sz w:val="14"/>
                <w:szCs w:val="14"/>
              </w:rPr>
            </w:pPr>
            <w:r w:rsidRPr="000E5DBF">
              <w:rPr>
                <w:color w:val="000000"/>
                <w:sz w:val="14"/>
                <w:szCs w:val="14"/>
              </w:rPr>
              <w:t>0,00</w:t>
            </w:r>
          </w:p>
        </w:tc>
        <w:tc>
          <w:tcPr>
            <w:tcW w:w="428" w:type="dxa"/>
            <w:gridSpan w:val="3"/>
            <w:tcBorders>
              <w:top w:val="nil"/>
              <w:left w:val="nil"/>
              <w:bottom w:val="single" w:sz="4" w:space="0" w:color="auto"/>
              <w:right w:val="single" w:sz="4" w:space="0" w:color="auto"/>
            </w:tcBorders>
            <w:shd w:val="clear" w:color="auto" w:fill="auto"/>
            <w:tcMar>
              <w:left w:w="0" w:type="dxa"/>
              <w:right w:w="0" w:type="dxa"/>
            </w:tcMar>
            <w:vAlign w:val="center"/>
            <w:hideMark/>
          </w:tcPr>
          <w:p w14:paraId="7A4D05EE" w14:textId="77777777" w:rsidR="00F22587" w:rsidRPr="000E5DBF" w:rsidRDefault="00F22587" w:rsidP="008A5C11">
            <w:pPr>
              <w:jc w:val="center"/>
              <w:rPr>
                <w:color w:val="000000"/>
                <w:sz w:val="14"/>
                <w:szCs w:val="14"/>
              </w:rPr>
            </w:pPr>
            <w:r w:rsidRPr="000E5DBF">
              <w:rPr>
                <w:color w:val="000000"/>
                <w:sz w:val="14"/>
                <w:szCs w:val="14"/>
              </w:rPr>
              <w:t>0,00</w:t>
            </w:r>
          </w:p>
        </w:tc>
      </w:tr>
      <w:tr w:rsidR="00F22587" w:rsidRPr="000E5DBF" w14:paraId="6E4004F4" w14:textId="77777777" w:rsidTr="008A5C11">
        <w:trPr>
          <w:cantSplit/>
          <w:trHeight w:val="126"/>
        </w:trPr>
        <w:tc>
          <w:tcPr>
            <w:tcW w:w="16142" w:type="dxa"/>
            <w:gridSpan w:val="31"/>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3E0B301" w14:textId="77777777" w:rsidR="00F22587" w:rsidRPr="000E5DBF" w:rsidRDefault="00F22587" w:rsidP="008A5C11">
            <w:pPr>
              <w:rPr>
                <w:color w:val="000000"/>
                <w:sz w:val="14"/>
                <w:szCs w:val="14"/>
              </w:rPr>
            </w:pPr>
            <w:r w:rsidRPr="000E5DBF">
              <w:rPr>
                <w:sz w:val="14"/>
                <w:szCs w:val="14"/>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F22587" w:rsidRPr="000E5DBF" w14:paraId="2418F278" w14:textId="77777777" w:rsidTr="008A5C11">
        <w:trPr>
          <w:cantSplit/>
          <w:trHeight w:val="119"/>
        </w:trPr>
        <w:tc>
          <w:tcPr>
            <w:tcW w:w="7561" w:type="dxa"/>
            <w:gridSpan w:val="11"/>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90AEB72" w14:textId="77777777" w:rsidR="00F22587" w:rsidRPr="000E5DBF" w:rsidRDefault="00F22587" w:rsidP="008A5C11">
            <w:pPr>
              <w:rPr>
                <w:sz w:val="14"/>
                <w:szCs w:val="14"/>
              </w:rPr>
            </w:pPr>
            <w:r w:rsidRPr="000E5DBF">
              <w:rPr>
                <w:sz w:val="14"/>
                <w:szCs w:val="14"/>
              </w:rPr>
              <w:t>Всего по группе 2.</w:t>
            </w:r>
          </w:p>
        </w:tc>
        <w:tc>
          <w:tcPr>
            <w:tcW w:w="573" w:type="dxa"/>
            <w:tcBorders>
              <w:top w:val="nil"/>
              <w:left w:val="nil"/>
              <w:bottom w:val="single" w:sz="4" w:space="0" w:color="auto"/>
              <w:right w:val="single" w:sz="4" w:space="0" w:color="auto"/>
            </w:tcBorders>
            <w:shd w:val="clear" w:color="auto" w:fill="auto"/>
            <w:tcMar>
              <w:left w:w="0" w:type="dxa"/>
              <w:right w:w="0" w:type="dxa"/>
            </w:tcMar>
            <w:vAlign w:val="center"/>
          </w:tcPr>
          <w:p w14:paraId="22F72FFC" w14:textId="77777777" w:rsidR="00F22587" w:rsidRPr="000E5DBF" w:rsidRDefault="00F22587" w:rsidP="008A5C11">
            <w:pPr>
              <w:jc w:val="center"/>
              <w:rPr>
                <w:color w:val="000000"/>
                <w:sz w:val="14"/>
                <w:szCs w:val="14"/>
              </w:rPr>
            </w:pPr>
            <w:r w:rsidRPr="000E5DBF">
              <w:rPr>
                <w:color w:val="000000"/>
                <w:sz w:val="14"/>
                <w:szCs w:val="14"/>
              </w:rPr>
              <w:t>0,00</w:t>
            </w:r>
          </w:p>
        </w:tc>
        <w:tc>
          <w:tcPr>
            <w:tcW w:w="447" w:type="dxa"/>
            <w:gridSpan w:val="2"/>
            <w:tcBorders>
              <w:top w:val="nil"/>
              <w:left w:val="nil"/>
              <w:bottom w:val="single" w:sz="4" w:space="0" w:color="auto"/>
              <w:right w:val="single" w:sz="4" w:space="0" w:color="auto"/>
            </w:tcBorders>
            <w:shd w:val="clear" w:color="auto" w:fill="auto"/>
            <w:tcMar>
              <w:left w:w="0" w:type="dxa"/>
              <w:right w:w="0" w:type="dxa"/>
            </w:tcMar>
            <w:vAlign w:val="center"/>
          </w:tcPr>
          <w:p w14:paraId="7FF89987" w14:textId="77777777" w:rsidR="00F22587" w:rsidRPr="000E5DBF" w:rsidRDefault="00F22587" w:rsidP="008A5C11">
            <w:pPr>
              <w:jc w:val="center"/>
              <w:rPr>
                <w:color w:val="000000"/>
                <w:sz w:val="14"/>
                <w:szCs w:val="14"/>
              </w:rPr>
            </w:pPr>
            <w:r w:rsidRPr="000E5DBF">
              <w:rPr>
                <w:color w:val="000000"/>
                <w:sz w:val="14"/>
                <w:szCs w:val="14"/>
              </w:rPr>
              <w:t>0,00</w:t>
            </w:r>
          </w:p>
        </w:tc>
        <w:tc>
          <w:tcPr>
            <w:tcW w:w="559" w:type="dxa"/>
            <w:tcBorders>
              <w:top w:val="nil"/>
              <w:left w:val="nil"/>
              <w:bottom w:val="single" w:sz="4" w:space="0" w:color="auto"/>
              <w:right w:val="single" w:sz="4" w:space="0" w:color="auto"/>
            </w:tcBorders>
            <w:shd w:val="clear" w:color="auto" w:fill="auto"/>
            <w:tcMar>
              <w:left w:w="0" w:type="dxa"/>
              <w:right w:w="0" w:type="dxa"/>
            </w:tcMar>
            <w:vAlign w:val="center"/>
          </w:tcPr>
          <w:p w14:paraId="7F26DF14" w14:textId="77777777" w:rsidR="00F22587" w:rsidRPr="000E5DBF" w:rsidRDefault="00F22587" w:rsidP="008A5C11">
            <w:pPr>
              <w:jc w:val="center"/>
              <w:rPr>
                <w:color w:val="000000"/>
                <w:sz w:val="14"/>
                <w:szCs w:val="14"/>
              </w:rPr>
            </w:pPr>
            <w:r w:rsidRPr="000E5DBF">
              <w:rPr>
                <w:color w:val="000000"/>
                <w:sz w:val="14"/>
                <w:szCs w:val="14"/>
              </w:rPr>
              <w:t>0,00</w:t>
            </w:r>
          </w:p>
        </w:tc>
        <w:tc>
          <w:tcPr>
            <w:tcW w:w="572" w:type="dxa"/>
            <w:tcBorders>
              <w:top w:val="nil"/>
              <w:left w:val="nil"/>
              <w:bottom w:val="single" w:sz="4" w:space="0" w:color="auto"/>
              <w:right w:val="single" w:sz="4" w:space="0" w:color="auto"/>
            </w:tcBorders>
            <w:shd w:val="clear" w:color="auto" w:fill="auto"/>
            <w:tcMar>
              <w:left w:w="0" w:type="dxa"/>
              <w:right w:w="0" w:type="dxa"/>
            </w:tcMar>
            <w:vAlign w:val="center"/>
          </w:tcPr>
          <w:p w14:paraId="1148F908" w14:textId="77777777" w:rsidR="00F22587" w:rsidRPr="000E5DBF" w:rsidRDefault="00F22587" w:rsidP="008A5C11">
            <w:pPr>
              <w:jc w:val="center"/>
              <w:rPr>
                <w:color w:val="000000"/>
                <w:sz w:val="14"/>
                <w:szCs w:val="14"/>
              </w:rPr>
            </w:pPr>
            <w:r w:rsidRPr="000E5DBF">
              <w:rPr>
                <w:color w:val="000000"/>
                <w:sz w:val="14"/>
                <w:szCs w:val="14"/>
              </w:rPr>
              <w:t>0,00</w:t>
            </w:r>
          </w:p>
        </w:tc>
        <w:tc>
          <w:tcPr>
            <w:tcW w:w="572" w:type="dxa"/>
            <w:tcBorders>
              <w:top w:val="nil"/>
              <w:left w:val="nil"/>
              <w:bottom w:val="single" w:sz="4" w:space="0" w:color="auto"/>
              <w:right w:val="single" w:sz="4" w:space="0" w:color="auto"/>
            </w:tcBorders>
            <w:shd w:val="clear" w:color="auto" w:fill="auto"/>
            <w:tcMar>
              <w:left w:w="0" w:type="dxa"/>
              <w:right w:w="0" w:type="dxa"/>
            </w:tcMar>
            <w:vAlign w:val="center"/>
          </w:tcPr>
          <w:p w14:paraId="378657A3" w14:textId="77777777" w:rsidR="00F22587" w:rsidRPr="000E5DBF" w:rsidRDefault="00F22587" w:rsidP="008A5C11">
            <w:pPr>
              <w:jc w:val="center"/>
              <w:rPr>
                <w:color w:val="000000"/>
                <w:sz w:val="14"/>
                <w:szCs w:val="14"/>
              </w:rPr>
            </w:pPr>
            <w:r w:rsidRPr="000E5DBF">
              <w:rPr>
                <w:color w:val="000000"/>
                <w:sz w:val="14"/>
                <w:szCs w:val="14"/>
              </w:rPr>
              <w:t>0,00</w:t>
            </w:r>
          </w:p>
        </w:tc>
        <w:tc>
          <w:tcPr>
            <w:tcW w:w="566" w:type="dxa"/>
            <w:tcBorders>
              <w:top w:val="nil"/>
              <w:left w:val="nil"/>
              <w:bottom w:val="single" w:sz="4" w:space="0" w:color="auto"/>
              <w:right w:val="single" w:sz="4" w:space="0" w:color="auto"/>
            </w:tcBorders>
            <w:shd w:val="clear" w:color="auto" w:fill="auto"/>
            <w:tcMar>
              <w:left w:w="0" w:type="dxa"/>
              <w:right w:w="0" w:type="dxa"/>
            </w:tcMar>
            <w:vAlign w:val="center"/>
          </w:tcPr>
          <w:p w14:paraId="37DCD6BE" w14:textId="77777777" w:rsidR="00F22587" w:rsidRPr="000E5DBF" w:rsidRDefault="00F22587" w:rsidP="008A5C11">
            <w:pPr>
              <w:jc w:val="center"/>
              <w:rPr>
                <w:color w:val="000000"/>
                <w:sz w:val="14"/>
                <w:szCs w:val="14"/>
              </w:rPr>
            </w:pPr>
            <w:r w:rsidRPr="000E5DBF">
              <w:rPr>
                <w:color w:val="000000"/>
                <w:sz w:val="14"/>
                <w:szCs w:val="14"/>
              </w:rPr>
              <w:t>0,00</w:t>
            </w:r>
          </w:p>
        </w:tc>
        <w:tc>
          <w:tcPr>
            <w:tcW w:w="565" w:type="dxa"/>
            <w:tcBorders>
              <w:top w:val="nil"/>
              <w:left w:val="nil"/>
              <w:bottom w:val="single" w:sz="4" w:space="0" w:color="auto"/>
              <w:right w:val="single" w:sz="4" w:space="0" w:color="auto"/>
            </w:tcBorders>
            <w:shd w:val="clear" w:color="auto" w:fill="auto"/>
            <w:tcMar>
              <w:left w:w="0" w:type="dxa"/>
              <w:right w:w="0" w:type="dxa"/>
            </w:tcMar>
            <w:vAlign w:val="center"/>
          </w:tcPr>
          <w:p w14:paraId="2E26F84A" w14:textId="77777777" w:rsidR="00F22587" w:rsidRPr="000E5DBF" w:rsidRDefault="00F22587" w:rsidP="008A5C11">
            <w:pPr>
              <w:jc w:val="center"/>
              <w:rPr>
                <w:color w:val="000000"/>
                <w:sz w:val="14"/>
                <w:szCs w:val="14"/>
              </w:rPr>
            </w:pPr>
            <w:r w:rsidRPr="000E5DBF">
              <w:rPr>
                <w:color w:val="000000"/>
                <w:sz w:val="14"/>
                <w:szCs w:val="14"/>
              </w:rPr>
              <w:t>0,00</w:t>
            </w:r>
          </w:p>
        </w:tc>
        <w:tc>
          <w:tcPr>
            <w:tcW w:w="574" w:type="dxa"/>
            <w:tcBorders>
              <w:top w:val="nil"/>
              <w:left w:val="nil"/>
              <w:bottom w:val="single" w:sz="4" w:space="0" w:color="auto"/>
              <w:right w:val="single" w:sz="4" w:space="0" w:color="auto"/>
            </w:tcBorders>
            <w:shd w:val="clear" w:color="auto" w:fill="auto"/>
            <w:tcMar>
              <w:left w:w="0" w:type="dxa"/>
              <w:right w:w="0" w:type="dxa"/>
            </w:tcMar>
            <w:vAlign w:val="center"/>
          </w:tcPr>
          <w:p w14:paraId="280FEA61" w14:textId="77777777" w:rsidR="00F22587" w:rsidRPr="000E5DBF" w:rsidRDefault="00F22587" w:rsidP="008A5C11">
            <w:pPr>
              <w:jc w:val="center"/>
              <w:rPr>
                <w:color w:val="000000"/>
                <w:sz w:val="14"/>
                <w:szCs w:val="14"/>
              </w:rPr>
            </w:pPr>
            <w:r w:rsidRPr="000E5DBF">
              <w:rPr>
                <w:color w:val="000000"/>
                <w:sz w:val="14"/>
                <w:szCs w:val="14"/>
              </w:rPr>
              <w:t>0,00</w:t>
            </w:r>
          </w:p>
        </w:tc>
        <w:tc>
          <w:tcPr>
            <w:tcW w:w="572" w:type="dxa"/>
            <w:gridSpan w:val="2"/>
            <w:tcBorders>
              <w:top w:val="nil"/>
              <w:left w:val="nil"/>
              <w:bottom w:val="single" w:sz="4" w:space="0" w:color="auto"/>
              <w:right w:val="single" w:sz="4" w:space="0" w:color="auto"/>
            </w:tcBorders>
            <w:shd w:val="clear" w:color="auto" w:fill="auto"/>
            <w:tcMar>
              <w:left w:w="0" w:type="dxa"/>
              <w:right w:w="0" w:type="dxa"/>
            </w:tcMar>
            <w:vAlign w:val="center"/>
          </w:tcPr>
          <w:p w14:paraId="059F4742" w14:textId="77777777" w:rsidR="00F22587" w:rsidRPr="000E5DBF" w:rsidRDefault="00F22587" w:rsidP="008A5C11">
            <w:pPr>
              <w:jc w:val="center"/>
              <w:rPr>
                <w:color w:val="000000"/>
                <w:sz w:val="14"/>
                <w:szCs w:val="14"/>
              </w:rPr>
            </w:pPr>
            <w:r w:rsidRPr="000E5DBF">
              <w:rPr>
                <w:color w:val="000000"/>
                <w:sz w:val="14"/>
                <w:szCs w:val="14"/>
              </w:rPr>
              <w:t>0,00</w:t>
            </w:r>
          </w:p>
        </w:tc>
        <w:tc>
          <w:tcPr>
            <w:tcW w:w="570" w:type="dxa"/>
            <w:tcBorders>
              <w:top w:val="nil"/>
              <w:left w:val="nil"/>
              <w:bottom w:val="single" w:sz="4" w:space="0" w:color="auto"/>
              <w:right w:val="single" w:sz="4" w:space="0" w:color="auto"/>
            </w:tcBorders>
            <w:shd w:val="clear" w:color="auto" w:fill="auto"/>
            <w:tcMar>
              <w:left w:w="0" w:type="dxa"/>
              <w:right w:w="0" w:type="dxa"/>
            </w:tcMar>
            <w:vAlign w:val="center"/>
          </w:tcPr>
          <w:p w14:paraId="4A7D7569" w14:textId="77777777" w:rsidR="00F22587" w:rsidRPr="000E5DBF" w:rsidRDefault="00F22587" w:rsidP="008A5C11">
            <w:pPr>
              <w:jc w:val="center"/>
              <w:rPr>
                <w:color w:val="000000"/>
                <w:sz w:val="14"/>
                <w:szCs w:val="14"/>
              </w:rPr>
            </w:pPr>
            <w:r w:rsidRPr="000E5DBF">
              <w:rPr>
                <w:color w:val="000000"/>
                <w:sz w:val="14"/>
                <w:szCs w:val="14"/>
              </w:rPr>
              <w:t>0,00</w:t>
            </w:r>
          </w:p>
        </w:tc>
        <w:tc>
          <w:tcPr>
            <w:tcW w:w="572" w:type="dxa"/>
            <w:tcBorders>
              <w:top w:val="nil"/>
              <w:left w:val="nil"/>
              <w:bottom w:val="single" w:sz="4" w:space="0" w:color="auto"/>
              <w:right w:val="single" w:sz="4" w:space="0" w:color="auto"/>
            </w:tcBorders>
            <w:shd w:val="clear" w:color="auto" w:fill="auto"/>
            <w:tcMar>
              <w:left w:w="0" w:type="dxa"/>
              <w:right w:w="0" w:type="dxa"/>
            </w:tcMar>
            <w:vAlign w:val="center"/>
          </w:tcPr>
          <w:p w14:paraId="4A0E0D18" w14:textId="77777777" w:rsidR="00F22587" w:rsidRPr="000E5DBF" w:rsidRDefault="00F22587" w:rsidP="008A5C11">
            <w:pPr>
              <w:jc w:val="center"/>
              <w:rPr>
                <w:color w:val="000000"/>
                <w:sz w:val="14"/>
                <w:szCs w:val="14"/>
              </w:rPr>
            </w:pPr>
            <w:r w:rsidRPr="000E5DBF">
              <w:rPr>
                <w:color w:val="000000"/>
                <w:sz w:val="14"/>
                <w:szCs w:val="14"/>
              </w:rPr>
              <w:t>0,00</w:t>
            </w:r>
          </w:p>
        </w:tc>
        <w:tc>
          <w:tcPr>
            <w:tcW w:w="573" w:type="dxa"/>
            <w:tcBorders>
              <w:top w:val="nil"/>
              <w:left w:val="nil"/>
              <w:bottom w:val="single" w:sz="4" w:space="0" w:color="auto"/>
              <w:right w:val="single" w:sz="4" w:space="0" w:color="auto"/>
            </w:tcBorders>
            <w:shd w:val="clear" w:color="auto" w:fill="auto"/>
            <w:tcMar>
              <w:left w:w="0" w:type="dxa"/>
              <w:right w:w="0" w:type="dxa"/>
            </w:tcMar>
            <w:vAlign w:val="center"/>
          </w:tcPr>
          <w:p w14:paraId="1819244B" w14:textId="77777777" w:rsidR="00F22587" w:rsidRPr="000E5DBF" w:rsidRDefault="00F22587" w:rsidP="008A5C11">
            <w:pPr>
              <w:jc w:val="center"/>
              <w:rPr>
                <w:color w:val="000000"/>
                <w:sz w:val="14"/>
                <w:szCs w:val="14"/>
              </w:rPr>
            </w:pPr>
            <w:r w:rsidRPr="000E5DBF">
              <w:rPr>
                <w:color w:val="000000"/>
                <w:sz w:val="14"/>
                <w:szCs w:val="14"/>
              </w:rPr>
              <w:t>0,00</w:t>
            </w:r>
          </w:p>
        </w:tc>
        <w:tc>
          <w:tcPr>
            <w:tcW w:w="574" w:type="dxa"/>
            <w:tcBorders>
              <w:top w:val="nil"/>
              <w:left w:val="nil"/>
              <w:bottom w:val="single" w:sz="4" w:space="0" w:color="auto"/>
              <w:right w:val="single" w:sz="4" w:space="0" w:color="auto"/>
            </w:tcBorders>
            <w:shd w:val="clear" w:color="auto" w:fill="auto"/>
            <w:tcMar>
              <w:left w:w="0" w:type="dxa"/>
              <w:right w:w="0" w:type="dxa"/>
            </w:tcMar>
            <w:vAlign w:val="center"/>
          </w:tcPr>
          <w:p w14:paraId="17920B2B" w14:textId="77777777" w:rsidR="00F22587" w:rsidRPr="000E5DBF" w:rsidRDefault="00F22587" w:rsidP="008A5C11">
            <w:pPr>
              <w:jc w:val="center"/>
              <w:rPr>
                <w:color w:val="000000"/>
                <w:sz w:val="14"/>
                <w:szCs w:val="14"/>
              </w:rPr>
            </w:pPr>
            <w:r w:rsidRPr="000E5DBF">
              <w:rPr>
                <w:color w:val="000000"/>
                <w:sz w:val="14"/>
                <w:szCs w:val="14"/>
              </w:rPr>
              <w:t>0,00</w:t>
            </w:r>
          </w:p>
        </w:tc>
        <w:tc>
          <w:tcPr>
            <w:tcW w:w="567" w:type="dxa"/>
            <w:tcBorders>
              <w:top w:val="nil"/>
              <w:left w:val="nil"/>
              <w:bottom w:val="single" w:sz="4" w:space="0" w:color="auto"/>
              <w:right w:val="single" w:sz="4" w:space="0" w:color="auto"/>
            </w:tcBorders>
            <w:shd w:val="clear" w:color="auto" w:fill="auto"/>
            <w:tcMar>
              <w:left w:w="0" w:type="dxa"/>
              <w:right w:w="0" w:type="dxa"/>
            </w:tcMar>
            <w:vAlign w:val="center"/>
          </w:tcPr>
          <w:p w14:paraId="58C333C1" w14:textId="77777777" w:rsidR="00F22587" w:rsidRPr="000E5DBF" w:rsidRDefault="00F22587" w:rsidP="008A5C11">
            <w:pPr>
              <w:jc w:val="center"/>
              <w:rPr>
                <w:color w:val="000000"/>
                <w:sz w:val="14"/>
                <w:szCs w:val="14"/>
              </w:rPr>
            </w:pPr>
            <w:r w:rsidRPr="000E5DBF">
              <w:rPr>
                <w:color w:val="000000"/>
                <w:sz w:val="14"/>
                <w:szCs w:val="14"/>
              </w:rPr>
              <w:t>0,00</w:t>
            </w:r>
          </w:p>
        </w:tc>
        <w:tc>
          <w:tcPr>
            <w:tcW w:w="292" w:type="dxa"/>
            <w:tcBorders>
              <w:top w:val="nil"/>
              <w:left w:val="nil"/>
              <w:bottom w:val="single" w:sz="4" w:space="0" w:color="auto"/>
              <w:right w:val="single" w:sz="4" w:space="0" w:color="auto"/>
            </w:tcBorders>
            <w:shd w:val="clear" w:color="auto" w:fill="auto"/>
            <w:tcMar>
              <w:left w:w="0" w:type="dxa"/>
              <w:right w:w="0" w:type="dxa"/>
            </w:tcMar>
            <w:vAlign w:val="center"/>
          </w:tcPr>
          <w:p w14:paraId="53A569B9" w14:textId="77777777" w:rsidR="00F22587" w:rsidRPr="000E5DBF" w:rsidRDefault="00F22587" w:rsidP="008A5C11">
            <w:pPr>
              <w:jc w:val="center"/>
              <w:rPr>
                <w:color w:val="000000"/>
                <w:sz w:val="14"/>
                <w:szCs w:val="14"/>
              </w:rPr>
            </w:pPr>
            <w:r w:rsidRPr="000E5DBF">
              <w:rPr>
                <w:color w:val="000000"/>
                <w:sz w:val="14"/>
                <w:szCs w:val="14"/>
              </w:rPr>
              <w:t>0,00</w:t>
            </w:r>
          </w:p>
        </w:tc>
        <w:tc>
          <w:tcPr>
            <w:tcW w:w="428" w:type="dxa"/>
            <w:gridSpan w:val="3"/>
            <w:tcBorders>
              <w:top w:val="nil"/>
              <w:left w:val="nil"/>
              <w:bottom w:val="single" w:sz="4" w:space="0" w:color="auto"/>
              <w:right w:val="single" w:sz="4" w:space="0" w:color="auto"/>
            </w:tcBorders>
            <w:shd w:val="clear" w:color="auto" w:fill="auto"/>
            <w:tcMar>
              <w:left w:w="0" w:type="dxa"/>
              <w:right w:w="0" w:type="dxa"/>
            </w:tcMar>
            <w:vAlign w:val="center"/>
          </w:tcPr>
          <w:p w14:paraId="0BD5CCA8" w14:textId="77777777" w:rsidR="00F22587" w:rsidRPr="000E5DBF" w:rsidRDefault="00F22587" w:rsidP="008A5C11">
            <w:pPr>
              <w:jc w:val="center"/>
              <w:rPr>
                <w:color w:val="000000"/>
                <w:sz w:val="14"/>
                <w:szCs w:val="14"/>
              </w:rPr>
            </w:pPr>
            <w:r w:rsidRPr="000E5DBF">
              <w:rPr>
                <w:color w:val="000000"/>
                <w:sz w:val="14"/>
                <w:szCs w:val="14"/>
              </w:rPr>
              <w:t>0,00</w:t>
            </w:r>
          </w:p>
        </w:tc>
      </w:tr>
      <w:tr w:rsidR="00F22587" w:rsidRPr="000E5DBF" w14:paraId="56015B98" w14:textId="77777777" w:rsidTr="008A5C11">
        <w:trPr>
          <w:trHeight w:val="180"/>
        </w:trPr>
        <w:tc>
          <w:tcPr>
            <w:tcW w:w="16142" w:type="dxa"/>
            <w:gridSpan w:val="31"/>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6C1AAA3A" w14:textId="77777777" w:rsidR="00F22587" w:rsidRPr="000E5DBF" w:rsidRDefault="00F22587" w:rsidP="008A5C11">
            <w:pPr>
              <w:rPr>
                <w:color w:val="000000"/>
                <w:sz w:val="14"/>
                <w:szCs w:val="14"/>
              </w:rPr>
            </w:pPr>
            <w:r w:rsidRPr="000E5DBF">
              <w:rPr>
                <w:color w:val="000000"/>
                <w:sz w:val="14"/>
                <w:szCs w:val="14"/>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F22587" w:rsidRPr="000E5DBF" w14:paraId="2F64E742" w14:textId="77777777" w:rsidTr="008A5C11">
        <w:trPr>
          <w:trHeight w:val="124"/>
        </w:trPr>
        <w:tc>
          <w:tcPr>
            <w:tcW w:w="16142" w:type="dxa"/>
            <w:gridSpan w:val="31"/>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D23BF0C" w14:textId="77777777" w:rsidR="00F22587" w:rsidRPr="000E5DBF" w:rsidRDefault="00F22587" w:rsidP="008A5C11">
            <w:pPr>
              <w:rPr>
                <w:color w:val="000000"/>
                <w:sz w:val="14"/>
                <w:szCs w:val="14"/>
              </w:rPr>
            </w:pPr>
            <w:r w:rsidRPr="000E5DBF">
              <w:rPr>
                <w:bCs/>
                <w:sz w:val="14"/>
                <w:szCs w:val="14"/>
              </w:rPr>
              <w:t>3.1</w:t>
            </w:r>
            <w:r w:rsidRPr="000E5DBF">
              <w:rPr>
                <w:color w:val="000000"/>
                <w:sz w:val="14"/>
                <w:szCs w:val="14"/>
              </w:rPr>
              <w:t>. Реконструкция или модернизация существующих тепловых сетей</w:t>
            </w:r>
          </w:p>
        </w:tc>
      </w:tr>
      <w:tr w:rsidR="00F22587" w:rsidRPr="000E5DBF" w14:paraId="5C91EFE1" w14:textId="77777777" w:rsidTr="008A5C11">
        <w:trPr>
          <w:gridAfter w:val="1"/>
          <w:wAfter w:w="10" w:type="dxa"/>
          <w:cantSplit/>
          <w:trHeight w:val="688"/>
        </w:trPr>
        <w:tc>
          <w:tcPr>
            <w:tcW w:w="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D0895C9" w14:textId="77777777" w:rsidR="00F22587" w:rsidRPr="000E5DBF" w:rsidRDefault="00F22587" w:rsidP="008A5C11">
            <w:pPr>
              <w:rPr>
                <w:bCs/>
                <w:sz w:val="14"/>
                <w:szCs w:val="14"/>
              </w:rPr>
            </w:pPr>
            <w:r w:rsidRPr="000E5DBF">
              <w:rPr>
                <w:bCs/>
                <w:sz w:val="14"/>
                <w:szCs w:val="14"/>
              </w:rPr>
              <w:t xml:space="preserve"> 3.1.1.</w:t>
            </w:r>
          </w:p>
        </w:tc>
        <w:tc>
          <w:tcPr>
            <w:tcW w:w="144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D670C72" w14:textId="77777777" w:rsidR="00F22587" w:rsidRPr="000E5DBF" w:rsidRDefault="00F22587" w:rsidP="008A5C11">
            <w:pPr>
              <w:jc w:val="center"/>
              <w:rPr>
                <w:color w:val="000000"/>
                <w:sz w:val="14"/>
                <w:szCs w:val="14"/>
              </w:rPr>
            </w:pPr>
            <w:r w:rsidRPr="000E5DBF">
              <w:rPr>
                <w:color w:val="000000"/>
                <w:sz w:val="14"/>
                <w:szCs w:val="14"/>
              </w:rPr>
              <w:t>Увеличение диаметров трубопроводов от бойлерной №1 до УТ-3 (30лет Победы, 7) отопление</w:t>
            </w:r>
          </w:p>
        </w:tc>
        <w:tc>
          <w:tcPr>
            <w:tcW w:w="98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55555BE" w14:textId="77777777" w:rsidR="00F22587" w:rsidRPr="000E5DBF" w:rsidRDefault="00F22587" w:rsidP="008A5C11">
            <w:pPr>
              <w:jc w:val="center"/>
              <w:rPr>
                <w:bCs/>
                <w:sz w:val="14"/>
                <w:szCs w:val="14"/>
              </w:rPr>
            </w:pPr>
            <w:r w:rsidRPr="000E5DBF">
              <w:rPr>
                <w:bCs/>
                <w:sz w:val="14"/>
                <w:szCs w:val="14"/>
              </w:rPr>
              <w:t>Модернизация</w:t>
            </w:r>
          </w:p>
        </w:tc>
        <w:tc>
          <w:tcPr>
            <w:tcW w:w="100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5C73C2E" w14:textId="77777777" w:rsidR="00F22587" w:rsidRPr="000E5DBF" w:rsidRDefault="00F22587" w:rsidP="008A5C11">
            <w:pPr>
              <w:jc w:val="center"/>
              <w:rPr>
                <w:bCs/>
                <w:sz w:val="14"/>
                <w:szCs w:val="14"/>
              </w:rPr>
            </w:pPr>
            <w:r w:rsidRPr="000E5DBF">
              <w:rPr>
                <w:color w:val="000000"/>
                <w:sz w:val="14"/>
                <w:szCs w:val="14"/>
              </w:rPr>
              <w:t>ул. Кирова, 8</w:t>
            </w:r>
          </w:p>
        </w:tc>
        <w:tc>
          <w:tcPr>
            <w:tcW w:w="100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75C889B" w14:textId="77777777" w:rsidR="00F22587" w:rsidRPr="000E5DBF" w:rsidRDefault="00F22587" w:rsidP="008A5C11">
            <w:pPr>
              <w:jc w:val="center"/>
              <w:rPr>
                <w:bCs/>
                <w:sz w:val="14"/>
                <w:szCs w:val="14"/>
              </w:rPr>
            </w:pPr>
            <w:r w:rsidRPr="000E5DBF">
              <w:rPr>
                <w:bCs/>
                <w:sz w:val="14"/>
                <w:szCs w:val="14"/>
              </w:rPr>
              <w:t>диаметр</w:t>
            </w:r>
          </w:p>
        </w:tc>
        <w:tc>
          <w:tcPr>
            <w:tcW w:w="42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3F15843" w14:textId="77777777" w:rsidR="00F22587" w:rsidRPr="000E5DBF" w:rsidRDefault="00F22587" w:rsidP="008A5C11">
            <w:pPr>
              <w:jc w:val="center"/>
              <w:rPr>
                <w:bCs/>
                <w:sz w:val="14"/>
                <w:szCs w:val="14"/>
              </w:rPr>
            </w:pPr>
            <w:r w:rsidRPr="000E5DBF">
              <w:rPr>
                <w:bCs/>
                <w:sz w:val="14"/>
                <w:szCs w:val="14"/>
              </w:rPr>
              <w:t>мм</w:t>
            </w:r>
          </w:p>
        </w:tc>
        <w:tc>
          <w:tcPr>
            <w:tcW w:w="71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CD3AD6C" w14:textId="77777777" w:rsidR="00F22587" w:rsidRPr="000E5DBF" w:rsidRDefault="00F22587" w:rsidP="008A5C11">
            <w:pPr>
              <w:jc w:val="center"/>
              <w:rPr>
                <w:bCs/>
                <w:sz w:val="14"/>
                <w:szCs w:val="14"/>
              </w:rPr>
            </w:pPr>
            <w:r w:rsidRPr="000E5DBF">
              <w:rPr>
                <w:bCs/>
                <w:sz w:val="14"/>
                <w:szCs w:val="14"/>
              </w:rPr>
              <w:t>325</w:t>
            </w:r>
          </w:p>
        </w:tc>
        <w:tc>
          <w:tcPr>
            <w:tcW w:w="7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FB0F315" w14:textId="77777777" w:rsidR="00F22587" w:rsidRPr="000E5DBF" w:rsidRDefault="00F22587" w:rsidP="008A5C11">
            <w:pPr>
              <w:jc w:val="center"/>
              <w:rPr>
                <w:bCs/>
                <w:sz w:val="14"/>
                <w:szCs w:val="14"/>
              </w:rPr>
            </w:pPr>
            <w:r w:rsidRPr="000E5DBF">
              <w:rPr>
                <w:bCs/>
                <w:sz w:val="14"/>
                <w:szCs w:val="14"/>
              </w:rPr>
              <w:t>530</w:t>
            </w:r>
          </w:p>
        </w:tc>
        <w:tc>
          <w:tcPr>
            <w:tcW w:w="38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26A4739" w14:textId="77777777" w:rsidR="00F22587" w:rsidRPr="000E5DBF" w:rsidRDefault="00F22587" w:rsidP="008A5C11">
            <w:pPr>
              <w:ind w:left="-108"/>
              <w:jc w:val="center"/>
              <w:rPr>
                <w:color w:val="000000"/>
                <w:sz w:val="14"/>
                <w:szCs w:val="14"/>
              </w:rPr>
            </w:pPr>
            <w:r w:rsidRPr="000E5DBF">
              <w:rPr>
                <w:color w:val="000000"/>
                <w:sz w:val="14"/>
                <w:szCs w:val="14"/>
              </w:rPr>
              <w:t>2020</w:t>
            </w:r>
          </w:p>
        </w:tc>
        <w:tc>
          <w:tcPr>
            <w:tcW w:w="463"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23AF9F9" w14:textId="77777777" w:rsidR="00F22587" w:rsidRPr="000E5DBF" w:rsidRDefault="00F22587" w:rsidP="008A5C11">
            <w:pPr>
              <w:ind w:left="-108"/>
              <w:jc w:val="center"/>
              <w:rPr>
                <w:color w:val="000000"/>
                <w:sz w:val="14"/>
                <w:szCs w:val="14"/>
              </w:rPr>
            </w:pPr>
            <w:r w:rsidRPr="000E5DBF">
              <w:rPr>
                <w:color w:val="000000"/>
                <w:sz w:val="14"/>
                <w:szCs w:val="14"/>
              </w:rPr>
              <w:t>2023</w:t>
            </w:r>
          </w:p>
        </w:tc>
        <w:tc>
          <w:tcPr>
            <w:tcW w:w="5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B949C00" w14:textId="77777777" w:rsidR="00F22587" w:rsidRPr="000E5DBF" w:rsidRDefault="00F22587" w:rsidP="008A5C11">
            <w:pPr>
              <w:jc w:val="center"/>
              <w:rPr>
                <w:color w:val="000000"/>
                <w:sz w:val="14"/>
                <w:szCs w:val="14"/>
              </w:rPr>
            </w:pPr>
            <w:r w:rsidRPr="000E5DBF">
              <w:rPr>
                <w:color w:val="000000"/>
                <w:sz w:val="14"/>
                <w:szCs w:val="14"/>
              </w:rPr>
              <w:t>1105,80</w:t>
            </w:r>
          </w:p>
        </w:tc>
        <w:tc>
          <w:tcPr>
            <w:tcW w:w="42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F3194FA" w14:textId="77777777" w:rsidR="00F22587" w:rsidRPr="000E5DBF" w:rsidRDefault="00F22587" w:rsidP="008A5C11">
            <w:pPr>
              <w:jc w:val="center"/>
              <w:rPr>
                <w:color w:val="000000"/>
                <w:sz w:val="14"/>
                <w:szCs w:val="14"/>
              </w:rPr>
            </w:pPr>
            <w:r w:rsidRPr="000E5DBF">
              <w:rPr>
                <w:color w:val="000000"/>
                <w:sz w:val="14"/>
                <w:szCs w:val="14"/>
              </w:rPr>
              <w:t>0,00</w:t>
            </w:r>
          </w:p>
        </w:tc>
        <w:tc>
          <w:tcPr>
            <w:tcW w:w="576"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C2D00BA" w14:textId="77777777" w:rsidR="00F22587" w:rsidRPr="000E5DBF" w:rsidRDefault="00F22587" w:rsidP="008A5C11">
            <w:pPr>
              <w:jc w:val="center"/>
              <w:rPr>
                <w:color w:val="000000"/>
                <w:sz w:val="14"/>
                <w:szCs w:val="14"/>
              </w:rPr>
            </w:pPr>
            <w:r w:rsidRPr="000E5DBF">
              <w:rPr>
                <w:color w:val="000000"/>
                <w:sz w:val="14"/>
                <w:szCs w:val="14"/>
              </w:rPr>
              <w:t>0,00</w:t>
            </w:r>
          </w:p>
        </w:tc>
        <w:tc>
          <w:tcPr>
            <w:tcW w:w="57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581CB78" w14:textId="77777777" w:rsidR="00F22587" w:rsidRPr="000E5DBF" w:rsidRDefault="00F22587" w:rsidP="008A5C11">
            <w:pPr>
              <w:jc w:val="center"/>
              <w:rPr>
                <w:color w:val="000000"/>
                <w:sz w:val="14"/>
                <w:szCs w:val="14"/>
              </w:rPr>
            </w:pPr>
            <w:r w:rsidRPr="000E5DBF">
              <w:rPr>
                <w:color w:val="000000"/>
                <w:sz w:val="14"/>
                <w:szCs w:val="14"/>
              </w:rPr>
              <w:t>1105,80</w:t>
            </w:r>
          </w:p>
        </w:tc>
        <w:tc>
          <w:tcPr>
            <w:tcW w:w="57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F6783A6" w14:textId="77777777" w:rsidR="00F22587" w:rsidRPr="000E5DBF" w:rsidRDefault="00F22587" w:rsidP="008A5C11">
            <w:pPr>
              <w:jc w:val="center"/>
              <w:rPr>
                <w:color w:val="000000"/>
                <w:sz w:val="14"/>
                <w:szCs w:val="14"/>
              </w:rPr>
            </w:pPr>
            <w:r w:rsidRPr="000E5DBF">
              <w:rPr>
                <w:color w:val="000000"/>
                <w:sz w:val="14"/>
                <w:szCs w:val="14"/>
              </w:rPr>
              <w:t>0,00</w:t>
            </w:r>
          </w:p>
        </w:tc>
        <w:tc>
          <w:tcPr>
            <w:tcW w:w="5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13254F7" w14:textId="77777777" w:rsidR="00F22587" w:rsidRPr="000E5DBF" w:rsidRDefault="00F22587" w:rsidP="008A5C11">
            <w:pPr>
              <w:jc w:val="center"/>
              <w:rPr>
                <w:color w:val="000000"/>
                <w:sz w:val="14"/>
                <w:szCs w:val="14"/>
              </w:rPr>
            </w:pPr>
            <w:r w:rsidRPr="000E5DBF">
              <w:rPr>
                <w:color w:val="000000"/>
                <w:sz w:val="14"/>
                <w:szCs w:val="14"/>
              </w:rPr>
              <w:t>0,00</w:t>
            </w:r>
          </w:p>
        </w:tc>
        <w:tc>
          <w:tcPr>
            <w:tcW w:w="56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2F26384" w14:textId="77777777" w:rsidR="00F22587" w:rsidRPr="000E5DBF" w:rsidRDefault="00F22587" w:rsidP="008A5C11">
            <w:pPr>
              <w:jc w:val="center"/>
              <w:rPr>
                <w:color w:val="000000"/>
                <w:sz w:val="14"/>
                <w:szCs w:val="14"/>
              </w:rPr>
            </w:pPr>
            <w:r w:rsidRPr="000E5DBF">
              <w:rPr>
                <w:color w:val="000000"/>
                <w:sz w:val="14"/>
                <w:szCs w:val="14"/>
              </w:rPr>
              <w:t>0,00</w:t>
            </w:r>
          </w:p>
        </w:tc>
        <w:tc>
          <w:tcPr>
            <w:tcW w:w="5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7E0AC59" w14:textId="77777777" w:rsidR="00F22587" w:rsidRPr="000E5DBF" w:rsidRDefault="00F22587" w:rsidP="008A5C11">
            <w:pPr>
              <w:jc w:val="center"/>
              <w:rPr>
                <w:color w:val="000000"/>
                <w:sz w:val="14"/>
                <w:szCs w:val="14"/>
              </w:rPr>
            </w:pPr>
            <w:r w:rsidRPr="000E5DBF">
              <w:rPr>
                <w:color w:val="000000"/>
                <w:sz w:val="14"/>
                <w:szCs w:val="14"/>
              </w:rPr>
              <w:t>0,00</w:t>
            </w:r>
          </w:p>
        </w:tc>
        <w:tc>
          <w:tcPr>
            <w:tcW w:w="56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140B3AA" w14:textId="77777777" w:rsidR="00F22587" w:rsidRPr="000E5DBF" w:rsidRDefault="00F22587" w:rsidP="008A5C11">
            <w:pPr>
              <w:jc w:val="center"/>
              <w:rPr>
                <w:color w:val="000000"/>
                <w:sz w:val="14"/>
                <w:szCs w:val="14"/>
              </w:rPr>
            </w:pPr>
            <w:r w:rsidRPr="000E5DBF">
              <w:rPr>
                <w:color w:val="000000"/>
                <w:sz w:val="14"/>
                <w:szCs w:val="14"/>
              </w:rPr>
              <w:t>0,00</w:t>
            </w:r>
          </w:p>
        </w:tc>
        <w:tc>
          <w:tcPr>
            <w:tcW w:w="577"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A3958BA" w14:textId="77777777" w:rsidR="00F22587" w:rsidRPr="000E5DBF" w:rsidRDefault="00F22587" w:rsidP="008A5C11">
            <w:pPr>
              <w:jc w:val="center"/>
              <w:rPr>
                <w:color w:val="000000"/>
                <w:sz w:val="14"/>
                <w:szCs w:val="14"/>
              </w:rPr>
            </w:pPr>
            <w:r w:rsidRPr="000E5DBF">
              <w:rPr>
                <w:color w:val="000000"/>
                <w:sz w:val="14"/>
                <w:szCs w:val="14"/>
              </w:rPr>
              <w:t>0,00</w:t>
            </w:r>
          </w:p>
        </w:tc>
        <w:tc>
          <w:tcPr>
            <w:tcW w:w="57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50D947C" w14:textId="77777777" w:rsidR="00F22587" w:rsidRPr="000E5DBF" w:rsidRDefault="00F22587" w:rsidP="008A5C11">
            <w:pPr>
              <w:jc w:val="center"/>
              <w:rPr>
                <w:color w:val="000000"/>
                <w:sz w:val="14"/>
                <w:szCs w:val="14"/>
              </w:rPr>
            </w:pPr>
            <w:r w:rsidRPr="000E5DBF">
              <w:rPr>
                <w:color w:val="000000"/>
                <w:sz w:val="14"/>
                <w:szCs w:val="14"/>
              </w:rPr>
              <w:t>0,00</w:t>
            </w:r>
          </w:p>
        </w:tc>
        <w:tc>
          <w:tcPr>
            <w:tcW w:w="5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5064CBD" w14:textId="77777777" w:rsidR="00F22587" w:rsidRPr="000E5DBF" w:rsidRDefault="00F22587" w:rsidP="008A5C11">
            <w:pPr>
              <w:jc w:val="center"/>
              <w:rPr>
                <w:color w:val="000000"/>
                <w:sz w:val="14"/>
                <w:szCs w:val="14"/>
              </w:rPr>
            </w:pPr>
            <w:r w:rsidRPr="000E5DBF">
              <w:rPr>
                <w:color w:val="000000"/>
                <w:sz w:val="14"/>
                <w:szCs w:val="14"/>
              </w:rPr>
              <w:t>0,00</w:t>
            </w:r>
          </w:p>
        </w:tc>
        <w:tc>
          <w:tcPr>
            <w:tcW w:w="5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DBAB385" w14:textId="77777777" w:rsidR="00F22587" w:rsidRPr="000E5DBF" w:rsidRDefault="00F22587" w:rsidP="008A5C11">
            <w:pPr>
              <w:jc w:val="center"/>
              <w:rPr>
                <w:color w:val="000000"/>
                <w:sz w:val="14"/>
                <w:szCs w:val="14"/>
              </w:rPr>
            </w:pPr>
            <w:r w:rsidRPr="000E5DBF">
              <w:rPr>
                <w:color w:val="000000"/>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E85CC62" w14:textId="77777777" w:rsidR="00F22587" w:rsidRPr="000E5DBF" w:rsidRDefault="00F22587" w:rsidP="008A5C11">
            <w:pPr>
              <w:jc w:val="center"/>
              <w:rPr>
                <w:color w:val="000000"/>
                <w:sz w:val="14"/>
                <w:szCs w:val="14"/>
              </w:rPr>
            </w:pPr>
            <w:r w:rsidRPr="000E5DBF">
              <w:rPr>
                <w:color w:val="000000"/>
                <w:sz w:val="14"/>
                <w:szCs w:val="14"/>
              </w:rPr>
              <w:t>0,00</w:t>
            </w:r>
          </w:p>
        </w:tc>
        <w:tc>
          <w:tcPr>
            <w:tcW w:w="344"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DFEA7FD" w14:textId="77777777" w:rsidR="00F22587" w:rsidRPr="000E5DBF" w:rsidRDefault="00F22587" w:rsidP="008A5C11">
            <w:pPr>
              <w:jc w:val="center"/>
              <w:rPr>
                <w:color w:val="000000"/>
                <w:sz w:val="14"/>
                <w:szCs w:val="14"/>
              </w:rPr>
            </w:pPr>
            <w:r w:rsidRPr="000E5DBF">
              <w:rPr>
                <w:color w:val="000000"/>
                <w:sz w:val="14"/>
                <w:szCs w:val="14"/>
              </w:rPr>
              <w:t>0,00</w:t>
            </w:r>
          </w:p>
        </w:tc>
        <w:tc>
          <w:tcPr>
            <w:tcW w:w="37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D7F6D53" w14:textId="77777777" w:rsidR="00F22587" w:rsidRPr="000E5DBF" w:rsidRDefault="00F22587" w:rsidP="008A5C11">
            <w:pPr>
              <w:jc w:val="center"/>
              <w:rPr>
                <w:color w:val="000000"/>
                <w:sz w:val="14"/>
                <w:szCs w:val="14"/>
              </w:rPr>
            </w:pPr>
            <w:r w:rsidRPr="000E5DBF">
              <w:rPr>
                <w:color w:val="000000"/>
                <w:sz w:val="14"/>
                <w:szCs w:val="14"/>
              </w:rPr>
              <w:t>0,00</w:t>
            </w:r>
          </w:p>
        </w:tc>
      </w:tr>
      <w:tr w:rsidR="00F22587" w:rsidRPr="000E5DBF" w14:paraId="21C67180" w14:textId="77777777" w:rsidTr="008A5C11">
        <w:trPr>
          <w:trHeight w:val="294"/>
        </w:trPr>
        <w:tc>
          <w:tcPr>
            <w:tcW w:w="16142" w:type="dxa"/>
            <w:gridSpan w:val="31"/>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65AC65B3" w14:textId="77777777" w:rsidR="00F22587" w:rsidRPr="000E5DBF" w:rsidRDefault="00F22587" w:rsidP="008A5C11">
            <w:pPr>
              <w:rPr>
                <w:color w:val="000000"/>
                <w:sz w:val="14"/>
                <w:szCs w:val="14"/>
              </w:rPr>
            </w:pPr>
            <w:r w:rsidRPr="000E5DBF">
              <w:rPr>
                <w:color w:val="000000"/>
                <w:sz w:val="14"/>
                <w:szCs w:val="14"/>
              </w:rPr>
              <w:t>3.2. Реконструкция или модернизация существующих объектов системы централизованного теплоснабжения, за исключением тепловых сетей</w:t>
            </w:r>
          </w:p>
        </w:tc>
      </w:tr>
      <w:tr w:rsidR="00F22587" w:rsidRPr="000E5DBF" w14:paraId="47926D7E" w14:textId="77777777" w:rsidTr="008A5C11">
        <w:trPr>
          <w:gridAfter w:val="1"/>
          <w:wAfter w:w="11" w:type="dxa"/>
          <w:cantSplit/>
          <w:trHeight w:val="1024"/>
        </w:trPr>
        <w:tc>
          <w:tcPr>
            <w:tcW w:w="411"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54FCFD70" w14:textId="77777777" w:rsidR="00F22587" w:rsidRPr="000E5DBF" w:rsidRDefault="00F22587" w:rsidP="008A5C11">
            <w:pPr>
              <w:jc w:val="center"/>
              <w:rPr>
                <w:color w:val="000000"/>
                <w:sz w:val="14"/>
                <w:szCs w:val="14"/>
              </w:rPr>
            </w:pPr>
            <w:r w:rsidRPr="000E5DBF">
              <w:rPr>
                <w:color w:val="000000"/>
                <w:sz w:val="14"/>
                <w:szCs w:val="14"/>
              </w:rPr>
              <w:t>3.2.1.</w:t>
            </w:r>
          </w:p>
        </w:tc>
        <w:tc>
          <w:tcPr>
            <w:tcW w:w="1447" w:type="dxa"/>
            <w:tcBorders>
              <w:top w:val="nil"/>
              <w:left w:val="nil"/>
              <w:bottom w:val="single" w:sz="4" w:space="0" w:color="auto"/>
              <w:right w:val="single" w:sz="4" w:space="0" w:color="auto"/>
            </w:tcBorders>
            <w:shd w:val="clear" w:color="auto" w:fill="auto"/>
            <w:tcMar>
              <w:left w:w="0" w:type="dxa"/>
              <w:right w:w="0" w:type="dxa"/>
            </w:tcMar>
            <w:vAlign w:val="center"/>
          </w:tcPr>
          <w:p w14:paraId="08938589" w14:textId="77777777" w:rsidR="00F22587" w:rsidRPr="000E5DBF" w:rsidRDefault="00F22587" w:rsidP="008A5C11">
            <w:pPr>
              <w:jc w:val="center"/>
              <w:rPr>
                <w:color w:val="000000"/>
                <w:sz w:val="14"/>
                <w:szCs w:val="14"/>
              </w:rPr>
            </w:pPr>
            <w:r w:rsidRPr="000E5DBF">
              <w:rPr>
                <w:color w:val="000000"/>
                <w:sz w:val="14"/>
                <w:szCs w:val="14"/>
              </w:rPr>
              <w:t>Замена насосов 1-го контура Д 200-90Б на насосы BL 100/305-18,5/4 в котельной Горновского района №3,4</w:t>
            </w:r>
          </w:p>
        </w:tc>
        <w:tc>
          <w:tcPr>
            <w:tcW w:w="980" w:type="dxa"/>
            <w:tcBorders>
              <w:top w:val="nil"/>
              <w:left w:val="nil"/>
              <w:bottom w:val="single" w:sz="4" w:space="0" w:color="auto"/>
              <w:right w:val="single" w:sz="4" w:space="0" w:color="auto"/>
            </w:tcBorders>
            <w:shd w:val="clear" w:color="auto" w:fill="auto"/>
            <w:tcMar>
              <w:left w:w="0" w:type="dxa"/>
              <w:right w:w="0" w:type="dxa"/>
            </w:tcMar>
            <w:vAlign w:val="center"/>
          </w:tcPr>
          <w:p w14:paraId="1E769610" w14:textId="77777777" w:rsidR="00F22587" w:rsidRPr="000E5DBF" w:rsidRDefault="00F22587" w:rsidP="008A5C11">
            <w:pPr>
              <w:jc w:val="center"/>
              <w:rPr>
                <w:color w:val="000000"/>
                <w:sz w:val="14"/>
                <w:szCs w:val="14"/>
              </w:rPr>
            </w:pPr>
            <w:r w:rsidRPr="000E5DBF">
              <w:rPr>
                <w:bCs/>
                <w:sz w:val="14"/>
                <w:szCs w:val="14"/>
              </w:rPr>
              <w:t>Модернизация</w:t>
            </w:r>
          </w:p>
        </w:tc>
        <w:tc>
          <w:tcPr>
            <w:tcW w:w="1002" w:type="dxa"/>
            <w:tcBorders>
              <w:top w:val="nil"/>
              <w:left w:val="nil"/>
              <w:bottom w:val="single" w:sz="4" w:space="0" w:color="auto"/>
              <w:right w:val="single" w:sz="4" w:space="0" w:color="auto"/>
            </w:tcBorders>
            <w:shd w:val="clear" w:color="auto" w:fill="auto"/>
            <w:tcMar>
              <w:left w:w="0" w:type="dxa"/>
              <w:right w:w="0" w:type="dxa"/>
            </w:tcMar>
            <w:vAlign w:val="center"/>
          </w:tcPr>
          <w:p w14:paraId="4667AD9E" w14:textId="77777777" w:rsidR="00F22587" w:rsidRPr="000E5DBF" w:rsidRDefault="00F22587" w:rsidP="008A5C11">
            <w:pPr>
              <w:jc w:val="center"/>
              <w:rPr>
                <w:color w:val="000000"/>
                <w:sz w:val="14"/>
                <w:szCs w:val="14"/>
              </w:rPr>
            </w:pPr>
            <w:r w:rsidRPr="000E5DBF">
              <w:rPr>
                <w:bCs/>
                <w:sz w:val="14"/>
                <w:szCs w:val="14"/>
              </w:rPr>
              <w:t>ул. Вокзальная, 11а</w:t>
            </w:r>
          </w:p>
        </w:tc>
        <w:tc>
          <w:tcPr>
            <w:tcW w:w="1000" w:type="dxa"/>
            <w:tcBorders>
              <w:top w:val="nil"/>
              <w:left w:val="nil"/>
              <w:bottom w:val="single" w:sz="4" w:space="0" w:color="auto"/>
              <w:right w:val="single" w:sz="4" w:space="0" w:color="auto"/>
            </w:tcBorders>
            <w:shd w:val="clear" w:color="auto" w:fill="auto"/>
            <w:tcMar>
              <w:left w:w="0" w:type="dxa"/>
              <w:right w:w="0" w:type="dxa"/>
            </w:tcMar>
            <w:vAlign w:val="center"/>
          </w:tcPr>
          <w:p w14:paraId="127C5D05" w14:textId="77777777" w:rsidR="00F22587" w:rsidRPr="000E5DBF" w:rsidRDefault="00F22587" w:rsidP="008A5C11">
            <w:pPr>
              <w:jc w:val="center"/>
              <w:rPr>
                <w:color w:val="000000"/>
                <w:sz w:val="14"/>
                <w:szCs w:val="14"/>
              </w:rPr>
            </w:pPr>
            <w:proofErr w:type="gramStart"/>
            <w:r w:rsidRPr="000E5DBF">
              <w:rPr>
                <w:color w:val="000000"/>
                <w:sz w:val="14"/>
                <w:szCs w:val="14"/>
              </w:rPr>
              <w:t>производитель-ность</w:t>
            </w:r>
            <w:proofErr w:type="gramEnd"/>
          </w:p>
        </w:tc>
        <w:tc>
          <w:tcPr>
            <w:tcW w:w="429" w:type="dxa"/>
            <w:tcBorders>
              <w:top w:val="nil"/>
              <w:left w:val="nil"/>
              <w:bottom w:val="single" w:sz="4" w:space="0" w:color="auto"/>
              <w:right w:val="single" w:sz="4" w:space="0" w:color="auto"/>
            </w:tcBorders>
            <w:shd w:val="clear" w:color="auto" w:fill="auto"/>
            <w:tcMar>
              <w:left w:w="0" w:type="dxa"/>
              <w:right w:w="0" w:type="dxa"/>
            </w:tcMar>
            <w:vAlign w:val="center"/>
          </w:tcPr>
          <w:p w14:paraId="48093B65" w14:textId="77777777" w:rsidR="00F22587" w:rsidRPr="000E5DBF" w:rsidRDefault="00F22587" w:rsidP="008A5C11">
            <w:pPr>
              <w:jc w:val="center"/>
              <w:rPr>
                <w:color w:val="000000"/>
                <w:sz w:val="14"/>
                <w:szCs w:val="14"/>
              </w:rPr>
            </w:pPr>
            <w:r w:rsidRPr="000E5DBF">
              <w:rPr>
                <w:color w:val="000000"/>
                <w:sz w:val="14"/>
                <w:szCs w:val="14"/>
              </w:rPr>
              <w:t>м</w:t>
            </w:r>
            <w:r w:rsidRPr="000E5DBF">
              <w:rPr>
                <w:color w:val="000000"/>
                <w:sz w:val="14"/>
                <w:szCs w:val="14"/>
                <w:vertAlign w:val="superscript"/>
              </w:rPr>
              <w:t>3</w:t>
            </w:r>
            <w:r w:rsidRPr="000E5DBF">
              <w:rPr>
                <w:color w:val="000000"/>
                <w:sz w:val="14"/>
                <w:szCs w:val="14"/>
              </w:rPr>
              <w:t>/ч</w:t>
            </w:r>
          </w:p>
        </w:tc>
        <w:tc>
          <w:tcPr>
            <w:tcW w:w="719" w:type="dxa"/>
            <w:tcBorders>
              <w:top w:val="nil"/>
              <w:left w:val="nil"/>
              <w:bottom w:val="single" w:sz="4" w:space="0" w:color="auto"/>
              <w:right w:val="single" w:sz="4" w:space="0" w:color="auto"/>
            </w:tcBorders>
            <w:shd w:val="clear" w:color="auto" w:fill="auto"/>
            <w:tcMar>
              <w:left w:w="0" w:type="dxa"/>
              <w:right w:w="0" w:type="dxa"/>
            </w:tcMar>
            <w:vAlign w:val="center"/>
          </w:tcPr>
          <w:p w14:paraId="25385C79" w14:textId="77777777" w:rsidR="00F22587" w:rsidRPr="000E5DBF" w:rsidRDefault="00F22587" w:rsidP="008A5C11">
            <w:pPr>
              <w:jc w:val="center"/>
              <w:rPr>
                <w:color w:val="000000"/>
                <w:sz w:val="14"/>
                <w:szCs w:val="14"/>
              </w:rPr>
            </w:pPr>
            <w:r w:rsidRPr="000E5DBF">
              <w:rPr>
                <w:color w:val="000000"/>
                <w:sz w:val="14"/>
                <w:szCs w:val="14"/>
              </w:rPr>
              <w:t>160</w:t>
            </w:r>
          </w:p>
        </w:tc>
        <w:tc>
          <w:tcPr>
            <w:tcW w:w="723" w:type="dxa"/>
            <w:tcBorders>
              <w:top w:val="nil"/>
              <w:left w:val="nil"/>
              <w:bottom w:val="single" w:sz="4" w:space="0" w:color="auto"/>
              <w:right w:val="single" w:sz="4" w:space="0" w:color="auto"/>
            </w:tcBorders>
            <w:shd w:val="clear" w:color="auto" w:fill="auto"/>
            <w:tcMar>
              <w:left w:w="0" w:type="dxa"/>
              <w:right w:w="0" w:type="dxa"/>
            </w:tcMar>
            <w:vAlign w:val="center"/>
          </w:tcPr>
          <w:p w14:paraId="7E404C12" w14:textId="77777777" w:rsidR="00F22587" w:rsidRPr="000E5DBF" w:rsidRDefault="00F22587" w:rsidP="008A5C11">
            <w:pPr>
              <w:jc w:val="center"/>
              <w:rPr>
                <w:color w:val="000000"/>
                <w:sz w:val="14"/>
                <w:szCs w:val="14"/>
              </w:rPr>
            </w:pPr>
            <w:r w:rsidRPr="000E5DBF">
              <w:rPr>
                <w:color w:val="000000"/>
                <w:sz w:val="14"/>
                <w:szCs w:val="14"/>
              </w:rPr>
              <w:t>179</w:t>
            </w:r>
          </w:p>
        </w:tc>
        <w:tc>
          <w:tcPr>
            <w:tcW w:w="428" w:type="dxa"/>
            <w:gridSpan w:val="2"/>
            <w:tcBorders>
              <w:top w:val="nil"/>
              <w:left w:val="nil"/>
              <w:bottom w:val="single" w:sz="4" w:space="0" w:color="auto"/>
              <w:right w:val="single" w:sz="4" w:space="0" w:color="auto"/>
            </w:tcBorders>
            <w:shd w:val="clear" w:color="auto" w:fill="auto"/>
            <w:tcMar>
              <w:left w:w="0" w:type="dxa"/>
              <w:right w:w="0" w:type="dxa"/>
            </w:tcMar>
            <w:vAlign w:val="center"/>
          </w:tcPr>
          <w:p w14:paraId="03B33EA3" w14:textId="77777777" w:rsidR="00F22587" w:rsidRPr="000E5DBF" w:rsidRDefault="00F22587" w:rsidP="008A5C11">
            <w:pPr>
              <w:jc w:val="center"/>
              <w:rPr>
                <w:color w:val="000000"/>
                <w:sz w:val="14"/>
                <w:szCs w:val="14"/>
              </w:rPr>
            </w:pPr>
            <w:r w:rsidRPr="000E5DBF">
              <w:rPr>
                <w:color w:val="000000"/>
                <w:sz w:val="14"/>
                <w:szCs w:val="14"/>
              </w:rPr>
              <w:t>2019</w:t>
            </w:r>
          </w:p>
        </w:tc>
        <w:tc>
          <w:tcPr>
            <w:tcW w:w="416" w:type="dxa"/>
            <w:tcBorders>
              <w:top w:val="nil"/>
              <w:left w:val="nil"/>
              <w:bottom w:val="single" w:sz="4" w:space="0" w:color="auto"/>
              <w:right w:val="single" w:sz="4" w:space="0" w:color="auto"/>
            </w:tcBorders>
            <w:shd w:val="clear" w:color="auto" w:fill="auto"/>
            <w:tcMar>
              <w:left w:w="0" w:type="dxa"/>
              <w:right w:w="0" w:type="dxa"/>
            </w:tcMar>
            <w:vAlign w:val="center"/>
          </w:tcPr>
          <w:p w14:paraId="0E769C81" w14:textId="77777777" w:rsidR="00F22587" w:rsidRPr="000E5DBF" w:rsidRDefault="00F22587" w:rsidP="008A5C11">
            <w:pPr>
              <w:jc w:val="center"/>
              <w:rPr>
                <w:color w:val="000000"/>
                <w:sz w:val="14"/>
                <w:szCs w:val="14"/>
              </w:rPr>
            </w:pPr>
            <w:r w:rsidRPr="000E5DBF">
              <w:rPr>
                <w:color w:val="000000"/>
                <w:sz w:val="14"/>
                <w:szCs w:val="14"/>
              </w:rPr>
              <w:t>2019</w:t>
            </w:r>
          </w:p>
        </w:tc>
        <w:tc>
          <w:tcPr>
            <w:tcW w:w="573" w:type="dxa"/>
            <w:tcBorders>
              <w:top w:val="nil"/>
              <w:left w:val="nil"/>
              <w:bottom w:val="single" w:sz="4" w:space="0" w:color="auto"/>
              <w:right w:val="single" w:sz="4" w:space="0" w:color="auto"/>
            </w:tcBorders>
            <w:shd w:val="clear" w:color="auto" w:fill="auto"/>
            <w:tcMar>
              <w:left w:w="0" w:type="dxa"/>
              <w:right w:w="0" w:type="dxa"/>
            </w:tcMar>
            <w:vAlign w:val="center"/>
          </w:tcPr>
          <w:p w14:paraId="775EB78F" w14:textId="77777777" w:rsidR="00F22587" w:rsidRPr="000E5DBF" w:rsidRDefault="00F22587" w:rsidP="008A5C11">
            <w:pPr>
              <w:jc w:val="center"/>
              <w:rPr>
                <w:color w:val="000000"/>
                <w:sz w:val="14"/>
                <w:szCs w:val="14"/>
              </w:rPr>
            </w:pPr>
            <w:r w:rsidRPr="000E5DBF">
              <w:rPr>
                <w:color w:val="000000"/>
                <w:sz w:val="14"/>
                <w:szCs w:val="14"/>
              </w:rPr>
              <w:t>461,51</w:t>
            </w:r>
          </w:p>
        </w:tc>
        <w:tc>
          <w:tcPr>
            <w:tcW w:w="447" w:type="dxa"/>
            <w:gridSpan w:val="2"/>
            <w:tcBorders>
              <w:top w:val="nil"/>
              <w:left w:val="nil"/>
              <w:bottom w:val="single" w:sz="4" w:space="0" w:color="auto"/>
              <w:right w:val="single" w:sz="4" w:space="0" w:color="auto"/>
            </w:tcBorders>
            <w:shd w:val="clear" w:color="auto" w:fill="auto"/>
            <w:tcMar>
              <w:left w:w="0" w:type="dxa"/>
              <w:right w:w="0" w:type="dxa"/>
            </w:tcMar>
            <w:vAlign w:val="center"/>
          </w:tcPr>
          <w:p w14:paraId="07B4D9B8" w14:textId="77777777" w:rsidR="00F22587" w:rsidRPr="000E5DBF" w:rsidRDefault="00F22587" w:rsidP="008A5C11">
            <w:pPr>
              <w:jc w:val="center"/>
              <w:rPr>
                <w:color w:val="000000"/>
                <w:sz w:val="14"/>
                <w:szCs w:val="14"/>
              </w:rPr>
            </w:pPr>
            <w:r w:rsidRPr="000E5DBF">
              <w:rPr>
                <w:color w:val="000000"/>
                <w:sz w:val="14"/>
                <w:szCs w:val="14"/>
              </w:rPr>
              <w:t>0,00</w:t>
            </w:r>
          </w:p>
        </w:tc>
        <w:tc>
          <w:tcPr>
            <w:tcW w:w="559" w:type="dxa"/>
            <w:tcBorders>
              <w:top w:val="nil"/>
              <w:left w:val="nil"/>
              <w:bottom w:val="single" w:sz="4" w:space="0" w:color="auto"/>
              <w:right w:val="single" w:sz="4" w:space="0" w:color="auto"/>
            </w:tcBorders>
            <w:shd w:val="clear" w:color="000000" w:fill="FFFFFF"/>
            <w:tcMar>
              <w:left w:w="0" w:type="dxa"/>
              <w:right w:w="0" w:type="dxa"/>
            </w:tcMar>
            <w:vAlign w:val="center"/>
          </w:tcPr>
          <w:p w14:paraId="4011298E" w14:textId="77777777" w:rsidR="00F22587" w:rsidRPr="000E5DBF" w:rsidRDefault="00F22587" w:rsidP="008A5C11">
            <w:pPr>
              <w:jc w:val="center"/>
              <w:rPr>
                <w:color w:val="000000"/>
                <w:sz w:val="14"/>
                <w:szCs w:val="14"/>
              </w:rPr>
            </w:pPr>
            <w:r w:rsidRPr="000E5DBF">
              <w:rPr>
                <w:color w:val="000000"/>
                <w:sz w:val="14"/>
                <w:szCs w:val="14"/>
              </w:rPr>
              <w:t>461,51</w:t>
            </w:r>
          </w:p>
        </w:tc>
        <w:tc>
          <w:tcPr>
            <w:tcW w:w="572" w:type="dxa"/>
            <w:tcBorders>
              <w:top w:val="nil"/>
              <w:left w:val="nil"/>
              <w:bottom w:val="single" w:sz="4" w:space="0" w:color="auto"/>
              <w:right w:val="single" w:sz="4" w:space="0" w:color="auto"/>
            </w:tcBorders>
            <w:shd w:val="clear" w:color="auto" w:fill="auto"/>
            <w:tcMar>
              <w:left w:w="0" w:type="dxa"/>
              <w:right w:w="0" w:type="dxa"/>
            </w:tcMar>
            <w:vAlign w:val="center"/>
          </w:tcPr>
          <w:p w14:paraId="6D7411E3" w14:textId="77777777" w:rsidR="00F22587" w:rsidRPr="000E5DBF" w:rsidRDefault="00F22587" w:rsidP="008A5C11">
            <w:pPr>
              <w:jc w:val="center"/>
              <w:rPr>
                <w:color w:val="000000"/>
                <w:sz w:val="14"/>
                <w:szCs w:val="14"/>
              </w:rPr>
            </w:pPr>
            <w:r w:rsidRPr="000E5DBF">
              <w:rPr>
                <w:color w:val="000000"/>
                <w:sz w:val="14"/>
                <w:szCs w:val="14"/>
              </w:rPr>
              <w:t>0,00</w:t>
            </w:r>
          </w:p>
        </w:tc>
        <w:tc>
          <w:tcPr>
            <w:tcW w:w="572" w:type="dxa"/>
            <w:tcBorders>
              <w:top w:val="nil"/>
              <w:left w:val="nil"/>
              <w:bottom w:val="single" w:sz="4" w:space="0" w:color="auto"/>
              <w:right w:val="single" w:sz="4" w:space="0" w:color="auto"/>
            </w:tcBorders>
            <w:shd w:val="clear" w:color="auto" w:fill="auto"/>
            <w:tcMar>
              <w:left w:w="0" w:type="dxa"/>
              <w:right w:w="0" w:type="dxa"/>
            </w:tcMar>
            <w:vAlign w:val="center"/>
          </w:tcPr>
          <w:p w14:paraId="18DF217C" w14:textId="77777777" w:rsidR="00F22587" w:rsidRPr="000E5DBF" w:rsidRDefault="00F22587" w:rsidP="008A5C11">
            <w:pPr>
              <w:jc w:val="center"/>
              <w:rPr>
                <w:color w:val="000000"/>
                <w:sz w:val="14"/>
                <w:szCs w:val="14"/>
              </w:rPr>
            </w:pPr>
            <w:r w:rsidRPr="000E5DBF">
              <w:rPr>
                <w:color w:val="000000"/>
                <w:sz w:val="14"/>
                <w:szCs w:val="14"/>
              </w:rPr>
              <w:t>0,00</w:t>
            </w:r>
          </w:p>
        </w:tc>
        <w:tc>
          <w:tcPr>
            <w:tcW w:w="566" w:type="dxa"/>
            <w:tcBorders>
              <w:top w:val="nil"/>
              <w:left w:val="nil"/>
              <w:bottom w:val="single" w:sz="4" w:space="0" w:color="auto"/>
              <w:right w:val="single" w:sz="4" w:space="0" w:color="auto"/>
            </w:tcBorders>
            <w:shd w:val="clear" w:color="auto" w:fill="auto"/>
            <w:tcMar>
              <w:left w:w="0" w:type="dxa"/>
              <w:right w:w="0" w:type="dxa"/>
            </w:tcMar>
            <w:vAlign w:val="center"/>
          </w:tcPr>
          <w:p w14:paraId="43145ACD" w14:textId="77777777" w:rsidR="00F22587" w:rsidRPr="000E5DBF" w:rsidRDefault="00F22587" w:rsidP="008A5C11">
            <w:pPr>
              <w:jc w:val="center"/>
              <w:rPr>
                <w:color w:val="000000"/>
                <w:sz w:val="14"/>
                <w:szCs w:val="14"/>
              </w:rPr>
            </w:pPr>
            <w:r w:rsidRPr="000E5DBF">
              <w:rPr>
                <w:color w:val="000000"/>
                <w:sz w:val="14"/>
                <w:szCs w:val="14"/>
              </w:rPr>
              <w:t>0,00</w:t>
            </w:r>
          </w:p>
        </w:tc>
        <w:tc>
          <w:tcPr>
            <w:tcW w:w="565" w:type="dxa"/>
            <w:tcBorders>
              <w:top w:val="nil"/>
              <w:left w:val="nil"/>
              <w:bottom w:val="single" w:sz="4" w:space="0" w:color="auto"/>
              <w:right w:val="single" w:sz="4" w:space="0" w:color="auto"/>
            </w:tcBorders>
            <w:shd w:val="clear" w:color="auto" w:fill="auto"/>
            <w:tcMar>
              <w:left w:w="0" w:type="dxa"/>
              <w:right w:w="0" w:type="dxa"/>
            </w:tcMar>
            <w:vAlign w:val="center"/>
          </w:tcPr>
          <w:p w14:paraId="7EEC529F" w14:textId="77777777" w:rsidR="00F22587" w:rsidRPr="000E5DBF" w:rsidRDefault="00F22587" w:rsidP="008A5C11">
            <w:pPr>
              <w:jc w:val="center"/>
              <w:rPr>
                <w:color w:val="000000"/>
                <w:sz w:val="14"/>
                <w:szCs w:val="14"/>
              </w:rPr>
            </w:pPr>
            <w:r w:rsidRPr="000E5DBF">
              <w:rPr>
                <w:color w:val="000000"/>
                <w:sz w:val="14"/>
                <w:szCs w:val="14"/>
              </w:rPr>
              <w:t>0,00</w:t>
            </w:r>
          </w:p>
        </w:tc>
        <w:tc>
          <w:tcPr>
            <w:tcW w:w="574" w:type="dxa"/>
            <w:tcBorders>
              <w:top w:val="nil"/>
              <w:left w:val="nil"/>
              <w:bottom w:val="single" w:sz="4" w:space="0" w:color="auto"/>
              <w:right w:val="single" w:sz="4" w:space="0" w:color="auto"/>
            </w:tcBorders>
            <w:shd w:val="clear" w:color="auto" w:fill="auto"/>
            <w:tcMar>
              <w:left w:w="0" w:type="dxa"/>
              <w:right w:w="0" w:type="dxa"/>
            </w:tcMar>
            <w:vAlign w:val="center"/>
          </w:tcPr>
          <w:p w14:paraId="4B2A8A08" w14:textId="77777777" w:rsidR="00F22587" w:rsidRPr="000E5DBF" w:rsidRDefault="00F22587" w:rsidP="008A5C11">
            <w:pPr>
              <w:jc w:val="center"/>
              <w:rPr>
                <w:color w:val="000000"/>
                <w:sz w:val="14"/>
                <w:szCs w:val="14"/>
              </w:rPr>
            </w:pPr>
            <w:r w:rsidRPr="000E5DBF">
              <w:rPr>
                <w:color w:val="000000"/>
                <w:sz w:val="14"/>
                <w:szCs w:val="14"/>
              </w:rPr>
              <w:t>0,00</w:t>
            </w:r>
          </w:p>
        </w:tc>
        <w:tc>
          <w:tcPr>
            <w:tcW w:w="572" w:type="dxa"/>
            <w:gridSpan w:val="2"/>
            <w:tcBorders>
              <w:top w:val="nil"/>
              <w:left w:val="nil"/>
              <w:bottom w:val="single" w:sz="4" w:space="0" w:color="auto"/>
              <w:right w:val="single" w:sz="4" w:space="0" w:color="auto"/>
            </w:tcBorders>
            <w:shd w:val="clear" w:color="auto" w:fill="auto"/>
            <w:tcMar>
              <w:left w:w="0" w:type="dxa"/>
              <w:right w:w="0" w:type="dxa"/>
            </w:tcMar>
            <w:vAlign w:val="center"/>
          </w:tcPr>
          <w:p w14:paraId="39FE40E1" w14:textId="77777777" w:rsidR="00F22587" w:rsidRPr="000E5DBF" w:rsidRDefault="00F22587" w:rsidP="008A5C11">
            <w:pPr>
              <w:jc w:val="center"/>
              <w:rPr>
                <w:color w:val="000000"/>
                <w:sz w:val="14"/>
                <w:szCs w:val="14"/>
              </w:rPr>
            </w:pPr>
            <w:r w:rsidRPr="000E5DBF">
              <w:rPr>
                <w:color w:val="000000"/>
                <w:sz w:val="14"/>
                <w:szCs w:val="14"/>
              </w:rPr>
              <w:t>0,00</w:t>
            </w:r>
          </w:p>
        </w:tc>
        <w:tc>
          <w:tcPr>
            <w:tcW w:w="570" w:type="dxa"/>
            <w:tcBorders>
              <w:top w:val="nil"/>
              <w:left w:val="nil"/>
              <w:bottom w:val="single" w:sz="4" w:space="0" w:color="auto"/>
              <w:right w:val="single" w:sz="4" w:space="0" w:color="auto"/>
            </w:tcBorders>
            <w:shd w:val="clear" w:color="auto" w:fill="auto"/>
            <w:tcMar>
              <w:left w:w="0" w:type="dxa"/>
              <w:right w:w="0" w:type="dxa"/>
            </w:tcMar>
            <w:vAlign w:val="center"/>
          </w:tcPr>
          <w:p w14:paraId="6A0BC7C2" w14:textId="77777777" w:rsidR="00F22587" w:rsidRPr="000E5DBF" w:rsidRDefault="00F22587" w:rsidP="008A5C11">
            <w:pPr>
              <w:jc w:val="center"/>
              <w:rPr>
                <w:color w:val="000000"/>
                <w:sz w:val="14"/>
                <w:szCs w:val="14"/>
              </w:rPr>
            </w:pPr>
            <w:r w:rsidRPr="000E5DBF">
              <w:rPr>
                <w:color w:val="000000"/>
                <w:sz w:val="14"/>
                <w:szCs w:val="14"/>
              </w:rPr>
              <w:t>0,00</w:t>
            </w:r>
          </w:p>
        </w:tc>
        <w:tc>
          <w:tcPr>
            <w:tcW w:w="572" w:type="dxa"/>
            <w:tcBorders>
              <w:top w:val="nil"/>
              <w:left w:val="nil"/>
              <w:bottom w:val="single" w:sz="4" w:space="0" w:color="auto"/>
              <w:right w:val="single" w:sz="4" w:space="0" w:color="auto"/>
            </w:tcBorders>
            <w:shd w:val="clear" w:color="auto" w:fill="auto"/>
            <w:tcMar>
              <w:left w:w="0" w:type="dxa"/>
              <w:right w:w="0" w:type="dxa"/>
            </w:tcMar>
            <w:vAlign w:val="center"/>
          </w:tcPr>
          <w:p w14:paraId="60FB5D61" w14:textId="77777777" w:rsidR="00F22587" w:rsidRPr="000E5DBF" w:rsidRDefault="00F22587" w:rsidP="008A5C11">
            <w:pPr>
              <w:jc w:val="center"/>
              <w:rPr>
                <w:color w:val="000000"/>
                <w:sz w:val="14"/>
                <w:szCs w:val="14"/>
              </w:rPr>
            </w:pPr>
            <w:r w:rsidRPr="000E5DBF">
              <w:rPr>
                <w:color w:val="000000"/>
                <w:sz w:val="14"/>
                <w:szCs w:val="14"/>
              </w:rPr>
              <w:t>0,00</w:t>
            </w:r>
          </w:p>
        </w:tc>
        <w:tc>
          <w:tcPr>
            <w:tcW w:w="573" w:type="dxa"/>
            <w:tcBorders>
              <w:top w:val="nil"/>
              <w:left w:val="nil"/>
              <w:bottom w:val="single" w:sz="4" w:space="0" w:color="auto"/>
              <w:right w:val="single" w:sz="4" w:space="0" w:color="auto"/>
            </w:tcBorders>
            <w:shd w:val="clear" w:color="auto" w:fill="auto"/>
            <w:tcMar>
              <w:left w:w="0" w:type="dxa"/>
              <w:right w:w="0" w:type="dxa"/>
            </w:tcMar>
            <w:vAlign w:val="center"/>
          </w:tcPr>
          <w:p w14:paraId="263A2E67" w14:textId="77777777" w:rsidR="00F22587" w:rsidRPr="000E5DBF" w:rsidRDefault="00F22587" w:rsidP="008A5C11">
            <w:pPr>
              <w:jc w:val="center"/>
              <w:rPr>
                <w:color w:val="000000"/>
                <w:sz w:val="14"/>
                <w:szCs w:val="14"/>
              </w:rPr>
            </w:pPr>
            <w:r w:rsidRPr="000E5DBF">
              <w:rPr>
                <w:color w:val="000000"/>
                <w:sz w:val="14"/>
                <w:szCs w:val="14"/>
              </w:rPr>
              <w:t>0,00</w:t>
            </w:r>
          </w:p>
        </w:tc>
        <w:tc>
          <w:tcPr>
            <w:tcW w:w="574" w:type="dxa"/>
            <w:tcBorders>
              <w:top w:val="nil"/>
              <w:left w:val="nil"/>
              <w:bottom w:val="single" w:sz="4" w:space="0" w:color="auto"/>
              <w:right w:val="single" w:sz="4" w:space="0" w:color="auto"/>
            </w:tcBorders>
            <w:shd w:val="clear" w:color="auto" w:fill="auto"/>
            <w:tcMar>
              <w:left w:w="0" w:type="dxa"/>
              <w:right w:w="0" w:type="dxa"/>
            </w:tcMar>
            <w:vAlign w:val="center"/>
          </w:tcPr>
          <w:p w14:paraId="2112E8EE" w14:textId="77777777" w:rsidR="00F22587" w:rsidRPr="000E5DBF" w:rsidRDefault="00F22587" w:rsidP="008A5C11">
            <w:pPr>
              <w:jc w:val="center"/>
              <w:rPr>
                <w:color w:val="000000"/>
                <w:sz w:val="14"/>
                <w:szCs w:val="14"/>
              </w:rPr>
            </w:pPr>
            <w:r w:rsidRPr="000E5DBF">
              <w:rPr>
                <w:color w:val="000000"/>
                <w:sz w:val="14"/>
                <w:szCs w:val="14"/>
              </w:rPr>
              <w:t>0,00</w:t>
            </w:r>
          </w:p>
        </w:tc>
        <w:tc>
          <w:tcPr>
            <w:tcW w:w="567" w:type="dxa"/>
            <w:tcBorders>
              <w:top w:val="nil"/>
              <w:left w:val="nil"/>
              <w:bottom w:val="single" w:sz="4" w:space="0" w:color="auto"/>
              <w:right w:val="single" w:sz="4" w:space="0" w:color="auto"/>
            </w:tcBorders>
            <w:shd w:val="clear" w:color="auto" w:fill="auto"/>
            <w:tcMar>
              <w:left w:w="0" w:type="dxa"/>
              <w:right w:w="0" w:type="dxa"/>
            </w:tcMar>
            <w:vAlign w:val="center"/>
          </w:tcPr>
          <w:p w14:paraId="6D7EBF2F" w14:textId="77777777" w:rsidR="00F22587" w:rsidRPr="000E5DBF" w:rsidRDefault="00F22587" w:rsidP="008A5C11">
            <w:pPr>
              <w:jc w:val="center"/>
              <w:rPr>
                <w:color w:val="000000"/>
                <w:sz w:val="14"/>
                <w:szCs w:val="14"/>
              </w:rPr>
            </w:pPr>
            <w:r w:rsidRPr="000E5DBF">
              <w:rPr>
                <w:color w:val="000000"/>
                <w:sz w:val="14"/>
                <w:szCs w:val="14"/>
              </w:rPr>
              <w:t>0,00</w:t>
            </w:r>
          </w:p>
        </w:tc>
        <w:tc>
          <w:tcPr>
            <w:tcW w:w="292" w:type="dxa"/>
            <w:tcBorders>
              <w:top w:val="nil"/>
              <w:left w:val="nil"/>
              <w:bottom w:val="single" w:sz="4" w:space="0" w:color="auto"/>
              <w:right w:val="single" w:sz="4" w:space="0" w:color="auto"/>
            </w:tcBorders>
            <w:shd w:val="clear" w:color="auto" w:fill="auto"/>
            <w:tcMar>
              <w:left w:w="0" w:type="dxa"/>
              <w:right w:w="0" w:type="dxa"/>
            </w:tcMar>
            <w:vAlign w:val="center"/>
          </w:tcPr>
          <w:p w14:paraId="32796E47" w14:textId="77777777" w:rsidR="00F22587" w:rsidRPr="000E5DBF" w:rsidRDefault="00F22587" w:rsidP="008A5C11">
            <w:pPr>
              <w:jc w:val="center"/>
              <w:rPr>
                <w:color w:val="000000"/>
                <w:sz w:val="14"/>
                <w:szCs w:val="14"/>
              </w:rPr>
            </w:pPr>
            <w:r w:rsidRPr="000E5DBF">
              <w:rPr>
                <w:color w:val="000000"/>
                <w:sz w:val="14"/>
                <w:szCs w:val="14"/>
              </w:rPr>
              <w:t>0,00</w:t>
            </w:r>
          </w:p>
        </w:tc>
        <w:tc>
          <w:tcPr>
            <w:tcW w:w="428" w:type="dxa"/>
            <w:gridSpan w:val="2"/>
            <w:tcBorders>
              <w:top w:val="nil"/>
              <w:left w:val="nil"/>
              <w:bottom w:val="single" w:sz="4" w:space="0" w:color="auto"/>
              <w:right w:val="single" w:sz="4" w:space="0" w:color="auto"/>
            </w:tcBorders>
            <w:shd w:val="clear" w:color="auto" w:fill="auto"/>
            <w:tcMar>
              <w:left w:w="0" w:type="dxa"/>
              <w:right w:w="0" w:type="dxa"/>
            </w:tcMar>
            <w:vAlign w:val="center"/>
          </w:tcPr>
          <w:p w14:paraId="77886B89" w14:textId="77777777" w:rsidR="00F22587" w:rsidRPr="000E5DBF" w:rsidRDefault="00F22587" w:rsidP="008A5C11">
            <w:pPr>
              <w:jc w:val="center"/>
              <w:rPr>
                <w:color w:val="000000"/>
                <w:sz w:val="14"/>
                <w:szCs w:val="14"/>
              </w:rPr>
            </w:pPr>
            <w:r w:rsidRPr="000E5DBF">
              <w:rPr>
                <w:color w:val="000000"/>
                <w:sz w:val="14"/>
                <w:szCs w:val="14"/>
              </w:rPr>
              <w:t>0,00</w:t>
            </w:r>
          </w:p>
        </w:tc>
      </w:tr>
      <w:tr w:rsidR="00F22587" w:rsidRPr="000E5DBF" w14:paraId="0561C6E7" w14:textId="77777777" w:rsidTr="008A5C11">
        <w:trPr>
          <w:gridAfter w:val="1"/>
          <w:wAfter w:w="11" w:type="dxa"/>
          <w:cantSplit/>
          <w:trHeight w:val="772"/>
        </w:trPr>
        <w:tc>
          <w:tcPr>
            <w:tcW w:w="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577F4507" w14:textId="77777777" w:rsidR="00F22587" w:rsidRPr="000E5DBF" w:rsidRDefault="00F22587" w:rsidP="008A5C11">
            <w:pPr>
              <w:jc w:val="center"/>
              <w:rPr>
                <w:color w:val="000000"/>
                <w:sz w:val="14"/>
                <w:szCs w:val="14"/>
              </w:rPr>
            </w:pPr>
            <w:r w:rsidRPr="000E5DBF">
              <w:rPr>
                <w:color w:val="000000"/>
                <w:sz w:val="14"/>
                <w:szCs w:val="14"/>
              </w:rPr>
              <w:t>3.2.2.</w:t>
            </w:r>
          </w:p>
        </w:tc>
        <w:tc>
          <w:tcPr>
            <w:tcW w:w="144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887F79B" w14:textId="77777777" w:rsidR="00F22587" w:rsidRPr="000E5DBF" w:rsidRDefault="00F22587" w:rsidP="008A5C11">
            <w:pPr>
              <w:jc w:val="center"/>
              <w:rPr>
                <w:color w:val="000000"/>
                <w:sz w:val="14"/>
                <w:szCs w:val="14"/>
              </w:rPr>
            </w:pPr>
            <w:r w:rsidRPr="000E5DBF">
              <w:rPr>
                <w:color w:val="000000"/>
                <w:sz w:val="14"/>
                <w:szCs w:val="14"/>
              </w:rPr>
              <w:t>Установка автоматизированной котельной ОС</w:t>
            </w:r>
          </w:p>
        </w:tc>
        <w:tc>
          <w:tcPr>
            <w:tcW w:w="980"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332DBE3" w14:textId="77777777" w:rsidR="00F22587" w:rsidRPr="000E5DBF" w:rsidRDefault="00F22587" w:rsidP="008A5C11">
            <w:pPr>
              <w:jc w:val="center"/>
              <w:rPr>
                <w:color w:val="000000"/>
                <w:sz w:val="14"/>
                <w:szCs w:val="14"/>
              </w:rPr>
            </w:pPr>
            <w:r w:rsidRPr="000E5DBF">
              <w:rPr>
                <w:color w:val="000000"/>
                <w:sz w:val="14"/>
                <w:szCs w:val="14"/>
              </w:rPr>
              <w:t>Снижение расхода топлива</w:t>
            </w:r>
          </w:p>
        </w:tc>
        <w:tc>
          <w:tcPr>
            <w:tcW w:w="1002"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12A607D" w14:textId="77777777" w:rsidR="00F22587" w:rsidRPr="000E5DBF" w:rsidRDefault="00F22587" w:rsidP="008A5C11">
            <w:pPr>
              <w:jc w:val="center"/>
              <w:rPr>
                <w:color w:val="000000"/>
                <w:sz w:val="14"/>
                <w:szCs w:val="14"/>
              </w:rPr>
            </w:pPr>
            <w:r w:rsidRPr="000E5DBF">
              <w:rPr>
                <w:bCs/>
                <w:sz w:val="14"/>
                <w:szCs w:val="14"/>
              </w:rPr>
              <w:t>ул. Вокзальная, 1</w:t>
            </w:r>
          </w:p>
        </w:tc>
        <w:tc>
          <w:tcPr>
            <w:tcW w:w="1000"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1C49120" w14:textId="77777777" w:rsidR="00F22587" w:rsidRPr="000E5DBF" w:rsidRDefault="00F22587" w:rsidP="008A5C11">
            <w:pPr>
              <w:jc w:val="center"/>
              <w:rPr>
                <w:color w:val="000000"/>
                <w:sz w:val="14"/>
                <w:szCs w:val="14"/>
              </w:rPr>
            </w:pPr>
            <w:r w:rsidRPr="000E5DBF">
              <w:rPr>
                <w:color w:val="000000"/>
                <w:sz w:val="14"/>
                <w:szCs w:val="14"/>
              </w:rPr>
              <w:t>расход угля</w:t>
            </w:r>
          </w:p>
        </w:tc>
        <w:tc>
          <w:tcPr>
            <w:tcW w:w="429"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D0039E3" w14:textId="77777777" w:rsidR="00F22587" w:rsidRPr="000E5DBF" w:rsidRDefault="00F22587" w:rsidP="008A5C11">
            <w:pPr>
              <w:jc w:val="center"/>
              <w:rPr>
                <w:color w:val="000000"/>
                <w:sz w:val="14"/>
                <w:szCs w:val="14"/>
              </w:rPr>
            </w:pPr>
            <w:r w:rsidRPr="000E5DBF">
              <w:rPr>
                <w:color w:val="000000"/>
                <w:sz w:val="14"/>
                <w:szCs w:val="14"/>
              </w:rPr>
              <w:t>тн</w:t>
            </w:r>
          </w:p>
        </w:tc>
        <w:tc>
          <w:tcPr>
            <w:tcW w:w="719"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CB99B53" w14:textId="77777777" w:rsidR="00F22587" w:rsidRPr="000E5DBF" w:rsidRDefault="00F22587" w:rsidP="008A5C11">
            <w:pPr>
              <w:jc w:val="center"/>
              <w:rPr>
                <w:color w:val="000000"/>
                <w:sz w:val="14"/>
                <w:szCs w:val="14"/>
              </w:rPr>
            </w:pPr>
            <w:r w:rsidRPr="000E5DBF">
              <w:rPr>
                <w:color w:val="000000"/>
                <w:sz w:val="14"/>
                <w:szCs w:val="14"/>
              </w:rPr>
              <w:t>527</w:t>
            </w:r>
          </w:p>
        </w:tc>
        <w:tc>
          <w:tcPr>
            <w:tcW w:w="723"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7889240" w14:textId="77777777" w:rsidR="00F22587" w:rsidRPr="000E5DBF" w:rsidRDefault="00F22587" w:rsidP="008A5C11">
            <w:pPr>
              <w:jc w:val="center"/>
              <w:rPr>
                <w:color w:val="000000"/>
                <w:sz w:val="14"/>
                <w:szCs w:val="14"/>
              </w:rPr>
            </w:pPr>
            <w:r w:rsidRPr="000E5DBF">
              <w:rPr>
                <w:color w:val="000000"/>
                <w:sz w:val="14"/>
                <w:szCs w:val="14"/>
              </w:rPr>
              <w:t>360</w:t>
            </w:r>
          </w:p>
        </w:tc>
        <w:tc>
          <w:tcPr>
            <w:tcW w:w="428" w:type="dxa"/>
            <w:gridSpan w:val="2"/>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D5F6597" w14:textId="77777777" w:rsidR="00F22587" w:rsidRPr="000E5DBF" w:rsidRDefault="00F22587" w:rsidP="008A5C11">
            <w:pPr>
              <w:jc w:val="center"/>
              <w:rPr>
                <w:color w:val="000000"/>
                <w:sz w:val="14"/>
                <w:szCs w:val="14"/>
              </w:rPr>
            </w:pPr>
            <w:r w:rsidRPr="000E5DBF">
              <w:rPr>
                <w:color w:val="000000"/>
                <w:sz w:val="14"/>
                <w:szCs w:val="14"/>
              </w:rPr>
              <w:t>2025</w:t>
            </w:r>
          </w:p>
        </w:tc>
        <w:tc>
          <w:tcPr>
            <w:tcW w:w="416"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FC8F825" w14:textId="77777777" w:rsidR="00F22587" w:rsidRPr="000E5DBF" w:rsidRDefault="00F22587" w:rsidP="008A5C11">
            <w:pPr>
              <w:jc w:val="center"/>
              <w:rPr>
                <w:color w:val="000000"/>
                <w:sz w:val="14"/>
                <w:szCs w:val="14"/>
              </w:rPr>
            </w:pPr>
            <w:r w:rsidRPr="000E5DBF">
              <w:rPr>
                <w:color w:val="000000"/>
                <w:sz w:val="14"/>
                <w:szCs w:val="14"/>
              </w:rPr>
              <w:t>2025</w:t>
            </w:r>
          </w:p>
        </w:tc>
        <w:tc>
          <w:tcPr>
            <w:tcW w:w="573"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BE4764F" w14:textId="77777777" w:rsidR="00F22587" w:rsidRPr="000E5DBF" w:rsidRDefault="00F22587" w:rsidP="008A5C11">
            <w:pPr>
              <w:jc w:val="center"/>
              <w:rPr>
                <w:color w:val="000000"/>
                <w:sz w:val="14"/>
                <w:szCs w:val="14"/>
              </w:rPr>
            </w:pPr>
            <w:r w:rsidRPr="000E5DBF">
              <w:rPr>
                <w:color w:val="000000"/>
                <w:sz w:val="14"/>
                <w:szCs w:val="14"/>
              </w:rPr>
              <w:t>4353,84</w:t>
            </w:r>
          </w:p>
        </w:tc>
        <w:tc>
          <w:tcPr>
            <w:tcW w:w="447" w:type="dxa"/>
            <w:gridSpan w:val="2"/>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69BB0DC" w14:textId="77777777" w:rsidR="00F22587" w:rsidRPr="000E5DBF" w:rsidRDefault="00F22587" w:rsidP="008A5C11">
            <w:pPr>
              <w:jc w:val="center"/>
              <w:rPr>
                <w:color w:val="000000"/>
                <w:sz w:val="14"/>
                <w:szCs w:val="14"/>
              </w:rPr>
            </w:pPr>
            <w:r w:rsidRPr="000E5DBF">
              <w:rPr>
                <w:color w:val="000000"/>
                <w:sz w:val="14"/>
                <w:szCs w:val="14"/>
              </w:rPr>
              <w:t>0,00</w:t>
            </w:r>
          </w:p>
        </w:tc>
        <w:tc>
          <w:tcPr>
            <w:tcW w:w="559" w:type="dxa"/>
            <w:tcBorders>
              <w:top w:val="single" w:sz="4" w:space="0" w:color="auto"/>
              <w:left w:val="nil"/>
              <w:bottom w:val="single" w:sz="4" w:space="0" w:color="auto"/>
              <w:right w:val="single" w:sz="4" w:space="0" w:color="auto"/>
            </w:tcBorders>
            <w:shd w:val="clear" w:color="000000" w:fill="FFFFFF"/>
            <w:tcMar>
              <w:left w:w="0" w:type="dxa"/>
              <w:right w:w="0" w:type="dxa"/>
            </w:tcMar>
            <w:vAlign w:val="center"/>
          </w:tcPr>
          <w:p w14:paraId="1DDC9AA7" w14:textId="77777777" w:rsidR="00F22587" w:rsidRPr="000E5DBF" w:rsidRDefault="00F22587" w:rsidP="008A5C11">
            <w:pPr>
              <w:jc w:val="center"/>
              <w:rPr>
                <w:color w:val="000000"/>
                <w:sz w:val="14"/>
                <w:szCs w:val="14"/>
              </w:rPr>
            </w:pPr>
            <w:r w:rsidRPr="000E5DBF">
              <w:rPr>
                <w:color w:val="000000"/>
                <w:sz w:val="14"/>
                <w:szCs w:val="14"/>
              </w:rPr>
              <w:t>0,00</w:t>
            </w:r>
          </w:p>
        </w:tc>
        <w:tc>
          <w:tcPr>
            <w:tcW w:w="572"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325AB05" w14:textId="77777777" w:rsidR="00F22587" w:rsidRPr="000E5DBF" w:rsidRDefault="00F22587" w:rsidP="008A5C11">
            <w:pPr>
              <w:jc w:val="center"/>
              <w:rPr>
                <w:color w:val="000000"/>
                <w:sz w:val="14"/>
                <w:szCs w:val="14"/>
              </w:rPr>
            </w:pPr>
            <w:r w:rsidRPr="000E5DBF">
              <w:rPr>
                <w:color w:val="000000"/>
                <w:sz w:val="14"/>
                <w:szCs w:val="14"/>
              </w:rPr>
              <w:t>0,00</w:t>
            </w:r>
          </w:p>
        </w:tc>
        <w:tc>
          <w:tcPr>
            <w:tcW w:w="572"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71EBB0E" w14:textId="77777777" w:rsidR="00F22587" w:rsidRPr="000E5DBF" w:rsidRDefault="00F22587" w:rsidP="008A5C11">
            <w:pPr>
              <w:jc w:val="center"/>
              <w:rPr>
                <w:color w:val="000000"/>
                <w:sz w:val="14"/>
                <w:szCs w:val="14"/>
              </w:rPr>
            </w:pPr>
            <w:r w:rsidRPr="000E5DBF">
              <w:rPr>
                <w:color w:val="000000"/>
                <w:sz w:val="14"/>
                <w:szCs w:val="14"/>
              </w:rPr>
              <w:t>0,00</w:t>
            </w:r>
          </w:p>
        </w:tc>
        <w:tc>
          <w:tcPr>
            <w:tcW w:w="566"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0FAD292" w14:textId="77777777" w:rsidR="00F22587" w:rsidRPr="000E5DBF" w:rsidRDefault="00F22587" w:rsidP="008A5C11">
            <w:pPr>
              <w:jc w:val="center"/>
              <w:rPr>
                <w:color w:val="000000"/>
                <w:sz w:val="14"/>
                <w:szCs w:val="14"/>
              </w:rPr>
            </w:pPr>
            <w:r w:rsidRPr="000E5DBF">
              <w:rPr>
                <w:color w:val="000000"/>
                <w:sz w:val="14"/>
                <w:szCs w:val="14"/>
              </w:rPr>
              <w:t>0,00</w:t>
            </w:r>
          </w:p>
        </w:tc>
        <w:tc>
          <w:tcPr>
            <w:tcW w:w="56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16CCD48" w14:textId="77777777" w:rsidR="00F22587" w:rsidRPr="000E5DBF" w:rsidRDefault="00F22587" w:rsidP="008A5C11">
            <w:pPr>
              <w:jc w:val="center"/>
              <w:rPr>
                <w:color w:val="000000"/>
                <w:sz w:val="14"/>
                <w:szCs w:val="14"/>
              </w:rPr>
            </w:pPr>
            <w:r w:rsidRPr="000E5DBF">
              <w:rPr>
                <w:color w:val="000000"/>
                <w:sz w:val="14"/>
                <w:szCs w:val="14"/>
              </w:rPr>
              <w:t>0,00</w:t>
            </w:r>
          </w:p>
        </w:tc>
        <w:tc>
          <w:tcPr>
            <w:tcW w:w="574"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60C1D5F" w14:textId="77777777" w:rsidR="00F22587" w:rsidRPr="000E5DBF" w:rsidRDefault="00F22587" w:rsidP="008A5C11">
            <w:pPr>
              <w:jc w:val="center"/>
              <w:rPr>
                <w:color w:val="000000"/>
                <w:sz w:val="14"/>
                <w:szCs w:val="14"/>
              </w:rPr>
            </w:pPr>
            <w:r w:rsidRPr="000E5DBF">
              <w:rPr>
                <w:color w:val="000000"/>
                <w:sz w:val="14"/>
                <w:szCs w:val="14"/>
              </w:rPr>
              <w:t>0,00</w:t>
            </w:r>
          </w:p>
        </w:tc>
        <w:tc>
          <w:tcPr>
            <w:tcW w:w="572" w:type="dxa"/>
            <w:gridSpan w:val="2"/>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9CF9F2B" w14:textId="77777777" w:rsidR="00F22587" w:rsidRPr="000E5DBF" w:rsidRDefault="00F22587" w:rsidP="008A5C11">
            <w:pPr>
              <w:jc w:val="center"/>
              <w:rPr>
                <w:color w:val="000000"/>
                <w:sz w:val="14"/>
                <w:szCs w:val="14"/>
              </w:rPr>
            </w:pPr>
            <w:r w:rsidRPr="000E5DBF">
              <w:rPr>
                <w:color w:val="000000"/>
                <w:sz w:val="14"/>
                <w:szCs w:val="14"/>
              </w:rPr>
              <w:t>4353,84</w:t>
            </w:r>
          </w:p>
        </w:tc>
        <w:tc>
          <w:tcPr>
            <w:tcW w:w="570"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D19E1B9" w14:textId="77777777" w:rsidR="00F22587" w:rsidRPr="000E5DBF" w:rsidRDefault="00F22587" w:rsidP="008A5C11">
            <w:pPr>
              <w:jc w:val="center"/>
              <w:rPr>
                <w:color w:val="000000"/>
                <w:sz w:val="14"/>
                <w:szCs w:val="14"/>
              </w:rPr>
            </w:pPr>
            <w:r w:rsidRPr="000E5DBF">
              <w:rPr>
                <w:color w:val="000000"/>
                <w:sz w:val="14"/>
                <w:szCs w:val="14"/>
              </w:rPr>
              <w:t>0,00</w:t>
            </w:r>
          </w:p>
        </w:tc>
        <w:tc>
          <w:tcPr>
            <w:tcW w:w="572"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4F583BF" w14:textId="77777777" w:rsidR="00F22587" w:rsidRPr="000E5DBF" w:rsidRDefault="00F22587" w:rsidP="008A5C11">
            <w:pPr>
              <w:jc w:val="center"/>
              <w:rPr>
                <w:color w:val="000000"/>
                <w:sz w:val="14"/>
                <w:szCs w:val="14"/>
              </w:rPr>
            </w:pPr>
            <w:r w:rsidRPr="000E5DBF">
              <w:rPr>
                <w:color w:val="000000"/>
                <w:sz w:val="14"/>
                <w:szCs w:val="14"/>
              </w:rPr>
              <w:t>0,00</w:t>
            </w:r>
          </w:p>
        </w:tc>
        <w:tc>
          <w:tcPr>
            <w:tcW w:w="573"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9CC14DF" w14:textId="77777777" w:rsidR="00F22587" w:rsidRPr="000E5DBF" w:rsidRDefault="00F22587" w:rsidP="008A5C11">
            <w:pPr>
              <w:jc w:val="center"/>
              <w:rPr>
                <w:color w:val="000000"/>
                <w:sz w:val="14"/>
                <w:szCs w:val="14"/>
              </w:rPr>
            </w:pPr>
            <w:r w:rsidRPr="000E5DBF">
              <w:rPr>
                <w:color w:val="000000"/>
                <w:sz w:val="14"/>
                <w:szCs w:val="14"/>
              </w:rPr>
              <w:t>0,00</w:t>
            </w:r>
          </w:p>
        </w:tc>
        <w:tc>
          <w:tcPr>
            <w:tcW w:w="574"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5498AB9" w14:textId="77777777" w:rsidR="00F22587" w:rsidRPr="000E5DBF" w:rsidRDefault="00F22587" w:rsidP="008A5C11">
            <w:pPr>
              <w:jc w:val="center"/>
              <w:rPr>
                <w:color w:val="000000"/>
                <w:sz w:val="14"/>
                <w:szCs w:val="14"/>
              </w:rPr>
            </w:pPr>
            <w:r w:rsidRPr="000E5DBF">
              <w:rPr>
                <w:color w:val="000000"/>
                <w:sz w:val="14"/>
                <w:szCs w:val="14"/>
              </w:rPr>
              <w:t>0,00</w:t>
            </w:r>
          </w:p>
        </w:tc>
        <w:tc>
          <w:tcPr>
            <w:tcW w:w="56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15BC1A2" w14:textId="77777777" w:rsidR="00F22587" w:rsidRPr="000E5DBF" w:rsidRDefault="00F22587" w:rsidP="008A5C11">
            <w:pPr>
              <w:jc w:val="center"/>
              <w:rPr>
                <w:color w:val="000000"/>
                <w:sz w:val="14"/>
                <w:szCs w:val="14"/>
              </w:rPr>
            </w:pPr>
            <w:r w:rsidRPr="000E5DBF">
              <w:rPr>
                <w:color w:val="000000"/>
                <w:sz w:val="14"/>
                <w:szCs w:val="14"/>
              </w:rPr>
              <w:t>0,00</w:t>
            </w:r>
          </w:p>
        </w:tc>
        <w:tc>
          <w:tcPr>
            <w:tcW w:w="292"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820494E" w14:textId="77777777" w:rsidR="00F22587" w:rsidRPr="000E5DBF" w:rsidRDefault="00F22587" w:rsidP="008A5C11">
            <w:pPr>
              <w:jc w:val="center"/>
              <w:rPr>
                <w:color w:val="000000"/>
                <w:sz w:val="14"/>
                <w:szCs w:val="14"/>
              </w:rPr>
            </w:pPr>
            <w:r w:rsidRPr="000E5DBF">
              <w:rPr>
                <w:color w:val="000000"/>
                <w:sz w:val="14"/>
                <w:szCs w:val="14"/>
              </w:rPr>
              <w:t>0,00</w:t>
            </w:r>
          </w:p>
        </w:tc>
        <w:tc>
          <w:tcPr>
            <w:tcW w:w="428" w:type="dxa"/>
            <w:gridSpan w:val="2"/>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9A90CEE" w14:textId="77777777" w:rsidR="00F22587" w:rsidRPr="000E5DBF" w:rsidRDefault="00F22587" w:rsidP="008A5C11">
            <w:pPr>
              <w:jc w:val="center"/>
              <w:rPr>
                <w:color w:val="000000"/>
                <w:sz w:val="14"/>
                <w:szCs w:val="14"/>
              </w:rPr>
            </w:pPr>
            <w:r w:rsidRPr="000E5DBF">
              <w:rPr>
                <w:color w:val="000000"/>
                <w:sz w:val="14"/>
                <w:szCs w:val="14"/>
              </w:rPr>
              <w:t>0,00</w:t>
            </w:r>
          </w:p>
        </w:tc>
      </w:tr>
      <w:tr w:rsidR="00F22587" w:rsidRPr="000E5DBF" w14:paraId="6B92D2E8" w14:textId="77777777" w:rsidTr="008A5C11">
        <w:trPr>
          <w:gridAfter w:val="1"/>
          <w:wAfter w:w="11" w:type="dxa"/>
          <w:cantSplit/>
          <w:trHeight w:val="755"/>
        </w:trPr>
        <w:tc>
          <w:tcPr>
            <w:tcW w:w="411"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1318477D" w14:textId="77777777" w:rsidR="00F22587" w:rsidRPr="000E5DBF" w:rsidRDefault="00F22587" w:rsidP="008A5C11">
            <w:pPr>
              <w:jc w:val="center"/>
              <w:rPr>
                <w:color w:val="000000"/>
                <w:sz w:val="14"/>
                <w:szCs w:val="14"/>
              </w:rPr>
            </w:pPr>
            <w:r w:rsidRPr="000E5DBF">
              <w:rPr>
                <w:color w:val="000000"/>
                <w:sz w:val="14"/>
                <w:szCs w:val="14"/>
              </w:rPr>
              <w:t>3.2.3.</w:t>
            </w:r>
          </w:p>
        </w:tc>
        <w:tc>
          <w:tcPr>
            <w:tcW w:w="1447" w:type="dxa"/>
            <w:tcBorders>
              <w:top w:val="nil"/>
              <w:left w:val="nil"/>
              <w:bottom w:val="single" w:sz="4" w:space="0" w:color="auto"/>
              <w:right w:val="single" w:sz="4" w:space="0" w:color="auto"/>
            </w:tcBorders>
            <w:shd w:val="clear" w:color="auto" w:fill="auto"/>
            <w:tcMar>
              <w:left w:w="0" w:type="dxa"/>
              <w:right w:w="0" w:type="dxa"/>
            </w:tcMar>
            <w:vAlign w:val="center"/>
          </w:tcPr>
          <w:p w14:paraId="257B4966" w14:textId="77777777" w:rsidR="00F22587" w:rsidRPr="000E5DBF" w:rsidRDefault="00F22587" w:rsidP="008A5C11">
            <w:pPr>
              <w:jc w:val="center"/>
              <w:rPr>
                <w:color w:val="000000"/>
                <w:sz w:val="14"/>
                <w:szCs w:val="14"/>
              </w:rPr>
            </w:pPr>
            <w:r w:rsidRPr="000E5DBF">
              <w:rPr>
                <w:color w:val="000000"/>
                <w:sz w:val="14"/>
                <w:szCs w:val="14"/>
              </w:rPr>
              <w:t xml:space="preserve">Установка автоматизированной котельной </w:t>
            </w:r>
          </w:p>
          <w:p w14:paraId="05BB905F" w14:textId="77777777" w:rsidR="00F22587" w:rsidRPr="000E5DBF" w:rsidRDefault="00F22587" w:rsidP="008A5C11">
            <w:pPr>
              <w:jc w:val="center"/>
              <w:rPr>
                <w:color w:val="000000"/>
                <w:sz w:val="14"/>
                <w:szCs w:val="14"/>
              </w:rPr>
            </w:pPr>
            <w:r w:rsidRPr="000E5DBF">
              <w:rPr>
                <w:color w:val="000000"/>
                <w:sz w:val="14"/>
                <w:szCs w:val="14"/>
              </w:rPr>
              <w:t>р-он Мичурина</w:t>
            </w:r>
          </w:p>
        </w:tc>
        <w:tc>
          <w:tcPr>
            <w:tcW w:w="980" w:type="dxa"/>
            <w:tcBorders>
              <w:top w:val="nil"/>
              <w:left w:val="nil"/>
              <w:bottom w:val="single" w:sz="4" w:space="0" w:color="auto"/>
              <w:right w:val="single" w:sz="4" w:space="0" w:color="auto"/>
            </w:tcBorders>
            <w:shd w:val="clear" w:color="auto" w:fill="auto"/>
            <w:tcMar>
              <w:left w:w="0" w:type="dxa"/>
              <w:right w:w="0" w:type="dxa"/>
            </w:tcMar>
            <w:vAlign w:val="center"/>
          </w:tcPr>
          <w:p w14:paraId="079E367A" w14:textId="77777777" w:rsidR="00F22587" w:rsidRPr="000E5DBF" w:rsidRDefault="00F22587" w:rsidP="008A5C11">
            <w:pPr>
              <w:jc w:val="center"/>
              <w:rPr>
                <w:color w:val="000000"/>
                <w:sz w:val="14"/>
                <w:szCs w:val="14"/>
              </w:rPr>
            </w:pPr>
            <w:r w:rsidRPr="000E5DBF">
              <w:rPr>
                <w:color w:val="000000"/>
                <w:sz w:val="14"/>
                <w:szCs w:val="14"/>
              </w:rPr>
              <w:t>Снижение расхода топлива</w:t>
            </w:r>
          </w:p>
        </w:tc>
        <w:tc>
          <w:tcPr>
            <w:tcW w:w="1002" w:type="dxa"/>
            <w:tcBorders>
              <w:top w:val="nil"/>
              <w:left w:val="nil"/>
              <w:bottom w:val="single" w:sz="4" w:space="0" w:color="auto"/>
              <w:right w:val="single" w:sz="4" w:space="0" w:color="auto"/>
            </w:tcBorders>
            <w:shd w:val="clear" w:color="auto" w:fill="auto"/>
            <w:tcMar>
              <w:left w:w="0" w:type="dxa"/>
              <w:right w:w="0" w:type="dxa"/>
            </w:tcMar>
            <w:vAlign w:val="center"/>
          </w:tcPr>
          <w:p w14:paraId="5B9C8F01" w14:textId="77777777" w:rsidR="00F22587" w:rsidRPr="000E5DBF" w:rsidRDefault="00F22587" w:rsidP="008A5C11">
            <w:pPr>
              <w:jc w:val="center"/>
              <w:rPr>
                <w:color w:val="000000"/>
                <w:sz w:val="14"/>
                <w:szCs w:val="14"/>
              </w:rPr>
            </w:pPr>
            <w:r w:rsidRPr="000E5DBF">
              <w:rPr>
                <w:color w:val="000000"/>
                <w:sz w:val="14"/>
                <w:szCs w:val="14"/>
              </w:rPr>
              <w:t>ул. Мичурина, 11</w:t>
            </w:r>
          </w:p>
        </w:tc>
        <w:tc>
          <w:tcPr>
            <w:tcW w:w="1000" w:type="dxa"/>
            <w:tcBorders>
              <w:top w:val="nil"/>
              <w:left w:val="nil"/>
              <w:bottom w:val="single" w:sz="4" w:space="0" w:color="auto"/>
              <w:right w:val="single" w:sz="4" w:space="0" w:color="auto"/>
            </w:tcBorders>
            <w:shd w:val="clear" w:color="auto" w:fill="auto"/>
            <w:tcMar>
              <w:left w:w="0" w:type="dxa"/>
              <w:right w:w="0" w:type="dxa"/>
            </w:tcMar>
            <w:vAlign w:val="center"/>
          </w:tcPr>
          <w:p w14:paraId="20270B68" w14:textId="77777777" w:rsidR="00F22587" w:rsidRPr="000E5DBF" w:rsidRDefault="00F22587" w:rsidP="008A5C11">
            <w:pPr>
              <w:jc w:val="center"/>
              <w:rPr>
                <w:color w:val="000000"/>
                <w:sz w:val="14"/>
                <w:szCs w:val="14"/>
              </w:rPr>
            </w:pPr>
            <w:r w:rsidRPr="000E5DBF">
              <w:rPr>
                <w:color w:val="000000"/>
                <w:sz w:val="14"/>
                <w:szCs w:val="14"/>
              </w:rPr>
              <w:t>расход угля</w:t>
            </w:r>
          </w:p>
        </w:tc>
        <w:tc>
          <w:tcPr>
            <w:tcW w:w="429" w:type="dxa"/>
            <w:tcBorders>
              <w:top w:val="nil"/>
              <w:left w:val="nil"/>
              <w:bottom w:val="single" w:sz="4" w:space="0" w:color="auto"/>
              <w:right w:val="single" w:sz="4" w:space="0" w:color="auto"/>
            </w:tcBorders>
            <w:shd w:val="clear" w:color="auto" w:fill="auto"/>
            <w:tcMar>
              <w:left w:w="0" w:type="dxa"/>
              <w:right w:w="0" w:type="dxa"/>
            </w:tcMar>
            <w:vAlign w:val="center"/>
          </w:tcPr>
          <w:p w14:paraId="14ED59CB" w14:textId="77777777" w:rsidR="00F22587" w:rsidRPr="000E5DBF" w:rsidRDefault="00F22587" w:rsidP="008A5C11">
            <w:pPr>
              <w:jc w:val="center"/>
              <w:rPr>
                <w:color w:val="000000"/>
                <w:sz w:val="14"/>
                <w:szCs w:val="14"/>
              </w:rPr>
            </w:pPr>
            <w:r w:rsidRPr="000E5DBF">
              <w:rPr>
                <w:color w:val="000000"/>
                <w:sz w:val="14"/>
                <w:szCs w:val="14"/>
              </w:rPr>
              <w:t>тн</w:t>
            </w:r>
          </w:p>
        </w:tc>
        <w:tc>
          <w:tcPr>
            <w:tcW w:w="719" w:type="dxa"/>
            <w:tcBorders>
              <w:top w:val="nil"/>
              <w:left w:val="nil"/>
              <w:bottom w:val="single" w:sz="4" w:space="0" w:color="auto"/>
              <w:right w:val="single" w:sz="4" w:space="0" w:color="auto"/>
            </w:tcBorders>
            <w:shd w:val="clear" w:color="auto" w:fill="auto"/>
            <w:tcMar>
              <w:left w:w="0" w:type="dxa"/>
              <w:right w:w="0" w:type="dxa"/>
            </w:tcMar>
            <w:vAlign w:val="center"/>
          </w:tcPr>
          <w:p w14:paraId="709A7F62" w14:textId="77777777" w:rsidR="00F22587" w:rsidRPr="000E5DBF" w:rsidRDefault="00F22587" w:rsidP="008A5C11">
            <w:pPr>
              <w:jc w:val="center"/>
              <w:rPr>
                <w:color w:val="000000"/>
                <w:sz w:val="14"/>
                <w:szCs w:val="14"/>
              </w:rPr>
            </w:pPr>
            <w:r w:rsidRPr="000E5DBF">
              <w:rPr>
                <w:color w:val="000000"/>
                <w:sz w:val="14"/>
                <w:szCs w:val="14"/>
              </w:rPr>
              <w:t>1951</w:t>
            </w:r>
          </w:p>
        </w:tc>
        <w:tc>
          <w:tcPr>
            <w:tcW w:w="723" w:type="dxa"/>
            <w:tcBorders>
              <w:top w:val="nil"/>
              <w:left w:val="nil"/>
              <w:bottom w:val="single" w:sz="4" w:space="0" w:color="auto"/>
              <w:right w:val="single" w:sz="4" w:space="0" w:color="auto"/>
            </w:tcBorders>
            <w:shd w:val="clear" w:color="auto" w:fill="auto"/>
            <w:tcMar>
              <w:left w:w="0" w:type="dxa"/>
              <w:right w:w="0" w:type="dxa"/>
            </w:tcMar>
            <w:vAlign w:val="center"/>
          </w:tcPr>
          <w:p w14:paraId="7215CD1B" w14:textId="77777777" w:rsidR="00F22587" w:rsidRPr="000E5DBF" w:rsidRDefault="00F22587" w:rsidP="008A5C11">
            <w:pPr>
              <w:jc w:val="center"/>
              <w:rPr>
                <w:color w:val="000000"/>
                <w:sz w:val="14"/>
                <w:szCs w:val="14"/>
              </w:rPr>
            </w:pPr>
            <w:r w:rsidRPr="000E5DBF">
              <w:rPr>
                <w:color w:val="000000"/>
                <w:sz w:val="14"/>
                <w:szCs w:val="14"/>
              </w:rPr>
              <w:t>970</w:t>
            </w:r>
          </w:p>
        </w:tc>
        <w:tc>
          <w:tcPr>
            <w:tcW w:w="428" w:type="dxa"/>
            <w:gridSpan w:val="2"/>
            <w:tcBorders>
              <w:top w:val="nil"/>
              <w:left w:val="nil"/>
              <w:bottom w:val="single" w:sz="4" w:space="0" w:color="auto"/>
              <w:right w:val="single" w:sz="4" w:space="0" w:color="auto"/>
            </w:tcBorders>
            <w:shd w:val="clear" w:color="auto" w:fill="auto"/>
            <w:tcMar>
              <w:left w:w="0" w:type="dxa"/>
              <w:right w:w="0" w:type="dxa"/>
            </w:tcMar>
            <w:vAlign w:val="center"/>
          </w:tcPr>
          <w:p w14:paraId="496A8469" w14:textId="77777777" w:rsidR="00F22587" w:rsidRPr="000E5DBF" w:rsidRDefault="00F22587" w:rsidP="008A5C11">
            <w:pPr>
              <w:jc w:val="center"/>
              <w:rPr>
                <w:color w:val="000000"/>
                <w:sz w:val="14"/>
                <w:szCs w:val="14"/>
              </w:rPr>
            </w:pPr>
            <w:r w:rsidRPr="000E5DBF">
              <w:rPr>
                <w:color w:val="000000"/>
                <w:sz w:val="14"/>
                <w:szCs w:val="14"/>
              </w:rPr>
              <w:t>2026</w:t>
            </w:r>
          </w:p>
        </w:tc>
        <w:tc>
          <w:tcPr>
            <w:tcW w:w="416" w:type="dxa"/>
            <w:tcBorders>
              <w:top w:val="nil"/>
              <w:left w:val="nil"/>
              <w:bottom w:val="single" w:sz="4" w:space="0" w:color="auto"/>
              <w:right w:val="single" w:sz="4" w:space="0" w:color="auto"/>
            </w:tcBorders>
            <w:shd w:val="clear" w:color="auto" w:fill="auto"/>
            <w:tcMar>
              <w:left w:w="0" w:type="dxa"/>
              <w:right w:w="0" w:type="dxa"/>
            </w:tcMar>
            <w:vAlign w:val="center"/>
          </w:tcPr>
          <w:p w14:paraId="166696E0" w14:textId="77777777" w:rsidR="00F22587" w:rsidRPr="000E5DBF" w:rsidRDefault="00F22587" w:rsidP="008A5C11">
            <w:pPr>
              <w:jc w:val="center"/>
              <w:rPr>
                <w:color w:val="000000"/>
                <w:sz w:val="14"/>
                <w:szCs w:val="14"/>
              </w:rPr>
            </w:pPr>
            <w:r w:rsidRPr="000E5DBF">
              <w:rPr>
                <w:color w:val="000000"/>
                <w:sz w:val="14"/>
                <w:szCs w:val="14"/>
              </w:rPr>
              <w:t>2026</w:t>
            </w:r>
          </w:p>
        </w:tc>
        <w:tc>
          <w:tcPr>
            <w:tcW w:w="573" w:type="dxa"/>
            <w:tcBorders>
              <w:top w:val="nil"/>
              <w:left w:val="nil"/>
              <w:bottom w:val="single" w:sz="4" w:space="0" w:color="auto"/>
              <w:right w:val="single" w:sz="4" w:space="0" w:color="auto"/>
            </w:tcBorders>
            <w:shd w:val="clear" w:color="auto" w:fill="auto"/>
            <w:tcMar>
              <w:left w:w="0" w:type="dxa"/>
              <w:right w:w="0" w:type="dxa"/>
            </w:tcMar>
            <w:vAlign w:val="center"/>
          </w:tcPr>
          <w:p w14:paraId="78B6C3F9" w14:textId="77777777" w:rsidR="00F22587" w:rsidRPr="000E5DBF" w:rsidRDefault="00F22587" w:rsidP="008A5C11">
            <w:pPr>
              <w:jc w:val="center"/>
              <w:rPr>
                <w:color w:val="000000"/>
                <w:sz w:val="14"/>
                <w:szCs w:val="14"/>
              </w:rPr>
            </w:pPr>
            <w:r w:rsidRPr="000E5DBF">
              <w:rPr>
                <w:color w:val="000000"/>
                <w:sz w:val="14"/>
                <w:szCs w:val="14"/>
              </w:rPr>
              <w:t>7986,24</w:t>
            </w:r>
          </w:p>
        </w:tc>
        <w:tc>
          <w:tcPr>
            <w:tcW w:w="447" w:type="dxa"/>
            <w:gridSpan w:val="2"/>
            <w:tcBorders>
              <w:top w:val="nil"/>
              <w:left w:val="nil"/>
              <w:bottom w:val="single" w:sz="4" w:space="0" w:color="auto"/>
              <w:right w:val="single" w:sz="4" w:space="0" w:color="auto"/>
            </w:tcBorders>
            <w:shd w:val="clear" w:color="auto" w:fill="auto"/>
            <w:tcMar>
              <w:left w:w="0" w:type="dxa"/>
              <w:right w:w="0" w:type="dxa"/>
            </w:tcMar>
            <w:vAlign w:val="center"/>
          </w:tcPr>
          <w:p w14:paraId="168914EE" w14:textId="77777777" w:rsidR="00F22587" w:rsidRPr="000E5DBF" w:rsidRDefault="00F22587" w:rsidP="008A5C11">
            <w:pPr>
              <w:jc w:val="center"/>
              <w:rPr>
                <w:color w:val="000000"/>
                <w:sz w:val="14"/>
                <w:szCs w:val="14"/>
              </w:rPr>
            </w:pPr>
            <w:r w:rsidRPr="000E5DBF">
              <w:rPr>
                <w:color w:val="000000"/>
                <w:sz w:val="14"/>
                <w:szCs w:val="14"/>
              </w:rPr>
              <w:t>0,00</w:t>
            </w:r>
          </w:p>
        </w:tc>
        <w:tc>
          <w:tcPr>
            <w:tcW w:w="559" w:type="dxa"/>
            <w:tcBorders>
              <w:top w:val="nil"/>
              <w:left w:val="nil"/>
              <w:bottom w:val="single" w:sz="4" w:space="0" w:color="auto"/>
              <w:right w:val="single" w:sz="4" w:space="0" w:color="auto"/>
            </w:tcBorders>
            <w:shd w:val="clear" w:color="000000" w:fill="FFFFFF"/>
            <w:tcMar>
              <w:left w:w="0" w:type="dxa"/>
              <w:right w:w="0" w:type="dxa"/>
            </w:tcMar>
            <w:vAlign w:val="center"/>
          </w:tcPr>
          <w:p w14:paraId="23F4B07A" w14:textId="77777777" w:rsidR="00F22587" w:rsidRPr="000E5DBF" w:rsidRDefault="00F22587" w:rsidP="008A5C11">
            <w:pPr>
              <w:jc w:val="center"/>
              <w:rPr>
                <w:color w:val="000000"/>
                <w:sz w:val="14"/>
                <w:szCs w:val="14"/>
              </w:rPr>
            </w:pPr>
            <w:r w:rsidRPr="000E5DBF">
              <w:rPr>
                <w:color w:val="000000"/>
                <w:sz w:val="14"/>
                <w:szCs w:val="14"/>
              </w:rPr>
              <w:t>0,00</w:t>
            </w:r>
          </w:p>
        </w:tc>
        <w:tc>
          <w:tcPr>
            <w:tcW w:w="572" w:type="dxa"/>
            <w:tcBorders>
              <w:top w:val="nil"/>
              <w:left w:val="nil"/>
              <w:bottom w:val="single" w:sz="4" w:space="0" w:color="auto"/>
              <w:right w:val="single" w:sz="4" w:space="0" w:color="auto"/>
            </w:tcBorders>
            <w:shd w:val="clear" w:color="auto" w:fill="auto"/>
            <w:tcMar>
              <w:left w:w="0" w:type="dxa"/>
              <w:right w:w="0" w:type="dxa"/>
            </w:tcMar>
            <w:vAlign w:val="center"/>
          </w:tcPr>
          <w:p w14:paraId="7D22ECC4" w14:textId="77777777" w:rsidR="00F22587" w:rsidRPr="000E5DBF" w:rsidRDefault="00F22587" w:rsidP="008A5C11">
            <w:pPr>
              <w:jc w:val="center"/>
              <w:rPr>
                <w:color w:val="000000"/>
                <w:sz w:val="14"/>
                <w:szCs w:val="14"/>
              </w:rPr>
            </w:pPr>
            <w:r w:rsidRPr="000E5DBF">
              <w:rPr>
                <w:color w:val="000000"/>
                <w:sz w:val="14"/>
                <w:szCs w:val="14"/>
              </w:rPr>
              <w:t>0,00</w:t>
            </w:r>
          </w:p>
        </w:tc>
        <w:tc>
          <w:tcPr>
            <w:tcW w:w="572" w:type="dxa"/>
            <w:tcBorders>
              <w:top w:val="nil"/>
              <w:left w:val="nil"/>
              <w:bottom w:val="single" w:sz="4" w:space="0" w:color="auto"/>
              <w:right w:val="single" w:sz="4" w:space="0" w:color="auto"/>
            </w:tcBorders>
            <w:shd w:val="clear" w:color="auto" w:fill="auto"/>
            <w:tcMar>
              <w:left w:w="0" w:type="dxa"/>
              <w:right w:w="0" w:type="dxa"/>
            </w:tcMar>
            <w:vAlign w:val="center"/>
          </w:tcPr>
          <w:p w14:paraId="3FE2211A" w14:textId="77777777" w:rsidR="00F22587" w:rsidRPr="000E5DBF" w:rsidRDefault="00F22587" w:rsidP="008A5C11">
            <w:pPr>
              <w:jc w:val="center"/>
              <w:rPr>
                <w:color w:val="000000"/>
                <w:sz w:val="14"/>
                <w:szCs w:val="14"/>
              </w:rPr>
            </w:pPr>
            <w:r w:rsidRPr="000E5DBF">
              <w:rPr>
                <w:color w:val="000000"/>
                <w:sz w:val="14"/>
                <w:szCs w:val="14"/>
              </w:rPr>
              <w:t>0,00</w:t>
            </w:r>
          </w:p>
        </w:tc>
        <w:tc>
          <w:tcPr>
            <w:tcW w:w="566" w:type="dxa"/>
            <w:tcBorders>
              <w:top w:val="nil"/>
              <w:left w:val="nil"/>
              <w:bottom w:val="single" w:sz="4" w:space="0" w:color="auto"/>
              <w:right w:val="single" w:sz="4" w:space="0" w:color="auto"/>
            </w:tcBorders>
            <w:shd w:val="clear" w:color="auto" w:fill="auto"/>
            <w:tcMar>
              <w:left w:w="0" w:type="dxa"/>
              <w:right w:w="0" w:type="dxa"/>
            </w:tcMar>
            <w:vAlign w:val="center"/>
          </w:tcPr>
          <w:p w14:paraId="611CACB3" w14:textId="77777777" w:rsidR="00F22587" w:rsidRPr="000E5DBF" w:rsidRDefault="00F22587" w:rsidP="008A5C11">
            <w:pPr>
              <w:jc w:val="center"/>
              <w:rPr>
                <w:color w:val="000000"/>
                <w:sz w:val="14"/>
                <w:szCs w:val="14"/>
              </w:rPr>
            </w:pPr>
            <w:r w:rsidRPr="000E5DBF">
              <w:rPr>
                <w:color w:val="000000"/>
                <w:sz w:val="14"/>
                <w:szCs w:val="14"/>
              </w:rPr>
              <w:t>0,00</w:t>
            </w:r>
          </w:p>
        </w:tc>
        <w:tc>
          <w:tcPr>
            <w:tcW w:w="565" w:type="dxa"/>
            <w:tcBorders>
              <w:top w:val="nil"/>
              <w:left w:val="nil"/>
              <w:bottom w:val="single" w:sz="4" w:space="0" w:color="auto"/>
              <w:right w:val="single" w:sz="4" w:space="0" w:color="auto"/>
            </w:tcBorders>
            <w:shd w:val="clear" w:color="auto" w:fill="auto"/>
            <w:tcMar>
              <w:left w:w="0" w:type="dxa"/>
              <w:right w:w="0" w:type="dxa"/>
            </w:tcMar>
            <w:vAlign w:val="center"/>
          </w:tcPr>
          <w:p w14:paraId="241A2918" w14:textId="77777777" w:rsidR="00F22587" w:rsidRPr="000E5DBF" w:rsidRDefault="00F22587" w:rsidP="008A5C11">
            <w:pPr>
              <w:jc w:val="center"/>
              <w:rPr>
                <w:color w:val="000000"/>
                <w:sz w:val="14"/>
                <w:szCs w:val="14"/>
              </w:rPr>
            </w:pPr>
            <w:r w:rsidRPr="000E5DBF">
              <w:rPr>
                <w:color w:val="000000"/>
                <w:sz w:val="14"/>
                <w:szCs w:val="14"/>
              </w:rPr>
              <w:t>0,00</w:t>
            </w:r>
          </w:p>
        </w:tc>
        <w:tc>
          <w:tcPr>
            <w:tcW w:w="574" w:type="dxa"/>
            <w:tcBorders>
              <w:top w:val="nil"/>
              <w:left w:val="nil"/>
              <w:bottom w:val="single" w:sz="4" w:space="0" w:color="auto"/>
              <w:right w:val="single" w:sz="4" w:space="0" w:color="auto"/>
            </w:tcBorders>
            <w:shd w:val="clear" w:color="auto" w:fill="auto"/>
            <w:tcMar>
              <w:left w:w="0" w:type="dxa"/>
              <w:right w:w="0" w:type="dxa"/>
            </w:tcMar>
            <w:vAlign w:val="center"/>
          </w:tcPr>
          <w:p w14:paraId="1AA73DEF" w14:textId="77777777" w:rsidR="00F22587" w:rsidRPr="000E5DBF" w:rsidRDefault="00F22587" w:rsidP="008A5C11">
            <w:pPr>
              <w:jc w:val="center"/>
              <w:rPr>
                <w:color w:val="000000"/>
                <w:sz w:val="14"/>
                <w:szCs w:val="14"/>
              </w:rPr>
            </w:pPr>
            <w:r w:rsidRPr="000E5DBF">
              <w:rPr>
                <w:color w:val="000000"/>
                <w:sz w:val="14"/>
                <w:szCs w:val="14"/>
              </w:rPr>
              <w:t>0,00</w:t>
            </w:r>
          </w:p>
        </w:tc>
        <w:tc>
          <w:tcPr>
            <w:tcW w:w="572" w:type="dxa"/>
            <w:gridSpan w:val="2"/>
            <w:tcBorders>
              <w:top w:val="nil"/>
              <w:left w:val="nil"/>
              <w:bottom w:val="single" w:sz="4" w:space="0" w:color="auto"/>
              <w:right w:val="single" w:sz="4" w:space="0" w:color="auto"/>
            </w:tcBorders>
            <w:shd w:val="clear" w:color="auto" w:fill="auto"/>
            <w:tcMar>
              <w:left w:w="0" w:type="dxa"/>
              <w:right w:w="0" w:type="dxa"/>
            </w:tcMar>
            <w:vAlign w:val="center"/>
          </w:tcPr>
          <w:p w14:paraId="1CFFC6DA" w14:textId="77777777" w:rsidR="00F22587" w:rsidRPr="000E5DBF" w:rsidRDefault="00F22587" w:rsidP="008A5C11">
            <w:pPr>
              <w:jc w:val="center"/>
              <w:rPr>
                <w:color w:val="000000"/>
                <w:sz w:val="14"/>
                <w:szCs w:val="14"/>
              </w:rPr>
            </w:pPr>
            <w:r w:rsidRPr="000E5DBF">
              <w:rPr>
                <w:color w:val="000000"/>
                <w:sz w:val="14"/>
                <w:szCs w:val="14"/>
              </w:rPr>
              <w:t>0,00</w:t>
            </w:r>
          </w:p>
        </w:tc>
        <w:tc>
          <w:tcPr>
            <w:tcW w:w="570" w:type="dxa"/>
            <w:tcBorders>
              <w:top w:val="nil"/>
              <w:left w:val="nil"/>
              <w:bottom w:val="single" w:sz="4" w:space="0" w:color="auto"/>
              <w:right w:val="single" w:sz="4" w:space="0" w:color="auto"/>
            </w:tcBorders>
            <w:shd w:val="clear" w:color="auto" w:fill="auto"/>
            <w:tcMar>
              <w:left w:w="0" w:type="dxa"/>
              <w:right w:w="0" w:type="dxa"/>
            </w:tcMar>
            <w:vAlign w:val="center"/>
          </w:tcPr>
          <w:p w14:paraId="1B7C688C" w14:textId="77777777" w:rsidR="00F22587" w:rsidRPr="000E5DBF" w:rsidRDefault="00F22587" w:rsidP="008A5C11">
            <w:pPr>
              <w:jc w:val="center"/>
              <w:rPr>
                <w:color w:val="000000"/>
                <w:sz w:val="14"/>
                <w:szCs w:val="14"/>
              </w:rPr>
            </w:pPr>
            <w:r w:rsidRPr="000E5DBF">
              <w:rPr>
                <w:color w:val="000000"/>
                <w:sz w:val="14"/>
                <w:szCs w:val="14"/>
              </w:rPr>
              <w:t>7986,24</w:t>
            </w:r>
          </w:p>
        </w:tc>
        <w:tc>
          <w:tcPr>
            <w:tcW w:w="572" w:type="dxa"/>
            <w:tcBorders>
              <w:top w:val="nil"/>
              <w:left w:val="nil"/>
              <w:bottom w:val="single" w:sz="4" w:space="0" w:color="auto"/>
              <w:right w:val="single" w:sz="4" w:space="0" w:color="auto"/>
            </w:tcBorders>
            <w:shd w:val="clear" w:color="auto" w:fill="auto"/>
            <w:tcMar>
              <w:left w:w="0" w:type="dxa"/>
              <w:right w:w="0" w:type="dxa"/>
            </w:tcMar>
            <w:vAlign w:val="center"/>
          </w:tcPr>
          <w:p w14:paraId="0EC3840D" w14:textId="77777777" w:rsidR="00F22587" w:rsidRPr="000E5DBF" w:rsidRDefault="00F22587" w:rsidP="008A5C11">
            <w:pPr>
              <w:jc w:val="center"/>
              <w:rPr>
                <w:color w:val="000000"/>
                <w:sz w:val="14"/>
                <w:szCs w:val="14"/>
              </w:rPr>
            </w:pPr>
            <w:r w:rsidRPr="000E5DBF">
              <w:rPr>
                <w:color w:val="000000"/>
                <w:sz w:val="14"/>
                <w:szCs w:val="14"/>
              </w:rPr>
              <w:t>0,00</w:t>
            </w:r>
          </w:p>
        </w:tc>
        <w:tc>
          <w:tcPr>
            <w:tcW w:w="573" w:type="dxa"/>
            <w:tcBorders>
              <w:top w:val="nil"/>
              <w:left w:val="nil"/>
              <w:bottom w:val="single" w:sz="4" w:space="0" w:color="auto"/>
              <w:right w:val="single" w:sz="4" w:space="0" w:color="auto"/>
            </w:tcBorders>
            <w:shd w:val="clear" w:color="auto" w:fill="auto"/>
            <w:tcMar>
              <w:left w:w="0" w:type="dxa"/>
              <w:right w:w="0" w:type="dxa"/>
            </w:tcMar>
            <w:vAlign w:val="center"/>
          </w:tcPr>
          <w:p w14:paraId="7DAD9B3E" w14:textId="77777777" w:rsidR="00F22587" w:rsidRPr="000E5DBF" w:rsidRDefault="00F22587" w:rsidP="008A5C11">
            <w:pPr>
              <w:jc w:val="center"/>
              <w:rPr>
                <w:color w:val="000000"/>
                <w:sz w:val="14"/>
                <w:szCs w:val="14"/>
              </w:rPr>
            </w:pPr>
            <w:r w:rsidRPr="000E5DBF">
              <w:rPr>
                <w:color w:val="000000"/>
                <w:sz w:val="14"/>
                <w:szCs w:val="14"/>
              </w:rPr>
              <w:t>0,00</w:t>
            </w:r>
          </w:p>
        </w:tc>
        <w:tc>
          <w:tcPr>
            <w:tcW w:w="574" w:type="dxa"/>
            <w:tcBorders>
              <w:top w:val="nil"/>
              <w:left w:val="nil"/>
              <w:bottom w:val="single" w:sz="4" w:space="0" w:color="auto"/>
              <w:right w:val="single" w:sz="4" w:space="0" w:color="auto"/>
            </w:tcBorders>
            <w:shd w:val="clear" w:color="auto" w:fill="auto"/>
            <w:tcMar>
              <w:left w:w="0" w:type="dxa"/>
              <w:right w:w="0" w:type="dxa"/>
            </w:tcMar>
            <w:vAlign w:val="center"/>
          </w:tcPr>
          <w:p w14:paraId="0829A664" w14:textId="77777777" w:rsidR="00F22587" w:rsidRPr="000E5DBF" w:rsidRDefault="00F22587" w:rsidP="008A5C11">
            <w:pPr>
              <w:jc w:val="center"/>
              <w:rPr>
                <w:color w:val="000000"/>
                <w:sz w:val="14"/>
                <w:szCs w:val="14"/>
              </w:rPr>
            </w:pPr>
            <w:r w:rsidRPr="000E5DBF">
              <w:rPr>
                <w:color w:val="000000"/>
                <w:sz w:val="14"/>
                <w:szCs w:val="14"/>
              </w:rPr>
              <w:t>0,00</w:t>
            </w:r>
          </w:p>
        </w:tc>
        <w:tc>
          <w:tcPr>
            <w:tcW w:w="567" w:type="dxa"/>
            <w:tcBorders>
              <w:top w:val="nil"/>
              <w:left w:val="nil"/>
              <w:bottom w:val="single" w:sz="4" w:space="0" w:color="auto"/>
              <w:right w:val="single" w:sz="4" w:space="0" w:color="auto"/>
            </w:tcBorders>
            <w:shd w:val="clear" w:color="auto" w:fill="auto"/>
            <w:tcMar>
              <w:left w:w="0" w:type="dxa"/>
              <w:right w:w="0" w:type="dxa"/>
            </w:tcMar>
            <w:vAlign w:val="center"/>
          </w:tcPr>
          <w:p w14:paraId="40E11063" w14:textId="77777777" w:rsidR="00F22587" w:rsidRPr="000E5DBF" w:rsidRDefault="00F22587" w:rsidP="008A5C11">
            <w:pPr>
              <w:jc w:val="center"/>
              <w:rPr>
                <w:color w:val="000000"/>
                <w:sz w:val="14"/>
                <w:szCs w:val="14"/>
              </w:rPr>
            </w:pPr>
            <w:r w:rsidRPr="000E5DBF">
              <w:rPr>
                <w:color w:val="000000"/>
                <w:sz w:val="14"/>
                <w:szCs w:val="14"/>
              </w:rPr>
              <w:t>0,00</w:t>
            </w:r>
          </w:p>
        </w:tc>
        <w:tc>
          <w:tcPr>
            <w:tcW w:w="292" w:type="dxa"/>
            <w:tcBorders>
              <w:top w:val="nil"/>
              <w:left w:val="nil"/>
              <w:bottom w:val="single" w:sz="4" w:space="0" w:color="auto"/>
              <w:right w:val="single" w:sz="4" w:space="0" w:color="auto"/>
            </w:tcBorders>
            <w:shd w:val="clear" w:color="auto" w:fill="auto"/>
            <w:tcMar>
              <w:left w:w="0" w:type="dxa"/>
              <w:right w:w="0" w:type="dxa"/>
            </w:tcMar>
            <w:vAlign w:val="center"/>
          </w:tcPr>
          <w:p w14:paraId="153E7970" w14:textId="77777777" w:rsidR="00F22587" w:rsidRPr="000E5DBF" w:rsidRDefault="00F22587" w:rsidP="008A5C11">
            <w:pPr>
              <w:jc w:val="center"/>
              <w:rPr>
                <w:color w:val="000000"/>
                <w:sz w:val="14"/>
                <w:szCs w:val="14"/>
              </w:rPr>
            </w:pPr>
            <w:r w:rsidRPr="000E5DBF">
              <w:rPr>
                <w:color w:val="000000"/>
                <w:sz w:val="14"/>
                <w:szCs w:val="14"/>
              </w:rPr>
              <w:t>0,00</w:t>
            </w:r>
          </w:p>
        </w:tc>
        <w:tc>
          <w:tcPr>
            <w:tcW w:w="428" w:type="dxa"/>
            <w:gridSpan w:val="2"/>
            <w:tcBorders>
              <w:top w:val="nil"/>
              <w:left w:val="nil"/>
              <w:bottom w:val="single" w:sz="4" w:space="0" w:color="auto"/>
              <w:right w:val="single" w:sz="4" w:space="0" w:color="auto"/>
            </w:tcBorders>
            <w:shd w:val="clear" w:color="auto" w:fill="auto"/>
            <w:tcMar>
              <w:left w:w="0" w:type="dxa"/>
              <w:right w:w="0" w:type="dxa"/>
            </w:tcMar>
            <w:vAlign w:val="center"/>
          </w:tcPr>
          <w:p w14:paraId="18C57E81" w14:textId="77777777" w:rsidR="00F22587" w:rsidRPr="000E5DBF" w:rsidRDefault="00F22587" w:rsidP="008A5C11">
            <w:pPr>
              <w:jc w:val="center"/>
              <w:rPr>
                <w:color w:val="000000"/>
                <w:sz w:val="14"/>
                <w:szCs w:val="14"/>
              </w:rPr>
            </w:pPr>
            <w:r w:rsidRPr="000E5DBF">
              <w:rPr>
                <w:color w:val="000000"/>
                <w:sz w:val="14"/>
                <w:szCs w:val="14"/>
              </w:rPr>
              <w:t>0,00</w:t>
            </w:r>
          </w:p>
        </w:tc>
      </w:tr>
      <w:tr w:rsidR="00F22587" w:rsidRPr="000E5DBF" w14:paraId="7789757B" w14:textId="77777777" w:rsidTr="008A5C11">
        <w:trPr>
          <w:gridAfter w:val="1"/>
          <w:wAfter w:w="11" w:type="dxa"/>
          <w:cantSplit/>
          <w:trHeight w:val="252"/>
        </w:trPr>
        <w:tc>
          <w:tcPr>
            <w:tcW w:w="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AB20963" w14:textId="77777777" w:rsidR="00F22587" w:rsidRPr="000E5DBF" w:rsidRDefault="00F22587" w:rsidP="008A5C11">
            <w:pPr>
              <w:jc w:val="center"/>
              <w:rPr>
                <w:color w:val="000000"/>
                <w:sz w:val="14"/>
                <w:szCs w:val="14"/>
              </w:rPr>
            </w:pPr>
            <w:r w:rsidRPr="000E5DBF">
              <w:rPr>
                <w:color w:val="000000"/>
                <w:sz w:val="14"/>
                <w:szCs w:val="14"/>
              </w:rPr>
              <w:t>1</w:t>
            </w:r>
          </w:p>
        </w:tc>
        <w:tc>
          <w:tcPr>
            <w:tcW w:w="144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B1F0597" w14:textId="77777777" w:rsidR="00F22587" w:rsidRPr="000E5DBF" w:rsidRDefault="00F22587" w:rsidP="008A5C11">
            <w:pPr>
              <w:jc w:val="center"/>
              <w:rPr>
                <w:color w:val="000000"/>
                <w:sz w:val="14"/>
                <w:szCs w:val="14"/>
              </w:rPr>
            </w:pPr>
            <w:r w:rsidRPr="000E5DBF">
              <w:rPr>
                <w:color w:val="000000"/>
                <w:sz w:val="14"/>
                <w:szCs w:val="14"/>
              </w:rPr>
              <w:t>2</w:t>
            </w:r>
          </w:p>
        </w:tc>
        <w:tc>
          <w:tcPr>
            <w:tcW w:w="98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026379E" w14:textId="77777777" w:rsidR="00F22587" w:rsidRPr="000E5DBF" w:rsidRDefault="00F22587" w:rsidP="008A5C11">
            <w:pPr>
              <w:jc w:val="center"/>
              <w:rPr>
                <w:color w:val="000000"/>
                <w:sz w:val="14"/>
                <w:szCs w:val="14"/>
              </w:rPr>
            </w:pPr>
            <w:r w:rsidRPr="000E5DBF">
              <w:rPr>
                <w:color w:val="000000"/>
                <w:sz w:val="14"/>
                <w:szCs w:val="14"/>
              </w:rPr>
              <w:t>3</w:t>
            </w:r>
          </w:p>
        </w:tc>
        <w:tc>
          <w:tcPr>
            <w:tcW w:w="100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5305FFF" w14:textId="77777777" w:rsidR="00F22587" w:rsidRPr="000E5DBF" w:rsidRDefault="00F22587" w:rsidP="008A5C11">
            <w:pPr>
              <w:jc w:val="center"/>
              <w:rPr>
                <w:color w:val="000000"/>
                <w:sz w:val="14"/>
                <w:szCs w:val="14"/>
              </w:rPr>
            </w:pPr>
            <w:r w:rsidRPr="000E5DBF">
              <w:rPr>
                <w:color w:val="000000"/>
                <w:sz w:val="14"/>
                <w:szCs w:val="14"/>
              </w:rPr>
              <w:t>4</w:t>
            </w:r>
          </w:p>
        </w:tc>
        <w:tc>
          <w:tcPr>
            <w:tcW w:w="100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BDF8AEF" w14:textId="77777777" w:rsidR="00F22587" w:rsidRPr="000E5DBF" w:rsidRDefault="00F22587" w:rsidP="008A5C11">
            <w:pPr>
              <w:jc w:val="center"/>
              <w:rPr>
                <w:color w:val="000000"/>
                <w:sz w:val="14"/>
                <w:szCs w:val="14"/>
              </w:rPr>
            </w:pPr>
            <w:r w:rsidRPr="000E5DBF">
              <w:rPr>
                <w:color w:val="000000"/>
                <w:sz w:val="14"/>
                <w:szCs w:val="14"/>
              </w:rPr>
              <w:t>5</w:t>
            </w:r>
          </w:p>
        </w:tc>
        <w:tc>
          <w:tcPr>
            <w:tcW w:w="42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9E1CFBC" w14:textId="77777777" w:rsidR="00F22587" w:rsidRPr="000E5DBF" w:rsidRDefault="00F22587" w:rsidP="008A5C11">
            <w:pPr>
              <w:jc w:val="center"/>
              <w:rPr>
                <w:color w:val="000000"/>
                <w:sz w:val="14"/>
                <w:szCs w:val="14"/>
              </w:rPr>
            </w:pPr>
            <w:r w:rsidRPr="000E5DBF">
              <w:rPr>
                <w:color w:val="000000"/>
                <w:sz w:val="14"/>
                <w:szCs w:val="14"/>
              </w:rPr>
              <w:t>6</w:t>
            </w:r>
          </w:p>
        </w:tc>
        <w:tc>
          <w:tcPr>
            <w:tcW w:w="71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6EB4221" w14:textId="77777777" w:rsidR="00F22587" w:rsidRPr="000E5DBF" w:rsidRDefault="00F22587" w:rsidP="008A5C11">
            <w:pPr>
              <w:jc w:val="center"/>
              <w:rPr>
                <w:color w:val="000000"/>
                <w:sz w:val="14"/>
                <w:szCs w:val="14"/>
              </w:rPr>
            </w:pPr>
            <w:r w:rsidRPr="000E5DBF">
              <w:rPr>
                <w:color w:val="000000"/>
                <w:sz w:val="14"/>
                <w:szCs w:val="14"/>
              </w:rPr>
              <w:t>7</w:t>
            </w:r>
          </w:p>
        </w:tc>
        <w:tc>
          <w:tcPr>
            <w:tcW w:w="7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A54B5DE" w14:textId="77777777" w:rsidR="00F22587" w:rsidRPr="000E5DBF" w:rsidRDefault="00F22587" w:rsidP="008A5C11">
            <w:pPr>
              <w:jc w:val="center"/>
              <w:rPr>
                <w:color w:val="000000"/>
                <w:sz w:val="14"/>
                <w:szCs w:val="14"/>
              </w:rPr>
            </w:pPr>
            <w:r w:rsidRPr="000E5DBF">
              <w:rPr>
                <w:color w:val="000000"/>
                <w:sz w:val="14"/>
                <w:szCs w:val="14"/>
              </w:rPr>
              <w:t>8</w:t>
            </w:r>
          </w:p>
        </w:tc>
        <w:tc>
          <w:tcPr>
            <w:tcW w:w="428"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ED1E33C" w14:textId="77777777" w:rsidR="00F22587" w:rsidRPr="000E5DBF" w:rsidRDefault="00F22587" w:rsidP="008A5C11">
            <w:pPr>
              <w:jc w:val="center"/>
              <w:rPr>
                <w:color w:val="000000"/>
                <w:sz w:val="14"/>
                <w:szCs w:val="14"/>
              </w:rPr>
            </w:pPr>
            <w:r w:rsidRPr="000E5DBF">
              <w:rPr>
                <w:color w:val="000000"/>
                <w:sz w:val="14"/>
                <w:szCs w:val="14"/>
              </w:rPr>
              <w:t>9</w:t>
            </w:r>
          </w:p>
        </w:tc>
        <w:tc>
          <w:tcPr>
            <w:tcW w:w="41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507499E" w14:textId="77777777" w:rsidR="00F22587" w:rsidRPr="000E5DBF" w:rsidRDefault="00F22587" w:rsidP="008A5C11">
            <w:pPr>
              <w:jc w:val="center"/>
              <w:rPr>
                <w:color w:val="000000"/>
                <w:sz w:val="14"/>
                <w:szCs w:val="14"/>
              </w:rPr>
            </w:pPr>
            <w:r w:rsidRPr="000E5DBF">
              <w:rPr>
                <w:color w:val="000000"/>
                <w:sz w:val="14"/>
                <w:szCs w:val="14"/>
              </w:rPr>
              <w:t>10</w:t>
            </w:r>
          </w:p>
        </w:tc>
        <w:tc>
          <w:tcPr>
            <w:tcW w:w="5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39FFD8D" w14:textId="77777777" w:rsidR="00F22587" w:rsidRPr="000E5DBF" w:rsidRDefault="00F22587" w:rsidP="008A5C11">
            <w:pPr>
              <w:jc w:val="center"/>
              <w:rPr>
                <w:color w:val="000000"/>
                <w:sz w:val="14"/>
                <w:szCs w:val="14"/>
              </w:rPr>
            </w:pPr>
            <w:r w:rsidRPr="000E5DBF">
              <w:rPr>
                <w:color w:val="000000"/>
                <w:sz w:val="14"/>
                <w:szCs w:val="14"/>
              </w:rPr>
              <w:t>11</w:t>
            </w:r>
          </w:p>
        </w:tc>
        <w:tc>
          <w:tcPr>
            <w:tcW w:w="447"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BCEEB2D" w14:textId="77777777" w:rsidR="00F22587" w:rsidRPr="000E5DBF" w:rsidRDefault="00F22587" w:rsidP="008A5C11">
            <w:pPr>
              <w:jc w:val="center"/>
              <w:rPr>
                <w:color w:val="000000"/>
                <w:sz w:val="14"/>
                <w:szCs w:val="14"/>
              </w:rPr>
            </w:pPr>
            <w:r w:rsidRPr="000E5DBF">
              <w:rPr>
                <w:color w:val="000000"/>
                <w:sz w:val="14"/>
                <w:szCs w:val="14"/>
              </w:rPr>
              <w:t>12</w:t>
            </w:r>
          </w:p>
        </w:tc>
        <w:tc>
          <w:tcPr>
            <w:tcW w:w="559" w:type="dxa"/>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vAlign w:val="center"/>
          </w:tcPr>
          <w:p w14:paraId="7C211F32" w14:textId="77777777" w:rsidR="00F22587" w:rsidRPr="000E5DBF" w:rsidRDefault="00F22587" w:rsidP="008A5C11">
            <w:pPr>
              <w:jc w:val="center"/>
              <w:rPr>
                <w:color w:val="000000"/>
                <w:sz w:val="14"/>
                <w:szCs w:val="14"/>
              </w:rPr>
            </w:pPr>
            <w:r w:rsidRPr="000E5DBF">
              <w:rPr>
                <w:color w:val="000000"/>
                <w:sz w:val="14"/>
                <w:szCs w:val="14"/>
              </w:rPr>
              <w:t>13</w:t>
            </w:r>
          </w:p>
        </w:tc>
        <w:tc>
          <w:tcPr>
            <w:tcW w:w="57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DB6B920" w14:textId="77777777" w:rsidR="00F22587" w:rsidRPr="000E5DBF" w:rsidRDefault="00F22587" w:rsidP="008A5C11">
            <w:pPr>
              <w:jc w:val="center"/>
              <w:rPr>
                <w:color w:val="000000"/>
                <w:sz w:val="14"/>
                <w:szCs w:val="14"/>
              </w:rPr>
            </w:pPr>
            <w:r w:rsidRPr="000E5DBF">
              <w:rPr>
                <w:color w:val="000000"/>
                <w:sz w:val="14"/>
                <w:szCs w:val="14"/>
              </w:rPr>
              <w:t>14</w:t>
            </w:r>
          </w:p>
        </w:tc>
        <w:tc>
          <w:tcPr>
            <w:tcW w:w="57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5E8D320" w14:textId="77777777" w:rsidR="00F22587" w:rsidRPr="000E5DBF" w:rsidRDefault="00F22587" w:rsidP="008A5C11">
            <w:pPr>
              <w:jc w:val="center"/>
              <w:rPr>
                <w:color w:val="000000"/>
                <w:sz w:val="14"/>
                <w:szCs w:val="14"/>
              </w:rPr>
            </w:pPr>
            <w:r w:rsidRPr="000E5DBF">
              <w:rPr>
                <w:color w:val="000000"/>
                <w:sz w:val="14"/>
                <w:szCs w:val="14"/>
              </w:rPr>
              <w:t>15</w:t>
            </w:r>
          </w:p>
        </w:tc>
        <w:tc>
          <w:tcPr>
            <w:tcW w:w="5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FF82593" w14:textId="77777777" w:rsidR="00F22587" w:rsidRPr="000E5DBF" w:rsidRDefault="00F22587" w:rsidP="008A5C11">
            <w:pPr>
              <w:jc w:val="center"/>
              <w:rPr>
                <w:color w:val="000000"/>
                <w:sz w:val="14"/>
                <w:szCs w:val="14"/>
              </w:rPr>
            </w:pPr>
            <w:r w:rsidRPr="000E5DBF">
              <w:rPr>
                <w:color w:val="000000"/>
                <w:sz w:val="14"/>
                <w:szCs w:val="14"/>
              </w:rPr>
              <w:t>16</w:t>
            </w:r>
          </w:p>
        </w:tc>
        <w:tc>
          <w:tcPr>
            <w:tcW w:w="56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DC66605" w14:textId="77777777" w:rsidR="00F22587" w:rsidRPr="000E5DBF" w:rsidRDefault="00F22587" w:rsidP="008A5C11">
            <w:pPr>
              <w:jc w:val="center"/>
              <w:rPr>
                <w:color w:val="000000"/>
                <w:sz w:val="14"/>
                <w:szCs w:val="14"/>
              </w:rPr>
            </w:pPr>
            <w:r w:rsidRPr="000E5DBF">
              <w:rPr>
                <w:color w:val="000000"/>
                <w:sz w:val="14"/>
                <w:szCs w:val="14"/>
              </w:rPr>
              <w:t>17</w:t>
            </w:r>
          </w:p>
        </w:tc>
        <w:tc>
          <w:tcPr>
            <w:tcW w:w="5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F44C40E" w14:textId="77777777" w:rsidR="00F22587" w:rsidRPr="000E5DBF" w:rsidRDefault="00F22587" w:rsidP="008A5C11">
            <w:pPr>
              <w:jc w:val="center"/>
              <w:rPr>
                <w:color w:val="000000"/>
                <w:sz w:val="14"/>
                <w:szCs w:val="14"/>
              </w:rPr>
            </w:pPr>
            <w:r w:rsidRPr="000E5DBF">
              <w:rPr>
                <w:color w:val="000000"/>
                <w:sz w:val="14"/>
                <w:szCs w:val="14"/>
              </w:rPr>
              <w:t>18</w:t>
            </w:r>
          </w:p>
        </w:tc>
        <w:tc>
          <w:tcPr>
            <w:tcW w:w="572"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C2218D7" w14:textId="77777777" w:rsidR="00F22587" w:rsidRPr="000E5DBF" w:rsidRDefault="00F22587" w:rsidP="008A5C11">
            <w:pPr>
              <w:jc w:val="center"/>
              <w:rPr>
                <w:color w:val="000000"/>
                <w:sz w:val="14"/>
                <w:szCs w:val="14"/>
              </w:rPr>
            </w:pPr>
            <w:r w:rsidRPr="000E5DBF">
              <w:rPr>
                <w:color w:val="000000"/>
                <w:sz w:val="14"/>
                <w:szCs w:val="14"/>
              </w:rPr>
              <w:t>19</w:t>
            </w:r>
          </w:p>
        </w:tc>
        <w:tc>
          <w:tcPr>
            <w:tcW w:w="57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31FBC15" w14:textId="77777777" w:rsidR="00F22587" w:rsidRPr="000E5DBF" w:rsidRDefault="00F22587" w:rsidP="008A5C11">
            <w:pPr>
              <w:jc w:val="center"/>
              <w:rPr>
                <w:color w:val="000000"/>
                <w:sz w:val="14"/>
                <w:szCs w:val="14"/>
              </w:rPr>
            </w:pPr>
            <w:r w:rsidRPr="000E5DBF">
              <w:rPr>
                <w:color w:val="000000"/>
                <w:sz w:val="14"/>
                <w:szCs w:val="14"/>
              </w:rPr>
              <w:t>20</w:t>
            </w:r>
          </w:p>
        </w:tc>
        <w:tc>
          <w:tcPr>
            <w:tcW w:w="57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37F5284" w14:textId="77777777" w:rsidR="00F22587" w:rsidRPr="000E5DBF" w:rsidRDefault="00F22587" w:rsidP="008A5C11">
            <w:pPr>
              <w:jc w:val="center"/>
              <w:rPr>
                <w:color w:val="000000"/>
                <w:sz w:val="14"/>
                <w:szCs w:val="14"/>
              </w:rPr>
            </w:pPr>
            <w:r w:rsidRPr="000E5DBF">
              <w:rPr>
                <w:color w:val="000000"/>
                <w:sz w:val="14"/>
                <w:szCs w:val="14"/>
              </w:rPr>
              <w:t>21</w:t>
            </w:r>
          </w:p>
        </w:tc>
        <w:tc>
          <w:tcPr>
            <w:tcW w:w="5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68D401C" w14:textId="77777777" w:rsidR="00F22587" w:rsidRPr="000E5DBF" w:rsidRDefault="00F22587" w:rsidP="008A5C11">
            <w:pPr>
              <w:jc w:val="center"/>
              <w:rPr>
                <w:color w:val="000000"/>
                <w:sz w:val="14"/>
                <w:szCs w:val="14"/>
              </w:rPr>
            </w:pPr>
            <w:r w:rsidRPr="000E5DBF">
              <w:rPr>
                <w:color w:val="000000"/>
                <w:sz w:val="14"/>
                <w:szCs w:val="14"/>
              </w:rPr>
              <w:t>22</w:t>
            </w:r>
          </w:p>
        </w:tc>
        <w:tc>
          <w:tcPr>
            <w:tcW w:w="5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3E147D1" w14:textId="77777777" w:rsidR="00F22587" w:rsidRPr="000E5DBF" w:rsidRDefault="00F22587" w:rsidP="008A5C11">
            <w:pPr>
              <w:jc w:val="center"/>
              <w:rPr>
                <w:color w:val="000000"/>
                <w:sz w:val="14"/>
                <w:szCs w:val="14"/>
              </w:rPr>
            </w:pPr>
            <w:r w:rsidRPr="000E5DBF">
              <w:rPr>
                <w:color w:val="000000"/>
                <w:sz w:val="14"/>
                <w:szCs w:val="14"/>
              </w:rPr>
              <w:t>23</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48CE801" w14:textId="77777777" w:rsidR="00F22587" w:rsidRPr="000E5DBF" w:rsidRDefault="00F22587" w:rsidP="008A5C11">
            <w:pPr>
              <w:jc w:val="center"/>
              <w:rPr>
                <w:color w:val="000000"/>
                <w:sz w:val="14"/>
                <w:szCs w:val="14"/>
              </w:rPr>
            </w:pPr>
            <w:r w:rsidRPr="000E5DBF">
              <w:rPr>
                <w:color w:val="000000"/>
                <w:sz w:val="14"/>
                <w:szCs w:val="14"/>
              </w:rPr>
              <w:t>24</w:t>
            </w:r>
          </w:p>
        </w:tc>
        <w:tc>
          <w:tcPr>
            <w:tcW w:w="29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CAD485B" w14:textId="77777777" w:rsidR="00F22587" w:rsidRPr="000E5DBF" w:rsidRDefault="00F22587" w:rsidP="008A5C11">
            <w:pPr>
              <w:jc w:val="center"/>
              <w:rPr>
                <w:color w:val="000000"/>
                <w:sz w:val="14"/>
                <w:szCs w:val="14"/>
              </w:rPr>
            </w:pPr>
            <w:r w:rsidRPr="000E5DBF">
              <w:rPr>
                <w:color w:val="000000"/>
                <w:sz w:val="14"/>
                <w:szCs w:val="14"/>
              </w:rPr>
              <w:t>25</w:t>
            </w:r>
          </w:p>
        </w:tc>
        <w:tc>
          <w:tcPr>
            <w:tcW w:w="428"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EBD844D" w14:textId="77777777" w:rsidR="00F22587" w:rsidRPr="000E5DBF" w:rsidRDefault="00F22587" w:rsidP="008A5C11">
            <w:pPr>
              <w:jc w:val="center"/>
              <w:rPr>
                <w:color w:val="000000"/>
                <w:sz w:val="14"/>
                <w:szCs w:val="14"/>
              </w:rPr>
            </w:pPr>
            <w:r w:rsidRPr="000E5DBF">
              <w:rPr>
                <w:color w:val="000000"/>
                <w:sz w:val="14"/>
                <w:szCs w:val="14"/>
              </w:rPr>
              <w:t>26</w:t>
            </w:r>
          </w:p>
        </w:tc>
      </w:tr>
      <w:tr w:rsidR="00F22587" w:rsidRPr="000E5DBF" w14:paraId="53309483" w14:textId="77777777" w:rsidTr="008A5C11">
        <w:trPr>
          <w:gridAfter w:val="1"/>
          <w:wAfter w:w="11" w:type="dxa"/>
          <w:cantSplit/>
          <w:trHeight w:val="515"/>
        </w:trPr>
        <w:tc>
          <w:tcPr>
            <w:tcW w:w="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6F6CE518" w14:textId="77777777" w:rsidR="00F22587" w:rsidRPr="000E5DBF" w:rsidRDefault="00F22587" w:rsidP="008A5C11">
            <w:pPr>
              <w:jc w:val="center"/>
              <w:rPr>
                <w:color w:val="000000"/>
                <w:sz w:val="14"/>
                <w:szCs w:val="14"/>
              </w:rPr>
            </w:pPr>
            <w:r w:rsidRPr="000E5DBF">
              <w:rPr>
                <w:color w:val="000000"/>
                <w:sz w:val="14"/>
                <w:szCs w:val="14"/>
              </w:rPr>
              <w:t>3.2.4.</w:t>
            </w:r>
          </w:p>
        </w:tc>
        <w:tc>
          <w:tcPr>
            <w:tcW w:w="144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F9DBBD6" w14:textId="77777777" w:rsidR="00F22587" w:rsidRPr="000E5DBF" w:rsidRDefault="00F22587" w:rsidP="008A5C11">
            <w:pPr>
              <w:jc w:val="center"/>
              <w:rPr>
                <w:color w:val="000000"/>
                <w:sz w:val="14"/>
                <w:szCs w:val="14"/>
              </w:rPr>
            </w:pPr>
            <w:r w:rsidRPr="000E5DBF">
              <w:rPr>
                <w:color w:val="000000"/>
                <w:sz w:val="14"/>
                <w:szCs w:val="14"/>
              </w:rPr>
              <w:t>Установка автоматизированной котельной</w:t>
            </w:r>
          </w:p>
          <w:p w14:paraId="213BCCCC" w14:textId="77777777" w:rsidR="00F22587" w:rsidRPr="000E5DBF" w:rsidRDefault="00F22587" w:rsidP="008A5C11">
            <w:pPr>
              <w:jc w:val="center"/>
              <w:rPr>
                <w:color w:val="000000"/>
                <w:sz w:val="14"/>
                <w:szCs w:val="14"/>
              </w:rPr>
            </w:pPr>
            <w:r w:rsidRPr="000E5DBF">
              <w:rPr>
                <w:color w:val="000000"/>
                <w:sz w:val="14"/>
                <w:szCs w:val="14"/>
              </w:rPr>
              <w:t xml:space="preserve"> школы № 10</w:t>
            </w:r>
          </w:p>
        </w:tc>
        <w:tc>
          <w:tcPr>
            <w:tcW w:w="980"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E2C6F9A" w14:textId="77777777" w:rsidR="00F22587" w:rsidRPr="000E5DBF" w:rsidRDefault="00F22587" w:rsidP="008A5C11">
            <w:pPr>
              <w:jc w:val="center"/>
              <w:rPr>
                <w:color w:val="000000"/>
                <w:sz w:val="14"/>
                <w:szCs w:val="14"/>
              </w:rPr>
            </w:pPr>
            <w:r w:rsidRPr="000E5DBF">
              <w:rPr>
                <w:color w:val="000000"/>
                <w:sz w:val="14"/>
                <w:szCs w:val="14"/>
              </w:rPr>
              <w:t>Снижение расхода топлива</w:t>
            </w:r>
          </w:p>
        </w:tc>
        <w:tc>
          <w:tcPr>
            <w:tcW w:w="1002"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9C210FB" w14:textId="77777777" w:rsidR="00F22587" w:rsidRPr="000E5DBF" w:rsidRDefault="00F22587" w:rsidP="008A5C11">
            <w:pPr>
              <w:jc w:val="center"/>
              <w:rPr>
                <w:color w:val="000000"/>
                <w:sz w:val="14"/>
                <w:szCs w:val="14"/>
              </w:rPr>
            </w:pPr>
            <w:r w:rsidRPr="000E5DBF">
              <w:rPr>
                <w:color w:val="000000"/>
                <w:sz w:val="14"/>
                <w:szCs w:val="14"/>
              </w:rPr>
              <w:t>ул. 40 лет ВЛКСМ, 28</w:t>
            </w:r>
          </w:p>
        </w:tc>
        <w:tc>
          <w:tcPr>
            <w:tcW w:w="1000"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5124335" w14:textId="77777777" w:rsidR="00F22587" w:rsidRPr="000E5DBF" w:rsidRDefault="00F22587" w:rsidP="008A5C11">
            <w:pPr>
              <w:jc w:val="center"/>
              <w:rPr>
                <w:color w:val="000000"/>
                <w:sz w:val="14"/>
                <w:szCs w:val="14"/>
              </w:rPr>
            </w:pPr>
            <w:r w:rsidRPr="000E5DBF">
              <w:rPr>
                <w:color w:val="000000"/>
                <w:sz w:val="14"/>
                <w:szCs w:val="14"/>
              </w:rPr>
              <w:t>расход угля</w:t>
            </w:r>
          </w:p>
        </w:tc>
        <w:tc>
          <w:tcPr>
            <w:tcW w:w="429"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8A8E973" w14:textId="77777777" w:rsidR="00F22587" w:rsidRPr="000E5DBF" w:rsidRDefault="00F22587" w:rsidP="008A5C11">
            <w:pPr>
              <w:jc w:val="center"/>
              <w:rPr>
                <w:color w:val="000000"/>
                <w:sz w:val="14"/>
                <w:szCs w:val="14"/>
              </w:rPr>
            </w:pPr>
            <w:r w:rsidRPr="000E5DBF">
              <w:rPr>
                <w:color w:val="000000"/>
                <w:sz w:val="14"/>
                <w:szCs w:val="14"/>
              </w:rPr>
              <w:t>тн</w:t>
            </w:r>
          </w:p>
        </w:tc>
        <w:tc>
          <w:tcPr>
            <w:tcW w:w="719"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310A628" w14:textId="77777777" w:rsidR="00F22587" w:rsidRPr="000E5DBF" w:rsidRDefault="00F22587" w:rsidP="008A5C11">
            <w:pPr>
              <w:jc w:val="center"/>
              <w:rPr>
                <w:color w:val="000000"/>
                <w:sz w:val="14"/>
                <w:szCs w:val="14"/>
              </w:rPr>
            </w:pPr>
            <w:r w:rsidRPr="000E5DBF">
              <w:rPr>
                <w:color w:val="000000"/>
                <w:sz w:val="14"/>
                <w:szCs w:val="14"/>
              </w:rPr>
              <w:t>889</w:t>
            </w:r>
          </w:p>
        </w:tc>
        <w:tc>
          <w:tcPr>
            <w:tcW w:w="723"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0C35460" w14:textId="77777777" w:rsidR="00F22587" w:rsidRPr="000E5DBF" w:rsidRDefault="00F22587" w:rsidP="008A5C11">
            <w:pPr>
              <w:jc w:val="center"/>
              <w:rPr>
                <w:color w:val="000000"/>
                <w:sz w:val="14"/>
                <w:szCs w:val="14"/>
              </w:rPr>
            </w:pPr>
            <w:r w:rsidRPr="000E5DBF">
              <w:rPr>
                <w:color w:val="000000"/>
                <w:sz w:val="14"/>
                <w:szCs w:val="14"/>
              </w:rPr>
              <w:t>482</w:t>
            </w:r>
          </w:p>
        </w:tc>
        <w:tc>
          <w:tcPr>
            <w:tcW w:w="428" w:type="dxa"/>
            <w:gridSpan w:val="2"/>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088CCDA" w14:textId="77777777" w:rsidR="00F22587" w:rsidRPr="000E5DBF" w:rsidRDefault="00F22587" w:rsidP="008A5C11">
            <w:pPr>
              <w:jc w:val="center"/>
              <w:rPr>
                <w:color w:val="000000"/>
                <w:sz w:val="14"/>
                <w:szCs w:val="14"/>
              </w:rPr>
            </w:pPr>
            <w:r w:rsidRPr="000E5DBF">
              <w:rPr>
                <w:color w:val="000000"/>
                <w:sz w:val="14"/>
                <w:szCs w:val="14"/>
              </w:rPr>
              <w:t>2027</w:t>
            </w:r>
          </w:p>
        </w:tc>
        <w:tc>
          <w:tcPr>
            <w:tcW w:w="416"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B27A933" w14:textId="77777777" w:rsidR="00F22587" w:rsidRPr="000E5DBF" w:rsidRDefault="00F22587" w:rsidP="008A5C11">
            <w:pPr>
              <w:jc w:val="center"/>
              <w:rPr>
                <w:color w:val="000000"/>
                <w:sz w:val="14"/>
                <w:szCs w:val="14"/>
              </w:rPr>
            </w:pPr>
            <w:r w:rsidRPr="000E5DBF">
              <w:rPr>
                <w:color w:val="000000"/>
                <w:sz w:val="14"/>
                <w:szCs w:val="14"/>
              </w:rPr>
              <w:t>2028</w:t>
            </w:r>
          </w:p>
        </w:tc>
        <w:tc>
          <w:tcPr>
            <w:tcW w:w="573"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B92F9D9" w14:textId="77777777" w:rsidR="00F22587" w:rsidRPr="000E5DBF" w:rsidRDefault="00F22587" w:rsidP="008A5C11">
            <w:pPr>
              <w:jc w:val="center"/>
              <w:rPr>
                <w:color w:val="000000"/>
                <w:sz w:val="14"/>
                <w:szCs w:val="14"/>
              </w:rPr>
            </w:pPr>
            <w:r w:rsidRPr="000E5DBF">
              <w:rPr>
                <w:color w:val="000000"/>
                <w:sz w:val="14"/>
                <w:szCs w:val="14"/>
              </w:rPr>
              <w:t>10644,00</w:t>
            </w:r>
          </w:p>
        </w:tc>
        <w:tc>
          <w:tcPr>
            <w:tcW w:w="447" w:type="dxa"/>
            <w:gridSpan w:val="2"/>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087B805" w14:textId="77777777" w:rsidR="00F22587" w:rsidRPr="000E5DBF" w:rsidRDefault="00F22587" w:rsidP="008A5C11">
            <w:pPr>
              <w:jc w:val="center"/>
              <w:rPr>
                <w:color w:val="000000"/>
                <w:sz w:val="14"/>
                <w:szCs w:val="14"/>
              </w:rPr>
            </w:pPr>
            <w:r w:rsidRPr="000E5DBF">
              <w:rPr>
                <w:color w:val="000000"/>
                <w:sz w:val="14"/>
                <w:szCs w:val="14"/>
              </w:rPr>
              <w:t>0,00</w:t>
            </w:r>
          </w:p>
        </w:tc>
        <w:tc>
          <w:tcPr>
            <w:tcW w:w="559" w:type="dxa"/>
            <w:tcBorders>
              <w:top w:val="single" w:sz="4" w:space="0" w:color="auto"/>
              <w:left w:val="nil"/>
              <w:bottom w:val="single" w:sz="4" w:space="0" w:color="auto"/>
              <w:right w:val="single" w:sz="4" w:space="0" w:color="auto"/>
            </w:tcBorders>
            <w:shd w:val="clear" w:color="000000" w:fill="FFFFFF"/>
            <w:tcMar>
              <w:left w:w="0" w:type="dxa"/>
              <w:right w:w="0" w:type="dxa"/>
            </w:tcMar>
            <w:vAlign w:val="center"/>
          </w:tcPr>
          <w:p w14:paraId="21AB8EE1" w14:textId="77777777" w:rsidR="00F22587" w:rsidRPr="000E5DBF" w:rsidRDefault="00F22587" w:rsidP="008A5C11">
            <w:pPr>
              <w:jc w:val="center"/>
              <w:rPr>
                <w:color w:val="000000"/>
                <w:sz w:val="14"/>
                <w:szCs w:val="14"/>
              </w:rPr>
            </w:pPr>
            <w:r w:rsidRPr="000E5DBF">
              <w:rPr>
                <w:color w:val="000000"/>
                <w:sz w:val="14"/>
                <w:szCs w:val="14"/>
              </w:rPr>
              <w:t>0,00</w:t>
            </w:r>
          </w:p>
        </w:tc>
        <w:tc>
          <w:tcPr>
            <w:tcW w:w="572"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D951957" w14:textId="77777777" w:rsidR="00F22587" w:rsidRPr="000E5DBF" w:rsidRDefault="00F22587" w:rsidP="008A5C11">
            <w:pPr>
              <w:jc w:val="center"/>
              <w:rPr>
                <w:color w:val="000000"/>
                <w:sz w:val="14"/>
                <w:szCs w:val="14"/>
              </w:rPr>
            </w:pPr>
            <w:r w:rsidRPr="000E5DBF">
              <w:rPr>
                <w:color w:val="000000"/>
                <w:sz w:val="14"/>
                <w:szCs w:val="14"/>
              </w:rPr>
              <w:t>0,00</w:t>
            </w:r>
          </w:p>
        </w:tc>
        <w:tc>
          <w:tcPr>
            <w:tcW w:w="572"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BFA0302" w14:textId="77777777" w:rsidR="00F22587" w:rsidRPr="000E5DBF" w:rsidRDefault="00F22587" w:rsidP="008A5C11">
            <w:pPr>
              <w:jc w:val="center"/>
              <w:rPr>
                <w:color w:val="000000"/>
                <w:sz w:val="14"/>
                <w:szCs w:val="14"/>
              </w:rPr>
            </w:pPr>
            <w:r w:rsidRPr="000E5DBF">
              <w:rPr>
                <w:color w:val="000000"/>
                <w:sz w:val="14"/>
                <w:szCs w:val="14"/>
              </w:rPr>
              <w:t>0,00</w:t>
            </w:r>
          </w:p>
        </w:tc>
        <w:tc>
          <w:tcPr>
            <w:tcW w:w="566"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1524CD9" w14:textId="77777777" w:rsidR="00F22587" w:rsidRPr="000E5DBF" w:rsidRDefault="00F22587" w:rsidP="008A5C11">
            <w:pPr>
              <w:jc w:val="center"/>
              <w:rPr>
                <w:color w:val="000000"/>
                <w:sz w:val="14"/>
                <w:szCs w:val="14"/>
              </w:rPr>
            </w:pPr>
            <w:r w:rsidRPr="000E5DBF">
              <w:rPr>
                <w:color w:val="000000"/>
                <w:sz w:val="14"/>
                <w:szCs w:val="14"/>
              </w:rPr>
              <w:t>0,00</w:t>
            </w:r>
          </w:p>
        </w:tc>
        <w:tc>
          <w:tcPr>
            <w:tcW w:w="56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D5B1B09" w14:textId="77777777" w:rsidR="00F22587" w:rsidRPr="000E5DBF" w:rsidRDefault="00F22587" w:rsidP="008A5C11">
            <w:pPr>
              <w:jc w:val="center"/>
              <w:rPr>
                <w:color w:val="000000"/>
                <w:sz w:val="14"/>
                <w:szCs w:val="14"/>
              </w:rPr>
            </w:pPr>
            <w:r w:rsidRPr="000E5DBF">
              <w:rPr>
                <w:color w:val="000000"/>
                <w:sz w:val="14"/>
                <w:szCs w:val="14"/>
              </w:rPr>
              <w:t>0,00</w:t>
            </w:r>
          </w:p>
        </w:tc>
        <w:tc>
          <w:tcPr>
            <w:tcW w:w="574"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B29325D" w14:textId="77777777" w:rsidR="00F22587" w:rsidRPr="000E5DBF" w:rsidRDefault="00F22587" w:rsidP="008A5C11">
            <w:pPr>
              <w:jc w:val="center"/>
              <w:rPr>
                <w:color w:val="000000"/>
                <w:sz w:val="14"/>
                <w:szCs w:val="14"/>
              </w:rPr>
            </w:pPr>
            <w:r w:rsidRPr="000E5DBF">
              <w:rPr>
                <w:color w:val="000000"/>
                <w:sz w:val="14"/>
                <w:szCs w:val="14"/>
              </w:rPr>
              <w:t>0,00</w:t>
            </w:r>
          </w:p>
        </w:tc>
        <w:tc>
          <w:tcPr>
            <w:tcW w:w="572" w:type="dxa"/>
            <w:gridSpan w:val="2"/>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67DEAA1" w14:textId="77777777" w:rsidR="00F22587" w:rsidRPr="000E5DBF" w:rsidRDefault="00F22587" w:rsidP="008A5C11">
            <w:pPr>
              <w:jc w:val="center"/>
              <w:rPr>
                <w:color w:val="000000"/>
                <w:sz w:val="14"/>
                <w:szCs w:val="14"/>
              </w:rPr>
            </w:pPr>
            <w:r w:rsidRPr="000E5DBF">
              <w:rPr>
                <w:color w:val="000000"/>
                <w:sz w:val="14"/>
                <w:szCs w:val="14"/>
              </w:rPr>
              <w:t>0,00</w:t>
            </w:r>
          </w:p>
        </w:tc>
        <w:tc>
          <w:tcPr>
            <w:tcW w:w="570"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79F2252" w14:textId="77777777" w:rsidR="00F22587" w:rsidRPr="000E5DBF" w:rsidRDefault="00F22587" w:rsidP="008A5C11">
            <w:pPr>
              <w:jc w:val="center"/>
              <w:rPr>
                <w:color w:val="000000"/>
                <w:sz w:val="14"/>
                <w:szCs w:val="14"/>
              </w:rPr>
            </w:pPr>
            <w:r w:rsidRPr="000E5DBF">
              <w:rPr>
                <w:color w:val="000000"/>
                <w:sz w:val="14"/>
                <w:szCs w:val="14"/>
              </w:rPr>
              <w:t>0,00</w:t>
            </w:r>
          </w:p>
        </w:tc>
        <w:tc>
          <w:tcPr>
            <w:tcW w:w="572"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EF4529E" w14:textId="77777777" w:rsidR="00F22587" w:rsidRPr="000E5DBF" w:rsidRDefault="00F22587" w:rsidP="008A5C11">
            <w:pPr>
              <w:jc w:val="center"/>
              <w:rPr>
                <w:color w:val="000000"/>
                <w:sz w:val="14"/>
                <w:szCs w:val="14"/>
              </w:rPr>
            </w:pPr>
            <w:r w:rsidRPr="000E5DBF">
              <w:rPr>
                <w:color w:val="000000"/>
                <w:sz w:val="14"/>
                <w:szCs w:val="14"/>
              </w:rPr>
              <w:t>5208,00</w:t>
            </w:r>
          </w:p>
        </w:tc>
        <w:tc>
          <w:tcPr>
            <w:tcW w:w="573"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E126564" w14:textId="77777777" w:rsidR="00F22587" w:rsidRPr="000E5DBF" w:rsidRDefault="00F22587" w:rsidP="008A5C11">
            <w:pPr>
              <w:jc w:val="center"/>
              <w:rPr>
                <w:color w:val="000000"/>
                <w:sz w:val="14"/>
                <w:szCs w:val="14"/>
              </w:rPr>
            </w:pPr>
            <w:r w:rsidRPr="000E5DBF">
              <w:rPr>
                <w:color w:val="000000"/>
                <w:sz w:val="14"/>
                <w:szCs w:val="14"/>
              </w:rPr>
              <w:t>5436,00</w:t>
            </w:r>
          </w:p>
        </w:tc>
        <w:tc>
          <w:tcPr>
            <w:tcW w:w="574"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2C8A00C" w14:textId="77777777" w:rsidR="00F22587" w:rsidRPr="000E5DBF" w:rsidRDefault="00F22587" w:rsidP="008A5C11">
            <w:pPr>
              <w:jc w:val="center"/>
              <w:rPr>
                <w:color w:val="000000"/>
                <w:sz w:val="14"/>
                <w:szCs w:val="14"/>
              </w:rPr>
            </w:pPr>
            <w:r w:rsidRPr="000E5DBF">
              <w:rPr>
                <w:color w:val="000000"/>
                <w:sz w:val="14"/>
                <w:szCs w:val="14"/>
              </w:rPr>
              <w:t>0,00</w:t>
            </w:r>
          </w:p>
        </w:tc>
        <w:tc>
          <w:tcPr>
            <w:tcW w:w="56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5B0A370" w14:textId="77777777" w:rsidR="00F22587" w:rsidRPr="000E5DBF" w:rsidRDefault="00F22587" w:rsidP="008A5C11">
            <w:pPr>
              <w:jc w:val="center"/>
              <w:rPr>
                <w:color w:val="000000"/>
                <w:sz w:val="14"/>
                <w:szCs w:val="14"/>
              </w:rPr>
            </w:pPr>
            <w:r w:rsidRPr="000E5DBF">
              <w:rPr>
                <w:color w:val="000000"/>
                <w:sz w:val="14"/>
                <w:szCs w:val="14"/>
              </w:rPr>
              <w:t>0,00</w:t>
            </w:r>
          </w:p>
        </w:tc>
        <w:tc>
          <w:tcPr>
            <w:tcW w:w="292"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47AA034" w14:textId="77777777" w:rsidR="00F22587" w:rsidRPr="000E5DBF" w:rsidRDefault="00F22587" w:rsidP="008A5C11">
            <w:pPr>
              <w:jc w:val="center"/>
              <w:rPr>
                <w:color w:val="000000"/>
                <w:sz w:val="14"/>
                <w:szCs w:val="14"/>
              </w:rPr>
            </w:pPr>
            <w:r w:rsidRPr="000E5DBF">
              <w:rPr>
                <w:color w:val="000000"/>
                <w:sz w:val="14"/>
                <w:szCs w:val="14"/>
              </w:rPr>
              <w:t>0,00</w:t>
            </w:r>
          </w:p>
        </w:tc>
        <w:tc>
          <w:tcPr>
            <w:tcW w:w="428" w:type="dxa"/>
            <w:gridSpan w:val="2"/>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F60E4A6" w14:textId="77777777" w:rsidR="00F22587" w:rsidRPr="000E5DBF" w:rsidRDefault="00F22587" w:rsidP="008A5C11">
            <w:pPr>
              <w:jc w:val="center"/>
              <w:rPr>
                <w:color w:val="000000"/>
                <w:sz w:val="14"/>
                <w:szCs w:val="14"/>
              </w:rPr>
            </w:pPr>
            <w:r w:rsidRPr="000E5DBF">
              <w:rPr>
                <w:color w:val="000000"/>
                <w:sz w:val="14"/>
                <w:szCs w:val="14"/>
              </w:rPr>
              <w:t>0,00</w:t>
            </w:r>
          </w:p>
        </w:tc>
      </w:tr>
      <w:tr w:rsidR="00F22587" w:rsidRPr="000E5DBF" w14:paraId="1C1B437F" w14:textId="77777777" w:rsidTr="008A5C11">
        <w:trPr>
          <w:gridAfter w:val="1"/>
          <w:wAfter w:w="11" w:type="dxa"/>
          <w:cantSplit/>
          <w:trHeight w:val="667"/>
        </w:trPr>
        <w:tc>
          <w:tcPr>
            <w:tcW w:w="411"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09BE4820" w14:textId="77777777" w:rsidR="00F22587" w:rsidRPr="000E5DBF" w:rsidRDefault="00F22587" w:rsidP="008A5C11">
            <w:pPr>
              <w:jc w:val="center"/>
              <w:rPr>
                <w:color w:val="000000"/>
                <w:sz w:val="14"/>
                <w:szCs w:val="14"/>
              </w:rPr>
            </w:pPr>
            <w:r w:rsidRPr="000E5DBF">
              <w:rPr>
                <w:color w:val="000000"/>
                <w:sz w:val="14"/>
                <w:szCs w:val="14"/>
              </w:rPr>
              <w:t>3.2.5.</w:t>
            </w:r>
          </w:p>
        </w:tc>
        <w:tc>
          <w:tcPr>
            <w:tcW w:w="1447" w:type="dxa"/>
            <w:tcBorders>
              <w:top w:val="nil"/>
              <w:left w:val="nil"/>
              <w:bottom w:val="single" w:sz="4" w:space="0" w:color="auto"/>
              <w:right w:val="single" w:sz="4" w:space="0" w:color="auto"/>
            </w:tcBorders>
            <w:shd w:val="clear" w:color="auto" w:fill="auto"/>
            <w:tcMar>
              <w:left w:w="0" w:type="dxa"/>
              <w:right w:w="0" w:type="dxa"/>
            </w:tcMar>
            <w:vAlign w:val="center"/>
          </w:tcPr>
          <w:p w14:paraId="63E1A1A1" w14:textId="77777777" w:rsidR="00F22587" w:rsidRPr="000E5DBF" w:rsidRDefault="00F22587" w:rsidP="008A5C11">
            <w:pPr>
              <w:jc w:val="center"/>
              <w:rPr>
                <w:color w:val="000000"/>
                <w:sz w:val="14"/>
                <w:szCs w:val="14"/>
              </w:rPr>
            </w:pPr>
            <w:r w:rsidRPr="000E5DBF">
              <w:rPr>
                <w:color w:val="000000"/>
                <w:sz w:val="14"/>
                <w:szCs w:val="14"/>
              </w:rPr>
              <w:t xml:space="preserve">Установка автоматизированной котельной </w:t>
            </w:r>
          </w:p>
          <w:p w14:paraId="62028B8E" w14:textId="77777777" w:rsidR="00F22587" w:rsidRPr="000E5DBF" w:rsidRDefault="00F22587" w:rsidP="008A5C11">
            <w:pPr>
              <w:jc w:val="center"/>
              <w:rPr>
                <w:color w:val="000000"/>
                <w:sz w:val="14"/>
                <w:szCs w:val="14"/>
              </w:rPr>
            </w:pPr>
            <w:r w:rsidRPr="000E5DBF">
              <w:rPr>
                <w:color w:val="000000"/>
                <w:sz w:val="14"/>
                <w:szCs w:val="14"/>
              </w:rPr>
              <w:t>школы № 15</w:t>
            </w:r>
          </w:p>
        </w:tc>
        <w:tc>
          <w:tcPr>
            <w:tcW w:w="980" w:type="dxa"/>
            <w:tcBorders>
              <w:top w:val="nil"/>
              <w:left w:val="nil"/>
              <w:bottom w:val="single" w:sz="4" w:space="0" w:color="auto"/>
              <w:right w:val="single" w:sz="4" w:space="0" w:color="auto"/>
            </w:tcBorders>
            <w:shd w:val="clear" w:color="auto" w:fill="auto"/>
            <w:tcMar>
              <w:left w:w="0" w:type="dxa"/>
              <w:right w:w="0" w:type="dxa"/>
            </w:tcMar>
            <w:vAlign w:val="center"/>
          </w:tcPr>
          <w:p w14:paraId="16B0C046" w14:textId="77777777" w:rsidR="00F22587" w:rsidRPr="000E5DBF" w:rsidRDefault="00F22587" w:rsidP="008A5C11">
            <w:pPr>
              <w:jc w:val="center"/>
              <w:rPr>
                <w:color w:val="000000"/>
                <w:sz w:val="14"/>
                <w:szCs w:val="14"/>
              </w:rPr>
            </w:pPr>
            <w:r w:rsidRPr="000E5DBF">
              <w:rPr>
                <w:color w:val="000000"/>
                <w:sz w:val="14"/>
                <w:szCs w:val="14"/>
              </w:rPr>
              <w:t>Снижение расхода топлива</w:t>
            </w:r>
          </w:p>
        </w:tc>
        <w:tc>
          <w:tcPr>
            <w:tcW w:w="1002" w:type="dxa"/>
            <w:tcBorders>
              <w:top w:val="nil"/>
              <w:left w:val="nil"/>
              <w:bottom w:val="single" w:sz="4" w:space="0" w:color="auto"/>
              <w:right w:val="single" w:sz="4" w:space="0" w:color="auto"/>
            </w:tcBorders>
            <w:shd w:val="clear" w:color="auto" w:fill="auto"/>
            <w:tcMar>
              <w:left w:w="0" w:type="dxa"/>
              <w:right w:w="0" w:type="dxa"/>
            </w:tcMar>
            <w:vAlign w:val="center"/>
          </w:tcPr>
          <w:p w14:paraId="15CCF04F" w14:textId="77777777" w:rsidR="00F22587" w:rsidRPr="000E5DBF" w:rsidRDefault="00F22587" w:rsidP="008A5C11">
            <w:pPr>
              <w:jc w:val="center"/>
              <w:rPr>
                <w:color w:val="000000"/>
                <w:sz w:val="14"/>
                <w:szCs w:val="14"/>
              </w:rPr>
            </w:pPr>
            <w:r w:rsidRPr="000E5DBF">
              <w:rPr>
                <w:color w:val="000000"/>
                <w:sz w:val="14"/>
                <w:szCs w:val="14"/>
              </w:rPr>
              <w:t>ул. Садовая, 8</w:t>
            </w:r>
          </w:p>
        </w:tc>
        <w:tc>
          <w:tcPr>
            <w:tcW w:w="1000" w:type="dxa"/>
            <w:tcBorders>
              <w:top w:val="nil"/>
              <w:left w:val="nil"/>
              <w:bottom w:val="single" w:sz="4" w:space="0" w:color="auto"/>
              <w:right w:val="single" w:sz="4" w:space="0" w:color="auto"/>
            </w:tcBorders>
            <w:shd w:val="clear" w:color="auto" w:fill="auto"/>
            <w:tcMar>
              <w:left w:w="0" w:type="dxa"/>
              <w:right w:w="0" w:type="dxa"/>
            </w:tcMar>
            <w:vAlign w:val="center"/>
          </w:tcPr>
          <w:p w14:paraId="722BC6FC" w14:textId="77777777" w:rsidR="00F22587" w:rsidRPr="000E5DBF" w:rsidRDefault="00F22587" w:rsidP="008A5C11">
            <w:pPr>
              <w:jc w:val="center"/>
              <w:rPr>
                <w:color w:val="000000"/>
                <w:sz w:val="14"/>
                <w:szCs w:val="14"/>
              </w:rPr>
            </w:pPr>
            <w:r w:rsidRPr="000E5DBF">
              <w:rPr>
                <w:color w:val="000000"/>
                <w:sz w:val="14"/>
                <w:szCs w:val="14"/>
              </w:rPr>
              <w:t>расход угля</w:t>
            </w:r>
          </w:p>
        </w:tc>
        <w:tc>
          <w:tcPr>
            <w:tcW w:w="429" w:type="dxa"/>
            <w:tcBorders>
              <w:top w:val="nil"/>
              <w:left w:val="nil"/>
              <w:bottom w:val="single" w:sz="4" w:space="0" w:color="auto"/>
              <w:right w:val="single" w:sz="4" w:space="0" w:color="auto"/>
            </w:tcBorders>
            <w:shd w:val="clear" w:color="auto" w:fill="auto"/>
            <w:tcMar>
              <w:left w:w="0" w:type="dxa"/>
              <w:right w:w="0" w:type="dxa"/>
            </w:tcMar>
            <w:vAlign w:val="center"/>
          </w:tcPr>
          <w:p w14:paraId="147DABE8" w14:textId="77777777" w:rsidR="00F22587" w:rsidRPr="000E5DBF" w:rsidRDefault="00F22587" w:rsidP="008A5C11">
            <w:pPr>
              <w:jc w:val="center"/>
              <w:rPr>
                <w:color w:val="000000"/>
                <w:sz w:val="14"/>
                <w:szCs w:val="14"/>
              </w:rPr>
            </w:pPr>
            <w:r w:rsidRPr="000E5DBF">
              <w:rPr>
                <w:color w:val="000000"/>
                <w:sz w:val="14"/>
                <w:szCs w:val="14"/>
              </w:rPr>
              <w:t>тн</w:t>
            </w:r>
          </w:p>
        </w:tc>
        <w:tc>
          <w:tcPr>
            <w:tcW w:w="719" w:type="dxa"/>
            <w:tcBorders>
              <w:top w:val="nil"/>
              <w:left w:val="nil"/>
              <w:bottom w:val="single" w:sz="4" w:space="0" w:color="auto"/>
              <w:right w:val="single" w:sz="4" w:space="0" w:color="auto"/>
            </w:tcBorders>
            <w:shd w:val="clear" w:color="auto" w:fill="auto"/>
            <w:tcMar>
              <w:left w:w="0" w:type="dxa"/>
              <w:right w:w="0" w:type="dxa"/>
            </w:tcMar>
            <w:vAlign w:val="center"/>
          </w:tcPr>
          <w:p w14:paraId="3438AE96" w14:textId="77777777" w:rsidR="00F22587" w:rsidRPr="000E5DBF" w:rsidRDefault="00F22587" w:rsidP="008A5C11">
            <w:pPr>
              <w:jc w:val="center"/>
              <w:rPr>
                <w:color w:val="000000"/>
                <w:sz w:val="14"/>
                <w:szCs w:val="14"/>
              </w:rPr>
            </w:pPr>
            <w:r w:rsidRPr="000E5DBF">
              <w:rPr>
                <w:color w:val="000000"/>
                <w:sz w:val="14"/>
                <w:szCs w:val="14"/>
              </w:rPr>
              <w:t>392</w:t>
            </w:r>
          </w:p>
        </w:tc>
        <w:tc>
          <w:tcPr>
            <w:tcW w:w="723" w:type="dxa"/>
            <w:tcBorders>
              <w:top w:val="nil"/>
              <w:left w:val="nil"/>
              <w:bottom w:val="single" w:sz="4" w:space="0" w:color="auto"/>
              <w:right w:val="single" w:sz="4" w:space="0" w:color="auto"/>
            </w:tcBorders>
            <w:shd w:val="clear" w:color="auto" w:fill="auto"/>
            <w:tcMar>
              <w:left w:w="0" w:type="dxa"/>
              <w:right w:w="0" w:type="dxa"/>
            </w:tcMar>
            <w:vAlign w:val="center"/>
          </w:tcPr>
          <w:p w14:paraId="7D8E7905" w14:textId="77777777" w:rsidR="00F22587" w:rsidRPr="000E5DBF" w:rsidRDefault="00F22587" w:rsidP="008A5C11">
            <w:pPr>
              <w:jc w:val="center"/>
              <w:rPr>
                <w:color w:val="000000"/>
                <w:sz w:val="14"/>
                <w:szCs w:val="14"/>
              </w:rPr>
            </w:pPr>
            <w:r w:rsidRPr="000E5DBF">
              <w:rPr>
                <w:color w:val="000000"/>
                <w:sz w:val="14"/>
                <w:szCs w:val="14"/>
              </w:rPr>
              <w:t>360</w:t>
            </w:r>
          </w:p>
        </w:tc>
        <w:tc>
          <w:tcPr>
            <w:tcW w:w="428" w:type="dxa"/>
            <w:gridSpan w:val="2"/>
            <w:tcBorders>
              <w:top w:val="nil"/>
              <w:left w:val="nil"/>
              <w:bottom w:val="single" w:sz="4" w:space="0" w:color="auto"/>
              <w:right w:val="single" w:sz="4" w:space="0" w:color="auto"/>
            </w:tcBorders>
            <w:shd w:val="clear" w:color="auto" w:fill="auto"/>
            <w:tcMar>
              <w:left w:w="0" w:type="dxa"/>
              <w:right w:w="0" w:type="dxa"/>
            </w:tcMar>
            <w:vAlign w:val="center"/>
          </w:tcPr>
          <w:p w14:paraId="5DC5AE6C" w14:textId="77777777" w:rsidR="00F22587" w:rsidRPr="000E5DBF" w:rsidRDefault="00F22587" w:rsidP="008A5C11">
            <w:pPr>
              <w:jc w:val="center"/>
              <w:rPr>
                <w:color w:val="000000"/>
                <w:sz w:val="14"/>
                <w:szCs w:val="14"/>
              </w:rPr>
            </w:pPr>
            <w:r w:rsidRPr="000E5DBF">
              <w:rPr>
                <w:color w:val="000000"/>
                <w:sz w:val="14"/>
                <w:szCs w:val="14"/>
              </w:rPr>
              <w:t>2028</w:t>
            </w:r>
          </w:p>
        </w:tc>
        <w:tc>
          <w:tcPr>
            <w:tcW w:w="416" w:type="dxa"/>
            <w:tcBorders>
              <w:top w:val="nil"/>
              <w:left w:val="nil"/>
              <w:bottom w:val="single" w:sz="4" w:space="0" w:color="auto"/>
              <w:right w:val="single" w:sz="4" w:space="0" w:color="auto"/>
            </w:tcBorders>
            <w:shd w:val="clear" w:color="auto" w:fill="auto"/>
            <w:tcMar>
              <w:left w:w="0" w:type="dxa"/>
              <w:right w:w="0" w:type="dxa"/>
            </w:tcMar>
            <w:vAlign w:val="center"/>
          </w:tcPr>
          <w:p w14:paraId="03C15DF3" w14:textId="77777777" w:rsidR="00F22587" w:rsidRPr="000E5DBF" w:rsidRDefault="00F22587" w:rsidP="008A5C11">
            <w:pPr>
              <w:jc w:val="center"/>
              <w:rPr>
                <w:color w:val="000000"/>
                <w:sz w:val="14"/>
                <w:szCs w:val="14"/>
              </w:rPr>
            </w:pPr>
            <w:r w:rsidRPr="000E5DBF">
              <w:rPr>
                <w:color w:val="000000"/>
                <w:sz w:val="14"/>
                <w:szCs w:val="14"/>
              </w:rPr>
              <w:t>2030</w:t>
            </w:r>
          </w:p>
        </w:tc>
        <w:tc>
          <w:tcPr>
            <w:tcW w:w="573" w:type="dxa"/>
            <w:tcBorders>
              <w:top w:val="nil"/>
              <w:left w:val="nil"/>
              <w:bottom w:val="single" w:sz="4" w:space="0" w:color="auto"/>
              <w:right w:val="single" w:sz="4" w:space="0" w:color="auto"/>
            </w:tcBorders>
            <w:shd w:val="clear" w:color="auto" w:fill="auto"/>
            <w:tcMar>
              <w:left w:w="0" w:type="dxa"/>
              <w:right w:w="0" w:type="dxa"/>
            </w:tcMar>
            <w:vAlign w:val="center"/>
          </w:tcPr>
          <w:p w14:paraId="2C3DD84B" w14:textId="77777777" w:rsidR="00F22587" w:rsidRPr="000E5DBF" w:rsidRDefault="00F22587" w:rsidP="008A5C11">
            <w:pPr>
              <w:jc w:val="center"/>
              <w:rPr>
                <w:color w:val="000000"/>
                <w:sz w:val="14"/>
                <w:szCs w:val="14"/>
              </w:rPr>
            </w:pPr>
            <w:r w:rsidRPr="000E5DBF">
              <w:rPr>
                <w:color w:val="000000"/>
                <w:sz w:val="14"/>
                <w:szCs w:val="14"/>
              </w:rPr>
              <w:t>12385,60</w:t>
            </w:r>
          </w:p>
        </w:tc>
        <w:tc>
          <w:tcPr>
            <w:tcW w:w="447" w:type="dxa"/>
            <w:gridSpan w:val="2"/>
            <w:tcBorders>
              <w:top w:val="nil"/>
              <w:left w:val="nil"/>
              <w:bottom w:val="single" w:sz="4" w:space="0" w:color="auto"/>
              <w:right w:val="single" w:sz="4" w:space="0" w:color="auto"/>
            </w:tcBorders>
            <w:shd w:val="clear" w:color="auto" w:fill="auto"/>
            <w:tcMar>
              <w:left w:w="0" w:type="dxa"/>
              <w:right w:w="0" w:type="dxa"/>
            </w:tcMar>
            <w:vAlign w:val="center"/>
          </w:tcPr>
          <w:p w14:paraId="5B9F84BE" w14:textId="77777777" w:rsidR="00F22587" w:rsidRPr="000E5DBF" w:rsidRDefault="00F22587" w:rsidP="008A5C11">
            <w:pPr>
              <w:jc w:val="center"/>
              <w:rPr>
                <w:color w:val="000000"/>
                <w:sz w:val="14"/>
                <w:szCs w:val="14"/>
              </w:rPr>
            </w:pPr>
            <w:r w:rsidRPr="000E5DBF">
              <w:rPr>
                <w:color w:val="000000"/>
                <w:sz w:val="14"/>
                <w:szCs w:val="14"/>
              </w:rPr>
              <w:t>0,00</w:t>
            </w:r>
          </w:p>
        </w:tc>
        <w:tc>
          <w:tcPr>
            <w:tcW w:w="559" w:type="dxa"/>
            <w:tcBorders>
              <w:top w:val="nil"/>
              <w:left w:val="nil"/>
              <w:bottom w:val="single" w:sz="4" w:space="0" w:color="auto"/>
              <w:right w:val="single" w:sz="4" w:space="0" w:color="auto"/>
            </w:tcBorders>
            <w:shd w:val="clear" w:color="000000" w:fill="FFFFFF"/>
            <w:tcMar>
              <w:left w:w="0" w:type="dxa"/>
              <w:right w:w="0" w:type="dxa"/>
            </w:tcMar>
            <w:vAlign w:val="center"/>
          </w:tcPr>
          <w:p w14:paraId="11B46284" w14:textId="77777777" w:rsidR="00F22587" w:rsidRPr="000E5DBF" w:rsidRDefault="00F22587" w:rsidP="008A5C11">
            <w:pPr>
              <w:jc w:val="center"/>
              <w:rPr>
                <w:color w:val="000000"/>
                <w:sz w:val="14"/>
                <w:szCs w:val="14"/>
              </w:rPr>
            </w:pPr>
            <w:r w:rsidRPr="000E5DBF">
              <w:rPr>
                <w:color w:val="000000"/>
                <w:sz w:val="14"/>
                <w:szCs w:val="14"/>
              </w:rPr>
              <w:t>0,00</w:t>
            </w:r>
          </w:p>
        </w:tc>
        <w:tc>
          <w:tcPr>
            <w:tcW w:w="572" w:type="dxa"/>
            <w:tcBorders>
              <w:top w:val="nil"/>
              <w:left w:val="nil"/>
              <w:bottom w:val="single" w:sz="4" w:space="0" w:color="auto"/>
              <w:right w:val="single" w:sz="4" w:space="0" w:color="auto"/>
            </w:tcBorders>
            <w:shd w:val="clear" w:color="000000" w:fill="FFFFFF"/>
            <w:tcMar>
              <w:left w:w="0" w:type="dxa"/>
              <w:right w:w="0" w:type="dxa"/>
            </w:tcMar>
            <w:vAlign w:val="center"/>
          </w:tcPr>
          <w:p w14:paraId="50340E3C" w14:textId="77777777" w:rsidR="00F22587" w:rsidRPr="000E5DBF" w:rsidRDefault="00F22587" w:rsidP="008A5C11">
            <w:pPr>
              <w:jc w:val="center"/>
              <w:rPr>
                <w:color w:val="000000"/>
                <w:sz w:val="14"/>
                <w:szCs w:val="14"/>
              </w:rPr>
            </w:pPr>
            <w:r w:rsidRPr="000E5DBF">
              <w:rPr>
                <w:color w:val="000000"/>
                <w:sz w:val="14"/>
                <w:szCs w:val="14"/>
              </w:rPr>
              <w:t>0,00</w:t>
            </w:r>
          </w:p>
        </w:tc>
        <w:tc>
          <w:tcPr>
            <w:tcW w:w="572" w:type="dxa"/>
            <w:tcBorders>
              <w:top w:val="nil"/>
              <w:left w:val="nil"/>
              <w:bottom w:val="single" w:sz="4" w:space="0" w:color="auto"/>
              <w:right w:val="single" w:sz="4" w:space="0" w:color="auto"/>
            </w:tcBorders>
            <w:shd w:val="clear" w:color="auto" w:fill="auto"/>
            <w:tcMar>
              <w:left w:w="0" w:type="dxa"/>
              <w:right w:w="0" w:type="dxa"/>
            </w:tcMar>
            <w:vAlign w:val="center"/>
          </w:tcPr>
          <w:p w14:paraId="7812FB0C" w14:textId="77777777" w:rsidR="00F22587" w:rsidRPr="000E5DBF" w:rsidRDefault="00F22587" w:rsidP="008A5C11">
            <w:pPr>
              <w:jc w:val="center"/>
              <w:rPr>
                <w:color w:val="000000"/>
                <w:sz w:val="14"/>
                <w:szCs w:val="14"/>
              </w:rPr>
            </w:pPr>
            <w:r w:rsidRPr="000E5DBF">
              <w:rPr>
                <w:color w:val="000000"/>
                <w:sz w:val="14"/>
                <w:szCs w:val="14"/>
              </w:rPr>
              <w:t>0,00</w:t>
            </w:r>
          </w:p>
        </w:tc>
        <w:tc>
          <w:tcPr>
            <w:tcW w:w="566" w:type="dxa"/>
            <w:tcBorders>
              <w:top w:val="nil"/>
              <w:left w:val="nil"/>
              <w:bottom w:val="single" w:sz="4" w:space="0" w:color="auto"/>
              <w:right w:val="single" w:sz="4" w:space="0" w:color="auto"/>
            </w:tcBorders>
            <w:shd w:val="clear" w:color="auto" w:fill="auto"/>
            <w:tcMar>
              <w:left w:w="0" w:type="dxa"/>
              <w:right w:w="0" w:type="dxa"/>
            </w:tcMar>
            <w:vAlign w:val="center"/>
          </w:tcPr>
          <w:p w14:paraId="0B35E0BE" w14:textId="77777777" w:rsidR="00F22587" w:rsidRPr="000E5DBF" w:rsidRDefault="00F22587" w:rsidP="008A5C11">
            <w:pPr>
              <w:jc w:val="center"/>
              <w:rPr>
                <w:color w:val="000000"/>
                <w:sz w:val="14"/>
                <w:szCs w:val="14"/>
              </w:rPr>
            </w:pPr>
            <w:r w:rsidRPr="000E5DBF">
              <w:rPr>
                <w:color w:val="000000"/>
                <w:sz w:val="14"/>
                <w:szCs w:val="14"/>
              </w:rPr>
              <w:t>0,00</w:t>
            </w:r>
          </w:p>
        </w:tc>
        <w:tc>
          <w:tcPr>
            <w:tcW w:w="565" w:type="dxa"/>
            <w:tcBorders>
              <w:top w:val="nil"/>
              <w:left w:val="nil"/>
              <w:bottom w:val="single" w:sz="4" w:space="0" w:color="auto"/>
              <w:right w:val="single" w:sz="4" w:space="0" w:color="auto"/>
            </w:tcBorders>
            <w:shd w:val="clear" w:color="auto" w:fill="auto"/>
            <w:tcMar>
              <w:left w:w="0" w:type="dxa"/>
              <w:right w:w="0" w:type="dxa"/>
            </w:tcMar>
            <w:vAlign w:val="center"/>
          </w:tcPr>
          <w:p w14:paraId="2CFB835C" w14:textId="77777777" w:rsidR="00F22587" w:rsidRPr="000E5DBF" w:rsidRDefault="00F22587" w:rsidP="008A5C11">
            <w:pPr>
              <w:jc w:val="center"/>
              <w:rPr>
                <w:color w:val="000000"/>
                <w:sz w:val="14"/>
                <w:szCs w:val="14"/>
              </w:rPr>
            </w:pPr>
            <w:r w:rsidRPr="000E5DBF">
              <w:rPr>
                <w:color w:val="000000"/>
                <w:sz w:val="14"/>
                <w:szCs w:val="14"/>
              </w:rPr>
              <w:t>0,00</w:t>
            </w:r>
          </w:p>
        </w:tc>
        <w:tc>
          <w:tcPr>
            <w:tcW w:w="574" w:type="dxa"/>
            <w:tcBorders>
              <w:top w:val="nil"/>
              <w:left w:val="nil"/>
              <w:bottom w:val="single" w:sz="4" w:space="0" w:color="auto"/>
              <w:right w:val="single" w:sz="4" w:space="0" w:color="auto"/>
            </w:tcBorders>
            <w:shd w:val="clear" w:color="auto" w:fill="auto"/>
            <w:tcMar>
              <w:left w:w="0" w:type="dxa"/>
              <w:right w:w="0" w:type="dxa"/>
            </w:tcMar>
            <w:vAlign w:val="center"/>
          </w:tcPr>
          <w:p w14:paraId="47EB2BF3" w14:textId="77777777" w:rsidR="00F22587" w:rsidRPr="000E5DBF" w:rsidRDefault="00F22587" w:rsidP="008A5C11">
            <w:pPr>
              <w:jc w:val="center"/>
              <w:rPr>
                <w:color w:val="000000"/>
                <w:sz w:val="14"/>
                <w:szCs w:val="14"/>
              </w:rPr>
            </w:pPr>
            <w:r w:rsidRPr="000E5DBF">
              <w:rPr>
                <w:color w:val="000000"/>
                <w:sz w:val="14"/>
                <w:szCs w:val="14"/>
              </w:rPr>
              <w:t>0,00</w:t>
            </w:r>
          </w:p>
        </w:tc>
        <w:tc>
          <w:tcPr>
            <w:tcW w:w="572" w:type="dxa"/>
            <w:gridSpan w:val="2"/>
            <w:tcBorders>
              <w:top w:val="nil"/>
              <w:left w:val="nil"/>
              <w:bottom w:val="single" w:sz="4" w:space="0" w:color="auto"/>
              <w:right w:val="single" w:sz="4" w:space="0" w:color="auto"/>
            </w:tcBorders>
            <w:shd w:val="clear" w:color="auto" w:fill="auto"/>
            <w:tcMar>
              <w:left w:w="0" w:type="dxa"/>
              <w:right w:w="0" w:type="dxa"/>
            </w:tcMar>
            <w:vAlign w:val="center"/>
          </w:tcPr>
          <w:p w14:paraId="2401E6B7" w14:textId="77777777" w:rsidR="00F22587" w:rsidRPr="000E5DBF" w:rsidRDefault="00F22587" w:rsidP="008A5C11">
            <w:pPr>
              <w:jc w:val="center"/>
              <w:rPr>
                <w:color w:val="000000"/>
                <w:sz w:val="14"/>
                <w:szCs w:val="14"/>
              </w:rPr>
            </w:pPr>
            <w:r w:rsidRPr="000E5DBF">
              <w:rPr>
                <w:color w:val="000000"/>
                <w:sz w:val="14"/>
                <w:szCs w:val="14"/>
              </w:rPr>
              <w:t>0,00</w:t>
            </w:r>
          </w:p>
        </w:tc>
        <w:tc>
          <w:tcPr>
            <w:tcW w:w="570" w:type="dxa"/>
            <w:tcBorders>
              <w:top w:val="nil"/>
              <w:left w:val="nil"/>
              <w:bottom w:val="single" w:sz="4" w:space="0" w:color="auto"/>
              <w:right w:val="single" w:sz="4" w:space="0" w:color="auto"/>
            </w:tcBorders>
            <w:shd w:val="clear" w:color="auto" w:fill="auto"/>
            <w:tcMar>
              <w:left w:w="0" w:type="dxa"/>
              <w:right w:w="0" w:type="dxa"/>
            </w:tcMar>
            <w:vAlign w:val="center"/>
          </w:tcPr>
          <w:p w14:paraId="77FCC15C" w14:textId="77777777" w:rsidR="00F22587" w:rsidRPr="000E5DBF" w:rsidRDefault="00F22587" w:rsidP="008A5C11">
            <w:pPr>
              <w:jc w:val="center"/>
              <w:rPr>
                <w:color w:val="000000"/>
                <w:sz w:val="14"/>
                <w:szCs w:val="14"/>
              </w:rPr>
            </w:pPr>
            <w:r w:rsidRPr="000E5DBF">
              <w:rPr>
                <w:color w:val="000000"/>
                <w:sz w:val="14"/>
                <w:szCs w:val="14"/>
              </w:rPr>
              <w:t>0,00</w:t>
            </w:r>
          </w:p>
        </w:tc>
        <w:tc>
          <w:tcPr>
            <w:tcW w:w="572" w:type="dxa"/>
            <w:tcBorders>
              <w:top w:val="nil"/>
              <w:left w:val="nil"/>
              <w:bottom w:val="single" w:sz="4" w:space="0" w:color="auto"/>
              <w:right w:val="single" w:sz="4" w:space="0" w:color="auto"/>
            </w:tcBorders>
            <w:shd w:val="clear" w:color="auto" w:fill="auto"/>
            <w:tcMar>
              <w:left w:w="0" w:type="dxa"/>
              <w:right w:w="0" w:type="dxa"/>
            </w:tcMar>
            <w:vAlign w:val="center"/>
          </w:tcPr>
          <w:p w14:paraId="3692E02E" w14:textId="77777777" w:rsidR="00F22587" w:rsidRPr="000E5DBF" w:rsidRDefault="00F22587" w:rsidP="008A5C11">
            <w:pPr>
              <w:jc w:val="center"/>
              <w:rPr>
                <w:color w:val="000000"/>
                <w:sz w:val="14"/>
                <w:szCs w:val="14"/>
              </w:rPr>
            </w:pPr>
            <w:r w:rsidRPr="000E5DBF">
              <w:rPr>
                <w:color w:val="000000"/>
                <w:sz w:val="14"/>
                <w:szCs w:val="14"/>
              </w:rPr>
              <w:t>0,00</w:t>
            </w:r>
          </w:p>
        </w:tc>
        <w:tc>
          <w:tcPr>
            <w:tcW w:w="573" w:type="dxa"/>
            <w:tcBorders>
              <w:top w:val="nil"/>
              <w:left w:val="nil"/>
              <w:bottom w:val="single" w:sz="4" w:space="0" w:color="auto"/>
              <w:right w:val="single" w:sz="4" w:space="0" w:color="auto"/>
            </w:tcBorders>
            <w:shd w:val="clear" w:color="auto" w:fill="auto"/>
            <w:tcMar>
              <w:left w:w="0" w:type="dxa"/>
              <w:right w:w="0" w:type="dxa"/>
            </w:tcMar>
            <w:vAlign w:val="center"/>
          </w:tcPr>
          <w:p w14:paraId="3BAF24FF" w14:textId="77777777" w:rsidR="00F22587" w:rsidRPr="000E5DBF" w:rsidRDefault="00F22587" w:rsidP="008A5C11">
            <w:pPr>
              <w:jc w:val="center"/>
              <w:rPr>
                <w:color w:val="000000"/>
                <w:sz w:val="14"/>
                <w:szCs w:val="14"/>
              </w:rPr>
            </w:pPr>
            <w:r w:rsidRPr="000E5DBF">
              <w:rPr>
                <w:color w:val="000000"/>
                <w:sz w:val="14"/>
                <w:szCs w:val="14"/>
              </w:rPr>
              <w:t>540,00</w:t>
            </w:r>
          </w:p>
        </w:tc>
        <w:tc>
          <w:tcPr>
            <w:tcW w:w="574" w:type="dxa"/>
            <w:tcBorders>
              <w:top w:val="nil"/>
              <w:left w:val="nil"/>
              <w:bottom w:val="single" w:sz="4" w:space="0" w:color="auto"/>
              <w:right w:val="single" w:sz="4" w:space="0" w:color="auto"/>
            </w:tcBorders>
            <w:shd w:val="clear" w:color="auto" w:fill="auto"/>
            <w:tcMar>
              <w:left w:w="0" w:type="dxa"/>
              <w:right w:w="0" w:type="dxa"/>
            </w:tcMar>
            <w:vAlign w:val="center"/>
          </w:tcPr>
          <w:p w14:paraId="492B0DC6" w14:textId="77777777" w:rsidR="00F22587" w:rsidRPr="000E5DBF" w:rsidRDefault="00F22587" w:rsidP="008A5C11">
            <w:pPr>
              <w:jc w:val="center"/>
              <w:rPr>
                <w:color w:val="000000"/>
                <w:sz w:val="14"/>
                <w:szCs w:val="14"/>
              </w:rPr>
            </w:pPr>
            <w:r w:rsidRPr="000E5DBF">
              <w:rPr>
                <w:color w:val="000000"/>
                <w:sz w:val="14"/>
                <w:szCs w:val="14"/>
              </w:rPr>
              <w:t>7137,80</w:t>
            </w:r>
          </w:p>
        </w:tc>
        <w:tc>
          <w:tcPr>
            <w:tcW w:w="567" w:type="dxa"/>
            <w:tcBorders>
              <w:top w:val="nil"/>
              <w:left w:val="nil"/>
              <w:bottom w:val="single" w:sz="4" w:space="0" w:color="auto"/>
              <w:right w:val="single" w:sz="4" w:space="0" w:color="auto"/>
            </w:tcBorders>
            <w:shd w:val="clear" w:color="auto" w:fill="auto"/>
            <w:tcMar>
              <w:left w:w="0" w:type="dxa"/>
              <w:right w:w="0" w:type="dxa"/>
            </w:tcMar>
            <w:vAlign w:val="center"/>
          </w:tcPr>
          <w:p w14:paraId="13BC352E" w14:textId="77777777" w:rsidR="00F22587" w:rsidRPr="000E5DBF" w:rsidRDefault="00F22587" w:rsidP="008A5C11">
            <w:pPr>
              <w:jc w:val="center"/>
              <w:rPr>
                <w:color w:val="000000"/>
                <w:sz w:val="14"/>
                <w:szCs w:val="14"/>
              </w:rPr>
            </w:pPr>
            <w:r w:rsidRPr="000E5DBF">
              <w:rPr>
                <w:color w:val="000000"/>
                <w:sz w:val="14"/>
                <w:szCs w:val="14"/>
              </w:rPr>
              <w:t>4707,80</w:t>
            </w:r>
          </w:p>
        </w:tc>
        <w:tc>
          <w:tcPr>
            <w:tcW w:w="292" w:type="dxa"/>
            <w:tcBorders>
              <w:top w:val="nil"/>
              <w:left w:val="nil"/>
              <w:bottom w:val="single" w:sz="4" w:space="0" w:color="auto"/>
              <w:right w:val="single" w:sz="4" w:space="0" w:color="auto"/>
            </w:tcBorders>
            <w:shd w:val="clear" w:color="auto" w:fill="auto"/>
            <w:tcMar>
              <w:left w:w="0" w:type="dxa"/>
              <w:right w:w="0" w:type="dxa"/>
            </w:tcMar>
            <w:vAlign w:val="center"/>
          </w:tcPr>
          <w:p w14:paraId="3650EDCB" w14:textId="77777777" w:rsidR="00F22587" w:rsidRPr="000E5DBF" w:rsidRDefault="00F22587" w:rsidP="008A5C11">
            <w:pPr>
              <w:jc w:val="center"/>
              <w:rPr>
                <w:color w:val="000000"/>
                <w:sz w:val="14"/>
                <w:szCs w:val="14"/>
              </w:rPr>
            </w:pPr>
            <w:r w:rsidRPr="000E5DBF">
              <w:rPr>
                <w:color w:val="000000"/>
                <w:sz w:val="14"/>
                <w:szCs w:val="14"/>
              </w:rPr>
              <w:t>0,00</w:t>
            </w:r>
          </w:p>
        </w:tc>
        <w:tc>
          <w:tcPr>
            <w:tcW w:w="428" w:type="dxa"/>
            <w:gridSpan w:val="2"/>
            <w:tcBorders>
              <w:top w:val="nil"/>
              <w:left w:val="nil"/>
              <w:bottom w:val="single" w:sz="4" w:space="0" w:color="auto"/>
              <w:right w:val="single" w:sz="4" w:space="0" w:color="auto"/>
            </w:tcBorders>
            <w:shd w:val="clear" w:color="auto" w:fill="auto"/>
            <w:tcMar>
              <w:left w:w="0" w:type="dxa"/>
              <w:right w:w="0" w:type="dxa"/>
            </w:tcMar>
            <w:vAlign w:val="center"/>
          </w:tcPr>
          <w:p w14:paraId="59BF548B" w14:textId="77777777" w:rsidR="00F22587" w:rsidRPr="000E5DBF" w:rsidRDefault="00F22587" w:rsidP="008A5C11">
            <w:pPr>
              <w:jc w:val="center"/>
              <w:rPr>
                <w:color w:val="000000"/>
                <w:sz w:val="14"/>
                <w:szCs w:val="14"/>
              </w:rPr>
            </w:pPr>
            <w:r w:rsidRPr="000E5DBF">
              <w:rPr>
                <w:color w:val="000000"/>
                <w:sz w:val="14"/>
                <w:szCs w:val="14"/>
              </w:rPr>
              <w:t>0,00</w:t>
            </w:r>
          </w:p>
        </w:tc>
      </w:tr>
      <w:tr w:rsidR="00F22587" w:rsidRPr="000E5DBF" w14:paraId="53302162" w14:textId="77777777" w:rsidTr="008A5C11">
        <w:trPr>
          <w:cantSplit/>
          <w:trHeight w:val="280"/>
        </w:trPr>
        <w:tc>
          <w:tcPr>
            <w:tcW w:w="7561" w:type="dxa"/>
            <w:gridSpan w:val="11"/>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5CF9214C" w14:textId="77777777" w:rsidR="00F22587" w:rsidRPr="000E5DBF" w:rsidRDefault="00F22587" w:rsidP="008A5C11">
            <w:pPr>
              <w:ind w:left="142" w:hanging="142"/>
              <w:rPr>
                <w:sz w:val="14"/>
                <w:szCs w:val="14"/>
              </w:rPr>
            </w:pPr>
            <w:r w:rsidRPr="000E5DBF">
              <w:rPr>
                <w:sz w:val="14"/>
                <w:szCs w:val="14"/>
              </w:rPr>
              <w:t>Всего по группе 3</w:t>
            </w:r>
          </w:p>
        </w:tc>
        <w:tc>
          <w:tcPr>
            <w:tcW w:w="573" w:type="dxa"/>
            <w:tcBorders>
              <w:top w:val="nil"/>
              <w:left w:val="nil"/>
              <w:bottom w:val="single" w:sz="4" w:space="0" w:color="auto"/>
              <w:right w:val="single" w:sz="4" w:space="0" w:color="auto"/>
            </w:tcBorders>
            <w:shd w:val="clear" w:color="auto" w:fill="auto"/>
            <w:tcMar>
              <w:left w:w="0" w:type="dxa"/>
              <w:right w:w="0" w:type="dxa"/>
            </w:tcMar>
            <w:vAlign w:val="center"/>
          </w:tcPr>
          <w:p w14:paraId="5C7F495C" w14:textId="77777777" w:rsidR="00F22587" w:rsidRPr="000E5DBF" w:rsidRDefault="00F22587" w:rsidP="008A5C11">
            <w:pPr>
              <w:ind w:left="-57" w:right="-57"/>
              <w:jc w:val="center"/>
              <w:rPr>
                <w:color w:val="000000"/>
                <w:sz w:val="14"/>
                <w:szCs w:val="14"/>
              </w:rPr>
            </w:pPr>
            <w:r w:rsidRPr="000E5DBF">
              <w:rPr>
                <w:color w:val="000000"/>
                <w:sz w:val="14"/>
                <w:szCs w:val="14"/>
              </w:rPr>
              <w:t>36937,00</w:t>
            </w:r>
          </w:p>
        </w:tc>
        <w:tc>
          <w:tcPr>
            <w:tcW w:w="447"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1A2E25B7" w14:textId="77777777" w:rsidR="00F22587" w:rsidRPr="000E5DBF" w:rsidRDefault="00F22587" w:rsidP="008A5C11">
            <w:pPr>
              <w:jc w:val="center"/>
              <w:rPr>
                <w:color w:val="000000"/>
                <w:sz w:val="14"/>
                <w:szCs w:val="14"/>
              </w:rPr>
            </w:pPr>
            <w:r w:rsidRPr="000E5DBF">
              <w:rPr>
                <w:color w:val="000000"/>
                <w:sz w:val="14"/>
                <w:szCs w:val="14"/>
              </w:rPr>
              <w:t>0,00</w:t>
            </w:r>
          </w:p>
        </w:tc>
        <w:tc>
          <w:tcPr>
            <w:tcW w:w="559" w:type="dxa"/>
            <w:tcBorders>
              <w:top w:val="nil"/>
              <w:left w:val="nil"/>
              <w:bottom w:val="single" w:sz="4" w:space="0" w:color="auto"/>
              <w:right w:val="single" w:sz="4" w:space="0" w:color="auto"/>
            </w:tcBorders>
            <w:shd w:val="clear" w:color="000000" w:fill="FFFFFF"/>
            <w:tcMar>
              <w:left w:w="0" w:type="dxa"/>
              <w:right w:w="0" w:type="dxa"/>
            </w:tcMar>
            <w:vAlign w:val="center"/>
          </w:tcPr>
          <w:p w14:paraId="7769A868" w14:textId="77777777" w:rsidR="00F22587" w:rsidRPr="000E5DBF" w:rsidRDefault="00F22587" w:rsidP="008A5C11">
            <w:pPr>
              <w:jc w:val="center"/>
              <w:rPr>
                <w:color w:val="000000"/>
                <w:sz w:val="14"/>
                <w:szCs w:val="14"/>
              </w:rPr>
            </w:pPr>
            <w:r w:rsidRPr="000E5DBF">
              <w:rPr>
                <w:color w:val="000000"/>
                <w:sz w:val="14"/>
                <w:szCs w:val="14"/>
              </w:rPr>
              <w:t>461,51</w:t>
            </w:r>
          </w:p>
        </w:tc>
        <w:tc>
          <w:tcPr>
            <w:tcW w:w="572" w:type="dxa"/>
            <w:tcBorders>
              <w:top w:val="nil"/>
              <w:left w:val="nil"/>
              <w:bottom w:val="single" w:sz="4" w:space="0" w:color="auto"/>
              <w:right w:val="single" w:sz="4" w:space="0" w:color="auto"/>
            </w:tcBorders>
            <w:shd w:val="clear" w:color="000000" w:fill="FFFFFF"/>
            <w:tcMar>
              <w:left w:w="0" w:type="dxa"/>
              <w:right w:w="0" w:type="dxa"/>
            </w:tcMar>
            <w:vAlign w:val="center"/>
          </w:tcPr>
          <w:p w14:paraId="2B6E9033" w14:textId="77777777" w:rsidR="00F22587" w:rsidRPr="000E5DBF" w:rsidRDefault="00F22587" w:rsidP="008A5C11">
            <w:pPr>
              <w:jc w:val="center"/>
              <w:rPr>
                <w:color w:val="000000"/>
                <w:sz w:val="14"/>
                <w:szCs w:val="14"/>
              </w:rPr>
            </w:pPr>
            <w:r w:rsidRPr="000E5DBF">
              <w:rPr>
                <w:color w:val="000000"/>
                <w:sz w:val="14"/>
                <w:szCs w:val="14"/>
              </w:rPr>
              <w:t>1105,80</w:t>
            </w:r>
          </w:p>
        </w:tc>
        <w:tc>
          <w:tcPr>
            <w:tcW w:w="572" w:type="dxa"/>
            <w:tcBorders>
              <w:top w:val="nil"/>
              <w:left w:val="nil"/>
              <w:bottom w:val="single" w:sz="4" w:space="0" w:color="auto"/>
              <w:right w:val="single" w:sz="4" w:space="0" w:color="auto"/>
            </w:tcBorders>
            <w:shd w:val="clear" w:color="000000" w:fill="FFFFFF"/>
            <w:tcMar>
              <w:left w:w="0" w:type="dxa"/>
              <w:right w:w="0" w:type="dxa"/>
            </w:tcMar>
            <w:vAlign w:val="center"/>
          </w:tcPr>
          <w:p w14:paraId="4B9EB617" w14:textId="77777777" w:rsidR="00F22587" w:rsidRPr="000E5DBF" w:rsidRDefault="00F22587" w:rsidP="008A5C11">
            <w:pPr>
              <w:jc w:val="center"/>
              <w:rPr>
                <w:color w:val="000000"/>
                <w:sz w:val="14"/>
                <w:szCs w:val="14"/>
              </w:rPr>
            </w:pPr>
            <w:r w:rsidRPr="000E5DBF">
              <w:rPr>
                <w:color w:val="000000"/>
                <w:sz w:val="14"/>
                <w:szCs w:val="14"/>
              </w:rPr>
              <w:t>0,00</w:t>
            </w:r>
          </w:p>
        </w:tc>
        <w:tc>
          <w:tcPr>
            <w:tcW w:w="566" w:type="dxa"/>
            <w:tcBorders>
              <w:top w:val="nil"/>
              <w:left w:val="nil"/>
              <w:bottom w:val="single" w:sz="4" w:space="0" w:color="auto"/>
              <w:right w:val="single" w:sz="4" w:space="0" w:color="auto"/>
            </w:tcBorders>
            <w:shd w:val="clear" w:color="000000" w:fill="FFFFFF"/>
            <w:tcMar>
              <w:left w:w="0" w:type="dxa"/>
              <w:right w:w="0" w:type="dxa"/>
            </w:tcMar>
            <w:vAlign w:val="center"/>
          </w:tcPr>
          <w:p w14:paraId="22BC67B9" w14:textId="77777777" w:rsidR="00F22587" w:rsidRPr="000E5DBF" w:rsidRDefault="00F22587" w:rsidP="008A5C11">
            <w:pPr>
              <w:jc w:val="center"/>
              <w:rPr>
                <w:color w:val="000000"/>
                <w:sz w:val="14"/>
                <w:szCs w:val="14"/>
              </w:rPr>
            </w:pPr>
            <w:r w:rsidRPr="000E5DBF">
              <w:rPr>
                <w:color w:val="000000"/>
                <w:sz w:val="14"/>
                <w:szCs w:val="14"/>
              </w:rPr>
              <w:t>0,00</w:t>
            </w:r>
          </w:p>
        </w:tc>
        <w:tc>
          <w:tcPr>
            <w:tcW w:w="565" w:type="dxa"/>
            <w:tcBorders>
              <w:top w:val="nil"/>
              <w:left w:val="nil"/>
              <w:bottom w:val="single" w:sz="4" w:space="0" w:color="auto"/>
              <w:right w:val="single" w:sz="4" w:space="0" w:color="auto"/>
            </w:tcBorders>
            <w:shd w:val="clear" w:color="000000" w:fill="FFFFFF"/>
            <w:tcMar>
              <w:left w:w="0" w:type="dxa"/>
              <w:right w:w="0" w:type="dxa"/>
            </w:tcMar>
            <w:vAlign w:val="center"/>
          </w:tcPr>
          <w:p w14:paraId="30E3F61B" w14:textId="77777777" w:rsidR="00F22587" w:rsidRPr="000E5DBF" w:rsidRDefault="00F22587" w:rsidP="008A5C11">
            <w:pPr>
              <w:jc w:val="center"/>
              <w:rPr>
                <w:color w:val="000000"/>
                <w:sz w:val="14"/>
                <w:szCs w:val="14"/>
              </w:rPr>
            </w:pPr>
            <w:r w:rsidRPr="000E5DBF">
              <w:rPr>
                <w:color w:val="000000"/>
                <w:sz w:val="14"/>
                <w:szCs w:val="14"/>
              </w:rPr>
              <w:t>0,00</w:t>
            </w:r>
          </w:p>
        </w:tc>
        <w:tc>
          <w:tcPr>
            <w:tcW w:w="574" w:type="dxa"/>
            <w:tcBorders>
              <w:top w:val="nil"/>
              <w:left w:val="nil"/>
              <w:bottom w:val="single" w:sz="4" w:space="0" w:color="auto"/>
              <w:right w:val="single" w:sz="4" w:space="0" w:color="auto"/>
            </w:tcBorders>
            <w:shd w:val="clear" w:color="000000" w:fill="FFFFFF"/>
            <w:tcMar>
              <w:left w:w="0" w:type="dxa"/>
              <w:right w:w="0" w:type="dxa"/>
            </w:tcMar>
            <w:vAlign w:val="center"/>
          </w:tcPr>
          <w:p w14:paraId="346531BE" w14:textId="77777777" w:rsidR="00F22587" w:rsidRPr="000E5DBF" w:rsidRDefault="00F22587" w:rsidP="008A5C11">
            <w:pPr>
              <w:jc w:val="center"/>
              <w:rPr>
                <w:color w:val="000000"/>
                <w:sz w:val="14"/>
                <w:szCs w:val="14"/>
              </w:rPr>
            </w:pPr>
            <w:r w:rsidRPr="000E5DBF">
              <w:rPr>
                <w:color w:val="000000"/>
                <w:sz w:val="14"/>
                <w:szCs w:val="14"/>
              </w:rPr>
              <w:t>0,00</w:t>
            </w:r>
          </w:p>
        </w:tc>
        <w:tc>
          <w:tcPr>
            <w:tcW w:w="572"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293207E3" w14:textId="77777777" w:rsidR="00F22587" w:rsidRPr="000E5DBF" w:rsidRDefault="00F22587" w:rsidP="008A5C11">
            <w:pPr>
              <w:jc w:val="center"/>
              <w:rPr>
                <w:color w:val="000000"/>
                <w:sz w:val="14"/>
                <w:szCs w:val="14"/>
              </w:rPr>
            </w:pPr>
            <w:r w:rsidRPr="000E5DBF">
              <w:rPr>
                <w:color w:val="000000"/>
                <w:sz w:val="14"/>
                <w:szCs w:val="14"/>
              </w:rPr>
              <w:t>4353,84</w:t>
            </w:r>
          </w:p>
        </w:tc>
        <w:tc>
          <w:tcPr>
            <w:tcW w:w="570" w:type="dxa"/>
            <w:tcBorders>
              <w:top w:val="nil"/>
              <w:left w:val="nil"/>
              <w:bottom w:val="single" w:sz="4" w:space="0" w:color="auto"/>
              <w:right w:val="single" w:sz="4" w:space="0" w:color="auto"/>
            </w:tcBorders>
            <w:shd w:val="clear" w:color="000000" w:fill="FFFFFF"/>
            <w:tcMar>
              <w:left w:w="0" w:type="dxa"/>
              <w:right w:w="0" w:type="dxa"/>
            </w:tcMar>
            <w:vAlign w:val="center"/>
          </w:tcPr>
          <w:p w14:paraId="7F655C56" w14:textId="77777777" w:rsidR="00F22587" w:rsidRPr="000E5DBF" w:rsidRDefault="00F22587" w:rsidP="008A5C11">
            <w:pPr>
              <w:jc w:val="center"/>
              <w:rPr>
                <w:color w:val="000000"/>
                <w:sz w:val="14"/>
                <w:szCs w:val="14"/>
              </w:rPr>
            </w:pPr>
            <w:r w:rsidRPr="000E5DBF">
              <w:rPr>
                <w:color w:val="000000"/>
                <w:sz w:val="14"/>
                <w:szCs w:val="14"/>
              </w:rPr>
              <w:t>7986,24</w:t>
            </w:r>
          </w:p>
        </w:tc>
        <w:tc>
          <w:tcPr>
            <w:tcW w:w="572" w:type="dxa"/>
            <w:tcBorders>
              <w:top w:val="nil"/>
              <w:left w:val="nil"/>
              <w:bottom w:val="single" w:sz="4" w:space="0" w:color="auto"/>
              <w:right w:val="single" w:sz="4" w:space="0" w:color="auto"/>
            </w:tcBorders>
            <w:shd w:val="clear" w:color="000000" w:fill="FFFFFF"/>
            <w:tcMar>
              <w:left w:w="0" w:type="dxa"/>
              <w:right w:w="0" w:type="dxa"/>
            </w:tcMar>
            <w:vAlign w:val="center"/>
          </w:tcPr>
          <w:p w14:paraId="6E945D61" w14:textId="77777777" w:rsidR="00F22587" w:rsidRPr="000E5DBF" w:rsidRDefault="00F22587" w:rsidP="008A5C11">
            <w:pPr>
              <w:jc w:val="center"/>
              <w:rPr>
                <w:color w:val="000000"/>
                <w:sz w:val="14"/>
                <w:szCs w:val="14"/>
              </w:rPr>
            </w:pPr>
            <w:r w:rsidRPr="000E5DBF">
              <w:rPr>
                <w:color w:val="000000"/>
                <w:sz w:val="14"/>
                <w:szCs w:val="14"/>
              </w:rPr>
              <w:t>5208,00</w:t>
            </w:r>
          </w:p>
        </w:tc>
        <w:tc>
          <w:tcPr>
            <w:tcW w:w="573" w:type="dxa"/>
            <w:tcBorders>
              <w:top w:val="nil"/>
              <w:left w:val="nil"/>
              <w:bottom w:val="single" w:sz="4" w:space="0" w:color="auto"/>
              <w:right w:val="single" w:sz="4" w:space="0" w:color="auto"/>
            </w:tcBorders>
            <w:shd w:val="clear" w:color="000000" w:fill="FFFFFF"/>
            <w:tcMar>
              <w:left w:w="0" w:type="dxa"/>
              <w:right w:w="0" w:type="dxa"/>
            </w:tcMar>
            <w:vAlign w:val="center"/>
          </w:tcPr>
          <w:p w14:paraId="4CCF421B" w14:textId="77777777" w:rsidR="00F22587" w:rsidRPr="000E5DBF" w:rsidRDefault="00F22587" w:rsidP="008A5C11">
            <w:pPr>
              <w:jc w:val="center"/>
              <w:rPr>
                <w:color w:val="000000"/>
                <w:sz w:val="14"/>
                <w:szCs w:val="14"/>
              </w:rPr>
            </w:pPr>
            <w:r w:rsidRPr="000E5DBF">
              <w:rPr>
                <w:color w:val="000000"/>
                <w:sz w:val="14"/>
                <w:szCs w:val="14"/>
              </w:rPr>
              <w:t>5976,00</w:t>
            </w:r>
          </w:p>
        </w:tc>
        <w:tc>
          <w:tcPr>
            <w:tcW w:w="574" w:type="dxa"/>
            <w:tcBorders>
              <w:top w:val="nil"/>
              <w:left w:val="nil"/>
              <w:bottom w:val="single" w:sz="4" w:space="0" w:color="auto"/>
              <w:right w:val="single" w:sz="4" w:space="0" w:color="auto"/>
            </w:tcBorders>
            <w:shd w:val="clear" w:color="000000" w:fill="FFFFFF"/>
            <w:tcMar>
              <w:left w:w="0" w:type="dxa"/>
              <w:right w:w="0" w:type="dxa"/>
            </w:tcMar>
            <w:vAlign w:val="center"/>
          </w:tcPr>
          <w:p w14:paraId="4627E6FE" w14:textId="77777777" w:rsidR="00F22587" w:rsidRPr="000E5DBF" w:rsidRDefault="00F22587" w:rsidP="008A5C11">
            <w:pPr>
              <w:jc w:val="center"/>
              <w:rPr>
                <w:color w:val="000000"/>
                <w:sz w:val="14"/>
                <w:szCs w:val="14"/>
              </w:rPr>
            </w:pPr>
            <w:r w:rsidRPr="000E5DBF">
              <w:rPr>
                <w:color w:val="000000"/>
                <w:sz w:val="14"/>
                <w:szCs w:val="14"/>
              </w:rPr>
              <w:t>7137,80</w:t>
            </w:r>
          </w:p>
        </w:tc>
        <w:tc>
          <w:tcPr>
            <w:tcW w:w="567" w:type="dxa"/>
            <w:tcBorders>
              <w:top w:val="nil"/>
              <w:left w:val="nil"/>
              <w:bottom w:val="single" w:sz="4" w:space="0" w:color="auto"/>
              <w:right w:val="single" w:sz="4" w:space="0" w:color="auto"/>
            </w:tcBorders>
            <w:shd w:val="clear" w:color="000000" w:fill="FFFFFF"/>
            <w:tcMar>
              <w:left w:w="0" w:type="dxa"/>
              <w:right w:w="0" w:type="dxa"/>
            </w:tcMar>
            <w:vAlign w:val="center"/>
          </w:tcPr>
          <w:p w14:paraId="03D5684E" w14:textId="77777777" w:rsidR="00F22587" w:rsidRPr="000E5DBF" w:rsidRDefault="00F22587" w:rsidP="008A5C11">
            <w:pPr>
              <w:jc w:val="center"/>
              <w:rPr>
                <w:color w:val="000000"/>
                <w:sz w:val="14"/>
                <w:szCs w:val="14"/>
              </w:rPr>
            </w:pPr>
            <w:r w:rsidRPr="000E5DBF">
              <w:rPr>
                <w:color w:val="000000"/>
                <w:sz w:val="14"/>
                <w:szCs w:val="14"/>
              </w:rPr>
              <w:t>4707,80</w:t>
            </w:r>
          </w:p>
        </w:tc>
        <w:tc>
          <w:tcPr>
            <w:tcW w:w="292" w:type="dxa"/>
            <w:tcBorders>
              <w:top w:val="nil"/>
              <w:left w:val="nil"/>
              <w:bottom w:val="single" w:sz="4" w:space="0" w:color="auto"/>
              <w:right w:val="single" w:sz="4" w:space="0" w:color="auto"/>
            </w:tcBorders>
            <w:shd w:val="clear" w:color="000000" w:fill="FFFFFF"/>
            <w:tcMar>
              <w:left w:w="0" w:type="dxa"/>
              <w:right w:w="0" w:type="dxa"/>
            </w:tcMar>
            <w:vAlign w:val="center"/>
          </w:tcPr>
          <w:p w14:paraId="2D0F3D7F" w14:textId="77777777" w:rsidR="00F22587" w:rsidRPr="000E5DBF" w:rsidRDefault="00F22587" w:rsidP="008A5C11">
            <w:pPr>
              <w:jc w:val="center"/>
              <w:rPr>
                <w:color w:val="000000"/>
                <w:sz w:val="14"/>
                <w:szCs w:val="14"/>
              </w:rPr>
            </w:pPr>
            <w:r w:rsidRPr="000E5DBF">
              <w:rPr>
                <w:color w:val="000000"/>
                <w:sz w:val="14"/>
                <w:szCs w:val="14"/>
              </w:rPr>
              <w:t>0,00</w:t>
            </w:r>
          </w:p>
        </w:tc>
        <w:tc>
          <w:tcPr>
            <w:tcW w:w="428" w:type="dxa"/>
            <w:gridSpan w:val="3"/>
            <w:tcBorders>
              <w:top w:val="nil"/>
              <w:left w:val="nil"/>
              <w:bottom w:val="single" w:sz="4" w:space="0" w:color="auto"/>
              <w:right w:val="single" w:sz="4" w:space="0" w:color="auto"/>
            </w:tcBorders>
            <w:shd w:val="clear" w:color="000000" w:fill="FFFFFF"/>
            <w:tcMar>
              <w:left w:w="0" w:type="dxa"/>
              <w:right w:w="0" w:type="dxa"/>
            </w:tcMar>
            <w:vAlign w:val="center"/>
          </w:tcPr>
          <w:p w14:paraId="3CB6FDB7" w14:textId="77777777" w:rsidR="00F22587" w:rsidRPr="000E5DBF" w:rsidRDefault="00F22587" w:rsidP="008A5C11">
            <w:pPr>
              <w:jc w:val="center"/>
              <w:rPr>
                <w:color w:val="000000"/>
                <w:sz w:val="14"/>
                <w:szCs w:val="14"/>
              </w:rPr>
            </w:pPr>
            <w:r w:rsidRPr="000E5DBF">
              <w:rPr>
                <w:color w:val="000000"/>
                <w:sz w:val="14"/>
                <w:szCs w:val="14"/>
              </w:rPr>
              <w:t>0,00</w:t>
            </w:r>
          </w:p>
        </w:tc>
      </w:tr>
      <w:tr w:rsidR="00F22587" w:rsidRPr="000E5DBF" w14:paraId="029E4E99" w14:textId="77777777" w:rsidTr="008A5C11">
        <w:trPr>
          <w:trHeight w:val="208"/>
        </w:trPr>
        <w:tc>
          <w:tcPr>
            <w:tcW w:w="16142" w:type="dxa"/>
            <w:gridSpan w:val="31"/>
            <w:tcBorders>
              <w:top w:val="single" w:sz="4" w:space="0" w:color="auto"/>
              <w:left w:val="single" w:sz="4" w:space="0" w:color="auto"/>
              <w:bottom w:val="single" w:sz="4" w:space="0" w:color="auto"/>
              <w:right w:val="single" w:sz="4" w:space="0" w:color="000000"/>
            </w:tcBorders>
            <w:shd w:val="clear" w:color="auto" w:fill="auto"/>
            <w:tcMar>
              <w:left w:w="0" w:type="dxa"/>
              <w:right w:w="0" w:type="dxa"/>
            </w:tcMar>
            <w:vAlign w:val="center"/>
            <w:hideMark/>
          </w:tcPr>
          <w:p w14:paraId="787D8683" w14:textId="77777777" w:rsidR="00F22587" w:rsidRPr="000E5DBF" w:rsidRDefault="00F22587" w:rsidP="008A5C11">
            <w:pPr>
              <w:rPr>
                <w:color w:val="000000"/>
                <w:sz w:val="14"/>
                <w:szCs w:val="14"/>
              </w:rPr>
            </w:pPr>
            <w:r w:rsidRPr="000E5DBF">
              <w:rPr>
                <w:color w:val="000000"/>
                <w:sz w:val="14"/>
                <w:szCs w:val="14"/>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F22587" w:rsidRPr="000E5DBF" w14:paraId="22B9ABAE" w14:textId="77777777" w:rsidTr="008A5C11">
        <w:trPr>
          <w:gridAfter w:val="1"/>
          <w:wAfter w:w="11" w:type="dxa"/>
          <w:cantSplit/>
          <w:trHeight w:val="694"/>
        </w:trPr>
        <w:tc>
          <w:tcPr>
            <w:tcW w:w="411"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0E39F291" w14:textId="77777777" w:rsidR="00F22587" w:rsidRPr="000E5DBF" w:rsidRDefault="00F22587" w:rsidP="008A5C11">
            <w:pPr>
              <w:jc w:val="center"/>
              <w:rPr>
                <w:color w:val="000000"/>
                <w:sz w:val="14"/>
                <w:szCs w:val="14"/>
              </w:rPr>
            </w:pPr>
            <w:r w:rsidRPr="000E5DBF">
              <w:rPr>
                <w:color w:val="000000"/>
                <w:sz w:val="14"/>
                <w:szCs w:val="14"/>
              </w:rPr>
              <w:t> 4.1.</w:t>
            </w:r>
          </w:p>
        </w:tc>
        <w:tc>
          <w:tcPr>
            <w:tcW w:w="1447" w:type="dxa"/>
            <w:tcBorders>
              <w:top w:val="nil"/>
              <w:left w:val="nil"/>
              <w:bottom w:val="single" w:sz="4" w:space="0" w:color="auto"/>
              <w:right w:val="single" w:sz="4" w:space="0" w:color="auto"/>
            </w:tcBorders>
            <w:shd w:val="clear" w:color="auto" w:fill="auto"/>
            <w:tcMar>
              <w:left w:w="0" w:type="dxa"/>
              <w:right w:w="0" w:type="dxa"/>
            </w:tcMar>
            <w:vAlign w:val="center"/>
          </w:tcPr>
          <w:p w14:paraId="601B53E2" w14:textId="77777777" w:rsidR="00F22587" w:rsidRPr="000E5DBF" w:rsidRDefault="00F22587" w:rsidP="008A5C11">
            <w:pPr>
              <w:jc w:val="center"/>
              <w:rPr>
                <w:color w:val="000000"/>
                <w:sz w:val="14"/>
                <w:szCs w:val="14"/>
              </w:rPr>
            </w:pPr>
            <w:r w:rsidRPr="000E5DBF">
              <w:rPr>
                <w:color w:val="000000"/>
                <w:sz w:val="14"/>
                <w:szCs w:val="14"/>
              </w:rPr>
              <w:t>Замена дымовой трубы Д 520 мм на дымовую трубу Д 820 мм котельной системы отопления район</w:t>
            </w:r>
          </w:p>
        </w:tc>
        <w:tc>
          <w:tcPr>
            <w:tcW w:w="980" w:type="dxa"/>
            <w:tcBorders>
              <w:top w:val="nil"/>
              <w:left w:val="nil"/>
              <w:bottom w:val="single" w:sz="4" w:space="0" w:color="auto"/>
              <w:right w:val="single" w:sz="4" w:space="0" w:color="auto"/>
            </w:tcBorders>
            <w:shd w:val="clear" w:color="auto" w:fill="auto"/>
            <w:tcMar>
              <w:left w:w="0" w:type="dxa"/>
              <w:right w:w="0" w:type="dxa"/>
            </w:tcMar>
            <w:vAlign w:val="center"/>
          </w:tcPr>
          <w:p w14:paraId="136DE038" w14:textId="77777777" w:rsidR="00F22587" w:rsidRPr="000E5DBF" w:rsidRDefault="00F22587" w:rsidP="008A5C11">
            <w:pPr>
              <w:jc w:val="center"/>
              <w:rPr>
                <w:color w:val="000000"/>
                <w:sz w:val="14"/>
                <w:szCs w:val="14"/>
              </w:rPr>
            </w:pPr>
            <w:r w:rsidRPr="000E5DBF">
              <w:rPr>
                <w:color w:val="000000"/>
                <w:sz w:val="14"/>
                <w:szCs w:val="14"/>
              </w:rPr>
              <w:t>Обеспечение надежности тепло- водоснабжения</w:t>
            </w:r>
          </w:p>
        </w:tc>
        <w:tc>
          <w:tcPr>
            <w:tcW w:w="1002" w:type="dxa"/>
            <w:tcBorders>
              <w:top w:val="nil"/>
              <w:left w:val="nil"/>
              <w:bottom w:val="single" w:sz="4" w:space="0" w:color="auto"/>
              <w:right w:val="single" w:sz="4" w:space="0" w:color="auto"/>
            </w:tcBorders>
            <w:shd w:val="clear" w:color="auto" w:fill="auto"/>
            <w:tcMar>
              <w:left w:w="0" w:type="dxa"/>
              <w:right w:w="0" w:type="dxa"/>
            </w:tcMar>
            <w:vAlign w:val="center"/>
          </w:tcPr>
          <w:p w14:paraId="793F7305" w14:textId="77777777" w:rsidR="00F22587" w:rsidRPr="000E5DBF" w:rsidRDefault="00F22587" w:rsidP="008A5C11">
            <w:pPr>
              <w:jc w:val="center"/>
              <w:rPr>
                <w:color w:val="000000"/>
                <w:sz w:val="14"/>
                <w:szCs w:val="14"/>
              </w:rPr>
            </w:pPr>
            <w:r w:rsidRPr="000E5DBF">
              <w:rPr>
                <w:color w:val="000000"/>
                <w:sz w:val="14"/>
                <w:szCs w:val="14"/>
              </w:rPr>
              <w:t>ул. Есенина, 23</w:t>
            </w:r>
          </w:p>
        </w:tc>
        <w:tc>
          <w:tcPr>
            <w:tcW w:w="1000" w:type="dxa"/>
            <w:tcBorders>
              <w:top w:val="nil"/>
              <w:left w:val="nil"/>
              <w:bottom w:val="single" w:sz="4" w:space="0" w:color="auto"/>
              <w:right w:val="single" w:sz="4" w:space="0" w:color="auto"/>
            </w:tcBorders>
            <w:shd w:val="clear" w:color="auto" w:fill="auto"/>
            <w:tcMar>
              <w:left w:w="0" w:type="dxa"/>
              <w:right w:w="0" w:type="dxa"/>
            </w:tcMar>
            <w:vAlign w:val="center"/>
          </w:tcPr>
          <w:p w14:paraId="122C8D3E" w14:textId="77777777" w:rsidR="00F22587" w:rsidRPr="000E5DBF" w:rsidRDefault="00F22587" w:rsidP="008A5C11">
            <w:pPr>
              <w:jc w:val="center"/>
              <w:rPr>
                <w:color w:val="000000"/>
                <w:sz w:val="14"/>
                <w:szCs w:val="14"/>
              </w:rPr>
            </w:pPr>
            <w:r w:rsidRPr="000E5DBF">
              <w:rPr>
                <w:color w:val="000000"/>
                <w:sz w:val="14"/>
                <w:szCs w:val="14"/>
              </w:rPr>
              <w:t>диаметр</w:t>
            </w:r>
          </w:p>
        </w:tc>
        <w:tc>
          <w:tcPr>
            <w:tcW w:w="429" w:type="dxa"/>
            <w:tcBorders>
              <w:top w:val="nil"/>
              <w:left w:val="nil"/>
              <w:bottom w:val="single" w:sz="4" w:space="0" w:color="auto"/>
              <w:right w:val="single" w:sz="4" w:space="0" w:color="auto"/>
            </w:tcBorders>
            <w:shd w:val="clear" w:color="auto" w:fill="auto"/>
            <w:tcMar>
              <w:left w:w="0" w:type="dxa"/>
              <w:right w:w="0" w:type="dxa"/>
            </w:tcMar>
            <w:vAlign w:val="center"/>
          </w:tcPr>
          <w:p w14:paraId="523331E7" w14:textId="77777777" w:rsidR="00F22587" w:rsidRPr="000E5DBF" w:rsidRDefault="00F22587" w:rsidP="008A5C11">
            <w:pPr>
              <w:jc w:val="center"/>
              <w:rPr>
                <w:color w:val="000000"/>
                <w:sz w:val="14"/>
                <w:szCs w:val="14"/>
              </w:rPr>
            </w:pPr>
            <w:r w:rsidRPr="000E5DBF">
              <w:rPr>
                <w:color w:val="000000"/>
                <w:sz w:val="14"/>
                <w:szCs w:val="14"/>
              </w:rPr>
              <w:t>мм</w:t>
            </w:r>
          </w:p>
        </w:tc>
        <w:tc>
          <w:tcPr>
            <w:tcW w:w="719" w:type="dxa"/>
            <w:tcBorders>
              <w:top w:val="nil"/>
              <w:left w:val="nil"/>
              <w:bottom w:val="single" w:sz="4" w:space="0" w:color="auto"/>
              <w:right w:val="single" w:sz="4" w:space="0" w:color="auto"/>
            </w:tcBorders>
            <w:shd w:val="clear" w:color="auto" w:fill="auto"/>
            <w:tcMar>
              <w:left w:w="0" w:type="dxa"/>
              <w:right w:w="0" w:type="dxa"/>
            </w:tcMar>
            <w:vAlign w:val="center"/>
          </w:tcPr>
          <w:p w14:paraId="110E5578" w14:textId="77777777" w:rsidR="00F22587" w:rsidRPr="000E5DBF" w:rsidRDefault="00F22587" w:rsidP="008A5C11">
            <w:pPr>
              <w:jc w:val="center"/>
              <w:rPr>
                <w:color w:val="000000"/>
                <w:sz w:val="14"/>
                <w:szCs w:val="14"/>
              </w:rPr>
            </w:pPr>
            <w:r w:rsidRPr="000E5DBF">
              <w:rPr>
                <w:color w:val="000000"/>
                <w:sz w:val="14"/>
                <w:szCs w:val="14"/>
              </w:rPr>
              <w:t>520</w:t>
            </w:r>
          </w:p>
        </w:tc>
        <w:tc>
          <w:tcPr>
            <w:tcW w:w="723" w:type="dxa"/>
            <w:tcBorders>
              <w:top w:val="nil"/>
              <w:left w:val="nil"/>
              <w:bottom w:val="single" w:sz="4" w:space="0" w:color="auto"/>
              <w:right w:val="single" w:sz="4" w:space="0" w:color="auto"/>
            </w:tcBorders>
            <w:shd w:val="clear" w:color="auto" w:fill="auto"/>
            <w:tcMar>
              <w:left w:w="0" w:type="dxa"/>
              <w:right w:w="0" w:type="dxa"/>
            </w:tcMar>
            <w:vAlign w:val="center"/>
          </w:tcPr>
          <w:p w14:paraId="6DF19B4E" w14:textId="77777777" w:rsidR="00F22587" w:rsidRPr="000E5DBF" w:rsidRDefault="00F22587" w:rsidP="008A5C11">
            <w:pPr>
              <w:jc w:val="center"/>
              <w:rPr>
                <w:color w:val="000000"/>
                <w:sz w:val="14"/>
                <w:szCs w:val="14"/>
              </w:rPr>
            </w:pPr>
            <w:r w:rsidRPr="000E5DBF">
              <w:rPr>
                <w:color w:val="000000"/>
                <w:sz w:val="14"/>
                <w:szCs w:val="14"/>
              </w:rPr>
              <w:t>820</w:t>
            </w:r>
          </w:p>
        </w:tc>
        <w:tc>
          <w:tcPr>
            <w:tcW w:w="428" w:type="dxa"/>
            <w:gridSpan w:val="2"/>
            <w:tcBorders>
              <w:top w:val="nil"/>
              <w:left w:val="nil"/>
              <w:bottom w:val="single" w:sz="4" w:space="0" w:color="auto"/>
              <w:right w:val="single" w:sz="4" w:space="0" w:color="auto"/>
            </w:tcBorders>
            <w:shd w:val="clear" w:color="auto" w:fill="auto"/>
            <w:tcMar>
              <w:left w:w="0" w:type="dxa"/>
              <w:right w:w="0" w:type="dxa"/>
            </w:tcMar>
            <w:vAlign w:val="center"/>
          </w:tcPr>
          <w:p w14:paraId="68E000CF" w14:textId="77777777" w:rsidR="00F22587" w:rsidRPr="000E5DBF" w:rsidRDefault="00F22587" w:rsidP="008A5C11">
            <w:pPr>
              <w:jc w:val="center"/>
              <w:rPr>
                <w:color w:val="000000"/>
                <w:sz w:val="14"/>
                <w:szCs w:val="14"/>
              </w:rPr>
            </w:pPr>
            <w:r w:rsidRPr="000E5DBF">
              <w:rPr>
                <w:color w:val="000000"/>
                <w:sz w:val="14"/>
                <w:szCs w:val="14"/>
              </w:rPr>
              <w:t>2019</w:t>
            </w:r>
          </w:p>
        </w:tc>
        <w:tc>
          <w:tcPr>
            <w:tcW w:w="416" w:type="dxa"/>
            <w:tcBorders>
              <w:top w:val="nil"/>
              <w:left w:val="nil"/>
              <w:bottom w:val="single" w:sz="4" w:space="0" w:color="auto"/>
              <w:right w:val="single" w:sz="4" w:space="0" w:color="auto"/>
            </w:tcBorders>
            <w:shd w:val="clear" w:color="auto" w:fill="auto"/>
            <w:tcMar>
              <w:left w:w="0" w:type="dxa"/>
              <w:right w:w="0" w:type="dxa"/>
            </w:tcMar>
            <w:vAlign w:val="center"/>
          </w:tcPr>
          <w:p w14:paraId="748C009A" w14:textId="77777777" w:rsidR="00F22587" w:rsidRPr="000E5DBF" w:rsidRDefault="00F22587" w:rsidP="008A5C11">
            <w:pPr>
              <w:jc w:val="center"/>
              <w:rPr>
                <w:color w:val="000000"/>
                <w:sz w:val="14"/>
                <w:szCs w:val="14"/>
              </w:rPr>
            </w:pPr>
            <w:r w:rsidRPr="000E5DBF">
              <w:rPr>
                <w:color w:val="000000"/>
                <w:sz w:val="14"/>
                <w:szCs w:val="14"/>
              </w:rPr>
              <w:t>2019</w:t>
            </w:r>
          </w:p>
        </w:tc>
        <w:tc>
          <w:tcPr>
            <w:tcW w:w="573" w:type="dxa"/>
            <w:tcBorders>
              <w:top w:val="nil"/>
              <w:left w:val="nil"/>
              <w:bottom w:val="single" w:sz="4" w:space="0" w:color="auto"/>
              <w:right w:val="single" w:sz="4" w:space="0" w:color="auto"/>
            </w:tcBorders>
            <w:shd w:val="clear" w:color="auto" w:fill="auto"/>
            <w:tcMar>
              <w:left w:w="0" w:type="dxa"/>
              <w:right w:w="0" w:type="dxa"/>
            </w:tcMar>
            <w:vAlign w:val="center"/>
          </w:tcPr>
          <w:p w14:paraId="3A001A5E" w14:textId="77777777" w:rsidR="00F22587" w:rsidRPr="000E5DBF" w:rsidRDefault="00F22587" w:rsidP="008A5C11">
            <w:pPr>
              <w:jc w:val="center"/>
              <w:rPr>
                <w:color w:val="000000"/>
                <w:sz w:val="14"/>
                <w:szCs w:val="14"/>
              </w:rPr>
            </w:pPr>
            <w:r w:rsidRPr="000E5DBF">
              <w:rPr>
                <w:color w:val="000000"/>
                <w:sz w:val="14"/>
                <w:szCs w:val="14"/>
              </w:rPr>
              <w:t>3025,67</w:t>
            </w:r>
          </w:p>
        </w:tc>
        <w:tc>
          <w:tcPr>
            <w:tcW w:w="447" w:type="dxa"/>
            <w:gridSpan w:val="2"/>
            <w:tcBorders>
              <w:top w:val="nil"/>
              <w:left w:val="nil"/>
              <w:bottom w:val="single" w:sz="4" w:space="0" w:color="auto"/>
              <w:right w:val="single" w:sz="4" w:space="0" w:color="auto"/>
            </w:tcBorders>
            <w:shd w:val="clear" w:color="auto" w:fill="auto"/>
            <w:tcMar>
              <w:left w:w="0" w:type="dxa"/>
              <w:right w:w="0" w:type="dxa"/>
            </w:tcMar>
            <w:vAlign w:val="center"/>
          </w:tcPr>
          <w:p w14:paraId="31005CE5" w14:textId="77777777" w:rsidR="00F22587" w:rsidRPr="000E5DBF" w:rsidRDefault="00F22587" w:rsidP="008A5C11">
            <w:pPr>
              <w:jc w:val="center"/>
              <w:rPr>
                <w:color w:val="000000"/>
                <w:sz w:val="14"/>
                <w:szCs w:val="14"/>
              </w:rPr>
            </w:pPr>
            <w:r w:rsidRPr="000E5DBF">
              <w:rPr>
                <w:color w:val="000000"/>
                <w:sz w:val="14"/>
                <w:szCs w:val="14"/>
              </w:rPr>
              <w:t>0,00</w:t>
            </w:r>
          </w:p>
        </w:tc>
        <w:tc>
          <w:tcPr>
            <w:tcW w:w="559" w:type="dxa"/>
            <w:tcBorders>
              <w:top w:val="nil"/>
              <w:left w:val="nil"/>
              <w:bottom w:val="single" w:sz="4" w:space="0" w:color="auto"/>
              <w:right w:val="single" w:sz="4" w:space="0" w:color="auto"/>
            </w:tcBorders>
            <w:shd w:val="clear" w:color="auto" w:fill="auto"/>
            <w:tcMar>
              <w:left w:w="0" w:type="dxa"/>
              <w:right w:w="0" w:type="dxa"/>
            </w:tcMar>
            <w:vAlign w:val="center"/>
          </w:tcPr>
          <w:p w14:paraId="75F88160" w14:textId="77777777" w:rsidR="00F22587" w:rsidRPr="000E5DBF" w:rsidRDefault="00F22587" w:rsidP="008A5C11">
            <w:pPr>
              <w:jc w:val="center"/>
              <w:rPr>
                <w:color w:val="000000"/>
                <w:sz w:val="14"/>
                <w:szCs w:val="14"/>
              </w:rPr>
            </w:pPr>
            <w:r w:rsidRPr="000E5DBF">
              <w:rPr>
                <w:color w:val="000000"/>
                <w:sz w:val="14"/>
                <w:szCs w:val="14"/>
              </w:rPr>
              <w:t>3025,67</w:t>
            </w:r>
          </w:p>
        </w:tc>
        <w:tc>
          <w:tcPr>
            <w:tcW w:w="572" w:type="dxa"/>
            <w:tcBorders>
              <w:top w:val="nil"/>
              <w:left w:val="nil"/>
              <w:bottom w:val="single" w:sz="4" w:space="0" w:color="auto"/>
              <w:right w:val="single" w:sz="4" w:space="0" w:color="auto"/>
            </w:tcBorders>
            <w:shd w:val="clear" w:color="auto" w:fill="auto"/>
            <w:tcMar>
              <w:left w:w="0" w:type="dxa"/>
              <w:right w:w="0" w:type="dxa"/>
            </w:tcMar>
            <w:vAlign w:val="center"/>
          </w:tcPr>
          <w:p w14:paraId="598824F4" w14:textId="77777777" w:rsidR="00F22587" w:rsidRPr="000E5DBF" w:rsidRDefault="00F22587" w:rsidP="008A5C11">
            <w:pPr>
              <w:jc w:val="center"/>
              <w:rPr>
                <w:color w:val="000000"/>
                <w:sz w:val="14"/>
                <w:szCs w:val="14"/>
              </w:rPr>
            </w:pPr>
            <w:r w:rsidRPr="000E5DBF">
              <w:rPr>
                <w:color w:val="000000"/>
                <w:sz w:val="14"/>
                <w:szCs w:val="14"/>
              </w:rPr>
              <w:t>0,00</w:t>
            </w:r>
          </w:p>
        </w:tc>
        <w:tc>
          <w:tcPr>
            <w:tcW w:w="572" w:type="dxa"/>
            <w:tcBorders>
              <w:top w:val="nil"/>
              <w:left w:val="nil"/>
              <w:bottom w:val="single" w:sz="4" w:space="0" w:color="auto"/>
              <w:right w:val="single" w:sz="4" w:space="0" w:color="auto"/>
            </w:tcBorders>
            <w:shd w:val="clear" w:color="auto" w:fill="auto"/>
            <w:tcMar>
              <w:left w:w="0" w:type="dxa"/>
              <w:right w:w="0" w:type="dxa"/>
            </w:tcMar>
            <w:vAlign w:val="center"/>
          </w:tcPr>
          <w:p w14:paraId="56FE7FD4" w14:textId="77777777" w:rsidR="00F22587" w:rsidRPr="000E5DBF" w:rsidRDefault="00F22587" w:rsidP="008A5C11">
            <w:pPr>
              <w:jc w:val="center"/>
              <w:rPr>
                <w:color w:val="000000"/>
                <w:sz w:val="14"/>
                <w:szCs w:val="14"/>
              </w:rPr>
            </w:pPr>
            <w:r w:rsidRPr="000E5DBF">
              <w:rPr>
                <w:color w:val="000000"/>
                <w:sz w:val="14"/>
                <w:szCs w:val="14"/>
              </w:rPr>
              <w:t>0,00</w:t>
            </w:r>
          </w:p>
        </w:tc>
        <w:tc>
          <w:tcPr>
            <w:tcW w:w="566" w:type="dxa"/>
            <w:tcBorders>
              <w:top w:val="nil"/>
              <w:left w:val="nil"/>
              <w:bottom w:val="single" w:sz="4" w:space="0" w:color="auto"/>
              <w:right w:val="single" w:sz="4" w:space="0" w:color="auto"/>
            </w:tcBorders>
            <w:shd w:val="clear" w:color="auto" w:fill="auto"/>
            <w:tcMar>
              <w:left w:w="0" w:type="dxa"/>
              <w:right w:w="0" w:type="dxa"/>
            </w:tcMar>
            <w:vAlign w:val="center"/>
          </w:tcPr>
          <w:p w14:paraId="7C7AC406" w14:textId="77777777" w:rsidR="00F22587" w:rsidRPr="000E5DBF" w:rsidRDefault="00F22587" w:rsidP="008A5C11">
            <w:pPr>
              <w:jc w:val="center"/>
              <w:rPr>
                <w:color w:val="000000"/>
                <w:sz w:val="14"/>
                <w:szCs w:val="14"/>
              </w:rPr>
            </w:pPr>
            <w:r w:rsidRPr="000E5DBF">
              <w:rPr>
                <w:color w:val="000000"/>
                <w:sz w:val="14"/>
                <w:szCs w:val="14"/>
              </w:rPr>
              <w:t>0,00</w:t>
            </w:r>
          </w:p>
        </w:tc>
        <w:tc>
          <w:tcPr>
            <w:tcW w:w="565" w:type="dxa"/>
            <w:tcBorders>
              <w:top w:val="nil"/>
              <w:left w:val="nil"/>
              <w:bottom w:val="single" w:sz="4" w:space="0" w:color="auto"/>
              <w:right w:val="single" w:sz="4" w:space="0" w:color="auto"/>
            </w:tcBorders>
            <w:shd w:val="clear" w:color="auto" w:fill="auto"/>
            <w:tcMar>
              <w:left w:w="0" w:type="dxa"/>
              <w:right w:w="0" w:type="dxa"/>
            </w:tcMar>
            <w:vAlign w:val="center"/>
          </w:tcPr>
          <w:p w14:paraId="0CBF1C7C" w14:textId="77777777" w:rsidR="00F22587" w:rsidRPr="000E5DBF" w:rsidRDefault="00F22587" w:rsidP="008A5C11">
            <w:pPr>
              <w:jc w:val="center"/>
              <w:rPr>
                <w:color w:val="000000"/>
                <w:sz w:val="14"/>
                <w:szCs w:val="14"/>
              </w:rPr>
            </w:pPr>
            <w:r w:rsidRPr="000E5DBF">
              <w:rPr>
                <w:color w:val="000000"/>
                <w:sz w:val="14"/>
                <w:szCs w:val="14"/>
              </w:rPr>
              <w:t>0,00</w:t>
            </w:r>
          </w:p>
        </w:tc>
        <w:tc>
          <w:tcPr>
            <w:tcW w:w="574" w:type="dxa"/>
            <w:tcBorders>
              <w:top w:val="nil"/>
              <w:left w:val="nil"/>
              <w:bottom w:val="single" w:sz="4" w:space="0" w:color="auto"/>
              <w:right w:val="single" w:sz="4" w:space="0" w:color="auto"/>
            </w:tcBorders>
            <w:shd w:val="clear" w:color="auto" w:fill="auto"/>
            <w:tcMar>
              <w:left w:w="0" w:type="dxa"/>
              <w:right w:w="0" w:type="dxa"/>
            </w:tcMar>
            <w:vAlign w:val="center"/>
          </w:tcPr>
          <w:p w14:paraId="1AB46FBB" w14:textId="77777777" w:rsidR="00F22587" w:rsidRPr="000E5DBF" w:rsidRDefault="00F22587" w:rsidP="008A5C11">
            <w:pPr>
              <w:jc w:val="center"/>
              <w:rPr>
                <w:color w:val="000000"/>
                <w:sz w:val="14"/>
                <w:szCs w:val="14"/>
              </w:rPr>
            </w:pPr>
            <w:r w:rsidRPr="000E5DBF">
              <w:rPr>
                <w:color w:val="000000"/>
                <w:sz w:val="14"/>
                <w:szCs w:val="14"/>
              </w:rPr>
              <w:t>0,00</w:t>
            </w:r>
          </w:p>
        </w:tc>
        <w:tc>
          <w:tcPr>
            <w:tcW w:w="572" w:type="dxa"/>
            <w:gridSpan w:val="2"/>
            <w:tcBorders>
              <w:top w:val="nil"/>
              <w:left w:val="nil"/>
              <w:bottom w:val="single" w:sz="4" w:space="0" w:color="auto"/>
              <w:right w:val="single" w:sz="4" w:space="0" w:color="auto"/>
            </w:tcBorders>
            <w:shd w:val="clear" w:color="000000" w:fill="FFFFFF"/>
            <w:noWrap/>
            <w:tcMar>
              <w:left w:w="0" w:type="dxa"/>
              <w:right w:w="0" w:type="dxa"/>
            </w:tcMar>
            <w:vAlign w:val="center"/>
          </w:tcPr>
          <w:p w14:paraId="172F12A2" w14:textId="77777777" w:rsidR="00F22587" w:rsidRPr="000E5DBF" w:rsidRDefault="00F22587" w:rsidP="008A5C11">
            <w:pPr>
              <w:jc w:val="center"/>
              <w:rPr>
                <w:color w:val="000000"/>
                <w:sz w:val="14"/>
                <w:szCs w:val="14"/>
              </w:rPr>
            </w:pPr>
            <w:r w:rsidRPr="000E5DBF">
              <w:rPr>
                <w:color w:val="000000"/>
                <w:sz w:val="14"/>
                <w:szCs w:val="14"/>
              </w:rPr>
              <w:t>0,00</w:t>
            </w:r>
          </w:p>
        </w:tc>
        <w:tc>
          <w:tcPr>
            <w:tcW w:w="570" w:type="dxa"/>
            <w:tcBorders>
              <w:top w:val="nil"/>
              <w:left w:val="nil"/>
              <w:bottom w:val="single" w:sz="4" w:space="0" w:color="auto"/>
              <w:right w:val="single" w:sz="4" w:space="0" w:color="auto"/>
            </w:tcBorders>
            <w:shd w:val="clear" w:color="auto" w:fill="auto"/>
            <w:tcMar>
              <w:left w:w="0" w:type="dxa"/>
              <w:right w:w="0" w:type="dxa"/>
            </w:tcMar>
            <w:vAlign w:val="center"/>
          </w:tcPr>
          <w:p w14:paraId="03EA7F16" w14:textId="77777777" w:rsidR="00F22587" w:rsidRPr="000E5DBF" w:rsidRDefault="00F22587" w:rsidP="008A5C11">
            <w:pPr>
              <w:jc w:val="center"/>
              <w:rPr>
                <w:color w:val="000000"/>
                <w:sz w:val="14"/>
                <w:szCs w:val="14"/>
              </w:rPr>
            </w:pPr>
            <w:r w:rsidRPr="000E5DBF">
              <w:rPr>
                <w:color w:val="000000"/>
                <w:sz w:val="14"/>
                <w:szCs w:val="14"/>
              </w:rPr>
              <w:t>0,00</w:t>
            </w:r>
          </w:p>
        </w:tc>
        <w:tc>
          <w:tcPr>
            <w:tcW w:w="572" w:type="dxa"/>
            <w:tcBorders>
              <w:top w:val="nil"/>
              <w:left w:val="nil"/>
              <w:bottom w:val="single" w:sz="4" w:space="0" w:color="auto"/>
              <w:right w:val="single" w:sz="4" w:space="0" w:color="auto"/>
            </w:tcBorders>
            <w:shd w:val="clear" w:color="auto" w:fill="auto"/>
            <w:tcMar>
              <w:left w:w="0" w:type="dxa"/>
              <w:right w:w="0" w:type="dxa"/>
            </w:tcMar>
            <w:vAlign w:val="center"/>
          </w:tcPr>
          <w:p w14:paraId="561A253D" w14:textId="77777777" w:rsidR="00F22587" w:rsidRPr="000E5DBF" w:rsidRDefault="00F22587" w:rsidP="008A5C11">
            <w:pPr>
              <w:jc w:val="center"/>
              <w:rPr>
                <w:color w:val="000000"/>
                <w:sz w:val="14"/>
                <w:szCs w:val="14"/>
              </w:rPr>
            </w:pPr>
            <w:r w:rsidRPr="000E5DBF">
              <w:rPr>
                <w:color w:val="000000"/>
                <w:sz w:val="14"/>
                <w:szCs w:val="14"/>
              </w:rPr>
              <w:t>0,00</w:t>
            </w:r>
          </w:p>
        </w:tc>
        <w:tc>
          <w:tcPr>
            <w:tcW w:w="573" w:type="dxa"/>
            <w:tcBorders>
              <w:top w:val="nil"/>
              <w:left w:val="nil"/>
              <w:bottom w:val="single" w:sz="4" w:space="0" w:color="auto"/>
              <w:right w:val="single" w:sz="4" w:space="0" w:color="auto"/>
            </w:tcBorders>
            <w:shd w:val="clear" w:color="auto" w:fill="auto"/>
            <w:tcMar>
              <w:left w:w="0" w:type="dxa"/>
              <w:right w:w="0" w:type="dxa"/>
            </w:tcMar>
            <w:vAlign w:val="center"/>
          </w:tcPr>
          <w:p w14:paraId="4413827B" w14:textId="77777777" w:rsidR="00F22587" w:rsidRPr="000E5DBF" w:rsidRDefault="00F22587" w:rsidP="008A5C11">
            <w:pPr>
              <w:jc w:val="center"/>
              <w:rPr>
                <w:color w:val="000000"/>
                <w:sz w:val="14"/>
                <w:szCs w:val="14"/>
              </w:rPr>
            </w:pPr>
            <w:r w:rsidRPr="000E5DBF">
              <w:rPr>
                <w:color w:val="000000"/>
                <w:sz w:val="14"/>
                <w:szCs w:val="14"/>
              </w:rPr>
              <w:t>0,00</w:t>
            </w:r>
          </w:p>
        </w:tc>
        <w:tc>
          <w:tcPr>
            <w:tcW w:w="574" w:type="dxa"/>
            <w:tcBorders>
              <w:top w:val="nil"/>
              <w:left w:val="nil"/>
              <w:bottom w:val="single" w:sz="4" w:space="0" w:color="auto"/>
              <w:right w:val="single" w:sz="4" w:space="0" w:color="auto"/>
            </w:tcBorders>
            <w:shd w:val="clear" w:color="auto" w:fill="auto"/>
            <w:tcMar>
              <w:left w:w="0" w:type="dxa"/>
              <w:right w:w="0" w:type="dxa"/>
            </w:tcMar>
            <w:vAlign w:val="center"/>
          </w:tcPr>
          <w:p w14:paraId="3B81830C" w14:textId="77777777" w:rsidR="00F22587" w:rsidRPr="000E5DBF" w:rsidRDefault="00F22587" w:rsidP="008A5C11">
            <w:pPr>
              <w:jc w:val="center"/>
              <w:rPr>
                <w:color w:val="000000"/>
                <w:sz w:val="14"/>
                <w:szCs w:val="14"/>
              </w:rPr>
            </w:pPr>
            <w:r w:rsidRPr="000E5DBF">
              <w:rPr>
                <w:color w:val="000000"/>
                <w:sz w:val="14"/>
                <w:szCs w:val="14"/>
              </w:rPr>
              <w:t>0,00</w:t>
            </w:r>
          </w:p>
        </w:tc>
        <w:tc>
          <w:tcPr>
            <w:tcW w:w="567" w:type="dxa"/>
            <w:tcBorders>
              <w:top w:val="nil"/>
              <w:left w:val="nil"/>
              <w:bottom w:val="single" w:sz="4" w:space="0" w:color="auto"/>
              <w:right w:val="single" w:sz="4" w:space="0" w:color="auto"/>
            </w:tcBorders>
            <w:shd w:val="clear" w:color="auto" w:fill="auto"/>
            <w:tcMar>
              <w:left w:w="0" w:type="dxa"/>
              <w:right w:w="0" w:type="dxa"/>
            </w:tcMar>
            <w:vAlign w:val="center"/>
          </w:tcPr>
          <w:p w14:paraId="728D3F72" w14:textId="77777777" w:rsidR="00F22587" w:rsidRPr="000E5DBF" w:rsidRDefault="00F22587" w:rsidP="008A5C11">
            <w:pPr>
              <w:jc w:val="center"/>
              <w:rPr>
                <w:color w:val="000000"/>
                <w:sz w:val="14"/>
                <w:szCs w:val="14"/>
              </w:rPr>
            </w:pPr>
            <w:r w:rsidRPr="000E5DBF">
              <w:rPr>
                <w:color w:val="000000"/>
                <w:sz w:val="14"/>
                <w:szCs w:val="14"/>
              </w:rPr>
              <w:t>0,00</w:t>
            </w:r>
          </w:p>
        </w:tc>
        <w:tc>
          <w:tcPr>
            <w:tcW w:w="292" w:type="dxa"/>
            <w:tcBorders>
              <w:top w:val="nil"/>
              <w:left w:val="nil"/>
              <w:bottom w:val="single" w:sz="4" w:space="0" w:color="auto"/>
              <w:right w:val="single" w:sz="4" w:space="0" w:color="auto"/>
            </w:tcBorders>
            <w:shd w:val="clear" w:color="auto" w:fill="auto"/>
            <w:tcMar>
              <w:left w:w="0" w:type="dxa"/>
              <w:right w:w="0" w:type="dxa"/>
            </w:tcMar>
            <w:vAlign w:val="center"/>
          </w:tcPr>
          <w:p w14:paraId="2FC7DB52" w14:textId="77777777" w:rsidR="00F22587" w:rsidRPr="000E5DBF" w:rsidRDefault="00F22587" w:rsidP="008A5C11">
            <w:pPr>
              <w:jc w:val="center"/>
              <w:rPr>
                <w:color w:val="000000"/>
                <w:sz w:val="14"/>
                <w:szCs w:val="14"/>
              </w:rPr>
            </w:pPr>
            <w:r w:rsidRPr="000E5DBF">
              <w:rPr>
                <w:color w:val="000000"/>
                <w:sz w:val="14"/>
                <w:szCs w:val="14"/>
              </w:rPr>
              <w:t>0,00</w:t>
            </w:r>
          </w:p>
        </w:tc>
        <w:tc>
          <w:tcPr>
            <w:tcW w:w="428" w:type="dxa"/>
            <w:gridSpan w:val="2"/>
            <w:tcBorders>
              <w:top w:val="nil"/>
              <w:left w:val="nil"/>
              <w:bottom w:val="single" w:sz="4" w:space="0" w:color="auto"/>
              <w:right w:val="single" w:sz="4" w:space="0" w:color="auto"/>
            </w:tcBorders>
            <w:shd w:val="clear" w:color="auto" w:fill="auto"/>
            <w:tcMar>
              <w:left w:w="0" w:type="dxa"/>
              <w:right w:w="0" w:type="dxa"/>
            </w:tcMar>
            <w:vAlign w:val="center"/>
          </w:tcPr>
          <w:p w14:paraId="2135A9A4" w14:textId="77777777" w:rsidR="00F22587" w:rsidRPr="000E5DBF" w:rsidRDefault="00F22587" w:rsidP="008A5C11">
            <w:pPr>
              <w:jc w:val="center"/>
              <w:rPr>
                <w:color w:val="000000"/>
                <w:sz w:val="14"/>
                <w:szCs w:val="14"/>
              </w:rPr>
            </w:pPr>
            <w:r w:rsidRPr="000E5DBF">
              <w:rPr>
                <w:color w:val="000000"/>
                <w:sz w:val="14"/>
                <w:szCs w:val="14"/>
              </w:rPr>
              <w:t>0,00</w:t>
            </w:r>
          </w:p>
        </w:tc>
      </w:tr>
      <w:tr w:rsidR="00F22587" w:rsidRPr="000E5DBF" w14:paraId="7E0BACC3" w14:textId="77777777" w:rsidTr="008A5C11">
        <w:trPr>
          <w:gridAfter w:val="1"/>
          <w:wAfter w:w="11" w:type="dxa"/>
          <w:cantSplit/>
          <w:trHeight w:val="531"/>
        </w:trPr>
        <w:tc>
          <w:tcPr>
            <w:tcW w:w="411"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47FC0767" w14:textId="77777777" w:rsidR="00F22587" w:rsidRPr="000E5DBF" w:rsidRDefault="00F22587" w:rsidP="008A5C11">
            <w:pPr>
              <w:jc w:val="center"/>
              <w:rPr>
                <w:color w:val="000000"/>
                <w:sz w:val="14"/>
                <w:szCs w:val="14"/>
              </w:rPr>
            </w:pPr>
            <w:r w:rsidRPr="000E5DBF">
              <w:rPr>
                <w:color w:val="000000"/>
                <w:sz w:val="14"/>
                <w:szCs w:val="14"/>
              </w:rPr>
              <w:t> 4.2.</w:t>
            </w:r>
          </w:p>
        </w:tc>
        <w:tc>
          <w:tcPr>
            <w:tcW w:w="1447" w:type="dxa"/>
            <w:tcBorders>
              <w:top w:val="nil"/>
              <w:left w:val="nil"/>
              <w:bottom w:val="single" w:sz="4" w:space="0" w:color="auto"/>
              <w:right w:val="single" w:sz="4" w:space="0" w:color="auto"/>
            </w:tcBorders>
            <w:shd w:val="clear" w:color="auto" w:fill="auto"/>
            <w:tcMar>
              <w:left w:w="0" w:type="dxa"/>
              <w:right w:w="0" w:type="dxa"/>
            </w:tcMar>
            <w:vAlign w:val="center"/>
          </w:tcPr>
          <w:p w14:paraId="2AB4E86A" w14:textId="77777777" w:rsidR="00F22587" w:rsidRPr="000E5DBF" w:rsidRDefault="00F22587" w:rsidP="008A5C11">
            <w:pPr>
              <w:jc w:val="center"/>
              <w:rPr>
                <w:color w:val="000000"/>
                <w:sz w:val="14"/>
                <w:szCs w:val="14"/>
              </w:rPr>
            </w:pPr>
            <w:r w:rsidRPr="000E5DBF">
              <w:rPr>
                <w:color w:val="000000"/>
                <w:sz w:val="14"/>
                <w:szCs w:val="14"/>
              </w:rPr>
              <w:t>Замена дробилки угля СМД 108 Котельной Горновского района</w:t>
            </w:r>
          </w:p>
        </w:tc>
        <w:tc>
          <w:tcPr>
            <w:tcW w:w="980" w:type="dxa"/>
            <w:tcBorders>
              <w:top w:val="nil"/>
              <w:left w:val="nil"/>
              <w:bottom w:val="single" w:sz="4" w:space="0" w:color="auto"/>
              <w:right w:val="single" w:sz="4" w:space="0" w:color="auto"/>
            </w:tcBorders>
            <w:shd w:val="clear" w:color="auto" w:fill="auto"/>
            <w:tcMar>
              <w:left w:w="0" w:type="dxa"/>
              <w:right w:w="0" w:type="dxa"/>
            </w:tcMar>
            <w:vAlign w:val="center"/>
          </w:tcPr>
          <w:p w14:paraId="7944F6DB" w14:textId="77777777" w:rsidR="00F22587" w:rsidRPr="000E5DBF" w:rsidRDefault="00F22587" w:rsidP="008A5C11">
            <w:pPr>
              <w:jc w:val="center"/>
              <w:rPr>
                <w:color w:val="000000"/>
                <w:sz w:val="14"/>
                <w:szCs w:val="14"/>
              </w:rPr>
            </w:pPr>
            <w:r w:rsidRPr="000E5DBF">
              <w:rPr>
                <w:color w:val="000000"/>
                <w:sz w:val="14"/>
                <w:szCs w:val="14"/>
              </w:rPr>
              <w:t>Обеспечение надежности тепло- водоснабжения</w:t>
            </w:r>
          </w:p>
        </w:tc>
        <w:tc>
          <w:tcPr>
            <w:tcW w:w="1002" w:type="dxa"/>
            <w:tcBorders>
              <w:top w:val="nil"/>
              <w:left w:val="nil"/>
              <w:bottom w:val="single" w:sz="4" w:space="0" w:color="auto"/>
              <w:right w:val="single" w:sz="4" w:space="0" w:color="auto"/>
            </w:tcBorders>
            <w:shd w:val="clear" w:color="auto" w:fill="auto"/>
            <w:tcMar>
              <w:left w:w="0" w:type="dxa"/>
              <w:right w:w="0" w:type="dxa"/>
            </w:tcMar>
            <w:vAlign w:val="center"/>
          </w:tcPr>
          <w:p w14:paraId="65BF3348" w14:textId="77777777" w:rsidR="00F22587" w:rsidRPr="000E5DBF" w:rsidRDefault="00F22587" w:rsidP="008A5C11">
            <w:pPr>
              <w:jc w:val="center"/>
              <w:rPr>
                <w:color w:val="000000"/>
                <w:sz w:val="14"/>
                <w:szCs w:val="14"/>
              </w:rPr>
            </w:pPr>
            <w:r w:rsidRPr="000E5DBF">
              <w:rPr>
                <w:color w:val="000000"/>
                <w:sz w:val="14"/>
                <w:szCs w:val="14"/>
              </w:rPr>
              <w:t>ул. Вокзальная, 11а</w:t>
            </w:r>
          </w:p>
        </w:tc>
        <w:tc>
          <w:tcPr>
            <w:tcW w:w="1000" w:type="dxa"/>
            <w:tcBorders>
              <w:top w:val="nil"/>
              <w:left w:val="nil"/>
              <w:bottom w:val="single" w:sz="4" w:space="0" w:color="auto"/>
              <w:right w:val="single" w:sz="4" w:space="0" w:color="auto"/>
            </w:tcBorders>
            <w:shd w:val="clear" w:color="auto" w:fill="auto"/>
            <w:tcMar>
              <w:left w:w="0" w:type="dxa"/>
              <w:right w:w="0" w:type="dxa"/>
            </w:tcMar>
            <w:vAlign w:val="center"/>
          </w:tcPr>
          <w:p w14:paraId="731F3795" w14:textId="77777777" w:rsidR="00F22587" w:rsidRPr="000E5DBF" w:rsidRDefault="00F22587" w:rsidP="008A5C11">
            <w:pPr>
              <w:jc w:val="center"/>
              <w:rPr>
                <w:color w:val="000000"/>
                <w:sz w:val="14"/>
                <w:szCs w:val="14"/>
              </w:rPr>
            </w:pPr>
            <w:proofErr w:type="gramStart"/>
            <w:r w:rsidRPr="000E5DBF">
              <w:rPr>
                <w:color w:val="000000"/>
                <w:sz w:val="14"/>
                <w:szCs w:val="14"/>
              </w:rPr>
              <w:t>производитель-ность</w:t>
            </w:r>
            <w:proofErr w:type="gramEnd"/>
          </w:p>
        </w:tc>
        <w:tc>
          <w:tcPr>
            <w:tcW w:w="429" w:type="dxa"/>
            <w:tcBorders>
              <w:top w:val="nil"/>
              <w:left w:val="nil"/>
              <w:bottom w:val="single" w:sz="4" w:space="0" w:color="auto"/>
              <w:right w:val="single" w:sz="4" w:space="0" w:color="auto"/>
            </w:tcBorders>
            <w:shd w:val="clear" w:color="auto" w:fill="auto"/>
            <w:tcMar>
              <w:left w:w="0" w:type="dxa"/>
              <w:right w:w="0" w:type="dxa"/>
            </w:tcMar>
            <w:vAlign w:val="center"/>
          </w:tcPr>
          <w:p w14:paraId="0FA43496" w14:textId="77777777" w:rsidR="00F22587" w:rsidRPr="000E5DBF" w:rsidRDefault="00F22587" w:rsidP="008A5C11">
            <w:pPr>
              <w:jc w:val="center"/>
              <w:rPr>
                <w:color w:val="000000"/>
                <w:sz w:val="14"/>
                <w:szCs w:val="14"/>
              </w:rPr>
            </w:pPr>
            <w:r w:rsidRPr="000E5DBF">
              <w:rPr>
                <w:color w:val="000000"/>
                <w:sz w:val="14"/>
                <w:szCs w:val="14"/>
              </w:rPr>
              <w:t>тн</w:t>
            </w:r>
          </w:p>
        </w:tc>
        <w:tc>
          <w:tcPr>
            <w:tcW w:w="719" w:type="dxa"/>
            <w:tcBorders>
              <w:top w:val="nil"/>
              <w:left w:val="nil"/>
              <w:bottom w:val="single" w:sz="4" w:space="0" w:color="auto"/>
              <w:right w:val="single" w:sz="4" w:space="0" w:color="auto"/>
            </w:tcBorders>
            <w:shd w:val="clear" w:color="auto" w:fill="auto"/>
            <w:tcMar>
              <w:left w:w="0" w:type="dxa"/>
              <w:right w:w="0" w:type="dxa"/>
            </w:tcMar>
            <w:vAlign w:val="center"/>
          </w:tcPr>
          <w:p w14:paraId="29820FDF" w14:textId="77777777" w:rsidR="00F22587" w:rsidRPr="000E5DBF" w:rsidRDefault="00F22587" w:rsidP="008A5C11">
            <w:pPr>
              <w:jc w:val="center"/>
              <w:rPr>
                <w:color w:val="000000"/>
                <w:sz w:val="14"/>
                <w:szCs w:val="14"/>
              </w:rPr>
            </w:pPr>
            <w:r w:rsidRPr="000E5DBF">
              <w:rPr>
                <w:color w:val="000000"/>
                <w:sz w:val="14"/>
                <w:szCs w:val="14"/>
              </w:rPr>
              <w:t>20</w:t>
            </w:r>
          </w:p>
        </w:tc>
        <w:tc>
          <w:tcPr>
            <w:tcW w:w="723" w:type="dxa"/>
            <w:tcBorders>
              <w:top w:val="nil"/>
              <w:left w:val="nil"/>
              <w:bottom w:val="single" w:sz="4" w:space="0" w:color="auto"/>
              <w:right w:val="single" w:sz="4" w:space="0" w:color="auto"/>
            </w:tcBorders>
            <w:shd w:val="clear" w:color="auto" w:fill="auto"/>
            <w:tcMar>
              <w:left w:w="0" w:type="dxa"/>
              <w:right w:w="0" w:type="dxa"/>
            </w:tcMar>
            <w:vAlign w:val="center"/>
          </w:tcPr>
          <w:p w14:paraId="7DA7AC62" w14:textId="77777777" w:rsidR="00F22587" w:rsidRPr="000E5DBF" w:rsidRDefault="00F22587" w:rsidP="008A5C11">
            <w:pPr>
              <w:jc w:val="center"/>
              <w:rPr>
                <w:color w:val="000000"/>
                <w:sz w:val="14"/>
                <w:szCs w:val="14"/>
              </w:rPr>
            </w:pPr>
            <w:r w:rsidRPr="000E5DBF">
              <w:rPr>
                <w:color w:val="000000"/>
                <w:sz w:val="14"/>
                <w:szCs w:val="14"/>
              </w:rPr>
              <w:t>30</w:t>
            </w:r>
          </w:p>
        </w:tc>
        <w:tc>
          <w:tcPr>
            <w:tcW w:w="428" w:type="dxa"/>
            <w:gridSpan w:val="2"/>
            <w:tcBorders>
              <w:top w:val="nil"/>
              <w:left w:val="nil"/>
              <w:bottom w:val="single" w:sz="4" w:space="0" w:color="auto"/>
              <w:right w:val="single" w:sz="4" w:space="0" w:color="auto"/>
            </w:tcBorders>
            <w:shd w:val="clear" w:color="auto" w:fill="auto"/>
            <w:tcMar>
              <w:left w:w="0" w:type="dxa"/>
              <w:right w:w="0" w:type="dxa"/>
            </w:tcMar>
            <w:vAlign w:val="center"/>
          </w:tcPr>
          <w:p w14:paraId="248D2BA8" w14:textId="77777777" w:rsidR="00F22587" w:rsidRPr="000E5DBF" w:rsidRDefault="00F22587" w:rsidP="008A5C11">
            <w:pPr>
              <w:jc w:val="center"/>
              <w:rPr>
                <w:color w:val="000000"/>
                <w:sz w:val="14"/>
                <w:szCs w:val="14"/>
              </w:rPr>
            </w:pPr>
            <w:r w:rsidRPr="000E5DBF">
              <w:rPr>
                <w:color w:val="000000"/>
                <w:sz w:val="14"/>
                <w:szCs w:val="14"/>
              </w:rPr>
              <w:t>2019</w:t>
            </w:r>
          </w:p>
        </w:tc>
        <w:tc>
          <w:tcPr>
            <w:tcW w:w="416" w:type="dxa"/>
            <w:tcBorders>
              <w:top w:val="nil"/>
              <w:left w:val="nil"/>
              <w:bottom w:val="single" w:sz="4" w:space="0" w:color="auto"/>
              <w:right w:val="single" w:sz="4" w:space="0" w:color="auto"/>
            </w:tcBorders>
            <w:shd w:val="clear" w:color="auto" w:fill="auto"/>
            <w:tcMar>
              <w:left w:w="0" w:type="dxa"/>
              <w:right w:w="0" w:type="dxa"/>
            </w:tcMar>
            <w:vAlign w:val="center"/>
          </w:tcPr>
          <w:p w14:paraId="56D08FD7" w14:textId="77777777" w:rsidR="00F22587" w:rsidRPr="000E5DBF" w:rsidRDefault="00F22587" w:rsidP="008A5C11">
            <w:pPr>
              <w:jc w:val="center"/>
              <w:rPr>
                <w:color w:val="000000"/>
                <w:sz w:val="14"/>
                <w:szCs w:val="14"/>
              </w:rPr>
            </w:pPr>
            <w:r w:rsidRPr="000E5DBF">
              <w:rPr>
                <w:color w:val="000000"/>
                <w:sz w:val="14"/>
                <w:szCs w:val="14"/>
              </w:rPr>
              <w:t>2019</w:t>
            </w:r>
          </w:p>
        </w:tc>
        <w:tc>
          <w:tcPr>
            <w:tcW w:w="573" w:type="dxa"/>
            <w:tcBorders>
              <w:top w:val="nil"/>
              <w:left w:val="nil"/>
              <w:bottom w:val="single" w:sz="4" w:space="0" w:color="auto"/>
              <w:right w:val="single" w:sz="4" w:space="0" w:color="auto"/>
            </w:tcBorders>
            <w:shd w:val="clear" w:color="auto" w:fill="auto"/>
            <w:tcMar>
              <w:left w:w="0" w:type="dxa"/>
              <w:right w:w="0" w:type="dxa"/>
            </w:tcMar>
            <w:vAlign w:val="center"/>
          </w:tcPr>
          <w:p w14:paraId="1A2B13B5" w14:textId="77777777" w:rsidR="00F22587" w:rsidRPr="000E5DBF" w:rsidRDefault="00F22587" w:rsidP="008A5C11">
            <w:pPr>
              <w:jc w:val="center"/>
              <w:rPr>
                <w:color w:val="000000"/>
                <w:sz w:val="14"/>
                <w:szCs w:val="14"/>
              </w:rPr>
            </w:pPr>
            <w:r w:rsidRPr="000E5DBF">
              <w:rPr>
                <w:color w:val="000000"/>
                <w:sz w:val="14"/>
                <w:szCs w:val="14"/>
              </w:rPr>
              <w:t>2136,00</w:t>
            </w:r>
          </w:p>
        </w:tc>
        <w:tc>
          <w:tcPr>
            <w:tcW w:w="447" w:type="dxa"/>
            <w:gridSpan w:val="2"/>
            <w:tcBorders>
              <w:top w:val="nil"/>
              <w:left w:val="nil"/>
              <w:bottom w:val="single" w:sz="4" w:space="0" w:color="auto"/>
              <w:right w:val="single" w:sz="4" w:space="0" w:color="auto"/>
            </w:tcBorders>
            <w:shd w:val="clear" w:color="auto" w:fill="auto"/>
            <w:tcMar>
              <w:left w:w="0" w:type="dxa"/>
              <w:right w:w="0" w:type="dxa"/>
            </w:tcMar>
            <w:vAlign w:val="center"/>
          </w:tcPr>
          <w:p w14:paraId="019FD01D" w14:textId="77777777" w:rsidR="00F22587" w:rsidRPr="000E5DBF" w:rsidRDefault="00F22587" w:rsidP="008A5C11">
            <w:pPr>
              <w:jc w:val="center"/>
              <w:rPr>
                <w:color w:val="000000"/>
                <w:sz w:val="14"/>
                <w:szCs w:val="14"/>
              </w:rPr>
            </w:pPr>
            <w:r w:rsidRPr="000E5DBF">
              <w:rPr>
                <w:color w:val="000000"/>
                <w:sz w:val="14"/>
                <w:szCs w:val="14"/>
              </w:rPr>
              <w:t>0,00</w:t>
            </w:r>
          </w:p>
        </w:tc>
        <w:tc>
          <w:tcPr>
            <w:tcW w:w="559" w:type="dxa"/>
            <w:tcBorders>
              <w:top w:val="nil"/>
              <w:left w:val="nil"/>
              <w:bottom w:val="single" w:sz="4" w:space="0" w:color="auto"/>
              <w:right w:val="single" w:sz="4" w:space="0" w:color="auto"/>
            </w:tcBorders>
            <w:shd w:val="clear" w:color="auto" w:fill="auto"/>
            <w:tcMar>
              <w:left w:w="0" w:type="dxa"/>
              <w:right w:w="0" w:type="dxa"/>
            </w:tcMar>
            <w:vAlign w:val="center"/>
          </w:tcPr>
          <w:p w14:paraId="6AFF9557" w14:textId="77777777" w:rsidR="00F22587" w:rsidRPr="000E5DBF" w:rsidRDefault="00F22587" w:rsidP="008A5C11">
            <w:pPr>
              <w:jc w:val="center"/>
              <w:rPr>
                <w:color w:val="000000"/>
                <w:sz w:val="14"/>
                <w:szCs w:val="14"/>
              </w:rPr>
            </w:pPr>
            <w:r w:rsidRPr="000E5DBF">
              <w:rPr>
                <w:color w:val="000000"/>
                <w:sz w:val="14"/>
                <w:szCs w:val="14"/>
              </w:rPr>
              <w:t>2136,00</w:t>
            </w:r>
          </w:p>
        </w:tc>
        <w:tc>
          <w:tcPr>
            <w:tcW w:w="572" w:type="dxa"/>
            <w:tcBorders>
              <w:top w:val="nil"/>
              <w:left w:val="nil"/>
              <w:bottom w:val="single" w:sz="4" w:space="0" w:color="auto"/>
              <w:right w:val="single" w:sz="4" w:space="0" w:color="auto"/>
            </w:tcBorders>
            <w:shd w:val="clear" w:color="auto" w:fill="auto"/>
            <w:tcMar>
              <w:left w:w="0" w:type="dxa"/>
              <w:right w:w="0" w:type="dxa"/>
            </w:tcMar>
            <w:vAlign w:val="center"/>
          </w:tcPr>
          <w:p w14:paraId="6A111C45" w14:textId="77777777" w:rsidR="00F22587" w:rsidRPr="000E5DBF" w:rsidRDefault="00F22587" w:rsidP="008A5C11">
            <w:pPr>
              <w:jc w:val="center"/>
              <w:rPr>
                <w:color w:val="000000"/>
                <w:sz w:val="14"/>
                <w:szCs w:val="14"/>
              </w:rPr>
            </w:pPr>
            <w:r w:rsidRPr="000E5DBF">
              <w:rPr>
                <w:color w:val="000000"/>
                <w:sz w:val="14"/>
                <w:szCs w:val="14"/>
              </w:rPr>
              <w:t>0,00</w:t>
            </w:r>
          </w:p>
        </w:tc>
        <w:tc>
          <w:tcPr>
            <w:tcW w:w="572" w:type="dxa"/>
            <w:tcBorders>
              <w:top w:val="nil"/>
              <w:left w:val="nil"/>
              <w:bottom w:val="single" w:sz="4" w:space="0" w:color="auto"/>
              <w:right w:val="single" w:sz="4" w:space="0" w:color="auto"/>
            </w:tcBorders>
            <w:shd w:val="clear" w:color="auto" w:fill="auto"/>
            <w:tcMar>
              <w:left w:w="0" w:type="dxa"/>
              <w:right w:w="0" w:type="dxa"/>
            </w:tcMar>
            <w:vAlign w:val="center"/>
          </w:tcPr>
          <w:p w14:paraId="2D767D93" w14:textId="77777777" w:rsidR="00F22587" w:rsidRPr="000E5DBF" w:rsidRDefault="00F22587" w:rsidP="008A5C11">
            <w:pPr>
              <w:jc w:val="center"/>
              <w:rPr>
                <w:color w:val="000000"/>
                <w:sz w:val="14"/>
                <w:szCs w:val="14"/>
              </w:rPr>
            </w:pPr>
            <w:r w:rsidRPr="000E5DBF">
              <w:rPr>
                <w:color w:val="000000"/>
                <w:sz w:val="14"/>
                <w:szCs w:val="14"/>
              </w:rPr>
              <w:t>0,00</w:t>
            </w:r>
          </w:p>
        </w:tc>
        <w:tc>
          <w:tcPr>
            <w:tcW w:w="566" w:type="dxa"/>
            <w:tcBorders>
              <w:top w:val="nil"/>
              <w:left w:val="nil"/>
              <w:bottom w:val="single" w:sz="4" w:space="0" w:color="auto"/>
              <w:right w:val="single" w:sz="4" w:space="0" w:color="auto"/>
            </w:tcBorders>
            <w:shd w:val="clear" w:color="auto" w:fill="auto"/>
            <w:tcMar>
              <w:left w:w="0" w:type="dxa"/>
              <w:right w:w="0" w:type="dxa"/>
            </w:tcMar>
            <w:vAlign w:val="center"/>
          </w:tcPr>
          <w:p w14:paraId="35BC4991" w14:textId="77777777" w:rsidR="00F22587" w:rsidRPr="000E5DBF" w:rsidRDefault="00F22587" w:rsidP="008A5C11">
            <w:pPr>
              <w:jc w:val="center"/>
              <w:rPr>
                <w:color w:val="000000"/>
                <w:sz w:val="14"/>
                <w:szCs w:val="14"/>
              </w:rPr>
            </w:pPr>
            <w:r w:rsidRPr="000E5DBF">
              <w:rPr>
                <w:color w:val="000000"/>
                <w:sz w:val="14"/>
                <w:szCs w:val="14"/>
              </w:rPr>
              <w:t>0,00</w:t>
            </w:r>
          </w:p>
        </w:tc>
        <w:tc>
          <w:tcPr>
            <w:tcW w:w="565" w:type="dxa"/>
            <w:tcBorders>
              <w:top w:val="nil"/>
              <w:left w:val="nil"/>
              <w:bottom w:val="single" w:sz="4" w:space="0" w:color="auto"/>
              <w:right w:val="single" w:sz="4" w:space="0" w:color="auto"/>
            </w:tcBorders>
            <w:shd w:val="clear" w:color="auto" w:fill="auto"/>
            <w:tcMar>
              <w:left w:w="0" w:type="dxa"/>
              <w:right w:w="0" w:type="dxa"/>
            </w:tcMar>
            <w:vAlign w:val="center"/>
          </w:tcPr>
          <w:p w14:paraId="135F1F5D" w14:textId="77777777" w:rsidR="00F22587" w:rsidRPr="000E5DBF" w:rsidRDefault="00F22587" w:rsidP="008A5C11">
            <w:pPr>
              <w:jc w:val="center"/>
              <w:rPr>
                <w:color w:val="000000"/>
                <w:sz w:val="14"/>
                <w:szCs w:val="14"/>
              </w:rPr>
            </w:pPr>
            <w:r w:rsidRPr="000E5DBF">
              <w:rPr>
                <w:color w:val="000000"/>
                <w:sz w:val="14"/>
                <w:szCs w:val="14"/>
              </w:rPr>
              <w:t>0,00</w:t>
            </w:r>
          </w:p>
        </w:tc>
        <w:tc>
          <w:tcPr>
            <w:tcW w:w="574" w:type="dxa"/>
            <w:tcBorders>
              <w:top w:val="nil"/>
              <w:left w:val="nil"/>
              <w:bottom w:val="single" w:sz="4" w:space="0" w:color="auto"/>
              <w:right w:val="single" w:sz="4" w:space="0" w:color="auto"/>
            </w:tcBorders>
            <w:shd w:val="clear" w:color="auto" w:fill="auto"/>
            <w:tcMar>
              <w:left w:w="0" w:type="dxa"/>
              <w:right w:w="0" w:type="dxa"/>
            </w:tcMar>
            <w:vAlign w:val="center"/>
          </w:tcPr>
          <w:p w14:paraId="4342E48A" w14:textId="77777777" w:rsidR="00F22587" w:rsidRPr="000E5DBF" w:rsidRDefault="00F22587" w:rsidP="008A5C11">
            <w:pPr>
              <w:jc w:val="center"/>
              <w:rPr>
                <w:color w:val="000000"/>
                <w:sz w:val="14"/>
                <w:szCs w:val="14"/>
              </w:rPr>
            </w:pPr>
            <w:r w:rsidRPr="000E5DBF">
              <w:rPr>
                <w:color w:val="000000"/>
                <w:sz w:val="14"/>
                <w:szCs w:val="14"/>
              </w:rPr>
              <w:t>0,00</w:t>
            </w:r>
          </w:p>
        </w:tc>
        <w:tc>
          <w:tcPr>
            <w:tcW w:w="572" w:type="dxa"/>
            <w:gridSpan w:val="2"/>
            <w:tcBorders>
              <w:top w:val="nil"/>
              <w:left w:val="nil"/>
              <w:bottom w:val="single" w:sz="4" w:space="0" w:color="auto"/>
              <w:right w:val="single" w:sz="4" w:space="0" w:color="auto"/>
            </w:tcBorders>
            <w:shd w:val="clear" w:color="auto" w:fill="auto"/>
            <w:tcMar>
              <w:left w:w="0" w:type="dxa"/>
              <w:right w:w="0" w:type="dxa"/>
            </w:tcMar>
            <w:vAlign w:val="center"/>
          </w:tcPr>
          <w:p w14:paraId="78464CFC" w14:textId="77777777" w:rsidR="00F22587" w:rsidRPr="000E5DBF" w:rsidRDefault="00F22587" w:rsidP="008A5C11">
            <w:pPr>
              <w:jc w:val="center"/>
              <w:rPr>
                <w:color w:val="000000"/>
                <w:sz w:val="14"/>
                <w:szCs w:val="14"/>
              </w:rPr>
            </w:pPr>
            <w:r w:rsidRPr="000E5DBF">
              <w:rPr>
                <w:color w:val="000000"/>
                <w:sz w:val="14"/>
                <w:szCs w:val="14"/>
              </w:rPr>
              <w:t>0,00</w:t>
            </w:r>
          </w:p>
        </w:tc>
        <w:tc>
          <w:tcPr>
            <w:tcW w:w="570" w:type="dxa"/>
            <w:tcBorders>
              <w:top w:val="nil"/>
              <w:left w:val="nil"/>
              <w:bottom w:val="single" w:sz="4" w:space="0" w:color="auto"/>
              <w:right w:val="single" w:sz="4" w:space="0" w:color="auto"/>
            </w:tcBorders>
            <w:shd w:val="clear" w:color="000000" w:fill="FFFFFF"/>
            <w:tcMar>
              <w:left w:w="0" w:type="dxa"/>
              <w:right w:w="0" w:type="dxa"/>
            </w:tcMar>
            <w:vAlign w:val="center"/>
          </w:tcPr>
          <w:p w14:paraId="3C044AFF" w14:textId="77777777" w:rsidR="00F22587" w:rsidRPr="000E5DBF" w:rsidRDefault="00F22587" w:rsidP="008A5C11">
            <w:pPr>
              <w:jc w:val="center"/>
              <w:rPr>
                <w:color w:val="000000"/>
                <w:sz w:val="14"/>
                <w:szCs w:val="14"/>
              </w:rPr>
            </w:pPr>
            <w:r w:rsidRPr="000E5DBF">
              <w:rPr>
                <w:color w:val="000000"/>
                <w:sz w:val="14"/>
                <w:szCs w:val="14"/>
              </w:rPr>
              <w:t>0,00</w:t>
            </w:r>
          </w:p>
        </w:tc>
        <w:tc>
          <w:tcPr>
            <w:tcW w:w="572" w:type="dxa"/>
            <w:tcBorders>
              <w:top w:val="nil"/>
              <w:left w:val="nil"/>
              <w:bottom w:val="single" w:sz="4" w:space="0" w:color="auto"/>
              <w:right w:val="single" w:sz="4" w:space="0" w:color="auto"/>
            </w:tcBorders>
            <w:shd w:val="clear" w:color="auto" w:fill="auto"/>
            <w:tcMar>
              <w:left w:w="0" w:type="dxa"/>
              <w:right w:w="0" w:type="dxa"/>
            </w:tcMar>
            <w:vAlign w:val="center"/>
          </w:tcPr>
          <w:p w14:paraId="0BBDDE66" w14:textId="77777777" w:rsidR="00F22587" w:rsidRPr="000E5DBF" w:rsidRDefault="00F22587" w:rsidP="008A5C11">
            <w:pPr>
              <w:jc w:val="center"/>
              <w:rPr>
                <w:color w:val="000000"/>
                <w:sz w:val="14"/>
                <w:szCs w:val="14"/>
              </w:rPr>
            </w:pPr>
            <w:r w:rsidRPr="000E5DBF">
              <w:rPr>
                <w:color w:val="000000"/>
                <w:sz w:val="14"/>
                <w:szCs w:val="14"/>
              </w:rPr>
              <w:t>0,00</w:t>
            </w:r>
          </w:p>
        </w:tc>
        <w:tc>
          <w:tcPr>
            <w:tcW w:w="573" w:type="dxa"/>
            <w:tcBorders>
              <w:top w:val="nil"/>
              <w:left w:val="nil"/>
              <w:bottom w:val="single" w:sz="4" w:space="0" w:color="auto"/>
              <w:right w:val="single" w:sz="4" w:space="0" w:color="auto"/>
            </w:tcBorders>
            <w:shd w:val="clear" w:color="auto" w:fill="auto"/>
            <w:tcMar>
              <w:left w:w="0" w:type="dxa"/>
              <w:right w:w="0" w:type="dxa"/>
            </w:tcMar>
            <w:vAlign w:val="center"/>
          </w:tcPr>
          <w:p w14:paraId="0E09A6A8" w14:textId="77777777" w:rsidR="00F22587" w:rsidRPr="000E5DBF" w:rsidRDefault="00F22587" w:rsidP="008A5C11">
            <w:pPr>
              <w:jc w:val="center"/>
              <w:rPr>
                <w:color w:val="000000"/>
                <w:sz w:val="14"/>
                <w:szCs w:val="14"/>
              </w:rPr>
            </w:pPr>
            <w:r w:rsidRPr="000E5DBF">
              <w:rPr>
                <w:color w:val="000000"/>
                <w:sz w:val="14"/>
                <w:szCs w:val="14"/>
              </w:rPr>
              <w:t>0,00</w:t>
            </w:r>
          </w:p>
        </w:tc>
        <w:tc>
          <w:tcPr>
            <w:tcW w:w="574" w:type="dxa"/>
            <w:tcBorders>
              <w:top w:val="nil"/>
              <w:left w:val="nil"/>
              <w:bottom w:val="single" w:sz="4" w:space="0" w:color="auto"/>
              <w:right w:val="single" w:sz="4" w:space="0" w:color="auto"/>
            </w:tcBorders>
            <w:shd w:val="clear" w:color="auto" w:fill="auto"/>
            <w:tcMar>
              <w:left w:w="0" w:type="dxa"/>
              <w:right w:w="0" w:type="dxa"/>
            </w:tcMar>
            <w:vAlign w:val="center"/>
          </w:tcPr>
          <w:p w14:paraId="234B25F8" w14:textId="77777777" w:rsidR="00F22587" w:rsidRPr="000E5DBF" w:rsidRDefault="00F22587" w:rsidP="008A5C11">
            <w:pPr>
              <w:jc w:val="center"/>
              <w:rPr>
                <w:color w:val="000000"/>
                <w:sz w:val="14"/>
                <w:szCs w:val="14"/>
              </w:rPr>
            </w:pPr>
            <w:r w:rsidRPr="000E5DBF">
              <w:rPr>
                <w:color w:val="000000"/>
                <w:sz w:val="14"/>
                <w:szCs w:val="14"/>
              </w:rPr>
              <w:t>0,00</w:t>
            </w:r>
          </w:p>
        </w:tc>
        <w:tc>
          <w:tcPr>
            <w:tcW w:w="567" w:type="dxa"/>
            <w:tcBorders>
              <w:top w:val="nil"/>
              <w:left w:val="nil"/>
              <w:bottom w:val="single" w:sz="4" w:space="0" w:color="auto"/>
              <w:right w:val="single" w:sz="4" w:space="0" w:color="auto"/>
            </w:tcBorders>
            <w:shd w:val="clear" w:color="auto" w:fill="auto"/>
            <w:tcMar>
              <w:left w:w="0" w:type="dxa"/>
              <w:right w:w="0" w:type="dxa"/>
            </w:tcMar>
            <w:vAlign w:val="center"/>
          </w:tcPr>
          <w:p w14:paraId="14FC51A5" w14:textId="77777777" w:rsidR="00F22587" w:rsidRPr="000E5DBF" w:rsidRDefault="00F22587" w:rsidP="008A5C11">
            <w:pPr>
              <w:jc w:val="center"/>
              <w:rPr>
                <w:color w:val="000000"/>
                <w:sz w:val="14"/>
                <w:szCs w:val="14"/>
              </w:rPr>
            </w:pPr>
            <w:r w:rsidRPr="000E5DBF">
              <w:rPr>
                <w:color w:val="000000"/>
                <w:sz w:val="14"/>
                <w:szCs w:val="14"/>
              </w:rPr>
              <w:t>0,00</w:t>
            </w:r>
          </w:p>
        </w:tc>
        <w:tc>
          <w:tcPr>
            <w:tcW w:w="292" w:type="dxa"/>
            <w:tcBorders>
              <w:top w:val="nil"/>
              <w:left w:val="nil"/>
              <w:bottom w:val="single" w:sz="4" w:space="0" w:color="auto"/>
              <w:right w:val="single" w:sz="4" w:space="0" w:color="auto"/>
            </w:tcBorders>
            <w:shd w:val="clear" w:color="auto" w:fill="auto"/>
            <w:tcMar>
              <w:left w:w="0" w:type="dxa"/>
              <w:right w:w="0" w:type="dxa"/>
            </w:tcMar>
            <w:vAlign w:val="center"/>
          </w:tcPr>
          <w:p w14:paraId="2ED4E369" w14:textId="77777777" w:rsidR="00F22587" w:rsidRPr="000E5DBF" w:rsidRDefault="00F22587" w:rsidP="008A5C11">
            <w:pPr>
              <w:jc w:val="center"/>
              <w:rPr>
                <w:color w:val="000000"/>
                <w:sz w:val="14"/>
                <w:szCs w:val="14"/>
              </w:rPr>
            </w:pPr>
            <w:r w:rsidRPr="000E5DBF">
              <w:rPr>
                <w:color w:val="000000"/>
                <w:sz w:val="14"/>
                <w:szCs w:val="14"/>
              </w:rPr>
              <w:t>0,00</w:t>
            </w:r>
          </w:p>
        </w:tc>
        <w:tc>
          <w:tcPr>
            <w:tcW w:w="428" w:type="dxa"/>
            <w:gridSpan w:val="2"/>
            <w:tcBorders>
              <w:top w:val="nil"/>
              <w:left w:val="nil"/>
              <w:bottom w:val="single" w:sz="4" w:space="0" w:color="auto"/>
              <w:right w:val="single" w:sz="4" w:space="0" w:color="auto"/>
            </w:tcBorders>
            <w:shd w:val="clear" w:color="auto" w:fill="auto"/>
            <w:tcMar>
              <w:left w:w="0" w:type="dxa"/>
              <w:right w:w="0" w:type="dxa"/>
            </w:tcMar>
            <w:vAlign w:val="center"/>
          </w:tcPr>
          <w:p w14:paraId="3824FD06" w14:textId="77777777" w:rsidR="00F22587" w:rsidRPr="000E5DBF" w:rsidRDefault="00F22587" w:rsidP="008A5C11">
            <w:pPr>
              <w:jc w:val="center"/>
              <w:rPr>
                <w:color w:val="000000"/>
                <w:sz w:val="14"/>
                <w:szCs w:val="14"/>
              </w:rPr>
            </w:pPr>
            <w:r w:rsidRPr="000E5DBF">
              <w:rPr>
                <w:color w:val="000000"/>
                <w:sz w:val="14"/>
                <w:szCs w:val="14"/>
              </w:rPr>
              <w:t>0,00</w:t>
            </w:r>
          </w:p>
        </w:tc>
      </w:tr>
      <w:tr w:rsidR="00F22587" w:rsidRPr="000E5DBF" w14:paraId="3B0DFBE9" w14:textId="77777777" w:rsidTr="008A5C11">
        <w:trPr>
          <w:gridAfter w:val="1"/>
          <w:wAfter w:w="11" w:type="dxa"/>
          <w:cantSplit/>
          <w:trHeight w:val="247"/>
        </w:trPr>
        <w:tc>
          <w:tcPr>
            <w:tcW w:w="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20EFB006" w14:textId="77777777" w:rsidR="00F22587" w:rsidRPr="000E5DBF" w:rsidRDefault="00F22587" w:rsidP="008A5C11">
            <w:pPr>
              <w:jc w:val="center"/>
              <w:rPr>
                <w:color w:val="000000"/>
                <w:sz w:val="14"/>
                <w:szCs w:val="14"/>
              </w:rPr>
            </w:pPr>
            <w:r w:rsidRPr="000E5DBF">
              <w:rPr>
                <w:color w:val="000000"/>
                <w:sz w:val="14"/>
                <w:szCs w:val="14"/>
              </w:rPr>
              <w:t>4.3.</w:t>
            </w:r>
          </w:p>
        </w:tc>
        <w:tc>
          <w:tcPr>
            <w:tcW w:w="144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640A156" w14:textId="77777777" w:rsidR="00F22587" w:rsidRPr="000E5DBF" w:rsidRDefault="00F22587" w:rsidP="008A5C11">
            <w:pPr>
              <w:jc w:val="center"/>
              <w:rPr>
                <w:color w:val="000000"/>
                <w:sz w:val="14"/>
                <w:szCs w:val="14"/>
              </w:rPr>
            </w:pPr>
            <w:r w:rsidRPr="000E5DBF">
              <w:rPr>
                <w:color w:val="000000"/>
                <w:sz w:val="14"/>
                <w:szCs w:val="14"/>
              </w:rPr>
              <w:t>Замена паропровода, конденсатопровода и замену водопроводов технической и водооборотной воды на бойлерные №1,2</w:t>
            </w:r>
          </w:p>
        </w:tc>
        <w:tc>
          <w:tcPr>
            <w:tcW w:w="980"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87A1AD7" w14:textId="77777777" w:rsidR="00F22587" w:rsidRPr="000E5DBF" w:rsidRDefault="00F22587" w:rsidP="008A5C11">
            <w:pPr>
              <w:jc w:val="center"/>
              <w:rPr>
                <w:color w:val="000000"/>
                <w:sz w:val="14"/>
                <w:szCs w:val="14"/>
              </w:rPr>
            </w:pPr>
            <w:r w:rsidRPr="000E5DBF">
              <w:rPr>
                <w:color w:val="000000"/>
                <w:sz w:val="14"/>
                <w:szCs w:val="14"/>
              </w:rPr>
              <w:t>Обеспечение надежности тепло- водоснабжения</w:t>
            </w:r>
          </w:p>
        </w:tc>
        <w:tc>
          <w:tcPr>
            <w:tcW w:w="1002"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F645F3B" w14:textId="77777777" w:rsidR="00F22587" w:rsidRPr="000E5DBF" w:rsidRDefault="00F22587" w:rsidP="008A5C11">
            <w:pPr>
              <w:jc w:val="center"/>
              <w:rPr>
                <w:color w:val="000000"/>
                <w:sz w:val="14"/>
                <w:szCs w:val="14"/>
              </w:rPr>
            </w:pPr>
            <w:r w:rsidRPr="000E5DBF">
              <w:rPr>
                <w:color w:val="000000"/>
                <w:sz w:val="14"/>
                <w:szCs w:val="14"/>
              </w:rPr>
              <w:t xml:space="preserve">ул. Кирова, 8 </w:t>
            </w:r>
          </w:p>
        </w:tc>
        <w:tc>
          <w:tcPr>
            <w:tcW w:w="1000"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8A62BF4" w14:textId="77777777" w:rsidR="00F22587" w:rsidRPr="000E5DBF" w:rsidRDefault="00F22587" w:rsidP="008A5C11">
            <w:pPr>
              <w:jc w:val="center"/>
              <w:rPr>
                <w:color w:val="000000"/>
                <w:sz w:val="14"/>
                <w:szCs w:val="14"/>
              </w:rPr>
            </w:pPr>
            <w:r w:rsidRPr="000E5DBF">
              <w:rPr>
                <w:color w:val="000000"/>
                <w:sz w:val="14"/>
                <w:szCs w:val="14"/>
              </w:rPr>
              <w:t>протяженность</w:t>
            </w:r>
          </w:p>
        </w:tc>
        <w:tc>
          <w:tcPr>
            <w:tcW w:w="429"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9F12175" w14:textId="77777777" w:rsidR="00F22587" w:rsidRPr="000E5DBF" w:rsidRDefault="00F22587" w:rsidP="008A5C11">
            <w:pPr>
              <w:jc w:val="center"/>
              <w:rPr>
                <w:color w:val="000000"/>
                <w:sz w:val="14"/>
                <w:szCs w:val="14"/>
              </w:rPr>
            </w:pPr>
            <w:r w:rsidRPr="000E5DBF">
              <w:rPr>
                <w:color w:val="000000"/>
                <w:sz w:val="14"/>
                <w:szCs w:val="14"/>
              </w:rPr>
              <w:t>м</w:t>
            </w:r>
          </w:p>
        </w:tc>
        <w:tc>
          <w:tcPr>
            <w:tcW w:w="719"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29D5BF9" w14:textId="77777777" w:rsidR="00F22587" w:rsidRPr="000E5DBF" w:rsidRDefault="00F22587" w:rsidP="008A5C11">
            <w:pPr>
              <w:jc w:val="center"/>
              <w:rPr>
                <w:color w:val="000000"/>
                <w:sz w:val="14"/>
                <w:szCs w:val="14"/>
              </w:rPr>
            </w:pPr>
            <w:r w:rsidRPr="000E5DBF">
              <w:rPr>
                <w:color w:val="000000"/>
                <w:sz w:val="14"/>
                <w:szCs w:val="14"/>
              </w:rPr>
              <w:t>137</w:t>
            </w:r>
          </w:p>
        </w:tc>
        <w:tc>
          <w:tcPr>
            <w:tcW w:w="723"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9DE2A76" w14:textId="77777777" w:rsidR="00F22587" w:rsidRPr="000E5DBF" w:rsidRDefault="00F22587" w:rsidP="008A5C11">
            <w:pPr>
              <w:jc w:val="center"/>
              <w:rPr>
                <w:color w:val="000000"/>
                <w:sz w:val="14"/>
                <w:szCs w:val="14"/>
              </w:rPr>
            </w:pPr>
            <w:r w:rsidRPr="000E5DBF">
              <w:rPr>
                <w:color w:val="000000"/>
                <w:sz w:val="14"/>
                <w:szCs w:val="14"/>
              </w:rPr>
              <w:t>130</w:t>
            </w:r>
          </w:p>
        </w:tc>
        <w:tc>
          <w:tcPr>
            <w:tcW w:w="428" w:type="dxa"/>
            <w:gridSpan w:val="2"/>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B0FC3E3" w14:textId="77777777" w:rsidR="00F22587" w:rsidRPr="000E5DBF" w:rsidRDefault="00F22587" w:rsidP="008A5C11">
            <w:pPr>
              <w:jc w:val="center"/>
              <w:rPr>
                <w:color w:val="000000"/>
                <w:sz w:val="14"/>
                <w:szCs w:val="14"/>
              </w:rPr>
            </w:pPr>
            <w:r w:rsidRPr="000E5DBF">
              <w:rPr>
                <w:color w:val="000000"/>
                <w:sz w:val="14"/>
                <w:szCs w:val="14"/>
              </w:rPr>
              <w:t>2020</w:t>
            </w:r>
          </w:p>
        </w:tc>
        <w:tc>
          <w:tcPr>
            <w:tcW w:w="416"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6DABF32" w14:textId="77777777" w:rsidR="00F22587" w:rsidRPr="000E5DBF" w:rsidRDefault="00F22587" w:rsidP="008A5C11">
            <w:pPr>
              <w:jc w:val="center"/>
              <w:rPr>
                <w:color w:val="000000"/>
                <w:sz w:val="14"/>
                <w:szCs w:val="14"/>
              </w:rPr>
            </w:pPr>
            <w:r w:rsidRPr="000E5DBF">
              <w:rPr>
                <w:color w:val="000000"/>
                <w:sz w:val="14"/>
                <w:szCs w:val="14"/>
              </w:rPr>
              <w:t>2022</w:t>
            </w:r>
          </w:p>
        </w:tc>
        <w:tc>
          <w:tcPr>
            <w:tcW w:w="573"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0E5B1F1" w14:textId="77777777" w:rsidR="00F22587" w:rsidRPr="000E5DBF" w:rsidRDefault="00F22587" w:rsidP="008A5C11">
            <w:pPr>
              <w:jc w:val="center"/>
              <w:rPr>
                <w:color w:val="000000"/>
                <w:sz w:val="14"/>
                <w:szCs w:val="14"/>
              </w:rPr>
            </w:pPr>
            <w:r w:rsidRPr="000E5DBF">
              <w:rPr>
                <w:color w:val="000000"/>
                <w:sz w:val="14"/>
                <w:szCs w:val="14"/>
              </w:rPr>
              <w:t>18853,20</w:t>
            </w:r>
          </w:p>
        </w:tc>
        <w:tc>
          <w:tcPr>
            <w:tcW w:w="447" w:type="dxa"/>
            <w:gridSpan w:val="2"/>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6E816B0" w14:textId="77777777" w:rsidR="00F22587" w:rsidRPr="000E5DBF" w:rsidRDefault="00F22587" w:rsidP="008A5C11">
            <w:pPr>
              <w:jc w:val="center"/>
              <w:rPr>
                <w:color w:val="000000"/>
                <w:sz w:val="14"/>
                <w:szCs w:val="14"/>
              </w:rPr>
            </w:pPr>
            <w:r w:rsidRPr="000E5DBF">
              <w:rPr>
                <w:color w:val="000000"/>
                <w:sz w:val="14"/>
                <w:szCs w:val="14"/>
              </w:rPr>
              <w:t>0,00</w:t>
            </w:r>
          </w:p>
        </w:tc>
        <w:tc>
          <w:tcPr>
            <w:tcW w:w="559"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0BB10E5" w14:textId="77777777" w:rsidR="00F22587" w:rsidRPr="000E5DBF" w:rsidRDefault="00F22587" w:rsidP="008A5C11">
            <w:pPr>
              <w:jc w:val="center"/>
              <w:rPr>
                <w:color w:val="000000"/>
                <w:sz w:val="14"/>
                <w:szCs w:val="14"/>
              </w:rPr>
            </w:pPr>
            <w:r w:rsidRPr="000E5DBF">
              <w:rPr>
                <w:color w:val="000000"/>
                <w:sz w:val="14"/>
                <w:szCs w:val="14"/>
              </w:rPr>
              <w:t>0,00</w:t>
            </w:r>
          </w:p>
        </w:tc>
        <w:tc>
          <w:tcPr>
            <w:tcW w:w="572"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383CD95" w14:textId="77777777" w:rsidR="00F22587" w:rsidRPr="000E5DBF" w:rsidRDefault="00F22587" w:rsidP="008A5C11">
            <w:pPr>
              <w:jc w:val="center"/>
              <w:rPr>
                <w:color w:val="000000"/>
                <w:sz w:val="14"/>
                <w:szCs w:val="14"/>
              </w:rPr>
            </w:pPr>
            <w:r w:rsidRPr="000E5DBF">
              <w:rPr>
                <w:color w:val="000000"/>
                <w:sz w:val="14"/>
                <w:szCs w:val="14"/>
              </w:rPr>
              <w:t>4056,00</w:t>
            </w:r>
          </w:p>
        </w:tc>
        <w:tc>
          <w:tcPr>
            <w:tcW w:w="572"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272D204" w14:textId="77777777" w:rsidR="00F22587" w:rsidRPr="000E5DBF" w:rsidRDefault="00F22587" w:rsidP="008A5C11">
            <w:pPr>
              <w:jc w:val="center"/>
              <w:rPr>
                <w:color w:val="000000"/>
                <w:sz w:val="14"/>
                <w:szCs w:val="14"/>
              </w:rPr>
            </w:pPr>
            <w:r w:rsidRPr="000E5DBF">
              <w:rPr>
                <w:color w:val="000000"/>
                <w:sz w:val="14"/>
                <w:szCs w:val="14"/>
              </w:rPr>
              <w:t>7459,20</w:t>
            </w:r>
          </w:p>
        </w:tc>
        <w:tc>
          <w:tcPr>
            <w:tcW w:w="566"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9EFAF82" w14:textId="77777777" w:rsidR="00F22587" w:rsidRPr="000E5DBF" w:rsidRDefault="00F22587" w:rsidP="008A5C11">
            <w:pPr>
              <w:jc w:val="center"/>
              <w:rPr>
                <w:color w:val="000000"/>
                <w:sz w:val="14"/>
                <w:szCs w:val="14"/>
              </w:rPr>
            </w:pPr>
            <w:r w:rsidRPr="000E5DBF">
              <w:rPr>
                <w:color w:val="000000"/>
                <w:sz w:val="14"/>
                <w:szCs w:val="14"/>
              </w:rPr>
              <w:t>7338,00</w:t>
            </w:r>
          </w:p>
        </w:tc>
        <w:tc>
          <w:tcPr>
            <w:tcW w:w="56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B2CCFB6" w14:textId="77777777" w:rsidR="00F22587" w:rsidRPr="000E5DBF" w:rsidRDefault="00F22587" w:rsidP="008A5C11">
            <w:pPr>
              <w:jc w:val="center"/>
              <w:rPr>
                <w:color w:val="000000"/>
                <w:sz w:val="14"/>
                <w:szCs w:val="14"/>
              </w:rPr>
            </w:pPr>
            <w:r w:rsidRPr="000E5DBF">
              <w:rPr>
                <w:color w:val="000000"/>
                <w:sz w:val="14"/>
                <w:szCs w:val="14"/>
              </w:rPr>
              <w:t>0,00</w:t>
            </w:r>
          </w:p>
        </w:tc>
        <w:tc>
          <w:tcPr>
            <w:tcW w:w="574"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1296FE1" w14:textId="77777777" w:rsidR="00F22587" w:rsidRPr="000E5DBF" w:rsidRDefault="00F22587" w:rsidP="008A5C11">
            <w:pPr>
              <w:jc w:val="center"/>
              <w:rPr>
                <w:color w:val="000000"/>
                <w:sz w:val="14"/>
                <w:szCs w:val="14"/>
              </w:rPr>
            </w:pPr>
            <w:r w:rsidRPr="000E5DBF">
              <w:rPr>
                <w:color w:val="000000"/>
                <w:sz w:val="14"/>
                <w:szCs w:val="14"/>
              </w:rPr>
              <w:t>0,00</w:t>
            </w:r>
          </w:p>
        </w:tc>
        <w:tc>
          <w:tcPr>
            <w:tcW w:w="572" w:type="dxa"/>
            <w:gridSpan w:val="2"/>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DB5E0D5" w14:textId="77777777" w:rsidR="00F22587" w:rsidRPr="000E5DBF" w:rsidRDefault="00F22587" w:rsidP="008A5C11">
            <w:pPr>
              <w:jc w:val="center"/>
              <w:rPr>
                <w:color w:val="000000"/>
                <w:sz w:val="14"/>
                <w:szCs w:val="14"/>
              </w:rPr>
            </w:pPr>
            <w:r w:rsidRPr="000E5DBF">
              <w:rPr>
                <w:color w:val="000000"/>
                <w:sz w:val="14"/>
                <w:szCs w:val="14"/>
              </w:rPr>
              <w:t>0,00</w:t>
            </w:r>
          </w:p>
        </w:tc>
        <w:tc>
          <w:tcPr>
            <w:tcW w:w="570" w:type="dxa"/>
            <w:tcBorders>
              <w:top w:val="single" w:sz="4" w:space="0" w:color="auto"/>
              <w:left w:val="nil"/>
              <w:bottom w:val="single" w:sz="4" w:space="0" w:color="auto"/>
              <w:right w:val="single" w:sz="4" w:space="0" w:color="auto"/>
            </w:tcBorders>
            <w:shd w:val="clear" w:color="000000" w:fill="FFFFFF"/>
            <w:tcMar>
              <w:left w:w="0" w:type="dxa"/>
              <w:right w:w="0" w:type="dxa"/>
            </w:tcMar>
            <w:vAlign w:val="center"/>
          </w:tcPr>
          <w:p w14:paraId="657F19E7" w14:textId="77777777" w:rsidR="00F22587" w:rsidRPr="000E5DBF" w:rsidRDefault="00F22587" w:rsidP="008A5C11">
            <w:pPr>
              <w:jc w:val="center"/>
              <w:rPr>
                <w:color w:val="000000"/>
                <w:sz w:val="14"/>
                <w:szCs w:val="14"/>
              </w:rPr>
            </w:pPr>
            <w:r w:rsidRPr="000E5DBF">
              <w:rPr>
                <w:color w:val="000000"/>
                <w:sz w:val="14"/>
                <w:szCs w:val="14"/>
              </w:rPr>
              <w:t>0,00</w:t>
            </w:r>
          </w:p>
        </w:tc>
        <w:tc>
          <w:tcPr>
            <w:tcW w:w="572"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8119A8B" w14:textId="77777777" w:rsidR="00F22587" w:rsidRPr="000E5DBF" w:rsidRDefault="00F22587" w:rsidP="008A5C11">
            <w:pPr>
              <w:jc w:val="center"/>
              <w:rPr>
                <w:color w:val="000000"/>
                <w:sz w:val="14"/>
                <w:szCs w:val="14"/>
              </w:rPr>
            </w:pPr>
            <w:r w:rsidRPr="000E5DBF">
              <w:rPr>
                <w:color w:val="000000"/>
                <w:sz w:val="14"/>
                <w:szCs w:val="14"/>
              </w:rPr>
              <w:t>0,00</w:t>
            </w:r>
          </w:p>
        </w:tc>
        <w:tc>
          <w:tcPr>
            <w:tcW w:w="573"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662A85A" w14:textId="77777777" w:rsidR="00F22587" w:rsidRPr="000E5DBF" w:rsidRDefault="00F22587" w:rsidP="008A5C11">
            <w:pPr>
              <w:jc w:val="center"/>
              <w:rPr>
                <w:color w:val="000000"/>
                <w:sz w:val="14"/>
                <w:szCs w:val="14"/>
              </w:rPr>
            </w:pPr>
            <w:r w:rsidRPr="000E5DBF">
              <w:rPr>
                <w:color w:val="000000"/>
                <w:sz w:val="14"/>
                <w:szCs w:val="14"/>
              </w:rPr>
              <w:t>0,00</w:t>
            </w:r>
          </w:p>
        </w:tc>
        <w:tc>
          <w:tcPr>
            <w:tcW w:w="574"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1E16715" w14:textId="77777777" w:rsidR="00F22587" w:rsidRPr="000E5DBF" w:rsidRDefault="00F22587" w:rsidP="008A5C11">
            <w:pPr>
              <w:jc w:val="center"/>
              <w:rPr>
                <w:color w:val="000000"/>
                <w:sz w:val="14"/>
                <w:szCs w:val="14"/>
              </w:rPr>
            </w:pPr>
            <w:r w:rsidRPr="000E5DBF">
              <w:rPr>
                <w:color w:val="000000"/>
                <w:sz w:val="14"/>
                <w:szCs w:val="14"/>
              </w:rPr>
              <w:t>0,00</w:t>
            </w:r>
          </w:p>
        </w:tc>
        <w:tc>
          <w:tcPr>
            <w:tcW w:w="56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F3C30B3" w14:textId="77777777" w:rsidR="00F22587" w:rsidRPr="000E5DBF" w:rsidRDefault="00F22587" w:rsidP="008A5C11">
            <w:pPr>
              <w:jc w:val="center"/>
              <w:rPr>
                <w:color w:val="000000"/>
                <w:sz w:val="14"/>
                <w:szCs w:val="14"/>
              </w:rPr>
            </w:pPr>
            <w:r w:rsidRPr="000E5DBF">
              <w:rPr>
                <w:color w:val="000000"/>
                <w:sz w:val="14"/>
                <w:szCs w:val="14"/>
              </w:rPr>
              <w:t>0,00</w:t>
            </w:r>
          </w:p>
        </w:tc>
        <w:tc>
          <w:tcPr>
            <w:tcW w:w="292"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32512FB" w14:textId="77777777" w:rsidR="00F22587" w:rsidRPr="000E5DBF" w:rsidRDefault="00F22587" w:rsidP="008A5C11">
            <w:pPr>
              <w:jc w:val="center"/>
              <w:rPr>
                <w:color w:val="000000"/>
                <w:sz w:val="14"/>
                <w:szCs w:val="14"/>
              </w:rPr>
            </w:pPr>
            <w:r w:rsidRPr="000E5DBF">
              <w:rPr>
                <w:color w:val="000000"/>
                <w:sz w:val="14"/>
                <w:szCs w:val="14"/>
              </w:rPr>
              <w:t>0,00</w:t>
            </w:r>
          </w:p>
        </w:tc>
        <w:tc>
          <w:tcPr>
            <w:tcW w:w="428" w:type="dxa"/>
            <w:gridSpan w:val="2"/>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055EA65" w14:textId="77777777" w:rsidR="00F22587" w:rsidRPr="000E5DBF" w:rsidRDefault="00F22587" w:rsidP="008A5C11">
            <w:pPr>
              <w:jc w:val="center"/>
              <w:rPr>
                <w:color w:val="000000"/>
                <w:sz w:val="14"/>
                <w:szCs w:val="14"/>
              </w:rPr>
            </w:pPr>
            <w:r w:rsidRPr="000E5DBF">
              <w:rPr>
                <w:color w:val="000000"/>
                <w:sz w:val="14"/>
                <w:szCs w:val="14"/>
              </w:rPr>
              <w:t>0,00</w:t>
            </w:r>
          </w:p>
        </w:tc>
      </w:tr>
      <w:tr w:rsidR="00F22587" w:rsidRPr="000E5DBF" w14:paraId="19FF02E6" w14:textId="77777777" w:rsidTr="008A5C11">
        <w:trPr>
          <w:gridAfter w:val="1"/>
          <w:wAfter w:w="11" w:type="dxa"/>
          <w:cantSplit/>
          <w:trHeight w:val="683"/>
        </w:trPr>
        <w:tc>
          <w:tcPr>
            <w:tcW w:w="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285F49C" w14:textId="77777777" w:rsidR="00F22587" w:rsidRPr="000E5DBF" w:rsidRDefault="00F22587" w:rsidP="008A5C11">
            <w:pPr>
              <w:jc w:val="center"/>
              <w:rPr>
                <w:color w:val="000000"/>
                <w:sz w:val="14"/>
                <w:szCs w:val="14"/>
              </w:rPr>
            </w:pPr>
            <w:r w:rsidRPr="000E5DBF">
              <w:rPr>
                <w:color w:val="000000"/>
                <w:sz w:val="14"/>
                <w:szCs w:val="14"/>
              </w:rPr>
              <w:t>4.4.</w:t>
            </w:r>
          </w:p>
        </w:tc>
        <w:tc>
          <w:tcPr>
            <w:tcW w:w="144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805CBC8" w14:textId="77777777" w:rsidR="00F22587" w:rsidRPr="000E5DBF" w:rsidRDefault="00F22587" w:rsidP="008A5C11">
            <w:pPr>
              <w:jc w:val="center"/>
              <w:rPr>
                <w:color w:val="000000"/>
                <w:sz w:val="14"/>
                <w:szCs w:val="14"/>
              </w:rPr>
            </w:pPr>
            <w:r w:rsidRPr="000E5DBF">
              <w:rPr>
                <w:color w:val="000000"/>
                <w:sz w:val="14"/>
                <w:szCs w:val="14"/>
              </w:rPr>
              <w:t>Техническое перевооружение паропровода, конденсатопровода и технической воды на бойлерную № 3</w:t>
            </w:r>
          </w:p>
        </w:tc>
        <w:tc>
          <w:tcPr>
            <w:tcW w:w="980"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1677997" w14:textId="77777777" w:rsidR="00F22587" w:rsidRPr="000E5DBF" w:rsidRDefault="00F22587" w:rsidP="008A5C11">
            <w:pPr>
              <w:jc w:val="center"/>
              <w:rPr>
                <w:color w:val="000000"/>
                <w:sz w:val="14"/>
                <w:szCs w:val="14"/>
              </w:rPr>
            </w:pPr>
            <w:r w:rsidRPr="000E5DBF">
              <w:rPr>
                <w:color w:val="000000"/>
                <w:sz w:val="14"/>
                <w:szCs w:val="14"/>
              </w:rPr>
              <w:t>Обеспечение надежности тепло- водоснабжения</w:t>
            </w:r>
          </w:p>
        </w:tc>
        <w:tc>
          <w:tcPr>
            <w:tcW w:w="1002"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9B09010" w14:textId="77777777" w:rsidR="00F22587" w:rsidRPr="000E5DBF" w:rsidRDefault="00F22587" w:rsidP="008A5C11">
            <w:pPr>
              <w:jc w:val="center"/>
              <w:rPr>
                <w:color w:val="000000"/>
                <w:sz w:val="14"/>
                <w:szCs w:val="14"/>
              </w:rPr>
            </w:pPr>
            <w:r w:rsidRPr="000E5DBF">
              <w:rPr>
                <w:color w:val="000000"/>
                <w:sz w:val="14"/>
                <w:szCs w:val="14"/>
              </w:rPr>
              <w:t>ул. К. Маркса, 16</w:t>
            </w:r>
          </w:p>
        </w:tc>
        <w:tc>
          <w:tcPr>
            <w:tcW w:w="1000"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5939977" w14:textId="77777777" w:rsidR="00F22587" w:rsidRPr="000E5DBF" w:rsidRDefault="00F22587" w:rsidP="008A5C11">
            <w:pPr>
              <w:jc w:val="center"/>
              <w:rPr>
                <w:color w:val="000000"/>
                <w:sz w:val="14"/>
                <w:szCs w:val="14"/>
              </w:rPr>
            </w:pPr>
            <w:r w:rsidRPr="000E5DBF">
              <w:rPr>
                <w:color w:val="000000"/>
                <w:sz w:val="14"/>
                <w:szCs w:val="14"/>
              </w:rPr>
              <w:t>средний диаметр</w:t>
            </w:r>
          </w:p>
        </w:tc>
        <w:tc>
          <w:tcPr>
            <w:tcW w:w="429"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A735A65" w14:textId="77777777" w:rsidR="00F22587" w:rsidRPr="000E5DBF" w:rsidRDefault="00F22587" w:rsidP="008A5C11">
            <w:pPr>
              <w:jc w:val="center"/>
              <w:rPr>
                <w:color w:val="000000"/>
                <w:sz w:val="14"/>
                <w:szCs w:val="14"/>
              </w:rPr>
            </w:pPr>
            <w:r w:rsidRPr="000E5DBF">
              <w:rPr>
                <w:color w:val="000000"/>
                <w:sz w:val="14"/>
                <w:szCs w:val="14"/>
              </w:rPr>
              <w:t>мм</w:t>
            </w:r>
          </w:p>
        </w:tc>
        <w:tc>
          <w:tcPr>
            <w:tcW w:w="719"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65FD1AB" w14:textId="77777777" w:rsidR="00F22587" w:rsidRPr="000E5DBF" w:rsidRDefault="00F22587" w:rsidP="008A5C11">
            <w:pPr>
              <w:jc w:val="center"/>
              <w:rPr>
                <w:color w:val="000000"/>
                <w:sz w:val="14"/>
                <w:szCs w:val="14"/>
              </w:rPr>
            </w:pPr>
            <w:r w:rsidRPr="000E5DBF">
              <w:rPr>
                <w:color w:val="000000"/>
                <w:sz w:val="14"/>
                <w:szCs w:val="14"/>
              </w:rPr>
              <w:t>184</w:t>
            </w:r>
          </w:p>
        </w:tc>
        <w:tc>
          <w:tcPr>
            <w:tcW w:w="723"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4FB8C6E" w14:textId="77777777" w:rsidR="00F22587" w:rsidRPr="000E5DBF" w:rsidRDefault="00F22587" w:rsidP="008A5C11">
            <w:pPr>
              <w:jc w:val="center"/>
              <w:rPr>
                <w:color w:val="000000"/>
                <w:sz w:val="14"/>
                <w:szCs w:val="14"/>
              </w:rPr>
            </w:pPr>
            <w:r w:rsidRPr="000E5DBF">
              <w:rPr>
                <w:color w:val="000000"/>
                <w:sz w:val="14"/>
                <w:szCs w:val="14"/>
              </w:rPr>
              <w:t>164</w:t>
            </w:r>
          </w:p>
        </w:tc>
        <w:tc>
          <w:tcPr>
            <w:tcW w:w="428" w:type="dxa"/>
            <w:gridSpan w:val="2"/>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146FC60" w14:textId="77777777" w:rsidR="00F22587" w:rsidRPr="000E5DBF" w:rsidRDefault="00F22587" w:rsidP="008A5C11">
            <w:pPr>
              <w:jc w:val="center"/>
              <w:rPr>
                <w:color w:val="000000"/>
                <w:sz w:val="14"/>
                <w:szCs w:val="14"/>
              </w:rPr>
            </w:pPr>
            <w:r w:rsidRPr="000E5DBF">
              <w:rPr>
                <w:color w:val="000000"/>
                <w:sz w:val="14"/>
                <w:szCs w:val="14"/>
              </w:rPr>
              <w:t>2023</w:t>
            </w:r>
          </w:p>
        </w:tc>
        <w:tc>
          <w:tcPr>
            <w:tcW w:w="416"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B4CD35A" w14:textId="77777777" w:rsidR="00F22587" w:rsidRPr="000E5DBF" w:rsidRDefault="00F22587" w:rsidP="008A5C11">
            <w:pPr>
              <w:jc w:val="center"/>
              <w:rPr>
                <w:color w:val="000000"/>
                <w:sz w:val="14"/>
                <w:szCs w:val="14"/>
              </w:rPr>
            </w:pPr>
            <w:r w:rsidRPr="000E5DBF">
              <w:rPr>
                <w:color w:val="000000"/>
                <w:sz w:val="14"/>
                <w:szCs w:val="14"/>
              </w:rPr>
              <w:t>2024</w:t>
            </w:r>
          </w:p>
        </w:tc>
        <w:tc>
          <w:tcPr>
            <w:tcW w:w="573"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D5513CA" w14:textId="77777777" w:rsidR="00F22587" w:rsidRPr="000E5DBF" w:rsidRDefault="00F22587" w:rsidP="008A5C11">
            <w:pPr>
              <w:jc w:val="center"/>
              <w:rPr>
                <w:color w:val="000000"/>
                <w:sz w:val="14"/>
                <w:szCs w:val="14"/>
              </w:rPr>
            </w:pPr>
            <w:r w:rsidRPr="000E5DBF">
              <w:rPr>
                <w:color w:val="000000"/>
                <w:sz w:val="14"/>
                <w:szCs w:val="14"/>
              </w:rPr>
              <w:t>9428,40</w:t>
            </w:r>
          </w:p>
        </w:tc>
        <w:tc>
          <w:tcPr>
            <w:tcW w:w="447" w:type="dxa"/>
            <w:gridSpan w:val="2"/>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3E4FC08" w14:textId="77777777" w:rsidR="00F22587" w:rsidRPr="000E5DBF" w:rsidRDefault="00F22587" w:rsidP="008A5C11">
            <w:pPr>
              <w:jc w:val="center"/>
              <w:rPr>
                <w:color w:val="000000"/>
                <w:sz w:val="14"/>
                <w:szCs w:val="14"/>
              </w:rPr>
            </w:pPr>
            <w:r w:rsidRPr="000E5DBF">
              <w:rPr>
                <w:color w:val="000000"/>
                <w:sz w:val="14"/>
                <w:szCs w:val="14"/>
              </w:rPr>
              <w:t>0,00</w:t>
            </w:r>
          </w:p>
        </w:tc>
        <w:tc>
          <w:tcPr>
            <w:tcW w:w="559"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2A59BF7" w14:textId="77777777" w:rsidR="00F22587" w:rsidRPr="000E5DBF" w:rsidRDefault="00F22587" w:rsidP="008A5C11">
            <w:pPr>
              <w:jc w:val="center"/>
              <w:rPr>
                <w:color w:val="000000"/>
                <w:sz w:val="14"/>
                <w:szCs w:val="14"/>
              </w:rPr>
            </w:pPr>
            <w:r w:rsidRPr="000E5DBF">
              <w:rPr>
                <w:color w:val="000000"/>
                <w:sz w:val="14"/>
                <w:szCs w:val="14"/>
              </w:rPr>
              <w:t>0,00</w:t>
            </w:r>
          </w:p>
        </w:tc>
        <w:tc>
          <w:tcPr>
            <w:tcW w:w="572"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65D437F" w14:textId="77777777" w:rsidR="00F22587" w:rsidRPr="000E5DBF" w:rsidRDefault="00F22587" w:rsidP="008A5C11">
            <w:pPr>
              <w:jc w:val="center"/>
              <w:rPr>
                <w:color w:val="000000"/>
                <w:sz w:val="14"/>
                <w:szCs w:val="14"/>
              </w:rPr>
            </w:pPr>
            <w:r w:rsidRPr="000E5DBF">
              <w:rPr>
                <w:color w:val="000000"/>
                <w:sz w:val="14"/>
                <w:szCs w:val="14"/>
              </w:rPr>
              <w:t>0,00</w:t>
            </w:r>
          </w:p>
        </w:tc>
        <w:tc>
          <w:tcPr>
            <w:tcW w:w="572"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2F34736" w14:textId="77777777" w:rsidR="00F22587" w:rsidRPr="000E5DBF" w:rsidRDefault="00F22587" w:rsidP="008A5C11">
            <w:pPr>
              <w:jc w:val="center"/>
              <w:rPr>
                <w:color w:val="000000"/>
                <w:sz w:val="14"/>
                <w:szCs w:val="14"/>
              </w:rPr>
            </w:pPr>
            <w:r w:rsidRPr="000E5DBF">
              <w:rPr>
                <w:color w:val="000000"/>
                <w:sz w:val="14"/>
                <w:szCs w:val="14"/>
              </w:rPr>
              <w:t>0,00</w:t>
            </w:r>
          </w:p>
        </w:tc>
        <w:tc>
          <w:tcPr>
            <w:tcW w:w="566"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9FFC7EB" w14:textId="77777777" w:rsidR="00F22587" w:rsidRPr="000E5DBF" w:rsidRDefault="00F22587" w:rsidP="008A5C11">
            <w:pPr>
              <w:jc w:val="center"/>
              <w:rPr>
                <w:color w:val="000000"/>
                <w:sz w:val="14"/>
                <w:szCs w:val="14"/>
              </w:rPr>
            </w:pPr>
            <w:r w:rsidRPr="000E5DBF">
              <w:rPr>
                <w:color w:val="000000"/>
                <w:sz w:val="14"/>
                <w:szCs w:val="14"/>
              </w:rPr>
              <w:t>0,00</w:t>
            </w:r>
          </w:p>
        </w:tc>
        <w:tc>
          <w:tcPr>
            <w:tcW w:w="56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4A57264" w14:textId="77777777" w:rsidR="00F22587" w:rsidRPr="000E5DBF" w:rsidRDefault="00F22587" w:rsidP="008A5C11">
            <w:pPr>
              <w:jc w:val="center"/>
              <w:rPr>
                <w:color w:val="000000"/>
                <w:sz w:val="14"/>
                <w:szCs w:val="14"/>
              </w:rPr>
            </w:pPr>
            <w:r w:rsidRPr="000E5DBF">
              <w:rPr>
                <w:color w:val="000000"/>
                <w:sz w:val="14"/>
                <w:szCs w:val="14"/>
              </w:rPr>
              <w:t>4230,00</w:t>
            </w:r>
          </w:p>
        </w:tc>
        <w:tc>
          <w:tcPr>
            <w:tcW w:w="574"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A222F03" w14:textId="77777777" w:rsidR="00F22587" w:rsidRPr="000E5DBF" w:rsidRDefault="00F22587" w:rsidP="008A5C11">
            <w:pPr>
              <w:jc w:val="center"/>
              <w:rPr>
                <w:color w:val="000000"/>
                <w:sz w:val="14"/>
                <w:szCs w:val="14"/>
              </w:rPr>
            </w:pPr>
            <w:r w:rsidRPr="000E5DBF">
              <w:rPr>
                <w:color w:val="000000"/>
                <w:sz w:val="14"/>
                <w:szCs w:val="14"/>
              </w:rPr>
              <w:t>5198,40</w:t>
            </w:r>
          </w:p>
        </w:tc>
        <w:tc>
          <w:tcPr>
            <w:tcW w:w="572" w:type="dxa"/>
            <w:gridSpan w:val="2"/>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C7240E9" w14:textId="77777777" w:rsidR="00F22587" w:rsidRPr="000E5DBF" w:rsidRDefault="00F22587" w:rsidP="008A5C11">
            <w:pPr>
              <w:jc w:val="center"/>
              <w:rPr>
                <w:color w:val="000000"/>
                <w:sz w:val="14"/>
                <w:szCs w:val="14"/>
              </w:rPr>
            </w:pPr>
            <w:r w:rsidRPr="000E5DBF">
              <w:rPr>
                <w:color w:val="000000"/>
                <w:sz w:val="14"/>
                <w:szCs w:val="14"/>
              </w:rPr>
              <w:t>0,00</w:t>
            </w:r>
          </w:p>
        </w:tc>
        <w:tc>
          <w:tcPr>
            <w:tcW w:w="570" w:type="dxa"/>
            <w:tcBorders>
              <w:top w:val="single" w:sz="4" w:space="0" w:color="auto"/>
              <w:left w:val="nil"/>
              <w:bottom w:val="single" w:sz="4" w:space="0" w:color="auto"/>
              <w:right w:val="single" w:sz="4" w:space="0" w:color="auto"/>
            </w:tcBorders>
            <w:shd w:val="clear" w:color="000000" w:fill="FFFFFF"/>
            <w:tcMar>
              <w:left w:w="0" w:type="dxa"/>
              <w:right w:w="0" w:type="dxa"/>
            </w:tcMar>
            <w:vAlign w:val="center"/>
          </w:tcPr>
          <w:p w14:paraId="3630F4AD" w14:textId="77777777" w:rsidR="00F22587" w:rsidRPr="000E5DBF" w:rsidRDefault="00F22587" w:rsidP="008A5C11">
            <w:pPr>
              <w:jc w:val="center"/>
              <w:rPr>
                <w:color w:val="000000"/>
                <w:sz w:val="14"/>
                <w:szCs w:val="14"/>
              </w:rPr>
            </w:pPr>
            <w:r w:rsidRPr="000E5DBF">
              <w:rPr>
                <w:color w:val="000000"/>
                <w:sz w:val="14"/>
                <w:szCs w:val="14"/>
              </w:rPr>
              <w:t>0,00</w:t>
            </w:r>
          </w:p>
        </w:tc>
        <w:tc>
          <w:tcPr>
            <w:tcW w:w="572"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F275603" w14:textId="77777777" w:rsidR="00F22587" w:rsidRPr="000E5DBF" w:rsidRDefault="00F22587" w:rsidP="008A5C11">
            <w:pPr>
              <w:jc w:val="center"/>
              <w:rPr>
                <w:color w:val="000000"/>
                <w:sz w:val="14"/>
                <w:szCs w:val="14"/>
              </w:rPr>
            </w:pPr>
            <w:r w:rsidRPr="000E5DBF">
              <w:rPr>
                <w:color w:val="000000"/>
                <w:sz w:val="14"/>
                <w:szCs w:val="14"/>
              </w:rPr>
              <w:t>0,00</w:t>
            </w:r>
          </w:p>
        </w:tc>
        <w:tc>
          <w:tcPr>
            <w:tcW w:w="573"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31B574D" w14:textId="77777777" w:rsidR="00F22587" w:rsidRPr="000E5DBF" w:rsidRDefault="00F22587" w:rsidP="008A5C11">
            <w:pPr>
              <w:jc w:val="center"/>
              <w:rPr>
                <w:color w:val="000000"/>
                <w:sz w:val="14"/>
                <w:szCs w:val="14"/>
              </w:rPr>
            </w:pPr>
            <w:r w:rsidRPr="000E5DBF">
              <w:rPr>
                <w:color w:val="000000"/>
                <w:sz w:val="14"/>
                <w:szCs w:val="14"/>
              </w:rPr>
              <w:t>0,00</w:t>
            </w:r>
          </w:p>
        </w:tc>
        <w:tc>
          <w:tcPr>
            <w:tcW w:w="574"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AF1173C" w14:textId="77777777" w:rsidR="00F22587" w:rsidRPr="000E5DBF" w:rsidRDefault="00F22587" w:rsidP="008A5C11">
            <w:pPr>
              <w:jc w:val="center"/>
              <w:rPr>
                <w:color w:val="000000"/>
                <w:sz w:val="14"/>
                <w:szCs w:val="14"/>
              </w:rPr>
            </w:pPr>
            <w:r w:rsidRPr="000E5DBF">
              <w:rPr>
                <w:color w:val="000000"/>
                <w:sz w:val="14"/>
                <w:szCs w:val="14"/>
              </w:rPr>
              <w:t>0,00</w:t>
            </w:r>
          </w:p>
        </w:tc>
        <w:tc>
          <w:tcPr>
            <w:tcW w:w="56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E155927" w14:textId="77777777" w:rsidR="00F22587" w:rsidRPr="000E5DBF" w:rsidRDefault="00F22587" w:rsidP="008A5C11">
            <w:pPr>
              <w:jc w:val="center"/>
              <w:rPr>
                <w:color w:val="000000"/>
                <w:sz w:val="14"/>
                <w:szCs w:val="14"/>
              </w:rPr>
            </w:pPr>
            <w:r w:rsidRPr="000E5DBF">
              <w:rPr>
                <w:color w:val="000000"/>
                <w:sz w:val="14"/>
                <w:szCs w:val="14"/>
              </w:rPr>
              <w:t>0,00</w:t>
            </w:r>
          </w:p>
        </w:tc>
        <w:tc>
          <w:tcPr>
            <w:tcW w:w="292"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409E67C" w14:textId="77777777" w:rsidR="00F22587" w:rsidRPr="000E5DBF" w:rsidRDefault="00F22587" w:rsidP="008A5C11">
            <w:pPr>
              <w:jc w:val="center"/>
              <w:rPr>
                <w:color w:val="000000"/>
                <w:sz w:val="14"/>
                <w:szCs w:val="14"/>
              </w:rPr>
            </w:pPr>
            <w:r w:rsidRPr="000E5DBF">
              <w:rPr>
                <w:color w:val="000000"/>
                <w:sz w:val="14"/>
                <w:szCs w:val="14"/>
              </w:rPr>
              <w:t>0,00</w:t>
            </w:r>
          </w:p>
        </w:tc>
        <w:tc>
          <w:tcPr>
            <w:tcW w:w="428" w:type="dxa"/>
            <w:gridSpan w:val="2"/>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ADC2186" w14:textId="77777777" w:rsidR="00F22587" w:rsidRPr="000E5DBF" w:rsidRDefault="00F22587" w:rsidP="008A5C11">
            <w:pPr>
              <w:jc w:val="center"/>
              <w:rPr>
                <w:color w:val="000000"/>
                <w:sz w:val="14"/>
                <w:szCs w:val="14"/>
              </w:rPr>
            </w:pPr>
            <w:r w:rsidRPr="000E5DBF">
              <w:rPr>
                <w:color w:val="000000"/>
                <w:sz w:val="14"/>
                <w:szCs w:val="14"/>
              </w:rPr>
              <w:t>0,00</w:t>
            </w:r>
          </w:p>
        </w:tc>
      </w:tr>
      <w:tr w:rsidR="00F22587" w:rsidRPr="000E5DBF" w14:paraId="5F4B6CC4" w14:textId="77777777" w:rsidTr="008A5C11">
        <w:trPr>
          <w:gridAfter w:val="1"/>
          <w:wAfter w:w="11" w:type="dxa"/>
          <w:cantSplit/>
          <w:trHeight w:val="507"/>
        </w:trPr>
        <w:tc>
          <w:tcPr>
            <w:tcW w:w="4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71EF6B6" w14:textId="77777777" w:rsidR="00F22587" w:rsidRPr="000E5DBF" w:rsidRDefault="00F22587" w:rsidP="008A5C11">
            <w:pPr>
              <w:jc w:val="center"/>
              <w:rPr>
                <w:color w:val="000000"/>
                <w:sz w:val="14"/>
                <w:szCs w:val="14"/>
              </w:rPr>
            </w:pPr>
            <w:r w:rsidRPr="000E5DBF">
              <w:rPr>
                <w:color w:val="000000"/>
                <w:sz w:val="14"/>
                <w:szCs w:val="14"/>
              </w:rPr>
              <w:t>4.5.</w:t>
            </w:r>
          </w:p>
        </w:tc>
        <w:tc>
          <w:tcPr>
            <w:tcW w:w="144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9EB970F" w14:textId="77777777" w:rsidR="00F22587" w:rsidRPr="000E5DBF" w:rsidRDefault="00F22587" w:rsidP="008A5C11">
            <w:pPr>
              <w:jc w:val="center"/>
              <w:rPr>
                <w:color w:val="000000"/>
                <w:sz w:val="14"/>
                <w:szCs w:val="14"/>
              </w:rPr>
            </w:pPr>
            <w:r w:rsidRPr="000E5DBF">
              <w:rPr>
                <w:color w:val="000000"/>
                <w:sz w:val="14"/>
                <w:szCs w:val="14"/>
              </w:rPr>
              <w:t>Замена теплообменного оборудования котельной Горновского района</w:t>
            </w:r>
          </w:p>
        </w:tc>
        <w:tc>
          <w:tcPr>
            <w:tcW w:w="980"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E0EE65A" w14:textId="77777777" w:rsidR="00F22587" w:rsidRPr="000E5DBF" w:rsidRDefault="00F22587" w:rsidP="008A5C11">
            <w:pPr>
              <w:jc w:val="center"/>
              <w:rPr>
                <w:color w:val="000000"/>
                <w:sz w:val="14"/>
                <w:szCs w:val="14"/>
              </w:rPr>
            </w:pPr>
            <w:r w:rsidRPr="000E5DBF">
              <w:rPr>
                <w:color w:val="000000"/>
                <w:sz w:val="14"/>
                <w:szCs w:val="14"/>
              </w:rPr>
              <w:t>Обеспечение надежности тепло-, водоснабжения</w:t>
            </w:r>
          </w:p>
        </w:tc>
        <w:tc>
          <w:tcPr>
            <w:tcW w:w="1002"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CA7E49C" w14:textId="77777777" w:rsidR="00F22587" w:rsidRPr="000E5DBF" w:rsidRDefault="00F22587" w:rsidP="008A5C11">
            <w:pPr>
              <w:jc w:val="center"/>
              <w:rPr>
                <w:color w:val="000000"/>
                <w:sz w:val="14"/>
                <w:szCs w:val="14"/>
              </w:rPr>
            </w:pPr>
            <w:r w:rsidRPr="000E5DBF">
              <w:rPr>
                <w:color w:val="000000"/>
                <w:sz w:val="14"/>
                <w:szCs w:val="14"/>
              </w:rPr>
              <w:t>ул. Вокзальная, 11а</w:t>
            </w:r>
          </w:p>
        </w:tc>
        <w:tc>
          <w:tcPr>
            <w:tcW w:w="1000"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FFA0D50" w14:textId="77777777" w:rsidR="00F22587" w:rsidRPr="000E5DBF" w:rsidRDefault="00F22587" w:rsidP="008A5C11">
            <w:pPr>
              <w:jc w:val="center"/>
              <w:rPr>
                <w:color w:val="000000"/>
                <w:sz w:val="14"/>
                <w:szCs w:val="14"/>
              </w:rPr>
            </w:pPr>
            <w:proofErr w:type="gramStart"/>
            <w:r w:rsidRPr="000E5DBF">
              <w:rPr>
                <w:color w:val="000000"/>
                <w:sz w:val="14"/>
                <w:szCs w:val="14"/>
              </w:rPr>
              <w:t>производитель-ность</w:t>
            </w:r>
            <w:proofErr w:type="gramEnd"/>
          </w:p>
        </w:tc>
        <w:tc>
          <w:tcPr>
            <w:tcW w:w="429"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6DD8B54" w14:textId="77777777" w:rsidR="00F22587" w:rsidRPr="000E5DBF" w:rsidRDefault="00F22587" w:rsidP="008A5C11">
            <w:pPr>
              <w:jc w:val="center"/>
              <w:rPr>
                <w:color w:val="000000"/>
                <w:sz w:val="14"/>
                <w:szCs w:val="14"/>
              </w:rPr>
            </w:pPr>
            <w:r w:rsidRPr="000E5DBF">
              <w:rPr>
                <w:color w:val="000000"/>
                <w:sz w:val="14"/>
                <w:szCs w:val="14"/>
              </w:rPr>
              <w:t>Гкал/ч</w:t>
            </w:r>
          </w:p>
        </w:tc>
        <w:tc>
          <w:tcPr>
            <w:tcW w:w="719"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C370A7B" w14:textId="77777777" w:rsidR="00F22587" w:rsidRPr="000E5DBF" w:rsidRDefault="00F22587" w:rsidP="008A5C11">
            <w:pPr>
              <w:jc w:val="center"/>
              <w:rPr>
                <w:color w:val="000000"/>
                <w:sz w:val="14"/>
                <w:szCs w:val="14"/>
              </w:rPr>
            </w:pPr>
            <w:r w:rsidRPr="000E5DBF">
              <w:rPr>
                <w:color w:val="000000"/>
                <w:sz w:val="14"/>
                <w:szCs w:val="14"/>
              </w:rPr>
              <w:t>2,2</w:t>
            </w:r>
          </w:p>
        </w:tc>
        <w:tc>
          <w:tcPr>
            <w:tcW w:w="723"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699D8FD" w14:textId="77777777" w:rsidR="00F22587" w:rsidRPr="000E5DBF" w:rsidRDefault="00F22587" w:rsidP="008A5C11">
            <w:pPr>
              <w:jc w:val="center"/>
              <w:rPr>
                <w:color w:val="000000"/>
                <w:sz w:val="14"/>
                <w:szCs w:val="14"/>
              </w:rPr>
            </w:pPr>
            <w:r w:rsidRPr="000E5DBF">
              <w:rPr>
                <w:color w:val="000000"/>
                <w:sz w:val="14"/>
                <w:szCs w:val="14"/>
              </w:rPr>
              <w:t>4</w:t>
            </w:r>
          </w:p>
        </w:tc>
        <w:tc>
          <w:tcPr>
            <w:tcW w:w="428" w:type="dxa"/>
            <w:gridSpan w:val="2"/>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726469D" w14:textId="77777777" w:rsidR="00F22587" w:rsidRPr="000E5DBF" w:rsidRDefault="00F22587" w:rsidP="008A5C11">
            <w:pPr>
              <w:jc w:val="center"/>
              <w:rPr>
                <w:color w:val="000000"/>
                <w:sz w:val="14"/>
                <w:szCs w:val="14"/>
              </w:rPr>
            </w:pPr>
            <w:r w:rsidRPr="000E5DBF">
              <w:rPr>
                <w:color w:val="000000"/>
                <w:sz w:val="14"/>
                <w:szCs w:val="14"/>
              </w:rPr>
              <w:t>2020</w:t>
            </w:r>
          </w:p>
        </w:tc>
        <w:tc>
          <w:tcPr>
            <w:tcW w:w="416"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26FD3AB" w14:textId="77777777" w:rsidR="00F22587" w:rsidRPr="000E5DBF" w:rsidRDefault="00F22587" w:rsidP="008A5C11">
            <w:pPr>
              <w:jc w:val="center"/>
              <w:rPr>
                <w:color w:val="000000"/>
                <w:sz w:val="14"/>
                <w:szCs w:val="14"/>
              </w:rPr>
            </w:pPr>
            <w:r w:rsidRPr="000E5DBF">
              <w:rPr>
                <w:color w:val="000000"/>
                <w:sz w:val="14"/>
                <w:szCs w:val="14"/>
              </w:rPr>
              <w:t>2020</w:t>
            </w:r>
          </w:p>
        </w:tc>
        <w:tc>
          <w:tcPr>
            <w:tcW w:w="573"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71830C5" w14:textId="77777777" w:rsidR="00F22587" w:rsidRPr="000E5DBF" w:rsidRDefault="00F22587" w:rsidP="008A5C11">
            <w:pPr>
              <w:jc w:val="center"/>
              <w:rPr>
                <w:color w:val="000000"/>
                <w:sz w:val="14"/>
                <w:szCs w:val="14"/>
              </w:rPr>
            </w:pPr>
            <w:r w:rsidRPr="000E5DBF">
              <w:rPr>
                <w:color w:val="000000"/>
                <w:sz w:val="14"/>
                <w:szCs w:val="14"/>
              </w:rPr>
              <w:t>0,00</w:t>
            </w:r>
          </w:p>
        </w:tc>
        <w:tc>
          <w:tcPr>
            <w:tcW w:w="447" w:type="dxa"/>
            <w:gridSpan w:val="2"/>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613D3C0" w14:textId="77777777" w:rsidR="00F22587" w:rsidRPr="000E5DBF" w:rsidRDefault="00F22587" w:rsidP="008A5C11">
            <w:pPr>
              <w:jc w:val="center"/>
              <w:rPr>
                <w:color w:val="000000"/>
                <w:sz w:val="14"/>
                <w:szCs w:val="14"/>
              </w:rPr>
            </w:pPr>
            <w:r w:rsidRPr="000E5DBF">
              <w:rPr>
                <w:color w:val="000000"/>
                <w:sz w:val="14"/>
                <w:szCs w:val="14"/>
              </w:rPr>
              <w:t>0,00</w:t>
            </w:r>
          </w:p>
        </w:tc>
        <w:tc>
          <w:tcPr>
            <w:tcW w:w="559"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1AF52F4" w14:textId="77777777" w:rsidR="00F22587" w:rsidRPr="000E5DBF" w:rsidRDefault="00F22587" w:rsidP="008A5C11">
            <w:pPr>
              <w:jc w:val="center"/>
              <w:rPr>
                <w:color w:val="000000"/>
                <w:sz w:val="14"/>
                <w:szCs w:val="14"/>
              </w:rPr>
            </w:pPr>
            <w:r w:rsidRPr="000E5DBF">
              <w:rPr>
                <w:color w:val="000000"/>
                <w:sz w:val="14"/>
                <w:szCs w:val="14"/>
              </w:rPr>
              <w:t>0,00</w:t>
            </w:r>
          </w:p>
        </w:tc>
        <w:tc>
          <w:tcPr>
            <w:tcW w:w="572"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E0E2B30" w14:textId="77777777" w:rsidR="00F22587" w:rsidRPr="000E5DBF" w:rsidRDefault="00F22587" w:rsidP="008A5C11">
            <w:pPr>
              <w:jc w:val="center"/>
              <w:rPr>
                <w:color w:val="000000"/>
                <w:sz w:val="14"/>
                <w:szCs w:val="14"/>
              </w:rPr>
            </w:pPr>
            <w:r w:rsidRPr="000E5DBF">
              <w:rPr>
                <w:color w:val="000000"/>
                <w:sz w:val="14"/>
                <w:szCs w:val="14"/>
              </w:rPr>
              <w:t>0,00</w:t>
            </w:r>
          </w:p>
        </w:tc>
        <w:tc>
          <w:tcPr>
            <w:tcW w:w="572"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09BB465" w14:textId="77777777" w:rsidR="00F22587" w:rsidRPr="000E5DBF" w:rsidRDefault="00F22587" w:rsidP="008A5C11">
            <w:pPr>
              <w:jc w:val="center"/>
              <w:rPr>
                <w:color w:val="000000"/>
                <w:sz w:val="14"/>
                <w:szCs w:val="14"/>
              </w:rPr>
            </w:pPr>
            <w:r w:rsidRPr="000E5DBF">
              <w:rPr>
                <w:color w:val="000000"/>
                <w:sz w:val="14"/>
                <w:szCs w:val="14"/>
              </w:rPr>
              <w:t>0,00</w:t>
            </w:r>
          </w:p>
        </w:tc>
        <w:tc>
          <w:tcPr>
            <w:tcW w:w="566"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0644602" w14:textId="77777777" w:rsidR="00F22587" w:rsidRPr="000E5DBF" w:rsidRDefault="00F22587" w:rsidP="008A5C11">
            <w:pPr>
              <w:jc w:val="center"/>
              <w:rPr>
                <w:color w:val="000000"/>
                <w:sz w:val="14"/>
                <w:szCs w:val="14"/>
              </w:rPr>
            </w:pPr>
            <w:r w:rsidRPr="000E5DBF">
              <w:rPr>
                <w:color w:val="000000"/>
                <w:sz w:val="14"/>
                <w:szCs w:val="14"/>
              </w:rPr>
              <w:t>0,00</w:t>
            </w:r>
          </w:p>
        </w:tc>
        <w:tc>
          <w:tcPr>
            <w:tcW w:w="56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1DE80DC" w14:textId="77777777" w:rsidR="00F22587" w:rsidRPr="000E5DBF" w:rsidRDefault="00F22587" w:rsidP="008A5C11">
            <w:pPr>
              <w:jc w:val="center"/>
              <w:rPr>
                <w:color w:val="000000"/>
                <w:sz w:val="14"/>
                <w:szCs w:val="14"/>
              </w:rPr>
            </w:pPr>
            <w:r w:rsidRPr="000E5DBF">
              <w:rPr>
                <w:color w:val="000000"/>
                <w:sz w:val="14"/>
                <w:szCs w:val="14"/>
              </w:rPr>
              <w:t>0,00</w:t>
            </w:r>
          </w:p>
        </w:tc>
        <w:tc>
          <w:tcPr>
            <w:tcW w:w="574"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002525D" w14:textId="77777777" w:rsidR="00F22587" w:rsidRPr="000E5DBF" w:rsidRDefault="00F22587" w:rsidP="008A5C11">
            <w:pPr>
              <w:jc w:val="center"/>
              <w:rPr>
                <w:color w:val="000000"/>
                <w:sz w:val="14"/>
                <w:szCs w:val="14"/>
              </w:rPr>
            </w:pPr>
            <w:r w:rsidRPr="000E5DBF">
              <w:rPr>
                <w:color w:val="000000"/>
                <w:sz w:val="14"/>
                <w:szCs w:val="14"/>
              </w:rPr>
              <w:t>0,00</w:t>
            </w:r>
          </w:p>
        </w:tc>
        <w:tc>
          <w:tcPr>
            <w:tcW w:w="572" w:type="dxa"/>
            <w:gridSpan w:val="2"/>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41E767A" w14:textId="77777777" w:rsidR="00F22587" w:rsidRPr="000E5DBF" w:rsidRDefault="00F22587" w:rsidP="008A5C11">
            <w:pPr>
              <w:jc w:val="center"/>
              <w:rPr>
                <w:color w:val="000000"/>
                <w:sz w:val="14"/>
                <w:szCs w:val="14"/>
              </w:rPr>
            </w:pPr>
            <w:r w:rsidRPr="000E5DBF">
              <w:rPr>
                <w:color w:val="000000"/>
                <w:sz w:val="14"/>
                <w:szCs w:val="14"/>
              </w:rPr>
              <w:t>0,00</w:t>
            </w:r>
          </w:p>
        </w:tc>
        <w:tc>
          <w:tcPr>
            <w:tcW w:w="570" w:type="dxa"/>
            <w:tcBorders>
              <w:top w:val="single" w:sz="4" w:space="0" w:color="auto"/>
              <w:left w:val="nil"/>
              <w:bottom w:val="single" w:sz="4" w:space="0" w:color="auto"/>
              <w:right w:val="single" w:sz="4" w:space="0" w:color="auto"/>
            </w:tcBorders>
            <w:shd w:val="clear" w:color="000000" w:fill="FFFFFF"/>
            <w:tcMar>
              <w:left w:w="0" w:type="dxa"/>
              <w:right w:w="0" w:type="dxa"/>
            </w:tcMar>
            <w:vAlign w:val="center"/>
          </w:tcPr>
          <w:p w14:paraId="7FB4051A" w14:textId="77777777" w:rsidR="00F22587" w:rsidRPr="000E5DBF" w:rsidRDefault="00F22587" w:rsidP="008A5C11">
            <w:pPr>
              <w:jc w:val="center"/>
              <w:rPr>
                <w:color w:val="000000"/>
                <w:sz w:val="14"/>
                <w:szCs w:val="14"/>
              </w:rPr>
            </w:pPr>
            <w:r w:rsidRPr="000E5DBF">
              <w:rPr>
                <w:color w:val="000000"/>
                <w:sz w:val="14"/>
                <w:szCs w:val="14"/>
              </w:rPr>
              <w:t>0,00</w:t>
            </w:r>
          </w:p>
        </w:tc>
        <w:tc>
          <w:tcPr>
            <w:tcW w:w="572"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834AE08" w14:textId="77777777" w:rsidR="00F22587" w:rsidRPr="000E5DBF" w:rsidRDefault="00F22587" w:rsidP="008A5C11">
            <w:pPr>
              <w:jc w:val="center"/>
              <w:rPr>
                <w:color w:val="000000"/>
                <w:sz w:val="14"/>
                <w:szCs w:val="14"/>
              </w:rPr>
            </w:pPr>
            <w:r w:rsidRPr="000E5DBF">
              <w:rPr>
                <w:color w:val="000000"/>
                <w:sz w:val="14"/>
                <w:szCs w:val="14"/>
              </w:rPr>
              <w:t>0,00</w:t>
            </w:r>
          </w:p>
        </w:tc>
        <w:tc>
          <w:tcPr>
            <w:tcW w:w="573"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8053ED9" w14:textId="77777777" w:rsidR="00F22587" w:rsidRPr="000E5DBF" w:rsidRDefault="00F22587" w:rsidP="008A5C11">
            <w:pPr>
              <w:jc w:val="center"/>
              <w:rPr>
                <w:color w:val="000000"/>
                <w:sz w:val="14"/>
                <w:szCs w:val="14"/>
              </w:rPr>
            </w:pPr>
            <w:r w:rsidRPr="000E5DBF">
              <w:rPr>
                <w:color w:val="000000"/>
                <w:sz w:val="14"/>
                <w:szCs w:val="14"/>
              </w:rPr>
              <w:t>0,00</w:t>
            </w:r>
          </w:p>
        </w:tc>
        <w:tc>
          <w:tcPr>
            <w:tcW w:w="574"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C48F1C8" w14:textId="77777777" w:rsidR="00F22587" w:rsidRPr="000E5DBF" w:rsidRDefault="00F22587" w:rsidP="008A5C11">
            <w:pPr>
              <w:jc w:val="center"/>
              <w:rPr>
                <w:color w:val="000000"/>
                <w:sz w:val="14"/>
                <w:szCs w:val="14"/>
              </w:rPr>
            </w:pPr>
            <w:r w:rsidRPr="000E5DBF">
              <w:rPr>
                <w:color w:val="000000"/>
                <w:sz w:val="14"/>
                <w:szCs w:val="14"/>
              </w:rPr>
              <w:t>0,00</w:t>
            </w:r>
          </w:p>
        </w:tc>
        <w:tc>
          <w:tcPr>
            <w:tcW w:w="56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5707585" w14:textId="77777777" w:rsidR="00F22587" w:rsidRPr="000E5DBF" w:rsidRDefault="00F22587" w:rsidP="008A5C11">
            <w:pPr>
              <w:jc w:val="center"/>
              <w:rPr>
                <w:color w:val="000000"/>
                <w:sz w:val="14"/>
                <w:szCs w:val="14"/>
              </w:rPr>
            </w:pPr>
            <w:r w:rsidRPr="000E5DBF">
              <w:rPr>
                <w:color w:val="000000"/>
                <w:sz w:val="14"/>
                <w:szCs w:val="14"/>
              </w:rPr>
              <w:t>0,00</w:t>
            </w:r>
          </w:p>
        </w:tc>
        <w:tc>
          <w:tcPr>
            <w:tcW w:w="292"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65976C9" w14:textId="77777777" w:rsidR="00F22587" w:rsidRPr="000E5DBF" w:rsidRDefault="00F22587" w:rsidP="008A5C11">
            <w:pPr>
              <w:jc w:val="center"/>
              <w:rPr>
                <w:color w:val="000000"/>
                <w:sz w:val="14"/>
                <w:szCs w:val="14"/>
              </w:rPr>
            </w:pPr>
            <w:r w:rsidRPr="000E5DBF">
              <w:rPr>
                <w:color w:val="000000"/>
                <w:sz w:val="14"/>
                <w:szCs w:val="14"/>
              </w:rPr>
              <w:t>0,00</w:t>
            </w:r>
          </w:p>
        </w:tc>
        <w:tc>
          <w:tcPr>
            <w:tcW w:w="428" w:type="dxa"/>
            <w:gridSpan w:val="2"/>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12EE671" w14:textId="77777777" w:rsidR="00F22587" w:rsidRPr="000E5DBF" w:rsidRDefault="00F22587" w:rsidP="008A5C11">
            <w:pPr>
              <w:jc w:val="center"/>
              <w:rPr>
                <w:color w:val="000000"/>
                <w:sz w:val="14"/>
                <w:szCs w:val="14"/>
              </w:rPr>
            </w:pPr>
            <w:r w:rsidRPr="000E5DBF">
              <w:rPr>
                <w:color w:val="000000"/>
                <w:sz w:val="14"/>
                <w:szCs w:val="14"/>
              </w:rPr>
              <w:t>0,00</w:t>
            </w:r>
          </w:p>
        </w:tc>
      </w:tr>
      <w:tr w:rsidR="00F22587" w:rsidRPr="000E5DBF" w14:paraId="1BD87B21" w14:textId="77777777" w:rsidTr="008A5C11">
        <w:trPr>
          <w:cantSplit/>
          <w:trHeight w:val="288"/>
        </w:trPr>
        <w:tc>
          <w:tcPr>
            <w:tcW w:w="7561" w:type="dxa"/>
            <w:gridSpan w:val="11"/>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6B9894BC" w14:textId="77777777" w:rsidR="00F22587" w:rsidRPr="000E5DBF" w:rsidRDefault="00F22587" w:rsidP="008A5C11">
            <w:pPr>
              <w:rPr>
                <w:sz w:val="14"/>
                <w:szCs w:val="14"/>
              </w:rPr>
            </w:pPr>
            <w:r w:rsidRPr="000E5DBF">
              <w:rPr>
                <w:sz w:val="14"/>
                <w:szCs w:val="14"/>
              </w:rPr>
              <w:t>Всего по группе 4</w:t>
            </w:r>
          </w:p>
        </w:tc>
        <w:tc>
          <w:tcPr>
            <w:tcW w:w="573" w:type="dxa"/>
            <w:tcBorders>
              <w:top w:val="nil"/>
              <w:left w:val="nil"/>
              <w:bottom w:val="single" w:sz="4" w:space="0" w:color="auto"/>
              <w:right w:val="single" w:sz="4" w:space="0" w:color="auto"/>
            </w:tcBorders>
            <w:shd w:val="clear" w:color="000000" w:fill="FFFFFF"/>
            <w:tcMar>
              <w:left w:w="0" w:type="dxa"/>
              <w:right w:w="0" w:type="dxa"/>
            </w:tcMar>
            <w:vAlign w:val="center"/>
          </w:tcPr>
          <w:p w14:paraId="578EE1F6" w14:textId="77777777" w:rsidR="00F22587" w:rsidRPr="000E5DBF" w:rsidRDefault="00F22587" w:rsidP="008A5C11">
            <w:pPr>
              <w:ind w:left="-57" w:right="-57"/>
              <w:jc w:val="center"/>
              <w:rPr>
                <w:color w:val="000000"/>
                <w:sz w:val="14"/>
                <w:szCs w:val="14"/>
              </w:rPr>
            </w:pPr>
            <w:r w:rsidRPr="000E5DBF">
              <w:rPr>
                <w:color w:val="000000"/>
                <w:sz w:val="14"/>
                <w:szCs w:val="14"/>
              </w:rPr>
              <w:t>33443,27</w:t>
            </w:r>
          </w:p>
        </w:tc>
        <w:tc>
          <w:tcPr>
            <w:tcW w:w="447"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1F7F8957" w14:textId="77777777" w:rsidR="00F22587" w:rsidRPr="000E5DBF" w:rsidRDefault="00F22587" w:rsidP="008A5C11">
            <w:pPr>
              <w:jc w:val="center"/>
              <w:rPr>
                <w:color w:val="000000"/>
                <w:sz w:val="14"/>
                <w:szCs w:val="14"/>
              </w:rPr>
            </w:pPr>
            <w:r w:rsidRPr="000E5DBF">
              <w:rPr>
                <w:color w:val="000000"/>
                <w:sz w:val="14"/>
                <w:szCs w:val="14"/>
              </w:rPr>
              <w:t>0,00</w:t>
            </w:r>
          </w:p>
        </w:tc>
        <w:tc>
          <w:tcPr>
            <w:tcW w:w="559" w:type="dxa"/>
            <w:tcBorders>
              <w:top w:val="nil"/>
              <w:left w:val="nil"/>
              <w:bottom w:val="single" w:sz="4" w:space="0" w:color="auto"/>
              <w:right w:val="single" w:sz="4" w:space="0" w:color="auto"/>
            </w:tcBorders>
            <w:shd w:val="clear" w:color="000000" w:fill="FFFFFF"/>
            <w:tcMar>
              <w:left w:w="0" w:type="dxa"/>
              <w:right w:w="0" w:type="dxa"/>
            </w:tcMar>
            <w:vAlign w:val="center"/>
          </w:tcPr>
          <w:p w14:paraId="7AC48274" w14:textId="77777777" w:rsidR="00F22587" w:rsidRPr="000E5DBF" w:rsidRDefault="00F22587" w:rsidP="008A5C11">
            <w:pPr>
              <w:jc w:val="center"/>
              <w:rPr>
                <w:color w:val="000000"/>
                <w:sz w:val="14"/>
                <w:szCs w:val="14"/>
              </w:rPr>
            </w:pPr>
            <w:r w:rsidRPr="000E5DBF">
              <w:rPr>
                <w:color w:val="000000"/>
                <w:sz w:val="14"/>
                <w:szCs w:val="14"/>
              </w:rPr>
              <w:t>5161,67</w:t>
            </w:r>
          </w:p>
        </w:tc>
        <w:tc>
          <w:tcPr>
            <w:tcW w:w="572" w:type="dxa"/>
            <w:tcBorders>
              <w:top w:val="nil"/>
              <w:left w:val="nil"/>
              <w:bottom w:val="single" w:sz="4" w:space="0" w:color="auto"/>
              <w:right w:val="single" w:sz="4" w:space="0" w:color="auto"/>
            </w:tcBorders>
            <w:shd w:val="clear" w:color="000000" w:fill="FFFFFF"/>
            <w:tcMar>
              <w:left w:w="0" w:type="dxa"/>
              <w:right w:w="0" w:type="dxa"/>
            </w:tcMar>
            <w:vAlign w:val="center"/>
          </w:tcPr>
          <w:p w14:paraId="5FCD90A7" w14:textId="77777777" w:rsidR="00F22587" w:rsidRPr="000E5DBF" w:rsidRDefault="00F22587" w:rsidP="008A5C11">
            <w:pPr>
              <w:jc w:val="center"/>
              <w:rPr>
                <w:color w:val="000000"/>
                <w:sz w:val="14"/>
                <w:szCs w:val="14"/>
              </w:rPr>
            </w:pPr>
            <w:r w:rsidRPr="000E5DBF">
              <w:rPr>
                <w:color w:val="000000"/>
                <w:sz w:val="14"/>
                <w:szCs w:val="14"/>
              </w:rPr>
              <w:t>4056,00</w:t>
            </w:r>
          </w:p>
        </w:tc>
        <w:tc>
          <w:tcPr>
            <w:tcW w:w="572" w:type="dxa"/>
            <w:tcBorders>
              <w:top w:val="nil"/>
              <w:left w:val="nil"/>
              <w:bottom w:val="single" w:sz="4" w:space="0" w:color="auto"/>
              <w:right w:val="single" w:sz="4" w:space="0" w:color="auto"/>
            </w:tcBorders>
            <w:shd w:val="clear" w:color="000000" w:fill="FFFFFF"/>
            <w:tcMar>
              <w:left w:w="0" w:type="dxa"/>
              <w:right w:w="0" w:type="dxa"/>
            </w:tcMar>
            <w:vAlign w:val="center"/>
          </w:tcPr>
          <w:p w14:paraId="6C3341E3" w14:textId="77777777" w:rsidR="00F22587" w:rsidRPr="000E5DBF" w:rsidRDefault="00F22587" w:rsidP="008A5C11">
            <w:pPr>
              <w:jc w:val="center"/>
              <w:rPr>
                <w:color w:val="000000"/>
                <w:sz w:val="14"/>
                <w:szCs w:val="14"/>
              </w:rPr>
            </w:pPr>
            <w:r w:rsidRPr="000E5DBF">
              <w:rPr>
                <w:color w:val="000000"/>
                <w:sz w:val="14"/>
                <w:szCs w:val="14"/>
              </w:rPr>
              <w:t>7459,20</w:t>
            </w:r>
          </w:p>
        </w:tc>
        <w:tc>
          <w:tcPr>
            <w:tcW w:w="566" w:type="dxa"/>
            <w:tcBorders>
              <w:top w:val="nil"/>
              <w:left w:val="nil"/>
              <w:bottom w:val="single" w:sz="4" w:space="0" w:color="auto"/>
              <w:right w:val="single" w:sz="4" w:space="0" w:color="auto"/>
            </w:tcBorders>
            <w:shd w:val="clear" w:color="000000" w:fill="FFFFFF"/>
            <w:tcMar>
              <w:left w:w="0" w:type="dxa"/>
              <w:right w:w="0" w:type="dxa"/>
            </w:tcMar>
            <w:vAlign w:val="center"/>
          </w:tcPr>
          <w:p w14:paraId="05739EE6" w14:textId="77777777" w:rsidR="00F22587" w:rsidRPr="000E5DBF" w:rsidRDefault="00F22587" w:rsidP="008A5C11">
            <w:pPr>
              <w:jc w:val="center"/>
              <w:rPr>
                <w:color w:val="000000"/>
                <w:sz w:val="14"/>
                <w:szCs w:val="14"/>
              </w:rPr>
            </w:pPr>
            <w:r w:rsidRPr="000E5DBF">
              <w:rPr>
                <w:color w:val="000000"/>
                <w:sz w:val="14"/>
                <w:szCs w:val="14"/>
              </w:rPr>
              <w:t>7338,00</w:t>
            </w:r>
          </w:p>
        </w:tc>
        <w:tc>
          <w:tcPr>
            <w:tcW w:w="565" w:type="dxa"/>
            <w:tcBorders>
              <w:top w:val="nil"/>
              <w:left w:val="nil"/>
              <w:bottom w:val="single" w:sz="4" w:space="0" w:color="auto"/>
              <w:right w:val="single" w:sz="4" w:space="0" w:color="auto"/>
            </w:tcBorders>
            <w:shd w:val="clear" w:color="000000" w:fill="FFFFFF"/>
            <w:tcMar>
              <w:left w:w="0" w:type="dxa"/>
              <w:right w:w="0" w:type="dxa"/>
            </w:tcMar>
            <w:vAlign w:val="center"/>
          </w:tcPr>
          <w:p w14:paraId="3FA393BA" w14:textId="77777777" w:rsidR="00F22587" w:rsidRPr="000E5DBF" w:rsidRDefault="00F22587" w:rsidP="008A5C11">
            <w:pPr>
              <w:jc w:val="center"/>
              <w:rPr>
                <w:color w:val="000000"/>
                <w:sz w:val="14"/>
                <w:szCs w:val="14"/>
              </w:rPr>
            </w:pPr>
            <w:r w:rsidRPr="000E5DBF">
              <w:rPr>
                <w:color w:val="000000"/>
                <w:sz w:val="14"/>
                <w:szCs w:val="14"/>
              </w:rPr>
              <w:t>4230,00</w:t>
            </w:r>
          </w:p>
        </w:tc>
        <w:tc>
          <w:tcPr>
            <w:tcW w:w="574" w:type="dxa"/>
            <w:tcBorders>
              <w:top w:val="nil"/>
              <w:left w:val="nil"/>
              <w:bottom w:val="single" w:sz="4" w:space="0" w:color="auto"/>
              <w:right w:val="single" w:sz="4" w:space="0" w:color="auto"/>
            </w:tcBorders>
            <w:shd w:val="clear" w:color="000000" w:fill="FFFFFF"/>
            <w:tcMar>
              <w:left w:w="0" w:type="dxa"/>
              <w:right w:w="0" w:type="dxa"/>
            </w:tcMar>
            <w:vAlign w:val="center"/>
          </w:tcPr>
          <w:p w14:paraId="01672CED" w14:textId="77777777" w:rsidR="00F22587" w:rsidRPr="000E5DBF" w:rsidRDefault="00F22587" w:rsidP="008A5C11">
            <w:pPr>
              <w:jc w:val="center"/>
              <w:rPr>
                <w:color w:val="000000"/>
                <w:sz w:val="14"/>
                <w:szCs w:val="14"/>
              </w:rPr>
            </w:pPr>
            <w:r w:rsidRPr="000E5DBF">
              <w:rPr>
                <w:color w:val="000000"/>
                <w:sz w:val="14"/>
                <w:szCs w:val="14"/>
              </w:rPr>
              <w:t>5198,40</w:t>
            </w:r>
          </w:p>
        </w:tc>
        <w:tc>
          <w:tcPr>
            <w:tcW w:w="572"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6E333837" w14:textId="77777777" w:rsidR="00F22587" w:rsidRPr="000E5DBF" w:rsidRDefault="00F22587" w:rsidP="008A5C11">
            <w:pPr>
              <w:jc w:val="center"/>
              <w:rPr>
                <w:color w:val="000000"/>
                <w:sz w:val="14"/>
                <w:szCs w:val="14"/>
              </w:rPr>
            </w:pPr>
            <w:r w:rsidRPr="000E5DBF">
              <w:rPr>
                <w:color w:val="000000"/>
                <w:sz w:val="14"/>
                <w:szCs w:val="14"/>
              </w:rPr>
              <w:t>0,00</w:t>
            </w:r>
          </w:p>
        </w:tc>
        <w:tc>
          <w:tcPr>
            <w:tcW w:w="570" w:type="dxa"/>
            <w:tcBorders>
              <w:top w:val="nil"/>
              <w:left w:val="nil"/>
              <w:bottom w:val="single" w:sz="4" w:space="0" w:color="auto"/>
              <w:right w:val="single" w:sz="4" w:space="0" w:color="auto"/>
            </w:tcBorders>
            <w:shd w:val="clear" w:color="000000" w:fill="FFFFFF"/>
            <w:tcMar>
              <w:left w:w="0" w:type="dxa"/>
              <w:right w:w="0" w:type="dxa"/>
            </w:tcMar>
            <w:vAlign w:val="center"/>
          </w:tcPr>
          <w:p w14:paraId="3E00980F" w14:textId="77777777" w:rsidR="00F22587" w:rsidRPr="000E5DBF" w:rsidRDefault="00F22587" w:rsidP="008A5C11">
            <w:pPr>
              <w:jc w:val="center"/>
              <w:rPr>
                <w:color w:val="000000"/>
                <w:sz w:val="14"/>
                <w:szCs w:val="14"/>
              </w:rPr>
            </w:pPr>
            <w:r w:rsidRPr="000E5DBF">
              <w:rPr>
                <w:color w:val="000000"/>
                <w:sz w:val="14"/>
                <w:szCs w:val="14"/>
              </w:rPr>
              <w:t>0,00</w:t>
            </w:r>
          </w:p>
        </w:tc>
        <w:tc>
          <w:tcPr>
            <w:tcW w:w="572" w:type="dxa"/>
            <w:tcBorders>
              <w:top w:val="nil"/>
              <w:left w:val="nil"/>
              <w:bottom w:val="single" w:sz="4" w:space="0" w:color="auto"/>
              <w:right w:val="single" w:sz="4" w:space="0" w:color="auto"/>
            </w:tcBorders>
            <w:shd w:val="clear" w:color="000000" w:fill="FFFFFF"/>
            <w:tcMar>
              <w:left w:w="0" w:type="dxa"/>
              <w:right w:w="0" w:type="dxa"/>
            </w:tcMar>
            <w:vAlign w:val="center"/>
          </w:tcPr>
          <w:p w14:paraId="37D6430D" w14:textId="77777777" w:rsidR="00F22587" w:rsidRPr="000E5DBF" w:rsidRDefault="00F22587" w:rsidP="008A5C11">
            <w:pPr>
              <w:jc w:val="center"/>
              <w:rPr>
                <w:color w:val="000000"/>
                <w:sz w:val="14"/>
                <w:szCs w:val="14"/>
              </w:rPr>
            </w:pPr>
            <w:r w:rsidRPr="000E5DBF">
              <w:rPr>
                <w:color w:val="000000"/>
                <w:sz w:val="14"/>
                <w:szCs w:val="14"/>
              </w:rPr>
              <w:t>0,00</w:t>
            </w:r>
          </w:p>
        </w:tc>
        <w:tc>
          <w:tcPr>
            <w:tcW w:w="573" w:type="dxa"/>
            <w:tcBorders>
              <w:top w:val="nil"/>
              <w:left w:val="nil"/>
              <w:bottom w:val="single" w:sz="4" w:space="0" w:color="auto"/>
              <w:right w:val="single" w:sz="4" w:space="0" w:color="auto"/>
            </w:tcBorders>
            <w:shd w:val="clear" w:color="000000" w:fill="FFFFFF"/>
            <w:tcMar>
              <w:left w:w="0" w:type="dxa"/>
              <w:right w:w="0" w:type="dxa"/>
            </w:tcMar>
            <w:vAlign w:val="center"/>
          </w:tcPr>
          <w:p w14:paraId="31D72E21" w14:textId="77777777" w:rsidR="00F22587" w:rsidRPr="000E5DBF" w:rsidRDefault="00F22587" w:rsidP="008A5C11">
            <w:pPr>
              <w:jc w:val="center"/>
              <w:rPr>
                <w:color w:val="000000"/>
                <w:sz w:val="14"/>
                <w:szCs w:val="14"/>
              </w:rPr>
            </w:pPr>
            <w:r w:rsidRPr="000E5DBF">
              <w:rPr>
                <w:color w:val="000000"/>
                <w:sz w:val="14"/>
                <w:szCs w:val="14"/>
              </w:rPr>
              <w:t>0,00</w:t>
            </w:r>
          </w:p>
        </w:tc>
        <w:tc>
          <w:tcPr>
            <w:tcW w:w="574" w:type="dxa"/>
            <w:tcBorders>
              <w:top w:val="nil"/>
              <w:left w:val="nil"/>
              <w:bottom w:val="single" w:sz="4" w:space="0" w:color="auto"/>
              <w:right w:val="single" w:sz="4" w:space="0" w:color="auto"/>
            </w:tcBorders>
            <w:shd w:val="clear" w:color="000000" w:fill="FFFFFF"/>
            <w:tcMar>
              <w:left w:w="0" w:type="dxa"/>
              <w:right w:w="0" w:type="dxa"/>
            </w:tcMar>
            <w:vAlign w:val="center"/>
          </w:tcPr>
          <w:p w14:paraId="27116AC0" w14:textId="77777777" w:rsidR="00F22587" w:rsidRPr="000E5DBF" w:rsidRDefault="00F22587" w:rsidP="008A5C11">
            <w:pPr>
              <w:jc w:val="center"/>
              <w:rPr>
                <w:color w:val="000000"/>
                <w:sz w:val="14"/>
                <w:szCs w:val="14"/>
              </w:rPr>
            </w:pPr>
            <w:r w:rsidRPr="000E5DBF">
              <w:rPr>
                <w:color w:val="000000"/>
                <w:sz w:val="14"/>
                <w:szCs w:val="14"/>
              </w:rPr>
              <w:t>0,00</w:t>
            </w:r>
          </w:p>
        </w:tc>
        <w:tc>
          <w:tcPr>
            <w:tcW w:w="567" w:type="dxa"/>
            <w:tcBorders>
              <w:top w:val="nil"/>
              <w:left w:val="nil"/>
              <w:bottom w:val="single" w:sz="4" w:space="0" w:color="auto"/>
              <w:right w:val="single" w:sz="4" w:space="0" w:color="auto"/>
            </w:tcBorders>
            <w:shd w:val="clear" w:color="000000" w:fill="FFFFFF"/>
            <w:tcMar>
              <w:left w:w="0" w:type="dxa"/>
              <w:right w:w="0" w:type="dxa"/>
            </w:tcMar>
            <w:vAlign w:val="center"/>
          </w:tcPr>
          <w:p w14:paraId="62391B85" w14:textId="77777777" w:rsidR="00F22587" w:rsidRPr="000E5DBF" w:rsidRDefault="00F22587" w:rsidP="008A5C11">
            <w:pPr>
              <w:jc w:val="center"/>
              <w:rPr>
                <w:color w:val="000000"/>
                <w:sz w:val="14"/>
                <w:szCs w:val="14"/>
              </w:rPr>
            </w:pPr>
            <w:r w:rsidRPr="000E5DBF">
              <w:rPr>
                <w:color w:val="000000"/>
                <w:sz w:val="14"/>
                <w:szCs w:val="14"/>
              </w:rPr>
              <w:t>0,00</w:t>
            </w:r>
          </w:p>
        </w:tc>
        <w:tc>
          <w:tcPr>
            <w:tcW w:w="292" w:type="dxa"/>
            <w:tcBorders>
              <w:top w:val="nil"/>
              <w:left w:val="nil"/>
              <w:bottom w:val="single" w:sz="4" w:space="0" w:color="auto"/>
              <w:right w:val="single" w:sz="4" w:space="0" w:color="auto"/>
            </w:tcBorders>
            <w:shd w:val="clear" w:color="000000" w:fill="FFFFFF"/>
            <w:tcMar>
              <w:left w:w="0" w:type="dxa"/>
              <w:right w:w="0" w:type="dxa"/>
            </w:tcMar>
            <w:vAlign w:val="center"/>
          </w:tcPr>
          <w:p w14:paraId="43E19A01" w14:textId="77777777" w:rsidR="00F22587" w:rsidRPr="000E5DBF" w:rsidRDefault="00F22587" w:rsidP="008A5C11">
            <w:pPr>
              <w:jc w:val="center"/>
              <w:rPr>
                <w:color w:val="000000"/>
                <w:sz w:val="14"/>
                <w:szCs w:val="14"/>
              </w:rPr>
            </w:pPr>
            <w:r w:rsidRPr="000E5DBF">
              <w:rPr>
                <w:color w:val="000000"/>
                <w:sz w:val="14"/>
                <w:szCs w:val="14"/>
              </w:rPr>
              <w:t>0,00</w:t>
            </w:r>
          </w:p>
        </w:tc>
        <w:tc>
          <w:tcPr>
            <w:tcW w:w="428" w:type="dxa"/>
            <w:gridSpan w:val="3"/>
            <w:tcBorders>
              <w:top w:val="nil"/>
              <w:left w:val="nil"/>
              <w:bottom w:val="single" w:sz="4" w:space="0" w:color="auto"/>
              <w:right w:val="single" w:sz="4" w:space="0" w:color="auto"/>
            </w:tcBorders>
            <w:shd w:val="clear" w:color="000000" w:fill="FFFFFF"/>
            <w:tcMar>
              <w:left w:w="0" w:type="dxa"/>
              <w:right w:w="0" w:type="dxa"/>
            </w:tcMar>
            <w:vAlign w:val="center"/>
          </w:tcPr>
          <w:p w14:paraId="40DDE64A" w14:textId="77777777" w:rsidR="00F22587" w:rsidRPr="000E5DBF" w:rsidRDefault="00F22587" w:rsidP="008A5C11">
            <w:pPr>
              <w:jc w:val="center"/>
              <w:rPr>
                <w:color w:val="000000"/>
                <w:sz w:val="14"/>
                <w:szCs w:val="14"/>
              </w:rPr>
            </w:pPr>
            <w:r w:rsidRPr="000E5DBF">
              <w:rPr>
                <w:color w:val="000000"/>
                <w:sz w:val="14"/>
                <w:szCs w:val="14"/>
              </w:rPr>
              <w:t>0,00</w:t>
            </w:r>
          </w:p>
        </w:tc>
      </w:tr>
      <w:tr w:rsidR="00F22587" w:rsidRPr="000E5DBF" w14:paraId="0431C661" w14:textId="77777777" w:rsidTr="008A5C11">
        <w:trPr>
          <w:cantSplit/>
          <w:trHeight w:val="129"/>
        </w:trPr>
        <w:tc>
          <w:tcPr>
            <w:tcW w:w="16142" w:type="dxa"/>
            <w:gridSpan w:val="31"/>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AF85716" w14:textId="77777777" w:rsidR="00F22587" w:rsidRPr="000E5DBF" w:rsidRDefault="00F22587" w:rsidP="008A5C11">
            <w:pPr>
              <w:rPr>
                <w:color w:val="000000"/>
                <w:sz w:val="14"/>
                <w:szCs w:val="14"/>
              </w:rPr>
            </w:pPr>
            <w:r w:rsidRPr="000E5DBF">
              <w:rPr>
                <w:color w:val="000000"/>
                <w:sz w:val="14"/>
                <w:szCs w:val="14"/>
              </w:rPr>
              <w:t>Группа 5. Вывод из эксплуатации, консервация и демонтаж объектов системы централизованного теплоснабжения</w:t>
            </w:r>
          </w:p>
        </w:tc>
      </w:tr>
      <w:tr w:rsidR="00F22587" w:rsidRPr="000E5DBF" w14:paraId="38307722" w14:textId="77777777" w:rsidTr="008A5C11">
        <w:trPr>
          <w:cantSplit/>
          <w:trHeight w:val="229"/>
        </w:trPr>
        <w:tc>
          <w:tcPr>
            <w:tcW w:w="7561" w:type="dxa"/>
            <w:gridSpan w:val="11"/>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494337C" w14:textId="77777777" w:rsidR="00F22587" w:rsidRPr="000E5DBF" w:rsidRDefault="00F22587" w:rsidP="008A5C11">
            <w:pPr>
              <w:rPr>
                <w:sz w:val="14"/>
                <w:szCs w:val="14"/>
              </w:rPr>
            </w:pPr>
            <w:r w:rsidRPr="000E5DBF">
              <w:rPr>
                <w:sz w:val="14"/>
                <w:szCs w:val="14"/>
              </w:rPr>
              <w:t>Всего по группе 5.</w:t>
            </w:r>
          </w:p>
        </w:tc>
        <w:tc>
          <w:tcPr>
            <w:tcW w:w="573" w:type="dxa"/>
            <w:tcBorders>
              <w:top w:val="nil"/>
              <w:left w:val="nil"/>
              <w:bottom w:val="single" w:sz="4" w:space="0" w:color="auto"/>
              <w:right w:val="single" w:sz="4" w:space="0" w:color="auto"/>
            </w:tcBorders>
            <w:shd w:val="clear" w:color="000000" w:fill="FFFFFF"/>
            <w:tcMar>
              <w:left w:w="0" w:type="dxa"/>
              <w:right w:w="0" w:type="dxa"/>
            </w:tcMar>
            <w:vAlign w:val="center"/>
          </w:tcPr>
          <w:p w14:paraId="4487D105" w14:textId="77777777" w:rsidR="00F22587" w:rsidRPr="000E5DBF" w:rsidRDefault="00F22587" w:rsidP="008A5C11">
            <w:pPr>
              <w:jc w:val="center"/>
              <w:rPr>
                <w:color w:val="000000"/>
                <w:sz w:val="14"/>
                <w:szCs w:val="14"/>
              </w:rPr>
            </w:pPr>
            <w:r w:rsidRPr="000E5DBF">
              <w:rPr>
                <w:color w:val="000000"/>
                <w:sz w:val="14"/>
                <w:szCs w:val="14"/>
              </w:rPr>
              <w:t>0,00</w:t>
            </w:r>
          </w:p>
        </w:tc>
        <w:tc>
          <w:tcPr>
            <w:tcW w:w="447"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296A96C4" w14:textId="77777777" w:rsidR="00F22587" w:rsidRPr="000E5DBF" w:rsidRDefault="00F22587" w:rsidP="008A5C11">
            <w:pPr>
              <w:jc w:val="center"/>
              <w:rPr>
                <w:color w:val="000000"/>
                <w:sz w:val="14"/>
                <w:szCs w:val="14"/>
              </w:rPr>
            </w:pPr>
            <w:r w:rsidRPr="000E5DBF">
              <w:rPr>
                <w:color w:val="000000"/>
                <w:sz w:val="14"/>
                <w:szCs w:val="14"/>
              </w:rPr>
              <w:t>0,00</w:t>
            </w:r>
          </w:p>
        </w:tc>
        <w:tc>
          <w:tcPr>
            <w:tcW w:w="559" w:type="dxa"/>
            <w:tcBorders>
              <w:top w:val="nil"/>
              <w:left w:val="nil"/>
              <w:bottom w:val="single" w:sz="4" w:space="0" w:color="auto"/>
              <w:right w:val="single" w:sz="4" w:space="0" w:color="auto"/>
            </w:tcBorders>
            <w:shd w:val="clear" w:color="000000" w:fill="FFFFFF"/>
            <w:tcMar>
              <w:left w:w="0" w:type="dxa"/>
              <w:right w:w="0" w:type="dxa"/>
            </w:tcMar>
            <w:vAlign w:val="center"/>
          </w:tcPr>
          <w:p w14:paraId="7926B0E5" w14:textId="77777777" w:rsidR="00F22587" w:rsidRPr="000E5DBF" w:rsidRDefault="00F22587" w:rsidP="008A5C11">
            <w:pPr>
              <w:jc w:val="center"/>
              <w:rPr>
                <w:color w:val="000000"/>
                <w:sz w:val="14"/>
                <w:szCs w:val="14"/>
              </w:rPr>
            </w:pPr>
            <w:r w:rsidRPr="000E5DBF">
              <w:rPr>
                <w:color w:val="000000"/>
                <w:sz w:val="14"/>
                <w:szCs w:val="14"/>
              </w:rPr>
              <w:t>0,00</w:t>
            </w:r>
          </w:p>
        </w:tc>
        <w:tc>
          <w:tcPr>
            <w:tcW w:w="572" w:type="dxa"/>
            <w:tcBorders>
              <w:top w:val="nil"/>
              <w:left w:val="nil"/>
              <w:bottom w:val="single" w:sz="4" w:space="0" w:color="auto"/>
              <w:right w:val="single" w:sz="4" w:space="0" w:color="auto"/>
            </w:tcBorders>
            <w:shd w:val="clear" w:color="000000" w:fill="FFFFFF"/>
            <w:tcMar>
              <w:left w:w="0" w:type="dxa"/>
              <w:right w:w="0" w:type="dxa"/>
            </w:tcMar>
            <w:vAlign w:val="center"/>
          </w:tcPr>
          <w:p w14:paraId="5C5D3D45" w14:textId="77777777" w:rsidR="00F22587" w:rsidRPr="000E5DBF" w:rsidRDefault="00F22587" w:rsidP="008A5C11">
            <w:pPr>
              <w:jc w:val="center"/>
              <w:rPr>
                <w:color w:val="000000"/>
                <w:sz w:val="14"/>
                <w:szCs w:val="14"/>
              </w:rPr>
            </w:pPr>
            <w:r w:rsidRPr="000E5DBF">
              <w:rPr>
                <w:color w:val="000000"/>
                <w:sz w:val="14"/>
                <w:szCs w:val="14"/>
              </w:rPr>
              <w:t>0,00</w:t>
            </w:r>
          </w:p>
        </w:tc>
        <w:tc>
          <w:tcPr>
            <w:tcW w:w="572" w:type="dxa"/>
            <w:tcBorders>
              <w:top w:val="nil"/>
              <w:left w:val="nil"/>
              <w:bottom w:val="single" w:sz="4" w:space="0" w:color="auto"/>
              <w:right w:val="single" w:sz="4" w:space="0" w:color="auto"/>
            </w:tcBorders>
            <w:shd w:val="clear" w:color="000000" w:fill="FFFFFF"/>
            <w:tcMar>
              <w:left w:w="0" w:type="dxa"/>
              <w:right w:w="0" w:type="dxa"/>
            </w:tcMar>
            <w:vAlign w:val="center"/>
          </w:tcPr>
          <w:p w14:paraId="0004787B" w14:textId="77777777" w:rsidR="00F22587" w:rsidRPr="000E5DBF" w:rsidRDefault="00F22587" w:rsidP="008A5C11">
            <w:pPr>
              <w:jc w:val="center"/>
              <w:rPr>
                <w:color w:val="000000"/>
                <w:sz w:val="14"/>
                <w:szCs w:val="14"/>
              </w:rPr>
            </w:pPr>
            <w:r w:rsidRPr="000E5DBF">
              <w:rPr>
                <w:color w:val="000000"/>
                <w:sz w:val="14"/>
                <w:szCs w:val="14"/>
              </w:rPr>
              <w:t>0,00</w:t>
            </w:r>
          </w:p>
        </w:tc>
        <w:tc>
          <w:tcPr>
            <w:tcW w:w="566" w:type="dxa"/>
            <w:tcBorders>
              <w:top w:val="nil"/>
              <w:left w:val="nil"/>
              <w:bottom w:val="single" w:sz="4" w:space="0" w:color="auto"/>
              <w:right w:val="single" w:sz="4" w:space="0" w:color="auto"/>
            </w:tcBorders>
            <w:shd w:val="clear" w:color="000000" w:fill="FFFFFF"/>
            <w:tcMar>
              <w:left w:w="0" w:type="dxa"/>
              <w:right w:w="0" w:type="dxa"/>
            </w:tcMar>
            <w:vAlign w:val="center"/>
          </w:tcPr>
          <w:p w14:paraId="468EB630" w14:textId="77777777" w:rsidR="00F22587" w:rsidRPr="000E5DBF" w:rsidRDefault="00F22587" w:rsidP="008A5C11">
            <w:pPr>
              <w:jc w:val="center"/>
              <w:rPr>
                <w:color w:val="000000"/>
                <w:sz w:val="14"/>
                <w:szCs w:val="14"/>
              </w:rPr>
            </w:pPr>
            <w:r w:rsidRPr="000E5DBF">
              <w:rPr>
                <w:color w:val="000000"/>
                <w:sz w:val="14"/>
                <w:szCs w:val="14"/>
              </w:rPr>
              <w:t>0,00</w:t>
            </w:r>
          </w:p>
        </w:tc>
        <w:tc>
          <w:tcPr>
            <w:tcW w:w="565" w:type="dxa"/>
            <w:tcBorders>
              <w:top w:val="nil"/>
              <w:left w:val="nil"/>
              <w:bottom w:val="single" w:sz="4" w:space="0" w:color="auto"/>
              <w:right w:val="single" w:sz="4" w:space="0" w:color="auto"/>
            </w:tcBorders>
            <w:shd w:val="clear" w:color="000000" w:fill="FFFFFF"/>
            <w:tcMar>
              <w:left w:w="0" w:type="dxa"/>
              <w:right w:w="0" w:type="dxa"/>
            </w:tcMar>
            <w:vAlign w:val="center"/>
          </w:tcPr>
          <w:p w14:paraId="6BF02F6B" w14:textId="77777777" w:rsidR="00F22587" w:rsidRPr="000E5DBF" w:rsidRDefault="00F22587" w:rsidP="008A5C11">
            <w:pPr>
              <w:jc w:val="center"/>
              <w:rPr>
                <w:color w:val="000000"/>
                <w:sz w:val="14"/>
                <w:szCs w:val="14"/>
              </w:rPr>
            </w:pPr>
            <w:r w:rsidRPr="000E5DBF">
              <w:rPr>
                <w:color w:val="000000"/>
                <w:sz w:val="14"/>
                <w:szCs w:val="14"/>
              </w:rPr>
              <w:t>0,00</w:t>
            </w:r>
          </w:p>
        </w:tc>
        <w:tc>
          <w:tcPr>
            <w:tcW w:w="574" w:type="dxa"/>
            <w:tcBorders>
              <w:top w:val="nil"/>
              <w:left w:val="nil"/>
              <w:bottom w:val="single" w:sz="4" w:space="0" w:color="auto"/>
              <w:right w:val="single" w:sz="4" w:space="0" w:color="auto"/>
            </w:tcBorders>
            <w:shd w:val="clear" w:color="000000" w:fill="FFFFFF"/>
            <w:tcMar>
              <w:left w:w="0" w:type="dxa"/>
              <w:right w:w="0" w:type="dxa"/>
            </w:tcMar>
            <w:vAlign w:val="center"/>
          </w:tcPr>
          <w:p w14:paraId="78581DB8" w14:textId="77777777" w:rsidR="00F22587" w:rsidRPr="000E5DBF" w:rsidRDefault="00F22587" w:rsidP="008A5C11">
            <w:pPr>
              <w:jc w:val="center"/>
              <w:rPr>
                <w:color w:val="000000"/>
                <w:sz w:val="14"/>
                <w:szCs w:val="14"/>
              </w:rPr>
            </w:pPr>
            <w:r w:rsidRPr="000E5DBF">
              <w:rPr>
                <w:color w:val="000000"/>
                <w:sz w:val="14"/>
                <w:szCs w:val="14"/>
              </w:rPr>
              <w:t>0,00</w:t>
            </w:r>
          </w:p>
        </w:tc>
        <w:tc>
          <w:tcPr>
            <w:tcW w:w="572"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677913CD" w14:textId="77777777" w:rsidR="00F22587" w:rsidRPr="000E5DBF" w:rsidRDefault="00F22587" w:rsidP="008A5C11">
            <w:pPr>
              <w:jc w:val="center"/>
              <w:rPr>
                <w:color w:val="000000"/>
                <w:sz w:val="14"/>
                <w:szCs w:val="14"/>
              </w:rPr>
            </w:pPr>
            <w:r w:rsidRPr="000E5DBF">
              <w:rPr>
                <w:color w:val="000000"/>
                <w:sz w:val="14"/>
                <w:szCs w:val="14"/>
              </w:rPr>
              <w:t>0,00</w:t>
            </w:r>
          </w:p>
        </w:tc>
        <w:tc>
          <w:tcPr>
            <w:tcW w:w="570" w:type="dxa"/>
            <w:tcBorders>
              <w:top w:val="nil"/>
              <w:left w:val="nil"/>
              <w:bottom w:val="single" w:sz="4" w:space="0" w:color="auto"/>
              <w:right w:val="single" w:sz="4" w:space="0" w:color="auto"/>
            </w:tcBorders>
            <w:shd w:val="clear" w:color="000000" w:fill="FFFFFF"/>
            <w:tcMar>
              <w:left w:w="0" w:type="dxa"/>
              <w:right w:w="0" w:type="dxa"/>
            </w:tcMar>
            <w:vAlign w:val="center"/>
          </w:tcPr>
          <w:p w14:paraId="2AF99855" w14:textId="77777777" w:rsidR="00F22587" w:rsidRPr="000E5DBF" w:rsidRDefault="00F22587" w:rsidP="008A5C11">
            <w:pPr>
              <w:jc w:val="center"/>
              <w:rPr>
                <w:color w:val="000000"/>
                <w:sz w:val="14"/>
                <w:szCs w:val="14"/>
              </w:rPr>
            </w:pPr>
            <w:r w:rsidRPr="000E5DBF">
              <w:rPr>
                <w:color w:val="000000"/>
                <w:sz w:val="14"/>
                <w:szCs w:val="14"/>
              </w:rPr>
              <w:t>0,00</w:t>
            </w:r>
          </w:p>
        </w:tc>
        <w:tc>
          <w:tcPr>
            <w:tcW w:w="572" w:type="dxa"/>
            <w:tcBorders>
              <w:top w:val="nil"/>
              <w:left w:val="nil"/>
              <w:bottom w:val="single" w:sz="4" w:space="0" w:color="auto"/>
              <w:right w:val="single" w:sz="4" w:space="0" w:color="auto"/>
            </w:tcBorders>
            <w:shd w:val="clear" w:color="000000" w:fill="FFFFFF"/>
            <w:tcMar>
              <w:left w:w="0" w:type="dxa"/>
              <w:right w:w="0" w:type="dxa"/>
            </w:tcMar>
            <w:vAlign w:val="center"/>
          </w:tcPr>
          <w:p w14:paraId="4455CE32" w14:textId="77777777" w:rsidR="00F22587" w:rsidRPr="000E5DBF" w:rsidRDefault="00F22587" w:rsidP="008A5C11">
            <w:pPr>
              <w:jc w:val="center"/>
              <w:rPr>
                <w:color w:val="000000"/>
                <w:sz w:val="14"/>
                <w:szCs w:val="14"/>
              </w:rPr>
            </w:pPr>
            <w:r w:rsidRPr="000E5DBF">
              <w:rPr>
                <w:color w:val="000000"/>
                <w:sz w:val="14"/>
                <w:szCs w:val="14"/>
              </w:rPr>
              <w:t>0,00</w:t>
            </w:r>
          </w:p>
        </w:tc>
        <w:tc>
          <w:tcPr>
            <w:tcW w:w="573" w:type="dxa"/>
            <w:tcBorders>
              <w:top w:val="nil"/>
              <w:left w:val="nil"/>
              <w:bottom w:val="single" w:sz="4" w:space="0" w:color="auto"/>
              <w:right w:val="single" w:sz="4" w:space="0" w:color="auto"/>
            </w:tcBorders>
            <w:shd w:val="clear" w:color="000000" w:fill="FFFFFF"/>
            <w:tcMar>
              <w:left w:w="0" w:type="dxa"/>
              <w:right w:w="0" w:type="dxa"/>
            </w:tcMar>
            <w:vAlign w:val="center"/>
          </w:tcPr>
          <w:p w14:paraId="2AD41B6C" w14:textId="77777777" w:rsidR="00F22587" w:rsidRPr="000E5DBF" w:rsidRDefault="00F22587" w:rsidP="008A5C11">
            <w:pPr>
              <w:jc w:val="center"/>
              <w:rPr>
                <w:color w:val="000000"/>
                <w:sz w:val="14"/>
                <w:szCs w:val="14"/>
              </w:rPr>
            </w:pPr>
            <w:r w:rsidRPr="000E5DBF">
              <w:rPr>
                <w:color w:val="000000"/>
                <w:sz w:val="14"/>
                <w:szCs w:val="14"/>
              </w:rPr>
              <w:t>0,00</w:t>
            </w:r>
          </w:p>
        </w:tc>
        <w:tc>
          <w:tcPr>
            <w:tcW w:w="574" w:type="dxa"/>
            <w:tcBorders>
              <w:top w:val="nil"/>
              <w:left w:val="nil"/>
              <w:bottom w:val="single" w:sz="4" w:space="0" w:color="auto"/>
              <w:right w:val="single" w:sz="4" w:space="0" w:color="auto"/>
            </w:tcBorders>
            <w:shd w:val="clear" w:color="000000" w:fill="FFFFFF"/>
            <w:tcMar>
              <w:left w:w="0" w:type="dxa"/>
              <w:right w:w="0" w:type="dxa"/>
            </w:tcMar>
            <w:vAlign w:val="center"/>
          </w:tcPr>
          <w:p w14:paraId="262CCE1C" w14:textId="77777777" w:rsidR="00F22587" w:rsidRPr="000E5DBF" w:rsidRDefault="00F22587" w:rsidP="008A5C11">
            <w:pPr>
              <w:jc w:val="center"/>
              <w:rPr>
                <w:color w:val="000000"/>
                <w:sz w:val="14"/>
                <w:szCs w:val="14"/>
              </w:rPr>
            </w:pPr>
            <w:r w:rsidRPr="000E5DBF">
              <w:rPr>
                <w:color w:val="000000"/>
                <w:sz w:val="14"/>
                <w:szCs w:val="14"/>
              </w:rPr>
              <w:t>0,00</w:t>
            </w:r>
          </w:p>
        </w:tc>
        <w:tc>
          <w:tcPr>
            <w:tcW w:w="567" w:type="dxa"/>
            <w:tcBorders>
              <w:top w:val="nil"/>
              <w:left w:val="nil"/>
              <w:bottom w:val="single" w:sz="4" w:space="0" w:color="auto"/>
              <w:right w:val="single" w:sz="4" w:space="0" w:color="auto"/>
            </w:tcBorders>
            <w:shd w:val="clear" w:color="000000" w:fill="FFFFFF"/>
            <w:tcMar>
              <w:left w:w="0" w:type="dxa"/>
              <w:right w:w="0" w:type="dxa"/>
            </w:tcMar>
            <w:vAlign w:val="center"/>
          </w:tcPr>
          <w:p w14:paraId="1FEBD3C7" w14:textId="77777777" w:rsidR="00F22587" w:rsidRPr="000E5DBF" w:rsidRDefault="00F22587" w:rsidP="008A5C11">
            <w:pPr>
              <w:jc w:val="center"/>
              <w:rPr>
                <w:color w:val="000000"/>
                <w:sz w:val="14"/>
                <w:szCs w:val="14"/>
              </w:rPr>
            </w:pPr>
            <w:r w:rsidRPr="000E5DBF">
              <w:rPr>
                <w:color w:val="000000"/>
                <w:sz w:val="14"/>
                <w:szCs w:val="14"/>
              </w:rPr>
              <w:t>0,00</w:t>
            </w:r>
          </w:p>
        </w:tc>
        <w:tc>
          <w:tcPr>
            <w:tcW w:w="292" w:type="dxa"/>
            <w:tcBorders>
              <w:top w:val="nil"/>
              <w:left w:val="nil"/>
              <w:bottom w:val="single" w:sz="4" w:space="0" w:color="auto"/>
              <w:right w:val="single" w:sz="4" w:space="0" w:color="auto"/>
            </w:tcBorders>
            <w:shd w:val="clear" w:color="000000" w:fill="FFFFFF"/>
            <w:tcMar>
              <w:left w:w="0" w:type="dxa"/>
              <w:right w:w="0" w:type="dxa"/>
            </w:tcMar>
            <w:vAlign w:val="center"/>
          </w:tcPr>
          <w:p w14:paraId="35283756" w14:textId="77777777" w:rsidR="00F22587" w:rsidRPr="000E5DBF" w:rsidRDefault="00F22587" w:rsidP="008A5C11">
            <w:pPr>
              <w:jc w:val="center"/>
              <w:rPr>
                <w:color w:val="000000"/>
                <w:sz w:val="14"/>
                <w:szCs w:val="14"/>
              </w:rPr>
            </w:pPr>
            <w:r w:rsidRPr="000E5DBF">
              <w:rPr>
                <w:color w:val="000000"/>
                <w:sz w:val="14"/>
                <w:szCs w:val="14"/>
              </w:rPr>
              <w:t>0,00</w:t>
            </w:r>
          </w:p>
        </w:tc>
        <w:tc>
          <w:tcPr>
            <w:tcW w:w="428" w:type="dxa"/>
            <w:gridSpan w:val="3"/>
            <w:tcBorders>
              <w:top w:val="nil"/>
              <w:left w:val="nil"/>
              <w:bottom w:val="single" w:sz="4" w:space="0" w:color="auto"/>
              <w:right w:val="single" w:sz="4" w:space="0" w:color="auto"/>
            </w:tcBorders>
            <w:shd w:val="clear" w:color="000000" w:fill="FFFFFF"/>
            <w:tcMar>
              <w:left w:w="0" w:type="dxa"/>
              <w:right w:w="0" w:type="dxa"/>
            </w:tcMar>
            <w:vAlign w:val="center"/>
          </w:tcPr>
          <w:p w14:paraId="62DFA100" w14:textId="77777777" w:rsidR="00F22587" w:rsidRPr="000E5DBF" w:rsidRDefault="00F22587" w:rsidP="008A5C11">
            <w:pPr>
              <w:jc w:val="center"/>
              <w:rPr>
                <w:color w:val="000000"/>
                <w:sz w:val="14"/>
                <w:szCs w:val="14"/>
              </w:rPr>
            </w:pPr>
            <w:r w:rsidRPr="000E5DBF">
              <w:rPr>
                <w:color w:val="000000"/>
                <w:sz w:val="14"/>
                <w:szCs w:val="14"/>
              </w:rPr>
              <w:t>0,00</w:t>
            </w:r>
          </w:p>
        </w:tc>
      </w:tr>
      <w:tr w:rsidR="00F22587" w:rsidRPr="000E5DBF" w14:paraId="4BF17979" w14:textId="77777777" w:rsidTr="008A5C11">
        <w:trPr>
          <w:cantSplit/>
          <w:trHeight w:val="245"/>
        </w:trPr>
        <w:tc>
          <w:tcPr>
            <w:tcW w:w="7561" w:type="dxa"/>
            <w:gridSpan w:val="11"/>
            <w:tcBorders>
              <w:top w:val="single" w:sz="4" w:space="0" w:color="auto"/>
              <w:left w:val="single" w:sz="4" w:space="0" w:color="auto"/>
              <w:bottom w:val="single" w:sz="4" w:space="0" w:color="auto"/>
              <w:right w:val="single" w:sz="4" w:space="0" w:color="000000"/>
            </w:tcBorders>
            <w:shd w:val="clear" w:color="auto" w:fill="auto"/>
            <w:tcMar>
              <w:left w:w="0" w:type="dxa"/>
              <w:right w:w="0" w:type="dxa"/>
            </w:tcMar>
            <w:vAlign w:val="center"/>
            <w:hideMark/>
          </w:tcPr>
          <w:p w14:paraId="3657300A" w14:textId="77777777" w:rsidR="00F22587" w:rsidRPr="000E5DBF" w:rsidRDefault="00F22587" w:rsidP="008A5C11">
            <w:pPr>
              <w:rPr>
                <w:color w:val="000000"/>
                <w:sz w:val="14"/>
                <w:szCs w:val="14"/>
              </w:rPr>
            </w:pPr>
            <w:r w:rsidRPr="000E5DBF">
              <w:rPr>
                <w:color w:val="000000"/>
                <w:sz w:val="14"/>
                <w:szCs w:val="14"/>
              </w:rPr>
              <w:t>ИТОГО по программе</w:t>
            </w:r>
          </w:p>
        </w:tc>
        <w:tc>
          <w:tcPr>
            <w:tcW w:w="573" w:type="dxa"/>
            <w:tcBorders>
              <w:top w:val="nil"/>
              <w:left w:val="nil"/>
              <w:bottom w:val="single" w:sz="4" w:space="0" w:color="auto"/>
              <w:right w:val="single" w:sz="4" w:space="0" w:color="auto"/>
            </w:tcBorders>
            <w:shd w:val="clear" w:color="000000" w:fill="FFFFFF"/>
            <w:tcMar>
              <w:left w:w="0" w:type="dxa"/>
              <w:right w:w="0" w:type="dxa"/>
            </w:tcMar>
            <w:vAlign w:val="center"/>
          </w:tcPr>
          <w:p w14:paraId="49DABD8F" w14:textId="77777777" w:rsidR="00F22587" w:rsidRPr="000E5DBF" w:rsidRDefault="00F22587" w:rsidP="008A5C11">
            <w:pPr>
              <w:ind w:left="-57" w:right="-57"/>
              <w:jc w:val="center"/>
              <w:rPr>
                <w:color w:val="000000"/>
                <w:sz w:val="14"/>
                <w:szCs w:val="14"/>
              </w:rPr>
            </w:pPr>
            <w:r w:rsidRPr="000E5DBF">
              <w:rPr>
                <w:color w:val="000000"/>
                <w:sz w:val="14"/>
                <w:szCs w:val="14"/>
              </w:rPr>
              <w:t>71880,34</w:t>
            </w:r>
          </w:p>
        </w:tc>
        <w:tc>
          <w:tcPr>
            <w:tcW w:w="447"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67A6ED31" w14:textId="77777777" w:rsidR="00F22587" w:rsidRPr="000E5DBF" w:rsidRDefault="00F22587" w:rsidP="008A5C11">
            <w:pPr>
              <w:jc w:val="center"/>
              <w:rPr>
                <w:color w:val="000000"/>
                <w:sz w:val="14"/>
                <w:szCs w:val="14"/>
              </w:rPr>
            </w:pPr>
            <w:r w:rsidRPr="000E5DBF">
              <w:rPr>
                <w:color w:val="000000"/>
                <w:sz w:val="14"/>
                <w:szCs w:val="14"/>
              </w:rPr>
              <w:t>0,00</w:t>
            </w:r>
          </w:p>
        </w:tc>
        <w:tc>
          <w:tcPr>
            <w:tcW w:w="559" w:type="dxa"/>
            <w:tcBorders>
              <w:top w:val="nil"/>
              <w:left w:val="nil"/>
              <w:bottom w:val="single" w:sz="4" w:space="0" w:color="auto"/>
              <w:right w:val="single" w:sz="4" w:space="0" w:color="auto"/>
            </w:tcBorders>
            <w:shd w:val="clear" w:color="000000" w:fill="FFFFFF"/>
            <w:tcMar>
              <w:left w:w="0" w:type="dxa"/>
              <w:right w:w="0" w:type="dxa"/>
            </w:tcMar>
            <w:vAlign w:val="center"/>
          </w:tcPr>
          <w:p w14:paraId="09E64D44" w14:textId="77777777" w:rsidR="00F22587" w:rsidRPr="000E5DBF" w:rsidRDefault="00F22587" w:rsidP="008A5C11">
            <w:pPr>
              <w:jc w:val="center"/>
              <w:rPr>
                <w:color w:val="000000"/>
                <w:sz w:val="14"/>
                <w:szCs w:val="14"/>
              </w:rPr>
            </w:pPr>
            <w:r w:rsidRPr="000E5DBF">
              <w:rPr>
                <w:color w:val="000000"/>
                <w:sz w:val="14"/>
                <w:szCs w:val="14"/>
              </w:rPr>
              <w:t>5623,18</w:t>
            </w:r>
          </w:p>
        </w:tc>
        <w:tc>
          <w:tcPr>
            <w:tcW w:w="572" w:type="dxa"/>
            <w:tcBorders>
              <w:top w:val="nil"/>
              <w:left w:val="nil"/>
              <w:bottom w:val="single" w:sz="4" w:space="0" w:color="auto"/>
              <w:right w:val="single" w:sz="4" w:space="0" w:color="auto"/>
            </w:tcBorders>
            <w:shd w:val="clear" w:color="000000" w:fill="FFFFFF"/>
            <w:tcMar>
              <w:left w:w="0" w:type="dxa"/>
              <w:right w:w="0" w:type="dxa"/>
            </w:tcMar>
            <w:vAlign w:val="center"/>
          </w:tcPr>
          <w:p w14:paraId="632EE2B9" w14:textId="77777777" w:rsidR="00F22587" w:rsidRPr="000E5DBF" w:rsidRDefault="00F22587" w:rsidP="008A5C11">
            <w:pPr>
              <w:jc w:val="center"/>
              <w:rPr>
                <w:color w:val="000000"/>
                <w:sz w:val="14"/>
                <w:szCs w:val="14"/>
              </w:rPr>
            </w:pPr>
            <w:r w:rsidRPr="000E5DBF">
              <w:rPr>
                <w:color w:val="000000"/>
                <w:sz w:val="14"/>
                <w:szCs w:val="14"/>
              </w:rPr>
              <w:t>6661,80</w:t>
            </w:r>
          </w:p>
        </w:tc>
        <w:tc>
          <w:tcPr>
            <w:tcW w:w="572" w:type="dxa"/>
            <w:tcBorders>
              <w:top w:val="nil"/>
              <w:left w:val="nil"/>
              <w:bottom w:val="single" w:sz="4" w:space="0" w:color="auto"/>
              <w:right w:val="single" w:sz="4" w:space="0" w:color="auto"/>
            </w:tcBorders>
            <w:shd w:val="clear" w:color="000000" w:fill="FFFFFF"/>
            <w:tcMar>
              <w:left w:w="0" w:type="dxa"/>
              <w:right w:w="0" w:type="dxa"/>
            </w:tcMar>
            <w:vAlign w:val="center"/>
          </w:tcPr>
          <w:p w14:paraId="18BCB5D1" w14:textId="77777777" w:rsidR="00F22587" w:rsidRPr="000E5DBF" w:rsidRDefault="00F22587" w:rsidP="008A5C11">
            <w:pPr>
              <w:jc w:val="center"/>
              <w:rPr>
                <w:color w:val="000000"/>
                <w:sz w:val="14"/>
                <w:szCs w:val="14"/>
              </w:rPr>
            </w:pPr>
            <w:r w:rsidRPr="000E5DBF">
              <w:rPr>
                <w:color w:val="000000"/>
                <w:sz w:val="14"/>
                <w:szCs w:val="14"/>
              </w:rPr>
              <w:t>7459,20</w:t>
            </w:r>
          </w:p>
        </w:tc>
        <w:tc>
          <w:tcPr>
            <w:tcW w:w="566" w:type="dxa"/>
            <w:tcBorders>
              <w:top w:val="nil"/>
              <w:left w:val="nil"/>
              <w:bottom w:val="single" w:sz="4" w:space="0" w:color="auto"/>
              <w:right w:val="single" w:sz="4" w:space="0" w:color="auto"/>
            </w:tcBorders>
            <w:shd w:val="clear" w:color="000000" w:fill="FFFFFF"/>
            <w:tcMar>
              <w:left w:w="0" w:type="dxa"/>
              <w:right w:w="0" w:type="dxa"/>
            </w:tcMar>
            <w:vAlign w:val="center"/>
          </w:tcPr>
          <w:p w14:paraId="1A97C7E7" w14:textId="77777777" w:rsidR="00F22587" w:rsidRPr="000E5DBF" w:rsidRDefault="00F22587" w:rsidP="008A5C11">
            <w:pPr>
              <w:jc w:val="center"/>
              <w:rPr>
                <w:color w:val="000000"/>
                <w:sz w:val="14"/>
                <w:szCs w:val="14"/>
              </w:rPr>
            </w:pPr>
            <w:r w:rsidRPr="000E5DBF">
              <w:rPr>
                <w:color w:val="000000"/>
                <w:sz w:val="14"/>
                <w:szCs w:val="14"/>
              </w:rPr>
              <w:t>7338,00</w:t>
            </w:r>
          </w:p>
        </w:tc>
        <w:tc>
          <w:tcPr>
            <w:tcW w:w="565" w:type="dxa"/>
            <w:tcBorders>
              <w:top w:val="nil"/>
              <w:left w:val="nil"/>
              <w:bottom w:val="single" w:sz="4" w:space="0" w:color="auto"/>
              <w:right w:val="single" w:sz="4" w:space="0" w:color="auto"/>
            </w:tcBorders>
            <w:shd w:val="clear" w:color="000000" w:fill="FFFFFF"/>
            <w:tcMar>
              <w:left w:w="0" w:type="dxa"/>
              <w:right w:w="0" w:type="dxa"/>
            </w:tcMar>
            <w:vAlign w:val="center"/>
          </w:tcPr>
          <w:p w14:paraId="4BDCAC81" w14:textId="77777777" w:rsidR="00F22587" w:rsidRPr="000E5DBF" w:rsidRDefault="00F22587" w:rsidP="008A5C11">
            <w:pPr>
              <w:jc w:val="center"/>
              <w:rPr>
                <w:color w:val="000000"/>
                <w:sz w:val="14"/>
                <w:szCs w:val="14"/>
              </w:rPr>
            </w:pPr>
            <w:r w:rsidRPr="000E5DBF">
              <w:rPr>
                <w:color w:val="000000"/>
                <w:sz w:val="14"/>
                <w:szCs w:val="14"/>
              </w:rPr>
              <w:t>4230,00</w:t>
            </w:r>
          </w:p>
        </w:tc>
        <w:tc>
          <w:tcPr>
            <w:tcW w:w="574" w:type="dxa"/>
            <w:tcBorders>
              <w:top w:val="nil"/>
              <w:left w:val="nil"/>
              <w:bottom w:val="single" w:sz="4" w:space="0" w:color="auto"/>
              <w:right w:val="single" w:sz="4" w:space="0" w:color="auto"/>
            </w:tcBorders>
            <w:shd w:val="clear" w:color="000000" w:fill="FFFFFF"/>
            <w:tcMar>
              <w:left w:w="0" w:type="dxa"/>
              <w:right w:w="0" w:type="dxa"/>
            </w:tcMar>
            <w:vAlign w:val="center"/>
          </w:tcPr>
          <w:p w14:paraId="6BD2A48E" w14:textId="77777777" w:rsidR="00F22587" w:rsidRPr="000E5DBF" w:rsidRDefault="00F22587" w:rsidP="008A5C11">
            <w:pPr>
              <w:jc w:val="center"/>
              <w:rPr>
                <w:color w:val="000000"/>
                <w:sz w:val="14"/>
                <w:szCs w:val="14"/>
              </w:rPr>
            </w:pPr>
            <w:r w:rsidRPr="000E5DBF">
              <w:rPr>
                <w:color w:val="000000"/>
                <w:sz w:val="14"/>
                <w:szCs w:val="14"/>
              </w:rPr>
              <w:t>5198,40</w:t>
            </w:r>
          </w:p>
        </w:tc>
        <w:tc>
          <w:tcPr>
            <w:tcW w:w="572"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0AFFD7AC" w14:textId="77777777" w:rsidR="00F22587" w:rsidRPr="000E5DBF" w:rsidRDefault="00F22587" w:rsidP="008A5C11">
            <w:pPr>
              <w:jc w:val="center"/>
              <w:rPr>
                <w:color w:val="000000"/>
                <w:sz w:val="14"/>
                <w:szCs w:val="14"/>
              </w:rPr>
            </w:pPr>
            <w:r w:rsidRPr="000E5DBF">
              <w:rPr>
                <w:color w:val="000000"/>
                <w:sz w:val="14"/>
                <w:szCs w:val="14"/>
              </w:rPr>
              <w:t>4353,84</w:t>
            </w:r>
          </w:p>
        </w:tc>
        <w:tc>
          <w:tcPr>
            <w:tcW w:w="570" w:type="dxa"/>
            <w:tcBorders>
              <w:top w:val="nil"/>
              <w:left w:val="nil"/>
              <w:bottom w:val="single" w:sz="4" w:space="0" w:color="auto"/>
              <w:right w:val="single" w:sz="4" w:space="0" w:color="auto"/>
            </w:tcBorders>
            <w:shd w:val="clear" w:color="000000" w:fill="FFFFFF"/>
            <w:tcMar>
              <w:left w:w="0" w:type="dxa"/>
              <w:right w:w="0" w:type="dxa"/>
            </w:tcMar>
            <w:vAlign w:val="center"/>
          </w:tcPr>
          <w:p w14:paraId="14018D2C" w14:textId="77777777" w:rsidR="00F22587" w:rsidRPr="000E5DBF" w:rsidRDefault="00F22587" w:rsidP="008A5C11">
            <w:pPr>
              <w:jc w:val="center"/>
              <w:rPr>
                <w:color w:val="000000"/>
                <w:sz w:val="14"/>
                <w:szCs w:val="14"/>
              </w:rPr>
            </w:pPr>
            <w:r w:rsidRPr="000E5DBF">
              <w:rPr>
                <w:color w:val="000000"/>
                <w:sz w:val="14"/>
                <w:szCs w:val="14"/>
              </w:rPr>
              <w:t>7986,24</w:t>
            </w:r>
          </w:p>
        </w:tc>
        <w:tc>
          <w:tcPr>
            <w:tcW w:w="572" w:type="dxa"/>
            <w:tcBorders>
              <w:top w:val="nil"/>
              <w:left w:val="nil"/>
              <w:bottom w:val="single" w:sz="4" w:space="0" w:color="auto"/>
              <w:right w:val="single" w:sz="4" w:space="0" w:color="auto"/>
            </w:tcBorders>
            <w:shd w:val="clear" w:color="000000" w:fill="FFFFFF"/>
            <w:tcMar>
              <w:left w:w="0" w:type="dxa"/>
              <w:right w:w="0" w:type="dxa"/>
            </w:tcMar>
            <w:vAlign w:val="center"/>
          </w:tcPr>
          <w:p w14:paraId="1A91807E" w14:textId="77777777" w:rsidR="00F22587" w:rsidRPr="000E5DBF" w:rsidRDefault="00F22587" w:rsidP="008A5C11">
            <w:pPr>
              <w:jc w:val="center"/>
              <w:rPr>
                <w:color w:val="000000"/>
                <w:sz w:val="14"/>
                <w:szCs w:val="14"/>
              </w:rPr>
            </w:pPr>
            <w:r w:rsidRPr="000E5DBF">
              <w:rPr>
                <w:color w:val="000000"/>
                <w:sz w:val="14"/>
                <w:szCs w:val="14"/>
              </w:rPr>
              <w:t>5208,00</w:t>
            </w:r>
          </w:p>
        </w:tc>
        <w:tc>
          <w:tcPr>
            <w:tcW w:w="573" w:type="dxa"/>
            <w:tcBorders>
              <w:top w:val="nil"/>
              <w:left w:val="nil"/>
              <w:bottom w:val="single" w:sz="4" w:space="0" w:color="auto"/>
              <w:right w:val="single" w:sz="4" w:space="0" w:color="auto"/>
            </w:tcBorders>
            <w:shd w:val="clear" w:color="000000" w:fill="FFFFFF"/>
            <w:tcMar>
              <w:left w:w="0" w:type="dxa"/>
              <w:right w:w="0" w:type="dxa"/>
            </w:tcMar>
            <w:vAlign w:val="center"/>
          </w:tcPr>
          <w:p w14:paraId="5AFB1B64" w14:textId="77777777" w:rsidR="00F22587" w:rsidRPr="000E5DBF" w:rsidRDefault="00F22587" w:rsidP="008A5C11">
            <w:pPr>
              <w:jc w:val="center"/>
              <w:rPr>
                <w:color w:val="000000"/>
                <w:sz w:val="14"/>
                <w:szCs w:val="14"/>
              </w:rPr>
            </w:pPr>
            <w:r w:rsidRPr="000E5DBF">
              <w:rPr>
                <w:color w:val="000000"/>
                <w:sz w:val="14"/>
                <w:szCs w:val="14"/>
              </w:rPr>
              <w:t>5976,00</w:t>
            </w:r>
          </w:p>
        </w:tc>
        <w:tc>
          <w:tcPr>
            <w:tcW w:w="574" w:type="dxa"/>
            <w:tcBorders>
              <w:top w:val="nil"/>
              <w:left w:val="nil"/>
              <w:bottom w:val="single" w:sz="4" w:space="0" w:color="auto"/>
              <w:right w:val="single" w:sz="4" w:space="0" w:color="auto"/>
            </w:tcBorders>
            <w:shd w:val="clear" w:color="000000" w:fill="FFFFFF"/>
            <w:tcMar>
              <w:left w:w="0" w:type="dxa"/>
              <w:right w:w="0" w:type="dxa"/>
            </w:tcMar>
            <w:vAlign w:val="center"/>
          </w:tcPr>
          <w:p w14:paraId="6E56BF51" w14:textId="77777777" w:rsidR="00F22587" w:rsidRPr="000E5DBF" w:rsidRDefault="00F22587" w:rsidP="008A5C11">
            <w:pPr>
              <w:jc w:val="center"/>
              <w:rPr>
                <w:color w:val="000000"/>
                <w:sz w:val="14"/>
                <w:szCs w:val="14"/>
              </w:rPr>
            </w:pPr>
            <w:r w:rsidRPr="000E5DBF">
              <w:rPr>
                <w:color w:val="000000"/>
                <w:sz w:val="14"/>
                <w:szCs w:val="14"/>
              </w:rPr>
              <w:t>7137,80</w:t>
            </w:r>
          </w:p>
        </w:tc>
        <w:tc>
          <w:tcPr>
            <w:tcW w:w="567" w:type="dxa"/>
            <w:tcBorders>
              <w:top w:val="nil"/>
              <w:left w:val="nil"/>
              <w:bottom w:val="single" w:sz="4" w:space="0" w:color="auto"/>
              <w:right w:val="single" w:sz="4" w:space="0" w:color="auto"/>
            </w:tcBorders>
            <w:shd w:val="clear" w:color="000000" w:fill="FFFFFF"/>
            <w:tcMar>
              <w:left w:w="0" w:type="dxa"/>
              <w:right w:w="0" w:type="dxa"/>
            </w:tcMar>
            <w:vAlign w:val="center"/>
          </w:tcPr>
          <w:p w14:paraId="10F66729" w14:textId="77777777" w:rsidR="00F22587" w:rsidRPr="000E5DBF" w:rsidRDefault="00F22587" w:rsidP="008A5C11">
            <w:pPr>
              <w:jc w:val="center"/>
              <w:rPr>
                <w:color w:val="000000"/>
                <w:sz w:val="14"/>
                <w:szCs w:val="14"/>
              </w:rPr>
            </w:pPr>
            <w:r w:rsidRPr="000E5DBF">
              <w:rPr>
                <w:color w:val="000000"/>
                <w:sz w:val="14"/>
                <w:szCs w:val="14"/>
              </w:rPr>
              <w:t>4707,80</w:t>
            </w:r>
          </w:p>
        </w:tc>
        <w:tc>
          <w:tcPr>
            <w:tcW w:w="292" w:type="dxa"/>
            <w:tcBorders>
              <w:top w:val="nil"/>
              <w:left w:val="nil"/>
              <w:bottom w:val="single" w:sz="4" w:space="0" w:color="auto"/>
              <w:right w:val="single" w:sz="4" w:space="0" w:color="auto"/>
            </w:tcBorders>
            <w:shd w:val="clear" w:color="000000" w:fill="FFFFFF"/>
            <w:tcMar>
              <w:left w:w="0" w:type="dxa"/>
              <w:right w:w="0" w:type="dxa"/>
            </w:tcMar>
            <w:vAlign w:val="center"/>
          </w:tcPr>
          <w:p w14:paraId="57E0568D" w14:textId="77777777" w:rsidR="00F22587" w:rsidRPr="000E5DBF" w:rsidRDefault="00F22587" w:rsidP="008A5C11">
            <w:pPr>
              <w:jc w:val="center"/>
              <w:rPr>
                <w:color w:val="000000"/>
                <w:sz w:val="14"/>
                <w:szCs w:val="14"/>
              </w:rPr>
            </w:pPr>
            <w:r w:rsidRPr="000E5DBF">
              <w:rPr>
                <w:color w:val="000000"/>
                <w:sz w:val="14"/>
                <w:szCs w:val="14"/>
              </w:rPr>
              <w:t>0,00</w:t>
            </w:r>
          </w:p>
        </w:tc>
        <w:tc>
          <w:tcPr>
            <w:tcW w:w="428" w:type="dxa"/>
            <w:gridSpan w:val="3"/>
            <w:tcBorders>
              <w:top w:val="nil"/>
              <w:left w:val="nil"/>
              <w:bottom w:val="single" w:sz="4" w:space="0" w:color="auto"/>
              <w:right w:val="single" w:sz="4" w:space="0" w:color="auto"/>
            </w:tcBorders>
            <w:shd w:val="clear" w:color="000000" w:fill="FFFFFF"/>
            <w:tcMar>
              <w:left w:w="0" w:type="dxa"/>
              <w:right w:w="0" w:type="dxa"/>
            </w:tcMar>
            <w:vAlign w:val="center"/>
          </w:tcPr>
          <w:p w14:paraId="54654413" w14:textId="77777777" w:rsidR="00F22587" w:rsidRPr="000E5DBF" w:rsidRDefault="00F22587" w:rsidP="008A5C11">
            <w:pPr>
              <w:jc w:val="center"/>
              <w:rPr>
                <w:color w:val="000000"/>
                <w:sz w:val="14"/>
                <w:szCs w:val="14"/>
              </w:rPr>
            </w:pPr>
            <w:r w:rsidRPr="000E5DBF">
              <w:rPr>
                <w:color w:val="000000"/>
                <w:sz w:val="14"/>
                <w:szCs w:val="14"/>
              </w:rPr>
              <w:t>0,00</w:t>
            </w:r>
          </w:p>
        </w:tc>
      </w:tr>
    </w:tbl>
    <w:p w14:paraId="09CDF85E" w14:textId="77777777" w:rsidR="00F22587" w:rsidRPr="000E5DBF" w:rsidRDefault="00F22587" w:rsidP="00F22587">
      <w:pPr>
        <w:spacing w:after="120" w:line="360" w:lineRule="auto"/>
        <w:jc w:val="both"/>
        <w:rPr>
          <w:sz w:val="28"/>
          <w:szCs w:val="28"/>
        </w:rPr>
      </w:pPr>
    </w:p>
    <w:p w14:paraId="3DBDE6B8" w14:textId="77777777" w:rsidR="00F22587" w:rsidRDefault="00F22587" w:rsidP="00F22587">
      <w:pPr>
        <w:tabs>
          <w:tab w:val="left" w:pos="5580"/>
          <w:tab w:val="left" w:pos="9498"/>
        </w:tabs>
        <w:ind w:right="-569"/>
        <w:rPr>
          <w:color w:val="000000" w:themeColor="text1"/>
        </w:rPr>
        <w:sectPr w:rsidR="00F22587" w:rsidSect="000E5DBF">
          <w:pgSz w:w="16838" w:h="11906" w:orient="landscape"/>
          <w:pgMar w:top="1701" w:right="1134" w:bottom="850" w:left="1134" w:header="708" w:footer="708" w:gutter="0"/>
          <w:cols w:space="708"/>
          <w:docGrid w:linePitch="360"/>
        </w:sectPr>
      </w:pPr>
    </w:p>
    <w:p w14:paraId="543D25F7" w14:textId="220C0259" w:rsidR="00F22587" w:rsidRPr="00081AD4" w:rsidRDefault="00F22587" w:rsidP="00F22587">
      <w:pPr>
        <w:tabs>
          <w:tab w:val="left" w:pos="3686"/>
          <w:tab w:val="left" w:pos="9498"/>
        </w:tabs>
        <w:ind w:left="-3734" w:right="-1" w:firstLine="9121"/>
        <w:rPr>
          <w:color w:val="000000" w:themeColor="text1"/>
        </w:rPr>
      </w:pPr>
      <w:r w:rsidRPr="00081AD4">
        <w:rPr>
          <w:color w:val="000000" w:themeColor="text1"/>
        </w:rPr>
        <w:t xml:space="preserve">Приложение № </w:t>
      </w:r>
      <w:r>
        <w:rPr>
          <w:color w:val="000000" w:themeColor="text1"/>
        </w:rPr>
        <w:t>2</w:t>
      </w:r>
      <w:r>
        <w:rPr>
          <w:color w:val="000000" w:themeColor="text1"/>
        </w:rPr>
        <w:t>2</w:t>
      </w:r>
      <w:r>
        <w:rPr>
          <w:color w:val="000000" w:themeColor="text1"/>
        </w:rPr>
        <w:t xml:space="preserve"> к протоколу</w:t>
      </w:r>
      <w:r w:rsidRPr="00081AD4">
        <w:rPr>
          <w:color w:val="000000" w:themeColor="text1"/>
        </w:rPr>
        <w:t xml:space="preserve"> № </w:t>
      </w:r>
      <w:r>
        <w:rPr>
          <w:color w:val="000000" w:themeColor="text1"/>
        </w:rPr>
        <w:t>88</w:t>
      </w:r>
    </w:p>
    <w:p w14:paraId="48E66460" w14:textId="77777777" w:rsidR="00F22587" w:rsidRPr="00081AD4" w:rsidRDefault="00F22587" w:rsidP="00F22587">
      <w:pPr>
        <w:tabs>
          <w:tab w:val="left" w:pos="3686"/>
          <w:tab w:val="left" w:pos="9498"/>
        </w:tabs>
        <w:ind w:left="-3734" w:right="-1" w:firstLine="912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49A58314" w14:textId="77777777" w:rsidR="00F22587" w:rsidRPr="00081AD4" w:rsidRDefault="00F22587" w:rsidP="00F22587">
      <w:pPr>
        <w:tabs>
          <w:tab w:val="left" w:pos="3686"/>
          <w:tab w:val="left" w:pos="9498"/>
        </w:tabs>
        <w:ind w:left="-3734" w:right="-1" w:firstLine="9121"/>
        <w:rPr>
          <w:color w:val="000000" w:themeColor="text1"/>
        </w:rPr>
      </w:pPr>
      <w:r w:rsidRPr="00081AD4">
        <w:rPr>
          <w:color w:val="000000" w:themeColor="text1"/>
        </w:rPr>
        <w:t>энергетической комиссии</w:t>
      </w:r>
    </w:p>
    <w:p w14:paraId="6DA265B0" w14:textId="77777777" w:rsidR="00F22587" w:rsidRDefault="00F22587" w:rsidP="00F22587">
      <w:pPr>
        <w:autoSpaceDE w:val="0"/>
        <w:autoSpaceDN w:val="0"/>
        <w:adjustRightInd w:val="0"/>
        <w:ind w:firstLine="5387"/>
        <w:rPr>
          <w:color w:val="000000" w:themeColor="text1"/>
        </w:rPr>
      </w:pPr>
      <w:r w:rsidRPr="00081AD4">
        <w:rPr>
          <w:color w:val="000000" w:themeColor="text1"/>
        </w:rPr>
        <w:t xml:space="preserve">Кузбасса от </w:t>
      </w:r>
      <w:r>
        <w:rPr>
          <w:color w:val="000000" w:themeColor="text1"/>
        </w:rPr>
        <w:t>23</w:t>
      </w:r>
      <w:r w:rsidRPr="00081AD4">
        <w:rPr>
          <w:color w:val="000000" w:themeColor="text1"/>
        </w:rPr>
        <w:t>.</w:t>
      </w:r>
      <w:r>
        <w:rPr>
          <w:color w:val="000000" w:themeColor="text1"/>
        </w:rPr>
        <w:t>12</w:t>
      </w:r>
      <w:r w:rsidRPr="00081AD4">
        <w:rPr>
          <w:color w:val="000000" w:themeColor="text1"/>
        </w:rPr>
        <w:t>.202</w:t>
      </w:r>
      <w:r>
        <w:rPr>
          <w:color w:val="000000" w:themeColor="text1"/>
        </w:rPr>
        <w:t>1</w:t>
      </w:r>
    </w:p>
    <w:p w14:paraId="2DC11BC5" w14:textId="77777777" w:rsidR="00F22587" w:rsidRDefault="00F22587" w:rsidP="00F22587">
      <w:pPr>
        <w:tabs>
          <w:tab w:val="left" w:pos="5580"/>
          <w:tab w:val="left" w:pos="9498"/>
        </w:tabs>
        <w:ind w:left="-2347" w:right="-569" w:firstLine="6883"/>
        <w:rPr>
          <w:color w:val="000000" w:themeColor="text1"/>
        </w:rPr>
      </w:pPr>
    </w:p>
    <w:p w14:paraId="64531B5F" w14:textId="77777777" w:rsidR="00F22587" w:rsidRPr="000E5DBF" w:rsidRDefault="00F22587" w:rsidP="00F22587">
      <w:pPr>
        <w:autoSpaceDE w:val="0"/>
        <w:autoSpaceDN w:val="0"/>
        <w:adjustRightInd w:val="0"/>
        <w:jc w:val="center"/>
        <w:rPr>
          <w:bCs/>
          <w:color w:val="000000"/>
          <w:sz w:val="28"/>
          <w:szCs w:val="28"/>
        </w:rPr>
      </w:pPr>
      <w:r w:rsidRPr="000E5DBF">
        <w:rPr>
          <w:bCs/>
          <w:color w:val="000000"/>
          <w:sz w:val="28"/>
          <w:szCs w:val="28"/>
        </w:rPr>
        <w:t xml:space="preserve">Паспорт инвестиционной программы в сфере теплоснабжения </w:t>
      </w:r>
      <w:r w:rsidRPr="000E5DBF">
        <w:rPr>
          <w:bCs/>
          <w:color w:val="000000"/>
          <w:sz w:val="28"/>
          <w:szCs w:val="28"/>
        </w:rPr>
        <w:br/>
        <w:t xml:space="preserve">ООО «Управление котельных и тепловых сетей» (г. Гурьевск) </w:t>
      </w:r>
    </w:p>
    <w:p w14:paraId="634DFE4D" w14:textId="77777777" w:rsidR="00F22587" w:rsidRPr="000E5DBF" w:rsidRDefault="00F22587" w:rsidP="00F22587">
      <w:pPr>
        <w:autoSpaceDE w:val="0"/>
        <w:autoSpaceDN w:val="0"/>
        <w:adjustRightInd w:val="0"/>
        <w:jc w:val="both"/>
        <w:rPr>
          <w:sz w:val="22"/>
          <w:szCs w:val="22"/>
        </w:rPr>
      </w:pP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000" w:firstRow="0" w:lastRow="0" w:firstColumn="0" w:lastColumn="0" w:noHBand="0" w:noVBand="0"/>
      </w:tblPr>
      <w:tblGrid>
        <w:gridCol w:w="4962"/>
        <w:gridCol w:w="5008"/>
      </w:tblGrid>
      <w:tr w:rsidR="00F22587" w:rsidRPr="000E5DBF" w14:paraId="2D5359E1" w14:textId="77777777" w:rsidTr="008A5C11">
        <w:trPr>
          <w:trHeight w:val="353"/>
        </w:trPr>
        <w:tc>
          <w:tcPr>
            <w:tcW w:w="4962" w:type="dxa"/>
            <w:tcMar>
              <w:top w:w="28" w:type="dxa"/>
              <w:left w:w="28" w:type="dxa"/>
              <w:bottom w:w="28" w:type="dxa"/>
              <w:right w:w="28" w:type="dxa"/>
            </w:tcMar>
            <w:vAlign w:val="center"/>
          </w:tcPr>
          <w:p w14:paraId="4221B44D" w14:textId="77777777" w:rsidR="00F22587" w:rsidRPr="000E5DBF" w:rsidRDefault="00F22587" w:rsidP="008A5C11">
            <w:pPr>
              <w:autoSpaceDE w:val="0"/>
              <w:autoSpaceDN w:val="0"/>
              <w:adjustRightInd w:val="0"/>
              <w:ind w:left="-57" w:right="-57"/>
              <w:jc w:val="center"/>
            </w:pPr>
            <w:r w:rsidRPr="000E5DBF">
              <w:t>Наименование организации, в отношении которой разрабатывается инвестиционная программа в сфере теплоснабжения</w:t>
            </w:r>
          </w:p>
        </w:tc>
        <w:tc>
          <w:tcPr>
            <w:tcW w:w="5008" w:type="dxa"/>
            <w:tcMar>
              <w:top w:w="28" w:type="dxa"/>
              <w:left w:w="28" w:type="dxa"/>
              <w:bottom w:w="28" w:type="dxa"/>
              <w:right w:w="28" w:type="dxa"/>
            </w:tcMar>
            <w:vAlign w:val="center"/>
          </w:tcPr>
          <w:p w14:paraId="220ED022" w14:textId="77777777" w:rsidR="00F22587" w:rsidRPr="000E5DBF" w:rsidRDefault="00F22587" w:rsidP="008A5C11">
            <w:pPr>
              <w:jc w:val="center"/>
            </w:pPr>
            <w:r w:rsidRPr="000E5DBF">
              <w:t>ООО «Управление котельных и тепловых сетей»</w:t>
            </w:r>
          </w:p>
        </w:tc>
      </w:tr>
      <w:tr w:rsidR="00F22587" w:rsidRPr="000E5DBF" w14:paraId="43819321" w14:textId="77777777" w:rsidTr="008A5C11">
        <w:trPr>
          <w:trHeight w:val="266"/>
        </w:trPr>
        <w:tc>
          <w:tcPr>
            <w:tcW w:w="4962" w:type="dxa"/>
            <w:tcMar>
              <w:top w:w="28" w:type="dxa"/>
              <w:left w:w="28" w:type="dxa"/>
              <w:bottom w:w="28" w:type="dxa"/>
              <w:right w:w="28" w:type="dxa"/>
            </w:tcMar>
            <w:vAlign w:val="center"/>
          </w:tcPr>
          <w:p w14:paraId="71ABE90C" w14:textId="77777777" w:rsidR="00F22587" w:rsidRPr="000E5DBF" w:rsidRDefault="00F22587" w:rsidP="008A5C11">
            <w:pPr>
              <w:autoSpaceDE w:val="0"/>
              <w:autoSpaceDN w:val="0"/>
              <w:adjustRightInd w:val="0"/>
              <w:ind w:left="-57" w:right="-57"/>
              <w:jc w:val="center"/>
            </w:pPr>
            <w:r w:rsidRPr="000E5DBF">
              <w:t>Местонахождение регулируемой организации</w:t>
            </w:r>
          </w:p>
        </w:tc>
        <w:tc>
          <w:tcPr>
            <w:tcW w:w="5008" w:type="dxa"/>
            <w:tcMar>
              <w:top w:w="28" w:type="dxa"/>
              <w:left w:w="28" w:type="dxa"/>
              <w:bottom w:w="28" w:type="dxa"/>
              <w:right w:w="28" w:type="dxa"/>
            </w:tcMar>
            <w:vAlign w:val="center"/>
          </w:tcPr>
          <w:p w14:paraId="6B18692B" w14:textId="77777777" w:rsidR="00F22587" w:rsidRPr="000E5DBF" w:rsidRDefault="00F22587" w:rsidP="008A5C11">
            <w:pPr>
              <w:jc w:val="center"/>
            </w:pPr>
            <w:r w:rsidRPr="000E5DBF">
              <w:t xml:space="preserve">652780, Кемеровская область, г. Гурьевск, </w:t>
            </w:r>
          </w:p>
          <w:p w14:paraId="2287818C" w14:textId="77777777" w:rsidR="00F22587" w:rsidRPr="000E5DBF" w:rsidRDefault="00F22587" w:rsidP="008A5C11">
            <w:pPr>
              <w:jc w:val="center"/>
            </w:pPr>
            <w:r w:rsidRPr="000E5DBF">
              <w:t>ул. Партизанская, 19</w:t>
            </w:r>
          </w:p>
        </w:tc>
      </w:tr>
      <w:tr w:rsidR="00F22587" w:rsidRPr="000E5DBF" w14:paraId="1372B95F" w14:textId="77777777" w:rsidTr="008A5C11">
        <w:trPr>
          <w:trHeight w:val="23"/>
        </w:trPr>
        <w:tc>
          <w:tcPr>
            <w:tcW w:w="4962" w:type="dxa"/>
            <w:tcMar>
              <w:top w:w="28" w:type="dxa"/>
              <w:left w:w="28" w:type="dxa"/>
              <w:bottom w:w="28" w:type="dxa"/>
              <w:right w:w="28" w:type="dxa"/>
            </w:tcMar>
            <w:vAlign w:val="center"/>
          </w:tcPr>
          <w:p w14:paraId="5CF62676" w14:textId="77777777" w:rsidR="00F22587" w:rsidRPr="000E5DBF" w:rsidRDefault="00F22587" w:rsidP="008A5C11">
            <w:pPr>
              <w:autoSpaceDE w:val="0"/>
              <w:autoSpaceDN w:val="0"/>
              <w:adjustRightInd w:val="0"/>
              <w:ind w:left="-57" w:right="-57"/>
              <w:jc w:val="center"/>
            </w:pPr>
            <w:r w:rsidRPr="000E5DBF">
              <w:t>Сроки реализации инвестиционной программы</w:t>
            </w:r>
          </w:p>
        </w:tc>
        <w:tc>
          <w:tcPr>
            <w:tcW w:w="5008" w:type="dxa"/>
            <w:tcMar>
              <w:top w:w="28" w:type="dxa"/>
              <w:left w:w="28" w:type="dxa"/>
              <w:bottom w:w="28" w:type="dxa"/>
              <w:right w:w="28" w:type="dxa"/>
            </w:tcMar>
            <w:vAlign w:val="center"/>
          </w:tcPr>
          <w:p w14:paraId="6A2E7606" w14:textId="77777777" w:rsidR="00F22587" w:rsidRPr="000E5DBF" w:rsidRDefault="00F22587" w:rsidP="008A5C11">
            <w:pPr>
              <w:jc w:val="center"/>
            </w:pPr>
            <w:r w:rsidRPr="000E5DBF">
              <w:t>2019 - 2030 годы</w:t>
            </w:r>
          </w:p>
        </w:tc>
      </w:tr>
      <w:tr w:rsidR="00F22587" w:rsidRPr="000E5DBF" w14:paraId="4CEE658A" w14:textId="77777777" w:rsidTr="008A5C11">
        <w:trPr>
          <w:trHeight w:val="98"/>
        </w:trPr>
        <w:tc>
          <w:tcPr>
            <w:tcW w:w="4962" w:type="dxa"/>
            <w:tcMar>
              <w:top w:w="28" w:type="dxa"/>
              <w:left w:w="28" w:type="dxa"/>
              <w:bottom w:w="28" w:type="dxa"/>
              <w:right w:w="28" w:type="dxa"/>
            </w:tcMar>
            <w:vAlign w:val="center"/>
          </w:tcPr>
          <w:p w14:paraId="333E2849" w14:textId="77777777" w:rsidR="00F22587" w:rsidRPr="000E5DBF" w:rsidRDefault="00F22587" w:rsidP="008A5C11">
            <w:pPr>
              <w:autoSpaceDE w:val="0"/>
              <w:autoSpaceDN w:val="0"/>
              <w:adjustRightInd w:val="0"/>
              <w:ind w:left="-57" w:right="-57"/>
              <w:jc w:val="center"/>
            </w:pPr>
            <w:r w:rsidRPr="000E5DBF">
              <w:t>Лицо, ответственное за разработку инвестиционной программы</w:t>
            </w:r>
          </w:p>
        </w:tc>
        <w:tc>
          <w:tcPr>
            <w:tcW w:w="5008" w:type="dxa"/>
            <w:tcMar>
              <w:top w:w="28" w:type="dxa"/>
              <w:left w:w="28" w:type="dxa"/>
              <w:bottom w:w="28" w:type="dxa"/>
              <w:right w:w="28" w:type="dxa"/>
            </w:tcMar>
            <w:vAlign w:val="center"/>
          </w:tcPr>
          <w:p w14:paraId="729C49E4" w14:textId="77777777" w:rsidR="00F22587" w:rsidRPr="000E5DBF" w:rsidRDefault="00F22587" w:rsidP="008A5C11">
            <w:pPr>
              <w:jc w:val="center"/>
            </w:pPr>
            <w:r w:rsidRPr="000E5DBF">
              <w:t>Главный инженер Валерий Юрьевич Кох,</w:t>
            </w:r>
          </w:p>
          <w:p w14:paraId="70CB93B4" w14:textId="77777777" w:rsidR="00F22587" w:rsidRPr="000E5DBF" w:rsidRDefault="00F22587" w:rsidP="008A5C11">
            <w:pPr>
              <w:jc w:val="center"/>
            </w:pPr>
            <w:r w:rsidRPr="000E5DBF">
              <w:t>Главный экономист Вера Ивановна Федотова</w:t>
            </w:r>
          </w:p>
        </w:tc>
      </w:tr>
      <w:tr w:rsidR="00F22587" w:rsidRPr="000E5DBF" w14:paraId="2F922959" w14:textId="77777777" w:rsidTr="008A5C11">
        <w:trPr>
          <w:trHeight w:val="66"/>
        </w:trPr>
        <w:tc>
          <w:tcPr>
            <w:tcW w:w="4962" w:type="dxa"/>
            <w:tcMar>
              <w:top w:w="28" w:type="dxa"/>
              <w:left w:w="28" w:type="dxa"/>
              <w:bottom w:w="28" w:type="dxa"/>
              <w:right w:w="28" w:type="dxa"/>
            </w:tcMar>
            <w:vAlign w:val="center"/>
          </w:tcPr>
          <w:p w14:paraId="70BA306D" w14:textId="77777777" w:rsidR="00F22587" w:rsidRPr="000E5DBF" w:rsidRDefault="00F22587" w:rsidP="008A5C11">
            <w:pPr>
              <w:autoSpaceDE w:val="0"/>
              <w:autoSpaceDN w:val="0"/>
              <w:adjustRightInd w:val="0"/>
              <w:ind w:left="-57" w:right="-57"/>
              <w:jc w:val="center"/>
            </w:pPr>
            <w:r w:rsidRPr="000E5DBF">
              <w:t>Контактная информация лица, ответственного</w:t>
            </w:r>
          </w:p>
          <w:p w14:paraId="31E0C8E0" w14:textId="77777777" w:rsidR="00F22587" w:rsidRPr="000E5DBF" w:rsidRDefault="00F22587" w:rsidP="008A5C11">
            <w:pPr>
              <w:autoSpaceDE w:val="0"/>
              <w:autoSpaceDN w:val="0"/>
              <w:adjustRightInd w:val="0"/>
              <w:ind w:left="-57" w:right="-57"/>
              <w:jc w:val="center"/>
            </w:pPr>
            <w:r w:rsidRPr="000E5DBF">
              <w:t>за разработку инвестиционной программы</w:t>
            </w:r>
          </w:p>
        </w:tc>
        <w:tc>
          <w:tcPr>
            <w:tcW w:w="5008" w:type="dxa"/>
            <w:tcMar>
              <w:top w:w="28" w:type="dxa"/>
              <w:left w:w="28" w:type="dxa"/>
              <w:bottom w:w="28" w:type="dxa"/>
              <w:right w:w="28" w:type="dxa"/>
            </w:tcMar>
            <w:vAlign w:val="center"/>
          </w:tcPr>
          <w:p w14:paraId="1786F5D8" w14:textId="77777777" w:rsidR="00F22587" w:rsidRPr="000E5DBF" w:rsidRDefault="00F22587" w:rsidP="008A5C11">
            <w:pPr>
              <w:jc w:val="center"/>
            </w:pPr>
            <w:r w:rsidRPr="000E5DBF">
              <w:t xml:space="preserve">8(38463) 5-67-33, 5-55-40, (факс)5-42-50, электронный адрес: </w:t>
            </w:r>
            <w:hyperlink r:id="rId57" w:history="1">
              <w:r w:rsidRPr="000E5DBF">
                <w:t>uktsgur@rambler.ru</w:t>
              </w:r>
            </w:hyperlink>
          </w:p>
        </w:tc>
      </w:tr>
      <w:tr w:rsidR="00F22587" w:rsidRPr="000E5DBF" w14:paraId="326C56F4" w14:textId="77777777" w:rsidTr="008A5C11">
        <w:trPr>
          <w:trHeight w:val="345"/>
        </w:trPr>
        <w:tc>
          <w:tcPr>
            <w:tcW w:w="4962" w:type="dxa"/>
            <w:tcMar>
              <w:top w:w="28" w:type="dxa"/>
              <w:left w:w="28" w:type="dxa"/>
              <w:bottom w:w="28" w:type="dxa"/>
              <w:right w:w="28" w:type="dxa"/>
            </w:tcMar>
            <w:vAlign w:val="center"/>
          </w:tcPr>
          <w:p w14:paraId="154918EC" w14:textId="77777777" w:rsidR="00F22587" w:rsidRPr="000E5DBF" w:rsidRDefault="00F22587" w:rsidP="008A5C11">
            <w:pPr>
              <w:autoSpaceDE w:val="0"/>
              <w:autoSpaceDN w:val="0"/>
              <w:adjustRightInd w:val="0"/>
              <w:ind w:left="-57" w:right="-57"/>
              <w:jc w:val="center"/>
            </w:pPr>
            <w:r w:rsidRPr="000E5DBF">
              <w:t>Наименование органа исполнительной власти субъекта РФ, утвердившего инвестиционную программу</w:t>
            </w:r>
          </w:p>
        </w:tc>
        <w:tc>
          <w:tcPr>
            <w:tcW w:w="5008" w:type="dxa"/>
            <w:tcMar>
              <w:top w:w="28" w:type="dxa"/>
              <w:left w:w="28" w:type="dxa"/>
              <w:bottom w:w="28" w:type="dxa"/>
              <w:right w:w="28" w:type="dxa"/>
            </w:tcMar>
            <w:vAlign w:val="center"/>
          </w:tcPr>
          <w:p w14:paraId="304DC431" w14:textId="77777777" w:rsidR="00F22587" w:rsidRPr="000E5DBF" w:rsidRDefault="00F22587" w:rsidP="008A5C11">
            <w:pPr>
              <w:ind w:left="-57" w:right="-57"/>
              <w:jc w:val="center"/>
              <w:rPr>
                <w:color w:val="000000"/>
              </w:rPr>
            </w:pPr>
            <w:r w:rsidRPr="000E5DBF">
              <w:rPr>
                <w:color w:val="000000"/>
              </w:rPr>
              <w:t>Региональная энергетическая комиссия Кемеровской области</w:t>
            </w:r>
          </w:p>
        </w:tc>
      </w:tr>
      <w:tr w:rsidR="00F22587" w:rsidRPr="000E5DBF" w14:paraId="7171F00F" w14:textId="77777777" w:rsidTr="008A5C11">
        <w:trPr>
          <w:trHeight w:val="48"/>
        </w:trPr>
        <w:tc>
          <w:tcPr>
            <w:tcW w:w="4962" w:type="dxa"/>
            <w:tcMar>
              <w:top w:w="28" w:type="dxa"/>
              <w:left w:w="28" w:type="dxa"/>
              <w:bottom w:w="28" w:type="dxa"/>
              <w:right w:w="28" w:type="dxa"/>
            </w:tcMar>
            <w:vAlign w:val="center"/>
          </w:tcPr>
          <w:p w14:paraId="0150AF9A" w14:textId="77777777" w:rsidR="00F22587" w:rsidRPr="000E5DBF" w:rsidRDefault="00F22587" w:rsidP="008A5C11">
            <w:pPr>
              <w:autoSpaceDE w:val="0"/>
              <w:autoSpaceDN w:val="0"/>
              <w:adjustRightInd w:val="0"/>
              <w:ind w:left="-57" w:right="-57"/>
              <w:jc w:val="center"/>
            </w:pPr>
            <w:r w:rsidRPr="000E5DBF">
              <w:t>Местонахождение органа, утвердившего инвестиционную программу</w:t>
            </w:r>
          </w:p>
        </w:tc>
        <w:tc>
          <w:tcPr>
            <w:tcW w:w="5008" w:type="dxa"/>
            <w:tcMar>
              <w:top w:w="28" w:type="dxa"/>
              <w:left w:w="28" w:type="dxa"/>
              <w:bottom w:w="28" w:type="dxa"/>
              <w:right w:w="28" w:type="dxa"/>
            </w:tcMar>
            <w:vAlign w:val="center"/>
          </w:tcPr>
          <w:p w14:paraId="0F6D5C13" w14:textId="77777777" w:rsidR="00F22587" w:rsidRPr="000E5DBF" w:rsidRDefault="00F22587" w:rsidP="008A5C11">
            <w:pPr>
              <w:ind w:left="-57" w:right="-57"/>
              <w:jc w:val="center"/>
              <w:rPr>
                <w:color w:val="000000"/>
              </w:rPr>
            </w:pPr>
            <w:r w:rsidRPr="000E5DBF">
              <w:rPr>
                <w:color w:val="000000"/>
              </w:rPr>
              <w:t xml:space="preserve">650993, г. Кемерово, Н. Островского ул., 32, </w:t>
            </w:r>
          </w:p>
        </w:tc>
      </w:tr>
      <w:tr w:rsidR="00F22587" w:rsidRPr="000E5DBF" w14:paraId="6DDD710A" w14:textId="77777777" w:rsidTr="008A5C11">
        <w:trPr>
          <w:trHeight w:val="104"/>
        </w:trPr>
        <w:tc>
          <w:tcPr>
            <w:tcW w:w="4962" w:type="dxa"/>
            <w:tcMar>
              <w:top w:w="28" w:type="dxa"/>
              <w:left w:w="28" w:type="dxa"/>
              <w:bottom w:w="28" w:type="dxa"/>
              <w:right w:w="28" w:type="dxa"/>
            </w:tcMar>
            <w:vAlign w:val="center"/>
          </w:tcPr>
          <w:p w14:paraId="3B136CC4" w14:textId="77777777" w:rsidR="00F22587" w:rsidRPr="000E5DBF" w:rsidRDefault="00F22587" w:rsidP="008A5C11">
            <w:pPr>
              <w:autoSpaceDE w:val="0"/>
              <w:autoSpaceDN w:val="0"/>
              <w:adjustRightInd w:val="0"/>
              <w:ind w:left="-57" w:right="-57"/>
              <w:jc w:val="center"/>
              <w:rPr>
                <w:highlight w:val="red"/>
              </w:rPr>
            </w:pPr>
            <w:r w:rsidRPr="000E5DBF">
              <w:t>Должностное лицо, утвердившее инвестиционную программу</w:t>
            </w:r>
          </w:p>
        </w:tc>
        <w:tc>
          <w:tcPr>
            <w:tcW w:w="5008" w:type="dxa"/>
            <w:tcMar>
              <w:top w:w="28" w:type="dxa"/>
              <w:left w:w="28" w:type="dxa"/>
              <w:bottom w:w="28" w:type="dxa"/>
              <w:right w:w="28" w:type="dxa"/>
            </w:tcMar>
            <w:vAlign w:val="center"/>
          </w:tcPr>
          <w:p w14:paraId="7340806E" w14:textId="77777777" w:rsidR="00F22587" w:rsidRPr="000E5DBF" w:rsidRDefault="00F22587" w:rsidP="008A5C11">
            <w:pPr>
              <w:ind w:left="-57" w:right="-57"/>
              <w:jc w:val="center"/>
              <w:rPr>
                <w:color w:val="000000"/>
              </w:rPr>
            </w:pPr>
            <w:r w:rsidRPr="000E5DBF">
              <w:rPr>
                <w:color w:val="000000"/>
              </w:rPr>
              <w:t xml:space="preserve">Председатель </w:t>
            </w:r>
          </w:p>
          <w:p w14:paraId="0C8BE504" w14:textId="77777777" w:rsidR="00F22587" w:rsidRPr="000E5DBF" w:rsidRDefault="00F22587" w:rsidP="008A5C11">
            <w:pPr>
              <w:ind w:left="-57" w:right="-57"/>
              <w:jc w:val="center"/>
              <w:rPr>
                <w:color w:val="000000"/>
              </w:rPr>
            </w:pPr>
            <w:r w:rsidRPr="000E5DBF">
              <w:rPr>
                <w:color w:val="000000"/>
              </w:rPr>
              <w:t>Малюта Дмитрий Владимирович</w:t>
            </w:r>
          </w:p>
        </w:tc>
      </w:tr>
      <w:tr w:rsidR="00F22587" w:rsidRPr="000E5DBF" w14:paraId="41CC7E1D" w14:textId="77777777" w:rsidTr="008A5C11">
        <w:trPr>
          <w:trHeight w:val="23"/>
        </w:trPr>
        <w:tc>
          <w:tcPr>
            <w:tcW w:w="4962" w:type="dxa"/>
            <w:tcMar>
              <w:top w:w="28" w:type="dxa"/>
              <w:left w:w="28" w:type="dxa"/>
              <w:bottom w:w="28" w:type="dxa"/>
              <w:right w:w="28" w:type="dxa"/>
            </w:tcMar>
            <w:vAlign w:val="center"/>
          </w:tcPr>
          <w:p w14:paraId="63467B60" w14:textId="77777777" w:rsidR="00F22587" w:rsidRPr="000E5DBF" w:rsidRDefault="00F22587" w:rsidP="008A5C11">
            <w:pPr>
              <w:autoSpaceDE w:val="0"/>
              <w:autoSpaceDN w:val="0"/>
              <w:adjustRightInd w:val="0"/>
              <w:ind w:left="-57" w:right="-57"/>
              <w:jc w:val="center"/>
            </w:pPr>
            <w:r w:rsidRPr="000E5DBF">
              <w:t>Дата утверждения инвестиционной программы</w:t>
            </w:r>
          </w:p>
        </w:tc>
        <w:tc>
          <w:tcPr>
            <w:tcW w:w="5008" w:type="dxa"/>
            <w:tcMar>
              <w:top w:w="28" w:type="dxa"/>
              <w:left w:w="28" w:type="dxa"/>
              <w:bottom w:w="28" w:type="dxa"/>
              <w:right w:w="28" w:type="dxa"/>
            </w:tcMar>
            <w:vAlign w:val="center"/>
          </w:tcPr>
          <w:p w14:paraId="21F7FDB3" w14:textId="77777777" w:rsidR="00F22587" w:rsidRPr="000E5DBF" w:rsidRDefault="00F22587" w:rsidP="008A5C11">
            <w:pPr>
              <w:ind w:left="-57" w:right="-57"/>
              <w:jc w:val="center"/>
              <w:rPr>
                <w:color w:val="000000"/>
              </w:rPr>
            </w:pPr>
            <w:r w:rsidRPr="000E5DBF">
              <w:rPr>
                <w:color w:val="000000"/>
              </w:rPr>
              <w:t>20.06.2019</w:t>
            </w:r>
          </w:p>
        </w:tc>
      </w:tr>
      <w:tr w:rsidR="00F22587" w:rsidRPr="000E5DBF" w14:paraId="6E3C4AF7" w14:textId="77777777" w:rsidTr="008A5C11">
        <w:trPr>
          <w:trHeight w:val="192"/>
        </w:trPr>
        <w:tc>
          <w:tcPr>
            <w:tcW w:w="4962" w:type="dxa"/>
            <w:tcMar>
              <w:top w:w="28" w:type="dxa"/>
              <w:left w:w="28" w:type="dxa"/>
              <w:bottom w:w="28" w:type="dxa"/>
              <w:right w:w="28" w:type="dxa"/>
            </w:tcMar>
            <w:vAlign w:val="center"/>
          </w:tcPr>
          <w:p w14:paraId="5D0F0051" w14:textId="77777777" w:rsidR="00F22587" w:rsidRPr="000E5DBF" w:rsidRDefault="00F22587" w:rsidP="008A5C11">
            <w:pPr>
              <w:autoSpaceDE w:val="0"/>
              <w:autoSpaceDN w:val="0"/>
              <w:adjustRightInd w:val="0"/>
              <w:ind w:left="-57" w:right="-57"/>
              <w:jc w:val="center"/>
            </w:pPr>
            <w:r w:rsidRPr="000E5DBF">
              <w:t xml:space="preserve">Контактная информация лица, ответственного </w:t>
            </w:r>
          </w:p>
          <w:p w14:paraId="238BFED7" w14:textId="77777777" w:rsidR="00F22587" w:rsidRPr="000E5DBF" w:rsidRDefault="00F22587" w:rsidP="008A5C11">
            <w:pPr>
              <w:autoSpaceDE w:val="0"/>
              <w:autoSpaceDN w:val="0"/>
              <w:adjustRightInd w:val="0"/>
              <w:ind w:left="-57" w:right="-57"/>
              <w:jc w:val="center"/>
              <w:rPr>
                <w:highlight w:val="red"/>
              </w:rPr>
            </w:pPr>
            <w:r w:rsidRPr="000E5DBF">
              <w:t>за утверждение инвестиционной программы</w:t>
            </w:r>
          </w:p>
        </w:tc>
        <w:tc>
          <w:tcPr>
            <w:tcW w:w="5008" w:type="dxa"/>
            <w:tcMar>
              <w:top w:w="28" w:type="dxa"/>
              <w:left w:w="28" w:type="dxa"/>
              <w:bottom w:w="28" w:type="dxa"/>
              <w:right w:w="28" w:type="dxa"/>
            </w:tcMar>
            <w:vAlign w:val="center"/>
          </w:tcPr>
          <w:p w14:paraId="4CBC48A9" w14:textId="77777777" w:rsidR="00F22587" w:rsidRPr="000E5DBF" w:rsidRDefault="00F22587" w:rsidP="008A5C11">
            <w:pPr>
              <w:ind w:left="-57" w:right="-57"/>
              <w:jc w:val="center"/>
              <w:rPr>
                <w:color w:val="000000"/>
              </w:rPr>
            </w:pPr>
            <w:r w:rsidRPr="000E5DBF">
              <w:rPr>
                <w:color w:val="000000"/>
              </w:rPr>
              <w:t>тел: + 7 (3842) 36-09-07</w:t>
            </w:r>
          </w:p>
        </w:tc>
      </w:tr>
      <w:tr w:rsidR="00F22587" w:rsidRPr="000E5DBF" w14:paraId="6C91B9DC" w14:textId="77777777" w:rsidTr="008A5C11">
        <w:trPr>
          <w:trHeight w:val="329"/>
        </w:trPr>
        <w:tc>
          <w:tcPr>
            <w:tcW w:w="4962" w:type="dxa"/>
            <w:tcMar>
              <w:top w:w="28" w:type="dxa"/>
              <w:left w:w="28" w:type="dxa"/>
              <w:bottom w:w="28" w:type="dxa"/>
              <w:right w:w="28" w:type="dxa"/>
            </w:tcMar>
            <w:vAlign w:val="center"/>
          </w:tcPr>
          <w:p w14:paraId="1A14E230" w14:textId="77777777" w:rsidR="00F22587" w:rsidRPr="000E5DBF" w:rsidRDefault="00F22587" w:rsidP="008A5C11">
            <w:pPr>
              <w:autoSpaceDE w:val="0"/>
              <w:autoSpaceDN w:val="0"/>
              <w:adjustRightInd w:val="0"/>
              <w:ind w:left="-57" w:right="-57"/>
              <w:jc w:val="center"/>
            </w:pPr>
            <w:r w:rsidRPr="000E5DBF">
              <w:t>Наименование органа местного самоуправления, согласовавшего инвестиционную программу</w:t>
            </w:r>
          </w:p>
        </w:tc>
        <w:tc>
          <w:tcPr>
            <w:tcW w:w="5008" w:type="dxa"/>
            <w:tcMar>
              <w:top w:w="28" w:type="dxa"/>
              <w:left w:w="28" w:type="dxa"/>
              <w:bottom w:w="28" w:type="dxa"/>
              <w:right w:w="28" w:type="dxa"/>
            </w:tcMar>
            <w:vAlign w:val="center"/>
          </w:tcPr>
          <w:p w14:paraId="2E361A0A" w14:textId="77777777" w:rsidR="00F22587" w:rsidRPr="000E5DBF" w:rsidRDefault="00F22587" w:rsidP="008A5C11">
            <w:pPr>
              <w:ind w:left="-57" w:right="-57"/>
              <w:jc w:val="center"/>
              <w:rPr>
                <w:color w:val="000000"/>
              </w:rPr>
            </w:pPr>
            <w:r w:rsidRPr="000E5DBF">
              <w:rPr>
                <w:color w:val="000000"/>
              </w:rPr>
              <w:t>Администрация Гурьевского                      Муниципального района</w:t>
            </w:r>
          </w:p>
        </w:tc>
      </w:tr>
      <w:tr w:rsidR="00F22587" w:rsidRPr="000E5DBF" w14:paraId="35ACFD2F" w14:textId="77777777" w:rsidTr="008A5C11">
        <w:trPr>
          <w:trHeight w:val="174"/>
        </w:trPr>
        <w:tc>
          <w:tcPr>
            <w:tcW w:w="4962" w:type="dxa"/>
            <w:tcMar>
              <w:top w:w="28" w:type="dxa"/>
              <w:left w:w="28" w:type="dxa"/>
              <w:bottom w:w="28" w:type="dxa"/>
              <w:right w:w="28" w:type="dxa"/>
            </w:tcMar>
            <w:vAlign w:val="center"/>
          </w:tcPr>
          <w:p w14:paraId="2D943106" w14:textId="77777777" w:rsidR="00F22587" w:rsidRPr="000E5DBF" w:rsidRDefault="00F22587" w:rsidP="008A5C11">
            <w:pPr>
              <w:autoSpaceDE w:val="0"/>
              <w:autoSpaceDN w:val="0"/>
              <w:adjustRightInd w:val="0"/>
              <w:ind w:left="-57" w:right="-57"/>
              <w:jc w:val="center"/>
            </w:pPr>
            <w:r w:rsidRPr="000E5DBF">
              <w:t>Местонахождение органа, согласовавшего инвестиционную программу</w:t>
            </w:r>
          </w:p>
        </w:tc>
        <w:tc>
          <w:tcPr>
            <w:tcW w:w="5008" w:type="dxa"/>
            <w:tcMar>
              <w:top w:w="28" w:type="dxa"/>
              <w:left w:w="28" w:type="dxa"/>
              <w:bottom w:w="28" w:type="dxa"/>
              <w:right w:w="28" w:type="dxa"/>
            </w:tcMar>
            <w:vAlign w:val="center"/>
          </w:tcPr>
          <w:p w14:paraId="29296FA6" w14:textId="77777777" w:rsidR="00F22587" w:rsidRPr="000E5DBF" w:rsidRDefault="00F22587" w:rsidP="008A5C11">
            <w:pPr>
              <w:ind w:left="-57" w:right="-57"/>
              <w:jc w:val="center"/>
              <w:rPr>
                <w:color w:val="000000"/>
              </w:rPr>
            </w:pPr>
            <w:r w:rsidRPr="000E5DBF">
              <w:rPr>
                <w:color w:val="000000"/>
              </w:rPr>
              <w:t xml:space="preserve">652780, Кемеровская область, г. </w:t>
            </w:r>
            <w:proofErr w:type="gramStart"/>
            <w:r w:rsidRPr="000E5DBF">
              <w:rPr>
                <w:color w:val="000000"/>
              </w:rPr>
              <w:t xml:space="preserve">Гурьевск,   </w:t>
            </w:r>
            <w:proofErr w:type="gramEnd"/>
            <w:r w:rsidRPr="000E5DBF">
              <w:rPr>
                <w:color w:val="000000"/>
              </w:rPr>
              <w:t xml:space="preserve">                       ул. Коммунистическая, 21</w:t>
            </w:r>
          </w:p>
        </w:tc>
      </w:tr>
      <w:tr w:rsidR="00F22587" w:rsidRPr="000E5DBF" w14:paraId="67D3AA22" w14:textId="77777777" w:rsidTr="008A5C11">
        <w:trPr>
          <w:trHeight w:val="20"/>
        </w:trPr>
        <w:tc>
          <w:tcPr>
            <w:tcW w:w="4962" w:type="dxa"/>
            <w:tcMar>
              <w:top w:w="28" w:type="dxa"/>
              <w:left w:w="28" w:type="dxa"/>
              <w:bottom w:w="28" w:type="dxa"/>
              <w:right w:w="28" w:type="dxa"/>
            </w:tcMar>
            <w:vAlign w:val="center"/>
          </w:tcPr>
          <w:p w14:paraId="4879D1A9" w14:textId="77777777" w:rsidR="00F22587" w:rsidRPr="000E5DBF" w:rsidRDefault="00F22587" w:rsidP="008A5C11">
            <w:pPr>
              <w:autoSpaceDE w:val="0"/>
              <w:autoSpaceDN w:val="0"/>
              <w:adjustRightInd w:val="0"/>
              <w:ind w:left="-57" w:right="-57"/>
              <w:jc w:val="center"/>
            </w:pPr>
            <w:r w:rsidRPr="000E5DBF">
              <w:t>Должностное лицо, согласовавшее инвестиционную программу</w:t>
            </w:r>
          </w:p>
        </w:tc>
        <w:tc>
          <w:tcPr>
            <w:tcW w:w="5008" w:type="dxa"/>
            <w:tcMar>
              <w:top w:w="28" w:type="dxa"/>
              <w:left w:w="28" w:type="dxa"/>
              <w:bottom w:w="28" w:type="dxa"/>
              <w:right w:w="28" w:type="dxa"/>
            </w:tcMar>
            <w:vAlign w:val="center"/>
          </w:tcPr>
          <w:p w14:paraId="046D1538" w14:textId="77777777" w:rsidR="00F22587" w:rsidRPr="000E5DBF" w:rsidRDefault="00F22587" w:rsidP="008A5C11">
            <w:pPr>
              <w:ind w:left="-57" w:right="-57"/>
              <w:jc w:val="center"/>
            </w:pPr>
            <w:r w:rsidRPr="000E5DBF">
              <w:rPr>
                <w:color w:val="000000"/>
              </w:rPr>
              <w:t>Первый заместитель главы Гурьевского района Митряйкин Дмитрий Владимирович</w:t>
            </w:r>
          </w:p>
        </w:tc>
      </w:tr>
      <w:tr w:rsidR="00F22587" w:rsidRPr="000E5DBF" w14:paraId="6C5C7FF5" w14:textId="77777777" w:rsidTr="008A5C11">
        <w:trPr>
          <w:trHeight w:val="23"/>
        </w:trPr>
        <w:tc>
          <w:tcPr>
            <w:tcW w:w="4962" w:type="dxa"/>
            <w:tcMar>
              <w:top w:w="28" w:type="dxa"/>
              <w:left w:w="28" w:type="dxa"/>
              <w:bottom w:w="28" w:type="dxa"/>
              <w:right w:w="28" w:type="dxa"/>
            </w:tcMar>
            <w:vAlign w:val="center"/>
          </w:tcPr>
          <w:p w14:paraId="3E32BB4F" w14:textId="77777777" w:rsidR="00F22587" w:rsidRPr="000E5DBF" w:rsidRDefault="00F22587" w:rsidP="008A5C11">
            <w:pPr>
              <w:autoSpaceDE w:val="0"/>
              <w:autoSpaceDN w:val="0"/>
              <w:adjustRightInd w:val="0"/>
              <w:ind w:left="-57" w:right="-57"/>
              <w:jc w:val="center"/>
            </w:pPr>
            <w:r w:rsidRPr="000E5DBF">
              <w:t>Дата согласования инвестиционной программы</w:t>
            </w:r>
          </w:p>
        </w:tc>
        <w:tc>
          <w:tcPr>
            <w:tcW w:w="5008" w:type="dxa"/>
            <w:tcMar>
              <w:top w:w="28" w:type="dxa"/>
              <w:left w:w="28" w:type="dxa"/>
              <w:bottom w:w="28" w:type="dxa"/>
              <w:right w:w="28" w:type="dxa"/>
            </w:tcMar>
            <w:vAlign w:val="center"/>
          </w:tcPr>
          <w:p w14:paraId="3B48A130" w14:textId="77777777" w:rsidR="00F22587" w:rsidRPr="000E5DBF" w:rsidRDefault="00F22587" w:rsidP="008A5C11">
            <w:pPr>
              <w:ind w:left="-57" w:right="-57"/>
              <w:jc w:val="center"/>
            </w:pPr>
            <w:r w:rsidRPr="000E5DBF">
              <w:t>10.04.2019</w:t>
            </w:r>
          </w:p>
        </w:tc>
      </w:tr>
      <w:tr w:rsidR="00F22587" w:rsidRPr="000E5DBF" w14:paraId="359D29BF" w14:textId="77777777" w:rsidTr="008A5C11">
        <w:trPr>
          <w:trHeight w:val="23"/>
        </w:trPr>
        <w:tc>
          <w:tcPr>
            <w:tcW w:w="4962" w:type="dxa"/>
            <w:tcMar>
              <w:top w:w="28" w:type="dxa"/>
              <w:left w:w="28" w:type="dxa"/>
              <w:bottom w:w="28" w:type="dxa"/>
              <w:right w:w="28" w:type="dxa"/>
            </w:tcMar>
            <w:vAlign w:val="center"/>
          </w:tcPr>
          <w:p w14:paraId="33A5CBD2" w14:textId="77777777" w:rsidR="00F22587" w:rsidRPr="000E5DBF" w:rsidRDefault="00F22587" w:rsidP="008A5C11">
            <w:pPr>
              <w:autoSpaceDE w:val="0"/>
              <w:autoSpaceDN w:val="0"/>
              <w:adjustRightInd w:val="0"/>
              <w:ind w:left="-57" w:right="-57"/>
              <w:jc w:val="center"/>
            </w:pPr>
            <w:r w:rsidRPr="000E5DBF">
              <w:t xml:space="preserve">Контактная информация лица, ответственного </w:t>
            </w:r>
          </w:p>
          <w:p w14:paraId="7A890DD4" w14:textId="77777777" w:rsidR="00F22587" w:rsidRPr="000E5DBF" w:rsidRDefault="00F22587" w:rsidP="008A5C11">
            <w:pPr>
              <w:autoSpaceDE w:val="0"/>
              <w:autoSpaceDN w:val="0"/>
              <w:adjustRightInd w:val="0"/>
              <w:ind w:left="-57" w:right="-57"/>
              <w:jc w:val="center"/>
            </w:pPr>
            <w:r w:rsidRPr="000E5DBF">
              <w:t>за согласование инвестиционной программы</w:t>
            </w:r>
          </w:p>
        </w:tc>
        <w:tc>
          <w:tcPr>
            <w:tcW w:w="5008" w:type="dxa"/>
            <w:tcMar>
              <w:top w:w="28" w:type="dxa"/>
              <w:left w:w="28" w:type="dxa"/>
              <w:bottom w:w="28" w:type="dxa"/>
              <w:right w:w="28" w:type="dxa"/>
            </w:tcMar>
            <w:vAlign w:val="center"/>
          </w:tcPr>
          <w:p w14:paraId="76E47659" w14:textId="77777777" w:rsidR="00F22587" w:rsidRPr="000E5DBF" w:rsidRDefault="00F22587" w:rsidP="008A5C11">
            <w:pPr>
              <w:ind w:left="-57" w:right="-57"/>
              <w:jc w:val="center"/>
            </w:pPr>
            <w:r w:rsidRPr="000E5DBF">
              <w:t>тел. 8(38463) 5-03-34</w:t>
            </w:r>
          </w:p>
        </w:tc>
      </w:tr>
    </w:tbl>
    <w:p w14:paraId="69575023" w14:textId="77777777" w:rsidR="00F22587" w:rsidRPr="000E5DBF" w:rsidRDefault="00F22587" w:rsidP="00F22587">
      <w:pPr>
        <w:tabs>
          <w:tab w:val="left" w:pos="1814"/>
        </w:tabs>
        <w:rPr>
          <w:sz w:val="28"/>
          <w:szCs w:val="28"/>
        </w:rPr>
      </w:pPr>
    </w:p>
    <w:p w14:paraId="55AA410E" w14:textId="77777777" w:rsidR="00F22587" w:rsidRPr="000E5DBF" w:rsidRDefault="00F22587" w:rsidP="00F22587">
      <w:pPr>
        <w:tabs>
          <w:tab w:val="left" w:pos="1814"/>
        </w:tabs>
        <w:rPr>
          <w:sz w:val="28"/>
          <w:szCs w:val="28"/>
        </w:rPr>
      </w:pPr>
    </w:p>
    <w:p w14:paraId="7F8E96F7" w14:textId="77777777" w:rsidR="00F22587" w:rsidRPr="000E5DBF" w:rsidRDefault="00F22587" w:rsidP="00F22587">
      <w:pPr>
        <w:tabs>
          <w:tab w:val="left" w:pos="1814"/>
        </w:tabs>
        <w:rPr>
          <w:sz w:val="28"/>
          <w:szCs w:val="28"/>
        </w:rPr>
        <w:sectPr w:rsidR="00F22587" w:rsidRPr="000E5DBF" w:rsidSect="005713F0">
          <w:headerReference w:type="default" r:id="rId58"/>
          <w:pgSz w:w="11906" w:h="16838"/>
          <w:pgMar w:top="567" w:right="850" w:bottom="567" w:left="1560" w:header="708" w:footer="418" w:gutter="0"/>
          <w:cols w:space="708"/>
          <w:titlePg/>
          <w:docGrid w:linePitch="360"/>
        </w:sectPr>
      </w:pPr>
    </w:p>
    <w:p w14:paraId="1C427C9E" w14:textId="77777777" w:rsidR="00F22587" w:rsidRPr="000E5DBF" w:rsidRDefault="00F22587" w:rsidP="00F22587">
      <w:pPr>
        <w:autoSpaceDE w:val="0"/>
        <w:autoSpaceDN w:val="0"/>
        <w:adjustRightInd w:val="0"/>
        <w:jc w:val="center"/>
        <w:rPr>
          <w:b/>
          <w:bCs/>
          <w:sz w:val="28"/>
          <w:szCs w:val="28"/>
        </w:rPr>
      </w:pPr>
      <w:r w:rsidRPr="000E5DBF">
        <w:rPr>
          <w:b/>
          <w:bCs/>
          <w:sz w:val="28"/>
          <w:szCs w:val="28"/>
        </w:rPr>
        <w:t>Инвестиционная программа ООО «Управление котельных и тепловых сетей» (г. Гурьевск)</w:t>
      </w:r>
    </w:p>
    <w:p w14:paraId="3DB368AE" w14:textId="77777777" w:rsidR="00F22587" w:rsidRPr="000E5DBF" w:rsidRDefault="00F22587" w:rsidP="00F22587">
      <w:pPr>
        <w:jc w:val="center"/>
        <w:rPr>
          <w:b/>
          <w:bCs/>
          <w:sz w:val="28"/>
          <w:szCs w:val="28"/>
        </w:rPr>
      </w:pPr>
      <w:r w:rsidRPr="000E5DBF">
        <w:rPr>
          <w:b/>
          <w:bCs/>
          <w:sz w:val="28"/>
          <w:szCs w:val="28"/>
        </w:rPr>
        <w:t xml:space="preserve"> в сфере теплоснабжения на 2019-2030 годы</w:t>
      </w:r>
    </w:p>
    <w:p w14:paraId="26C3A64A" w14:textId="77777777" w:rsidR="00F22587" w:rsidRPr="000E5DBF" w:rsidRDefault="00F22587" w:rsidP="00F22587">
      <w:pPr>
        <w:rPr>
          <w:sz w:val="20"/>
          <w:szCs w:val="20"/>
        </w:rPr>
      </w:pPr>
    </w:p>
    <w:tbl>
      <w:tblPr>
        <w:tblW w:w="15993" w:type="dxa"/>
        <w:tblInd w:w="-965" w:type="dxa"/>
        <w:tblLayout w:type="fixed"/>
        <w:tblCellMar>
          <w:left w:w="28" w:type="dxa"/>
          <w:right w:w="28" w:type="dxa"/>
        </w:tblCellMar>
        <w:tblLook w:val="04A0" w:firstRow="1" w:lastRow="0" w:firstColumn="1" w:lastColumn="0" w:noHBand="0" w:noVBand="1"/>
      </w:tblPr>
      <w:tblGrid>
        <w:gridCol w:w="408"/>
        <w:gridCol w:w="1434"/>
        <w:gridCol w:w="971"/>
        <w:gridCol w:w="993"/>
        <w:gridCol w:w="991"/>
        <w:gridCol w:w="426"/>
        <w:gridCol w:w="713"/>
        <w:gridCol w:w="717"/>
        <w:gridCol w:w="379"/>
        <w:gridCol w:w="46"/>
        <w:gridCol w:w="413"/>
        <w:gridCol w:w="568"/>
        <w:gridCol w:w="426"/>
        <w:gridCol w:w="17"/>
        <w:gridCol w:w="554"/>
        <w:gridCol w:w="567"/>
        <w:gridCol w:w="567"/>
        <w:gridCol w:w="561"/>
        <w:gridCol w:w="560"/>
        <w:gridCol w:w="569"/>
        <w:gridCol w:w="560"/>
        <w:gridCol w:w="7"/>
        <w:gridCol w:w="565"/>
        <w:gridCol w:w="567"/>
        <w:gridCol w:w="568"/>
        <w:gridCol w:w="569"/>
        <w:gridCol w:w="562"/>
        <w:gridCol w:w="290"/>
        <w:gridCol w:w="51"/>
        <w:gridCol w:w="374"/>
      </w:tblGrid>
      <w:tr w:rsidR="00F22587" w:rsidRPr="000E5DBF" w14:paraId="2D581A5E" w14:textId="77777777" w:rsidTr="008A5C11">
        <w:trPr>
          <w:trHeight w:val="225"/>
        </w:trPr>
        <w:tc>
          <w:tcPr>
            <w:tcW w:w="408"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3ACF3EDF" w14:textId="77777777" w:rsidR="00F22587" w:rsidRPr="000E5DBF" w:rsidRDefault="00F22587" w:rsidP="008A5C11">
            <w:pPr>
              <w:jc w:val="center"/>
              <w:rPr>
                <w:color w:val="000000"/>
                <w:sz w:val="14"/>
                <w:szCs w:val="14"/>
              </w:rPr>
            </w:pPr>
            <w:r w:rsidRPr="000E5DBF">
              <w:rPr>
                <w:color w:val="000000"/>
                <w:sz w:val="14"/>
                <w:szCs w:val="14"/>
              </w:rPr>
              <w:t>N п/п</w:t>
            </w:r>
          </w:p>
        </w:tc>
        <w:tc>
          <w:tcPr>
            <w:tcW w:w="1434"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3BABD09F" w14:textId="77777777" w:rsidR="00F22587" w:rsidRPr="000E5DBF" w:rsidRDefault="00F22587" w:rsidP="008A5C11">
            <w:pPr>
              <w:jc w:val="center"/>
              <w:rPr>
                <w:color w:val="000000"/>
                <w:sz w:val="14"/>
                <w:szCs w:val="14"/>
              </w:rPr>
            </w:pPr>
            <w:r w:rsidRPr="000E5DBF">
              <w:rPr>
                <w:color w:val="000000"/>
                <w:sz w:val="14"/>
                <w:szCs w:val="14"/>
              </w:rPr>
              <w:t>Наименование мероприятий</w:t>
            </w:r>
          </w:p>
        </w:tc>
        <w:tc>
          <w:tcPr>
            <w:tcW w:w="971"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496F34E9" w14:textId="77777777" w:rsidR="00F22587" w:rsidRPr="000E5DBF" w:rsidRDefault="00F22587" w:rsidP="008A5C11">
            <w:pPr>
              <w:jc w:val="center"/>
              <w:rPr>
                <w:color w:val="000000"/>
                <w:sz w:val="14"/>
                <w:szCs w:val="14"/>
              </w:rPr>
            </w:pPr>
            <w:r w:rsidRPr="000E5DBF">
              <w:rPr>
                <w:color w:val="000000"/>
                <w:sz w:val="14"/>
                <w:szCs w:val="14"/>
              </w:rPr>
              <w:t>Обоснование необходимости (цель реализации)</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4A4D9D9E" w14:textId="77777777" w:rsidR="00F22587" w:rsidRPr="000E5DBF" w:rsidRDefault="00F22587" w:rsidP="008A5C11">
            <w:pPr>
              <w:jc w:val="center"/>
              <w:rPr>
                <w:color w:val="000000"/>
                <w:sz w:val="14"/>
                <w:szCs w:val="14"/>
              </w:rPr>
            </w:pPr>
            <w:r w:rsidRPr="000E5DBF">
              <w:rPr>
                <w:color w:val="000000"/>
                <w:sz w:val="14"/>
                <w:szCs w:val="14"/>
              </w:rPr>
              <w:t>Описание и место расположения объекта</w:t>
            </w:r>
          </w:p>
        </w:tc>
        <w:tc>
          <w:tcPr>
            <w:tcW w:w="2847" w:type="dxa"/>
            <w:gridSpan w:val="4"/>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1EA4A179" w14:textId="77777777" w:rsidR="00F22587" w:rsidRPr="000E5DBF" w:rsidRDefault="00F22587" w:rsidP="008A5C11">
            <w:pPr>
              <w:jc w:val="center"/>
              <w:rPr>
                <w:color w:val="000000"/>
                <w:sz w:val="14"/>
                <w:szCs w:val="14"/>
              </w:rPr>
            </w:pPr>
            <w:r w:rsidRPr="000E5DBF">
              <w:rPr>
                <w:color w:val="000000"/>
                <w:sz w:val="14"/>
                <w:szCs w:val="14"/>
              </w:rPr>
              <w:t>Основные технические характеристики</w:t>
            </w:r>
          </w:p>
        </w:tc>
        <w:tc>
          <w:tcPr>
            <w:tcW w:w="425"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btLr"/>
            <w:vAlign w:val="center"/>
            <w:hideMark/>
          </w:tcPr>
          <w:p w14:paraId="2CD36817" w14:textId="77777777" w:rsidR="00F22587" w:rsidRPr="000E5DBF" w:rsidRDefault="00F22587" w:rsidP="008A5C11">
            <w:pPr>
              <w:ind w:left="113" w:right="113"/>
              <w:jc w:val="center"/>
              <w:rPr>
                <w:color w:val="000000"/>
                <w:sz w:val="14"/>
                <w:szCs w:val="14"/>
              </w:rPr>
            </w:pPr>
            <w:r w:rsidRPr="000E5DBF">
              <w:rPr>
                <w:color w:val="000000"/>
                <w:sz w:val="14"/>
                <w:szCs w:val="14"/>
              </w:rPr>
              <w:t>Год начала реализации мероприятия</w:t>
            </w:r>
          </w:p>
        </w:tc>
        <w:tc>
          <w:tcPr>
            <w:tcW w:w="413"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btLr"/>
            <w:vAlign w:val="center"/>
            <w:hideMark/>
          </w:tcPr>
          <w:p w14:paraId="454CF89F" w14:textId="77777777" w:rsidR="00F22587" w:rsidRPr="000E5DBF" w:rsidRDefault="00F22587" w:rsidP="008A5C11">
            <w:pPr>
              <w:ind w:left="113" w:right="113"/>
              <w:jc w:val="center"/>
              <w:rPr>
                <w:color w:val="000000"/>
                <w:sz w:val="14"/>
                <w:szCs w:val="14"/>
              </w:rPr>
            </w:pPr>
            <w:r w:rsidRPr="000E5DBF">
              <w:rPr>
                <w:color w:val="000000"/>
                <w:sz w:val="14"/>
                <w:szCs w:val="14"/>
              </w:rPr>
              <w:t>Год окончания реализации мероприятия</w:t>
            </w:r>
          </w:p>
        </w:tc>
        <w:tc>
          <w:tcPr>
            <w:tcW w:w="8502" w:type="dxa"/>
            <w:gridSpan w:val="19"/>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34EAC36E" w14:textId="77777777" w:rsidR="00F22587" w:rsidRPr="000E5DBF" w:rsidRDefault="00F22587" w:rsidP="008A5C11">
            <w:pPr>
              <w:jc w:val="center"/>
              <w:rPr>
                <w:color w:val="000000"/>
                <w:sz w:val="14"/>
                <w:szCs w:val="14"/>
              </w:rPr>
            </w:pPr>
            <w:r w:rsidRPr="000E5DBF">
              <w:rPr>
                <w:color w:val="000000"/>
                <w:sz w:val="14"/>
                <w:szCs w:val="14"/>
              </w:rPr>
              <w:t>Расходы на реализацию мероприятий в прогнозных ценах, тыс. руб. (с НДС)</w:t>
            </w:r>
          </w:p>
        </w:tc>
      </w:tr>
      <w:tr w:rsidR="00F22587" w:rsidRPr="000E5DBF" w14:paraId="4B47C351" w14:textId="77777777" w:rsidTr="008A5C11">
        <w:trPr>
          <w:trHeight w:val="725"/>
        </w:trPr>
        <w:tc>
          <w:tcPr>
            <w:tcW w:w="408"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27F865F6" w14:textId="77777777" w:rsidR="00F22587" w:rsidRPr="000E5DBF" w:rsidRDefault="00F22587" w:rsidP="008A5C11">
            <w:pPr>
              <w:rPr>
                <w:color w:val="000000"/>
                <w:sz w:val="14"/>
                <w:szCs w:val="14"/>
              </w:rPr>
            </w:pPr>
          </w:p>
        </w:tc>
        <w:tc>
          <w:tcPr>
            <w:tcW w:w="1434"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7F6C51B9" w14:textId="77777777" w:rsidR="00F22587" w:rsidRPr="000E5DBF" w:rsidRDefault="00F22587" w:rsidP="008A5C11">
            <w:pPr>
              <w:rPr>
                <w:color w:val="000000"/>
                <w:sz w:val="14"/>
                <w:szCs w:val="14"/>
              </w:rPr>
            </w:pPr>
          </w:p>
        </w:tc>
        <w:tc>
          <w:tcPr>
            <w:tcW w:w="971"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798831B8" w14:textId="77777777" w:rsidR="00F22587" w:rsidRPr="000E5DBF" w:rsidRDefault="00F22587" w:rsidP="008A5C11">
            <w:pPr>
              <w:rPr>
                <w:color w:val="000000"/>
                <w:sz w:val="14"/>
                <w:szCs w:val="14"/>
              </w:rPr>
            </w:pPr>
          </w:p>
        </w:tc>
        <w:tc>
          <w:tcPr>
            <w:tcW w:w="993"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78E8686F" w14:textId="77777777" w:rsidR="00F22587" w:rsidRPr="000E5DBF" w:rsidRDefault="00F22587" w:rsidP="008A5C11">
            <w:pPr>
              <w:rPr>
                <w:color w:val="000000"/>
                <w:sz w:val="14"/>
                <w:szCs w:val="14"/>
              </w:rPr>
            </w:pPr>
          </w:p>
        </w:tc>
        <w:tc>
          <w:tcPr>
            <w:tcW w:w="991"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06FB6FA0" w14:textId="77777777" w:rsidR="00F22587" w:rsidRPr="000E5DBF" w:rsidRDefault="00F22587" w:rsidP="008A5C11">
            <w:pPr>
              <w:jc w:val="center"/>
              <w:rPr>
                <w:color w:val="000000"/>
                <w:sz w:val="14"/>
                <w:szCs w:val="14"/>
              </w:rPr>
            </w:pPr>
            <w:r w:rsidRPr="000E5DBF">
              <w:rPr>
                <w:color w:val="000000"/>
                <w:sz w:val="14"/>
                <w:szCs w:val="14"/>
              </w:rPr>
              <w:t>Наименование показателя (мощность, протяженность, диаметр и т.п.)</w:t>
            </w:r>
          </w:p>
        </w:tc>
        <w:tc>
          <w:tcPr>
            <w:tcW w:w="426"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76F605FE" w14:textId="77777777" w:rsidR="00F22587" w:rsidRPr="000E5DBF" w:rsidRDefault="00F22587" w:rsidP="008A5C11">
            <w:pPr>
              <w:jc w:val="center"/>
              <w:rPr>
                <w:color w:val="000000"/>
                <w:sz w:val="14"/>
                <w:szCs w:val="14"/>
              </w:rPr>
            </w:pPr>
            <w:r w:rsidRPr="000E5DBF">
              <w:rPr>
                <w:color w:val="000000"/>
                <w:sz w:val="14"/>
                <w:szCs w:val="14"/>
              </w:rPr>
              <w:t>Ед. изм.</w:t>
            </w:r>
          </w:p>
        </w:tc>
        <w:tc>
          <w:tcPr>
            <w:tcW w:w="1430" w:type="dxa"/>
            <w:gridSpan w:val="2"/>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5750DC4E" w14:textId="77777777" w:rsidR="00F22587" w:rsidRPr="000E5DBF" w:rsidRDefault="00F22587" w:rsidP="008A5C11">
            <w:pPr>
              <w:jc w:val="center"/>
              <w:rPr>
                <w:color w:val="000000"/>
                <w:sz w:val="14"/>
                <w:szCs w:val="14"/>
              </w:rPr>
            </w:pPr>
            <w:r w:rsidRPr="000E5DBF">
              <w:rPr>
                <w:color w:val="000000"/>
                <w:sz w:val="14"/>
                <w:szCs w:val="14"/>
              </w:rPr>
              <w:t>Значение показателя</w:t>
            </w:r>
          </w:p>
        </w:tc>
        <w:tc>
          <w:tcPr>
            <w:tcW w:w="425" w:type="dxa"/>
            <w:gridSpan w:val="2"/>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54208011" w14:textId="77777777" w:rsidR="00F22587" w:rsidRPr="000E5DBF" w:rsidRDefault="00F22587" w:rsidP="008A5C11">
            <w:pPr>
              <w:rPr>
                <w:color w:val="000000"/>
                <w:sz w:val="14"/>
                <w:szCs w:val="14"/>
              </w:rPr>
            </w:pPr>
          </w:p>
        </w:tc>
        <w:tc>
          <w:tcPr>
            <w:tcW w:w="413"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7DDDDCF2" w14:textId="77777777" w:rsidR="00F22587" w:rsidRPr="000E5DBF" w:rsidRDefault="00F22587" w:rsidP="008A5C11">
            <w:pPr>
              <w:rPr>
                <w:color w:val="000000"/>
                <w:sz w:val="14"/>
                <w:szCs w:val="14"/>
              </w:rPr>
            </w:pPr>
          </w:p>
        </w:tc>
        <w:tc>
          <w:tcPr>
            <w:tcW w:w="568"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btLr"/>
            <w:vAlign w:val="center"/>
            <w:hideMark/>
          </w:tcPr>
          <w:p w14:paraId="437228C6" w14:textId="77777777" w:rsidR="00F22587" w:rsidRPr="000E5DBF" w:rsidRDefault="00F22587" w:rsidP="008A5C11">
            <w:pPr>
              <w:ind w:left="113" w:right="113"/>
              <w:jc w:val="center"/>
              <w:rPr>
                <w:color w:val="000000"/>
                <w:sz w:val="14"/>
                <w:szCs w:val="14"/>
              </w:rPr>
            </w:pPr>
            <w:r w:rsidRPr="000E5DBF">
              <w:rPr>
                <w:color w:val="000000"/>
                <w:sz w:val="14"/>
                <w:szCs w:val="14"/>
              </w:rPr>
              <w:t>Всего</w:t>
            </w:r>
          </w:p>
        </w:tc>
        <w:tc>
          <w:tcPr>
            <w:tcW w:w="443"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btLr"/>
            <w:vAlign w:val="center"/>
            <w:hideMark/>
          </w:tcPr>
          <w:p w14:paraId="0D930D53" w14:textId="77777777" w:rsidR="00F22587" w:rsidRPr="000E5DBF" w:rsidRDefault="00F22587" w:rsidP="008A5C11">
            <w:pPr>
              <w:ind w:left="113" w:right="113"/>
              <w:jc w:val="center"/>
              <w:rPr>
                <w:color w:val="000000"/>
                <w:sz w:val="14"/>
                <w:szCs w:val="14"/>
              </w:rPr>
            </w:pPr>
            <w:r w:rsidRPr="000E5DBF">
              <w:rPr>
                <w:color w:val="000000"/>
                <w:sz w:val="14"/>
                <w:szCs w:val="14"/>
              </w:rPr>
              <w:t>Профинансировано к 2019</w:t>
            </w:r>
          </w:p>
        </w:tc>
        <w:tc>
          <w:tcPr>
            <w:tcW w:w="6776" w:type="dxa"/>
            <w:gridSpan w:val="13"/>
            <w:tcBorders>
              <w:top w:val="single" w:sz="4" w:space="0" w:color="auto"/>
              <w:left w:val="nil"/>
              <w:bottom w:val="single" w:sz="4" w:space="0" w:color="auto"/>
              <w:right w:val="single" w:sz="4" w:space="0" w:color="auto"/>
            </w:tcBorders>
            <w:shd w:val="clear" w:color="000000" w:fill="FFFFFF"/>
            <w:tcMar>
              <w:left w:w="0" w:type="dxa"/>
              <w:right w:w="0" w:type="dxa"/>
            </w:tcMar>
            <w:vAlign w:val="center"/>
            <w:hideMark/>
          </w:tcPr>
          <w:p w14:paraId="5D72D103" w14:textId="77777777" w:rsidR="00F22587" w:rsidRPr="000E5DBF" w:rsidRDefault="00F22587" w:rsidP="008A5C11">
            <w:pPr>
              <w:jc w:val="center"/>
              <w:rPr>
                <w:color w:val="000000"/>
                <w:sz w:val="14"/>
                <w:szCs w:val="14"/>
              </w:rPr>
            </w:pPr>
            <w:r w:rsidRPr="000E5DBF">
              <w:rPr>
                <w:color w:val="000000"/>
                <w:sz w:val="14"/>
                <w:szCs w:val="14"/>
              </w:rPr>
              <w:t>в т.ч. по годам</w:t>
            </w:r>
          </w:p>
        </w:tc>
        <w:tc>
          <w:tcPr>
            <w:tcW w:w="290" w:type="dxa"/>
            <w:vMerge w:val="restart"/>
            <w:tcBorders>
              <w:top w:val="single" w:sz="4" w:space="0" w:color="auto"/>
              <w:left w:val="single" w:sz="4" w:space="0" w:color="auto"/>
              <w:right w:val="single" w:sz="4" w:space="0" w:color="auto"/>
            </w:tcBorders>
            <w:shd w:val="clear" w:color="auto" w:fill="auto"/>
            <w:tcMar>
              <w:left w:w="0" w:type="dxa"/>
              <w:right w:w="0" w:type="dxa"/>
            </w:tcMar>
            <w:textDirection w:val="btLr"/>
            <w:vAlign w:val="center"/>
            <w:hideMark/>
          </w:tcPr>
          <w:p w14:paraId="18C95235" w14:textId="77777777" w:rsidR="00F22587" w:rsidRPr="000E5DBF" w:rsidRDefault="00F22587" w:rsidP="008A5C11">
            <w:pPr>
              <w:ind w:left="113" w:right="113"/>
              <w:jc w:val="center"/>
              <w:rPr>
                <w:color w:val="000000"/>
                <w:sz w:val="14"/>
                <w:szCs w:val="14"/>
              </w:rPr>
            </w:pPr>
            <w:r w:rsidRPr="000E5DBF">
              <w:rPr>
                <w:color w:val="000000"/>
                <w:sz w:val="14"/>
                <w:szCs w:val="14"/>
              </w:rPr>
              <w:t>Остаток финансирования</w:t>
            </w:r>
          </w:p>
        </w:tc>
        <w:tc>
          <w:tcPr>
            <w:tcW w:w="425" w:type="dxa"/>
            <w:gridSpan w:val="2"/>
            <w:vMerge w:val="restart"/>
            <w:tcBorders>
              <w:top w:val="single" w:sz="4" w:space="0" w:color="auto"/>
              <w:left w:val="single" w:sz="4" w:space="0" w:color="auto"/>
              <w:right w:val="single" w:sz="4" w:space="0" w:color="auto"/>
            </w:tcBorders>
            <w:shd w:val="clear" w:color="auto" w:fill="auto"/>
            <w:tcMar>
              <w:left w:w="0" w:type="dxa"/>
              <w:right w:w="0" w:type="dxa"/>
            </w:tcMar>
            <w:textDirection w:val="btLr"/>
            <w:vAlign w:val="center"/>
            <w:hideMark/>
          </w:tcPr>
          <w:p w14:paraId="7E63873A" w14:textId="77777777" w:rsidR="00F22587" w:rsidRPr="000E5DBF" w:rsidRDefault="00F22587" w:rsidP="008A5C11">
            <w:pPr>
              <w:ind w:left="113" w:right="113"/>
              <w:jc w:val="center"/>
              <w:rPr>
                <w:color w:val="000000"/>
                <w:sz w:val="14"/>
                <w:szCs w:val="14"/>
              </w:rPr>
            </w:pPr>
            <w:r w:rsidRPr="000E5DBF">
              <w:rPr>
                <w:color w:val="000000"/>
                <w:sz w:val="14"/>
                <w:szCs w:val="14"/>
              </w:rPr>
              <w:t>в т.ч. за счет платы за подключение</w:t>
            </w:r>
          </w:p>
        </w:tc>
      </w:tr>
      <w:tr w:rsidR="00F22587" w:rsidRPr="000E5DBF" w14:paraId="743CD9BA" w14:textId="77777777" w:rsidTr="008A5C11">
        <w:trPr>
          <w:cantSplit/>
          <w:trHeight w:val="1118"/>
        </w:trPr>
        <w:tc>
          <w:tcPr>
            <w:tcW w:w="408"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1B1CCF06" w14:textId="77777777" w:rsidR="00F22587" w:rsidRPr="000E5DBF" w:rsidRDefault="00F22587" w:rsidP="008A5C11">
            <w:pPr>
              <w:rPr>
                <w:color w:val="000000"/>
                <w:sz w:val="14"/>
                <w:szCs w:val="14"/>
              </w:rPr>
            </w:pPr>
          </w:p>
        </w:tc>
        <w:tc>
          <w:tcPr>
            <w:tcW w:w="1434"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3B3ECF6E" w14:textId="77777777" w:rsidR="00F22587" w:rsidRPr="000E5DBF" w:rsidRDefault="00F22587" w:rsidP="008A5C11">
            <w:pPr>
              <w:rPr>
                <w:color w:val="000000"/>
                <w:sz w:val="14"/>
                <w:szCs w:val="14"/>
              </w:rPr>
            </w:pPr>
          </w:p>
        </w:tc>
        <w:tc>
          <w:tcPr>
            <w:tcW w:w="971"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73A875EA" w14:textId="77777777" w:rsidR="00F22587" w:rsidRPr="000E5DBF" w:rsidRDefault="00F22587" w:rsidP="008A5C11">
            <w:pPr>
              <w:rPr>
                <w:color w:val="000000"/>
                <w:sz w:val="14"/>
                <w:szCs w:val="14"/>
              </w:rPr>
            </w:pPr>
          </w:p>
        </w:tc>
        <w:tc>
          <w:tcPr>
            <w:tcW w:w="993"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20C092BD" w14:textId="77777777" w:rsidR="00F22587" w:rsidRPr="000E5DBF" w:rsidRDefault="00F22587" w:rsidP="008A5C11">
            <w:pPr>
              <w:rPr>
                <w:color w:val="000000"/>
                <w:sz w:val="14"/>
                <w:szCs w:val="14"/>
              </w:rPr>
            </w:pPr>
          </w:p>
        </w:tc>
        <w:tc>
          <w:tcPr>
            <w:tcW w:w="991" w:type="dxa"/>
            <w:vMerge/>
            <w:tcBorders>
              <w:top w:val="nil"/>
              <w:left w:val="single" w:sz="4" w:space="0" w:color="auto"/>
              <w:bottom w:val="single" w:sz="4" w:space="0" w:color="auto"/>
              <w:right w:val="single" w:sz="4" w:space="0" w:color="auto"/>
            </w:tcBorders>
            <w:tcMar>
              <w:left w:w="0" w:type="dxa"/>
              <w:right w:w="0" w:type="dxa"/>
            </w:tcMar>
            <w:vAlign w:val="center"/>
            <w:hideMark/>
          </w:tcPr>
          <w:p w14:paraId="16CA1289" w14:textId="77777777" w:rsidR="00F22587" w:rsidRPr="000E5DBF" w:rsidRDefault="00F22587" w:rsidP="008A5C11">
            <w:pPr>
              <w:rPr>
                <w:color w:val="000000"/>
                <w:sz w:val="14"/>
                <w:szCs w:val="14"/>
              </w:rPr>
            </w:pPr>
          </w:p>
        </w:tc>
        <w:tc>
          <w:tcPr>
            <w:tcW w:w="426" w:type="dxa"/>
            <w:vMerge/>
            <w:tcBorders>
              <w:top w:val="nil"/>
              <w:left w:val="single" w:sz="4" w:space="0" w:color="auto"/>
              <w:bottom w:val="single" w:sz="4" w:space="0" w:color="auto"/>
              <w:right w:val="single" w:sz="4" w:space="0" w:color="auto"/>
            </w:tcBorders>
            <w:tcMar>
              <w:left w:w="0" w:type="dxa"/>
              <w:right w:w="0" w:type="dxa"/>
            </w:tcMar>
            <w:vAlign w:val="center"/>
            <w:hideMark/>
          </w:tcPr>
          <w:p w14:paraId="6135DC3F" w14:textId="77777777" w:rsidR="00F22587" w:rsidRPr="000E5DBF" w:rsidRDefault="00F22587" w:rsidP="008A5C11">
            <w:pPr>
              <w:rPr>
                <w:color w:val="000000"/>
                <w:sz w:val="14"/>
                <w:szCs w:val="14"/>
              </w:rPr>
            </w:pPr>
          </w:p>
        </w:tc>
        <w:tc>
          <w:tcPr>
            <w:tcW w:w="713"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A4F4BDA" w14:textId="77777777" w:rsidR="00F22587" w:rsidRPr="000E5DBF" w:rsidRDefault="00F22587" w:rsidP="008A5C11">
            <w:pPr>
              <w:jc w:val="center"/>
              <w:rPr>
                <w:color w:val="000000"/>
                <w:sz w:val="14"/>
                <w:szCs w:val="14"/>
              </w:rPr>
            </w:pPr>
            <w:r w:rsidRPr="000E5DBF">
              <w:rPr>
                <w:color w:val="000000"/>
                <w:sz w:val="14"/>
                <w:szCs w:val="14"/>
              </w:rPr>
              <w:t xml:space="preserve">до реализации </w:t>
            </w:r>
            <w:proofErr w:type="gramStart"/>
            <w:r w:rsidRPr="000E5DBF">
              <w:rPr>
                <w:color w:val="000000"/>
                <w:sz w:val="14"/>
                <w:szCs w:val="14"/>
              </w:rPr>
              <w:t>мероприя-тия</w:t>
            </w:r>
            <w:proofErr w:type="gramEnd"/>
          </w:p>
        </w:tc>
        <w:tc>
          <w:tcPr>
            <w:tcW w:w="717"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F1DEAC5" w14:textId="77777777" w:rsidR="00F22587" w:rsidRPr="000E5DBF" w:rsidRDefault="00F22587" w:rsidP="008A5C11">
            <w:pPr>
              <w:jc w:val="center"/>
              <w:rPr>
                <w:color w:val="000000"/>
                <w:sz w:val="14"/>
                <w:szCs w:val="14"/>
              </w:rPr>
            </w:pPr>
            <w:r w:rsidRPr="000E5DBF">
              <w:rPr>
                <w:color w:val="000000"/>
                <w:sz w:val="14"/>
                <w:szCs w:val="14"/>
              </w:rPr>
              <w:t xml:space="preserve">после </w:t>
            </w:r>
            <w:proofErr w:type="gramStart"/>
            <w:r w:rsidRPr="000E5DBF">
              <w:rPr>
                <w:color w:val="000000"/>
                <w:sz w:val="14"/>
                <w:szCs w:val="14"/>
              </w:rPr>
              <w:t>реализа-ции</w:t>
            </w:r>
            <w:proofErr w:type="gramEnd"/>
            <w:r w:rsidRPr="000E5DBF">
              <w:rPr>
                <w:color w:val="000000"/>
                <w:sz w:val="14"/>
                <w:szCs w:val="14"/>
              </w:rPr>
              <w:t xml:space="preserve"> мероприя-тия</w:t>
            </w:r>
          </w:p>
        </w:tc>
        <w:tc>
          <w:tcPr>
            <w:tcW w:w="425" w:type="dxa"/>
            <w:gridSpan w:val="2"/>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39C47C15" w14:textId="77777777" w:rsidR="00F22587" w:rsidRPr="000E5DBF" w:rsidRDefault="00F22587" w:rsidP="008A5C11">
            <w:pPr>
              <w:rPr>
                <w:color w:val="000000"/>
                <w:sz w:val="14"/>
                <w:szCs w:val="14"/>
              </w:rPr>
            </w:pPr>
          </w:p>
        </w:tc>
        <w:tc>
          <w:tcPr>
            <w:tcW w:w="413"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41D8F67D" w14:textId="77777777" w:rsidR="00F22587" w:rsidRPr="000E5DBF" w:rsidRDefault="00F22587" w:rsidP="008A5C11">
            <w:pPr>
              <w:rPr>
                <w:color w:val="000000"/>
                <w:sz w:val="14"/>
                <w:szCs w:val="14"/>
              </w:rPr>
            </w:pPr>
          </w:p>
        </w:tc>
        <w:tc>
          <w:tcPr>
            <w:tcW w:w="568" w:type="dxa"/>
            <w:vMerge/>
            <w:tcBorders>
              <w:top w:val="nil"/>
              <w:left w:val="single" w:sz="4" w:space="0" w:color="auto"/>
              <w:bottom w:val="single" w:sz="4" w:space="0" w:color="auto"/>
              <w:right w:val="single" w:sz="4" w:space="0" w:color="auto"/>
            </w:tcBorders>
            <w:tcMar>
              <w:left w:w="0" w:type="dxa"/>
              <w:right w:w="0" w:type="dxa"/>
            </w:tcMar>
            <w:vAlign w:val="center"/>
            <w:hideMark/>
          </w:tcPr>
          <w:p w14:paraId="3B74F07A" w14:textId="77777777" w:rsidR="00F22587" w:rsidRPr="000E5DBF" w:rsidRDefault="00F22587" w:rsidP="008A5C11">
            <w:pPr>
              <w:rPr>
                <w:color w:val="000000"/>
                <w:sz w:val="14"/>
                <w:szCs w:val="14"/>
              </w:rPr>
            </w:pPr>
          </w:p>
        </w:tc>
        <w:tc>
          <w:tcPr>
            <w:tcW w:w="443" w:type="dxa"/>
            <w:gridSpan w:val="2"/>
            <w:vMerge/>
            <w:tcBorders>
              <w:top w:val="nil"/>
              <w:left w:val="single" w:sz="4" w:space="0" w:color="auto"/>
              <w:bottom w:val="single" w:sz="4" w:space="0" w:color="auto"/>
              <w:right w:val="single" w:sz="4" w:space="0" w:color="auto"/>
            </w:tcBorders>
            <w:tcMar>
              <w:left w:w="0" w:type="dxa"/>
              <w:right w:w="0" w:type="dxa"/>
            </w:tcMar>
            <w:vAlign w:val="center"/>
            <w:hideMark/>
          </w:tcPr>
          <w:p w14:paraId="103A54B6" w14:textId="77777777" w:rsidR="00F22587" w:rsidRPr="000E5DBF" w:rsidRDefault="00F22587" w:rsidP="008A5C11">
            <w:pPr>
              <w:rPr>
                <w:color w:val="000000"/>
                <w:sz w:val="14"/>
                <w:szCs w:val="14"/>
              </w:rPr>
            </w:pPr>
          </w:p>
        </w:tc>
        <w:tc>
          <w:tcPr>
            <w:tcW w:w="554" w:type="dxa"/>
            <w:tcBorders>
              <w:top w:val="nil"/>
              <w:left w:val="nil"/>
              <w:bottom w:val="single" w:sz="4" w:space="0" w:color="auto"/>
              <w:right w:val="single" w:sz="4" w:space="0" w:color="auto"/>
            </w:tcBorders>
            <w:shd w:val="clear" w:color="000000" w:fill="FFFFFF"/>
            <w:tcMar>
              <w:left w:w="0" w:type="dxa"/>
              <w:right w:w="0" w:type="dxa"/>
            </w:tcMar>
            <w:vAlign w:val="center"/>
          </w:tcPr>
          <w:p w14:paraId="28D07C2C" w14:textId="77777777" w:rsidR="00F22587" w:rsidRPr="000E5DBF" w:rsidRDefault="00F22587" w:rsidP="008A5C11">
            <w:pPr>
              <w:jc w:val="center"/>
              <w:rPr>
                <w:color w:val="000000"/>
                <w:sz w:val="14"/>
                <w:szCs w:val="14"/>
              </w:rPr>
            </w:pPr>
            <w:r w:rsidRPr="000E5DBF">
              <w:rPr>
                <w:color w:val="000000"/>
                <w:sz w:val="14"/>
                <w:szCs w:val="14"/>
              </w:rPr>
              <w:t>2019</w:t>
            </w:r>
          </w:p>
        </w:tc>
        <w:tc>
          <w:tcPr>
            <w:tcW w:w="567" w:type="dxa"/>
            <w:tcBorders>
              <w:top w:val="nil"/>
              <w:left w:val="nil"/>
              <w:bottom w:val="single" w:sz="4" w:space="0" w:color="auto"/>
              <w:right w:val="single" w:sz="4" w:space="0" w:color="auto"/>
            </w:tcBorders>
            <w:shd w:val="clear" w:color="000000" w:fill="FFFFFF"/>
            <w:tcMar>
              <w:left w:w="0" w:type="dxa"/>
              <w:right w:w="0" w:type="dxa"/>
            </w:tcMar>
            <w:vAlign w:val="center"/>
          </w:tcPr>
          <w:p w14:paraId="61386459" w14:textId="77777777" w:rsidR="00F22587" w:rsidRPr="000E5DBF" w:rsidRDefault="00F22587" w:rsidP="008A5C11">
            <w:pPr>
              <w:jc w:val="center"/>
              <w:rPr>
                <w:color w:val="000000"/>
                <w:sz w:val="14"/>
                <w:szCs w:val="14"/>
              </w:rPr>
            </w:pPr>
            <w:r w:rsidRPr="000E5DBF">
              <w:rPr>
                <w:color w:val="000000"/>
                <w:sz w:val="14"/>
                <w:szCs w:val="14"/>
              </w:rPr>
              <w:t>2020</w:t>
            </w:r>
          </w:p>
        </w:tc>
        <w:tc>
          <w:tcPr>
            <w:tcW w:w="567" w:type="dxa"/>
            <w:tcBorders>
              <w:top w:val="nil"/>
              <w:left w:val="nil"/>
              <w:bottom w:val="single" w:sz="4" w:space="0" w:color="auto"/>
              <w:right w:val="single" w:sz="4" w:space="0" w:color="auto"/>
            </w:tcBorders>
            <w:shd w:val="clear" w:color="000000" w:fill="FFFFFF"/>
            <w:tcMar>
              <w:left w:w="0" w:type="dxa"/>
              <w:right w:w="0" w:type="dxa"/>
            </w:tcMar>
            <w:vAlign w:val="center"/>
          </w:tcPr>
          <w:p w14:paraId="4B6E854B" w14:textId="77777777" w:rsidR="00F22587" w:rsidRPr="000E5DBF" w:rsidRDefault="00F22587" w:rsidP="008A5C11">
            <w:pPr>
              <w:jc w:val="center"/>
              <w:rPr>
                <w:color w:val="000000"/>
                <w:sz w:val="14"/>
                <w:szCs w:val="14"/>
              </w:rPr>
            </w:pPr>
            <w:r w:rsidRPr="000E5DBF">
              <w:rPr>
                <w:color w:val="000000"/>
                <w:sz w:val="14"/>
                <w:szCs w:val="14"/>
              </w:rPr>
              <w:t>2021</w:t>
            </w:r>
          </w:p>
        </w:tc>
        <w:tc>
          <w:tcPr>
            <w:tcW w:w="561" w:type="dxa"/>
            <w:tcBorders>
              <w:top w:val="nil"/>
              <w:left w:val="nil"/>
              <w:bottom w:val="single" w:sz="4" w:space="0" w:color="auto"/>
              <w:right w:val="single" w:sz="4" w:space="0" w:color="auto"/>
            </w:tcBorders>
            <w:shd w:val="clear" w:color="000000" w:fill="FFFFFF"/>
            <w:tcMar>
              <w:left w:w="0" w:type="dxa"/>
              <w:right w:w="0" w:type="dxa"/>
            </w:tcMar>
            <w:vAlign w:val="center"/>
          </w:tcPr>
          <w:p w14:paraId="69FC7BB7" w14:textId="77777777" w:rsidR="00F22587" w:rsidRPr="000E5DBF" w:rsidRDefault="00F22587" w:rsidP="008A5C11">
            <w:pPr>
              <w:jc w:val="center"/>
              <w:rPr>
                <w:color w:val="000000"/>
                <w:sz w:val="14"/>
                <w:szCs w:val="14"/>
              </w:rPr>
            </w:pPr>
            <w:r w:rsidRPr="000E5DBF">
              <w:rPr>
                <w:color w:val="000000"/>
                <w:sz w:val="14"/>
                <w:szCs w:val="14"/>
              </w:rPr>
              <w:t>2022</w:t>
            </w:r>
          </w:p>
        </w:tc>
        <w:tc>
          <w:tcPr>
            <w:tcW w:w="560" w:type="dxa"/>
            <w:tcBorders>
              <w:top w:val="nil"/>
              <w:left w:val="nil"/>
              <w:bottom w:val="single" w:sz="4" w:space="0" w:color="auto"/>
              <w:right w:val="single" w:sz="4" w:space="0" w:color="auto"/>
            </w:tcBorders>
            <w:shd w:val="clear" w:color="000000" w:fill="FFFFFF"/>
            <w:tcMar>
              <w:left w:w="0" w:type="dxa"/>
              <w:right w:w="0" w:type="dxa"/>
            </w:tcMar>
            <w:vAlign w:val="center"/>
          </w:tcPr>
          <w:p w14:paraId="162303C9" w14:textId="77777777" w:rsidR="00F22587" w:rsidRPr="000E5DBF" w:rsidRDefault="00F22587" w:rsidP="008A5C11">
            <w:pPr>
              <w:jc w:val="center"/>
              <w:rPr>
                <w:color w:val="000000"/>
                <w:sz w:val="14"/>
                <w:szCs w:val="14"/>
              </w:rPr>
            </w:pPr>
            <w:r w:rsidRPr="000E5DBF">
              <w:rPr>
                <w:color w:val="000000"/>
                <w:sz w:val="14"/>
                <w:szCs w:val="14"/>
              </w:rPr>
              <w:t>2023</w:t>
            </w:r>
          </w:p>
        </w:tc>
        <w:tc>
          <w:tcPr>
            <w:tcW w:w="569" w:type="dxa"/>
            <w:tcBorders>
              <w:top w:val="nil"/>
              <w:left w:val="nil"/>
              <w:bottom w:val="single" w:sz="4" w:space="0" w:color="auto"/>
              <w:right w:val="single" w:sz="4" w:space="0" w:color="auto"/>
            </w:tcBorders>
            <w:shd w:val="clear" w:color="000000" w:fill="FFFFFF"/>
            <w:tcMar>
              <w:left w:w="0" w:type="dxa"/>
              <w:right w:w="0" w:type="dxa"/>
            </w:tcMar>
            <w:vAlign w:val="center"/>
          </w:tcPr>
          <w:p w14:paraId="5854E380" w14:textId="77777777" w:rsidR="00F22587" w:rsidRPr="000E5DBF" w:rsidRDefault="00F22587" w:rsidP="008A5C11">
            <w:pPr>
              <w:jc w:val="center"/>
              <w:rPr>
                <w:color w:val="000000"/>
                <w:sz w:val="14"/>
                <w:szCs w:val="14"/>
              </w:rPr>
            </w:pPr>
            <w:r w:rsidRPr="000E5DBF">
              <w:rPr>
                <w:color w:val="000000"/>
                <w:sz w:val="14"/>
                <w:szCs w:val="14"/>
              </w:rPr>
              <w:t>2024</w:t>
            </w:r>
          </w:p>
        </w:tc>
        <w:tc>
          <w:tcPr>
            <w:tcW w:w="567"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4BA88927" w14:textId="77777777" w:rsidR="00F22587" w:rsidRPr="000E5DBF" w:rsidRDefault="00F22587" w:rsidP="008A5C11">
            <w:pPr>
              <w:jc w:val="center"/>
              <w:rPr>
                <w:color w:val="000000"/>
                <w:sz w:val="14"/>
                <w:szCs w:val="14"/>
              </w:rPr>
            </w:pPr>
            <w:r w:rsidRPr="000E5DBF">
              <w:rPr>
                <w:color w:val="000000"/>
                <w:sz w:val="14"/>
                <w:szCs w:val="14"/>
              </w:rPr>
              <w:t>2025</w:t>
            </w:r>
          </w:p>
        </w:tc>
        <w:tc>
          <w:tcPr>
            <w:tcW w:w="565" w:type="dxa"/>
            <w:tcBorders>
              <w:top w:val="nil"/>
              <w:left w:val="nil"/>
              <w:bottom w:val="single" w:sz="4" w:space="0" w:color="auto"/>
              <w:right w:val="single" w:sz="4" w:space="0" w:color="auto"/>
            </w:tcBorders>
            <w:shd w:val="clear" w:color="000000" w:fill="FFFFFF"/>
            <w:tcMar>
              <w:left w:w="0" w:type="dxa"/>
              <w:right w:w="0" w:type="dxa"/>
            </w:tcMar>
            <w:vAlign w:val="center"/>
          </w:tcPr>
          <w:p w14:paraId="1BA28D57" w14:textId="77777777" w:rsidR="00F22587" w:rsidRPr="000E5DBF" w:rsidRDefault="00F22587" w:rsidP="008A5C11">
            <w:pPr>
              <w:jc w:val="center"/>
              <w:rPr>
                <w:color w:val="000000"/>
                <w:sz w:val="14"/>
                <w:szCs w:val="14"/>
              </w:rPr>
            </w:pPr>
            <w:r w:rsidRPr="000E5DBF">
              <w:rPr>
                <w:color w:val="000000"/>
                <w:sz w:val="14"/>
                <w:szCs w:val="14"/>
              </w:rPr>
              <w:t>2026</w:t>
            </w:r>
          </w:p>
        </w:tc>
        <w:tc>
          <w:tcPr>
            <w:tcW w:w="567" w:type="dxa"/>
            <w:tcBorders>
              <w:top w:val="nil"/>
              <w:left w:val="nil"/>
              <w:bottom w:val="single" w:sz="4" w:space="0" w:color="auto"/>
              <w:right w:val="single" w:sz="4" w:space="0" w:color="auto"/>
            </w:tcBorders>
            <w:shd w:val="clear" w:color="000000" w:fill="FFFFFF"/>
            <w:tcMar>
              <w:left w:w="0" w:type="dxa"/>
              <w:right w:w="0" w:type="dxa"/>
            </w:tcMar>
            <w:vAlign w:val="center"/>
          </w:tcPr>
          <w:p w14:paraId="4614F2DC" w14:textId="77777777" w:rsidR="00F22587" w:rsidRPr="000E5DBF" w:rsidRDefault="00F22587" w:rsidP="008A5C11">
            <w:pPr>
              <w:jc w:val="center"/>
              <w:rPr>
                <w:color w:val="000000"/>
                <w:sz w:val="14"/>
                <w:szCs w:val="14"/>
              </w:rPr>
            </w:pPr>
            <w:r w:rsidRPr="000E5DBF">
              <w:rPr>
                <w:color w:val="000000"/>
                <w:sz w:val="14"/>
                <w:szCs w:val="14"/>
              </w:rPr>
              <w:t>2027</w:t>
            </w:r>
          </w:p>
        </w:tc>
        <w:tc>
          <w:tcPr>
            <w:tcW w:w="568" w:type="dxa"/>
            <w:tcBorders>
              <w:top w:val="nil"/>
              <w:left w:val="nil"/>
              <w:bottom w:val="single" w:sz="4" w:space="0" w:color="auto"/>
              <w:right w:val="single" w:sz="4" w:space="0" w:color="auto"/>
            </w:tcBorders>
            <w:shd w:val="clear" w:color="000000" w:fill="FFFFFF"/>
            <w:tcMar>
              <w:left w:w="0" w:type="dxa"/>
              <w:right w:w="0" w:type="dxa"/>
            </w:tcMar>
            <w:vAlign w:val="center"/>
          </w:tcPr>
          <w:p w14:paraId="2CB5BADD" w14:textId="77777777" w:rsidR="00F22587" w:rsidRPr="000E5DBF" w:rsidRDefault="00F22587" w:rsidP="008A5C11">
            <w:pPr>
              <w:jc w:val="center"/>
              <w:rPr>
                <w:color w:val="000000"/>
                <w:sz w:val="14"/>
                <w:szCs w:val="14"/>
              </w:rPr>
            </w:pPr>
            <w:r w:rsidRPr="000E5DBF">
              <w:rPr>
                <w:color w:val="000000"/>
                <w:sz w:val="14"/>
                <w:szCs w:val="14"/>
              </w:rPr>
              <w:t>2028</w:t>
            </w:r>
          </w:p>
        </w:tc>
        <w:tc>
          <w:tcPr>
            <w:tcW w:w="569" w:type="dxa"/>
            <w:tcBorders>
              <w:top w:val="nil"/>
              <w:left w:val="nil"/>
              <w:bottom w:val="single" w:sz="4" w:space="0" w:color="auto"/>
              <w:right w:val="single" w:sz="4" w:space="0" w:color="auto"/>
            </w:tcBorders>
            <w:shd w:val="clear" w:color="000000" w:fill="FFFFFF"/>
            <w:tcMar>
              <w:left w:w="0" w:type="dxa"/>
              <w:right w:w="0" w:type="dxa"/>
            </w:tcMar>
            <w:vAlign w:val="center"/>
          </w:tcPr>
          <w:p w14:paraId="52CE7B10" w14:textId="77777777" w:rsidR="00F22587" w:rsidRPr="000E5DBF" w:rsidRDefault="00F22587" w:rsidP="008A5C11">
            <w:pPr>
              <w:jc w:val="center"/>
              <w:rPr>
                <w:color w:val="000000"/>
                <w:sz w:val="14"/>
                <w:szCs w:val="14"/>
              </w:rPr>
            </w:pPr>
            <w:r w:rsidRPr="000E5DBF">
              <w:rPr>
                <w:color w:val="000000"/>
                <w:sz w:val="14"/>
                <w:szCs w:val="14"/>
              </w:rPr>
              <w:t>2029</w:t>
            </w:r>
          </w:p>
        </w:tc>
        <w:tc>
          <w:tcPr>
            <w:tcW w:w="562" w:type="dxa"/>
            <w:tcBorders>
              <w:top w:val="nil"/>
              <w:left w:val="nil"/>
              <w:bottom w:val="single" w:sz="4" w:space="0" w:color="auto"/>
              <w:right w:val="single" w:sz="4" w:space="0" w:color="auto"/>
            </w:tcBorders>
            <w:shd w:val="clear" w:color="000000" w:fill="FFFFFF"/>
            <w:tcMar>
              <w:left w:w="0" w:type="dxa"/>
              <w:right w:w="0" w:type="dxa"/>
            </w:tcMar>
            <w:vAlign w:val="center"/>
          </w:tcPr>
          <w:p w14:paraId="5653F94A" w14:textId="77777777" w:rsidR="00F22587" w:rsidRPr="000E5DBF" w:rsidRDefault="00F22587" w:rsidP="008A5C11">
            <w:pPr>
              <w:jc w:val="center"/>
              <w:rPr>
                <w:color w:val="000000"/>
                <w:sz w:val="14"/>
                <w:szCs w:val="14"/>
              </w:rPr>
            </w:pPr>
            <w:r w:rsidRPr="000E5DBF">
              <w:rPr>
                <w:color w:val="000000"/>
                <w:sz w:val="14"/>
                <w:szCs w:val="14"/>
              </w:rPr>
              <w:t>2030</w:t>
            </w:r>
          </w:p>
        </w:tc>
        <w:tc>
          <w:tcPr>
            <w:tcW w:w="290" w:type="dxa"/>
            <w:vMerge/>
            <w:tcBorders>
              <w:left w:val="single" w:sz="4" w:space="0" w:color="auto"/>
              <w:bottom w:val="single" w:sz="4" w:space="0" w:color="auto"/>
              <w:right w:val="single" w:sz="4" w:space="0" w:color="auto"/>
            </w:tcBorders>
            <w:tcMar>
              <w:left w:w="0" w:type="dxa"/>
              <w:right w:w="0" w:type="dxa"/>
            </w:tcMar>
            <w:vAlign w:val="center"/>
            <w:hideMark/>
          </w:tcPr>
          <w:p w14:paraId="6E8F7BF9" w14:textId="77777777" w:rsidR="00F22587" w:rsidRPr="000E5DBF" w:rsidRDefault="00F22587" w:rsidP="008A5C11">
            <w:pPr>
              <w:rPr>
                <w:color w:val="000000"/>
                <w:sz w:val="14"/>
                <w:szCs w:val="14"/>
              </w:rPr>
            </w:pPr>
          </w:p>
        </w:tc>
        <w:tc>
          <w:tcPr>
            <w:tcW w:w="425" w:type="dxa"/>
            <w:gridSpan w:val="2"/>
            <w:vMerge/>
            <w:tcBorders>
              <w:left w:val="single" w:sz="4" w:space="0" w:color="auto"/>
              <w:bottom w:val="single" w:sz="4" w:space="0" w:color="auto"/>
              <w:right w:val="single" w:sz="4" w:space="0" w:color="auto"/>
            </w:tcBorders>
            <w:tcMar>
              <w:left w:w="0" w:type="dxa"/>
              <w:right w:w="0" w:type="dxa"/>
            </w:tcMar>
            <w:vAlign w:val="center"/>
            <w:hideMark/>
          </w:tcPr>
          <w:p w14:paraId="1193F579" w14:textId="77777777" w:rsidR="00F22587" w:rsidRPr="000E5DBF" w:rsidRDefault="00F22587" w:rsidP="008A5C11">
            <w:pPr>
              <w:rPr>
                <w:color w:val="000000"/>
                <w:sz w:val="14"/>
                <w:szCs w:val="14"/>
              </w:rPr>
            </w:pPr>
          </w:p>
        </w:tc>
      </w:tr>
      <w:tr w:rsidR="00F22587" w:rsidRPr="000E5DBF" w14:paraId="6D75720F" w14:textId="77777777" w:rsidTr="008A5C11">
        <w:trPr>
          <w:cantSplit/>
          <w:trHeight w:val="267"/>
        </w:trPr>
        <w:tc>
          <w:tcPr>
            <w:tcW w:w="408"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5D79AC4E" w14:textId="77777777" w:rsidR="00F22587" w:rsidRPr="000E5DBF" w:rsidRDefault="00F22587" w:rsidP="008A5C11">
            <w:pPr>
              <w:jc w:val="center"/>
              <w:rPr>
                <w:color w:val="000000"/>
                <w:sz w:val="14"/>
                <w:szCs w:val="14"/>
              </w:rPr>
            </w:pPr>
            <w:r w:rsidRPr="000E5DBF">
              <w:rPr>
                <w:color w:val="000000"/>
                <w:sz w:val="14"/>
                <w:szCs w:val="14"/>
              </w:rPr>
              <w:t>1</w:t>
            </w:r>
          </w:p>
        </w:tc>
        <w:tc>
          <w:tcPr>
            <w:tcW w:w="1434"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FD4105E" w14:textId="77777777" w:rsidR="00F22587" w:rsidRPr="000E5DBF" w:rsidRDefault="00F22587" w:rsidP="008A5C11">
            <w:pPr>
              <w:jc w:val="center"/>
              <w:rPr>
                <w:color w:val="000000"/>
                <w:sz w:val="14"/>
                <w:szCs w:val="14"/>
              </w:rPr>
            </w:pPr>
            <w:r w:rsidRPr="000E5DBF">
              <w:rPr>
                <w:color w:val="000000"/>
                <w:sz w:val="14"/>
                <w:szCs w:val="14"/>
              </w:rPr>
              <w:t>2</w:t>
            </w:r>
          </w:p>
        </w:tc>
        <w:tc>
          <w:tcPr>
            <w:tcW w:w="971"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584AC6F" w14:textId="77777777" w:rsidR="00F22587" w:rsidRPr="000E5DBF" w:rsidRDefault="00F22587" w:rsidP="008A5C11">
            <w:pPr>
              <w:jc w:val="center"/>
              <w:rPr>
                <w:color w:val="000000"/>
                <w:sz w:val="14"/>
                <w:szCs w:val="14"/>
              </w:rPr>
            </w:pPr>
            <w:r w:rsidRPr="000E5DBF">
              <w:rPr>
                <w:color w:val="000000"/>
                <w:sz w:val="14"/>
                <w:szCs w:val="14"/>
              </w:rPr>
              <w:t>3</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DD7E055" w14:textId="77777777" w:rsidR="00F22587" w:rsidRPr="000E5DBF" w:rsidRDefault="00F22587" w:rsidP="008A5C11">
            <w:pPr>
              <w:jc w:val="center"/>
              <w:rPr>
                <w:color w:val="000000"/>
                <w:sz w:val="14"/>
                <w:szCs w:val="14"/>
              </w:rPr>
            </w:pPr>
            <w:r w:rsidRPr="000E5DBF">
              <w:rPr>
                <w:color w:val="000000"/>
                <w:sz w:val="14"/>
                <w:szCs w:val="14"/>
              </w:rPr>
              <w:t>4</w:t>
            </w:r>
          </w:p>
        </w:tc>
        <w:tc>
          <w:tcPr>
            <w:tcW w:w="991"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DC61E0F" w14:textId="77777777" w:rsidR="00F22587" w:rsidRPr="000E5DBF" w:rsidRDefault="00F22587" w:rsidP="008A5C11">
            <w:pPr>
              <w:jc w:val="center"/>
              <w:rPr>
                <w:color w:val="000000"/>
                <w:sz w:val="14"/>
                <w:szCs w:val="14"/>
              </w:rPr>
            </w:pPr>
            <w:r w:rsidRPr="000E5DBF">
              <w:rPr>
                <w:color w:val="000000"/>
                <w:sz w:val="14"/>
                <w:szCs w:val="14"/>
              </w:rPr>
              <w:t>5</w:t>
            </w:r>
          </w:p>
        </w:tc>
        <w:tc>
          <w:tcPr>
            <w:tcW w:w="426"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47BDEA0" w14:textId="77777777" w:rsidR="00F22587" w:rsidRPr="000E5DBF" w:rsidRDefault="00F22587" w:rsidP="008A5C11">
            <w:pPr>
              <w:jc w:val="center"/>
              <w:rPr>
                <w:color w:val="000000"/>
                <w:sz w:val="14"/>
                <w:szCs w:val="14"/>
              </w:rPr>
            </w:pPr>
            <w:r w:rsidRPr="000E5DBF">
              <w:rPr>
                <w:color w:val="000000"/>
                <w:sz w:val="14"/>
                <w:szCs w:val="14"/>
              </w:rPr>
              <w:t>6</w:t>
            </w:r>
          </w:p>
        </w:tc>
        <w:tc>
          <w:tcPr>
            <w:tcW w:w="713"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F1843F1" w14:textId="77777777" w:rsidR="00F22587" w:rsidRPr="000E5DBF" w:rsidRDefault="00F22587" w:rsidP="008A5C11">
            <w:pPr>
              <w:jc w:val="center"/>
              <w:rPr>
                <w:color w:val="000000"/>
                <w:sz w:val="14"/>
                <w:szCs w:val="14"/>
              </w:rPr>
            </w:pPr>
            <w:r w:rsidRPr="000E5DBF">
              <w:rPr>
                <w:color w:val="000000"/>
                <w:sz w:val="14"/>
                <w:szCs w:val="14"/>
              </w:rPr>
              <w:t>7</w:t>
            </w:r>
          </w:p>
        </w:tc>
        <w:tc>
          <w:tcPr>
            <w:tcW w:w="717"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0F347A7" w14:textId="77777777" w:rsidR="00F22587" w:rsidRPr="000E5DBF" w:rsidRDefault="00F22587" w:rsidP="008A5C11">
            <w:pPr>
              <w:jc w:val="center"/>
              <w:rPr>
                <w:color w:val="000000"/>
                <w:sz w:val="14"/>
                <w:szCs w:val="14"/>
              </w:rPr>
            </w:pPr>
            <w:r w:rsidRPr="000E5DBF">
              <w:rPr>
                <w:color w:val="000000"/>
                <w:sz w:val="14"/>
                <w:szCs w:val="14"/>
              </w:rPr>
              <w:t>8</w:t>
            </w:r>
          </w:p>
        </w:tc>
        <w:tc>
          <w:tcPr>
            <w:tcW w:w="425"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10106FA4" w14:textId="77777777" w:rsidR="00F22587" w:rsidRPr="000E5DBF" w:rsidRDefault="00F22587" w:rsidP="008A5C11">
            <w:pPr>
              <w:jc w:val="center"/>
              <w:rPr>
                <w:color w:val="000000"/>
                <w:sz w:val="14"/>
                <w:szCs w:val="14"/>
              </w:rPr>
            </w:pPr>
            <w:r w:rsidRPr="000E5DBF">
              <w:rPr>
                <w:color w:val="000000"/>
                <w:sz w:val="14"/>
                <w:szCs w:val="14"/>
              </w:rPr>
              <w:t>9</w:t>
            </w:r>
          </w:p>
        </w:tc>
        <w:tc>
          <w:tcPr>
            <w:tcW w:w="413"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197B33B" w14:textId="77777777" w:rsidR="00F22587" w:rsidRPr="000E5DBF" w:rsidRDefault="00F22587" w:rsidP="008A5C11">
            <w:pPr>
              <w:jc w:val="center"/>
              <w:rPr>
                <w:color w:val="000000"/>
                <w:sz w:val="14"/>
                <w:szCs w:val="14"/>
              </w:rPr>
            </w:pPr>
            <w:r w:rsidRPr="000E5DBF">
              <w:rPr>
                <w:color w:val="000000"/>
                <w:sz w:val="14"/>
                <w:szCs w:val="14"/>
              </w:rPr>
              <w:t>10</w:t>
            </w:r>
          </w:p>
        </w:tc>
        <w:tc>
          <w:tcPr>
            <w:tcW w:w="568"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3C3BCCF" w14:textId="77777777" w:rsidR="00F22587" w:rsidRPr="000E5DBF" w:rsidRDefault="00F22587" w:rsidP="008A5C11">
            <w:pPr>
              <w:jc w:val="center"/>
              <w:rPr>
                <w:color w:val="000000"/>
                <w:sz w:val="14"/>
                <w:szCs w:val="14"/>
              </w:rPr>
            </w:pPr>
            <w:r w:rsidRPr="000E5DBF">
              <w:rPr>
                <w:color w:val="000000"/>
                <w:sz w:val="14"/>
                <w:szCs w:val="14"/>
              </w:rPr>
              <w:t>11</w:t>
            </w:r>
          </w:p>
        </w:tc>
        <w:tc>
          <w:tcPr>
            <w:tcW w:w="443"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572F0F3D" w14:textId="77777777" w:rsidR="00F22587" w:rsidRPr="000E5DBF" w:rsidRDefault="00F22587" w:rsidP="008A5C11">
            <w:pPr>
              <w:jc w:val="center"/>
              <w:rPr>
                <w:color w:val="000000"/>
                <w:sz w:val="14"/>
                <w:szCs w:val="14"/>
              </w:rPr>
            </w:pPr>
            <w:r w:rsidRPr="000E5DBF">
              <w:rPr>
                <w:color w:val="000000"/>
                <w:sz w:val="14"/>
                <w:szCs w:val="14"/>
              </w:rPr>
              <w:t>12</w:t>
            </w:r>
          </w:p>
        </w:tc>
        <w:tc>
          <w:tcPr>
            <w:tcW w:w="554" w:type="dxa"/>
            <w:tcBorders>
              <w:top w:val="nil"/>
              <w:left w:val="nil"/>
              <w:bottom w:val="single" w:sz="4" w:space="0" w:color="auto"/>
              <w:right w:val="single" w:sz="4" w:space="0" w:color="auto"/>
            </w:tcBorders>
            <w:shd w:val="clear" w:color="000000" w:fill="FFFFFF"/>
            <w:tcMar>
              <w:left w:w="0" w:type="dxa"/>
              <w:right w:w="0" w:type="dxa"/>
            </w:tcMar>
            <w:vAlign w:val="center"/>
            <w:hideMark/>
          </w:tcPr>
          <w:p w14:paraId="43688049" w14:textId="77777777" w:rsidR="00F22587" w:rsidRPr="000E5DBF" w:rsidRDefault="00F22587" w:rsidP="008A5C11">
            <w:pPr>
              <w:jc w:val="center"/>
              <w:rPr>
                <w:color w:val="000000"/>
                <w:sz w:val="14"/>
                <w:szCs w:val="14"/>
              </w:rPr>
            </w:pPr>
            <w:r w:rsidRPr="000E5DBF">
              <w:rPr>
                <w:color w:val="000000"/>
                <w:sz w:val="14"/>
                <w:szCs w:val="14"/>
              </w:rPr>
              <w:t>13</w:t>
            </w:r>
          </w:p>
        </w:tc>
        <w:tc>
          <w:tcPr>
            <w:tcW w:w="567" w:type="dxa"/>
            <w:tcBorders>
              <w:top w:val="nil"/>
              <w:left w:val="nil"/>
              <w:bottom w:val="single" w:sz="4" w:space="0" w:color="auto"/>
              <w:right w:val="single" w:sz="4" w:space="0" w:color="auto"/>
            </w:tcBorders>
            <w:shd w:val="clear" w:color="000000" w:fill="FFFFFF"/>
            <w:tcMar>
              <w:left w:w="0" w:type="dxa"/>
              <w:right w:w="0" w:type="dxa"/>
            </w:tcMar>
            <w:vAlign w:val="center"/>
            <w:hideMark/>
          </w:tcPr>
          <w:p w14:paraId="1B0E444B" w14:textId="77777777" w:rsidR="00F22587" w:rsidRPr="000E5DBF" w:rsidRDefault="00F22587" w:rsidP="008A5C11">
            <w:pPr>
              <w:jc w:val="center"/>
              <w:rPr>
                <w:color w:val="000000"/>
                <w:sz w:val="14"/>
                <w:szCs w:val="14"/>
              </w:rPr>
            </w:pPr>
            <w:r w:rsidRPr="000E5DBF">
              <w:rPr>
                <w:color w:val="000000"/>
                <w:sz w:val="14"/>
                <w:szCs w:val="14"/>
              </w:rPr>
              <w:t>14</w:t>
            </w:r>
          </w:p>
        </w:tc>
        <w:tc>
          <w:tcPr>
            <w:tcW w:w="567" w:type="dxa"/>
            <w:tcBorders>
              <w:top w:val="nil"/>
              <w:left w:val="nil"/>
              <w:bottom w:val="single" w:sz="4" w:space="0" w:color="auto"/>
              <w:right w:val="single" w:sz="4" w:space="0" w:color="auto"/>
            </w:tcBorders>
            <w:shd w:val="clear" w:color="000000" w:fill="FFFFFF"/>
            <w:tcMar>
              <w:left w:w="0" w:type="dxa"/>
              <w:right w:w="0" w:type="dxa"/>
            </w:tcMar>
            <w:vAlign w:val="center"/>
            <w:hideMark/>
          </w:tcPr>
          <w:p w14:paraId="0D5EA793" w14:textId="77777777" w:rsidR="00F22587" w:rsidRPr="000E5DBF" w:rsidRDefault="00F22587" w:rsidP="008A5C11">
            <w:pPr>
              <w:jc w:val="center"/>
              <w:rPr>
                <w:color w:val="000000"/>
                <w:sz w:val="14"/>
                <w:szCs w:val="14"/>
              </w:rPr>
            </w:pPr>
            <w:r w:rsidRPr="000E5DBF">
              <w:rPr>
                <w:color w:val="000000"/>
                <w:sz w:val="14"/>
                <w:szCs w:val="14"/>
              </w:rPr>
              <w:t>15</w:t>
            </w:r>
          </w:p>
        </w:tc>
        <w:tc>
          <w:tcPr>
            <w:tcW w:w="561" w:type="dxa"/>
            <w:tcBorders>
              <w:top w:val="nil"/>
              <w:left w:val="nil"/>
              <w:bottom w:val="single" w:sz="4" w:space="0" w:color="auto"/>
              <w:right w:val="single" w:sz="4" w:space="0" w:color="auto"/>
            </w:tcBorders>
            <w:shd w:val="clear" w:color="000000" w:fill="FFFFFF"/>
            <w:tcMar>
              <w:left w:w="0" w:type="dxa"/>
              <w:right w:w="0" w:type="dxa"/>
            </w:tcMar>
            <w:vAlign w:val="center"/>
            <w:hideMark/>
          </w:tcPr>
          <w:p w14:paraId="034F59F8" w14:textId="77777777" w:rsidR="00F22587" w:rsidRPr="000E5DBF" w:rsidRDefault="00F22587" w:rsidP="008A5C11">
            <w:pPr>
              <w:jc w:val="center"/>
              <w:rPr>
                <w:color w:val="000000"/>
                <w:sz w:val="14"/>
                <w:szCs w:val="14"/>
              </w:rPr>
            </w:pPr>
            <w:r w:rsidRPr="000E5DBF">
              <w:rPr>
                <w:color w:val="000000"/>
                <w:sz w:val="14"/>
                <w:szCs w:val="14"/>
              </w:rPr>
              <w:t>16</w:t>
            </w:r>
          </w:p>
        </w:tc>
        <w:tc>
          <w:tcPr>
            <w:tcW w:w="560" w:type="dxa"/>
            <w:tcBorders>
              <w:top w:val="nil"/>
              <w:left w:val="nil"/>
              <w:bottom w:val="single" w:sz="4" w:space="0" w:color="auto"/>
              <w:right w:val="single" w:sz="4" w:space="0" w:color="auto"/>
            </w:tcBorders>
            <w:shd w:val="clear" w:color="000000" w:fill="FFFFFF"/>
            <w:tcMar>
              <w:left w:w="0" w:type="dxa"/>
              <w:right w:w="0" w:type="dxa"/>
            </w:tcMar>
            <w:vAlign w:val="center"/>
            <w:hideMark/>
          </w:tcPr>
          <w:p w14:paraId="163B2EFA" w14:textId="77777777" w:rsidR="00F22587" w:rsidRPr="000E5DBF" w:rsidRDefault="00F22587" w:rsidP="008A5C11">
            <w:pPr>
              <w:jc w:val="center"/>
              <w:rPr>
                <w:color w:val="000000"/>
                <w:sz w:val="14"/>
                <w:szCs w:val="14"/>
              </w:rPr>
            </w:pPr>
            <w:r w:rsidRPr="000E5DBF">
              <w:rPr>
                <w:color w:val="000000"/>
                <w:sz w:val="14"/>
                <w:szCs w:val="14"/>
              </w:rPr>
              <w:t>17</w:t>
            </w:r>
          </w:p>
        </w:tc>
        <w:tc>
          <w:tcPr>
            <w:tcW w:w="569" w:type="dxa"/>
            <w:tcBorders>
              <w:top w:val="nil"/>
              <w:left w:val="nil"/>
              <w:bottom w:val="single" w:sz="4" w:space="0" w:color="auto"/>
              <w:right w:val="single" w:sz="4" w:space="0" w:color="auto"/>
            </w:tcBorders>
            <w:shd w:val="clear" w:color="000000" w:fill="FFFFFF"/>
            <w:tcMar>
              <w:left w:w="0" w:type="dxa"/>
              <w:right w:w="0" w:type="dxa"/>
            </w:tcMar>
            <w:vAlign w:val="center"/>
            <w:hideMark/>
          </w:tcPr>
          <w:p w14:paraId="7785E2EB" w14:textId="77777777" w:rsidR="00F22587" w:rsidRPr="000E5DBF" w:rsidRDefault="00F22587" w:rsidP="008A5C11">
            <w:pPr>
              <w:jc w:val="center"/>
              <w:rPr>
                <w:color w:val="000000"/>
                <w:sz w:val="14"/>
                <w:szCs w:val="14"/>
              </w:rPr>
            </w:pPr>
            <w:r w:rsidRPr="000E5DBF">
              <w:rPr>
                <w:color w:val="000000"/>
                <w:sz w:val="14"/>
                <w:szCs w:val="14"/>
              </w:rPr>
              <w:t>18</w:t>
            </w:r>
          </w:p>
        </w:tc>
        <w:tc>
          <w:tcPr>
            <w:tcW w:w="567" w:type="dxa"/>
            <w:gridSpan w:val="2"/>
            <w:tcBorders>
              <w:top w:val="nil"/>
              <w:left w:val="nil"/>
              <w:bottom w:val="single" w:sz="4" w:space="0" w:color="auto"/>
              <w:right w:val="single" w:sz="4" w:space="0" w:color="auto"/>
            </w:tcBorders>
            <w:shd w:val="clear" w:color="000000" w:fill="FFFFFF"/>
            <w:tcMar>
              <w:left w:w="0" w:type="dxa"/>
              <w:right w:w="0" w:type="dxa"/>
            </w:tcMar>
            <w:vAlign w:val="center"/>
            <w:hideMark/>
          </w:tcPr>
          <w:p w14:paraId="665F47C1" w14:textId="77777777" w:rsidR="00F22587" w:rsidRPr="000E5DBF" w:rsidRDefault="00F22587" w:rsidP="008A5C11">
            <w:pPr>
              <w:jc w:val="center"/>
              <w:rPr>
                <w:color w:val="000000"/>
                <w:sz w:val="14"/>
                <w:szCs w:val="14"/>
              </w:rPr>
            </w:pPr>
            <w:r w:rsidRPr="000E5DBF">
              <w:rPr>
                <w:color w:val="000000"/>
                <w:sz w:val="14"/>
                <w:szCs w:val="14"/>
              </w:rPr>
              <w:t>19</w:t>
            </w:r>
          </w:p>
        </w:tc>
        <w:tc>
          <w:tcPr>
            <w:tcW w:w="565" w:type="dxa"/>
            <w:tcBorders>
              <w:top w:val="nil"/>
              <w:left w:val="nil"/>
              <w:bottom w:val="single" w:sz="4" w:space="0" w:color="auto"/>
              <w:right w:val="single" w:sz="4" w:space="0" w:color="auto"/>
            </w:tcBorders>
            <w:shd w:val="clear" w:color="000000" w:fill="FFFFFF"/>
            <w:tcMar>
              <w:left w:w="0" w:type="dxa"/>
              <w:right w:w="0" w:type="dxa"/>
            </w:tcMar>
            <w:vAlign w:val="center"/>
            <w:hideMark/>
          </w:tcPr>
          <w:p w14:paraId="7050B703" w14:textId="77777777" w:rsidR="00F22587" w:rsidRPr="000E5DBF" w:rsidRDefault="00F22587" w:rsidP="008A5C11">
            <w:pPr>
              <w:jc w:val="center"/>
              <w:rPr>
                <w:color w:val="000000"/>
                <w:sz w:val="14"/>
                <w:szCs w:val="14"/>
              </w:rPr>
            </w:pPr>
            <w:r w:rsidRPr="000E5DBF">
              <w:rPr>
                <w:color w:val="000000"/>
                <w:sz w:val="14"/>
                <w:szCs w:val="14"/>
              </w:rPr>
              <w:t>20</w:t>
            </w:r>
          </w:p>
        </w:tc>
        <w:tc>
          <w:tcPr>
            <w:tcW w:w="567" w:type="dxa"/>
            <w:tcBorders>
              <w:top w:val="nil"/>
              <w:left w:val="nil"/>
              <w:bottom w:val="single" w:sz="4" w:space="0" w:color="auto"/>
              <w:right w:val="single" w:sz="4" w:space="0" w:color="auto"/>
            </w:tcBorders>
            <w:shd w:val="clear" w:color="000000" w:fill="FFFFFF"/>
            <w:tcMar>
              <w:left w:w="0" w:type="dxa"/>
              <w:right w:w="0" w:type="dxa"/>
            </w:tcMar>
            <w:vAlign w:val="center"/>
            <w:hideMark/>
          </w:tcPr>
          <w:p w14:paraId="6389F09D" w14:textId="77777777" w:rsidR="00F22587" w:rsidRPr="000E5DBF" w:rsidRDefault="00F22587" w:rsidP="008A5C11">
            <w:pPr>
              <w:jc w:val="center"/>
              <w:rPr>
                <w:color w:val="000000"/>
                <w:sz w:val="14"/>
                <w:szCs w:val="14"/>
              </w:rPr>
            </w:pPr>
            <w:r w:rsidRPr="000E5DBF">
              <w:rPr>
                <w:color w:val="000000"/>
                <w:sz w:val="14"/>
                <w:szCs w:val="14"/>
              </w:rPr>
              <w:t>21</w:t>
            </w:r>
          </w:p>
        </w:tc>
        <w:tc>
          <w:tcPr>
            <w:tcW w:w="568" w:type="dxa"/>
            <w:tcBorders>
              <w:top w:val="nil"/>
              <w:left w:val="nil"/>
              <w:bottom w:val="single" w:sz="4" w:space="0" w:color="auto"/>
              <w:right w:val="single" w:sz="4" w:space="0" w:color="auto"/>
            </w:tcBorders>
            <w:shd w:val="clear" w:color="000000" w:fill="FFFFFF"/>
            <w:tcMar>
              <w:left w:w="0" w:type="dxa"/>
              <w:right w:w="0" w:type="dxa"/>
            </w:tcMar>
            <w:vAlign w:val="center"/>
            <w:hideMark/>
          </w:tcPr>
          <w:p w14:paraId="3DE0A10F" w14:textId="77777777" w:rsidR="00F22587" w:rsidRPr="000E5DBF" w:rsidRDefault="00F22587" w:rsidP="008A5C11">
            <w:pPr>
              <w:jc w:val="center"/>
              <w:rPr>
                <w:color w:val="000000"/>
                <w:sz w:val="14"/>
                <w:szCs w:val="14"/>
              </w:rPr>
            </w:pPr>
            <w:r w:rsidRPr="000E5DBF">
              <w:rPr>
                <w:color w:val="000000"/>
                <w:sz w:val="14"/>
                <w:szCs w:val="14"/>
              </w:rPr>
              <w:t>22</w:t>
            </w:r>
          </w:p>
        </w:tc>
        <w:tc>
          <w:tcPr>
            <w:tcW w:w="569" w:type="dxa"/>
            <w:tcBorders>
              <w:top w:val="nil"/>
              <w:left w:val="nil"/>
              <w:bottom w:val="single" w:sz="4" w:space="0" w:color="auto"/>
              <w:right w:val="single" w:sz="4" w:space="0" w:color="auto"/>
            </w:tcBorders>
            <w:shd w:val="clear" w:color="000000" w:fill="FFFFFF"/>
            <w:tcMar>
              <w:left w:w="0" w:type="dxa"/>
              <w:right w:w="0" w:type="dxa"/>
            </w:tcMar>
            <w:vAlign w:val="center"/>
            <w:hideMark/>
          </w:tcPr>
          <w:p w14:paraId="6D8F971C" w14:textId="77777777" w:rsidR="00F22587" w:rsidRPr="000E5DBF" w:rsidRDefault="00F22587" w:rsidP="008A5C11">
            <w:pPr>
              <w:jc w:val="center"/>
              <w:rPr>
                <w:color w:val="000000"/>
                <w:sz w:val="14"/>
                <w:szCs w:val="14"/>
              </w:rPr>
            </w:pPr>
            <w:r w:rsidRPr="000E5DBF">
              <w:rPr>
                <w:color w:val="000000"/>
                <w:sz w:val="14"/>
                <w:szCs w:val="14"/>
              </w:rPr>
              <w:t>23</w:t>
            </w:r>
          </w:p>
        </w:tc>
        <w:tc>
          <w:tcPr>
            <w:tcW w:w="562" w:type="dxa"/>
            <w:tcBorders>
              <w:top w:val="nil"/>
              <w:left w:val="nil"/>
              <w:bottom w:val="single" w:sz="4" w:space="0" w:color="auto"/>
              <w:right w:val="single" w:sz="4" w:space="0" w:color="auto"/>
            </w:tcBorders>
            <w:shd w:val="clear" w:color="000000" w:fill="FFFFFF"/>
            <w:tcMar>
              <w:left w:w="0" w:type="dxa"/>
              <w:right w:w="0" w:type="dxa"/>
            </w:tcMar>
            <w:vAlign w:val="center"/>
            <w:hideMark/>
          </w:tcPr>
          <w:p w14:paraId="38A50522" w14:textId="77777777" w:rsidR="00F22587" w:rsidRPr="000E5DBF" w:rsidRDefault="00F22587" w:rsidP="008A5C11">
            <w:pPr>
              <w:jc w:val="center"/>
              <w:rPr>
                <w:color w:val="000000"/>
                <w:sz w:val="14"/>
                <w:szCs w:val="14"/>
              </w:rPr>
            </w:pPr>
            <w:r w:rsidRPr="000E5DBF">
              <w:rPr>
                <w:color w:val="000000"/>
                <w:sz w:val="14"/>
                <w:szCs w:val="14"/>
              </w:rPr>
              <w:t>24</w:t>
            </w:r>
          </w:p>
        </w:tc>
        <w:tc>
          <w:tcPr>
            <w:tcW w:w="290"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DC2BBD9" w14:textId="77777777" w:rsidR="00F22587" w:rsidRPr="000E5DBF" w:rsidRDefault="00F22587" w:rsidP="008A5C11">
            <w:pPr>
              <w:jc w:val="center"/>
              <w:rPr>
                <w:color w:val="000000"/>
                <w:sz w:val="14"/>
                <w:szCs w:val="14"/>
              </w:rPr>
            </w:pPr>
            <w:r w:rsidRPr="000E5DBF">
              <w:rPr>
                <w:color w:val="000000"/>
                <w:sz w:val="14"/>
                <w:szCs w:val="14"/>
              </w:rPr>
              <w:t>25</w:t>
            </w:r>
          </w:p>
        </w:tc>
        <w:tc>
          <w:tcPr>
            <w:tcW w:w="425"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22AD4D26" w14:textId="77777777" w:rsidR="00F22587" w:rsidRPr="000E5DBF" w:rsidRDefault="00F22587" w:rsidP="008A5C11">
            <w:pPr>
              <w:jc w:val="center"/>
              <w:rPr>
                <w:color w:val="000000"/>
                <w:sz w:val="14"/>
                <w:szCs w:val="14"/>
              </w:rPr>
            </w:pPr>
            <w:r w:rsidRPr="000E5DBF">
              <w:rPr>
                <w:color w:val="000000"/>
                <w:sz w:val="14"/>
                <w:szCs w:val="14"/>
              </w:rPr>
              <w:t>26</w:t>
            </w:r>
          </w:p>
        </w:tc>
      </w:tr>
      <w:tr w:rsidR="00F22587" w:rsidRPr="000E5DBF" w14:paraId="65EBEEB0" w14:textId="77777777" w:rsidTr="008A5C11">
        <w:trPr>
          <w:trHeight w:val="286"/>
        </w:trPr>
        <w:tc>
          <w:tcPr>
            <w:tcW w:w="15993" w:type="dxa"/>
            <w:gridSpan w:val="30"/>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4DA59FB0" w14:textId="77777777" w:rsidR="00F22587" w:rsidRPr="000E5DBF" w:rsidRDefault="00F22587" w:rsidP="008A5C11">
            <w:pPr>
              <w:rPr>
                <w:color w:val="000000"/>
                <w:sz w:val="14"/>
                <w:szCs w:val="14"/>
              </w:rPr>
            </w:pPr>
            <w:r w:rsidRPr="000E5DBF">
              <w:rPr>
                <w:color w:val="000000"/>
                <w:sz w:val="14"/>
                <w:szCs w:val="14"/>
              </w:rPr>
              <w:t>Группа 1. Строительство, реконструкция или модернизация объектов в целях подключения потребителей:</w:t>
            </w:r>
          </w:p>
        </w:tc>
      </w:tr>
      <w:tr w:rsidR="00F22587" w:rsidRPr="000E5DBF" w14:paraId="15802CAE" w14:textId="77777777" w:rsidTr="008A5C11">
        <w:trPr>
          <w:trHeight w:val="259"/>
        </w:trPr>
        <w:tc>
          <w:tcPr>
            <w:tcW w:w="15993" w:type="dxa"/>
            <w:gridSpan w:val="30"/>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2730C848" w14:textId="77777777" w:rsidR="00F22587" w:rsidRPr="000E5DBF" w:rsidRDefault="00F22587" w:rsidP="008A5C11">
            <w:pPr>
              <w:rPr>
                <w:color w:val="000000"/>
                <w:sz w:val="14"/>
                <w:szCs w:val="14"/>
              </w:rPr>
            </w:pPr>
            <w:r w:rsidRPr="000E5DBF">
              <w:rPr>
                <w:color w:val="000000"/>
                <w:sz w:val="14"/>
                <w:szCs w:val="14"/>
              </w:rPr>
              <w:t>1.1. Строительство новых тепловых сетей в целях подключения потребителей</w:t>
            </w:r>
          </w:p>
        </w:tc>
      </w:tr>
      <w:tr w:rsidR="00F22587" w:rsidRPr="000E5DBF" w14:paraId="0EF394CB" w14:textId="77777777" w:rsidTr="008A5C11">
        <w:trPr>
          <w:trHeight w:val="233"/>
        </w:trPr>
        <w:tc>
          <w:tcPr>
            <w:tcW w:w="15993" w:type="dxa"/>
            <w:gridSpan w:val="30"/>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13EBD5D" w14:textId="77777777" w:rsidR="00F22587" w:rsidRPr="000E5DBF" w:rsidRDefault="00F22587" w:rsidP="008A5C11">
            <w:pPr>
              <w:rPr>
                <w:color w:val="000000"/>
                <w:sz w:val="14"/>
                <w:szCs w:val="14"/>
              </w:rPr>
            </w:pPr>
            <w:r w:rsidRPr="000E5DBF">
              <w:rPr>
                <w:bCs/>
                <w:sz w:val="14"/>
                <w:szCs w:val="14"/>
              </w:rPr>
              <w:t>1</w:t>
            </w:r>
            <w:r w:rsidRPr="000E5DBF">
              <w:rPr>
                <w:color w:val="000000"/>
                <w:sz w:val="14"/>
                <w:szCs w:val="14"/>
              </w:rPr>
              <w:t>.2.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F22587" w:rsidRPr="000E5DBF" w14:paraId="61692A83" w14:textId="77777777" w:rsidTr="008A5C11">
        <w:trPr>
          <w:trHeight w:val="194"/>
        </w:trPr>
        <w:tc>
          <w:tcPr>
            <w:tcW w:w="15993" w:type="dxa"/>
            <w:gridSpan w:val="30"/>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19FFAE6" w14:textId="77777777" w:rsidR="00F22587" w:rsidRPr="000E5DBF" w:rsidRDefault="00F22587" w:rsidP="008A5C11">
            <w:pPr>
              <w:rPr>
                <w:bCs/>
                <w:sz w:val="14"/>
                <w:szCs w:val="14"/>
              </w:rPr>
            </w:pPr>
            <w:r w:rsidRPr="000E5DBF">
              <w:rPr>
                <w:bCs/>
                <w:sz w:val="14"/>
                <w:szCs w:val="14"/>
              </w:rPr>
              <w:t>1.3. Увеличение пропускной способности существующих тепловых сетей в целях подключения потребителей</w:t>
            </w:r>
          </w:p>
        </w:tc>
      </w:tr>
      <w:tr w:rsidR="00F22587" w:rsidRPr="000E5DBF" w14:paraId="3DFF33CA" w14:textId="77777777" w:rsidTr="008A5C11">
        <w:trPr>
          <w:trHeight w:val="227"/>
        </w:trPr>
        <w:tc>
          <w:tcPr>
            <w:tcW w:w="15993" w:type="dxa"/>
            <w:gridSpan w:val="30"/>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A90BF14" w14:textId="77777777" w:rsidR="00F22587" w:rsidRPr="000E5DBF" w:rsidRDefault="00F22587" w:rsidP="008A5C11">
            <w:pPr>
              <w:rPr>
                <w:bCs/>
                <w:sz w:val="14"/>
                <w:szCs w:val="14"/>
              </w:rPr>
            </w:pPr>
            <w:r w:rsidRPr="000E5DBF">
              <w:rPr>
                <w:bCs/>
                <w:sz w:val="14"/>
                <w:szCs w:val="14"/>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F22587" w:rsidRPr="000E5DBF" w14:paraId="21FBCFA9" w14:textId="77777777" w:rsidTr="008A5C11">
        <w:trPr>
          <w:cantSplit/>
          <w:trHeight w:val="523"/>
        </w:trPr>
        <w:tc>
          <w:tcPr>
            <w:tcW w:w="408"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027297D7" w14:textId="77777777" w:rsidR="00F22587" w:rsidRPr="000E5DBF" w:rsidRDefault="00F22587" w:rsidP="008A5C11">
            <w:pPr>
              <w:jc w:val="center"/>
              <w:rPr>
                <w:color w:val="000000"/>
                <w:sz w:val="14"/>
                <w:szCs w:val="14"/>
              </w:rPr>
            </w:pPr>
            <w:r w:rsidRPr="000E5DBF">
              <w:rPr>
                <w:color w:val="000000"/>
                <w:sz w:val="14"/>
                <w:szCs w:val="14"/>
              </w:rPr>
              <w:t> 1.4.1.</w:t>
            </w:r>
          </w:p>
        </w:tc>
        <w:tc>
          <w:tcPr>
            <w:tcW w:w="1434" w:type="dxa"/>
            <w:tcBorders>
              <w:top w:val="nil"/>
              <w:left w:val="nil"/>
              <w:bottom w:val="single" w:sz="4" w:space="0" w:color="auto"/>
              <w:right w:val="single" w:sz="4" w:space="0" w:color="auto"/>
            </w:tcBorders>
            <w:shd w:val="clear" w:color="000000" w:fill="FFFFFF"/>
            <w:tcMar>
              <w:left w:w="0" w:type="dxa"/>
              <w:right w:w="0" w:type="dxa"/>
            </w:tcMar>
            <w:vAlign w:val="center"/>
            <w:hideMark/>
          </w:tcPr>
          <w:p w14:paraId="0137C337" w14:textId="77777777" w:rsidR="00F22587" w:rsidRPr="000E5DBF" w:rsidRDefault="00F22587" w:rsidP="008A5C11">
            <w:pPr>
              <w:jc w:val="center"/>
              <w:rPr>
                <w:color w:val="000000"/>
                <w:sz w:val="14"/>
                <w:szCs w:val="14"/>
              </w:rPr>
            </w:pPr>
            <w:r w:rsidRPr="000E5DBF">
              <w:rPr>
                <w:color w:val="000000"/>
                <w:sz w:val="14"/>
                <w:szCs w:val="14"/>
              </w:rPr>
              <w:t>Замена теплообменного оборудования бойлерной №1</w:t>
            </w:r>
          </w:p>
        </w:tc>
        <w:tc>
          <w:tcPr>
            <w:tcW w:w="971"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348B99F" w14:textId="77777777" w:rsidR="00F22587" w:rsidRPr="000E5DBF" w:rsidRDefault="00F22587" w:rsidP="008A5C11">
            <w:pPr>
              <w:jc w:val="center"/>
              <w:rPr>
                <w:color w:val="000000"/>
                <w:sz w:val="14"/>
                <w:szCs w:val="14"/>
              </w:rPr>
            </w:pPr>
            <w:r w:rsidRPr="000E5DBF">
              <w:rPr>
                <w:color w:val="000000"/>
                <w:sz w:val="14"/>
                <w:szCs w:val="14"/>
              </w:rPr>
              <w:t>Обеспечение надежности тепло- водоснабжения</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805F2C8" w14:textId="77777777" w:rsidR="00F22587" w:rsidRPr="000E5DBF" w:rsidRDefault="00F22587" w:rsidP="008A5C11">
            <w:pPr>
              <w:jc w:val="center"/>
              <w:rPr>
                <w:color w:val="000000"/>
                <w:sz w:val="14"/>
                <w:szCs w:val="14"/>
              </w:rPr>
            </w:pPr>
            <w:r w:rsidRPr="000E5DBF">
              <w:rPr>
                <w:color w:val="000000"/>
                <w:sz w:val="14"/>
                <w:szCs w:val="14"/>
              </w:rPr>
              <w:t>ул. Кирова, 8</w:t>
            </w:r>
          </w:p>
        </w:tc>
        <w:tc>
          <w:tcPr>
            <w:tcW w:w="991" w:type="dxa"/>
            <w:tcBorders>
              <w:top w:val="nil"/>
              <w:left w:val="nil"/>
              <w:bottom w:val="single" w:sz="4" w:space="0" w:color="auto"/>
              <w:right w:val="single" w:sz="4" w:space="0" w:color="auto"/>
            </w:tcBorders>
            <w:shd w:val="clear" w:color="auto" w:fill="auto"/>
            <w:tcMar>
              <w:left w:w="0" w:type="dxa"/>
              <w:right w:w="0" w:type="dxa"/>
            </w:tcMar>
            <w:vAlign w:val="center"/>
          </w:tcPr>
          <w:p w14:paraId="073FAA37" w14:textId="77777777" w:rsidR="00F22587" w:rsidRPr="000E5DBF" w:rsidRDefault="00F22587" w:rsidP="008A5C11">
            <w:pPr>
              <w:jc w:val="center"/>
              <w:rPr>
                <w:color w:val="000000"/>
                <w:sz w:val="14"/>
                <w:szCs w:val="14"/>
              </w:rPr>
            </w:pPr>
            <w:r w:rsidRPr="000E5DBF">
              <w:rPr>
                <w:color w:val="000000"/>
                <w:sz w:val="14"/>
                <w:szCs w:val="14"/>
              </w:rPr>
              <w:t>мощность</w:t>
            </w:r>
          </w:p>
        </w:tc>
        <w:tc>
          <w:tcPr>
            <w:tcW w:w="426" w:type="dxa"/>
            <w:tcBorders>
              <w:top w:val="nil"/>
              <w:left w:val="nil"/>
              <w:bottom w:val="single" w:sz="4" w:space="0" w:color="auto"/>
              <w:right w:val="single" w:sz="4" w:space="0" w:color="auto"/>
            </w:tcBorders>
            <w:shd w:val="clear" w:color="auto" w:fill="auto"/>
            <w:tcMar>
              <w:left w:w="0" w:type="dxa"/>
              <w:right w:w="0" w:type="dxa"/>
            </w:tcMar>
            <w:vAlign w:val="center"/>
          </w:tcPr>
          <w:p w14:paraId="3071C55E" w14:textId="77777777" w:rsidR="00F22587" w:rsidRPr="000E5DBF" w:rsidRDefault="00F22587" w:rsidP="008A5C11">
            <w:pPr>
              <w:jc w:val="center"/>
              <w:rPr>
                <w:color w:val="000000"/>
                <w:sz w:val="14"/>
                <w:szCs w:val="14"/>
              </w:rPr>
            </w:pPr>
            <w:r w:rsidRPr="000E5DBF">
              <w:rPr>
                <w:color w:val="000000"/>
                <w:sz w:val="14"/>
                <w:szCs w:val="14"/>
              </w:rPr>
              <w:t>Гкал/ч</w:t>
            </w:r>
          </w:p>
        </w:tc>
        <w:tc>
          <w:tcPr>
            <w:tcW w:w="713" w:type="dxa"/>
            <w:tcBorders>
              <w:top w:val="nil"/>
              <w:left w:val="nil"/>
              <w:bottom w:val="single" w:sz="4" w:space="0" w:color="auto"/>
              <w:right w:val="single" w:sz="4" w:space="0" w:color="auto"/>
            </w:tcBorders>
            <w:shd w:val="clear" w:color="auto" w:fill="auto"/>
            <w:tcMar>
              <w:left w:w="0" w:type="dxa"/>
              <w:right w:w="0" w:type="dxa"/>
            </w:tcMar>
            <w:vAlign w:val="center"/>
          </w:tcPr>
          <w:p w14:paraId="17AD6245" w14:textId="77777777" w:rsidR="00F22587" w:rsidRPr="000E5DBF" w:rsidRDefault="00F22587" w:rsidP="008A5C11">
            <w:pPr>
              <w:jc w:val="center"/>
              <w:rPr>
                <w:color w:val="000000"/>
                <w:sz w:val="14"/>
                <w:szCs w:val="14"/>
              </w:rPr>
            </w:pPr>
            <w:r w:rsidRPr="000E5DBF">
              <w:rPr>
                <w:color w:val="000000"/>
                <w:sz w:val="14"/>
                <w:szCs w:val="14"/>
              </w:rPr>
              <w:t>2,2</w:t>
            </w:r>
          </w:p>
        </w:tc>
        <w:tc>
          <w:tcPr>
            <w:tcW w:w="717" w:type="dxa"/>
            <w:tcBorders>
              <w:top w:val="nil"/>
              <w:left w:val="nil"/>
              <w:bottom w:val="single" w:sz="4" w:space="0" w:color="auto"/>
              <w:right w:val="single" w:sz="4" w:space="0" w:color="auto"/>
            </w:tcBorders>
            <w:shd w:val="clear" w:color="auto" w:fill="auto"/>
            <w:tcMar>
              <w:left w:w="0" w:type="dxa"/>
              <w:right w:w="0" w:type="dxa"/>
            </w:tcMar>
            <w:vAlign w:val="center"/>
          </w:tcPr>
          <w:p w14:paraId="719FB09A" w14:textId="77777777" w:rsidR="00F22587" w:rsidRPr="000E5DBF" w:rsidRDefault="00F22587" w:rsidP="008A5C11">
            <w:pPr>
              <w:jc w:val="center"/>
              <w:rPr>
                <w:color w:val="000000"/>
                <w:sz w:val="14"/>
                <w:szCs w:val="14"/>
              </w:rPr>
            </w:pPr>
            <w:r w:rsidRPr="000E5DBF">
              <w:rPr>
                <w:color w:val="000000"/>
                <w:sz w:val="14"/>
                <w:szCs w:val="14"/>
              </w:rPr>
              <w:t>4</w:t>
            </w:r>
          </w:p>
        </w:tc>
        <w:tc>
          <w:tcPr>
            <w:tcW w:w="425"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16470559" w14:textId="77777777" w:rsidR="00F22587" w:rsidRPr="000E5DBF" w:rsidRDefault="00F22587" w:rsidP="008A5C11">
            <w:pPr>
              <w:jc w:val="center"/>
              <w:rPr>
                <w:color w:val="000000"/>
                <w:sz w:val="14"/>
                <w:szCs w:val="14"/>
              </w:rPr>
            </w:pPr>
            <w:r w:rsidRPr="000E5DBF">
              <w:rPr>
                <w:color w:val="000000"/>
                <w:sz w:val="14"/>
                <w:szCs w:val="14"/>
              </w:rPr>
              <w:t>2020</w:t>
            </w:r>
          </w:p>
        </w:tc>
        <w:tc>
          <w:tcPr>
            <w:tcW w:w="413"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DA4F57C" w14:textId="77777777" w:rsidR="00F22587" w:rsidRPr="000E5DBF" w:rsidRDefault="00F22587" w:rsidP="008A5C11">
            <w:pPr>
              <w:jc w:val="center"/>
              <w:rPr>
                <w:color w:val="000000"/>
                <w:sz w:val="14"/>
                <w:szCs w:val="14"/>
              </w:rPr>
            </w:pPr>
            <w:r w:rsidRPr="000E5DBF">
              <w:rPr>
                <w:color w:val="000000"/>
                <w:sz w:val="14"/>
                <w:szCs w:val="14"/>
              </w:rPr>
              <w:t>2021</w:t>
            </w:r>
          </w:p>
        </w:tc>
        <w:tc>
          <w:tcPr>
            <w:tcW w:w="568"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C6A5AD4" w14:textId="77777777" w:rsidR="00F22587" w:rsidRPr="000E5DBF" w:rsidRDefault="00F22587" w:rsidP="008A5C11">
            <w:pPr>
              <w:jc w:val="center"/>
              <w:rPr>
                <w:color w:val="000000"/>
                <w:sz w:val="14"/>
                <w:szCs w:val="14"/>
              </w:rPr>
            </w:pPr>
            <w:r w:rsidRPr="000E5DBF">
              <w:rPr>
                <w:color w:val="000000"/>
                <w:sz w:val="14"/>
                <w:szCs w:val="14"/>
              </w:rPr>
              <w:t>1500,00</w:t>
            </w:r>
          </w:p>
        </w:tc>
        <w:tc>
          <w:tcPr>
            <w:tcW w:w="443"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172B6D7B" w14:textId="77777777" w:rsidR="00F22587" w:rsidRPr="000E5DBF" w:rsidRDefault="00F22587" w:rsidP="008A5C11">
            <w:pPr>
              <w:jc w:val="center"/>
              <w:rPr>
                <w:color w:val="000000"/>
                <w:sz w:val="14"/>
                <w:szCs w:val="14"/>
              </w:rPr>
            </w:pPr>
            <w:r w:rsidRPr="000E5DBF">
              <w:rPr>
                <w:color w:val="000000"/>
                <w:sz w:val="14"/>
                <w:szCs w:val="14"/>
              </w:rPr>
              <w:t>0,00</w:t>
            </w:r>
          </w:p>
        </w:tc>
        <w:tc>
          <w:tcPr>
            <w:tcW w:w="554" w:type="dxa"/>
            <w:tcBorders>
              <w:top w:val="nil"/>
              <w:left w:val="nil"/>
              <w:bottom w:val="single" w:sz="4" w:space="0" w:color="auto"/>
              <w:right w:val="single" w:sz="4" w:space="0" w:color="auto"/>
            </w:tcBorders>
            <w:shd w:val="clear" w:color="auto" w:fill="auto"/>
            <w:tcMar>
              <w:left w:w="0" w:type="dxa"/>
              <w:right w:w="0" w:type="dxa"/>
            </w:tcMar>
            <w:vAlign w:val="center"/>
          </w:tcPr>
          <w:p w14:paraId="7813C1E6" w14:textId="77777777" w:rsidR="00F22587" w:rsidRPr="000E5DBF" w:rsidRDefault="00F22587" w:rsidP="008A5C11">
            <w:pPr>
              <w:jc w:val="center"/>
              <w:rPr>
                <w:color w:val="000000"/>
                <w:sz w:val="14"/>
                <w:szCs w:val="14"/>
              </w:rPr>
            </w:pPr>
            <w:r w:rsidRPr="000E5DBF">
              <w:rPr>
                <w:color w:val="000000"/>
                <w:sz w:val="14"/>
                <w:szCs w:val="14"/>
              </w:rPr>
              <w:t>0,00</w:t>
            </w:r>
          </w:p>
        </w:tc>
        <w:tc>
          <w:tcPr>
            <w:tcW w:w="567" w:type="dxa"/>
            <w:tcBorders>
              <w:top w:val="nil"/>
              <w:left w:val="nil"/>
              <w:bottom w:val="single" w:sz="4" w:space="0" w:color="auto"/>
              <w:right w:val="single" w:sz="4" w:space="0" w:color="auto"/>
            </w:tcBorders>
            <w:shd w:val="clear" w:color="auto" w:fill="auto"/>
            <w:tcMar>
              <w:left w:w="0" w:type="dxa"/>
              <w:right w:w="0" w:type="dxa"/>
            </w:tcMar>
            <w:vAlign w:val="center"/>
          </w:tcPr>
          <w:p w14:paraId="290299EE" w14:textId="77777777" w:rsidR="00F22587" w:rsidRPr="000E5DBF" w:rsidRDefault="00F22587" w:rsidP="008A5C11">
            <w:pPr>
              <w:jc w:val="center"/>
              <w:rPr>
                <w:color w:val="000000"/>
                <w:sz w:val="14"/>
                <w:szCs w:val="14"/>
              </w:rPr>
            </w:pPr>
            <w:r w:rsidRPr="000E5DBF">
              <w:rPr>
                <w:color w:val="000000"/>
                <w:sz w:val="14"/>
                <w:szCs w:val="14"/>
              </w:rPr>
              <w:t>1500,00</w:t>
            </w:r>
          </w:p>
        </w:tc>
        <w:tc>
          <w:tcPr>
            <w:tcW w:w="567" w:type="dxa"/>
            <w:tcBorders>
              <w:top w:val="nil"/>
              <w:left w:val="nil"/>
              <w:bottom w:val="single" w:sz="4" w:space="0" w:color="auto"/>
              <w:right w:val="single" w:sz="4" w:space="0" w:color="auto"/>
            </w:tcBorders>
            <w:shd w:val="clear" w:color="auto" w:fill="auto"/>
            <w:tcMar>
              <w:left w:w="0" w:type="dxa"/>
              <w:right w:w="0" w:type="dxa"/>
            </w:tcMar>
            <w:vAlign w:val="center"/>
          </w:tcPr>
          <w:p w14:paraId="63D7FF39" w14:textId="77777777" w:rsidR="00F22587" w:rsidRPr="000E5DBF" w:rsidRDefault="00F22587" w:rsidP="008A5C11">
            <w:pPr>
              <w:jc w:val="center"/>
              <w:rPr>
                <w:color w:val="000000"/>
                <w:sz w:val="14"/>
                <w:szCs w:val="14"/>
              </w:rPr>
            </w:pPr>
            <w:r w:rsidRPr="000E5DBF">
              <w:rPr>
                <w:color w:val="000000"/>
                <w:sz w:val="14"/>
                <w:szCs w:val="14"/>
              </w:rPr>
              <w:t>0,00</w:t>
            </w:r>
          </w:p>
        </w:tc>
        <w:tc>
          <w:tcPr>
            <w:tcW w:w="561" w:type="dxa"/>
            <w:tcBorders>
              <w:top w:val="nil"/>
              <w:left w:val="nil"/>
              <w:bottom w:val="single" w:sz="4" w:space="0" w:color="auto"/>
              <w:right w:val="single" w:sz="4" w:space="0" w:color="auto"/>
            </w:tcBorders>
            <w:shd w:val="clear" w:color="auto" w:fill="auto"/>
            <w:tcMar>
              <w:left w:w="0" w:type="dxa"/>
              <w:right w:w="0" w:type="dxa"/>
            </w:tcMar>
            <w:vAlign w:val="center"/>
          </w:tcPr>
          <w:p w14:paraId="70671DA6" w14:textId="77777777" w:rsidR="00F22587" w:rsidRPr="000E5DBF" w:rsidRDefault="00F22587" w:rsidP="008A5C11">
            <w:pPr>
              <w:jc w:val="center"/>
              <w:rPr>
                <w:color w:val="000000"/>
                <w:sz w:val="14"/>
                <w:szCs w:val="14"/>
              </w:rPr>
            </w:pPr>
            <w:r w:rsidRPr="000E5DBF">
              <w:rPr>
                <w:color w:val="000000"/>
                <w:sz w:val="14"/>
                <w:szCs w:val="14"/>
              </w:rPr>
              <w:t>0,00</w:t>
            </w:r>
          </w:p>
        </w:tc>
        <w:tc>
          <w:tcPr>
            <w:tcW w:w="560" w:type="dxa"/>
            <w:tcBorders>
              <w:top w:val="nil"/>
              <w:left w:val="nil"/>
              <w:bottom w:val="single" w:sz="4" w:space="0" w:color="auto"/>
              <w:right w:val="single" w:sz="4" w:space="0" w:color="auto"/>
            </w:tcBorders>
            <w:shd w:val="clear" w:color="auto" w:fill="auto"/>
            <w:tcMar>
              <w:left w:w="0" w:type="dxa"/>
              <w:right w:w="0" w:type="dxa"/>
            </w:tcMar>
            <w:vAlign w:val="center"/>
          </w:tcPr>
          <w:p w14:paraId="3EE95161" w14:textId="77777777" w:rsidR="00F22587" w:rsidRPr="000E5DBF" w:rsidRDefault="00F22587" w:rsidP="008A5C11">
            <w:pPr>
              <w:jc w:val="center"/>
              <w:rPr>
                <w:color w:val="000000"/>
                <w:sz w:val="14"/>
                <w:szCs w:val="14"/>
              </w:rPr>
            </w:pPr>
            <w:r w:rsidRPr="000E5DBF">
              <w:rPr>
                <w:color w:val="000000"/>
                <w:sz w:val="14"/>
                <w:szCs w:val="14"/>
              </w:rPr>
              <w:t>0,00</w:t>
            </w:r>
          </w:p>
        </w:tc>
        <w:tc>
          <w:tcPr>
            <w:tcW w:w="569" w:type="dxa"/>
            <w:tcBorders>
              <w:top w:val="nil"/>
              <w:left w:val="nil"/>
              <w:bottom w:val="single" w:sz="4" w:space="0" w:color="auto"/>
              <w:right w:val="single" w:sz="4" w:space="0" w:color="auto"/>
            </w:tcBorders>
            <w:shd w:val="clear" w:color="000000" w:fill="FFFFFF"/>
            <w:noWrap/>
            <w:tcMar>
              <w:left w:w="0" w:type="dxa"/>
              <w:right w:w="0" w:type="dxa"/>
            </w:tcMar>
            <w:vAlign w:val="center"/>
          </w:tcPr>
          <w:p w14:paraId="17E3DB9E" w14:textId="77777777" w:rsidR="00F22587" w:rsidRPr="000E5DBF" w:rsidRDefault="00F22587" w:rsidP="008A5C11">
            <w:pPr>
              <w:jc w:val="center"/>
              <w:rPr>
                <w:color w:val="000000"/>
                <w:sz w:val="14"/>
                <w:szCs w:val="14"/>
              </w:rPr>
            </w:pPr>
            <w:r w:rsidRPr="000E5DBF">
              <w:rPr>
                <w:color w:val="000000"/>
                <w:sz w:val="14"/>
                <w:szCs w:val="14"/>
              </w:rPr>
              <w:t>0,00</w:t>
            </w:r>
          </w:p>
        </w:tc>
        <w:tc>
          <w:tcPr>
            <w:tcW w:w="567" w:type="dxa"/>
            <w:gridSpan w:val="2"/>
            <w:tcBorders>
              <w:top w:val="nil"/>
              <w:left w:val="nil"/>
              <w:bottom w:val="single" w:sz="4" w:space="0" w:color="auto"/>
              <w:right w:val="single" w:sz="4" w:space="0" w:color="auto"/>
            </w:tcBorders>
            <w:shd w:val="clear" w:color="auto" w:fill="auto"/>
            <w:tcMar>
              <w:left w:w="0" w:type="dxa"/>
              <w:right w:w="0" w:type="dxa"/>
            </w:tcMar>
            <w:vAlign w:val="center"/>
          </w:tcPr>
          <w:p w14:paraId="1B6D0D06" w14:textId="77777777" w:rsidR="00F22587" w:rsidRPr="000E5DBF" w:rsidRDefault="00F22587" w:rsidP="008A5C11">
            <w:pPr>
              <w:jc w:val="center"/>
              <w:rPr>
                <w:color w:val="000000"/>
                <w:sz w:val="14"/>
                <w:szCs w:val="14"/>
              </w:rPr>
            </w:pPr>
            <w:r w:rsidRPr="000E5DBF">
              <w:rPr>
                <w:color w:val="000000"/>
                <w:sz w:val="14"/>
                <w:szCs w:val="14"/>
              </w:rPr>
              <w:t>0,00</w:t>
            </w:r>
          </w:p>
        </w:tc>
        <w:tc>
          <w:tcPr>
            <w:tcW w:w="565" w:type="dxa"/>
            <w:tcBorders>
              <w:top w:val="nil"/>
              <w:left w:val="nil"/>
              <w:bottom w:val="single" w:sz="4" w:space="0" w:color="auto"/>
              <w:right w:val="single" w:sz="4" w:space="0" w:color="auto"/>
            </w:tcBorders>
            <w:shd w:val="clear" w:color="auto" w:fill="auto"/>
            <w:tcMar>
              <w:left w:w="0" w:type="dxa"/>
              <w:right w:w="0" w:type="dxa"/>
            </w:tcMar>
            <w:vAlign w:val="center"/>
          </w:tcPr>
          <w:p w14:paraId="419963BD" w14:textId="77777777" w:rsidR="00F22587" w:rsidRPr="000E5DBF" w:rsidRDefault="00F22587" w:rsidP="008A5C11">
            <w:pPr>
              <w:jc w:val="center"/>
              <w:rPr>
                <w:color w:val="000000"/>
                <w:sz w:val="14"/>
                <w:szCs w:val="14"/>
              </w:rPr>
            </w:pPr>
            <w:r w:rsidRPr="000E5DBF">
              <w:rPr>
                <w:color w:val="000000"/>
                <w:sz w:val="14"/>
                <w:szCs w:val="14"/>
              </w:rPr>
              <w:t>0,00</w:t>
            </w:r>
          </w:p>
        </w:tc>
        <w:tc>
          <w:tcPr>
            <w:tcW w:w="567" w:type="dxa"/>
            <w:tcBorders>
              <w:top w:val="nil"/>
              <w:left w:val="nil"/>
              <w:bottom w:val="single" w:sz="4" w:space="0" w:color="auto"/>
              <w:right w:val="single" w:sz="4" w:space="0" w:color="auto"/>
            </w:tcBorders>
            <w:shd w:val="clear" w:color="auto" w:fill="auto"/>
            <w:tcMar>
              <w:left w:w="0" w:type="dxa"/>
              <w:right w:w="0" w:type="dxa"/>
            </w:tcMar>
            <w:vAlign w:val="center"/>
          </w:tcPr>
          <w:p w14:paraId="34942B38" w14:textId="77777777" w:rsidR="00F22587" w:rsidRPr="000E5DBF" w:rsidRDefault="00F22587" w:rsidP="008A5C11">
            <w:pPr>
              <w:jc w:val="center"/>
              <w:rPr>
                <w:color w:val="000000"/>
                <w:sz w:val="14"/>
                <w:szCs w:val="14"/>
              </w:rPr>
            </w:pPr>
            <w:r w:rsidRPr="000E5DBF">
              <w:rPr>
                <w:color w:val="000000"/>
                <w:sz w:val="14"/>
                <w:szCs w:val="14"/>
              </w:rPr>
              <w:t>0,00</w:t>
            </w:r>
          </w:p>
        </w:tc>
        <w:tc>
          <w:tcPr>
            <w:tcW w:w="568" w:type="dxa"/>
            <w:tcBorders>
              <w:top w:val="nil"/>
              <w:left w:val="nil"/>
              <w:bottom w:val="single" w:sz="4" w:space="0" w:color="auto"/>
              <w:right w:val="single" w:sz="4" w:space="0" w:color="auto"/>
            </w:tcBorders>
            <w:shd w:val="clear" w:color="auto" w:fill="auto"/>
            <w:tcMar>
              <w:left w:w="0" w:type="dxa"/>
              <w:right w:w="0" w:type="dxa"/>
            </w:tcMar>
            <w:vAlign w:val="center"/>
          </w:tcPr>
          <w:p w14:paraId="334AC9DA" w14:textId="77777777" w:rsidR="00F22587" w:rsidRPr="000E5DBF" w:rsidRDefault="00F22587" w:rsidP="008A5C11">
            <w:pPr>
              <w:jc w:val="center"/>
              <w:rPr>
                <w:color w:val="000000"/>
                <w:sz w:val="14"/>
                <w:szCs w:val="14"/>
              </w:rPr>
            </w:pPr>
            <w:r w:rsidRPr="000E5DBF">
              <w:rPr>
                <w:color w:val="000000"/>
                <w:sz w:val="14"/>
                <w:szCs w:val="14"/>
              </w:rPr>
              <w:t>0,00</w:t>
            </w:r>
          </w:p>
        </w:tc>
        <w:tc>
          <w:tcPr>
            <w:tcW w:w="569" w:type="dxa"/>
            <w:tcBorders>
              <w:top w:val="nil"/>
              <w:left w:val="nil"/>
              <w:bottom w:val="single" w:sz="4" w:space="0" w:color="auto"/>
              <w:right w:val="single" w:sz="4" w:space="0" w:color="auto"/>
            </w:tcBorders>
            <w:shd w:val="clear" w:color="auto" w:fill="auto"/>
            <w:tcMar>
              <w:left w:w="0" w:type="dxa"/>
              <w:right w:w="0" w:type="dxa"/>
            </w:tcMar>
            <w:vAlign w:val="center"/>
          </w:tcPr>
          <w:p w14:paraId="572E871C" w14:textId="77777777" w:rsidR="00F22587" w:rsidRPr="000E5DBF" w:rsidRDefault="00F22587" w:rsidP="008A5C11">
            <w:pPr>
              <w:jc w:val="center"/>
              <w:rPr>
                <w:color w:val="000000"/>
                <w:sz w:val="14"/>
                <w:szCs w:val="14"/>
              </w:rPr>
            </w:pPr>
            <w:r w:rsidRPr="000E5DBF">
              <w:rPr>
                <w:color w:val="000000"/>
                <w:sz w:val="14"/>
                <w:szCs w:val="14"/>
              </w:rPr>
              <w:t>0,00</w:t>
            </w:r>
          </w:p>
        </w:tc>
        <w:tc>
          <w:tcPr>
            <w:tcW w:w="562"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F0231FD" w14:textId="77777777" w:rsidR="00F22587" w:rsidRPr="000E5DBF" w:rsidRDefault="00F22587" w:rsidP="008A5C11">
            <w:pPr>
              <w:jc w:val="center"/>
              <w:rPr>
                <w:color w:val="000000"/>
                <w:sz w:val="14"/>
                <w:szCs w:val="14"/>
              </w:rPr>
            </w:pPr>
            <w:r w:rsidRPr="000E5DBF">
              <w:rPr>
                <w:color w:val="000000"/>
                <w:sz w:val="14"/>
                <w:szCs w:val="14"/>
              </w:rPr>
              <w:t>0,00</w:t>
            </w:r>
          </w:p>
        </w:tc>
        <w:tc>
          <w:tcPr>
            <w:tcW w:w="290"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2447135" w14:textId="77777777" w:rsidR="00F22587" w:rsidRPr="000E5DBF" w:rsidRDefault="00F22587" w:rsidP="008A5C11">
            <w:pPr>
              <w:jc w:val="center"/>
              <w:rPr>
                <w:color w:val="000000"/>
                <w:sz w:val="14"/>
                <w:szCs w:val="14"/>
              </w:rPr>
            </w:pPr>
            <w:r w:rsidRPr="000E5DBF">
              <w:rPr>
                <w:color w:val="000000"/>
                <w:sz w:val="14"/>
                <w:szCs w:val="14"/>
              </w:rPr>
              <w:t>0,00</w:t>
            </w:r>
          </w:p>
        </w:tc>
        <w:tc>
          <w:tcPr>
            <w:tcW w:w="425"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16B7BDDF" w14:textId="77777777" w:rsidR="00F22587" w:rsidRPr="000E5DBF" w:rsidRDefault="00F22587" w:rsidP="008A5C11">
            <w:pPr>
              <w:jc w:val="center"/>
              <w:rPr>
                <w:color w:val="000000"/>
                <w:sz w:val="14"/>
                <w:szCs w:val="14"/>
              </w:rPr>
            </w:pPr>
            <w:r w:rsidRPr="000E5DBF">
              <w:rPr>
                <w:color w:val="000000"/>
                <w:sz w:val="14"/>
                <w:szCs w:val="14"/>
              </w:rPr>
              <w:t>0,00</w:t>
            </w:r>
          </w:p>
        </w:tc>
      </w:tr>
      <w:tr w:rsidR="00F22587" w:rsidRPr="000E5DBF" w14:paraId="7EF231DE" w14:textId="77777777" w:rsidTr="008A5C11">
        <w:trPr>
          <w:cantSplit/>
          <w:trHeight w:val="145"/>
        </w:trPr>
        <w:tc>
          <w:tcPr>
            <w:tcW w:w="7491" w:type="dxa"/>
            <w:gridSpan w:val="11"/>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545A40FD" w14:textId="77777777" w:rsidR="00F22587" w:rsidRPr="000E5DBF" w:rsidRDefault="00F22587" w:rsidP="008A5C11">
            <w:pPr>
              <w:rPr>
                <w:color w:val="0000FF"/>
                <w:sz w:val="14"/>
                <w:szCs w:val="14"/>
              </w:rPr>
            </w:pPr>
            <w:r w:rsidRPr="000E5DBF">
              <w:rPr>
                <w:sz w:val="14"/>
                <w:szCs w:val="14"/>
              </w:rPr>
              <w:t>Всего по группе 1.</w:t>
            </w:r>
          </w:p>
        </w:tc>
        <w:tc>
          <w:tcPr>
            <w:tcW w:w="568"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57C0566" w14:textId="77777777" w:rsidR="00F22587" w:rsidRPr="000E5DBF" w:rsidRDefault="00F22587" w:rsidP="008A5C11">
            <w:pPr>
              <w:jc w:val="center"/>
              <w:rPr>
                <w:color w:val="000000"/>
                <w:sz w:val="14"/>
                <w:szCs w:val="14"/>
              </w:rPr>
            </w:pPr>
            <w:r w:rsidRPr="000E5DBF">
              <w:rPr>
                <w:color w:val="000000"/>
                <w:sz w:val="14"/>
                <w:szCs w:val="14"/>
              </w:rPr>
              <w:t>1500,00</w:t>
            </w:r>
          </w:p>
        </w:tc>
        <w:tc>
          <w:tcPr>
            <w:tcW w:w="443"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21E7EB94" w14:textId="77777777" w:rsidR="00F22587" w:rsidRPr="000E5DBF" w:rsidRDefault="00F22587" w:rsidP="008A5C11">
            <w:pPr>
              <w:jc w:val="center"/>
              <w:rPr>
                <w:color w:val="000000"/>
                <w:sz w:val="14"/>
                <w:szCs w:val="14"/>
              </w:rPr>
            </w:pPr>
            <w:r w:rsidRPr="000E5DBF">
              <w:rPr>
                <w:color w:val="000000"/>
                <w:sz w:val="14"/>
                <w:szCs w:val="14"/>
              </w:rPr>
              <w:t>0,00</w:t>
            </w:r>
          </w:p>
        </w:tc>
        <w:tc>
          <w:tcPr>
            <w:tcW w:w="554"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9455838" w14:textId="77777777" w:rsidR="00F22587" w:rsidRPr="000E5DBF" w:rsidRDefault="00F22587" w:rsidP="008A5C11">
            <w:pPr>
              <w:jc w:val="center"/>
              <w:rPr>
                <w:color w:val="000000"/>
                <w:sz w:val="14"/>
                <w:szCs w:val="14"/>
              </w:rPr>
            </w:pPr>
            <w:r w:rsidRPr="000E5DBF">
              <w:rPr>
                <w:color w:val="000000"/>
                <w:sz w:val="14"/>
                <w:szCs w:val="14"/>
              </w:rPr>
              <w:t>0,00</w:t>
            </w:r>
          </w:p>
        </w:tc>
        <w:tc>
          <w:tcPr>
            <w:tcW w:w="567"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45632CF" w14:textId="77777777" w:rsidR="00F22587" w:rsidRPr="000E5DBF" w:rsidRDefault="00F22587" w:rsidP="008A5C11">
            <w:pPr>
              <w:jc w:val="center"/>
              <w:rPr>
                <w:color w:val="000000"/>
                <w:sz w:val="14"/>
                <w:szCs w:val="14"/>
              </w:rPr>
            </w:pPr>
            <w:r w:rsidRPr="000E5DBF">
              <w:rPr>
                <w:color w:val="000000"/>
                <w:sz w:val="14"/>
                <w:szCs w:val="14"/>
              </w:rPr>
              <w:t>1500,00</w:t>
            </w:r>
          </w:p>
        </w:tc>
        <w:tc>
          <w:tcPr>
            <w:tcW w:w="567"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9E82092" w14:textId="77777777" w:rsidR="00F22587" w:rsidRPr="000E5DBF" w:rsidRDefault="00F22587" w:rsidP="008A5C11">
            <w:pPr>
              <w:jc w:val="center"/>
              <w:rPr>
                <w:color w:val="000000"/>
                <w:sz w:val="14"/>
                <w:szCs w:val="14"/>
              </w:rPr>
            </w:pPr>
            <w:r w:rsidRPr="000E5DBF">
              <w:rPr>
                <w:color w:val="000000"/>
                <w:sz w:val="14"/>
                <w:szCs w:val="14"/>
              </w:rPr>
              <w:t>0,00</w:t>
            </w:r>
          </w:p>
        </w:tc>
        <w:tc>
          <w:tcPr>
            <w:tcW w:w="561"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9362DB3" w14:textId="77777777" w:rsidR="00F22587" w:rsidRPr="000E5DBF" w:rsidRDefault="00F22587" w:rsidP="008A5C11">
            <w:pPr>
              <w:jc w:val="center"/>
              <w:rPr>
                <w:color w:val="000000"/>
                <w:sz w:val="14"/>
                <w:szCs w:val="14"/>
              </w:rPr>
            </w:pPr>
            <w:r w:rsidRPr="000E5DBF">
              <w:rPr>
                <w:color w:val="000000"/>
                <w:sz w:val="14"/>
                <w:szCs w:val="14"/>
              </w:rPr>
              <w:t>0,00</w:t>
            </w:r>
          </w:p>
        </w:tc>
        <w:tc>
          <w:tcPr>
            <w:tcW w:w="560"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E83E965" w14:textId="77777777" w:rsidR="00F22587" w:rsidRPr="000E5DBF" w:rsidRDefault="00F22587" w:rsidP="008A5C11">
            <w:pPr>
              <w:jc w:val="center"/>
              <w:rPr>
                <w:color w:val="000000"/>
                <w:sz w:val="14"/>
                <w:szCs w:val="14"/>
              </w:rPr>
            </w:pPr>
            <w:r w:rsidRPr="000E5DBF">
              <w:rPr>
                <w:color w:val="000000"/>
                <w:sz w:val="14"/>
                <w:szCs w:val="14"/>
              </w:rPr>
              <w:t>0,00</w:t>
            </w:r>
          </w:p>
        </w:tc>
        <w:tc>
          <w:tcPr>
            <w:tcW w:w="569"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59D9877" w14:textId="77777777" w:rsidR="00F22587" w:rsidRPr="000E5DBF" w:rsidRDefault="00F22587" w:rsidP="008A5C11">
            <w:pPr>
              <w:jc w:val="center"/>
              <w:rPr>
                <w:color w:val="000000"/>
                <w:sz w:val="14"/>
                <w:szCs w:val="14"/>
              </w:rPr>
            </w:pPr>
            <w:r w:rsidRPr="000E5DBF">
              <w:rPr>
                <w:color w:val="000000"/>
                <w:sz w:val="14"/>
                <w:szCs w:val="14"/>
              </w:rPr>
              <w:t>0,00</w:t>
            </w:r>
          </w:p>
        </w:tc>
        <w:tc>
          <w:tcPr>
            <w:tcW w:w="567"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49EEDFBA" w14:textId="77777777" w:rsidR="00F22587" w:rsidRPr="000E5DBF" w:rsidRDefault="00F22587" w:rsidP="008A5C11">
            <w:pPr>
              <w:jc w:val="center"/>
              <w:rPr>
                <w:color w:val="000000"/>
                <w:sz w:val="14"/>
                <w:szCs w:val="14"/>
              </w:rPr>
            </w:pPr>
            <w:r w:rsidRPr="000E5DBF">
              <w:rPr>
                <w:color w:val="000000"/>
                <w:sz w:val="14"/>
                <w:szCs w:val="14"/>
              </w:rPr>
              <w:t>0,00</w:t>
            </w:r>
          </w:p>
        </w:tc>
        <w:tc>
          <w:tcPr>
            <w:tcW w:w="56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C09BBE2" w14:textId="77777777" w:rsidR="00F22587" w:rsidRPr="000E5DBF" w:rsidRDefault="00F22587" w:rsidP="008A5C11">
            <w:pPr>
              <w:jc w:val="center"/>
              <w:rPr>
                <w:color w:val="000000"/>
                <w:sz w:val="14"/>
                <w:szCs w:val="14"/>
              </w:rPr>
            </w:pPr>
            <w:r w:rsidRPr="000E5DBF">
              <w:rPr>
                <w:color w:val="000000"/>
                <w:sz w:val="14"/>
                <w:szCs w:val="14"/>
              </w:rPr>
              <w:t>0,00</w:t>
            </w:r>
          </w:p>
        </w:tc>
        <w:tc>
          <w:tcPr>
            <w:tcW w:w="567"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C79BAB9" w14:textId="77777777" w:rsidR="00F22587" w:rsidRPr="000E5DBF" w:rsidRDefault="00F22587" w:rsidP="008A5C11">
            <w:pPr>
              <w:jc w:val="center"/>
              <w:rPr>
                <w:color w:val="000000"/>
                <w:sz w:val="14"/>
                <w:szCs w:val="14"/>
              </w:rPr>
            </w:pPr>
            <w:r w:rsidRPr="000E5DBF">
              <w:rPr>
                <w:color w:val="000000"/>
                <w:sz w:val="14"/>
                <w:szCs w:val="14"/>
              </w:rPr>
              <w:t>0,00</w:t>
            </w:r>
          </w:p>
        </w:tc>
        <w:tc>
          <w:tcPr>
            <w:tcW w:w="568"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4FD1B27" w14:textId="77777777" w:rsidR="00F22587" w:rsidRPr="000E5DBF" w:rsidRDefault="00F22587" w:rsidP="008A5C11">
            <w:pPr>
              <w:jc w:val="center"/>
              <w:rPr>
                <w:color w:val="000000"/>
                <w:sz w:val="14"/>
                <w:szCs w:val="14"/>
              </w:rPr>
            </w:pPr>
            <w:r w:rsidRPr="000E5DBF">
              <w:rPr>
                <w:color w:val="000000"/>
                <w:sz w:val="14"/>
                <w:szCs w:val="14"/>
              </w:rPr>
              <w:t>0,00</w:t>
            </w:r>
          </w:p>
        </w:tc>
        <w:tc>
          <w:tcPr>
            <w:tcW w:w="569"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D07A01B" w14:textId="77777777" w:rsidR="00F22587" w:rsidRPr="000E5DBF" w:rsidRDefault="00F22587" w:rsidP="008A5C11">
            <w:pPr>
              <w:jc w:val="center"/>
              <w:rPr>
                <w:color w:val="000000"/>
                <w:sz w:val="14"/>
                <w:szCs w:val="14"/>
              </w:rPr>
            </w:pPr>
            <w:r w:rsidRPr="000E5DBF">
              <w:rPr>
                <w:color w:val="000000"/>
                <w:sz w:val="14"/>
                <w:szCs w:val="14"/>
              </w:rPr>
              <w:t>0,00</w:t>
            </w:r>
          </w:p>
        </w:tc>
        <w:tc>
          <w:tcPr>
            <w:tcW w:w="562"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895E5E1" w14:textId="77777777" w:rsidR="00F22587" w:rsidRPr="000E5DBF" w:rsidRDefault="00F22587" w:rsidP="008A5C11">
            <w:pPr>
              <w:jc w:val="center"/>
              <w:rPr>
                <w:color w:val="000000"/>
                <w:sz w:val="14"/>
                <w:szCs w:val="14"/>
              </w:rPr>
            </w:pPr>
            <w:r w:rsidRPr="000E5DBF">
              <w:rPr>
                <w:color w:val="000000"/>
                <w:sz w:val="14"/>
                <w:szCs w:val="14"/>
              </w:rPr>
              <w:t>0,00</w:t>
            </w:r>
          </w:p>
        </w:tc>
        <w:tc>
          <w:tcPr>
            <w:tcW w:w="290"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9A0B9CF" w14:textId="77777777" w:rsidR="00F22587" w:rsidRPr="000E5DBF" w:rsidRDefault="00F22587" w:rsidP="008A5C11">
            <w:pPr>
              <w:jc w:val="center"/>
              <w:rPr>
                <w:color w:val="000000"/>
                <w:sz w:val="14"/>
                <w:szCs w:val="14"/>
              </w:rPr>
            </w:pPr>
            <w:r w:rsidRPr="000E5DBF">
              <w:rPr>
                <w:color w:val="000000"/>
                <w:sz w:val="14"/>
                <w:szCs w:val="14"/>
              </w:rPr>
              <w:t>0,00</w:t>
            </w:r>
          </w:p>
        </w:tc>
        <w:tc>
          <w:tcPr>
            <w:tcW w:w="425"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36052892" w14:textId="77777777" w:rsidR="00F22587" w:rsidRPr="000E5DBF" w:rsidRDefault="00F22587" w:rsidP="008A5C11">
            <w:pPr>
              <w:jc w:val="center"/>
              <w:rPr>
                <w:color w:val="000000"/>
                <w:sz w:val="14"/>
                <w:szCs w:val="14"/>
              </w:rPr>
            </w:pPr>
            <w:r w:rsidRPr="000E5DBF">
              <w:rPr>
                <w:color w:val="000000"/>
                <w:sz w:val="14"/>
                <w:szCs w:val="14"/>
              </w:rPr>
              <w:t>0,00</w:t>
            </w:r>
          </w:p>
        </w:tc>
      </w:tr>
      <w:tr w:rsidR="00F22587" w:rsidRPr="000E5DBF" w14:paraId="5FDA476D" w14:textId="77777777" w:rsidTr="008A5C11">
        <w:trPr>
          <w:cantSplit/>
          <w:trHeight w:val="135"/>
        </w:trPr>
        <w:tc>
          <w:tcPr>
            <w:tcW w:w="15993" w:type="dxa"/>
            <w:gridSpan w:val="30"/>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C7000C5" w14:textId="77777777" w:rsidR="00F22587" w:rsidRPr="000E5DBF" w:rsidRDefault="00F22587" w:rsidP="008A5C11">
            <w:pPr>
              <w:rPr>
                <w:color w:val="000000"/>
                <w:sz w:val="14"/>
                <w:szCs w:val="14"/>
              </w:rPr>
            </w:pPr>
            <w:r w:rsidRPr="000E5DBF">
              <w:rPr>
                <w:sz w:val="14"/>
                <w:szCs w:val="14"/>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F22587" w:rsidRPr="000E5DBF" w14:paraId="7842DC25" w14:textId="77777777" w:rsidTr="008A5C11">
        <w:trPr>
          <w:cantSplit/>
          <w:trHeight w:val="128"/>
        </w:trPr>
        <w:tc>
          <w:tcPr>
            <w:tcW w:w="7491" w:type="dxa"/>
            <w:gridSpan w:val="11"/>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3F313D6" w14:textId="77777777" w:rsidR="00F22587" w:rsidRPr="000E5DBF" w:rsidRDefault="00F22587" w:rsidP="008A5C11">
            <w:pPr>
              <w:rPr>
                <w:sz w:val="14"/>
                <w:szCs w:val="14"/>
              </w:rPr>
            </w:pPr>
            <w:r w:rsidRPr="000E5DBF">
              <w:rPr>
                <w:sz w:val="14"/>
                <w:szCs w:val="14"/>
              </w:rPr>
              <w:t>Всего по группе 2.</w:t>
            </w:r>
          </w:p>
        </w:tc>
        <w:tc>
          <w:tcPr>
            <w:tcW w:w="568" w:type="dxa"/>
            <w:tcBorders>
              <w:top w:val="nil"/>
              <w:left w:val="nil"/>
              <w:bottom w:val="single" w:sz="4" w:space="0" w:color="auto"/>
              <w:right w:val="single" w:sz="4" w:space="0" w:color="auto"/>
            </w:tcBorders>
            <w:shd w:val="clear" w:color="auto" w:fill="auto"/>
            <w:tcMar>
              <w:left w:w="0" w:type="dxa"/>
              <w:right w:w="0" w:type="dxa"/>
            </w:tcMar>
            <w:vAlign w:val="center"/>
          </w:tcPr>
          <w:p w14:paraId="2F4CE085" w14:textId="77777777" w:rsidR="00F22587" w:rsidRPr="000E5DBF" w:rsidRDefault="00F22587" w:rsidP="008A5C11">
            <w:pPr>
              <w:jc w:val="center"/>
              <w:rPr>
                <w:color w:val="000000"/>
                <w:sz w:val="14"/>
                <w:szCs w:val="14"/>
              </w:rPr>
            </w:pPr>
            <w:r w:rsidRPr="000E5DBF">
              <w:rPr>
                <w:color w:val="000000"/>
                <w:sz w:val="14"/>
                <w:szCs w:val="14"/>
              </w:rPr>
              <w:t>0,00</w:t>
            </w:r>
          </w:p>
        </w:tc>
        <w:tc>
          <w:tcPr>
            <w:tcW w:w="443" w:type="dxa"/>
            <w:gridSpan w:val="2"/>
            <w:tcBorders>
              <w:top w:val="nil"/>
              <w:left w:val="nil"/>
              <w:bottom w:val="single" w:sz="4" w:space="0" w:color="auto"/>
              <w:right w:val="single" w:sz="4" w:space="0" w:color="auto"/>
            </w:tcBorders>
            <w:shd w:val="clear" w:color="auto" w:fill="auto"/>
            <w:tcMar>
              <w:left w:w="0" w:type="dxa"/>
              <w:right w:w="0" w:type="dxa"/>
            </w:tcMar>
            <w:vAlign w:val="center"/>
          </w:tcPr>
          <w:p w14:paraId="334E17BF" w14:textId="77777777" w:rsidR="00F22587" w:rsidRPr="000E5DBF" w:rsidRDefault="00F22587" w:rsidP="008A5C11">
            <w:pPr>
              <w:jc w:val="center"/>
              <w:rPr>
                <w:color w:val="000000"/>
                <w:sz w:val="14"/>
                <w:szCs w:val="14"/>
              </w:rPr>
            </w:pPr>
            <w:r w:rsidRPr="000E5DBF">
              <w:rPr>
                <w:color w:val="000000"/>
                <w:sz w:val="14"/>
                <w:szCs w:val="14"/>
              </w:rPr>
              <w:t>0,00</w:t>
            </w:r>
          </w:p>
        </w:tc>
        <w:tc>
          <w:tcPr>
            <w:tcW w:w="554" w:type="dxa"/>
            <w:tcBorders>
              <w:top w:val="nil"/>
              <w:left w:val="nil"/>
              <w:bottom w:val="single" w:sz="4" w:space="0" w:color="auto"/>
              <w:right w:val="single" w:sz="4" w:space="0" w:color="auto"/>
            </w:tcBorders>
            <w:shd w:val="clear" w:color="auto" w:fill="auto"/>
            <w:tcMar>
              <w:left w:w="0" w:type="dxa"/>
              <w:right w:w="0" w:type="dxa"/>
            </w:tcMar>
            <w:vAlign w:val="center"/>
          </w:tcPr>
          <w:p w14:paraId="55F1D486" w14:textId="77777777" w:rsidR="00F22587" w:rsidRPr="000E5DBF" w:rsidRDefault="00F22587" w:rsidP="008A5C11">
            <w:pPr>
              <w:jc w:val="center"/>
              <w:rPr>
                <w:color w:val="000000"/>
                <w:sz w:val="14"/>
                <w:szCs w:val="14"/>
              </w:rPr>
            </w:pPr>
            <w:r w:rsidRPr="000E5DBF">
              <w:rPr>
                <w:color w:val="000000"/>
                <w:sz w:val="14"/>
                <w:szCs w:val="14"/>
              </w:rPr>
              <w:t>0,00</w:t>
            </w:r>
          </w:p>
        </w:tc>
        <w:tc>
          <w:tcPr>
            <w:tcW w:w="567" w:type="dxa"/>
            <w:tcBorders>
              <w:top w:val="nil"/>
              <w:left w:val="nil"/>
              <w:bottom w:val="single" w:sz="4" w:space="0" w:color="auto"/>
              <w:right w:val="single" w:sz="4" w:space="0" w:color="auto"/>
            </w:tcBorders>
            <w:shd w:val="clear" w:color="auto" w:fill="auto"/>
            <w:tcMar>
              <w:left w:w="0" w:type="dxa"/>
              <w:right w:w="0" w:type="dxa"/>
            </w:tcMar>
            <w:vAlign w:val="center"/>
          </w:tcPr>
          <w:p w14:paraId="3973063A" w14:textId="77777777" w:rsidR="00F22587" w:rsidRPr="000E5DBF" w:rsidRDefault="00F22587" w:rsidP="008A5C11">
            <w:pPr>
              <w:jc w:val="center"/>
              <w:rPr>
                <w:color w:val="000000"/>
                <w:sz w:val="14"/>
                <w:szCs w:val="14"/>
              </w:rPr>
            </w:pPr>
            <w:r w:rsidRPr="000E5DBF">
              <w:rPr>
                <w:color w:val="000000"/>
                <w:sz w:val="14"/>
                <w:szCs w:val="14"/>
              </w:rPr>
              <w:t>0,00</w:t>
            </w:r>
          </w:p>
        </w:tc>
        <w:tc>
          <w:tcPr>
            <w:tcW w:w="567" w:type="dxa"/>
            <w:tcBorders>
              <w:top w:val="nil"/>
              <w:left w:val="nil"/>
              <w:bottom w:val="single" w:sz="4" w:space="0" w:color="auto"/>
              <w:right w:val="single" w:sz="4" w:space="0" w:color="auto"/>
            </w:tcBorders>
            <w:shd w:val="clear" w:color="auto" w:fill="auto"/>
            <w:tcMar>
              <w:left w:w="0" w:type="dxa"/>
              <w:right w:w="0" w:type="dxa"/>
            </w:tcMar>
            <w:vAlign w:val="center"/>
          </w:tcPr>
          <w:p w14:paraId="0CC2A7FB" w14:textId="77777777" w:rsidR="00F22587" w:rsidRPr="000E5DBF" w:rsidRDefault="00F22587" w:rsidP="008A5C11">
            <w:pPr>
              <w:jc w:val="center"/>
              <w:rPr>
                <w:color w:val="000000"/>
                <w:sz w:val="14"/>
                <w:szCs w:val="14"/>
              </w:rPr>
            </w:pPr>
            <w:r w:rsidRPr="000E5DBF">
              <w:rPr>
                <w:color w:val="000000"/>
                <w:sz w:val="14"/>
                <w:szCs w:val="14"/>
              </w:rPr>
              <w:t>0,00</w:t>
            </w:r>
          </w:p>
        </w:tc>
        <w:tc>
          <w:tcPr>
            <w:tcW w:w="561" w:type="dxa"/>
            <w:tcBorders>
              <w:top w:val="nil"/>
              <w:left w:val="nil"/>
              <w:bottom w:val="single" w:sz="4" w:space="0" w:color="auto"/>
              <w:right w:val="single" w:sz="4" w:space="0" w:color="auto"/>
            </w:tcBorders>
            <w:shd w:val="clear" w:color="auto" w:fill="auto"/>
            <w:tcMar>
              <w:left w:w="0" w:type="dxa"/>
              <w:right w:w="0" w:type="dxa"/>
            </w:tcMar>
            <w:vAlign w:val="center"/>
          </w:tcPr>
          <w:p w14:paraId="22B2F18C" w14:textId="77777777" w:rsidR="00F22587" w:rsidRPr="000E5DBF" w:rsidRDefault="00F22587" w:rsidP="008A5C11">
            <w:pPr>
              <w:jc w:val="center"/>
              <w:rPr>
                <w:color w:val="000000"/>
                <w:sz w:val="14"/>
                <w:szCs w:val="14"/>
              </w:rPr>
            </w:pPr>
            <w:r w:rsidRPr="000E5DBF">
              <w:rPr>
                <w:color w:val="000000"/>
                <w:sz w:val="14"/>
                <w:szCs w:val="14"/>
              </w:rPr>
              <w:t>0,00</w:t>
            </w:r>
          </w:p>
        </w:tc>
        <w:tc>
          <w:tcPr>
            <w:tcW w:w="560" w:type="dxa"/>
            <w:tcBorders>
              <w:top w:val="nil"/>
              <w:left w:val="nil"/>
              <w:bottom w:val="single" w:sz="4" w:space="0" w:color="auto"/>
              <w:right w:val="single" w:sz="4" w:space="0" w:color="auto"/>
            </w:tcBorders>
            <w:shd w:val="clear" w:color="auto" w:fill="auto"/>
            <w:tcMar>
              <w:left w:w="0" w:type="dxa"/>
              <w:right w:w="0" w:type="dxa"/>
            </w:tcMar>
            <w:vAlign w:val="center"/>
          </w:tcPr>
          <w:p w14:paraId="45E94586" w14:textId="77777777" w:rsidR="00F22587" w:rsidRPr="000E5DBF" w:rsidRDefault="00F22587" w:rsidP="008A5C11">
            <w:pPr>
              <w:jc w:val="center"/>
              <w:rPr>
                <w:color w:val="000000"/>
                <w:sz w:val="14"/>
                <w:szCs w:val="14"/>
              </w:rPr>
            </w:pPr>
            <w:r w:rsidRPr="000E5DBF">
              <w:rPr>
                <w:color w:val="000000"/>
                <w:sz w:val="14"/>
                <w:szCs w:val="14"/>
              </w:rPr>
              <w:t>0,00</w:t>
            </w:r>
          </w:p>
        </w:tc>
        <w:tc>
          <w:tcPr>
            <w:tcW w:w="569" w:type="dxa"/>
            <w:tcBorders>
              <w:top w:val="nil"/>
              <w:left w:val="nil"/>
              <w:bottom w:val="single" w:sz="4" w:space="0" w:color="auto"/>
              <w:right w:val="single" w:sz="4" w:space="0" w:color="auto"/>
            </w:tcBorders>
            <w:shd w:val="clear" w:color="auto" w:fill="auto"/>
            <w:tcMar>
              <w:left w:w="0" w:type="dxa"/>
              <w:right w:w="0" w:type="dxa"/>
            </w:tcMar>
            <w:vAlign w:val="center"/>
          </w:tcPr>
          <w:p w14:paraId="211D1254" w14:textId="77777777" w:rsidR="00F22587" w:rsidRPr="000E5DBF" w:rsidRDefault="00F22587" w:rsidP="008A5C11">
            <w:pPr>
              <w:jc w:val="center"/>
              <w:rPr>
                <w:color w:val="000000"/>
                <w:sz w:val="14"/>
                <w:szCs w:val="14"/>
              </w:rPr>
            </w:pPr>
            <w:r w:rsidRPr="000E5DBF">
              <w:rPr>
                <w:color w:val="000000"/>
                <w:sz w:val="14"/>
                <w:szCs w:val="14"/>
              </w:rPr>
              <w:t>0,00</w:t>
            </w:r>
          </w:p>
        </w:tc>
        <w:tc>
          <w:tcPr>
            <w:tcW w:w="567" w:type="dxa"/>
            <w:gridSpan w:val="2"/>
            <w:tcBorders>
              <w:top w:val="nil"/>
              <w:left w:val="nil"/>
              <w:bottom w:val="single" w:sz="4" w:space="0" w:color="auto"/>
              <w:right w:val="single" w:sz="4" w:space="0" w:color="auto"/>
            </w:tcBorders>
            <w:shd w:val="clear" w:color="auto" w:fill="auto"/>
            <w:tcMar>
              <w:left w:w="0" w:type="dxa"/>
              <w:right w:w="0" w:type="dxa"/>
            </w:tcMar>
            <w:vAlign w:val="center"/>
          </w:tcPr>
          <w:p w14:paraId="7354E286" w14:textId="77777777" w:rsidR="00F22587" w:rsidRPr="000E5DBF" w:rsidRDefault="00F22587" w:rsidP="008A5C11">
            <w:pPr>
              <w:jc w:val="center"/>
              <w:rPr>
                <w:color w:val="000000"/>
                <w:sz w:val="14"/>
                <w:szCs w:val="14"/>
              </w:rPr>
            </w:pPr>
            <w:r w:rsidRPr="000E5DBF">
              <w:rPr>
                <w:color w:val="000000"/>
                <w:sz w:val="14"/>
                <w:szCs w:val="14"/>
              </w:rPr>
              <w:t>0,00</w:t>
            </w:r>
          </w:p>
        </w:tc>
        <w:tc>
          <w:tcPr>
            <w:tcW w:w="565" w:type="dxa"/>
            <w:tcBorders>
              <w:top w:val="nil"/>
              <w:left w:val="nil"/>
              <w:bottom w:val="single" w:sz="4" w:space="0" w:color="auto"/>
              <w:right w:val="single" w:sz="4" w:space="0" w:color="auto"/>
            </w:tcBorders>
            <w:shd w:val="clear" w:color="auto" w:fill="auto"/>
            <w:tcMar>
              <w:left w:w="0" w:type="dxa"/>
              <w:right w:w="0" w:type="dxa"/>
            </w:tcMar>
            <w:vAlign w:val="center"/>
          </w:tcPr>
          <w:p w14:paraId="1A832FDC" w14:textId="77777777" w:rsidR="00F22587" w:rsidRPr="000E5DBF" w:rsidRDefault="00F22587" w:rsidP="008A5C11">
            <w:pPr>
              <w:jc w:val="center"/>
              <w:rPr>
                <w:color w:val="000000"/>
                <w:sz w:val="14"/>
                <w:szCs w:val="14"/>
              </w:rPr>
            </w:pPr>
            <w:r w:rsidRPr="000E5DBF">
              <w:rPr>
                <w:color w:val="000000"/>
                <w:sz w:val="14"/>
                <w:szCs w:val="14"/>
              </w:rPr>
              <w:t>0,00</w:t>
            </w:r>
          </w:p>
        </w:tc>
        <w:tc>
          <w:tcPr>
            <w:tcW w:w="567" w:type="dxa"/>
            <w:tcBorders>
              <w:top w:val="nil"/>
              <w:left w:val="nil"/>
              <w:bottom w:val="single" w:sz="4" w:space="0" w:color="auto"/>
              <w:right w:val="single" w:sz="4" w:space="0" w:color="auto"/>
            </w:tcBorders>
            <w:shd w:val="clear" w:color="auto" w:fill="auto"/>
            <w:tcMar>
              <w:left w:w="0" w:type="dxa"/>
              <w:right w:w="0" w:type="dxa"/>
            </w:tcMar>
            <w:vAlign w:val="center"/>
          </w:tcPr>
          <w:p w14:paraId="35CFC418" w14:textId="77777777" w:rsidR="00F22587" w:rsidRPr="000E5DBF" w:rsidRDefault="00F22587" w:rsidP="008A5C11">
            <w:pPr>
              <w:jc w:val="center"/>
              <w:rPr>
                <w:color w:val="000000"/>
                <w:sz w:val="14"/>
                <w:szCs w:val="14"/>
              </w:rPr>
            </w:pPr>
            <w:r w:rsidRPr="000E5DBF">
              <w:rPr>
                <w:color w:val="000000"/>
                <w:sz w:val="14"/>
                <w:szCs w:val="14"/>
              </w:rPr>
              <w:t>0,00</w:t>
            </w:r>
          </w:p>
        </w:tc>
        <w:tc>
          <w:tcPr>
            <w:tcW w:w="568" w:type="dxa"/>
            <w:tcBorders>
              <w:top w:val="nil"/>
              <w:left w:val="nil"/>
              <w:bottom w:val="single" w:sz="4" w:space="0" w:color="auto"/>
              <w:right w:val="single" w:sz="4" w:space="0" w:color="auto"/>
            </w:tcBorders>
            <w:shd w:val="clear" w:color="auto" w:fill="auto"/>
            <w:tcMar>
              <w:left w:w="0" w:type="dxa"/>
              <w:right w:w="0" w:type="dxa"/>
            </w:tcMar>
            <w:vAlign w:val="center"/>
          </w:tcPr>
          <w:p w14:paraId="7EA296E5" w14:textId="77777777" w:rsidR="00F22587" w:rsidRPr="000E5DBF" w:rsidRDefault="00F22587" w:rsidP="008A5C11">
            <w:pPr>
              <w:jc w:val="center"/>
              <w:rPr>
                <w:color w:val="000000"/>
                <w:sz w:val="14"/>
                <w:szCs w:val="14"/>
              </w:rPr>
            </w:pPr>
            <w:r w:rsidRPr="000E5DBF">
              <w:rPr>
                <w:color w:val="000000"/>
                <w:sz w:val="14"/>
                <w:szCs w:val="14"/>
              </w:rPr>
              <w:t>0,00</w:t>
            </w:r>
          </w:p>
        </w:tc>
        <w:tc>
          <w:tcPr>
            <w:tcW w:w="569" w:type="dxa"/>
            <w:tcBorders>
              <w:top w:val="nil"/>
              <w:left w:val="nil"/>
              <w:bottom w:val="single" w:sz="4" w:space="0" w:color="auto"/>
              <w:right w:val="single" w:sz="4" w:space="0" w:color="auto"/>
            </w:tcBorders>
            <w:shd w:val="clear" w:color="auto" w:fill="auto"/>
            <w:tcMar>
              <w:left w:w="0" w:type="dxa"/>
              <w:right w:w="0" w:type="dxa"/>
            </w:tcMar>
            <w:vAlign w:val="center"/>
          </w:tcPr>
          <w:p w14:paraId="3E83C8A7" w14:textId="77777777" w:rsidR="00F22587" w:rsidRPr="000E5DBF" w:rsidRDefault="00F22587" w:rsidP="008A5C11">
            <w:pPr>
              <w:jc w:val="center"/>
              <w:rPr>
                <w:color w:val="000000"/>
                <w:sz w:val="14"/>
                <w:szCs w:val="14"/>
              </w:rPr>
            </w:pPr>
            <w:r w:rsidRPr="000E5DBF">
              <w:rPr>
                <w:color w:val="000000"/>
                <w:sz w:val="14"/>
                <w:szCs w:val="14"/>
              </w:rPr>
              <w:t>0,00</w:t>
            </w:r>
          </w:p>
        </w:tc>
        <w:tc>
          <w:tcPr>
            <w:tcW w:w="562" w:type="dxa"/>
            <w:tcBorders>
              <w:top w:val="nil"/>
              <w:left w:val="nil"/>
              <w:bottom w:val="single" w:sz="4" w:space="0" w:color="auto"/>
              <w:right w:val="single" w:sz="4" w:space="0" w:color="auto"/>
            </w:tcBorders>
            <w:shd w:val="clear" w:color="auto" w:fill="auto"/>
            <w:tcMar>
              <w:left w:w="0" w:type="dxa"/>
              <w:right w:w="0" w:type="dxa"/>
            </w:tcMar>
            <w:vAlign w:val="center"/>
          </w:tcPr>
          <w:p w14:paraId="60B57313" w14:textId="77777777" w:rsidR="00F22587" w:rsidRPr="000E5DBF" w:rsidRDefault="00F22587" w:rsidP="008A5C11">
            <w:pPr>
              <w:jc w:val="center"/>
              <w:rPr>
                <w:color w:val="000000"/>
                <w:sz w:val="14"/>
                <w:szCs w:val="14"/>
              </w:rPr>
            </w:pPr>
            <w:r w:rsidRPr="000E5DBF">
              <w:rPr>
                <w:color w:val="000000"/>
                <w:sz w:val="14"/>
                <w:szCs w:val="14"/>
              </w:rPr>
              <w:t>0,00</w:t>
            </w:r>
          </w:p>
        </w:tc>
        <w:tc>
          <w:tcPr>
            <w:tcW w:w="290" w:type="dxa"/>
            <w:tcBorders>
              <w:top w:val="nil"/>
              <w:left w:val="nil"/>
              <w:bottom w:val="single" w:sz="4" w:space="0" w:color="auto"/>
              <w:right w:val="single" w:sz="4" w:space="0" w:color="auto"/>
            </w:tcBorders>
            <w:shd w:val="clear" w:color="auto" w:fill="auto"/>
            <w:tcMar>
              <w:left w:w="0" w:type="dxa"/>
              <w:right w:w="0" w:type="dxa"/>
            </w:tcMar>
            <w:vAlign w:val="center"/>
          </w:tcPr>
          <w:p w14:paraId="2C0C99E3" w14:textId="77777777" w:rsidR="00F22587" w:rsidRPr="000E5DBF" w:rsidRDefault="00F22587" w:rsidP="008A5C11">
            <w:pPr>
              <w:jc w:val="center"/>
              <w:rPr>
                <w:color w:val="000000"/>
                <w:sz w:val="14"/>
                <w:szCs w:val="14"/>
              </w:rPr>
            </w:pPr>
            <w:r w:rsidRPr="000E5DBF">
              <w:rPr>
                <w:color w:val="000000"/>
                <w:sz w:val="14"/>
                <w:szCs w:val="14"/>
              </w:rPr>
              <w:t>0,00</w:t>
            </w:r>
          </w:p>
        </w:tc>
        <w:tc>
          <w:tcPr>
            <w:tcW w:w="425" w:type="dxa"/>
            <w:gridSpan w:val="2"/>
            <w:tcBorders>
              <w:top w:val="nil"/>
              <w:left w:val="nil"/>
              <w:bottom w:val="single" w:sz="4" w:space="0" w:color="auto"/>
              <w:right w:val="single" w:sz="4" w:space="0" w:color="auto"/>
            </w:tcBorders>
            <w:shd w:val="clear" w:color="auto" w:fill="auto"/>
            <w:tcMar>
              <w:left w:w="0" w:type="dxa"/>
              <w:right w:w="0" w:type="dxa"/>
            </w:tcMar>
            <w:vAlign w:val="center"/>
          </w:tcPr>
          <w:p w14:paraId="7A786836" w14:textId="77777777" w:rsidR="00F22587" w:rsidRPr="000E5DBF" w:rsidRDefault="00F22587" w:rsidP="008A5C11">
            <w:pPr>
              <w:jc w:val="center"/>
              <w:rPr>
                <w:color w:val="000000"/>
                <w:sz w:val="14"/>
                <w:szCs w:val="14"/>
              </w:rPr>
            </w:pPr>
            <w:r w:rsidRPr="000E5DBF">
              <w:rPr>
                <w:color w:val="000000"/>
                <w:sz w:val="14"/>
                <w:szCs w:val="14"/>
              </w:rPr>
              <w:t>0,00</w:t>
            </w:r>
          </w:p>
        </w:tc>
      </w:tr>
      <w:tr w:rsidR="00F22587" w:rsidRPr="000E5DBF" w14:paraId="1DCDCDEF" w14:textId="77777777" w:rsidTr="008A5C11">
        <w:trPr>
          <w:trHeight w:val="193"/>
        </w:trPr>
        <w:tc>
          <w:tcPr>
            <w:tcW w:w="15993" w:type="dxa"/>
            <w:gridSpan w:val="30"/>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38047373" w14:textId="77777777" w:rsidR="00F22587" w:rsidRPr="000E5DBF" w:rsidRDefault="00F22587" w:rsidP="008A5C11">
            <w:pPr>
              <w:rPr>
                <w:color w:val="000000"/>
                <w:sz w:val="14"/>
                <w:szCs w:val="14"/>
              </w:rPr>
            </w:pPr>
            <w:r w:rsidRPr="000E5DBF">
              <w:rPr>
                <w:color w:val="000000"/>
                <w:sz w:val="14"/>
                <w:szCs w:val="14"/>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F22587" w:rsidRPr="000E5DBF" w14:paraId="7A50585B" w14:textId="77777777" w:rsidTr="008A5C11">
        <w:trPr>
          <w:trHeight w:val="133"/>
        </w:trPr>
        <w:tc>
          <w:tcPr>
            <w:tcW w:w="15993" w:type="dxa"/>
            <w:gridSpan w:val="30"/>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B62046A" w14:textId="77777777" w:rsidR="00F22587" w:rsidRPr="000E5DBF" w:rsidRDefault="00F22587" w:rsidP="008A5C11">
            <w:pPr>
              <w:rPr>
                <w:color w:val="000000"/>
                <w:sz w:val="14"/>
                <w:szCs w:val="14"/>
              </w:rPr>
            </w:pPr>
            <w:r w:rsidRPr="000E5DBF">
              <w:rPr>
                <w:bCs/>
                <w:sz w:val="14"/>
                <w:szCs w:val="14"/>
              </w:rPr>
              <w:t>3.1</w:t>
            </w:r>
            <w:r w:rsidRPr="000E5DBF">
              <w:rPr>
                <w:color w:val="000000"/>
                <w:sz w:val="14"/>
                <w:szCs w:val="14"/>
              </w:rPr>
              <w:t>. Реконструкция или модернизация существующих тепловых сетей</w:t>
            </w:r>
          </w:p>
        </w:tc>
      </w:tr>
      <w:tr w:rsidR="00F22587" w:rsidRPr="000E5DBF" w14:paraId="39E0BA77" w14:textId="77777777" w:rsidTr="008A5C11">
        <w:trPr>
          <w:cantSplit/>
          <w:trHeight w:val="736"/>
        </w:trPr>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75A9304" w14:textId="77777777" w:rsidR="00F22587" w:rsidRPr="000E5DBF" w:rsidRDefault="00F22587" w:rsidP="008A5C11">
            <w:pPr>
              <w:rPr>
                <w:bCs/>
                <w:sz w:val="14"/>
                <w:szCs w:val="14"/>
              </w:rPr>
            </w:pPr>
            <w:r w:rsidRPr="000E5DBF">
              <w:rPr>
                <w:bCs/>
                <w:sz w:val="14"/>
                <w:szCs w:val="14"/>
              </w:rPr>
              <w:t xml:space="preserve"> 3.1.1.</w:t>
            </w:r>
          </w:p>
        </w:tc>
        <w:tc>
          <w:tcPr>
            <w:tcW w:w="143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8C6F94F" w14:textId="77777777" w:rsidR="00F22587" w:rsidRPr="000E5DBF" w:rsidRDefault="00F22587" w:rsidP="008A5C11">
            <w:pPr>
              <w:jc w:val="center"/>
              <w:rPr>
                <w:color w:val="000000"/>
                <w:sz w:val="14"/>
                <w:szCs w:val="14"/>
              </w:rPr>
            </w:pPr>
            <w:r w:rsidRPr="000E5DBF">
              <w:rPr>
                <w:color w:val="000000"/>
                <w:sz w:val="14"/>
                <w:szCs w:val="14"/>
              </w:rPr>
              <w:t>Увеличение диаметров трубопроводов от бойлерной №1 до УТ-3 (30лет Победы, 7) отопление</w:t>
            </w:r>
          </w:p>
        </w:tc>
        <w:tc>
          <w:tcPr>
            <w:tcW w:w="9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4574B74" w14:textId="77777777" w:rsidR="00F22587" w:rsidRPr="000E5DBF" w:rsidRDefault="00F22587" w:rsidP="008A5C11">
            <w:pPr>
              <w:jc w:val="center"/>
              <w:rPr>
                <w:bCs/>
                <w:sz w:val="14"/>
                <w:szCs w:val="14"/>
              </w:rPr>
            </w:pPr>
            <w:r w:rsidRPr="000E5DBF">
              <w:rPr>
                <w:bCs/>
                <w:sz w:val="14"/>
                <w:szCs w:val="14"/>
              </w:rPr>
              <w:t>Модернизация</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3F66F5E" w14:textId="77777777" w:rsidR="00F22587" w:rsidRPr="000E5DBF" w:rsidRDefault="00F22587" w:rsidP="008A5C11">
            <w:pPr>
              <w:jc w:val="center"/>
              <w:rPr>
                <w:bCs/>
                <w:sz w:val="14"/>
                <w:szCs w:val="14"/>
              </w:rPr>
            </w:pPr>
            <w:r w:rsidRPr="000E5DBF">
              <w:rPr>
                <w:color w:val="000000"/>
                <w:sz w:val="14"/>
                <w:szCs w:val="14"/>
              </w:rPr>
              <w:t>ул. Кирова, 8</w:t>
            </w:r>
          </w:p>
        </w:tc>
        <w:tc>
          <w:tcPr>
            <w:tcW w:w="99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01B34E6" w14:textId="77777777" w:rsidR="00F22587" w:rsidRPr="000E5DBF" w:rsidRDefault="00F22587" w:rsidP="008A5C11">
            <w:pPr>
              <w:jc w:val="center"/>
              <w:rPr>
                <w:bCs/>
                <w:sz w:val="14"/>
                <w:szCs w:val="14"/>
              </w:rPr>
            </w:pPr>
            <w:r w:rsidRPr="000E5DBF">
              <w:rPr>
                <w:bCs/>
                <w:sz w:val="14"/>
                <w:szCs w:val="14"/>
              </w:rPr>
              <w:t>диаметр</w:t>
            </w:r>
          </w:p>
        </w:tc>
        <w:tc>
          <w:tcPr>
            <w:tcW w:w="42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EC94DE5" w14:textId="77777777" w:rsidR="00F22587" w:rsidRPr="000E5DBF" w:rsidRDefault="00F22587" w:rsidP="008A5C11">
            <w:pPr>
              <w:jc w:val="center"/>
              <w:rPr>
                <w:bCs/>
                <w:sz w:val="14"/>
                <w:szCs w:val="14"/>
              </w:rPr>
            </w:pPr>
            <w:r w:rsidRPr="000E5DBF">
              <w:rPr>
                <w:bCs/>
                <w:sz w:val="14"/>
                <w:szCs w:val="14"/>
              </w:rPr>
              <w:t>мм</w:t>
            </w:r>
          </w:p>
        </w:tc>
        <w:tc>
          <w:tcPr>
            <w:tcW w:w="7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BBE2B39" w14:textId="77777777" w:rsidR="00F22587" w:rsidRPr="000E5DBF" w:rsidRDefault="00F22587" w:rsidP="008A5C11">
            <w:pPr>
              <w:jc w:val="center"/>
              <w:rPr>
                <w:bCs/>
                <w:sz w:val="14"/>
                <w:szCs w:val="14"/>
              </w:rPr>
            </w:pPr>
            <w:r w:rsidRPr="000E5DBF">
              <w:rPr>
                <w:bCs/>
                <w:sz w:val="14"/>
                <w:szCs w:val="14"/>
              </w:rPr>
              <w:t>325</w:t>
            </w:r>
          </w:p>
        </w:tc>
        <w:tc>
          <w:tcPr>
            <w:tcW w:w="7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98D0C29" w14:textId="77777777" w:rsidR="00F22587" w:rsidRPr="000E5DBF" w:rsidRDefault="00F22587" w:rsidP="008A5C11">
            <w:pPr>
              <w:jc w:val="center"/>
              <w:rPr>
                <w:bCs/>
                <w:sz w:val="14"/>
                <w:szCs w:val="14"/>
              </w:rPr>
            </w:pPr>
            <w:r w:rsidRPr="000E5DBF">
              <w:rPr>
                <w:bCs/>
                <w:sz w:val="14"/>
                <w:szCs w:val="14"/>
              </w:rPr>
              <w:t>530</w:t>
            </w:r>
          </w:p>
        </w:tc>
        <w:tc>
          <w:tcPr>
            <w:tcW w:w="37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31874CF" w14:textId="77777777" w:rsidR="00F22587" w:rsidRPr="000E5DBF" w:rsidRDefault="00F22587" w:rsidP="008A5C11">
            <w:pPr>
              <w:ind w:left="-108"/>
              <w:jc w:val="center"/>
              <w:rPr>
                <w:color w:val="000000"/>
                <w:sz w:val="14"/>
                <w:szCs w:val="14"/>
              </w:rPr>
            </w:pPr>
            <w:r w:rsidRPr="000E5DBF">
              <w:rPr>
                <w:color w:val="000000"/>
                <w:sz w:val="14"/>
                <w:szCs w:val="14"/>
              </w:rPr>
              <w:t>2020</w:t>
            </w:r>
          </w:p>
        </w:tc>
        <w:tc>
          <w:tcPr>
            <w:tcW w:w="45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C46030A" w14:textId="77777777" w:rsidR="00F22587" w:rsidRPr="000E5DBF" w:rsidRDefault="00F22587" w:rsidP="008A5C11">
            <w:pPr>
              <w:ind w:left="-108"/>
              <w:jc w:val="center"/>
              <w:rPr>
                <w:color w:val="000000"/>
                <w:sz w:val="14"/>
                <w:szCs w:val="14"/>
              </w:rPr>
            </w:pPr>
            <w:r w:rsidRPr="000E5DBF">
              <w:rPr>
                <w:color w:val="000000"/>
                <w:sz w:val="14"/>
                <w:szCs w:val="14"/>
              </w:rPr>
              <w:t>2023</w:t>
            </w:r>
          </w:p>
        </w:tc>
        <w:tc>
          <w:tcPr>
            <w:tcW w:w="56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4EF684E" w14:textId="77777777" w:rsidR="00F22587" w:rsidRPr="000E5DBF" w:rsidRDefault="00F22587" w:rsidP="008A5C11">
            <w:pPr>
              <w:jc w:val="center"/>
              <w:rPr>
                <w:color w:val="000000"/>
                <w:sz w:val="14"/>
                <w:szCs w:val="14"/>
              </w:rPr>
            </w:pPr>
            <w:r w:rsidRPr="000E5DBF">
              <w:rPr>
                <w:color w:val="000000"/>
                <w:sz w:val="14"/>
                <w:szCs w:val="14"/>
              </w:rPr>
              <w:t>1105,80</w:t>
            </w:r>
          </w:p>
        </w:tc>
        <w:tc>
          <w:tcPr>
            <w:tcW w:w="42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F8151B9" w14:textId="77777777" w:rsidR="00F22587" w:rsidRPr="000E5DBF" w:rsidRDefault="00F22587" w:rsidP="008A5C11">
            <w:pPr>
              <w:jc w:val="center"/>
              <w:rPr>
                <w:color w:val="000000"/>
                <w:sz w:val="14"/>
                <w:szCs w:val="14"/>
              </w:rPr>
            </w:pPr>
            <w:r w:rsidRPr="000E5DBF">
              <w:rPr>
                <w:color w:val="000000"/>
                <w:sz w:val="14"/>
                <w:szCs w:val="14"/>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F291ACB" w14:textId="77777777" w:rsidR="00F22587" w:rsidRPr="000E5DBF" w:rsidRDefault="00F22587" w:rsidP="008A5C11">
            <w:pPr>
              <w:jc w:val="center"/>
              <w:rPr>
                <w:color w:val="000000"/>
                <w:sz w:val="14"/>
                <w:szCs w:val="14"/>
              </w:rPr>
            </w:pPr>
            <w:r w:rsidRPr="000E5DBF">
              <w:rPr>
                <w:color w:val="000000"/>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6F5CFDC" w14:textId="77777777" w:rsidR="00F22587" w:rsidRPr="000E5DBF" w:rsidRDefault="00F22587" w:rsidP="008A5C11">
            <w:pPr>
              <w:jc w:val="center"/>
              <w:rPr>
                <w:color w:val="000000"/>
                <w:sz w:val="14"/>
                <w:szCs w:val="14"/>
              </w:rPr>
            </w:pPr>
            <w:r w:rsidRPr="000E5DBF">
              <w:rPr>
                <w:color w:val="000000"/>
                <w:sz w:val="14"/>
                <w:szCs w:val="14"/>
              </w:rPr>
              <w:t>1105,80</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F341D55" w14:textId="77777777" w:rsidR="00F22587" w:rsidRPr="000E5DBF" w:rsidRDefault="00F22587" w:rsidP="008A5C11">
            <w:pPr>
              <w:jc w:val="center"/>
              <w:rPr>
                <w:color w:val="000000"/>
                <w:sz w:val="14"/>
                <w:szCs w:val="14"/>
              </w:rPr>
            </w:pPr>
            <w:r w:rsidRPr="000E5DBF">
              <w:rPr>
                <w:color w:val="000000"/>
                <w:sz w:val="14"/>
                <w:szCs w:val="14"/>
              </w:rPr>
              <w:t>0,00</w:t>
            </w:r>
          </w:p>
        </w:tc>
        <w:tc>
          <w:tcPr>
            <w:tcW w:w="56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D565419" w14:textId="77777777" w:rsidR="00F22587" w:rsidRPr="000E5DBF" w:rsidRDefault="00F22587" w:rsidP="008A5C11">
            <w:pPr>
              <w:jc w:val="center"/>
              <w:rPr>
                <w:color w:val="000000"/>
                <w:sz w:val="14"/>
                <w:szCs w:val="14"/>
              </w:rPr>
            </w:pPr>
            <w:r w:rsidRPr="000E5DBF">
              <w:rPr>
                <w:color w:val="000000"/>
                <w:sz w:val="14"/>
                <w:szCs w:val="14"/>
              </w:rPr>
              <w:t>0,00</w:t>
            </w:r>
          </w:p>
        </w:tc>
        <w:tc>
          <w:tcPr>
            <w:tcW w:w="56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3E4ED44" w14:textId="77777777" w:rsidR="00F22587" w:rsidRPr="000E5DBF" w:rsidRDefault="00F22587" w:rsidP="008A5C11">
            <w:pPr>
              <w:jc w:val="center"/>
              <w:rPr>
                <w:color w:val="000000"/>
                <w:sz w:val="14"/>
                <w:szCs w:val="14"/>
              </w:rPr>
            </w:pPr>
            <w:r w:rsidRPr="000E5DBF">
              <w:rPr>
                <w:color w:val="000000"/>
                <w:sz w:val="14"/>
                <w:szCs w:val="14"/>
              </w:rPr>
              <w:t>0,00</w:t>
            </w:r>
          </w:p>
        </w:tc>
        <w:tc>
          <w:tcPr>
            <w:tcW w:w="56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06F2DA8" w14:textId="77777777" w:rsidR="00F22587" w:rsidRPr="000E5DBF" w:rsidRDefault="00F22587" w:rsidP="008A5C11">
            <w:pPr>
              <w:jc w:val="center"/>
              <w:rPr>
                <w:color w:val="000000"/>
                <w:sz w:val="14"/>
                <w:szCs w:val="14"/>
              </w:rPr>
            </w:pPr>
            <w:r w:rsidRPr="000E5DBF">
              <w:rPr>
                <w:color w:val="000000"/>
                <w:sz w:val="14"/>
                <w:szCs w:val="14"/>
              </w:rPr>
              <w:t>0,00</w:t>
            </w:r>
          </w:p>
        </w:tc>
        <w:tc>
          <w:tcPr>
            <w:tcW w:w="56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4376BB7" w14:textId="77777777" w:rsidR="00F22587" w:rsidRPr="000E5DBF" w:rsidRDefault="00F22587" w:rsidP="008A5C11">
            <w:pPr>
              <w:jc w:val="center"/>
              <w:rPr>
                <w:color w:val="000000"/>
                <w:sz w:val="14"/>
                <w:szCs w:val="14"/>
              </w:rPr>
            </w:pPr>
            <w:r w:rsidRPr="000E5DBF">
              <w:rPr>
                <w:color w:val="000000"/>
                <w:sz w:val="14"/>
                <w:szCs w:val="14"/>
              </w:rPr>
              <w:t>0,00</w:t>
            </w:r>
          </w:p>
        </w:tc>
        <w:tc>
          <w:tcPr>
            <w:tcW w:w="572"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D2BEB40" w14:textId="77777777" w:rsidR="00F22587" w:rsidRPr="000E5DBF" w:rsidRDefault="00F22587" w:rsidP="008A5C11">
            <w:pPr>
              <w:jc w:val="center"/>
              <w:rPr>
                <w:color w:val="000000"/>
                <w:sz w:val="14"/>
                <w:szCs w:val="14"/>
              </w:rPr>
            </w:pPr>
            <w:r w:rsidRPr="000E5DBF">
              <w:rPr>
                <w:color w:val="000000"/>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8ECD0AF" w14:textId="77777777" w:rsidR="00F22587" w:rsidRPr="000E5DBF" w:rsidRDefault="00F22587" w:rsidP="008A5C11">
            <w:pPr>
              <w:jc w:val="center"/>
              <w:rPr>
                <w:color w:val="000000"/>
                <w:sz w:val="14"/>
                <w:szCs w:val="14"/>
              </w:rPr>
            </w:pPr>
            <w:r w:rsidRPr="000E5DBF">
              <w:rPr>
                <w:color w:val="000000"/>
                <w:sz w:val="14"/>
                <w:szCs w:val="14"/>
              </w:rPr>
              <w:t>0,00</w:t>
            </w:r>
          </w:p>
        </w:tc>
        <w:tc>
          <w:tcPr>
            <w:tcW w:w="56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00ED2FE" w14:textId="77777777" w:rsidR="00F22587" w:rsidRPr="000E5DBF" w:rsidRDefault="00F22587" w:rsidP="008A5C11">
            <w:pPr>
              <w:jc w:val="center"/>
              <w:rPr>
                <w:color w:val="000000"/>
                <w:sz w:val="14"/>
                <w:szCs w:val="14"/>
              </w:rPr>
            </w:pPr>
            <w:r w:rsidRPr="000E5DBF">
              <w:rPr>
                <w:color w:val="000000"/>
                <w:sz w:val="14"/>
                <w:szCs w:val="14"/>
              </w:rPr>
              <w:t>0,00</w:t>
            </w:r>
          </w:p>
        </w:tc>
        <w:tc>
          <w:tcPr>
            <w:tcW w:w="56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3C13935" w14:textId="77777777" w:rsidR="00F22587" w:rsidRPr="000E5DBF" w:rsidRDefault="00F22587" w:rsidP="008A5C11">
            <w:pPr>
              <w:jc w:val="center"/>
              <w:rPr>
                <w:color w:val="000000"/>
                <w:sz w:val="14"/>
                <w:szCs w:val="14"/>
              </w:rPr>
            </w:pPr>
            <w:r w:rsidRPr="000E5DBF">
              <w:rPr>
                <w:color w:val="000000"/>
                <w:sz w:val="14"/>
                <w:szCs w:val="14"/>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6BC8569" w14:textId="77777777" w:rsidR="00F22587" w:rsidRPr="000E5DBF" w:rsidRDefault="00F22587" w:rsidP="008A5C11">
            <w:pPr>
              <w:jc w:val="center"/>
              <w:rPr>
                <w:color w:val="000000"/>
                <w:sz w:val="14"/>
                <w:szCs w:val="14"/>
              </w:rPr>
            </w:pPr>
            <w:r w:rsidRPr="000E5DBF">
              <w:rPr>
                <w:color w:val="000000"/>
                <w:sz w:val="14"/>
                <w:szCs w:val="14"/>
              </w:rPr>
              <w:t>0,00</w:t>
            </w:r>
          </w:p>
        </w:tc>
        <w:tc>
          <w:tcPr>
            <w:tcW w:w="341"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9570135" w14:textId="77777777" w:rsidR="00F22587" w:rsidRPr="000E5DBF" w:rsidRDefault="00F22587" w:rsidP="008A5C11">
            <w:pPr>
              <w:jc w:val="center"/>
              <w:rPr>
                <w:color w:val="000000"/>
                <w:sz w:val="14"/>
                <w:szCs w:val="14"/>
              </w:rPr>
            </w:pPr>
            <w:r w:rsidRPr="000E5DBF">
              <w:rPr>
                <w:color w:val="000000"/>
                <w:sz w:val="14"/>
                <w:szCs w:val="14"/>
              </w:rPr>
              <w:t>0,00</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9D635F4" w14:textId="77777777" w:rsidR="00F22587" w:rsidRPr="000E5DBF" w:rsidRDefault="00F22587" w:rsidP="008A5C11">
            <w:pPr>
              <w:jc w:val="center"/>
              <w:rPr>
                <w:color w:val="000000"/>
                <w:sz w:val="14"/>
                <w:szCs w:val="14"/>
              </w:rPr>
            </w:pPr>
            <w:r w:rsidRPr="000E5DBF">
              <w:rPr>
                <w:color w:val="000000"/>
                <w:sz w:val="14"/>
                <w:szCs w:val="14"/>
              </w:rPr>
              <w:t>0,00</w:t>
            </w:r>
          </w:p>
        </w:tc>
      </w:tr>
      <w:tr w:rsidR="00F22587" w:rsidRPr="000E5DBF" w14:paraId="249CB995" w14:textId="77777777" w:rsidTr="008A5C11">
        <w:trPr>
          <w:trHeight w:val="315"/>
        </w:trPr>
        <w:tc>
          <w:tcPr>
            <w:tcW w:w="15993" w:type="dxa"/>
            <w:gridSpan w:val="30"/>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7D5E457D" w14:textId="77777777" w:rsidR="00F22587" w:rsidRPr="000E5DBF" w:rsidRDefault="00F22587" w:rsidP="008A5C11">
            <w:pPr>
              <w:rPr>
                <w:color w:val="000000"/>
                <w:sz w:val="14"/>
                <w:szCs w:val="14"/>
              </w:rPr>
            </w:pPr>
            <w:r w:rsidRPr="000E5DBF">
              <w:rPr>
                <w:color w:val="000000"/>
                <w:sz w:val="14"/>
                <w:szCs w:val="14"/>
              </w:rPr>
              <w:t>3.2. Реконструкция или модернизация существующих объектов системы централизованного теплоснабжения, за исключением тепловых сетей</w:t>
            </w:r>
          </w:p>
        </w:tc>
      </w:tr>
      <w:tr w:rsidR="00F22587" w:rsidRPr="000E5DBF" w14:paraId="5C3B4B10" w14:textId="77777777" w:rsidTr="008A5C11">
        <w:trPr>
          <w:cantSplit/>
          <w:trHeight w:val="1096"/>
        </w:trPr>
        <w:tc>
          <w:tcPr>
            <w:tcW w:w="408"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2B8855A2" w14:textId="77777777" w:rsidR="00F22587" w:rsidRPr="000E5DBF" w:rsidRDefault="00F22587" w:rsidP="008A5C11">
            <w:pPr>
              <w:jc w:val="center"/>
              <w:rPr>
                <w:color w:val="000000"/>
                <w:sz w:val="14"/>
                <w:szCs w:val="14"/>
              </w:rPr>
            </w:pPr>
            <w:r w:rsidRPr="000E5DBF">
              <w:rPr>
                <w:color w:val="000000"/>
                <w:sz w:val="14"/>
                <w:szCs w:val="14"/>
              </w:rPr>
              <w:t>3.2.1.</w:t>
            </w:r>
          </w:p>
        </w:tc>
        <w:tc>
          <w:tcPr>
            <w:tcW w:w="1434" w:type="dxa"/>
            <w:tcBorders>
              <w:top w:val="nil"/>
              <w:left w:val="nil"/>
              <w:bottom w:val="single" w:sz="4" w:space="0" w:color="auto"/>
              <w:right w:val="single" w:sz="4" w:space="0" w:color="auto"/>
            </w:tcBorders>
            <w:shd w:val="clear" w:color="auto" w:fill="auto"/>
            <w:tcMar>
              <w:left w:w="0" w:type="dxa"/>
              <w:right w:w="0" w:type="dxa"/>
            </w:tcMar>
            <w:vAlign w:val="center"/>
          </w:tcPr>
          <w:p w14:paraId="2849ECCA" w14:textId="77777777" w:rsidR="00F22587" w:rsidRPr="000E5DBF" w:rsidRDefault="00F22587" w:rsidP="008A5C11">
            <w:pPr>
              <w:jc w:val="center"/>
              <w:rPr>
                <w:color w:val="000000"/>
                <w:sz w:val="14"/>
                <w:szCs w:val="14"/>
              </w:rPr>
            </w:pPr>
            <w:r w:rsidRPr="000E5DBF">
              <w:rPr>
                <w:color w:val="000000"/>
                <w:sz w:val="14"/>
                <w:szCs w:val="14"/>
              </w:rPr>
              <w:t>Замена насосов 1-го контура Д 200-90Б на насосы BL 100/305-18,5/4 в котельной Горновского района №3,4</w:t>
            </w:r>
          </w:p>
        </w:tc>
        <w:tc>
          <w:tcPr>
            <w:tcW w:w="971" w:type="dxa"/>
            <w:tcBorders>
              <w:top w:val="nil"/>
              <w:left w:val="nil"/>
              <w:bottom w:val="single" w:sz="4" w:space="0" w:color="auto"/>
              <w:right w:val="single" w:sz="4" w:space="0" w:color="auto"/>
            </w:tcBorders>
            <w:shd w:val="clear" w:color="auto" w:fill="auto"/>
            <w:tcMar>
              <w:left w:w="0" w:type="dxa"/>
              <w:right w:w="0" w:type="dxa"/>
            </w:tcMar>
            <w:vAlign w:val="center"/>
          </w:tcPr>
          <w:p w14:paraId="370DB90E" w14:textId="77777777" w:rsidR="00F22587" w:rsidRPr="000E5DBF" w:rsidRDefault="00F22587" w:rsidP="008A5C11">
            <w:pPr>
              <w:jc w:val="center"/>
              <w:rPr>
                <w:color w:val="000000"/>
                <w:sz w:val="14"/>
                <w:szCs w:val="14"/>
              </w:rPr>
            </w:pPr>
            <w:r w:rsidRPr="000E5DBF">
              <w:rPr>
                <w:bCs/>
                <w:sz w:val="14"/>
                <w:szCs w:val="14"/>
              </w:rPr>
              <w:t>Модернизация</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tcPr>
          <w:p w14:paraId="2481265A" w14:textId="77777777" w:rsidR="00F22587" w:rsidRPr="000E5DBF" w:rsidRDefault="00F22587" w:rsidP="008A5C11">
            <w:pPr>
              <w:jc w:val="center"/>
              <w:rPr>
                <w:color w:val="000000"/>
                <w:sz w:val="14"/>
                <w:szCs w:val="14"/>
              </w:rPr>
            </w:pPr>
            <w:r w:rsidRPr="000E5DBF">
              <w:rPr>
                <w:bCs/>
                <w:sz w:val="14"/>
                <w:szCs w:val="14"/>
              </w:rPr>
              <w:t>ул. Вокзальная, 11а</w:t>
            </w:r>
          </w:p>
        </w:tc>
        <w:tc>
          <w:tcPr>
            <w:tcW w:w="991" w:type="dxa"/>
            <w:tcBorders>
              <w:top w:val="nil"/>
              <w:left w:val="nil"/>
              <w:bottom w:val="single" w:sz="4" w:space="0" w:color="auto"/>
              <w:right w:val="single" w:sz="4" w:space="0" w:color="auto"/>
            </w:tcBorders>
            <w:shd w:val="clear" w:color="auto" w:fill="auto"/>
            <w:tcMar>
              <w:left w:w="0" w:type="dxa"/>
              <w:right w:w="0" w:type="dxa"/>
            </w:tcMar>
            <w:vAlign w:val="center"/>
          </w:tcPr>
          <w:p w14:paraId="09A9237D" w14:textId="77777777" w:rsidR="00F22587" w:rsidRPr="000E5DBF" w:rsidRDefault="00F22587" w:rsidP="008A5C11">
            <w:pPr>
              <w:jc w:val="center"/>
              <w:rPr>
                <w:color w:val="000000"/>
                <w:sz w:val="14"/>
                <w:szCs w:val="14"/>
              </w:rPr>
            </w:pPr>
            <w:proofErr w:type="gramStart"/>
            <w:r w:rsidRPr="000E5DBF">
              <w:rPr>
                <w:color w:val="000000"/>
                <w:sz w:val="14"/>
                <w:szCs w:val="14"/>
              </w:rPr>
              <w:t>производитель-ность</w:t>
            </w:r>
            <w:proofErr w:type="gramEnd"/>
          </w:p>
        </w:tc>
        <w:tc>
          <w:tcPr>
            <w:tcW w:w="426" w:type="dxa"/>
            <w:tcBorders>
              <w:top w:val="nil"/>
              <w:left w:val="nil"/>
              <w:bottom w:val="single" w:sz="4" w:space="0" w:color="auto"/>
              <w:right w:val="single" w:sz="4" w:space="0" w:color="auto"/>
            </w:tcBorders>
            <w:shd w:val="clear" w:color="auto" w:fill="auto"/>
            <w:tcMar>
              <w:left w:w="0" w:type="dxa"/>
              <w:right w:w="0" w:type="dxa"/>
            </w:tcMar>
            <w:vAlign w:val="center"/>
          </w:tcPr>
          <w:p w14:paraId="38C32F41" w14:textId="77777777" w:rsidR="00F22587" w:rsidRPr="000E5DBF" w:rsidRDefault="00F22587" w:rsidP="008A5C11">
            <w:pPr>
              <w:jc w:val="center"/>
              <w:rPr>
                <w:color w:val="000000"/>
                <w:sz w:val="14"/>
                <w:szCs w:val="14"/>
              </w:rPr>
            </w:pPr>
            <w:r w:rsidRPr="000E5DBF">
              <w:rPr>
                <w:color w:val="000000"/>
                <w:sz w:val="14"/>
                <w:szCs w:val="14"/>
              </w:rPr>
              <w:t>м</w:t>
            </w:r>
            <w:r w:rsidRPr="000E5DBF">
              <w:rPr>
                <w:color w:val="000000"/>
                <w:sz w:val="14"/>
                <w:szCs w:val="14"/>
                <w:vertAlign w:val="superscript"/>
              </w:rPr>
              <w:t>3</w:t>
            </w:r>
            <w:r w:rsidRPr="000E5DBF">
              <w:rPr>
                <w:color w:val="000000"/>
                <w:sz w:val="14"/>
                <w:szCs w:val="14"/>
              </w:rPr>
              <w:t>/ч</w:t>
            </w:r>
          </w:p>
        </w:tc>
        <w:tc>
          <w:tcPr>
            <w:tcW w:w="713" w:type="dxa"/>
            <w:tcBorders>
              <w:top w:val="nil"/>
              <w:left w:val="nil"/>
              <w:bottom w:val="single" w:sz="4" w:space="0" w:color="auto"/>
              <w:right w:val="single" w:sz="4" w:space="0" w:color="auto"/>
            </w:tcBorders>
            <w:shd w:val="clear" w:color="auto" w:fill="auto"/>
            <w:tcMar>
              <w:left w:w="0" w:type="dxa"/>
              <w:right w:w="0" w:type="dxa"/>
            </w:tcMar>
            <w:vAlign w:val="center"/>
          </w:tcPr>
          <w:p w14:paraId="32F896F9" w14:textId="77777777" w:rsidR="00F22587" w:rsidRPr="000E5DBF" w:rsidRDefault="00F22587" w:rsidP="008A5C11">
            <w:pPr>
              <w:jc w:val="center"/>
              <w:rPr>
                <w:color w:val="000000"/>
                <w:sz w:val="14"/>
                <w:szCs w:val="14"/>
              </w:rPr>
            </w:pPr>
            <w:r w:rsidRPr="000E5DBF">
              <w:rPr>
                <w:color w:val="000000"/>
                <w:sz w:val="14"/>
                <w:szCs w:val="14"/>
              </w:rPr>
              <w:t>160</w:t>
            </w:r>
          </w:p>
        </w:tc>
        <w:tc>
          <w:tcPr>
            <w:tcW w:w="717" w:type="dxa"/>
            <w:tcBorders>
              <w:top w:val="nil"/>
              <w:left w:val="nil"/>
              <w:bottom w:val="single" w:sz="4" w:space="0" w:color="auto"/>
              <w:right w:val="single" w:sz="4" w:space="0" w:color="auto"/>
            </w:tcBorders>
            <w:shd w:val="clear" w:color="auto" w:fill="auto"/>
            <w:tcMar>
              <w:left w:w="0" w:type="dxa"/>
              <w:right w:w="0" w:type="dxa"/>
            </w:tcMar>
            <w:vAlign w:val="center"/>
          </w:tcPr>
          <w:p w14:paraId="05C49771" w14:textId="77777777" w:rsidR="00F22587" w:rsidRPr="000E5DBF" w:rsidRDefault="00F22587" w:rsidP="008A5C11">
            <w:pPr>
              <w:jc w:val="center"/>
              <w:rPr>
                <w:color w:val="000000"/>
                <w:sz w:val="14"/>
                <w:szCs w:val="14"/>
              </w:rPr>
            </w:pPr>
            <w:r w:rsidRPr="000E5DBF">
              <w:rPr>
                <w:color w:val="000000"/>
                <w:sz w:val="14"/>
                <w:szCs w:val="14"/>
              </w:rPr>
              <w:t>179</w:t>
            </w:r>
          </w:p>
        </w:tc>
        <w:tc>
          <w:tcPr>
            <w:tcW w:w="425" w:type="dxa"/>
            <w:gridSpan w:val="2"/>
            <w:tcBorders>
              <w:top w:val="nil"/>
              <w:left w:val="nil"/>
              <w:bottom w:val="single" w:sz="4" w:space="0" w:color="auto"/>
              <w:right w:val="single" w:sz="4" w:space="0" w:color="auto"/>
            </w:tcBorders>
            <w:shd w:val="clear" w:color="auto" w:fill="auto"/>
            <w:tcMar>
              <w:left w:w="0" w:type="dxa"/>
              <w:right w:w="0" w:type="dxa"/>
            </w:tcMar>
            <w:vAlign w:val="center"/>
          </w:tcPr>
          <w:p w14:paraId="61F27A61" w14:textId="77777777" w:rsidR="00F22587" w:rsidRPr="000E5DBF" w:rsidRDefault="00F22587" w:rsidP="008A5C11">
            <w:pPr>
              <w:jc w:val="center"/>
              <w:rPr>
                <w:color w:val="000000"/>
                <w:sz w:val="14"/>
                <w:szCs w:val="14"/>
              </w:rPr>
            </w:pPr>
            <w:r w:rsidRPr="000E5DBF">
              <w:rPr>
                <w:color w:val="000000"/>
                <w:sz w:val="14"/>
                <w:szCs w:val="14"/>
              </w:rPr>
              <w:t>2019</w:t>
            </w:r>
          </w:p>
        </w:tc>
        <w:tc>
          <w:tcPr>
            <w:tcW w:w="413" w:type="dxa"/>
            <w:tcBorders>
              <w:top w:val="nil"/>
              <w:left w:val="nil"/>
              <w:bottom w:val="single" w:sz="4" w:space="0" w:color="auto"/>
              <w:right w:val="single" w:sz="4" w:space="0" w:color="auto"/>
            </w:tcBorders>
            <w:shd w:val="clear" w:color="auto" w:fill="auto"/>
            <w:tcMar>
              <w:left w:w="0" w:type="dxa"/>
              <w:right w:w="0" w:type="dxa"/>
            </w:tcMar>
            <w:vAlign w:val="center"/>
          </w:tcPr>
          <w:p w14:paraId="2E4DBB26" w14:textId="77777777" w:rsidR="00F22587" w:rsidRPr="000E5DBF" w:rsidRDefault="00F22587" w:rsidP="008A5C11">
            <w:pPr>
              <w:jc w:val="center"/>
              <w:rPr>
                <w:color w:val="000000"/>
                <w:sz w:val="14"/>
                <w:szCs w:val="14"/>
              </w:rPr>
            </w:pPr>
            <w:r w:rsidRPr="000E5DBF">
              <w:rPr>
                <w:color w:val="000000"/>
                <w:sz w:val="14"/>
                <w:szCs w:val="14"/>
              </w:rPr>
              <w:t>2019</w:t>
            </w:r>
          </w:p>
        </w:tc>
        <w:tc>
          <w:tcPr>
            <w:tcW w:w="568" w:type="dxa"/>
            <w:tcBorders>
              <w:top w:val="nil"/>
              <w:left w:val="nil"/>
              <w:bottom w:val="single" w:sz="4" w:space="0" w:color="auto"/>
              <w:right w:val="single" w:sz="4" w:space="0" w:color="auto"/>
            </w:tcBorders>
            <w:shd w:val="clear" w:color="auto" w:fill="auto"/>
            <w:tcMar>
              <w:left w:w="0" w:type="dxa"/>
              <w:right w:w="0" w:type="dxa"/>
            </w:tcMar>
            <w:vAlign w:val="center"/>
          </w:tcPr>
          <w:p w14:paraId="77116776" w14:textId="77777777" w:rsidR="00F22587" w:rsidRPr="000E5DBF" w:rsidRDefault="00F22587" w:rsidP="008A5C11">
            <w:pPr>
              <w:jc w:val="center"/>
              <w:rPr>
                <w:color w:val="000000"/>
                <w:sz w:val="14"/>
                <w:szCs w:val="14"/>
              </w:rPr>
            </w:pPr>
            <w:r w:rsidRPr="000E5DBF">
              <w:rPr>
                <w:color w:val="000000"/>
                <w:sz w:val="14"/>
                <w:szCs w:val="14"/>
              </w:rPr>
              <w:t>461,51</w:t>
            </w:r>
          </w:p>
        </w:tc>
        <w:tc>
          <w:tcPr>
            <w:tcW w:w="443" w:type="dxa"/>
            <w:gridSpan w:val="2"/>
            <w:tcBorders>
              <w:top w:val="nil"/>
              <w:left w:val="nil"/>
              <w:bottom w:val="single" w:sz="4" w:space="0" w:color="auto"/>
              <w:right w:val="single" w:sz="4" w:space="0" w:color="auto"/>
            </w:tcBorders>
            <w:shd w:val="clear" w:color="auto" w:fill="auto"/>
            <w:tcMar>
              <w:left w:w="0" w:type="dxa"/>
              <w:right w:w="0" w:type="dxa"/>
            </w:tcMar>
            <w:vAlign w:val="center"/>
          </w:tcPr>
          <w:p w14:paraId="71BAFEB8" w14:textId="77777777" w:rsidR="00F22587" w:rsidRPr="000E5DBF" w:rsidRDefault="00F22587" w:rsidP="008A5C11">
            <w:pPr>
              <w:jc w:val="center"/>
              <w:rPr>
                <w:color w:val="000000"/>
                <w:sz w:val="14"/>
                <w:szCs w:val="14"/>
              </w:rPr>
            </w:pPr>
            <w:r w:rsidRPr="000E5DBF">
              <w:rPr>
                <w:color w:val="000000"/>
                <w:sz w:val="14"/>
                <w:szCs w:val="14"/>
              </w:rPr>
              <w:t>0,00</w:t>
            </w:r>
          </w:p>
        </w:tc>
        <w:tc>
          <w:tcPr>
            <w:tcW w:w="554" w:type="dxa"/>
            <w:tcBorders>
              <w:top w:val="nil"/>
              <w:left w:val="nil"/>
              <w:bottom w:val="single" w:sz="4" w:space="0" w:color="auto"/>
              <w:right w:val="single" w:sz="4" w:space="0" w:color="auto"/>
            </w:tcBorders>
            <w:shd w:val="clear" w:color="000000" w:fill="FFFFFF"/>
            <w:tcMar>
              <w:left w:w="0" w:type="dxa"/>
              <w:right w:w="0" w:type="dxa"/>
            </w:tcMar>
            <w:vAlign w:val="center"/>
          </w:tcPr>
          <w:p w14:paraId="2DCAC591" w14:textId="77777777" w:rsidR="00F22587" w:rsidRPr="000E5DBF" w:rsidRDefault="00F22587" w:rsidP="008A5C11">
            <w:pPr>
              <w:jc w:val="center"/>
              <w:rPr>
                <w:color w:val="000000"/>
                <w:sz w:val="14"/>
                <w:szCs w:val="14"/>
              </w:rPr>
            </w:pPr>
            <w:r w:rsidRPr="000E5DBF">
              <w:rPr>
                <w:color w:val="000000"/>
                <w:sz w:val="14"/>
                <w:szCs w:val="14"/>
              </w:rPr>
              <w:t>461,51</w:t>
            </w:r>
          </w:p>
        </w:tc>
        <w:tc>
          <w:tcPr>
            <w:tcW w:w="567" w:type="dxa"/>
            <w:tcBorders>
              <w:top w:val="nil"/>
              <w:left w:val="nil"/>
              <w:bottom w:val="single" w:sz="4" w:space="0" w:color="auto"/>
              <w:right w:val="single" w:sz="4" w:space="0" w:color="auto"/>
            </w:tcBorders>
            <w:shd w:val="clear" w:color="auto" w:fill="auto"/>
            <w:tcMar>
              <w:left w:w="0" w:type="dxa"/>
              <w:right w:w="0" w:type="dxa"/>
            </w:tcMar>
            <w:vAlign w:val="center"/>
          </w:tcPr>
          <w:p w14:paraId="570A14BB" w14:textId="77777777" w:rsidR="00F22587" w:rsidRPr="000E5DBF" w:rsidRDefault="00F22587" w:rsidP="008A5C11">
            <w:pPr>
              <w:jc w:val="center"/>
              <w:rPr>
                <w:color w:val="000000"/>
                <w:sz w:val="14"/>
                <w:szCs w:val="14"/>
              </w:rPr>
            </w:pPr>
            <w:r w:rsidRPr="000E5DBF">
              <w:rPr>
                <w:color w:val="000000"/>
                <w:sz w:val="14"/>
                <w:szCs w:val="14"/>
              </w:rPr>
              <w:t>0,00</w:t>
            </w:r>
          </w:p>
        </w:tc>
        <w:tc>
          <w:tcPr>
            <w:tcW w:w="567" w:type="dxa"/>
            <w:tcBorders>
              <w:top w:val="nil"/>
              <w:left w:val="nil"/>
              <w:bottom w:val="single" w:sz="4" w:space="0" w:color="auto"/>
              <w:right w:val="single" w:sz="4" w:space="0" w:color="auto"/>
            </w:tcBorders>
            <w:shd w:val="clear" w:color="auto" w:fill="auto"/>
            <w:tcMar>
              <w:left w:w="0" w:type="dxa"/>
              <w:right w:w="0" w:type="dxa"/>
            </w:tcMar>
            <w:vAlign w:val="center"/>
          </w:tcPr>
          <w:p w14:paraId="38CA2798" w14:textId="77777777" w:rsidR="00F22587" w:rsidRPr="000E5DBF" w:rsidRDefault="00F22587" w:rsidP="008A5C11">
            <w:pPr>
              <w:jc w:val="center"/>
              <w:rPr>
                <w:color w:val="000000"/>
                <w:sz w:val="14"/>
                <w:szCs w:val="14"/>
              </w:rPr>
            </w:pPr>
            <w:r w:rsidRPr="000E5DBF">
              <w:rPr>
                <w:color w:val="000000"/>
                <w:sz w:val="14"/>
                <w:szCs w:val="14"/>
              </w:rPr>
              <w:t>0,00</w:t>
            </w:r>
          </w:p>
        </w:tc>
        <w:tc>
          <w:tcPr>
            <w:tcW w:w="561" w:type="dxa"/>
            <w:tcBorders>
              <w:top w:val="nil"/>
              <w:left w:val="nil"/>
              <w:bottom w:val="single" w:sz="4" w:space="0" w:color="auto"/>
              <w:right w:val="single" w:sz="4" w:space="0" w:color="auto"/>
            </w:tcBorders>
            <w:shd w:val="clear" w:color="auto" w:fill="auto"/>
            <w:tcMar>
              <w:left w:w="0" w:type="dxa"/>
              <w:right w:w="0" w:type="dxa"/>
            </w:tcMar>
            <w:vAlign w:val="center"/>
          </w:tcPr>
          <w:p w14:paraId="3E5DCE02" w14:textId="77777777" w:rsidR="00F22587" w:rsidRPr="000E5DBF" w:rsidRDefault="00F22587" w:rsidP="008A5C11">
            <w:pPr>
              <w:jc w:val="center"/>
              <w:rPr>
                <w:color w:val="000000"/>
                <w:sz w:val="14"/>
                <w:szCs w:val="14"/>
              </w:rPr>
            </w:pPr>
            <w:r w:rsidRPr="000E5DBF">
              <w:rPr>
                <w:color w:val="000000"/>
                <w:sz w:val="14"/>
                <w:szCs w:val="14"/>
              </w:rPr>
              <w:t>0,00</w:t>
            </w:r>
          </w:p>
        </w:tc>
        <w:tc>
          <w:tcPr>
            <w:tcW w:w="560" w:type="dxa"/>
            <w:tcBorders>
              <w:top w:val="nil"/>
              <w:left w:val="nil"/>
              <w:bottom w:val="single" w:sz="4" w:space="0" w:color="auto"/>
              <w:right w:val="single" w:sz="4" w:space="0" w:color="auto"/>
            </w:tcBorders>
            <w:shd w:val="clear" w:color="auto" w:fill="auto"/>
            <w:tcMar>
              <w:left w:w="0" w:type="dxa"/>
              <w:right w:w="0" w:type="dxa"/>
            </w:tcMar>
            <w:vAlign w:val="center"/>
          </w:tcPr>
          <w:p w14:paraId="2FB4E9C3" w14:textId="77777777" w:rsidR="00F22587" w:rsidRPr="000E5DBF" w:rsidRDefault="00F22587" w:rsidP="008A5C11">
            <w:pPr>
              <w:jc w:val="center"/>
              <w:rPr>
                <w:color w:val="000000"/>
                <w:sz w:val="14"/>
                <w:szCs w:val="14"/>
              </w:rPr>
            </w:pPr>
            <w:r w:rsidRPr="000E5DBF">
              <w:rPr>
                <w:color w:val="000000"/>
                <w:sz w:val="14"/>
                <w:szCs w:val="14"/>
              </w:rPr>
              <w:t>0,00</w:t>
            </w:r>
          </w:p>
        </w:tc>
        <w:tc>
          <w:tcPr>
            <w:tcW w:w="569" w:type="dxa"/>
            <w:tcBorders>
              <w:top w:val="nil"/>
              <w:left w:val="nil"/>
              <w:bottom w:val="single" w:sz="4" w:space="0" w:color="auto"/>
              <w:right w:val="single" w:sz="4" w:space="0" w:color="auto"/>
            </w:tcBorders>
            <w:shd w:val="clear" w:color="auto" w:fill="auto"/>
            <w:tcMar>
              <w:left w:w="0" w:type="dxa"/>
              <w:right w:w="0" w:type="dxa"/>
            </w:tcMar>
            <w:vAlign w:val="center"/>
          </w:tcPr>
          <w:p w14:paraId="4A7898CF" w14:textId="77777777" w:rsidR="00F22587" w:rsidRPr="000E5DBF" w:rsidRDefault="00F22587" w:rsidP="008A5C11">
            <w:pPr>
              <w:jc w:val="center"/>
              <w:rPr>
                <w:color w:val="000000"/>
                <w:sz w:val="14"/>
                <w:szCs w:val="14"/>
              </w:rPr>
            </w:pPr>
            <w:r w:rsidRPr="000E5DBF">
              <w:rPr>
                <w:color w:val="000000"/>
                <w:sz w:val="14"/>
                <w:szCs w:val="14"/>
              </w:rPr>
              <w:t>0,00</w:t>
            </w:r>
          </w:p>
        </w:tc>
        <w:tc>
          <w:tcPr>
            <w:tcW w:w="567" w:type="dxa"/>
            <w:gridSpan w:val="2"/>
            <w:tcBorders>
              <w:top w:val="nil"/>
              <w:left w:val="nil"/>
              <w:bottom w:val="single" w:sz="4" w:space="0" w:color="auto"/>
              <w:right w:val="single" w:sz="4" w:space="0" w:color="auto"/>
            </w:tcBorders>
            <w:shd w:val="clear" w:color="auto" w:fill="auto"/>
            <w:tcMar>
              <w:left w:w="0" w:type="dxa"/>
              <w:right w:w="0" w:type="dxa"/>
            </w:tcMar>
            <w:vAlign w:val="center"/>
          </w:tcPr>
          <w:p w14:paraId="0F8B152B" w14:textId="77777777" w:rsidR="00F22587" w:rsidRPr="000E5DBF" w:rsidRDefault="00F22587" w:rsidP="008A5C11">
            <w:pPr>
              <w:jc w:val="center"/>
              <w:rPr>
                <w:color w:val="000000"/>
                <w:sz w:val="14"/>
                <w:szCs w:val="14"/>
              </w:rPr>
            </w:pPr>
            <w:r w:rsidRPr="000E5DBF">
              <w:rPr>
                <w:color w:val="000000"/>
                <w:sz w:val="14"/>
                <w:szCs w:val="14"/>
              </w:rPr>
              <w:t>0,00</w:t>
            </w:r>
          </w:p>
        </w:tc>
        <w:tc>
          <w:tcPr>
            <w:tcW w:w="565" w:type="dxa"/>
            <w:tcBorders>
              <w:top w:val="nil"/>
              <w:left w:val="nil"/>
              <w:bottom w:val="single" w:sz="4" w:space="0" w:color="auto"/>
              <w:right w:val="single" w:sz="4" w:space="0" w:color="auto"/>
            </w:tcBorders>
            <w:shd w:val="clear" w:color="auto" w:fill="auto"/>
            <w:tcMar>
              <w:left w:w="0" w:type="dxa"/>
              <w:right w:w="0" w:type="dxa"/>
            </w:tcMar>
            <w:vAlign w:val="center"/>
          </w:tcPr>
          <w:p w14:paraId="65B7CF89" w14:textId="77777777" w:rsidR="00F22587" w:rsidRPr="000E5DBF" w:rsidRDefault="00F22587" w:rsidP="008A5C11">
            <w:pPr>
              <w:jc w:val="center"/>
              <w:rPr>
                <w:color w:val="000000"/>
                <w:sz w:val="14"/>
                <w:szCs w:val="14"/>
              </w:rPr>
            </w:pPr>
            <w:r w:rsidRPr="000E5DBF">
              <w:rPr>
                <w:color w:val="000000"/>
                <w:sz w:val="14"/>
                <w:szCs w:val="14"/>
              </w:rPr>
              <w:t>0,00</w:t>
            </w:r>
          </w:p>
        </w:tc>
        <w:tc>
          <w:tcPr>
            <w:tcW w:w="567" w:type="dxa"/>
            <w:tcBorders>
              <w:top w:val="nil"/>
              <w:left w:val="nil"/>
              <w:bottom w:val="single" w:sz="4" w:space="0" w:color="auto"/>
              <w:right w:val="single" w:sz="4" w:space="0" w:color="auto"/>
            </w:tcBorders>
            <w:shd w:val="clear" w:color="auto" w:fill="auto"/>
            <w:tcMar>
              <w:left w:w="0" w:type="dxa"/>
              <w:right w:w="0" w:type="dxa"/>
            </w:tcMar>
            <w:vAlign w:val="center"/>
          </w:tcPr>
          <w:p w14:paraId="57A1AE75" w14:textId="77777777" w:rsidR="00F22587" w:rsidRPr="000E5DBF" w:rsidRDefault="00F22587" w:rsidP="008A5C11">
            <w:pPr>
              <w:jc w:val="center"/>
              <w:rPr>
                <w:color w:val="000000"/>
                <w:sz w:val="14"/>
                <w:szCs w:val="14"/>
              </w:rPr>
            </w:pPr>
            <w:r w:rsidRPr="000E5DBF">
              <w:rPr>
                <w:color w:val="000000"/>
                <w:sz w:val="14"/>
                <w:szCs w:val="14"/>
              </w:rPr>
              <w:t>0,00</w:t>
            </w:r>
          </w:p>
        </w:tc>
        <w:tc>
          <w:tcPr>
            <w:tcW w:w="568" w:type="dxa"/>
            <w:tcBorders>
              <w:top w:val="nil"/>
              <w:left w:val="nil"/>
              <w:bottom w:val="single" w:sz="4" w:space="0" w:color="auto"/>
              <w:right w:val="single" w:sz="4" w:space="0" w:color="auto"/>
            </w:tcBorders>
            <w:shd w:val="clear" w:color="auto" w:fill="auto"/>
            <w:tcMar>
              <w:left w:w="0" w:type="dxa"/>
              <w:right w:w="0" w:type="dxa"/>
            </w:tcMar>
            <w:vAlign w:val="center"/>
          </w:tcPr>
          <w:p w14:paraId="70AEA9B9" w14:textId="77777777" w:rsidR="00F22587" w:rsidRPr="000E5DBF" w:rsidRDefault="00F22587" w:rsidP="008A5C11">
            <w:pPr>
              <w:jc w:val="center"/>
              <w:rPr>
                <w:color w:val="000000"/>
                <w:sz w:val="14"/>
                <w:szCs w:val="14"/>
              </w:rPr>
            </w:pPr>
            <w:r w:rsidRPr="000E5DBF">
              <w:rPr>
                <w:color w:val="000000"/>
                <w:sz w:val="14"/>
                <w:szCs w:val="14"/>
              </w:rPr>
              <w:t>0,00</w:t>
            </w:r>
          </w:p>
        </w:tc>
        <w:tc>
          <w:tcPr>
            <w:tcW w:w="569" w:type="dxa"/>
            <w:tcBorders>
              <w:top w:val="nil"/>
              <w:left w:val="nil"/>
              <w:bottom w:val="single" w:sz="4" w:space="0" w:color="auto"/>
              <w:right w:val="single" w:sz="4" w:space="0" w:color="auto"/>
            </w:tcBorders>
            <w:shd w:val="clear" w:color="auto" w:fill="auto"/>
            <w:tcMar>
              <w:left w:w="0" w:type="dxa"/>
              <w:right w:w="0" w:type="dxa"/>
            </w:tcMar>
            <w:vAlign w:val="center"/>
          </w:tcPr>
          <w:p w14:paraId="77B21BA2" w14:textId="77777777" w:rsidR="00F22587" w:rsidRPr="000E5DBF" w:rsidRDefault="00F22587" w:rsidP="008A5C11">
            <w:pPr>
              <w:jc w:val="center"/>
              <w:rPr>
                <w:color w:val="000000"/>
                <w:sz w:val="14"/>
                <w:szCs w:val="14"/>
              </w:rPr>
            </w:pPr>
            <w:r w:rsidRPr="000E5DBF">
              <w:rPr>
                <w:color w:val="000000"/>
                <w:sz w:val="14"/>
                <w:szCs w:val="14"/>
              </w:rPr>
              <w:t>0,00</w:t>
            </w:r>
          </w:p>
        </w:tc>
        <w:tc>
          <w:tcPr>
            <w:tcW w:w="562" w:type="dxa"/>
            <w:tcBorders>
              <w:top w:val="nil"/>
              <w:left w:val="nil"/>
              <w:bottom w:val="single" w:sz="4" w:space="0" w:color="auto"/>
              <w:right w:val="single" w:sz="4" w:space="0" w:color="auto"/>
            </w:tcBorders>
            <w:shd w:val="clear" w:color="auto" w:fill="auto"/>
            <w:tcMar>
              <w:left w:w="0" w:type="dxa"/>
              <w:right w:w="0" w:type="dxa"/>
            </w:tcMar>
            <w:vAlign w:val="center"/>
          </w:tcPr>
          <w:p w14:paraId="06DB18C1" w14:textId="77777777" w:rsidR="00F22587" w:rsidRPr="000E5DBF" w:rsidRDefault="00F22587" w:rsidP="008A5C11">
            <w:pPr>
              <w:jc w:val="center"/>
              <w:rPr>
                <w:color w:val="000000"/>
                <w:sz w:val="14"/>
                <w:szCs w:val="14"/>
              </w:rPr>
            </w:pPr>
            <w:r w:rsidRPr="000E5DBF">
              <w:rPr>
                <w:color w:val="000000"/>
                <w:sz w:val="14"/>
                <w:szCs w:val="14"/>
              </w:rPr>
              <w:t>0,00</w:t>
            </w:r>
          </w:p>
        </w:tc>
        <w:tc>
          <w:tcPr>
            <w:tcW w:w="290" w:type="dxa"/>
            <w:tcBorders>
              <w:top w:val="nil"/>
              <w:left w:val="nil"/>
              <w:bottom w:val="single" w:sz="4" w:space="0" w:color="auto"/>
              <w:right w:val="single" w:sz="4" w:space="0" w:color="auto"/>
            </w:tcBorders>
            <w:shd w:val="clear" w:color="auto" w:fill="auto"/>
            <w:tcMar>
              <w:left w:w="0" w:type="dxa"/>
              <w:right w:w="0" w:type="dxa"/>
            </w:tcMar>
            <w:vAlign w:val="center"/>
          </w:tcPr>
          <w:p w14:paraId="1E51642E" w14:textId="77777777" w:rsidR="00F22587" w:rsidRPr="000E5DBF" w:rsidRDefault="00F22587" w:rsidP="008A5C11">
            <w:pPr>
              <w:jc w:val="center"/>
              <w:rPr>
                <w:color w:val="000000"/>
                <w:sz w:val="14"/>
                <w:szCs w:val="14"/>
              </w:rPr>
            </w:pPr>
            <w:r w:rsidRPr="000E5DBF">
              <w:rPr>
                <w:color w:val="000000"/>
                <w:sz w:val="14"/>
                <w:szCs w:val="14"/>
              </w:rPr>
              <w:t>0,00</w:t>
            </w:r>
          </w:p>
        </w:tc>
        <w:tc>
          <w:tcPr>
            <w:tcW w:w="425" w:type="dxa"/>
            <w:gridSpan w:val="2"/>
            <w:tcBorders>
              <w:top w:val="nil"/>
              <w:left w:val="nil"/>
              <w:bottom w:val="single" w:sz="4" w:space="0" w:color="auto"/>
              <w:right w:val="single" w:sz="4" w:space="0" w:color="auto"/>
            </w:tcBorders>
            <w:shd w:val="clear" w:color="auto" w:fill="auto"/>
            <w:tcMar>
              <w:left w:w="0" w:type="dxa"/>
              <w:right w:w="0" w:type="dxa"/>
            </w:tcMar>
            <w:vAlign w:val="center"/>
          </w:tcPr>
          <w:p w14:paraId="337CF7CD" w14:textId="77777777" w:rsidR="00F22587" w:rsidRPr="000E5DBF" w:rsidRDefault="00F22587" w:rsidP="008A5C11">
            <w:pPr>
              <w:jc w:val="center"/>
              <w:rPr>
                <w:color w:val="000000"/>
                <w:sz w:val="14"/>
                <w:szCs w:val="14"/>
              </w:rPr>
            </w:pPr>
            <w:r w:rsidRPr="000E5DBF">
              <w:rPr>
                <w:color w:val="000000"/>
                <w:sz w:val="14"/>
                <w:szCs w:val="14"/>
              </w:rPr>
              <w:t>0,00</w:t>
            </w:r>
          </w:p>
        </w:tc>
      </w:tr>
      <w:tr w:rsidR="00F22587" w:rsidRPr="000E5DBF" w14:paraId="2D9C469B" w14:textId="77777777" w:rsidTr="008A5C11">
        <w:trPr>
          <w:cantSplit/>
          <w:trHeight w:val="826"/>
        </w:trPr>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69BB8B9D" w14:textId="77777777" w:rsidR="00F22587" w:rsidRPr="000E5DBF" w:rsidRDefault="00F22587" w:rsidP="008A5C11">
            <w:pPr>
              <w:jc w:val="center"/>
              <w:rPr>
                <w:color w:val="000000"/>
                <w:sz w:val="14"/>
                <w:szCs w:val="14"/>
              </w:rPr>
            </w:pPr>
            <w:r w:rsidRPr="000E5DBF">
              <w:rPr>
                <w:color w:val="000000"/>
                <w:sz w:val="14"/>
                <w:szCs w:val="14"/>
              </w:rPr>
              <w:t>3.2.2.</w:t>
            </w:r>
          </w:p>
        </w:tc>
        <w:tc>
          <w:tcPr>
            <w:tcW w:w="1434"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AE7E7F7" w14:textId="77777777" w:rsidR="00F22587" w:rsidRPr="000E5DBF" w:rsidRDefault="00F22587" w:rsidP="008A5C11">
            <w:pPr>
              <w:jc w:val="center"/>
              <w:rPr>
                <w:color w:val="000000"/>
                <w:sz w:val="14"/>
                <w:szCs w:val="14"/>
              </w:rPr>
            </w:pPr>
            <w:r w:rsidRPr="000E5DBF">
              <w:rPr>
                <w:color w:val="000000"/>
                <w:sz w:val="14"/>
                <w:szCs w:val="14"/>
              </w:rPr>
              <w:t>Установка автоматизированной котельной ОС</w:t>
            </w:r>
          </w:p>
        </w:tc>
        <w:tc>
          <w:tcPr>
            <w:tcW w:w="971"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DBAD815" w14:textId="77777777" w:rsidR="00F22587" w:rsidRPr="000E5DBF" w:rsidRDefault="00F22587" w:rsidP="008A5C11">
            <w:pPr>
              <w:jc w:val="center"/>
              <w:rPr>
                <w:color w:val="000000"/>
                <w:sz w:val="14"/>
                <w:szCs w:val="14"/>
              </w:rPr>
            </w:pPr>
            <w:r w:rsidRPr="000E5DBF">
              <w:rPr>
                <w:color w:val="000000"/>
                <w:sz w:val="14"/>
                <w:szCs w:val="14"/>
              </w:rPr>
              <w:t>Снижение расхода топлива</w:t>
            </w:r>
          </w:p>
        </w:tc>
        <w:tc>
          <w:tcPr>
            <w:tcW w:w="993"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4005FF1" w14:textId="77777777" w:rsidR="00F22587" w:rsidRPr="000E5DBF" w:rsidRDefault="00F22587" w:rsidP="008A5C11">
            <w:pPr>
              <w:jc w:val="center"/>
              <w:rPr>
                <w:color w:val="000000"/>
                <w:sz w:val="14"/>
                <w:szCs w:val="14"/>
              </w:rPr>
            </w:pPr>
            <w:r w:rsidRPr="000E5DBF">
              <w:rPr>
                <w:bCs/>
                <w:sz w:val="14"/>
                <w:szCs w:val="14"/>
              </w:rPr>
              <w:t>ул. Вокзальная, 1</w:t>
            </w:r>
          </w:p>
        </w:tc>
        <w:tc>
          <w:tcPr>
            <w:tcW w:w="991"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D6D70E0" w14:textId="77777777" w:rsidR="00F22587" w:rsidRPr="000E5DBF" w:rsidRDefault="00F22587" w:rsidP="008A5C11">
            <w:pPr>
              <w:jc w:val="center"/>
              <w:rPr>
                <w:color w:val="000000"/>
                <w:sz w:val="14"/>
                <w:szCs w:val="14"/>
              </w:rPr>
            </w:pPr>
            <w:r w:rsidRPr="000E5DBF">
              <w:rPr>
                <w:color w:val="000000"/>
                <w:sz w:val="14"/>
                <w:szCs w:val="14"/>
              </w:rPr>
              <w:t>расход угля</w:t>
            </w:r>
          </w:p>
        </w:tc>
        <w:tc>
          <w:tcPr>
            <w:tcW w:w="426"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A90106C" w14:textId="77777777" w:rsidR="00F22587" w:rsidRPr="000E5DBF" w:rsidRDefault="00F22587" w:rsidP="008A5C11">
            <w:pPr>
              <w:jc w:val="center"/>
              <w:rPr>
                <w:color w:val="000000"/>
                <w:sz w:val="14"/>
                <w:szCs w:val="14"/>
              </w:rPr>
            </w:pPr>
            <w:r w:rsidRPr="000E5DBF">
              <w:rPr>
                <w:color w:val="000000"/>
                <w:sz w:val="14"/>
                <w:szCs w:val="14"/>
              </w:rPr>
              <w:t>тн</w:t>
            </w:r>
          </w:p>
        </w:tc>
        <w:tc>
          <w:tcPr>
            <w:tcW w:w="713"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3D2F146" w14:textId="77777777" w:rsidR="00F22587" w:rsidRPr="000E5DBF" w:rsidRDefault="00F22587" w:rsidP="008A5C11">
            <w:pPr>
              <w:jc w:val="center"/>
              <w:rPr>
                <w:color w:val="000000"/>
                <w:sz w:val="14"/>
                <w:szCs w:val="14"/>
              </w:rPr>
            </w:pPr>
            <w:r w:rsidRPr="000E5DBF">
              <w:rPr>
                <w:color w:val="000000"/>
                <w:sz w:val="14"/>
                <w:szCs w:val="14"/>
              </w:rPr>
              <w:t>527</w:t>
            </w:r>
          </w:p>
        </w:tc>
        <w:tc>
          <w:tcPr>
            <w:tcW w:w="71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E7EF5CE" w14:textId="77777777" w:rsidR="00F22587" w:rsidRPr="000E5DBF" w:rsidRDefault="00F22587" w:rsidP="008A5C11">
            <w:pPr>
              <w:jc w:val="center"/>
              <w:rPr>
                <w:color w:val="000000"/>
                <w:sz w:val="14"/>
                <w:szCs w:val="14"/>
              </w:rPr>
            </w:pPr>
            <w:r w:rsidRPr="000E5DBF">
              <w:rPr>
                <w:color w:val="000000"/>
                <w:sz w:val="14"/>
                <w:szCs w:val="14"/>
              </w:rPr>
              <w:t>360</w:t>
            </w:r>
          </w:p>
        </w:tc>
        <w:tc>
          <w:tcPr>
            <w:tcW w:w="425" w:type="dxa"/>
            <w:gridSpan w:val="2"/>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7A89E7A" w14:textId="77777777" w:rsidR="00F22587" w:rsidRPr="000E5DBF" w:rsidRDefault="00F22587" w:rsidP="008A5C11">
            <w:pPr>
              <w:jc w:val="center"/>
              <w:rPr>
                <w:color w:val="000000"/>
                <w:sz w:val="14"/>
                <w:szCs w:val="14"/>
              </w:rPr>
            </w:pPr>
            <w:r w:rsidRPr="000E5DBF">
              <w:rPr>
                <w:color w:val="000000"/>
                <w:sz w:val="14"/>
                <w:szCs w:val="14"/>
              </w:rPr>
              <w:t>2025</w:t>
            </w:r>
          </w:p>
        </w:tc>
        <w:tc>
          <w:tcPr>
            <w:tcW w:w="413"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AD48276" w14:textId="77777777" w:rsidR="00F22587" w:rsidRPr="000E5DBF" w:rsidRDefault="00F22587" w:rsidP="008A5C11">
            <w:pPr>
              <w:jc w:val="center"/>
              <w:rPr>
                <w:color w:val="000000"/>
                <w:sz w:val="14"/>
                <w:szCs w:val="14"/>
              </w:rPr>
            </w:pPr>
            <w:r w:rsidRPr="000E5DBF">
              <w:rPr>
                <w:color w:val="000000"/>
                <w:sz w:val="14"/>
                <w:szCs w:val="14"/>
              </w:rPr>
              <w:t>2025</w:t>
            </w:r>
          </w:p>
        </w:tc>
        <w:tc>
          <w:tcPr>
            <w:tcW w:w="568"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59DE865" w14:textId="77777777" w:rsidR="00F22587" w:rsidRPr="000E5DBF" w:rsidRDefault="00F22587" w:rsidP="008A5C11">
            <w:pPr>
              <w:jc w:val="center"/>
              <w:rPr>
                <w:color w:val="000000"/>
                <w:sz w:val="14"/>
                <w:szCs w:val="14"/>
              </w:rPr>
            </w:pPr>
            <w:r w:rsidRPr="000E5DBF">
              <w:rPr>
                <w:color w:val="000000"/>
                <w:sz w:val="14"/>
                <w:szCs w:val="14"/>
              </w:rPr>
              <w:t>4353,84</w:t>
            </w:r>
          </w:p>
        </w:tc>
        <w:tc>
          <w:tcPr>
            <w:tcW w:w="443" w:type="dxa"/>
            <w:gridSpan w:val="2"/>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5E94A86" w14:textId="77777777" w:rsidR="00F22587" w:rsidRPr="000E5DBF" w:rsidRDefault="00F22587" w:rsidP="008A5C11">
            <w:pPr>
              <w:jc w:val="center"/>
              <w:rPr>
                <w:color w:val="000000"/>
                <w:sz w:val="14"/>
                <w:szCs w:val="14"/>
              </w:rPr>
            </w:pPr>
            <w:r w:rsidRPr="000E5DBF">
              <w:rPr>
                <w:color w:val="000000"/>
                <w:sz w:val="14"/>
                <w:szCs w:val="14"/>
              </w:rPr>
              <w:t>0,00</w:t>
            </w:r>
          </w:p>
        </w:tc>
        <w:tc>
          <w:tcPr>
            <w:tcW w:w="554" w:type="dxa"/>
            <w:tcBorders>
              <w:top w:val="single" w:sz="4" w:space="0" w:color="auto"/>
              <w:left w:val="nil"/>
              <w:bottom w:val="single" w:sz="4" w:space="0" w:color="auto"/>
              <w:right w:val="single" w:sz="4" w:space="0" w:color="auto"/>
            </w:tcBorders>
            <w:shd w:val="clear" w:color="000000" w:fill="FFFFFF"/>
            <w:tcMar>
              <w:left w:w="0" w:type="dxa"/>
              <w:right w:w="0" w:type="dxa"/>
            </w:tcMar>
            <w:vAlign w:val="center"/>
          </w:tcPr>
          <w:p w14:paraId="71DCDCBB" w14:textId="77777777" w:rsidR="00F22587" w:rsidRPr="000E5DBF" w:rsidRDefault="00F22587" w:rsidP="008A5C11">
            <w:pPr>
              <w:jc w:val="center"/>
              <w:rPr>
                <w:color w:val="000000"/>
                <w:sz w:val="14"/>
                <w:szCs w:val="14"/>
              </w:rPr>
            </w:pPr>
            <w:r w:rsidRPr="000E5DBF">
              <w:rPr>
                <w:color w:val="000000"/>
                <w:sz w:val="14"/>
                <w:szCs w:val="14"/>
              </w:rPr>
              <w:t>0,00</w:t>
            </w:r>
          </w:p>
        </w:tc>
        <w:tc>
          <w:tcPr>
            <w:tcW w:w="56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10CDAE9" w14:textId="77777777" w:rsidR="00F22587" w:rsidRPr="000E5DBF" w:rsidRDefault="00F22587" w:rsidP="008A5C11">
            <w:pPr>
              <w:jc w:val="center"/>
              <w:rPr>
                <w:color w:val="000000"/>
                <w:sz w:val="14"/>
                <w:szCs w:val="14"/>
              </w:rPr>
            </w:pPr>
            <w:r w:rsidRPr="000E5DBF">
              <w:rPr>
                <w:color w:val="000000"/>
                <w:sz w:val="14"/>
                <w:szCs w:val="14"/>
              </w:rPr>
              <w:t>0,00</w:t>
            </w:r>
          </w:p>
        </w:tc>
        <w:tc>
          <w:tcPr>
            <w:tcW w:w="56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536E28E" w14:textId="77777777" w:rsidR="00F22587" w:rsidRPr="000E5DBF" w:rsidRDefault="00F22587" w:rsidP="008A5C11">
            <w:pPr>
              <w:jc w:val="center"/>
              <w:rPr>
                <w:color w:val="000000"/>
                <w:sz w:val="14"/>
                <w:szCs w:val="14"/>
              </w:rPr>
            </w:pPr>
            <w:r w:rsidRPr="000E5DBF">
              <w:rPr>
                <w:color w:val="000000"/>
                <w:sz w:val="14"/>
                <w:szCs w:val="14"/>
              </w:rPr>
              <w:t>0,00</w:t>
            </w:r>
          </w:p>
        </w:tc>
        <w:tc>
          <w:tcPr>
            <w:tcW w:w="561"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59E271F" w14:textId="77777777" w:rsidR="00F22587" w:rsidRPr="000E5DBF" w:rsidRDefault="00F22587" w:rsidP="008A5C11">
            <w:pPr>
              <w:jc w:val="center"/>
              <w:rPr>
                <w:color w:val="000000"/>
                <w:sz w:val="14"/>
                <w:szCs w:val="14"/>
              </w:rPr>
            </w:pPr>
            <w:r w:rsidRPr="000E5DBF">
              <w:rPr>
                <w:color w:val="000000"/>
                <w:sz w:val="14"/>
                <w:szCs w:val="14"/>
              </w:rPr>
              <w:t>0,00</w:t>
            </w:r>
          </w:p>
        </w:tc>
        <w:tc>
          <w:tcPr>
            <w:tcW w:w="560"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F4F9951" w14:textId="77777777" w:rsidR="00F22587" w:rsidRPr="000E5DBF" w:rsidRDefault="00F22587" w:rsidP="008A5C11">
            <w:pPr>
              <w:jc w:val="center"/>
              <w:rPr>
                <w:color w:val="000000"/>
                <w:sz w:val="14"/>
                <w:szCs w:val="14"/>
              </w:rPr>
            </w:pPr>
            <w:r w:rsidRPr="000E5DBF">
              <w:rPr>
                <w:color w:val="000000"/>
                <w:sz w:val="14"/>
                <w:szCs w:val="14"/>
              </w:rPr>
              <w:t>0,00</w:t>
            </w:r>
          </w:p>
        </w:tc>
        <w:tc>
          <w:tcPr>
            <w:tcW w:w="569"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BB99617" w14:textId="77777777" w:rsidR="00F22587" w:rsidRPr="000E5DBF" w:rsidRDefault="00F22587" w:rsidP="008A5C11">
            <w:pPr>
              <w:jc w:val="center"/>
              <w:rPr>
                <w:color w:val="000000"/>
                <w:sz w:val="14"/>
                <w:szCs w:val="14"/>
              </w:rPr>
            </w:pPr>
            <w:r w:rsidRPr="000E5DBF">
              <w:rPr>
                <w:color w:val="000000"/>
                <w:sz w:val="14"/>
                <w:szCs w:val="14"/>
              </w:rPr>
              <w:t>0,00</w:t>
            </w:r>
          </w:p>
        </w:tc>
        <w:tc>
          <w:tcPr>
            <w:tcW w:w="567" w:type="dxa"/>
            <w:gridSpan w:val="2"/>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9BFA5C7" w14:textId="77777777" w:rsidR="00F22587" w:rsidRPr="000E5DBF" w:rsidRDefault="00F22587" w:rsidP="008A5C11">
            <w:pPr>
              <w:jc w:val="center"/>
              <w:rPr>
                <w:color w:val="000000"/>
                <w:sz w:val="14"/>
                <w:szCs w:val="14"/>
              </w:rPr>
            </w:pPr>
            <w:r w:rsidRPr="000E5DBF">
              <w:rPr>
                <w:color w:val="000000"/>
                <w:sz w:val="14"/>
                <w:szCs w:val="14"/>
              </w:rPr>
              <w:t>4353,84</w:t>
            </w:r>
          </w:p>
        </w:tc>
        <w:tc>
          <w:tcPr>
            <w:tcW w:w="56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847B0AF" w14:textId="77777777" w:rsidR="00F22587" w:rsidRPr="000E5DBF" w:rsidRDefault="00F22587" w:rsidP="008A5C11">
            <w:pPr>
              <w:jc w:val="center"/>
              <w:rPr>
                <w:color w:val="000000"/>
                <w:sz w:val="14"/>
                <w:szCs w:val="14"/>
              </w:rPr>
            </w:pPr>
            <w:r w:rsidRPr="000E5DBF">
              <w:rPr>
                <w:color w:val="000000"/>
                <w:sz w:val="14"/>
                <w:szCs w:val="14"/>
              </w:rPr>
              <w:t>0,00</w:t>
            </w:r>
          </w:p>
        </w:tc>
        <w:tc>
          <w:tcPr>
            <w:tcW w:w="56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1523144" w14:textId="77777777" w:rsidR="00F22587" w:rsidRPr="000E5DBF" w:rsidRDefault="00F22587" w:rsidP="008A5C11">
            <w:pPr>
              <w:jc w:val="center"/>
              <w:rPr>
                <w:color w:val="000000"/>
                <w:sz w:val="14"/>
                <w:szCs w:val="14"/>
              </w:rPr>
            </w:pPr>
            <w:r w:rsidRPr="000E5DBF">
              <w:rPr>
                <w:color w:val="000000"/>
                <w:sz w:val="14"/>
                <w:szCs w:val="14"/>
              </w:rPr>
              <w:t>0,00</w:t>
            </w:r>
          </w:p>
        </w:tc>
        <w:tc>
          <w:tcPr>
            <w:tcW w:w="568"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938FC1B" w14:textId="77777777" w:rsidR="00F22587" w:rsidRPr="000E5DBF" w:rsidRDefault="00F22587" w:rsidP="008A5C11">
            <w:pPr>
              <w:jc w:val="center"/>
              <w:rPr>
                <w:color w:val="000000"/>
                <w:sz w:val="14"/>
                <w:szCs w:val="14"/>
              </w:rPr>
            </w:pPr>
            <w:r w:rsidRPr="000E5DBF">
              <w:rPr>
                <w:color w:val="000000"/>
                <w:sz w:val="14"/>
                <w:szCs w:val="14"/>
              </w:rPr>
              <w:t>0,00</w:t>
            </w:r>
          </w:p>
        </w:tc>
        <w:tc>
          <w:tcPr>
            <w:tcW w:w="569"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A2C8222" w14:textId="77777777" w:rsidR="00F22587" w:rsidRPr="000E5DBF" w:rsidRDefault="00F22587" w:rsidP="008A5C11">
            <w:pPr>
              <w:jc w:val="center"/>
              <w:rPr>
                <w:color w:val="000000"/>
                <w:sz w:val="14"/>
                <w:szCs w:val="14"/>
              </w:rPr>
            </w:pPr>
            <w:r w:rsidRPr="000E5DBF">
              <w:rPr>
                <w:color w:val="000000"/>
                <w:sz w:val="14"/>
                <w:szCs w:val="14"/>
              </w:rPr>
              <w:t>0,00</w:t>
            </w:r>
          </w:p>
        </w:tc>
        <w:tc>
          <w:tcPr>
            <w:tcW w:w="562"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889229A" w14:textId="77777777" w:rsidR="00F22587" w:rsidRPr="000E5DBF" w:rsidRDefault="00F22587" w:rsidP="008A5C11">
            <w:pPr>
              <w:jc w:val="center"/>
              <w:rPr>
                <w:color w:val="000000"/>
                <w:sz w:val="14"/>
                <w:szCs w:val="14"/>
              </w:rPr>
            </w:pPr>
            <w:r w:rsidRPr="000E5DBF">
              <w:rPr>
                <w:color w:val="000000"/>
                <w:sz w:val="14"/>
                <w:szCs w:val="14"/>
              </w:rPr>
              <w:t>0,00</w:t>
            </w:r>
          </w:p>
        </w:tc>
        <w:tc>
          <w:tcPr>
            <w:tcW w:w="290"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0013608" w14:textId="77777777" w:rsidR="00F22587" w:rsidRPr="000E5DBF" w:rsidRDefault="00F22587" w:rsidP="008A5C11">
            <w:pPr>
              <w:jc w:val="center"/>
              <w:rPr>
                <w:color w:val="000000"/>
                <w:sz w:val="14"/>
                <w:szCs w:val="14"/>
              </w:rPr>
            </w:pPr>
            <w:r w:rsidRPr="000E5DBF">
              <w:rPr>
                <w:color w:val="000000"/>
                <w:sz w:val="14"/>
                <w:szCs w:val="14"/>
              </w:rPr>
              <w:t>0,00</w:t>
            </w:r>
          </w:p>
        </w:tc>
        <w:tc>
          <w:tcPr>
            <w:tcW w:w="425" w:type="dxa"/>
            <w:gridSpan w:val="2"/>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9827A57" w14:textId="77777777" w:rsidR="00F22587" w:rsidRPr="000E5DBF" w:rsidRDefault="00F22587" w:rsidP="008A5C11">
            <w:pPr>
              <w:jc w:val="center"/>
              <w:rPr>
                <w:color w:val="000000"/>
                <w:sz w:val="14"/>
                <w:szCs w:val="14"/>
              </w:rPr>
            </w:pPr>
            <w:r w:rsidRPr="000E5DBF">
              <w:rPr>
                <w:color w:val="000000"/>
                <w:sz w:val="14"/>
                <w:szCs w:val="14"/>
              </w:rPr>
              <w:t>0,00</w:t>
            </w:r>
          </w:p>
        </w:tc>
      </w:tr>
      <w:tr w:rsidR="00F22587" w:rsidRPr="000E5DBF" w14:paraId="6C7F1C56" w14:textId="77777777" w:rsidTr="008A5C11">
        <w:trPr>
          <w:cantSplit/>
          <w:trHeight w:val="808"/>
        </w:trPr>
        <w:tc>
          <w:tcPr>
            <w:tcW w:w="408"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5F4D7855" w14:textId="77777777" w:rsidR="00F22587" w:rsidRPr="000E5DBF" w:rsidRDefault="00F22587" w:rsidP="008A5C11">
            <w:pPr>
              <w:jc w:val="center"/>
              <w:rPr>
                <w:color w:val="000000"/>
                <w:sz w:val="14"/>
                <w:szCs w:val="14"/>
              </w:rPr>
            </w:pPr>
            <w:r w:rsidRPr="000E5DBF">
              <w:rPr>
                <w:color w:val="000000"/>
                <w:sz w:val="14"/>
                <w:szCs w:val="14"/>
              </w:rPr>
              <w:t>3.2.3.</w:t>
            </w:r>
          </w:p>
        </w:tc>
        <w:tc>
          <w:tcPr>
            <w:tcW w:w="1434" w:type="dxa"/>
            <w:tcBorders>
              <w:top w:val="nil"/>
              <w:left w:val="nil"/>
              <w:bottom w:val="single" w:sz="4" w:space="0" w:color="auto"/>
              <w:right w:val="single" w:sz="4" w:space="0" w:color="auto"/>
            </w:tcBorders>
            <w:shd w:val="clear" w:color="auto" w:fill="auto"/>
            <w:tcMar>
              <w:left w:w="0" w:type="dxa"/>
              <w:right w:w="0" w:type="dxa"/>
            </w:tcMar>
            <w:vAlign w:val="center"/>
          </w:tcPr>
          <w:p w14:paraId="3A0E2E6B" w14:textId="77777777" w:rsidR="00F22587" w:rsidRPr="000E5DBF" w:rsidRDefault="00F22587" w:rsidP="008A5C11">
            <w:pPr>
              <w:jc w:val="center"/>
              <w:rPr>
                <w:color w:val="000000"/>
                <w:sz w:val="14"/>
                <w:szCs w:val="14"/>
              </w:rPr>
            </w:pPr>
            <w:r w:rsidRPr="000E5DBF">
              <w:rPr>
                <w:color w:val="000000"/>
                <w:sz w:val="14"/>
                <w:szCs w:val="14"/>
              </w:rPr>
              <w:t xml:space="preserve">Установка автоматизированной котельной </w:t>
            </w:r>
          </w:p>
          <w:p w14:paraId="4D179B08" w14:textId="77777777" w:rsidR="00F22587" w:rsidRPr="000E5DBF" w:rsidRDefault="00F22587" w:rsidP="008A5C11">
            <w:pPr>
              <w:jc w:val="center"/>
              <w:rPr>
                <w:color w:val="000000"/>
                <w:sz w:val="14"/>
                <w:szCs w:val="14"/>
              </w:rPr>
            </w:pPr>
            <w:r w:rsidRPr="000E5DBF">
              <w:rPr>
                <w:color w:val="000000"/>
                <w:sz w:val="14"/>
                <w:szCs w:val="14"/>
              </w:rPr>
              <w:t>р-он Мичурина</w:t>
            </w:r>
          </w:p>
        </w:tc>
        <w:tc>
          <w:tcPr>
            <w:tcW w:w="971" w:type="dxa"/>
            <w:tcBorders>
              <w:top w:val="nil"/>
              <w:left w:val="nil"/>
              <w:bottom w:val="single" w:sz="4" w:space="0" w:color="auto"/>
              <w:right w:val="single" w:sz="4" w:space="0" w:color="auto"/>
            </w:tcBorders>
            <w:shd w:val="clear" w:color="auto" w:fill="auto"/>
            <w:tcMar>
              <w:left w:w="0" w:type="dxa"/>
              <w:right w:w="0" w:type="dxa"/>
            </w:tcMar>
            <w:vAlign w:val="center"/>
          </w:tcPr>
          <w:p w14:paraId="1DA36BC8" w14:textId="77777777" w:rsidR="00F22587" w:rsidRPr="000E5DBF" w:rsidRDefault="00F22587" w:rsidP="008A5C11">
            <w:pPr>
              <w:jc w:val="center"/>
              <w:rPr>
                <w:color w:val="000000"/>
                <w:sz w:val="14"/>
                <w:szCs w:val="14"/>
              </w:rPr>
            </w:pPr>
            <w:r w:rsidRPr="000E5DBF">
              <w:rPr>
                <w:color w:val="000000"/>
                <w:sz w:val="14"/>
                <w:szCs w:val="14"/>
              </w:rPr>
              <w:t>Снижение расхода топлива</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tcPr>
          <w:p w14:paraId="216AA463" w14:textId="77777777" w:rsidR="00F22587" w:rsidRPr="000E5DBF" w:rsidRDefault="00F22587" w:rsidP="008A5C11">
            <w:pPr>
              <w:jc w:val="center"/>
              <w:rPr>
                <w:color w:val="000000"/>
                <w:sz w:val="14"/>
                <w:szCs w:val="14"/>
              </w:rPr>
            </w:pPr>
            <w:r w:rsidRPr="000E5DBF">
              <w:rPr>
                <w:color w:val="000000"/>
                <w:sz w:val="14"/>
                <w:szCs w:val="14"/>
              </w:rPr>
              <w:t>ул. Мичурина, 11</w:t>
            </w:r>
          </w:p>
        </w:tc>
        <w:tc>
          <w:tcPr>
            <w:tcW w:w="991" w:type="dxa"/>
            <w:tcBorders>
              <w:top w:val="nil"/>
              <w:left w:val="nil"/>
              <w:bottom w:val="single" w:sz="4" w:space="0" w:color="auto"/>
              <w:right w:val="single" w:sz="4" w:space="0" w:color="auto"/>
            </w:tcBorders>
            <w:shd w:val="clear" w:color="auto" w:fill="auto"/>
            <w:tcMar>
              <w:left w:w="0" w:type="dxa"/>
              <w:right w:w="0" w:type="dxa"/>
            </w:tcMar>
            <w:vAlign w:val="center"/>
          </w:tcPr>
          <w:p w14:paraId="13311D72" w14:textId="77777777" w:rsidR="00F22587" w:rsidRPr="000E5DBF" w:rsidRDefault="00F22587" w:rsidP="008A5C11">
            <w:pPr>
              <w:jc w:val="center"/>
              <w:rPr>
                <w:color w:val="000000"/>
                <w:sz w:val="14"/>
                <w:szCs w:val="14"/>
              </w:rPr>
            </w:pPr>
            <w:r w:rsidRPr="000E5DBF">
              <w:rPr>
                <w:color w:val="000000"/>
                <w:sz w:val="14"/>
                <w:szCs w:val="14"/>
              </w:rPr>
              <w:t>расход угля</w:t>
            </w:r>
          </w:p>
        </w:tc>
        <w:tc>
          <w:tcPr>
            <w:tcW w:w="426" w:type="dxa"/>
            <w:tcBorders>
              <w:top w:val="nil"/>
              <w:left w:val="nil"/>
              <w:bottom w:val="single" w:sz="4" w:space="0" w:color="auto"/>
              <w:right w:val="single" w:sz="4" w:space="0" w:color="auto"/>
            </w:tcBorders>
            <w:shd w:val="clear" w:color="auto" w:fill="auto"/>
            <w:tcMar>
              <w:left w:w="0" w:type="dxa"/>
              <w:right w:w="0" w:type="dxa"/>
            </w:tcMar>
            <w:vAlign w:val="center"/>
          </w:tcPr>
          <w:p w14:paraId="5E4349B9" w14:textId="77777777" w:rsidR="00F22587" w:rsidRPr="000E5DBF" w:rsidRDefault="00F22587" w:rsidP="008A5C11">
            <w:pPr>
              <w:jc w:val="center"/>
              <w:rPr>
                <w:color w:val="000000"/>
                <w:sz w:val="14"/>
                <w:szCs w:val="14"/>
              </w:rPr>
            </w:pPr>
            <w:r w:rsidRPr="000E5DBF">
              <w:rPr>
                <w:color w:val="000000"/>
                <w:sz w:val="14"/>
                <w:szCs w:val="14"/>
              </w:rPr>
              <w:t>тн</w:t>
            </w:r>
          </w:p>
        </w:tc>
        <w:tc>
          <w:tcPr>
            <w:tcW w:w="713" w:type="dxa"/>
            <w:tcBorders>
              <w:top w:val="nil"/>
              <w:left w:val="nil"/>
              <w:bottom w:val="single" w:sz="4" w:space="0" w:color="auto"/>
              <w:right w:val="single" w:sz="4" w:space="0" w:color="auto"/>
            </w:tcBorders>
            <w:shd w:val="clear" w:color="auto" w:fill="auto"/>
            <w:tcMar>
              <w:left w:w="0" w:type="dxa"/>
              <w:right w:w="0" w:type="dxa"/>
            </w:tcMar>
            <w:vAlign w:val="center"/>
          </w:tcPr>
          <w:p w14:paraId="56701798" w14:textId="77777777" w:rsidR="00F22587" w:rsidRPr="000E5DBF" w:rsidRDefault="00F22587" w:rsidP="008A5C11">
            <w:pPr>
              <w:jc w:val="center"/>
              <w:rPr>
                <w:color w:val="000000"/>
                <w:sz w:val="14"/>
                <w:szCs w:val="14"/>
              </w:rPr>
            </w:pPr>
            <w:r w:rsidRPr="000E5DBF">
              <w:rPr>
                <w:color w:val="000000"/>
                <w:sz w:val="14"/>
                <w:szCs w:val="14"/>
              </w:rPr>
              <w:t>1951</w:t>
            </w:r>
          </w:p>
        </w:tc>
        <w:tc>
          <w:tcPr>
            <w:tcW w:w="717" w:type="dxa"/>
            <w:tcBorders>
              <w:top w:val="nil"/>
              <w:left w:val="nil"/>
              <w:bottom w:val="single" w:sz="4" w:space="0" w:color="auto"/>
              <w:right w:val="single" w:sz="4" w:space="0" w:color="auto"/>
            </w:tcBorders>
            <w:shd w:val="clear" w:color="auto" w:fill="auto"/>
            <w:tcMar>
              <w:left w:w="0" w:type="dxa"/>
              <w:right w:w="0" w:type="dxa"/>
            </w:tcMar>
            <w:vAlign w:val="center"/>
          </w:tcPr>
          <w:p w14:paraId="254616CF" w14:textId="77777777" w:rsidR="00F22587" w:rsidRPr="000E5DBF" w:rsidRDefault="00F22587" w:rsidP="008A5C11">
            <w:pPr>
              <w:jc w:val="center"/>
              <w:rPr>
                <w:color w:val="000000"/>
                <w:sz w:val="14"/>
                <w:szCs w:val="14"/>
              </w:rPr>
            </w:pPr>
            <w:r w:rsidRPr="000E5DBF">
              <w:rPr>
                <w:color w:val="000000"/>
                <w:sz w:val="14"/>
                <w:szCs w:val="14"/>
              </w:rPr>
              <w:t>970</w:t>
            </w:r>
          </w:p>
        </w:tc>
        <w:tc>
          <w:tcPr>
            <w:tcW w:w="425" w:type="dxa"/>
            <w:gridSpan w:val="2"/>
            <w:tcBorders>
              <w:top w:val="nil"/>
              <w:left w:val="nil"/>
              <w:bottom w:val="single" w:sz="4" w:space="0" w:color="auto"/>
              <w:right w:val="single" w:sz="4" w:space="0" w:color="auto"/>
            </w:tcBorders>
            <w:shd w:val="clear" w:color="auto" w:fill="auto"/>
            <w:tcMar>
              <w:left w:w="0" w:type="dxa"/>
              <w:right w:w="0" w:type="dxa"/>
            </w:tcMar>
            <w:vAlign w:val="center"/>
          </w:tcPr>
          <w:p w14:paraId="0CE5CEF5" w14:textId="77777777" w:rsidR="00F22587" w:rsidRPr="000E5DBF" w:rsidRDefault="00F22587" w:rsidP="008A5C11">
            <w:pPr>
              <w:jc w:val="center"/>
              <w:rPr>
                <w:color w:val="000000"/>
                <w:sz w:val="14"/>
                <w:szCs w:val="14"/>
              </w:rPr>
            </w:pPr>
            <w:r w:rsidRPr="000E5DBF">
              <w:rPr>
                <w:color w:val="000000"/>
                <w:sz w:val="14"/>
                <w:szCs w:val="14"/>
              </w:rPr>
              <w:t>2026</w:t>
            </w:r>
          </w:p>
        </w:tc>
        <w:tc>
          <w:tcPr>
            <w:tcW w:w="413" w:type="dxa"/>
            <w:tcBorders>
              <w:top w:val="nil"/>
              <w:left w:val="nil"/>
              <w:bottom w:val="single" w:sz="4" w:space="0" w:color="auto"/>
              <w:right w:val="single" w:sz="4" w:space="0" w:color="auto"/>
            </w:tcBorders>
            <w:shd w:val="clear" w:color="auto" w:fill="auto"/>
            <w:tcMar>
              <w:left w:w="0" w:type="dxa"/>
              <w:right w:w="0" w:type="dxa"/>
            </w:tcMar>
            <w:vAlign w:val="center"/>
          </w:tcPr>
          <w:p w14:paraId="6741329E" w14:textId="77777777" w:rsidR="00F22587" w:rsidRPr="000E5DBF" w:rsidRDefault="00F22587" w:rsidP="008A5C11">
            <w:pPr>
              <w:jc w:val="center"/>
              <w:rPr>
                <w:color w:val="000000"/>
                <w:sz w:val="14"/>
                <w:szCs w:val="14"/>
              </w:rPr>
            </w:pPr>
            <w:r w:rsidRPr="000E5DBF">
              <w:rPr>
                <w:color w:val="000000"/>
                <w:sz w:val="14"/>
                <w:szCs w:val="14"/>
              </w:rPr>
              <w:t>2026</w:t>
            </w:r>
          </w:p>
        </w:tc>
        <w:tc>
          <w:tcPr>
            <w:tcW w:w="568" w:type="dxa"/>
            <w:tcBorders>
              <w:top w:val="nil"/>
              <w:left w:val="nil"/>
              <w:bottom w:val="single" w:sz="4" w:space="0" w:color="auto"/>
              <w:right w:val="single" w:sz="4" w:space="0" w:color="auto"/>
            </w:tcBorders>
            <w:shd w:val="clear" w:color="auto" w:fill="auto"/>
            <w:tcMar>
              <w:left w:w="0" w:type="dxa"/>
              <w:right w:w="0" w:type="dxa"/>
            </w:tcMar>
            <w:vAlign w:val="center"/>
          </w:tcPr>
          <w:p w14:paraId="4B3FB848" w14:textId="77777777" w:rsidR="00F22587" w:rsidRPr="000E5DBF" w:rsidRDefault="00F22587" w:rsidP="008A5C11">
            <w:pPr>
              <w:jc w:val="center"/>
              <w:rPr>
                <w:color w:val="000000"/>
                <w:sz w:val="14"/>
                <w:szCs w:val="14"/>
              </w:rPr>
            </w:pPr>
            <w:r w:rsidRPr="000E5DBF">
              <w:rPr>
                <w:color w:val="000000"/>
                <w:sz w:val="14"/>
                <w:szCs w:val="14"/>
              </w:rPr>
              <w:t>7986,24</w:t>
            </w:r>
          </w:p>
        </w:tc>
        <w:tc>
          <w:tcPr>
            <w:tcW w:w="443" w:type="dxa"/>
            <w:gridSpan w:val="2"/>
            <w:tcBorders>
              <w:top w:val="nil"/>
              <w:left w:val="nil"/>
              <w:bottom w:val="single" w:sz="4" w:space="0" w:color="auto"/>
              <w:right w:val="single" w:sz="4" w:space="0" w:color="auto"/>
            </w:tcBorders>
            <w:shd w:val="clear" w:color="auto" w:fill="auto"/>
            <w:tcMar>
              <w:left w:w="0" w:type="dxa"/>
              <w:right w:w="0" w:type="dxa"/>
            </w:tcMar>
            <w:vAlign w:val="center"/>
          </w:tcPr>
          <w:p w14:paraId="668D76AC" w14:textId="77777777" w:rsidR="00F22587" w:rsidRPr="000E5DBF" w:rsidRDefault="00F22587" w:rsidP="008A5C11">
            <w:pPr>
              <w:jc w:val="center"/>
              <w:rPr>
                <w:color w:val="000000"/>
                <w:sz w:val="14"/>
                <w:szCs w:val="14"/>
              </w:rPr>
            </w:pPr>
            <w:r w:rsidRPr="000E5DBF">
              <w:rPr>
                <w:color w:val="000000"/>
                <w:sz w:val="14"/>
                <w:szCs w:val="14"/>
              </w:rPr>
              <w:t>0,00</w:t>
            </w:r>
          </w:p>
        </w:tc>
        <w:tc>
          <w:tcPr>
            <w:tcW w:w="554" w:type="dxa"/>
            <w:tcBorders>
              <w:top w:val="nil"/>
              <w:left w:val="nil"/>
              <w:bottom w:val="single" w:sz="4" w:space="0" w:color="auto"/>
              <w:right w:val="single" w:sz="4" w:space="0" w:color="auto"/>
            </w:tcBorders>
            <w:shd w:val="clear" w:color="000000" w:fill="FFFFFF"/>
            <w:tcMar>
              <w:left w:w="0" w:type="dxa"/>
              <w:right w:w="0" w:type="dxa"/>
            </w:tcMar>
            <w:vAlign w:val="center"/>
          </w:tcPr>
          <w:p w14:paraId="5C0EA07D" w14:textId="77777777" w:rsidR="00F22587" w:rsidRPr="000E5DBF" w:rsidRDefault="00F22587" w:rsidP="008A5C11">
            <w:pPr>
              <w:jc w:val="center"/>
              <w:rPr>
                <w:color w:val="000000"/>
                <w:sz w:val="14"/>
                <w:szCs w:val="14"/>
              </w:rPr>
            </w:pPr>
            <w:r w:rsidRPr="000E5DBF">
              <w:rPr>
                <w:color w:val="000000"/>
                <w:sz w:val="14"/>
                <w:szCs w:val="14"/>
              </w:rPr>
              <w:t>0,00</w:t>
            </w:r>
          </w:p>
        </w:tc>
        <w:tc>
          <w:tcPr>
            <w:tcW w:w="567" w:type="dxa"/>
            <w:tcBorders>
              <w:top w:val="nil"/>
              <w:left w:val="nil"/>
              <w:bottom w:val="single" w:sz="4" w:space="0" w:color="auto"/>
              <w:right w:val="single" w:sz="4" w:space="0" w:color="auto"/>
            </w:tcBorders>
            <w:shd w:val="clear" w:color="auto" w:fill="auto"/>
            <w:tcMar>
              <w:left w:w="0" w:type="dxa"/>
              <w:right w:w="0" w:type="dxa"/>
            </w:tcMar>
            <w:vAlign w:val="center"/>
          </w:tcPr>
          <w:p w14:paraId="382FCCDA" w14:textId="77777777" w:rsidR="00F22587" w:rsidRPr="000E5DBF" w:rsidRDefault="00F22587" w:rsidP="008A5C11">
            <w:pPr>
              <w:jc w:val="center"/>
              <w:rPr>
                <w:color w:val="000000"/>
                <w:sz w:val="14"/>
                <w:szCs w:val="14"/>
              </w:rPr>
            </w:pPr>
            <w:r w:rsidRPr="000E5DBF">
              <w:rPr>
                <w:color w:val="000000"/>
                <w:sz w:val="14"/>
                <w:szCs w:val="14"/>
              </w:rPr>
              <w:t>0,00</w:t>
            </w:r>
          </w:p>
        </w:tc>
        <w:tc>
          <w:tcPr>
            <w:tcW w:w="567" w:type="dxa"/>
            <w:tcBorders>
              <w:top w:val="nil"/>
              <w:left w:val="nil"/>
              <w:bottom w:val="single" w:sz="4" w:space="0" w:color="auto"/>
              <w:right w:val="single" w:sz="4" w:space="0" w:color="auto"/>
            </w:tcBorders>
            <w:shd w:val="clear" w:color="auto" w:fill="auto"/>
            <w:tcMar>
              <w:left w:w="0" w:type="dxa"/>
              <w:right w:w="0" w:type="dxa"/>
            </w:tcMar>
            <w:vAlign w:val="center"/>
          </w:tcPr>
          <w:p w14:paraId="1CD2A130" w14:textId="77777777" w:rsidR="00F22587" w:rsidRPr="000E5DBF" w:rsidRDefault="00F22587" w:rsidP="008A5C11">
            <w:pPr>
              <w:jc w:val="center"/>
              <w:rPr>
                <w:color w:val="000000"/>
                <w:sz w:val="14"/>
                <w:szCs w:val="14"/>
              </w:rPr>
            </w:pPr>
            <w:r w:rsidRPr="000E5DBF">
              <w:rPr>
                <w:color w:val="000000"/>
                <w:sz w:val="14"/>
                <w:szCs w:val="14"/>
              </w:rPr>
              <w:t>0,00</w:t>
            </w:r>
          </w:p>
        </w:tc>
        <w:tc>
          <w:tcPr>
            <w:tcW w:w="561" w:type="dxa"/>
            <w:tcBorders>
              <w:top w:val="nil"/>
              <w:left w:val="nil"/>
              <w:bottom w:val="single" w:sz="4" w:space="0" w:color="auto"/>
              <w:right w:val="single" w:sz="4" w:space="0" w:color="auto"/>
            </w:tcBorders>
            <w:shd w:val="clear" w:color="auto" w:fill="auto"/>
            <w:tcMar>
              <w:left w:w="0" w:type="dxa"/>
              <w:right w:w="0" w:type="dxa"/>
            </w:tcMar>
            <w:vAlign w:val="center"/>
          </w:tcPr>
          <w:p w14:paraId="577E67AE" w14:textId="77777777" w:rsidR="00F22587" w:rsidRPr="000E5DBF" w:rsidRDefault="00F22587" w:rsidP="008A5C11">
            <w:pPr>
              <w:jc w:val="center"/>
              <w:rPr>
                <w:color w:val="000000"/>
                <w:sz w:val="14"/>
                <w:szCs w:val="14"/>
              </w:rPr>
            </w:pPr>
            <w:r w:rsidRPr="000E5DBF">
              <w:rPr>
                <w:color w:val="000000"/>
                <w:sz w:val="14"/>
                <w:szCs w:val="14"/>
              </w:rPr>
              <w:t>0,00</w:t>
            </w:r>
          </w:p>
        </w:tc>
        <w:tc>
          <w:tcPr>
            <w:tcW w:w="560" w:type="dxa"/>
            <w:tcBorders>
              <w:top w:val="nil"/>
              <w:left w:val="nil"/>
              <w:bottom w:val="single" w:sz="4" w:space="0" w:color="auto"/>
              <w:right w:val="single" w:sz="4" w:space="0" w:color="auto"/>
            </w:tcBorders>
            <w:shd w:val="clear" w:color="auto" w:fill="auto"/>
            <w:tcMar>
              <w:left w:w="0" w:type="dxa"/>
              <w:right w:w="0" w:type="dxa"/>
            </w:tcMar>
            <w:vAlign w:val="center"/>
          </w:tcPr>
          <w:p w14:paraId="275C75B9" w14:textId="77777777" w:rsidR="00F22587" w:rsidRPr="000E5DBF" w:rsidRDefault="00F22587" w:rsidP="008A5C11">
            <w:pPr>
              <w:jc w:val="center"/>
              <w:rPr>
                <w:color w:val="000000"/>
                <w:sz w:val="14"/>
                <w:szCs w:val="14"/>
              </w:rPr>
            </w:pPr>
            <w:r w:rsidRPr="000E5DBF">
              <w:rPr>
                <w:color w:val="000000"/>
                <w:sz w:val="14"/>
                <w:szCs w:val="14"/>
              </w:rPr>
              <w:t>0,00</w:t>
            </w:r>
          </w:p>
        </w:tc>
        <w:tc>
          <w:tcPr>
            <w:tcW w:w="569" w:type="dxa"/>
            <w:tcBorders>
              <w:top w:val="nil"/>
              <w:left w:val="nil"/>
              <w:bottom w:val="single" w:sz="4" w:space="0" w:color="auto"/>
              <w:right w:val="single" w:sz="4" w:space="0" w:color="auto"/>
            </w:tcBorders>
            <w:shd w:val="clear" w:color="auto" w:fill="auto"/>
            <w:tcMar>
              <w:left w:w="0" w:type="dxa"/>
              <w:right w:w="0" w:type="dxa"/>
            </w:tcMar>
            <w:vAlign w:val="center"/>
          </w:tcPr>
          <w:p w14:paraId="211D092F" w14:textId="77777777" w:rsidR="00F22587" w:rsidRPr="000E5DBF" w:rsidRDefault="00F22587" w:rsidP="008A5C11">
            <w:pPr>
              <w:jc w:val="center"/>
              <w:rPr>
                <w:color w:val="000000"/>
                <w:sz w:val="14"/>
                <w:szCs w:val="14"/>
              </w:rPr>
            </w:pPr>
            <w:r w:rsidRPr="000E5DBF">
              <w:rPr>
                <w:color w:val="000000"/>
                <w:sz w:val="14"/>
                <w:szCs w:val="14"/>
              </w:rPr>
              <w:t>0,00</w:t>
            </w:r>
          </w:p>
        </w:tc>
        <w:tc>
          <w:tcPr>
            <w:tcW w:w="567" w:type="dxa"/>
            <w:gridSpan w:val="2"/>
            <w:tcBorders>
              <w:top w:val="nil"/>
              <w:left w:val="nil"/>
              <w:bottom w:val="single" w:sz="4" w:space="0" w:color="auto"/>
              <w:right w:val="single" w:sz="4" w:space="0" w:color="auto"/>
            </w:tcBorders>
            <w:shd w:val="clear" w:color="auto" w:fill="auto"/>
            <w:tcMar>
              <w:left w:w="0" w:type="dxa"/>
              <w:right w:w="0" w:type="dxa"/>
            </w:tcMar>
            <w:vAlign w:val="center"/>
          </w:tcPr>
          <w:p w14:paraId="71F614C8" w14:textId="77777777" w:rsidR="00F22587" w:rsidRPr="000E5DBF" w:rsidRDefault="00F22587" w:rsidP="008A5C11">
            <w:pPr>
              <w:jc w:val="center"/>
              <w:rPr>
                <w:color w:val="000000"/>
                <w:sz w:val="14"/>
                <w:szCs w:val="14"/>
              </w:rPr>
            </w:pPr>
            <w:r w:rsidRPr="000E5DBF">
              <w:rPr>
                <w:color w:val="000000"/>
                <w:sz w:val="14"/>
                <w:szCs w:val="14"/>
              </w:rPr>
              <w:t>0,00</w:t>
            </w:r>
          </w:p>
        </w:tc>
        <w:tc>
          <w:tcPr>
            <w:tcW w:w="565" w:type="dxa"/>
            <w:tcBorders>
              <w:top w:val="nil"/>
              <w:left w:val="nil"/>
              <w:bottom w:val="single" w:sz="4" w:space="0" w:color="auto"/>
              <w:right w:val="single" w:sz="4" w:space="0" w:color="auto"/>
            </w:tcBorders>
            <w:shd w:val="clear" w:color="auto" w:fill="auto"/>
            <w:tcMar>
              <w:left w:w="0" w:type="dxa"/>
              <w:right w:w="0" w:type="dxa"/>
            </w:tcMar>
            <w:vAlign w:val="center"/>
          </w:tcPr>
          <w:p w14:paraId="08882C27" w14:textId="77777777" w:rsidR="00F22587" w:rsidRPr="000E5DBF" w:rsidRDefault="00F22587" w:rsidP="008A5C11">
            <w:pPr>
              <w:jc w:val="center"/>
              <w:rPr>
                <w:color w:val="000000"/>
                <w:sz w:val="14"/>
                <w:szCs w:val="14"/>
              </w:rPr>
            </w:pPr>
            <w:r w:rsidRPr="000E5DBF">
              <w:rPr>
                <w:color w:val="000000"/>
                <w:sz w:val="14"/>
                <w:szCs w:val="14"/>
              </w:rPr>
              <w:t>7986,24</w:t>
            </w:r>
          </w:p>
        </w:tc>
        <w:tc>
          <w:tcPr>
            <w:tcW w:w="567" w:type="dxa"/>
            <w:tcBorders>
              <w:top w:val="nil"/>
              <w:left w:val="nil"/>
              <w:bottom w:val="single" w:sz="4" w:space="0" w:color="auto"/>
              <w:right w:val="single" w:sz="4" w:space="0" w:color="auto"/>
            </w:tcBorders>
            <w:shd w:val="clear" w:color="auto" w:fill="auto"/>
            <w:tcMar>
              <w:left w:w="0" w:type="dxa"/>
              <w:right w:w="0" w:type="dxa"/>
            </w:tcMar>
            <w:vAlign w:val="center"/>
          </w:tcPr>
          <w:p w14:paraId="6B12926E" w14:textId="77777777" w:rsidR="00F22587" w:rsidRPr="000E5DBF" w:rsidRDefault="00F22587" w:rsidP="008A5C11">
            <w:pPr>
              <w:jc w:val="center"/>
              <w:rPr>
                <w:color w:val="000000"/>
                <w:sz w:val="14"/>
                <w:szCs w:val="14"/>
              </w:rPr>
            </w:pPr>
            <w:r w:rsidRPr="000E5DBF">
              <w:rPr>
                <w:color w:val="000000"/>
                <w:sz w:val="14"/>
                <w:szCs w:val="14"/>
              </w:rPr>
              <w:t>0,00</w:t>
            </w:r>
          </w:p>
        </w:tc>
        <w:tc>
          <w:tcPr>
            <w:tcW w:w="568" w:type="dxa"/>
            <w:tcBorders>
              <w:top w:val="nil"/>
              <w:left w:val="nil"/>
              <w:bottom w:val="single" w:sz="4" w:space="0" w:color="auto"/>
              <w:right w:val="single" w:sz="4" w:space="0" w:color="auto"/>
            </w:tcBorders>
            <w:shd w:val="clear" w:color="auto" w:fill="auto"/>
            <w:tcMar>
              <w:left w:w="0" w:type="dxa"/>
              <w:right w:w="0" w:type="dxa"/>
            </w:tcMar>
            <w:vAlign w:val="center"/>
          </w:tcPr>
          <w:p w14:paraId="428883FE" w14:textId="77777777" w:rsidR="00F22587" w:rsidRPr="000E5DBF" w:rsidRDefault="00F22587" w:rsidP="008A5C11">
            <w:pPr>
              <w:jc w:val="center"/>
              <w:rPr>
                <w:color w:val="000000"/>
                <w:sz w:val="14"/>
                <w:szCs w:val="14"/>
              </w:rPr>
            </w:pPr>
            <w:r w:rsidRPr="000E5DBF">
              <w:rPr>
                <w:color w:val="000000"/>
                <w:sz w:val="14"/>
                <w:szCs w:val="14"/>
              </w:rPr>
              <w:t>0,00</w:t>
            </w:r>
          </w:p>
        </w:tc>
        <w:tc>
          <w:tcPr>
            <w:tcW w:w="569" w:type="dxa"/>
            <w:tcBorders>
              <w:top w:val="nil"/>
              <w:left w:val="nil"/>
              <w:bottom w:val="single" w:sz="4" w:space="0" w:color="auto"/>
              <w:right w:val="single" w:sz="4" w:space="0" w:color="auto"/>
            </w:tcBorders>
            <w:shd w:val="clear" w:color="auto" w:fill="auto"/>
            <w:tcMar>
              <w:left w:w="0" w:type="dxa"/>
              <w:right w:w="0" w:type="dxa"/>
            </w:tcMar>
            <w:vAlign w:val="center"/>
          </w:tcPr>
          <w:p w14:paraId="0A3C6ED5" w14:textId="77777777" w:rsidR="00F22587" w:rsidRPr="000E5DBF" w:rsidRDefault="00F22587" w:rsidP="008A5C11">
            <w:pPr>
              <w:jc w:val="center"/>
              <w:rPr>
                <w:color w:val="000000"/>
                <w:sz w:val="14"/>
                <w:szCs w:val="14"/>
              </w:rPr>
            </w:pPr>
            <w:r w:rsidRPr="000E5DBF">
              <w:rPr>
                <w:color w:val="000000"/>
                <w:sz w:val="14"/>
                <w:szCs w:val="14"/>
              </w:rPr>
              <w:t>0,00</w:t>
            </w:r>
          </w:p>
        </w:tc>
        <w:tc>
          <w:tcPr>
            <w:tcW w:w="562" w:type="dxa"/>
            <w:tcBorders>
              <w:top w:val="nil"/>
              <w:left w:val="nil"/>
              <w:bottom w:val="single" w:sz="4" w:space="0" w:color="auto"/>
              <w:right w:val="single" w:sz="4" w:space="0" w:color="auto"/>
            </w:tcBorders>
            <w:shd w:val="clear" w:color="auto" w:fill="auto"/>
            <w:tcMar>
              <w:left w:w="0" w:type="dxa"/>
              <w:right w:w="0" w:type="dxa"/>
            </w:tcMar>
            <w:vAlign w:val="center"/>
          </w:tcPr>
          <w:p w14:paraId="4B74A6C3" w14:textId="77777777" w:rsidR="00F22587" w:rsidRPr="000E5DBF" w:rsidRDefault="00F22587" w:rsidP="008A5C11">
            <w:pPr>
              <w:jc w:val="center"/>
              <w:rPr>
                <w:color w:val="000000"/>
                <w:sz w:val="14"/>
                <w:szCs w:val="14"/>
              </w:rPr>
            </w:pPr>
            <w:r w:rsidRPr="000E5DBF">
              <w:rPr>
                <w:color w:val="000000"/>
                <w:sz w:val="14"/>
                <w:szCs w:val="14"/>
              </w:rPr>
              <w:t>0,00</w:t>
            </w:r>
          </w:p>
        </w:tc>
        <w:tc>
          <w:tcPr>
            <w:tcW w:w="290" w:type="dxa"/>
            <w:tcBorders>
              <w:top w:val="nil"/>
              <w:left w:val="nil"/>
              <w:bottom w:val="single" w:sz="4" w:space="0" w:color="auto"/>
              <w:right w:val="single" w:sz="4" w:space="0" w:color="auto"/>
            </w:tcBorders>
            <w:shd w:val="clear" w:color="auto" w:fill="auto"/>
            <w:tcMar>
              <w:left w:w="0" w:type="dxa"/>
              <w:right w:w="0" w:type="dxa"/>
            </w:tcMar>
            <w:vAlign w:val="center"/>
          </w:tcPr>
          <w:p w14:paraId="552E6852" w14:textId="77777777" w:rsidR="00F22587" w:rsidRPr="000E5DBF" w:rsidRDefault="00F22587" w:rsidP="008A5C11">
            <w:pPr>
              <w:jc w:val="center"/>
              <w:rPr>
                <w:color w:val="000000"/>
                <w:sz w:val="14"/>
                <w:szCs w:val="14"/>
              </w:rPr>
            </w:pPr>
            <w:r w:rsidRPr="000E5DBF">
              <w:rPr>
                <w:color w:val="000000"/>
                <w:sz w:val="14"/>
                <w:szCs w:val="14"/>
              </w:rPr>
              <w:t>0,00</w:t>
            </w:r>
          </w:p>
        </w:tc>
        <w:tc>
          <w:tcPr>
            <w:tcW w:w="425" w:type="dxa"/>
            <w:gridSpan w:val="2"/>
            <w:tcBorders>
              <w:top w:val="nil"/>
              <w:left w:val="nil"/>
              <w:bottom w:val="single" w:sz="4" w:space="0" w:color="auto"/>
              <w:right w:val="single" w:sz="4" w:space="0" w:color="auto"/>
            </w:tcBorders>
            <w:shd w:val="clear" w:color="auto" w:fill="auto"/>
            <w:tcMar>
              <w:left w:w="0" w:type="dxa"/>
              <w:right w:w="0" w:type="dxa"/>
            </w:tcMar>
            <w:vAlign w:val="center"/>
          </w:tcPr>
          <w:p w14:paraId="7064F7B0" w14:textId="77777777" w:rsidR="00F22587" w:rsidRPr="000E5DBF" w:rsidRDefault="00F22587" w:rsidP="008A5C11">
            <w:pPr>
              <w:jc w:val="center"/>
              <w:rPr>
                <w:color w:val="000000"/>
                <w:sz w:val="14"/>
                <w:szCs w:val="14"/>
              </w:rPr>
            </w:pPr>
            <w:r w:rsidRPr="000E5DBF">
              <w:rPr>
                <w:color w:val="000000"/>
                <w:sz w:val="14"/>
                <w:szCs w:val="14"/>
              </w:rPr>
              <w:t>0,00</w:t>
            </w:r>
          </w:p>
        </w:tc>
      </w:tr>
      <w:tr w:rsidR="00F22587" w:rsidRPr="000E5DBF" w14:paraId="7DFBEDFC" w14:textId="77777777" w:rsidTr="008A5C11">
        <w:trPr>
          <w:cantSplit/>
          <w:trHeight w:val="270"/>
        </w:trPr>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36F03C1" w14:textId="77777777" w:rsidR="00F22587" w:rsidRPr="000E5DBF" w:rsidRDefault="00F22587" w:rsidP="008A5C11">
            <w:pPr>
              <w:jc w:val="center"/>
              <w:rPr>
                <w:color w:val="000000"/>
                <w:sz w:val="14"/>
                <w:szCs w:val="14"/>
              </w:rPr>
            </w:pPr>
            <w:r w:rsidRPr="000E5DBF">
              <w:rPr>
                <w:color w:val="000000"/>
                <w:sz w:val="14"/>
                <w:szCs w:val="14"/>
              </w:rPr>
              <w:t>1</w:t>
            </w:r>
          </w:p>
        </w:tc>
        <w:tc>
          <w:tcPr>
            <w:tcW w:w="143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4EFEE56" w14:textId="77777777" w:rsidR="00F22587" w:rsidRPr="000E5DBF" w:rsidRDefault="00F22587" w:rsidP="008A5C11">
            <w:pPr>
              <w:jc w:val="center"/>
              <w:rPr>
                <w:color w:val="000000"/>
                <w:sz w:val="14"/>
                <w:szCs w:val="14"/>
              </w:rPr>
            </w:pPr>
            <w:r w:rsidRPr="000E5DBF">
              <w:rPr>
                <w:color w:val="000000"/>
                <w:sz w:val="14"/>
                <w:szCs w:val="14"/>
              </w:rPr>
              <w:t>2</w:t>
            </w:r>
          </w:p>
        </w:tc>
        <w:tc>
          <w:tcPr>
            <w:tcW w:w="97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397304E" w14:textId="77777777" w:rsidR="00F22587" w:rsidRPr="000E5DBF" w:rsidRDefault="00F22587" w:rsidP="008A5C11">
            <w:pPr>
              <w:jc w:val="center"/>
              <w:rPr>
                <w:color w:val="000000"/>
                <w:sz w:val="14"/>
                <w:szCs w:val="14"/>
              </w:rPr>
            </w:pPr>
            <w:r w:rsidRPr="000E5DBF">
              <w:rPr>
                <w:color w:val="000000"/>
                <w:sz w:val="14"/>
                <w:szCs w:val="1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A252317" w14:textId="77777777" w:rsidR="00F22587" w:rsidRPr="000E5DBF" w:rsidRDefault="00F22587" w:rsidP="008A5C11">
            <w:pPr>
              <w:jc w:val="center"/>
              <w:rPr>
                <w:color w:val="000000"/>
                <w:sz w:val="14"/>
                <w:szCs w:val="14"/>
              </w:rPr>
            </w:pPr>
            <w:r w:rsidRPr="000E5DBF">
              <w:rPr>
                <w:color w:val="000000"/>
                <w:sz w:val="14"/>
                <w:szCs w:val="14"/>
              </w:rPr>
              <w:t>4</w:t>
            </w:r>
          </w:p>
        </w:tc>
        <w:tc>
          <w:tcPr>
            <w:tcW w:w="99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DBFDB7B" w14:textId="77777777" w:rsidR="00F22587" w:rsidRPr="000E5DBF" w:rsidRDefault="00F22587" w:rsidP="008A5C11">
            <w:pPr>
              <w:jc w:val="center"/>
              <w:rPr>
                <w:color w:val="000000"/>
                <w:sz w:val="14"/>
                <w:szCs w:val="14"/>
              </w:rPr>
            </w:pPr>
            <w:r w:rsidRPr="000E5DBF">
              <w:rPr>
                <w:color w:val="000000"/>
                <w:sz w:val="14"/>
                <w:szCs w:val="14"/>
              </w:rPr>
              <w:t>5</w:t>
            </w:r>
          </w:p>
        </w:tc>
        <w:tc>
          <w:tcPr>
            <w:tcW w:w="42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453EB61" w14:textId="77777777" w:rsidR="00F22587" w:rsidRPr="000E5DBF" w:rsidRDefault="00F22587" w:rsidP="008A5C11">
            <w:pPr>
              <w:jc w:val="center"/>
              <w:rPr>
                <w:color w:val="000000"/>
                <w:sz w:val="14"/>
                <w:szCs w:val="14"/>
              </w:rPr>
            </w:pPr>
            <w:r w:rsidRPr="000E5DBF">
              <w:rPr>
                <w:color w:val="000000"/>
                <w:sz w:val="14"/>
                <w:szCs w:val="14"/>
              </w:rPr>
              <w:t>6</w:t>
            </w:r>
          </w:p>
        </w:tc>
        <w:tc>
          <w:tcPr>
            <w:tcW w:w="7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279BF15" w14:textId="77777777" w:rsidR="00F22587" w:rsidRPr="000E5DBF" w:rsidRDefault="00F22587" w:rsidP="008A5C11">
            <w:pPr>
              <w:jc w:val="center"/>
              <w:rPr>
                <w:color w:val="000000"/>
                <w:sz w:val="14"/>
                <w:szCs w:val="14"/>
              </w:rPr>
            </w:pPr>
            <w:r w:rsidRPr="000E5DBF">
              <w:rPr>
                <w:color w:val="000000"/>
                <w:sz w:val="14"/>
                <w:szCs w:val="14"/>
              </w:rPr>
              <w:t>7</w:t>
            </w:r>
          </w:p>
        </w:tc>
        <w:tc>
          <w:tcPr>
            <w:tcW w:w="7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3A4501D" w14:textId="77777777" w:rsidR="00F22587" w:rsidRPr="000E5DBF" w:rsidRDefault="00F22587" w:rsidP="008A5C11">
            <w:pPr>
              <w:jc w:val="center"/>
              <w:rPr>
                <w:color w:val="000000"/>
                <w:sz w:val="14"/>
                <w:szCs w:val="14"/>
              </w:rPr>
            </w:pPr>
            <w:r w:rsidRPr="000E5DBF">
              <w:rPr>
                <w:color w:val="000000"/>
                <w:sz w:val="14"/>
                <w:szCs w:val="14"/>
              </w:rPr>
              <w:t>8</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1A226F3" w14:textId="77777777" w:rsidR="00F22587" w:rsidRPr="000E5DBF" w:rsidRDefault="00F22587" w:rsidP="008A5C11">
            <w:pPr>
              <w:jc w:val="center"/>
              <w:rPr>
                <w:color w:val="000000"/>
                <w:sz w:val="14"/>
                <w:szCs w:val="14"/>
              </w:rPr>
            </w:pPr>
            <w:r w:rsidRPr="000E5DBF">
              <w:rPr>
                <w:color w:val="000000"/>
                <w:sz w:val="14"/>
                <w:szCs w:val="14"/>
              </w:rPr>
              <w:t>9</w:t>
            </w:r>
          </w:p>
        </w:tc>
        <w:tc>
          <w:tcPr>
            <w:tcW w:w="4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4BD1DE1" w14:textId="77777777" w:rsidR="00F22587" w:rsidRPr="000E5DBF" w:rsidRDefault="00F22587" w:rsidP="008A5C11">
            <w:pPr>
              <w:jc w:val="center"/>
              <w:rPr>
                <w:color w:val="000000"/>
                <w:sz w:val="14"/>
                <w:szCs w:val="14"/>
              </w:rPr>
            </w:pPr>
            <w:r w:rsidRPr="000E5DBF">
              <w:rPr>
                <w:color w:val="000000"/>
                <w:sz w:val="14"/>
                <w:szCs w:val="14"/>
              </w:rPr>
              <w:t>10</w:t>
            </w:r>
          </w:p>
        </w:tc>
        <w:tc>
          <w:tcPr>
            <w:tcW w:w="56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6302643" w14:textId="77777777" w:rsidR="00F22587" w:rsidRPr="000E5DBF" w:rsidRDefault="00F22587" w:rsidP="008A5C11">
            <w:pPr>
              <w:jc w:val="center"/>
              <w:rPr>
                <w:color w:val="000000"/>
                <w:sz w:val="14"/>
                <w:szCs w:val="14"/>
              </w:rPr>
            </w:pPr>
            <w:r w:rsidRPr="000E5DBF">
              <w:rPr>
                <w:color w:val="000000"/>
                <w:sz w:val="14"/>
                <w:szCs w:val="14"/>
              </w:rPr>
              <w:t>11</w:t>
            </w:r>
          </w:p>
        </w:tc>
        <w:tc>
          <w:tcPr>
            <w:tcW w:w="443"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038DD44" w14:textId="77777777" w:rsidR="00F22587" w:rsidRPr="000E5DBF" w:rsidRDefault="00F22587" w:rsidP="008A5C11">
            <w:pPr>
              <w:jc w:val="center"/>
              <w:rPr>
                <w:color w:val="000000"/>
                <w:sz w:val="14"/>
                <w:szCs w:val="14"/>
              </w:rPr>
            </w:pPr>
            <w:r w:rsidRPr="000E5DBF">
              <w:rPr>
                <w:color w:val="000000"/>
                <w:sz w:val="14"/>
                <w:szCs w:val="14"/>
              </w:rPr>
              <w:t>12</w:t>
            </w:r>
          </w:p>
        </w:tc>
        <w:tc>
          <w:tcPr>
            <w:tcW w:w="554" w:type="dxa"/>
            <w:tcBorders>
              <w:top w:val="single" w:sz="4" w:space="0" w:color="auto"/>
              <w:left w:val="single" w:sz="4" w:space="0" w:color="auto"/>
              <w:bottom w:val="single" w:sz="4" w:space="0" w:color="auto"/>
              <w:right w:val="single" w:sz="4" w:space="0" w:color="auto"/>
            </w:tcBorders>
            <w:shd w:val="clear" w:color="000000" w:fill="FFFFFF"/>
            <w:tcMar>
              <w:left w:w="0" w:type="dxa"/>
              <w:right w:w="0" w:type="dxa"/>
            </w:tcMar>
            <w:vAlign w:val="center"/>
          </w:tcPr>
          <w:p w14:paraId="108D362C" w14:textId="77777777" w:rsidR="00F22587" w:rsidRPr="000E5DBF" w:rsidRDefault="00F22587" w:rsidP="008A5C11">
            <w:pPr>
              <w:jc w:val="center"/>
              <w:rPr>
                <w:color w:val="000000"/>
                <w:sz w:val="14"/>
                <w:szCs w:val="14"/>
              </w:rPr>
            </w:pPr>
            <w:r w:rsidRPr="000E5DBF">
              <w:rPr>
                <w:color w:val="000000"/>
                <w:sz w:val="14"/>
                <w:szCs w:val="14"/>
              </w:rPr>
              <w:t>13</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463FFDE" w14:textId="77777777" w:rsidR="00F22587" w:rsidRPr="000E5DBF" w:rsidRDefault="00F22587" w:rsidP="008A5C11">
            <w:pPr>
              <w:jc w:val="center"/>
              <w:rPr>
                <w:color w:val="000000"/>
                <w:sz w:val="14"/>
                <w:szCs w:val="14"/>
              </w:rPr>
            </w:pPr>
            <w:r w:rsidRPr="000E5DBF">
              <w:rPr>
                <w:color w:val="000000"/>
                <w:sz w:val="14"/>
                <w:szCs w:val="14"/>
              </w:rPr>
              <w:t>14</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B5B9EDF" w14:textId="77777777" w:rsidR="00F22587" w:rsidRPr="000E5DBF" w:rsidRDefault="00F22587" w:rsidP="008A5C11">
            <w:pPr>
              <w:jc w:val="center"/>
              <w:rPr>
                <w:color w:val="000000"/>
                <w:sz w:val="14"/>
                <w:szCs w:val="14"/>
              </w:rPr>
            </w:pPr>
            <w:r w:rsidRPr="000E5DBF">
              <w:rPr>
                <w:color w:val="000000"/>
                <w:sz w:val="14"/>
                <w:szCs w:val="14"/>
              </w:rPr>
              <w:t>15</w:t>
            </w:r>
          </w:p>
        </w:tc>
        <w:tc>
          <w:tcPr>
            <w:tcW w:w="56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4EAA5D4" w14:textId="77777777" w:rsidR="00F22587" w:rsidRPr="000E5DBF" w:rsidRDefault="00F22587" w:rsidP="008A5C11">
            <w:pPr>
              <w:jc w:val="center"/>
              <w:rPr>
                <w:color w:val="000000"/>
                <w:sz w:val="14"/>
                <w:szCs w:val="14"/>
              </w:rPr>
            </w:pPr>
            <w:r w:rsidRPr="000E5DBF">
              <w:rPr>
                <w:color w:val="000000"/>
                <w:sz w:val="14"/>
                <w:szCs w:val="14"/>
              </w:rPr>
              <w:t>16</w:t>
            </w:r>
          </w:p>
        </w:tc>
        <w:tc>
          <w:tcPr>
            <w:tcW w:w="56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8E8A789" w14:textId="77777777" w:rsidR="00F22587" w:rsidRPr="000E5DBF" w:rsidRDefault="00F22587" w:rsidP="008A5C11">
            <w:pPr>
              <w:jc w:val="center"/>
              <w:rPr>
                <w:color w:val="000000"/>
                <w:sz w:val="14"/>
                <w:szCs w:val="14"/>
              </w:rPr>
            </w:pPr>
            <w:r w:rsidRPr="000E5DBF">
              <w:rPr>
                <w:color w:val="000000"/>
                <w:sz w:val="14"/>
                <w:szCs w:val="14"/>
              </w:rPr>
              <w:t>17</w:t>
            </w:r>
          </w:p>
        </w:tc>
        <w:tc>
          <w:tcPr>
            <w:tcW w:w="56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06FED5D" w14:textId="77777777" w:rsidR="00F22587" w:rsidRPr="000E5DBF" w:rsidRDefault="00F22587" w:rsidP="008A5C11">
            <w:pPr>
              <w:jc w:val="center"/>
              <w:rPr>
                <w:color w:val="000000"/>
                <w:sz w:val="14"/>
                <w:szCs w:val="14"/>
              </w:rPr>
            </w:pPr>
            <w:r w:rsidRPr="000E5DBF">
              <w:rPr>
                <w:color w:val="000000"/>
                <w:sz w:val="14"/>
                <w:szCs w:val="14"/>
              </w:rPr>
              <w:t>18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0F1E446" w14:textId="77777777" w:rsidR="00F22587" w:rsidRPr="000E5DBF" w:rsidRDefault="00F22587" w:rsidP="008A5C11">
            <w:pPr>
              <w:jc w:val="center"/>
              <w:rPr>
                <w:color w:val="000000"/>
                <w:sz w:val="14"/>
                <w:szCs w:val="14"/>
              </w:rPr>
            </w:pPr>
            <w:r w:rsidRPr="000E5DBF">
              <w:rPr>
                <w:color w:val="000000"/>
                <w:sz w:val="14"/>
                <w:szCs w:val="14"/>
              </w:rPr>
              <w:t>19</w:t>
            </w:r>
          </w:p>
        </w:tc>
        <w:tc>
          <w:tcPr>
            <w:tcW w:w="56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ACF22F3" w14:textId="77777777" w:rsidR="00F22587" w:rsidRPr="000E5DBF" w:rsidRDefault="00F22587" w:rsidP="008A5C11">
            <w:pPr>
              <w:jc w:val="center"/>
              <w:rPr>
                <w:color w:val="000000"/>
                <w:sz w:val="14"/>
                <w:szCs w:val="14"/>
              </w:rPr>
            </w:pPr>
            <w:r w:rsidRPr="000E5DBF">
              <w:rPr>
                <w:color w:val="000000"/>
                <w:sz w:val="14"/>
                <w:szCs w:val="14"/>
              </w:rPr>
              <w:t>20</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77CB618" w14:textId="77777777" w:rsidR="00F22587" w:rsidRPr="000E5DBF" w:rsidRDefault="00F22587" w:rsidP="008A5C11">
            <w:pPr>
              <w:jc w:val="center"/>
              <w:rPr>
                <w:color w:val="000000"/>
                <w:sz w:val="14"/>
                <w:szCs w:val="14"/>
              </w:rPr>
            </w:pPr>
            <w:r w:rsidRPr="000E5DBF">
              <w:rPr>
                <w:color w:val="000000"/>
                <w:sz w:val="14"/>
                <w:szCs w:val="14"/>
              </w:rPr>
              <w:t>21</w:t>
            </w:r>
          </w:p>
        </w:tc>
        <w:tc>
          <w:tcPr>
            <w:tcW w:w="56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76628D42" w14:textId="77777777" w:rsidR="00F22587" w:rsidRPr="000E5DBF" w:rsidRDefault="00F22587" w:rsidP="008A5C11">
            <w:pPr>
              <w:jc w:val="center"/>
              <w:rPr>
                <w:color w:val="000000"/>
                <w:sz w:val="14"/>
                <w:szCs w:val="14"/>
              </w:rPr>
            </w:pPr>
            <w:r w:rsidRPr="000E5DBF">
              <w:rPr>
                <w:color w:val="000000"/>
                <w:sz w:val="14"/>
                <w:szCs w:val="14"/>
              </w:rPr>
              <w:t>22</w:t>
            </w:r>
          </w:p>
        </w:tc>
        <w:tc>
          <w:tcPr>
            <w:tcW w:w="56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DD21550" w14:textId="77777777" w:rsidR="00F22587" w:rsidRPr="000E5DBF" w:rsidRDefault="00F22587" w:rsidP="008A5C11">
            <w:pPr>
              <w:jc w:val="center"/>
              <w:rPr>
                <w:color w:val="000000"/>
                <w:sz w:val="14"/>
                <w:szCs w:val="14"/>
              </w:rPr>
            </w:pPr>
            <w:r w:rsidRPr="000E5DBF">
              <w:rPr>
                <w:color w:val="000000"/>
                <w:sz w:val="14"/>
                <w:szCs w:val="14"/>
              </w:rPr>
              <w:t>23</w:t>
            </w:r>
          </w:p>
        </w:tc>
        <w:tc>
          <w:tcPr>
            <w:tcW w:w="56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F886D1D" w14:textId="77777777" w:rsidR="00F22587" w:rsidRPr="000E5DBF" w:rsidRDefault="00F22587" w:rsidP="008A5C11">
            <w:pPr>
              <w:jc w:val="center"/>
              <w:rPr>
                <w:color w:val="000000"/>
                <w:sz w:val="14"/>
                <w:szCs w:val="14"/>
              </w:rPr>
            </w:pPr>
            <w:r w:rsidRPr="000E5DBF">
              <w:rPr>
                <w:color w:val="000000"/>
                <w:sz w:val="14"/>
                <w:szCs w:val="14"/>
              </w:rPr>
              <w:t>24</w:t>
            </w:r>
          </w:p>
        </w:tc>
        <w:tc>
          <w:tcPr>
            <w:tcW w:w="29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FCEBD36" w14:textId="77777777" w:rsidR="00F22587" w:rsidRPr="000E5DBF" w:rsidRDefault="00F22587" w:rsidP="008A5C11">
            <w:pPr>
              <w:jc w:val="center"/>
              <w:rPr>
                <w:color w:val="000000"/>
                <w:sz w:val="14"/>
                <w:szCs w:val="14"/>
              </w:rPr>
            </w:pPr>
            <w:r w:rsidRPr="000E5DBF">
              <w:rPr>
                <w:color w:val="000000"/>
                <w:sz w:val="14"/>
                <w:szCs w:val="14"/>
              </w:rPr>
              <w:t>25</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93DABFD" w14:textId="77777777" w:rsidR="00F22587" w:rsidRPr="000E5DBF" w:rsidRDefault="00F22587" w:rsidP="008A5C11">
            <w:pPr>
              <w:jc w:val="center"/>
              <w:rPr>
                <w:color w:val="000000"/>
                <w:sz w:val="14"/>
                <w:szCs w:val="14"/>
              </w:rPr>
            </w:pPr>
            <w:r w:rsidRPr="000E5DBF">
              <w:rPr>
                <w:color w:val="000000"/>
                <w:sz w:val="14"/>
                <w:szCs w:val="14"/>
              </w:rPr>
              <w:t>26</w:t>
            </w:r>
          </w:p>
        </w:tc>
      </w:tr>
      <w:tr w:rsidR="00F22587" w:rsidRPr="000E5DBF" w14:paraId="43786DFF" w14:textId="77777777" w:rsidTr="008A5C11">
        <w:trPr>
          <w:cantSplit/>
          <w:trHeight w:val="551"/>
        </w:trPr>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44E5DE06" w14:textId="77777777" w:rsidR="00F22587" w:rsidRPr="000E5DBF" w:rsidRDefault="00F22587" w:rsidP="008A5C11">
            <w:pPr>
              <w:jc w:val="center"/>
              <w:rPr>
                <w:color w:val="000000"/>
                <w:sz w:val="14"/>
                <w:szCs w:val="14"/>
              </w:rPr>
            </w:pPr>
            <w:r w:rsidRPr="000E5DBF">
              <w:rPr>
                <w:color w:val="000000"/>
                <w:sz w:val="14"/>
                <w:szCs w:val="14"/>
              </w:rPr>
              <w:t>3.2.4.</w:t>
            </w:r>
          </w:p>
        </w:tc>
        <w:tc>
          <w:tcPr>
            <w:tcW w:w="1434"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1836139" w14:textId="77777777" w:rsidR="00F22587" w:rsidRPr="000E5DBF" w:rsidRDefault="00F22587" w:rsidP="008A5C11">
            <w:pPr>
              <w:jc w:val="center"/>
              <w:rPr>
                <w:color w:val="000000"/>
                <w:sz w:val="14"/>
                <w:szCs w:val="14"/>
              </w:rPr>
            </w:pPr>
            <w:r w:rsidRPr="000E5DBF">
              <w:rPr>
                <w:color w:val="000000"/>
                <w:sz w:val="14"/>
                <w:szCs w:val="14"/>
              </w:rPr>
              <w:t>Установка автоматизированной котельной</w:t>
            </w:r>
          </w:p>
          <w:p w14:paraId="6835A7C3" w14:textId="77777777" w:rsidR="00F22587" w:rsidRPr="000E5DBF" w:rsidRDefault="00F22587" w:rsidP="008A5C11">
            <w:pPr>
              <w:jc w:val="center"/>
              <w:rPr>
                <w:color w:val="000000"/>
                <w:sz w:val="14"/>
                <w:szCs w:val="14"/>
              </w:rPr>
            </w:pPr>
            <w:r w:rsidRPr="000E5DBF">
              <w:rPr>
                <w:color w:val="000000"/>
                <w:sz w:val="14"/>
                <w:szCs w:val="14"/>
              </w:rPr>
              <w:t xml:space="preserve"> школы № 10</w:t>
            </w:r>
          </w:p>
        </w:tc>
        <w:tc>
          <w:tcPr>
            <w:tcW w:w="971"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D71DECB" w14:textId="77777777" w:rsidR="00F22587" w:rsidRPr="000E5DBF" w:rsidRDefault="00F22587" w:rsidP="008A5C11">
            <w:pPr>
              <w:jc w:val="center"/>
              <w:rPr>
                <w:color w:val="000000"/>
                <w:sz w:val="14"/>
                <w:szCs w:val="14"/>
              </w:rPr>
            </w:pPr>
            <w:r w:rsidRPr="000E5DBF">
              <w:rPr>
                <w:color w:val="000000"/>
                <w:sz w:val="14"/>
                <w:szCs w:val="14"/>
              </w:rPr>
              <w:t>Снижение расхода топлива</w:t>
            </w:r>
          </w:p>
        </w:tc>
        <w:tc>
          <w:tcPr>
            <w:tcW w:w="993"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47D14B9" w14:textId="77777777" w:rsidR="00F22587" w:rsidRPr="000E5DBF" w:rsidRDefault="00F22587" w:rsidP="008A5C11">
            <w:pPr>
              <w:jc w:val="center"/>
              <w:rPr>
                <w:color w:val="000000"/>
                <w:sz w:val="14"/>
                <w:szCs w:val="14"/>
              </w:rPr>
            </w:pPr>
            <w:r w:rsidRPr="000E5DBF">
              <w:rPr>
                <w:color w:val="000000"/>
                <w:sz w:val="14"/>
                <w:szCs w:val="14"/>
              </w:rPr>
              <w:t>ул. 40 лет ВЛКСМ, 28</w:t>
            </w:r>
          </w:p>
        </w:tc>
        <w:tc>
          <w:tcPr>
            <w:tcW w:w="991"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D90C42B" w14:textId="77777777" w:rsidR="00F22587" w:rsidRPr="000E5DBF" w:rsidRDefault="00F22587" w:rsidP="008A5C11">
            <w:pPr>
              <w:jc w:val="center"/>
              <w:rPr>
                <w:color w:val="000000"/>
                <w:sz w:val="14"/>
                <w:szCs w:val="14"/>
              </w:rPr>
            </w:pPr>
            <w:r w:rsidRPr="000E5DBF">
              <w:rPr>
                <w:color w:val="000000"/>
                <w:sz w:val="14"/>
                <w:szCs w:val="14"/>
              </w:rPr>
              <w:t>расход угля</w:t>
            </w:r>
          </w:p>
        </w:tc>
        <w:tc>
          <w:tcPr>
            <w:tcW w:w="426"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5C259A0" w14:textId="77777777" w:rsidR="00F22587" w:rsidRPr="000E5DBF" w:rsidRDefault="00F22587" w:rsidP="008A5C11">
            <w:pPr>
              <w:jc w:val="center"/>
              <w:rPr>
                <w:color w:val="000000"/>
                <w:sz w:val="14"/>
                <w:szCs w:val="14"/>
              </w:rPr>
            </w:pPr>
            <w:r w:rsidRPr="000E5DBF">
              <w:rPr>
                <w:color w:val="000000"/>
                <w:sz w:val="14"/>
                <w:szCs w:val="14"/>
              </w:rPr>
              <w:t>тн</w:t>
            </w:r>
          </w:p>
        </w:tc>
        <w:tc>
          <w:tcPr>
            <w:tcW w:w="713"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BF504DA" w14:textId="77777777" w:rsidR="00F22587" w:rsidRPr="000E5DBF" w:rsidRDefault="00F22587" w:rsidP="008A5C11">
            <w:pPr>
              <w:jc w:val="center"/>
              <w:rPr>
                <w:color w:val="000000"/>
                <w:sz w:val="14"/>
                <w:szCs w:val="14"/>
              </w:rPr>
            </w:pPr>
            <w:r w:rsidRPr="000E5DBF">
              <w:rPr>
                <w:color w:val="000000"/>
                <w:sz w:val="14"/>
                <w:szCs w:val="14"/>
              </w:rPr>
              <w:t>889</w:t>
            </w:r>
          </w:p>
        </w:tc>
        <w:tc>
          <w:tcPr>
            <w:tcW w:w="71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1C7DBBD" w14:textId="77777777" w:rsidR="00F22587" w:rsidRPr="000E5DBF" w:rsidRDefault="00F22587" w:rsidP="008A5C11">
            <w:pPr>
              <w:jc w:val="center"/>
              <w:rPr>
                <w:color w:val="000000"/>
                <w:sz w:val="14"/>
                <w:szCs w:val="14"/>
              </w:rPr>
            </w:pPr>
            <w:r w:rsidRPr="000E5DBF">
              <w:rPr>
                <w:color w:val="000000"/>
                <w:sz w:val="14"/>
                <w:szCs w:val="14"/>
              </w:rPr>
              <w:t>482</w:t>
            </w:r>
          </w:p>
        </w:tc>
        <w:tc>
          <w:tcPr>
            <w:tcW w:w="425" w:type="dxa"/>
            <w:gridSpan w:val="2"/>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B45B281" w14:textId="77777777" w:rsidR="00F22587" w:rsidRPr="000E5DBF" w:rsidRDefault="00F22587" w:rsidP="008A5C11">
            <w:pPr>
              <w:jc w:val="center"/>
              <w:rPr>
                <w:color w:val="000000"/>
                <w:sz w:val="14"/>
                <w:szCs w:val="14"/>
              </w:rPr>
            </w:pPr>
            <w:r w:rsidRPr="000E5DBF">
              <w:rPr>
                <w:color w:val="000000"/>
                <w:sz w:val="14"/>
                <w:szCs w:val="14"/>
              </w:rPr>
              <w:t>2027</w:t>
            </w:r>
          </w:p>
        </w:tc>
        <w:tc>
          <w:tcPr>
            <w:tcW w:w="413"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BDDFEB1" w14:textId="77777777" w:rsidR="00F22587" w:rsidRPr="000E5DBF" w:rsidRDefault="00F22587" w:rsidP="008A5C11">
            <w:pPr>
              <w:jc w:val="center"/>
              <w:rPr>
                <w:color w:val="000000"/>
                <w:sz w:val="14"/>
                <w:szCs w:val="14"/>
              </w:rPr>
            </w:pPr>
            <w:r w:rsidRPr="000E5DBF">
              <w:rPr>
                <w:color w:val="000000"/>
                <w:sz w:val="14"/>
                <w:szCs w:val="14"/>
              </w:rPr>
              <w:t>2028</w:t>
            </w:r>
          </w:p>
        </w:tc>
        <w:tc>
          <w:tcPr>
            <w:tcW w:w="568"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E80A1A5" w14:textId="77777777" w:rsidR="00F22587" w:rsidRPr="000E5DBF" w:rsidRDefault="00F22587" w:rsidP="008A5C11">
            <w:pPr>
              <w:jc w:val="center"/>
              <w:rPr>
                <w:color w:val="000000"/>
                <w:sz w:val="14"/>
                <w:szCs w:val="14"/>
              </w:rPr>
            </w:pPr>
            <w:r w:rsidRPr="000E5DBF">
              <w:rPr>
                <w:color w:val="000000"/>
                <w:sz w:val="14"/>
                <w:szCs w:val="14"/>
              </w:rPr>
              <w:t>10644,00</w:t>
            </w:r>
          </w:p>
        </w:tc>
        <w:tc>
          <w:tcPr>
            <w:tcW w:w="443" w:type="dxa"/>
            <w:gridSpan w:val="2"/>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7C60C83" w14:textId="77777777" w:rsidR="00F22587" w:rsidRPr="000E5DBF" w:rsidRDefault="00F22587" w:rsidP="008A5C11">
            <w:pPr>
              <w:jc w:val="center"/>
              <w:rPr>
                <w:color w:val="000000"/>
                <w:sz w:val="14"/>
                <w:szCs w:val="14"/>
              </w:rPr>
            </w:pPr>
            <w:r w:rsidRPr="000E5DBF">
              <w:rPr>
                <w:color w:val="000000"/>
                <w:sz w:val="14"/>
                <w:szCs w:val="14"/>
              </w:rPr>
              <w:t>0,00</w:t>
            </w:r>
          </w:p>
        </w:tc>
        <w:tc>
          <w:tcPr>
            <w:tcW w:w="554" w:type="dxa"/>
            <w:tcBorders>
              <w:top w:val="single" w:sz="4" w:space="0" w:color="auto"/>
              <w:left w:val="nil"/>
              <w:bottom w:val="single" w:sz="4" w:space="0" w:color="auto"/>
              <w:right w:val="single" w:sz="4" w:space="0" w:color="auto"/>
            </w:tcBorders>
            <w:shd w:val="clear" w:color="000000" w:fill="FFFFFF"/>
            <w:tcMar>
              <w:left w:w="0" w:type="dxa"/>
              <w:right w:w="0" w:type="dxa"/>
            </w:tcMar>
            <w:vAlign w:val="center"/>
          </w:tcPr>
          <w:p w14:paraId="43DAC1B3" w14:textId="77777777" w:rsidR="00F22587" w:rsidRPr="000E5DBF" w:rsidRDefault="00F22587" w:rsidP="008A5C11">
            <w:pPr>
              <w:jc w:val="center"/>
              <w:rPr>
                <w:color w:val="000000"/>
                <w:sz w:val="14"/>
                <w:szCs w:val="14"/>
              </w:rPr>
            </w:pPr>
            <w:r w:rsidRPr="000E5DBF">
              <w:rPr>
                <w:color w:val="000000"/>
                <w:sz w:val="14"/>
                <w:szCs w:val="14"/>
              </w:rPr>
              <w:t>0,00</w:t>
            </w:r>
          </w:p>
        </w:tc>
        <w:tc>
          <w:tcPr>
            <w:tcW w:w="56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A45CE23" w14:textId="77777777" w:rsidR="00F22587" w:rsidRPr="000E5DBF" w:rsidRDefault="00F22587" w:rsidP="008A5C11">
            <w:pPr>
              <w:jc w:val="center"/>
              <w:rPr>
                <w:color w:val="000000"/>
                <w:sz w:val="14"/>
                <w:szCs w:val="14"/>
              </w:rPr>
            </w:pPr>
            <w:r w:rsidRPr="000E5DBF">
              <w:rPr>
                <w:color w:val="000000"/>
                <w:sz w:val="14"/>
                <w:szCs w:val="14"/>
              </w:rPr>
              <w:t>0,00</w:t>
            </w:r>
          </w:p>
        </w:tc>
        <w:tc>
          <w:tcPr>
            <w:tcW w:w="56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301F3F3" w14:textId="77777777" w:rsidR="00F22587" w:rsidRPr="000E5DBF" w:rsidRDefault="00F22587" w:rsidP="008A5C11">
            <w:pPr>
              <w:jc w:val="center"/>
              <w:rPr>
                <w:color w:val="000000"/>
                <w:sz w:val="14"/>
                <w:szCs w:val="14"/>
              </w:rPr>
            </w:pPr>
            <w:r w:rsidRPr="000E5DBF">
              <w:rPr>
                <w:color w:val="000000"/>
                <w:sz w:val="14"/>
                <w:szCs w:val="14"/>
              </w:rPr>
              <w:t>0,00</w:t>
            </w:r>
          </w:p>
        </w:tc>
        <w:tc>
          <w:tcPr>
            <w:tcW w:w="561"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CF885F3" w14:textId="77777777" w:rsidR="00F22587" w:rsidRPr="000E5DBF" w:rsidRDefault="00F22587" w:rsidP="008A5C11">
            <w:pPr>
              <w:jc w:val="center"/>
              <w:rPr>
                <w:color w:val="000000"/>
                <w:sz w:val="14"/>
                <w:szCs w:val="14"/>
              </w:rPr>
            </w:pPr>
            <w:r w:rsidRPr="000E5DBF">
              <w:rPr>
                <w:color w:val="000000"/>
                <w:sz w:val="14"/>
                <w:szCs w:val="14"/>
              </w:rPr>
              <w:t>0,00</w:t>
            </w:r>
          </w:p>
        </w:tc>
        <w:tc>
          <w:tcPr>
            <w:tcW w:w="560"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537787F" w14:textId="77777777" w:rsidR="00F22587" w:rsidRPr="000E5DBF" w:rsidRDefault="00F22587" w:rsidP="008A5C11">
            <w:pPr>
              <w:jc w:val="center"/>
              <w:rPr>
                <w:color w:val="000000"/>
                <w:sz w:val="14"/>
                <w:szCs w:val="14"/>
              </w:rPr>
            </w:pPr>
            <w:r w:rsidRPr="000E5DBF">
              <w:rPr>
                <w:color w:val="000000"/>
                <w:sz w:val="14"/>
                <w:szCs w:val="14"/>
              </w:rPr>
              <w:t>0,00</w:t>
            </w:r>
          </w:p>
        </w:tc>
        <w:tc>
          <w:tcPr>
            <w:tcW w:w="569"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C1662F9" w14:textId="77777777" w:rsidR="00F22587" w:rsidRPr="000E5DBF" w:rsidRDefault="00F22587" w:rsidP="008A5C11">
            <w:pPr>
              <w:jc w:val="center"/>
              <w:rPr>
                <w:color w:val="000000"/>
                <w:sz w:val="14"/>
                <w:szCs w:val="14"/>
              </w:rPr>
            </w:pPr>
            <w:r w:rsidRPr="000E5DBF">
              <w:rPr>
                <w:color w:val="000000"/>
                <w:sz w:val="14"/>
                <w:szCs w:val="14"/>
              </w:rPr>
              <w:t>0,00</w:t>
            </w:r>
          </w:p>
        </w:tc>
        <w:tc>
          <w:tcPr>
            <w:tcW w:w="567" w:type="dxa"/>
            <w:gridSpan w:val="2"/>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1DFC532" w14:textId="77777777" w:rsidR="00F22587" w:rsidRPr="000E5DBF" w:rsidRDefault="00F22587" w:rsidP="008A5C11">
            <w:pPr>
              <w:jc w:val="center"/>
              <w:rPr>
                <w:color w:val="000000"/>
                <w:sz w:val="14"/>
                <w:szCs w:val="14"/>
              </w:rPr>
            </w:pPr>
            <w:r w:rsidRPr="000E5DBF">
              <w:rPr>
                <w:color w:val="000000"/>
                <w:sz w:val="14"/>
                <w:szCs w:val="14"/>
              </w:rPr>
              <w:t>0,00</w:t>
            </w:r>
          </w:p>
        </w:tc>
        <w:tc>
          <w:tcPr>
            <w:tcW w:w="56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09CE7BB" w14:textId="77777777" w:rsidR="00F22587" w:rsidRPr="000E5DBF" w:rsidRDefault="00F22587" w:rsidP="008A5C11">
            <w:pPr>
              <w:jc w:val="center"/>
              <w:rPr>
                <w:color w:val="000000"/>
                <w:sz w:val="14"/>
                <w:szCs w:val="14"/>
              </w:rPr>
            </w:pPr>
            <w:r w:rsidRPr="000E5DBF">
              <w:rPr>
                <w:color w:val="000000"/>
                <w:sz w:val="14"/>
                <w:szCs w:val="14"/>
              </w:rPr>
              <w:t>0,00</w:t>
            </w:r>
          </w:p>
        </w:tc>
        <w:tc>
          <w:tcPr>
            <w:tcW w:w="56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E72BF3B" w14:textId="77777777" w:rsidR="00F22587" w:rsidRPr="000E5DBF" w:rsidRDefault="00F22587" w:rsidP="008A5C11">
            <w:pPr>
              <w:jc w:val="center"/>
              <w:rPr>
                <w:color w:val="000000"/>
                <w:sz w:val="14"/>
                <w:szCs w:val="14"/>
              </w:rPr>
            </w:pPr>
            <w:r w:rsidRPr="000E5DBF">
              <w:rPr>
                <w:color w:val="000000"/>
                <w:sz w:val="14"/>
                <w:szCs w:val="14"/>
              </w:rPr>
              <w:t>5208,00</w:t>
            </w:r>
          </w:p>
        </w:tc>
        <w:tc>
          <w:tcPr>
            <w:tcW w:w="568"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31F3384" w14:textId="77777777" w:rsidR="00F22587" w:rsidRPr="000E5DBF" w:rsidRDefault="00F22587" w:rsidP="008A5C11">
            <w:pPr>
              <w:jc w:val="center"/>
              <w:rPr>
                <w:color w:val="000000"/>
                <w:sz w:val="14"/>
                <w:szCs w:val="14"/>
              </w:rPr>
            </w:pPr>
            <w:r w:rsidRPr="000E5DBF">
              <w:rPr>
                <w:color w:val="000000"/>
                <w:sz w:val="14"/>
                <w:szCs w:val="14"/>
              </w:rPr>
              <w:t>5436,00</w:t>
            </w:r>
          </w:p>
        </w:tc>
        <w:tc>
          <w:tcPr>
            <w:tcW w:w="569"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F083D2D" w14:textId="77777777" w:rsidR="00F22587" w:rsidRPr="000E5DBF" w:rsidRDefault="00F22587" w:rsidP="008A5C11">
            <w:pPr>
              <w:jc w:val="center"/>
              <w:rPr>
                <w:color w:val="000000"/>
                <w:sz w:val="14"/>
                <w:szCs w:val="14"/>
              </w:rPr>
            </w:pPr>
            <w:r w:rsidRPr="000E5DBF">
              <w:rPr>
                <w:color w:val="000000"/>
                <w:sz w:val="14"/>
                <w:szCs w:val="14"/>
              </w:rPr>
              <w:t>0,00</w:t>
            </w:r>
          </w:p>
        </w:tc>
        <w:tc>
          <w:tcPr>
            <w:tcW w:w="562"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A1FA251" w14:textId="77777777" w:rsidR="00F22587" w:rsidRPr="000E5DBF" w:rsidRDefault="00F22587" w:rsidP="008A5C11">
            <w:pPr>
              <w:jc w:val="center"/>
              <w:rPr>
                <w:color w:val="000000"/>
                <w:sz w:val="14"/>
                <w:szCs w:val="14"/>
              </w:rPr>
            </w:pPr>
            <w:r w:rsidRPr="000E5DBF">
              <w:rPr>
                <w:color w:val="000000"/>
                <w:sz w:val="14"/>
                <w:szCs w:val="14"/>
              </w:rPr>
              <w:t>0,00</w:t>
            </w:r>
          </w:p>
        </w:tc>
        <w:tc>
          <w:tcPr>
            <w:tcW w:w="290"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AA2D564" w14:textId="77777777" w:rsidR="00F22587" w:rsidRPr="000E5DBF" w:rsidRDefault="00F22587" w:rsidP="008A5C11">
            <w:pPr>
              <w:jc w:val="center"/>
              <w:rPr>
                <w:color w:val="000000"/>
                <w:sz w:val="14"/>
                <w:szCs w:val="14"/>
              </w:rPr>
            </w:pPr>
            <w:r w:rsidRPr="000E5DBF">
              <w:rPr>
                <w:color w:val="000000"/>
                <w:sz w:val="14"/>
                <w:szCs w:val="14"/>
              </w:rPr>
              <w:t>0,00</w:t>
            </w:r>
          </w:p>
        </w:tc>
        <w:tc>
          <w:tcPr>
            <w:tcW w:w="425" w:type="dxa"/>
            <w:gridSpan w:val="2"/>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3E1409C" w14:textId="77777777" w:rsidR="00F22587" w:rsidRPr="000E5DBF" w:rsidRDefault="00F22587" w:rsidP="008A5C11">
            <w:pPr>
              <w:jc w:val="center"/>
              <w:rPr>
                <w:color w:val="000000"/>
                <w:sz w:val="14"/>
                <w:szCs w:val="14"/>
              </w:rPr>
            </w:pPr>
            <w:r w:rsidRPr="000E5DBF">
              <w:rPr>
                <w:color w:val="000000"/>
                <w:sz w:val="14"/>
                <w:szCs w:val="14"/>
              </w:rPr>
              <w:t>0,00</w:t>
            </w:r>
          </w:p>
        </w:tc>
      </w:tr>
      <w:tr w:rsidR="00F22587" w:rsidRPr="000E5DBF" w14:paraId="5D2388A8" w14:textId="77777777" w:rsidTr="008A5C11">
        <w:trPr>
          <w:cantSplit/>
          <w:trHeight w:val="714"/>
        </w:trPr>
        <w:tc>
          <w:tcPr>
            <w:tcW w:w="408"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7E20BADB" w14:textId="77777777" w:rsidR="00F22587" w:rsidRPr="000E5DBF" w:rsidRDefault="00F22587" w:rsidP="008A5C11">
            <w:pPr>
              <w:jc w:val="center"/>
              <w:rPr>
                <w:color w:val="000000"/>
                <w:sz w:val="14"/>
                <w:szCs w:val="14"/>
              </w:rPr>
            </w:pPr>
            <w:r w:rsidRPr="000E5DBF">
              <w:rPr>
                <w:color w:val="000000"/>
                <w:sz w:val="14"/>
                <w:szCs w:val="14"/>
              </w:rPr>
              <w:t>3.2.5.</w:t>
            </w:r>
          </w:p>
        </w:tc>
        <w:tc>
          <w:tcPr>
            <w:tcW w:w="1434" w:type="dxa"/>
            <w:tcBorders>
              <w:top w:val="nil"/>
              <w:left w:val="nil"/>
              <w:bottom w:val="single" w:sz="4" w:space="0" w:color="auto"/>
              <w:right w:val="single" w:sz="4" w:space="0" w:color="auto"/>
            </w:tcBorders>
            <w:shd w:val="clear" w:color="auto" w:fill="auto"/>
            <w:tcMar>
              <w:left w:w="0" w:type="dxa"/>
              <w:right w:w="0" w:type="dxa"/>
            </w:tcMar>
            <w:vAlign w:val="center"/>
          </w:tcPr>
          <w:p w14:paraId="48AD60FD" w14:textId="77777777" w:rsidR="00F22587" w:rsidRPr="000E5DBF" w:rsidRDefault="00F22587" w:rsidP="008A5C11">
            <w:pPr>
              <w:jc w:val="center"/>
              <w:rPr>
                <w:color w:val="000000"/>
                <w:sz w:val="14"/>
                <w:szCs w:val="14"/>
              </w:rPr>
            </w:pPr>
            <w:r w:rsidRPr="000E5DBF">
              <w:rPr>
                <w:color w:val="000000"/>
                <w:sz w:val="14"/>
                <w:szCs w:val="14"/>
              </w:rPr>
              <w:t xml:space="preserve">Установка автоматизированной котельной </w:t>
            </w:r>
          </w:p>
          <w:p w14:paraId="3E6EA672" w14:textId="77777777" w:rsidR="00F22587" w:rsidRPr="000E5DBF" w:rsidRDefault="00F22587" w:rsidP="008A5C11">
            <w:pPr>
              <w:jc w:val="center"/>
              <w:rPr>
                <w:color w:val="000000"/>
                <w:sz w:val="14"/>
                <w:szCs w:val="14"/>
              </w:rPr>
            </w:pPr>
            <w:r w:rsidRPr="000E5DBF">
              <w:rPr>
                <w:color w:val="000000"/>
                <w:sz w:val="14"/>
                <w:szCs w:val="14"/>
              </w:rPr>
              <w:t>школы № 15</w:t>
            </w:r>
          </w:p>
        </w:tc>
        <w:tc>
          <w:tcPr>
            <w:tcW w:w="971" w:type="dxa"/>
            <w:tcBorders>
              <w:top w:val="nil"/>
              <w:left w:val="nil"/>
              <w:bottom w:val="single" w:sz="4" w:space="0" w:color="auto"/>
              <w:right w:val="single" w:sz="4" w:space="0" w:color="auto"/>
            </w:tcBorders>
            <w:shd w:val="clear" w:color="auto" w:fill="auto"/>
            <w:tcMar>
              <w:left w:w="0" w:type="dxa"/>
              <w:right w:w="0" w:type="dxa"/>
            </w:tcMar>
            <w:vAlign w:val="center"/>
          </w:tcPr>
          <w:p w14:paraId="35F449C4" w14:textId="77777777" w:rsidR="00F22587" w:rsidRPr="000E5DBF" w:rsidRDefault="00F22587" w:rsidP="008A5C11">
            <w:pPr>
              <w:jc w:val="center"/>
              <w:rPr>
                <w:color w:val="000000"/>
                <w:sz w:val="14"/>
                <w:szCs w:val="14"/>
              </w:rPr>
            </w:pPr>
            <w:r w:rsidRPr="000E5DBF">
              <w:rPr>
                <w:color w:val="000000"/>
                <w:sz w:val="14"/>
                <w:szCs w:val="14"/>
              </w:rPr>
              <w:t>Снижение расхода топлива</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tcPr>
          <w:p w14:paraId="77BEC2AF" w14:textId="77777777" w:rsidR="00F22587" w:rsidRPr="000E5DBF" w:rsidRDefault="00F22587" w:rsidP="008A5C11">
            <w:pPr>
              <w:jc w:val="center"/>
              <w:rPr>
                <w:color w:val="000000"/>
                <w:sz w:val="14"/>
                <w:szCs w:val="14"/>
              </w:rPr>
            </w:pPr>
            <w:r w:rsidRPr="000E5DBF">
              <w:rPr>
                <w:color w:val="000000"/>
                <w:sz w:val="14"/>
                <w:szCs w:val="14"/>
              </w:rPr>
              <w:t>ул. Садовая, 8</w:t>
            </w:r>
          </w:p>
        </w:tc>
        <w:tc>
          <w:tcPr>
            <w:tcW w:w="991" w:type="dxa"/>
            <w:tcBorders>
              <w:top w:val="nil"/>
              <w:left w:val="nil"/>
              <w:bottom w:val="single" w:sz="4" w:space="0" w:color="auto"/>
              <w:right w:val="single" w:sz="4" w:space="0" w:color="auto"/>
            </w:tcBorders>
            <w:shd w:val="clear" w:color="auto" w:fill="auto"/>
            <w:tcMar>
              <w:left w:w="0" w:type="dxa"/>
              <w:right w:w="0" w:type="dxa"/>
            </w:tcMar>
            <w:vAlign w:val="center"/>
          </w:tcPr>
          <w:p w14:paraId="6C3FB5A6" w14:textId="77777777" w:rsidR="00F22587" w:rsidRPr="000E5DBF" w:rsidRDefault="00F22587" w:rsidP="008A5C11">
            <w:pPr>
              <w:jc w:val="center"/>
              <w:rPr>
                <w:color w:val="000000"/>
                <w:sz w:val="14"/>
                <w:szCs w:val="14"/>
              </w:rPr>
            </w:pPr>
            <w:r w:rsidRPr="000E5DBF">
              <w:rPr>
                <w:color w:val="000000"/>
                <w:sz w:val="14"/>
                <w:szCs w:val="14"/>
              </w:rPr>
              <w:t>расход угля</w:t>
            </w:r>
          </w:p>
        </w:tc>
        <w:tc>
          <w:tcPr>
            <w:tcW w:w="426" w:type="dxa"/>
            <w:tcBorders>
              <w:top w:val="nil"/>
              <w:left w:val="nil"/>
              <w:bottom w:val="single" w:sz="4" w:space="0" w:color="auto"/>
              <w:right w:val="single" w:sz="4" w:space="0" w:color="auto"/>
            </w:tcBorders>
            <w:shd w:val="clear" w:color="auto" w:fill="auto"/>
            <w:tcMar>
              <w:left w:w="0" w:type="dxa"/>
              <w:right w:w="0" w:type="dxa"/>
            </w:tcMar>
            <w:vAlign w:val="center"/>
          </w:tcPr>
          <w:p w14:paraId="632887BB" w14:textId="77777777" w:rsidR="00F22587" w:rsidRPr="000E5DBF" w:rsidRDefault="00F22587" w:rsidP="008A5C11">
            <w:pPr>
              <w:jc w:val="center"/>
              <w:rPr>
                <w:color w:val="000000"/>
                <w:sz w:val="14"/>
                <w:szCs w:val="14"/>
              </w:rPr>
            </w:pPr>
            <w:r w:rsidRPr="000E5DBF">
              <w:rPr>
                <w:color w:val="000000"/>
                <w:sz w:val="14"/>
                <w:szCs w:val="14"/>
              </w:rPr>
              <w:t>тн</w:t>
            </w:r>
          </w:p>
        </w:tc>
        <w:tc>
          <w:tcPr>
            <w:tcW w:w="713" w:type="dxa"/>
            <w:tcBorders>
              <w:top w:val="nil"/>
              <w:left w:val="nil"/>
              <w:bottom w:val="single" w:sz="4" w:space="0" w:color="auto"/>
              <w:right w:val="single" w:sz="4" w:space="0" w:color="auto"/>
            </w:tcBorders>
            <w:shd w:val="clear" w:color="auto" w:fill="auto"/>
            <w:tcMar>
              <w:left w:w="0" w:type="dxa"/>
              <w:right w:w="0" w:type="dxa"/>
            </w:tcMar>
            <w:vAlign w:val="center"/>
          </w:tcPr>
          <w:p w14:paraId="24EBF677" w14:textId="77777777" w:rsidR="00F22587" w:rsidRPr="000E5DBF" w:rsidRDefault="00F22587" w:rsidP="008A5C11">
            <w:pPr>
              <w:jc w:val="center"/>
              <w:rPr>
                <w:color w:val="000000"/>
                <w:sz w:val="14"/>
                <w:szCs w:val="14"/>
              </w:rPr>
            </w:pPr>
            <w:r w:rsidRPr="000E5DBF">
              <w:rPr>
                <w:color w:val="000000"/>
                <w:sz w:val="14"/>
                <w:szCs w:val="14"/>
              </w:rPr>
              <w:t>392</w:t>
            </w:r>
          </w:p>
        </w:tc>
        <w:tc>
          <w:tcPr>
            <w:tcW w:w="717" w:type="dxa"/>
            <w:tcBorders>
              <w:top w:val="nil"/>
              <w:left w:val="nil"/>
              <w:bottom w:val="single" w:sz="4" w:space="0" w:color="auto"/>
              <w:right w:val="single" w:sz="4" w:space="0" w:color="auto"/>
            </w:tcBorders>
            <w:shd w:val="clear" w:color="auto" w:fill="auto"/>
            <w:tcMar>
              <w:left w:w="0" w:type="dxa"/>
              <w:right w:w="0" w:type="dxa"/>
            </w:tcMar>
            <w:vAlign w:val="center"/>
          </w:tcPr>
          <w:p w14:paraId="0B5AEB6E" w14:textId="77777777" w:rsidR="00F22587" w:rsidRPr="000E5DBF" w:rsidRDefault="00F22587" w:rsidP="008A5C11">
            <w:pPr>
              <w:jc w:val="center"/>
              <w:rPr>
                <w:color w:val="000000"/>
                <w:sz w:val="14"/>
                <w:szCs w:val="14"/>
              </w:rPr>
            </w:pPr>
            <w:r w:rsidRPr="000E5DBF">
              <w:rPr>
                <w:color w:val="000000"/>
                <w:sz w:val="14"/>
                <w:szCs w:val="14"/>
              </w:rPr>
              <w:t>360</w:t>
            </w:r>
          </w:p>
        </w:tc>
        <w:tc>
          <w:tcPr>
            <w:tcW w:w="425" w:type="dxa"/>
            <w:gridSpan w:val="2"/>
            <w:tcBorders>
              <w:top w:val="nil"/>
              <w:left w:val="nil"/>
              <w:bottom w:val="single" w:sz="4" w:space="0" w:color="auto"/>
              <w:right w:val="single" w:sz="4" w:space="0" w:color="auto"/>
            </w:tcBorders>
            <w:shd w:val="clear" w:color="auto" w:fill="auto"/>
            <w:tcMar>
              <w:left w:w="0" w:type="dxa"/>
              <w:right w:w="0" w:type="dxa"/>
            </w:tcMar>
            <w:vAlign w:val="center"/>
          </w:tcPr>
          <w:p w14:paraId="3A069747" w14:textId="77777777" w:rsidR="00F22587" w:rsidRPr="000E5DBF" w:rsidRDefault="00F22587" w:rsidP="008A5C11">
            <w:pPr>
              <w:jc w:val="center"/>
              <w:rPr>
                <w:color w:val="000000"/>
                <w:sz w:val="14"/>
                <w:szCs w:val="14"/>
              </w:rPr>
            </w:pPr>
            <w:r w:rsidRPr="000E5DBF">
              <w:rPr>
                <w:color w:val="000000"/>
                <w:sz w:val="14"/>
                <w:szCs w:val="14"/>
              </w:rPr>
              <w:t>2028</w:t>
            </w:r>
          </w:p>
        </w:tc>
        <w:tc>
          <w:tcPr>
            <w:tcW w:w="413" w:type="dxa"/>
            <w:tcBorders>
              <w:top w:val="nil"/>
              <w:left w:val="nil"/>
              <w:bottom w:val="single" w:sz="4" w:space="0" w:color="auto"/>
              <w:right w:val="single" w:sz="4" w:space="0" w:color="auto"/>
            </w:tcBorders>
            <w:shd w:val="clear" w:color="auto" w:fill="auto"/>
            <w:tcMar>
              <w:left w:w="0" w:type="dxa"/>
              <w:right w:w="0" w:type="dxa"/>
            </w:tcMar>
            <w:vAlign w:val="center"/>
          </w:tcPr>
          <w:p w14:paraId="29E6611A" w14:textId="77777777" w:rsidR="00F22587" w:rsidRPr="000E5DBF" w:rsidRDefault="00F22587" w:rsidP="008A5C11">
            <w:pPr>
              <w:jc w:val="center"/>
              <w:rPr>
                <w:color w:val="000000"/>
                <w:sz w:val="14"/>
                <w:szCs w:val="14"/>
              </w:rPr>
            </w:pPr>
            <w:r w:rsidRPr="000E5DBF">
              <w:rPr>
                <w:color w:val="000000"/>
                <w:sz w:val="14"/>
                <w:szCs w:val="14"/>
              </w:rPr>
              <w:t>2030</w:t>
            </w:r>
          </w:p>
        </w:tc>
        <w:tc>
          <w:tcPr>
            <w:tcW w:w="568" w:type="dxa"/>
            <w:tcBorders>
              <w:top w:val="nil"/>
              <w:left w:val="nil"/>
              <w:bottom w:val="single" w:sz="4" w:space="0" w:color="auto"/>
              <w:right w:val="single" w:sz="4" w:space="0" w:color="auto"/>
            </w:tcBorders>
            <w:shd w:val="clear" w:color="auto" w:fill="auto"/>
            <w:tcMar>
              <w:left w:w="0" w:type="dxa"/>
              <w:right w:w="0" w:type="dxa"/>
            </w:tcMar>
            <w:vAlign w:val="center"/>
          </w:tcPr>
          <w:p w14:paraId="0627E1EA" w14:textId="77777777" w:rsidR="00F22587" w:rsidRPr="000E5DBF" w:rsidRDefault="00F22587" w:rsidP="008A5C11">
            <w:pPr>
              <w:jc w:val="center"/>
              <w:rPr>
                <w:color w:val="000000"/>
                <w:sz w:val="14"/>
                <w:szCs w:val="14"/>
              </w:rPr>
            </w:pPr>
            <w:r w:rsidRPr="000E5DBF">
              <w:rPr>
                <w:color w:val="000000"/>
                <w:sz w:val="14"/>
                <w:szCs w:val="14"/>
              </w:rPr>
              <w:t>12385,60</w:t>
            </w:r>
          </w:p>
        </w:tc>
        <w:tc>
          <w:tcPr>
            <w:tcW w:w="443" w:type="dxa"/>
            <w:gridSpan w:val="2"/>
            <w:tcBorders>
              <w:top w:val="nil"/>
              <w:left w:val="nil"/>
              <w:bottom w:val="single" w:sz="4" w:space="0" w:color="auto"/>
              <w:right w:val="single" w:sz="4" w:space="0" w:color="auto"/>
            </w:tcBorders>
            <w:shd w:val="clear" w:color="auto" w:fill="auto"/>
            <w:tcMar>
              <w:left w:w="0" w:type="dxa"/>
              <w:right w:w="0" w:type="dxa"/>
            </w:tcMar>
            <w:vAlign w:val="center"/>
          </w:tcPr>
          <w:p w14:paraId="43127BB7" w14:textId="77777777" w:rsidR="00F22587" w:rsidRPr="000E5DBF" w:rsidRDefault="00F22587" w:rsidP="008A5C11">
            <w:pPr>
              <w:jc w:val="center"/>
              <w:rPr>
                <w:color w:val="000000"/>
                <w:sz w:val="14"/>
                <w:szCs w:val="14"/>
              </w:rPr>
            </w:pPr>
            <w:r w:rsidRPr="000E5DBF">
              <w:rPr>
                <w:color w:val="000000"/>
                <w:sz w:val="14"/>
                <w:szCs w:val="14"/>
              </w:rPr>
              <w:t>0,00</w:t>
            </w:r>
          </w:p>
        </w:tc>
        <w:tc>
          <w:tcPr>
            <w:tcW w:w="554" w:type="dxa"/>
            <w:tcBorders>
              <w:top w:val="nil"/>
              <w:left w:val="nil"/>
              <w:bottom w:val="single" w:sz="4" w:space="0" w:color="auto"/>
              <w:right w:val="single" w:sz="4" w:space="0" w:color="auto"/>
            </w:tcBorders>
            <w:shd w:val="clear" w:color="000000" w:fill="FFFFFF"/>
            <w:tcMar>
              <w:left w:w="0" w:type="dxa"/>
              <w:right w:w="0" w:type="dxa"/>
            </w:tcMar>
            <w:vAlign w:val="center"/>
          </w:tcPr>
          <w:p w14:paraId="3720EDAD" w14:textId="77777777" w:rsidR="00F22587" w:rsidRPr="000E5DBF" w:rsidRDefault="00F22587" w:rsidP="008A5C11">
            <w:pPr>
              <w:jc w:val="center"/>
              <w:rPr>
                <w:color w:val="000000"/>
                <w:sz w:val="14"/>
                <w:szCs w:val="14"/>
              </w:rPr>
            </w:pPr>
            <w:r w:rsidRPr="000E5DBF">
              <w:rPr>
                <w:color w:val="000000"/>
                <w:sz w:val="14"/>
                <w:szCs w:val="14"/>
              </w:rPr>
              <w:t>0,00</w:t>
            </w:r>
          </w:p>
        </w:tc>
        <w:tc>
          <w:tcPr>
            <w:tcW w:w="567" w:type="dxa"/>
            <w:tcBorders>
              <w:top w:val="nil"/>
              <w:left w:val="nil"/>
              <w:bottom w:val="single" w:sz="4" w:space="0" w:color="auto"/>
              <w:right w:val="single" w:sz="4" w:space="0" w:color="auto"/>
            </w:tcBorders>
            <w:shd w:val="clear" w:color="000000" w:fill="FFFFFF"/>
            <w:tcMar>
              <w:left w:w="0" w:type="dxa"/>
              <w:right w:w="0" w:type="dxa"/>
            </w:tcMar>
            <w:vAlign w:val="center"/>
          </w:tcPr>
          <w:p w14:paraId="054AE9A8" w14:textId="77777777" w:rsidR="00F22587" w:rsidRPr="000E5DBF" w:rsidRDefault="00F22587" w:rsidP="008A5C11">
            <w:pPr>
              <w:jc w:val="center"/>
              <w:rPr>
                <w:color w:val="000000"/>
                <w:sz w:val="14"/>
                <w:szCs w:val="14"/>
              </w:rPr>
            </w:pPr>
            <w:r w:rsidRPr="000E5DBF">
              <w:rPr>
                <w:color w:val="000000"/>
                <w:sz w:val="14"/>
                <w:szCs w:val="14"/>
              </w:rPr>
              <w:t>0,00</w:t>
            </w:r>
          </w:p>
        </w:tc>
        <w:tc>
          <w:tcPr>
            <w:tcW w:w="567" w:type="dxa"/>
            <w:tcBorders>
              <w:top w:val="nil"/>
              <w:left w:val="nil"/>
              <w:bottom w:val="single" w:sz="4" w:space="0" w:color="auto"/>
              <w:right w:val="single" w:sz="4" w:space="0" w:color="auto"/>
            </w:tcBorders>
            <w:shd w:val="clear" w:color="auto" w:fill="auto"/>
            <w:tcMar>
              <w:left w:w="0" w:type="dxa"/>
              <w:right w:w="0" w:type="dxa"/>
            </w:tcMar>
            <w:vAlign w:val="center"/>
          </w:tcPr>
          <w:p w14:paraId="25F28369" w14:textId="77777777" w:rsidR="00F22587" w:rsidRPr="000E5DBF" w:rsidRDefault="00F22587" w:rsidP="008A5C11">
            <w:pPr>
              <w:jc w:val="center"/>
              <w:rPr>
                <w:color w:val="000000"/>
                <w:sz w:val="14"/>
                <w:szCs w:val="14"/>
              </w:rPr>
            </w:pPr>
            <w:r w:rsidRPr="000E5DBF">
              <w:rPr>
                <w:color w:val="000000"/>
                <w:sz w:val="14"/>
                <w:szCs w:val="14"/>
              </w:rPr>
              <w:t>0,00</w:t>
            </w:r>
          </w:p>
        </w:tc>
        <w:tc>
          <w:tcPr>
            <w:tcW w:w="561" w:type="dxa"/>
            <w:tcBorders>
              <w:top w:val="nil"/>
              <w:left w:val="nil"/>
              <w:bottom w:val="single" w:sz="4" w:space="0" w:color="auto"/>
              <w:right w:val="single" w:sz="4" w:space="0" w:color="auto"/>
            </w:tcBorders>
            <w:shd w:val="clear" w:color="auto" w:fill="auto"/>
            <w:tcMar>
              <w:left w:w="0" w:type="dxa"/>
              <w:right w:w="0" w:type="dxa"/>
            </w:tcMar>
            <w:vAlign w:val="center"/>
          </w:tcPr>
          <w:p w14:paraId="63A82185" w14:textId="77777777" w:rsidR="00F22587" w:rsidRPr="000E5DBF" w:rsidRDefault="00F22587" w:rsidP="008A5C11">
            <w:pPr>
              <w:jc w:val="center"/>
              <w:rPr>
                <w:color w:val="000000"/>
                <w:sz w:val="14"/>
                <w:szCs w:val="14"/>
              </w:rPr>
            </w:pPr>
            <w:r w:rsidRPr="000E5DBF">
              <w:rPr>
                <w:color w:val="000000"/>
                <w:sz w:val="14"/>
                <w:szCs w:val="14"/>
              </w:rPr>
              <w:t>0,00</w:t>
            </w:r>
          </w:p>
        </w:tc>
        <w:tc>
          <w:tcPr>
            <w:tcW w:w="560" w:type="dxa"/>
            <w:tcBorders>
              <w:top w:val="nil"/>
              <w:left w:val="nil"/>
              <w:bottom w:val="single" w:sz="4" w:space="0" w:color="auto"/>
              <w:right w:val="single" w:sz="4" w:space="0" w:color="auto"/>
            </w:tcBorders>
            <w:shd w:val="clear" w:color="auto" w:fill="auto"/>
            <w:tcMar>
              <w:left w:w="0" w:type="dxa"/>
              <w:right w:w="0" w:type="dxa"/>
            </w:tcMar>
            <w:vAlign w:val="center"/>
          </w:tcPr>
          <w:p w14:paraId="441AC501" w14:textId="77777777" w:rsidR="00F22587" w:rsidRPr="000E5DBF" w:rsidRDefault="00F22587" w:rsidP="008A5C11">
            <w:pPr>
              <w:jc w:val="center"/>
              <w:rPr>
                <w:color w:val="000000"/>
                <w:sz w:val="14"/>
                <w:szCs w:val="14"/>
              </w:rPr>
            </w:pPr>
            <w:r w:rsidRPr="000E5DBF">
              <w:rPr>
                <w:color w:val="000000"/>
                <w:sz w:val="14"/>
                <w:szCs w:val="14"/>
              </w:rPr>
              <w:t>0,00</w:t>
            </w:r>
          </w:p>
        </w:tc>
        <w:tc>
          <w:tcPr>
            <w:tcW w:w="569" w:type="dxa"/>
            <w:tcBorders>
              <w:top w:val="nil"/>
              <w:left w:val="nil"/>
              <w:bottom w:val="single" w:sz="4" w:space="0" w:color="auto"/>
              <w:right w:val="single" w:sz="4" w:space="0" w:color="auto"/>
            </w:tcBorders>
            <w:shd w:val="clear" w:color="auto" w:fill="auto"/>
            <w:tcMar>
              <w:left w:w="0" w:type="dxa"/>
              <w:right w:w="0" w:type="dxa"/>
            </w:tcMar>
            <w:vAlign w:val="center"/>
          </w:tcPr>
          <w:p w14:paraId="5204A176" w14:textId="77777777" w:rsidR="00F22587" w:rsidRPr="000E5DBF" w:rsidRDefault="00F22587" w:rsidP="008A5C11">
            <w:pPr>
              <w:jc w:val="center"/>
              <w:rPr>
                <w:color w:val="000000"/>
                <w:sz w:val="14"/>
                <w:szCs w:val="14"/>
              </w:rPr>
            </w:pPr>
            <w:r w:rsidRPr="000E5DBF">
              <w:rPr>
                <w:color w:val="000000"/>
                <w:sz w:val="14"/>
                <w:szCs w:val="14"/>
              </w:rPr>
              <w:t>0,00</w:t>
            </w:r>
          </w:p>
        </w:tc>
        <w:tc>
          <w:tcPr>
            <w:tcW w:w="567" w:type="dxa"/>
            <w:gridSpan w:val="2"/>
            <w:tcBorders>
              <w:top w:val="nil"/>
              <w:left w:val="nil"/>
              <w:bottom w:val="single" w:sz="4" w:space="0" w:color="auto"/>
              <w:right w:val="single" w:sz="4" w:space="0" w:color="auto"/>
            </w:tcBorders>
            <w:shd w:val="clear" w:color="auto" w:fill="auto"/>
            <w:tcMar>
              <w:left w:w="0" w:type="dxa"/>
              <w:right w:w="0" w:type="dxa"/>
            </w:tcMar>
            <w:vAlign w:val="center"/>
          </w:tcPr>
          <w:p w14:paraId="16B30D80" w14:textId="77777777" w:rsidR="00F22587" w:rsidRPr="000E5DBF" w:rsidRDefault="00F22587" w:rsidP="008A5C11">
            <w:pPr>
              <w:jc w:val="center"/>
              <w:rPr>
                <w:color w:val="000000"/>
                <w:sz w:val="14"/>
                <w:szCs w:val="14"/>
              </w:rPr>
            </w:pPr>
            <w:r w:rsidRPr="000E5DBF">
              <w:rPr>
                <w:color w:val="000000"/>
                <w:sz w:val="14"/>
                <w:szCs w:val="14"/>
              </w:rPr>
              <w:t>0,00</w:t>
            </w:r>
          </w:p>
        </w:tc>
        <w:tc>
          <w:tcPr>
            <w:tcW w:w="565" w:type="dxa"/>
            <w:tcBorders>
              <w:top w:val="nil"/>
              <w:left w:val="nil"/>
              <w:bottom w:val="single" w:sz="4" w:space="0" w:color="auto"/>
              <w:right w:val="single" w:sz="4" w:space="0" w:color="auto"/>
            </w:tcBorders>
            <w:shd w:val="clear" w:color="auto" w:fill="auto"/>
            <w:tcMar>
              <w:left w:w="0" w:type="dxa"/>
              <w:right w:w="0" w:type="dxa"/>
            </w:tcMar>
            <w:vAlign w:val="center"/>
          </w:tcPr>
          <w:p w14:paraId="6E19B4F9" w14:textId="77777777" w:rsidR="00F22587" w:rsidRPr="000E5DBF" w:rsidRDefault="00F22587" w:rsidP="008A5C11">
            <w:pPr>
              <w:jc w:val="center"/>
              <w:rPr>
                <w:color w:val="000000"/>
                <w:sz w:val="14"/>
                <w:szCs w:val="14"/>
              </w:rPr>
            </w:pPr>
            <w:r w:rsidRPr="000E5DBF">
              <w:rPr>
                <w:color w:val="000000"/>
                <w:sz w:val="14"/>
                <w:szCs w:val="14"/>
              </w:rPr>
              <w:t>0,00</w:t>
            </w:r>
          </w:p>
        </w:tc>
        <w:tc>
          <w:tcPr>
            <w:tcW w:w="567" w:type="dxa"/>
            <w:tcBorders>
              <w:top w:val="nil"/>
              <w:left w:val="nil"/>
              <w:bottom w:val="single" w:sz="4" w:space="0" w:color="auto"/>
              <w:right w:val="single" w:sz="4" w:space="0" w:color="auto"/>
            </w:tcBorders>
            <w:shd w:val="clear" w:color="auto" w:fill="auto"/>
            <w:tcMar>
              <w:left w:w="0" w:type="dxa"/>
              <w:right w:w="0" w:type="dxa"/>
            </w:tcMar>
            <w:vAlign w:val="center"/>
          </w:tcPr>
          <w:p w14:paraId="6B40AD9D" w14:textId="77777777" w:rsidR="00F22587" w:rsidRPr="000E5DBF" w:rsidRDefault="00F22587" w:rsidP="008A5C11">
            <w:pPr>
              <w:jc w:val="center"/>
              <w:rPr>
                <w:color w:val="000000"/>
                <w:sz w:val="14"/>
                <w:szCs w:val="14"/>
              </w:rPr>
            </w:pPr>
            <w:r w:rsidRPr="000E5DBF">
              <w:rPr>
                <w:color w:val="000000"/>
                <w:sz w:val="14"/>
                <w:szCs w:val="14"/>
              </w:rPr>
              <w:t>0,00</w:t>
            </w:r>
          </w:p>
        </w:tc>
        <w:tc>
          <w:tcPr>
            <w:tcW w:w="568" w:type="dxa"/>
            <w:tcBorders>
              <w:top w:val="nil"/>
              <w:left w:val="nil"/>
              <w:bottom w:val="single" w:sz="4" w:space="0" w:color="auto"/>
              <w:right w:val="single" w:sz="4" w:space="0" w:color="auto"/>
            </w:tcBorders>
            <w:shd w:val="clear" w:color="auto" w:fill="auto"/>
            <w:tcMar>
              <w:left w:w="0" w:type="dxa"/>
              <w:right w:w="0" w:type="dxa"/>
            </w:tcMar>
            <w:vAlign w:val="center"/>
          </w:tcPr>
          <w:p w14:paraId="2B51554D" w14:textId="77777777" w:rsidR="00F22587" w:rsidRPr="000E5DBF" w:rsidRDefault="00F22587" w:rsidP="008A5C11">
            <w:pPr>
              <w:jc w:val="center"/>
              <w:rPr>
                <w:color w:val="000000"/>
                <w:sz w:val="14"/>
                <w:szCs w:val="14"/>
              </w:rPr>
            </w:pPr>
            <w:r w:rsidRPr="000E5DBF">
              <w:rPr>
                <w:color w:val="000000"/>
                <w:sz w:val="14"/>
                <w:szCs w:val="14"/>
              </w:rPr>
              <w:t>540,00</w:t>
            </w:r>
          </w:p>
        </w:tc>
        <w:tc>
          <w:tcPr>
            <w:tcW w:w="569" w:type="dxa"/>
            <w:tcBorders>
              <w:top w:val="nil"/>
              <w:left w:val="nil"/>
              <w:bottom w:val="single" w:sz="4" w:space="0" w:color="auto"/>
              <w:right w:val="single" w:sz="4" w:space="0" w:color="auto"/>
            </w:tcBorders>
            <w:shd w:val="clear" w:color="auto" w:fill="auto"/>
            <w:tcMar>
              <w:left w:w="0" w:type="dxa"/>
              <w:right w:w="0" w:type="dxa"/>
            </w:tcMar>
            <w:vAlign w:val="center"/>
          </w:tcPr>
          <w:p w14:paraId="6A4228C9" w14:textId="77777777" w:rsidR="00F22587" w:rsidRPr="000E5DBF" w:rsidRDefault="00F22587" w:rsidP="008A5C11">
            <w:pPr>
              <w:jc w:val="center"/>
              <w:rPr>
                <w:color w:val="000000"/>
                <w:sz w:val="14"/>
                <w:szCs w:val="14"/>
              </w:rPr>
            </w:pPr>
            <w:r w:rsidRPr="000E5DBF">
              <w:rPr>
                <w:color w:val="000000"/>
                <w:sz w:val="14"/>
                <w:szCs w:val="14"/>
              </w:rPr>
              <w:t>7137,80</w:t>
            </w:r>
          </w:p>
        </w:tc>
        <w:tc>
          <w:tcPr>
            <w:tcW w:w="562" w:type="dxa"/>
            <w:tcBorders>
              <w:top w:val="nil"/>
              <w:left w:val="nil"/>
              <w:bottom w:val="single" w:sz="4" w:space="0" w:color="auto"/>
              <w:right w:val="single" w:sz="4" w:space="0" w:color="auto"/>
            </w:tcBorders>
            <w:shd w:val="clear" w:color="auto" w:fill="auto"/>
            <w:tcMar>
              <w:left w:w="0" w:type="dxa"/>
              <w:right w:w="0" w:type="dxa"/>
            </w:tcMar>
            <w:vAlign w:val="center"/>
          </w:tcPr>
          <w:p w14:paraId="0723A19B" w14:textId="77777777" w:rsidR="00F22587" w:rsidRPr="000E5DBF" w:rsidRDefault="00F22587" w:rsidP="008A5C11">
            <w:pPr>
              <w:jc w:val="center"/>
              <w:rPr>
                <w:color w:val="000000"/>
                <w:sz w:val="14"/>
                <w:szCs w:val="14"/>
              </w:rPr>
            </w:pPr>
            <w:r w:rsidRPr="000E5DBF">
              <w:rPr>
                <w:color w:val="000000"/>
                <w:sz w:val="14"/>
                <w:szCs w:val="14"/>
              </w:rPr>
              <w:t>4707,80</w:t>
            </w:r>
          </w:p>
        </w:tc>
        <w:tc>
          <w:tcPr>
            <w:tcW w:w="290" w:type="dxa"/>
            <w:tcBorders>
              <w:top w:val="nil"/>
              <w:left w:val="nil"/>
              <w:bottom w:val="single" w:sz="4" w:space="0" w:color="auto"/>
              <w:right w:val="single" w:sz="4" w:space="0" w:color="auto"/>
            </w:tcBorders>
            <w:shd w:val="clear" w:color="auto" w:fill="auto"/>
            <w:tcMar>
              <w:left w:w="0" w:type="dxa"/>
              <w:right w:w="0" w:type="dxa"/>
            </w:tcMar>
            <w:vAlign w:val="center"/>
          </w:tcPr>
          <w:p w14:paraId="7CFB7113" w14:textId="77777777" w:rsidR="00F22587" w:rsidRPr="000E5DBF" w:rsidRDefault="00F22587" w:rsidP="008A5C11">
            <w:pPr>
              <w:jc w:val="center"/>
              <w:rPr>
                <w:color w:val="000000"/>
                <w:sz w:val="14"/>
                <w:szCs w:val="14"/>
              </w:rPr>
            </w:pPr>
            <w:r w:rsidRPr="000E5DBF">
              <w:rPr>
                <w:color w:val="000000"/>
                <w:sz w:val="14"/>
                <w:szCs w:val="14"/>
              </w:rPr>
              <w:t>0,00</w:t>
            </w:r>
          </w:p>
        </w:tc>
        <w:tc>
          <w:tcPr>
            <w:tcW w:w="425" w:type="dxa"/>
            <w:gridSpan w:val="2"/>
            <w:tcBorders>
              <w:top w:val="nil"/>
              <w:left w:val="nil"/>
              <w:bottom w:val="single" w:sz="4" w:space="0" w:color="auto"/>
              <w:right w:val="single" w:sz="4" w:space="0" w:color="auto"/>
            </w:tcBorders>
            <w:shd w:val="clear" w:color="auto" w:fill="auto"/>
            <w:tcMar>
              <w:left w:w="0" w:type="dxa"/>
              <w:right w:w="0" w:type="dxa"/>
            </w:tcMar>
            <w:vAlign w:val="center"/>
          </w:tcPr>
          <w:p w14:paraId="552DE7D4" w14:textId="77777777" w:rsidR="00F22587" w:rsidRPr="000E5DBF" w:rsidRDefault="00F22587" w:rsidP="008A5C11">
            <w:pPr>
              <w:jc w:val="center"/>
              <w:rPr>
                <w:color w:val="000000"/>
                <w:sz w:val="14"/>
                <w:szCs w:val="14"/>
              </w:rPr>
            </w:pPr>
            <w:r w:rsidRPr="000E5DBF">
              <w:rPr>
                <w:color w:val="000000"/>
                <w:sz w:val="14"/>
                <w:szCs w:val="14"/>
              </w:rPr>
              <w:t>0,00</w:t>
            </w:r>
          </w:p>
        </w:tc>
      </w:tr>
      <w:tr w:rsidR="00F22587" w:rsidRPr="000E5DBF" w14:paraId="4E90F96D" w14:textId="77777777" w:rsidTr="008A5C11">
        <w:trPr>
          <w:cantSplit/>
          <w:trHeight w:val="300"/>
        </w:trPr>
        <w:tc>
          <w:tcPr>
            <w:tcW w:w="7491" w:type="dxa"/>
            <w:gridSpan w:val="11"/>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373E6A4D" w14:textId="77777777" w:rsidR="00F22587" w:rsidRPr="000E5DBF" w:rsidRDefault="00F22587" w:rsidP="008A5C11">
            <w:pPr>
              <w:ind w:left="142" w:hanging="142"/>
              <w:rPr>
                <w:sz w:val="14"/>
                <w:szCs w:val="14"/>
              </w:rPr>
            </w:pPr>
            <w:r w:rsidRPr="000E5DBF">
              <w:rPr>
                <w:sz w:val="14"/>
                <w:szCs w:val="14"/>
              </w:rPr>
              <w:t>Всего по группе 3</w:t>
            </w:r>
          </w:p>
        </w:tc>
        <w:tc>
          <w:tcPr>
            <w:tcW w:w="568" w:type="dxa"/>
            <w:tcBorders>
              <w:top w:val="nil"/>
              <w:left w:val="nil"/>
              <w:bottom w:val="single" w:sz="4" w:space="0" w:color="auto"/>
              <w:right w:val="single" w:sz="4" w:space="0" w:color="auto"/>
            </w:tcBorders>
            <w:shd w:val="clear" w:color="auto" w:fill="auto"/>
            <w:tcMar>
              <w:left w:w="0" w:type="dxa"/>
              <w:right w:w="0" w:type="dxa"/>
            </w:tcMar>
            <w:vAlign w:val="center"/>
          </w:tcPr>
          <w:p w14:paraId="7080DA92" w14:textId="77777777" w:rsidR="00F22587" w:rsidRPr="000E5DBF" w:rsidRDefault="00F22587" w:rsidP="008A5C11">
            <w:pPr>
              <w:ind w:left="-57" w:right="-57"/>
              <w:jc w:val="center"/>
              <w:rPr>
                <w:color w:val="000000"/>
                <w:sz w:val="14"/>
                <w:szCs w:val="14"/>
              </w:rPr>
            </w:pPr>
            <w:r w:rsidRPr="000E5DBF">
              <w:rPr>
                <w:color w:val="000000"/>
                <w:sz w:val="14"/>
                <w:szCs w:val="14"/>
              </w:rPr>
              <w:t>36937,00</w:t>
            </w:r>
          </w:p>
        </w:tc>
        <w:tc>
          <w:tcPr>
            <w:tcW w:w="443"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1A4E01A3" w14:textId="77777777" w:rsidR="00F22587" w:rsidRPr="000E5DBF" w:rsidRDefault="00F22587" w:rsidP="008A5C11">
            <w:pPr>
              <w:jc w:val="center"/>
              <w:rPr>
                <w:color w:val="000000"/>
                <w:sz w:val="14"/>
                <w:szCs w:val="14"/>
              </w:rPr>
            </w:pPr>
            <w:r w:rsidRPr="000E5DBF">
              <w:rPr>
                <w:color w:val="000000"/>
                <w:sz w:val="14"/>
                <w:szCs w:val="14"/>
              </w:rPr>
              <w:t>0,00</w:t>
            </w:r>
          </w:p>
        </w:tc>
        <w:tc>
          <w:tcPr>
            <w:tcW w:w="554" w:type="dxa"/>
            <w:tcBorders>
              <w:top w:val="nil"/>
              <w:left w:val="nil"/>
              <w:bottom w:val="single" w:sz="4" w:space="0" w:color="auto"/>
              <w:right w:val="single" w:sz="4" w:space="0" w:color="auto"/>
            </w:tcBorders>
            <w:shd w:val="clear" w:color="000000" w:fill="FFFFFF"/>
            <w:tcMar>
              <w:left w:w="0" w:type="dxa"/>
              <w:right w:w="0" w:type="dxa"/>
            </w:tcMar>
            <w:vAlign w:val="center"/>
          </w:tcPr>
          <w:p w14:paraId="3DA18196" w14:textId="77777777" w:rsidR="00F22587" w:rsidRPr="000E5DBF" w:rsidRDefault="00F22587" w:rsidP="008A5C11">
            <w:pPr>
              <w:jc w:val="center"/>
              <w:rPr>
                <w:color w:val="000000"/>
                <w:sz w:val="14"/>
                <w:szCs w:val="14"/>
              </w:rPr>
            </w:pPr>
            <w:r w:rsidRPr="000E5DBF">
              <w:rPr>
                <w:color w:val="000000"/>
                <w:sz w:val="14"/>
                <w:szCs w:val="14"/>
              </w:rPr>
              <w:t>461,51</w:t>
            </w:r>
          </w:p>
        </w:tc>
        <w:tc>
          <w:tcPr>
            <w:tcW w:w="567" w:type="dxa"/>
            <w:tcBorders>
              <w:top w:val="nil"/>
              <w:left w:val="nil"/>
              <w:bottom w:val="single" w:sz="4" w:space="0" w:color="auto"/>
              <w:right w:val="single" w:sz="4" w:space="0" w:color="auto"/>
            </w:tcBorders>
            <w:shd w:val="clear" w:color="000000" w:fill="FFFFFF"/>
            <w:tcMar>
              <w:left w:w="0" w:type="dxa"/>
              <w:right w:w="0" w:type="dxa"/>
            </w:tcMar>
            <w:vAlign w:val="center"/>
          </w:tcPr>
          <w:p w14:paraId="77F53A3F" w14:textId="77777777" w:rsidR="00F22587" w:rsidRPr="000E5DBF" w:rsidRDefault="00F22587" w:rsidP="008A5C11">
            <w:pPr>
              <w:jc w:val="center"/>
              <w:rPr>
                <w:color w:val="000000"/>
                <w:sz w:val="14"/>
                <w:szCs w:val="14"/>
              </w:rPr>
            </w:pPr>
            <w:r w:rsidRPr="000E5DBF">
              <w:rPr>
                <w:color w:val="000000"/>
                <w:sz w:val="14"/>
                <w:szCs w:val="14"/>
              </w:rPr>
              <w:t>1105,80</w:t>
            </w:r>
          </w:p>
        </w:tc>
        <w:tc>
          <w:tcPr>
            <w:tcW w:w="567" w:type="dxa"/>
            <w:tcBorders>
              <w:top w:val="nil"/>
              <w:left w:val="nil"/>
              <w:bottom w:val="single" w:sz="4" w:space="0" w:color="auto"/>
              <w:right w:val="single" w:sz="4" w:space="0" w:color="auto"/>
            </w:tcBorders>
            <w:shd w:val="clear" w:color="000000" w:fill="FFFFFF"/>
            <w:tcMar>
              <w:left w:w="0" w:type="dxa"/>
              <w:right w:w="0" w:type="dxa"/>
            </w:tcMar>
            <w:vAlign w:val="center"/>
          </w:tcPr>
          <w:p w14:paraId="15C86C2A" w14:textId="77777777" w:rsidR="00F22587" w:rsidRPr="000E5DBF" w:rsidRDefault="00F22587" w:rsidP="008A5C11">
            <w:pPr>
              <w:jc w:val="center"/>
              <w:rPr>
                <w:color w:val="000000"/>
                <w:sz w:val="14"/>
                <w:szCs w:val="14"/>
              </w:rPr>
            </w:pPr>
            <w:r w:rsidRPr="000E5DBF">
              <w:rPr>
                <w:color w:val="000000"/>
                <w:sz w:val="14"/>
                <w:szCs w:val="14"/>
              </w:rPr>
              <w:t>0,00</w:t>
            </w:r>
          </w:p>
        </w:tc>
        <w:tc>
          <w:tcPr>
            <w:tcW w:w="561" w:type="dxa"/>
            <w:tcBorders>
              <w:top w:val="nil"/>
              <w:left w:val="nil"/>
              <w:bottom w:val="single" w:sz="4" w:space="0" w:color="auto"/>
              <w:right w:val="single" w:sz="4" w:space="0" w:color="auto"/>
            </w:tcBorders>
            <w:shd w:val="clear" w:color="000000" w:fill="FFFFFF"/>
            <w:tcMar>
              <w:left w:w="0" w:type="dxa"/>
              <w:right w:w="0" w:type="dxa"/>
            </w:tcMar>
            <w:vAlign w:val="center"/>
          </w:tcPr>
          <w:p w14:paraId="44EA42AD" w14:textId="77777777" w:rsidR="00F22587" w:rsidRPr="000E5DBF" w:rsidRDefault="00F22587" w:rsidP="008A5C11">
            <w:pPr>
              <w:jc w:val="center"/>
              <w:rPr>
                <w:color w:val="000000"/>
                <w:sz w:val="14"/>
                <w:szCs w:val="14"/>
              </w:rPr>
            </w:pPr>
            <w:r w:rsidRPr="000E5DBF">
              <w:rPr>
                <w:color w:val="000000"/>
                <w:sz w:val="14"/>
                <w:szCs w:val="14"/>
              </w:rPr>
              <w:t>0,00</w:t>
            </w:r>
          </w:p>
        </w:tc>
        <w:tc>
          <w:tcPr>
            <w:tcW w:w="560" w:type="dxa"/>
            <w:tcBorders>
              <w:top w:val="nil"/>
              <w:left w:val="nil"/>
              <w:bottom w:val="single" w:sz="4" w:space="0" w:color="auto"/>
              <w:right w:val="single" w:sz="4" w:space="0" w:color="auto"/>
            </w:tcBorders>
            <w:shd w:val="clear" w:color="000000" w:fill="FFFFFF"/>
            <w:tcMar>
              <w:left w:w="0" w:type="dxa"/>
              <w:right w:w="0" w:type="dxa"/>
            </w:tcMar>
            <w:vAlign w:val="center"/>
          </w:tcPr>
          <w:p w14:paraId="6A0CC242" w14:textId="77777777" w:rsidR="00F22587" w:rsidRPr="000E5DBF" w:rsidRDefault="00F22587" w:rsidP="008A5C11">
            <w:pPr>
              <w:jc w:val="center"/>
              <w:rPr>
                <w:color w:val="000000"/>
                <w:sz w:val="14"/>
                <w:szCs w:val="14"/>
              </w:rPr>
            </w:pPr>
            <w:r w:rsidRPr="000E5DBF">
              <w:rPr>
                <w:color w:val="000000"/>
                <w:sz w:val="14"/>
                <w:szCs w:val="14"/>
              </w:rPr>
              <w:t>0,00</w:t>
            </w:r>
          </w:p>
        </w:tc>
        <w:tc>
          <w:tcPr>
            <w:tcW w:w="569" w:type="dxa"/>
            <w:tcBorders>
              <w:top w:val="nil"/>
              <w:left w:val="nil"/>
              <w:bottom w:val="single" w:sz="4" w:space="0" w:color="auto"/>
              <w:right w:val="single" w:sz="4" w:space="0" w:color="auto"/>
            </w:tcBorders>
            <w:shd w:val="clear" w:color="000000" w:fill="FFFFFF"/>
            <w:tcMar>
              <w:left w:w="0" w:type="dxa"/>
              <w:right w:w="0" w:type="dxa"/>
            </w:tcMar>
            <w:vAlign w:val="center"/>
          </w:tcPr>
          <w:p w14:paraId="06854EE6" w14:textId="77777777" w:rsidR="00F22587" w:rsidRPr="000E5DBF" w:rsidRDefault="00F22587" w:rsidP="008A5C11">
            <w:pPr>
              <w:jc w:val="center"/>
              <w:rPr>
                <w:color w:val="000000"/>
                <w:sz w:val="14"/>
                <w:szCs w:val="14"/>
              </w:rPr>
            </w:pPr>
            <w:r w:rsidRPr="000E5DBF">
              <w:rPr>
                <w:color w:val="000000"/>
                <w:sz w:val="14"/>
                <w:szCs w:val="14"/>
              </w:rPr>
              <w:t>0,00</w:t>
            </w:r>
          </w:p>
        </w:tc>
        <w:tc>
          <w:tcPr>
            <w:tcW w:w="567"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433076C4" w14:textId="77777777" w:rsidR="00F22587" w:rsidRPr="000E5DBF" w:rsidRDefault="00F22587" w:rsidP="008A5C11">
            <w:pPr>
              <w:jc w:val="center"/>
              <w:rPr>
                <w:color w:val="000000"/>
                <w:sz w:val="14"/>
                <w:szCs w:val="14"/>
              </w:rPr>
            </w:pPr>
            <w:r w:rsidRPr="000E5DBF">
              <w:rPr>
                <w:color w:val="000000"/>
                <w:sz w:val="14"/>
                <w:szCs w:val="14"/>
              </w:rPr>
              <w:t>4353,84</w:t>
            </w:r>
          </w:p>
        </w:tc>
        <w:tc>
          <w:tcPr>
            <w:tcW w:w="565" w:type="dxa"/>
            <w:tcBorders>
              <w:top w:val="nil"/>
              <w:left w:val="nil"/>
              <w:bottom w:val="single" w:sz="4" w:space="0" w:color="auto"/>
              <w:right w:val="single" w:sz="4" w:space="0" w:color="auto"/>
            </w:tcBorders>
            <w:shd w:val="clear" w:color="000000" w:fill="FFFFFF"/>
            <w:tcMar>
              <w:left w:w="0" w:type="dxa"/>
              <w:right w:w="0" w:type="dxa"/>
            </w:tcMar>
            <w:vAlign w:val="center"/>
          </w:tcPr>
          <w:p w14:paraId="3549134C" w14:textId="77777777" w:rsidR="00F22587" w:rsidRPr="000E5DBF" w:rsidRDefault="00F22587" w:rsidP="008A5C11">
            <w:pPr>
              <w:jc w:val="center"/>
              <w:rPr>
                <w:color w:val="000000"/>
                <w:sz w:val="14"/>
                <w:szCs w:val="14"/>
              </w:rPr>
            </w:pPr>
            <w:r w:rsidRPr="000E5DBF">
              <w:rPr>
                <w:color w:val="000000"/>
                <w:sz w:val="14"/>
                <w:szCs w:val="14"/>
              </w:rPr>
              <w:t>7986,24</w:t>
            </w:r>
          </w:p>
        </w:tc>
        <w:tc>
          <w:tcPr>
            <w:tcW w:w="567" w:type="dxa"/>
            <w:tcBorders>
              <w:top w:val="nil"/>
              <w:left w:val="nil"/>
              <w:bottom w:val="single" w:sz="4" w:space="0" w:color="auto"/>
              <w:right w:val="single" w:sz="4" w:space="0" w:color="auto"/>
            </w:tcBorders>
            <w:shd w:val="clear" w:color="000000" w:fill="FFFFFF"/>
            <w:tcMar>
              <w:left w:w="0" w:type="dxa"/>
              <w:right w:w="0" w:type="dxa"/>
            </w:tcMar>
            <w:vAlign w:val="center"/>
          </w:tcPr>
          <w:p w14:paraId="4F761922" w14:textId="77777777" w:rsidR="00F22587" w:rsidRPr="000E5DBF" w:rsidRDefault="00F22587" w:rsidP="008A5C11">
            <w:pPr>
              <w:jc w:val="center"/>
              <w:rPr>
                <w:color w:val="000000"/>
                <w:sz w:val="14"/>
                <w:szCs w:val="14"/>
              </w:rPr>
            </w:pPr>
            <w:r w:rsidRPr="000E5DBF">
              <w:rPr>
                <w:color w:val="000000"/>
                <w:sz w:val="14"/>
                <w:szCs w:val="14"/>
              </w:rPr>
              <w:t>5208,00</w:t>
            </w:r>
          </w:p>
        </w:tc>
        <w:tc>
          <w:tcPr>
            <w:tcW w:w="568" w:type="dxa"/>
            <w:tcBorders>
              <w:top w:val="nil"/>
              <w:left w:val="nil"/>
              <w:bottom w:val="single" w:sz="4" w:space="0" w:color="auto"/>
              <w:right w:val="single" w:sz="4" w:space="0" w:color="auto"/>
            </w:tcBorders>
            <w:shd w:val="clear" w:color="000000" w:fill="FFFFFF"/>
            <w:tcMar>
              <w:left w:w="0" w:type="dxa"/>
              <w:right w:w="0" w:type="dxa"/>
            </w:tcMar>
            <w:vAlign w:val="center"/>
          </w:tcPr>
          <w:p w14:paraId="00AF14FB" w14:textId="77777777" w:rsidR="00F22587" w:rsidRPr="000E5DBF" w:rsidRDefault="00F22587" w:rsidP="008A5C11">
            <w:pPr>
              <w:jc w:val="center"/>
              <w:rPr>
                <w:color w:val="000000"/>
                <w:sz w:val="14"/>
                <w:szCs w:val="14"/>
              </w:rPr>
            </w:pPr>
            <w:r w:rsidRPr="000E5DBF">
              <w:rPr>
                <w:color w:val="000000"/>
                <w:sz w:val="14"/>
                <w:szCs w:val="14"/>
              </w:rPr>
              <w:t>5976,00</w:t>
            </w:r>
          </w:p>
        </w:tc>
        <w:tc>
          <w:tcPr>
            <w:tcW w:w="569" w:type="dxa"/>
            <w:tcBorders>
              <w:top w:val="nil"/>
              <w:left w:val="nil"/>
              <w:bottom w:val="single" w:sz="4" w:space="0" w:color="auto"/>
              <w:right w:val="single" w:sz="4" w:space="0" w:color="auto"/>
            </w:tcBorders>
            <w:shd w:val="clear" w:color="000000" w:fill="FFFFFF"/>
            <w:tcMar>
              <w:left w:w="0" w:type="dxa"/>
              <w:right w:w="0" w:type="dxa"/>
            </w:tcMar>
            <w:vAlign w:val="center"/>
          </w:tcPr>
          <w:p w14:paraId="57C49CAD" w14:textId="77777777" w:rsidR="00F22587" w:rsidRPr="000E5DBF" w:rsidRDefault="00F22587" w:rsidP="008A5C11">
            <w:pPr>
              <w:jc w:val="center"/>
              <w:rPr>
                <w:color w:val="000000"/>
                <w:sz w:val="14"/>
                <w:szCs w:val="14"/>
              </w:rPr>
            </w:pPr>
            <w:r w:rsidRPr="000E5DBF">
              <w:rPr>
                <w:color w:val="000000"/>
                <w:sz w:val="14"/>
                <w:szCs w:val="14"/>
              </w:rPr>
              <w:t>7137,80</w:t>
            </w:r>
          </w:p>
        </w:tc>
        <w:tc>
          <w:tcPr>
            <w:tcW w:w="562" w:type="dxa"/>
            <w:tcBorders>
              <w:top w:val="nil"/>
              <w:left w:val="nil"/>
              <w:bottom w:val="single" w:sz="4" w:space="0" w:color="auto"/>
              <w:right w:val="single" w:sz="4" w:space="0" w:color="auto"/>
            </w:tcBorders>
            <w:shd w:val="clear" w:color="000000" w:fill="FFFFFF"/>
            <w:tcMar>
              <w:left w:w="0" w:type="dxa"/>
              <w:right w:w="0" w:type="dxa"/>
            </w:tcMar>
            <w:vAlign w:val="center"/>
          </w:tcPr>
          <w:p w14:paraId="2CBB7B3B" w14:textId="77777777" w:rsidR="00F22587" w:rsidRPr="000E5DBF" w:rsidRDefault="00F22587" w:rsidP="008A5C11">
            <w:pPr>
              <w:jc w:val="center"/>
              <w:rPr>
                <w:color w:val="000000"/>
                <w:sz w:val="14"/>
                <w:szCs w:val="14"/>
              </w:rPr>
            </w:pPr>
            <w:r w:rsidRPr="000E5DBF">
              <w:rPr>
                <w:color w:val="000000"/>
                <w:sz w:val="14"/>
                <w:szCs w:val="14"/>
              </w:rPr>
              <w:t>4707,80</w:t>
            </w:r>
          </w:p>
        </w:tc>
        <w:tc>
          <w:tcPr>
            <w:tcW w:w="290" w:type="dxa"/>
            <w:tcBorders>
              <w:top w:val="nil"/>
              <w:left w:val="nil"/>
              <w:bottom w:val="single" w:sz="4" w:space="0" w:color="auto"/>
              <w:right w:val="single" w:sz="4" w:space="0" w:color="auto"/>
            </w:tcBorders>
            <w:shd w:val="clear" w:color="000000" w:fill="FFFFFF"/>
            <w:tcMar>
              <w:left w:w="0" w:type="dxa"/>
              <w:right w:w="0" w:type="dxa"/>
            </w:tcMar>
            <w:vAlign w:val="center"/>
          </w:tcPr>
          <w:p w14:paraId="2F735855" w14:textId="77777777" w:rsidR="00F22587" w:rsidRPr="000E5DBF" w:rsidRDefault="00F22587" w:rsidP="008A5C11">
            <w:pPr>
              <w:jc w:val="center"/>
              <w:rPr>
                <w:color w:val="000000"/>
                <w:sz w:val="14"/>
                <w:szCs w:val="14"/>
              </w:rPr>
            </w:pPr>
            <w:r w:rsidRPr="000E5DBF">
              <w:rPr>
                <w:color w:val="000000"/>
                <w:sz w:val="14"/>
                <w:szCs w:val="14"/>
              </w:rPr>
              <w:t>0,00</w:t>
            </w:r>
          </w:p>
        </w:tc>
        <w:tc>
          <w:tcPr>
            <w:tcW w:w="425"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77107CCF" w14:textId="77777777" w:rsidR="00F22587" w:rsidRPr="000E5DBF" w:rsidRDefault="00F22587" w:rsidP="008A5C11">
            <w:pPr>
              <w:jc w:val="center"/>
              <w:rPr>
                <w:color w:val="000000"/>
                <w:sz w:val="14"/>
                <w:szCs w:val="14"/>
              </w:rPr>
            </w:pPr>
            <w:r w:rsidRPr="000E5DBF">
              <w:rPr>
                <w:color w:val="000000"/>
                <w:sz w:val="14"/>
                <w:szCs w:val="14"/>
              </w:rPr>
              <w:t>0,00</w:t>
            </w:r>
          </w:p>
        </w:tc>
      </w:tr>
      <w:tr w:rsidR="00F22587" w:rsidRPr="000E5DBF" w14:paraId="466BC49A" w14:textId="77777777" w:rsidTr="008A5C11">
        <w:trPr>
          <w:trHeight w:val="223"/>
        </w:trPr>
        <w:tc>
          <w:tcPr>
            <w:tcW w:w="15993" w:type="dxa"/>
            <w:gridSpan w:val="30"/>
            <w:tcBorders>
              <w:top w:val="single" w:sz="4" w:space="0" w:color="auto"/>
              <w:left w:val="single" w:sz="4" w:space="0" w:color="auto"/>
              <w:bottom w:val="single" w:sz="4" w:space="0" w:color="auto"/>
              <w:right w:val="single" w:sz="4" w:space="0" w:color="000000"/>
            </w:tcBorders>
            <w:shd w:val="clear" w:color="auto" w:fill="auto"/>
            <w:tcMar>
              <w:left w:w="0" w:type="dxa"/>
              <w:right w:w="0" w:type="dxa"/>
            </w:tcMar>
            <w:vAlign w:val="center"/>
            <w:hideMark/>
          </w:tcPr>
          <w:p w14:paraId="2ABD978D" w14:textId="77777777" w:rsidR="00F22587" w:rsidRPr="000E5DBF" w:rsidRDefault="00F22587" w:rsidP="008A5C11">
            <w:pPr>
              <w:rPr>
                <w:color w:val="000000"/>
                <w:sz w:val="14"/>
                <w:szCs w:val="14"/>
              </w:rPr>
            </w:pPr>
            <w:r w:rsidRPr="000E5DBF">
              <w:rPr>
                <w:color w:val="000000"/>
                <w:sz w:val="14"/>
                <w:szCs w:val="14"/>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F22587" w:rsidRPr="000E5DBF" w14:paraId="5F5D01BA" w14:textId="77777777" w:rsidTr="008A5C11">
        <w:trPr>
          <w:cantSplit/>
          <w:trHeight w:val="743"/>
        </w:trPr>
        <w:tc>
          <w:tcPr>
            <w:tcW w:w="408"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2F62339E" w14:textId="77777777" w:rsidR="00F22587" w:rsidRPr="000E5DBF" w:rsidRDefault="00F22587" w:rsidP="008A5C11">
            <w:pPr>
              <w:jc w:val="center"/>
              <w:rPr>
                <w:color w:val="000000"/>
                <w:sz w:val="14"/>
                <w:szCs w:val="14"/>
              </w:rPr>
            </w:pPr>
            <w:r w:rsidRPr="000E5DBF">
              <w:rPr>
                <w:color w:val="000000"/>
                <w:sz w:val="14"/>
                <w:szCs w:val="14"/>
              </w:rPr>
              <w:t> 4.1.</w:t>
            </w:r>
          </w:p>
        </w:tc>
        <w:tc>
          <w:tcPr>
            <w:tcW w:w="1434" w:type="dxa"/>
            <w:tcBorders>
              <w:top w:val="nil"/>
              <w:left w:val="nil"/>
              <w:bottom w:val="single" w:sz="4" w:space="0" w:color="auto"/>
              <w:right w:val="single" w:sz="4" w:space="0" w:color="auto"/>
            </w:tcBorders>
            <w:shd w:val="clear" w:color="auto" w:fill="auto"/>
            <w:tcMar>
              <w:left w:w="0" w:type="dxa"/>
              <w:right w:w="0" w:type="dxa"/>
            </w:tcMar>
            <w:vAlign w:val="center"/>
          </w:tcPr>
          <w:p w14:paraId="65630EE9" w14:textId="77777777" w:rsidR="00F22587" w:rsidRPr="000E5DBF" w:rsidRDefault="00F22587" w:rsidP="008A5C11">
            <w:pPr>
              <w:jc w:val="center"/>
              <w:rPr>
                <w:color w:val="000000"/>
                <w:sz w:val="14"/>
                <w:szCs w:val="14"/>
              </w:rPr>
            </w:pPr>
            <w:r w:rsidRPr="000E5DBF">
              <w:rPr>
                <w:color w:val="000000"/>
                <w:sz w:val="14"/>
                <w:szCs w:val="14"/>
              </w:rPr>
              <w:t>Замена дымовой трубы Д 520 мм на дымовую трубу Д 820 мм котельной системы отопления район</w:t>
            </w:r>
          </w:p>
        </w:tc>
        <w:tc>
          <w:tcPr>
            <w:tcW w:w="971" w:type="dxa"/>
            <w:tcBorders>
              <w:top w:val="nil"/>
              <w:left w:val="nil"/>
              <w:bottom w:val="single" w:sz="4" w:space="0" w:color="auto"/>
              <w:right w:val="single" w:sz="4" w:space="0" w:color="auto"/>
            </w:tcBorders>
            <w:shd w:val="clear" w:color="auto" w:fill="auto"/>
            <w:tcMar>
              <w:left w:w="0" w:type="dxa"/>
              <w:right w:w="0" w:type="dxa"/>
            </w:tcMar>
            <w:vAlign w:val="center"/>
          </w:tcPr>
          <w:p w14:paraId="243FEAAC" w14:textId="77777777" w:rsidR="00F22587" w:rsidRPr="000E5DBF" w:rsidRDefault="00F22587" w:rsidP="008A5C11">
            <w:pPr>
              <w:jc w:val="center"/>
              <w:rPr>
                <w:color w:val="000000"/>
                <w:sz w:val="14"/>
                <w:szCs w:val="14"/>
              </w:rPr>
            </w:pPr>
            <w:r w:rsidRPr="000E5DBF">
              <w:rPr>
                <w:color w:val="000000"/>
                <w:sz w:val="14"/>
                <w:szCs w:val="14"/>
              </w:rPr>
              <w:t>Обеспечение надежности тепло- водоснабжения</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tcPr>
          <w:p w14:paraId="431A7CC9" w14:textId="77777777" w:rsidR="00F22587" w:rsidRPr="000E5DBF" w:rsidRDefault="00F22587" w:rsidP="008A5C11">
            <w:pPr>
              <w:jc w:val="center"/>
              <w:rPr>
                <w:color w:val="000000"/>
                <w:sz w:val="14"/>
                <w:szCs w:val="14"/>
              </w:rPr>
            </w:pPr>
            <w:r w:rsidRPr="000E5DBF">
              <w:rPr>
                <w:color w:val="000000"/>
                <w:sz w:val="14"/>
                <w:szCs w:val="14"/>
              </w:rPr>
              <w:t>ул. Есенина, 23</w:t>
            </w:r>
          </w:p>
        </w:tc>
        <w:tc>
          <w:tcPr>
            <w:tcW w:w="991" w:type="dxa"/>
            <w:tcBorders>
              <w:top w:val="nil"/>
              <w:left w:val="nil"/>
              <w:bottom w:val="single" w:sz="4" w:space="0" w:color="auto"/>
              <w:right w:val="single" w:sz="4" w:space="0" w:color="auto"/>
            </w:tcBorders>
            <w:shd w:val="clear" w:color="auto" w:fill="auto"/>
            <w:tcMar>
              <w:left w:w="0" w:type="dxa"/>
              <w:right w:w="0" w:type="dxa"/>
            </w:tcMar>
            <w:vAlign w:val="center"/>
          </w:tcPr>
          <w:p w14:paraId="6A31FC9D" w14:textId="77777777" w:rsidR="00F22587" w:rsidRPr="000E5DBF" w:rsidRDefault="00F22587" w:rsidP="008A5C11">
            <w:pPr>
              <w:jc w:val="center"/>
              <w:rPr>
                <w:color w:val="000000"/>
                <w:sz w:val="14"/>
                <w:szCs w:val="14"/>
              </w:rPr>
            </w:pPr>
            <w:r w:rsidRPr="000E5DBF">
              <w:rPr>
                <w:color w:val="000000"/>
                <w:sz w:val="14"/>
                <w:szCs w:val="14"/>
              </w:rPr>
              <w:t>диаметр</w:t>
            </w:r>
          </w:p>
        </w:tc>
        <w:tc>
          <w:tcPr>
            <w:tcW w:w="426" w:type="dxa"/>
            <w:tcBorders>
              <w:top w:val="nil"/>
              <w:left w:val="nil"/>
              <w:bottom w:val="single" w:sz="4" w:space="0" w:color="auto"/>
              <w:right w:val="single" w:sz="4" w:space="0" w:color="auto"/>
            </w:tcBorders>
            <w:shd w:val="clear" w:color="auto" w:fill="auto"/>
            <w:tcMar>
              <w:left w:w="0" w:type="dxa"/>
              <w:right w:w="0" w:type="dxa"/>
            </w:tcMar>
            <w:vAlign w:val="center"/>
          </w:tcPr>
          <w:p w14:paraId="1AB50BD2" w14:textId="77777777" w:rsidR="00F22587" w:rsidRPr="000E5DBF" w:rsidRDefault="00F22587" w:rsidP="008A5C11">
            <w:pPr>
              <w:jc w:val="center"/>
              <w:rPr>
                <w:color w:val="000000"/>
                <w:sz w:val="14"/>
                <w:szCs w:val="14"/>
              </w:rPr>
            </w:pPr>
            <w:r w:rsidRPr="000E5DBF">
              <w:rPr>
                <w:color w:val="000000"/>
                <w:sz w:val="14"/>
                <w:szCs w:val="14"/>
              </w:rPr>
              <w:t>мм</w:t>
            </w:r>
          </w:p>
        </w:tc>
        <w:tc>
          <w:tcPr>
            <w:tcW w:w="713" w:type="dxa"/>
            <w:tcBorders>
              <w:top w:val="nil"/>
              <w:left w:val="nil"/>
              <w:bottom w:val="single" w:sz="4" w:space="0" w:color="auto"/>
              <w:right w:val="single" w:sz="4" w:space="0" w:color="auto"/>
            </w:tcBorders>
            <w:shd w:val="clear" w:color="auto" w:fill="auto"/>
            <w:tcMar>
              <w:left w:w="0" w:type="dxa"/>
              <w:right w:w="0" w:type="dxa"/>
            </w:tcMar>
            <w:vAlign w:val="center"/>
          </w:tcPr>
          <w:p w14:paraId="2E9349A3" w14:textId="77777777" w:rsidR="00F22587" w:rsidRPr="000E5DBF" w:rsidRDefault="00F22587" w:rsidP="008A5C11">
            <w:pPr>
              <w:jc w:val="center"/>
              <w:rPr>
                <w:color w:val="000000"/>
                <w:sz w:val="14"/>
                <w:szCs w:val="14"/>
              </w:rPr>
            </w:pPr>
            <w:r w:rsidRPr="000E5DBF">
              <w:rPr>
                <w:color w:val="000000"/>
                <w:sz w:val="14"/>
                <w:szCs w:val="14"/>
              </w:rPr>
              <w:t>520</w:t>
            </w:r>
          </w:p>
        </w:tc>
        <w:tc>
          <w:tcPr>
            <w:tcW w:w="717" w:type="dxa"/>
            <w:tcBorders>
              <w:top w:val="nil"/>
              <w:left w:val="nil"/>
              <w:bottom w:val="single" w:sz="4" w:space="0" w:color="auto"/>
              <w:right w:val="single" w:sz="4" w:space="0" w:color="auto"/>
            </w:tcBorders>
            <w:shd w:val="clear" w:color="auto" w:fill="auto"/>
            <w:tcMar>
              <w:left w:w="0" w:type="dxa"/>
              <w:right w:w="0" w:type="dxa"/>
            </w:tcMar>
            <w:vAlign w:val="center"/>
          </w:tcPr>
          <w:p w14:paraId="637CBD97" w14:textId="77777777" w:rsidR="00F22587" w:rsidRPr="000E5DBF" w:rsidRDefault="00F22587" w:rsidP="008A5C11">
            <w:pPr>
              <w:jc w:val="center"/>
              <w:rPr>
                <w:color w:val="000000"/>
                <w:sz w:val="14"/>
                <w:szCs w:val="14"/>
              </w:rPr>
            </w:pPr>
            <w:r w:rsidRPr="000E5DBF">
              <w:rPr>
                <w:color w:val="000000"/>
                <w:sz w:val="14"/>
                <w:szCs w:val="14"/>
              </w:rPr>
              <w:t>820</w:t>
            </w:r>
          </w:p>
        </w:tc>
        <w:tc>
          <w:tcPr>
            <w:tcW w:w="425" w:type="dxa"/>
            <w:gridSpan w:val="2"/>
            <w:tcBorders>
              <w:top w:val="nil"/>
              <w:left w:val="nil"/>
              <w:bottom w:val="single" w:sz="4" w:space="0" w:color="auto"/>
              <w:right w:val="single" w:sz="4" w:space="0" w:color="auto"/>
            </w:tcBorders>
            <w:shd w:val="clear" w:color="auto" w:fill="auto"/>
            <w:tcMar>
              <w:left w:w="0" w:type="dxa"/>
              <w:right w:w="0" w:type="dxa"/>
            </w:tcMar>
            <w:vAlign w:val="center"/>
          </w:tcPr>
          <w:p w14:paraId="43823FB8" w14:textId="77777777" w:rsidR="00F22587" w:rsidRPr="000E5DBF" w:rsidRDefault="00F22587" w:rsidP="008A5C11">
            <w:pPr>
              <w:jc w:val="center"/>
              <w:rPr>
                <w:color w:val="000000"/>
                <w:sz w:val="14"/>
                <w:szCs w:val="14"/>
              </w:rPr>
            </w:pPr>
            <w:r w:rsidRPr="000E5DBF">
              <w:rPr>
                <w:color w:val="000000"/>
                <w:sz w:val="14"/>
                <w:szCs w:val="14"/>
              </w:rPr>
              <w:t>2019</w:t>
            </w:r>
          </w:p>
        </w:tc>
        <w:tc>
          <w:tcPr>
            <w:tcW w:w="413" w:type="dxa"/>
            <w:tcBorders>
              <w:top w:val="nil"/>
              <w:left w:val="nil"/>
              <w:bottom w:val="single" w:sz="4" w:space="0" w:color="auto"/>
              <w:right w:val="single" w:sz="4" w:space="0" w:color="auto"/>
            </w:tcBorders>
            <w:shd w:val="clear" w:color="auto" w:fill="auto"/>
            <w:tcMar>
              <w:left w:w="0" w:type="dxa"/>
              <w:right w:w="0" w:type="dxa"/>
            </w:tcMar>
            <w:vAlign w:val="center"/>
          </w:tcPr>
          <w:p w14:paraId="76D344F7" w14:textId="77777777" w:rsidR="00F22587" w:rsidRPr="000E5DBF" w:rsidRDefault="00F22587" w:rsidP="008A5C11">
            <w:pPr>
              <w:jc w:val="center"/>
              <w:rPr>
                <w:color w:val="000000"/>
                <w:sz w:val="14"/>
                <w:szCs w:val="14"/>
              </w:rPr>
            </w:pPr>
            <w:r w:rsidRPr="000E5DBF">
              <w:rPr>
                <w:color w:val="000000"/>
                <w:sz w:val="14"/>
                <w:szCs w:val="14"/>
              </w:rPr>
              <w:t>2019</w:t>
            </w:r>
          </w:p>
        </w:tc>
        <w:tc>
          <w:tcPr>
            <w:tcW w:w="568" w:type="dxa"/>
            <w:tcBorders>
              <w:top w:val="nil"/>
              <w:left w:val="nil"/>
              <w:bottom w:val="single" w:sz="4" w:space="0" w:color="auto"/>
              <w:right w:val="single" w:sz="4" w:space="0" w:color="auto"/>
            </w:tcBorders>
            <w:shd w:val="clear" w:color="auto" w:fill="auto"/>
            <w:tcMar>
              <w:left w:w="0" w:type="dxa"/>
              <w:right w:w="0" w:type="dxa"/>
            </w:tcMar>
            <w:vAlign w:val="center"/>
          </w:tcPr>
          <w:p w14:paraId="2209B0BE" w14:textId="77777777" w:rsidR="00F22587" w:rsidRPr="000E5DBF" w:rsidRDefault="00F22587" w:rsidP="008A5C11">
            <w:pPr>
              <w:jc w:val="center"/>
              <w:rPr>
                <w:color w:val="000000"/>
                <w:sz w:val="14"/>
                <w:szCs w:val="14"/>
              </w:rPr>
            </w:pPr>
            <w:r w:rsidRPr="000E5DBF">
              <w:rPr>
                <w:color w:val="000000"/>
                <w:sz w:val="14"/>
                <w:szCs w:val="14"/>
              </w:rPr>
              <w:t>3025,67</w:t>
            </w:r>
          </w:p>
        </w:tc>
        <w:tc>
          <w:tcPr>
            <w:tcW w:w="443" w:type="dxa"/>
            <w:gridSpan w:val="2"/>
            <w:tcBorders>
              <w:top w:val="nil"/>
              <w:left w:val="nil"/>
              <w:bottom w:val="single" w:sz="4" w:space="0" w:color="auto"/>
              <w:right w:val="single" w:sz="4" w:space="0" w:color="auto"/>
            </w:tcBorders>
            <w:shd w:val="clear" w:color="auto" w:fill="auto"/>
            <w:tcMar>
              <w:left w:w="0" w:type="dxa"/>
              <w:right w:w="0" w:type="dxa"/>
            </w:tcMar>
            <w:vAlign w:val="center"/>
          </w:tcPr>
          <w:p w14:paraId="68CE29FC" w14:textId="77777777" w:rsidR="00F22587" w:rsidRPr="000E5DBF" w:rsidRDefault="00F22587" w:rsidP="008A5C11">
            <w:pPr>
              <w:jc w:val="center"/>
              <w:rPr>
                <w:color w:val="000000"/>
                <w:sz w:val="14"/>
                <w:szCs w:val="14"/>
              </w:rPr>
            </w:pPr>
            <w:r w:rsidRPr="000E5DBF">
              <w:rPr>
                <w:color w:val="000000"/>
                <w:sz w:val="14"/>
                <w:szCs w:val="14"/>
              </w:rPr>
              <w:t>0,00</w:t>
            </w:r>
          </w:p>
        </w:tc>
        <w:tc>
          <w:tcPr>
            <w:tcW w:w="554" w:type="dxa"/>
            <w:tcBorders>
              <w:top w:val="nil"/>
              <w:left w:val="nil"/>
              <w:bottom w:val="single" w:sz="4" w:space="0" w:color="auto"/>
              <w:right w:val="single" w:sz="4" w:space="0" w:color="auto"/>
            </w:tcBorders>
            <w:shd w:val="clear" w:color="auto" w:fill="auto"/>
            <w:tcMar>
              <w:left w:w="0" w:type="dxa"/>
              <w:right w:w="0" w:type="dxa"/>
            </w:tcMar>
            <w:vAlign w:val="center"/>
          </w:tcPr>
          <w:p w14:paraId="482D94E5" w14:textId="77777777" w:rsidR="00F22587" w:rsidRPr="000E5DBF" w:rsidRDefault="00F22587" w:rsidP="008A5C11">
            <w:pPr>
              <w:jc w:val="center"/>
              <w:rPr>
                <w:color w:val="000000"/>
                <w:sz w:val="14"/>
                <w:szCs w:val="14"/>
              </w:rPr>
            </w:pPr>
            <w:r w:rsidRPr="000E5DBF">
              <w:rPr>
                <w:color w:val="000000"/>
                <w:sz w:val="14"/>
                <w:szCs w:val="14"/>
              </w:rPr>
              <w:t>3025,67</w:t>
            </w:r>
          </w:p>
        </w:tc>
        <w:tc>
          <w:tcPr>
            <w:tcW w:w="567" w:type="dxa"/>
            <w:tcBorders>
              <w:top w:val="nil"/>
              <w:left w:val="nil"/>
              <w:bottom w:val="single" w:sz="4" w:space="0" w:color="auto"/>
              <w:right w:val="single" w:sz="4" w:space="0" w:color="auto"/>
            </w:tcBorders>
            <w:shd w:val="clear" w:color="auto" w:fill="auto"/>
            <w:tcMar>
              <w:left w:w="0" w:type="dxa"/>
              <w:right w:w="0" w:type="dxa"/>
            </w:tcMar>
            <w:vAlign w:val="center"/>
          </w:tcPr>
          <w:p w14:paraId="17B5E1B2" w14:textId="77777777" w:rsidR="00F22587" w:rsidRPr="000E5DBF" w:rsidRDefault="00F22587" w:rsidP="008A5C11">
            <w:pPr>
              <w:jc w:val="center"/>
              <w:rPr>
                <w:color w:val="000000"/>
                <w:sz w:val="14"/>
                <w:szCs w:val="14"/>
              </w:rPr>
            </w:pPr>
            <w:r w:rsidRPr="000E5DBF">
              <w:rPr>
                <w:color w:val="000000"/>
                <w:sz w:val="14"/>
                <w:szCs w:val="14"/>
              </w:rPr>
              <w:t>0,00</w:t>
            </w:r>
          </w:p>
        </w:tc>
        <w:tc>
          <w:tcPr>
            <w:tcW w:w="567" w:type="dxa"/>
            <w:tcBorders>
              <w:top w:val="nil"/>
              <w:left w:val="nil"/>
              <w:bottom w:val="single" w:sz="4" w:space="0" w:color="auto"/>
              <w:right w:val="single" w:sz="4" w:space="0" w:color="auto"/>
            </w:tcBorders>
            <w:shd w:val="clear" w:color="auto" w:fill="auto"/>
            <w:tcMar>
              <w:left w:w="0" w:type="dxa"/>
              <w:right w:w="0" w:type="dxa"/>
            </w:tcMar>
            <w:vAlign w:val="center"/>
          </w:tcPr>
          <w:p w14:paraId="37A02E99" w14:textId="77777777" w:rsidR="00F22587" w:rsidRPr="000E5DBF" w:rsidRDefault="00F22587" w:rsidP="008A5C11">
            <w:pPr>
              <w:jc w:val="center"/>
              <w:rPr>
                <w:color w:val="000000"/>
                <w:sz w:val="14"/>
                <w:szCs w:val="14"/>
              </w:rPr>
            </w:pPr>
            <w:r w:rsidRPr="000E5DBF">
              <w:rPr>
                <w:color w:val="000000"/>
                <w:sz w:val="14"/>
                <w:szCs w:val="14"/>
              </w:rPr>
              <w:t>0,00</w:t>
            </w:r>
          </w:p>
        </w:tc>
        <w:tc>
          <w:tcPr>
            <w:tcW w:w="561" w:type="dxa"/>
            <w:tcBorders>
              <w:top w:val="nil"/>
              <w:left w:val="nil"/>
              <w:bottom w:val="single" w:sz="4" w:space="0" w:color="auto"/>
              <w:right w:val="single" w:sz="4" w:space="0" w:color="auto"/>
            </w:tcBorders>
            <w:shd w:val="clear" w:color="auto" w:fill="auto"/>
            <w:tcMar>
              <w:left w:w="0" w:type="dxa"/>
              <w:right w:w="0" w:type="dxa"/>
            </w:tcMar>
            <w:vAlign w:val="center"/>
          </w:tcPr>
          <w:p w14:paraId="1728819F" w14:textId="77777777" w:rsidR="00F22587" w:rsidRPr="000E5DBF" w:rsidRDefault="00F22587" w:rsidP="008A5C11">
            <w:pPr>
              <w:jc w:val="center"/>
              <w:rPr>
                <w:color w:val="000000"/>
                <w:sz w:val="14"/>
                <w:szCs w:val="14"/>
              </w:rPr>
            </w:pPr>
            <w:r w:rsidRPr="000E5DBF">
              <w:rPr>
                <w:color w:val="000000"/>
                <w:sz w:val="14"/>
                <w:szCs w:val="14"/>
              </w:rPr>
              <w:t>0,00</w:t>
            </w:r>
          </w:p>
        </w:tc>
        <w:tc>
          <w:tcPr>
            <w:tcW w:w="560" w:type="dxa"/>
            <w:tcBorders>
              <w:top w:val="nil"/>
              <w:left w:val="nil"/>
              <w:bottom w:val="single" w:sz="4" w:space="0" w:color="auto"/>
              <w:right w:val="single" w:sz="4" w:space="0" w:color="auto"/>
            </w:tcBorders>
            <w:shd w:val="clear" w:color="auto" w:fill="auto"/>
            <w:tcMar>
              <w:left w:w="0" w:type="dxa"/>
              <w:right w:w="0" w:type="dxa"/>
            </w:tcMar>
            <w:vAlign w:val="center"/>
          </w:tcPr>
          <w:p w14:paraId="080162AB" w14:textId="77777777" w:rsidR="00F22587" w:rsidRPr="000E5DBF" w:rsidRDefault="00F22587" w:rsidP="008A5C11">
            <w:pPr>
              <w:jc w:val="center"/>
              <w:rPr>
                <w:color w:val="000000"/>
                <w:sz w:val="14"/>
                <w:szCs w:val="14"/>
              </w:rPr>
            </w:pPr>
            <w:r w:rsidRPr="000E5DBF">
              <w:rPr>
                <w:color w:val="000000"/>
                <w:sz w:val="14"/>
                <w:szCs w:val="14"/>
              </w:rPr>
              <w:t>0,00</w:t>
            </w:r>
          </w:p>
        </w:tc>
        <w:tc>
          <w:tcPr>
            <w:tcW w:w="569" w:type="dxa"/>
            <w:tcBorders>
              <w:top w:val="nil"/>
              <w:left w:val="nil"/>
              <w:bottom w:val="single" w:sz="4" w:space="0" w:color="auto"/>
              <w:right w:val="single" w:sz="4" w:space="0" w:color="auto"/>
            </w:tcBorders>
            <w:shd w:val="clear" w:color="auto" w:fill="auto"/>
            <w:tcMar>
              <w:left w:w="0" w:type="dxa"/>
              <w:right w:w="0" w:type="dxa"/>
            </w:tcMar>
            <w:vAlign w:val="center"/>
          </w:tcPr>
          <w:p w14:paraId="3832EC8C" w14:textId="77777777" w:rsidR="00F22587" w:rsidRPr="000E5DBF" w:rsidRDefault="00F22587" w:rsidP="008A5C11">
            <w:pPr>
              <w:jc w:val="center"/>
              <w:rPr>
                <w:color w:val="000000"/>
                <w:sz w:val="14"/>
                <w:szCs w:val="14"/>
              </w:rPr>
            </w:pPr>
            <w:r w:rsidRPr="000E5DBF">
              <w:rPr>
                <w:color w:val="000000"/>
                <w:sz w:val="14"/>
                <w:szCs w:val="14"/>
              </w:rPr>
              <w:t>0,00</w:t>
            </w:r>
          </w:p>
        </w:tc>
        <w:tc>
          <w:tcPr>
            <w:tcW w:w="567" w:type="dxa"/>
            <w:gridSpan w:val="2"/>
            <w:tcBorders>
              <w:top w:val="nil"/>
              <w:left w:val="nil"/>
              <w:bottom w:val="single" w:sz="4" w:space="0" w:color="auto"/>
              <w:right w:val="single" w:sz="4" w:space="0" w:color="auto"/>
            </w:tcBorders>
            <w:shd w:val="clear" w:color="000000" w:fill="FFFFFF"/>
            <w:noWrap/>
            <w:tcMar>
              <w:left w:w="0" w:type="dxa"/>
              <w:right w:w="0" w:type="dxa"/>
            </w:tcMar>
            <w:vAlign w:val="center"/>
          </w:tcPr>
          <w:p w14:paraId="14A99A11" w14:textId="77777777" w:rsidR="00F22587" w:rsidRPr="000E5DBF" w:rsidRDefault="00F22587" w:rsidP="008A5C11">
            <w:pPr>
              <w:jc w:val="center"/>
              <w:rPr>
                <w:color w:val="000000"/>
                <w:sz w:val="14"/>
                <w:szCs w:val="14"/>
              </w:rPr>
            </w:pPr>
            <w:r w:rsidRPr="000E5DBF">
              <w:rPr>
                <w:color w:val="000000"/>
                <w:sz w:val="14"/>
                <w:szCs w:val="14"/>
              </w:rPr>
              <w:t>0,00</w:t>
            </w:r>
          </w:p>
        </w:tc>
        <w:tc>
          <w:tcPr>
            <w:tcW w:w="565" w:type="dxa"/>
            <w:tcBorders>
              <w:top w:val="nil"/>
              <w:left w:val="nil"/>
              <w:bottom w:val="single" w:sz="4" w:space="0" w:color="auto"/>
              <w:right w:val="single" w:sz="4" w:space="0" w:color="auto"/>
            </w:tcBorders>
            <w:shd w:val="clear" w:color="auto" w:fill="auto"/>
            <w:tcMar>
              <w:left w:w="0" w:type="dxa"/>
              <w:right w:w="0" w:type="dxa"/>
            </w:tcMar>
            <w:vAlign w:val="center"/>
          </w:tcPr>
          <w:p w14:paraId="49884488" w14:textId="77777777" w:rsidR="00F22587" w:rsidRPr="000E5DBF" w:rsidRDefault="00F22587" w:rsidP="008A5C11">
            <w:pPr>
              <w:jc w:val="center"/>
              <w:rPr>
                <w:color w:val="000000"/>
                <w:sz w:val="14"/>
                <w:szCs w:val="14"/>
              </w:rPr>
            </w:pPr>
            <w:r w:rsidRPr="000E5DBF">
              <w:rPr>
                <w:color w:val="000000"/>
                <w:sz w:val="14"/>
                <w:szCs w:val="14"/>
              </w:rPr>
              <w:t>0,00</w:t>
            </w:r>
          </w:p>
        </w:tc>
        <w:tc>
          <w:tcPr>
            <w:tcW w:w="567" w:type="dxa"/>
            <w:tcBorders>
              <w:top w:val="nil"/>
              <w:left w:val="nil"/>
              <w:bottom w:val="single" w:sz="4" w:space="0" w:color="auto"/>
              <w:right w:val="single" w:sz="4" w:space="0" w:color="auto"/>
            </w:tcBorders>
            <w:shd w:val="clear" w:color="auto" w:fill="auto"/>
            <w:tcMar>
              <w:left w:w="0" w:type="dxa"/>
              <w:right w:w="0" w:type="dxa"/>
            </w:tcMar>
            <w:vAlign w:val="center"/>
          </w:tcPr>
          <w:p w14:paraId="0BBA04C1" w14:textId="77777777" w:rsidR="00F22587" w:rsidRPr="000E5DBF" w:rsidRDefault="00F22587" w:rsidP="008A5C11">
            <w:pPr>
              <w:jc w:val="center"/>
              <w:rPr>
                <w:color w:val="000000"/>
                <w:sz w:val="14"/>
                <w:szCs w:val="14"/>
              </w:rPr>
            </w:pPr>
            <w:r w:rsidRPr="000E5DBF">
              <w:rPr>
                <w:color w:val="000000"/>
                <w:sz w:val="14"/>
                <w:szCs w:val="14"/>
              </w:rPr>
              <w:t>0,00</w:t>
            </w:r>
          </w:p>
        </w:tc>
        <w:tc>
          <w:tcPr>
            <w:tcW w:w="568" w:type="dxa"/>
            <w:tcBorders>
              <w:top w:val="nil"/>
              <w:left w:val="nil"/>
              <w:bottom w:val="single" w:sz="4" w:space="0" w:color="auto"/>
              <w:right w:val="single" w:sz="4" w:space="0" w:color="auto"/>
            </w:tcBorders>
            <w:shd w:val="clear" w:color="auto" w:fill="auto"/>
            <w:tcMar>
              <w:left w:w="0" w:type="dxa"/>
              <w:right w:w="0" w:type="dxa"/>
            </w:tcMar>
            <w:vAlign w:val="center"/>
          </w:tcPr>
          <w:p w14:paraId="7A551070" w14:textId="77777777" w:rsidR="00F22587" w:rsidRPr="000E5DBF" w:rsidRDefault="00F22587" w:rsidP="008A5C11">
            <w:pPr>
              <w:jc w:val="center"/>
              <w:rPr>
                <w:color w:val="000000"/>
                <w:sz w:val="14"/>
                <w:szCs w:val="14"/>
              </w:rPr>
            </w:pPr>
            <w:r w:rsidRPr="000E5DBF">
              <w:rPr>
                <w:color w:val="000000"/>
                <w:sz w:val="14"/>
                <w:szCs w:val="14"/>
              </w:rPr>
              <w:t>0,00</w:t>
            </w:r>
          </w:p>
        </w:tc>
        <w:tc>
          <w:tcPr>
            <w:tcW w:w="569" w:type="dxa"/>
            <w:tcBorders>
              <w:top w:val="nil"/>
              <w:left w:val="nil"/>
              <w:bottom w:val="single" w:sz="4" w:space="0" w:color="auto"/>
              <w:right w:val="single" w:sz="4" w:space="0" w:color="auto"/>
            </w:tcBorders>
            <w:shd w:val="clear" w:color="auto" w:fill="auto"/>
            <w:tcMar>
              <w:left w:w="0" w:type="dxa"/>
              <w:right w:w="0" w:type="dxa"/>
            </w:tcMar>
            <w:vAlign w:val="center"/>
          </w:tcPr>
          <w:p w14:paraId="2C649EF6" w14:textId="77777777" w:rsidR="00F22587" w:rsidRPr="000E5DBF" w:rsidRDefault="00F22587" w:rsidP="008A5C11">
            <w:pPr>
              <w:jc w:val="center"/>
              <w:rPr>
                <w:color w:val="000000"/>
                <w:sz w:val="14"/>
                <w:szCs w:val="14"/>
              </w:rPr>
            </w:pPr>
            <w:r w:rsidRPr="000E5DBF">
              <w:rPr>
                <w:color w:val="000000"/>
                <w:sz w:val="14"/>
                <w:szCs w:val="14"/>
              </w:rPr>
              <w:t>0,00</w:t>
            </w:r>
          </w:p>
        </w:tc>
        <w:tc>
          <w:tcPr>
            <w:tcW w:w="562" w:type="dxa"/>
            <w:tcBorders>
              <w:top w:val="nil"/>
              <w:left w:val="nil"/>
              <w:bottom w:val="single" w:sz="4" w:space="0" w:color="auto"/>
              <w:right w:val="single" w:sz="4" w:space="0" w:color="auto"/>
            </w:tcBorders>
            <w:shd w:val="clear" w:color="auto" w:fill="auto"/>
            <w:tcMar>
              <w:left w:w="0" w:type="dxa"/>
              <w:right w:w="0" w:type="dxa"/>
            </w:tcMar>
            <w:vAlign w:val="center"/>
          </w:tcPr>
          <w:p w14:paraId="2B330A07" w14:textId="77777777" w:rsidR="00F22587" w:rsidRPr="000E5DBF" w:rsidRDefault="00F22587" w:rsidP="008A5C11">
            <w:pPr>
              <w:jc w:val="center"/>
              <w:rPr>
                <w:color w:val="000000"/>
                <w:sz w:val="14"/>
                <w:szCs w:val="14"/>
              </w:rPr>
            </w:pPr>
            <w:r w:rsidRPr="000E5DBF">
              <w:rPr>
                <w:color w:val="000000"/>
                <w:sz w:val="14"/>
                <w:szCs w:val="14"/>
              </w:rPr>
              <w:t>0,00</w:t>
            </w:r>
          </w:p>
        </w:tc>
        <w:tc>
          <w:tcPr>
            <w:tcW w:w="290" w:type="dxa"/>
            <w:tcBorders>
              <w:top w:val="nil"/>
              <w:left w:val="nil"/>
              <w:bottom w:val="single" w:sz="4" w:space="0" w:color="auto"/>
              <w:right w:val="single" w:sz="4" w:space="0" w:color="auto"/>
            </w:tcBorders>
            <w:shd w:val="clear" w:color="auto" w:fill="auto"/>
            <w:tcMar>
              <w:left w:w="0" w:type="dxa"/>
              <w:right w:w="0" w:type="dxa"/>
            </w:tcMar>
            <w:vAlign w:val="center"/>
          </w:tcPr>
          <w:p w14:paraId="60146D08" w14:textId="77777777" w:rsidR="00F22587" w:rsidRPr="000E5DBF" w:rsidRDefault="00F22587" w:rsidP="008A5C11">
            <w:pPr>
              <w:jc w:val="center"/>
              <w:rPr>
                <w:color w:val="000000"/>
                <w:sz w:val="14"/>
                <w:szCs w:val="14"/>
              </w:rPr>
            </w:pPr>
            <w:r w:rsidRPr="000E5DBF">
              <w:rPr>
                <w:color w:val="000000"/>
                <w:sz w:val="14"/>
                <w:szCs w:val="14"/>
              </w:rPr>
              <w:t>0,00</w:t>
            </w:r>
          </w:p>
        </w:tc>
        <w:tc>
          <w:tcPr>
            <w:tcW w:w="425" w:type="dxa"/>
            <w:gridSpan w:val="2"/>
            <w:tcBorders>
              <w:top w:val="nil"/>
              <w:left w:val="nil"/>
              <w:bottom w:val="single" w:sz="4" w:space="0" w:color="auto"/>
              <w:right w:val="single" w:sz="4" w:space="0" w:color="auto"/>
            </w:tcBorders>
            <w:shd w:val="clear" w:color="auto" w:fill="auto"/>
            <w:tcMar>
              <w:left w:w="0" w:type="dxa"/>
              <w:right w:w="0" w:type="dxa"/>
            </w:tcMar>
            <w:vAlign w:val="center"/>
          </w:tcPr>
          <w:p w14:paraId="0AA7B87B" w14:textId="77777777" w:rsidR="00F22587" w:rsidRPr="000E5DBF" w:rsidRDefault="00F22587" w:rsidP="008A5C11">
            <w:pPr>
              <w:jc w:val="center"/>
              <w:rPr>
                <w:color w:val="000000"/>
                <w:sz w:val="14"/>
                <w:szCs w:val="14"/>
              </w:rPr>
            </w:pPr>
            <w:r w:rsidRPr="000E5DBF">
              <w:rPr>
                <w:color w:val="000000"/>
                <w:sz w:val="14"/>
                <w:szCs w:val="14"/>
              </w:rPr>
              <w:t>0,00</w:t>
            </w:r>
          </w:p>
        </w:tc>
      </w:tr>
      <w:tr w:rsidR="00F22587" w:rsidRPr="000E5DBF" w14:paraId="3579F585" w14:textId="77777777" w:rsidTr="008A5C11">
        <w:trPr>
          <w:cantSplit/>
          <w:trHeight w:val="569"/>
        </w:trPr>
        <w:tc>
          <w:tcPr>
            <w:tcW w:w="408"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0E181B82" w14:textId="77777777" w:rsidR="00F22587" w:rsidRPr="000E5DBF" w:rsidRDefault="00F22587" w:rsidP="008A5C11">
            <w:pPr>
              <w:jc w:val="center"/>
              <w:rPr>
                <w:color w:val="000000"/>
                <w:sz w:val="14"/>
                <w:szCs w:val="14"/>
              </w:rPr>
            </w:pPr>
            <w:r w:rsidRPr="000E5DBF">
              <w:rPr>
                <w:color w:val="000000"/>
                <w:sz w:val="14"/>
                <w:szCs w:val="14"/>
              </w:rPr>
              <w:t> 4.2.</w:t>
            </w:r>
          </w:p>
        </w:tc>
        <w:tc>
          <w:tcPr>
            <w:tcW w:w="1434" w:type="dxa"/>
            <w:tcBorders>
              <w:top w:val="nil"/>
              <w:left w:val="nil"/>
              <w:bottom w:val="single" w:sz="4" w:space="0" w:color="auto"/>
              <w:right w:val="single" w:sz="4" w:space="0" w:color="auto"/>
            </w:tcBorders>
            <w:shd w:val="clear" w:color="auto" w:fill="auto"/>
            <w:tcMar>
              <w:left w:w="0" w:type="dxa"/>
              <w:right w:w="0" w:type="dxa"/>
            </w:tcMar>
            <w:vAlign w:val="center"/>
          </w:tcPr>
          <w:p w14:paraId="4DE40306" w14:textId="77777777" w:rsidR="00F22587" w:rsidRPr="000E5DBF" w:rsidRDefault="00F22587" w:rsidP="008A5C11">
            <w:pPr>
              <w:jc w:val="center"/>
              <w:rPr>
                <w:color w:val="000000"/>
                <w:sz w:val="14"/>
                <w:szCs w:val="14"/>
              </w:rPr>
            </w:pPr>
            <w:r w:rsidRPr="000E5DBF">
              <w:rPr>
                <w:color w:val="000000"/>
                <w:sz w:val="14"/>
                <w:szCs w:val="14"/>
              </w:rPr>
              <w:t>Замена дробилки угля СМД 108 Котельной Горновского района</w:t>
            </w:r>
          </w:p>
        </w:tc>
        <w:tc>
          <w:tcPr>
            <w:tcW w:w="971" w:type="dxa"/>
            <w:tcBorders>
              <w:top w:val="nil"/>
              <w:left w:val="nil"/>
              <w:bottom w:val="single" w:sz="4" w:space="0" w:color="auto"/>
              <w:right w:val="single" w:sz="4" w:space="0" w:color="auto"/>
            </w:tcBorders>
            <w:shd w:val="clear" w:color="auto" w:fill="auto"/>
            <w:tcMar>
              <w:left w:w="0" w:type="dxa"/>
              <w:right w:w="0" w:type="dxa"/>
            </w:tcMar>
            <w:vAlign w:val="center"/>
          </w:tcPr>
          <w:p w14:paraId="3F54CAE1" w14:textId="77777777" w:rsidR="00F22587" w:rsidRPr="000E5DBF" w:rsidRDefault="00F22587" w:rsidP="008A5C11">
            <w:pPr>
              <w:jc w:val="center"/>
              <w:rPr>
                <w:color w:val="000000"/>
                <w:sz w:val="14"/>
                <w:szCs w:val="14"/>
              </w:rPr>
            </w:pPr>
            <w:r w:rsidRPr="000E5DBF">
              <w:rPr>
                <w:color w:val="000000"/>
                <w:sz w:val="14"/>
                <w:szCs w:val="14"/>
              </w:rPr>
              <w:t>Обеспечение надежности тепло- водоснабжения</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tcPr>
          <w:p w14:paraId="32F80171" w14:textId="77777777" w:rsidR="00F22587" w:rsidRPr="000E5DBF" w:rsidRDefault="00F22587" w:rsidP="008A5C11">
            <w:pPr>
              <w:jc w:val="center"/>
              <w:rPr>
                <w:color w:val="000000"/>
                <w:sz w:val="14"/>
                <w:szCs w:val="14"/>
              </w:rPr>
            </w:pPr>
            <w:r w:rsidRPr="000E5DBF">
              <w:rPr>
                <w:color w:val="000000"/>
                <w:sz w:val="14"/>
                <w:szCs w:val="14"/>
              </w:rPr>
              <w:t>ул. Вокзальная, 11а</w:t>
            </w:r>
          </w:p>
        </w:tc>
        <w:tc>
          <w:tcPr>
            <w:tcW w:w="991" w:type="dxa"/>
            <w:tcBorders>
              <w:top w:val="nil"/>
              <w:left w:val="nil"/>
              <w:bottom w:val="single" w:sz="4" w:space="0" w:color="auto"/>
              <w:right w:val="single" w:sz="4" w:space="0" w:color="auto"/>
            </w:tcBorders>
            <w:shd w:val="clear" w:color="auto" w:fill="auto"/>
            <w:tcMar>
              <w:left w:w="0" w:type="dxa"/>
              <w:right w:w="0" w:type="dxa"/>
            </w:tcMar>
            <w:vAlign w:val="center"/>
          </w:tcPr>
          <w:p w14:paraId="6F5C0E82" w14:textId="77777777" w:rsidR="00F22587" w:rsidRPr="000E5DBF" w:rsidRDefault="00F22587" w:rsidP="008A5C11">
            <w:pPr>
              <w:jc w:val="center"/>
              <w:rPr>
                <w:color w:val="000000"/>
                <w:sz w:val="14"/>
                <w:szCs w:val="14"/>
              </w:rPr>
            </w:pPr>
            <w:proofErr w:type="gramStart"/>
            <w:r w:rsidRPr="000E5DBF">
              <w:rPr>
                <w:color w:val="000000"/>
                <w:sz w:val="14"/>
                <w:szCs w:val="14"/>
              </w:rPr>
              <w:t>производитель-ность</w:t>
            </w:r>
            <w:proofErr w:type="gramEnd"/>
          </w:p>
        </w:tc>
        <w:tc>
          <w:tcPr>
            <w:tcW w:w="426" w:type="dxa"/>
            <w:tcBorders>
              <w:top w:val="nil"/>
              <w:left w:val="nil"/>
              <w:bottom w:val="single" w:sz="4" w:space="0" w:color="auto"/>
              <w:right w:val="single" w:sz="4" w:space="0" w:color="auto"/>
            </w:tcBorders>
            <w:shd w:val="clear" w:color="auto" w:fill="auto"/>
            <w:tcMar>
              <w:left w:w="0" w:type="dxa"/>
              <w:right w:w="0" w:type="dxa"/>
            </w:tcMar>
            <w:vAlign w:val="center"/>
          </w:tcPr>
          <w:p w14:paraId="39A595DA" w14:textId="77777777" w:rsidR="00F22587" w:rsidRPr="000E5DBF" w:rsidRDefault="00F22587" w:rsidP="008A5C11">
            <w:pPr>
              <w:jc w:val="center"/>
              <w:rPr>
                <w:color w:val="000000"/>
                <w:sz w:val="14"/>
                <w:szCs w:val="14"/>
              </w:rPr>
            </w:pPr>
            <w:r w:rsidRPr="000E5DBF">
              <w:rPr>
                <w:color w:val="000000"/>
                <w:sz w:val="14"/>
                <w:szCs w:val="14"/>
              </w:rPr>
              <w:t>тн</w:t>
            </w:r>
          </w:p>
        </w:tc>
        <w:tc>
          <w:tcPr>
            <w:tcW w:w="713" w:type="dxa"/>
            <w:tcBorders>
              <w:top w:val="nil"/>
              <w:left w:val="nil"/>
              <w:bottom w:val="single" w:sz="4" w:space="0" w:color="auto"/>
              <w:right w:val="single" w:sz="4" w:space="0" w:color="auto"/>
            </w:tcBorders>
            <w:shd w:val="clear" w:color="auto" w:fill="auto"/>
            <w:tcMar>
              <w:left w:w="0" w:type="dxa"/>
              <w:right w:w="0" w:type="dxa"/>
            </w:tcMar>
            <w:vAlign w:val="center"/>
          </w:tcPr>
          <w:p w14:paraId="20729328" w14:textId="77777777" w:rsidR="00F22587" w:rsidRPr="000E5DBF" w:rsidRDefault="00F22587" w:rsidP="008A5C11">
            <w:pPr>
              <w:jc w:val="center"/>
              <w:rPr>
                <w:color w:val="000000"/>
                <w:sz w:val="14"/>
                <w:szCs w:val="14"/>
              </w:rPr>
            </w:pPr>
            <w:r w:rsidRPr="000E5DBF">
              <w:rPr>
                <w:color w:val="000000"/>
                <w:sz w:val="14"/>
                <w:szCs w:val="14"/>
              </w:rPr>
              <w:t>20</w:t>
            </w:r>
          </w:p>
        </w:tc>
        <w:tc>
          <w:tcPr>
            <w:tcW w:w="717" w:type="dxa"/>
            <w:tcBorders>
              <w:top w:val="nil"/>
              <w:left w:val="nil"/>
              <w:bottom w:val="single" w:sz="4" w:space="0" w:color="auto"/>
              <w:right w:val="single" w:sz="4" w:space="0" w:color="auto"/>
            </w:tcBorders>
            <w:shd w:val="clear" w:color="auto" w:fill="auto"/>
            <w:tcMar>
              <w:left w:w="0" w:type="dxa"/>
              <w:right w:w="0" w:type="dxa"/>
            </w:tcMar>
            <w:vAlign w:val="center"/>
          </w:tcPr>
          <w:p w14:paraId="66841988" w14:textId="77777777" w:rsidR="00F22587" w:rsidRPr="000E5DBF" w:rsidRDefault="00F22587" w:rsidP="008A5C11">
            <w:pPr>
              <w:jc w:val="center"/>
              <w:rPr>
                <w:color w:val="000000"/>
                <w:sz w:val="14"/>
                <w:szCs w:val="14"/>
              </w:rPr>
            </w:pPr>
            <w:r w:rsidRPr="000E5DBF">
              <w:rPr>
                <w:color w:val="000000"/>
                <w:sz w:val="14"/>
                <w:szCs w:val="14"/>
              </w:rPr>
              <w:t>30</w:t>
            </w:r>
          </w:p>
        </w:tc>
        <w:tc>
          <w:tcPr>
            <w:tcW w:w="425" w:type="dxa"/>
            <w:gridSpan w:val="2"/>
            <w:tcBorders>
              <w:top w:val="nil"/>
              <w:left w:val="nil"/>
              <w:bottom w:val="single" w:sz="4" w:space="0" w:color="auto"/>
              <w:right w:val="single" w:sz="4" w:space="0" w:color="auto"/>
            </w:tcBorders>
            <w:shd w:val="clear" w:color="auto" w:fill="auto"/>
            <w:tcMar>
              <w:left w:w="0" w:type="dxa"/>
              <w:right w:w="0" w:type="dxa"/>
            </w:tcMar>
            <w:vAlign w:val="center"/>
          </w:tcPr>
          <w:p w14:paraId="74D4527D" w14:textId="77777777" w:rsidR="00F22587" w:rsidRPr="000E5DBF" w:rsidRDefault="00F22587" w:rsidP="008A5C11">
            <w:pPr>
              <w:jc w:val="center"/>
              <w:rPr>
                <w:color w:val="000000"/>
                <w:sz w:val="14"/>
                <w:szCs w:val="14"/>
              </w:rPr>
            </w:pPr>
            <w:r w:rsidRPr="000E5DBF">
              <w:rPr>
                <w:color w:val="000000"/>
                <w:sz w:val="14"/>
                <w:szCs w:val="14"/>
              </w:rPr>
              <w:t>2019</w:t>
            </w:r>
          </w:p>
        </w:tc>
        <w:tc>
          <w:tcPr>
            <w:tcW w:w="413" w:type="dxa"/>
            <w:tcBorders>
              <w:top w:val="nil"/>
              <w:left w:val="nil"/>
              <w:bottom w:val="single" w:sz="4" w:space="0" w:color="auto"/>
              <w:right w:val="single" w:sz="4" w:space="0" w:color="auto"/>
            </w:tcBorders>
            <w:shd w:val="clear" w:color="auto" w:fill="auto"/>
            <w:tcMar>
              <w:left w:w="0" w:type="dxa"/>
              <w:right w:w="0" w:type="dxa"/>
            </w:tcMar>
            <w:vAlign w:val="center"/>
          </w:tcPr>
          <w:p w14:paraId="106D8EAF" w14:textId="77777777" w:rsidR="00F22587" w:rsidRPr="000E5DBF" w:rsidRDefault="00F22587" w:rsidP="008A5C11">
            <w:pPr>
              <w:jc w:val="center"/>
              <w:rPr>
                <w:color w:val="000000"/>
                <w:sz w:val="14"/>
                <w:szCs w:val="14"/>
              </w:rPr>
            </w:pPr>
            <w:r w:rsidRPr="000E5DBF">
              <w:rPr>
                <w:color w:val="000000"/>
                <w:sz w:val="14"/>
                <w:szCs w:val="14"/>
              </w:rPr>
              <w:t>2019</w:t>
            </w:r>
          </w:p>
        </w:tc>
        <w:tc>
          <w:tcPr>
            <w:tcW w:w="568" w:type="dxa"/>
            <w:tcBorders>
              <w:top w:val="nil"/>
              <w:left w:val="nil"/>
              <w:bottom w:val="single" w:sz="4" w:space="0" w:color="auto"/>
              <w:right w:val="single" w:sz="4" w:space="0" w:color="auto"/>
            </w:tcBorders>
            <w:shd w:val="clear" w:color="auto" w:fill="auto"/>
            <w:tcMar>
              <w:left w:w="0" w:type="dxa"/>
              <w:right w:w="0" w:type="dxa"/>
            </w:tcMar>
            <w:vAlign w:val="center"/>
          </w:tcPr>
          <w:p w14:paraId="56077A0F" w14:textId="77777777" w:rsidR="00F22587" w:rsidRPr="000E5DBF" w:rsidRDefault="00F22587" w:rsidP="008A5C11">
            <w:pPr>
              <w:jc w:val="center"/>
              <w:rPr>
                <w:color w:val="000000"/>
                <w:sz w:val="14"/>
                <w:szCs w:val="14"/>
              </w:rPr>
            </w:pPr>
            <w:r w:rsidRPr="000E5DBF">
              <w:rPr>
                <w:color w:val="000000"/>
                <w:sz w:val="14"/>
                <w:szCs w:val="14"/>
              </w:rPr>
              <w:t>2136,00</w:t>
            </w:r>
          </w:p>
        </w:tc>
        <w:tc>
          <w:tcPr>
            <w:tcW w:w="443" w:type="dxa"/>
            <w:gridSpan w:val="2"/>
            <w:tcBorders>
              <w:top w:val="nil"/>
              <w:left w:val="nil"/>
              <w:bottom w:val="single" w:sz="4" w:space="0" w:color="auto"/>
              <w:right w:val="single" w:sz="4" w:space="0" w:color="auto"/>
            </w:tcBorders>
            <w:shd w:val="clear" w:color="auto" w:fill="auto"/>
            <w:tcMar>
              <w:left w:w="0" w:type="dxa"/>
              <w:right w:w="0" w:type="dxa"/>
            </w:tcMar>
            <w:vAlign w:val="center"/>
          </w:tcPr>
          <w:p w14:paraId="77E26AE9" w14:textId="77777777" w:rsidR="00F22587" w:rsidRPr="000E5DBF" w:rsidRDefault="00F22587" w:rsidP="008A5C11">
            <w:pPr>
              <w:jc w:val="center"/>
              <w:rPr>
                <w:color w:val="000000"/>
                <w:sz w:val="14"/>
                <w:szCs w:val="14"/>
              </w:rPr>
            </w:pPr>
            <w:r w:rsidRPr="000E5DBF">
              <w:rPr>
                <w:color w:val="000000"/>
                <w:sz w:val="14"/>
                <w:szCs w:val="14"/>
              </w:rPr>
              <w:t>0,00</w:t>
            </w:r>
          </w:p>
        </w:tc>
        <w:tc>
          <w:tcPr>
            <w:tcW w:w="554" w:type="dxa"/>
            <w:tcBorders>
              <w:top w:val="nil"/>
              <w:left w:val="nil"/>
              <w:bottom w:val="single" w:sz="4" w:space="0" w:color="auto"/>
              <w:right w:val="single" w:sz="4" w:space="0" w:color="auto"/>
            </w:tcBorders>
            <w:shd w:val="clear" w:color="auto" w:fill="auto"/>
            <w:tcMar>
              <w:left w:w="0" w:type="dxa"/>
              <w:right w:w="0" w:type="dxa"/>
            </w:tcMar>
            <w:vAlign w:val="center"/>
          </w:tcPr>
          <w:p w14:paraId="442C6834" w14:textId="77777777" w:rsidR="00F22587" w:rsidRPr="000E5DBF" w:rsidRDefault="00F22587" w:rsidP="008A5C11">
            <w:pPr>
              <w:jc w:val="center"/>
              <w:rPr>
                <w:color w:val="000000"/>
                <w:sz w:val="14"/>
                <w:szCs w:val="14"/>
              </w:rPr>
            </w:pPr>
            <w:r w:rsidRPr="000E5DBF">
              <w:rPr>
                <w:color w:val="000000"/>
                <w:sz w:val="14"/>
                <w:szCs w:val="14"/>
              </w:rPr>
              <w:t>2136,00</w:t>
            </w:r>
          </w:p>
        </w:tc>
        <w:tc>
          <w:tcPr>
            <w:tcW w:w="567" w:type="dxa"/>
            <w:tcBorders>
              <w:top w:val="nil"/>
              <w:left w:val="nil"/>
              <w:bottom w:val="single" w:sz="4" w:space="0" w:color="auto"/>
              <w:right w:val="single" w:sz="4" w:space="0" w:color="auto"/>
            </w:tcBorders>
            <w:shd w:val="clear" w:color="auto" w:fill="auto"/>
            <w:tcMar>
              <w:left w:w="0" w:type="dxa"/>
              <w:right w:w="0" w:type="dxa"/>
            </w:tcMar>
            <w:vAlign w:val="center"/>
          </w:tcPr>
          <w:p w14:paraId="76A65A98" w14:textId="77777777" w:rsidR="00F22587" w:rsidRPr="000E5DBF" w:rsidRDefault="00F22587" w:rsidP="008A5C11">
            <w:pPr>
              <w:jc w:val="center"/>
              <w:rPr>
                <w:color w:val="000000"/>
                <w:sz w:val="14"/>
                <w:szCs w:val="14"/>
              </w:rPr>
            </w:pPr>
            <w:r w:rsidRPr="000E5DBF">
              <w:rPr>
                <w:color w:val="000000"/>
                <w:sz w:val="14"/>
                <w:szCs w:val="14"/>
              </w:rPr>
              <w:t>0,00</w:t>
            </w:r>
          </w:p>
        </w:tc>
        <w:tc>
          <w:tcPr>
            <w:tcW w:w="567" w:type="dxa"/>
            <w:tcBorders>
              <w:top w:val="nil"/>
              <w:left w:val="nil"/>
              <w:bottom w:val="single" w:sz="4" w:space="0" w:color="auto"/>
              <w:right w:val="single" w:sz="4" w:space="0" w:color="auto"/>
            </w:tcBorders>
            <w:shd w:val="clear" w:color="auto" w:fill="auto"/>
            <w:tcMar>
              <w:left w:w="0" w:type="dxa"/>
              <w:right w:w="0" w:type="dxa"/>
            </w:tcMar>
            <w:vAlign w:val="center"/>
          </w:tcPr>
          <w:p w14:paraId="66EE72E6" w14:textId="77777777" w:rsidR="00F22587" w:rsidRPr="000E5DBF" w:rsidRDefault="00F22587" w:rsidP="008A5C11">
            <w:pPr>
              <w:jc w:val="center"/>
              <w:rPr>
                <w:color w:val="000000"/>
                <w:sz w:val="14"/>
                <w:szCs w:val="14"/>
              </w:rPr>
            </w:pPr>
            <w:r w:rsidRPr="000E5DBF">
              <w:rPr>
                <w:color w:val="000000"/>
                <w:sz w:val="14"/>
                <w:szCs w:val="14"/>
              </w:rPr>
              <w:t>0,00</w:t>
            </w:r>
          </w:p>
        </w:tc>
        <w:tc>
          <w:tcPr>
            <w:tcW w:w="561" w:type="dxa"/>
            <w:tcBorders>
              <w:top w:val="nil"/>
              <w:left w:val="nil"/>
              <w:bottom w:val="single" w:sz="4" w:space="0" w:color="auto"/>
              <w:right w:val="single" w:sz="4" w:space="0" w:color="auto"/>
            </w:tcBorders>
            <w:shd w:val="clear" w:color="auto" w:fill="auto"/>
            <w:tcMar>
              <w:left w:w="0" w:type="dxa"/>
              <w:right w:w="0" w:type="dxa"/>
            </w:tcMar>
            <w:vAlign w:val="center"/>
          </w:tcPr>
          <w:p w14:paraId="64BAE128" w14:textId="77777777" w:rsidR="00F22587" w:rsidRPr="000E5DBF" w:rsidRDefault="00F22587" w:rsidP="008A5C11">
            <w:pPr>
              <w:jc w:val="center"/>
              <w:rPr>
                <w:color w:val="000000"/>
                <w:sz w:val="14"/>
                <w:szCs w:val="14"/>
              </w:rPr>
            </w:pPr>
            <w:r w:rsidRPr="000E5DBF">
              <w:rPr>
                <w:color w:val="000000"/>
                <w:sz w:val="14"/>
                <w:szCs w:val="14"/>
              </w:rPr>
              <w:t>0,00</w:t>
            </w:r>
          </w:p>
        </w:tc>
        <w:tc>
          <w:tcPr>
            <w:tcW w:w="560" w:type="dxa"/>
            <w:tcBorders>
              <w:top w:val="nil"/>
              <w:left w:val="nil"/>
              <w:bottom w:val="single" w:sz="4" w:space="0" w:color="auto"/>
              <w:right w:val="single" w:sz="4" w:space="0" w:color="auto"/>
            </w:tcBorders>
            <w:shd w:val="clear" w:color="auto" w:fill="auto"/>
            <w:tcMar>
              <w:left w:w="0" w:type="dxa"/>
              <w:right w:w="0" w:type="dxa"/>
            </w:tcMar>
            <w:vAlign w:val="center"/>
          </w:tcPr>
          <w:p w14:paraId="705CA22E" w14:textId="77777777" w:rsidR="00F22587" w:rsidRPr="000E5DBF" w:rsidRDefault="00F22587" w:rsidP="008A5C11">
            <w:pPr>
              <w:jc w:val="center"/>
              <w:rPr>
                <w:color w:val="000000"/>
                <w:sz w:val="14"/>
                <w:szCs w:val="14"/>
              </w:rPr>
            </w:pPr>
            <w:r w:rsidRPr="000E5DBF">
              <w:rPr>
                <w:color w:val="000000"/>
                <w:sz w:val="14"/>
                <w:szCs w:val="14"/>
              </w:rPr>
              <w:t>0,00</w:t>
            </w:r>
          </w:p>
        </w:tc>
        <w:tc>
          <w:tcPr>
            <w:tcW w:w="569" w:type="dxa"/>
            <w:tcBorders>
              <w:top w:val="nil"/>
              <w:left w:val="nil"/>
              <w:bottom w:val="single" w:sz="4" w:space="0" w:color="auto"/>
              <w:right w:val="single" w:sz="4" w:space="0" w:color="auto"/>
            </w:tcBorders>
            <w:shd w:val="clear" w:color="auto" w:fill="auto"/>
            <w:tcMar>
              <w:left w:w="0" w:type="dxa"/>
              <w:right w:w="0" w:type="dxa"/>
            </w:tcMar>
            <w:vAlign w:val="center"/>
          </w:tcPr>
          <w:p w14:paraId="2CC6B912" w14:textId="77777777" w:rsidR="00F22587" w:rsidRPr="000E5DBF" w:rsidRDefault="00F22587" w:rsidP="008A5C11">
            <w:pPr>
              <w:jc w:val="center"/>
              <w:rPr>
                <w:color w:val="000000"/>
                <w:sz w:val="14"/>
                <w:szCs w:val="14"/>
              </w:rPr>
            </w:pPr>
            <w:r w:rsidRPr="000E5DBF">
              <w:rPr>
                <w:color w:val="000000"/>
                <w:sz w:val="14"/>
                <w:szCs w:val="14"/>
              </w:rPr>
              <w:t>0,00</w:t>
            </w:r>
          </w:p>
        </w:tc>
        <w:tc>
          <w:tcPr>
            <w:tcW w:w="567" w:type="dxa"/>
            <w:gridSpan w:val="2"/>
            <w:tcBorders>
              <w:top w:val="nil"/>
              <w:left w:val="nil"/>
              <w:bottom w:val="single" w:sz="4" w:space="0" w:color="auto"/>
              <w:right w:val="single" w:sz="4" w:space="0" w:color="auto"/>
            </w:tcBorders>
            <w:shd w:val="clear" w:color="auto" w:fill="auto"/>
            <w:tcMar>
              <w:left w:w="0" w:type="dxa"/>
              <w:right w:w="0" w:type="dxa"/>
            </w:tcMar>
            <w:vAlign w:val="center"/>
          </w:tcPr>
          <w:p w14:paraId="5EB6B2D7" w14:textId="77777777" w:rsidR="00F22587" w:rsidRPr="000E5DBF" w:rsidRDefault="00F22587" w:rsidP="008A5C11">
            <w:pPr>
              <w:jc w:val="center"/>
              <w:rPr>
                <w:color w:val="000000"/>
                <w:sz w:val="14"/>
                <w:szCs w:val="14"/>
              </w:rPr>
            </w:pPr>
            <w:r w:rsidRPr="000E5DBF">
              <w:rPr>
                <w:color w:val="000000"/>
                <w:sz w:val="14"/>
                <w:szCs w:val="14"/>
              </w:rPr>
              <w:t>0,00</w:t>
            </w:r>
          </w:p>
        </w:tc>
        <w:tc>
          <w:tcPr>
            <w:tcW w:w="565" w:type="dxa"/>
            <w:tcBorders>
              <w:top w:val="nil"/>
              <w:left w:val="nil"/>
              <w:bottom w:val="single" w:sz="4" w:space="0" w:color="auto"/>
              <w:right w:val="single" w:sz="4" w:space="0" w:color="auto"/>
            </w:tcBorders>
            <w:shd w:val="clear" w:color="000000" w:fill="FFFFFF"/>
            <w:tcMar>
              <w:left w:w="0" w:type="dxa"/>
              <w:right w:w="0" w:type="dxa"/>
            </w:tcMar>
            <w:vAlign w:val="center"/>
          </w:tcPr>
          <w:p w14:paraId="21F7D100" w14:textId="77777777" w:rsidR="00F22587" w:rsidRPr="000E5DBF" w:rsidRDefault="00F22587" w:rsidP="008A5C11">
            <w:pPr>
              <w:jc w:val="center"/>
              <w:rPr>
                <w:color w:val="000000"/>
                <w:sz w:val="14"/>
                <w:szCs w:val="14"/>
              </w:rPr>
            </w:pPr>
            <w:r w:rsidRPr="000E5DBF">
              <w:rPr>
                <w:color w:val="000000"/>
                <w:sz w:val="14"/>
                <w:szCs w:val="14"/>
              </w:rPr>
              <w:t>0,00</w:t>
            </w:r>
          </w:p>
        </w:tc>
        <w:tc>
          <w:tcPr>
            <w:tcW w:w="567" w:type="dxa"/>
            <w:tcBorders>
              <w:top w:val="nil"/>
              <w:left w:val="nil"/>
              <w:bottom w:val="single" w:sz="4" w:space="0" w:color="auto"/>
              <w:right w:val="single" w:sz="4" w:space="0" w:color="auto"/>
            </w:tcBorders>
            <w:shd w:val="clear" w:color="auto" w:fill="auto"/>
            <w:tcMar>
              <w:left w:w="0" w:type="dxa"/>
              <w:right w:w="0" w:type="dxa"/>
            </w:tcMar>
            <w:vAlign w:val="center"/>
          </w:tcPr>
          <w:p w14:paraId="3B19C03F" w14:textId="77777777" w:rsidR="00F22587" w:rsidRPr="000E5DBF" w:rsidRDefault="00F22587" w:rsidP="008A5C11">
            <w:pPr>
              <w:jc w:val="center"/>
              <w:rPr>
                <w:color w:val="000000"/>
                <w:sz w:val="14"/>
                <w:szCs w:val="14"/>
              </w:rPr>
            </w:pPr>
            <w:r w:rsidRPr="000E5DBF">
              <w:rPr>
                <w:color w:val="000000"/>
                <w:sz w:val="14"/>
                <w:szCs w:val="14"/>
              </w:rPr>
              <w:t>0,00</w:t>
            </w:r>
          </w:p>
        </w:tc>
        <w:tc>
          <w:tcPr>
            <w:tcW w:w="568" w:type="dxa"/>
            <w:tcBorders>
              <w:top w:val="nil"/>
              <w:left w:val="nil"/>
              <w:bottom w:val="single" w:sz="4" w:space="0" w:color="auto"/>
              <w:right w:val="single" w:sz="4" w:space="0" w:color="auto"/>
            </w:tcBorders>
            <w:shd w:val="clear" w:color="auto" w:fill="auto"/>
            <w:tcMar>
              <w:left w:w="0" w:type="dxa"/>
              <w:right w:w="0" w:type="dxa"/>
            </w:tcMar>
            <w:vAlign w:val="center"/>
          </w:tcPr>
          <w:p w14:paraId="65F10328" w14:textId="77777777" w:rsidR="00F22587" w:rsidRPr="000E5DBF" w:rsidRDefault="00F22587" w:rsidP="008A5C11">
            <w:pPr>
              <w:jc w:val="center"/>
              <w:rPr>
                <w:color w:val="000000"/>
                <w:sz w:val="14"/>
                <w:szCs w:val="14"/>
              </w:rPr>
            </w:pPr>
            <w:r w:rsidRPr="000E5DBF">
              <w:rPr>
                <w:color w:val="000000"/>
                <w:sz w:val="14"/>
                <w:szCs w:val="14"/>
              </w:rPr>
              <w:t>0,00</w:t>
            </w:r>
          </w:p>
        </w:tc>
        <w:tc>
          <w:tcPr>
            <w:tcW w:w="569" w:type="dxa"/>
            <w:tcBorders>
              <w:top w:val="nil"/>
              <w:left w:val="nil"/>
              <w:bottom w:val="single" w:sz="4" w:space="0" w:color="auto"/>
              <w:right w:val="single" w:sz="4" w:space="0" w:color="auto"/>
            </w:tcBorders>
            <w:shd w:val="clear" w:color="auto" w:fill="auto"/>
            <w:tcMar>
              <w:left w:w="0" w:type="dxa"/>
              <w:right w:w="0" w:type="dxa"/>
            </w:tcMar>
            <w:vAlign w:val="center"/>
          </w:tcPr>
          <w:p w14:paraId="6A13004D" w14:textId="77777777" w:rsidR="00F22587" w:rsidRPr="000E5DBF" w:rsidRDefault="00F22587" w:rsidP="008A5C11">
            <w:pPr>
              <w:jc w:val="center"/>
              <w:rPr>
                <w:color w:val="000000"/>
                <w:sz w:val="14"/>
                <w:szCs w:val="14"/>
              </w:rPr>
            </w:pPr>
            <w:r w:rsidRPr="000E5DBF">
              <w:rPr>
                <w:color w:val="000000"/>
                <w:sz w:val="14"/>
                <w:szCs w:val="14"/>
              </w:rPr>
              <w:t>0,00</w:t>
            </w:r>
          </w:p>
        </w:tc>
        <w:tc>
          <w:tcPr>
            <w:tcW w:w="562" w:type="dxa"/>
            <w:tcBorders>
              <w:top w:val="nil"/>
              <w:left w:val="nil"/>
              <w:bottom w:val="single" w:sz="4" w:space="0" w:color="auto"/>
              <w:right w:val="single" w:sz="4" w:space="0" w:color="auto"/>
            </w:tcBorders>
            <w:shd w:val="clear" w:color="auto" w:fill="auto"/>
            <w:tcMar>
              <w:left w:w="0" w:type="dxa"/>
              <w:right w:w="0" w:type="dxa"/>
            </w:tcMar>
            <w:vAlign w:val="center"/>
          </w:tcPr>
          <w:p w14:paraId="75FF83F4" w14:textId="77777777" w:rsidR="00F22587" w:rsidRPr="000E5DBF" w:rsidRDefault="00F22587" w:rsidP="008A5C11">
            <w:pPr>
              <w:jc w:val="center"/>
              <w:rPr>
                <w:color w:val="000000"/>
                <w:sz w:val="14"/>
                <w:szCs w:val="14"/>
              </w:rPr>
            </w:pPr>
            <w:r w:rsidRPr="000E5DBF">
              <w:rPr>
                <w:color w:val="000000"/>
                <w:sz w:val="14"/>
                <w:szCs w:val="14"/>
              </w:rPr>
              <w:t>0,00</w:t>
            </w:r>
          </w:p>
        </w:tc>
        <w:tc>
          <w:tcPr>
            <w:tcW w:w="290" w:type="dxa"/>
            <w:tcBorders>
              <w:top w:val="nil"/>
              <w:left w:val="nil"/>
              <w:bottom w:val="single" w:sz="4" w:space="0" w:color="auto"/>
              <w:right w:val="single" w:sz="4" w:space="0" w:color="auto"/>
            </w:tcBorders>
            <w:shd w:val="clear" w:color="auto" w:fill="auto"/>
            <w:tcMar>
              <w:left w:w="0" w:type="dxa"/>
              <w:right w:w="0" w:type="dxa"/>
            </w:tcMar>
            <w:vAlign w:val="center"/>
          </w:tcPr>
          <w:p w14:paraId="66761CC0" w14:textId="77777777" w:rsidR="00F22587" w:rsidRPr="000E5DBF" w:rsidRDefault="00F22587" w:rsidP="008A5C11">
            <w:pPr>
              <w:jc w:val="center"/>
              <w:rPr>
                <w:color w:val="000000"/>
                <w:sz w:val="14"/>
                <w:szCs w:val="14"/>
              </w:rPr>
            </w:pPr>
            <w:r w:rsidRPr="000E5DBF">
              <w:rPr>
                <w:color w:val="000000"/>
                <w:sz w:val="14"/>
                <w:szCs w:val="14"/>
              </w:rPr>
              <w:t>0,00</w:t>
            </w:r>
          </w:p>
        </w:tc>
        <w:tc>
          <w:tcPr>
            <w:tcW w:w="425" w:type="dxa"/>
            <w:gridSpan w:val="2"/>
            <w:tcBorders>
              <w:top w:val="nil"/>
              <w:left w:val="nil"/>
              <w:bottom w:val="single" w:sz="4" w:space="0" w:color="auto"/>
              <w:right w:val="single" w:sz="4" w:space="0" w:color="auto"/>
            </w:tcBorders>
            <w:shd w:val="clear" w:color="auto" w:fill="auto"/>
            <w:tcMar>
              <w:left w:w="0" w:type="dxa"/>
              <w:right w:w="0" w:type="dxa"/>
            </w:tcMar>
            <w:vAlign w:val="center"/>
          </w:tcPr>
          <w:p w14:paraId="5C39EE5B" w14:textId="77777777" w:rsidR="00F22587" w:rsidRPr="000E5DBF" w:rsidRDefault="00F22587" w:rsidP="008A5C11">
            <w:pPr>
              <w:jc w:val="center"/>
              <w:rPr>
                <w:color w:val="000000"/>
                <w:sz w:val="14"/>
                <w:szCs w:val="14"/>
              </w:rPr>
            </w:pPr>
            <w:r w:rsidRPr="000E5DBF">
              <w:rPr>
                <w:color w:val="000000"/>
                <w:sz w:val="14"/>
                <w:szCs w:val="14"/>
              </w:rPr>
              <w:t>0,00</w:t>
            </w:r>
          </w:p>
        </w:tc>
      </w:tr>
      <w:tr w:rsidR="00F22587" w:rsidRPr="000E5DBF" w14:paraId="7F47E79F" w14:textId="77777777" w:rsidTr="008A5C11">
        <w:trPr>
          <w:cantSplit/>
          <w:trHeight w:val="265"/>
        </w:trPr>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22CCCEB4" w14:textId="77777777" w:rsidR="00F22587" w:rsidRPr="000E5DBF" w:rsidRDefault="00F22587" w:rsidP="008A5C11">
            <w:pPr>
              <w:jc w:val="center"/>
              <w:rPr>
                <w:color w:val="000000"/>
                <w:sz w:val="14"/>
                <w:szCs w:val="14"/>
              </w:rPr>
            </w:pPr>
            <w:r w:rsidRPr="000E5DBF">
              <w:rPr>
                <w:color w:val="000000"/>
                <w:sz w:val="14"/>
                <w:szCs w:val="14"/>
              </w:rPr>
              <w:t>4.3.</w:t>
            </w:r>
          </w:p>
        </w:tc>
        <w:tc>
          <w:tcPr>
            <w:tcW w:w="1434"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6228BA3" w14:textId="77777777" w:rsidR="00F22587" w:rsidRPr="000E5DBF" w:rsidRDefault="00F22587" w:rsidP="008A5C11">
            <w:pPr>
              <w:jc w:val="center"/>
              <w:rPr>
                <w:color w:val="000000"/>
                <w:sz w:val="14"/>
                <w:szCs w:val="14"/>
              </w:rPr>
            </w:pPr>
            <w:r w:rsidRPr="000E5DBF">
              <w:rPr>
                <w:color w:val="000000"/>
                <w:sz w:val="14"/>
                <w:szCs w:val="14"/>
              </w:rPr>
              <w:t>Замена паропровода, конденсатопровода и замену водопроводов технической и водооборотной воды на бойлерные №1,2</w:t>
            </w:r>
          </w:p>
        </w:tc>
        <w:tc>
          <w:tcPr>
            <w:tcW w:w="971"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653A131" w14:textId="77777777" w:rsidR="00F22587" w:rsidRPr="000E5DBF" w:rsidRDefault="00F22587" w:rsidP="008A5C11">
            <w:pPr>
              <w:jc w:val="center"/>
              <w:rPr>
                <w:color w:val="000000"/>
                <w:sz w:val="14"/>
                <w:szCs w:val="14"/>
              </w:rPr>
            </w:pPr>
            <w:r w:rsidRPr="000E5DBF">
              <w:rPr>
                <w:color w:val="000000"/>
                <w:sz w:val="14"/>
                <w:szCs w:val="14"/>
              </w:rPr>
              <w:t>Обеспечение надежности тепло- водоснабжения</w:t>
            </w:r>
          </w:p>
        </w:tc>
        <w:tc>
          <w:tcPr>
            <w:tcW w:w="993"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15B9863" w14:textId="77777777" w:rsidR="00F22587" w:rsidRPr="000E5DBF" w:rsidRDefault="00F22587" w:rsidP="008A5C11">
            <w:pPr>
              <w:jc w:val="center"/>
              <w:rPr>
                <w:color w:val="000000"/>
                <w:sz w:val="14"/>
                <w:szCs w:val="14"/>
              </w:rPr>
            </w:pPr>
            <w:r w:rsidRPr="000E5DBF">
              <w:rPr>
                <w:color w:val="000000"/>
                <w:sz w:val="14"/>
                <w:szCs w:val="14"/>
              </w:rPr>
              <w:t xml:space="preserve">ул. Кирова, 8 </w:t>
            </w:r>
          </w:p>
        </w:tc>
        <w:tc>
          <w:tcPr>
            <w:tcW w:w="991"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1F1E1A9" w14:textId="77777777" w:rsidR="00F22587" w:rsidRPr="000E5DBF" w:rsidRDefault="00F22587" w:rsidP="008A5C11">
            <w:pPr>
              <w:jc w:val="center"/>
              <w:rPr>
                <w:color w:val="000000"/>
                <w:sz w:val="14"/>
                <w:szCs w:val="14"/>
              </w:rPr>
            </w:pPr>
            <w:r w:rsidRPr="000E5DBF">
              <w:rPr>
                <w:color w:val="000000"/>
                <w:sz w:val="14"/>
                <w:szCs w:val="14"/>
              </w:rPr>
              <w:t>протяженность</w:t>
            </w:r>
          </w:p>
        </w:tc>
        <w:tc>
          <w:tcPr>
            <w:tcW w:w="426"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76AE61D" w14:textId="77777777" w:rsidR="00F22587" w:rsidRPr="000E5DBF" w:rsidRDefault="00F22587" w:rsidP="008A5C11">
            <w:pPr>
              <w:jc w:val="center"/>
              <w:rPr>
                <w:color w:val="000000"/>
                <w:sz w:val="14"/>
                <w:szCs w:val="14"/>
              </w:rPr>
            </w:pPr>
            <w:r w:rsidRPr="000E5DBF">
              <w:rPr>
                <w:color w:val="000000"/>
                <w:sz w:val="14"/>
                <w:szCs w:val="14"/>
              </w:rPr>
              <w:t>м</w:t>
            </w:r>
          </w:p>
        </w:tc>
        <w:tc>
          <w:tcPr>
            <w:tcW w:w="713"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B0AB894" w14:textId="77777777" w:rsidR="00F22587" w:rsidRPr="000E5DBF" w:rsidRDefault="00F22587" w:rsidP="008A5C11">
            <w:pPr>
              <w:jc w:val="center"/>
              <w:rPr>
                <w:color w:val="000000"/>
                <w:sz w:val="14"/>
                <w:szCs w:val="14"/>
              </w:rPr>
            </w:pPr>
            <w:r w:rsidRPr="000E5DBF">
              <w:rPr>
                <w:color w:val="000000"/>
                <w:sz w:val="14"/>
                <w:szCs w:val="14"/>
              </w:rPr>
              <w:t>137</w:t>
            </w:r>
          </w:p>
        </w:tc>
        <w:tc>
          <w:tcPr>
            <w:tcW w:w="71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5580200" w14:textId="77777777" w:rsidR="00F22587" w:rsidRPr="000E5DBF" w:rsidRDefault="00F22587" w:rsidP="008A5C11">
            <w:pPr>
              <w:jc w:val="center"/>
              <w:rPr>
                <w:color w:val="000000"/>
                <w:sz w:val="14"/>
                <w:szCs w:val="14"/>
              </w:rPr>
            </w:pPr>
            <w:r w:rsidRPr="000E5DBF">
              <w:rPr>
                <w:color w:val="000000"/>
                <w:sz w:val="14"/>
                <w:szCs w:val="14"/>
              </w:rPr>
              <w:t>130</w:t>
            </w:r>
          </w:p>
        </w:tc>
        <w:tc>
          <w:tcPr>
            <w:tcW w:w="425" w:type="dxa"/>
            <w:gridSpan w:val="2"/>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C5173C4" w14:textId="77777777" w:rsidR="00F22587" w:rsidRPr="000E5DBF" w:rsidRDefault="00F22587" w:rsidP="008A5C11">
            <w:pPr>
              <w:jc w:val="center"/>
              <w:rPr>
                <w:color w:val="000000"/>
                <w:sz w:val="14"/>
                <w:szCs w:val="14"/>
              </w:rPr>
            </w:pPr>
            <w:r w:rsidRPr="000E5DBF">
              <w:rPr>
                <w:color w:val="000000"/>
                <w:sz w:val="14"/>
                <w:szCs w:val="14"/>
              </w:rPr>
              <w:t>2020</w:t>
            </w:r>
          </w:p>
        </w:tc>
        <w:tc>
          <w:tcPr>
            <w:tcW w:w="413"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BD32822" w14:textId="77777777" w:rsidR="00F22587" w:rsidRPr="000E5DBF" w:rsidRDefault="00F22587" w:rsidP="008A5C11">
            <w:pPr>
              <w:jc w:val="center"/>
              <w:rPr>
                <w:color w:val="000000"/>
                <w:sz w:val="14"/>
                <w:szCs w:val="14"/>
              </w:rPr>
            </w:pPr>
            <w:r w:rsidRPr="000E5DBF">
              <w:rPr>
                <w:color w:val="000000"/>
                <w:sz w:val="14"/>
                <w:szCs w:val="14"/>
              </w:rPr>
              <w:t>2022</w:t>
            </w:r>
          </w:p>
        </w:tc>
        <w:tc>
          <w:tcPr>
            <w:tcW w:w="568"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EB752A1" w14:textId="77777777" w:rsidR="00F22587" w:rsidRPr="000E5DBF" w:rsidRDefault="00F22587" w:rsidP="008A5C11">
            <w:pPr>
              <w:jc w:val="center"/>
              <w:rPr>
                <w:color w:val="000000"/>
                <w:sz w:val="14"/>
                <w:szCs w:val="14"/>
              </w:rPr>
            </w:pPr>
            <w:r w:rsidRPr="000E5DBF">
              <w:rPr>
                <w:color w:val="000000"/>
                <w:sz w:val="14"/>
                <w:szCs w:val="14"/>
              </w:rPr>
              <w:t>18853,20</w:t>
            </w:r>
          </w:p>
        </w:tc>
        <w:tc>
          <w:tcPr>
            <w:tcW w:w="443" w:type="dxa"/>
            <w:gridSpan w:val="2"/>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9E9BFC2" w14:textId="77777777" w:rsidR="00F22587" w:rsidRPr="000E5DBF" w:rsidRDefault="00F22587" w:rsidP="008A5C11">
            <w:pPr>
              <w:jc w:val="center"/>
              <w:rPr>
                <w:color w:val="000000"/>
                <w:sz w:val="14"/>
                <w:szCs w:val="14"/>
              </w:rPr>
            </w:pPr>
            <w:r w:rsidRPr="000E5DBF">
              <w:rPr>
                <w:color w:val="000000"/>
                <w:sz w:val="14"/>
                <w:szCs w:val="14"/>
              </w:rPr>
              <w:t>0,00</w:t>
            </w:r>
          </w:p>
        </w:tc>
        <w:tc>
          <w:tcPr>
            <w:tcW w:w="554"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76E4414" w14:textId="77777777" w:rsidR="00F22587" w:rsidRPr="000E5DBF" w:rsidRDefault="00F22587" w:rsidP="008A5C11">
            <w:pPr>
              <w:jc w:val="center"/>
              <w:rPr>
                <w:color w:val="000000"/>
                <w:sz w:val="14"/>
                <w:szCs w:val="14"/>
              </w:rPr>
            </w:pPr>
            <w:r w:rsidRPr="000E5DBF">
              <w:rPr>
                <w:color w:val="000000"/>
                <w:sz w:val="14"/>
                <w:szCs w:val="14"/>
              </w:rPr>
              <w:t>0,00</w:t>
            </w:r>
          </w:p>
        </w:tc>
        <w:tc>
          <w:tcPr>
            <w:tcW w:w="56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C367B80" w14:textId="77777777" w:rsidR="00F22587" w:rsidRPr="000E5DBF" w:rsidRDefault="00F22587" w:rsidP="008A5C11">
            <w:pPr>
              <w:jc w:val="center"/>
              <w:rPr>
                <w:color w:val="000000"/>
                <w:sz w:val="14"/>
                <w:szCs w:val="14"/>
              </w:rPr>
            </w:pPr>
            <w:r w:rsidRPr="000E5DBF">
              <w:rPr>
                <w:color w:val="000000"/>
                <w:sz w:val="14"/>
                <w:szCs w:val="14"/>
              </w:rPr>
              <w:t>4056,00</w:t>
            </w:r>
          </w:p>
        </w:tc>
        <w:tc>
          <w:tcPr>
            <w:tcW w:w="56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12C94DF" w14:textId="77777777" w:rsidR="00F22587" w:rsidRPr="000E5DBF" w:rsidRDefault="00F22587" w:rsidP="008A5C11">
            <w:pPr>
              <w:jc w:val="center"/>
              <w:rPr>
                <w:color w:val="000000"/>
                <w:sz w:val="14"/>
                <w:szCs w:val="14"/>
              </w:rPr>
            </w:pPr>
            <w:r w:rsidRPr="000E5DBF">
              <w:rPr>
                <w:color w:val="000000"/>
                <w:sz w:val="14"/>
                <w:szCs w:val="14"/>
              </w:rPr>
              <w:t>7459,20</w:t>
            </w:r>
          </w:p>
        </w:tc>
        <w:tc>
          <w:tcPr>
            <w:tcW w:w="561"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65811C4" w14:textId="77777777" w:rsidR="00F22587" w:rsidRPr="000E5DBF" w:rsidRDefault="00F22587" w:rsidP="008A5C11">
            <w:pPr>
              <w:jc w:val="center"/>
              <w:rPr>
                <w:color w:val="000000"/>
                <w:sz w:val="14"/>
                <w:szCs w:val="14"/>
              </w:rPr>
            </w:pPr>
            <w:r w:rsidRPr="000E5DBF">
              <w:rPr>
                <w:color w:val="000000"/>
                <w:sz w:val="14"/>
                <w:szCs w:val="14"/>
              </w:rPr>
              <w:t>7338,00</w:t>
            </w:r>
          </w:p>
        </w:tc>
        <w:tc>
          <w:tcPr>
            <w:tcW w:w="560"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BAE75A1" w14:textId="77777777" w:rsidR="00F22587" w:rsidRPr="000E5DBF" w:rsidRDefault="00F22587" w:rsidP="008A5C11">
            <w:pPr>
              <w:jc w:val="center"/>
              <w:rPr>
                <w:color w:val="000000"/>
                <w:sz w:val="14"/>
                <w:szCs w:val="14"/>
              </w:rPr>
            </w:pPr>
            <w:r w:rsidRPr="000E5DBF">
              <w:rPr>
                <w:color w:val="000000"/>
                <w:sz w:val="14"/>
                <w:szCs w:val="14"/>
              </w:rPr>
              <w:t>0,00</w:t>
            </w:r>
          </w:p>
        </w:tc>
        <w:tc>
          <w:tcPr>
            <w:tcW w:w="569"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EE36AC5" w14:textId="77777777" w:rsidR="00F22587" w:rsidRPr="000E5DBF" w:rsidRDefault="00F22587" w:rsidP="008A5C11">
            <w:pPr>
              <w:jc w:val="center"/>
              <w:rPr>
                <w:color w:val="000000"/>
                <w:sz w:val="14"/>
                <w:szCs w:val="14"/>
              </w:rPr>
            </w:pPr>
            <w:r w:rsidRPr="000E5DBF">
              <w:rPr>
                <w:color w:val="000000"/>
                <w:sz w:val="14"/>
                <w:szCs w:val="14"/>
              </w:rPr>
              <w:t>0,00</w:t>
            </w:r>
          </w:p>
        </w:tc>
        <w:tc>
          <w:tcPr>
            <w:tcW w:w="567" w:type="dxa"/>
            <w:gridSpan w:val="2"/>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583D3C5" w14:textId="77777777" w:rsidR="00F22587" w:rsidRPr="000E5DBF" w:rsidRDefault="00F22587" w:rsidP="008A5C11">
            <w:pPr>
              <w:jc w:val="center"/>
              <w:rPr>
                <w:color w:val="000000"/>
                <w:sz w:val="14"/>
                <w:szCs w:val="14"/>
              </w:rPr>
            </w:pPr>
            <w:r w:rsidRPr="000E5DBF">
              <w:rPr>
                <w:color w:val="000000"/>
                <w:sz w:val="14"/>
                <w:szCs w:val="14"/>
              </w:rPr>
              <w:t>0,00</w:t>
            </w:r>
          </w:p>
        </w:tc>
        <w:tc>
          <w:tcPr>
            <w:tcW w:w="565" w:type="dxa"/>
            <w:tcBorders>
              <w:top w:val="single" w:sz="4" w:space="0" w:color="auto"/>
              <w:left w:val="nil"/>
              <w:bottom w:val="single" w:sz="4" w:space="0" w:color="auto"/>
              <w:right w:val="single" w:sz="4" w:space="0" w:color="auto"/>
            </w:tcBorders>
            <w:shd w:val="clear" w:color="000000" w:fill="FFFFFF"/>
            <w:tcMar>
              <w:left w:w="0" w:type="dxa"/>
              <w:right w:w="0" w:type="dxa"/>
            </w:tcMar>
            <w:vAlign w:val="center"/>
          </w:tcPr>
          <w:p w14:paraId="1D5FFBFE" w14:textId="77777777" w:rsidR="00F22587" w:rsidRPr="000E5DBF" w:rsidRDefault="00F22587" w:rsidP="008A5C11">
            <w:pPr>
              <w:jc w:val="center"/>
              <w:rPr>
                <w:color w:val="000000"/>
                <w:sz w:val="14"/>
                <w:szCs w:val="14"/>
              </w:rPr>
            </w:pPr>
            <w:r w:rsidRPr="000E5DBF">
              <w:rPr>
                <w:color w:val="000000"/>
                <w:sz w:val="14"/>
                <w:szCs w:val="14"/>
              </w:rPr>
              <w:t>0,00</w:t>
            </w:r>
          </w:p>
        </w:tc>
        <w:tc>
          <w:tcPr>
            <w:tcW w:w="56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653076F" w14:textId="77777777" w:rsidR="00F22587" w:rsidRPr="000E5DBF" w:rsidRDefault="00F22587" w:rsidP="008A5C11">
            <w:pPr>
              <w:jc w:val="center"/>
              <w:rPr>
                <w:color w:val="000000"/>
                <w:sz w:val="14"/>
                <w:szCs w:val="14"/>
              </w:rPr>
            </w:pPr>
            <w:r w:rsidRPr="000E5DBF">
              <w:rPr>
                <w:color w:val="000000"/>
                <w:sz w:val="14"/>
                <w:szCs w:val="14"/>
              </w:rPr>
              <w:t>0,00</w:t>
            </w:r>
          </w:p>
        </w:tc>
        <w:tc>
          <w:tcPr>
            <w:tcW w:w="568"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A50DDBB" w14:textId="77777777" w:rsidR="00F22587" w:rsidRPr="000E5DBF" w:rsidRDefault="00F22587" w:rsidP="008A5C11">
            <w:pPr>
              <w:jc w:val="center"/>
              <w:rPr>
                <w:color w:val="000000"/>
                <w:sz w:val="14"/>
                <w:szCs w:val="14"/>
              </w:rPr>
            </w:pPr>
            <w:r w:rsidRPr="000E5DBF">
              <w:rPr>
                <w:color w:val="000000"/>
                <w:sz w:val="14"/>
                <w:szCs w:val="14"/>
              </w:rPr>
              <w:t>0,00</w:t>
            </w:r>
          </w:p>
        </w:tc>
        <w:tc>
          <w:tcPr>
            <w:tcW w:w="569"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B570F72" w14:textId="77777777" w:rsidR="00F22587" w:rsidRPr="000E5DBF" w:rsidRDefault="00F22587" w:rsidP="008A5C11">
            <w:pPr>
              <w:jc w:val="center"/>
              <w:rPr>
                <w:color w:val="000000"/>
                <w:sz w:val="14"/>
                <w:szCs w:val="14"/>
              </w:rPr>
            </w:pPr>
            <w:r w:rsidRPr="000E5DBF">
              <w:rPr>
                <w:color w:val="000000"/>
                <w:sz w:val="14"/>
                <w:szCs w:val="14"/>
              </w:rPr>
              <w:t>0,00</w:t>
            </w:r>
          </w:p>
        </w:tc>
        <w:tc>
          <w:tcPr>
            <w:tcW w:w="562"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5F87150" w14:textId="77777777" w:rsidR="00F22587" w:rsidRPr="000E5DBF" w:rsidRDefault="00F22587" w:rsidP="008A5C11">
            <w:pPr>
              <w:jc w:val="center"/>
              <w:rPr>
                <w:color w:val="000000"/>
                <w:sz w:val="14"/>
                <w:szCs w:val="14"/>
              </w:rPr>
            </w:pPr>
            <w:r w:rsidRPr="000E5DBF">
              <w:rPr>
                <w:color w:val="000000"/>
                <w:sz w:val="14"/>
                <w:szCs w:val="14"/>
              </w:rPr>
              <w:t>0,00</w:t>
            </w:r>
          </w:p>
        </w:tc>
        <w:tc>
          <w:tcPr>
            <w:tcW w:w="290"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71FEF4B" w14:textId="77777777" w:rsidR="00F22587" w:rsidRPr="000E5DBF" w:rsidRDefault="00F22587" w:rsidP="008A5C11">
            <w:pPr>
              <w:jc w:val="center"/>
              <w:rPr>
                <w:color w:val="000000"/>
                <w:sz w:val="14"/>
                <w:szCs w:val="14"/>
              </w:rPr>
            </w:pPr>
            <w:r w:rsidRPr="000E5DBF">
              <w:rPr>
                <w:color w:val="000000"/>
                <w:sz w:val="14"/>
                <w:szCs w:val="14"/>
              </w:rPr>
              <w:t>0,00</w:t>
            </w:r>
          </w:p>
        </w:tc>
        <w:tc>
          <w:tcPr>
            <w:tcW w:w="425" w:type="dxa"/>
            <w:gridSpan w:val="2"/>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F2BD2EE" w14:textId="77777777" w:rsidR="00F22587" w:rsidRPr="000E5DBF" w:rsidRDefault="00F22587" w:rsidP="008A5C11">
            <w:pPr>
              <w:jc w:val="center"/>
              <w:rPr>
                <w:color w:val="000000"/>
                <w:sz w:val="14"/>
                <w:szCs w:val="14"/>
              </w:rPr>
            </w:pPr>
            <w:r w:rsidRPr="000E5DBF">
              <w:rPr>
                <w:color w:val="000000"/>
                <w:sz w:val="14"/>
                <w:szCs w:val="14"/>
              </w:rPr>
              <w:t>0,00</w:t>
            </w:r>
          </w:p>
        </w:tc>
      </w:tr>
      <w:tr w:rsidR="00F22587" w:rsidRPr="000E5DBF" w14:paraId="27F65407" w14:textId="77777777" w:rsidTr="008A5C11">
        <w:trPr>
          <w:cantSplit/>
          <w:trHeight w:val="731"/>
        </w:trPr>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48DC603" w14:textId="77777777" w:rsidR="00F22587" w:rsidRPr="000E5DBF" w:rsidRDefault="00F22587" w:rsidP="008A5C11">
            <w:pPr>
              <w:jc w:val="center"/>
              <w:rPr>
                <w:color w:val="000000"/>
                <w:sz w:val="14"/>
                <w:szCs w:val="14"/>
              </w:rPr>
            </w:pPr>
            <w:r w:rsidRPr="000E5DBF">
              <w:rPr>
                <w:color w:val="000000"/>
                <w:sz w:val="14"/>
                <w:szCs w:val="14"/>
              </w:rPr>
              <w:t>4.4.</w:t>
            </w:r>
          </w:p>
        </w:tc>
        <w:tc>
          <w:tcPr>
            <w:tcW w:w="1434"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DF20F52" w14:textId="77777777" w:rsidR="00F22587" w:rsidRPr="000E5DBF" w:rsidRDefault="00F22587" w:rsidP="008A5C11">
            <w:pPr>
              <w:jc w:val="center"/>
              <w:rPr>
                <w:color w:val="000000"/>
                <w:sz w:val="14"/>
                <w:szCs w:val="14"/>
              </w:rPr>
            </w:pPr>
            <w:r w:rsidRPr="000E5DBF">
              <w:rPr>
                <w:color w:val="000000"/>
                <w:sz w:val="14"/>
                <w:szCs w:val="14"/>
              </w:rPr>
              <w:t>Техническое перевооружение паропровода, конденсатопровода и технической воды на бойлерную № 3</w:t>
            </w:r>
          </w:p>
        </w:tc>
        <w:tc>
          <w:tcPr>
            <w:tcW w:w="971"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A429966" w14:textId="77777777" w:rsidR="00F22587" w:rsidRPr="000E5DBF" w:rsidRDefault="00F22587" w:rsidP="008A5C11">
            <w:pPr>
              <w:jc w:val="center"/>
              <w:rPr>
                <w:color w:val="000000"/>
                <w:sz w:val="14"/>
                <w:szCs w:val="14"/>
              </w:rPr>
            </w:pPr>
            <w:r w:rsidRPr="000E5DBF">
              <w:rPr>
                <w:color w:val="000000"/>
                <w:sz w:val="14"/>
                <w:szCs w:val="14"/>
              </w:rPr>
              <w:t>Обеспечение надежности тепло- водоснабжения</w:t>
            </w:r>
          </w:p>
        </w:tc>
        <w:tc>
          <w:tcPr>
            <w:tcW w:w="993"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803CB60" w14:textId="77777777" w:rsidR="00F22587" w:rsidRPr="000E5DBF" w:rsidRDefault="00F22587" w:rsidP="008A5C11">
            <w:pPr>
              <w:jc w:val="center"/>
              <w:rPr>
                <w:color w:val="000000"/>
                <w:sz w:val="14"/>
                <w:szCs w:val="14"/>
              </w:rPr>
            </w:pPr>
            <w:r w:rsidRPr="000E5DBF">
              <w:rPr>
                <w:color w:val="000000"/>
                <w:sz w:val="14"/>
                <w:szCs w:val="14"/>
              </w:rPr>
              <w:t>ул. К. Маркса, 16</w:t>
            </w:r>
          </w:p>
        </w:tc>
        <w:tc>
          <w:tcPr>
            <w:tcW w:w="991"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49DFC3D" w14:textId="77777777" w:rsidR="00F22587" w:rsidRPr="000E5DBF" w:rsidRDefault="00F22587" w:rsidP="008A5C11">
            <w:pPr>
              <w:jc w:val="center"/>
              <w:rPr>
                <w:color w:val="000000"/>
                <w:sz w:val="14"/>
                <w:szCs w:val="14"/>
              </w:rPr>
            </w:pPr>
            <w:r w:rsidRPr="000E5DBF">
              <w:rPr>
                <w:color w:val="000000"/>
                <w:sz w:val="14"/>
                <w:szCs w:val="14"/>
              </w:rPr>
              <w:t>средний диаметр</w:t>
            </w:r>
          </w:p>
        </w:tc>
        <w:tc>
          <w:tcPr>
            <w:tcW w:w="426"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BE28C3F" w14:textId="77777777" w:rsidR="00F22587" w:rsidRPr="000E5DBF" w:rsidRDefault="00F22587" w:rsidP="008A5C11">
            <w:pPr>
              <w:jc w:val="center"/>
              <w:rPr>
                <w:color w:val="000000"/>
                <w:sz w:val="14"/>
                <w:szCs w:val="14"/>
              </w:rPr>
            </w:pPr>
            <w:r w:rsidRPr="000E5DBF">
              <w:rPr>
                <w:color w:val="000000"/>
                <w:sz w:val="14"/>
                <w:szCs w:val="14"/>
              </w:rPr>
              <w:t>мм</w:t>
            </w:r>
          </w:p>
        </w:tc>
        <w:tc>
          <w:tcPr>
            <w:tcW w:w="713"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D2B2FCB" w14:textId="77777777" w:rsidR="00F22587" w:rsidRPr="000E5DBF" w:rsidRDefault="00F22587" w:rsidP="008A5C11">
            <w:pPr>
              <w:jc w:val="center"/>
              <w:rPr>
                <w:color w:val="000000"/>
                <w:sz w:val="14"/>
                <w:szCs w:val="14"/>
              </w:rPr>
            </w:pPr>
            <w:r w:rsidRPr="000E5DBF">
              <w:rPr>
                <w:color w:val="000000"/>
                <w:sz w:val="14"/>
                <w:szCs w:val="14"/>
              </w:rPr>
              <w:t>184</w:t>
            </w:r>
          </w:p>
        </w:tc>
        <w:tc>
          <w:tcPr>
            <w:tcW w:w="71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CD54F99" w14:textId="77777777" w:rsidR="00F22587" w:rsidRPr="000E5DBF" w:rsidRDefault="00F22587" w:rsidP="008A5C11">
            <w:pPr>
              <w:jc w:val="center"/>
              <w:rPr>
                <w:color w:val="000000"/>
                <w:sz w:val="14"/>
                <w:szCs w:val="14"/>
              </w:rPr>
            </w:pPr>
            <w:r w:rsidRPr="000E5DBF">
              <w:rPr>
                <w:color w:val="000000"/>
                <w:sz w:val="14"/>
                <w:szCs w:val="14"/>
              </w:rPr>
              <w:t>164</w:t>
            </w:r>
          </w:p>
        </w:tc>
        <w:tc>
          <w:tcPr>
            <w:tcW w:w="425" w:type="dxa"/>
            <w:gridSpan w:val="2"/>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E5B53AE" w14:textId="77777777" w:rsidR="00F22587" w:rsidRPr="000E5DBF" w:rsidRDefault="00F22587" w:rsidP="008A5C11">
            <w:pPr>
              <w:jc w:val="center"/>
              <w:rPr>
                <w:color w:val="000000"/>
                <w:sz w:val="14"/>
                <w:szCs w:val="14"/>
              </w:rPr>
            </w:pPr>
            <w:r w:rsidRPr="000E5DBF">
              <w:rPr>
                <w:color w:val="000000"/>
                <w:sz w:val="14"/>
                <w:szCs w:val="14"/>
              </w:rPr>
              <w:t>2023</w:t>
            </w:r>
          </w:p>
        </w:tc>
        <w:tc>
          <w:tcPr>
            <w:tcW w:w="413"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0A635C5" w14:textId="77777777" w:rsidR="00F22587" w:rsidRPr="000E5DBF" w:rsidRDefault="00F22587" w:rsidP="008A5C11">
            <w:pPr>
              <w:jc w:val="center"/>
              <w:rPr>
                <w:color w:val="000000"/>
                <w:sz w:val="14"/>
                <w:szCs w:val="14"/>
              </w:rPr>
            </w:pPr>
            <w:r w:rsidRPr="000E5DBF">
              <w:rPr>
                <w:color w:val="000000"/>
                <w:sz w:val="14"/>
                <w:szCs w:val="14"/>
              </w:rPr>
              <w:t>2024</w:t>
            </w:r>
          </w:p>
        </w:tc>
        <w:tc>
          <w:tcPr>
            <w:tcW w:w="568"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3698E46" w14:textId="77777777" w:rsidR="00F22587" w:rsidRPr="000E5DBF" w:rsidRDefault="00F22587" w:rsidP="008A5C11">
            <w:pPr>
              <w:jc w:val="center"/>
              <w:rPr>
                <w:color w:val="000000"/>
                <w:sz w:val="14"/>
                <w:szCs w:val="14"/>
              </w:rPr>
            </w:pPr>
            <w:r w:rsidRPr="000E5DBF">
              <w:rPr>
                <w:color w:val="000000"/>
                <w:sz w:val="14"/>
                <w:szCs w:val="14"/>
              </w:rPr>
              <w:t>9428,40</w:t>
            </w:r>
          </w:p>
        </w:tc>
        <w:tc>
          <w:tcPr>
            <w:tcW w:w="443" w:type="dxa"/>
            <w:gridSpan w:val="2"/>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383E6C0" w14:textId="77777777" w:rsidR="00F22587" w:rsidRPr="000E5DBF" w:rsidRDefault="00F22587" w:rsidP="008A5C11">
            <w:pPr>
              <w:jc w:val="center"/>
              <w:rPr>
                <w:color w:val="000000"/>
                <w:sz w:val="14"/>
                <w:szCs w:val="14"/>
              </w:rPr>
            </w:pPr>
            <w:r w:rsidRPr="000E5DBF">
              <w:rPr>
                <w:color w:val="000000"/>
                <w:sz w:val="14"/>
                <w:szCs w:val="14"/>
              </w:rPr>
              <w:t>0,00</w:t>
            </w:r>
          </w:p>
        </w:tc>
        <w:tc>
          <w:tcPr>
            <w:tcW w:w="554"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6382CFE" w14:textId="77777777" w:rsidR="00F22587" w:rsidRPr="000E5DBF" w:rsidRDefault="00F22587" w:rsidP="008A5C11">
            <w:pPr>
              <w:jc w:val="center"/>
              <w:rPr>
                <w:color w:val="000000"/>
                <w:sz w:val="14"/>
                <w:szCs w:val="14"/>
              </w:rPr>
            </w:pPr>
            <w:r w:rsidRPr="000E5DBF">
              <w:rPr>
                <w:color w:val="000000"/>
                <w:sz w:val="14"/>
                <w:szCs w:val="14"/>
              </w:rPr>
              <w:t>0,00</w:t>
            </w:r>
          </w:p>
        </w:tc>
        <w:tc>
          <w:tcPr>
            <w:tcW w:w="56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422CC90" w14:textId="77777777" w:rsidR="00F22587" w:rsidRPr="000E5DBF" w:rsidRDefault="00F22587" w:rsidP="008A5C11">
            <w:pPr>
              <w:jc w:val="center"/>
              <w:rPr>
                <w:color w:val="000000"/>
                <w:sz w:val="14"/>
                <w:szCs w:val="14"/>
              </w:rPr>
            </w:pPr>
            <w:r w:rsidRPr="000E5DBF">
              <w:rPr>
                <w:color w:val="000000"/>
                <w:sz w:val="14"/>
                <w:szCs w:val="14"/>
              </w:rPr>
              <w:t>0,00</w:t>
            </w:r>
          </w:p>
        </w:tc>
        <w:tc>
          <w:tcPr>
            <w:tcW w:w="56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60E844E" w14:textId="77777777" w:rsidR="00F22587" w:rsidRPr="000E5DBF" w:rsidRDefault="00F22587" w:rsidP="008A5C11">
            <w:pPr>
              <w:jc w:val="center"/>
              <w:rPr>
                <w:color w:val="000000"/>
                <w:sz w:val="14"/>
                <w:szCs w:val="14"/>
              </w:rPr>
            </w:pPr>
            <w:r w:rsidRPr="000E5DBF">
              <w:rPr>
                <w:color w:val="000000"/>
                <w:sz w:val="14"/>
                <w:szCs w:val="14"/>
              </w:rPr>
              <w:t>0,00</w:t>
            </w:r>
          </w:p>
        </w:tc>
        <w:tc>
          <w:tcPr>
            <w:tcW w:w="561"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5F695ED" w14:textId="77777777" w:rsidR="00F22587" w:rsidRPr="000E5DBF" w:rsidRDefault="00F22587" w:rsidP="008A5C11">
            <w:pPr>
              <w:jc w:val="center"/>
              <w:rPr>
                <w:color w:val="000000"/>
                <w:sz w:val="14"/>
                <w:szCs w:val="14"/>
              </w:rPr>
            </w:pPr>
            <w:r w:rsidRPr="000E5DBF">
              <w:rPr>
                <w:color w:val="000000"/>
                <w:sz w:val="14"/>
                <w:szCs w:val="14"/>
              </w:rPr>
              <w:t>0,00</w:t>
            </w:r>
          </w:p>
        </w:tc>
        <w:tc>
          <w:tcPr>
            <w:tcW w:w="560"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FE28D05" w14:textId="77777777" w:rsidR="00F22587" w:rsidRPr="000E5DBF" w:rsidRDefault="00F22587" w:rsidP="008A5C11">
            <w:pPr>
              <w:jc w:val="center"/>
              <w:rPr>
                <w:color w:val="000000"/>
                <w:sz w:val="14"/>
                <w:szCs w:val="14"/>
              </w:rPr>
            </w:pPr>
            <w:r w:rsidRPr="000E5DBF">
              <w:rPr>
                <w:color w:val="000000"/>
                <w:sz w:val="14"/>
                <w:szCs w:val="14"/>
              </w:rPr>
              <w:t>4230,00</w:t>
            </w:r>
          </w:p>
        </w:tc>
        <w:tc>
          <w:tcPr>
            <w:tcW w:w="569"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148F68B" w14:textId="77777777" w:rsidR="00F22587" w:rsidRPr="000E5DBF" w:rsidRDefault="00F22587" w:rsidP="008A5C11">
            <w:pPr>
              <w:jc w:val="center"/>
              <w:rPr>
                <w:color w:val="000000"/>
                <w:sz w:val="14"/>
                <w:szCs w:val="14"/>
              </w:rPr>
            </w:pPr>
            <w:r w:rsidRPr="000E5DBF">
              <w:rPr>
                <w:color w:val="000000"/>
                <w:sz w:val="14"/>
                <w:szCs w:val="14"/>
              </w:rPr>
              <w:t>5198,40</w:t>
            </w:r>
          </w:p>
        </w:tc>
        <w:tc>
          <w:tcPr>
            <w:tcW w:w="567" w:type="dxa"/>
            <w:gridSpan w:val="2"/>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7272AE8" w14:textId="77777777" w:rsidR="00F22587" w:rsidRPr="000E5DBF" w:rsidRDefault="00F22587" w:rsidP="008A5C11">
            <w:pPr>
              <w:jc w:val="center"/>
              <w:rPr>
                <w:color w:val="000000"/>
                <w:sz w:val="14"/>
                <w:szCs w:val="14"/>
              </w:rPr>
            </w:pPr>
            <w:r w:rsidRPr="000E5DBF">
              <w:rPr>
                <w:color w:val="000000"/>
                <w:sz w:val="14"/>
                <w:szCs w:val="14"/>
              </w:rPr>
              <w:t>0,00</w:t>
            </w:r>
          </w:p>
        </w:tc>
        <w:tc>
          <w:tcPr>
            <w:tcW w:w="565" w:type="dxa"/>
            <w:tcBorders>
              <w:top w:val="single" w:sz="4" w:space="0" w:color="auto"/>
              <w:left w:val="nil"/>
              <w:bottom w:val="single" w:sz="4" w:space="0" w:color="auto"/>
              <w:right w:val="single" w:sz="4" w:space="0" w:color="auto"/>
            </w:tcBorders>
            <w:shd w:val="clear" w:color="000000" w:fill="FFFFFF"/>
            <w:tcMar>
              <w:left w:w="0" w:type="dxa"/>
              <w:right w:w="0" w:type="dxa"/>
            </w:tcMar>
            <w:vAlign w:val="center"/>
          </w:tcPr>
          <w:p w14:paraId="44A5DC26" w14:textId="77777777" w:rsidR="00F22587" w:rsidRPr="000E5DBF" w:rsidRDefault="00F22587" w:rsidP="008A5C11">
            <w:pPr>
              <w:jc w:val="center"/>
              <w:rPr>
                <w:color w:val="000000"/>
                <w:sz w:val="14"/>
                <w:szCs w:val="14"/>
              </w:rPr>
            </w:pPr>
            <w:r w:rsidRPr="000E5DBF">
              <w:rPr>
                <w:color w:val="000000"/>
                <w:sz w:val="14"/>
                <w:szCs w:val="14"/>
              </w:rPr>
              <w:t>0,00</w:t>
            </w:r>
          </w:p>
        </w:tc>
        <w:tc>
          <w:tcPr>
            <w:tcW w:w="56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9FB7DCA" w14:textId="77777777" w:rsidR="00F22587" w:rsidRPr="000E5DBF" w:rsidRDefault="00F22587" w:rsidP="008A5C11">
            <w:pPr>
              <w:jc w:val="center"/>
              <w:rPr>
                <w:color w:val="000000"/>
                <w:sz w:val="14"/>
                <w:szCs w:val="14"/>
              </w:rPr>
            </w:pPr>
            <w:r w:rsidRPr="000E5DBF">
              <w:rPr>
                <w:color w:val="000000"/>
                <w:sz w:val="14"/>
                <w:szCs w:val="14"/>
              </w:rPr>
              <w:t>0,00</w:t>
            </w:r>
          </w:p>
        </w:tc>
        <w:tc>
          <w:tcPr>
            <w:tcW w:w="568"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0157C03" w14:textId="77777777" w:rsidR="00F22587" w:rsidRPr="000E5DBF" w:rsidRDefault="00F22587" w:rsidP="008A5C11">
            <w:pPr>
              <w:jc w:val="center"/>
              <w:rPr>
                <w:color w:val="000000"/>
                <w:sz w:val="14"/>
                <w:szCs w:val="14"/>
              </w:rPr>
            </w:pPr>
            <w:r w:rsidRPr="000E5DBF">
              <w:rPr>
                <w:color w:val="000000"/>
                <w:sz w:val="14"/>
                <w:szCs w:val="14"/>
              </w:rPr>
              <w:t>0,00</w:t>
            </w:r>
          </w:p>
        </w:tc>
        <w:tc>
          <w:tcPr>
            <w:tcW w:w="569"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3433976" w14:textId="77777777" w:rsidR="00F22587" w:rsidRPr="000E5DBF" w:rsidRDefault="00F22587" w:rsidP="008A5C11">
            <w:pPr>
              <w:jc w:val="center"/>
              <w:rPr>
                <w:color w:val="000000"/>
                <w:sz w:val="14"/>
                <w:szCs w:val="14"/>
              </w:rPr>
            </w:pPr>
            <w:r w:rsidRPr="000E5DBF">
              <w:rPr>
                <w:color w:val="000000"/>
                <w:sz w:val="14"/>
                <w:szCs w:val="14"/>
              </w:rPr>
              <w:t>0,00</w:t>
            </w:r>
          </w:p>
        </w:tc>
        <w:tc>
          <w:tcPr>
            <w:tcW w:w="562"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5002A74" w14:textId="77777777" w:rsidR="00F22587" w:rsidRPr="000E5DBF" w:rsidRDefault="00F22587" w:rsidP="008A5C11">
            <w:pPr>
              <w:jc w:val="center"/>
              <w:rPr>
                <w:color w:val="000000"/>
                <w:sz w:val="14"/>
                <w:szCs w:val="14"/>
              </w:rPr>
            </w:pPr>
            <w:r w:rsidRPr="000E5DBF">
              <w:rPr>
                <w:color w:val="000000"/>
                <w:sz w:val="14"/>
                <w:szCs w:val="14"/>
              </w:rPr>
              <w:t>0,00</w:t>
            </w:r>
          </w:p>
        </w:tc>
        <w:tc>
          <w:tcPr>
            <w:tcW w:w="290"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2695BA9" w14:textId="77777777" w:rsidR="00F22587" w:rsidRPr="000E5DBF" w:rsidRDefault="00F22587" w:rsidP="008A5C11">
            <w:pPr>
              <w:jc w:val="center"/>
              <w:rPr>
                <w:color w:val="000000"/>
                <w:sz w:val="14"/>
                <w:szCs w:val="14"/>
              </w:rPr>
            </w:pPr>
            <w:r w:rsidRPr="000E5DBF">
              <w:rPr>
                <w:color w:val="000000"/>
                <w:sz w:val="14"/>
                <w:szCs w:val="14"/>
              </w:rPr>
              <w:t>0,00</w:t>
            </w:r>
          </w:p>
        </w:tc>
        <w:tc>
          <w:tcPr>
            <w:tcW w:w="425" w:type="dxa"/>
            <w:gridSpan w:val="2"/>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EEE5316" w14:textId="77777777" w:rsidR="00F22587" w:rsidRPr="000E5DBF" w:rsidRDefault="00F22587" w:rsidP="008A5C11">
            <w:pPr>
              <w:jc w:val="center"/>
              <w:rPr>
                <w:color w:val="000000"/>
                <w:sz w:val="14"/>
                <w:szCs w:val="14"/>
              </w:rPr>
            </w:pPr>
            <w:r w:rsidRPr="000E5DBF">
              <w:rPr>
                <w:color w:val="000000"/>
                <w:sz w:val="14"/>
                <w:szCs w:val="14"/>
              </w:rPr>
              <w:t>0,00</w:t>
            </w:r>
          </w:p>
        </w:tc>
      </w:tr>
      <w:tr w:rsidR="00F22587" w:rsidRPr="000E5DBF" w14:paraId="42515F5E" w14:textId="77777777" w:rsidTr="008A5C11">
        <w:trPr>
          <w:cantSplit/>
          <w:trHeight w:val="543"/>
        </w:trPr>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0024CA3" w14:textId="77777777" w:rsidR="00F22587" w:rsidRPr="000E5DBF" w:rsidRDefault="00F22587" w:rsidP="008A5C11">
            <w:pPr>
              <w:jc w:val="center"/>
              <w:rPr>
                <w:color w:val="000000"/>
                <w:sz w:val="14"/>
                <w:szCs w:val="14"/>
              </w:rPr>
            </w:pPr>
            <w:r w:rsidRPr="000E5DBF">
              <w:rPr>
                <w:color w:val="000000"/>
                <w:sz w:val="14"/>
                <w:szCs w:val="14"/>
              </w:rPr>
              <w:t>4.5.</w:t>
            </w:r>
          </w:p>
        </w:tc>
        <w:tc>
          <w:tcPr>
            <w:tcW w:w="1434"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342D69D" w14:textId="77777777" w:rsidR="00F22587" w:rsidRPr="000E5DBF" w:rsidRDefault="00F22587" w:rsidP="008A5C11">
            <w:pPr>
              <w:jc w:val="center"/>
              <w:rPr>
                <w:color w:val="000000"/>
                <w:sz w:val="14"/>
                <w:szCs w:val="14"/>
              </w:rPr>
            </w:pPr>
            <w:r w:rsidRPr="000E5DBF">
              <w:rPr>
                <w:color w:val="000000"/>
                <w:sz w:val="14"/>
                <w:szCs w:val="14"/>
              </w:rPr>
              <w:t>Замена теплообменного оборудования котельной Горновского района</w:t>
            </w:r>
          </w:p>
        </w:tc>
        <w:tc>
          <w:tcPr>
            <w:tcW w:w="971"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630373B" w14:textId="77777777" w:rsidR="00F22587" w:rsidRPr="000E5DBF" w:rsidRDefault="00F22587" w:rsidP="008A5C11">
            <w:pPr>
              <w:jc w:val="center"/>
              <w:rPr>
                <w:color w:val="000000"/>
                <w:sz w:val="14"/>
                <w:szCs w:val="14"/>
              </w:rPr>
            </w:pPr>
            <w:r w:rsidRPr="000E5DBF">
              <w:rPr>
                <w:color w:val="000000"/>
                <w:sz w:val="14"/>
                <w:szCs w:val="14"/>
              </w:rPr>
              <w:t>Обеспечение надежности тепло-, водоснабжения</w:t>
            </w:r>
          </w:p>
        </w:tc>
        <w:tc>
          <w:tcPr>
            <w:tcW w:w="993"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2C37F04" w14:textId="77777777" w:rsidR="00F22587" w:rsidRPr="000E5DBF" w:rsidRDefault="00F22587" w:rsidP="008A5C11">
            <w:pPr>
              <w:jc w:val="center"/>
              <w:rPr>
                <w:color w:val="000000"/>
                <w:sz w:val="14"/>
                <w:szCs w:val="14"/>
              </w:rPr>
            </w:pPr>
            <w:r w:rsidRPr="000E5DBF">
              <w:rPr>
                <w:color w:val="000000"/>
                <w:sz w:val="14"/>
                <w:szCs w:val="14"/>
              </w:rPr>
              <w:t>ул. Вокзальная, 11а</w:t>
            </w:r>
          </w:p>
        </w:tc>
        <w:tc>
          <w:tcPr>
            <w:tcW w:w="991"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0EC9937" w14:textId="77777777" w:rsidR="00F22587" w:rsidRPr="000E5DBF" w:rsidRDefault="00F22587" w:rsidP="008A5C11">
            <w:pPr>
              <w:jc w:val="center"/>
              <w:rPr>
                <w:color w:val="000000"/>
                <w:sz w:val="14"/>
                <w:szCs w:val="14"/>
              </w:rPr>
            </w:pPr>
            <w:proofErr w:type="gramStart"/>
            <w:r w:rsidRPr="000E5DBF">
              <w:rPr>
                <w:color w:val="000000"/>
                <w:sz w:val="14"/>
                <w:szCs w:val="14"/>
              </w:rPr>
              <w:t>производитель-ность</w:t>
            </w:r>
            <w:proofErr w:type="gramEnd"/>
          </w:p>
        </w:tc>
        <w:tc>
          <w:tcPr>
            <w:tcW w:w="426"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FBEA7DF" w14:textId="77777777" w:rsidR="00F22587" w:rsidRPr="000E5DBF" w:rsidRDefault="00F22587" w:rsidP="008A5C11">
            <w:pPr>
              <w:jc w:val="center"/>
              <w:rPr>
                <w:color w:val="000000"/>
                <w:sz w:val="14"/>
                <w:szCs w:val="14"/>
              </w:rPr>
            </w:pPr>
            <w:r w:rsidRPr="000E5DBF">
              <w:rPr>
                <w:color w:val="000000"/>
                <w:sz w:val="14"/>
                <w:szCs w:val="14"/>
              </w:rPr>
              <w:t>Гкал/ч</w:t>
            </w:r>
          </w:p>
        </w:tc>
        <w:tc>
          <w:tcPr>
            <w:tcW w:w="713"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03B0E7F" w14:textId="77777777" w:rsidR="00F22587" w:rsidRPr="000E5DBF" w:rsidRDefault="00F22587" w:rsidP="008A5C11">
            <w:pPr>
              <w:jc w:val="center"/>
              <w:rPr>
                <w:color w:val="000000"/>
                <w:sz w:val="14"/>
                <w:szCs w:val="14"/>
              </w:rPr>
            </w:pPr>
            <w:r w:rsidRPr="000E5DBF">
              <w:rPr>
                <w:color w:val="000000"/>
                <w:sz w:val="14"/>
                <w:szCs w:val="14"/>
              </w:rPr>
              <w:t>2,2</w:t>
            </w:r>
          </w:p>
        </w:tc>
        <w:tc>
          <w:tcPr>
            <w:tcW w:w="71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4A7FAFA" w14:textId="77777777" w:rsidR="00F22587" w:rsidRPr="000E5DBF" w:rsidRDefault="00F22587" w:rsidP="008A5C11">
            <w:pPr>
              <w:jc w:val="center"/>
              <w:rPr>
                <w:color w:val="000000"/>
                <w:sz w:val="14"/>
                <w:szCs w:val="14"/>
              </w:rPr>
            </w:pPr>
            <w:r w:rsidRPr="000E5DBF">
              <w:rPr>
                <w:color w:val="000000"/>
                <w:sz w:val="14"/>
                <w:szCs w:val="14"/>
              </w:rPr>
              <w:t>4</w:t>
            </w:r>
          </w:p>
        </w:tc>
        <w:tc>
          <w:tcPr>
            <w:tcW w:w="425" w:type="dxa"/>
            <w:gridSpan w:val="2"/>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B53FE52" w14:textId="77777777" w:rsidR="00F22587" w:rsidRPr="000E5DBF" w:rsidRDefault="00F22587" w:rsidP="008A5C11">
            <w:pPr>
              <w:jc w:val="center"/>
              <w:rPr>
                <w:color w:val="000000"/>
                <w:sz w:val="14"/>
                <w:szCs w:val="14"/>
              </w:rPr>
            </w:pPr>
            <w:r w:rsidRPr="000E5DBF">
              <w:rPr>
                <w:color w:val="000000"/>
                <w:sz w:val="14"/>
                <w:szCs w:val="14"/>
              </w:rPr>
              <w:t>2020</w:t>
            </w:r>
          </w:p>
        </w:tc>
        <w:tc>
          <w:tcPr>
            <w:tcW w:w="413"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0505DCB" w14:textId="77777777" w:rsidR="00F22587" w:rsidRPr="000E5DBF" w:rsidRDefault="00F22587" w:rsidP="008A5C11">
            <w:pPr>
              <w:jc w:val="center"/>
              <w:rPr>
                <w:color w:val="000000"/>
                <w:sz w:val="14"/>
                <w:szCs w:val="14"/>
              </w:rPr>
            </w:pPr>
            <w:r w:rsidRPr="000E5DBF">
              <w:rPr>
                <w:color w:val="000000"/>
                <w:sz w:val="14"/>
                <w:szCs w:val="14"/>
              </w:rPr>
              <w:t>2020</w:t>
            </w:r>
          </w:p>
        </w:tc>
        <w:tc>
          <w:tcPr>
            <w:tcW w:w="568"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62AEB98" w14:textId="77777777" w:rsidR="00F22587" w:rsidRPr="000E5DBF" w:rsidRDefault="00F22587" w:rsidP="008A5C11">
            <w:pPr>
              <w:jc w:val="center"/>
              <w:rPr>
                <w:color w:val="000000"/>
                <w:sz w:val="14"/>
                <w:szCs w:val="14"/>
              </w:rPr>
            </w:pPr>
            <w:r w:rsidRPr="000E5DBF">
              <w:rPr>
                <w:color w:val="000000"/>
                <w:sz w:val="14"/>
                <w:szCs w:val="14"/>
              </w:rPr>
              <w:t>0,00</w:t>
            </w:r>
          </w:p>
        </w:tc>
        <w:tc>
          <w:tcPr>
            <w:tcW w:w="443" w:type="dxa"/>
            <w:gridSpan w:val="2"/>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79CFE8E" w14:textId="77777777" w:rsidR="00F22587" w:rsidRPr="000E5DBF" w:rsidRDefault="00F22587" w:rsidP="008A5C11">
            <w:pPr>
              <w:jc w:val="center"/>
              <w:rPr>
                <w:color w:val="000000"/>
                <w:sz w:val="14"/>
                <w:szCs w:val="14"/>
              </w:rPr>
            </w:pPr>
            <w:r w:rsidRPr="000E5DBF">
              <w:rPr>
                <w:color w:val="000000"/>
                <w:sz w:val="14"/>
                <w:szCs w:val="14"/>
              </w:rPr>
              <w:t>0,00</w:t>
            </w:r>
          </w:p>
        </w:tc>
        <w:tc>
          <w:tcPr>
            <w:tcW w:w="554"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CDE93B5" w14:textId="77777777" w:rsidR="00F22587" w:rsidRPr="000E5DBF" w:rsidRDefault="00F22587" w:rsidP="008A5C11">
            <w:pPr>
              <w:jc w:val="center"/>
              <w:rPr>
                <w:color w:val="000000"/>
                <w:sz w:val="14"/>
                <w:szCs w:val="14"/>
              </w:rPr>
            </w:pPr>
            <w:r w:rsidRPr="000E5DBF">
              <w:rPr>
                <w:color w:val="000000"/>
                <w:sz w:val="14"/>
                <w:szCs w:val="14"/>
              </w:rPr>
              <w:t>0,00</w:t>
            </w:r>
          </w:p>
        </w:tc>
        <w:tc>
          <w:tcPr>
            <w:tcW w:w="56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1D565FC" w14:textId="77777777" w:rsidR="00F22587" w:rsidRPr="000E5DBF" w:rsidRDefault="00F22587" w:rsidP="008A5C11">
            <w:pPr>
              <w:jc w:val="center"/>
              <w:rPr>
                <w:color w:val="000000"/>
                <w:sz w:val="14"/>
                <w:szCs w:val="14"/>
              </w:rPr>
            </w:pPr>
            <w:r w:rsidRPr="000E5DBF">
              <w:rPr>
                <w:color w:val="000000"/>
                <w:sz w:val="14"/>
                <w:szCs w:val="14"/>
              </w:rPr>
              <w:t>0,00</w:t>
            </w:r>
          </w:p>
        </w:tc>
        <w:tc>
          <w:tcPr>
            <w:tcW w:w="56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2B66F94" w14:textId="77777777" w:rsidR="00F22587" w:rsidRPr="000E5DBF" w:rsidRDefault="00F22587" w:rsidP="008A5C11">
            <w:pPr>
              <w:jc w:val="center"/>
              <w:rPr>
                <w:color w:val="000000"/>
                <w:sz w:val="14"/>
                <w:szCs w:val="14"/>
              </w:rPr>
            </w:pPr>
            <w:r w:rsidRPr="000E5DBF">
              <w:rPr>
                <w:color w:val="000000"/>
                <w:sz w:val="14"/>
                <w:szCs w:val="14"/>
              </w:rPr>
              <w:t>0,00</w:t>
            </w:r>
          </w:p>
        </w:tc>
        <w:tc>
          <w:tcPr>
            <w:tcW w:w="561"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BE36459" w14:textId="77777777" w:rsidR="00F22587" w:rsidRPr="000E5DBF" w:rsidRDefault="00F22587" w:rsidP="008A5C11">
            <w:pPr>
              <w:jc w:val="center"/>
              <w:rPr>
                <w:color w:val="000000"/>
                <w:sz w:val="14"/>
                <w:szCs w:val="14"/>
              </w:rPr>
            </w:pPr>
            <w:r w:rsidRPr="000E5DBF">
              <w:rPr>
                <w:color w:val="000000"/>
                <w:sz w:val="14"/>
                <w:szCs w:val="14"/>
              </w:rPr>
              <w:t>0,00</w:t>
            </w:r>
          </w:p>
        </w:tc>
        <w:tc>
          <w:tcPr>
            <w:tcW w:w="560"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D8D6D2C" w14:textId="77777777" w:rsidR="00F22587" w:rsidRPr="000E5DBF" w:rsidRDefault="00F22587" w:rsidP="008A5C11">
            <w:pPr>
              <w:jc w:val="center"/>
              <w:rPr>
                <w:color w:val="000000"/>
                <w:sz w:val="14"/>
                <w:szCs w:val="14"/>
              </w:rPr>
            </w:pPr>
            <w:r w:rsidRPr="000E5DBF">
              <w:rPr>
                <w:color w:val="000000"/>
                <w:sz w:val="14"/>
                <w:szCs w:val="14"/>
              </w:rPr>
              <w:t>0,00</w:t>
            </w:r>
          </w:p>
        </w:tc>
        <w:tc>
          <w:tcPr>
            <w:tcW w:w="569"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5A1E55C" w14:textId="77777777" w:rsidR="00F22587" w:rsidRPr="000E5DBF" w:rsidRDefault="00F22587" w:rsidP="008A5C11">
            <w:pPr>
              <w:jc w:val="center"/>
              <w:rPr>
                <w:color w:val="000000"/>
                <w:sz w:val="14"/>
                <w:szCs w:val="14"/>
              </w:rPr>
            </w:pPr>
            <w:r w:rsidRPr="000E5DBF">
              <w:rPr>
                <w:color w:val="000000"/>
                <w:sz w:val="14"/>
                <w:szCs w:val="14"/>
              </w:rPr>
              <w:t>0,00</w:t>
            </w:r>
          </w:p>
        </w:tc>
        <w:tc>
          <w:tcPr>
            <w:tcW w:w="567" w:type="dxa"/>
            <w:gridSpan w:val="2"/>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EE8D2FD" w14:textId="77777777" w:rsidR="00F22587" w:rsidRPr="000E5DBF" w:rsidRDefault="00F22587" w:rsidP="008A5C11">
            <w:pPr>
              <w:jc w:val="center"/>
              <w:rPr>
                <w:color w:val="000000"/>
                <w:sz w:val="14"/>
                <w:szCs w:val="14"/>
              </w:rPr>
            </w:pPr>
            <w:r w:rsidRPr="000E5DBF">
              <w:rPr>
                <w:color w:val="000000"/>
                <w:sz w:val="14"/>
                <w:szCs w:val="14"/>
              </w:rPr>
              <w:t>0,00</w:t>
            </w:r>
          </w:p>
        </w:tc>
        <w:tc>
          <w:tcPr>
            <w:tcW w:w="565" w:type="dxa"/>
            <w:tcBorders>
              <w:top w:val="single" w:sz="4" w:space="0" w:color="auto"/>
              <w:left w:val="nil"/>
              <w:bottom w:val="single" w:sz="4" w:space="0" w:color="auto"/>
              <w:right w:val="single" w:sz="4" w:space="0" w:color="auto"/>
            </w:tcBorders>
            <w:shd w:val="clear" w:color="000000" w:fill="FFFFFF"/>
            <w:tcMar>
              <w:left w:w="0" w:type="dxa"/>
              <w:right w:w="0" w:type="dxa"/>
            </w:tcMar>
            <w:vAlign w:val="center"/>
          </w:tcPr>
          <w:p w14:paraId="04F30237" w14:textId="77777777" w:rsidR="00F22587" w:rsidRPr="000E5DBF" w:rsidRDefault="00F22587" w:rsidP="008A5C11">
            <w:pPr>
              <w:jc w:val="center"/>
              <w:rPr>
                <w:color w:val="000000"/>
                <w:sz w:val="14"/>
                <w:szCs w:val="14"/>
              </w:rPr>
            </w:pPr>
            <w:r w:rsidRPr="000E5DBF">
              <w:rPr>
                <w:color w:val="000000"/>
                <w:sz w:val="14"/>
                <w:szCs w:val="14"/>
              </w:rPr>
              <w:t>0,00</w:t>
            </w:r>
          </w:p>
        </w:tc>
        <w:tc>
          <w:tcPr>
            <w:tcW w:w="56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9A8A456" w14:textId="77777777" w:rsidR="00F22587" w:rsidRPr="000E5DBF" w:rsidRDefault="00F22587" w:rsidP="008A5C11">
            <w:pPr>
              <w:jc w:val="center"/>
              <w:rPr>
                <w:color w:val="000000"/>
                <w:sz w:val="14"/>
                <w:szCs w:val="14"/>
              </w:rPr>
            </w:pPr>
            <w:r w:rsidRPr="000E5DBF">
              <w:rPr>
                <w:color w:val="000000"/>
                <w:sz w:val="14"/>
                <w:szCs w:val="14"/>
              </w:rPr>
              <w:t>0,00</w:t>
            </w:r>
          </w:p>
        </w:tc>
        <w:tc>
          <w:tcPr>
            <w:tcW w:w="568"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5B56576" w14:textId="77777777" w:rsidR="00F22587" w:rsidRPr="000E5DBF" w:rsidRDefault="00F22587" w:rsidP="008A5C11">
            <w:pPr>
              <w:jc w:val="center"/>
              <w:rPr>
                <w:color w:val="000000"/>
                <w:sz w:val="14"/>
                <w:szCs w:val="14"/>
              </w:rPr>
            </w:pPr>
            <w:r w:rsidRPr="000E5DBF">
              <w:rPr>
                <w:color w:val="000000"/>
                <w:sz w:val="14"/>
                <w:szCs w:val="14"/>
              </w:rPr>
              <w:t>0,00</w:t>
            </w:r>
          </w:p>
        </w:tc>
        <w:tc>
          <w:tcPr>
            <w:tcW w:w="569"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B024133" w14:textId="77777777" w:rsidR="00F22587" w:rsidRPr="000E5DBF" w:rsidRDefault="00F22587" w:rsidP="008A5C11">
            <w:pPr>
              <w:jc w:val="center"/>
              <w:rPr>
                <w:color w:val="000000"/>
                <w:sz w:val="14"/>
                <w:szCs w:val="14"/>
              </w:rPr>
            </w:pPr>
            <w:r w:rsidRPr="000E5DBF">
              <w:rPr>
                <w:color w:val="000000"/>
                <w:sz w:val="14"/>
                <w:szCs w:val="14"/>
              </w:rPr>
              <w:t>0,00</w:t>
            </w:r>
          </w:p>
        </w:tc>
        <w:tc>
          <w:tcPr>
            <w:tcW w:w="562"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08C197F" w14:textId="77777777" w:rsidR="00F22587" w:rsidRPr="000E5DBF" w:rsidRDefault="00F22587" w:rsidP="008A5C11">
            <w:pPr>
              <w:jc w:val="center"/>
              <w:rPr>
                <w:color w:val="000000"/>
                <w:sz w:val="14"/>
                <w:szCs w:val="14"/>
              </w:rPr>
            </w:pPr>
            <w:r w:rsidRPr="000E5DBF">
              <w:rPr>
                <w:color w:val="000000"/>
                <w:sz w:val="14"/>
                <w:szCs w:val="14"/>
              </w:rPr>
              <w:t>0,00</w:t>
            </w:r>
          </w:p>
        </w:tc>
        <w:tc>
          <w:tcPr>
            <w:tcW w:w="290"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9BADA0D" w14:textId="77777777" w:rsidR="00F22587" w:rsidRPr="000E5DBF" w:rsidRDefault="00F22587" w:rsidP="008A5C11">
            <w:pPr>
              <w:jc w:val="center"/>
              <w:rPr>
                <w:color w:val="000000"/>
                <w:sz w:val="14"/>
                <w:szCs w:val="14"/>
              </w:rPr>
            </w:pPr>
            <w:r w:rsidRPr="000E5DBF">
              <w:rPr>
                <w:color w:val="000000"/>
                <w:sz w:val="14"/>
                <w:szCs w:val="14"/>
              </w:rPr>
              <w:t>0,00</w:t>
            </w:r>
          </w:p>
        </w:tc>
        <w:tc>
          <w:tcPr>
            <w:tcW w:w="425" w:type="dxa"/>
            <w:gridSpan w:val="2"/>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04C186A" w14:textId="77777777" w:rsidR="00F22587" w:rsidRPr="000E5DBF" w:rsidRDefault="00F22587" w:rsidP="008A5C11">
            <w:pPr>
              <w:jc w:val="center"/>
              <w:rPr>
                <w:color w:val="000000"/>
                <w:sz w:val="14"/>
                <w:szCs w:val="14"/>
              </w:rPr>
            </w:pPr>
            <w:r w:rsidRPr="000E5DBF">
              <w:rPr>
                <w:color w:val="000000"/>
                <w:sz w:val="14"/>
                <w:szCs w:val="14"/>
              </w:rPr>
              <w:t>0,00</w:t>
            </w:r>
          </w:p>
        </w:tc>
      </w:tr>
      <w:tr w:rsidR="00F22587" w:rsidRPr="000E5DBF" w14:paraId="4C1E54F1" w14:textId="77777777" w:rsidTr="008A5C11">
        <w:trPr>
          <w:cantSplit/>
          <w:trHeight w:val="309"/>
        </w:trPr>
        <w:tc>
          <w:tcPr>
            <w:tcW w:w="7491" w:type="dxa"/>
            <w:gridSpan w:val="11"/>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46C47037" w14:textId="77777777" w:rsidR="00F22587" w:rsidRPr="000E5DBF" w:rsidRDefault="00F22587" w:rsidP="008A5C11">
            <w:pPr>
              <w:rPr>
                <w:sz w:val="14"/>
                <w:szCs w:val="14"/>
              </w:rPr>
            </w:pPr>
            <w:r w:rsidRPr="000E5DBF">
              <w:rPr>
                <w:sz w:val="14"/>
                <w:szCs w:val="14"/>
              </w:rPr>
              <w:t>Всего по группе 4</w:t>
            </w:r>
          </w:p>
        </w:tc>
        <w:tc>
          <w:tcPr>
            <w:tcW w:w="568" w:type="dxa"/>
            <w:tcBorders>
              <w:top w:val="nil"/>
              <w:left w:val="nil"/>
              <w:bottom w:val="single" w:sz="4" w:space="0" w:color="auto"/>
              <w:right w:val="single" w:sz="4" w:space="0" w:color="auto"/>
            </w:tcBorders>
            <w:shd w:val="clear" w:color="000000" w:fill="FFFFFF"/>
            <w:tcMar>
              <w:left w:w="0" w:type="dxa"/>
              <w:right w:w="0" w:type="dxa"/>
            </w:tcMar>
            <w:vAlign w:val="center"/>
          </w:tcPr>
          <w:p w14:paraId="7911CA5D" w14:textId="77777777" w:rsidR="00F22587" w:rsidRPr="000E5DBF" w:rsidRDefault="00F22587" w:rsidP="008A5C11">
            <w:pPr>
              <w:ind w:left="-57" w:right="-57"/>
              <w:jc w:val="center"/>
              <w:rPr>
                <w:color w:val="000000"/>
                <w:sz w:val="14"/>
                <w:szCs w:val="14"/>
              </w:rPr>
            </w:pPr>
            <w:r w:rsidRPr="000E5DBF">
              <w:rPr>
                <w:color w:val="000000"/>
                <w:sz w:val="14"/>
                <w:szCs w:val="14"/>
              </w:rPr>
              <w:t>33443,27</w:t>
            </w:r>
          </w:p>
        </w:tc>
        <w:tc>
          <w:tcPr>
            <w:tcW w:w="443"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3A8D5091" w14:textId="77777777" w:rsidR="00F22587" w:rsidRPr="000E5DBF" w:rsidRDefault="00F22587" w:rsidP="008A5C11">
            <w:pPr>
              <w:jc w:val="center"/>
              <w:rPr>
                <w:color w:val="000000"/>
                <w:sz w:val="14"/>
                <w:szCs w:val="14"/>
              </w:rPr>
            </w:pPr>
            <w:r w:rsidRPr="000E5DBF">
              <w:rPr>
                <w:color w:val="000000"/>
                <w:sz w:val="14"/>
                <w:szCs w:val="14"/>
              </w:rPr>
              <w:t>0,00</w:t>
            </w:r>
          </w:p>
        </w:tc>
        <w:tc>
          <w:tcPr>
            <w:tcW w:w="554" w:type="dxa"/>
            <w:tcBorders>
              <w:top w:val="nil"/>
              <w:left w:val="nil"/>
              <w:bottom w:val="single" w:sz="4" w:space="0" w:color="auto"/>
              <w:right w:val="single" w:sz="4" w:space="0" w:color="auto"/>
            </w:tcBorders>
            <w:shd w:val="clear" w:color="000000" w:fill="FFFFFF"/>
            <w:tcMar>
              <w:left w:w="0" w:type="dxa"/>
              <w:right w:w="0" w:type="dxa"/>
            </w:tcMar>
            <w:vAlign w:val="center"/>
          </w:tcPr>
          <w:p w14:paraId="5A588B0A" w14:textId="77777777" w:rsidR="00F22587" w:rsidRPr="000E5DBF" w:rsidRDefault="00F22587" w:rsidP="008A5C11">
            <w:pPr>
              <w:jc w:val="center"/>
              <w:rPr>
                <w:color w:val="000000"/>
                <w:sz w:val="14"/>
                <w:szCs w:val="14"/>
              </w:rPr>
            </w:pPr>
            <w:r w:rsidRPr="000E5DBF">
              <w:rPr>
                <w:color w:val="000000"/>
                <w:sz w:val="14"/>
                <w:szCs w:val="14"/>
              </w:rPr>
              <w:t>5161,67</w:t>
            </w:r>
          </w:p>
        </w:tc>
        <w:tc>
          <w:tcPr>
            <w:tcW w:w="567" w:type="dxa"/>
            <w:tcBorders>
              <w:top w:val="nil"/>
              <w:left w:val="nil"/>
              <w:bottom w:val="single" w:sz="4" w:space="0" w:color="auto"/>
              <w:right w:val="single" w:sz="4" w:space="0" w:color="auto"/>
            </w:tcBorders>
            <w:shd w:val="clear" w:color="000000" w:fill="FFFFFF"/>
            <w:tcMar>
              <w:left w:w="0" w:type="dxa"/>
              <w:right w:w="0" w:type="dxa"/>
            </w:tcMar>
            <w:vAlign w:val="center"/>
          </w:tcPr>
          <w:p w14:paraId="11DAD999" w14:textId="77777777" w:rsidR="00F22587" w:rsidRPr="000E5DBF" w:rsidRDefault="00F22587" w:rsidP="008A5C11">
            <w:pPr>
              <w:jc w:val="center"/>
              <w:rPr>
                <w:color w:val="000000"/>
                <w:sz w:val="14"/>
                <w:szCs w:val="14"/>
              </w:rPr>
            </w:pPr>
            <w:r w:rsidRPr="000E5DBF">
              <w:rPr>
                <w:color w:val="000000"/>
                <w:sz w:val="14"/>
                <w:szCs w:val="14"/>
              </w:rPr>
              <w:t>4056,00</w:t>
            </w:r>
          </w:p>
        </w:tc>
        <w:tc>
          <w:tcPr>
            <w:tcW w:w="567" w:type="dxa"/>
            <w:tcBorders>
              <w:top w:val="nil"/>
              <w:left w:val="nil"/>
              <w:bottom w:val="single" w:sz="4" w:space="0" w:color="auto"/>
              <w:right w:val="single" w:sz="4" w:space="0" w:color="auto"/>
            </w:tcBorders>
            <w:shd w:val="clear" w:color="000000" w:fill="FFFFFF"/>
            <w:tcMar>
              <w:left w:w="0" w:type="dxa"/>
              <w:right w:w="0" w:type="dxa"/>
            </w:tcMar>
            <w:vAlign w:val="center"/>
          </w:tcPr>
          <w:p w14:paraId="13DA89B1" w14:textId="77777777" w:rsidR="00F22587" w:rsidRPr="000E5DBF" w:rsidRDefault="00F22587" w:rsidP="008A5C11">
            <w:pPr>
              <w:jc w:val="center"/>
              <w:rPr>
                <w:color w:val="000000"/>
                <w:sz w:val="14"/>
                <w:szCs w:val="14"/>
              </w:rPr>
            </w:pPr>
            <w:r w:rsidRPr="000E5DBF">
              <w:rPr>
                <w:color w:val="000000"/>
                <w:sz w:val="14"/>
                <w:szCs w:val="14"/>
              </w:rPr>
              <w:t>7459,20</w:t>
            </w:r>
          </w:p>
        </w:tc>
        <w:tc>
          <w:tcPr>
            <w:tcW w:w="561" w:type="dxa"/>
            <w:tcBorders>
              <w:top w:val="nil"/>
              <w:left w:val="nil"/>
              <w:bottom w:val="single" w:sz="4" w:space="0" w:color="auto"/>
              <w:right w:val="single" w:sz="4" w:space="0" w:color="auto"/>
            </w:tcBorders>
            <w:shd w:val="clear" w:color="000000" w:fill="FFFFFF"/>
            <w:tcMar>
              <w:left w:w="0" w:type="dxa"/>
              <w:right w:w="0" w:type="dxa"/>
            </w:tcMar>
            <w:vAlign w:val="center"/>
          </w:tcPr>
          <w:p w14:paraId="41E10D3D" w14:textId="77777777" w:rsidR="00F22587" w:rsidRPr="000E5DBF" w:rsidRDefault="00F22587" w:rsidP="008A5C11">
            <w:pPr>
              <w:jc w:val="center"/>
              <w:rPr>
                <w:color w:val="000000"/>
                <w:sz w:val="14"/>
                <w:szCs w:val="14"/>
              </w:rPr>
            </w:pPr>
            <w:r w:rsidRPr="000E5DBF">
              <w:rPr>
                <w:color w:val="000000"/>
                <w:sz w:val="14"/>
                <w:szCs w:val="14"/>
              </w:rPr>
              <w:t>7338,00</w:t>
            </w:r>
          </w:p>
        </w:tc>
        <w:tc>
          <w:tcPr>
            <w:tcW w:w="560" w:type="dxa"/>
            <w:tcBorders>
              <w:top w:val="nil"/>
              <w:left w:val="nil"/>
              <w:bottom w:val="single" w:sz="4" w:space="0" w:color="auto"/>
              <w:right w:val="single" w:sz="4" w:space="0" w:color="auto"/>
            </w:tcBorders>
            <w:shd w:val="clear" w:color="000000" w:fill="FFFFFF"/>
            <w:tcMar>
              <w:left w:w="0" w:type="dxa"/>
              <w:right w:w="0" w:type="dxa"/>
            </w:tcMar>
            <w:vAlign w:val="center"/>
          </w:tcPr>
          <w:p w14:paraId="71C5B101" w14:textId="77777777" w:rsidR="00F22587" w:rsidRPr="000E5DBF" w:rsidRDefault="00F22587" w:rsidP="008A5C11">
            <w:pPr>
              <w:jc w:val="center"/>
              <w:rPr>
                <w:color w:val="000000"/>
                <w:sz w:val="14"/>
                <w:szCs w:val="14"/>
              </w:rPr>
            </w:pPr>
            <w:r w:rsidRPr="000E5DBF">
              <w:rPr>
                <w:color w:val="000000"/>
                <w:sz w:val="14"/>
                <w:szCs w:val="14"/>
              </w:rPr>
              <w:t>4230,00</w:t>
            </w:r>
          </w:p>
        </w:tc>
        <w:tc>
          <w:tcPr>
            <w:tcW w:w="569" w:type="dxa"/>
            <w:tcBorders>
              <w:top w:val="nil"/>
              <w:left w:val="nil"/>
              <w:bottom w:val="single" w:sz="4" w:space="0" w:color="auto"/>
              <w:right w:val="single" w:sz="4" w:space="0" w:color="auto"/>
            </w:tcBorders>
            <w:shd w:val="clear" w:color="000000" w:fill="FFFFFF"/>
            <w:tcMar>
              <w:left w:w="0" w:type="dxa"/>
              <w:right w:w="0" w:type="dxa"/>
            </w:tcMar>
            <w:vAlign w:val="center"/>
          </w:tcPr>
          <w:p w14:paraId="48245705" w14:textId="77777777" w:rsidR="00F22587" w:rsidRPr="000E5DBF" w:rsidRDefault="00F22587" w:rsidP="008A5C11">
            <w:pPr>
              <w:jc w:val="center"/>
              <w:rPr>
                <w:color w:val="000000"/>
                <w:sz w:val="14"/>
                <w:szCs w:val="14"/>
              </w:rPr>
            </w:pPr>
            <w:r w:rsidRPr="000E5DBF">
              <w:rPr>
                <w:color w:val="000000"/>
                <w:sz w:val="14"/>
                <w:szCs w:val="14"/>
              </w:rPr>
              <w:t>5198,40</w:t>
            </w:r>
          </w:p>
        </w:tc>
        <w:tc>
          <w:tcPr>
            <w:tcW w:w="567"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352B24C6" w14:textId="77777777" w:rsidR="00F22587" w:rsidRPr="000E5DBF" w:rsidRDefault="00F22587" w:rsidP="008A5C11">
            <w:pPr>
              <w:jc w:val="center"/>
              <w:rPr>
                <w:color w:val="000000"/>
                <w:sz w:val="14"/>
                <w:szCs w:val="14"/>
              </w:rPr>
            </w:pPr>
            <w:r w:rsidRPr="000E5DBF">
              <w:rPr>
                <w:color w:val="000000"/>
                <w:sz w:val="14"/>
                <w:szCs w:val="14"/>
              </w:rPr>
              <w:t>0,00</w:t>
            </w:r>
          </w:p>
        </w:tc>
        <w:tc>
          <w:tcPr>
            <w:tcW w:w="565" w:type="dxa"/>
            <w:tcBorders>
              <w:top w:val="nil"/>
              <w:left w:val="nil"/>
              <w:bottom w:val="single" w:sz="4" w:space="0" w:color="auto"/>
              <w:right w:val="single" w:sz="4" w:space="0" w:color="auto"/>
            </w:tcBorders>
            <w:shd w:val="clear" w:color="000000" w:fill="FFFFFF"/>
            <w:tcMar>
              <w:left w:w="0" w:type="dxa"/>
              <w:right w:w="0" w:type="dxa"/>
            </w:tcMar>
            <w:vAlign w:val="center"/>
          </w:tcPr>
          <w:p w14:paraId="532E7E1F" w14:textId="77777777" w:rsidR="00F22587" w:rsidRPr="000E5DBF" w:rsidRDefault="00F22587" w:rsidP="008A5C11">
            <w:pPr>
              <w:jc w:val="center"/>
              <w:rPr>
                <w:color w:val="000000"/>
                <w:sz w:val="14"/>
                <w:szCs w:val="14"/>
              </w:rPr>
            </w:pPr>
            <w:r w:rsidRPr="000E5DBF">
              <w:rPr>
                <w:color w:val="000000"/>
                <w:sz w:val="14"/>
                <w:szCs w:val="14"/>
              </w:rPr>
              <w:t>0,00</w:t>
            </w:r>
          </w:p>
        </w:tc>
        <w:tc>
          <w:tcPr>
            <w:tcW w:w="567" w:type="dxa"/>
            <w:tcBorders>
              <w:top w:val="nil"/>
              <w:left w:val="nil"/>
              <w:bottom w:val="single" w:sz="4" w:space="0" w:color="auto"/>
              <w:right w:val="single" w:sz="4" w:space="0" w:color="auto"/>
            </w:tcBorders>
            <w:shd w:val="clear" w:color="000000" w:fill="FFFFFF"/>
            <w:tcMar>
              <w:left w:w="0" w:type="dxa"/>
              <w:right w:w="0" w:type="dxa"/>
            </w:tcMar>
            <w:vAlign w:val="center"/>
          </w:tcPr>
          <w:p w14:paraId="39A93BF6" w14:textId="77777777" w:rsidR="00F22587" w:rsidRPr="000E5DBF" w:rsidRDefault="00F22587" w:rsidP="008A5C11">
            <w:pPr>
              <w:jc w:val="center"/>
              <w:rPr>
                <w:color w:val="000000"/>
                <w:sz w:val="14"/>
                <w:szCs w:val="14"/>
              </w:rPr>
            </w:pPr>
            <w:r w:rsidRPr="000E5DBF">
              <w:rPr>
                <w:color w:val="000000"/>
                <w:sz w:val="14"/>
                <w:szCs w:val="14"/>
              </w:rPr>
              <w:t>0,00</w:t>
            </w:r>
          </w:p>
        </w:tc>
        <w:tc>
          <w:tcPr>
            <w:tcW w:w="568" w:type="dxa"/>
            <w:tcBorders>
              <w:top w:val="nil"/>
              <w:left w:val="nil"/>
              <w:bottom w:val="single" w:sz="4" w:space="0" w:color="auto"/>
              <w:right w:val="single" w:sz="4" w:space="0" w:color="auto"/>
            </w:tcBorders>
            <w:shd w:val="clear" w:color="000000" w:fill="FFFFFF"/>
            <w:tcMar>
              <w:left w:w="0" w:type="dxa"/>
              <w:right w:w="0" w:type="dxa"/>
            </w:tcMar>
            <w:vAlign w:val="center"/>
          </w:tcPr>
          <w:p w14:paraId="2C6E17E5" w14:textId="77777777" w:rsidR="00F22587" w:rsidRPr="000E5DBF" w:rsidRDefault="00F22587" w:rsidP="008A5C11">
            <w:pPr>
              <w:jc w:val="center"/>
              <w:rPr>
                <w:color w:val="000000"/>
                <w:sz w:val="14"/>
                <w:szCs w:val="14"/>
              </w:rPr>
            </w:pPr>
            <w:r w:rsidRPr="000E5DBF">
              <w:rPr>
                <w:color w:val="000000"/>
                <w:sz w:val="14"/>
                <w:szCs w:val="14"/>
              </w:rPr>
              <w:t>0,00</w:t>
            </w:r>
          </w:p>
        </w:tc>
        <w:tc>
          <w:tcPr>
            <w:tcW w:w="569" w:type="dxa"/>
            <w:tcBorders>
              <w:top w:val="nil"/>
              <w:left w:val="nil"/>
              <w:bottom w:val="single" w:sz="4" w:space="0" w:color="auto"/>
              <w:right w:val="single" w:sz="4" w:space="0" w:color="auto"/>
            </w:tcBorders>
            <w:shd w:val="clear" w:color="000000" w:fill="FFFFFF"/>
            <w:tcMar>
              <w:left w:w="0" w:type="dxa"/>
              <w:right w:w="0" w:type="dxa"/>
            </w:tcMar>
            <w:vAlign w:val="center"/>
          </w:tcPr>
          <w:p w14:paraId="169789A1" w14:textId="77777777" w:rsidR="00F22587" w:rsidRPr="000E5DBF" w:rsidRDefault="00F22587" w:rsidP="008A5C11">
            <w:pPr>
              <w:jc w:val="center"/>
              <w:rPr>
                <w:color w:val="000000"/>
                <w:sz w:val="14"/>
                <w:szCs w:val="14"/>
              </w:rPr>
            </w:pPr>
            <w:r w:rsidRPr="000E5DBF">
              <w:rPr>
                <w:color w:val="000000"/>
                <w:sz w:val="14"/>
                <w:szCs w:val="14"/>
              </w:rPr>
              <w:t>0,00</w:t>
            </w:r>
          </w:p>
        </w:tc>
        <w:tc>
          <w:tcPr>
            <w:tcW w:w="562" w:type="dxa"/>
            <w:tcBorders>
              <w:top w:val="nil"/>
              <w:left w:val="nil"/>
              <w:bottom w:val="single" w:sz="4" w:space="0" w:color="auto"/>
              <w:right w:val="single" w:sz="4" w:space="0" w:color="auto"/>
            </w:tcBorders>
            <w:shd w:val="clear" w:color="000000" w:fill="FFFFFF"/>
            <w:tcMar>
              <w:left w:w="0" w:type="dxa"/>
              <w:right w:w="0" w:type="dxa"/>
            </w:tcMar>
            <w:vAlign w:val="center"/>
          </w:tcPr>
          <w:p w14:paraId="4E87AC5F" w14:textId="77777777" w:rsidR="00F22587" w:rsidRPr="000E5DBF" w:rsidRDefault="00F22587" w:rsidP="008A5C11">
            <w:pPr>
              <w:jc w:val="center"/>
              <w:rPr>
                <w:color w:val="000000"/>
                <w:sz w:val="14"/>
                <w:szCs w:val="14"/>
              </w:rPr>
            </w:pPr>
            <w:r w:rsidRPr="000E5DBF">
              <w:rPr>
                <w:color w:val="000000"/>
                <w:sz w:val="14"/>
                <w:szCs w:val="14"/>
              </w:rPr>
              <w:t>0,00</w:t>
            </w:r>
          </w:p>
        </w:tc>
        <w:tc>
          <w:tcPr>
            <w:tcW w:w="290" w:type="dxa"/>
            <w:tcBorders>
              <w:top w:val="nil"/>
              <w:left w:val="nil"/>
              <w:bottom w:val="single" w:sz="4" w:space="0" w:color="auto"/>
              <w:right w:val="single" w:sz="4" w:space="0" w:color="auto"/>
            </w:tcBorders>
            <w:shd w:val="clear" w:color="000000" w:fill="FFFFFF"/>
            <w:tcMar>
              <w:left w:w="0" w:type="dxa"/>
              <w:right w:w="0" w:type="dxa"/>
            </w:tcMar>
            <w:vAlign w:val="center"/>
          </w:tcPr>
          <w:p w14:paraId="45EC8BE8" w14:textId="77777777" w:rsidR="00F22587" w:rsidRPr="000E5DBF" w:rsidRDefault="00F22587" w:rsidP="008A5C11">
            <w:pPr>
              <w:jc w:val="center"/>
              <w:rPr>
                <w:color w:val="000000"/>
                <w:sz w:val="14"/>
                <w:szCs w:val="14"/>
              </w:rPr>
            </w:pPr>
            <w:r w:rsidRPr="000E5DBF">
              <w:rPr>
                <w:color w:val="000000"/>
                <w:sz w:val="14"/>
                <w:szCs w:val="14"/>
              </w:rPr>
              <w:t>0,00</w:t>
            </w:r>
          </w:p>
        </w:tc>
        <w:tc>
          <w:tcPr>
            <w:tcW w:w="425"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1EC0237E" w14:textId="77777777" w:rsidR="00F22587" w:rsidRPr="000E5DBF" w:rsidRDefault="00F22587" w:rsidP="008A5C11">
            <w:pPr>
              <w:jc w:val="center"/>
              <w:rPr>
                <w:color w:val="000000"/>
                <w:sz w:val="14"/>
                <w:szCs w:val="14"/>
              </w:rPr>
            </w:pPr>
            <w:r w:rsidRPr="000E5DBF">
              <w:rPr>
                <w:color w:val="000000"/>
                <w:sz w:val="14"/>
                <w:szCs w:val="14"/>
              </w:rPr>
              <w:t>0,00</w:t>
            </w:r>
          </w:p>
        </w:tc>
      </w:tr>
      <w:tr w:rsidR="00F22587" w:rsidRPr="000E5DBF" w14:paraId="1391A672" w14:textId="77777777" w:rsidTr="008A5C11">
        <w:trPr>
          <w:cantSplit/>
          <w:trHeight w:val="139"/>
        </w:trPr>
        <w:tc>
          <w:tcPr>
            <w:tcW w:w="15993" w:type="dxa"/>
            <w:gridSpan w:val="30"/>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2AD75EC" w14:textId="77777777" w:rsidR="00F22587" w:rsidRPr="000E5DBF" w:rsidRDefault="00F22587" w:rsidP="008A5C11">
            <w:pPr>
              <w:rPr>
                <w:color w:val="000000"/>
                <w:sz w:val="14"/>
                <w:szCs w:val="14"/>
              </w:rPr>
            </w:pPr>
            <w:r w:rsidRPr="000E5DBF">
              <w:rPr>
                <w:color w:val="000000"/>
                <w:sz w:val="14"/>
                <w:szCs w:val="14"/>
              </w:rPr>
              <w:t>Группа 5. Вывод из эксплуатации, консервация и демонтаж объектов системы централизованного теплоснабжения</w:t>
            </w:r>
          </w:p>
        </w:tc>
      </w:tr>
      <w:tr w:rsidR="00F22587" w:rsidRPr="000E5DBF" w14:paraId="7A9983E9" w14:textId="77777777" w:rsidTr="008A5C11">
        <w:trPr>
          <w:cantSplit/>
          <w:trHeight w:val="246"/>
        </w:trPr>
        <w:tc>
          <w:tcPr>
            <w:tcW w:w="7491" w:type="dxa"/>
            <w:gridSpan w:val="11"/>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5AB105F" w14:textId="77777777" w:rsidR="00F22587" w:rsidRPr="000E5DBF" w:rsidRDefault="00F22587" w:rsidP="008A5C11">
            <w:pPr>
              <w:rPr>
                <w:sz w:val="14"/>
                <w:szCs w:val="14"/>
              </w:rPr>
            </w:pPr>
            <w:r w:rsidRPr="000E5DBF">
              <w:rPr>
                <w:sz w:val="14"/>
                <w:szCs w:val="14"/>
              </w:rPr>
              <w:t>Всего по группе 5.</w:t>
            </w:r>
          </w:p>
        </w:tc>
        <w:tc>
          <w:tcPr>
            <w:tcW w:w="568" w:type="dxa"/>
            <w:tcBorders>
              <w:top w:val="nil"/>
              <w:left w:val="nil"/>
              <w:bottom w:val="single" w:sz="4" w:space="0" w:color="auto"/>
              <w:right w:val="single" w:sz="4" w:space="0" w:color="auto"/>
            </w:tcBorders>
            <w:shd w:val="clear" w:color="000000" w:fill="FFFFFF"/>
            <w:tcMar>
              <w:left w:w="0" w:type="dxa"/>
              <w:right w:w="0" w:type="dxa"/>
            </w:tcMar>
            <w:vAlign w:val="center"/>
          </w:tcPr>
          <w:p w14:paraId="1E9FE5C1" w14:textId="77777777" w:rsidR="00F22587" w:rsidRPr="000E5DBF" w:rsidRDefault="00F22587" w:rsidP="008A5C11">
            <w:pPr>
              <w:jc w:val="center"/>
              <w:rPr>
                <w:color w:val="000000"/>
                <w:sz w:val="14"/>
                <w:szCs w:val="14"/>
              </w:rPr>
            </w:pPr>
            <w:r w:rsidRPr="000E5DBF">
              <w:rPr>
                <w:color w:val="000000"/>
                <w:sz w:val="14"/>
                <w:szCs w:val="14"/>
              </w:rPr>
              <w:t>0,00</w:t>
            </w:r>
          </w:p>
        </w:tc>
        <w:tc>
          <w:tcPr>
            <w:tcW w:w="443"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773DDD66" w14:textId="77777777" w:rsidR="00F22587" w:rsidRPr="000E5DBF" w:rsidRDefault="00F22587" w:rsidP="008A5C11">
            <w:pPr>
              <w:jc w:val="center"/>
              <w:rPr>
                <w:color w:val="000000"/>
                <w:sz w:val="14"/>
                <w:szCs w:val="14"/>
              </w:rPr>
            </w:pPr>
            <w:r w:rsidRPr="000E5DBF">
              <w:rPr>
                <w:color w:val="000000"/>
                <w:sz w:val="14"/>
                <w:szCs w:val="14"/>
              </w:rPr>
              <w:t>0,00</w:t>
            </w:r>
          </w:p>
        </w:tc>
        <w:tc>
          <w:tcPr>
            <w:tcW w:w="554" w:type="dxa"/>
            <w:tcBorders>
              <w:top w:val="nil"/>
              <w:left w:val="nil"/>
              <w:bottom w:val="single" w:sz="4" w:space="0" w:color="auto"/>
              <w:right w:val="single" w:sz="4" w:space="0" w:color="auto"/>
            </w:tcBorders>
            <w:shd w:val="clear" w:color="000000" w:fill="FFFFFF"/>
            <w:tcMar>
              <w:left w:w="0" w:type="dxa"/>
              <w:right w:w="0" w:type="dxa"/>
            </w:tcMar>
            <w:vAlign w:val="center"/>
          </w:tcPr>
          <w:p w14:paraId="1B638C6A" w14:textId="77777777" w:rsidR="00F22587" w:rsidRPr="000E5DBF" w:rsidRDefault="00F22587" w:rsidP="008A5C11">
            <w:pPr>
              <w:jc w:val="center"/>
              <w:rPr>
                <w:color w:val="000000"/>
                <w:sz w:val="14"/>
                <w:szCs w:val="14"/>
              </w:rPr>
            </w:pPr>
            <w:r w:rsidRPr="000E5DBF">
              <w:rPr>
                <w:color w:val="000000"/>
                <w:sz w:val="14"/>
                <w:szCs w:val="14"/>
              </w:rPr>
              <w:t>0,00</w:t>
            </w:r>
          </w:p>
        </w:tc>
        <w:tc>
          <w:tcPr>
            <w:tcW w:w="567" w:type="dxa"/>
            <w:tcBorders>
              <w:top w:val="nil"/>
              <w:left w:val="nil"/>
              <w:bottom w:val="single" w:sz="4" w:space="0" w:color="auto"/>
              <w:right w:val="single" w:sz="4" w:space="0" w:color="auto"/>
            </w:tcBorders>
            <w:shd w:val="clear" w:color="000000" w:fill="FFFFFF"/>
            <w:tcMar>
              <w:left w:w="0" w:type="dxa"/>
              <w:right w:w="0" w:type="dxa"/>
            </w:tcMar>
            <w:vAlign w:val="center"/>
          </w:tcPr>
          <w:p w14:paraId="550E89CF" w14:textId="77777777" w:rsidR="00F22587" w:rsidRPr="000E5DBF" w:rsidRDefault="00F22587" w:rsidP="008A5C11">
            <w:pPr>
              <w:jc w:val="center"/>
              <w:rPr>
                <w:color w:val="000000"/>
                <w:sz w:val="14"/>
                <w:szCs w:val="14"/>
              </w:rPr>
            </w:pPr>
            <w:r w:rsidRPr="000E5DBF">
              <w:rPr>
                <w:color w:val="000000"/>
                <w:sz w:val="14"/>
                <w:szCs w:val="14"/>
              </w:rPr>
              <w:t>0,00</w:t>
            </w:r>
          </w:p>
        </w:tc>
        <w:tc>
          <w:tcPr>
            <w:tcW w:w="567" w:type="dxa"/>
            <w:tcBorders>
              <w:top w:val="nil"/>
              <w:left w:val="nil"/>
              <w:bottom w:val="single" w:sz="4" w:space="0" w:color="auto"/>
              <w:right w:val="single" w:sz="4" w:space="0" w:color="auto"/>
            </w:tcBorders>
            <w:shd w:val="clear" w:color="000000" w:fill="FFFFFF"/>
            <w:tcMar>
              <w:left w:w="0" w:type="dxa"/>
              <w:right w:w="0" w:type="dxa"/>
            </w:tcMar>
            <w:vAlign w:val="center"/>
          </w:tcPr>
          <w:p w14:paraId="29C9B918" w14:textId="77777777" w:rsidR="00F22587" w:rsidRPr="000E5DBF" w:rsidRDefault="00F22587" w:rsidP="008A5C11">
            <w:pPr>
              <w:jc w:val="center"/>
              <w:rPr>
                <w:color w:val="000000"/>
                <w:sz w:val="14"/>
                <w:szCs w:val="14"/>
              </w:rPr>
            </w:pPr>
            <w:r w:rsidRPr="000E5DBF">
              <w:rPr>
                <w:color w:val="000000"/>
                <w:sz w:val="14"/>
                <w:szCs w:val="14"/>
              </w:rPr>
              <w:t>0,00</w:t>
            </w:r>
          </w:p>
        </w:tc>
        <w:tc>
          <w:tcPr>
            <w:tcW w:w="561" w:type="dxa"/>
            <w:tcBorders>
              <w:top w:val="nil"/>
              <w:left w:val="nil"/>
              <w:bottom w:val="single" w:sz="4" w:space="0" w:color="auto"/>
              <w:right w:val="single" w:sz="4" w:space="0" w:color="auto"/>
            </w:tcBorders>
            <w:shd w:val="clear" w:color="000000" w:fill="FFFFFF"/>
            <w:tcMar>
              <w:left w:w="0" w:type="dxa"/>
              <w:right w:w="0" w:type="dxa"/>
            </w:tcMar>
            <w:vAlign w:val="center"/>
          </w:tcPr>
          <w:p w14:paraId="3ACEA0F7" w14:textId="77777777" w:rsidR="00F22587" w:rsidRPr="000E5DBF" w:rsidRDefault="00F22587" w:rsidP="008A5C11">
            <w:pPr>
              <w:jc w:val="center"/>
              <w:rPr>
                <w:color w:val="000000"/>
                <w:sz w:val="14"/>
                <w:szCs w:val="14"/>
              </w:rPr>
            </w:pPr>
            <w:r w:rsidRPr="000E5DBF">
              <w:rPr>
                <w:color w:val="000000"/>
                <w:sz w:val="14"/>
                <w:szCs w:val="14"/>
              </w:rPr>
              <w:t>0,00</w:t>
            </w:r>
          </w:p>
        </w:tc>
        <w:tc>
          <w:tcPr>
            <w:tcW w:w="560" w:type="dxa"/>
            <w:tcBorders>
              <w:top w:val="nil"/>
              <w:left w:val="nil"/>
              <w:bottom w:val="single" w:sz="4" w:space="0" w:color="auto"/>
              <w:right w:val="single" w:sz="4" w:space="0" w:color="auto"/>
            </w:tcBorders>
            <w:shd w:val="clear" w:color="000000" w:fill="FFFFFF"/>
            <w:tcMar>
              <w:left w:w="0" w:type="dxa"/>
              <w:right w:w="0" w:type="dxa"/>
            </w:tcMar>
            <w:vAlign w:val="center"/>
          </w:tcPr>
          <w:p w14:paraId="2401F601" w14:textId="77777777" w:rsidR="00F22587" w:rsidRPr="000E5DBF" w:rsidRDefault="00F22587" w:rsidP="008A5C11">
            <w:pPr>
              <w:jc w:val="center"/>
              <w:rPr>
                <w:color w:val="000000"/>
                <w:sz w:val="14"/>
                <w:szCs w:val="14"/>
              </w:rPr>
            </w:pPr>
            <w:r w:rsidRPr="000E5DBF">
              <w:rPr>
                <w:color w:val="000000"/>
                <w:sz w:val="14"/>
                <w:szCs w:val="14"/>
              </w:rPr>
              <w:t>0,00</w:t>
            </w:r>
          </w:p>
        </w:tc>
        <w:tc>
          <w:tcPr>
            <w:tcW w:w="569" w:type="dxa"/>
            <w:tcBorders>
              <w:top w:val="nil"/>
              <w:left w:val="nil"/>
              <w:bottom w:val="single" w:sz="4" w:space="0" w:color="auto"/>
              <w:right w:val="single" w:sz="4" w:space="0" w:color="auto"/>
            </w:tcBorders>
            <w:shd w:val="clear" w:color="000000" w:fill="FFFFFF"/>
            <w:tcMar>
              <w:left w:w="0" w:type="dxa"/>
              <w:right w:w="0" w:type="dxa"/>
            </w:tcMar>
            <w:vAlign w:val="center"/>
          </w:tcPr>
          <w:p w14:paraId="7A4748C5" w14:textId="77777777" w:rsidR="00F22587" w:rsidRPr="000E5DBF" w:rsidRDefault="00F22587" w:rsidP="008A5C11">
            <w:pPr>
              <w:jc w:val="center"/>
              <w:rPr>
                <w:color w:val="000000"/>
                <w:sz w:val="14"/>
                <w:szCs w:val="14"/>
              </w:rPr>
            </w:pPr>
            <w:r w:rsidRPr="000E5DBF">
              <w:rPr>
                <w:color w:val="000000"/>
                <w:sz w:val="14"/>
                <w:szCs w:val="14"/>
              </w:rPr>
              <w:t>0,00</w:t>
            </w:r>
          </w:p>
        </w:tc>
        <w:tc>
          <w:tcPr>
            <w:tcW w:w="567"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1BBFA78D" w14:textId="77777777" w:rsidR="00F22587" w:rsidRPr="000E5DBF" w:rsidRDefault="00F22587" w:rsidP="008A5C11">
            <w:pPr>
              <w:jc w:val="center"/>
              <w:rPr>
                <w:color w:val="000000"/>
                <w:sz w:val="14"/>
                <w:szCs w:val="14"/>
              </w:rPr>
            </w:pPr>
            <w:r w:rsidRPr="000E5DBF">
              <w:rPr>
                <w:color w:val="000000"/>
                <w:sz w:val="14"/>
                <w:szCs w:val="14"/>
              </w:rPr>
              <w:t>0,00</w:t>
            </w:r>
          </w:p>
        </w:tc>
        <w:tc>
          <w:tcPr>
            <w:tcW w:w="565" w:type="dxa"/>
            <w:tcBorders>
              <w:top w:val="nil"/>
              <w:left w:val="nil"/>
              <w:bottom w:val="single" w:sz="4" w:space="0" w:color="auto"/>
              <w:right w:val="single" w:sz="4" w:space="0" w:color="auto"/>
            </w:tcBorders>
            <w:shd w:val="clear" w:color="000000" w:fill="FFFFFF"/>
            <w:tcMar>
              <w:left w:w="0" w:type="dxa"/>
              <w:right w:w="0" w:type="dxa"/>
            </w:tcMar>
            <w:vAlign w:val="center"/>
          </w:tcPr>
          <w:p w14:paraId="228B9AF9" w14:textId="77777777" w:rsidR="00F22587" w:rsidRPr="000E5DBF" w:rsidRDefault="00F22587" w:rsidP="008A5C11">
            <w:pPr>
              <w:jc w:val="center"/>
              <w:rPr>
                <w:color w:val="000000"/>
                <w:sz w:val="14"/>
                <w:szCs w:val="14"/>
              </w:rPr>
            </w:pPr>
            <w:r w:rsidRPr="000E5DBF">
              <w:rPr>
                <w:color w:val="000000"/>
                <w:sz w:val="14"/>
                <w:szCs w:val="14"/>
              </w:rPr>
              <w:t>0,00</w:t>
            </w:r>
          </w:p>
        </w:tc>
        <w:tc>
          <w:tcPr>
            <w:tcW w:w="567" w:type="dxa"/>
            <w:tcBorders>
              <w:top w:val="nil"/>
              <w:left w:val="nil"/>
              <w:bottom w:val="single" w:sz="4" w:space="0" w:color="auto"/>
              <w:right w:val="single" w:sz="4" w:space="0" w:color="auto"/>
            </w:tcBorders>
            <w:shd w:val="clear" w:color="000000" w:fill="FFFFFF"/>
            <w:tcMar>
              <w:left w:w="0" w:type="dxa"/>
              <w:right w:w="0" w:type="dxa"/>
            </w:tcMar>
            <w:vAlign w:val="center"/>
          </w:tcPr>
          <w:p w14:paraId="60C5189F" w14:textId="77777777" w:rsidR="00F22587" w:rsidRPr="000E5DBF" w:rsidRDefault="00F22587" w:rsidP="008A5C11">
            <w:pPr>
              <w:jc w:val="center"/>
              <w:rPr>
                <w:color w:val="000000"/>
                <w:sz w:val="14"/>
                <w:szCs w:val="14"/>
              </w:rPr>
            </w:pPr>
            <w:r w:rsidRPr="000E5DBF">
              <w:rPr>
                <w:color w:val="000000"/>
                <w:sz w:val="14"/>
                <w:szCs w:val="14"/>
              </w:rPr>
              <w:t>0,00</w:t>
            </w:r>
          </w:p>
        </w:tc>
        <w:tc>
          <w:tcPr>
            <w:tcW w:w="568" w:type="dxa"/>
            <w:tcBorders>
              <w:top w:val="nil"/>
              <w:left w:val="nil"/>
              <w:bottom w:val="single" w:sz="4" w:space="0" w:color="auto"/>
              <w:right w:val="single" w:sz="4" w:space="0" w:color="auto"/>
            </w:tcBorders>
            <w:shd w:val="clear" w:color="000000" w:fill="FFFFFF"/>
            <w:tcMar>
              <w:left w:w="0" w:type="dxa"/>
              <w:right w:w="0" w:type="dxa"/>
            </w:tcMar>
            <w:vAlign w:val="center"/>
          </w:tcPr>
          <w:p w14:paraId="044E879F" w14:textId="77777777" w:rsidR="00F22587" w:rsidRPr="000E5DBF" w:rsidRDefault="00F22587" w:rsidP="008A5C11">
            <w:pPr>
              <w:jc w:val="center"/>
              <w:rPr>
                <w:color w:val="000000"/>
                <w:sz w:val="14"/>
                <w:szCs w:val="14"/>
              </w:rPr>
            </w:pPr>
            <w:r w:rsidRPr="000E5DBF">
              <w:rPr>
                <w:color w:val="000000"/>
                <w:sz w:val="14"/>
                <w:szCs w:val="14"/>
              </w:rPr>
              <w:t>0,00</w:t>
            </w:r>
          </w:p>
        </w:tc>
        <w:tc>
          <w:tcPr>
            <w:tcW w:w="569" w:type="dxa"/>
            <w:tcBorders>
              <w:top w:val="nil"/>
              <w:left w:val="nil"/>
              <w:bottom w:val="single" w:sz="4" w:space="0" w:color="auto"/>
              <w:right w:val="single" w:sz="4" w:space="0" w:color="auto"/>
            </w:tcBorders>
            <w:shd w:val="clear" w:color="000000" w:fill="FFFFFF"/>
            <w:tcMar>
              <w:left w:w="0" w:type="dxa"/>
              <w:right w:w="0" w:type="dxa"/>
            </w:tcMar>
            <w:vAlign w:val="center"/>
          </w:tcPr>
          <w:p w14:paraId="53B59BE7" w14:textId="77777777" w:rsidR="00F22587" w:rsidRPr="000E5DBF" w:rsidRDefault="00F22587" w:rsidP="008A5C11">
            <w:pPr>
              <w:jc w:val="center"/>
              <w:rPr>
                <w:color w:val="000000"/>
                <w:sz w:val="14"/>
                <w:szCs w:val="14"/>
              </w:rPr>
            </w:pPr>
            <w:r w:rsidRPr="000E5DBF">
              <w:rPr>
                <w:color w:val="000000"/>
                <w:sz w:val="14"/>
                <w:szCs w:val="14"/>
              </w:rPr>
              <w:t>0,00</w:t>
            </w:r>
          </w:p>
        </w:tc>
        <w:tc>
          <w:tcPr>
            <w:tcW w:w="562" w:type="dxa"/>
            <w:tcBorders>
              <w:top w:val="nil"/>
              <w:left w:val="nil"/>
              <w:bottom w:val="single" w:sz="4" w:space="0" w:color="auto"/>
              <w:right w:val="single" w:sz="4" w:space="0" w:color="auto"/>
            </w:tcBorders>
            <w:shd w:val="clear" w:color="000000" w:fill="FFFFFF"/>
            <w:tcMar>
              <w:left w:w="0" w:type="dxa"/>
              <w:right w:w="0" w:type="dxa"/>
            </w:tcMar>
            <w:vAlign w:val="center"/>
          </w:tcPr>
          <w:p w14:paraId="792ACF25" w14:textId="77777777" w:rsidR="00F22587" w:rsidRPr="000E5DBF" w:rsidRDefault="00F22587" w:rsidP="008A5C11">
            <w:pPr>
              <w:jc w:val="center"/>
              <w:rPr>
                <w:color w:val="000000"/>
                <w:sz w:val="14"/>
                <w:szCs w:val="14"/>
              </w:rPr>
            </w:pPr>
            <w:r w:rsidRPr="000E5DBF">
              <w:rPr>
                <w:color w:val="000000"/>
                <w:sz w:val="14"/>
                <w:szCs w:val="14"/>
              </w:rPr>
              <w:t>0,00</w:t>
            </w:r>
          </w:p>
        </w:tc>
        <w:tc>
          <w:tcPr>
            <w:tcW w:w="290" w:type="dxa"/>
            <w:tcBorders>
              <w:top w:val="nil"/>
              <w:left w:val="nil"/>
              <w:bottom w:val="single" w:sz="4" w:space="0" w:color="auto"/>
              <w:right w:val="single" w:sz="4" w:space="0" w:color="auto"/>
            </w:tcBorders>
            <w:shd w:val="clear" w:color="000000" w:fill="FFFFFF"/>
            <w:tcMar>
              <w:left w:w="0" w:type="dxa"/>
              <w:right w:w="0" w:type="dxa"/>
            </w:tcMar>
            <w:vAlign w:val="center"/>
          </w:tcPr>
          <w:p w14:paraId="7A59C3A9" w14:textId="77777777" w:rsidR="00F22587" w:rsidRPr="000E5DBF" w:rsidRDefault="00F22587" w:rsidP="008A5C11">
            <w:pPr>
              <w:jc w:val="center"/>
              <w:rPr>
                <w:color w:val="000000"/>
                <w:sz w:val="14"/>
                <w:szCs w:val="14"/>
              </w:rPr>
            </w:pPr>
            <w:r w:rsidRPr="000E5DBF">
              <w:rPr>
                <w:color w:val="000000"/>
                <w:sz w:val="14"/>
                <w:szCs w:val="14"/>
              </w:rPr>
              <w:t>0,00</w:t>
            </w:r>
          </w:p>
        </w:tc>
        <w:tc>
          <w:tcPr>
            <w:tcW w:w="425"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60B42919" w14:textId="77777777" w:rsidR="00F22587" w:rsidRPr="000E5DBF" w:rsidRDefault="00F22587" w:rsidP="008A5C11">
            <w:pPr>
              <w:jc w:val="center"/>
              <w:rPr>
                <w:color w:val="000000"/>
                <w:sz w:val="14"/>
                <w:szCs w:val="14"/>
              </w:rPr>
            </w:pPr>
            <w:r w:rsidRPr="000E5DBF">
              <w:rPr>
                <w:color w:val="000000"/>
                <w:sz w:val="14"/>
                <w:szCs w:val="14"/>
              </w:rPr>
              <w:t>0,00</w:t>
            </w:r>
          </w:p>
        </w:tc>
      </w:tr>
      <w:tr w:rsidR="00F22587" w:rsidRPr="000E5DBF" w14:paraId="33C41A97" w14:textId="77777777" w:rsidTr="008A5C11">
        <w:trPr>
          <w:cantSplit/>
          <w:trHeight w:val="263"/>
        </w:trPr>
        <w:tc>
          <w:tcPr>
            <w:tcW w:w="7491" w:type="dxa"/>
            <w:gridSpan w:val="11"/>
            <w:tcBorders>
              <w:top w:val="single" w:sz="4" w:space="0" w:color="auto"/>
              <w:left w:val="single" w:sz="4" w:space="0" w:color="auto"/>
              <w:bottom w:val="single" w:sz="4" w:space="0" w:color="auto"/>
              <w:right w:val="single" w:sz="4" w:space="0" w:color="000000"/>
            </w:tcBorders>
            <w:shd w:val="clear" w:color="auto" w:fill="auto"/>
            <w:tcMar>
              <w:left w:w="0" w:type="dxa"/>
              <w:right w:w="0" w:type="dxa"/>
            </w:tcMar>
            <w:vAlign w:val="center"/>
            <w:hideMark/>
          </w:tcPr>
          <w:p w14:paraId="6E668E0F" w14:textId="77777777" w:rsidR="00F22587" w:rsidRPr="000E5DBF" w:rsidRDefault="00F22587" w:rsidP="008A5C11">
            <w:pPr>
              <w:rPr>
                <w:color w:val="000000"/>
                <w:sz w:val="14"/>
                <w:szCs w:val="14"/>
              </w:rPr>
            </w:pPr>
            <w:r w:rsidRPr="000E5DBF">
              <w:rPr>
                <w:color w:val="000000"/>
                <w:sz w:val="14"/>
                <w:szCs w:val="14"/>
              </w:rPr>
              <w:t>ИТОГО по программе</w:t>
            </w:r>
          </w:p>
        </w:tc>
        <w:tc>
          <w:tcPr>
            <w:tcW w:w="568" w:type="dxa"/>
            <w:tcBorders>
              <w:top w:val="nil"/>
              <w:left w:val="nil"/>
              <w:bottom w:val="single" w:sz="4" w:space="0" w:color="auto"/>
              <w:right w:val="single" w:sz="4" w:space="0" w:color="auto"/>
            </w:tcBorders>
            <w:shd w:val="clear" w:color="000000" w:fill="FFFFFF"/>
            <w:tcMar>
              <w:left w:w="0" w:type="dxa"/>
              <w:right w:w="0" w:type="dxa"/>
            </w:tcMar>
            <w:vAlign w:val="center"/>
          </w:tcPr>
          <w:p w14:paraId="6F64BE92" w14:textId="77777777" w:rsidR="00F22587" w:rsidRPr="000E5DBF" w:rsidRDefault="00F22587" w:rsidP="008A5C11">
            <w:pPr>
              <w:ind w:left="-57" w:right="-57"/>
              <w:jc w:val="center"/>
              <w:rPr>
                <w:color w:val="000000"/>
                <w:sz w:val="14"/>
                <w:szCs w:val="14"/>
              </w:rPr>
            </w:pPr>
            <w:r w:rsidRPr="000E5DBF">
              <w:rPr>
                <w:color w:val="000000"/>
                <w:sz w:val="14"/>
                <w:szCs w:val="14"/>
              </w:rPr>
              <w:t>71880,34</w:t>
            </w:r>
          </w:p>
        </w:tc>
        <w:tc>
          <w:tcPr>
            <w:tcW w:w="443"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06EFE140" w14:textId="77777777" w:rsidR="00F22587" w:rsidRPr="000E5DBF" w:rsidRDefault="00F22587" w:rsidP="008A5C11">
            <w:pPr>
              <w:jc w:val="center"/>
              <w:rPr>
                <w:color w:val="000000"/>
                <w:sz w:val="14"/>
                <w:szCs w:val="14"/>
              </w:rPr>
            </w:pPr>
            <w:r w:rsidRPr="000E5DBF">
              <w:rPr>
                <w:color w:val="000000"/>
                <w:sz w:val="14"/>
                <w:szCs w:val="14"/>
              </w:rPr>
              <w:t>0,00</w:t>
            </w:r>
          </w:p>
        </w:tc>
        <w:tc>
          <w:tcPr>
            <w:tcW w:w="554" w:type="dxa"/>
            <w:tcBorders>
              <w:top w:val="nil"/>
              <w:left w:val="nil"/>
              <w:bottom w:val="single" w:sz="4" w:space="0" w:color="auto"/>
              <w:right w:val="single" w:sz="4" w:space="0" w:color="auto"/>
            </w:tcBorders>
            <w:shd w:val="clear" w:color="000000" w:fill="FFFFFF"/>
            <w:tcMar>
              <w:left w:w="0" w:type="dxa"/>
              <w:right w:w="0" w:type="dxa"/>
            </w:tcMar>
            <w:vAlign w:val="center"/>
          </w:tcPr>
          <w:p w14:paraId="3BA1119E" w14:textId="77777777" w:rsidR="00F22587" w:rsidRPr="000E5DBF" w:rsidRDefault="00F22587" w:rsidP="008A5C11">
            <w:pPr>
              <w:jc w:val="center"/>
              <w:rPr>
                <w:color w:val="000000"/>
                <w:sz w:val="14"/>
                <w:szCs w:val="14"/>
              </w:rPr>
            </w:pPr>
            <w:r w:rsidRPr="000E5DBF">
              <w:rPr>
                <w:color w:val="000000"/>
                <w:sz w:val="14"/>
                <w:szCs w:val="14"/>
              </w:rPr>
              <w:t>5623,18</w:t>
            </w:r>
          </w:p>
        </w:tc>
        <w:tc>
          <w:tcPr>
            <w:tcW w:w="567" w:type="dxa"/>
            <w:tcBorders>
              <w:top w:val="nil"/>
              <w:left w:val="nil"/>
              <w:bottom w:val="single" w:sz="4" w:space="0" w:color="auto"/>
              <w:right w:val="single" w:sz="4" w:space="0" w:color="auto"/>
            </w:tcBorders>
            <w:shd w:val="clear" w:color="000000" w:fill="FFFFFF"/>
            <w:tcMar>
              <w:left w:w="0" w:type="dxa"/>
              <w:right w:w="0" w:type="dxa"/>
            </w:tcMar>
            <w:vAlign w:val="center"/>
          </w:tcPr>
          <w:p w14:paraId="2D2DAB2C" w14:textId="77777777" w:rsidR="00F22587" w:rsidRPr="000E5DBF" w:rsidRDefault="00F22587" w:rsidP="008A5C11">
            <w:pPr>
              <w:jc w:val="center"/>
              <w:rPr>
                <w:color w:val="000000"/>
                <w:sz w:val="14"/>
                <w:szCs w:val="14"/>
              </w:rPr>
            </w:pPr>
            <w:r w:rsidRPr="000E5DBF">
              <w:rPr>
                <w:color w:val="000000"/>
                <w:sz w:val="14"/>
                <w:szCs w:val="14"/>
              </w:rPr>
              <w:t>6661,80</w:t>
            </w:r>
          </w:p>
        </w:tc>
        <w:tc>
          <w:tcPr>
            <w:tcW w:w="567" w:type="dxa"/>
            <w:tcBorders>
              <w:top w:val="nil"/>
              <w:left w:val="nil"/>
              <w:bottom w:val="single" w:sz="4" w:space="0" w:color="auto"/>
              <w:right w:val="single" w:sz="4" w:space="0" w:color="auto"/>
            </w:tcBorders>
            <w:shd w:val="clear" w:color="000000" w:fill="FFFFFF"/>
            <w:tcMar>
              <w:left w:w="0" w:type="dxa"/>
              <w:right w:w="0" w:type="dxa"/>
            </w:tcMar>
            <w:vAlign w:val="center"/>
          </w:tcPr>
          <w:p w14:paraId="4C0C897B" w14:textId="77777777" w:rsidR="00F22587" w:rsidRPr="000E5DBF" w:rsidRDefault="00F22587" w:rsidP="008A5C11">
            <w:pPr>
              <w:jc w:val="center"/>
              <w:rPr>
                <w:color w:val="000000"/>
                <w:sz w:val="14"/>
                <w:szCs w:val="14"/>
              </w:rPr>
            </w:pPr>
            <w:r w:rsidRPr="000E5DBF">
              <w:rPr>
                <w:color w:val="000000"/>
                <w:sz w:val="14"/>
                <w:szCs w:val="14"/>
              </w:rPr>
              <w:t>7459,20</w:t>
            </w:r>
          </w:p>
        </w:tc>
        <w:tc>
          <w:tcPr>
            <w:tcW w:w="561" w:type="dxa"/>
            <w:tcBorders>
              <w:top w:val="nil"/>
              <w:left w:val="nil"/>
              <w:bottom w:val="single" w:sz="4" w:space="0" w:color="auto"/>
              <w:right w:val="single" w:sz="4" w:space="0" w:color="auto"/>
            </w:tcBorders>
            <w:shd w:val="clear" w:color="000000" w:fill="FFFFFF"/>
            <w:tcMar>
              <w:left w:w="0" w:type="dxa"/>
              <w:right w:w="0" w:type="dxa"/>
            </w:tcMar>
            <w:vAlign w:val="center"/>
          </w:tcPr>
          <w:p w14:paraId="18030D00" w14:textId="77777777" w:rsidR="00F22587" w:rsidRPr="000E5DBF" w:rsidRDefault="00F22587" w:rsidP="008A5C11">
            <w:pPr>
              <w:jc w:val="center"/>
              <w:rPr>
                <w:color w:val="000000"/>
                <w:sz w:val="14"/>
                <w:szCs w:val="14"/>
              </w:rPr>
            </w:pPr>
            <w:r w:rsidRPr="000E5DBF">
              <w:rPr>
                <w:color w:val="000000"/>
                <w:sz w:val="14"/>
                <w:szCs w:val="14"/>
              </w:rPr>
              <w:t>7338,00</w:t>
            </w:r>
          </w:p>
        </w:tc>
        <w:tc>
          <w:tcPr>
            <w:tcW w:w="560" w:type="dxa"/>
            <w:tcBorders>
              <w:top w:val="nil"/>
              <w:left w:val="nil"/>
              <w:bottom w:val="single" w:sz="4" w:space="0" w:color="auto"/>
              <w:right w:val="single" w:sz="4" w:space="0" w:color="auto"/>
            </w:tcBorders>
            <w:shd w:val="clear" w:color="000000" w:fill="FFFFFF"/>
            <w:tcMar>
              <w:left w:w="0" w:type="dxa"/>
              <w:right w:w="0" w:type="dxa"/>
            </w:tcMar>
            <w:vAlign w:val="center"/>
          </w:tcPr>
          <w:p w14:paraId="48168042" w14:textId="77777777" w:rsidR="00F22587" w:rsidRPr="000E5DBF" w:rsidRDefault="00F22587" w:rsidP="008A5C11">
            <w:pPr>
              <w:jc w:val="center"/>
              <w:rPr>
                <w:color w:val="000000"/>
                <w:sz w:val="14"/>
                <w:szCs w:val="14"/>
              </w:rPr>
            </w:pPr>
            <w:r w:rsidRPr="000E5DBF">
              <w:rPr>
                <w:color w:val="000000"/>
                <w:sz w:val="14"/>
                <w:szCs w:val="14"/>
              </w:rPr>
              <w:t>4230,00</w:t>
            </w:r>
          </w:p>
        </w:tc>
        <w:tc>
          <w:tcPr>
            <w:tcW w:w="569" w:type="dxa"/>
            <w:tcBorders>
              <w:top w:val="nil"/>
              <w:left w:val="nil"/>
              <w:bottom w:val="single" w:sz="4" w:space="0" w:color="auto"/>
              <w:right w:val="single" w:sz="4" w:space="0" w:color="auto"/>
            </w:tcBorders>
            <w:shd w:val="clear" w:color="000000" w:fill="FFFFFF"/>
            <w:tcMar>
              <w:left w:w="0" w:type="dxa"/>
              <w:right w:w="0" w:type="dxa"/>
            </w:tcMar>
            <w:vAlign w:val="center"/>
          </w:tcPr>
          <w:p w14:paraId="224333DA" w14:textId="77777777" w:rsidR="00F22587" w:rsidRPr="000E5DBF" w:rsidRDefault="00F22587" w:rsidP="008A5C11">
            <w:pPr>
              <w:jc w:val="center"/>
              <w:rPr>
                <w:color w:val="000000"/>
                <w:sz w:val="14"/>
                <w:szCs w:val="14"/>
              </w:rPr>
            </w:pPr>
            <w:r w:rsidRPr="000E5DBF">
              <w:rPr>
                <w:color w:val="000000"/>
                <w:sz w:val="14"/>
                <w:szCs w:val="14"/>
              </w:rPr>
              <w:t>5198,40</w:t>
            </w:r>
          </w:p>
        </w:tc>
        <w:tc>
          <w:tcPr>
            <w:tcW w:w="567"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0728FDCD" w14:textId="77777777" w:rsidR="00F22587" w:rsidRPr="000E5DBF" w:rsidRDefault="00F22587" w:rsidP="008A5C11">
            <w:pPr>
              <w:jc w:val="center"/>
              <w:rPr>
                <w:color w:val="000000"/>
                <w:sz w:val="14"/>
                <w:szCs w:val="14"/>
              </w:rPr>
            </w:pPr>
            <w:r w:rsidRPr="000E5DBF">
              <w:rPr>
                <w:color w:val="000000"/>
                <w:sz w:val="14"/>
                <w:szCs w:val="14"/>
              </w:rPr>
              <w:t>4353,84</w:t>
            </w:r>
          </w:p>
        </w:tc>
        <w:tc>
          <w:tcPr>
            <w:tcW w:w="565" w:type="dxa"/>
            <w:tcBorders>
              <w:top w:val="nil"/>
              <w:left w:val="nil"/>
              <w:bottom w:val="single" w:sz="4" w:space="0" w:color="auto"/>
              <w:right w:val="single" w:sz="4" w:space="0" w:color="auto"/>
            </w:tcBorders>
            <w:shd w:val="clear" w:color="000000" w:fill="FFFFFF"/>
            <w:tcMar>
              <w:left w:w="0" w:type="dxa"/>
              <w:right w:w="0" w:type="dxa"/>
            </w:tcMar>
            <w:vAlign w:val="center"/>
          </w:tcPr>
          <w:p w14:paraId="4A9D5F83" w14:textId="77777777" w:rsidR="00F22587" w:rsidRPr="000E5DBF" w:rsidRDefault="00F22587" w:rsidP="008A5C11">
            <w:pPr>
              <w:jc w:val="center"/>
              <w:rPr>
                <w:color w:val="000000"/>
                <w:sz w:val="14"/>
                <w:szCs w:val="14"/>
              </w:rPr>
            </w:pPr>
            <w:r w:rsidRPr="000E5DBF">
              <w:rPr>
                <w:color w:val="000000"/>
                <w:sz w:val="14"/>
                <w:szCs w:val="14"/>
              </w:rPr>
              <w:t>7986,24</w:t>
            </w:r>
          </w:p>
        </w:tc>
        <w:tc>
          <w:tcPr>
            <w:tcW w:w="567" w:type="dxa"/>
            <w:tcBorders>
              <w:top w:val="nil"/>
              <w:left w:val="nil"/>
              <w:bottom w:val="single" w:sz="4" w:space="0" w:color="auto"/>
              <w:right w:val="single" w:sz="4" w:space="0" w:color="auto"/>
            </w:tcBorders>
            <w:shd w:val="clear" w:color="000000" w:fill="FFFFFF"/>
            <w:tcMar>
              <w:left w:w="0" w:type="dxa"/>
              <w:right w:w="0" w:type="dxa"/>
            </w:tcMar>
            <w:vAlign w:val="center"/>
          </w:tcPr>
          <w:p w14:paraId="12660DB8" w14:textId="77777777" w:rsidR="00F22587" w:rsidRPr="000E5DBF" w:rsidRDefault="00F22587" w:rsidP="008A5C11">
            <w:pPr>
              <w:jc w:val="center"/>
              <w:rPr>
                <w:color w:val="000000"/>
                <w:sz w:val="14"/>
                <w:szCs w:val="14"/>
              </w:rPr>
            </w:pPr>
            <w:r w:rsidRPr="000E5DBF">
              <w:rPr>
                <w:color w:val="000000"/>
                <w:sz w:val="14"/>
                <w:szCs w:val="14"/>
              </w:rPr>
              <w:t>5208,00</w:t>
            </w:r>
          </w:p>
        </w:tc>
        <w:tc>
          <w:tcPr>
            <w:tcW w:w="568" w:type="dxa"/>
            <w:tcBorders>
              <w:top w:val="nil"/>
              <w:left w:val="nil"/>
              <w:bottom w:val="single" w:sz="4" w:space="0" w:color="auto"/>
              <w:right w:val="single" w:sz="4" w:space="0" w:color="auto"/>
            </w:tcBorders>
            <w:shd w:val="clear" w:color="000000" w:fill="FFFFFF"/>
            <w:tcMar>
              <w:left w:w="0" w:type="dxa"/>
              <w:right w:w="0" w:type="dxa"/>
            </w:tcMar>
            <w:vAlign w:val="center"/>
          </w:tcPr>
          <w:p w14:paraId="7028F93F" w14:textId="77777777" w:rsidR="00F22587" w:rsidRPr="000E5DBF" w:rsidRDefault="00F22587" w:rsidP="008A5C11">
            <w:pPr>
              <w:jc w:val="center"/>
              <w:rPr>
                <w:color w:val="000000"/>
                <w:sz w:val="14"/>
                <w:szCs w:val="14"/>
              </w:rPr>
            </w:pPr>
            <w:r w:rsidRPr="000E5DBF">
              <w:rPr>
                <w:color w:val="000000"/>
                <w:sz w:val="14"/>
                <w:szCs w:val="14"/>
              </w:rPr>
              <w:t>5976,00</w:t>
            </w:r>
          </w:p>
        </w:tc>
        <w:tc>
          <w:tcPr>
            <w:tcW w:w="569" w:type="dxa"/>
            <w:tcBorders>
              <w:top w:val="nil"/>
              <w:left w:val="nil"/>
              <w:bottom w:val="single" w:sz="4" w:space="0" w:color="auto"/>
              <w:right w:val="single" w:sz="4" w:space="0" w:color="auto"/>
            </w:tcBorders>
            <w:shd w:val="clear" w:color="000000" w:fill="FFFFFF"/>
            <w:tcMar>
              <w:left w:w="0" w:type="dxa"/>
              <w:right w:w="0" w:type="dxa"/>
            </w:tcMar>
            <w:vAlign w:val="center"/>
          </w:tcPr>
          <w:p w14:paraId="6EEEE8EF" w14:textId="77777777" w:rsidR="00F22587" w:rsidRPr="000E5DBF" w:rsidRDefault="00F22587" w:rsidP="008A5C11">
            <w:pPr>
              <w:jc w:val="center"/>
              <w:rPr>
                <w:color w:val="000000"/>
                <w:sz w:val="14"/>
                <w:szCs w:val="14"/>
              </w:rPr>
            </w:pPr>
            <w:r w:rsidRPr="000E5DBF">
              <w:rPr>
                <w:color w:val="000000"/>
                <w:sz w:val="14"/>
                <w:szCs w:val="14"/>
              </w:rPr>
              <w:t>7137,80</w:t>
            </w:r>
          </w:p>
        </w:tc>
        <w:tc>
          <w:tcPr>
            <w:tcW w:w="562" w:type="dxa"/>
            <w:tcBorders>
              <w:top w:val="nil"/>
              <w:left w:val="nil"/>
              <w:bottom w:val="single" w:sz="4" w:space="0" w:color="auto"/>
              <w:right w:val="single" w:sz="4" w:space="0" w:color="auto"/>
            </w:tcBorders>
            <w:shd w:val="clear" w:color="000000" w:fill="FFFFFF"/>
            <w:tcMar>
              <w:left w:w="0" w:type="dxa"/>
              <w:right w:w="0" w:type="dxa"/>
            </w:tcMar>
            <w:vAlign w:val="center"/>
          </w:tcPr>
          <w:p w14:paraId="5E6B0D30" w14:textId="77777777" w:rsidR="00F22587" w:rsidRPr="000E5DBF" w:rsidRDefault="00F22587" w:rsidP="008A5C11">
            <w:pPr>
              <w:jc w:val="center"/>
              <w:rPr>
                <w:color w:val="000000"/>
                <w:sz w:val="14"/>
                <w:szCs w:val="14"/>
              </w:rPr>
            </w:pPr>
            <w:r w:rsidRPr="000E5DBF">
              <w:rPr>
                <w:color w:val="000000"/>
                <w:sz w:val="14"/>
                <w:szCs w:val="14"/>
              </w:rPr>
              <w:t>4707,80</w:t>
            </w:r>
          </w:p>
        </w:tc>
        <w:tc>
          <w:tcPr>
            <w:tcW w:w="290" w:type="dxa"/>
            <w:tcBorders>
              <w:top w:val="nil"/>
              <w:left w:val="nil"/>
              <w:bottom w:val="single" w:sz="4" w:space="0" w:color="auto"/>
              <w:right w:val="single" w:sz="4" w:space="0" w:color="auto"/>
            </w:tcBorders>
            <w:shd w:val="clear" w:color="000000" w:fill="FFFFFF"/>
            <w:tcMar>
              <w:left w:w="0" w:type="dxa"/>
              <w:right w:w="0" w:type="dxa"/>
            </w:tcMar>
            <w:vAlign w:val="center"/>
          </w:tcPr>
          <w:p w14:paraId="4BE5C7B9" w14:textId="77777777" w:rsidR="00F22587" w:rsidRPr="000E5DBF" w:rsidRDefault="00F22587" w:rsidP="008A5C11">
            <w:pPr>
              <w:jc w:val="center"/>
              <w:rPr>
                <w:color w:val="000000"/>
                <w:sz w:val="14"/>
                <w:szCs w:val="14"/>
              </w:rPr>
            </w:pPr>
            <w:r w:rsidRPr="000E5DBF">
              <w:rPr>
                <w:color w:val="000000"/>
                <w:sz w:val="14"/>
                <w:szCs w:val="14"/>
              </w:rPr>
              <w:t>0,00</w:t>
            </w:r>
          </w:p>
        </w:tc>
        <w:tc>
          <w:tcPr>
            <w:tcW w:w="425" w:type="dxa"/>
            <w:gridSpan w:val="2"/>
            <w:tcBorders>
              <w:top w:val="nil"/>
              <w:left w:val="nil"/>
              <w:bottom w:val="single" w:sz="4" w:space="0" w:color="auto"/>
              <w:right w:val="single" w:sz="4" w:space="0" w:color="auto"/>
            </w:tcBorders>
            <w:shd w:val="clear" w:color="000000" w:fill="FFFFFF"/>
            <w:tcMar>
              <w:left w:w="0" w:type="dxa"/>
              <w:right w:w="0" w:type="dxa"/>
            </w:tcMar>
            <w:vAlign w:val="center"/>
          </w:tcPr>
          <w:p w14:paraId="492BE384" w14:textId="77777777" w:rsidR="00F22587" w:rsidRPr="000E5DBF" w:rsidRDefault="00F22587" w:rsidP="008A5C11">
            <w:pPr>
              <w:jc w:val="center"/>
              <w:rPr>
                <w:color w:val="000000"/>
                <w:sz w:val="14"/>
                <w:szCs w:val="14"/>
              </w:rPr>
            </w:pPr>
            <w:r w:rsidRPr="000E5DBF">
              <w:rPr>
                <w:color w:val="000000"/>
                <w:sz w:val="14"/>
                <w:szCs w:val="14"/>
              </w:rPr>
              <w:t>0,00</w:t>
            </w:r>
          </w:p>
        </w:tc>
      </w:tr>
    </w:tbl>
    <w:p w14:paraId="053CF251" w14:textId="77777777" w:rsidR="00F22587" w:rsidRPr="000E5DBF" w:rsidRDefault="00F22587" w:rsidP="00F22587">
      <w:pPr>
        <w:rPr>
          <w:sz w:val="20"/>
          <w:szCs w:val="20"/>
        </w:rPr>
        <w:sectPr w:rsidR="00F22587" w:rsidRPr="000E5DBF" w:rsidSect="006B7E9E">
          <w:pgSz w:w="16838" w:h="11906" w:orient="landscape"/>
          <w:pgMar w:top="1276" w:right="1560" w:bottom="426" w:left="1418" w:header="708" w:footer="418" w:gutter="0"/>
          <w:cols w:space="708"/>
          <w:docGrid w:linePitch="360"/>
        </w:sectPr>
      </w:pPr>
    </w:p>
    <w:p w14:paraId="0E28D0A4" w14:textId="77777777" w:rsidR="00F22587" w:rsidRPr="000E5DBF" w:rsidRDefault="00F22587" w:rsidP="00F22587">
      <w:pPr>
        <w:jc w:val="center"/>
        <w:rPr>
          <w:b/>
          <w:bCs/>
          <w:sz w:val="28"/>
          <w:szCs w:val="28"/>
        </w:rPr>
      </w:pPr>
      <w:r w:rsidRPr="000E5DBF">
        <w:rPr>
          <w:b/>
          <w:bCs/>
          <w:sz w:val="28"/>
          <w:szCs w:val="28"/>
        </w:rPr>
        <w:t xml:space="preserve">Плановые значения показателей, достижение которых предусмотрено </w:t>
      </w:r>
    </w:p>
    <w:p w14:paraId="4ED8D46E" w14:textId="77777777" w:rsidR="00F22587" w:rsidRPr="000E5DBF" w:rsidRDefault="00F22587" w:rsidP="00F22587">
      <w:pPr>
        <w:jc w:val="center"/>
        <w:rPr>
          <w:b/>
          <w:bCs/>
          <w:sz w:val="28"/>
          <w:szCs w:val="28"/>
        </w:rPr>
      </w:pPr>
      <w:r w:rsidRPr="000E5DBF">
        <w:rPr>
          <w:b/>
          <w:bCs/>
          <w:sz w:val="28"/>
          <w:szCs w:val="28"/>
        </w:rPr>
        <w:t xml:space="preserve">в результате реализации мероприятий инвестиционной программы ООО «Управление котельных и тепловых сетей» </w:t>
      </w:r>
    </w:p>
    <w:p w14:paraId="6F5A6A48" w14:textId="77777777" w:rsidR="00F22587" w:rsidRPr="000E5DBF" w:rsidRDefault="00F22587" w:rsidP="00F22587">
      <w:pPr>
        <w:jc w:val="center"/>
        <w:rPr>
          <w:b/>
          <w:bCs/>
          <w:sz w:val="28"/>
          <w:szCs w:val="28"/>
        </w:rPr>
      </w:pPr>
      <w:r w:rsidRPr="000E5DBF">
        <w:rPr>
          <w:b/>
          <w:bCs/>
          <w:sz w:val="28"/>
          <w:szCs w:val="28"/>
        </w:rPr>
        <w:t>(г. Гурьевск), сфере теплоснабжения на 2019-2030 годы</w:t>
      </w:r>
    </w:p>
    <w:p w14:paraId="7AAC42B1" w14:textId="77777777" w:rsidR="00F22587" w:rsidRPr="000E5DBF" w:rsidRDefault="00F22587" w:rsidP="00F22587">
      <w:pPr>
        <w:autoSpaceDE w:val="0"/>
        <w:autoSpaceDN w:val="0"/>
        <w:adjustRightInd w:val="0"/>
        <w:ind w:left="4820"/>
        <w:jc w:val="center"/>
        <w:outlineLvl w:val="0"/>
        <w:rPr>
          <w:sz w:val="28"/>
          <w:szCs w:val="28"/>
        </w:rPr>
      </w:pPr>
    </w:p>
    <w:tbl>
      <w:tblPr>
        <w:tblW w:w="15508" w:type="dxa"/>
        <w:tblInd w:w="113" w:type="dxa"/>
        <w:tblLayout w:type="fixed"/>
        <w:tblLook w:val="04A0" w:firstRow="1" w:lastRow="0" w:firstColumn="1" w:lastColumn="0" w:noHBand="0" w:noVBand="1"/>
      </w:tblPr>
      <w:tblGrid>
        <w:gridCol w:w="456"/>
        <w:gridCol w:w="3003"/>
        <w:gridCol w:w="1275"/>
        <w:gridCol w:w="993"/>
        <w:gridCol w:w="992"/>
        <w:gridCol w:w="709"/>
        <w:gridCol w:w="709"/>
        <w:gridCol w:w="709"/>
        <w:gridCol w:w="708"/>
        <w:gridCol w:w="709"/>
        <w:gridCol w:w="709"/>
        <w:gridCol w:w="709"/>
        <w:gridCol w:w="708"/>
        <w:gridCol w:w="709"/>
        <w:gridCol w:w="709"/>
        <w:gridCol w:w="850"/>
        <w:gridCol w:w="851"/>
      </w:tblGrid>
      <w:tr w:rsidR="00F22587" w:rsidRPr="000E5DBF" w14:paraId="3275C67D" w14:textId="77777777" w:rsidTr="008A5C11">
        <w:trPr>
          <w:trHeight w:val="113"/>
        </w:trPr>
        <w:tc>
          <w:tcPr>
            <w:tcW w:w="456"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D8767ED" w14:textId="77777777" w:rsidR="00F22587" w:rsidRPr="000E5DBF" w:rsidRDefault="00F22587" w:rsidP="008A5C11">
            <w:pPr>
              <w:jc w:val="center"/>
              <w:rPr>
                <w:color w:val="000000"/>
                <w:sz w:val="16"/>
                <w:szCs w:val="16"/>
              </w:rPr>
            </w:pPr>
            <w:r w:rsidRPr="000E5DBF">
              <w:rPr>
                <w:color w:val="000000"/>
                <w:sz w:val="16"/>
                <w:szCs w:val="16"/>
              </w:rPr>
              <w:t>№ п/п</w:t>
            </w:r>
          </w:p>
        </w:tc>
        <w:tc>
          <w:tcPr>
            <w:tcW w:w="3003"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EAAD108" w14:textId="77777777" w:rsidR="00F22587" w:rsidRPr="000E5DBF" w:rsidRDefault="00F22587" w:rsidP="008A5C11">
            <w:pPr>
              <w:jc w:val="center"/>
              <w:rPr>
                <w:color w:val="000000"/>
                <w:sz w:val="16"/>
                <w:szCs w:val="16"/>
              </w:rPr>
            </w:pPr>
            <w:r w:rsidRPr="000E5DBF">
              <w:rPr>
                <w:color w:val="000000"/>
                <w:sz w:val="16"/>
                <w:szCs w:val="16"/>
              </w:rPr>
              <w:t>Наименование показателя</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A21E2E4" w14:textId="77777777" w:rsidR="00F22587" w:rsidRPr="000E5DBF" w:rsidRDefault="00F22587" w:rsidP="008A5C11">
            <w:pPr>
              <w:jc w:val="center"/>
              <w:rPr>
                <w:color w:val="000000"/>
                <w:sz w:val="16"/>
                <w:szCs w:val="16"/>
              </w:rPr>
            </w:pPr>
            <w:r w:rsidRPr="000E5DBF">
              <w:rPr>
                <w:color w:val="000000"/>
                <w:sz w:val="16"/>
                <w:szCs w:val="16"/>
              </w:rPr>
              <w:t>Ед. изм.</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10A2D82" w14:textId="77777777" w:rsidR="00F22587" w:rsidRPr="000E5DBF" w:rsidRDefault="00F22587" w:rsidP="008A5C11">
            <w:pPr>
              <w:jc w:val="center"/>
              <w:rPr>
                <w:color w:val="000000"/>
                <w:sz w:val="16"/>
                <w:szCs w:val="16"/>
              </w:rPr>
            </w:pPr>
            <w:r w:rsidRPr="000E5DBF">
              <w:rPr>
                <w:color w:val="000000"/>
                <w:sz w:val="16"/>
                <w:szCs w:val="16"/>
              </w:rPr>
              <w:t>Фактические значения</w:t>
            </w:r>
          </w:p>
        </w:tc>
        <w:tc>
          <w:tcPr>
            <w:tcW w:w="9781" w:type="dxa"/>
            <w:gridSpan w:val="13"/>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E807E30" w14:textId="77777777" w:rsidR="00F22587" w:rsidRPr="000E5DBF" w:rsidRDefault="00F22587" w:rsidP="008A5C11">
            <w:pPr>
              <w:jc w:val="center"/>
              <w:rPr>
                <w:color w:val="000000"/>
                <w:sz w:val="16"/>
                <w:szCs w:val="16"/>
              </w:rPr>
            </w:pPr>
            <w:r w:rsidRPr="000E5DBF">
              <w:rPr>
                <w:color w:val="000000"/>
                <w:sz w:val="16"/>
                <w:szCs w:val="16"/>
              </w:rPr>
              <w:t>Плановые значения</w:t>
            </w:r>
          </w:p>
        </w:tc>
      </w:tr>
      <w:tr w:rsidR="00F22587" w:rsidRPr="000E5DBF" w14:paraId="2CCB23E0" w14:textId="77777777" w:rsidTr="008A5C11">
        <w:trPr>
          <w:trHeight w:val="73"/>
        </w:trPr>
        <w:tc>
          <w:tcPr>
            <w:tcW w:w="45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B4C7516" w14:textId="77777777" w:rsidR="00F22587" w:rsidRPr="000E5DBF" w:rsidRDefault="00F22587" w:rsidP="008A5C11">
            <w:pPr>
              <w:rPr>
                <w:color w:val="000000"/>
                <w:sz w:val="16"/>
                <w:szCs w:val="16"/>
              </w:rPr>
            </w:pPr>
          </w:p>
        </w:tc>
        <w:tc>
          <w:tcPr>
            <w:tcW w:w="3003"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F34B85D" w14:textId="77777777" w:rsidR="00F22587" w:rsidRPr="000E5DBF" w:rsidRDefault="00F22587" w:rsidP="008A5C11">
            <w:pPr>
              <w:rPr>
                <w:color w:val="000000"/>
                <w:sz w:val="16"/>
                <w:szCs w:val="16"/>
              </w:rPr>
            </w:pPr>
          </w:p>
        </w:tc>
        <w:tc>
          <w:tcPr>
            <w:tcW w:w="127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491ACDD" w14:textId="77777777" w:rsidR="00F22587" w:rsidRPr="000E5DBF" w:rsidRDefault="00F22587" w:rsidP="008A5C11">
            <w:pPr>
              <w:rPr>
                <w:color w:val="000000"/>
                <w:sz w:val="16"/>
                <w:szCs w:val="16"/>
              </w:rPr>
            </w:pPr>
          </w:p>
        </w:tc>
        <w:tc>
          <w:tcPr>
            <w:tcW w:w="993"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3A17578" w14:textId="77777777" w:rsidR="00F22587" w:rsidRPr="000E5DBF" w:rsidRDefault="00F22587" w:rsidP="008A5C11">
            <w:pPr>
              <w:rPr>
                <w:color w:val="000000"/>
                <w:sz w:val="16"/>
                <w:szCs w:val="16"/>
              </w:rPr>
            </w:pPr>
          </w:p>
        </w:tc>
        <w:tc>
          <w:tcPr>
            <w:tcW w:w="992"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4247EF9" w14:textId="77777777" w:rsidR="00F22587" w:rsidRPr="000E5DBF" w:rsidRDefault="00F22587" w:rsidP="008A5C11">
            <w:pPr>
              <w:jc w:val="center"/>
              <w:rPr>
                <w:color w:val="000000"/>
                <w:sz w:val="16"/>
                <w:szCs w:val="16"/>
              </w:rPr>
            </w:pPr>
            <w:proofErr w:type="gramStart"/>
            <w:r w:rsidRPr="000E5DBF">
              <w:rPr>
                <w:color w:val="000000"/>
                <w:sz w:val="16"/>
                <w:szCs w:val="16"/>
              </w:rPr>
              <w:t>Утвержден-ный</w:t>
            </w:r>
            <w:proofErr w:type="gramEnd"/>
            <w:r w:rsidRPr="000E5DBF">
              <w:rPr>
                <w:color w:val="000000"/>
                <w:sz w:val="16"/>
                <w:szCs w:val="16"/>
              </w:rPr>
              <w:t xml:space="preserve"> период </w:t>
            </w:r>
          </w:p>
        </w:tc>
        <w:tc>
          <w:tcPr>
            <w:tcW w:w="8789" w:type="dxa"/>
            <w:gridSpan w:val="12"/>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727CC08" w14:textId="77777777" w:rsidR="00F22587" w:rsidRPr="000E5DBF" w:rsidRDefault="00F22587" w:rsidP="008A5C11">
            <w:pPr>
              <w:jc w:val="center"/>
              <w:rPr>
                <w:color w:val="000000"/>
                <w:sz w:val="16"/>
                <w:szCs w:val="16"/>
              </w:rPr>
            </w:pPr>
            <w:r w:rsidRPr="000E5DBF">
              <w:rPr>
                <w:color w:val="000000"/>
                <w:sz w:val="16"/>
                <w:szCs w:val="16"/>
              </w:rPr>
              <w:t>в т.ч. по годам реализации</w:t>
            </w:r>
          </w:p>
        </w:tc>
      </w:tr>
      <w:tr w:rsidR="00F22587" w:rsidRPr="000E5DBF" w14:paraId="1EF031EF" w14:textId="77777777" w:rsidTr="008A5C11">
        <w:trPr>
          <w:trHeight w:val="60"/>
        </w:trPr>
        <w:tc>
          <w:tcPr>
            <w:tcW w:w="45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82C2178" w14:textId="77777777" w:rsidR="00F22587" w:rsidRPr="000E5DBF" w:rsidRDefault="00F22587" w:rsidP="008A5C11">
            <w:pPr>
              <w:rPr>
                <w:color w:val="000000"/>
                <w:sz w:val="16"/>
                <w:szCs w:val="16"/>
              </w:rPr>
            </w:pPr>
          </w:p>
        </w:tc>
        <w:tc>
          <w:tcPr>
            <w:tcW w:w="3003"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00CAAF3" w14:textId="77777777" w:rsidR="00F22587" w:rsidRPr="000E5DBF" w:rsidRDefault="00F22587" w:rsidP="008A5C11">
            <w:pPr>
              <w:rPr>
                <w:color w:val="000000"/>
                <w:sz w:val="16"/>
                <w:szCs w:val="16"/>
              </w:rPr>
            </w:pPr>
          </w:p>
        </w:tc>
        <w:tc>
          <w:tcPr>
            <w:tcW w:w="127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106E227" w14:textId="77777777" w:rsidR="00F22587" w:rsidRPr="000E5DBF" w:rsidRDefault="00F22587" w:rsidP="008A5C11">
            <w:pPr>
              <w:rPr>
                <w:color w:val="000000"/>
                <w:sz w:val="16"/>
                <w:szCs w:val="16"/>
              </w:rPr>
            </w:pPr>
          </w:p>
        </w:tc>
        <w:tc>
          <w:tcPr>
            <w:tcW w:w="993"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01EBCA6" w14:textId="77777777" w:rsidR="00F22587" w:rsidRPr="000E5DBF" w:rsidRDefault="00F22587" w:rsidP="008A5C11">
            <w:pPr>
              <w:rPr>
                <w:color w:val="000000"/>
                <w:sz w:val="16"/>
                <w:szCs w:val="16"/>
              </w:rPr>
            </w:pPr>
          </w:p>
        </w:tc>
        <w:tc>
          <w:tcPr>
            <w:tcW w:w="992"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5637F4E9" w14:textId="77777777" w:rsidR="00F22587" w:rsidRPr="000E5DBF" w:rsidRDefault="00F22587" w:rsidP="008A5C11">
            <w:pPr>
              <w:rPr>
                <w:color w:val="000000"/>
                <w:sz w:val="16"/>
                <w:szCs w:val="16"/>
              </w:rPr>
            </w:pP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BBB68DC" w14:textId="77777777" w:rsidR="00F22587" w:rsidRPr="000E5DBF" w:rsidRDefault="00F22587" w:rsidP="008A5C11">
            <w:pPr>
              <w:jc w:val="center"/>
              <w:rPr>
                <w:color w:val="000000"/>
                <w:sz w:val="16"/>
                <w:szCs w:val="16"/>
              </w:rPr>
            </w:pPr>
            <w:r w:rsidRPr="000E5DBF">
              <w:rPr>
                <w:color w:val="000000"/>
                <w:sz w:val="16"/>
                <w:szCs w:val="16"/>
              </w:rPr>
              <w:t>2019</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FB28E13" w14:textId="77777777" w:rsidR="00F22587" w:rsidRPr="000E5DBF" w:rsidRDefault="00F22587" w:rsidP="008A5C11">
            <w:pPr>
              <w:jc w:val="center"/>
              <w:rPr>
                <w:color w:val="000000"/>
                <w:sz w:val="16"/>
                <w:szCs w:val="16"/>
              </w:rPr>
            </w:pPr>
            <w:r w:rsidRPr="000E5DBF">
              <w:rPr>
                <w:color w:val="000000"/>
                <w:sz w:val="16"/>
                <w:szCs w:val="16"/>
              </w:rPr>
              <w:t>2020</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00133B0" w14:textId="77777777" w:rsidR="00F22587" w:rsidRPr="000E5DBF" w:rsidRDefault="00F22587" w:rsidP="008A5C11">
            <w:pPr>
              <w:jc w:val="center"/>
              <w:rPr>
                <w:color w:val="000000"/>
                <w:sz w:val="16"/>
                <w:szCs w:val="16"/>
              </w:rPr>
            </w:pPr>
            <w:r w:rsidRPr="000E5DBF">
              <w:rPr>
                <w:color w:val="000000"/>
                <w:sz w:val="16"/>
                <w:szCs w:val="16"/>
              </w:rPr>
              <w:t>2021</w:t>
            </w:r>
          </w:p>
        </w:tc>
        <w:tc>
          <w:tcPr>
            <w:tcW w:w="70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28B709" w14:textId="77777777" w:rsidR="00F22587" w:rsidRPr="000E5DBF" w:rsidRDefault="00F22587" w:rsidP="008A5C11">
            <w:pPr>
              <w:jc w:val="center"/>
              <w:rPr>
                <w:color w:val="000000"/>
                <w:sz w:val="16"/>
                <w:szCs w:val="16"/>
              </w:rPr>
            </w:pPr>
            <w:r w:rsidRPr="000E5DBF">
              <w:rPr>
                <w:color w:val="000000"/>
                <w:sz w:val="16"/>
                <w:szCs w:val="16"/>
              </w:rPr>
              <w:t>2022</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02B4C7" w14:textId="77777777" w:rsidR="00F22587" w:rsidRPr="000E5DBF" w:rsidRDefault="00F22587" w:rsidP="008A5C11">
            <w:pPr>
              <w:jc w:val="center"/>
              <w:rPr>
                <w:color w:val="000000"/>
                <w:sz w:val="16"/>
                <w:szCs w:val="16"/>
              </w:rPr>
            </w:pPr>
            <w:r w:rsidRPr="000E5DBF">
              <w:rPr>
                <w:color w:val="000000"/>
                <w:sz w:val="16"/>
                <w:szCs w:val="16"/>
              </w:rPr>
              <w:t>2023</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DE0E56" w14:textId="77777777" w:rsidR="00F22587" w:rsidRPr="000E5DBF" w:rsidRDefault="00F22587" w:rsidP="008A5C11">
            <w:pPr>
              <w:jc w:val="center"/>
              <w:rPr>
                <w:color w:val="000000"/>
                <w:sz w:val="16"/>
                <w:szCs w:val="16"/>
              </w:rPr>
            </w:pPr>
            <w:r w:rsidRPr="000E5DBF">
              <w:rPr>
                <w:color w:val="000000"/>
                <w:sz w:val="16"/>
                <w:szCs w:val="16"/>
              </w:rPr>
              <w:t>2024</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D8BD21" w14:textId="77777777" w:rsidR="00F22587" w:rsidRPr="000E5DBF" w:rsidRDefault="00F22587" w:rsidP="008A5C11">
            <w:pPr>
              <w:jc w:val="center"/>
              <w:rPr>
                <w:color w:val="000000"/>
                <w:sz w:val="16"/>
                <w:szCs w:val="16"/>
              </w:rPr>
            </w:pPr>
            <w:r w:rsidRPr="000E5DBF">
              <w:rPr>
                <w:color w:val="000000"/>
                <w:sz w:val="16"/>
                <w:szCs w:val="16"/>
              </w:rPr>
              <w:t>2025</w:t>
            </w:r>
          </w:p>
        </w:tc>
        <w:tc>
          <w:tcPr>
            <w:tcW w:w="70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DC6432" w14:textId="77777777" w:rsidR="00F22587" w:rsidRPr="000E5DBF" w:rsidRDefault="00F22587" w:rsidP="008A5C11">
            <w:pPr>
              <w:jc w:val="center"/>
              <w:rPr>
                <w:color w:val="000000"/>
                <w:sz w:val="16"/>
                <w:szCs w:val="16"/>
              </w:rPr>
            </w:pPr>
            <w:r w:rsidRPr="000E5DBF">
              <w:rPr>
                <w:color w:val="000000"/>
                <w:sz w:val="16"/>
                <w:szCs w:val="16"/>
              </w:rPr>
              <w:t>2026</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FC9765" w14:textId="77777777" w:rsidR="00F22587" w:rsidRPr="000E5DBF" w:rsidRDefault="00F22587" w:rsidP="008A5C11">
            <w:pPr>
              <w:jc w:val="center"/>
              <w:rPr>
                <w:color w:val="000000"/>
                <w:sz w:val="16"/>
                <w:szCs w:val="16"/>
              </w:rPr>
            </w:pPr>
            <w:r w:rsidRPr="000E5DBF">
              <w:rPr>
                <w:color w:val="000000"/>
                <w:sz w:val="16"/>
                <w:szCs w:val="16"/>
              </w:rPr>
              <w:t>2027</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48F799" w14:textId="77777777" w:rsidR="00F22587" w:rsidRPr="000E5DBF" w:rsidRDefault="00F22587" w:rsidP="008A5C11">
            <w:pPr>
              <w:jc w:val="center"/>
              <w:rPr>
                <w:color w:val="000000"/>
                <w:sz w:val="16"/>
                <w:szCs w:val="16"/>
              </w:rPr>
            </w:pPr>
            <w:r w:rsidRPr="000E5DBF">
              <w:rPr>
                <w:color w:val="000000"/>
                <w:sz w:val="16"/>
                <w:szCs w:val="16"/>
              </w:rPr>
              <w:t>2028</w:t>
            </w:r>
          </w:p>
        </w:tc>
        <w:tc>
          <w:tcPr>
            <w:tcW w:w="85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4F96CD" w14:textId="77777777" w:rsidR="00F22587" w:rsidRPr="000E5DBF" w:rsidRDefault="00F22587" w:rsidP="008A5C11">
            <w:pPr>
              <w:jc w:val="center"/>
              <w:rPr>
                <w:color w:val="000000"/>
                <w:sz w:val="16"/>
                <w:szCs w:val="16"/>
              </w:rPr>
            </w:pPr>
            <w:r w:rsidRPr="000E5DBF">
              <w:rPr>
                <w:color w:val="000000"/>
                <w:sz w:val="16"/>
                <w:szCs w:val="16"/>
              </w:rPr>
              <w:t>2029</w:t>
            </w:r>
          </w:p>
        </w:tc>
        <w:tc>
          <w:tcPr>
            <w:tcW w:w="85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5917BB" w14:textId="77777777" w:rsidR="00F22587" w:rsidRPr="000E5DBF" w:rsidRDefault="00F22587" w:rsidP="008A5C11">
            <w:pPr>
              <w:jc w:val="center"/>
              <w:rPr>
                <w:color w:val="000000"/>
                <w:sz w:val="16"/>
                <w:szCs w:val="16"/>
              </w:rPr>
            </w:pPr>
            <w:r w:rsidRPr="000E5DBF">
              <w:rPr>
                <w:color w:val="000000"/>
                <w:sz w:val="16"/>
                <w:szCs w:val="16"/>
              </w:rPr>
              <w:t>2030</w:t>
            </w:r>
          </w:p>
        </w:tc>
      </w:tr>
      <w:tr w:rsidR="00F22587" w:rsidRPr="000E5DBF" w14:paraId="0C8A2E23" w14:textId="77777777" w:rsidTr="008A5C11">
        <w:trPr>
          <w:trHeight w:val="122"/>
        </w:trPr>
        <w:tc>
          <w:tcPr>
            <w:tcW w:w="456"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FB85EDC" w14:textId="77777777" w:rsidR="00F22587" w:rsidRPr="000E5DBF" w:rsidRDefault="00F22587" w:rsidP="008A5C11">
            <w:pPr>
              <w:jc w:val="center"/>
              <w:rPr>
                <w:color w:val="000000"/>
                <w:sz w:val="16"/>
                <w:szCs w:val="16"/>
              </w:rPr>
            </w:pPr>
            <w:r w:rsidRPr="000E5DBF">
              <w:rPr>
                <w:color w:val="000000"/>
                <w:sz w:val="16"/>
                <w:szCs w:val="16"/>
              </w:rPr>
              <w:t>1</w:t>
            </w:r>
          </w:p>
        </w:tc>
        <w:tc>
          <w:tcPr>
            <w:tcW w:w="3003"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F1C113C" w14:textId="77777777" w:rsidR="00F22587" w:rsidRPr="000E5DBF" w:rsidRDefault="00F22587" w:rsidP="008A5C11">
            <w:pPr>
              <w:jc w:val="center"/>
              <w:rPr>
                <w:color w:val="000000"/>
                <w:sz w:val="16"/>
                <w:szCs w:val="16"/>
              </w:rPr>
            </w:pPr>
            <w:r w:rsidRPr="000E5DBF">
              <w:rPr>
                <w:color w:val="000000"/>
                <w:sz w:val="16"/>
                <w:szCs w:val="16"/>
              </w:rPr>
              <w:t>2</w:t>
            </w:r>
          </w:p>
        </w:tc>
        <w:tc>
          <w:tcPr>
            <w:tcW w:w="1275"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2CE199D" w14:textId="77777777" w:rsidR="00F22587" w:rsidRPr="000E5DBF" w:rsidRDefault="00F22587" w:rsidP="008A5C11">
            <w:pPr>
              <w:jc w:val="center"/>
              <w:rPr>
                <w:color w:val="000000"/>
                <w:sz w:val="16"/>
                <w:szCs w:val="16"/>
              </w:rPr>
            </w:pPr>
            <w:r w:rsidRPr="000E5DBF">
              <w:rPr>
                <w:color w:val="000000"/>
                <w:sz w:val="16"/>
                <w:szCs w:val="16"/>
              </w:rPr>
              <w:t>3</w:t>
            </w:r>
          </w:p>
        </w:tc>
        <w:tc>
          <w:tcPr>
            <w:tcW w:w="993"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7B98EAD" w14:textId="77777777" w:rsidR="00F22587" w:rsidRPr="000E5DBF" w:rsidRDefault="00F22587" w:rsidP="008A5C11">
            <w:pPr>
              <w:jc w:val="center"/>
              <w:rPr>
                <w:color w:val="000000"/>
                <w:sz w:val="16"/>
                <w:szCs w:val="16"/>
              </w:rPr>
            </w:pPr>
            <w:r w:rsidRPr="000E5DBF">
              <w:rPr>
                <w:color w:val="000000"/>
                <w:sz w:val="16"/>
                <w:szCs w:val="16"/>
              </w:rPr>
              <w:t>4</w:t>
            </w:r>
          </w:p>
        </w:tc>
        <w:tc>
          <w:tcPr>
            <w:tcW w:w="992"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4A3593E" w14:textId="77777777" w:rsidR="00F22587" w:rsidRPr="000E5DBF" w:rsidRDefault="00F22587" w:rsidP="008A5C11">
            <w:pPr>
              <w:jc w:val="center"/>
              <w:rPr>
                <w:color w:val="000000"/>
                <w:sz w:val="16"/>
                <w:szCs w:val="16"/>
              </w:rPr>
            </w:pPr>
            <w:r w:rsidRPr="000E5DBF">
              <w:rPr>
                <w:color w:val="000000"/>
                <w:sz w:val="16"/>
                <w:szCs w:val="16"/>
              </w:rPr>
              <w:t>5</w:t>
            </w:r>
          </w:p>
        </w:tc>
        <w:tc>
          <w:tcPr>
            <w:tcW w:w="709"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9A3638E" w14:textId="77777777" w:rsidR="00F22587" w:rsidRPr="000E5DBF" w:rsidRDefault="00F22587" w:rsidP="008A5C11">
            <w:pPr>
              <w:jc w:val="center"/>
              <w:rPr>
                <w:color w:val="000000"/>
                <w:sz w:val="16"/>
                <w:szCs w:val="16"/>
              </w:rPr>
            </w:pPr>
            <w:r w:rsidRPr="000E5DBF">
              <w:rPr>
                <w:color w:val="000000"/>
                <w:sz w:val="16"/>
                <w:szCs w:val="16"/>
              </w:rPr>
              <w:t>6</w:t>
            </w:r>
          </w:p>
        </w:tc>
        <w:tc>
          <w:tcPr>
            <w:tcW w:w="709"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C2F3C18" w14:textId="77777777" w:rsidR="00F22587" w:rsidRPr="000E5DBF" w:rsidRDefault="00F22587" w:rsidP="008A5C11">
            <w:pPr>
              <w:jc w:val="center"/>
              <w:rPr>
                <w:color w:val="000000"/>
                <w:sz w:val="16"/>
                <w:szCs w:val="16"/>
              </w:rPr>
            </w:pPr>
            <w:r w:rsidRPr="000E5DBF">
              <w:rPr>
                <w:color w:val="000000"/>
                <w:sz w:val="16"/>
                <w:szCs w:val="16"/>
              </w:rPr>
              <w:t>7</w:t>
            </w:r>
          </w:p>
        </w:tc>
        <w:tc>
          <w:tcPr>
            <w:tcW w:w="709"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B2121CA" w14:textId="77777777" w:rsidR="00F22587" w:rsidRPr="000E5DBF" w:rsidRDefault="00F22587" w:rsidP="008A5C11">
            <w:pPr>
              <w:jc w:val="center"/>
              <w:rPr>
                <w:color w:val="000000"/>
                <w:sz w:val="16"/>
                <w:szCs w:val="16"/>
              </w:rPr>
            </w:pPr>
            <w:r w:rsidRPr="000E5DBF">
              <w:rPr>
                <w:color w:val="000000"/>
                <w:sz w:val="16"/>
                <w:szCs w:val="16"/>
              </w:rPr>
              <w:t>8</w:t>
            </w:r>
          </w:p>
        </w:tc>
        <w:tc>
          <w:tcPr>
            <w:tcW w:w="708"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119F749" w14:textId="77777777" w:rsidR="00F22587" w:rsidRPr="000E5DBF" w:rsidRDefault="00F22587" w:rsidP="008A5C11">
            <w:pPr>
              <w:jc w:val="center"/>
              <w:rPr>
                <w:color w:val="000000"/>
                <w:sz w:val="16"/>
                <w:szCs w:val="16"/>
              </w:rPr>
            </w:pPr>
            <w:r w:rsidRPr="000E5DBF">
              <w:rPr>
                <w:color w:val="000000"/>
                <w:sz w:val="16"/>
                <w:szCs w:val="16"/>
              </w:rPr>
              <w:t>9</w:t>
            </w:r>
          </w:p>
        </w:tc>
        <w:tc>
          <w:tcPr>
            <w:tcW w:w="70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C306823" w14:textId="77777777" w:rsidR="00F22587" w:rsidRPr="000E5DBF" w:rsidRDefault="00F22587" w:rsidP="008A5C11">
            <w:pPr>
              <w:jc w:val="center"/>
              <w:rPr>
                <w:color w:val="000000"/>
                <w:sz w:val="16"/>
                <w:szCs w:val="16"/>
              </w:rPr>
            </w:pPr>
            <w:r w:rsidRPr="000E5DBF">
              <w:rPr>
                <w:color w:val="000000"/>
                <w:sz w:val="16"/>
                <w:szCs w:val="16"/>
              </w:rPr>
              <w:t>10</w:t>
            </w:r>
          </w:p>
        </w:tc>
        <w:tc>
          <w:tcPr>
            <w:tcW w:w="70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817DE88" w14:textId="77777777" w:rsidR="00F22587" w:rsidRPr="000E5DBF" w:rsidRDefault="00F22587" w:rsidP="008A5C11">
            <w:pPr>
              <w:jc w:val="center"/>
              <w:rPr>
                <w:color w:val="000000"/>
                <w:sz w:val="16"/>
                <w:szCs w:val="16"/>
              </w:rPr>
            </w:pPr>
            <w:r w:rsidRPr="000E5DBF">
              <w:rPr>
                <w:color w:val="000000"/>
                <w:sz w:val="16"/>
                <w:szCs w:val="16"/>
              </w:rPr>
              <w:t>11</w:t>
            </w:r>
          </w:p>
        </w:tc>
        <w:tc>
          <w:tcPr>
            <w:tcW w:w="70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6C0DCC0" w14:textId="77777777" w:rsidR="00F22587" w:rsidRPr="000E5DBF" w:rsidRDefault="00F22587" w:rsidP="008A5C11">
            <w:pPr>
              <w:jc w:val="center"/>
              <w:rPr>
                <w:color w:val="000000"/>
                <w:sz w:val="16"/>
                <w:szCs w:val="16"/>
              </w:rPr>
            </w:pPr>
            <w:r w:rsidRPr="000E5DBF">
              <w:rPr>
                <w:color w:val="000000"/>
                <w:sz w:val="16"/>
                <w:szCs w:val="16"/>
              </w:rPr>
              <w:t>12</w:t>
            </w:r>
          </w:p>
        </w:tc>
        <w:tc>
          <w:tcPr>
            <w:tcW w:w="708"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FE18751" w14:textId="77777777" w:rsidR="00F22587" w:rsidRPr="000E5DBF" w:rsidRDefault="00F22587" w:rsidP="008A5C11">
            <w:pPr>
              <w:jc w:val="center"/>
              <w:rPr>
                <w:color w:val="000000"/>
                <w:sz w:val="16"/>
                <w:szCs w:val="16"/>
              </w:rPr>
            </w:pPr>
            <w:r w:rsidRPr="000E5DBF">
              <w:rPr>
                <w:color w:val="000000"/>
                <w:sz w:val="16"/>
                <w:szCs w:val="16"/>
              </w:rPr>
              <w:t>13</w:t>
            </w:r>
          </w:p>
        </w:tc>
        <w:tc>
          <w:tcPr>
            <w:tcW w:w="70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A1118E7" w14:textId="77777777" w:rsidR="00F22587" w:rsidRPr="000E5DBF" w:rsidRDefault="00F22587" w:rsidP="008A5C11">
            <w:pPr>
              <w:jc w:val="center"/>
              <w:rPr>
                <w:color w:val="000000"/>
                <w:sz w:val="16"/>
                <w:szCs w:val="16"/>
              </w:rPr>
            </w:pPr>
            <w:r w:rsidRPr="000E5DBF">
              <w:rPr>
                <w:color w:val="000000"/>
                <w:sz w:val="16"/>
                <w:szCs w:val="16"/>
              </w:rPr>
              <w:t>14</w:t>
            </w:r>
          </w:p>
        </w:tc>
        <w:tc>
          <w:tcPr>
            <w:tcW w:w="70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CF50DAB" w14:textId="77777777" w:rsidR="00F22587" w:rsidRPr="000E5DBF" w:rsidRDefault="00F22587" w:rsidP="008A5C11">
            <w:pPr>
              <w:jc w:val="center"/>
              <w:rPr>
                <w:color w:val="000000"/>
                <w:sz w:val="16"/>
                <w:szCs w:val="16"/>
              </w:rPr>
            </w:pPr>
            <w:r w:rsidRPr="000E5DBF">
              <w:rPr>
                <w:color w:val="000000"/>
                <w:sz w:val="16"/>
                <w:szCs w:val="16"/>
              </w:rPr>
              <w:t>15</w:t>
            </w:r>
          </w:p>
        </w:tc>
        <w:tc>
          <w:tcPr>
            <w:tcW w:w="850"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01A11FF" w14:textId="77777777" w:rsidR="00F22587" w:rsidRPr="000E5DBF" w:rsidRDefault="00F22587" w:rsidP="008A5C11">
            <w:pPr>
              <w:jc w:val="center"/>
              <w:rPr>
                <w:color w:val="000000"/>
                <w:sz w:val="16"/>
                <w:szCs w:val="16"/>
              </w:rPr>
            </w:pPr>
            <w:r w:rsidRPr="000E5DBF">
              <w:rPr>
                <w:color w:val="000000"/>
                <w:sz w:val="16"/>
                <w:szCs w:val="16"/>
              </w:rPr>
              <w:t>16</w:t>
            </w:r>
          </w:p>
        </w:tc>
        <w:tc>
          <w:tcPr>
            <w:tcW w:w="851"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33111F2" w14:textId="77777777" w:rsidR="00F22587" w:rsidRPr="000E5DBF" w:rsidRDefault="00F22587" w:rsidP="008A5C11">
            <w:pPr>
              <w:jc w:val="center"/>
              <w:rPr>
                <w:color w:val="000000"/>
                <w:sz w:val="16"/>
                <w:szCs w:val="16"/>
              </w:rPr>
            </w:pPr>
            <w:r w:rsidRPr="000E5DBF">
              <w:rPr>
                <w:color w:val="000000"/>
                <w:sz w:val="16"/>
                <w:szCs w:val="16"/>
              </w:rPr>
              <w:t>17</w:t>
            </w:r>
          </w:p>
        </w:tc>
      </w:tr>
      <w:tr w:rsidR="00F22587" w:rsidRPr="000E5DBF" w14:paraId="6FCC844A" w14:textId="77777777" w:rsidTr="008A5C11">
        <w:trPr>
          <w:trHeight w:val="458"/>
        </w:trPr>
        <w:tc>
          <w:tcPr>
            <w:tcW w:w="456"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C189F90" w14:textId="77777777" w:rsidR="00F22587" w:rsidRPr="000E5DBF" w:rsidRDefault="00F22587" w:rsidP="008A5C11">
            <w:pPr>
              <w:jc w:val="center"/>
              <w:rPr>
                <w:color w:val="000000"/>
                <w:sz w:val="16"/>
                <w:szCs w:val="16"/>
              </w:rPr>
            </w:pPr>
            <w:r w:rsidRPr="000E5DBF">
              <w:rPr>
                <w:color w:val="000000"/>
                <w:sz w:val="16"/>
                <w:szCs w:val="16"/>
              </w:rPr>
              <w:t>1</w:t>
            </w:r>
          </w:p>
        </w:tc>
        <w:tc>
          <w:tcPr>
            <w:tcW w:w="3003"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7AE2D5E" w14:textId="77777777" w:rsidR="00F22587" w:rsidRPr="000E5DBF" w:rsidRDefault="00F22587" w:rsidP="008A5C11">
            <w:pPr>
              <w:rPr>
                <w:color w:val="000000"/>
                <w:sz w:val="16"/>
                <w:szCs w:val="16"/>
              </w:rPr>
            </w:pPr>
            <w:r w:rsidRPr="000E5DBF">
              <w:rPr>
                <w:color w:val="000000"/>
                <w:sz w:val="16"/>
                <w:szCs w:val="16"/>
              </w:rPr>
              <w:t>Удельный расход электрической энергии на транспортировку теплоносителя</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00F4D60" w14:textId="77777777" w:rsidR="00F22587" w:rsidRPr="000E5DBF" w:rsidRDefault="00F22587" w:rsidP="008A5C11">
            <w:pPr>
              <w:jc w:val="center"/>
              <w:rPr>
                <w:color w:val="000000"/>
                <w:sz w:val="16"/>
                <w:szCs w:val="16"/>
              </w:rPr>
            </w:pPr>
            <w:r w:rsidRPr="000E5DBF">
              <w:rPr>
                <w:color w:val="000000"/>
                <w:sz w:val="16"/>
                <w:szCs w:val="16"/>
              </w:rPr>
              <w:t>тыс. кВт/ч</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6180BFA" w14:textId="77777777" w:rsidR="00F22587" w:rsidRPr="000E5DBF" w:rsidRDefault="00F22587" w:rsidP="008A5C11">
            <w:pPr>
              <w:jc w:val="center"/>
              <w:rPr>
                <w:color w:val="000000"/>
                <w:sz w:val="16"/>
                <w:szCs w:val="16"/>
              </w:rPr>
            </w:pPr>
            <w:r w:rsidRPr="000E5DBF">
              <w:rPr>
                <w:color w:val="000000"/>
                <w:sz w:val="16"/>
                <w:szCs w:val="16"/>
              </w:rPr>
              <w:t>5856,8</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3906730" w14:textId="77777777" w:rsidR="00F22587" w:rsidRPr="000E5DBF" w:rsidRDefault="00F22587" w:rsidP="008A5C11">
            <w:pPr>
              <w:jc w:val="center"/>
              <w:rPr>
                <w:color w:val="000000"/>
                <w:sz w:val="16"/>
                <w:szCs w:val="16"/>
              </w:rPr>
            </w:pPr>
            <w:r w:rsidRPr="000E5DBF">
              <w:rPr>
                <w:color w:val="000000"/>
                <w:sz w:val="16"/>
                <w:szCs w:val="16"/>
              </w:rPr>
              <w:t>5856,8</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15D37D19" w14:textId="77777777" w:rsidR="00F22587" w:rsidRPr="000E5DBF" w:rsidRDefault="00F22587" w:rsidP="008A5C11">
            <w:pPr>
              <w:jc w:val="center"/>
              <w:rPr>
                <w:color w:val="000000"/>
                <w:sz w:val="16"/>
                <w:szCs w:val="16"/>
              </w:rPr>
            </w:pPr>
            <w:r w:rsidRPr="000E5DBF">
              <w:rPr>
                <w:color w:val="000000"/>
                <w:sz w:val="16"/>
                <w:szCs w:val="16"/>
              </w:rPr>
              <w:t>5856,8</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6D72E7B2" w14:textId="77777777" w:rsidR="00F22587" w:rsidRPr="000E5DBF" w:rsidRDefault="00F22587" w:rsidP="008A5C11">
            <w:pPr>
              <w:jc w:val="center"/>
              <w:rPr>
                <w:color w:val="000000"/>
                <w:sz w:val="16"/>
                <w:szCs w:val="16"/>
              </w:rPr>
            </w:pPr>
            <w:r w:rsidRPr="000E5DBF">
              <w:rPr>
                <w:color w:val="000000"/>
                <w:sz w:val="16"/>
                <w:szCs w:val="16"/>
              </w:rPr>
              <w:t>5856,8</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6C2F79AB" w14:textId="77777777" w:rsidR="00F22587" w:rsidRPr="000E5DBF" w:rsidRDefault="00F22587" w:rsidP="008A5C11">
            <w:pPr>
              <w:jc w:val="center"/>
              <w:rPr>
                <w:color w:val="000000"/>
                <w:sz w:val="16"/>
                <w:szCs w:val="16"/>
              </w:rPr>
            </w:pPr>
            <w:r w:rsidRPr="000E5DBF">
              <w:rPr>
                <w:color w:val="000000"/>
                <w:sz w:val="16"/>
                <w:szCs w:val="16"/>
              </w:rPr>
              <w:t>5856,8</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745B8570" w14:textId="77777777" w:rsidR="00F22587" w:rsidRPr="000E5DBF" w:rsidRDefault="00F22587" w:rsidP="008A5C11">
            <w:pPr>
              <w:jc w:val="center"/>
              <w:rPr>
                <w:color w:val="000000"/>
                <w:sz w:val="16"/>
                <w:szCs w:val="16"/>
              </w:rPr>
            </w:pPr>
            <w:r w:rsidRPr="000E5DBF">
              <w:rPr>
                <w:color w:val="000000"/>
                <w:sz w:val="16"/>
                <w:szCs w:val="16"/>
              </w:rPr>
              <w:t>5856,8</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761AFE50" w14:textId="77777777" w:rsidR="00F22587" w:rsidRPr="000E5DBF" w:rsidRDefault="00F22587" w:rsidP="008A5C11">
            <w:pPr>
              <w:jc w:val="center"/>
              <w:rPr>
                <w:color w:val="000000"/>
                <w:sz w:val="16"/>
                <w:szCs w:val="16"/>
              </w:rPr>
            </w:pPr>
            <w:r w:rsidRPr="000E5DBF">
              <w:rPr>
                <w:color w:val="000000"/>
                <w:sz w:val="16"/>
                <w:szCs w:val="16"/>
              </w:rPr>
              <w:t>5856,8</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049B412C" w14:textId="77777777" w:rsidR="00F22587" w:rsidRPr="000E5DBF" w:rsidRDefault="00F22587" w:rsidP="008A5C11">
            <w:pPr>
              <w:jc w:val="center"/>
              <w:rPr>
                <w:color w:val="000000"/>
                <w:sz w:val="16"/>
                <w:szCs w:val="16"/>
              </w:rPr>
            </w:pPr>
            <w:r w:rsidRPr="000E5DBF">
              <w:rPr>
                <w:color w:val="000000"/>
                <w:sz w:val="16"/>
                <w:szCs w:val="16"/>
              </w:rPr>
              <w:t>5856,8</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531FDD12" w14:textId="77777777" w:rsidR="00F22587" w:rsidRPr="000E5DBF" w:rsidRDefault="00F22587" w:rsidP="008A5C11">
            <w:pPr>
              <w:jc w:val="center"/>
              <w:rPr>
                <w:color w:val="000000"/>
                <w:sz w:val="16"/>
                <w:szCs w:val="16"/>
              </w:rPr>
            </w:pPr>
            <w:r w:rsidRPr="000E5DBF">
              <w:rPr>
                <w:color w:val="000000"/>
                <w:sz w:val="16"/>
                <w:szCs w:val="16"/>
              </w:rPr>
              <w:t>5856,8</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0870DC33" w14:textId="77777777" w:rsidR="00F22587" w:rsidRPr="000E5DBF" w:rsidRDefault="00F22587" w:rsidP="008A5C11">
            <w:pPr>
              <w:jc w:val="center"/>
              <w:rPr>
                <w:color w:val="000000"/>
                <w:sz w:val="16"/>
                <w:szCs w:val="16"/>
              </w:rPr>
            </w:pPr>
            <w:r w:rsidRPr="000E5DBF">
              <w:rPr>
                <w:color w:val="000000"/>
                <w:sz w:val="16"/>
                <w:szCs w:val="16"/>
              </w:rPr>
              <w:t>5856,8</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6CBC5024" w14:textId="77777777" w:rsidR="00F22587" w:rsidRPr="000E5DBF" w:rsidRDefault="00F22587" w:rsidP="008A5C11">
            <w:pPr>
              <w:jc w:val="center"/>
              <w:rPr>
                <w:color w:val="000000"/>
                <w:sz w:val="16"/>
                <w:szCs w:val="16"/>
              </w:rPr>
            </w:pPr>
            <w:r w:rsidRPr="000E5DBF">
              <w:rPr>
                <w:color w:val="000000"/>
                <w:sz w:val="16"/>
                <w:szCs w:val="16"/>
              </w:rPr>
              <w:t>5856,8</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0F5B5716" w14:textId="77777777" w:rsidR="00F22587" w:rsidRPr="000E5DBF" w:rsidRDefault="00F22587" w:rsidP="008A5C11">
            <w:pPr>
              <w:jc w:val="center"/>
              <w:rPr>
                <w:color w:val="000000"/>
                <w:sz w:val="16"/>
                <w:szCs w:val="16"/>
              </w:rPr>
            </w:pPr>
            <w:r w:rsidRPr="000E5DBF">
              <w:rPr>
                <w:color w:val="000000"/>
                <w:sz w:val="16"/>
                <w:szCs w:val="16"/>
              </w:rPr>
              <w:t>5856,8</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3E28B0F2" w14:textId="77777777" w:rsidR="00F22587" w:rsidRPr="000E5DBF" w:rsidRDefault="00F22587" w:rsidP="008A5C11">
            <w:pPr>
              <w:jc w:val="center"/>
              <w:rPr>
                <w:color w:val="000000"/>
                <w:sz w:val="16"/>
                <w:szCs w:val="16"/>
              </w:rPr>
            </w:pPr>
            <w:r w:rsidRPr="000E5DBF">
              <w:rPr>
                <w:color w:val="000000"/>
                <w:sz w:val="16"/>
                <w:szCs w:val="16"/>
              </w:rPr>
              <w:t>5856,8</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3A191878" w14:textId="77777777" w:rsidR="00F22587" w:rsidRPr="000E5DBF" w:rsidRDefault="00F22587" w:rsidP="008A5C11">
            <w:pPr>
              <w:jc w:val="center"/>
              <w:rPr>
                <w:color w:val="000000"/>
                <w:sz w:val="16"/>
                <w:szCs w:val="16"/>
              </w:rPr>
            </w:pPr>
            <w:r w:rsidRPr="000E5DBF">
              <w:rPr>
                <w:color w:val="000000"/>
                <w:sz w:val="16"/>
                <w:szCs w:val="16"/>
              </w:rPr>
              <w:t>5856,8</w:t>
            </w:r>
          </w:p>
        </w:tc>
      </w:tr>
      <w:tr w:rsidR="00F22587" w:rsidRPr="000E5DBF" w14:paraId="75E4A14A" w14:textId="77777777" w:rsidTr="008A5C11">
        <w:trPr>
          <w:trHeight w:val="458"/>
        </w:trPr>
        <w:tc>
          <w:tcPr>
            <w:tcW w:w="456"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13FBFCC7" w14:textId="77777777" w:rsidR="00F22587" w:rsidRPr="000E5DBF" w:rsidRDefault="00F22587" w:rsidP="008A5C11">
            <w:pPr>
              <w:rPr>
                <w:color w:val="000000"/>
                <w:sz w:val="16"/>
                <w:szCs w:val="16"/>
              </w:rPr>
            </w:pPr>
          </w:p>
        </w:tc>
        <w:tc>
          <w:tcPr>
            <w:tcW w:w="3003"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451D155E" w14:textId="77777777" w:rsidR="00F22587" w:rsidRPr="000E5DBF" w:rsidRDefault="00F22587" w:rsidP="008A5C11">
            <w:pPr>
              <w:rPr>
                <w:color w:val="000000"/>
                <w:sz w:val="16"/>
                <w:szCs w:val="16"/>
              </w:rPr>
            </w:pPr>
          </w:p>
        </w:tc>
        <w:tc>
          <w:tcPr>
            <w:tcW w:w="1275"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07C97E09" w14:textId="77777777" w:rsidR="00F22587" w:rsidRPr="000E5DBF" w:rsidRDefault="00F22587" w:rsidP="008A5C11">
            <w:pPr>
              <w:rPr>
                <w:color w:val="000000"/>
                <w:sz w:val="16"/>
                <w:szCs w:val="16"/>
              </w:rPr>
            </w:pPr>
          </w:p>
        </w:tc>
        <w:tc>
          <w:tcPr>
            <w:tcW w:w="993"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57F4CC4D" w14:textId="77777777" w:rsidR="00F22587" w:rsidRPr="000E5DBF" w:rsidRDefault="00F22587" w:rsidP="008A5C11">
            <w:pPr>
              <w:rPr>
                <w:color w:val="000000"/>
                <w:sz w:val="16"/>
                <w:szCs w:val="16"/>
              </w:rPr>
            </w:pPr>
          </w:p>
        </w:tc>
        <w:tc>
          <w:tcPr>
            <w:tcW w:w="992"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654E862E" w14:textId="77777777" w:rsidR="00F22587" w:rsidRPr="000E5DBF" w:rsidRDefault="00F22587" w:rsidP="008A5C11">
            <w:pPr>
              <w:rPr>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tcPr>
          <w:p w14:paraId="107E753F" w14:textId="77777777" w:rsidR="00F22587" w:rsidRPr="000E5DBF" w:rsidRDefault="00F22587" w:rsidP="008A5C11">
            <w:pPr>
              <w:rPr>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tcPr>
          <w:p w14:paraId="5E649FE4" w14:textId="77777777" w:rsidR="00F22587" w:rsidRPr="000E5DBF" w:rsidRDefault="00F22587" w:rsidP="008A5C11">
            <w:pPr>
              <w:rPr>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tcPr>
          <w:p w14:paraId="5556DBE6" w14:textId="77777777" w:rsidR="00F22587" w:rsidRPr="000E5DBF" w:rsidRDefault="00F22587" w:rsidP="008A5C11">
            <w:pPr>
              <w:rPr>
                <w:color w:val="000000"/>
                <w:sz w:val="16"/>
                <w:szCs w:val="16"/>
              </w:rPr>
            </w:pPr>
          </w:p>
        </w:tc>
        <w:tc>
          <w:tcPr>
            <w:tcW w:w="708" w:type="dxa"/>
            <w:vMerge/>
            <w:tcBorders>
              <w:top w:val="nil"/>
              <w:left w:val="single" w:sz="4" w:space="0" w:color="auto"/>
              <w:bottom w:val="single" w:sz="4" w:space="0" w:color="auto"/>
              <w:right w:val="single" w:sz="4" w:space="0" w:color="auto"/>
            </w:tcBorders>
            <w:tcMar>
              <w:left w:w="28" w:type="dxa"/>
              <w:right w:w="28" w:type="dxa"/>
            </w:tcMar>
            <w:vAlign w:val="center"/>
          </w:tcPr>
          <w:p w14:paraId="003ED9E1" w14:textId="77777777" w:rsidR="00F22587" w:rsidRPr="000E5DBF" w:rsidRDefault="00F22587" w:rsidP="008A5C11">
            <w:pPr>
              <w:rPr>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tcPr>
          <w:p w14:paraId="06393F9E" w14:textId="77777777" w:rsidR="00F22587" w:rsidRPr="000E5DBF" w:rsidRDefault="00F22587" w:rsidP="008A5C11">
            <w:pPr>
              <w:rPr>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tcPr>
          <w:p w14:paraId="5D4A50B0" w14:textId="77777777" w:rsidR="00F22587" w:rsidRPr="000E5DBF" w:rsidRDefault="00F22587" w:rsidP="008A5C11">
            <w:pPr>
              <w:rPr>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tcPr>
          <w:p w14:paraId="0706524F" w14:textId="77777777" w:rsidR="00F22587" w:rsidRPr="000E5DBF" w:rsidRDefault="00F22587" w:rsidP="008A5C11">
            <w:pPr>
              <w:rPr>
                <w:color w:val="000000"/>
                <w:sz w:val="16"/>
                <w:szCs w:val="16"/>
              </w:rPr>
            </w:pPr>
          </w:p>
        </w:tc>
        <w:tc>
          <w:tcPr>
            <w:tcW w:w="708" w:type="dxa"/>
            <w:vMerge/>
            <w:tcBorders>
              <w:top w:val="nil"/>
              <w:left w:val="single" w:sz="4" w:space="0" w:color="auto"/>
              <w:bottom w:val="single" w:sz="4" w:space="0" w:color="auto"/>
              <w:right w:val="single" w:sz="4" w:space="0" w:color="auto"/>
            </w:tcBorders>
            <w:tcMar>
              <w:left w:w="28" w:type="dxa"/>
              <w:right w:w="28" w:type="dxa"/>
            </w:tcMar>
            <w:vAlign w:val="center"/>
          </w:tcPr>
          <w:p w14:paraId="18905048" w14:textId="77777777" w:rsidR="00F22587" w:rsidRPr="000E5DBF" w:rsidRDefault="00F22587" w:rsidP="008A5C11">
            <w:pPr>
              <w:rPr>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tcPr>
          <w:p w14:paraId="73649ABE" w14:textId="77777777" w:rsidR="00F22587" w:rsidRPr="000E5DBF" w:rsidRDefault="00F22587" w:rsidP="008A5C11">
            <w:pPr>
              <w:rPr>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tcPr>
          <w:p w14:paraId="75915AE3" w14:textId="77777777" w:rsidR="00F22587" w:rsidRPr="000E5DBF" w:rsidRDefault="00F22587" w:rsidP="008A5C11">
            <w:pPr>
              <w:rPr>
                <w:color w:val="000000"/>
                <w:sz w:val="16"/>
                <w:szCs w:val="16"/>
              </w:rPr>
            </w:pPr>
          </w:p>
        </w:tc>
        <w:tc>
          <w:tcPr>
            <w:tcW w:w="850" w:type="dxa"/>
            <w:vMerge/>
            <w:tcBorders>
              <w:top w:val="nil"/>
              <w:left w:val="single" w:sz="4" w:space="0" w:color="auto"/>
              <w:bottom w:val="single" w:sz="4" w:space="0" w:color="auto"/>
              <w:right w:val="single" w:sz="4" w:space="0" w:color="auto"/>
            </w:tcBorders>
            <w:tcMar>
              <w:left w:w="28" w:type="dxa"/>
              <w:right w:w="28" w:type="dxa"/>
            </w:tcMar>
            <w:vAlign w:val="center"/>
          </w:tcPr>
          <w:p w14:paraId="6458BE02" w14:textId="77777777" w:rsidR="00F22587" w:rsidRPr="000E5DBF" w:rsidRDefault="00F22587" w:rsidP="008A5C11">
            <w:pPr>
              <w:rPr>
                <w:color w:val="000000"/>
                <w:sz w:val="16"/>
                <w:szCs w:val="16"/>
              </w:rPr>
            </w:pPr>
          </w:p>
        </w:tc>
        <w:tc>
          <w:tcPr>
            <w:tcW w:w="851" w:type="dxa"/>
            <w:vMerge/>
            <w:tcBorders>
              <w:top w:val="nil"/>
              <w:left w:val="single" w:sz="4" w:space="0" w:color="auto"/>
              <w:bottom w:val="single" w:sz="4" w:space="0" w:color="auto"/>
              <w:right w:val="single" w:sz="4" w:space="0" w:color="auto"/>
            </w:tcBorders>
            <w:tcMar>
              <w:left w:w="28" w:type="dxa"/>
              <w:right w:w="28" w:type="dxa"/>
            </w:tcMar>
            <w:vAlign w:val="center"/>
          </w:tcPr>
          <w:p w14:paraId="3B7E4332" w14:textId="77777777" w:rsidR="00F22587" w:rsidRPr="000E5DBF" w:rsidRDefault="00F22587" w:rsidP="008A5C11">
            <w:pPr>
              <w:rPr>
                <w:color w:val="000000"/>
                <w:sz w:val="16"/>
                <w:szCs w:val="16"/>
              </w:rPr>
            </w:pPr>
          </w:p>
        </w:tc>
      </w:tr>
      <w:tr w:rsidR="00F22587" w:rsidRPr="000E5DBF" w14:paraId="5B2333EA" w14:textId="77777777" w:rsidTr="008A5C11">
        <w:tc>
          <w:tcPr>
            <w:tcW w:w="456"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F0C82B3" w14:textId="77777777" w:rsidR="00F22587" w:rsidRPr="000E5DBF" w:rsidRDefault="00F22587" w:rsidP="008A5C11">
            <w:pPr>
              <w:jc w:val="center"/>
              <w:rPr>
                <w:color w:val="000000"/>
                <w:sz w:val="16"/>
                <w:szCs w:val="16"/>
              </w:rPr>
            </w:pPr>
            <w:r w:rsidRPr="000E5DBF">
              <w:rPr>
                <w:color w:val="000000"/>
                <w:sz w:val="16"/>
                <w:szCs w:val="16"/>
              </w:rPr>
              <w:t>2</w:t>
            </w:r>
          </w:p>
        </w:tc>
        <w:tc>
          <w:tcPr>
            <w:tcW w:w="3003"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DFEFFBD" w14:textId="77777777" w:rsidR="00F22587" w:rsidRPr="000E5DBF" w:rsidRDefault="00F22587" w:rsidP="008A5C11">
            <w:pPr>
              <w:rPr>
                <w:color w:val="000000"/>
                <w:sz w:val="16"/>
                <w:szCs w:val="16"/>
              </w:rPr>
            </w:pPr>
            <w:r w:rsidRPr="000E5DBF">
              <w:rPr>
                <w:color w:val="000000"/>
                <w:sz w:val="16"/>
                <w:szCs w:val="16"/>
              </w:rPr>
              <w:t>Удельный расход условного топлива на выработку единицы тепловой энергии и (или) теплоносителя</w:t>
            </w:r>
          </w:p>
        </w:tc>
        <w:tc>
          <w:tcPr>
            <w:tcW w:w="127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AA5F962" w14:textId="77777777" w:rsidR="00F22587" w:rsidRPr="000E5DBF" w:rsidRDefault="00F22587" w:rsidP="008A5C11">
            <w:pPr>
              <w:jc w:val="center"/>
              <w:rPr>
                <w:color w:val="000000"/>
                <w:sz w:val="16"/>
                <w:szCs w:val="16"/>
              </w:rPr>
            </w:pPr>
            <w:r w:rsidRPr="000E5DBF">
              <w:rPr>
                <w:color w:val="000000"/>
                <w:sz w:val="16"/>
                <w:szCs w:val="16"/>
              </w:rPr>
              <w:t>т.у.т./Гкал</w:t>
            </w:r>
          </w:p>
        </w:tc>
        <w:tc>
          <w:tcPr>
            <w:tcW w:w="99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C5D0B08" w14:textId="77777777" w:rsidR="00F22587" w:rsidRPr="000E5DBF" w:rsidRDefault="00F22587" w:rsidP="008A5C11">
            <w:pPr>
              <w:jc w:val="center"/>
              <w:rPr>
                <w:color w:val="000000"/>
                <w:sz w:val="16"/>
                <w:szCs w:val="16"/>
              </w:rPr>
            </w:pPr>
            <w:r w:rsidRPr="000E5DBF">
              <w:rPr>
                <w:color w:val="000000"/>
                <w:sz w:val="16"/>
                <w:szCs w:val="16"/>
              </w:rPr>
              <w:t>0,1934</w:t>
            </w:r>
          </w:p>
        </w:tc>
        <w:tc>
          <w:tcPr>
            <w:tcW w:w="9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87CF0FE" w14:textId="77777777" w:rsidR="00F22587" w:rsidRPr="000E5DBF" w:rsidRDefault="00F22587" w:rsidP="008A5C11">
            <w:pPr>
              <w:jc w:val="center"/>
              <w:rPr>
                <w:color w:val="000000"/>
                <w:sz w:val="16"/>
                <w:szCs w:val="16"/>
              </w:rPr>
            </w:pPr>
            <w:r w:rsidRPr="000E5DBF">
              <w:rPr>
                <w:color w:val="000000"/>
                <w:sz w:val="16"/>
                <w:szCs w:val="16"/>
              </w:rPr>
              <w:t>0,1934</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C363E3B" w14:textId="77777777" w:rsidR="00F22587" w:rsidRPr="000E5DBF" w:rsidRDefault="00F22587" w:rsidP="008A5C11">
            <w:pPr>
              <w:jc w:val="center"/>
              <w:rPr>
                <w:color w:val="000000"/>
                <w:sz w:val="16"/>
                <w:szCs w:val="16"/>
              </w:rPr>
            </w:pPr>
            <w:r w:rsidRPr="000E5DBF">
              <w:rPr>
                <w:color w:val="000000"/>
                <w:sz w:val="16"/>
                <w:szCs w:val="16"/>
              </w:rPr>
              <w:t>0,1934</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7FE1DDF" w14:textId="77777777" w:rsidR="00F22587" w:rsidRPr="000E5DBF" w:rsidRDefault="00F22587" w:rsidP="008A5C11">
            <w:pPr>
              <w:jc w:val="center"/>
              <w:rPr>
                <w:color w:val="000000"/>
                <w:sz w:val="16"/>
                <w:szCs w:val="16"/>
              </w:rPr>
            </w:pPr>
            <w:r w:rsidRPr="000E5DBF">
              <w:rPr>
                <w:color w:val="000000"/>
                <w:sz w:val="16"/>
                <w:szCs w:val="16"/>
              </w:rPr>
              <w:t>0,1934</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ACCD5F2" w14:textId="77777777" w:rsidR="00F22587" w:rsidRPr="000E5DBF" w:rsidRDefault="00F22587" w:rsidP="008A5C11">
            <w:pPr>
              <w:jc w:val="center"/>
              <w:rPr>
                <w:color w:val="000000"/>
                <w:sz w:val="16"/>
                <w:szCs w:val="16"/>
              </w:rPr>
            </w:pPr>
            <w:r w:rsidRPr="000E5DBF">
              <w:rPr>
                <w:color w:val="000000"/>
                <w:sz w:val="16"/>
                <w:szCs w:val="16"/>
              </w:rPr>
              <w:t>0,1934</w:t>
            </w:r>
          </w:p>
        </w:tc>
        <w:tc>
          <w:tcPr>
            <w:tcW w:w="70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F3867E6" w14:textId="77777777" w:rsidR="00F22587" w:rsidRPr="000E5DBF" w:rsidRDefault="00F22587" w:rsidP="008A5C11">
            <w:pPr>
              <w:jc w:val="center"/>
              <w:rPr>
                <w:color w:val="000000"/>
                <w:sz w:val="16"/>
                <w:szCs w:val="16"/>
              </w:rPr>
            </w:pPr>
            <w:r w:rsidRPr="000E5DBF">
              <w:rPr>
                <w:color w:val="000000"/>
                <w:sz w:val="16"/>
                <w:szCs w:val="16"/>
              </w:rPr>
              <w:t>0,1934</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1F6CB3A" w14:textId="77777777" w:rsidR="00F22587" w:rsidRPr="000E5DBF" w:rsidRDefault="00F22587" w:rsidP="008A5C11">
            <w:pPr>
              <w:jc w:val="center"/>
              <w:rPr>
                <w:color w:val="000000"/>
                <w:sz w:val="16"/>
                <w:szCs w:val="16"/>
              </w:rPr>
            </w:pPr>
            <w:r w:rsidRPr="000E5DBF">
              <w:rPr>
                <w:color w:val="000000"/>
                <w:sz w:val="16"/>
                <w:szCs w:val="16"/>
              </w:rPr>
              <w:t>0,1934</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3DF66C2" w14:textId="77777777" w:rsidR="00F22587" w:rsidRPr="000E5DBF" w:rsidRDefault="00F22587" w:rsidP="008A5C11">
            <w:pPr>
              <w:jc w:val="center"/>
              <w:rPr>
                <w:color w:val="000000"/>
                <w:sz w:val="16"/>
                <w:szCs w:val="16"/>
              </w:rPr>
            </w:pPr>
            <w:r w:rsidRPr="000E5DBF">
              <w:rPr>
                <w:color w:val="000000"/>
                <w:sz w:val="16"/>
                <w:szCs w:val="16"/>
              </w:rPr>
              <w:t>0,1934</w:t>
            </w:r>
          </w:p>
        </w:tc>
        <w:tc>
          <w:tcPr>
            <w:tcW w:w="709"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C75EF87" w14:textId="77777777" w:rsidR="00F22587" w:rsidRPr="000E5DBF" w:rsidRDefault="00F22587" w:rsidP="008A5C11">
            <w:pPr>
              <w:jc w:val="center"/>
              <w:rPr>
                <w:color w:val="000000"/>
                <w:sz w:val="16"/>
                <w:szCs w:val="16"/>
              </w:rPr>
            </w:pPr>
            <w:r w:rsidRPr="000E5DBF">
              <w:rPr>
                <w:color w:val="000000"/>
                <w:sz w:val="16"/>
                <w:szCs w:val="16"/>
              </w:rPr>
              <w:t>0,19338</w:t>
            </w:r>
          </w:p>
        </w:tc>
        <w:tc>
          <w:tcPr>
            <w:tcW w:w="708"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372D9B8" w14:textId="77777777" w:rsidR="00F22587" w:rsidRPr="000E5DBF" w:rsidRDefault="00F22587" w:rsidP="008A5C11">
            <w:pPr>
              <w:jc w:val="center"/>
              <w:rPr>
                <w:color w:val="000000"/>
                <w:sz w:val="16"/>
                <w:szCs w:val="16"/>
              </w:rPr>
            </w:pPr>
            <w:r w:rsidRPr="000E5DBF">
              <w:rPr>
                <w:color w:val="000000"/>
                <w:sz w:val="16"/>
                <w:szCs w:val="16"/>
              </w:rPr>
              <w:t>0,19335</w:t>
            </w:r>
          </w:p>
        </w:tc>
        <w:tc>
          <w:tcPr>
            <w:tcW w:w="709"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8175337" w14:textId="77777777" w:rsidR="00F22587" w:rsidRPr="000E5DBF" w:rsidRDefault="00F22587" w:rsidP="008A5C11">
            <w:pPr>
              <w:jc w:val="center"/>
              <w:rPr>
                <w:color w:val="000000"/>
                <w:sz w:val="16"/>
                <w:szCs w:val="16"/>
              </w:rPr>
            </w:pPr>
            <w:r w:rsidRPr="000E5DBF">
              <w:rPr>
                <w:color w:val="000000"/>
                <w:sz w:val="16"/>
                <w:szCs w:val="16"/>
              </w:rPr>
              <w:t>0,19335</w:t>
            </w:r>
          </w:p>
        </w:tc>
        <w:tc>
          <w:tcPr>
            <w:tcW w:w="709"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1E049FC" w14:textId="77777777" w:rsidR="00F22587" w:rsidRPr="000E5DBF" w:rsidRDefault="00F22587" w:rsidP="008A5C11">
            <w:pPr>
              <w:jc w:val="center"/>
              <w:rPr>
                <w:color w:val="000000"/>
                <w:sz w:val="16"/>
                <w:szCs w:val="16"/>
              </w:rPr>
            </w:pPr>
            <w:r w:rsidRPr="000E5DBF">
              <w:rPr>
                <w:color w:val="000000"/>
                <w:sz w:val="16"/>
                <w:szCs w:val="16"/>
              </w:rPr>
              <w:t>0,19335</w:t>
            </w:r>
          </w:p>
        </w:tc>
        <w:tc>
          <w:tcPr>
            <w:tcW w:w="850"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4831CB1" w14:textId="77777777" w:rsidR="00F22587" w:rsidRPr="000E5DBF" w:rsidRDefault="00F22587" w:rsidP="008A5C11">
            <w:pPr>
              <w:jc w:val="center"/>
              <w:rPr>
                <w:color w:val="000000"/>
                <w:sz w:val="16"/>
                <w:szCs w:val="16"/>
              </w:rPr>
            </w:pPr>
            <w:r w:rsidRPr="000E5DBF">
              <w:rPr>
                <w:color w:val="000000"/>
                <w:sz w:val="16"/>
                <w:szCs w:val="16"/>
              </w:rPr>
              <w:t>0,19334</w:t>
            </w:r>
          </w:p>
        </w:tc>
        <w:tc>
          <w:tcPr>
            <w:tcW w:w="851"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4F08B77" w14:textId="77777777" w:rsidR="00F22587" w:rsidRPr="000E5DBF" w:rsidRDefault="00F22587" w:rsidP="008A5C11">
            <w:pPr>
              <w:jc w:val="center"/>
              <w:rPr>
                <w:color w:val="000000"/>
                <w:sz w:val="16"/>
                <w:szCs w:val="16"/>
              </w:rPr>
            </w:pPr>
            <w:r w:rsidRPr="000E5DBF">
              <w:rPr>
                <w:color w:val="000000"/>
                <w:sz w:val="16"/>
                <w:szCs w:val="16"/>
              </w:rPr>
              <w:t>0,19333</w:t>
            </w:r>
          </w:p>
        </w:tc>
      </w:tr>
      <w:tr w:rsidR="00F22587" w:rsidRPr="000E5DBF" w14:paraId="30FB03B9" w14:textId="77777777" w:rsidTr="008A5C11">
        <w:tc>
          <w:tcPr>
            <w:tcW w:w="456"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708B701F" w14:textId="77777777" w:rsidR="00F22587" w:rsidRPr="000E5DBF" w:rsidRDefault="00F22587" w:rsidP="008A5C11">
            <w:pPr>
              <w:rPr>
                <w:color w:val="000000"/>
                <w:sz w:val="16"/>
                <w:szCs w:val="16"/>
              </w:rPr>
            </w:pPr>
          </w:p>
        </w:tc>
        <w:tc>
          <w:tcPr>
            <w:tcW w:w="3003"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3059467B" w14:textId="77777777" w:rsidR="00F22587" w:rsidRPr="000E5DBF" w:rsidRDefault="00F22587" w:rsidP="008A5C11">
            <w:pPr>
              <w:rPr>
                <w:color w:val="000000"/>
                <w:sz w:val="16"/>
                <w:szCs w:val="16"/>
              </w:rPr>
            </w:pPr>
          </w:p>
        </w:tc>
        <w:tc>
          <w:tcPr>
            <w:tcW w:w="127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BF1A1D7" w14:textId="77777777" w:rsidR="00F22587" w:rsidRPr="000E5DBF" w:rsidRDefault="00F22587" w:rsidP="008A5C11">
            <w:pPr>
              <w:jc w:val="center"/>
              <w:rPr>
                <w:color w:val="000000"/>
                <w:sz w:val="16"/>
                <w:szCs w:val="16"/>
              </w:rPr>
            </w:pPr>
            <w:r w:rsidRPr="000E5DBF">
              <w:rPr>
                <w:color w:val="000000"/>
                <w:sz w:val="16"/>
                <w:szCs w:val="16"/>
              </w:rPr>
              <w:t xml:space="preserve">т.у.т./м3 </w:t>
            </w:r>
          </w:p>
        </w:tc>
        <w:tc>
          <w:tcPr>
            <w:tcW w:w="99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FDAA80C" w14:textId="77777777" w:rsidR="00F22587" w:rsidRPr="000E5DBF" w:rsidRDefault="00F22587" w:rsidP="008A5C11">
            <w:pPr>
              <w:jc w:val="center"/>
              <w:rPr>
                <w:color w:val="000000"/>
                <w:sz w:val="16"/>
                <w:szCs w:val="16"/>
              </w:rPr>
            </w:pPr>
            <w:r w:rsidRPr="000E5DBF">
              <w:rPr>
                <w:color w:val="000000"/>
                <w:sz w:val="16"/>
                <w:szCs w:val="16"/>
              </w:rPr>
              <w:t> -</w:t>
            </w:r>
          </w:p>
        </w:tc>
        <w:tc>
          <w:tcPr>
            <w:tcW w:w="9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26DA069" w14:textId="77777777" w:rsidR="00F22587" w:rsidRPr="000E5DBF" w:rsidRDefault="00F22587" w:rsidP="008A5C11">
            <w:pPr>
              <w:jc w:val="center"/>
              <w:rPr>
                <w:color w:val="000000"/>
                <w:sz w:val="16"/>
                <w:szCs w:val="16"/>
              </w:rPr>
            </w:pPr>
            <w:r w:rsidRPr="000E5DBF">
              <w:rPr>
                <w:color w:val="000000"/>
                <w:sz w:val="16"/>
                <w:szCs w:val="16"/>
              </w:rPr>
              <w:t>-</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2AFC3FE" w14:textId="77777777" w:rsidR="00F22587" w:rsidRPr="000E5DBF" w:rsidRDefault="00F22587" w:rsidP="008A5C11">
            <w:pPr>
              <w:jc w:val="center"/>
              <w:rPr>
                <w:color w:val="000000"/>
                <w:sz w:val="16"/>
                <w:szCs w:val="16"/>
              </w:rPr>
            </w:pPr>
            <w:r w:rsidRPr="000E5DBF">
              <w:rPr>
                <w:color w:val="000000"/>
                <w:sz w:val="16"/>
                <w:szCs w:val="16"/>
              </w:rPr>
              <w:t>-</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BFEDE2F" w14:textId="77777777" w:rsidR="00F22587" w:rsidRPr="000E5DBF" w:rsidRDefault="00F22587" w:rsidP="008A5C11">
            <w:pPr>
              <w:jc w:val="center"/>
              <w:rPr>
                <w:color w:val="000000"/>
                <w:sz w:val="16"/>
                <w:szCs w:val="16"/>
              </w:rPr>
            </w:pPr>
            <w:r w:rsidRPr="000E5DBF">
              <w:rPr>
                <w:color w:val="000000"/>
                <w:sz w:val="16"/>
                <w:szCs w:val="16"/>
              </w:rPr>
              <w:t>-</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tcPr>
          <w:p w14:paraId="5B9E951A" w14:textId="77777777" w:rsidR="00F22587" w:rsidRPr="000E5DBF" w:rsidRDefault="00F22587" w:rsidP="008A5C11">
            <w:pPr>
              <w:jc w:val="center"/>
              <w:rPr>
                <w:color w:val="000000"/>
                <w:sz w:val="16"/>
                <w:szCs w:val="16"/>
              </w:rPr>
            </w:pPr>
            <w:r w:rsidRPr="000E5DBF">
              <w:rPr>
                <w:color w:val="000000"/>
                <w:sz w:val="16"/>
                <w:szCs w:val="16"/>
              </w:rPr>
              <w:t>-</w:t>
            </w:r>
          </w:p>
        </w:tc>
        <w:tc>
          <w:tcPr>
            <w:tcW w:w="708"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6DCAF317" w14:textId="77777777" w:rsidR="00F22587" w:rsidRPr="000E5DBF" w:rsidRDefault="00F22587" w:rsidP="008A5C11">
            <w:pPr>
              <w:jc w:val="center"/>
              <w:rPr>
                <w:color w:val="000000"/>
                <w:sz w:val="16"/>
                <w:szCs w:val="16"/>
              </w:rPr>
            </w:pPr>
            <w:r w:rsidRPr="000E5DBF">
              <w:rPr>
                <w:color w:val="000000"/>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1DDCA1BC" w14:textId="77777777" w:rsidR="00F22587" w:rsidRPr="000E5DBF" w:rsidRDefault="00F22587" w:rsidP="008A5C11">
            <w:pPr>
              <w:jc w:val="center"/>
              <w:rPr>
                <w:color w:val="000000"/>
                <w:sz w:val="16"/>
                <w:szCs w:val="16"/>
              </w:rPr>
            </w:pPr>
            <w:r w:rsidRPr="000E5DBF">
              <w:rPr>
                <w:color w:val="000000"/>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34355DD3" w14:textId="77777777" w:rsidR="00F22587" w:rsidRPr="000E5DBF" w:rsidRDefault="00F22587" w:rsidP="008A5C11">
            <w:pPr>
              <w:jc w:val="center"/>
              <w:rPr>
                <w:color w:val="000000"/>
                <w:sz w:val="16"/>
                <w:szCs w:val="16"/>
              </w:rPr>
            </w:pPr>
            <w:r w:rsidRPr="000E5DBF">
              <w:rPr>
                <w:color w:val="000000"/>
                <w:sz w:val="16"/>
                <w:szCs w:val="16"/>
              </w:rPr>
              <w:t>-</w:t>
            </w:r>
          </w:p>
        </w:tc>
        <w:tc>
          <w:tcPr>
            <w:tcW w:w="709"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7E5D27CA" w14:textId="77777777" w:rsidR="00F22587" w:rsidRPr="000E5DBF" w:rsidRDefault="00F22587" w:rsidP="008A5C11">
            <w:pPr>
              <w:jc w:val="center"/>
              <w:rPr>
                <w:color w:val="000000"/>
                <w:sz w:val="16"/>
                <w:szCs w:val="16"/>
              </w:rPr>
            </w:pPr>
            <w:r w:rsidRPr="000E5DBF">
              <w:rPr>
                <w:color w:val="000000"/>
                <w:sz w:val="16"/>
                <w:szCs w:val="16"/>
              </w:rPr>
              <w:t>-</w:t>
            </w:r>
          </w:p>
        </w:tc>
        <w:tc>
          <w:tcPr>
            <w:tcW w:w="708"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56CC5CCE" w14:textId="77777777" w:rsidR="00F22587" w:rsidRPr="000E5DBF" w:rsidRDefault="00F22587" w:rsidP="008A5C11">
            <w:pPr>
              <w:jc w:val="center"/>
              <w:rPr>
                <w:color w:val="000000"/>
                <w:sz w:val="16"/>
                <w:szCs w:val="16"/>
              </w:rPr>
            </w:pPr>
            <w:r w:rsidRPr="000E5DBF">
              <w:rPr>
                <w:color w:val="000000"/>
                <w:sz w:val="16"/>
                <w:szCs w:val="16"/>
              </w:rPr>
              <w:t>-</w:t>
            </w:r>
          </w:p>
        </w:tc>
        <w:tc>
          <w:tcPr>
            <w:tcW w:w="709"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79111E61" w14:textId="77777777" w:rsidR="00F22587" w:rsidRPr="000E5DBF" w:rsidRDefault="00F22587" w:rsidP="008A5C11">
            <w:pPr>
              <w:jc w:val="center"/>
              <w:rPr>
                <w:color w:val="000000"/>
                <w:sz w:val="16"/>
                <w:szCs w:val="16"/>
              </w:rPr>
            </w:pPr>
            <w:r w:rsidRPr="000E5DBF">
              <w:rPr>
                <w:color w:val="000000"/>
                <w:sz w:val="16"/>
                <w:szCs w:val="16"/>
              </w:rPr>
              <w:t>-</w:t>
            </w:r>
          </w:p>
        </w:tc>
        <w:tc>
          <w:tcPr>
            <w:tcW w:w="709"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20C75D63" w14:textId="77777777" w:rsidR="00F22587" w:rsidRPr="000E5DBF" w:rsidRDefault="00F22587" w:rsidP="008A5C11">
            <w:pPr>
              <w:jc w:val="center"/>
              <w:rPr>
                <w:color w:val="000000"/>
                <w:sz w:val="16"/>
                <w:szCs w:val="16"/>
              </w:rPr>
            </w:pPr>
            <w:r w:rsidRPr="000E5DBF">
              <w:rPr>
                <w:color w:val="000000"/>
                <w:sz w:val="16"/>
                <w:szCs w:val="16"/>
              </w:rPr>
              <w:t>-</w:t>
            </w:r>
          </w:p>
        </w:tc>
        <w:tc>
          <w:tcPr>
            <w:tcW w:w="850"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1B56530B" w14:textId="77777777" w:rsidR="00F22587" w:rsidRPr="000E5DBF" w:rsidRDefault="00F22587" w:rsidP="008A5C11">
            <w:pPr>
              <w:jc w:val="center"/>
              <w:rPr>
                <w:color w:val="000000"/>
                <w:sz w:val="16"/>
                <w:szCs w:val="16"/>
              </w:rPr>
            </w:pPr>
            <w:r w:rsidRPr="000E5DBF">
              <w:rPr>
                <w:color w:val="000000"/>
                <w:sz w:val="16"/>
                <w:szCs w:val="16"/>
              </w:rPr>
              <w:t>-</w:t>
            </w:r>
          </w:p>
        </w:tc>
        <w:tc>
          <w:tcPr>
            <w:tcW w:w="851"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59BC89B0" w14:textId="77777777" w:rsidR="00F22587" w:rsidRPr="000E5DBF" w:rsidRDefault="00F22587" w:rsidP="008A5C11">
            <w:pPr>
              <w:jc w:val="center"/>
              <w:rPr>
                <w:color w:val="000000"/>
                <w:sz w:val="16"/>
                <w:szCs w:val="16"/>
              </w:rPr>
            </w:pPr>
            <w:r w:rsidRPr="000E5DBF">
              <w:rPr>
                <w:color w:val="000000"/>
                <w:sz w:val="16"/>
                <w:szCs w:val="16"/>
              </w:rPr>
              <w:t>-</w:t>
            </w:r>
          </w:p>
        </w:tc>
      </w:tr>
      <w:tr w:rsidR="00F22587" w:rsidRPr="000E5DBF" w14:paraId="4FCF9FD8" w14:textId="77777777" w:rsidTr="008A5C11">
        <w:trPr>
          <w:trHeight w:val="458"/>
        </w:trPr>
        <w:tc>
          <w:tcPr>
            <w:tcW w:w="456"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8CAA16E" w14:textId="77777777" w:rsidR="00F22587" w:rsidRPr="000E5DBF" w:rsidRDefault="00F22587" w:rsidP="008A5C11">
            <w:pPr>
              <w:jc w:val="center"/>
              <w:rPr>
                <w:color w:val="000000"/>
                <w:sz w:val="16"/>
                <w:szCs w:val="16"/>
              </w:rPr>
            </w:pPr>
            <w:r w:rsidRPr="000E5DBF">
              <w:rPr>
                <w:color w:val="000000"/>
                <w:sz w:val="16"/>
                <w:szCs w:val="16"/>
              </w:rPr>
              <w:t>3</w:t>
            </w:r>
          </w:p>
        </w:tc>
        <w:tc>
          <w:tcPr>
            <w:tcW w:w="3003"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09FCEE8" w14:textId="77777777" w:rsidR="00F22587" w:rsidRPr="000E5DBF" w:rsidRDefault="00F22587" w:rsidP="008A5C11">
            <w:pPr>
              <w:rPr>
                <w:color w:val="000000"/>
                <w:sz w:val="16"/>
                <w:szCs w:val="16"/>
              </w:rPr>
            </w:pPr>
            <w:r w:rsidRPr="000E5DBF">
              <w:rPr>
                <w:color w:val="000000"/>
                <w:sz w:val="16"/>
                <w:szCs w:val="16"/>
              </w:rPr>
              <w:t>Объем присоединяемой тепловой нагрузки новых потребителей</w:t>
            </w:r>
          </w:p>
        </w:tc>
        <w:tc>
          <w:tcPr>
            <w:tcW w:w="1275"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DD15ADF" w14:textId="77777777" w:rsidR="00F22587" w:rsidRPr="000E5DBF" w:rsidRDefault="00F22587" w:rsidP="008A5C11">
            <w:pPr>
              <w:jc w:val="center"/>
              <w:rPr>
                <w:color w:val="000000"/>
                <w:sz w:val="16"/>
                <w:szCs w:val="16"/>
              </w:rPr>
            </w:pPr>
            <w:r w:rsidRPr="000E5DBF">
              <w:rPr>
                <w:color w:val="000000"/>
                <w:sz w:val="16"/>
                <w:szCs w:val="16"/>
              </w:rPr>
              <w:t>Гкал/ч</w:t>
            </w:r>
          </w:p>
        </w:tc>
        <w:tc>
          <w:tcPr>
            <w:tcW w:w="993"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397E685" w14:textId="77777777" w:rsidR="00F22587" w:rsidRPr="000E5DBF" w:rsidRDefault="00F22587" w:rsidP="008A5C11">
            <w:pPr>
              <w:jc w:val="center"/>
              <w:rPr>
                <w:color w:val="000000"/>
                <w:sz w:val="16"/>
                <w:szCs w:val="16"/>
              </w:rPr>
            </w:pPr>
            <w:r w:rsidRPr="000E5DBF">
              <w:rPr>
                <w:color w:val="000000"/>
                <w:sz w:val="16"/>
                <w:szCs w:val="16"/>
              </w:rPr>
              <w:t> 0</w:t>
            </w:r>
          </w:p>
        </w:tc>
        <w:tc>
          <w:tcPr>
            <w:tcW w:w="992"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573428F" w14:textId="77777777" w:rsidR="00F22587" w:rsidRPr="000E5DBF" w:rsidRDefault="00F22587" w:rsidP="008A5C11">
            <w:pPr>
              <w:jc w:val="center"/>
              <w:rPr>
                <w:color w:val="000000"/>
                <w:sz w:val="16"/>
                <w:szCs w:val="16"/>
              </w:rPr>
            </w:pPr>
            <w:r w:rsidRPr="000E5DBF">
              <w:rPr>
                <w:color w:val="000000"/>
                <w:sz w:val="16"/>
                <w:szCs w:val="16"/>
              </w:rPr>
              <w:t>2,05442</w:t>
            </w:r>
          </w:p>
        </w:tc>
        <w:tc>
          <w:tcPr>
            <w:tcW w:w="709"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1CD6006" w14:textId="77777777" w:rsidR="00F22587" w:rsidRPr="000E5DBF" w:rsidRDefault="00F22587" w:rsidP="008A5C11">
            <w:pPr>
              <w:jc w:val="center"/>
              <w:rPr>
                <w:color w:val="000000"/>
                <w:sz w:val="16"/>
                <w:szCs w:val="16"/>
              </w:rPr>
            </w:pPr>
            <w:r w:rsidRPr="000E5DBF">
              <w:rPr>
                <w:color w:val="000000"/>
                <w:sz w:val="16"/>
                <w:szCs w:val="16"/>
              </w:rPr>
              <w:t>0</w:t>
            </w:r>
          </w:p>
        </w:tc>
        <w:tc>
          <w:tcPr>
            <w:tcW w:w="709"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0EE98FEA" w14:textId="77777777" w:rsidR="00F22587" w:rsidRPr="000E5DBF" w:rsidRDefault="00F22587" w:rsidP="008A5C11">
            <w:pPr>
              <w:jc w:val="center"/>
              <w:rPr>
                <w:color w:val="000000"/>
                <w:sz w:val="16"/>
                <w:szCs w:val="16"/>
              </w:rPr>
            </w:pPr>
            <w:r w:rsidRPr="000E5DBF">
              <w:rPr>
                <w:color w:val="000000"/>
                <w:sz w:val="16"/>
                <w:szCs w:val="16"/>
              </w:rPr>
              <w:t>0</w:t>
            </w:r>
          </w:p>
        </w:tc>
        <w:tc>
          <w:tcPr>
            <w:tcW w:w="709"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3142AD4B" w14:textId="77777777" w:rsidR="00F22587" w:rsidRPr="000E5DBF" w:rsidRDefault="00F22587" w:rsidP="008A5C11">
            <w:pPr>
              <w:jc w:val="center"/>
              <w:rPr>
                <w:color w:val="000000"/>
                <w:sz w:val="16"/>
                <w:szCs w:val="16"/>
              </w:rPr>
            </w:pPr>
            <w:r w:rsidRPr="000E5DBF">
              <w:rPr>
                <w:color w:val="000000"/>
                <w:sz w:val="16"/>
                <w:szCs w:val="16"/>
              </w:rPr>
              <w:t>0</w:t>
            </w:r>
          </w:p>
        </w:tc>
        <w:tc>
          <w:tcPr>
            <w:tcW w:w="708"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65FEF34E" w14:textId="77777777" w:rsidR="00F22587" w:rsidRPr="000E5DBF" w:rsidRDefault="00F22587" w:rsidP="008A5C11">
            <w:pPr>
              <w:jc w:val="center"/>
              <w:rPr>
                <w:color w:val="000000"/>
                <w:sz w:val="16"/>
                <w:szCs w:val="16"/>
              </w:rPr>
            </w:pPr>
            <w:r w:rsidRPr="000E5DBF">
              <w:rPr>
                <w:color w:val="000000"/>
                <w:sz w:val="16"/>
                <w:szCs w:val="16"/>
              </w:rPr>
              <w:t>0</w:t>
            </w:r>
          </w:p>
        </w:tc>
        <w:tc>
          <w:tcPr>
            <w:tcW w:w="709"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00C8E81B" w14:textId="77777777" w:rsidR="00F22587" w:rsidRPr="000E5DBF" w:rsidRDefault="00F22587" w:rsidP="008A5C11">
            <w:pPr>
              <w:jc w:val="center"/>
              <w:rPr>
                <w:color w:val="000000"/>
                <w:sz w:val="16"/>
                <w:szCs w:val="16"/>
              </w:rPr>
            </w:pPr>
            <w:r w:rsidRPr="000E5DBF">
              <w:rPr>
                <w:color w:val="000000"/>
                <w:sz w:val="16"/>
                <w:szCs w:val="16"/>
              </w:rPr>
              <w:t>0</w:t>
            </w:r>
          </w:p>
        </w:tc>
        <w:tc>
          <w:tcPr>
            <w:tcW w:w="709" w:type="dxa"/>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67D1572" w14:textId="77777777" w:rsidR="00F22587" w:rsidRPr="000E5DBF" w:rsidRDefault="00F22587" w:rsidP="008A5C11">
            <w:pPr>
              <w:jc w:val="center"/>
              <w:rPr>
                <w:color w:val="000000"/>
                <w:sz w:val="16"/>
                <w:szCs w:val="16"/>
              </w:rPr>
            </w:pPr>
            <w:r w:rsidRPr="000E5DBF">
              <w:rPr>
                <w:color w:val="000000"/>
                <w:sz w:val="16"/>
                <w:szCs w:val="16"/>
              </w:rPr>
              <w:t>2,05442</w:t>
            </w:r>
          </w:p>
        </w:tc>
        <w:tc>
          <w:tcPr>
            <w:tcW w:w="709" w:type="dxa"/>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77AC94BF" w14:textId="77777777" w:rsidR="00F22587" w:rsidRPr="000E5DBF" w:rsidRDefault="00F22587" w:rsidP="008A5C11">
            <w:pPr>
              <w:jc w:val="center"/>
              <w:rPr>
                <w:color w:val="000000"/>
                <w:sz w:val="16"/>
                <w:szCs w:val="16"/>
              </w:rPr>
            </w:pPr>
            <w:r w:rsidRPr="000E5DBF">
              <w:rPr>
                <w:color w:val="000000"/>
                <w:sz w:val="16"/>
                <w:szCs w:val="16"/>
              </w:rPr>
              <w:t>2,05442</w:t>
            </w:r>
          </w:p>
        </w:tc>
        <w:tc>
          <w:tcPr>
            <w:tcW w:w="708" w:type="dxa"/>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32D362FE" w14:textId="77777777" w:rsidR="00F22587" w:rsidRPr="000E5DBF" w:rsidRDefault="00F22587" w:rsidP="008A5C11">
            <w:pPr>
              <w:jc w:val="center"/>
              <w:rPr>
                <w:color w:val="000000"/>
                <w:sz w:val="16"/>
                <w:szCs w:val="16"/>
              </w:rPr>
            </w:pPr>
            <w:r w:rsidRPr="000E5DBF">
              <w:rPr>
                <w:color w:val="000000"/>
                <w:sz w:val="16"/>
                <w:szCs w:val="16"/>
              </w:rPr>
              <w:t>2,05442</w:t>
            </w:r>
          </w:p>
        </w:tc>
        <w:tc>
          <w:tcPr>
            <w:tcW w:w="709" w:type="dxa"/>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72896AA2" w14:textId="77777777" w:rsidR="00F22587" w:rsidRPr="000E5DBF" w:rsidRDefault="00F22587" w:rsidP="008A5C11">
            <w:pPr>
              <w:jc w:val="center"/>
              <w:rPr>
                <w:color w:val="000000"/>
                <w:sz w:val="16"/>
                <w:szCs w:val="16"/>
              </w:rPr>
            </w:pPr>
            <w:r w:rsidRPr="000E5DBF">
              <w:rPr>
                <w:color w:val="000000"/>
                <w:sz w:val="16"/>
                <w:szCs w:val="16"/>
              </w:rPr>
              <w:t>2,05442</w:t>
            </w:r>
          </w:p>
        </w:tc>
        <w:tc>
          <w:tcPr>
            <w:tcW w:w="709" w:type="dxa"/>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1CCCCA2E" w14:textId="77777777" w:rsidR="00F22587" w:rsidRPr="000E5DBF" w:rsidRDefault="00F22587" w:rsidP="008A5C11">
            <w:pPr>
              <w:jc w:val="center"/>
              <w:rPr>
                <w:color w:val="000000"/>
                <w:sz w:val="16"/>
                <w:szCs w:val="16"/>
              </w:rPr>
            </w:pPr>
            <w:r w:rsidRPr="000E5DBF">
              <w:rPr>
                <w:color w:val="000000"/>
                <w:sz w:val="16"/>
                <w:szCs w:val="16"/>
              </w:rPr>
              <w:t>2,05442</w:t>
            </w:r>
          </w:p>
        </w:tc>
        <w:tc>
          <w:tcPr>
            <w:tcW w:w="850" w:type="dxa"/>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77750DF7" w14:textId="77777777" w:rsidR="00F22587" w:rsidRPr="000E5DBF" w:rsidRDefault="00F22587" w:rsidP="008A5C11">
            <w:pPr>
              <w:jc w:val="center"/>
              <w:rPr>
                <w:color w:val="000000"/>
                <w:sz w:val="16"/>
                <w:szCs w:val="16"/>
              </w:rPr>
            </w:pPr>
            <w:r w:rsidRPr="000E5DBF">
              <w:rPr>
                <w:color w:val="000000"/>
                <w:sz w:val="16"/>
                <w:szCs w:val="16"/>
              </w:rPr>
              <w:t>2,05442</w:t>
            </w:r>
          </w:p>
        </w:tc>
        <w:tc>
          <w:tcPr>
            <w:tcW w:w="851" w:type="dxa"/>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60A5B2F7" w14:textId="77777777" w:rsidR="00F22587" w:rsidRPr="000E5DBF" w:rsidRDefault="00F22587" w:rsidP="008A5C11">
            <w:pPr>
              <w:jc w:val="center"/>
              <w:rPr>
                <w:color w:val="000000"/>
                <w:sz w:val="16"/>
                <w:szCs w:val="16"/>
              </w:rPr>
            </w:pPr>
            <w:r w:rsidRPr="000E5DBF">
              <w:rPr>
                <w:color w:val="000000"/>
                <w:sz w:val="16"/>
                <w:szCs w:val="16"/>
              </w:rPr>
              <w:t>2,05442</w:t>
            </w:r>
          </w:p>
        </w:tc>
      </w:tr>
      <w:tr w:rsidR="00F22587" w:rsidRPr="000E5DBF" w14:paraId="62204A53" w14:textId="77777777" w:rsidTr="008A5C11">
        <w:trPr>
          <w:trHeight w:val="458"/>
        </w:trPr>
        <w:tc>
          <w:tcPr>
            <w:tcW w:w="456"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6B3413CF" w14:textId="77777777" w:rsidR="00F22587" w:rsidRPr="000E5DBF" w:rsidRDefault="00F22587" w:rsidP="008A5C11">
            <w:pPr>
              <w:rPr>
                <w:color w:val="000000"/>
                <w:sz w:val="16"/>
                <w:szCs w:val="16"/>
              </w:rPr>
            </w:pPr>
          </w:p>
        </w:tc>
        <w:tc>
          <w:tcPr>
            <w:tcW w:w="3003"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47E8CD15" w14:textId="77777777" w:rsidR="00F22587" w:rsidRPr="000E5DBF" w:rsidRDefault="00F22587" w:rsidP="008A5C11">
            <w:pPr>
              <w:rPr>
                <w:color w:val="000000"/>
                <w:sz w:val="16"/>
                <w:szCs w:val="16"/>
              </w:rPr>
            </w:pPr>
          </w:p>
        </w:tc>
        <w:tc>
          <w:tcPr>
            <w:tcW w:w="1275"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49107339" w14:textId="77777777" w:rsidR="00F22587" w:rsidRPr="000E5DBF" w:rsidRDefault="00F22587" w:rsidP="008A5C11">
            <w:pPr>
              <w:rPr>
                <w:color w:val="000000"/>
                <w:sz w:val="16"/>
                <w:szCs w:val="16"/>
              </w:rPr>
            </w:pPr>
          </w:p>
        </w:tc>
        <w:tc>
          <w:tcPr>
            <w:tcW w:w="993"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17212E52" w14:textId="77777777" w:rsidR="00F22587" w:rsidRPr="000E5DBF" w:rsidRDefault="00F22587" w:rsidP="008A5C11">
            <w:pPr>
              <w:rPr>
                <w:color w:val="000000"/>
                <w:sz w:val="16"/>
                <w:szCs w:val="16"/>
              </w:rPr>
            </w:pPr>
          </w:p>
        </w:tc>
        <w:tc>
          <w:tcPr>
            <w:tcW w:w="992"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6EFAC6BE" w14:textId="77777777" w:rsidR="00F22587" w:rsidRPr="000E5DBF" w:rsidRDefault="00F22587" w:rsidP="008A5C11">
            <w:pPr>
              <w:rPr>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25A767C1" w14:textId="77777777" w:rsidR="00F22587" w:rsidRPr="000E5DBF" w:rsidRDefault="00F22587" w:rsidP="008A5C11">
            <w:pPr>
              <w:rPr>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tcPr>
          <w:p w14:paraId="22440CFD" w14:textId="77777777" w:rsidR="00F22587" w:rsidRPr="000E5DBF" w:rsidRDefault="00F22587" w:rsidP="008A5C11">
            <w:pPr>
              <w:rPr>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tcPr>
          <w:p w14:paraId="27B31064" w14:textId="77777777" w:rsidR="00F22587" w:rsidRPr="000E5DBF" w:rsidRDefault="00F22587" w:rsidP="008A5C11">
            <w:pPr>
              <w:rPr>
                <w:color w:val="000000"/>
                <w:sz w:val="16"/>
                <w:szCs w:val="16"/>
              </w:rPr>
            </w:pPr>
          </w:p>
        </w:tc>
        <w:tc>
          <w:tcPr>
            <w:tcW w:w="708" w:type="dxa"/>
            <w:vMerge/>
            <w:tcBorders>
              <w:top w:val="nil"/>
              <w:left w:val="single" w:sz="4" w:space="0" w:color="auto"/>
              <w:bottom w:val="single" w:sz="4" w:space="0" w:color="auto"/>
              <w:right w:val="single" w:sz="4" w:space="0" w:color="auto"/>
            </w:tcBorders>
            <w:tcMar>
              <w:left w:w="28" w:type="dxa"/>
              <w:right w:w="28" w:type="dxa"/>
            </w:tcMar>
            <w:vAlign w:val="center"/>
          </w:tcPr>
          <w:p w14:paraId="1B8894F0" w14:textId="77777777" w:rsidR="00F22587" w:rsidRPr="000E5DBF" w:rsidRDefault="00F22587" w:rsidP="008A5C11">
            <w:pPr>
              <w:rPr>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tcPr>
          <w:p w14:paraId="61C66F09" w14:textId="77777777" w:rsidR="00F22587" w:rsidRPr="000E5DBF" w:rsidRDefault="00F22587" w:rsidP="008A5C11">
            <w:pPr>
              <w:rPr>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149EA0C9" w14:textId="77777777" w:rsidR="00F22587" w:rsidRPr="000E5DBF" w:rsidRDefault="00F22587" w:rsidP="008A5C11">
            <w:pPr>
              <w:rPr>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tcPr>
          <w:p w14:paraId="248B03CE" w14:textId="77777777" w:rsidR="00F22587" w:rsidRPr="000E5DBF" w:rsidRDefault="00F22587" w:rsidP="008A5C11">
            <w:pPr>
              <w:rPr>
                <w:rFonts w:ascii="Calibri" w:hAnsi="Calibri" w:cs="Calibri"/>
                <w:color w:val="000000"/>
                <w:sz w:val="16"/>
                <w:szCs w:val="16"/>
              </w:rPr>
            </w:pPr>
          </w:p>
        </w:tc>
        <w:tc>
          <w:tcPr>
            <w:tcW w:w="708" w:type="dxa"/>
            <w:vMerge/>
            <w:tcBorders>
              <w:top w:val="nil"/>
              <w:left w:val="single" w:sz="4" w:space="0" w:color="auto"/>
              <w:bottom w:val="single" w:sz="4" w:space="0" w:color="auto"/>
              <w:right w:val="single" w:sz="4" w:space="0" w:color="auto"/>
            </w:tcBorders>
            <w:tcMar>
              <w:left w:w="28" w:type="dxa"/>
              <w:right w:w="28" w:type="dxa"/>
            </w:tcMar>
            <w:vAlign w:val="center"/>
          </w:tcPr>
          <w:p w14:paraId="041DC5F0" w14:textId="77777777" w:rsidR="00F22587" w:rsidRPr="000E5DBF" w:rsidRDefault="00F22587" w:rsidP="008A5C11">
            <w:pPr>
              <w:rPr>
                <w:rFonts w:ascii="Calibri" w:hAnsi="Calibri" w:cs="Calibri"/>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tcPr>
          <w:p w14:paraId="053F4256" w14:textId="77777777" w:rsidR="00F22587" w:rsidRPr="000E5DBF" w:rsidRDefault="00F22587" w:rsidP="008A5C11">
            <w:pPr>
              <w:rPr>
                <w:rFonts w:ascii="Calibri" w:hAnsi="Calibri" w:cs="Calibri"/>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tcPr>
          <w:p w14:paraId="66E08EEB" w14:textId="77777777" w:rsidR="00F22587" w:rsidRPr="000E5DBF" w:rsidRDefault="00F22587" w:rsidP="008A5C11">
            <w:pPr>
              <w:rPr>
                <w:rFonts w:ascii="Calibri" w:hAnsi="Calibri" w:cs="Calibri"/>
                <w:color w:val="000000"/>
                <w:sz w:val="16"/>
                <w:szCs w:val="16"/>
              </w:rPr>
            </w:pPr>
          </w:p>
        </w:tc>
        <w:tc>
          <w:tcPr>
            <w:tcW w:w="850" w:type="dxa"/>
            <w:vMerge/>
            <w:tcBorders>
              <w:top w:val="nil"/>
              <w:left w:val="single" w:sz="4" w:space="0" w:color="auto"/>
              <w:bottom w:val="single" w:sz="4" w:space="0" w:color="auto"/>
              <w:right w:val="single" w:sz="4" w:space="0" w:color="auto"/>
            </w:tcBorders>
            <w:tcMar>
              <w:left w:w="28" w:type="dxa"/>
              <w:right w:w="28" w:type="dxa"/>
            </w:tcMar>
            <w:vAlign w:val="center"/>
          </w:tcPr>
          <w:p w14:paraId="4FD7B79E" w14:textId="77777777" w:rsidR="00F22587" w:rsidRPr="000E5DBF" w:rsidRDefault="00F22587" w:rsidP="008A5C11">
            <w:pPr>
              <w:rPr>
                <w:rFonts w:ascii="Calibri" w:hAnsi="Calibri" w:cs="Calibri"/>
                <w:color w:val="000000"/>
                <w:sz w:val="16"/>
                <w:szCs w:val="16"/>
              </w:rPr>
            </w:pPr>
          </w:p>
        </w:tc>
        <w:tc>
          <w:tcPr>
            <w:tcW w:w="851" w:type="dxa"/>
            <w:vMerge/>
            <w:tcBorders>
              <w:top w:val="nil"/>
              <w:left w:val="single" w:sz="4" w:space="0" w:color="auto"/>
              <w:bottom w:val="single" w:sz="4" w:space="0" w:color="auto"/>
              <w:right w:val="single" w:sz="4" w:space="0" w:color="auto"/>
            </w:tcBorders>
            <w:tcMar>
              <w:left w:w="28" w:type="dxa"/>
              <w:right w:w="28" w:type="dxa"/>
            </w:tcMar>
            <w:vAlign w:val="center"/>
          </w:tcPr>
          <w:p w14:paraId="21AC17F8" w14:textId="77777777" w:rsidR="00F22587" w:rsidRPr="000E5DBF" w:rsidRDefault="00F22587" w:rsidP="008A5C11">
            <w:pPr>
              <w:rPr>
                <w:rFonts w:ascii="Calibri" w:hAnsi="Calibri" w:cs="Calibri"/>
                <w:color w:val="000000"/>
                <w:sz w:val="16"/>
                <w:szCs w:val="16"/>
              </w:rPr>
            </w:pPr>
          </w:p>
        </w:tc>
      </w:tr>
      <w:tr w:rsidR="00F22587" w:rsidRPr="000E5DBF" w14:paraId="26D1AA7D" w14:textId="77777777" w:rsidTr="008A5C11">
        <w:trPr>
          <w:trHeight w:val="458"/>
        </w:trPr>
        <w:tc>
          <w:tcPr>
            <w:tcW w:w="456"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BD04C10" w14:textId="77777777" w:rsidR="00F22587" w:rsidRPr="000E5DBF" w:rsidRDefault="00F22587" w:rsidP="008A5C11">
            <w:pPr>
              <w:jc w:val="center"/>
              <w:rPr>
                <w:color w:val="000000"/>
                <w:sz w:val="16"/>
                <w:szCs w:val="16"/>
              </w:rPr>
            </w:pPr>
            <w:r w:rsidRPr="000E5DBF">
              <w:rPr>
                <w:color w:val="000000"/>
                <w:sz w:val="16"/>
                <w:szCs w:val="16"/>
              </w:rPr>
              <w:t>4</w:t>
            </w:r>
          </w:p>
        </w:tc>
        <w:tc>
          <w:tcPr>
            <w:tcW w:w="3003"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102C998" w14:textId="77777777" w:rsidR="00F22587" w:rsidRPr="000E5DBF" w:rsidRDefault="00F22587" w:rsidP="008A5C11">
            <w:pPr>
              <w:rPr>
                <w:color w:val="000000"/>
                <w:sz w:val="16"/>
                <w:szCs w:val="16"/>
              </w:rPr>
            </w:pPr>
            <w:r w:rsidRPr="000E5DBF">
              <w:rPr>
                <w:color w:val="000000"/>
                <w:sz w:val="16"/>
                <w:szCs w:val="16"/>
              </w:rPr>
              <w:t>Износ объектов системы теплоснабжения с выделением процента износа объектов, существующих на начало реализации инвестиционной программы</w:t>
            </w:r>
          </w:p>
        </w:tc>
        <w:tc>
          <w:tcPr>
            <w:tcW w:w="1275"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2FCA681" w14:textId="77777777" w:rsidR="00F22587" w:rsidRPr="000E5DBF" w:rsidRDefault="00F22587" w:rsidP="008A5C11">
            <w:pPr>
              <w:jc w:val="center"/>
              <w:rPr>
                <w:color w:val="000000"/>
                <w:sz w:val="16"/>
                <w:szCs w:val="16"/>
              </w:rPr>
            </w:pPr>
            <w:r w:rsidRPr="000E5DBF">
              <w:rPr>
                <w:color w:val="000000"/>
                <w:sz w:val="16"/>
                <w:szCs w:val="16"/>
              </w:rPr>
              <w:t>%</w:t>
            </w:r>
          </w:p>
        </w:tc>
        <w:tc>
          <w:tcPr>
            <w:tcW w:w="993"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18C9E58" w14:textId="77777777" w:rsidR="00F22587" w:rsidRPr="000E5DBF" w:rsidRDefault="00F22587" w:rsidP="008A5C11">
            <w:pPr>
              <w:jc w:val="center"/>
              <w:rPr>
                <w:color w:val="000000"/>
                <w:sz w:val="16"/>
                <w:szCs w:val="16"/>
              </w:rPr>
            </w:pPr>
            <w:r w:rsidRPr="000E5DBF">
              <w:rPr>
                <w:color w:val="000000"/>
                <w:sz w:val="16"/>
                <w:szCs w:val="16"/>
              </w:rPr>
              <w:t>56</w:t>
            </w:r>
          </w:p>
        </w:tc>
        <w:tc>
          <w:tcPr>
            <w:tcW w:w="992"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AA37CFE" w14:textId="77777777" w:rsidR="00F22587" w:rsidRPr="000E5DBF" w:rsidRDefault="00F22587" w:rsidP="008A5C11">
            <w:pPr>
              <w:jc w:val="center"/>
              <w:rPr>
                <w:color w:val="000000"/>
                <w:sz w:val="16"/>
                <w:szCs w:val="16"/>
              </w:rPr>
            </w:pPr>
            <w:r w:rsidRPr="000E5DBF">
              <w:rPr>
                <w:color w:val="000000"/>
                <w:sz w:val="16"/>
                <w:szCs w:val="16"/>
              </w:rPr>
              <w:t>48</w:t>
            </w:r>
          </w:p>
        </w:tc>
        <w:tc>
          <w:tcPr>
            <w:tcW w:w="709"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CFF131D" w14:textId="77777777" w:rsidR="00F22587" w:rsidRPr="000E5DBF" w:rsidRDefault="00F22587" w:rsidP="008A5C11">
            <w:pPr>
              <w:jc w:val="center"/>
              <w:rPr>
                <w:color w:val="000000"/>
                <w:sz w:val="16"/>
                <w:szCs w:val="16"/>
              </w:rPr>
            </w:pPr>
            <w:r w:rsidRPr="000E5DBF">
              <w:rPr>
                <w:color w:val="000000"/>
                <w:sz w:val="16"/>
                <w:szCs w:val="16"/>
              </w:rPr>
              <w:t>55</w:t>
            </w:r>
          </w:p>
        </w:tc>
        <w:tc>
          <w:tcPr>
            <w:tcW w:w="709"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08CF629" w14:textId="77777777" w:rsidR="00F22587" w:rsidRPr="000E5DBF" w:rsidRDefault="00F22587" w:rsidP="008A5C11">
            <w:pPr>
              <w:jc w:val="center"/>
              <w:rPr>
                <w:color w:val="000000"/>
                <w:sz w:val="16"/>
                <w:szCs w:val="16"/>
              </w:rPr>
            </w:pPr>
            <w:r w:rsidRPr="000E5DBF">
              <w:rPr>
                <w:color w:val="000000"/>
                <w:sz w:val="16"/>
                <w:szCs w:val="16"/>
              </w:rPr>
              <w:t>54,3</w:t>
            </w:r>
          </w:p>
        </w:tc>
        <w:tc>
          <w:tcPr>
            <w:tcW w:w="709"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ACC4655" w14:textId="77777777" w:rsidR="00F22587" w:rsidRPr="000E5DBF" w:rsidRDefault="00F22587" w:rsidP="008A5C11">
            <w:pPr>
              <w:jc w:val="center"/>
              <w:rPr>
                <w:color w:val="000000"/>
                <w:sz w:val="16"/>
                <w:szCs w:val="16"/>
              </w:rPr>
            </w:pPr>
            <w:r w:rsidRPr="000E5DBF">
              <w:rPr>
                <w:color w:val="000000"/>
                <w:sz w:val="16"/>
                <w:szCs w:val="16"/>
              </w:rPr>
              <w:t>54</w:t>
            </w:r>
          </w:p>
        </w:tc>
        <w:tc>
          <w:tcPr>
            <w:tcW w:w="708" w:type="dxa"/>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9B2F0A3" w14:textId="77777777" w:rsidR="00F22587" w:rsidRPr="000E5DBF" w:rsidRDefault="00F22587" w:rsidP="008A5C11">
            <w:pPr>
              <w:jc w:val="center"/>
              <w:rPr>
                <w:color w:val="000000"/>
                <w:sz w:val="16"/>
                <w:szCs w:val="16"/>
              </w:rPr>
            </w:pPr>
            <w:r w:rsidRPr="000E5DBF">
              <w:rPr>
                <w:color w:val="000000"/>
                <w:sz w:val="16"/>
                <w:szCs w:val="16"/>
              </w:rPr>
              <w:t>54</w:t>
            </w:r>
          </w:p>
        </w:tc>
        <w:tc>
          <w:tcPr>
            <w:tcW w:w="709" w:type="dxa"/>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0C686A3" w14:textId="77777777" w:rsidR="00F22587" w:rsidRPr="000E5DBF" w:rsidRDefault="00F22587" w:rsidP="008A5C11">
            <w:pPr>
              <w:jc w:val="center"/>
              <w:rPr>
                <w:color w:val="000000"/>
                <w:sz w:val="16"/>
                <w:szCs w:val="16"/>
              </w:rPr>
            </w:pPr>
            <w:r w:rsidRPr="000E5DBF">
              <w:rPr>
                <w:color w:val="000000"/>
                <w:sz w:val="16"/>
                <w:szCs w:val="16"/>
              </w:rPr>
              <w:t>53,2</w:t>
            </w:r>
          </w:p>
        </w:tc>
        <w:tc>
          <w:tcPr>
            <w:tcW w:w="709" w:type="dxa"/>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B280ADD" w14:textId="77777777" w:rsidR="00F22587" w:rsidRPr="000E5DBF" w:rsidRDefault="00F22587" w:rsidP="008A5C11">
            <w:pPr>
              <w:jc w:val="center"/>
              <w:rPr>
                <w:color w:val="000000"/>
                <w:sz w:val="16"/>
                <w:szCs w:val="16"/>
              </w:rPr>
            </w:pPr>
            <w:r w:rsidRPr="000E5DBF">
              <w:rPr>
                <w:color w:val="000000"/>
                <w:sz w:val="16"/>
                <w:szCs w:val="16"/>
              </w:rPr>
              <w:t>53</w:t>
            </w:r>
          </w:p>
        </w:tc>
        <w:tc>
          <w:tcPr>
            <w:tcW w:w="709" w:type="dxa"/>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A356647" w14:textId="77777777" w:rsidR="00F22587" w:rsidRPr="000E5DBF" w:rsidRDefault="00F22587" w:rsidP="008A5C11">
            <w:pPr>
              <w:jc w:val="center"/>
              <w:rPr>
                <w:color w:val="000000"/>
                <w:sz w:val="16"/>
                <w:szCs w:val="16"/>
              </w:rPr>
            </w:pPr>
            <w:r w:rsidRPr="000E5DBF">
              <w:rPr>
                <w:color w:val="000000"/>
                <w:sz w:val="16"/>
                <w:szCs w:val="16"/>
              </w:rPr>
              <w:t>52,8</w:t>
            </w:r>
          </w:p>
        </w:tc>
        <w:tc>
          <w:tcPr>
            <w:tcW w:w="708" w:type="dxa"/>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DA168CB" w14:textId="77777777" w:rsidR="00F22587" w:rsidRPr="000E5DBF" w:rsidRDefault="00F22587" w:rsidP="008A5C11">
            <w:pPr>
              <w:jc w:val="center"/>
              <w:rPr>
                <w:color w:val="000000"/>
                <w:sz w:val="16"/>
                <w:szCs w:val="16"/>
              </w:rPr>
            </w:pPr>
            <w:r w:rsidRPr="000E5DBF">
              <w:rPr>
                <w:color w:val="000000"/>
                <w:sz w:val="16"/>
                <w:szCs w:val="16"/>
              </w:rPr>
              <w:t>52,2</w:t>
            </w:r>
          </w:p>
        </w:tc>
        <w:tc>
          <w:tcPr>
            <w:tcW w:w="709" w:type="dxa"/>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43DF3AA" w14:textId="77777777" w:rsidR="00F22587" w:rsidRPr="000E5DBF" w:rsidRDefault="00F22587" w:rsidP="008A5C11">
            <w:pPr>
              <w:jc w:val="center"/>
              <w:rPr>
                <w:color w:val="000000"/>
                <w:sz w:val="16"/>
                <w:szCs w:val="16"/>
              </w:rPr>
            </w:pPr>
            <w:r w:rsidRPr="000E5DBF">
              <w:rPr>
                <w:color w:val="000000"/>
                <w:sz w:val="16"/>
                <w:szCs w:val="16"/>
              </w:rPr>
              <w:t>52</w:t>
            </w:r>
          </w:p>
        </w:tc>
        <w:tc>
          <w:tcPr>
            <w:tcW w:w="709" w:type="dxa"/>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7B971E9" w14:textId="77777777" w:rsidR="00F22587" w:rsidRPr="000E5DBF" w:rsidRDefault="00F22587" w:rsidP="008A5C11">
            <w:pPr>
              <w:jc w:val="center"/>
              <w:rPr>
                <w:color w:val="000000"/>
                <w:sz w:val="16"/>
                <w:szCs w:val="16"/>
              </w:rPr>
            </w:pPr>
            <w:r w:rsidRPr="000E5DBF">
              <w:rPr>
                <w:color w:val="000000"/>
                <w:sz w:val="16"/>
                <w:szCs w:val="16"/>
              </w:rPr>
              <w:t>51,7</w:t>
            </w:r>
          </w:p>
        </w:tc>
        <w:tc>
          <w:tcPr>
            <w:tcW w:w="850" w:type="dxa"/>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053D77B" w14:textId="77777777" w:rsidR="00F22587" w:rsidRPr="000E5DBF" w:rsidRDefault="00F22587" w:rsidP="008A5C11">
            <w:pPr>
              <w:jc w:val="center"/>
              <w:rPr>
                <w:color w:val="000000"/>
                <w:sz w:val="16"/>
                <w:szCs w:val="16"/>
              </w:rPr>
            </w:pPr>
            <w:r w:rsidRPr="000E5DBF">
              <w:rPr>
                <w:color w:val="000000"/>
                <w:sz w:val="16"/>
                <w:szCs w:val="16"/>
              </w:rPr>
              <w:t>49</w:t>
            </w:r>
          </w:p>
        </w:tc>
        <w:tc>
          <w:tcPr>
            <w:tcW w:w="851" w:type="dxa"/>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B7E4960" w14:textId="77777777" w:rsidR="00F22587" w:rsidRPr="000E5DBF" w:rsidRDefault="00F22587" w:rsidP="008A5C11">
            <w:pPr>
              <w:jc w:val="center"/>
              <w:rPr>
                <w:color w:val="000000"/>
                <w:sz w:val="16"/>
                <w:szCs w:val="16"/>
              </w:rPr>
            </w:pPr>
            <w:r w:rsidRPr="000E5DBF">
              <w:rPr>
                <w:color w:val="000000"/>
                <w:sz w:val="16"/>
                <w:szCs w:val="16"/>
              </w:rPr>
              <w:t>48</w:t>
            </w:r>
          </w:p>
        </w:tc>
      </w:tr>
      <w:tr w:rsidR="00F22587" w:rsidRPr="000E5DBF" w14:paraId="3E569B0E" w14:textId="77777777" w:rsidTr="008A5C11">
        <w:trPr>
          <w:trHeight w:val="458"/>
        </w:trPr>
        <w:tc>
          <w:tcPr>
            <w:tcW w:w="456"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548651A1" w14:textId="77777777" w:rsidR="00F22587" w:rsidRPr="000E5DBF" w:rsidRDefault="00F22587" w:rsidP="008A5C11">
            <w:pPr>
              <w:rPr>
                <w:color w:val="000000"/>
                <w:sz w:val="16"/>
                <w:szCs w:val="16"/>
              </w:rPr>
            </w:pPr>
          </w:p>
        </w:tc>
        <w:tc>
          <w:tcPr>
            <w:tcW w:w="3003"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3FF66D9F" w14:textId="77777777" w:rsidR="00F22587" w:rsidRPr="000E5DBF" w:rsidRDefault="00F22587" w:rsidP="008A5C11">
            <w:pPr>
              <w:rPr>
                <w:color w:val="000000"/>
                <w:sz w:val="16"/>
                <w:szCs w:val="16"/>
              </w:rPr>
            </w:pPr>
          </w:p>
        </w:tc>
        <w:tc>
          <w:tcPr>
            <w:tcW w:w="1275"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6BD84852" w14:textId="77777777" w:rsidR="00F22587" w:rsidRPr="000E5DBF" w:rsidRDefault="00F22587" w:rsidP="008A5C11">
            <w:pPr>
              <w:rPr>
                <w:color w:val="000000"/>
                <w:sz w:val="16"/>
                <w:szCs w:val="16"/>
              </w:rPr>
            </w:pPr>
          </w:p>
        </w:tc>
        <w:tc>
          <w:tcPr>
            <w:tcW w:w="993"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635B70A4" w14:textId="77777777" w:rsidR="00F22587" w:rsidRPr="000E5DBF" w:rsidRDefault="00F22587" w:rsidP="008A5C11">
            <w:pPr>
              <w:rPr>
                <w:color w:val="000000"/>
                <w:sz w:val="16"/>
                <w:szCs w:val="16"/>
              </w:rPr>
            </w:pPr>
          </w:p>
        </w:tc>
        <w:tc>
          <w:tcPr>
            <w:tcW w:w="992"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45FD3159" w14:textId="77777777" w:rsidR="00F22587" w:rsidRPr="000E5DBF" w:rsidRDefault="00F22587" w:rsidP="008A5C11">
            <w:pPr>
              <w:rPr>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1D5B0125" w14:textId="77777777" w:rsidR="00F22587" w:rsidRPr="000E5DBF" w:rsidRDefault="00F22587" w:rsidP="008A5C11">
            <w:pPr>
              <w:rPr>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4747ABCD" w14:textId="77777777" w:rsidR="00F22587" w:rsidRPr="000E5DBF" w:rsidRDefault="00F22587" w:rsidP="008A5C11">
            <w:pPr>
              <w:rPr>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2396BCA1" w14:textId="77777777" w:rsidR="00F22587" w:rsidRPr="000E5DBF" w:rsidRDefault="00F22587" w:rsidP="008A5C11">
            <w:pPr>
              <w:rPr>
                <w:color w:val="000000"/>
                <w:sz w:val="16"/>
                <w:szCs w:val="16"/>
              </w:rPr>
            </w:pPr>
          </w:p>
        </w:tc>
        <w:tc>
          <w:tcPr>
            <w:tcW w:w="708"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68CF2834" w14:textId="77777777" w:rsidR="00F22587" w:rsidRPr="000E5DBF" w:rsidRDefault="00F22587" w:rsidP="008A5C11">
            <w:pPr>
              <w:rPr>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6E464A2D" w14:textId="77777777" w:rsidR="00F22587" w:rsidRPr="000E5DBF" w:rsidRDefault="00F22587" w:rsidP="008A5C11">
            <w:pPr>
              <w:rPr>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199880C8" w14:textId="77777777" w:rsidR="00F22587" w:rsidRPr="000E5DBF" w:rsidRDefault="00F22587" w:rsidP="008A5C11">
            <w:pPr>
              <w:rPr>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0A9149CF" w14:textId="77777777" w:rsidR="00F22587" w:rsidRPr="000E5DBF" w:rsidRDefault="00F22587" w:rsidP="008A5C11">
            <w:pPr>
              <w:rPr>
                <w:color w:val="000000"/>
                <w:sz w:val="16"/>
                <w:szCs w:val="16"/>
              </w:rPr>
            </w:pPr>
          </w:p>
        </w:tc>
        <w:tc>
          <w:tcPr>
            <w:tcW w:w="708"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02C932D0" w14:textId="77777777" w:rsidR="00F22587" w:rsidRPr="000E5DBF" w:rsidRDefault="00F22587" w:rsidP="008A5C11">
            <w:pPr>
              <w:rPr>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7BAF1A45" w14:textId="77777777" w:rsidR="00F22587" w:rsidRPr="000E5DBF" w:rsidRDefault="00F22587" w:rsidP="008A5C11">
            <w:pPr>
              <w:rPr>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078FB891" w14:textId="77777777" w:rsidR="00F22587" w:rsidRPr="000E5DBF" w:rsidRDefault="00F22587" w:rsidP="008A5C11">
            <w:pPr>
              <w:rPr>
                <w:color w:val="000000"/>
                <w:sz w:val="16"/>
                <w:szCs w:val="16"/>
              </w:rPr>
            </w:pPr>
          </w:p>
        </w:tc>
        <w:tc>
          <w:tcPr>
            <w:tcW w:w="850"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2FA841A8" w14:textId="77777777" w:rsidR="00F22587" w:rsidRPr="000E5DBF" w:rsidRDefault="00F22587" w:rsidP="008A5C11">
            <w:pPr>
              <w:rPr>
                <w:color w:val="000000"/>
                <w:sz w:val="16"/>
                <w:szCs w:val="16"/>
              </w:rPr>
            </w:pPr>
          </w:p>
        </w:tc>
        <w:tc>
          <w:tcPr>
            <w:tcW w:w="85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64EB9F99" w14:textId="77777777" w:rsidR="00F22587" w:rsidRPr="000E5DBF" w:rsidRDefault="00F22587" w:rsidP="008A5C11">
            <w:pPr>
              <w:rPr>
                <w:color w:val="000000"/>
                <w:sz w:val="16"/>
                <w:szCs w:val="16"/>
              </w:rPr>
            </w:pPr>
          </w:p>
        </w:tc>
      </w:tr>
      <w:tr w:rsidR="00F22587" w:rsidRPr="000E5DBF" w14:paraId="01BF574A" w14:textId="77777777" w:rsidTr="008A5C11">
        <w:tc>
          <w:tcPr>
            <w:tcW w:w="456"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B874633" w14:textId="77777777" w:rsidR="00F22587" w:rsidRPr="000E5DBF" w:rsidRDefault="00F22587" w:rsidP="008A5C11">
            <w:pPr>
              <w:jc w:val="center"/>
              <w:rPr>
                <w:color w:val="000000"/>
                <w:sz w:val="16"/>
                <w:szCs w:val="16"/>
              </w:rPr>
            </w:pPr>
            <w:r w:rsidRPr="000E5DBF">
              <w:rPr>
                <w:color w:val="000000"/>
                <w:sz w:val="16"/>
                <w:szCs w:val="16"/>
              </w:rPr>
              <w:t>5</w:t>
            </w:r>
          </w:p>
        </w:tc>
        <w:tc>
          <w:tcPr>
            <w:tcW w:w="3003"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F9CCB66" w14:textId="77777777" w:rsidR="00F22587" w:rsidRPr="000E5DBF" w:rsidRDefault="00F22587" w:rsidP="008A5C11">
            <w:pPr>
              <w:rPr>
                <w:color w:val="000000"/>
                <w:sz w:val="16"/>
                <w:szCs w:val="16"/>
              </w:rPr>
            </w:pPr>
            <w:r w:rsidRPr="000E5DBF">
              <w:rPr>
                <w:color w:val="000000"/>
                <w:sz w:val="16"/>
                <w:szCs w:val="16"/>
              </w:rPr>
              <w:t>Потери тепловой энергии при передаче тепловой энергии по тепловым сетям</w:t>
            </w:r>
          </w:p>
        </w:tc>
        <w:tc>
          <w:tcPr>
            <w:tcW w:w="127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D33DCBA" w14:textId="77777777" w:rsidR="00F22587" w:rsidRPr="000E5DBF" w:rsidRDefault="00F22587" w:rsidP="008A5C11">
            <w:pPr>
              <w:jc w:val="center"/>
              <w:rPr>
                <w:color w:val="000000"/>
                <w:sz w:val="16"/>
                <w:szCs w:val="16"/>
              </w:rPr>
            </w:pPr>
            <w:r w:rsidRPr="000E5DBF">
              <w:rPr>
                <w:color w:val="000000"/>
                <w:sz w:val="16"/>
                <w:szCs w:val="16"/>
              </w:rPr>
              <w:t>Гкал в год</w:t>
            </w:r>
          </w:p>
        </w:tc>
        <w:tc>
          <w:tcPr>
            <w:tcW w:w="99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9A788CA" w14:textId="77777777" w:rsidR="00F22587" w:rsidRPr="000E5DBF" w:rsidRDefault="00F22587" w:rsidP="008A5C11">
            <w:pPr>
              <w:jc w:val="center"/>
              <w:rPr>
                <w:color w:val="000000"/>
                <w:sz w:val="16"/>
                <w:szCs w:val="16"/>
              </w:rPr>
            </w:pPr>
            <w:r w:rsidRPr="000E5DBF">
              <w:rPr>
                <w:color w:val="000000"/>
                <w:sz w:val="16"/>
                <w:szCs w:val="16"/>
              </w:rPr>
              <w:t>11429</w:t>
            </w:r>
          </w:p>
        </w:tc>
        <w:tc>
          <w:tcPr>
            <w:tcW w:w="9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B377037" w14:textId="77777777" w:rsidR="00F22587" w:rsidRPr="000E5DBF" w:rsidRDefault="00F22587" w:rsidP="008A5C11">
            <w:pPr>
              <w:jc w:val="center"/>
              <w:rPr>
                <w:color w:val="000000"/>
                <w:sz w:val="16"/>
                <w:szCs w:val="16"/>
              </w:rPr>
            </w:pPr>
            <w:r w:rsidRPr="000E5DBF">
              <w:rPr>
                <w:color w:val="000000"/>
                <w:sz w:val="16"/>
                <w:szCs w:val="16"/>
              </w:rPr>
              <w:t>11429</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8D8EF15" w14:textId="77777777" w:rsidR="00F22587" w:rsidRPr="000E5DBF" w:rsidRDefault="00F22587" w:rsidP="008A5C11">
            <w:pPr>
              <w:jc w:val="center"/>
              <w:rPr>
                <w:color w:val="000000"/>
                <w:sz w:val="16"/>
                <w:szCs w:val="16"/>
              </w:rPr>
            </w:pPr>
            <w:r w:rsidRPr="000E5DBF">
              <w:rPr>
                <w:color w:val="000000"/>
                <w:sz w:val="16"/>
                <w:szCs w:val="16"/>
              </w:rPr>
              <w:t>11429</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558D145" w14:textId="77777777" w:rsidR="00F22587" w:rsidRPr="000E5DBF" w:rsidRDefault="00F22587" w:rsidP="008A5C11">
            <w:pPr>
              <w:jc w:val="center"/>
              <w:rPr>
                <w:color w:val="000000"/>
                <w:sz w:val="16"/>
                <w:szCs w:val="16"/>
              </w:rPr>
            </w:pPr>
            <w:r w:rsidRPr="000E5DBF">
              <w:rPr>
                <w:color w:val="000000"/>
                <w:sz w:val="16"/>
                <w:szCs w:val="16"/>
              </w:rPr>
              <w:t>11404</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B611955" w14:textId="77777777" w:rsidR="00F22587" w:rsidRPr="000E5DBF" w:rsidRDefault="00F22587" w:rsidP="008A5C11">
            <w:pPr>
              <w:jc w:val="center"/>
              <w:rPr>
                <w:color w:val="000000"/>
                <w:sz w:val="16"/>
                <w:szCs w:val="16"/>
              </w:rPr>
            </w:pPr>
            <w:r w:rsidRPr="000E5DBF">
              <w:rPr>
                <w:color w:val="000000"/>
                <w:sz w:val="16"/>
                <w:szCs w:val="16"/>
              </w:rPr>
              <w:t>11404</w:t>
            </w:r>
          </w:p>
        </w:tc>
        <w:tc>
          <w:tcPr>
            <w:tcW w:w="70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715C6D7" w14:textId="77777777" w:rsidR="00F22587" w:rsidRPr="000E5DBF" w:rsidRDefault="00F22587" w:rsidP="008A5C11">
            <w:pPr>
              <w:jc w:val="center"/>
              <w:rPr>
                <w:color w:val="000000"/>
                <w:sz w:val="16"/>
                <w:szCs w:val="16"/>
              </w:rPr>
            </w:pPr>
            <w:r w:rsidRPr="000E5DBF">
              <w:rPr>
                <w:color w:val="000000"/>
                <w:sz w:val="16"/>
                <w:szCs w:val="16"/>
              </w:rPr>
              <w:t>11404</w:t>
            </w:r>
          </w:p>
        </w:tc>
        <w:tc>
          <w:tcPr>
            <w:tcW w:w="709"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797A14C5" w14:textId="77777777" w:rsidR="00F22587" w:rsidRPr="000E5DBF" w:rsidRDefault="00F22587" w:rsidP="008A5C11">
            <w:pPr>
              <w:jc w:val="center"/>
              <w:rPr>
                <w:color w:val="000000"/>
                <w:sz w:val="16"/>
                <w:szCs w:val="16"/>
              </w:rPr>
            </w:pPr>
            <w:r w:rsidRPr="000E5DBF">
              <w:rPr>
                <w:color w:val="000000"/>
                <w:sz w:val="16"/>
                <w:szCs w:val="16"/>
              </w:rPr>
              <w:t>11429</w:t>
            </w:r>
          </w:p>
        </w:tc>
        <w:tc>
          <w:tcPr>
            <w:tcW w:w="709"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5B7BD4A2" w14:textId="77777777" w:rsidR="00F22587" w:rsidRPr="000E5DBF" w:rsidRDefault="00F22587" w:rsidP="008A5C11">
            <w:pPr>
              <w:jc w:val="center"/>
              <w:rPr>
                <w:color w:val="000000"/>
                <w:sz w:val="16"/>
                <w:szCs w:val="16"/>
              </w:rPr>
            </w:pPr>
            <w:r w:rsidRPr="000E5DBF">
              <w:rPr>
                <w:color w:val="000000"/>
                <w:sz w:val="16"/>
                <w:szCs w:val="16"/>
              </w:rPr>
              <w:t>11429</w:t>
            </w:r>
          </w:p>
        </w:tc>
        <w:tc>
          <w:tcPr>
            <w:tcW w:w="709"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3899297D" w14:textId="77777777" w:rsidR="00F22587" w:rsidRPr="000E5DBF" w:rsidRDefault="00F22587" w:rsidP="008A5C11">
            <w:pPr>
              <w:jc w:val="center"/>
              <w:rPr>
                <w:color w:val="000000"/>
                <w:sz w:val="16"/>
                <w:szCs w:val="16"/>
              </w:rPr>
            </w:pPr>
            <w:r w:rsidRPr="000E5DBF">
              <w:rPr>
                <w:color w:val="000000"/>
                <w:sz w:val="16"/>
                <w:szCs w:val="16"/>
              </w:rPr>
              <w:t>11429</w:t>
            </w:r>
          </w:p>
        </w:tc>
        <w:tc>
          <w:tcPr>
            <w:tcW w:w="708"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66D963B2" w14:textId="77777777" w:rsidR="00F22587" w:rsidRPr="000E5DBF" w:rsidRDefault="00F22587" w:rsidP="008A5C11">
            <w:pPr>
              <w:jc w:val="center"/>
              <w:rPr>
                <w:color w:val="000000"/>
                <w:sz w:val="16"/>
                <w:szCs w:val="16"/>
              </w:rPr>
            </w:pPr>
            <w:r w:rsidRPr="000E5DBF">
              <w:rPr>
                <w:color w:val="000000"/>
                <w:sz w:val="16"/>
                <w:szCs w:val="16"/>
              </w:rPr>
              <w:t>11429</w:t>
            </w:r>
          </w:p>
        </w:tc>
        <w:tc>
          <w:tcPr>
            <w:tcW w:w="709"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3CD281D9" w14:textId="77777777" w:rsidR="00F22587" w:rsidRPr="000E5DBF" w:rsidRDefault="00F22587" w:rsidP="008A5C11">
            <w:pPr>
              <w:jc w:val="center"/>
              <w:rPr>
                <w:color w:val="000000"/>
                <w:sz w:val="16"/>
                <w:szCs w:val="16"/>
              </w:rPr>
            </w:pPr>
            <w:r w:rsidRPr="000E5DBF">
              <w:rPr>
                <w:color w:val="000000"/>
                <w:sz w:val="16"/>
                <w:szCs w:val="16"/>
              </w:rPr>
              <w:t>11429</w:t>
            </w:r>
          </w:p>
        </w:tc>
        <w:tc>
          <w:tcPr>
            <w:tcW w:w="709"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2CC4808" w14:textId="77777777" w:rsidR="00F22587" w:rsidRPr="000E5DBF" w:rsidRDefault="00F22587" w:rsidP="008A5C11">
            <w:pPr>
              <w:jc w:val="center"/>
              <w:rPr>
                <w:color w:val="000000"/>
                <w:sz w:val="16"/>
                <w:szCs w:val="16"/>
              </w:rPr>
            </w:pPr>
            <w:r w:rsidRPr="000E5DBF">
              <w:rPr>
                <w:color w:val="000000"/>
                <w:sz w:val="16"/>
                <w:szCs w:val="16"/>
              </w:rPr>
              <w:t>11429,69</w:t>
            </w:r>
          </w:p>
        </w:tc>
        <w:tc>
          <w:tcPr>
            <w:tcW w:w="850"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1F451D2" w14:textId="77777777" w:rsidR="00F22587" w:rsidRPr="000E5DBF" w:rsidRDefault="00F22587" w:rsidP="008A5C11">
            <w:pPr>
              <w:jc w:val="center"/>
              <w:rPr>
                <w:color w:val="000000"/>
                <w:sz w:val="16"/>
                <w:szCs w:val="16"/>
              </w:rPr>
            </w:pPr>
            <w:r w:rsidRPr="000E5DBF">
              <w:rPr>
                <w:color w:val="000000"/>
                <w:sz w:val="16"/>
                <w:szCs w:val="16"/>
              </w:rPr>
              <w:t>11429,69</w:t>
            </w:r>
          </w:p>
        </w:tc>
        <w:tc>
          <w:tcPr>
            <w:tcW w:w="851"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4F3A2F5" w14:textId="77777777" w:rsidR="00F22587" w:rsidRPr="000E5DBF" w:rsidRDefault="00F22587" w:rsidP="008A5C11">
            <w:pPr>
              <w:jc w:val="center"/>
              <w:rPr>
                <w:color w:val="000000"/>
                <w:sz w:val="16"/>
                <w:szCs w:val="16"/>
              </w:rPr>
            </w:pPr>
            <w:r w:rsidRPr="000E5DBF">
              <w:rPr>
                <w:color w:val="000000"/>
                <w:sz w:val="16"/>
                <w:szCs w:val="16"/>
              </w:rPr>
              <w:t>11429,69</w:t>
            </w:r>
          </w:p>
        </w:tc>
      </w:tr>
      <w:tr w:rsidR="00F22587" w:rsidRPr="000E5DBF" w14:paraId="2BCA3D79" w14:textId="77777777" w:rsidTr="008A5C11">
        <w:trPr>
          <w:trHeight w:val="458"/>
        </w:trPr>
        <w:tc>
          <w:tcPr>
            <w:tcW w:w="456"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248473E6" w14:textId="77777777" w:rsidR="00F22587" w:rsidRPr="000E5DBF" w:rsidRDefault="00F22587" w:rsidP="008A5C11">
            <w:pPr>
              <w:rPr>
                <w:color w:val="000000"/>
                <w:sz w:val="16"/>
                <w:szCs w:val="16"/>
              </w:rPr>
            </w:pPr>
          </w:p>
        </w:tc>
        <w:tc>
          <w:tcPr>
            <w:tcW w:w="3003"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085EF303" w14:textId="77777777" w:rsidR="00F22587" w:rsidRPr="000E5DBF" w:rsidRDefault="00F22587" w:rsidP="008A5C11">
            <w:pPr>
              <w:rPr>
                <w:color w:val="000000"/>
                <w:sz w:val="16"/>
                <w:szCs w:val="16"/>
              </w:rPr>
            </w:pPr>
          </w:p>
        </w:tc>
        <w:tc>
          <w:tcPr>
            <w:tcW w:w="1275"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D9D63E6" w14:textId="77777777" w:rsidR="00F22587" w:rsidRPr="000E5DBF" w:rsidRDefault="00F22587" w:rsidP="008A5C11">
            <w:pPr>
              <w:jc w:val="center"/>
              <w:rPr>
                <w:color w:val="000000"/>
                <w:sz w:val="16"/>
                <w:szCs w:val="16"/>
              </w:rPr>
            </w:pPr>
            <w:r w:rsidRPr="000E5DBF">
              <w:rPr>
                <w:color w:val="000000"/>
                <w:sz w:val="16"/>
                <w:szCs w:val="16"/>
              </w:rPr>
              <w:t>% от полезного отпуска тепловой энергии</w:t>
            </w:r>
          </w:p>
        </w:tc>
        <w:tc>
          <w:tcPr>
            <w:tcW w:w="993"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A0E5608" w14:textId="77777777" w:rsidR="00F22587" w:rsidRPr="000E5DBF" w:rsidRDefault="00F22587" w:rsidP="008A5C11">
            <w:pPr>
              <w:jc w:val="center"/>
              <w:rPr>
                <w:color w:val="000000"/>
                <w:sz w:val="16"/>
                <w:szCs w:val="16"/>
              </w:rPr>
            </w:pPr>
            <w:r w:rsidRPr="000E5DBF">
              <w:rPr>
                <w:color w:val="000000"/>
                <w:sz w:val="16"/>
                <w:szCs w:val="16"/>
              </w:rPr>
              <w:t>8,66</w:t>
            </w:r>
          </w:p>
        </w:tc>
        <w:tc>
          <w:tcPr>
            <w:tcW w:w="992"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30744D3" w14:textId="77777777" w:rsidR="00F22587" w:rsidRPr="000E5DBF" w:rsidRDefault="00F22587" w:rsidP="008A5C11">
            <w:pPr>
              <w:jc w:val="center"/>
              <w:rPr>
                <w:color w:val="000000"/>
                <w:sz w:val="16"/>
                <w:szCs w:val="16"/>
              </w:rPr>
            </w:pPr>
            <w:r w:rsidRPr="000E5DBF">
              <w:rPr>
                <w:color w:val="000000"/>
                <w:sz w:val="16"/>
                <w:szCs w:val="16"/>
              </w:rPr>
              <w:t>9</w:t>
            </w:r>
          </w:p>
        </w:tc>
        <w:tc>
          <w:tcPr>
            <w:tcW w:w="709"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8E83D46" w14:textId="77777777" w:rsidR="00F22587" w:rsidRPr="000E5DBF" w:rsidRDefault="00F22587" w:rsidP="008A5C11">
            <w:pPr>
              <w:jc w:val="center"/>
              <w:rPr>
                <w:color w:val="000000"/>
                <w:sz w:val="16"/>
                <w:szCs w:val="16"/>
              </w:rPr>
            </w:pPr>
            <w:r w:rsidRPr="000E5DBF">
              <w:rPr>
                <w:color w:val="000000"/>
                <w:sz w:val="16"/>
                <w:szCs w:val="16"/>
              </w:rPr>
              <w:t>8,66</w:t>
            </w:r>
          </w:p>
        </w:tc>
        <w:tc>
          <w:tcPr>
            <w:tcW w:w="709"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083928E" w14:textId="77777777" w:rsidR="00F22587" w:rsidRPr="000E5DBF" w:rsidRDefault="00F22587" w:rsidP="008A5C11">
            <w:pPr>
              <w:jc w:val="center"/>
              <w:rPr>
                <w:color w:val="000000"/>
                <w:sz w:val="16"/>
                <w:szCs w:val="16"/>
              </w:rPr>
            </w:pPr>
            <w:r w:rsidRPr="000E5DBF">
              <w:rPr>
                <w:color w:val="000000"/>
                <w:sz w:val="16"/>
                <w:szCs w:val="16"/>
              </w:rPr>
              <w:t>8,66</w:t>
            </w:r>
          </w:p>
        </w:tc>
        <w:tc>
          <w:tcPr>
            <w:tcW w:w="709"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29A0942" w14:textId="77777777" w:rsidR="00F22587" w:rsidRPr="000E5DBF" w:rsidRDefault="00F22587" w:rsidP="008A5C11">
            <w:pPr>
              <w:jc w:val="center"/>
              <w:rPr>
                <w:color w:val="000000"/>
                <w:sz w:val="16"/>
                <w:szCs w:val="16"/>
              </w:rPr>
            </w:pPr>
            <w:r w:rsidRPr="000E5DBF">
              <w:rPr>
                <w:color w:val="000000"/>
                <w:sz w:val="16"/>
                <w:szCs w:val="16"/>
              </w:rPr>
              <w:t>8,66</w:t>
            </w:r>
          </w:p>
        </w:tc>
        <w:tc>
          <w:tcPr>
            <w:tcW w:w="708"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A62013D" w14:textId="77777777" w:rsidR="00F22587" w:rsidRPr="000E5DBF" w:rsidRDefault="00F22587" w:rsidP="008A5C11">
            <w:pPr>
              <w:jc w:val="center"/>
              <w:rPr>
                <w:color w:val="000000"/>
                <w:sz w:val="16"/>
                <w:szCs w:val="16"/>
              </w:rPr>
            </w:pPr>
            <w:r w:rsidRPr="000E5DBF">
              <w:rPr>
                <w:color w:val="000000"/>
                <w:sz w:val="16"/>
                <w:szCs w:val="16"/>
              </w:rPr>
              <w:t>8,66</w:t>
            </w:r>
          </w:p>
        </w:tc>
        <w:tc>
          <w:tcPr>
            <w:tcW w:w="709" w:type="dxa"/>
            <w:vMerge w:val="restart"/>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CD68BC8" w14:textId="77777777" w:rsidR="00F22587" w:rsidRPr="000E5DBF" w:rsidRDefault="00F22587" w:rsidP="008A5C11">
            <w:pPr>
              <w:jc w:val="center"/>
              <w:rPr>
                <w:color w:val="000000"/>
                <w:sz w:val="16"/>
                <w:szCs w:val="16"/>
              </w:rPr>
            </w:pPr>
            <w:r w:rsidRPr="000E5DBF">
              <w:rPr>
                <w:color w:val="000000"/>
                <w:sz w:val="16"/>
                <w:szCs w:val="16"/>
              </w:rPr>
              <w:t>8,9</w:t>
            </w:r>
          </w:p>
        </w:tc>
        <w:tc>
          <w:tcPr>
            <w:tcW w:w="709" w:type="dxa"/>
            <w:vMerge w:val="restart"/>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DBD2CA1" w14:textId="77777777" w:rsidR="00F22587" w:rsidRPr="000E5DBF" w:rsidRDefault="00F22587" w:rsidP="008A5C11">
            <w:pPr>
              <w:jc w:val="center"/>
              <w:rPr>
                <w:color w:val="000000"/>
                <w:sz w:val="16"/>
                <w:szCs w:val="16"/>
              </w:rPr>
            </w:pPr>
            <w:r w:rsidRPr="000E5DBF">
              <w:rPr>
                <w:color w:val="000000"/>
                <w:sz w:val="16"/>
                <w:szCs w:val="16"/>
              </w:rPr>
              <w:t>8,9</w:t>
            </w:r>
          </w:p>
        </w:tc>
        <w:tc>
          <w:tcPr>
            <w:tcW w:w="709" w:type="dxa"/>
            <w:vMerge w:val="restart"/>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D660671" w14:textId="77777777" w:rsidR="00F22587" w:rsidRPr="000E5DBF" w:rsidRDefault="00F22587" w:rsidP="008A5C11">
            <w:pPr>
              <w:jc w:val="center"/>
              <w:rPr>
                <w:color w:val="000000"/>
                <w:sz w:val="16"/>
                <w:szCs w:val="16"/>
              </w:rPr>
            </w:pPr>
            <w:r w:rsidRPr="000E5DBF">
              <w:rPr>
                <w:color w:val="000000"/>
                <w:sz w:val="16"/>
                <w:szCs w:val="16"/>
              </w:rPr>
              <w:t>8,9</w:t>
            </w:r>
          </w:p>
        </w:tc>
        <w:tc>
          <w:tcPr>
            <w:tcW w:w="708" w:type="dxa"/>
            <w:vMerge w:val="restart"/>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E11CA89" w14:textId="77777777" w:rsidR="00F22587" w:rsidRPr="000E5DBF" w:rsidRDefault="00F22587" w:rsidP="008A5C11">
            <w:pPr>
              <w:jc w:val="center"/>
              <w:rPr>
                <w:color w:val="000000"/>
                <w:sz w:val="16"/>
                <w:szCs w:val="16"/>
              </w:rPr>
            </w:pPr>
            <w:r w:rsidRPr="000E5DBF">
              <w:rPr>
                <w:color w:val="000000"/>
                <w:sz w:val="16"/>
                <w:szCs w:val="16"/>
              </w:rPr>
              <w:t>8,9</w:t>
            </w:r>
          </w:p>
        </w:tc>
        <w:tc>
          <w:tcPr>
            <w:tcW w:w="709" w:type="dxa"/>
            <w:vMerge w:val="restart"/>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B93A710" w14:textId="77777777" w:rsidR="00F22587" w:rsidRPr="000E5DBF" w:rsidRDefault="00F22587" w:rsidP="008A5C11">
            <w:pPr>
              <w:jc w:val="center"/>
              <w:rPr>
                <w:color w:val="000000"/>
                <w:sz w:val="16"/>
                <w:szCs w:val="16"/>
              </w:rPr>
            </w:pPr>
            <w:r w:rsidRPr="000E5DBF">
              <w:rPr>
                <w:color w:val="000000"/>
                <w:sz w:val="16"/>
                <w:szCs w:val="16"/>
              </w:rPr>
              <w:t>8,9</w:t>
            </w:r>
          </w:p>
        </w:tc>
        <w:tc>
          <w:tcPr>
            <w:tcW w:w="709" w:type="dxa"/>
            <w:vMerge w:val="restart"/>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A7CDA9E" w14:textId="77777777" w:rsidR="00F22587" w:rsidRPr="000E5DBF" w:rsidRDefault="00F22587" w:rsidP="008A5C11">
            <w:pPr>
              <w:jc w:val="center"/>
              <w:rPr>
                <w:color w:val="000000"/>
                <w:sz w:val="16"/>
                <w:szCs w:val="16"/>
              </w:rPr>
            </w:pPr>
            <w:r w:rsidRPr="000E5DBF">
              <w:rPr>
                <w:color w:val="000000"/>
                <w:sz w:val="16"/>
                <w:szCs w:val="16"/>
              </w:rPr>
              <w:t>9</w:t>
            </w:r>
          </w:p>
        </w:tc>
        <w:tc>
          <w:tcPr>
            <w:tcW w:w="850" w:type="dxa"/>
            <w:vMerge w:val="restart"/>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2DBB605" w14:textId="77777777" w:rsidR="00F22587" w:rsidRPr="000E5DBF" w:rsidRDefault="00F22587" w:rsidP="008A5C11">
            <w:pPr>
              <w:jc w:val="center"/>
              <w:rPr>
                <w:color w:val="000000"/>
                <w:sz w:val="16"/>
                <w:szCs w:val="16"/>
              </w:rPr>
            </w:pPr>
            <w:r w:rsidRPr="000E5DBF">
              <w:rPr>
                <w:color w:val="000000"/>
                <w:sz w:val="16"/>
                <w:szCs w:val="16"/>
              </w:rPr>
              <w:t>9</w:t>
            </w:r>
          </w:p>
        </w:tc>
        <w:tc>
          <w:tcPr>
            <w:tcW w:w="851" w:type="dxa"/>
            <w:vMerge w:val="restart"/>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1E29065" w14:textId="77777777" w:rsidR="00F22587" w:rsidRPr="000E5DBF" w:rsidRDefault="00F22587" w:rsidP="008A5C11">
            <w:pPr>
              <w:jc w:val="center"/>
              <w:rPr>
                <w:color w:val="000000"/>
                <w:sz w:val="16"/>
                <w:szCs w:val="16"/>
              </w:rPr>
            </w:pPr>
            <w:r w:rsidRPr="000E5DBF">
              <w:rPr>
                <w:color w:val="000000"/>
                <w:sz w:val="16"/>
                <w:szCs w:val="16"/>
              </w:rPr>
              <w:t>9</w:t>
            </w:r>
          </w:p>
        </w:tc>
      </w:tr>
      <w:tr w:rsidR="00F22587" w:rsidRPr="000E5DBF" w14:paraId="4ACF0036" w14:textId="77777777" w:rsidTr="008A5C11">
        <w:trPr>
          <w:trHeight w:val="458"/>
        </w:trPr>
        <w:tc>
          <w:tcPr>
            <w:tcW w:w="456"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08A52014" w14:textId="77777777" w:rsidR="00F22587" w:rsidRPr="000E5DBF" w:rsidRDefault="00F22587" w:rsidP="008A5C11">
            <w:pPr>
              <w:rPr>
                <w:color w:val="000000"/>
                <w:sz w:val="16"/>
                <w:szCs w:val="16"/>
              </w:rPr>
            </w:pPr>
          </w:p>
        </w:tc>
        <w:tc>
          <w:tcPr>
            <w:tcW w:w="3003"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41CC5FEE" w14:textId="77777777" w:rsidR="00F22587" w:rsidRPr="000E5DBF" w:rsidRDefault="00F22587" w:rsidP="008A5C11">
            <w:pPr>
              <w:rPr>
                <w:color w:val="000000"/>
                <w:sz w:val="16"/>
                <w:szCs w:val="16"/>
              </w:rPr>
            </w:pPr>
          </w:p>
        </w:tc>
        <w:tc>
          <w:tcPr>
            <w:tcW w:w="1275"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5888FDEF" w14:textId="77777777" w:rsidR="00F22587" w:rsidRPr="000E5DBF" w:rsidRDefault="00F22587" w:rsidP="008A5C11">
            <w:pPr>
              <w:rPr>
                <w:color w:val="000000"/>
                <w:sz w:val="16"/>
                <w:szCs w:val="16"/>
              </w:rPr>
            </w:pPr>
          </w:p>
        </w:tc>
        <w:tc>
          <w:tcPr>
            <w:tcW w:w="993"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1A8296D0" w14:textId="77777777" w:rsidR="00F22587" w:rsidRPr="000E5DBF" w:rsidRDefault="00F22587" w:rsidP="008A5C11">
            <w:pPr>
              <w:rPr>
                <w:color w:val="000000"/>
                <w:sz w:val="16"/>
                <w:szCs w:val="16"/>
              </w:rPr>
            </w:pPr>
          </w:p>
        </w:tc>
        <w:tc>
          <w:tcPr>
            <w:tcW w:w="992"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1EE06D00" w14:textId="77777777" w:rsidR="00F22587" w:rsidRPr="000E5DBF" w:rsidRDefault="00F22587" w:rsidP="008A5C11">
            <w:pPr>
              <w:rPr>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22C25EC3" w14:textId="77777777" w:rsidR="00F22587" w:rsidRPr="000E5DBF" w:rsidRDefault="00F22587" w:rsidP="008A5C11">
            <w:pPr>
              <w:rPr>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15BA1671" w14:textId="77777777" w:rsidR="00F22587" w:rsidRPr="000E5DBF" w:rsidRDefault="00F22587" w:rsidP="008A5C11">
            <w:pPr>
              <w:rPr>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1EFB97FD" w14:textId="77777777" w:rsidR="00F22587" w:rsidRPr="000E5DBF" w:rsidRDefault="00F22587" w:rsidP="008A5C11">
            <w:pPr>
              <w:rPr>
                <w:color w:val="000000"/>
                <w:sz w:val="16"/>
                <w:szCs w:val="16"/>
              </w:rPr>
            </w:pPr>
          </w:p>
        </w:tc>
        <w:tc>
          <w:tcPr>
            <w:tcW w:w="708"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35027B75" w14:textId="77777777" w:rsidR="00F22587" w:rsidRPr="000E5DBF" w:rsidRDefault="00F22587" w:rsidP="008A5C11">
            <w:pPr>
              <w:rPr>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3B471A56" w14:textId="77777777" w:rsidR="00F22587" w:rsidRPr="000E5DBF" w:rsidRDefault="00F22587" w:rsidP="008A5C11">
            <w:pPr>
              <w:rPr>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31CA1F1F" w14:textId="77777777" w:rsidR="00F22587" w:rsidRPr="000E5DBF" w:rsidRDefault="00F22587" w:rsidP="008A5C11">
            <w:pPr>
              <w:rPr>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3218C5D9" w14:textId="77777777" w:rsidR="00F22587" w:rsidRPr="000E5DBF" w:rsidRDefault="00F22587" w:rsidP="008A5C11">
            <w:pPr>
              <w:rPr>
                <w:color w:val="000000"/>
                <w:sz w:val="16"/>
                <w:szCs w:val="16"/>
              </w:rPr>
            </w:pPr>
          </w:p>
        </w:tc>
        <w:tc>
          <w:tcPr>
            <w:tcW w:w="708"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7B6AEAA6" w14:textId="77777777" w:rsidR="00F22587" w:rsidRPr="000E5DBF" w:rsidRDefault="00F22587" w:rsidP="008A5C11">
            <w:pPr>
              <w:rPr>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4FB8D3D2" w14:textId="77777777" w:rsidR="00F22587" w:rsidRPr="000E5DBF" w:rsidRDefault="00F22587" w:rsidP="008A5C11">
            <w:pPr>
              <w:rPr>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00A30053" w14:textId="77777777" w:rsidR="00F22587" w:rsidRPr="000E5DBF" w:rsidRDefault="00F22587" w:rsidP="008A5C11">
            <w:pPr>
              <w:rPr>
                <w:color w:val="000000"/>
                <w:sz w:val="16"/>
                <w:szCs w:val="16"/>
              </w:rPr>
            </w:pPr>
          </w:p>
        </w:tc>
        <w:tc>
          <w:tcPr>
            <w:tcW w:w="850"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08502C40" w14:textId="77777777" w:rsidR="00F22587" w:rsidRPr="000E5DBF" w:rsidRDefault="00F22587" w:rsidP="008A5C11">
            <w:pPr>
              <w:rPr>
                <w:color w:val="000000"/>
                <w:sz w:val="16"/>
                <w:szCs w:val="16"/>
              </w:rPr>
            </w:pPr>
          </w:p>
        </w:tc>
        <w:tc>
          <w:tcPr>
            <w:tcW w:w="85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06BE3A4B" w14:textId="77777777" w:rsidR="00F22587" w:rsidRPr="000E5DBF" w:rsidRDefault="00F22587" w:rsidP="008A5C11">
            <w:pPr>
              <w:rPr>
                <w:color w:val="000000"/>
                <w:sz w:val="16"/>
                <w:szCs w:val="16"/>
              </w:rPr>
            </w:pPr>
          </w:p>
        </w:tc>
      </w:tr>
      <w:tr w:rsidR="00F22587" w:rsidRPr="000E5DBF" w14:paraId="44AB8D20" w14:textId="77777777" w:rsidTr="008A5C11">
        <w:tc>
          <w:tcPr>
            <w:tcW w:w="456"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247F937" w14:textId="77777777" w:rsidR="00F22587" w:rsidRPr="000E5DBF" w:rsidRDefault="00F22587" w:rsidP="008A5C11">
            <w:pPr>
              <w:jc w:val="center"/>
              <w:rPr>
                <w:color w:val="000000"/>
                <w:sz w:val="16"/>
                <w:szCs w:val="16"/>
              </w:rPr>
            </w:pPr>
            <w:r w:rsidRPr="000E5DBF">
              <w:rPr>
                <w:color w:val="000000"/>
                <w:sz w:val="16"/>
                <w:szCs w:val="16"/>
              </w:rPr>
              <w:t>6</w:t>
            </w:r>
          </w:p>
        </w:tc>
        <w:tc>
          <w:tcPr>
            <w:tcW w:w="3003"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E3069D5" w14:textId="77777777" w:rsidR="00F22587" w:rsidRPr="000E5DBF" w:rsidRDefault="00F22587" w:rsidP="008A5C11">
            <w:pPr>
              <w:rPr>
                <w:color w:val="000000"/>
                <w:sz w:val="16"/>
                <w:szCs w:val="16"/>
              </w:rPr>
            </w:pPr>
            <w:r w:rsidRPr="000E5DBF">
              <w:rPr>
                <w:color w:val="000000"/>
                <w:sz w:val="16"/>
                <w:szCs w:val="16"/>
              </w:rPr>
              <w:t>Потери теплоносителя при передаче тепловой энергии по тепловым сетям</w:t>
            </w:r>
          </w:p>
        </w:tc>
        <w:tc>
          <w:tcPr>
            <w:tcW w:w="127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258C25C" w14:textId="77777777" w:rsidR="00F22587" w:rsidRPr="000E5DBF" w:rsidRDefault="00F22587" w:rsidP="008A5C11">
            <w:pPr>
              <w:jc w:val="center"/>
              <w:rPr>
                <w:color w:val="000000"/>
                <w:sz w:val="16"/>
                <w:szCs w:val="16"/>
              </w:rPr>
            </w:pPr>
            <w:r w:rsidRPr="000E5DBF">
              <w:rPr>
                <w:color w:val="000000"/>
                <w:sz w:val="16"/>
                <w:szCs w:val="16"/>
              </w:rPr>
              <w:t xml:space="preserve">тонн в год для воды </w:t>
            </w:r>
          </w:p>
        </w:tc>
        <w:tc>
          <w:tcPr>
            <w:tcW w:w="99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22513D1" w14:textId="77777777" w:rsidR="00F22587" w:rsidRPr="000E5DBF" w:rsidRDefault="00F22587" w:rsidP="008A5C11">
            <w:pPr>
              <w:jc w:val="center"/>
              <w:rPr>
                <w:color w:val="000000"/>
                <w:sz w:val="16"/>
                <w:szCs w:val="16"/>
              </w:rPr>
            </w:pPr>
            <w:r w:rsidRPr="000E5DBF">
              <w:rPr>
                <w:color w:val="000000"/>
                <w:sz w:val="16"/>
                <w:szCs w:val="16"/>
              </w:rPr>
              <w:t>17452</w:t>
            </w:r>
          </w:p>
        </w:tc>
        <w:tc>
          <w:tcPr>
            <w:tcW w:w="9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376354F" w14:textId="77777777" w:rsidR="00F22587" w:rsidRPr="000E5DBF" w:rsidRDefault="00F22587" w:rsidP="008A5C11">
            <w:pPr>
              <w:jc w:val="center"/>
              <w:rPr>
                <w:color w:val="000000"/>
                <w:sz w:val="16"/>
                <w:szCs w:val="16"/>
              </w:rPr>
            </w:pPr>
            <w:r w:rsidRPr="000E5DBF">
              <w:rPr>
                <w:color w:val="000000"/>
                <w:sz w:val="16"/>
                <w:szCs w:val="16"/>
              </w:rPr>
              <w:t>17496</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8E7DF42" w14:textId="77777777" w:rsidR="00F22587" w:rsidRPr="000E5DBF" w:rsidRDefault="00F22587" w:rsidP="008A5C11">
            <w:pPr>
              <w:jc w:val="center"/>
              <w:rPr>
                <w:color w:val="000000"/>
                <w:sz w:val="16"/>
                <w:szCs w:val="16"/>
              </w:rPr>
            </w:pPr>
            <w:r w:rsidRPr="000E5DBF">
              <w:rPr>
                <w:color w:val="000000"/>
                <w:sz w:val="16"/>
                <w:szCs w:val="16"/>
              </w:rPr>
              <w:t>17452</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26CAC5C" w14:textId="77777777" w:rsidR="00F22587" w:rsidRPr="000E5DBF" w:rsidRDefault="00F22587" w:rsidP="008A5C11">
            <w:pPr>
              <w:jc w:val="center"/>
              <w:rPr>
                <w:color w:val="000000"/>
                <w:sz w:val="16"/>
                <w:szCs w:val="16"/>
              </w:rPr>
            </w:pPr>
            <w:r w:rsidRPr="000E5DBF">
              <w:rPr>
                <w:color w:val="000000"/>
                <w:sz w:val="16"/>
                <w:szCs w:val="16"/>
              </w:rPr>
              <w:t>17452</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E1D26E6" w14:textId="77777777" w:rsidR="00F22587" w:rsidRPr="000E5DBF" w:rsidRDefault="00F22587" w:rsidP="008A5C11">
            <w:pPr>
              <w:jc w:val="center"/>
              <w:rPr>
                <w:color w:val="000000"/>
                <w:sz w:val="16"/>
                <w:szCs w:val="16"/>
              </w:rPr>
            </w:pPr>
            <w:r w:rsidRPr="000E5DBF">
              <w:rPr>
                <w:color w:val="000000"/>
                <w:sz w:val="16"/>
                <w:szCs w:val="16"/>
              </w:rPr>
              <w:t>17452</w:t>
            </w:r>
          </w:p>
        </w:tc>
        <w:tc>
          <w:tcPr>
            <w:tcW w:w="70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F6A51D2" w14:textId="77777777" w:rsidR="00F22587" w:rsidRPr="000E5DBF" w:rsidRDefault="00F22587" w:rsidP="008A5C11">
            <w:pPr>
              <w:jc w:val="center"/>
              <w:rPr>
                <w:color w:val="000000"/>
                <w:sz w:val="16"/>
                <w:szCs w:val="16"/>
              </w:rPr>
            </w:pPr>
            <w:r w:rsidRPr="000E5DBF">
              <w:rPr>
                <w:color w:val="000000"/>
                <w:sz w:val="16"/>
                <w:szCs w:val="16"/>
              </w:rPr>
              <w:t>17452</w:t>
            </w:r>
          </w:p>
        </w:tc>
        <w:tc>
          <w:tcPr>
            <w:tcW w:w="709"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CD1C053" w14:textId="77777777" w:rsidR="00F22587" w:rsidRPr="000E5DBF" w:rsidRDefault="00F22587" w:rsidP="008A5C11">
            <w:pPr>
              <w:jc w:val="center"/>
              <w:rPr>
                <w:color w:val="000000"/>
                <w:sz w:val="16"/>
                <w:szCs w:val="16"/>
              </w:rPr>
            </w:pPr>
            <w:r w:rsidRPr="000E5DBF">
              <w:rPr>
                <w:color w:val="000000"/>
                <w:sz w:val="16"/>
                <w:szCs w:val="16"/>
              </w:rPr>
              <w:t>17494</w:t>
            </w:r>
          </w:p>
        </w:tc>
        <w:tc>
          <w:tcPr>
            <w:tcW w:w="709"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45CC2497" w14:textId="77777777" w:rsidR="00F22587" w:rsidRPr="000E5DBF" w:rsidRDefault="00F22587" w:rsidP="008A5C11">
            <w:pPr>
              <w:jc w:val="center"/>
              <w:rPr>
                <w:color w:val="000000"/>
                <w:sz w:val="16"/>
                <w:szCs w:val="16"/>
              </w:rPr>
            </w:pPr>
            <w:r w:rsidRPr="000E5DBF">
              <w:rPr>
                <w:color w:val="000000"/>
                <w:sz w:val="16"/>
                <w:szCs w:val="16"/>
              </w:rPr>
              <w:t>17494</w:t>
            </w:r>
          </w:p>
        </w:tc>
        <w:tc>
          <w:tcPr>
            <w:tcW w:w="709"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43A4992F" w14:textId="77777777" w:rsidR="00F22587" w:rsidRPr="000E5DBF" w:rsidRDefault="00F22587" w:rsidP="008A5C11">
            <w:pPr>
              <w:jc w:val="center"/>
              <w:rPr>
                <w:color w:val="000000"/>
                <w:sz w:val="16"/>
                <w:szCs w:val="16"/>
              </w:rPr>
            </w:pPr>
            <w:r w:rsidRPr="000E5DBF">
              <w:rPr>
                <w:color w:val="000000"/>
                <w:sz w:val="16"/>
                <w:szCs w:val="16"/>
              </w:rPr>
              <w:t>17494</w:t>
            </w:r>
          </w:p>
        </w:tc>
        <w:tc>
          <w:tcPr>
            <w:tcW w:w="708"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1C95823C" w14:textId="77777777" w:rsidR="00F22587" w:rsidRPr="000E5DBF" w:rsidRDefault="00F22587" w:rsidP="008A5C11">
            <w:pPr>
              <w:jc w:val="center"/>
              <w:rPr>
                <w:color w:val="000000"/>
                <w:sz w:val="16"/>
                <w:szCs w:val="16"/>
              </w:rPr>
            </w:pPr>
            <w:r w:rsidRPr="000E5DBF">
              <w:rPr>
                <w:color w:val="000000"/>
                <w:sz w:val="16"/>
                <w:szCs w:val="16"/>
              </w:rPr>
              <w:t>17494</w:t>
            </w:r>
          </w:p>
        </w:tc>
        <w:tc>
          <w:tcPr>
            <w:tcW w:w="709"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2EB1E953" w14:textId="77777777" w:rsidR="00F22587" w:rsidRPr="000E5DBF" w:rsidRDefault="00F22587" w:rsidP="008A5C11">
            <w:pPr>
              <w:jc w:val="center"/>
              <w:rPr>
                <w:color w:val="000000"/>
                <w:sz w:val="16"/>
                <w:szCs w:val="16"/>
              </w:rPr>
            </w:pPr>
            <w:r w:rsidRPr="000E5DBF">
              <w:rPr>
                <w:color w:val="000000"/>
                <w:sz w:val="16"/>
                <w:szCs w:val="16"/>
              </w:rPr>
              <w:t>17494</w:t>
            </w:r>
          </w:p>
        </w:tc>
        <w:tc>
          <w:tcPr>
            <w:tcW w:w="709"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A50F176" w14:textId="77777777" w:rsidR="00F22587" w:rsidRPr="000E5DBF" w:rsidRDefault="00F22587" w:rsidP="008A5C11">
            <w:pPr>
              <w:jc w:val="center"/>
              <w:rPr>
                <w:color w:val="000000"/>
                <w:sz w:val="16"/>
                <w:szCs w:val="16"/>
              </w:rPr>
            </w:pPr>
            <w:r w:rsidRPr="000E5DBF">
              <w:rPr>
                <w:color w:val="000000"/>
                <w:sz w:val="16"/>
                <w:szCs w:val="16"/>
              </w:rPr>
              <w:t>17496</w:t>
            </w:r>
          </w:p>
        </w:tc>
        <w:tc>
          <w:tcPr>
            <w:tcW w:w="850"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0E4C33AE" w14:textId="77777777" w:rsidR="00F22587" w:rsidRPr="000E5DBF" w:rsidRDefault="00F22587" w:rsidP="008A5C11">
            <w:pPr>
              <w:jc w:val="center"/>
              <w:rPr>
                <w:color w:val="000000"/>
                <w:sz w:val="16"/>
                <w:szCs w:val="16"/>
              </w:rPr>
            </w:pPr>
            <w:r w:rsidRPr="000E5DBF">
              <w:rPr>
                <w:color w:val="000000"/>
                <w:sz w:val="16"/>
                <w:szCs w:val="16"/>
              </w:rPr>
              <w:t>17496</w:t>
            </w:r>
          </w:p>
        </w:tc>
        <w:tc>
          <w:tcPr>
            <w:tcW w:w="851"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1C675EC6" w14:textId="77777777" w:rsidR="00F22587" w:rsidRPr="000E5DBF" w:rsidRDefault="00F22587" w:rsidP="008A5C11">
            <w:pPr>
              <w:jc w:val="center"/>
              <w:rPr>
                <w:color w:val="000000"/>
                <w:sz w:val="16"/>
                <w:szCs w:val="16"/>
              </w:rPr>
            </w:pPr>
            <w:r w:rsidRPr="000E5DBF">
              <w:rPr>
                <w:color w:val="000000"/>
                <w:sz w:val="16"/>
                <w:szCs w:val="16"/>
              </w:rPr>
              <w:t>17496</w:t>
            </w:r>
          </w:p>
        </w:tc>
      </w:tr>
      <w:tr w:rsidR="00F22587" w:rsidRPr="000E5DBF" w14:paraId="011BAEB2" w14:textId="77777777" w:rsidTr="008A5C11">
        <w:tc>
          <w:tcPr>
            <w:tcW w:w="456"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0451CB23" w14:textId="77777777" w:rsidR="00F22587" w:rsidRPr="000E5DBF" w:rsidRDefault="00F22587" w:rsidP="008A5C11">
            <w:pPr>
              <w:rPr>
                <w:color w:val="000000"/>
                <w:sz w:val="16"/>
                <w:szCs w:val="16"/>
              </w:rPr>
            </w:pPr>
          </w:p>
        </w:tc>
        <w:tc>
          <w:tcPr>
            <w:tcW w:w="3003"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50EAAE45" w14:textId="77777777" w:rsidR="00F22587" w:rsidRPr="000E5DBF" w:rsidRDefault="00F22587" w:rsidP="008A5C11">
            <w:pPr>
              <w:rPr>
                <w:color w:val="000000"/>
                <w:sz w:val="16"/>
                <w:szCs w:val="16"/>
              </w:rPr>
            </w:pPr>
          </w:p>
        </w:tc>
        <w:tc>
          <w:tcPr>
            <w:tcW w:w="127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62C5B84" w14:textId="77777777" w:rsidR="00F22587" w:rsidRPr="000E5DBF" w:rsidRDefault="00F22587" w:rsidP="008A5C11">
            <w:pPr>
              <w:jc w:val="center"/>
              <w:rPr>
                <w:color w:val="000000"/>
                <w:sz w:val="16"/>
                <w:szCs w:val="16"/>
              </w:rPr>
            </w:pPr>
            <w:r w:rsidRPr="000E5DBF">
              <w:rPr>
                <w:color w:val="000000"/>
                <w:sz w:val="16"/>
                <w:szCs w:val="16"/>
              </w:rPr>
              <w:t xml:space="preserve">куб. м для пара </w:t>
            </w:r>
          </w:p>
        </w:tc>
        <w:tc>
          <w:tcPr>
            <w:tcW w:w="99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EBFB79B" w14:textId="77777777" w:rsidR="00F22587" w:rsidRPr="000E5DBF" w:rsidRDefault="00F22587" w:rsidP="008A5C11">
            <w:pPr>
              <w:jc w:val="center"/>
              <w:rPr>
                <w:color w:val="000000"/>
                <w:sz w:val="16"/>
                <w:szCs w:val="16"/>
              </w:rPr>
            </w:pPr>
            <w:r w:rsidRPr="000E5DBF">
              <w:rPr>
                <w:color w:val="000000"/>
                <w:sz w:val="16"/>
                <w:szCs w:val="16"/>
              </w:rPr>
              <w:t>1,063</w:t>
            </w:r>
          </w:p>
        </w:tc>
        <w:tc>
          <w:tcPr>
            <w:tcW w:w="9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BF3C1A7" w14:textId="77777777" w:rsidR="00F22587" w:rsidRPr="000E5DBF" w:rsidRDefault="00F22587" w:rsidP="008A5C11">
            <w:pPr>
              <w:jc w:val="center"/>
              <w:rPr>
                <w:color w:val="000000"/>
                <w:sz w:val="16"/>
                <w:szCs w:val="16"/>
              </w:rPr>
            </w:pPr>
            <w:r w:rsidRPr="000E5DBF">
              <w:rPr>
                <w:color w:val="000000"/>
                <w:sz w:val="16"/>
                <w:szCs w:val="16"/>
              </w:rPr>
              <w:t>1,063</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158DF62" w14:textId="77777777" w:rsidR="00F22587" w:rsidRPr="000E5DBF" w:rsidRDefault="00F22587" w:rsidP="008A5C11">
            <w:pPr>
              <w:jc w:val="center"/>
              <w:rPr>
                <w:color w:val="000000"/>
                <w:sz w:val="16"/>
                <w:szCs w:val="16"/>
              </w:rPr>
            </w:pPr>
            <w:r w:rsidRPr="000E5DBF">
              <w:rPr>
                <w:color w:val="000000"/>
                <w:sz w:val="16"/>
                <w:szCs w:val="16"/>
              </w:rPr>
              <w:t>1,063</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97EA9E2" w14:textId="77777777" w:rsidR="00F22587" w:rsidRPr="000E5DBF" w:rsidRDefault="00F22587" w:rsidP="008A5C11">
            <w:pPr>
              <w:jc w:val="center"/>
              <w:rPr>
                <w:color w:val="000000"/>
                <w:sz w:val="16"/>
                <w:szCs w:val="16"/>
              </w:rPr>
            </w:pPr>
            <w:r w:rsidRPr="000E5DBF">
              <w:rPr>
                <w:color w:val="000000"/>
                <w:sz w:val="16"/>
                <w:szCs w:val="16"/>
              </w:rPr>
              <w:t>1,063</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B4849E7" w14:textId="77777777" w:rsidR="00F22587" w:rsidRPr="000E5DBF" w:rsidRDefault="00F22587" w:rsidP="008A5C11">
            <w:pPr>
              <w:jc w:val="center"/>
              <w:rPr>
                <w:color w:val="000000"/>
                <w:sz w:val="16"/>
                <w:szCs w:val="16"/>
              </w:rPr>
            </w:pPr>
            <w:r w:rsidRPr="000E5DBF">
              <w:rPr>
                <w:color w:val="000000"/>
                <w:sz w:val="16"/>
                <w:szCs w:val="16"/>
              </w:rPr>
              <w:t>1,063</w:t>
            </w:r>
          </w:p>
        </w:tc>
        <w:tc>
          <w:tcPr>
            <w:tcW w:w="70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F47CDB3" w14:textId="77777777" w:rsidR="00F22587" w:rsidRPr="000E5DBF" w:rsidRDefault="00F22587" w:rsidP="008A5C11">
            <w:pPr>
              <w:jc w:val="center"/>
              <w:rPr>
                <w:color w:val="000000"/>
                <w:sz w:val="16"/>
                <w:szCs w:val="16"/>
              </w:rPr>
            </w:pPr>
            <w:r w:rsidRPr="000E5DBF">
              <w:rPr>
                <w:color w:val="000000"/>
                <w:sz w:val="16"/>
                <w:szCs w:val="16"/>
              </w:rPr>
              <w:t>1,063</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0AB415E" w14:textId="77777777" w:rsidR="00F22587" w:rsidRPr="000E5DBF" w:rsidRDefault="00F22587" w:rsidP="008A5C11">
            <w:pPr>
              <w:jc w:val="center"/>
              <w:rPr>
                <w:color w:val="000000"/>
                <w:sz w:val="16"/>
                <w:szCs w:val="16"/>
              </w:rPr>
            </w:pPr>
            <w:r w:rsidRPr="000E5DBF">
              <w:rPr>
                <w:color w:val="000000"/>
                <w:sz w:val="16"/>
                <w:szCs w:val="16"/>
              </w:rPr>
              <w:t>1,063</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4F77802" w14:textId="77777777" w:rsidR="00F22587" w:rsidRPr="000E5DBF" w:rsidRDefault="00F22587" w:rsidP="008A5C11">
            <w:pPr>
              <w:jc w:val="center"/>
              <w:rPr>
                <w:color w:val="000000"/>
                <w:sz w:val="16"/>
                <w:szCs w:val="16"/>
              </w:rPr>
            </w:pPr>
            <w:r w:rsidRPr="000E5DBF">
              <w:rPr>
                <w:color w:val="000000"/>
                <w:sz w:val="16"/>
                <w:szCs w:val="16"/>
              </w:rPr>
              <w:t>1,063</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4C3BBCC" w14:textId="77777777" w:rsidR="00F22587" w:rsidRPr="000E5DBF" w:rsidRDefault="00F22587" w:rsidP="008A5C11">
            <w:pPr>
              <w:jc w:val="center"/>
              <w:rPr>
                <w:color w:val="000000"/>
                <w:sz w:val="16"/>
                <w:szCs w:val="16"/>
              </w:rPr>
            </w:pPr>
            <w:r w:rsidRPr="000E5DBF">
              <w:rPr>
                <w:color w:val="000000"/>
                <w:sz w:val="16"/>
                <w:szCs w:val="16"/>
              </w:rPr>
              <w:t>1,063</w:t>
            </w:r>
          </w:p>
        </w:tc>
        <w:tc>
          <w:tcPr>
            <w:tcW w:w="70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4083722" w14:textId="77777777" w:rsidR="00F22587" w:rsidRPr="000E5DBF" w:rsidRDefault="00F22587" w:rsidP="008A5C11">
            <w:pPr>
              <w:jc w:val="center"/>
              <w:rPr>
                <w:color w:val="000000"/>
                <w:sz w:val="16"/>
                <w:szCs w:val="16"/>
              </w:rPr>
            </w:pPr>
            <w:r w:rsidRPr="000E5DBF">
              <w:rPr>
                <w:color w:val="000000"/>
                <w:sz w:val="16"/>
                <w:szCs w:val="16"/>
              </w:rPr>
              <w:t>1,063</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A37EBC5" w14:textId="77777777" w:rsidR="00F22587" w:rsidRPr="000E5DBF" w:rsidRDefault="00F22587" w:rsidP="008A5C11">
            <w:pPr>
              <w:jc w:val="center"/>
              <w:rPr>
                <w:color w:val="000000"/>
                <w:sz w:val="16"/>
                <w:szCs w:val="16"/>
              </w:rPr>
            </w:pPr>
            <w:r w:rsidRPr="000E5DBF">
              <w:rPr>
                <w:color w:val="000000"/>
                <w:sz w:val="16"/>
                <w:szCs w:val="16"/>
              </w:rPr>
              <w:t>1,063</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E5CA4EF" w14:textId="77777777" w:rsidR="00F22587" w:rsidRPr="000E5DBF" w:rsidRDefault="00F22587" w:rsidP="008A5C11">
            <w:pPr>
              <w:jc w:val="center"/>
              <w:rPr>
                <w:color w:val="000000"/>
                <w:sz w:val="16"/>
                <w:szCs w:val="16"/>
              </w:rPr>
            </w:pPr>
            <w:r w:rsidRPr="000E5DBF">
              <w:rPr>
                <w:color w:val="000000"/>
                <w:sz w:val="16"/>
                <w:szCs w:val="16"/>
              </w:rPr>
              <w:t>1,063</w:t>
            </w:r>
          </w:p>
        </w:tc>
        <w:tc>
          <w:tcPr>
            <w:tcW w:w="85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330196D" w14:textId="77777777" w:rsidR="00F22587" w:rsidRPr="000E5DBF" w:rsidRDefault="00F22587" w:rsidP="008A5C11">
            <w:pPr>
              <w:jc w:val="center"/>
              <w:rPr>
                <w:color w:val="000000"/>
                <w:sz w:val="16"/>
                <w:szCs w:val="16"/>
              </w:rPr>
            </w:pPr>
            <w:r w:rsidRPr="000E5DBF">
              <w:rPr>
                <w:color w:val="000000"/>
                <w:sz w:val="16"/>
                <w:szCs w:val="16"/>
              </w:rPr>
              <w:t>1,063</w:t>
            </w:r>
          </w:p>
        </w:tc>
        <w:tc>
          <w:tcPr>
            <w:tcW w:w="85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74C31B5" w14:textId="77777777" w:rsidR="00F22587" w:rsidRPr="000E5DBF" w:rsidRDefault="00F22587" w:rsidP="008A5C11">
            <w:pPr>
              <w:jc w:val="center"/>
              <w:rPr>
                <w:color w:val="000000"/>
                <w:sz w:val="16"/>
                <w:szCs w:val="16"/>
              </w:rPr>
            </w:pPr>
            <w:r w:rsidRPr="000E5DBF">
              <w:rPr>
                <w:color w:val="000000"/>
                <w:sz w:val="16"/>
                <w:szCs w:val="16"/>
              </w:rPr>
              <w:t>1,063</w:t>
            </w:r>
          </w:p>
        </w:tc>
      </w:tr>
      <w:tr w:rsidR="00F22587" w:rsidRPr="000E5DBF" w14:paraId="0F7506BA" w14:textId="77777777" w:rsidTr="008A5C11">
        <w:tc>
          <w:tcPr>
            <w:tcW w:w="456"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E099026" w14:textId="77777777" w:rsidR="00F22587" w:rsidRPr="000E5DBF" w:rsidRDefault="00F22587" w:rsidP="008A5C11">
            <w:pPr>
              <w:jc w:val="center"/>
              <w:rPr>
                <w:color w:val="000000"/>
                <w:sz w:val="16"/>
                <w:szCs w:val="16"/>
              </w:rPr>
            </w:pPr>
            <w:r w:rsidRPr="000E5DBF">
              <w:rPr>
                <w:color w:val="000000"/>
                <w:sz w:val="16"/>
                <w:szCs w:val="16"/>
              </w:rPr>
              <w:t>7</w:t>
            </w:r>
          </w:p>
        </w:tc>
        <w:tc>
          <w:tcPr>
            <w:tcW w:w="300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FEBBF18" w14:textId="77777777" w:rsidR="00F22587" w:rsidRPr="000E5DBF" w:rsidRDefault="00F22587" w:rsidP="008A5C11">
            <w:pPr>
              <w:rPr>
                <w:color w:val="000000"/>
                <w:sz w:val="16"/>
                <w:szCs w:val="16"/>
              </w:rPr>
            </w:pPr>
            <w:r w:rsidRPr="000E5DBF">
              <w:rPr>
                <w:color w:val="000000"/>
                <w:sz w:val="16"/>
                <w:szCs w:val="16"/>
              </w:rPr>
              <w:t>Показатели, характеризующие снижение негативного воздействия на окружающую среду, определяемые в соответствии с законодательством РФ об охране окружающей среды:</w:t>
            </w:r>
          </w:p>
        </w:tc>
        <w:tc>
          <w:tcPr>
            <w:tcW w:w="127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20EF763" w14:textId="77777777" w:rsidR="00F22587" w:rsidRPr="000E5DBF" w:rsidRDefault="00F22587" w:rsidP="008A5C11">
            <w:pPr>
              <w:jc w:val="center"/>
              <w:rPr>
                <w:color w:val="000000"/>
                <w:sz w:val="16"/>
                <w:szCs w:val="16"/>
              </w:rPr>
            </w:pPr>
            <w:r w:rsidRPr="000E5DBF">
              <w:rPr>
                <w:color w:val="000000"/>
                <w:sz w:val="16"/>
                <w:szCs w:val="16"/>
              </w:rPr>
              <w:t xml:space="preserve">в соответствии с </w:t>
            </w:r>
            <w:proofErr w:type="gramStart"/>
            <w:r w:rsidRPr="000E5DBF">
              <w:rPr>
                <w:color w:val="000000"/>
                <w:sz w:val="16"/>
                <w:szCs w:val="16"/>
              </w:rPr>
              <w:t>законодательст-вом</w:t>
            </w:r>
            <w:proofErr w:type="gramEnd"/>
            <w:r w:rsidRPr="000E5DBF">
              <w:rPr>
                <w:color w:val="000000"/>
                <w:sz w:val="16"/>
                <w:szCs w:val="16"/>
              </w:rPr>
              <w:t xml:space="preserve"> РФ об охране окружающей среды</w:t>
            </w:r>
          </w:p>
        </w:tc>
        <w:tc>
          <w:tcPr>
            <w:tcW w:w="99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3357658" w14:textId="77777777" w:rsidR="00F22587" w:rsidRPr="000E5DBF" w:rsidRDefault="00F22587" w:rsidP="008A5C11">
            <w:pPr>
              <w:jc w:val="center"/>
              <w:rPr>
                <w:color w:val="000000"/>
                <w:sz w:val="16"/>
                <w:szCs w:val="16"/>
              </w:rPr>
            </w:pPr>
            <w:r w:rsidRPr="000E5DBF">
              <w:rPr>
                <w:color w:val="000000"/>
                <w:sz w:val="16"/>
                <w:szCs w:val="16"/>
              </w:rPr>
              <w:t> </w:t>
            </w:r>
          </w:p>
        </w:tc>
        <w:tc>
          <w:tcPr>
            <w:tcW w:w="9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509DE97" w14:textId="77777777" w:rsidR="00F22587" w:rsidRPr="000E5DBF" w:rsidRDefault="00F22587" w:rsidP="008A5C11">
            <w:pPr>
              <w:jc w:val="center"/>
              <w:rPr>
                <w:color w:val="000000"/>
                <w:sz w:val="16"/>
                <w:szCs w:val="16"/>
              </w:rPr>
            </w:pPr>
            <w:r w:rsidRPr="000E5DBF">
              <w:rPr>
                <w:color w:val="000000"/>
                <w:sz w:val="16"/>
                <w:szCs w:val="16"/>
              </w:rPr>
              <w:t> </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6AD31C8" w14:textId="77777777" w:rsidR="00F22587" w:rsidRPr="000E5DBF" w:rsidRDefault="00F22587" w:rsidP="008A5C11">
            <w:pPr>
              <w:jc w:val="center"/>
              <w:rPr>
                <w:color w:val="000000"/>
                <w:sz w:val="16"/>
                <w:szCs w:val="16"/>
              </w:rPr>
            </w:pPr>
            <w:r w:rsidRPr="000E5DBF">
              <w:rPr>
                <w:color w:val="000000"/>
                <w:sz w:val="16"/>
                <w:szCs w:val="16"/>
              </w:rPr>
              <w:t> </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D5B80D9" w14:textId="77777777" w:rsidR="00F22587" w:rsidRPr="000E5DBF" w:rsidRDefault="00F22587" w:rsidP="008A5C11">
            <w:pPr>
              <w:jc w:val="center"/>
              <w:rPr>
                <w:color w:val="000000"/>
                <w:sz w:val="16"/>
                <w:szCs w:val="16"/>
              </w:rPr>
            </w:pPr>
            <w:r w:rsidRPr="000E5DBF">
              <w:rPr>
                <w:color w:val="000000"/>
                <w:sz w:val="16"/>
                <w:szCs w:val="16"/>
              </w:rPr>
              <w:t> </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A6AF1B5" w14:textId="77777777" w:rsidR="00F22587" w:rsidRPr="000E5DBF" w:rsidRDefault="00F22587" w:rsidP="008A5C11">
            <w:pPr>
              <w:jc w:val="center"/>
              <w:rPr>
                <w:color w:val="000000"/>
                <w:sz w:val="16"/>
                <w:szCs w:val="16"/>
              </w:rPr>
            </w:pPr>
            <w:r w:rsidRPr="000E5DBF">
              <w:rPr>
                <w:color w:val="000000"/>
                <w:sz w:val="16"/>
                <w:szCs w:val="16"/>
              </w:rPr>
              <w:t> </w:t>
            </w:r>
          </w:p>
        </w:tc>
        <w:tc>
          <w:tcPr>
            <w:tcW w:w="70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3C75D4F" w14:textId="77777777" w:rsidR="00F22587" w:rsidRPr="000E5DBF" w:rsidRDefault="00F22587" w:rsidP="008A5C11">
            <w:pPr>
              <w:rPr>
                <w:rFonts w:ascii="Calibri" w:hAnsi="Calibri" w:cs="Calibri"/>
                <w:color w:val="000000"/>
                <w:sz w:val="16"/>
                <w:szCs w:val="16"/>
              </w:rPr>
            </w:pPr>
            <w:r w:rsidRPr="000E5DBF">
              <w:rPr>
                <w:rFonts w:ascii="Calibri" w:hAnsi="Calibri" w:cs="Calibri"/>
                <w:color w:val="000000"/>
                <w:sz w:val="16"/>
                <w:szCs w:val="16"/>
              </w:rPr>
              <w:t> </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536E26" w14:textId="77777777" w:rsidR="00F22587" w:rsidRPr="000E5DBF" w:rsidRDefault="00F22587" w:rsidP="008A5C11">
            <w:pPr>
              <w:jc w:val="center"/>
              <w:rPr>
                <w:color w:val="000000"/>
                <w:sz w:val="16"/>
                <w:szCs w:val="16"/>
              </w:rPr>
            </w:pPr>
            <w:r w:rsidRPr="000E5DBF">
              <w:rPr>
                <w:color w:val="000000"/>
                <w:sz w:val="16"/>
                <w:szCs w:val="16"/>
              </w:rPr>
              <w:t> </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B58877" w14:textId="77777777" w:rsidR="00F22587" w:rsidRPr="000E5DBF" w:rsidRDefault="00F22587" w:rsidP="008A5C11">
            <w:pPr>
              <w:jc w:val="center"/>
              <w:rPr>
                <w:color w:val="000000"/>
                <w:sz w:val="16"/>
                <w:szCs w:val="16"/>
              </w:rPr>
            </w:pPr>
            <w:r w:rsidRPr="000E5DBF">
              <w:rPr>
                <w:color w:val="000000"/>
                <w:sz w:val="16"/>
                <w:szCs w:val="16"/>
              </w:rPr>
              <w:t> </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40FCD9" w14:textId="77777777" w:rsidR="00F22587" w:rsidRPr="000E5DBF" w:rsidRDefault="00F22587" w:rsidP="008A5C11">
            <w:pPr>
              <w:jc w:val="center"/>
              <w:rPr>
                <w:color w:val="000000"/>
                <w:sz w:val="16"/>
                <w:szCs w:val="16"/>
              </w:rPr>
            </w:pPr>
            <w:r w:rsidRPr="000E5DBF">
              <w:rPr>
                <w:color w:val="000000"/>
                <w:sz w:val="16"/>
                <w:szCs w:val="16"/>
              </w:rPr>
              <w:t> </w:t>
            </w:r>
          </w:p>
        </w:tc>
        <w:tc>
          <w:tcPr>
            <w:tcW w:w="70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30CC7A" w14:textId="77777777" w:rsidR="00F22587" w:rsidRPr="000E5DBF" w:rsidRDefault="00F22587" w:rsidP="008A5C11">
            <w:pPr>
              <w:jc w:val="center"/>
              <w:rPr>
                <w:color w:val="000000"/>
                <w:sz w:val="16"/>
                <w:szCs w:val="16"/>
              </w:rPr>
            </w:pPr>
            <w:r w:rsidRPr="000E5DBF">
              <w:rPr>
                <w:color w:val="000000"/>
                <w:sz w:val="16"/>
                <w:szCs w:val="16"/>
              </w:rPr>
              <w:t> </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212E46" w14:textId="77777777" w:rsidR="00F22587" w:rsidRPr="000E5DBF" w:rsidRDefault="00F22587" w:rsidP="008A5C11">
            <w:pPr>
              <w:jc w:val="center"/>
              <w:rPr>
                <w:color w:val="000000"/>
                <w:sz w:val="16"/>
                <w:szCs w:val="16"/>
              </w:rPr>
            </w:pPr>
            <w:r w:rsidRPr="000E5DBF">
              <w:rPr>
                <w:color w:val="000000"/>
                <w:sz w:val="16"/>
                <w:szCs w:val="16"/>
              </w:rPr>
              <w:t> </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F917FB" w14:textId="77777777" w:rsidR="00F22587" w:rsidRPr="000E5DBF" w:rsidRDefault="00F22587" w:rsidP="008A5C11">
            <w:pPr>
              <w:jc w:val="center"/>
              <w:rPr>
                <w:color w:val="000000"/>
                <w:sz w:val="16"/>
                <w:szCs w:val="16"/>
              </w:rPr>
            </w:pPr>
            <w:r w:rsidRPr="000E5DBF">
              <w:rPr>
                <w:color w:val="000000"/>
                <w:sz w:val="16"/>
                <w:szCs w:val="16"/>
              </w:rPr>
              <w:t> </w:t>
            </w:r>
          </w:p>
        </w:tc>
        <w:tc>
          <w:tcPr>
            <w:tcW w:w="85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19EF66" w14:textId="77777777" w:rsidR="00F22587" w:rsidRPr="000E5DBF" w:rsidRDefault="00F22587" w:rsidP="008A5C11">
            <w:pPr>
              <w:jc w:val="center"/>
              <w:rPr>
                <w:color w:val="000000"/>
                <w:sz w:val="16"/>
                <w:szCs w:val="16"/>
              </w:rPr>
            </w:pPr>
            <w:r w:rsidRPr="000E5DBF">
              <w:rPr>
                <w:color w:val="000000"/>
                <w:sz w:val="16"/>
                <w:szCs w:val="16"/>
              </w:rPr>
              <w:t> </w:t>
            </w:r>
          </w:p>
        </w:tc>
        <w:tc>
          <w:tcPr>
            <w:tcW w:w="85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01CF27" w14:textId="77777777" w:rsidR="00F22587" w:rsidRPr="000E5DBF" w:rsidRDefault="00F22587" w:rsidP="008A5C11">
            <w:pPr>
              <w:jc w:val="center"/>
              <w:rPr>
                <w:color w:val="000000"/>
                <w:sz w:val="16"/>
                <w:szCs w:val="16"/>
              </w:rPr>
            </w:pPr>
            <w:r w:rsidRPr="000E5DBF">
              <w:rPr>
                <w:color w:val="000000"/>
                <w:sz w:val="16"/>
                <w:szCs w:val="16"/>
              </w:rPr>
              <w:t> </w:t>
            </w:r>
          </w:p>
        </w:tc>
      </w:tr>
      <w:tr w:rsidR="00F22587" w:rsidRPr="000E5DBF" w14:paraId="00B73641" w14:textId="77777777" w:rsidTr="008A5C11">
        <w:tc>
          <w:tcPr>
            <w:tcW w:w="456"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78FD548" w14:textId="77777777" w:rsidR="00F22587" w:rsidRPr="000E5DBF" w:rsidRDefault="00F22587" w:rsidP="008A5C11">
            <w:pPr>
              <w:jc w:val="center"/>
              <w:rPr>
                <w:color w:val="000000"/>
                <w:sz w:val="16"/>
                <w:szCs w:val="16"/>
              </w:rPr>
            </w:pPr>
            <w:r w:rsidRPr="000E5DBF">
              <w:rPr>
                <w:color w:val="000000"/>
                <w:sz w:val="16"/>
                <w:szCs w:val="16"/>
              </w:rPr>
              <w:t>7.1.</w:t>
            </w:r>
          </w:p>
        </w:tc>
        <w:tc>
          <w:tcPr>
            <w:tcW w:w="300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3F5D81E" w14:textId="77777777" w:rsidR="00F22587" w:rsidRPr="000E5DBF" w:rsidRDefault="00F22587" w:rsidP="008A5C11">
            <w:pPr>
              <w:rPr>
                <w:color w:val="000000"/>
                <w:sz w:val="16"/>
                <w:szCs w:val="16"/>
              </w:rPr>
            </w:pPr>
            <w:r w:rsidRPr="000E5DBF">
              <w:rPr>
                <w:color w:val="000000"/>
                <w:sz w:val="16"/>
                <w:szCs w:val="16"/>
              </w:rPr>
              <w:t>сажа</w:t>
            </w:r>
          </w:p>
        </w:tc>
        <w:tc>
          <w:tcPr>
            <w:tcW w:w="127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970A9C7" w14:textId="77777777" w:rsidR="00F22587" w:rsidRPr="000E5DBF" w:rsidRDefault="00F22587" w:rsidP="008A5C11">
            <w:pPr>
              <w:jc w:val="center"/>
              <w:rPr>
                <w:color w:val="000000"/>
                <w:sz w:val="16"/>
                <w:szCs w:val="16"/>
              </w:rPr>
            </w:pPr>
            <w:r w:rsidRPr="000E5DBF">
              <w:rPr>
                <w:color w:val="000000"/>
                <w:sz w:val="16"/>
                <w:szCs w:val="16"/>
              </w:rPr>
              <w:t>тн/год</w:t>
            </w:r>
          </w:p>
        </w:tc>
        <w:tc>
          <w:tcPr>
            <w:tcW w:w="99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22DF795" w14:textId="77777777" w:rsidR="00F22587" w:rsidRPr="000E5DBF" w:rsidRDefault="00F22587" w:rsidP="008A5C11">
            <w:pPr>
              <w:jc w:val="center"/>
              <w:rPr>
                <w:color w:val="000000"/>
                <w:sz w:val="16"/>
                <w:szCs w:val="16"/>
              </w:rPr>
            </w:pPr>
            <w:r w:rsidRPr="000E5DBF">
              <w:rPr>
                <w:color w:val="000000"/>
                <w:sz w:val="16"/>
                <w:szCs w:val="16"/>
              </w:rPr>
              <w:t>59,68</w:t>
            </w:r>
          </w:p>
        </w:tc>
        <w:tc>
          <w:tcPr>
            <w:tcW w:w="9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87FE31F" w14:textId="77777777" w:rsidR="00F22587" w:rsidRPr="000E5DBF" w:rsidRDefault="00F22587" w:rsidP="008A5C11">
            <w:pPr>
              <w:jc w:val="center"/>
              <w:rPr>
                <w:color w:val="000000"/>
                <w:sz w:val="16"/>
                <w:szCs w:val="16"/>
              </w:rPr>
            </w:pPr>
            <w:r w:rsidRPr="000E5DBF">
              <w:rPr>
                <w:color w:val="000000"/>
                <w:sz w:val="16"/>
                <w:szCs w:val="16"/>
              </w:rPr>
              <w:t>58,9</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D390DDA" w14:textId="77777777" w:rsidR="00F22587" w:rsidRPr="000E5DBF" w:rsidRDefault="00F22587" w:rsidP="008A5C11">
            <w:pPr>
              <w:jc w:val="center"/>
              <w:rPr>
                <w:color w:val="000000"/>
                <w:sz w:val="16"/>
                <w:szCs w:val="16"/>
              </w:rPr>
            </w:pPr>
            <w:r w:rsidRPr="000E5DBF">
              <w:rPr>
                <w:color w:val="000000"/>
                <w:sz w:val="16"/>
                <w:szCs w:val="16"/>
              </w:rPr>
              <w:t>59,68</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0D54C1E" w14:textId="77777777" w:rsidR="00F22587" w:rsidRPr="000E5DBF" w:rsidRDefault="00F22587" w:rsidP="008A5C11">
            <w:pPr>
              <w:jc w:val="center"/>
              <w:rPr>
                <w:color w:val="000000"/>
                <w:sz w:val="16"/>
                <w:szCs w:val="16"/>
              </w:rPr>
            </w:pPr>
            <w:r w:rsidRPr="000E5DBF">
              <w:rPr>
                <w:color w:val="000000"/>
                <w:sz w:val="16"/>
                <w:szCs w:val="16"/>
              </w:rPr>
              <w:t>59,68</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1D618A1" w14:textId="77777777" w:rsidR="00F22587" w:rsidRPr="000E5DBF" w:rsidRDefault="00F22587" w:rsidP="008A5C11">
            <w:pPr>
              <w:jc w:val="center"/>
              <w:rPr>
                <w:color w:val="000000"/>
                <w:sz w:val="16"/>
                <w:szCs w:val="16"/>
              </w:rPr>
            </w:pPr>
            <w:r w:rsidRPr="000E5DBF">
              <w:rPr>
                <w:color w:val="000000"/>
                <w:sz w:val="16"/>
                <w:szCs w:val="16"/>
              </w:rPr>
              <w:t>59,6</w:t>
            </w:r>
          </w:p>
        </w:tc>
        <w:tc>
          <w:tcPr>
            <w:tcW w:w="708" w:type="dxa"/>
            <w:tcBorders>
              <w:top w:val="nil"/>
              <w:left w:val="nil"/>
              <w:bottom w:val="single" w:sz="4" w:space="0" w:color="auto"/>
              <w:right w:val="single" w:sz="4" w:space="0" w:color="auto"/>
            </w:tcBorders>
            <w:shd w:val="clear" w:color="000000" w:fill="FFFFFF"/>
            <w:noWrap/>
            <w:tcMar>
              <w:left w:w="28" w:type="dxa"/>
              <w:right w:w="28" w:type="dxa"/>
            </w:tcMar>
            <w:vAlign w:val="bottom"/>
            <w:hideMark/>
          </w:tcPr>
          <w:p w14:paraId="4D7BAA89" w14:textId="77777777" w:rsidR="00F22587" w:rsidRPr="000E5DBF" w:rsidRDefault="00F22587" w:rsidP="008A5C11">
            <w:pPr>
              <w:jc w:val="center"/>
              <w:rPr>
                <w:color w:val="000000"/>
                <w:sz w:val="16"/>
                <w:szCs w:val="16"/>
              </w:rPr>
            </w:pPr>
            <w:r w:rsidRPr="000E5DBF">
              <w:rPr>
                <w:color w:val="000000"/>
                <w:sz w:val="16"/>
                <w:szCs w:val="16"/>
              </w:rPr>
              <w:t>59,57</w:t>
            </w:r>
          </w:p>
        </w:tc>
        <w:tc>
          <w:tcPr>
            <w:tcW w:w="709" w:type="dxa"/>
            <w:tcBorders>
              <w:top w:val="nil"/>
              <w:left w:val="nil"/>
              <w:bottom w:val="single" w:sz="4" w:space="0" w:color="auto"/>
              <w:right w:val="single" w:sz="4" w:space="0" w:color="auto"/>
            </w:tcBorders>
            <w:shd w:val="clear" w:color="000000" w:fill="FFFFFF"/>
            <w:noWrap/>
            <w:tcMar>
              <w:left w:w="28" w:type="dxa"/>
              <w:right w:w="28" w:type="dxa"/>
            </w:tcMar>
            <w:vAlign w:val="bottom"/>
            <w:hideMark/>
          </w:tcPr>
          <w:p w14:paraId="1C4A1FA4" w14:textId="77777777" w:rsidR="00F22587" w:rsidRPr="000E5DBF" w:rsidRDefault="00F22587" w:rsidP="008A5C11">
            <w:pPr>
              <w:jc w:val="center"/>
              <w:rPr>
                <w:color w:val="000000"/>
                <w:sz w:val="16"/>
                <w:szCs w:val="16"/>
              </w:rPr>
            </w:pPr>
            <w:r w:rsidRPr="000E5DBF">
              <w:rPr>
                <w:color w:val="000000"/>
                <w:sz w:val="16"/>
                <w:szCs w:val="16"/>
              </w:rPr>
              <w:t>59,57</w:t>
            </w:r>
          </w:p>
        </w:tc>
        <w:tc>
          <w:tcPr>
            <w:tcW w:w="709" w:type="dxa"/>
            <w:tcBorders>
              <w:top w:val="nil"/>
              <w:left w:val="nil"/>
              <w:bottom w:val="single" w:sz="4" w:space="0" w:color="auto"/>
              <w:right w:val="single" w:sz="4" w:space="0" w:color="auto"/>
            </w:tcBorders>
            <w:shd w:val="clear" w:color="000000" w:fill="FFFFFF"/>
            <w:noWrap/>
            <w:tcMar>
              <w:left w:w="28" w:type="dxa"/>
              <w:right w:w="28" w:type="dxa"/>
            </w:tcMar>
            <w:vAlign w:val="bottom"/>
            <w:hideMark/>
          </w:tcPr>
          <w:p w14:paraId="62AC9032" w14:textId="77777777" w:rsidR="00F22587" w:rsidRPr="000E5DBF" w:rsidRDefault="00F22587" w:rsidP="008A5C11">
            <w:pPr>
              <w:jc w:val="center"/>
              <w:rPr>
                <w:color w:val="000000"/>
                <w:sz w:val="16"/>
                <w:szCs w:val="16"/>
              </w:rPr>
            </w:pPr>
            <w:r w:rsidRPr="000E5DBF">
              <w:rPr>
                <w:color w:val="000000"/>
                <w:sz w:val="16"/>
                <w:szCs w:val="16"/>
              </w:rPr>
              <w:t>59,57</w:t>
            </w:r>
          </w:p>
        </w:tc>
        <w:tc>
          <w:tcPr>
            <w:tcW w:w="709" w:type="dxa"/>
            <w:tcBorders>
              <w:top w:val="nil"/>
              <w:left w:val="nil"/>
              <w:bottom w:val="single" w:sz="4" w:space="0" w:color="auto"/>
              <w:right w:val="single" w:sz="4" w:space="0" w:color="auto"/>
            </w:tcBorders>
            <w:shd w:val="clear" w:color="000000" w:fill="FFFFFF"/>
            <w:noWrap/>
            <w:tcMar>
              <w:left w:w="28" w:type="dxa"/>
              <w:right w:w="28" w:type="dxa"/>
            </w:tcMar>
            <w:vAlign w:val="bottom"/>
            <w:hideMark/>
          </w:tcPr>
          <w:p w14:paraId="1124C228" w14:textId="77777777" w:rsidR="00F22587" w:rsidRPr="000E5DBF" w:rsidRDefault="00F22587" w:rsidP="008A5C11">
            <w:pPr>
              <w:jc w:val="center"/>
              <w:rPr>
                <w:color w:val="000000"/>
                <w:sz w:val="16"/>
                <w:szCs w:val="16"/>
              </w:rPr>
            </w:pPr>
            <w:r w:rsidRPr="000E5DBF">
              <w:rPr>
                <w:color w:val="000000"/>
                <w:sz w:val="16"/>
                <w:szCs w:val="16"/>
              </w:rPr>
              <w:t>59,57</w:t>
            </w:r>
          </w:p>
        </w:tc>
        <w:tc>
          <w:tcPr>
            <w:tcW w:w="708" w:type="dxa"/>
            <w:tcBorders>
              <w:top w:val="nil"/>
              <w:left w:val="nil"/>
              <w:bottom w:val="single" w:sz="4" w:space="0" w:color="auto"/>
              <w:right w:val="single" w:sz="4" w:space="0" w:color="auto"/>
            </w:tcBorders>
            <w:shd w:val="clear" w:color="000000" w:fill="FFFFFF"/>
            <w:noWrap/>
            <w:tcMar>
              <w:left w:w="28" w:type="dxa"/>
              <w:right w:w="28" w:type="dxa"/>
            </w:tcMar>
            <w:vAlign w:val="bottom"/>
            <w:hideMark/>
          </w:tcPr>
          <w:p w14:paraId="4A3932E6" w14:textId="77777777" w:rsidR="00F22587" w:rsidRPr="000E5DBF" w:rsidRDefault="00F22587" w:rsidP="008A5C11">
            <w:pPr>
              <w:jc w:val="center"/>
              <w:rPr>
                <w:color w:val="000000"/>
                <w:sz w:val="16"/>
                <w:szCs w:val="16"/>
              </w:rPr>
            </w:pPr>
            <w:r w:rsidRPr="000E5DBF">
              <w:rPr>
                <w:color w:val="000000"/>
                <w:sz w:val="16"/>
                <w:szCs w:val="16"/>
              </w:rPr>
              <w:t>59,57</w:t>
            </w:r>
          </w:p>
        </w:tc>
        <w:tc>
          <w:tcPr>
            <w:tcW w:w="709" w:type="dxa"/>
            <w:tcBorders>
              <w:top w:val="nil"/>
              <w:left w:val="nil"/>
              <w:bottom w:val="single" w:sz="4" w:space="0" w:color="auto"/>
              <w:right w:val="single" w:sz="4" w:space="0" w:color="auto"/>
            </w:tcBorders>
            <w:shd w:val="clear" w:color="000000" w:fill="FFFFFF"/>
            <w:noWrap/>
            <w:tcMar>
              <w:left w:w="28" w:type="dxa"/>
              <w:right w:w="28" w:type="dxa"/>
            </w:tcMar>
            <w:vAlign w:val="bottom"/>
            <w:hideMark/>
          </w:tcPr>
          <w:p w14:paraId="0F628E81" w14:textId="77777777" w:rsidR="00F22587" w:rsidRPr="000E5DBF" w:rsidRDefault="00F22587" w:rsidP="008A5C11">
            <w:pPr>
              <w:jc w:val="center"/>
              <w:rPr>
                <w:color w:val="000000"/>
                <w:sz w:val="16"/>
                <w:szCs w:val="16"/>
              </w:rPr>
            </w:pPr>
            <w:r w:rsidRPr="000E5DBF">
              <w:rPr>
                <w:color w:val="000000"/>
                <w:sz w:val="16"/>
                <w:szCs w:val="16"/>
              </w:rPr>
              <w:t>58,9</w:t>
            </w:r>
          </w:p>
        </w:tc>
        <w:tc>
          <w:tcPr>
            <w:tcW w:w="709" w:type="dxa"/>
            <w:tcBorders>
              <w:top w:val="nil"/>
              <w:left w:val="nil"/>
              <w:bottom w:val="single" w:sz="4" w:space="0" w:color="auto"/>
              <w:right w:val="single" w:sz="4" w:space="0" w:color="auto"/>
            </w:tcBorders>
            <w:shd w:val="clear" w:color="000000" w:fill="FFFFFF"/>
            <w:noWrap/>
            <w:tcMar>
              <w:left w:w="28" w:type="dxa"/>
              <w:right w:w="28" w:type="dxa"/>
            </w:tcMar>
            <w:vAlign w:val="bottom"/>
            <w:hideMark/>
          </w:tcPr>
          <w:p w14:paraId="5301A262" w14:textId="77777777" w:rsidR="00F22587" w:rsidRPr="000E5DBF" w:rsidRDefault="00F22587" w:rsidP="008A5C11">
            <w:pPr>
              <w:jc w:val="center"/>
              <w:rPr>
                <w:color w:val="000000"/>
                <w:sz w:val="16"/>
                <w:szCs w:val="16"/>
              </w:rPr>
            </w:pPr>
            <w:r w:rsidRPr="000E5DBF">
              <w:rPr>
                <w:color w:val="000000"/>
                <w:sz w:val="16"/>
                <w:szCs w:val="16"/>
              </w:rPr>
              <w:t>58,9</w:t>
            </w:r>
          </w:p>
        </w:tc>
        <w:tc>
          <w:tcPr>
            <w:tcW w:w="850" w:type="dxa"/>
            <w:tcBorders>
              <w:top w:val="nil"/>
              <w:left w:val="nil"/>
              <w:bottom w:val="single" w:sz="4" w:space="0" w:color="auto"/>
              <w:right w:val="single" w:sz="4" w:space="0" w:color="auto"/>
            </w:tcBorders>
            <w:shd w:val="clear" w:color="000000" w:fill="FFFFFF"/>
            <w:noWrap/>
            <w:tcMar>
              <w:left w:w="28" w:type="dxa"/>
              <w:right w:w="28" w:type="dxa"/>
            </w:tcMar>
            <w:vAlign w:val="bottom"/>
            <w:hideMark/>
          </w:tcPr>
          <w:p w14:paraId="00BF7A4C" w14:textId="77777777" w:rsidR="00F22587" w:rsidRPr="000E5DBF" w:rsidRDefault="00F22587" w:rsidP="008A5C11">
            <w:pPr>
              <w:jc w:val="center"/>
              <w:rPr>
                <w:color w:val="000000"/>
                <w:sz w:val="16"/>
                <w:szCs w:val="16"/>
              </w:rPr>
            </w:pPr>
            <w:r w:rsidRPr="000E5DBF">
              <w:rPr>
                <w:color w:val="000000"/>
                <w:sz w:val="16"/>
                <w:szCs w:val="16"/>
              </w:rPr>
              <w:t>58,9</w:t>
            </w:r>
          </w:p>
        </w:tc>
        <w:tc>
          <w:tcPr>
            <w:tcW w:w="851" w:type="dxa"/>
            <w:tcBorders>
              <w:top w:val="nil"/>
              <w:left w:val="nil"/>
              <w:bottom w:val="single" w:sz="4" w:space="0" w:color="auto"/>
              <w:right w:val="single" w:sz="4" w:space="0" w:color="auto"/>
            </w:tcBorders>
            <w:shd w:val="clear" w:color="000000" w:fill="FFFFFF"/>
            <w:noWrap/>
            <w:tcMar>
              <w:left w:w="28" w:type="dxa"/>
              <w:right w:w="28" w:type="dxa"/>
            </w:tcMar>
            <w:vAlign w:val="bottom"/>
            <w:hideMark/>
          </w:tcPr>
          <w:p w14:paraId="4CC37047" w14:textId="77777777" w:rsidR="00F22587" w:rsidRPr="000E5DBF" w:rsidRDefault="00F22587" w:rsidP="008A5C11">
            <w:pPr>
              <w:jc w:val="center"/>
              <w:rPr>
                <w:color w:val="000000"/>
                <w:sz w:val="16"/>
                <w:szCs w:val="16"/>
              </w:rPr>
            </w:pPr>
            <w:r w:rsidRPr="000E5DBF">
              <w:rPr>
                <w:color w:val="000000"/>
                <w:sz w:val="16"/>
                <w:szCs w:val="16"/>
              </w:rPr>
              <w:t>58,9</w:t>
            </w:r>
          </w:p>
        </w:tc>
      </w:tr>
      <w:tr w:rsidR="00F22587" w:rsidRPr="000E5DBF" w14:paraId="40022C51" w14:textId="77777777" w:rsidTr="008A5C11">
        <w:tc>
          <w:tcPr>
            <w:tcW w:w="456"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FA90E1E" w14:textId="77777777" w:rsidR="00F22587" w:rsidRPr="000E5DBF" w:rsidRDefault="00F22587" w:rsidP="008A5C11">
            <w:pPr>
              <w:jc w:val="center"/>
              <w:rPr>
                <w:color w:val="000000"/>
                <w:sz w:val="16"/>
                <w:szCs w:val="16"/>
              </w:rPr>
            </w:pPr>
            <w:r w:rsidRPr="000E5DBF">
              <w:rPr>
                <w:color w:val="000000"/>
                <w:sz w:val="16"/>
                <w:szCs w:val="16"/>
              </w:rPr>
              <w:t>7.2.</w:t>
            </w:r>
          </w:p>
        </w:tc>
        <w:tc>
          <w:tcPr>
            <w:tcW w:w="3003" w:type="dxa"/>
            <w:tcBorders>
              <w:top w:val="nil"/>
              <w:left w:val="nil"/>
              <w:bottom w:val="single" w:sz="4" w:space="0" w:color="auto"/>
              <w:right w:val="single" w:sz="4" w:space="0" w:color="auto"/>
            </w:tcBorders>
            <w:shd w:val="clear" w:color="000000" w:fill="FFFFFF"/>
            <w:noWrap/>
            <w:tcMar>
              <w:left w:w="28" w:type="dxa"/>
              <w:right w:w="28" w:type="dxa"/>
            </w:tcMar>
            <w:vAlign w:val="bottom"/>
            <w:hideMark/>
          </w:tcPr>
          <w:p w14:paraId="638F58B5" w14:textId="77777777" w:rsidR="00F22587" w:rsidRPr="000E5DBF" w:rsidRDefault="00F22587" w:rsidP="008A5C11">
            <w:pPr>
              <w:rPr>
                <w:color w:val="000000"/>
                <w:sz w:val="16"/>
                <w:szCs w:val="16"/>
              </w:rPr>
            </w:pPr>
            <w:r w:rsidRPr="000E5DBF">
              <w:rPr>
                <w:color w:val="000000"/>
                <w:sz w:val="16"/>
                <w:szCs w:val="16"/>
              </w:rPr>
              <w:t xml:space="preserve">зола углей </w:t>
            </w:r>
          </w:p>
        </w:tc>
        <w:tc>
          <w:tcPr>
            <w:tcW w:w="127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D4B0BDC" w14:textId="77777777" w:rsidR="00F22587" w:rsidRPr="000E5DBF" w:rsidRDefault="00F22587" w:rsidP="008A5C11">
            <w:pPr>
              <w:jc w:val="center"/>
              <w:rPr>
                <w:color w:val="000000"/>
                <w:sz w:val="16"/>
                <w:szCs w:val="16"/>
              </w:rPr>
            </w:pPr>
            <w:r w:rsidRPr="000E5DBF">
              <w:rPr>
                <w:color w:val="000000"/>
                <w:sz w:val="16"/>
                <w:szCs w:val="16"/>
              </w:rPr>
              <w:t>тн/год</w:t>
            </w:r>
          </w:p>
        </w:tc>
        <w:tc>
          <w:tcPr>
            <w:tcW w:w="993" w:type="dxa"/>
            <w:tcBorders>
              <w:top w:val="nil"/>
              <w:left w:val="nil"/>
              <w:bottom w:val="single" w:sz="4" w:space="0" w:color="auto"/>
              <w:right w:val="single" w:sz="4" w:space="0" w:color="auto"/>
            </w:tcBorders>
            <w:shd w:val="clear" w:color="000000" w:fill="FFFFFF"/>
            <w:noWrap/>
            <w:tcMar>
              <w:left w:w="28" w:type="dxa"/>
              <w:right w:w="28" w:type="dxa"/>
            </w:tcMar>
            <w:vAlign w:val="bottom"/>
            <w:hideMark/>
          </w:tcPr>
          <w:p w14:paraId="1312A887" w14:textId="77777777" w:rsidR="00F22587" w:rsidRPr="000E5DBF" w:rsidRDefault="00F22587" w:rsidP="008A5C11">
            <w:pPr>
              <w:jc w:val="center"/>
              <w:rPr>
                <w:color w:val="000000"/>
                <w:sz w:val="16"/>
                <w:szCs w:val="16"/>
              </w:rPr>
            </w:pPr>
            <w:r w:rsidRPr="000E5DBF">
              <w:rPr>
                <w:color w:val="000000"/>
                <w:sz w:val="16"/>
                <w:szCs w:val="16"/>
              </w:rPr>
              <w:t>55,1</w:t>
            </w:r>
          </w:p>
        </w:tc>
        <w:tc>
          <w:tcPr>
            <w:tcW w:w="9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DD7FFF6" w14:textId="77777777" w:rsidR="00F22587" w:rsidRPr="000E5DBF" w:rsidRDefault="00F22587" w:rsidP="008A5C11">
            <w:pPr>
              <w:jc w:val="center"/>
              <w:rPr>
                <w:color w:val="000000"/>
                <w:sz w:val="16"/>
                <w:szCs w:val="16"/>
              </w:rPr>
            </w:pPr>
            <w:r w:rsidRPr="000E5DBF">
              <w:rPr>
                <w:color w:val="000000"/>
                <w:sz w:val="16"/>
                <w:szCs w:val="16"/>
              </w:rPr>
              <w:t>48,5</w:t>
            </w:r>
          </w:p>
        </w:tc>
        <w:tc>
          <w:tcPr>
            <w:tcW w:w="709" w:type="dxa"/>
            <w:tcBorders>
              <w:top w:val="nil"/>
              <w:left w:val="nil"/>
              <w:bottom w:val="single" w:sz="4" w:space="0" w:color="auto"/>
              <w:right w:val="single" w:sz="4" w:space="0" w:color="auto"/>
            </w:tcBorders>
            <w:shd w:val="clear" w:color="000000" w:fill="FFFFFF"/>
            <w:noWrap/>
            <w:tcMar>
              <w:left w:w="28" w:type="dxa"/>
              <w:right w:w="28" w:type="dxa"/>
            </w:tcMar>
            <w:vAlign w:val="bottom"/>
            <w:hideMark/>
          </w:tcPr>
          <w:p w14:paraId="72834DB1" w14:textId="77777777" w:rsidR="00F22587" w:rsidRPr="000E5DBF" w:rsidRDefault="00F22587" w:rsidP="008A5C11">
            <w:pPr>
              <w:jc w:val="center"/>
              <w:rPr>
                <w:color w:val="000000"/>
                <w:sz w:val="16"/>
                <w:szCs w:val="16"/>
              </w:rPr>
            </w:pPr>
            <w:r w:rsidRPr="000E5DBF">
              <w:rPr>
                <w:color w:val="000000"/>
                <w:sz w:val="16"/>
                <w:szCs w:val="16"/>
              </w:rPr>
              <w:t>55,1</w:t>
            </w:r>
          </w:p>
        </w:tc>
        <w:tc>
          <w:tcPr>
            <w:tcW w:w="709" w:type="dxa"/>
            <w:tcBorders>
              <w:top w:val="nil"/>
              <w:left w:val="nil"/>
              <w:bottom w:val="single" w:sz="4" w:space="0" w:color="auto"/>
              <w:right w:val="single" w:sz="4" w:space="0" w:color="auto"/>
            </w:tcBorders>
            <w:shd w:val="clear" w:color="000000" w:fill="FFFFFF"/>
            <w:noWrap/>
            <w:tcMar>
              <w:left w:w="28" w:type="dxa"/>
              <w:right w:w="28" w:type="dxa"/>
            </w:tcMar>
            <w:vAlign w:val="bottom"/>
            <w:hideMark/>
          </w:tcPr>
          <w:p w14:paraId="32486A86" w14:textId="77777777" w:rsidR="00F22587" w:rsidRPr="000E5DBF" w:rsidRDefault="00F22587" w:rsidP="008A5C11">
            <w:pPr>
              <w:jc w:val="center"/>
              <w:rPr>
                <w:color w:val="000000"/>
                <w:sz w:val="16"/>
                <w:szCs w:val="16"/>
              </w:rPr>
            </w:pPr>
            <w:r w:rsidRPr="000E5DBF">
              <w:rPr>
                <w:color w:val="000000"/>
                <w:sz w:val="16"/>
                <w:szCs w:val="16"/>
              </w:rPr>
              <w:t>55,1</w:t>
            </w:r>
          </w:p>
        </w:tc>
        <w:tc>
          <w:tcPr>
            <w:tcW w:w="709" w:type="dxa"/>
            <w:tcBorders>
              <w:top w:val="nil"/>
              <w:left w:val="nil"/>
              <w:bottom w:val="single" w:sz="4" w:space="0" w:color="auto"/>
              <w:right w:val="single" w:sz="4" w:space="0" w:color="auto"/>
            </w:tcBorders>
            <w:shd w:val="clear" w:color="000000" w:fill="FFFFFF"/>
            <w:noWrap/>
            <w:tcMar>
              <w:left w:w="28" w:type="dxa"/>
              <w:right w:w="28" w:type="dxa"/>
            </w:tcMar>
            <w:vAlign w:val="bottom"/>
            <w:hideMark/>
          </w:tcPr>
          <w:p w14:paraId="1F2B6DD3" w14:textId="77777777" w:rsidR="00F22587" w:rsidRPr="000E5DBF" w:rsidRDefault="00F22587" w:rsidP="008A5C11">
            <w:pPr>
              <w:jc w:val="center"/>
              <w:rPr>
                <w:color w:val="000000"/>
                <w:sz w:val="16"/>
                <w:szCs w:val="16"/>
              </w:rPr>
            </w:pPr>
            <w:r w:rsidRPr="000E5DBF">
              <w:rPr>
                <w:color w:val="000000"/>
                <w:sz w:val="16"/>
                <w:szCs w:val="16"/>
              </w:rPr>
              <w:t>49,6</w:t>
            </w:r>
          </w:p>
        </w:tc>
        <w:tc>
          <w:tcPr>
            <w:tcW w:w="708" w:type="dxa"/>
            <w:tcBorders>
              <w:top w:val="nil"/>
              <w:left w:val="nil"/>
              <w:bottom w:val="single" w:sz="4" w:space="0" w:color="auto"/>
              <w:right w:val="single" w:sz="4" w:space="0" w:color="auto"/>
            </w:tcBorders>
            <w:shd w:val="clear" w:color="000000" w:fill="FFFFFF"/>
            <w:noWrap/>
            <w:tcMar>
              <w:left w:w="28" w:type="dxa"/>
              <w:right w:w="28" w:type="dxa"/>
            </w:tcMar>
            <w:vAlign w:val="bottom"/>
            <w:hideMark/>
          </w:tcPr>
          <w:p w14:paraId="6020F4A4" w14:textId="77777777" w:rsidR="00F22587" w:rsidRPr="000E5DBF" w:rsidRDefault="00F22587" w:rsidP="008A5C11">
            <w:pPr>
              <w:jc w:val="center"/>
              <w:rPr>
                <w:color w:val="000000"/>
                <w:sz w:val="16"/>
                <w:szCs w:val="16"/>
              </w:rPr>
            </w:pPr>
            <w:r w:rsidRPr="000E5DBF">
              <w:rPr>
                <w:color w:val="000000"/>
                <w:sz w:val="16"/>
                <w:szCs w:val="16"/>
              </w:rPr>
              <w:t>49,2</w:t>
            </w:r>
          </w:p>
        </w:tc>
        <w:tc>
          <w:tcPr>
            <w:tcW w:w="709" w:type="dxa"/>
            <w:tcBorders>
              <w:top w:val="nil"/>
              <w:left w:val="nil"/>
              <w:bottom w:val="single" w:sz="4" w:space="0" w:color="auto"/>
              <w:right w:val="single" w:sz="4" w:space="0" w:color="auto"/>
            </w:tcBorders>
            <w:shd w:val="clear" w:color="000000" w:fill="FFFFFF"/>
            <w:noWrap/>
            <w:tcMar>
              <w:left w:w="28" w:type="dxa"/>
              <w:right w:w="28" w:type="dxa"/>
            </w:tcMar>
            <w:vAlign w:val="bottom"/>
            <w:hideMark/>
          </w:tcPr>
          <w:p w14:paraId="6B56323C" w14:textId="77777777" w:rsidR="00F22587" w:rsidRPr="000E5DBF" w:rsidRDefault="00F22587" w:rsidP="008A5C11">
            <w:pPr>
              <w:jc w:val="center"/>
              <w:rPr>
                <w:color w:val="000000"/>
                <w:sz w:val="16"/>
                <w:szCs w:val="16"/>
              </w:rPr>
            </w:pPr>
            <w:r w:rsidRPr="000E5DBF">
              <w:rPr>
                <w:color w:val="000000"/>
                <w:sz w:val="16"/>
                <w:szCs w:val="16"/>
              </w:rPr>
              <w:t>49,2</w:t>
            </w:r>
          </w:p>
        </w:tc>
        <w:tc>
          <w:tcPr>
            <w:tcW w:w="709" w:type="dxa"/>
            <w:tcBorders>
              <w:top w:val="nil"/>
              <w:left w:val="nil"/>
              <w:bottom w:val="single" w:sz="4" w:space="0" w:color="auto"/>
              <w:right w:val="single" w:sz="4" w:space="0" w:color="auto"/>
            </w:tcBorders>
            <w:shd w:val="clear" w:color="000000" w:fill="FFFFFF"/>
            <w:noWrap/>
            <w:tcMar>
              <w:left w:w="28" w:type="dxa"/>
              <w:right w:w="28" w:type="dxa"/>
            </w:tcMar>
            <w:vAlign w:val="bottom"/>
            <w:hideMark/>
          </w:tcPr>
          <w:p w14:paraId="64D20EE5" w14:textId="77777777" w:rsidR="00F22587" w:rsidRPr="000E5DBF" w:rsidRDefault="00F22587" w:rsidP="008A5C11">
            <w:pPr>
              <w:jc w:val="center"/>
              <w:rPr>
                <w:color w:val="000000"/>
                <w:sz w:val="16"/>
                <w:szCs w:val="16"/>
              </w:rPr>
            </w:pPr>
            <w:r w:rsidRPr="000E5DBF">
              <w:rPr>
                <w:color w:val="000000"/>
                <w:sz w:val="16"/>
                <w:szCs w:val="16"/>
              </w:rPr>
              <w:t>49,2</w:t>
            </w:r>
          </w:p>
        </w:tc>
        <w:tc>
          <w:tcPr>
            <w:tcW w:w="709" w:type="dxa"/>
            <w:tcBorders>
              <w:top w:val="nil"/>
              <w:left w:val="nil"/>
              <w:bottom w:val="single" w:sz="4" w:space="0" w:color="auto"/>
              <w:right w:val="single" w:sz="4" w:space="0" w:color="auto"/>
            </w:tcBorders>
            <w:shd w:val="clear" w:color="000000" w:fill="FFFFFF"/>
            <w:noWrap/>
            <w:tcMar>
              <w:left w:w="28" w:type="dxa"/>
              <w:right w:w="28" w:type="dxa"/>
            </w:tcMar>
            <w:vAlign w:val="bottom"/>
            <w:hideMark/>
          </w:tcPr>
          <w:p w14:paraId="699264FE" w14:textId="77777777" w:rsidR="00F22587" w:rsidRPr="000E5DBF" w:rsidRDefault="00F22587" w:rsidP="008A5C11">
            <w:pPr>
              <w:jc w:val="center"/>
              <w:rPr>
                <w:color w:val="000000"/>
                <w:sz w:val="16"/>
                <w:szCs w:val="16"/>
              </w:rPr>
            </w:pPr>
            <w:r w:rsidRPr="000E5DBF">
              <w:rPr>
                <w:color w:val="000000"/>
                <w:sz w:val="16"/>
                <w:szCs w:val="16"/>
              </w:rPr>
              <w:t>49,2</w:t>
            </w:r>
          </w:p>
        </w:tc>
        <w:tc>
          <w:tcPr>
            <w:tcW w:w="708" w:type="dxa"/>
            <w:tcBorders>
              <w:top w:val="nil"/>
              <w:left w:val="nil"/>
              <w:bottom w:val="single" w:sz="4" w:space="0" w:color="auto"/>
              <w:right w:val="single" w:sz="4" w:space="0" w:color="auto"/>
            </w:tcBorders>
            <w:shd w:val="clear" w:color="000000" w:fill="FFFFFF"/>
            <w:noWrap/>
            <w:tcMar>
              <w:left w:w="28" w:type="dxa"/>
              <w:right w:w="28" w:type="dxa"/>
            </w:tcMar>
            <w:vAlign w:val="bottom"/>
            <w:hideMark/>
          </w:tcPr>
          <w:p w14:paraId="30396381" w14:textId="77777777" w:rsidR="00F22587" w:rsidRPr="000E5DBF" w:rsidRDefault="00F22587" w:rsidP="008A5C11">
            <w:pPr>
              <w:jc w:val="center"/>
              <w:rPr>
                <w:color w:val="000000"/>
                <w:sz w:val="16"/>
                <w:szCs w:val="16"/>
              </w:rPr>
            </w:pPr>
            <w:r w:rsidRPr="000E5DBF">
              <w:rPr>
                <w:color w:val="000000"/>
                <w:sz w:val="16"/>
                <w:szCs w:val="16"/>
              </w:rPr>
              <w:t>49,2</w:t>
            </w:r>
          </w:p>
        </w:tc>
        <w:tc>
          <w:tcPr>
            <w:tcW w:w="709" w:type="dxa"/>
            <w:tcBorders>
              <w:top w:val="nil"/>
              <w:left w:val="nil"/>
              <w:bottom w:val="single" w:sz="4" w:space="0" w:color="auto"/>
              <w:right w:val="single" w:sz="4" w:space="0" w:color="auto"/>
            </w:tcBorders>
            <w:shd w:val="clear" w:color="000000" w:fill="FFFFFF"/>
            <w:noWrap/>
            <w:tcMar>
              <w:left w:w="28" w:type="dxa"/>
              <w:right w:w="28" w:type="dxa"/>
            </w:tcMar>
            <w:vAlign w:val="bottom"/>
            <w:hideMark/>
          </w:tcPr>
          <w:p w14:paraId="24AB0FAD" w14:textId="77777777" w:rsidR="00F22587" w:rsidRPr="000E5DBF" w:rsidRDefault="00F22587" w:rsidP="008A5C11">
            <w:pPr>
              <w:jc w:val="center"/>
              <w:rPr>
                <w:color w:val="000000"/>
                <w:sz w:val="16"/>
                <w:szCs w:val="16"/>
              </w:rPr>
            </w:pPr>
            <w:r w:rsidRPr="000E5DBF">
              <w:rPr>
                <w:color w:val="000000"/>
                <w:sz w:val="16"/>
                <w:szCs w:val="16"/>
              </w:rPr>
              <w:t>48,5</w:t>
            </w:r>
          </w:p>
        </w:tc>
        <w:tc>
          <w:tcPr>
            <w:tcW w:w="709" w:type="dxa"/>
            <w:tcBorders>
              <w:top w:val="nil"/>
              <w:left w:val="nil"/>
              <w:bottom w:val="single" w:sz="4" w:space="0" w:color="auto"/>
              <w:right w:val="single" w:sz="4" w:space="0" w:color="auto"/>
            </w:tcBorders>
            <w:shd w:val="clear" w:color="000000" w:fill="FFFFFF"/>
            <w:noWrap/>
            <w:tcMar>
              <w:left w:w="28" w:type="dxa"/>
              <w:right w:w="28" w:type="dxa"/>
            </w:tcMar>
            <w:vAlign w:val="bottom"/>
            <w:hideMark/>
          </w:tcPr>
          <w:p w14:paraId="51852215" w14:textId="77777777" w:rsidR="00F22587" w:rsidRPr="000E5DBF" w:rsidRDefault="00F22587" w:rsidP="008A5C11">
            <w:pPr>
              <w:jc w:val="center"/>
              <w:rPr>
                <w:color w:val="000000"/>
                <w:sz w:val="16"/>
                <w:szCs w:val="16"/>
              </w:rPr>
            </w:pPr>
            <w:r w:rsidRPr="000E5DBF">
              <w:rPr>
                <w:color w:val="000000"/>
                <w:sz w:val="16"/>
                <w:szCs w:val="16"/>
              </w:rPr>
              <w:t>48,5</w:t>
            </w:r>
          </w:p>
        </w:tc>
        <w:tc>
          <w:tcPr>
            <w:tcW w:w="850" w:type="dxa"/>
            <w:tcBorders>
              <w:top w:val="nil"/>
              <w:left w:val="nil"/>
              <w:bottom w:val="single" w:sz="4" w:space="0" w:color="auto"/>
              <w:right w:val="single" w:sz="4" w:space="0" w:color="auto"/>
            </w:tcBorders>
            <w:shd w:val="clear" w:color="000000" w:fill="FFFFFF"/>
            <w:noWrap/>
            <w:tcMar>
              <w:left w:w="28" w:type="dxa"/>
              <w:right w:w="28" w:type="dxa"/>
            </w:tcMar>
            <w:vAlign w:val="bottom"/>
            <w:hideMark/>
          </w:tcPr>
          <w:p w14:paraId="7B796F58" w14:textId="77777777" w:rsidR="00F22587" w:rsidRPr="000E5DBF" w:rsidRDefault="00F22587" w:rsidP="008A5C11">
            <w:pPr>
              <w:jc w:val="center"/>
              <w:rPr>
                <w:color w:val="000000"/>
                <w:sz w:val="16"/>
                <w:szCs w:val="16"/>
              </w:rPr>
            </w:pPr>
            <w:r w:rsidRPr="000E5DBF">
              <w:rPr>
                <w:color w:val="000000"/>
                <w:sz w:val="16"/>
                <w:szCs w:val="16"/>
              </w:rPr>
              <w:t>48,5</w:t>
            </w:r>
          </w:p>
        </w:tc>
        <w:tc>
          <w:tcPr>
            <w:tcW w:w="851" w:type="dxa"/>
            <w:tcBorders>
              <w:top w:val="nil"/>
              <w:left w:val="nil"/>
              <w:bottom w:val="single" w:sz="4" w:space="0" w:color="auto"/>
              <w:right w:val="single" w:sz="4" w:space="0" w:color="auto"/>
            </w:tcBorders>
            <w:shd w:val="clear" w:color="000000" w:fill="FFFFFF"/>
            <w:noWrap/>
            <w:tcMar>
              <w:left w:w="28" w:type="dxa"/>
              <w:right w:w="28" w:type="dxa"/>
            </w:tcMar>
            <w:vAlign w:val="bottom"/>
            <w:hideMark/>
          </w:tcPr>
          <w:p w14:paraId="7CB17C80" w14:textId="77777777" w:rsidR="00F22587" w:rsidRPr="000E5DBF" w:rsidRDefault="00F22587" w:rsidP="008A5C11">
            <w:pPr>
              <w:jc w:val="center"/>
              <w:rPr>
                <w:color w:val="000000"/>
                <w:sz w:val="16"/>
                <w:szCs w:val="16"/>
              </w:rPr>
            </w:pPr>
            <w:r w:rsidRPr="000E5DBF">
              <w:rPr>
                <w:color w:val="000000"/>
                <w:sz w:val="16"/>
                <w:szCs w:val="16"/>
              </w:rPr>
              <w:t>48,5</w:t>
            </w:r>
          </w:p>
        </w:tc>
      </w:tr>
    </w:tbl>
    <w:p w14:paraId="2E6AF5F8" w14:textId="77777777" w:rsidR="00F22587" w:rsidRPr="000E5DBF" w:rsidRDefault="00F22587" w:rsidP="00F22587">
      <w:pPr>
        <w:autoSpaceDE w:val="0"/>
        <w:autoSpaceDN w:val="0"/>
        <w:adjustRightInd w:val="0"/>
        <w:ind w:left="4820"/>
        <w:jc w:val="center"/>
        <w:outlineLvl w:val="0"/>
        <w:rPr>
          <w:sz w:val="28"/>
          <w:szCs w:val="28"/>
        </w:rPr>
      </w:pPr>
    </w:p>
    <w:p w14:paraId="586AFD10" w14:textId="77777777" w:rsidR="00F22587" w:rsidRPr="000E5DBF" w:rsidRDefault="00F22587" w:rsidP="00F22587">
      <w:pPr>
        <w:autoSpaceDE w:val="0"/>
        <w:autoSpaceDN w:val="0"/>
        <w:adjustRightInd w:val="0"/>
        <w:ind w:left="4820"/>
        <w:jc w:val="center"/>
        <w:outlineLvl w:val="0"/>
        <w:rPr>
          <w:sz w:val="28"/>
          <w:szCs w:val="28"/>
        </w:rPr>
        <w:sectPr w:rsidR="00F22587" w:rsidRPr="000E5DBF" w:rsidSect="00C863E4">
          <w:headerReference w:type="default" r:id="rId59"/>
          <w:footerReference w:type="default" r:id="rId60"/>
          <w:headerReference w:type="first" r:id="rId61"/>
          <w:pgSz w:w="16838" w:h="11906" w:orient="landscape"/>
          <w:pgMar w:top="1701" w:right="567" w:bottom="851" w:left="567" w:header="709" w:footer="420" w:gutter="0"/>
          <w:cols w:space="708"/>
          <w:titlePg/>
          <w:docGrid w:linePitch="360"/>
        </w:sectPr>
      </w:pPr>
    </w:p>
    <w:p w14:paraId="1B7B4414" w14:textId="77777777" w:rsidR="00F22587" w:rsidRPr="000E5DBF" w:rsidRDefault="00F22587" w:rsidP="00F22587">
      <w:pPr>
        <w:jc w:val="center"/>
        <w:rPr>
          <w:b/>
          <w:bCs/>
          <w:sz w:val="28"/>
          <w:szCs w:val="28"/>
        </w:rPr>
      </w:pPr>
      <w:r w:rsidRPr="000E5DBF">
        <w:rPr>
          <w:b/>
          <w:bCs/>
          <w:sz w:val="28"/>
          <w:szCs w:val="28"/>
        </w:rPr>
        <w:t xml:space="preserve">Показатели надежности и энергетической эффективности объектов теплоснабжения </w:t>
      </w:r>
      <w:r w:rsidRPr="000E5DBF">
        <w:rPr>
          <w:b/>
          <w:bCs/>
          <w:sz w:val="28"/>
          <w:szCs w:val="28"/>
        </w:rPr>
        <w:br/>
        <w:t xml:space="preserve">ООО «Управление котельных и тепловых сетей» (г. Гурьевск) </w:t>
      </w:r>
    </w:p>
    <w:tbl>
      <w:tblPr>
        <w:tblW w:w="15291" w:type="dxa"/>
        <w:tblInd w:w="108" w:type="dxa"/>
        <w:tblLayout w:type="fixed"/>
        <w:tblCellMar>
          <w:left w:w="28" w:type="dxa"/>
          <w:right w:w="28" w:type="dxa"/>
        </w:tblCellMar>
        <w:tblLook w:val="04A0" w:firstRow="1" w:lastRow="0" w:firstColumn="1" w:lastColumn="0" w:noHBand="0" w:noVBand="1"/>
      </w:tblPr>
      <w:tblGrid>
        <w:gridCol w:w="520"/>
        <w:gridCol w:w="1243"/>
        <w:gridCol w:w="670"/>
        <w:gridCol w:w="576"/>
        <w:gridCol w:w="658"/>
        <w:gridCol w:w="576"/>
        <w:gridCol w:w="576"/>
        <w:gridCol w:w="576"/>
        <w:gridCol w:w="576"/>
        <w:gridCol w:w="576"/>
        <w:gridCol w:w="576"/>
        <w:gridCol w:w="576"/>
        <w:gridCol w:w="576"/>
        <w:gridCol w:w="576"/>
        <w:gridCol w:w="628"/>
        <w:gridCol w:w="709"/>
        <w:gridCol w:w="425"/>
        <w:gridCol w:w="425"/>
        <w:gridCol w:w="425"/>
        <w:gridCol w:w="426"/>
        <w:gridCol w:w="425"/>
        <w:gridCol w:w="425"/>
        <w:gridCol w:w="425"/>
        <w:gridCol w:w="426"/>
        <w:gridCol w:w="425"/>
        <w:gridCol w:w="425"/>
        <w:gridCol w:w="425"/>
        <w:gridCol w:w="426"/>
      </w:tblGrid>
      <w:tr w:rsidR="00F22587" w:rsidRPr="000E5DBF" w14:paraId="72C848B1" w14:textId="77777777" w:rsidTr="008A5C11">
        <w:trPr>
          <w:trHeight w:val="300"/>
        </w:trPr>
        <w:tc>
          <w:tcPr>
            <w:tcW w:w="520" w:type="dxa"/>
            <w:tcBorders>
              <w:top w:val="nil"/>
              <w:left w:val="nil"/>
              <w:bottom w:val="nil"/>
              <w:right w:val="nil"/>
            </w:tcBorders>
            <w:shd w:val="clear" w:color="auto" w:fill="auto"/>
            <w:noWrap/>
            <w:vAlign w:val="center"/>
            <w:hideMark/>
          </w:tcPr>
          <w:p w14:paraId="62EF7101" w14:textId="77777777" w:rsidR="00F22587" w:rsidRPr="000E5DBF" w:rsidRDefault="00F22587" w:rsidP="008A5C11">
            <w:pPr>
              <w:rPr>
                <w:sz w:val="16"/>
                <w:szCs w:val="16"/>
              </w:rPr>
            </w:pPr>
          </w:p>
        </w:tc>
        <w:tc>
          <w:tcPr>
            <w:tcW w:w="1243" w:type="dxa"/>
            <w:tcBorders>
              <w:top w:val="nil"/>
              <w:left w:val="nil"/>
              <w:bottom w:val="nil"/>
              <w:right w:val="nil"/>
            </w:tcBorders>
            <w:shd w:val="clear" w:color="auto" w:fill="auto"/>
            <w:noWrap/>
            <w:vAlign w:val="bottom"/>
            <w:hideMark/>
          </w:tcPr>
          <w:p w14:paraId="16CF26FB" w14:textId="77777777" w:rsidR="00F22587" w:rsidRPr="000E5DBF" w:rsidRDefault="00F22587" w:rsidP="008A5C11">
            <w:pPr>
              <w:jc w:val="center"/>
              <w:rPr>
                <w:sz w:val="16"/>
                <w:szCs w:val="16"/>
              </w:rPr>
            </w:pPr>
          </w:p>
        </w:tc>
        <w:tc>
          <w:tcPr>
            <w:tcW w:w="670" w:type="dxa"/>
            <w:tcBorders>
              <w:top w:val="nil"/>
              <w:left w:val="nil"/>
              <w:bottom w:val="nil"/>
              <w:right w:val="nil"/>
            </w:tcBorders>
            <w:shd w:val="clear" w:color="auto" w:fill="auto"/>
            <w:noWrap/>
            <w:vAlign w:val="bottom"/>
            <w:hideMark/>
          </w:tcPr>
          <w:p w14:paraId="24172914" w14:textId="77777777" w:rsidR="00F22587" w:rsidRPr="000E5DBF" w:rsidRDefault="00F22587" w:rsidP="008A5C11">
            <w:pPr>
              <w:rPr>
                <w:sz w:val="16"/>
                <w:szCs w:val="16"/>
              </w:rPr>
            </w:pPr>
          </w:p>
        </w:tc>
        <w:tc>
          <w:tcPr>
            <w:tcW w:w="576" w:type="dxa"/>
            <w:tcBorders>
              <w:top w:val="nil"/>
              <w:left w:val="nil"/>
              <w:bottom w:val="nil"/>
              <w:right w:val="nil"/>
            </w:tcBorders>
            <w:shd w:val="clear" w:color="auto" w:fill="auto"/>
            <w:noWrap/>
            <w:vAlign w:val="bottom"/>
            <w:hideMark/>
          </w:tcPr>
          <w:p w14:paraId="278F9918" w14:textId="77777777" w:rsidR="00F22587" w:rsidRPr="000E5DBF" w:rsidRDefault="00F22587" w:rsidP="008A5C11">
            <w:pPr>
              <w:rPr>
                <w:sz w:val="16"/>
                <w:szCs w:val="16"/>
              </w:rPr>
            </w:pPr>
          </w:p>
        </w:tc>
        <w:tc>
          <w:tcPr>
            <w:tcW w:w="658" w:type="dxa"/>
            <w:tcBorders>
              <w:top w:val="nil"/>
              <w:left w:val="nil"/>
              <w:bottom w:val="nil"/>
              <w:right w:val="nil"/>
            </w:tcBorders>
            <w:shd w:val="clear" w:color="auto" w:fill="auto"/>
            <w:noWrap/>
            <w:vAlign w:val="bottom"/>
            <w:hideMark/>
          </w:tcPr>
          <w:p w14:paraId="4AF0E35E" w14:textId="77777777" w:rsidR="00F22587" w:rsidRPr="000E5DBF" w:rsidRDefault="00F22587" w:rsidP="008A5C11">
            <w:pPr>
              <w:rPr>
                <w:sz w:val="16"/>
                <w:szCs w:val="16"/>
              </w:rPr>
            </w:pPr>
          </w:p>
        </w:tc>
        <w:tc>
          <w:tcPr>
            <w:tcW w:w="576" w:type="dxa"/>
            <w:tcBorders>
              <w:top w:val="nil"/>
              <w:left w:val="nil"/>
              <w:bottom w:val="nil"/>
              <w:right w:val="nil"/>
            </w:tcBorders>
            <w:shd w:val="clear" w:color="auto" w:fill="auto"/>
            <w:noWrap/>
            <w:vAlign w:val="bottom"/>
            <w:hideMark/>
          </w:tcPr>
          <w:p w14:paraId="164F6917" w14:textId="77777777" w:rsidR="00F22587" w:rsidRPr="000E5DBF" w:rsidRDefault="00F22587" w:rsidP="008A5C11">
            <w:pPr>
              <w:rPr>
                <w:sz w:val="16"/>
                <w:szCs w:val="16"/>
              </w:rPr>
            </w:pPr>
          </w:p>
        </w:tc>
        <w:tc>
          <w:tcPr>
            <w:tcW w:w="576" w:type="dxa"/>
            <w:tcBorders>
              <w:top w:val="nil"/>
              <w:left w:val="nil"/>
              <w:bottom w:val="nil"/>
              <w:right w:val="nil"/>
            </w:tcBorders>
            <w:shd w:val="clear" w:color="auto" w:fill="auto"/>
            <w:noWrap/>
            <w:vAlign w:val="bottom"/>
            <w:hideMark/>
          </w:tcPr>
          <w:p w14:paraId="7F7F45F5" w14:textId="77777777" w:rsidR="00F22587" w:rsidRPr="000E5DBF" w:rsidRDefault="00F22587" w:rsidP="008A5C11">
            <w:pPr>
              <w:rPr>
                <w:sz w:val="16"/>
                <w:szCs w:val="16"/>
              </w:rPr>
            </w:pPr>
          </w:p>
        </w:tc>
        <w:tc>
          <w:tcPr>
            <w:tcW w:w="576" w:type="dxa"/>
            <w:tcBorders>
              <w:top w:val="nil"/>
              <w:left w:val="nil"/>
              <w:bottom w:val="nil"/>
              <w:right w:val="nil"/>
            </w:tcBorders>
            <w:shd w:val="clear" w:color="auto" w:fill="auto"/>
            <w:noWrap/>
            <w:vAlign w:val="bottom"/>
            <w:hideMark/>
          </w:tcPr>
          <w:p w14:paraId="50ABC775" w14:textId="77777777" w:rsidR="00F22587" w:rsidRPr="000E5DBF" w:rsidRDefault="00F22587" w:rsidP="008A5C11">
            <w:pPr>
              <w:rPr>
                <w:sz w:val="16"/>
                <w:szCs w:val="16"/>
              </w:rPr>
            </w:pPr>
          </w:p>
        </w:tc>
        <w:tc>
          <w:tcPr>
            <w:tcW w:w="576" w:type="dxa"/>
            <w:tcBorders>
              <w:top w:val="nil"/>
              <w:left w:val="nil"/>
              <w:bottom w:val="nil"/>
              <w:right w:val="nil"/>
            </w:tcBorders>
            <w:shd w:val="clear" w:color="auto" w:fill="auto"/>
            <w:noWrap/>
            <w:vAlign w:val="bottom"/>
            <w:hideMark/>
          </w:tcPr>
          <w:p w14:paraId="690FAC4B" w14:textId="77777777" w:rsidR="00F22587" w:rsidRPr="000E5DBF" w:rsidRDefault="00F22587" w:rsidP="008A5C11">
            <w:pPr>
              <w:rPr>
                <w:sz w:val="16"/>
                <w:szCs w:val="16"/>
              </w:rPr>
            </w:pPr>
          </w:p>
        </w:tc>
        <w:tc>
          <w:tcPr>
            <w:tcW w:w="576" w:type="dxa"/>
            <w:tcBorders>
              <w:top w:val="nil"/>
              <w:left w:val="nil"/>
              <w:bottom w:val="nil"/>
              <w:right w:val="nil"/>
            </w:tcBorders>
            <w:shd w:val="clear" w:color="auto" w:fill="auto"/>
            <w:noWrap/>
            <w:vAlign w:val="bottom"/>
            <w:hideMark/>
          </w:tcPr>
          <w:p w14:paraId="19519C74" w14:textId="77777777" w:rsidR="00F22587" w:rsidRPr="000E5DBF" w:rsidRDefault="00F22587" w:rsidP="008A5C11">
            <w:pPr>
              <w:rPr>
                <w:sz w:val="16"/>
                <w:szCs w:val="16"/>
              </w:rPr>
            </w:pPr>
          </w:p>
        </w:tc>
        <w:tc>
          <w:tcPr>
            <w:tcW w:w="576" w:type="dxa"/>
            <w:tcBorders>
              <w:top w:val="nil"/>
              <w:left w:val="nil"/>
              <w:bottom w:val="nil"/>
              <w:right w:val="nil"/>
            </w:tcBorders>
            <w:shd w:val="clear" w:color="auto" w:fill="auto"/>
            <w:noWrap/>
            <w:vAlign w:val="bottom"/>
            <w:hideMark/>
          </w:tcPr>
          <w:p w14:paraId="6AEBD47F" w14:textId="77777777" w:rsidR="00F22587" w:rsidRPr="000E5DBF" w:rsidRDefault="00F22587" w:rsidP="008A5C11">
            <w:pPr>
              <w:rPr>
                <w:sz w:val="16"/>
                <w:szCs w:val="16"/>
              </w:rPr>
            </w:pPr>
          </w:p>
        </w:tc>
        <w:tc>
          <w:tcPr>
            <w:tcW w:w="576" w:type="dxa"/>
            <w:tcBorders>
              <w:top w:val="nil"/>
              <w:left w:val="nil"/>
              <w:bottom w:val="nil"/>
              <w:right w:val="nil"/>
            </w:tcBorders>
            <w:shd w:val="clear" w:color="auto" w:fill="auto"/>
            <w:noWrap/>
            <w:vAlign w:val="bottom"/>
            <w:hideMark/>
          </w:tcPr>
          <w:p w14:paraId="7443FB7A" w14:textId="77777777" w:rsidR="00F22587" w:rsidRPr="000E5DBF" w:rsidRDefault="00F22587" w:rsidP="008A5C11">
            <w:pPr>
              <w:rPr>
                <w:sz w:val="16"/>
                <w:szCs w:val="16"/>
              </w:rPr>
            </w:pPr>
          </w:p>
        </w:tc>
        <w:tc>
          <w:tcPr>
            <w:tcW w:w="576" w:type="dxa"/>
            <w:tcBorders>
              <w:top w:val="nil"/>
              <w:left w:val="nil"/>
              <w:bottom w:val="nil"/>
              <w:right w:val="nil"/>
            </w:tcBorders>
            <w:shd w:val="clear" w:color="auto" w:fill="auto"/>
            <w:noWrap/>
            <w:vAlign w:val="bottom"/>
            <w:hideMark/>
          </w:tcPr>
          <w:p w14:paraId="6F137486" w14:textId="77777777" w:rsidR="00F22587" w:rsidRPr="000E5DBF" w:rsidRDefault="00F22587" w:rsidP="008A5C11">
            <w:pPr>
              <w:rPr>
                <w:sz w:val="16"/>
                <w:szCs w:val="16"/>
              </w:rPr>
            </w:pPr>
          </w:p>
        </w:tc>
        <w:tc>
          <w:tcPr>
            <w:tcW w:w="576" w:type="dxa"/>
            <w:tcBorders>
              <w:top w:val="nil"/>
              <w:left w:val="nil"/>
              <w:bottom w:val="nil"/>
              <w:right w:val="nil"/>
            </w:tcBorders>
            <w:shd w:val="clear" w:color="auto" w:fill="auto"/>
            <w:noWrap/>
            <w:vAlign w:val="bottom"/>
            <w:hideMark/>
          </w:tcPr>
          <w:p w14:paraId="586A2699" w14:textId="77777777" w:rsidR="00F22587" w:rsidRPr="000E5DBF" w:rsidRDefault="00F22587" w:rsidP="008A5C11">
            <w:pPr>
              <w:rPr>
                <w:sz w:val="16"/>
                <w:szCs w:val="16"/>
              </w:rPr>
            </w:pPr>
          </w:p>
        </w:tc>
        <w:tc>
          <w:tcPr>
            <w:tcW w:w="628" w:type="dxa"/>
            <w:tcBorders>
              <w:top w:val="nil"/>
              <w:left w:val="nil"/>
              <w:bottom w:val="nil"/>
              <w:right w:val="nil"/>
            </w:tcBorders>
            <w:shd w:val="clear" w:color="auto" w:fill="auto"/>
            <w:noWrap/>
            <w:vAlign w:val="bottom"/>
            <w:hideMark/>
          </w:tcPr>
          <w:p w14:paraId="7B57A767" w14:textId="77777777" w:rsidR="00F22587" w:rsidRPr="000E5DBF" w:rsidRDefault="00F22587" w:rsidP="008A5C11">
            <w:pPr>
              <w:rPr>
                <w:sz w:val="16"/>
                <w:szCs w:val="16"/>
              </w:rPr>
            </w:pPr>
          </w:p>
        </w:tc>
        <w:tc>
          <w:tcPr>
            <w:tcW w:w="709" w:type="dxa"/>
            <w:tcBorders>
              <w:top w:val="nil"/>
              <w:left w:val="nil"/>
              <w:bottom w:val="nil"/>
              <w:right w:val="nil"/>
            </w:tcBorders>
            <w:shd w:val="clear" w:color="auto" w:fill="auto"/>
            <w:noWrap/>
            <w:vAlign w:val="bottom"/>
            <w:hideMark/>
          </w:tcPr>
          <w:p w14:paraId="6CBE02DE" w14:textId="77777777" w:rsidR="00F22587" w:rsidRPr="000E5DBF" w:rsidRDefault="00F22587" w:rsidP="008A5C11">
            <w:pPr>
              <w:rPr>
                <w:sz w:val="16"/>
                <w:szCs w:val="16"/>
              </w:rPr>
            </w:pPr>
          </w:p>
        </w:tc>
        <w:tc>
          <w:tcPr>
            <w:tcW w:w="425" w:type="dxa"/>
            <w:tcBorders>
              <w:top w:val="nil"/>
              <w:left w:val="nil"/>
              <w:bottom w:val="nil"/>
              <w:right w:val="nil"/>
            </w:tcBorders>
            <w:shd w:val="clear" w:color="auto" w:fill="auto"/>
            <w:noWrap/>
            <w:vAlign w:val="bottom"/>
            <w:hideMark/>
          </w:tcPr>
          <w:p w14:paraId="5080E094" w14:textId="77777777" w:rsidR="00F22587" w:rsidRPr="000E5DBF" w:rsidRDefault="00F22587" w:rsidP="008A5C11">
            <w:pPr>
              <w:rPr>
                <w:sz w:val="16"/>
                <w:szCs w:val="16"/>
              </w:rPr>
            </w:pPr>
          </w:p>
        </w:tc>
        <w:tc>
          <w:tcPr>
            <w:tcW w:w="425" w:type="dxa"/>
            <w:tcBorders>
              <w:top w:val="nil"/>
              <w:left w:val="nil"/>
              <w:bottom w:val="nil"/>
              <w:right w:val="nil"/>
            </w:tcBorders>
            <w:shd w:val="clear" w:color="auto" w:fill="auto"/>
            <w:noWrap/>
            <w:vAlign w:val="bottom"/>
            <w:hideMark/>
          </w:tcPr>
          <w:p w14:paraId="7B347730" w14:textId="77777777" w:rsidR="00F22587" w:rsidRPr="000E5DBF" w:rsidRDefault="00F22587" w:rsidP="008A5C11">
            <w:pPr>
              <w:rPr>
                <w:sz w:val="16"/>
                <w:szCs w:val="16"/>
              </w:rPr>
            </w:pPr>
          </w:p>
        </w:tc>
        <w:tc>
          <w:tcPr>
            <w:tcW w:w="425" w:type="dxa"/>
            <w:tcBorders>
              <w:top w:val="nil"/>
              <w:left w:val="nil"/>
              <w:bottom w:val="nil"/>
              <w:right w:val="nil"/>
            </w:tcBorders>
            <w:shd w:val="clear" w:color="auto" w:fill="auto"/>
            <w:noWrap/>
            <w:vAlign w:val="bottom"/>
            <w:hideMark/>
          </w:tcPr>
          <w:p w14:paraId="26CD5C15" w14:textId="77777777" w:rsidR="00F22587" w:rsidRPr="000E5DBF" w:rsidRDefault="00F22587" w:rsidP="008A5C11">
            <w:pPr>
              <w:rPr>
                <w:sz w:val="16"/>
                <w:szCs w:val="16"/>
              </w:rPr>
            </w:pPr>
          </w:p>
        </w:tc>
        <w:tc>
          <w:tcPr>
            <w:tcW w:w="426" w:type="dxa"/>
            <w:tcBorders>
              <w:top w:val="nil"/>
              <w:left w:val="nil"/>
              <w:bottom w:val="nil"/>
              <w:right w:val="nil"/>
            </w:tcBorders>
            <w:shd w:val="clear" w:color="auto" w:fill="auto"/>
            <w:noWrap/>
            <w:vAlign w:val="bottom"/>
            <w:hideMark/>
          </w:tcPr>
          <w:p w14:paraId="2F525DFB" w14:textId="77777777" w:rsidR="00F22587" w:rsidRPr="000E5DBF" w:rsidRDefault="00F22587" w:rsidP="008A5C11">
            <w:pPr>
              <w:rPr>
                <w:sz w:val="16"/>
                <w:szCs w:val="16"/>
              </w:rPr>
            </w:pPr>
          </w:p>
        </w:tc>
        <w:tc>
          <w:tcPr>
            <w:tcW w:w="425" w:type="dxa"/>
            <w:tcBorders>
              <w:top w:val="nil"/>
              <w:left w:val="nil"/>
              <w:bottom w:val="nil"/>
              <w:right w:val="nil"/>
            </w:tcBorders>
            <w:shd w:val="clear" w:color="auto" w:fill="auto"/>
            <w:noWrap/>
            <w:vAlign w:val="bottom"/>
            <w:hideMark/>
          </w:tcPr>
          <w:p w14:paraId="05EC438C" w14:textId="77777777" w:rsidR="00F22587" w:rsidRPr="000E5DBF" w:rsidRDefault="00F22587" w:rsidP="008A5C11">
            <w:pPr>
              <w:rPr>
                <w:sz w:val="16"/>
                <w:szCs w:val="16"/>
              </w:rPr>
            </w:pPr>
          </w:p>
        </w:tc>
        <w:tc>
          <w:tcPr>
            <w:tcW w:w="425" w:type="dxa"/>
            <w:tcBorders>
              <w:top w:val="nil"/>
              <w:left w:val="nil"/>
              <w:bottom w:val="nil"/>
              <w:right w:val="nil"/>
            </w:tcBorders>
            <w:shd w:val="clear" w:color="auto" w:fill="auto"/>
            <w:noWrap/>
            <w:vAlign w:val="bottom"/>
            <w:hideMark/>
          </w:tcPr>
          <w:p w14:paraId="53E811C6" w14:textId="77777777" w:rsidR="00F22587" w:rsidRPr="000E5DBF" w:rsidRDefault="00F22587" w:rsidP="008A5C11">
            <w:pPr>
              <w:rPr>
                <w:sz w:val="16"/>
                <w:szCs w:val="16"/>
              </w:rPr>
            </w:pPr>
          </w:p>
        </w:tc>
        <w:tc>
          <w:tcPr>
            <w:tcW w:w="425" w:type="dxa"/>
            <w:tcBorders>
              <w:top w:val="nil"/>
              <w:left w:val="nil"/>
              <w:bottom w:val="nil"/>
              <w:right w:val="nil"/>
            </w:tcBorders>
            <w:shd w:val="clear" w:color="auto" w:fill="auto"/>
            <w:noWrap/>
            <w:vAlign w:val="bottom"/>
            <w:hideMark/>
          </w:tcPr>
          <w:p w14:paraId="08FEB073" w14:textId="77777777" w:rsidR="00F22587" w:rsidRPr="000E5DBF" w:rsidRDefault="00F22587" w:rsidP="008A5C11">
            <w:pPr>
              <w:rPr>
                <w:sz w:val="16"/>
                <w:szCs w:val="16"/>
              </w:rPr>
            </w:pPr>
          </w:p>
        </w:tc>
        <w:tc>
          <w:tcPr>
            <w:tcW w:w="426" w:type="dxa"/>
            <w:tcBorders>
              <w:top w:val="nil"/>
              <w:left w:val="nil"/>
              <w:bottom w:val="nil"/>
              <w:right w:val="nil"/>
            </w:tcBorders>
            <w:shd w:val="clear" w:color="auto" w:fill="auto"/>
            <w:noWrap/>
            <w:vAlign w:val="bottom"/>
            <w:hideMark/>
          </w:tcPr>
          <w:p w14:paraId="2DC3E540" w14:textId="77777777" w:rsidR="00F22587" w:rsidRPr="000E5DBF" w:rsidRDefault="00F22587" w:rsidP="008A5C11">
            <w:pPr>
              <w:rPr>
                <w:sz w:val="16"/>
                <w:szCs w:val="16"/>
              </w:rPr>
            </w:pPr>
          </w:p>
        </w:tc>
        <w:tc>
          <w:tcPr>
            <w:tcW w:w="425" w:type="dxa"/>
            <w:tcBorders>
              <w:top w:val="nil"/>
              <w:left w:val="nil"/>
              <w:bottom w:val="nil"/>
              <w:right w:val="nil"/>
            </w:tcBorders>
            <w:shd w:val="clear" w:color="auto" w:fill="auto"/>
            <w:noWrap/>
            <w:vAlign w:val="bottom"/>
            <w:hideMark/>
          </w:tcPr>
          <w:p w14:paraId="4F3E87F0" w14:textId="77777777" w:rsidR="00F22587" w:rsidRPr="000E5DBF" w:rsidRDefault="00F22587" w:rsidP="008A5C11">
            <w:pPr>
              <w:rPr>
                <w:sz w:val="16"/>
                <w:szCs w:val="16"/>
              </w:rPr>
            </w:pPr>
          </w:p>
        </w:tc>
        <w:tc>
          <w:tcPr>
            <w:tcW w:w="425" w:type="dxa"/>
            <w:tcBorders>
              <w:top w:val="nil"/>
              <w:left w:val="nil"/>
              <w:bottom w:val="nil"/>
              <w:right w:val="nil"/>
            </w:tcBorders>
            <w:shd w:val="clear" w:color="auto" w:fill="auto"/>
            <w:noWrap/>
            <w:vAlign w:val="bottom"/>
            <w:hideMark/>
          </w:tcPr>
          <w:p w14:paraId="2CF1EB2A" w14:textId="77777777" w:rsidR="00F22587" w:rsidRPr="000E5DBF" w:rsidRDefault="00F22587" w:rsidP="008A5C11">
            <w:pPr>
              <w:rPr>
                <w:sz w:val="16"/>
                <w:szCs w:val="16"/>
              </w:rPr>
            </w:pPr>
          </w:p>
        </w:tc>
        <w:tc>
          <w:tcPr>
            <w:tcW w:w="425" w:type="dxa"/>
            <w:tcBorders>
              <w:top w:val="nil"/>
              <w:left w:val="nil"/>
              <w:bottom w:val="nil"/>
              <w:right w:val="nil"/>
            </w:tcBorders>
            <w:shd w:val="clear" w:color="auto" w:fill="auto"/>
            <w:noWrap/>
            <w:vAlign w:val="bottom"/>
            <w:hideMark/>
          </w:tcPr>
          <w:p w14:paraId="57D77017" w14:textId="77777777" w:rsidR="00F22587" w:rsidRPr="000E5DBF" w:rsidRDefault="00F22587" w:rsidP="008A5C11">
            <w:pPr>
              <w:rPr>
                <w:sz w:val="16"/>
                <w:szCs w:val="16"/>
              </w:rPr>
            </w:pPr>
          </w:p>
        </w:tc>
        <w:tc>
          <w:tcPr>
            <w:tcW w:w="426" w:type="dxa"/>
            <w:tcBorders>
              <w:top w:val="nil"/>
              <w:left w:val="nil"/>
              <w:bottom w:val="nil"/>
              <w:right w:val="nil"/>
            </w:tcBorders>
            <w:shd w:val="clear" w:color="auto" w:fill="auto"/>
            <w:noWrap/>
            <w:vAlign w:val="bottom"/>
            <w:hideMark/>
          </w:tcPr>
          <w:p w14:paraId="7EF40748" w14:textId="77777777" w:rsidR="00F22587" w:rsidRPr="000E5DBF" w:rsidRDefault="00F22587" w:rsidP="008A5C11">
            <w:pPr>
              <w:rPr>
                <w:sz w:val="16"/>
                <w:szCs w:val="16"/>
              </w:rPr>
            </w:pPr>
          </w:p>
        </w:tc>
      </w:tr>
      <w:tr w:rsidR="00F22587" w:rsidRPr="000E5DBF" w14:paraId="7E6ADFBD" w14:textId="77777777" w:rsidTr="008A5C11">
        <w:trPr>
          <w:trHeight w:val="60"/>
        </w:trPr>
        <w:tc>
          <w:tcPr>
            <w:tcW w:w="5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899B21A" w14:textId="77777777" w:rsidR="00F22587" w:rsidRPr="000E5DBF" w:rsidRDefault="00F22587" w:rsidP="008A5C11">
            <w:pPr>
              <w:jc w:val="center"/>
              <w:rPr>
                <w:color w:val="000000"/>
                <w:sz w:val="16"/>
                <w:szCs w:val="16"/>
              </w:rPr>
            </w:pPr>
            <w:r w:rsidRPr="000E5DBF">
              <w:rPr>
                <w:color w:val="000000"/>
                <w:sz w:val="16"/>
                <w:szCs w:val="16"/>
              </w:rPr>
              <w:t>№ п/п</w:t>
            </w:r>
          </w:p>
        </w:tc>
        <w:tc>
          <w:tcPr>
            <w:tcW w:w="12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B525668" w14:textId="77777777" w:rsidR="00F22587" w:rsidRPr="000E5DBF" w:rsidRDefault="00F22587" w:rsidP="008A5C11">
            <w:pPr>
              <w:jc w:val="center"/>
              <w:rPr>
                <w:color w:val="000000"/>
                <w:sz w:val="16"/>
                <w:szCs w:val="16"/>
              </w:rPr>
            </w:pPr>
            <w:r w:rsidRPr="000E5DBF">
              <w:rPr>
                <w:color w:val="000000"/>
                <w:sz w:val="16"/>
                <w:szCs w:val="16"/>
              </w:rPr>
              <w:t>Наименование объекта</w:t>
            </w:r>
          </w:p>
        </w:tc>
        <w:tc>
          <w:tcPr>
            <w:tcW w:w="13528" w:type="dxa"/>
            <w:gridSpan w:val="26"/>
            <w:tcBorders>
              <w:top w:val="single" w:sz="4" w:space="0" w:color="auto"/>
              <w:left w:val="nil"/>
              <w:bottom w:val="single" w:sz="4" w:space="0" w:color="auto"/>
              <w:right w:val="single" w:sz="4" w:space="0" w:color="auto"/>
            </w:tcBorders>
            <w:shd w:val="clear" w:color="000000" w:fill="FFFFFF"/>
            <w:vAlign w:val="center"/>
            <w:hideMark/>
          </w:tcPr>
          <w:p w14:paraId="70C987C7" w14:textId="77777777" w:rsidR="00F22587" w:rsidRPr="000E5DBF" w:rsidRDefault="00F22587" w:rsidP="008A5C11">
            <w:pPr>
              <w:jc w:val="center"/>
              <w:rPr>
                <w:color w:val="000000"/>
                <w:sz w:val="16"/>
                <w:szCs w:val="16"/>
              </w:rPr>
            </w:pPr>
            <w:r w:rsidRPr="000E5DBF">
              <w:rPr>
                <w:color w:val="000000"/>
                <w:sz w:val="16"/>
                <w:szCs w:val="16"/>
              </w:rPr>
              <w:t>Показатели надежности</w:t>
            </w:r>
          </w:p>
        </w:tc>
      </w:tr>
      <w:tr w:rsidR="00F22587" w:rsidRPr="000E5DBF" w14:paraId="322F4658" w14:textId="77777777" w:rsidTr="008A5C11">
        <w:trPr>
          <w:trHeight w:val="675"/>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65165F00" w14:textId="77777777" w:rsidR="00F22587" w:rsidRPr="000E5DBF" w:rsidRDefault="00F22587" w:rsidP="008A5C11">
            <w:pPr>
              <w:rPr>
                <w:color w:val="000000"/>
                <w:sz w:val="16"/>
                <w:szCs w:val="16"/>
              </w:rPr>
            </w:pPr>
          </w:p>
        </w:tc>
        <w:tc>
          <w:tcPr>
            <w:tcW w:w="1243" w:type="dxa"/>
            <w:vMerge/>
            <w:tcBorders>
              <w:top w:val="single" w:sz="4" w:space="0" w:color="auto"/>
              <w:left w:val="single" w:sz="4" w:space="0" w:color="auto"/>
              <w:bottom w:val="single" w:sz="4" w:space="0" w:color="auto"/>
              <w:right w:val="single" w:sz="4" w:space="0" w:color="auto"/>
            </w:tcBorders>
            <w:vAlign w:val="center"/>
            <w:hideMark/>
          </w:tcPr>
          <w:p w14:paraId="26478142" w14:textId="77777777" w:rsidR="00F22587" w:rsidRPr="000E5DBF" w:rsidRDefault="00F22587" w:rsidP="008A5C11">
            <w:pPr>
              <w:rPr>
                <w:color w:val="000000"/>
                <w:sz w:val="16"/>
                <w:szCs w:val="16"/>
              </w:rPr>
            </w:pPr>
          </w:p>
        </w:tc>
        <w:tc>
          <w:tcPr>
            <w:tcW w:w="7716" w:type="dxa"/>
            <w:gridSpan w:val="1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03676ED" w14:textId="77777777" w:rsidR="00F22587" w:rsidRPr="000E5DBF" w:rsidRDefault="00F22587" w:rsidP="008A5C11">
            <w:pPr>
              <w:rPr>
                <w:color w:val="000000"/>
                <w:sz w:val="16"/>
                <w:szCs w:val="16"/>
              </w:rPr>
            </w:pPr>
            <w:r w:rsidRPr="000E5DBF">
              <w:rPr>
                <w:color w:val="000000"/>
                <w:sz w:val="16"/>
                <w:szCs w:val="16"/>
              </w:rPr>
              <w:t>Количество прекращений подачи тепловой энергии, теплоносителя в результате технологических нарушений на тепловых сетях на 1 км тепловых сетей</w:t>
            </w:r>
          </w:p>
        </w:tc>
        <w:tc>
          <w:tcPr>
            <w:tcW w:w="5812" w:type="dxa"/>
            <w:gridSpan w:val="1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47D338B" w14:textId="77777777" w:rsidR="00F22587" w:rsidRPr="000E5DBF" w:rsidRDefault="00F22587" w:rsidP="008A5C11">
            <w:pPr>
              <w:rPr>
                <w:color w:val="000000"/>
                <w:sz w:val="16"/>
                <w:szCs w:val="16"/>
              </w:rPr>
            </w:pPr>
            <w:r w:rsidRPr="000E5DBF">
              <w:rPr>
                <w:color w:val="000000"/>
                <w:sz w:val="16"/>
                <w:szCs w:val="16"/>
              </w:rP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tc>
      </w:tr>
      <w:tr w:rsidR="00F22587" w:rsidRPr="000E5DBF" w14:paraId="475CD162" w14:textId="77777777" w:rsidTr="008A5C11">
        <w:trPr>
          <w:trHeight w:val="458"/>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5AAA788E" w14:textId="77777777" w:rsidR="00F22587" w:rsidRPr="000E5DBF" w:rsidRDefault="00F22587" w:rsidP="008A5C11">
            <w:pPr>
              <w:rPr>
                <w:color w:val="000000"/>
                <w:sz w:val="16"/>
                <w:szCs w:val="16"/>
              </w:rPr>
            </w:pPr>
          </w:p>
        </w:tc>
        <w:tc>
          <w:tcPr>
            <w:tcW w:w="1243" w:type="dxa"/>
            <w:vMerge/>
            <w:tcBorders>
              <w:top w:val="single" w:sz="4" w:space="0" w:color="auto"/>
              <w:left w:val="single" w:sz="4" w:space="0" w:color="auto"/>
              <w:bottom w:val="single" w:sz="4" w:space="0" w:color="auto"/>
              <w:right w:val="single" w:sz="4" w:space="0" w:color="auto"/>
            </w:tcBorders>
            <w:vAlign w:val="center"/>
            <w:hideMark/>
          </w:tcPr>
          <w:p w14:paraId="58DFD094" w14:textId="77777777" w:rsidR="00F22587" w:rsidRPr="000E5DBF" w:rsidRDefault="00F22587" w:rsidP="008A5C11">
            <w:pPr>
              <w:rPr>
                <w:color w:val="000000"/>
                <w:sz w:val="16"/>
                <w:szCs w:val="16"/>
              </w:rPr>
            </w:pPr>
          </w:p>
        </w:tc>
        <w:tc>
          <w:tcPr>
            <w:tcW w:w="7716" w:type="dxa"/>
            <w:gridSpan w:val="13"/>
            <w:vMerge/>
            <w:tcBorders>
              <w:top w:val="single" w:sz="4" w:space="0" w:color="auto"/>
              <w:left w:val="single" w:sz="4" w:space="0" w:color="auto"/>
              <w:bottom w:val="single" w:sz="4" w:space="0" w:color="auto"/>
              <w:right w:val="single" w:sz="4" w:space="0" w:color="auto"/>
            </w:tcBorders>
            <w:vAlign w:val="center"/>
            <w:hideMark/>
          </w:tcPr>
          <w:p w14:paraId="1D51944F" w14:textId="77777777" w:rsidR="00F22587" w:rsidRPr="000E5DBF" w:rsidRDefault="00F22587" w:rsidP="008A5C11">
            <w:pPr>
              <w:rPr>
                <w:color w:val="000000"/>
                <w:sz w:val="16"/>
                <w:szCs w:val="16"/>
              </w:rPr>
            </w:pPr>
          </w:p>
        </w:tc>
        <w:tc>
          <w:tcPr>
            <w:tcW w:w="5812" w:type="dxa"/>
            <w:gridSpan w:val="13"/>
            <w:vMerge/>
            <w:tcBorders>
              <w:top w:val="single" w:sz="4" w:space="0" w:color="auto"/>
              <w:left w:val="single" w:sz="4" w:space="0" w:color="auto"/>
              <w:bottom w:val="single" w:sz="4" w:space="0" w:color="auto"/>
              <w:right w:val="single" w:sz="4" w:space="0" w:color="auto"/>
            </w:tcBorders>
            <w:vAlign w:val="center"/>
            <w:hideMark/>
          </w:tcPr>
          <w:p w14:paraId="5DB36CAB" w14:textId="77777777" w:rsidR="00F22587" w:rsidRPr="000E5DBF" w:rsidRDefault="00F22587" w:rsidP="008A5C11">
            <w:pPr>
              <w:rPr>
                <w:color w:val="000000"/>
                <w:sz w:val="16"/>
                <w:szCs w:val="16"/>
              </w:rPr>
            </w:pPr>
          </w:p>
        </w:tc>
      </w:tr>
      <w:tr w:rsidR="00F22587" w:rsidRPr="000E5DBF" w14:paraId="2938B981" w14:textId="77777777" w:rsidTr="008A5C11">
        <w:trPr>
          <w:trHeight w:val="458"/>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4ED980B5" w14:textId="77777777" w:rsidR="00F22587" w:rsidRPr="000E5DBF" w:rsidRDefault="00F22587" w:rsidP="008A5C11">
            <w:pPr>
              <w:rPr>
                <w:color w:val="000000"/>
                <w:sz w:val="16"/>
                <w:szCs w:val="16"/>
              </w:rPr>
            </w:pPr>
          </w:p>
        </w:tc>
        <w:tc>
          <w:tcPr>
            <w:tcW w:w="1243" w:type="dxa"/>
            <w:vMerge/>
            <w:tcBorders>
              <w:top w:val="single" w:sz="4" w:space="0" w:color="auto"/>
              <w:left w:val="single" w:sz="4" w:space="0" w:color="auto"/>
              <w:bottom w:val="single" w:sz="4" w:space="0" w:color="auto"/>
              <w:right w:val="single" w:sz="4" w:space="0" w:color="auto"/>
            </w:tcBorders>
            <w:vAlign w:val="center"/>
            <w:hideMark/>
          </w:tcPr>
          <w:p w14:paraId="092B6D02" w14:textId="77777777" w:rsidR="00F22587" w:rsidRPr="000E5DBF" w:rsidRDefault="00F22587" w:rsidP="008A5C11">
            <w:pPr>
              <w:rPr>
                <w:color w:val="000000"/>
                <w:sz w:val="16"/>
                <w:szCs w:val="16"/>
              </w:rPr>
            </w:pPr>
          </w:p>
        </w:tc>
        <w:tc>
          <w:tcPr>
            <w:tcW w:w="7716" w:type="dxa"/>
            <w:gridSpan w:val="13"/>
            <w:vMerge/>
            <w:tcBorders>
              <w:top w:val="single" w:sz="4" w:space="0" w:color="auto"/>
              <w:left w:val="single" w:sz="4" w:space="0" w:color="auto"/>
              <w:bottom w:val="single" w:sz="4" w:space="0" w:color="auto"/>
              <w:right w:val="single" w:sz="4" w:space="0" w:color="auto"/>
            </w:tcBorders>
            <w:vAlign w:val="center"/>
            <w:hideMark/>
          </w:tcPr>
          <w:p w14:paraId="6201A39E" w14:textId="77777777" w:rsidR="00F22587" w:rsidRPr="000E5DBF" w:rsidRDefault="00F22587" w:rsidP="008A5C11">
            <w:pPr>
              <w:rPr>
                <w:color w:val="000000"/>
                <w:sz w:val="16"/>
                <w:szCs w:val="16"/>
              </w:rPr>
            </w:pPr>
          </w:p>
        </w:tc>
        <w:tc>
          <w:tcPr>
            <w:tcW w:w="5812" w:type="dxa"/>
            <w:gridSpan w:val="13"/>
            <w:vMerge/>
            <w:tcBorders>
              <w:top w:val="single" w:sz="4" w:space="0" w:color="auto"/>
              <w:left w:val="single" w:sz="4" w:space="0" w:color="auto"/>
              <w:bottom w:val="single" w:sz="4" w:space="0" w:color="auto"/>
              <w:right w:val="single" w:sz="4" w:space="0" w:color="auto"/>
            </w:tcBorders>
            <w:vAlign w:val="center"/>
            <w:hideMark/>
          </w:tcPr>
          <w:p w14:paraId="73EEBF95" w14:textId="77777777" w:rsidR="00F22587" w:rsidRPr="000E5DBF" w:rsidRDefault="00F22587" w:rsidP="008A5C11">
            <w:pPr>
              <w:rPr>
                <w:color w:val="000000"/>
                <w:sz w:val="16"/>
                <w:szCs w:val="16"/>
              </w:rPr>
            </w:pPr>
          </w:p>
        </w:tc>
      </w:tr>
      <w:tr w:rsidR="00F22587" w:rsidRPr="000E5DBF" w14:paraId="457841E9" w14:textId="77777777" w:rsidTr="008A5C11">
        <w:trPr>
          <w:trHeight w:val="316"/>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003165CE" w14:textId="77777777" w:rsidR="00F22587" w:rsidRPr="000E5DBF" w:rsidRDefault="00F22587" w:rsidP="008A5C11">
            <w:pPr>
              <w:rPr>
                <w:color w:val="000000"/>
                <w:sz w:val="16"/>
                <w:szCs w:val="16"/>
              </w:rPr>
            </w:pPr>
          </w:p>
        </w:tc>
        <w:tc>
          <w:tcPr>
            <w:tcW w:w="1243" w:type="dxa"/>
            <w:vMerge/>
            <w:tcBorders>
              <w:top w:val="single" w:sz="4" w:space="0" w:color="auto"/>
              <w:left w:val="single" w:sz="4" w:space="0" w:color="auto"/>
              <w:bottom w:val="single" w:sz="4" w:space="0" w:color="auto"/>
              <w:right w:val="single" w:sz="4" w:space="0" w:color="auto"/>
            </w:tcBorders>
            <w:vAlign w:val="center"/>
            <w:hideMark/>
          </w:tcPr>
          <w:p w14:paraId="021B3E72" w14:textId="77777777" w:rsidR="00F22587" w:rsidRPr="000E5DBF" w:rsidRDefault="00F22587" w:rsidP="008A5C11">
            <w:pPr>
              <w:rPr>
                <w:color w:val="000000"/>
                <w:sz w:val="16"/>
                <w:szCs w:val="16"/>
              </w:rPr>
            </w:pPr>
          </w:p>
        </w:tc>
        <w:tc>
          <w:tcPr>
            <w:tcW w:w="670" w:type="dxa"/>
            <w:vMerge w:val="restart"/>
            <w:tcBorders>
              <w:top w:val="nil"/>
              <w:left w:val="nil"/>
              <w:right w:val="single" w:sz="4" w:space="0" w:color="auto"/>
            </w:tcBorders>
            <w:shd w:val="clear" w:color="000000" w:fill="FFFFFF"/>
            <w:vAlign w:val="center"/>
            <w:hideMark/>
          </w:tcPr>
          <w:p w14:paraId="6A374E24" w14:textId="77777777" w:rsidR="00F22587" w:rsidRPr="000E5DBF" w:rsidRDefault="00F22587" w:rsidP="008A5C11">
            <w:pPr>
              <w:rPr>
                <w:color w:val="000000"/>
                <w:sz w:val="16"/>
                <w:szCs w:val="16"/>
              </w:rPr>
            </w:pPr>
            <w:r w:rsidRPr="000E5DBF">
              <w:rPr>
                <w:color w:val="000000"/>
                <w:sz w:val="16"/>
                <w:szCs w:val="16"/>
              </w:rPr>
              <w:t>Текущее значение</w:t>
            </w:r>
          </w:p>
        </w:tc>
        <w:tc>
          <w:tcPr>
            <w:tcW w:w="7046" w:type="dxa"/>
            <w:gridSpan w:val="12"/>
            <w:tcBorders>
              <w:top w:val="single" w:sz="4" w:space="0" w:color="auto"/>
              <w:left w:val="nil"/>
              <w:bottom w:val="single" w:sz="4" w:space="0" w:color="auto"/>
              <w:right w:val="single" w:sz="4" w:space="0" w:color="000000"/>
            </w:tcBorders>
            <w:shd w:val="clear" w:color="000000" w:fill="FFFFFF"/>
            <w:vAlign w:val="center"/>
            <w:hideMark/>
          </w:tcPr>
          <w:p w14:paraId="66BDA22A" w14:textId="77777777" w:rsidR="00F22587" w:rsidRPr="000E5DBF" w:rsidRDefault="00F22587" w:rsidP="008A5C11">
            <w:pPr>
              <w:jc w:val="center"/>
              <w:rPr>
                <w:color w:val="000000"/>
                <w:sz w:val="16"/>
                <w:szCs w:val="16"/>
              </w:rPr>
            </w:pPr>
            <w:r w:rsidRPr="000E5DBF">
              <w:rPr>
                <w:color w:val="000000"/>
                <w:sz w:val="16"/>
                <w:szCs w:val="16"/>
              </w:rPr>
              <w:t>Плановое значение</w:t>
            </w:r>
          </w:p>
        </w:tc>
        <w:tc>
          <w:tcPr>
            <w:tcW w:w="709" w:type="dxa"/>
            <w:vMerge w:val="restart"/>
            <w:tcBorders>
              <w:top w:val="nil"/>
              <w:left w:val="nil"/>
              <w:right w:val="single" w:sz="4" w:space="0" w:color="auto"/>
            </w:tcBorders>
            <w:shd w:val="clear" w:color="000000" w:fill="FFFFFF"/>
            <w:vAlign w:val="center"/>
            <w:hideMark/>
          </w:tcPr>
          <w:p w14:paraId="14032324" w14:textId="77777777" w:rsidR="00F22587" w:rsidRPr="000E5DBF" w:rsidRDefault="00F22587" w:rsidP="008A5C11">
            <w:pPr>
              <w:rPr>
                <w:color w:val="000000"/>
                <w:sz w:val="16"/>
                <w:szCs w:val="16"/>
              </w:rPr>
            </w:pPr>
            <w:r w:rsidRPr="000E5DBF">
              <w:rPr>
                <w:color w:val="000000"/>
                <w:sz w:val="16"/>
                <w:szCs w:val="16"/>
              </w:rPr>
              <w:t>Текущее значение</w:t>
            </w:r>
          </w:p>
        </w:tc>
        <w:tc>
          <w:tcPr>
            <w:tcW w:w="5103" w:type="dxa"/>
            <w:gridSpan w:val="12"/>
            <w:tcBorders>
              <w:top w:val="single" w:sz="4" w:space="0" w:color="auto"/>
              <w:left w:val="nil"/>
              <w:bottom w:val="single" w:sz="4" w:space="0" w:color="auto"/>
              <w:right w:val="single" w:sz="4" w:space="0" w:color="000000"/>
            </w:tcBorders>
            <w:shd w:val="clear" w:color="000000" w:fill="FFFFFF"/>
            <w:vAlign w:val="center"/>
            <w:hideMark/>
          </w:tcPr>
          <w:p w14:paraId="5767D58C" w14:textId="77777777" w:rsidR="00F22587" w:rsidRPr="000E5DBF" w:rsidRDefault="00F22587" w:rsidP="008A5C11">
            <w:pPr>
              <w:jc w:val="center"/>
              <w:rPr>
                <w:color w:val="000000"/>
                <w:sz w:val="16"/>
                <w:szCs w:val="16"/>
              </w:rPr>
            </w:pPr>
            <w:r w:rsidRPr="000E5DBF">
              <w:rPr>
                <w:color w:val="000000"/>
                <w:sz w:val="16"/>
                <w:szCs w:val="16"/>
              </w:rPr>
              <w:t>Плановое значение</w:t>
            </w:r>
          </w:p>
        </w:tc>
      </w:tr>
      <w:tr w:rsidR="00F22587" w:rsidRPr="000E5DBF" w14:paraId="04E26BA1" w14:textId="77777777" w:rsidTr="008A5C11">
        <w:trPr>
          <w:trHeight w:val="81"/>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3185709F" w14:textId="77777777" w:rsidR="00F22587" w:rsidRPr="000E5DBF" w:rsidRDefault="00F22587" w:rsidP="008A5C11">
            <w:pPr>
              <w:rPr>
                <w:color w:val="000000"/>
                <w:sz w:val="16"/>
                <w:szCs w:val="16"/>
              </w:rPr>
            </w:pPr>
          </w:p>
        </w:tc>
        <w:tc>
          <w:tcPr>
            <w:tcW w:w="1243" w:type="dxa"/>
            <w:vMerge/>
            <w:tcBorders>
              <w:top w:val="single" w:sz="4" w:space="0" w:color="auto"/>
              <w:left w:val="single" w:sz="4" w:space="0" w:color="auto"/>
              <w:bottom w:val="single" w:sz="4" w:space="0" w:color="auto"/>
              <w:right w:val="single" w:sz="4" w:space="0" w:color="auto"/>
            </w:tcBorders>
            <w:vAlign w:val="center"/>
            <w:hideMark/>
          </w:tcPr>
          <w:p w14:paraId="673E4998" w14:textId="77777777" w:rsidR="00F22587" w:rsidRPr="000E5DBF" w:rsidRDefault="00F22587" w:rsidP="008A5C11">
            <w:pPr>
              <w:rPr>
                <w:color w:val="000000"/>
                <w:sz w:val="16"/>
                <w:szCs w:val="16"/>
              </w:rPr>
            </w:pPr>
          </w:p>
        </w:tc>
        <w:tc>
          <w:tcPr>
            <w:tcW w:w="670" w:type="dxa"/>
            <w:vMerge/>
            <w:tcBorders>
              <w:left w:val="nil"/>
              <w:bottom w:val="single" w:sz="4" w:space="0" w:color="auto"/>
              <w:right w:val="single" w:sz="4" w:space="0" w:color="auto"/>
            </w:tcBorders>
            <w:shd w:val="clear" w:color="000000" w:fill="FFFFFF"/>
            <w:vAlign w:val="center"/>
            <w:hideMark/>
          </w:tcPr>
          <w:p w14:paraId="5B9A3125" w14:textId="77777777" w:rsidR="00F22587" w:rsidRPr="000E5DBF" w:rsidRDefault="00F22587" w:rsidP="008A5C11">
            <w:pPr>
              <w:jc w:val="center"/>
              <w:rPr>
                <w:color w:val="000000"/>
                <w:sz w:val="16"/>
                <w:szCs w:val="16"/>
              </w:rPr>
            </w:pPr>
          </w:p>
        </w:tc>
        <w:tc>
          <w:tcPr>
            <w:tcW w:w="576" w:type="dxa"/>
            <w:tcBorders>
              <w:top w:val="nil"/>
              <w:left w:val="nil"/>
              <w:bottom w:val="single" w:sz="4" w:space="0" w:color="auto"/>
              <w:right w:val="single" w:sz="4" w:space="0" w:color="auto"/>
            </w:tcBorders>
            <w:shd w:val="clear" w:color="000000" w:fill="FFFFFF"/>
            <w:vAlign w:val="center"/>
            <w:hideMark/>
          </w:tcPr>
          <w:p w14:paraId="455C4BFB" w14:textId="77777777" w:rsidR="00F22587" w:rsidRPr="000E5DBF" w:rsidRDefault="00F22587" w:rsidP="008A5C11">
            <w:pPr>
              <w:jc w:val="center"/>
              <w:rPr>
                <w:color w:val="000000"/>
                <w:sz w:val="16"/>
                <w:szCs w:val="16"/>
              </w:rPr>
            </w:pPr>
            <w:r w:rsidRPr="000E5DBF">
              <w:rPr>
                <w:color w:val="000000"/>
                <w:sz w:val="16"/>
                <w:szCs w:val="16"/>
              </w:rPr>
              <w:t>2019</w:t>
            </w:r>
          </w:p>
        </w:tc>
        <w:tc>
          <w:tcPr>
            <w:tcW w:w="658" w:type="dxa"/>
            <w:tcBorders>
              <w:top w:val="nil"/>
              <w:left w:val="nil"/>
              <w:bottom w:val="single" w:sz="4" w:space="0" w:color="auto"/>
              <w:right w:val="single" w:sz="4" w:space="0" w:color="auto"/>
            </w:tcBorders>
            <w:shd w:val="clear" w:color="000000" w:fill="FFFFFF"/>
            <w:vAlign w:val="center"/>
            <w:hideMark/>
          </w:tcPr>
          <w:p w14:paraId="00DBB979" w14:textId="77777777" w:rsidR="00F22587" w:rsidRPr="000E5DBF" w:rsidRDefault="00F22587" w:rsidP="008A5C11">
            <w:pPr>
              <w:jc w:val="center"/>
              <w:rPr>
                <w:color w:val="000000"/>
                <w:sz w:val="16"/>
                <w:szCs w:val="16"/>
              </w:rPr>
            </w:pPr>
            <w:r w:rsidRPr="000E5DBF">
              <w:rPr>
                <w:color w:val="000000"/>
                <w:sz w:val="16"/>
                <w:szCs w:val="16"/>
              </w:rPr>
              <w:t>2020</w:t>
            </w:r>
          </w:p>
        </w:tc>
        <w:tc>
          <w:tcPr>
            <w:tcW w:w="576" w:type="dxa"/>
            <w:tcBorders>
              <w:top w:val="nil"/>
              <w:left w:val="nil"/>
              <w:bottom w:val="single" w:sz="4" w:space="0" w:color="auto"/>
              <w:right w:val="single" w:sz="4" w:space="0" w:color="auto"/>
            </w:tcBorders>
            <w:shd w:val="clear" w:color="000000" w:fill="FFFFFF"/>
            <w:vAlign w:val="center"/>
            <w:hideMark/>
          </w:tcPr>
          <w:p w14:paraId="08670FE8" w14:textId="77777777" w:rsidR="00F22587" w:rsidRPr="000E5DBF" w:rsidRDefault="00F22587" w:rsidP="008A5C11">
            <w:pPr>
              <w:jc w:val="center"/>
              <w:rPr>
                <w:color w:val="000000"/>
                <w:sz w:val="16"/>
                <w:szCs w:val="16"/>
              </w:rPr>
            </w:pPr>
            <w:r w:rsidRPr="000E5DBF">
              <w:rPr>
                <w:color w:val="000000"/>
                <w:sz w:val="16"/>
                <w:szCs w:val="16"/>
              </w:rPr>
              <w:t>2021</w:t>
            </w:r>
          </w:p>
        </w:tc>
        <w:tc>
          <w:tcPr>
            <w:tcW w:w="576" w:type="dxa"/>
            <w:tcBorders>
              <w:top w:val="nil"/>
              <w:left w:val="nil"/>
              <w:bottom w:val="single" w:sz="4" w:space="0" w:color="auto"/>
              <w:right w:val="single" w:sz="4" w:space="0" w:color="auto"/>
            </w:tcBorders>
            <w:shd w:val="clear" w:color="000000" w:fill="FFFFFF"/>
            <w:vAlign w:val="center"/>
            <w:hideMark/>
          </w:tcPr>
          <w:p w14:paraId="74D9EC8E" w14:textId="77777777" w:rsidR="00F22587" w:rsidRPr="000E5DBF" w:rsidRDefault="00F22587" w:rsidP="008A5C11">
            <w:pPr>
              <w:jc w:val="center"/>
              <w:rPr>
                <w:color w:val="000000"/>
                <w:sz w:val="16"/>
                <w:szCs w:val="16"/>
              </w:rPr>
            </w:pPr>
            <w:r w:rsidRPr="000E5DBF">
              <w:rPr>
                <w:color w:val="000000"/>
                <w:sz w:val="16"/>
                <w:szCs w:val="16"/>
              </w:rPr>
              <w:t>2022</w:t>
            </w:r>
          </w:p>
        </w:tc>
        <w:tc>
          <w:tcPr>
            <w:tcW w:w="576" w:type="dxa"/>
            <w:tcBorders>
              <w:top w:val="nil"/>
              <w:left w:val="nil"/>
              <w:bottom w:val="single" w:sz="4" w:space="0" w:color="auto"/>
              <w:right w:val="single" w:sz="4" w:space="0" w:color="auto"/>
            </w:tcBorders>
            <w:shd w:val="clear" w:color="000000" w:fill="FFFFFF"/>
            <w:vAlign w:val="center"/>
            <w:hideMark/>
          </w:tcPr>
          <w:p w14:paraId="6754EE8B" w14:textId="77777777" w:rsidR="00F22587" w:rsidRPr="000E5DBF" w:rsidRDefault="00F22587" w:rsidP="008A5C11">
            <w:pPr>
              <w:jc w:val="center"/>
              <w:rPr>
                <w:color w:val="000000"/>
                <w:sz w:val="16"/>
                <w:szCs w:val="16"/>
              </w:rPr>
            </w:pPr>
            <w:r w:rsidRPr="000E5DBF">
              <w:rPr>
                <w:color w:val="000000"/>
                <w:sz w:val="16"/>
                <w:szCs w:val="16"/>
              </w:rPr>
              <w:t>2023</w:t>
            </w:r>
          </w:p>
        </w:tc>
        <w:tc>
          <w:tcPr>
            <w:tcW w:w="576" w:type="dxa"/>
            <w:tcBorders>
              <w:top w:val="nil"/>
              <w:left w:val="nil"/>
              <w:bottom w:val="single" w:sz="4" w:space="0" w:color="auto"/>
              <w:right w:val="single" w:sz="4" w:space="0" w:color="auto"/>
            </w:tcBorders>
            <w:shd w:val="clear" w:color="000000" w:fill="FFFFFF"/>
            <w:vAlign w:val="center"/>
            <w:hideMark/>
          </w:tcPr>
          <w:p w14:paraId="405042C2" w14:textId="77777777" w:rsidR="00F22587" w:rsidRPr="000E5DBF" w:rsidRDefault="00F22587" w:rsidP="008A5C11">
            <w:pPr>
              <w:jc w:val="center"/>
              <w:rPr>
                <w:color w:val="000000"/>
                <w:sz w:val="16"/>
                <w:szCs w:val="16"/>
              </w:rPr>
            </w:pPr>
            <w:r w:rsidRPr="000E5DBF">
              <w:rPr>
                <w:color w:val="000000"/>
                <w:sz w:val="16"/>
                <w:szCs w:val="16"/>
              </w:rPr>
              <w:t>2024</w:t>
            </w:r>
          </w:p>
        </w:tc>
        <w:tc>
          <w:tcPr>
            <w:tcW w:w="576" w:type="dxa"/>
            <w:tcBorders>
              <w:top w:val="nil"/>
              <w:left w:val="nil"/>
              <w:bottom w:val="single" w:sz="4" w:space="0" w:color="auto"/>
              <w:right w:val="single" w:sz="4" w:space="0" w:color="auto"/>
            </w:tcBorders>
            <w:shd w:val="clear" w:color="000000" w:fill="FFFFFF"/>
            <w:vAlign w:val="center"/>
            <w:hideMark/>
          </w:tcPr>
          <w:p w14:paraId="621DD468" w14:textId="77777777" w:rsidR="00F22587" w:rsidRPr="000E5DBF" w:rsidRDefault="00F22587" w:rsidP="008A5C11">
            <w:pPr>
              <w:jc w:val="center"/>
              <w:rPr>
                <w:color w:val="000000"/>
                <w:sz w:val="16"/>
                <w:szCs w:val="16"/>
              </w:rPr>
            </w:pPr>
            <w:r w:rsidRPr="000E5DBF">
              <w:rPr>
                <w:color w:val="000000"/>
                <w:sz w:val="16"/>
                <w:szCs w:val="16"/>
              </w:rPr>
              <w:t>2025</w:t>
            </w:r>
          </w:p>
        </w:tc>
        <w:tc>
          <w:tcPr>
            <w:tcW w:w="576" w:type="dxa"/>
            <w:tcBorders>
              <w:top w:val="nil"/>
              <w:left w:val="nil"/>
              <w:bottom w:val="single" w:sz="4" w:space="0" w:color="auto"/>
              <w:right w:val="single" w:sz="4" w:space="0" w:color="auto"/>
            </w:tcBorders>
            <w:shd w:val="clear" w:color="000000" w:fill="FFFFFF"/>
            <w:vAlign w:val="center"/>
            <w:hideMark/>
          </w:tcPr>
          <w:p w14:paraId="2D6A8202" w14:textId="77777777" w:rsidR="00F22587" w:rsidRPr="000E5DBF" w:rsidRDefault="00F22587" w:rsidP="008A5C11">
            <w:pPr>
              <w:jc w:val="center"/>
              <w:rPr>
                <w:color w:val="000000"/>
                <w:sz w:val="16"/>
                <w:szCs w:val="16"/>
              </w:rPr>
            </w:pPr>
            <w:r w:rsidRPr="000E5DBF">
              <w:rPr>
                <w:color w:val="000000"/>
                <w:sz w:val="16"/>
                <w:szCs w:val="16"/>
              </w:rPr>
              <w:t>2026</w:t>
            </w:r>
          </w:p>
        </w:tc>
        <w:tc>
          <w:tcPr>
            <w:tcW w:w="576" w:type="dxa"/>
            <w:tcBorders>
              <w:top w:val="nil"/>
              <w:left w:val="nil"/>
              <w:bottom w:val="single" w:sz="4" w:space="0" w:color="auto"/>
              <w:right w:val="single" w:sz="4" w:space="0" w:color="auto"/>
            </w:tcBorders>
            <w:shd w:val="clear" w:color="000000" w:fill="FFFFFF"/>
            <w:vAlign w:val="center"/>
            <w:hideMark/>
          </w:tcPr>
          <w:p w14:paraId="6A0A539A" w14:textId="77777777" w:rsidR="00F22587" w:rsidRPr="000E5DBF" w:rsidRDefault="00F22587" w:rsidP="008A5C11">
            <w:pPr>
              <w:jc w:val="center"/>
              <w:rPr>
                <w:color w:val="000000"/>
                <w:sz w:val="16"/>
                <w:szCs w:val="16"/>
              </w:rPr>
            </w:pPr>
            <w:r w:rsidRPr="000E5DBF">
              <w:rPr>
                <w:color w:val="000000"/>
                <w:sz w:val="16"/>
                <w:szCs w:val="16"/>
              </w:rPr>
              <w:t>2027</w:t>
            </w:r>
          </w:p>
        </w:tc>
        <w:tc>
          <w:tcPr>
            <w:tcW w:w="576" w:type="dxa"/>
            <w:tcBorders>
              <w:top w:val="nil"/>
              <w:left w:val="nil"/>
              <w:bottom w:val="single" w:sz="4" w:space="0" w:color="auto"/>
              <w:right w:val="single" w:sz="4" w:space="0" w:color="auto"/>
            </w:tcBorders>
            <w:shd w:val="clear" w:color="000000" w:fill="FFFFFF"/>
            <w:vAlign w:val="center"/>
            <w:hideMark/>
          </w:tcPr>
          <w:p w14:paraId="293622B9" w14:textId="77777777" w:rsidR="00F22587" w:rsidRPr="000E5DBF" w:rsidRDefault="00F22587" w:rsidP="008A5C11">
            <w:pPr>
              <w:jc w:val="center"/>
              <w:rPr>
                <w:color w:val="000000"/>
                <w:sz w:val="16"/>
                <w:szCs w:val="16"/>
              </w:rPr>
            </w:pPr>
            <w:r w:rsidRPr="000E5DBF">
              <w:rPr>
                <w:color w:val="000000"/>
                <w:sz w:val="16"/>
                <w:szCs w:val="16"/>
              </w:rPr>
              <w:t>2028</w:t>
            </w:r>
          </w:p>
        </w:tc>
        <w:tc>
          <w:tcPr>
            <w:tcW w:w="576" w:type="dxa"/>
            <w:tcBorders>
              <w:top w:val="nil"/>
              <w:left w:val="nil"/>
              <w:bottom w:val="single" w:sz="4" w:space="0" w:color="auto"/>
              <w:right w:val="single" w:sz="4" w:space="0" w:color="auto"/>
            </w:tcBorders>
            <w:shd w:val="clear" w:color="000000" w:fill="FFFFFF"/>
            <w:vAlign w:val="center"/>
            <w:hideMark/>
          </w:tcPr>
          <w:p w14:paraId="1CDEDCA4" w14:textId="77777777" w:rsidR="00F22587" w:rsidRPr="000E5DBF" w:rsidRDefault="00F22587" w:rsidP="008A5C11">
            <w:pPr>
              <w:jc w:val="center"/>
              <w:rPr>
                <w:color w:val="000000"/>
                <w:sz w:val="16"/>
                <w:szCs w:val="16"/>
              </w:rPr>
            </w:pPr>
            <w:r w:rsidRPr="000E5DBF">
              <w:rPr>
                <w:color w:val="000000"/>
                <w:sz w:val="16"/>
                <w:szCs w:val="16"/>
              </w:rPr>
              <w:t>2029</w:t>
            </w:r>
          </w:p>
        </w:tc>
        <w:tc>
          <w:tcPr>
            <w:tcW w:w="628" w:type="dxa"/>
            <w:tcBorders>
              <w:top w:val="nil"/>
              <w:left w:val="nil"/>
              <w:bottom w:val="single" w:sz="4" w:space="0" w:color="auto"/>
              <w:right w:val="single" w:sz="4" w:space="0" w:color="auto"/>
            </w:tcBorders>
            <w:shd w:val="clear" w:color="000000" w:fill="FFFFFF"/>
            <w:vAlign w:val="center"/>
            <w:hideMark/>
          </w:tcPr>
          <w:p w14:paraId="2CC3335B" w14:textId="77777777" w:rsidR="00F22587" w:rsidRPr="000E5DBF" w:rsidRDefault="00F22587" w:rsidP="008A5C11">
            <w:pPr>
              <w:jc w:val="center"/>
              <w:rPr>
                <w:color w:val="000000"/>
                <w:sz w:val="16"/>
                <w:szCs w:val="16"/>
              </w:rPr>
            </w:pPr>
            <w:r w:rsidRPr="000E5DBF">
              <w:rPr>
                <w:color w:val="000000"/>
                <w:sz w:val="16"/>
                <w:szCs w:val="16"/>
              </w:rPr>
              <w:t>2030</w:t>
            </w:r>
          </w:p>
        </w:tc>
        <w:tc>
          <w:tcPr>
            <w:tcW w:w="709" w:type="dxa"/>
            <w:vMerge/>
            <w:tcBorders>
              <w:left w:val="nil"/>
              <w:bottom w:val="single" w:sz="4" w:space="0" w:color="auto"/>
              <w:right w:val="single" w:sz="4" w:space="0" w:color="auto"/>
            </w:tcBorders>
            <w:shd w:val="clear" w:color="000000" w:fill="FFFFFF"/>
            <w:vAlign w:val="center"/>
            <w:hideMark/>
          </w:tcPr>
          <w:p w14:paraId="5795F13D" w14:textId="77777777" w:rsidR="00F22587" w:rsidRPr="000E5DBF" w:rsidRDefault="00F22587" w:rsidP="008A5C11">
            <w:pPr>
              <w:jc w:val="center"/>
              <w:rPr>
                <w:color w:val="000000"/>
                <w:sz w:val="16"/>
                <w:szCs w:val="16"/>
              </w:rPr>
            </w:pPr>
          </w:p>
        </w:tc>
        <w:tc>
          <w:tcPr>
            <w:tcW w:w="425" w:type="dxa"/>
            <w:tcBorders>
              <w:top w:val="nil"/>
              <w:left w:val="nil"/>
              <w:bottom w:val="single" w:sz="4" w:space="0" w:color="auto"/>
              <w:right w:val="single" w:sz="4" w:space="0" w:color="auto"/>
            </w:tcBorders>
            <w:shd w:val="clear" w:color="000000" w:fill="FFFFFF"/>
            <w:vAlign w:val="center"/>
            <w:hideMark/>
          </w:tcPr>
          <w:p w14:paraId="2E54A06E" w14:textId="77777777" w:rsidR="00F22587" w:rsidRPr="000E5DBF" w:rsidRDefault="00F22587" w:rsidP="008A5C11">
            <w:pPr>
              <w:jc w:val="center"/>
              <w:rPr>
                <w:color w:val="000000"/>
                <w:sz w:val="16"/>
                <w:szCs w:val="16"/>
              </w:rPr>
            </w:pPr>
            <w:r w:rsidRPr="000E5DBF">
              <w:rPr>
                <w:color w:val="000000"/>
                <w:sz w:val="16"/>
                <w:szCs w:val="16"/>
              </w:rPr>
              <w:t>2019</w:t>
            </w:r>
          </w:p>
        </w:tc>
        <w:tc>
          <w:tcPr>
            <w:tcW w:w="425" w:type="dxa"/>
            <w:tcBorders>
              <w:top w:val="nil"/>
              <w:left w:val="nil"/>
              <w:bottom w:val="single" w:sz="4" w:space="0" w:color="auto"/>
              <w:right w:val="single" w:sz="4" w:space="0" w:color="auto"/>
            </w:tcBorders>
            <w:shd w:val="clear" w:color="000000" w:fill="FFFFFF"/>
            <w:vAlign w:val="center"/>
            <w:hideMark/>
          </w:tcPr>
          <w:p w14:paraId="7F9B6BAE" w14:textId="77777777" w:rsidR="00F22587" w:rsidRPr="000E5DBF" w:rsidRDefault="00F22587" w:rsidP="008A5C11">
            <w:pPr>
              <w:jc w:val="center"/>
              <w:rPr>
                <w:color w:val="000000"/>
                <w:sz w:val="16"/>
                <w:szCs w:val="16"/>
              </w:rPr>
            </w:pPr>
            <w:r w:rsidRPr="000E5DBF">
              <w:rPr>
                <w:color w:val="000000"/>
                <w:sz w:val="16"/>
                <w:szCs w:val="16"/>
              </w:rPr>
              <w:t>2020</w:t>
            </w:r>
          </w:p>
        </w:tc>
        <w:tc>
          <w:tcPr>
            <w:tcW w:w="425" w:type="dxa"/>
            <w:tcBorders>
              <w:top w:val="nil"/>
              <w:left w:val="nil"/>
              <w:bottom w:val="single" w:sz="4" w:space="0" w:color="auto"/>
              <w:right w:val="single" w:sz="4" w:space="0" w:color="auto"/>
            </w:tcBorders>
            <w:shd w:val="clear" w:color="000000" w:fill="FFFFFF"/>
            <w:vAlign w:val="center"/>
            <w:hideMark/>
          </w:tcPr>
          <w:p w14:paraId="087EFC9B" w14:textId="77777777" w:rsidR="00F22587" w:rsidRPr="000E5DBF" w:rsidRDefault="00F22587" w:rsidP="008A5C11">
            <w:pPr>
              <w:jc w:val="center"/>
              <w:rPr>
                <w:color w:val="000000"/>
                <w:sz w:val="16"/>
                <w:szCs w:val="16"/>
              </w:rPr>
            </w:pPr>
            <w:r w:rsidRPr="000E5DBF">
              <w:rPr>
                <w:color w:val="000000"/>
                <w:sz w:val="16"/>
                <w:szCs w:val="16"/>
              </w:rPr>
              <w:t>2021</w:t>
            </w:r>
          </w:p>
        </w:tc>
        <w:tc>
          <w:tcPr>
            <w:tcW w:w="426" w:type="dxa"/>
            <w:tcBorders>
              <w:top w:val="nil"/>
              <w:left w:val="nil"/>
              <w:bottom w:val="single" w:sz="4" w:space="0" w:color="auto"/>
              <w:right w:val="single" w:sz="4" w:space="0" w:color="auto"/>
            </w:tcBorders>
            <w:shd w:val="clear" w:color="000000" w:fill="FFFFFF"/>
            <w:vAlign w:val="center"/>
            <w:hideMark/>
          </w:tcPr>
          <w:p w14:paraId="0AAD8CAB" w14:textId="77777777" w:rsidR="00F22587" w:rsidRPr="000E5DBF" w:rsidRDefault="00F22587" w:rsidP="008A5C11">
            <w:pPr>
              <w:jc w:val="center"/>
              <w:rPr>
                <w:color w:val="000000"/>
                <w:sz w:val="16"/>
                <w:szCs w:val="16"/>
              </w:rPr>
            </w:pPr>
            <w:r w:rsidRPr="000E5DBF">
              <w:rPr>
                <w:color w:val="000000"/>
                <w:sz w:val="16"/>
                <w:szCs w:val="16"/>
              </w:rPr>
              <w:t>2022</w:t>
            </w:r>
          </w:p>
        </w:tc>
        <w:tc>
          <w:tcPr>
            <w:tcW w:w="425" w:type="dxa"/>
            <w:tcBorders>
              <w:top w:val="nil"/>
              <w:left w:val="nil"/>
              <w:bottom w:val="single" w:sz="4" w:space="0" w:color="auto"/>
              <w:right w:val="single" w:sz="4" w:space="0" w:color="auto"/>
            </w:tcBorders>
            <w:shd w:val="clear" w:color="000000" w:fill="FFFFFF"/>
            <w:vAlign w:val="center"/>
            <w:hideMark/>
          </w:tcPr>
          <w:p w14:paraId="3EFA451A" w14:textId="77777777" w:rsidR="00F22587" w:rsidRPr="000E5DBF" w:rsidRDefault="00F22587" w:rsidP="008A5C11">
            <w:pPr>
              <w:jc w:val="center"/>
              <w:rPr>
                <w:color w:val="000000"/>
                <w:sz w:val="16"/>
                <w:szCs w:val="16"/>
              </w:rPr>
            </w:pPr>
            <w:r w:rsidRPr="000E5DBF">
              <w:rPr>
                <w:color w:val="000000"/>
                <w:sz w:val="16"/>
                <w:szCs w:val="16"/>
              </w:rPr>
              <w:t>2023</w:t>
            </w:r>
          </w:p>
        </w:tc>
        <w:tc>
          <w:tcPr>
            <w:tcW w:w="425" w:type="dxa"/>
            <w:tcBorders>
              <w:top w:val="nil"/>
              <w:left w:val="nil"/>
              <w:bottom w:val="single" w:sz="4" w:space="0" w:color="auto"/>
              <w:right w:val="single" w:sz="4" w:space="0" w:color="auto"/>
            </w:tcBorders>
            <w:shd w:val="clear" w:color="000000" w:fill="FFFFFF"/>
            <w:vAlign w:val="center"/>
            <w:hideMark/>
          </w:tcPr>
          <w:p w14:paraId="2239CD24" w14:textId="77777777" w:rsidR="00F22587" w:rsidRPr="000E5DBF" w:rsidRDefault="00F22587" w:rsidP="008A5C11">
            <w:pPr>
              <w:jc w:val="center"/>
              <w:rPr>
                <w:color w:val="000000"/>
                <w:sz w:val="16"/>
                <w:szCs w:val="16"/>
              </w:rPr>
            </w:pPr>
            <w:r w:rsidRPr="000E5DBF">
              <w:rPr>
                <w:color w:val="000000"/>
                <w:sz w:val="16"/>
                <w:szCs w:val="16"/>
              </w:rPr>
              <w:t>2024</w:t>
            </w:r>
          </w:p>
        </w:tc>
        <w:tc>
          <w:tcPr>
            <w:tcW w:w="425" w:type="dxa"/>
            <w:tcBorders>
              <w:top w:val="nil"/>
              <w:left w:val="nil"/>
              <w:bottom w:val="single" w:sz="4" w:space="0" w:color="auto"/>
              <w:right w:val="single" w:sz="4" w:space="0" w:color="auto"/>
            </w:tcBorders>
            <w:shd w:val="clear" w:color="000000" w:fill="FFFFFF"/>
            <w:vAlign w:val="center"/>
            <w:hideMark/>
          </w:tcPr>
          <w:p w14:paraId="1E7F97A0" w14:textId="77777777" w:rsidR="00F22587" w:rsidRPr="000E5DBF" w:rsidRDefault="00F22587" w:rsidP="008A5C11">
            <w:pPr>
              <w:jc w:val="center"/>
              <w:rPr>
                <w:color w:val="000000"/>
                <w:sz w:val="16"/>
                <w:szCs w:val="16"/>
              </w:rPr>
            </w:pPr>
            <w:r w:rsidRPr="000E5DBF">
              <w:rPr>
                <w:color w:val="000000"/>
                <w:sz w:val="16"/>
                <w:szCs w:val="16"/>
              </w:rPr>
              <w:t>2025</w:t>
            </w:r>
          </w:p>
        </w:tc>
        <w:tc>
          <w:tcPr>
            <w:tcW w:w="426" w:type="dxa"/>
            <w:tcBorders>
              <w:top w:val="nil"/>
              <w:left w:val="nil"/>
              <w:bottom w:val="single" w:sz="4" w:space="0" w:color="auto"/>
              <w:right w:val="single" w:sz="4" w:space="0" w:color="auto"/>
            </w:tcBorders>
            <w:shd w:val="clear" w:color="000000" w:fill="FFFFFF"/>
            <w:vAlign w:val="center"/>
            <w:hideMark/>
          </w:tcPr>
          <w:p w14:paraId="1FE89BC9" w14:textId="77777777" w:rsidR="00F22587" w:rsidRPr="000E5DBF" w:rsidRDefault="00F22587" w:rsidP="008A5C11">
            <w:pPr>
              <w:jc w:val="center"/>
              <w:rPr>
                <w:color w:val="000000"/>
                <w:sz w:val="16"/>
                <w:szCs w:val="16"/>
              </w:rPr>
            </w:pPr>
            <w:r w:rsidRPr="000E5DBF">
              <w:rPr>
                <w:color w:val="000000"/>
                <w:sz w:val="16"/>
                <w:szCs w:val="16"/>
              </w:rPr>
              <w:t>2026</w:t>
            </w:r>
          </w:p>
        </w:tc>
        <w:tc>
          <w:tcPr>
            <w:tcW w:w="425" w:type="dxa"/>
            <w:tcBorders>
              <w:top w:val="nil"/>
              <w:left w:val="nil"/>
              <w:bottom w:val="single" w:sz="4" w:space="0" w:color="auto"/>
              <w:right w:val="single" w:sz="4" w:space="0" w:color="auto"/>
            </w:tcBorders>
            <w:shd w:val="clear" w:color="000000" w:fill="FFFFFF"/>
            <w:vAlign w:val="center"/>
            <w:hideMark/>
          </w:tcPr>
          <w:p w14:paraId="39AD2C83" w14:textId="77777777" w:rsidR="00F22587" w:rsidRPr="000E5DBF" w:rsidRDefault="00F22587" w:rsidP="008A5C11">
            <w:pPr>
              <w:jc w:val="center"/>
              <w:rPr>
                <w:color w:val="000000"/>
                <w:sz w:val="16"/>
                <w:szCs w:val="16"/>
              </w:rPr>
            </w:pPr>
            <w:r w:rsidRPr="000E5DBF">
              <w:rPr>
                <w:color w:val="000000"/>
                <w:sz w:val="16"/>
                <w:szCs w:val="16"/>
              </w:rPr>
              <w:t>2027</w:t>
            </w:r>
          </w:p>
        </w:tc>
        <w:tc>
          <w:tcPr>
            <w:tcW w:w="425" w:type="dxa"/>
            <w:tcBorders>
              <w:top w:val="nil"/>
              <w:left w:val="nil"/>
              <w:bottom w:val="single" w:sz="4" w:space="0" w:color="auto"/>
              <w:right w:val="single" w:sz="4" w:space="0" w:color="auto"/>
            </w:tcBorders>
            <w:shd w:val="clear" w:color="000000" w:fill="FFFFFF"/>
            <w:vAlign w:val="center"/>
            <w:hideMark/>
          </w:tcPr>
          <w:p w14:paraId="439163CC" w14:textId="77777777" w:rsidR="00F22587" w:rsidRPr="000E5DBF" w:rsidRDefault="00F22587" w:rsidP="008A5C11">
            <w:pPr>
              <w:jc w:val="center"/>
              <w:rPr>
                <w:color w:val="000000"/>
                <w:sz w:val="16"/>
                <w:szCs w:val="16"/>
              </w:rPr>
            </w:pPr>
            <w:r w:rsidRPr="000E5DBF">
              <w:rPr>
                <w:color w:val="000000"/>
                <w:sz w:val="16"/>
                <w:szCs w:val="16"/>
              </w:rPr>
              <w:t>2028</w:t>
            </w:r>
          </w:p>
        </w:tc>
        <w:tc>
          <w:tcPr>
            <w:tcW w:w="425" w:type="dxa"/>
            <w:tcBorders>
              <w:top w:val="nil"/>
              <w:left w:val="nil"/>
              <w:bottom w:val="single" w:sz="4" w:space="0" w:color="auto"/>
              <w:right w:val="single" w:sz="4" w:space="0" w:color="auto"/>
            </w:tcBorders>
            <w:shd w:val="clear" w:color="000000" w:fill="FFFFFF"/>
            <w:vAlign w:val="center"/>
            <w:hideMark/>
          </w:tcPr>
          <w:p w14:paraId="3BAE6A84" w14:textId="77777777" w:rsidR="00F22587" w:rsidRPr="000E5DBF" w:rsidRDefault="00F22587" w:rsidP="008A5C11">
            <w:pPr>
              <w:jc w:val="center"/>
              <w:rPr>
                <w:color w:val="000000"/>
                <w:sz w:val="16"/>
                <w:szCs w:val="16"/>
              </w:rPr>
            </w:pPr>
            <w:r w:rsidRPr="000E5DBF">
              <w:rPr>
                <w:color w:val="000000"/>
                <w:sz w:val="16"/>
                <w:szCs w:val="16"/>
              </w:rPr>
              <w:t>2029</w:t>
            </w:r>
          </w:p>
        </w:tc>
        <w:tc>
          <w:tcPr>
            <w:tcW w:w="426" w:type="dxa"/>
            <w:tcBorders>
              <w:top w:val="nil"/>
              <w:left w:val="nil"/>
              <w:bottom w:val="single" w:sz="4" w:space="0" w:color="auto"/>
              <w:right w:val="single" w:sz="4" w:space="0" w:color="auto"/>
            </w:tcBorders>
            <w:shd w:val="clear" w:color="000000" w:fill="FFFFFF"/>
            <w:vAlign w:val="center"/>
            <w:hideMark/>
          </w:tcPr>
          <w:p w14:paraId="2D3928E4" w14:textId="77777777" w:rsidR="00F22587" w:rsidRPr="000E5DBF" w:rsidRDefault="00F22587" w:rsidP="008A5C11">
            <w:pPr>
              <w:jc w:val="center"/>
              <w:rPr>
                <w:color w:val="000000"/>
                <w:sz w:val="16"/>
                <w:szCs w:val="16"/>
              </w:rPr>
            </w:pPr>
            <w:r w:rsidRPr="000E5DBF">
              <w:rPr>
                <w:color w:val="000000"/>
                <w:sz w:val="16"/>
                <w:szCs w:val="16"/>
              </w:rPr>
              <w:t>2030</w:t>
            </w:r>
          </w:p>
        </w:tc>
      </w:tr>
      <w:tr w:rsidR="00F22587" w:rsidRPr="000E5DBF" w14:paraId="20F73932" w14:textId="77777777" w:rsidTr="008A5C11">
        <w:trPr>
          <w:trHeight w:val="300"/>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7D47A6D2" w14:textId="77777777" w:rsidR="00F22587" w:rsidRPr="000E5DBF" w:rsidRDefault="00F22587" w:rsidP="008A5C11">
            <w:pPr>
              <w:jc w:val="center"/>
              <w:rPr>
                <w:color w:val="000000"/>
                <w:sz w:val="16"/>
                <w:szCs w:val="16"/>
              </w:rPr>
            </w:pPr>
            <w:r w:rsidRPr="000E5DBF">
              <w:rPr>
                <w:color w:val="000000"/>
                <w:sz w:val="16"/>
                <w:szCs w:val="16"/>
              </w:rPr>
              <w:t>1</w:t>
            </w:r>
          </w:p>
        </w:tc>
        <w:tc>
          <w:tcPr>
            <w:tcW w:w="1243" w:type="dxa"/>
            <w:tcBorders>
              <w:top w:val="nil"/>
              <w:left w:val="nil"/>
              <w:bottom w:val="nil"/>
              <w:right w:val="single" w:sz="4" w:space="0" w:color="auto"/>
            </w:tcBorders>
            <w:shd w:val="clear" w:color="000000" w:fill="FFFFFF"/>
            <w:vAlign w:val="center"/>
            <w:hideMark/>
          </w:tcPr>
          <w:p w14:paraId="40D7D45A" w14:textId="77777777" w:rsidR="00F22587" w:rsidRPr="000E5DBF" w:rsidRDefault="00F22587" w:rsidP="008A5C11">
            <w:pPr>
              <w:rPr>
                <w:color w:val="000000"/>
                <w:sz w:val="16"/>
                <w:szCs w:val="16"/>
              </w:rPr>
            </w:pPr>
            <w:r w:rsidRPr="000E5DBF">
              <w:rPr>
                <w:color w:val="000000"/>
                <w:sz w:val="16"/>
                <w:szCs w:val="16"/>
              </w:rPr>
              <w:t>Котельная р-он Есенина</w:t>
            </w:r>
          </w:p>
        </w:tc>
        <w:tc>
          <w:tcPr>
            <w:tcW w:w="670" w:type="dxa"/>
            <w:tcBorders>
              <w:top w:val="nil"/>
              <w:left w:val="nil"/>
              <w:bottom w:val="nil"/>
              <w:right w:val="single" w:sz="4" w:space="0" w:color="auto"/>
            </w:tcBorders>
            <w:shd w:val="clear" w:color="000000" w:fill="FFFFFF"/>
            <w:vAlign w:val="center"/>
            <w:hideMark/>
          </w:tcPr>
          <w:p w14:paraId="32FA6985" w14:textId="77777777" w:rsidR="00F22587" w:rsidRPr="000E5DBF" w:rsidRDefault="00F22587" w:rsidP="008A5C11">
            <w:pPr>
              <w:jc w:val="center"/>
              <w:rPr>
                <w:color w:val="000000"/>
                <w:sz w:val="16"/>
                <w:szCs w:val="16"/>
              </w:rPr>
            </w:pPr>
            <w:r w:rsidRPr="000E5DBF">
              <w:rPr>
                <w:color w:val="000000"/>
                <w:sz w:val="16"/>
                <w:szCs w:val="16"/>
              </w:rPr>
              <w:t>0</w:t>
            </w:r>
          </w:p>
        </w:tc>
        <w:tc>
          <w:tcPr>
            <w:tcW w:w="576" w:type="dxa"/>
            <w:tcBorders>
              <w:top w:val="nil"/>
              <w:left w:val="nil"/>
              <w:bottom w:val="single" w:sz="4" w:space="0" w:color="auto"/>
              <w:right w:val="single" w:sz="4" w:space="0" w:color="auto"/>
            </w:tcBorders>
            <w:shd w:val="clear" w:color="000000" w:fill="FFFFFF"/>
            <w:vAlign w:val="center"/>
            <w:hideMark/>
          </w:tcPr>
          <w:p w14:paraId="4BAEF193" w14:textId="77777777" w:rsidR="00F22587" w:rsidRPr="000E5DBF" w:rsidRDefault="00F22587" w:rsidP="008A5C11">
            <w:pPr>
              <w:jc w:val="center"/>
              <w:rPr>
                <w:color w:val="000000"/>
                <w:sz w:val="16"/>
                <w:szCs w:val="16"/>
              </w:rPr>
            </w:pPr>
            <w:r w:rsidRPr="000E5DBF">
              <w:rPr>
                <w:color w:val="000000"/>
                <w:sz w:val="16"/>
                <w:szCs w:val="16"/>
              </w:rPr>
              <w:t>0</w:t>
            </w:r>
          </w:p>
        </w:tc>
        <w:tc>
          <w:tcPr>
            <w:tcW w:w="658" w:type="dxa"/>
            <w:tcBorders>
              <w:top w:val="nil"/>
              <w:left w:val="nil"/>
              <w:bottom w:val="single" w:sz="4" w:space="0" w:color="auto"/>
              <w:right w:val="single" w:sz="4" w:space="0" w:color="auto"/>
            </w:tcBorders>
            <w:shd w:val="clear" w:color="000000" w:fill="FFFFFF"/>
            <w:vAlign w:val="center"/>
            <w:hideMark/>
          </w:tcPr>
          <w:p w14:paraId="11768193" w14:textId="77777777" w:rsidR="00F22587" w:rsidRPr="000E5DBF" w:rsidRDefault="00F22587" w:rsidP="008A5C11">
            <w:pPr>
              <w:jc w:val="center"/>
              <w:rPr>
                <w:color w:val="000000"/>
                <w:sz w:val="16"/>
                <w:szCs w:val="16"/>
              </w:rPr>
            </w:pPr>
            <w:r w:rsidRPr="000E5DBF">
              <w:rPr>
                <w:color w:val="000000"/>
                <w:sz w:val="16"/>
                <w:szCs w:val="16"/>
              </w:rPr>
              <w:t>0</w:t>
            </w:r>
          </w:p>
        </w:tc>
        <w:tc>
          <w:tcPr>
            <w:tcW w:w="576" w:type="dxa"/>
            <w:tcBorders>
              <w:top w:val="nil"/>
              <w:left w:val="nil"/>
              <w:bottom w:val="single" w:sz="4" w:space="0" w:color="auto"/>
              <w:right w:val="single" w:sz="4" w:space="0" w:color="auto"/>
            </w:tcBorders>
            <w:shd w:val="clear" w:color="000000" w:fill="FFFFFF"/>
            <w:vAlign w:val="center"/>
            <w:hideMark/>
          </w:tcPr>
          <w:p w14:paraId="0A55B0D5" w14:textId="77777777" w:rsidR="00F22587" w:rsidRPr="000E5DBF" w:rsidRDefault="00F22587" w:rsidP="008A5C11">
            <w:pPr>
              <w:jc w:val="center"/>
              <w:rPr>
                <w:color w:val="000000"/>
                <w:sz w:val="16"/>
                <w:szCs w:val="16"/>
              </w:rPr>
            </w:pPr>
            <w:r w:rsidRPr="000E5DBF">
              <w:rPr>
                <w:color w:val="000000"/>
                <w:sz w:val="16"/>
                <w:szCs w:val="16"/>
              </w:rPr>
              <w:t>0</w:t>
            </w:r>
          </w:p>
        </w:tc>
        <w:tc>
          <w:tcPr>
            <w:tcW w:w="576" w:type="dxa"/>
            <w:tcBorders>
              <w:top w:val="nil"/>
              <w:left w:val="nil"/>
              <w:bottom w:val="single" w:sz="4" w:space="0" w:color="auto"/>
              <w:right w:val="single" w:sz="4" w:space="0" w:color="auto"/>
            </w:tcBorders>
            <w:shd w:val="clear" w:color="000000" w:fill="FFFFFF"/>
            <w:vAlign w:val="center"/>
            <w:hideMark/>
          </w:tcPr>
          <w:p w14:paraId="146D9959" w14:textId="77777777" w:rsidR="00F22587" w:rsidRPr="000E5DBF" w:rsidRDefault="00F22587" w:rsidP="008A5C11">
            <w:pPr>
              <w:jc w:val="center"/>
              <w:rPr>
                <w:color w:val="000000"/>
                <w:sz w:val="16"/>
                <w:szCs w:val="16"/>
              </w:rPr>
            </w:pPr>
            <w:r w:rsidRPr="000E5DBF">
              <w:rPr>
                <w:color w:val="000000"/>
                <w:sz w:val="16"/>
                <w:szCs w:val="16"/>
              </w:rPr>
              <w:t>0</w:t>
            </w:r>
          </w:p>
        </w:tc>
        <w:tc>
          <w:tcPr>
            <w:tcW w:w="576" w:type="dxa"/>
            <w:tcBorders>
              <w:top w:val="nil"/>
              <w:left w:val="nil"/>
              <w:bottom w:val="single" w:sz="4" w:space="0" w:color="auto"/>
              <w:right w:val="single" w:sz="4" w:space="0" w:color="auto"/>
            </w:tcBorders>
            <w:shd w:val="clear" w:color="000000" w:fill="FFFFFF"/>
            <w:vAlign w:val="center"/>
            <w:hideMark/>
          </w:tcPr>
          <w:p w14:paraId="4BA0A720" w14:textId="77777777" w:rsidR="00F22587" w:rsidRPr="000E5DBF" w:rsidRDefault="00F22587" w:rsidP="008A5C11">
            <w:pPr>
              <w:jc w:val="center"/>
              <w:rPr>
                <w:color w:val="000000"/>
                <w:sz w:val="16"/>
                <w:szCs w:val="16"/>
              </w:rPr>
            </w:pPr>
            <w:r w:rsidRPr="000E5DBF">
              <w:rPr>
                <w:color w:val="000000"/>
                <w:sz w:val="16"/>
                <w:szCs w:val="16"/>
              </w:rPr>
              <w:t>0</w:t>
            </w:r>
          </w:p>
        </w:tc>
        <w:tc>
          <w:tcPr>
            <w:tcW w:w="576" w:type="dxa"/>
            <w:tcBorders>
              <w:top w:val="nil"/>
              <w:left w:val="nil"/>
              <w:bottom w:val="single" w:sz="4" w:space="0" w:color="auto"/>
              <w:right w:val="single" w:sz="4" w:space="0" w:color="auto"/>
            </w:tcBorders>
            <w:shd w:val="clear" w:color="000000" w:fill="FFFFFF"/>
            <w:vAlign w:val="center"/>
            <w:hideMark/>
          </w:tcPr>
          <w:p w14:paraId="6D384E83" w14:textId="77777777" w:rsidR="00F22587" w:rsidRPr="000E5DBF" w:rsidRDefault="00F22587" w:rsidP="008A5C11">
            <w:pPr>
              <w:jc w:val="center"/>
              <w:rPr>
                <w:color w:val="000000"/>
                <w:sz w:val="16"/>
                <w:szCs w:val="16"/>
              </w:rPr>
            </w:pPr>
            <w:r w:rsidRPr="000E5DBF">
              <w:rPr>
                <w:color w:val="000000"/>
                <w:sz w:val="16"/>
                <w:szCs w:val="16"/>
              </w:rPr>
              <w:t>0</w:t>
            </w:r>
          </w:p>
        </w:tc>
        <w:tc>
          <w:tcPr>
            <w:tcW w:w="576" w:type="dxa"/>
            <w:tcBorders>
              <w:top w:val="nil"/>
              <w:left w:val="nil"/>
              <w:bottom w:val="single" w:sz="4" w:space="0" w:color="auto"/>
              <w:right w:val="single" w:sz="4" w:space="0" w:color="auto"/>
            </w:tcBorders>
            <w:shd w:val="clear" w:color="000000" w:fill="FFFFFF"/>
            <w:vAlign w:val="center"/>
            <w:hideMark/>
          </w:tcPr>
          <w:p w14:paraId="2428FA44" w14:textId="77777777" w:rsidR="00F22587" w:rsidRPr="000E5DBF" w:rsidRDefault="00F22587" w:rsidP="008A5C11">
            <w:pPr>
              <w:jc w:val="center"/>
              <w:rPr>
                <w:color w:val="000000"/>
                <w:sz w:val="16"/>
                <w:szCs w:val="16"/>
              </w:rPr>
            </w:pPr>
            <w:r w:rsidRPr="000E5DBF">
              <w:rPr>
                <w:color w:val="000000"/>
                <w:sz w:val="16"/>
                <w:szCs w:val="16"/>
              </w:rPr>
              <w:t>0</w:t>
            </w:r>
          </w:p>
        </w:tc>
        <w:tc>
          <w:tcPr>
            <w:tcW w:w="576" w:type="dxa"/>
            <w:tcBorders>
              <w:top w:val="nil"/>
              <w:left w:val="nil"/>
              <w:bottom w:val="single" w:sz="4" w:space="0" w:color="auto"/>
              <w:right w:val="single" w:sz="4" w:space="0" w:color="auto"/>
            </w:tcBorders>
            <w:shd w:val="clear" w:color="000000" w:fill="FFFFFF"/>
            <w:vAlign w:val="center"/>
            <w:hideMark/>
          </w:tcPr>
          <w:p w14:paraId="5315D426" w14:textId="77777777" w:rsidR="00F22587" w:rsidRPr="000E5DBF" w:rsidRDefault="00F22587" w:rsidP="008A5C11">
            <w:pPr>
              <w:jc w:val="center"/>
              <w:rPr>
                <w:color w:val="000000"/>
                <w:sz w:val="16"/>
                <w:szCs w:val="16"/>
              </w:rPr>
            </w:pPr>
            <w:r w:rsidRPr="000E5DBF">
              <w:rPr>
                <w:color w:val="000000"/>
                <w:sz w:val="16"/>
                <w:szCs w:val="16"/>
              </w:rPr>
              <w:t>0</w:t>
            </w:r>
          </w:p>
        </w:tc>
        <w:tc>
          <w:tcPr>
            <w:tcW w:w="576" w:type="dxa"/>
            <w:tcBorders>
              <w:top w:val="nil"/>
              <w:left w:val="nil"/>
              <w:bottom w:val="single" w:sz="4" w:space="0" w:color="auto"/>
              <w:right w:val="single" w:sz="4" w:space="0" w:color="auto"/>
            </w:tcBorders>
            <w:shd w:val="clear" w:color="000000" w:fill="FFFFFF"/>
            <w:vAlign w:val="center"/>
            <w:hideMark/>
          </w:tcPr>
          <w:p w14:paraId="0778A0A8" w14:textId="77777777" w:rsidR="00F22587" w:rsidRPr="000E5DBF" w:rsidRDefault="00F22587" w:rsidP="008A5C11">
            <w:pPr>
              <w:jc w:val="center"/>
              <w:rPr>
                <w:color w:val="000000"/>
                <w:sz w:val="16"/>
                <w:szCs w:val="16"/>
              </w:rPr>
            </w:pPr>
            <w:r w:rsidRPr="000E5DBF">
              <w:rPr>
                <w:color w:val="000000"/>
                <w:sz w:val="16"/>
                <w:szCs w:val="16"/>
              </w:rPr>
              <w:t>0</w:t>
            </w:r>
          </w:p>
        </w:tc>
        <w:tc>
          <w:tcPr>
            <w:tcW w:w="576" w:type="dxa"/>
            <w:tcBorders>
              <w:top w:val="nil"/>
              <w:left w:val="nil"/>
              <w:bottom w:val="single" w:sz="4" w:space="0" w:color="auto"/>
              <w:right w:val="single" w:sz="4" w:space="0" w:color="auto"/>
            </w:tcBorders>
            <w:shd w:val="clear" w:color="000000" w:fill="FFFFFF"/>
            <w:vAlign w:val="center"/>
            <w:hideMark/>
          </w:tcPr>
          <w:p w14:paraId="39B80142" w14:textId="77777777" w:rsidR="00F22587" w:rsidRPr="000E5DBF" w:rsidRDefault="00F22587" w:rsidP="008A5C11">
            <w:pPr>
              <w:jc w:val="center"/>
              <w:rPr>
                <w:color w:val="000000"/>
                <w:sz w:val="16"/>
                <w:szCs w:val="16"/>
              </w:rPr>
            </w:pPr>
            <w:r w:rsidRPr="000E5DBF">
              <w:rPr>
                <w:color w:val="000000"/>
                <w:sz w:val="16"/>
                <w:szCs w:val="16"/>
              </w:rPr>
              <w:t>0</w:t>
            </w:r>
          </w:p>
        </w:tc>
        <w:tc>
          <w:tcPr>
            <w:tcW w:w="576" w:type="dxa"/>
            <w:tcBorders>
              <w:top w:val="nil"/>
              <w:left w:val="nil"/>
              <w:bottom w:val="single" w:sz="4" w:space="0" w:color="auto"/>
              <w:right w:val="single" w:sz="4" w:space="0" w:color="auto"/>
            </w:tcBorders>
            <w:shd w:val="clear" w:color="000000" w:fill="FFFFFF"/>
            <w:vAlign w:val="center"/>
            <w:hideMark/>
          </w:tcPr>
          <w:p w14:paraId="63150B9A" w14:textId="77777777" w:rsidR="00F22587" w:rsidRPr="000E5DBF" w:rsidRDefault="00F22587" w:rsidP="008A5C11">
            <w:pPr>
              <w:jc w:val="center"/>
              <w:rPr>
                <w:color w:val="000000"/>
                <w:sz w:val="16"/>
                <w:szCs w:val="16"/>
              </w:rPr>
            </w:pPr>
            <w:r w:rsidRPr="000E5DBF">
              <w:rPr>
                <w:color w:val="000000"/>
                <w:sz w:val="16"/>
                <w:szCs w:val="16"/>
              </w:rPr>
              <w:t>0</w:t>
            </w:r>
          </w:p>
        </w:tc>
        <w:tc>
          <w:tcPr>
            <w:tcW w:w="628" w:type="dxa"/>
            <w:tcBorders>
              <w:top w:val="nil"/>
              <w:left w:val="nil"/>
              <w:bottom w:val="nil"/>
              <w:right w:val="single" w:sz="4" w:space="0" w:color="auto"/>
            </w:tcBorders>
            <w:shd w:val="clear" w:color="000000" w:fill="FFFFFF"/>
            <w:vAlign w:val="center"/>
            <w:hideMark/>
          </w:tcPr>
          <w:p w14:paraId="396B0FDA" w14:textId="77777777" w:rsidR="00F22587" w:rsidRPr="000E5DBF" w:rsidRDefault="00F22587" w:rsidP="008A5C11">
            <w:pPr>
              <w:jc w:val="center"/>
              <w:rPr>
                <w:color w:val="000000"/>
                <w:sz w:val="16"/>
                <w:szCs w:val="16"/>
              </w:rPr>
            </w:pPr>
            <w:r w:rsidRPr="000E5DBF">
              <w:rPr>
                <w:color w:val="000000"/>
                <w:sz w:val="16"/>
                <w:szCs w:val="16"/>
              </w:rPr>
              <w:t>0</w:t>
            </w:r>
          </w:p>
        </w:tc>
        <w:tc>
          <w:tcPr>
            <w:tcW w:w="709" w:type="dxa"/>
            <w:tcBorders>
              <w:top w:val="nil"/>
              <w:left w:val="nil"/>
              <w:bottom w:val="nil"/>
              <w:right w:val="single" w:sz="4" w:space="0" w:color="auto"/>
            </w:tcBorders>
            <w:shd w:val="clear" w:color="000000" w:fill="FFFFFF"/>
            <w:vAlign w:val="center"/>
            <w:hideMark/>
          </w:tcPr>
          <w:p w14:paraId="5B4BF02A" w14:textId="77777777" w:rsidR="00F22587" w:rsidRPr="000E5DBF" w:rsidRDefault="00F22587" w:rsidP="008A5C11">
            <w:pPr>
              <w:jc w:val="center"/>
              <w:rPr>
                <w:color w:val="000000"/>
                <w:sz w:val="16"/>
                <w:szCs w:val="16"/>
              </w:rPr>
            </w:pPr>
            <w:r w:rsidRPr="000E5DBF">
              <w:rPr>
                <w:color w:val="000000"/>
                <w:sz w:val="16"/>
                <w:szCs w:val="16"/>
              </w:rPr>
              <w:t>0,58</w:t>
            </w:r>
          </w:p>
        </w:tc>
        <w:tc>
          <w:tcPr>
            <w:tcW w:w="425" w:type="dxa"/>
            <w:tcBorders>
              <w:top w:val="nil"/>
              <w:left w:val="nil"/>
              <w:bottom w:val="single" w:sz="4" w:space="0" w:color="auto"/>
              <w:right w:val="single" w:sz="4" w:space="0" w:color="auto"/>
            </w:tcBorders>
            <w:shd w:val="clear" w:color="000000" w:fill="FFFFFF"/>
            <w:vAlign w:val="center"/>
            <w:hideMark/>
          </w:tcPr>
          <w:p w14:paraId="0B497086" w14:textId="77777777" w:rsidR="00F22587" w:rsidRPr="000E5DBF" w:rsidRDefault="00F22587" w:rsidP="008A5C11">
            <w:pPr>
              <w:jc w:val="center"/>
              <w:rPr>
                <w:color w:val="000000"/>
                <w:sz w:val="16"/>
                <w:szCs w:val="16"/>
              </w:rPr>
            </w:pPr>
            <w:r w:rsidRPr="000E5DBF">
              <w:rPr>
                <w:color w:val="000000"/>
                <w:sz w:val="16"/>
                <w:szCs w:val="16"/>
              </w:rPr>
              <w:t>0,29</w:t>
            </w:r>
          </w:p>
        </w:tc>
        <w:tc>
          <w:tcPr>
            <w:tcW w:w="425" w:type="dxa"/>
            <w:tcBorders>
              <w:top w:val="nil"/>
              <w:left w:val="nil"/>
              <w:bottom w:val="single" w:sz="4" w:space="0" w:color="auto"/>
              <w:right w:val="single" w:sz="4" w:space="0" w:color="auto"/>
            </w:tcBorders>
            <w:shd w:val="clear" w:color="000000" w:fill="FFFFFF"/>
            <w:vAlign w:val="center"/>
            <w:hideMark/>
          </w:tcPr>
          <w:p w14:paraId="1B6E826C" w14:textId="77777777" w:rsidR="00F22587" w:rsidRPr="000E5DBF" w:rsidRDefault="00F22587" w:rsidP="008A5C11">
            <w:pPr>
              <w:jc w:val="center"/>
              <w:rPr>
                <w:color w:val="000000"/>
                <w:sz w:val="16"/>
                <w:szCs w:val="16"/>
              </w:rPr>
            </w:pPr>
            <w:r w:rsidRPr="000E5DBF">
              <w:rPr>
                <w:color w:val="000000"/>
                <w:sz w:val="16"/>
                <w:szCs w:val="16"/>
              </w:rPr>
              <w:t>0,29</w:t>
            </w:r>
          </w:p>
        </w:tc>
        <w:tc>
          <w:tcPr>
            <w:tcW w:w="425" w:type="dxa"/>
            <w:tcBorders>
              <w:top w:val="nil"/>
              <w:left w:val="nil"/>
              <w:bottom w:val="single" w:sz="4" w:space="0" w:color="auto"/>
              <w:right w:val="single" w:sz="4" w:space="0" w:color="auto"/>
            </w:tcBorders>
            <w:shd w:val="clear" w:color="000000" w:fill="FFFFFF"/>
            <w:vAlign w:val="center"/>
            <w:hideMark/>
          </w:tcPr>
          <w:p w14:paraId="798E367B" w14:textId="77777777" w:rsidR="00F22587" w:rsidRPr="000E5DBF" w:rsidRDefault="00F22587" w:rsidP="008A5C11">
            <w:pPr>
              <w:jc w:val="center"/>
              <w:rPr>
                <w:color w:val="000000"/>
                <w:sz w:val="16"/>
                <w:szCs w:val="16"/>
              </w:rPr>
            </w:pPr>
            <w:r w:rsidRPr="000E5DBF">
              <w:rPr>
                <w:color w:val="000000"/>
                <w:sz w:val="16"/>
                <w:szCs w:val="16"/>
              </w:rPr>
              <w:t>0,29</w:t>
            </w:r>
          </w:p>
        </w:tc>
        <w:tc>
          <w:tcPr>
            <w:tcW w:w="426" w:type="dxa"/>
            <w:tcBorders>
              <w:top w:val="nil"/>
              <w:left w:val="nil"/>
              <w:bottom w:val="single" w:sz="4" w:space="0" w:color="auto"/>
              <w:right w:val="single" w:sz="4" w:space="0" w:color="auto"/>
            </w:tcBorders>
            <w:shd w:val="clear" w:color="000000" w:fill="FFFFFF"/>
            <w:vAlign w:val="center"/>
            <w:hideMark/>
          </w:tcPr>
          <w:p w14:paraId="5FCD174D" w14:textId="77777777" w:rsidR="00F22587" w:rsidRPr="000E5DBF" w:rsidRDefault="00F22587" w:rsidP="008A5C11">
            <w:pPr>
              <w:jc w:val="center"/>
              <w:rPr>
                <w:color w:val="000000"/>
                <w:sz w:val="16"/>
                <w:szCs w:val="16"/>
              </w:rPr>
            </w:pPr>
            <w:r w:rsidRPr="000E5DBF">
              <w:rPr>
                <w:color w:val="000000"/>
                <w:sz w:val="16"/>
                <w:szCs w:val="16"/>
              </w:rPr>
              <w:t>0,29</w:t>
            </w:r>
          </w:p>
        </w:tc>
        <w:tc>
          <w:tcPr>
            <w:tcW w:w="425" w:type="dxa"/>
            <w:tcBorders>
              <w:top w:val="nil"/>
              <w:left w:val="nil"/>
              <w:bottom w:val="single" w:sz="4" w:space="0" w:color="auto"/>
              <w:right w:val="single" w:sz="4" w:space="0" w:color="auto"/>
            </w:tcBorders>
            <w:shd w:val="clear" w:color="000000" w:fill="FFFFFF"/>
            <w:vAlign w:val="center"/>
            <w:hideMark/>
          </w:tcPr>
          <w:p w14:paraId="5A03C04F" w14:textId="77777777" w:rsidR="00F22587" w:rsidRPr="000E5DBF" w:rsidRDefault="00F22587" w:rsidP="008A5C11">
            <w:pPr>
              <w:jc w:val="center"/>
              <w:rPr>
                <w:color w:val="000000"/>
                <w:sz w:val="16"/>
                <w:szCs w:val="16"/>
              </w:rPr>
            </w:pPr>
            <w:r w:rsidRPr="000E5DBF">
              <w:rPr>
                <w:color w:val="000000"/>
                <w:sz w:val="16"/>
                <w:szCs w:val="16"/>
              </w:rPr>
              <w:t>0,29</w:t>
            </w:r>
          </w:p>
        </w:tc>
        <w:tc>
          <w:tcPr>
            <w:tcW w:w="425" w:type="dxa"/>
            <w:tcBorders>
              <w:top w:val="nil"/>
              <w:left w:val="nil"/>
              <w:bottom w:val="single" w:sz="4" w:space="0" w:color="auto"/>
              <w:right w:val="single" w:sz="4" w:space="0" w:color="auto"/>
            </w:tcBorders>
            <w:shd w:val="clear" w:color="000000" w:fill="FFFFFF"/>
            <w:vAlign w:val="center"/>
            <w:hideMark/>
          </w:tcPr>
          <w:p w14:paraId="5CF580A5" w14:textId="77777777" w:rsidR="00F22587" w:rsidRPr="000E5DBF" w:rsidRDefault="00F22587" w:rsidP="008A5C11">
            <w:pPr>
              <w:jc w:val="center"/>
              <w:rPr>
                <w:color w:val="000000"/>
                <w:sz w:val="16"/>
                <w:szCs w:val="16"/>
              </w:rPr>
            </w:pPr>
            <w:r w:rsidRPr="000E5DBF">
              <w:rPr>
                <w:color w:val="000000"/>
                <w:sz w:val="16"/>
                <w:szCs w:val="16"/>
              </w:rPr>
              <w:t>0,29</w:t>
            </w:r>
          </w:p>
        </w:tc>
        <w:tc>
          <w:tcPr>
            <w:tcW w:w="425" w:type="dxa"/>
            <w:tcBorders>
              <w:top w:val="nil"/>
              <w:left w:val="nil"/>
              <w:bottom w:val="single" w:sz="4" w:space="0" w:color="auto"/>
              <w:right w:val="single" w:sz="4" w:space="0" w:color="auto"/>
            </w:tcBorders>
            <w:shd w:val="clear" w:color="000000" w:fill="FFFFFF"/>
            <w:vAlign w:val="center"/>
            <w:hideMark/>
          </w:tcPr>
          <w:p w14:paraId="51553400" w14:textId="77777777" w:rsidR="00F22587" w:rsidRPr="000E5DBF" w:rsidRDefault="00F22587" w:rsidP="008A5C11">
            <w:pPr>
              <w:jc w:val="center"/>
              <w:rPr>
                <w:color w:val="000000"/>
                <w:sz w:val="16"/>
                <w:szCs w:val="16"/>
              </w:rPr>
            </w:pPr>
            <w:r w:rsidRPr="000E5DBF">
              <w:rPr>
                <w:color w:val="000000"/>
                <w:sz w:val="16"/>
                <w:szCs w:val="16"/>
              </w:rPr>
              <w:t>0,29</w:t>
            </w:r>
          </w:p>
        </w:tc>
        <w:tc>
          <w:tcPr>
            <w:tcW w:w="426" w:type="dxa"/>
            <w:tcBorders>
              <w:top w:val="nil"/>
              <w:left w:val="nil"/>
              <w:bottom w:val="single" w:sz="4" w:space="0" w:color="auto"/>
              <w:right w:val="single" w:sz="4" w:space="0" w:color="auto"/>
            </w:tcBorders>
            <w:shd w:val="clear" w:color="000000" w:fill="FFFFFF"/>
            <w:vAlign w:val="center"/>
            <w:hideMark/>
          </w:tcPr>
          <w:p w14:paraId="4CB8B9B8" w14:textId="77777777" w:rsidR="00F22587" w:rsidRPr="000E5DBF" w:rsidRDefault="00F22587" w:rsidP="008A5C11">
            <w:pPr>
              <w:jc w:val="center"/>
              <w:rPr>
                <w:color w:val="000000"/>
                <w:sz w:val="16"/>
                <w:szCs w:val="16"/>
              </w:rPr>
            </w:pPr>
            <w:r w:rsidRPr="000E5DBF">
              <w:rPr>
                <w:color w:val="000000"/>
                <w:sz w:val="16"/>
                <w:szCs w:val="16"/>
              </w:rPr>
              <w:t>0,29</w:t>
            </w:r>
          </w:p>
        </w:tc>
        <w:tc>
          <w:tcPr>
            <w:tcW w:w="425" w:type="dxa"/>
            <w:tcBorders>
              <w:top w:val="nil"/>
              <w:left w:val="nil"/>
              <w:bottom w:val="single" w:sz="4" w:space="0" w:color="auto"/>
              <w:right w:val="single" w:sz="4" w:space="0" w:color="auto"/>
            </w:tcBorders>
            <w:shd w:val="clear" w:color="000000" w:fill="FFFFFF"/>
            <w:vAlign w:val="center"/>
            <w:hideMark/>
          </w:tcPr>
          <w:p w14:paraId="65B999E3" w14:textId="77777777" w:rsidR="00F22587" w:rsidRPr="000E5DBF" w:rsidRDefault="00F22587" w:rsidP="008A5C11">
            <w:pPr>
              <w:jc w:val="center"/>
              <w:rPr>
                <w:color w:val="000000"/>
                <w:sz w:val="16"/>
                <w:szCs w:val="16"/>
              </w:rPr>
            </w:pPr>
            <w:r w:rsidRPr="000E5DBF">
              <w:rPr>
                <w:color w:val="000000"/>
                <w:sz w:val="16"/>
                <w:szCs w:val="16"/>
              </w:rPr>
              <w:t>0,29</w:t>
            </w:r>
          </w:p>
        </w:tc>
        <w:tc>
          <w:tcPr>
            <w:tcW w:w="425" w:type="dxa"/>
            <w:tcBorders>
              <w:top w:val="nil"/>
              <w:left w:val="nil"/>
              <w:bottom w:val="single" w:sz="4" w:space="0" w:color="auto"/>
              <w:right w:val="single" w:sz="4" w:space="0" w:color="auto"/>
            </w:tcBorders>
            <w:shd w:val="clear" w:color="000000" w:fill="FFFFFF"/>
            <w:vAlign w:val="center"/>
            <w:hideMark/>
          </w:tcPr>
          <w:p w14:paraId="1C5195B3" w14:textId="77777777" w:rsidR="00F22587" w:rsidRPr="000E5DBF" w:rsidRDefault="00F22587" w:rsidP="008A5C11">
            <w:pPr>
              <w:jc w:val="center"/>
              <w:rPr>
                <w:color w:val="000000"/>
                <w:sz w:val="16"/>
                <w:szCs w:val="16"/>
              </w:rPr>
            </w:pPr>
            <w:r w:rsidRPr="000E5DBF">
              <w:rPr>
                <w:color w:val="000000"/>
                <w:sz w:val="16"/>
                <w:szCs w:val="16"/>
              </w:rPr>
              <w:t>0,29</w:t>
            </w:r>
          </w:p>
        </w:tc>
        <w:tc>
          <w:tcPr>
            <w:tcW w:w="425" w:type="dxa"/>
            <w:tcBorders>
              <w:top w:val="nil"/>
              <w:left w:val="nil"/>
              <w:bottom w:val="single" w:sz="4" w:space="0" w:color="auto"/>
              <w:right w:val="single" w:sz="4" w:space="0" w:color="auto"/>
            </w:tcBorders>
            <w:shd w:val="clear" w:color="000000" w:fill="FFFFFF"/>
            <w:vAlign w:val="center"/>
            <w:hideMark/>
          </w:tcPr>
          <w:p w14:paraId="00E8ADA7" w14:textId="77777777" w:rsidR="00F22587" w:rsidRPr="000E5DBF" w:rsidRDefault="00F22587" w:rsidP="008A5C11">
            <w:pPr>
              <w:jc w:val="center"/>
              <w:rPr>
                <w:color w:val="000000"/>
                <w:sz w:val="16"/>
                <w:szCs w:val="16"/>
              </w:rPr>
            </w:pPr>
            <w:r w:rsidRPr="000E5DBF">
              <w:rPr>
                <w:color w:val="000000"/>
                <w:sz w:val="16"/>
                <w:szCs w:val="16"/>
              </w:rPr>
              <w:t>0,29</w:t>
            </w:r>
          </w:p>
        </w:tc>
        <w:tc>
          <w:tcPr>
            <w:tcW w:w="426" w:type="dxa"/>
            <w:tcBorders>
              <w:top w:val="nil"/>
              <w:left w:val="nil"/>
              <w:bottom w:val="single" w:sz="4" w:space="0" w:color="auto"/>
              <w:right w:val="single" w:sz="4" w:space="0" w:color="auto"/>
            </w:tcBorders>
            <w:shd w:val="clear" w:color="000000" w:fill="FFFFFF"/>
            <w:vAlign w:val="center"/>
            <w:hideMark/>
          </w:tcPr>
          <w:p w14:paraId="795A86ED" w14:textId="77777777" w:rsidR="00F22587" w:rsidRPr="000E5DBF" w:rsidRDefault="00F22587" w:rsidP="008A5C11">
            <w:pPr>
              <w:jc w:val="center"/>
              <w:rPr>
                <w:color w:val="000000"/>
                <w:sz w:val="16"/>
                <w:szCs w:val="16"/>
              </w:rPr>
            </w:pPr>
            <w:r w:rsidRPr="000E5DBF">
              <w:rPr>
                <w:color w:val="000000"/>
                <w:sz w:val="16"/>
                <w:szCs w:val="16"/>
              </w:rPr>
              <w:t>0,29</w:t>
            </w:r>
          </w:p>
        </w:tc>
      </w:tr>
      <w:tr w:rsidR="00F22587" w:rsidRPr="000E5DBF" w14:paraId="3EFE02DB" w14:textId="77777777" w:rsidTr="008A5C11">
        <w:trPr>
          <w:trHeight w:val="217"/>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475A055C" w14:textId="77777777" w:rsidR="00F22587" w:rsidRPr="000E5DBF" w:rsidRDefault="00F22587" w:rsidP="008A5C11">
            <w:pPr>
              <w:jc w:val="center"/>
              <w:rPr>
                <w:color w:val="000000"/>
                <w:sz w:val="16"/>
                <w:szCs w:val="16"/>
              </w:rPr>
            </w:pPr>
            <w:r w:rsidRPr="000E5DBF">
              <w:rPr>
                <w:color w:val="000000"/>
                <w:sz w:val="16"/>
                <w:szCs w:val="16"/>
              </w:rPr>
              <w:t>2</w:t>
            </w:r>
          </w:p>
        </w:tc>
        <w:tc>
          <w:tcPr>
            <w:tcW w:w="1243" w:type="dxa"/>
            <w:tcBorders>
              <w:top w:val="single" w:sz="4" w:space="0" w:color="auto"/>
              <w:left w:val="nil"/>
              <w:bottom w:val="nil"/>
              <w:right w:val="single" w:sz="4" w:space="0" w:color="auto"/>
            </w:tcBorders>
            <w:shd w:val="clear" w:color="000000" w:fill="FFFFFF"/>
            <w:vAlign w:val="center"/>
            <w:hideMark/>
          </w:tcPr>
          <w:p w14:paraId="638C7E39" w14:textId="77777777" w:rsidR="00F22587" w:rsidRPr="000E5DBF" w:rsidRDefault="00F22587" w:rsidP="008A5C11">
            <w:pPr>
              <w:rPr>
                <w:color w:val="000000"/>
                <w:sz w:val="16"/>
                <w:szCs w:val="16"/>
              </w:rPr>
            </w:pPr>
            <w:r w:rsidRPr="000E5DBF">
              <w:rPr>
                <w:color w:val="000000"/>
                <w:sz w:val="16"/>
                <w:szCs w:val="16"/>
              </w:rPr>
              <w:t xml:space="preserve">Котельная Горновского </w:t>
            </w:r>
          </w:p>
          <w:p w14:paraId="1FD34ED0" w14:textId="77777777" w:rsidR="00F22587" w:rsidRPr="000E5DBF" w:rsidRDefault="00F22587" w:rsidP="008A5C11">
            <w:pPr>
              <w:rPr>
                <w:color w:val="000000"/>
                <w:sz w:val="16"/>
                <w:szCs w:val="16"/>
              </w:rPr>
            </w:pPr>
            <w:r w:rsidRPr="000E5DBF">
              <w:rPr>
                <w:color w:val="000000"/>
                <w:sz w:val="16"/>
                <w:szCs w:val="16"/>
              </w:rPr>
              <w:t>р-она</w:t>
            </w:r>
          </w:p>
        </w:tc>
        <w:tc>
          <w:tcPr>
            <w:tcW w:w="670" w:type="dxa"/>
            <w:tcBorders>
              <w:top w:val="single" w:sz="4" w:space="0" w:color="auto"/>
              <w:left w:val="nil"/>
              <w:bottom w:val="nil"/>
              <w:right w:val="single" w:sz="4" w:space="0" w:color="auto"/>
            </w:tcBorders>
            <w:shd w:val="clear" w:color="000000" w:fill="FFFFFF"/>
            <w:vAlign w:val="center"/>
            <w:hideMark/>
          </w:tcPr>
          <w:p w14:paraId="08834FF1" w14:textId="77777777" w:rsidR="00F22587" w:rsidRPr="000E5DBF" w:rsidRDefault="00F22587" w:rsidP="008A5C11">
            <w:pPr>
              <w:jc w:val="center"/>
              <w:rPr>
                <w:color w:val="000000"/>
                <w:sz w:val="16"/>
                <w:szCs w:val="16"/>
              </w:rPr>
            </w:pPr>
            <w:r w:rsidRPr="000E5DBF">
              <w:rPr>
                <w:color w:val="000000"/>
                <w:sz w:val="16"/>
                <w:szCs w:val="16"/>
              </w:rPr>
              <w:t>0</w:t>
            </w:r>
          </w:p>
        </w:tc>
        <w:tc>
          <w:tcPr>
            <w:tcW w:w="576" w:type="dxa"/>
            <w:tcBorders>
              <w:top w:val="nil"/>
              <w:left w:val="nil"/>
              <w:bottom w:val="nil"/>
              <w:right w:val="single" w:sz="4" w:space="0" w:color="auto"/>
            </w:tcBorders>
            <w:shd w:val="clear" w:color="000000" w:fill="FFFFFF"/>
            <w:vAlign w:val="center"/>
            <w:hideMark/>
          </w:tcPr>
          <w:p w14:paraId="309E83E1" w14:textId="77777777" w:rsidR="00F22587" w:rsidRPr="000E5DBF" w:rsidRDefault="00F22587" w:rsidP="008A5C11">
            <w:pPr>
              <w:jc w:val="center"/>
              <w:rPr>
                <w:color w:val="000000"/>
                <w:sz w:val="16"/>
                <w:szCs w:val="16"/>
              </w:rPr>
            </w:pPr>
            <w:r w:rsidRPr="000E5DBF">
              <w:rPr>
                <w:color w:val="000000"/>
                <w:sz w:val="16"/>
                <w:szCs w:val="16"/>
              </w:rPr>
              <w:t>0</w:t>
            </w:r>
          </w:p>
        </w:tc>
        <w:tc>
          <w:tcPr>
            <w:tcW w:w="658" w:type="dxa"/>
            <w:tcBorders>
              <w:top w:val="nil"/>
              <w:left w:val="nil"/>
              <w:bottom w:val="nil"/>
              <w:right w:val="single" w:sz="4" w:space="0" w:color="auto"/>
            </w:tcBorders>
            <w:shd w:val="clear" w:color="000000" w:fill="FFFFFF"/>
            <w:vAlign w:val="center"/>
            <w:hideMark/>
          </w:tcPr>
          <w:p w14:paraId="4C361279" w14:textId="77777777" w:rsidR="00F22587" w:rsidRPr="000E5DBF" w:rsidRDefault="00F22587" w:rsidP="008A5C11">
            <w:pPr>
              <w:jc w:val="center"/>
              <w:rPr>
                <w:color w:val="000000"/>
                <w:sz w:val="16"/>
                <w:szCs w:val="16"/>
              </w:rPr>
            </w:pPr>
            <w:r w:rsidRPr="000E5DBF">
              <w:rPr>
                <w:color w:val="000000"/>
                <w:sz w:val="16"/>
                <w:szCs w:val="16"/>
              </w:rPr>
              <w:t>0</w:t>
            </w:r>
          </w:p>
        </w:tc>
        <w:tc>
          <w:tcPr>
            <w:tcW w:w="576" w:type="dxa"/>
            <w:tcBorders>
              <w:top w:val="nil"/>
              <w:left w:val="nil"/>
              <w:bottom w:val="nil"/>
              <w:right w:val="single" w:sz="4" w:space="0" w:color="auto"/>
            </w:tcBorders>
            <w:shd w:val="clear" w:color="000000" w:fill="FFFFFF"/>
            <w:vAlign w:val="center"/>
            <w:hideMark/>
          </w:tcPr>
          <w:p w14:paraId="516F8D96" w14:textId="77777777" w:rsidR="00F22587" w:rsidRPr="000E5DBF" w:rsidRDefault="00F22587" w:rsidP="008A5C11">
            <w:pPr>
              <w:jc w:val="center"/>
              <w:rPr>
                <w:color w:val="000000"/>
                <w:sz w:val="16"/>
                <w:szCs w:val="16"/>
              </w:rPr>
            </w:pPr>
            <w:r w:rsidRPr="000E5DBF">
              <w:rPr>
                <w:color w:val="000000"/>
                <w:sz w:val="16"/>
                <w:szCs w:val="16"/>
              </w:rPr>
              <w:t>0</w:t>
            </w:r>
          </w:p>
        </w:tc>
        <w:tc>
          <w:tcPr>
            <w:tcW w:w="576" w:type="dxa"/>
            <w:tcBorders>
              <w:top w:val="nil"/>
              <w:left w:val="nil"/>
              <w:bottom w:val="nil"/>
              <w:right w:val="single" w:sz="4" w:space="0" w:color="auto"/>
            </w:tcBorders>
            <w:shd w:val="clear" w:color="000000" w:fill="FFFFFF"/>
            <w:vAlign w:val="center"/>
            <w:hideMark/>
          </w:tcPr>
          <w:p w14:paraId="3F97A755" w14:textId="77777777" w:rsidR="00F22587" w:rsidRPr="000E5DBF" w:rsidRDefault="00F22587" w:rsidP="008A5C11">
            <w:pPr>
              <w:jc w:val="center"/>
              <w:rPr>
                <w:color w:val="000000"/>
                <w:sz w:val="16"/>
                <w:szCs w:val="16"/>
              </w:rPr>
            </w:pPr>
            <w:r w:rsidRPr="000E5DBF">
              <w:rPr>
                <w:color w:val="000000"/>
                <w:sz w:val="16"/>
                <w:szCs w:val="16"/>
              </w:rPr>
              <w:t>0</w:t>
            </w:r>
          </w:p>
        </w:tc>
        <w:tc>
          <w:tcPr>
            <w:tcW w:w="576" w:type="dxa"/>
            <w:tcBorders>
              <w:top w:val="nil"/>
              <w:left w:val="nil"/>
              <w:bottom w:val="nil"/>
              <w:right w:val="single" w:sz="4" w:space="0" w:color="auto"/>
            </w:tcBorders>
            <w:shd w:val="clear" w:color="000000" w:fill="FFFFFF"/>
            <w:vAlign w:val="center"/>
            <w:hideMark/>
          </w:tcPr>
          <w:p w14:paraId="37FB3AAD" w14:textId="77777777" w:rsidR="00F22587" w:rsidRPr="000E5DBF" w:rsidRDefault="00F22587" w:rsidP="008A5C11">
            <w:pPr>
              <w:jc w:val="center"/>
              <w:rPr>
                <w:color w:val="000000"/>
                <w:sz w:val="16"/>
                <w:szCs w:val="16"/>
              </w:rPr>
            </w:pPr>
            <w:r w:rsidRPr="000E5DBF">
              <w:rPr>
                <w:color w:val="000000"/>
                <w:sz w:val="16"/>
                <w:szCs w:val="16"/>
              </w:rPr>
              <w:t>0</w:t>
            </w:r>
          </w:p>
        </w:tc>
        <w:tc>
          <w:tcPr>
            <w:tcW w:w="576" w:type="dxa"/>
            <w:tcBorders>
              <w:top w:val="nil"/>
              <w:left w:val="nil"/>
              <w:bottom w:val="nil"/>
              <w:right w:val="single" w:sz="4" w:space="0" w:color="auto"/>
            </w:tcBorders>
            <w:shd w:val="clear" w:color="000000" w:fill="FFFFFF"/>
            <w:vAlign w:val="center"/>
            <w:hideMark/>
          </w:tcPr>
          <w:p w14:paraId="3C06CDAC" w14:textId="77777777" w:rsidR="00F22587" w:rsidRPr="000E5DBF" w:rsidRDefault="00F22587" w:rsidP="008A5C11">
            <w:pPr>
              <w:jc w:val="center"/>
              <w:rPr>
                <w:color w:val="000000"/>
                <w:sz w:val="16"/>
                <w:szCs w:val="16"/>
              </w:rPr>
            </w:pPr>
            <w:r w:rsidRPr="000E5DBF">
              <w:rPr>
                <w:color w:val="000000"/>
                <w:sz w:val="16"/>
                <w:szCs w:val="16"/>
              </w:rPr>
              <w:t>0</w:t>
            </w:r>
          </w:p>
        </w:tc>
        <w:tc>
          <w:tcPr>
            <w:tcW w:w="576" w:type="dxa"/>
            <w:tcBorders>
              <w:top w:val="nil"/>
              <w:left w:val="nil"/>
              <w:bottom w:val="nil"/>
              <w:right w:val="single" w:sz="4" w:space="0" w:color="auto"/>
            </w:tcBorders>
            <w:shd w:val="clear" w:color="000000" w:fill="FFFFFF"/>
            <w:vAlign w:val="center"/>
            <w:hideMark/>
          </w:tcPr>
          <w:p w14:paraId="6C0D1C9E" w14:textId="77777777" w:rsidR="00F22587" w:rsidRPr="000E5DBF" w:rsidRDefault="00F22587" w:rsidP="008A5C11">
            <w:pPr>
              <w:jc w:val="center"/>
              <w:rPr>
                <w:color w:val="000000"/>
                <w:sz w:val="16"/>
                <w:szCs w:val="16"/>
              </w:rPr>
            </w:pPr>
            <w:r w:rsidRPr="000E5DBF">
              <w:rPr>
                <w:color w:val="000000"/>
                <w:sz w:val="16"/>
                <w:szCs w:val="16"/>
              </w:rPr>
              <w:t>0</w:t>
            </w:r>
          </w:p>
        </w:tc>
        <w:tc>
          <w:tcPr>
            <w:tcW w:w="576" w:type="dxa"/>
            <w:tcBorders>
              <w:top w:val="nil"/>
              <w:left w:val="nil"/>
              <w:bottom w:val="nil"/>
              <w:right w:val="single" w:sz="4" w:space="0" w:color="auto"/>
            </w:tcBorders>
            <w:shd w:val="clear" w:color="000000" w:fill="FFFFFF"/>
            <w:vAlign w:val="center"/>
            <w:hideMark/>
          </w:tcPr>
          <w:p w14:paraId="4E0FD122" w14:textId="77777777" w:rsidR="00F22587" w:rsidRPr="000E5DBF" w:rsidRDefault="00F22587" w:rsidP="008A5C11">
            <w:pPr>
              <w:jc w:val="center"/>
              <w:rPr>
                <w:color w:val="000000"/>
                <w:sz w:val="16"/>
                <w:szCs w:val="16"/>
              </w:rPr>
            </w:pPr>
            <w:r w:rsidRPr="000E5DBF">
              <w:rPr>
                <w:color w:val="000000"/>
                <w:sz w:val="16"/>
                <w:szCs w:val="16"/>
              </w:rPr>
              <w:t>0</w:t>
            </w:r>
          </w:p>
        </w:tc>
        <w:tc>
          <w:tcPr>
            <w:tcW w:w="576" w:type="dxa"/>
            <w:tcBorders>
              <w:top w:val="nil"/>
              <w:left w:val="nil"/>
              <w:bottom w:val="nil"/>
              <w:right w:val="single" w:sz="4" w:space="0" w:color="auto"/>
            </w:tcBorders>
            <w:shd w:val="clear" w:color="000000" w:fill="FFFFFF"/>
            <w:vAlign w:val="center"/>
            <w:hideMark/>
          </w:tcPr>
          <w:p w14:paraId="4FD6E961" w14:textId="77777777" w:rsidR="00F22587" w:rsidRPr="000E5DBF" w:rsidRDefault="00F22587" w:rsidP="008A5C11">
            <w:pPr>
              <w:jc w:val="center"/>
              <w:rPr>
                <w:color w:val="000000"/>
                <w:sz w:val="16"/>
                <w:szCs w:val="16"/>
              </w:rPr>
            </w:pPr>
            <w:r w:rsidRPr="000E5DBF">
              <w:rPr>
                <w:color w:val="000000"/>
                <w:sz w:val="16"/>
                <w:szCs w:val="16"/>
              </w:rPr>
              <w:t>0</w:t>
            </w:r>
          </w:p>
        </w:tc>
        <w:tc>
          <w:tcPr>
            <w:tcW w:w="576" w:type="dxa"/>
            <w:tcBorders>
              <w:top w:val="nil"/>
              <w:left w:val="nil"/>
              <w:bottom w:val="nil"/>
              <w:right w:val="single" w:sz="4" w:space="0" w:color="auto"/>
            </w:tcBorders>
            <w:shd w:val="clear" w:color="000000" w:fill="FFFFFF"/>
            <w:vAlign w:val="center"/>
            <w:hideMark/>
          </w:tcPr>
          <w:p w14:paraId="02C41AE3" w14:textId="77777777" w:rsidR="00F22587" w:rsidRPr="000E5DBF" w:rsidRDefault="00F22587" w:rsidP="008A5C11">
            <w:pPr>
              <w:jc w:val="center"/>
              <w:rPr>
                <w:color w:val="000000"/>
                <w:sz w:val="16"/>
                <w:szCs w:val="16"/>
              </w:rPr>
            </w:pPr>
            <w:r w:rsidRPr="000E5DBF">
              <w:rPr>
                <w:color w:val="000000"/>
                <w:sz w:val="16"/>
                <w:szCs w:val="16"/>
              </w:rPr>
              <w:t>0</w:t>
            </w:r>
          </w:p>
        </w:tc>
        <w:tc>
          <w:tcPr>
            <w:tcW w:w="576" w:type="dxa"/>
            <w:tcBorders>
              <w:top w:val="nil"/>
              <w:left w:val="nil"/>
              <w:bottom w:val="nil"/>
              <w:right w:val="single" w:sz="4" w:space="0" w:color="auto"/>
            </w:tcBorders>
            <w:shd w:val="clear" w:color="000000" w:fill="FFFFFF"/>
            <w:vAlign w:val="center"/>
            <w:hideMark/>
          </w:tcPr>
          <w:p w14:paraId="3848387A" w14:textId="77777777" w:rsidR="00F22587" w:rsidRPr="000E5DBF" w:rsidRDefault="00F22587" w:rsidP="008A5C11">
            <w:pPr>
              <w:jc w:val="center"/>
              <w:rPr>
                <w:color w:val="000000"/>
                <w:sz w:val="16"/>
                <w:szCs w:val="16"/>
              </w:rPr>
            </w:pPr>
            <w:r w:rsidRPr="000E5DBF">
              <w:rPr>
                <w:color w:val="000000"/>
                <w:sz w:val="16"/>
                <w:szCs w:val="16"/>
              </w:rPr>
              <w:t>0</w:t>
            </w:r>
          </w:p>
        </w:tc>
        <w:tc>
          <w:tcPr>
            <w:tcW w:w="628" w:type="dxa"/>
            <w:tcBorders>
              <w:top w:val="single" w:sz="4" w:space="0" w:color="auto"/>
              <w:left w:val="nil"/>
              <w:bottom w:val="nil"/>
              <w:right w:val="single" w:sz="4" w:space="0" w:color="auto"/>
            </w:tcBorders>
            <w:shd w:val="clear" w:color="000000" w:fill="FFFFFF"/>
            <w:vAlign w:val="center"/>
            <w:hideMark/>
          </w:tcPr>
          <w:p w14:paraId="45AB7B23" w14:textId="77777777" w:rsidR="00F22587" w:rsidRPr="000E5DBF" w:rsidRDefault="00F22587" w:rsidP="008A5C11">
            <w:pPr>
              <w:jc w:val="center"/>
              <w:rPr>
                <w:color w:val="000000"/>
                <w:sz w:val="16"/>
                <w:szCs w:val="16"/>
              </w:rPr>
            </w:pPr>
            <w:r w:rsidRPr="000E5DBF">
              <w:rPr>
                <w:color w:val="000000"/>
                <w:sz w:val="16"/>
                <w:szCs w:val="16"/>
              </w:rPr>
              <w:t>0</w:t>
            </w:r>
          </w:p>
        </w:tc>
        <w:tc>
          <w:tcPr>
            <w:tcW w:w="709" w:type="dxa"/>
            <w:tcBorders>
              <w:top w:val="single" w:sz="4" w:space="0" w:color="auto"/>
              <w:left w:val="nil"/>
              <w:bottom w:val="nil"/>
              <w:right w:val="single" w:sz="4" w:space="0" w:color="auto"/>
            </w:tcBorders>
            <w:shd w:val="clear" w:color="000000" w:fill="FFFFFF"/>
            <w:vAlign w:val="center"/>
            <w:hideMark/>
          </w:tcPr>
          <w:p w14:paraId="5E9FBDE3" w14:textId="77777777" w:rsidR="00F22587" w:rsidRPr="000E5DBF" w:rsidRDefault="00F22587" w:rsidP="008A5C11">
            <w:pPr>
              <w:jc w:val="center"/>
              <w:rPr>
                <w:color w:val="000000"/>
                <w:sz w:val="16"/>
                <w:szCs w:val="16"/>
              </w:rPr>
            </w:pPr>
            <w:r w:rsidRPr="000E5DBF">
              <w:rPr>
                <w:color w:val="000000"/>
                <w:sz w:val="16"/>
                <w:szCs w:val="16"/>
              </w:rPr>
              <w:t>0,26</w:t>
            </w:r>
          </w:p>
        </w:tc>
        <w:tc>
          <w:tcPr>
            <w:tcW w:w="425" w:type="dxa"/>
            <w:tcBorders>
              <w:top w:val="nil"/>
              <w:left w:val="nil"/>
              <w:bottom w:val="single" w:sz="4" w:space="0" w:color="auto"/>
              <w:right w:val="single" w:sz="4" w:space="0" w:color="auto"/>
            </w:tcBorders>
            <w:shd w:val="clear" w:color="000000" w:fill="FFFFFF"/>
            <w:vAlign w:val="center"/>
            <w:hideMark/>
          </w:tcPr>
          <w:p w14:paraId="314494F1" w14:textId="77777777" w:rsidR="00F22587" w:rsidRPr="000E5DBF" w:rsidRDefault="00F22587" w:rsidP="008A5C11">
            <w:pPr>
              <w:jc w:val="center"/>
              <w:rPr>
                <w:color w:val="000000"/>
                <w:sz w:val="16"/>
                <w:szCs w:val="16"/>
              </w:rPr>
            </w:pPr>
            <w:r w:rsidRPr="000E5DBF">
              <w:rPr>
                <w:color w:val="000000"/>
                <w:sz w:val="16"/>
                <w:szCs w:val="16"/>
              </w:rPr>
              <w:t>0,22</w:t>
            </w:r>
          </w:p>
        </w:tc>
        <w:tc>
          <w:tcPr>
            <w:tcW w:w="425" w:type="dxa"/>
            <w:tcBorders>
              <w:top w:val="nil"/>
              <w:left w:val="nil"/>
              <w:bottom w:val="single" w:sz="4" w:space="0" w:color="auto"/>
              <w:right w:val="single" w:sz="4" w:space="0" w:color="auto"/>
            </w:tcBorders>
            <w:shd w:val="clear" w:color="000000" w:fill="FFFFFF"/>
            <w:vAlign w:val="center"/>
            <w:hideMark/>
          </w:tcPr>
          <w:p w14:paraId="2F12B579" w14:textId="77777777" w:rsidR="00F22587" w:rsidRPr="000E5DBF" w:rsidRDefault="00F22587" w:rsidP="008A5C11">
            <w:pPr>
              <w:jc w:val="center"/>
              <w:rPr>
                <w:color w:val="000000"/>
                <w:sz w:val="16"/>
                <w:szCs w:val="16"/>
              </w:rPr>
            </w:pPr>
            <w:r w:rsidRPr="000E5DBF">
              <w:rPr>
                <w:color w:val="000000"/>
                <w:sz w:val="16"/>
                <w:szCs w:val="16"/>
              </w:rPr>
              <w:t>0,22</w:t>
            </w:r>
          </w:p>
        </w:tc>
        <w:tc>
          <w:tcPr>
            <w:tcW w:w="425" w:type="dxa"/>
            <w:tcBorders>
              <w:top w:val="nil"/>
              <w:left w:val="nil"/>
              <w:bottom w:val="single" w:sz="4" w:space="0" w:color="auto"/>
              <w:right w:val="single" w:sz="4" w:space="0" w:color="auto"/>
            </w:tcBorders>
            <w:shd w:val="clear" w:color="000000" w:fill="FFFFFF"/>
            <w:vAlign w:val="center"/>
            <w:hideMark/>
          </w:tcPr>
          <w:p w14:paraId="7BC8A737" w14:textId="77777777" w:rsidR="00F22587" w:rsidRPr="000E5DBF" w:rsidRDefault="00F22587" w:rsidP="008A5C11">
            <w:pPr>
              <w:jc w:val="center"/>
              <w:rPr>
                <w:color w:val="000000"/>
                <w:sz w:val="16"/>
                <w:szCs w:val="16"/>
              </w:rPr>
            </w:pPr>
            <w:r w:rsidRPr="000E5DBF">
              <w:rPr>
                <w:color w:val="000000"/>
                <w:sz w:val="16"/>
                <w:szCs w:val="16"/>
              </w:rPr>
              <w:t>0,131</w:t>
            </w:r>
          </w:p>
        </w:tc>
        <w:tc>
          <w:tcPr>
            <w:tcW w:w="426" w:type="dxa"/>
            <w:tcBorders>
              <w:top w:val="nil"/>
              <w:left w:val="nil"/>
              <w:bottom w:val="single" w:sz="4" w:space="0" w:color="auto"/>
              <w:right w:val="single" w:sz="4" w:space="0" w:color="auto"/>
            </w:tcBorders>
            <w:shd w:val="clear" w:color="000000" w:fill="FFFFFF"/>
            <w:vAlign w:val="center"/>
            <w:hideMark/>
          </w:tcPr>
          <w:p w14:paraId="5BC3D507" w14:textId="77777777" w:rsidR="00F22587" w:rsidRPr="000E5DBF" w:rsidRDefault="00F22587" w:rsidP="008A5C11">
            <w:pPr>
              <w:jc w:val="center"/>
              <w:rPr>
                <w:color w:val="000000"/>
                <w:sz w:val="16"/>
                <w:szCs w:val="16"/>
              </w:rPr>
            </w:pPr>
            <w:r w:rsidRPr="000E5DBF">
              <w:rPr>
                <w:color w:val="000000"/>
                <w:sz w:val="16"/>
                <w:szCs w:val="16"/>
              </w:rPr>
              <w:t>0,131</w:t>
            </w:r>
          </w:p>
        </w:tc>
        <w:tc>
          <w:tcPr>
            <w:tcW w:w="425" w:type="dxa"/>
            <w:tcBorders>
              <w:top w:val="nil"/>
              <w:left w:val="nil"/>
              <w:bottom w:val="single" w:sz="4" w:space="0" w:color="auto"/>
              <w:right w:val="single" w:sz="4" w:space="0" w:color="auto"/>
            </w:tcBorders>
            <w:shd w:val="clear" w:color="000000" w:fill="FFFFFF"/>
            <w:vAlign w:val="center"/>
            <w:hideMark/>
          </w:tcPr>
          <w:p w14:paraId="02D044B0" w14:textId="77777777" w:rsidR="00F22587" w:rsidRPr="000E5DBF" w:rsidRDefault="00F22587" w:rsidP="008A5C11">
            <w:pPr>
              <w:jc w:val="center"/>
              <w:rPr>
                <w:color w:val="000000"/>
                <w:sz w:val="16"/>
                <w:szCs w:val="16"/>
              </w:rPr>
            </w:pPr>
            <w:r w:rsidRPr="000E5DBF">
              <w:rPr>
                <w:color w:val="000000"/>
                <w:sz w:val="16"/>
                <w:szCs w:val="16"/>
              </w:rPr>
              <w:t>0,131</w:t>
            </w:r>
          </w:p>
        </w:tc>
        <w:tc>
          <w:tcPr>
            <w:tcW w:w="425" w:type="dxa"/>
            <w:tcBorders>
              <w:top w:val="nil"/>
              <w:left w:val="nil"/>
              <w:bottom w:val="single" w:sz="4" w:space="0" w:color="auto"/>
              <w:right w:val="single" w:sz="4" w:space="0" w:color="auto"/>
            </w:tcBorders>
            <w:shd w:val="clear" w:color="000000" w:fill="FFFFFF"/>
            <w:vAlign w:val="center"/>
            <w:hideMark/>
          </w:tcPr>
          <w:p w14:paraId="0AE7D0EF" w14:textId="77777777" w:rsidR="00F22587" w:rsidRPr="000E5DBF" w:rsidRDefault="00F22587" w:rsidP="008A5C11">
            <w:pPr>
              <w:jc w:val="center"/>
              <w:rPr>
                <w:color w:val="000000"/>
                <w:sz w:val="16"/>
                <w:szCs w:val="16"/>
              </w:rPr>
            </w:pPr>
            <w:r w:rsidRPr="000E5DBF">
              <w:rPr>
                <w:color w:val="000000"/>
                <w:sz w:val="16"/>
                <w:szCs w:val="16"/>
              </w:rPr>
              <w:t>0,131</w:t>
            </w:r>
          </w:p>
        </w:tc>
        <w:tc>
          <w:tcPr>
            <w:tcW w:w="425" w:type="dxa"/>
            <w:tcBorders>
              <w:top w:val="nil"/>
              <w:left w:val="nil"/>
              <w:bottom w:val="single" w:sz="4" w:space="0" w:color="auto"/>
              <w:right w:val="single" w:sz="4" w:space="0" w:color="auto"/>
            </w:tcBorders>
            <w:shd w:val="clear" w:color="000000" w:fill="FFFFFF"/>
            <w:vAlign w:val="center"/>
            <w:hideMark/>
          </w:tcPr>
          <w:p w14:paraId="7A470EC1" w14:textId="77777777" w:rsidR="00F22587" w:rsidRPr="000E5DBF" w:rsidRDefault="00F22587" w:rsidP="008A5C11">
            <w:pPr>
              <w:jc w:val="center"/>
              <w:rPr>
                <w:color w:val="000000"/>
                <w:sz w:val="16"/>
                <w:szCs w:val="16"/>
              </w:rPr>
            </w:pPr>
            <w:r w:rsidRPr="000E5DBF">
              <w:rPr>
                <w:color w:val="000000"/>
                <w:sz w:val="16"/>
                <w:szCs w:val="16"/>
              </w:rPr>
              <w:t>0,131</w:t>
            </w:r>
          </w:p>
        </w:tc>
        <w:tc>
          <w:tcPr>
            <w:tcW w:w="426" w:type="dxa"/>
            <w:tcBorders>
              <w:top w:val="nil"/>
              <w:left w:val="nil"/>
              <w:bottom w:val="single" w:sz="4" w:space="0" w:color="auto"/>
              <w:right w:val="single" w:sz="4" w:space="0" w:color="auto"/>
            </w:tcBorders>
            <w:shd w:val="clear" w:color="000000" w:fill="FFFFFF"/>
            <w:vAlign w:val="center"/>
            <w:hideMark/>
          </w:tcPr>
          <w:p w14:paraId="130E0036" w14:textId="77777777" w:rsidR="00F22587" w:rsidRPr="000E5DBF" w:rsidRDefault="00F22587" w:rsidP="008A5C11">
            <w:pPr>
              <w:jc w:val="center"/>
              <w:rPr>
                <w:color w:val="000000"/>
                <w:sz w:val="16"/>
                <w:szCs w:val="16"/>
              </w:rPr>
            </w:pPr>
            <w:r w:rsidRPr="000E5DBF">
              <w:rPr>
                <w:color w:val="000000"/>
                <w:sz w:val="16"/>
                <w:szCs w:val="16"/>
              </w:rPr>
              <w:t>0,131</w:t>
            </w:r>
          </w:p>
        </w:tc>
        <w:tc>
          <w:tcPr>
            <w:tcW w:w="425" w:type="dxa"/>
            <w:tcBorders>
              <w:top w:val="nil"/>
              <w:left w:val="nil"/>
              <w:bottom w:val="nil"/>
              <w:right w:val="single" w:sz="4" w:space="0" w:color="auto"/>
            </w:tcBorders>
            <w:shd w:val="clear" w:color="000000" w:fill="FFFFFF"/>
            <w:vAlign w:val="center"/>
            <w:hideMark/>
          </w:tcPr>
          <w:p w14:paraId="1B2AD6C9" w14:textId="77777777" w:rsidR="00F22587" w:rsidRPr="000E5DBF" w:rsidRDefault="00F22587" w:rsidP="008A5C11">
            <w:pPr>
              <w:jc w:val="center"/>
              <w:rPr>
                <w:color w:val="000000"/>
                <w:sz w:val="16"/>
                <w:szCs w:val="16"/>
              </w:rPr>
            </w:pPr>
            <w:r w:rsidRPr="000E5DBF">
              <w:rPr>
                <w:color w:val="000000"/>
                <w:sz w:val="16"/>
                <w:szCs w:val="16"/>
              </w:rPr>
              <w:t>0,087</w:t>
            </w:r>
          </w:p>
        </w:tc>
        <w:tc>
          <w:tcPr>
            <w:tcW w:w="425" w:type="dxa"/>
            <w:tcBorders>
              <w:top w:val="nil"/>
              <w:left w:val="nil"/>
              <w:bottom w:val="nil"/>
              <w:right w:val="single" w:sz="4" w:space="0" w:color="auto"/>
            </w:tcBorders>
            <w:shd w:val="clear" w:color="000000" w:fill="FFFFFF"/>
            <w:vAlign w:val="center"/>
            <w:hideMark/>
          </w:tcPr>
          <w:p w14:paraId="557E9537" w14:textId="77777777" w:rsidR="00F22587" w:rsidRPr="000E5DBF" w:rsidRDefault="00F22587" w:rsidP="008A5C11">
            <w:pPr>
              <w:jc w:val="center"/>
              <w:rPr>
                <w:color w:val="000000"/>
                <w:sz w:val="16"/>
                <w:szCs w:val="16"/>
              </w:rPr>
            </w:pPr>
            <w:r w:rsidRPr="000E5DBF">
              <w:rPr>
                <w:color w:val="000000"/>
                <w:sz w:val="16"/>
                <w:szCs w:val="16"/>
              </w:rPr>
              <w:t>0,087</w:t>
            </w:r>
          </w:p>
        </w:tc>
        <w:tc>
          <w:tcPr>
            <w:tcW w:w="425" w:type="dxa"/>
            <w:tcBorders>
              <w:top w:val="nil"/>
              <w:left w:val="nil"/>
              <w:bottom w:val="nil"/>
              <w:right w:val="single" w:sz="4" w:space="0" w:color="auto"/>
            </w:tcBorders>
            <w:shd w:val="clear" w:color="000000" w:fill="FFFFFF"/>
            <w:vAlign w:val="center"/>
            <w:hideMark/>
          </w:tcPr>
          <w:p w14:paraId="742F41A8" w14:textId="77777777" w:rsidR="00F22587" w:rsidRPr="000E5DBF" w:rsidRDefault="00F22587" w:rsidP="008A5C11">
            <w:pPr>
              <w:jc w:val="center"/>
              <w:rPr>
                <w:color w:val="000000"/>
                <w:sz w:val="16"/>
                <w:szCs w:val="16"/>
              </w:rPr>
            </w:pPr>
            <w:r w:rsidRPr="000E5DBF">
              <w:rPr>
                <w:color w:val="000000"/>
                <w:sz w:val="16"/>
                <w:szCs w:val="16"/>
              </w:rPr>
              <w:t>0,087</w:t>
            </w:r>
          </w:p>
        </w:tc>
        <w:tc>
          <w:tcPr>
            <w:tcW w:w="426" w:type="dxa"/>
            <w:tcBorders>
              <w:top w:val="nil"/>
              <w:left w:val="nil"/>
              <w:bottom w:val="nil"/>
              <w:right w:val="single" w:sz="4" w:space="0" w:color="auto"/>
            </w:tcBorders>
            <w:shd w:val="clear" w:color="000000" w:fill="FFFFFF"/>
            <w:vAlign w:val="center"/>
            <w:hideMark/>
          </w:tcPr>
          <w:p w14:paraId="53F6D2B3" w14:textId="77777777" w:rsidR="00F22587" w:rsidRPr="000E5DBF" w:rsidRDefault="00F22587" w:rsidP="008A5C11">
            <w:pPr>
              <w:jc w:val="center"/>
              <w:rPr>
                <w:color w:val="000000"/>
                <w:sz w:val="16"/>
                <w:szCs w:val="16"/>
              </w:rPr>
            </w:pPr>
            <w:r w:rsidRPr="000E5DBF">
              <w:rPr>
                <w:color w:val="000000"/>
                <w:sz w:val="16"/>
                <w:szCs w:val="16"/>
              </w:rPr>
              <w:t>0,087</w:t>
            </w:r>
          </w:p>
        </w:tc>
      </w:tr>
      <w:tr w:rsidR="00F22587" w:rsidRPr="000E5DBF" w14:paraId="5DBBDCB8" w14:textId="77777777" w:rsidTr="008A5C11">
        <w:trPr>
          <w:trHeight w:val="300"/>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31C05FA1" w14:textId="77777777" w:rsidR="00F22587" w:rsidRPr="000E5DBF" w:rsidRDefault="00F22587" w:rsidP="008A5C11">
            <w:pPr>
              <w:jc w:val="center"/>
              <w:rPr>
                <w:color w:val="000000"/>
                <w:sz w:val="16"/>
                <w:szCs w:val="16"/>
              </w:rPr>
            </w:pPr>
            <w:r w:rsidRPr="000E5DBF">
              <w:rPr>
                <w:color w:val="000000"/>
                <w:sz w:val="16"/>
                <w:szCs w:val="16"/>
              </w:rPr>
              <w:t>3</w:t>
            </w:r>
          </w:p>
        </w:tc>
        <w:tc>
          <w:tcPr>
            <w:tcW w:w="1243" w:type="dxa"/>
            <w:tcBorders>
              <w:top w:val="single" w:sz="4" w:space="0" w:color="auto"/>
              <w:left w:val="nil"/>
              <w:bottom w:val="single" w:sz="4" w:space="0" w:color="auto"/>
              <w:right w:val="single" w:sz="4" w:space="0" w:color="auto"/>
            </w:tcBorders>
            <w:shd w:val="clear" w:color="000000" w:fill="FFFFFF"/>
            <w:vAlign w:val="center"/>
            <w:hideMark/>
          </w:tcPr>
          <w:p w14:paraId="3C2175AF" w14:textId="77777777" w:rsidR="00F22587" w:rsidRPr="000E5DBF" w:rsidRDefault="00F22587" w:rsidP="008A5C11">
            <w:pPr>
              <w:rPr>
                <w:color w:val="000000"/>
                <w:sz w:val="16"/>
                <w:szCs w:val="16"/>
              </w:rPr>
            </w:pPr>
            <w:r w:rsidRPr="000E5DBF">
              <w:rPr>
                <w:color w:val="000000"/>
                <w:sz w:val="16"/>
                <w:szCs w:val="16"/>
              </w:rPr>
              <w:t>Бойлерная № 1, 2</w:t>
            </w:r>
          </w:p>
        </w:tc>
        <w:tc>
          <w:tcPr>
            <w:tcW w:w="670" w:type="dxa"/>
            <w:tcBorders>
              <w:top w:val="single" w:sz="4" w:space="0" w:color="auto"/>
              <w:left w:val="nil"/>
              <w:bottom w:val="single" w:sz="4" w:space="0" w:color="auto"/>
              <w:right w:val="single" w:sz="4" w:space="0" w:color="auto"/>
            </w:tcBorders>
            <w:shd w:val="clear" w:color="000000" w:fill="FFFFFF"/>
            <w:vAlign w:val="center"/>
            <w:hideMark/>
          </w:tcPr>
          <w:p w14:paraId="6AAC9E60" w14:textId="77777777" w:rsidR="00F22587" w:rsidRPr="000E5DBF" w:rsidRDefault="00F22587" w:rsidP="008A5C11">
            <w:pPr>
              <w:jc w:val="center"/>
              <w:rPr>
                <w:color w:val="000000"/>
                <w:sz w:val="16"/>
                <w:szCs w:val="16"/>
              </w:rPr>
            </w:pPr>
            <w:r w:rsidRPr="000E5DBF">
              <w:rPr>
                <w:color w:val="000000"/>
                <w:sz w:val="16"/>
                <w:szCs w:val="16"/>
              </w:rPr>
              <w:t>0,00038</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14:paraId="7B44C6FA" w14:textId="77777777" w:rsidR="00F22587" w:rsidRPr="000E5DBF" w:rsidRDefault="00F22587" w:rsidP="008A5C11">
            <w:pPr>
              <w:jc w:val="center"/>
              <w:rPr>
                <w:color w:val="000000"/>
                <w:sz w:val="16"/>
                <w:szCs w:val="16"/>
              </w:rPr>
            </w:pPr>
            <w:r w:rsidRPr="000E5DBF">
              <w:rPr>
                <w:color w:val="000000"/>
                <w:sz w:val="16"/>
                <w:szCs w:val="16"/>
              </w:rPr>
              <w:t>0,00038</w:t>
            </w:r>
          </w:p>
        </w:tc>
        <w:tc>
          <w:tcPr>
            <w:tcW w:w="658" w:type="dxa"/>
            <w:tcBorders>
              <w:top w:val="single" w:sz="4" w:space="0" w:color="auto"/>
              <w:left w:val="nil"/>
              <w:bottom w:val="single" w:sz="4" w:space="0" w:color="auto"/>
              <w:right w:val="single" w:sz="4" w:space="0" w:color="auto"/>
            </w:tcBorders>
            <w:shd w:val="clear" w:color="000000" w:fill="FFFFFF"/>
            <w:vAlign w:val="center"/>
            <w:hideMark/>
          </w:tcPr>
          <w:p w14:paraId="18925990" w14:textId="77777777" w:rsidR="00F22587" w:rsidRPr="000E5DBF" w:rsidRDefault="00F22587" w:rsidP="008A5C11">
            <w:pPr>
              <w:jc w:val="center"/>
              <w:rPr>
                <w:color w:val="000000"/>
                <w:sz w:val="16"/>
                <w:szCs w:val="16"/>
              </w:rPr>
            </w:pPr>
            <w:r w:rsidRPr="000E5DBF">
              <w:rPr>
                <w:color w:val="000000"/>
                <w:sz w:val="16"/>
                <w:szCs w:val="16"/>
              </w:rPr>
              <w:t>0,00038</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14:paraId="41829CCA" w14:textId="77777777" w:rsidR="00F22587" w:rsidRPr="000E5DBF" w:rsidRDefault="00F22587" w:rsidP="008A5C11">
            <w:pPr>
              <w:jc w:val="center"/>
              <w:rPr>
                <w:color w:val="000000"/>
                <w:sz w:val="16"/>
                <w:szCs w:val="16"/>
              </w:rPr>
            </w:pPr>
            <w:r w:rsidRPr="000E5DBF">
              <w:rPr>
                <w:color w:val="000000"/>
                <w:sz w:val="16"/>
                <w:szCs w:val="16"/>
              </w:rPr>
              <w:t>0,00038</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14:paraId="4AC5C30E" w14:textId="77777777" w:rsidR="00F22587" w:rsidRPr="000E5DBF" w:rsidRDefault="00F22587" w:rsidP="008A5C11">
            <w:pPr>
              <w:jc w:val="center"/>
              <w:rPr>
                <w:color w:val="000000"/>
                <w:sz w:val="16"/>
                <w:szCs w:val="16"/>
              </w:rPr>
            </w:pPr>
            <w:r w:rsidRPr="000E5DBF">
              <w:rPr>
                <w:color w:val="000000"/>
                <w:sz w:val="16"/>
                <w:szCs w:val="16"/>
              </w:rPr>
              <w:t>0,00025</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14:paraId="1FD8C97A" w14:textId="77777777" w:rsidR="00F22587" w:rsidRPr="000E5DBF" w:rsidRDefault="00F22587" w:rsidP="008A5C11">
            <w:pPr>
              <w:jc w:val="center"/>
              <w:rPr>
                <w:color w:val="000000"/>
                <w:sz w:val="16"/>
                <w:szCs w:val="16"/>
              </w:rPr>
            </w:pPr>
            <w:r w:rsidRPr="000E5DBF">
              <w:rPr>
                <w:color w:val="000000"/>
                <w:sz w:val="16"/>
                <w:szCs w:val="16"/>
              </w:rPr>
              <w:t>0,00025</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14:paraId="5AB61B8B" w14:textId="77777777" w:rsidR="00F22587" w:rsidRPr="000E5DBF" w:rsidRDefault="00F22587" w:rsidP="008A5C11">
            <w:pPr>
              <w:jc w:val="center"/>
              <w:rPr>
                <w:color w:val="000000"/>
                <w:sz w:val="16"/>
                <w:szCs w:val="16"/>
              </w:rPr>
            </w:pPr>
            <w:r w:rsidRPr="000E5DBF">
              <w:rPr>
                <w:color w:val="000000"/>
                <w:sz w:val="16"/>
                <w:szCs w:val="16"/>
              </w:rPr>
              <w:t>0,00025</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14:paraId="174B959D" w14:textId="77777777" w:rsidR="00F22587" w:rsidRPr="000E5DBF" w:rsidRDefault="00F22587" w:rsidP="008A5C11">
            <w:pPr>
              <w:jc w:val="center"/>
              <w:rPr>
                <w:color w:val="000000"/>
                <w:sz w:val="16"/>
                <w:szCs w:val="16"/>
              </w:rPr>
            </w:pPr>
            <w:r w:rsidRPr="000E5DBF">
              <w:rPr>
                <w:color w:val="000000"/>
                <w:sz w:val="16"/>
                <w:szCs w:val="16"/>
              </w:rPr>
              <w:t>0,00025</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14:paraId="49B77403" w14:textId="77777777" w:rsidR="00F22587" w:rsidRPr="000E5DBF" w:rsidRDefault="00F22587" w:rsidP="008A5C11">
            <w:pPr>
              <w:jc w:val="center"/>
              <w:rPr>
                <w:color w:val="000000"/>
                <w:sz w:val="16"/>
                <w:szCs w:val="16"/>
              </w:rPr>
            </w:pPr>
            <w:r w:rsidRPr="000E5DBF">
              <w:rPr>
                <w:color w:val="000000"/>
                <w:sz w:val="16"/>
                <w:szCs w:val="16"/>
              </w:rPr>
              <w:t>0,00025</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14:paraId="1DEA77F9" w14:textId="77777777" w:rsidR="00F22587" w:rsidRPr="000E5DBF" w:rsidRDefault="00F22587" w:rsidP="008A5C11">
            <w:pPr>
              <w:jc w:val="center"/>
              <w:rPr>
                <w:color w:val="000000"/>
                <w:sz w:val="16"/>
                <w:szCs w:val="16"/>
              </w:rPr>
            </w:pPr>
            <w:r w:rsidRPr="000E5DBF">
              <w:rPr>
                <w:color w:val="000000"/>
                <w:sz w:val="16"/>
                <w:szCs w:val="16"/>
              </w:rPr>
              <w:t>0,00025</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14:paraId="47095FFA" w14:textId="77777777" w:rsidR="00F22587" w:rsidRPr="000E5DBF" w:rsidRDefault="00F22587" w:rsidP="008A5C11">
            <w:pPr>
              <w:jc w:val="center"/>
              <w:rPr>
                <w:color w:val="000000"/>
                <w:sz w:val="16"/>
                <w:szCs w:val="16"/>
              </w:rPr>
            </w:pPr>
            <w:r w:rsidRPr="000E5DBF">
              <w:rPr>
                <w:color w:val="000000"/>
                <w:sz w:val="16"/>
                <w:szCs w:val="16"/>
              </w:rPr>
              <w:t>0,00025</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14:paraId="4DB3CF76" w14:textId="77777777" w:rsidR="00F22587" w:rsidRPr="000E5DBF" w:rsidRDefault="00F22587" w:rsidP="008A5C11">
            <w:pPr>
              <w:jc w:val="center"/>
              <w:rPr>
                <w:color w:val="000000"/>
                <w:sz w:val="16"/>
                <w:szCs w:val="16"/>
              </w:rPr>
            </w:pPr>
            <w:r w:rsidRPr="000E5DBF">
              <w:rPr>
                <w:color w:val="000000"/>
                <w:sz w:val="16"/>
                <w:szCs w:val="16"/>
              </w:rPr>
              <w:t>0,00025</w:t>
            </w:r>
          </w:p>
        </w:tc>
        <w:tc>
          <w:tcPr>
            <w:tcW w:w="628" w:type="dxa"/>
            <w:tcBorders>
              <w:top w:val="single" w:sz="4" w:space="0" w:color="auto"/>
              <w:left w:val="nil"/>
              <w:bottom w:val="single" w:sz="4" w:space="0" w:color="auto"/>
              <w:right w:val="single" w:sz="4" w:space="0" w:color="auto"/>
            </w:tcBorders>
            <w:shd w:val="clear" w:color="000000" w:fill="FFFFFF"/>
            <w:vAlign w:val="center"/>
            <w:hideMark/>
          </w:tcPr>
          <w:p w14:paraId="062AD350" w14:textId="77777777" w:rsidR="00F22587" w:rsidRPr="000E5DBF" w:rsidRDefault="00F22587" w:rsidP="008A5C11">
            <w:pPr>
              <w:jc w:val="center"/>
              <w:rPr>
                <w:color w:val="000000"/>
                <w:sz w:val="16"/>
                <w:szCs w:val="16"/>
              </w:rPr>
            </w:pPr>
            <w:r w:rsidRPr="000E5DBF">
              <w:rPr>
                <w:color w:val="000000"/>
                <w:sz w:val="16"/>
                <w:szCs w:val="16"/>
              </w:rPr>
              <w:t>0,00025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3F957B0" w14:textId="77777777" w:rsidR="00F22587" w:rsidRPr="000E5DBF" w:rsidRDefault="00F22587" w:rsidP="008A5C11">
            <w:pPr>
              <w:jc w:val="center"/>
              <w:rPr>
                <w:color w:val="000000"/>
                <w:sz w:val="16"/>
                <w:szCs w:val="16"/>
              </w:rPr>
            </w:pPr>
            <w:r w:rsidRPr="000E5DBF">
              <w:rPr>
                <w:color w:val="000000"/>
                <w:sz w:val="16"/>
                <w:szCs w:val="16"/>
              </w:rPr>
              <w:t>0</w:t>
            </w:r>
          </w:p>
        </w:tc>
        <w:tc>
          <w:tcPr>
            <w:tcW w:w="425" w:type="dxa"/>
            <w:tcBorders>
              <w:top w:val="nil"/>
              <w:left w:val="nil"/>
              <w:bottom w:val="single" w:sz="4" w:space="0" w:color="auto"/>
              <w:right w:val="single" w:sz="4" w:space="0" w:color="auto"/>
            </w:tcBorders>
            <w:shd w:val="clear" w:color="000000" w:fill="FFFFFF"/>
            <w:vAlign w:val="center"/>
            <w:hideMark/>
          </w:tcPr>
          <w:p w14:paraId="7FA5DA8B" w14:textId="77777777" w:rsidR="00F22587" w:rsidRPr="000E5DBF" w:rsidRDefault="00F22587" w:rsidP="008A5C11">
            <w:pPr>
              <w:jc w:val="center"/>
              <w:rPr>
                <w:color w:val="000000"/>
                <w:sz w:val="16"/>
                <w:szCs w:val="16"/>
              </w:rPr>
            </w:pPr>
            <w:r w:rsidRPr="000E5DBF">
              <w:rPr>
                <w:color w:val="000000"/>
                <w:sz w:val="16"/>
                <w:szCs w:val="16"/>
              </w:rPr>
              <w:t>0</w:t>
            </w:r>
          </w:p>
        </w:tc>
        <w:tc>
          <w:tcPr>
            <w:tcW w:w="425" w:type="dxa"/>
            <w:tcBorders>
              <w:top w:val="nil"/>
              <w:left w:val="nil"/>
              <w:bottom w:val="single" w:sz="4" w:space="0" w:color="auto"/>
              <w:right w:val="single" w:sz="4" w:space="0" w:color="auto"/>
            </w:tcBorders>
            <w:shd w:val="clear" w:color="000000" w:fill="FFFFFF"/>
            <w:vAlign w:val="center"/>
            <w:hideMark/>
          </w:tcPr>
          <w:p w14:paraId="18BDFE02" w14:textId="77777777" w:rsidR="00F22587" w:rsidRPr="000E5DBF" w:rsidRDefault="00F22587" w:rsidP="008A5C11">
            <w:pPr>
              <w:jc w:val="center"/>
              <w:rPr>
                <w:color w:val="000000"/>
                <w:sz w:val="16"/>
                <w:szCs w:val="16"/>
              </w:rPr>
            </w:pPr>
            <w:r w:rsidRPr="000E5DBF">
              <w:rPr>
                <w:color w:val="000000"/>
                <w:sz w:val="16"/>
                <w:szCs w:val="16"/>
              </w:rPr>
              <w:t>0</w:t>
            </w:r>
          </w:p>
        </w:tc>
        <w:tc>
          <w:tcPr>
            <w:tcW w:w="425" w:type="dxa"/>
            <w:tcBorders>
              <w:top w:val="nil"/>
              <w:left w:val="nil"/>
              <w:bottom w:val="single" w:sz="4" w:space="0" w:color="auto"/>
              <w:right w:val="single" w:sz="4" w:space="0" w:color="auto"/>
            </w:tcBorders>
            <w:shd w:val="clear" w:color="000000" w:fill="FFFFFF"/>
            <w:vAlign w:val="center"/>
            <w:hideMark/>
          </w:tcPr>
          <w:p w14:paraId="4BC661C7" w14:textId="77777777" w:rsidR="00F22587" w:rsidRPr="000E5DBF" w:rsidRDefault="00F22587" w:rsidP="008A5C11">
            <w:pPr>
              <w:jc w:val="center"/>
              <w:rPr>
                <w:color w:val="000000"/>
                <w:sz w:val="16"/>
                <w:szCs w:val="16"/>
              </w:rPr>
            </w:pPr>
            <w:r w:rsidRPr="000E5DBF">
              <w:rPr>
                <w:color w:val="000000"/>
                <w:sz w:val="16"/>
                <w:szCs w:val="16"/>
              </w:rPr>
              <w:t>0</w:t>
            </w:r>
          </w:p>
        </w:tc>
        <w:tc>
          <w:tcPr>
            <w:tcW w:w="426" w:type="dxa"/>
            <w:tcBorders>
              <w:top w:val="nil"/>
              <w:left w:val="nil"/>
              <w:bottom w:val="single" w:sz="4" w:space="0" w:color="auto"/>
              <w:right w:val="single" w:sz="4" w:space="0" w:color="auto"/>
            </w:tcBorders>
            <w:shd w:val="clear" w:color="000000" w:fill="FFFFFF"/>
            <w:vAlign w:val="center"/>
            <w:hideMark/>
          </w:tcPr>
          <w:p w14:paraId="14A1DAF9" w14:textId="77777777" w:rsidR="00F22587" w:rsidRPr="000E5DBF" w:rsidRDefault="00F22587" w:rsidP="008A5C11">
            <w:pPr>
              <w:jc w:val="center"/>
              <w:rPr>
                <w:color w:val="000000"/>
                <w:sz w:val="16"/>
                <w:szCs w:val="16"/>
              </w:rPr>
            </w:pPr>
            <w:r w:rsidRPr="000E5DBF">
              <w:rPr>
                <w:color w:val="000000"/>
                <w:sz w:val="16"/>
                <w:szCs w:val="16"/>
              </w:rPr>
              <w:t>0</w:t>
            </w:r>
          </w:p>
        </w:tc>
        <w:tc>
          <w:tcPr>
            <w:tcW w:w="425" w:type="dxa"/>
            <w:tcBorders>
              <w:top w:val="nil"/>
              <w:left w:val="nil"/>
              <w:bottom w:val="single" w:sz="4" w:space="0" w:color="auto"/>
              <w:right w:val="single" w:sz="4" w:space="0" w:color="auto"/>
            </w:tcBorders>
            <w:shd w:val="clear" w:color="000000" w:fill="FFFFFF"/>
            <w:vAlign w:val="center"/>
            <w:hideMark/>
          </w:tcPr>
          <w:p w14:paraId="205A4778" w14:textId="77777777" w:rsidR="00F22587" w:rsidRPr="000E5DBF" w:rsidRDefault="00F22587" w:rsidP="008A5C11">
            <w:pPr>
              <w:jc w:val="center"/>
              <w:rPr>
                <w:color w:val="000000"/>
                <w:sz w:val="16"/>
                <w:szCs w:val="16"/>
              </w:rPr>
            </w:pPr>
            <w:r w:rsidRPr="000E5DBF">
              <w:rPr>
                <w:color w:val="000000"/>
                <w:sz w:val="16"/>
                <w:szCs w:val="16"/>
              </w:rPr>
              <w:t>0</w:t>
            </w:r>
          </w:p>
        </w:tc>
        <w:tc>
          <w:tcPr>
            <w:tcW w:w="425" w:type="dxa"/>
            <w:tcBorders>
              <w:top w:val="nil"/>
              <w:left w:val="nil"/>
              <w:bottom w:val="single" w:sz="4" w:space="0" w:color="auto"/>
              <w:right w:val="single" w:sz="4" w:space="0" w:color="auto"/>
            </w:tcBorders>
            <w:shd w:val="clear" w:color="000000" w:fill="FFFFFF"/>
            <w:vAlign w:val="center"/>
            <w:hideMark/>
          </w:tcPr>
          <w:p w14:paraId="4274853C" w14:textId="77777777" w:rsidR="00F22587" w:rsidRPr="000E5DBF" w:rsidRDefault="00F22587" w:rsidP="008A5C11">
            <w:pPr>
              <w:jc w:val="center"/>
              <w:rPr>
                <w:color w:val="000000"/>
                <w:sz w:val="16"/>
                <w:szCs w:val="16"/>
              </w:rPr>
            </w:pPr>
            <w:r w:rsidRPr="000E5DBF">
              <w:rPr>
                <w:color w:val="000000"/>
                <w:sz w:val="16"/>
                <w:szCs w:val="16"/>
              </w:rPr>
              <w:t>0</w:t>
            </w:r>
          </w:p>
        </w:tc>
        <w:tc>
          <w:tcPr>
            <w:tcW w:w="425" w:type="dxa"/>
            <w:tcBorders>
              <w:top w:val="nil"/>
              <w:left w:val="nil"/>
              <w:bottom w:val="single" w:sz="4" w:space="0" w:color="auto"/>
              <w:right w:val="single" w:sz="4" w:space="0" w:color="auto"/>
            </w:tcBorders>
            <w:shd w:val="clear" w:color="000000" w:fill="FFFFFF"/>
            <w:vAlign w:val="center"/>
            <w:hideMark/>
          </w:tcPr>
          <w:p w14:paraId="0B2822F2" w14:textId="77777777" w:rsidR="00F22587" w:rsidRPr="000E5DBF" w:rsidRDefault="00F22587" w:rsidP="008A5C11">
            <w:pPr>
              <w:jc w:val="center"/>
              <w:rPr>
                <w:color w:val="000000"/>
                <w:sz w:val="16"/>
                <w:szCs w:val="16"/>
              </w:rPr>
            </w:pPr>
            <w:r w:rsidRPr="000E5DBF">
              <w:rPr>
                <w:color w:val="000000"/>
                <w:sz w:val="16"/>
                <w:szCs w:val="16"/>
              </w:rPr>
              <w:t>0</w:t>
            </w:r>
          </w:p>
        </w:tc>
        <w:tc>
          <w:tcPr>
            <w:tcW w:w="426" w:type="dxa"/>
            <w:tcBorders>
              <w:top w:val="nil"/>
              <w:left w:val="nil"/>
              <w:bottom w:val="single" w:sz="4" w:space="0" w:color="auto"/>
              <w:right w:val="single" w:sz="4" w:space="0" w:color="auto"/>
            </w:tcBorders>
            <w:shd w:val="clear" w:color="000000" w:fill="FFFFFF"/>
            <w:vAlign w:val="center"/>
            <w:hideMark/>
          </w:tcPr>
          <w:p w14:paraId="1DD150B8" w14:textId="77777777" w:rsidR="00F22587" w:rsidRPr="000E5DBF" w:rsidRDefault="00F22587" w:rsidP="008A5C11">
            <w:pPr>
              <w:jc w:val="center"/>
              <w:rPr>
                <w:color w:val="000000"/>
                <w:sz w:val="16"/>
                <w:szCs w:val="16"/>
              </w:rPr>
            </w:pPr>
            <w:r w:rsidRPr="000E5DBF">
              <w:rPr>
                <w:color w:val="000000"/>
                <w:sz w:val="16"/>
                <w:szCs w:val="16"/>
              </w:rPr>
              <w:t>0</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2125C2B" w14:textId="77777777" w:rsidR="00F22587" w:rsidRPr="000E5DBF" w:rsidRDefault="00F22587" w:rsidP="008A5C11">
            <w:pPr>
              <w:jc w:val="center"/>
              <w:rPr>
                <w:color w:val="000000"/>
                <w:sz w:val="16"/>
                <w:szCs w:val="16"/>
              </w:rPr>
            </w:pPr>
            <w:r w:rsidRPr="000E5DBF">
              <w:rPr>
                <w:color w:val="000000"/>
                <w:sz w:val="16"/>
                <w:szCs w:val="16"/>
              </w:rPr>
              <w:t>0</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5668F60" w14:textId="77777777" w:rsidR="00F22587" w:rsidRPr="000E5DBF" w:rsidRDefault="00F22587" w:rsidP="008A5C11">
            <w:pPr>
              <w:jc w:val="center"/>
              <w:rPr>
                <w:color w:val="000000"/>
                <w:sz w:val="16"/>
                <w:szCs w:val="16"/>
              </w:rPr>
            </w:pPr>
            <w:r w:rsidRPr="000E5DBF">
              <w:rPr>
                <w:color w:val="000000"/>
                <w:sz w:val="16"/>
                <w:szCs w:val="16"/>
              </w:rPr>
              <w:t>0</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A9720BC" w14:textId="77777777" w:rsidR="00F22587" w:rsidRPr="000E5DBF" w:rsidRDefault="00F22587" w:rsidP="008A5C11">
            <w:pPr>
              <w:jc w:val="center"/>
              <w:rPr>
                <w:color w:val="000000"/>
                <w:sz w:val="16"/>
                <w:szCs w:val="16"/>
              </w:rPr>
            </w:pPr>
            <w:r w:rsidRPr="000E5DBF">
              <w:rPr>
                <w:color w:val="000000"/>
                <w:sz w:val="16"/>
                <w:szCs w:val="16"/>
              </w:rPr>
              <w:t>0</w:t>
            </w:r>
          </w:p>
        </w:tc>
        <w:tc>
          <w:tcPr>
            <w:tcW w:w="426" w:type="dxa"/>
            <w:tcBorders>
              <w:top w:val="single" w:sz="4" w:space="0" w:color="auto"/>
              <w:left w:val="nil"/>
              <w:bottom w:val="single" w:sz="4" w:space="0" w:color="auto"/>
              <w:right w:val="single" w:sz="4" w:space="0" w:color="auto"/>
            </w:tcBorders>
            <w:shd w:val="clear" w:color="000000" w:fill="FFFFFF"/>
            <w:vAlign w:val="center"/>
            <w:hideMark/>
          </w:tcPr>
          <w:p w14:paraId="32CF8206" w14:textId="77777777" w:rsidR="00F22587" w:rsidRPr="000E5DBF" w:rsidRDefault="00F22587" w:rsidP="008A5C11">
            <w:pPr>
              <w:jc w:val="center"/>
              <w:rPr>
                <w:color w:val="000000"/>
                <w:sz w:val="16"/>
                <w:szCs w:val="16"/>
              </w:rPr>
            </w:pPr>
            <w:r w:rsidRPr="000E5DBF">
              <w:rPr>
                <w:color w:val="000000"/>
                <w:sz w:val="16"/>
                <w:szCs w:val="16"/>
              </w:rPr>
              <w:t>0</w:t>
            </w:r>
          </w:p>
        </w:tc>
      </w:tr>
      <w:tr w:rsidR="00F22587" w:rsidRPr="000E5DBF" w14:paraId="53A694E8" w14:textId="77777777" w:rsidTr="008A5C11">
        <w:trPr>
          <w:trHeight w:val="300"/>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0B0F760F" w14:textId="77777777" w:rsidR="00F22587" w:rsidRPr="000E5DBF" w:rsidRDefault="00F22587" w:rsidP="008A5C11">
            <w:pPr>
              <w:jc w:val="center"/>
              <w:rPr>
                <w:color w:val="000000"/>
                <w:sz w:val="16"/>
                <w:szCs w:val="16"/>
              </w:rPr>
            </w:pPr>
            <w:r w:rsidRPr="000E5DBF">
              <w:rPr>
                <w:color w:val="000000"/>
                <w:sz w:val="16"/>
                <w:szCs w:val="16"/>
              </w:rPr>
              <w:t>4</w:t>
            </w:r>
          </w:p>
        </w:tc>
        <w:tc>
          <w:tcPr>
            <w:tcW w:w="1243" w:type="dxa"/>
            <w:tcBorders>
              <w:top w:val="nil"/>
              <w:left w:val="nil"/>
              <w:bottom w:val="single" w:sz="4" w:space="0" w:color="auto"/>
              <w:right w:val="single" w:sz="4" w:space="0" w:color="auto"/>
            </w:tcBorders>
            <w:shd w:val="clear" w:color="000000" w:fill="FFFFFF"/>
            <w:vAlign w:val="center"/>
            <w:hideMark/>
          </w:tcPr>
          <w:p w14:paraId="6B30D08C" w14:textId="77777777" w:rsidR="00F22587" w:rsidRPr="000E5DBF" w:rsidRDefault="00F22587" w:rsidP="008A5C11">
            <w:pPr>
              <w:rPr>
                <w:color w:val="000000"/>
                <w:sz w:val="16"/>
                <w:szCs w:val="16"/>
              </w:rPr>
            </w:pPr>
            <w:r w:rsidRPr="000E5DBF">
              <w:rPr>
                <w:color w:val="000000"/>
                <w:sz w:val="16"/>
                <w:szCs w:val="16"/>
              </w:rPr>
              <w:t>Котельная ОС</w:t>
            </w:r>
          </w:p>
        </w:tc>
        <w:tc>
          <w:tcPr>
            <w:tcW w:w="670" w:type="dxa"/>
            <w:tcBorders>
              <w:top w:val="nil"/>
              <w:left w:val="nil"/>
              <w:bottom w:val="single" w:sz="4" w:space="0" w:color="auto"/>
              <w:right w:val="single" w:sz="4" w:space="0" w:color="auto"/>
            </w:tcBorders>
            <w:shd w:val="clear" w:color="000000" w:fill="FFFFFF"/>
            <w:vAlign w:val="center"/>
            <w:hideMark/>
          </w:tcPr>
          <w:p w14:paraId="4ABD866A" w14:textId="77777777" w:rsidR="00F22587" w:rsidRPr="000E5DBF" w:rsidRDefault="00F22587" w:rsidP="008A5C11">
            <w:pPr>
              <w:jc w:val="center"/>
              <w:rPr>
                <w:color w:val="000000"/>
                <w:sz w:val="16"/>
                <w:szCs w:val="16"/>
              </w:rPr>
            </w:pPr>
            <w:r w:rsidRPr="000E5DBF">
              <w:rPr>
                <w:color w:val="000000"/>
                <w:sz w:val="16"/>
                <w:szCs w:val="16"/>
              </w:rPr>
              <w:t>0</w:t>
            </w:r>
          </w:p>
        </w:tc>
        <w:tc>
          <w:tcPr>
            <w:tcW w:w="576" w:type="dxa"/>
            <w:tcBorders>
              <w:top w:val="nil"/>
              <w:left w:val="nil"/>
              <w:bottom w:val="single" w:sz="4" w:space="0" w:color="auto"/>
              <w:right w:val="single" w:sz="4" w:space="0" w:color="auto"/>
            </w:tcBorders>
            <w:shd w:val="clear" w:color="000000" w:fill="FFFFFF"/>
            <w:vAlign w:val="center"/>
            <w:hideMark/>
          </w:tcPr>
          <w:p w14:paraId="63DA7E93" w14:textId="77777777" w:rsidR="00F22587" w:rsidRPr="000E5DBF" w:rsidRDefault="00F22587" w:rsidP="008A5C11">
            <w:pPr>
              <w:jc w:val="center"/>
              <w:rPr>
                <w:color w:val="000000"/>
                <w:sz w:val="16"/>
                <w:szCs w:val="16"/>
              </w:rPr>
            </w:pPr>
            <w:r w:rsidRPr="000E5DBF">
              <w:rPr>
                <w:color w:val="000000"/>
                <w:sz w:val="16"/>
                <w:szCs w:val="16"/>
              </w:rPr>
              <w:t>0</w:t>
            </w:r>
          </w:p>
        </w:tc>
        <w:tc>
          <w:tcPr>
            <w:tcW w:w="658" w:type="dxa"/>
            <w:tcBorders>
              <w:top w:val="nil"/>
              <w:left w:val="nil"/>
              <w:bottom w:val="single" w:sz="4" w:space="0" w:color="auto"/>
              <w:right w:val="single" w:sz="4" w:space="0" w:color="auto"/>
            </w:tcBorders>
            <w:shd w:val="clear" w:color="000000" w:fill="FFFFFF"/>
            <w:vAlign w:val="center"/>
            <w:hideMark/>
          </w:tcPr>
          <w:p w14:paraId="5036C716" w14:textId="77777777" w:rsidR="00F22587" w:rsidRPr="000E5DBF" w:rsidRDefault="00F22587" w:rsidP="008A5C11">
            <w:pPr>
              <w:jc w:val="center"/>
              <w:rPr>
                <w:color w:val="000000"/>
                <w:sz w:val="16"/>
                <w:szCs w:val="16"/>
              </w:rPr>
            </w:pPr>
            <w:r w:rsidRPr="000E5DBF">
              <w:rPr>
                <w:color w:val="000000"/>
                <w:sz w:val="16"/>
                <w:szCs w:val="16"/>
              </w:rPr>
              <w:t>0</w:t>
            </w:r>
          </w:p>
        </w:tc>
        <w:tc>
          <w:tcPr>
            <w:tcW w:w="576" w:type="dxa"/>
            <w:tcBorders>
              <w:top w:val="nil"/>
              <w:left w:val="nil"/>
              <w:bottom w:val="single" w:sz="4" w:space="0" w:color="auto"/>
              <w:right w:val="single" w:sz="4" w:space="0" w:color="auto"/>
            </w:tcBorders>
            <w:shd w:val="clear" w:color="000000" w:fill="FFFFFF"/>
            <w:vAlign w:val="center"/>
            <w:hideMark/>
          </w:tcPr>
          <w:p w14:paraId="6080703B" w14:textId="77777777" w:rsidR="00F22587" w:rsidRPr="000E5DBF" w:rsidRDefault="00F22587" w:rsidP="008A5C11">
            <w:pPr>
              <w:jc w:val="center"/>
              <w:rPr>
                <w:color w:val="000000"/>
                <w:sz w:val="16"/>
                <w:szCs w:val="16"/>
              </w:rPr>
            </w:pPr>
            <w:r w:rsidRPr="000E5DBF">
              <w:rPr>
                <w:color w:val="000000"/>
                <w:sz w:val="16"/>
                <w:szCs w:val="16"/>
              </w:rPr>
              <w:t>0</w:t>
            </w:r>
          </w:p>
        </w:tc>
        <w:tc>
          <w:tcPr>
            <w:tcW w:w="576" w:type="dxa"/>
            <w:tcBorders>
              <w:top w:val="nil"/>
              <w:left w:val="nil"/>
              <w:bottom w:val="single" w:sz="4" w:space="0" w:color="auto"/>
              <w:right w:val="single" w:sz="4" w:space="0" w:color="auto"/>
            </w:tcBorders>
            <w:shd w:val="clear" w:color="000000" w:fill="FFFFFF"/>
            <w:vAlign w:val="center"/>
            <w:hideMark/>
          </w:tcPr>
          <w:p w14:paraId="3A5E6E16" w14:textId="77777777" w:rsidR="00F22587" w:rsidRPr="000E5DBF" w:rsidRDefault="00F22587" w:rsidP="008A5C11">
            <w:pPr>
              <w:jc w:val="center"/>
              <w:rPr>
                <w:color w:val="000000"/>
                <w:sz w:val="16"/>
                <w:szCs w:val="16"/>
              </w:rPr>
            </w:pPr>
            <w:r w:rsidRPr="000E5DBF">
              <w:rPr>
                <w:color w:val="000000"/>
                <w:sz w:val="16"/>
                <w:szCs w:val="16"/>
              </w:rPr>
              <w:t>0</w:t>
            </w:r>
          </w:p>
        </w:tc>
        <w:tc>
          <w:tcPr>
            <w:tcW w:w="576" w:type="dxa"/>
            <w:tcBorders>
              <w:top w:val="nil"/>
              <w:left w:val="nil"/>
              <w:bottom w:val="single" w:sz="4" w:space="0" w:color="auto"/>
              <w:right w:val="single" w:sz="4" w:space="0" w:color="auto"/>
            </w:tcBorders>
            <w:shd w:val="clear" w:color="000000" w:fill="FFFFFF"/>
            <w:vAlign w:val="center"/>
            <w:hideMark/>
          </w:tcPr>
          <w:p w14:paraId="53B215FC" w14:textId="77777777" w:rsidR="00F22587" w:rsidRPr="000E5DBF" w:rsidRDefault="00F22587" w:rsidP="008A5C11">
            <w:pPr>
              <w:jc w:val="center"/>
              <w:rPr>
                <w:color w:val="000000"/>
                <w:sz w:val="16"/>
                <w:szCs w:val="16"/>
              </w:rPr>
            </w:pPr>
            <w:r w:rsidRPr="000E5DBF">
              <w:rPr>
                <w:color w:val="000000"/>
                <w:sz w:val="16"/>
                <w:szCs w:val="16"/>
              </w:rPr>
              <w:t>0</w:t>
            </w:r>
          </w:p>
        </w:tc>
        <w:tc>
          <w:tcPr>
            <w:tcW w:w="576" w:type="dxa"/>
            <w:tcBorders>
              <w:top w:val="nil"/>
              <w:left w:val="nil"/>
              <w:bottom w:val="single" w:sz="4" w:space="0" w:color="auto"/>
              <w:right w:val="single" w:sz="4" w:space="0" w:color="auto"/>
            </w:tcBorders>
            <w:shd w:val="clear" w:color="000000" w:fill="FFFFFF"/>
            <w:vAlign w:val="center"/>
            <w:hideMark/>
          </w:tcPr>
          <w:p w14:paraId="72025623" w14:textId="77777777" w:rsidR="00F22587" w:rsidRPr="000E5DBF" w:rsidRDefault="00F22587" w:rsidP="008A5C11">
            <w:pPr>
              <w:jc w:val="center"/>
              <w:rPr>
                <w:color w:val="000000"/>
                <w:sz w:val="16"/>
                <w:szCs w:val="16"/>
              </w:rPr>
            </w:pPr>
            <w:r w:rsidRPr="000E5DBF">
              <w:rPr>
                <w:color w:val="000000"/>
                <w:sz w:val="16"/>
                <w:szCs w:val="16"/>
              </w:rPr>
              <w:t>0</w:t>
            </w:r>
          </w:p>
        </w:tc>
        <w:tc>
          <w:tcPr>
            <w:tcW w:w="576" w:type="dxa"/>
            <w:tcBorders>
              <w:top w:val="nil"/>
              <w:left w:val="nil"/>
              <w:bottom w:val="single" w:sz="4" w:space="0" w:color="auto"/>
              <w:right w:val="single" w:sz="4" w:space="0" w:color="auto"/>
            </w:tcBorders>
            <w:shd w:val="clear" w:color="000000" w:fill="FFFFFF"/>
            <w:vAlign w:val="center"/>
            <w:hideMark/>
          </w:tcPr>
          <w:p w14:paraId="5EAF64A4" w14:textId="77777777" w:rsidR="00F22587" w:rsidRPr="000E5DBF" w:rsidRDefault="00F22587" w:rsidP="008A5C11">
            <w:pPr>
              <w:jc w:val="center"/>
              <w:rPr>
                <w:color w:val="000000"/>
                <w:sz w:val="16"/>
                <w:szCs w:val="16"/>
              </w:rPr>
            </w:pPr>
            <w:r w:rsidRPr="000E5DBF">
              <w:rPr>
                <w:color w:val="000000"/>
                <w:sz w:val="16"/>
                <w:szCs w:val="16"/>
              </w:rPr>
              <w:t>0</w:t>
            </w:r>
          </w:p>
        </w:tc>
        <w:tc>
          <w:tcPr>
            <w:tcW w:w="576" w:type="dxa"/>
            <w:tcBorders>
              <w:top w:val="nil"/>
              <w:left w:val="nil"/>
              <w:bottom w:val="single" w:sz="4" w:space="0" w:color="auto"/>
              <w:right w:val="single" w:sz="4" w:space="0" w:color="auto"/>
            </w:tcBorders>
            <w:shd w:val="clear" w:color="000000" w:fill="FFFFFF"/>
            <w:vAlign w:val="center"/>
            <w:hideMark/>
          </w:tcPr>
          <w:p w14:paraId="09B4BF06" w14:textId="77777777" w:rsidR="00F22587" w:rsidRPr="000E5DBF" w:rsidRDefault="00F22587" w:rsidP="008A5C11">
            <w:pPr>
              <w:jc w:val="center"/>
              <w:rPr>
                <w:color w:val="000000"/>
                <w:sz w:val="16"/>
                <w:szCs w:val="16"/>
              </w:rPr>
            </w:pPr>
            <w:r w:rsidRPr="000E5DBF">
              <w:rPr>
                <w:color w:val="000000"/>
                <w:sz w:val="16"/>
                <w:szCs w:val="16"/>
              </w:rPr>
              <w:t>0</w:t>
            </w:r>
          </w:p>
        </w:tc>
        <w:tc>
          <w:tcPr>
            <w:tcW w:w="576" w:type="dxa"/>
            <w:tcBorders>
              <w:top w:val="nil"/>
              <w:left w:val="nil"/>
              <w:bottom w:val="single" w:sz="4" w:space="0" w:color="auto"/>
              <w:right w:val="single" w:sz="4" w:space="0" w:color="auto"/>
            </w:tcBorders>
            <w:shd w:val="clear" w:color="000000" w:fill="FFFFFF"/>
            <w:vAlign w:val="center"/>
            <w:hideMark/>
          </w:tcPr>
          <w:p w14:paraId="7610FBAE" w14:textId="77777777" w:rsidR="00F22587" w:rsidRPr="000E5DBF" w:rsidRDefault="00F22587" w:rsidP="008A5C11">
            <w:pPr>
              <w:jc w:val="center"/>
              <w:rPr>
                <w:color w:val="000000"/>
                <w:sz w:val="16"/>
                <w:szCs w:val="16"/>
              </w:rPr>
            </w:pPr>
            <w:r w:rsidRPr="000E5DBF">
              <w:rPr>
                <w:color w:val="000000"/>
                <w:sz w:val="16"/>
                <w:szCs w:val="16"/>
              </w:rPr>
              <w:t>0</w:t>
            </w:r>
          </w:p>
        </w:tc>
        <w:tc>
          <w:tcPr>
            <w:tcW w:w="576" w:type="dxa"/>
            <w:tcBorders>
              <w:top w:val="nil"/>
              <w:left w:val="nil"/>
              <w:bottom w:val="single" w:sz="4" w:space="0" w:color="auto"/>
              <w:right w:val="single" w:sz="4" w:space="0" w:color="auto"/>
            </w:tcBorders>
            <w:shd w:val="clear" w:color="000000" w:fill="FFFFFF"/>
            <w:vAlign w:val="center"/>
            <w:hideMark/>
          </w:tcPr>
          <w:p w14:paraId="04942C63" w14:textId="77777777" w:rsidR="00F22587" w:rsidRPr="000E5DBF" w:rsidRDefault="00F22587" w:rsidP="008A5C11">
            <w:pPr>
              <w:jc w:val="center"/>
              <w:rPr>
                <w:color w:val="000000"/>
                <w:sz w:val="16"/>
                <w:szCs w:val="16"/>
              </w:rPr>
            </w:pPr>
            <w:r w:rsidRPr="000E5DBF">
              <w:rPr>
                <w:color w:val="000000"/>
                <w:sz w:val="16"/>
                <w:szCs w:val="16"/>
              </w:rPr>
              <w:t>0</w:t>
            </w:r>
          </w:p>
        </w:tc>
        <w:tc>
          <w:tcPr>
            <w:tcW w:w="576" w:type="dxa"/>
            <w:tcBorders>
              <w:top w:val="nil"/>
              <w:left w:val="nil"/>
              <w:bottom w:val="single" w:sz="4" w:space="0" w:color="auto"/>
              <w:right w:val="single" w:sz="4" w:space="0" w:color="auto"/>
            </w:tcBorders>
            <w:shd w:val="clear" w:color="000000" w:fill="FFFFFF"/>
            <w:vAlign w:val="center"/>
            <w:hideMark/>
          </w:tcPr>
          <w:p w14:paraId="43779447" w14:textId="77777777" w:rsidR="00F22587" w:rsidRPr="000E5DBF" w:rsidRDefault="00F22587" w:rsidP="008A5C11">
            <w:pPr>
              <w:jc w:val="center"/>
              <w:rPr>
                <w:color w:val="000000"/>
                <w:sz w:val="16"/>
                <w:szCs w:val="16"/>
              </w:rPr>
            </w:pPr>
            <w:r w:rsidRPr="000E5DBF">
              <w:rPr>
                <w:color w:val="000000"/>
                <w:sz w:val="16"/>
                <w:szCs w:val="16"/>
              </w:rPr>
              <w:t>0</w:t>
            </w:r>
          </w:p>
        </w:tc>
        <w:tc>
          <w:tcPr>
            <w:tcW w:w="628" w:type="dxa"/>
            <w:tcBorders>
              <w:top w:val="nil"/>
              <w:left w:val="nil"/>
              <w:bottom w:val="single" w:sz="4" w:space="0" w:color="auto"/>
              <w:right w:val="single" w:sz="4" w:space="0" w:color="auto"/>
            </w:tcBorders>
            <w:shd w:val="clear" w:color="000000" w:fill="FFFFFF"/>
            <w:vAlign w:val="center"/>
            <w:hideMark/>
          </w:tcPr>
          <w:p w14:paraId="5D80381D" w14:textId="77777777" w:rsidR="00F22587" w:rsidRPr="000E5DBF" w:rsidRDefault="00F22587" w:rsidP="008A5C11">
            <w:pPr>
              <w:jc w:val="center"/>
              <w:rPr>
                <w:color w:val="000000"/>
                <w:sz w:val="16"/>
                <w:szCs w:val="16"/>
              </w:rPr>
            </w:pPr>
            <w:r w:rsidRPr="000E5DBF">
              <w:rPr>
                <w:color w:val="000000"/>
                <w:sz w:val="16"/>
                <w:szCs w:val="16"/>
              </w:rPr>
              <w:t>0</w:t>
            </w:r>
          </w:p>
        </w:tc>
        <w:tc>
          <w:tcPr>
            <w:tcW w:w="709" w:type="dxa"/>
            <w:tcBorders>
              <w:top w:val="nil"/>
              <w:left w:val="nil"/>
              <w:bottom w:val="single" w:sz="4" w:space="0" w:color="auto"/>
              <w:right w:val="single" w:sz="4" w:space="0" w:color="auto"/>
            </w:tcBorders>
            <w:shd w:val="clear" w:color="000000" w:fill="FFFFFF"/>
            <w:vAlign w:val="center"/>
            <w:hideMark/>
          </w:tcPr>
          <w:p w14:paraId="1AF5A5F3" w14:textId="77777777" w:rsidR="00F22587" w:rsidRPr="000E5DBF" w:rsidRDefault="00F22587" w:rsidP="008A5C11">
            <w:pPr>
              <w:jc w:val="center"/>
              <w:rPr>
                <w:color w:val="000000"/>
                <w:sz w:val="16"/>
                <w:szCs w:val="16"/>
              </w:rPr>
            </w:pPr>
            <w:r w:rsidRPr="000E5DBF">
              <w:rPr>
                <w:color w:val="000000"/>
                <w:sz w:val="16"/>
                <w:szCs w:val="16"/>
              </w:rPr>
              <w:t>13,3</w:t>
            </w:r>
          </w:p>
        </w:tc>
        <w:tc>
          <w:tcPr>
            <w:tcW w:w="425" w:type="dxa"/>
            <w:tcBorders>
              <w:top w:val="nil"/>
              <w:left w:val="nil"/>
              <w:bottom w:val="single" w:sz="4" w:space="0" w:color="auto"/>
              <w:right w:val="single" w:sz="4" w:space="0" w:color="auto"/>
            </w:tcBorders>
            <w:shd w:val="clear" w:color="000000" w:fill="FFFFFF"/>
            <w:vAlign w:val="center"/>
            <w:hideMark/>
          </w:tcPr>
          <w:p w14:paraId="5CEC26F4" w14:textId="77777777" w:rsidR="00F22587" w:rsidRPr="000E5DBF" w:rsidRDefault="00F22587" w:rsidP="008A5C11">
            <w:pPr>
              <w:jc w:val="center"/>
              <w:rPr>
                <w:color w:val="000000"/>
                <w:sz w:val="16"/>
                <w:szCs w:val="16"/>
              </w:rPr>
            </w:pPr>
            <w:r w:rsidRPr="000E5DBF">
              <w:rPr>
                <w:color w:val="000000"/>
                <w:sz w:val="16"/>
                <w:szCs w:val="16"/>
              </w:rPr>
              <w:t>13,3</w:t>
            </w:r>
          </w:p>
        </w:tc>
        <w:tc>
          <w:tcPr>
            <w:tcW w:w="425" w:type="dxa"/>
            <w:tcBorders>
              <w:top w:val="nil"/>
              <w:left w:val="nil"/>
              <w:bottom w:val="single" w:sz="4" w:space="0" w:color="auto"/>
              <w:right w:val="single" w:sz="4" w:space="0" w:color="auto"/>
            </w:tcBorders>
            <w:shd w:val="clear" w:color="000000" w:fill="FFFFFF"/>
            <w:vAlign w:val="center"/>
            <w:hideMark/>
          </w:tcPr>
          <w:p w14:paraId="6A9F4A03" w14:textId="77777777" w:rsidR="00F22587" w:rsidRPr="000E5DBF" w:rsidRDefault="00F22587" w:rsidP="008A5C11">
            <w:pPr>
              <w:jc w:val="center"/>
              <w:rPr>
                <w:color w:val="000000"/>
                <w:sz w:val="16"/>
                <w:szCs w:val="16"/>
              </w:rPr>
            </w:pPr>
            <w:r w:rsidRPr="000E5DBF">
              <w:rPr>
                <w:color w:val="000000"/>
                <w:sz w:val="16"/>
                <w:szCs w:val="16"/>
              </w:rPr>
              <w:t>13,3</w:t>
            </w:r>
          </w:p>
        </w:tc>
        <w:tc>
          <w:tcPr>
            <w:tcW w:w="425" w:type="dxa"/>
            <w:tcBorders>
              <w:top w:val="nil"/>
              <w:left w:val="nil"/>
              <w:bottom w:val="single" w:sz="4" w:space="0" w:color="auto"/>
              <w:right w:val="single" w:sz="4" w:space="0" w:color="auto"/>
            </w:tcBorders>
            <w:shd w:val="clear" w:color="000000" w:fill="FFFFFF"/>
            <w:vAlign w:val="center"/>
            <w:hideMark/>
          </w:tcPr>
          <w:p w14:paraId="7BE73A17" w14:textId="77777777" w:rsidR="00F22587" w:rsidRPr="000E5DBF" w:rsidRDefault="00F22587" w:rsidP="008A5C11">
            <w:pPr>
              <w:jc w:val="center"/>
              <w:rPr>
                <w:color w:val="000000"/>
                <w:sz w:val="16"/>
                <w:szCs w:val="16"/>
              </w:rPr>
            </w:pPr>
            <w:r w:rsidRPr="000E5DBF">
              <w:rPr>
                <w:color w:val="000000"/>
                <w:sz w:val="16"/>
                <w:szCs w:val="16"/>
              </w:rPr>
              <w:t>13,3</w:t>
            </w:r>
          </w:p>
        </w:tc>
        <w:tc>
          <w:tcPr>
            <w:tcW w:w="426" w:type="dxa"/>
            <w:tcBorders>
              <w:top w:val="nil"/>
              <w:left w:val="nil"/>
              <w:bottom w:val="single" w:sz="4" w:space="0" w:color="auto"/>
              <w:right w:val="single" w:sz="4" w:space="0" w:color="auto"/>
            </w:tcBorders>
            <w:shd w:val="clear" w:color="000000" w:fill="FFFFFF"/>
            <w:vAlign w:val="center"/>
            <w:hideMark/>
          </w:tcPr>
          <w:p w14:paraId="70AC7EDC" w14:textId="77777777" w:rsidR="00F22587" w:rsidRPr="000E5DBF" w:rsidRDefault="00F22587" w:rsidP="008A5C11">
            <w:pPr>
              <w:jc w:val="center"/>
              <w:rPr>
                <w:color w:val="000000"/>
                <w:sz w:val="16"/>
                <w:szCs w:val="16"/>
              </w:rPr>
            </w:pPr>
            <w:r w:rsidRPr="000E5DBF">
              <w:rPr>
                <w:color w:val="000000"/>
                <w:sz w:val="16"/>
                <w:szCs w:val="16"/>
              </w:rPr>
              <w:t>13,3</w:t>
            </w:r>
          </w:p>
        </w:tc>
        <w:tc>
          <w:tcPr>
            <w:tcW w:w="425" w:type="dxa"/>
            <w:tcBorders>
              <w:top w:val="nil"/>
              <w:left w:val="nil"/>
              <w:bottom w:val="single" w:sz="4" w:space="0" w:color="auto"/>
              <w:right w:val="single" w:sz="4" w:space="0" w:color="auto"/>
            </w:tcBorders>
            <w:shd w:val="clear" w:color="000000" w:fill="FFFFFF"/>
            <w:vAlign w:val="center"/>
            <w:hideMark/>
          </w:tcPr>
          <w:p w14:paraId="248BBD87" w14:textId="77777777" w:rsidR="00F22587" w:rsidRPr="000E5DBF" w:rsidRDefault="00F22587" w:rsidP="008A5C11">
            <w:pPr>
              <w:jc w:val="center"/>
              <w:rPr>
                <w:color w:val="000000"/>
                <w:sz w:val="16"/>
                <w:szCs w:val="16"/>
              </w:rPr>
            </w:pPr>
            <w:r w:rsidRPr="000E5DBF">
              <w:rPr>
                <w:color w:val="000000"/>
                <w:sz w:val="16"/>
                <w:szCs w:val="16"/>
              </w:rPr>
              <w:t>13,3</w:t>
            </w:r>
          </w:p>
        </w:tc>
        <w:tc>
          <w:tcPr>
            <w:tcW w:w="425" w:type="dxa"/>
            <w:tcBorders>
              <w:top w:val="nil"/>
              <w:left w:val="nil"/>
              <w:bottom w:val="single" w:sz="4" w:space="0" w:color="auto"/>
              <w:right w:val="single" w:sz="4" w:space="0" w:color="auto"/>
            </w:tcBorders>
            <w:shd w:val="clear" w:color="000000" w:fill="FFFFFF"/>
            <w:vAlign w:val="center"/>
            <w:hideMark/>
          </w:tcPr>
          <w:p w14:paraId="1FF2A469" w14:textId="77777777" w:rsidR="00F22587" w:rsidRPr="000E5DBF" w:rsidRDefault="00F22587" w:rsidP="008A5C11">
            <w:pPr>
              <w:jc w:val="center"/>
              <w:rPr>
                <w:color w:val="000000"/>
                <w:sz w:val="16"/>
                <w:szCs w:val="16"/>
              </w:rPr>
            </w:pPr>
            <w:r w:rsidRPr="000E5DBF">
              <w:rPr>
                <w:color w:val="000000"/>
                <w:sz w:val="16"/>
                <w:szCs w:val="16"/>
              </w:rPr>
              <w:t>13,3</w:t>
            </w:r>
          </w:p>
        </w:tc>
        <w:tc>
          <w:tcPr>
            <w:tcW w:w="425" w:type="dxa"/>
            <w:tcBorders>
              <w:top w:val="nil"/>
              <w:left w:val="nil"/>
              <w:bottom w:val="single" w:sz="4" w:space="0" w:color="auto"/>
              <w:right w:val="single" w:sz="4" w:space="0" w:color="auto"/>
            </w:tcBorders>
            <w:shd w:val="clear" w:color="000000" w:fill="FFFFFF"/>
            <w:vAlign w:val="center"/>
            <w:hideMark/>
          </w:tcPr>
          <w:p w14:paraId="3A9A04BF" w14:textId="77777777" w:rsidR="00F22587" w:rsidRPr="000E5DBF" w:rsidRDefault="00F22587" w:rsidP="008A5C11">
            <w:pPr>
              <w:jc w:val="center"/>
              <w:rPr>
                <w:color w:val="000000"/>
                <w:sz w:val="16"/>
                <w:szCs w:val="16"/>
              </w:rPr>
            </w:pPr>
            <w:r w:rsidRPr="000E5DBF">
              <w:rPr>
                <w:color w:val="000000"/>
                <w:sz w:val="16"/>
                <w:szCs w:val="16"/>
              </w:rPr>
              <w:t>6,64</w:t>
            </w:r>
          </w:p>
        </w:tc>
        <w:tc>
          <w:tcPr>
            <w:tcW w:w="426" w:type="dxa"/>
            <w:tcBorders>
              <w:top w:val="nil"/>
              <w:left w:val="nil"/>
              <w:bottom w:val="single" w:sz="4" w:space="0" w:color="auto"/>
              <w:right w:val="single" w:sz="4" w:space="0" w:color="auto"/>
            </w:tcBorders>
            <w:shd w:val="clear" w:color="000000" w:fill="FFFFFF"/>
            <w:vAlign w:val="center"/>
            <w:hideMark/>
          </w:tcPr>
          <w:p w14:paraId="41B4DA7E" w14:textId="77777777" w:rsidR="00F22587" w:rsidRPr="000E5DBF" w:rsidRDefault="00F22587" w:rsidP="008A5C11">
            <w:pPr>
              <w:jc w:val="center"/>
              <w:rPr>
                <w:color w:val="000000"/>
                <w:sz w:val="16"/>
                <w:szCs w:val="16"/>
              </w:rPr>
            </w:pPr>
            <w:r w:rsidRPr="000E5DBF">
              <w:rPr>
                <w:color w:val="000000"/>
                <w:sz w:val="16"/>
                <w:szCs w:val="16"/>
              </w:rPr>
              <w:t>6,64</w:t>
            </w:r>
          </w:p>
        </w:tc>
        <w:tc>
          <w:tcPr>
            <w:tcW w:w="425" w:type="dxa"/>
            <w:tcBorders>
              <w:top w:val="nil"/>
              <w:left w:val="nil"/>
              <w:bottom w:val="single" w:sz="4" w:space="0" w:color="auto"/>
              <w:right w:val="single" w:sz="4" w:space="0" w:color="auto"/>
            </w:tcBorders>
            <w:shd w:val="clear" w:color="000000" w:fill="FFFFFF"/>
            <w:vAlign w:val="center"/>
            <w:hideMark/>
          </w:tcPr>
          <w:p w14:paraId="522EFC13" w14:textId="77777777" w:rsidR="00F22587" w:rsidRPr="000E5DBF" w:rsidRDefault="00F22587" w:rsidP="008A5C11">
            <w:pPr>
              <w:jc w:val="center"/>
              <w:rPr>
                <w:color w:val="000000"/>
                <w:sz w:val="16"/>
                <w:szCs w:val="16"/>
              </w:rPr>
            </w:pPr>
            <w:r w:rsidRPr="000E5DBF">
              <w:rPr>
                <w:color w:val="000000"/>
                <w:sz w:val="16"/>
                <w:szCs w:val="16"/>
              </w:rPr>
              <w:t>0</w:t>
            </w:r>
          </w:p>
        </w:tc>
        <w:tc>
          <w:tcPr>
            <w:tcW w:w="425" w:type="dxa"/>
            <w:tcBorders>
              <w:top w:val="nil"/>
              <w:left w:val="nil"/>
              <w:bottom w:val="single" w:sz="4" w:space="0" w:color="auto"/>
              <w:right w:val="single" w:sz="4" w:space="0" w:color="auto"/>
            </w:tcBorders>
            <w:shd w:val="clear" w:color="000000" w:fill="FFFFFF"/>
            <w:vAlign w:val="center"/>
            <w:hideMark/>
          </w:tcPr>
          <w:p w14:paraId="6F8938BF" w14:textId="77777777" w:rsidR="00F22587" w:rsidRPr="000E5DBF" w:rsidRDefault="00F22587" w:rsidP="008A5C11">
            <w:pPr>
              <w:jc w:val="center"/>
              <w:rPr>
                <w:color w:val="000000"/>
                <w:sz w:val="16"/>
                <w:szCs w:val="16"/>
              </w:rPr>
            </w:pPr>
            <w:r w:rsidRPr="000E5DBF">
              <w:rPr>
                <w:color w:val="000000"/>
                <w:sz w:val="16"/>
                <w:szCs w:val="16"/>
              </w:rPr>
              <w:t>0</w:t>
            </w:r>
          </w:p>
        </w:tc>
        <w:tc>
          <w:tcPr>
            <w:tcW w:w="425" w:type="dxa"/>
            <w:tcBorders>
              <w:top w:val="nil"/>
              <w:left w:val="nil"/>
              <w:bottom w:val="single" w:sz="4" w:space="0" w:color="auto"/>
              <w:right w:val="single" w:sz="4" w:space="0" w:color="auto"/>
            </w:tcBorders>
            <w:shd w:val="clear" w:color="000000" w:fill="FFFFFF"/>
            <w:vAlign w:val="center"/>
            <w:hideMark/>
          </w:tcPr>
          <w:p w14:paraId="7E52DB0A" w14:textId="77777777" w:rsidR="00F22587" w:rsidRPr="000E5DBF" w:rsidRDefault="00F22587" w:rsidP="008A5C11">
            <w:pPr>
              <w:jc w:val="center"/>
              <w:rPr>
                <w:color w:val="000000"/>
                <w:sz w:val="16"/>
                <w:szCs w:val="16"/>
              </w:rPr>
            </w:pPr>
            <w:r w:rsidRPr="000E5DBF">
              <w:rPr>
                <w:color w:val="000000"/>
                <w:sz w:val="16"/>
                <w:szCs w:val="16"/>
              </w:rPr>
              <w:t>0</w:t>
            </w:r>
          </w:p>
        </w:tc>
        <w:tc>
          <w:tcPr>
            <w:tcW w:w="426" w:type="dxa"/>
            <w:tcBorders>
              <w:top w:val="nil"/>
              <w:left w:val="nil"/>
              <w:bottom w:val="single" w:sz="4" w:space="0" w:color="auto"/>
              <w:right w:val="single" w:sz="4" w:space="0" w:color="auto"/>
            </w:tcBorders>
            <w:shd w:val="clear" w:color="000000" w:fill="FFFFFF"/>
            <w:vAlign w:val="center"/>
            <w:hideMark/>
          </w:tcPr>
          <w:p w14:paraId="4BA9FEF3" w14:textId="77777777" w:rsidR="00F22587" w:rsidRPr="000E5DBF" w:rsidRDefault="00F22587" w:rsidP="008A5C11">
            <w:pPr>
              <w:jc w:val="center"/>
              <w:rPr>
                <w:color w:val="000000"/>
                <w:sz w:val="16"/>
                <w:szCs w:val="16"/>
              </w:rPr>
            </w:pPr>
            <w:r w:rsidRPr="000E5DBF">
              <w:rPr>
                <w:color w:val="000000"/>
                <w:sz w:val="16"/>
                <w:szCs w:val="16"/>
              </w:rPr>
              <w:t>0</w:t>
            </w:r>
          </w:p>
        </w:tc>
      </w:tr>
      <w:tr w:rsidR="00F22587" w:rsidRPr="000E5DBF" w14:paraId="5553C521" w14:textId="77777777" w:rsidTr="008A5C11">
        <w:trPr>
          <w:trHeight w:val="300"/>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38AB5FF3" w14:textId="77777777" w:rsidR="00F22587" w:rsidRPr="000E5DBF" w:rsidRDefault="00F22587" w:rsidP="008A5C11">
            <w:pPr>
              <w:jc w:val="center"/>
              <w:rPr>
                <w:color w:val="000000"/>
                <w:sz w:val="16"/>
                <w:szCs w:val="16"/>
              </w:rPr>
            </w:pPr>
            <w:r w:rsidRPr="000E5DBF">
              <w:rPr>
                <w:color w:val="000000"/>
                <w:sz w:val="16"/>
                <w:szCs w:val="16"/>
              </w:rPr>
              <w:t>5</w:t>
            </w:r>
          </w:p>
        </w:tc>
        <w:tc>
          <w:tcPr>
            <w:tcW w:w="1243" w:type="dxa"/>
            <w:tcBorders>
              <w:top w:val="nil"/>
              <w:left w:val="nil"/>
              <w:bottom w:val="single" w:sz="4" w:space="0" w:color="auto"/>
              <w:right w:val="single" w:sz="4" w:space="0" w:color="auto"/>
            </w:tcBorders>
            <w:shd w:val="clear" w:color="000000" w:fill="FFFFFF"/>
            <w:vAlign w:val="center"/>
            <w:hideMark/>
          </w:tcPr>
          <w:p w14:paraId="218CB4B0" w14:textId="77777777" w:rsidR="00F22587" w:rsidRPr="000E5DBF" w:rsidRDefault="00F22587" w:rsidP="008A5C11">
            <w:pPr>
              <w:rPr>
                <w:color w:val="000000"/>
                <w:sz w:val="16"/>
                <w:szCs w:val="16"/>
              </w:rPr>
            </w:pPr>
            <w:r w:rsidRPr="000E5DBF">
              <w:rPr>
                <w:color w:val="000000"/>
                <w:sz w:val="16"/>
                <w:szCs w:val="16"/>
              </w:rPr>
              <w:t>Котельная р-он Мичурина</w:t>
            </w:r>
          </w:p>
        </w:tc>
        <w:tc>
          <w:tcPr>
            <w:tcW w:w="670" w:type="dxa"/>
            <w:tcBorders>
              <w:top w:val="nil"/>
              <w:left w:val="nil"/>
              <w:bottom w:val="single" w:sz="4" w:space="0" w:color="auto"/>
              <w:right w:val="single" w:sz="4" w:space="0" w:color="auto"/>
            </w:tcBorders>
            <w:shd w:val="clear" w:color="000000" w:fill="FFFFFF"/>
            <w:vAlign w:val="center"/>
            <w:hideMark/>
          </w:tcPr>
          <w:p w14:paraId="2DFC7B63" w14:textId="77777777" w:rsidR="00F22587" w:rsidRPr="000E5DBF" w:rsidRDefault="00F22587" w:rsidP="008A5C11">
            <w:pPr>
              <w:jc w:val="center"/>
              <w:rPr>
                <w:color w:val="000000"/>
                <w:sz w:val="16"/>
                <w:szCs w:val="16"/>
              </w:rPr>
            </w:pPr>
            <w:r w:rsidRPr="000E5DBF">
              <w:rPr>
                <w:color w:val="000000"/>
                <w:sz w:val="16"/>
                <w:szCs w:val="16"/>
              </w:rPr>
              <w:t>0</w:t>
            </w:r>
          </w:p>
        </w:tc>
        <w:tc>
          <w:tcPr>
            <w:tcW w:w="576" w:type="dxa"/>
            <w:tcBorders>
              <w:top w:val="nil"/>
              <w:left w:val="nil"/>
              <w:bottom w:val="single" w:sz="4" w:space="0" w:color="auto"/>
              <w:right w:val="single" w:sz="4" w:space="0" w:color="auto"/>
            </w:tcBorders>
            <w:shd w:val="clear" w:color="000000" w:fill="FFFFFF"/>
            <w:vAlign w:val="center"/>
            <w:hideMark/>
          </w:tcPr>
          <w:p w14:paraId="4A164853" w14:textId="77777777" w:rsidR="00F22587" w:rsidRPr="000E5DBF" w:rsidRDefault="00F22587" w:rsidP="008A5C11">
            <w:pPr>
              <w:jc w:val="center"/>
              <w:rPr>
                <w:color w:val="000000"/>
                <w:sz w:val="16"/>
                <w:szCs w:val="16"/>
              </w:rPr>
            </w:pPr>
            <w:r w:rsidRPr="000E5DBF">
              <w:rPr>
                <w:color w:val="000000"/>
                <w:sz w:val="16"/>
                <w:szCs w:val="16"/>
              </w:rPr>
              <w:t>0</w:t>
            </w:r>
          </w:p>
        </w:tc>
        <w:tc>
          <w:tcPr>
            <w:tcW w:w="658" w:type="dxa"/>
            <w:tcBorders>
              <w:top w:val="nil"/>
              <w:left w:val="nil"/>
              <w:bottom w:val="single" w:sz="4" w:space="0" w:color="auto"/>
              <w:right w:val="single" w:sz="4" w:space="0" w:color="auto"/>
            </w:tcBorders>
            <w:shd w:val="clear" w:color="000000" w:fill="FFFFFF"/>
            <w:vAlign w:val="center"/>
            <w:hideMark/>
          </w:tcPr>
          <w:p w14:paraId="53E17D4E" w14:textId="77777777" w:rsidR="00F22587" w:rsidRPr="000E5DBF" w:rsidRDefault="00F22587" w:rsidP="008A5C11">
            <w:pPr>
              <w:jc w:val="center"/>
              <w:rPr>
                <w:color w:val="000000"/>
                <w:sz w:val="16"/>
                <w:szCs w:val="16"/>
              </w:rPr>
            </w:pPr>
            <w:r w:rsidRPr="000E5DBF">
              <w:rPr>
                <w:color w:val="000000"/>
                <w:sz w:val="16"/>
                <w:szCs w:val="16"/>
              </w:rPr>
              <w:t>0</w:t>
            </w:r>
          </w:p>
        </w:tc>
        <w:tc>
          <w:tcPr>
            <w:tcW w:w="576" w:type="dxa"/>
            <w:tcBorders>
              <w:top w:val="nil"/>
              <w:left w:val="nil"/>
              <w:bottom w:val="single" w:sz="4" w:space="0" w:color="auto"/>
              <w:right w:val="single" w:sz="4" w:space="0" w:color="auto"/>
            </w:tcBorders>
            <w:shd w:val="clear" w:color="000000" w:fill="FFFFFF"/>
            <w:vAlign w:val="center"/>
            <w:hideMark/>
          </w:tcPr>
          <w:p w14:paraId="0C90FB6C" w14:textId="77777777" w:rsidR="00F22587" w:rsidRPr="000E5DBF" w:rsidRDefault="00F22587" w:rsidP="008A5C11">
            <w:pPr>
              <w:jc w:val="center"/>
              <w:rPr>
                <w:color w:val="000000"/>
                <w:sz w:val="16"/>
                <w:szCs w:val="16"/>
              </w:rPr>
            </w:pPr>
            <w:r w:rsidRPr="000E5DBF">
              <w:rPr>
                <w:color w:val="000000"/>
                <w:sz w:val="16"/>
                <w:szCs w:val="16"/>
              </w:rPr>
              <w:t>0</w:t>
            </w:r>
          </w:p>
        </w:tc>
        <w:tc>
          <w:tcPr>
            <w:tcW w:w="576" w:type="dxa"/>
            <w:tcBorders>
              <w:top w:val="nil"/>
              <w:left w:val="nil"/>
              <w:bottom w:val="single" w:sz="4" w:space="0" w:color="auto"/>
              <w:right w:val="single" w:sz="4" w:space="0" w:color="auto"/>
            </w:tcBorders>
            <w:shd w:val="clear" w:color="000000" w:fill="FFFFFF"/>
            <w:vAlign w:val="center"/>
            <w:hideMark/>
          </w:tcPr>
          <w:p w14:paraId="310A08CB" w14:textId="77777777" w:rsidR="00F22587" w:rsidRPr="000E5DBF" w:rsidRDefault="00F22587" w:rsidP="008A5C11">
            <w:pPr>
              <w:jc w:val="center"/>
              <w:rPr>
                <w:color w:val="000000"/>
                <w:sz w:val="16"/>
                <w:szCs w:val="16"/>
              </w:rPr>
            </w:pPr>
            <w:r w:rsidRPr="000E5DBF">
              <w:rPr>
                <w:color w:val="000000"/>
                <w:sz w:val="16"/>
                <w:szCs w:val="16"/>
              </w:rPr>
              <w:t>0</w:t>
            </w:r>
          </w:p>
        </w:tc>
        <w:tc>
          <w:tcPr>
            <w:tcW w:w="576" w:type="dxa"/>
            <w:tcBorders>
              <w:top w:val="nil"/>
              <w:left w:val="nil"/>
              <w:bottom w:val="single" w:sz="4" w:space="0" w:color="auto"/>
              <w:right w:val="single" w:sz="4" w:space="0" w:color="auto"/>
            </w:tcBorders>
            <w:shd w:val="clear" w:color="000000" w:fill="FFFFFF"/>
            <w:vAlign w:val="center"/>
            <w:hideMark/>
          </w:tcPr>
          <w:p w14:paraId="6900342D" w14:textId="77777777" w:rsidR="00F22587" w:rsidRPr="000E5DBF" w:rsidRDefault="00F22587" w:rsidP="008A5C11">
            <w:pPr>
              <w:jc w:val="center"/>
              <w:rPr>
                <w:color w:val="000000"/>
                <w:sz w:val="16"/>
                <w:szCs w:val="16"/>
              </w:rPr>
            </w:pPr>
            <w:r w:rsidRPr="000E5DBF">
              <w:rPr>
                <w:color w:val="000000"/>
                <w:sz w:val="16"/>
                <w:szCs w:val="16"/>
              </w:rPr>
              <w:t>0</w:t>
            </w:r>
          </w:p>
        </w:tc>
        <w:tc>
          <w:tcPr>
            <w:tcW w:w="576" w:type="dxa"/>
            <w:tcBorders>
              <w:top w:val="nil"/>
              <w:left w:val="nil"/>
              <w:bottom w:val="single" w:sz="4" w:space="0" w:color="auto"/>
              <w:right w:val="single" w:sz="4" w:space="0" w:color="auto"/>
            </w:tcBorders>
            <w:shd w:val="clear" w:color="000000" w:fill="FFFFFF"/>
            <w:vAlign w:val="center"/>
            <w:hideMark/>
          </w:tcPr>
          <w:p w14:paraId="47DE99C8" w14:textId="77777777" w:rsidR="00F22587" w:rsidRPr="000E5DBF" w:rsidRDefault="00F22587" w:rsidP="008A5C11">
            <w:pPr>
              <w:jc w:val="center"/>
              <w:rPr>
                <w:color w:val="000000"/>
                <w:sz w:val="16"/>
                <w:szCs w:val="16"/>
              </w:rPr>
            </w:pPr>
            <w:r w:rsidRPr="000E5DBF">
              <w:rPr>
                <w:color w:val="000000"/>
                <w:sz w:val="16"/>
                <w:szCs w:val="16"/>
              </w:rPr>
              <w:t>0</w:t>
            </w:r>
          </w:p>
        </w:tc>
        <w:tc>
          <w:tcPr>
            <w:tcW w:w="576" w:type="dxa"/>
            <w:tcBorders>
              <w:top w:val="nil"/>
              <w:left w:val="nil"/>
              <w:bottom w:val="single" w:sz="4" w:space="0" w:color="auto"/>
              <w:right w:val="single" w:sz="4" w:space="0" w:color="auto"/>
            </w:tcBorders>
            <w:shd w:val="clear" w:color="000000" w:fill="FFFFFF"/>
            <w:vAlign w:val="center"/>
            <w:hideMark/>
          </w:tcPr>
          <w:p w14:paraId="41BE7C07" w14:textId="77777777" w:rsidR="00F22587" w:rsidRPr="000E5DBF" w:rsidRDefault="00F22587" w:rsidP="008A5C11">
            <w:pPr>
              <w:jc w:val="center"/>
              <w:rPr>
                <w:color w:val="000000"/>
                <w:sz w:val="16"/>
                <w:szCs w:val="16"/>
              </w:rPr>
            </w:pPr>
            <w:r w:rsidRPr="000E5DBF">
              <w:rPr>
                <w:color w:val="000000"/>
                <w:sz w:val="16"/>
                <w:szCs w:val="16"/>
              </w:rPr>
              <w:t>0</w:t>
            </w:r>
          </w:p>
        </w:tc>
        <w:tc>
          <w:tcPr>
            <w:tcW w:w="576" w:type="dxa"/>
            <w:tcBorders>
              <w:top w:val="nil"/>
              <w:left w:val="nil"/>
              <w:bottom w:val="single" w:sz="4" w:space="0" w:color="auto"/>
              <w:right w:val="single" w:sz="4" w:space="0" w:color="auto"/>
            </w:tcBorders>
            <w:shd w:val="clear" w:color="000000" w:fill="FFFFFF"/>
            <w:vAlign w:val="center"/>
            <w:hideMark/>
          </w:tcPr>
          <w:p w14:paraId="43A8E160" w14:textId="77777777" w:rsidR="00F22587" w:rsidRPr="000E5DBF" w:rsidRDefault="00F22587" w:rsidP="008A5C11">
            <w:pPr>
              <w:jc w:val="center"/>
              <w:rPr>
                <w:color w:val="000000"/>
                <w:sz w:val="16"/>
                <w:szCs w:val="16"/>
              </w:rPr>
            </w:pPr>
            <w:r w:rsidRPr="000E5DBF">
              <w:rPr>
                <w:color w:val="000000"/>
                <w:sz w:val="16"/>
                <w:szCs w:val="16"/>
              </w:rPr>
              <w:t>0</w:t>
            </w:r>
          </w:p>
        </w:tc>
        <w:tc>
          <w:tcPr>
            <w:tcW w:w="576" w:type="dxa"/>
            <w:tcBorders>
              <w:top w:val="nil"/>
              <w:left w:val="nil"/>
              <w:bottom w:val="single" w:sz="4" w:space="0" w:color="auto"/>
              <w:right w:val="single" w:sz="4" w:space="0" w:color="auto"/>
            </w:tcBorders>
            <w:shd w:val="clear" w:color="000000" w:fill="FFFFFF"/>
            <w:vAlign w:val="center"/>
            <w:hideMark/>
          </w:tcPr>
          <w:p w14:paraId="40DAE8A1" w14:textId="77777777" w:rsidR="00F22587" w:rsidRPr="000E5DBF" w:rsidRDefault="00F22587" w:rsidP="008A5C11">
            <w:pPr>
              <w:jc w:val="center"/>
              <w:rPr>
                <w:color w:val="000000"/>
                <w:sz w:val="16"/>
                <w:szCs w:val="16"/>
              </w:rPr>
            </w:pPr>
            <w:r w:rsidRPr="000E5DBF">
              <w:rPr>
                <w:color w:val="000000"/>
                <w:sz w:val="16"/>
                <w:szCs w:val="16"/>
              </w:rPr>
              <w:t>0</w:t>
            </w:r>
          </w:p>
        </w:tc>
        <w:tc>
          <w:tcPr>
            <w:tcW w:w="576" w:type="dxa"/>
            <w:tcBorders>
              <w:top w:val="nil"/>
              <w:left w:val="nil"/>
              <w:bottom w:val="single" w:sz="4" w:space="0" w:color="auto"/>
              <w:right w:val="single" w:sz="4" w:space="0" w:color="auto"/>
            </w:tcBorders>
            <w:shd w:val="clear" w:color="000000" w:fill="FFFFFF"/>
            <w:vAlign w:val="center"/>
            <w:hideMark/>
          </w:tcPr>
          <w:p w14:paraId="291B50A4" w14:textId="77777777" w:rsidR="00F22587" w:rsidRPr="000E5DBF" w:rsidRDefault="00F22587" w:rsidP="008A5C11">
            <w:pPr>
              <w:jc w:val="center"/>
              <w:rPr>
                <w:color w:val="000000"/>
                <w:sz w:val="16"/>
                <w:szCs w:val="16"/>
              </w:rPr>
            </w:pPr>
            <w:r w:rsidRPr="000E5DBF">
              <w:rPr>
                <w:color w:val="000000"/>
                <w:sz w:val="16"/>
                <w:szCs w:val="16"/>
              </w:rPr>
              <w:t>0</w:t>
            </w:r>
          </w:p>
        </w:tc>
        <w:tc>
          <w:tcPr>
            <w:tcW w:w="576" w:type="dxa"/>
            <w:tcBorders>
              <w:top w:val="nil"/>
              <w:left w:val="nil"/>
              <w:bottom w:val="single" w:sz="4" w:space="0" w:color="auto"/>
              <w:right w:val="single" w:sz="4" w:space="0" w:color="auto"/>
            </w:tcBorders>
            <w:shd w:val="clear" w:color="000000" w:fill="FFFFFF"/>
            <w:vAlign w:val="center"/>
            <w:hideMark/>
          </w:tcPr>
          <w:p w14:paraId="17F1697D" w14:textId="77777777" w:rsidR="00F22587" w:rsidRPr="000E5DBF" w:rsidRDefault="00F22587" w:rsidP="008A5C11">
            <w:pPr>
              <w:jc w:val="center"/>
              <w:rPr>
                <w:color w:val="000000"/>
                <w:sz w:val="16"/>
                <w:szCs w:val="16"/>
              </w:rPr>
            </w:pPr>
            <w:r w:rsidRPr="000E5DBF">
              <w:rPr>
                <w:color w:val="000000"/>
                <w:sz w:val="16"/>
                <w:szCs w:val="16"/>
              </w:rPr>
              <w:t>0</w:t>
            </w:r>
          </w:p>
        </w:tc>
        <w:tc>
          <w:tcPr>
            <w:tcW w:w="628" w:type="dxa"/>
            <w:tcBorders>
              <w:top w:val="nil"/>
              <w:left w:val="nil"/>
              <w:bottom w:val="single" w:sz="4" w:space="0" w:color="auto"/>
              <w:right w:val="single" w:sz="4" w:space="0" w:color="auto"/>
            </w:tcBorders>
            <w:shd w:val="clear" w:color="000000" w:fill="FFFFFF"/>
            <w:vAlign w:val="center"/>
            <w:hideMark/>
          </w:tcPr>
          <w:p w14:paraId="2368A5F2" w14:textId="77777777" w:rsidR="00F22587" w:rsidRPr="000E5DBF" w:rsidRDefault="00F22587" w:rsidP="008A5C11">
            <w:pPr>
              <w:jc w:val="center"/>
              <w:rPr>
                <w:color w:val="000000"/>
                <w:sz w:val="16"/>
                <w:szCs w:val="16"/>
              </w:rPr>
            </w:pPr>
            <w:r w:rsidRPr="000E5DBF">
              <w:rPr>
                <w:color w:val="000000"/>
                <w:sz w:val="16"/>
                <w:szCs w:val="16"/>
              </w:rPr>
              <w:t>0</w:t>
            </w:r>
          </w:p>
        </w:tc>
        <w:tc>
          <w:tcPr>
            <w:tcW w:w="709" w:type="dxa"/>
            <w:tcBorders>
              <w:top w:val="nil"/>
              <w:left w:val="nil"/>
              <w:bottom w:val="single" w:sz="4" w:space="0" w:color="auto"/>
              <w:right w:val="single" w:sz="4" w:space="0" w:color="auto"/>
            </w:tcBorders>
            <w:shd w:val="clear" w:color="000000" w:fill="FFFFFF"/>
            <w:vAlign w:val="center"/>
            <w:hideMark/>
          </w:tcPr>
          <w:p w14:paraId="00B2FDF9" w14:textId="77777777" w:rsidR="00F22587" w:rsidRPr="000E5DBF" w:rsidRDefault="00F22587" w:rsidP="008A5C11">
            <w:pPr>
              <w:jc w:val="center"/>
              <w:rPr>
                <w:color w:val="000000"/>
                <w:sz w:val="16"/>
                <w:szCs w:val="16"/>
              </w:rPr>
            </w:pPr>
            <w:r w:rsidRPr="000E5DBF">
              <w:rPr>
                <w:color w:val="000000"/>
                <w:sz w:val="16"/>
                <w:szCs w:val="16"/>
              </w:rPr>
              <w:t>3,40</w:t>
            </w:r>
          </w:p>
        </w:tc>
        <w:tc>
          <w:tcPr>
            <w:tcW w:w="425" w:type="dxa"/>
            <w:tcBorders>
              <w:top w:val="nil"/>
              <w:left w:val="nil"/>
              <w:bottom w:val="single" w:sz="4" w:space="0" w:color="auto"/>
              <w:right w:val="single" w:sz="4" w:space="0" w:color="auto"/>
            </w:tcBorders>
            <w:shd w:val="clear" w:color="000000" w:fill="FFFFFF"/>
            <w:vAlign w:val="center"/>
            <w:hideMark/>
          </w:tcPr>
          <w:p w14:paraId="6DC5F0C0" w14:textId="77777777" w:rsidR="00F22587" w:rsidRPr="000E5DBF" w:rsidRDefault="00F22587" w:rsidP="008A5C11">
            <w:pPr>
              <w:jc w:val="center"/>
              <w:rPr>
                <w:color w:val="000000"/>
                <w:sz w:val="16"/>
                <w:szCs w:val="16"/>
              </w:rPr>
            </w:pPr>
            <w:r w:rsidRPr="000E5DBF">
              <w:rPr>
                <w:color w:val="000000"/>
                <w:sz w:val="16"/>
                <w:szCs w:val="16"/>
              </w:rPr>
              <w:t>3,40</w:t>
            </w:r>
          </w:p>
        </w:tc>
        <w:tc>
          <w:tcPr>
            <w:tcW w:w="425" w:type="dxa"/>
            <w:tcBorders>
              <w:top w:val="nil"/>
              <w:left w:val="nil"/>
              <w:bottom w:val="single" w:sz="4" w:space="0" w:color="auto"/>
              <w:right w:val="single" w:sz="4" w:space="0" w:color="auto"/>
            </w:tcBorders>
            <w:shd w:val="clear" w:color="000000" w:fill="FFFFFF"/>
            <w:vAlign w:val="center"/>
            <w:hideMark/>
          </w:tcPr>
          <w:p w14:paraId="5DB1F7E6" w14:textId="77777777" w:rsidR="00F22587" w:rsidRPr="000E5DBF" w:rsidRDefault="00F22587" w:rsidP="008A5C11">
            <w:pPr>
              <w:jc w:val="center"/>
              <w:rPr>
                <w:color w:val="000000"/>
                <w:sz w:val="16"/>
                <w:szCs w:val="16"/>
              </w:rPr>
            </w:pPr>
            <w:r w:rsidRPr="000E5DBF">
              <w:rPr>
                <w:color w:val="000000"/>
                <w:sz w:val="16"/>
                <w:szCs w:val="16"/>
              </w:rPr>
              <w:t>3,40</w:t>
            </w:r>
          </w:p>
        </w:tc>
        <w:tc>
          <w:tcPr>
            <w:tcW w:w="425" w:type="dxa"/>
            <w:tcBorders>
              <w:top w:val="nil"/>
              <w:left w:val="nil"/>
              <w:bottom w:val="single" w:sz="4" w:space="0" w:color="auto"/>
              <w:right w:val="single" w:sz="4" w:space="0" w:color="auto"/>
            </w:tcBorders>
            <w:shd w:val="clear" w:color="000000" w:fill="FFFFFF"/>
            <w:vAlign w:val="center"/>
            <w:hideMark/>
          </w:tcPr>
          <w:p w14:paraId="0F802B91" w14:textId="77777777" w:rsidR="00F22587" w:rsidRPr="000E5DBF" w:rsidRDefault="00F22587" w:rsidP="008A5C11">
            <w:pPr>
              <w:jc w:val="center"/>
              <w:rPr>
                <w:color w:val="000000"/>
                <w:sz w:val="16"/>
                <w:szCs w:val="16"/>
              </w:rPr>
            </w:pPr>
            <w:r w:rsidRPr="000E5DBF">
              <w:rPr>
                <w:color w:val="000000"/>
                <w:sz w:val="16"/>
                <w:szCs w:val="16"/>
              </w:rPr>
              <w:t>3,40</w:t>
            </w:r>
          </w:p>
        </w:tc>
        <w:tc>
          <w:tcPr>
            <w:tcW w:w="426" w:type="dxa"/>
            <w:tcBorders>
              <w:top w:val="nil"/>
              <w:left w:val="nil"/>
              <w:bottom w:val="single" w:sz="4" w:space="0" w:color="auto"/>
              <w:right w:val="single" w:sz="4" w:space="0" w:color="auto"/>
            </w:tcBorders>
            <w:shd w:val="clear" w:color="000000" w:fill="FFFFFF"/>
            <w:vAlign w:val="center"/>
            <w:hideMark/>
          </w:tcPr>
          <w:p w14:paraId="43141A90" w14:textId="77777777" w:rsidR="00F22587" w:rsidRPr="000E5DBF" w:rsidRDefault="00F22587" w:rsidP="008A5C11">
            <w:pPr>
              <w:jc w:val="center"/>
              <w:rPr>
                <w:color w:val="000000"/>
                <w:sz w:val="16"/>
                <w:szCs w:val="16"/>
              </w:rPr>
            </w:pPr>
            <w:r w:rsidRPr="000E5DBF">
              <w:rPr>
                <w:color w:val="000000"/>
                <w:sz w:val="16"/>
                <w:szCs w:val="16"/>
              </w:rPr>
              <w:t>3,40</w:t>
            </w:r>
          </w:p>
        </w:tc>
        <w:tc>
          <w:tcPr>
            <w:tcW w:w="425" w:type="dxa"/>
            <w:tcBorders>
              <w:top w:val="nil"/>
              <w:left w:val="nil"/>
              <w:bottom w:val="single" w:sz="4" w:space="0" w:color="auto"/>
              <w:right w:val="single" w:sz="4" w:space="0" w:color="auto"/>
            </w:tcBorders>
            <w:shd w:val="clear" w:color="000000" w:fill="FFFFFF"/>
            <w:vAlign w:val="center"/>
            <w:hideMark/>
          </w:tcPr>
          <w:p w14:paraId="754BEBB0" w14:textId="77777777" w:rsidR="00F22587" w:rsidRPr="000E5DBF" w:rsidRDefault="00F22587" w:rsidP="008A5C11">
            <w:pPr>
              <w:jc w:val="center"/>
              <w:rPr>
                <w:color w:val="000000"/>
                <w:sz w:val="16"/>
                <w:szCs w:val="16"/>
              </w:rPr>
            </w:pPr>
            <w:r w:rsidRPr="000E5DBF">
              <w:rPr>
                <w:color w:val="000000"/>
                <w:sz w:val="16"/>
                <w:szCs w:val="16"/>
              </w:rPr>
              <w:t>3,40</w:t>
            </w:r>
          </w:p>
        </w:tc>
        <w:tc>
          <w:tcPr>
            <w:tcW w:w="425" w:type="dxa"/>
            <w:tcBorders>
              <w:top w:val="nil"/>
              <w:left w:val="nil"/>
              <w:bottom w:val="single" w:sz="4" w:space="0" w:color="auto"/>
              <w:right w:val="single" w:sz="4" w:space="0" w:color="auto"/>
            </w:tcBorders>
            <w:shd w:val="clear" w:color="000000" w:fill="FFFFFF"/>
            <w:vAlign w:val="center"/>
            <w:hideMark/>
          </w:tcPr>
          <w:p w14:paraId="7C9DB5EC" w14:textId="77777777" w:rsidR="00F22587" w:rsidRPr="000E5DBF" w:rsidRDefault="00F22587" w:rsidP="008A5C11">
            <w:pPr>
              <w:jc w:val="center"/>
              <w:rPr>
                <w:color w:val="000000"/>
                <w:sz w:val="16"/>
                <w:szCs w:val="16"/>
              </w:rPr>
            </w:pPr>
            <w:r w:rsidRPr="000E5DBF">
              <w:rPr>
                <w:color w:val="000000"/>
                <w:sz w:val="16"/>
                <w:szCs w:val="16"/>
              </w:rPr>
              <w:t>3,40</w:t>
            </w:r>
          </w:p>
        </w:tc>
        <w:tc>
          <w:tcPr>
            <w:tcW w:w="425" w:type="dxa"/>
            <w:tcBorders>
              <w:top w:val="nil"/>
              <w:left w:val="nil"/>
              <w:bottom w:val="single" w:sz="4" w:space="0" w:color="auto"/>
              <w:right w:val="single" w:sz="4" w:space="0" w:color="auto"/>
            </w:tcBorders>
            <w:shd w:val="clear" w:color="000000" w:fill="FFFFFF"/>
            <w:vAlign w:val="center"/>
            <w:hideMark/>
          </w:tcPr>
          <w:p w14:paraId="495909A8" w14:textId="77777777" w:rsidR="00F22587" w:rsidRPr="000E5DBF" w:rsidRDefault="00F22587" w:rsidP="008A5C11">
            <w:pPr>
              <w:jc w:val="center"/>
              <w:rPr>
                <w:color w:val="000000"/>
                <w:sz w:val="16"/>
                <w:szCs w:val="16"/>
              </w:rPr>
            </w:pPr>
            <w:r w:rsidRPr="000E5DBF">
              <w:rPr>
                <w:color w:val="000000"/>
                <w:sz w:val="16"/>
                <w:szCs w:val="16"/>
              </w:rPr>
              <w:t>3,40</w:t>
            </w:r>
          </w:p>
        </w:tc>
        <w:tc>
          <w:tcPr>
            <w:tcW w:w="426" w:type="dxa"/>
            <w:tcBorders>
              <w:top w:val="nil"/>
              <w:left w:val="nil"/>
              <w:bottom w:val="single" w:sz="4" w:space="0" w:color="auto"/>
              <w:right w:val="single" w:sz="4" w:space="0" w:color="auto"/>
            </w:tcBorders>
            <w:shd w:val="clear" w:color="000000" w:fill="FFFFFF"/>
            <w:vAlign w:val="center"/>
            <w:hideMark/>
          </w:tcPr>
          <w:p w14:paraId="77D453A9" w14:textId="77777777" w:rsidR="00F22587" w:rsidRPr="000E5DBF" w:rsidRDefault="00F22587" w:rsidP="008A5C11">
            <w:pPr>
              <w:jc w:val="center"/>
              <w:rPr>
                <w:color w:val="000000"/>
                <w:sz w:val="16"/>
                <w:szCs w:val="16"/>
              </w:rPr>
            </w:pPr>
            <w:r w:rsidRPr="000E5DBF">
              <w:rPr>
                <w:color w:val="000000"/>
                <w:sz w:val="16"/>
                <w:szCs w:val="16"/>
              </w:rPr>
              <w:t>2,42</w:t>
            </w:r>
          </w:p>
        </w:tc>
        <w:tc>
          <w:tcPr>
            <w:tcW w:w="425" w:type="dxa"/>
            <w:tcBorders>
              <w:top w:val="nil"/>
              <w:left w:val="nil"/>
              <w:bottom w:val="single" w:sz="4" w:space="0" w:color="auto"/>
              <w:right w:val="single" w:sz="4" w:space="0" w:color="auto"/>
            </w:tcBorders>
            <w:shd w:val="clear" w:color="000000" w:fill="FFFFFF"/>
            <w:vAlign w:val="center"/>
            <w:hideMark/>
          </w:tcPr>
          <w:p w14:paraId="279A6E3C" w14:textId="77777777" w:rsidR="00F22587" w:rsidRPr="000E5DBF" w:rsidRDefault="00F22587" w:rsidP="008A5C11">
            <w:pPr>
              <w:jc w:val="center"/>
              <w:rPr>
                <w:color w:val="000000"/>
                <w:sz w:val="16"/>
                <w:szCs w:val="16"/>
              </w:rPr>
            </w:pPr>
            <w:r w:rsidRPr="000E5DBF">
              <w:rPr>
                <w:color w:val="000000"/>
                <w:sz w:val="16"/>
                <w:szCs w:val="16"/>
              </w:rPr>
              <w:t>2,42</w:t>
            </w:r>
          </w:p>
        </w:tc>
        <w:tc>
          <w:tcPr>
            <w:tcW w:w="425" w:type="dxa"/>
            <w:tcBorders>
              <w:top w:val="nil"/>
              <w:left w:val="nil"/>
              <w:bottom w:val="single" w:sz="4" w:space="0" w:color="auto"/>
              <w:right w:val="single" w:sz="4" w:space="0" w:color="auto"/>
            </w:tcBorders>
            <w:shd w:val="clear" w:color="000000" w:fill="FFFFFF"/>
            <w:vAlign w:val="center"/>
            <w:hideMark/>
          </w:tcPr>
          <w:p w14:paraId="6A83C6BD" w14:textId="77777777" w:rsidR="00F22587" w:rsidRPr="000E5DBF" w:rsidRDefault="00F22587" w:rsidP="008A5C11">
            <w:pPr>
              <w:jc w:val="center"/>
              <w:rPr>
                <w:color w:val="000000"/>
                <w:sz w:val="16"/>
                <w:szCs w:val="16"/>
              </w:rPr>
            </w:pPr>
            <w:r w:rsidRPr="000E5DBF">
              <w:rPr>
                <w:color w:val="000000"/>
                <w:sz w:val="16"/>
                <w:szCs w:val="16"/>
              </w:rPr>
              <w:t>0</w:t>
            </w:r>
          </w:p>
        </w:tc>
        <w:tc>
          <w:tcPr>
            <w:tcW w:w="425" w:type="dxa"/>
            <w:tcBorders>
              <w:top w:val="nil"/>
              <w:left w:val="nil"/>
              <w:bottom w:val="single" w:sz="4" w:space="0" w:color="auto"/>
              <w:right w:val="single" w:sz="4" w:space="0" w:color="auto"/>
            </w:tcBorders>
            <w:shd w:val="clear" w:color="000000" w:fill="FFFFFF"/>
            <w:vAlign w:val="center"/>
            <w:hideMark/>
          </w:tcPr>
          <w:p w14:paraId="5C6C43C9" w14:textId="77777777" w:rsidR="00F22587" w:rsidRPr="000E5DBF" w:rsidRDefault="00F22587" w:rsidP="008A5C11">
            <w:pPr>
              <w:jc w:val="center"/>
              <w:rPr>
                <w:color w:val="000000"/>
                <w:sz w:val="16"/>
                <w:szCs w:val="16"/>
              </w:rPr>
            </w:pPr>
            <w:r w:rsidRPr="000E5DBF">
              <w:rPr>
                <w:color w:val="000000"/>
                <w:sz w:val="16"/>
                <w:szCs w:val="16"/>
              </w:rPr>
              <w:t>0</w:t>
            </w:r>
          </w:p>
        </w:tc>
        <w:tc>
          <w:tcPr>
            <w:tcW w:w="426" w:type="dxa"/>
            <w:tcBorders>
              <w:top w:val="nil"/>
              <w:left w:val="nil"/>
              <w:bottom w:val="single" w:sz="4" w:space="0" w:color="auto"/>
              <w:right w:val="single" w:sz="4" w:space="0" w:color="auto"/>
            </w:tcBorders>
            <w:shd w:val="clear" w:color="000000" w:fill="FFFFFF"/>
            <w:vAlign w:val="center"/>
            <w:hideMark/>
          </w:tcPr>
          <w:p w14:paraId="40714AEA" w14:textId="77777777" w:rsidR="00F22587" w:rsidRPr="000E5DBF" w:rsidRDefault="00F22587" w:rsidP="008A5C11">
            <w:pPr>
              <w:jc w:val="center"/>
              <w:rPr>
                <w:color w:val="000000"/>
                <w:sz w:val="16"/>
                <w:szCs w:val="16"/>
              </w:rPr>
            </w:pPr>
            <w:r w:rsidRPr="000E5DBF">
              <w:rPr>
                <w:color w:val="000000"/>
                <w:sz w:val="16"/>
                <w:szCs w:val="16"/>
              </w:rPr>
              <w:t>0</w:t>
            </w:r>
          </w:p>
        </w:tc>
      </w:tr>
      <w:tr w:rsidR="00F22587" w:rsidRPr="000E5DBF" w14:paraId="4D04F75C" w14:textId="77777777" w:rsidTr="008A5C11">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09BE5FD4" w14:textId="77777777" w:rsidR="00F22587" w:rsidRPr="000E5DBF" w:rsidRDefault="00F22587" w:rsidP="008A5C11">
            <w:pPr>
              <w:jc w:val="center"/>
              <w:rPr>
                <w:color w:val="000000"/>
                <w:sz w:val="16"/>
                <w:szCs w:val="16"/>
              </w:rPr>
            </w:pPr>
            <w:r w:rsidRPr="000E5DBF">
              <w:rPr>
                <w:color w:val="000000"/>
                <w:sz w:val="16"/>
                <w:szCs w:val="16"/>
              </w:rPr>
              <w:t>6</w:t>
            </w:r>
          </w:p>
        </w:tc>
        <w:tc>
          <w:tcPr>
            <w:tcW w:w="1243" w:type="dxa"/>
            <w:tcBorders>
              <w:top w:val="nil"/>
              <w:left w:val="nil"/>
              <w:bottom w:val="single" w:sz="4" w:space="0" w:color="auto"/>
              <w:right w:val="single" w:sz="4" w:space="0" w:color="auto"/>
            </w:tcBorders>
            <w:shd w:val="clear" w:color="000000" w:fill="FFFFFF"/>
            <w:vAlign w:val="center"/>
            <w:hideMark/>
          </w:tcPr>
          <w:p w14:paraId="676EFD83" w14:textId="77777777" w:rsidR="00F22587" w:rsidRPr="000E5DBF" w:rsidRDefault="00F22587" w:rsidP="008A5C11">
            <w:pPr>
              <w:rPr>
                <w:color w:val="000000"/>
                <w:sz w:val="16"/>
                <w:szCs w:val="16"/>
              </w:rPr>
            </w:pPr>
            <w:r w:rsidRPr="000E5DBF">
              <w:rPr>
                <w:color w:val="000000"/>
                <w:sz w:val="16"/>
                <w:szCs w:val="16"/>
              </w:rPr>
              <w:t>Котельная школы № 10</w:t>
            </w:r>
          </w:p>
        </w:tc>
        <w:tc>
          <w:tcPr>
            <w:tcW w:w="670" w:type="dxa"/>
            <w:tcBorders>
              <w:top w:val="nil"/>
              <w:left w:val="nil"/>
              <w:bottom w:val="single" w:sz="4" w:space="0" w:color="auto"/>
              <w:right w:val="single" w:sz="4" w:space="0" w:color="auto"/>
            </w:tcBorders>
            <w:shd w:val="clear" w:color="auto" w:fill="auto"/>
            <w:noWrap/>
            <w:vAlign w:val="bottom"/>
            <w:hideMark/>
          </w:tcPr>
          <w:p w14:paraId="28007EF5" w14:textId="77777777" w:rsidR="00F22587" w:rsidRPr="000E5DBF" w:rsidRDefault="00F22587" w:rsidP="008A5C11">
            <w:pPr>
              <w:jc w:val="center"/>
              <w:rPr>
                <w:color w:val="000000"/>
                <w:sz w:val="16"/>
                <w:szCs w:val="16"/>
              </w:rPr>
            </w:pPr>
            <w:r w:rsidRPr="000E5DBF">
              <w:rPr>
                <w:color w:val="000000"/>
                <w:sz w:val="16"/>
                <w:szCs w:val="16"/>
              </w:rPr>
              <w:t>0</w:t>
            </w:r>
          </w:p>
        </w:tc>
        <w:tc>
          <w:tcPr>
            <w:tcW w:w="576" w:type="dxa"/>
            <w:tcBorders>
              <w:top w:val="nil"/>
              <w:left w:val="nil"/>
              <w:bottom w:val="single" w:sz="4" w:space="0" w:color="auto"/>
              <w:right w:val="single" w:sz="4" w:space="0" w:color="auto"/>
            </w:tcBorders>
            <w:shd w:val="clear" w:color="auto" w:fill="auto"/>
            <w:noWrap/>
            <w:vAlign w:val="bottom"/>
            <w:hideMark/>
          </w:tcPr>
          <w:p w14:paraId="361333DA" w14:textId="77777777" w:rsidR="00F22587" w:rsidRPr="000E5DBF" w:rsidRDefault="00F22587" w:rsidP="008A5C11">
            <w:pPr>
              <w:jc w:val="center"/>
              <w:rPr>
                <w:color w:val="000000"/>
                <w:sz w:val="16"/>
                <w:szCs w:val="16"/>
              </w:rPr>
            </w:pPr>
            <w:r w:rsidRPr="000E5DBF">
              <w:rPr>
                <w:color w:val="000000"/>
                <w:sz w:val="16"/>
                <w:szCs w:val="16"/>
              </w:rPr>
              <w:t>0</w:t>
            </w:r>
          </w:p>
        </w:tc>
        <w:tc>
          <w:tcPr>
            <w:tcW w:w="658" w:type="dxa"/>
            <w:tcBorders>
              <w:top w:val="nil"/>
              <w:left w:val="nil"/>
              <w:bottom w:val="single" w:sz="4" w:space="0" w:color="auto"/>
              <w:right w:val="single" w:sz="4" w:space="0" w:color="auto"/>
            </w:tcBorders>
            <w:shd w:val="clear" w:color="auto" w:fill="auto"/>
            <w:noWrap/>
            <w:vAlign w:val="bottom"/>
            <w:hideMark/>
          </w:tcPr>
          <w:p w14:paraId="19B90A8A" w14:textId="77777777" w:rsidR="00F22587" w:rsidRPr="000E5DBF" w:rsidRDefault="00F22587" w:rsidP="008A5C11">
            <w:pPr>
              <w:jc w:val="center"/>
              <w:rPr>
                <w:color w:val="000000"/>
                <w:sz w:val="16"/>
                <w:szCs w:val="16"/>
              </w:rPr>
            </w:pPr>
            <w:r w:rsidRPr="000E5DBF">
              <w:rPr>
                <w:color w:val="000000"/>
                <w:sz w:val="16"/>
                <w:szCs w:val="16"/>
              </w:rPr>
              <w:t>0</w:t>
            </w:r>
          </w:p>
        </w:tc>
        <w:tc>
          <w:tcPr>
            <w:tcW w:w="576" w:type="dxa"/>
            <w:tcBorders>
              <w:top w:val="nil"/>
              <w:left w:val="nil"/>
              <w:bottom w:val="single" w:sz="4" w:space="0" w:color="auto"/>
              <w:right w:val="single" w:sz="4" w:space="0" w:color="auto"/>
            </w:tcBorders>
            <w:shd w:val="clear" w:color="auto" w:fill="auto"/>
            <w:noWrap/>
            <w:vAlign w:val="bottom"/>
            <w:hideMark/>
          </w:tcPr>
          <w:p w14:paraId="6AD60987" w14:textId="77777777" w:rsidR="00F22587" w:rsidRPr="000E5DBF" w:rsidRDefault="00F22587" w:rsidP="008A5C11">
            <w:pPr>
              <w:jc w:val="center"/>
              <w:rPr>
                <w:color w:val="000000"/>
                <w:sz w:val="16"/>
                <w:szCs w:val="16"/>
              </w:rPr>
            </w:pPr>
            <w:r w:rsidRPr="000E5DBF">
              <w:rPr>
                <w:color w:val="000000"/>
                <w:sz w:val="16"/>
                <w:szCs w:val="16"/>
              </w:rPr>
              <w:t>0</w:t>
            </w:r>
          </w:p>
        </w:tc>
        <w:tc>
          <w:tcPr>
            <w:tcW w:w="576" w:type="dxa"/>
            <w:tcBorders>
              <w:top w:val="nil"/>
              <w:left w:val="nil"/>
              <w:bottom w:val="single" w:sz="4" w:space="0" w:color="auto"/>
              <w:right w:val="single" w:sz="4" w:space="0" w:color="auto"/>
            </w:tcBorders>
            <w:shd w:val="clear" w:color="auto" w:fill="auto"/>
            <w:noWrap/>
            <w:vAlign w:val="bottom"/>
            <w:hideMark/>
          </w:tcPr>
          <w:p w14:paraId="30385F21" w14:textId="77777777" w:rsidR="00F22587" w:rsidRPr="000E5DBF" w:rsidRDefault="00F22587" w:rsidP="008A5C11">
            <w:pPr>
              <w:jc w:val="center"/>
              <w:rPr>
                <w:color w:val="000000"/>
                <w:sz w:val="16"/>
                <w:szCs w:val="16"/>
              </w:rPr>
            </w:pPr>
            <w:r w:rsidRPr="000E5DBF">
              <w:rPr>
                <w:color w:val="000000"/>
                <w:sz w:val="16"/>
                <w:szCs w:val="16"/>
              </w:rPr>
              <w:t>0</w:t>
            </w:r>
          </w:p>
        </w:tc>
        <w:tc>
          <w:tcPr>
            <w:tcW w:w="576" w:type="dxa"/>
            <w:tcBorders>
              <w:top w:val="nil"/>
              <w:left w:val="nil"/>
              <w:bottom w:val="single" w:sz="4" w:space="0" w:color="auto"/>
              <w:right w:val="single" w:sz="4" w:space="0" w:color="auto"/>
            </w:tcBorders>
            <w:shd w:val="clear" w:color="auto" w:fill="auto"/>
            <w:noWrap/>
            <w:vAlign w:val="bottom"/>
            <w:hideMark/>
          </w:tcPr>
          <w:p w14:paraId="7DA63BCB" w14:textId="77777777" w:rsidR="00F22587" w:rsidRPr="000E5DBF" w:rsidRDefault="00F22587" w:rsidP="008A5C11">
            <w:pPr>
              <w:jc w:val="center"/>
              <w:rPr>
                <w:color w:val="000000"/>
                <w:sz w:val="16"/>
                <w:szCs w:val="16"/>
              </w:rPr>
            </w:pPr>
            <w:r w:rsidRPr="000E5DBF">
              <w:rPr>
                <w:color w:val="000000"/>
                <w:sz w:val="16"/>
                <w:szCs w:val="16"/>
              </w:rPr>
              <w:t>0</w:t>
            </w:r>
          </w:p>
        </w:tc>
        <w:tc>
          <w:tcPr>
            <w:tcW w:w="576" w:type="dxa"/>
            <w:tcBorders>
              <w:top w:val="nil"/>
              <w:left w:val="nil"/>
              <w:bottom w:val="single" w:sz="4" w:space="0" w:color="auto"/>
              <w:right w:val="single" w:sz="4" w:space="0" w:color="auto"/>
            </w:tcBorders>
            <w:shd w:val="clear" w:color="auto" w:fill="auto"/>
            <w:noWrap/>
            <w:vAlign w:val="bottom"/>
            <w:hideMark/>
          </w:tcPr>
          <w:p w14:paraId="6D50CD89" w14:textId="77777777" w:rsidR="00F22587" w:rsidRPr="000E5DBF" w:rsidRDefault="00F22587" w:rsidP="008A5C11">
            <w:pPr>
              <w:jc w:val="center"/>
              <w:rPr>
                <w:color w:val="000000"/>
                <w:sz w:val="16"/>
                <w:szCs w:val="16"/>
              </w:rPr>
            </w:pPr>
            <w:r w:rsidRPr="000E5DBF">
              <w:rPr>
                <w:color w:val="000000"/>
                <w:sz w:val="16"/>
                <w:szCs w:val="16"/>
              </w:rPr>
              <w:t>0</w:t>
            </w:r>
          </w:p>
        </w:tc>
        <w:tc>
          <w:tcPr>
            <w:tcW w:w="576" w:type="dxa"/>
            <w:tcBorders>
              <w:top w:val="nil"/>
              <w:left w:val="nil"/>
              <w:bottom w:val="single" w:sz="4" w:space="0" w:color="auto"/>
              <w:right w:val="single" w:sz="4" w:space="0" w:color="auto"/>
            </w:tcBorders>
            <w:shd w:val="clear" w:color="auto" w:fill="auto"/>
            <w:noWrap/>
            <w:vAlign w:val="bottom"/>
            <w:hideMark/>
          </w:tcPr>
          <w:p w14:paraId="4FE9E519" w14:textId="77777777" w:rsidR="00F22587" w:rsidRPr="000E5DBF" w:rsidRDefault="00F22587" w:rsidP="008A5C11">
            <w:pPr>
              <w:jc w:val="center"/>
              <w:rPr>
                <w:color w:val="000000"/>
                <w:sz w:val="16"/>
                <w:szCs w:val="16"/>
              </w:rPr>
            </w:pPr>
            <w:r w:rsidRPr="000E5DBF">
              <w:rPr>
                <w:color w:val="000000"/>
                <w:sz w:val="16"/>
                <w:szCs w:val="16"/>
              </w:rPr>
              <w:t>0</w:t>
            </w:r>
          </w:p>
        </w:tc>
        <w:tc>
          <w:tcPr>
            <w:tcW w:w="576" w:type="dxa"/>
            <w:tcBorders>
              <w:top w:val="nil"/>
              <w:left w:val="nil"/>
              <w:bottom w:val="single" w:sz="4" w:space="0" w:color="auto"/>
              <w:right w:val="single" w:sz="4" w:space="0" w:color="auto"/>
            </w:tcBorders>
            <w:shd w:val="clear" w:color="auto" w:fill="auto"/>
            <w:noWrap/>
            <w:vAlign w:val="bottom"/>
            <w:hideMark/>
          </w:tcPr>
          <w:p w14:paraId="5B06D250" w14:textId="77777777" w:rsidR="00F22587" w:rsidRPr="000E5DBF" w:rsidRDefault="00F22587" w:rsidP="008A5C11">
            <w:pPr>
              <w:jc w:val="center"/>
              <w:rPr>
                <w:color w:val="000000"/>
                <w:sz w:val="16"/>
                <w:szCs w:val="16"/>
              </w:rPr>
            </w:pPr>
            <w:r w:rsidRPr="000E5DBF">
              <w:rPr>
                <w:color w:val="000000"/>
                <w:sz w:val="16"/>
                <w:szCs w:val="16"/>
              </w:rPr>
              <w:t>0</w:t>
            </w:r>
          </w:p>
        </w:tc>
        <w:tc>
          <w:tcPr>
            <w:tcW w:w="576" w:type="dxa"/>
            <w:tcBorders>
              <w:top w:val="nil"/>
              <w:left w:val="nil"/>
              <w:bottom w:val="single" w:sz="4" w:space="0" w:color="auto"/>
              <w:right w:val="single" w:sz="4" w:space="0" w:color="auto"/>
            </w:tcBorders>
            <w:shd w:val="clear" w:color="auto" w:fill="auto"/>
            <w:noWrap/>
            <w:vAlign w:val="bottom"/>
            <w:hideMark/>
          </w:tcPr>
          <w:p w14:paraId="2FBF25EC" w14:textId="77777777" w:rsidR="00F22587" w:rsidRPr="000E5DBF" w:rsidRDefault="00F22587" w:rsidP="008A5C11">
            <w:pPr>
              <w:jc w:val="center"/>
              <w:rPr>
                <w:color w:val="000000"/>
                <w:sz w:val="16"/>
                <w:szCs w:val="16"/>
              </w:rPr>
            </w:pPr>
            <w:r w:rsidRPr="000E5DBF">
              <w:rPr>
                <w:color w:val="000000"/>
                <w:sz w:val="16"/>
                <w:szCs w:val="16"/>
              </w:rPr>
              <w:t>0</w:t>
            </w:r>
          </w:p>
        </w:tc>
        <w:tc>
          <w:tcPr>
            <w:tcW w:w="576" w:type="dxa"/>
            <w:tcBorders>
              <w:top w:val="nil"/>
              <w:left w:val="nil"/>
              <w:bottom w:val="single" w:sz="4" w:space="0" w:color="auto"/>
              <w:right w:val="single" w:sz="4" w:space="0" w:color="auto"/>
            </w:tcBorders>
            <w:shd w:val="clear" w:color="auto" w:fill="auto"/>
            <w:noWrap/>
            <w:vAlign w:val="bottom"/>
            <w:hideMark/>
          </w:tcPr>
          <w:p w14:paraId="531EA6ED" w14:textId="77777777" w:rsidR="00F22587" w:rsidRPr="000E5DBF" w:rsidRDefault="00F22587" w:rsidP="008A5C11">
            <w:pPr>
              <w:jc w:val="center"/>
              <w:rPr>
                <w:color w:val="000000"/>
                <w:sz w:val="16"/>
                <w:szCs w:val="16"/>
              </w:rPr>
            </w:pPr>
            <w:r w:rsidRPr="000E5DBF">
              <w:rPr>
                <w:color w:val="000000"/>
                <w:sz w:val="16"/>
                <w:szCs w:val="16"/>
              </w:rPr>
              <w:t>0</w:t>
            </w:r>
          </w:p>
        </w:tc>
        <w:tc>
          <w:tcPr>
            <w:tcW w:w="576" w:type="dxa"/>
            <w:tcBorders>
              <w:top w:val="nil"/>
              <w:left w:val="nil"/>
              <w:bottom w:val="single" w:sz="4" w:space="0" w:color="auto"/>
              <w:right w:val="single" w:sz="4" w:space="0" w:color="auto"/>
            </w:tcBorders>
            <w:shd w:val="clear" w:color="auto" w:fill="auto"/>
            <w:noWrap/>
            <w:vAlign w:val="bottom"/>
            <w:hideMark/>
          </w:tcPr>
          <w:p w14:paraId="59F6A3EB" w14:textId="77777777" w:rsidR="00F22587" w:rsidRPr="000E5DBF" w:rsidRDefault="00F22587" w:rsidP="008A5C11">
            <w:pPr>
              <w:jc w:val="center"/>
              <w:rPr>
                <w:color w:val="000000"/>
                <w:sz w:val="16"/>
                <w:szCs w:val="16"/>
              </w:rPr>
            </w:pPr>
            <w:r w:rsidRPr="000E5DBF">
              <w:rPr>
                <w:color w:val="000000"/>
                <w:sz w:val="16"/>
                <w:szCs w:val="16"/>
              </w:rPr>
              <w:t>0</w:t>
            </w:r>
          </w:p>
        </w:tc>
        <w:tc>
          <w:tcPr>
            <w:tcW w:w="628" w:type="dxa"/>
            <w:tcBorders>
              <w:top w:val="nil"/>
              <w:left w:val="nil"/>
              <w:bottom w:val="single" w:sz="4" w:space="0" w:color="auto"/>
              <w:right w:val="single" w:sz="4" w:space="0" w:color="auto"/>
            </w:tcBorders>
            <w:shd w:val="clear" w:color="auto" w:fill="auto"/>
            <w:noWrap/>
            <w:vAlign w:val="bottom"/>
            <w:hideMark/>
          </w:tcPr>
          <w:p w14:paraId="65FB55B2" w14:textId="77777777" w:rsidR="00F22587" w:rsidRPr="000E5DBF" w:rsidRDefault="00F22587" w:rsidP="008A5C11">
            <w:pPr>
              <w:jc w:val="center"/>
              <w:rPr>
                <w:color w:val="000000"/>
                <w:sz w:val="16"/>
                <w:szCs w:val="16"/>
              </w:rPr>
            </w:pPr>
            <w:r w:rsidRPr="000E5DBF">
              <w:rPr>
                <w:color w:val="000000"/>
                <w:sz w:val="16"/>
                <w:szCs w:val="16"/>
              </w:rPr>
              <w:t>0</w:t>
            </w:r>
          </w:p>
        </w:tc>
        <w:tc>
          <w:tcPr>
            <w:tcW w:w="709" w:type="dxa"/>
            <w:tcBorders>
              <w:top w:val="nil"/>
              <w:left w:val="nil"/>
              <w:bottom w:val="single" w:sz="4" w:space="0" w:color="auto"/>
              <w:right w:val="single" w:sz="4" w:space="0" w:color="auto"/>
            </w:tcBorders>
            <w:shd w:val="clear" w:color="auto" w:fill="auto"/>
            <w:noWrap/>
            <w:vAlign w:val="bottom"/>
            <w:hideMark/>
          </w:tcPr>
          <w:p w14:paraId="76137A02" w14:textId="77777777" w:rsidR="00F22587" w:rsidRPr="000E5DBF" w:rsidRDefault="00F22587" w:rsidP="008A5C11">
            <w:pPr>
              <w:jc w:val="center"/>
              <w:rPr>
                <w:color w:val="000000"/>
                <w:sz w:val="16"/>
                <w:szCs w:val="16"/>
              </w:rPr>
            </w:pPr>
            <w:r w:rsidRPr="000E5DBF">
              <w:rPr>
                <w:color w:val="000000"/>
                <w:sz w:val="16"/>
                <w:szCs w:val="16"/>
              </w:rPr>
              <w:t>7,27</w:t>
            </w:r>
          </w:p>
        </w:tc>
        <w:tc>
          <w:tcPr>
            <w:tcW w:w="425" w:type="dxa"/>
            <w:tcBorders>
              <w:top w:val="nil"/>
              <w:left w:val="nil"/>
              <w:bottom w:val="single" w:sz="4" w:space="0" w:color="auto"/>
              <w:right w:val="single" w:sz="4" w:space="0" w:color="auto"/>
            </w:tcBorders>
            <w:shd w:val="clear" w:color="auto" w:fill="auto"/>
            <w:noWrap/>
            <w:vAlign w:val="bottom"/>
            <w:hideMark/>
          </w:tcPr>
          <w:p w14:paraId="643C9197" w14:textId="77777777" w:rsidR="00F22587" w:rsidRPr="000E5DBF" w:rsidRDefault="00F22587" w:rsidP="008A5C11">
            <w:pPr>
              <w:jc w:val="right"/>
              <w:rPr>
                <w:color w:val="000000"/>
                <w:sz w:val="16"/>
                <w:szCs w:val="16"/>
              </w:rPr>
            </w:pPr>
            <w:r w:rsidRPr="000E5DBF">
              <w:rPr>
                <w:color w:val="000000"/>
                <w:sz w:val="16"/>
                <w:szCs w:val="16"/>
              </w:rPr>
              <w:t>7,27</w:t>
            </w:r>
          </w:p>
        </w:tc>
        <w:tc>
          <w:tcPr>
            <w:tcW w:w="425" w:type="dxa"/>
            <w:tcBorders>
              <w:top w:val="nil"/>
              <w:left w:val="nil"/>
              <w:bottom w:val="single" w:sz="4" w:space="0" w:color="auto"/>
              <w:right w:val="single" w:sz="4" w:space="0" w:color="auto"/>
            </w:tcBorders>
            <w:shd w:val="clear" w:color="auto" w:fill="auto"/>
            <w:noWrap/>
            <w:vAlign w:val="bottom"/>
            <w:hideMark/>
          </w:tcPr>
          <w:p w14:paraId="02AA393B" w14:textId="77777777" w:rsidR="00F22587" w:rsidRPr="000E5DBF" w:rsidRDefault="00F22587" w:rsidP="008A5C11">
            <w:pPr>
              <w:jc w:val="right"/>
              <w:rPr>
                <w:color w:val="000000"/>
                <w:sz w:val="16"/>
                <w:szCs w:val="16"/>
              </w:rPr>
            </w:pPr>
            <w:r w:rsidRPr="000E5DBF">
              <w:rPr>
                <w:color w:val="000000"/>
                <w:sz w:val="16"/>
                <w:szCs w:val="16"/>
              </w:rPr>
              <w:t>7,27</w:t>
            </w:r>
          </w:p>
        </w:tc>
        <w:tc>
          <w:tcPr>
            <w:tcW w:w="425" w:type="dxa"/>
            <w:tcBorders>
              <w:top w:val="nil"/>
              <w:left w:val="nil"/>
              <w:bottom w:val="single" w:sz="4" w:space="0" w:color="auto"/>
              <w:right w:val="single" w:sz="4" w:space="0" w:color="auto"/>
            </w:tcBorders>
            <w:shd w:val="clear" w:color="auto" w:fill="auto"/>
            <w:noWrap/>
            <w:vAlign w:val="bottom"/>
            <w:hideMark/>
          </w:tcPr>
          <w:p w14:paraId="57624B13" w14:textId="77777777" w:rsidR="00F22587" w:rsidRPr="000E5DBF" w:rsidRDefault="00F22587" w:rsidP="008A5C11">
            <w:pPr>
              <w:jc w:val="right"/>
              <w:rPr>
                <w:color w:val="000000"/>
                <w:sz w:val="16"/>
                <w:szCs w:val="16"/>
              </w:rPr>
            </w:pPr>
            <w:r w:rsidRPr="000E5DBF">
              <w:rPr>
                <w:color w:val="000000"/>
                <w:sz w:val="16"/>
                <w:szCs w:val="16"/>
              </w:rPr>
              <w:t>7,267</w:t>
            </w:r>
          </w:p>
        </w:tc>
        <w:tc>
          <w:tcPr>
            <w:tcW w:w="426" w:type="dxa"/>
            <w:tcBorders>
              <w:top w:val="nil"/>
              <w:left w:val="nil"/>
              <w:bottom w:val="single" w:sz="4" w:space="0" w:color="auto"/>
              <w:right w:val="single" w:sz="4" w:space="0" w:color="auto"/>
            </w:tcBorders>
            <w:shd w:val="clear" w:color="auto" w:fill="auto"/>
            <w:noWrap/>
            <w:vAlign w:val="bottom"/>
            <w:hideMark/>
          </w:tcPr>
          <w:p w14:paraId="70E6EC0C" w14:textId="77777777" w:rsidR="00F22587" w:rsidRPr="000E5DBF" w:rsidRDefault="00F22587" w:rsidP="008A5C11">
            <w:pPr>
              <w:jc w:val="right"/>
              <w:rPr>
                <w:color w:val="000000"/>
                <w:sz w:val="16"/>
                <w:szCs w:val="16"/>
              </w:rPr>
            </w:pPr>
            <w:r w:rsidRPr="000E5DBF">
              <w:rPr>
                <w:color w:val="000000"/>
                <w:sz w:val="16"/>
                <w:szCs w:val="16"/>
              </w:rPr>
              <w:t>7,267</w:t>
            </w:r>
          </w:p>
        </w:tc>
        <w:tc>
          <w:tcPr>
            <w:tcW w:w="425" w:type="dxa"/>
            <w:tcBorders>
              <w:top w:val="nil"/>
              <w:left w:val="nil"/>
              <w:bottom w:val="single" w:sz="4" w:space="0" w:color="auto"/>
              <w:right w:val="single" w:sz="4" w:space="0" w:color="auto"/>
            </w:tcBorders>
            <w:shd w:val="clear" w:color="auto" w:fill="auto"/>
            <w:noWrap/>
            <w:vAlign w:val="bottom"/>
            <w:hideMark/>
          </w:tcPr>
          <w:p w14:paraId="65FA7886" w14:textId="77777777" w:rsidR="00F22587" w:rsidRPr="000E5DBF" w:rsidRDefault="00F22587" w:rsidP="008A5C11">
            <w:pPr>
              <w:jc w:val="right"/>
              <w:rPr>
                <w:color w:val="000000"/>
                <w:sz w:val="16"/>
                <w:szCs w:val="16"/>
              </w:rPr>
            </w:pPr>
            <w:r w:rsidRPr="000E5DBF">
              <w:rPr>
                <w:color w:val="000000"/>
                <w:sz w:val="16"/>
                <w:szCs w:val="16"/>
              </w:rPr>
              <w:t>7,267</w:t>
            </w:r>
          </w:p>
        </w:tc>
        <w:tc>
          <w:tcPr>
            <w:tcW w:w="425" w:type="dxa"/>
            <w:tcBorders>
              <w:top w:val="nil"/>
              <w:left w:val="nil"/>
              <w:bottom w:val="single" w:sz="4" w:space="0" w:color="auto"/>
              <w:right w:val="single" w:sz="4" w:space="0" w:color="auto"/>
            </w:tcBorders>
            <w:shd w:val="clear" w:color="auto" w:fill="auto"/>
            <w:noWrap/>
            <w:vAlign w:val="bottom"/>
            <w:hideMark/>
          </w:tcPr>
          <w:p w14:paraId="54EEA9BC" w14:textId="77777777" w:rsidR="00F22587" w:rsidRPr="000E5DBF" w:rsidRDefault="00F22587" w:rsidP="008A5C11">
            <w:pPr>
              <w:jc w:val="right"/>
              <w:rPr>
                <w:color w:val="000000"/>
                <w:sz w:val="16"/>
                <w:szCs w:val="16"/>
              </w:rPr>
            </w:pPr>
            <w:r w:rsidRPr="000E5DBF">
              <w:rPr>
                <w:color w:val="000000"/>
                <w:sz w:val="16"/>
                <w:szCs w:val="16"/>
              </w:rPr>
              <w:t>7,267</w:t>
            </w:r>
          </w:p>
        </w:tc>
        <w:tc>
          <w:tcPr>
            <w:tcW w:w="425" w:type="dxa"/>
            <w:tcBorders>
              <w:top w:val="nil"/>
              <w:left w:val="nil"/>
              <w:bottom w:val="single" w:sz="4" w:space="0" w:color="auto"/>
              <w:right w:val="single" w:sz="4" w:space="0" w:color="auto"/>
            </w:tcBorders>
            <w:shd w:val="clear" w:color="auto" w:fill="auto"/>
            <w:noWrap/>
            <w:vAlign w:val="bottom"/>
            <w:hideMark/>
          </w:tcPr>
          <w:p w14:paraId="62F27134" w14:textId="77777777" w:rsidR="00F22587" w:rsidRPr="000E5DBF" w:rsidRDefault="00F22587" w:rsidP="008A5C11">
            <w:pPr>
              <w:jc w:val="right"/>
              <w:rPr>
                <w:color w:val="000000"/>
                <w:sz w:val="16"/>
                <w:szCs w:val="16"/>
              </w:rPr>
            </w:pPr>
            <w:r w:rsidRPr="000E5DBF">
              <w:rPr>
                <w:color w:val="000000"/>
                <w:sz w:val="16"/>
                <w:szCs w:val="16"/>
              </w:rPr>
              <w:t>7,267</w:t>
            </w:r>
          </w:p>
        </w:tc>
        <w:tc>
          <w:tcPr>
            <w:tcW w:w="426" w:type="dxa"/>
            <w:tcBorders>
              <w:top w:val="nil"/>
              <w:left w:val="nil"/>
              <w:bottom w:val="single" w:sz="4" w:space="0" w:color="auto"/>
              <w:right w:val="single" w:sz="4" w:space="0" w:color="auto"/>
            </w:tcBorders>
            <w:shd w:val="clear" w:color="auto" w:fill="auto"/>
            <w:noWrap/>
            <w:vAlign w:val="bottom"/>
            <w:hideMark/>
          </w:tcPr>
          <w:p w14:paraId="09EDC4EA" w14:textId="77777777" w:rsidR="00F22587" w:rsidRPr="000E5DBF" w:rsidRDefault="00F22587" w:rsidP="008A5C11">
            <w:pPr>
              <w:jc w:val="right"/>
              <w:rPr>
                <w:color w:val="000000"/>
                <w:sz w:val="16"/>
                <w:szCs w:val="16"/>
              </w:rPr>
            </w:pPr>
            <w:r w:rsidRPr="000E5DBF">
              <w:rPr>
                <w:color w:val="000000"/>
                <w:sz w:val="16"/>
                <w:szCs w:val="16"/>
              </w:rPr>
              <w:t>7,267</w:t>
            </w:r>
          </w:p>
        </w:tc>
        <w:tc>
          <w:tcPr>
            <w:tcW w:w="425" w:type="dxa"/>
            <w:tcBorders>
              <w:top w:val="nil"/>
              <w:left w:val="nil"/>
              <w:bottom w:val="single" w:sz="4" w:space="0" w:color="auto"/>
              <w:right w:val="single" w:sz="4" w:space="0" w:color="auto"/>
            </w:tcBorders>
            <w:shd w:val="clear" w:color="auto" w:fill="auto"/>
            <w:noWrap/>
            <w:vAlign w:val="bottom"/>
            <w:hideMark/>
          </w:tcPr>
          <w:p w14:paraId="01A80381" w14:textId="77777777" w:rsidR="00F22587" w:rsidRPr="000E5DBF" w:rsidRDefault="00F22587" w:rsidP="008A5C11">
            <w:pPr>
              <w:jc w:val="right"/>
              <w:rPr>
                <w:color w:val="000000"/>
                <w:sz w:val="16"/>
                <w:szCs w:val="16"/>
              </w:rPr>
            </w:pPr>
            <w:r w:rsidRPr="000E5DBF">
              <w:rPr>
                <w:color w:val="000000"/>
                <w:sz w:val="16"/>
                <w:szCs w:val="16"/>
              </w:rPr>
              <w:t>7,267</w:t>
            </w:r>
          </w:p>
        </w:tc>
        <w:tc>
          <w:tcPr>
            <w:tcW w:w="425" w:type="dxa"/>
            <w:tcBorders>
              <w:top w:val="nil"/>
              <w:left w:val="nil"/>
              <w:bottom w:val="single" w:sz="4" w:space="0" w:color="auto"/>
              <w:right w:val="single" w:sz="4" w:space="0" w:color="auto"/>
            </w:tcBorders>
            <w:shd w:val="clear" w:color="auto" w:fill="auto"/>
            <w:noWrap/>
            <w:vAlign w:val="bottom"/>
            <w:hideMark/>
          </w:tcPr>
          <w:p w14:paraId="259B0BB6" w14:textId="77777777" w:rsidR="00F22587" w:rsidRPr="000E5DBF" w:rsidRDefault="00F22587" w:rsidP="008A5C11">
            <w:pPr>
              <w:jc w:val="right"/>
              <w:rPr>
                <w:color w:val="000000"/>
                <w:sz w:val="16"/>
                <w:szCs w:val="16"/>
              </w:rPr>
            </w:pPr>
            <w:r w:rsidRPr="000E5DBF">
              <w:rPr>
                <w:color w:val="000000"/>
                <w:sz w:val="16"/>
                <w:szCs w:val="16"/>
              </w:rPr>
              <w:t>7,267</w:t>
            </w:r>
          </w:p>
        </w:tc>
        <w:tc>
          <w:tcPr>
            <w:tcW w:w="425" w:type="dxa"/>
            <w:tcBorders>
              <w:top w:val="nil"/>
              <w:left w:val="nil"/>
              <w:bottom w:val="single" w:sz="4" w:space="0" w:color="auto"/>
              <w:right w:val="single" w:sz="4" w:space="0" w:color="auto"/>
            </w:tcBorders>
            <w:shd w:val="clear" w:color="auto" w:fill="auto"/>
            <w:noWrap/>
            <w:vAlign w:val="bottom"/>
            <w:hideMark/>
          </w:tcPr>
          <w:p w14:paraId="481D0029" w14:textId="77777777" w:rsidR="00F22587" w:rsidRPr="000E5DBF" w:rsidRDefault="00F22587" w:rsidP="008A5C11">
            <w:pPr>
              <w:jc w:val="right"/>
              <w:rPr>
                <w:color w:val="000000"/>
                <w:sz w:val="16"/>
                <w:szCs w:val="16"/>
              </w:rPr>
            </w:pPr>
            <w:r w:rsidRPr="000E5DBF">
              <w:rPr>
                <w:color w:val="000000"/>
                <w:sz w:val="16"/>
                <w:szCs w:val="16"/>
              </w:rPr>
              <w:t>7,267</w:t>
            </w:r>
          </w:p>
        </w:tc>
        <w:tc>
          <w:tcPr>
            <w:tcW w:w="426" w:type="dxa"/>
            <w:tcBorders>
              <w:top w:val="nil"/>
              <w:left w:val="nil"/>
              <w:bottom w:val="single" w:sz="4" w:space="0" w:color="auto"/>
              <w:right w:val="single" w:sz="4" w:space="0" w:color="auto"/>
            </w:tcBorders>
            <w:shd w:val="clear" w:color="auto" w:fill="auto"/>
            <w:noWrap/>
            <w:vAlign w:val="bottom"/>
            <w:hideMark/>
          </w:tcPr>
          <w:p w14:paraId="1B9C0F55" w14:textId="77777777" w:rsidR="00F22587" w:rsidRPr="000E5DBF" w:rsidRDefault="00F22587" w:rsidP="008A5C11">
            <w:pPr>
              <w:jc w:val="right"/>
              <w:rPr>
                <w:color w:val="000000"/>
                <w:sz w:val="16"/>
                <w:szCs w:val="16"/>
              </w:rPr>
            </w:pPr>
            <w:r w:rsidRPr="000E5DBF">
              <w:rPr>
                <w:color w:val="000000"/>
                <w:sz w:val="16"/>
                <w:szCs w:val="16"/>
              </w:rPr>
              <w:t>4,36</w:t>
            </w:r>
          </w:p>
        </w:tc>
      </w:tr>
      <w:tr w:rsidR="00F22587" w:rsidRPr="000E5DBF" w14:paraId="52BD6870" w14:textId="77777777" w:rsidTr="008A5C11">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52926933" w14:textId="77777777" w:rsidR="00F22587" w:rsidRPr="000E5DBF" w:rsidRDefault="00F22587" w:rsidP="008A5C11">
            <w:pPr>
              <w:jc w:val="center"/>
              <w:rPr>
                <w:color w:val="000000"/>
                <w:sz w:val="16"/>
                <w:szCs w:val="16"/>
              </w:rPr>
            </w:pPr>
            <w:r w:rsidRPr="000E5DBF">
              <w:rPr>
                <w:color w:val="000000"/>
                <w:sz w:val="16"/>
                <w:szCs w:val="16"/>
              </w:rPr>
              <w:t>7</w:t>
            </w:r>
          </w:p>
        </w:tc>
        <w:tc>
          <w:tcPr>
            <w:tcW w:w="1243" w:type="dxa"/>
            <w:tcBorders>
              <w:top w:val="nil"/>
              <w:left w:val="nil"/>
              <w:bottom w:val="single" w:sz="4" w:space="0" w:color="auto"/>
              <w:right w:val="single" w:sz="4" w:space="0" w:color="auto"/>
            </w:tcBorders>
            <w:shd w:val="clear" w:color="000000" w:fill="FFFFFF"/>
            <w:vAlign w:val="center"/>
            <w:hideMark/>
          </w:tcPr>
          <w:p w14:paraId="55DAAF21" w14:textId="77777777" w:rsidR="00F22587" w:rsidRPr="000E5DBF" w:rsidRDefault="00F22587" w:rsidP="008A5C11">
            <w:pPr>
              <w:rPr>
                <w:color w:val="000000"/>
                <w:sz w:val="16"/>
                <w:szCs w:val="16"/>
              </w:rPr>
            </w:pPr>
            <w:r w:rsidRPr="000E5DBF">
              <w:rPr>
                <w:color w:val="000000"/>
                <w:sz w:val="16"/>
                <w:szCs w:val="16"/>
              </w:rPr>
              <w:t>Котельная школы № 15</w:t>
            </w:r>
          </w:p>
        </w:tc>
        <w:tc>
          <w:tcPr>
            <w:tcW w:w="670" w:type="dxa"/>
            <w:tcBorders>
              <w:top w:val="nil"/>
              <w:left w:val="nil"/>
              <w:bottom w:val="single" w:sz="4" w:space="0" w:color="auto"/>
              <w:right w:val="single" w:sz="4" w:space="0" w:color="auto"/>
            </w:tcBorders>
            <w:shd w:val="clear" w:color="auto" w:fill="auto"/>
            <w:noWrap/>
            <w:vAlign w:val="bottom"/>
            <w:hideMark/>
          </w:tcPr>
          <w:p w14:paraId="417D6A84" w14:textId="77777777" w:rsidR="00F22587" w:rsidRPr="000E5DBF" w:rsidRDefault="00F22587" w:rsidP="008A5C11">
            <w:pPr>
              <w:jc w:val="center"/>
              <w:rPr>
                <w:color w:val="000000"/>
                <w:sz w:val="16"/>
                <w:szCs w:val="16"/>
              </w:rPr>
            </w:pPr>
            <w:r w:rsidRPr="000E5DBF">
              <w:rPr>
                <w:color w:val="000000"/>
                <w:sz w:val="16"/>
                <w:szCs w:val="16"/>
              </w:rPr>
              <w:t>0</w:t>
            </w:r>
          </w:p>
        </w:tc>
        <w:tc>
          <w:tcPr>
            <w:tcW w:w="576" w:type="dxa"/>
            <w:tcBorders>
              <w:top w:val="nil"/>
              <w:left w:val="nil"/>
              <w:bottom w:val="single" w:sz="4" w:space="0" w:color="auto"/>
              <w:right w:val="single" w:sz="4" w:space="0" w:color="auto"/>
            </w:tcBorders>
            <w:shd w:val="clear" w:color="auto" w:fill="auto"/>
            <w:noWrap/>
            <w:vAlign w:val="bottom"/>
            <w:hideMark/>
          </w:tcPr>
          <w:p w14:paraId="036C2884" w14:textId="77777777" w:rsidR="00F22587" w:rsidRPr="000E5DBF" w:rsidRDefault="00F22587" w:rsidP="008A5C11">
            <w:pPr>
              <w:jc w:val="center"/>
              <w:rPr>
                <w:color w:val="000000"/>
                <w:sz w:val="16"/>
                <w:szCs w:val="16"/>
              </w:rPr>
            </w:pPr>
            <w:r w:rsidRPr="000E5DBF">
              <w:rPr>
                <w:color w:val="000000"/>
                <w:sz w:val="16"/>
                <w:szCs w:val="16"/>
              </w:rPr>
              <w:t>0</w:t>
            </w:r>
          </w:p>
        </w:tc>
        <w:tc>
          <w:tcPr>
            <w:tcW w:w="658" w:type="dxa"/>
            <w:tcBorders>
              <w:top w:val="nil"/>
              <w:left w:val="nil"/>
              <w:bottom w:val="single" w:sz="4" w:space="0" w:color="auto"/>
              <w:right w:val="single" w:sz="4" w:space="0" w:color="auto"/>
            </w:tcBorders>
            <w:shd w:val="clear" w:color="auto" w:fill="auto"/>
            <w:noWrap/>
            <w:vAlign w:val="bottom"/>
            <w:hideMark/>
          </w:tcPr>
          <w:p w14:paraId="675B0C45" w14:textId="77777777" w:rsidR="00F22587" w:rsidRPr="000E5DBF" w:rsidRDefault="00F22587" w:rsidP="008A5C11">
            <w:pPr>
              <w:jc w:val="center"/>
              <w:rPr>
                <w:color w:val="000000"/>
                <w:sz w:val="16"/>
                <w:szCs w:val="16"/>
              </w:rPr>
            </w:pPr>
            <w:r w:rsidRPr="000E5DBF">
              <w:rPr>
                <w:color w:val="000000"/>
                <w:sz w:val="16"/>
                <w:szCs w:val="16"/>
              </w:rPr>
              <w:t>0</w:t>
            </w:r>
          </w:p>
        </w:tc>
        <w:tc>
          <w:tcPr>
            <w:tcW w:w="576" w:type="dxa"/>
            <w:tcBorders>
              <w:top w:val="nil"/>
              <w:left w:val="nil"/>
              <w:bottom w:val="single" w:sz="4" w:space="0" w:color="auto"/>
              <w:right w:val="single" w:sz="4" w:space="0" w:color="auto"/>
            </w:tcBorders>
            <w:shd w:val="clear" w:color="auto" w:fill="auto"/>
            <w:noWrap/>
            <w:vAlign w:val="bottom"/>
            <w:hideMark/>
          </w:tcPr>
          <w:p w14:paraId="2AF29560" w14:textId="77777777" w:rsidR="00F22587" w:rsidRPr="000E5DBF" w:rsidRDefault="00F22587" w:rsidP="008A5C11">
            <w:pPr>
              <w:jc w:val="center"/>
              <w:rPr>
                <w:color w:val="000000"/>
                <w:sz w:val="16"/>
                <w:szCs w:val="16"/>
              </w:rPr>
            </w:pPr>
            <w:r w:rsidRPr="000E5DBF">
              <w:rPr>
                <w:color w:val="000000"/>
                <w:sz w:val="16"/>
                <w:szCs w:val="16"/>
              </w:rPr>
              <w:t>0</w:t>
            </w:r>
          </w:p>
        </w:tc>
        <w:tc>
          <w:tcPr>
            <w:tcW w:w="576" w:type="dxa"/>
            <w:tcBorders>
              <w:top w:val="nil"/>
              <w:left w:val="nil"/>
              <w:bottom w:val="single" w:sz="4" w:space="0" w:color="auto"/>
              <w:right w:val="single" w:sz="4" w:space="0" w:color="auto"/>
            </w:tcBorders>
            <w:shd w:val="clear" w:color="auto" w:fill="auto"/>
            <w:noWrap/>
            <w:vAlign w:val="bottom"/>
            <w:hideMark/>
          </w:tcPr>
          <w:p w14:paraId="37594357" w14:textId="77777777" w:rsidR="00F22587" w:rsidRPr="000E5DBF" w:rsidRDefault="00F22587" w:rsidP="008A5C11">
            <w:pPr>
              <w:jc w:val="center"/>
              <w:rPr>
                <w:color w:val="000000"/>
                <w:sz w:val="16"/>
                <w:szCs w:val="16"/>
              </w:rPr>
            </w:pPr>
            <w:r w:rsidRPr="000E5DBF">
              <w:rPr>
                <w:color w:val="000000"/>
                <w:sz w:val="16"/>
                <w:szCs w:val="16"/>
              </w:rPr>
              <w:t>0</w:t>
            </w:r>
          </w:p>
        </w:tc>
        <w:tc>
          <w:tcPr>
            <w:tcW w:w="576" w:type="dxa"/>
            <w:tcBorders>
              <w:top w:val="nil"/>
              <w:left w:val="nil"/>
              <w:bottom w:val="single" w:sz="4" w:space="0" w:color="auto"/>
              <w:right w:val="single" w:sz="4" w:space="0" w:color="auto"/>
            </w:tcBorders>
            <w:shd w:val="clear" w:color="auto" w:fill="auto"/>
            <w:noWrap/>
            <w:vAlign w:val="bottom"/>
            <w:hideMark/>
          </w:tcPr>
          <w:p w14:paraId="767934AC" w14:textId="77777777" w:rsidR="00F22587" w:rsidRPr="000E5DBF" w:rsidRDefault="00F22587" w:rsidP="008A5C11">
            <w:pPr>
              <w:jc w:val="center"/>
              <w:rPr>
                <w:color w:val="000000"/>
                <w:sz w:val="16"/>
                <w:szCs w:val="16"/>
              </w:rPr>
            </w:pPr>
            <w:r w:rsidRPr="000E5DBF">
              <w:rPr>
                <w:color w:val="000000"/>
                <w:sz w:val="16"/>
                <w:szCs w:val="16"/>
              </w:rPr>
              <w:t>0</w:t>
            </w:r>
          </w:p>
        </w:tc>
        <w:tc>
          <w:tcPr>
            <w:tcW w:w="576" w:type="dxa"/>
            <w:tcBorders>
              <w:top w:val="nil"/>
              <w:left w:val="nil"/>
              <w:bottom w:val="single" w:sz="4" w:space="0" w:color="auto"/>
              <w:right w:val="single" w:sz="4" w:space="0" w:color="auto"/>
            </w:tcBorders>
            <w:shd w:val="clear" w:color="auto" w:fill="auto"/>
            <w:noWrap/>
            <w:vAlign w:val="bottom"/>
            <w:hideMark/>
          </w:tcPr>
          <w:p w14:paraId="22E6A30C" w14:textId="77777777" w:rsidR="00F22587" w:rsidRPr="000E5DBF" w:rsidRDefault="00F22587" w:rsidP="008A5C11">
            <w:pPr>
              <w:jc w:val="center"/>
              <w:rPr>
                <w:color w:val="000000"/>
                <w:sz w:val="16"/>
                <w:szCs w:val="16"/>
              </w:rPr>
            </w:pPr>
            <w:r w:rsidRPr="000E5DBF">
              <w:rPr>
                <w:color w:val="000000"/>
                <w:sz w:val="16"/>
                <w:szCs w:val="16"/>
              </w:rPr>
              <w:t>0</w:t>
            </w:r>
          </w:p>
        </w:tc>
        <w:tc>
          <w:tcPr>
            <w:tcW w:w="576" w:type="dxa"/>
            <w:tcBorders>
              <w:top w:val="nil"/>
              <w:left w:val="nil"/>
              <w:bottom w:val="single" w:sz="4" w:space="0" w:color="auto"/>
              <w:right w:val="single" w:sz="4" w:space="0" w:color="auto"/>
            </w:tcBorders>
            <w:shd w:val="clear" w:color="auto" w:fill="auto"/>
            <w:noWrap/>
            <w:vAlign w:val="bottom"/>
            <w:hideMark/>
          </w:tcPr>
          <w:p w14:paraId="0509C0E1" w14:textId="77777777" w:rsidR="00F22587" w:rsidRPr="000E5DBF" w:rsidRDefault="00F22587" w:rsidP="008A5C11">
            <w:pPr>
              <w:jc w:val="center"/>
              <w:rPr>
                <w:color w:val="000000"/>
                <w:sz w:val="16"/>
                <w:szCs w:val="16"/>
              </w:rPr>
            </w:pPr>
            <w:r w:rsidRPr="000E5DBF">
              <w:rPr>
                <w:color w:val="000000"/>
                <w:sz w:val="16"/>
                <w:szCs w:val="16"/>
              </w:rPr>
              <w:t>0</w:t>
            </w:r>
          </w:p>
        </w:tc>
        <w:tc>
          <w:tcPr>
            <w:tcW w:w="576" w:type="dxa"/>
            <w:tcBorders>
              <w:top w:val="nil"/>
              <w:left w:val="nil"/>
              <w:bottom w:val="single" w:sz="4" w:space="0" w:color="auto"/>
              <w:right w:val="single" w:sz="4" w:space="0" w:color="auto"/>
            </w:tcBorders>
            <w:shd w:val="clear" w:color="auto" w:fill="auto"/>
            <w:noWrap/>
            <w:vAlign w:val="bottom"/>
            <w:hideMark/>
          </w:tcPr>
          <w:p w14:paraId="62393015" w14:textId="77777777" w:rsidR="00F22587" w:rsidRPr="000E5DBF" w:rsidRDefault="00F22587" w:rsidP="008A5C11">
            <w:pPr>
              <w:jc w:val="center"/>
              <w:rPr>
                <w:color w:val="000000"/>
                <w:sz w:val="16"/>
                <w:szCs w:val="16"/>
              </w:rPr>
            </w:pPr>
            <w:r w:rsidRPr="000E5DBF">
              <w:rPr>
                <w:color w:val="000000"/>
                <w:sz w:val="16"/>
                <w:szCs w:val="16"/>
              </w:rPr>
              <w:t>0</w:t>
            </w:r>
          </w:p>
        </w:tc>
        <w:tc>
          <w:tcPr>
            <w:tcW w:w="576" w:type="dxa"/>
            <w:tcBorders>
              <w:top w:val="nil"/>
              <w:left w:val="nil"/>
              <w:bottom w:val="single" w:sz="4" w:space="0" w:color="auto"/>
              <w:right w:val="single" w:sz="4" w:space="0" w:color="auto"/>
            </w:tcBorders>
            <w:shd w:val="clear" w:color="auto" w:fill="auto"/>
            <w:noWrap/>
            <w:vAlign w:val="bottom"/>
            <w:hideMark/>
          </w:tcPr>
          <w:p w14:paraId="46F6863F" w14:textId="77777777" w:rsidR="00F22587" w:rsidRPr="000E5DBF" w:rsidRDefault="00F22587" w:rsidP="008A5C11">
            <w:pPr>
              <w:jc w:val="center"/>
              <w:rPr>
                <w:color w:val="000000"/>
                <w:sz w:val="16"/>
                <w:szCs w:val="16"/>
              </w:rPr>
            </w:pPr>
            <w:r w:rsidRPr="000E5DBF">
              <w:rPr>
                <w:color w:val="000000"/>
                <w:sz w:val="16"/>
                <w:szCs w:val="16"/>
              </w:rPr>
              <w:t>0</w:t>
            </w:r>
          </w:p>
        </w:tc>
        <w:tc>
          <w:tcPr>
            <w:tcW w:w="576" w:type="dxa"/>
            <w:tcBorders>
              <w:top w:val="nil"/>
              <w:left w:val="nil"/>
              <w:bottom w:val="single" w:sz="4" w:space="0" w:color="auto"/>
              <w:right w:val="single" w:sz="4" w:space="0" w:color="auto"/>
            </w:tcBorders>
            <w:shd w:val="clear" w:color="auto" w:fill="auto"/>
            <w:noWrap/>
            <w:vAlign w:val="bottom"/>
            <w:hideMark/>
          </w:tcPr>
          <w:p w14:paraId="7A88F8F3" w14:textId="77777777" w:rsidR="00F22587" w:rsidRPr="000E5DBF" w:rsidRDefault="00F22587" w:rsidP="008A5C11">
            <w:pPr>
              <w:jc w:val="center"/>
              <w:rPr>
                <w:color w:val="000000"/>
                <w:sz w:val="16"/>
                <w:szCs w:val="16"/>
              </w:rPr>
            </w:pPr>
            <w:r w:rsidRPr="000E5DBF">
              <w:rPr>
                <w:color w:val="000000"/>
                <w:sz w:val="16"/>
                <w:szCs w:val="16"/>
              </w:rPr>
              <w:t>0</w:t>
            </w:r>
          </w:p>
        </w:tc>
        <w:tc>
          <w:tcPr>
            <w:tcW w:w="576" w:type="dxa"/>
            <w:tcBorders>
              <w:top w:val="nil"/>
              <w:left w:val="nil"/>
              <w:bottom w:val="single" w:sz="4" w:space="0" w:color="auto"/>
              <w:right w:val="single" w:sz="4" w:space="0" w:color="auto"/>
            </w:tcBorders>
            <w:shd w:val="clear" w:color="auto" w:fill="auto"/>
            <w:noWrap/>
            <w:vAlign w:val="bottom"/>
            <w:hideMark/>
          </w:tcPr>
          <w:p w14:paraId="73C368DA" w14:textId="77777777" w:rsidR="00F22587" w:rsidRPr="000E5DBF" w:rsidRDefault="00F22587" w:rsidP="008A5C11">
            <w:pPr>
              <w:jc w:val="center"/>
              <w:rPr>
                <w:color w:val="000000"/>
                <w:sz w:val="16"/>
                <w:szCs w:val="16"/>
              </w:rPr>
            </w:pPr>
            <w:r w:rsidRPr="000E5DBF">
              <w:rPr>
                <w:color w:val="000000"/>
                <w:sz w:val="16"/>
                <w:szCs w:val="16"/>
              </w:rPr>
              <w:t>0</w:t>
            </w:r>
          </w:p>
        </w:tc>
        <w:tc>
          <w:tcPr>
            <w:tcW w:w="628" w:type="dxa"/>
            <w:tcBorders>
              <w:top w:val="nil"/>
              <w:left w:val="nil"/>
              <w:bottom w:val="single" w:sz="4" w:space="0" w:color="auto"/>
              <w:right w:val="single" w:sz="4" w:space="0" w:color="auto"/>
            </w:tcBorders>
            <w:shd w:val="clear" w:color="auto" w:fill="auto"/>
            <w:noWrap/>
            <w:vAlign w:val="bottom"/>
            <w:hideMark/>
          </w:tcPr>
          <w:p w14:paraId="2A9A66A9" w14:textId="77777777" w:rsidR="00F22587" w:rsidRPr="000E5DBF" w:rsidRDefault="00F22587" w:rsidP="008A5C11">
            <w:pPr>
              <w:jc w:val="center"/>
              <w:rPr>
                <w:color w:val="000000"/>
                <w:sz w:val="16"/>
                <w:szCs w:val="16"/>
              </w:rPr>
            </w:pPr>
            <w:r w:rsidRPr="000E5DBF">
              <w:rPr>
                <w:color w:val="000000"/>
                <w:sz w:val="16"/>
                <w:szCs w:val="16"/>
              </w:rPr>
              <w:t>0</w:t>
            </w:r>
          </w:p>
        </w:tc>
        <w:tc>
          <w:tcPr>
            <w:tcW w:w="709" w:type="dxa"/>
            <w:tcBorders>
              <w:top w:val="nil"/>
              <w:left w:val="nil"/>
              <w:bottom w:val="single" w:sz="4" w:space="0" w:color="auto"/>
              <w:right w:val="single" w:sz="4" w:space="0" w:color="auto"/>
            </w:tcBorders>
            <w:shd w:val="clear" w:color="auto" w:fill="auto"/>
            <w:noWrap/>
            <w:vAlign w:val="bottom"/>
            <w:hideMark/>
          </w:tcPr>
          <w:p w14:paraId="006137CB" w14:textId="77777777" w:rsidR="00F22587" w:rsidRPr="000E5DBF" w:rsidRDefault="00F22587" w:rsidP="008A5C11">
            <w:pPr>
              <w:jc w:val="center"/>
              <w:rPr>
                <w:color w:val="000000"/>
                <w:sz w:val="16"/>
                <w:szCs w:val="16"/>
              </w:rPr>
            </w:pPr>
            <w:r w:rsidRPr="000E5DBF">
              <w:rPr>
                <w:color w:val="000000"/>
                <w:sz w:val="16"/>
                <w:szCs w:val="16"/>
              </w:rPr>
              <w:t>6,64</w:t>
            </w:r>
          </w:p>
        </w:tc>
        <w:tc>
          <w:tcPr>
            <w:tcW w:w="425" w:type="dxa"/>
            <w:tcBorders>
              <w:top w:val="nil"/>
              <w:left w:val="nil"/>
              <w:bottom w:val="single" w:sz="4" w:space="0" w:color="auto"/>
              <w:right w:val="single" w:sz="4" w:space="0" w:color="auto"/>
            </w:tcBorders>
            <w:shd w:val="clear" w:color="auto" w:fill="auto"/>
            <w:noWrap/>
            <w:vAlign w:val="bottom"/>
            <w:hideMark/>
          </w:tcPr>
          <w:p w14:paraId="2CA6046B" w14:textId="77777777" w:rsidR="00F22587" w:rsidRPr="000E5DBF" w:rsidRDefault="00F22587" w:rsidP="008A5C11">
            <w:pPr>
              <w:jc w:val="center"/>
              <w:rPr>
                <w:color w:val="000000"/>
                <w:sz w:val="16"/>
                <w:szCs w:val="16"/>
              </w:rPr>
            </w:pPr>
            <w:r w:rsidRPr="000E5DBF">
              <w:rPr>
                <w:color w:val="000000"/>
                <w:sz w:val="16"/>
                <w:szCs w:val="16"/>
              </w:rPr>
              <w:t>6,64</w:t>
            </w:r>
          </w:p>
        </w:tc>
        <w:tc>
          <w:tcPr>
            <w:tcW w:w="425" w:type="dxa"/>
            <w:tcBorders>
              <w:top w:val="nil"/>
              <w:left w:val="nil"/>
              <w:bottom w:val="single" w:sz="4" w:space="0" w:color="auto"/>
              <w:right w:val="single" w:sz="4" w:space="0" w:color="auto"/>
            </w:tcBorders>
            <w:shd w:val="clear" w:color="auto" w:fill="auto"/>
            <w:noWrap/>
            <w:vAlign w:val="bottom"/>
            <w:hideMark/>
          </w:tcPr>
          <w:p w14:paraId="78045403" w14:textId="77777777" w:rsidR="00F22587" w:rsidRPr="000E5DBF" w:rsidRDefault="00F22587" w:rsidP="008A5C11">
            <w:pPr>
              <w:jc w:val="center"/>
              <w:rPr>
                <w:color w:val="000000"/>
                <w:sz w:val="16"/>
                <w:szCs w:val="16"/>
              </w:rPr>
            </w:pPr>
            <w:r w:rsidRPr="000E5DBF">
              <w:rPr>
                <w:color w:val="000000"/>
                <w:sz w:val="16"/>
                <w:szCs w:val="16"/>
              </w:rPr>
              <w:t>6,64</w:t>
            </w:r>
          </w:p>
        </w:tc>
        <w:tc>
          <w:tcPr>
            <w:tcW w:w="425" w:type="dxa"/>
            <w:tcBorders>
              <w:top w:val="nil"/>
              <w:left w:val="nil"/>
              <w:bottom w:val="single" w:sz="4" w:space="0" w:color="auto"/>
              <w:right w:val="single" w:sz="4" w:space="0" w:color="auto"/>
            </w:tcBorders>
            <w:shd w:val="clear" w:color="auto" w:fill="auto"/>
            <w:noWrap/>
            <w:vAlign w:val="bottom"/>
            <w:hideMark/>
          </w:tcPr>
          <w:p w14:paraId="5917E8D4" w14:textId="77777777" w:rsidR="00F22587" w:rsidRPr="000E5DBF" w:rsidRDefault="00F22587" w:rsidP="008A5C11">
            <w:pPr>
              <w:jc w:val="center"/>
              <w:rPr>
                <w:color w:val="000000"/>
                <w:sz w:val="16"/>
                <w:szCs w:val="16"/>
              </w:rPr>
            </w:pPr>
            <w:r w:rsidRPr="000E5DBF">
              <w:rPr>
                <w:color w:val="000000"/>
                <w:sz w:val="16"/>
                <w:szCs w:val="16"/>
              </w:rPr>
              <w:t>6,64</w:t>
            </w:r>
          </w:p>
        </w:tc>
        <w:tc>
          <w:tcPr>
            <w:tcW w:w="426" w:type="dxa"/>
            <w:tcBorders>
              <w:top w:val="nil"/>
              <w:left w:val="nil"/>
              <w:bottom w:val="single" w:sz="4" w:space="0" w:color="auto"/>
              <w:right w:val="single" w:sz="4" w:space="0" w:color="auto"/>
            </w:tcBorders>
            <w:shd w:val="clear" w:color="auto" w:fill="auto"/>
            <w:noWrap/>
            <w:vAlign w:val="bottom"/>
            <w:hideMark/>
          </w:tcPr>
          <w:p w14:paraId="054C0308" w14:textId="77777777" w:rsidR="00F22587" w:rsidRPr="000E5DBF" w:rsidRDefault="00F22587" w:rsidP="008A5C11">
            <w:pPr>
              <w:jc w:val="center"/>
              <w:rPr>
                <w:color w:val="000000"/>
                <w:sz w:val="16"/>
                <w:szCs w:val="16"/>
              </w:rPr>
            </w:pPr>
            <w:r w:rsidRPr="000E5DBF">
              <w:rPr>
                <w:color w:val="000000"/>
                <w:sz w:val="16"/>
                <w:szCs w:val="16"/>
              </w:rPr>
              <w:t>6,64</w:t>
            </w:r>
          </w:p>
        </w:tc>
        <w:tc>
          <w:tcPr>
            <w:tcW w:w="425" w:type="dxa"/>
            <w:tcBorders>
              <w:top w:val="nil"/>
              <w:left w:val="nil"/>
              <w:bottom w:val="single" w:sz="4" w:space="0" w:color="auto"/>
              <w:right w:val="single" w:sz="4" w:space="0" w:color="auto"/>
            </w:tcBorders>
            <w:shd w:val="clear" w:color="auto" w:fill="auto"/>
            <w:noWrap/>
            <w:vAlign w:val="bottom"/>
            <w:hideMark/>
          </w:tcPr>
          <w:p w14:paraId="501D009A" w14:textId="77777777" w:rsidR="00F22587" w:rsidRPr="000E5DBF" w:rsidRDefault="00F22587" w:rsidP="008A5C11">
            <w:pPr>
              <w:jc w:val="center"/>
              <w:rPr>
                <w:color w:val="000000"/>
                <w:sz w:val="16"/>
                <w:szCs w:val="16"/>
              </w:rPr>
            </w:pPr>
            <w:r w:rsidRPr="000E5DBF">
              <w:rPr>
                <w:color w:val="000000"/>
                <w:sz w:val="16"/>
                <w:szCs w:val="16"/>
              </w:rPr>
              <w:t>6,64</w:t>
            </w:r>
          </w:p>
        </w:tc>
        <w:tc>
          <w:tcPr>
            <w:tcW w:w="425" w:type="dxa"/>
            <w:tcBorders>
              <w:top w:val="nil"/>
              <w:left w:val="nil"/>
              <w:bottom w:val="single" w:sz="4" w:space="0" w:color="auto"/>
              <w:right w:val="single" w:sz="4" w:space="0" w:color="auto"/>
            </w:tcBorders>
            <w:shd w:val="clear" w:color="auto" w:fill="auto"/>
            <w:noWrap/>
            <w:vAlign w:val="bottom"/>
            <w:hideMark/>
          </w:tcPr>
          <w:p w14:paraId="03AD04B7" w14:textId="77777777" w:rsidR="00F22587" w:rsidRPr="000E5DBF" w:rsidRDefault="00F22587" w:rsidP="008A5C11">
            <w:pPr>
              <w:jc w:val="center"/>
              <w:rPr>
                <w:color w:val="000000"/>
                <w:sz w:val="16"/>
                <w:szCs w:val="16"/>
              </w:rPr>
            </w:pPr>
            <w:r w:rsidRPr="000E5DBF">
              <w:rPr>
                <w:color w:val="000000"/>
                <w:sz w:val="16"/>
                <w:szCs w:val="16"/>
              </w:rPr>
              <w:t>6,64</w:t>
            </w:r>
          </w:p>
        </w:tc>
        <w:tc>
          <w:tcPr>
            <w:tcW w:w="425" w:type="dxa"/>
            <w:tcBorders>
              <w:top w:val="nil"/>
              <w:left w:val="nil"/>
              <w:bottom w:val="single" w:sz="4" w:space="0" w:color="auto"/>
              <w:right w:val="single" w:sz="4" w:space="0" w:color="auto"/>
            </w:tcBorders>
            <w:shd w:val="clear" w:color="auto" w:fill="auto"/>
            <w:noWrap/>
            <w:vAlign w:val="bottom"/>
            <w:hideMark/>
          </w:tcPr>
          <w:p w14:paraId="1F9AA21F" w14:textId="77777777" w:rsidR="00F22587" w:rsidRPr="000E5DBF" w:rsidRDefault="00F22587" w:rsidP="008A5C11">
            <w:pPr>
              <w:jc w:val="center"/>
              <w:rPr>
                <w:color w:val="000000"/>
                <w:sz w:val="16"/>
                <w:szCs w:val="16"/>
              </w:rPr>
            </w:pPr>
            <w:r w:rsidRPr="000E5DBF">
              <w:rPr>
                <w:color w:val="000000"/>
                <w:sz w:val="16"/>
                <w:szCs w:val="16"/>
              </w:rPr>
              <w:t>6,64</w:t>
            </w:r>
          </w:p>
        </w:tc>
        <w:tc>
          <w:tcPr>
            <w:tcW w:w="426" w:type="dxa"/>
            <w:tcBorders>
              <w:top w:val="nil"/>
              <w:left w:val="nil"/>
              <w:bottom w:val="single" w:sz="4" w:space="0" w:color="auto"/>
              <w:right w:val="single" w:sz="4" w:space="0" w:color="auto"/>
            </w:tcBorders>
            <w:shd w:val="clear" w:color="auto" w:fill="auto"/>
            <w:noWrap/>
            <w:vAlign w:val="bottom"/>
            <w:hideMark/>
          </w:tcPr>
          <w:p w14:paraId="0A4A373D" w14:textId="77777777" w:rsidR="00F22587" w:rsidRPr="000E5DBF" w:rsidRDefault="00F22587" w:rsidP="008A5C11">
            <w:pPr>
              <w:jc w:val="center"/>
              <w:rPr>
                <w:color w:val="000000"/>
                <w:sz w:val="16"/>
                <w:szCs w:val="16"/>
              </w:rPr>
            </w:pPr>
            <w:r w:rsidRPr="000E5DBF">
              <w:rPr>
                <w:color w:val="000000"/>
                <w:sz w:val="16"/>
                <w:szCs w:val="16"/>
              </w:rPr>
              <w:t>6,64</w:t>
            </w:r>
          </w:p>
        </w:tc>
        <w:tc>
          <w:tcPr>
            <w:tcW w:w="425" w:type="dxa"/>
            <w:tcBorders>
              <w:top w:val="nil"/>
              <w:left w:val="nil"/>
              <w:bottom w:val="single" w:sz="4" w:space="0" w:color="auto"/>
              <w:right w:val="single" w:sz="4" w:space="0" w:color="auto"/>
            </w:tcBorders>
            <w:shd w:val="clear" w:color="auto" w:fill="auto"/>
            <w:noWrap/>
            <w:vAlign w:val="bottom"/>
            <w:hideMark/>
          </w:tcPr>
          <w:p w14:paraId="5C35C692" w14:textId="77777777" w:rsidR="00F22587" w:rsidRPr="000E5DBF" w:rsidRDefault="00F22587" w:rsidP="008A5C11">
            <w:pPr>
              <w:jc w:val="center"/>
              <w:rPr>
                <w:color w:val="000000"/>
                <w:sz w:val="16"/>
                <w:szCs w:val="16"/>
              </w:rPr>
            </w:pPr>
            <w:r w:rsidRPr="000E5DBF">
              <w:rPr>
                <w:color w:val="000000"/>
                <w:sz w:val="16"/>
                <w:szCs w:val="16"/>
              </w:rPr>
              <w:t>6,64</w:t>
            </w:r>
          </w:p>
        </w:tc>
        <w:tc>
          <w:tcPr>
            <w:tcW w:w="425" w:type="dxa"/>
            <w:tcBorders>
              <w:top w:val="nil"/>
              <w:left w:val="nil"/>
              <w:bottom w:val="single" w:sz="4" w:space="0" w:color="auto"/>
              <w:right w:val="single" w:sz="4" w:space="0" w:color="auto"/>
            </w:tcBorders>
            <w:shd w:val="clear" w:color="auto" w:fill="auto"/>
            <w:noWrap/>
            <w:vAlign w:val="bottom"/>
            <w:hideMark/>
          </w:tcPr>
          <w:p w14:paraId="160FBDB6" w14:textId="77777777" w:rsidR="00F22587" w:rsidRPr="000E5DBF" w:rsidRDefault="00F22587" w:rsidP="008A5C11">
            <w:pPr>
              <w:jc w:val="center"/>
              <w:rPr>
                <w:color w:val="000000"/>
                <w:sz w:val="16"/>
                <w:szCs w:val="16"/>
              </w:rPr>
            </w:pPr>
            <w:r w:rsidRPr="000E5DBF">
              <w:rPr>
                <w:color w:val="000000"/>
                <w:sz w:val="16"/>
                <w:szCs w:val="16"/>
              </w:rPr>
              <w:t>6,64</w:t>
            </w:r>
          </w:p>
        </w:tc>
        <w:tc>
          <w:tcPr>
            <w:tcW w:w="425" w:type="dxa"/>
            <w:tcBorders>
              <w:top w:val="nil"/>
              <w:left w:val="nil"/>
              <w:bottom w:val="single" w:sz="4" w:space="0" w:color="auto"/>
              <w:right w:val="single" w:sz="4" w:space="0" w:color="auto"/>
            </w:tcBorders>
            <w:shd w:val="clear" w:color="auto" w:fill="auto"/>
            <w:noWrap/>
            <w:vAlign w:val="bottom"/>
            <w:hideMark/>
          </w:tcPr>
          <w:p w14:paraId="74EDAD74" w14:textId="77777777" w:rsidR="00F22587" w:rsidRPr="000E5DBF" w:rsidRDefault="00F22587" w:rsidP="008A5C11">
            <w:pPr>
              <w:jc w:val="center"/>
              <w:rPr>
                <w:color w:val="000000"/>
                <w:sz w:val="16"/>
                <w:szCs w:val="16"/>
              </w:rPr>
            </w:pPr>
            <w:r w:rsidRPr="000E5DBF">
              <w:rPr>
                <w:color w:val="000000"/>
                <w:sz w:val="16"/>
                <w:szCs w:val="16"/>
              </w:rPr>
              <w:t>6,64</w:t>
            </w:r>
          </w:p>
        </w:tc>
        <w:tc>
          <w:tcPr>
            <w:tcW w:w="426" w:type="dxa"/>
            <w:tcBorders>
              <w:top w:val="nil"/>
              <w:left w:val="nil"/>
              <w:bottom w:val="single" w:sz="4" w:space="0" w:color="auto"/>
              <w:right w:val="single" w:sz="4" w:space="0" w:color="auto"/>
            </w:tcBorders>
            <w:shd w:val="clear" w:color="auto" w:fill="auto"/>
            <w:noWrap/>
            <w:vAlign w:val="bottom"/>
            <w:hideMark/>
          </w:tcPr>
          <w:p w14:paraId="5D244023" w14:textId="77777777" w:rsidR="00F22587" w:rsidRPr="000E5DBF" w:rsidRDefault="00F22587" w:rsidP="008A5C11">
            <w:pPr>
              <w:jc w:val="right"/>
              <w:rPr>
                <w:color w:val="000000"/>
                <w:sz w:val="16"/>
                <w:szCs w:val="16"/>
              </w:rPr>
            </w:pPr>
            <w:r w:rsidRPr="000E5DBF">
              <w:rPr>
                <w:color w:val="000000"/>
                <w:sz w:val="16"/>
                <w:szCs w:val="16"/>
              </w:rPr>
              <w:t>3,322</w:t>
            </w:r>
          </w:p>
        </w:tc>
      </w:tr>
    </w:tbl>
    <w:p w14:paraId="475C75D7" w14:textId="77777777" w:rsidR="00F22587" w:rsidRPr="000E5DBF" w:rsidRDefault="00F22587" w:rsidP="00F22587">
      <w:pPr>
        <w:jc w:val="center"/>
        <w:rPr>
          <w:b/>
          <w:bCs/>
          <w:sz w:val="28"/>
          <w:szCs w:val="28"/>
        </w:rPr>
      </w:pPr>
    </w:p>
    <w:p w14:paraId="41219B30" w14:textId="77777777" w:rsidR="00F22587" w:rsidRPr="000E5DBF" w:rsidRDefault="00F22587" w:rsidP="00F22587">
      <w:pPr>
        <w:jc w:val="center"/>
        <w:rPr>
          <w:b/>
          <w:bCs/>
          <w:sz w:val="28"/>
          <w:szCs w:val="28"/>
        </w:rPr>
      </w:pPr>
    </w:p>
    <w:p w14:paraId="414B515C" w14:textId="77777777" w:rsidR="00F22587" w:rsidRPr="000E5DBF" w:rsidRDefault="00F22587" w:rsidP="00F22587">
      <w:pPr>
        <w:jc w:val="center"/>
        <w:rPr>
          <w:b/>
          <w:bCs/>
          <w:sz w:val="28"/>
          <w:szCs w:val="28"/>
        </w:rPr>
      </w:pPr>
    </w:p>
    <w:p w14:paraId="017D16DC" w14:textId="77777777" w:rsidR="00F22587" w:rsidRPr="000E5DBF" w:rsidRDefault="00F22587" w:rsidP="00F22587">
      <w:pPr>
        <w:jc w:val="center"/>
        <w:rPr>
          <w:b/>
          <w:bCs/>
          <w:sz w:val="28"/>
          <w:szCs w:val="28"/>
        </w:rPr>
      </w:pPr>
    </w:p>
    <w:p w14:paraId="36E2A0A2" w14:textId="77777777" w:rsidR="00F22587" w:rsidRPr="000E5DBF" w:rsidRDefault="00F22587" w:rsidP="00F22587">
      <w:pPr>
        <w:jc w:val="center"/>
        <w:rPr>
          <w:b/>
          <w:bCs/>
          <w:sz w:val="28"/>
          <w:szCs w:val="28"/>
        </w:rPr>
      </w:pPr>
    </w:p>
    <w:p w14:paraId="2F392EDC" w14:textId="77777777" w:rsidR="00F22587" w:rsidRPr="000E5DBF" w:rsidRDefault="00F22587" w:rsidP="00F22587">
      <w:pPr>
        <w:jc w:val="center"/>
        <w:rPr>
          <w:b/>
          <w:bCs/>
          <w:sz w:val="28"/>
          <w:szCs w:val="28"/>
        </w:rPr>
      </w:pPr>
    </w:p>
    <w:p w14:paraId="3FC78237" w14:textId="77777777" w:rsidR="00F22587" w:rsidRPr="000E5DBF" w:rsidRDefault="00F22587" w:rsidP="00F22587">
      <w:pPr>
        <w:jc w:val="center"/>
        <w:rPr>
          <w:b/>
          <w:bCs/>
          <w:sz w:val="28"/>
          <w:szCs w:val="28"/>
        </w:rPr>
      </w:pPr>
    </w:p>
    <w:p w14:paraId="63DB5F14" w14:textId="77777777" w:rsidR="00F22587" w:rsidRPr="000E5DBF" w:rsidRDefault="00F22587" w:rsidP="00F22587">
      <w:pPr>
        <w:jc w:val="center"/>
        <w:rPr>
          <w:b/>
          <w:bCs/>
          <w:sz w:val="28"/>
          <w:szCs w:val="28"/>
        </w:rPr>
      </w:pPr>
    </w:p>
    <w:p w14:paraId="71DB8011" w14:textId="77777777" w:rsidR="00F22587" w:rsidRPr="000E5DBF" w:rsidRDefault="00F22587" w:rsidP="00F22587">
      <w:pPr>
        <w:jc w:val="center"/>
        <w:rPr>
          <w:b/>
          <w:bCs/>
          <w:sz w:val="28"/>
          <w:szCs w:val="28"/>
        </w:rPr>
      </w:pPr>
    </w:p>
    <w:p w14:paraId="0CCD0B68" w14:textId="77777777" w:rsidR="00F22587" w:rsidRPr="000E5DBF" w:rsidRDefault="00F22587" w:rsidP="00F22587">
      <w:pPr>
        <w:jc w:val="center"/>
        <w:rPr>
          <w:b/>
          <w:bCs/>
          <w:sz w:val="28"/>
          <w:szCs w:val="28"/>
        </w:rPr>
      </w:pPr>
    </w:p>
    <w:p w14:paraId="313B58BE" w14:textId="77777777" w:rsidR="00F22587" w:rsidRPr="000E5DBF" w:rsidRDefault="00F22587" w:rsidP="00F22587">
      <w:pPr>
        <w:jc w:val="center"/>
        <w:rPr>
          <w:b/>
          <w:bCs/>
          <w:sz w:val="28"/>
          <w:szCs w:val="28"/>
        </w:rPr>
      </w:pPr>
    </w:p>
    <w:p w14:paraId="4CC84132" w14:textId="77777777" w:rsidR="00F22587" w:rsidRPr="000E5DBF" w:rsidRDefault="00F22587" w:rsidP="00F22587">
      <w:pPr>
        <w:jc w:val="center"/>
        <w:rPr>
          <w:b/>
          <w:bCs/>
          <w:sz w:val="28"/>
          <w:szCs w:val="28"/>
        </w:rPr>
      </w:pPr>
    </w:p>
    <w:p w14:paraId="397A02A4" w14:textId="77777777" w:rsidR="00F22587" w:rsidRPr="000E5DBF" w:rsidRDefault="00F22587" w:rsidP="00F22587">
      <w:pPr>
        <w:jc w:val="center"/>
        <w:rPr>
          <w:b/>
          <w:bCs/>
          <w:sz w:val="28"/>
          <w:szCs w:val="28"/>
        </w:rPr>
      </w:pPr>
      <w:r w:rsidRPr="000E5DBF">
        <w:rPr>
          <w:b/>
          <w:bCs/>
          <w:sz w:val="28"/>
          <w:szCs w:val="28"/>
        </w:rPr>
        <w:t xml:space="preserve">Показатели энергетической эффективности объектов теплоснабжения ООО «Управление котельных и тепловых сетей» </w:t>
      </w:r>
    </w:p>
    <w:p w14:paraId="18C42180" w14:textId="77777777" w:rsidR="00F22587" w:rsidRPr="000E5DBF" w:rsidRDefault="00F22587" w:rsidP="00F22587">
      <w:pPr>
        <w:jc w:val="center"/>
        <w:rPr>
          <w:b/>
          <w:bCs/>
          <w:sz w:val="28"/>
          <w:szCs w:val="28"/>
        </w:rPr>
      </w:pPr>
      <w:r w:rsidRPr="000E5DBF">
        <w:rPr>
          <w:b/>
          <w:bCs/>
          <w:sz w:val="28"/>
          <w:szCs w:val="28"/>
        </w:rPr>
        <w:t>(г. Гурьевск)</w:t>
      </w:r>
    </w:p>
    <w:p w14:paraId="3745EFC3" w14:textId="77777777" w:rsidR="00F22587" w:rsidRPr="000E5DBF" w:rsidRDefault="00F22587" w:rsidP="00F22587">
      <w:pPr>
        <w:jc w:val="center"/>
        <w:rPr>
          <w:b/>
          <w:bCs/>
          <w:sz w:val="16"/>
          <w:szCs w:val="16"/>
        </w:rPr>
      </w:pPr>
    </w:p>
    <w:tbl>
      <w:tblPr>
        <w:tblW w:w="15366" w:type="dxa"/>
        <w:tblInd w:w="113" w:type="dxa"/>
        <w:tblLayout w:type="fixed"/>
        <w:tblCellMar>
          <w:left w:w="28" w:type="dxa"/>
          <w:right w:w="28" w:type="dxa"/>
        </w:tblCellMar>
        <w:tblLook w:val="04A0" w:firstRow="1" w:lastRow="0" w:firstColumn="1" w:lastColumn="0" w:noHBand="0" w:noVBand="1"/>
      </w:tblPr>
      <w:tblGrid>
        <w:gridCol w:w="432"/>
        <w:gridCol w:w="3452"/>
        <w:gridCol w:w="1418"/>
        <w:gridCol w:w="850"/>
        <w:gridCol w:w="851"/>
        <w:gridCol w:w="850"/>
        <w:gridCol w:w="851"/>
        <w:gridCol w:w="850"/>
        <w:gridCol w:w="851"/>
        <w:gridCol w:w="850"/>
        <w:gridCol w:w="851"/>
        <w:gridCol w:w="850"/>
        <w:gridCol w:w="851"/>
        <w:gridCol w:w="850"/>
        <w:gridCol w:w="709"/>
      </w:tblGrid>
      <w:tr w:rsidR="00F22587" w:rsidRPr="000E5DBF" w14:paraId="76126174" w14:textId="77777777" w:rsidTr="008A5C11">
        <w:trPr>
          <w:trHeight w:val="60"/>
        </w:trPr>
        <w:tc>
          <w:tcPr>
            <w:tcW w:w="43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10BD187" w14:textId="77777777" w:rsidR="00F22587" w:rsidRPr="000E5DBF" w:rsidRDefault="00F22587" w:rsidP="008A5C11">
            <w:pPr>
              <w:jc w:val="center"/>
              <w:rPr>
                <w:color w:val="000000"/>
                <w:sz w:val="16"/>
                <w:szCs w:val="16"/>
              </w:rPr>
            </w:pPr>
            <w:r w:rsidRPr="000E5DBF">
              <w:rPr>
                <w:color w:val="000000"/>
                <w:sz w:val="16"/>
                <w:szCs w:val="16"/>
              </w:rPr>
              <w:t>№ п/п</w:t>
            </w:r>
          </w:p>
        </w:tc>
        <w:tc>
          <w:tcPr>
            <w:tcW w:w="345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D71D8AD" w14:textId="77777777" w:rsidR="00F22587" w:rsidRPr="000E5DBF" w:rsidRDefault="00F22587" w:rsidP="008A5C11">
            <w:pPr>
              <w:jc w:val="center"/>
              <w:rPr>
                <w:color w:val="000000"/>
                <w:sz w:val="16"/>
                <w:szCs w:val="16"/>
              </w:rPr>
            </w:pPr>
            <w:r w:rsidRPr="000E5DBF">
              <w:rPr>
                <w:color w:val="000000"/>
                <w:sz w:val="16"/>
                <w:szCs w:val="16"/>
              </w:rPr>
              <w:t>Наименование объекта</w:t>
            </w:r>
          </w:p>
        </w:tc>
        <w:tc>
          <w:tcPr>
            <w:tcW w:w="11482" w:type="dxa"/>
            <w:gridSpan w:val="13"/>
            <w:tcBorders>
              <w:top w:val="single" w:sz="4" w:space="0" w:color="auto"/>
              <w:left w:val="nil"/>
              <w:bottom w:val="single" w:sz="4" w:space="0" w:color="auto"/>
              <w:right w:val="single" w:sz="4" w:space="0" w:color="auto"/>
            </w:tcBorders>
            <w:shd w:val="clear" w:color="000000" w:fill="FFFFFF"/>
            <w:vAlign w:val="center"/>
            <w:hideMark/>
          </w:tcPr>
          <w:p w14:paraId="639213E7" w14:textId="77777777" w:rsidR="00F22587" w:rsidRPr="000E5DBF" w:rsidRDefault="00F22587" w:rsidP="008A5C11">
            <w:pPr>
              <w:jc w:val="center"/>
              <w:rPr>
                <w:color w:val="000000"/>
                <w:sz w:val="16"/>
                <w:szCs w:val="16"/>
              </w:rPr>
            </w:pPr>
            <w:r w:rsidRPr="000E5DBF">
              <w:rPr>
                <w:color w:val="000000"/>
                <w:sz w:val="16"/>
                <w:szCs w:val="16"/>
              </w:rPr>
              <w:t>Показатели энергетической эффективности</w:t>
            </w:r>
          </w:p>
        </w:tc>
      </w:tr>
      <w:tr w:rsidR="00F22587" w:rsidRPr="000E5DBF" w14:paraId="1DDED626" w14:textId="77777777" w:rsidTr="008A5C11">
        <w:trPr>
          <w:trHeight w:val="60"/>
        </w:trPr>
        <w:tc>
          <w:tcPr>
            <w:tcW w:w="432" w:type="dxa"/>
            <w:vMerge/>
            <w:tcBorders>
              <w:top w:val="single" w:sz="4" w:space="0" w:color="auto"/>
              <w:left w:val="single" w:sz="4" w:space="0" w:color="auto"/>
              <w:bottom w:val="single" w:sz="4" w:space="0" w:color="auto"/>
              <w:right w:val="single" w:sz="4" w:space="0" w:color="auto"/>
            </w:tcBorders>
            <w:vAlign w:val="center"/>
            <w:hideMark/>
          </w:tcPr>
          <w:p w14:paraId="3A31857E" w14:textId="77777777" w:rsidR="00F22587" w:rsidRPr="000E5DBF" w:rsidRDefault="00F22587" w:rsidP="008A5C11">
            <w:pPr>
              <w:rPr>
                <w:color w:val="000000"/>
                <w:sz w:val="16"/>
                <w:szCs w:val="16"/>
              </w:rPr>
            </w:pPr>
          </w:p>
        </w:tc>
        <w:tc>
          <w:tcPr>
            <w:tcW w:w="3452" w:type="dxa"/>
            <w:vMerge/>
            <w:tcBorders>
              <w:top w:val="single" w:sz="4" w:space="0" w:color="auto"/>
              <w:left w:val="single" w:sz="4" w:space="0" w:color="auto"/>
              <w:bottom w:val="single" w:sz="4" w:space="0" w:color="auto"/>
              <w:right w:val="single" w:sz="4" w:space="0" w:color="auto"/>
            </w:tcBorders>
            <w:vAlign w:val="center"/>
            <w:hideMark/>
          </w:tcPr>
          <w:p w14:paraId="18DB1169" w14:textId="77777777" w:rsidR="00F22587" w:rsidRPr="000E5DBF" w:rsidRDefault="00F22587" w:rsidP="008A5C11">
            <w:pPr>
              <w:rPr>
                <w:color w:val="000000"/>
                <w:sz w:val="16"/>
                <w:szCs w:val="16"/>
              </w:rPr>
            </w:pPr>
          </w:p>
        </w:tc>
        <w:tc>
          <w:tcPr>
            <w:tcW w:w="11482" w:type="dxa"/>
            <w:gridSpan w:val="13"/>
            <w:tcBorders>
              <w:top w:val="single" w:sz="4" w:space="0" w:color="auto"/>
              <w:left w:val="nil"/>
              <w:bottom w:val="single" w:sz="4" w:space="0" w:color="auto"/>
              <w:right w:val="single" w:sz="4" w:space="0" w:color="auto"/>
            </w:tcBorders>
            <w:shd w:val="clear" w:color="000000" w:fill="FFFFFF"/>
            <w:vAlign w:val="center"/>
            <w:hideMark/>
          </w:tcPr>
          <w:p w14:paraId="2737AC6F" w14:textId="77777777" w:rsidR="00F22587" w:rsidRPr="000E5DBF" w:rsidRDefault="00F22587" w:rsidP="008A5C11">
            <w:pPr>
              <w:jc w:val="center"/>
              <w:rPr>
                <w:color w:val="000000"/>
                <w:sz w:val="16"/>
                <w:szCs w:val="16"/>
              </w:rPr>
            </w:pPr>
            <w:r w:rsidRPr="000E5DBF">
              <w:rPr>
                <w:color w:val="000000"/>
                <w:sz w:val="16"/>
                <w:szCs w:val="16"/>
              </w:rPr>
              <w:t>Удельный расход топлива на производство единицы тепловой энергии, отпускаемой с коллекторов источников тепловой энергии</w:t>
            </w:r>
          </w:p>
        </w:tc>
      </w:tr>
      <w:tr w:rsidR="00F22587" w:rsidRPr="000E5DBF" w14:paraId="0237DD78" w14:textId="77777777" w:rsidTr="008A5C11">
        <w:trPr>
          <w:trHeight w:val="60"/>
        </w:trPr>
        <w:tc>
          <w:tcPr>
            <w:tcW w:w="432" w:type="dxa"/>
            <w:vMerge/>
            <w:tcBorders>
              <w:top w:val="single" w:sz="4" w:space="0" w:color="auto"/>
              <w:left w:val="single" w:sz="4" w:space="0" w:color="auto"/>
              <w:bottom w:val="single" w:sz="4" w:space="0" w:color="auto"/>
              <w:right w:val="single" w:sz="4" w:space="0" w:color="auto"/>
            </w:tcBorders>
            <w:vAlign w:val="center"/>
            <w:hideMark/>
          </w:tcPr>
          <w:p w14:paraId="08CA2FA6" w14:textId="77777777" w:rsidR="00F22587" w:rsidRPr="000E5DBF" w:rsidRDefault="00F22587" w:rsidP="008A5C11">
            <w:pPr>
              <w:rPr>
                <w:color w:val="000000"/>
                <w:sz w:val="16"/>
                <w:szCs w:val="16"/>
              </w:rPr>
            </w:pPr>
          </w:p>
        </w:tc>
        <w:tc>
          <w:tcPr>
            <w:tcW w:w="3452" w:type="dxa"/>
            <w:vMerge/>
            <w:tcBorders>
              <w:top w:val="single" w:sz="4" w:space="0" w:color="auto"/>
              <w:left w:val="single" w:sz="4" w:space="0" w:color="auto"/>
              <w:bottom w:val="single" w:sz="4" w:space="0" w:color="auto"/>
              <w:right w:val="single" w:sz="4" w:space="0" w:color="auto"/>
            </w:tcBorders>
            <w:vAlign w:val="center"/>
            <w:hideMark/>
          </w:tcPr>
          <w:p w14:paraId="4F929D7D" w14:textId="77777777" w:rsidR="00F22587" w:rsidRPr="000E5DBF" w:rsidRDefault="00F22587" w:rsidP="008A5C11">
            <w:pPr>
              <w:rPr>
                <w:color w:val="000000"/>
                <w:sz w:val="16"/>
                <w:szCs w:val="16"/>
              </w:rPr>
            </w:pPr>
          </w:p>
        </w:tc>
        <w:tc>
          <w:tcPr>
            <w:tcW w:w="11482" w:type="dxa"/>
            <w:gridSpan w:val="13"/>
            <w:tcBorders>
              <w:top w:val="single" w:sz="4" w:space="0" w:color="auto"/>
              <w:left w:val="nil"/>
              <w:bottom w:val="single" w:sz="4" w:space="0" w:color="auto"/>
              <w:right w:val="single" w:sz="4" w:space="0" w:color="auto"/>
            </w:tcBorders>
            <w:shd w:val="clear" w:color="000000" w:fill="FFFFFF"/>
            <w:vAlign w:val="center"/>
            <w:hideMark/>
          </w:tcPr>
          <w:p w14:paraId="46B0A85D" w14:textId="77777777" w:rsidR="00F22587" w:rsidRPr="000E5DBF" w:rsidRDefault="00F22587" w:rsidP="008A5C11">
            <w:pPr>
              <w:jc w:val="center"/>
              <w:rPr>
                <w:color w:val="000000"/>
                <w:sz w:val="16"/>
                <w:szCs w:val="16"/>
              </w:rPr>
            </w:pPr>
            <w:r w:rsidRPr="000E5DBF">
              <w:rPr>
                <w:color w:val="000000"/>
                <w:sz w:val="16"/>
                <w:szCs w:val="16"/>
              </w:rPr>
              <w:t>(т.у.т/Гкал)</w:t>
            </w:r>
          </w:p>
        </w:tc>
      </w:tr>
      <w:tr w:rsidR="00F22587" w:rsidRPr="000E5DBF" w14:paraId="7148CDC7" w14:textId="77777777" w:rsidTr="008A5C11">
        <w:trPr>
          <w:trHeight w:val="60"/>
        </w:trPr>
        <w:tc>
          <w:tcPr>
            <w:tcW w:w="432" w:type="dxa"/>
            <w:vMerge/>
            <w:tcBorders>
              <w:top w:val="single" w:sz="4" w:space="0" w:color="auto"/>
              <w:left w:val="single" w:sz="4" w:space="0" w:color="auto"/>
              <w:bottom w:val="single" w:sz="4" w:space="0" w:color="auto"/>
              <w:right w:val="single" w:sz="4" w:space="0" w:color="auto"/>
            </w:tcBorders>
            <w:vAlign w:val="center"/>
            <w:hideMark/>
          </w:tcPr>
          <w:p w14:paraId="3437E45D" w14:textId="77777777" w:rsidR="00F22587" w:rsidRPr="000E5DBF" w:rsidRDefault="00F22587" w:rsidP="008A5C11">
            <w:pPr>
              <w:rPr>
                <w:color w:val="000000"/>
                <w:sz w:val="16"/>
                <w:szCs w:val="16"/>
              </w:rPr>
            </w:pPr>
          </w:p>
        </w:tc>
        <w:tc>
          <w:tcPr>
            <w:tcW w:w="3452" w:type="dxa"/>
            <w:vMerge/>
            <w:tcBorders>
              <w:top w:val="single" w:sz="4" w:space="0" w:color="auto"/>
              <w:left w:val="single" w:sz="4" w:space="0" w:color="auto"/>
              <w:bottom w:val="single" w:sz="4" w:space="0" w:color="auto"/>
              <w:right w:val="single" w:sz="4" w:space="0" w:color="auto"/>
            </w:tcBorders>
            <w:vAlign w:val="center"/>
            <w:hideMark/>
          </w:tcPr>
          <w:p w14:paraId="5F409E39" w14:textId="77777777" w:rsidR="00F22587" w:rsidRPr="000E5DBF" w:rsidRDefault="00F22587" w:rsidP="008A5C11">
            <w:pPr>
              <w:rPr>
                <w:color w:val="000000"/>
                <w:sz w:val="16"/>
                <w:szCs w:val="16"/>
              </w:rPr>
            </w:pPr>
          </w:p>
        </w:tc>
        <w:tc>
          <w:tcPr>
            <w:tcW w:w="1418" w:type="dxa"/>
            <w:vMerge w:val="restart"/>
            <w:tcBorders>
              <w:top w:val="nil"/>
              <w:left w:val="nil"/>
              <w:right w:val="single" w:sz="4" w:space="0" w:color="auto"/>
            </w:tcBorders>
            <w:shd w:val="clear" w:color="000000" w:fill="FFFFFF"/>
            <w:vAlign w:val="center"/>
            <w:hideMark/>
          </w:tcPr>
          <w:p w14:paraId="4D02EAC4" w14:textId="77777777" w:rsidR="00F22587" w:rsidRPr="000E5DBF" w:rsidRDefault="00F22587" w:rsidP="008A5C11">
            <w:pPr>
              <w:rPr>
                <w:color w:val="000000"/>
                <w:sz w:val="16"/>
                <w:szCs w:val="16"/>
              </w:rPr>
            </w:pPr>
            <w:r w:rsidRPr="000E5DBF">
              <w:rPr>
                <w:color w:val="000000"/>
                <w:sz w:val="16"/>
                <w:szCs w:val="16"/>
              </w:rPr>
              <w:t>Текущее значение</w:t>
            </w:r>
          </w:p>
        </w:tc>
        <w:tc>
          <w:tcPr>
            <w:tcW w:w="10064" w:type="dxa"/>
            <w:gridSpan w:val="12"/>
            <w:tcBorders>
              <w:top w:val="single" w:sz="4" w:space="0" w:color="auto"/>
              <w:left w:val="nil"/>
              <w:bottom w:val="single" w:sz="4" w:space="0" w:color="auto"/>
              <w:right w:val="single" w:sz="4" w:space="0" w:color="000000"/>
            </w:tcBorders>
            <w:shd w:val="clear" w:color="000000" w:fill="FFFFFF"/>
            <w:vAlign w:val="center"/>
            <w:hideMark/>
          </w:tcPr>
          <w:p w14:paraId="03F536ED" w14:textId="77777777" w:rsidR="00F22587" w:rsidRPr="000E5DBF" w:rsidRDefault="00F22587" w:rsidP="008A5C11">
            <w:pPr>
              <w:jc w:val="center"/>
              <w:rPr>
                <w:color w:val="000000"/>
                <w:sz w:val="16"/>
                <w:szCs w:val="16"/>
              </w:rPr>
            </w:pPr>
            <w:r w:rsidRPr="000E5DBF">
              <w:rPr>
                <w:color w:val="000000"/>
                <w:sz w:val="16"/>
                <w:szCs w:val="16"/>
              </w:rPr>
              <w:t>Плановое значение</w:t>
            </w:r>
          </w:p>
        </w:tc>
      </w:tr>
      <w:tr w:rsidR="00F22587" w:rsidRPr="000E5DBF" w14:paraId="5A69BA20" w14:textId="77777777" w:rsidTr="008A5C11">
        <w:trPr>
          <w:trHeight w:val="60"/>
        </w:trPr>
        <w:tc>
          <w:tcPr>
            <w:tcW w:w="432" w:type="dxa"/>
            <w:vMerge/>
            <w:tcBorders>
              <w:top w:val="single" w:sz="4" w:space="0" w:color="auto"/>
              <w:left w:val="single" w:sz="4" w:space="0" w:color="auto"/>
              <w:bottom w:val="single" w:sz="4" w:space="0" w:color="auto"/>
              <w:right w:val="single" w:sz="4" w:space="0" w:color="auto"/>
            </w:tcBorders>
            <w:vAlign w:val="center"/>
            <w:hideMark/>
          </w:tcPr>
          <w:p w14:paraId="110B4787" w14:textId="77777777" w:rsidR="00F22587" w:rsidRPr="000E5DBF" w:rsidRDefault="00F22587" w:rsidP="008A5C11">
            <w:pPr>
              <w:rPr>
                <w:color w:val="000000"/>
                <w:sz w:val="16"/>
                <w:szCs w:val="16"/>
              </w:rPr>
            </w:pPr>
          </w:p>
        </w:tc>
        <w:tc>
          <w:tcPr>
            <w:tcW w:w="3452" w:type="dxa"/>
            <w:vMerge/>
            <w:tcBorders>
              <w:top w:val="single" w:sz="4" w:space="0" w:color="auto"/>
              <w:left w:val="single" w:sz="4" w:space="0" w:color="auto"/>
              <w:bottom w:val="single" w:sz="4" w:space="0" w:color="auto"/>
              <w:right w:val="single" w:sz="4" w:space="0" w:color="auto"/>
            </w:tcBorders>
            <w:vAlign w:val="center"/>
            <w:hideMark/>
          </w:tcPr>
          <w:p w14:paraId="78C3BFCF" w14:textId="77777777" w:rsidR="00F22587" w:rsidRPr="000E5DBF" w:rsidRDefault="00F22587" w:rsidP="008A5C11">
            <w:pPr>
              <w:rPr>
                <w:color w:val="000000"/>
                <w:sz w:val="16"/>
                <w:szCs w:val="16"/>
              </w:rPr>
            </w:pPr>
          </w:p>
        </w:tc>
        <w:tc>
          <w:tcPr>
            <w:tcW w:w="1418" w:type="dxa"/>
            <w:vMerge/>
            <w:tcBorders>
              <w:left w:val="nil"/>
              <w:bottom w:val="single" w:sz="4" w:space="0" w:color="auto"/>
              <w:right w:val="single" w:sz="4" w:space="0" w:color="auto"/>
            </w:tcBorders>
            <w:shd w:val="clear" w:color="000000" w:fill="FFFFFF"/>
            <w:vAlign w:val="center"/>
            <w:hideMark/>
          </w:tcPr>
          <w:p w14:paraId="08A26A21" w14:textId="77777777" w:rsidR="00F22587" w:rsidRPr="000E5DBF" w:rsidRDefault="00F22587" w:rsidP="008A5C11">
            <w:pPr>
              <w:jc w:val="center"/>
              <w:rPr>
                <w:color w:val="000000"/>
                <w:sz w:val="16"/>
                <w:szCs w:val="16"/>
              </w:rPr>
            </w:pPr>
          </w:p>
        </w:tc>
        <w:tc>
          <w:tcPr>
            <w:tcW w:w="850" w:type="dxa"/>
            <w:tcBorders>
              <w:top w:val="nil"/>
              <w:left w:val="nil"/>
              <w:bottom w:val="single" w:sz="4" w:space="0" w:color="auto"/>
              <w:right w:val="single" w:sz="4" w:space="0" w:color="auto"/>
            </w:tcBorders>
            <w:shd w:val="clear" w:color="000000" w:fill="FFFFFF"/>
            <w:vAlign w:val="center"/>
            <w:hideMark/>
          </w:tcPr>
          <w:p w14:paraId="59CE2644" w14:textId="77777777" w:rsidR="00F22587" w:rsidRPr="000E5DBF" w:rsidRDefault="00F22587" w:rsidP="008A5C11">
            <w:pPr>
              <w:jc w:val="center"/>
              <w:rPr>
                <w:color w:val="000000"/>
                <w:sz w:val="16"/>
                <w:szCs w:val="16"/>
              </w:rPr>
            </w:pPr>
            <w:r w:rsidRPr="000E5DBF">
              <w:rPr>
                <w:color w:val="000000"/>
                <w:sz w:val="16"/>
                <w:szCs w:val="16"/>
              </w:rPr>
              <w:t>2019</w:t>
            </w:r>
          </w:p>
        </w:tc>
        <w:tc>
          <w:tcPr>
            <w:tcW w:w="851" w:type="dxa"/>
            <w:tcBorders>
              <w:top w:val="nil"/>
              <w:left w:val="nil"/>
              <w:bottom w:val="single" w:sz="4" w:space="0" w:color="auto"/>
              <w:right w:val="single" w:sz="4" w:space="0" w:color="auto"/>
            </w:tcBorders>
            <w:shd w:val="clear" w:color="000000" w:fill="FFFFFF"/>
            <w:vAlign w:val="center"/>
            <w:hideMark/>
          </w:tcPr>
          <w:p w14:paraId="549ED3F8" w14:textId="77777777" w:rsidR="00F22587" w:rsidRPr="000E5DBF" w:rsidRDefault="00F22587" w:rsidP="008A5C11">
            <w:pPr>
              <w:jc w:val="center"/>
              <w:rPr>
                <w:color w:val="000000"/>
                <w:sz w:val="16"/>
                <w:szCs w:val="16"/>
              </w:rPr>
            </w:pPr>
            <w:r w:rsidRPr="000E5DBF">
              <w:rPr>
                <w:color w:val="000000"/>
                <w:sz w:val="16"/>
                <w:szCs w:val="16"/>
              </w:rPr>
              <w:t>2020</w:t>
            </w:r>
          </w:p>
        </w:tc>
        <w:tc>
          <w:tcPr>
            <w:tcW w:w="850" w:type="dxa"/>
            <w:tcBorders>
              <w:top w:val="nil"/>
              <w:left w:val="nil"/>
              <w:bottom w:val="single" w:sz="4" w:space="0" w:color="auto"/>
              <w:right w:val="single" w:sz="4" w:space="0" w:color="auto"/>
            </w:tcBorders>
            <w:shd w:val="clear" w:color="000000" w:fill="FFFFFF"/>
            <w:vAlign w:val="center"/>
            <w:hideMark/>
          </w:tcPr>
          <w:p w14:paraId="6C36C60E" w14:textId="77777777" w:rsidR="00F22587" w:rsidRPr="000E5DBF" w:rsidRDefault="00F22587" w:rsidP="008A5C11">
            <w:pPr>
              <w:jc w:val="center"/>
              <w:rPr>
                <w:color w:val="000000"/>
                <w:sz w:val="16"/>
                <w:szCs w:val="16"/>
              </w:rPr>
            </w:pPr>
            <w:r w:rsidRPr="000E5DBF">
              <w:rPr>
                <w:color w:val="000000"/>
                <w:sz w:val="16"/>
                <w:szCs w:val="16"/>
              </w:rPr>
              <w:t>2021</w:t>
            </w:r>
          </w:p>
        </w:tc>
        <w:tc>
          <w:tcPr>
            <w:tcW w:w="851" w:type="dxa"/>
            <w:tcBorders>
              <w:top w:val="nil"/>
              <w:left w:val="nil"/>
              <w:bottom w:val="single" w:sz="4" w:space="0" w:color="auto"/>
              <w:right w:val="single" w:sz="4" w:space="0" w:color="auto"/>
            </w:tcBorders>
            <w:shd w:val="clear" w:color="000000" w:fill="FFFFFF"/>
            <w:vAlign w:val="center"/>
            <w:hideMark/>
          </w:tcPr>
          <w:p w14:paraId="0C58F5AF" w14:textId="77777777" w:rsidR="00F22587" w:rsidRPr="000E5DBF" w:rsidRDefault="00F22587" w:rsidP="008A5C11">
            <w:pPr>
              <w:jc w:val="center"/>
              <w:rPr>
                <w:color w:val="000000"/>
                <w:sz w:val="16"/>
                <w:szCs w:val="16"/>
              </w:rPr>
            </w:pPr>
            <w:r w:rsidRPr="000E5DBF">
              <w:rPr>
                <w:color w:val="000000"/>
                <w:sz w:val="16"/>
                <w:szCs w:val="16"/>
              </w:rPr>
              <w:t>2022</w:t>
            </w:r>
          </w:p>
        </w:tc>
        <w:tc>
          <w:tcPr>
            <w:tcW w:w="850" w:type="dxa"/>
            <w:tcBorders>
              <w:top w:val="nil"/>
              <w:left w:val="nil"/>
              <w:bottom w:val="single" w:sz="4" w:space="0" w:color="auto"/>
              <w:right w:val="single" w:sz="4" w:space="0" w:color="auto"/>
            </w:tcBorders>
            <w:shd w:val="clear" w:color="000000" w:fill="FFFFFF"/>
            <w:vAlign w:val="center"/>
            <w:hideMark/>
          </w:tcPr>
          <w:p w14:paraId="4BD5F1F2" w14:textId="77777777" w:rsidR="00F22587" w:rsidRPr="000E5DBF" w:rsidRDefault="00F22587" w:rsidP="008A5C11">
            <w:pPr>
              <w:jc w:val="center"/>
              <w:rPr>
                <w:color w:val="000000"/>
                <w:sz w:val="16"/>
                <w:szCs w:val="16"/>
              </w:rPr>
            </w:pPr>
            <w:r w:rsidRPr="000E5DBF">
              <w:rPr>
                <w:color w:val="000000"/>
                <w:sz w:val="16"/>
                <w:szCs w:val="16"/>
              </w:rPr>
              <w:t>2023</w:t>
            </w:r>
          </w:p>
        </w:tc>
        <w:tc>
          <w:tcPr>
            <w:tcW w:w="851" w:type="dxa"/>
            <w:tcBorders>
              <w:top w:val="nil"/>
              <w:left w:val="nil"/>
              <w:bottom w:val="single" w:sz="4" w:space="0" w:color="auto"/>
              <w:right w:val="single" w:sz="4" w:space="0" w:color="auto"/>
            </w:tcBorders>
            <w:shd w:val="clear" w:color="000000" w:fill="FFFFFF"/>
            <w:vAlign w:val="center"/>
            <w:hideMark/>
          </w:tcPr>
          <w:p w14:paraId="69AFB3AB" w14:textId="77777777" w:rsidR="00F22587" w:rsidRPr="000E5DBF" w:rsidRDefault="00F22587" w:rsidP="008A5C11">
            <w:pPr>
              <w:jc w:val="center"/>
              <w:rPr>
                <w:color w:val="000000"/>
                <w:sz w:val="16"/>
                <w:szCs w:val="16"/>
              </w:rPr>
            </w:pPr>
            <w:r w:rsidRPr="000E5DBF">
              <w:rPr>
                <w:color w:val="000000"/>
                <w:sz w:val="16"/>
                <w:szCs w:val="16"/>
              </w:rPr>
              <w:t>2024</w:t>
            </w:r>
          </w:p>
        </w:tc>
        <w:tc>
          <w:tcPr>
            <w:tcW w:w="850" w:type="dxa"/>
            <w:tcBorders>
              <w:top w:val="nil"/>
              <w:left w:val="nil"/>
              <w:bottom w:val="single" w:sz="4" w:space="0" w:color="auto"/>
              <w:right w:val="single" w:sz="4" w:space="0" w:color="auto"/>
            </w:tcBorders>
            <w:shd w:val="clear" w:color="000000" w:fill="FFFFFF"/>
            <w:vAlign w:val="center"/>
            <w:hideMark/>
          </w:tcPr>
          <w:p w14:paraId="148C9066" w14:textId="77777777" w:rsidR="00F22587" w:rsidRPr="000E5DBF" w:rsidRDefault="00F22587" w:rsidP="008A5C11">
            <w:pPr>
              <w:jc w:val="center"/>
              <w:rPr>
                <w:color w:val="000000"/>
                <w:sz w:val="16"/>
                <w:szCs w:val="16"/>
              </w:rPr>
            </w:pPr>
            <w:r w:rsidRPr="000E5DBF">
              <w:rPr>
                <w:color w:val="000000"/>
                <w:sz w:val="16"/>
                <w:szCs w:val="16"/>
              </w:rPr>
              <w:t>2025</w:t>
            </w:r>
          </w:p>
        </w:tc>
        <w:tc>
          <w:tcPr>
            <w:tcW w:w="851" w:type="dxa"/>
            <w:tcBorders>
              <w:top w:val="nil"/>
              <w:left w:val="nil"/>
              <w:bottom w:val="single" w:sz="4" w:space="0" w:color="auto"/>
              <w:right w:val="single" w:sz="4" w:space="0" w:color="auto"/>
            </w:tcBorders>
            <w:shd w:val="clear" w:color="000000" w:fill="FFFFFF"/>
            <w:vAlign w:val="center"/>
            <w:hideMark/>
          </w:tcPr>
          <w:p w14:paraId="6F8C5465" w14:textId="77777777" w:rsidR="00F22587" w:rsidRPr="000E5DBF" w:rsidRDefault="00F22587" w:rsidP="008A5C11">
            <w:pPr>
              <w:jc w:val="center"/>
              <w:rPr>
                <w:color w:val="000000"/>
                <w:sz w:val="16"/>
                <w:szCs w:val="16"/>
              </w:rPr>
            </w:pPr>
            <w:r w:rsidRPr="000E5DBF">
              <w:rPr>
                <w:color w:val="000000"/>
                <w:sz w:val="16"/>
                <w:szCs w:val="16"/>
              </w:rPr>
              <w:t>2026</w:t>
            </w:r>
          </w:p>
        </w:tc>
        <w:tc>
          <w:tcPr>
            <w:tcW w:w="850" w:type="dxa"/>
            <w:tcBorders>
              <w:top w:val="nil"/>
              <w:left w:val="nil"/>
              <w:bottom w:val="single" w:sz="4" w:space="0" w:color="auto"/>
              <w:right w:val="single" w:sz="4" w:space="0" w:color="auto"/>
            </w:tcBorders>
            <w:shd w:val="clear" w:color="000000" w:fill="FFFFFF"/>
            <w:vAlign w:val="center"/>
            <w:hideMark/>
          </w:tcPr>
          <w:p w14:paraId="758EA17F" w14:textId="77777777" w:rsidR="00F22587" w:rsidRPr="000E5DBF" w:rsidRDefault="00F22587" w:rsidP="008A5C11">
            <w:pPr>
              <w:jc w:val="center"/>
              <w:rPr>
                <w:color w:val="000000"/>
                <w:sz w:val="16"/>
                <w:szCs w:val="16"/>
              </w:rPr>
            </w:pPr>
            <w:r w:rsidRPr="000E5DBF">
              <w:rPr>
                <w:color w:val="000000"/>
                <w:sz w:val="16"/>
                <w:szCs w:val="16"/>
              </w:rPr>
              <w:t>2027</w:t>
            </w:r>
          </w:p>
        </w:tc>
        <w:tc>
          <w:tcPr>
            <w:tcW w:w="851" w:type="dxa"/>
            <w:tcBorders>
              <w:top w:val="nil"/>
              <w:left w:val="nil"/>
              <w:bottom w:val="single" w:sz="4" w:space="0" w:color="auto"/>
              <w:right w:val="single" w:sz="4" w:space="0" w:color="auto"/>
            </w:tcBorders>
            <w:shd w:val="clear" w:color="000000" w:fill="FFFFFF"/>
            <w:vAlign w:val="center"/>
            <w:hideMark/>
          </w:tcPr>
          <w:p w14:paraId="7BD67A3F" w14:textId="77777777" w:rsidR="00F22587" w:rsidRPr="000E5DBF" w:rsidRDefault="00F22587" w:rsidP="008A5C11">
            <w:pPr>
              <w:jc w:val="center"/>
              <w:rPr>
                <w:color w:val="000000"/>
                <w:sz w:val="16"/>
                <w:szCs w:val="16"/>
              </w:rPr>
            </w:pPr>
            <w:r w:rsidRPr="000E5DBF">
              <w:rPr>
                <w:color w:val="000000"/>
                <w:sz w:val="16"/>
                <w:szCs w:val="16"/>
              </w:rPr>
              <w:t>2028</w:t>
            </w:r>
          </w:p>
        </w:tc>
        <w:tc>
          <w:tcPr>
            <w:tcW w:w="850" w:type="dxa"/>
            <w:tcBorders>
              <w:top w:val="nil"/>
              <w:left w:val="nil"/>
              <w:bottom w:val="single" w:sz="4" w:space="0" w:color="auto"/>
              <w:right w:val="single" w:sz="4" w:space="0" w:color="auto"/>
            </w:tcBorders>
            <w:shd w:val="clear" w:color="000000" w:fill="FFFFFF"/>
            <w:vAlign w:val="center"/>
            <w:hideMark/>
          </w:tcPr>
          <w:p w14:paraId="6E1CBF7D" w14:textId="77777777" w:rsidR="00F22587" w:rsidRPr="000E5DBF" w:rsidRDefault="00F22587" w:rsidP="008A5C11">
            <w:pPr>
              <w:jc w:val="center"/>
              <w:rPr>
                <w:color w:val="000000"/>
                <w:sz w:val="16"/>
                <w:szCs w:val="16"/>
              </w:rPr>
            </w:pPr>
            <w:r w:rsidRPr="000E5DBF">
              <w:rPr>
                <w:color w:val="000000"/>
                <w:sz w:val="16"/>
                <w:szCs w:val="16"/>
              </w:rPr>
              <w:t>2029</w:t>
            </w:r>
          </w:p>
        </w:tc>
        <w:tc>
          <w:tcPr>
            <w:tcW w:w="709" w:type="dxa"/>
            <w:tcBorders>
              <w:top w:val="nil"/>
              <w:left w:val="nil"/>
              <w:bottom w:val="single" w:sz="4" w:space="0" w:color="auto"/>
              <w:right w:val="single" w:sz="4" w:space="0" w:color="auto"/>
            </w:tcBorders>
            <w:shd w:val="clear" w:color="000000" w:fill="FFFFFF"/>
            <w:vAlign w:val="center"/>
            <w:hideMark/>
          </w:tcPr>
          <w:p w14:paraId="5FEB214F" w14:textId="77777777" w:rsidR="00F22587" w:rsidRPr="000E5DBF" w:rsidRDefault="00F22587" w:rsidP="008A5C11">
            <w:pPr>
              <w:jc w:val="center"/>
              <w:rPr>
                <w:color w:val="000000"/>
                <w:sz w:val="16"/>
                <w:szCs w:val="16"/>
              </w:rPr>
            </w:pPr>
            <w:r w:rsidRPr="000E5DBF">
              <w:rPr>
                <w:color w:val="000000"/>
                <w:sz w:val="16"/>
                <w:szCs w:val="16"/>
              </w:rPr>
              <w:t>2030</w:t>
            </w:r>
          </w:p>
        </w:tc>
      </w:tr>
      <w:tr w:rsidR="00F22587" w:rsidRPr="000E5DBF" w14:paraId="4904A532" w14:textId="77777777" w:rsidTr="008A5C11">
        <w:trPr>
          <w:trHeight w:val="60"/>
        </w:trPr>
        <w:tc>
          <w:tcPr>
            <w:tcW w:w="432" w:type="dxa"/>
            <w:tcBorders>
              <w:top w:val="nil"/>
              <w:left w:val="single" w:sz="4" w:space="0" w:color="auto"/>
              <w:bottom w:val="single" w:sz="4" w:space="0" w:color="auto"/>
              <w:right w:val="single" w:sz="4" w:space="0" w:color="auto"/>
            </w:tcBorders>
            <w:shd w:val="clear" w:color="000000" w:fill="FFFFFF"/>
            <w:vAlign w:val="center"/>
            <w:hideMark/>
          </w:tcPr>
          <w:p w14:paraId="25164314" w14:textId="77777777" w:rsidR="00F22587" w:rsidRPr="000E5DBF" w:rsidRDefault="00F22587" w:rsidP="008A5C11">
            <w:pPr>
              <w:jc w:val="center"/>
              <w:rPr>
                <w:color w:val="000000"/>
                <w:sz w:val="16"/>
                <w:szCs w:val="16"/>
              </w:rPr>
            </w:pPr>
            <w:r w:rsidRPr="000E5DBF">
              <w:rPr>
                <w:color w:val="000000"/>
                <w:sz w:val="16"/>
                <w:szCs w:val="16"/>
              </w:rPr>
              <w:t>1</w:t>
            </w:r>
          </w:p>
        </w:tc>
        <w:tc>
          <w:tcPr>
            <w:tcW w:w="3452" w:type="dxa"/>
            <w:tcBorders>
              <w:top w:val="nil"/>
              <w:left w:val="nil"/>
              <w:bottom w:val="single" w:sz="4" w:space="0" w:color="auto"/>
              <w:right w:val="single" w:sz="4" w:space="0" w:color="auto"/>
            </w:tcBorders>
            <w:shd w:val="clear" w:color="000000" w:fill="FFFFFF"/>
            <w:vAlign w:val="center"/>
            <w:hideMark/>
          </w:tcPr>
          <w:p w14:paraId="62182DDB" w14:textId="77777777" w:rsidR="00F22587" w:rsidRPr="000E5DBF" w:rsidRDefault="00F22587" w:rsidP="008A5C11">
            <w:pPr>
              <w:rPr>
                <w:color w:val="000000"/>
                <w:sz w:val="16"/>
                <w:szCs w:val="16"/>
              </w:rPr>
            </w:pPr>
            <w:r w:rsidRPr="000E5DBF">
              <w:rPr>
                <w:color w:val="000000"/>
                <w:sz w:val="16"/>
                <w:szCs w:val="16"/>
              </w:rPr>
              <w:t>Котельная ОС</w:t>
            </w:r>
          </w:p>
        </w:tc>
        <w:tc>
          <w:tcPr>
            <w:tcW w:w="1418" w:type="dxa"/>
            <w:tcBorders>
              <w:top w:val="nil"/>
              <w:left w:val="nil"/>
              <w:bottom w:val="single" w:sz="4" w:space="0" w:color="auto"/>
              <w:right w:val="single" w:sz="4" w:space="0" w:color="auto"/>
            </w:tcBorders>
            <w:shd w:val="clear" w:color="000000" w:fill="FFFFFF"/>
            <w:vAlign w:val="center"/>
            <w:hideMark/>
          </w:tcPr>
          <w:p w14:paraId="54A4115C" w14:textId="77777777" w:rsidR="00F22587" w:rsidRPr="000E5DBF" w:rsidRDefault="00F22587" w:rsidP="008A5C11">
            <w:pPr>
              <w:jc w:val="center"/>
              <w:rPr>
                <w:color w:val="000000"/>
                <w:sz w:val="16"/>
                <w:szCs w:val="16"/>
              </w:rPr>
            </w:pPr>
            <w:r w:rsidRPr="000E5DBF">
              <w:rPr>
                <w:color w:val="000000"/>
                <w:sz w:val="16"/>
                <w:szCs w:val="16"/>
              </w:rPr>
              <w:t>224,5</w:t>
            </w:r>
          </w:p>
        </w:tc>
        <w:tc>
          <w:tcPr>
            <w:tcW w:w="850" w:type="dxa"/>
            <w:tcBorders>
              <w:top w:val="nil"/>
              <w:left w:val="nil"/>
              <w:bottom w:val="single" w:sz="4" w:space="0" w:color="auto"/>
              <w:right w:val="single" w:sz="4" w:space="0" w:color="auto"/>
            </w:tcBorders>
            <w:shd w:val="clear" w:color="000000" w:fill="FFFFFF"/>
            <w:vAlign w:val="center"/>
            <w:hideMark/>
          </w:tcPr>
          <w:p w14:paraId="353AD85B" w14:textId="77777777" w:rsidR="00F22587" w:rsidRPr="000E5DBF" w:rsidRDefault="00F22587" w:rsidP="008A5C11">
            <w:pPr>
              <w:jc w:val="center"/>
              <w:rPr>
                <w:color w:val="000000"/>
                <w:sz w:val="16"/>
                <w:szCs w:val="16"/>
              </w:rPr>
            </w:pPr>
            <w:r w:rsidRPr="000E5DBF">
              <w:rPr>
                <w:color w:val="000000"/>
                <w:sz w:val="16"/>
                <w:szCs w:val="16"/>
              </w:rPr>
              <w:t>224,5</w:t>
            </w:r>
          </w:p>
        </w:tc>
        <w:tc>
          <w:tcPr>
            <w:tcW w:w="851" w:type="dxa"/>
            <w:tcBorders>
              <w:top w:val="nil"/>
              <w:left w:val="nil"/>
              <w:bottom w:val="single" w:sz="4" w:space="0" w:color="auto"/>
              <w:right w:val="single" w:sz="4" w:space="0" w:color="auto"/>
            </w:tcBorders>
            <w:shd w:val="clear" w:color="000000" w:fill="FFFFFF"/>
            <w:vAlign w:val="center"/>
            <w:hideMark/>
          </w:tcPr>
          <w:p w14:paraId="2D8ADE0C" w14:textId="77777777" w:rsidR="00F22587" w:rsidRPr="000E5DBF" w:rsidRDefault="00F22587" w:rsidP="008A5C11">
            <w:pPr>
              <w:jc w:val="center"/>
              <w:rPr>
                <w:color w:val="000000"/>
                <w:sz w:val="16"/>
                <w:szCs w:val="16"/>
              </w:rPr>
            </w:pPr>
            <w:r w:rsidRPr="000E5DBF">
              <w:rPr>
                <w:color w:val="000000"/>
                <w:sz w:val="16"/>
                <w:szCs w:val="16"/>
              </w:rPr>
              <w:t>224,5</w:t>
            </w:r>
          </w:p>
        </w:tc>
        <w:tc>
          <w:tcPr>
            <w:tcW w:w="850" w:type="dxa"/>
            <w:tcBorders>
              <w:top w:val="nil"/>
              <w:left w:val="nil"/>
              <w:bottom w:val="single" w:sz="4" w:space="0" w:color="auto"/>
              <w:right w:val="single" w:sz="4" w:space="0" w:color="auto"/>
            </w:tcBorders>
            <w:shd w:val="clear" w:color="000000" w:fill="FFFFFF"/>
            <w:vAlign w:val="center"/>
            <w:hideMark/>
          </w:tcPr>
          <w:p w14:paraId="437534AC" w14:textId="77777777" w:rsidR="00F22587" w:rsidRPr="000E5DBF" w:rsidRDefault="00F22587" w:rsidP="008A5C11">
            <w:pPr>
              <w:jc w:val="center"/>
              <w:rPr>
                <w:color w:val="000000"/>
                <w:sz w:val="16"/>
                <w:szCs w:val="16"/>
              </w:rPr>
            </w:pPr>
            <w:r w:rsidRPr="000E5DBF">
              <w:rPr>
                <w:color w:val="000000"/>
                <w:sz w:val="16"/>
                <w:szCs w:val="16"/>
              </w:rPr>
              <w:t>224,5</w:t>
            </w:r>
          </w:p>
        </w:tc>
        <w:tc>
          <w:tcPr>
            <w:tcW w:w="851" w:type="dxa"/>
            <w:tcBorders>
              <w:top w:val="nil"/>
              <w:left w:val="nil"/>
              <w:bottom w:val="single" w:sz="4" w:space="0" w:color="auto"/>
              <w:right w:val="single" w:sz="4" w:space="0" w:color="auto"/>
            </w:tcBorders>
            <w:shd w:val="clear" w:color="000000" w:fill="FFFFFF"/>
            <w:vAlign w:val="center"/>
            <w:hideMark/>
          </w:tcPr>
          <w:p w14:paraId="02727AD0" w14:textId="77777777" w:rsidR="00F22587" w:rsidRPr="000E5DBF" w:rsidRDefault="00F22587" w:rsidP="008A5C11">
            <w:pPr>
              <w:jc w:val="center"/>
              <w:rPr>
                <w:color w:val="000000"/>
                <w:sz w:val="16"/>
                <w:szCs w:val="16"/>
              </w:rPr>
            </w:pPr>
            <w:r w:rsidRPr="000E5DBF">
              <w:rPr>
                <w:color w:val="000000"/>
                <w:sz w:val="16"/>
                <w:szCs w:val="16"/>
              </w:rPr>
              <w:t>224,5</w:t>
            </w:r>
          </w:p>
        </w:tc>
        <w:tc>
          <w:tcPr>
            <w:tcW w:w="850" w:type="dxa"/>
            <w:tcBorders>
              <w:top w:val="nil"/>
              <w:left w:val="nil"/>
              <w:bottom w:val="single" w:sz="4" w:space="0" w:color="auto"/>
              <w:right w:val="single" w:sz="4" w:space="0" w:color="auto"/>
            </w:tcBorders>
            <w:shd w:val="clear" w:color="000000" w:fill="FFFFFF"/>
            <w:vAlign w:val="center"/>
            <w:hideMark/>
          </w:tcPr>
          <w:p w14:paraId="7CDE263F" w14:textId="77777777" w:rsidR="00F22587" w:rsidRPr="000E5DBF" w:rsidRDefault="00F22587" w:rsidP="008A5C11">
            <w:pPr>
              <w:jc w:val="center"/>
              <w:rPr>
                <w:color w:val="000000"/>
                <w:sz w:val="16"/>
                <w:szCs w:val="16"/>
              </w:rPr>
            </w:pPr>
            <w:r w:rsidRPr="000E5DBF">
              <w:rPr>
                <w:color w:val="000000"/>
                <w:sz w:val="16"/>
                <w:szCs w:val="16"/>
              </w:rPr>
              <w:t>224,5</w:t>
            </w:r>
          </w:p>
        </w:tc>
        <w:tc>
          <w:tcPr>
            <w:tcW w:w="851" w:type="dxa"/>
            <w:tcBorders>
              <w:top w:val="nil"/>
              <w:left w:val="nil"/>
              <w:bottom w:val="single" w:sz="4" w:space="0" w:color="auto"/>
              <w:right w:val="single" w:sz="4" w:space="0" w:color="auto"/>
            </w:tcBorders>
            <w:shd w:val="clear" w:color="000000" w:fill="FFFFFF"/>
            <w:vAlign w:val="center"/>
            <w:hideMark/>
          </w:tcPr>
          <w:p w14:paraId="716E30ED" w14:textId="77777777" w:rsidR="00F22587" w:rsidRPr="000E5DBF" w:rsidRDefault="00F22587" w:rsidP="008A5C11">
            <w:pPr>
              <w:jc w:val="center"/>
              <w:rPr>
                <w:color w:val="000000"/>
                <w:sz w:val="16"/>
                <w:szCs w:val="16"/>
              </w:rPr>
            </w:pPr>
            <w:r w:rsidRPr="000E5DBF">
              <w:rPr>
                <w:color w:val="000000"/>
                <w:sz w:val="16"/>
                <w:szCs w:val="16"/>
              </w:rPr>
              <w:t>224,5</w:t>
            </w:r>
          </w:p>
        </w:tc>
        <w:tc>
          <w:tcPr>
            <w:tcW w:w="850" w:type="dxa"/>
            <w:tcBorders>
              <w:top w:val="nil"/>
              <w:left w:val="nil"/>
              <w:bottom w:val="single" w:sz="4" w:space="0" w:color="auto"/>
              <w:right w:val="single" w:sz="4" w:space="0" w:color="auto"/>
            </w:tcBorders>
            <w:shd w:val="clear" w:color="000000" w:fill="FFFFFF"/>
            <w:vAlign w:val="center"/>
            <w:hideMark/>
          </w:tcPr>
          <w:p w14:paraId="2B57F68D" w14:textId="77777777" w:rsidR="00F22587" w:rsidRPr="000E5DBF" w:rsidRDefault="00F22587" w:rsidP="008A5C11">
            <w:pPr>
              <w:jc w:val="center"/>
              <w:rPr>
                <w:color w:val="000000"/>
                <w:sz w:val="16"/>
                <w:szCs w:val="16"/>
              </w:rPr>
            </w:pPr>
            <w:r w:rsidRPr="000E5DBF">
              <w:rPr>
                <w:color w:val="000000"/>
                <w:sz w:val="16"/>
                <w:szCs w:val="16"/>
              </w:rPr>
              <w:t>153,46</w:t>
            </w:r>
          </w:p>
        </w:tc>
        <w:tc>
          <w:tcPr>
            <w:tcW w:w="851" w:type="dxa"/>
            <w:tcBorders>
              <w:top w:val="nil"/>
              <w:left w:val="nil"/>
              <w:bottom w:val="single" w:sz="4" w:space="0" w:color="auto"/>
              <w:right w:val="single" w:sz="4" w:space="0" w:color="auto"/>
            </w:tcBorders>
            <w:shd w:val="clear" w:color="000000" w:fill="FFFFFF"/>
            <w:vAlign w:val="center"/>
            <w:hideMark/>
          </w:tcPr>
          <w:p w14:paraId="689A3BD6" w14:textId="77777777" w:rsidR="00F22587" w:rsidRPr="000E5DBF" w:rsidRDefault="00F22587" w:rsidP="008A5C11">
            <w:pPr>
              <w:jc w:val="center"/>
              <w:rPr>
                <w:color w:val="000000"/>
                <w:sz w:val="16"/>
                <w:szCs w:val="16"/>
              </w:rPr>
            </w:pPr>
            <w:r w:rsidRPr="000E5DBF">
              <w:rPr>
                <w:color w:val="000000"/>
                <w:sz w:val="16"/>
                <w:szCs w:val="16"/>
              </w:rPr>
              <w:t>153,46</w:t>
            </w:r>
          </w:p>
        </w:tc>
        <w:tc>
          <w:tcPr>
            <w:tcW w:w="850" w:type="dxa"/>
            <w:tcBorders>
              <w:top w:val="nil"/>
              <w:left w:val="nil"/>
              <w:bottom w:val="single" w:sz="4" w:space="0" w:color="auto"/>
              <w:right w:val="single" w:sz="4" w:space="0" w:color="auto"/>
            </w:tcBorders>
            <w:shd w:val="clear" w:color="000000" w:fill="FFFFFF"/>
            <w:vAlign w:val="center"/>
            <w:hideMark/>
          </w:tcPr>
          <w:p w14:paraId="7FF67EEB" w14:textId="77777777" w:rsidR="00F22587" w:rsidRPr="000E5DBF" w:rsidRDefault="00F22587" w:rsidP="008A5C11">
            <w:pPr>
              <w:jc w:val="center"/>
              <w:rPr>
                <w:color w:val="000000"/>
                <w:sz w:val="16"/>
                <w:szCs w:val="16"/>
              </w:rPr>
            </w:pPr>
            <w:r w:rsidRPr="000E5DBF">
              <w:rPr>
                <w:color w:val="000000"/>
                <w:sz w:val="16"/>
                <w:szCs w:val="16"/>
              </w:rPr>
              <w:t>153,46</w:t>
            </w:r>
          </w:p>
        </w:tc>
        <w:tc>
          <w:tcPr>
            <w:tcW w:w="851" w:type="dxa"/>
            <w:tcBorders>
              <w:top w:val="nil"/>
              <w:left w:val="nil"/>
              <w:bottom w:val="single" w:sz="4" w:space="0" w:color="auto"/>
              <w:right w:val="single" w:sz="4" w:space="0" w:color="auto"/>
            </w:tcBorders>
            <w:shd w:val="clear" w:color="000000" w:fill="FFFFFF"/>
            <w:vAlign w:val="center"/>
            <w:hideMark/>
          </w:tcPr>
          <w:p w14:paraId="2E6FF914" w14:textId="77777777" w:rsidR="00F22587" w:rsidRPr="000E5DBF" w:rsidRDefault="00F22587" w:rsidP="008A5C11">
            <w:pPr>
              <w:jc w:val="center"/>
              <w:rPr>
                <w:color w:val="000000"/>
                <w:sz w:val="16"/>
                <w:szCs w:val="16"/>
              </w:rPr>
            </w:pPr>
            <w:r w:rsidRPr="000E5DBF">
              <w:rPr>
                <w:color w:val="000000"/>
                <w:sz w:val="16"/>
                <w:szCs w:val="16"/>
              </w:rPr>
              <w:t>153,46</w:t>
            </w:r>
          </w:p>
        </w:tc>
        <w:tc>
          <w:tcPr>
            <w:tcW w:w="850" w:type="dxa"/>
            <w:tcBorders>
              <w:top w:val="nil"/>
              <w:left w:val="nil"/>
              <w:bottom w:val="single" w:sz="4" w:space="0" w:color="auto"/>
              <w:right w:val="single" w:sz="4" w:space="0" w:color="auto"/>
            </w:tcBorders>
            <w:shd w:val="clear" w:color="000000" w:fill="FFFFFF"/>
            <w:vAlign w:val="center"/>
            <w:hideMark/>
          </w:tcPr>
          <w:p w14:paraId="18B349E9" w14:textId="77777777" w:rsidR="00F22587" w:rsidRPr="000E5DBF" w:rsidRDefault="00F22587" w:rsidP="008A5C11">
            <w:pPr>
              <w:jc w:val="center"/>
              <w:rPr>
                <w:color w:val="000000"/>
                <w:sz w:val="16"/>
                <w:szCs w:val="16"/>
              </w:rPr>
            </w:pPr>
            <w:r w:rsidRPr="000E5DBF">
              <w:rPr>
                <w:color w:val="000000"/>
                <w:sz w:val="16"/>
                <w:szCs w:val="16"/>
              </w:rPr>
              <w:t>153,46</w:t>
            </w:r>
          </w:p>
        </w:tc>
        <w:tc>
          <w:tcPr>
            <w:tcW w:w="709" w:type="dxa"/>
            <w:tcBorders>
              <w:top w:val="nil"/>
              <w:left w:val="nil"/>
              <w:bottom w:val="single" w:sz="4" w:space="0" w:color="auto"/>
              <w:right w:val="single" w:sz="4" w:space="0" w:color="auto"/>
            </w:tcBorders>
            <w:shd w:val="clear" w:color="000000" w:fill="FFFFFF"/>
            <w:vAlign w:val="center"/>
            <w:hideMark/>
          </w:tcPr>
          <w:p w14:paraId="31273AB9" w14:textId="77777777" w:rsidR="00F22587" w:rsidRPr="000E5DBF" w:rsidRDefault="00F22587" w:rsidP="008A5C11">
            <w:pPr>
              <w:jc w:val="center"/>
              <w:rPr>
                <w:color w:val="000000"/>
                <w:sz w:val="16"/>
                <w:szCs w:val="16"/>
              </w:rPr>
            </w:pPr>
            <w:r w:rsidRPr="000E5DBF">
              <w:rPr>
                <w:color w:val="000000"/>
                <w:sz w:val="16"/>
                <w:szCs w:val="16"/>
              </w:rPr>
              <w:t>153,46</w:t>
            </w:r>
          </w:p>
        </w:tc>
      </w:tr>
      <w:tr w:rsidR="00F22587" w:rsidRPr="000E5DBF" w14:paraId="0B0C2412" w14:textId="77777777" w:rsidTr="008A5C11">
        <w:trPr>
          <w:trHeight w:val="60"/>
        </w:trPr>
        <w:tc>
          <w:tcPr>
            <w:tcW w:w="432" w:type="dxa"/>
            <w:tcBorders>
              <w:top w:val="nil"/>
              <w:left w:val="single" w:sz="4" w:space="0" w:color="auto"/>
              <w:bottom w:val="single" w:sz="4" w:space="0" w:color="auto"/>
              <w:right w:val="single" w:sz="4" w:space="0" w:color="auto"/>
            </w:tcBorders>
            <w:shd w:val="clear" w:color="000000" w:fill="FFFFFF"/>
            <w:vAlign w:val="center"/>
            <w:hideMark/>
          </w:tcPr>
          <w:p w14:paraId="52424EC6" w14:textId="77777777" w:rsidR="00F22587" w:rsidRPr="000E5DBF" w:rsidRDefault="00F22587" w:rsidP="008A5C11">
            <w:pPr>
              <w:jc w:val="center"/>
              <w:rPr>
                <w:color w:val="000000"/>
                <w:sz w:val="16"/>
                <w:szCs w:val="16"/>
              </w:rPr>
            </w:pPr>
            <w:r w:rsidRPr="000E5DBF">
              <w:rPr>
                <w:color w:val="000000"/>
                <w:sz w:val="16"/>
                <w:szCs w:val="16"/>
              </w:rPr>
              <w:t>2</w:t>
            </w:r>
          </w:p>
        </w:tc>
        <w:tc>
          <w:tcPr>
            <w:tcW w:w="3452" w:type="dxa"/>
            <w:tcBorders>
              <w:top w:val="nil"/>
              <w:left w:val="nil"/>
              <w:bottom w:val="single" w:sz="4" w:space="0" w:color="auto"/>
              <w:right w:val="single" w:sz="4" w:space="0" w:color="auto"/>
            </w:tcBorders>
            <w:shd w:val="clear" w:color="000000" w:fill="FFFFFF"/>
            <w:vAlign w:val="center"/>
            <w:hideMark/>
          </w:tcPr>
          <w:p w14:paraId="54D4D313" w14:textId="77777777" w:rsidR="00F22587" w:rsidRPr="000E5DBF" w:rsidRDefault="00F22587" w:rsidP="008A5C11">
            <w:pPr>
              <w:rPr>
                <w:color w:val="000000"/>
                <w:sz w:val="16"/>
                <w:szCs w:val="16"/>
              </w:rPr>
            </w:pPr>
            <w:r w:rsidRPr="000E5DBF">
              <w:rPr>
                <w:color w:val="000000"/>
                <w:sz w:val="16"/>
                <w:szCs w:val="16"/>
              </w:rPr>
              <w:t>Котельная р-он Мичурина</w:t>
            </w:r>
          </w:p>
        </w:tc>
        <w:tc>
          <w:tcPr>
            <w:tcW w:w="1418" w:type="dxa"/>
            <w:tcBorders>
              <w:top w:val="nil"/>
              <w:left w:val="nil"/>
              <w:bottom w:val="single" w:sz="4" w:space="0" w:color="auto"/>
              <w:right w:val="single" w:sz="4" w:space="0" w:color="auto"/>
            </w:tcBorders>
            <w:shd w:val="clear" w:color="000000" w:fill="FFFFFF"/>
            <w:vAlign w:val="center"/>
            <w:hideMark/>
          </w:tcPr>
          <w:p w14:paraId="03B2753E" w14:textId="77777777" w:rsidR="00F22587" w:rsidRPr="000E5DBF" w:rsidRDefault="00F22587" w:rsidP="008A5C11">
            <w:pPr>
              <w:jc w:val="center"/>
              <w:rPr>
                <w:color w:val="000000"/>
                <w:sz w:val="16"/>
                <w:szCs w:val="16"/>
              </w:rPr>
            </w:pPr>
            <w:r w:rsidRPr="000E5DBF">
              <w:rPr>
                <w:color w:val="000000"/>
                <w:sz w:val="16"/>
                <w:szCs w:val="16"/>
              </w:rPr>
              <w:t>226,1</w:t>
            </w:r>
          </w:p>
        </w:tc>
        <w:tc>
          <w:tcPr>
            <w:tcW w:w="850" w:type="dxa"/>
            <w:tcBorders>
              <w:top w:val="nil"/>
              <w:left w:val="nil"/>
              <w:bottom w:val="single" w:sz="4" w:space="0" w:color="auto"/>
              <w:right w:val="single" w:sz="4" w:space="0" w:color="auto"/>
            </w:tcBorders>
            <w:shd w:val="clear" w:color="000000" w:fill="FFFFFF"/>
            <w:vAlign w:val="center"/>
            <w:hideMark/>
          </w:tcPr>
          <w:p w14:paraId="7048903B" w14:textId="77777777" w:rsidR="00F22587" w:rsidRPr="000E5DBF" w:rsidRDefault="00F22587" w:rsidP="008A5C11">
            <w:pPr>
              <w:jc w:val="center"/>
              <w:rPr>
                <w:color w:val="000000"/>
                <w:sz w:val="16"/>
                <w:szCs w:val="16"/>
              </w:rPr>
            </w:pPr>
            <w:r w:rsidRPr="000E5DBF">
              <w:rPr>
                <w:color w:val="000000"/>
                <w:sz w:val="16"/>
                <w:szCs w:val="16"/>
              </w:rPr>
              <w:t>226,1</w:t>
            </w:r>
          </w:p>
        </w:tc>
        <w:tc>
          <w:tcPr>
            <w:tcW w:w="851" w:type="dxa"/>
            <w:tcBorders>
              <w:top w:val="nil"/>
              <w:left w:val="nil"/>
              <w:bottom w:val="single" w:sz="4" w:space="0" w:color="auto"/>
              <w:right w:val="single" w:sz="4" w:space="0" w:color="auto"/>
            </w:tcBorders>
            <w:shd w:val="clear" w:color="000000" w:fill="FFFFFF"/>
            <w:vAlign w:val="center"/>
            <w:hideMark/>
          </w:tcPr>
          <w:p w14:paraId="2AD216EE" w14:textId="77777777" w:rsidR="00F22587" w:rsidRPr="000E5DBF" w:rsidRDefault="00F22587" w:rsidP="008A5C11">
            <w:pPr>
              <w:jc w:val="center"/>
              <w:rPr>
                <w:color w:val="000000"/>
                <w:sz w:val="16"/>
                <w:szCs w:val="16"/>
              </w:rPr>
            </w:pPr>
            <w:r w:rsidRPr="000E5DBF">
              <w:rPr>
                <w:color w:val="000000"/>
                <w:sz w:val="16"/>
                <w:szCs w:val="16"/>
              </w:rPr>
              <w:t>226,1</w:t>
            </w:r>
          </w:p>
        </w:tc>
        <w:tc>
          <w:tcPr>
            <w:tcW w:w="850" w:type="dxa"/>
            <w:tcBorders>
              <w:top w:val="nil"/>
              <w:left w:val="nil"/>
              <w:bottom w:val="single" w:sz="4" w:space="0" w:color="auto"/>
              <w:right w:val="single" w:sz="4" w:space="0" w:color="auto"/>
            </w:tcBorders>
            <w:shd w:val="clear" w:color="000000" w:fill="FFFFFF"/>
            <w:vAlign w:val="center"/>
            <w:hideMark/>
          </w:tcPr>
          <w:p w14:paraId="58C666BA" w14:textId="77777777" w:rsidR="00F22587" w:rsidRPr="000E5DBF" w:rsidRDefault="00F22587" w:rsidP="008A5C11">
            <w:pPr>
              <w:jc w:val="center"/>
              <w:rPr>
                <w:color w:val="000000"/>
                <w:sz w:val="16"/>
                <w:szCs w:val="16"/>
              </w:rPr>
            </w:pPr>
            <w:r w:rsidRPr="000E5DBF">
              <w:rPr>
                <w:color w:val="000000"/>
                <w:sz w:val="16"/>
                <w:szCs w:val="16"/>
              </w:rPr>
              <w:t>226,1</w:t>
            </w:r>
          </w:p>
        </w:tc>
        <w:tc>
          <w:tcPr>
            <w:tcW w:w="851" w:type="dxa"/>
            <w:tcBorders>
              <w:top w:val="nil"/>
              <w:left w:val="nil"/>
              <w:bottom w:val="single" w:sz="4" w:space="0" w:color="auto"/>
              <w:right w:val="single" w:sz="4" w:space="0" w:color="auto"/>
            </w:tcBorders>
            <w:shd w:val="clear" w:color="000000" w:fill="FFFFFF"/>
            <w:vAlign w:val="center"/>
            <w:hideMark/>
          </w:tcPr>
          <w:p w14:paraId="4E5FC53C" w14:textId="77777777" w:rsidR="00F22587" w:rsidRPr="000E5DBF" w:rsidRDefault="00F22587" w:rsidP="008A5C11">
            <w:pPr>
              <w:jc w:val="center"/>
              <w:rPr>
                <w:color w:val="000000"/>
                <w:sz w:val="16"/>
                <w:szCs w:val="16"/>
              </w:rPr>
            </w:pPr>
            <w:r w:rsidRPr="000E5DBF">
              <w:rPr>
                <w:color w:val="000000"/>
                <w:sz w:val="16"/>
                <w:szCs w:val="16"/>
              </w:rPr>
              <w:t>226,1</w:t>
            </w:r>
          </w:p>
        </w:tc>
        <w:tc>
          <w:tcPr>
            <w:tcW w:w="850" w:type="dxa"/>
            <w:tcBorders>
              <w:top w:val="nil"/>
              <w:left w:val="nil"/>
              <w:bottom w:val="single" w:sz="4" w:space="0" w:color="auto"/>
              <w:right w:val="single" w:sz="4" w:space="0" w:color="auto"/>
            </w:tcBorders>
            <w:shd w:val="clear" w:color="000000" w:fill="FFFFFF"/>
            <w:vAlign w:val="center"/>
            <w:hideMark/>
          </w:tcPr>
          <w:p w14:paraId="4B1E7C91" w14:textId="77777777" w:rsidR="00F22587" w:rsidRPr="000E5DBF" w:rsidRDefault="00F22587" w:rsidP="008A5C11">
            <w:pPr>
              <w:jc w:val="center"/>
              <w:rPr>
                <w:color w:val="000000"/>
                <w:sz w:val="16"/>
                <w:szCs w:val="16"/>
              </w:rPr>
            </w:pPr>
            <w:r w:rsidRPr="000E5DBF">
              <w:rPr>
                <w:color w:val="000000"/>
                <w:sz w:val="16"/>
                <w:szCs w:val="16"/>
              </w:rPr>
              <w:t>226,1</w:t>
            </w:r>
          </w:p>
        </w:tc>
        <w:tc>
          <w:tcPr>
            <w:tcW w:w="851" w:type="dxa"/>
            <w:tcBorders>
              <w:top w:val="nil"/>
              <w:left w:val="nil"/>
              <w:bottom w:val="single" w:sz="4" w:space="0" w:color="auto"/>
              <w:right w:val="single" w:sz="4" w:space="0" w:color="auto"/>
            </w:tcBorders>
            <w:shd w:val="clear" w:color="000000" w:fill="FFFFFF"/>
            <w:vAlign w:val="center"/>
            <w:hideMark/>
          </w:tcPr>
          <w:p w14:paraId="6B9DA47C" w14:textId="77777777" w:rsidR="00F22587" w:rsidRPr="000E5DBF" w:rsidRDefault="00F22587" w:rsidP="008A5C11">
            <w:pPr>
              <w:jc w:val="center"/>
              <w:rPr>
                <w:color w:val="000000"/>
                <w:sz w:val="16"/>
                <w:szCs w:val="16"/>
              </w:rPr>
            </w:pPr>
            <w:r w:rsidRPr="000E5DBF">
              <w:rPr>
                <w:color w:val="000000"/>
                <w:sz w:val="16"/>
                <w:szCs w:val="16"/>
              </w:rPr>
              <w:t>226,1</w:t>
            </w:r>
          </w:p>
        </w:tc>
        <w:tc>
          <w:tcPr>
            <w:tcW w:w="850" w:type="dxa"/>
            <w:tcBorders>
              <w:top w:val="nil"/>
              <w:left w:val="nil"/>
              <w:bottom w:val="single" w:sz="4" w:space="0" w:color="auto"/>
              <w:right w:val="single" w:sz="4" w:space="0" w:color="auto"/>
            </w:tcBorders>
            <w:shd w:val="clear" w:color="000000" w:fill="FFFFFF"/>
            <w:vAlign w:val="center"/>
            <w:hideMark/>
          </w:tcPr>
          <w:p w14:paraId="19BC12C6" w14:textId="77777777" w:rsidR="00F22587" w:rsidRPr="000E5DBF" w:rsidRDefault="00F22587" w:rsidP="008A5C11">
            <w:pPr>
              <w:jc w:val="center"/>
              <w:rPr>
                <w:color w:val="000000"/>
                <w:sz w:val="16"/>
                <w:szCs w:val="16"/>
              </w:rPr>
            </w:pPr>
            <w:r w:rsidRPr="000E5DBF">
              <w:rPr>
                <w:color w:val="000000"/>
                <w:sz w:val="16"/>
                <w:szCs w:val="16"/>
              </w:rPr>
              <w:t>226,1</w:t>
            </w:r>
          </w:p>
        </w:tc>
        <w:tc>
          <w:tcPr>
            <w:tcW w:w="851" w:type="dxa"/>
            <w:tcBorders>
              <w:top w:val="nil"/>
              <w:left w:val="nil"/>
              <w:bottom w:val="single" w:sz="4" w:space="0" w:color="auto"/>
              <w:right w:val="single" w:sz="4" w:space="0" w:color="auto"/>
            </w:tcBorders>
            <w:shd w:val="clear" w:color="000000" w:fill="FFFFFF"/>
            <w:vAlign w:val="center"/>
            <w:hideMark/>
          </w:tcPr>
          <w:p w14:paraId="5F28F4CB" w14:textId="77777777" w:rsidR="00F22587" w:rsidRPr="000E5DBF" w:rsidRDefault="00F22587" w:rsidP="008A5C11">
            <w:pPr>
              <w:jc w:val="center"/>
              <w:rPr>
                <w:color w:val="000000"/>
                <w:sz w:val="16"/>
                <w:szCs w:val="16"/>
              </w:rPr>
            </w:pPr>
            <w:r w:rsidRPr="000E5DBF">
              <w:rPr>
                <w:color w:val="000000"/>
                <w:sz w:val="16"/>
                <w:szCs w:val="16"/>
              </w:rPr>
              <w:t>180,8</w:t>
            </w:r>
          </w:p>
        </w:tc>
        <w:tc>
          <w:tcPr>
            <w:tcW w:w="850" w:type="dxa"/>
            <w:tcBorders>
              <w:top w:val="nil"/>
              <w:left w:val="nil"/>
              <w:bottom w:val="single" w:sz="4" w:space="0" w:color="auto"/>
              <w:right w:val="single" w:sz="4" w:space="0" w:color="auto"/>
            </w:tcBorders>
            <w:shd w:val="clear" w:color="000000" w:fill="FFFFFF"/>
            <w:vAlign w:val="center"/>
            <w:hideMark/>
          </w:tcPr>
          <w:p w14:paraId="4143F8CC" w14:textId="77777777" w:rsidR="00F22587" w:rsidRPr="000E5DBF" w:rsidRDefault="00F22587" w:rsidP="008A5C11">
            <w:pPr>
              <w:jc w:val="center"/>
              <w:rPr>
                <w:color w:val="000000"/>
                <w:sz w:val="16"/>
                <w:szCs w:val="16"/>
              </w:rPr>
            </w:pPr>
            <w:r w:rsidRPr="000E5DBF">
              <w:rPr>
                <w:color w:val="000000"/>
                <w:sz w:val="16"/>
                <w:szCs w:val="16"/>
              </w:rPr>
              <w:t>180,8</w:t>
            </w:r>
          </w:p>
        </w:tc>
        <w:tc>
          <w:tcPr>
            <w:tcW w:w="851" w:type="dxa"/>
            <w:tcBorders>
              <w:top w:val="nil"/>
              <w:left w:val="nil"/>
              <w:bottom w:val="single" w:sz="4" w:space="0" w:color="auto"/>
              <w:right w:val="single" w:sz="4" w:space="0" w:color="auto"/>
            </w:tcBorders>
            <w:shd w:val="clear" w:color="000000" w:fill="FFFFFF"/>
            <w:vAlign w:val="center"/>
            <w:hideMark/>
          </w:tcPr>
          <w:p w14:paraId="67AC76E9" w14:textId="77777777" w:rsidR="00F22587" w:rsidRPr="000E5DBF" w:rsidRDefault="00F22587" w:rsidP="008A5C11">
            <w:pPr>
              <w:jc w:val="center"/>
              <w:rPr>
                <w:color w:val="000000"/>
                <w:sz w:val="16"/>
                <w:szCs w:val="16"/>
              </w:rPr>
            </w:pPr>
            <w:r w:rsidRPr="000E5DBF">
              <w:rPr>
                <w:color w:val="000000"/>
                <w:sz w:val="16"/>
                <w:szCs w:val="16"/>
              </w:rPr>
              <w:t>180,8</w:t>
            </w:r>
          </w:p>
        </w:tc>
        <w:tc>
          <w:tcPr>
            <w:tcW w:w="850" w:type="dxa"/>
            <w:tcBorders>
              <w:top w:val="nil"/>
              <w:left w:val="nil"/>
              <w:bottom w:val="single" w:sz="4" w:space="0" w:color="auto"/>
              <w:right w:val="single" w:sz="4" w:space="0" w:color="auto"/>
            </w:tcBorders>
            <w:shd w:val="clear" w:color="000000" w:fill="FFFFFF"/>
            <w:vAlign w:val="center"/>
            <w:hideMark/>
          </w:tcPr>
          <w:p w14:paraId="5E5AA973" w14:textId="77777777" w:rsidR="00F22587" w:rsidRPr="000E5DBF" w:rsidRDefault="00F22587" w:rsidP="008A5C11">
            <w:pPr>
              <w:jc w:val="center"/>
              <w:rPr>
                <w:color w:val="000000"/>
                <w:sz w:val="16"/>
                <w:szCs w:val="16"/>
              </w:rPr>
            </w:pPr>
            <w:r w:rsidRPr="000E5DBF">
              <w:rPr>
                <w:color w:val="000000"/>
                <w:sz w:val="16"/>
                <w:szCs w:val="16"/>
              </w:rPr>
              <w:t>180,8</w:t>
            </w:r>
          </w:p>
        </w:tc>
        <w:tc>
          <w:tcPr>
            <w:tcW w:w="709" w:type="dxa"/>
            <w:tcBorders>
              <w:top w:val="nil"/>
              <w:left w:val="nil"/>
              <w:bottom w:val="single" w:sz="4" w:space="0" w:color="auto"/>
              <w:right w:val="single" w:sz="4" w:space="0" w:color="auto"/>
            </w:tcBorders>
            <w:shd w:val="clear" w:color="000000" w:fill="FFFFFF"/>
            <w:vAlign w:val="center"/>
            <w:hideMark/>
          </w:tcPr>
          <w:p w14:paraId="572394B1" w14:textId="77777777" w:rsidR="00F22587" w:rsidRPr="000E5DBF" w:rsidRDefault="00F22587" w:rsidP="008A5C11">
            <w:pPr>
              <w:jc w:val="center"/>
              <w:rPr>
                <w:color w:val="000000"/>
                <w:sz w:val="16"/>
                <w:szCs w:val="16"/>
              </w:rPr>
            </w:pPr>
            <w:r w:rsidRPr="000E5DBF">
              <w:rPr>
                <w:color w:val="000000"/>
                <w:sz w:val="16"/>
                <w:szCs w:val="16"/>
              </w:rPr>
              <w:t>180,8</w:t>
            </w:r>
          </w:p>
        </w:tc>
      </w:tr>
      <w:tr w:rsidR="00F22587" w:rsidRPr="000E5DBF" w14:paraId="7F74FEE1" w14:textId="77777777" w:rsidTr="008A5C11">
        <w:trPr>
          <w:trHeight w:val="60"/>
        </w:trPr>
        <w:tc>
          <w:tcPr>
            <w:tcW w:w="432" w:type="dxa"/>
            <w:tcBorders>
              <w:top w:val="nil"/>
              <w:left w:val="single" w:sz="4" w:space="0" w:color="auto"/>
              <w:bottom w:val="single" w:sz="4" w:space="0" w:color="auto"/>
              <w:right w:val="single" w:sz="4" w:space="0" w:color="auto"/>
            </w:tcBorders>
            <w:shd w:val="clear" w:color="auto" w:fill="auto"/>
            <w:noWrap/>
            <w:vAlign w:val="bottom"/>
            <w:hideMark/>
          </w:tcPr>
          <w:p w14:paraId="6BD06AE0" w14:textId="77777777" w:rsidR="00F22587" w:rsidRPr="000E5DBF" w:rsidRDefault="00F22587" w:rsidP="008A5C11">
            <w:pPr>
              <w:jc w:val="center"/>
              <w:rPr>
                <w:color w:val="000000"/>
                <w:sz w:val="16"/>
                <w:szCs w:val="16"/>
              </w:rPr>
            </w:pPr>
            <w:r w:rsidRPr="000E5DBF">
              <w:rPr>
                <w:color w:val="000000"/>
                <w:sz w:val="16"/>
                <w:szCs w:val="16"/>
              </w:rPr>
              <w:t>3</w:t>
            </w:r>
          </w:p>
        </w:tc>
        <w:tc>
          <w:tcPr>
            <w:tcW w:w="3452" w:type="dxa"/>
            <w:tcBorders>
              <w:top w:val="nil"/>
              <w:left w:val="nil"/>
              <w:bottom w:val="single" w:sz="4" w:space="0" w:color="auto"/>
              <w:right w:val="single" w:sz="4" w:space="0" w:color="auto"/>
            </w:tcBorders>
            <w:shd w:val="clear" w:color="000000" w:fill="FFFFFF"/>
            <w:vAlign w:val="center"/>
            <w:hideMark/>
          </w:tcPr>
          <w:p w14:paraId="35A11740" w14:textId="77777777" w:rsidR="00F22587" w:rsidRPr="000E5DBF" w:rsidRDefault="00F22587" w:rsidP="008A5C11">
            <w:pPr>
              <w:rPr>
                <w:color w:val="000000"/>
                <w:sz w:val="16"/>
                <w:szCs w:val="16"/>
              </w:rPr>
            </w:pPr>
            <w:r w:rsidRPr="000E5DBF">
              <w:rPr>
                <w:color w:val="000000"/>
                <w:sz w:val="16"/>
                <w:szCs w:val="16"/>
              </w:rPr>
              <w:t>Котельная школы №10</w:t>
            </w:r>
          </w:p>
        </w:tc>
        <w:tc>
          <w:tcPr>
            <w:tcW w:w="1418" w:type="dxa"/>
            <w:tcBorders>
              <w:top w:val="nil"/>
              <w:left w:val="nil"/>
              <w:bottom w:val="single" w:sz="4" w:space="0" w:color="auto"/>
              <w:right w:val="single" w:sz="4" w:space="0" w:color="auto"/>
            </w:tcBorders>
            <w:shd w:val="clear" w:color="000000" w:fill="FFFFFF"/>
            <w:noWrap/>
            <w:vAlign w:val="bottom"/>
            <w:hideMark/>
          </w:tcPr>
          <w:p w14:paraId="0005C01B" w14:textId="77777777" w:rsidR="00F22587" w:rsidRPr="000E5DBF" w:rsidRDefault="00F22587" w:rsidP="008A5C11">
            <w:pPr>
              <w:jc w:val="center"/>
              <w:rPr>
                <w:color w:val="000000"/>
                <w:sz w:val="16"/>
                <w:szCs w:val="16"/>
              </w:rPr>
            </w:pPr>
            <w:r w:rsidRPr="000E5DBF">
              <w:rPr>
                <w:color w:val="000000"/>
                <w:sz w:val="16"/>
                <w:szCs w:val="16"/>
              </w:rPr>
              <w:t>224,2</w:t>
            </w:r>
          </w:p>
        </w:tc>
        <w:tc>
          <w:tcPr>
            <w:tcW w:w="850" w:type="dxa"/>
            <w:tcBorders>
              <w:top w:val="nil"/>
              <w:left w:val="nil"/>
              <w:bottom w:val="single" w:sz="4" w:space="0" w:color="auto"/>
              <w:right w:val="single" w:sz="4" w:space="0" w:color="auto"/>
            </w:tcBorders>
            <w:shd w:val="clear" w:color="000000" w:fill="FFFFFF"/>
            <w:noWrap/>
            <w:vAlign w:val="bottom"/>
            <w:hideMark/>
          </w:tcPr>
          <w:p w14:paraId="77A774B7" w14:textId="77777777" w:rsidR="00F22587" w:rsidRPr="000E5DBF" w:rsidRDefault="00F22587" w:rsidP="008A5C11">
            <w:pPr>
              <w:jc w:val="center"/>
              <w:rPr>
                <w:color w:val="000000"/>
                <w:sz w:val="16"/>
                <w:szCs w:val="16"/>
              </w:rPr>
            </w:pPr>
            <w:r w:rsidRPr="000E5DBF">
              <w:rPr>
                <w:color w:val="000000"/>
                <w:sz w:val="16"/>
                <w:szCs w:val="16"/>
              </w:rPr>
              <w:t>224,2</w:t>
            </w:r>
          </w:p>
        </w:tc>
        <w:tc>
          <w:tcPr>
            <w:tcW w:w="851" w:type="dxa"/>
            <w:tcBorders>
              <w:top w:val="nil"/>
              <w:left w:val="nil"/>
              <w:bottom w:val="single" w:sz="4" w:space="0" w:color="auto"/>
              <w:right w:val="single" w:sz="4" w:space="0" w:color="auto"/>
            </w:tcBorders>
            <w:shd w:val="clear" w:color="000000" w:fill="FFFFFF"/>
            <w:noWrap/>
            <w:vAlign w:val="bottom"/>
            <w:hideMark/>
          </w:tcPr>
          <w:p w14:paraId="6E35976D" w14:textId="77777777" w:rsidR="00F22587" w:rsidRPr="000E5DBF" w:rsidRDefault="00F22587" w:rsidP="008A5C11">
            <w:pPr>
              <w:jc w:val="center"/>
              <w:rPr>
                <w:color w:val="000000"/>
                <w:sz w:val="16"/>
                <w:szCs w:val="16"/>
              </w:rPr>
            </w:pPr>
            <w:r w:rsidRPr="000E5DBF">
              <w:rPr>
                <w:color w:val="000000"/>
                <w:sz w:val="16"/>
                <w:szCs w:val="16"/>
              </w:rPr>
              <w:t>224,2</w:t>
            </w:r>
          </w:p>
        </w:tc>
        <w:tc>
          <w:tcPr>
            <w:tcW w:w="850" w:type="dxa"/>
            <w:tcBorders>
              <w:top w:val="nil"/>
              <w:left w:val="nil"/>
              <w:bottom w:val="single" w:sz="4" w:space="0" w:color="auto"/>
              <w:right w:val="single" w:sz="4" w:space="0" w:color="auto"/>
            </w:tcBorders>
            <w:shd w:val="clear" w:color="000000" w:fill="FFFFFF"/>
            <w:noWrap/>
            <w:vAlign w:val="bottom"/>
            <w:hideMark/>
          </w:tcPr>
          <w:p w14:paraId="18FF1D79" w14:textId="77777777" w:rsidR="00F22587" w:rsidRPr="000E5DBF" w:rsidRDefault="00F22587" w:rsidP="008A5C11">
            <w:pPr>
              <w:jc w:val="center"/>
              <w:rPr>
                <w:color w:val="000000"/>
                <w:sz w:val="16"/>
                <w:szCs w:val="16"/>
              </w:rPr>
            </w:pPr>
            <w:r w:rsidRPr="000E5DBF">
              <w:rPr>
                <w:color w:val="000000"/>
                <w:sz w:val="16"/>
                <w:szCs w:val="16"/>
              </w:rPr>
              <w:t>224,2</w:t>
            </w:r>
          </w:p>
        </w:tc>
        <w:tc>
          <w:tcPr>
            <w:tcW w:w="851" w:type="dxa"/>
            <w:tcBorders>
              <w:top w:val="nil"/>
              <w:left w:val="nil"/>
              <w:bottom w:val="single" w:sz="4" w:space="0" w:color="auto"/>
              <w:right w:val="single" w:sz="4" w:space="0" w:color="auto"/>
            </w:tcBorders>
            <w:shd w:val="clear" w:color="000000" w:fill="FFFFFF"/>
            <w:noWrap/>
            <w:vAlign w:val="bottom"/>
            <w:hideMark/>
          </w:tcPr>
          <w:p w14:paraId="0E1A5B97" w14:textId="77777777" w:rsidR="00F22587" w:rsidRPr="000E5DBF" w:rsidRDefault="00F22587" w:rsidP="008A5C11">
            <w:pPr>
              <w:jc w:val="center"/>
              <w:rPr>
                <w:color w:val="000000"/>
                <w:sz w:val="16"/>
                <w:szCs w:val="16"/>
              </w:rPr>
            </w:pPr>
            <w:r w:rsidRPr="000E5DBF">
              <w:rPr>
                <w:color w:val="000000"/>
                <w:sz w:val="16"/>
                <w:szCs w:val="16"/>
              </w:rPr>
              <w:t>224,2</w:t>
            </w:r>
          </w:p>
        </w:tc>
        <w:tc>
          <w:tcPr>
            <w:tcW w:w="850" w:type="dxa"/>
            <w:tcBorders>
              <w:top w:val="nil"/>
              <w:left w:val="nil"/>
              <w:bottom w:val="single" w:sz="4" w:space="0" w:color="auto"/>
              <w:right w:val="single" w:sz="4" w:space="0" w:color="auto"/>
            </w:tcBorders>
            <w:shd w:val="clear" w:color="000000" w:fill="FFFFFF"/>
            <w:noWrap/>
            <w:vAlign w:val="bottom"/>
            <w:hideMark/>
          </w:tcPr>
          <w:p w14:paraId="24385EEA" w14:textId="77777777" w:rsidR="00F22587" w:rsidRPr="000E5DBF" w:rsidRDefault="00F22587" w:rsidP="008A5C11">
            <w:pPr>
              <w:jc w:val="center"/>
              <w:rPr>
                <w:color w:val="000000"/>
                <w:sz w:val="16"/>
                <w:szCs w:val="16"/>
              </w:rPr>
            </w:pPr>
            <w:r w:rsidRPr="000E5DBF">
              <w:rPr>
                <w:color w:val="000000"/>
                <w:sz w:val="16"/>
                <w:szCs w:val="16"/>
              </w:rPr>
              <w:t>224,2</w:t>
            </w:r>
          </w:p>
        </w:tc>
        <w:tc>
          <w:tcPr>
            <w:tcW w:w="851" w:type="dxa"/>
            <w:tcBorders>
              <w:top w:val="nil"/>
              <w:left w:val="nil"/>
              <w:bottom w:val="single" w:sz="4" w:space="0" w:color="auto"/>
              <w:right w:val="single" w:sz="4" w:space="0" w:color="auto"/>
            </w:tcBorders>
            <w:shd w:val="clear" w:color="000000" w:fill="FFFFFF"/>
            <w:noWrap/>
            <w:vAlign w:val="bottom"/>
            <w:hideMark/>
          </w:tcPr>
          <w:p w14:paraId="219DED2F" w14:textId="77777777" w:rsidR="00F22587" w:rsidRPr="000E5DBF" w:rsidRDefault="00F22587" w:rsidP="008A5C11">
            <w:pPr>
              <w:jc w:val="center"/>
              <w:rPr>
                <w:color w:val="000000"/>
                <w:sz w:val="16"/>
                <w:szCs w:val="16"/>
              </w:rPr>
            </w:pPr>
            <w:r w:rsidRPr="000E5DBF">
              <w:rPr>
                <w:color w:val="000000"/>
                <w:sz w:val="16"/>
                <w:szCs w:val="16"/>
              </w:rPr>
              <w:t>224,2</w:t>
            </w:r>
          </w:p>
        </w:tc>
        <w:tc>
          <w:tcPr>
            <w:tcW w:w="850" w:type="dxa"/>
            <w:tcBorders>
              <w:top w:val="nil"/>
              <w:left w:val="nil"/>
              <w:bottom w:val="single" w:sz="4" w:space="0" w:color="auto"/>
              <w:right w:val="single" w:sz="4" w:space="0" w:color="auto"/>
            </w:tcBorders>
            <w:shd w:val="clear" w:color="000000" w:fill="FFFFFF"/>
            <w:noWrap/>
            <w:vAlign w:val="bottom"/>
            <w:hideMark/>
          </w:tcPr>
          <w:p w14:paraId="42A0E410" w14:textId="77777777" w:rsidR="00F22587" w:rsidRPr="000E5DBF" w:rsidRDefault="00F22587" w:rsidP="008A5C11">
            <w:pPr>
              <w:jc w:val="center"/>
              <w:rPr>
                <w:color w:val="000000"/>
                <w:sz w:val="16"/>
                <w:szCs w:val="16"/>
              </w:rPr>
            </w:pPr>
            <w:r w:rsidRPr="000E5DBF">
              <w:rPr>
                <w:color w:val="000000"/>
                <w:sz w:val="16"/>
                <w:szCs w:val="16"/>
              </w:rPr>
              <w:t>224,2</w:t>
            </w:r>
          </w:p>
        </w:tc>
        <w:tc>
          <w:tcPr>
            <w:tcW w:w="851" w:type="dxa"/>
            <w:tcBorders>
              <w:top w:val="nil"/>
              <w:left w:val="nil"/>
              <w:bottom w:val="single" w:sz="4" w:space="0" w:color="auto"/>
              <w:right w:val="single" w:sz="4" w:space="0" w:color="auto"/>
            </w:tcBorders>
            <w:shd w:val="clear" w:color="000000" w:fill="FFFFFF"/>
            <w:noWrap/>
            <w:vAlign w:val="bottom"/>
            <w:hideMark/>
          </w:tcPr>
          <w:p w14:paraId="315A184C" w14:textId="77777777" w:rsidR="00F22587" w:rsidRPr="000E5DBF" w:rsidRDefault="00F22587" w:rsidP="008A5C11">
            <w:pPr>
              <w:jc w:val="center"/>
              <w:rPr>
                <w:color w:val="000000"/>
                <w:sz w:val="16"/>
                <w:szCs w:val="16"/>
              </w:rPr>
            </w:pPr>
            <w:r w:rsidRPr="000E5DBF">
              <w:rPr>
                <w:color w:val="000000"/>
                <w:sz w:val="16"/>
                <w:szCs w:val="16"/>
              </w:rPr>
              <w:t>224,2</w:t>
            </w:r>
          </w:p>
        </w:tc>
        <w:tc>
          <w:tcPr>
            <w:tcW w:w="850" w:type="dxa"/>
            <w:tcBorders>
              <w:top w:val="nil"/>
              <w:left w:val="nil"/>
              <w:bottom w:val="single" w:sz="4" w:space="0" w:color="auto"/>
              <w:right w:val="single" w:sz="4" w:space="0" w:color="auto"/>
            </w:tcBorders>
            <w:shd w:val="clear" w:color="000000" w:fill="FFFFFF"/>
            <w:noWrap/>
            <w:vAlign w:val="bottom"/>
            <w:hideMark/>
          </w:tcPr>
          <w:p w14:paraId="6862F752" w14:textId="77777777" w:rsidR="00F22587" w:rsidRPr="000E5DBF" w:rsidRDefault="00F22587" w:rsidP="008A5C11">
            <w:pPr>
              <w:jc w:val="center"/>
              <w:rPr>
                <w:color w:val="000000"/>
                <w:sz w:val="16"/>
                <w:szCs w:val="16"/>
              </w:rPr>
            </w:pPr>
            <w:r w:rsidRPr="000E5DBF">
              <w:rPr>
                <w:color w:val="000000"/>
                <w:sz w:val="16"/>
                <w:szCs w:val="16"/>
              </w:rPr>
              <w:t>224,2</w:t>
            </w:r>
          </w:p>
        </w:tc>
        <w:tc>
          <w:tcPr>
            <w:tcW w:w="851" w:type="dxa"/>
            <w:tcBorders>
              <w:top w:val="nil"/>
              <w:left w:val="nil"/>
              <w:bottom w:val="single" w:sz="4" w:space="0" w:color="auto"/>
              <w:right w:val="single" w:sz="4" w:space="0" w:color="auto"/>
            </w:tcBorders>
            <w:shd w:val="clear" w:color="000000" w:fill="FFFFFF"/>
            <w:noWrap/>
            <w:vAlign w:val="bottom"/>
            <w:hideMark/>
          </w:tcPr>
          <w:p w14:paraId="37B6EB38" w14:textId="77777777" w:rsidR="00F22587" w:rsidRPr="000E5DBF" w:rsidRDefault="00F22587" w:rsidP="008A5C11">
            <w:pPr>
              <w:jc w:val="center"/>
              <w:rPr>
                <w:color w:val="000000"/>
                <w:sz w:val="16"/>
                <w:szCs w:val="16"/>
              </w:rPr>
            </w:pPr>
            <w:r w:rsidRPr="000E5DBF">
              <w:rPr>
                <w:color w:val="000000"/>
                <w:sz w:val="16"/>
                <w:szCs w:val="16"/>
              </w:rPr>
              <w:t>224,2</w:t>
            </w:r>
          </w:p>
        </w:tc>
        <w:tc>
          <w:tcPr>
            <w:tcW w:w="850" w:type="dxa"/>
            <w:tcBorders>
              <w:top w:val="nil"/>
              <w:left w:val="nil"/>
              <w:bottom w:val="single" w:sz="4" w:space="0" w:color="auto"/>
              <w:right w:val="single" w:sz="4" w:space="0" w:color="auto"/>
            </w:tcBorders>
            <w:shd w:val="clear" w:color="000000" w:fill="FFFFFF"/>
            <w:noWrap/>
            <w:vAlign w:val="bottom"/>
            <w:hideMark/>
          </w:tcPr>
          <w:p w14:paraId="7F6A826E" w14:textId="77777777" w:rsidR="00F22587" w:rsidRPr="000E5DBF" w:rsidRDefault="00F22587" w:rsidP="008A5C11">
            <w:pPr>
              <w:jc w:val="center"/>
              <w:rPr>
                <w:color w:val="000000"/>
                <w:sz w:val="16"/>
                <w:szCs w:val="16"/>
              </w:rPr>
            </w:pPr>
            <w:r w:rsidRPr="000E5DBF">
              <w:rPr>
                <w:color w:val="000000"/>
                <w:sz w:val="16"/>
                <w:szCs w:val="16"/>
              </w:rPr>
              <w:t>224,2</w:t>
            </w:r>
          </w:p>
        </w:tc>
        <w:tc>
          <w:tcPr>
            <w:tcW w:w="709" w:type="dxa"/>
            <w:tcBorders>
              <w:top w:val="nil"/>
              <w:left w:val="nil"/>
              <w:bottom w:val="single" w:sz="4" w:space="0" w:color="auto"/>
              <w:right w:val="single" w:sz="4" w:space="0" w:color="auto"/>
            </w:tcBorders>
            <w:shd w:val="clear" w:color="000000" w:fill="FFFFFF"/>
            <w:noWrap/>
            <w:vAlign w:val="bottom"/>
            <w:hideMark/>
          </w:tcPr>
          <w:p w14:paraId="341AB3EB" w14:textId="77777777" w:rsidR="00F22587" w:rsidRPr="000E5DBF" w:rsidRDefault="00F22587" w:rsidP="008A5C11">
            <w:pPr>
              <w:jc w:val="center"/>
              <w:rPr>
                <w:color w:val="000000"/>
                <w:sz w:val="16"/>
                <w:szCs w:val="16"/>
              </w:rPr>
            </w:pPr>
            <w:r w:rsidRPr="000E5DBF">
              <w:rPr>
                <w:color w:val="000000"/>
                <w:sz w:val="16"/>
                <w:szCs w:val="16"/>
              </w:rPr>
              <w:t>154,59</w:t>
            </w:r>
          </w:p>
        </w:tc>
      </w:tr>
      <w:tr w:rsidR="00F22587" w:rsidRPr="000E5DBF" w14:paraId="75DCA5BE" w14:textId="77777777" w:rsidTr="008A5C11">
        <w:trPr>
          <w:trHeight w:val="60"/>
        </w:trPr>
        <w:tc>
          <w:tcPr>
            <w:tcW w:w="432" w:type="dxa"/>
            <w:tcBorders>
              <w:top w:val="nil"/>
              <w:left w:val="single" w:sz="4" w:space="0" w:color="auto"/>
              <w:bottom w:val="single" w:sz="4" w:space="0" w:color="auto"/>
              <w:right w:val="single" w:sz="4" w:space="0" w:color="auto"/>
            </w:tcBorders>
            <w:shd w:val="clear" w:color="auto" w:fill="auto"/>
            <w:noWrap/>
            <w:vAlign w:val="bottom"/>
            <w:hideMark/>
          </w:tcPr>
          <w:p w14:paraId="46630D00" w14:textId="77777777" w:rsidR="00F22587" w:rsidRPr="000E5DBF" w:rsidRDefault="00F22587" w:rsidP="008A5C11">
            <w:pPr>
              <w:jc w:val="center"/>
              <w:rPr>
                <w:color w:val="000000"/>
                <w:sz w:val="16"/>
                <w:szCs w:val="16"/>
              </w:rPr>
            </w:pPr>
            <w:r w:rsidRPr="000E5DBF">
              <w:rPr>
                <w:color w:val="000000"/>
                <w:sz w:val="16"/>
                <w:szCs w:val="16"/>
              </w:rPr>
              <w:t>4</w:t>
            </w:r>
          </w:p>
        </w:tc>
        <w:tc>
          <w:tcPr>
            <w:tcW w:w="3452" w:type="dxa"/>
            <w:tcBorders>
              <w:top w:val="nil"/>
              <w:left w:val="nil"/>
              <w:bottom w:val="single" w:sz="4" w:space="0" w:color="auto"/>
              <w:right w:val="single" w:sz="4" w:space="0" w:color="auto"/>
            </w:tcBorders>
            <w:shd w:val="clear" w:color="000000" w:fill="FFFFFF"/>
            <w:vAlign w:val="center"/>
            <w:hideMark/>
          </w:tcPr>
          <w:p w14:paraId="60F69E3A" w14:textId="77777777" w:rsidR="00F22587" w:rsidRPr="000E5DBF" w:rsidRDefault="00F22587" w:rsidP="008A5C11">
            <w:pPr>
              <w:rPr>
                <w:color w:val="000000"/>
                <w:sz w:val="16"/>
                <w:szCs w:val="16"/>
              </w:rPr>
            </w:pPr>
            <w:r w:rsidRPr="000E5DBF">
              <w:rPr>
                <w:color w:val="000000"/>
                <w:sz w:val="16"/>
                <w:szCs w:val="16"/>
              </w:rPr>
              <w:t>Котельная школы №15</w:t>
            </w:r>
          </w:p>
        </w:tc>
        <w:tc>
          <w:tcPr>
            <w:tcW w:w="1418" w:type="dxa"/>
            <w:tcBorders>
              <w:top w:val="nil"/>
              <w:left w:val="nil"/>
              <w:bottom w:val="single" w:sz="4" w:space="0" w:color="auto"/>
              <w:right w:val="single" w:sz="4" w:space="0" w:color="auto"/>
            </w:tcBorders>
            <w:shd w:val="clear" w:color="000000" w:fill="FFFFFF"/>
            <w:noWrap/>
            <w:vAlign w:val="bottom"/>
            <w:hideMark/>
          </w:tcPr>
          <w:p w14:paraId="7021001E" w14:textId="77777777" w:rsidR="00F22587" w:rsidRPr="000E5DBF" w:rsidRDefault="00F22587" w:rsidP="008A5C11">
            <w:pPr>
              <w:jc w:val="center"/>
              <w:rPr>
                <w:color w:val="000000"/>
                <w:sz w:val="16"/>
                <w:szCs w:val="16"/>
              </w:rPr>
            </w:pPr>
            <w:r w:rsidRPr="000E5DBF">
              <w:rPr>
                <w:color w:val="000000"/>
                <w:sz w:val="16"/>
                <w:szCs w:val="16"/>
              </w:rPr>
              <w:t>222,8</w:t>
            </w:r>
          </w:p>
        </w:tc>
        <w:tc>
          <w:tcPr>
            <w:tcW w:w="850" w:type="dxa"/>
            <w:tcBorders>
              <w:top w:val="nil"/>
              <w:left w:val="nil"/>
              <w:bottom w:val="single" w:sz="4" w:space="0" w:color="auto"/>
              <w:right w:val="single" w:sz="4" w:space="0" w:color="auto"/>
            </w:tcBorders>
            <w:shd w:val="clear" w:color="000000" w:fill="FFFFFF"/>
            <w:noWrap/>
            <w:vAlign w:val="bottom"/>
            <w:hideMark/>
          </w:tcPr>
          <w:p w14:paraId="3D0E7210" w14:textId="77777777" w:rsidR="00F22587" w:rsidRPr="000E5DBF" w:rsidRDefault="00F22587" w:rsidP="008A5C11">
            <w:pPr>
              <w:jc w:val="center"/>
              <w:rPr>
                <w:color w:val="000000"/>
                <w:sz w:val="16"/>
                <w:szCs w:val="16"/>
              </w:rPr>
            </w:pPr>
            <w:r w:rsidRPr="000E5DBF">
              <w:rPr>
                <w:color w:val="000000"/>
                <w:sz w:val="16"/>
                <w:szCs w:val="16"/>
              </w:rPr>
              <w:t>222,8</w:t>
            </w:r>
          </w:p>
        </w:tc>
        <w:tc>
          <w:tcPr>
            <w:tcW w:w="851" w:type="dxa"/>
            <w:tcBorders>
              <w:top w:val="nil"/>
              <w:left w:val="nil"/>
              <w:bottom w:val="single" w:sz="4" w:space="0" w:color="auto"/>
              <w:right w:val="single" w:sz="4" w:space="0" w:color="auto"/>
            </w:tcBorders>
            <w:shd w:val="clear" w:color="000000" w:fill="FFFFFF"/>
            <w:noWrap/>
            <w:vAlign w:val="bottom"/>
            <w:hideMark/>
          </w:tcPr>
          <w:p w14:paraId="6E3AB0B1" w14:textId="77777777" w:rsidR="00F22587" w:rsidRPr="000E5DBF" w:rsidRDefault="00F22587" w:rsidP="008A5C11">
            <w:pPr>
              <w:jc w:val="center"/>
              <w:rPr>
                <w:color w:val="000000"/>
                <w:sz w:val="16"/>
                <w:szCs w:val="16"/>
              </w:rPr>
            </w:pPr>
            <w:r w:rsidRPr="000E5DBF">
              <w:rPr>
                <w:color w:val="000000"/>
                <w:sz w:val="16"/>
                <w:szCs w:val="16"/>
              </w:rPr>
              <w:t>222,8</w:t>
            </w:r>
          </w:p>
        </w:tc>
        <w:tc>
          <w:tcPr>
            <w:tcW w:w="850" w:type="dxa"/>
            <w:tcBorders>
              <w:top w:val="nil"/>
              <w:left w:val="nil"/>
              <w:bottom w:val="single" w:sz="4" w:space="0" w:color="auto"/>
              <w:right w:val="single" w:sz="4" w:space="0" w:color="auto"/>
            </w:tcBorders>
            <w:shd w:val="clear" w:color="000000" w:fill="FFFFFF"/>
            <w:noWrap/>
            <w:vAlign w:val="bottom"/>
            <w:hideMark/>
          </w:tcPr>
          <w:p w14:paraId="5C99712F" w14:textId="77777777" w:rsidR="00F22587" w:rsidRPr="000E5DBF" w:rsidRDefault="00F22587" w:rsidP="008A5C11">
            <w:pPr>
              <w:jc w:val="center"/>
              <w:rPr>
                <w:color w:val="000000"/>
                <w:sz w:val="16"/>
                <w:szCs w:val="16"/>
              </w:rPr>
            </w:pPr>
            <w:r w:rsidRPr="000E5DBF">
              <w:rPr>
                <w:color w:val="000000"/>
                <w:sz w:val="16"/>
                <w:szCs w:val="16"/>
              </w:rPr>
              <w:t>222,8</w:t>
            </w:r>
          </w:p>
        </w:tc>
        <w:tc>
          <w:tcPr>
            <w:tcW w:w="851" w:type="dxa"/>
            <w:tcBorders>
              <w:top w:val="nil"/>
              <w:left w:val="nil"/>
              <w:bottom w:val="single" w:sz="4" w:space="0" w:color="auto"/>
              <w:right w:val="single" w:sz="4" w:space="0" w:color="auto"/>
            </w:tcBorders>
            <w:shd w:val="clear" w:color="000000" w:fill="FFFFFF"/>
            <w:noWrap/>
            <w:vAlign w:val="bottom"/>
            <w:hideMark/>
          </w:tcPr>
          <w:p w14:paraId="0597EDB9" w14:textId="77777777" w:rsidR="00F22587" w:rsidRPr="000E5DBF" w:rsidRDefault="00F22587" w:rsidP="008A5C11">
            <w:pPr>
              <w:jc w:val="center"/>
              <w:rPr>
                <w:color w:val="000000"/>
                <w:sz w:val="16"/>
                <w:szCs w:val="16"/>
              </w:rPr>
            </w:pPr>
            <w:r w:rsidRPr="000E5DBF">
              <w:rPr>
                <w:color w:val="000000"/>
                <w:sz w:val="16"/>
                <w:szCs w:val="16"/>
              </w:rPr>
              <w:t>222,8</w:t>
            </w:r>
          </w:p>
        </w:tc>
        <w:tc>
          <w:tcPr>
            <w:tcW w:w="850" w:type="dxa"/>
            <w:tcBorders>
              <w:top w:val="nil"/>
              <w:left w:val="nil"/>
              <w:bottom w:val="single" w:sz="4" w:space="0" w:color="auto"/>
              <w:right w:val="single" w:sz="4" w:space="0" w:color="auto"/>
            </w:tcBorders>
            <w:shd w:val="clear" w:color="000000" w:fill="FFFFFF"/>
            <w:noWrap/>
            <w:vAlign w:val="bottom"/>
            <w:hideMark/>
          </w:tcPr>
          <w:p w14:paraId="308776EC" w14:textId="77777777" w:rsidR="00F22587" w:rsidRPr="000E5DBF" w:rsidRDefault="00F22587" w:rsidP="008A5C11">
            <w:pPr>
              <w:jc w:val="center"/>
              <w:rPr>
                <w:color w:val="000000"/>
                <w:sz w:val="16"/>
                <w:szCs w:val="16"/>
              </w:rPr>
            </w:pPr>
            <w:r w:rsidRPr="000E5DBF">
              <w:rPr>
                <w:color w:val="000000"/>
                <w:sz w:val="16"/>
                <w:szCs w:val="16"/>
              </w:rPr>
              <w:t>222,8</w:t>
            </w:r>
          </w:p>
        </w:tc>
        <w:tc>
          <w:tcPr>
            <w:tcW w:w="851" w:type="dxa"/>
            <w:tcBorders>
              <w:top w:val="nil"/>
              <w:left w:val="nil"/>
              <w:bottom w:val="single" w:sz="4" w:space="0" w:color="auto"/>
              <w:right w:val="single" w:sz="4" w:space="0" w:color="auto"/>
            </w:tcBorders>
            <w:shd w:val="clear" w:color="000000" w:fill="FFFFFF"/>
            <w:noWrap/>
            <w:vAlign w:val="bottom"/>
            <w:hideMark/>
          </w:tcPr>
          <w:p w14:paraId="57EA15B9" w14:textId="77777777" w:rsidR="00F22587" w:rsidRPr="000E5DBF" w:rsidRDefault="00F22587" w:rsidP="008A5C11">
            <w:pPr>
              <w:jc w:val="center"/>
              <w:rPr>
                <w:color w:val="000000"/>
                <w:sz w:val="16"/>
                <w:szCs w:val="16"/>
              </w:rPr>
            </w:pPr>
            <w:r w:rsidRPr="000E5DBF">
              <w:rPr>
                <w:color w:val="000000"/>
                <w:sz w:val="16"/>
                <w:szCs w:val="16"/>
              </w:rPr>
              <w:t>222,8</w:t>
            </w:r>
          </w:p>
        </w:tc>
        <w:tc>
          <w:tcPr>
            <w:tcW w:w="850" w:type="dxa"/>
            <w:tcBorders>
              <w:top w:val="nil"/>
              <w:left w:val="nil"/>
              <w:bottom w:val="single" w:sz="4" w:space="0" w:color="auto"/>
              <w:right w:val="single" w:sz="4" w:space="0" w:color="auto"/>
            </w:tcBorders>
            <w:shd w:val="clear" w:color="000000" w:fill="FFFFFF"/>
            <w:noWrap/>
            <w:vAlign w:val="bottom"/>
            <w:hideMark/>
          </w:tcPr>
          <w:p w14:paraId="4A5039D1" w14:textId="77777777" w:rsidR="00F22587" w:rsidRPr="000E5DBF" w:rsidRDefault="00F22587" w:rsidP="008A5C11">
            <w:pPr>
              <w:jc w:val="center"/>
              <w:rPr>
                <w:color w:val="000000"/>
                <w:sz w:val="16"/>
                <w:szCs w:val="16"/>
              </w:rPr>
            </w:pPr>
            <w:r w:rsidRPr="000E5DBF">
              <w:rPr>
                <w:color w:val="000000"/>
                <w:sz w:val="16"/>
                <w:szCs w:val="16"/>
              </w:rPr>
              <w:t>222,8</w:t>
            </w:r>
          </w:p>
        </w:tc>
        <w:tc>
          <w:tcPr>
            <w:tcW w:w="851" w:type="dxa"/>
            <w:tcBorders>
              <w:top w:val="nil"/>
              <w:left w:val="nil"/>
              <w:bottom w:val="single" w:sz="4" w:space="0" w:color="auto"/>
              <w:right w:val="single" w:sz="4" w:space="0" w:color="auto"/>
            </w:tcBorders>
            <w:shd w:val="clear" w:color="000000" w:fill="FFFFFF"/>
            <w:noWrap/>
            <w:vAlign w:val="bottom"/>
            <w:hideMark/>
          </w:tcPr>
          <w:p w14:paraId="02C6D814" w14:textId="77777777" w:rsidR="00F22587" w:rsidRPr="000E5DBF" w:rsidRDefault="00F22587" w:rsidP="008A5C11">
            <w:pPr>
              <w:jc w:val="center"/>
              <w:rPr>
                <w:color w:val="000000"/>
                <w:sz w:val="16"/>
                <w:szCs w:val="16"/>
              </w:rPr>
            </w:pPr>
            <w:r w:rsidRPr="000E5DBF">
              <w:rPr>
                <w:color w:val="000000"/>
                <w:sz w:val="16"/>
                <w:szCs w:val="16"/>
              </w:rPr>
              <w:t>222,8</w:t>
            </w:r>
          </w:p>
        </w:tc>
        <w:tc>
          <w:tcPr>
            <w:tcW w:w="850" w:type="dxa"/>
            <w:tcBorders>
              <w:top w:val="nil"/>
              <w:left w:val="nil"/>
              <w:bottom w:val="single" w:sz="4" w:space="0" w:color="auto"/>
              <w:right w:val="single" w:sz="4" w:space="0" w:color="auto"/>
            </w:tcBorders>
            <w:shd w:val="clear" w:color="000000" w:fill="FFFFFF"/>
            <w:noWrap/>
            <w:vAlign w:val="bottom"/>
            <w:hideMark/>
          </w:tcPr>
          <w:p w14:paraId="215C1FE1" w14:textId="77777777" w:rsidR="00F22587" w:rsidRPr="000E5DBF" w:rsidRDefault="00F22587" w:rsidP="008A5C11">
            <w:pPr>
              <w:jc w:val="center"/>
              <w:rPr>
                <w:color w:val="000000"/>
                <w:sz w:val="16"/>
                <w:szCs w:val="16"/>
              </w:rPr>
            </w:pPr>
            <w:r w:rsidRPr="000E5DBF">
              <w:rPr>
                <w:color w:val="000000"/>
                <w:sz w:val="16"/>
                <w:szCs w:val="16"/>
              </w:rPr>
              <w:t>222,8</w:t>
            </w:r>
          </w:p>
        </w:tc>
        <w:tc>
          <w:tcPr>
            <w:tcW w:w="851" w:type="dxa"/>
            <w:tcBorders>
              <w:top w:val="nil"/>
              <w:left w:val="nil"/>
              <w:bottom w:val="single" w:sz="4" w:space="0" w:color="auto"/>
              <w:right w:val="single" w:sz="4" w:space="0" w:color="auto"/>
            </w:tcBorders>
            <w:shd w:val="clear" w:color="000000" w:fill="FFFFFF"/>
            <w:noWrap/>
            <w:vAlign w:val="bottom"/>
            <w:hideMark/>
          </w:tcPr>
          <w:p w14:paraId="663FBF73" w14:textId="77777777" w:rsidR="00F22587" w:rsidRPr="000E5DBF" w:rsidRDefault="00F22587" w:rsidP="008A5C11">
            <w:pPr>
              <w:jc w:val="center"/>
              <w:rPr>
                <w:color w:val="000000"/>
                <w:sz w:val="16"/>
                <w:szCs w:val="16"/>
              </w:rPr>
            </w:pPr>
            <w:r w:rsidRPr="000E5DBF">
              <w:rPr>
                <w:color w:val="000000"/>
                <w:sz w:val="16"/>
                <w:szCs w:val="16"/>
              </w:rPr>
              <w:t>222,8</w:t>
            </w:r>
          </w:p>
        </w:tc>
        <w:tc>
          <w:tcPr>
            <w:tcW w:w="850" w:type="dxa"/>
            <w:tcBorders>
              <w:top w:val="nil"/>
              <w:left w:val="nil"/>
              <w:bottom w:val="single" w:sz="4" w:space="0" w:color="auto"/>
              <w:right w:val="single" w:sz="4" w:space="0" w:color="auto"/>
            </w:tcBorders>
            <w:shd w:val="clear" w:color="000000" w:fill="FFFFFF"/>
            <w:noWrap/>
            <w:vAlign w:val="bottom"/>
            <w:hideMark/>
          </w:tcPr>
          <w:p w14:paraId="36A07EE9" w14:textId="77777777" w:rsidR="00F22587" w:rsidRPr="000E5DBF" w:rsidRDefault="00F22587" w:rsidP="008A5C11">
            <w:pPr>
              <w:jc w:val="center"/>
              <w:rPr>
                <w:color w:val="000000"/>
                <w:sz w:val="16"/>
                <w:szCs w:val="16"/>
              </w:rPr>
            </w:pPr>
            <w:r w:rsidRPr="000E5DBF">
              <w:rPr>
                <w:color w:val="000000"/>
                <w:sz w:val="16"/>
                <w:szCs w:val="16"/>
              </w:rPr>
              <w:t>153,47</w:t>
            </w:r>
          </w:p>
        </w:tc>
        <w:tc>
          <w:tcPr>
            <w:tcW w:w="709" w:type="dxa"/>
            <w:tcBorders>
              <w:top w:val="nil"/>
              <w:left w:val="nil"/>
              <w:bottom w:val="single" w:sz="4" w:space="0" w:color="auto"/>
              <w:right w:val="single" w:sz="4" w:space="0" w:color="auto"/>
            </w:tcBorders>
            <w:shd w:val="clear" w:color="000000" w:fill="FFFFFF"/>
            <w:noWrap/>
            <w:vAlign w:val="bottom"/>
            <w:hideMark/>
          </w:tcPr>
          <w:p w14:paraId="46318C35" w14:textId="77777777" w:rsidR="00F22587" w:rsidRPr="000E5DBF" w:rsidRDefault="00F22587" w:rsidP="008A5C11">
            <w:pPr>
              <w:jc w:val="center"/>
              <w:rPr>
                <w:color w:val="000000"/>
                <w:sz w:val="16"/>
                <w:szCs w:val="16"/>
              </w:rPr>
            </w:pPr>
            <w:r w:rsidRPr="000E5DBF">
              <w:rPr>
                <w:color w:val="000000"/>
                <w:sz w:val="16"/>
                <w:szCs w:val="16"/>
              </w:rPr>
              <w:t>153,47</w:t>
            </w:r>
          </w:p>
        </w:tc>
      </w:tr>
    </w:tbl>
    <w:p w14:paraId="2CCF57B8" w14:textId="77777777" w:rsidR="00F22587" w:rsidRPr="000E5DBF" w:rsidRDefault="00F22587" w:rsidP="00F22587">
      <w:pPr>
        <w:jc w:val="center"/>
        <w:rPr>
          <w:b/>
          <w:bCs/>
          <w:sz w:val="28"/>
          <w:szCs w:val="28"/>
        </w:rPr>
      </w:pPr>
    </w:p>
    <w:tbl>
      <w:tblPr>
        <w:tblW w:w="15366" w:type="dxa"/>
        <w:tblInd w:w="113" w:type="dxa"/>
        <w:tblLayout w:type="fixed"/>
        <w:tblCellMar>
          <w:left w:w="28" w:type="dxa"/>
          <w:right w:w="28" w:type="dxa"/>
        </w:tblCellMar>
        <w:tblLook w:val="04A0" w:firstRow="1" w:lastRow="0" w:firstColumn="1" w:lastColumn="0" w:noHBand="0" w:noVBand="1"/>
      </w:tblPr>
      <w:tblGrid>
        <w:gridCol w:w="432"/>
        <w:gridCol w:w="1468"/>
        <w:gridCol w:w="709"/>
        <w:gridCol w:w="384"/>
        <w:gridCol w:w="426"/>
        <w:gridCol w:w="425"/>
        <w:gridCol w:w="425"/>
        <w:gridCol w:w="425"/>
        <w:gridCol w:w="496"/>
        <w:gridCol w:w="497"/>
        <w:gridCol w:w="496"/>
        <w:gridCol w:w="496"/>
        <w:gridCol w:w="496"/>
        <w:gridCol w:w="496"/>
        <w:gridCol w:w="567"/>
        <w:gridCol w:w="709"/>
        <w:gridCol w:w="425"/>
        <w:gridCol w:w="425"/>
        <w:gridCol w:w="426"/>
        <w:gridCol w:w="425"/>
        <w:gridCol w:w="425"/>
        <w:gridCol w:w="567"/>
        <w:gridCol w:w="567"/>
        <w:gridCol w:w="567"/>
        <w:gridCol w:w="567"/>
        <w:gridCol w:w="709"/>
        <w:gridCol w:w="709"/>
        <w:gridCol w:w="607"/>
      </w:tblGrid>
      <w:tr w:rsidR="00F22587" w:rsidRPr="000E5DBF" w14:paraId="187791E9" w14:textId="77777777" w:rsidTr="008A5C11">
        <w:trPr>
          <w:trHeight w:val="300"/>
        </w:trPr>
        <w:tc>
          <w:tcPr>
            <w:tcW w:w="43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96504B0" w14:textId="77777777" w:rsidR="00F22587" w:rsidRPr="000E5DBF" w:rsidRDefault="00F22587" w:rsidP="008A5C11">
            <w:pPr>
              <w:jc w:val="center"/>
              <w:rPr>
                <w:color w:val="000000"/>
                <w:sz w:val="16"/>
                <w:szCs w:val="16"/>
              </w:rPr>
            </w:pPr>
            <w:r w:rsidRPr="000E5DBF">
              <w:rPr>
                <w:color w:val="000000"/>
                <w:sz w:val="16"/>
                <w:szCs w:val="16"/>
              </w:rPr>
              <w:t>№ п/п</w:t>
            </w:r>
          </w:p>
        </w:tc>
        <w:tc>
          <w:tcPr>
            <w:tcW w:w="14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3719B6C" w14:textId="77777777" w:rsidR="00F22587" w:rsidRPr="000E5DBF" w:rsidRDefault="00F22587" w:rsidP="008A5C11">
            <w:pPr>
              <w:jc w:val="center"/>
              <w:rPr>
                <w:color w:val="000000"/>
                <w:sz w:val="16"/>
                <w:szCs w:val="16"/>
              </w:rPr>
            </w:pPr>
            <w:r w:rsidRPr="000E5DBF">
              <w:rPr>
                <w:color w:val="000000"/>
                <w:sz w:val="16"/>
                <w:szCs w:val="16"/>
              </w:rPr>
              <w:t>Наименование объекта</w:t>
            </w:r>
          </w:p>
        </w:tc>
        <w:tc>
          <w:tcPr>
            <w:tcW w:w="13466" w:type="dxa"/>
            <w:gridSpan w:val="26"/>
            <w:tcBorders>
              <w:top w:val="single" w:sz="4" w:space="0" w:color="auto"/>
              <w:left w:val="nil"/>
              <w:bottom w:val="single" w:sz="4" w:space="0" w:color="auto"/>
              <w:right w:val="single" w:sz="4" w:space="0" w:color="auto"/>
            </w:tcBorders>
            <w:shd w:val="clear" w:color="000000" w:fill="FFFFFF"/>
            <w:vAlign w:val="center"/>
            <w:hideMark/>
          </w:tcPr>
          <w:p w14:paraId="58643CA6" w14:textId="77777777" w:rsidR="00F22587" w:rsidRPr="000E5DBF" w:rsidRDefault="00F22587" w:rsidP="008A5C11">
            <w:pPr>
              <w:jc w:val="center"/>
              <w:rPr>
                <w:color w:val="000000"/>
                <w:sz w:val="16"/>
                <w:szCs w:val="16"/>
              </w:rPr>
            </w:pPr>
            <w:r w:rsidRPr="000E5DBF">
              <w:rPr>
                <w:color w:val="000000"/>
                <w:sz w:val="16"/>
                <w:szCs w:val="16"/>
              </w:rPr>
              <w:t>Показатели энергетической эффективности</w:t>
            </w:r>
          </w:p>
        </w:tc>
      </w:tr>
      <w:tr w:rsidR="00F22587" w:rsidRPr="000E5DBF" w14:paraId="43635992" w14:textId="77777777" w:rsidTr="008A5C11">
        <w:trPr>
          <w:trHeight w:val="675"/>
        </w:trPr>
        <w:tc>
          <w:tcPr>
            <w:tcW w:w="432" w:type="dxa"/>
            <w:vMerge/>
            <w:tcBorders>
              <w:top w:val="single" w:sz="4" w:space="0" w:color="auto"/>
              <w:left w:val="single" w:sz="4" w:space="0" w:color="auto"/>
              <w:bottom w:val="single" w:sz="4" w:space="0" w:color="auto"/>
              <w:right w:val="single" w:sz="4" w:space="0" w:color="auto"/>
            </w:tcBorders>
            <w:vAlign w:val="center"/>
            <w:hideMark/>
          </w:tcPr>
          <w:p w14:paraId="3E2556CF" w14:textId="77777777" w:rsidR="00F22587" w:rsidRPr="000E5DBF" w:rsidRDefault="00F22587" w:rsidP="008A5C11">
            <w:pPr>
              <w:rPr>
                <w:color w:val="000000"/>
                <w:sz w:val="16"/>
                <w:szCs w:val="16"/>
              </w:rPr>
            </w:pPr>
          </w:p>
        </w:tc>
        <w:tc>
          <w:tcPr>
            <w:tcW w:w="1468" w:type="dxa"/>
            <w:vMerge/>
            <w:tcBorders>
              <w:top w:val="single" w:sz="4" w:space="0" w:color="auto"/>
              <w:left w:val="single" w:sz="4" w:space="0" w:color="auto"/>
              <w:bottom w:val="single" w:sz="4" w:space="0" w:color="auto"/>
              <w:right w:val="single" w:sz="4" w:space="0" w:color="auto"/>
            </w:tcBorders>
            <w:vAlign w:val="center"/>
            <w:hideMark/>
          </w:tcPr>
          <w:p w14:paraId="398021C2" w14:textId="77777777" w:rsidR="00F22587" w:rsidRPr="000E5DBF" w:rsidRDefault="00F22587" w:rsidP="008A5C11">
            <w:pPr>
              <w:rPr>
                <w:color w:val="000000"/>
                <w:sz w:val="16"/>
                <w:szCs w:val="16"/>
              </w:rPr>
            </w:pPr>
          </w:p>
        </w:tc>
        <w:tc>
          <w:tcPr>
            <w:tcW w:w="6338" w:type="dxa"/>
            <w:gridSpan w:val="13"/>
            <w:tcBorders>
              <w:top w:val="single" w:sz="4" w:space="0" w:color="auto"/>
              <w:left w:val="nil"/>
              <w:bottom w:val="single" w:sz="4" w:space="0" w:color="auto"/>
              <w:right w:val="single" w:sz="4" w:space="0" w:color="auto"/>
            </w:tcBorders>
            <w:shd w:val="clear" w:color="000000" w:fill="FFFFFF"/>
            <w:vAlign w:val="center"/>
            <w:hideMark/>
          </w:tcPr>
          <w:p w14:paraId="039BF229" w14:textId="77777777" w:rsidR="00F22587" w:rsidRPr="000E5DBF" w:rsidRDefault="00F22587" w:rsidP="008A5C11">
            <w:pPr>
              <w:rPr>
                <w:color w:val="000000"/>
                <w:sz w:val="16"/>
                <w:szCs w:val="16"/>
              </w:rPr>
            </w:pPr>
            <w:r w:rsidRPr="000E5DBF">
              <w:rPr>
                <w:color w:val="000000"/>
                <w:sz w:val="16"/>
                <w:szCs w:val="16"/>
              </w:rPr>
              <w:t>Отношение величины технологических потерь тепловой энергии, теплоносителя к материальной характеристике тепловой сети</w:t>
            </w:r>
          </w:p>
        </w:tc>
        <w:tc>
          <w:tcPr>
            <w:tcW w:w="7128" w:type="dxa"/>
            <w:gridSpan w:val="13"/>
            <w:tcBorders>
              <w:top w:val="single" w:sz="4" w:space="0" w:color="auto"/>
              <w:left w:val="nil"/>
              <w:bottom w:val="single" w:sz="4" w:space="0" w:color="auto"/>
              <w:right w:val="single" w:sz="4" w:space="0" w:color="auto"/>
            </w:tcBorders>
            <w:shd w:val="clear" w:color="000000" w:fill="FFFFFF"/>
            <w:vAlign w:val="center"/>
            <w:hideMark/>
          </w:tcPr>
          <w:p w14:paraId="10A5CAD7" w14:textId="77777777" w:rsidR="00F22587" w:rsidRPr="000E5DBF" w:rsidRDefault="00F22587" w:rsidP="008A5C11">
            <w:pPr>
              <w:rPr>
                <w:color w:val="000000"/>
                <w:sz w:val="16"/>
                <w:szCs w:val="16"/>
              </w:rPr>
            </w:pPr>
            <w:r w:rsidRPr="000E5DBF">
              <w:rPr>
                <w:color w:val="000000"/>
                <w:sz w:val="16"/>
                <w:szCs w:val="16"/>
              </w:rPr>
              <w:t>Величина технологических потерь при передаче тепловой энергии, теплоносителя по тепловым сетям</w:t>
            </w:r>
          </w:p>
        </w:tc>
      </w:tr>
      <w:tr w:rsidR="00F22587" w:rsidRPr="000E5DBF" w14:paraId="7D7404F9" w14:textId="77777777" w:rsidTr="008A5C11">
        <w:trPr>
          <w:trHeight w:val="103"/>
        </w:trPr>
        <w:tc>
          <w:tcPr>
            <w:tcW w:w="432" w:type="dxa"/>
            <w:vMerge/>
            <w:tcBorders>
              <w:top w:val="single" w:sz="4" w:space="0" w:color="auto"/>
              <w:left w:val="single" w:sz="4" w:space="0" w:color="auto"/>
              <w:bottom w:val="single" w:sz="4" w:space="0" w:color="auto"/>
              <w:right w:val="single" w:sz="4" w:space="0" w:color="auto"/>
            </w:tcBorders>
            <w:vAlign w:val="center"/>
            <w:hideMark/>
          </w:tcPr>
          <w:p w14:paraId="55700A1C" w14:textId="77777777" w:rsidR="00F22587" w:rsidRPr="000E5DBF" w:rsidRDefault="00F22587" w:rsidP="008A5C11">
            <w:pPr>
              <w:rPr>
                <w:color w:val="000000"/>
                <w:sz w:val="16"/>
                <w:szCs w:val="16"/>
              </w:rPr>
            </w:pPr>
          </w:p>
        </w:tc>
        <w:tc>
          <w:tcPr>
            <w:tcW w:w="1468" w:type="dxa"/>
            <w:vMerge/>
            <w:tcBorders>
              <w:top w:val="single" w:sz="4" w:space="0" w:color="auto"/>
              <w:left w:val="single" w:sz="4" w:space="0" w:color="auto"/>
              <w:bottom w:val="single" w:sz="4" w:space="0" w:color="auto"/>
              <w:right w:val="single" w:sz="4" w:space="0" w:color="auto"/>
            </w:tcBorders>
            <w:vAlign w:val="center"/>
            <w:hideMark/>
          </w:tcPr>
          <w:p w14:paraId="4640A65E" w14:textId="77777777" w:rsidR="00F22587" w:rsidRPr="000E5DBF" w:rsidRDefault="00F22587" w:rsidP="008A5C11">
            <w:pPr>
              <w:rPr>
                <w:color w:val="000000"/>
                <w:sz w:val="16"/>
                <w:szCs w:val="16"/>
              </w:rPr>
            </w:pPr>
          </w:p>
        </w:tc>
        <w:tc>
          <w:tcPr>
            <w:tcW w:w="6338" w:type="dxa"/>
            <w:gridSpan w:val="13"/>
            <w:tcBorders>
              <w:top w:val="single" w:sz="4" w:space="0" w:color="auto"/>
              <w:left w:val="nil"/>
              <w:bottom w:val="single" w:sz="4" w:space="0" w:color="auto"/>
              <w:right w:val="single" w:sz="4" w:space="0" w:color="auto"/>
            </w:tcBorders>
            <w:shd w:val="clear" w:color="000000" w:fill="FFFFFF"/>
            <w:vAlign w:val="center"/>
            <w:hideMark/>
          </w:tcPr>
          <w:p w14:paraId="393B47F4" w14:textId="77777777" w:rsidR="00F22587" w:rsidRPr="000E5DBF" w:rsidRDefault="00F22587" w:rsidP="008A5C11">
            <w:pPr>
              <w:rPr>
                <w:color w:val="000000"/>
                <w:sz w:val="16"/>
                <w:szCs w:val="16"/>
              </w:rPr>
            </w:pPr>
            <w:r w:rsidRPr="000E5DBF">
              <w:rPr>
                <w:color w:val="000000"/>
                <w:sz w:val="16"/>
                <w:szCs w:val="16"/>
              </w:rPr>
              <w:t>(Гкал/м</w:t>
            </w:r>
            <w:r w:rsidRPr="000E5DBF">
              <w:rPr>
                <w:color w:val="000000"/>
                <w:sz w:val="16"/>
                <w:szCs w:val="16"/>
                <w:vertAlign w:val="superscript"/>
              </w:rPr>
              <w:t>2</w:t>
            </w:r>
            <w:r w:rsidRPr="000E5DBF">
              <w:rPr>
                <w:color w:val="000000"/>
                <w:sz w:val="16"/>
                <w:szCs w:val="16"/>
              </w:rPr>
              <w:t>)</w:t>
            </w:r>
          </w:p>
        </w:tc>
        <w:tc>
          <w:tcPr>
            <w:tcW w:w="7128" w:type="dxa"/>
            <w:gridSpan w:val="13"/>
            <w:tcBorders>
              <w:top w:val="single" w:sz="4" w:space="0" w:color="auto"/>
              <w:left w:val="nil"/>
              <w:bottom w:val="single" w:sz="4" w:space="0" w:color="auto"/>
              <w:right w:val="single" w:sz="4" w:space="0" w:color="auto"/>
            </w:tcBorders>
            <w:shd w:val="clear" w:color="000000" w:fill="FFFFFF"/>
            <w:vAlign w:val="center"/>
            <w:hideMark/>
          </w:tcPr>
          <w:p w14:paraId="32443362" w14:textId="77777777" w:rsidR="00F22587" w:rsidRPr="000E5DBF" w:rsidRDefault="00F22587" w:rsidP="008A5C11">
            <w:pPr>
              <w:rPr>
                <w:color w:val="000000"/>
                <w:sz w:val="16"/>
                <w:szCs w:val="16"/>
              </w:rPr>
            </w:pPr>
            <w:r w:rsidRPr="000E5DBF">
              <w:rPr>
                <w:color w:val="000000"/>
                <w:sz w:val="16"/>
                <w:szCs w:val="16"/>
              </w:rPr>
              <w:t>(Гкал/год)</w:t>
            </w:r>
          </w:p>
        </w:tc>
      </w:tr>
      <w:tr w:rsidR="00F22587" w:rsidRPr="000E5DBF" w14:paraId="33104F59" w14:textId="77777777" w:rsidTr="008A5C11">
        <w:trPr>
          <w:trHeight w:val="474"/>
        </w:trPr>
        <w:tc>
          <w:tcPr>
            <w:tcW w:w="432" w:type="dxa"/>
            <w:vMerge/>
            <w:tcBorders>
              <w:top w:val="single" w:sz="4" w:space="0" w:color="auto"/>
              <w:left w:val="single" w:sz="4" w:space="0" w:color="auto"/>
              <w:bottom w:val="single" w:sz="4" w:space="0" w:color="auto"/>
              <w:right w:val="single" w:sz="4" w:space="0" w:color="auto"/>
            </w:tcBorders>
            <w:vAlign w:val="center"/>
            <w:hideMark/>
          </w:tcPr>
          <w:p w14:paraId="66EFC482" w14:textId="77777777" w:rsidR="00F22587" w:rsidRPr="000E5DBF" w:rsidRDefault="00F22587" w:rsidP="008A5C11">
            <w:pPr>
              <w:rPr>
                <w:color w:val="000000"/>
                <w:sz w:val="16"/>
                <w:szCs w:val="16"/>
              </w:rPr>
            </w:pPr>
          </w:p>
        </w:tc>
        <w:tc>
          <w:tcPr>
            <w:tcW w:w="1468" w:type="dxa"/>
            <w:vMerge/>
            <w:tcBorders>
              <w:top w:val="single" w:sz="4" w:space="0" w:color="auto"/>
              <w:left w:val="single" w:sz="4" w:space="0" w:color="auto"/>
              <w:bottom w:val="single" w:sz="4" w:space="0" w:color="auto"/>
              <w:right w:val="single" w:sz="4" w:space="0" w:color="auto"/>
            </w:tcBorders>
            <w:vAlign w:val="center"/>
            <w:hideMark/>
          </w:tcPr>
          <w:p w14:paraId="17529967" w14:textId="77777777" w:rsidR="00F22587" w:rsidRPr="000E5DBF" w:rsidRDefault="00F22587" w:rsidP="008A5C11">
            <w:pPr>
              <w:rPr>
                <w:color w:val="000000"/>
                <w:sz w:val="16"/>
                <w:szCs w:val="16"/>
              </w:rPr>
            </w:pPr>
          </w:p>
        </w:tc>
        <w:tc>
          <w:tcPr>
            <w:tcW w:w="709" w:type="dxa"/>
            <w:vMerge w:val="restart"/>
            <w:tcBorders>
              <w:top w:val="nil"/>
              <w:left w:val="nil"/>
              <w:right w:val="single" w:sz="4" w:space="0" w:color="auto"/>
            </w:tcBorders>
            <w:shd w:val="clear" w:color="000000" w:fill="FFFFFF"/>
            <w:vAlign w:val="center"/>
            <w:hideMark/>
          </w:tcPr>
          <w:p w14:paraId="56D3C6A7" w14:textId="77777777" w:rsidR="00F22587" w:rsidRPr="000E5DBF" w:rsidRDefault="00F22587" w:rsidP="008A5C11">
            <w:pPr>
              <w:rPr>
                <w:color w:val="000000"/>
                <w:sz w:val="16"/>
                <w:szCs w:val="16"/>
              </w:rPr>
            </w:pPr>
            <w:r w:rsidRPr="000E5DBF">
              <w:rPr>
                <w:color w:val="000000"/>
                <w:sz w:val="16"/>
                <w:szCs w:val="16"/>
              </w:rPr>
              <w:t>Текущее значение</w:t>
            </w:r>
          </w:p>
        </w:tc>
        <w:tc>
          <w:tcPr>
            <w:tcW w:w="5629" w:type="dxa"/>
            <w:gridSpan w:val="12"/>
            <w:tcBorders>
              <w:top w:val="single" w:sz="4" w:space="0" w:color="auto"/>
              <w:left w:val="nil"/>
              <w:bottom w:val="single" w:sz="4" w:space="0" w:color="auto"/>
              <w:right w:val="single" w:sz="4" w:space="0" w:color="000000"/>
            </w:tcBorders>
            <w:shd w:val="clear" w:color="000000" w:fill="FFFFFF"/>
            <w:vAlign w:val="center"/>
            <w:hideMark/>
          </w:tcPr>
          <w:p w14:paraId="1578E464" w14:textId="77777777" w:rsidR="00F22587" w:rsidRPr="000E5DBF" w:rsidRDefault="00F22587" w:rsidP="008A5C11">
            <w:pPr>
              <w:jc w:val="center"/>
              <w:rPr>
                <w:color w:val="000000"/>
                <w:sz w:val="16"/>
                <w:szCs w:val="16"/>
              </w:rPr>
            </w:pPr>
            <w:r w:rsidRPr="000E5DBF">
              <w:rPr>
                <w:color w:val="000000"/>
                <w:sz w:val="16"/>
                <w:szCs w:val="16"/>
              </w:rPr>
              <w:t>Плановое значение</w:t>
            </w:r>
          </w:p>
        </w:tc>
        <w:tc>
          <w:tcPr>
            <w:tcW w:w="709" w:type="dxa"/>
            <w:vMerge w:val="restart"/>
            <w:tcBorders>
              <w:top w:val="nil"/>
              <w:left w:val="nil"/>
              <w:right w:val="single" w:sz="4" w:space="0" w:color="auto"/>
            </w:tcBorders>
            <w:shd w:val="clear" w:color="000000" w:fill="FFFFFF"/>
            <w:vAlign w:val="center"/>
            <w:hideMark/>
          </w:tcPr>
          <w:p w14:paraId="59DE7D22" w14:textId="77777777" w:rsidR="00F22587" w:rsidRPr="000E5DBF" w:rsidRDefault="00F22587" w:rsidP="008A5C11">
            <w:pPr>
              <w:rPr>
                <w:color w:val="000000"/>
                <w:sz w:val="16"/>
                <w:szCs w:val="16"/>
              </w:rPr>
            </w:pPr>
            <w:r w:rsidRPr="000E5DBF">
              <w:rPr>
                <w:color w:val="000000"/>
                <w:sz w:val="16"/>
                <w:szCs w:val="16"/>
              </w:rPr>
              <w:t>Текущее значение</w:t>
            </w:r>
          </w:p>
        </w:tc>
        <w:tc>
          <w:tcPr>
            <w:tcW w:w="6419" w:type="dxa"/>
            <w:gridSpan w:val="12"/>
            <w:tcBorders>
              <w:top w:val="single" w:sz="4" w:space="0" w:color="auto"/>
              <w:left w:val="nil"/>
              <w:bottom w:val="single" w:sz="4" w:space="0" w:color="auto"/>
              <w:right w:val="single" w:sz="4" w:space="0" w:color="000000"/>
            </w:tcBorders>
            <w:shd w:val="clear" w:color="000000" w:fill="FFFFFF"/>
            <w:vAlign w:val="center"/>
            <w:hideMark/>
          </w:tcPr>
          <w:p w14:paraId="47737305" w14:textId="77777777" w:rsidR="00F22587" w:rsidRPr="000E5DBF" w:rsidRDefault="00F22587" w:rsidP="008A5C11">
            <w:pPr>
              <w:jc w:val="center"/>
              <w:rPr>
                <w:color w:val="000000"/>
                <w:sz w:val="16"/>
                <w:szCs w:val="16"/>
              </w:rPr>
            </w:pPr>
            <w:r w:rsidRPr="000E5DBF">
              <w:rPr>
                <w:color w:val="000000"/>
                <w:sz w:val="16"/>
                <w:szCs w:val="16"/>
              </w:rPr>
              <w:t>Плановое значение</w:t>
            </w:r>
          </w:p>
        </w:tc>
      </w:tr>
      <w:tr w:rsidR="00F22587" w:rsidRPr="000E5DBF" w14:paraId="204768F3" w14:textId="77777777" w:rsidTr="008A5C11">
        <w:trPr>
          <w:trHeight w:val="300"/>
        </w:trPr>
        <w:tc>
          <w:tcPr>
            <w:tcW w:w="432" w:type="dxa"/>
            <w:vMerge/>
            <w:tcBorders>
              <w:top w:val="single" w:sz="4" w:space="0" w:color="auto"/>
              <w:left w:val="single" w:sz="4" w:space="0" w:color="auto"/>
              <w:bottom w:val="single" w:sz="4" w:space="0" w:color="auto"/>
              <w:right w:val="single" w:sz="4" w:space="0" w:color="auto"/>
            </w:tcBorders>
            <w:vAlign w:val="center"/>
            <w:hideMark/>
          </w:tcPr>
          <w:p w14:paraId="13C0DC95" w14:textId="77777777" w:rsidR="00F22587" w:rsidRPr="000E5DBF" w:rsidRDefault="00F22587" w:rsidP="008A5C11">
            <w:pPr>
              <w:rPr>
                <w:color w:val="000000"/>
                <w:sz w:val="16"/>
                <w:szCs w:val="16"/>
              </w:rPr>
            </w:pPr>
          </w:p>
        </w:tc>
        <w:tc>
          <w:tcPr>
            <w:tcW w:w="1468" w:type="dxa"/>
            <w:vMerge/>
            <w:tcBorders>
              <w:top w:val="single" w:sz="4" w:space="0" w:color="auto"/>
              <w:left w:val="single" w:sz="4" w:space="0" w:color="auto"/>
              <w:bottom w:val="single" w:sz="4" w:space="0" w:color="auto"/>
              <w:right w:val="single" w:sz="4" w:space="0" w:color="auto"/>
            </w:tcBorders>
            <w:vAlign w:val="center"/>
            <w:hideMark/>
          </w:tcPr>
          <w:p w14:paraId="68DAEC09" w14:textId="77777777" w:rsidR="00F22587" w:rsidRPr="000E5DBF" w:rsidRDefault="00F22587" w:rsidP="008A5C11">
            <w:pPr>
              <w:rPr>
                <w:color w:val="000000"/>
                <w:sz w:val="16"/>
                <w:szCs w:val="16"/>
              </w:rPr>
            </w:pPr>
          </w:p>
        </w:tc>
        <w:tc>
          <w:tcPr>
            <w:tcW w:w="709" w:type="dxa"/>
            <w:vMerge/>
            <w:tcBorders>
              <w:left w:val="nil"/>
              <w:bottom w:val="single" w:sz="4" w:space="0" w:color="auto"/>
              <w:right w:val="single" w:sz="4" w:space="0" w:color="auto"/>
            </w:tcBorders>
            <w:shd w:val="clear" w:color="000000" w:fill="FFFFFF"/>
            <w:vAlign w:val="center"/>
            <w:hideMark/>
          </w:tcPr>
          <w:p w14:paraId="319E000B" w14:textId="77777777" w:rsidR="00F22587" w:rsidRPr="000E5DBF" w:rsidRDefault="00F22587" w:rsidP="008A5C11">
            <w:pPr>
              <w:jc w:val="center"/>
              <w:rPr>
                <w:color w:val="000000"/>
                <w:sz w:val="16"/>
                <w:szCs w:val="16"/>
              </w:rPr>
            </w:pPr>
          </w:p>
        </w:tc>
        <w:tc>
          <w:tcPr>
            <w:tcW w:w="384" w:type="dxa"/>
            <w:tcBorders>
              <w:top w:val="nil"/>
              <w:left w:val="nil"/>
              <w:bottom w:val="single" w:sz="4" w:space="0" w:color="auto"/>
              <w:right w:val="single" w:sz="4" w:space="0" w:color="auto"/>
            </w:tcBorders>
            <w:shd w:val="clear" w:color="000000" w:fill="FFFFFF"/>
            <w:vAlign w:val="center"/>
            <w:hideMark/>
          </w:tcPr>
          <w:p w14:paraId="1574799E" w14:textId="77777777" w:rsidR="00F22587" w:rsidRPr="000E5DBF" w:rsidRDefault="00F22587" w:rsidP="008A5C11">
            <w:pPr>
              <w:jc w:val="center"/>
              <w:rPr>
                <w:color w:val="000000"/>
                <w:sz w:val="16"/>
                <w:szCs w:val="16"/>
              </w:rPr>
            </w:pPr>
            <w:r w:rsidRPr="000E5DBF">
              <w:rPr>
                <w:color w:val="000000"/>
                <w:sz w:val="16"/>
                <w:szCs w:val="16"/>
              </w:rPr>
              <w:t>2019</w:t>
            </w:r>
          </w:p>
        </w:tc>
        <w:tc>
          <w:tcPr>
            <w:tcW w:w="426" w:type="dxa"/>
            <w:tcBorders>
              <w:top w:val="nil"/>
              <w:left w:val="nil"/>
              <w:bottom w:val="single" w:sz="4" w:space="0" w:color="auto"/>
              <w:right w:val="single" w:sz="4" w:space="0" w:color="auto"/>
            </w:tcBorders>
            <w:shd w:val="clear" w:color="000000" w:fill="FFFFFF"/>
            <w:vAlign w:val="center"/>
            <w:hideMark/>
          </w:tcPr>
          <w:p w14:paraId="306A7126" w14:textId="77777777" w:rsidR="00F22587" w:rsidRPr="000E5DBF" w:rsidRDefault="00F22587" w:rsidP="008A5C11">
            <w:pPr>
              <w:jc w:val="center"/>
              <w:rPr>
                <w:color w:val="000000"/>
                <w:sz w:val="16"/>
                <w:szCs w:val="16"/>
              </w:rPr>
            </w:pPr>
            <w:r w:rsidRPr="000E5DBF">
              <w:rPr>
                <w:color w:val="000000"/>
                <w:sz w:val="16"/>
                <w:szCs w:val="16"/>
              </w:rPr>
              <w:t>2020</w:t>
            </w:r>
          </w:p>
        </w:tc>
        <w:tc>
          <w:tcPr>
            <w:tcW w:w="425" w:type="dxa"/>
            <w:tcBorders>
              <w:top w:val="nil"/>
              <w:left w:val="nil"/>
              <w:bottom w:val="single" w:sz="4" w:space="0" w:color="auto"/>
              <w:right w:val="single" w:sz="4" w:space="0" w:color="auto"/>
            </w:tcBorders>
            <w:shd w:val="clear" w:color="000000" w:fill="FFFFFF"/>
            <w:vAlign w:val="center"/>
            <w:hideMark/>
          </w:tcPr>
          <w:p w14:paraId="7E8394F8" w14:textId="77777777" w:rsidR="00F22587" w:rsidRPr="000E5DBF" w:rsidRDefault="00F22587" w:rsidP="008A5C11">
            <w:pPr>
              <w:jc w:val="center"/>
              <w:rPr>
                <w:color w:val="000000"/>
                <w:sz w:val="16"/>
                <w:szCs w:val="16"/>
              </w:rPr>
            </w:pPr>
            <w:r w:rsidRPr="000E5DBF">
              <w:rPr>
                <w:color w:val="000000"/>
                <w:sz w:val="16"/>
                <w:szCs w:val="16"/>
              </w:rPr>
              <w:t>2021</w:t>
            </w:r>
          </w:p>
        </w:tc>
        <w:tc>
          <w:tcPr>
            <w:tcW w:w="425" w:type="dxa"/>
            <w:tcBorders>
              <w:top w:val="nil"/>
              <w:left w:val="nil"/>
              <w:bottom w:val="single" w:sz="4" w:space="0" w:color="auto"/>
              <w:right w:val="single" w:sz="4" w:space="0" w:color="auto"/>
            </w:tcBorders>
            <w:shd w:val="clear" w:color="000000" w:fill="FFFFFF"/>
            <w:vAlign w:val="center"/>
            <w:hideMark/>
          </w:tcPr>
          <w:p w14:paraId="18F6E9F4" w14:textId="77777777" w:rsidR="00F22587" w:rsidRPr="000E5DBF" w:rsidRDefault="00F22587" w:rsidP="008A5C11">
            <w:pPr>
              <w:jc w:val="center"/>
              <w:rPr>
                <w:color w:val="000000"/>
                <w:sz w:val="16"/>
                <w:szCs w:val="16"/>
              </w:rPr>
            </w:pPr>
            <w:r w:rsidRPr="000E5DBF">
              <w:rPr>
                <w:color w:val="000000"/>
                <w:sz w:val="16"/>
                <w:szCs w:val="16"/>
              </w:rPr>
              <w:t>2022</w:t>
            </w:r>
          </w:p>
        </w:tc>
        <w:tc>
          <w:tcPr>
            <w:tcW w:w="425" w:type="dxa"/>
            <w:tcBorders>
              <w:top w:val="nil"/>
              <w:left w:val="nil"/>
              <w:bottom w:val="single" w:sz="4" w:space="0" w:color="auto"/>
              <w:right w:val="single" w:sz="4" w:space="0" w:color="auto"/>
            </w:tcBorders>
            <w:shd w:val="clear" w:color="000000" w:fill="FFFFFF"/>
            <w:vAlign w:val="center"/>
            <w:hideMark/>
          </w:tcPr>
          <w:p w14:paraId="5379F2DB" w14:textId="77777777" w:rsidR="00F22587" w:rsidRPr="000E5DBF" w:rsidRDefault="00F22587" w:rsidP="008A5C11">
            <w:pPr>
              <w:jc w:val="center"/>
              <w:rPr>
                <w:color w:val="000000"/>
                <w:sz w:val="16"/>
                <w:szCs w:val="16"/>
              </w:rPr>
            </w:pPr>
            <w:r w:rsidRPr="000E5DBF">
              <w:rPr>
                <w:color w:val="000000"/>
                <w:sz w:val="16"/>
                <w:szCs w:val="16"/>
              </w:rPr>
              <w:t>2023</w:t>
            </w:r>
          </w:p>
        </w:tc>
        <w:tc>
          <w:tcPr>
            <w:tcW w:w="496" w:type="dxa"/>
            <w:tcBorders>
              <w:top w:val="nil"/>
              <w:left w:val="nil"/>
              <w:bottom w:val="single" w:sz="4" w:space="0" w:color="auto"/>
              <w:right w:val="single" w:sz="4" w:space="0" w:color="auto"/>
            </w:tcBorders>
            <w:shd w:val="clear" w:color="000000" w:fill="FFFFFF"/>
            <w:vAlign w:val="center"/>
            <w:hideMark/>
          </w:tcPr>
          <w:p w14:paraId="0866A4C3" w14:textId="77777777" w:rsidR="00F22587" w:rsidRPr="000E5DBF" w:rsidRDefault="00F22587" w:rsidP="008A5C11">
            <w:pPr>
              <w:jc w:val="center"/>
              <w:rPr>
                <w:color w:val="000000"/>
                <w:sz w:val="16"/>
                <w:szCs w:val="16"/>
              </w:rPr>
            </w:pPr>
            <w:r w:rsidRPr="000E5DBF">
              <w:rPr>
                <w:color w:val="000000"/>
                <w:sz w:val="16"/>
                <w:szCs w:val="16"/>
              </w:rPr>
              <w:t>2024</w:t>
            </w:r>
          </w:p>
        </w:tc>
        <w:tc>
          <w:tcPr>
            <w:tcW w:w="497" w:type="dxa"/>
            <w:tcBorders>
              <w:top w:val="nil"/>
              <w:left w:val="nil"/>
              <w:bottom w:val="single" w:sz="4" w:space="0" w:color="auto"/>
              <w:right w:val="single" w:sz="4" w:space="0" w:color="auto"/>
            </w:tcBorders>
            <w:shd w:val="clear" w:color="000000" w:fill="FFFFFF"/>
            <w:vAlign w:val="center"/>
            <w:hideMark/>
          </w:tcPr>
          <w:p w14:paraId="64CB8136" w14:textId="77777777" w:rsidR="00F22587" w:rsidRPr="000E5DBF" w:rsidRDefault="00F22587" w:rsidP="008A5C11">
            <w:pPr>
              <w:jc w:val="center"/>
              <w:rPr>
                <w:color w:val="000000"/>
                <w:sz w:val="16"/>
                <w:szCs w:val="16"/>
              </w:rPr>
            </w:pPr>
            <w:r w:rsidRPr="000E5DBF">
              <w:rPr>
                <w:color w:val="000000"/>
                <w:sz w:val="16"/>
                <w:szCs w:val="16"/>
              </w:rPr>
              <w:t>2025</w:t>
            </w:r>
          </w:p>
        </w:tc>
        <w:tc>
          <w:tcPr>
            <w:tcW w:w="496" w:type="dxa"/>
            <w:tcBorders>
              <w:top w:val="nil"/>
              <w:left w:val="nil"/>
              <w:bottom w:val="single" w:sz="4" w:space="0" w:color="auto"/>
              <w:right w:val="single" w:sz="4" w:space="0" w:color="auto"/>
            </w:tcBorders>
            <w:shd w:val="clear" w:color="000000" w:fill="FFFFFF"/>
            <w:vAlign w:val="center"/>
            <w:hideMark/>
          </w:tcPr>
          <w:p w14:paraId="6E28F38B" w14:textId="77777777" w:rsidR="00F22587" w:rsidRPr="000E5DBF" w:rsidRDefault="00F22587" w:rsidP="008A5C11">
            <w:pPr>
              <w:jc w:val="center"/>
              <w:rPr>
                <w:color w:val="000000"/>
                <w:sz w:val="16"/>
                <w:szCs w:val="16"/>
              </w:rPr>
            </w:pPr>
            <w:r w:rsidRPr="000E5DBF">
              <w:rPr>
                <w:color w:val="000000"/>
                <w:sz w:val="16"/>
                <w:szCs w:val="16"/>
              </w:rPr>
              <w:t>2026</w:t>
            </w:r>
          </w:p>
        </w:tc>
        <w:tc>
          <w:tcPr>
            <w:tcW w:w="496" w:type="dxa"/>
            <w:tcBorders>
              <w:top w:val="nil"/>
              <w:left w:val="nil"/>
              <w:bottom w:val="single" w:sz="4" w:space="0" w:color="auto"/>
              <w:right w:val="single" w:sz="4" w:space="0" w:color="auto"/>
            </w:tcBorders>
            <w:shd w:val="clear" w:color="000000" w:fill="FFFFFF"/>
            <w:vAlign w:val="center"/>
            <w:hideMark/>
          </w:tcPr>
          <w:p w14:paraId="34141029" w14:textId="77777777" w:rsidR="00F22587" w:rsidRPr="000E5DBF" w:rsidRDefault="00F22587" w:rsidP="008A5C11">
            <w:pPr>
              <w:jc w:val="center"/>
              <w:rPr>
                <w:color w:val="000000"/>
                <w:sz w:val="16"/>
                <w:szCs w:val="16"/>
              </w:rPr>
            </w:pPr>
            <w:r w:rsidRPr="000E5DBF">
              <w:rPr>
                <w:color w:val="000000"/>
                <w:sz w:val="16"/>
                <w:szCs w:val="16"/>
              </w:rPr>
              <w:t>2027</w:t>
            </w:r>
          </w:p>
        </w:tc>
        <w:tc>
          <w:tcPr>
            <w:tcW w:w="496" w:type="dxa"/>
            <w:tcBorders>
              <w:top w:val="nil"/>
              <w:left w:val="nil"/>
              <w:bottom w:val="single" w:sz="4" w:space="0" w:color="auto"/>
              <w:right w:val="single" w:sz="4" w:space="0" w:color="auto"/>
            </w:tcBorders>
            <w:shd w:val="clear" w:color="000000" w:fill="FFFFFF"/>
            <w:vAlign w:val="center"/>
            <w:hideMark/>
          </w:tcPr>
          <w:p w14:paraId="00BCC7B2" w14:textId="77777777" w:rsidR="00F22587" w:rsidRPr="000E5DBF" w:rsidRDefault="00F22587" w:rsidP="008A5C11">
            <w:pPr>
              <w:jc w:val="center"/>
              <w:rPr>
                <w:color w:val="000000"/>
                <w:sz w:val="16"/>
                <w:szCs w:val="16"/>
              </w:rPr>
            </w:pPr>
            <w:r w:rsidRPr="000E5DBF">
              <w:rPr>
                <w:color w:val="000000"/>
                <w:sz w:val="16"/>
                <w:szCs w:val="16"/>
              </w:rPr>
              <w:t>2028</w:t>
            </w:r>
          </w:p>
        </w:tc>
        <w:tc>
          <w:tcPr>
            <w:tcW w:w="496" w:type="dxa"/>
            <w:tcBorders>
              <w:top w:val="nil"/>
              <w:left w:val="nil"/>
              <w:bottom w:val="single" w:sz="4" w:space="0" w:color="auto"/>
              <w:right w:val="single" w:sz="4" w:space="0" w:color="auto"/>
            </w:tcBorders>
            <w:shd w:val="clear" w:color="000000" w:fill="FFFFFF"/>
            <w:vAlign w:val="center"/>
            <w:hideMark/>
          </w:tcPr>
          <w:p w14:paraId="6545A020" w14:textId="77777777" w:rsidR="00F22587" w:rsidRPr="000E5DBF" w:rsidRDefault="00F22587" w:rsidP="008A5C11">
            <w:pPr>
              <w:jc w:val="center"/>
              <w:rPr>
                <w:color w:val="000000"/>
                <w:sz w:val="16"/>
                <w:szCs w:val="16"/>
              </w:rPr>
            </w:pPr>
            <w:r w:rsidRPr="000E5DBF">
              <w:rPr>
                <w:color w:val="000000"/>
                <w:sz w:val="16"/>
                <w:szCs w:val="16"/>
              </w:rPr>
              <w:t>2029</w:t>
            </w:r>
          </w:p>
        </w:tc>
        <w:tc>
          <w:tcPr>
            <w:tcW w:w="567" w:type="dxa"/>
            <w:tcBorders>
              <w:top w:val="nil"/>
              <w:left w:val="nil"/>
              <w:bottom w:val="single" w:sz="4" w:space="0" w:color="auto"/>
              <w:right w:val="single" w:sz="4" w:space="0" w:color="auto"/>
            </w:tcBorders>
            <w:shd w:val="clear" w:color="000000" w:fill="FFFFFF"/>
            <w:vAlign w:val="center"/>
            <w:hideMark/>
          </w:tcPr>
          <w:p w14:paraId="3B1CC8C3" w14:textId="77777777" w:rsidR="00F22587" w:rsidRPr="000E5DBF" w:rsidRDefault="00F22587" w:rsidP="008A5C11">
            <w:pPr>
              <w:jc w:val="center"/>
              <w:rPr>
                <w:color w:val="000000"/>
                <w:sz w:val="16"/>
                <w:szCs w:val="16"/>
              </w:rPr>
            </w:pPr>
            <w:r w:rsidRPr="000E5DBF">
              <w:rPr>
                <w:color w:val="000000"/>
                <w:sz w:val="16"/>
                <w:szCs w:val="16"/>
              </w:rPr>
              <w:t>2030</w:t>
            </w:r>
          </w:p>
        </w:tc>
        <w:tc>
          <w:tcPr>
            <w:tcW w:w="709" w:type="dxa"/>
            <w:vMerge/>
            <w:tcBorders>
              <w:left w:val="nil"/>
              <w:bottom w:val="single" w:sz="4" w:space="0" w:color="auto"/>
              <w:right w:val="single" w:sz="4" w:space="0" w:color="auto"/>
            </w:tcBorders>
            <w:shd w:val="clear" w:color="000000" w:fill="FFFFFF"/>
            <w:vAlign w:val="center"/>
            <w:hideMark/>
          </w:tcPr>
          <w:p w14:paraId="5A4EBDAD" w14:textId="77777777" w:rsidR="00F22587" w:rsidRPr="000E5DBF" w:rsidRDefault="00F22587" w:rsidP="008A5C11">
            <w:pPr>
              <w:jc w:val="center"/>
              <w:rPr>
                <w:color w:val="000000"/>
                <w:sz w:val="16"/>
                <w:szCs w:val="16"/>
              </w:rPr>
            </w:pPr>
          </w:p>
        </w:tc>
        <w:tc>
          <w:tcPr>
            <w:tcW w:w="425" w:type="dxa"/>
            <w:tcBorders>
              <w:top w:val="nil"/>
              <w:left w:val="nil"/>
              <w:bottom w:val="single" w:sz="4" w:space="0" w:color="auto"/>
              <w:right w:val="single" w:sz="4" w:space="0" w:color="auto"/>
            </w:tcBorders>
            <w:shd w:val="clear" w:color="000000" w:fill="FFFFFF"/>
            <w:vAlign w:val="center"/>
            <w:hideMark/>
          </w:tcPr>
          <w:p w14:paraId="19CF71B6" w14:textId="77777777" w:rsidR="00F22587" w:rsidRPr="000E5DBF" w:rsidRDefault="00F22587" w:rsidP="008A5C11">
            <w:pPr>
              <w:jc w:val="center"/>
              <w:rPr>
                <w:color w:val="000000"/>
                <w:sz w:val="16"/>
                <w:szCs w:val="16"/>
              </w:rPr>
            </w:pPr>
            <w:r w:rsidRPr="000E5DBF">
              <w:rPr>
                <w:color w:val="000000"/>
                <w:sz w:val="16"/>
                <w:szCs w:val="16"/>
              </w:rPr>
              <w:t>2019</w:t>
            </w:r>
          </w:p>
        </w:tc>
        <w:tc>
          <w:tcPr>
            <w:tcW w:w="425" w:type="dxa"/>
            <w:tcBorders>
              <w:top w:val="nil"/>
              <w:left w:val="nil"/>
              <w:bottom w:val="single" w:sz="4" w:space="0" w:color="auto"/>
              <w:right w:val="single" w:sz="4" w:space="0" w:color="auto"/>
            </w:tcBorders>
            <w:shd w:val="clear" w:color="000000" w:fill="FFFFFF"/>
            <w:vAlign w:val="center"/>
            <w:hideMark/>
          </w:tcPr>
          <w:p w14:paraId="464A211E" w14:textId="77777777" w:rsidR="00F22587" w:rsidRPr="000E5DBF" w:rsidRDefault="00F22587" w:rsidP="008A5C11">
            <w:pPr>
              <w:jc w:val="center"/>
              <w:rPr>
                <w:color w:val="000000"/>
                <w:sz w:val="16"/>
                <w:szCs w:val="16"/>
              </w:rPr>
            </w:pPr>
            <w:r w:rsidRPr="000E5DBF">
              <w:rPr>
                <w:color w:val="000000"/>
                <w:sz w:val="16"/>
                <w:szCs w:val="16"/>
              </w:rPr>
              <w:t>2020</w:t>
            </w:r>
          </w:p>
        </w:tc>
        <w:tc>
          <w:tcPr>
            <w:tcW w:w="426" w:type="dxa"/>
            <w:tcBorders>
              <w:top w:val="nil"/>
              <w:left w:val="nil"/>
              <w:bottom w:val="single" w:sz="4" w:space="0" w:color="auto"/>
              <w:right w:val="single" w:sz="4" w:space="0" w:color="auto"/>
            </w:tcBorders>
            <w:shd w:val="clear" w:color="000000" w:fill="FFFFFF"/>
            <w:vAlign w:val="center"/>
            <w:hideMark/>
          </w:tcPr>
          <w:p w14:paraId="24E5591C" w14:textId="77777777" w:rsidR="00F22587" w:rsidRPr="000E5DBF" w:rsidRDefault="00F22587" w:rsidP="008A5C11">
            <w:pPr>
              <w:jc w:val="center"/>
              <w:rPr>
                <w:color w:val="000000"/>
                <w:sz w:val="16"/>
                <w:szCs w:val="16"/>
              </w:rPr>
            </w:pPr>
            <w:r w:rsidRPr="000E5DBF">
              <w:rPr>
                <w:color w:val="000000"/>
                <w:sz w:val="16"/>
                <w:szCs w:val="16"/>
              </w:rPr>
              <w:t>2021</w:t>
            </w:r>
          </w:p>
        </w:tc>
        <w:tc>
          <w:tcPr>
            <w:tcW w:w="425" w:type="dxa"/>
            <w:tcBorders>
              <w:top w:val="nil"/>
              <w:left w:val="nil"/>
              <w:bottom w:val="single" w:sz="4" w:space="0" w:color="auto"/>
              <w:right w:val="single" w:sz="4" w:space="0" w:color="auto"/>
            </w:tcBorders>
            <w:shd w:val="clear" w:color="000000" w:fill="FFFFFF"/>
            <w:vAlign w:val="center"/>
            <w:hideMark/>
          </w:tcPr>
          <w:p w14:paraId="0D985F84" w14:textId="77777777" w:rsidR="00F22587" w:rsidRPr="000E5DBF" w:rsidRDefault="00F22587" w:rsidP="008A5C11">
            <w:pPr>
              <w:jc w:val="center"/>
              <w:rPr>
                <w:color w:val="000000"/>
                <w:sz w:val="16"/>
                <w:szCs w:val="16"/>
              </w:rPr>
            </w:pPr>
            <w:r w:rsidRPr="000E5DBF">
              <w:rPr>
                <w:color w:val="000000"/>
                <w:sz w:val="16"/>
                <w:szCs w:val="16"/>
              </w:rPr>
              <w:t>2022</w:t>
            </w:r>
          </w:p>
        </w:tc>
        <w:tc>
          <w:tcPr>
            <w:tcW w:w="425" w:type="dxa"/>
            <w:tcBorders>
              <w:top w:val="nil"/>
              <w:left w:val="nil"/>
              <w:bottom w:val="single" w:sz="4" w:space="0" w:color="auto"/>
              <w:right w:val="single" w:sz="4" w:space="0" w:color="auto"/>
            </w:tcBorders>
            <w:shd w:val="clear" w:color="000000" w:fill="FFFFFF"/>
            <w:vAlign w:val="center"/>
            <w:hideMark/>
          </w:tcPr>
          <w:p w14:paraId="2995045A" w14:textId="77777777" w:rsidR="00F22587" w:rsidRPr="000E5DBF" w:rsidRDefault="00F22587" w:rsidP="008A5C11">
            <w:pPr>
              <w:jc w:val="center"/>
              <w:rPr>
                <w:color w:val="000000"/>
                <w:sz w:val="16"/>
                <w:szCs w:val="16"/>
              </w:rPr>
            </w:pPr>
            <w:r w:rsidRPr="000E5DBF">
              <w:rPr>
                <w:color w:val="000000"/>
                <w:sz w:val="16"/>
                <w:szCs w:val="16"/>
              </w:rPr>
              <w:t>2023</w:t>
            </w:r>
          </w:p>
        </w:tc>
        <w:tc>
          <w:tcPr>
            <w:tcW w:w="567" w:type="dxa"/>
            <w:tcBorders>
              <w:top w:val="nil"/>
              <w:left w:val="nil"/>
              <w:bottom w:val="single" w:sz="4" w:space="0" w:color="auto"/>
              <w:right w:val="single" w:sz="4" w:space="0" w:color="auto"/>
            </w:tcBorders>
            <w:shd w:val="clear" w:color="000000" w:fill="FFFFFF"/>
            <w:vAlign w:val="center"/>
            <w:hideMark/>
          </w:tcPr>
          <w:p w14:paraId="54D4A96A" w14:textId="77777777" w:rsidR="00F22587" w:rsidRPr="000E5DBF" w:rsidRDefault="00F22587" w:rsidP="008A5C11">
            <w:pPr>
              <w:jc w:val="center"/>
              <w:rPr>
                <w:color w:val="000000"/>
                <w:sz w:val="16"/>
                <w:szCs w:val="16"/>
              </w:rPr>
            </w:pPr>
            <w:r w:rsidRPr="000E5DBF">
              <w:rPr>
                <w:color w:val="000000"/>
                <w:sz w:val="16"/>
                <w:szCs w:val="16"/>
              </w:rPr>
              <w:t>2024</w:t>
            </w:r>
          </w:p>
        </w:tc>
        <w:tc>
          <w:tcPr>
            <w:tcW w:w="567" w:type="dxa"/>
            <w:tcBorders>
              <w:top w:val="nil"/>
              <w:left w:val="nil"/>
              <w:bottom w:val="single" w:sz="4" w:space="0" w:color="auto"/>
              <w:right w:val="single" w:sz="4" w:space="0" w:color="auto"/>
            </w:tcBorders>
            <w:shd w:val="clear" w:color="000000" w:fill="FFFFFF"/>
            <w:vAlign w:val="center"/>
            <w:hideMark/>
          </w:tcPr>
          <w:p w14:paraId="7D74349A" w14:textId="77777777" w:rsidR="00F22587" w:rsidRPr="000E5DBF" w:rsidRDefault="00F22587" w:rsidP="008A5C11">
            <w:pPr>
              <w:jc w:val="center"/>
              <w:rPr>
                <w:color w:val="000000"/>
                <w:sz w:val="16"/>
                <w:szCs w:val="16"/>
              </w:rPr>
            </w:pPr>
            <w:r w:rsidRPr="000E5DBF">
              <w:rPr>
                <w:color w:val="000000"/>
                <w:sz w:val="16"/>
                <w:szCs w:val="16"/>
              </w:rPr>
              <w:t>2025</w:t>
            </w:r>
          </w:p>
        </w:tc>
        <w:tc>
          <w:tcPr>
            <w:tcW w:w="567" w:type="dxa"/>
            <w:tcBorders>
              <w:top w:val="nil"/>
              <w:left w:val="nil"/>
              <w:bottom w:val="single" w:sz="4" w:space="0" w:color="auto"/>
              <w:right w:val="single" w:sz="4" w:space="0" w:color="auto"/>
            </w:tcBorders>
            <w:shd w:val="clear" w:color="000000" w:fill="FFFFFF"/>
            <w:vAlign w:val="center"/>
            <w:hideMark/>
          </w:tcPr>
          <w:p w14:paraId="6E12E3C4" w14:textId="77777777" w:rsidR="00F22587" w:rsidRPr="000E5DBF" w:rsidRDefault="00F22587" w:rsidP="008A5C11">
            <w:pPr>
              <w:jc w:val="center"/>
              <w:rPr>
                <w:color w:val="000000"/>
                <w:sz w:val="16"/>
                <w:szCs w:val="16"/>
              </w:rPr>
            </w:pPr>
            <w:r w:rsidRPr="000E5DBF">
              <w:rPr>
                <w:color w:val="000000"/>
                <w:sz w:val="16"/>
                <w:szCs w:val="16"/>
              </w:rPr>
              <w:t>2026</w:t>
            </w:r>
          </w:p>
        </w:tc>
        <w:tc>
          <w:tcPr>
            <w:tcW w:w="567" w:type="dxa"/>
            <w:tcBorders>
              <w:top w:val="nil"/>
              <w:left w:val="nil"/>
              <w:bottom w:val="single" w:sz="4" w:space="0" w:color="auto"/>
              <w:right w:val="single" w:sz="4" w:space="0" w:color="auto"/>
            </w:tcBorders>
            <w:shd w:val="clear" w:color="000000" w:fill="FFFFFF"/>
            <w:vAlign w:val="center"/>
            <w:hideMark/>
          </w:tcPr>
          <w:p w14:paraId="65B8BEBA" w14:textId="77777777" w:rsidR="00F22587" w:rsidRPr="000E5DBF" w:rsidRDefault="00F22587" w:rsidP="008A5C11">
            <w:pPr>
              <w:jc w:val="center"/>
              <w:rPr>
                <w:color w:val="000000"/>
                <w:sz w:val="16"/>
                <w:szCs w:val="16"/>
              </w:rPr>
            </w:pPr>
            <w:r w:rsidRPr="000E5DBF">
              <w:rPr>
                <w:color w:val="000000"/>
                <w:sz w:val="16"/>
                <w:szCs w:val="16"/>
              </w:rPr>
              <w:t>2027</w:t>
            </w:r>
          </w:p>
        </w:tc>
        <w:tc>
          <w:tcPr>
            <w:tcW w:w="709" w:type="dxa"/>
            <w:tcBorders>
              <w:top w:val="nil"/>
              <w:left w:val="nil"/>
              <w:bottom w:val="single" w:sz="4" w:space="0" w:color="auto"/>
              <w:right w:val="single" w:sz="4" w:space="0" w:color="auto"/>
            </w:tcBorders>
            <w:shd w:val="clear" w:color="000000" w:fill="FFFFFF"/>
            <w:vAlign w:val="center"/>
            <w:hideMark/>
          </w:tcPr>
          <w:p w14:paraId="7B79CE64" w14:textId="77777777" w:rsidR="00F22587" w:rsidRPr="000E5DBF" w:rsidRDefault="00F22587" w:rsidP="008A5C11">
            <w:pPr>
              <w:jc w:val="center"/>
              <w:rPr>
                <w:color w:val="000000"/>
                <w:sz w:val="16"/>
                <w:szCs w:val="16"/>
              </w:rPr>
            </w:pPr>
            <w:r w:rsidRPr="000E5DBF">
              <w:rPr>
                <w:color w:val="000000"/>
                <w:sz w:val="16"/>
                <w:szCs w:val="16"/>
              </w:rPr>
              <w:t>2028</w:t>
            </w:r>
          </w:p>
        </w:tc>
        <w:tc>
          <w:tcPr>
            <w:tcW w:w="709" w:type="dxa"/>
            <w:tcBorders>
              <w:top w:val="nil"/>
              <w:left w:val="nil"/>
              <w:bottom w:val="single" w:sz="4" w:space="0" w:color="auto"/>
              <w:right w:val="single" w:sz="4" w:space="0" w:color="auto"/>
            </w:tcBorders>
            <w:shd w:val="clear" w:color="000000" w:fill="FFFFFF"/>
            <w:vAlign w:val="center"/>
            <w:hideMark/>
          </w:tcPr>
          <w:p w14:paraId="0AEFD6F4" w14:textId="77777777" w:rsidR="00F22587" w:rsidRPr="000E5DBF" w:rsidRDefault="00F22587" w:rsidP="008A5C11">
            <w:pPr>
              <w:jc w:val="center"/>
              <w:rPr>
                <w:color w:val="000000"/>
                <w:sz w:val="16"/>
                <w:szCs w:val="16"/>
              </w:rPr>
            </w:pPr>
            <w:r w:rsidRPr="000E5DBF">
              <w:rPr>
                <w:color w:val="000000"/>
                <w:sz w:val="16"/>
                <w:szCs w:val="16"/>
              </w:rPr>
              <w:t>2029</w:t>
            </w:r>
          </w:p>
        </w:tc>
        <w:tc>
          <w:tcPr>
            <w:tcW w:w="607" w:type="dxa"/>
            <w:tcBorders>
              <w:top w:val="nil"/>
              <w:left w:val="nil"/>
              <w:bottom w:val="single" w:sz="4" w:space="0" w:color="auto"/>
              <w:right w:val="single" w:sz="4" w:space="0" w:color="auto"/>
            </w:tcBorders>
            <w:shd w:val="clear" w:color="000000" w:fill="FFFFFF"/>
            <w:vAlign w:val="center"/>
            <w:hideMark/>
          </w:tcPr>
          <w:p w14:paraId="2E161599" w14:textId="77777777" w:rsidR="00F22587" w:rsidRPr="000E5DBF" w:rsidRDefault="00F22587" w:rsidP="008A5C11">
            <w:pPr>
              <w:jc w:val="center"/>
              <w:rPr>
                <w:color w:val="000000"/>
                <w:sz w:val="16"/>
                <w:szCs w:val="16"/>
              </w:rPr>
            </w:pPr>
            <w:r w:rsidRPr="000E5DBF">
              <w:rPr>
                <w:color w:val="000000"/>
                <w:sz w:val="16"/>
                <w:szCs w:val="16"/>
              </w:rPr>
              <w:t>2030</w:t>
            </w:r>
          </w:p>
        </w:tc>
      </w:tr>
      <w:tr w:rsidR="00F22587" w:rsidRPr="000E5DBF" w14:paraId="3F0132B0" w14:textId="77777777" w:rsidTr="008A5C11">
        <w:trPr>
          <w:trHeight w:val="60"/>
        </w:trPr>
        <w:tc>
          <w:tcPr>
            <w:tcW w:w="432" w:type="dxa"/>
            <w:tcBorders>
              <w:top w:val="nil"/>
              <w:left w:val="single" w:sz="4" w:space="0" w:color="auto"/>
              <w:bottom w:val="single" w:sz="4" w:space="0" w:color="auto"/>
              <w:right w:val="single" w:sz="4" w:space="0" w:color="auto"/>
            </w:tcBorders>
            <w:shd w:val="clear" w:color="000000" w:fill="FFFFFF"/>
            <w:vAlign w:val="center"/>
            <w:hideMark/>
          </w:tcPr>
          <w:p w14:paraId="6E91E800" w14:textId="77777777" w:rsidR="00F22587" w:rsidRPr="000E5DBF" w:rsidRDefault="00F22587" w:rsidP="008A5C11">
            <w:pPr>
              <w:jc w:val="center"/>
              <w:rPr>
                <w:color w:val="000000"/>
                <w:sz w:val="16"/>
                <w:szCs w:val="16"/>
              </w:rPr>
            </w:pPr>
            <w:r w:rsidRPr="000E5DBF">
              <w:rPr>
                <w:color w:val="000000"/>
                <w:sz w:val="16"/>
                <w:szCs w:val="16"/>
              </w:rPr>
              <w:t>1</w:t>
            </w:r>
          </w:p>
        </w:tc>
        <w:tc>
          <w:tcPr>
            <w:tcW w:w="1468" w:type="dxa"/>
            <w:tcBorders>
              <w:top w:val="single" w:sz="4" w:space="0" w:color="auto"/>
              <w:left w:val="nil"/>
              <w:bottom w:val="nil"/>
              <w:right w:val="single" w:sz="4" w:space="0" w:color="auto"/>
            </w:tcBorders>
            <w:shd w:val="clear" w:color="000000" w:fill="FFFFFF"/>
            <w:vAlign w:val="center"/>
            <w:hideMark/>
          </w:tcPr>
          <w:p w14:paraId="6E7E2AE7" w14:textId="77777777" w:rsidR="00F22587" w:rsidRPr="000E5DBF" w:rsidRDefault="00F22587" w:rsidP="008A5C11">
            <w:pPr>
              <w:rPr>
                <w:color w:val="000000"/>
                <w:sz w:val="16"/>
                <w:szCs w:val="16"/>
              </w:rPr>
            </w:pPr>
            <w:r w:rsidRPr="000E5DBF">
              <w:rPr>
                <w:color w:val="000000"/>
                <w:sz w:val="16"/>
                <w:szCs w:val="16"/>
              </w:rPr>
              <w:t>Котельная Горновского района</w:t>
            </w:r>
          </w:p>
        </w:tc>
        <w:tc>
          <w:tcPr>
            <w:tcW w:w="709" w:type="dxa"/>
            <w:tcBorders>
              <w:top w:val="single" w:sz="4" w:space="0" w:color="auto"/>
              <w:left w:val="nil"/>
              <w:bottom w:val="nil"/>
              <w:right w:val="single" w:sz="4" w:space="0" w:color="auto"/>
            </w:tcBorders>
            <w:shd w:val="clear" w:color="000000" w:fill="FFFFFF"/>
            <w:vAlign w:val="center"/>
            <w:hideMark/>
          </w:tcPr>
          <w:p w14:paraId="7940D720" w14:textId="77777777" w:rsidR="00F22587" w:rsidRPr="000E5DBF" w:rsidRDefault="00F22587" w:rsidP="008A5C11">
            <w:pPr>
              <w:jc w:val="center"/>
              <w:rPr>
                <w:color w:val="000000"/>
                <w:sz w:val="16"/>
                <w:szCs w:val="16"/>
              </w:rPr>
            </w:pPr>
            <w:r w:rsidRPr="000E5DBF">
              <w:rPr>
                <w:color w:val="000000"/>
                <w:sz w:val="16"/>
                <w:szCs w:val="16"/>
              </w:rPr>
              <w:t>1,32</w:t>
            </w:r>
          </w:p>
        </w:tc>
        <w:tc>
          <w:tcPr>
            <w:tcW w:w="384" w:type="dxa"/>
            <w:tcBorders>
              <w:top w:val="single" w:sz="4" w:space="0" w:color="auto"/>
              <w:left w:val="nil"/>
              <w:bottom w:val="nil"/>
              <w:right w:val="single" w:sz="4" w:space="0" w:color="auto"/>
            </w:tcBorders>
            <w:shd w:val="clear" w:color="000000" w:fill="FFFFFF"/>
            <w:vAlign w:val="center"/>
            <w:hideMark/>
          </w:tcPr>
          <w:p w14:paraId="4789E687" w14:textId="77777777" w:rsidR="00F22587" w:rsidRPr="000E5DBF" w:rsidRDefault="00F22587" w:rsidP="008A5C11">
            <w:pPr>
              <w:jc w:val="center"/>
              <w:rPr>
                <w:color w:val="000000"/>
                <w:sz w:val="16"/>
                <w:szCs w:val="16"/>
              </w:rPr>
            </w:pPr>
            <w:r w:rsidRPr="000E5DBF">
              <w:rPr>
                <w:color w:val="000000"/>
                <w:sz w:val="16"/>
                <w:szCs w:val="16"/>
              </w:rPr>
              <w:t>1,32</w:t>
            </w:r>
          </w:p>
        </w:tc>
        <w:tc>
          <w:tcPr>
            <w:tcW w:w="426" w:type="dxa"/>
            <w:tcBorders>
              <w:top w:val="single" w:sz="4" w:space="0" w:color="auto"/>
              <w:left w:val="nil"/>
              <w:bottom w:val="nil"/>
              <w:right w:val="single" w:sz="4" w:space="0" w:color="auto"/>
            </w:tcBorders>
            <w:shd w:val="clear" w:color="000000" w:fill="FFFFFF"/>
            <w:vAlign w:val="center"/>
            <w:hideMark/>
          </w:tcPr>
          <w:p w14:paraId="105DA548" w14:textId="77777777" w:rsidR="00F22587" w:rsidRPr="000E5DBF" w:rsidRDefault="00F22587" w:rsidP="008A5C11">
            <w:pPr>
              <w:jc w:val="center"/>
              <w:rPr>
                <w:color w:val="000000"/>
                <w:sz w:val="16"/>
                <w:szCs w:val="16"/>
              </w:rPr>
            </w:pPr>
            <w:r w:rsidRPr="000E5DBF">
              <w:rPr>
                <w:color w:val="000000"/>
                <w:sz w:val="16"/>
                <w:szCs w:val="16"/>
              </w:rPr>
              <w:t>1,32</w:t>
            </w:r>
          </w:p>
        </w:tc>
        <w:tc>
          <w:tcPr>
            <w:tcW w:w="425" w:type="dxa"/>
            <w:tcBorders>
              <w:top w:val="single" w:sz="4" w:space="0" w:color="auto"/>
              <w:left w:val="nil"/>
              <w:bottom w:val="nil"/>
              <w:right w:val="single" w:sz="4" w:space="0" w:color="auto"/>
            </w:tcBorders>
            <w:shd w:val="clear" w:color="000000" w:fill="FFFFFF"/>
            <w:vAlign w:val="center"/>
            <w:hideMark/>
          </w:tcPr>
          <w:p w14:paraId="739A85A2" w14:textId="77777777" w:rsidR="00F22587" w:rsidRPr="000E5DBF" w:rsidRDefault="00F22587" w:rsidP="008A5C11">
            <w:pPr>
              <w:jc w:val="center"/>
              <w:rPr>
                <w:color w:val="000000"/>
                <w:sz w:val="16"/>
                <w:szCs w:val="16"/>
              </w:rPr>
            </w:pPr>
            <w:r w:rsidRPr="000E5DBF">
              <w:rPr>
                <w:color w:val="000000"/>
                <w:sz w:val="16"/>
                <w:szCs w:val="16"/>
              </w:rPr>
              <w:t>1,32</w:t>
            </w:r>
          </w:p>
        </w:tc>
        <w:tc>
          <w:tcPr>
            <w:tcW w:w="425" w:type="dxa"/>
            <w:tcBorders>
              <w:top w:val="single" w:sz="4" w:space="0" w:color="auto"/>
              <w:left w:val="nil"/>
              <w:bottom w:val="nil"/>
              <w:right w:val="single" w:sz="4" w:space="0" w:color="auto"/>
            </w:tcBorders>
            <w:shd w:val="clear" w:color="000000" w:fill="FFFFFF"/>
            <w:vAlign w:val="center"/>
            <w:hideMark/>
          </w:tcPr>
          <w:p w14:paraId="0A0586D3" w14:textId="77777777" w:rsidR="00F22587" w:rsidRPr="000E5DBF" w:rsidRDefault="00F22587" w:rsidP="008A5C11">
            <w:pPr>
              <w:jc w:val="center"/>
              <w:rPr>
                <w:color w:val="000000"/>
                <w:sz w:val="16"/>
                <w:szCs w:val="16"/>
              </w:rPr>
            </w:pPr>
            <w:r w:rsidRPr="000E5DBF">
              <w:rPr>
                <w:color w:val="000000"/>
                <w:sz w:val="16"/>
                <w:szCs w:val="16"/>
              </w:rPr>
              <w:t>1,32</w:t>
            </w:r>
          </w:p>
        </w:tc>
        <w:tc>
          <w:tcPr>
            <w:tcW w:w="425" w:type="dxa"/>
            <w:tcBorders>
              <w:top w:val="single" w:sz="4" w:space="0" w:color="auto"/>
              <w:left w:val="nil"/>
              <w:bottom w:val="nil"/>
              <w:right w:val="single" w:sz="4" w:space="0" w:color="auto"/>
            </w:tcBorders>
            <w:shd w:val="clear" w:color="000000" w:fill="FFFFFF"/>
            <w:vAlign w:val="center"/>
            <w:hideMark/>
          </w:tcPr>
          <w:p w14:paraId="11120095" w14:textId="77777777" w:rsidR="00F22587" w:rsidRPr="000E5DBF" w:rsidRDefault="00F22587" w:rsidP="008A5C11">
            <w:pPr>
              <w:jc w:val="center"/>
              <w:rPr>
                <w:color w:val="000000"/>
                <w:sz w:val="16"/>
                <w:szCs w:val="16"/>
              </w:rPr>
            </w:pPr>
            <w:r w:rsidRPr="000E5DBF">
              <w:rPr>
                <w:color w:val="000000"/>
                <w:sz w:val="16"/>
                <w:szCs w:val="16"/>
              </w:rPr>
              <w:t>1,32</w:t>
            </w:r>
          </w:p>
        </w:tc>
        <w:tc>
          <w:tcPr>
            <w:tcW w:w="496" w:type="dxa"/>
            <w:tcBorders>
              <w:top w:val="single" w:sz="4" w:space="0" w:color="auto"/>
              <w:left w:val="nil"/>
              <w:bottom w:val="nil"/>
              <w:right w:val="single" w:sz="4" w:space="0" w:color="auto"/>
            </w:tcBorders>
            <w:shd w:val="clear" w:color="000000" w:fill="FFFFFF"/>
            <w:vAlign w:val="center"/>
            <w:hideMark/>
          </w:tcPr>
          <w:p w14:paraId="7AAD02E2" w14:textId="77777777" w:rsidR="00F22587" w:rsidRPr="000E5DBF" w:rsidRDefault="00F22587" w:rsidP="008A5C11">
            <w:pPr>
              <w:jc w:val="center"/>
              <w:rPr>
                <w:color w:val="000000"/>
                <w:sz w:val="16"/>
                <w:szCs w:val="16"/>
              </w:rPr>
            </w:pPr>
            <w:r w:rsidRPr="000E5DBF">
              <w:rPr>
                <w:color w:val="000000"/>
                <w:sz w:val="16"/>
                <w:szCs w:val="16"/>
              </w:rPr>
              <w:t>1,32</w:t>
            </w:r>
          </w:p>
        </w:tc>
        <w:tc>
          <w:tcPr>
            <w:tcW w:w="497" w:type="dxa"/>
            <w:tcBorders>
              <w:top w:val="single" w:sz="4" w:space="0" w:color="auto"/>
              <w:left w:val="nil"/>
              <w:bottom w:val="nil"/>
              <w:right w:val="single" w:sz="4" w:space="0" w:color="auto"/>
            </w:tcBorders>
            <w:shd w:val="clear" w:color="000000" w:fill="FFFFFF"/>
            <w:vAlign w:val="center"/>
            <w:hideMark/>
          </w:tcPr>
          <w:p w14:paraId="5A547F20" w14:textId="77777777" w:rsidR="00F22587" w:rsidRPr="000E5DBF" w:rsidRDefault="00F22587" w:rsidP="008A5C11">
            <w:pPr>
              <w:jc w:val="center"/>
              <w:rPr>
                <w:color w:val="000000"/>
                <w:sz w:val="16"/>
                <w:szCs w:val="16"/>
              </w:rPr>
            </w:pPr>
            <w:r w:rsidRPr="000E5DBF">
              <w:rPr>
                <w:color w:val="000000"/>
                <w:sz w:val="16"/>
                <w:szCs w:val="16"/>
              </w:rPr>
              <w:t>1,32</w:t>
            </w:r>
          </w:p>
        </w:tc>
        <w:tc>
          <w:tcPr>
            <w:tcW w:w="496" w:type="dxa"/>
            <w:tcBorders>
              <w:top w:val="single" w:sz="4" w:space="0" w:color="auto"/>
              <w:left w:val="nil"/>
              <w:bottom w:val="nil"/>
              <w:right w:val="single" w:sz="4" w:space="0" w:color="auto"/>
            </w:tcBorders>
            <w:shd w:val="clear" w:color="000000" w:fill="FFFFFF"/>
            <w:vAlign w:val="center"/>
            <w:hideMark/>
          </w:tcPr>
          <w:p w14:paraId="769DE588" w14:textId="77777777" w:rsidR="00F22587" w:rsidRPr="000E5DBF" w:rsidRDefault="00F22587" w:rsidP="008A5C11">
            <w:pPr>
              <w:jc w:val="center"/>
              <w:rPr>
                <w:color w:val="000000"/>
                <w:sz w:val="16"/>
                <w:szCs w:val="16"/>
              </w:rPr>
            </w:pPr>
            <w:r w:rsidRPr="000E5DBF">
              <w:rPr>
                <w:color w:val="000000"/>
                <w:sz w:val="16"/>
                <w:szCs w:val="16"/>
              </w:rPr>
              <w:t>1,32</w:t>
            </w:r>
          </w:p>
        </w:tc>
        <w:tc>
          <w:tcPr>
            <w:tcW w:w="496" w:type="dxa"/>
            <w:tcBorders>
              <w:top w:val="single" w:sz="4" w:space="0" w:color="auto"/>
              <w:left w:val="nil"/>
              <w:bottom w:val="nil"/>
              <w:right w:val="single" w:sz="4" w:space="0" w:color="auto"/>
            </w:tcBorders>
            <w:shd w:val="clear" w:color="000000" w:fill="FFFFFF"/>
            <w:vAlign w:val="center"/>
            <w:hideMark/>
          </w:tcPr>
          <w:p w14:paraId="227B9CBA" w14:textId="77777777" w:rsidR="00F22587" w:rsidRPr="000E5DBF" w:rsidRDefault="00F22587" w:rsidP="008A5C11">
            <w:pPr>
              <w:jc w:val="center"/>
              <w:rPr>
                <w:color w:val="000000"/>
                <w:sz w:val="16"/>
                <w:szCs w:val="16"/>
              </w:rPr>
            </w:pPr>
            <w:r w:rsidRPr="000E5DBF">
              <w:rPr>
                <w:color w:val="000000"/>
                <w:sz w:val="16"/>
                <w:szCs w:val="16"/>
              </w:rPr>
              <w:t>1,32</w:t>
            </w:r>
          </w:p>
        </w:tc>
        <w:tc>
          <w:tcPr>
            <w:tcW w:w="496" w:type="dxa"/>
            <w:tcBorders>
              <w:top w:val="single" w:sz="4" w:space="0" w:color="auto"/>
              <w:left w:val="nil"/>
              <w:bottom w:val="nil"/>
              <w:right w:val="single" w:sz="4" w:space="0" w:color="auto"/>
            </w:tcBorders>
            <w:shd w:val="clear" w:color="000000" w:fill="FFFFFF"/>
            <w:vAlign w:val="center"/>
            <w:hideMark/>
          </w:tcPr>
          <w:p w14:paraId="7B384B08" w14:textId="77777777" w:rsidR="00F22587" w:rsidRPr="000E5DBF" w:rsidRDefault="00F22587" w:rsidP="008A5C11">
            <w:pPr>
              <w:jc w:val="center"/>
              <w:rPr>
                <w:color w:val="000000"/>
                <w:sz w:val="16"/>
                <w:szCs w:val="16"/>
              </w:rPr>
            </w:pPr>
            <w:r w:rsidRPr="000E5DBF">
              <w:rPr>
                <w:color w:val="000000"/>
                <w:sz w:val="16"/>
                <w:szCs w:val="16"/>
              </w:rPr>
              <w:t>1,317</w:t>
            </w:r>
          </w:p>
        </w:tc>
        <w:tc>
          <w:tcPr>
            <w:tcW w:w="496" w:type="dxa"/>
            <w:tcBorders>
              <w:top w:val="single" w:sz="4" w:space="0" w:color="auto"/>
              <w:left w:val="nil"/>
              <w:bottom w:val="nil"/>
              <w:right w:val="single" w:sz="4" w:space="0" w:color="auto"/>
            </w:tcBorders>
            <w:shd w:val="clear" w:color="000000" w:fill="FFFFFF"/>
            <w:vAlign w:val="center"/>
            <w:hideMark/>
          </w:tcPr>
          <w:p w14:paraId="39A36C57" w14:textId="77777777" w:rsidR="00F22587" w:rsidRPr="000E5DBF" w:rsidRDefault="00F22587" w:rsidP="008A5C11">
            <w:pPr>
              <w:jc w:val="center"/>
              <w:rPr>
                <w:color w:val="000000"/>
                <w:sz w:val="16"/>
                <w:szCs w:val="16"/>
              </w:rPr>
            </w:pPr>
            <w:r w:rsidRPr="000E5DBF">
              <w:rPr>
                <w:color w:val="000000"/>
                <w:sz w:val="16"/>
                <w:szCs w:val="16"/>
              </w:rPr>
              <w:t>1,317</w:t>
            </w:r>
          </w:p>
        </w:tc>
        <w:tc>
          <w:tcPr>
            <w:tcW w:w="567" w:type="dxa"/>
            <w:tcBorders>
              <w:top w:val="single" w:sz="4" w:space="0" w:color="auto"/>
              <w:left w:val="nil"/>
              <w:bottom w:val="nil"/>
              <w:right w:val="single" w:sz="4" w:space="0" w:color="auto"/>
            </w:tcBorders>
            <w:shd w:val="clear" w:color="000000" w:fill="FFFFFF"/>
            <w:vAlign w:val="center"/>
            <w:hideMark/>
          </w:tcPr>
          <w:p w14:paraId="4D8017F3" w14:textId="77777777" w:rsidR="00F22587" w:rsidRPr="000E5DBF" w:rsidRDefault="00F22587" w:rsidP="008A5C11">
            <w:pPr>
              <w:jc w:val="center"/>
              <w:rPr>
                <w:color w:val="000000"/>
                <w:sz w:val="16"/>
                <w:szCs w:val="16"/>
              </w:rPr>
            </w:pPr>
            <w:r w:rsidRPr="000E5DBF">
              <w:rPr>
                <w:color w:val="000000"/>
                <w:sz w:val="16"/>
                <w:szCs w:val="16"/>
              </w:rPr>
              <w:t>1,317</w:t>
            </w:r>
          </w:p>
        </w:tc>
        <w:tc>
          <w:tcPr>
            <w:tcW w:w="709" w:type="dxa"/>
            <w:tcBorders>
              <w:top w:val="single" w:sz="4" w:space="0" w:color="auto"/>
              <w:left w:val="nil"/>
              <w:bottom w:val="nil"/>
              <w:right w:val="single" w:sz="4" w:space="0" w:color="auto"/>
            </w:tcBorders>
            <w:shd w:val="clear" w:color="000000" w:fill="FFFFFF"/>
            <w:vAlign w:val="center"/>
            <w:hideMark/>
          </w:tcPr>
          <w:p w14:paraId="4623B705" w14:textId="77777777" w:rsidR="00F22587" w:rsidRPr="000E5DBF" w:rsidRDefault="00F22587" w:rsidP="008A5C11">
            <w:pPr>
              <w:jc w:val="center"/>
              <w:rPr>
                <w:color w:val="000000"/>
                <w:sz w:val="16"/>
                <w:szCs w:val="16"/>
              </w:rPr>
            </w:pPr>
            <w:r w:rsidRPr="000E5DBF">
              <w:rPr>
                <w:color w:val="000000"/>
                <w:sz w:val="16"/>
                <w:szCs w:val="16"/>
              </w:rPr>
              <w:t>3200</w:t>
            </w:r>
          </w:p>
        </w:tc>
        <w:tc>
          <w:tcPr>
            <w:tcW w:w="425" w:type="dxa"/>
            <w:tcBorders>
              <w:top w:val="single" w:sz="4" w:space="0" w:color="auto"/>
              <w:left w:val="nil"/>
              <w:bottom w:val="nil"/>
              <w:right w:val="single" w:sz="4" w:space="0" w:color="auto"/>
            </w:tcBorders>
            <w:shd w:val="clear" w:color="000000" w:fill="FFFFFF"/>
            <w:vAlign w:val="center"/>
            <w:hideMark/>
          </w:tcPr>
          <w:p w14:paraId="63310A50" w14:textId="77777777" w:rsidR="00F22587" w:rsidRPr="000E5DBF" w:rsidRDefault="00F22587" w:rsidP="008A5C11">
            <w:pPr>
              <w:jc w:val="center"/>
              <w:rPr>
                <w:color w:val="000000"/>
                <w:sz w:val="16"/>
                <w:szCs w:val="16"/>
              </w:rPr>
            </w:pPr>
            <w:r w:rsidRPr="000E5DBF">
              <w:rPr>
                <w:color w:val="000000"/>
                <w:sz w:val="16"/>
                <w:szCs w:val="16"/>
              </w:rPr>
              <w:t>3200</w:t>
            </w:r>
          </w:p>
        </w:tc>
        <w:tc>
          <w:tcPr>
            <w:tcW w:w="425" w:type="dxa"/>
            <w:tcBorders>
              <w:top w:val="single" w:sz="4" w:space="0" w:color="auto"/>
              <w:left w:val="nil"/>
              <w:bottom w:val="nil"/>
              <w:right w:val="single" w:sz="4" w:space="0" w:color="auto"/>
            </w:tcBorders>
            <w:shd w:val="clear" w:color="000000" w:fill="FFFFFF"/>
            <w:vAlign w:val="center"/>
            <w:hideMark/>
          </w:tcPr>
          <w:p w14:paraId="6B65948C" w14:textId="77777777" w:rsidR="00F22587" w:rsidRPr="000E5DBF" w:rsidRDefault="00F22587" w:rsidP="008A5C11">
            <w:pPr>
              <w:jc w:val="center"/>
              <w:rPr>
                <w:color w:val="000000"/>
                <w:sz w:val="16"/>
                <w:szCs w:val="16"/>
              </w:rPr>
            </w:pPr>
            <w:r w:rsidRPr="000E5DBF">
              <w:rPr>
                <w:color w:val="000000"/>
                <w:sz w:val="16"/>
                <w:szCs w:val="16"/>
              </w:rPr>
              <w:t>3200</w:t>
            </w:r>
          </w:p>
        </w:tc>
        <w:tc>
          <w:tcPr>
            <w:tcW w:w="426" w:type="dxa"/>
            <w:tcBorders>
              <w:top w:val="single" w:sz="4" w:space="0" w:color="auto"/>
              <w:left w:val="nil"/>
              <w:bottom w:val="nil"/>
              <w:right w:val="single" w:sz="4" w:space="0" w:color="auto"/>
            </w:tcBorders>
            <w:shd w:val="clear" w:color="000000" w:fill="FFFFFF"/>
            <w:vAlign w:val="center"/>
            <w:hideMark/>
          </w:tcPr>
          <w:p w14:paraId="3300B7DF" w14:textId="77777777" w:rsidR="00F22587" w:rsidRPr="000E5DBF" w:rsidRDefault="00F22587" w:rsidP="008A5C11">
            <w:pPr>
              <w:jc w:val="center"/>
              <w:rPr>
                <w:color w:val="000000"/>
                <w:sz w:val="16"/>
                <w:szCs w:val="16"/>
              </w:rPr>
            </w:pPr>
            <w:r w:rsidRPr="000E5DBF">
              <w:rPr>
                <w:color w:val="000000"/>
                <w:sz w:val="16"/>
                <w:szCs w:val="16"/>
              </w:rPr>
              <w:t>3200</w:t>
            </w:r>
          </w:p>
        </w:tc>
        <w:tc>
          <w:tcPr>
            <w:tcW w:w="425" w:type="dxa"/>
            <w:tcBorders>
              <w:top w:val="single" w:sz="4" w:space="0" w:color="auto"/>
              <w:left w:val="nil"/>
              <w:bottom w:val="nil"/>
              <w:right w:val="single" w:sz="4" w:space="0" w:color="auto"/>
            </w:tcBorders>
            <w:shd w:val="clear" w:color="000000" w:fill="FFFFFF"/>
            <w:vAlign w:val="center"/>
            <w:hideMark/>
          </w:tcPr>
          <w:p w14:paraId="3D9AA6FA" w14:textId="77777777" w:rsidR="00F22587" w:rsidRPr="000E5DBF" w:rsidRDefault="00F22587" w:rsidP="008A5C11">
            <w:pPr>
              <w:jc w:val="center"/>
              <w:rPr>
                <w:color w:val="000000"/>
                <w:sz w:val="16"/>
                <w:szCs w:val="16"/>
              </w:rPr>
            </w:pPr>
            <w:r w:rsidRPr="000E5DBF">
              <w:rPr>
                <w:color w:val="000000"/>
                <w:sz w:val="16"/>
                <w:szCs w:val="16"/>
              </w:rPr>
              <w:t>3200</w:t>
            </w:r>
          </w:p>
        </w:tc>
        <w:tc>
          <w:tcPr>
            <w:tcW w:w="425" w:type="dxa"/>
            <w:tcBorders>
              <w:top w:val="single" w:sz="4" w:space="0" w:color="auto"/>
              <w:left w:val="nil"/>
              <w:bottom w:val="nil"/>
              <w:right w:val="single" w:sz="4" w:space="0" w:color="auto"/>
            </w:tcBorders>
            <w:shd w:val="clear" w:color="000000" w:fill="FFFFFF"/>
            <w:vAlign w:val="center"/>
            <w:hideMark/>
          </w:tcPr>
          <w:p w14:paraId="71048ACD" w14:textId="77777777" w:rsidR="00F22587" w:rsidRPr="000E5DBF" w:rsidRDefault="00F22587" w:rsidP="008A5C11">
            <w:pPr>
              <w:jc w:val="center"/>
              <w:rPr>
                <w:color w:val="000000"/>
                <w:sz w:val="16"/>
                <w:szCs w:val="16"/>
              </w:rPr>
            </w:pPr>
            <w:r w:rsidRPr="000E5DBF">
              <w:rPr>
                <w:color w:val="000000"/>
                <w:sz w:val="16"/>
                <w:szCs w:val="16"/>
              </w:rPr>
              <w:t>3200</w:t>
            </w:r>
          </w:p>
        </w:tc>
        <w:tc>
          <w:tcPr>
            <w:tcW w:w="567" w:type="dxa"/>
            <w:tcBorders>
              <w:top w:val="single" w:sz="4" w:space="0" w:color="auto"/>
              <w:left w:val="nil"/>
              <w:bottom w:val="nil"/>
              <w:right w:val="single" w:sz="4" w:space="0" w:color="auto"/>
            </w:tcBorders>
            <w:shd w:val="clear" w:color="000000" w:fill="FFFFFF"/>
            <w:vAlign w:val="center"/>
            <w:hideMark/>
          </w:tcPr>
          <w:p w14:paraId="564DCD56" w14:textId="77777777" w:rsidR="00F22587" w:rsidRPr="000E5DBF" w:rsidRDefault="00F22587" w:rsidP="008A5C11">
            <w:pPr>
              <w:jc w:val="center"/>
              <w:rPr>
                <w:color w:val="000000"/>
                <w:sz w:val="16"/>
                <w:szCs w:val="16"/>
              </w:rPr>
            </w:pPr>
            <w:r w:rsidRPr="000E5DBF">
              <w:rPr>
                <w:color w:val="000000"/>
                <w:sz w:val="16"/>
                <w:szCs w:val="16"/>
              </w:rPr>
              <w:t>3200</w:t>
            </w:r>
          </w:p>
        </w:tc>
        <w:tc>
          <w:tcPr>
            <w:tcW w:w="567" w:type="dxa"/>
            <w:tcBorders>
              <w:top w:val="single" w:sz="4" w:space="0" w:color="auto"/>
              <w:left w:val="nil"/>
              <w:bottom w:val="nil"/>
              <w:right w:val="single" w:sz="4" w:space="0" w:color="auto"/>
            </w:tcBorders>
            <w:shd w:val="clear" w:color="000000" w:fill="FFFFFF"/>
            <w:vAlign w:val="center"/>
            <w:hideMark/>
          </w:tcPr>
          <w:p w14:paraId="01CB479E" w14:textId="77777777" w:rsidR="00F22587" w:rsidRPr="000E5DBF" w:rsidRDefault="00F22587" w:rsidP="008A5C11">
            <w:pPr>
              <w:jc w:val="center"/>
              <w:rPr>
                <w:color w:val="000000"/>
                <w:sz w:val="16"/>
                <w:szCs w:val="16"/>
              </w:rPr>
            </w:pPr>
            <w:r w:rsidRPr="000E5DBF">
              <w:rPr>
                <w:color w:val="000000"/>
                <w:sz w:val="16"/>
                <w:szCs w:val="16"/>
              </w:rPr>
              <w:t>3200</w:t>
            </w:r>
          </w:p>
        </w:tc>
        <w:tc>
          <w:tcPr>
            <w:tcW w:w="567" w:type="dxa"/>
            <w:tcBorders>
              <w:top w:val="single" w:sz="4" w:space="0" w:color="auto"/>
              <w:left w:val="nil"/>
              <w:bottom w:val="nil"/>
              <w:right w:val="single" w:sz="4" w:space="0" w:color="auto"/>
            </w:tcBorders>
            <w:shd w:val="clear" w:color="000000" w:fill="FFFFFF"/>
            <w:vAlign w:val="center"/>
            <w:hideMark/>
          </w:tcPr>
          <w:p w14:paraId="6E873709" w14:textId="77777777" w:rsidR="00F22587" w:rsidRPr="000E5DBF" w:rsidRDefault="00F22587" w:rsidP="008A5C11">
            <w:pPr>
              <w:jc w:val="center"/>
              <w:rPr>
                <w:color w:val="000000"/>
                <w:sz w:val="16"/>
                <w:szCs w:val="16"/>
              </w:rPr>
            </w:pPr>
            <w:r w:rsidRPr="000E5DBF">
              <w:rPr>
                <w:color w:val="000000"/>
                <w:sz w:val="16"/>
                <w:szCs w:val="16"/>
              </w:rPr>
              <w:t>3200</w:t>
            </w:r>
          </w:p>
        </w:tc>
        <w:tc>
          <w:tcPr>
            <w:tcW w:w="567" w:type="dxa"/>
            <w:tcBorders>
              <w:top w:val="single" w:sz="4" w:space="0" w:color="auto"/>
              <w:left w:val="nil"/>
              <w:bottom w:val="nil"/>
              <w:right w:val="single" w:sz="4" w:space="0" w:color="auto"/>
            </w:tcBorders>
            <w:shd w:val="clear" w:color="000000" w:fill="FFFFFF"/>
            <w:vAlign w:val="center"/>
            <w:hideMark/>
          </w:tcPr>
          <w:p w14:paraId="54574EC7" w14:textId="77777777" w:rsidR="00F22587" w:rsidRPr="000E5DBF" w:rsidRDefault="00F22587" w:rsidP="008A5C11">
            <w:pPr>
              <w:jc w:val="center"/>
              <w:rPr>
                <w:color w:val="000000"/>
                <w:sz w:val="16"/>
                <w:szCs w:val="16"/>
              </w:rPr>
            </w:pPr>
            <w:r w:rsidRPr="000E5DBF">
              <w:rPr>
                <w:color w:val="000000"/>
                <w:sz w:val="16"/>
                <w:szCs w:val="16"/>
              </w:rPr>
              <w:t>3200</w:t>
            </w:r>
          </w:p>
        </w:tc>
        <w:tc>
          <w:tcPr>
            <w:tcW w:w="709" w:type="dxa"/>
            <w:tcBorders>
              <w:top w:val="single" w:sz="4" w:space="0" w:color="auto"/>
              <w:left w:val="nil"/>
              <w:bottom w:val="nil"/>
              <w:right w:val="single" w:sz="4" w:space="0" w:color="auto"/>
            </w:tcBorders>
            <w:shd w:val="clear" w:color="000000" w:fill="FFFFFF"/>
            <w:vAlign w:val="center"/>
            <w:hideMark/>
          </w:tcPr>
          <w:p w14:paraId="34761876" w14:textId="77777777" w:rsidR="00F22587" w:rsidRPr="000E5DBF" w:rsidRDefault="00F22587" w:rsidP="008A5C11">
            <w:pPr>
              <w:jc w:val="right"/>
              <w:rPr>
                <w:color w:val="000000"/>
                <w:sz w:val="16"/>
                <w:szCs w:val="16"/>
              </w:rPr>
            </w:pPr>
            <w:r w:rsidRPr="000E5DBF">
              <w:rPr>
                <w:color w:val="000000"/>
                <w:sz w:val="16"/>
                <w:szCs w:val="16"/>
              </w:rPr>
              <w:t>3200,32</w:t>
            </w:r>
          </w:p>
        </w:tc>
        <w:tc>
          <w:tcPr>
            <w:tcW w:w="709" w:type="dxa"/>
            <w:tcBorders>
              <w:top w:val="single" w:sz="4" w:space="0" w:color="auto"/>
              <w:left w:val="nil"/>
              <w:bottom w:val="nil"/>
              <w:right w:val="single" w:sz="4" w:space="0" w:color="auto"/>
            </w:tcBorders>
            <w:shd w:val="clear" w:color="000000" w:fill="FFFFFF"/>
            <w:vAlign w:val="center"/>
            <w:hideMark/>
          </w:tcPr>
          <w:p w14:paraId="31953D7C" w14:textId="77777777" w:rsidR="00F22587" w:rsidRPr="000E5DBF" w:rsidRDefault="00F22587" w:rsidP="008A5C11">
            <w:pPr>
              <w:jc w:val="right"/>
              <w:rPr>
                <w:color w:val="000000"/>
                <w:sz w:val="16"/>
                <w:szCs w:val="16"/>
              </w:rPr>
            </w:pPr>
            <w:r w:rsidRPr="000E5DBF">
              <w:rPr>
                <w:color w:val="000000"/>
                <w:sz w:val="16"/>
                <w:szCs w:val="16"/>
              </w:rPr>
              <w:t>3200,32</w:t>
            </w:r>
          </w:p>
        </w:tc>
        <w:tc>
          <w:tcPr>
            <w:tcW w:w="607" w:type="dxa"/>
            <w:tcBorders>
              <w:top w:val="single" w:sz="4" w:space="0" w:color="auto"/>
              <w:left w:val="nil"/>
              <w:bottom w:val="nil"/>
              <w:right w:val="single" w:sz="4" w:space="0" w:color="auto"/>
            </w:tcBorders>
            <w:shd w:val="clear" w:color="000000" w:fill="FFFFFF"/>
            <w:vAlign w:val="center"/>
            <w:hideMark/>
          </w:tcPr>
          <w:p w14:paraId="456496FD" w14:textId="77777777" w:rsidR="00F22587" w:rsidRPr="000E5DBF" w:rsidRDefault="00F22587" w:rsidP="008A5C11">
            <w:pPr>
              <w:jc w:val="center"/>
              <w:rPr>
                <w:color w:val="000000"/>
                <w:sz w:val="16"/>
                <w:szCs w:val="16"/>
              </w:rPr>
            </w:pPr>
            <w:r w:rsidRPr="000E5DBF">
              <w:rPr>
                <w:color w:val="000000"/>
                <w:sz w:val="16"/>
                <w:szCs w:val="16"/>
              </w:rPr>
              <w:t>3200,32</w:t>
            </w:r>
          </w:p>
        </w:tc>
      </w:tr>
      <w:tr w:rsidR="00F22587" w:rsidRPr="000E5DBF" w14:paraId="4CD123C0" w14:textId="77777777" w:rsidTr="008A5C11">
        <w:trPr>
          <w:trHeight w:val="300"/>
        </w:trPr>
        <w:tc>
          <w:tcPr>
            <w:tcW w:w="432" w:type="dxa"/>
            <w:tcBorders>
              <w:top w:val="nil"/>
              <w:left w:val="single" w:sz="4" w:space="0" w:color="auto"/>
              <w:bottom w:val="single" w:sz="4" w:space="0" w:color="auto"/>
              <w:right w:val="single" w:sz="4" w:space="0" w:color="auto"/>
            </w:tcBorders>
            <w:shd w:val="clear" w:color="000000" w:fill="FFFFFF"/>
            <w:vAlign w:val="center"/>
            <w:hideMark/>
          </w:tcPr>
          <w:p w14:paraId="2C026E6B" w14:textId="77777777" w:rsidR="00F22587" w:rsidRPr="000E5DBF" w:rsidRDefault="00F22587" w:rsidP="008A5C11">
            <w:pPr>
              <w:jc w:val="center"/>
              <w:rPr>
                <w:color w:val="000000"/>
                <w:sz w:val="16"/>
                <w:szCs w:val="16"/>
              </w:rPr>
            </w:pPr>
            <w:r w:rsidRPr="000E5DBF">
              <w:rPr>
                <w:color w:val="000000"/>
                <w:sz w:val="16"/>
                <w:szCs w:val="16"/>
              </w:rPr>
              <w:t>2</w:t>
            </w:r>
          </w:p>
        </w:tc>
        <w:tc>
          <w:tcPr>
            <w:tcW w:w="1468" w:type="dxa"/>
            <w:tcBorders>
              <w:top w:val="single" w:sz="4" w:space="0" w:color="auto"/>
              <w:left w:val="nil"/>
              <w:bottom w:val="single" w:sz="4" w:space="0" w:color="auto"/>
              <w:right w:val="single" w:sz="4" w:space="0" w:color="auto"/>
            </w:tcBorders>
            <w:shd w:val="clear" w:color="000000" w:fill="FFFFFF"/>
            <w:vAlign w:val="center"/>
            <w:hideMark/>
          </w:tcPr>
          <w:p w14:paraId="7452C899" w14:textId="77777777" w:rsidR="00F22587" w:rsidRPr="000E5DBF" w:rsidRDefault="00F22587" w:rsidP="008A5C11">
            <w:pPr>
              <w:rPr>
                <w:color w:val="000000"/>
                <w:sz w:val="16"/>
                <w:szCs w:val="16"/>
              </w:rPr>
            </w:pPr>
            <w:r w:rsidRPr="000E5DBF">
              <w:rPr>
                <w:color w:val="000000"/>
                <w:sz w:val="16"/>
                <w:szCs w:val="16"/>
              </w:rPr>
              <w:t>Бойлерная №1,2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6E68B99" w14:textId="77777777" w:rsidR="00F22587" w:rsidRPr="000E5DBF" w:rsidRDefault="00F22587" w:rsidP="008A5C11">
            <w:pPr>
              <w:jc w:val="center"/>
              <w:rPr>
                <w:color w:val="000000"/>
                <w:sz w:val="16"/>
                <w:szCs w:val="16"/>
              </w:rPr>
            </w:pPr>
            <w:r w:rsidRPr="000E5DBF">
              <w:rPr>
                <w:color w:val="000000"/>
                <w:sz w:val="16"/>
                <w:szCs w:val="16"/>
              </w:rPr>
              <w:t>0,89</w:t>
            </w:r>
          </w:p>
        </w:tc>
        <w:tc>
          <w:tcPr>
            <w:tcW w:w="384" w:type="dxa"/>
            <w:tcBorders>
              <w:top w:val="single" w:sz="4" w:space="0" w:color="auto"/>
              <w:left w:val="nil"/>
              <w:bottom w:val="single" w:sz="4" w:space="0" w:color="auto"/>
              <w:right w:val="single" w:sz="4" w:space="0" w:color="auto"/>
            </w:tcBorders>
            <w:shd w:val="clear" w:color="000000" w:fill="FFFFFF"/>
            <w:vAlign w:val="center"/>
            <w:hideMark/>
          </w:tcPr>
          <w:p w14:paraId="7586235A" w14:textId="77777777" w:rsidR="00F22587" w:rsidRPr="000E5DBF" w:rsidRDefault="00F22587" w:rsidP="008A5C11">
            <w:pPr>
              <w:jc w:val="center"/>
              <w:rPr>
                <w:color w:val="000000"/>
                <w:sz w:val="16"/>
                <w:szCs w:val="16"/>
              </w:rPr>
            </w:pPr>
            <w:r w:rsidRPr="000E5DBF">
              <w:rPr>
                <w:color w:val="000000"/>
                <w:sz w:val="16"/>
                <w:szCs w:val="16"/>
              </w:rPr>
              <w:t>0,89</w:t>
            </w:r>
          </w:p>
        </w:tc>
        <w:tc>
          <w:tcPr>
            <w:tcW w:w="426" w:type="dxa"/>
            <w:tcBorders>
              <w:top w:val="single" w:sz="4" w:space="0" w:color="auto"/>
              <w:left w:val="nil"/>
              <w:bottom w:val="single" w:sz="4" w:space="0" w:color="auto"/>
              <w:right w:val="single" w:sz="4" w:space="0" w:color="auto"/>
            </w:tcBorders>
            <w:shd w:val="clear" w:color="000000" w:fill="FFFFFF"/>
            <w:vAlign w:val="center"/>
            <w:hideMark/>
          </w:tcPr>
          <w:p w14:paraId="36072B6F" w14:textId="77777777" w:rsidR="00F22587" w:rsidRPr="000E5DBF" w:rsidRDefault="00F22587" w:rsidP="008A5C11">
            <w:pPr>
              <w:jc w:val="center"/>
              <w:rPr>
                <w:color w:val="000000"/>
                <w:sz w:val="16"/>
                <w:szCs w:val="16"/>
              </w:rPr>
            </w:pPr>
            <w:r w:rsidRPr="000E5DBF">
              <w:rPr>
                <w:color w:val="000000"/>
                <w:sz w:val="16"/>
                <w:szCs w:val="16"/>
              </w:rPr>
              <w:t>0,89</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4C19FEFD" w14:textId="77777777" w:rsidR="00F22587" w:rsidRPr="000E5DBF" w:rsidRDefault="00F22587" w:rsidP="008A5C11">
            <w:pPr>
              <w:jc w:val="center"/>
              <w:rPr>
                <w:color w:val="000000"/>
                <w:sz w:val="16"/>
                <w:szCs w:val="16"/>
              </w:rPr>
            </w:pPr>
            <w:r w:rsidRPr="000E5DBF">
              <w:rPr>
                <w:color w:val="000000"/>
                <w:sz w:val="16"/>
                <w:szCs w:val="16"/>
              </w:rPr>
              <w:t>0,89</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C581C8F" w14:textId="77777777" w:rsidR="00F22587" w:rsidRPr="000E5DBF" w:rsidRDefault="00F22587" w:rsidP="008A5C11">
            <w:pPr>
              <w:jc w:val="center"/>
              <w:rPr>
                <w:color w:val="000000"/>
                <w:sz w:val="16"/>
                <w:szCs w:val="16"/>
              </w:rPr>
            </w:pPr>
            <w:r w:rsidRPr="000E5DBF">
              <w:rPr>
                <w:color w:val="000000"/>
                <w:sz w:val="16"/>
                <w:szCs w:val="16"/>
              </w:rPr>
              <w:t>0,89</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B4C5BF5" w14:textId="77777777" w:rsidR="00F22587" w:rsidRPr="000E5DBF" w:rsidRDefault="00F22587" w:rsidP="008A5C11">
            <w:pPr>
              <w:jc w:val="center"/>
              <w:rPr>
                <w:color w:val="000000"/>
                <w:sz w:val="16"/>
                <w:szCs w:val="16"/>
              </w:rPr>
            </w:pPr>
            <w:r w:rsidRPr="000E5DBF">
              <w:rPr>
                <w:color w:val="000000"/>
                <w:sz w:val="16"/>
                <w:szCs w:val="16"/>
              </w:rPr>
              <w:t>0,89</w:t>
            </w:r>
          </w:p>
        </w:tc>
        <w:tc>
          <w:tcPr>
            <w:tcW w:w="496" w:type="dxa"/>
            <w:tcBorders>
              <w:top w:val="single" w:sz="4" w:space="0" w:color="auto"/>
              <w:left w:val="nil"/>
              <w:bottom w:val="single" w:sz="4" w:space="0" w:color="auto"/>
              <w:right w:val="single" w:sz="4" w:space="0" w:color="auto"/>
            </w:tcBorders>
            <w:shd w:val="clear" w:color="000000" w:fill="FFFFFF"/>
            <w:vAlign w:val="center"/>
            <w:hideMark/>
          </w:tcPr>
          <w:p w14:paraId="3B70C72E" w14:textId="77777777" w:rsidR="00F22587" w:rsidRPr="000E5DBF" w:rsidRDefault="00F22587" w:rsidP="008A5C11">
            <w:pPr>
              <w:jc w:val="center"/>
              <w:rPr>
                <w:color w:val="000000"/>
                <w:sz w:val="16"/>
                <w:szCs w:val="16"/>
              </w:rPr>
            </w:pPr>
            <w:r w:rsidRPr="000E5DBF">
              <w:rPr>
                <w:color w:val="000000"/>
                <w:sz w:val="16"/>
                <w:szCs w:val="16"/>
              </w:rPr>
              <w:t>0,8902</w:t>
            </w:r>
          </w:p>
        </w:tc>
        <w:tc>
          <w:tcPr>
            <w:tcW w:w="497" w:type="dxa"/>
            <w:tcBorders>
              <w:top w:val="single" w:sz="4" w:space="0" w:color="auto"/>
              <w:left w:val="nil"/>
              <w:bottom w:val="single" w:sz="4" w:space="0" w:color="auto"/>
              <w:right w:val="single" w:sz="4" w:space="0" w:color="auto"/>
            </w:tcBorders>
            <w:shd w:val="clear" w:color="000000" w:fill="FFFFFF"/>
            <w:vAlign w:val="center"/>
            <w:hideMark/>
          </w:tcPr>
          <w:p w14:paraId="70960F3E" w14:textId="77777777" w:rsidR="00F22587" w:rsidRPr="000E5DBF" w:rsidRDefault="00F22587" w:rsidP="008A5C11">
            <w:pPr>
              <w:jc w:val="center"/>
              <w:rPr>
                <w:color w:val="000000"/>
                <w:sz w:val="16"/>
                <w:szCs w:val="16"/>
              </w:rPr>
            </w:pPr>
            <w:r w:rsidRPr="000E5DBF">
              <w:rPr>
                <w:color w:val="000000"/>
                <w:sz w:val="16"/>
                <w:szCs w:val="16"/>
              </w:rPr>
              <w:t>0,8902</w:t>
            </w:r>
          </w:p>
        </w:tc>
        <w:tc>
          <w:tcPr>
            <w:tcW w:w="496" w:type="dxa"/>
            <w:tcBorders>
              <w:top w:val="single" w:sz="4" w:space="0" w:color="auto"/>
              <w:left w:val="nil"/>
              <w:bottom w:val="single" w:sz="4" w:space="0" w:color="auto"/>
              <w:right w:val="single" w:sz="4" w:space="0" w:color="auto"/>
            </w:tcBorders>
            <w:shd w:val="clear" w:color="000000" w:fill="FFFFFF"/>
            <w:vAlign w:val="center"/>
            <w:hideMark/>
          </w:tcPr>
          <w:p w14:paraId="47D3AE11" w14:textId="77777777" w:rsidR="00F22587" w:rsidRPr="000E5DBF" w:rsidRDefault="00F22587" w:rsidP="008A5C11">
            <w:pPr>
              <w:jc w:val="center"/>
              <w:rPr>
                <w:color w:val="000000"/>
                <w:sz w:val="16"/>
                <w:szCs w:val="16"/>
              </w:rPr>
            </w:pPr>
            <w:r w:rsidRPr="000E5DBF">
              <w:rPr>
                <w:color w:val="000000"/>
                <w:sz w:val="16"/>
                <w:szCs w:val="16"/>
              </w:rPr>
              <w:t>0,8902</w:t>
            </w:r>
          </w:p>
        </w:tc>
        <w:tc>
          <w:tcPr>
            <w:tcW w:w="496" w:type="dxa"/>
            <w:tcBorders>
              <w:top w:val="single" w:sz="4" w:space="0" w:color="auto"/>
              <w:left w:val="nil"/>
              <w:bottom w:val="single" w:sz="4" w:space="0" w:color="auto"/>
              <w:right w:val="single" w:sz="4" w:space="0" w:color="auto"/>
            </w:tcBorders>
            <w:shd w:val="clear" w:color="000000" w:fill="FFFFFF"/>
            <w:vAlign w:val="center"/>
            <w:hideMark/>
          </w:tcPr>
          <w:p w14:paraId="1EC9956C" w14:textId="77777777" w:rsidR="00F22587" w:rsidRPr="000E5DBF" w:rsidRDefault="00F22587" w:rsidP="008A5C11">
            <w:pPr>
              <w:jc w:val="center"/>
              <w:rPr>
                <w:color w:val="000000"/>
                <w:sz w:val="16"/>
                <w:szCs w:val="16"/>
              </w:rPr>
            </w:pPr>
            <w:r w:rsidRPr="000E5DBF">
              <w:rPr>
                <w:color w:val="000000"/>
                <w:sz w:val="16"/>
                <w:szCs w:val="16"/>
              </w:rPr>
              <w:t>0,8902</w:t>
            </w:r>
          </w:p>
        </w:tc>
        <w:tc>
          <w:tcPr>
            <w:tcW w:w="496" w:type="dxa"/>
            <w:tcBorders>
              <w:top w:val="single" w:sz="4" w:space="0" w:color="auto"/>
              <w:left w:val="nil"/>
              <w:bottom w:val="single" w:sz="4" w:space="0" w:color="auto"/>
              <w:right w:val="single" w:sz="4" w:space="0" w:color="auto"/>
            </w:tcBorders>
            <w:shd w:val="clear" w:color="000000" w:fill="FFFFFF"/>
            <w:vAlign w:val="center"/>
            <w:hideMark/>
          </w:tcPr>
          <w:p w14:paraId="36762282" w14:textId="77777777" w:rsidR="00F22587" w:rsidRPr="000E5DBF" w:rsidRDefault="00F22587" w:rsidP="008A5C11">
            <w:pPr>
              <w:jc w:val="center"/>
              <w:rPr>
                <w:color w:val="000000"/>
                <w:sz w:val="16"/>
                <w:szCs w:val="16"/>
              </w:rPr>
            </w:pPr>
            <w:r w:rsidRPr="000E5DBF">
              <w:rPr>
                <w:color w:val="000000"/>
                <w:sz w:val="16"/>
                <w:szCs w:val="16"/>
              </w:rPr>
              <w:t>0,8902</w:t>
            </w:r>
          </w:p>
        </w:tc>
        <w:tc>
          <w:tcPr>
            <w:tcW w:w="496" w:type="dxa"/>
            <w:tcBorders>
              <w:top w:val="single" w:sz="4" w:space="0" w:color="auto"/>
              <w:left w:val="nil"/>
              <w:bottom w:val="single" w:sz="4" w:space="0" w:color="auto"/>
              <w:right w:val="single" w:sz="4" w:space="0" w:color="auto"/>
            </w:tcBorders>
            <w:shd w:val="clear" w:color="000000" w:fill="FFFFFF"/>
            <w:vAlign w:val="center"/>
            <w:hideMark/>
          </w:tcPr>
          <w:p w14:paraId="6D1699A2" w14:textId="77777777" w:rsidR="00F22587" w:rsidRPr="000E5DBF" w:rsidRDefault="00F22587" w:rsidP="008A5C11">
            <w:pPr>
              <w:jc w:val="center"/>
              <w:rPr>
                <w:color w:val="000000"/>
                <w:sz w:val="16"/>
                <w:szCs w:val="16"/>
              </w:rPr>
            </w:pPr>
            <w:r w:rsidRPr="000E5DBF">
              <w:rPr>
                <w:color w:val="000000"/>
                <w:sz w:val="16"/>
                <w:szCs w:val="16"/>
              </w:rPr>
              <w:t>0,8902</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1710D5D6" w14:textId="77777777" w:rsidR="00F22587" w:rsidRPr="000E5DBF" w:rsidRDefault="00F22587" w:rsidP="008A5C11">
            <w:pPr>
              <w:jc w:val="center"/>
              <w:rPr>
                <w:color w:val="000000"/>
                <w:sz w:val="16"/>
                <w:szCs w:val="16"/>
              </w:rPr>
            </w:pPr>
            <w:r w:rsidRPr="000E5DBF">
              <w:rPr>
                <w:color w:val="000000"/>
                <w:sz w:val="16"/>
                <w:szCs w:val="16"/>
              </w:rPr>
              <w:t>0,8902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BE8417D" w14:textId="77777777" w:rsidR="00F22587" w:rsidRPr="000E5DBF" w:rsidRDefault="00F22587" w:rsidP="008A5C11">
            <w:pPr>
              <w:jc w:val="center"/>
              <w:rPr>
                <w:color w:val="000000"/>
                <w:sz w:val="16"/>
                <w:szCs w:val="16"/>
              </w:rPr>
            </w:pPr>
            <w:r w:rsidRPr="000E5DBF">
              <w:rPr>
                <w:color w:val="000000"/>
                <w:sz w:val="16"/>
                <w:szCs w:val="16"/>
              </w:rPr>
              <w:t>2300</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82554F2" w14:textId="77777777" w:rsidR="00F22587" w:rsidRPr="000E5DBF" w:rsidRDefault="00F22587" w:rsidP="008A5C11">
            <w:pPr>
              <w:jc w:val="center"/>
              <w:rPr>
                <w:color w:val="000000"/>
                <w:sz w:val="16"/>
                <w:szCs w:val="16"/>
              </w:rPr>
            </w:pPr>
            <w:r w:rsidRPr="000E5DBF">
              <w:rPr>
                <w:color w:val="000000"/>
                <w:sz w:val="16"/>
                <w:szCs w:val="16"/>
              </w:rPr>
              <w:t>2300</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B387731" w14:textId="77777777" w:rsidR="00F22587" w:rsidRPr="000E5DBF" w:rsidRDefault="00F22587" w:rsidP="008A5C11">
            <w:pPr>
              <w:jc w:val="center"/>
              <w:rPr>
                <w:color w:val="000000"/>
                <w:sz w:val="16"/>
                <w:szCs w:val="16"/>
              </w:rPr>
            </w:pPr>
            <w:r w:rsidRPr="000E5DBF">
              <w:rPr>
                <w:color w:val="000000"/>
                <w:sz w:val="16"/>
                <w:szCs w:val="16"/>
              </w:rPr>
              <w:t>2300</w:t>
            </w:r>
          </w:p>
        </w:tc>
        <w:tc>
          <w:tcPr>
            <w:tcW w:w="426" w:type="dxa"/>
            <w:tcBorders>
              <w:top w:val="single" w:sz="4" w:space="0" w:color="auto"/>
              <w:left w:val="nil"/>
              <w:bottom w:val="single" w:sz="4" w:space="0" w:color="auto"/>
              <w:right w:val="single" w:sz="4" w:space="0" w:color="auto"/>
            </w:tcBorders>
            <w:shd w:val="clear" w:color="000000" w:fill="FFFFFF"/>
            <w:vAlign w:val="center"/>
            <w:hideMark/>
          </w:tcPr>
          <w:p w14:paraId="7041843D" w14:textId="77777777" w:rsidR="00F22587" w:rsidRPr="000E5DBF" w:rsidRDefault="00F22587" w:rsidP="008A5C11">
            <w:pPr>
              <w:jc w:val="center"/>
              <w:rPr>
                <w:color w:val="000000"/>
                <w:sz w:val="16"/>
                <w:szCs w:val="16"/>
              </w:rPr>
            </w:pPr>
            <w:r w:rsidRPr="000E5DBF">
              <w:rPr>
                <w:color w:val="000000"/>
                <w:sz w:val="16"/>
                <w:szCs w:val="16"/>
              </w:rPr>
              <w:t>2300</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C7B18AA" w14:textId="77777777" w:rsidR="00F22587" w:rsidRPr="000E5DBF" w:rsidRDefault="00F22587" w:rsidP="008A5C11">
            <w:pPr>
              <w:jc w:val="center"/>
              <w:rPr>
                <w:color w:val="000000"/>
                <w:sz w:val="16"/>
                <w:szCs w:val="16"/>
              </w:rPr>
            </w:pPr>
            <w:r w:rsidRPr="000E5DBF">
              <w:rPr>
                <w:color w:val="000000"/>
                <w:sz w:val="16"/>
                <w:szCs w:val="16"/>
              </w:rPr>
              <w:t>2300</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96DF904" w14:textId="77777777" w:rsidR="00F22587" w:rsidRPr="000E5DBF" w:rsidRDefault="00F22587" w:rsidP="008A5C11">
            <w:pPr>
              <w:jc w:val="center"/>
              <w:rPr>
                <w:color w:val="000000"/>
                <w:sz w:val="16"/>
                <w:szCs w:val="16"/>
              </w:rPr>
            </w:pPr>
            <w:r w:rsidRPr="000E5DBF">
              <w:rPr>
                <w:color w:val="000000"/>
                <w:sz w:val="16"/>
                <w:szCs w:val="16"/>
              </w:rPr>
              <w:t>2300</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4AF6DE54" w14:textId="77777777" w:rsidR="00F22587" w:rsidRPr="000E5DBF" w:rsidRDefault="00F22587" w:rsidP="008A5C11">
            <w:pPr>
              <w:jc w:val="center"/>
              <w:rPr>
                <w:color w:val="000000"/>
                <w:sz w:val="16"/>
                <w:szCs w:val="16"/>
              </w:rPr>
            </w:pPr>
            <w:r w:rsidRPr="000E5DBF">
              <w:rPr>
                <w:color w:val="000000"/>
                <w:sz w:val="16"/>
                <w:szCs w:val="16"/>
              </w:rPr>
              <w:t>2305,5</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7BBC081D" w14:textId="77777777" w:rsidR="00F22587" w:rsidRPr="000E5DBF" w:rsidRDefault="00F22587" w:rsidP="008A5C11">
            <w:pPr>
              <w:jc w:val="center"/>
              <w:rPr>
                <w:color w:val="000000"/>
                <w:sz w:val="16"/>
                <w:szCs w:val="16"/>
              </w:rPr>
            </w:pPr>
            <w:r w:rsidRPr="000E5DBF">
              <w:rPr>
                <w:color w:val="000000"/>
                <w:sz w:val="16"/>
                <w:szCs w:val="16"/>
              </w:rPr>
              <w:t>2305,5</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77904B4D" w14:textId="77777777" w:rsidR="00F22587" w:rsidRPr="000E5DBF" w:rsidRDefault="00F22587" w:rsidP="008A5C11">
            <w:pPr>
              <w:jc w:val="center"/>
              <w:rPr>
                <w:color w:val="000000"/>
                <w:sz w:val="16"/>
                <w:szCs w:val="16"/>
              </w:rPr>
            </w:pPr>
            <w:r w:rsidRPr="000E5DBF">
              <w:rPr>
                <w:color w:val="000000"/>
                <w:sz w:val="16"/>
                <w:szCs w:val="16"/>
              </w:rPr>
              <w:t>2305,5</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75A5B218" w14:textId="77777777" w:rsidR="00F22587" w:rsidRPr="000E5DBF" w:rsidRDefault="00F22587" w:rsidP="008A5C11">
            <w:pPr>
              <w:jc w:val="center"/>
              <w:rPr>
                <w:color w:val="000000"/>
                <w:sz w:val="16"/>
                <w:szCs w:val="16"/>
              </w:rPr>
            </w:pPr>
            <w:r w:rsidRPr="000E5DBF">
              <w:rPr>
                <w:color w:val="000000"/>
                <w:sz w:val="16"/>
                <w:szCs w:val="16"/>
              </w:rPr>
              <w:t>2305,5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0AE3CED" w14:textId="77777777" w:rsidR="00F22587" w:rsidRPr="000E5DBF" w:rsidRDefault="00F22587" w:rsidP="008A5C11">
            <w:pPr>
              <w:jc w:val="center"/>
              <w:rPr>
                <w:color w:val="000000"/>
                <w:sz w:val="16"/>
                <w:szCs w:val="16"/>
              </w:rPr>
            </w:pPr>
            <w:r w:rsidRPr="000E5DBF">
              <w:rPr>
                <w:color w:val="000000"/>
                <w:sz w:val="16"/>
                <w:szCs w:val="16"/>
              </w:rPr>
              <w:t>2305,5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76433D3" w14:textId="77777777" w:rsidR="00F22587" w:rsidRPr="000E5DBF" w:rsidRDefault="00F22587" w:rsidP="008A5C11">
            <w:pPr>
              <w:jc w:val="center"/>
              <w:rPr>
                <w:color w:val="000000"/>
                <w:sz w:val="16"/>
                <w:szCs w:val="16"/>
              </w:rPr>
            </w:pPr>
            <w:r w:rsidRPr="000E5DBF">
              <w:rPr>
                <w:color w:val="000000"/>
                <w:sz w:val="16"/>
                <w:szCs w:val="16"/>
              </w:rPr>
              <w:t>2305,5</w:t>
            </w:r>
          </w:p>
        </w:tc>
        <w:tc>
          <w:tcPr>
            <w:tcW w:w="607" w:type="dxa"/>
            <w:tcBorders>
              <w:top w:val="single" w:sz="4" w:space="0" w:color="auto"/>
              <w:left w:val="nil"/>
              <w:bottom w:val="single" w:sz="4" w:space="0" w:color="auto"/>
              <w:right w:val="single" w:sz="4" w:space="0" w:color="auto"/>
            </w:tcBorders>
            <w:shd w:val="clear" w:color="000000" w:fill="FFFFFF"/>
            <w:vAlign w:val="center"/>
            <w:hideMark/>
          </w:tcPr>
          <w:p w14:paraId="0A251CDE" w14:textId="77777777" w:rsidR="00F22587" w:rsidRPr="000E5DBF" w:rsidRDefault="00F22587" w:rsidP="008A5C11">
            <w:pPr>
              <w:jc w:val="center"/>
              <w:rPr>
                <w:color w:val="000000"/>
                <w:sz w:val="16"/>
                <w:szCs w:val="16"/>
              </w:rPr>
            </w:pPr>
            <w:r w:rsidRPr="000E5DBF">
              <w:rPr>
                <w:color w:val="000000"/>
                <w:sz w:val="16"/>
                <w:szCs w:val="16"/>
              </w:rPr>
              <w:t>2305,5</w:t>
            </w:r>
          </w:p>
        </w:tc>
      </w:tr>
    </w:tbl>
    <w:p w14:paraId="0E5551F2" w14:textId="77777777" w:rsidR="00F22587" w:rsidRPr="000E5DBF" w:rsidRDefault="00F22587" w:rsidP="00F22587">
      <w:pPr>
        <w:jc w:val="center"/>
        <w:rPr>
          <w:b/>
          <w:bCs/>
          <w:sz w:val="28"/>
          <w:szCs w:val="28"/>
        </w:rPr>
      </w:pPr>
    </w:p>
    <w:p w14:paraId="7A35788B" w14:textId="77777777" w:rsidR="00F22587" w:rsidRPr="000E5DBF" w:rsidRDefault="00F22587" w:rsidP="00F22587">
      <w:pPr>
        <w:jc w:val="center"/>
        <w:rPr>
          <w:b/>
          <w:bCs/>
          <w:sz w:val="28"/>
          <w:szCs w:val="28"/>
        </w:rPr>
      </w:pPr>
    </w:p>
    <w:p w14:paraId="705E5F35" w14:textId="77777777" w:rsidR="00F22587" w:rsidRPr="000E5DBF" w:rsidRDefault="00F22587" w:rsidP="00F22587">
      <w:pPr>
        <w:jc w:val="center"/>
        <w:rPr>
          <w:b/>
          <w:bCs/>
          <w:sz w:val="2"/>
          <w:szCs w:val="2"/>
        </w:rPr>
      </w:pPr>
    </w:p>
    <w:p w14:paraId="6F77780D" w14:textId="77777777" w:rsidR="00F22587" w:rsidRPr="000E5DBF" w:rsidRDefault="00F22587" w:rsidP="00F22587">
      <w:pPr>
        <w:jc w:val="center"/>
        <w:rPr>
          <w:b/>
          <w:bCs/>
          <w:sz w:val="28"/>
          <w:szCs w:val="28"/>
        </w:rPr>
      </w:pPr>
    </w:p>
    <w:p w14:paraId="5545780B" w14:textId="77777777" w:rsidR="00F22587" w:rsidRPr="000E5DBF" w:rsidRDefault="00F22587" w:rsidP="00F22587">
      <w:pPr>
        <w:jc w:val="center"/>
        <w:rPr>
          <w:b/>
          <w:bCs/>
          <w:sz w:val="28"/>
          <w:szCs w:val="28"/>
        </w:rPr>
      </w:pPr>
    </w:p>
    <w:p w14:paraId="651B186F" w14:textId="77777777" w:rsidR="00F22587" w:rsidRPr="000E5DBF" w:rsidRDefault="00F22587" w:rsidP="00F22587">
      <w:pPr>
        <w:jc w:val="center"/>
        <w:rPr>
          <w:b/>
          <w:bCs/>
          <w:sz w:val="28"/>
          <w:szCs w:val="28"/>
        </w:rPr>
      </w:pPr>
    </w:p>
    <w:p w14:paraId="5B853D61" w14:textId="77777777" w:rsidR="00F22587" w:rsidRPr="000E5DBF" w:rsidRDefault="00F22587" w:rsidP="00F22587">
      <w:pPr>
        <w:jc w:val="center"/>
        <w:rPr>
          <w:b/>
          <w:bCs/>
          <w:sz w:val="28"/>
          <w:szCs w:val="28"/>
        </w:rPr>
      </w:pPr>
    </w:p>
    <w:p w14:paraId="21909106" w14:textId="77777777" w:rsidR="00F22587" w:rsidRPr="000E5DBF" w:rsidRDefault="00F22587" w:rsidP="00F22587">
      <w:pPr>
        <w:jc w:val="center"/>
        <w:rPr>
          <w:b/>
          <w:bCs/>
          <w:sz w:val="28"/>
          <w:szCs w:val="28"/>
        </w:rPr>
      </w:pPr>
    </w:p>
    <w:p w14:paraId="42186467" w14:textId="77777777" w:rsidR="00F22587" w:rsidRPr="000E5DBF" w:rsidRDefault="00F22587" w:rsidP="00F22587">
      <w:pPr>
        <w:autoSpaceDE w:val="0"/>
        <w:autoSpaceDN w:val="0"/>
        <w:adjustRightInd w:val="0"/>
        <w:ind w:left="4820"/>
        <w:jc w:val="center"/>
        <w:outlineLvl w:val="0"/>
        <w:rPr>
          <w:sz w:val="28"/>
          <w:szCs w:val="28"/>
        </w:rPr>
      </w:pPr>
    </w:p>
    <w:p w14:paraId="3CD0995C" w14:textId="77777777" w:rsidR="00F22587" w:rsidRPr="000E5DBF" w:rsidRDefault="00F22587" w:rsidP="00F22587">
      <w:pPr>
        <w:autoSpaceDE w:val="0"/>
        <w:autoSpaceDN w:val="0"/>
        <w:adjustRightInd w:val="0"/>
        <w:ind w:left="4820"/>
        <w:jc w:val="center"/>
        <w:outlineLvl w:val="0"/>
        <w:rPr>
          <w:sz w:val="28"/>
          <w:szCs w:val="28"/>
        </w:rPr>
        <w:sectPr w:rsidR="00F22587" w:rsidRPr="000E5DBF" w:rsidSect="005713F0">
          <w:pgSz w:w="16838" w:h="11906" w:orient="landscape"/>
          <w:pgMar w:top="1560" w:right="567" w:bottom="850" w:left="567" w:header="708" w:footer="418" w:gutter="0"/>
          <w:cols w:space="708"/>
          <w:titlePg/>
          <w:docGrid w:linePitch="360"/>
        </w:sectPr>
      </w:pPr>
    </w:p>
    <w:p w14:paraId="29984560" w14:textId="77777777" w:rsidR="00F22587" w:rsidRPr="000E5DBF" w:rsidRDefault="00F22587" w:rsidP="00F22587">
      <w:pPr>
        <w:rPr>
          <w:sz w:val="20"/>
          <w:szCs w:val="20"/>
        </w:rPr>
      </w:pPr>
    </w:p>
    <w:p w14:paraId="51AA3D61" w14:textId="41C2D7D0" w:rsidR="00F22587" w:rsidRPr="000E5DBF" w:rsidRDefault="00F22587" w:rsidP="00F22587">
      <w:pPr>
        <w:autoSpaceDE w:val="0"/>
        <w:autoSpaceDN w:val="0"/>
        <w:adjustRightInd w:val="0"/>
        <w:jc w:val="center"/>
        <w:rPr>
          <w:bCs/>
          <w:color w:val="000000"/>
        </w:rPr>
      </w:pPr>
      <w:r w:rsidRPr="000E5DBF">
        <w:rPr>
          <w:b/>
          <w:bCs/>
          <w:sz w:val="28"/>
          <w:szCs w:val="28"/>
        </w:rPr>
        <w:t>Финансовый план ООО «Управление котельных и тепловых сетей» (г. Гурьевск) в сфере теплоснабжения на 2019-2030 годы</w:t>
      </w:r>
    </w:p>
    <w:tbl>
      <w:tblPr>
        <w:tblW w:w="15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16"/>
        <w:gridCol w:w="3373"/>
        <w:gridCol w:w="1439"/>
        <w:gridCol w:w="966"/>
        <w:gridCol w:w="866"/>
        <w:gridCol w:w="866"/>
        <w:gridCol w:w="866"/>
        <w:gridCol w:w="728"/>
        <w:gridCol w:w="709"/>
        <w:gridCol w:w="709"/>
        <w:gridCol w:w="709"/>
        <w:gridCol w:w="708"/>
        <w:gridCol w:w="616"/>
        <w:gridCol w:w="616"/>
        <w:gridCol w:w="616"/>
        <w:gridCol w:w="846"/>
      </w:tblGrid>
      <w:tr w:rsidR="00F22587" w:rsidRPr="000E5DBF" w14:paraId="670AFBA8" w14:textId="77777777" w:rsidTr="008A5C11">
        <w:trPr>
          <w:trHeight w:val="480"/>
          <w:jc w:val="center"/>
        </w:trPr>
        <w:tc>
          <w:tcPr>
            <w:tcW w:w="516" w:type="dxa"/>
            <w:vMerge w:val="restart"/>
            <w:shd w:val="clear" w:color="auto" w:fill="auto"/>
            <w:vAlign w:val="center"/>
            <w:hideMark/>
          </w:tcPr>
          <w:p w14:paraId="0B019359" w14:textId="77777777" w:rsidR="00F22587" w:rsidRPr="000E5DBF" w:rsidRDefault="00F22587" w:rsidP="008A5C11">
            <w:pPr>
              <w:jc w:val="center"/>
              <w:rPr>
                <w:bCs/>
                <w:sz w:val="16"/>
                <w:szCs w:val="16"/>
              </w:rPr>
            </w:pPr>
            <w:r w:rsidRPr="000E5DBF">
              <w:rPr>
                <w:bCs/>
                <w:sz w:val="16"/>
                <w:szCs w:val="16"/>
              </w:rPr>
              <w:t>№ п/п</w:t>
            </w:r>
          </w:p>
        </w:tc>
        <w:tc>
          <w:tcPr>
            <w:tcW w:w="3373" w:type="dxa"/>
            <w:vMerge w:val="restart"/>
            <w:shd w:val="clear" w:color="auto" w:fill="auto"/>
            <w:vAlign w:val="center"/>
            <w:hideMark/>
          </w:tcPr>
          <w:p w14:paraId="567E8064" w14:textId="77777777" w:rsidR="00F22587" w:rsidRPr="000E5DBF" w:rsidRDefault="00F22587" w:rsidP="008A5C11">
            <w:pPr>
              <w:jc w:val="center"/>
              <w:rPr>
                <w:bCs/>
                <w:sz w:val="16"/>
                <w:szCs w:val="16"/>
              </w:rPr>
            </w:pPr>
            <w:r w:rsidRPr="000E5DBF">
              <w:rPr>
                <w:bCs/>
                <w:sz w:val="16"/>
                <w:szCs w:val="16"/>
              </w:rPr>
              <w:t>Источники финансирования</w:t>
            </w:r>
          </w:p>
        </w:tc>
        <w:tc>
          <w:tcPr>
            <w:tcW w:w="11260" w:type="dxa"/>
            <w:gridSpan w:val="14"/>
            <w:shd w:val="clear" w:color="auto" w:fill="auto"/>
            <w:vAlign w:val="center"/>
            <w:hideMark/>
          </w:tcPr>
          <w:p w14:paraId="4E106BF9" w14:textId="77777777" w:rsidR="00F22587" w:rsidRPr="000E5DBF" w:rsidRDefault="00F22587" w:rsidP="008A5C11">
            <w:pPr>
              <w:ind w:right="3938"/>
              <w:jc w:val="center"/>
              <w:rPr>
                <w:bCs/>
                <w:sz w:val="16"/>
                <w:szCs w:val="16"/>
              </w:rPr>
            </w:pPr>
            <w:r w:rsidRPr="000E5DBF">
              <w:rPr>
                <w:bCs/>
                <w:sz w:val="16"/>
                <w:szCs w:val="16"/>
              </w:rPr>
              <w:t>Расходы на реализацию инвестиционной программы (тыс. руб. без НДС)</w:t>
            </w:r>
          </w:p>
        </w:tc>
      </w:tr>
      <w:tr w:rsidR="00F22587" w:rsidRPr="000E5DBF" w14:paraId="1730148F" w14:textId="77777777" w:rsidTr="008A5C11">
        <w:trPr>
          <w:trHeight w:val="600"/>
          <w:jc w:val="center"/>
        </w:trPr>
        <w:tc>
          <w:tcPr>
            <w:tcW w:w="516" w:type="dxa"/>
            <w:vMerge/>
            <w:vAlign w:val="center"/>
            <w:hideMark/>
          </w:tcPr>
          <w:p w14:paraId="2B6551D2" w14:textId="77777777" w:rsidR="00F22587" w:rsidRPr="000E5DBF" w:rsidRDefault="00F22587" w:rsidP="008A5C11">
            <w:pPr>
              <w:rPr>
                <w:bCs/>
                <w:sz w:val="16"/>
                <w:szCs w:val="16"/>
              </w:rPr>
            </w:pPr>
          </w:p>
        </w:tc>
        <w:tc>
          <w:tcPr>
            <w:tcW w:w="3373" w:type="dxa"/>
            <w:vMerge/>
            <w:vAlign w:val="center"/>
            <w:hideMark/>
          </w:tcPr>
          <w:p w14:paraId="6900AD71" w14:textId="77777777" w:rsidR="00F22587" w:rsidRPr="000E5DBF" w:rsidRDefault="00F22587" w:rsidP="008A5C11">
            <w:pPr>
              <w:rPr>
                <w:bCs/>
                <w:sz w:val="16"/>
                <w:szCs w:val="16"/>
              </w:rPr>
            </w:pPr>
          </w:p>
        </w:tc>
        <w:tc>
          <w:tcPr>
            <w:tcW w:w="1439" w:type="dxa"/>
            <w:shd w:val="clear" w:color="auto" w:fill="auto"/>
            <w:vAlign w:val="center"/>
            <w:hideMark/>
          </w:tcPr>
          <w:p w14:paraId="5A0AC52E" w14:textId="77777777" w:rsidR="00F22587" w:rsidRPr="000E5DBF" w:rsidRDefault="00F22587" w:rsidP="008A5C11">
            <w:pPr>
              <w:jc w:val="center"/>
              <w:rPr>
                <w:bCs/>
                <w:sz w:val="16"/>
                <w:szCs w:val="16"/>
              </w:rPr>
            </w:pPr>
            <w:r w:rsidRPr="000E5DBF">
              <w:rPr>
                <w:bCs/>
                <w:sz w:val="16"/>
                <w:szCs w:val="16"/>
              </w:rPr>
              <w:t>по видам деятельности</w:t>
            </w:r>
          </w:p>
        </w:tc>
        <w:tc>
          <w:tcPr>
            <w:tcW w:w="966" w:type="dxa"/>
            <w:vMerge w:val="restart"/>
            <w:shd w:val="clear" w:color="auto" w:fill="auto"/>
            <w:vAlign w:val="center"/>
            <w:hideMark/>
          </w:tcPr>
          <w:p w14:paraId="6A3B5C96" w14:textId="77777777" w:rsidR="00F22587" w:rsidRPr="000E5DBF" w:rsidRDefault="00F22587" w:rsidP="008A5C11">
            <w:pPr>
              <w:jc w:val="center"/>
              <w:rPr>
                <w:bCs/>
                <w:sz w:val="16"/>
                <w:szCs w:val="16"/>
              </w:rPr>
            </w:pPr>
            <w:r w:rsidRPr="000E5DBF">
              <w:rPr>
                <w:bCs/>
                <w:sz w:val="16"/>
                <w:szCs w:val="16"/>
              </w:rPr>
              <w:t>Всего</w:t>
            </w:r>
          </w:p>
        </w:tc>
        <w:tc>
          <w:tcPr>
            <w:tcW w:w="8855" w:type="dxa"/>
            <w:gridSpan w:val="12"/>
            <w:shd w:val="clear" w:color="auto" w:fill="auto"/>
            <w:vAlign w:val="center"/>
            <w:hideMark/>
          </w:tcPr>
          <w:p w14:paraId="025BCF65" w14:textId="77777777" w:rsidR="00F22587" w:rsidRPr="000E5DBF" w:rsidRDefault="00F22587" w:rsidP="008A5C11">
            <w:pPr>
              <w:jc w:val="center"/>
              <w:rPr>
                <w:bCs/>
                <w:sz w:val="16"/>
                <w:szCs w:val="16"/>
              </w:rPr>
            </w:pPr>
            <w:r w:rsidRPr="000E5DBF">
              <w:rPr>
                <w:bCs/>
                <w:sz w:val="16"/>
                <w:szCs w:val="16"/>
              </w:rPr>
              <w:t>в т.ч. по годам реализации</w:t>
            </w:r>
          </w:p>
        </w:tc>
      </w:tr>
      <w:tr w:rsidR="00F22587" w:rsidRPr="000E5DBF" w14:paraId="57DF9794" w14:textId="77777777" w:rsidTr="008A5C11">
        <w:trPr>
          <w:trHeight w:val="810"/>
          <w:jc w:val="center"/>
        </w:trPr>
        <w:tc>
          <w:tcPr>
            <w:tcW w:w="516" w:type="dxa"/>
            <w:vMerge/>
            <w:vAlign w:val="center"/>
            <w:hideMark/>
          </w:tcPr>
          <w:p w14:paraId="2A9174A4" w14:textId="77777777" w:rsidR="00F22587" w:rsidRPr="000E5DBF" w:rsidRDefault="00F22587" w:rsidP="008A5C11">
            <w:pPr>
              <w:rPr>
                <w:bCs/>
                <w:sz w:val="16"/>
                <w:szCs w:val="16"/>
              </w:rPr>
            </w:pPr>
          </w:p>
        </w:tc>
        <w:tc>
          <w:tcPr>
            <w:tcW w:w="3373" w:type="dxa"/>
            <w:vMerge/>
            <w:vAlign w:val="center"/>
            <w:hideMark/>
          </w:tcPr>
          <w:p w14:paraId="29347505" w14:textId="77777777" w:rsidR="00F22587" w:rsidRPr="000E5DBF" w:rsidRDefault="00F22587" w:rsidP="008A5C11">
            <w:pPr>
              <w:rPr>
                <w:bCs/>
                <w:sz w:val="16"/>
                <w:szCs w:val="16"/>
              </w:rPr>
            </w:pPr>
          </w:p>
        </w:tc>
        <w:tc>
          <w:tcPr>
            <w:tcW w:w="1439" w:type="dxa"/>
            <w:shd w:val="clear" w:color="auto" w:fill="auto"/>
            <w:vAlign w:val="center"/>
            <w:hideMark/>
          </w:tcPr>
          <w:p w14:paraId="5C7A188E" w14:textId="77777777" w:rsidR="00F22587" w:rsidRPr="000E5DBF" w:rsidRDefault="00F22587" w:rsidP="008A5C11">
            <w:pPr>
              <w:jc w:val="center"/>
              <w:rPr>
                <w:bCs/>
                <w:iCs/>
                <w:sz w:val="16"/>
                <w:szCs w:val="16"/>
              </w:rPr>
            </w:pPr>
            <w:r w:rsidRPr="000E5DBF">
              <w:rPr>
                <w:bCs/>
                <w:iCs/>
                <w:sz w:val="16"/>
                <w:szCs w:val="16"/>
              </w:rPr>
              <w:t>производство пара и горячей воды</w:t>
            </w:r>
          </w:p>
        </w:tc>
        <w:tc>
          <w:tcPr>
            <w:tcW w:w="966" w:type="dxa"/>
            <w:vMerge/>
            <w:vAlign w:val="center"/>
            <w:hideMark/>
          </w:tcPr>
          <w:p w14:paraId="530CF453" w14:textId="77777777" w:rsidR="00F22587" w:rsidRPr="000E5DBF" w:rsidRDefault="00F22587" w:rsidP="008A5C11">
            <w:pPr>
              <w:rPr>
                <w:bCs/>
                <w:sz w:val="16"/>
                <w:szCs w:val="16"/>
              </w:rPr>
            </w:pPr>
          </w:p>
        </w:tc>
        <w:tc>
          <w:tcPr>
            <w:tcW w:w="866" w:type="dxa"/>
            <w:shd w:val="clear" w:color="auto" w:fill="auto"/>
            <w:vAlign w:val="center"/>
          </w:tcPr>
          <w:p w14:paraId="3305EDD8" w14:textId="77777777" w:rsidR="00F22587" w:rsidRPr="000E5DBF" w:rsidRDefault="00F22587" w:rsidP="008A5C11">
            <w:pPr>
              <w:jc w:val="center"/>
              <w:rPr>
                <w:bCs/>
                <w:sz w:val="16"/>
                <w:szCs w:val="16"/>
              </w:rPr>
            </w:pPr>
            <w:r w:rsidRPr="000E5DBF">
              <w:rPr>
                <w:bCs/>
                <w:sz w:val="16"/>
                <w:szCs w:val="16"/>
              </w:rPr>
              <w:t>2019</w:t>
            </w:r>
          </w:p>
        </w:tc>
        <w:tc>
          <w:tcPr>
            <w:tcW w:w="866" w:type="dxa"/>
            <w:shd w:val="clear" w:color="auto" w:fill="auto"/>
            <w:vAlign w:val="center"/>
          </w:tcPr>
          <w:p w14:paraId="05823B35" w14:textId="77777777" w:rsidR="00F22587" w:rsidRPr="000E5DBF" w:rsidRDefault="00F22587" w:rsidP="008A5C11">
            <w:pPr>
              <w:jc w:val="center"/>
              <w:rPr>
                <w:bCs/>
                <w:sz w:val="16"/>
                <w:szCs w:val="16"/>
              </w:rPr>
            </w:pPr>
            <w:r w:rsidRPr="000E5DBF">
              <w:rPr>
                <w:bCs/>
                <w:sz w:val="16"/>
                <w:szCs w:val="16"/>
              </w:rPr>
              <w:t>2020</w:t>
            </w:r>
          </w:p>
        </w:tc>
        <w:tc>
          <w:tcPr>
            <w:tcW w:w="866" w:type="dxa"/>
            <w:shd w:val="clear" w:color="auto" w:fill="auto"/>
            <w:vAlign w:val="center"/>
          </w:tcPr>
          <w:p w14:paraId="70261B85" w14:textId="77777777" w:rsidR="00F22587" w:rsidRPr="000E5DBF" w:rsidRDefault="00F22587" w:rsidP="008A5C11">
            <w:pPr>
              <w:jc w:val="center"/>
              <w:rPr>
                <w:bCs/>
                <w:sz w:val="16"/>
                <w:szCs w:val="16"/>
              </w:rPr>
            </w:pPr>
            <w:r w:rsidRPr="000E5DBF">
              <w:rPr>
                <w:bCs/>
                <w:sz w:val="16"/>
                <w:szCs w:val="16"/>
              </w:rPr>
              <w:t>2021</w:t>
            </w:r>
          </w:p>
        </w:tc>
        <w:tc>
          <w:tcPr>
            <w:tcW w:w="728" w:type="dxa"/>
            <w:vAlign w:val="center"/>
          </w:tcPr>
          <w:p w14:paraId="00FAB129" w14:textId="77777777" w:rsidR="00F22587" w:rsidRPr="000E5DBF" w:rsidRDefault="00F22587" w:rsidP="008A5C11">
            <w:pPr>
              <w:jc w:val="center"/>
              <w:rPr>
                <w:bCs/>
                <w:sz w:val="16"/>
                <w:szCs w:val="16"/>
              </w:rPr>
            </w:pPr>
            <w:r w:rsidRPr="000E5DBF">
              <w:rPr>
                <w:bCs/>
                <w:sz w:val="16"/>
                <w:szCs w:val="16"/>
              </w:rPr>
              <w:t>2022</w:t>
            </w:r>
          </w:p>
        </w:tc>
        <w:tc>
          <w:tcPr>
            <w:tcW w:w="709" w:type="dxa"/>
            <w:vAlign w:val="center"/>
          </w:tcPr>
          <w:p w14:paraId="2C6B1E7A" w14:textId="77777777" w:rsidR="00F22587" w:rsidRPr="000E5DBF" w:rsidRDefault="00F22587" w:rsidP="008A5C11">
            <w:pPr>
              <w:jc w:val="center"/>
              <w:rPr>
                <w:bCs/>
                <w:sz w:val="16"/>
                <w:szCs w:val="16"/>
              </w:rPr>
            </w:pPr>
            <w:r w:rsidRPr="000E5DBF">
              <w:rPr>
                <w:bCs/>
                <w:sz w:val="16"/>
                <w:szCs w:val="16"/>
              </w:rPr>
              <w:t>2023</w:t>
            </w:r>
          </w:p>
        </w:tc>
        <w:tc>
          <w:tcPr>
            <w:tcW w:w="709" w:type="dxa"/>
            <w:vAlign w:val="center"/>
          </w:tcPr>
          <w:p w14:paraId="247D0B16" w14:textId="77777777" w:rsidR="00F22587" w:rsidRPr="000E5DBF" w:rsidRDefault="00F22587" w:rsidP="008A5C11">
            <w:pPr>
              <w:jc w:val="center"/>
              <w:rPr>
                <w:bCs/>
                <w:sz w:val="16"/>
                <w:szCs w:val="16"/>
              </w:rPr>
            </w:pPr>
            <w:r w:rsidRPr="000E5DBF">
              <w:rPr>
                <w:bCs/>
                <w:sz w:val="16"/>
                <w:szCs w:val="16"/>
              </w:rPr>
              <w:t>2024</w:t>
            </w:r>
          </w:p>
        </w:tc>
        <w:tc>
          <w:tcPr>
            <w:tcW w:w="709" w:type="dxa"/>
            <w:vAlign w:val="center"/>
          </w:tcPr>
          <w:p w14:paraId="6C1F0506" w14:textId="77777777" w:rsidR="00F22587" w:rsidRPr="000E5DBF" w:rsidRDefault="00F22587" w:rsidP="008A5C11">
            <w:pPr>
              <w:jc w:val="center"/>
              <w:rPr>
                <w:bCs/>
                <w:sz w:val="16"/>
                <w:szCs w:val="16"/>
              </w:rPr>
            </w:pPr>
            <w:r w:rsidRPr="000E5DBF">
              <w:rPr>
                <w:bCs/>
                <w:sz w:val="16"/>
                <w:szCs w:val="16"/>
              </w:rPr>
              <w:t>2025</w:t>
            </w:r>
          </w:p>
        </w:tc>
        <w:tc>
          <w:tcPr>
            <w:tcW w:w="708" w:type="dxa"/>
            <w:vAlign w:val="center"/>
          </w:tcPr>
          <w:p w14:paraId="7D1097F2" w14:textId="77777777" w:rsidR="00F22587" w:rsidRPr="000E5DBF" w:rsidRDefault="00F22587" w:rsidP="008A5C11">
            <w:pPr>
              <w:jc w:val="center"/>
              <w:rPr>
                <w:bCs/>
                <w:sz w:val="16"/>
                <w:szCs w:val="16"/>
              </w:rPr>
            </w:pPr>
            <w:r w:rsidRPr="000E5DBF">
              <w:rPr>
                <w:bCs/>
                <w:sz w:val="16"/>
                <w:szCs w:val="16"/>
              </w:rPr>
              <w:t>2026</w:t>
            </w:r>
          </w:p>
        </w:tc>
        <w:tc>
          <w:tcPr>
            <w:tcW w:w="616" w:type="dxa"/>
            <w:vAlign w:val="center"/>
          </w:tcPr>
          <w:p w14:paraId="00A22291" w14:textId="77777777" w:rsidR="00F22587" w:rsidRPr="000E5DBF" w:rsidRDefault="00F22587" w:rsidP="008A5C11">
            <w:pPr>
              <w:jc w:val="center"/>
              <w:rPr>
                <w:bCs/>
                <w:sz w:val="16"/>
                <w:szCs w:val="16"/>
              </w:rPr>
            </w:pPr>
            <w:r w:rsidRPr="000E5DBF">
              <w:rPr>
                <w:bCs/>
                <w:sz w:val="16"/>
                <w:szCs w:val="16"/>
              </w:rPr>
              <w:t>2027</w:t>
            </w:r>
          </w:p>
        </w:tc>
        <w:tc>
          <w:tcPr>
            <w:tcW w:w="616" w:type="dxa"/>
            <w:vAlign w:val="center"/>
          </w:tcPr>
          <w:p w14:paraId="6714CDB2" w14:textId="77777777" w:rsidR="00F22587" w:rsidRPr="000E5DBF" w:rsidRDefault="00F22587" w:rsidP="008A5C11">
            <w:pPr>
              <w:jc w:val="center"/>
              <w:rPr>
                <w:bCs/>
                <w:sz w:val="16"/>
                <w:szCs w:val="16"/>
              </w:rPr>
            </w:pPr>
            <w:r w:rsidRPr="000E5DBF">
              <w:rPr>
                <w:bCs/>
                <w:sz w:val="16"/>
                <w:szCs w:val="16"/>
              </w:rPr>
              <w:t>2028</w:t>
            </w:r>
          </w:p>
        </w:tc>
        <w:tc>
          <w:tcPr>
            <w:tcW w:w="616" w:type="dxa"/>
            <w:vAlign w:val="center"/>
          </w:tcPr>
          <w:p w14:paraId="24240846" w14:textId="77777777" w:rsidR="00F22587" w:rsidRPr="000E5DBF" w:rsidRDefault="00F22587" w:rsidP="008A5C11">
            <w:pPr>
              <w:jc w:val="center"/>
              <w:rPr>
                <w:bCs/>
                <w:sz w:val="16"/>
                <w:szCs w:val="16"/>
              </w:rPr>
            </w:pPr>
            <w:r w:rsidRPr="000E5DBF">
              <w:rPr>
                <w:bCs/>
                <w:sz w:val="16"/>
                <w:szCs w:val="16"/>
              </w:rPr>
              <w:t>2029</w:t>
            </w:r>
          </w:p>
        </w:tc>
        <w:tc>
          <w:tcPr>
            <w:tcW w:w="846" w:type="dxa"/>
            <w:vAlign w:val="center"/>
          </w:tcPr>
          <w:p w14:paraId="155E25DF" w14:textId="77777777" w:rsidR="00F22587" w:rsidRPr="000E5DBF" w:rsidRDefault="00F22587" w:rsidP="008A5C11">
            <w:pPr>
              <w:jc w:val="center"/>
              <w:rPr>
                <w:bCs/>
                <w:sz w:val="16"/>
                <w:szCs w:val="16"/>
              </w:rPr>
            </w:pPr>
            <w:r w:rsidRPr="000E5DBF">
              <w:rPr>
                <w:bCs/>
                <w:sz w:val="16"/>
                <w:szCs w:val="16"/>
              </w:rPr>
              <w:t>2030</w:t>
            </w:r>
          </w:p>
        </w:tc>
      </w:tr>
      <w:tr w:rsidR="00F22587" w:rsidRPr="000E5DBF" w14:paraId="6A533D01" w14:textId="77777777" w:rsidTr="008A5C11">
        <w:trPr>
          <w:trHeight w:val="255"/>
          <w:jc w:val="center"/>
        </w:trPr>
        <w:tc>
          <w:tcPr>
            <w:tcW w:w="516" w:type="dxa"/>
            <w:shd w:val="clear" w:color="auto" w:fill="auto"/>
            <w:vAlign w:val="center"/>
            <w:hideMark/>
          </w:tcPr>
          <w:p w14:paraId="37C6F21E" w14:textId="77777777" w:rsidR="00F22587" w:rsidRPr="000E5DBF" w:rsidRDefault="00F22587" w:rsidP="008A5C11">
            <w:pPr>
              <w:jc w:val="center"/>
              <w:rPr>
                <w:bCs/>
                <w:sz w:val="16"/>
                <w:szCs w:val="16"/>
              </w:rPr>
            </w:pPr>
            <w:r w:rsidRPr="000E5DBF">
              <w:rPr>
                <w:bCs/>
                <w:sz w:val="16"/>
                <w:szCs w:val="16"/>
              </w:rPr>
              <w:t>1</w:t>
            </w:r>
          </w:p>
        </w:tc>
        <w:tc>
          <w:tcPr>
            <w:tcW w:w="3373" w:type="dxa"/>
            <w:shd w:val="clear" w:color="auto" w:fill="auto"/>
            <w:vAlign w:val="center"/>
            <w:hideMark/>
          </w:tcPr>
          <w:p w14:paraId="66432B35" w14:textId="77777777" w:rsidR="00F22587" w:rsidRPr="000E5DBF" w:rsidRDefault="00F22587" w:rsidP="008A5C11">
            <w:pPr>
              <w:rPr>
                <w:bCs/>
                <w:sz w:val="16"/>
                <w:szCs w:val="16"/>
              </w:rPr>
            </w:pPr>
            <w:r w:rsidRPr="000E5DBF">
              <w:rPr>
                <w:bCs/>
                <w:sz w:val="16"/>
                <w:szCs w:val="16"/>
              </w:rPr>
              <w:t>Собственные средства</w:t>
            </w:r>
          </w:p>
        </w:tc>
        <w:tc>
          <w:tcPr>
            <w:tcW w:w="1439" w:type="dxa"/>
            <w:shd w:val="clear" w:color="auto" w:fill="auto"/>
            <w:vAlign w:val="center"/>
          </w:tcPr>
          <w:p w14:paraId="39DD86F1" w14:textId="77777777" w:rsidR="00F22587" w:rsidRPr="000E5DBF" w:rsidRDefault="00F22587" w:rsidP="008A5C11">
            <w:pPr>
              <w:jc w:val="center"/>
              <w:rPr>
                <w:color w:val="000000"/>
                <w:sz w:val="16"/>
                <w:szCs w:val="16"/>
              </w:rPr>
            </w:pPr>
            <w:r w:rsidRPr="000E5DBF">
              <w:rPr>
                <w:color w:val="000000"/>
                <w:sz w:val="16"/>
                <w:szCs w:val="16"/>
              </w:rPr>
              <w:t>59900,28</w:t>
            </w:r>
          </w:p>
        </w:tc>
        <w:tc>
          <w:tcPr>
            <w:tcW w:w="966" w:type="dxa"/>
            <w:shd w:val="clear" w:color="auto" w:fill="auto"/>
            <w:vAlign w:val="center"/>
          </w:tcPr>
          <w:p w14:paraId="028E9A9B" w14:textId="77777777" w:rsidR="00F22587" w:rsidRPr="000E5DBF" w:rsidRDefault="00F22587" w:rsidP="008A5C11">
            <w:pPr>
              <w:jc w:val="center"/>
              <w:rPr>
                <w:color w:val="000000"/>
                <w:sz w:val="16"/>
                <w:szCs w:val="16"/>
              </w:rPr>
            </w:pPr>
            <w:r w:rsidRPr="000E5DBF">
              <w:rPr>
                <w:color w:val="000000"/>
                <w:sz w:val="16"/>
                <w:szCs w:val="16"/>
              </w:rPr>
              <w:t>59900,28</w:t>
            </w:r>
          </w:p>
        </w:tc>
        <w:tc>
          <w:tcPr>
            <w:tcW w:w="866" w:type="dxa"/>
            <w:shd w:val="clear" w:color="auto" w:fill="auto"/>
            <w:vAlign w:val="center"/>
          </w:tcPr>
          <w:p w14:paraId="33CDD1A0" w14:textId="77777777" w:rsidR="00F22587" w:rsidRPr="000E5DBF" w:rsidRDefault="00F22587" w:rsidP="008A5C11">
            <w:pPr>
              <w:jc w:val="center"/>
              <w:rPr>
                <w:color w:val="000000"/>
                <w:sz w:val="16"/>
                <w:szCs w:val="16"/>
              </w:rPr>
            </w:pPr>
            <w:r w:rsidRPr="000E5DBF">
              <w:rPr>
                <w:color w:val="000000"/>
                <w:sz w:val="16"/>
                <w:szCs w:val="16"/>
              </w:rPr>
              <w:t>4685,98</w:t>
            </w:r>
          </w:p>
        </w:tc>
        <w:tc>
          <w:tcPr>
            <w:tcW w:w="866" w:type="dxa"/>
            <w:shd w:val="clear" w:color="auto" w:fill="auto"/>
            <w:vAlign w:val="center"/>
          </w:tcPr>
          <w:p w14:paraId="79EFAC22" w14:textId="77777777" w:rsidR="00F22587" w:rsidRPr="000E5DBF" w:rsidRDefault="00F22587" w:rsidP="008A5C11">
            <w:pPr>
              <w:jc w:val="center"/>
              <w:rPr>
                <w:color w:val="000000"/>
                <w:sz w:val="16"/>
                <w:szCs w:val="16"/>
              </w:rPr>
            </w:pPr>
            <w:r w:rsidRPr="000E5DBF">
              <w:rPr>
                <w:color w:val="000000"/>
                <w:sz w:val="16"/>
                <w:szCs w:val="16"/>
              </w:rPr>
              <w:t>5551,50</w:t>
            </w:r>
          </w:p>
        </w:tc>
        <w:tc>
          <w:tcPr>
            <w:tcW w:w="866" w:type="dxa"/>
            <w:shd w:val="clear" w:color="auto" w:fill="auto"/>
            <w:vAlign w:val="center"/>
          </w:tcPr>
          <w:p w14:paraId="7AAB905B" w14:textId="77777777" w:rsidR="00F22587" w:rsidRPr="000E5DBF" w:rsidRDefault="00F22587" w:rsidP="008A5C11">
            <w:pPr>
              <w:jc w:val="center"/>
              <w:rPr>
                <w:color w:val="000000"/>
                <w:sz w:val="16"/>
                <w:szCs w:val="16"/>
              </w:rPr>
            </w:pPr>
            <w:r w:rsidRPr="000E5DBF">
              <w:rPr>
                <w:color w:val="000000"/>
                <w:sz w:val="16"/>
                <w:szCs w:val="16"/>
              </w:rPr>
              <w:t>6216,00</w:t>
            </w:r>
          </w:p>
        </w:tc>
        <w:tc>
          <w:tcPr>
            <w:tcW w:w="728" w:type="dxa"/>
            <w:shd w:val="clear" w:color="auto" w:fill="auto"/>
            <w:vAlign w:val="center"/>
          </w:tcPr>
          <w:p w14:paraId="22CDE494" w14:textId="77777777" w:rsidR="00F22587" w:rsidRPr="000E5DBF" w:rsidRDefault="00F22587" w:rsidP="008A5C11">
            <w:pPr>
              <w:jc w:val="center"/>
              <w:rPr>
                <w:color w:val="000000"/>
                <w:sz w:val="16"/>
                <w:szCs w:val="16"/>
              </w:rPr>
            </w:pPr>
            <w:r w:rsidRPr="000E5DBF">
              <w:rPr>
                <w:color w:val="000000"/>
                <w:sz w:val="16"/>
                <w:szCs w:val="16"/>
              </w:rPr>
              <w:t>6115,00</w:t>
            </w:r>
          </w:p>
        </w:tc>
        <w:tc>
          <w:tcPr>
            <w:tcW w:w="709" w:type="dxa"/>
            <w:shd w:val="clear" w:color="auto" w:fill="auto"/>
            <w:vAlign w:val="center"/>
          </w:tcPr>
          <w:p w14:paraId="4FC6BC6F" w14:textId="77777777" w:rsidR="00F22587" w:rsidRPr="000E5DBF" w:rsidRDefault="00F22587" w:rsidP="008A5C11">
            <w:pPr>
              <w:jc w:val="center"/>
              <w:rPr>
                <w:color w:val="000000"/>
                <w:sz w:val="16"/>
                <w:szCs w:val="16"/>
              </w:rPr>
            </w:pPr>
            <w:r w:rsidRPr="000E5DBF">
              <w:rPr>
                <w:color w:val="000000"/>
                <w:sz w:val="16"/>
                <w:szCs w:val="16"/>
              </w:rPr>
              <w:t>3525,00</w:t>
            </w:r>
          </w:p>
        </w:tc>
        <w:tc>
          <w:tcPr>
            <w:tcW w:w="709" w:type="dxa"/>
            <w:shd w:val="clear" w:color="auto" w:fill="auto"/>
            <w:vAlign w:val="center"/>
          </w:tcPr>
          <w:p w14:paraId="1637D0C8" w14:textId="77777777" w:rsidR="00F22587" w:rsidRPr="000E5DBF" w:rsidRDefault="00F22587" w:rsidP="008A5C11">
            <w:pPr>
              <w:jc w:val="center"/>
              <w:rPr>
                <w:color w:val="000000"/>
                <w:sz w:val="16"/>
                <w:szCs w:val="16"/>
              </w:rPr>
            </w:pPr>
            <w:r w:rsidRPr="000E5DBF">
              <w:rPr>
                <w:color w:val="000000"/>
                <w:sz w:val="16"/>
                <w:szCs w:val="16"/>
              </w:rPr>
              <w:t>4332,00</w:t>
            </w:r>
          </w:p>
        </w:tc>
        <w:tc>
          <w:tcPr>
            <w:tcW w:w="709" w:type="dxa"/>
            <w:shd w:val="clear" w:color="auto" w:fill="auto"/>
            <w:vAlign w:val="center"/>
          </w:tcPr>
          <w:p w14:paraId="7651560E" w14:textId="77777777" w:rsidR="00F22587" w:rsidRPr="000E5DBF" w:rsidRDefault="00F22587" w:rsidP="008A5C11">
            <w:pPr>
              <w:jc w:val="center"/>
              <w:rPr>
                <w:color w:val="000000"/>
                <w:sz w:val="16"/>
                <w:szCs w:val="16"/>
              </w:rPr>
            </w:pPr>
            <w:r w:rsidRPr="000E5DBF">
              <w:rPr>
                <w:color w:val="000000"/>
                <w:sz w:val="16"/>
                <w:szCs w:val="16"/>
              </w:rPr>
              <w:t>3628,20</w:t>
            </w:r>
          </w:p>
        </w:tc>
        <w:tc>
          <w:tcPr>
            <w:tcW w:w="708" w:type="dxa"/>
            <w:shd w:val="clear" w:color="auto" w:fill="auto"/>
            <w:vAlign w:val="center"/>
          </w:tcPr>
          <w:p w14:paraId="295F4947" w14:textId="77777777" w:rsidR="00F22587" w:rsidRPr="000E5DBF" w:rsidRDefault="00F22587" w:rsidP="008A5C11">
            <w:pPr>
              <w:jc w:val="center"/>
              <w:rPr>
                <w:color w:val="000000"/>
                <w:sz w:val="16"/>
                <w:szCs w:val="16"/>
              </w:rPr>
            </w:pPr>
            <w:r w:rsidRPr="000E5DBF">
              <w:rPr>
                <w:color w:val="000000"/>
                <w:sz w:val="16"/>
                <w:szCs w:val="16"/>
              </w:rPr>
              <w:t>6655,20</w:t>
            </w:r>
          </w:p>
        </w:tc>
        <w:tc>
          <w:tcPr>
            <w:tcW w:w="616" w:type="dxa"/>
            <w:shd w:val="clear" w:color="auto" w:fill="auto"/>
            <w:vAlign w:val="center"/>
          </w:tcPr>
          <w:p w14:paraId="478AFBBD" w14:textId="77777777" w:rsidR="00F22587" w:rsidRPr="000E5DBF" w:rsidRDefault="00F22587" w:rsidP="008A5C11">
            <w:pPr>
              <w:jc w:val="center"/>
              <w:rPr>
                <w:color w:val="000000"/>
                <w:sz w:val="16"/>
                <w:szCs w:val="16"/>
              </w:rPr>
            </w:pPr>
            <w:r w:rsidRPr="000E5DBF">
              <w:rPr>
                <w:color w:val="000000"/>
                <w:sz w:val="16"/>
                <w:szCs w:val="16"/>
              </w:rPr>
              <w:t>4340,00</w:t>
            </w:r>
          </w:p>
        </w:tc>
        <w:tc>
          <w:tcPr>
            <w:tcW w:w="616" w:type="dxa"/>
            <w:shd w:val="clear" w:color="auto" w:fill="auto"/>
            <w:vAlign w:val="center"/>
          </w:tcPr>
          <w:p w14:paraId="39E85E6C" w14:textId="77777777" w:rsidR="00F22587" w:rsidRPr="000E5DBF" w:rsidRDefault="00F22587" w:rsidP="008A5C11">
            <w:pPr>
              <w:jc w:val="center"/>
              <w:rPr>
                <w:color w:val="000000"/>
                <w:sz w:val="16"/>
                <w:szCs w:val="16"/>
              </w:rPr>
            </w:pPr>
            <w:r w:rsidRPr="000E5DBF">
              <w:rPr>
                <w:color w:val="000000"/>
                <w:sz w:val="16"/>
                <w:szCs w:val="16"/>
              </w:rPr>
              <w:t>4980,00</w:t>
            </w:r>
          </w:p>
        </w:tc>
        <w:tc>
          <w:tcPr>
            <w:tcW w:w="616" w:type="dxa"/>
            <w:shd w:val="clear" w:color="auto" w:fill="auto"/>
            <w:vAlign w:val="center"/>
          </w:tcPr>
          <w:p w14:paraId="227B2A21" w14:textId="77777777" w:rsidR="00F22587" w:rsidRPr="000E5DBF" w:rsidRDefault="00F22587" w:rsidP="008A5C11">
            <w:pPr>
              <w:jc w:val="center"/>
              <w:rPr>
                <w:color w:val="000000"/>
                <w:sz w:val="16"/>
                <w:szCs w:val="16"/>
              </w:rPr>
            </w:pPr>
            <w:r w:rsidRPr="000E5DBF">
              <w:rPr>
                <w:color w:val="000000"/>
                <w:sz w:val="16"/>
                <w:szCs w:val="16"/>
              </w:rPr>
              <w:t>5948,20</w:t>
            </w:r>
          </w:p>
        </w:tc>
        <w:tc>
          <w:tcPr>
            <w:tcW w:w="846" w:type="dxa"/>
            <w:shd w:val="clear" w:color="auto" w:fill="auto"/>
            <w:vAlign w:val="center"/>
          </w:tcPr>
          <w:p w14:paraId="6A0C061C" w14:textId="77777777" w:rsidR="00F22587" w:rsidRPr="000E5DBF" w:rsidRDefault="00F22587" w:rsidP="008A5C11">
            <w:pPr>
              <w:jc w:val="center"/>
              <w:rPr>
                <w:color w:val="000000"/>
                <w:sz w:val="16"/>
                <w:szCs w:val="16"/>
              </w:rPr>
            </w:pPr>
            <w:r w:rsidRPr="000E5DBF">
              <w:rPr>
                <w:color w:val="000000"/>
                <w:sz w:val="16"/>
                <w:szCs w:val="16"/>
              </w:rPr>
              <w:t>3923,20</w:t>
            </w:r>
          </w:p>
        </w:tc>
      </w:tr>
      <w:tr w:rsidR="00F22587" w:rsidRPr="000E5DBF" w14:paraId="39E4992A" w14:textId="77777777" w:rsidTr="008A5C11">
        <w:trPr>
          <w:trHeight w:val="255"/>
          <w:jc w:val="center"/>
        </w:trPr>
        <w:tc>
          <w:tcPr>
            <w:tcW w:w="516" w:type="dxa"/>
            <w:shd w:val="clear" w:color="auto" w:fill="auto"/>
            <w:vAlign w:val="center"/>
            <w:hideMark/>
          </w:tcPr>
          <w:p w14:paraId="16585197" w14:textId="77777777" w:rsidR="00F22587" w:rsidRPr="000E5DBF" w:rsidRDefault="00F22587" w:rsidP="008A5C11">
            <w:pPr>
              <w:jc w:val="center"/>
              <w:rPr>
                <w:sz w:val="16"/>
                <w:szCs w:val="16"/>
              </w:rPr>
            </w:pPr>
            <w:r w:rsidRPr="000E5DBF">
              <w:rPr>
                <w:sz w:val="16"/>
                <w:szCs w:val="16"/>
              </w:rPr>
              <w:t>1.1.</w:t>
            </w:r>
          </w:p>
        </w:tc>
        <w:tc>
          <w:tcPr>
            <w:tcW w:w="3373" w:type="dxa"/>
            <w:shd w:val="clear" w:color="auto" w:fill="auto"/>
            <w:vAlign w:val="center"/>
            <w:hideMark/>
          </w:tcPr>
          <w:p w14:paraId="553EDBDB" w14:textId="77777777" w:rsidR="00F22587" w:rsidRPr="000E5DBF" w:rsidRDefault="00F22587" w:rsidP="008A5C11">
            <w:pPr>
              <w:rPr>
                <w:sz w:val="16"/>
                <w:szCs w:val="16"/>
              </w:rPr>
            </w:pPr>
            <w:r w:rsidRPr="000E5DBF">
              <w:rPr>
                <w:sz w:val="16"/>
                <w:szCs w:val="16"/>
              </w:rPr>
              <w:t>амортизационные отчисления</w:t>
            </w:r>
          </w:p>
        </w:tc>
        <w:tc>
          <w:tcPr>
            <w:tcW w:w="1439" w:type="dxa"/>
            <w:shd w:val="clear" w:color="auto" w:fill="auto"/>
            <w:vAlign w:val="center"/>
          </w:tcPr>
          <w:p w14:paraId="67853DC4" w14:textId="77777777" w:rsidR="00F22587" w:rsidRPr="000E5DBF" w:rsidRDefault="00F22587" w:rsidP="008A5C11">
            <w:pPr>
              <w:jc w:val="center"/>
              <w:rPr>
                <w:color w:val="000000"/>
                <w:sz w:val="16"/>
                <w:szCs w:val="16"/>
              </w:rPr>
            </w:pPr>
            <w:r w:rsidRPr="000E5DBF">
              <w:rPr>
                <w:color w:val="000000"/>
                <w:sz w:val="16"/>
                <w:szCs w:val="16"/>
              </w:rPr>
              <w:t>51494,43</w:t>
            </w:r>
          </w:p>
        </w:tc>
        <w:tc>
          <w:tcPr>
            <w:tcW w:w="966" w:type="dxa"/>
            <w:shd w:val="clear" w:color="auto" w:fill="auto"/>
            <w:vAlign w:val="center"/>
          </w:tcPr>
          <w:p w14:paraId="7D9F86E7" w14:textId="77777777" w:rsidR="00F22587" w:rsidRPr="000E5DBF" w:rsidRDefault="00F22587" w:rsidP="008A5C11">
            <w:pPr>
              <w:jc w:val="center"/>
              <w:rPr>
                <w:color w:val="000000"/>
                <w:sz w:val="16"/>
                <w:szCs w:val="16"/>
              </w:rPr>
            </w:pPr>
            <w:r w:rsidRPr="000E5DBF">
              <w:rPr>
                <w:color w:val="000000"/>
                <w:sz w:val="16"/>
                <w:szCs w:val="16"/>
              </w:rPr>
              <w:t>51494,43</w:t>
            </w:r>
          </w:p>
        </w:tc>
        <w:tc>
          <w:tcPr>
            <w:tcW w:w="866" w:type="dxa"/>
            <w:shd w:val="clear" w:color="auto" w:fill="auto"/>
            <w:vAlign w:val="center"/>
          </w:tcPr>
          <w:p w14:paraId="6C07520A" w14:textId="77777777" w:rsidR="00F22587" w:rsidRPr="000E5DBF" w:rsidRDefault="00F22587" w:rsidP="008A5C11">
            <w:pPr>
              <w:jc w:val="center"/>
              <w:rPr>
                <w:color w:val="000000"/>
                <w:sz w:val="16"/>
                <w:szCs w:val="16"/>
              </w:rPr>
            </w:pPr>
            <w:r w:rsidRPr="000E5DBF">
              <w:rPr>
                <w:color w:val="000000"/>
                <w:sz w:val="16"/>
                <w:szCs w:val="16"/>
              </w:rPr>
              <w:t>2235,40</w:t>
            </w:r>
          </w:p>
        </w:tc>
        <w:tc>
          <w:tcPr>
            <w:tcW w:w="866" w:type="dxa"/>
            <w:shd w:val="clear" w:color="auto" w:fill="auto"/>
            <w:vAlign w:val="center"/>
          </w:tcPr>
          <w:p w14:paraId="6FE328DD" w14:textId="77777777" w:rsidR="00F22587" w:rsidRPr="000E5DBF" w:rsidRDefault="00F22587" w:rsidP="008A5C11">
            <w:pPr>
              <w:jc w:val="center"/>
              <w:rPr>
                <w:color w:val="000000"/>
                <w:sz w:val="16"/>
                <w:szCs w:val="16"/>
              </w:rPr>
            </w:pPr>
            <w:r w:rsidRPr="000E5DBF">
              <w:rPr>
                <w:color w:val="000000"/>
                <w:sz w:val="16"/>
                <w:szCs w:val="16"/>
              </w:rPr>
              <w:t>3247,01</w:t>
            </w:r>
          </w:p>
        </w:tc>
        <w:tc>
          <w:tcPr>
            <w:tcW w:w="866" w:type="dxa"/>
            <w:shd w:val="clear" w:color="auto" w:fill="auto"/>
            <w:vAlign w:val="center"/>
          </w:tcPr>
          <w:p w14:paraId="78A3A164" w14:textId="77777777" w:rsidR="00F22587" w:rsidRPr="000E5DBF" w:rsidRDefault="00F22587" w:rsidP="008A5C11">
            <w:pPr>
              <w:jc w:val="center"/>
              <w:rPr>
                <w:color w:val="000000"/>
                <w:sz w:val="16"/>
                <w:szCs w:val="16"/>
              </w:rPr>
            </w:pPr>
            <w:r w:rsidRPr="000E5DBF">
              <w:rPr>
                <w:color w:val="000000"/>
                <w:sz w:val="16"/>
                <w:szCs w:val="16"/>
              </w:rPr>
              <w:t>3965,10</w:t>
            </w:r>
          </w:p>
        </w:tc>
        <w:tc>
          <w:tcPr>
            <w:tcW w:w="728" w:type="dxa"/>
            <w:shd w:val="clear" w:color="auto" w:fill="auto"/>
            <w:vAlign w:val="center"/>
          </w:tcPr>
          <w:p w14:paraId="387363F4" w14:textId="77777777" w:rsidR="00F22587" w:rsidRPr="000E5DBF" w:rsidRDefault="00F22587" w:rsidP="008A5C11">
            <w:pPr>
              <w:jc w:val="center"/>
              <w:rPr>
                <w:color w:val="000000"/>
                <w:sz w:val="16"/>
                <w:szCs w:val="16"/>
              </w:rPr>
            </w:pPr>
            <w:r w:rsidRPr="000E5DBF">
              <w:rPr>
                <w:color w:val="000000"/>
                <w:sz w:val="16"/>
                <w:szCs w:val="16"/>
              </w:rPr>
              <w:t>4715,12</w:t>
            </w:r>
          </w:p>
        </w:tc>
        <w:tc>
          <w:tcPr>
            <w:tcW w:w="709" w:type="dxa"/>
            <w:shd w:val="clear" w:color="auto" w:fill="auto"/>
            <w:vAlign w:val="center"/>
          </w:tcPr>
          <w:p w14:paraId="3DCE4D66" w14:textId="77777777" w:rsidR="00F22587" w:rsidRPr="000E5DBF" w:rsidRDefault="00F22587" w:rsidP="008A5C11">
            <w:pPr>
              <w:jc w:val="center"/>
              <w:rPr>
                <w:color w:val="000000"/>
                <w:sz w:val="16"/>
                <w:szCs w:val="16"/>
              </w:rPr>
            </w:pPr>
            <w:r w:rsidRPr="000E5DBF">
              <w:rPr>
                <w:color w:val="000000"/>
                <w:sz w:val="16"/>
                <w:szCs w:val="16"/>
              </w:rPr>
              <w:t>3525,00</w:t>
            </w:r>
          </w:p>
        </w:tc>
        <w:tc>
          <w:tcPr>
            <w:tcW w:w="709" w:type="dxa"/>
            <w:shd w:val="clear" w:color="auto" w:fill="auto"/>
            <w:vAlign w:val="center"/>
          </w:tcPr>
          <w:p w14:paraId="2E7C2004" w14:textId="77777777" w:rsidR="00F22587" w:rsidRPr="000E5DBF" w:rsidRDefault="00F22587" w:rsidP="008A5C11">
            <w:pPr>
              <w:jc w:val="center"/>
              <w:rPr>
                <w:color w:val="000000"/>
                <w:sz w:val="16"/>
                <w:szCs w:val="16"/>
              </w:rPr>
            </w:pPr>
            <w:r w:rsidRPr="000E5DBF">
              <w:rPr>
                <w:color w:val="000000"/>
                <w:sz w:val="16"/>
                <w:szCs w:val="16"/>
              </w:rPr>
              <w:t>4332,00</w:t>
            </w:r>
          </w:p>
        </w:tc>
        <w:tc>
          <w:tcPr>
            <w:tcW w:w="709" w:type="dxa"/>
            <w:shd w:val="clear" w:color="auto" w:fill="auto"/>
            <w:vAlign w:val="center"/>
          </w:tcPr>
          <w:p w14:paraId="6AE50ABF" w14:textId="77777777" w:rsidR="00F22587" w:rsidRPr="000E5DBF" w:rsidRDefault="00F22587" w:rsidP="008A5C11">
            <w:pPr>
              <w:jc w:val="center"/>
              <w:rPr>
                <w:color w:val="000000"/>
                <w:sz w:val="16"/>
                <w:szCs w:val="16"/>
              </w:rPr>
            </w:pPr>
            <w:r w:rsidRPr="000E5DBF">
              <w:rPr>
                <w:color w:val="000000"/>
                <w:sz w:val="16"/>
                <w:szCs w:val="16"/>
              </w:rPr>
              <w:t>3628,20</w:t>
            </w:r>
          </w:p>
        </w:tc>
        <w:tc>
          <w:tcPr>
            <w:tcW w:w="708" w:type="dxa"/>
            <w:shd w:val="clear" w:color="auto" w:fill="auto"/>
            <w:vAlign w:val="center"/>
          </w:tcPr>
          <w:p w14:paraId="6FDA44A9" w14:textId="77777777" w:rsidR="00F22587" w:rsidRPr="000E5DBF" w:rsidRDefault="00F22587" w:rsidP="008A5C11">
            <w:pPr>
              <w:jc w:val="center"/>
              <w:rPr>
                <w:color w:val="000000"/>
                <w:sz w:val="16"/>
                <w:szCs w:val="16"/>
              </w:rPr>
            </w:pPr>
            <w:r w:rsidRPr="000E5DBF">
              <w:rPr>
                <w:color w:val="000000"/>
                <w:sz w:val="16"/>
                <w:szCs w:val="16"/>
              </w:rPr>
              <w:t>6655,20</w:t>
            </w:r>
          </w:p>
        </w:tc>
        <w:tc>
          <w:tcPr>
            <w:tcW w:w="616" w:type="dxa"/>
            <w:shd w:val="clear" w:color="auto" w:fill="auto"/>
            <w:vAlign w:val="center"/>
          </w:tcPr>
          <w:p w14:paraId="2388EA3A" w14:textId="77777777" w:rsidR="00F22587" w:rsidRPr="000E5DBF" w:rsidRDefault="00F22587" w:rsidP="008A5C11">
            <w:pPr>
              <w:jc w:val="center"/>
              <w:rPr>
                <w:color w:val="000000"/>
                <w:sz w:val="16"/>
                <w:szCs w:val="16"/>
              </w:rPr>
            </w:pPr>
            <w:r w:rsidRPr="000E5DBF">
              <w:rPr>
                <w:color w:val="000000"/>
                <w:sz w:val="16"/>
                <w:szCs w:val="16"/>
              </w:rPr>
              <w:t>4340,00</w:t>
            </w:r>
          </w:p>
        </w:tc>
        <w:tc>
          <w:tcPr>
            <w:tcW w:w="616" w:type="dxa"/>
            <w:shd w:val="clear" w:color="auto" w:fill="auto"/>
            <w:vAlign w:val="center"/>
          </w:tcPr>
          <w:p w14:paraId="568E7D06" w14:textId="77777777" w:rsidR="00F22587" w:rsidRPr="000E5DBF" w:rsidRDefault="00F22587" w:rsidP="008A5C11">
            <w:pPr>
              <w:jc w:val="center"/>
              <w:rPr>
                <w:color w:val="000000"/>
                <w:sz w:val="16"/>
                <w:szCs w:val="16"/>
              </w:rPr>
            </w:pPr>
            <w:r w:rsidRPr="000E5DBF">
              <w:rPr>
                <w:color w:val="000000"/>
                <w:sz w:val="16"/>
                <w:szCs w:val="16"/>
              </w:rPr>
              <w:t>4980,00</w:t>
            </w:r>
          </w:p>
        </w:tc>
        <w:tc>
          <w:tcPr>
            <w:tcW w:w="616" w:type="dxa"/>
            <w:shd w:val="clear" w:color="auto" w:fill="auto"/>
            <w:vAlign w:val="center"/>
          </w:tcPr>
          <w:p w14:paraId="335F33BC" w14:textId="77777777" w:rsidR="00F22587" w:rsidRPr="000E5DBF" w:rsidRDefault="00F22587" w:rsidP="008A5C11">
            <w:pPr>
              <w:jc w:val="center"/>
              <w:rPr>
                <w:color w:val="000000"/>
                <w:sz w:val="16"/>
                <w:szCs w:val="16"/>
              </w:rPr>
            </w:pPr>
            <w:r w:rsidRPr="000E5DBF">
              <w:rPr>
                <w:color w:val="000000"/>
                <w:sz w:val="16"/>
                <w:szCs w:val="16"/>
              </w:rPr>
              <w:t>5948,20</w:t>
            </w:r>
          </w:p>
        </w:tc>
        <w:tc>
          <w:tcPr>
            <w:tcW w:w="846" w:type="dxa"/>
            <w:shd w:val="clear" w:color="auto" w:fill="auto"/>
            <w:vAlign w:val="center"/>
          </w:tcPr>
          <w:p w14:paraId="665083FE" w14:textId="77777777" w:rsidR="00F22587" w:rsidRPr="000E5DBF" w:rsidRDefault="00F22587" w:rsidP="008A5C11">
            <w:pPr>
              <w:jc w:val="center"/>
              <w:rPr>
                <w:color w:val="000000"/>
                <w:sz w:val="16"/>
                <w:szCs w:val="16"/>
              </w:rPr>
            </w:pPr>
            <w:r w:rsidRPr="000E5DBF">
              <w:rPr>
                <w:color w:val="000000"/>
                <w:sz w:val="16"/>
                <w:szCs w:val="16"/>
              </w:rPr>
              <w:t>3923,20</w:t>
            </w:r>
          </w:p>
        </w:tc>
      </w:tr>
      <w:tr w:rsidR="00F22587" w:rsidRPr="000E5DBF" w14:paraId="5C6D3ED3" w14:textId="77777777" w:rsidTr="008A5C11">
        <w:trPr>
          <w:trHeight w:val="510"/>
          <w:jc w:val="center"/>
        </w:trPr>
        <w:tc>
          <w:tcPr>
            <w:tcW w:w="516" w:type="dxa"/>
            <w:shd w:val="clear" w:color="auto" w:fill="auto"/>
            <w:vAlign w:val="center"/>
            <w:hideMark/>
          </w:tcPr>
          <w:p w14:paraId="11D4BDB2" w14:textId="77777777" w:rsidR="00F22587" w:rsidRPr="000E5DBF" w:rsidRDefault="00F22587" w:rsidP="008A5C11">
            <w:pPr>
              <w:jc w:val="center"/>
              <w:rPr>
                <w:sz w:val="16"/>
                <w:szCs w:val="16"/>
              </w:rPr>
            </w:pPr>
            <w:r w:rsidRPr="000E5DBF">
              <w:rPr>
                <w:sz w:val="16"/>
                <w:szCs w:val="16"/>
              </w:rPr>
              <w:t>1.2.</w:t>
            </w:r>
          </w:p>
        </w:tc>
        <w:tc>
          <w:tcPr>
            <w:tcW w:w="3373" w:type="dxa"/>
            <w:shd w:val="clear" w:color="auto" w:fill="auto"/>
            <w:vAlign w:val="center"/>
            <w:hideMark/>
          </w:tcPr>
          <w:p w14:paraId="297E1C8C" w14:textId="77777777" w:rsidR="00F22587" w:rsidRPr="000E5DBF" w:rsidRDefault="00F22587" w:rsidP="008A5C11">
            <w:pPr>
              <w:rPr>
                <w:sz w:val="16"/>
                <w:szCs w:val="16"/>
              </w:rPr>
            </w:pPr>
            <w:r w:rsidRPr="000E5DBF">
              <w:rPr>
                <w:sz w:val="16"/>
                <w:szCs w:val="16"/>
              </w:rPr>
              <w:t>прибыль, направленная на инвестиции</w:t>
            </w:r>
          </w:p>
        </w:tc>
        <w:tc>
          <w:tcPr>
            <w:tcW w:w="1439" w:type="dxa"/>
            <w:shd w:val="clear" w:color="auto" w:fill="auto"/>
            <w:vAlign w:val="center"/>
          </w:tcPr>
          <w:p w14:paraId="6619FA41" w14:textId="77777777" w:rsidR="00F22587" w:rsidRPr="000E5DBF" w:rsidRDefault="00F22587" w:rsidP="008A5C11">
            <w:pPr>
              <w:jc w:val="center"/>
              <w:rPr>
                <w:color w:val="000000"/>
                <w:sz w:val="16"/>
                <w:szCs w:val="16"/>
              </w:rPr>
            </w:pPr>
            <w:r w:rsidRPr="000E5DBF">
              <w:rPr>
                <w:color w:val="000000"/>
                <w:sz w:val="16"/>
                <w:szCs w:val="16"/>
              </w:rPr>
              <w:t>5955,27</w:t>
            </w:r>
          </w:p>
        </w:tc>
        <w:tc>
          <w:tcPr>
            <w:tcW w:w="966" w:type="dxa"/>
            <w:shd w:val="clear" w:color="auto" w:fill="auto"/>
            <w:vAlign w:val="center"/>
          </w:tcPr>
          <w:p w14:paraId="0DA26FD3" w14:textId="77777777" w:rsidR="00F22587" w:rsidRPr="000E5DBF" w:rsidRDefault="00F22587" w:rsidP="008A5C11">
            <w:pPr>
              <w:jc w:val="center"/>
              <w:rPr>
                <w:color w:val="000000"/>
                <w:sz w:val="16"/>
                <w:szCs w:val="16"/>
              </w:rPr>
            </w:pPr>
            <w:r w:rsidRPr="000E5DBF">
              <w:rPr>
                <w:color w:val="000000"/>
                <w:sz w:val="16"/>
                <w:szCs w:val="16"/>
              </w:rPr>
              <w:t>5955,27</w:t>
            </w:r>
          </w:p>
        </w:tc>
        <w:tc>
          <w:tcPr>
            <w:tcW w:w="866" w:type="dxa"/>
            <w:shd w:val="clear" w:color="auto" w:fill="auto"/>
            <w:vAlign w:val="center"/>
          </w:tcPr>
          <w:p w14:paraId="2BA8ADD2" w14:textId="77777777" w:rsidR="00F22587" w:rsidRPr="000E5DBF" w:rsidRDefault="00F22587" w:rsidP="008A5C11">
            <w:pPr>
              <w:jc w:val="center"/>
              <w:rPr>
                <w:color w:val="000000"/>
                <w:sz w:val="16"/>
                <w:szCs w:val="16"/>
              </w:rPr>
            </w:pPr>
            <w:r w:rsidRPr="000E5DBF">
              <w:rPr>
                <w:color w:val="000000"/>
                <w:sz w:val="16"/>
                <w:szCs w:val="16"/>
              </w:rPr>
              <w:t>0,00</w:t>
            </w:r>
          </w:p>
        </w:tc>
        <w:tc>
          <w:tcPr>
            <w:tcW w:w="866" w:type="dxa"/>
            <w:shd w:val="clear" w:color="auto" w:fill="auto"/>
            <w:vAlign w:val="center"/>
          </w:tcPr>
          <w:p w14:paraId="012125AA" w14:textId="77777777" w:rsidR="00F22587" w:rsidRPr="000E5DBF" w:rsidRDefault="00F22587" w:rsidP="008A5C11">
            <w:pPr>
              <w:jc w:val="center"/>
              <w:rPr>
                <w:color w:val="000000"/>
                <w:sz w:val="16"/>
                <w:szCs w:val="16"/>
              </w:rPr>
            </w:pPr>
            <w:r w:rsidRPr="000E5DBF">
              <w:rPr>
                <w:color w:val="000000"/>
                <w:sz w:val="16"/>
                <w:szCs w:val="16"/>
              </w:rPr>
              <w:t>2304,49</w:t>
            </w:r>
          </w:p>
        </w:tc>
        <w:tc>
          <w:tcPr>
            <w:tcW w:w="866" w:type="dxa"/>
            <w:shd w:val="clear" w:color="auto" w:fill="auto"/>
            <w:vAlign w:val="center"/>
          </w:tcPr>
          <w:p w14:paraId="6FAE8C19" w14:textId="77777777" w:rsidR="00F22587" w:rsidRPr="000E5DBF" w:rsidRDefault="00F22587" w:rsidP="008A5C11">
            <w:pPr>
              <w:jc w:val="center"/>
              <w:rPr>
                <w:color w:val="000000"/>
                <w:sz w:val="16"/>
                <w:szCs w:val="16"/>
              </w:rPr>
            </w:pPr>
            <w:r w:rsidRPr="000E5DBF">
              <w:rPr>
                <w:color w:val="000000"/>
                <w:sz w:val="16"/>
                <w:szCs w:val="16"/>
              </w:rPr>
              <w:t>2250,90</w:t>
            </w:r>
          </w:p>
        </w:tc>
        <w:tc>
          <w:tcPr>
            <w:tcW w:w="728" w:type="dxa"/>
            <w:shd w:val="clear" w:color="auto" w:fill="auto"/>
            <w:vAlign w:val="center"/>
          </w:tcPr>
          <w:p w14:paraId="164194C5" w14:textId="77777777" w:rsidR="00F22587" w:rsidRPr="000E5DBF" w:rsidRDefault="00F22587" w:rsidP="008A5C11">
            <w:pPr>
              <w:jc w:val="center"/>
              <w:rPr>
                <w:color w:val="000000"/>
                <w:sz w:val="16"/>
                <w:szCs w:val="16"/>
              </w:rPr>
            </w:pPr>
            <w:r w:rsidRPr="000E5DBF">
              <w:rPr>
                <w:color w:val="000000"/>
                <w:sz w:val="16"/>
                <w:szCs w:val="16"/>
              </w:rPr>
              <w:t>1399,88</w:t>
            </w:r>
          </w:p>
        </w:tc>
        <w:tc>
          <w:tcPr>
            <w:tcW w:w="709" w:type="dxa"/>
            <w:shd w:val="clear" w:color="auto" w:fill="auto"/>
            <w:vAlign w:val="center"/>
          </w:tcPr>
          <w:p w14:paraId="6CF507FB" w14:textId="77777777" w:rsidR="00F22587" w:rsidRPr="000E5DBF" w:rsidRDefault="00F22587" w:rsidP="008A5C11">
            <w:pPr>
              <w:jc w:val="center"/>
              <w:rPr>
                <w:color w:val="000000"/>
                <w:sz w:val="16"/>
                <w:szCs w:val="16"/>
              </w:rPr>
            </w:pPr>
            <w:r w:rsidRPr="000E5DBF">
              <w:rPr>
                <w:color w:val="000000"/>
                <w:sz w:val="16"/>
                <w:szCs w:val="16"/>
              </w:rPr>
              <w:t>0,00</w:t>
            </w:r>
          </w:p>
        </w:tc>
        <w:tc>
          <w:tcPr>
            <w:tcW w:w="709" w:type="dxa"/>
            <w:shd w:val="clear" w:color="auto" w:fill="auto"/>
            <w:vAlign w:val="center"/>
          </w:tcPr>
          <w:p w14:paraId="0F400DCA" w14:textId="77777777" w:rsidR="00F22587" w:rsidRPr="000E5DBF" w:rsidRDefault="00F22587" w:rsidP="008A5C11">
            <w:pPr>
              <w:jc w:val="center"/>
              <w:rPr>
                <w:color w:val="000000"/>
                <w:sz w:val="16"/>
                <w:szCs w:val="16"/>
              </w:rPr>
            </w:pPr>
            <w:r w:rsidRPr="000E5DBF">
              <w:rPr>
                <w:color w:val="000000"/>
                <w:sz w:val="16"/>
                <w:szCs w:val="16"/>
              </w:rPr>
              <w:t>0,00</w:t>
            </w:r>
          </w:p>
        </w:tc>
        <w:tc>
          <w:tcPr>
            <w:tcW w:w="709" w:type="dxa"/>
            <w:shd w:val="clear" w:color="auto" w:fill="auto"/>
            <w:vAlign w:val="center"/>
          </w:tcPr>
          <w:p w14:paraId="275DBD8D" w14:textId="77777777" w:rsidR="00F22587" w:rsidRPr="000E5DBF" w:rsidRDefault="00F22587" w:rsidP="008A5C11">
            <w:pPr>
              <w:jc w:val="center"/>
              <w:rPr>
                <w:color w:val="000000"/>
                <w:sz w:val="16"/>
                <w:szCs w:val="16"/>
              </w:rPr>
            </w:pPr>
            <w:r w:rsidRPr="000E5DBF">
              <w:rPr>
                <w:color w:val="000000"/>
                <w:sz w:val="16"/>
                <w:szCs w:val="16"/>
              </w:rPr>
              <w:t>0,00</w:t>
            </w:r>
          </w:p>
        </w:tc>
        <w:tc>
          <w:tcPr>
            <w:tcW w:w="708" w:type="dxa"/>
            <w:shd w:val="clear" w:color="auto" w:fill="auto"/>
            <w:vAlign w:val="center"/>
          </w:tcPr>
          <w:p w14:paraId="523D826B" w14:textId="77777777" w:rsidR="00F22587" w:rsidRPr="000E5DBF" w:rsidRDefault="00F22587" w:rsidP="008A5C11">
            <w:pPr>
              <w:jc w:val="center"/>
              <w:rPr>
                <w:color w:val="000000"/>
                <w:sz w:val="16"/>
                <w:szCs w:val="16"/>
              </w:rPr>
            </w:pPr>
            <w:r w:rsidRPr="000E5DBF">
              <w:rPr>
                <w:color w:val="000000"/>
                <w:sz w:val="16"/>
                <w:szCs w:val="16"/>
              </w:rPr>
              <w:t>0,00</w:t>
            </w:r>
          </w:p>
        </w:tc>
        <w:tc>
          <w:tcPr>
            <w:tcW w:w="616" w:type="dxa"/>
            <w:shd w:val="clear" w:color="auto" w:fill="auto"/>
            <w:vAlign w:val="center"/>
          </w:tcPr>
          <w:p w14:paraId="1CC1258E" w14:textId="77777777" w:rsidR="00F22587" w:rsidRPr="000E5DBF" w:rsidRDefault="00F22587" w:rsidP="008A5C11">
            <w:pPr>
              <w:jc w:val="center"/>
              <w:rPr>
                <w:color w:val="000000"/>
                <w:sz w:val="16"/>
                <w:szCs w:val="16"/>
              </w:rPr>
            </w:pPr>
            <w:r w:rsidRPr="000E5DBF">
              <w:rPr>
                <w:color w:val="000000"/>
                <w:sz w:val="16"/>
                <w:szCs w:val="16"/>
              </w:rPr>
              <w:t>0,00</w:t>
            </w:r>
          </w:p>
        </w:tc>
        <w:tc>
          <w:tcPr>
            <w:tcW w:w="616" w:type="dxa"/>
            <w:shd w:val="clear" w:color="auto" w:fill="auto"/>
            <w:vAlign w:val="center"/>
          </w:tcPr>
          <w:p w14:paraId="38CA7488" w14:textId="77777777" w:rsidR="00F22587" w:rsidRPr="000E5DBF" w:rsidRDefault="00F22587" w:rsidP="008A5C11">
            <w:pPr>
              <w:jc w:val="center"/>
              <w:rPr>
                <w:color w:val="000000"/>
                <w:sz w:val="16"/>
                <w:szCs w:val="16"/>
              </w:rPr>
            </w:pPr>
            <w:r w:rsidRPr="000E5DBF">
              <w:rPr>
                <w:color w:val="000000"/>
                <w:sz w:val="16"/>
                <w:szCs w:val="16"/>
              </w:rPr>
              <w:t>0,00</w:t>
            </w:r>
          </w:p>
        </w:tc>
        <w:tc>
          <w:tcPr>
            <w:tcW w:w="616" w:type="dxa"/>
            <w:shd w:val="clear" w:color="auto" w:fill="auto"/>
            <w:vAlign w:val="center"/>
          </w:tcPr>
          <w:p w14:paraId="49E544DF" w14:textId="77777777" w:rsidR="00F22587" w:rsidRPr="000E5DBF" w:rsidRDefault="00F22587" w:rsidP="008A5C11">
            <w:pPr>
              <w:jc w:val="center"/>
              <w:rPr>
                <w:color w:val="000000"/>
                <w:sz w:val="16"/>
                <w:szCs w:val="16"/>
              </w:rPr>
            </w:pPr>
            <w:r w:rsidRPr="000E5DBF">
              <w:rPr>
                <w:color w:val="000000"/>
                <w:sz w:val="16"/>
                <w:szCs w:val="16"/>
              </w:rPr>
              <w:t>0,00</w:t>
            </w:r>
          </w:p>
        </w:tc>
        <w:tc>
          <w:tcPr>
            <w:tcW w:w="846" w:type="dxa"/>
            <w:shd w:val="clear" w:color="auto" w:fill="auto"/>
            <w:vAlign w:val="center"/>
          </w:tcPr>
          <w:p w14:paraId="7B8FF314" w14:textId="77777777" w:rsidR="00F22587" w:rsidRPr="000E5DBF" w:rsidRDefault="00F22587" w:rsidP="008A5C11">
            <w:pPr>
              <w:jc w:val="center"/>
              <w:rPr>
                <w:color w:val="000000"/>
                <w:sz w:val="16"/>
                <w:szCs w:val="16"/>
              </w:rPr>
            </w:pPr>
            <w:r w:rsidRPr="000E5DBF">
              <w:rPr>
                <w:color w:val="000000"/>
                <w:sz w:val="16"/>
                <w:szCs w:val="16"/>
              </w:rPr>
              <w:t>0,00</w:t>
            </w:r>
          </w:p>
        </w:tc>
      </w:tr>
      <w:tr w:rsidR="00F22587" w:rsidRPr="000E5DBF" w14:paraId="5BB867F8" w14:textId="77777777" w:rsidTr="008A5C11">
        <w:trPr>
          <w:trHeight w:val="510"/>
          <w:jc w:val="center"/>
        </w:trPr>
        <w:tc>
          <w:tcPr>
            <w:tcW w:w="516" w:type="dxa"/>
            <w:shd w:val="clear" w:color="auto" w:fill="auto"/>
            <w:vAlign w:val="center"/>
            <w:hideMark/>
          </w:tcPr>
          <w:p w14:paraId="66100888" w14:textId="77777777" w:rsidR="00F22587" w:rsidRPr="000E5DBF" w:rsidRDefault="00F22587" w:rsidP="008A5C11">
            <w:pPr>
              <w:jc w:val="center"/>
              <w:rPr>
                <w:sz w:val="16"/>
                <w:szCs w:val="16"/>
              </w:rPr>
            </w:pPr>
            <w:r w:rsidRPr="000E5DBF">
              <w:rPr>
                <w:sz w:val="16"/>
                <w:szCs w:val="16"/>
              </w:rPr>
              <w:t>1.3.</w:t>
            </w:r>
          </w:p>
        </w:tc>
        <w:tc>
          <w:tcPr>
            <w:tcW w:w="3373" w:type="dxa"/>
            <w:shd w:val="clear" w:color="auto" w:fill="auto"/>
            <w:vAlign w:val="center"/>
            <w:hideMark/>
          </w:tcPr>
          <w:p w14:paraId="1024281E" w14:textId="77777777" w:rsidR="00F22587" w:rsidRPr="000E5DBF" w:rsidRDefault="00F22587" w:rsidP="008A5C11">
            <w:pPr>
              <w:rPr>
                <w:sz w:val="16"/>
                <w:szCs w:val="16"/>
              </w:rPr>
            </w:pPr>
            <w:r w:rsidRPr="000E5DBF">
              <w:rPr>
                <w:sz w:val="16"/>
                <w:szCs w:val="16"/>
              </w:rPr>
              <w:t>средства полученные за счет платы за подключение</w:t>
            </w:r>
          </w:p>
        </w:tc>
        <w:tc>
          <w:tcPr>
            <w:tcW w:w="1439" w:type="dxa"/>
            <w:shd w:val="clear" w:color="auto" w:fill="auto"/>
            <w:vAlign w:val="center"/>
          </w:tcPr>
          <w:p w14:paraId="5623D127" w14:textId="77777777" w:rsidR="00F22587" w:rsidRPr="000E5DBF" w:rsidRDefault="00F22587" w:rsidP="008A5C11">
            <w:pPr>
              <w:jc w:val="center"/>
              <w:rPr>
                <w:color w:val="000000"/>
                <w:sz w:val="16"/>
                <w:szCs w:val="16"/>
              </w:rPr>
            </w:pPr>
            <w:r w:rsidRPr="000E5DBF">
              <w:rPr>
                <w:color w:val="000000"/>
                <w:sz w:val="16"/>
                <w:szCs w:val="16"/>
              </w:rPr>
              <w:t>0,00</w:t>
            </w:r>
          </w:p>
        </w:tc>
        <w:tc>
          <w:tcPr>
            <w:tcW w:w="966" w:type="dxa"/>
            <w:shd w:val="clear" w:color="auto" w:fill="auto"/>
            <w:vAlign w:val="center"/>
          </w:tcPr>
          <w:p w14:paraId="371B9F3C" w14:textId="77777777" w:rsidR="00F22587" w:rsidRPr="000E5DBF" w:rsidRDefault="00F22587" w:rsidP="008A5C11">
            <w:pPr>
              <w:jc w:val="center"/>
              <w:rPr>
                <w:color w:val="000000"/>
                <w:sz w:val="16"/>
                <w:szCs w:val="16"/>
              </w:rPr>
            </w:pPr>
            <w:r w:rsidRPr="000E5DBF">
              <w:rPr>
                <w:color w:val="000000"/>
                <w:sz w:val="16"/>
                <w:szCs w:val="16"/>
              </w:rPr>
              <w:t>0,00</w:t>
            </w:r>
          </w:p>
        </w:tc>
        <w:tc>
          <w:tcPr>
            <w:tcW w:w="866" w:type="dxa"/>
            <w:shd w:val="clear" w:color="auto" w:fill="auto"/>
            <w:vAlign w:val="center"/>
          </w:tcPr>
          <w:p w14:paraId="39B88103" w14:textId="77777777" w:rsidR="00F22587" w:rsidRPr="000E5DBF" w:rsidRDefault="00F22587" w:rsidP="008A5C11">
            <w:pPr>
              <w:jc w:val="center"/>
              <w:rPr>
                <w:color w:val="000000"/>
                <w:sz w:val="16"/>
                <w:szCs w:val="16"/>
              </w:rPr>
            </w:pPr>
            <w:r w:rsidRPr="000E5DBF">
              <w:rPr>
                <w:color w:val="000000"/>
                <w:sz w:val="16"/>
                <w:szCs w:val="16"/>
              </w:rPr>
              <w:t>0,00</w:t>
            </w:r>
          </w:p>
        </w:tc>
        <w:tc>
          <w:tcPr>
            <w:tcW w:w="866" w:type="dxa"/>
            <w:shd w:val="clear" w:color="auto" w:fill="auto"/>
            <w:vAlign w:val="center"/>
          </w:tcPr>
          <w:p w14:paraId="763A1D1D" w14:textId="77777777" w:rsidR="00F22587" w:rsidRPr="000E5DBF" w:rsidRDefault="00F22587" w:rsidP="008A5C11">
            <w:pPr>
              <w:jc w:val="center"/>
              <w:rPr>
                <w:color w:val="000000"/>
                <w:sz w:val="16"/>
                <w:szCs w:val="16"/>
              </w:rPr>
            </w:pPr>
            <w:r w:rsidRPr="000E5DBF">
              <w:rPr>
                <w:color w:val="000000"/>
                <w:sz w:val="16"/>
                <w:szCs w:val="16"/>
              </w:rPr>
              <w:t>0,00</w:t>
            </w:r>
          </w:p>
        </w:tc>
        <w:tc>
          <w:tcPr>
            <w:tcW w:w="866" w:type="dxa"/>
            <w:shd w:val="clear" w:color="auto" w:fill="auto"/>
            <w:vAlign w:val="center"/>
          </w:tcPr>
          <w:p w14:paraId="2E7BD740" w14:textId="77777777" w:rsidR="00F22587" w:rsidRPr="000E5DBF" w:rsidRDefault="00F22587" w:rsidP="008A5C11">
            <w:pPr>
              <w:jc w:val="center"/>
              <w:rPr>
                <w:color w:val="000000"/>
                <w:sz w:val="16"/>
                <w:szCs w:val="16"/>
              </w:rPr>
            </w:pPr>
            <w:r w:rsidRPr="000E5DBF">
              <w:rPr>
                <w:color w:val="000000"/>
                <w:sz w:val="16"/>
                <w:szCs w:val="16"/>
              </w:rPr>
              <w:t>0,00</w:t>
            </w:r>
          </w:p>
        </w:tc>
        <w:tc>
          <w:tcPr>
            <w:tcW w:w="728" w:type="dxa"/>
            <w:shd w:val="clear" w:color="auto" w:fill="auto"/>
            <w:vAlign w:val="center"/>
          </w:tcPr>
          <w:p w14:paraId="5FFD7383" w14:textId="77777777" w:rsidR="00F22587" w:rsidRPr="000E5DBF" w:rsidRDefault="00F22587" w:rsidP="008A5C11">
            <w:pPr>
              <w:jc w:val="center"/>
              <w:rPr>
                <w:color w:val="000000"/>
                <w:sz w:val="16"/>
                <w:szCs w:val="16"/>
              </w:rPr>
            </w:pPr>
            <w:r w:rsidRPr="000E5DBF">
              <w:rPr>
                <w:color w:val="000000"/>
                <w:sz w:val="16"/>
                <w:szCs w:val="16"/>
              </w:rPr>
              <w:t>0,00</w:t>
            </w:r>
          </w:p>
        </w:tc>
        <w:tc>
          <w:tcPr>
            <w:tcW w:w="709" w:type="dxa"/>
            <w:shd w:val="clear" w:color="auto" w:fill="auto"/>
            <w:vAlign w:val="center"/>
          </w:tcPr>
          <w:p w14:paraId="19454A73" w14:textId="77777777" w:rsidR="00F22587" w:rsidRPr="000E5DBF" w:rsidRDefault="00F22587" w:rsidP="008A5C11">
            <w:pPr>
              <w:jc w:val="center"/>
              <w:rPr>
                <w:color w:val="000000"/>
                <w:sz w:val="16"/>
                <w:szCs w:val="16"/>
              </w:rPr>
            </w:pPr>
            <w:r w:rsidRPr="000E5DBF">
              <w:rPr>
                <w:color w:val="000000"/>
                <w:sz w:val="16"/>
                <w:szCs w:val="16"/>
              </w:rPr>
              <w:t>0,00</w:t>
            </w:r>
          </w:p>
        </w:tc>
        <w:tc>
          <w:tcPr>
            <w:tcW w:w="709" w:type="dxa"/>
            <w:shd w:val="clear" w:color="auto" w:fill="auto"/>
            <w:vAlign w:val="center"/>
          </w:tcPr>
          <w:p w14:paraId="1245D9CC" w14:textId="77777777" w:rsidR="00F22587" w:rsidRPr="000E5DBF" w:rsidRDefault="00F22587" w:rsidP="008A5C11">
            <w:pPr>
              <w:jc w:val="center"/>
              <w:rPr>
                <w:color w:val="000000"/>
                <w:sz w:val="16"/>
                <w:szCs w:val="16"/>
              </w:rPr>
            </w:pPr>
            <w:r w:rsidRPr="000E5DBF">
              <w:rPr>
                <w:color w:val="000000"/>
                <w:sz w:val="16"/>
                <w:szCs w:val="16"/>
              </w:rPr>
              <w:t>0,00</w:t>
            </w:r>
          </w:p>
        </w:tc>
        <w:tc>
          <w:tcPr>
            <w:tcW w:w="709" w:type="dxa"/>
            <w:shd w:val="clear" w:color="auto" w:fill="auto"/>
            <w:vAlign w:val="center"/>
          </w:tcPr>
          <w:p w14:paraId="1CC12D8B" w14:textId="77777777" w:rsidR="00F22587" w:rsidRPr="000E5DBF" w:rsidRDefault="00F22587" w:rsidP="008A5C11">
            <w:pPr>
              <w:jc w:val="center"/>
              <w:rPr>
                <w:color w:val="000000"/>
                <w:sz w:val="16"/>
                <w:szCs w:val="16"/>
              </w:rPr>
            </w:pPr>
            <w:r w:rsidRPr="000E5DBF">
              <w:rPr>
                <w:color w:val="000000"/>
                <w:sz w:val="16"/>
                <w:szCs w:val="16"/>
              </w:rPr>
              <w:t>0,00</w:t>
            </w:r>
          </w:p>
        </w:tc>
        <w:tc>
          <w:tcPr>
            <w:tcW w:w="708" w:type="dxa"/>
            <w:shd w:val="clear" w:color="auto" w:fill="auto"/>
            <w:vAlign w:val="center"/>
          </w:tcPr>
          <w:p w14:paraId="39FCFD72" w14:textId="77777777" w:rsidR="00F22587" w:rsidRPr="000E5DBF" w:rsidRDefault="00F22587" w:rsidP="008A5C11">
            <w:pPr>
              <w:jc w:val="center"/>
              <w:rPr>
                <w:color w:val="000000"/>
                <w:sz w:val="16"/>
                <w:szCs w:val="16"/>
              </w:rPr>
            </w:pPr>
            <w:r w:rsidRPr="000E5DBF">
              <w:rPr>
                <w:color w:val="000000"/>
                <w:sz w:val="16"/>
                <w:szCs w:val="16"/>
              </w:rPr>
              <w:t>0,00</w:t>
            </w:r>
          </w:p>
        </w:tc>
        <w:tc>
          <w:tcPr>
            <w:tcW w:w="616" w:type="dxa"/>
            <w:shd w:val="clear" w:color="auto" w:fill="auto"/>
            <w:vAlign w:val="center"/>
          </w:tcPr>
          <w:p w14:paraId="3993D0FC" w14:textId="77777777" w:rsidR="00F22587" w:rsidRPr="000E5DBF" w:rsidRDefault="00F22587" w:rsidP="008A5C11">
            <w:pPr>
              <w:jc w:val="center"/>
              <w:rPr>
                <w:color w:val="000000"/>
                <w:sz w:val="16"/>
                <w:szCs w:val="16"/>
              </w:rPr>
            </w:pPr>
            <w:r w:rsidRPr="000E5DBF">
              <w:rPr>
                <w:color w:val="000000"/>
                <w:sz w:val="16"/>
                <w:szCs w:val="16"/>
              </w:rPr>
              <w:t>0,00</w:t>
            </w:r>
          </w:p>
        </w:tc>
        <w:tc>
          <w:tcPr>
            <w:tcW w:w="616" w:type="dxa"/>
            <w:shd w:val="clear" w:color="auto" w:fill="auto"/>
            <w:vAlign w:val="center"/>
          </w:tcPr>
          <w:p w14:paraId="76C533D4" w14:textId="77777777" w:rsidR="00F22587" w:rsidRPr="000E5DBF" w:rsidRDefault="00F22587" w:rsidP="008A5C11">
            <w:pPr>
              <w:jc w:val="center"/>
              <w:rPr>
                <w:color w:val="000000"/>
                <w:sz w:val="16"/>
                <w:szCs w:val="16"/>
              </w:rPr>
            </w:pPr>
            <w:r w:rsidRPr="000E5DBF">
              <w:rPr>
                <w:color w:val="000000"/>
                <w:sz w:val="16"/>
                <w:szCs w:val="16"/>
              </w:rPr>
              <w:t>0,00</w:t>
            </w:r>
          </w:p>
        </w:tc>
        <w:tc>
          <w:tcPr>
            <w:tcW w:w="616" w:type="dxa"/>
            <w:shd w:val="clear" w:color="auto" w:fill="auto"/>
            <w:vAlign w:val="center"/>
          </w:tcPr>
          <w:p w14:paraId="06623585" w14:textId="77777777" w:rsidR="00F22587" w:rsidRPr="000E5DBF" w:rsidRDefault="00F22587" w:rsidP="008A5C11">
            <w:pPr>
              <w:jc w:val="center"/>
              <w:rPr>
                <w:color w:val="000000"/>
                <w:sz w:val="16"/>
                <w:szCs w:val="16"/>
              </w:rPr>
            </w:pPr>
            <w:r w:rsidRPr="000E5DBF">
              <w:rPr>
                <w:color w:val="000000"/>
                <w:sz w:val="16"/>
                <w:szCs w:val="16"/>
              </w:rPr>
              <w:t>0,00</w:t>
            </w:r>
          </w:p>
        </w:tc>
        <w:tc>
          <w:tcPr>
            <w:tcW w:w="846" w:type="dxa"/>
            <w:shd w:val="clear" w:color="auto" w:fill="auto"/>
            <w:vAlign w:val="center"/>
          </w:tcPr>
          <w:p w14:paraId="00ABD935" w14:textId="77777777" w:rsidR="00F22587" w:rsidRPr="000E5DBF" w:rsidRDefault="00F22587" w:rsidP="008A5C11">
            <w:pPr>
              <w:jc w:val="center"/>
              <w:rPr>
                <w:color w:val="000000"/>
                <w:sz w:val="16"/>
                <w:szCs w:val="16"/>
              </w:rPr>
            </w:pPr>
            <w:r w:rsidRPr="000E5DBF">
              <w:rPr>
                <w:color w:val="000000"/>
                <w:sz w:val="16"/>
                <w:szCs w:val="16"/>
              </w:rPr>
              <w:t>0,00</w:t>
            </w:r>
          </w:p>
        </w:tc>
      </w:tr>
      <w:tr w:rsidR="00F22587" w:rsidRPr="000E5DBF" w14:paraId="155B7AA2" w14:textId="77777777" w:rsidTr="008A5C11">
        <w:trPr>
          <w:trHeight w:val="510"/>
          <w:jc w:val="center"/>
        </w:trPr>
        <w:tc>
          <w:tcPr>
            <w:tcW w:w="516" w:type="dxa"/>
            <w:shd w:val="clear" w:color="auto" w:fill="auto"/>
            <w:vAlign w:val="center"/>
            <w:hideMark/>
          </w:tcPr>
          <w:p w14:paraId="4C798B42" w14:textId="77777777" w:rsidR="00F22587" w:rsidRPr="000E5DBF" w:rsidRDefault="00F22587" w:rsidP="008A5C11">
            <w:pPr>
              <w:jc w:val="center"/>
              <w:rPr>
                <w:sz w:val="16"/>
                <w:szCs w:val="16"/>
              </w:rPr>
            </w:pPr>
            <w:r w:rsidRPr="000E5DBF">
              <w:rPr>
                <w:sz w:val="16"/>
                <w:szCs w:val="16"/>
              </w:rPr>
              <w:t>1.4.</w:t>
            </w:r>
          </w:p>
        </w:tc>
        <w:tc>
          <w:tcPr>
            <w:tcW w:w="3373" w:type="dxa"/>
            <w:shd w:val="clear" w:color="auto" w:fill="auto"/>
            <w:vAlign w:val="center"/>
            <w:hideMark/>
          </w:tcPr>
          <w:p w14:paraId="6DE03313" w14:textId="77777777" w:rsidR="00F22587" w:rsidRPr="000E5DBF" w:rsidRDefault="00F22587" w:rsidP="008A5C11">
            <w:pPr>
              <w:rPr>
                <w:sz w:val="16"/>
                <w:szCs w:val="16"/>
              </w:rPr>
            </w:pPr>
            <w:r w:rsidRPr="000E5DBF">
              <w:rPr>
                <w:sz w:val="16"/>
                <w:szCs w:val="16"/>
              </w:rPr>
              <w:t>прочие собственные средства, в т.ч. средства от эмиссии ценных бумаг</w:t>
            </w:r>
          </w:p>
        </w:tc>
        <w:tc>
          <w:tcPr>
            <w:tcW w:w="1439" w:type="dxa"/>
            <w:shd w:val="clear" w:color="auto" w:fill="auto"/>
            <w:vAlign w:val="center"/>
          </w:tcPr>
          <w:p w14:paraId="4D144069" w14:textId="77777777" w:rsidR="00F22587" w:rsidRPr="000E5DBF" w:rsidRDefault="00F22587" w:rsidP="008A5C11">
            <w:pPr>
              <w:jc w:val="center"/>
              <w:rPr>
                <w:color w:val="000000"/>
                <w:sz w:val="16"/>
                <w:szCs w:val="16"/>
              </w:rPr>
            </w:pPr>
            <w:r w:rsidRPr="000E5DBF">
              <w:rPr>
                <w:color w:val="000000"/>
                <w:sz w:val="16"/>
                <w:szCs w:val="16"/>
              </w:rPr>
              <w:t>2450,58</w:t>
            </w:r>
          </w:p>
        </w:tc>
        <w:tc>
          <w:tcPr>
            <w:tcW w:w="966" w:type="dxa"/>
            <w:shd w:val="clear" w:color="auto" w:fill="auto"/>
            <w:vAlign w:val="center"/>
          </w:tcPr>
          <w:p w14:paraId="1CF7D430" w14:textId="77777777" w:rsidR="00F22587" w:rsidRPr="000E5DBF" w:rsidRDefault="00F22587" w:rsidP="008A5C11">
            <w:pPr>
              <w:jc w:val="center"/>
              <w:rPr>
                <w:color w:val="000000"/>
                <w:sz w:val="16"/>
                <w:szCs w:val="16"/>
              </w:rPr>
            </w:pPr>
            <w:r w:rsidRPr="000E5DBF">
              <w:rPr>
                <w:color w:val="000000"/>
                <w:sz w:val="16"/>
                <w:szCs w:val="16"/>
              </w:rPr>
              <w:t>2450,58</w:t>
            </w:r>
          </w:p>
        </w:tc>
        <w:tc>
          <w:tcPr>
            <w:tcW w:w="866" w:type="dxa"/>
            <w:shd w:val="clear" w:color="auto" w:fill="auto"/>
            <w:vAlign w:val="center"/>
          </w:tcPr>
          <w:p w14:paraId="6A93F952" w14:textId="77777777" w:rsidR="00F22587" w:rsidRPr="000E5DBF" w:rsidRDefault="00F22587" w:rsidP="008A5C11">
            <w:pPr>
              <w:jc w:val="center"/>
              <w:rPr>
                <w:color w:val="000000"/>
                <w:sz w:val="16"/>
                <w:szCs w:val="16"/>
              </w:rPr>
            </w:pPr>
            <w:r w:rsidRPr="000E5DBF">
              <w:rPr>
                <w:color w:val="000000"/>
                <w:sz w:val="16"/>
                <w:szCs w:val="16"/>
              </w:rPr>
              <w:t>2450,58</w:t>
            </w:r>
          </w:p>
        </w:tc>
        <w:tc>
          <w:tcPr>
            <w:tcW w:w="866" w:type="dxa"/>
            <w:shd w:val="clear" w:color="auto" w:fill="auto"/>
            <w:vAlign w:val="center"/>
          </w:tcPr>
          <w:p w14:paraId="49D0AE5B" w14:textId="77777777" w:rsidR="00F22587" w:rsidRPr="000E5DBF" w:rsidRDefault="00F22587" w:rsidP="008A5C11">
            <w:pPr>
              <w:jc w:val="center"/>
              <w:rPr>
                <w:color w:val="000000"/>
                <w:sz w:val="16"/>
                <w:szCs w:val="16"/>
              </w:rPr>
            </w:pPr>
            <w:r w:rsidRPr="000E5DBF">
              <w:rPr>
                <w:color w:val="000000"/>
                <w:sz w:val="16"/>
                <w:szCs w:val="16"/>
              </w:rPr>
              <w:t>0,00</w:t>
            </w:r>
          </w:p>
        </w:tc>
        <w:tc>
          <w:tcPr>
            <w:tcW w:w="866" w:type="dxa"/>
            <w:shd w:val="clear" w:color="auto" w:fill="auto"/>
            <w:vAlign w:val="center"/>
          </w:tcPr>
          <w:p w14:paraId="65BDC4A7" w14:textId="77777777" w:rsidR="00F22587" w:rsidRPr="000E5DBF" w:rsidRDefault="00F22587" w:rsidP="008A5C11">
            <w:pPr>
              <w:jc w:val="center"/>
              <w:rPr>
                <w:color w:val="000000"/>
                <w:sz w:val="16"/>
                <w:szCs w:val="16"/>
              </w:rPr>
            </w:pPr>
            <w:r w:rsidRPr="000E5DBF">
              <w:rPr>
                <w:color w:val="000000"/>
                <w:sz w:val="16"/>
                <w:szCs w:val="16"/>
              </w:rPr>
              <w:t>0,00</w:t>
            </w:r>
          </w:p>
        </w:tc>
        <w:tc>
          <w:tcPr>
            <w:tcW w:w="728" w:type="dxa"/>
            <w:shd w:val="clear" w:color="auto" w:fill="auto"/>
            <w:vAlign w:val="center"/>
          </w:tcPr>
          <w:p w14:paraId="3C2E3494" w14:textId="77777777" w:rsidR="00F22587" w:rsidRPr="000E5DBF" w:rsidRDefault="00F22587" w:rsidP="008A5C11">
            <w:pPr>
              <w:jc w:val="center"/>
              <w:rPr>
                <w:color w:val="000000"/>
                <w:sz w:val="16"/>
                <w:szCs w:val="16"/>
              </w:rPr>
            </w:pPr>
            <w:r w:rsidRPr="000E5DBF">
              <w:rPr>
                <w:color w:val="000000"/>
                <w:sz w:val="16"/>
                <w:szCs w:val="16"/>
              </w:rPr>
              <w:t>0,00</w:t>
            </w:r>
          </w:p>
        </w:tc>
        <w:tc>
          <w:tcPr>
            <w:tcW w:w="709" w:type="dxa"/>
            <w:shd w:val="clear" w:color="auto" w:fill="auto"/>
            <w:vAlign w:val="center"/>
          </w:tcPr>
          <w:p w14:paraId="53A3D98C" w14:textId="77777777" w:rsidR="00F22587" w:rsidRPr="000E5DBF" w:rsidRDefault="00F22587" w:rsidP="008A5C11">
            <w:pPr>
              <w:jc w:val="center"/>
              <w:rPr>
                <w:color w:val="000000"/>
                <w:sz w:val="16"/>
                <w:szCs w:val="16"/>
              </w:rPr>
            </w:pPr>
            <w:r w:rsidRPr="000E5DBF">
              <w:rPr>
                <w:color w:val="000000"/>
                <w:sz w:val="16"/>
                <w:szCs w:val="16"/>
              </w:rPr>
              <w:t>0,00</w:t>
            </w:r>
          </w:p>
        </w:tc>
        <w:tc>
          <w:tcPr>
            <w:tcW w:w="709" w:type="dxa"/>
            <w:shd w:val="clear" w:color="auto" w:fill="auto"/>
            <w:vAlign w:val="center"/>
          </w:tcPr>
          <w:p w14:paraId="4FDDAA26" w14:textId="77777777" w:rsidR="00F22587" w:rsidRPr="000E5DBF" w:rsidRDefault="00F22587" w:rsidP="008A5C11">
            <w:pPr>
              <w:jc w:val="center"/>
              <w:rPr>
                <w:color w:val="000000"/>
                <w:sz w:val="16"/>
                <w:szCs w:val="16"/>
              </w:rPr>
            </w:pPr>
            <w:r w:rsidRPr="000E5DBF">
              <w:rPr>
                <w:color w:val="000000"/>
                <w:sz w:val="16"/>
                <w:szCs w:val="16"/>
              </w:rPr>
              <w:t>0,00</w:t>
            </w:r>
          </w:p>
        </w:tc>
        <w:tc>
          <w:tcPr>
            <w:tcW w:w="709" w:type="dxa"/>
            <w:shd w:val="clear" w:color="auto" w:fill="auto"/>
            <w:vAlign w:val="center"/>
          </w:tcPr>
          <w:p w14:paraId="05D548ED" w14:textId="77777777" w:rsidR="00F22587" w:rsidRPr="000E5DBF" w:rsidRDefault="00F22587" w:rsidP="008A5C11">
            <w:pPr>
              <w:jc w:val="center"/>
              <w:rPr>
                <w:color w:val="000000"/>
                <w:sz w:val="16"/>
                <w:szCs w:val="16"/>
              </w:rPr>
            </w:pPr>
            <w:r w:rsidRPr="000E5DBF">
              <w:rPr>
                <w:color w:val="000000"/>
                <w:sz w:val="16"/>
                <w:szCs w:val="16"/>
              </w:rPr>
              <w:t>0,00</w:t>
            </w:r>
          </w:p>
        </w:tc>
        <w:tc>
          <w:tcPr>
            <w:tcW w:w="708" w:type="dxa"/>
            <w:shd w:val="clear" w:color="auto" w:fill="auto"/>
            <w:vAlign w:val="center"/>
          </w:tcPr>
          <w:p w14:paraId="625B6CC2" w14:textId="77777777" w:rsidR="00F22587" w:rsidRPr="000E5DBF" w:rsidRDefault="00F22587" w:rsidP="008A5C11">
            <w:pPr>
              <w:jc w:val="center"/>
              <w:rPr>
                <w:color w:val="000000"/>
                <w:sz w:val="16"/>
                <w:szCs w:val="16"/>
              </w:rPr>
            </w:pPr>
            <w:r w:rsidRPr="000E5DBF">
              <w:rPr>
                <w:color w:val="000000"/>
                <w:sz w:val="16"/>
                <w:szCs w:val="16"/>
              </w:rPr>
              <w:t>0,00</w:t>
            </w:r>
          </w:p>
        </w:tc>
        <w:tc>
          <w:tcPr>
            <w:tcW w:w="616" w:type="dxa"/>
            <w:shd w:val="clear" w:color="auto" w:fill="auto"/>
            <w:vAlign w:val="center"/>
          </w:tcPr>
          <w:p w14:paraId="68684550" w14:textId="77777777" w:rsidR="00F22587" w:rsidRPr="000E5DBF" w:rsidRDefault="00F22587" w:rsidP="008A5C11">
            <w:pPr>
              <w:jc w:val="center"/>
              <w:rPr>
                <w:color w:val="000000"/>
                <w:sz w:val="16"/>
                <w:szCs w:val="16"/>
              </w:rPr>
            </w:pPr>
            <w:r w:rsidRPr="000E5DBF">
              <w:rPr>
                <w:color w:val="000000"/>
                <w:sz w:val="16"/>
                <w:szCs w:val="16"/>
              </w:rPr>
              <w:t>0,00</w:t>
            </w:r>
          </w:p>
        </w:tc>
        <w:tc>
          <w:tcPr>
            <w:tcW w:w="616" w:type="dxa"/>
            <w:shd w:val="clear" w:color="auto" w:fill="auto"/>
            <w:vAlign w:val="center"/>
          </w:tcPr>
          <w:p w14:paraId="0337EB0D" w14:textId="77777777" w:rsidR="00F22587" w:rsidRPr="000E5DBF" w:rsidRDefault="00F22587" w:rsidP="008A5C11">
            <w:pPr>
              <w:jc w:val="center"/>
              <w:rPr>
                <w:color w:val="000000"/>
                <w:sz w:val="16"/>
                <w:szCs w:val="16"/>
              </w:rPr>
            </w:pPr>
            <w:r w:rsidRPr="000E5DBF">
              <w:rPr>
                <w:color w:val="000000"/>
                <w:sz w:val="16"/>
                <w:szCs w:val="16"/>
              </w:rPr>
              <w:t>0,00</w:t>
            </w:r>
          </w:p>
        </w:tc>
        <w:tc>
          <w:tcPr>
            <w:tcW w:w="616" w:type="dxa"/>
            <w:shd w:val="clear" w:color="auto" w:fill="auto"/>
            <w:vAlign w:val="center"/>
          </w:tcPr>
          <w:p w14:paraId="13411529" w14:textId="77777777" w:rsidR="00F22587" w:rsidRPr="000E5DBF" w:rsidRDefault="00F22587" w:rsidP="008A5C11">
            <w:pPr>
              <w:jc w:val="center"/>
              <w:rPr>
                <w:color w:val="000000"/>
                <w:sz w:val="16"/>
                <w:szCs w:val="16"/>
              </w:rPr>
            </w:pPr>
            <w:r w:rsidRPr="000E5DBF">
              <w:rPr>
                <w:color w:val="000000"/>
                <w:sz w:val="16"/>
                <w:szCs w:val="16"/>
              </w:rPr>
              <w:t>0,00</w:t>
            </w:r>
          </w:p>
        </w:tc>
        <w:tc>
          <w:tcPr>
            <w:tcW w:w="846" w:type="dxa"/>
            <w:shd w:val="clear" w:color="auto" w:fill="auto"/>
            <w:vAlign w:val="center"/>
          </w:tcPr>
          <w:p w14:paraId="42D58BA8" w14:textId="77777777" w:rsidR="00F22587" w:rsidRPr="000E5DBF" w:rsidRDefault="00F22587" w:rsidP="008A5C11">
            <w:pPr>
              <w:jc w:val="center"/>
              <w:rPr>
                <w:color w:val="000000"/>
                <w:sz w:val="16"/>
                <w:szCs w:val="16"/>
              </w:rPr>
            </w:pPr>
            <w:r w:rsidRPr="000E5DBF">
              <w:rPr>
                <w:color w:val="000000"/>
                <w:sz w:val="16"/>
                <w:szCs w:val="16"/>
              </w:rPr>
              <w:t>0,00</w:t>
            </w:r>
          </w:p>
        </w:tc>
      </w:tr>
      <w:tr w:rsidR="00F22587" w:rsidRPr="000E5DBF" w14:paraId="760556FB" w14:textId="77777777" w:rsidTr="008A5C11">
        <w:trPr>
          <w:trHeight w:val="255"/>
          <w:jc w:val="center"/>
        </w:trPr>
        <w:tc>
          <w:tcPr>
            <w:tcW w:w="516" w:type="dxa"/>
            <w:shd w:val="clear" w:color="auto" w:fill="auto"/>
            <w:vAlign w:val="center"/>
            <w:hideMark/>
          </w:tcPr>
          <w:p w14:paraId="717C6114" w14:textId="77777777" w:rsidR="00F22587" w:rsidRPr="000E5DBF" w:rsidRDefault="00F22587" w:rsidP="008A5C11">
            <w:pPr>
              <w:jc w:val="center"/>
              <w:rPr>
                <w:bCs/>
                <w:sz w:val="16"/>
                <w:szCs w:val="16"/>
              </w:rPr>
            </w:pPr>
            <w:r w:rsidRPr="000E5DBF">
              <w:rPr>
                <w:bCs/>
                <w:sz w:val="16"/>
                <w:szCs w:val="16"/>
              </w:rPr>
              <w:t>2</w:t>
            </w:r>
          </w:p>
        </w:tc>
        <w:tc>
          <w:tcPr>
            <w:tcW w:w="3373" w:type="dxa"/>
            <w:shd w:val="clear" w:color="auto" w:fill="auto"/>
            <w:vAlign w:val="center"/>
            <w:hideMark/>
          </w:tcPr>
          <w:p w14:paraId="4BA5405D" w14:textId="77777777" w:rsidR="00F22587" w:rsidRPr="000E5DBF" w:rsidRDefault="00F22587" w:rsidP="008A5C11">
            <w:pPr>
              <w:rPr>
                <w:bCs/>
                <w:sz w:val="16"/>
                <w:szCs w:val="16"/>
              </w:rPr>
            </w:pPr>
            <w:r w:rsidRPr="000E5DBF">
              <w:rPr>
                <w:bCs/>
                <w:sz w:val="16"/>
                <w:szCs w:val="16"/>
              </w:rPr>
              <w:t>Привлеченные средства</w:t>
            </w:r>
          </w:p>
        </w:tc>
        <w:tc>
          <w:tcPr>
            <w:tcW w:w="1439" w:type="dxa"/>
            <w:shd w:val="clear" w:color="auto" w:fill="auto"/>
            <w:vAlign w:val="center"/>
          </w:tcPr>
          <w:p w14:paraId="1DA3129E" w14:textId="77777777" w:rsidR="00F22587" w:rsidRPr="000E5DBF" w:rsidRDefault="00F22587" w:rsidP="008A5C11">
            <w:pPr>
              <w:jc w:val="center"/>
              <w:rPr>
                <w:color w:val="000000"/>
                <w:sz w:val="16"/>
                <w:szCs w:val="16"/>
              </w:rPr>
            </w:pPr>
            <w:r w:rsidRPr="000E5DBF">
              <w:rPr>
                <w:color w:val="000000"/>
                <w:sz w:val="16"/>
                <w:szCs w:val="16"/>
              </w:rPr>
              <w:t>0,00</w:t>
            </w:r>
          </w:p>
        </w:tc>
        <w:tc>
          <w:tcPr>
            <w:tcW w:w="966" w:type="dxa"/>
            <w:shd w:val="clear" w:color="auto" w:fill="auto"/>
            <w:vAlign w:val="center"/>
          </w:tcPr>
          <w:p w14:paraId="140E0148" w14:textId="77777777" w:rsidR="00F22587" w:rsidRPr="000E5DBF" w:rsidRDefault="00F22587" w:rsidP="008A5C11">
            <w:pPr>
              <w:jc w:val="center"/>
              <w:rPr>
                <w:color w:val="000000"/>
                <w:sz w:val="16"/>
                <w:szCs w:val="16"/>
              </w:rPr>
            </w:pPr>
            <w:r w:rsidRPr="000E5DBF">
              <w:rPr>
                <w:color w:val="000000"/>
                <w:sz w:val="16"/>
                <w:szCs w:val="16"/>
              </w:rPr>
              <w:t>0,00</w:t>
            </w:r>
          </w:p>
        </w:tc>
        <w:tc>
          <w:tcPr>
            <w:tcW w:w="866" w:type="dxa"/>
            <w:shd w:val="clear" w:color="auto" w:fill="auto"/>
            <w:vAlign w:val="center"/>
          </w:tcPr>
          <w:p w14:paraId="7853DE60" w14:textId="77777777" w:rsidR="00F22587" w:rsidRPr="000E5DBF" w:rsidRDefault="00F22587" w:rsidP="008A5C11">
            <w:pPr>
              <w:jc w:val="center"/>
              <w:rPr>
                <w:color w:val="000000"/>
                <w:sz w:val="16"/>
                <w:szCs w:val="16"/>
              </w:rPr>
            </w:pPr>
            <w:r w:rsidRPr="000E5DBF">
              <w:rPr>
                <w:color w:val="000000"/>
                <w:sz w:val="16"/>
                <w:szCs w:val="16"/>
              </w:rPr>
              <w:t>0,00</w:t>
            </w:r>
          </w:p>
        </w:tc>
        <w:tc>
          <w:tcPr>
            <w:tcW w:w="866" w:type="dxa"/>
            <w:shd w:val="clear" w:color="auto" w:fill="auto"/>
            <w:vAlign w:val="center"/>
          </w:tcPr>
          <w:p w14:paraId="4487040F" w14:textId="77777777" w:rsidR="00F22587" w:rsidRPr="000E5DBF" w:rsidRDefault="00F22587" w:rsidP="008A5C11">
            <w:pPr>
              <w:jc w:val="center"/>
              <w:rPr>
                <w:color w:val="000000"/>
                <w:sz w:val="16"/>
                <w:szCs w:val="16"/>
              </w:rPr>
            </w:pPr>
            <w:r w:rsidRPr="000E5DBF">
              <w:rPr>
                <w:color w:val="000000"/>
                <w:sz w:val="16"/>
                <w:szCs w:val="16"/>
              </w:rPr>
              <w:t>0,00</w:t>
            </w:r>
          </w:p>
        </w:tc>
        <w:tc>
          <w:tcPr>
            <w:tcW w:w="866" w:type="dxa"/>
            <w:shd w:val="clear" w:color="auto" w:fill="auto"/>
            <w:vAlign w:val="center"/>
          </w:tcPr>
          <w:p w14:paraId="0AB37E9B" w14:textId="77777777" w:rsidR="00F22587" w:rsidRPr="000E5DBF" w:rsidRDefault="00F22587" w:rsidP="008A5C11">
            <w:pPr>
              <w:jc w:val="center"/>
              <w:rPr>
                <w:color w:val="000000"/>
                <w:sz w:val="16"/>
                <w:szCs w:val="16"/>
              </w:rPr>
            </w:pPr>
            <w:r w:rsidRPr="000E5DBF">
              <w:rPr>
                <w:color w:val="000000"/>
                <w:sz w:val="16"/>
                <w:szCs w:val="16"/>
              </w:rPr>
              <w:t>0,00</w:t>
            </w:r>
          </w:p>
        </w:tc>
        <w:tc>
          <w:tcPr>
            <w:tcW w:w="728" w:type="dxa"/>
            <w:shd w:val="clear" w:color="auto" w:fill="auto"/>
            <w:vAlign w:val="center"/>
          </w:tcPr>
          <w:p w14:paraId="230CBAE8" w14:textId="77777777" w:rsidR="00F22587" w:rsidRPr="000E5DBF" w:rsidRDefault="00F22587" w:rsidP="008A5C11">
            <w:pPr>
              <w:jc w:val="center"/>
              <w:rPr>
                <w:color w:val="000000"/>
                <w:sz w:val="16"/>
                <w:szCs w:val="16"/>
              </w:rPr>
            </w:pPr>
            <w:r w:rsidRPr="000E5DBF">
              <w:rPr>
                <w:color w:val="000000"/>
                <w:sz w:val="16"/>
                <w:szCs w:val="16"/>
              </w:rPr>
              <w:t>0,00</w:t>
            </w:r>
          </w:p>
        </w:tc>
        <w:tc>
          <w:tcPr>
            <w:tcW w:w="709" w:type="dxa"/>
            <w:shd w:val="clear" w:color="auto" w:fill="auto"/>
            <w:vAlign w:val="center"/>
          </w:tcPr>
          <w:p w14:paraId="3A6B0B68" w14:textId="77777777" w:rsidR="00F22587" w:rsidRPr="000E5DBF" w:rsidRDefault="00F22587" w:rsidP="008A5C11">
            <w:pPr>
              <w:jc w:val="center"/>
              <w:rPr>
                <w:color w:val="000000"/>
                <w:sz w:val="16"/>
                <w:szCs w:val="16"/>
              </w:rPr>
            </w:pPr>
            <w:r w:rsidRPr="000E5DBF">
              <w:rPr>
                <w:color w:val="000000"/>
                <w:sz w:val="16"/>
                <w:szCs w:val="16"/>
              </w:rPr>
              <w:t>0,00</w:t>
            </w:r>
          </w:p>
        </w:tc>
        <w:tc>
          <w:tcPr>
            <w:tcW w:w="709" w:type="dxa"/>
            <w:shd w:val="clear" w:color="auto" w:fill="auto"/>
            <w:vAlign w:val="center"/>
          </w:tcPr>
          <w:p w14:paraId="37A1664E" w14:textId="77777777" w:rsidR="00F22587" w:rsidRPr="000E5DBF" w:rsidRDefault="00F22587" w:rsidP="008A5C11">
            <w:pPr>
              <w:jc w:val="center"/>
              <w:rPr>
                <w:color w:val="000000"/>
                <w:sz w:val="16"/>
                <w:szCs w:val="16"/>
              </w:rPr>
            </w:pPr>
            <w:r w:rsidRPr="000E5DBF">
              <w:rPr>
                <w:color w:val="000000"/>
                <w:sz w:val="16"/>
                <w:szCs w:val="16"/>
              </w:rPr>
              <w:t>0,00</w:t>
            </w:r>
          </w:p>
        </w:tc>
        <w:tc>
          <w:tcPr>
            <w:tcW w:w="709" w:type="dxa"/>
            <w:shd w:val="clear" w:color="auto" w:fill="auto"/>
            <w:vAlign w:val="center"/>
          </w:tcPr>
          <w:p w14:paraId="45DE89CA" w14:textId="77777777" w:rsidR="00F22587" w:rsidRPr="000E5DBF" w:rsidRDefault="00F22587" w:rsidP="008A5C11">
            <w:pPr>
              <w:jc w:val="center"/>
              <w:rPr>
                <w:color w:val="000000"/>
                <w:sz w:val="16"/>
                <w:szCs w:val="16"/>
              </w:rPr>
            </w:pPr>
            <w:r w:rsidRPr="000E5DBF">
              <w:rPr>
                <w:color w:val="000000"/>
                <w:sz w:val="16"/>
                <w:szCs w:val="16"/>
              </w:rPr>
              <w:t>0,00</w:t>
            </w:r>
          </w:p>
        </w:tc>
        <w:tc>
          <w:tcPr>
            <w:tcW w:w="708" w:type="dxa"/>
            <w:shd w:val="clear" w:color="auto" w:fill="auto"/>
            <w:vAlign w:val="center"/>
          </w:tcPr>
          <w:p w14:paraId="0558E0DB" w14:textId="77777777" w:rsidR="00F22587" w:rsidRPr="000E5DBF" w:rsidRDefault="00F22587" w:rsidP="008A5C11">
            <w:pPr>
              <w:jc w:val="center"/>
              <w:rPr>
                <w:color w:val="000000"/>
                <w:sz w:val="16"/>
                <w:szCs w:val="16"/>
              </w:rPr>
            </w:pPr>
            <w:r w:rsidRPr="000E5DBF">
              <w:rPr>
                <w:color w:val="000000"/>
                <w:sz w:val="16"/>
                <w:szCs w:val="16"/>
              </w:rPr>
              <w:t>0,00</w:t>
            </w:r>
          </w:p>
        </w:tc>
        <w:tc>
          <w:tcPr>
            <w:tcW w:w="616" w:type="dxa"/>
            <w:shd w:val="clear" w:color="auto" w:fill="auto"/>
            <w:vAlign w:val="center"/>
          </w:tcPr>
          <w:p w14:paraId="3DB6D633" w14:textId="77777777" w:rsidR="00F22587" w:rsidRPr="000E5DBF" w:rsidRDefault="00F22587" w:rsidP="008A5C11">
            <w:pPr>
              <w:jc w:val="center"/>
              <w:rPr>
                <w:color w:val="000000"/>
                <w:sz w:val="16"/>
                <w:szCs w:val="16"/>
              </w:rPr>
            </w:pPr>
            <w:r w:rsidRPr="000E5DBF">
              <w:rPr>
                <w:color w:val="000000"/>
                <w:sz w:val="16"/>
                <w:szCs w:val="16"/>
              </w:rPr>
              <w:t>0,00</w:t>
            </w:r>
          </w:p>
        </w:tc>
        <w:tc>
          <w:tcPr>
            <w:tcW w:w="616" w:type="dxa"/>
            <w:shd w:val="clear" w:color="auto" w:fill="auto"/>
            <w:vAlign w:val="center"/>
          </w:tcPr>
          <w:p w14:paraId="2A44358D" w14:textId="77777777" w:rsidR="00F22587" w:rsidRPr="000E5DBF" w:rsidRDefault="00F22587" w:rsidP="008A5C11">
            <w:pPr>
              <w:jc w:val="center"/>
              <w:rPr>
                <w:color w:val="000000"/>
                <w:sz w:val="16"/>
                <w:szCs w:val="16"/>
              </w:rPr>
            </w:pPr>
            <w:r w:rsidRPr="000E5DBF">
              <w:rPr>
                <w:color w:val="000000"/>
                <w:sz w:val="16"/>
                <w:szCs w:val="16"/>
              </w:rPr>
              <w:t>0,00</w:t>
            </w:r>
          </w:p>
        </w:tc>
        <w:tc>
          <w:tcPr>
            <w:tcW w:w="616" w:type="dxa"/>
            <w:shd w:val="clear" w:color="auto" w:fill="auto"/>
            <w:vAlign w:val="center"/>
          </w:tcPr>
          <w:p w14:paraId="15C71F98" w14:textId="77777777" w:rsidR="00F22587" w:rsidRPr="000E5DBF" w:rsidRDefault="00F22587" w:rsidP="008A5C11">
            <w:pPr>
              <w:jc w:val="center"/>
              <w:rPr>
                <w:color w:val="000000"/>
                <w:sz w:val="16"/>
                <w:szCs w:val="16"/>
              </w:rPr>
            </w:pPr>
            <w:r w:rsidRPr="000E5DBF">
              <w:rPr>
                <w:color w:val="000000"/>
                <w:sz w:val="16"/>
                <w:szCs w:val="16"/>
              </w:rPr>
              <w:t>0,00</w:t>
            </w:r>
          </w:p>
        </w:tc>
        <w:tc>
          <w:tcPr>
            <w:tcW w:w="846" w:type="dxa"/>
            <w:shd w:val="clear" w:color="auto" w:fill="auto"/>
            <w:vAlign w:val="center"/>
          </w:tcPr>
          <w:p w14:paraId="1313B4A2" w14:textId="77777777" w:rsidR="00F22587" w:rsidRPr="000E5DBF" w:rsidRDefault="00F22587" w:rsidP="008A5C11">
            <w:pPr>
              <w:jc w:val="center"/>
              <w:rPr>
                <w:color w:val="000000"/>
                <w:sz w:val="16"/>
                <w:szCs w:val="16"/>
              </w:rPr>
            </w:pPr>
            <w:r w:rsidRPr="000E5DBF">
              <w:rPr>
                <w:color w:val="000000"/>
                <w:sz w:val="16"/>
                <w:szCs w:val="16"/>
              </w:rPr>
              <w:t>0,00</w:t>
            </w:r>
          </w:p>
        </w:tc>
      </w:tr>
      <w:tr w:rsidR="00F22587" w:rsidRPr="000E5DBF" w14:paraId="61F41615" w14:textId="77777777" w:rsidTr="008A5C11">
        <w:trPr>
          <w:trHeight w:val="255"/>
          <w:jc w:val="center"/>
        </w:trPr>
        <w:tc>
          <w:tcPr>
            <w:tcW w:w="516" w:type="dxa"/>
            <w:shd w:val="clear" w:color="auto" w:fill="auto"/>
            <w:vAlign w:val="center"/>
            <w:hideMark/>
          </w:tcPr>
          <w:p w14:paraId="45E6DADD" w14:textId="77777777" w:rsidR="00F22587" w:rsidRPr="000E5DBF" w:rsidRDefault="00F22587" w:rsidP="008A5C11">
            <w:pPr>
              <w:jc w:val="center"/>
              <w:rPr>
                <w:sz w:val="16"/>
                <w:szCs w:val="16"/>
              </w:rPr>
            </w:pPr>
            <w:r w:rsidRPr="000E5DBF">
              <w:rPr>
                <w:sz w:val="16"/>
                <w:szCs w:val="16"/>
              </w:rPr>
              <w:t>2.1.</w:t>
            </w:r>
          </w:p>
        </w:tc>
        <w:tc>
          <w:tcPr>
            <w:tcW w:w="3373" w:type="dxa"/>
            <w:shd w:val="clear" w:color="auto" w:fill="auto"/>
            <w:vAlign w:val="center"/>
            <w:hideMark/>
          </w:tcPr>
          <w:p w14:paraId="4467178B" w14:textId="77777777" w:rsidR="00F22587" w:rsidRPr="000E5DBF" w:rsidRDefault="00F22587" w:rsidP="008A5C11">
            <w:pPr>
              <w:rPr>
                <w:sz w:val="16"/>
                <w:szCs w:val="16"/>
              </w:rPr>
            </w:pPr>
            <w:r w:rsidRPr="000E5DBF">
              <w:rPr>
                <w:sz w:val="16"/>
                <w:szCs w:val="16"/>
              </w:rPr>
              <w:t>кредиты</w:t>
            </w:r>
          </w:p>
        </w:tc>
        <w:tc>
          <w:tcPr>
            <w:tcW w:w="1439" w:type="dxa"/>
            <w:shd w:val="clear" w:color="auto" w:fill="auto"/>
            <w:vAlign w:val="center"/>
          </w:tcPr>
          <w:p w14:paraId="41FEFF5F" w14:textId="77777777" w:rsidR="00F22587" w:rsidRPr="000E5DBF" w:rsidRDefault="00F22587" w:rsidP="008A5C11">
            <w:pPr>
              <w:jc w:val="center"/>
              <w:rPr>
                <w:color w:val="000000"/>
                <w:sz w:val="16"/>
                <w:szCs w:val="16"/>
              </w:rPr>
            </w:pPr>
            <w:r w:rsidRPr="000E5DBF">
              <w:rPr>
                <w:color w:val="000000"/>
                <w:sz w:val="16"/>
                <w:szCs w:val="16"/>
              </w:rPr>
              <w:t>0,00</w:t>
            </w:r>
          </w:p>
        </w:tc>
        <w:tc>
          <w:tcPr>
            <w:tcW w:w="966" w:type="dxa"/>
            <w:shd w:val="clear" w:color="auto" w:fill="auto"/>
            <w:vAlign w:val="center"/>
          </w:tcPr>
          <w:p w14:paraId="6E97AB1D" w14:textId="77777777" w:rsidR="00F22587" w:rsidRPr="000E5DBF" w:rsidRDefault="00F22587" w:rsidP="008A5C11">
            <w:pPr>
              <w:jc w:val="center"/>
              <w:rPr>
                <w:color w:val="000000"/>
                <w:sz w:val="16"/>
                <w:szCs w:val="16"/>
              </w:rPr>
            </w:pPr>
            <w:r w:rsidRPr="000E5DBF">
              <w:rPr>
                <w:color w:val="000000"/>
                <w:sz w:val="16"/>
                <w:szCs w:val="16"/>
              </w:rPr>
              <w:t>0,00</w:t>
            </w:r>
          </w:p>
        </w:tc>
        <w:tc>
          <w:tcPr>
            <w:tcW w:w="866" w:type="dxa"/>
            <w:shd w:val="clear" w:color="auto" w:fill="auto"/>
            <w:vAlign w:val="center"/>
          </w:tcPr>
          <w:p w14:paraId="4B8C5BF0" w14:textId="77777777" w:rsidR="00F22587" w:rsidRPr="000E5DBF" w:rsidRDefault="00F22587" w:rsidP="008A5C11">
            <w:pPr>
              <w:jc w:val="center"/>
              <w:rPr>
                <w:color w:val="000000"/>
                <w:sz w:val="16"/>
                <w:szCs w:val="16"/>
              </w:rPr>
            </w:pPr>
            <w:r w:rsidRPr="000E5DBF">
              <w:rPr>
                <w:color w:val="000000"/>
                <w:sz w:val="16"/>
                <w:szCs w:val="16"/>
              </w:rPr>
              <w:t>0,00</w:t>
            </w:r>
          </w:p>
        </w:tc>
        <w:tc>
          <w:tcPr>
            <w:tcW w:w="866" w:type="dxa"/>
            <w:shd w:val="clear" w:color="auto" w:fill="auto"/>
            <w:vAlign w:val="center"/>
          </w:tcPr>
          <w:p w14:paraId="62AFEF4F" w14:textId="77777777" w:rsidR="00F22587" w:rsidRPr="000E5DBF" w:rsidRDefault="00F22587" w:rsidP="008A5C11">
            <w:pPr>
              <w:jc w:val="center"/>
              <w:rPr>
                <w:color w:val="000000"/>
                <w:sz w:val="16"/>
                <w:szCs w:val="16"/>
              </w:rPr>
            </w:pPr>
            <w:r w:rsidRPr="000E5DBF">
              <w:rPr>
                <w:color w:val="000000"/>
                <w:sz w:val="16"/>
                <w:szCs w:val="16"/>
              </w:rPr>
              <w:t>0,00</w:t>
            </w:r>
          </w:p>
        </w:tc>
        <w:tc>
          <w:tcPr>
            <w:tcW w:w="866" w:type="dxa"/>
            <w:shd w:val="clear" w:color="auto" w:fill="auto"/>
            <w:vAlign w:val="center"/>
          </w:tcPr>
          <w:p w14:paraId="127CA3D6" w14:textId="77777777" w:rsidR="00F22587" w:rsidRPr="000E5DBF" w:rsidRDefault="00F22587" w:rsidP="008A5C11">
            <w:pPr>
              <w:jc w:val="center"/>
              <w:rPr>
                <w:color w:val="000000"/>
                <w:sz w:val="16"/>
                <w:szCs w:val="16"/>
              </w:rPr>
            </w:pPr>
            <w:r w:rsidRPr="000E5DBF">
              <w:rPr>
                <w:color w:val="000000"/>
                <w:sz w:val="16"/>
                <w:szCs w:val="16"/>
              </w:rPr>
              <w:t>0,00</w:t>
            </w:r>
          </w:p>
        </w:tc>
        <w:tc>
          <w:tcPr>
            <w:tcW w:w="728" w:type="dxa"/>
            <w:shd w:val="clear" w:color="auto" w:fill="auto"/>
            <w:vAlign w:val="center"/>
          </w:tcPr>
          <w:p w14:paraId="52A5FF10" w14:textId="77777777" w:rsidR="00F22587" w:rsidRPr="000E5DBF" w:rsidRDefault="00F22587" w:rsidP="008A5C11">
            <w:pPr>
              <w:jc w:val="center"/>
              <w:rPr>
                <w:color w:val="000000"/>
                <w:sz w:val="16"/>
                <w:szCs w:val="16"/>
              </w:rPr>
            </w:pPr>
            <w:r w:rsidRPr="000E5DBF">
              <w:rPr>
                <w:color w:val="000000"/>
                <w:sz w:val="16"/>
                <w:szCs w:val="16"/>
              </w:rPr>
              <w:t>0,00</w:t>
            </w:r>
          </w:p>
        </w:tc>
        <w:tc>
          <w:tcPr>
            <w:tcW w:w="709" w:type="dxa"/>
            <w:shd w:val="clear" w:color="auto" w:fill="auto"/>
            <w:vAlign w:val="center"/>
          </w:tcPr>
          <w:p w14:paraId="4536FD1A" w14:textId="77777777" w:rsidR="00F22587" w:rsidRPr="000E5DBF" w:rsidRDefault="00F22587" w:rsidP="008A5C11">
            <w:pPr>
              <w:jc w:val="center"/>
              <w:rPr>
                <w:color w:val="000000"/>
                <w:sz w:val="16"/>
                <w:szCs w:val="16"/>
              </w:rPr>
            </w:pPr>
            <w:r w:rsidRPr="000E5DBF">
              <w:rPr>
                <w:color w:val="000000"/>
                <w:sz w:val="16"/>
                <w:szCs w:val="16"/>
              </w:rPr>
              <w:t>0,00</w:t>
            </w:r>
          </w:p>
        </w:tc>
        <w:tc>
          <w:tcPr>
            <w:tcW w:w="709" w:type="dxa"/>
            <w:shd w:val="clear" w:color="auto" w:fill="auto"/>
            <w:vAlign w:val="center"/>
          </w:tcPr>
          <w:p w14:paraId="6998A4B0" w14:textId="77777777" w:rsidR="00F22587" w:rsidRPr="000E5DBF" w:rsidRDefault="00F22587" w:rsidP="008A5C11">
            <w:pPr>
              <w:jc w:val="center"/>
              <w:rPr>
                <w:color w:val="000000"/>
                <w:sz w:val="16"/>
                <w:szCs w:val="16"/>
              </w:rPr>
            </w:pPr>
            <w:r w:rsidRPr="000E5DBF">
              <w:rPr>
                <w:color w:val="000000"/>
                <w:sz w:val="16"/>
                <w:szCs w:val="16"/>
              </w:rPr>
              <w:t>0,00</w:t>
            </w:r>
          </w:p>
        </w:tc>
        <w:tc>
          <w:tcPr>
            <w:tcW w:w="709" w:type="dxa"/>
            <w:shd w:val="clear" w:color="auto" w:fill="auto"/>
            <w:vAlign w:val="center"/>
          </w:tcPr>
          <w:p w14:paraId="1FF2D067" w14:textId="77777777" w:rsidR="00F22587" w:rsidRPr="000E5DBF" w:rsidRDefault="00F22587" w:rsidP="008A5C11">
            <w:pPr>
              <w:jc w:val="center"/>
              <w:rPr>
                <w:color w:val="000000"/>
                <w:sz w:val="16"/>
                <w:szCs w:val="16"/>
              </w:rPr>
            </w:pPr>
            <w:r w:rsidRPr="000E5DBF">
              <w:rPr>
                <w:color w:val="000000"/>
                <w:sz w:val="16"/>
                <w:szCs w:val="16"/>
              </w:rPr>
              <w:t>0,00</w:t>
            </w:r>
          </w:p>
        </w:tc>
        <w:tc>
          <w:tcPr>
            <w:tcW w:w="708" w:type="dxa"/>
            <w:shd w:val="clear" w:color="auto" w:fill="auto"/>
            <w:vAlign w:val="center"/>
          </w:tcPr>
          <w:p w14:paraId="4131B870" w14:textId="77777777" w:rsidR="00F22587" w:rsidRPr="000E5DBF" w:rsidRDefault="00F22587" w:rsidP="008A5C11">
            <w:pPr>
              <w:jc w:val="center"/>
              <w:rPr>
                <w:color w:val="000000"/>
                <w:sz w:val="16"/>
                <w:szCs w:val="16"/>
              </w:rPr>
            </w:pPr>
            <w:r w:rsidRPr="000E5DBF">
              <w:rPr>
                <w:color w:val="000000"/>
                <w:sz w:val="16"/>
                <w:szCs w:val="16"/>
              </w:rPr>
              <w:t>0,00</w:t>
            </w:r>
          </w:p>
        </w:tc>
        <w:tc>
          <w:tcPr>
            <w:tcW w:w="616" w:type="dxa"/>
            <w:shd w:val="clear" w:color="auto" w:fill="auto"/>
            <w:vAlign w:val="center"/>
          </w:tcPr>
          <w:p w14:paraId="2B7D834B" w14:textId="77777777" w:rsidR="00F22587" w:rsidRPr="000E5DBF" w:rsidRDefault="00F22587" w:rsidP="008A5C11">
            <w:pPr>
              <w:jc w:val="center"/>
              <w:rPr>
                <w:color w:val="000000"/>
                <w:sz w:val="16"/>
                <w:szCs w:val="16"/>
              </w:rPr>
            </w:pPr>
            <w:r w:rsidRPr="000E5DBF">
              <w:rPr>
                <w:color w:val="000000"/>
                <w:sz w:val="16"/>
                <w:szCs w:val="16"/>
              </w:rPr>
              <w:t>0,00</w:t>
            </w:r>
          </w:p>
        </w:tc>
        <w:tc>
          <w:tcPr>
            <w:tcW w:w="616" w:type="dxa"/>
            <w:shd w:val="clear" w:color="auto" w:fill="auto"/>
            <w:vAlign w:val="center"/>
          </w:tcPr>
          <w:p w14:paraId="0922AF96" w14:textId="77777777" w:rsidR="00F22587" w:rsidRPr="000E5DBF" w:rsidRDefault="00F22587" w:rsidP="008A5C11">
            <w:pPr>
              <w:jc w:val="center"/>
              <w:rPr>
                <w:color w:val="000000"/>
                <w:sz w:val="16"/>
                <w:szCs w:val="16"/>
              </w:rPr>
            </w:pPr>
            <w:r w:rsidRPr="000E5DBF">
              <w:rPr>
                <w:color w:val="000000"/>
                <w:sz w:val="16"/>
                <w:szCs w:val="16"/>
              </w:rPr>
              <w:t>0,00</w:t>
            </w:r>
          </w:p>
        </w:tc>
        <w:tc>
          <w:tcPr>
            <w:tcW w:w="616" w:type="dxa"/>
            <w:shd w:val="clear" w:color="auto" w:fill="auto"/>
            <w:vAlign w:val="center"/>
          </w:tcPr>
          <w:p w14:paraId="12B6D115" w14:textId="77777777" w:rsidR="00F22587" w:rsidRPr="000E5DBF" w:rsidRDefault="00F22587" w:rsidP="008A5C11">
            <w:pPr>
              <w:jc w:val="center"/>
              <w:rPr>
                <w:color w:val="000000"/>
                <w:sz w:val="16"/>
                <w:szCs w:val="16"/>
              </w:rPr>
            </w:pPr>
            <w:r w:rsidRPr="000E5DBF">
              <w:rPr>
                <w:color w:val="000000"/>
                <w:sz w:val="16"/>
                <w:szCs w:val="16"/>
              </w:rPr>
              <w:t>0,00</w:t>
            </w:r>
          </w:p>
        </w:tc>
        <w:tc>
          <w:tcPr>
            <w:tcW w:w="846" w:type="dxa"/>
            <w:shd w:val="clear" w:color="auto" w:fill="auto"/>
            <w:vAlign w:val="center"/>
          </w:tcPr>
          <w:p w14:paraId="0A7FBFF7" w14:textId="77777777" w:rsidR="00F22587" w:rsidRPr="000E5DBF" w:rsidRDefault="00F22587" w:rsidP="008A5C11">
            <w:pPr>
              <w:jc w:val="center"/>
              <w:rPr>
                <w:color w:val="000000"/>
                <w:sz w:val="16"/>
                <w:szCs w:val="16"/>
              </w:rPr>
            </w:pPr>
            <w:r w:rsidRPr="000E5DBF">
              <w:rPr>
                <w:color w:val="000000"/>
                <w:sz w:val="16"/>
                <w:szCs w:val="16"/>
              </w:rPr>
              <w:t>0,00</w:t>
            </w:r>
          </w:p>
        </w:tc>
      </w:tr>
      <w:tr w:rsidR="00F22587" w:rsidRPr="000E5DBF" w14:paraId="7C981C3A" w14:textId="77777777" w:rsidTr="008A5C11">
        <w:trPr>
          <w:trHeight w:val="255"/>
          <w:jc w:val="center"/>
        </w:trPr>
        <w:tc>
          <w:tcPr>
            <w:tcW w:w="516" w:type="dxa"/>
            <w:shd w:val="clear" w:color="auto" w:fill="auto"/>
            <w:vAlign w:val="center"/>
            <w:hideMark/>
          </w:tcPr>
          <w:p w14:paraId="6C001C09" w14:textId="77777777" w:rsidR="00F22587" w:rsidRPr="000E5DBF" w:rsidRDefault="00F22587" w:rsidP="008A5C11">
            <w:pPr>
              <w:jc w:val="center"/>
              <w:rPr>
                <w:sz w:val="16"/>
                <w:szCs w:val="16"/>
              </w:rPr>
            </w:pPr>
            <w:r w:rsidRPr="000E5DBF">
              <w:rPr>
                <w:sz w:val="16"/>
                <w:szCs w:val="16"/>
              </w:rPr>
              <w:t>2.2.</w:t>
            </w:r>
          </w:p>
        </w:tc>
        <w:tc>
          <w:tcPr>
            <w:tcW w:w="3373" w:type="dxa"/>
            <w:shd w:val="clear" w:color="auto" w:fill="auto"/>
            <w:vAlign w:val="center"/>
            <w:hideMark/>
          </w:tcPr>
          <w:p w14:paraId="5B408180" w14:textId="77777777" w:rsidR="00F22587" w:rsidRPr="000E5DBF" w:rsidRDefault="00F22587" w:rsidP="008A5C11">
            <w:pPr>
              <w:rPr>
                <w:sz w:val="16"/>
                <w:szCs w:val="16"/>
              </w:rPr>
            </w:pPr>
            <w:r w:rsidRPr="000E5DBF">
              <w:rPr>
                <w:sz w:val="16"/>
                <w:szCs w:val="16"/>
              </w:rPr>
              <w:t>займы организаций</w:t>
            </w:r>
          </w:p>
        </w:tc>
        <w:tc>
          <w:tcPr>
            <w:tcW w:w="1439" w:type="dxa"/>
            <w:shd w:val="clear" w:color="auto" w:fill="auto"/>
            <w:vAlign w:val="center"/>
          </w:tcPr>
          <w:p w14:paraId="54B4EBA2" w14:textId="77777777" w:rsidR="00F22587" w:rsidRPr="000E5DBF" w:rsidRDefault="00F22587" w:rsidP="008A5C11">
            <w:pPr>
              <w:jc w:val="center"/>
              <w:rPr>
                <w:color w:val="000000"/>
                <w:sz w:val="16"/>
                <w:szCs w:val="16"/>
              </w:rPr>
            </w:pPr>
            <w:r w:rsidRPr="000E5DBF">
              <w:rPr>
                <w:color w:val="000000"/>
                <w:sz w:val="16"/>
                <w:szCs w:val="16"/>
              </w:rPr>
              <w:t>0,00</w:t>
            </w:r>
          </w:p>
        </w:tc>
        <w:tc>
          <w:tcPr>
            <w:tcW w:w="966" w:type="dxa"/>
            <w:shd w:val="clear" w:color="auto" w:fill="auto"/>
            <w:vAlign w:val="center"/>
          </w:tcPr>
          <w:p w14:paraId="3BC0816A" w14:textId="77777777" w:rsidR="00F22587" w:rsidRPr="000E5DBF" w:rsidRDefault="00F22587" w:rsidP="008A5C11">
            <w:pPr>
              <w:jc w:val="center"/>
              <w:rPr>
                <w:color w:val="000000"/>
                <w:sz w:val="16"/>
                <w:szCs w:val="16"/>
              </w:rPr>
            </w:pPr>
            <w:r w:rsidRPr="000E5DBF">
              <w:rPr>
                <w:color w:val="000000"/>
                <w:sz w:val="16"/>
                <w:szCs w:val="16"/>
              </w:rPr>
              <w:t>0,00</w:t>
            </w:r>
          </w:p>
        </w:tc>
        <w:tc>
          <w:tcPr>
            <w:tcW w:w="866" w:type="dxa"/>
            <w:shd w:val="clear" w:color="auto" w:fill="auto"/>
            <w:vAlign w:val="center"/>
          </w:tcPr>
          <w:p w14:paraId="633197FF" w14:textId="77777777" w:rsidR="00F22587" w:rsidRPr="000E5DBF" w:rsidRDefault="00F22587" w:rsidP="008A5C11">
            <w:pPr>
              <w:jc w:val="center"/>
              <w:rPr>
                <w:color w:val="000000"/>
                <w:sz w:val="16"/>
                <w:szCs w:val="16"/>
              </w:rPr>
            </w:pPr>
            <w:r w:rsidRPr="000E5DBF">
              <w:rPr>
                <w:color w:val="000000"/>
                <w:sz w:val="16"/>
                <w:szCs w:val="16"/>
              </w:rPr>
              <w:t>0,00</w:t>
            </w:r>
          </w:p>
        </w:tc>
        <w:tc>
          <w:tcPr>
            <w:tcW w:w="866" w:type="dxa"/>
            <w:shd w:val="clear" w:color="auto" w:fill="auto"/>
            <w:vAlign w:val="center"/>
          </w:tcPr>
          <w:p w14:paraId="00A0FF56" w14:textId="77777777" w:rsidR="00F22587" w:rsidRPr="000E5DBF" w:rsidRDefault="00F22587" w:rsidP="008A5C11">
            <w:pPr>
              <w:jc w:val="center"/>
              <w:rPr>
                <w:color w:val="000000"/>
                <w:sz w:val="16"/>
                <w:szCs w:val="16"/>
              </w:rPr>
            </w:pPr>
            <w:r w:rsidRPr="000E5DBF">
              <w:rPr>
                <w:color w:val="000000"/>
                <w:sz w:val="16"/>
                <w:szCs w:val="16"/>
              </w:rPr>
              <w:t>0,00</w:t>
            </w:r>
          </w:p>
        </w:tc>
        <w:tc>
          <w:tcPr>
            <w:tcW w:w="866" w:type="dxa"/>
            <w:shd w:val="clear" w:color="auto" w:fill="auto"/>
            <w:vAlign w:val="center"/>
          </w:tcPr>
          <w:p w14:paraId="3B7036B9" w14:textId="77777777" w:rsidR="00F22587" w:rsidRPr="000E5DBF" w:rsidRDefault="00F22587" w:rsidP="008A5C11">
            <w:pPr>
              <w:jc w:val="center"/>
              <w:rPr>
                <w:color w:val="000000"/>
                <w:sz w:val="16"/>
                <w:szCs w:val="16"/>
              </w:rPr>
            </w:pPr>
            <w:r w:rsidRPr="000E5DBF">
              <w:rPr>
                <w:color w:val="000000"/>
                <w:sz w:val="16"/>
                <w:szCs w:val="16"/>
              </w:rPr>
              <w:t>0,00</w:t>
            </w:r>
          </w:p>
        </w:tc>
        <w:tc>
          <w:tcPr>
            <w:tcW w:w="728" w:type="dxa"/>
            <w:shd w:val="clear" w:color="auto" w:fill="auto"/>
            <w:vAlign w:val="center"/>
          </w:tcPr>
          <w:p w14:paraId="5AF01EB0" w14:textId="77777777" w:rsidR="00F22587" w:rsidRPr="000E5DBF" w:rsidRDefault="00F22587" w:rsidP="008A5C11">
            <w:pPr>
              <w:jc w:val="center"/>
              <w:rPr>
                <w:color w:val="000000"/>
                <w:sz w:val="16"/>
                <w:szCs w:val="16"/>
              </w:rPr>
            </w:pPr>
            <w:r w:rsidRPr="000E5DBF">
              <w:rPr>
                <w:color w:val="000000"/>
                <w:sz w:val="16"/>
                <w:szCs w:val="16"/>
              </w:rPr>
              <w:t>0,00</w:t>
            </w:r>
          </w:p>
        </w:tc>
        <w:tc>
          <w:tcPr>
            <w:tcW w:w="709" w:type="dxa"/>
            <w:shd w:val="clear" w:color="auto" w:fill="auto"/>
            <w:vAlign w:val="center"/>
          </w:tcPr>
          <w:p w14:paraId="48D6362E" w14:textId="77777777" w:rsidR="00F22587" w:rsidRPr="000E5DBF" w:rsidRDefault="00F22587" w:rsidP="008A5C11">
            <w:pPr>
              <w:jc w:val="center"/>
              <w:rPr>
                <w:color w:val="000000"/>
                <w:sz w:val="16"/>
                <w:szCs w:val="16"/>
              </w:rPr>
            </w:pPr>
            <w:r w:rsidRPr="000E5DBF">
              <w:rPr>
                <w:color w:val="000000"/>
                <w:sz w:val="16"/>
                <w:szCs w:val="16"/>
              </w:rPr>
              <w:t>0,00</w:t>
            </w:r>
          </w:p>
        </w:tc>
        <w:tc>
          <w:tcPr>
            <w:tcW w:w="709" w:type="dxa"/>
            <w:shd w:val="clear" w:color="auto" w:fill="auto"/>
            <w:vAlign w:val="center"/>
          </w:tcPr>
          <w:p w14:paraId="5CE9604C" w14:textId="77777777" w:rsidR="00F22587" w:rsidRPr="000E5DBF" w:rsidRDefault="00F22587" w:rsidP="008A5C11">
            <w:pPr>
              <w:jc w:val="center"/>
              <w:rPr>
                <w:color w:val="000000"/>
                <w:sz w:val="16"/>
                <w:szCs w:val="16"/>
              </w:rPr>
            </w:pPr>
            <w:r w:rsidRPr="000E5DBF">
              <w:rPr>
                <w:color w:val="000000"/>
                <w:sz w:val="16"/>
                <w:szCs w:val="16"/>
              </w:rPr>
              <w:t>0,00</w:t>
            </w:r>
          </w:p>
        </w:tc>
        <w:tc>
          <w:tcPr>
            <w:tcW w:w="709" w:type="dxa"/>
            <w:shd w:val="clear" w:color="auto" w:fill="auto"/>
            <w:vAlign w:val="center"/>
          </w:tcPr>
          <w:p w14:paraId="0020186F" w14:textId="77777777" w:rsidR="00F22587" w:rsidRPr="000E5DBF" w:rsidRDefault="00F22587" w:rsidP="008A5C11">
            <w:pPr>
              <w:jc w:val="center"/>
              <w:rPr>
                <w:color w:val="000000"/>
                <w:sz w:val="16"/>
                <w:szCs w:val="16"/>
              </w:rPr>
            </w:pPr>
            <w:r w:rsidRPr="000E5DBF">
              <w:rPr>
                <w:color w:val="000000"/>
                <w:sz w:val="16"/>
                <w:szCs w:val="16"/>
              </w:rPr>
              <w:t>0,00</w:t>
            </w:r>
          </w:p>
        </w:tc>
        <w:tc>
          <w:tcPr>
            <w:tcW w:w="708" w:type="dxa"/>
            <w:shd w:val="clear" w:color="auto" w:fill="auto"/>
            <w:vAlign w:val="center"/>
          </w:tcPr>
          <w:p w14:paraId="6A55FF1D" w14:textId="77777777" w:rsidR="00F22587" w:rsidRPr="000E5DBF" w:rsidRDefault="00F22587" w:rsidP="008A5C11">
            <w:pPr>
              <w:jc w:val="center"/>
              <w:rPr>
                <w:color w:val="000000"/>
                <w:sz w:val="16"/>
                <w:szCs w:val="16"/>
              </w:rPr>
            </w:pPr>
            <w:r w:rsidRPr="000E5DBF">
              <w:rPr>
                <w:color w:val="000000"/>
                <w:sz w:val="16"/>
                <w:szCs w:val="16"/>
              </w:rPr>
              <w:t>0,00</w:t>
            </w:r>
          </w:p>
        </w:tc>
        <w:tc>
          <w:tcPr>
            <w:tcW w:w="616" w:type="dxa"/>
            <w:shd w:val="clear" w:color="auto" w:fill="auto"/>
            <w:vAlign w:val="center"/>
          </w:tcPr>
          <w:p w14:paraId="0028DC80" w14:textId="77777777" w:rsidR="00F22587" w:rsidRPr="000E5DBF" w:rsidRDefault="00F22587" w:rsidP="008A5C11">
            <w:pPr>
              <w:jc w:val="center"/>
              <w:rPr>
                <w:color w:val="000000"/>
                <w:sz w:val="16"/>
                <w:szCs w:val="16"/>
              </w:rPr>
            </w:pPr>
            <w:r w:rsidRPr="000E5DBF">
              <w:rPr>
                <w:color w:val="000000"/>
                <w:sz w:val="16"/>
                <w:szCs w:val="16"/>
              </w:rPr>
              <w:t>0,00</w:t>
            </w:r>
          </w:p>
        </w:tc>
        <w:tc>
          <w:tcPr>
            <w:tcW w:w="616" w:type="dxa"/>
            <w:shd w:val="clear" w:color="auto" w:fill="auto"/>
            <w:vAlign w:val="center"/>
          </w:tcPr>
          <w:p w14:paraId="3A9FB7A6" w14:textId="77777777" w:rsidR="00F22587" w:rsidRPr="000E5DBF" w:rsidRDefault="00F22587" w:rsidP="008A5C11">
            <w:pPr>
              <w:jc w:val="center"/>
              <w:rPr>
                <w:color w:val="000000"/>
                <w:sz w:val="16"/>
                <w:szCs w:val="16"/>
              </w:rPr>
            </w:pPr>
            <w:r w:rsidRPr="000E5DBF">
              <w:rPr>
                <w:color w:val="000000"/>
                <w:sz w:val="16"/>
                <w:szCs w:val="16"/>
              </w:rPr>
              <w:t>0,00</w:t>
            </w:r>
          </w:p>
        </w:tc>
        <w:tc>
          <w:tcPr>
            <w:tcW w:w="616" w:type="dxa"/>
            <w:shd w:val="clear" w:color="auto" w:fill="auto"/>
            <w:vAlign w:val="center"/>
          </w:tcPr>
          <w:p w14:paraId="1C552809" w14:textId="77777777" w:rsidR="00F22587" w:rsidRPr="000E5DBF" w:rsidRDefault="00F22587" w:rsidP="008A5C11">
            <w:pPr>
              <w:jc w:val="center"/>
              <w:rPr>
                <w:color w:val="000000"/>
                <w:sz w:val="16"/>
                <w:szCs w:val="16"/>
              </w:rPr>
            </w:pPr>
            <w:r w:rsidRPr="000E5DBF">
              <w:rPr>
                <w:color w:val="000000"/>
                <w:sz w:val="16"/>
                <w:szCs w:val="16"/>
              </w:rPr>
              <w:t>0,00</w:t>
            </w:r>
          </w:p>
        </w:tc>
        <w:tc>
          <w:tcPr>
            <w:tcW w:w="846" w:type="dxa"/>
            <w:shd w:val="clear" w:color="auto" w:fill="auto"/>
            <w:vAlign w:val="center"/>
          </w:tcPr>
          <w:p w14:paraId="09EDA323" w14:textId="77777777" w:rsidR="00F22587" w:rsidRPr="000E5DBF" w:rsidRDefault="00F22587" w:rsidP="008A5C11">
            <w:pPr>
              <w:jc w:val="center"/>
              <w:rPr>
                <w:color w:val="000000"/>
                <w:sz w:val="16"/>
                <w:szCs w:val="16"/>
              </w:rPr>
            </w:pPr>
            <w:r w:rsidRPr="000E5DBF">
              <w:rPr>
                <w:color w:val="000000"/>
                <w:sz w:val="16"/>
                <w:szCs w:val="16"/>
              </w:rPr>
              <w:t>0,00</w:t>
            </w:r>
          </w:p>
        </w:tc>
      </w:tr>
      <w:tr w:rsidR="00F22587" w:rsidRPr="000E5DBF" w14:paraId="750E1596" w14:textId="77777777" w:rsidTr="008A5C11">
        <w:trPr>
          <w:trHeight w:val="255"/>
          <w:jc w:val="center"/>
        </w:trPr>
        <w:tc>
          <w:tcPr>
            <w:tcW w:w="516" w:type="dxa"/>
            <w:shd w:val="clear" w:color="auto" w:fill="auto"/>
            <w:vAlign w:val="center"/>
            <w:hideMark/>
          </w:tcPr>
          <w:p w14:paraId="727FC4D8" w14:textId="77777777" w:rsidR="00F22587" w:rsidRPr="000E5DBF" w:rsidRDefault="00F22587" w:rsidP="008A5C11">
            <w:pPr>
              <w:jc w:val="center"/>
              <w:rPr>
                <w:sz w:val="16"/>
                <w:szCs w:val="16"/>
              </w:rPr>
            </w:pPr>
            <w:r w:rsidRPr="000E5DBF">
              <w:rPr>
                <w:sz w:val="16"/>
                <w:szCs w:val="16"/>
              </w:rPr>
              <w:t>2.3.</w:t>
            </w:r>
          </w:p>
        </w:tc>
        <w:tc>
          <w:tcPr>
            <w:tcW w:w="3373" w:type="dxa"/>
            <w:shd w:val="clear" w:color="auto" w:fill="auto"/>
            <w:vAlign w:val="center"/>
            <w:hideMark/>
          </w:tcPr>
          <w:p w14:paraId="2AAF8257" w14:textId="77777777" w:rsidR="00F22587" w:rsidRPr="000E5DBF" w:rsidRDefault="00F22587" w:rsidP="008A5C11">
            <w:pPr>
              <w:rPr>
                <w:sz w:val="16"/>
                <w:szCs w:val="16"/>
              </w:rPr>
            </w:pPr>
            <w:r w:rsidRPr="000E5DBF">
              <w:rPr>
                <w:sz w:val="16"/>
                <w:szCs w:val="16"/>
              </w:rPr>
              <w:t>прочие средства</w:t>
            </w:r>
          </w:p>
        </w:tc>
        <w:tc>
          <w:tcPr>
            <w:tcW w:w="1439" w:type="dxa"/>
            <w:shd w:val="clear" w:color="auto" w:fill="auto"/>
            <w:vAlign w:val="center"/>
          </w:tcPr>
          <w:p w14:paraId="2A27FE6D" w14:textId="77777777" w:rsidR="00F22587" w:rsidRPr="000E5DBF" w:rsidRDefault="00F22587" w:rsidP="008A5C11">
            <w:pPr>
              <w:jc w:val="center"/>
              <w:rPr>
                <w:color w:val="000000"/>
                <w:sz w:val="16"/>
                <w:szCs w:val="16"/>
              </w:rPr>
            </w:pPr>
            <w:r w:rsidRPr="000E5DBF">
              <w:rPr>
                <w:color w:val="000000"/>
                <w:sz w:val="16"/>
                <w:szCs w:val="16"/>
              </w:rPr>
              <w:t>0,00</w:t>
            </w:r>
          </w:p>
        </w:tc>
        <w:tc>
          <w:tcPr>
            <w:tcW w:w="966" w:type="dxa"/>
            <w:shd w:val="clear" w:color="auto" w:fill="auto"/>
            <w:vAlign w:val="center"/>
          </w:tcPr>
          <w:p w14:paraId="5B5865A0" w14:textId="77777777" w:rsidR="00F22587" w:rsidRPr="000E5DBF" w:rsidRDefault="00F22587" w:rsidP="008A5C11">
            <w:pPr>
              <w:jc w:val="center"/>
              <w:rPr>
                <w:color w:val="000000"/>
                <w:sz w:val="16"/>
                <w:szCs w:val="16"/>
              </w:rPr>
            </w:pPr>
            <w:r w:rsidRPr="000E5DBF">
              <w:rPr>
                <w:color w:val="000000"/>
                <w:sz w:val="16"/>
                <w:szCs w:val="16"/>
              </w:rPr>
              <w:t>0,00</w:t>
            </w:r>
          </w:p>
        </w:tc>
        <w:tc>
          <w:tcPr>
            <w:tcW w:w="866" w:type="dxa"/>
            <w:shd w:val="clear" w:color="auto" w:fill="auto"/>
            <w:vAlign w:val="center"/>
          </w:tcPr>
          <w:p w14:paraId="693F96A5" w14:textId="77777777" w:rsidR="00F22587" w:rsidRPr="000E5DBF" w:rsidRDefault="00F22587" w:rsidP="008A5C11">
            <w:pPr>
              <w:jc w:val="center"/>
              <w:rPr>
                <w:color w:val="000000"/>
                <w:sz w:val="16"/>
                <w:szCs w:val="16"/>
              </w:rPr>
            </w:pPr>
            <w:r w:rsidRPr="000E5DBF">
              <w:rPr>
                <w:color w:val="000000"/>
                <w:sz w:val="16"/>
                <w:szCs w:val="16"/>
              </w:rPr>
              <w:t>0,00</w:t>
            </w:r>
          </w:p>
        </w:tc>
        <w:tc>
          <w:tcPr>
            <w:tcW w:w="866" w:type="dxa"/>
            <w:shd w:val="clear" w:color="auto" w:fill="auto"/>
            <w:vAlign w:val="center"/>
          </w:tcPr>
          <w:p w14:paraId="47832AE2" w14:textId="77777777" w:rsidR="00F22587" w:rsidRPr="000E5DBF" w:rsidRDefault="00F22587" w:rsidP="008A5C11">
            <w:pPr>
              <w:jc w:val="center"/>
              <w:rPr>
                <w:color w:val="000000"/>
                <w:sz w:val="16"/>
                <w:szCs w:val="16"/>
              </w:rPr>
            </w:pPr>
            <w:r w:rsidRPr="000E5DBF">
              <w:rPr>
                <w:color w:val="000000"/>
                <w:sz w:val="16"/>
                <w:szCs w:val="16"/>
              </w:rPr>
              <w:t>0,00</w:t>
            </w:r>
          </w:p>
        </w:tc>
        <w:tc>
          <w:tcPr>
            <w:tcW w:w="866" w:type="dxa"/>
            <w:shd w:val="clear" w:color="auto" w:fill="auto"/>
            <w:vAlign w:val="center"/>
          </w:tcPr>
          <w:p w14:paraId="0E10EC02" w14:textId="77777777" w:rsidR="00F22587" w:rsidRPr="000E5DBF" w:rsidRDefault="00F22587" w:rsidP="008A5C11">
            <w:pPr>
              <w:jc w:val="center"/>
              <w:rPr>
                <w:color w:val="000000"/>
                <w:sz w:val="16"/>
                <w:szCs w:val="16"/>
              </w:rPr>
            </w:pPr>
            <w:r w:rsidRPr="000E5DBF">
              <w:rPr>
                <w:color w:val="000000"/>
                <w:sz w:val="16"/>
                <w:szCs w:val="16"/>
              </w:rPr>
              <w:t>0,00</w:t>
            </w:r>
          </w:p>
        </w:tc>
        <w:tc>
          <w:tcPr>
            <w:tcW w:w="728" w:type="dxa"/>
            <w:shd w:val="clear" w:color="auto" w:fill="auto"/>
            <w:vAlign w:val="center"/>
          </w:tcPr>
          <w:p w14:paraId="3A3ABC47" w14:textId="77777777" w:rsidR="00F22587" w:rsidRPr="000E5DBF" w:rsidRDefault="00F22587" w:rsidP="008A5C11">
            <w:pPr>
              <w:jc w:val="center"/>
              <w:rPr>
                <w:color w:val="000000"/>
                <w:sz w:val="16"/>
                <w:szCs w:val="16"/>
              </w:rPr>
            </w:pPr>
            <w:r w:rsidRPr="000E5DBF">
              <w:rPr>
                <w:color w:val="000000"/>
                <w:sz w:val="16"/>
                <w:szCs w:val="16"/>
              </w:rPr>
              <w:t>0,00</w:t>
            </w:r>
          </w:p>
        </w:tc>
        <w:tc>
          <w:tcPr>
            <w:tcW w:w="709" w:type="dxa"/>
            <w:shd w:val="clear" w:color="auto" w:fill="auto"/>
            <w:vAlign w:val="center"/>
          </w:tcPr>
          <w:p w14:paraId="7A55C86E" w14:textId="77777777" w:rsidR="00F22587" w:rsidRPr="000E5DBF" w:rsidRDefault="00F22587" w:rsidP="008A5C11">
            <w:pPr>
              <w:jc w:val="center"/>
              <w:rPr>
                <w:color w:val="000000"/>
                <w:sz w:val="16"/>
                <w:szCs w:val="16"/>
              </w:rPr>
            </w:pPr>
            <w:r w:rsidRPr="000E5DBF">
              <w:rPr>
                <w:color w:val="000000"/>
                <w:sz w:val="16"/>
                <w:szCs w:val="16"/>
              </w:rPr>
              <w:t>0,00</w:t>
            </w:r>
          </w:p>
        </w:tc>
        <w:tc>
          <w:tcPr>
            <w:tcW w:w="709" w:type="dxa"/>
            <w:shd w:val="clear" w:color="auto" w:fill="auto"/>
            <w:vAlign w:val="center"/>
          </w:tcPr>
          <w:p w14:paraId="47F71F98" w14:textId="77777777" w:rsidR="00F22587" w:rsidRPr="000E5DBF" w:rsidRDefault="00F22587" w:rsidP="008A5C11">
            <w:pPr>
              <w:jc w:val="center"/>
              <w:rPr>
                <w:color w:val="000000"/>
                <w:sz w:val="16"/>
                <w:szCs w:val="16"/>
              </w:rPr>
            </w:pPr>
            <w:r w:rsidRPr="000E5DBF">
              <w:rPr>
                <w:color w:val="000000"/>
                <w:sz w:val="16"/>
                <w:szCs w:val="16"/>
              </w:rPr>
              <w:t>0,00</w:t>
            </w:r>
          </w:p>
        </w:tc>
        <w:tc>
          <w:tcPr>
            <w:tcW w:w="709" w:type="dxa"/>
            <w:shd w:val="clear" w:color="auto" w:fill="auto"/>
            <w:vAlign w:val="center"/>
          </w:tcPr>
          <w:p w14:paraId="6E83D8F7" w14:textId="77777777" w:rsidR="00F22587" w:rsidRPr="000E5DBF" w:rsidRDefault="00F22587" w:rsidP="008A5C11">
            <w:pPr>
              <w:jc w:val="center"/>
              <w:rPr>
                <w:color w:val="000000"/>
                <w:sz w:val="16"/>
                <w:szCs w:val="16"/>
              </w:rPr>
            </w:pPr>
            <w:r w:rsidRPr="000E5DBF">
              <w:rPr>
                <w:color w:val="000000"/>
                <w:sz w:val="16"/>
                <w:szCs w:val="16"/>
              </w:rPr>
              <w:t>0,00</w:t>
            </w:r>
          </w:p>
        </w:tc>
        <w:tc>
          <w:tcPr>
            <w:tcW w:w="708" w:type="dxa"/>
            <w:shd w:val="clear" w:color="auto" w:fill="auto"/>
            <w:vAlign w:val="center"/>
          </w:tcPr>
          <w:p w14:paraId="53277843" w14:textId="77777777" w:rsidR="00F22587" w:rsidRPr="000E5DBF" w:rsidRDefault="00F22587" w:rsidP="008A5C11">
            <w:pPr>
              <w:jc w:val="center"/>
              <w:rPr>
                <w:color w:val="000000"/>
                <w:sz w:val="16"/>
                <w:szCs w:val="16"/>
              </w:rPr>
            </w:pPr>
            <w:r w:rsidRPr="000E5DBF">
              <w:rPr>
                <w:color w:val="000000"/>
                <w:sz w:val="16"/>
                <w:szCs w:val="16"/>
              </w:rPr>
              <w:t>0,00</w:t>
            </w:r>
          </w:p>
        </w:tc>
        <w:tc>
          <w:tcPr>
            <w:tcW w:w="616" w:type="dxa"/>
            <w:shd w:val="clear" w:color="auto" w:fill="auto"/>
            <w:vAlign w:val="center"/>
          </w:tcPr>
          <w:p w14:paraId="2C3D77FC" w14:textId="77777777" w:rsidR="00F22587" w:rsidRPr="000E5DBF" w:rsidRDefault="00F22587" w:rsidP="008A5C11">
            <w:pPr>
              <w:jc w:val="center"/>
              <w:rPr>
                <w:color w:val="000000"/>
                <w:sz w:val="16"/>
                <w:szCs w:val="16"/>
              </w:rPr>
            </w:pPr>
            <w:r w:rsidRPr="000E5DBF">
              <w:rPr>
                <w:color w:val="000000"/>
                <w:sz w:val="16"/>
                <w:szCs w:val="16"/>
              </w:rPr>
              <w:t>0,00</w:t>
            </w:r>
          </w:p>
        </w:tc>
        <w:tc>
          <w:tcPr>
            <w:tcW w:w="616" w:type="dxa"/>
            <w:shd w:val="clear" w:color="auto" w:fill="auto"/>
            <w:vAlign w:val="center"/>
          </w:tcPr>
          <w:p w14:paraId="4D30C9A0" w14:textId="77777777" w:rsidR="00F22587" w:rsidRPr="000E5DBF" w:rsidRDefault="00F22587" w:rsidP="008A5C11">
            <w:pPr>
              <w:jc w:val="center"/>
              <w:rPr>
                <w:color w:val="000000"/>
                <w:sz w:val="16"/>
                <w:szCs w:val="16"/>
              </w:rPr>
            </w:pPr>
            <w:r w:rsidRPr="000E5DBF">
              <w:rPr>
                <w:color w:val="000000"/>
                <w:sz w:val="16"/>
                <w:szCs w:val="16"/>
              </w:rPr>
              <w:t>0,00</w:t>
            </w:r>
          </w:p>
        </w:tc>
        <w:tc>
          <w:tcPr>
            <w:tcW w:w="616" w:type="dxa"/>
            <w:shd w:val="clear" w:color="auto" w:fill="auto"/>
            <w:vAlign w:val="center"/>
          </w:tcPr>
          <w:p w14:paraId="63B3D91D" w14:textId="77777777" w:rsidR="00F22587" w:rsidRPr="000E5DBF" w:rsidRDefault="00F22587" w:rsidP="008A5C11">
            <w:pPr>
              <w:jc w:val="center"/>
              <w:rPr>
                <w:color w:val="000000"/>
                <w:sz w:val="16"/>
                <w:szCs w:val="16"/>
              </w:rPr>
            </w:pPr>
            <w:r w:rsidRPr="000E5DBF">
              <w:rPr>
                <w:color w:val="000000"/>
                <w:sz w:val="16"/>
                <w:szCs w:val="16"/>
              </w:rPr>
              <w:t>0,00</w:t>
            </w:r>
          </w:p>
        </w:tc>
        <w:tc>
          <w:tcPr>
            <w:tcW w:w="846" w:type="dxa"/>
            <w:shd w:val="clear" w:color="auto" w:fill="auto"/>
            <w:vAlign w:val="center"/>
          </w:tcPr>
          <w:p w14:paraId="059D0D26" w14:textId="77777777" w:rsidR="00F22587" w:rsidRPr="000E5DBF" w:rsidRDefault="00F22587" w:rsidP="008A5C11">
            <w:pPr>
              <w:jc w:val="center"/>
              <w:rPr>
                <w:color w:val="000000"/>
                <w:sz w:val="16"/>
                <w:szCs w:val="16"/>
              </w:rPr>
            </w:pPr>
            <w:r w:rsidRPr="000E5DBF">
              <w:rPr>
                <w:color w:val="000000"/>
                <w:sz w:val="16"/>
                <w:szCs w:val="16"/>
              </w:rPr>
              <w:t>0,00</w:t>
            </w:r>
          </w:p>
        </w:tc>
      </w:tr>
      <w:tr w:rsidR="00F22587" w:rsidRPr="000E5DBF" w14:paraId="3B1D9BE9" w14:textId="77777777" w:rsidTr="008A5C11">
        <w:trPr>
          <w:trHeight w:val="136"/>
          <w:jc w:val="center"/>
        </w:trPr>
        <w:tc>
          <w:tcPr>
            <w:tcW w:w="516" w:type="dxa"/>
            <w:shd w:val="clear" w:color="auto" w:fill="auto"/>
            <w:vAlign w:val="center"/>
            <w:hideMark/>
          </w:tcPr>
          <w:p w14:paraId="385F10D5" w14:textId="77777777" w:rsidR="00F22587" w:rsidRPr="000E5DBF" w:rsidRDefault="00F22587" w:rsidP="008A5C11">
            <w:pPr>
              <w:jc w:val="center"/>
              <w:rPr>
                <w:bCs/>
                <w:sz w:val="16"/>
                <w:szCs w:val="16"/>
              </w:rPr>
            </w:pPr>
            <w:r w:rsidRPr="000E5DBF">
              <w:rPr>
                <w:bCs/>
                <w:sz w:val="16"/>
                <w:szCs w:val="16"/>
              </w:rPr>
              <w:t>3</w:t>
            </w:r>
          </w:p>
        </w:tc>
        <w:tc>
          <w:tcPr>
            <w:tcW w:w="3373" w:type="dxa"/>
            <w:shd w:val="clear" w:color="auto" w:fill="auto"/>
            <w:vAlign w:val="center"/>
            <w:hideMark/>
          </w:tcPr>
          <w:p w14:paraId="3215803D" w14:textId="77777777" w:rsidR="00F22587" w:rsidRPr="000E5DBF" w:rsidRDefault="00F22587" w:rsidP="008A5C11">
            <w:pPr>
              <w:rPr>
                <w:bCs/>
                <w:sz w:val="16"/>
                <w:szCs w:val="16"/>
              </w:rPr>
            </w:pPr>
            <w:r w:rsidRPr="000E5DBF">
              <w:rPr>
                <w:bCs/>
                <w:sz w:val="16"/>
                <w:szCs w:val="16"/>
              </w:rPr>
              <w:t>Бюджетное финансирование (средства местного бюджета)</w:t>
            </w:r>
          </w:p>
        </w:tc>
        <w:tc>
          <w:tcPr>
            <w:tcW w:w="1439" w:type="dxa"/>
            <w:shd w:val="clear" w:color="auto" w:fill="auto"/>
            <w:vAlign w:val="center"/>
          </w:tcPr>
          <w:p w14:paraId="7DE57B39" w14:textId="77777777" w:rsidR="00F22587" w:rsidRPr="000E5DBF" w:rsidRDefault="00F22587" w:rsidP="008A5C11">
            <w:pPr>
              <w:jc w:val="center"/>
              <w:rPr>
                <w:color w:val="000000"/>
                <w:sz w:val="16"/>
                <w:szCs w:val="16"/>
              </w:rPr>
            </w:pPr>
            <w:r w:rsidRPr="000E5DBF">
              <w:rPr>
                <w:color w:val="000000"/>
                <w:sz w:val="16"/>
                <w:szCs w:val="16"/>
              </w:rPr>
              <w:t>0,00</w:t>
            </w:r>
          </w:p>
        </w:tc>
        <w:tc>
          <w:tcPr>
            <w:tcW w:w="966" w:type="dxa"/>
            <w:shd w:val="clear" w:color="auto" w:fill="auto"/>
            <w:vAlign w:val="center"/>
          </w:tcPr>
          <w:p w14:paraId="67B53C74" w14:textId="77777777" w:rsidR="00F22587" w:rsidRPr="000E5DBF" w:rsidRDefault="00F22587" w:rsidP="008A5C11">
            <w:pPr>
              <w:jc w:val="center"/>
              <w:rPr>
                <w:color w:val="000000"/>
                <w:sz w:val="16"/>
                <w:szCs w:val="16"/>
              </w:rPr>
            </w:pPr>
            <w:r w:rsidRPr="000E5DBF">
              <w:rPr>
                <w:color w:val="000000"/>
                <w:sz w:val="16"/>
                <w:szCs w:val="16"/>
              </w:rPr>
              <w:t>0,00</w:t>
            </w:r>
          </w:p>
        </w:tc>
        <w:tc>
          <w:tcPr>
            <w:tcW w:w="866" w:type="dxa"/>
            <w:shd w:val="clear" w:color="auto" w:fill="auto"/>
            <w:vAlign w:val="center"/>
          </w:tcPr>
          <w:p w14:paraId="2EDD2CFF" w14:textId="77777777" w:rsidR="00F22587" w:rsidRPr="000E5DBF" w:rsidRDefault="00F22587" w:rsidP="008A5C11">
            <w:pPr>
              <w:jc w:val="center"/>
              <w:rPr>
                <w:color w:val="000000"/>
                <w:sz w:val="16"/>
                <w:szCs w:val="16"/>
              </w:rPr>
            </w:pPr>
            <w:r w:rsidRPr="000E5DBF">
              <w:rPr>
                <w:color w:val="000000"/>
                <w:sz w:val="16"/>
                <w:szCs w:val="16"/>
              </w:rPr>
              <w:t>0,00</w:t>
            </w:r>
          </w:p>
        </w:tc>
        <w:tc>
          <w:tcPr>
            <w:tcW w:w="866" w:type="dxa"/>
            <w:shd w:val="clear" w:color="auto" w:fill="auto"/>
            <w:vAlign w:val="center"/>
          </w:tcPr>
          <w:p w14:paraId="7613F9F7" w14:textId="77777777" w:rsidR="00F22587" w:rsidRPr="000E5DBF" w:rsidRDefault="00F22587" w:rsidP="008A5C11">
            <w:pPr>
              <w:jc w:val="center"/>
              <w:rPr>
                <w:color w:val="000000"/>
                <w:sz w:val="16"/>
                <w:szCs w:val="16"/>
              </w:rPr>
            </w:pPr>
            <w:r w:rsidRPr="000E5DBF">
              <w:rPr>
                <w:color w:val="000000"/>
                <w:sz w:val="16"/>
                <w:szCs w:val="16"/>
              </w:rPr>
              <w:t>0,00</w:t>
            </w:r>
          </w:p>
        </w:tc>
        <w:tc>
          <w:tcPr>
            <w:tcW w:w="866" w:type="dxa"/>
            <w:shd w:val="clear" w:color="auto" w:fill="auto"/>
            <w:vAlign w:val="center"/>
          </w:tcPr>
          <w:p w14:paraId="776975EF" w14:textId="77777777" w:rsidR="00F22587" w:rsidRPr="000E5DBF" w:rsidRDefault="00F22587" w:rsidP="008A5C11">
            <w:pPr>
              <w:jc w:val="center"/>
              <w:rPr>
                <w:color w:val="000000"/>
                <w:sz w:val="16"/>
                <w:szCs w:val="16"/>
              </w:rPr>
            </w:pPr>
            <w:r w:rsidRPr="000E5DBF">
              <w:rPr>
                <w:color w:val="000000"/>
                <w:sz w:val="16"/>
                <w:szCs w:val="16"/>
              </w:rPr>
              <w:t>0,00</w:t>
            </w:r>
          </w:p>
        </w:tc>
        <w:tc>
          <w:tcPr>
            <w:tcW w:w="728" w:type="dxa"/>
            <w:shd w:val="clear" w:color="auto" w:fill="auto"/>
            <w:vAlign w:val="center"/>
          </w:tcPr>
          <w:p w14:paraId="23DE3FBF" w14:textId="77777777" w:rsidR="00F22587" w:rsidRPr="000E5DBF" w:rsidRDefault="00F22587" w:rsidP="008A5C11">
            <w:pPr>
              <w:jc w:val="center"/>
              <w:rPr>
                <w:color w:val="000000"/>
                <w:sz w:val="16"/>
                <w:szCs w:val="16"/>
              </w:rPr>
            </w:pPr>
            <w:r w:rsidRPr="000E5DBF">
              <w:rPr>
                <w:color w:val="000000"/>
                <w:sz w:val="16"/>
                <w:szCs w:val="16"/>
              </w:rPr>
              <w:t>0,00</w:t>
            </w:r>
          </w:p>
        </w:tc>
        <w:tc>
          <w:tcPr>
            <w:tcW w:w="709" w:type="dxa"/>
            <w:shd w:val="clear" w:color="auto" w:fill="auto"/>
            <w:vAlign w:val="center"/>
          </w:tcPr>
          <w:p w14:paraId="204047D9" w14:textId="77777777" w:rsidR="00F22587" w:rsidRPr="000E5DBF" w:rsidRDefault="00F22587" w:rsidP="008A5C11">
            <w:pPr>
              <w:jc w:val="center"/>
              <w:rPr>
                <w:color w:val="000000"/>
                <w:sz w:val="16"/>
                <w:szCs w:val="16"/>
              </w:rPr>
            </w:pPr>
            <w:r w:rsidRPr="000E5DBF">
              <w:rPr>
                <w:color w:val="000000"/>
                <w:sz w:val="16"/>
                <w:szCs w:val="16"/>
              </w:rPr>
              <w:t>0,00</w:t>
            </w:r>
          </w:p>
        </w:tc>
        <w:tc>
          <w:tcPr>
            <w:tcW w:w="709" w:type="dxa"/>
            <w:shd w:val="clear" w:color="auto" w:fill="auto"/>
            <w:vAlign w:val="center"/>
          </w:tcPr>
          <w:p w14:paraId="5D1111EB" w14:textId="77777777" w:rsidR="00F22587" w:rsidRPr="000E5DBF" w:rsidRDefault="00F22587" w:rsidP="008A5C11">
            <w:pPr>
              <w:jc w:val="center"/>
              <w:rPr>
                <w:color w:val="000000"/>
                <w:sz w:val="16"/>
                <w:szCs w:val="16"/>
              </w:rPr>
            </w:pPr>
            <w:r w:rsidRPr="000E5DBF">
              <w:rPr>
                <w:color w:val="000000"/>
                <w:sz w:val="16"/>
                <w:szCs w:val="16"/>
              </w:rPr>
              <w:t>0,00</w:t>
            </w:r>
          </w:p>
        </w:tc>
        <w:tc>
          <w:tcPr>
            <w:tcW w:w="709" w:type="dxa"/>
            <w:shd w:val="clear" w:color="auto" w:fill="auto"/>
            <w:vAlign w:val="center"/>
          </w:tcPr>
          <w:p w14:paraId="72E94626" w14:textId="77777777" w:rsidR="00F22587" w:rsidRPr="000E5DBF" w:rsidRDefault="00F22587" w:rsidP="008A5C11">
            <w:pPr>
              <w:jc w:val="center"/>
              <w:rPr>
                <w:color w:val="000000"/>
                <w:sz w:val="16"/>
                <w:szCs w:val="16"/>
              </w:rPr>
            </w:pPr>
            <w:r w:rsidRPr="000E5DBF">
              <w:rPr>
                <w:color w:val="000000"/>
                <w:sz w:val="16"/>
                <w:szCs w:val="16"/>
              </w:rPr>
              <w:t>0,00</w:t>
            </w:r>
          </w:p>
        </w:tc>
        <w:tc>
          <w:tcPr>
            <w:tcW w:w="708" w:type="dxa"/>
            <w:shd w:val="clear" w:color="auto" w:fill="auto"/>
            <w:vAlign w:val="center"/>
          </w:tcPr>
          <w:p w14:paraId="7A352194" w14:textId="77777777" w:rsidR="00F22587" w:rsidRPr="000E5DBF" w:rsidRDefault="00F22587" w:rsidP="008A5C11">
            <w:pPr>
              <w:jc w:val="center"/>
              <w:rPr>
                <w:color w:val="000000"/>
                <w:sz w:val="16"/>
                <w:szCs w:val="16"/>
              </w:rPr>
            </w:pPr>
            <w:r w:rsidRPr="000E5DBF">
              <w:rPr>
                <w:color w:val="000000"/>
                <w:sz w:val="16"/>
                <w:szCs w:val="16"/>
              </w:rPr>
              <w:t>0,00</w:t>
            </w:r>
          </w:p>
        </w:tc>
        <w:tc>
          <w:tcPr>
            <w:tcW w:w="616" w:type="dxa"/>
            <w:shd w:val="clear" w:color="auto" w:fill="auto"/>
            <w:vAlign w:val="center"/>
          </w:tcPr>
          <w:p w14:paraId="63561BAE" w14:textId="77777777" w:rsidR="00F22587" w:rsidRPr="000E5DBF" w:rsidRDefault="00F22587" w:rsidP="008A5C11">
            <w:pPr>
              <w:jc w:val="center"/>
              <w:rPr>
                <w:color w:val="000000"/>
                <w:sz w:val="16"/>
                <w:szCs w:val="16"/>
              </w:rPr>
            </w:pPr>
            <w:r w:rsidRPr="000E5DBF">
              <w:rPr>
                <w:color w:val="000000"/>
                <w:sz w:val="16"/>
                <w:szCs w:val="16"/>
              </w:rPr>
              <w:t>0,00</w:t>
            </w:r>
          </w:p>
        </w:tc>
        <w:tc>
          <w:tcPr>
            <w:tcW w:w="616" w:type="dxa"/>
            <w:shd w:val="clear" w:color="auto" w:fill="auto"/>
            <w:vAlign w:val="center"/>
          </w:tcPr>
          <w:p w14:paraId="7970D838" w14:textId="77777777" w:rsidR="00F22587" w:rsidRPr="000E5DBF" w:rsidRDefault="00F22587" w:rsidP="008A5C11">
            <w:pPr>
              <w:jc w:val="center"/>
              <w:rPr>
                <w:color w:val="000000"/>
                <w:sz w:val="16"/>
                <w:szCs w:val="16"/>
              </w:rPr>
            </w:pPr>
            <w:r w:rsidRPr="000E5DBF">
              <w:rPr>
                <w:color w:val="000000"/>
                <w:sz w:val="16"/>
                <w:szCs w:val="16"/>
              </w:rPr>
              <w:t>0,00</w:t>
            </w:r>
          </w:p>
        </w:tc>
        <w:tc>
          <w:tcPr>
            <w:tcW w:w="616" w:type="dxa"/>
            <w:shd w:val="clear" w:color="auto" w:fill="auto"/>
            <w:vAlign w:val="center"/>
          </w:tcPr>
          <w:p w14:paraId="7923DFC4" w14:textId="77777777" w:rsidR="00F22587" w:rsidRPr="000E5DBF" w:rsidRDefault="00F22587" w:rsidP="008A5C11">
            <w:pPr>
              <w:jc w:val="center"/>
              <w:rPr>
                <w:color w:val="000000"/>
                <w:sz w:val="16"/>
                <w:szCs w:val="16"/>
              </w:rPr>
            </w:pPr>
            <w:r w:rsidRPr="000E5DBF">
              <w:rPr>
                <w:color w:val="000000"/>
                <w:sz w:val="16"/>
                <w:szCs w:val="16"/>
              </w:rPr>
              <w:t>0,00</w:t>
            </w:r>
          </w:p>
        </w:tc>
        <w:tc>
          <w:tcPr>
            <w:tcW w:w="846" w:type="dxa"/>
            <w:shd w:val="clear" w:color="auto" w:fill="auto"/>
            <w:vAlign w:val="center"/>
          </w:tcPr>
          <w:p w14:paraId="704C531E" w14:textId="77777777" w:rsidR="00F22587" w:rsidRPr="000E5DBF" w:rsidRDefault="00F22587" w:rsidP="008A5C11">
            <w:pPr>
              <w:jc w:val="center"/>
              <w:rPr>
                <w:color w:val="000000"/>
                <w:sz w:val="16"/>
                <w:szCs w:val="16"/>
              </w:rPr>
            </w:pPr>
            <w:r w:rsidRPr="000E5DBF">
              <w:rPr>
                <w:color w:val="000000"/>
                <w:sz w:val="16"/>
                <w:szCs w:val="16"/>
              </w:rPr>
              <w:t>0,00</w:t>
            </w:r>
          </w:p>
        </w:tc>
      </w:tr>
      <w:tr w:rsidR="00F22587" w:rsidRPr="000E5DBF" w14:paraId="69AAEFDB" w14:textId="77777777" w:rsidTr="008A5C11">
        <w:trPr>
          <w:trHeight w:val="60"/>
          <w:jc w:val="center"/>
        </w:trPr>
        <w:tc>
          <w:tcPr>
            <w:tcW w:w="516" w:type="dxa"/>
            <w:shd w:val="clear" w:color="auto" w:fill="auto"/>
            <w:vAlign w:val="center"/>
            <w:hideMark/>
          </w:tcPr>
          <w:p w14:paraId="79F316C7" w14:textId="77777777" w:rsidR="00F22587" w:rsidRPr="000E5DBF" w:rsidRDefault="00F22587" w:rsidP="008A5C11">
            <w:pPr>
              <w:jc w:val="center"/>
              <w:rPr>
                <w:bCs/>
                <w:sz w:val="16"/>
                <w:szCs w:val="16"/>
              </w:rPr>
            </w:pPr>
            <w:r w:rsidRPr="000E5DBF">
              <w:rPr>
                <w:bCs/>
                <w:sz w:val="16"/>
                <w:szCs w:val="16"/>
              </w:rPr>
              <w:t>4</w:t>
            </w:r>
          </w:p>
        </w:tc>
        <w:tc>
          <w:tcPr>
            <w:tcW w:w="3373" w:type="dxa"/>
            <w:shd w:val="clear" w:color="auto" w:fill="auto"/>
            <w:vAlign w:val="center"/>
            <w:hideMark/>
          </w:tcPr>
          <w:p w14:paraId="7DBDC806" w14:textId="77777777" w:rsidR="00F22587" w:rsidRPr="000E5DBF" w:rsidRDefault="00F22587" w:rsidP="008A5C11">
            <w:pPr>
              <w:rPr>
                <w:bCs/>
                <w:sz w:val="16"/>
                <w:szCs w:val="16"/>
              </w:rPr>
            </w:pPr>
            <w:r w:rsidRPr="000E5DBF">
              <w:rPr>
                <w:bCs/>
                <w:sz w:val="16"/>
                <w:szCs w:val="16"/>
              </w:rPr>
              <w:t>Прочие источники финансирования, в т.ч. лизинг</w:t>
            </w:r>
          </w:p>
        </w:tc>
        <w:tc>
          <w:tcPr>
            <w:tcW w:w="1439" w:type="dxa"/>
            <w:shd w:val="clear" w:color="auto" w:fill="auto"/>
            <w:vAlign w:val="center"/>
          </w:tcPr>
          <w:p w14:paraId="74AF9892" w14:textId="77777777" w:rsidR="00F22587" w:rsidRPr="000E5DBF" w:rsidRDefault="00F22587" w:rsidP="008A5C11">
            <w:pPr>
              <w:jc w:val="center"/>
              <w:rPr>
                <w:color w:val="000000"/>
                <w:sz w:val="16"/>
                <w:szCs w:val="16"/>
              </w:rPr>
            </w:pPr>
            <w:r w:rsidRPr="000E5DBF">
              <w:rPr>
                <w:color w:val="000000"/>
                <w:sz w:val="16"/>
                <w:szCs w:val="16"/>
              </w:rPr>
              <w:t>0,00</w:t>
            </w:r>
          </w:p>
        </w:tc>
        <w:tc>
          <w:tcPr>
            <w:tcW w:w="966" w:type="dxa"/>
            <w:shd w:val="clear" w:color="auto" w:fill="auto"/>
            <w:vAlign w:val="center"/>
          </w:tcPr>
          <w:p w14:paraId="0F7D05C3" w14:textId="77777777" w:rsidR="00F22587" w:rsidRPr="000E5DBF" w:rsidRDefault="00F22587" w:rsidP="008A5C11">
            <w:pPr>
              <w:jc w:val="center"/>
              <w:rPr>
                <w:color w:val="000000"/>
                <w:sz w:val="16"/>
                <w:szCs w:val="16"/>
              </w:rPr>
            </w:pPr>
            <w:r w:rsidRPr="000E5DBF">
              <w:rPr>
                <w:color w:val="000000"/>
                <w:sz w:val="16"/>
                <w:szCs w:val="16"/>
              </w:rPr>
              <w:t>0,00</w:t>
            </w:r>
          </w:p>
        </w:tc>
        <w:tc>
          <w:tcPr>
            <w:tcW w:w="866" w:type="dxa"/>
            <w:shd w:val="clear" w:color="auto" w:fill="auto"/>
            <w:vAlign w:val="center"/>
          </w:tcPr>
          <w:p w14:paraId="4A52D2E5" w14:textId="77777777" w:rsidR="00F22587" w:rsidRPr="000E5DBF" w:rsidRDefault="00F22587" w:rsidP="008A5C11">
            <w:pPr>
              <w:jc w:val="center"/>
              <w:rPr>
                <w:color w:val="000000"/>
                <w:sz w:val="16"/>
                <w:szCs w:val="16"/>
              </w:rPr>
            </w:pPr>
            <w:r w:rsidRPr="000E5DBF">
              <w:rPr>
                <w:color w:val="000000"/>
                <w:sz w:val="16"/>
                <w:szCs w:val="16"/>
              </w:rPr>
              <w:t>0,00</w:t>
            </w:r>
          </w:p>
        </w:tc>
        <w:tc>
          <w:tcPr>
            <w:tcW w:w="866" w:type="dxa"/>
            <w:shd w:val="clear" w:color="auto" w:fill="auto"/>
            <w:vAlign w:val="center"/>
          </w:tcPr>
          <w:p w14:paraId="667178DA" w14:textId="77777777" w:rsidR="00F22587" w:rsidRPr="000E5DBF" w:rsidRDefault="00F22587" w:rsidP="008A5C11">
            <w:pPr>
              <w:jc w:val="center"/>
              <w:rPr>
                <w:color w:val="000000"/>
                <w:sz w:val="16"/>
                <w:szCs w:val="16"/>
              </w:rPr>
            </w:pPr>
            <w:r w:rsidRPr="000E5DBF">
              <w:rPr>
                <w:color w:val="000000"/>
                <w:sz w:val="16"/>
                <w:szCs w:val="16"/>
              </w:rPr>
              <w:t>0,00</w:t>
            </w:r>
          </w:p>
        </w:tc>
        <w:tc>
          <w:tcPr>
            <w:tcW w:w="866" w:type="dxa"/>
            <w:shd w:val="clear" w:color="auto" w:fill="auto"/>
            <w:vAlign w:val="center"/>
          </w:tcPr>
          <w:p w14:paraId="2A361EFC" w14:textId="77777777" w:rsidR="00F22587" w:rsidRPr="000E5DBF" w:rsidRDefault="00F22587" w:rsidP="008A5C11">
            <w:pPr>
              <w:jc w:val="center"/>
              <w:rPr>
                <w:color w:val="000000"/>
                <w:sz w:val="16"/>
                <w:szCs w:val="16"/>
              </w:rPr>
            </w:pPr>
            <w:r w:rsidRPr="000E5DBF">
              <w:rPr>
                <w:color w:val="000000"/>
                <w:sz w:val="16"/>
                <w:szCs w:val="16"/>
              </w:rPr>
              <w:t>0,00</w:t>
            </w:r>
          </w:p>
        </w:tc>
        <w:tc>
          <w:tcPr>
            <w:tcW w:w="728" w:type="dxa"/>
            <w:shd w:val="clear" w:color="auto" w:fill="auto"/>
            <w:vAlign w:val="center"/>
          </w:tcPr>
          <w:p w14:paraId="794F7093" w14:textId="77777777" w:rsidR="00F22587" w:rsidRPr="000E5DBF" w:rsidRDefault="00F22587" w:rsidP="008A5C11">
            <w:pPr>
              <w:jc w:val="center"/>
              <w:rPr>
                <w:color w:val="000000"/>
                <w:sz w:val="16"/>
                <w:szCs w:val="16"/>
              </w:rPr>
            </w:pPr>
            <w:r w:rsidRPr="000E5DBF">
              <w:rPr>
                <w:color w:val="000000"/>
                <w:sz w:val="16"/>
                <w:szCs w:val="16"/>
              </w:rPr>
              <w:t>0,00</w:t>
            </w:r>
          </w:p>
        </w:tc>
        <w:tc>
          <w:tcPr>
            <w:tcW w:w="709" w:type="dxa"/>
            <w:shd w:val="clear" w:color="auto" w:fill="auto"/>
            <w:vAlign w:val="center"/>
          </w:tcPr>
          <w:p w14:paraId="779EBF18" w14:textId="77777777" w:rsidR="00F22587" w:rsidRPr="000E5DBF" w:rsidRDefault="00F22587" w:rsidP="008A5C11">
            <w:pPr>
              <w:jc w:val="center"/>
              <w:rPr>
                <w:color w:val="000000"/>
                <w:sz w:val="16"/>
                <w:szCs w:val="16"/>
              </w:rPr>
            </w:pPr>
            <w:r w:rsidRPr="000E5DBF">
              <w:rPr>
                <w:color w:val="000000"/>
                <w:sz w:val="16"/>
                <w:szCs w:val="16"/>
              </w:rPr>
              <w:t>0,00</w:t>
            </w:r>
          </w:p>
        </w:tc>
        <w:tc>
          <w:tcPr>
            <w:tcW w:w="709" w:type="dxa"/>
            <w:shd w:val="clear" w:color="auto" w:fill="auto"/>
            <w:vAlign w:val="center"/>
          </w:tcPr>
          <w:p w14:paraId="2015FA20" w14:textId="77777777" w:rsidR="00F22587" w:rsidRPr="000E5DBF" w:rsidRDefault="00F22587" w:rsidP="008A5C11">
            <w:pPr>
              <w:jc w:val="center"/>
              <w:rPr>
                <w:color w:val="000000"/>
                <w:sz w:val="16"/>
                <w:szCs w:val="16"/>
              </w:rPr>
            </w:pPr>
            <w:r w:rsidRPr="000E5DBF">
              <w:rPr>
                <w:color w:val="000000"/>
                <w:sz w:val="16"/>
                <w:szCs w:val="16"/>
              </w:rPr>
              <w:t>0,00</w:t>
            </w:r>
          </w:p>
        </w:tc>
        <w:tc>
          <w:tcPr>
            <w:tcW w:w="709" w:type="dxa"/>
            <w:shd w:val="clear" w:color="auto" w:fill="auto"/>
            <w:vAlign w:val="center"/>
          </w:tcPr>
          <w:p w14:paraId="06296197" w14:textId="77777777" w:rsidR="00F22587" w:rsidRPr="000E5DBF" w:rsidRDefault="00F22587" w:rsidP="008A5C11">
            <w:pPr>
              <w:jc w:val="center"/>
              <w:rPr>
                <w:color w:val="000000"/>
                <w:sz w:val="16"/>
                <w:szCs w:val="16"/>
              </w:rPr>
            </w:pPr>
            <w:r w:rsidRPr="000E5DBF">
              <w:rPr>
                <w:color w:val="000000"/>
                <w:sz w:val="16"/>
                <w:szCs w:val="16"/>
              </w:rPr>
              <w:t>0,00</w:t>
            </w:r>
          </w:p>
        </w:tc>
        <w:tc>
          <w:tcPr>
            <w:tcW w:w="708" w:type="dxa"/>
            <w:shd w:val="clear" w:color="auto" w:fill="auto"/>
            <w:vAlign w:val="center"/>
          </w:tcPr>
          <w:p w14:paraId="7C9187A9" w14:textId="77777777" w:rsidR="00F22587" w:rsidRPr="000E5DBF" w:rsidRDefault="00F22587" w:rsidP="008A5C11">
            <w:pPr>
              <w:jc w:val="center"/>
              <w:rPr>
                <w:color w:val="000000"/>
                <w:sz w:val="16"/>
                <w:szCs w:val="16"/>
              </w:rPr>
            </w:pPr>
            <w:r w:rsidRPr="000E5DBF">
              <w:rPr>
                <w:color w:val="000000"/>
                <w:sz w:val="16"/>
                <w:szCs w:val="16"/>
              </w:rPr>
              <w:t>0,00</w:t>
            </w:r>
          </w:p>
        </w:tc>
        <w:tc>
          <w:tcPr>
            <w:tcW w:w="616" w:type="dxa"/>
            <w:shd w:val="clear" w:color="auto" w:fill="auto"/>
            <w:vAlign w:val="center"/>
          </w:tcPr>
          <w:p w14:paraId="760E6C3B" w14:textId="77777777" w:rsidR="00F22587" w:rsidRPr="000E5DBF" w:rsidRDefault="00F22587" w:rsidP="008A5C11">
            <w:pPr>
              <w:jc w:val="center"/>
              <w:rPr>
                <w:color w:val="000000"/>
                <w:sz w:val="16"/>
                <w:szCs w:val="16"/>
              </w:rPr>
            </w:pPr>
            <w:r w:rsidRPr="000E5DBF">
              <w:rPr>
                <w:color w:val="000000"/>
                <w:sz w:val="16"/>
                <w:szCs w:val="16"/>
              </w:rPr>
              <w:t>0,00</w:t>
            </w:r>
          </w:p>
        </w:tc>
        <w:tc>
          <w:tcPr>
            <w:tcW w:w="616" w:type="dxa"/>
            <w:shd w:val="clear" w:color="auto" w:fill="auto"/>
            <w:vAlign w:val="center"/>
          </w:tcPr>
          <w:p w14:paraId="225B0DCB" w14:textId="77777777" w:rsidR="00F22587" w:rsidRPr="000E5DBF" w:rsidRDefault="00F22587" w:rsidP="008A5C11">
            <w:pPr>
              <w:jc w:val="center"/>
              <w:rPr>
                <w:color w:val="000000"/>
                <w:sz w:val="16"/>
                <w:szCs w:val="16"/>
              </w:rPr>
            </w:pPr>
            <w:r w:rsidRPr="000E5DBF">
              <w:rPr>
                <w:color w:val="000000"/>
                <w:sz w:val="16"/>
                <w:szCs w:val="16"/>
              </w:rPr>
              <w:t>0,00</w:t>
            </w:r>
          </w:p>
        </w:tc>
        <w:tc>
          <w:tcPr>
            <w:tcW w:w="616" w:type="dxa"/>
            <w:shd w:val="clear" w:color="auto" w:fill="auto"/>
            <w:vAlign w:val="center"/>
          </w:tcPr>
          <w:p w14:paraId="1A2CF00D" w14:textId="77777777" w:rsidR="00F22587" w:rsidRPr="000E5DBF" w:rsidRDefault="00F22587" w:rsidP="008A5C11">
            <w:pPr>
              <w:jc w:val="center"/>
              <w:rPr>
                <w:color w:val="000000"/>
                <w:sz w:val="16"/>
                <w:szCs w:val="16"/>
              </w:rPr>
            </w:pPr>
            <w:r w:rsidRPr="000E5DBF">
              <w:rPr>
                <w:color w:val="000000"/>
                <w:sz w:val="16"/>
                <w:szCs w:val="16"/>
              </w:rPr>
              <w:t>0,00</w:t>
            </w:r>
          </w:p>
        </w:tc>
        <w:tc>
          <w:tcPr>
            <w:tcW w:w="846" w:type="dxa"/>
            <w:shd w:val="clear" w:color="auto" w:fill="auto"/>
            <w:vAlign w:val="center"/>
          </w:tcPr>
          <w:p w14:paraId="4901EB41" w14:textId="77777777" w:rsidR="00F22587" w:rsidRPr="000E5DBF" w:rsidRDefault="00F22587" w:rsidP="008A5C11">
            <w:pPr>
              <w:jc w:val="center"/>
              <w:rPr>
                <w:color w:val="000000"/>
                <w:sz w:val="16"/>
                <w:szCs w:val="16"/>
              </w:rPr>
            </w:pPr>
            <w:r w:rsidRPr="000E5DBF">
              <w:rPr>
                <w:color w:val="000000"/>
                <w:sz w:val="16"/>
                <w:szCs w:val="16"/>
              </w:rPr>
              <w:t>0,00</w:t>
            </w:r>
          </w:p>
        </w:tc>
      </w:tr>
      <w:tr w:rsidR="00F22587" w:rsidRPr="000E5DBF" w14:paraId="0585B04F" w14:textId="77777777" w:rsidTr="008A5C11">
        <w:trPr>
          <w:trHeight w:val="255"/>
          <w:jc w:val="center"/>
        </w:trPr>
        <w:tc>
          <w:tcPr>
            <w:tcW w:w="516" w:type="dxa"/>
            <w:shd w:val="clear" w:color="auto" w:fill="auto"/>
            <w:vAlign w:val="center"/>
            <w:hideMark/>
          </w:tcPr>
          <w:p w14:paraId="5DC09D31" w14:textId="77777777" w:rsidR="00F22587" w:rsidRPr="000E5DBF" w:rsidRDefault="00F22587" w:rsidP="008A5C11">
            <w:pPr>
              <w:jc w:val="center"/>
              <w:rPr>
                <w:bCs/>
                <w:sz w:val="16"/>
                <w:szCs w:val="16"/>
              </w:rPr>
            </w:pPr>
            <w:r w:rsidRPr="000E5DBF">
              <w:rPr>
                <w:bCs/>
                <w:sz w:val="16"/>
                <w:szCs w:val="16"/>
              </w:rPr>
              <w:t> </w:t>
            </w:r>
          </w:p>
        </w:tc>
        <w:tc>
          <w:tcPr>
            <w:tcW w:w="3373" w:type="dxa"/>
            <w:shd w:val="clear" w:color="auto" w:fill="auto"/>
            <w:vAlign w:val="center"/>
            <w:hideMark/>
          </w:tcPr>
          <w:p w14:paraId="415B4B93" w14:textId="77777777" w:rsidR="00F22587" w:rsidRPr="000E5DBF" w:rsidRDefault="00F22587" w:rsidP="008A5C11">
            <w:pPr>
              <w:rPr>
                <w:bCs/>
                <w:sz w:val="16"/>
                <w:szCs w:val="16"/>
              </w:rPr>
            </w:pPr>
            <w:r w:rsidRPr="000E5DBF">
              <w:rPr>
                <w:bCs/>
                <w:sz w:val="16"/>
                <w:szCs w:val="16"/>
              </w:rPr>
              <w:t>ИТОГО по программе</w:t>
            </w:r>
          </w:p>
        </w:tc>
        <w:tc>
          <w:tcPr>
            <w:tcW w:w="1439" w:type="dxa"/>
            <w:shd w:val="clear" w:color="auto" w:fill="auto"/>
            <w:vAlign w:val="center"/>
          </w:tcPr>
          <w:p w14:paraId="666F1A05" w14:textId="77777777" w:rsidR="00F22587" w:rsidRPr="000E5DBF" w:rsidRDefault="00F22587" w:rsidP="008A5C11">
            <w:pPr>
              <w:jc w:val="center"/>
              <w:rPr>
                <w:color w:val="000000"/>
                <w:sz w:val="16"/>
                <w:szCs w:val="16"/>
              </w:rPr>
            </w:pPr>
            <w:r w:rsidRPr="000E5DBF">
              <w:rPr>
                <w:color w:val="000000"/>
                <w:sz w:val="16"/>
                <w:szCs w:val="16"/>
              </w:rPr>
              <w:t>59900,28</w:t>
            </w:r>
          </w:p>
        </w:tc>
        <w:tc>
          <w:tcPr>
            <w:tcW w:w="966" w:type="dxa"/>
            <w:shd w:val="clear" w:color="auto" w:fill="auto"/>
            <w:vAlign w:val="center"/>
          </w:tcPr>
          <w:p w14:paraId="4F4626EE" w14:textId="77777777" w:rsidR="00F22587" w:rsidRPr="000E5DBF" w:rsidRDefault="00F22587" w:rsidP="008A5C11">
            <w:pPr>
              <w:jc w:val="center"/>
              <w:rPr>
                <w:color w:val="000000"/>
                <w:sz w:val="16"/>
                <w:szCs w:val="16"/>
              </w:rPr>
            </w:pPr>
            <w:r w:rsidRPr="000E5DBF">
              <w:rPr>
                <w:color w:val="000000"/>
                <w:sz w:val="16"/>
                <w:szCs w:val="16"/>
              </w:rPr>
              <w:t>59900,28</w:t>
            </w:r>
          </w:p>
        </w:tc>
        <w:tc>
          <w:tcPr>
            <w:tcW w:w="866" w:type="dxa"/>
            <w:shd w:val="clear" w:color="auto" w:fill="auto"/>
            <w:vAlign w:val="center"/>
          </w:tcPr>
          <w:p w14:paraId="51504EA1" w14:textId="77777777" w:rsidR="00F22587" w:rsidRPr="000E5DBF" w:rsidRDefault="00F22587" w:rsidP="008A5C11">
            <w:pPr>
              <w:jc w:val="center"/>
              <w:rPr>
                <w:color w:val="000000"/>
                <w:sz w:val="16"/>
                <w:szCs w:val="16"/>
              </w:rPr>
            </w:pPr>
            <w:r w:rsidRPr="000E5DBF">
              <w:rPr>
                <w:color w:val="000000"/>
                <w:sz w:val="16"/>
                <w:szCs w:val="16"/>
              </w:rPr>
              <w:t>4685,98</w:t>
            </w:r>
          </w:p>
        </w:tc>
        <w:tc>
          <w:tcPr>
            <w:tcW w:w="866" w:type="dxa"/>
            <w:shd w:val="clear" w:color="auto" w:fill="auto"/>
            <w:vAlign w:val="center"/>
          </w:tcPr>
          <w:p w14:paraId="10E54BFC" w14:textId="77777777" w:rsidR="00F22587" w:rsidRPr="000E5DBF" w:rsidRDefault="00F22587" w:rsidP="008A5C11">
            <w:pPr>
              <w:jc w:val="center"/>
              <w:rPr>
                <w:color w:val="000000"/>
                <w:sz w:val="16"/>
                <w:szCs w:val="16"/>
              </w:rPr>
            </w:pPr>
            <w:r w:rsidRPr="000E5DBF">
              <w:rPr>
                <w:color w:val="000000"/>
                <w:sz w:val="16"/>
                <w:szCs w:val="16"/>
              </w:rPr>
              <w:t>5551,50</w:t>
            </w:r>
          </w:p>
        </w:tc>
        <w:tc>
          <w:tcPr>
            <w:tcW w:w="866" w:type="dxa"/>
            <w:shd w:val="clear" w:color="auto" w:fill="auto"/>
            <w:vAlign w:val="center"/>
          </w:tcPr>
          <w:p w14:paraId="47A0BFB0" w14:textId="77777777" w:rsidR="00F22587" w:rsidRPr="000E5DBF" w:rsidRDefault="00F22587" w:rsidP="008A5C11">
            <w:pPr>
              <w:jc w:val="center"/>
              <w:rPr>
                <w:color w:val="000000"/>
                <w:sz w:val="16"/>
                <w:szCs w:val="16"/>
              </w:rPr>
            </w:pPr>
            <w:r w:rsidRPr="000E5DBF">
              <w:rPr>
                <w:color w:val="000000"/>
                <w:sz w:val="16"/>
                <w:szCs w:val="16"/>
              </w:rPr>
              <w:t>6216,00</w:t>
            </w:r>
          </w:p>
        </w:tc>
        <w:tc>
          <w:tcPr>
            <w:tcW w:w="728" w:type="dxa"/>
            <w:shd w:val="clear" w:color="auto" w:fill="auto"/>
            <w:vAlign w:val="center"/>
          </w:tcPr>
          <w:p w14:paraId="7CE6A52A" w14:textId="77777777" w:rsidR="00F22587" w:rsidRPr="000E5DBF" w:rsidRDefault="00F22587" w:rsidP="008A5C11">
            <w:pPr>
              <w:jc w:val="center"/>
              <w:rPr>
                <w:color w:val="000000"/>
                <w:sz w:val="16"/>
                <w:szCs w:val="16"/>
              </w:rPr>
            </w:pPr>
            <w:r w:rsidRPr="000E5DBF">
              <w:rPr>
                <w:color w:val="000000"/>
                <w:sz w:val="16"/>
                <w:szCs w:val="16"/>
              </w:rPr>
              <w:t>6115,00</w:t>
            </w:r>
          </w:p>
        </w:tc>
        <w:tc>
          <w:tcPr>
            <w:tcW w:w="709" w:type="dxa"/>
            <w:shd w:val="clear" w:color="auto" w:fill="auto"/>
            <w:vAlign w:val="center"/>
          </w:tcPr>
          <w:p w14:paraId="375B417B" w14:textId="77777777" w:rsidR="00F22587" w:rsidRPr="000E5DBF" w:rsidRDefault="00F22587" w:rsidP="008A5C11">
            <w:pPr>
              <w:jc w:val="center"/>
              <w:rPr>
                <w:color w:val="000000"/>
                <w:sz w:val="16"/>
                <w:szCs w:val="16"/>
              </w:rPr>
            </w:pPr>
            <w:r w:rsidRPr="000E5DBF">
              <w:rPr>
                <w:color w:val="000000"/>
                <w:sz w:val="16"/>
                <w:szCs w:val="16"/>
              </w:rPr>
              <w:t>3525,00</w:t>
            </w:r>
          </w:p>
        </w:tc>
        <w:tc>
          <w:tcPr>
            <w:tcW w:w="709" w:type="dxa"/>
            <w:shd w:val="clear" w:color="auto" w:fill="auto"/>
            <w:vAlign w:val="center"/>
          </w:tcPr>
          <w:p w14:paraId="42EBE406" w14:textId="77777777" w:rsidR="00F22587" w:rsidRPr="000E5DBF" w:rsidRDefault="00F22587" w:rsidP="008A5C11">
            <w:pPr>
              <w:jc w:val="center"/>
              <w:rPr>
                <w:color w:val="000000"/>
                <w:sz w:val="16"/>
                <w:szCs w:val="16"/>
              </w:rPr>
            </w:pPr>
            <w:r w:rsidRPr="000E5DBF">
              <w:rPr>
                <w:color w:val="000000"/>
                <w:sz w:val="16"/>
                <w:szCs w:val="16"/>
              </w:rPr>
              <w:t>4332,00</w:t>
            </w:r>
          </w:p>
        </w:tc>
        <w:tc>
          <w:tcPr>
            <w:tcW w:w="709" w:type="dxa"/>
            <w:shd w:val="clear" w:color="auto" w:fill="auto"/>
            <w:vAlign w:val="center"/>
          </w:tcPr>
          <w:p w14:paraId="6E9799EF" w14:textId="77777777" w:rsidR="00F22587" w:rsidRPr="000E5DBF" w:rsidRDefault="00F22587" w:rsidP="008A5C11">
            <w:pPr>
              <w:jc w:val="center"/>
              <w:rPr>
                <w:color w:val="000000"/>
                <w:sz w:val="16"/>
                <w:szCs w:val="16"/>
              </w:rPr>
            </w:pPr>
            <w:r w:rsidRPr="000E5DBF">
              <w:rPr>
                <w:color w:val="000000"/>
                <w:sz w:val="16"/>
                <w:szCs w:val="16"/>
              </w:rPr>
              <w:t>3628,20</w:t>
            </w:r>
          </w:p>
        </w:tc>
        <w:tc>
          <w:tcPr>
            <w:tcW w:w="708" w:type="dxa"/>
            <w:shd w:val="clear" w:color="auto" w:fill="auto"/>
            <w:vAlign w:val="center"/>
          </w:tcPr>
          <w:p w14:paraId="48F96B45" w14:textId="77777777" w:rsidR="00F22587" w:rsidRPr="000E5DBF" w:rsidRDefault="00F22587" w:rsidP="008A5C11">
            <w:pPr>
              <w:jc w:val="center"/>
              <w:rPr>
                <w:color w:val="000000"/>
                <w:sz w:val="16"/>
                <w:szCs w:val="16"/>
              </w:rPr>
            </w:pPr>
            <w:r w:rsidRPr="000E5DBF">
              <w:rPr>
                <w:color w:val="000000"/>
                <w:sz w:val="16"/>
                <w:szCs w:val="16"/>
              </w:rPr>
              <w:t>6655,20</w:t>
            </w:r>
          </w:p>
        </w:tc>
        <w:tc>
          <w:tcPr>
            <w:tcW w:w="616" w:type="dxa"/>
            <w:shd w:val="clear" w:color="auto" w:fill="auto"/>
            <w:vAlign w:val="center"/>
          </w:tcPr>
          <w:p w14:paraId="2395233D" w14:textId="77777777" w:rsidR="00F22587" w:rsidRPr="000E5DBF" w:rsidRDefault="00F22587" w:rsidP="008A5C11">
            <w:pPr>
              <w:jc w:val="center"/>
              <w:rPr>
                <w:color w:val="000000"/>
                <w:sz w:val="16"/>
                <w:szCs w:val="16"/>
              </w:rPr>
            </w:pPr>
            <w:r w:rsidRPr="000E5DBF">
              <w:rPr>
                <w:color w:val="000000"/>
                <w:sz w:val="16"/>
                <w:szCs w:val="16"/>
              </w:rPr>
              <w:t>4340,00</w:t>
            </w:r>
          </w:p>
        </w:tc>
        <w:tc>
          <w:tcPr>
            <w:tcW w:w="616" w:type="dxa"/>
            <w:shd w:val="clear" w:color="auto" w:fill="auto"/>
            <w:vAlign w:val="center"/>
          </w:tcPr>
          <w:p w14:paraId="2B75A797" w14:textId="77777777" w:rsidR="00F22587" w:rsidRPr="000E5DBF" w:rsidRDefault="00F22587" w:rsidP="008A5C11">
            <w:pPr>
              <w:jc w:val="center"/>
              <w:rPr>
                <w:color w:val="000000"/>
                <w:sz w:val="16"/>
                <w:szCs w:val="16"/>
              </w:rPr>
            </w:pPr>
            <w:r w:rsidRPr="000E5DBF">
              <w:rPr>
                <w:color w:val="000000"/>
                <w:sz w:val="16"/>
                <w:szCs w:val="16"/>
              </w:rPr>
              <w:t>4980,00</w:t>
            </w:r>
          </w:p>
        </w:tc>
        <w:tc>
          <w:tcPr>
            <w:tcW w:w="616" w:type="dxa"/>
            <w:shd w:val="clear" w:color="auto" w:fill="auto"/>
            <w:vAlign w:val="center"/>
          </w:tcPr>
          <w:p w14:paraId="5BAB09D2" w14:textId="77777777" w:rsidR="00F22587" w:rsidRPr="000E5DBF" w:rsidRDefault="00F22587" w:rsidP="008A5C11">
            <w:pPr>
              <w:jc w:val="center"/>
              <w:rPr>
                <w:color w:val="000000"/>
                <w:sz w:val="16"/>
                <w:szCs w:val="16"/>
              </w:rPr>
            </w:pPr>
            <w:r w:rsidRPr="000E5DBF">
              <w:rPr>
                <w:color w:val="000000"/>
                <w:sz w:val="16"/>
                <w:szCs w:val="16"/>
              </w:rPr>
              <w:t>5948,20</w:t>
            </w:r>
          </w:p>
        </w:tc>
        <w:tc>
          <w:tcPr>
            <w:tcW w:w="846" w:type="dxa"/>
            <w:shd w:val="clear" w:color="auto" w:fill="auto"/>
            <w:vAlign w:val="center"/>
          </w:tcPr>
          <w:p w14:paraId="4BA49F72" w14:textId="77777777" w:rsidR="00F22587" w:rsidRPr="000E5DBF" w:rsidRDefault="00F22587" w:rsidP="008A5C11">
            <w:pPr>
              <w:jc w:val="center"/>
              <w:rPr>
                <w:color w:val="000000"/>
                <w:sz w:val="16"/>
                <w:szCs w:val="16"/>
              </w:rPr>
            </w:pPr>
            <w:r w:rsidRPr="000E5DBF">
              <w:rPr>
                <w:color w:val="000000"/>
                <w:sz w:val="16"/>
                <w:szCs w:val="16"/>
              </w:rPr>
              <w:t>3923,20</w:t>
            </w:r>
          </w:p>
        </w:tc>
      </w:tr>
    </w:tbl>
    <w:p w14:paraId="74C97CA5" w14:textId="77777777" w:rsidR="00F22587" w:rsidRDefault="00F22587" w:rsidP="00F22587">
      <w:pPr>
        <w:tabs>
          <w:tab w:val="left" w:pos="5580"/>
          <w:tab w:val="left" w:pos="9498"/>
        </w:tabs>
        <w:ind w:right="-569"/>
        <w:rPr>
          <w:color w:val="000000" w:themeColor="text1"/>
        </w:rPr>
      </w:pPr>
      <w:r w:rsidRPr="000E5DBF">
        <w:rPr>
          <w:bCs/>
          <w:color w:val="000000"/>
        </w:rPr>
        <w:t>».</w:t>
      </w:r>
    </w:p>
    <w:p w14:paraId="34149DCD" w14:textId="77777777" w:rsidR="00F22587" w:rsidRDefault="00F22587" w:rsidP="00701695">
      <w:pPr>
        <w:autoSpaceDE w:val="0"/>
        <w:autoSpaceDN w:val="0"/>
        <w:adjustRightInd w:val="0"/>
        <w:ind w:firstLine="5387"/>
        <w:rPr>
          <w:color w:val="000000" w:themeColor="text1"/>
        </w:rPr>
      </w:pPr>
    </w:p>
    <w:p w14:paraId="51E60B84" w14:textId="68318E35" w:rsidR="00A070DF" w:rsidRDefault="00A070DF" w:rsidP="00A070DF">
      <w:pPr>
        <w:tabs>
          <w:tab w:val="left" w:pos="5580"/>
          <w:tab w:val="left" w:pos="9498"/>
        </w:tabs>
        <w:ind w:left="-3734" w:right="-569" w:firstLine="9263"/>
        <w:rPr>
          <w:color w:val="000000" w:themeColor="text1"/>
        </w:rPr>
      </w:pPr>
    </w:p>
    <w:p w14:paraId="50296CC8" w14:textId="77777777" w:rsidR="00F22587" w:rsidRDefault="00F22587" w:rsidP="00A070DF">
      <w:pPr>
        <w:tabs>
          <w:tab w:val="left" w:pos="5580"/>
          <w:tab w:val="left" w:pos="9498"/>
        </w:tabs>
        <w:ind w:left="-3734" w:right="-569" w:firstLine="9263"/>
        <w:rPr>
          <w:color w:val="000000" w:themeColor="text1"/>
        </w:rPr>
      </w:pPr>
    </w:p>
    <w:p w14:paraId="1DE66F39" w14:textId="77777777" w:rsidR="00BA7227" w:rsidRDefault="00BA7227" w:rsidP="00BA7227">
      <w:pPr>
        <w:tabs>
          <w:tab w:val="left" w:pos="5580"/>
          <w:tab w:val="left" w:pos="9498"/>
        </w:tabs>
        <w:ind w:left="-3734" w:right="-569" w:firstLine="10255"/>
        <w:rPr>
          <w:color w:val="000000" w:themeColor="text1"/>
        </w:rPr>
      </w:pPr>
    </w:p>
    <w:p w14:paraId="39F9A931" w14:textId="603F1337" w:rsidR="00BA7227" w:rsidRDefault="00BA7227" w:rsidP="001E6CA3">
      <w:pPr>
        <w:tabs>
          <w:tab w:val="left" w:pos="5580"/>
          <w:tab w:val="left" w:pos="9498"/>
        </w:tabs>
        <w:ind w:right="-569"/>
        <w:rPr>
          <w:sz w:val="28"/>
          <w:szCs w:val="28"/>
        </w:rPr>
      </w:pPr>
    </w:p>
    <w:p w14:paraId="6ED107A9" w14:textId="641FC0B3" w:rsidR="00F22587" w:rsidRDefault="00F22587" w:rsidP="001E6CA3">
      <w:pPr>
        <w:tabs>
          <w:tab w:val="left" w:pos="5580"/>
          <w:tab w:val="left" w:pos="9498"/>
        </w:tabs>
        <w:ind w:right="-569"/>
        <w:rPr>
          <w:sz w:val="28"/>
          <w:szCs w:val="28"/>
        </w:rPr>
      </w:pPr>
    </w:p>
    <w:p w14:paraId="30DE1BB0" w14:textId="77777777" w:rsidR="00F22587" w:rsidRDefault="00F22587" w:rsidP="001E6CA3">
      <w:pPr>
        <w:tabs>
          <w:tab w:val="left" w:pos="5580"/>
          <w:tab w:val="left" w:pos="9498"/>
        </w:tabs>
        <w:ind w:right="-569"/>
        <w:rPr>
          <w:sz w:val="28"/>
          <w:szCs w:val="28"/>
        </w:rPr>
        <w:sectPr w:rsidR="00F22587" w:rsidSect="00F22587">
          <w:pgSz w:w="16838" w:h="11906" w:orient="landscape"/>
          <w:pgMar w:top="709" w:right="709" w:bottom="851" w:left="851" w:header="425" w:footer="408" w:gutter="0"/>
          <w:cols w:space="708"/>
          <w:titlePg/>
          <w:docGrid w:linePitch="360"/>
        </w:sectPr>
      </w:pPr>
    </w:p>
    <w:p w14:paraId="2E982BB2" w14:textId="114B49DF" w:rsidR="00F22587" w:rsidRPr="00081AD4" w:rsidRDefault="00F22587" w:rsidP="00F22587">
      <w:pPr>
        <w:tabs>
          <w:tab w:val="left" w:pos="3686"/>
          <w:tab w:val="left" w:pos="9498"/>
        </w:tabs>
        <w:ind w:left="-3734" w:right="-1" w:firstLine="9121"/>
        <w:rPr>
          <w:color w:val="000000" w:themeColor="text1"/>
        </w:rPr>
      </w:pPr>
      <w:r w:rsidRPr="00081AD4">
        <w:rPr>
          <w:color w:val="000000" w:themeColor="text1"/>
        </w:rPr>
        <w:t xml:space="preserve">Приложение № </w:t>
      </w:r>
      <w:r>
        <w:rPr>
          <w:color w:val="000000" w:themeColor="text1"/>
        </w:rPr>
        <w:t>2</w:t>
      </w:r>
      <w:r>
        <w:rPr>
          <w:color w:val="000000" w:themeColor="text1"/>
        </w:rPr>
        <w:t>3</w:t>
      </w:r>
      <w:r>
        <w:rPr>
          <w:color w:val="000000" w:themeColor="text1"/>
        </w:rPr>
        <w:t xml:space="preserve"> к протоколу</w:t>
      </w:r>
      <w:r w:rsidRPr="00081AD4">
        <w:rPr>
          <w:color w:val="000000" w:themeColor="text1"/>
        </w:rPr>
        <w:t xml:space="preserve"> № </w:t>
      </w:r>
      <w:r>
        <w:rPr>
          <w:color w:val="000000" w:themeColor="text1"/>
        </w:rPr>
        <w:t>88</w:t>
      </w:r>
    </w:p>
    <w:p w14:paraId="1ED11924" w14:textId="77777777" w:rsidR="00F22587" w:rsidRPr="00081AD4" w:rsidRDefault="00F22587" w:rsidP="00F22587">
      <w:pPr>
        <w:tabs>
          <w:tab w:val="left" w:pos="3686"/>
          <w:tab w:val="left" w:pos="9498"/>
        </w:tabs>
        <w:ind w:left="-3734" w:right="-1" w:firstLine="912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56BE4CDF" w14:textId="77777777" w:rsidR="00F22587" w:rsidRPr="00081AD4" w:rsidRDefault="00F22587" w:rsidP="00F22587">
      <w:pPr>
        <w:tabs>
          <w:tab w:val="left" w:pos="3686"/>
          <w:tab w:val="left" w:pos="9498"/>
        </w:tabs>
        <w:ind w:left="-3734" w:right="-1" w:firstLine="9121"/>
        <w:rPr>
          <w:color w:val="000000" w:themeColor="text1"/>
        </w:rPr>
      </w:pPr>
      <w:r w:rsidRPr="00081AD4">
        <w:rPr>
          <w:color w:val="000000" w:themeColor="text1"/>
        </w:rPr>
        <w:t>энергетической комиссии</w:t>
      </w:r>
    </w:p>
    <w:p w14:paraId="5D97FC33" w14:textId="105DA85C" w:rsidR="00F22587" w:rsidRDefault="00F22587" w:rsidP="00F22587">
      <w:pPr>
        <w:autoSpaceDE w:val="0"/>
        <w:autoSpaceDN w:val="0"/>
        <w:adjustRightInd w:val="0"/>
        <w:ind w:firstLine="5387"/>
        <w:rPr>
          <w:color w:val="000000" w:themeColor="text1"/>
        </w:rPr>
      </w:pPr>
      <w:r w:rsidRPr="00081AD4">
        <w:rPr>
          <w:color w:val="000000" w:themeColor="text1"/>
        </w:rPr>
        <w:t xml:space="preserve">Кузбасса от </w:t>
      </w:r>
      <w:r>
        <w:rPr>
          <w:color w:val="000000" w:themeColor="text1"/>
        </w:rPr>
        <w:t>23</w:t>
      </w:r>
      <w:r w:rsidRPr="00081AD4">
        <w:rPr>
          <w:color w:val="000000" w:themeColor="text1"/>
        </w:rPr>
        <w:t>.</w:t>
      </w:r>
      <w:r>
        <w:rPr>
          <w:color w:val="000000" w:themeColor="text1"/>
        </w:rPr>
        <w:t>12</w:t>
      </w:r>
      <w:r w:rsidRPr="00081AD4">
        <w:rPr>
          <w:color w:val="000000" w:themeColor="text1"/>
        </w:rPr>
        <w:t>.202</w:t>
      </w:r>
      <w:r>
        <w:rPr>
          <w:color w:val="000000" w:themeColor="text1"/>
        </w:rPr>
        <w:t>1</w:t>
      </w:r>
    </w:p>
    <w:p w14:paraId="74109BAC" w14:textId="3C3115E9" w:rsidR="00F22587" w:rsidRDefault="00F22587" w:rsidP="00F22587">
      <w:pPr>
        <w:autoSpaceDE w:val="0"/>
        <w:autoSpaceDN w:val="0"/>
        <w:adjustRightInd w:val="0"/>
        <w:ind w:firstLine="5387"/>
        <w:rPr>
          <w:color w:val="000000" w:themeColor="text1"/>
        </w:rPr>
      </w:pPr>
    </w:p>
    <w:p w14:paraId="4222725F" w14:textId="3E8A817A" w:rsidR="00F22587" w:rsidRDefault="00F22587" w:rsidP="00F22587">
      <w:pPr>
        <w:autoSpaceDE w:val="0"/>
        <w:autoSpaceDN w:val="0"/>
        <w:adjustRightInd w:val="0"/>
        <w:ind w:firstLine="5387"/>
        <w:rPr>
          <w:color w:val="000000" w:themeColor="text1"/>
        </w:rPr>
      </w:pPr>
    </w:p>
    <w:p w14:paraId="7476C1AB" w14:textId="77777777" w:rsidR="004A0123" w:rsidRPr="00640447" w:rsidRDefault="004A0123" w:rsidP="004A0123">
      <w:pPr>
        <w:autoSpaceDE w:val="0"/>
        <w:autoSpaceDN w:val="0"/>
        <w:adjustRightInd w:val="0"/>
        <w:jc w:val="center"/>
        <w:rPr>
          <w:b/>
          <w:bCs/>
          <w:sz w:val="28"/>
          <w:szCs w:val="28"/>
        </w:rPr>
      </w:pPr>
      <w:bookmarkStart w:id="89" w:name="_Hlk528417760"/>
      <w:r w:rsidRPr="00640447">
        <w:rPr>
          <w:b/>
          <w:bCs/>
          <w:sz w:val="28"/>
          <w:szCs w:val="28"/>
        </w:rPr>
        <w:t>Экспертное заключение</w:t>
      </w:r>
    </w:p>
    <w:p w14:paraId="0AF0B6BC" w14:textId="77777777" w:rsidR="004A0123" w:rsidRPr="00640447" w:rsidRDefault="004A0123" w:rsidP="004A0123">
      <w:pPr>
        <w:ind w:firstLine="567"/>
        <w:jc w:val="center"/>
        <w:rPr>
          <w:sz w:val="28"/>
          <w:szCs w:val="28"/>
        </w:rPr>
      </w:pPr>
      <w:r w:rsidRPr="00640447">
        <w:rPr>
          <w:rFonts w:eastAsia="Calibri"/>
          <w:sz w:val="28"/>
          <w:szCs w:val="28"/>
          <w:lang w:eastAsia="en-US"/>
        </w:rPr>
        <w:t>Региональной энергетической комиссии Кузбасса</w:t>
      </w:r>
      <w:r w:rsidRPr="00640447">
        <w:rPr>
          <w:sz w:val="28"/>
          <w:szCs w:val="28"/>
        </w:rPr>
        <w:t xml:space="preserve"> по материалам, представленным ОАО «Северо-Кузбасская энергетическая компания», для утверждения изменений в инвестиционную программу в сфере теплоснабжения по узлу теплоснабжения Ленинск-Кузнецкого городского округа на 2019 - 2028 годы</w:t>
      </w:r>
    </w:p>
    <w:p w14:paraId="4F9EF647" w14:textId="77777777" w:rsidR="004A0123" w:rsidRPr="00640447" w:rsidRDefault="004A0123" w:rsidP="004A0123">
      <w:pPr>
        <w:ind w:firstLine="567"/>
        <w:jc w:val="center"/>
        <w:rPr>
          <w:sz w:val="28"/>
          <w:szCs w:val="28"/>
        </w:rPr>
      </w:pPr>
    </w:p>
    <w:p w14:paraId="205AF389" w14:textId="77777777" w:rsidR="004A0123" w:rsidRPr="00640447" w:rsidRDefault="004A0123" w:rsidP="004A0123">
      <w:pPr>
        <w:keepNext/>
        <w:numPr>
          <w:ilvl w:val="0"/>
          <w:numId w:val="16"/>
        </w:numPr>
        <w:spacing w:line="360" w:lineRule="auto"/>
        <w:jc w:val="center"/>
        <w:outlineLvl w:val="0"/>
        <w:rPr>
          <w:b/>
          <w:sz w:val="28"/>
          <w:szCs w:val="20"/>
        </w:rPr>
      </w:pPr>
      <w:r w:rsidRPr="00640447">
        <w:rPr>
          <w:b/>
          <w:sz w:val="28"/>
          <w:szCs w:val="20"/>
        </w:rPr>
        <w:t>Нормативно методическая база</w:t>
      </w:r>
    </w:p>
    <w:p w14:paraId="5C3D9E44" w14:textId="77777777" w:rsidR="004A0123" w:rsidRPr="00640447" w:rsidRDefault="004A0123" w:rsidP="004A0123">
      <w:pPr>
        <w:spacing w:line="276" w:lineRule="auto"/>
        <w:ind w:firstLine="505"/>
        <w:jc w:val="both"/>
        <w:rPr>
          <w:rFonts w:eastAsia="Calibri"/>
          <w:sz w:val="28"/>
          <w:szCs w:val="28"/>
          <w:lang w:eastAsia="en-US"/>
        </w:rPr>
      </w:pPr>
      <w:r w:rsidRPr="00640447">
        <w:rPr>
          <w:rFonts w:eastAsia="Calibri"/>
          <w:sz w:val="28"/>
          <w:szCs w:val="28"/>
          <w:lang w:eastAsia="en-US"/>
        </w:rPr>
        <w:t>Нормативно-методической основой проведения анализа материалов, представленных ОАО «СКЭК» являются:</w:t>
      </w:r>
    </w:p>
    <w:p w14:paraId="42ED8C31" w14:textId="77777777" w:rsidR="004A0123" w:rsidRPr="00640447" w:rsidRDefault="004A0123" w:rsidP="004A0123">
      <w:pPr>
        <w:spacing w:line="276" w:lineRule="auto"/>
        <w:ind w:firstLine="505"/>
        <w:jc w:val="both"/>
        <w:rPr>
          <w:sz w:val="28"/>
          <w:szCs w:val="28"/>
        </w:rPr>
      </w:pPr>
      <w:r w:rsidRPr="00640447">
        <w:rPr>
          <w:sz w:val="28"/>
          <w:szCs w:val="28"/>
        </w:rPr>
        <w:t>- Гражданский кодекс Российской Федерации;</w:t>
      </w:r>
    </w:p>
    <w:p w14:paraId="2E280673" w14:textId="77777777" w:rsidR="004A0123" w:rsidRPr="00640447" w:rsidRDefault="004A0123" w:rsidP="004A0123">
      <w:pPr>
        <w:spacing w:line="276" w:lineRule="auto"/>
        <w:ind w:firstLine="505"/>
        <w:jc w:val="both"/>
        <w:rPr>
          <w:sz w:val="28"/>
          <w:szCs w:val="28"/>
        </w:rPr>
      </w:pPr>
      <w:r w:rsidRPr="00640447">
        <w:rPr>
          <w:sz w:val="28"/>
          <w:szCs w:val="28"/>
        </w:rPr>
        <w:t>- Приказ ФСТ России от 13.06.2013 № 760-э «Об утверждении методических указаний по расчету регулируемых цен (тарифов) в сфере теплоснабжения»;</w:t>
      </w:r>
    </w:p>
    <w:p w14:paraId="508C2AAA" w14:textId="77777777" w:rsidR="004A0123" w:rsidRPr="00640447" w:rsidRDefault="004A0123" w:rsidP="004A0123">
      <w:pPr>
        <w:spacing w:line="276" w:lineRule="auto"/>
        <w:ind w:firstLine="505"/>
        <w:jc w:val="both"/>
        <w:rPr>
          <w:sz w:val="28"/>
          <w:szCs w:val="28"/>
        </w:rPr>
      </w:pPr>
      <w:r w:rsidRPr="00640447">
        <w:rPr>
          <w:sz w:val="28"/>
          <w:szCs w:val="28"/>
        </w:rPr>
        <w:t>- Налоговый кодекс Российской Федерации (в дальнейшем НК РФ);</w:t>
      </w:r>
    </w:p>
    <w:p w14:paraId="2C4DA123" w14:textId="77777777" w:rsidR="004A0123" w:rsidRPr="00640447" w:rsidRDefault="004A0123" w:rsidP="004A0123">
      <w:pPr>
        <w:spacing w:line="276" w:lineRule="auto"/>
        <w:ind w:firstLine="505"/>
        <w:jc w:val="both"/>
        <w:rPr>
          <w:sz w:val="28"/>
          <w:szCs w:val="28"/>
        </w:rPr>
      </w:pPr>
      <w:r w:rsidRPr="00640447">
        <w:rPr>
          <w:sz w:val="28"/>
          <w:szCs w:val="28"/>
        </w:rPr>
        <w:t>- Трудовой Кодекс Российской Федерации (в дальнейшем ТК РФ);</w:t>
      </w:r>
    </w:p>
    <w:p w14:paraId="392B8C57" w14:textId="77777777" w:rsidR="004A0123" w:rsidRPr="00640447" w:rsidRDefault="004A0123" w:rsidP="004A0123">
      <w:pPr>
        <w:spacing w:line="276" w:lineRule="auto"/>
        <w:ind w:firstLine="505"/>
        <w:jc w:val="both"/>
        <w:rPr>
          <w:sz w:val="28"/>
          <w:szCs w:val="28"/>
        </w:rPr>
      </w:pPr>
      <w:r w:rsidRPr="00640447">
        <w:rPr>
          <w:sz w:val="28"/>
          <w:szCs w:val="28"/>
        </w:rPr>
        <w:t>- Федеральный закон от 27.07.2010 № 190-ФЗ «О теплоснабжении»;</w:t>
      </w:r>
    </w:p>
    <w:p w14:paraId="56B3AA2A" w14:textId="77777777" w:rsidR="004A0123" w:rsidRPr="00640447" w:rsidRDefault="004A0123" w:rsidP="004A0123">
      <w:pPr>
        <w:spacing w:line="276" w:lineRule="auto"/>
        <w:ind w:firstLine="505"/>
        <w:jc w:val="both"/>
        <w:rPr>
          <w:sz w:val="28"/>
          <w:szCs w:val="28"/>
        </w:rPr>
      </w:pPr>
      <w:r w:rsidRPr="00640447">
        <w:rPr>
          <w:sz w:val="28"/>
          <w:szCs w:val="28"/>
        </w:rPr>
        <w:t>- Федеральный Закон от 17.08.1995 № 147-ФЗ «О естественных монополиях»;</w:t>
      </w:r>
    </w:p>
    <w:p w14:paraId="4593EED0" w14:textId="77777777" w:rsidR="004A0123" w:rsidRPr="00640447" w:rsidRDefault="004A0123" w:rsidP="004A0123">
      <w:pPr>
        <w:tabs>
          <w:tab w:val="num" w:pos="360"/>
          <w:tab w:val="num" w:pos="1080"/>
        </w:tabs>
        <w:spacing w:line="276" w:lineRule="auto"/>
        <w:ind w:firstLine="505"/>
        <w:jc w:val="both"/>
        <w:rPr>
          <w:sz w:val="28"/>
          <w:szCs w:val="28"/>
        </w:rPr>
      </w:pPr>
      <w:r w:rsidRPr="00640447">
        <w:rPr>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573D8E6F" w14:textId="77777777" w:rsidR="004A0123" w:rsidRPr="00640447" w:rsidRDefault="004A0123" w:rsidP="004A0123">
      <w:pPr>
        <w:tabs>
          <w:tab w:val="num" w:pos="360"/>
          <w:tab w:val="num" w:pos="1080"/>
        </w:tabs>
        <w:spacing w:line="276" w:lineRule="auto"/>
        <w:ind w:firstLine="505"/>
        <w:jc w:val="both"/>
        <w:rPr>
          <w:sz w:val="28"/>
          <w:szCs w:val="28"/>
        </w:rPr>
      </w:pPr>
      <w:r w:rsidRPr="00640447">
        <w:rPr>
          <w:sz w:val="28"/>
          <w:szCs w:val="28"/>
        </w:rPr>
        <w:t>- Постановление Правительства Российской Федерации 22.10.2012 №1075 «О ценообразовании в сфере теплоснабжения»;</w:t>
      </w:r>
    </w:p>
    <w:p w14:paraId="6F8E0F3D" w14:textId="77777777" w:rsidR="004A0123" w:rsidRPr="00640447" w:rsidRDefault="004A0123" w:rsidP="004A0123">
      <w:pPr>
        <w:tabs>
          <w:tab w:val="num" w:pos="360"/>
          <w:tab w:val="num" w:pos="1080"/>
        </w:tabs>
        <w:spacing w:line="276" w:lineRule="auto"/>
        <w:ind w:firstLine="505"/>
        <w:jc w:val="both"/>
        <w:rPr>
          <w:rFonts w:eastAsia="Calibri"/>
          <w:sz w:val="28"/>
          <w:szCs w:val="28"/>
          <w:lang w:eastAsia="en-US"/>
        </w:rPr>
      </w:pPr>
      <w:r w:rsidRPr="00640447">
        <w:rPr>
          <w:rFonts w:eastAsia="Calibri"/>
          <w:sz w:val="28"/>
          <w:szCs w:val="28"/>
          <w:lang w:eastAsia="en-US"/>
        </w:rPr>
        <w:t>- Постановление Правительства РФ от 05.05.2014 № 410 «О порядке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w:t>
      </w:r>
    </w:p>
    <w:p w14:paraId="37EB8BF9" w14:textId="77777777" w:rsidR="004A0123" w:rsidRPr="00640447" w:rsidRDefault="004A0123" w:rsidP="004A0123">
      <w:pPr>
        <w:tabs>
          <w:tab w:val="num" w:pos="360"/>
          <w:tab w:val="num" w:pos="1080"/>
        </w:tabs>
        <w:spacing w:line="276" w:lineRule="auto"/>
        <w:ind w:firstLine="505"/>
        <w:jc w:val="both"/>
        <w:rPr>
          <w:rFonts w:eastAsia="Calibri"/>
          <w:sz w:val="28"/>
          <w:szCs w:val="28"/>
          <w:lang w:eastAsia="en-US"/>
        </w:rPr>
      </w:pPr>
      <w:r w:rsidRPr="00640447">
        <w:rPr>
          <w:sz w:val="28"/>
          <w:szCs w:val="28"/>
        </w:rPr>
        <w:t>- Приказ Министерства строительства и жилищно-коммунального хозяйства Российской Федерации от 28.08.2014 № 506/пр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6265B030" w14:textId="77777777" w:rsidR="004A0123" w:rsidRPr="00640447" w:rsidRDefault="004A0123" w:rsidP="004A0123">
      <w:pPr>
        <w:tabs>
          <w:tab w:val="num" w:pos="360"/>
          <w:tab w:val="num" w:pos="1080"/>
        </w:tabs>
        <w:spacing w:line="276" w:lineRule="auto"/>
        <w:ind w:firstLine="505"/>
        <w:jc w:val="both"/>
        <w:rPr>
          <w:rFonts w:eastAsia="Calibri"/>
          <w:sz w:val="28"/>
          <w:szCs w:val="28"/>
          <w:lang w:eastAsia="en-US"/>
        </w:rPr>
      </w:pPr>
      <w:r w:rsidRPr="00640447">
        <w:rPr>
          <w:rFonts w:eastAsia="Calibri"/>
          <w:sz w:val="28"/>
          <w:szCs w:val="28"/>
          <w:lang w:eastAsia="en-US"/>
        </w:rPr>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bookmarkEnd w:id="89"/>
    </w:p>
    <w:p w14:paraId="72250E61" w14:textId="77777777" w:rsidR="004A0123" w:rsidRPr="00640447" w:rsidRDefault="004A0123" w:rsidP="004A0123">
      <w:pPr>
        <w:keepNext/>
        <w:numPr>
          <w:ilvl w:val="0"/>
          <w:numId w:val="16"/>
        </w:numPr>
        <w:spacing w:line="360" w:lineRule="auto"/>
        <w:jc w:val="center"/>
        <w:outlineLvl w:val="0"/>
        <w:rPr>
          <w:b/>
          <w:sz w:val="28"/>
          <w:szCs w:val="20"/>
        </w:rPr>
      </w:pPr>
      <w:r w:rsidRPr="00640447">
        <w:rPr>
          <w:b/>
          <w:sz w:val="28"/>
          <w:szCs w:val="20"/>
        </w:rPr>
        <w:t>Экспертное заключения</w:t>
      </w:r>
    </w:p>
    <w:p w14:paraId="12A5A37D" w14:textId="77777777" w:rsidR="004A0123" w:rsidRPr="00640447" w:rsidRDefault="004A0123" w:rsidP="004A0123">
      <w:pPr>
        <w:spacing w:line="276" w:lineRule="auto"/>
        <w:ind w:firstLine="708"/>
        <w:jc w:val="both"/>
        <w:rPr>
          <w:bCs/>
          <w:sz w:val="28"/>
          <w:szCs w:val="28"/>
        </w:rPr>
      </w:pPr>
      <w:r w:rsidRPr="00640447">
        <w:rPr>
          <w:bCs/>
          <w:sz w:val="28"/>
          <w:szCs w:val="28"/>
        </w:rPr>
        <w:t>ОАО «СКЭК» представило в Региональную энергетическую комиссию Кузбасса заявление с просьбой о внесении изменений в утвержденную инвестиционную программу.</w:t>
      </w:r>
    </w:p>
    <w:p w14:paraId="777DBCD0" w14:textId="77777777" w:rsidR="004A0123" w:rsidRPr="00640447" w:rsidRDefault="004A0123" w:rsidP="004A0123">
      <w:pPr>
        <w:spacing w:line="276" w:lineRule="auto"/>
        <w:ind w:firstLine="708"/>
        <w:jc w:val="both"/>
        <w:rPr>
          <w:bCs/>
          <w:sz w:val="28"/>
          <w:szCs w:val="28"/>
        </w:rPr>
      </w:pPr>
      <w:r w:rsidRPr="00640447">
        <w:rPr>
          <w:bCs/>
          <w:sz w:val="28"/>
          <w:szCs w:val="28"/>
        </w:rPr>
        <w:t xml:space="preserve">Региональной энергетической комиссией Кемеровской области постановлением № 872 от 27.12.2019 «Об утверждении инвестиционной программы в сфере теплоснабжения ОАО «Северо-Кузбасская энергетическая компания» по узлу теплоснабжения Ленинск-Кузнецкого городского округа на 2019 - 2028 годы» для ОАО «СКЭК» утверждена инвестиционная программа на 2019-2028 годы в размере 2 507 991 тыс. руб., в т.ч. из прибыли 1 069 145 тыс. руб., из амортизации 818 801 тыс. руб., из бюджетного финансирования 620 046 тыс. руб. </w:t>
      </w:r>
    </w:p>
    <w:p w14:paraId="2DC15F90" w14:textId="77777777" w:rsidR="004A0123" w:rsidRPr="00640447" w:rsidRDefault="004A0123" w:rsidP="004A0123">
      <w:pPr>
        <w:spacing w:line="276" w:lineRule="auto"/>
        <w:ind w:firstLine="708"/>
        <w:jc w:val="both"/>
        <w:rPr>
          <w:bCs/>
          <w:sz w:val="28"/>
          <w:szCs w:val="28"/>
        </w:rPr>
      </w:pPr>
      <w:r w:rsidRPr="00640447">
        <w:rPr>
          <w:bCs/>
          <w:sz w:val="28"/>
          <w:szCs w:val="28"/>
        </w:rPr>
        <w:t xml:space="preserve">Предприятие представило измененную инвестиционную программу </w:t>
      </w:r>
      <w:r w:rsidRPr="00640447">
        <w:rPr>
          <w:bCs/>
          <w:sz w:val="28"/>
          <w:szCs w:val="28"/>
        </w:rPr>
        <w:br/>
        <w:t>с финансированием в размере 2 588 907 тыс. руб., в т.ч. из прибыли 819 059 тыс. руб., из амортизации 1 068 887 тыс. руб., из бюджетного финансирования 700 932 тыс. руб.</w:t>
      </w:r>
    </w:p>
    <w:p w14:paraId="6E7BF5A5" w14:textId="77777777" w:rsidR="004A0123" w:rsidRPr="00640447" w:rsidRDefault="004A0123" w:rsidP="004A0123">
      <w:pPr>
        <w:spacing w:line="276" w:lineRule="auto"/>
        <w:ind w:firstLine="708"/>
        <w:jc w:val="both"/>
        <w:rPr>
          <w:bCs/>
          <w:sz w:val="28"/>
          <w:szCs w:val="28"/>
        </w:rPr>
      </w:pPr>
      <w:r w:rsidRPr="00640447">
        <w:rPr>
          <w:bCs/>
          <w:sz w:val="28"/>
          <w:szCs w:val="28"/>
        </w:rPr>
        <w:t xml:space="preserve">Изменение инвестиционной программы производится в связи с изменением концессионного соглашения №2/Л-К от 14.11.2019 по дополнительному соглашению № 1 от 17.11.2021 г. Корректировка инвестиционной программы касается изменения периодов финансирования мероприятий, осуществляемых за счет бюджетного финансирования и собственных средств. Объемы финансирования прошедшего периода 2019-2020 гг. оставляются без изменений, скорректированы сроки и </w:t>
      </w:r>
      <w:proofErr w:type="gramStart"/>
      <w:r w:rsidRPr="00640447">
        <w:rPr>
          <w:bCs/>
          <w:sz w:val="28"/>
          <w:szCs w:val="28"/>
        </w:rPr>
        <w:t>объемы финансирования</w:t>
      </w:r>
      <w:proofErr w:type="gramEnd"/>
      <w:r w:rsidRPr="00640447">
        <w:rPr>
          <w:bCs/>
          <w:sz w:val="28"/>
          <w:szCs w:val="28"/>
        </w:rPr>
        <w:t xml:space="preserve"> касающиеся периода 2021-2028 гг.</w:t>
      </w:r>
    </w:p>
    <w:p w14:paraId="248BAF15" w14:textId="77777777" w:rsidR="004A0123" w:rsidRPr="00640447" w:rsidRDefault="004A0123" w:rsidP="004A0123">
      <w:pPr>
        <w:spacing w:line="276" w:lineRule="auto"/>
        <w:ind w:firstLine="708"/>
        <w:jc w:val="both"/>
        <w:rPr>
          <w:bCs/>
          <w:sz w:val="28"/>
          <w:szCs w:val="28"/>
        </w:rPr>
      </w:pPr>
      <w:r w:rsidRPr="00640447">
        <w:rPr>
          <w:bCs/>
          <w:sz w:val="28"/>
          <w:szCs w:val="28"/>
        </w:rPr>
        <w:t xml:space="preserve">Инвестиционная программа соответствует </w:t>
      </w:r>
      <w:hyperlink r:id="rId62" w:history="1">
        <w:r w:rsidRPr="00640447">
          <w:rPr>
            <w:bCs/>
            <w:sz w:val="28"/>
            <w:szCs w:val="28"/>
          </w:rPr>
          <w:t>пунктам 8</w:t>
        </w:r>
      </w:hyperlink>
      <w:r w:rsidRPr="00640447">
        <w:rPr>
          <w:bCs/>
          <w:sz w:val="28"/>
          <w:szCs w:val="28"/>
        </w:rPr>
        <w:t xml:space="preserve"> - </w:t>
      </w:r>
      <w:hyperlink r:id="rId63" w:history="1">
        <w:r w:rsidRPr="00640447">
          <w:rPr>
            <w:bCs/>
            <w:sz w:val="28"/>
            <w:szCs w:val="28"/>
          </w:rPr>
          <w:t>19</w:t>
        </w:r>
      </w:hyperlink>
      <w:r w:rsidRPr="00640447">
        <w:rPr>
          <w:bCs/>
          <w:sz w:val="28"/>
          <w:szCs w:val="28"/>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от 5 мая 2014 г. № 410 (далее Правила).</w:t>
      </w:r>
    </w:p>
    <w:p w14:paraId="1DC88116" w14:textId="77777777" w:rsidR="004A0123" w:rsidRPr="00640447" w:rsidRDefault="004A0123" w:rsidP="004A0123">
      <w:pPr>
        <w:spacing w:line="276" w:lineRule="auto"/>
        <w:ind w:firstLine="708"/>
        <w:jc w:val="both"/>
        <w:rPr>
          <w:bCs/>
          <w:sz w:val="28"/>
          <w:szCs w:val="28"/>
        </w:rPr>
      </w:pPr>
      <w:r w:rsidRPr="00640447">
        <w:rPr>
          <w:bCs/>
          <w:sz w:val="28"/>
          <w:szCs w:val="28"/>
        </w:rPr>
        <w:t>В качестве обосновывающих материалов представлены решение УФАС по Кемеровской области (направленное письмом от 12.08.2021 № 11/7881 главе Ленинск-Кузнецкого городского округа), дополнительное соглашение от 17.11.21 № 1 к концессионному соглашению № №2/Л-К от 14.11.2019, пояснительная записка, положительные заключения государственной экспертизы, сметные расчеты.</w:t>
      </w:r>
    </w:p>
    <w:p w14:paraId="300CF545" w14:textId="77777777" w:rsidR="004A0123" w:rsidRPr="00640447" w:rsidRDefault="004A0123" w:rsidP="004A0123">
      <w:pPr>
        <w:spacing w:line="276" w:lineRule="auto"/>
        <w:ind w:firstLine="708"/>
        <w:jc w:val="both"/>
        <w:rPr>
          <w:sz w:val="28"/>
          <w:szCs w:val="28"/>
        </w:rPr>
      </w:pPr>
      <w:r w:rsidRPr="00640447">
        <w:rPr>
          <w:bCs/>
          <w:sz w:val="28"/>
          <w:szCs w:val="28"/>
        </w:rPr>
        <w:t>Рассмотрев представленные обосновывающие документы, экспертная группа предлагает принять объем финансирования инвестиционной программы на 2019-2028 годы в размере 2 588 907 тыс. руб., в т.ч. из прибыли 819 059 тыс. руб., из амортизации 1 068 887 тыс. руб., из бюджетного финансирования 700 932 тыс. руб.</w:t>
      </w:r>
      <w:r w:rsidRPr="00640447">
        <w:rPr>
          <w:sz w:val="28"/>
          <w:szCs w:val="28"/>
        </w:rPr>
        <w:t xml:space="preserve"> Финансовый план ОАО «СКЭК», в т.ч. с разбивкой по годам реализации представлен в таблице 1.</w:t>
      </w:r>
    </w:p>
    <w:p w14:paraId="7C2A2E75" w14:textId="77777777" w:rsidR="004A0123" w:rsidRPr="00640447" w:rsidRDefault="004A0123" w:rsidP="004A0123">
      <w:pPr>
        <w:tabs>
          <w:tab w:val="left" w:pos="720"/>
        </w:tabs>
        <w:spacing w:line="360" w:lineRule="auto"/>
        <w:ind w:firstLine="709"/>
        <w:jc w:val="right"/>
        <w:rPr>
          <w:sz w:val="28"/>
          <w:szCs w:val="28"/>
        </w:rPr>
      </w:pPr>
    </w:p>
    <w:p w14:paraId="794528E6" w14:textId="77777777" w:rsidR="004A0123" w:rsidRPr="00640447" w:rsidRDefault="004A0123" w:rsidP="004A0123">
      <w:pPr>
        <w:tabs>
          <w:tab w:val="left" w:pos="720"/>
        </w:tabs>
        <w:spacing w:line="360" w:lineRule="auto"/>
        <w:ind w:firstLine="709"/>
        <w:jc w:val="right"/>
        <w:rPr>
          <w:sz w:val="28"/>
          <w:szCs w:val="28"/>
        </w:rPr>
      </w:pPr>
      <w:r w:rsidRPr="00640447">
        <w:rPr>
          <w:sz w:val="28"/>
          <w:szCs w:val="28"/>
        </w:rPr>
        <w:t>Таблица 1</w:t>
      </w:r>
    </w:p>
    <w:p w14:paraId="6D3EFD0F" w14:textId="77777777" w:rsidR="004A0123" w:rsidRPr="00640447" w:rsidRDefault="004A0123" w:rsidP="004A0123">
      <w:pPr>
        <w:tabs>
          <w:tab w:val="left" w:pos="720"/>
        </w:tabs>
        <w:ind w:firstLine="709"/>
        <w:jc w:val="center"/>
        <w:rPr>
          <w:bCs/>
          <w:sz w:val="28"/>
          <w:szCs w:val="28"/>
        </w:rPr>
      </w:pPr>
      <w:r w:rsidRPr="00640447">
        <w:rPr>
          <w:bCs/>
          <w:sz w:val="28"/>
          <w:szCs w:val="28"/>
        </w:rPr>
        <w:t xml:space="preserve">Финансовый план в сфере теплоснабжения </w:t>
      </w:r>
      <w:r w:rsidRPr="00640447">
        <w:rPr>
          <w:color w:val="000000"/>
          <w:sz w:val="28"/>
          <w:szCs w:val="28"/>
        </w:rPr>
        <w:t>ОАО «Северо-Кузбасская энергетическая компания» по узлу теплоснабжения Ленинск-Кузнецкого городского</w:t>
      </w:r>
      <w:r w:rsidRPr="00640447">
        <w:rPr>
          <w:bCs/>
          <w:sz w:val="28"/>
          <w:szCs w:val="28"/>
        </w:rPr>
        <w:t xml:space="preserve"> округа на 2019 - 2028 годы</w:t>
      </w:r>
    </w:p>
    <w:p w14:paraId="247F0BE2" w14:textId="77777777" w:rsidR="004A0123" w:rsidRPr="00640447" w:rsidRDefault="004A0123" w:rsidP="004A0123">
      <w:pPr>
        <w:tabs>
          <w:tab w:val="left" w:pos="720"/>
          <w:tab w:val="left" w:pos="6323"/>
        </w:tabs>
        <w:ind w:firstLine="709"/>
        <w:rPr>
          <w:bCs/>
          <w:sz w:val="28"/>
          <w:szCs w:val="28"/>
        </w:rPr>
      </w:pPr>
      <w:r w:rsidRPr="00640447">
        <w:rPr>
          <w:bCs/>
          <w:sz w:val="28"/>
          <w:szCs w:val="28"/>
        </w:rPr>
        <w:tab/>
      </w:r>
      <w:r w:rsidRPr="00640447">
        <w:rPr>
          <w:bCs/>
          <w:sz w:val="28"/>
          <w:szCs w:val="28"/>
        </w:rPr>
        <w:tab/>
      </w:r>
    </w:p>
    <w:tbl>
      <w:tblPr>
        <w:tblW w:w="55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55"/>
        <w:gridCol w:w="1574"/>
        <w:gridCol w:w="1188"/>
        <w:gridCol w:w="751"/>
        <w:gridCol w:w="651"/>
        <w:gridCol w:w="651"/>
        <w:gridCol w:w="588"/>
        <w:gridCol w:w="651"/>
        <w:gridCol w:w="651"/>
        <w:gridCol w:w="651"/>
        <w:gridCol w:w="651"/>
        <w:gridCol w:w="651"/>
        <w:gridCol w:w="651"/>
        <w:gridCol w:w="651"/>
      </w:tblGrid>
      <w:tr w:rsidR="004A0123" w:rsidRPr="00640447" w14:paraId="7EADB6E7" w14:textId="77777777" w:rsidTr="008A5C11">
        <w:trPr>
          <w:trHeight w:val="480"/>
          <w:jc w:val="center"/>
        </w:trPr>
        <w:tc>
          <w:tcPr>
            <w:tcW w:w="356" w:type="dxa"/>
            <w:vMerge w:val="restart"/>
            <w:shd w:val="clear" w:color="auto" w:fill="auto"/>
            <w:tcMar>
              <w:left w:w="28" w:type="dxa"/>
              <w:right w:w="28" w:type="dxa"/>
            </w:tcMar>
            <w:vAlign w:val="center"/>
            <w:hideMark/>
          </w:tcPr>
          <w:p w14:paraId="38F79214" w14:textId="77777777" w:rsidR="004A0123" w:rsidRPr="00640447" w:rsidRDefault="004A0123" w:rsidP="008A5C11">
            <w:pPr>
              <w:jc w:val="center"/>
              <w:rPr>
                <w:bCs/>
                <w:sz w:val="16"/>
                <w:szCs w:val="16"/>
              </w:rPr>
            </w:pPr>
            <w:r w:rsidRPr="00640447">
              <w:rPr>
                <w:bCs/>
                <w:sz w:val="16"/>
                <w:szCs w:val="16"/>
              </w:rPr>
              <w:t>№ п/п</w:t>
            </w:r>
          </w:p>
        </w:tc>
        <w:tc>
          <w:tcPr>
            <w:tcW w:w="1585" w:type="dxa"/>
            <w:vMerge w:val="restart"/>
            <w:shd w:val="clear" w:color="auto" w:fill="auto"/>
            <w:tcMar>
              <w:left w:w="28" w:type="dxa"/>
              <w:right w:w="28" w:type="dxa"/>
            </w:tcMar>
            <w:vAlign w:val="center"/>
            <w:hideMark/>
          </w:tcPr>
          <w:p w14:paraId="0CABCCDB" w14:textId="77777777" w:rsidR="004A0123" w:rsidRPr="00640447" w:rsidRDefault="004A0123" w:rsidP="008A5C11">
            <w:pPr>
              <w:jc w:val="center"/>
              <w:rPr>
                <w:bCs/>
                <w:sz w:val="16"/>
                <w:szCs w:val="16"/>
              </w:rPr>
            </w:pPr>
            <w:r w:rsidRPr="00640447">
              <w:rPr>
                <w:bCs/>
                <w:sz w:val="16"/>
                <w:szCs w:val="16"/>
              </w:rPr>
              <w:t>Источники финансирования</w:t>
            </w:r>
          </w:p>
        </w:tc>
        <w:tc>
          <w:tcPr>
            <w:tcW w:w="8446" w:type="dxa"/>
            <w:gridSpan w:val="12"/>
            <w:tcMar>
              <w:left w:w="28" w:type="dxa"/>
              <w:right w:w="28" w:type="dxa"/>
            </w:tcMar>
          </w:tcPr>
          <w:p w14:paraId="35DE9AE4" w14:textId="77777777" w:rsidR="004A0123" w:rsidRPr="00640447" w:rsidRDefault="004A0123" w:rsidP="008A5C11">
            <w:pPr>
              <w:jc w:val="center"/>
              <w:rPr>
                <w:bCs/>
                <w:sz w:val="16"/>
                <w:szCs w:val="16"/>
              </w:rPr>
            </w:pPr>
            <w:r w:rsidRPr="00640447">
              <w:rPr>
                <w:bCs/>
                <w:sz w:val="16"/>
                <w:szCs w:val="16"/>
              </w:rPr>
              <w:t>Расходы на реализацию инвестиционной программы (тыс. руб.)</w:t>
            </w:r>
          </w:p>
          <w:p w14:paraId="37E8F28C" w14:textId="77777777" w:rsidR="004A0123" w:rsidRPr="00640447" w:rsidRDefault="004A0123" w:rsidP="008A5C11">
            <w:pPr>
              <w:jc w:val="center"/>
              <w:rPr>
                <w:bCs/>
                <w:sz w:val="16"/>
                <w:szCs w:val="16"/>
              </w:rPr>
            </w:pPr>
            <w:r w:rsidRPr="00640447">
              <w:rPr>
                <w:bCs/>
                <w:sz w:val="16"/>
                <w:szCs w:val="16"/>
              </w:rPr>
              <w:t>(без НДС)</w:t>
            </w:r>
          </w:p>
        </w:tc>
      </w:tr>
      <w:tr w:rsidR="004A0123" w:rsidRPr="00640447" w14:paraId="798EB666" w14:textId="77777777" w:rsidTr="008A5C11">
        <w:trPr>
          <w:trHeight w:val="379"/>
          <w:jc w:val="center"/>
        </w:trPr>
        <w:tc>
          <w:tcPr>
            <w:tcW w:w="356" w:type="dxa"/>
            <w:vMerge/>
            <w:tcMar>
              <w:left w:w="28" w:type="dxa"/>
              <w:right w:w="28" w:type="dxa"/>
            </w:tcMar>
            <w:vAlign w:val="center"/>
            <w:hideMark/>
          </w:tcPr>
          <w:p w14:paraId="694EB826" w14:textId="77777777" w:rsidR="004A0123" w:rsidRPr="00640447" w:rsidRDefault="004A0123" w:rsidP="008A5C11">
            <w:pPr>
              <w:rPr>
                <w:bCs/>
                <w:sz w:val="16"/>
                <w:szCs w:val="16"/>
              </w:rPr>
            </w:pPr>
          </w:p>
        </w:tc>
        <w:tc>
          <w:tcPr>
            <w:tcW w:w="1585" w:type="dxa"/>
            <w:vMerge/>
            <w:tcMar>
              <w:left w:w="28" w:type="dxa"/>
              <w:right w:w="28" w:type="dxa"/>
            </w:tcMar>
            <w:vAlign w:val="center"/>
            <w:hideMark/>
          </w:tcPr>
          <w:p w14:paraId="0BFB69F1" w14:textId="77777777" w:rsidR="004A0123" w:rsidRPr="00640447" w:rsidRDefault="004A0123" w:rsidP="008A5C11">
            <w:pPr>
              <w:rPr>
                <w:bCs/>
                <w:sz w:val="16"/>
                <w:szCs w:val="16"/>
              </w:rPr>
            </w:pPr>
          </w:p>
        </w:tc>
        <w:tc>
          <w:tcPr>
            <w:tcW w:w="1196" w:type="dxa"/>
            <w:shd w:val="clear" w:color="auto" w:fill="auto"/>
            <w:tcMar>
              <w:left w:w="28" w:type="dxa"/>
              <w:right w:w="28" w:type="dxa"/>
            </w:tcMar>
            <w:vAlign w:val="center"/>
            <w:hideMark/>
          </w:tcPr>
          <w:p w14:paraId="471BF7C0" w14:textId="77777777" w:rsidR="004A0123" w:rsidRPr="00640447" w:rsidRDefault="004A0123" w:rsidP="008A5C11">
            <w:pPr>
              <w:jc w:val="center"/>
              <w:rPr>
                <w:bCs/>
                <w:sz w:val="16"/>
                <w:szCs w:val="16"/>
              </w:rPr>
            </w:pPr>
            <w:r w:rsidRPr="00640447">
              <w:rPr>
                <w:bCs/>
                <w:sz w:val="16"/>
                <w:szCs w:val="16"/>
              </w:rPr>
              <w:t>по видам деятельности</w:t>
            </w:r>
          </w:p>
        </w:tc>
        <w:tc>
          <w:tcPr>
            <w:tcW w:w="756" w:type="dxa"/>
            <w:vMerge w:val="restart"/>
            <w:shd w:val="clear" w:color="auto" w:fill="auto"/>
            <w:tcMar>
              <w:left w:w="28" w:type="dxa"/>
              <w:right w:w="28" w:type="dxa"/>
            </w:tcMar>
            <w:vAlign w:val="center"/>
            <w:hideMark/>
          </w:tcPr>
          <w:p w14:paraId="16FC593E" w14:textId="77777777" w:rsidR="004A0123" w:rsidRPr="00640447" w:rsidRDefault="004A0123" w:rsidP="008A5C11">
            <w:pPr>
              <w:jc w:val="center"/>
              <w:rPr>
                <w:bCs/>
                <w:sz w:val="16"/>
                <w:szCs w:val="16"/>
              </w:rPr>
            </w:pPr>
            <w:r w:rsidRPr="00640447">
              <w:rPr>
                <w:bCs/>
                <w:sz w:val="16"/>
                <w:szCs w:val="16"/>
              </w:rPr>
              <w:t>Всего</w:t>
            </w:r>
          </w:p>
        </w:tc>
        <w:tc>
          <w:tcPr>
            <w:tcW w:w="6494" w:type="dxa"/>
            <w:gridSpan w:val="10"/>
            <w:tcMar>
              <w:left w:w="28" w:type="dxa"/>
              <w:right w:w="28" w:type="dxa"/>
            </w:tcMar>
          </w:tcPr>
          <w:p w14:paraId="69F866DA" w14:textId="77777777" w:rsidR="004A0123" w:rsidRPr="00640447" w:rsidRDefault="004A0123" w:rsidP="008A5C11">
            <w:pPr>
              <w:jc w:val="center"/>
              <w:rPr>
                <w:bCs/>
                <w:sz w:val="16"/>
                <w:szCs w:val="16"/>
              </w:rPr>
            </w:pPr>
            <w:r w:rsidRPr="00640447">
              <w:rPr>
                <w:bCs/>
                <w:sz w:val="16"/>
                <w:szCs w:val="16"/>
              </w:rPr>
              <w:t>в т.ч. по годам реализации</w:t>
            </w:r>
          </w:p>
        </w:tc>
      </w:tr>
      <w:tr w:rsidR="004A0123" w:rsidRPr="00640447" w14:paraId="77F76BA4" w14:textId="77777777" w:rsidTr="008A5C11">
        <w:trPr>
          <w:trHeight w:val="810"/>
          <w:jc w:val="center"/>
        </w:trPr>
        <w:tc>
          <w:tcPr>
            <w:tcW w:w="356" w:type="dxa"/>
            <w:vMerge/>
            <w:tcMar>
              <w:left w:w="28" w:type="dxa"/>
              <w:right w:w="28" w:type="dxa"/>
            </w:tcMar>
            <w:vAlign w:val="center"/>
            <w:hideMark/>
          </w:tcPr>
          <w:p w14:paraId="72F854E6" w14:textId="77777777" w:rsidR="004A0123" w:rsidRPr="00640447" w:rsidRDefault="004A0123" w:rsidP="008A5C11">
            <w:pPr>
              <w:rPr>
                <w:bCs/>
                <w:sz w:val="16"/>
                <w:szCs w:val="16"/>
              </w:rPr>
            </w:pPr>
          </w:p>
        </w:tc>
        <w:tc>
          <w:tcPr>
            <w:tcW w:w="1585" w:type="dxa"/>
            <w:vMerge/>
            <w:tcMar>
              <w:left w:w="28" w:type="dxa"/>
              <w:right w:w="28" w:type="dxa"/>
            </w:tcMar>
            <w:vAlign w:val="center"/>
            <w:hideMark/>
          </w:tcPr>
          <w:p w14:paraId="3BDDE07C" w14:textId="77777777" w:rsidR="004A0123" w:rsidRPr="00640447" w:rsidRDefault="004A0123" w:rsidP="008A5C11">
            <w:pPr>
              <w:rPr>
                <w:bCs/>
                <w:sz w:val="16"/>
                <w:szCs w:val="16"/>
              </w:rPr>
            </w:pPr>
          </w:p>
        </w:tc>
        <w:tc>
          <w:tcPr>
            <w:tcW w:w="1196" w:type="dxa"/>
            <w:shd w:val="clear" w:color="auto" w:fill="auto"/>
            <w:tcMar>
              <w:left w:w="28" w:type="dxa"/>
              <w:right w:w="28" w:type="dxa"/>
            </w:tcMar>
            <w:vAlign w:val="center"/>
            <w:hideMark/>
          </w:tcPr>
          <w:p w14:paraId="49F9C24C" w14:textId="77777777" w:rsidR="004A0123" w:rsidRPr="00640447" w:rsidRDefault="004A0123" w:rsidP="008A5C11">
            <w:pPr>
              <w:jc w:val="center"/>
              <w:rPr>
                <w:bCs/>
                <w:iCs/>
                <w:sz w:val="16"/>
                <w:szCs w:val="16"/>
              </w:rPr>
            </w:pPr>
            <w:proofErr w:type="gramStart"/>
            <w:r w:rsidRPr="00640447">
              <w:rPr>
                <w:bCs/>
                <w:iCs/>
                <w:sz w:val="16"/>
                <w:szCs w:val="16"/>
              </w:rPr>
              <w:t>Теплоснаб-жение</w:t>
            </w:r>
            <w:proofErr w:type="gramEnd"/>
          </w:p>
        </w:tc>
        <w:tc>
          <w:tcPr>
            <w:tcW w:w="756" w:type="dxa"/>
            <w:vMerge/>
            <w:tcMar>
              <w:left w:w="28" w:type="dxa"/>
              <w:right w:w="28" w:type="dxa"/>
            </w:tcMar>
            <w:vAlign w:val="center"/>
            <w:hideMark/>
          </w:tcPr>
          <w:p w14:paraId="0D9FC1DE" w14:textId="77777777" w:rsidR="004A0123" w:rsidRPr="00640447" w:rsidRDefault="004A0123" w:rsidP="008A5C11">
            <w:pPr>
              <w:rPr>
                <w:bCs/>
                <w:sz w:val="16"/>
                <w:szCs w:val="16"/>
              </w:rPr>
            </w:pPr>
          </w:p>
        </w:tc>
        <w:tc>
          <w:tcPr>
            <w:tcW w:w="656" w:type="dxa"/>
            <w:tcMar>
              <w:left w:w="28" w:type="dxa"/>
              <w:right w:w="28" w:type="dxa"/>
            </w:tcMar>
            <w:vAlign w:val="center"/>
          </w:tcPr>
          <w:p w14:paraId="44DD1679" w14:textId="77777777" w:rsidR="004A0123" w:rsidRPr="00640447" w:rsidRDefault="004A0123" w:rsidP="008A5C11">
            <w:pPr>
              <w:jc w:val="center"/>
              <w:rPr>
                <w:bCs/>
                <w:sz w:val="16"/>
                <w:szCs w:val="16"/>
                <w:lang w:val="en-US"/>
              </w:rPr>
            </w:pPr>
            <w:r w:rsidRPr="00640447">
              <w:rPr>
                <w:bCs/>
                <w:sz w:val="16"/>
                <w:szCs w:val="16"/>
                <w:lang w:val="en-US"/>
              </w:rPr>
              <w:t>2019</w:t>
            </w:r>
          </w:p>
        </w:tc>
        <w:tc>
          <w:tcPr>
            <w:tcW w:w="656" w:type="dxa"/>
            <w:tcMar>
              <w:left w:w="28" w:type="dxa"/>
              <w:right w:w="28" w:type="dxa"/>
            </w:tcMar>
            <w:vAlign w:val="center"/>
          </w:tcPr>
          <w:p w14:paraId="70B3FBF7" w14:textId="77777777" w:rsidR="004A0123" w:rsidRPr="00640447" w:rsidRDefault="004A0123" w:rsidP="008A5C11">
            <w:pPr>
              <w:jc w:val="center"/>
              <w:rPr>
                <w:bCs/>
                <w:sz w:val="16"/>
                <w:szCs w:val="16"/>
                <w:lang w:val="en-US"/>
              </w:rPr>
            </w:pPr>
            <w:r w:rsidRPr="00640447">
              <w:rPr>
                <w:bCs/>
                <w:sz w:val="16"/>
                <w:szCs w:val="16"/>
                <w:lang w:val="en-US"/>
              </w:rPr>
              <w:t>2020</w:t>
            </w:r>
          </w:p>
        </w:tc>
        <w:tc>
          <w:tcPr>
            <w:tcW w:w="590" w:type="dxa"/>
            <w:tcMar>
              <w:left w:w="28" w:type="dxa"/>
              <w:right w:w="28" w:type="dxa"/>
            </w:tcMar>
            <w:vAlign w:val="center"/>
          </w:tcPr>
          <w:p w14:paraId="43D63508" w14:textId="77777777" w:rsidR="004A0123" w:rsidRPr="00640447" w:rsidRDefault="004A0123" w:rsidP="008A5C11">
            <w:pPr>
              <w:jc w:val="center"/>
              <w:rPr>
                <w:bCs/>
                <w:sz w:val="16"/>
                <w:szCs w:val="16"/>
                <w:lang w:val="en-US"/>
              </w:rPr>
            </w:pPr>
            <w:r w:rsidRPr="00640447">
              <w:rPr>
                <w:bCs/>
                <w:sz w:val="16"/>
                <w:szCs w:val="16"/>
                <w:lang w:val="en-US"/>
              </w:rPr>
              <w:t>2021</w:t>
            </w:r>
          </w:p>
        </w:tc>
        <w:tc>
          <w:tcPr>
            <w:tcW w:w="656" w:type="dxa"/>
            <w:tcMar>
              <w:left w:w="28" w:type="dxa"/>
              <w:right w:w="28" w:type="dxa"/>
            </w:tcMar>
            <w:vAlign w:val="center"/>
          </w:tcPr>
          <w:p w14:paraId="0BBD48F4" w14:textId="77777777" w:rsidR="004A0123" w:rsidRPr="00640447" w:rsidRDefault="004A0123" w:rsidP="008A5C11">
            <w:pPr>
              <w:jc w:val="center"/>
              <w:rPr>
                <w:bCs/>
                <w:sz w:val="16"/>
                <w:szCs w:val="16"/>
                <w:lang w:val="en-US"/>
              </w:rPr>
            </w:pPr>
            <w:r w:rsidRPr="00640447">
              <w:rPr>
                <w:bCs/>
                <w:sz w:val="16"/>
                <w:szCs w:val="16"/>
                <w:lang w:val="en-US"/>
              </w:rPr>
              <w:t>2022</w:t>
            </w:r>
          </w:p>
        </w:tc>
        <w:tc>
          <w:tcPr>
            <w:tcW w:w="656" w:type="dxa"/>
            <w:tcMar>
              <w:left w:w="28" w:type="dxa"/>
              <w:right w:w="28" w:type="dxa"/>
            </w:tcMar>
            <w:vAlign w:val="center"/>
          </w:tcPr>
          <w:p w14:paraId="77A47255" w14:textId="77777777" w:rsidR="004A0123" w:rsidRPr="00640447" w:rsidRDefault="004A0123" w:rsidP="008A5C11">
            <w:pPr>
              <w:jc w:val="center"/>
              <w:rPr>
                <w:bCs/>
                <w:sz w:val="16"/>
                <w:szCs w:val="16"/>
                <w:lang w:val="en-US"/>
              </w:rPr>
            </w:pPr>
            <w:r w:rsidRPr="00640447">
              <w:rPr>
                <w:bCs/>
                <w:sz w:val="16"/>
                <w:szCs w:val="16"/>
                <w:lang w:val="en-US"/>
              </w:rPr>
              <w:t>2023</w:t>
            </w:r>
          </w:p>
        </w:tc>
        <w:tc>
          <w:tcPr>
            <w:tcW w:w="656" w:type="dxa"/>
            <w:vAlign w:val="center"/>
          </w:tcPr>
          <w:p w14:paraId="7AC321D5" w14:textId="77777777" w:rsidR="004A0123" w:rsidRPr="00640447" w:rsidRDefault="004A0123" w:rsidP="008A5C11">
            <w:pPr>
              <w:jc w:val="center"/>
              <w:rPr>
                <w:bCs/>
                <w:sz w:val="16"/>
                <w:szCs w:val="16"/>
                <w:lang w:val="en-US"/>
              </w:rPr>
            </w:pPr>
            <w:r w:rsidRPr="00640447">
              <w:rPr>
                <w:bCs/>
                <w:sz w:val="16"/>
                <w:szCs w:val="16"/>
                <w:lang w:val="en-US"/>
              </w:rPr>
              <w:t>2024</w:t>
            </w:r>
          </w:p>
        </w:tc>
        <w:tc>
          <w:tcPr>
            <w:tcW w:w="656" w:type="dxa"/>
            <w:vAlign w:val="center"/>
          </w:tcPr>
          <w:p w14:paraId="2AF5EB6E" w14:textId="77777777" w:rsidR="004A0123" w:rsidRPr="00640447" w:rsidRDefault="004A0123" w:rsidP="008A5C11">
            <w:pPr>
              <w:jc w:val="center"/>
              <w:rPr>
                <w:bCs/>
                <w:sz w:val="16"/>
                <w:szCs w:val="16"/>
                <w:lang w:val="en-US"/>
              </w:rPr>
            </w:pPr>
            <w:r w:rsidRPr="00640447">
              <w:rPr>
                <w:bCs/>
                <w:sz w:val="16"/>
                <w:szCs w:val="16"/>
                <w:lang w:val="en-US"/>
              </w:rPr>
              <w:t>2025</w:t>
            </w:r>
          </w:p>
        </w:tc>
        <w:tc>
          <w:tcPr>
            <w:tcW w:w="656" w:type="dxa"/>
            <w:vAlign w:val="center"/>
          </w:tcPr>
          <w:p w14:paraId="3755A8F6" w14:textId="77777777" w:rsidR="004A0123" w:rsidRPr="00640447" w:rsidRDefault="004A0123" w:rsidP="008A5C11">
            <w:pPr>
              <w:jc w:val="center"/>
              <w:rPr>
                <w:bCs/>
                <w:sz w:val="16"/>
                <w:szCs w:val="16"/>
                <w:lang w:val="en-US"/>
              </w:rPr>
            </w:pPr>
            <w:r w:rsidRPr="00640447">
              <w:rPr>
                <w:bCs/>
                <w:sz w:val="16"/>
                <w:szCs w:val="16"/>
                <w:lang w:val="en-US"/>
              </w:rPr>
              <w:t>2026</w:t>
            </w:r>
          </w:p>
        </w:tc>
        <w:tc>
          <w:tcPr>
            <w:tcW w:w="656" w:type="dxa"/>
            <w:vAlign w:val="center"/>
          </w:tcPr>
          <w:p w14:paraId="6C3FC293" w14:textId="77777777" w:rsidR="004A0123" w:rsidRPr="00640447" w:rsidRDefault="004A0123" w:rsidP="008A5C11">
            <w:pPr>
              <w:jc w:val="center"/>
              <w:rPr>
                <w:bCs/>
                <w:sz w:val="16"/>
                <w:szCs w:val="16"/>
                <w:lang w:val="en-US"/>
              </w:rPr>
            </w:pPr>
            <w:r w:rsidRPr="00640447">
              <w:rPr>
                <w:bCs/>
                <w:sz w:val="16"/>
                <w:szCs w:val="16"/>
                <w:lang w:val="en-US"/>
              </w:rPr>
              <w:t>2027</w:t>
            </w:r>
          </w:p>
        </w:tc>
        <w:tc>
          <w:tcPr>
            <w:tcW w:w="656" w:type="dxa"/>
            <w:vAlign w:val="center"/>
          </w:tcPr>
          <w:p w14:paraId="6518801B" w14:textId="77777777" w:rsidR="004A0123" w:rsidRPr="00640447" w:rsidRDefault="004A0123" w:rsidP="008A5C11">
            <w:pPr>
              <w:jc w:val="center"/>
              <w:rPr>
                <w:bCs/>
                <w:sz w:val="16"/>
                <w:szCs w:val="16"/>
                <w:lang w:val="en-US"/>
              </w:rPr>
            </w:pPr>
            <w:r w:rsidRPr="00640447">
              <w:rPr>
                <w:bCs/>
                <w:sz w:val="16"/>
                <w:szCs w:val="16"/>
                <w:lang w:val="en-US"/>
              </w:rPr>
              <w:t>2028</w:t>
            </w:r>
          </w:p>
        </w:tc>
      </w:tr>
      <w:tr w:rsidR="004A0123" w:rsidRPr="00640447" w14:paraId="02B927BD" w14:textId="77777777" w:rsidTr="008A5C11">
        <w:trPr>
          <w:trHeight w:val="255"/>
          <w:jc w:val="center"/>
        </w:trPr>
        <w:tc>
          <w:tcPr>
            <w:tcW w:w="356" w:type="dxa"/>
            <w:shd w:val="clear" w:color="auto" w:fill="auto"/>
            <w:tcMar>
              <w:left w:w="28" w:type="dxa"/>
              <w:right w:w="28" w:type="dxa"/>
            </w:tcMar>
            <w:vAlign w:val="center"/>
            <w:hideMark/>
          </w:tcPr>
          <w:p w14:paraId="69E958A1" w14:textId="77777777" w:rsidR="004A0123" w:rsidRPr="00640447" w:rsidRDefault="004A0123" w:rsidP="008A5C11">
            <w:pPr>
              <w:jc w:val="center"/>
              <w:rPr>
                <w:bCs/>
                <w:sz w:val="16"/>
                <w:szCs w:val="16"/>
              </w:rPr>
            </w:pPr>
            <w:r w:rsidRPr="00640447">
              <w:rPr>
                <w:bCs/>
                <w:sz w:val="16"/>
                <w:szCs w:val="16"/>
              </w:rPr>
              <w:t>1.</w:t>
            </w:r>
          </w:p>
        </w:tc>
        <w:tc>
          <w:tcPr>
            <w:tcW w:w="1585" w:type="dxa"/>
            <w:shd w:val="clear" w:color="auto" w:fill="auto"/>
            <w:tcMar>
              <w:left w:w="28" w:type="dxa"/>
              <w:right w:w="28" w:type="dxa"/>
            </w:tcMar>
            <w:vAlign w:val="center"/>
            <w:hideMark/>
          </w:tcPr>
          <w:p w14:paraId="37FA019D" w14:textId="77777777" w:rsidR="004A0123" w:rsidRPr="00640447" w:rsidRDefault="004A0123" w:rsidP="008A5C11">
            <w:pPr>
              <w:rPr>
                <w:bCs/>
                <w:sz w:val="16"/>
                <w:szCs w:val="16"/>
              </w:rPr>
            </w:pPr>
            <w:r w:rsidRPr="00640447">
              <w:rPr>
                <w:bCs/>
                <w:sz w:val="16"/>
                <w:szCs w:val="16"/>
              </w:rPr>
              <w:t>Собственные средства</w:t>
            </w:r>
          </w:p>
        </w:tc>
        <w:tc>
          <w:tcPr>
            <w:tcW w:w="1196" w:type="dxa"/>
            <w:shd w:val="clear" w:color="auto" w:fill="auto"/>
            <w:tcMar>
              <w:left w:w="28" w:type="dxa"/>
              <w:right w:w="28" w:type="dxa"/>
            </w:tcMar>
            <w:vAlign w:val="center"/>
          </w:tcPr>
          <w:p w14:paraId="0D1CB7CF" w14:textId="77777777" w:rsidR="004A0123" w:rsidRPr="00640447" w:rsidRDefault="004A0123" w:rsidP="008A5C11">
            <w:pPr>
              <w:jc w:val="center"/>
              <w:rPr>
                <w:color w:val="000000"/>
                <w:sz w:val="16"/>
                <w:szCs w:val="16"/>
              </w:rPr>
            </w:pPr>
            <w:r w:rsidRPr="00640447">
              <w:rPr>
                <w:color w:val="000000"/>
                <w:sz w:val="16"/>
                <w:szCs w:val="16"/>
              </w:rPr>
              <w:t>1887946</w:t>
            </w:r>
          </w:p>
        </w:tc>
        <w:tc>
          <w:tcPr>
            <w:tcW w:w="756" w:type="dxa"/>
            <w:shd w:val="clear" w:color="auto" w:fill="auto"/>
            <w:tcMar>
              <w:left w:w="28" w:type="dxa"/>
              <w:right w:w="28" w:type="dxa"/>
            </w:tcMar>
            <w:vAlign w:val="center"/>
          </w:tcPr>
          <w:p w14:paraId="21C43686" w14:textId="77777777" w:rsidR="004A0123" w:rsidRPr="00640447" w:rsidRDefault="004A0123" w:rsidP="008A5C11">
            <w:pPr>
              <w:jc w:val="center"/>
              <w:rPr>
                <w:color w:val="000000"/>
                <w:sz w:val="16"/>
                <w:szCs w:val="16"/>
              </w:rPr>
            </w:pPr>
            <w:r w:rsidRPr="00640447">
              <w:rPr>
                <w:color w:val="000000"/>
                <w:sz w:val="16"/>
                <w:szCs w:val="16"/>
              </w:rPr>
              <w:t>1887946</w:t>
            </w:r>
          </w:p>
        </w:tc>
        <w:tc>
          <w:tcPr>
            <w:tcW w:w="656" w:type="dxa"/>
            <w:shd w:val="clear" w:color="auto" w:fill="auto"/>
            <w:tcMar>
              <w:left w:w="28" w:type="dxa"/>
              <w:right w:w="28" w:type="dxa"/>
            </w:tcMar>
            <w:vAlign w:val="center"/>
          </w:tcPr>
          <w:p w14:paraId="7F6C809A" w14:textId="77777777" w:rsidR="004A0123" w:rsidRPr="00640447" w:rsidRDefault="004A0123" w:rsidP="008A5C11">
            <w:pPr>
              <w:jc w:val="center"/>
              <w:rPr>
                <w:color w:val="000000"/>
                <w:sz w:val="16"/>
                <w:szCs w:val="16"/>
              </w:rPr>
            </w:pPr>
            <w:r w:rsidRPr="00640447">
              <w:rPr>
                <w:bCs/>
                <w:color w:val="000000"/>
                <w:sz w:val="16"/>
                <w:szCs w:val="16"/>
                <w:lang w:val="en-US"/>
              </w:rPr>
              <w:t>0</w:t>
            </w:r>
          </w:p>
        </w:tc>
        <w:tc>
          <w:tcPr>
            <w:tcW w:w="656" w:type="dxa"/>
            <w:shd w:val="clear" w:color="auto" w:fill="auto"/>
            <w:tcMar>
              <w:left w:w="28" w:type="dxa"/>
              <w:right w:w="28" w:type="dxa"/>
            </w:tcMar>
            <w:vAlign w:val="center"/>
          </w:tcPr>
          <w:p w14:paraId="008E908E" w14:textId="77777777" w:rsidR="004A0123" w:rsidRPr="00640447" w:rsidRDefault="004A0123" w:rsidP="008A5C11">
            <w:pPr>
              <w:jc w:val="center"/>
              <w:rPr>
                <w:color w:val="000000"/>
                <w:sz w:val="16"/>
                <w:szCs w:val="16"/>
              </w:rPr>
            </w:pPr>
            <w:r w:rsidRPr="00640447">
              <w:rPr>
                <w:bCs/>
                <w:color w:val="000000"/>
                <w:sz w:val="16"/>
                <w:szCs w:val="16"/>
                <w:lang w:val="en-US"/>
              </w:rPr>
              <w:t>9035</w:t>
            </w:r>
          </w:p>
        </w:tc>
        <w:tc>
          <w:tcPr>
            <w:tcW w:w="590" w:type="dxa"/>
            <w:shd w:val="clear" w:color="auto" w:fill="auto"/>
            <w:tcMar>
              <w:left w:w="28" w:type="dxa"/>
              <w:right w:w="28" w:type="dxa"/>
            </w:tcMar>
            <w:vAlign w:val="center"/>
          </w:tcPr>
          <w:p w14:paraId="784C4DC2" w14:textId="77777777" w:rsidR="004A0123" w:rsidRPr="00640447" w:rsidRDefault="004A0123" w:rsidP="008A5C11">
            <w:pPr>
              <w:jc w:val="center"/>
              <w:rPr>
                <w:color w:val="000000"/>
                <w:sz w:val="16"/>
                <w:szCs w:val="16"/>
              </w:rPr>
            </w:pPr>
            <w:r w:rsidRPr="00640447">
              <w:rPr>
                <w:bCs/>
                <w:color w:val="000000"/>
                <w:sz w:val="16"/>
                <w:szCs w:val="16"/>
                <w:lang w:val="en-US"/>
              </w:rPr>
              <w:t>49812</w:t>
            </w:r>
          </w:p>
        </w:tc>
        <w:tc>
          <w:tcPr>
            <w:tcW w:w="656" w:type="dxa"/>
            <w:tcMar>
              <w:left w:w="28" w:type="dxa"/>
              <w:right w:w="28" w:type="dxa"/>
            </w:tcMar>
            <w:vAlign w:val="center"/>
          </w:tcPr>
          <w:p w14:paraId="224FF1D5" w14:textId="77777777" w:rsidR="004A0123" w:rsidRPr="00640447" w:rsidRDefault="004A0123" w:rsidP="008A5C11">
            <w:pPr>
              <w:jc w:val="center"/>
              <w:rPr>
                <w:color w:val="000000"/>
                <w:sz w:val="16"/>
                <w:szCs w:val="16"/>
              </w:rPr>
            </w:pPr>
            <w:r w:rsidRPr="00640447">
              <w:rPr>
                <w:color w:val="000000"/>
                <w:sz w:val="16"/>
                <w:szCs w:val="16"/>
                <w:lang w:val="en-US"/>
              </w:rPr>
              <w:t>93670</w:t>
            </w:r>
          </w:p>
        </w:tc>
        <w:tc>
          <w:tcPr>
            <w:tcW w:w="656" w:type="dxa"/>
            <w:tcMar>
              <w:left w:w="28" w:type="dxa"/>
              <w:right w:w="28" w:type="dxa"/>
            </w:tcMar>
            <w:vAlign w:val="center"/>
          </w:tcPr>
          <w:p w14:paraId="6FFD3C09" w14:textId="77777777" w:rsidR="004A0123" w:rsidRPr="00640447" w:rsidRDefault="004A0123" w:rsidP="008A5C11">
            <w:pPr>
              <w:jc w:val="center"/>
              <w:rPr>
                <w:color w:val="000000"/>
                <w:sz w:val="16"/>
                <w:szCs w:val="16"/>
              </w:rPr>
            </w:pPr>
            <w:r w:rsidRPr="00640447">
              <w:rPr>
                <w:color w:val="000000"/>
                <w:sz w:val="16"/>
                <w:szCs w:val="16"/>
                <w:lang w:val="en-US"/>
              </w:rPr>
              <w:t>141313</w:t>
            </w:r>
          </w:p>
        </w:tc>
        <w:tc>
          <w:tcPr>
            <w:tcW w:w="656" w:type="dxa"/>
            <w:vAlign w:val="center"/>
          </w:tcPr>
          <w:p w14:paraId="60F5264B" w14:textId="77777777" w:rsidR="004A0123" w:rsidRPr="00640447" w:rsidRDefault="004A0123" w:rsidP="008A5C11">
            <w:pPr>
              <w:jc w:val="center"/>
              <w:rPr>
                <w:color w:val="000000"/>
                <w:sz w:val="16"/>
                <w:szCs w:val="16"/>
              </w:rPr>
            </w:pPr>
            <w:r w:rsidRPr="00640447">
              <w:rPr>
                <w:color w:val="000000"/>
                <w:sz w:val="16"/>
                <w:szCs w:val="16"/>
                <w:lang w:val="en-US"/>
              </w:rPr>
              <w:t>191865</w:t>
            </w:r>
          </w:p>
        </w:tc>
        <w:tc>
          <w:tcPr>
            <w:tcW w:w="656" w:type="dxa"/>
            <w:vAlign w:val="center"/>
          </w:tcPr>
          <w:p w14:paraId="37CB035B" w14:textId="77777777" w:rsidR="004A0123" w:rsidRPr="00640447" w:rsidRDefault="004A0123" w:rsidP="008A5C11">
            <w:pPr>
              <w:jc w:val="center"/>
              <w:rPr>
                <w:color w:val="000000"/>
                <w:sz w:val="16"/>
                <w:szCs w:val="16"/>
              </w:rPr>
            </w:pPr>
            <w:r w:rsidRPr="00640447">
              <w:rPr>
                <w:color w:val="000000"/>
                <w:sz w:val="16"/>
                <w:szCs w:val="16"/>
                <w:lang w:val="en-US"/>
              </w:rPr>
              <w:t>248171</w:t>
            </w:r>
          </w:p>
        </w:tc>
        <w:tc>
          <w:tcPr>
            <w:tcW w:w="656" w:type="dxa"/>
            <w:vAlign w:val="center"/>
          </w:tcPr>
          <w:p w14:paraId="024C9A6C" w14:textId="77777777" w:rsidR="004A0123" w:rsidRPr="00640447" w:rsidRDefault="004A0123" w:rsidP="008A5C11">
            <w:pPr>
              <w:jc w:val="center"/>
              <w:rPr>
                <w:color w:val="000000"/>
                <w:sz w:val="16"/>
                <w:szCs w:val="16"/>
              </w:rPr>
            </w:pPr>
            <w:r w:rsidRPr="00640447">
              <w:rPr>
                <w:color w:val="000000"/>
                <w:sz w:val="16"/>
                <w:szCs w:val="16"/>
                <w:lang w:val="en-US"/>
              </w:rPr>
              <w:t>312218</w:t>
            </w:r>
          </w:p>
        </w:tc>
        <w:tc>
          <w:tcPr>
            <w:tcW w:w="656" w:type="dxa"/>
            <w:vAlign w:val="center"/>
          </w:tcPr>
          <w:p w14:paraId="4FCCC4F9" w14:textId="77777777" w:rsidR="004A0123" w:rsidRPr="00640447" w:rsidRDefault="004A0123" w:rsidP="008A5C11">
            <w:pPr>
              <w:jc w:val="center"/>
              <w:rPr>
                <w:color w:val="000000"/>
                <w:sz w:val="16"/>
                <w:szCs w:val="16"/>
              </w:rPr>
            </w:pPr>
            <w:r w:rsidRPr="00640447">
              <w:rPr>
                <w:color w:val="000000"/>
                <w:sz w:val="16"/>
                <w:szCs w:val="16"/>
                <w:lang w:val="en-US"/>
              </w:rPr>
              <w:t>388280</w:t>
            </w:r>
          </w:p>
        </w:tc>
        <w:tc>
          <w:tcPr>
            <w:tcW w:w="656" w:type="dxa"/>
            <w:vAlign w:val="center"/>
          </w:tcPr>
          <w:p w14:paraId="7DAD76F2" w14:textId="77777777" w:rsidR="004A0123" w:rsidRPr="00640447" w:rsidRDefault="004A0123" w:rsidP="008A5C11">
            <w:pPr>
              <w:jc w:val="center"/>
              <w:rPr>
                <w:color w:val="000000"/>
                <w:sz w:val="16"/>
                <w:szCs w:val="16"/>
              </w:rPr>
            </w:pPr>
            <w:r w:rsidRPr="00640447">
              <w:rPr>
                <w:color w:val="000000"/>
                <w:sz w:val="16"/>
                <w:szCs w:val="16"/>
                <w:lang w:val="en-US"/>
              </w:rPr>
              <w:t>453582</w:t>
            </w:r>
          </w:p>
        </w:tc>
      </w:tr>
      <w:tr w:rsidR="004A0123" w:rsidRPr="00640447" w14:paraId="7166BA15" w14:textId="77777777" w:rsidTr="008A5C11">
        <w:trPr>
          <w:trHeight w:val="255"/>
          <w:jc w:val="center"/>
        </w:trPr>
        <w:tc>
          <w:tcPr>
            <w:tcW w:w="356" w:type="dxa"/>
            <w:shd w:val="clear" w:color="auto" w:fill="auto"/>
            <w:tcMar>
              <w:left w:w="28" w:type="dxa"/>
              <w:right w:w="28" w:type="dxa"/>
            </w:tcMar>
            <w:vAlign w:val="center"/>
            <w:hideMark/>
          </w:tcPr>
          <w:p w14:paraId="14364106" w14:textId="77777777" w:rsidR="004A0123" w:rsidRPr="00640447" w:rsidRDefault="004A0123" w:rsidP="008A5C11">
            <w:pPr>
              <w:jc w:val="center"/>
              <w:rPr>
                <w:sz w:val="16"/>
                <w:szCs w:val="16"/>
              </w:rPr>
            </w:pPr>
            <w:r w:rsidRPr="00640447">
              <w:rPr>
                <w:sz w:val="16"/>
                <w:szCs w:val="16"/>
              </w:rPr>
              <w:t>1.1.</w:t>
            </w:r>
          </w:p>
        </w:tc>
        <w:tc>
          <w:tcPr>
            <w:tcW w:w="1585" w:type="dxa"/>
            <w:shd w:val="clear" w:color="auto" w:fill="auto"/>
            <w:tcMar>
              <w:left w:w="28" w:type="dxa"/>
              <w:right w:w="28" w:type="dxa"/>
            </w:tcMar>
            <w:vAlign w:val="center"/>
            <w:hideMark/>
          </w:tcPr>
          <w:p w14:paraId="006941FA" w14:textId="77777777" w:rsidR="004A0123" w:rsidRPr="00640447" w:rsidRDefault="004A0123" w:rsidP="008A5C11">
            <w:pPr>
              <w:rPr>
                <w:sz w:val="16"/>
                <w:szCs w:val="16"/>
              </w:rPr>
            </w:pPr>
            <w:r w:rsidRPr="00640447">
              <w:rPr>
                <w:sz w:val="16"/>
                <w:szCs w:val="16"/>
              </w:rPr>
              <w:t>амортизационные отчисления</w:t>
            </w:r>
          </w:p>
        </w:tc>
        <w:tc>
          <w:tcPr>
            <w:tcW w:w="1196" w:type="dxa"/>
            <w:shd w:val="clear" w:color="auto" w:fill="auto"/>
            <w:tcMar>
              <w:left w:w="28" w:type="dxa"/>
              <w:right w:w="28" w:type="dxa"/>
            </w:tcMar>
            <w:vAlign w:val="center"/>
          </w:tcPr>
          <w:p w14:paraId="6114C02D" w14:textId="77777777" w:rsidR="004A0123" w:rsidRPr="00640447" w:rsidRDefault="004A0123" w:rsidP="008A5C11">
            <w:pPr>
              <w:jc w:val="center"/>
              <w:rPr>
                <w:color w:val="000000"/>
                <w:sz w:val="16"/>
                <w:szCs w:val="16"/>
              </w:rPr>
            </w:pPr>
            <w:r w:rsidRPr="00640447">
              <w:rPr>
                <w:color w:val="000000"/>
                <w:sz w:val="16"/>
                <w:szCs w:val="16"/>
              </w:rPr>
              <w:t>1068887</w:t>
            </w:r>
          </w:p>
        </w:tc>
        <w:tc>
          <w:tcPr>
            <w:tcW w:w="756" w:type="dxa"/>
            <w:shd w:val="clear" w:color="auto" w:fill="auto"/>
            <w:tcMar>
              <w:left w:w="28" w:type="dxa"/>
              <w:right w:w="28" w:type="dxa"/>
            </w:tcMar>
            <w:vAlign w:val="center"/>
          </w:tcPr>
          <w:p w14:paraId="741D6C91" w14:textId="77777777" w:rsidR="004A0123" w:rsidRPr="00640447" w:rsidRDefault="004A0123" w:rsidP="008A5C11">
            <w:pPr>
              <w:jc w:val="center"/>
              <w:rPr>
                <w:color w:val="000000"/>
                <w:sz w:val="16"/>
                <w:szCs w:val="16"/>
              </w:rPr>
            </w:pPr>
            <w:r w:rsidRPr="00640447">
              <w:rPr>
                <w:color w:val="000000"/>
                <w:sz w:val="16"/>
                <w:szCs w:val="16"/>
              </w:rPr>
              <w:t>1068887</w:t>
            </w:r>
          </w:p>
        </w:tc>
        <w:tc>
          <w:tcPr>
            <w:tcW w:w="656" w:type="dxa"/>
            <w:shd w:val="clear" w:color="auto" w:fill="auto"/>
            <w:tcMar>
              <w:left w:w="28" w:type="dxa"/>
              <w:right w:w="28" w:type="dxa"/>
            </w:tcMar>
            <w:vAlign w:val="center"/>
          </w:tcPr>
          <w:p w14:paraId="27DAE652" w14:textId="77777777" w:rsidR="004A0123" w:rsidRPr="00640447" w:rsidRDefault="004A0123" w:rsidP="008A5C11">
            <w:pPr>
              <w:jc w:val="center"/>
              <w:rPr>
                <w:color w:val="000000"/>
                <w:sz w:val="16"/>
                <w:szCs w:val="16"/>
              </w:rPr>
            </w:pPr>
            <w:r w:rsidRPr="00640447">
              <w:rPr>
                <w:bCs/>
                <w:color w:val="000000"/>
                <w:sz w:val="16"/>
                <w:szCs w:val="16"/>
                <w:lang w:val="en-US"/>
              </w:rPr>
              <w:t> 0</w:t>
            </w:r>
          </w:p>
        </w:tc>
        <w:tc>
          <w:tcPr>
            <w:tcW w:w="656" w:type="dxa"/>
            <w:shd w:val="clear" w:color="auto" w:fill="auto"/>
            <w:tcMar>
              <w:left w:w="28" w:type="dxa"/>
              <w:right w:w="28" w:type="dxa"/>
            </w:tcMar>
            <w:vAlign w:val="center"/>
          </w:tcPr>
          <w:p w14:paraId="13C2A425" w14:textId="77777777" w:rsidR="004A0123" w:rsidRPr="00640447" w:rsidRDefault="004A0123" w:rsidP="008A5C11">
            <w:pPr>
              <w:jc w:val="center"/>
              <w:rPr>
                <w:color w:val="000000"/>
                <w:sz w:val="16"/>
                <w:szCs w:val="16"/>
              </w:rPr>
            </w:pPr>
            <w:r w:rsidRPr="00640447">
              <w:rPr>
                <w:color w:val="000000"/>
                <w:sz w:val="16"/>
                <w:szCs w:val="16"/>
              </w:rPr>
              <w:t>0</w:t>
            </w:r>
          </w:p>
        </w:tc>
        <w:tc>
          <w:tcPr>
            <w:tcW w:w="590" w:type="dxa"/>
            <w:shd w:val="clear" w:color="auto" w:fill="auto"/>
            <w:tcMar>
              <w:left w:w="28" w:type="dxa"/>
              <w:right w:w="28" w:type="dxa"/>
            </w:tcMar>
            <w:vAlign w:val="center"/>
          </w:tcPr>
          <w:p w14:paraId="2D1FD671" w14:textId="77777777" w:rsidR="004A0123" w:rsidRPr="00640447" w:rsidRDefault="004A0123" w:rsidP="008A5C11">
            <w:pPr>
              <w:jc w:val="center"/>
              <w:rPr>
                <w:color w:val="000000"/>
                <w:sz w:val="16"/>
                <w:szCs w:val="16"/>
              </w:rPr>
            </w:pPr>
            <w:r w:rsidRPr="00640447">
              <w:rPr>
                <w:color w:val="000000"/>
                <w:sz w:val="16"/>
                <w:szCs w:val="16"/>
              </w:rPr>
              <w:t>0</w:t>
            </w:r>
          </w:p>
        </w:tc>
        <w:tc>
          <w:tcPr>
            <w:tcW w:w="656" w:type="dxa"/>
            <w:tcMar>
              <w:left w:w="28" w:type="dxa"/>
              <w:right w:w="28" w:type="dxa"/>
            </w:tcMar>
            <w:vAlign w:val="center"/>
          </w:tcPr>
          <w:p w14:paraId="39726CF7" w14:textId="77777777" w:rsidR="004A0123" w:rsidRPr="00640447" w:rsidRDefault="004A0123" w:rsidP="008A5C11">
            <w:pPr>
              <w:jc w:val="center"/>
              <w:rPr>
                <w:color w:val="000000"/>
                <w:sz w:val="16"/>
                <w:szCs w:val="16"/>
              </w:rPr>
            </w:pPr>
            <w:r w:rsidRPr="00640447">
              <w:rPr>
                <w:color w:val="000000"/>
                <w:sz w:val="16"/>
                <w:szCs w:val="16"/>
              </w:rPr>
              <w:t>4678</w:t>
            </w:r>
          </w:p>
        </w:tc>
        <w:tc>
          <w:tcPr>
            <w:tcW w:w="656" w:type="dxa"/>
            <w:tcMar>
              <w:left w:w="28" w:type="dxa"/>
              <w:right w:w="28" w:type="dxa"/>
            </w:tcMar>
            <w:vAlign w:val="center"/>
          </w:tcPr>
          <w:p w14:paraId="75CB173E" w14:textId="77777777" w:rsidR="004A0123" w:rsidRPr="00640447" w:rsidRDefault="004A0123" w:rsidP="008A5C11">
            <w:pPr>
              <w:jc w:val="center"/>
              <w:rPr>
                <w:color w:val="000000"/>
                <w:sz w:val="16"/>
                <w:szCs w:val="16"/>
              </w:rPr>
            </w:pPr>
            <w:r w:rsidRPr="00640447">
              <w:rPr>
                <w:color w:val="000000"/>
                <w:sz w:val="16"/>
                <w:szCs w:val="16"/>
              </w:rPr>
              <w:t>7141</w:t>
            </w:r>
          </w:p>
        </w:tc>
        <w:tc>
          <w:tcPr>
            <w:tcW w:w="656" w:type="dxa"/>
            <w:vAlign w:val="center"/>
          </w:tcPr>
          <w:p w14:paraId="0B47ABB9" w14:textId="77777777" w:rsidR="004A0123" w:rsidRPr="00640447" w:rsidRDefault="004A0123" w:rsidP="008A5C11">
            <w:pPr>
              <w:jc w:val="center"/>
              <w:rPr>
                <w:color w:val="000000"/>
                <w:sz w:val="16"/>
                <w:szCs w:val="16"/>
              </w:rPr>
            </w:pPr>
            <w:r w:rsidRPr="00640447">
              <w:rPr>
                <w:color w:val="000000"/>
                <w:sz w:val="16"/>
                <w:szCs w:val="16"/>
              </w:rPr>
              <w:t>52641</w:t>
            </w:r>
          </w:p>
        </w:tc>
        <w:tc>
          <w:tcPr>
            <w:tcW w:w="656" w:type="dxa"/>
            <w:vAlign w:val="center"/>
          </w:tcPr>
          <w:p w14:paraId="579397F8" w14:textId="77777777" w:rsidR="004A0123" w:rsidRPr="00640447" w:rsidRDefault="004A0123" w:rsidP="008A5C11">
            <w:pPr>
              <w:jc w:val="center"/>
              <w:rPr>
                <w:color w:val="000000"/>
                <w:sz w:val="16"/>
                <w:szCs w:val="16"/>
              </w:rPr>
            </w:pPr>
            <w:r w:rsidRPr="00640447">
              <w:rPr>
                <w:color w:val="000000"/>
                <w:sz w:val="16"/>
                <w:szCs w:val="16"/>
              </w:rPr>
              <w:t>52641</w:t>
            </w:r>
          </w:p>
        </w:tc>
        <w:tc>
          <w:tcPr>
            <w:tcW w:w="656" w:type="dxa"/>
            <w:vAlign w:val="center"/>
          </w:tcPr>
          <w:p w14:paraId="5439F509" w14:textId="77777777" w:rsidR="004A0123" w:rsidRPr="00640447" w:rsidRDefault="004A0123" w:rsidP="008A5C11">
            <w:pPr>
              <w:jc w:val="center"/>
              <w:rPr>
                <w:color w:val="000000"/>
                <w:sz w:val="16"/>
                <w:szCs w:val="16"/>
              </w:rPr>
            </w:pPr>
            <w:r w:rsidRPr="00640447">
              <w:rPr>
                <w:color w:val="000000"/>
                <w:sz w:val="16"/>
                <w:szCs w:val="16"/>
              </w:rPr>
              <w:t>115969</w:t>
            </w:r>
          </w:p>
        </w:tc>
        <w:tc>
          <w:tcPr>
            <w:tcW w:w="656" w:type="dxa"/>
            <w:vAlign w:val="center"/>
          </w:tcPr>
          <w:p w14:paraId="4E7A4258" w14:textId="77777777" w:rsidR="004A0123" w:rsidRPr="00640447" w:rsidRDefault="004A0123" w:rsidP="008A5C11">
            <w:pPr>
              <w:jc w:val="center"/>
              <w:rPr>
                <w:color w:val="000000"/>
                <w:sz w:val="16"/>
                <w:szCs w:val="16"/>
              </w:rPr>
            </w:pPr>
            <w:r w:rsidRPr="00640447">
              <w:rPr>
                <w:color w:val="000000"/>
                <w:sz w:val="16"/>
                <w:szCs w:val="16"/>
              </w:rPr>
              <w:t>382235</w:t>
            </w:r>
          </w:p>
        </w:tc>
        <w:tc>
          <w:tcPr>
            <w:tcW w:w="656" w:type="dxa"/>
            <w:vAlign w:val="center"/>
          </w:tcPr>
          <w:p w14:paraId="43500F46" w14:textId="77777777" w:rsidR="004A0123" w:rsidRPr="00640447" w:rsidRDefault="004A0123" w:rsidP="008A5C11">
            <w:pPr>
              <w:jc w:val="center"/>
              <w:rPr>
                <w:color w:val="000000"/>
                <w:sz w:val="16"/>
                <w:szCs w:val="16"/>
              </w:rPr>
            </w:pPr>
            <w:r w:rsidRPr="00640447">
              <w:rPr>
                <w:color w:val="000000"/>
                <w:sz w:val="16"/>
                <w:szCs w:val="16"/>
              </w:rPr>
              <w:t>453582</w:t>
            </w:r>
          </w:p>
        </w:tc>
      </w:tr>
      <w:tr w:rsidR="004A0123" w:rsidRPr="00640447" w14:paraId="2A05736B" w14:textId="77777777" w:rsidTr="008A5C11">
        <w:trPr>
          <w:trHeight w:val="510"/>
          <w:jc w:val="center"/>
        </w:trPr>
        <w:tc>
          <w:tcPr>
            <w:tcW w:w="356" w:type="dxa"/>
            <w:shd w:val="clear" w:color="auto" w:fill="auto"/>
            <w:tcMar>
              <w:left w:w="28" w:type="dxa"/>
              <w:right w:w="28" w:type="dxa"/>
            </w:tcMar>
            <w:vAlign w:val="center"/>
            <w:hideMark/>
          </w:tcPr>
          <w:p w14:paraId="0CFDA6AD" w14:textId="77777777" w:rsidR="004A0123" w:rsidRPr="00640447" w:rsidRDefault="004A0123" w:rsidP="008A5C11">
            <w:pPr>
              <w:jc w:val="center"/>
              <w:rPr>
                <w:sz w:val="16"/>
                <w:szCs w:val="16"/>
              </w:rPr>
            </w:pPr>
            <w:r w:rsidRPr="00640447">
              <w:rPr>
                <w:sz w:val="16"/>
                <w:szCs w:val="16"/>
              </w:rPr>
              <w:t>1.2.</w:t>
            </w:r>
          </w:p>
        </w:tc>
        <w:tc>
          <w:tcPr>
            <w:tcW w:w="1585" w:type="dxa"/>
            <w:shd w:val="clear" w:color="auto" w:fill="auto"/>
            <w:tcMar>
              <w:left w:w="28" w:type="dxa"/>
              <w:right w:w="28" w:type="dxa"/>
            </w:tcMar>
            <w:vAlign w:val="center"/>
            <w:hideMark/>
          </w:tcPr>
          <w:p w14:paraId="79EFF5D0" w14:textId="77777777" w:rsidR="004A0123" w:rsidRPr="00640447" w:rsidRDefault="004A0123" w:rsidP="008A5C11">
            <w:pPr>
              <w:rPr>
                <w:sz w:val="16"/>
                <w:szCs w:val="16"/>
              </w:rPr>
            </w:pPr>
            <w:r w:rsidRPr="00640447">
              <w:rPr>
                <w:sz w:val="16"/>
                <w:szCs w:val="16"/>
              </w:rPr>
              <w:t>прибыль, направленная на инвестиции</w:t>
            </w:r>
          </w:p>
        </w:tc>
        <w:tc>
          <w:tcPr>
            <w:tcW w:w="1196" w:type="dxa"/>
            <w:shd w:val="clear" w:color="auto" w:fill="auto"/>
            <w:tcMar>
              <w:left w:w="28" w:type="dxa"/>
              <w:right w:w="28" w:type="dxa"/>
            </w:tcMar>
            <w:vAlign w:val="center"/>
          </w:tcPr>
          <w:p w14:paraId="05B62AE5" w14:textId="77777777" w:rsidR="004A0123" w:rsidRPr="00640447" w:rsidRDefault="004A0123" w:rsidP="008A5C11">
            <w:pPr>
              <w:jc w:val="center"/>
              <w:rPr>
                <w:color w:val="000000"/>
                <w:sz w:val="16"/>
                <w:szCs w:val="16"/>
              </w:rPr>
            </w:pPr>
            <w:r w:rsidRPr="00640447">
              <w:rPr>
                <w:color w:val="000000"/>
                <w:sz w:val="16"/>
                <w:szCs w:val="16"/>
              </w:rPr>
              <w:t>819059</w:t>
            </w:r>
          </w:p>
        </w:tc>
        <w:tc>
          <w:tcPr>
            <w:tcW w:w="756" w:type="dxa"/>
            <w:shd w:val="clear" w:color="auto" w:fill="auto"/>
            <w:tcMar>
              <w:left w:w="28" w:type="dxa"/>
              <w:right w:w="28" w:type="dxa"/>
            </w:tcMar>
            <w:vAlign w:val="center"/>
          </w:tcPr>
          <w:p w14:paraId="38985042" w14:textId="77777777" w:rsidR="004A0123" w:rsidRPr="00640447" w:rsidRDefault="004A0123" w:rsidP="008A5C11">
            <w:pPr>
              <w:jc w:val="center"/>
              <w:rPr>
                <w:color w:val="000000"/>
                <w:sz w:val="16"/>
                <w:szCs w:val="16"/>
              </w:rPr>
            </w:pPr>
            <w:r w:rsidRPr="00640447">
              <w:rPr>
                <w:color w:val="000000"/>
                <w:sz w:val="16"/>
                <w:szCs w:val="16"/>
              </w:rPr>
              <w:t>819059</w:t>
            </w:r>
          </w:p>
        </w:tc>
        <w:tc>
          <w:tcPr>
            <w:tcW w:w="656" w:type="dxa"/>
            <w:shd w:val="clear" w:color="auto" w:fill="auto"/>
            <w:tcMar>
              <w:left w:w="28" w:type="dxa"/>
              <w:right w:w="28" w:type="dxa"/>
            </w:tcMar>
            <w:vAlign w:val="center"/>
          </w:tcPr>
          <w:p w14:paraId="464BCF3D" w14:textId="77777777" w:rsidR="004A0123" w:rsidRPr="00640447" w:rsidRDefault="004A0123" w:rsidP="008A5C11">
            <w:pPr>
              <w:jc w:val="center"/>
              <w:rPr>
                <w:color w:val="000000"/>
                <w:sz w:val="16"/>
                <w:szCs w:val="16"/>
              </w:rPr>
            </w:pPr>
            <w:r w:rsidRPr="00640447">
              <w:rPr>
                <w:bCs/>
                <w:color w:val="000000"/>
                <w:sz w:val="16"/>
                <w:szCs w:val="16"/>
                <w:lang w:val="en-US"/>
              </w:rPr>
              <w:t>0</w:t>
            </w:r>
          </w:p>
        </w:tc>
        <w:tc>
          <w:tcPr>
            <w:tcW w:w="656" w:type="dxa"/>
            <w:shd w:val="clear" w:color="auto" w:fill="auto"/>
            <w:tcMar>
              <w:left w:w="28" w:type="dxa"/>
              <w:right w:w="28" w:type="dxa"/>
            </w:tcMar>
            <w:vAlign w:val="center"/>
          </w:tcPr>
          <w:p w14:paraId="655A3A23" w14:textId="77777777" w:rsidR="004A0123" w:rsidRPr="00640447" w:rsidRDefault="004A0123" w:rsidP="008A5C11">
            <w:pPr>
              <w:jc w:val="center"/>
              <w:rPr>
                <w:color w:val="000000"/>
                <w:sz w:val="16"/>
                <w:szCs w:val="16"/>
              </w:rPr>
            </w:pPr>
            <w:r w:rsidRPr="00640447">
              <w:rPr>
                <w:color w:val="000000"/>
                <w:sz w:val="16"/>
                <w:szCs w:val="16"/>
              </w:rPr>
              <w:t>9035</w:t>
            </w:r>
          </w:p>
        </w:tc>
        <w:tc>
          <w:tcPr>
            <w:tcW w:w="590" w:type="dxa"/>
            <w:shd w:val="clear" w:color="auto" w:fill="auto"/>
            <w:tcMar>
              <w:left w:w="28" w:type="dxa"/>
              <w:right w:w="28" w:type="dxa"/>
            </w:tcMar>
            <w:vAlign w:val="center"/>
          </w:tcPr>
          <w:p w14:paraId="51754EE5" w14:textId="77777777" w:rsidR="004A0123" w:rsidRPr="00640447" w:rsidRDefault="004A0123" w:rsidP="008A5C11">
            <w:pPr>
              <w:jc w:val="center"/>
              <w:rPr>
                <w:color w:val="000000"/>
                <w:sz w:val="16"/>
                <w:szCs w:val="16"/>
              </w:rPr>
            </w:pPr>
            <w:r w:rsidRPr="00640447">
              <w:rPr>
                <w:color w:val="000000"/>
                <w:sz w:val="16"/>
                <w:szCs w:val="16"/>
              </w:rPr>
              <w:t>49812</w:t>
            </w:r>
          </w:p>
        </w:tc>
        <w:tc>
          <w:tcPr>
            <w:tcW w:w="656" w:type="dxa"/>
            <w:tcMar>
              <w:left w:w="28" w:type="dxa"/>
              <w:right w:w="28" w:type="dxa"/>
            </w:tcMar>
            <w:vAlign w:val="center"/>
          </w:tcPr>
          <w:p w14:paraId="1C607C8A" w14:textId="77777777" w:rsidR="004A0123" w:rsidRPr="00640447" w:rsidRDefault="004A0123" w:rsidP="008A5C11">
            <w:pPr>
              <w:jc w:val="center"/>
              <w:rPr>
                <w:color w:val="000000"/>
                <w:sz w:val="16"/>
                <w:szCs w:val="16"/>
              </w:rPr>
            </w:pPr>
            <w:r w:rsidRPr="00640447">
              <w:rPr>
                <w:color w:val="000000"/>
                <w:sz w:val="16"/>
                <w:szCs w:val="16"/>
              </w:rPr>
              <w:t>88992</w:t>
            </w:r>
          </w:p>
        </w:tc>
        <w:tc>
          <w:tcPr>
            <w:tcW w:w="656" w:type="dxa"/>
            <w:tcMar>
              <w:left w:w="28" w:type="dxa"/>
              <w:right w:w="28" w:type="dxa"/>
            </w:tcMar>
            <w:vAlign w:val="center"/>
          </w:tcPr>
          <w:p w14:paraId="3C966957" w14:textId="77777777" w:rsidR="004A0123" w:rsidRPr="00640447" w:rsidRDefault="004A0123" w:rsidP="008A5C11">
            <w:pPr>
              <w:jc w:val="center"/>
              <w:rPr>
                <w:color w:val="000000"/>
                <w:sz w:val="16"/>
                <w:szCs w:val="16"/>
              </w:rPr>
            </w:pPr>
            <w:r w:rsidRPr="00640447">
              <w:rPr>
                <w:color w:val="000000"/>
                <w:sz w:val="16"/>
                <w:szCs w:val="16"/>
              </w:rPr>
              <w:t>134172</w:t>
            </w:r>
          </w:p>
        </w:tc>
        <w:tc>
          <w:tcPr>
            <w:tcW w:w="656" w:type="dxa"/>
            <w:vAlign w:val="center"/>
          </w:tcPr>
          <w:p w14:paraId="7153F2B6" w14:textId="77777777" w:rsidR="004A0123" w:rsidRPr="00640447" w:rsidRDefault="004A0123" w:rsidP="008A5C11">
            <w:pPr>
              <w:jc w:val="center"/>
              <w:rPr>
                <w:color w:val="000000"/>
                <w:sz w:val="16"/>
                <w:szCs w:val="16"/>
              </w:rPr>
            </w:pPr>
            <w:r w:rsidRPr="00640447">
              <w:rPr>
                <w:color w:val="000000"/>
                <w:sz w:val="16"/>
                <w:szCs w:val="16"/>
              </w:rPr>
              <w:t>139224</w:t>
            </w:r>
          </w:p>
        </w:tc>
        <w:tc>
          <w:tcPr>
            <w:tcW w:w="656" w:type="dxa"/>
            <w:vAlign w:val="center"/>
          </w:tcPr>
          <w:p w14:paraId="3C933497" w14:textId="77777777" w:rsidR="004A0123" w:rsidRPr="00640447" w:rsidRDefault="004A0123" w:rsidP="008A5C11">
            <w:pPr>
              <w:jc w:val="center"/>
              <w:rPr>
                <w:color w:val="000000"/>
                <w:sz w:val="16"/>
                <w:szCs w:val="16"/>
              </w:rPr>
            </w:pPr>
            <w:r w:rsidRPr="00640447">
              <w:rPr>
                <w:color w:val="000000"/>
                <w:sz w:val="16"/>
                <w:szCs w:val="16"/>
              </w:rPr>
              <w:t>195530</w:t>
            </w:r>
          </w:p>
        </w:tc>
        <w:tc>
          <w:tcPr>
            <w:tcW w:w="656" w:type="dxa"/>
            <w:vAlign w:val="center"/>
          </w:tcPr>
          <w:p w14:paraId="76556416" w14:textId="77777777" w:rsidR="004A0123" w:rsidRPr="00640447" w:rsidRDefault="004A0123" w:rsidP="008A5C11">
            <w:pPr>
              <w:jc w:val="center"/>
              <w:rPr>
                <w:color w:val="000000"/>
                <w:sz w:val="16"/>
                <w:szCs w:val="16"/>
              </w:rPr>
            </w:pPr>
            <w:r w:rsidRPr="00640447">
              <w:rPr>
                <w:color w:val="000000"/>
                <w:sz w:val="16"/>
                <w:szCs w:val="16"/>
              </w:rPr>
              <w:t>196249</w:t>
            </w:r>
          </w:p>
        </w:tc>
        <w:tc>
          <w:tcPr>
            <w:tcW w:w="656" w:type="dxa"/>
            <w:vAlign w:val="center"/>
          </w:tcPr>
          <w:p w14:paraId="44ED9B06" w14:textId="77777777" w:rsidR="004A0123" w:rsidRPr="00640447" w:rsidRDefault="004A0123" w:rsidP="008A5C11">
            <w:pPr>
              <w:jc w:val="center"/>
              <w:rPr>
                <w:color w:val="000000"/>
                <w:sz w:val="16"/>
                <w:szCs w:val="16"/>
              </w:rPr>
            </w:pPr>
            <w:r w:rsidRPr="00640447">
              <w:rPr>
                <w:color w:val="000000"/>
                <w:sz w:val="16"/>
                <w:szCs w:val="16"/>
              </w:rPr>
              <w:t>6045</w:t>
            </w:r>
          </w:p>
        </w:tc>
        <w:tc>
          <w:tcPr>
            <w:tcW w:w="656" w:type="dxa"/>
            <w:vAlign w:val="center"/>
          </w:tcPr>
          <w:p w14:paraId="6A6118E8" w14:textId="77777777" w:rsidR="004A0123" w:rsidRPr="00640447" w:rsidRDefault="004A0123" w:rsidP="008A5C11">
            <w:pPr>
              <w:jc w:val="center"/>
              <w:rPr>
                <w:color w:val="000000"/>
                <w:sz w:val="16"/>
                <w:szCs w:val="16"/>
              </w:rPr>
            </w:pPr>
            <w:r w:rsidRPr="00640447">
              <w:rPr>
                <w:color w:val="000000"/>
                <w:sz w:val="16"/>
                <w:szCs w:val="16"/>
              </w:rPr>
              <w:t>0</w:t>
            </w:r>
          </w:p>
        </w:tc>
      </w:tr>
      <w:tr w:rsidR="004A0123" w:rsidRPr="00640447" w14:paraId="27527D94" w14:textId="77777777" w:rsidTr="008A5C11">
        <w:trPr>
          <w:trHeight w:val="510"/>
          <w:jc w:val="center"/>
        </w:trPr>
        <w:tc>
          <w:tcPr>
            <w:tcW w:w="356" w:type="dxa"/>
            <w:shd w:val="clear" w:color="auto" w:fill="auto"/>
            <w:tcMar>
              <w:left w:w="28" w:type="dxa"/>
              <w:right w:w="28" w:type="dxa"/>
            </w:tcMar>
            <w:vAlign w:val="center"/>
            <w:hideMark/>
          </w:tcPr>
          <w:p w14:paraId="2E29A25E" w14:textId="77777777" w:rsidR="004A0123" w:rsidRPr="00640447" w:rsidRDefault="004A0123" w:rsidP="008A5C11">
            <w:pPr>
              <w:jc w:val="center"/>
              <w:rPr>
                <w:sz w:val="16"/>
                <w:szCs w:val="16"/>
              </w:rPr>
            </w:pPr>
            <w:r w:rsidRPr="00640447">
              <w:rPr>
                <w:sz w:val="16"/>
                <w:szCs w:val="16"/>
              </w:rPr>
              <w:t>1.3.</w:t>
            </w:r>
          </w:p>
        </w:tc>
        <w:tc>
          <w:tcPr>
            <w:tcW w:w="1585" w:type="dxa"/>
            <w:shd w:val="clear" w:color="auto" w:fill="auto"/>
            <w:tcMar>
              <w:left w:w="28" w:type="dxa"/>
              <w:right w:w="28" w:type="dxa"/>
            </w:tcMar>
            <w:vAlign w:val="center"/>
            <w:hideMark/>
          </w:tcPr>
          <w:p w14:paraId="0E46C977" w14:textId="77777777" w:rsidR="004A0123" w:rsidRPr="00640447" w:rsidRDefault="004A0123" w:rsidP="008A5C11">
            <w:pPr>
              <w:ind w:right="-52"/>
              <w:rPr>
                <w:sz w:val="16"/>
                <w:szCs w:val="16"/>
              </w:rPr>
            </w:pPr>
            <w:r w:rsidRPr="00640447">
              <w:rPr>
                <w:sz w:val="16"/>
                <w:szCs w:val="16"/>
              </w:rPr>
              <w:t>средства,</w:t>
            </w:r>
          </w:p>
          <w:p w14:paraId="4CABA17D" w14:textId="77777777" w:rsidR="004A0123" w:rsidRPr="00640447" w:rsidRDefault="004A0123" w:rsidP="008A5C11">
            <w:pPr>
              <w:ind w:right="-52"/>
              <w:rPr>
                <w:sz w:val="16"/>
                <w:szCs w:val="16"/>
              </w:rPr>
            </w:pPr>
            <w:r w:rsidRPr="00640447">
              <w:rPr>
                <w:sz w:val="16"/>
                <w:szCs w:val="16"/>
              </w:rPr>
              <w:t>полученные за счет платы за подключение</w:t>
            </w:r>
          </w:p>
        </w:tc>
        <w:tc>
          <w:tcPr>
            <w:tcW w:w="1196" w:type="dxa"/>
            <w:shd w:val="clear" w:color="auto" w:fill="auto"/>
            <w:tcMar>
              <w:left w:w="28" w:type="dxa"/>
              <w:right w:w="28" w:type="dxa"/>
            </w:tcMar>
            <w:vAlign w:val="center"/>
          </w:tcPr>
          <w:p w14:paraId="6F5F0848" w14:textId="77777777" w:rsidR="004A0123" w:rsidRPr="00640447" w:rsidRDefault="004A0123" w:rsidP="008A5C11">
            <w:pPr>
              <w:jc w:val="center"/>
              <w:rPr>
                <w:sz w:val="16"/>
                <w:szCs w:val="16"/>
                <w:lang w:val="en-US"/>
              </w:rPr>
            </w:pPr>
            <w:r w:rsidRPr="00640447">
              <w:rPr>
                <w:sz w:val="16"/>
                <w:szCs w:val="16"/>
                <w:lang w:val="en-US"/>
              </w:rPr>
              <w:t>0</w:t>
            </w:r>
          </w:p>
        </w:tc>
        <w:tc>
          <w:tcPr>
            <w:tcW w:w="756" w:type="dxa"/>
            <w:shd w:val="clear" w:color="auto" w:fill="auto"/>
            <w:tcMar>
              <w:left w:w="28" w:type="dxa"/>
              <w:right w:w="28" w:type="dxa"/>
            </w:tcMar>
            <w:vAlign w:val="center"/>
          </w:tcPr>
          <w:p w14:paraId="2BCDA420" w14:textId="77777777" w:rsidR="004A0123" w:rsidRPr="00640447" w:rsidRDefault="004A0123" w:rsidP="008A5C11">
            <w:pPr>
              <w:jc w:val="center"/>
              <w:rPr>
                <w:sz w:val="16"/>
                <w:szCs w:val="16"/>
                <w:lang w:val="en-US"/>
              </w:rPr>
            </w:pPr>
            <w:r w:rsidRPr="00640447">
              <w:rPr>
                <w:sz w:val="16"/>
                <w:szCs w:val="16"/>
                <w:lang w:val="en-US"/>
              </w:rPr>
              <w:t>0</w:t>
            </w:r>
          </w:p>
        </w:tc>
        <w:tc>
          <w:tcPr>
            <w:tcW w:w="656" w:type="dxa"/>
            <w:shd w:val="clear" w:color="auto" w:fill="auto"/>
            <w:tcMar>
              <w:left w:w="28" w:type="dxa"/>
              <w:right w:w="28" w:type="dxa"/>
            </w:tcMar>
            <w:vAlign w:val="center"/>
          </w:tcPr>
          <w:p w14:paraId="0B1E1DBE" w14:textId="77777777" w:rsidR="004A0123" w:rsidRPr="00640447" w:rsidRDefault="004A0123" w:rsidP="008A5C11">
            <w:pPr>
              <w:jc w:val="center"/>
              <w:rPr>
                <w:bCs/>
                <w:sz w:val="16"/>
                <w:szCs w:val="16"/>
                <w:lang w:val="en-US"/>
              </w:rPr>
            </w:pPr>
            <w:r w:rsidRPr="00640447">
              <w:rPr>
                <w:bCs/>
                <w:sz w:val="16"/>
                <w:szCs w:val="16"/>
                <w:lang w:val="en-US"/>
              </w:rPr>
              <w:t>0</w:t>
            </w:r>
          </w:p>
        </w:tc>
        <w:tc>
          <w:tcPr>
            <w:tcW w:w="656" w:type="dxa"/>
            <w:shd w:val="clear" w:color="auto" w:fill="auto"/>
            <w:tcMar>
              <w:left w:w="28" w:type="dxa"/>
              <w:right w:w="28" w:type="dxa"/>
            </w:tcMar>
            <w:vAlign w:val="center"/>
          </w:tcPr>
          <w:p w14:paraId="1D67CBC1" w14:textId="77777777" w:rsidR="004A0123" w:rsidRPr="00640447" w:rsidRDefault="004A0123" w:rsidP="008A5C11">
            <w:pPr>
              <w:jc w:val="center"/>
              <w:rPr>
                <w:bCs/>
                <w:sz w:val="16"/>
                <w:szCs w:val="16"/>
                <w:lang w:val="en-US"/>
              </w:rPr>
            </w:pPr>
            <w:r w:rsidRPr="00640447">
              <w:rPr>
                <w:bCs/>
                <w:sz w:val="16"/>
                <w:szCs w:val="16"/>
                <w:lang w:val="en-US"/>
              </w:rPr>
              <w:t>0</w:t>
            </w:r>
          </w:p>
        </w:tc>
        <w:tc>
          <w:tcPr>
            <w:tcW w:w="590" w:type="dxa"/>
            <w:shd w:val="clear" w:color="auto" w:fill="auto"/>
            <w:tcMar>
              <w:left w:w="28" w:type="dxa"/>
              <w:right w:w="28" w:type="dxa"/>
            </w:tcMar>
            <w:vAlign w:val="center"/>
          </w:tcPr>
          <w:p w14:paraId="32007AC3" w14:textId="77777777" w:rsidR="004A0123" w:rsidRPr="00640447" w:rsidRDefault="004A0123" w:rsidP="008A5C11">
            <w:pPr>
              <w:jc w:val="center"/>
              <w:rPr>
                <w:bCs/>
                <w:sz w:val="16"/>
                <w:szCs w:val="16"/>
                <w:lang w:val="en-US"/>
              </w:rPr>
            </w:pPr>
            <w:r w:rsidRPr="00640447">
              <w:rPr>
                <w:bCs/>
                <w:sz w:val="16"/>
                <w:szCs w:val="16"/>
                <w:lang w:val="en-US"/>
              </w:rPr>
              <w:t>0</w:t>
            </w:r>
          </w:p>
        </w:tc>
        <w:tc>
          <w:tcPr>
            <w:tcW w:w="656" w:type="dxa"/>
            <w:tcMar>
              <w:left w:w="28" w:type="dxa"/>
              <w:right w:w="28" w:type="dxa"/>
            </w:tcMar>
            <w:vAlign w:val="center"/>
          </w:tcPr>
          <w:p w14:paraId="577267E6" w14:textId="77777777" w:rsidR="004A0123" w:rsidRPr="00640447" w:rsidRDefault="004A0123" w:rsidP="008A5C11">
            <w:pPr>
              <w:jc w:val="center"/>
              <w:rPr>
                <w:bCs/>
                <w:sz w:val="16"/>
                <w:szCs w:val="16"/>
                <w:lang w:val="en-US"/>
              </w:rPr>
            </w:pPr>
            <w:r w:rsidRPr="00640447">
              <w:rPr>
                <w:bCs/>
                <w:sz w:val="16"/>
                <w:szCs w:val="16"/>
                <w:lang w:val="en-US"/>
              </w:rPr>
              <w:t>0</w:t>
            </w:r>
          </w:p>
        </w:tc>
        <w:tc>
          <w:tcPr>
            <w:tcW w:w="656" w:type="dxa"/>
            <w:tcMar>
              <w:left w:w="28" w:type="dxa"/>
              <w:right w:w="28" w:type="dxa"/>
            </w:tcMar>
            <w:vAlign w:val="center"/>
          </w:tcPr>
          <w:p w14:paraId="5B08D352" w14:textId="77777777" w:rsidR="004A0123" w:rsidRPr="00640447" w:rsidRDefault="004A0123" w:rsidP="008A5C11">
            <w:pPr>
              <w:jc w:val="center"/>
              <w:rPr>
                <w:bCs/>
                <w:sz w:val="16"/>
                <w:szCs w:val="16"/>
                <w:lang w:val="en-US"/>
              </w:rPr>
            </w:pPr>
            <w:r w:rsidRPr="00640447">
              <w:rPr>
                <w:bCs/>
                <w:sz w:val="16"/>
                <w:szCs w:val="16"/>
                <w:lang w:val="en-US"/>
              </w:rPr>
              <w:t>0</w:t>
            </w:r>
          </w:p>
        </w:tc>
        <w:tc>
          <w:tcPr>
            <w:tcW w:w="656" w:type="dxa"/>
            <w:vAlign w:val="center"/>
          </w:tcPr>
          <w:p w14:paraId="7C9FD8C9" w14:textId="77777777" w:rsidR="004A0123" w:rsidRPr="00640447" w:rsidRDefault="004A0123" w:rsidP="008A5C11">
            <w:pPr>
              <w:jc w:val="center"/>
              <w:rPr>
                <w:bCs/>
                <w:sz w:val="16"/>
                <w:szCs w:val="16"/>
                <w:lang w:val="en-US"/>
              </w:rPr>
            </w:pPr>
            <w:r w:rsidRPr="00640447">
              <w:rPr>
                <w:bCs/>
                <w:sz w:val="16"/>
                <w:szCs w:val="16"/>
                <w:lang w:val="en-US"/>
              </w:rPr>
              <w:t>0</w:t>
            </w:r>
          </w:p>
        </w:tc>
        <w:tc>
          <w:tcPr>
            <w:tcW w:w="656" w:type="dxa"/>
            <w:vAlign w:val="center"/>
          </w:tcPr>
          <w:p w14:paraId="1B4C9BB8" w14:textId="77777777" w:rsidR="004A0123" w:rsidRPr="00640447" w:rsidRDefault="004A0123" w:rsidP="008A5C11">
            <w:pPr>
              <w:jc w:val="center"/>
              <w:rPr>
                <w:bCs/>
                <w:sz w:val="16"/>
                <w:szCs w:val="16"/>
                <w:lang w:val="en-US"/>
              </w:rPr>
            </w:pPr>
            <w:r w:rsidRPr="00640447">
              <w:rPr>
                <w:bCs/>
                <w:sz w:val="16"/>
                <w:szCs w:val="16"/>
                <w:lang w:val="en-US"/>
              </w:rPr>
              <w:t>0</w:t>
            </w:r>
          </w:p>
        </w:tc>
        <w:tc>
          <w:tcPr>
            <w:tcW w:w="656" w:type="dxa"/>
            <w:vAlign w:val="center"/>
          </w:tcPr>
          <w:p w14:paraId="64FEAFB1" w14:textId="77777777" w:rsidR="004A0123" w:rsidRPr="00640447" w:rsidRDefault="004A0123" w:rsidP="008A5C11">
            <w:pPr>
              <w:jc w:val="center"/>
              <w:rPr>
                <w:bCs/>
                <w:sz w:val="16"/>
                <w:szCs w:val="16"/>
                <w:lang w:val="en-US"/>
              </w:rPr>
            </w:pPr>
            <w:r w:rsidRPr="00640447">
              <w:rPr>
                <w:bCs/>
                <w:sz w:val="16"/>
                <w:szCs w:val="16"/>
                <w:lang w:val="en-US"/>
              </w:rPr>
              <w:t>0</w:t>
            </w:r>
          </w:p>
        </w:tc>
        <w:tc>
          <w:tcPr>
            <w:tcW w:w="656" w:type="dxa"/>
            <w:vAlign w:val="center"/>
          </w:tcPr>
          <w:p w14:paraId="19A70EF1" w14:textId="77777777" w:rsidR="004A0123" w:rsidRPr="00640447" w:rsidRDefault="004A0123" w:rsidP="008A5C11">
            <w:pPr>
              <w:jc w:val="center"/>
              <w:rPr>
                <w:bCs/>
                <w:sz w:val="16"/>
                <w:szCs w:val="16"/>
                <w:lang w:val="en-US"/>
              </w:rPr>
            </w:pPr>
            <w:r w:rsidRPr="00640447">
              <w:rPr>
                <w:bCs/>
                <w:sz w:val="16"/>
                <w:szCs w:val="16"/>
                <w:lang w:val="en-US"/>
              </w:rPr>
              <w:t>0</w:t>
            </w:r>
          </w:p>
        </w:tc>
        <w:tc>
          <w:tcPr>
            <w:tcW w:w="656" w:type="dxa"/>
            <w:vAlign w:val="center"/>
          </w:tcPr>
          <w:p w14:paraId="38F4EDC5" w14:textId="77777777" w:rsidR="004A0123" w:rsidRPr="00640447" w:rsidRDefault="004A0123" w:rsidP="008A5C11">
            <w:pPr>
              <w:jc w:val="center"/>
              <w:rPr>
                <w:bCs/>
                <w:sz w:val="16"/>
                <w:szCs w:val="16"/>
                <w:lang w:val="en-US"/>
              </w:rPr>
            </w:pPr>
            <w:r w:rsidRPr="00640447">
              <w:rPr>
                <w:bCs/>
                <w:sz w:val="16"/>
                <w:szCs w:val="16"/>
                <w:lang w:val="en-US"/>
              </w:rPr>
              <w:t>0</w:t>
            </w:r>
          </w:p>
        </w:tc>
      </w:tr>
      <w:tr w:rsidR="004A0123" w:rsidRPr="00640447" w14:paraId="3C2D5527" w14:textId="77777777" w:rsidTr="008A5C11">
        <w:trPr>
          <w:trHeight w:val="510"/>
          <w:jc w:val="center"/>
        </w:trPr>
        <w:tc>
          <w:tcPr>
            <w:tcW w:w="356" w:type="dxa"/>
            <w:shd w:val="clear" w:color="auto" w:fill="auto"/>
            <w:tcMar>
              <w:left w:w="28" w:type="dxa"/>
              <w:right w:w="28" w:type="dxa"/>
            </w:tcMar>
            <w:vAlign w:val="center"/>
            <w:hideMark/>
          </w:tcPr>
          <w:p w14:paraId="22A85688" w14:textId="77777777" w:rsidR="004A0123" w:rsidRPr="00640447" w:rsidRDefault="004A0123" w:rsidP="008A5C11">
            <w:pPr>
              <w:jc w:val="center"/>
              <w:rPr>
                <w:sz w:val="16"/>
                <w:szCs w:val="16"/>
              </w:rPr>
            </w:pPr>
            <w:r w:rsidRPr="00640447">
              <w:rPr>
                <w:sz w:val="16"/>
                <w:szCs w:val="16"/>
              </w:rPr>
              <w:t>1.4.</w:t>
            </w:r>
          </w:p>
        </w:tc>
        <w:tc>
          <w:tcPr>
            <w:tcW w:w="1585" w:type="dxa"/>
            <w:shd w:val="clear" w:color="auto" w:fill="auto"/>
            <w:tcMar>
              <w:left w:w="28" w:type="dxa"/>
              <w:right w:w="28" w:type="dxa"/>
            </w:tcMar>
            <w:vAlign w:val="center"/>
            <w:hideMark/>
          </w:tcPr>
          <w:p w14:paraId="2F0C68FD" w14:textId="77777777" w:rsidR="004A0123" w:rsidRPr="00640447" w:rsidRDefault="004A0123" w:rsidP="008A5C11">
            <w:pPr>
              <w:rPr>
                <w:sz w:val="16"/>
                <w:szCs w:val="16"/>
              </w:rPr>
            </w:pPr>
            <w:r w:rsidRPr="00640447">
              <w:rPr>
                <w:sz w:val="16"/>
                <w:szCs w:val="16"/>
              </w:rPr>
              <w:t>прочие средства, в т.ч. аренда имущества</w:t>
            </w:r>
          </w:p>
        </w:tc>
        <w:tc>
          <w:tcPr>
            <w:tcW w:w="1196" w:type="dxa"/>
            <w:shd w:val="clear" w:color="auto" w:fill="auto"/>
            <w:tcMar>
              <w:left w:w="28" w:type="dxa"/>
              <w:right w:w="28" w:type="dxa"/>
            </w:tcMar>
            <w:vAlign w:val="center"/>
          </w:tcPr>
          <w:p w14:paraId="0A2473A0" w14:textId="77777777" w:rsidR="004A0123" w:rsidRPr="00640447" w:rsidRDefault="004A0123" w:rsidP="008A5C11">
            <w:pPr>
              <w:jc w:val="center"/>
              <w:rPr>
                <w:sz w:val="16"/>
                <w:szCs w:val="16"/>
                <w:lang w:val="en-US"/>
              </w:rPr>
            </w:pPr>
            <w:r w:rsidRPr="00640447">
              <w:rPr>
                <w:sz w:val="16"/>
                <w:szCs w:val="16"/>
                <w:lang w:val="en-US"/>
              </w:rPr>
              <w:t>0</w:t>
            </w:r>
          </w:p>
        </w:tc>
        <w:tc>
          <w:tcPr>
            <w:tcW w:w="756" w:type="dxa"/>
            <w:shd w:val="clear" w:color="auto" w:fill="auto"/>
            <w:tcMar>
              <w:left w:w="28" w:type="dxa"/>
              <w:right w:w="28" w:type="dxa"/>
            </w:tcMar>
            <w:vAlign w:val="center"/>
          </w:tcPr>
          <w:p w14:paraId="33748011" w14:textId="77777777" w:rsidR="004A0123" w:rsidRPr="00640447" w:rsidRDefault="004A0123" w:rsidP="008A5C11">
            <w:pPr>
              <w:jc w:val="center"/>
              <w:rPr>
                <w:sz w:val="16"/>
                <w:szCs w:val="16"/>
                <w:lang w:val="en-US"/>
              </w:rPr>
            </w:pPr>
            <w:r w:rsidRPr="00640447">
              <w:rPr>
                <w:sz w:val="16"/>
                <w:szCs w:val="16"/>
                <w:lang w:val="en-US"/>
              </w:rPr>
              <w:t>0</w:t>
            </w:r>
          </w:p>
        </w:tc>
        <w:tc>
          <w:tcPr>
            <w:tcW w:w="656" w:type="dxa"/>
            <w:shd w:val="clear" w:color="auto" w:fill="auto"/>
            <w:tcMar>
              <w:left w:w="28" w:type="dxa"/>
              <w:right w:w="28" w:type="dxa"/>
            </w:tcMar>
            <w:vAlign w:val="center"/>
          </w:tcPr>
          <w:p w14:paraId="1761D5D5" w14:textId="77777777" w:rsidR="004A0123" w:rsidRPr="00640447" w:rsidRDefault="004A0123" w:rsidP="008A5C11">
            <w:pPr>
              <w:jc w:val="center"/>
              <w:rPr>
                <w:bCs/>
                <w:sz w:val="16"/>
                <w:szCs w:val="16"/>
                <w:lang w:val="en-US"/>
              </w:rPr>
            </w:pPr>
            <w:r w:rsidRPr="00640447">
              <w:rPr>
                <w:bCs/>
                <w:sz w:val="16"/>
                <w:szCs w:val="16"/>
                <w:lang w:val="en-US"/>
              </w:rPr>
              <w:t>0</w:t>
            </w:r>
          </w:p>
        </w:tc>
        <w:tc>
          <w:tcPr>
            <w:tcW w:w="656" w:type="dxa"/>
            <w:shd w:val="clear" w:color="auto" w:fill="auto"/>
            <w:tcMar>
              <w:left w:w="28" w:type="dxa"/>
              <w:right w:w="28" w:type="dxa"/>
            </w:tcMar>
            <w:vAlign w:val="center"/>
          </w:tcPr>
          <w:p w14:paraId="1F551510" w14:textId="77777777" w:rsidR="004A0123" w:rsidRPr="00640447" w:rsidRDefault="004A0123" w:rsidP="008A5C11">
            <w:pPr>
              <w:jc w:val="center"/>
              <w:rPr>
                <w:bCs/>
                <w:sz w:val="16"/>
                <w:szCs w:val="16"/>
                <w:lang w:val="en-US"/>
              </w:rPr>
            </w:pPr>
            <w:r w:rsidRPr="00640447">
              <w:rPr>
                <w:bCs/>
                <w:sz w:val="16"/>
                <w:szCs w:val="16"/>
                <w:lang w:val="en-US"/>
              </w:rPr>
              <w:t>0</w:t>
            </w:r>
          </w:p>
        </w:tc>
        <w:tc>
          <w:tcPr>
            <w:tcW w:w="590" w:type="dxa"/>
            <w:shd w:val="clear" w:color="auto" w:fill="auto"/>
            <w:tcMar>
              <w:left w:w="28" w:type="dxa"/>
              <w:right w:w="28" w:type="dxa"/>
            </w:tcMar>
            <w:vAlign w:val="center"/>
          </w:tcPr>
          <w:p w14:paraId="1E15C1A2" w14:textId="77777777" w:rsidR="004A0123" w:rsidRPr="00640447" w:rsidRDefault="004A0123" w:rsidP="008A5C11">
            <w:pPr>
              <w:jc w:val="center"/>
              <w:rPr>
                <w:bCs/>
                <w:sz w:val="16"/>
                <w:szCs w:val="16"/>
                <w:lang w:val="en-US"/>
              </w:rPr>
            </w:pPr>
            <w:r w:rsidRPr="00640447">
              <w:rPr>
                <w:bCs/>
                <w:sz w:val="16"/>
                <w:szCs w:val="16"/>
                <w:lang w:val="en-US"/>
              </w:rPr>
              <w:t>0</w:t>
            </w:r>
          </w:p>
        </w:tc>
        <w:tc>
          <w:tcPr>
            <w:tcW w:w="656" w:type="dxa"/>
            <w:tcMar>
              <w:left w:w="28" w:type="dxa"/>
              <w:right w:w="28" w:type="dxa"/>
            </w:tcMar>
            <w:vAlign w:val="center"/>
          </w:tcPr>
          <w:p w14:paraId="43B22DE1" w14:textId="77777777" w:rsidR="004A0123" w:rsidRPr="00640447" w:rsidRDefault="004A0123" w:rsidP="008A5C11">
            <w:pPr>
              <w:jc w:val="center"/>
              <w:rPr>
                <w:bCs/>
                <w:sz w:val="16"/>
                <w:szCs w:val="16"/>
                <w:lang w:val="en-US"/>
              </w:rPr>
            </w:pPr>
            <w:r w:rsidRPr="00640447">
              <w:rPr>
                <w:bCs/>
                <w:sz w:val="16"/>
                <w:szCs w:val="16"/>
                <w:lang w:val="en-US"/>
              </w:rPr>
              <w:t>0</w:t>
            </w:r>
          </w:p>
        </w:tc>
        <w:tc>
          <w:tcPr>
            <w:tcW w:w="656" w:type="dxa"/>
            <w:tcMar>
              <w:left w:w="28" w:type="dxa"/>
              <w:right w:w="28" w:type="dxa"/>
            </w:tcMar>
            <w:vAlign w:val="center"/>
          </w:tcPr>
          <w:p w14:paraId="2596FC43" w14:textId="77777777" w:rsidR="004A0123" w:rsidRPr="00640447" w:rsidRDefault="004A0123" w:rsidP="008A5C11">
            <w:pPr>
              <w:jc w:val="center"/>
              <w:rPr>
                <w:bCs/>
                <w:sz w:val="16"/>
                <w:szCs w:val="16"/>
                <w:lang w:val="en-US"/>
              </w:rPr>
            </w:pPr>
            <w:r w:rsidRPr="00640447">
              <w:rPr>
                <w:bCs/>
                <w:sz w:val="16"/>
                <w:szCs w:val="16"/>
                <w:lang w:val="en-US"/>
              </w:rPr>
              <w:t>0</w:t>
            </w:r>
          </w:p>
        </w:tc>
        <w:tc>
          <w:tcPr>
            <w:tcW w:w="656" w:type="dxa"/>
            <w:vAlign w:val="center"/>
          </w:tcPr>
          <w:p w14:paraId="2C5862EB" w14:textId="77777777" w:rsidR="004A0123" w:rsidRPr="00640447" w:rsidRDefault="004A0123" w:rsidP="008A5C11">
            <w:pPr>
              <w:jc w:val="center"/>
              <w:rPr>
                <w:bCs/>
                <w:sz w:val="16"/>
                <w:szCs w:val="16"/>
                <w:lang w:val="en-US"/>
              </w:rPr>
            </w:pPr>
            <w:r w:rsidRPr="00640447">
              <w:rPr>
                <w:bCs/>
                <w:sz w:val="16"/>
                <w:szCs w:val="16"/>
                <w:lang w:val="en-US"/>
              </w:rPr>
              <w:t>0</w:t>
            </w:r>
          </w:p>
        </w:tc>
        <w:tc>
          <w:tcPr>
            <w:tcW w:w="656" w:type="dxa"/>
            <w:vAlign w:val="center"/>
          </w:tcPr>
          <w:p w14:paraId="55D79D46" w14:textId="77777777" w:rsidR="004A0123" w:rsidRPr="00640447" w:rsidRDefault="004A0123" w:rsidP="008A5C11">
            <w:pPr>
              <w:jc w:val="center"/>
              <w:rPr>
                <w:bCs/>
                <w:sz w:val="16"/>
                <w:szCs w:val="16"/>
                <w:lang w:val="en-US"/>
              </w:rPr>
            </w:pPr>
            <w:r w:rsidRPr="00640447">
              <w:rPr>
                <w:bCs/>
                <w:sz w:val="16"/>
                <w:szCs w:val="16"/>
                <w:lang w:val="en-US"/>
              </w:rPr>
              <w:t>0</w:t>
            </w:r>
          </w:p>
        </w:tc>
        <w:tc>
          <w:tcPr>
            <w:tcW w:w="656" w:type="dxa"/>
            <w:vAlign w:val="center"/>
          </w:tcPr>
          <w:p w14:paraId="4BB96058" w14:textId="77777777" w:rsidR="004A0123" w:rsidRPr="00640447" w:rsidRDefault="004A0123" w:rsidP="008A5C11">
            <w:pPr>
              <w:jc w:val="center"/>
              <w:rPr>
                <w:bCs/>
                <w:sz w:val="16"/>
                <w:szCs w:val="16"/>
                <w:lang w:val="en-US"/>
              </w:rPr>
            </w:pPr>
            <w:r w:rsidRPr="00640447">
              <w:rPr>
                <w:bCs/>
                <w:sz w:val="16"/>
                <w:szCs w:val="16"/>
                <w:lang w:val="en-US"/>
              </w:rPr>
              <w:t>0</w:t>
            </w:r>
          </w:p>
        </w:tc>
        <w:tc>
          <w:tcPr>
            <w:tcW w:w="656" w:type="dxa"/>
            <w:vAlign w:val="center"/>
          </w:tcPr>
          <w:p w14:paraId="21B1E89C" w14:textId="77777777" w:rsidR="004A0123" w:rsidRPr="00640447" w:rsidRDefault="004A0123" w:rsidP="008A5C11">
            <w:pPr>
              <w:jc w:val="center"/>
              <w:rPr>
                <w:bCs/>
                <w:sz w:val="16"/>
                <w:szCs w:val="16"/>
                <w:lang w:val="en-US"/>
              </w:rPr>
            </w:pPr>
            <w:r w:rsidRPr="00640447">
              <w:rPr>
                <w:bCs/>
                <w:sz w:val="16"/>
                <w:szCs w:val="16"/>
                <w:lang w:val="en-US"/>
              </w:rPr>
              <w:t>0</w:t>
            </w:r>
          </w:p>
        </w:tc>
        <w:tc>
          <w:tcPr>
            <w:tcW w:w="656" w:type="dxa"/>
            <w:vAlign w:val="center"/>
          </w:tcPr>
          <w:p w14:paraId="41357DF1" w14:textId="77777777" w:rsidR="004A0123" w:rsidRPr="00640447" w:rsidRDefault="004A0123" w:rsidP="008A5C11">
            <w:pPr>
              <w:jc w:val="center"/>
              <w:rPr>
                <w:bCs/>
                <w:sz w:val="16"/>
                <w:szCs w:val="16"/>
                <w:lang w:val="en-US"/>
              </w:rPr>
            </w:pPr>
            <w:r w:rsidRPr="00640447">
              <w:rPr>
                <w:bCs/>
                <w:sz w:val="16"/>
                <w:szCs w:val="16"/>
                <w:lang w:val="en-US"/>
              </w:rPr>
              <w:t>0</w:t>
            </w:r>
          </w:p>
        </w:tc>
      </w:tr>
      <w:tr w:rsidR="004A0123" w:rsidRPr="00640447" w14:paraId="1EC5C83C" w14:textId="77777777" w:rsidTr="008A5C11">
        <w:trPr>
          <w:trHeight w:val="255"/>
          <w:jc w:val="center"/>
        </w:trPr>
        <w:tc>
          <w:tcPr>
            <w:tcW w:w="356" w:type="dxa"/>
            <w:shd w:val="clear" w:color="auto" w:fill="auto"/>
            <w:tcMar>
              <w:left w:w="28" w:type="dxa"/>
              <w:right w:w="28" w:type="dxa"/>
            </w:tcMar>
            <w:vAlign w:val="center"/>
            <w:hideMark/>
          </w:tcPr>
          <w:p w14:paraId="32288166" w14:textId="77777777" w:rsidR="004A0123" w:rsidRPr="00640447" w:rsidRDefault="004A0123" w:rsidP="008A5C11">
            <w:pPr>
              <w:jc w:val="center"/>
              <w:rPr>
                <w:bCs/>
                <w:sz w:val="16"/>
                <w:szCs w:val="16"/>
              </w:rPr>
            </w:pPr>
            <w:r w:rsidRPr="00640447">
              <w:rPr>
                <w:bCs/>
                <w:sz w:val="16"/>
                <w:szCs w:val="16"/>
              </w:rPr>
              <w:t>2.</w:t>
            </w:r>
          </w:p>
        </w:tc>
        <w:tc>
          <w:tcPr>
            <w:tcW w:w="1585" w:type="dxa"/>
            <w:shd w:val="clear" w:color="auto" w:fill="auto"/>
            <w:tcMar>
              <w:left w:w="28" w:type="dxa"/>
              <w:right w:w="28" w:type="dxa"/>
            </w:tcMar>
            <w:vAlign w:val="center"/>
            <w:hideMark/>
          </w:tcPr>
          <w:p w14:paraId="56F903CA" w14:textId="77777777" w:rsidR="004A0123" w:rsidRPr="00640447" w:rsidRDefault="004A0123" w:rsidP="008A5C11">
            <w:pPr>
              <w:rPr>
                <w:bCs/>
                <w:sz w:val="16"/>
                <w:szCs w:val="16"/>
              </w:rPr>
            </w:pPr>
            <w:r w:rsidRPr="00640447">
              <w:rPr>
                <w:bCs/>
                <w:sz w:val="16"/>
                <w:szCs w:val="16"/>
              </w:rPr>
              <w:t>Привлеченные средства</w:t>
            </w:r>
          </w:p>
        </w:tc>
        <w:tc>
          <w:tcPr>
            <w:tcW w:w="1196" w:type="dxa"/>
            <w:shd w:val="clear" w:color="auto" w:fill="auto"/>
            <w:tcMar>
              <w:left w:w="28" w:type="dxa"/>
              <w:right w:w="28" w:type="dxa"/>
            </w:tcMar>
            <w:vAlign w:val="center"/>
          </w:tcPr>
          <w:p w14:paraId="2A133F24" w14:textId="77777777" w:rsidR="004A0123" w:rsidRPr="00640447" w:rsidRDefault="004A0123" w:rsidP="008A5C11">
            <w:pPr>
              <w:jc w:val="center"/>
              <w:rPr>
                <w:sz w:val="16"/>
                <w:szCs w:val="16"/>
                <w:lang w:val="en-US"/>
              </w:rPr>
            </w:pPr>
            <w:r w:rsidRPr="00640447">
              <w:rPr>
                <w:sz w:val="16"/>
                <w:szCs w:val="16"/>
                <w:lang w:val="en-US"/>
              </w:rPr>
              <w:t>0</w:t>
            </w:r>
          </w:p>
        </w:tc>
        <w:tc>
          <w:tcPr>
            <w:tcW w:w="756" w:type="dxa"/>
            <w:shd w:val="clear" w:color="auto" w:fill="auto"/>
            <w:tcMar>
              <w:left w:w="28" w:type="dxa"/>
              <w:right w:w="28" w:type="dxa"/>
            </w:tcMar>
            <w:vAlign w:val="center"/>
          </w:tcPr>
          <w:p w14:paraId="3F6A0AFD" w14:textId="77777777" w:rsidR="004A0123" w:rsidRPr="00640447" w:rsidRDefault="004A0123" w:rsidP="008A5C11">
            <w:pPr>
              <w:jc w:val="center"/>
              <w:rPr>
                <w:sz w:val="16"/>
                <w:szCs w:val="16"/>
                <w:lang w:val="en-US"/>
              </w:rPr>
            </w:pPr>
            <w:r w:rsidRPr="00640447">
              <w:rPr>
                <w:sz w:val="16"/>
                <w:szCs w:val="16"/>
                <w:lang w:val="en-US"/>
              </w:rPr>
              <w:t>0</w:t>
            </w:r>
          </w:p>
        </w:tc>
        <w:tc>
          <w:tcPr>
            <w:tcW w:w="656" w:type="dxa"/>
            <w:shd w:val="clear" w:color="auto" w:fill="auto"/>
            <w:tcMar>
              <w:left w:w="28" w:type="dxa"/>
              <w:right w:w="28" w:type="dxa"/>
            </w:tcMar>
            <w:vAlign w:val="center"/>
          </w:tcPr>
          <w:p w14:paraId="62346D9D" w14:textId="77777777" w:rsidR="004A0123" w:rsidRPr="00640447" w:rsidRDefault="004A0123" w:rsidP="008A5C11">
            <w:pPr>
              <w:jc w:val="center"/>
              <w:rPr>
                <w:bCs/>
                <w:sz w:val="16"/>
                <w:szCs w:val="16"/>
                <w:lang w:val="en-US"/>
              </w:rPr>
            </w:pPr>
            <w:r w:rsidRPr="00640447">
              <w:rPr>
                <w:bCs/>
                <w:sz w:val="16"/>
                <w:szCs w:val="16"/>
                <w:lang w:val="en-US"/>
              </w:rPr>
              <w:t>0</w:t>
            </w:r>
          </w:p>
        </w:tc>
        <w:tc>
          <w:tcPr>
            <w:tcW w:w="656" w:type="dxa"/>
            <w:shd w:val="clear" w:color="auto" w:fill="auto"/>
            <w:tcMar>
              <w:left w:w="28" w:type="dxa"/>
              <w:right w:w="28" w:type="dxa"/>
            </w:tcMar>
            <w:vAlign w:val="center"/>
          </w:tcPr>
          <w:p w14:paraId="105E1AD9" w14:textId="77777777" w:rsidR="004A0123" w:rsidRPr="00640447" w:rsidRDefault="004A0123" w:rsidP="008A5C11">
            <w:pPr>
              <w:jc w:val="center"/>
              <w:rPr>
                <w:bCs/>
                <w:sz w:val="16"/>
                <w:szCs w:val="16"/>
                <w:lang w:val="en-US"/>
              </w:rPr>
            </w:pPr>
            <w:r w:rsidRPr="00640447">
              <w:rPr>
                <w:bCs/>
                <w:sz w:val="16"/>
                <w:szCs w:val="16"/>
                <w:lang w:val="en-US"/>
              </w:rPr>
              <w:t>0</w:t>
            </w:r>
          </w:p>
        </w:tc>
        <w:tc>
          <w:tcPr>
            <w:tcW w:w="590" w:type="dxa"/>
            <w:shd w:val="clear" w:color="auto" w:fill="auto"/>
            <w:tcMar>
              <w:left w:w="28" w:type="dxa"/>
              <w:right w:w="28" w:type="dxa"/>
            </w:tcMar>
            <w:vAlign w:val="center"/>
          </w:tcPr>
          <w:p w14:paraId="05389F26" w14:textId="77777777" w:rsidR="004A0123" w:rsidRPr="00640447" w:rsidRDefault="004A0123" w:rsidP="008A5C11">
            <w:pPr>
              <w:jc w:val="center"/>
              <w:rPr>
                <w:bCs/>
                <w:sz w:val="16"/>
                <w:szCs w:val="16"/>
                <w:lang w:val="en-US"/>
              </w:rPr>
            </w:pPr>
            <w:r w:rsidRPr="00640447">
              <w:rPr>
                <w:bCs/>
                <w:sz w:val="16"/>
                <w:szCs w:val="16"/>
                <w:lang w:val="en-US"/>
              </w:rPr>
              <w:t>0</w:t>
            </w:r>
          </w:p>
        </w:tc>
        <w:tc>
          <w:tcPr>
            <w:tcW w:w="656" w:type="dxa"/>
            <w:tcMar>
              <w:left w:w="28" w:type="dxa"/>
              <w:right w:w="28" w:type="dxa"/>
            </w:tcMar>
            <w:vAlign w:val="center"/>
          </w:tcPr>
          <w:p w14:paraId="683E1DA3" w14:textId="77777777" w:rsidR="004A0123" w:rsidRPr="00640447" w:rsidRDefault="004A0123" w:rsidP="008A5C11">
            <w:pPr>
              <w:jc w:val="center"/>
              <w:rPr>
                <w:bCs/>
                <w:sz w:val="16"/>
                <w:szCs w:val="16"/>
                <w:lang w:val="en-US"/>
              </w:rPr>
            </w:pPr>
            <w:r w:rsidRPr="00640447">
              <w:rPr>
                <w:bCs/>
                <w:sz w:val="16"/>
                <w:szCs w:val="16"/>
                <w:lang w:val="en-US"/>
              </w:rPr>
              <w:t>0</w:t>
            </w:r>
          </w:p>
        </w:tc>
        <w:tc>
          <w:tcPr>
            <w:tcW w:w="656" w:type="dxa"/>
            <w:tcMar>
              <w:left w:w="28" w:type="dxa"/>
              <w:right w:w="28" w:type="dxa"/>
            </w:tcMar>
            <w:vAlign w:val="center"/>
          </w:tcPr>
          <w:p w14:paraId="3203F632" w14:textId="77777777" w:rsidR="004A0123" w:rsidRPr="00640447" w:rsidRDefault="004A0123" w:rsidP="008A5C11">
            <w:pPr>
              <w:jc w:val="center"/>
              <w:rPr>
                <w:bCs/>
                <w:sz w:val="16"/>
                <w:szCs w:val="16"/>
                <w:lang w:val="en-US"/>
              </w:rPr>
            </w:pPr>
            <w:r w:rsidRPr="00640447">
              <w:rPr>
                <w:bCs/>
                <w:sz w:val="16"/>
                <w:szCs w:val="16"/>
                <w:lang w:val="en-US"/>
              </w:rPr>
              <w:t>0</w:t>
            </w:r>
          </w:p>
        </w:tc>
        <w:tc>
          <w:tcPr>
            <w:tcW w:w="656" w:type="dxa"/>
            <w:vAlign w:val="center"/>
          </w:tcPr>
          <w:p w14:paraId="5D0898EE" w14:textId="77777777" w:rsidR="004A0123" w:rsidRPr="00640447" w:rsidRDefault="004A0123" w:rsidP="008A5C11">
            <w:pPr>
              <w:jc w:val="center"/>
              <w:rPr>
                <w:bCs/>
                <w:sz w:val="16"/>
                <w:szCs w:val="16"/>
                <w:lang w:val="en-US"/>
              </w:rPr>
            </w:pPr>
            <w:r w:rsidRPr="00640447">
              <w:rPr>
                <w:bCs/>
                <w:sz w:val="16"/>
                <w:szCs w:val="16"/>
                <w:lang w:val="en-US"/>
              </w:rPr>
              <w:t>0</w:t>
            </w:r>
          </w:p>
        </w:tc>
        <w:tc>
          <w:tcPr>
            <w:tcW w:w="656" w:type="dxa"/>
            <w:vAlign w:val="center"/>
          </w:tcPr>
          <w:p w14:paraId="2DDFC837" w14:textId="77777777" w:rsidR="004A0123" w:rsidRPr="00640447" w:rsidRDefault="004A0123" w:rsidP="008A5C11">
            <w:pPr>
              <w:jc w:val="center"/>
              <w:rPr>
                <w:bCs/>
                <w:sz w:val="16"/>
                <w:szCs w:val="16"/>
                <w:lang w:val="en-US"/>
              </w:rPr>
            </w:pPr>
            <w:r w:rsidRPr="00640447">
              <w:rPr>
                <w:bCs/>
                <w:sz w:val="16"/>
                <w:szCs w:val="16"/>
                <w:lang w:val="en-US"/>
              </w:rPr>
              <w:t>0</w:t>
            </w:r>
          </w:p>
        </w:tc>
        <w:tc>
          <w:tcPr>
            <w:tcW w:w="656" w:type="dxa"/>
            <w:vAlign w:val="center"/>
          </w:tcPr>
          <w:p w14:paraId="7D10B314" w14:textId="77777777" w:rsidR="004A0123" w:rsidRPr="00640447" w:rsidRDefault="004A0123" w:rsidP="008A5C11">
            <w:pPr>
              <w:jc w:val="center"/>
              <w:rPr>
                <w:bCs/>
                <w:sz w:val="16"/>
                <w:szCs w:val="16"/>
                <w:lang w:val="en-US"/>
              </w:rPr>
            </w:pPr>
            <w:r w:rsidRPr="00640447">
              <w:rPr>
                <w:bCs/>
                <w:sz w:val="16"/>
                <w:szCs w:val="16"/>
                <w:lang w:val="en-US"/>
              </w:rPr>
              <w:t>0</w:t>
            </w:r>
          </w:p>
        </w:tc>
        <w:tc>
          <w:tcPr>
            <w:tcW w:w="656" w:type="dxa"/>
            <w:vAlign w:val="center"/>
          </w:tcPr>
          <w:p w14:paraId="04B302F3" w14:textId="77777777" w:rsidR="004A0123" w:rsidRPr="00640447" w:rsidRDefault="004A0123" w:rsidP="008A5C11">
            <w:pPr>
              <w:jc w:val="center"/>
              <w:rPr>
                <w:bCs/>
                <w:sz w:val="16"/>
                <w:szCs w:val="16"/>
                <w:lang w:val="en-US"/>
              </w:rPr>
            </w:pPr>
            <w:r w:rsidRPr="00640447">
              <w:rPr>
                <w:bCs/>
                <w:sz w:val="16"/>
                <w:szCs w:val="16"/>
                <w:lang w:val="en-US"/>
              </w:rPr>
              <w:t>0</w:t>
            </w:r>
          </w:p>
        </w:tc>
        <w:tc>
          <w:tcPr>
            <w:tcW w:w="656" w:type="dxa"/>
            <w:vAlign w:val="center"/>
          </w:tcPr>
          <w:p w14:paraId="6284E158" w14:textId="77777777" w:rsidR="004A0123" w:rsidRPr="00640447" w:rsidRDefault="004A0123" w:rsidP="008A5C11">
            <w:pPr>
              <w:jc w:val="center"/>
              <w:rPr>
                <w:bCs/>
                <w:sz w:val="16"/>
                <w:szCs w:val="16"/>
                <w:lang w:val="en-US"/>
              </w:rPr>
            </w:pPr>
            <w:r w:rsidRPr="00640447">
              <w:rPr>
                <w:bCs/>
                <w:sz w:val="16"/>
                <w:szCs w:val="16"/>
                <w:lang w:val="en-US"/>
              </w:rPr>
              <w:t>0</w:t>
            </w:r>
          </w:p>
        </w:tc>
      </w:tr>
      <w:tr w:rsidR="004A0123" w:rsidRPr="00640447" w14:paraId="1C2394E1" w14:textId="77777777" w:rsidTr="008A5C11">
        <w:trPr>
          <w:trHeight w:val="255"/>
          <w:jc w:val="center"/>
        </w:trPr>
        <w:tc>
          <w:tcPr>
            <w:tcW w:w="356" w:type="dxa"/>
            <w:shd w:val="clear" w:color="auto" w:fill="auto"/>
            <w:tcMar>
              <w:left w:w="28" w:type="dxa"/>
              <w:right w:w="28" w:type="dxa"/>
            </w:tcMar>
            <w:vAlign w:val="center"/>
            <w:hideMark/>
          </w:tcPr>
          <w:p w14:paraId="249F626A" w14:textId="77777777" w:rsidR="004A0123" w:rsidRPr="00640447" w:rsidRDefault="004A0123" w:rsidP="008A5C11">
            <w:pPr>
              <w:jc w:val="center"/>
              <w:rPr>
                <w:sz w:val="16"/>
                <w:szCs w:val="16"/>
              </w:rPr>
            </w:pPr>
            <w:r w:rsidRPr="00640447">
              <w:rPr>
                <w:sz w:val="16"/>
                <w:szCs w:val="16"/>
              </w:rPr>
              <w:t>2.1.</w:t>
            </w:r>
          </w:p>
        </w:tc>
        <w:tc>
          <w:tcPr>
            <w:tcW w:w="1585" w:type="dxa"/>
            <w:shd w:val="clear" w:color="auto" w:fill="auto"/>
            <w:tcMar>
              <w:left w:w="28" w:type="dxa"/>
              <w:right w:w="28" w:type="dxa"/>
            </w:tcMar>
            <w:vAlign w:val="center"/>
            <w:hideMark/>
          </w:tcPr>
          <w:p w14:paraId="118F5454" w14:textId="77777777" w:rsidR="004A0123" w:rsidRPr="00640447" w:rsidRDefault="004A0123" w:rsidP="008A5C11">
            <w:pPr>
              <w:rPr>
                <w:sz w:val="16"/>
                <w:szCs w:val="16"/>
              </w:rPr>
            </w:pPr>
            <w:r w:rsidRPr="00640447">
              <w:rPr>
                <w:sz w:val="16"/>
                <w:szCs w:val="16"/>
              </w:rPr>
              <w:t>кредиты</w:t>
            </w:r>
          </w:p>
        </w:tc>
        <w:tc>
          <w:tcPr>
            <w:tcW w:w="1196" w:type="dxa"/>
            <w:shd w:val="clear" w:color="auto" w:fill="auto"/>
            <w:tcMar>
              <w:left w:w="28" w:type="dxa"/>
              <w:right w:w="28" w:type="dxa"/>
            </w:tcMar>
            <w:vAlign w:val="center"/>
          </w:tcPr>
          <w:p w14:paraId="42A2C97F" w14:textId="77777777" w:rsidR="004A0123" w:rsidRPr="00640447" w:rsidRDefault="004A0123" w:rsidP="008A5C11">
            <w:pPr>
              <w:jc w:val="center"/>
              <w:rPr>
                <w:sz w:val="16"/>
                <w:szCs w:val="16"/>
                <w:lang w:val="en-US"/>
              </w:rPr>
            </w:pPr>
            <w:r w:rsidRPr="00640447">
              <w:rPr>
                <w:sz w:val="16"/>
                <w:szCs w:val="16"/>
                <w:lang w:val="en-US"/>
              </w:rPr>
              <w:t>0</w:t>
            </w:r>
          </w:p>
        </w:tc>
        <w:tc>
          <w:tcPr>
            <w:tcW w:w="756" w:type="dxa"/>
            <w:shd w:val="clear" w:color="auto" w:fill="auto"/>
            <w:tcMar>
              <w:left w:w="28" w:type="dxa"/>
              <w:right w:w="28" w:type="dxa"/>
            </w:tcMar>
            <w:vAlign w:val="center"/>
          </w:tcPr>
          <w:p w14:paraId="7A18E2B4" w14:textId="77777777" w:rsidR="004A0123" w:rsidRPr="00640447" w:rsidRDefault="004A0123" w:rsidP="008A5C11">
            <w:pPr>
              <w:jc w:val="center"/>
              <w:rPr>
                <w:sz w:val="16"/>
                <w:szCs w:val="16"/>
                <w:lang w:val="en-US"/>
              </w:rPr>
            </w:pPr>
            <w:r w:rsidRPr="00640447">
              <w:rPr>
                <w:sz w:val="16"/>
                <w:szCs w:val="16"/>
                <w:lang w:val="en-US"/>
              </w:rPr>
              <w:t>0</w:t>
            </w:r>
          </w:p>
        </w:tc>
        <w:tc>
          <w:tcPr>
            <w:tcW w:w="656" w:type="dxa"/>
            <w:shd w:val="clear" w:color="auto" w:fill="auto"/>
            <w:tcMar>
              <w:left w:w="28" w:type="dxa"/>
              <w:right w:w="28" w:type="dxa"/>
            </w:tcMar>
            <w:vAlign w:val="center"/>
          </w:tcPr>
          <w:p w14:paraId="27BDFDDE" w14:textId="77777777" w:rsidR="004A0123" w:rsidRPr="00640447" w:rsidRDefault="004A0123" w:rsidP="008A5C11">
            <w:pPr>
              <w:jc w:val="center"/>
              <w:rPr>
                <w:bCs/>
                <w:sz w:val="16"/>
                <w:szCs w:val="16"/>
                <w:lang w:val="en-US"/>
              </w:rPr>
            </w:pPr>
            <w:r w:rsidRPr="00640447">
              <w:rPr>
                <w:bCs/>
                <w:sz w:val="16"/>
                <w:szCs w:val="16"/>
                <w:lang w:val="en-US"/>
              </w:rPr>
              <w:t>0</w:t>
            </w:r>
          </w:p>
        </w:tc>
        <w:tc>
          <w:tcPr>
            <w:tcW w:w="656" w:type="dxa"/>
            <w:shd w:val="clear" w:color="auto" w:fill="auto"/>
            <w:tcMar>
              <w:left w:w="28" w:type="dxa"/>
              <w:right w:w="28" w:type="dxa"/>
            </w:tcMar>
            <w:vAlign w:val="center"/>
          </w:tcPr>
          <w:p w14:paraId="3EC0E578" w14:textId="77777777" w:rsidR="004A0123" w:rsidRPr="00640447" w:rsidRDefault="004A0123" w:rsidP="008A5C11">
            <w:pPr>
              <w:jc w:val="center"/>
              <w:rPr>
                <w:bCs/>
                <w:sz w:val="16"/>
                <w:szCs w:val="16"/>
                <w:lang w:val="en-US"/>
              </w:rPr>
            </w:pPr>
            <w:r w:rsidRPr="00640447">
              <w:rPr>
                <w:bCs/>
                <w:sz w:val="16"/>
                <w:szCs w:val="16"/>
                <w:lang w:val="en-US"/>
              </w:rPr>
              <w:t>0</w:t>
            </w:r>
          </w:p>
        </w:tc>
        <w:tc>
          <w:tcPr>
            <w:tcW w:w="590" w:type="dxa"/>
            <w:shd w:val="clear" w:color="auto" w:fill="auto"/>
            <w:tcMar>
              <w:left w:w="28" w:type="dxa"/>
              <w:right w:w="28" w:type="dxa"/>
            </w:tcMar>
            <w:vAlign w:val="center"/>
          </w:tcPr>
          <w:p w14:paraId="093012CD" w14:textId="77777777" w:rsidR="004A0123" w:rsidRPr="00640447" w:rsidRDefault="004A0123" w:rsidP="008A5C11">
            <w:pPr>
              <w:jc w:val="center"/>
              <w:rPr>
                <w:bCs/>
                <w:sz w:val="16"/>
                <w:szCs w:val="16"/>
                <w:lang w:val="en-US"/>
              </w:rPr>
            </w:pPr>
            <w:r w:rsidRPr="00640447">
              <w:rPr>
                <w:bCs/>
                <w:sz w:val="16"/>
                <w:szCs w:val="16"/>
                <w:lang w:val="en-US"/>
              </w:rPr>
              <w:t>0</w:t>
            </w:r>
          </w:p>
        </w:tc>
        <w:tc>
          <w:tcPr>
            <w:tcW w:w="656" w:type="dxa"/>
            <w:tcMar>
              <w:left w:w="28" w:type="dxa"/>
              <w:right w:w="28" w:type="dxa"/>
            </w:tcMar>
            <w:vAlign w:val="center"/>
          </w:tcPr>
          <w:p w14:paraId="144DECA9" w14:textId="77777777" w:rsidR="004A0123" w:rsidRPr="00640447" w:rsidRDefault="004A0123" w:rsidP="008A5C11">
            <w:pPr>
              <w:jc w:val="center"/>
              <w:rPr>
                <w:bCs/>
                <w:sz w:val="16"/>
                <w:szCs w:val="16"/>
                <w:lang w:val="en-US"/>
              </w:rPr>
            </w:pPr>
            <w:r w:rsidRPr="00640447">
              <w:rPr>
                <w:bCs/>
                <w:sz w:val="16"/>
                <w:szCs w:val="16"/>
                <w:lang w:val="en-US"/>
              </w:rPr>
              <w:t>0</w:t>
            </w:r>
          </w:p>
        </w:tc>
        <w:tc>
          <w:tcPr>
            <w:tcW w:w="656" w:type="dxa"/>
            <w:tcMar>
              <w:left w:w="28" w:type="dxa"/>
              <w:right w:w="28" w:type="dxa"/>
            </w:tcMar>
            <w:vAlign w:val="center"/>
          </w:tcPr>
          <w:p w14:paraId="0C7CCCFD" w14:textId="77777777" w:rsidR="004A0123" w:rsidRPr="00640447" w:rsidRDefault="004A0123" w:rsidP="008A5C11">
            <w:pPr>
              <w:jc w:val="center"/>
              <w:rPr>
                <w:bCs/>
                <w:sz w:val="16"/>
                <w:szCs w:val="16"/>
                <w:lang w:val="en-US"/>
              </w:rPr>
            </w:pPr>
            <w:r w:rsidRPr="00640447">
              <w:rPr>
                <w:bCs/>
                <w:sz w:val="16"/>
                <w:szCs w:val="16"/>
                <w:lang w:val="en-US"/>
              </w:rPr>
              <w:t>0</w:t>
            </w:r>
          </w:p>
        </w:tc>
        <w:tc>
          <w:tcPr>
            <w:tcW w:w="656" w:type="dxa"/>
            <w:vAlign w:val="center"/>
          </w:tcPr>
          <w:p w14:paraId="2AD0C53A" w14:textId="77777777" w:rsidR="004A0123" w:rsidRPr="00640447" w:rsidRDefault="004A0123" w:rsidP="008A5C11">
            <w:pPr>
              <w:jc w:val="center"/>
              <w:rPr>
                <w:bCs/>
                <w:sz w:val="16"/>
                <w:szCs w:val="16"/>
                <w:lang w:val="en-US"/>
              </w:rPr>
            </w:pPr>
            <w:r w:rsidRPr="00640447">
              <w:rPr>
                <w:bCs/>
                <w:sz w:val="16"/>
                <w:szCs w:val="16"/>
                <w:lang w:val="en-US"/>
              </w:rPr>
              <w:t>0</w:t>
            </w:r>
          </w:p>
        </w:tc>
        <w:tc>
          <w:tcPr>
            <w:tcW w:w="656" w:type="dxa"/>
            <w:vAlign w:val="center"/>
          </w:tcPr>
          <w:p w14:paraId="262B0835" w14:textId="77777777" w:rsidR="004A0123" w:rsidRPr="00640447" w:rsidRDefault="004A0123" w:rsidP="008A5C11">
            <w:pPr>
              <w:jc w:val="center"/>
              <w:rPr>
                <w:bCs/>
                <w:sz w:val="16"/>
                <w:szCs w:val="16"/>
                <w:lang w:val="en-US"/>
              </w:rPr>
            </w:pPr>
            <w:r w:rsidRPr="00640447">
              <w:rPr>
                <w:bCs/>
                <w:sz w:val="16"/>
                <w:szCs w:val="16"/>
                <w:lang w:val="en-US"/>
              </w:rPr>
              <w:t>0</w:t>
            </w:r>
          </w:p>
        </w:tc>
        <w:tc>
          <w:tcPr>
            <w:tcW w:w="656" w:type="dxa"/>
            <w:vAlign w:val="center"/>
          </w:tcPr>
          <w:p w14:paraId="5BE68D54" w14:textId="77777777" w:rsidR="004A0123" w:rsidRPr="00640447" w:rsidRDefault="004A0123" w:rsidP="008A5C11">
            <w:pPr>
              <w:jc w:val="center"/>
              <w:rPr>
                <w:bCs/>
                <w:sz w:val="16"/>
                <w:szCs w:val="16"/>
                <w:lang w:val="en-US"/>
              </w:rPr>
            </w:pPr>
            <w:r w:rsidRPr="00640447">
              <w:rPr>
                <w:bCs/>
                <w:sz w:val="16"/>
                <w:szCs w:val="16"/>
                <w:lang w:val="en-US"/>
              </w:rPr>
              <w:t>0</w:t>
            </w:r>
          </w:p>
        </w:tc>
        <w:tc>
          <w:tcPr>
            <w:tcW w:w="656" w:type="dxa"/>
            <w:vAlign w:val="center"/>
          </w:tcPr>
          <w:p w14:paraId="36C8B292" w14:textId="77777777" w:rsidR="004A0123" w:rsidRPr="00640447" w:rsidRDefault="004A0123" w:rsidP="008A5C11">
            <w:pPr>
              <w:jc w:val="center"/>
              <w:rPr>
                <w:bCs/>
                <w:sz w:val="16"/>
                <w:szCs w:val="16"/>
                <w:lang w:val="en-US"/>
              </w:rPr>
            </w:pPr>
            <w:r w:rsidRPr="00640447">
              <w:rPr>
                <w:bCs/>
                <w:sz w:val="16"/>
                <w:szCs w:val="16"/>
                <w:lang w:val="en-US"/>
              </w:rPr>
              <w:t>0</w:t>
            </w:r>
          </w:p>
        </w:tc>
        <w:tc>
          <w:tcPr>
            <w:tcW w:w="656" w:type="dxa"/>
            <w:vAlign w:val="center"/>
          </w:tcPr>
          <w:p w14:paraId="4C7769D3" w14:textId="77777777" w:rsidR="004A0123" w:rsidRPr="00640447" w:rsidRDefault="004A0123" w:rsidP="008A5C11">
            <w:pPr>
              <w:jc w:val="center"/>
              <w:rPr>
                <w:bCs/>
                <w:sz w:val="16"/>
                <w:szCs w:val="16"/>
                <w:lang w:val="en-US"/>
              </w:rPr>
            </w:pPr>
            <w:r w:rsidRPr="00640447">
              <w:rPr>
                <w:bCs/>
                <w:sz w:val="16"/>
                <w:szCs w:val="16"/>
                <w:lang w:val="en-US"/>
              </w:rPr>
              <w:t>0</w:t>
            </w:r>
          </w:p>
        </w:tc>
      </w:tr>
      <w:tr w:rsidR="004A0123" w:rsidRPr="00640447" w14:paraId="73743B10" w14:textId="77777777" w:rsidTr="008A5C11">
        <w:trPr>
          <w:trHeight w:val="255"/>
          <w:jc w:val="center"/>
        </w:trPr>
        <w:tc>
          <w:tcPr>
            <w:tcW w:w="356" w:type="dxa"/>
            <w:shd w:val="clear" w:color="auto" w:fill="auto"/>
            <w:tcMar>
              <w:left w:w="28" w:type="dxa"/>
              <w:right w:w="28" w:type="dxa"/>
            </w:tcMar>
            <w:vAlign w:val="center"/>
            <w:hideMark/>
          </w:tcPr>
          <w:p w14:paraId="1C132B52" w14:textId="77777777" w:rsidR="004A0123" w:rsidRPr="00640447" w:rsidRDefault="004A0123" w:rsidP="008A5C11">
            <w:pPr>
              <w:jc w:val="center"/>
              <w:rPr>
                <w:sz w:val="16"/>
                <w:szCs w:val="16"/>
              </w:rPr>
            </w:pPr>
            <w:r w:rsidRPr="00640447">
              <w:rPr>
                <w:sz w:val="16"/>
                <w:szCs w:val="16"/>
              </w:rPr>
              <w:t>2.2.</w:t>
            </w:r>
          </w:p>
        </w:tc>
        <w:tc>
          <w:tcPr>
            <w:tcW w:w="1585" w:type="dxa"/>
            <w:shd w:val="clear" w:color="auto" w:fill="auto"/>
            <w:tcMar>
              <w:left w:w="28" w:type="dxa"/>
              <w:right w:w="28" w:type="dxa"/>
            </w:tcMar>
            <w:vAlign w:val="center"/>
            <w:hideMark/>
          </w:tcPr>
          <w:p w14:paraId="2671A961" w14:textId="77777777" w:rsidR="004A0123" w:rsidRPr="00640447" w:rsidRDefault="004A0123" w:rsidP="008A5C11">
            <w:pPr>
              <w:rPr>
                <w:sz w:val="16"/>
                <w:szCs w:val="16"/>
              </w:rPr>
            </w:pPr>
            <w:r w:rsidRPr="00640447">
              <w:rPr>
                <w:sz w:val="16"/>
                <w:szCs w:val="16"/>
              </w:rPr>
              <w:t>займы организаций</w:t>
            </w:r>
          </w:p>
        </w:tc>
        <w:tc>
          <w:tcPr>
            <w:tcW w:w="1196" w:type="dxa"/>
            <w:shd w:val="clear" w:color="auto" w:fill="auto"/>
            <w:tcMar>
              <w:left w:w="28" w:type="dxa"/>
              <w:right w:w="28" w:type="dxa"/>
            </w:tcMar>
            <w:vAlign w:val="center"/>
          </w:tcPr>
          <w:p w14:paraId="717BB7BE" w14:textId="77777777" w:rsidR="004A0123" w:rsidRPr="00640447" w:rsidRDefault="004A0123" w:rsidP="008A5C11">
            <w:pPr>
              <w:jc w:val="center"/>
              <w:rPr>
                <w:sz w:val="16"/>
                <w:szCs w:val="16"/>
                <w:lang w:val="en-US"/>
              </w:rPr>
            </w:pPr>
            <w:r w:rsidRPr="00640447">
              <w:rPr>
                <w:sz w:val="16"/>
                <w:szCs w:val="16"/>
                <w:lang w:val="en-US"/>
              </w:rPr>
              <w:t>0</w:t>
            </w:r>
          </w:p>
        </w:tc>
        <w:tc>
          <w:tcPr>
            <w:tcW w:w="756" w:type="dxa"/>
            <w:shd w:val="clear" w:color="auto" w:fill="auto"/>
            <w:tcMar>
              <w:left w:w="28" w:type="dxa"/>
              <w:right w:w="28" w:type="dxa"/>
            </w:tcMar>
            <w:vAlign w:val="center"/>
          </w:tcPr>
          <w:p w14:paraId="3244D522" w14:textId="77777777" w:rsidR="004A0123" w:rsidRPr="00640447" w:rsidRDefault="004A0123" w:rsidP="008A5C11">
            <w:pPr>
              <w:jc w:val="center"/>
              <w:rPr>
                <w:sz w:val="16"/>
                <w:szCs w:val="16"/>
                <w:lang w:val="en-US"/>
              </w:rPr>
            </w:pPr>
            <w:r w:rsidRPr="00640447">
              <w:rPr>
                <w:sz w:val="16"/>
                <w:szCs w:val="16"/>
                <w:lang w:val="en-US"/>
              </w:rPr>
              <w:t>0</w:t>
            </w:r>
          </w:p>
        </w:tc>
        <w:tc>
          <w:tcPr>
            <w:tcW w:w="656" w:type="dxa"/>
            <w:shd w:val="clear" w:color="auto" w:fill="auto"/>
            <w:tcMar>
              <w:left w:w="28" w:type="dxa"/>
              <w:right w:w="28" w:type="dxa"/>
            </w:tcMar>
            <w:vAlign w:val="center"/>
          </w:tcPr>
          <w:p w14:paraId="15B13C6A" w14:textId="77777777" w:rsidR="004A0123" w:rsidRPr="00640447" w:rsidRDefault="004A0123" w:rsidP="008A5C11">
            <w:pPr>
              <w:jc w:val="center"/>
              <w:rPr>
                <w:bCs/>
                <w:sz w:val="16"/>
                <w:szCs w:val="16"/>
                <w:lang w:val="en-US"/>
              </w:rPr>
            </w:pPr>
            <w:r w:rsidRPr="00640447">
              <w:rPr>
                <w:bCs/>
                <w:sz w:val="16"/>
                <w:szCs w:val="16"/>
                <w:lang w:val="en-US"/>
              </w:rPr>
              <w:t>0</w:t>
            </w:r>
          </w:p>
        </w:tc>
        <w:tc>
          <w:tcPr>
            <w:tcW w:w="656" w:type="dxa"/>
            <w:shd w:val="clear" w:color="auto" w:fill="auto"/>
            <w:tcMar>
              <w:left w:w="28" w:type="dxa"/>
              <w:right w:w="28" w:type="dxa"/>
            </w:tcMar>
            <w:vAlign w:val="center"/>
          </w:tcPr>
          <w:p w14:paraId="4B6777CA" w14:textId="77777777" w:rsidR="004A0123" w:rsidRPr="00640447" w:rsidRDefault="004A0123" w:rsidP="008A5C11">
            <w:pPr>
              <w:jc w:val="center"/>
              <w:rPr>
                <w:bCs/>
                <w:sz w:val="16"/>
                <w:szCs w:val="16"/>
                <w:lang w:val="en-US"/>
              </w:rPr>
            </w:pPr>
            <w:r w:rsidRPr="00640447">
              <w:rPr>
                <w:bCs/>
                <w:sz w:val="16"/>
                <w:szCs w:val="16"/>
                <w:lang w:val="en-US"/>
              </w:rPr>
              <w:t>0</w:t>
            </w:r>
          </w:p>
        </w:tc>
        <w:tc>
          <w:tcPr>
            <w:tcW w:w="590" w:type="dxa"/>
            <w:shd w:val="clear" w:color="auto" w:fill="auto"/>
            <w:tcMar>
              <w:left w:w="28" w:type="dxa"/>
              <w:right w:w="28" w:type="dxa"/>
            </w:tcMar>
            <w:vAlign w:val="center"/>
          </w:tcPr>
          <w:p w14:paraId="5B6B4C95" w14:textId="77777777" w:rsidR="004A0123" w:rsidRPr="00640447" w:rsidRDefault="004A0123" w:rsidP="008A5C11">
            <w:pPr>
              <w:jc w:val="center"/>
              <w:rPr>
                <w:bCs/>
                <w:sz w:val="16"/>
                <w:szCs w:val="16"/>
                <w:lang w:val="en-US"/>
              </w:rPr>
            </w:pPr>
            <w:r w:rsidRPr="00640447">
              <w:rPr>
                <w:bCs/>
                <w:sz w:val="16"/>
                <w:szCs w:val="16"/>
                <w:lang w:val="en-US"/>
              </w:rPr>
              <w:t>0</w:t>
            </w:r>
          </w:p>
        </w:tc>
        <w:tc>
          <w:tcPr>
            <w:tcW w:w="656" w:type="dxa"/>
            <w:tcMar>
              <w:left w:w="28" w:type="dxa"/>
              <w:right w:w="28" w:type="dxa"/>
            </w:tcMar>
            <w:vAlign w:val="center"/>
          </w:tcPr>
          <w:p w14:paraId="3E65E5EB" w14:textId="77777777" w:rsidR="004A0123" w:rsidRPr="00640447" w:rsidRDefault="004A0123" w:rsidP="008A5C11">
            <w:pPr>
              <w:jc w:val="center"/>
              <w:rPr>
                <w:bCs/>
                <w:sz w:val="16"/>
                <w:szCs w:val="16"/>
                <w:lang w:val="en-US"/>
              </w:rPr>
            </w:pPr>
            <w:r w:rsidRPr="00640447">
              <w:rPr>
                <w:bCs/>
                <w:sz w:val="16"/>
                <w:szCs w:val="16"/>
                <w:lang w:val="en-US"/>
              </w:rPr>
              <w:t>0</w:t>
            </w:r>
          </w:p>
        </w:tc>
        <w:tc>
          <w:tcPr>
            <w:tcW w:w="656" w:type="dxa"/>
            <w:tcMar>
              <w:left w:w="28" w:type="dxa"/>
              <w:right w:w="28" w:type="dxa"/>
            </w:tcMar>
            <w:vAlign w:val="center"/>
          </w:tcPr>
          <w:p w14:paraId="66323086" w14:textId="77777777" w:rsidR="004A0123" w:rsidRPr="00640447" w:rsidRDefault="004A0123" w:rsidP="008A5C11">
            <w:pPr>
              <w:jc w:val="center"/>
              <w:rPr>
                <w:bCs/>
                <w:sz w:val="16"/>
                <w:szCs w:val="16"/>
                <w:lang w:val="en-US"/>
              </w:rPr>
            </w:pPr>
            <w:r w:rsidRPr="00640447">
              <w:rPr>
                <w:bCs/>
                <w:sz w:val="16"/>
                <w:szCs w:val="16"/>
                <w:lang w:val="en-US"/>
              </w:rPr>
              <w:t>0</w:t>
            </w:r>
          </w:p>
        </w:tc>
        <w:tc>
          <w:tcPr>
            <w:tcW w:w="656" w:type="dxa"/>
            <w:vAlign w:val="center"/>
          </w:tcPr>
          <w:p w14:paraId="2E7C81D0" w14:textId="77777777" w:rsidR="004A0123" w:rsidRPr="00640447" w:rsidRDefault="004A0123" w:rsidP="008A5C11">
            <w:pPr>
              <w:jc w:val="center"/>
              <w:rPr>
                <w:bCs/>
                <w:sz w:val="16"/>
                <w:szCs w:val="16"/>
                <w:lang w:val="en-US"/>
              </w:rPr>
            </w:pPr>
            <w:r w:rsidRPr="00640447">
              <w:rPr>
                <w:bCs/>
                <w:sz w:val="16"/>
                <w:szCs w:val="16"/>
                <w:lang w:val="en-US"/>
              </w:rPr>
              <w:t>0</w:t>
            </w:r>
          </w:p>
        </w:tc>
        <w:tc>
          <w:tcPr>
            <w:tcW w:w="656" w:type="dxa"/>
            <w:vAlign w:val="center"/>
          </w:tcPr>
          <w:p w14:paraId="798CC913" w14:textId="77777777" w:rsidR="004A0123" w:rsidRPr="00640447" w:rsidRDefault="004A0123" w:rsidP="008A5C11">
            <w:pPr>
              <w:jc w:val="center"/>
              <w:rPr>
                <w:bCs/>
                <w:sz w:val="16"/>
                <w:szCs w:val="16"/>
                <w:lang w:val="en-US"/>
              </w:rPr>
            </w:pPr>
            <w:r w:rsidRPr="00640447">
              <w:rPr>
                <w:bCs/>
                <w:sz w:val="16"/>
                <w:szCs w:val="16"/>
                <w:lang w:val="en-US"/>
              </w:rPr>
              <w:t>0</w:t>
            </w:r>
          </w:p>
        </w:tc>
        <w:tc>
          <w:tcPr>
            <w:tcW w:w="656" w:type="dxa"/>
            <w:vAlign w:val="center"/>
          </w:tcPr>
          <w:p w14:paraId="290AC6CE" w14:textId="77777777" w:rsidR="004A0123" w:rsidRPr="00640447" w:rsidRDefault="004A0123" w:rsidP="008A5C11">
            <w:pPr>
              <w:jc w:val="center"/>
              <w:rPr>
                <w:bCs/>
                <w:sz w:val="16"/>
                <w:szCs w:val="16"/>
                <w:lang w:val="en-US"/>
              </w:rPr>
            </w:pPr>
            <w:r w:rsidRPr="00640447">
              <w:rPr>
                <w:bCs/>
                <w:sz w:val="16"/>
                <w:szCs w:val="16"/>
                <w:lang w:val="en-US"/>
              </w:rPr>
              <w:t>0</w:t>
            </w:r>
          </w:p>
        </w:tc>
        <w:tc>
          <w:tcPr>
            <w:tcW w:w="656" w:type="dxa"/>
            <w:vAlign w:val="center"/>
          </w:tcPr>
          <w:p w14:paraId="1D798BB4" w14:textId="77777777" w:rsidR="004A0123" w:rsidRPr="00640447" w:rsidRDefault="004A0123" w:rsidP="008A5C11">
            <w:pPr>
              <w:jc w:val="center"/>
              <w:rPr>
                <w:bCs/>
                <w:sz w:val="16"/>
                <w:szCs w:val="16"/>
                <w:lang w:val="en-US"/>
              </w:rPr>
            </w:pPr>
            <w:r w:rsidRPr="00640447">
              <w:rPr>
                <w:bCs/>
                <w:sz w:val="16"/>
                <w:szCs w:val="16"/>
                <w:lang w:val="en-US"/>
              </w:rPr>
              <w:t>0</w:t>
            </w:r>
          </w:p>
        </w:tc>
        <w:tc>
          <w:tcPr>
            <w:tcW w:w="656" w:type="dxa"/>
            <w:vAlign w:val="center"/>
          </w:tcPr>
          <w:p w14:paraId="5AF13B13" w14:textId="77777777" w:rsidR="004A0123" w:rsidRPr="00640447" w:rsidRDefault="004A0123" w:rsidP="008A5C11">
            <w:pPr>
              <w:jc w:val="center"/>
              <w:rPr>
                <w:bCs/>
                <w:sz w:val="16"/>
                <w:szCs w:val="16"/>
                <w:lang w:val="en-US"/>
              </w:rPr>
            </w:pPr>
            <w:r w:rsidRPr="00640447">
              <w:rPr>
                <w:bCs/>
                <w:sz w:val="16"/>
                <w:szCs w:val="16"/>
                <w:lang w:val="en-US"/>
              </w:rPr>
              <w:t>0</w:t>
            </w:r>
          </w:p>
        </w:tc>
      </w:tr>
      <w:tr w:rsidR="004A0123" w:rsidRPr="00640447" w14:paraId="67FB941F" w14:textId="77777777" w:rsidTr="008A5C11">
        <w:trPr>
          <w:trHeight w:val="255"/>
          <w:jc w:val="center"/>
        </w:trPr>
        <w:tc>
          <w:tcPr>
            <w:tcW w:w="356" w:type="dxa"/>
            <w:shd w:val="clear" w:color="auto" w:fill="auto"/>
            <w:tcMar>
              <w:left w:w="28" w:type="dxa"/>
              <w:right w:w="28" w:type="dxa"/>
            </w:tcMar>
            <w:vAlign w:val="center"/>
            <w:hideMark/>
          </w:tcPr>
          <w:p w14:paraId="4D0ADBFC" w14:textId="77777777" w:rsidR="004A0123" w:rsidRPr="00640447" w:rsidRDefault="004A0123" w:rsidP="008A5C11">
            <w:pPr>
              <w:jc w:val="center"/>
              <w:rPr>
                <w:sz w:val="16"/>
                <w:szCs w:val="16"/>
              </w:rPr>
            </w:pPr>
            <w:r w:rsidRPr="00640447">
              <w:rPr>
                <w:sz w:val="16"/>
                <w:szCs w:val="16"/>
              </w:rPr>
              <w:t>2.3.</w:t>
            </w:r>
          </w:p>
        </w:tc>
        <w:tc>
          <w:tcPr>
            <w:tcW w:w="1585" w:type="dxa"/>
            <w:shd w:val="clear" w:color="auto" w:fill="auto"/>
            <w:tcMar>
              <w:left w:w="28" w:type="dxa"/>
              <w:right w:w="28" w:type="dxa"/>
            </w:tcMar>
            <w:vAlign w:val="center"/>
            <w:hideMark/>
          </w:tcPr>
          <w:p w14:paraId="34A62019" w14:textId="77777777" w:rsidR="004A0123" w:rsidRPr="00640447" w:rsidRDefault="004A0123" w:rsidP="008A5C11">
            <w:pPr>
              <w:rPr>
                <w:sz w:val="16"/>
                <w:szCs w:val="16"/>
              </w:rPr>
            </w:pPr>
            <w:r w:rsidRPr="00640447">
              <w:rPr>
                <w:sz w:val="16"/>
                <w:szCs w:val="16"/>
              </w:rPr>
              <w:t>прочие средства</w:t>
            </w:r>
          </w:p>
        </w:tc>
        <w:tc>
          <w:tcPr>
            <w:tcW w:w="1196" w:type="dxa"/>
            <w:shd w:val="clear" w:color="auto" w:fill="auto"/>
            <w:tcMar>
              <w:left w:w="28" w:type="dxa"/>
              <w:right w:w="28" w:type="dxa"/>
            </w:tcMar>
            <w:vAlign w:val="center"/>
          </w:tcPr>
          <w:p w14:paraId="642A38D8" w14:textId="77777777" w:rsidR="004A0123" w:rsidRPr="00640447" w:rsidRDefault="004A0123" w:rsidP="008A5C11">
            <w:pPr>
              <w:jc w:val="center"/>
              <w:rPr>
                <w:sz w:val="16"/>
                <w:szCs w:val="16"/>
                <w:lang w:val="en-US"/>
              </w:rPr>
            </w:pPr>
            <w:r w:rsidRPr="00640447">
              <w:rPr>
                <w:sz w:val="16"/>
                <w:szCs w:val="16"/>
                <w:lang w:val="en-US"/>
              </w:rPr>
              <w:t>0</w:t>
            </w:r>
          </w:p>
        </w:tc>
        <w:tc>
          <w:tcPr>
            <w:tcW w:w="756" w:type="dxa"/>
            <w:shd w:val="clear" w:color="auto" w:fill="auto"/>
            <w:tcMar>
              <w:left w:w="28" w:type="dxa"/>
              <w:right w:w="28" w:type="dxa"/>
            </w:tcMar>
            <w:vAlign w:val="center"/>
          </w:tcPr>
          <w:p w14:paraId="42D3A789" w14:textId="77777777" w:rsidR="004A0123" w:rsidRPr="00640447" w:rsidRDefault="004A0123" w:rsidP="008A5C11">
            <w:pPr>
              <w:jc w:val="center"/>
              <w:rPr>
                <w:sz w:val="16"/>
                <w:szCs w:val="16"/>
                <w:lang w:val="en-US"/>
              </w:rPr>
            </w:pPr>
            <w:r w:rsidRPr="00640447">
              <w:rPr>
                <w:sz w:val="16"/>
                <w:szCs w:val="16"/>
                <w:lang w:val="en-US"/>
              </w:rPr>
              <w:t>0</w:t>
            </w:r>
          </w:p>
        </w:tc>
        <w:tc>
          <w:tcPr>
            <w:tcW w:w="656" w:type="dxa"/>
            <w:shd w:val="clear" w:color="auto" w:fill="auto"/>
            <w:tcMar>
              <w:left w:w="28" w:type="dxa"/>
              <w:right w:w="28" w:type="dxa"/>
            </w:tcMar>
            <w:vAlign w:val="center"/>
          </w:tcPr>
          <w:p w14:paraId="4CCF1048" w14:textId="77777777" w:rsidR="004A0123" w:rsidRPr="00640447" w:rsidRDefault="004A0123" w:rsidP="008A5C11">
            <w:pPr>
              <w:jc w:val="center"/>
              <w:rPr>
                <w:bCs/>
                <w:sz w:val="16"/>
                <w:szCs w:val="16"/>
                <w:lang w:val="en-US"/>
              </w:rPr>
            </w:pPr>
            <w:r w:rsidRPr="00640447">
              <w:rPr>
                <w:bCs/>
                <w:sz w:val="16"/>
                <w:szCs w:val="16"/>
                <w:lang w:val="en-US"/>
              </w:rPr>
              <w:t>0</w:t>
            </w:r>
          </w:p>
        </w:tc>
        <w:tc>
          <w:tcPr>
            <w:tcW w:w="656" w:type="dxa"/>
            <w:shd w:val="clear" w:color="auto" w:fill="auto"/>
            <w:tcMar>
              <w:left w:w="28" w:type="dxa"/>
              <w:right w:w="28" w:type="dxa"/>
            </w:tcMar>
            <w:vAlign w:val="center"/>
          </w:tcPr>
          <w:p w14:paraId="3EB06802" w14:textId="77777777" w:rsidR="004A0123" w:rsidRPr="00640447" w:rsidRDefault="004A0123" w:rsidP="008A5C11">
            <w:pPr>
              <w:jc w:val="center"/>
              <w:rPr>
                <w:bCs/>
                <w:sz w:val="16"/>
                <w:szCs w:val="16"/>
                <w:lang w:val="en-US"/>
              </w:rPr>
            </w:pPr>
            <w:r w:rsidRPr="00640447">
              <w:rPr>
                <w:bCs/>
                <w:sz w:val="16"/>
                <w:szCs w:val="16"/>
                <w:lang w:val="en-US"/>
              </w:rPr>
              <w:t>0</w:t>
            </w:r>
          </w:p>
        </w:tc>
        <w:tc>
          <w:tcPr>
            <w:tcW w:w="590" w:type="dxa"/>
            <w:shd w:val="clear" w:color="auto" w:fill="auto"/>
            <w:tcMar>
              <w:left w:w="28" w:type="dxa"/>
              <w:right w:w="28" w:type="dxa"/>
            </w:tcMar>
            <w:vAlign w:val="center"/>
          </w:tcPr>
          <w:p w14:paraId="1092E401" w14:textId="77777777" w:rsidR="004A0123" w:rsidRPr="00640447" w:rsidRDefault="004A0123" w:rsidP="008A5C11">
            <w:pPr>
              <w:jc w:val="center"/>
              <w:rPr>
                <w:bCs/>
                <w:sz w:val="16"/>
                <w:szCs w:val="16"/>
                <w:lang w:val="en-US"/>
              </w:rPr>
            </w:pPr>
            <w:r w:rsidRPr="00640447">
              <w:rPr>
                <w:bCs/>
                <w:sz w:val="16"/>
                <w:szCs w:val="16"/>
                <w:lang w:val="en-US"/>
              </w:rPr>
              <w:t>0</w:t>
            </w:r>
          </w:p>
        </w:tc>
        <w:tc>
          <w:tcPr>
            <w:tcW w:w="656" w:type="dxa"/>
            <w:tcMar>
              <w:left w:w="28" w:type="dxa"/>
              <w:right w:w="28" w:type="dxa"/>
            </w:tcMar>
            <w:vAlign w:val="center"/>
          </w:tcPr>
          <w:p w14:paraId="6E41B494" w14:textId="77777777" w:rsidR="004A0123" w:rsidRPr="00640447" w:rsidRDefault="004A0123" w:rsidP="008A5C11">
            <w:pPr>
              <w:jc w:val="center"/>
              <w:rPr>
                <w:bCs/>
                <w:sz w:val="16"/>
                <w:szCs w:val="16"/>
                <w:lang w:val="en-US"/>
              </w:rPr>
            </w:pPr>
            <w:r w:rsidRPr="00640447">
              <w:rPr>
                <w:bCs/>
                <w:sz w:val="16"/>
                <w:szCs w:val="16"/>
                <w:lang w:val="en-US"/>
              </w:rPr>
              <w:t>0</w:t>
            </w:r>
          </w:p>
        </w:tc>
        <w:tc>
          <w:tcPr>
            <w:tcW w:w="656" w:type="dxa"/>
            <w:tcMar>
              <w:left w:w="28" w:type="dxa"/>
              <w:right w:w="28" w:type="dxa"/>
            </w:tcMar>
            <w:vAlign w:val="center"/>
          </w:tcPr>
          <w:p w14:paraId="69B99723" w14:textId="77777777" w:rsidR="004A0123" w:rsidRPr="00640447" w:rsidRDefault="004A0123" w:rsidP="008A5C11">
            <w:pPr>
              <w:jc w:val="center"/>
              <w:rPr>
                <w:bCs/>
                <w:sz w:val="16"/>
                <w:szCs w:val="16"/>
                <w:lang w:val="en-US"/>
              </w:rPr>
            </w:pPr>
            <w:r w:rsidRPr="00640447">
              <w:rPr>
                <w:bCs/>
                <w:sz w:val="16"/>
                <w:szCs w:val="16"/>
                <w:lang w:val="en-US"/>
              </w:rPr>
              <w:t>0</w:t>
            </w:r>
          </w:p>
        </w:tc>
        <w:tc>
          <w:tcPr>
            <w:tcW w:w="656" w:type="dxa"/>
            <w:vAlign w:val="center"/>
          </w:tcPr>
          <w:p w14:paraId="0FE7FFD8" w14:textId="77777777" w:rsidR="004A0123" w:rsidRPr="00640447" w:rsidRDefault="004A0123" w:rsidP="008A5C11">
            <w:pPr>
              <w:jc w:val="center"/>
              <w:rPr>
                <w:bCs/>
                <w:sz w:val="16"/>
                <w:szCs w:val="16"/>
                <w:lang w:val="en-US"/>
              </w:rPr>
            </w:pPr>
            <w:r w:rsidRPr="00640447">
              <w:rPr>
                <w:bCs/>
                <w:sz w:val="16"/>
                <w:szCs w:val="16"/>
                <w:lang w:val="en-US"/>
              </w:rPr>
              <w:t>0</w:t>
            </w:r>
          </w:p>
        </w:tc>
        <w:tc>
          <w:tcPr>
            <w:tcW w:w="656" w:type="dxa"/>
            <w:vAlign w:val="center"/>
          </w:tcPr>
          <w:p w14:paraId="524ECB0C" w14:textId="77777777" w:rsidR="004A0123" w:rsidRPr="00640447" w:rsidRDefault="004A0123" w:rsidP="008A5C11">
            <w:pPr>
              <w:jc w:val="center"/>
              <w:rPr>
                <w:bCs/>
                <w:sz w:val="16"/>
                <w:szCs w:val="16"/>
                <w:lang w:val="en-US"/>
              </w:rPr>
            </w:pPr>
            <w:r w:rsidRPr="00640447">
              <w:rPr>
                <w:bCs/>
                <w:sz w:val="16"/>
                <w:szCs w:val="16"/>
                <w:lang w:val="en-US"/>
              </w:rPr>
              <w:t>0</w:t>
            </w:r>
          </w:p>
        </w:tc>
        <w:tc>
          <w:tcPr>
            <w:tcW w:w="656" w:type="dxa"/>
            <w:vAlign w:val="center"/>
          </w:tcPr>
          <w:p w14:paraId="33D07370" w14:textId="77777777" w:rsidR="004A0123" w:rsidRPr="00640447" w:rsidRDefault="004A0123" w:rsidP="008A5C11">
            <w:pPr>
              <w:jc w:val="center"/>
              <w:rPr>
                <w:bCs/>
                <w:sz w:val="16"/>
                <w:szCs w:val="16"/>
                <w:lang w:val="en-US"/>
              </w:rPr>
            </w:pPr>
            <w:r w:rsidRPr="00640447">
              <w:rPr>
                <w:bCs/>
                <w:sz w:val="16"/>
                <w:szCs w:val="16"/>
                <w:lang w:val="en-US"/>
              </w:rPr>
              <w:t>0</w:t>
            </w:r>
          </w:p>
        </w:tc>
        <w:tc>
          <w:tcPr>
            <w:tcW w:w="656" w:type="dxa"/>
            <w:vAlign w:val="center"/>
          </w:tcPr>
          <w:p w14:paraId="5EE94EA0" w14:textId="77777777" w:rsidR="004A0123" w:rsidRPr="00640447" w:rsidRDefault="004A0123" w:rsidP="008A5C11">
            <w:pPr>
              <w:jc w:val="center"/>
              <w:rPr>
                <w:bCs/>
                <w:sz w:val="16"/>
                <w:szCs w:val="16"/>
                <w:lang w:val="en-US"/>
              </w:rPr>
            </w:pPr>
            <w:r w:rsidRPr="00640447">
              <w:rPr>
                <w:bCs/>
                <w:sz w:val="16"/>
                <w:szCs w:val="16"/>
                <w:lang w:val="en-US"/>
              </w:rPr>
              <w:t>0</w:t>
            </w:r>
          </w:p>
        </w:tc>
        <w:tc>
          <w:tcPr>
            <w:tcW w:w="656" w:type="dxa"/>
            <w:vAlign w:val="center"/>
          </w:tcPr>
          <w:p w14:paraId="377A4025" w14:textId="77777777" w:rsidR="004A0123" w:rsidRPr="00640447" w:rsidRDefault="004A0123" w:rsidP="008A5C11">
            <w:pPr>
              <w:jc w:val="center"/>
              <w:rPr>
                <w:bCs/>
                <w:sz w:val="16"/>
                <w:szCs w:val="16"/>
                <w:lang w:val="en-US"/>
              </w:rPr>
            </w:pPr>
            <w:r w:rsidRPr="00640447">
              <w:rPr>
                <w:bCs/>
                <w:sz w:val="16"/>
                <w:szCs w:val="16"/>
                <w:lang w:val="en-US"/>
              </w:rPr>
              <w:t>0</w:t>
            </w:r>
          </w:p>
        </w:tc>
      </w:tr>
      <w:tr w:rsidR="004A0123" w:rsidRPr="00640447" w14:paraId="7AF95613" w14:textId="77777777" w:rsidTr="008A5C11">
        <w:trPr>
          <w:trHeight w:val="510"/>
          <w:jc w:val="center"/>
        </w:trPr>
        <w:tc>
          <w:tcPr>
            <w:tcW w:w="356" w:type="dxa"/>
            <w:shd w:val="clear" w:color="auto" w:fill="auto"/>
            <w:tcMar>
              <w:left w:w="28" w:type="dxa"/>
              <w:right w:w="28" w:type="dxa"/>
            </w:tcMar>
            <w:vAlign w:val="center"/>
            <w:hideMark/>
          </w:tcPr>
          <w:p w14:paraId="396E4A72" w14:textId="77777777" w:rsidR="004A0123" w:rsidRPr="00640447" w:rsidRDefault="004A0123" w:rsidP="008A5C11">
            <w:pPr>
              <w:jc w:val="center"/>
              <w:rPr>
                <w:bCs/>
                <w:sz w:val="16"/>
                <w:szCs w:val="16"/>
              </w:rPr>
            </w:pPr>
            <w:r w:rsidRPr="00640447">
              <w:rPr>
                <w:bCs/>
                <w:sz w:val="16"/>
                <w:szCs w:val="16"/>
              </w:rPr>
              <w:t>3.</w:t>
            </w:r>
          </w:p>
        </w:tc>
        <w:tc>
          <w:tcPr>
            <w:tcW w:w="1585" w:type="dxa"/>
            <w:shd w:val="clear" w:color="auto" w:fill="auto"/>
            <w:tcMar>
              <w:left w:w="28" w:type="dxa"/>
              <w:right w:w="28" w:type="dxa"/>
            </w:tcMar>
            <w:vAlign w:val="center"/>
            <w:hideMark/>
          </w:tcPr>
          <w:p w14:paraId="572AC171" w14:textId="77777777" w:rsidR="004A0123" w:rsidRPr="00640447" w:rsidRDefault="004A0123" w:rsidP="008A5C11">
            <w:pPr>
              <w:rPr>
                <w:bCs/>
                <w:sz w:val="16"/>
                <w:szCs w:val="16"/>
              </w:rPr>
            </w:pPr>
            <w:r w:rsidRPr="00640447">
              <w:rPr>
                <w:bCs/>
                <w:sz w:val="16"/>
                <w:szCs w:val="16"/>
              </w:rPr>
              <w:t xml:space="preserve">Бюджетное финансирование </w:t>
            </w:r>
          </w:p>
        </w:tc>
        <w:tc>
          <w:tcPr>
            <w:tcW w:w="1196" w:type="dxa"/>
            <w:shd w:val="clear" w:color="auto" w:fill="auto"/>
            <w:tcMar>
              <w:left w:w="28" w:type="dxa"/>
              <w:right w:w="28" w:type="dxa"/>
            </w:tcMar>
            <w:vAlign w:val="center"/>
          </w:tcPr>
          <w:p w14:paraId="1E4BF793" w14:textId="77777777" w:rsidR="004A0123" w:rsidRPr="00640447" w:rsidRDefault="004A0123" w:rsidP="008A5C11">
            <w:pPr>
              <w:jc w:val="center"/>
              <w:rPr>
                <w:sz w:val="16"/>
                <w:szCs w:val="16"/>
              </w:rPr>
            </w:pPr>
            <w:r w:rsidRPr="00640447">
              <w:rPr>
                <w:sz w:val="16"/>
                <w:szCs w:val="16"/>
              </w:rPr>
              <w:t>700962</w:t>
            </w:r>
          </w:p>
        </w:tc>
        <w:tc>
          <w:tcPr>
            <w:tcW w:w="756" w:type="dxa"/>
            <w:shd w:val="clear" w:color="auto" w:fill="auto"/>
            <w:tcMar>
              <w:left w:w="28" w:type="dxa"/>
              <w:right w:w="28" w:type="dxa"/>
            </w:tcMar>
            <w:vAlign w:val="center"/>
          </w:tcPr>
          <w:p w14:paraId="63658EFA" w14:textId="77777777" w:rsidR="004A0123" w:rsidRPr="00640447" w:rsidRDefault="004A0123" w:rsidP="008A5C11">
            <w:pPr>
              <w:jc w:val="center"/>
              <w:rPr>
                <w:sz w:val="16"/>
                <w:szCs w:val="16"/>
              </w:rPr>
            </w:pPr>
            <w:r w:rsidRPr="00640447">
              <w:rPr>
                <w:sz w:val="16"/>
                <w:szCs w:val="16"/>
              </w:rPr>
              <w:t>700962</w:t>
            </w:r>
          </w:p>
        </w:tc>
        <w:tc>
          <w:tcPr>
            <w:tcW w:w="656" w:type="dxa"/>
            <w:shd w:val="clear" w:color="auto" w:fill="auto"/>
            <w:tcMar>
              <w:left w:w="28" w:type="dxa"/>
              <w:right w:w="28" w:type="dxa"/>
            </w:tcMar>
            <w:vAlign w:val="center"/>
          </w:tcPr>
          <w:p w14:paraId="4A2AFF16" w14:textId="77777777" w:rsidR="004A0123" w:rsidRPr="00640447" w:rsidRDefault="004A0123" w:rsidP="008A5C11">
            <w:pPr>
              <w:jc w:val="center"/>
              <w:rPr>
                <w:bCs/>
                <w:sz w:val="16"/>
                <w:szCs w:val="16"/>
              </w:rPr>
            </w:pPr>
            <w:r w:rsidRPr="00640447">
              <w:rPr>
                <w:bCs/>
                <w:sz w:val="16"/>
                <w:szCs w:val="16"/>
              </w:rPr>
              <w:t>320046</w:t>
            </w:r>
          </w:p>
        </w:tc>
        <w:tc>
          <w:tcPr>
            <w:tcW w:w="656" w:type="dxa"/>
            <w:shd w:val="clear" w:color="auto" w:fill="auto"/>
            <w:tcMar>
              <w:left w:w="28" w:type="dxa"/>
              <w:right w:w="28" w:type="dxa"/>
            </w:tcMar>
            <w:vAlign w:val="center"/>
          </w:tcPr>
          <w:p w14:paraId="6E88C8E7" w14:textId="77777777" w:rsidR="004A0123" w:rsidRPr="00640447" w:rsidRDefault="004A0123" w:rsidP="008A5C11">
            <w:pPr>
              <w:jc w:val="center"/>
              <w:rPr>
                <w:bCs/>
                <w:sz w:val="16"/>
                <w:szCs w:val="16"/>
              </w:rPr>
            </w:pPr>
            <w:r w:rsidRPr="00640447">
              <w:rPr>
                <w:bCs/>
                <w:sz w:val="16"/>
                <w:szCs w:val="16"/>
              </w:rPr>
              <w:t>150000</w:t>
            </w:r>
          </w:p>
        </w:tc>
        <w:tc>
          <w:tcPr>
            <w:tcW w:w="590" w:type="dxa"/>
            <w:shd w:val="clear" w:color="auto" w:fill="auto"/>
            <w:tcMar>
              <w:left w:w="28" w:type="dxa"/>
              <w:right w:w="28" w:type="dxa"/>
            </w:tcMar>
            <w:vAlign w:val="center"/>
          </w:tcPr>
          <w:p w14:paraId="109044ED" w14:textId="77777777" w:rsidR="004A0123" w:rsidRPr="00640447" w:rsidRDefault="004A0123" w:rsidP="008A5C11">
            <w:pPr>
              <w:jc w:val="center"/>
              <w:rPr>
                <w:bCs/>
                <w:sz w:val="16"/>
                <w:szCs w:val="16"/>
              </w:rPr>
            </w:pPr>
            <w:r w:rsidRPr="00640447">
              <w:rPr>
                <w:bCs/>
                <w:sz w:val="16"/>
                <w:szCs w:val="16"/>
              </w:rPr>
              <w:t>95875</w:t>
            </w:r>
          </w:p>
        </w:tc>
        <w:tc>
          <w:tcPr>
            <w:tcW w:w="656" w:type="dxa"/>
            <w:tcMar>
              <w:left w:w="28" w:type="dxa"/>
              <w:right w:w="28" w:type="dxa"/>
            </w:tcMar>
            <w:vAlign w:val="center"/>
          </w:tcPr>
          <w:p w14:paraId="09B0E715" w14:textId="77777777" w:rsidR="004A0123" w:rsidRPr="00640447" w:rsidRDefault="004A0123" w:rsidP="008A5C11">
            <w:pPr>
              <w:jc w:val="center"/>
              <w:rPr>
                <w:bCs/>
                <w:sz w:val="16"/>
                <w:szCs w:val="16"/>
              </w:rPr>
            </w:pPr>
            <w:r w:rsidRPr="00640447">
              <w:rPr>
                <w:bCs/>
                <w:sz w:val="16"/>
                <w:szCs w:val="16"/>
              </w:rPr>
              <w:t>63754</w:t>
            </w:r>
          </w:p>
        </w:tc>
        <w:tc>
          <w:tcPr>
            <w:tcW w:w="656" w:type="dxa"/>
            <w:tcMar>
              <w:left w:w="28" w:type="dxa"/>
              <w:right w:w="28" w:type="dxa"/>
            </w:tcMar>
            <w:vAlign w:val="center"/>
          </w:tcPr>
          <w:p w14:paraId="629DBFD5" w14:textId="77777777" w:rsidR="004A0123" w:rsidRPr="00640447" w:rsidRDefault="004A0123" w:rsidP="008A5C11">
            <w:pPr>
              <w:jc w:val="center"/>
              <w:rPr>
                <w:bCs/>
                <w:sz w:val="16"/>
                <w:szCs w:val="16"/>
              </w:rPr>
            </w:pPr>
            <w:r w:rsidRPr="00640447">
              <w:rPr>
                <w:bCs/>
                <w:sz w:val="16"/>
                <w:szCs w:val="16"/>
              </w:rPr>
              <w:t>71287</w:t>
            </w:r>
          </w:p>
        </w:tc>
        <w:tc>
          <w:tcPr>
            <w:tcW w:w="656" w:type="dxa"/>
            <w:vAlign w:val="center"/>
          </w:tcPr>
          <w:p w14:paraId="58D538DA" w14:textId="77777777" w:rsidR="004A0123" w:rsidRPr="00640447" w:rsidRDefault="004A0123" w:rsidP="008A5C11">
            <w:pPr>
              <w:jc w:val="center"/>
              <w:rPr>
                <w:bCs/>
                <w:sz w:val="16"/>
                <w:szCs w:val="16"/>
                <w:lang w:val="en-US"/>
              </w:rPr>
            </w:pPr>
            <w:r w:rsidRPr="00640447">
              <w:rPr>
                <w:bCs/>
                <w:sz w:val="16"/>
                <w:szCs w:val="16"/>
                <w:lang w:val="en-US"/>
              </w:rPr>
              <w:t>0</w:t>
            </w:r>
          </w:p>
        </w:tc>
        <w:tc>
          <w:tcPr>
            <w:tcW w:w="656" w:type="dxa"/>
            <w:vAlign w:val="center"/>
          </w:tcPr>
          <w:p w14:paraId="06F2E14F" w14:textId="77777777" w:rsidR="004A0123" w:rsidRPr="00640447" w:rsidRDefault="004A0123" w:rsidP="008A5C11">
            <w:pPr>
              <w:jc w:val="center"/>
              <w:rPr>
                <w:bCs/>
                <w:sz w:val="16"/>
                <w:szCs w:val="16"/>
                <w:lang w:val="en-US"/>
              </w:rPr>
            </w:pPr>
            <w:r w:rsidRPr="00640447">
              <w:rPr>
                <w:bCs/>
                <w:sz w:val="16"/>
                <w:szCs w:val="16"/>
                <w:lang w:val="en-US"/>
              </w:rPr>
              <w:t>0</w:t>
            </w:r>
          </w:p>
        </w:tc>
        <w:tc>
          <w:tcPr>
            <w:tcW w:w="656" w:type="dxa"/>
            <w:vAlign w:val="center"/>
          </w:tcPr>
          <w:p w14:paraId="2EBA4C92" w14:textId="77777777" w:rsidR="004A0123" w:rsidRPr="00640447" w:rsidRDefault="004A0123" w:rsidP="008A5C11">
            <w:pPr>
              <w:jc w:val="center"/>
              <w:rPr>
                <w:bCs/>
                <w:sz w:val="16"/>
                <w:szCs w:val="16"/>
                <w:lang w:val="en-US"/>
              </w:rPr>
            </w:pPr>
            <w:r w:rsidRPr="00640447">
              <w:rPr>
                <w:bCs/>
                <w:sz w:val="16"/>
                <w:szCs w:val="16"/>
                <w:lang w:val="en-US"/>
              </w:rPr>
              <w:t>0</w:t>
            </w:r>
          </w:p>
        </w:tc>
        <w:tc>
          <w:tcPr>
            <w:tcW w:w="656" w:type="dxa"/>
            <w:vAlign w:val="center"/>
          </w:tcPr>
          <w:p w14:paraId="3C1851B5" w14:textId="77777777" w:rsidR="004A0123" w:rsidRPr="00640447" w:rsidRDefault="004A0123" w:rsidP="008A5C11">
            <w:pPr>
              <w:jc w:val="center"/>
              <w:rPr>
                <w:bCs/>
                <w:sz w:val="16"/>
                <w:szCs w:val="16"/>
                <w:lang w:val="en-US"/>
              </w:rPr>
            </w:pPr>
            <w:r w:rsidRPr="00640447">
              <w:rPr>
                <w:bCs/>
                <w:sz w:val="16"/>
                <w:szCs w:val="16"/>
                <w:lang w:val="en-US"/>
              </w:rPr>
              <w:t>0</w:t>
            </w:r>
          </w:p>
        </w:tc>
        <w:tc>
          <w:tcPr>
            <w:tcW w:w="656" w:type="dxa"/>
            <w:vAlign w:val="center"/>
          </w:tcPr>
          <w:p w14:paraId="0C037056" w14:textId="77777777" w:rsidR="004A0123" w:rsidRPr="00640447" w:rsidRDefault="004A0123" w:rsidP="008A5C11">
            <w:pPr>
              <w:jc w:val="center"/>
              <w:rPr>
                <w:bCs/>
                <w:sz w:val="16"/>
                <w:szCs w:val="16"/>
                <w:lang w:val="en-US"/>
              </w:rPr>
            </w:pPr>
            <w:r w:rsidRPr="00640447">
              <w:rPr>
                <w:bCs/>
                <w:sz w:val="16"/>
                <w:szCs w:val="16"/>
                <w:lang w:val="en-US"/>
              </w:rPr>
              <w:t>0</w:t>
            </w:r>
          </w:p>
        </w:tc>
      </w:tr>
      <w:tr w:rsidR="004A0123" w:rsidRPr="00640447" w14:paraId="3F327BC3" w14:textId="77777777" w:rsidTr="008A5C11">
        <w:trPr>
          <w:trHeight w:val="645"/>
          <w:jc w:val="center"/>
        </w:trPr>
        <w:tc>
          <w:tcPr>
            <w:tcW w:w="356" w:type="dxa"/>
            <w:shd w:val="clear" w:color="auto" w:fill="auto"/>
            <w:tcMar>
              <w:left w:w="28" w:type="dxa"/>
              <w:right w:w="28" w:type="dxa"/>
            </w:tcMar>
            <w:vAlign w:val="center"/>
            <w:hideMark/>
          </w:tcPr>
          <w:p w14:paraId="4A681801" w14:textId="77777777" w:rsidR="004A0123" w:rsidRPr="00640447" w:rsidRDefault="004A0123" w:rsidP="008A5C11">
            <w:pPr>
              <w:jc w:val="center"/>
              <w:rPr>
                <w:bCs/>
                <w:sz w:val="16"/>
                <w:szCs w:val="16"/>
              </w:rPr>
            </w:pPr>
            <w:r w:rsidRPr="00640447">
              <w:rPr>
                <w:bCs/>
                <w:sz w:val="16"/>
                <w:szCs w:val="16"/>
              </w:rPr>
              <w:t>4.</w:t>
            </w:r>
          </w:p>
        </w:tc>
        <w:tc>
          <w:tcPr>
            <w:tcW w:w="1585" w:type="dxa"/>
            <w:shd w:val="clear" w:color="auto" w:fill="auto"/>
            <w:tcMar>
              <w:left w:w="28" w:type="dxa"/>
              <w:right w:w="28" w:type="dxa"/>
            </w:tcMar>
            <w:vAlign w:val="center"/>
            <w:hideMark/>
          </w:tcPr>
          <w:p w14:paraId="166DB702" w14:textId="77777777" w:rsidR="004A0123" w:rsidRPr="00640447" w:rsidRDefault="004A0123" w:rsidP="008A5C11">
            <w:pPr>
              <w:rPr>
                <w:bCs/>
                <w:sz w:val="16"/>
                <w:szCs w:val="16"/>
              </w:rPr>
            </w:pPr>
            <w:r w:rsidRPr="00640447">
              <w:rPr>
                <w:bCs/>
                <w:sz w:val="16"/>
                <w:szCs w:val="16"/>
              </w:rPr>
              <w:t>Прочие источники финансирования, в т.ч. лизинг</w:t>
            </w:r>
          </w:p>
        </w:tc>
        <w:tc>
          <w:tcPr>
            <w:tcW w:w="1196" w:type="dxa"/>
            <w:shd w:val="clear" w:color="auto" w:fill="auto"/>
            <w:tcMar>
              <w:left w:w="28" w:type="dxa"/>
              <w:right w:w="28" w:type="dxa"/>
            </w:tcMar>
            <w:vAlign w:val="center"/>
          </w:tcPr>
          <w:p w14:paraId="0A1276A3" w14:textId="77777777" w:rsidR="004A0123" w:rsidRPr="00640447" w:rsidRDefault="004A0123" w:rsidP="008A5C11">
            <w:pPr>
              <w:jc w:val="center"/>
              <w:rPr>
                <w:sz w:val="16"/>
                <w:szCs w:val="16"/>
                <w:lang w:val="en-US"/>
              </w:rPr>
            </w:pPr>
            <w:r w:rsidRPr="00640447">
              <w:rPr>
                <w:sz w:val="16"/>
                <w:szCs w:val="16"/>
                <w:lang w:val="en-US"/>
              </w:rPr>
              <w:t>0</w:t>
            </w:r>
          </w:p>
        </w:tc>
        <w:tc>
          <w:tcPr>
            <w:tcW w:w="756" w:type="dxa"/>
            <w:shd w:val="clear" w:color="auto" w:fill="auto"/>
            <w:tcMar>
              <w:left w:w="28" w:type="dxa"/>
              <w:right w:w="28" w:type="dxa"/>
            </w:tcMar>
            <w:vAlign w:val="center"/>
          </w:tcPr>
          <w:p w14:paraId="015DF375" w14:textId="77777777" w:rsidR="004A0123" w:rsidRPr="00640447" w:rsidRDefault="004A0123" w:rsidP="008A5C11">
            <w:pPr>
              <w:jc w:val="center"/>
              <w:rPr>
                <w:sz w:val="16"/>
                <w:szCs w:val="16"/>
                <w:lang w:val="en-US"/>
              </w:rPr>
            </w:pPr>
            <w:r w:rsidRPr="00640447">
              <w:rPr>
                <w:sz w:val="16"/>
                <w:szCs w:val="16"/>
                <w:lang w:val="en-US"/>
              </w:rPr>
              <w:t>0</w:t>
            </w:r>
          </w:p>
        </w:tc>
        <w:tc>
          <w:tcPr>
            <w:tcW w:w="656" w:type="dxa"/>
            <w:shd w:val="clear" w:color="auto" w:fill="auto"/>
            <w:tcMar>
              <w:left w:w="28" w:type="dxa"/>
              <w:right w:w="28" w:type="dxa"/>
            </w:tcMar>
            <w:vAlign w:val="center"/>
          </w:tcPr>
          <w:p w14:paraId="0C517160" w14:textId="77777777" w:rsidR="004A0123" w:rsidRPr="00640447" w:rsidRDefault="004A0123" w:rsidP="008A5C11">
            <w:pPr>
              <w:jc w:val="center"/>
              <w:rPr>
                <w:bCs/>
                <w:sz w:val="16"/>
                <w:szCs w:val="16"/>
                <w:lang w:val="en-US"/>
              </w:rPr>
            </w:pPr>
            <w:r w:rsidRPr="00640447">
              <w:rPr>
                <w:bCs/>
                <w:sz w:val="16"/>
                <w:szCs w:val="16"/>
                <w:lang w:val="en-US"/>
              </w:rPr>
              <w:t>0</w:t>
            </w:r>
          </w:p>
        </w:tc>
        <w:tc>
          <w:tcPr>
            <w:tcW w:w="656" w:type="dxa"/>
            <w:shd w:val="clear" w:color="auto" w:fill="auto"/>
            <w:tcMar>
              <w:left w:w="28" w:type="dxa"/>
              <w:right w:w="28" w:type="dxa"/>
            </w:tcMar>
            <w:vAlign w:val="center"/>
          </w:tcPr>
          <w:p w14:paraId="2B772740" w14:textId="77777777" w:rsidR="004A0123" w:rsidRPr="00640447" w:rsidRDefault="004A0123" w:rsidP="008A5C11">
            <w:pPr>
              <w:jc w:val="center"/>
              <w:rPr>
                <w:bCs/>
                <w:sz w:val="16"/>
                <w:szCs w:val="16"/>
                <w:lang w:val="en-US"/>
              </w:rPr>
            </w:pPr>
            <w:r w:rsidRPr="00640447">
              <w:rPr>
                <w:bCs/>
                <w:sz w:val="16"/>
                <w:szCs w:val="16"/>
                <w:lang w:val="en-US"/>
              </w:rPr>
              <w:t>0</w:t>
            </w:r>
          </w:p>
        </w:tc>
        <w:tc>
          <w:tcPr>
            <w:tcW w:w="590" w:type="dxa"/>
            <w:shd w:val="clear" w:color="auto" w:fill="auto"/>
            <w:tcMar>
              <w:left w:w="28" w:type="dxa"/>
              <w:right w:w="28" w:type="dxa"/>
            </w:tcMar>
            <w:vAlign w:val="center"/>
          </w:tcPr>
          <w:p w14:paraId="15298A26" w14:textId="77777777" w:rsidR="004A0123" w:rsidRPr="00640447" w:rsidRDefault="004A0123" w:rsidP="008A5C11">
            <w:pPr>
              <w:jc w:val="center"/>
              <w:rPr>
                <w:bCs/>
                <w:sz w:val="16"/>
                <w:szCs w:val="16"/>
                <w:lang w:val="en-US"/>
              </w:rPr>
            </w:pPr>
            <w:r w:rsidRPr="00640447">
              <w:rPr>
                <w:bCs/>
                <w:sz w:val="16"/>
                <w:szCs w:val="16"/>
                <w:lang w:val="en-US"/>
              </w:rPr>
              <w:t>0</w:t>
            </w:r>
          </w:p>
        </w:tc>
        <w:tc>
          <w:tcPr>
            <w:tcW w:w="656" w:type="dxa"/>
            <w:tcMar>
              <w:left w:w="28" w:type="dxa"/>
              <w:right w:w="28" w:type="dxa"/>
            </w:tcMar>
            <w:vAlign w:val="center"/>
          </w:tcPr>
          <w:p w14:paraId="75A57EFF" w14:textId="77777777" w:rsidR="004A0123" w:rsidRPr="00640447" w:rsidRDefault="004A0123" w:rsidP="008A5C11">
            <w:pPr>
              <w:jc w:val="center"/>
              <w:rPr>
                <w:bCs/>
                <w:sz w:val="16"/>
                <w:szCs w:val="16"/>
                <w:lang w:val="en-US"/>
              </w:rPr>
            </w:pPr>
            <w:r w:rsidRPr="00640447">
              <w:rPr>
                <w:bCs/>
                <w:sz w:val="16"/>
                <w:szCs w:val="16"/>
                <w:lang w:val="en-US"/>
              </w:rPr>
              <w:t>0</w:t>
            </w:r>
          </w:p>
        </w:tc>
        <w:tc>
          <w:tcPr>
            <w:tcW w:w="656" w:type="dxa"/>
            <w:tcMar>
              <w:left w:w="28" w:type="dxa"/>
              <w:right w:w="28" w:type="dxa"/>
            </w:tcMar>
            <w:vAlign w:val="center"/>
          </w:tcPr>
          <w:p w14:paraId="6906051E" w14:textId="77777777" w:rsidR="004A0123" w:rsidRPr="00640447" w:rsidRDefault="004A0123" w:rsidP="008A5C11">
            <w:pPr>
              <w:jc w:val="center"/>
              <w:rPr>
                <w:bCs/>
                <w:sz w:val="16"/>
                <w:szCs w:val="16"/>
                <w:lang w:val="en-US"/>
              </w:rPr>
            </w:pPr>
            <w:r w:rsidRPr="00640447">
              <w:rPr>
                <w:bCs/>
                <w:sz w:val="16"/>
                <w:szCs w:val="16"/>
                <w:lang w:val="en-US"/>
              </w:rPr>
              <w:t>0</w:t>
            </w:r>
          </w:p>
        </w:tc>
        <w:tc>
          <w:tcPr>
            <w:tcW w:w="656" w:type="dxa"/>
            <w:vAlign w:val="center"/>
          </w:tcPr>
          <w:p w14:paraId="26FF3787" w14:textId="77777777" w:rsidR="004A0123" w:rsidRPr="00640447" w:rsidRDefault="004A0123" w:rsidP="008A5C11">
            <w:pPr>
              <w:jc w:val="center"/>
              <w:rPr>
                <w:bCs/>
                <w:sz w:val="16"/>
                <w:szCs w:val="16"/>
                <w:lang w:val="en-US"/>
              </w:rPr>
            </w:pPr>
            <w:r w:rsidRPr="00640447">
              <w:rPr>
                <w:bCs/>
                <w:sz w:val="16"/>
                <w:szCs w:val="16"/>
                <w:lang w:val="en-US"/>
              </w:rPr>
              <w:t>0</w:t>
            </w:r>
          </w:p>
        </w:tc>
        <w:tc>
          <w:tcPr>
            <w:tcW w:w="656" w:type="dxa"/>
            <w:vAlign w:val="center"/>
          </w:tcPr>
          <w:p w14:paraId="2801F18A" w14:textId="77777777" w:rsidR="004A0123" w:rsidRPr="00640447" w:rsidRDefault="004A0123" w:rsidP="008A5C11">
            <w:pPr>
              <w:jc w:val="center"/>
              <w:rPr>
                <w:bCs/>
                <w:sz w:val="16"/>
                <w:szCs w:val="16"/>
                <w:lang w:val="en-US"/>
              </w:rPr>
            </w:pPr>
            <w:r w:rsidRPr="00640447">
              <w:rPr>
                <w:bCs/>
                <w:sz w:val="16"/>
                <w:szCs w:val="16"/>
                <w:lang w:val="en-US"/>
              </w:rPr>
              <w:t>0</w:t>
            </w:r>
          </w:p>
        </w:tc>
        <w:tc>
          <w:tcPr>
            <w:tcW w:w="656" w:type="dxa"/>
            <w:vAlign w:val="center"/>
          </w:tcPr>
          <w:p w14:paraId="6D9BF726" w14:textId="77777777" w:rsidR="004A0123" w:rsidRPr="00640447" w:rsidRDefault="004A0123" w:rsidP="008A5C11">
            <w:pPr>
              <w:jc w:val="center"/>
              <w:rPr>
                <w:bCs/>
                <w:sz w:val="16"/>
                <w:szCs w:val="16"/>
                <w:lang w:val="en-US"/>
              </w:rPr>
            </w:pPr>
            <w:r w:rsidRPr="00640447">
              <w:rPr>
                <w:bCs/>
                <w:sz w:val="16"/>
                <w:szCs w:val="16"/>
                <w:lang w:val="en-US"/>
              </w:rPr>
              <w:t>0</w:t>
            </w:r>
          </w:p>
        </w:tc>
        <w:tc>
          <w:tcPr>
            <w:tcW w:w="656" w:type="dxa"/>
            <w:vAlign w:val="center"/>
          </w:tcPr>
          <w:p w14:paraId="1365599B" w14:textId="77777777" w:rsidR="004A0123" w:rsidRPr="00640447" w:rsidRDefault="004A0123" w:rsidP="008A5C11">
            <w:pPr>
              <w:jc w:val="center"/>
              <w:rPr>
                <w:bCs/>
                <w:sz w:val="16"/>
                <w:szCs w:val="16"/>
                <w:lang w:val="en-US"/>
              </w:rPr>
            </w:pPr>
            <w:r w:rsidRPr="00640447">
              <w:rPr>
                <w:bCs/>
                <w:sz w:val="16"/>
                <w:szCs w:val="16"/>
                <w:lang w:val="en-US"/>
              </w:rPr>
              <w:t>0</w:t>
            </w:r>
          </w:p>
        </w:tc>
        <w:tc>
          <w:tcPr>
            <w:tcW w:w="656" w:type="dxa"/>
            <w:vAlign w:val="center"/>
          </w:tcPr>
          <w:p w14:paraId="322B38E5" w14:textId="77777777" w:rsidR="004A0123" w:rsidRPr="00640447" w:rsidRDefault="004A0123" w:rsidP="008A5C11">
            <w:pPr>
              <w:jc w:val="center"/>
              <w:rPr>
                <w:bCs/>
                <w:sz w:val="16"/>
                <w:szCs w:val="16"/>
                <w:lang w:val="en-US"/>
              </w:rPr>
            </w:pPr>
            <w:r w:rsidRPr="00640447">
              <w:rPr>
                <w:bCs/>
                <w:sz w:val="16"/>
                <w:szCs w:val="16"/>
                <w:lang w:val="en-US"/>
              </w:rPr>
              <w:t>0</w:t>
            </w:r>
          </w:p>
        </w:tc>
      </w:tr>
      <w:tr w:rsidR="004A0123" w:rsidRPr="00640447" w14:paraId="5EE51BB1" w14:textId="77777777" w:rsidTr="008A5C11">
        <w:trPr>
          <w:trHeight w:val="255"/>
          <w:jc w:val="center"/>
        </w:trPr>
        <w:tc>
          <w:tcPr>
            <w:tcW w:w="356" w:type="dxa"/>
            <w:shd w:val="clear" w:color="auto" w:fill="auto"/>
            <w:tcMar>
              <w:left w:w="28" w:type="dxa"/>
              <w:right w:w="28" w:type="dxa"/>
            </w:tcMar>
            <w:vAlign w:val="center"/>
            <w:hideMark/>
          </w:tcPr>
          <w:p w14:paraId="0EC2C820" w14:textId="77777777" w:rsidR="004A0123" w:rsidRPr="00640447" w:rsidRDefault="004A0123" w:rsidP="008A5C11">
            <w:pPr>
              <w:jc w:val="center"/>
              <w:rPr>
                <w:bCs/>
                <w:sz w:val="16"/>
                <w:szCs w:val="16"/>
              </w:rPr>
            </w:pPr>
            <w:r w:rsidRPr="00640447">
              <w:rPr>
                <w:bCs/>
                <w:sz w:val="16"/>
                <w:szCs w:val="16"/>
              </w:rPr>
              <w:t>5.</w:t>
            </w:r>
          </w:p>
        </w:tc>
        <w:tc>
          <w:tcPr>
            <w:tcW w:w="1585" w:type="dxa"/>
            <w:shd w:val="clear" w:color="auto" w:fill="auto"/>
            <w:tcMar>
              <w:left w:w="28" w:type="dxa"/>
              <w:right w:w="28" w:type="dxa"/>
            </w:tcMar>
            <w:vAlign w:val="center"/>
            <w:hideMark/>
          </w:tcPr>
          <w:p w14:paraId="618436C2" w14:textId="77777777" w:rsidR="004A0123" w:rsidRPr="00640447" w:rsidRDefault="004A0123" w:rsidP="008A5C11">
            <w:pPr>
              <w:rPr>
                <w:bCs/>
                <w:sz w:val="16"/>
                <w:szCs w:val="16"/>
              </w:rPr>
            </w:pPr>
            <w:r w:rsidRPr="00640447">
              <w:rPr>
                <w:bCs/>
                <w:sz w:val="16"/>
                <w:szCs w:val="16"/>
              </w:rPr>
              <w:t>Итого по программе</w:t>
            </w:r>
          </w:p>
        </w:tc>
        <w:tc>
          <w:tcPr>
            <w:tcW w:w="1196" w:type="dxa"/>
            <w:shd w:val="clear" w:color="auto" w:fill="auto"/>
            <w:tcMar>
              <w:left w:w="28" w:type="dxa"/>
              <w:right w:w="28" w:type="dxa"/>
            </w:tcMar>
            <w:vAlign w:val="center"/>
          </w:tcPr>
          <w:p w14:paraId="2835A717" w14:textId="77777777" w:rsidR="004A0123" w:rsidRPr="00640447" w:rsidRDefault="004A0123" w:rsidP="008A5C11">
            <w:pPr>
              <w:jc w:val="center"/>
              <w:rPr>
                <w:color w:val="000000"/>
                <w:sz w:val="16"/>
                <w:szCs w:val="16"/>
              </w:rPr>
            </w:pPr>
            <w:r w:rsidRPr="00640447">
              <w:rPr>
                <w:color w:val="000000"/>
                <w:sz w:val="16"/>
                <w:szCs w:val="16"/>
              </w:rPr>
              <w:t>2588907</w:t>
            </w:r>
          </w:p>
        </w:tc>
        <w:tc>
          <w:tcPr>
            <w:tcW w:w="756" w:type="dxa"/>
            <w:shd w:val="clear" w:color="auto" w:fill="auto"/>
            <w:tcMar>
              <w:left w:w="28" w:type="dxa"/>
              <w:right w:w="28" w:type="dxa"/>
            </w:tcMar>
            <w:vAlign w:val="center"/>
          </w:tcPr>
          <w:p w14:paraId="2D57E570" w14:textId="77777777" w:rsidR="004A0123" w:rsidRPr="00640447" w:rsidRDefault="004A0123" w:rsidP="008A5C11">
            <w:pPr>
              <w:jc w:val="center"/>
              <w:rPr>
                <w:color w:val="000000"/>
                <w:sz w:val="16"/>
                <w:szCs w:val="16"/>
              </w:rPr>
            </w:pPr>
            <w:r w:rsidRPr="00640447">
              <w:rPr>
                <w:color w:val="000000"/>
                <w:sz w:val="16"/>
                <w:szCs w:val="16"/>
              </w:rPr>
              <w:t>2588907</w:t>
            </w:r>
          </w:p>
        </w:tc>
        <w:tc>
          <w:tcPr>
            <w:tcW w:w="656" w:type="dxa"/>
            <w:shd w:val="clear" w:color="auto" w:fill="auto"/>
            <w:tcMar>
              <w:left w:w="28" w:type="dxa"/>
              <w:right w:w="28" w:type="dxa"/>
            </w:tcMar>
            <w:vAlign w:val="center"/>
          </w:tcPr>
          <w:p w14:paraId="2009C97D" w14:textId="77777777" w:rsidR="004A0123" w:rsidRPr="00640447" w:rsidRDefault="004A0123" w:rsidP="008A5C11">
            <w:pPr>
              <w:jc w:val="center"/>
              <w:rPr>
                <w:color w:val="000000"/>
                <w:sz w:val="16"/>
                <w:szCs w:val="16"/>
              </w:rPr>
            </w:pPr>
            <w:r w:rsidRPr="00640447">
              <w:rPr>
                <w:color w:val="000000"/>
                <w:sz w:val="16"/>
                <w:szCs w:val="16"/>
              </w:rPr>
              <w:t>320046</w:t>
            </w:r>
          </w:p>
        </w:tc>
        <w:tc>
          <w:tcPr>
            <w:tcW w:w="656" w:type="dxa"/>
            <w:shd w:val="clear" w:color="auto" w:fill="auto"/>
            <w:tcMar>
              <w:left w:w="28" w:type="dxa"/>
              <w:right w:w="28" w:type="dxa"/>
            </w:tcMar>
            <w:vAlign w:val="center"/>
          </w:tcPr>
          <w:p w14:paraId="3283850C" w14:textId="77777777" w:rsidR="004A0123" w:rsidRPr="00640447" w:rsidRDefault="004A0123" w:rsidP="008A5C11">
            <w:pPr>
              <w:jc w:val="center"/>
              <w:rPr>
                <w:color w:val="000000"/>
                <w:sz w:val="16"/>
                <w:szCs w:val="16"/>
              </w:rPr>
            </w:pPr>
            <w:r w:rsidRPr="00640447">
              <w:rPr>
                <w:color w:val="000000"/>
                <w:sz w:val="16"/>
                <w:szCs w:val="16"/>
              </w:rPr>
              <w:t>159035</w:t>
            </w:r>
          </w:p>
        </w:tc>
        <w:tc>
          <w:tcPr>
            <w:tcW w:w="590" w:type="dxa"/>
            <w:shd w:val="clear" w:color="auto" w:fill="auto"/>
            <w:tcMar>
              <w:left w:w="28" w:type="dxa"/>
              <w:right w:w="28" w:type="dxa"/>
            </w:tcMar>
            <w:vAlign w:val="center"/>
          </w:tcPr>
          <w:p w14:paraId="7A93DF85" w14:textId="77777777" w:rsidR="004A0123" w:rsidRPr="00640447" w:rsidRDefault="004A0123" w:rsidP="008A5C11">
            <w:pPr>
              <w:jc w:val="center"/>
              <w:rPr>
                <w:color w:val="000000"/>
                <w:sz w:val="16"/>
                <w:szCs w:val="16"/>
              </w:rPr>
            </w:pPr>
            <w:r w:rsidRPr="00640447">
              <w:rPr>
                <w:color w:val="000000"/>
                <w:sz w:val="16"/>
                <w:szCs w:val="16"/>
              </w:rPr>
              <w:t>145686</w:t>
            </w:r>
          </w:p>
        </w:tc>
        <w:tc>
          <w:tcPr>
            <w:tcW w:w="656" w:type="dxa"/>
            <w:tcMar>
              <w:left w:w="28" w:type="dxa"/>
              <w:right w:w="28" w:type="dxa"/>
            </w:tcMar>
            <w:vAlign w:val="center"/>
          </w:tcPr>
          <w:p w14:paraId="15F2DA12" w14:textId="77777777" w:rsidR="004A0123" w:rsidRPr="00640447" w:rsidRDefault="004A0123" w:rsidP="008A5C11">
            <w:pPr>
              <w:jc w:val="center"/>
              <w:rPr>
                <w:color w:val="000000"/>
                <w:sz w:val="16"/>
                <w:szCs w:val="16"/>
              </w:rPr>
            </w:pPr>
            <w:r w:rsidRPr="00640447">
              <w:rPr>
                <w:color w:val="000000"/>
                <w:sz w:val="16"/>
                <w:szCs w:val="16"/>
              </w:rPr>
              <w:t>157424</w:t>
            </w:r>
          </w:p>
        </w:tc>
        <w:tc>
          <w:tcPr>
            <w:tcW w:w="656" w:type="dxa"/>
            <w:tcMar>
              <w:left w:w="28" w:type="dxa"/>
              <w:right w:w="28" w:type="dxa"/>
            </w:tcMar>
            <w:vAlign w:val="center"/>
          </w:tcPr>
          <w:p w14:paraId="20A4959F" w14:textId="77777777" w:rsidR="004A0123" w:rsidRPr="00640447" w:rsidRDefault="004A0123" w:rsidP="008A5C11">
            <w:pPr>
              <w:jc w:val="center"/>
              <w:rPr>
                <w:color w:val="000000"/>
                <w:sz w:val="16"/>
                <w:szCs w:val="16"/>
              </w:rPr>
            </w:pPr>
            <w:r w:rsidRPr="00640447">
              <w:rPr>
                <w:color w:val="000000"/>
                <w:sz w:val="16"/>
                <w:szCs w:val="16"/>
              </w:rPr>
              <w:t>212600</w:t>
            </w:r>
          </w:p>
        </w:tc>
        <w:tc>
          <w:tcPr>
            <w:tcW w:w="656" w:type="dxa"/>
            <w:vAlign w:val="center"/>
          </w:tcPr>
          <w:p w14:paraId="650CA743" w14:textId="77777777" w:rsidR="004A0123" w:rsidRPr="00640447" w:rsidRDefault="004A0123" w:rsidP="008A5C11">
            <w:pPr>
              <w:jc w:val="center"/>
              <w:rPr>
                <w:color w:val="000000"/>
                <w:sz w:val="16"/>
                <w:szCs w:val="16"/>
              </w:rPr>
            </w:pPr>
            <w:r w:rsidRPr="00640447">
              <w:rPr>
                <w:color w:val="000000"/>
                <w:sz w:val="16"/>
                <w:szCs w:val="16"/>
                <w:lang w:val="en-US"/>
              </w:rPr>
              <w:t>191865</w:t>
            </w:r>
          </w:p>
        </w:tc>
        <w:tc>
          <w:tcPr>
            <w:tcW w:w="656" w:type="dxa"/>
            <w:vAlign w:val="center"/>
          </w:tcPr>
          <w:p w14:paraId="31799F84" w14:textId="77777777" w:rsidR="004A0123" w:rsidRPr="00640447" w:rsidRDefault="004A0123" w:rsidP="008A5C11">
            <w:pPr>
              <w:jc w:val="center"/>
              <w:rPr>
                <w:color w:val="000000"/>
                <w:sz w:val="16"/>
                <w:szCs w:val="16"/>
              </w:rPr>
            </w:pPr>
            <w:r w:rsidRPr="00640447">
              <w:rPr>
                <w:color w:val="000000"/>
                <w:sz w:val="16"/>
                <w:szCs w:val="16"/>
                <w:lang w:val="en-US"/>
              </w:rPr>
              <w:t>248171</w:t>
            </w:r>
          </w:p>
        </w:tc>
        <w:tc>
          <w:tcPr>
            <w:tcW w:w="656" w:type="dxa"/>
            <w:vAlign w:val="center"/>
          </w:tcPr>
          <w:p w14:paraId="21E94D31" w14:textId="77777777" w:rsidR="004A0123" w:rsidRPr="00640447" w:rsidRDefault="004A0123" w:rsidP="008A5C11">
            <w:pPr>
              <w:jc w:val="center"/>
              <w:rPr>
                <w:color w:val="000000"/>
                <w:sz w:val="16"/>
                <w:szCs w:val="16"/>
              </w:rPr>
            </w:pPr>
            <w:r w:rsidRPr="00640447">
              <w:rPr>
                <w:color w:val="000000"/>
                <w:sz w:val="16"/>
                <w:szCs w:val="16"/>
                <w:lang w:val="en-US"/>
              </w:rPr>
              <w:t>312218</w:t>
            </w:r>
          </w:p>
        </w:tc>
        <w:tc>
          <w:tcPr>
            <w:tcW w:w="656" w:type="dxa"/>
            <w:vAlign w:val="center"/>
          </w:tcPr>
          <w:p w14:paraId="0E431A29" w14:textId="77777777" w:rsidR="004A0123" w:rsidRPr="00640447" w:rsidRDefault="004A0123" w:rsidP="008A5C11">
            <w:pPr>
              <w:jc w:val="center"/>
              <w:rPr>
                <w:color w:val="000000"/>
                <w:sz w:val="16"/>
                <w:szCs w:val="16"/>
              </w:rPr>
            </w:pPr>
            <w:r w:rsidRPr="00640447">
              <w:rPr>
                <w:color w:val="000000"/>
                <w:sz w:val="16"/>
                <w:szCs w:val="16"/>
                <w:lang w:val="en-US"/>
              </w:rPr>
              <w:t>388280</w:t>
            </w:r>
          </w:p>
        </w:tc>
        <w:tc>
          <w:tcPr>
            <w:tcW w:w="656" w:type="dxa"/>
            <w:vAlign w:val="center"/>
          </w:tcPr>
          <w:p w14:paraId="3F4F43B4" w14:textId="77777777" w:rsidR="004A0123" w:rsidRPr="00640447" w:rsidRDefault="004A0123" w:rsidP="008A5C11">
            <w:pPr>
              <w:jc w:val="center"/>
              <w:rPr>
                <w:color w:val="000000"/>
                <w:sz w:val="16"/>
                <w:szCs w:val="16"/>
              </w:rPr>
            </w:pPr>
            <w:r w:rsidRPr="00640447">
              <w:rPr>
                <w:color w:val="000000"/>
                <w:sz w:val="16"/>
                <w:szCs w:val="16"/>
                <w:lang w:val="en-US"/>
              </w:rPr>
              <w:t>453582</w:t>
            </w:r>
          </w:p>
        </w:tc>
      </w:tr>
    </w:tbl>
    <w:p w14:paraId="16644433" w14:textId="77777777" w:rsidR="004A0123" w:rsidRPr="00640447" w:rsidRDefault="004A0123" w:rsidP="004A0123">
      <w:pPr>
        <w:spacing w:line="276" w:lineRule="auto"/>
        <w:ind w:firstLine="709"/>
        <w:jc w:val="both"/>
        <w:rPr>
          <w:sz w:val="28"/>
          <w:szCs w:val="28"/>
        </w:rPr>
      </w:pPr>
    </w:p>
    <w:p w14:paraId="1F990569" w14:textId="77777777" w:rsidR="004A0123" w:rsidRPr="00640447" w:rsidRDefault="004A0123" w:rsidP="004A0123">
      <w:pPr>
        <w:jc w:val="center"/>
        <w:rPr>
          <w:bCs/>
          <w:sz w:val="28"/>
          <w:szCs w:val="28"/>
        </w:rPr>
        <w:sectPr w:rsidR="004A0123" w:rsidRPr="00640447" w:rsidSect="00E63490">
          <w:headerReference w:type="default" r:id="rId64"/>
          <w:footerReference w:type="default" r:id="rId65"/>
          <w:pgSz w:w="11906" w:h="16838"/>
          <w:pgMar w:top="851" w:right="1133" w:bottom="1135" w:left="1418" w:header="426" w:footer="407" w:gutter="0"/>
          <w:cols w:space="708"/>
          <w:titlePg/>
          <w:docGrid w:linePitch="360"/>
        </w:sectPr>
      </w:pPr>
    </w:p>
    <w:p w14:paraId="4C715F6A" w14:textId="77777777" w:rsidR="004A0123" w:rsidRPr="00640447" w:rsidRDefault="004A0123" w:rsidP="004A0123">
      <w:pPr>
        <w:ind w:left="284" w:right="536"/>
        <w:jc w:val="right"/>
        <w:rPr>
          <w:sz w:val="28"/>
          <w:szCs w:val="28"/>
        </w:rPr>
      </w:pPr>
      <w:r w:rsidRPr="00640447">
        <w:rPr>
          <w:sz w:val="28"/>
          <w:szCs w:val="28"/>
        </w:rPr>
        <w:t>Приложение</w:t>
      </w:r>
    </w:p>
    <w:p w14:paraId="34665048" w14:textId="77777777" w:rsidR="004A0123" w:rsidRPr="00640447" w:rsidRDefault="004A0123" w:rsidP="004A0123">
      <w:pPr>
        <w:ind w:left="284" w:right="536"/>
        <w:jc w:val="center"/>
        <w:rPr>
          <w:bCs/>
          <w:sz w:val="28"/>
          <w:szCs w:val="28"/>
        </w:rPr>
      </w:pPr>
      <w:r w:rsidRPr="00640447">
        <w:rPr>
          <w:bCs/>
          <w:sz w:val="28"/>
          <w:szCs w:val="28"/>
        </w:rPr>
        <w:t xml:space="preserve">Инвестиционная программа в сфере теплоснабжения </w:t>
      </w:r>
      <w:r w:rsidRPr="00640447">
        <w:rPr>
          <w:color w:val="000000"/>
          <w:sz w:val="28"/>
          <w:szCs w:val="28"/>
        </w:rPr>
        <w:t>ОАО «Северо-Кузбасская энергетическая компания» по узлу теплоснабжения Ленинск-Кузнецкого городского</w:t>
      </w:r>
      <w:r w:rsidRPr="00640447">
        <w:rPr>
          <w:bCs/>
          <w:sz w:val="28"/>
          <w:szCs w:val="28"/>
        </w:rPr>
        <w:t xml:space="preserve"> округа на 2019 - 2028 годы</w:t>
      </w:r>
    </w:p>
    <w:tbl>
      <w:tblPr>
        <w:tblW w:w="5291" w:type="pct"/>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50"/>
        <w:gridCol w:w="1898"/>
        <w:gridCol w:w="1106"/>
        <w:gridCol w:w="1109"/>
        <w:gridCol w:w="1042"/>
        <w:gridCol w:w="357"/>
        <w:gridCol w:w="561"/>
        <w:gridCol w:w="536"/>
        <w:gridCol w:w="582"/>
        <w:gridCol w:w="567"/>
        <w:gridCol w:w="555"/>
        <w:gridCol w:w="576"/>
        <w:gridCol w:w="450"/>
        <w:gridCol w:w="459"/>
        <w:gridCol w:w="564"/>
        <w:gridCol w:w="564"/>
        <w:gridCol w:w="478"/>
        <w:gridCol w:w="475"/>
        <w:gridCol w:w="471"/>
        <w:gridCol w:w="536"/>
        <w:gridCol w:w="481"/>
        <w:gridCol w:w="450"/>
        <w:gridCol w:w="579"/>
        <w:gridCol w:w="561"/>
      </w:tblGrid>
      <w:tr w:rsidR="004A0123" w:rsidRPr="00640447" w14:paraId="2E459E94" w14:textId="77777777" w:rsidTr="008A5C11">
        <w:trPr>
          <w:trHeight w:val="65"/>
        </w:trPr>
        <w:tc>
          <w:tcPr>
            <w:tcW w:w="146" w:type="pct"/>
            <w:vMerge w:val="restart"/>
            <w:shd w:val="clear" w:color="auto" w:fill="auto"/>
            <w:vAlign w:val="center"/>
            <w:hideMark/>
          </w:tcPr>
          <w:p w14:paraId="5422ADC6" w14:textId="77777777" w:rsidR="004A0123" w:rsidRPr="00640447" w:rsidRDefault="004A0123" w:rsidP="008A5C11">
            <w:pPr>
              <w:jc w:val="center"/>
              <w:rPr>
                <w:bCs/>
                <w:sz w:val="13"/>
                <w:szCs w:val="13"/>
              </w:rPr>
            </w:pPr>
            <w:r w:rsidRPr="00640447">
              <w:rPr>
                <w:bCs/>
                <w:sz w:val="13"/>
                <w:szCs w:val="13"/>
              </w:rPr>
              <w:t>№</w:t>
            </w:r>
            <w:r w:rsidRPr="00640447">
              <w:rPr>
                <w:bCs/>
                <w:sz w:val="13"/>
                <w:szCs w:val="13"/>
              </w:rPr>
              <w:br/>
              <w:t>п/п</w:t>
            </w:r>
          </w:p>
        </w:tc>
        <w:tc>
          <w:tcPr>
            <w:tcW w:w="616" w:type="pct"/>
            <w:vMerge w:val="restart"/>
            <w:shd w:val="clear" w:color="auto" w:fill="auto"/>
            <w:vAlign w:val="center"/>
            <w:hideMark/>
          </w:tcPr>
          <w:p w14:paraId="51717A0B" w14:textId="77777777" w:rsidR="004A0123" w:rsidRPr="00640447" w:rsidRDefault="004A0123" w:rsidP="008A5C11">
            <w:pPr>
              <w:jc w:val="center"/>
              <w:rPr>
                <w:bCs/>
                <w:sz w:val="13"/>
                <w:szCs w:val="13"/>
              </w:rPr>
            </w:pPr>
            <w:r w:rsidRPr="00640447">
              <w:rPr>
                <w:bCs/>
                <w:sz w:val="13"/>
                <w:szCs w:val="13"/>
              </w:rPr>
              <w:t>Наименование</w:t>
            </w:r>
            <w:r w:rsidRPr="00640447">
              <w:rPr>
                <w:bCs/>
                <w:sz w:val="13"/>
                <w:szCs w:val="13"/>
              </w:rPr>
              <w:br/>
              <w:t>мероприятий</w:t>
            </w:r>
          </w:p>
        </w:tc>
        <w:tc>
          <w:tcPr>
            <w:tcW w:w="359" w:type="pct"/>
            <w:vMerge w:val="restart"/>
            <w:shd w:val="clear" w:color="auto" w:fill="auto"/>
            <w:vAlign w:val="center"/>
            <w:hideMark/>
          </w:tcPr>
          <w:p w14:paraId="0963CE2B" w14:textId="77777777" w:rsidR="004A0123" w:rsidRPr="00640447" w:rsidRDefault="004A0123" w:rsidP="008A5C11">
            <w:pPr>
              <w:jc w:val="center"/>
              <w:rPr>
                <w:bCs/>
                <w:sz w:val="13"/>
                <w:szCs w:val="13"/>
              </w:rPr>
            </w:pPr>
            <w:r w:rsidRPr="00640447">
              <w:rPr>
                <w:bCs/>
                <w:sz w:val="13"/>
                <w:szCs w:val="13"/>
              </w:rPr>
              <w:t>Обоснование необходимости (цель реализации)</w:t>
            </w:r>
          </w:p>
        </w:tc>
        <w:tc>
          <w:tcPr>
            <w:tcW w:w="360" w:type="pct"/>
            <w:vMerge w:val="restart"/>
            <w:shd w:val="clear" w:color="auto" w:fill="auto"/>
            <w:vAlign w:val="center"/>
            <w:hideMark/>
          </w:tcPr>
          <w:p w14:paraId="54E8F6C0" w14:textId="77777777" w:rsidR="004A0123" w:rsidRPr="00640447" w:rsidRDefault="004A0123" w:rsidP="008A5C11">
            <w:pPr>
              <w:jc w:val="center"/>
              <w:rPr>
                <w:bCs/>
                <w:sz w:val="13"/>
                <w:szCs w:val="13"/>
              </w:rPr>
            </w:pPr>
            <w:r w:rsidRPr="00640447">
              <w:rPr>
                <w:bCs/>
                <w:sz w:val="13"/>
                <w:szCs w:val="13"/>
              </w:rPr>
              <w:t>Описание и место расположения</w:t>
            </w:r>
            <w:r w:rsidRPr="00640447">
              <w:rPr>
                <w:bCs/>
                <w:sz w:val="13"/>
                <w:szCs w:val="13"/>
              </w:rPr>
              <w:br/>
              <w:t>объекта</w:t>
            </w:r>
          </w:p>
        </w:tc>
        <w:tc>
          <w:tcPr>
            <w:tcW w:w="810" w:type="pct"/>
            <w:gridSpan w:val="4"/>
            <w:shd w:val="clear" w:color="auto" w:fill="auto"/>
            <w:vAlign w:val="center"/>
            <w:hideMark/>
          </w:tcPr>
          <w:p w14:paraId="084F0742" w14:textId="77777777" w:rsidR="004A0123" w:rsidRPr="00640447" w:rsidRDefault="004A0123" w:rsidP="008A5C11">
            <w:pPr>
              <w:jc w:val="center"/>
              <w:rPr>
                <w:bCs/>
                <w:sz w:val="13"/>
                <w:szCs w:val="13"/>
              </w:rPr>
            </w:pPr>
            <w:r w:rsidRPr="00640447">
              <w:rPr>
                <w:bCs/>
                <w:sz w:val="13"/>
                <w:szCs w:val="13"/>
              </w:rPr>
              <w:t>Основные технические характеристики</w:t>
            </w:r>
          </w:p>
        </w:tc>
        <w:tc>
          <w:tcPr>
            <w:tcW w:w="189" w:type="pct"/>
            <w:vMerge w:val="restart"/>
            <w:shd w:val="clear" w:color="auto" w:fill="auto"/>
            <w:vAlign w:val="center"/>
            <w:hideMark/>
          </w:tcPr>
          <w:p w14:paraId="5AD62AD8" w14:textId="77777777" w:rsidR="004A0123" w:rsidRPr="00640447" w:rsidRDefault="004A0123" w:rsidP="008A5C11">
            <w:pPr>
              <w:ind w:left="-27"/>
              <w:jc w:val="center"/>
              <w:rPr>
                <w:bCs/>
                <w:sz w:val="13"/>
                <w:szCs w:val="13"/>
              </w:rPr>
            </w:pPr>
            <w:r w:rsidRPr="00640447">
              <w:rPr>
                <w:bCs/>
                <w:sz w:val="13"/>
                <w:szCs w:val="13"/>
              </w:rPr>
              <w:t xml:space="preserve">Год начала </w:t>
            </w:r>
            <w:proofErr w:type="gramStart"/>
            <w:r w:rsidRPr="00640447">
              <w:rPr>
                <w:bCs/>
                <w:sz w:val="13"/>
                <w:szCs w:val="13"/>
              </w:rPr>
              <w:t>реализа-ции</w:t>
            </w:r>
            <w:proofErr w:type="gramEnd"/>
            <w:r w:rsidRPr="00640447">
              <w:rPr>
                <w:bCs/>
                <w:sz w:val="13"/>
                <w:szCs w:val="13"/>
              </w:rPr>
              <w:t xml:space="preserve"> меропри-ятия</w:t>
            </w:r>
          </w:p>
        </w:tc>
        <w:tc>
          <w:tcPr>
            <w:tcW w:w="184" w:type="pct"/>
            <w:vMerge w:val="restart"/>
            <w:shd w:val="clear" w:color="auto" w:fill="auto"/>
            <w:vAlign w:val="center"/>
            <w:hideMark/>
          </w:tcPr>
          <w:p w14:paraId="65367F53" w14:textId="77777777" w:rsidR="004A0123" w:rsidRPr="00640447" w:rsidRDefault="004A0123" w:rsidP="008A5C11">
            <w:pPr>
              <w:ind w:left="-3"/>
              <w:jc w:val="center"/>
              <w:rPr>
                <w:bCs/>
                <w:sz w:val="13"/>
                <w:szCs w:val="13"/>
              </w:rPr>
            </w:pPr>
            <w:r w:rsidRPr="00640447">
              <w:rPr>
                <w:bCs/>
                <w:sz w:val="13"/>
                <w:szCs w:val="13"/>
              </w:rPr>
              <w:t xml:space="preserve">Год </w:t>
            </w:r>
            <w:proofErr w:type="gramStart"/>
            <w:r w:rsidRPr="00640447">
              <w:rPr>
                <w:bCs/>
                <w:sz w:val="13"/>
                <w:szCs w:val="13"/>
              </w:rPr>
              <w:t>оконча-ния</w:t>
            </w:r>
            <w:proofErr w:type="gramEnd"/>
            <w:r w:rsidRPr="00640447">
              <w:rPr>
                <w:bCs/>
                <w:sz w:val="13"/>
                <w:szCs w:val="13"/>
              </w:rPr>
              <w:t xml:space="preserve"> реализа-ции меропри-ятия</w:t>
            </w:r>
          </w:p>
        </w:tc>
        <w:tc>
          <w:tcPr>
            <w:tcW w:w="2336" w:type="pct"/>
            <w:gridSpan w:val="14"/>
            <w:vAlign w:val="center"/>
          </w:tcPr>
          <w:p w14:paraId="76BF91B4" w14:textId="77777777" w:rsidR="004A0123" w:rsidRPr="00640447" w:rsidRDefault="004A0123" w:rsidP="008A5C11">
            <w:pPr>
              <w:jc w:val="center"/>
              <w:rPr>
                <w:bCs/>
                <w:sz w:val="13"/>
                <w:szCs w:val="13"/>
              </w:rPr>
            </w:pPr>
            <w:r w:rsidRPr="00640447">
              <w:rPr>
                <w:bCs/>
                <w:sz w:val="13"/>
                <w:szCs w:val="13"/>
              </w:rPr>
              <w:t>Расходы на реализацию мероприятий в прогнозных ценах, тыс. руб. (с НДС)</w:t>
            </w:r>
          </w:p>
        </w:tc>
      </w:tr>
      <w:tr w:rsidR="004A0123" w:rsidRPr="00640447" w14:paraId="3814FF18" w14:textId="77777777" w:rsidTr="008A5C11">
        <w:trPr>
          <w:trHeight w:val="118"/>
        </w:trPr>
        <w:tc>
          <w:tcPr>
            <w:tcW w:w="146" w:type="pct"/>
            <w:vMerge/>
            <w:shd w:val="clear" w:color="auto" w:fill="auto"/>
            <w:vAlign w:val="center"/>
            <w:hideMark/>
          </w:tcPr>
          <w:p w14:paraId="3FE154BB" w14:textId="77777777" w:rsidR="004A0123" w:rsidRPr="00640447" w:rsidRDefault="004A0123" w:rsidP="008A5C11">
            <w:pPr>
              <w:rPr>
                <w:bCs/>
                <w:sz w:val="13"/>
                <w:szCs w:val="13"/>
              </w:rPr>
            </w:pPr>
          </w:p>
        </w:tc>
        <w:tc>
          <w:tcPr>
            <w:tcW w:w="616" w:type="pct"/>
            <w:vMerge/>
            <w:shd w:val="clear" w:color="auto" w:fill="auto"/>
            <w:vAlign w:val="center"/>
            <w:hideMark/>
          </w:tcPr>
          <w:p w14:paraId="427C4FEB" w14:textId="77777777" w:rsidR="004A0123" w:rsidRPr="00640447" w:rsidRDefault="004A0123" w:rsidP="008A5C11">
            <w:pPr>
              <w:rPr>
                <w:bCs/>
                <w:sz w:val="13"/>
                <w:szCs w:val="13"/>
              </w:rPr>
            </w:pPr>
          </w:p>
        </w:tc>
        <w:tc>
          <w:tcPr>
            <w:tcW w:w="359" w:type="pct"/>
            <w:vMerge/>
            <w:shd w:val="clear" w:color="auto" w:fill="auto"/>
            <w:vAlign w:val="center"/>
            <w:hideMark/>
          </w:tcPr>
          <w:p w14:paraId="3612B6E0" w14:textId="77777777" w:rsidR="004A0123" w:rsidRPr="00640447" w:rsidRDefault="004A0123" w:rsidP="008A5C11">
            <w:pPr>
              <w:rPr>
                <w:bCs/>
                <w:sz w:val="13"/>
                <w:szCs w:val="13"/>
              </w:rPr>
            </w:pPr>
          </w:p>
        </w:tc>
        <w:tc>
          <w:tcPr>
            <w:tcW w:w="360" w:type="pct"/>
            <w:vMerge/>
            <w:shd w:val="clear" w:color="auto" w:fill="auto"/>
            <w:vAlign w:val="center"/>
            <w:hideMark/>
          </w:tcPr>
          <w:p w14:paraId="06FE7450" w14:textId="77777777" w:rsidR="004A0123" w:rsidRPr="00640447" w:rsidRDefault="004A0123" w:rsidP="008A5C11">
            <w:pPr>
              <w:rPr>
                <w:bCs/>
                <w:sz w:val="13"/>
                <w:szCs w:val="13"/>
              </w:rPr>
            </w:pPr>
          </w:p>
        </w:tc>
        <w:tc>
          <w:tcPr>
            <w:tcW w:w="338" w:type="pct"/>
            <w:vMerge w:val="restart"/>
            <w:shd w:val="clear" w:color="auto" w:fill="auto"/>
            <w:vAlign w:val="center"/>
            <w:hideMark/>
          </w:tcPr>
          <w:p w14:paraId="6AC0D8BB" w14:textId="77777777" w:rsidR="004A0123" w:rsidRPr="00640447" w:rsidRDefault="004A0123" w:rsidP="008A5C11">
            <w:pPr>
              <w:jc w:val="center"/>
              <w:rPr>
                <w:bCs/>
                <w:sz w:val="13"/>
                <w:szCs w:val="13"/>
              </w:rPr>
            </w:pPr>
            <w:r w:rsidRPr="00640447">
              <w:rPr>
                <w:bCs/>
                <w:sz w:val="13"/>
                <w:szCs w:val="13"/>
              </w:rPr>
              <w:t xml:space="preserve">Наименование показателя (мощность, протяженность, диаметр </w:t>
            </w:r>
          </w:p>
          <w:p w14:paraId="03477C91" w14:textId="77777777" w:rsidR="004A0123" w:rsidRPr="00640447" w:rsidRDefault="004A0123" w:rsidP="008A5C11">
            <w:pPr>
              <w:jc w:val="center"/>
              <w:rPr>
                <w:bCs/>
                <w:sz w:val="13"/>
                <w:szCs w:val="13"/>
              </w:rPr>
            </w:pPr>
            <w:r w:rsidRPr="00640447">
              <w:rPr>
                <w:bCs/>
                <w:sz w:val="13"/>
                <w:szCs w:val="13"/>
              </w:rPr>
              <w:t>и т.п.)</w:t>
            </w:r>
          </w:p>
        </w:tc>
        <w:tc>
          <w:tcPr>
            <w:tcW w:w="116" w:type="pct"/>
            <w:vMerge w:val="restart"/>
            <w:shd w:val="clear" w:color="auto" w:fill="auto"/>
            <w:vAlign w:val="center"/>
            <w:hideMark/>
          </w:tcPr>
          <w:p w14:paraId="6882791A" w14:textId="77777777" w:rsidR="004A0123" w:rsidRPr="00640447" w:rsidRDefault="004A0123" w:rsidP="008A5C11">
            <w:pPr>
              <w:ind w:left="-108" w:right="-108"/>
              <w:jc w:val="center"/>
              <w:rPr>
                <w:bCs/>
                <w:sz w:val="13"/>
                <w:szCs w:val="13"/>
              </w:rPr>
            </w:pPr>
            <w:r w:rsidRPr="00640447">
              <w:rPr>
                <w:bCs/>
                <w:sz w:val="13"/>
                <w:szCs w:val="13"/>
              </w:rPr>
              <w:t>Ед.</w:t>
            </w:r>
            <w:r w:rsidRPr="00640447">
              <w:rPr>
                <w:bCs/>
                <w:sz w:val="13"/>
                <w:szCs w:val="13"/>
              </w:rPr>
              <w:br/>
              <w:t>изм.</w:t>
            </w:r>
          </w:p>
        </w:tc>
        <w:tc>
          <w:tcPr>
            <w:tcW w:w="356" w:type="pct"/>
            <w:gridSpan w:val="2"/>
            <w:shd w:val="clear" w:color="auto" w:fill="auto"/>
            <w:vAlign w:val="center"/>
            <w:hideMark/>
          </w:tcPr>
          <w:p w14:paraId="706CBDA6" w14:textId="77777777" w:rsidR="004A0123" w:rsidRPr="00640447" w:rsidRDefault="004A0123" w:rsidP="008A5C11">
            <w:pPr>
              <w:jc w:val="center"/>
              <w:rPr>
                <w:bCs/>
                <w:sz w:val="13"/>
                <w:szCs w:val="13"/>
              </w:rPr>
            </w:pPr>
            <w:r w:rsidRPr="00640447">
              <w:rPr>
                <w:bCs/>
                <w:sz w:val="13"/>
                <w:szCs w:val="13"/>
              </w:rPr>
              <w:t>Значение показателя</w:t>
            </w:r>
          </w:p>
        </w:tc>
        <w:tc>
          <w:tcPr>
            <w:tcW w:w="189" w:type="pct"/>
            <w:vMerge/>
            <w:shd w:val="clear" w:color="auto" w:fill="auto"/>
            <w:vAlign w:val="center"/>
            <w:hideMark/>
          </w:tcPr>
          <w:p w14:paraId="16B48D08" w14:textId="77777777" w:rsidR="004A0123" w:rsidRPr="00640447" w:rsidRDefault="004A0123" w:rsidP="008A5C11">
            <w:pPr>
              <w:rPr>
                <w:bCs/>
                <w:sz w:val="13"/>
                <w:szCs w:val="13"/>
              </w:rPr>
            </w:pPr>
          </w:p>
        </w:tc>
        <w:tc>
          <w:tcPr>
            <w:tcW w:w="184" w:type="pct"/>
            <w:vMerge/>
            <w:shd w:val="clear" w:color="auto" w:fill="auto"/>
            <w:vAlign w:val="center"/>
            <w:hideMark/>
          </w:tcPr>
          <w:p w14:paraId="27932BF9" w14:textId="77777777" w:rsidR="004A0123" w:rsidRPr="00640447" w:rsidRDefault="004A0123" w:rsidP="008A5C11">
            <w:pPr>
              <w:rPr>
                <w:bCs/>
                <w:sz w:val="13"/>
                <w:szCs w:val="13"/>
              </w:rPr>
            </w:pPr>
          </w:p>
        </w:tc>
        <w:tc>
          <w:tcPr>
            <w:tcW w:w="180" w:type="pct"/>
            <w:vMerge w:val="restart"/>
            <w:shd w:val="clear" w:color="auto" w:fill="auto"/>
            <w:vAlign w:val="center"/>
            <w:hideMark/>
          </w:tcPr>
          <w:p w14:paraId="540AAE8C" w14:textId="77777777" w:rsidR="004A0123" w:rsidRPr="00640447" w:rsidRDefault="004A0123" w:rsidP="008A5C11">
            <w:pPr>
              <w:jc w:val="center"/>
              <w:rPr>
                <w:bCs/>
                <w:sz w:val="13"/>
                <w:szCs w:val="13"/>
              </w:rPr>
            </w:pPr>
            <w:r w:rsidRPr="00640447">
              <w:rPr>
                <w:bCs/>
                <w:sz w:val="13"/>
                <w:szCs w:val="13"/>
              </w:rPr>
              <w:t>Всего</w:t>
            </w:r>
          </w:p>
        </w:tc>
        <w:tc>
          <w:tcPr>
            <w:tcW w:w="187" w:type="pct"/>
            <w:vMerge w:val="restart"/>
            <w:shd w:val="clear" w:color="auto" w:fill="auto"/>
            <w:vAlign w:val="center"/>
            <w:hideMark/>
          </w:tcPr>
          <w:p w14:paraId="38D70874" w14:textId="77777777" w:rsidR="004A0123" w:rsidRPr="00640447" w:rsidRDefault="004A0123" w:rsidP="008A5C11">
            <w:pPr>
              <w:jc w:val="center"/>
              <w:rPr>
                <w:bCs/>
                <w:sz w:val="13"/>
                <w:szCs w:val="13"/>
              </w:rPr>
            </w:pPr>
            <w:r w:rsidRPr="00640447">
              <w:rPr>
                <w:bCs/>
                <w:sz w:val="13"/>
                <w:szCs w:val="13"/>
              </w:rPr>
              <w:t xml:space="preserve">Профи-нанси-ровано </w:t>
            </w:r>
          </w:p>
          <w:p w14:paraId="2C6C0A95" w14:textId="77777777" w:rsidR="004A0123" w:rsidRPr="00640447" w:rsidRDefault="004A0123" w:rsidP="008A5C11">
            <w:pPr>
              <w:jc w:val="center"/>
              <w:rPr>
                <w:bCs/>
                <w:sz w:val="13"/>
                <w:szCs w:val="13"/>
              </w:rPr>
            </w:pPr>
            <w:r w:rsidRPr="00640447">
              <w:rPr>
                <w:bCs/>
                <w:sz w:val="13"/>
                <w:szCs w:val="13"/>
              </w:rPr>
              <w:t>к 2019</w:t>
            </w:r>
          </w:p>
        </w:tc>
        <w:tc>
          <w:tcPr>
            <w:tcW w:w="1599" w:type="pct"/>
            <w:gridSpan w:val="10"/>
            <w:shd w:val="clear" w:color="auto" w:fill="auto"/>
            <w:vAlign w:val="center"/>
            <w:hideMark/>
          </w:tcPr>
          <w:p w14:paraId="47DEB1B2" w14:textId="77777777" w:rsidR="004A0123" w:rsidRPr="00640447" w:rsidRDefault="004A0123" w:rsidP="008A5C11">
            <w:pPr>
              <w:jc w:val="center"/>
              <w:rPr>
                <w:bCs/>
                <w:sz w:val="13"/>
                <w:szCs w:val="13"/>
              </w:rPr>
            </w:pPr>
            <w:r w:rsidRPr="00640447">
              <w:rPr>
                <w:bCs/>
                <w:sz w:val="13"/>
                <w:szCs w:val="13"/>
              </w:rPr>
              <w:t>в т.ч. по годам</w:t>
            </w:r>
          </w:p>
        </w:tc>
        <w:tc>
          <w:tcPr>
            <w:tcW w:w="188" w:type="pct"/>
            <w:vMerge w:val="restart"/>
          </w:tcPr>
          <w:p w14:paraId="4553E303" w14:textId="77777777" w:rsidR="004A0123" w:rsidRPr="00640447" w:rsidRDefault="004A0123" w:rsidP="008A5C11">
            <w:pPr>
              <w:jc w:val="center"/>
              <w:rPr>
                <w:sz w:val="13"/>
                <w:szCs w:val="13"/>
              </w:rPr>
            </w:pPr>
          </w:p>
          <w:p w14:paraId="3E38D2C4" w14:textId="77777777" w:rsidR="004A0123" w:rsidRPr="00640447" w:rsidRDefault="004A0123" w:rsidP="008A5C11">
            <w:pPr>
              <w:jc w:val="center"/>
              <w:rPr>
                <w:sz w:val="13"/>
                <w:szCs w:val="13"/>
              </w:rPr>
            </w:pPr>
            <w:r w:rsidRPr="00640447">
              <w:rPr>
                <w:sz w:val="13"/>
                <w:szCs w:val="13"/>
              </w:rPr>
              <w:t>Остаток финан-сирова-ния</w:t>
            </w:r>
          </w:p>
        </w:tc>
        <w:tc>
          <w:tcPr>
            <w:tcW w:w="182" w:type="pct"/>
            <w:vMerge w:val="restart"/>
          </w:tcPr>
          <w:p w14:paraId="24FA7987" w14:textId="77777777" w:rsidR="004A0123" w:rsidRPr="00640447" w:rsidRDefault="004A0123" w:rsidP="008A5C11">
            <w:pPr>
              <w:jc w:val="center"/>
              <w:rPr>
                <w:bCs/>
                <w:sz w:val="13"/>
                <w:szCs w:val="13"/>
              </w:rPr>
            </w:pPr>
            <w:r w:rsidRPr="00640447">
              <w:rPr>
                <w:bCs/>
                <w:sz w:val="13"/>
                <w:szCs w:val="13"/>
              </w:rPr>
              <w:t>в т.</w:t>
            </w:r>
            <w:r w:rsidRPr="00640447">
              <w:rPr>
                <w:sz w:val="13"/>
                <w:szCs w:val="13"/>
              </w:rPr>
              <w:t xml:space="preserve">ч. за счет платы за </w:t>
            </w:r>
            <w:proofErr w:type="gramStart"/>
            <w:r w:rsidRPr="00640447">
              <w:rPr>
                <w:sz w:val="13"/>
                <w:szCs w:val="13"/>
              </w:rPr>
              <w:t>подклю-чение</w:t>
            </w:r>
            <w:proofErr w:type="gramEnd"/>
          </w:p>
        </w:tc>
      </w:tr>
      <w:tr w:rsidR="004A0123" w:rsidRPr="00640447" w14:paraId="46E0020E" w14:textId="77777777" w:rsidTr="008A5C11">
        <w:trPr>
          <w:trHeight w:val="519"/>
        </w:trPr>
        <w:tc>
          <w:tcPr>
            <w:tcW w:w="146" w:type="pct"/>
            <w:vMerge/>
            <w:shd w:val="clear" w:color="auto" w:fill="auto"/>
            <w:vAlign w:val="center"/>
            <w:hideMark/>
          </w:tcPr>
          <w:p w14:paraId="188B0766" w14:textId="77777777" w:rsidR="004A0123" w:rsidRPr="00640447" w:rsidRDefault="004A0123" w:rsidP="008A5C11">
            <w:pPr>
              <w:rPr>
                <w:bCs/>
                <w:sz w:val="13"/>
                <w:szCs w:val="13"/>
              </w:rPr>
            </w:pPr>
          </w:p>
        </w:tc>
        <w:tc>
          <w:tcPr>
            <w:tcW w:w="616" w:type="pct"/>
            <w:vMerge/>
            <w:shd w:val="clear" w:color="auto" w:fill="auto"/>
            <w:vAlign w:val="center"/>
            <w:hideMark/>
          </w:tcPr>
          <w:p w14:paraId="28A79911" w14:textId="77777777" w:rsidR="004A0123" w:rsidRPr="00640447" w:rsidRDefault="004A0123" w:rsidP="008A5C11">
            <w:pPr>
              <w:rPr>
                <w:bCs/>
                <w:sz w:val="13"/>
                <w:szCs w:val="13"/>
              </w:rPr>
            </w:pPr>
          </w:p>
        </w:tc>
        <w:tc>
          <w:tcPr>
            <w:tcW w:w="359" w:type="pct"/>
            <w:vMerge/>
            <w:shd w:val="clear" w:color="auto" w:fill="auto"/>
            <w:vAlign w:val="center"/>
            <w:hideMark/>
          </w:tcPr>
          <w:p w14:paraId="40A7DFD1" w14:textId="77777777" w:rsidR="004A0123" w:rsidRPr="00640447" w:rsidRDefault="004A0123" w:rsidP="008A5C11">
            <w:pPr>
              <w:rPr>
                <w:bCs/>
                <w:sz w:val="13"/>
                <w:szCs w:val="13"/>
              </w:rPr>
            </w:pPr>
          </w:p>
        </w:tc>
        <w:tc>
          <w:tcPr>
            <w:tcW w:w="360" w:type="pct"/>
            <w:vMerge/>
            <w:shd w:val="clear" w:color="auto" w:fill="auto"/>
            <w:vAlign w:val="center"/>
            <w:hideMark/>
          </w:tcPr>
          <w:p w14:paraId="03422913" w14:textId="77777777" w:rsidR="004A0123" w:rsidRPr="00640447" w:rsidRDefault="004A0123" w:rsidP="008A5C11">
            <w:pPr>
              <w:rPr>
                <w:bCs/>
                <w:sz w:val="13"/>
                <w:szCs w:val="13"/>
              </w:rPr>
            </w:pPr>
          </w:p>
        </w:tc>
        <w:tc>
          <w:tcPr>
            <w:tcW w:w="338" w:type="pct"/>
            <w:vMerge/>
            <w:shd w:val="clear" w:color="auto" w:fill="auto"/>
            <w:vAlign w:val="center"/>
            <w:hideMark/>
          </w:tcPr>
          <w:p w14:paraId="1C2E70B5" w14:textId="77777777" w:rsidR="004A0123" w:rsidRPr="00640447" w:rsidRDefault="004A0123" w:rsidP="008A5C11">
            <w:pPr>
              <w:rPr>
                <w:bCs/>
                <w:sz w:val="13"/>
                <w:szCs w:val="13"/>
              </w:rPr>
            </w:pPr>
          </w:p>
        </w:tc>
        <w:tc>
          <w:tcPr>
            <w:tcW w:w="116" w:type="pct"/>
            <w:vMerge/>
            <w:shd w:val="clear" w:color="auto" w:fill="auto"/>
            <w:vAlign w:val="center"/>
            <w:hideMark/>
          </w:tcPr>
          <w:p w14:paraId="3CA68914" w14:textId="77777777" w:rsidR="004A0123" w:rsidRPr="00640447" w:rsidRDefault="004A0123" w:rsidP="008A5C11">
            <w:pPr>
              <w:rPr>
                <w:bCs/>
                <w:sz w:val="13"/>
                <w:szCs w:val="13"/>
              </w:rPr>
            </w:pPr>
          </w:p>
        </w:tc>
        <w:tc>
          <w:tcPr>
            <w:tcW w:w="182" w:type="pct"/>
            <w:shd w:val="clear" w:color="auto" w:fill="auto"/>
            <w:vAlign w:val="center"/>
            <w:hideMark/>
          </w:tcPr>
          <w:p w14:paraId="5BE58D05" w14:textId="77777777" w:rsidR="004A0123" w:rsidRPr="00640447" w:rsidRDefault="004A0123" w:rsidP="008A5C11">
            <w:pPr>
              <w:jc w:val="center"/>
              <w:rPr>
                <w:bCs/>
                <w:sz w:val="13"/>
                <w:szCs w:val="13"/>
              </w:rPr>
            </w:pPr>
            <w:r w:rsidRPr="00640447">
              <w:rPr>
                <w:bCs/>
                <w:sz w:val="13"/>
                <w:szCs w:val="13"/>
              </w:rPr>
              <w:t xml:space="preserve">до </w:t>
            </w:r>
            <w:proofErr w:type="gramStart"/>
            <w:r w:rsidRPr="00640447">
              <w:rPr>
                <w:bCs/>
                <w:sz w:val="13"/>
                <w:szCs w:val="13"/>
              </w:rPr>
              <w:t>реа-лизации</w:t>
            </w:r>
            <w:proofErr w:type="gramEnd"/>
            <w:r w:rsidRPr="00640447">
              <w:rPr>
                <w:bCs/>
                <w:sz w:val="13"/>
                <w:szCs w:val="13"/>
              </w:rPr>
              <w:t xml:space="preserve"> меро-приятия</w:t>
            </w:r>
          </w:p>
        </w:tc>
        <w:tc>
          <w:tcPr>
            <w:tcW w:w="174" w:type="pct"/>
            <w:shd w:val="clear" w:color="auto" w:fill="auto"/>
            <w:vAlign w:val="center"/>
            <w:hideMark/>
          </w:tcPr>
          <w:p w14:paraId="105FE0F8" w14:textId="77777777" w:rsidR="004A0123" w:rsidRPr="00640447" w:rsidRDefault="004A0123" w:rsidP="008A5C11">
            <w:pPr>
              <w:jc w:val="center"/>
              <w:rPr>
                <w:bCs/>
                <w:sz w:val="13"/>
                <w:szCs w:val="13"/>
              </w:rPr>
            </w:pPr>
            <w:r w:rsidRPr="00640447">
              <w:rPr>
                <w:bCs/>
                <w:sz w:val="13"/>
                <w:szCs w:val="13"/>
              </w:rPr>
              <w:t xml:space="preserve">после </w:t>
            </w:r>
            <w:proofErr w:type="gramStart"/>
            <w:r w:rsidRPr="00640447">
              <w:rPr>
                <w:bCs/>
                <w:sz w:val="13"/>
                <w:szCs w:val="13"/>
              </w:rPr>
              <w:t>реали-зации</w:t>
            </w:r>
            <w:proofErr w:type="gramEnd"/>
            <w:r w:rsidRPr="00640447">
              <w:rPr>
                <w:bCs/>
                <w:sz w:val="13"/>
                <w:szCs w:val="13"/>
              </w:rPr>
              <w:t xml:space="preserve"> меро-приятия</w:t>
            </w:r>
          </w:p>
        </w:tc>
        <w:tc>
          <w:tcPr>
            <w:tcW w:w="189" w:type="pct"/>
            <w:vMerge/>
            <w:shd w:val="clear" w:color="auto" w:fill="auto"/>
            <w:vAlign w:val="center"/>
            <w:hideMark/>
          </w:tcPr>
          <w:p w14:paraId="49465000" w14:textId="77777777" w:rsidR="004A0123" w:rsidRPr="00640447" w:rsidRDefault="004A0123" w:rsidP="008A5C11">
            <w:pPr>
              <w:rPr>
                <w:bCs/>
                <w:sz w:val="13"/>
                <w:szCs w:val="13"/>
              </w:rPr>
            </w:pPr>
          </w:p>
        </w:tc>
        <w:tc>
          <w:tcPr>
            <w:tcW w:w="184" w:type="pct"/>
            <w:vMerge/>
            <w:shd w:val="clear" w:color="auto" w:fill="auto"/>
            <w:vAlign w:val="center"/>
            <w:hideMark/>
          </w:tcPr>
          <w:p w14:paraId="2977FBE6" w14:textId="77777777" w:rsidR="004A0123" w:rsidRPr="00640447" w:rsidRDefault="004A0123" w:rsidP="008A5C11">
            <w:pPr>
              <w:rPr>
                <w:bCs/>
                <w:sz w:val="13"/>
                <w:szCs w:val="13"/>
              </w:rPr>
            </w:pPr>
          </w:p>
        </w:tc>
        <w:tc>
          <w:tcPr>
            <w:tcW w:w="180" w:type="pct"/>
            <w:vMerge/>
            <w:shd w:val="clear" w:color="auto" w:fill="auto"/>
            <w:vAlign w:val="center"/>
            <w:hideMark/>
          </w:tcPr>
          <w:p w14:paraId="7B076F9B" w14:textId="77777777" w:rsidR="004A0123" w:rsidRPr="00640447" w:rsidRDefault="004A0123" w:rsidP="008A5C11">
            <w:pPr>
              <w:rPr>
                <w:bCs/>
                <w:sz w:val="13"/>
                <w:szCs w:val="13"/>
              </w:rPr>
            </w:pPr>
          </w:p>
        </w:tc>
        <w:tc>
          <w:tcPr>
            <w:tcW w:w="187" w:type="pct"/>
            <w:vMerge/>
            <w:shd w:val="clear" w:color="auto" w:fill="auto"/>
            <w:vAlign w:val="center"/>
            <w:hideMark/>
          </w:tcPr>
          <w:p w14:paraId="67519155" w14:textId="77777777" w:rsidR="004A0123" w:rsidRPr="00640447" w:rsidRDefault="004A0123" w:rsidP="008A5C11">
            <w:pPr>
              <w:rPr>
                <w:bCs/>
                <w:sz w:val="13"/>
                <w:szCs w:val="13"/>
              </w:rPr>
            </w:pPr>
          </w:p>
        </w:tc>
        <w:tc>
          <w:tcPr>
            <w:tcW w:w="146" w:type="pct"/>
            <w:shd w:val="clear" w:color="auto" w:fill="auto"/>
            <w:vAlign w:val="center"/>
            <w:hideMark/>
          </w:tcPr>
          <w:p w14:paraId="3F4145D1" w14:textId="77777777" w:rsidR="004A0123" w:rsidRPr="00640447" w:rsidRDefault="004A0123" w:rsidP="008A5C11">
            <w:pPr>
              <w:jc w:val="center"/>
              <w:rPr>
                <w:bCs/>
                <w:sz w:val="13"/>
                <w:szCs w:val="13"/>
              </w:rPr>
            </w:pPr>
            <w:r w:rsidRPr="00640447">
              <w:rPr>
                <w:bCs/>
                <w:sz w:val="13"/>
                <w:szCs w:val="13"/>
              </w:rPr>
              <w:t>2019</w:t>
            </w:r>
          </w:p>
        </w:tc>
        <w:tc>
          <w:tcPr>
            <w:tcW w:w="149" w:type="pct"/>
            <w:shd w:val="clear" w:color="auto" w:fill="auto"/>
            <w:vAlign w:val="center"/>
            <w:hideMark/>
          </w:tcPr>
          <w:p w14:paraId="462037E5" w14:textId="77777777" w:rsidR="004A0123" w:rsidRPr="00640447" w:rsidRDefault="004A0123" w:rsidP="008A5C11">
            <w:pPr>
              <w:jc w:val="center"/>
              <w:rPr>
                <w:bCs/>
                <w:sz w:val="13"/>
                <w:szCs w:val="13"/>
              </w:rPr>
            </w:pPr>
            <w:r w:rsidRPr="00640447">
              <w:rPr>
                <w:bCs/>
                <w:sz w:val="13"/>
                <w:szCs w:val="13"/>
              </w:rPr>
              <w:t>2020</w:t>
            </w:r>
          </w:p>
        </w:tc>
        <w:tc>
          <w:tcPr>
            <w:tcW w:w="183" w:type="pct"/>
            <w:shd w:val="clear" w:color="auto" w:fill="auto"/>
            <w:vAlign w:val="center"/>
            <w:hideMark/>
          </w:tcPr>
          <w:p w14:paraId="5D0D2548" w14:textId="77777777" w:rsidR="004A0123" w:rsidRPr="00640447" w:rsidRDefault="004A0123" w:rsidP="008A5C11">
            <w:pPr>
              <w:jc w:val="center"/>
              <w:rPr>
                <w:bCs/>
                <w:sz w:val="13"/>
                <w:szCs w:val="13"/>
              </w:rPr>
            </w:pPr>
            <w:r w:rsidRPr="00640447">
              <w:rPr>
                <w:bCs/>
                <w:sz w:val="13"/>
                <w:szCs w:val="13"/>
              </w:rPr>
              <w:t>2021</w:t>
            </w:r>
          </w:p>
        </w:tc>
        <w:tc>
          <w:tcPr>
            <w:tcW w:w="183" w:type="pct"/>
            <w:vAlign w:val="center"/>
          </w:tcPr>
          <w:p w14:paraId="5C5C13DF" w14:textId="77777777" w:rsidR="004A0123" w:rsidRPr="00640447" w:rsidRDefault="004A0123" w:rsidP="008A5C11">
            <w:pPr>
              <w:jc w:val="center"/>
              <w:rPr>
                <w:bCs/>
                <w:sz w:val="13"/>
                <w:szCs w:val="13"/>
              </w:rPr>
            </w:pPr>
            <w:r w:rsidRPr="00640447">
              <w:rPr>
                <w:bCs/>
                <w:sz w:val="13"/>
                <w:szCs w:val="13"/>
              </w:rPr>
              <w:t>2022</w:t>
            </w:r>
          </w:p>
        </w:tc>
        <w:tc>
          <w:tcPr>
            <w:tcW w:w="155" w:type="pct"/>
            <w:vAlign w:val="center"/>
          </w:tcPr>
          <w:p w14:paraId="53732E3F" w14:textId="77777777" w:rsidR="004A0123" w:rsidRPr="00640447" w:rsidRDefault="004A0123" w:rsidP="008A5C11">
            <w:pPr>
              <w:jc w:val="center"/>
              <w:rPr>
                <w:bCs/>
                <w:sz w:val="13"/>
                <w:szCs w:val="13"/>
              </w:rPr>
            </w:pPr>
            <w:r w:rsidRPr="00640447">
              <w:rPr>
                <w:bCs/>
                <w:sz w:val="13"/>
                <w:szCs w:val="13"/>
              </w:rPr>
              <w:t>2023</w:t>
            </w:r>
          </w:p>
        </w:tc>
        <w:tc>
          <w:tcPr>
            <w:tcW w:w="154" w:type="pct"/>
            <w:vAlign w:val="center"/>
          </w:tcPr>
          <w:p w14:paraId="04C217BC" w14:textId="77777777" w:rsidR="004A0123" w:rsidRPr="00640447" w:rsidRDefault="004A0123" w:rsidP="008A5C11">
            <w:pPr>
              <w:jc w:val="center"/>
              <w:rPr>
                <w:bCs/>
                <w:sz w:val="13"/>
                <w:szCs w:val="13"/>
              </w:rPr>
            </w:pPr>
            <w:r w:rsidRPr="00640447">
              <w:rPr>
                <w:bCs/>
                <w:sz w:val="13"/>
                <w:szCs w:val="13"/>
              </w:rPr>
              <w:t>2024</w:t>
            </w:r>
          </w:p>
        </w:tc>
        <w:tc>
          <w:tcPr>
            <w:tcW w:w="153" w:type="pct"/>
            <w:vAlign w:val="center"/>
          </w:tcPr>
          <w:p w14:paraId="2515298B" w14:textId="77777777" w:rsidR="004A0123" w:rsidRPr="00640447" w:rsidRDefault="004A0123" w:rsidP="008A5C11">
            <w:pPr>
              <w:jc w:val="center"/>
              <w:rPr>
                <w:bCs/>
                <w:sz w:val="13"/>
                <w:szCs w:val="13"/>
              </w:rPr>
            </w:pPr>
            <w:r w:rsidRPr="00640447">
              <w:rPr>
                <w:bCs/>
                <w:sz w:val="13"/>
                <w:szCs w:val="13"/>
              </w:rPr>
              <w:t>2025</w:t>
            </w:r>
          </w:p>
        </w:tc>
        <w:tc>
          <w:tcPr>
            <w:tcW w:w="174" w:type="pct"/>
            <w:vAlign w:val="center"/>
          </w:tcPr>
          <w:p w14:paraId="37E76D59" w14:textId="77777777" w:rsidR="004A0123" w:rsidRPr="00640447" w:rsidRDefault="004A0123" w:rsidP="008A5C11">
            <w:pPr>
              <w:jc w:val="center"/>
              <w:rPr>
                <w:bCs/>
                <w:sz w:val="13"/>
                <w:szCs w:val="13"/>
              </w:rPr>
            </w:pPr>
            <w:r w:rsidRPr="00640447">
              <w:rPr>
                <w:bCs/>
                <w:sz w:val="13"/>
                <w:szCs w:val="13"/>
              </w:rPr>
              <w:t>2026</w:t>
            </w:r>
          </w:p>
        </w:tc>
        <w:tc>
          <w:tcPr>
            <w:tcW w:w="156" w:type="pct"/>
            <w:vAlign w:val="center"/>
          </w:tcPr>
          <w:p w14:paraId="445ABD7B" w14:textId="77777777" w:rsidR="004A0123" w:rsidRPr="00640447" w:rsidRDefault="004A0123" w:rsidP="008A5C11">
            <w:pPr>
              <w:jc w:val="center"/>
              <w:rPr>
                <w:bCs/>
                <w:sz w:val="13"/>
                <w:szCs w:val="13"/>
              </w:rPr>
            </w:pPr>
            <w:r w:rsidRPr="00640447">
              <w:rPr>
                <w:bCs/>
                <w:sz w:val="13"/>
                <w:szCs w:val="13"/>
              </w:rPr>
              <w:t>2027</w:t>
            </w:r>
          </w:p>
        </w:tc>
        <w:tc>
          <w:tcPr>
            <w:tcW w:w="146" w:type="pct"/>
            <w:vAlign w:val="center"/>
          </w:tcPr>
          <w:p w14:paraId="682402D4" w14:textId="77777777" w:rsidR="004A0123" w:rsidRPr="00640447" w:rsidRDefault="004A0123" w:rsidP="008A5C11">
            <w:pPr>
              <w:jc w:val="center"/>
              <w:rPr>
                <w:bCs/>
                <w:sz w:val="13"/>
                <w:szCs w:val="13"/>
              </w:rPr>
            </w:pPr>
            <w:r w:rsidRPr="00640447">
              <w:rPr>
                <w:bCs/>
                <w:sz w:val="13"/>
                <w:szCs w:val="13"/>
              </w:rPr>
              <w:t>2028</w:t>
            </w:r>
          </w:p>
        </w:tc>
        <w:tc>
          <w:tcPr>
            <w:tcW w:w="188" w:type="pct"/>
            <w:vMerge/>
          </w:tcPr>
          <w:p w14:paraId="488D757A" w14:textId="77777777" w:rsidR="004A0123" w:rsidRPr="00640447" w:rsidRDefault="004A0123" w:rsidP="008A5C11">
            <w:pPr>
              <w:rPr>
                <w:bCs/>
                <w:sz w:val="13"/>
                <w:szCs w:val="13"/>
              </w:rPr>
            </w:pPr>
          </w:p>
        </w:tc>
        <w:tc>
          <w:tcPr>
            <w:tcW w:w="182" w:type="pct"/>
            <w:vMerge/>
          </w:tcPr>
          <w:p w14:paraId="75E0A9D3" w14:textId="77777777" w:rsidR="004A0123" w:rsidRPr="00640447" w:rsidRDefault="004A0123" w:rsidP="008A5C11">
            <w:pPr>
              <w:rPr>
                <w:bCs/>
                <w:sz w:val="13"/>
                <w:szCs w:val="13"/>
              </w:rPr>
            </w:pPr>
          </w:p>
        </w:tc>
      </w:tr>
      <w:tr w:rsidR="004A0123" w:rsidRPr="00640447" w14:paraId="657F9284" w14:textId="77777777" w:rsidTr="008A5C11">
        <w:trPr>
          <w:trHeight w:val="110"/>
        </w:trPr>
        <w:tc>
          <w:tcPr>
            <w:tcW w:w="146" w:type="pct"/>
            <w:shd w:val="clear" w:color="auto" w:fill="auto"/>
            <w:vAlign w:val="center"/>
          </w:tcPr>
          <w:p w14:paraId="1ABBBD69" w14:textId="77777777" w:rsidR="004A0123" w:rsidRPr="00640447" w:rsidRDefault="004A0123" w:rsidP="008A5C11">
            <w:pPr>
              <w:jc w:val="center"/>
              <w:rPr>
                <w:bCs/>
                <w:sz w:val="13"/>
                <w:szCs w:val="13"/>
              </w:rPr>
            </w:pPr>
            <w:r w:rsidRPr="00640447">
              <w:rPr>
                <w:bCs/>
                <w:sz w:val="13"/>
                <w:szCs w:val="13"/>
              </w:rPr>
              <w:t>1</w:t>
            </w:r>
          </w:p>
        </w:tc>
        <w:tc>
          <w:tcPr>
            <w:tcW w:w="616" w:type="pct"/>
            <w:shd w:val="clear" w:color="auto" w:fill="auto"/>
            <w:vAlign w:val="center"/>
          </w:tcPr>
          <w:p w14:paraId="2F5E3552" w14:textId="77777777" w:rsidR="004A0123" w:rsidRPr="00640447" w:rsidRDefault="004A0123" w:rsidP="008A5C11">
            <w:pPr>
              <w:jc w:val="center"/>
              <w:rPr>
                <w:bCs/>
                <w:sz w:val="13"/>
                <w:szCs w:val="13"/>
              </w:rPr>
            </w:pPr>
            <w:r w:rsidRPr="00640447">
              <w:rPr>
                <w:bCs/>
                <w:sz w:val="13"/>
                <w:szCs w:val="13"/>
              </w:rPr>
              <w:t>2</w:t>
            </w:r>
          </w:p>
        </w:tc>
        <w:tc>
          <w:tcPr>
            <w:tcW w:w="359" w:type="pct"/>
            <w:shd w:val="clear" w:color="auto" w:fill="auto"/>
            <w:vAlign w:val="center"/>
          </w:tcPr>
          <w:p w14:paraId="4C304BE7" w14:textId="77777777" w:rsidR="004A0123" w:rsidRPr="00640447" w:rsidRDefault="004A0123" w:rsidP="008A5C11">
            <w:pPr>
              <w:jc w:val="center"/>
              <w:rPr>
                <w:bCs/>
                <w:sz w:val="13"/>
                <w:szCs w:val="13"/>
              </w:rPr>
            </w:pPr>
            <w:r w:rsidRPr="00640447">
              <w:rPr>
                <w:bCs/>
                <w:sz w:val="13"/>
                <w:szCs w:val="13"/>
              </w:rPr>
              <w:t>3</w:t>
            </w:r>
          </w:p>
        </w:tc>
        <w:tc>
          <w:tcPr>
            <w:tcW w:w="360" w:type="pct"/>
            <w:shd w:val="clear" w:color="auto" w:fill="auto"/>
            <w:vAlign w:val="center"/>
          </w:tcPr>
          <w:p w14:paraId="73DCB0D6" w14:textId="77777777" w:rsidR="004A0123" w:rsidRPr="00640447" w:rsidRDefault="004A0123" w:rsidP="008A5C11">
            <w:pPr>
              <w:jc w:val="center"/>
              <w:rPr>
                <w:bCs/>
                <w:sz w:val="13"/>
                <w:szCs w:val="13"/>
              </w:rPr>
            </w:pPr>
            <w:r w:rsidRPr="00640447">
              <w:rPr>
                <w:bCs/>
                <w:sz w:val="13"/>
                <w:szCs w:val="13"/>
              </w:rPr>
              <w:t>4</w:t>
            </w:r>
          </w:p>
        </w:tc>
        <w:tc>
          <w:tcPr>
            <w:tcW w:w="338" w:type="pct"/>
            <w:shd w:val="clear" w:color="auto" w:fill="auto"/>
            <w:vAlign w:val="center"/>
          </w:tcPr>
          <w:p w14:paraId="7478EC5D" w14:textId="77777777" w:rsidR="004A0123" w:rsidRPr="00640447" w:rsidRDefault="004A0123" w:rsidP="008A5C11">
            <w:pPr>
              <w:jc w:val="center"/>
              <w:rPr>
                <w:bCs/>
                <w:sz w:val="13"/>
                <w:szCs w:val="13"/>
              </w:rPr>
            </w:pPr>
            <w:r w:rsidRPr="00640447">
              <w:rPr>
                <w:bCs/>
                <w:sz w:val="13"/>
                <w:szCs w:val="13"/>
              </w:rPr>
              <w:t>5</w:t>
            </w:r>
          </w:p>
        </w:tc>
        <w:tc>
          <w:tcPr>
            <w:tcW w:w="116" w:type="pct"/>
            <w:shd w:val="clear" w:color="auto" w:fill="auto"/>
            <w:vAlign w:val="center"/>
          </w:tcPr>
          <w:p w14:paraId="5E1097E8" w14:textId="77777777" w:rsidR="004A0123" w:rsidRPr="00640447" w:rsidRDefault="004A0123" w:rsidP="008A5C11">
            <w:pPr>
              <w:jc w:val="center"/>
              <w:rPr>
                <w:bCs/>
                <w:sz w:val="13"/>
                <w:szCs w:val="13"/>
              </w:rPr>
            </w:pPr>
            <w:r w:rsidRPr="00640447">
              <w:rPr>
                <w:bCs/>
                <w:sz w:val="13"/>
                <w:szCs w:val="13"/>
              </w:rPr>
              <w:t>6</w:t>
            </w:r>
          </w:p>
        </w:tc>
        <w:tc>
          <w:tcPr>
            <w:tcW w:w="182" w:type="pct"/>
            <w:shd w:val="clear" w:color="auto" w:fill="auto"/>
            <w:vAlign w:val="center"/>
          </w:tcPr>
          <w:p w14:paraId="3DA07D51" w14:textId="77777777" w:rsidR="004A0123" w:rsidRPr="00640447" w:rsidRDefault="004A0123" w:rsidP="008A5C11">
            <w:pPr>
              <w:jc w:val="center"/>
              <w:rPr>
                <w:bCs/>
                <w:sz w:val="13"/>
                <w:szCs w:val="13"/>
              </w:rPr>
            </w:pPr>
            <w:r w:rsidRPr="00640447">
              <w:rPr>
                <w:bCs/>
                <w:sz w:val="13"/>
                <w:szCs w:val="13"/>
              </w:rPr>
              <w:t>7</w:t>
            </w:r>
          </w:p>
        </w:tc>
        <w:tc>
          <w:tcPr>
            <w:tcW w:w="174" w:type="pct"/>
            <w:shd w:val="clear" w:color="auto" w:fill="auto"/>
            <w:vAlign w:val="center"/>
          </w:tcPr>
          <w:p w14:paraId="50F464B1" w14:textId="77777777" w:rsidR="004A0123" w:rsidRPr="00640447" w:rsidRDefault="004A0123" w:rsidP="008A5C11">
            <w:pPr>
              <w:jc w:val="center"/>
              <w:rPr>
                <w:bCs/>
                <w:sz w:val="13"/>
                <w:szCs w:val="13"/>
              </w:rPr>
            </w:pPr>
            <w:r w:rsidRPr="00640447">
              <w:rPr>
                <w:bCs/>
                <w:sz w:val="13"/>
                <w:szCs w:val="13"/>
              </w:rPr>
              <w:t>8</w:t>
            </w:r>
          </w:p>
        </w:tc>
        <w:tc>
          <w:tcPr>
            <w:tcW w:w="189" w:type="pct"/>
            <w:shd w:val="clear" w:color="auto" w:fill="auto"/>
            <w:vAlign w:val="center"/>
          </w:tcPr>
          <w:p w14:paraId="4AC7B317" w14:textId="77777777" w:rsidR="004A0123" w:rsidRPr="00640447" w:rsidRDefault="004A0123" w:rsidP="008A5C11">
            <w:pPr>
              <w:jc w:val="center"/>
              <w:rPr>
                <w:bCs/>
                <w:sz w:val="13"/>
                <w:szCs w:val="13"/>
              </w:rPr>
            </w:pPr>
            <w:r w:rsidRPr="00640447">
              <w:rPr>
                <w:bCs/>
                <w:sz w:val="13"/>
                <w:szCs w:val="13"/>
              </w:rPr>
              <w:t>9</w:t>
            </w:r>
          </w:p>
        </w:tc>
        <w:tc>
          <w:tcPr>
            <w:tcW w:w="184" w:type="pct"/>
            <w:shd w:val="clear" w:color="auto" w:fill="auto"/>
            <w:vAlign w:val="center"/>
          </w:tcPr>
          <w:p w14:paraId="6A2E5C8F" w14:textId="77777777" w:rsidR="004A0123" w:rsidRPr="00640447" w:rsidRDefault="004A0123" w:rsidP="008A5C11">
            <w:pPr>
              <w:jc w:val="center"/>
              <w:rPr>
                <w:bCs/>
                <w:sz w:val="13"/>
                <w:szCs w:val="13"/>
              </w:rPr>
            </w:pPr>
            <w:r w:rsidRPr="00640447">
              <w:rPr>
                <w:bCs/>
                <w:sz w:val="13"/>
                <w:szCs w:val="13"/>
              </w:rPr>
              <w:t>10</w:t>
            </w:r>
          </w:p>
        </w:tc>
        <w:tc>
          <w:tcPr>
            <w:tcW w:w="180" w:type="pct"/>
            <w:shd w:val="clear" w:color="auto" w:fill="auto"/>
            <w:vAlign w:val="center"/>
          </w:tcPr>
          <w:p w14:paraId="0FA1C6AC" w14:textId="77777777" w:rsidR="004A0123" w:rsidRPr="00640447" w:rsidRDefault="004A0123" w:rsidP="008A5C11">
            <w:pPr>
              <w:jc w:val="center"/>
              <w:rPr>
                <w:bCs/>
                <w:sz w:val="13"/>
                <w:szCs w:val="13"/>
              </w:rPr>
            </w:pPr>
            <w:r w:rsidRPr="00640447">
              <w:rPr>
                <w:bCs/>
                <w:sz w:val="13"/>
                <w:szCs w:val="13"/>
              </w:rPr>
              <w:t>11</w:t>
            </w:r>
          </w:p>
        </w:tc>
        <w:tc>
          <w:tcPr>
            <w:tcW w:w="187" w:type="pct"/>
            <w:shd w:val="clear" w:color="auto" w:fill="auto"/>
            <w:vAlign w:val="center"/>
          </w:tcPr>
          <w:p w14:paraId="4C4F7D77" w14:textId="77777777" w:rsidR="004A0123" w:rsidRPr="00640447" w:rsidRDefault="004A0123" w:rsidP="008A5C11">
            <w:pPr>
              <w:jc w:val="center"/>
              <w:rPr>
                <w:bCs/>
                <w:sz w:val="13"/>
                <w:szCs w:val="13"/>
              </w:rPr>
            </w:pPr>
            <w:r w:rsidRPr="00640447">
              <w:rPr>
                <w:bCs/>
                <w:sz w:val="13"/>
                <w:szCs w:val="13"/>
              </w:rPr>
              <w:t>12</w:t>
            </w:r>
          </w:p>
        </w:tc>
        <w:tc>
          <w:tcPr>
            <w:tcW w:w="146" w:type="pct"/>
            <w:shd w:val="clear" w:color="auto" w:fill="auto"/>
            <w:vAlign w:val="center"/>
          </w:tcPr>
          <w:p w14:paraId="208D14ED" w14:textId="77777777" w:rsidR="004A0123" w:rsidRPr="00640447" w:rsidRDefault="004A0123" w:rsidP="008A5C11">
            <w:pPr>
              <w:jc w:val="center"/>
              <w:rPr>
                <w:bCs/>
                <w:sz w:val="13"/>
                <w:szCs w:val="13"/>
              </w:rPr>
            </w:pPr>
            <w:r w:rsidRPr="00640447">
              <w:rPr>
                <w:bCs/>
                <w:sz w:val="13"/>
                <w:szCs w:val="13"/>
              </w:rPr>
              <w:t>13</w:t>
            </w:r>
          </w:p>
        </w:tc>
        <w:tc>
          <w:tcPr>
            <w:tcW w:w="149" w:type="pct"/>
            <w:shd w:val="clear" w:color="auto" w:fill="auto"/>
            <w:vAlign w:val="center"/>
          </w:tcPr>
          <w:p w14:paraId="5F6881A4" w14:textId="77777777" w:rsidR="004A0123" w:rsidRPr="00640447" w:rsidRDefault="004A0123" w:rsidP="008A5C11">
            <w:pPr>
              <w:jc w:val="center"/>
              <w:rPr>
                <w:bCs/>
                <w:sz w:val="13"/>
                <w:szCs w:val="13"/>
              </w:rPr>
            </w:pPr>
            <w:r w:rsidRPr="00640447">
              <w:rPr>
                <w:bCs/>
                <w:sz w:val="13"/>
                <w:szCs w:val="13"/>
              </w:rPr>
              <w:t>14</w:t>
            </w:r>
          </w:p>
        </w:tc>
        <w:tc>
          <w:tcPr>
            <w:tcW w:w="183" w:type="pct"/>
            <w:shd w:val="clear" w:color="auto" w:fill="auto"/>
            <w:vAlign w:val="center"/>
          </w:tcPr>
          <w:p w14:paraId="47425D99" w14:textId="77777777" w:rsidR="004A0123" w:rsidRPr="00640447" w:rsidRDefault="004A0123" w:rsidP="008A5C11">
            <w:pPr>
              <w:jc w:val="center"/>
              <w:rPr>
                <w:bCs/>
                <w:sz w:val="13"/>
                <w:szCs w:val="13"/>
              </w:rPr>
            </w:pPr>
            <w:r w:rsidRPr="00640447">
              <w:rPr>
                <w:bCs/>
                <w:sz w:val="13"/>
                <w:szCs w:val="13"/>
              </w:rPr>
              <w:t>15</w:t>
            </w:r>
          </w:p>
        </w:tc>
        <w:tc>
          <w:tcPr>
            <w:tcW w:w="183" w:type="pct"/>
            <w:vAlign w:val="center"/>
          </w:tcPr>
          <w:p w14:paraId="580D9B6F" w14:textId="77777777" w:rsidR="004A0123" w:rsidRPr="00640447" w:rsidRDefault="004A0123" w:rsidP="008A5C11">
            <w:pPr>
              <w:jc w:val="center"/>
              <w:rPr>
                <w:bCs/>
                <w:sz w:val="13"/>
                <w:szCs w:val="13"/>
              </w:rPr>
            </w:pPr>
            <w:r w:rsidRPr="00640447">
              <w:rPr>
                <w:bCs/>
                <w:sz w:val="13"/>
                <w:szCs w:val="13"/>
              </w:rPr>
              <w:t>16</w:t>
            </w:r>
          </w:p>
        </w:tc>
        <w:tc>
          <w:tcPr>
            <w:tcW w:w="155" w:type="pct"/>
            <w:vAlign w:val="center"/>
          </w:tcPr>
          <w:p w14:paraId="1D10DDE6" w14:textId="77777777" w:rsidR="004A0123" w:rsidRPr="00640447" w:rsidRDefault="004A0123" w:rsidP="008A5C11">
            <w:pPr>
              <w:jc w:val="center"/>
              <w:rPr>
                <w:bCs/>
                <w:sz w:val="13"/>
                <w:szCs w:val="13"/>
              </w:rPr>
            </w:pPr>
            <w:r w:rsidRPr="00640447">
              <w:rPr>
                <w:bCs/>
                <w:sz w:val="13"/>
                <w:szCs w:val="13"/>
              </w:rPr>
              <w:t>17</w:t>
            </w:r>
          </w:p>
        </w:tc>
        <w:tc>
          <w:tcPr>
            <w:tcW w:w="154" w:type="pct"/>
            <w:vAlign w:val="center"/>
          </w:tcPr>
          <w:p w14:paraId="2B1D7B9A" w14:textId="77777777" w:rsidR="004A0123" w:rsidRPr="00640447" w:rsidRDefault="004A0123" w:rsidP="008A5C11">
            <w:pPr>
              <w:jc w:val="center"/>
              <w:rPr>
                <w:bCs/>
                <w:sz w:val="13"/>
                <w:szCs w:val="13"/>
              </w:rPr>
            </w:pPr>
            <w:r w:rsidRPr="00640447">
              <w:rPr>
                <w:bCs/>
                <w:sz w:val="13"/>
                <w:szCs w:val="13"/>
              </w:rPr>
              <w:t>18</w:t>
            </w:r>
          </w:p>
        </w:tc>
        <w:tc>
          <w:tcPr>
            <w:tcW w:w="153" w:type="pct"/>
            <w:vAlign w:val="center"/>
          </w:tcPr>
          <w:p w14:paraId="251B7B85" w14:textId="77777777" w:rsidR="004A0123" w:rsidRPr="00640447" w:rsidRDefault="004A0123" w:rsidP="008A5C11">
            <w:pPr>
              <w:jc w:val="center"/>
              <w:rPr>
                <w:bCs/>
                <w:sz w:val="13"/>
                <w:szCs w:val="13"/>
              </w:rPr>
            </w:pPr>
            <w:r w:rsidRPr="00640447">
              <w:rPr>
                <w:bCs/>
                <w:sz w:val="13"/>
                <w:szCs w:val="13"/>
              </w:rPr>
              <w:t>19</w:t>
            </w:r>
          </w:p>
        </w:tc>
        <w:tc>
          <w:tcPr>
            <w:tcW w:w="174" w:type="pct"/>
            <w:vAlign w:val="center"/>
          </w:tcPr>
          <w:p w14:paraId="2A5E561D" w14:textId="77777777" w:rsidR="004A0123" w:rsidRPr="00640447" w:rsidRDefault="004A0123" w:rsidP="008A5C11">
            <w:pPr>
              <w:jc w:val="center"/>
              <w:rPr>
                <w:bCs/>
                <w:sz w:val="13"/>
                <w:szCs w:val="13"/>
              </w:rPr>
            </w:pPr>
            <w:r w:rsidRPr="00640447">
              <w:rPr>
                <w:bCs/>
                <w:sz w:val="13"/>
                <w:szCs w:val="13"/>
              </w:rPr>
              <w:t>20</w:t>
            </w:r>
          </w:p>
        </w:tc>
        <w:tc>
          <w:tcPr>
            <w:tcW w:w="156" w:type="pct"/>
            <w:vAlign w:val="center"/>
          </w:tcPr>
          <w:p w14:paraId="001A643D" w14:textId="77777777" w:rsidR="004A0123" w:rsidRPr="00640447" w:rsidRDefault="004A0123" w:rsidP="008A5C11">
            <w:pPr>
              <w:jc w:val="center"/>
              <w:rPr>
                <w:bCs/>
                <w:sz w:val="13"/>
                <w:szCs w:val="13"/>
              </w:rPr>
            </w:pPr>
            <w:r w:rsidRPr="00640447">
              <w:rPr>
                <w:bCs/>
                <w:sz w:val="13"/>
                <w:szCs w:val="13"/>
              </w:rPr>
              <w:t>21</w:t>
            </w:r>
          </w:p>
        </w:tc>
        <w:tc>
          <w:tcPr>
            <w:tcW w:w="146" w:type="pct"/>
            <w:vAlign w:val="center"/>
          </w:tcPr>
          <w:p w14:paraId="0F843980" w14:textId="77777777" w:rsidR="004A0123" w:rsidRPr="00640447" w:rsidRDefault="004A0123" w:rsidP="008A5C11">
            <w:pPr>
              <w:jc w:val="center"/>
              <w:rPr>
                <w:bCs/>
                <w:sz w:val="13"/>
                <w:szCs w:val="13"/>
              </w:rPr>
            </w:pPr>
            <w:r w:rsidRPr="00640447">
              <w:rPr>
                <w:bCs/>
                <w:sz w:val="13"/>
                <w:szCs w:val="13"/>
              </w:rPr>
              <w:t>22</w:t>
            </w:r>
          </w:p>
        </w:tc>
        <w:tc>
          <w:tcPr>
            <w:tcW w:w="188" w:type="pct"/>
            <w:vAlign w:val="center"/>
          </w:tcPr>
          <w:p w14:paraId="5E9EA5F6" w14:textId="77777777" w:rsidR="004A0123" w:rsidRPr="00640447" w:rsidRDefault="004A0123" w:rsidP="008A5C11">
            <w:pPr>
              <w:jc w:val="center"/>
              <w:rPr>
                <w:bCs/>
                <w:sz w:val="13"/>
                <w:szCs w:val="13"/>
              </w:rPr>
            </w:pPr>
            <w:r w:rsidRPr="00640447">
              <w:rPr>
                <w:bCs/>
                <w:sz w:val="13"/>
                <w:szCs w:val="13"/>
              </w:rPr>
              <w:t>23</w:t>
            </w:r>
          </w:p>
        </w:tc>
        <w:tc>
          <w:tcPr>
            <w:tcW w:w="182" w:type="pct"/>
            <w:vAlign w:val="center"/>
          </w:tcPr>
          <w:p w14:paraId="0751BB00" w14:textId="77777777" w:rsidR="004A0123" w:rsidRPr="00640447" w:rsidRDefault="004A0123" w:rsidP="008A5C11">
            <w:pPr>
              <w:jc w:val="center"/>
              <w:rPr>
                <w:bCs/>
                <w:sz w:val="13"/>
                <w:szCs w:val="13"/>
              </w:rPr>
            </w:pPr>
            <w:r w:rsidRPr="00640447">
              <w:rPr>
                <w:bCs/>
                <w:sz w:val="13"/>
                <w:szCs w:val="13"/>
              </w:rPr>
              <w:t>24</w:t>
            </w:r>
          </w:p>
        </w:tc>
      </w:tr>
      <w:tr w:rsidR="004A0123" w:rsidRPr="00640447" w14:paraId="1C6F15F4" w14:textId="77777777" w:rsidTr="008A5C11">
        <w:trPr>
          <w:trHeight w:val="84"/>
        </w:trPr>
        <w:tc>
          <w:tcPr>
            <w:tcW w:w="5000" w:type="pct"/>
            <w:gridSpan w:val="24"/>
            <w:vAlign w:val="center"/>
          </w:tcPr>
          <w:p w14:paraId="6A24AF89" w14:textId="77777777" w:rsidR="004A0123" w:rsidRPr="00640447" w:rsidRDefault="004A0123" w:rsidP="008A5C11">
            <w:pPr>
              <w:rPr>
                <w:bCs/>
                <w:sz w:val="12"/>
                <w:szCs w:val="12"/>
              </w:rPr>
            </w:pPr>
            <w:r w:rsidRPr="00640447">
              <w:rPr>
                <w:bCs/>
                <w:sz w:val="12"/>
                <w:szCs w:val="12"/>
              </w:rPr>
              <w:t>Группа 1. Строительство, реконструкция или модернизация объектов в целях подключения потребителей:</w:t>
            </w:r>
          </w:p>
        </w:tc>
      </w:tr>
      <w:tr w:rsidR="004A0123" w:rsidRPr="00640447" w14:paraId="5053D8B4" w14:textId="77777777" w:rsidTr="008A5C11">
        <w:trPr>
          <w:trHeight w:val="45"/>
        </w:trPr>
        <w:tc>
          <w:tcPr>
            <w:tcW w:w="5000" w:type="pct"/>
            <w:gridSpan w:val="24"/>
            <w:vAlign w:val="center"/>
          </w:tcPr>
          <w:p w14:paraId="6CA9FCCB" w14:textId="77777777" w:rsidR="004A0123" w:rsidRPr="00640447" w:rsidRDefault="004A0123" w:rsidP="008A5C11">
            <w:pPr>
              <w:rPr>
                <w:bCs/>
                <w:sz w:val="12"/>
                <w:szCs w:val="12"/>
              </w:rPr>
            </w:pPr>
            <w:r w:rsidRPr="00640447">
              <w:rPr>
                <w:bCs/>
                <w:sz w:val="12"/>
                <w:szCs w:val="12"/>
              </w:rPr>
              <w:t>1.1. Строительство новых тепловых сетей в целях подключения потребителей</w:t>
            </w:r>
          </w:p>
        </w:tc>
      </w:tr>
      <w:tr w:rsidR="004A0123" w:rsidRPr="00640447" w14:paraId="0270E501" w14:textId="77777777" w:rsidTr="008A5C11">
        <w:trPr>
          <w:trHeight w:val="64"/>
        </w:trPr>
        <w:tc>
          <w:tcPr>
            <w:tcW w:w="5000" w:type="pct"/>
            <w:gridSpan w:val="24"/>
            <w:vAlign w:val="center"/>
          </w:tcPr>
          <w:p w14:paraId="3BAD4D07" w14:textId="77777777" w:rsidR="004A0123" w:rsidRPr="00640447" w:rsidRDefault="004A0123" w:rsidP="008A5C11">
            <w:pPr>
              <w:rPr>
                <w:bCs/>
                <w:sz w:val="12"/>
                <w:szCs w:val="12"/>
              </w:rPr>
            </w:pPr>
            <w:r w:rsidRPr="00640447">
              <w:rPr>
                <w:bCs/>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4A0123" w:rsidRPr="00640447" w14:paraId="781E509E" w14:textId="77777777" w:rsidTr="008A5C11">
        <w:trPr>
          <w:trHeight w:val="64"/>
        </w:trPr>
        <w:tc>
          <w:tcPr>
            <w:tcW w:w="5000" w:type="pct"/>
            <w:gridSpan w:val="24"/>
            <w:vAlign w:val="center"/>
          </w:tcPr>
          <w:p w14:paraId="400E1A93" w14:textId="77777777" w:rsidR="004A0123" w:rsidRPr="00640447" w:rsidRDefault="004A0123" w:rsidP="008A5C11">
            <w:pPr>
              <w:rPr>
                <w:bCs/>
                <w:sz w:val="12"/>
                <w:szCs w:val="12"/>
              </w:rPr>
            </w:pPr>
            <w:r w:rsidRPr="00640447">
              <w:rPr>
                <w:bCs/>
                <w:sz w:val="12"/>
                <w:szCs w:val="12"/>
              </w:rPr>
              <w:t>1.3. Увеличение пропускной способности существующих тепловых сетей в целях подключения потребителей</w:t>
            </w:r>
          </w:p>
        </w:tc>
      </w:tr>
      <w:tr w:rsidR="004A0123" w:rsidRPr="00640447" w14:paraId="4A2CACD4" w14:textId="77777777" w:rsidTr="008A5C11">
        <w:trPr>
          <w:trHeight w:val="64"/>
        </w:trPr>
        <w:tc>
          <w:tcPr>
            <w:tcW w:w="5000" w:type="pct"/>
            <w:gridSpan w:val="24"/>
            <w:vAlign w:val="center"/>
          </w:tcPr>
          <w:p w14:paraId="3E07BEBA" w14:textId="77777777" w:rsidR="004A0123" w:rsidRPr="00640447" w:rsidRDefault="004A0123" w:rsidP="008A5C11">
            <w:pPr>
              <w:rPr>
                <w:bCs/>
                <w:sz w:val="12"/>
                <w:szCs w:val="12"/>
              </w:rPr>
            </w:pPr>
            <w:r w:rsidRPr="00640447">
              <w:rPr>
                <w:bCs/>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4A0123" w:rsidRPr="00640447" w14:paraId="55A72F9F" w14:textId="77777777" w:rsidTr="008A5C11">
        <w:trPr>
          <w:trHeight w:val="45"/>
        </w:trPr>
        <w:tc>
          <w:tcPr>
            <w:tcW w:w="2664" w:type="pct"/>
            <w:gridSpan w:val="10"/>
            <w:shd w:val="clear" w:color="auto" w:fill="auto"/>
            <w:vAlign w:val="center"/>
          </w:tcPr>
          <w:p w14:paraId="2EEF10E4" w14:textId="77777777" w:rsidR="004A0123" w:rsidRPr="00640447" w:rsidRDefault="004A0123" w:rsidP="008A5C11">
            <w:pPr>
              <w:rPr>
                <w:sz w:val="13"/>
                <w:szCs w:val="13"/>
              </w:rPr>
            </w:pPr>
            <w:r w:rsidRPr="00640447">
              <w:rPr>
                <w:sz w:val="13"/>
                <w:szCs w:val="13"/>
              </w:rPr>
              <w:t>Всего по группе 1.</w:t>
            </w:r>
          </w:p>
        </w:tc>
        <w:tc>
          <w:tcPr>
            <w:tcW w:w="180" w:type="pct"/>
            <w:shd w:val="clear" w:color="auto" w:fill="auto"/>
            <w:vAlign w:val="center"/>
          </w:tcPr>
          <w:p w14:paraId="2467C66F" w14:textId="77777777" w:rsidR="004A0123" w:rsidRPr="00640447" w:rsidRDefault="004A0123" w:rsidP="008A5C11">
            <w:pPr>
              <w:jc w:val="center"/>
              <w:rPr>
                <w:sz w:val="13"/>
                <w:szCs w:val="13"/>
              </w:rPr>
            </w:pPr>
            <w:r w:rsidRPr="00640447">
              <w:rPr>
                <w:color w:val="000000"/>
                <w:sz w:val="13"/>
                <w:szCs w:val="13"/>
              </w:rPr>
              <w:t>0,00</w:t>
            </w:r>
          </w:p>
        </w:tc>
        <w:tc>
          <w:tcPr>
            <w:tcW w:w="187" w:type="pct"/>
            <w:shd w:val="clear" w:color="auto" w:fill="auto"/>
            <w:vAlign w:val="center"/>
          </w:tcPr>
          <w:p w14:paraId="3C344E5E" w14:textId="77777777" w:rsidR="004A0123" w:rsidRPr="00640447" w:rsidRDefault="004A0123" w:rsidP="008A5C11">
            <w:pPr>
              <w:jc w:val="center"/>
              <w:rPr>
                <w:sz w:val="13"/>
                <w:szCs w:val="13"/>
              </w:rPr>
            </w:pPr>
            <w:r w:rsidRPr="00640447">
              <w:rPr>
                <w:sz w:val="13"/>
                <w:szCs w:val="13"/>
              </w:rPr>
              <w:t>0,00</w:t>
            </w:r>
          </w:p>
        </w:tc>
        <w:tc>
          <w:tcPr>
            <w:tcW w:w="146" w:type="pct"/>
            <w:shd w:val="clear" w:color="auto" w:fill="auto"/>
            <w:vAlign w:val="center"/>
          </w:tcPr>
          <w:p w14:paraId="3DAF2EE9" w14:textId="77777777" w:rsidR="004A0123" w:rsidRPr="00640447" w:rsidRDefault="004A0123" w:rsidP="008A5C11">
            <w:pPr>
              <w:jc w:val="center"/>
              <w:rPr>
                <w:sz w:val="13"/>
                <w:szCs w:val="13"/>
              </w:rPr>
            </w:pPr>
            <w:r w:rsidRPr="00640447">
              <w:rPr>
                <w:sz w:val="13"/>
                <w:szCs w:val="13"/>
              </w:rPr>
              <w:t>0,00</w:t>
            </w:r>
          </w:p>
        </w:tc>
        <w:tc>
          <w:tcPr>
            <w:tcW w:w="149" w:type="pct"/>
            <w:shd w:val="clear" w:color="auto" w:fill="auto"/>
            <w:vAlign w:val="center"/>
          </w:tcPr>
          <w:p w14:paraId="04A7746B" w14:textId="77777777" w:rsidR="004A0123" w:rsidRPr="00640447" w:rsidRDefault="004A0123" w:rsidP="008A5C11">
            <w:pPr>
              <w:jc w:val="center"/>
              <w:rPr>
                <w:sz w:val="13"/>
                <w:szCs w:val="13"/>
              </w:rPr>
            </w:pPr>
            <w:r w:rsidRPr="00640447">
              <w:rPr>
                <w:sz w:val="13"/>
                <w:szCs w:val="13"/>
              </w:rPr>
              <w:t>0,00</w:t>
            </w:r>
          </w:p>
        </w:tc>
        <w:tc>
          <w:tcPr>
            <w:tcW w:w="183" w:type="pct"/>
            <w:shd w:val="clear" w:color="auto" w:fill="auto"/>
            <w:vAlign w:val="center"/>
          </w:tcPr>
          <w:p w14:paraId="2729E332" w14:textId="77777777" w:rsidR="004A0123" w:rsidRPr="00640447" w:rsidRDefault="004A0123" w:rsidP="008A5C11">
            <w:pPr>
              <w:jc w:val="center"/>
              <w:rPr>
                <w:sz w:val="13"/>
                <w:szCs w:val="13"/>
              </w:rPr>
            </w:pPr>
            <w:r w:rsidRPr="00640447">
              <w:rPr>
                <w:sz w:val="13"/>
                <w:szCs w:val="13"/>
              </w:rPr>
              <w:t>0,00</w:t>
            </w:r>
          </w:p>
        </w:tc>
        <w:tc>
          <w:tcPr>
            <w:tcW w:w="183" w:type="pct"/>
            <w:vAlign w:val="center"/>
          </w:tcPr>
          <w:p w14:paraId="0CFDC318" w14:textId="77777777" w:rsidR="004A0123" w:rsidRPr="00640447" w:rsidRDefault="004A0123" w:rsidP="008A5C11">
            <w:pPr>
              <w:jc w:val="center"/>
              <w:rPr>
                <w:color w:val="000000"/>
                <w:sz w:val="13"/>
                <w:szCs w:val="13"/>
              </w:rPr>
            </w:pPr>
            <w:r w:rsidRPr="00640447">
              <w:rPr>
                <w:sz w:val="13"/>
                <w:szCs w:val="13"/>
              </w:rPr>
              <w:t>0,00</w:t>
            </w:r>
          </w:p>
        </w:tc>
        <w:tc>
          <w:tcPr>
            <w:tcW w:w="155" w:type="pct"/>
            <w:vAlign w:val="center"/>
          </w:tcPr>
          <w:p w14:paraId="7E321F98" w14:textId="77777777" w:rsidR="004A0123" w:rsidRPr="00640447" w:rsidRDefault="004A0123" w:rsidP="008A5C11">
            <w:pPr>
              <w:jc w:val="center"/>
              <w:rPr>
                <w:color w:val="000000"/>
                <w:sz w:val="13"/>
                <w:szCs w:val="13"/>
              </w:rPr>
            </w:pPr>
            <w:r w:rsidRPr="00640447">
              <w:rPr>
                <w:sz w:val="13"/>
                <w:szCs w:val="13"/>
              </w:rPr>
              <w:t>0,00</w:t>
            </w:r>
          </w:p>
        </w:tc>
        <w:tc>
          <w:tcPr>
            <w:tcW w:w="154" w:type="pct"/>
            <w:vAlign w:val="center"/>
          </w:tcPr>
          <w:p w14:paraId="63F30D0B" w14:textId="77777777" w:rsidR="004A0123" w:rsidRPr="00640447" w:rsidRDefault="004A0123" w:rsidP="008A5C11">
            <w:pPr>
              <w:jc w:val="center"/>
              <w:rPr>
                <w:color w:val="000000"/>
                <w:sz w:val="13"/>
                <w:szCs w:val="13"/>
              </w:rPr>
            </w:pPr>
            <w:r w:rsidRPr="00640447">
              <w:rPr>
                <w:sz w:val="13"/>
                <w:szCs w:val="13"/>
              </w:rPr>
              <w:t>0,00</w:t>
            </w:r>
          </w:p>
        </w:tc>
        <w:tc>
          <w:tcPr>
            <w:tcW w:w="153" w:type="pct"/>
            <w:vAlign w:val="center"/>
          </w:tcPr>
          <w:p w14:paraId="7E483E87" w14:textId="77777777" w:rsidR="004A0123" w:rsidRPr="00640447" w:rsidRDefault="004A0123" w:rsidP="008A5C11">
            <w:pPr>
              <w:jc w:val="center"/>
              <w:rPr>
                <w:color w:val="000000"/>
                <w:sz w:val="13"/>
                <w:szCs w:val="13"/>
              </w:rPr>
            </w:pPr>
            <w:r w:rsidRPr="00640447">
              <w:rPr>
                <w:sz w:val="13"/>
                <w:szCs w:val="13"/>
              </w:rPr>
              <w:t>0,00</w:t>
            </w:r>
          </w:p>
        </w:tc>
        <w:tc>
          <w:tcPr>
            <w:tcW w:w="174" w:type="pct"/>
            <w:vAlign w:val="center"/>
          </w:tcPr>
          <w:p w14:paraId="3493B196" w14:textId="77777777" w:rsidR="004A0123" w:rsidRPr="00640447" w:rsidRDefault="004A0123" w:rsidP="008A5C11">
            <w:pPr>
              <w:jc w:val="center"/>
              <w:rPr>
                <w:sz w:val="13"/>
                <w:szCs w:val="13"/>
              </w:rPr>
            </w:pPr>
            <w:r w:rsidRPr="00640447">
              <w:rPr>
                <w:sz w:val="13"/>
                <w:szCs w:val="13"/>
              </w:rPr>
              <w:t>0,00</w:t>
            </w:r>
          </w:p>
        </w:tc>
        <w:tc>
          <w:tcPr>
            <w:tcW w:w="156" w:type="pct"/>
            <w:vAlign w:val="center"/>
          </w:tcPr>
          <w:p w14:paraId="21109ABD" w14:textId="77777777" w:rsidR="004A0123" w:rsidRPr="00640447" w:rsidRDefault="004A0123" w:rsidP="008A5C11">
            <w:pPr>
              <w:jc w:val="center"/>
              <w:rPr>
                <w:sz w:val="13"/>
                <w:szCs w:val="13"/>
              </w:rPr>
            </w:pPr>
            <w:r w:rsidRPr="00640447">
              <w:rPr>
                <w:sz w:val="13"/>
                <w:szCs w:val="13"/>
              </w:rPr>
              <w:t>0,00</w:t>
            </w:r>
          </w:p>
        </w:tc>
        <w:tc>
          <w:tcPr>
            <w:tcW w:w="146" w:type="pct"/>
            <w:vAlign w:val="center"/>
          </w:tcPr>
          <w:p w14:paraId="150D16EF" w14:textId="77777777" w:rsidR="004A0123" w:rsidRPr="00640447" w:rsidRDefault="004A0123" w:rsidP="008A5C11">
            <w:pPr>
              <w:jc w:val="center"/>
              <w:rPr>
                <w:sz w:val="13"/>
                <w:szCs w:val="13"/>
              </w:rPr>
            </w:pPr>
            <w:r w:rsidRPr="00640447">
              <w:rPr>
                <w:sz w:val="13"/>
                <w:szCs w:val="13"/>
              </w:rPr>
              <w:t>0,00</w:t>
            </w:r>
          </w:p>
        </w:tc>
        <w:tc>
          <w:tcPr>
            <w:tcW w:w="188" w:type="pct"/>
            <w:vAlign w:val="center"/>
          </w:tcPr>
          <w:p w14:paraId="3235933C" w14:textId="77777777" w:rsidR="004A0123" w:rsidRPr="00640447" w:rsidRDefault="004A0123" w:rsidP="008A5C11">
            <w:pPr>
              <w:jc w:val="center"/>
              <w:rPr>
                <w:sz w:val="13"/>
                <w:szCs w:val="13"/>
              </w:rPr>
            </w:pPr>
            <w:r w:rsidRPr="00640447">
              <w:rPr>
                <w:sz w:val="13"/>
                <w:szCs w:val="13"/>
              </w:rPr>
              <w:t>0,00</w:t>
            </w:r>
          </w:p>
        </w:tc>
        <w:tc>
          <w:tcPr>
            <w:tcW w:w="182" w:type="pct"/>
            <w:vAlign w:val="center"/>
          </w:tcPr>
          <w:p w14:paraId="4C5E386B" w14:textId="77777777" w:rsidR="004A0123" w:rsidRPr="00640447" w:rsidRDefault="004A0123" w:rsidP="008A5C11">
            <w:pPr>
              <w:jc w:val="center"/>
              <w:rPr>
                <w:sz w:val="13"/>
                <w:szCs w:val="13"/>
              </w:rPr>
            </w:pPr>
            <w:r w:rsidRPr="00640447">
              <w:rPr>
                <w:sz w:val="13"/>
                <w:szCs w:val="13"/>
              </w:rPr>
              <w:t>0,00</w:t>
            </w:r>
          </w:p>
        </w:tc>
      </w:tr>
      <w:tr w:rsidR="004A0123" w:rsidRPr="00640447" w14:paraId="278ECBF5" w14:textId="77777777" w:rsidTr="008A5C11">
        <w:trPr>
          <w:trHeight w:val="64"/>
        </w:trPr>
        <w:tc>
          <w:tcPr>
            <w:tcW w:w="5000" w:type="pct"/>
            <w:gridSpan w:val="24"/>
            <w:vAlign w:val="center"/>
          </w:tcPr>
          <w:p w14:paraId="09DABCEF" w14:textId="77777777" w:rsidR="004A0123" w:rsidRPr="00640447" w:rsidRDefault="004A0123" w:rsidP="008A5C11">
            <w:pPr>
              <w:rPr>
                <w:bCs/>
                <w:sz w:val="12"/>
                <w:szCs w:val="12"/>
              </w:rPr>
            </w:pPr>
            <w:r w:rsidRPr="00640447">
              <w:rPr>
                <w:bCs/>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4A0123" w:rsidRPr="00640447" w14:paraId="1D25A510" w14:textId="77777777" w:rsidTr="008A5C11">
        <w:trPr>
          <w:trHeight w:val="86"/>
        </w:trPr>
        <w:tc>
          <w:tcPr>
            <w:tcW w:w="146" w:type="pct"/>
            <w:shd w:val="clear" w:color="auto" w:fill="auto"/>
            <w:vAlign w:val="center"/>
          </w:tcPr>
          <w:p w14:paraId="2C333326" w14:textId="77777777" w:rsidR="004A0123" w:rsidRPr="00640447" w:rsidRDefault="004A0123" w:rsidP="008A5C11">
            <w:pPr>
              <w:jc w:val="center"/>
              <w:rPr>
                <w:sz w:val="13"/>
                <w:szCs w:val="13"/>
              </w:rPr>
            </w:pPr>
            <w:r w:rsidRPr="00640447">
              <w:rPr>
                <w:sz w:val="13"/>
                <w:szCs w:val="13"/>
              </w:rPr>
              <w:t>2.1.1.</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433DF4AC" w14:textId="77777777" w:rsidR="004A0123" w:rsidRPr="00640447" w:rsidRDefault="004A0123" w:rsidP="008A5C11">
            <w:pPr>
              <w:rPr>
                <w:color w:val="000000"/>
                <w:sz w:val="13"/>
                <w:szCs w:val="13"/>
              </w:rPr>
            </w:pPr>
            <w:r w:rsidRPr="00640447">
              <w:rPr>
                <w:color w:val="000000"/>
                <w:sz w:val="13"/>
                <w:szCs w:val="13"/>
              </w:rPr>
              <w:t>Установка котельной «Терморобот» на ОСК, НФС, 2 Г/</w:t>
            </w:r>
            <w:proofErr w:type="gramStart"/>
            <w:r w:rsidRPr="00640447">
              <w:rPr>
                <w:color w:val="000000"/>
                <w:sz w:val="13"/>
                <w:szCs w:val="13"/>
              </w:rPr>
              <w:t>У,  44</w:t>
            </w:r>
            <w:proofErr w:type="gramEnd"/>
          </w:p>
        </w:tc>
        <w:tc>
          <w:tcPr>
            <w:tcW w:w="359" w:type="pct"/>
            <w:tcBorders>
              <w:top w:val="single" w:sz="4" w:space="0" w:color="auto"/>
              <w:left w:val="nil"/>
              <w:bottom w:val="single" w:sz="4" w:space="0" w:color="auto"/>
              <w:right w:val="single" w:sz="4" w:space="0" w:color="auto"/>
            </w:tcBorders>
            <w:shd w:val="clear" w:color="auto" w:fill="auto"/>
            <w:vAlign w:val="center"/>
          </w:tcPr>
          <w:p w14:paraId="3AE04958" w14:textId="77777777" w:rsidR="004A0123" w:rsidRPr="00640447" w:rsidRDefault="004A0123" w:rsidP="008A5C11">
            <w:pPr>
              <w:jc w:val="center"/>
              <w:rPr>
                <w:color w:val="000000"/>
                <w:sz w:val="13"/>
                <w:szCs w:val="13"/>
              </w:rPr>
            </w:pPr>
            <w:r w:rsidRPr="00640447">
              <w:rPr>
                <w:color w:val="000000"/>
                <w:sz w:val="13"/>
                <w:szCs w:val="13"/>
              </w:rPr>
              <w:t>Обеспечение тепловой энергией потребителей</w:t>
            </w:r>
          </w:p>
        </w:tc>
        <w:tc>
          <w:tcPr>
            <w:tcW w:w="360" w:type="pct"/>
            <w:tcBorders>
              <w:top w:val="single" w:sz="4" w:space="0" w:color="auto"/>
              <w:left w:val="nil"/>
              <w:bottom w:val="single" w:sz="4" w:space="0" w:color="auto"/>
              <w:right w:val="single" w:sz="4" w:space="0" w:color="auto"/>
            </w:tcBorders>
            <w:shd w:val="clear" w:color="auto" w:fill="auto"/>
            <w:vAlign w:val="center"/>
          </w:tcPr>
          <w:p w14:paraId="496A8D29" w14:textId="77777777" w:rsidR="004A0123" w:rsidRPr="00640447" w:rsidRDefault="004A0123" w:rsidP="008A5C11">
            <w:pPr>
              <w:jc w:val="center"/>
              <w:rPr>
                <w:color w:val="000000"/>
                <w:sz w:val="13"/>
                <w:szCs w:val="13"/>
              </w:rPr>
            </w:pPr>
            <w:r w:rsidRPr="00640447">
              <w:rPr>
                <w:color w:val="000000"/>
                <w:sz w:val="13"/>
                <w:szCs w:val="13"/>
              </w:rPr>
              <w:t>г. Ленинск-Кузнецкий</w:t>
            </w:r>
          </w:p>
        </w:tc>
        <w:tc>
          <w:tcPr>
            <w:tcW w:w="338" w:type="pct"/>
            <w:tcBorders>
              <w:top w:val="single" w:sz="4" w:space="0" w:color="auto"/>
              <w:left w:val="nil"/>
              <w:bottom w:val="single" w:sz="4" w:space="0" w:color="auto"/>
              <w:right w:val="single" w:sz="4" w:space="0" w:color="auto"/>
            </w:tcBorders>
            <w:shd w:val="clear" w:color="auto" w:fill="auto"/>
            <w:vAlign w:val="center"/>
          </w:tcPr>
          <w:p w14:paraId="17B62FB8" w14:textId="77777777" w:rsidR="004A0123" w:rsidRPr="00640447" w:rsidRDefault="004A0123" w:rsidP="008A5C11">
            <w:pPr>
              <w:jc w:val="center"/>
              <w:rPr>
                <w:sz w:val="13"/>
                <w:szCs w:val="13"/>
              </w:rPr>
            </w:pPr>
            <w:r w:rsidRPr="00640447">
              <w:rPr>
                <w:sz w:val="13"/>
                <w:szCs w:val="13"/>
              </w:rPr>
              <w:t>Установленная мощность</w:t>
            </w:r>
          </w:p>
        </w:tc>
        <w:tc>
          <w:tcPr>
            <w:tcW w:w="116" w:type="pct"/>
            <w:tcBorders>
              <w:top w:val="single" w:sz="4" w:space="0" w:color="auto"/>
              <w:left w:val="nil"/>
              <w:bottom w:val="single" w:sz="4" w:space="0" w:color="auto"/>
              <w:right w:val="single" w:sz="4" w:space="0" w:color="auto"/>
            </w:tcBorders>
            <w:shd w:val="clear" w:color="auto" w:fill="auto"/>
            <w:vAlign w:val="center"/>
          </w:tcPr>
          <w:p w14:paraId="435166CF" w14:textId="77777777" w:rsidR="004A0123" w:rsidRPr="00640447" w:rsidRDefault="004A0123" w:rsidP="008A5C11">
            <w:pPr>
              <w:jc w:val="center"/>
              <w:rPr>
                <w:sz w:val="13"/>
                <w:szCs w:val="13"/>
              </w:rPr>
            </w:pPr>
            <w:r w:rsidRPr="00640447">
              <w:rPr>
                <w:sz w:val="13"/>
                <w:szCs w:val="13"/>
              </w:rPr>
              <w:t>МВт</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24E1D92F" w14:textId="77777777" w:rsidR="004A0123" w:rsidRPr="00640447" w:rsidRDefault="004A0123" w:rsidP="008A5C11">
            <w:pPr>
              <w:jc w:val="center"/>
              <w:rPr>
                <w:sz w:val="13"/>
                <w:szCs w:val="13"/>
              </w:rPr>
            </w:pPr>
            <w:r w:rsidRPr="00640447">
              <w:rPr>
                <w:sz w:val="13"/>
                <w:szCs w:val="13"/>
              </w:rPr>
              <w:t>7,65</w:t>
            </w:r>
          </w:p>
        </w:tc>
        <w:tc>
          <w:tcPr>
            <w:tcW w:w="174" w:type="pct"/>
            <w:tcBorders>
              <w:top w:val="single" w:sz="4" w:space="0" w:color="auto"/>
              <w:left w:val="nil"/>
              <w:bottom w:val="single" w:sz="4" w:space="0" w:color="auto"/>
              <w:right w:val="single" w:sz="4" w:space="0" w:color="auto"/>
            </w:tcBorders>
            <w:shd w:val="clear" w:color="auto" w:fill="auto"/>
            <w:vAlign w:val="center"/>
          </w:tcPr>
          <w:p w14:paraId="0755AC94" w14:textId="77777777" w:rsidR="004A0123" w:rsidRPr="00640447" w:rsidRDefault="004A0123" w:rsidP="008A5C11">
            <w:pPr>
              <w:jc w:val="center"/>
              <w:rPr>
                <w:sz w:val="13"/>
                <w:szCs w:val="13"/>
              </w:rPr>
            </w:pPr>
            <w:r w:rsidRPr="00640447">
              <w:rPr>
                <w:sz w:val="13"/>
                <w:szCs w:val="13"/>
              </w:rPr>
              <w:t>6</w:t>
            </w:r>
          </w:p>
        </w:tc>
        <w:tc>
          <w:tcPr>
            <w:tcW w:w="189" w:type="pct"/>
            <w:tcBorders>
              <w:top w:val="single" w:sz="4" w:space="0" w:color="auto"/>
              <w:left w:val="nil"/>
              <w:bottom w:val="single" w:sz="4" w:space="0" w:color="auto"/>
              <w:right w:val="single" w:sz="4" w:space="0" w:color="auto"/>
            </w:tcBorders>
            <w:shd w:val="clear" w:color="auto" w:fill="auto"/>
            <w:vAlign w:val="center"/>
          </w:tcPr>
          <w:p w14:paraId="7CCA6EB2" w14:textId="77777777" w:rsidR="004A0123" w:rsidRPr="00640447" w:rsidRDefault="004A0123" w:rsidP="008A5C11">
            <w:pPr>
              <w:jc w:val="center"/>
              <w:rPr>
                <w:sz w:val="13"/>
                <w:szCs w:val="13"/>
              </w:rPr>
            </w:pPr>
            <w:r w:rsidRPr="00640447">
              <w:rPr>
                <w:sz w:val="13"/>
                <w:szCs w:val="13"/>
              </w:rPr>
              <w:t>2019</w:t>
            </w:r>
          </w:p>
        </w:tc>
        <w:tc>
          <w:tcPr>
            <w:tcW w:w="184" w:type="pct"/>
            <w:tcBorders>
              <w:top w:val="single" w:sz="4" w:space="0" w:color="auto"/>
              <w:left w:val="nil"/>
              <w:bottom w:val="single" w:sz="4" w:space="0" w:color="auto"/>
              <w:right w:val="single" w:sz="4" w:space="0" w:color="auto"/>
            </w:tcBorders>
            <w:shd w:val="clear" w:color="auto" w:fill="auto"/>
            <w:vAlign w:val="center"/>
          </w:tcPr>
          <w:p w14:paraId="7D05A70F" w14:textId="77777777" w:rsidR="004A0123" w:rsidRPr="00640447" w:rsidRDefault="004A0123" w:rsidP="008A5C11">
            <w:pPr>
              <w:jc w:val="center"/>
              <w:rPr>
                <w:sz w:val="13"/>
                <w:szCs w:val="13"/>
              </w:rPr>
            </w:pPr>
            <w:r w:rsidRPr="00640447">
              <w:rPr>
                <w:sz w:val="13"/>
                <w:szCs w:val="13"/>
              </w:rPr>
              <w:t>2021</w:t>
            </w:r>
          </w:p>
        </w:tc>
        <w:tc>
          <w:tcPr>
            <w:tcW w:w="180" w:type="pct"/>
            <w:tcBorders>
              <w:top w:val="single" w:sz="4" w:space="0" w:color="auto"/>
              <w:left w:val="nil"/>
              <w:bottom w:val="single" w:sz="4" w:space="0" w:color="auto"/>
              <w:right w:val="single" w:sz="4" w:space="0" w:color="auto"/>
            </w:tcBorders>
            <w:shd w:val="clear" w:color="auto" w:fill="auto"/>
            <w:vAlign w:val="center"/>
          </w:tcPr>
          <w:p w14:paraId="5CE6E927" w14:textId="77777777" w:rsidR="004A0123" w:rsidRPr="00640447" w:rsidRDefault="004A0123" w:rsidP="008A5C11">
            <w:pPr>
              <w:jc w:val="center"/>
              <w:rPr>
                <w:sz w:val="13"/>
                <w:szCs w:val="13"/>
              </w:rPr>
            </w:pPr>
            <w:r w:rsidRPr="00640447">
              <w:rPr>
                <w:sz w:val="13"/>
                <w:szCs w:val="13"/>
              </w:rPr>
              <w:t>65379</w:t>
            </w:r>
          </w:p>
        </w:tc>
        <w:tc>
          <w:tcPr>
            <w:tcW w:w="187" w:type="pct"/>
            <w:tcBorders>
              <w:top w:val="single" w:sz="4" w:space="0" w:color="auto"/>
              <w:left w:val="nil"/>
              <w:bottom w:val="single" w:sz="4" w:space="0" w:color="auto"/>
              <w:right w:val="single" w:sz="4" w:space="0" w:color="auto"/>
            </w:tcBorders>
            <w:shd w:val="clear" w:color="auto" w:fill="auto"/>
            <w:vAlign w:val="center"/>
          </w:tcPr>
          <w:p w14:paraId="218B5D01" w14:textId="77777777" w:rsidR="004A0123" w:rsidRPr="00640447" w:rsidRDefault="004A0123" w:rsidP="008A5C11">
            <w:pPr>
              <w:jc w:val="center"/>
              <w:rPr>
                <w:sz w:val="13"/>
                <w:szCs w:val="13"/>
              </w:rPr>
            </w:pPr>
            <w:r w:rsidRPr="00640447">
              <w:rPr>
                <w:sz w:val="13"/>
                <w:szCs w:val="13"/>
              </w:rPr>
              <w:t>0</w:t>
            </w:r>
          </w:p>
        </w:tc>
        <w:tc>
          <w:tcPr>
            <w:tcW w:w="146" w:type="pct"/>
            <w:tcBorders>
              <w:top w:val="single" w:sz="4" w:space="0" w:color="auto"/>
              <w:left w:val="single" w:sz="4" w:space="0" w:color="auto"/>
              <w:bottom w:val="single" w:sz="4" w:space="0" w:color="auto"/>
              <w:right w:val="single" w:sz="4" w:space="0" w:color="auto"/>
            </w:tcBorders>
            <w:shd w:val="clear" w:color="auto" w:fill="auto"/>
            <w:vAlign w:val="center"/>
          </w:tcPr>
          <w:p w14:paraId="7A7BAF0D" w14:textId="77777777" w:rsidR="004A0123" w:rsidRPr="00640447" w:rsidRDefault="004A0123" w:rsidP="008A5C11">
            <w:pPr>
              <w:jc w:val="center"/>
              <w:rPr>
                <w:sz w:val="13"/>
                <w:szCs w:val="13"/>
              </w:rPr>
            </w:pPr>
            <w:r w:rsidRPr="00640447">
              <w:rPr>
                <w:sz w:val="13"/>
                <w:szCs w:val="13"/>
              </w:rPr>
              <w:t>64495</w:t>
            </w:r>
          </w:p>
        </w:tc>
        <w:tc>
          <w:tcPr>
            <w:tcW w:w="149" w:type="pct"/>
            <w:tcBorders>
              <w:top w:val="single" w:sz="4" w:space="0" w:color="auto"/>
              <w:left w:val="nil"/>
              <w:bottom w:val="single" w:sz="4" w:space="0" w:color="auto"/>
              <w:right w:val="single" w:sz="4" w:space="0" w:color="auto"/>
            </w:tcBorders>
            <w:shd w:val="clear" w:color="auto" w:fill="auto"/>
            <w:vAlign w:val="center"/>
          </w:tcPr>
          <w:p w14:paraId="75F76EB2" w14:textId="77777777" w:rsidR="004A0123" w:rsidRPr="00640447" w:rsidRDefault="004A0123" w:rsidP="008A5C11">
            <w:pPr>
              <w:jc w:val="center"/>
              <w:rPr>
                <w:sz w:val="13"/>
                <w:szCs w:val="13"/>
              </w:rPr>
            </w:pPr>
            <w:r w:rsidRPr="00640447">
              <w:rPr>
                <w:sz w:val="13"/>
                <w:szCs w:val="13"/>
              </w:rPr>
              <w:t>0</w:t>
            </w:r>
          </w:p>
        </w:tc>
        <w:tc>
          <w:tcPr>
            <w:tcW w:w="183" w:type="pct"/>
            <w:tcBorders>
              <w:top w:val="single" w:sz="4" w:space="0" w:color="auto"/>
              <w:left w:val="nil"/>
              <w:bottom w:val="single" w:sz="4" w:space="0" w:color="auto"/>
              <w:right w:val="single" w:sz="4" w:space="0" w:color="auto"/>
            </w:tcBorders>
            <w:shd w:val="clear" w:color="auto" w:fill="auto"/>
            <w:vAlign w:val="center"/>
          </w:tcPr>
          <w:p w14:paraId="305E8EF0" w14:textId="77777777" w:rsidR="004A0123" w:rsidRPr="00640447" w:rsidRDefault="004A0123" w:rsidP="008A5C11">
            <w:pPr>
              <w:jc w:val="center"/>
              <w:rPr>
                <w:sz w:val="13"/>
                <w:szCs w:val="13"/>
              </w:rPr>
            </w:pPr>
            <w:r w:rsidRPr="00640447">
              <w:rPr>
                <w:sz w:val="13"/>
                <w:szCs w:val="13"/>
              </w:rPr>
              <w:t>884</w:t>
            </w:r>
          </w:p>
        </w:tc>
        <w:tc>
          <w:tcPr>
            <w:tcW w:w="183" w:type="pct"/>
            <w:tcBorders>
              <w:top w:val="single" w:sz="4" w:space="0" w:color="auto"/>
              <w:left w:val="nil"/>
              <w:bottom w:val="single" w:sz="4" w:space="0" w:color="auto"/>
              <w:right w:val="single" w:sz="4" w:space="0" w:color="auto"/>
            </w:tcBorders>
            <w:shd w:val="clear" w:color="auto" w:fill="auto"/>
            <w:vAlign w:val="center"/>
          </w:tcPr>
          <w:p w14:paraId="369E52CC" w14:textId="77777777" w:rsidR="004A0123" w:rsidRPr="00640447" w:rsidRDefault="004A0123" w:rsidP="008A5C11">
            <w:pPr>
              <w:jc w:val="center"/>
              <w:rPr>
                <w:sz w:val="13"/>
                <w:szCs w:val="13"/>
              </w:rPr>
            </w:pPr>
            <w:r w:rsidRPr="00640447">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72DB2C21" w14:textId="77777777" w:rsidR="004A0123" w:rsidRPr="00640447" w:rsidRDefault="004A0123" w:rsidP="008A5C11">
            <w:pPr>
              <w:jc w:val="center"/>
              <w:rPr>
                <w:sz w:val="13"/>
                <w:szCs w:val="13"/>
              </w:rPr>
            </w:pPr>
            <w:r w:rsidRPr="00640447">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5D38EDE4" w14:textId="77777777" w:rsidR="004A0123" w:rsidRPr="00640447" w:rsidRDefault="004A0123" w:rsidP="008A5C11">
            <w:pPr>
              <w:jc w:val="center"/>
              <w:rPr>
                <w:sz w:val="13"/>
                <w:szCs w:val="13"/>
              </w:rPr>
            </w:pPr>
            <w:r w:rsidRPr="00640447">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6C0B2010" w14:textId="77777777" w:rsidR="004A0123" w:rsidRPr="00640447" w:rsidRDefault="004A0123" w:rsidP="008A5C11">
            <w:pPr>
              <w:jc w:val="center"/>
              <w:rPr>
                <w:sz w:val="13"/>
                <w:szCs w:val="13"/>
              </w:rPr>
            </w:pPr>
            <w:r w:rsidRPr="00640447">
              <w:rPr>
                <w:sz w:val="13"/>
                <w:szCs w:val="13"/>
              </w:rPr>
              <w:t>0</w:t>
            </w:r>
          </w:p>
        </w:tc>
        <w:tc>
          <w:tcPr>
            <w:tcW w:w="174" w:type="pct"/>
            <w:tcBorders>
              <w:top w:val="single" w:sz="4" w:space="0" w:color="auto"/>
              <w:left w:val="single" w:sz="4" w:space="0" w:color="auto"/>
              <w:bottom w:val="single" w:sz="4" w:space="0" w:color="auto"/>
              <w:right w:val="single" w:sz="4" w:space="0" w:color="auto"/>
            </w:tcBorders>
            <w:vAlign w:val="center"/>
          </w:tcPr>
          <w:p w14:paraId="01D9F6A9" w14:textId="77777777" w:rsidR="004A0123" w:rsidRPr="00640447" w:rsidRDefault="004A0123" w:rsidP="008A5C11">
            <w:pPr>
              <w:jc w:val="center"/>
              <w:rPr>
                <w:sz w:val="13"/>
                <w:szCs w:val="13"/>
              </w:rPr>
            </w:pPr>
            <w:r w:rsidRPr="00640447">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21D853CA" w14:textId="77777777" w:rsidR="004A0123" w:rsidRPr="00640447" w:rsidRDefault="004A0123" w:rsidP="008A5C11">
            <w:pPr>
              <w:jc w:val="center"/>
              <w:rPr>
                <w:sz w:val="13"/>
                <w:szCs w:val="13"/>
              </w:rPr>
            </w:pPr>
            <w:r w:rsidRPr="00640447">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03132E2D" w14:textId="77777777" w:rsidR="004A0123" w:rsidRPr="00640447" w:rsidRDefault="004A0123" w:rsidP="008A5C11">
            <w:pPr>
              <w:jc w:val="center"/>
              <w:rPr>
                <w:sz w:val="13"/>
                <w:szCs w:val="13"/>
              </w:rPr>
            </w:pPr>
            <w:r w:rsidRPr="00640447">
              <w:rPr>
                <w:sz w:val="13"/>
                <w:szCs w:val="13"/>
              </w:rPr>
              <w:t>0</w:t>
            </w:r>
          </w:p>
        </w:tc>
        <w:tc>
          <w:tcPr>
            <w:tcW w:w="188" w:type="pct"/>
            <w:tcBorders>
              <w:top w:val="single" w:sz="4" w:space="0" w:color="auto"/>
              <w:left w:val="single" w:sz="4" w:space="0" w:color="auto"/>
              <w:bottom w:val="single" w:sz="4" w:space="0" w:color="auto"/>
              <w:right w:val="single" w:sz="4" w:space="0" w:color="auto"/>
            </w:tcBorders>
            <w:vAlign w:val="center"/>
          </w:tcPr>
          <w:p w14:paraId="11DF2AE6" w14:textId="77777777" w:rsidR="004A0123" w:rsidRPr="00640447" w:rsidRDefault="004A0123" w:rsidP="008A5C11">
            <w:pPr>
              <w:jc w:val="center"/>
              <w:rPr>
                <w:sz w:val="13"/>
                <w:szCs w:val="13"/>
              </w:rPr>
            </w:pPr>
            <w:r w:rsidRPr="00640447">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397D7606" w14:textId="77777777" w:rsidR="004A0123" w:rsidRPr="00640447" w:rsidRDefault="004A0123" w:rsidP="008A5C11">
            <w:pPr>
              <w:jc w:val="center"/>
              <w:rPr>
                <w:sz w:val="13"/>
                <w:szCs w:val="13"/>
              </w:rPr>
            </w:pPr>
            <w:r w:rsidRPr="00640447">
              <w:rPr>
                <w:sz w:val="13"/>
                <w:szCs w:val="13"/>
              </w:rPr>
              <w:t>0</w:t>
            </w:r>
          </w:p>
        </w:tc>
      </w:tr>
      <w:tr w:rsidR="004A0123" w:rsidRPr="00640447" w14:paraId="47BA75FF" w14:textId="77777777" w:rsidTr="008A5C11">
        <w:trPr>
          <w:trHeight w:val="212"/>
        </w:trPr>
        <w:tc>
          <w:tcPr>
            <w:tcW w:w="146" w:type="pct"/>
            <w:shd w:val="clear" w:color="auto" w:fill="auto"/>
            <w:vAlign w:val="center"/>
          </w:tcPr>
          <w:p w14:paraId="483A2B55" w14:textId="77777777" w:rsidR="004A0123" w:rsidRPr="00640447" w:rsidRDefault="004A0123" w:rsidP="008A5C11">
            <w:pPr>
              <w:jc w:val="center"/>
              <w:rPr>
                <w:sz w:val="13"/>
                <w:szCs w:val="13"/>
              </w:rPr>
            </w:pPr>
            <w:r w:rsidRPr="00640447">
              <w:rPr>
                <w:sz w:val="13"/>
                <w:szCs w:val="13"/>
              </w:rPr>
              <w:t>2.1.2.</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7A9D3185" w14:textId="77777777" w:rsidR="004A0123" w:rsidRPr="00640447" w:rsidRDefault="004A0123" w:rsidP="008A5C11">
            <w:pPr>
              <w:rPr>
                <w:color w:val="000000"/>
                <w:sz w:val="13"/>
                <w:szCs w:val="13"/>
              </w:rPr>
            </w:pPr>
            <w:r w:rsidRPr="00640447">
              <w:rPr>
                <w:color w:val="000000"/>
                <w:sz w:val="13"/>
                <w:szCs w:val="13"/>
              </w:rPr>
              <w:t>Установка котельной «Терморобот» вместо котельной № 26</w:t>
            </w:r>
          </w:p>
        </w:tc>
        <w:tc>
          <w:tcPr>
            <w:tcW w:w="359" w:type="pct"/>
            <w:tcBorders>
              <w:top w:val="single" w:sz="4" w:space="0" w:color="auto"/>
              <w:left w:val="nil"/>
              <w:bottom w:val="single" w:sz="4" w:space="0" w:color="auto"/>
              <w:right w:val="single" w:sz="4" w:space="0" w:color="auto"/>
            </w:tcBorders>
            <w:shd w:val="clear" w:color="auto" w:fill="auto"/>
            <w:vAlign w:val="center"/>
          </w:tcPr>
          <w:p w14:paraId="7B81ACC1" w14:textId="77777777" w:rsidR="004A0123" w:rsidRPr="00640447" w:rsidRDefault="004A0123" w:rsidP="008A5C11">
            <w:pPr>
              <w:jc w:val="center"/>
              <w:rPr>
                <w:color w:val="000000"/>
                <w:sz w:val="13"/>
                <w:szCs w:val="13"/>
              </w:rPr>
            </w:pPr>
            <w:r w:rsidRPr="00640447">
              <w:rPr>
                <w:color w:val="000000"/>
                <w:sz w:val="13"/>
                <w:szCs w:val="13"/>
              </w:rPr>
              <w:t>Обеспечение тепловой энергией потребителей</w:t>
            </w:r>
          </w:p>
        </w:tc>
        <w:tc>
          <w:tcPr>
            <w:tcW w:w="360" w:type="pct"/>
            <w:tcBorders>
              <w:top w:val="single" w:sz="4" w:space="0" w:color="auto"/>
              <w:left w:val="nil"/>
              <w:bottom w:val="single" w:sz="4" w:space="0" w:color="auto"/>
              <w:right w:val="single" w:sz="4" w:space="0" w:color="auto"/>
            </w:tcBorders>
            <w:shd w:val="clear" w:color="auto" w:fill="auto"/>
            <w:vAlign w:val="center"/>
          </w:tcPr>
          <w:p w14:paraId="38CD689E" w14:textId="77777777" w:rsidR="004A0123" w:rsidRPr="00640447" w:rsidRDefault="004A0123" w:rsidP="008A5C11">
            <w:pPr>
              <w:jc w:val="center"/>
              <w:rPr>
                <w:color w:val="000000"/>
                <w:sz w:val="13"/>
                <w:szCs w:val="13"/>
              </w:rPr>
            </w:pPr>
            <w:r w:rsidRPr="00640447">
              <w:rPr>
                <w:color w:val="000000"/>
                <w:sz w:val="13"/>
                <w:szCs w:val="13"/>
              </w:rPr>
              <w:t xml:space="preserve">г. Ленинск-Кузнецкий, </w:t>
            </w:r>
          </w:p>
          <w:p w14:paraId="3B333CA8" w14:textId="77777777" w:rsidR="004A0123" w:rsidRPr="00640447" w:rsidRDefault="004A0123" w:rsidP="008A5C11">
            <w:pPr>
              <w:jc w:val="center"/>
              <w:rPr>
                <w:color w:val="000000"/>
                <w:sz w:val="13"/>
                <w:szCs w:val="13"/>
              </w:rPr>
            </w:pPr>
            <w:r w:rsidRPr="00640447">
              <w:rPr>
                <w:color w:val="000000"/>
                <w:sz w:val="13"/>
                <w:szCs w:val="13"/>
              </w:rPr>
              <w:t>ул. Кутузова, 6а</w:t>
            </w:r>
          </w:p>
        </w:tc>
        <w:tc>
          <w:tcPr>
            <w:tcW w:w="338" w:type="pct"/>
            <w:tcBorders>
              <w:top w:val="single" w:sz="4" w:space="0" w:color="auto"/>
              <w:left w:val="nil"/>
              <w:bottom w:val="single" w:sz="4" w:space="0" w:color="auto"/>
              <w:right w:val="single" w:sz="4" w:space="0" w:color="auto"/>
            </w:tcBorders>
            <w:shd w:val="clear" w:color="auto" w:fill="auto"/>
            <w:vAlign w:val="center"/>
          </w:tcPr>
          <w:p w14:paraId="37AAC8E8" w14:textId="77777777" w:rsidR="004A0123" w:rsidRPr="00640447" w:rsidRDefault="004A0123" w:rsidP="008A5C11">
            <w:pPr>
              <w:jc w:val="center"/>
              <w:rPr>
                <w:sz w:val="13"/>
                <w:szCs w:val="13"/>
              </w:rPr>
            </w:pPr>
            <w:r w:rsidRPr="00640447">
              <w:rPr>
                <w:sz w:val="13"/>
                <w:szCs w:val="13"/>
              </w:rPr>
              <w:t>Установленная мощность</w:t>
            </w:r>
          </w:p>
        </w:tc>
        <w:tc>
          <w:tcPr>
            <w:tcW w:w="116" w:type="pct"/>
            <w:tcBorders>
              <w:top w:val="single" w:sz="4" w:space="0" w:color="auto"/>
              <w:left w:val="nil"/>
              <w:bottom w:val="single" w:sz="4" w:space="0" w:color="auto"/>
              <w:right w:val="single" w:sz="4" w:space="0" w:color="auto"/>
            </w:tcBorders>
            <w:shd w:val="clear" w:color="auto" w:fill="auto"/>
            <w:vAlign w:val="center"/>
          </w:tcPr>
          <w:p w14:paraId="2DEA37E3" w14:textId="77777777" w:rsidR="004A0123" w:rsidRPr="00640447" w:rsidRDefault="004A0123" w:rsidP="008A5C11">
            <w:pPr>
              <w:jc w:val="center"/>
              <w:rPr>
                <w:sz w:val="13"/>
                <w:szCs w:val="13"/>
              </w:rPr>
            </w:pPr>
            <w:r w:rsidRPr="00640447">
              <w:rPr>
                <w:sz w:val="13"/>
                <w:szCs w:val="13"/>
              </w:rPr>
              <w:t>МВт</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0D6EBD82" w14:textId="77777777" w:rsidR="004A0123" w:rsidRPr="00640447" w:rsidRDefault="004A0123" w:rsidP="008A5C11">
            <w:pPr>
              <w:jc w:val="center"/>
              <w:rPr>
                <w:sz w:val="13"/>
                <w:szCs w:val="13"/>
              </w:rPr>
            </w:pPr>
            <w:r w:rsidRPr="00640447">
              <w:rPr>
                <w:sz w:val="13"/>
                <w:szCs w:val="13"/>
              </w:rPr>
              <w:t>3,5</w:t>
            </w:r>
          </w:p>
        </w:tc>
        <w:tc>
          <w:tcPr>
            <w:tcW w:w="174" w:type="pct"/>
            <w:tcBorders>
              <w:top w:val="single" w:sz="4" w:space="0" w:color="auto"/>
              <w:left w:val="nil"/>
              <w:bottom w:val="single" w:sz="4" w:space="0" w:color="auto"/>
              <w:right w:val="single" w:sz="4" w:space="0" w:color="auto"/>
            </w:tcBorders>
            <w:shd w:val="clear" w:color="auto" w:fill="auto"/>
            <w:vAlign w:val="center"/>
          </w:tcPr>
          <w:p w14:paraId="6C68E6FC" w14:textId="77777777" w:rsidR="004A0123" w:rsidRPr="00640447" w:rsidRDefault="004A0123" w:rsidP="008A5C11">
            <w:pPr>
              <w:jc w:val="center"/>
              <w:rPr>
                <w:sz w:val="13"/>
                <w:szCs w:val="13"/>
              </w:rPr>
            </w:pPr>
            <w:r w:rsidRPr="00640447">
              <w:rPr>
                <w:sz w:val="13"/>
                <w:szCs w:val="13"/>
              </w:rPr>
              <w:t>3,5</w:t>
            </w:r>
          </w:p>
        </w:tc>
        <w:tc>
          <w:tcPr>
            <w:tcW w:w="189" w:type="pct"/>
            <w:tcBorders>
              <w:top w:val="single" w:sz="4" w:space="0" w:color="auto"/>
              <w:left w:val="nil"/>
              <w:bottom w:val="single" w:sz="4" w:space="0" w:color="auto"/>
              <w:right w:val="single" w:sz="4" w:space="0" w:color="auto"/>
            </w:tcBorders>
            <w:shd w:val="clear" w:color="auto" w:fill="auto"/>
            <w:vAlign w:val="center"/>
          </w:tcPr>
          <w:p w14:paraId="0F724BAF" w14:textId="77777777" w:rsidR="004A0123" w:rsidRPr="00640447" w:rsidRDefault="004A0123" w:rsidP="008A5C11">
            <w:pPr>
              <w:jc w:val="center"/>
              <w:rPr>
                <w:sz w:val="13"/>
                <w:szCs w:val="13"/>
              </w:rPr>
            </w:pPr>
            <w:r w:rsidRPr="00640447">
              <w:rPr>
                <w:sz w:val="13"/>
                <w:szCs w:val="13"/>
              </w:rPr>
              <w:t>2020</w:t>
            </w:r>
          </w:p>
        </w:tc>
        <w:tc>
          <w:tcPr>
            <w:tcW w:w="184" w:type="pct"/>
            <w:tcBorders>
              <w:top w:val="single" w:sz="4" w:space="0" w:color="auto"/>
              <w:left w:val="nil"/>
              <w:bottom w:val="single" w:sz="4" w:space="0" w:color="auto"/>
              <w:right w:val="single" w:sz="4" w:space="0" w:color="auto"/>
            </w:tcBorders>
            <w:shd w:val="clear" w:color="auto" w:fill="auto"/>
            <w:vAlign w:val="center"/>
          </w:tcPr>
          <w:p w14:paraId="2ECE2F0C" w14:textId="77777777" w:rsidR="004A0123" w:rsidRPr="00640447" w:rsidRDefault="004A0123" w:rsidP="008A5C11">
            <w:pPr>
              <w:jc w:val="center"/>
              <w:rPr>
                <w:sz w:val="13"/>
                <w:szCs w:val="13"/>
              </w:rPr>
            </w:pPr>
            <w:r w:rsidRPr="00640447">
              <w:rPr>
                <w:sz w:val="13"/>
                <w:szCs w:val="13"/>
              </w:rPr>
              <w:t>2021</w:t>
            </w:r>
          </w:p>
        </w:tc>
        <w:tc>
          <w:tcPr>
            <w:tcW w:w="180" w:type="pct"/>
            <w:tcBorders>
              <w:top w:val="single" w:sz="4" w:space="0" w:color="auto"/>
              <w:left w:val="nil"/>
              <w:bottom w:val="single" w:sz="4" w:space="0" w:color="auto"/>
              <w:right w:val="single" w:sz="4" w:space="0" w:color="auto"/>
            </w:tcBorders>
            <w:shd w:val="clear" w:color="auto" w:fill="auto"/>
            <w:vAlign w:val="center"/>
          </w:tcPr>
          <w:p w14:paraId="36EFBB39" w14:textId="77777777" w:rsidR="004A0123" w:rsidRPr="00640447" w:rsidRDefault="004A0123" w:rsidP="008A5C11">
            <w:pPr>
              <w:jc w:val="center"/>
              <w:rPr>
                <w:sz w:val="13"/>
                <w:szCs w:val="13"/>
              </w:rPr>
            </w:pPr>
            <w:r w:rsidRPr="00640447">
              <w:rPr>
                <w:sz w:val="13"/>
                <w:szCs w:val="13"/>
              </w:rPr>
              <w:t>29831</w:t>
            </w:r>
          </w:p>
        </w:tc>
        <w:tc>
          <w:tcPr>
            <w:tcW w:w="187" w:type="pct"/>
            <w:tcBorders>
              <w:top w:val="single" w:sz="4" w:space="0" w:color="auto"/>
              <w:left w:val="nil"/>
              <w:bottom w:val="single" w:sz="4" w:space="0" w:color="auto"/>
              <w:right w:val="single" w:sz="4" w:space="0" w:color="auto"/>
            </w:tcBorders>
            <w:shd w:val="clear" w:color="auto" w:fill="auto"/>
            <w:vAlign w:val="center"/>
          </w:tcPr>
          <w:p w14:paraId="25EE47B6" w14:textId="77777777" w:rsidR="004A0123" w:rsidRPr="00640447" w:rsidRDefault="004A0123" w:rsidP="008A5C11">
            <w:pPr>
              <w:jc w:val="center"/>
              <w:rPr>
                <w:sz w:val="13"/>
                <w:szCs w:val="13"/>
              </w:rPr>
            </w:pPr>
            <w:r w:rsidRPr="00640447">
              <w:rPr>
                <w:sz w:val="13"/>
                <w:szCs w:val="13"/>
              </w:rPr>
              <w:t>0</w:t>
            </w:r>
          </w:p>
        </w:tc>
        <w:tc>
          <w:tcPr>
            <w:tcW w:w="146" w:type="pct"/>
            <w:tcBorders>
              <w:top w:val="single" w:sz="4" w:space="0" w:color="auto"/>
              <w:left w:val="single" w:sz="4" w:space="0" w:color="auto"/>
              <w:bottom w:val="single" w:sz="4" w:space="0" w:color="auto"/>
              <w:right w:val="single" w:sz="4" w:space="0" w:color="auto"/>
            </w:tcBorders>
            <w:shd w:val="clear" w:color="auto" w:fill="auto"/>
            <w:vAlign w:val="center"/>
          </w:tcPr>
          <w:p w14:paraId="4141C7F7" w14:textId="77777777" w:rsidR="004A0123" w:rsidRPr="00640447" w:rsidRDefault="004A0123" w:rsidP="008A5C11">
            <w:pPr>
              <w:jc w:val="center"/>
              <w:rPr>
                <w:sz w:val="13"/>
                <w:szCs w:val="13"/>
              </w:rPr>
            </w:pPr>
            <w:r w:rsidRPr="00640447">
              <w:rPr>
                <w:sz w:val="13"/>
                <w:szCs w:val="13"/>
              </w:rPr>
              <w:t>0</w:t>
            </w:r>
          </w:p>
        </w:tc>
        <w:tc>
          <w:tcPr>
            <w:tcW w:w="149" w:type="pct"/>
            <w:tcBorders>
              <w:top w:val="single" w:sz="4" w:space="0" w:color="auto"/>
              <w:left w:val="nil"/>
              <w:bottom w:val="single" w:sz="4" w:space="0" w:color="auto"/>
              <w:right w:val="single" w:sz="4" w:space="0" w:color="auto"/>
            </w:tcBorders>
            <w:shd w:val="clear" w:color="auto" w:fill="auto"/>
            <w:vAlign w:val="center"/>
          </w:tcPr>
          <w:p w14:paraId="13A12713" w14:textId="77777777" w:rsidR="004A0123" w:rsidRPr="00640447" w:rsidRDefault="004A0123" w:rsidP="008A5C11">
            <w:pPr>
              <w:jc w:val="center"/>
              <w:rPr>
                <w:sz w:val="13"/>
                <w:szCs w:val="13"/>
              </w:rPr>
            </w:pPr>
            <w:r w:rsidRPr="00640447">
              <w:rPr>
                <w:sz w:val="13"/>
                <w:szCs w:val="13"/>
              </w:rPr>
              <w:t>17963</w:t>
            </w:r>
          </w:p>
        </w:tc>
        <w:tc>
          <w:tcPr>
            <w:tcW w:w="183" w:type="pct"/>
            <w:tcBorders>
              <w:top w:val="single" w:sz="4" w:space="0" w:color="auto"/>
              <w:left w:val="nil"/>
              <w:bottom w:val="single" w:sz="4" w:space="0" w:color="auto"/>
              <w:right w:val="single" w:sz="4" w:space="0" w:color="auto"/>
            </w:tcBorders>
            <w:shd w:val="clear" w:color="auto" w:fill="auto"/>
            <w:vAlign w:val="center"/>
          </w:tcPr>
          <w:p w14:paraId="2864BD4D" w14:textId="77777777" w:rsidR="004A0123" w:rsidRPr="00640447" w:rsidRDefault="004A0123" w:rsidP="008A5C11">
            <w:pPr>
              <w:jc w:val="center"/>
              <w:rPr>
                <w:sz w:val="13"/>
                <w:szCs w:val="13"/>
              </w:rPr>
            </w:pPr>
            <w:r w:rsidRPr="00640447">
              <w:rPr>
                <w:sz w:val="13"/>
                <w:szCs w:val="13"/>
              </w:rPr>
              <w:t>11868</w:t>
            </w:r>
          </w:p>
        </w:tc>
        <w:tc>
          <w:tcPr>
            <w:tcW w:w="183" w:type="pct"/>
            <w:tcBorders>
              <w:top w:val="single" w:sz="4" w:space="0" w:color="auto"/>
              <w:left w:val="nil"/>
              <w:bottom w:val="single" w:sz="4" w:space="0" w:color="auto"/>
              <w:right w:val="single" w:sz="4" w:space="0" w:color="auto"/>
            </w:tcBorders>
            <w:shd w:val="clear" w:color="auto" w:fill="auto"/>
            <w:vAlign w:val="center"/>
          </w:tcPr>
          <w:p w14:paraId="3BBEEBB2" w14:textId="77777777" w:rsidR="004A0123" w:rsidRPr="00640447" w:rsidRDefault="004A0123" w:rsidP="008A5C11">
            <w:pPr>
              <w:jc w:val="center"/>
              <w:rPr>
                <w:sz w:val="13"/>
                <w:szCs w:val="13"/>
              </w:rPr>
            </w:pPr>
            <w:r w:rsidRPr="00640447">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2664D266" w14:textId="77777777" w:rsidR="004A0123" w:rsidRPr="00640447" w:rsidRDefault="004A0123" w:rsidP="008A5C11">
            <w:pPr>
              <w:jc w:val="center"/>
              <w:rPr>
                <w:sz w:val="13"/>
                <w:szCs w:val="13"/>
              </w:rPr>
            </w:pPr>
            <w:r w:rsidRPr="00640447">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04E85884" w14:textId="77777777" w:rsidR="004A0123" w:rsidRPr="00640447" w:rsidRDefault="004A0123" w:rsidP="008A5C11">
            <w:pPr>
              <w:jc w:val="center"/>
              <w:rPr>
                <w:sz w:val="13"/>
                <w:szCs w:val="13"/>
              </w:rPr>
            </w:pPr>
            <w:r w:rsidRPr="00640447">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6098820A" w14:textId="77777777" w:rsidR="004A0123" w:rsidRPr="00640447" w:rsidRDefault="004A0123" w:rsidP="008A5C11">
            <w:pPr>
              <w:jc w:val="center"/>
              <w:rPr>
                <w:sz w:val="13"/>
                <w:szCs w:val="13"/>
              </w:rPr>
            </w:pPr>
            <w:r w:rsidRPr="00640447">
              <w:rPr>
                <w:sz w:val="13"/>
                <w:szCs w:val="13"/>
              </w:rPr>
              <w:t>0</w:t>
            </w:r>
          </w:p>
        </w:tc>
        <w:tc>
          <w:tcPr>
            <w:tcW w:w="174" w:type="pct"/>
            <w:tcBorders>
              <w:top w:val="single" w:sz="4" w:space="0" w:color="auto"/>
              <w:left w:val="single" w:sz="4" w:space="0" w:color="auto"/>
              <w:bottom w:val="single" w:sz="4" w:space="0" w:color="auto"/>
              <w:right w:val="single" w:sz="4" w:space="0" w:color="auto"/>
            </w:tcBorders>
            <w:vAlign w:val="center"/>
          </w:tcPr>
          <w:p w14:paraId="55C19B6A" w14:textId="77777777" w:rsidR="004A0123" w:rsidRPr="00640447" w:rsidRDefault="004A0123" w:rsidP="008A5C11">
            <w:pPr>
              <w:jc w:val="center"/>
              <w:rPr>
                <w:sz w:val="13"/>
                <w:szCs w:val="13"/>
              </w:rPr>
            </w:pPr>
            <w:r w:rsidRPr="00640447">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7F740CEB" w14:textId="77777777" w:rsidR="004A0123" w:rsidRPr="00640447" w:rsidRDefault="004A0123" w:rsidP="008A5C11">
            <w:pPr>
              <w:jc w:val="center"/>
              <w:rPr>
                <w:sz w:val="13"/>
                <w:szCs w:val="13"/>
              </w:rPr>
            </w:pPr>
            <w:r w:rsidRPr="00640447">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2220844A" w14:textId="77777777" w:rsidR="004A0123" w:rsidRPr="00640447" w:rsidRDefault="004A0123" w:rsidP="008A5C11">
            <w:pPr>
              <w:jc w:val="center"/>
              <w:rPr>
                <w:sz w:val="13"/>
                <w:szCs w:val="13"/>
              </w:rPr>
            </w:pPr>
            <w:r w:rsidRPr="00640447">
              <w:rPr>
                <w:sz w:val="13"/>
                <w:szCs w:val="13"/>
              </w:rPr>
              <w:t>0</w:t>
            </w:r>
          </w:p>
        </w:tc>
        <w:tc>
          <w:tcPr>
            <w:tcW w:w="188" w:type="pct"/>
            <w:tcBorders>
              <w:top w:val="single" w:sz="4" w:space="0" w:color="auto"/>
              <w:left w:val="single" w:sz="4" w:space="0" w:color="auto"/>
              <w:bottom w:val="single" w:sz="4" w:space="0" w:color="auto"/>
              <w:right w:val="single" w:sz="4" w:space="0" w:color="auto"/>
            </w:tcBorders>
            <w:vAlign w:val="center"/>
          </w:tcPr>
          <w:p w14:paraId="547FDA88" w14:textId="77777777" w:rsidR="004A0123" w:rsidRPr="00640447" w:rsidRDefault="004A0123" w:rsidP="008A5C11">
            <w:pPr>
              <w:jc w:val="center"/>
              <w:rPr>
                <w:sz w:val="13"/>
                <w:szCs w:val="13"/>
              </w:rPr>
            </w:pPr>
            <w:r w:rsidRPr="00640447">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47EF7078" w14:textId="77777777" w:rsidR="004A0123" w:rsidRPr="00640447" w:rsidRDefault="004A0123" w:rsidP="008A5C11">
            <w:pPr>
              <w:jc w:val="center"/>
              <w:rPr>
                <w:sz w:val="13"/>
                <w:szCs w:val="13"/>
              </w:rPr>
            </w:pPr>
            <w:r w:rsidRPr="00640447">
              <w:rPr>
                <w:sz w:val="13"/>
                <w:szCs w:val="13"/>
              </w:rPr>
              <w:t>0</w:t>
            </w:r>
          </w:p>
        </w:tc>
      </w:tr>
      <w:tr w:rsidR="004A0123" w:rsidRPr="00640447" w14:paraId="64D60650" w14:textId="77777777" w:rsidTr="008A5C11">
        <w:trPr>
          <w:trHeight w:val="212"/>
        </w:trPr>
        <w:tc>
          <w:tcPr>
            <w:tcW w:w="146" w:type="pct"/>
            <w:shd w:val="clear" w:color="auto" w:fill="auto"/>
            <w:vAlign w:val="center"/>
          </w:tcPr>
          <w:p w14:paraId="574D9FA3" w14:textId="77777777" w:rsidR="004A0123" w:rsidRPr="00640447" w:rsidRDefault="004A0123" w:rsidP="008A5C11">
            <w:pPr>
              <w:jc w:val="center"/>
              <w:rPr>
                <w:sz w:val="13"/>
                <w:szCs w:val="13"/>
              </w:rPr>
            </w:pPr>
            <w:r w:rsidRPr="00640447">
              <w:rPr>
                <w:sz w:val="13"/>
                <w:szCs w:val="13"/>
              </w:rPr>
              <w:t>2.1.3.</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57F20E8C" w14:textId="77777777" w:rsidR="004A0123" w:rsidRPr="00640447" w:rsidRDefault="004A0123" w:rsidP="008A5C11">
            <w:pPr>
              <w:rPr>
                <w:color w:val="000000"/>
                <w:sz w:val="13"/>
                <w:szCs w:val="13"/>
              </w:rPr>
            </w:pPr>
            <w:r w:rsidRPr="00640447">
              <w:rPr>
                <w:color w:val="000000"/>
                <w:sz w:val="13"/>
                <w:szCs w:val="13"/>
              </w:rPr>
              <w:t>Реконструкция теплосетевого комплекса юго-восточного планировочного района: закрытие котельной № 20 с переключением тепловых нагрузок на котельную ш.7-го Ноября</w:t>
            </w:r>
          </w:p>
        </w:tc>
        <w:tc>
          <w:tcPr>
            <w:tcW w:w="359" w:type="pct"/>
            <w:tcBorders>
              <w:top w:val="single" w:sz="4" w:space="0" w:color="auto"/>
              <w:left w:val="nil"/>
              <w:bottom w:val="single" w:sz="4" w:space="0" w:color="auto"/>
              <w:right w:val="single" w:sz="4" w:space="0" w:color="auto"/>
            </w:tcBorders>
            <w:shd w:val="clear" w:color="auto" w:fill="auto"/>
            <w:vAlign w:val="center"/>
          </w:tcPr>
          <w:p w14:paraId="7C2504FF" w14:textId="77777777" w:rsidR="004A0123" w:rsidRPr="00640447" w:rsidRDefault="004A0123" w:rsidP="008A5C11">
            <w:pPr>
              <w:jc w:val="center"/>
              <w:rPr>
                <w:color w:val="000000"/>
                <w:sz w:val="13"/>
                <w:szCs w:val="13"/>
              </w:rPr>
            </w:pPr>
            <w:r w:rsidRPr="00640447">
              <w:rPr>
                <w:color w:val="000000"/>
                <w:sz w:val="13"/>
                <w:szCs w:val="13"/>
              </w:rPr>
              <w:t>Повышение надежности теплоснабжения</w:t>
            </w:r>
          </w:p>
        </w:tc>
        <w:tc>
          <w:tcPr>
            <w:tcW w:w="360" w:type="pct"/>
            <w:tcBorders>
              <w:top w:val="single" w:sz="4" w:space="0" w:color="auto"/>
              <w:left w:val="nil"/>
              <w:bottom w:val="single" w:sz="4" w:space="0" w:color="auto"/>
              <w:right w:val="single" w:sz="4" w:space="0" w:color="auto"/>
            </w:tcBorders>
            <w:shd w:val="clear" w:color="auto" w:fill="auto"/>
            <w:vAlign w:val="center"/>
          </w:tcPr>
          <w:p w14:paraId="333D994F" w14:textId="77777777" w:rsidR="004A0123" w:rsidRPr="00640447" w:rsidRDefault="004A0123" w:rsidP="008A5C11">
            <w:pPr>
              <w:jc w:val="center"/>
              <w:rPr>
                <w:color w:val="000000"/>
                <w:sz w:val="13"/>
                <w:szCs w:val="13"/>
              </w:rPr>
            </w:pPr>
            <w:r w:rsidRPr="00640447">
              <w:rPr>
                <w:color w:val="000000"/>
                <w:sz w:val="13"/>
                <w:szCs w:val="13"/>
              </w:rPr>
              <w:t xml:space="preserve">г. Ленинск-Кузнецкий, </w:t>
            </w:r>
          </w:p>
          <w:p w14:paraId="5D2F2A1D" w14:textId="77777777" w:rsidR="004A0123" w:rsidRPr="00640447" w:rsidRDefault="004A0123" w:rsidP="008A5C11">
            <w:pPr>
              <w:jc w:val="center"/>
              <w:rPr>
                <w:color w:val="000000"/>
                <w:sz w:val="13"/>
                <w:szCs w:val="13"/>
              </w:rPr>
            </w:pPr>
            <w:r w:rsidRPr="00640447">
              <w:rPr>
                <w:color w:val="000000"/>
                <w:sz w:val="13"/>
                <w:szCs w:val="13"/>
              </w:rPr>
              <w:t>ул. Рубинштейна, 2д</w:t>
            </w:r>
          </w:p>
        </w:tc>
        <w:tc>
          <w:tcPr>
            <w:tcW w:w="338" w:type="pct"/>
            <w:tcBorders>
              <w:top w:val="single" w:sz="4" w:space="0" w:color="auto"/>
              <w:left w:val="nil"/>
              <w:bottom w:val="single" w:sz="4" w:space="0" w:color="auto"/>
              <w:right w:val="single" w:sz="4" w:space="0" w:color="auto"/>
            </w:tcBorders>
            <w:shd w:val="clear" w:color="auto" w:fill="auto"/>
            <w:vAlign w:val="center"/>
          </w:tcPr>
          <w:p w14:paraId="756F8023" w14:textId="77777777" w:rsidR="004A0123" w:rsidRPr="00640447" w:rsidRDefault="004A0123" w:rsidP="008A5C11">
            <w:pPr>
              <w:jc w:val="center"/>
              <w:rPr>
                <w:sz w:val="13"/>
                <w:szCs w:val="13"/>
              </w:rPr>
            </w:pPr>
            <w:r w:rsidRPr="00640447">
              <w:rPr>
                <w:sz w:val="13"/>
                <w:szCs w:val="13"/>
              </w:rPr>
              <w:t>Протяженность (трассы)</w:t>
            </w:r>
          </w:p>
        </w:tc>
        <w:tc>
          <w:tcPr>
            <w:tcW w:w="116" w:type="pct"/>
            <w:tcBorders>
              <w:top w:val="single" w:sz="4" w:space="0" w:color="auto"/>
              <w:left w:val="nil"/>
              <w:bottom w:val="single" w:sz="4" w:space="0" w:color="auto"/>
              <w:right w:val="single" w:sz="4" w:space="0" w:color="auto"/>
            </w:tcBorders>
            <w:shd w:val="clear" w:color="auto" w:fill="auto"/>
            <w:vAlign w:val="center"/>
          </w:tcPr>
          <w:p w14:paraId="5193A43E" w14:textId="77777777" w:rsidR="004A0123" w:rsidRPr="00640447" w:rsidRDefault="004A0123" w:rsidP="008A5C11">
            <w:pPr>
              <w:jc w:val="center"/>
              <w:rPr>
                <w:sz w:val="13"/>
                <w:szCs w:val="13"/>
              </w:rPr>
            </w:pPr>
            <w:r w:rsidRPr="00640447">
              <w:rPr>
                <w:sz w:val="13"/>
                <w:szCs w:val="13"/>
              </w:rPr>
              <w:t>км</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2810BD29" w14:textId="77777777" w:rsidR="004A0123" w:rsidRPr="00640447" w:rsidRDefault="004A0123" w:rsidP="008A5C11">
            <w:pPr>
              <w:jc w:val="center"/>
              <w:rPr>
                <w:sz w:val="13"/>
                <w:szCs w:val="13"/>
              </w:rPr>
            </w:pPr>
            <w:r w:rsidRPr="00640447">
              <w:rPr>
                <w:sz w:val="13"/>
                <w:szCs w:val="13"/>
              </w:rPr>
              <w:t>0,0</w:t>
            </w:r>
          </w:p>
        </w:tc>
        <w:tc>
          <w:tcPr>
            <w:tcW w:w="174" w:type="pct"/>
            <w:tcBorders>
              <w:top w:val="single" w:sz="4" w:space="0" w:color="auto"/>
              <w:left w:val="nil"/>
              <w:bottom w:val="single" w:sz="4" w:space="0" w:color="auto"/>
              <w:right w:val="single" w:sz="4" w:space="0" w:color="auto"/>
            </w:tcBorders>
            <w:shd w:val="clear" w:color="auto" w:fill="auto"/>
            <w:vAlign w:val="center"/>
          </w:tcPr>
          <w:p w14:paraId="2535912F" w14:textId="77777777" w:rsidR="004A0123" w:rsidRPr="00640447" w:rsidRDefault="004A0123" w:rsidP="008A5C11">
            <w:pPr>
              <w:jc w:val="center"/>
              <w:rPr>
                <w:sz w:val="13"/>
                <w:szCs w:val="13"/>
              </w:rPr>
            </w:pPr>
            <w:r w:rsidRPr="00640447">
              <w:rPr>
                <w:sz w:val="13"/>
                <w:szCs w:val="13"/>
              </w:rPr>
              <w:t>0,9</w:t>
            </w:r>
          </w:p>
        </w:tc>
        <w:tc>
          <w:tcPr>
            <w:tcW w:w="189" w:type="pct"/>
            <w:tcBorders>
              <w:top w:val="single" w:sz="4" w:space="0" w:color="auto"/>
              <w:left w:val="nil"/>
              <w:bottom w:val="single" w:sz="4" w:space="0" w:color="auto"/>
              <w:right w:val="single" w:sz="4" w:space="0" w:color="auto"/>
            </w:tcBorders>
            <w:shd w:val="clear" w:color="auto" w:fill="auto"/>
            <w:vAlign w:val="center"/>
          </w:tcPr>
          <w:p w14:paraId="130F6FE6" w14:textId="77777777" w:rsidR="004A0123" w:rsidRPr="00640447" w:rsidRDefault="004A0123" w:rsidP="008A5C11">
            <w:pPr>
              <w:jc w:val="center"/>
              <w:rPr>
                <w:sz w:val="13"/>
                <w:szCs w:val="13"/>
              </w:rPr>
            </w:pPr>
            <w:r w:rsidRPr="00640447">
              <w:rPr>
                <w:sz w:val="13"/>
                <w:szCs w:val="13"/>
              </w:rPr>
              <w:t>2021</w:t>
            </w:r>
          </w:p>
        </w:tc>
        <w:tc>
          <w:tcPr>
            <w:tcW w:w="184" w:type="pct"/>
            <w:tcBorders>
              <w:top w:val="single" w:sz="4" w:space="0" w:color="auto"/>
              <w:left w:val="nil"/>
              <w:bottom w:val="single" w:sz="4" w:space="0" w:color="auto"/>
              <w:right w:val="single" w:sz="4" w:space="0" w:color="auto"/>
            </w:tcBorders>
            <w:shd w:val="clear" w:color="auto" w:fill="auto"/>
            <w:vAlign w:val="center"/>
          </w:tcPr>
          <w:p w14:paraId="52448A65" w14:textId="77777777" w:rsidR="004A0123" w:rsidRPr="00640447" w:rsidRDefault="004A0123" w:rsidP="008A5C11">
            <w:pPr>
              <w:jc w:val="center"/>
              <w:rPr>
                <w:sz w:val="13"/>
                <w:szCs w:val="13"/>
              </w:rPr>
            </w:pPr>
            <w:r w:rsidRPr="00640447">
              <w:rPr>
                <w:sz w:val="13"/>
                <w:szCs w:val="13"/>
              </w:rPr>
              <w:t>2022</w:t>
            </w:r>
          </w:p>
        </w:tc>
        <w:tc>
          <w:tcPr>
            <w:tcW w:w="180" w:type="pct"/>
            <w:tcBorders>
              <w:top w:val="single" w:sz="4" w:space="0" w:color="auto"/>
              <w:left w:val="nil"/>
              <w:bottom w:val="single" w:sz="4" w:space="0" w:color="auto"/>
              <w:right w:val="single" w:sz="4" w:space="0" w:color="auto"/>
            </w:tcBorders>
            <w:shd w:val="clear" w:color="auto" w:fill="auto"/>
            <w:vAlign w:val="center"/>
          </w:tcPr>
          <w:p w14:paraId="2A7E153E" w14:textId="77777777" w:rsidR="004A0123" w:rsidRPr="00640447" w:rsidRDefault="004A0123" w:rsidP="008A5C11">
            <w:pPr>
              <w:jc w:val="center"/>
              <w:rPr>
                <w:sz w:val="13"/>
                <w:szCs w:val="13"/>
              </w:rPr>
            </w:pPr>
            <w:r w:rsidRPr="00640447">
              <w:rPr>
                <w:sz w:val="13"/>
                <w:szCs w:val="13"/>
              </w:rPr>
              <w:t>82441</w:t>
            </w:r>
          </w:p>
        </w:tc>
        <w:tc>
          <w:tcPr>
            <w:tcW w:w="187" w:type="pct"/>
            <w:tcBorders>
              <w:top w:val="single" w:sz="4" w:space="0" w:color="auto"/>
              <w:left w:val="nil"/>
              <w:bottom w:val="single" w:sz="4" w:space="0" w:color="auto"/>
              <w:right w:val="single" w:sz="4" w:space="0" w:color="auto"/>
            </w:tcBorders>
            <w:shd w:val="clear" w:color="auto" w:fill="auto"/>
            <w:vAlign w:val="center"/>
          </w:tcPr>
          <w:p w14:paraId="4201A91D" w14:textId="77777777" w:rsidR="004A0123" w:rsidRPr="00640447" w:rsidRDefault="004A0123" w:rsidP="008A5C11">
            <w:pPr>
              <w:jc w:val="center"/>
              <w:rPr>
                <w:sz w:val="13"/>
                <w:szCs w:val="13"/>
              </w:rPr>
            </w:pPr>
            <w:r w:rsidRPr="00640447">
              <w:rPr>
                <w:sz w:val="13"/>
                <w:szCs w:val="13"/>
              </w:rPr>
              <w:t>0</w:t>
            </w:r>
          </w:p>
        </w:tc>
        <w:tc>
          <w:tcPr>
            <w:tcW w:w="146" w:type="pct"/>
            <w:tcBorders>
              <w:top w:val="single" w:sz="4" w:space="0" w:color="auto"/>
              <w:left w:val="single" w:sz="4" w:space="0" w:color="auto"/>
              <w:bottom w:val="single" w:sz="4" w:space="0" w:color="auto"/>
              <w:right w:val="single" w:sz="4" w:space="0" w:color="auto"/>
            </w:tcBorders>
            <w:shd w:val="clear" w:color="auto" w:fill="auto"/>
            <w:vAlign w:val="center"/>
          </w:tcPr>
          <w:p w14:paraId="54C1A336" w14:textId="77777777" w:rsidR="004A0123" w:rsidRPr="00640447" w:rsidRDefault="004A0123" w:rsidP="008A5C11">
            <w:pPr>
              <w:jc w:val="center"/>
              <w:rPr>
                <w:sz w:val="13"/>
                <w:szCs w:val="13"/>
              </w:rPr>
            </w:pPr>
            <w:r w:rsidRPr="00640447">
              <w:rPr>
                <w:sz w:val="13"/>
                <w:szCs w:val="13"/>
              </w:rPr>
              <w:t>0</w:t>
            </w:r>
          </w:p>
        </w:tc>
        <w:tc>
          <w:tcPr>
            <w:tcW w:w="149" w:type="pct"/>
            <w:tcBorders>
              <w:top w:val="single" w:sz="4" w:space="0" w:color="auto"/>
              <w:left w:val="nil"/>
              <w:bottom w:val="single" w:sz="4" w:space="0" w:color="auto"/>
              <w:right w:val="single" w:sz="4" w:space="0" w:color="auto"/>
            </w:tcBorders>
            <w:shd w:val="clear" w:color="auto" w:fill="auto"/>
            <w:vAlign w:val="center"/>
          </w:tcPr>
          <w:p w14:paraId="239F3B1E" w14:textId="77777777" w:rsidR="004A0123" w:rsidRPr="00640447" w:rsidRDefault="004A0123" w:rsidP="008A5C11">
            <w:pPr>
              <w:jc w:val="center"/>
              <w:rPr>
                <w:sz w:val="13"/>
                <w:szCs w:val="13"/>
              </w:rPr>
            </w:pPr>
            <w:r w:rsidRPr="00640447">
              <w:rPr>
                <w:sz w:val="13"/>
                <w:szCs w:val="13"/>
              </w:rPr>
              <w:t>18100</w:t>
            </w:r>
          </w:p>
        </w:tc>
        <w:tc>
          <w:tcPr>
            <w:tcW w:w="183" w:type="pct"/>
            <w:tcBorders>
              <w:top w:val="single" w:sz="4" w:space="0" w:color="auto"/>
              <w:left w:val="nil"/>
              <w:bottom w:val="single" w:sz="4" w:space="0" w:color="auto"/>
              <w:right w:val="single" w:sz="4" w:space="0" w:color="auto"/>
            </w:tcBorders>
            <w:shd w:val="clear" w:color="auto" w:fill="auto"/>
            <w:vAlign w:val="center"/>
          </w:tcPr>
          <w:p w14:paraId="2EABA1FA" w14:textId="77777777" w:rsidR="004A0123" w:rsidRPr="00640447" w:rsidRDefault="004A0123" w:rsidP="008A5C11">
            <w:pPr>
              <w:jc w:val="center"/>
              <w:rPr>
                <w:sz w:val="13"/>
                <w:szCs w:val="13"/>
              </w:rPr>
            </w:pPr>
            <w:r w:rsidRPr="00640447">
              <w:rPr>
                <w:sz w:val="13"/>
                <w:szCs w:val="13"/>
              </w:rPr>
              <w:t>32915</w:t>
            </w:r>
          </w:p>
        </w:tc>
        <w:tc>
          <w:tcPr>
            <w:tcW w:w="183" w:type="pct"/>
            <w:tcBorders>
              <w:top w:val="single" w:sz="4" w:space="0" w:color="auto"/>
              <w:left w:val="nil"/>
              <w:bottom w:val="single" w:sz="4" w:space="0" w:color="auto"/>
              <w:right w:val="single" w:sz="4" w:space="0" w:color="auto"/>
            </w:tcBorders>
            <w:shd w:val="clear" w:color="auto" w:fill="auto"/>
            <w:vAlign w:val="center"/>
          </w:tcPr>
          <w:p w14:paraId="0971B084" w14:textId="77777777" w:rsidR="004A0123" w:rsidRPr="00640447" w:rsidRDefault="004A0123" w:rsidP="008A5C11">
            <w:pPr>
              <w:jc w:val="center"/>
              <w:rPr>
                <w:sz w:val="13"/>
                <w:szCs w:val="13"/>
              </w:rPr>
            </w:pPr>
            <w:r w:rsidRPr="00640447">
              <w:rPr>
                <w:sz w:val="13"/>
                <w:szCs w:val="13"/>
              </w:rPr>
              <w:t>31426</w:t>
            </w:r>
          </w:p>
        </w:tc>
        <w:tc>
          <w:tcPr>
            <w:tcW w:w="155" w:type="pct"/>
            <w:tcBorders>
              <w:top w:val="single" w:sz="4" w:space="0" w:color="auto"/>
              <w:left w:val="single" w:sz="4" w:space="0" w:color="auto"/>
              <w:bottom w:val="single" w:sz="4" w:space="0" w:color="auto"/>
              <w:right w:val="single" w:sz="4" w:space="0" w:color="auto"/>
            </w:tcBorders>
            <w:vAlign w:val="center"/>
          </w:tcPr>
          <w:p w14:paraId="698D705F" w14:textId="77777777" w:rsidR="004A0123" w:rsidRPr="00640447" w:rsidRDefault="004A0123" w:rsidP="008A5C11">
            <w:pPr>
              <w:jc w:val="center"/>
              <w:rPr>
                <w:sz w:val="13"/>
                <w:szCs w:val="13"/>
              </w:rPr>
            </w:pPr>
            <w:r w:rsidRPr="00640447">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721CE418" w14:textId="77777777" w:rsidR="004A0123" w:rsidRPr="00640447" w:rsidRDefault="004A0123" w:rsidP="008A5C11">
            <w:pPr>
              <w:jc w:val="center"/>
              <w:rPr>
                <w:sz w:val="13"/>
                <w:szCs w:val="13"/>
              </w:rPr>
            </w:pPr>
            <w:r w:rsidRPr="00640447">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59676906" w14:textId="77777777" w:rsidR="004A0123" w:rsidRPr="00640447" w:rsidRDefault="004A0123" w:rsidP="008A5C11">
            <w:pPr>
              <w:jc w:val="center"/>
              <w:rPr>
                <w:sz w:val="13"/>
                <w:szCs w:val="13"/>
              </w:rPr>
            </w:pPr>
            <w:r w:rsidRPr="00640447">
              <w:rPr>
                <w:sz w:val="13"/>
                <w:szCs w:val="13"/>
              </w:rPr>
              <w:t>0</w:t>
            </w:r>
          </w:p>
        </w:tc>
        <w:tc>
          <w:tcPr>
            <w:tcW w:w="174" w:type="pct"/>
            <w:tcBorders>
              <w:top w:val="single" w:sz="4" w:space="0" w:color="auto"/>
              <w:left w:val="single" w:sz="4" w:space="0" w:color="auto"/>
              <w:bottom w:val="single" w:sz="4" w:space="0" w:color="auto"/>
              <w:right w:val="single" w:sz="4" w:space="0" w:color="auto"/>
            </w:tcBorders>
            <w:vAlign w:val="center"/>
          </w:tcPr>
          <w:p w14:paraId="6F34F234" w14:textId="77777777" w:rsidR="004A0123" w:rsidRPr="00640447" w:rsidRDefault="004A0123" w:rsidP="008A5C11">
            <w:pPr>
              <w:jc w:val="center"/>
              <w:rPr>
                <w:sz w:val="13"/>
                <w:szCs w:val="13"/>
              </w:rPr>
            </w:pPr>
            <w:r w:rsidRPr="00640447">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5D3CABBA" w14:textId="77777777" w:rsidR="004A0123" w:rsidRPr="00640447" w:rsidRDefault="004A0123" w:rsidP="008A5C11">
            <w:pPr>
              <w:jc w:val="center"/>
              <w:rPr>
                <w:sz w:val="13"/>
                <w:szCs w:val="13"/>
              </w:rPr>
            </w:pPr>
            <w:r w:rsidRPr="00640447">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7B94DBB4" w14:textId="77777777" w:rsidR="004A0123" w:rsidRPr="00640447" w:rsidRDefault="004A0123" w:rsidP="008A5C11">
            <w:pPr>
              <w:jc w:val="center"/>
              <w:rPr>
                <w:sz w:val="13"/>
                <w:szCs w:val="13"/>
              </w:rPr>
            </w:pPr>
            <w:r w:rsidRPr="00640447">
              <w:rPr>
                <w:sz w:val="13"/>
                <w:szCs w:val="13"/>
              </w:rPr>
              <w:t>0</w:t>
            </w:r>
          </w:p>
        </w:tc>
        <w:tc>
          <w:tcPr>
            <w:tcW w:w="188" w:type="pct"/>
            <w:tcBorders>
              <w:top w:val="single" w:sz="4" w:space="0" w:color="auto"/>
              <w:left w:val="single" w:sz="4" w:space="0" w:color="auto"/>
              <w:bottom w:val="single" w:sz="4" w:space="0" w:color="auto"/>
              <w:right w:val="single" w:sz="4" w:space="0" w:color="auto"/>
            </w:tcBorders>
            <w:vAlign w:val="center"/>
          </w:tcPr>
          <w:p w14:paraId="18BD8021" w14:textId="77777777" w:rsidR="004A0123" w:rsidRPr="00640447" w:rsidRDefault="004A0123" w:rsidP="008A5C11">
            <w:pPr>
              <w:jc w:val="center"/>
              <w:rPr>
                <w:sz w:val="13"/>
                <w:szCs w:val="13"/>
              </w:rPr>
            </w:pPr>
            <w:r w:rsidRPr="00640447">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38E92FA8" w14:textId="77777777" w:rsidR="004A0123" w:rsidRPr="00640447" w:rsidRDefault="004A0123" w:rsidP="008A5C11">
            <w:pPr>
              <w:jc w:val="center"/>
              <w:rPr>
                <w:sz w:val="13"/>
                <w:szCs w:val="13"/>
              </w:rPr>
            </w:pPr>
            <w:r w:rsidRPr="00640447">
              <w:rPr>
                <w:sz w:val="13"/>
                <w:szCs w:val="13"/>
              </w:rPr>
              <w:t>0</w:t>
            </w:r>
          </w:p>
        </w:tc>
      </w:tr>
      <w:tr w:rsidR="004A0123" w:rsidRPr="00640447" w14:paraId="1A925A05" w14:textId="77777777" w:rsidTr="008A5C11">
        <w:trPr>
          <w:trHeight w:val="212"/>
        </w:trPr>
        <w:tc>
          <w:tcPr>
            <w:tcW w:w="146" w:type="pct"/>
            <w:shd w:val="clear" w:color="auto" w:fill="auto"/>
            <w:vAlign w:val="center"/>
          </w:tcPr>
          <w:p w14:paraId="01BD1371" w14:textId="77777777" w:rsidR="004A0123" w:rsidRPr="00640447" w:rsidRDefault="004A0123" w:rsidP="008A5C11">
            <w:pPr>
              <w:jc w:val="center"/>
              <w:rPr>
                <w:sz w:val="13"/>
                <w:szCs w:val="13"/>
              </w:rPr>
            </w:pPr>
            <w:r w:rsidRPr="00640447">
              <w:rPr>
                <w:sz w:val="13"/>
                <w:szCs w:val="13"/>
              </w:rPr>
              <w:t>2.1.4.</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4D9F8A80" w14:textId="77777777" w:rsidR="004A0123" w:rsidRPr="00640447" w:rsidRDefault="004A0123" w:rsidP="008A5C11">
            <w:pPr>
              <w:rPr>
                <w:color w:val="000000"/>
                <w:sz w:val="13"/>
                <w:szCs w:val="13"/>
              </w:rPr>
            </w:pPr>
            <w:r w:rsidRPr="00640447">
              <w:rPr>
                <w:color w:val="000000"/>
                <w:sz w:val="13"/>
                <w:szCs w:val="13"/>
              </w:rPr>
              <w:t>Реконструкция теплосетевого комплекса центрального планировочного района: Закрытие котельной № 14 и №1 с переключением тепловых нагрузок на котельную "Центральная"</w:t>
            </w:r>
          </w:p>
        </w:tc>
        <w:tc>
          <w:tcPr>
            <w:tcW w:w="359" w:type="pct"/>
            <w:tcBorders>
              <w:top w:val="single" w:sz="4" w:space="0" w:color="auto"/>
              <w:left w:val="nil"/>
              <w:bottom w:val="single" w:sz="4" w:space="0" w:color="auto"/>
              <w:right w:val="single" w:sz="4" w:space="0" w:color="auto"/>
            </w:tcBorders>
            <w:shd w:val="clear" w:color="auto" w:fill="auto"/>
            <w:vAlign w:val="center"/>
          </w:tcPr>
          <w:p w14:paraId="7C913008" w14:textId="77777777" w:rsidR="004A0123" w:rsidRPr="00640447" w:rsidRDefault="004A0123" w:rsidP="008A5C11">
            <w:pPr>
              <w:jc w:val="center"/>
              <w:rPr>
                <w:color w:val="000000"/>
                <w:sz w:val="13"/>
                <w:szCs w:val="13"/>
              </w:rPr>
            </w:pPr>
            <w:r w:rsidRPr="00640447">
              <w:rPr>
                <w:color w:val="000000"/>
                <w:sz w:val="13"/>
                <w:szCs w:val="13"/>
              </w:rPr>
              <w:t>Повышение надежности теплоснабжения</w:t>
            </w:r>
          </w:p>
        </w:tc>
        <w:tc>
          <w:tcPr>
            <w:tcW w:w="360" w:type="pct"/>
            <w:tcBorders>
              <w:top w:val="single" w:sz="4" w:space="0" w:color="auto"/>
              <w:left w:val="nil"/>
              <w:bottom w:val="single" w:sz="4" w:space="0" w:color="auto"/>
              <w:right w:val="single" w:sz="4" w:space="0" w:color="auto"/>
            </w:tcBorders>
            <w:shd w:val="clear" w:color="auto" w:fill="auto"/>
            <w:vAlign w:val="center"/>
          </w:tcPr>
          <w:p w14:paraId="68ECAA73" w14:textId="77777777" w:rsidR="004A0123" w:rsidRPr="00640447" w:rsidRDefault="004A0123" w:rsidP="008A5C11">
            <w:pPr>
              <w:jc w:val="center"/>
              <w:rPr>
                <w:color w:val="000000"/>
                <w:sz w:val="13"/>
                <w:szCs w:val="13"/>
              </w:rPr>
            </w:pPr>
            <w:r w:rsidRPr="00640447">
              <w:rPr>
                <w:color w:val="000000"/>
                <w:sz w:val="13"/>
                <w:szCs w:val="13"/>
              </w:rPr>
              <w:t xml:space="preserve">г. Ленинск-Кузнецкий, </w:t>
            </w:r>
          </w:p>
          <w:p w14:paraId="5A53EE3E" w14:textId="77777777" w:rsidR="004A0123" w:rsidRPr="00640447" w:rsidRDefault="004A0123" w:rsidP="008A5C11">
            <w:pPr>
              <w:jc w:val="center"/>
              <w:rPr>
                <w:color w:val="000000"/>
                <w:sz w:val="13"/>
                <w:szCs w:val="13"/>
              </w:rPr>
            </w:pPr>
            <w:r w:rsidRPr="00640447">
              <w:rPr>
                <w:color w:val="000000"/>
                <w:sz w:val="13"/>
                <w:szCs w:val="13"/>
              </w:rPr>
              <w:t xml:space="preserve">пер. Рядовой, 6а, ул. Чекмарева, 30а    </w:t>
            </w:r>
          </w:p>
        </w:tc>
        <w:tc>
          <w:tcPr>
            <w:tcW w:w="338" w:type="pct"/>
            <w:tcBorders>
              <w:top w:val="single" w:sz="4" w:space="0" w:color="auto"/>
              <w:left w:val="nil"/>
              <w:bottom w:val="single" w:sz="4" w:space="0" w:color="auto"/>
              <w:right w:val="single" w:sz="4" w:space="0" w:color="auto"/>
            </w:tcBorders>
            <w:shd w:val="clear" w:color="auto" w:fill="auto"/>
            <w:vAlign w:val="center"/>
          </w:tcPr>
          <w:p w14:paraId="60E7B303" w14:textId="77777777" w:rsidR="004A0123" w:rsidRPr="00640447" w:rsidRDefault="004A0123" w:rsidP="008A5C11">
            <w:pPr>
              <w:jc w:val="center"/>
              <w:rPr>
                <w:sz w:val="13"/>
                <w:szCs w:val="13"/>
              </w:rPr>
            </w:pPr>
            <w:r w:rsidRPr="00640447">
              <w:rPr>
                <w:sz w:val="13"/>
                <w:szCs w:val="13"/>
              </w:rPr>
              <w:t>Протяженность (трассы)</w:t>
            </w:r>
          </w:p>
        </w:tc>
        <w:tc>
          <w:tcPr>
            <w:tcW w:w="116" w:type="pct"/>
            <w:tcBorders>
              <w:top w:val="single" w:sz="4" w:space="0" w:color="auto"/>
              <w:left w:val="nil"/>
              <w:bottom w:val="single" w:sz="4" w:space="0" w:color="auto"/>
              <w:right w:val="single" w:sz="4" w:space="0" w:color="auto"/>
            </w:tcBorders>
            <w:shd w:val="clear" w:color="auto" w:fill="auto"/>
            <w:vAlign w:val="center"/>
          </w:tcPr>
          <w:p w14:paraId="33CB68E9" w14:textId="77777777" w:rsidR="004A0123" w:rsidRPr="00640447" w:rsidRDefault="004A0123" w:rsidP="008A5C11">
            <w:pPr>
              <w:jc w:val="center"/>
              <w:rPr>
                <w:sz w:val="13"/>
                <w:szCs w:val="13"/>
              </w:rPr>
            </w:pPr>
            <w:r w:rsidRPr="00640447">
              <w:rPr>
                <w:sz w:val="13"/>
                <w:szCs w:val="13"/>
              </w:rPr>
              <w:t>км</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1D847EED" w14:textId="77777777" w:rsidR="004A0123" w:rsidRPr="00640447" w:rsidRDefault="004A0123" w:rsidP="008A5C11">
            <w:pPr>
              <w:jc w:val="center"/>
              <w:rPr>
                <w:sz w:val="13"/>
                <w:szCs w:val="13"/>
              </w:rPr>
            </w:pPr>
            <w:r w:rsidRPr="00640447">
              <w:rPr>
                <w:sz w:val="13"/>
                <w:szCs w:val="13"/>
              </w:rPr>
              <w:t>0,0</w:t>
            </w:r>
          </w:p>
        </w:tc>
        <w:tc>
          <w:tcPr>
            <w:tcW w:w="174" w:type="pct"/>
            <w:tcBorders>
              <w:top w:val="single" w:sz="4" w:space="0" w:color="auto"/>
              <w:left w:val="nil"/>
              <w:bottom w:val="single" w:sz="4" w:space="0" w:color="auto"/>
              <w:right w:val="single" w:sz="4" w:space="0" w:color="auto"/>
            </w:tcBorders>
            <w:shd w:val="clear" w:color="auto" w:fill="auto"/>
            <w:vAlign w:val="center"/>
          </w:tcPr>
          <w:p w14:paraId="7F05FA20" w14:textId="77777777" w:rsidR="004A0123" w:rsidRPr="00640447" w:rsidRDefault="004A0123" w:rsidP="008A5C11">
            <w:pPr>
              <w:jc w:val="center"/>
              <w:rPr>
                <w:sz w:val="13"/>
                <w:szCs w:val="13"/>
              </w:rPr>
            </w:pPr>
            <w:r w:rsidRPr="00640447">
              <w:rPr>
                <w:sz w:val="13"/>
                <w:szCs w:val="13"/>
              </w:rPr>
              <w:t>4,2</w:t>
            </w:r>
          </w:p>
        </w:tc>
        <w:tc>
          <w:tcPr>
            <w:tcW w:w="189" w:type="pct"/>
            <w:tcBorders>
              <w:top w:val="single" w:sz="4" w:space="0" w:color="auto"/>
              <w:left w:val="nil"/>
              <w:bottom w:val="single" w:sz="4" w:space="0" w:color="auto"/>
              <w:right w:val="single" w:sz="4" w:space="0" w:color="auto"/>
            </w:tcBorders>
            <w:shd w:val="clear" w:color="auto" w:fill="auto"/>
            <w:vAlign w:val="center"/>
          </w:tcPr>
          <w:p w14:paraId="23598806" w14:textId="77777777" w:rsidR="004A0123" w:rsidRPr="00640447" w:rsidRDefault="004A0123" w:rsidP="008A5C11">
            <w:pPr>
              <w:jc w:val="center"/>
              <w:rPr>
                <w:sz w:val="13"/>
                <w:szCs w:val="13"/>
              </w:rPr>
            </w:pPr>
            <w:r w:rsidRPr="00640447">
              <w:rPr>
                <w:sz w:val="13"/>
                <w:szCs w:val="13"/>
              </w:rPr>
              <w:t>2021</w:t>
            </w:r>
          </w:p>
        </w:tc>
        <w:tc>
          <w:tcPr>
            <w:tcW w:w="184" w:type="pct"/>
            <w:tcBorders>
              <w:top w:val="single" w:sz="4" w:space="0" w:color="auto"/>
              <w:left w:val="nil"/>
              <w:bottom w:val="single" w:sz="4" w:space="0" w:color="auto"/>
              <w:right w:val="single" w:sz="4" w:space="0" w:color="auto"/>
            </w:tcBorders>
            <w:shd w:val="clear" w:color="auto" w:fill="auto"/>
            <w:vAlign w:val="center"/>
          </w:tcPr>
          <w:p w14:paraId="3CC42552" w14:textId="77777777" w:rsidR="004A0123" w:rsidRPr="00640447" w:rsidRDefault="004A0123" w:rsidP="008A5C11">
            <w:pPr>
              <w:jc w:val="center"/>
              <w:rPr>
                <w:sz w:val="13"/>
                <w:szCs w:val="13"/>
              </w:rPr>
            </w:pPr>
            <w:r w:rsidRPr="00640447">
              <w:rPr>
                <w:sz w:val="13"/>
                <w:szCs w:val="13"/>
              </w:rPr>
              <w:t>2023</w:t>
            </w:r>
          </w:p>
        </w:tc>
        <w:tc>
          <w:tcPr>
            <w:tcW w:w="180" w:type="pct"/>
            <w:tcBorders>
              <w:top w:val="single" w:sz="4" w:space="0" w:color="auto"/>
              <w:left w:val="nil"/>
              <w:bottom w:val="single" w:sz="4" w:space="0" w:color="auto"/>
              <w:right w:val="single" w:sz="4" w:space="0" w:color="auto"/>
            </w:tcBorders>
            <w:shd w:val="clear" w:color="auto" w:fill="auto"/>
            <w:vAlign w:val="center"/>
          </w:tcPr>
          <w:p w14:paraId="4BD89E25" w14:textId="77777777" w:rsidR="004A0123" w:rsidRPr="00640447" w:rsidRDefault="004A0123" w:rsidP="008A5C11">
            <w:pPr>
              <w:jc w:val="center"/>
              <w:rPr>
                <w:sz w:val="13"/>
                <w:szCs w:val="13"/>
              </w:rPr>
            </w:pPr>
            <w:r w:rsidRPr="00640447">
              <w:rPr>
                <w:sz w:val="13"/>
                <w:szCs w:val="13"/>
              </w:rPr>
              <w:t>221119</w:t>
            </w:r>
          </w:p>
        </w:tc>
        <w:tc>
          <w:tcPr>
            <w:tcW w:w="187" w:type="pct"/>
            <w:tcBorders>
              <w:top w:val="single" w:sz="4" w:space="0" w:color="auto"/>
              <w:left w:val="nil"/>
              <w:bottom w:val="single" w:sz="4" w:space="0" w:color="auto"/>
              <w:right w:val="single" w:sz="4" w:space="0" w:color="auto"/>
            </w:tcBorders>
            <w:shd w:val="clear" w:color="auto" w:fill="auto"/>
            <w:vAlign w:val="center"/>
          </w:tcPr>
          <w:p w14:paraId="5037C5BC" w14:textId="77777777" w:rsidR="004A0123" w:rsidRPr="00640447" w:rsidRDefault="004A0123" w:rsidP="008A5C11">
            <w:pPr>
              <w:jc w:val="center"/>
              <w:rPr>
                <w:sz w:val="13"/>
                <w:szCs w:val="13"/>
              </w:rPr>
            </w:pPr>
            <w:r w:rsidRPr="00640447">
              <w:rPr>
                <w:sz w:val="13"/>
                <w:szCs w:val="13"/>
              </w:rPr>
              <w:t>0</w:t>
            </w:r>
          </w:p>
        </w:tc>
        <w:tc>
          <w:tcPr>
            <w:tcW w:w="146" w:type="pct"/>
            <w:tcBorders>
              <w:top w:val="single" w:sz="4" w:space="0" w:color="auto"/>
              <w:left w:val="single" w:sz="4" w:space="0" w:color="auto"/>
              <w:bottom w:val="single" w:sz="4" w:space="0" w:color="auto"/>
              <w:right w:val="single" w:sz="4" w:space="0" w:color="auto"/>
            </w:tcBorders>
            <w:shd w:val="clear" w:color="auto" w:fill="auto"/>
            <w:vAlign w:val="center"/>
          </w:tcPr>
          <w:p w14:paraId="06A9A467" w14:textId="77777777" w:rsidR="004A0123" w:rsidRPr="00640447" w:rsidRDefault="004A0123" w:rsidP="008A5C11">
            <w:pPr>
              <w:jc w:val="center"/>
              <w:rPr>
                <w:sz w:val="13"/>
                <w:szCs w:val="13"/>
              </w:rPr>
            </w:pPr>
            <w:r w:rsidRPr="00640447">
              <w:rPr>
                <w:sz w:val="13"/>
                <w:szCs w:val="13"/>
              </w:rPr>
              <w:t>0</w:t>
            </w:r>
          </w:p>
        </w:tc>
        <w:tc>
          <w:tcPr>
            <w:tcW w:w="149" w:type="pct"/>
            <w:tcBorders>
              <w:top w:val="single" w:sz="4" w:space="0" w:color="auto"/>
              <w:left w:val="nil"/>
              <w:bottom w:val="single" w:sz="4" w:space="0" w:color="auto"/>
              <w:right w:val="single" w:sz="4" w:space="0" w:color="auto"/>
            </w:tcBorders>
            <w:shd w:val="clear" w:color="auto" w:fill="auto"/>
            <w:vAlign w:val="center"/>
          </w:tcPr>
          <w:p w14:paraId="3514B47F" w14:textId="77777777" w:rsidR="004A0123" w:rsidRPr="00640447" w:rsidRDefault="004A0123" w:rsidP="008A5C11">
            <w:pPr>
              <w:jc w:val="center"/>
              <w:rPr>
                <w:sz w:val="13"/>
                <w:szCs w:val="13"/>
              </w:rPr>
            </w:pPr>
            <w:r w:rsidRPr="00640447">
              <w:rPr>
                <w:sz w:val="13"/>
                <w:szCs w:val="13"/>
              </w:rPr>
              <w:t>0</w:t>
            </w:r>
          </w:p>
        </w:tc>
        <w:tc>
          <w:tcPr>
            <w:tcW w:w="183" w:type="pct"/>
            <w:tcBorders>
              <w:top w:val="single" w:sz="4" w:space="0" w:color="auto"/>
              <w:left w:val="nil"/>
              <w:bottom w:val="single" w:sz="4" w:space="0" w:color="auto"/>
              <w:right w:val="single" w:sz="4" w:space="0" w:color="auto"/>
            </w:tcBorders>
            <w:shd w:val="clear" w:color="auto" w:fill="auto"/>
            <w:vAlign w:val="center"/>
          </w:tcPr>
          <w:p w14:paraId="765D4500" w14:textId="77777777" w:rsidR="004A0123" w:rsidRPr="00640447" w:rsidRDefault="004A0123" w:rsidP="008A5C11">
            <w:pPr>
              <w:jc w:val="center"/>
              <w:rPr>
                <w:sz w:val="13"/>
                <w:szCs w:val="13"/>
              </w:rPr>
            </w:pPr>
            <w:r w:rsidRPr="00640447">
              <w:rPr>
                <w:sz w:val="13"/>
                <w:szCs w:val="13"/>
              </w:rPr>
              <w:t>9878</w:t>
            </w:r>
          </w:p>
        </w:tc>
        <w:tc>
          <w:tcPr>
            <w:tcW w:w="183" w:type="pct"/>
            <w:tcBorders>
              <w:top w:val="single" w:sz="4" w:space="0" w:color="auto"/>
              <w:left w:val="nil"/>
              <w:bottom w:val="single" w:sz="4" w:space="0" w:color="auto"/>
              <w:right w:val="single" w:sz="4" w:space="0" w:color="auto"/>
            </w:tcBorders>
            <w:shd w:val="clear" w:color="auto" w:fill="auto"/>
            <w:vAlign w:val="center"/>
          </w:tcPr>
          <w:p w14:paraId="732CFB2C" w14:textId="77777777" w:rsidR="004A0123" w:rsidRPr="00640447" w:rsidRDefault="004A0123" w:rsidP="008A5C11">
            <w:pPr>
              <w:jc w:val="center"/>
              <w:rPr>
                <w:sz w:val="13"/>
                <w:szCs w:val="13"/>
              </w:rPr>
            </w:pPr>
            <w:r w:rsidRPr="00640447">
              <w:rPr>
                <w:sz w:val="13"/>
                <w:szCs w:val="13"/>
              </w:rPr>
              <w:t>87013</w:t>
            </w:r>
          </w:p>
        </w:tc>
        <w:tc>
          <w:tcPr>
            <w:tcW w:w="155" w:type="pct"/>
            <w:tcBorders>
              <w:top w:val="single" w:sz="4" w:space="0" w:color="auto"/>
              <w:left w:val="single" w:sz="4" w:space="0" w:color="auto"/>
              <w:bottom w:val="single" w:sz="4" w:space="0" w:color="auto"/>
              <w:right w:val="single" w:sz="4" w:space="0" w:color="auto"/>
            </w:tcBorders>
            <w:vAlign w:val="center"/>
          </w:tcPr>
          <w:p w14:paraId="1FACAFA9" w14:textId="77777777" w:rsidR="004A0123" w:rsidRPr="00640447" w:rsidRDefault="004A0123" w:rsidP="008A5C11">
            <w:pPr>
              <w:jc w:val="center"/>
              <w:rPr>
                <w:sz w:val="13"/>
                <w:szCs w:val="13"/>
              </w:rPr>
            </w:pPr>
            <w:r w:rsidRPr="00640447">
              <w:rPr>
                <w:sz w:val="13"/>
                <w:szCs w:val="13"/>
              </w:rPr>
              <w:t>124228</w:t>
            </w:r>
          </w:p>
        </w:tc>
        <w:tc>
          <w:tcPr>
            <w:tcW w:w="154" w:type="pct"/>
            <w:tcBorders>
              <w:top w:val="single" w:sz="4" w:space="0" w:color="auto"/>
              <w:left w:val="single" w:sz="4" w:space="0" w:color="auto"/>
              <w:bottom w:val="single" w:sz="4" w:space="0" w:color="auto"/>
              <w:right w:val="single" w:sz="4" w:space="0" w:color="auto"/>
            </w:tcBorders>
            <w:vAlign w:val="center"/>
          </w:tcPr>
          <w:p w14:paraId="3EDBB6CB" w14:textId="77777777" w:rsidR="004A0123" w:rsidRPr="00640447" w:rsidRDefault="004A0123" w:rsidP="008A5C11">
            <w:pPr>
              <w:jc w:val="center"/>
              <w:rPr>
                <w:sz w:val="13"/>
                <w:szCs w:val="13"/>
              </w:rPr>
            </w:pPr>
            <w:r w:rsidRPr="00640447">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0E005FC4" w14:textId="77777777" w:rsidR="004A0123" w:rsidRPr="00640447" w:rsidRDefault="004A0123" w:rsidP="008A5C11">
            <w:pPr>
              <w:jc w:val="center"/>
              <w:rPr>
                <w:sz w:val="13"/>
                <w:szCs w:val="13"/>
              </w:rPr>
            </w:pPr>
            <w:r w:rsidRPr="00640447">
              <w:rPr>
                <w:sz w:val="13"/>
                <w:szCs w:val="13"/>
              </w:rPr>
              <w:t>0</w:t>
            </w:r>
          </w:p>
        </w:tc>
        <w:tc>
          <w:tcPr>
            <w:tcW w:w="174" w:type="pct"/>
            <w:tcBorders>
              <w:top w:val="single" w:sz="4" w:space="0" w:color="auto"/>
              <w:left w:val="single" w:sz="4" w:space="0" w:color="auto"/>
              <w:bottom w:val="single" w:sz="4" w:space="0" w:color="auto"/>
              <w:right w:val="single" w:sz="4" w:space="0" w:color="auto"/>
            </w:tcBorders>
            <w:vAlign w:val="center"/>
          </w:tcPr>
          <w:p w14:paraId="3F66A9C3" w14:textId="77777777" w:rsidR="004A0123" w:rsidRPr="00640447" w:rsidRDefault="004A0123" w:rsidP="008A5C11">
            <w:pPr>
              <w:jc w:val="center"/>
              <w:rPr>
                <w:sz w:val="13"/>
                <w:szCs w:val="13"/>
              </w:rPr>
            </w:pPr>
            <w:r w:rsidRPr="00640447">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608B6339" w14:textId="77777777" w:rsidR="004A0123" w:rsidRPr="00640447" w:rsidRDefault="004A0123" w:rsidP="008A5C11">
            <w:pPr>
              <w:jc w:val="center"/>
              <w:rPr>
                <w:sz w:val="13"/>
                <w:szCs w:val="13"/>
              </w:rPr>
            </w:pPr>
            <w:r w:rsidRPr="00640447">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5E6A6330" w14:textId="77777777" w:rsidR="004A0123" w:rsidRPr="00640447" w:rsidRDefault="004A0123" w:rsidP="008A5C11">
            <w:pPr>
              <w:jc w:val="center"/>
              <w:rPr>
                <w:sz w:val="13"/>
                <w:szCs w:val="13"/>
              </w:rPr>
            </w:pPr>
            <w:r w:rsidRPr="00640447">
              <w:rPr>
                <w:sz w:val="13"/>
                <w:szCs w:val="13"/>
              </w:rPr>
              <w:t>0</w:t>
            </w:r>
          </w:p>
        </w:tc>
        <w:tc>
          <w:tcPr>
            <w:tcW w:w="188" w:type="pct"/>
            <w:tcBorders>
              <w:top w:val="single" w:sz="4" w:space="0" w:color="auto"/>
              <w:left w:val="single" w:sz="4" w:space="0" w:color="auto"/>
              <w:bottom w:val="single" w:sz="4" w:space="0" w:color="auto"/>
              <w:right w:val="single" w:sz="4" w:space="0" w:color="auto"/>
            </w:tcBorders>
            <w:vAlign w:val="center"/>
          </w:tcPr>
          <w:p w14:paraId="326C0E57" w14:textId="77777777" w:rsidR="004A0123" w:rsidRPr="00640447" w:rsidRDefault="004A0123" w:rsidP="008A5C11">
            <w:pPr>
              <w:jc w:val="center"/>
              <w:rPr>
                <w:sz w:val="13"/>
                <w:szCs w:val="13"/>
              </w:rPr>
            </w:pPr>
            <w:r w:rsidRPr="00640447">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766EFAA4" w14:textId="77777777" w:rsidR="004A0123" w:rsidRPr="00640447" w:rsidRDefault="004A0123" w:rsidP="008A5C11">
            <w:pPr>
              <w:jc w:val="center"/>
              <w:rPr>
                <w:sz w:val="13"/>
                <w:szCs w:val="13"/>
              </w:rPr>
            </w:pPr>
            <w:r w:rsidRPr="00640447">
              <w:rPr>
                <w:sz w:val="13"/>
                <w:szCs w:val="13"/>
              </w:rPr>
              <w:t>0</w:t>
            </w:r>
          </w:p>
        </w:tc>
      </w:tr>
      <w:tr w:rsidR="004A0123" w:rsidRPr="00640447" w14:paraId="38D8A2A5" w14:textId="77777777" w:rsidTr="008A5C11">
        <w:trPr>
          <w:trHeight w:val="126"/>
        </w:trPr>
        <w:tc>
          <w:tcPr>
            <w:tcW w:w="2664" w:type="pct"/>
            <w:gridSpan w:val="10"/>
            <w:tcBorders>
              <w:right w:val="single" w:sz="4" w:space="0" w:color="auto"/>
            </w:tcBorders>
            <w:shd w:val="clear" w:color="auto" w:fill="auto"/>
            <w:vAlign w:val="center"/>
          </w:tcPr>
          <w:p w14:paraId="7B942FC7" w14:textId="77777777" w:rsidR="004A0123" w:rsidRPr="00640447" w:rsidRDefault="004A0123" w:rsidP="008A5C11">
            <w:pPr>
              <w:rPr>
                <w:sz w:val="13"/>
                <w:szCs w:val="13"/>
              </w:rPr>
            </w:pPr>
            <w:r w:rsidRPr="00640447">
              <w:rPr>
                <w:sz w:val="13"/>
                <w:szCs w:val="13"/>
              </w:rPr>
              <w:t>Всего по группе 2.</w:t>
            </w:r>
          </w:p>
        </w:tc>
        <w:tc>
          <w:tcPr>
            <w:tcW w:w="180" w:type="pct"/>
            <w:tcBorders>
              <w:top w:val="single" w:sz="4" w:space="0" w:color="auto"/>
              <w:left w:val="nil"/>
              <w:bottom w:val="single" w:sz="4" w:space="0" w:color="auto"/>
              <w:right w:val="single" w:sz="4" w:space="0" w:color="auto"/>
            </w:tcBorders>
            <w:shd w:val="clear" w:color="auto" w:fill="auto"/>
            <w:vAlign w:val="center"/>
          </w:tcPr>
          <w:p w14:paraId="7EF9EDCF" w14:textId="77777777" w:rsidR="004A0123" w:rsidRPr="00640447" w:rsidRDefault="004A0123" w:rsidP="008A5C11">
            <w:pPr>
              <w:jc w:val="center"/>
              <w:rPr>
                <w:sz w:val="13"/>
                <w:szCs w:val="13"/>
              </w:rPr>
            </w:pPr>
            <w:r w:rsidRPr="00640447">
              <w:rPr>
                <w:sz w:val="13"/>
                <w:szCs w:val="13"/>
              </w:rPr>
              <w:t>398770</w:t>
            </w:r>
          </w:p>
        </w:tc>
        <w:tc>
          <w:tcPr>
            <w:tcW w:w="187" w:type="pct"/>
            <w:tcBorders>
              <w:top w:val="single" w:sz="4" w:space="0" w:color="auto"/>
              <w:left w:val="nil"/>
              <w:bottom w:val="single" w:sz="4" w:space="0" w:color="auto"/>
              <w:right w:val="single" w:sz="4" w:space="0" w:color="auto"/>
            </w:tcBorders>
            <w:shd w:val="clear" w:color="auto" w:fill="auto"/>
            <w:vAlign w:val="center"/>
          </w:tcPr>
          <w:p w14:paraId="55251C9A" w14:textId="77777777" w:rsidR="004A0123" w:rsidRPr="00640447" w:rsidRDefault="004A0123" w:rsidP="008A5C11">
            <w:pPr>
              <w:jc w:val="center"/>
              <w:rPr>
                <w:sz w:val="13"/>
                <w:szCs w:val="13"/>
              </w:rPr>
            </w:pPr>
            <w:r w:rsidRPr="00640447">
              <w:rPr>
                <w:sz w:val="13"/>
                <w:szCs w:val="13"/>
              </w:rPr>
              <w:t>0</w:t>
            </w:r>
          </w:p>
        </w:tc>
        <w:tc>
          <w:tcPr>
            <w:tcW w:w="146" w:type="pct"/>
            <w:tcBorders>
              <w:top w:val="single" w:sz="4" w:space="0" w:color="auto"/>
              <w:left w:val="single" w:sz="4" w:space="0" w:color="auto"/>
              <w:bottom w:val="single" w:sz="4" w:space="0" w:color="auto"/>
              <w:right w:val="single" w:sz="4" w:space="0" w:color="auto"/>
            </w:tcBorders>
            <w:shd w:val="clear" w:color="auto" w:fill="auto"/>
            <w:vAlign w:val="center"/>
          </w:tcPr>
          <w:p w14:paraId="0BC72A46" w14:textId="77777777" w:rsidR="004A0123" w:rsidRPr="00640447" w:rsidRDefault="004A0123" w:rsidP="008A5C11">
            <w:pPr>
              <w:jc w:val="center"/>
              <w:rPr>
                <w:sz w:val="13"/>
                <w:szCs w:val="13"/>
              </w:rPr>
            </w:pPr>
            <w:r w:rsidRPr="00640447">
              <w:rPr>
                <w:sz w:val="13"/>
                <w:szCs w:val="13"/>
              </w:rPr>
              <w:t>64495</w:t>
            </w:r>
          </w:p>
        </w:tc>
        <w:tc>
          <w:tcPr>
            <w:tcW w:w="149" w:type="pct"/>
            <w:tcBorders>
              <w:top w:val="single" w:sz="4" w:space="0" w:color="auto"/>
              <w:left w:val="nil"/>
              <w:bottom w:val="single" w:sz="4" w:space="0" w:color="auto"/>
              <w:right w:val="single" w:sz="4" w:space="0" w:color="auto"/>
            </w:tcBorders>
            <w:shd w:val="clear" w:color="auto" w:fill="auto"/>
            <w:vAlign w:val="center"/>
          </w:tcPr>
          <w:p w14:paraId="72AD693D" w14:textId="77777777" w:rsidR="004A0123" w:rsidRPr="00640447" w:rsidRDefault="004A0123" w:rsidP="008A5C11">
            <w:pPr>
              <w:jc w:val="center"/>
              <w:rPr>
                <w:sz w:val="13"/>
                <w:szCs w:val="13"/>
              </w:rPr>
            </w:pPr>
            <w:r w:rsidRPr="00640447">
              <w:rPr>
                <w:sz w:val="13"/>
                <w:szCs w:val="13"/>
              </w:rPr>
              <w:t>36063</w:t>
            </w:r>
          </w:p>
        </w:tc>
        <w:tc>
          <w:tcPr>
            <w:tcW w:w="183" w:type="pct"/>
            <w:tcBorders>
              <w:top w:val="single" w:sz="4" w:space="0" w:color="auto"/>
              <w:left w:val="nil"/>
              <w:bottom w:val="single" w:sz="4" w:space="0" w:color="auto"/>
              <w:right w:val="single" w:sz="4" w:space="0" w:color="auto"/>
            </w:tcBorders>
            <w:shd w:val="clear" w:color="auto" w:fill="auto"/>
            <w:vAlign w:val="center"/>
          </w:tcPr>
          <w:p w14:paraId="01AB30A4" w14:textId="77777777" w:rsidR="004A0123" w:rsidRPr="00640447" w:rsidRDefault="004A0123" w:rsidP="008A5C11">
            <w:pPr>
              <w:jc w:val="center"/>
              <w:rPr>
                <w:sz w:val="13"/>
                <w:szCs w:val="13"/>
              </w:rPr>
            </w:pPr>
            <w:r w:rsidRPr="00640447">
              <w:rPr>
                <w:sz w:val="13"/>
                <w:szCs w:val="13"/>
              </w:rPr>
              <w:t>55545</w:t>
            </w:r>
          </w:p>
        </w:tc>
        <w:tc>
          <w:tcPr>
            <w:tcW w:w="183" w:type="pct"/>
            <w:tcBorders>
              <w:top w:val="single" w:sz="4" w:space="0" w:color="auto"/>
              <w:left w:val="nil"/>
              <w:bottom w:val="single" w:sz="4" w:space="0" w:color="auto"/>
              <w:right w:val="single" w:sz="4" w:space="0" w:color="auto"/>
            </w:tcBorders>
            <w:shd w:val="clear" w:color="auto" w:fill="auto"/>
            <w:vAlign w:val="center"/>
          </w:tcPr>
          <w:p w14:paraId="1F75B136" w14:textId="77777777" w:rsidR="004A0123" w:rsidRPr="00640447" w:rsidRDefault="004A0123" w:rsidP="008A5C11">
            <w:pPr>
              <w:jc w:val="center"/>
              <w:rPr>
                <w:sz w:val="13"/>
                <w:szCs w:val="13"/>
              </w:rPr>
            </w:pPr>
            <w:r w:rsidRPr="00640447">
              <w:rPr>
                <w:sz w:val="13"/>
                <w:szCs w:val="13"/>
              </w:rPr>
              <w:t>118439</w:t>
            </w:r>
          </w:p>
        </w:tc>
        <w:tc>
          <w:tcPr>
            <w:tcW w:w="155" w:type="pct"/>
            <w:tcBorders>
              <w:top w:val="single" w:sz="4" w:space="0" w:color="auto"/>
              <w:left w:val="single" w:sz="4" w:space="0" w:color="auto"/>
              <w:bottom w:val="single" w:sz="4" w:space="0" w:color="auto"/>
              <w:right w:val="single" w:sz="4" w:space="0" w:color="auto"/>
            </w:tcBorders>
            <w:vAlign w:val="center"/>
          </w:tcPr>
          <w:p w14:paraId="011C2FDA" w14:textId="77777777" w:rsidR="004A0123" w:rsidRPr="00640447" w:rsidRDefault="004A0123" w:rsidP="008A5C11">
            <w:pPr>
              <w:jc w:val="center"/>
              <w:rPr>
                <w:sz w:val="13"/>
                <w:szCs w:val="13"/>
              </w:rPr>
            </w:pPr>
            <w:r w:rsidRPr="00640447">
              <w:rPr>
                <w:sz w:val="13"/>
                <w:szCs w:val="13"/>
              </w:rPr>
              <w:t>124228</w:t>
            </w:r>
          </w:p>
        </w:tc>
        <w:tc>
          <w:tcPr>
            <w:tcW w:w="154" w:type="pct"/>
            <w:tcBorders>
              <w:top w:val="single" w:sz="4" w:space="0" w:color="auto"/>
              <w:left w:val="single" w:sz="4" w:space="0" w:color="auto"/>
              <w:bottom w:val="single" w:sz="4" w:space="0" w:color="auto"/>
              <w:right w:val="single" w:sz="4" w:space="0" w:color="auto"/>
            </w:tcBorders>
            <w:vAlign w:val="center"/>
          </w:tcPr>
          <w:p w14:paraId="31647066" w14:textId="77777777" w:rsidR="004A0123" w:rsidRPr="00640447" w:rsidRDefault="004A0123" w:rsidP="008A5C11">
            <w:pPr>
              <w:jc w:val="center"/>
              <w:rPr>
                <w:sz w:val="13"/>
                <w:szCs w:val="13"/>
              </w:rPr>
            </w:pPr>
            <w:r w:rsidRPr="00640447">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7538C75A" w14:textId="77777777" w:rsidR="004A0123" w:rsidRPr="00640447" w:rsidRDefault="004A0123" w:rsidP="008A5C11">
            <w:pPr>
              <w:jc w:val="center"/>
              <w:rPr>
                <w:sz w:val="13"/>
                <w:szCs w:val="13"/>
              </w:rPr>
            </w:pPr>
            <w:r w:rsidRPr="00640447">
              <w:rPr>
                <w:sz w:val="13"/>
                <w:szCs w:val="13"/>
              </w:rPr>
              <w:t>0</w:t>
            </w:r>
          </w:p>
        </w:tc>
        <w:tc>
          <w:tcPr>
            <w:tcW w:w="174" w:type="pct"/>
            <w:tcBorders>
              <w:top w:val="single" w:sz="4" w:space="0" w:color="auto"/>
              <w:left w:val="single" w:sz="4" w:space="0" w:color="auto"/>
              <w:bottom w:val="single" w:sz="4" w:space="0" w:color="auto"/>
              <w:right w:val="single" w:sz="4" w:space="0" w:color="auto"/>
            </w:tcBorders>
            <w:vAlign w:val="center"/>
          </w:tcPr>
          <w:p w14:paraId="1E44CC49" w14:textId="77777777" w:rsidR="004A0123" w:rsidRPr="00640447" w:rsidRDefault="004A0123" w:rsidP="008A5C11">
            <w:pPr>
              <w:jc w:val="center"/>
              <w:rPr>
                <w:sz w:val="13"/>
                <w:szCs w:val="13"/>
              </w:rPr>
            </w:pPr>
            <w:r w:rsidRPr="00640447">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505DBCB3" w14:textId="77777777" w:rsidR="004A0123" w:rsidRPr="00640447" w:rsidRDefault="004A0123" w:rsidP="008A5C11">
            <w:pPr>
              <w:jc w:val="center"/>
              <w:rPr>
                <w:sz w:val="13"/>
                <w:szCs w:val="13"/>
              </w:rPr>
            </w:pPr>
            <w:r w:rsidRPr="00640447">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371CF100" w14:textId="77777777" w:rsidR="004A0123" w:rsidRPr="00640447" w:rsidRDefault="004A0123" w:rsidP="008A5C11">
            <w:pPr>
              <w:jc w:val="center"/>
              <w:rPr>
                <w:sz w:val="13"/>
                <w:szCs w:val="13"/>
              </w:rPr>
            </w:pPr>
            <w:r w:rsidRPr="00640447">
              <w:rPr>
                <w:sz w:val="13"/>
                <w:szCs w:val="13"/>
              </w:rPr>
              <w:t>0</w:t>
            </w:r>
          </w:p>
        </w:tc>
        <w:tc>
          <w:tcPr>
            <w:tcW w:w="188" w:type="pct"/>
            <w:tcBorders>
              <w:top w:val="single" w:sz="4" w:space="0" w:color="auto"/>
              <w:left w:val="single" w:sz="4" w:space="0" w:color="auto"/>
              <w:bottom w:val="single" w:sz="4" w:space="0" w:color="auto"/>
              <w:right w:val="single" w:sz="4" w:space="0" w:color="auto"/>
            </w:tcBorders>
            <w:vAlign w:val="center"/>
          </w:tcPr>
          <w:p w14:paraId="6C565BE6" w14:textId="77777777" w:rsidR="004A0123" w:rsidRPr="00640447" w:rsidRDefault="004A0123" w:rsidP="008A5C11">
            <w:pPr>
              <w:jc w:val="center"/>
              <w:rPr>
                <w:sz w:val="13"/>
                <w:szCs w:val="13"/>
              </w:rPr>
            </w:pPr>
            <w:r w:rsidRPr="00640447">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48106AA9" w14:textId="77777777" w:rsidR="004A0123" w:rsidRPr="00640447" w:rsidRDefault="004A0123" w:rsidP="008A5C11">
            <w:pPr>
              <w:jc w:val="center"/>
              <w:rPr>
                <w:sz w:val="13"/>
                <w:szCs w:val="13"/>
              </w:rPr>
            </w:pPr>
            <w:r w:rsidRPr="00640447">
              <w:rPr>
                <w:sz w:val="13"/>
                <w:szCs w:val="13"/>
              </w:rPr>
              <w:t>0</w:t>
            </w:r>
          </w:p>
        </w:tc>
      </w:tr>
      <w:tr w:rsidR="004A0123" w:rsidRPr="00640447" w14:paraId="7CE3F159" w14:textId="77777777" w:rsidTr="008A5C11">
        <w:trPr>
          <w:trHeight w:val="210"/>
        </w:trPr>
        <w:tc>
          <w:tcPr>
            <w:tcW w:w="5000" w:type="pct"/>
            <w:gridSpan w:val="24"/>
            <w:tcBorders>
              <w:right w:val="single" w:sz="4" w:space="0" w:color="auto"/>
            </w:tcBorders>
            <w:shd w:val="clear" w:color="auto" w:fill="auto"/>
            <w:vAlign w:val="center"/>
          </w:tcPr>
          <w:p w14:paraId="69E47831" w14:textId="77777777" w:rsidR="004A0123" w:rsidRPr="00640447" w:rsidRDefault="004A0123" w:rsidP="008A5C11">
            <w:pPr>
              <w:rPr>
                <w:bCs/>
                <w:sz w:val="13"/>
                <w:szCs w:val="13"/>
              </w:rPr>
            </w:pPr>
            <w:r w:rsidRPr="00640447">
              <w:rPr>
                <w:bCs/>
                <w:sz w:val="12"/>
                <w:szCs w:val="12"/>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4A0123" w:rsidRPr="00640447" w14:paraId="03AF2CB2" w14:textId="77777777" w:rsidTr="008A5C11">
        <w:trPr>
          <w:trHeight w:val="335"/>
        </w:trPr>
        <w:tc>
          <w:tcPr>
            <w:tcW w:w="5000" w:type="pct"/>
            <w:gridSpan w:val="24"/>
            <w:tcBorders>
              <w:bottom w:val="single" w:sz="4" w:space="0" w:color="auto"/>
              <w:right w:val="single" w:sz="4" w:space="0" w:color="auto"/>
            </w:tcBorders>
            <w:shd w:val="clear" w:color="auto" w:fill="auto"/>
            <w:vAlign w:val="center"/>
          </w:tcPr>
          <w:p w14:paraId="4FAEE5B5" w14:textId="77777777" w:rsidR="004A0123" w:rsidRPr="00640447" w:rsidRDefault="004A0123" w:rsidP="008A5C11">
            <w:pPr>
              <w:rPr>
                <w:bCs/>
                <w:sz w:val="13"/>
                <w:szCs w:val="13"/>
              </w:rPr>
            </w:pPr>
            <w:r w:rsidRPr="00640447">
              <w:rPr>
                <w:bCs/>
                <w:sz w:val="12"/>
                <w:szCs w:val="12"/>
              </w:rPr>
              <w:t>3.1. Реконструкция или модернизация существующих тепловых сетей</w:t>
            </w:r>
          </w:p>
        </w:tc>
      </w:tr>
      <w:tr w:rsidR="004A0123" w:rsidRPr="00640447" w14:paraId="191B2534" w14:textId="77777777" w:rsidTr="008A5C11">
        <w:trPr>
          <w:trHeight w:val="711"/>
        </w:trPr>
        <w:tc>
          <w:tcPr>
            <w:tcW w:w="146" w:type="pct"/>
            <w:tcBorders>
              <w:top w:val="single" w:sz="4" w:space="0" w:color="auto"/>
              <w:left w:val="single" w:sz="4" w:space="0" w:color="auto"/>
              <w:bottom w:val="single" w:sz="4" w:space="0" w:color="auto"/>
              <w:right w:val="single" w:sz="4" w:space="0" w:color="auto"/>
            </w:tcBorders>
            <w:shd w:val="clear" w:color="auto" w:fill="auto"/>
            <w:vAlign w:val="center"/>
          </w:tcPr>
          <w:p w14:paraId="72525744" w14:textId="77777777" w:rsidR="004A0123" w:rsidRPr="00640447" w:rsidRDefault="004A0123" w:rsidP="008A5C11">
            <w:pPr>
              <w:jc w:val="center"/>
              <w:rPr>
                <w:sz w:val="13"/>
                <w:szCs w:val="13"/>
              </w:rPr>
            </w:pPr>
            <w:r w:rsidRPr="00640447">
              <w:rPr>
                <w:sz w:val="13"/>
                <w:szCs w:val="13"/>
              </w:rPr>
              <w:t>3.1.1.</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5BEACB28" w14:textId="77777777" w:rsidR="004A0123" w:rsidRPr="00640447" w:rsidRDefault="004A0123" w:rsidP="008A5C11">
            <w:pPr>
              <w:rPr>
                <w:color w:val="000000"/>
                <w:sz w:val="13"/>
                <w:szCs w:val="13"/>
              </w:rPr>
            </w:pPr>
            <w:r w:rsidRPr="00640447">
              <w:rPr>
                <w:color w:val="000000"/>
                <w:sz w:val="13"/>
                <w:szCs w:val="13"/>
              </w:rPr>
              <w:t>Реконструкция тепловых сетей с увеличением диаметра: от ЦТП-3 (ТК-5) до ЦТП-7 протяженнос-тью 752 м с Ду 200 на Ду 250, от ЦТП-7 до ЦТП-8 протяженнос-тью 521 м с Ду 150 на Ду 175, от Привокзальной котельной до ТК-2 протяжен-ностью 218 м с Ду 400 на Ду 500, от УП-1  до Тк-25, протяженность 218 м с Ду 200 на Ду 250, от УП-28 до ТК-81 протяженностью 152 м с Ду 150 на Ду 200, от ТК-33 до УП-9 протяженностью 220 м с Ду 200 на Ду 250</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tcPr>
          <w:p w14:paraId="59809652" w14:textId="77777777" w:rsidR="004A0123" w:rsidRPr="00640447" w:rsidRDefault="004A0123" w:rsidP="008A5C11">
            <w:pPr>
              <w:jc w:val="center"/>
              <w:rPr>
                <w:color w:val="000000"/>
                <w:sz w:val="13"/>
                <w:szCs w:val="13"/>
              </w:rPr>
            </w:pPr>
            <w:r w:rsidRPr="00640447">
              <w:rPr>
                <w:color w:val="000000"/>
                <w:sz w:val="13"/>
                <w:szCs w:val="13"/>
              </w:rPr>
              <w:t>Повышение надежности теплоснабжения</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3513AAFF" w14:textId="77777777" w:rsidR="004A0123" w:rsidRPr="00640447" w:rsidRDefault="004A0123" w:rsidP="008A5C11">
            <w:pPr>
              <w:jc w:val="center"/>
              <w:rPr>
                <w:color w:val="000000"/>
                <w:sz w:val="13"/>
                <w:szCs w:val="13"/>
              </w:rPr>
            </w:pPr>
            <w:r w:rsidRPr="00640447">
              <w:rPr>
                <w:color w:val="000000"/>
                <w:sz w:val="13"/>
                <w:szCs w:val="13"/>
              </w:rPr>
              <w:t>г. Ленинск-Кузнецкий</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4E93BEFE" w14:textId="77777777" w:rsidR="004A0123" w:rsidRPr="00640447" w:rsidRDefault="004A0123" w:rsidP="008A5C11">
            <w:pPr>
              <w:jc w:val="center"/>
              <w:rPr>
                <w:sz w:val="13"/>
                <w:szCs w:val="13"/>
              </w:rPr>
            </w:pPr>
            <w:r w:rsidRPr="00640447">
              <w:rPr>
                <w:sz w:val="13"/>
                <w:szCs w:val="13"/>
              </w:rPr>
              <w:t xml:space="preserve">Протяженность </w:t>
            </w:r>
            <w:proofErr w:type="gramStart"/>
            <w:r w:rsidRPr="00640447">
              <w:rPr>
                <w:sz w:val="13"/>
                <w:szCs w:val="13"/>
              </w:rPr>
              <w:t>реконструируе-мого</w:t>
            </w:r>
            <w:proofErr w:type="gramEnd"/>
            <w:r w:rsidRPr="00640447">
              <w:rPr>
                <w:sz w:val="13"/>
                <w:szCs w:val="13"/>
              </w:rPr>
              <w:t xml:space="preserve"> участка трассы</w:t>
            </w:r>
          </w:p>
        </w:tc>
        <w:tc>
          <w:tcPr>
            <w:tcW w:w="116" w:type="pct"/>
            <w:tcBorders>
              <w:top w:val="single" w:sz="4" w:space="0" w:color="auto"/>
              <w:left w:val="single" w:sz="4" w:space="0" w:color="auto"/>
              <w:bottom w:val="single" w:sz="4" w:space="0" w:color="auto"/>
              <w:right w:val="single" w:sz="4" w:space="0" w:color="auto"/>
            </w:tcBorders>
            <w:shd w:val="clear" w:color="auto" w:fill="auto"/>
            <w:vAlign w:val="center"/>
          </w:tcPr>
          <w:p w14:paraId="1513059F" w14:textId="77777777" w:rsidR="004A0123" w:rsidRPr="00640447" w:rsidRDefault="004A0123" w:rsidP="008A5C11">
            <w:pPr>
              <w:jc w:val="center"/>
              <w:rPr>
                <w:sz w:val="13"/>
                <w:szCs w:val="13"/>
              </w:rPr>
            </w:pPr>
            <w:r w:rsidRPr="00640447">
              <w:rPr>
                <w:sz w:val="13"/>
                <w:szCs w:val="13"/>
              </w:rPr>
              <w:t>км</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15CB5518" w14:textId="77777777" w:rsidR="004A0123" w:rsidRPr="00640447" w:rsidRDefault="004A0123" w:rsidP="008A5C11">
            <w:pPr>
              <w:jc w:val="center"/>
              <w:rPr>
                <w:sz w:val="13"/>
                <w:szCs w:val="13"/>
              </w:rPr>
            </w:pPr>
            <w:r w:rsidRPr="00640447">
              <w:rPr>
                <w:sz w:val="13"/>
                <w:szCs w:val="13"/>
              </w:rPr>
              <w:t>2,081</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14:paraId="348C3344" w14:textId="77777777" w:rsidR="004A0123" w:rsidRPr="00640447" w:rsidRDefault="004A0123" w:rsidP="008A5C11">
            <w:pPr>
              <w:jc w:val="center"/>
              <w:rPr>
                <w:sz w:val="13"/>
                <w:szCs w:val="13"/>
              </w:rPr>
            </w:pPr>
            <w:r w:rsidRPr="00640447">
              <w:rPr>
                <w:sz w:val="13"/>
                <w:szCs w:val="13"/>
              </w:rPr>
              <w:t>2,081</w:t>
            </w: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14:paraId="01977E5D" w14:textId="77777777" w:rsidR="004A0123" w:rsidRPr="00640447" w:rsidRDefault="004A0123" w:rsidP="008A5C11">
            <w:pPr>
              <w:jc w:val="center"/>
              <w:rPr>
                <w:sz w:val="13"/>
                <w:szCs w:val="13"/>
              </w:rPr>
            </w:pPr>
            <w:r w:rsidRPr="00640447">
              <w:rPr>
                <w:sz w:val="13"/>
                <w:szCs w:val="13"/>
              </w:rPr>
              <w:t>2022</w:t>
            </w:r>
          </w:p>
        </w:tc>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2BD77447" w14:textId="77777777" w:rsidR="004A0123" w:rsidRPr="00640447" w:rsidRDefault="004A0123" w:rsidP="008A5C11">
            <w:pPr>
              <w:jc w:val="center"/>
              <w:rPr>
                <w:sz w:val="13"/>
                <w:szCs w:val="13"/>
              </w:rPr>
            </w:pPr>
            <w:r w:rsidRPr="00640447">
              <w:rPr>
                <w:sz w:val="13"/>
                <w:szCs w:val="13"/>
              </w:rPr>
              <w:t>2026</w:t>
            </w:r>
          </w:p>
        </w:tc>
        <w:tc>
          <w:tcPr>
            <w:tcW w:w="180" w:type="pct"/>
            <w:tcBorders>
              <w:top w:val="single" w:sz="4" w:space="0" w:color="auto"/>
              <w:left w:val="single" w:sz="4" w:space="0" w:color="auto"/>
              <w:bottom w:val="single" w:sz="4" w:space="0" w:color="auto"/>
              <w:right w:val="single" w:sz="4" w:space="0" w:color="auto"/>
            </w:tcBorders>
            <w:shd w:val="clear" w:color="auto" w:fill="auto"/>
            <w:vAlign w:val="center"/>
          </w:tcPr>
          <w:p w14:paraId="03948E02" w14:textId="77777777" w:rsidR="004A0123" w:rsidRPr="00640447" w:rsidRDefault="004A0123" w:rsidP="008A5C11">
            <w:pPr>
              <w:jc w:val="center"/>
              <w:rPr>
                <w:sz w:val="13"/>
                <w:szCs w:val="13"/>
              </w:rPr>
            </w:pPr>
            <w:r w:rsidRPr="00640447">
              <w:rPr>
                <w:sz w:val="13"/>
                <w:szCs w:val="13"/>
              </w:rPr>
              <w:t>126984</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14:paraId="751882E8" w14:textId="77777777" w:rsidR="004A0123" w:rsidRPr="00640447" w:rsidRDefault="004A0123" w:rsidP="008A5C11">
            <w:pPr>
              <w:jc w:val="center"/>
              <w:rPr>
                <w:sz w:val="13"/>
                <w:szCs w:val="13"/>
              </w:rPr>
            </w:pPr>
            <w:r w:rsidRPr="00640447">
              <w:rPr>
                <w:sz w:val="13"/>
                <w:szCs w:val="13"/>
              </w:rPr>
              <w:t>0</w:t>
            </w:r>
          </w:p>
        </w:tc>
        <w:tc>
          <w:tcPr>
            <w:tcW w:w="146" w:type="pct"/>
            <w:tcBorders>
              <w:top w:val="single" w:sz="4" w:space="0" w:color="auto"/>
              <w:left w:val="single" w:sz="4" w:space="0" w:color="auto"/>
              <w:bottom w:val="single" w:sz="4" w:space="0" w:color="auto"/>
              <w:right w:val="single" w:sz="4" w:space="0" w:color="auto"/>
            </w:tcBorders>
            <w:shd w:val="clear" w:color="auto" w:fill="auto"/>
            <w:vAlign w:val="center"/>
          </w:tcPr>
          <w:p w14:paraId="4862EBDD" w14:textId="77777777" w:rsidR="004A0123" w:rsidRPr="00640447" w:rsidRDefault="004A0123" w:rsidP="008A5C11">
            <w:pPr>
              <w:jc w:val="center"/>
              <w:rPr>
                <w:sz w:val="13"/>
                <w:szCs w:val="13"/>
              </w:rPr>
            </w:pPr>
            <w:r w:rsidRPr="00640447">
              <w:rPr>
                <w:sz w:val="13"/>
                <w:szCs w:val="13"/>
              </w:rPr>
              <w:t>0</w:t>
            </w:r>
          </w:p>
        </w:tc>
        <w:tc>
          <w:tcPr>
            <w:tcW w:w="149" w:type="pct"/>
            <w:tcBorders>
              <w:top w:val="single" w:sz="4" w:space="0" w:color="auto"/>
              <w:left w:val="single" w:sz="4" w:space="0" w:color="auto"/>
              <w:bottom w:val="single" w:sz="4" w:space="0" w:color="auto"/>
              <w:right w:val="single" w:sz="4" w:space="0" w:color="auto"/>
            </w:tcBorders>
            <w:shd w:val="clear" w:color="auto" w:fill="auto"/>
            <w:vAlign w:val="center"/>
          </w:tcPr>
          <w:p w14:paraId="15FF5CF9" w14:textId="77777777" w:rsidR="004A0123" w:rsidRPr="00640447" w:rsidRDefault="004A0123" w:rsidP="008A5C11">
            <w:pPr>
              <w:jc w:val="center"/>
              <w:rPr>
                <w:sz w:val="13"/>
                <w:szCs w:val="13"/>
              </w:rPr>
            </w:pPr>
            <w:r w:rsidRPr="00640447">
              <w:rPr>
                <w:sz w:val="13"/>
                <w:szCs w:val="13"/>
              </w:rPr>
              <w:t>0</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009E6E37" w14:textId="77777777" w:rsidR="004A0123" w:rsidRPr="00640447" w:rsidRDefault="004A0123" w:rsidP="008A5C11">
            <w:pPr>
              <w:jc w:val="center"/>
              <w:rPr>
                <w:sz w:val="13"/>
                <w:szCs w:val="13"/>
              </w:rPr>
            </w:pPr>
            <w:r w:rsidRPr="00640447">
              <w:rPr>
                <w:sz w:val="13"/>
                <w:szCs w:val="13"/>
              </w:rPr>
              <w:t>0</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58F6D878" w14:textId="77777777" w:rsidR="004A0123" w:rsidRPr="00640447" w:rsidRDefault="004A0123" w:rsidP="008A5C11">
            <w:pPr>
              <w:jc w:val="center"/>
              <w:rPr>
                <w:sz w:val="13"/>
                <w:szCs w:val="13"/>
              </w:rPr>
            </w:pPr>
            <w:r w:rsidRPr="00640447">
              <w:rPr>
                <w:sz w:val="13"/>
                <w:szCs w:val="13"/>
              </w:rPr>
              <w:t>2544</w:t>
            </w:r>
          </w:p>
        </w:tc>
        <w:tc>
          <w:tcPr>
            <w:tcW w:w="155" w:type="pct"/>
            <w:tcBorders>
              <w:top w:val="single" w:sz="4" w:space="0" w:color="auto"/>
              <w:left w:val="single" w:sz="4" w:space="0" w:color="auto"/>
              <w:bottom w:val="single" w:sz="4" w:space="0" w:color="auto"/>
              <w:right w:val="single" w:sz="4" w:space="0" w:color="auto"/>
            </w:tcBorders>
            <w:vAlign w:val="center"/>
          </w:tcPr>
          <w:p w14:paraId="10DB5F0C" w14:textId="77777777" w:rsidR="004A0123" w:rsidRPr="00640447" w:rsidRDefault="004A0123" w:rsidP="008A5C11">
            <w:pPr>
              <w:jc w:val="center"/>
              <w:rPr>
                <w:sz w:val="13"/>
                <w:szCs w:val="13"/>
              </w:rPr>
            </w:pPr>
            <w:r w:rsidRPr="00640447">
              <w:rPr>
                <w:sz w:val="13"/>
                <w:szCs w:val="13"/>
              </w:rPr>
              <w:t>15900</w:t>
            </w:r>
          </w:p>
        </w:tc>
        <w:tc>
          <w:tcPr>
            <w:tcW w:w="154" w:type="pct"/>
            <w:tcBorders>
              <w:top w:val="single" w:sz="4" w:space="0" w:color="auto"/>
              <w:left w:val="single" w:sz="4" w:space="0" w:color="auto"/>
              <w:bottom w:val="single" w:sz="4" w:space="0" w:color="auto"/>
              <w:right w:val="single" w:sz="4" w:space="0" w:color="auto"/>
            </w:tcBorders>
            <w:vAlign w:val="center"/>
          </w:tcPr>
          <w:p w14:paraId="4AD9FA11" w14:textId="77777777" w:rsidR="004A0123" w:rsidRPr="00640447" w:rsidRDefault="004A0123" w:rsidP="008A5C11">
            <w:pPr>
              <w:jc w:val="center"/>
              <w:rPr>
                <w:sz w:val="13"/>
                <w:szCs w:val="13"/>
              </w:rPr>
            </w:pPr>
            <w:r w:rsidRPr="00640447">
              <w:rPr>
                <w:sz w:val="13"/>
                <w:szCs w:val="13"/>
              </w:rPr>
              <w:t>23956</w:t>
            </w:r>
          </w:p>
        </w:tc>
        <w:tc>
          <w:tcPr>
            <w:tcW w:w="153" w:type="pct"/>
            <w:tcBorders>
              <w:top w:val="single" w:sz="4" w:space="0" w:color="auto"/>
              <w:left w:val="single" w:sz="4" w:space="0" w:color="auto"/>
              <w:bottom w:val="single" w:sz="4" w:space="0" w:color="auto"/>
              <w:right w:val="single" w:sz="4" w:space="0" w:color="auto"/>
            </w:tcBorders>
            <w:vAlign w:val="center"/>
          </w:tcPr>
          <w:p w14:paraId="275B4C8C" w14:textId="77777777" w:rsidR="004A0123" w:rsidRPr="00640447" w:rsidRDefault="004A0123" w:rsidP="008A5C11">
            <w:pPr>
              <w:jc w:val="center"/>
              <w:rPr>
                <w:sz w:val="13"/>
                <w:szCs w:val="13"/>
              </w:rPr>
            </w:pPr>
            <w:r w:rsidRPr="00640447">
              <w:rPr>
                <w:sz w:val="13"/>
                <w:szCs w:val="13"/>
              </w:rPr>
              <w:t>24794</w:t>
            </w:r>
          </w:p>
        </w:tc>
        <w:tc>
          <w:tcPr>
            <w:tcW w:w="174" w:type="pct"/>
            <w:tcBorders>
              <w:top w:val="single" w:sz="4" w:space="0" w:color="auto"/>
              <w:left w:val="single" w:sz="4" w:space="0" w:color="auto"/>
              <w:bottom w:val="single" w:sz="4" w:space="0" w:color="auto"/>
              <w:right w:val="single" w:sz="4" w:space="0" w:color="auto"/>
            </w:tcBorders>
            <w:vAlign w:val="center"/>
          </w:tcPr>
          <w:p w14:paraId="74945FB0" w14:textId="77777777" w:rsidR="004A0123" w:rsidRPr="00640447" w:rsidRDefault="004A0123" w:rsidP="008A5C11">
            <w:pPr>
              <w:jc w:val="center"/>
              <w:rPr>
                <w:sz w:val="13"/>
                <w:szCs w:val="13"/>
              </w:rPr>
            </w:pPr>
            <w:r w:rsidRPr="00640447">
              <w:rPr>
                <w:sz w:val="13"/>
                <w:szCs w:val="13"/>
              </w:rPr>
              <w:t>59790</w:t>
            </w:r>
          </w:p>
        </w:tc>
        <w:tc>
          <w:tcPr>
            <w:tcW w:w="156" w:type="pct"/>
            <w:tcBorders>
              <w:top w:val="single" w:sz="4" w:space="0" w:color="auto"/>
              <w:left w:val="single" w:sz="4" w:space="0" w:color="auto"/>
              <w:bottom w:val="single" w:sz="4" w:space="0" w:color="auto"/>
              <w:right w:val="single" w:sz="4" w:space="0" w:color="auto"/>
            </w:tcBorders>
            <w:vAlign w:val="center"/>
          </w:tcPr>
          <w:p w14:paraId="7B27D20E" w14:textId="77777777" w:rsidR="004A0123" w:rsidRPr="00640447" w:rsidRDefault="004A0123" w:rsidP="008A5C11">
            <w:pPr>
              <w:jc w:val="center"/>
              <w:rPr>
                <w:sz w:val="13"/>
                <w:szCs w:val="13"/>
              </w:rPr>
            </w:pPr>
            <w:r w:rsidRPr="00640447">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41B24B50" w14:textId="77777777" w:rsidR="004A0123" w:rsidRPr="00640447" w:rsidRDefault="004A0123" w:rsidP="008A5C11">
            <w:pPr>
              <w:jc w:val="center"/>
              <w:rPr>
                <w:sz w:val="13"/>
                <w:szCs w:val="13"/>
              </w:rPr>
            </w:pPr>
            <w:r w:rsidRPr="00640447">
              <w:rPr>
                <w:sz w:val="13"/>
                <w:szCs w:val="13"/>
              </w:rPr>
              <w:t>0</w:t>
            </w:r>
          </w:p>
        </w:tc>
        <w:tc>
          <w:tcPr>
            <w:tcW w:w="188" w:type="pct"/>
            <w:tcBorders>
              <w:top w:val="single" w:sz="4" w:space="0" w:color="auto"/>
              <w:left w:val="single" w:sz="4" w:space="0" w:color="auto"/>
              <w:bottom w:val="single" w:sz="4" w:space="0" w:color="auto"/>
              <w:right w:val="single" w:sz="4" w:space="0" w:color="auto"/>
            </w:tcBorders>
            <w:vAlign w:val="center"/>
          </w:tcPr>
          <w:p w14:paraId="70000903" w14:textId="77777777" w:rsidR="004A0123" w:rsidRPr="00640447" w:rsidRDefault="004A0123" w:rsidP="008A5C11">
            <w:pPr>
              <w:jc w:val="center"/>
              <w:rPr>
                <w:sz w:val="13"/>
                <w:szCs w:val="13"/>
              </w:rPr>
            </w:pPr>
            <w:r w:rsidRPr="00640447">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4C66A6D5" w14:textId="77777777" w:rsidR="004A0123" w:rsidRPr="00640447" w:rsidRDefault="004A0123" w:rsidP="008A5C11">
            <w:pPr>
              <w:jc w:val="center"/>
              <w:rPr>
                <w:sz w:val="13"/>
                <w:szCs w:val="13"/>
              </w:rPr>
            </w:pPr>
            <w:r w:rsidRPr="00640447">
              <w:rPr>
                <w:sz w:val="13"/>
                <w:szCs w:val="13"/>
              </w:rPr>
              <w:t>0</w:t>
            </w:r>
          </w:p>
        </w:tc>
      </w:tr>
      <w:tr w:rsidR="004A0123" w:rsidRPr="00640447" w14:paraId="3F60906D" w14:textId="77777777" w:rsidTr="008A5C11">
        <w:trPr>
          <w:trHeight w:val="253"/>
        </w:trPr>
        <w:tc>
          <w:tcPr>
            <w:tcW w:w="146" w:type="pct"/>
            <w:tcBorders>
              <w:top w:val="single" w:sz="4" w:space="0" w:color="auto"/>
              <w:left w:val="single" w:sz="4" w:space="0" w:color="auto"/>
              <w:bottom w:val="single" w:sz="4" w:space="0" w:color="auto"/>
              <w:right w:val="single" w:sz="4" w:space="0" w:color="auto"/>
            </w:tcBorders>
            <w:shd w:val="clear" w:color="auto" w:fill="auto"/>
            <w:vAlign w:val="center"/>
          </w:tcPr>
          <w:p w14:paraId="416EFDFA" w14:textId="77777777" w:rsidR="004A0123" w:rsidRPr="00640447" w:rsidRDefault="004A0123" w:rsidP="008A5C11">
            <w:pPr>
              <w:jc w:val="center"/>
              <w:rPr>
                <w:bCs/>
                <w:sz w:val="13"/>
                <w:szCs w:val="13"/>
              </w:rPr>
            </w:pPr>
            <w:r w:rsidRPr="00640447">
              <w:rPr>
                <w:bCs/>
                <w:sz w:val="13"/>
                <w:szCs w:val="13"/>
              </w:rPr>
              <w:t>1</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5A12419A" w14:textId="77777777" w:rsidR="004A0123" w:rsidRPr="00640447" w:rsidRDefault="004A0123" w:rsidP="008A5C11">
            <w:pPr>
              <w:jc w:val="center"/>
              <w:rPr>
                <w:bCs/>
                <w:sz w:val="13"/>
                <w:szCs w:val="13"/>
              </w:rPr>
            </w:pPr>
            <w:r w:rsidRPr="00640447">
              <w:rPr>
                <w:bCs/>
                <w:sz w:val="13"/>
                <w:szCs w:val="13"/>
              </w:rPr>
              <w:t>2</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tcPr>
          <w:p w14:paraId="096B8C5D" w14:textId="77777777" w:rsidR="004A0123" w:rsidRPr="00640447" w:rsidRDefault="004A0123" w:rsidP="008A5C11">
            <w:pPr>
              <w:jc w:val="center"/>
              <w:rPr>
                <w:bCs/>
                <w:sz w:val="13"/>
                <w:szCs w:val="13"/>
              </w:rPr>
            </w:pPr>
            <w:r w:rsidRPr="00640447">
              <w:rPr>
                <w:bCs/>
                <w:sz w:val="13"/>
                <w:szCs w:val="13"/>
              </w:rPr>
              <w:t>3</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7DF46FF9" w14:textId="77777777" w:rsidR="004A0123" w:rsidRPr="00640447" w:rsidRDefault="004A0123" w:rsidP="008A5C11">
            <w:pPr>
              <w:jc w:val="center"/>
              <w:rPr>
                <w:bCs/>
                <w:sz w:val="13"/>
                <w:szCs w:val="13"/>
              </w:rPr>
            </w:pPr>
            <w:r w:rsidRPr="00640447">
              <w:rPr>
                <w:bCs/>
                <w:sz w:val="13"/>
                <w:szCs w:val="13"/>
              </w:rPr>
              <w:t>4</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25789965" w14:textId="77777777" w:rsidR="004A0123" w:rsidRPr="00640447" w:rsidRDefault="004A0123" w:rsidP="008A5C11">
            <w:pPr>
              <w:jc w:val="center"/>
              <w:rPr>
                <w:bCs/>
                <w:sz w:val="13"/>
                <w:szCs w:val="13"/>
              </w:rPr>
            </w:pPr>
            <w:r w:rsidRPr="00640447">
              <w:rPr>
                <w:bCs/>
                <w:sz w:val="13"/>
                <w:szCs w:val="13"/>
              </w:rPr>
              <w:t>5</w:t>
            </w:r>
          </w:p>
        </w:tc>
        <w:tc>
          <w:tcPr>
            <w:tcW w:w="116" w:type="pct"/>
            <w:tcBorders>
              <w:top w:val="single" w:sz="4" w:space="0" w:color="auto"/>
              <w:left w:val="single" w:sz="4" w:space="0" w:color="auto"/>
              <w:bottom w:val="single" w:sz="4" w:space="0" w:color="auto"/>
              <w:right w:val="single" w:sz="4" w:space="0" w:color="auto"/>
            </w:tcBorders>
            <w:shd w:val="clear" w:color="auto" w:fill="auto"/>
            <w:vAlign w:val="center"/>
          </w:tcPr>
          <w:p w14:paraId="1EA18DF0" w14:textId="77777777" w:rsidR="004A0123" w:rsidRPr="00640447" w:rsidRDefault="004A0123" w:rsidP="008A5C11">
            <w:pPr>
              <w:jc w:val="center"/>
              <w:rPr>
                <w:bCs/>
                <w:sz w:val="13"/>
                <w:szCs w:val="13"/>
              </w:rPr>
            </w:pPr>
            <w:r w:rsidRPr="00640447">
              <w:rPr>
                <w:bCs/>
                <w:sz w:val="13"/>
                <w:szCs w:val="13"/>
              </w:rPr>
              <w:t>6</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36CEE649" w14:textId="77777777" w:rsidR="004A0123" w:rsidRPr="00640447" w:rsidRDefault="004A0123" w:rsidP="008A5C11">
            <w:pPr>
              <w:jc w:val="center"/>
              <w:rPr>
                <w:bCs/>
                <w:sz w:val="13"/>
                <w:szCs w:val="13"/>
              </w:rPr>
            </w:pPr>
            <w:r w:rsidRPr="00640447">
              <w:rPr>
                <w:bCs/>
                <w:sz w:val="13"/>
                <w:szCs w:val="13"/>
              </w:rPr>
              <w:t>7</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14:paraId="3A655DE7" w14:textId="77777777" w:rsidR="004A0123" w:rsidRPr="00640447" w:rsidRDefault="004A0123" w:rsidP="008A5C11">
            <w:pPr>
              <w:jc w:val="center"/>
              <w:rPr>
                <w:bCs/>
                <w:sz w:val="13"/>
                <w:szCs w:val="13"/>
              </w:rPr>
            </w:pPr>
            <w:r w:rsidRPr="00640447">
              <w:rPr>
                <w:bCs/>
                <w:sz w:val="13"/>
                <w:szCs w:val="13"/>
              </w:rPr>
              <w:t>8</w:t>
            </w: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14:paraId="5DD04986" w14:textId="77777777" w:rsidR="004A0123" w:rsidRPr="00640447" w:rsidRDefault="004A0123" w:rsidP="008A5C11">
            <w:pPr>
              <w:jc w:val="center"/>
              <w:rPr>
                <w:bCs/>
                <w:sz w:val="13"/>
                <w:szCs w:val="13"/>
              </w:rPr>
            </w:pPr>
            <w:r w:rsidRPr="00640447">
              <w:rPr>
                <w:bCs/>
                <w:sz w:val="13"/>
                <w:szCs w:val="13"/>
              </w:rPr>
              <w:t>9</w:t>
            </w:r>
          </w:p>
        </w:tc>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1AA17505" w14:textId="77777777" w:rsidR="004A0123" w:rsidRPr="00640447" w:rsidRDefault="004A0123" w:rsidP="008A5C11">
            <w:pPr>
              <w:jc w:val="center"/>
              <w:rPr>
                <w:bCs/>
                <w:sz w:val="13"/>
                <w:szCs w:val="13"/>
              </w:rPr>
            </w:pPr>
            <w:r w:rsidRPr="00640447">
              <w:rPr>
                <w:bCs/>
                <w:sz w:val="13"/>
                <w:szCs w:val="13"/>
              </w:rPr>
              <w:t>10</w:t>
            </w:r>
          </w:p>
        </w:tc>
        <w:tc>
          <w:tcPr>
            <w:tcW w:w="180" w:type="pct"/>
            <w:tcBorders>
              <w:top w:val="single" w:sz="4" w:space="0" w:color="auto"/>
              <w:left w:val="single" w:sz="4" w:space="0" w:color="auto"/>
              <w:bottom w:val="single" w:sz="4" w:space="0" w:color="auto"/>
              <w:right w:val="single" w:sz="4" w:space="0" w:color="auto"/>
            </w:tcBorders>
            <w:shd w:val="clear" w:color="auto" w:fill="auto"/>
            <w:vAlign w:val="center"/>
          </w:tcPr>
          <w:p w14:paraId="3F130467" w14:textId="77777777" w:rsidR="004A0123" w:rsidRPr="00640447" w:rsidRDefault="004A0123" w:rsidP="008A5C11">
            <w:pPr>
              <w:jc w:val="center"/>
              <w:rPr>
                <w:bCs/>
                <w:sz w:val="13"/>
                <w:szCs w:val="13"/>
              </w:rPr>
            </w:pPr>
            <w:r w:rsidRPr="00640447">
              <w:rPr>
                <w:bCs/>
                <w:sz w:val="13"/>
                <w:szCs w:val="13"/>
              </w:rPr>
              <w:t>11</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14:paraId="579CB71D" w14:textId="77777777" w:rsidR="004A0123" w:rsidRPr="00640447" w:rsidRDefault="004A0123" w:rsidP="008A5C11">
            <w:pPr>
              <w:jc w:val="center"/>
              <w:rPr>
                <w:bCs/>
                <w:sz w:val="13"/>
                <w:szCs w:val="13"/>
              </w:rPr>
            </w:pPr>
            <w:r w:rsidRPr="00640447">
              <w:rPr>
                <w:bCs/>
                <w:sz w:val="13"/>
                <w:szCs w:val="13"/>
              </w:rPr>
              <w:t>12</w:t>
            </w:r>
          </w:p>
        </w:tc>
        <w:tc>
          <w:tcPr>
            <w:tcW w:w="146" w:type="pct"/>
            <w:tcBorders>
              <w:top w:val="single" w:sz="4" w:space="0" w:color="auto"/>
              <w:left w:val="single" w:sz="4" w:space="0" w:color="auto"/>
              <w:bottom w:val="single" w:sz="4" w:space="0" w:color="auto"/>
              <w:right w:val="single" w:sz="4" w:space="0" w:color="auto"/>
            </w:tcBorders>
            <w:shd w:val="clear" w:color="auto" w:fill="auto"/>
            <w:vAlign w:val="center"/>
          </w:tcPr>
          <w:p w14:paraId="3229A941" w14:textId="77777777" w:rsidR="004A0123" w:rsidRPr="00640447" w:rsidRDefault="004A0123" w:rsidP="008A5C11">
            <w:pPr>
              <w:jc w:val="center"/>
              <w:rPr>
                <w:bCs/>
                <w:sz w:val="13"/>
                <w:szCs w:val="13"/>
              </w:rPr>
            </w:pPr>
            <w:r w:rsidRPr="00640447">
              <w:rPr>
                <w:bCs/>
                <w:sz w:val="13"/>
                <w:szCs w:val="13"/>
              </w:rPr>
              <w:t>13</w:t>
            </w:r>
          </w:p>
        </w:tc>
        <w:tc>
          <w:tcPr>
            <w:tcW w:w="149" w:type="pct"/>
            <w:tcBorders>
              <w:top w:val="single" w:sz="4" w:space="0" w:color="auto"/>
              <w:left w:val="single" w:sz="4" w:space="0" w:color="auto"/>
              <w:bottom w:val="single" w:sz="4" w:space="0" w:color="auto"/>
              <w:right w:val="single" w:sz="4" w:space="0" w:color="auto"/>
            </w:tcBorders>
            <w:shd w:val="clear" w:color="auto" w:fill="auto"/>
            <w:vAlign w:val="center"/>
          </w:tcPr>
          <w:p w14:paraId="034EF4AA" w14:textId="77777777" w:rsidR="004A0123" w:rsidRPr="00640447" w:rsidRDefault="004A0123" w:rsidP="008A5C11">
            <w:pPr>
              <w:jc w:val="center"/>
              <w:rPr>
                <w:bCs/>
                <w:sz w:val="13"/>
                <w:szCs w:val="13"/>
              </w:rPr>
            </w:pPr>
            <w:r w:rsidRPr="00640447">
              <w:rPr>
                <w:bCs/>
                <w:sz w:val="13"/>
                <w:szCs w:val="13"/>
              </w:rPr>
              <w:t>14</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070CCD44" w14:textId="77777777" w:rsidR="004A0123" w:rsidRPr="00640447" w:rsidRDefault="004A0123" w:rsidP="008A5C11">
            <w:pPr>
              <w:jc w:val="center"/>
              <w:rPr>
                <w:bCs/>
                <w:sz w:val="13"/>
                <w:szCs w:val="13"/>
              </w:rPr>
            </w:pPr>
            <w:r w:rsidRPr="00640447">
              <w:rPr>
                <w:bCs/>
                <w:sz w:val="13"/>
                <w:szCs w:val="13"/>
              </w:rPr>
              <w:t>15</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112B6354" w14:textId="77777777" w:rsidR="004A0123" w:rsidRPr="00640447" w:rsidRDefault="004A0123" w:rsidP="008A5C11">
            <w:pPr>
              <w:jc w:val="center"/>
              <w:rPr>
                <w:bCs/>
                <w:sz w:val="13"/>
                <w:szCs w:val="13"/>
              </w:rPr>
            </w:pPr>
            <w:r w:rsidRPr="00640447">
              <w:rPr>
                <w:bCs/>
                <w:sz w:val="13"/>
                <w:szCs w:val="13"/>
              </w:rPr>
              <w:t>16</w:t>
            </w:r>
          </w:p>
        </w:tc>
        <w:tc>
          <w:tcPr>
            <w:tcW w:w="155" w:type="pct"/>
            <w:tcBorders>
              <w:top w:val="single" w:sz="4" w:space="0" w:color="auto"/>
              <w:left w:val="single" w:sz="4" w:space="0" w:color="auto"/>
              <w:bottom w:val="single" w:sz="4" w:space="0" w:color="auto"/>
              <w:right w:val="single" w:sz="4" w:space="0" w:color="auto"/>
            </w:tcBorders>
            <w:vAlign w:val="center"/>
          </w:tcPr>
          <w:p w14:paraId="488E4BC5" w14:textId="77777777" w:rsidR="004A0123" w:rsidRPr="00640447" w:rsidRDefault="004A0123" w:rsidP="008A5C11">
            <w:pPr>
              <w:jc w:val="center"/>
              <w:rPr>
                <w:bCs/>
                <w:sz w:val="13"/>
                <w:szCs w:val="13"/>
              </w:rPr>
            </w:pPr>
            <w:r w:rsidRPr="00640447">
              <w:rPr>
                <w:bCs/>
                <w:sz w:val="13"/>
                <w:szCs w:val="13"/>
              </w:rPr>
              <w:t>17</w:t>
            </w:r>
          </w:p>
        </w:tc>
        <w:tc>
          <w:tcPr>
            <w:tcW w:w="154" w:type="pct"/>
            <w:tcBorders>
              <w:top w:val="single" w:sz="4" w:space="0" w:color="auto"/>
              <w:left w:val="single" w:sz="4" w:space="0" w:color="auto"/>
              <w:bottom w:val="single" w:sz="4" w:space="0" w:color="auto"/>
              <w:right w:val="single" w:sz="4" w:space="0" w:color="auto"/>
            </w:tcBorders>
            <w:vAlign w:val="center"/>
          </w:tcPr>
          <w:p w14:paraId="15FDB35A" w14:textId="77777777" w:rsidR="004A0123" w:rsidRPr="00640447" w:rsidRDefault="004A0123" w:rsidP="008A5C11">
            <w:pPr>
              <w:jc w:val="center"/>
              <w:rPr>
                <w:bCs/>
                <w:sz w:val="13"/>
                <w:szCs w:val="13"/>
              </w:rPr>
            </w:pPr>
            <w:r w:rsidRPr="00640447">
              <w:rPr>
                <w:bCs/>
                <w:sz w:val="13"/>
                <w:szCs w:val="13"/>
              </w:rPr>
              <w:t>18</w:t>
            </w:r>
          </w:p>
        </w:tc>
        <w:tc>
          <w:tcPr>
            <w:tcW w:w="153" w:type="pct"/>
            <w:tcBorders>
              <w:top w:val="single" w:sz="4" w:space="0" w:color="auto"/>
              <w:left w:val="single" w:sz="4" w:space="0" w:color="auto"/>
              <w:bottom w:val="single" w:sz="4" w:space="0" w:color="auto"/>
              <w:right w:val="single" w:sz="4" w:space="0" w:color="auto"/>
            </w:tcBorders>
            <w:vAlign w:val="center"/>
          </w:tcPr>
          <w:p w14:paraId="40D63958" w14:textId="77777777" w:rsidR="004A0123" w:rsidRPr="00640447" w:rsidRDefault="004A0123" w:rsidP="008A5C11">
            <w:pPr>
              <w:jc w:val="center"/>
              <w:rPr>
                <w:bCs/>
                <w:sz w:val="13"/>
                <w:szCs w:val="13"/>
              </w:rPr>
            </w:pPr>
            <w:r w:rsidRPr="00640447">
              <w:rPr>
                <w:bCs/>
                <w:sz w:val="13"/>
                <w:szCs w:val="13"/>
              </w:rPr>
              <w:t>19</w:t>
            </w:r>
          </w:p>
        </w:tc>
        <w:tc>
          <w:tcPr>
            <w:tcW w:w="174" w:type="pct"/>
            <w:tcBorders>
              <w:top w:val="single" w:sz="4" w:space="0" w:color="auto"/>
              <w:left w:val="single" w:sz="4" w:space="0" w:color="auto"/>
              <w:bottom w:val="single" w:sz="4" w:space="0" w:color="auto"/>
              <w:right w:val="single" w:sz="4" w:space="0" w:color="auto"/>
            </w:tcBorders>
            <w:vAlign w:val="center"/>
          </w:tcPr>
          <w:p w14:paraId="7562C0E7" w14:textId="77777777" w:rsidR="004A0123" w:rsidRPr="00640447" w:rsidRDefault="004A0123" w:rsidP="008A5C11">
            <w:pPr>
              <w:jc w:val="center"/>
              <w:rPr>
                <w:bCs/>
                <w:sz w:val="13"/>
                <w:szCs w:val="13"/>
              </w:rPr>
            </w:pPr>
            <w:r w:rsidRPr="00640447">
              <w:rPr>
                <w:bCs/>
                <w:sz w:val="13"/>
                <w:szCs w:val="13"/>
              </w:rPr>
              <w:t>20</w:t>
            </w:r>
          </w:p>
        </w:tc>
        <w:tc>
          <w:tcPr>
            <w:tcW w:w="156" w:type="pct"/>
            <w:tcBorders>
              <w:top w:val="single" w:sz="4" w:space="0" w:color="auto"/>
              <w:left w:val="single" w:sz="4" w:space="0" w:color="auto"/>
              <w:bottom w:val="single" w:sz="4" w:space="0" w:color="auto"/>
              <w:right w:val="single" w:sz="4" w:space="0" w:color="auto"/>
            </w:tcBorders>
            <w:vAlign w:val="center"/>
          </w:tcPr>
          <w:p w14:paraId="688F593F" w14:textId="77777777" w:rsidR="004A0123" w:rsidRPr="00640447" w:rsidRDefault="004A0123" w:rsidP="008A5C11">
            <w:pPr>
              <w:jc w:val="center"/>
              <w:rPr>
                <w:bCs/>
                <w:sz w:val="13"/>
                <w:szCs w:val="13"/>
              </w:rPr>
            </w:pPr>
            <w:r w:rsidRPr="00640447">
              <w:rPr>
                <w:bCs/>
                <w:sz w:val="13"/>
                <w:szCs w:val="13"/>
              </w:rPr>
              <w:t>21</w:t>
            </w:r>
          </w:p>
        </w:tc>
        <w:tc>
          <w:tcPr>
            <w:tcW w:w="146" w:type="pct"/>
            <w:tcBorders>
              <w:top w:val="single" w:sz="4" w:space="0" w:color="auto"/>
              <w:left w:val="single" w:sz="4" w:space="0" w:color="auto"/>
              <w:bottom w:val="single" w:sz="4" w:space="0" w:color="auto"/>
              <w:right w:val="single" w:sz="4" w:space="0" w:color="auto"/>
            </w:tcBorders>
            <w:vAlign w:val="center"/>
          </w:tcPr>
          <w:p w14:paraId="5E5FC57D" w14:textId="77777777" w:rsidR="004A0123" w:rsidRPr="00640447" w:rsidRDefault="004A0123" w:rsidP="008A5C11">
            <w:pPr>
              <w:jc w:val="center"/>
              <w:rPr>
                <w:bCs/>
                <w:sz w:val="13"/>
                <w:szCs w:val="13"/>
              </w:rPr>
            </w:pPr>
            <w:r w:rsidRPr="00640447">
              <w:rPr>
                <w:bCs/>
                <w:sz w:val="13"/>
                <w:szCs w:val="13"/>
              </w:rPr>
              <w:t>22</w:t>
            </w:r>
          </w:p>
        </w:tc>
        <w:tc>
          <w:tcPr>
            <w:tcW w:w="188" w:type="pct"/>
            <w:tcBorders>
              <w:top w:val="single" w:sz="4" w:space="0" w:color="auto"/>
              <w:left w:val="single" w:sz="4" w:space="0" w:color="auto"/>
              <w:bottom w:val="single" w:sz="4" w:space="0" w:color="auto"/>
              <w:right w:val="single" w:sz="4" w:space="0" w:color="auto"/>
            </w:tcBorders>
            <w:vAlign w:val="center"/>
          </w:tcPr>
          <w:p w14:paraId="1B283311" w14:textId="77777777" w:rsidR="004A0123" w:rsidRPr="00640447" w:rsidRDefault="004A0123" w:rsidP="008A5C11">
            <w:pPr>
              <w:jc w:val="center"/>
              <w:rPr>
                <w:bCs/>
                <w:sz w:val="13"/>
                <w:szCs w:val="13"/>
              </w:rPr>
            </w:pPr>
            <w:r w:rsidRPr="00640447">
              <w:rPr>
                <w:bCs/>
                <w:sz w:val="13"/>
                <w:szCs w:val="13"/>
              </w:rPr>
              <w:t>23</w:t>
            </w:r>
          </w:p>
        </w:tc>
        <w:tc>
          <w:tcPr>
            <w:tcW w:w="182" w:type="pct"/>
            <w:tcBorders>
              <w:top w:val="single" w:sz="4" w:space="0" w:color="auto"/>
              <w:left w:val="single" w:sz="4" w:space="0" w:color="auto"/>
              <w:bottom w:val="single" w:sz="4" w:space="0" w:color="auto"/>
              <w:right w:val="single" w:sz="4" w:space="0" w:color="auto"/>
            </w:tcBorders>
            <w:vAlign w:val="center"/>
          </w:tcPr>
          <w:p w14:paraId="703BC0CE" w14:textId="77777777" w:rsidR="004A0123" w:rsidRPr="00640447" w:rsidRDefault="004A0123" w:rsidP="008A5C11">
            <w:pPr>
              <w:jc w:val="center"/>
              <w:rPr>
                <w:bCs/>
                <w:sz w:val="13"/>
                <w:szCs w:val="13"/>
              </w:rPr>
            </w:pPr>
            <w:r w:rsidRPr="00640447">
              <w:rPr>
                <w:bCs/>
                <w:sz w:val="13"/>
                <w:szCs w:val="13"/>
              </w:rPr>
              <w:t>24</w:t>
            </w:r>
          </w:p>
        </w:tc>
      </w:tr>
      <w:tr w:rsidR="004A0123" w:rsidRPr="00640447" w14:paraId="5D4245F5" w14:textId="77777777" w:rsidTr="008A5C11">
        <w:trPr>
          <w:trHeight w:val="267"/>
        </w:trPr>
        <w:tc>
          <w:tcPr>
            <w:tcW w:w="4154" w:type="pct"/>
            <w:gridSpan w:val="19"/>
            <w:tcBorders>
              <w:top w:val="single" w:sz="4" w:space="0" w:color="auto"/>
              <w:right w:val="single" w:sz="4" w:space="0" w:color="auto"/>
            </w:tcBorders>
            <w:shd w:val="clear" w:color="auto" w:fill="auto"/>
            <w:vAlign w:val="center"/>
          </w:tcPr>
          <w:p w14:paraId="76918D85" w14:textId="77777777" w:rsidR="004A0123" w:rsidRPr="00640447" w:rsidRDefault="004A0123" w:rsidP="008A5C11">
            <w:pPr>
              <w:rPr>
                <w:sz w:val="13"/>
                <w:szCs w:val="13"/>
              </w:rPr>
            </w:pPr>
            <w:r w:rsidRPr="00640447">
              <w:rPr>
                <w:sz w:val="13"/>
                <w:szCs w:val="13"/>
              </w:rPr>
              <w:t>3.2. Реконструкция или модернизация существующих объектов системы централизованного теплоснабжения, за исключением тепловых сетей</w:t>
            </w:r>
          </w:p>
        </w:tc>
        <w:tc>
          <w:tcPr>
            <w:tcW w:w="174" w:type="pct"/>
            <w:tcBorders>
              <w:top w:val="single" w:sz="4" w:space="0" w:color="auto"/>
              <w:right w:val="single" w:sz="4" w:space="0" w:color="auto"/>
            </w:tcBorders>
            <w:vAlign w:val="center"/>
          </w:tcPr>
          <w:p w14:paraId="48EF250C" w14:textId="77777777" w:rsidR="004A0123" w:rsidRPr="00640447" w:rsidRDefault="004A0123" w:rsidP="008A5C11">
            <w:pPr>
              <w:jc w:val="center"/>
              <w:rPr>
                <w:sz w:val="13"/>
                <w:szCs w:val="13"/>
              </w:rPr>
            </w:pPr>
          </w:p>
        </w:tc>
        <w:tc>
          <w:tcPr>
            <w:tcW w:w="156" w:type="pct"/>
            <w:tcBorders>
              <w:top w:val="single" w:sz="4" w:space="0" w:color="auto"/>
              <w:right w:val="single" w:sz="4" w:space="0" w:color="auto"/>
            </w:tcBorders>
            <w:vAlign w:val="center"/>
          </w:tcPr>
          <w:p w14:paraId="196D0F69" w14:textId="77777777" w:rsidR="004A0123" w:rsidRPr="00640447" w:rsidRDefault="004A0123" w:rsidP="008A5C11">
            <w:pPr>
              <w:jc w:val="center"/>
              <w:rPr>
                <w:sz w:val="13"/>
                <w:szCs w:val="13"/>
              </w:rPr>
            </w:pPr>
          </w:p>
        </w:tc>
        <w:tc>
          <w:tcPr>
            <w:tcW w:w="146" w:type="pct"/>
            <w:tcBorders>
              <w:top w:val="single" w:sz="4" w:space="0" w:color="auto"/>
              <w:right w:val="single" w:sz="4" w:space="0" w:color="auto"/>
            </w:tcBorders>
            <w:vAlign w:val="center"/>
          </w:tcPr>
          <w:p w14:paraId="07F4DEA7" w14:textId="77777777" w:rsidR="004A0123" w:rsidRPr="00640447" w:rsidRDefault="004A0123" w:rsidP="008A5C11">
            <w:pPr>
              <w:jc w:val="center"/>
              <w:rPr>
                <w:sz w:val="13"/>
                <w:szCs w:val="13"/>
              </w:rPr>
            </w:pPr>
          </w:p>
        </w:tc>
        <w:tc>
          <w:tcPr>
            <w:tcW w:w="188" w:type="pct"/>
            <w:tcBorders>
              <w:top w:val="single" w:sz="4" w:space="0" w:color="auto"/>
              <w:right w:val="single" w:sz="4" w:space="0" w:color="auto"/>
            </w:tcBorders>
            <w:vAlign w:val="center"/>
          </w:tcPr>
          <w:p w14:paraId="580E6649" w14:textId="77777777" w:rsidR="004A0123" w:rsidRPr="00640447" w:rsidRDefault="004A0123" w:rsidP="008A5C11">
            <w:pPr>
              <w:jc w:val="center"/>
              <w:rPr>
                <w:sz w:val="13"/>
                <w:szCs w:val="13"/>
              </w:rPr>
            </w:pPr>
          </w:p>
        </w:tc>
        <w:tc>
          <w:tcPr>
            <w:tcW w:w="182" w:type="pct"/>
            <w:tcBorders>
              <w:top w:val="single" w:sz="4" w:space="0" w:color="auto"/>
              <w:right w:val="single" w:sz="4" w:space="0" w:color="auto"/>
            </w:tcBorders>
            <w:vAlign w:val="center"/>
          </w:tcPr>
          <w:p w14:paraId="3B76F282" w14:textId="77777777" w:rsidR="004A0123" w:rsidRPr="00640447" w:rsidRDefault="004A0123" w:rsidP="008A5C11">
            <w:pPr>
              <w:jc w:val="center"/>
              <w:rPr>
                <w:sz w:val="13"/>
                <w:szCs w:val="13"/>
              </w:rPr>
            </w:pPr>
          </w:p>
        </w:tc>
      </w:tr>
      <w:tr w:rsidR="004A0123" w:rsidRPr="00640447" w14:paraId="3086430E" w14:textId="77777777" w:rsidTr="008A5C11">
        <w:trPr>
          <w:trHeight w:val="817"/>
        </w:trPr>
        <w:tc>
          <w:tcPr>
            <w:tcW w:w="146" w:type="pct"/>
            <w:tcBorders>
              <w:bottom w:val="single" w:sz="4" w:space="0" w:color="auto"/>
            </w:tcBorders>
            <w:shd w:val="clear" w:color="auto" w:fill="auto"/>
            <w:vAlign w:val="center"/>
          </w:tcPr>
          <w:p w14:paraId="5282B4F3" w14:textId="77777777" w:rsidR="004A0123" w:rsidRPr="00640447" w:rsidRDefault="004A0123" w:rsidP="008A5C11">
            <w:pPr>
              <w:jc w:val="center"/>
              <w:rPr>
                <w:sz w:val="13"/>
                <w:szCs w:val="13"/>
              </w:rPr>
            </w:pPr>
            <w:r w:rsidRPr="00640447">
              <w:rPr>
                <w:sz w:val="13"/>
                <w:szCs w:val="13"/>
              </w:rPr>
              <w:t>3.2.1.</w:t>
            </w:r>
          </w:p>
        </w:tc>
        <w:tc>
          <w:tcPr>
            <w:tcW w:w="616" w:type="pct"/>
            <w:tcBorders>
              <w:top w:val="nil"/>
              <w:left w:val="single" w:sz="4" w:space="0" w:color="auto"/>
              <w:bottom w:val="single" w:sz="4" w:space="0" w:color="auto"/>
              <w:right w:val="single" w:sz="4" w:space="0" w:color="auto"/>
            </w:tcBorders>
            <w:shd w:val="clear" w:color="auto" w:fill="auto"/>
            <w:vAlign w:val="center"/>
          </w:tcPr>
          <w:p w14:paraId="7B64AC29" w14:textId="77777777" w:rsidR="004A0123" w:rsidRPr="00640447" w:rsidRDefault="004A0123" w:rsidP="008A5C11">
            <w:pPr>
              <w:rPr>
                <w:color w:val="000000"/>
                <w:sz w:val="13"/>
                <w:szCs w:val="13"/>
              </w:rPr>
            </w:pPr>
            <w:r w:rsidRPr="00640447">
              <w:rPr>
                <w:color w:val="000000"/>
                <w:sz w:val="13"/>
                <w:szCs w:val="13"/>
              </w:rPr>
              <w:t>Проектирование и установка системы газоочистки на котельной «Привокзальная» для котлоагрегатов КВТС-20 в количестве 4 шт.</w:t>
            </w:r>
          </w:p>
        </w:tc>
        <w:tc>
          <w:tcPr>
            <w:tcW w:w="359" w:type="pct"/>
            <w:tcBorders>
              <w:top w:val="nil"/>
              <w:left w:val="nil"/>
              <w:bottom w:val="single" w:sz="4" w:space="0" w:color="auto"/>
              <w:right w:val="single" w:sz="4" w:space="0" w:color="auto"/>
            </w:tcBorders>
            <w:shd w:val="clear" w:color="auto" w:fill="auto"/>
            <w:vAlign w:val="center"/>
          </w:tcPr>
          <w:p w14:paraId="602D9196" w14:textId="77777777" w:rsidR="004A0123" w:rsidRPr="00640447" w:rsidRDefault="004A0123" w:rsidP="008A5C11">
            <w:pPr>
              <w:jc w:val="center"/>
              <w:rPr>
                <w:color w:val="000000"/>
                <w:sz w:val="13"/>
                <w:szCs w:val="13"/>
              </w:rPr>
            </w:pPr>
            <w:r w:rsidRPr="00640447">
              <w:rPr>
                <w:color w:val="000000"/>
                <w:sz w:val="13"/>
                <w:szCs w:val="13"/>
              </w:rPr>
              <w:t>Повышение надежности теплоснабжения</w:t>
            </w:r>
          </w:p>
        </w:tc>
        <w:tc>
          <w:tcPr>
            <w:tcW w:w="360" w:type="pct"/>
            <w:tcBorders>
              <w:top w:val="nil"/>
              <w:left w:val="nil"/>
              <w:bottom w:val="single" w:sz="4" w:space="0" w:color="auto"/>
              <w:right w:val="single" w:sz="4" w:space="0" w:color="auto"/>
            </w:tcBorders>
            <w:shd w:val="clear" w:color="auto" w:fill="auto"/>
            <w:vAlign w:val="center"/>
          </w:tcPr>
          <w:p w14:paraId="4F370886" w14:textId="77777777" w:rsidR="004A0123" w:rsidRPr="00640447" w:rsidRDefault="004A0123" w:rsidP="008A5C11">
            <w:pPr>
              <w:jc w:val="center"/>
              <w:rPr>
                <w:color w:val="000000"/>
                <w:sz w:val="13"/>
                <w:szCs w:val="13"/>
              </w:rPr>
            </w:pPr>
            <w:r w:rsidRPr="00640447">
              <w:rPr>
                <w:color w:val="000000"/>
                <w:sz w:val="13"/>
                <w:szCs w:val="13"/>
              </w:rPr>
              <w:t xml:space="preserve">г. Ленинск-Кузнецкий, </w:t>
            </w:r>
          </w:p>
          <w:p w14:paraId="0D4EDF24" w14:textId="77777777" w:rsidR="004A0123" w:rsidRPr="00640447" w:rsidRDefault="004A0123" w:rsidP="008A5C11">
            <w:pPr>
              <w:jc w:val="center"/>
              <w:rPr>
                <w:color w:val="000000"/>
                <w:sz w:val="13"/>
                <w:szCs w:val="13"/>
              </w:rPr>
            </w:pPr>
            <w:r w:rsidRPr="00640447">
              <w:rPr>
                <w:color w:val="000000"/>
                <w:sz w:val="13"/>
                <w:szCs w:val="13"/>
              </w:rPr>
              <w:t>ул. Шишляннико-ва, 1б</w:t>
            </w:r>
          </w:p>
        </w:tc>
        <w:tc>
          <w:tcPr>
            <w:tcW w:w="338" w:type="pct"/>
            <w:tcBorders>
              <w:top w:val="nil"/>
              <w:left w:val="nil"/>
              <w:bottom w:val="single" w:sz="4" w:space="0" w:color="auto"/>
              <w:right w:val="single" w:sz="4" w:space="0" w:color="auto"/>
            </w:tcBorders>
            <w:shd w:val="clear" w:color="auto" w:fill="auto"/>
            <w:vAlign w:val="center"/>
          </w:tcPr>
          <w:p w14:paraId="25D30F1E" w14:textId="77777777" w:rsidR="004A0123" w:rsidRPr="00640447" w:rsidRDefault="004A0123" w:rsidP="008A5C11">
            <w:pPr>
              <w:jc w:val="center"/>
              <w:rPr>
                <w:sz w:val="13"/>
                <w:szCs w:val="13"/>
              </w:rPr>
            </w:pPr>
            <w:proofErr w:type="gramStart"/>
            <w:r w:rsidRPr="00640447">
              <w:rPr>
                <w:sz w:val="13"/>
                <w:szCs w:val="13"/>
              </w:rPr>
              <w:t>Производитель-ность</w:t>
            </w:r>
            <w:proofErr w:type="gramEnd"/>
          </w:p>
        </w:tc>
        <w:tc>
          <w:tcPr>
            <w:tcW w:w="116" w:type="pct"/>
            <w:tcBorders>
              <w:top w:val="nil"/>
              <w:left w:val="nil"/>
              <w:bottom w:val="single" w:sz="4" w:space="0" w:color="auto"/>
              <w:right w:val="single" w:sz="4" w:space="0" w:color="auto"/>
            </w:tcBorders>
            <w:shd w:val="clear" w:color="auto" w:fill="auto"/>
            <w:vAlign w:val="center"/>
          </w:tcPr>
          <w:p w14:paraId="2CF7BDBA" w14:textId="77777777" w:rsidR="004A0123" w:rsidRPr="00640447" w:rsidRDefault="004A0123" w:rsidP="008A5C11">
            <w:pPr>
              <w:jc w:val="center"/>
              <w:rPr>
                <w:sz w:val="13"/>
                <w:szCs w:val="13"/>
              </w:rPr>
            </w:pPr>
            <w:r w:rsidRPr="00640447">
              <w:rPr>
                <w:sz w:val="13"/>
                <w:szCs w:val="13"/>
              </w:rPr>
              <w:t>м</w:t>
            </w:r>
            <w:r w:rsidRPr="00640447">
              <w:rPr>
                <w:sz w:val="13"/>
                <w:szCs w:val="13"/>
                <w:vertAlign w:val="superscript"/>
              </w:rPr>
              <w:t>3</w:t>
            </w:r>
            <w:r w:rsidRPr="00640447">
              <w:rPr>
                <w:sz w:val="13"/>
                <w:szCs w:val="13"/>
              </w:rPr>
              <w:t>/с</w:t>
            </w:r>
          </w:p>
        </w:tc>
        <w:tc>
          <w:tcPr>
            <w:tcW w:w="182" w:type="pct"/>
            <w:tcBorders>
              <w:top w:val="nil"/>
              <w:left w:val="single" w:sz="4" w:space="0" w:color="auto"/>
              <w:bottom w:val="single" w:sz="4" w:space="0" w:color="auto"/>
              <w:right w:val="single" w:sz="4" w:space="0" w:color="auto"/>
            </w:tcBorders>
            <w:shd w:val="clear" w:color="auto" w:fill="auto"/>
            <w:vAlign w:val="center"/>
          </w:tcPr>
          <w:p w14:paraId="37365B84" w14:textId="77777777" w:rsidR="004A0123" w:rsidRPr="00640447" w:rsidRDefault="004A0123" w:rsidP="008A5C11">
            <w:pPr>
              <w:jc w:val="center"/>
              <w:rPr>
                <w:sz w:val="13"/>
                <w:szCs w:val="13"/>
              </w:rPr>
            </w:pPr>
            <w:r w:rsidRPr="00640447">
              <w:rPr>
                <w:sz w:val="13"/>
                <w:szCs w:val="13"/>
              </w:rPr>
              <w:t>13,6</w:t>
            </w:r>
          </w:p>
        </w:tc>
        <w:tc>
          <w:tcPr>
            <w:tcW w:w="174" w:type="pct"/>
            <w:tcBorders>
              <w:top w:val="nil"/>
              <w:left w:val="nil"/>
              <w:bottom w:val="single" w:sz="4" w:space="0" w:color="auto"/>
              <w:right w:val="single" w:sz="4" w:space="0" w:color="auto"/>
            </w:tcBorders>
            <w:shd w:val="clear" w:color="auto" w:fill="auto"/>
            <w:vAlign w:val="center"/>
          </w:tcPr>
          <w:p w14:paraId="3B61B3B7" w14:textId="77777777" w:rsidR="004A0123" w:rsidRPr="00640447" w:rsidRDefault="004A0123" w:rsidP="008A5C11">
            <w:pPr>
              <w:jc w:val="center"/>
              <w:rPr>
                <w:sz w:val="13"/>
                <w:szCs w:val="13"/>
              </w:rPr>
            </w:pPr>
            <w:r w:rsidRPr="00640447">
              <w:rPr>
                <w:sz w:val="13"/>
                <w:szCs w:val="13"/>
              </w:rPr>
              <w:t>13,6</w:t>
            </w:r>
          </w:p>
        </w:tc>
        <w:tc>
          <w:tcPr>
            <w:tcW w:w="189" w:type="pct"/>
            <w:tcBorders>
              <w:top w:val="nil"/>
              <w:left w:val="nil"/>
              <w:bottom w:val="single" w:sz="4" w:space="0" w:color="auto"/>
              <w:right w:val="single" w:sz="4" w:space="0" w:color="auto"/>
            </w:tcBorders>
            <w:shd w:val="clear" w:color="auto" w:fill="auto"/>
            <w:vAlign w:val="center"/>
          </w:tcPr>
          <w:p w14:paraId="2E384860" w14:textId="77777777" w:rsidR="004A0123" w:rsidRPr="00640447" w:rsidRDefault="004A0123" w:rsidP="008A5C11">
            <w:pPr>
              <w:jc w:val="center"/>
              <w:rPr>
                <w:sz w:val="13"/>
                <w:szCs w:val="13"/>
              </w:rPr>
            </w:pPr>
            <w:r w:rsidRPr="00640447">
              <w:rPr>
                <w:sz w:val="13"/>
                <w:szCs w:val="13"/>
              </w:rPr>
              <w:t>2019</w:t>
            </w:r>
          </w:p>
        </w:tc>
        <w:tc>
          <w:tcPr>
            <w:tcW w:w="184" w:type="pct"/>
            <w:tcBorders>
              <w:top w:val="nil"/>
              <w:left w:val="nil"/>
              <w:bottom w:val="single" w:sz="4" w:space="0" w:color="auto"/>
              <w:right w:val="single" w:sz="4" w:space="0" w:color="auto"/>
            </w:tcBorders>
            <w:shd w:val="clear" w:color="auto" w:fill="auto"/>
            <w:vAlign w:val="center"/>
          </w:tcPr>
          <w:p w14:paraId="403D5CFF" w14:textId="77777777" w:rsidR="004A0123" w:rsidRPr="00640447" w:rsidRDefault="004A0123" w:rsidP="008A5C11">
            <w:pPr>
              <w:jc w:val="center"/>
              <w:rPr>
                <w:sz w:val="13"/>
                <w:szCs w:val="13"/>
              </w:rPr>
            </w:pPr>
            <w:r w:rsidRPr="00640447">
              <w:rPr>
                <w:sz w:val="13"/>
                <w:szCs w:val="13"/>
              </w:rPr>
              <w:t>2021</w:t>
            </w:r>
          </w:p>
        </w:tc>
        <w:tc>
          <w:tcPr>
            <w:tcW w:w="180" w:type="pct"/>
            <w:tcBorders>
              <w:top w:val="nil"/>
              <w:left w:val="nil"/>
              <w:bottom w:val="single" w:sz="4" w:space="0" w:color="auto"/>
              <w:right w:val="single" w:sz="4" w:space="0" w:color="auto"/>
            </w:tcBorders>
            <w:shd w:val="clear" w:color="auto" w:fill="auto"/>
            <w:vAlign w:val="center"/>
          </w:tcPr>
          <w:p w14:paraId="0D257F7A" w14:textId="77777777" w:rsidR="004A0123" w:rsidRPr="00640447" w:rsidRDefault="004A0123" w:rsidP="008A5C11">
            <w:pPr>
              <w:jc w:val="center"/>
              <w:rPr>
                <w:sz w:val="13"/>
                <w:szCs w:val="13"/>
              </w:rPr>
            </w:pPr>
            <w:r w:rsidRPr="00640447">
              <w:rPr>
                <w:sz w:val="13"/>
                <w:szCs w:val="13"/>
              </w:rPr>
              <w:t>15656</w:t>
            </w:r>
          </w:p>
        </w:tc>
        <w:tc>
          <w:tcPr>
            <w:tcW w:w="187" w:type="pct"/>
            <w:tcBorders>
              <w:top w:val="nil"/>
              <w:left w:val="nil"/>
              <w:bottom w:val="single" w:sz="4" w:space="0" w:color="auto"/>
              <w:right w:val="single" w:sz="4" w:space="0" w:color="auto"/>
            </w:tcBorders>
            <w:shd w:val="clear" w:color="auto" w:fill="auto"/>
            <w:vAlign w:val="center"/>
          </w:tcPr>
          <w:p w14:paraId="729820D1" w14:textId="77777777" w:rsidR="004A0123" w:rsidRPr="00640447" w:rsidRDefault="004A0123" w:rsidP="008A5C11">
            <w:pPr>
              <w:jc w:val="center"/>
              <w:rPr>
                <w:sz w:val="13"/>
                <w:szCs w:val="13"/>
              </w:rPr>
            </w:pPr>
            <w:r w:rsidRPr="00640447">
              <w:rPr>
                <w:sz w:val="13"/>
                <w:szCs w:val="13"/>
              </w:rPr>
              <w:t>0</w:t>
            </w:r>
          </w:p>
        </w:tc>
        <w:tc>
          <w:tcPr>
            <w:tcW w:w="146" w:type="pct"/>
            <w:tcBorders>
              <w:top w:val="nil"/>
              <w:left w:val="single" w:sz="4" w:space="0" w:color="auto"/>
              <w:bottom w:val="single" w:sz="4" w:space="0" w:color="auto"/>
              <w:right w:val="single" w:sz="4" w:space="0" w:color="auto"/>
            </w:tcBorders>
            <w:shd w:val="clear" w:color="auto" w:fill="auto"/>
            <w:vAlign w:val="center"/>
          </w:tcPr>
          <w:p w14:paraId="512FE64A" w14:textId="77777777" w:rsidR="004A0123" w:rsidRPr="00640447" w:rsidRDefault="004A0123" w:rsidP="008A5C11">
            <w:pPr>
              <w:jc w:val="center"/>
              <w:rPr>
                <w:sz w:val="13"/>
                <w:szCs w:val="13"/>
              </w:rPr>
            </w:pPr>
            <w:r w:rsidRPr="00640447">
              <w:rPr>
                <w:sz w:val="13"/>
                <w:szCs w:val="13"/>
              </w:rPr>
              <w:t>15500</w:t>
            </w:r>
          </w:p>
        </w:tc>
        <w:tc>
          <w:tcPr>
            <w:tcW w:w="149" w:type="pct"/>
            <w:tcBorders>
              <w:top w:val="nil"/>
              <w:left w:val="nil"/>
              <w:bottom w:val="single" w:sz="4" w:space="0" w:color="auto"/>
              <w:right w:val="single" w:sz="4" w:space="0" w:color="auto"/>
            </w:tcBorders>
            <w:shd w:val="clear" w:color="auto" w:fill="auto"/>
            <w:vAlign w:val="center"/>
          </w:tcPr>
          <w:p w14:paraId="35A2822B" w14:textId="77777777" w:rsidR="004A0123" w:rsidRPr="00640447" w:rsidRDefault="004A0123" w:rsidP="008A5C11">
            <w:pPr>
              <w:jc w:val="center"/>
              <w:rPr>
                <w:sz w:val="13"/>
                <w:szCs w:val="13"/>
              </w:rPr>
            </w:pPr>
            <w:r w:rsidRPr="00640447">
              <w:rPr>
                <w:sz w:val="13"/>
                <w:szCs w:val="13"/>
              </w:rPr>
              <w:t>0</w:t>
            </w:r>
          </w:p>
        </w:tc>
        <w:tc>
          <w:tcPr>
            <w:tcW w:w="183" w:type="pct"/>
            <w:tcBorders>
              <w:top w:val="nil"/>
              <w:left w:val="nil"/>
              <w:bottom w:val="single" w:sz="4" w:space="0" w:color="auto"/>
              <w:right w:val="single" w:sz="4" w:space="0" w:color="auto"/>
            </w:tcBorders>
            <w:shd w:val="clear" w:color="auto" w:fill="auto"/>
            <w:vAlign w:val="center"/>
          </w:tcPr>
          <w:p w14:paraId="36688AEE" w14:textId="77777777" w:rsidR="004A0123" w:rsidRPr="00640447" w:rsidRDefault="004A0123" w:rsidP="008A5C11">
            <w:pPr>
              <w:jc w:val="center"/>
              <w:rPr>
                <w:sz w:val="13"/>
                <w:szCs w:val="13"/>
              </w:rPr>
            </w:pPr>
            <w:r w:rsidRPr="00640447">
              <w:rPr>
                <w:sz w:val="13"/>
                <w:szCs w:val="13"/>
              </w:rPr>
              <w:t>156</w:t>
            </w:r>
          </w:p>
        </w:tc>
        <w:tc>
          <w:tcPr>
            <w:tcW w:w="183" w:type="pct"/>
            <w:tcBorders>
              <w:top w:val="nil"/>
              <w:left w:val="nil"/>
              <w:bottom w:val="single" w:sz="4" w:space="0" w:color="auto"/>
              <w:right w:val="single" w:sz="4" w:space="0" w:color="auto"/>
            </w:tcBorders>
            <w:shd w:val="clear" w:color="auto" w:fill="auto"/>
            <w:vAlign w:val="center"/>
          </w:tcPr>
          <w:p w14:paraId="63A6A819" w14:textId="77777777" w:rsidR="004A0123" w:rsidRPr="00640447" w:rsidRDefault="004A0123" w:rsidP="008A5C11">
            <w:pPr>
              <w:jc w:val="center"/>
              <w:rPr>
                <w:sz w:val="13"/>
                <w:szCs w:val="13"/>
              </w:rPr>
            </w:pPr>
            <w:r w:rsidRPr="00640447">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0B8BA68B" w14:textId="77777777" w:rsidR="004A0123" w:rsidRPr="00640447" w:rsidRDefault="004A0123" w:rsidP="008A5C11">
            <w:pPr>
              <w:jc w:val="center"/>
              <w:rPr>
                <w:sz w:val="13"/>
                <w:szCs w:val="13"/>
              </w:rPr>
            </w:pPr>
            <w:r w:rsidRPr="00640447">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0780E5B6" w14:textId="77777777" w:rsidR="004A0123" w:rsidRPr="00640447" w:rsidRDefault="004A0123" w:rsidP="008A5C11">
            <w:pPr>
              <w:jc w:val="center"/>
              <w:rPr>
                <w:sz w:val="13"/>
                <w:szCs w:val="13"/>
              </w:rPr>
            </w:pPr>
            <w:r w:rsidRPr="00640447">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76F927F8" w14:textId="77777777" w:rsidR="004A0123" w:rsidRPr="00640447" w:rsidRDefault="004A0123" w:rsidP="008A5C11">
            <w:pPr>
              <w:jc w:val="center"/>
              <w:rPr>
                <w:sz w:val="13"/>
                <w:szCs w:val="13"/>
              </w:rPr>
            </w:pPr>
            <w:r w:rsidRPr="00640447">
              <w:rPr>
                <w:sz w:val="13"/>
                <w:szCs w:val="13"/>
              </w:rPr>
              <w:t>0</w:t>
            </w:r>
          </w:p>
        </w:tc>
        <w:tc>
          <w:tcPr>
            <w:tcW w:w="174" w:type="pct"/>
            <w:tcBorders>
              <w:top w:val="single" w:sz="4" w:space="0" w:color="auto"/>
              <w:left w:val="single" w:sz="4" w:space="0" w:color="auto"/>
              <w:bottom w:val="single" w:sz="4" w:space="0" w:color="auto"/>
              <w:right w:val="single" w:sz="4" w:space="0" w:color="auto"/>
            </w:tcBorders>
            <w:vAlign w:val="center"/>
          </w:tcPr>
          <w:p w14:paraId="4F7F3F6B" w14:textId="77777777" w:rsidR="004A0123" w:rsidRPr="00640447" w:rsidRDefault="004A0123" w:rsidP="008A5C11">
            <w:pPr>
              <w:jc w:val="center"/>
              <w:rPr>
                <w:sz w:val="13"/>
                <w:szCs w:val="13"/>
              </w:rPr>
            </w:pPr>
            <w:r w:rsidRPr="00640447">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5FB0BC1E" w14:textId="77777777" w:rsidR="004A0123" w:rsidRPr="00640447" w:rsidRDefault="004A0123" w:rsidP="008A5C11">
            <w:pPr>
              <w:jc w:val="center"/>
              <w:rPr>
                <w:sz w:val="13"/>
                <w:szCs w:val="13"/>
              </w:rPr>
            </w:pPr>
            <w:r w:rsidRPr="00640447">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1A2DB958" w14:textId="77777777" w:rsidR="004A0123" w:rsidRPr="00640447" w:rsidRDefault="004A0123" w:rsidP="008A5C11">
            <w:pPr>
              <w:jc w:val="center"/>
              <w:rPr>
                <w:sz w:val="13"/>
                <w:szCs w:val="13"/>
              </w:rPr>
            </w:pPr>
            <w:r w:rsidRPr="00640447">
              <w:rPr>
                <w:sz w:val="13"/>
                <w:szCs w:val="13"/>
              </w:rPr>
              <w:t>0</w:t>
            </w:r>
          </w:p>
        </w:tc>
        <w:tc>
          <w:tcPr>
            <w:tcW w:w="188" w:type="pct"/>
            <w:tcBorders>
              <w:top w:val="single" w:sz="4" w:space="0" w:color="auto"/>
              <w:left w:val="single" w:sz="4" w:space="0" w:color="auto"/>
              <w:bottom w:val="single" w:sz="4" w:space="0" w:color="auto"/>
              <w:right w:val="single" w:sz="4" w:space="0" w:color="auto"/>
            </w:tcBorders>
            <w:vAlign w:val="center"/>
          </w:tcPr>
          <w:p w14:paraId="672C34C4" w14:textId="77777777" w:rsidR="004A0123" w:rsidRPr="00640447" w:rsidRDefault="004A0123" w:rsidP="008A5C11">
            <w:pPr>
              <w:jc w:val="center"/>
              <w:rPr>
                <w:sz w:val="13"/>
                <w:szCs w:val="13"/>
              </w:rPr>
            </w:pPr>
            <w:r w:rsidRPr="00640447">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25F12E34" w14:textId="77777777" w:rsidR="004A0123" w:rsidRPr="00640447" w:rsidRDefault="004A0123" w:rsidP="008A5C11">
            <w:pPr>
              <w:jc w:val="center"/>
              <w:rPr>
                <w:sz w:val="13"/>
                <w:szCs w:val="13"/>
              </w:rPr>
            </w:pPr>
            <w:r w:rsidRPr="00640447">
              <w:rPr>
                <w:sz w:val="13"/>
                <w:szCs w:val="13"/>
              </w:rPr>
              <w:t>0</w:t>
            </w:r>
          </w:p>
        </w:tc>
      </w:tr>
      <w:tr w:rsidR="004A0123" w:rsidRPr="00640447" w14:paraId="22B38116" w14:textId="77777777" w:rsidTr="008A5C11">
        <w:trPr>
          <w:trHeight w:val="489"/>
        </w:trPr>
        <w:tc>
          <w:tcPr>
            <w:tcW w:w="146" w:type="pct"/>
            <w:tcBorders>
              <w:top w:val="single" w:sz="4" w:space="0" w:color="auto"/>
            </w:tcBorders>
            <w:shd w:val="clear" w:color="auto" w:fill="auto"/>
            <w:vAlign w:val="center"/>
          </w:tcPr>
          <w:p w14:paraId="29C73279" w14:textId="77777777" w:rsidR="004A0123" w:rsidRPr="00640447" w:rsidRDefault="004A0123" w:rsidP="008A5C11">
            <w:pPr>
              <w:jc w:val="center"/>
              <w:rPr>
                <w:sz w:val="13"/>
                <w:szCs w:val="13"/>
              </w:rPr>
            </w:pPr>
            <w:r w:rsidRPr="00640447">
              <w:rPr>
                <w:sz w:val="13"/>
                <w:szCs w:val="13"/>
              </w:rPr>
              <w:t>3.2.2.</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59E8233F" w14:textId="77777777" w:rsidR="004A0123" w:rsidRPr="00640447" w:rsidRDefault="004A0123" w:rsidP="008A5C11">
            <w:pPr>
              <w:rPr>
                <w:color w:val="000000"/>
                <w:sz w:val="13"/>
                <w:szCs w:val="13"/>
              </w:rPr>
            </w:pPr>
            <w:r w:rsidRPr="00640447">
              <w:rPr>
                <w:color w:val="000000"/>
                <w:sz w:val="13"/>
                <w:szCs w:val="13"/>
              </w:rPr>
              <w:t>Котельная «КСК». Проектирование и реконструкция котла К-50-40/14 №2, с установкой системы автоматизации.</w:t>
            </w:r>
          </w:p>
        </w:tc>
        <w:tc>
          <w:tcPr>
            <w:tcW w:w="359" w:type="pct"/>
            <w:tcBorders>
              <w:top w:val="single" w:sz="4" w:space="0" w:color="auto"/>
              <w:left w:val="nil"/>
              <w:bottom w:val="single" w:sz="4" w:space="0" w:color="auto"/>
              <w:right w:val="single" w:sz="4" w:space="0" w:color="auto"/>
            </w:tcBorders>
            <w:shd w:val="clear" w:color="auto" w:fill="auto"/>
            <w:vAlign w:val="center"/>
          </w:tcPr>
          <w:p w14:paraId="399D192E" w14:textId="77777777" w:rsidR="004A0123" w:rsidRPr="00640447" w:rsidRDefault="004A0123" w:rsidP="008A5C11">
            <w:pPr>
              <w:jc w:val="center"/>
              <w:rPr>
                <w:color w:val="000000"/>
                <w:sz w:val="13"/>
                <w:szCs w:val="13"/>
              </w:rPr>
            </w:pPr>
            <w:r w:rsidRPr="00640447">
              <w:rPr>
                <w:color w:val="000000"/>
                <w:sz w:val="13"/>
                <w:szCs w:val="13"/>
              </w:rPr>
              <w:t>Повышение надежности теплоснабжения</w:t>
            </w:r>
          </w:p>
        </w:tc>
        <w:tc>
          <w:tcPr>
            <w:tcW w:w="360" w:type="pct"/>
            <w:tcBorders>
              <w:top w:val="single" w:sz="4" w:space="0" w:color="auto"/>
              <w:left w:val="nil"/>
              <w:bottom w:val="single" w:sz="4" w:space="0" w:color="auto"/>
              <w:right w:val="single" w:sz="4" w:space="0" w:color="auto"/>
            </w:tcBorders>
            <w:shd w:val="clear" w:color="auto" w:fill="auto"/>
            <w:vAlign w:val="center"/>
          </w:tcPr>
          <w:p w14:paraId="5ADBC5C3" w14:textId="77777777" w:rsidR="004A0123" w:rsidRPr="00640447" w:rsidRDefault="004A0123" w:rsidP="008A5C11">
            <w:pPr>
              <w:jc w:val="center"/>
              <w:rPr>
                <w:color w:val="000000"/>
                <w:sz w:val="13"/>
                <w:szCs w:val="13"/>
              </w:rPr>
            </w:pPr>
            <w:r w:rsidRPr="00640447">
              <w:rPr>
                <w:color w:val="000000"/>
                <w:sz w:val="13"/>
                <w:szCs w:val="13"/>
              </w:rPr>
              <w:t xml:space="preserve">г. Ленинск-Кузнецкий, </w:t>
            </w:r>
          </w:p>
          <w:p w14:paraId="3C3EB1B1" w14:textId="77777777" w:rsidR="004A0123" w:rsidRPr="00640447" w:rsidRDefault="004A0123" w:rsidP="008A5C11">
            <w:pPr>
              <w:jc w:val="center"/>
              <w:rPr>
                <w:color w:val="000000"/>
                <w:sz w:val="13"/>
                <w:szCs w:val="13"/>
              </w:rPr>
            </w:pPr>
            <w:r w:rsidRPr="00640447">
              <w:rPr>
                <w:color w:val="000000"/>
                <w:sz w:val="13"/>
                <w:szCs w:val="13"/>
              </w:rPr>
              <w:t>ул. Телефонная, 9</w:t>
            </w:r>
          </w:p>
        </w:tc>
        <w:tc>
          <w:tcPr>
            <w:tcW w:w="338" w:type="pct"/>
            <w:tcBorders>
              <w:top w:val="single" w:sz="4" w:space="0" w:color="auto"/>
              <w:left w:val="nil"/>
              <w:bottom w:val="single" w:sz="4" w:space="0" w:color="auto"/>
              <w:right w:val="single" w:sz="4" w:space="0" w:color="auto"/>
            </w:tcBorders>
            <w:shd w:val="clear" w:color="auto" w:fill="auto"/>
            <w:vAlign w:val="center"/>
          </w:tcPr>
          <w:p w14:paraId="4C33A3B3" w14:textId="77777777" w:rsidR="004A0123" w:rsidRPr="00640447" w:rsidRDefault="004A0123" w:rsidP="008A5C11">
            <w:pPr>
              <w:jc w:val="center"/>
              <w:rPr>
                <w:sz w:val="13"/>
                <w:szCs w:val="13"/>
              </w:rPr>
            </w:pPr>
            <w:r w:rsidRPr="00640447">
              <w:rPr>
                <w:sz w:val="13"/>
                <w:szCs w:val="13"/>
              </w:rPr>
              <w:t>Установленная мощность</w:t>
            </w:r>
          </w:p>
        </w:tc>
        <w:tc>
          <w:tcPr>
            <w:tcW w:w="116" w:type="pct"/>
            <w:tcBorders>
              <w:top w:val="single" w:sz="4" w:space="0" w:color="auto"/>
              <w:left w:val="nil"/>
              <w:bottom w:val="single" w:sz="4" w:space="0" w:color="auto"/>
              <w:right w:val="single" w:sz="4" w:space="0" w:color="auto"/>
            </w:tcBorders>
            <w:shd w:val="clear" w:color="auto" w:fill="auto"/>
            <w:vAlign w:val="center"/>
          </w:tcPr>
          <w:p w14:paraId="741BE00B" w14:textId="77777777" w:rsidR="004A0123" w:rsidRPr="00640447" w:rsidRDefault="004A0123" w:rsidP="008A5C11">
            <w:pPr>
              <w:jc w:val="center"/>
              <w:rPr>
                <w:sz w:val="13"/>
                <w:szCs w:val="13"/>
              </w:rPr>
            </w:pPr>
            <w:r w:rsidRPr="00640447">
              <w:rPr>
                <w:sz w:val="13"/>
                <w:szCs w:val="13"/>
              </w:rPr>
              <w:t>Гкал/ч</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6C6EF3EA" w14:textId="77777777" w:rsidR="004A0123" w:rsidRPr="00640447" w:rsidRDefault="004A0123" w:rsidP="008A5C11">
            <w:pPr>
              <w:jc w:val="center"/>
              <w:rPr>
                <w:sz w:val="13"/>
                <w:szCs w:val="13"/>
              </w:rPr>
            </w:pPr>
            <w:r w:rsidRPr="00640447">
              <w:rPr>
                <w:sz w:val="13"/>
                <w:szCs w:val="13"/>
              </w:rPr>
              <w:t>28</w:t>
            </w:r>
          </w:p>
        </w:tc>
        <w:tc>
          <w:tcPr>
            <w:tcW w:w="174" w:type="pct"/>
            <w:tcBorders>
              <w:top w:val="single" w:sz="4" w:space="0" w:color="auto"/>
              <w:left w:val="nil"/>
              <w:bottom w:val="single" w:sz="4" w:space="0" w:color="auto"/>
              <w:right w:val="single" w:sz="4" w:space="0" w:color="auto"/>
            </w:tcBorders>
            <w:shd w:val="clear" w:color="auto" w:fill="auto"/>
            <w:vAlign w:val="center"/>
          </w:tcPr>
          <w:p w14:paraId="779043D4" w14:textId="77777777" w:rsidR="004A0123" w:rsidRPr="00640447" w:rsidRDefault="004A0123" w:rsidP="008A5C11">
            <w:pPr>
              <w:jc w:val="center"/>
              <w:rPr>
                <w:sz w:val="13"/>
                <w:szCs w:val="13"/>
              </w:rPr>
            </w:pPr>
            <w:r w:rsidRPr="00640447">
              <w:rPr>
                <w:sz w:val="13"/>
                <w:szCs w:val="13"/>
              </w:rPr>
              <w:t>28</w:t>
            </w:r>
          </w:p>
        </w:tc>
        <w:tc>
          <w:tcPr>
            <w:tcW w:w="189" w:type="pct"/>
            <w:tcBorders>
              <w:top w:val="single" w:sz="4" w:space="0" w:color="auto"/>
              <w:left w:val="nil"/>
              <w:bottom w:val="single" w:sz="4" w:space="0" w:color="auto"/>
              <w:right w:val="single" w:sz="4" w:space="0" w:color="auto"/>
            </w:tcBorders>
            <w:shd w:val="clear" w:color="auto" w:fill="auto"/>
            <w:vAlign w:val="center"/>
          </w:tcPr>
          <w:p w14:paraId="7487048A" w14:textId="77777777" w:rsidR="004A0123" w:rsidRPr="00640447" w:rsidRDefault="004A0123" w:rsidP="008A5C11">
            <w:pPr>
              <w:jc w:val="center"/>
              <w:rPr>
                <w:sz w:val="13"/>
                <w:szCs w:val="13"/>
              </w:rPr>
            </w:pPr>
            <w:r w:rsidRPr="00640447">
              <w:rPr>
                <w:sz w:val="13"/>
                <w:szCs w:val="13"/>
              </w:rPr>
              <w:t>2024</w:t>
            </w:r>
          </w:p>
        </w:tc>
        <w:tc>
          <w:tcPr>
            <w:tcW w:w="184" w:type="pct"/>
            <w:tcBorders>
              <w:top w:val="single" w:sz="4" w:space="0" w:color="auto"/>
              <w:left w:val="nil"/>
              <w:bottom w:val="single" w:sz="4" w:space="0" w:color="auto"/>
              <w:right w:val="single" w:sz="4" w:space="0" w:color="auto"/>
            </w:tcBorders>
            <w:shd w:val="clear" w:color="auto" w:fill="auto"/>
            <w:vAlign w:val="center"/>
          </w:tcPr>
          <w:p w14:paraId="7AC60AF4" w14:textId="77777777" w:rsidR="004A0123" w:rsidRPr="00640447" w:rsidRDefault="004A0123" w:rsidP="008A5C11">
            <w:pPr>
              <w:jc w:val="center"/>
              <w:rPr>
                <w:sz w:val="13"/>
                <w:szCs w:val="13"/>
              </w:rPr>
            </w:pPr>
            <w:r w:rsidRPr="00640447">
              <w:rPr>
                <w:sz w:val="13"/>
                <w:szCs w:val="13"/>
              </w:rPr>
              <w:t>2026</w:t>
            </w:r>
          </w:p>
        </w:tc>
        <w:tc>
          <w:tcPr>
            <w:tcW w:w="180" w:type="pct"/>
            <w:tcBorders>
              <w:top w:val="single" w:sz="4" w:space="0" w:color="auto"/>
              <w:left w:val="nil"/>
              <w:bottom w:val="single" w:sz="4" w:space="0" w:color="auto"/>
              <w:right w:val="single" w:sz="4" w:space="0" w:color="auto"/>
            </w:tcBorders>
            <w:shd w:val="clear" w:color="auto" w:fill="auto"/>
            <w:vAlign w:val="center"/>
          </w:tcPr>
          <w:p w14:paraId="1A9F3757" w14:textId="77777777" w:rsidR="004A0123" w:rsidRPr="00640447" w:rsidRDefault="004A0123" w:rsidP="008A5C11">
            <w:pPr>
              <w:jc w:val="center"/>
              <w:rPr>
                <w:sz w:val="13"/>
                <w:szCs w:val="13"/>
              </w:rPr>
            </w:pPr>
            <w:r w:rsidRPr="00640447">
              <w:rPr>
                <w:sz w:val="13"/>
                <w:szCs w:val="13"/>
              </w:rPr>
              <w:t>237637</w:t>
            </w:r>
          </w:p>
        </w:tc>
        <w:tc>
          <w:tcPr>
            <w:tcW w:w="187" w:type="pct"/>
            <w:tcBorders>
              <w:top w:val="single" w:sz="4" w:space="0" w:color="auto"/>
              <w:left w:val="nil"/>
              <w:bottom w:val="single" w:sz="4" w:space="0" w:color="auto"/>
              <w:right w:val="single" w:sz="4" w:space="0" w:color="auto"/>
            </w:tcBorders>
            <w:shd w:val="clear" w:color="auto" w:fill="auto"/>
            <w:vAlign w:val="center"/>
          </w:tcPr>
          <w:p w14:paraId="691AD274" w14:textId="77777777" w:rsidR="004A0123" w:rsidRPr="00640447" w:rsidRDefault="004A0123" w:rsidP="008A5C11">
            <w:pPr>
              <w:jc w:val="center"/>
              <w:rPr>
                <w:sz w:val="13"/>
                <w:szCs w:val="13"/>
              </w:rPr>
            </w:pPr>
            <w:r w:rsidRPr="00640447">
              <w:rPr>
                <w:sz w:val="13"/>
                <w:szCs w:val="13"/>
              </w:rPr>
              <w:t>0</w:t>
            </w:r>
          </w:p>
        </w:tc>
        <w:tc>
          <w:tcPr>
            <w:tcW w:w="146" w:type="pct"/>
            <w:tcBorders>
              <w:top w:val="single" w:sz="4" w:space="0" w:color="auto"/>
              <w:left w:val="single" w:sz="4" w:space="0" w:color="auto"/>
              <w:bottom w:val="single" w:sz="4" w:space="0" w:color="auto"/>
              <w:right w:val="single" w:sz="4" w:space="0" w:color="auto"/>
            </w:tcBorders>
            <w:shd w:val="clear" w:color="auto" w:fill="auto"/>
            <w:vAlign w:val="center"/>
          </w:tcPr>
          <w:p w14:paraId="4508A1C7" w14:textId="77777777" w:rsidR="004A0123" w:rsidRPr="00640447" w:rsidRDefault="004A0123" w:rsidP="008A5C11">
            <w:pPr>
              <w:jc w:val="center"/>
              <w:rPr>
                <w:sz w:val="13"/>
                <w:szCs w:val="13"/>
              </w:rPr>
            </w:pPr>
            <w:r w:rsidRPr="00640447">
              <w:rPr>
                <w:sz w:val="13"/>
                <w:szCs w:val="13"/>
              </w:rPr>
              <w:t>0</w:t>
            </w:r>
          </w:p>
        </w:tc>
        <w:tc>
          <w:tcPr>
            <w:tcW w:w="149" w:type="pct"/>
            <w:tcBorders>
              <w:top w:val="single" w:sz="4" w:space="0" w:color="auto"/>
              <w:left w:val="nil"/>
              <w:bottom w:val="single" w:sz="4" w:space="0" w:color="auto"/>
              <w:right w:val="single" w:sz="4" w:space="0" w:color="auto"/>
            </w:tcBorders>
            <w:shd w:val="clear" w:color="auto" w:fill="auto"/>
            <w:vAlign w:val="center"/>
          </w:tcPr>
          <w:p w14:paraId="77332FDF" w14:textId="77777777" w:rsidR="004A0123" w:rsidRPr="00640447" w:rsidRDefault="004A0123" w:rsidP="008A5C11">
            <w:pPr>
              <w:jc w:val="center"/>
              <w:rPr>
                <w:sz w:val="13"/>
                <w:szCs w:val="13"/>
              </w:rPr>
            </w:pPr>
            <w:r w:rsidRPr="00640447">
              <w:rPr>
                <w:sz w:val="13"/>
                <w:szCs w:val="13"/>
              </w:rPr>
              <w:t>0</w:t>
            </w:r>
          </w:p>
        </w:tc>
        <w:tc>
          <w:tcPr>
            <w:tcW w:w="183" w:type="pct"/>
            <w:tcBorders>
              <w:top w:val="single" w:sz="4" w:space="0" w:color="auto"/>
              <w:left w:val="nil"/>
              <w:bottom w:val="single" w:sz="4" w:space="0" w:color="auto"/>
              <w:right w:val="single" w:sz="4" w:space="0" w:color="auto"/>
            </w:tcBorders>
            <w:shd w:val="clear" w:color="auto" w:fill="auto"/>
            <w:vAlign w:val="center"/>
          </w:tcPr>
          <w:p w14:paraId="01C08363" w14:textId="77777777" w:rsidR="004A0123" w:rsidRPr="00640447" w:rsidRDefault="004A0123" w:rsidP="008A5C11">
            <w:pPr>
              <w:jc w:val="center"/>
              <w:rPr>
                <w:sz w:val="13"/>
                <w:szCs w:val="13"/>
              </w:rPr>
            </w:pPr>
            <w:r w:rsidRPr="00640447">
              <w:rPr>
                <w:sz w:val="13"/>
                <w:szCs w:val="13"/>
              </w:rPr>
              <w:t>0</w:t>
            </w:r>
          </w:p>
        </w:tc>
        <w:tc>
          <w:tcPr>
            <w:tcW w:w="183" w:type="pct"/>
            <w:tcBorders>
              <w:top w:val="single" w:sz="4" w:space="0" w:color="auto"/>
              <w:left w:val="nil"/>
              <w:bottom w:val="single" w:sz="4" w:space="0" w:color="auto"/>
              <w:right w:val="single" w:sz="4" w:space="0" w:color="auto"/>
            </w:tcBorders>
            <w:shd w:val="clear" w:color="auto" w:fill="auto"/>
            <w:vAlign w:val="center"/>
          </w:tcPr>
          <w:p w14:paraId="517D2CBA" w14:textId="77777777" w:rsidR="004A0123" w:rsidRPr="00640447" w:rsidRDefault="004A0123" w:rsidP="008A5C11">
            <w:pPr>
              <w:jc w:val="center"/>
              <w:rPr>
                <w:sz w:val="13"/>
                <w:szCs w:val="13"/>
              </w:rPr>
            </w:pPr>
            <w:r w:rsidRPr="00640447">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4A29CB84" w14:textId="77777777" w:rsidR="004A0123" w:rsidRPr="00640447" w:rsidRDefault="004A0123" w:rsidP="008A5C11">
            <w:pPr>
              <w:jc w:val="center"/>
              <w:rPr>
                <w:sz w:val="13"/>
                <w:szCs w:val="13"/>
              </w:rPr>
            </w:pPr>
            <w:r w:rsidRPr="00640447">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40715FAB" w14:textId="77777777" w:rsidR="004A0123" w:rsidRPr="00640447" w:rsidRDefault="004A0123" w:rsidP="008A5C11">
            <w:pPr>
              <w:jc w:val="center"/>
              <w:rPr>
                <w:sz w:val="13"/>
                <w:szCs w:val="13"/>
              </w:rPr>
            </w:pPr>
            <w:r w:rsidRPr="00640447">
              <w:rPr>
                <w:sz w:val="13"/>
                <w:szCs w:val="13"/>
              </w:rPr>
              <w:t>4269</w:t>
            </w:r>
          </w:p>
        </w:tc>
        <w:tc>
          <w:tcPr>
            <w:tcW w:w="153" w:type="pct"/>
            <w:tcBorders>
              <w:top w:val="single" w:sz="4" w:space="0" w:color="auto"/>
              <w:left w:val="single" w:sz="4" w:space="0" w:color="auto"/>
              <w:bottom w:val="single" w:sz="4" w:space="0" w:color="auto"/>
              <w:right w:val="single" w:sz="4" w:space="0" w:color="auto"/>
            </w:tcBorders>
            <w:vAlign w:val="center"/>
          </w:tcPr>
          <w:p w14:paraId="586FFF5B" w14:textId="77777777" w:rsidR="004A0123" w:rsidRPr="00640447" w:rsidRDefault="004A0123" w:rsidP="008A5C11">
            <w:pPr>
              <w:jc w:val="center"/>
              <w:rPr>
                <w:sz w:val="13"/>
                <w:szCs w:val="13"/>
              </w:rPr>
            </w:pPr>
            <w:r w:rsidRPr="00640447">
              <w:rPr>
                <w:sz w:val="13"/>
                <w:szCs w:val="13"/>
              </w:rPr>
              <w:t>161232</w:t>
            </w:r>
          </w:p>
        </w:tc>
        <w:tc>
          <w:tcPr>
            <w:tcW w:w="174" w:type="pct"/>
            <w:tcBorders>
              <w:top w:val="single" w:sz="4" w:space="0" w:color="auto"/>
              <w:left w:val="single" w:sz="4" w:space="0" w:color="auto"/>
              <w:bottom w:val="single" w:sz="4" w:space="0" w:color="auto"/>
              <w:right w:val="single" w:sz="4" w:space="0" w:color="auto"/>
            </w:tcBorders>
            <w:vAlign w:val="center"/>
          </w:tcPr>
          <w:p w14:paraId="5BA436E6" w14:textId="77777777" w:rsidR="004A0123" w:rsidRPr="00640447" w:rsidRDefault="004A0123" w:rsidP="008A5C11">
            <w:pPr>
              <w:jc w:val="center"/>
              <w:rPr>
                <w:sz w:val="13"/>
                <w:szCs w:val="13"/>
              </w:rPr>
            </w:pPr>
            <w:r w:rsidRPr="00640447">
              <w:rPr>
                <w:sz w:val="13"/>
                <w:szCs w:val="13"/>
              </w:rPr>
              <w:t>72136</w:t>
            </w:r>
          </w:p>
        </w:tc>
        <w:tc>
          <w:tcPr>
            <w:tcW w:w="156" w:type="pct"/>
            <w:tcBorders>
              <w:top w:val="single" w:sz="4" w:space="0" w:color="auto"/>
              <w:left w:val="single" w:sz="4" w:space="0" w:color="auto"/>
              <w:bottom w:val="single" w:sz="4" w:space="0" w:color="auto"/>
              <w:right w:val="single" w:sz="4" w:space="0" w:color="auto"/>
            </w:tcBorders>
            <w:vAlign w:val="center"/>
          </w:tcPr>
          <w:p w14:paraId="45DB0486" w14:textId="77777777" w:rsidR="004A0123" w:rsidRPr="00640447" w:rsidRDefault="004A0123" w:rsidP="008A5C11">
            <w:pPr>
              <w:jc w:val="center"/>
              <w:rPr>
                <w:sz w:val="13"/>
                <w:szCs w:val="13"/>
              </w:rPr>
            </w:pPr>
            <w:r w:rsidRPr="00640447">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7E4962E4" w14:textId="77777777" w:rsidR="004A0123" w:rsidRPr="00640447" w:rsidRDefault="004A0123" w:rsidP="008A5C11">
            <w:pPr>
              <w:jc w:val="center"/>
              <w:rPr>
                <w:sz w:val="13"/>
                <w:szCs w:val="13"/>
              </w:rPr>
            </w:pPr>
            <w:r w:rsidRPr="00640447">
              <w:rPr>
                <w:sz w:val="13"/>
                <w:szCs w:val="13"/>
              </w:rPr>
              <w:t>0</w:t>
            </w:r>
          </w:p>
        </w:tc>
        <w:tc>
          <w:tcPr>
            <w:tcW w:w="188" w:type="pct"/>
            <w:tcBorders>
              <w:top w:val="single" w:sz="4" w:space="0" w:color="auto"/>
              <w:left w:val="single" w:sz="4" w:space="0" w:color="auto"/>
              <w:bottom w:val="single" w:sz="4" w:space="0" w:color="auto"/>
              <w:right w:val="single" w:sz="4" w:space="0" w:color="auto"/>
            </w:tcBorders>
            <w:vAlign w:val="center"/>
          </w:tcPr>
          <w:p w14:paraId="6063B957" w14:textId="77777777" w:rsidR="004A0123" w:rsidRPr="00640447" w:rsidRDefault="004A0123" w:rsidP="008A5C11">
            <w:pPr>
              <w:jc w:val="center"/>
              <w:rPr>
                <w:sz w:val="13"/>
                <w:szCs w:val="13"/>
              </w:rPr>
            </w:pPr>
            <w:r w:rsidRPr="00640447">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6CCA29D3" w14:textId="77777777" w:rsidR="004A0123" w:rsidRPr="00640447" w:rsidRDefault="004A0123" w:rsidP="008A5C11">
            <w:pPr>
              <w:jc w:val="center"/>
              <w:rPr>
                <w:sz w:val="13"/>
                <w:szCs w:val="13"/>
              </w:rPr>
            </w:pPr>
            <w:r w:rsidRPr="00640447">
              <w:rPr>
                <w:sz w:val="13"/>
                <w:szCs w:val="13"/>
              </w:rPr>
              <w:t>0</w:t>
            </w:r>
          </w:p>
        </w:tc>
      </w:tr>
      <w:tr w:rsidR="004A0123" w:rsidRPr="00640447" w14:paraId="5F4BA594" w14:textId="77777777" w:rsidTr="008A5C11">
        <w:trPr>
          <w:trHeight w:val="489"/>
        </w:trPr>
        <w:tc>
          <w:tcPr>
            <w:tcW w:w="146" w:type="pct"/>
            <w:shd w:val="clear" w:color="auto" w:fill="auto"/>
            <w:vAlign w:val="center"/>
          </w:tcPr>
          <w:p w14:paraId="5B6BDF2A" w14:textId="77777777" w:rsidR="004A0123" w:rsidRPr="00640447" w:rsidRDefault="004A0123" w:rsidP="008A5C11">
            <w:pPr>
              <w:jc w:val="center"/>
              <w:rPr>
                <w:sz w:val="13"/>
                <w:szCs w:val="13"/>
              </w:rPr>
            </w:pPr>
            <w:r w:rsidRPr="00640447">
              <w:rPr>
                <w:sz w:val="13"/>
                <w:szCs w:val="13"/>
              </w:rPr>
              <w:t>3.2.3.</w:t>
            </w:r>
          </w:p>
        </w:tc>
        <w:tc>
          <w:tcPr>
            <w:tcW w:w="616" w:type="pct"/>
            <w:tcBorders>
              <w:top w:val="nil"/>
              <w:left w:val="single" w:sz="4" w:space="0" w:color="auto"/>
              <w:bottom w:val="single" w:sz="4" w:space="0" w:color="auto"/>
              <w:right w:val="single" w:sz="4" w:space="0" w:color="auto"/>
            </w:tcBorders>
            <w:shd w:val="clear" w:color="auto" w:fill="auto"/>
            <w:vAlign w:val="center"/>
          </w:tcPr>
          <w:p w14:paraId="545D349C" w14:textId="77777777" w:rsidR="004A0123" w:rsidRPr="00640447" w:rsidRDefault="004A0123" w:rsidP="008A5C11">
            <w:pPr>
              <w:rPr>
                <w:color w:val="000000"/>
                <w:sz w:val="13"/>
                <w:szCs w:val="13"/>
              </w:rPr>
            </w:pPr>
            <w:r w:rsidRPr="00640447">
              <w:rPr>
                <w:color w:val="000000"/>
                <w:sz w:val="13"/>
                <w:szCs w:val="13"/>
              </w:rPr>
              <w:t>Котельная «КСК». Проектирование и реконструкция котла К-50-40/14 № 4 с установкой системы автоматизации</w:t>
            </w:r>
          </w:p>
        </w:tc>
        <w:tc>
          <w:tcPr>
            <w:tcW w:w="359" w:type="pct"/>
            <w:tcBorders>
              <w:top w:val="nil"/>
              <w:left w:val="nil"/>
              <w:bottom w:val="single" w:sz="4" w:space="0" w:color="auto"/>
              <w:right w:val="single" w:sz="4" w:space="0" w:color="auto"/>
            </w:tcBorders>
            <w:shd w:val="clear" w:color="auto" w:fill="auto"/>
            <w:vAlign w:val="center"/>
          </w:tcPr>
          <w:p w14:paraId="16B82329" w14:textId="77777777" w:rsidR="004A0123" w:rsidRPr="00640447" w:rsidRDefault="004A0123" w:rsidP="008A5C11">
            <w:pPr>
              <w:jc w:val="center"/>
              <w:rPr>
                <w:color w:val="000000"/>
                <w:sz w:val="13"/>
                <w:szCs w:val="13"/>
              </w:rPr>
            </w:pPr>
            <w:r w:rsidRPr="00640447">
              <w:rPr>
                <w:color w:val="000000"/>
                <w:sz w:val="13"/>
                <w:szCs w:val="13"/>
              </w:rPr>
              <w:t>Повышение надежности теплоснабжения</w:t>
            </w:r>
          </w:p>
        </w:tc>
        <w:tc>
          <w:tcPr>
            <w:tcW w:w="360" w:type="pct"/>
            <w:tcBorders>
              <w:top w:val="nil"/>
              <w:left w:val="nil"/>
              <w:bottom w:val="single" w:sz="4" w:space="0" w:color="auto"/>
              <w:right w:val="single" w:sz="4" w:space="0" w:color="auto"/>
            </w:tcBorders>
            <w:shd w:val="clear" w:color="auto" w:fill="auto"/>
            <w:vAlign w:val="center"/>
          </w:tcPr>
          <w:p w14:paraId="3129913F" w14:textId="77777777" w:rsidR="004A0123" w:rsidRPr="00640447" w:rsidRDefault="004A0123" w:rsidP="008A5C11">
            <w:pPr>
              <w:jc w:val="center"/>
              <w:rPr>
                <w:color w:val="000000"/>
                <w:sz w:val="13"/>
                <w:szCs w:val="13"/>
              </w:rPr>
            </w:pPr>
            <w:r w:rsidRPr="00640447">
              <w:rPr>
                <w:color w:val="000000"/>
                <w:sz w:val="13"/>
                <w:szCs w:val="13"/>
              </w:rPr>
              <w:t xml:space="preserve">г. Ленинск-Кузнецкий, </w:t>
            </w:r>
          </w:p>
          <w:p w14:paraId="22B5DDF4" w14:textId="77777777" w:rsidR="004A0123" w:rsidRPr="00640447" w:rsidRDefault="004A0123" w:rsidP="008A5C11">
            <w:pPr>
              <w:jc w:val="center"/>
              <w:rPr>
                <w:color w:val="000000"/>
                <w:sz w:val="13"/>
                <w:szCs w:val="13"/>
              </w:rPr>
            </w:pPr>
            <w:r w:rsidRPr="00640447">
              <w:rPr>
                <w:color w:val="000000"/>
                <w:sz w:val="13"/>
                <w:szCs w:val="13"/>
              </w:rPr>
              <w:t>ул. Телефонная, 9</w:t>
            </w:r>
          </w:p>
        </w:tc>
        <w:tc>
          <w:tcPr>
            <w:tcW w:w="338" w:type="pct"/>
            <w:tcBorders>
              <w:top w:val="nil"/>
              <w:left w:val="nil"/>
              <w:bottom w:val="single" w:sz="4" w:space="0" w:color="auto"/>
              <w:right w:val="single" w:sz="4" w:space="0" w:color="auto"/>
            </w:tcBorders>
            <w:shd w:val="clear" w:color="auto" w:fill="auto"/>
            <w:vAlign w:val="center"/>
          </w:tcPr>
          <w:p w14:paraId="361098BB" w14:textId="77777777" w:rsidR="004A0123" w:rsidRPr="00640447" w:rsidRDefault="004A0123" w:rsidP="008A5C11">
            <w:pPr>
              <w:jc w:val="center"/>
              <w:rPr>
                <w:sz w:val="13"/>
                <w:szCs w:val="13"/>
              </w:rPr>
            </w:pPr>
            <w:r w:rsidRPr="00640447">
              <w:rPr>
                <w:sz w:val="13"/>
                <w:szCs w:val="13"/>
              </w:rPr>
              <w:t>Установленная мощность</w:t>
            </w:r>
          </w:p>
        </w:tc>
        <w:tc>
          <w:tcPr>
            <w:tcW w:w="116" w:type="pct"/>
            <w:tcBorders>
              <w:top w:val="nil"/>
              <w:left w:val="nil"/>
              <w:bottom w:val="single" w:sz="4" w:space="0" w:color="auto"/>
              <w:right w:val="single" w:sz="4" w:space="0" w:color="auto"/>
            </w:tcBorders>
            <w:shd w:val="clear" w:color="auto" w:fill="auto"/>
            <w:vAlign w:val="center"/>
          </w:tcPr>
          <w:p w14:paraId="35C01587" w14:textId="77777777" w:rsidR="004A0123" w:rsidRPr="00640447" w:rsidRDefault="004A0123" w:rsidP="008A5C11">
            <w:pPr>
              <w:jc w:val="center"/>
              <w:rPr>
                <w:sz w:val="13"/>
                <w:szCs w:val="13"/>
              </w:rPr>
            </w:pPr>
            <w:r w:rsidRPr="00640447">
              <w:rPr>
                <w:sz w:val="13"/>
                <w:szCs w:val="13"/>
              </w:rPr>
              <w:t>Гкал/ч</w:t>
            </w:r>
          </w:p>
        </w:tc>
        <w:tc>
          <w:tcPr>
            <w:tcW w:w="182" w:type="pct"/>
            <w:tcBorders>
              <w:top w:val="nil"/>
              <w:left w:val="single" w:sz="4" w:space="0" w:color="auto"/>
              <w:bottom w:val="single" w:sz="4" w:space="0" w:color="auto"/>
              <w:right w:val="single" w:sz="4" w:space="0" w:color="auto"/>
            </w:tcBorders>
            <w:shd w:val="clear" w:color="auto" w:fill="auto"/>
            <w:vAlign w:val="center"/>
          </w:tcPr>
          <w:p w14:paraId="25069C7C" w14:textId="77777777" w:rsidR="004A0123" w:rsidRPr="00640447" w:rsidRDefault="004A0123" w:rsidP="008A5C11">
            <w:pPr>
              <w:jc w:val="center"/>
              <w:rPr>
                <w:sz w:val="13"/>
                <w:szCs w:val="13"/>
              </w:rPr>
            </w:pPr>
            <w:r w:rsidRPr="00640447">
              <w:rPr>
                <w:sz w:val="13"/>
                <w:szCs w:val="13"/>
              </w:rPr>
              <w:t>28</w:t>
            </w:r>
          </w:p>
        </w:tc>
        <w:tc>
          <w:tcPr>
            <w:tcW w:w="174" w:type="pct"/>
            <w:tcBorders>
              <w:top w:val="nil"/>
              <w:left w:val="nil"/>
              <w:bottom w:val="single" w:sz="4" w:space="0" w:color="auto"/>
              <w:right w:val="single" w:sz="4" w:space="0" w:color="auto"/>
            </w:tcBorders>
            <w:shd w:val="clear" w:color="auto" w:fill="auto"/>
            <w:vAlign w:val="center"/>
          </w:tcPr>
          <w:p w14:paraId="09ADFC9E" w14:textId="77777777" w:rsidR="004A0123" w:rsidRPr="00640447" w:rsidRDefault="004A0123" w:rsidP="008A5C11">
            <w:pPr>
              <w:jc w:val="center"/>
              <w:rPr>
                <w:sz w:val="13"/>
                <w:szCs w:val="13"/>
              </w:rPr>
            </w:pPr>
            <w:r w:rsidRPr="00640447">
              <w:rPr>
                <w:sz w:val="13"/>
                <w:szCs w:val="13"/>
              </w:rPr>
              <w:t>28</w:t>
            </w:r>
          </w:p>
        </w:tc>
        <w:tc>
          <w:tcPr>
            <w:tcW w:w="189" w:type="pct"/>
            <w:tcBorders>
              <w:top w:val="nil"/>
              <w:left w:val="nil"/>
              <w:bottom w:val="single" w:sz="4" w:space="0" w:color="auto"/>
              <w:right w:val="single" w:sz="4" w:space="0" w:color="auto"/>
            </w:tcBorders>
            <w:shd w:val="clear" w:color="auto" w:fill="auto"/>
            <w:vAlign w:val="center"/>
          </w:tcPr>
          <w:p w14:paraId="72C0FC62" w14:textId="77777777" w:rsidR="004A0123" w:rsidRPr="00640447" w:rsidRDefault="004A0123" w:rsidP="008A5C11">
            <w:pPr>
              <w:jc w:val="center"/>
              <w:rPr>
                <w:sz w:val="13"/>
                <w:szCs w:val="13"/>
              </w:rPr>
            </w:pPr>
            <w:r w:rsidRPr="00640447">
              <w:rPr>
                <w:sz w:val="13"/>
                <w:szCs w:val="13"/>
              </w:rPr>
              <w:t>2023</w:t>
            </w:r>
          </w:p>
        </w:tc>
        <w:tc>
          <w:tcPr>
            <w:tcW w:w="184" w:type="pct"/>
            <w:tcBorders>
              <w:top w:val="nil"/>
              <w:left w:val="nil"/>
              <w:bottom w:val="single" w:sz="4" w:space="0" w:color="auto"/>
              <w:right w:val="single" w:sz="4" w:space="0" w:color="auto"/>
            </w:tcBorders>
            <w:shd w:val="clear" w:color="auto" w:fill="auto"/>
            <w:vAlign w:val="center"/>
          </w:tcPr>
          <w:p w14:paraId="709F2446" w14:textId="77777777" w:rsidR="004A0123" w:rsidRPr="00640447" w:rsidRDefault="004A0123" w:rsidP="008A5C11">
            <w:pPr>
              <w:jc w:val="center"/>
              <w:rPr>
                <w:sz w:val="13"/>
                <w:szCs w:val="13"/>
              </w:rPr>
            </w:pPr>
            <w:r w:rsidRPr="00640447">
              <w:rPr>
                <w:sz w:val="13"/>
                <w:szCs w:val="13"/>
              </w:rPr>
              <w:t>2025</w:t>
            </w:r>
          </w:p>
        </w:tc>
        <w:tc>
          <w:tcPr>
            <w:tcW w:w="180" w:type="pct"/>
            <w:tcBorders>
              <w:top w:val="nil"/>
              <w:left w:val="nil"/>
              <w:bottom w:val="single" w:sz="4" w:space="0" w:color="auto"/>
              <w:right w:val="single" w:sz="4" w:space="0" w:color="auto"/>
            </w:tcBorders>
            <w:shd w:val="clear" w:color="auto" w:fill="auto"/>
            <w:vAlign w:val="center"/>
          </w:tcPr>
          <w:p w14:paraId="243F8831" w14:textId="77777777" w:rsidR="004A0123" w:rsidRPr="00640447" w:rsidRDefault="004A0123" w:rsidP="008A5C11">
            <w:pPr>
              <w:jc w:val="center"/>
              <w:rPr>
                <w:sz w:val="13"/>
                <w:szCs w:val="13"/>
              </w:rPr>
            </w:pPr>
            <w:r w:rsidRPr="00640447">
              <w:rPr>
                <w:sz w:val="13"/>
                <w:szCs w:val="13"/>
              </w:rPr>
              <w:t>227982</w:t>
            </w:r>
          </w:p>
        </w:tc>
        <w:tc>
          <w:tcPr>
            <w:tcW w:w="187" w:type="pct"/>
            <w:tcBorders>
              <w:top w:val="nil"/>
              <w:left w:val="nil"/>
              <w:bottom w:val="single" w:sz="4" w:space="0" w:color="auto"/>
              <w:right w:val="single" w:sz="4" w:space="0" w:color="auto"/>
            </w:tcBorders>
            <w:shd w:val="clear" w:color="auto" w:fill="auto"/>
            <w:vAlign w:val="center"/>
          </w:tcPr>
          <w:p w14:paraId="345895E5" w14:textId="77777777" w:rsidR="004A0123" w:rsidRPr="00640447" w:rsidRDefault="004A0123" w:rsidP="008A5C11">
            <w:pPr>
              <w:jc w:val="center"/>
              <w:rPr>
                <w:sz w:val="13"/>
                <w:szCs w:val="13"/>
              </w:rPr>
            </w:pPr>
            <w:r w:rsidRPr="00640447">
              <w:rPr>
                <w:sz w:val="13"/>
                <w:szCs w:val="13"/>
              </w:rPr>
              <w:t>0</w:t>
            </w:r>
          </w:p>
        </w:tc>
        <w:tc>
          <w:tcPr>
            <w:tcW w:w="146" w:type="pct"/>
            <w:tcBorders>
              <w:top w:val="nil"/>
              <w:left w:val="single" w:sz="4" w:space="0" w:color="auto"/>
              <w:bottom w:val="single" w:sz="4" w:space="0" w:color="auto"/>
              <w:right w:val="single" w:sz="4" w:space="0" w:color="auto"/>
            </w:tcBorders>
            <w:shd w:val="clear" w:color="auto" w:fill="auto"/>
            <w:vAlign w:val="center"/>
          </w:tcPr>
          <w:p w14:paraId="457B40B7" w14:textId="77777777" w:rsidR="004A0123" w:rsidRPr="00640447" w:rsidRDefault="004A0123" w:rsidP="008A5C11">
            <w:pPr>
              <w:jc w:val="center"/>
              <w:rPr>
                <w:sz w:val="13"/>
                <w:szCs w:val="13"/>
              </w:rPr>
            </w:pPr>
            <w:r w:rsidRPr="00640447">
              <w:rPr>
                <w:sz w:val="13"/>
                <w:szCs w:val="13"/>
              </w:rPr>
              <w:t>0</w:t>
            </w:r>
          </w:p>
        </w:tc>
        <w:tc>
          <w:tcPr>
            <w:tcW w:w="149" w:type="pct"/>
            <w:tcBorders>
              <w:top w:val="nil"/>
              <w:left w:val="nil"/>
              <w:bottom w:val="single" w:sz="4" w:space="0" w:color="auto"/>
              <w:right w:val="single" w:sz="4" w:space="0" w:color="auto"/>
            </w:tcBorders>
            <w:shd w:val="clear" w:color="auto" w:fill="auto"/>
            <w:vAlign w:val="center"/>
          </w:tcPr>
          <w:p w14:paraId="246E941C" w14:textId="77777777" w:rsidR="004A0123" w:rsidRPr="00640447" w:rsidRDefault="004A0123" w:rsidP="008A5C11">
            <w:pPr>
              <w:jc w:val="center"/>
              <w:rPr>
                <w:sz w:val="13"/>
                <w:szCs w:val="13"/>
              </w:rPr>
            </w:pPr>
            <w:r w:rsidRPr="00640447">
              <w:rPr>
                <w:sz w:val="13"/>
                <w:szCs w:val="13"/>
              </w:rPr>
              <w:t>0</w:t>
            </w:r>
          </w:p>
        </w:tc>
        <w:tc>
          <w:tcPr>
            <w:tcW w:w="183" w:type="pct"/>
            <w:tcBorders>
              <w:top w:val="nil"/>
              <w:left w:val="nil"/>
              <w:bottom w:val="single" w:sz="4" w:space="0" w:color="auto"/>
              <w:right w:val="single" w:sz="4" w:space="0" w:color="auto"/>
            </w:tcBorders>
            <w:shd w:val="clear" w:color="auto" w:fill="auto"/>
            <w:vAlign w:val="center"/>
          </w:tcPr>
          <w:p w14:paraId="4134B1AA" w14:textId="77777777" w:rsidR="004A0123" w:rsidRPr="00640447" w:rsidRDefault="004A0123" w:rsidP="008A5C11">
            <w:pPr>
              <w:jc w:val="center"/>
              <w:rPr>
                <w:sz w:val="13"/>
                <w:szCs w:val="13"/>
              </w:rPr>
            </w:pPr>
            <w:r w:rsidRPr="00640447">
              <w:rPr>
                <w:sz w:val="13"/>
                <w:szCs w:val="13"/>
              </w:rPr>
              <w:t>0</w:t>
            </w:r>
          </w:p>
        </w:tc>
        <w:tc>
          <w:tcPr>
            <w:tcW w:w="183" w:type="pct"/>
            <w:tcBorders>
              <w:top w:val="nil"/>
              <w:left w:val="nil"/>
              <w:bottom w:val="single" w:sz="4" w:space="0" w:color="auto"/>
              <w:right w:val="single" w:sz="4" w:space="0" w:color="auto"/>
            </w:tcBorders>
            <w:shd w:val="clear" w:color="auto" w:fill="auto"/>
            <w:vAlign w:val="center"/>
          </w:tcPr>
          <w:p w14:paraId="1D90A924" w14:textId="77777777" w:rsidR="004A0123" w:rsidRPr="00640447" w:rsidRDefault="004A0123" w:rsidP="008A5C11">
            <w:pPr>
              <w:jc w:val="center"/>
              <w:rPr>
                <w:sz w:val="13"/>
                <w:szCs w:val="13"/>
              </w:rPr>
            </w:pPr>
            <w:r w:rsidRPr="00640447">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51B59083" w14:textId="77777777" w:rsidR="004A0123" w:rsidRPr="00640447" w:rsidRDefault="004A0123" w:rsidP="008A5C11">
            <w:pPr>
              <w:jc w:val="center"/>
              <w:rPr>
                <w:sz w:val="13"/>
                <w:szCs w:val="13"/>
              </w:rPr>
            </w:pPr>
            <w:r w:rsidRPr="00640447">
              <w:rPr>
                <w:sz w:val="13"/>
                <w:szCs w:val="13"/>
              </w:rPr>
              <w:t>4124</w:t>
            </w:r>
          </w:p>
        </w:tc>
        <w:tc>
          <w:tcPr>
            <w:tcW w:w="154" w:type="pct"/>
            <w:tcBorders>
              <w:top w:val="single" w:sz="4" w:space="0" w:color="auto"/>
              <w:left w:val="single" w:sz="4" w:space="0" w:color="auto"/>
              <w:bottom w:val="single" w:sz="4" w:space="0" w:color="auto"/>
              <w:right w:val="single" w:sz="4" w:space="0" w:color="auto"/>
            </w:tcBorders>
            <w:vAlign w:val="center"/>
          </w:tcPr>
          <w:p w14:paraId="3D75C18A" w14:textId="77777777" w:rsidR="004A0123" w:rsidRPr="00640447" w:rsidRDefault="004A0123" w:rsidP="008A5C11">
            <w:pPr>
              <w:jc w:val="center"/>
              <w:rPr>
                <w:sz w:val="13"/>
                <w:szCs w:val="13"/>
              </w:rPr>
            </w:pPr>
            <w:r w:rsidRPr="00640447">
              <w:rPr>
                <w:sz w:val="13"/>
                <w:szCs w:val="13"/>
              </w:rPr>
              <w:t>202013</w:t>
            </w:r>
          </w:p>
        </w:tc>
        <w:tc>
          <w:tcPr>
            <w:tcW w:w="153" w:type="pct"/>
            <w:tcBorders>
              <w:top w:val="single" w:sz="4" w:space="0" w:color="auto"/>
              <w:left w:val="single" w:sz="4" w:space="0" w:color="auto"/>
              <w:bottom w:val="single" w:sz="4" w:space="0" w:color="auto"/>
              <w:right w:val="single" w:sz="4" w:space="0" w:color="auto"/>
            </w:tcBorders>
            <w:vAlign w:val="center"/>
          </w:tcPr>
          <w:p w14:paraId="698E9DB4" w14:textId="77777777" w:rsidR="004A0123" w:rsidRPr="00640447" w:rsidRDefault="004A0123" w:rsidP="008A5C11">
            <w:pPr>
              <w:jc w:val="center"/>
              <w:rPr>
                <w:sz w:val="13"/>
                <w:szCs w:val="13"/>
              </w:rPr>
            </w:pPr>
            <w:r w:rsidRPr="00640447">
              <w:rPr>
                <w:sz w:val="13"/>
                <w:szCs w:val="13"/>
              </w:rPr>
              <w:t>21845</w:t>
            </w:r>
          </w:p>
        </w:tc>
        <w:tc>
          <w:tcPr>
            <w:tcW w:w="174" w:type="pct"/>
            <w:tcBorders>
              <w:top w:val="single" w:sz="4" w:space="0" w:color="auto"/>
              <w:left w:val="single" w:sz="4" w:space="0" w:color="auto"/>
              <w:bottom w:val="single" w:sz="4" w:space="0" w:color="auto"/>
              <w:right w:val="single" w:sz="4" w:space="0" w:color="auto"/>
            </w:tcBorders>
            <w:vAlign w:val="center"/>
          </w:tcPr>
          <w:p w14:paraId="1F44E2AD" w14:textId="77777777" w:rsidR="004A0123" w:rsidRPr="00640447" w:rsidRDefault="004A0123" w:rsidP="008A5C11">
            <w:pPr>
              <w:jc w:val="center"/>
              <w:rPr>
                <w:sz w:val="13"/>
                <w:szCs w:val="13"/>
              </w:rPr>
            </w:pPr>
            <w:r w:rsidRPr="00640447">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30B8C9FC" w14:textId="77777777" w:rsidR="004A0123" w:rsidRPr="00640447" w:rsidRDefault="004A0123" w:rsidP="008A5C11">
            <w:pPr>
              <w:jc w:val="center"/>
              <w:rPr>
                <w:sz w:val="13"/>
                <w:szCs w:val="13"/>
              </w:rPr>
            </w:pPr>
            <w:r w:rsidRPr="00640447">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3C2998CC" w14:textId="77777777" w:rsidR="004A0123" w:rsidRPr="00640447" w:rsidRDefault="004A0123" w:rsidP="008A5C11">
            <w:pPr>
              <w:jc w:val="center"/>
              <w:rPr>
                <w:sz w:val="13"/>
                <w:szCs w:val="13"/>
              </w:rPr>
            </w:pPr>
            <w:r w:rsidRPr="00640447">
              <w:rPr>
                <w:sz w:val="13"/>
                <w:szCs w:val="13"/>
              </w:rPr>
              <w:t>0</w:t>
            </w:r>
          </w:p>
        </w:tc>
        <w:tc>
          <w:tcPr>
            <w:tcW w:w="188" w:type="pct"/>
            <w:tcBorders>
              <w:top w:val="single" w:sz="4" w:space="0" w:color="auto"/>
              <w:left w:val="single" w:sz="4" w:space="0" w:color="auto"/>
              <w:bottom w:val="single" w:sz="4" w:space="0" w:color="auto"/>
              <w:right w:val="single" w:sz="4" w:space="0" w:color="auto"/>
            </w:tcBorders>
            <w:vAlign w:val="center"/>
          </w:tcPr>
          <w:p w14:paraId="22D79231" w14:textId="77777777" w:rsidR="004A0123" w:rsidRPr="00640447" w:rsidRDefault="004A0123" w:rsidP="008A5C11">
            <w:pPr>
              <w:jc w:val="center"/>
              <w:rPr>
                <w:sz w:val="13"/>
                <w:szCs w:val="13"/>
              </w:rPr>
            </w:pPr>
            <w:r w:rsidRPr="00640447">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43103199" w14:textId="77777777" w:rsidR="004A0123" w:rsidRPr="00640447" w:rsidRDefault="004A0123" w:rsidP="008A5C11">
            <w:pPr>
              <w:jc w:val="center"/>
              <w:rPr>
                <w:sz w:val="13"/>
                <w:szCs w:val="13"/>
              </w:rPr>
            </w:pPr>
            <w:r w:rsidRPr="00640447">
              <w:rPr>
                <w:sz w:val="13"/>
                <w:szCs w:val="13"/>
              </w:rPr>
              <w:t>0</w:t>
            </w:r>
          </w:p>
        </w:tc>
      </w:tr>
      <w:tr w:rsidR="004A0123" w:rsidRPr="00640447" w14:paraId="3341F652" w14:textId="77777777" w:rsidTr="008A5C11">
        <w:trPr>
          <w:trHeight w:val="489"/>
        </w:trPr>
        <w:tc>
          <w:tcPr>
            <w:tcW w:w="146" w:type="pct"/>
            <w:shd w:val="clear" w:color="auto" w:fill="auto"/>
            <w:vAlign w:val="center"/>
          </w:tcPr>
          <w:p w14:paraId="741C074A" w14:textId="77777777" w:rsidR="004A0123" w:rsidRPr="00640447" w:rsidRDefault="004A0123" w:rsidP="008A5C11">
            <w:pPr>
              <w:jc w:val="center"/>
              <w:rPr>
                <w:sz w:val="13"/>
                <w:szCs w:val="13"/>
              </w:rPr>
            </w:pPr>
            <w:r w:rsidRPr="00640447">
              <w:rPr>
                <w:sz w:val="13"/>
                <w:szCs w:val="13"/>
              </w:rPr>
              <w:t>3.2.4.</w:t>
            </w:r>
          </w:p>
        </w:tc>
        <w:tc>
          <w:tcPr>
            <w:tcW w:w="616" w:type="pct"/>
            <w:tcBorders>
              <w:top w:val="nil"/>
              <w:left w:val="single" w:sz="4" w:space="0" w:color="auto"/>
              <w:bottom w:val="single" w:sz="4" w:space="0" w:color="auto"/>
              <w:right w:val="single" w:sz="4" w:space="0" w:color="auto"/>
            </w:tcBorders>
            <w:shd w:val="clear" w:color="auto" w:fill="auto"/>
            <w:vAlign w:val="center"/>
          </w:tcPr>
          <w:p w14:paraId="72508AA1" w14:textId="77777777" w:rsidR="004A0123" w:rsidRPr="00640447" w:rsidRDefault="004A0123" w:rsidP="008A5C11">
            <w:pPr>
              <w:rPr>
                <w:color w:val="000000"/>
                <w:sz w:val="13"/>
                <w:szCs w:val="13"/>
              </w:rPr>
            </w:pPr>
            <w:r w:rsidRPr="00640447">
              <w:rPr>
                <w:color w:val="000000"/>
                <w:sz w:val="13"/>
                <w:szCs w:val="13"/>
              </w:rPr>
              <w:t>Котельная «КСК». Реконструкция насосного оборудования, сетевого комплекса</w:t>
            </w:r>
          </w:p>
        </w:tc>
        <w:tc>
          <w:tcPr>
            <w:tcW w:w="359" w:type="pct"/>
            <w:tcBorders>
              <w:top w:val="nil"/>
              <w:left w:val="nil"/>
              <w:bottom w:val="single" w:sz="4" w:space="0" w:color="auto"/>
              <w:right w:val="single" w:sz="4" w:space="0" w:color="auto"/>
            </w:tcBorders>
            <w:shd w:val="clear" w:color="auto" w:fill="auto"/>
            <w:vAlign w:val="center"/>
          </w:tcPr>
          <w:p w14:paraId="16E3404C" w14:textId="77777777" w:rsidR="004A0123" w:rsidRPr="00640447" w:rsidRDefault="004A0123" w:rsidP="008A5C11">
            <w:pPr>
              <w:jc w:val="center"/>
              <w:rPr>
                <w:color w:val="000000"/>
                <w:sz w:val="13"/>
                <w:szCs w:val="13"/>
              </w:rPr>
            </w:pPr>
            <w:r w:rsidRPr="00640447">
              <w:rPr>
                <w:color w:val="000000"/>
                <w:sz w:val="13"/>
                <w:szCs w:val="13"/>
              </w:rPr>
              <w:t>Повышение надежности теплоснабжения</w:t>
            </w:r>
          </w:p>
        </w:tc>
        <w:tc>
          <w:tcPr>
            <w:tcW w:w="360" w:type="pct"/>
            <w:tcBorders>
              <w:top w:val="nil"/>
              <w:left w:val="nil"/>
              <w:bottom w:val="single" w:sz="4" w:space="0" w:color="auto"/>
              <w:right w:val="single" w:sz="4" w:space="0" w:color="auto"/>
            </w:tcBorders>
            <w:shd w:val="clear" w:color="auto" w:fill="auto"/>
            <w:vAlign w:val="center"/>
          </w:tcPr>
          <w:p w14:paraId="27265630" w14:textId="77777777" w:rsidR="004A0123" w:rsidRPr="00640447" w:rsidRDefault="004A0123" w:rsidP="008A5C11">
            <w:pPr>
              <w:jc w:val="center"/>
              <w:rPr>
                <w:color w:val="000000"/>
                <w:sz w:val="13"/>
                <w:szCs w:val="13"/>
              </w:rPr>
            </w:pPr>
            <w:r w:rsidRPr="00640447">
              <w:rPr>
                <w:color w:val="000000"/>
                <w:sz w:val="13"/>
                <w:szCs w:val="13"/>
              </w:rPr>
              <w:t xml:space="preserve">г. Ленинск-Кузнецкий, </w:t>
            </w:r>
          </w:p>
          <w:p w14:paraId="04C53A38" w14:textId="77777777" w:rsidR="004A0123" w:rsidRPr="00640447" w:rsidRDefault="004A0123" w:rsidP="008A5C11">
            <w:pPr>
              <w:jc w:val="center"/>
              <w:rPr>
                <w:color w:val="000000"/>
                <w:sz w:val="13"/>
                <w:szCs w:val="13"/>
              </w:rPr>
            </w:pPr>
            <w:r w:rsidRPr="00640447">
              <w:rPr>
                <w:color w:val="000000"/>
                <w:sz w:val="13"/>
                <w:szCs w:val="13"/>
              </w:rPr>
              <w:t>ул. Телефонная, 9</w:t>
            </w:r>
          </w:p>
        </w:tc>
        <w:tc>
          <w:tcPr>
            <w:tcW w:w="338" w:type="pct"/>
            <w:tcBorders>
              <w:top w:val="nil"/>
              <w:left w:val="nil"/>
              <w:bottom w:val="single" w:sz="4" w:space="0" w:color="auto"/>
              <w:right w:val="single" w:sz="4" w:space="0" w:color="auto"/>
            </w:tcBorders>
            <w:shd w:val="clear" w:color="auto" w:fill="auto"/>
            <w:vAlign w:val="center"/>
          </w:tcPr>
          <w:p w14:paraId="1D573476" w14:textId="77777777" w:rsidR="004A0123" w:rsidRPr="00640447" w:rsidRDefault="004A0123" w:rsidP="008A5C11">
            <w:pPr>
              <w:jc w:val="center"/>
              <w:rPr>
                <w:sz w:val="13"/>
                <w:szCs w:val="13"/>
              </w:rPr>
            </w:pPr>
            <w:proofErr w:type="gramStart"/>
            <w:r w:rsidRPr="00640447">
              <w:rPr>
                <w:sz w:val="13"/>
                <w:szCs w:val="13"/>
              </w:rPr>
              <w:t>Производитель-ность</w:t>
            </w:r>
            <w:proofErr w:type="gramEnd"/>
          </w:p>
        </w:tc>
        <w:tc>
          <w:tcPr>
            <w:tcW w:w="116" w:type="pct"/>
            <w:tcBorders>
              <w:top w:val="nil"/>
              <w:left w:val="nil"/>
              <w:bottom w:val="single" w:sz="4" w:space="0" w:color="auto"/>
              <w:right w:val="single" w:sz="4" w:space="0" w:color="auto"/>
            </w:tcBorders>
            <w:shd w:val="clear" w:color="auto" w:fill="auto"/>
            <w:vAlign w:val="center"/>
          </w:tcPr>
          <w:p w14:paraId="35845C99" w14:textId="77777777" w:rsidR="004A0123" w:rsidRPr="00640447" w:rsidRDefault="004A0123" w:rsidP="008A5C11">
            <w:pPr>
              <w:jc w:val="center"/>
              <w:rPr>
                <w:sz w:val="13"/>
                <w:szCs w:val="13"/>
              </w:rPr>
            </w:pPr>
            <w:r w:rsidRPr="00640447">
              <w:rPr>
                <w:sz w:val="13"/>
                <w:szCs w:val="13"/>
              </w:rPr>
              <w:t>м</w:t>
            </w:r>
            <w:r w:rsidRPr="00640447">
              <w:rPr>
                <w:sz w:val="13"/>
                <w:szCs w:val="13"/>
                <w:vertAlign w:val="superscript"/>
              </w:rPr>
              <w:t>3</w:t>
            </w:r>
            <w:r w:rsidRPr="00640447">
              <w:rPr>
                <w:sz w:val="13"/>
                <w:szCs w:val="13"/>
              </w:rPr>
              <w:t>/ч</w:t>
            </w:r>
          </w:p>
        </w:tc>
        <w:tc>
          <w:tcPr>
            <w:tcW w:w="182" w:type="pct"/>
            <w:tcBorders>
              <w:top w:val="nil"/>
              <w:left w:val="single" w:sz="4" w:space="0" w:color="auto"/>
              <w:bottom w:val="single" w:sz="4" w:space="0" w:color="auto"/>
              <w:right w:val="single" w:sz="4" w:space="0" w:color="auto"/>
            </w:tcBorders>
            <w:shd w:val="clear" w:color="auto" w:fill="auto"/>
            <w:vAlign w:val="center"/>
          </w:tcPr>
          <w:p w14:paraId="31E1293B" w14:textId="77777777" w:rsidR="004A0123" w:rsidRPr="00640447" w:rsidRDefault="004A0123" w:rsidP="008A5C11">
            <w:pPr>
              <w:jc w:val="center"/>
              <w:rPr>
                <w:sz w:val="13"/>
                <w:szCs w:val="13"/>
              </w:rPr>
            </w:pPr>
            <w:r w:rsidRPr="00640447">
              <w:rPr>
                <w:sz w:val="13"/>
                <w:szCs w:val="13"/>
              </w:rPr>
              <w:t>4515</w:t>
            </w:r>
          </w:p>
        </w:tc>
        <w:tc>
          <w:tcPr>
            <w:tcW w:w="174" w:type="pct"/>
            <w:tcBorders>
              <w:top w:val="nil"/>
              <w:left w:val="nil"/>
              <w:bottom w:val="single" w:sz="4" w:space="0" w:color="auto"/>
              <w:right w:val="single" w:sz="4" w:space="0" w:color="auto"/>
            </w:tcBorders>
            <w:shd w:val="clear" w:color="auto" w:fill="auto"/>
            <w:vAlign w:val="center"/>
          </w:tcPr>
          <w:p w14:paraId="25F7997F" w14:textId="77777777" w:rsidR="004A0123" w:rsidRPr="00640447" w:rsidRDefault="004A0123" w:rsidP="008A5C11">
            <w:pPr>
              <w:jc w:val="center"/>
              <w:rPr>
                <w:sz w:val="13"/>
                <w:szCs w:val="13"/>
              </w:rPr>
            </w:pPr>
            <w:r w:rsidRPr="00640447">
              <w:rPr>
                <w:sz w:val="13"/>
                <w:szCs w:val="13"/>
              </w:rPr>
              <w:t>4515</w:t>
            </w:r>
          </w:p>
        </w:tc>
        <w:tc>
          <w:tcPr>
            <w:tcW w:w="189" w:type="pct"/>
            <w:tcBorders>
              <w:top w:val="nil"/>
              <w:left w:val="nil"/>
              <w:bottom w:val="single" w:sz="4" w:space="0" w:color="auto"/>
              <w:right w:val="single" w:sz="4" w:space="0" w:color="auto"/>
            </w:tcBorders>
            <w:shd w:val="clear" w:color="auto" w:fill="auto"/>
            <w:vAlign w:val="center"/>
          </w:tcPr>
          <w:p w14:paraId="26C8678B" w14:textId="77777777" w:rsidR="004A0123" w:rsidRPr="00640447" w:rsidRDefault="004A0123" w:rsidP="008A5C11">
            <w:pPr>
              <w:jc w:val="center"/>
              <w:rPr>
                <w:sz w:val="13"/>
                <w:szCs w:val="13"/>
              </w:rPr>
            </w:pPr>
            <w:r w:rsidRPr="00640447">
              <w:rPr>
                <w:sz w:val="13"/>
                <w:szCs w:val="13"/>
              </w:rPr>
              <w:t>2020</w:t>
            </w:r>
          </w:p>
        </w:tc>
        <w:tc>
          <w:tcPr>
            <w:tcW w:w="184" w:type="pct"/>
            <w:tcBorders>
              <w:top w:val="nil"/>
              <w:left w:val="nil"/>
              <w:bottom w:val="single" w:sz="4" w:space="0" w:color="auto"/>
              <w:right w:val="single" w:sz="4" w:space="0" w:color="auto"/>
            </w:tcBorders>
            <w:shd w:val="clear" w:color="auto" w:fill="auto"/>
            <w:vAlign w:val="center"/>
          </w:tcPr>
          <w:p w14:paraId="71390121" w14:textId="77777777" w:rsidR="004A0123" w:rsidRPr="00640447" w:rsidRDefault="004A0123" w:rsidP="008A5C11">
            <w:pPr>
              <w:jc w:val="center"/>
              <w:rPr>
                <w:sz w:val="13"/>
                <w:szCs w:val="13"/>
              </w:rPr>
            </w:pPr>
            <w:r w:rsidRPr="00640447">
              <w:rPr>
                <w:sz w:val="13"/>
                <w:szCs w:val="13"/>
              </w:rPr>
              <w:t>2021</w:t>
            </w:r>
          </w:p>
        </w:tc>
        <w:tc>
          <w:tcPr>
            <w:tcW w:w="180" w:type="pct"/>
            <w:tcBorders>
              <w:top w:val="nil"/>
              <w:left w:val="nil"/>
              <w:bottom w:val="single" w:sz="4" w:space="0" w:color="auto"/>
              <w:right w:val="single" w:sz="4" w:space="0" w:color="auto"/>
            </w:tcBorders>
            <w:shd w:val="clear" w:color="auto" w:fill="auto"/>
            <w:vAlign w:val="center"/>
          </w:tcPr>
          <w:p w14:paraId="32ED53B0" w14:textId="77777777" w:rsidR="004A0123" w:rsidRPr="00640447" w:rsidRDefault="004A0123" w:rsidP="008A5C11">
            <w:pPr>
              <w:jc w:val="center"/>
              <w:rPr>
                <w:sz w:val="13"/>
                <w:szCs w:val="13"/>
              </w:rPr>
            </w:pPr>
            <w:r w:rsidRPr="00640447">
              <w:rPr>
                <w:sz w:val="13"/>
                <w:szCs w:val="13"/>
              </w:rPr>
              <w:t>27160</w:t>
            </w:r>
          </w:p>
        </w:tc>
        <w:tc>
          <w:tcPr>
            <w:tcW w:w="187" w:type="pct"/>
            <w:tcBorders>
              <w:top w:val="nil"/>
              <w:left w:val="nil"/>
              <w:bottom w:val="single" w:sz="4" w:space="0" w:color="auto"/>
              <w:right w:val="single" w:sz="4" w:space="0" w:color="auto"/>
            </w:tcBorders>
            <w:shd w:val="clear" w:color="auto" w:fill="auto"/>
            <w:vAlign w:val="center"/>
          </w:tcPr>
          <w:p w14:paraId="55B054C9" w14:textId="77777777" w:rsidR="004A0123" w:rsidRPr="00640447" w:rsidRDefault="004A0123" w:rsidP="008A5C11">
            <w:pPr>
              <w:jc w:val="center"/>
              <w:rPr>
                <w:sz w:val="13"/>
                <w:szCs w:val="13"/>
              </w:rPr>
            </w:pPr>
            <w:r w:rsidRPr="00640447">
              <w:rPr>
                <w:sz w:val="13"/>
                <w:szCs w:val="13"/>
              </w:rPr>
              <w:t>0</w:t>
            </w:r>
          </w:p>
        </w:tc>
        <w:tc>
          <w:tcPr>
            <w:tcW w:w="146" w:type="pct"/>
            <w:tcBorders>
              <w:top w:val="nil"/>
              <w:left w:val="single" w:sz="4" w:space="0" w:color="auto"/>
              <w:bottom w:val="single" w:sz="4" w:space="0" w:color="auto"/>
              <w:right w:val="single" w:sz="4" w:space="0" w:color="auto"/>
            </w:tcBorders>
            <w:shd w:val="clear" w:color="auto" w:fill="auto"/>
            <w:vAlign w:val="center"/>
          </w:tcPr>
          <w:p w14:paraId="68B198A8" w14:textId="77777777" w:rsidR="004A0123" w:rsidRPr="00640447" w:rsidRDefault="004A0123" w:rsidP="008A5C11">
            <w:pPr>
              <w:jc w:val="center"/>
              <w:rPr>
                <w:sz w:val="13"/>
                <w:szCs w:val="13"/>
              </w:rPr>
            </w:pPr>
            <w:r w:rsidRPr="00640447">
              <w:rPr>
                <w:sz w:val="13"/>
                <w:szCs w:val="13"/>
              </w:rPr>
              <w:t>0</w:t>
            </w:r>
          </w:p>
        </w:tc>
        <w:tc>
          <w:tcPr>
            <w:tcW w:w="149" w:type="pct"/>
            <w:tcBorders>
              <w:top w:val="nil"/>
              <w:left w:val="nil"/>
              <w:bottom w:val="single" w:sz="4" w:space="0" w:color="auto"/>
              <w:right w:val="single" w:sz="4" w:space="0" w:color="auto"/>
            </w:tcBorders>
            <w:shd w:val="clear" w:color="auto" w:fill="auto"/>
            <w:vAlign w:val="center"/>
          </w:tcPr>
          <w:p w14:paraId="003A459E" w14:textId="77777777" w:rsidR="004A0123" w:rsidRPr="00640447" w:rsidRDefault="004A0123" w:rsidP="008A5C11">
            <w:pPr>
              <w:jc w:val="center"/>
              <w:rPr>
                <w:sz w:val="13"/>
                <w:szCs w:val="13"/>
              </w:rPr>
            </w:pPr>
            <w:r w:rsidRPr="00640447">
              <w:rPr>
                <w:sz w:val="13"/>
                <w:szCs w:val="13"/>
              </w:rPr>
              <w:t>26482</w:t>
            </w:r>
          </w:p>
        </w:tc>
        <w:tc>
          <w:tcPr>
            <w:tcW w:w="183" w:type="pct"/>
            <w:tcBorders>
              <w:top w:val="nil"/>
              <w:left w:val="nil"/>
              <w:bottom w:val="single" w:sz="4" w:space="0" w:color="auto"/>
              <w:right w:val="single" w:sz="4" w:space="0" w:color="auto"/>
            </w:tcBorders>
            <w:shd w:val="clear" w:color="auto" w:fill="auto"/>
            <w:vAlign w:val="center"/>
          </w:tcPr>
          <w:p w14:paraId="568D770B" w14:textId="77777777" w:rsidR="004A0123" w:rsidRPr="00640447" w:rsidRDefault="004A0123" w:rsidP="008A5C11">
            <w:pPr>
              <w:jc w:val="center"/>
              <w:rPr>
                <w:sz w:val="13"/>
                <w:szCs w:val="13"/>
              </w:rPr>
            </w:pPr>
            <w:r w:rsidRPr="00640447">
              <w:rPr>
                <w:sz w:val="13"/>
                <w:szCs w:val="13"/>
              </w:rPr>
              <w:t>678</w:t>
            </w:r>
          </w:p>
        </w:tc>
        <w:tc>
          <w:tcPr>
            <w:tcW w:w="183" w:type="pct"/>
            <w:tcBorders>
              <w:top w:val="nil"/>
              <w:left w:val="nil"/>
              <w:bottom w:val="single" w:sz="4" w:space="0" w:color="auto"/>
              <w:right w:val="single" w:sz="4" w:space="0" w:color="auto"/>
            </w:tcBorders>
            <w:shd w:val="clear" w:color="auto" w:fill="auto"/>
            <w:vAlign w:val="center"/>
          </w:tcPr>
          <w:p w14:paraId="0C1CC721" w14:textId="77777777" w:rsidR="004A0123" w:rsidRPr="00640447" w:rsidRDefault="004A0123" w:rsidP="008A5C11">
            <w:pPr>
              <w:jc w:val="center"/>
              <w:rPr>
                <w:sz w:val="13"/>
                <w:szCs w:val="13"/>
              </w:rPr>
            </w:pPr>
            <w:r w:rsidRPr="00640447">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470FEE97" w14:textId="77777777" w:rsidR="004A0123" w:rsidRPr="00640447" w:rsidRDefault="004A0123" w:rsidP="008A5C11">
            <w:pPr>
              <w:jc w:val="center"/>
              <w:rPr>
                <w:sz w:val="13"/>
                <w:szCs w:val="13"/>
              </w:rPr>
            </w:pPr>
            <w:r w:rsidRPr="00640447">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4940FA23" w14:textId="77777777" w:rsidR="004A0123" w:rsidRPr="00640447" w:rsidRDefault="004A0123" w:rsidP="008A5C11">
            <w:pPr>
              <w:jc w:val="center"/>
              <w:rPr>
                <w:sz w:val="13"/>
                <w:szCs w:val="13"/>
              </w:rPr>
            </w:pPr>
            <w:r w:rsidRPr="00640447">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5CC8DE0A" w14:textId="77777777" w:rsidR="004A0123" w:rsidRPr="00640447" w:rsidRDefault="004A0123" w:rsidP="008A5C11">
            <w:pPr>
              <w:jc w:val="center"/>
              <w:rPr>
                <w:sz w:val="13"/>
                <w:szCs w:val="13"/>
              </w:rPr>
            </w:pPr>
            <w:r w:rsidRPr="00640447">
              <w:rPr>
                <w:sz w:val="13"/>
                <w:szCs w:val="13"/>
              </w:rPr>
              <w:t>0</w:t>
            </w:r>
          </w:p>
        </w:tc>
        <w:tc>
          <w:tcPr>
            <w:tcW w:w="174" w:type="pct"/>
            <w:tcBorders>
              <w:top w:val="single" w:sz="4" w:space="0" w:color="auto"/>
              <w:left w:val="single" w:sz="4" w:space="0" w:color="auto"/>
              <w:bottom w:val="single" w:sz="4" w:space="0" w:color="auto"/>
              <w:right w:val="single" w:sz="4" w:space="0" w:color="auto"/>
            </w:tcBorders>
            <w:vAlign w:val="center"/>
          </w:tcPr>
          <w:p w14:paraId="20FB10DB" w14:textId="77777777" w:rsidR="004A0123" w:rsidRPr="00640447" w:rsidRDefault="004A0123" w:rsidP="008A5C11">
            <w:pPr>
              <w:jc w:val="center"/>
              <w:rPr>
                <w:sz w:val="13"/>
                <w:szCs w:val="13"/>
              </w:rPr>
            </w:pPr>
            <w:r w:rsidRPr="00640447">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5AC278A0" w14:textId="77777777" w:rsidR="004A0123" w:rsidRPr="00640447" w:rsidRDefault="004A0123" w:rsidP="008A5C11">
            <w:pPr>
              <w:jc w:val="center"/>
              <w:rPr>
                <w:sz w:val="13"/>
                <w:szCs w:val="13"/>
              </w:rPr>
            </w:pPr>
            <w:r w:rsidRPr="00640447">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719A6E82" w14:textId="77777777" w:rsidR="004A0123" w:rsidRPr="00640447" w:rsidRDefault="004A0123" w:rsidP="008A5C11">
            <w:pPr>
              <w:jc w:val="center"/>
              <w:rPr>
                <w:sz w:val="13"/>
                <w:szCs w:val="13"/>
              </w:rPr>
            </w:pPr>
            <w:r w:rsidRPr="00640447">
              <w:rPr>
                <w:sz w:val="13"/>
                <w:szCs w:val="13"/>
              </w:rPr>
              <w:t>0</w:t>
            </w:r>
          </w:p>
        </w:tc>
        <w:tc>
          <w:tcPr>
            <w:tcW w:w="188" w:type="pct"/>
            <w:tcBorders>
              <w:top w:val="single" w:sz="4" w:space="0" w:color="auto"/>
              <w:left w:val="single" w:sz="4" w:space="0" w:color="auto"/>
              <w:bottom w:val="single" w:sz="4" w:space="0" w:color="auto"/>
              <w:right w:val="single" w:sz="4" w:space="0" w:color="auto"/>
            </w:tcBorders>
            <w:vAlign w:val="center"/>
          </w:tcPr>
          <w:p w14:paraId="4C8E7001" w14:textId="77777777" w:rsidR="004A0123" w:rsidRPr="00640447" w:rsidRDefault="004A0123" w:rsidP="008A5C11">
            <w:pPr>
              <w:jc w:val="center"/>
              <w:rPr>
                <w:sz w:val="13"/>
                <w:szCs w:val="13"/>
              </w:rPr>
            </w:pPr>
            <w:r w:rsidRPr="00640447">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0F6BBD18" w14:textId="77777777" w:rsidR="004A0123" w:rsidRPr="00640447" w:rsidRDefault="004A0123" w:rsidP="008A5C11">
            <w:pPr>
              <w:jc w:val="center"/>
              <w:rPr>
                <w:sz w:val="13"/>
                <w:szCs w:val="13"/>
              </w:rPr>
            </w:pPr>
            <w:r w:rsidRPr="00640447">
              <w:rPr>
                <w:sz w:val="13"/>
                <w:szCs w:val="13"/>
              </w:rPr>
              <w:t>0</w:t>
            </w:r>
          </w:p>
        </w:tc>
      </w:tr>
      <w:tr w:rsidR="004A0123" w:rsidRPr="00640447" w14:paraId="3A946AF3" w14:textId="77777777" w:rsidTr="008A5C11">
        <w:trPr>
          <w:trHeight w:val="489"/>
        </w:trPr>
        <w:tc>
          <w:tcPr>
            <w:tcW w:w="146" w:type="pct"/>
            <w:shd w:val="clear" w:color="auto" w:fill="auto"/>
            <w:vAlign w:val="center"/>
          </w:tcPr>
          <w:p w14:paraId="04936EE6" w14:textId="77777777" w:rsidR="004A0123" w:rsidRPr="00640447" w:rsidRDefault="004A0123" w:rsidP="008A5C11">
            <w:pPr>
              <w:jc w:val="center"/>
              <w:rPr>
                <w:sz w:val="13"/>
                <w:szCs w:val="13"/>
              </w:rPr>
            </w:pPr>
            <w:r w:rsidRPr="00640447">
              <w:rPr>
                <w:sz w:val="13"/>
                <w:szCs w:val="13"/>
              </w:rPr>
              <w:t>3.2.5.</w:t>
            </w:r>
          </w:p>
        </w:tc>
        <w:tc>
          <w:tcPr>
            <w:tcW w:w="616" w:type="pct"/>
            <w:tcBorders>
              <w:top w:val="nil"/>
              <w:left w:val="single" w:sz="4" w:space="0" w:color="auto"/>
              <w:bottom w:val="single" w:sz="4" w:space="0" w:color="auto"/>
              <w:right w:val="single" w:sz="4" w:space="0" w:color="auto"/>
            </w:tcBorders>
            <w:shd w:val="clear" w:color="auto" w:fill="auto"/>
            <w:vAlign w:val="center"/>
          </w:tcPr>
          <w:p w14:paraId="27122F7E" w14:textId="77777777" w:rsidR="004A0123" w:rsidRPr="00640447" w:rsidRDefault="004A0123" w:rsidP="008A5C11">
            <w:pPr>
              <w:rPr>
                <w:color w:val="000000"/>
                <w:sz w:val="13"/>
                <w:szCs w:val="13"/>
              </w:rPr>
            </w:pPr>
            <w:r w:rsidRPr="00640447">
              <w:rPr>
                <w:color w:val="000000"/>
                <w:sz w:val="13"/>
                <w:szCs w:val="13"/>
              </w:rPr>
              <w:t>Котельная «КСК</w:t>
            </w:r>
            <w:proofErr w:type="gramStart"/>
            <w:r w:rsidRPr="00640447">
              <w:rPr>
                <w:color w:val="000000"/>
                <w:sz w:val="13"/>
                <w:szCs w:val="13"/>
              </w:rPr>
              <w:t>»..</w:t>
            </w:r>
            <w:proofErr w:type="gramEnd"/>
            <w:r w:rsidRPr="00640447">
              <w:rPr>
                <w:color w:val="000000"/>
                <w:sz w:val="13"/>
                <w:szCs w:val="13"/>
              </w:rPr>
              <w:t xml:space="preserve"> Проектирование и реконструкция гидравлической системы золошлакоудаления с устройством оборотного водоснабжения (емкость карты летнего намыва 15 300 куб м.- годовой объем)</w:t>
            </w:r>
          </w:p>
        </w:tc>
        <w:tc>
          <w:tcPr>
            <w:tcW w:w="359" w:type="pct"/>
            <w:tcBorders>
              <w:top w:val="nil"/>
              <w:left w:val="nil"/>
              <w:bottom w:val="single" w:sz="4" w:space="0" w:color="auto"/>
              <w:right w:val="single" w:sz="4" w:space="0" w:color="auto"/>
            </w:tcBorders>
            <w:shd w:val="clear" w:color="auto" w:fill="auto"/>
            <w:vAlign w:val="center"/>
          </w:tcPr>
          <w:p w14:paraId="7FB4C89D" w14:textId="77777777" w:rsidR="004A0123" w:rsidRPr="00640447" w:rsidRDefault="004A0123" w:rsidP="008A5C11">
            <w:pPr>
              <w:jc w:val="center"/>
              <w:rPr>
                <w:color w:val="000000"/>
                <w:sz w:val="13"/>
                <w:szCs w:val="13"/>
              </w:rPr>
            </w:pPr>
            <w:r w:rsidRPr="00640447">
              <w:rPr>
                <w:color w:val="000000"/>
                <w:sz w:val="13"/>
                <w:szCs w:val="13"/>
              </w:rPr>
              <w:t>Повышение надежности теплоснабжения</w:t>
            </w:r>
          </w:p>
        </w:tc>
        <w:tc>
          <w:tcPr>
            <w:tcW w:w="360" w:type="pct"/>
            <w:tcBorders>
              <w:top w:val="nil"/>
              <w:left w:val="nil"/>
              <w:bottom w:val="single" w:sz="4" w:space="0" w:color="auto"/>
              <w:right w:val="single" w:sz="4" w:space="0" w:color="auto"/>
            </w:tcBorders>
            <w:shd w:val="clear" w:color="auto" w:fill="auto"/>
            <w:vAlign w:val="center"/>
          </w:tcPr>
          <w:p w14:paraId="5581390D" w14:textId="77777777" w:rsidR="004A0123" w:rsidRPr="00640447" w:rsidRDefault="004A0123" w:rsidP="008A5C11">
            <w:pPr>
              <w:jc w:val="center"/>
              <w:rPr>
                <w:color w:val="000000"/>
                <w:sz w:val="13"/>
                <w:szCs w:val="13"/>
              </w:rPr>
            </w:pPr>
            <w:r w:rsidRPr="00640447">
              <w:rPr>
                <w:color w:val="000000"/>
                <w:sz w:val="13"/>
                <w:szCs w:val="13"/>
              </w:rPr>
              <w:t xml:space="preserve">г. Ленинск-Кузнецкий, </w:t>
            </w:r>
          </w:p>
          <w:p w14:paraId="5976980A" w14:textId="77777777" w:rsidR="004A0123" w:rsidRPr="00640447" w:rsidRDefault="004A0123" w:rsidP="008A5C11">
            <w:pPr>
              <w:jc w:val="center"/>
              <w:rPr>
                <w:color w:val="000000"/>
                <w:sz w:val="13"/>
                <w:szCs w:val="13"/>
              </w:rPr>
            </w:pPr>
            <w:r w:rsidRPr="00640447">
              <w:rPr>
                <w:color w:val="000000"/>
                <w:sz w:val="13"/>
                <w:szCs w:val="13"/>
              </w:rPr>
              <w:t>ул. Телефонная, 9</w:t>
            </w:r>
          </w:p>
        </w:tc>
        <w:tc>
          <w:tcPr>
            <w:tcW w:w="338" w:type="pct"/>
            <w:tcBorders>
              <w:top w:val="nil"/>
              <w:left w:val="nil"/>
              <w:bottom w:val="single" w:sz="4" w:space="0" w:color="auto"/>
              <w:right w:val="single" w:sz="4" w:space="0" w:color="auto"/>
            </w:tcBorders>
            <w:shd w:val="clear" w:color="auto" w:fill="auto"/>
            <w:vAlign w:val="center"/>
          </w:tcPr>
          <w:p w14:paraId="35B39C30" w14:textId="77777777" w:rsidR="004A0123" w:rsidRPr="00640447" w:rsidRDefault="004A0123" w:rsidP="008A5C11">
            <w:pPr>
              <w:jc w:val="center"/>
              <w:rPr>
                <w:sz w:val="13"/>
                <w:szCs w:val="13"/>
              </w:rPr>
            </w:pPr>
            <w:r w:rsidRPr="00640447">
              <w:rPr>
                <w:sz w:val="13"/>
                <w:szCs w:val="13"/>
              </w:rPr>
              <w:t>Объем карты летнего намыва</w:t>
            </w:r>
          </w:p>
        </w:tc>
        <w:tc>
          <w:tcPr>
            <w:tcW w:w="116" w:type="pct"/>
            <w:tcBorders>
              <w:top w:val="nil"/>
              <w:left w:val="nil"/>
              <w:bottom w:val="single" w:sz="4" w:space="0" w:color="auto"/>
              <w:right w:val="single" w:sz="4" w:space="0" w:color="auto"/>
            </w:tcBorders>
            <w:shd w:val="clear" w:color="auto" w:fill="auto"/>
            <w:vAlign w:val="center"/>
          </w:tcPr>
          <w:p w14:paraId="467BAE23" w14:textId="77777777" w:rsidR="004A0123" w:rsidRPr="00640447" w:rsidRDefault="004A0123" w:rsidP="008A5C11">
            <w:pPr>
              <w:jc w:val="center"/>
              <w:rPr>
                <w:sz w:val="13"/>
                <w:szCs w:val="13"/>
              </w:rPr>
            </w:pPr>
            <w:r w:rsidRPr="00640447">
              <w:rPr>
                <w:sz w:val="13"/>
                <w:szCs w:val="13"/>
              </w:rPr>
              <w:t>тыс. м</w:t>
            </w:r>
            <w:r w:rsidRPr="00640447">
              <w:rPr>
                <w:sz w:val="13"/>
                <w:szCs w:val="13"/>
                <w:vertAlign w:val="superscript"/>
              </w:rPr>
              <w:t>3</w:t>
            </w:r>
          </w:p>
        </w:tc>
        <w:tc>
          <w:tcPr>
            <w:tcW w:w="182" w:type="pct"/>
            <w:tcBorders>
              <w:top w:val="nil"/>
              <w:left w:val="single" w:sz="4" w:space="0" w:color="auto"/>
              <w:bottom w:val="single" w:sz="4" w:space="0" w:color="auto"/>
              <w:right w:val="single" w:sz="4" w:space="0" w:color="auto"/>
            </w:tcBorders>
            <w:shd w:val="clear" w:color="auto" w:fill="auto"/>
            <w:vAlign w:val="center"/>
          </w:tcPr>
          <w:p w14:paraId="11D4403F" w14:textId="77777777" w:rsidR="004A0123" w:rsidRPr="00640447" w:rsidRDefault="004A0123" w:rsidP="008A5C11">
            <w:pPr>
              <w:jc w:val="center"/>
              <w:rPr>
                <w:sz w:val="13"/>
                <w:szCs w:val="13"/>
              </w:rPr>
            </w:pPr>
            <w:r w:rsidRPr="00640447">
              <w:rPr>
                <w:sz w:val="13"/>
                <w:szCs w:val="13"/>
              </w:rPr>
              <w:t>0</w:t>
            </w:r>
          </w:p>
        </w:tc>
        <w:tc>
          <w:tcPr>
            <w:tcW w:w="174" w:type="pct"/>
            <w:tcBorders>
              <w:top w:val="nil"/>
              <w:left w:val="nil"/>
              <w:bottom w:val="single" w:sz="4" w:space="0" w:color="auto"/>
              <w:right w:val="single" w:sz="4" w:space="0" w:color="auto"/>
            </w:tcBorders>
            <w:shd w:val="clear" w:color="auto" w:fill="auto"/>
            <w:vAlign w:val="center"/>
          </w:tcPr>
          <w:p w14:paraId="16B167F6" w14:textId="77777777" w:rsidR="004A0123" w:rsidRPr="00640447" w:rsidRDefault="004A0123" w:rsidP="008A5C11">
            <w:pPr>
              <w:jc w:val="center"/>
              <w:rPr>
                <w:sz w:val="13"/>
                <w:szCs w:val="13"/>
              </w:rPr>
            </w:pPr>
            <w:r w:rsidRPr="00640447">
              <w:rPr>
                <w:sz w:val="13"/>
                <w:szCs w:val="13"/>
              </w:rPr>
              <w:t>15,3</w:t>
            </w:r>
          </w:p>
        </w:tc>
        <w:tc>
          <w:tcPr>
            <w:tcW w:w="189" w:type="pct"/>
            <w:tcBorders>
              <w:top w:val="nil"/>
              <w:left w:val="nil"/>
              <w:bottom w:val="single" w:sz="4" w:space="0" w:color="auto"/>
              <w:right w:val="single" w:sz="4" w:space="0" w:color="auto"/>
            </w:tcBorders>
            <w:shd w:val="clear" w:color="auto" w:fill="auto"/>
            <w:vAlign w:val="center"/>
          </w:tcPr>
          <w:p w14:paraId="2EEE0F40" w14:textId="77777777" w:rsidR="004A0123" w:rsidRPr="00640447" w:rsidRDefault="004A0123" w:rsidP="008A5C11">
            <w:pPr>
              <w:jc w:val="center"/>
              <w:rPr>
                <w:sz w:val="13"/>
                <w:szCs w:val="13"/>
              </w:rPr>
            </w:pPr>
            <w:r w:rsidRPr="00640447">
              <w:rPr>
                <w:sz w:val="13"/>
                <w:szCs w:val="13"/>
              </w:rPr>
              <w:t>2025</w:t>
            </w:r>
          </w:p>
        </w:tc>
        <w:tc>
          <w:tcPr>
            <w:tcW w:w="184" w:type="pct"/>
            <w:tcBorders>
              <w:top w:val="nil"/>
              <w:left w:val="nil"/>
              <w:bottom w:val="single" w:sz="4" w:space="0" w:color="auto"/>
              <w:right w:val="single" w:sz="4" w:space="0" w:color="auto"/>
            </w:tcBorders>
            <w:shd w:val="clear" w:color="auto" w:fill="auto"/>
            <w:vAlign w:val="center"/>
          </w:tcPr>
          <w:p w14:paraId="7DCBDDA4" w14:textId="77777777" w:rsidR="004A0123" w:rsidRPr="00640447" w:rsidRDefault="004A0123" w:rsidP="008A5C11">
            <w:pPr>
              <w:jc w:val="center"/>
              <w:rPr>
                <w:sz w:val="13"/>
                <w:szCs w:val="13"/>
              </w:rPr>
            </w:pPr>
            <w:r w:rsidRPr="00640447">
              <w:rPr>
                <w:sz w:val="13"/>
                <w:szCs w:val="13"/>
              </w:rPr>
              <w:t>2026</w:t>
            </w:r>
          </w:p>
        </w:tc>
        <w:tc>
          <w:tcPr>
            <w:tcW w:w="180" w:type="pct"/>
            <w:tcBorders>
              <w:top w:val="nil"/>
              <w:left w:val="nil"/>
              <w:bottom w:val="single" w:sz="4" w:space="0" w:color="auto"/>
              <w:right w:val="single" w:sz="4" w:space="0" w:color="auto"/>
            </w:tcBorders>
            <w:shd w:val="clear" w:color="auto" w:fill="auto"/>
            <w:vAlign w:val="center"/>
          </w:tcPr>
          <w:p w14:paraId="1102E327" w14:textId="77777777" w:rsidR="004A0123" w:rsidRPr="00640447" w:rsidRDefault="004A0123" w:rsidP="008A5C11">
            <w:pPr>
              <w:jc w:val="center"/>
              <w:rPr>
                <w:sz w:val="13"/>
                <w:szCs w:val="13"/>
              </w:rPr>
            </w:pPr>
            <w:r w:rsidRPr="00640447">
              <w:rPr>
                <w:sz w:val="13"/>
                <w:szCs w:val="13"/>
              </w:rPr>
              <w:t>274418</w:t>
            </w:r>
          </w:p>
        </w:tc>
        <w:tc>
          <w:tcPr>
            <w:tcW w:w="187" w:type="pct"/>
            <w:tcBorders>
              <w:top w:val="nil"/>
              <w:left w:val="nil"/>
              <w:bottom w:val="single" w:sz="4" w:space="0" w:color="auto"/>
              <w:right w:val="single" w:sz="4" w:space="0" w:color="auto"/>
            </w:tcBorders>
            <w:shd w:val="clear" w:color="auto" w:fill="auto"/>
            <w:vAlign w:val="center"/>
          </w:tcPr>
          <w:p w14:paraId="36D10B56" w14:textId="77777777" w:rsidR="004A0123" w:rsidRPr="00640447" w:rsidRDefault="004A0123" w:rsidP="008A5C11">
            <w:pPr>
              <w:jc w:val="center"/>
              <w:rPr>
                <w:sz w:val="13"/>
                <w:szCs w:val="13"/>
              </w:rPr>
            </w:pPr>
            <w:r w:rsidRPr="00640447">
              <w:rPr>
                <w:sz w:val="13"/>
                <w:szCs w:val="13"/>
              </w:rPr>
              <w:t>0</w:t>
            </w:r>
          </w:p>
        </w:tc>
        <w:tc>
          <w:tcPr>
            <w:tcW w:w="146" w:type="pct"/>
            <w:tcBorders>
              <w:top w:val="nil"/>
              <w:left w:val="single" w:sz="4" w:space="0" w:color="auto"/>
              <w:bottom w:val="single" w:sz="4" w:space="0" w:color="auto"/>
              <w:right w:val="single" w:sz="4" w:space="0" w:color="auto"/>
            </w:tcBorders>
            <w:shd w:val="clear" w:color="auto" w:fill="auto"/>
            <w:vAlign w:val="center"/>
          </w:tcPr>
          <w:p w14:paraId="0CACB69D" w14:textId="77777777" w:rsidR="004A0123" w:rsidRPr="00640447" w:rsidRDefault="004A0123" w:rsidP="008A5C11">
            <w:pPr>
              <w:jc w:val="center"/>
              <w:rPr>
                <w:sz w:val="13"/>
                <w:szCs w:val="13"/>
              </w:rPr>
            </w:pPr>
            <w:r w:rsidRPr="00640447">
              <w:rPr>
                <w:sz w:val="13"/>
                <w:szCs w:val="13"/>
              </w:rPr>
              <w:t>0</w:t>
            </w:r>
          </w:p>
        </w:tc>
        <w:tc>
          <w:tcPr>
            <w:tcW w:w="149" w:type="pct"/>
            <w:tcBorders>
              <w:top w:val="nil"/>
              <w:left w:val="nil"/>
              <w:bottom w:val="single" w:sz="4" w:space="0" w:color="auto"/>
              <w:right w:val="single" w:sz="4" w:space="0" w:color="auto"/>
            </w:tcBorders>
            <w:shd w:val="clear" w:color="auto" w:fill="auto"/>
            <w:vAlign w:val="center"/>
          </w:tcPr>
          <w:p w14:paraId="58E66CBE" w14:textId="77777777" w:rsidR="004A0123" w:rsidRPr="00640447" w:rsidRDefault="004A0123" w:rsidP="008A5C11">
            <w:pPr>
              <w:jc w:val="center"/>
              <w:rPr>
                <w:sz w:val="13"/>
                <w:szCs w:val="13"/>
              </w:rPr>
            </w:pPr>
            <w:r w:rsidRPr="00640447">
              <w:rPr>
                <w:sz w:val="13"/>
                <w:szCs w:val="13"/>
              </w:rPr>
              <w:t>0</w:t>
            </w:r>
          </w:p>
        </w:tc>
        <w:tc>
          <w:tcPr>
            <w:tcW w:w="183" w:type="pct"/>
            <w:tcBorders>
              <w:top w:val="nil"/>
              <w:left w:val="nil"/>
              <w:bottom w:val="single" w:sz="4" w:space="0" w:color="auto"/>
              <w:right w:val="single" w:sz="4" w:space="0" w:color="auto"/>
            </w:tcBorders>
            <w:shd w:val="clear" w:color="auto" w:fill="auto"/>
            <w:vAlign w:val="center"/>
          </w:tcPr>
          <w:p w14:paraId="1AE68859" w14:textId="77777777" w:rsidR="004A0123" w:rsidRPr="00640447" w:rsidRDefault="004A0123" w:rsidP="008A5C11">
            <w:pPr>
              <w:jc w:val="center"/>
              <w:rPr>
                <w:sz w:val="13"/>
                <w:szCs w:val="13"/>
              </w:rPr>
            </w:pPr>
            <w:r w:rsidRPr="00640447">
              <w:rPr>
                <w:sz w:val="13"/>
                <w:szCs w:val="13"/>
              </w:rPr>
              <w:t>0</w:t>
            </w:r>
          </w:p>
        </w:tc>
        <w:tc>
          <w:tcPr>
            <w:tcW w:w="183" w:type="pct"/>
            <w:tcBorders>
              <w:top w:val="nil"/>
              <w:left w:val="nil"/>
              <w:bottom w:val="single" w:sz="4" w:space="0" w:color="auto"/>
              <w:right w:val="single" w:sz="4" w:space="0" w:color="auto"/>
            </w:tcBorders>
            <w:shd w:val="clear" w:color="auto" w:fill="auto"/>
            <w:vAlign w:val="center"/>
          </w:tcPr>
          <w:p w14:paraId="19097136" w14:textId="77777777" w:rsidR="004A0123" w:rsidRPr="00640447" w:rsidRDefault="004A0123" w:rsidP="008A5C11">
            <w:pPr>
              <w:jc w:val="center"/>
              <w:rPr>
                <w:sz w:val="13"/>
                <w:szCs w:val="13"/>
              </w:rPr>
            </w:pPr>
            <w:r w:rsidRPr="00640447">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1A48E4E9" w14:textId="77777777" w:rsidR="004A0123" w:rsidRPr="00640447" w:rsidRDefault="004A0123" w:rsidP="008A5C11">
            <w:pPr>
              <w:jc w:val="center"/>
              <w:rPr>
                <w:sz w:val="13"/>
                <w:szCs w:val="13"/>
              </w:rPr>
            </w:pPr>
            <w:r w:rsidRPr="00640447">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79826C46" w14:textId="77777777" w:rsidR="004A0123" w:rsidRPr="00640447" w:rsidRDefault="004A0123" w:rsidP="008A5C11">
            <w:pPr>
              <w:jc w:val="center"/>
              <w:rPr>
                <w:sz w:val="13"/>
                <w:szCs w:val="13"/>
              </w:rPr>
            </w:pPr>
            <w:r w:rsidRPr="00640447">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1B80AB06" w14:textId="77777777" w:rsidR="004A0123" w:rsidRPr="00640447" w:rsidRDefault="004A0123" w:rsidP="008A5C11">
            <w:pPr>
              <w:jc w:val="center"/>
              <w:rPr>
                <w:sz w:val="13"/>
                <w:szCs w:val="13"/>
              </w:rPr>
            </w:pPr>
            <w:r w:rsidRPr="00640447">
              <w:rPr>
                <w:sz w:val="13"/>
                <w:szCs w:val="13"/>
              </w:rPr>
              <w:t>89934</w:t>
            </w:r>
          </w:p>
        </w:tc>
        <w:tc>
          <w:tcPr>
            <w:tcW w:w="174" w:type="pct"/>
            <w:tcBorders>
              <w:top w:val="single" w:sz="4" w:space="0" w:color="auto"/>
              <w:left w:val="single" w:sz="4" w:space="0" w:color="auto"/>
              <w:bottom w:val="single" w:sz="4" w:space="0" w:color="auto"/>
              <w:right w:val="single" w:sz="4" w:space="0" w:color="auto"/>
            </w:tcBorders>
            <w:vAlign w:val="center"/>
          </w:tcPr>
          <w:p w14:paraId="322DC6BE" w14:textId="77777777" w:rsidR="004A0123" w:rsidRPr="00640447" w:rsidRDefault="004A0123" w:rsidP="008A5C11">
            <w:pPr>
              <w:jc w:val="center"/>
              <w:rPr>
                <w:sz w:val="13"/>
                <w:szCs w:val="13"/>
              </w:rPr>
            </w:pPr>
            <w:r w:rsidRPr="00640447">
              <w:rPr>
                <w:sz w:val="13"/>
                <w:szCs w:val="13"/>
              </w:rPr>
              <w:t>184484</w:t>
            </w:r>
          </w:p>
        </w:tc>
        <w:tc>
          <w:tcPr>
            <w:tcW w:w="156" w:type="pct"/>
            <w:tcBorders>
              <w:top w:val="single" w:sz="4" w:space="0" w:color="auto"/>
              <w:left w:val="single" w:sz="4" w:space="0" w:color="auto"/>
              <w:bottom w:val="single" w:sz="4" w:space="0" w:color="auto"/>
              <w:right w:val="single" w:sz="4" w:space="0" w:color="auto"/>
            </w:tcBorders>
            <w:vAlign w:val="center"/>
          </w:tcPr>
          <w:p w14:paraId="212E3E64" w14:textId="77777777" w:rsidR="004A0123" w:rsidRPr="00640447" w:rsidRDefault="004A0123" w:rsidP="008A5C11">
            <w:pPr>
              <w:jc w:val="center"/>
              <w:rPr>
                <w:sz w:val="13"/>
                <w:szCs w:val="13"/>
              </w:rPr>
            </w:pPr>
            <w:r w:rsidRPr="00640447">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061C543B" w14:textId="77777777" w:rsidR="004A0123" w:rsidRPr="00640447" w:rsidRDefault="004A0123" w:rsidP="008A5C11">
            <w:pPr>
              <w:jc w:val="center"/>
              <w:rPr>
                <w:sz w:val="13"/>
                <w:szCs w:val="13"/>
              </w:rPr>
            </w:pPr>
            <w:r w:rsidRPr="00640447">
              <w:rPr>
                <w:sz w:val="13"/>
                <w:szCs w:val="13"/>
              </w:rPr>
              <w:t>0</w:t>
            </w:r>
          </w:p>
        </w:tc>
        <w:tc>
          <w:tcPr>
            <w:tcW w:w="188" w:type="pct"/>
            <w:tcBorders>
              <w:top w:val="single" w:sz="4" w:space="0" w:color="auto"/>
              <w:left w:val="single" w:sz="4" w:space="0" w:color="auto"/>
              <w:bottom w:val="single" w:sz="4" w:space="0" w:color="auto"/>
              <w:right w:val="single" w:sz="4" w:space="0" w:color="auto"/>
            </w:tcBorders>
            <w:vAlign w:val="center"/>
          </w:tcPr>
          <w:p w14:paraId="07D7FD01" w14:textId="77777777" w:rsidR="004A0123" w:rsidRPr="00640447" w:rsidRDefault="004A0123" w:rsidP="008A5C11">
            <w:pPr>
              <w:jc w:val="center"/>
              <w:rPr>
                <w:sz w:val="13"/>
                <w:szCs w:val="13"/>
              </w:rPr>
            </w:pPr>
            <w:r w:rsidRPr="00640447">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0411D13B" w14:textId="77777777" w:rsidR="004A0123" w:rsidRPr="00640447" w:rsidRDefault="004A0123" w:rsidP="008A5C11">
            <w:pPr>
              <w:jc w:val="center"/>
              <w:rPr>
                <w:sz w:val="13"/>
                <w:szCs w:val="13"/>
              </w:rPr>
            </w:pPr>
            <w:r w:rsidRPr="00640447">
              <w:rPr>
                <w:sz w:val="13"/>
                <w:szCs w:val="13"/>
              </w:rPr>
              <w:t>0</w:t>
            </w:r>
          </w:p>
        </w:tc>
      </w:tr>
      <w:tr w:rsidR="004A0123" w:rsidRPr="00640447" w14:paraId="69DB22A0" w14:textId="77777777" w:rsidTr="008A5C11">
        <w:trPr>
          <w:trHeight w:val="489"/>
        </w:trPr>
        <w:tc>
          <w:tcPr>
            <w:tcW w:w="146" w:type="pct"/>
            <w:shd w:val="clear" w:color="auto" w:fill="auto"/>
            <w:vAlign w:val="center"/>
          </w:tcPr>
          <w:p w14:paraId="6AD7ADB0" w14:textId="77777777" w:rsidR="004A0123" w:rsidRPr="00640447" w:rsidRDefault="004A0123" w:rsidP="008A5C11">
            <w:pPr>
              <w:jc w:val="center"/>
              <w:rPr>
                <w:sz w:val="13"/>
                <w:szCs w:val="13"/>
              </w:rPr>
            </w:pPr>
            <w:r w:rsidRPr="00640447">
              <w:rPr>
                <w:sz w:val="13"/>
                <w:szCs w:val="13"/>
              </w:rPr>
              <w:t>3.2.6.</w:t>
            </w:r>
          </w:p>
        </w:tc>
        <w:tc>
          <w:tcPr>
            <w:tcW w:w="616" w:type="pct"/>
            <w:tcBorders>
              <w:top w:val="nil"/>
              <w:left w:val="single" w:sz="4" w:space="0" w:color="auto"/>
              <w:bottom w:val="single" w:sz="4" w:space="0" w:color="auto"/>
              <w:right w:val="single" w:sz="4" w:space="0" w:color="auto"/>
            </w:tcBorders>
            <w:shd w:val="clear" w:color="auto" w:fill="auto"/>
            <w:vAlign w:val="center"/>
          </w:tcPr>
          <w:p w14:paraId="6F2F28BA" w14:textId="77777777" w:rsidR="004A0123" w:rsidRPr="00640447" w:rsidRDefault="004A0123" w:rsidP="008A5C11">
            <w:pPr>
              <w:rPr>
                <w:color w:val="000000"/>
                <w:sz w:val="13"/>
                <w:szCs w:val="13"/>
              </w:rPr>
            </w:pPr>
            <w:r w:rsidRPr="00640447">
              <w:rPr>
                <w:color w:val="000000"/>
                <w:sz w:val="13"/>
                <w:szCs w:val="13"/>
              </w:rPr>
              <w:t>Котельная «КСК». Проектирование и установка системы газоочистки</w:t>
            </w:r>
          </w:p>
        </w:tc>
        <w:tc>
          <w:tcPr>
            <w:tcW w:w="359" w:type="pct"/>
            <w:tcBorders>
              <w:top w:val="nil"/>
              <w:left w:val="nil"/>
              <w:bottom w:val="single" w:sz="4" w:space="0" w:color="auto"/>
              <w:right w:val="single" w:sz="4" w:space="0" w:color="auto"/>
            </w:tcBorders>
            <w:shd w:val="clear" w:color="auto" w:fill="auto"/>
            <w:vAlign w:val="center"/>
          </w:tcPr>
          <w:p w14:paraId="7F3A6812" w14:textId="77777777" w:rsidR="004A0123" w:rsidRPr="00640447" w:rsidRDefault="004A0123" w:rsidP="008A5C11">
            <w:pPr>
              <w:jc w:val="center"/>
              <w:rPr>
                <w:color w:val="000000"/>
                <w:sz w:val="13"/>
                <w:szCs w:val="13"/>
              </w:rPr>
            </w:pPr>
            <w:r w:rsidRPr="00640447">
              <w:rPr>
                <w:color w:val="000000"/>
                <w:sz w:val="13"/>
                <w:szCs w:val="13"/>
              </w:rPr>
              <w:t>Повышение надежности теплоснабжения</w:t>
            </w:r>
          </w:p>
        </w:tc>
        <w:tc>
          <w:tcPr>
            <w:tcW w:w="360" w:type="pct"/>
            <w:tcBorders>
              <w:top w:val="nil"/>
              <w:left w:val="nil"/>
              <w:bottom w:val="single" w:sz="4" w:space="0" w:color="auto"/>
              <w:right w:val="single" w:sz="4" w:space="0" w:color="auto"/>
            </w:tcBorders>
            <w:shd w:val="clear" w:color="auto" w:fill="auto"/>
            <w:vAlign w:val="center"/>
          </w:tcPr>
          <w:p w14:paraId="7EB76828" w14:textId="77777777" w:rsidR="004A0123" w:rsidRPr="00640447" w:rsidRDefault="004A0123" w:rsidP="008A5C11">
            <w:pPr>
              <w:jc w:val="center"/>
              <w:rPr>
                <w:color w:val="000000"/>
                <w:sz w:val="13"/>
                <w:szCs w:val="13"/>
              </w:rPr>
            </w:pPr>
            <w:r w:rsidRPr="00640447">
              <w:rPr>
                <w:color w:val="000000"/>
                <w:sz w:val="13"/>
                <w:szCs w:val="13"/>
              </w:rPr>
              <w:t xml:space="preserve">г. Ленинск-Кузнецкий, </w:t>
            </w:r>
          </w:p>
          <w:p w14:paraId="5D23BCD7" w14:textId="77777777" w:rsidR="004A0123" w:rsidRPr="00640447" w:rsidRDefault="004A0123" w:rsidP="008A5C11">
            <w:pPr>
              <w:jc w:val="center"/>
              <w:rPr>
                <w:color w:val="000000"/>
                <w:sz w:val="13"/>
                <w:szCs w:val="13"/>
              </w:rPr>
            </w:pPr>
            <w:r w:rsidRPr="00640447">
              <w:rPr>
                <w:color w:val="000000"/>
                <w:sz w:val="13"/>
                <w:szCs w:val="13"/>
              </w:rPr>
              <w:t>ул. Телефонная, 9</w:t>
            </w:r>
          </w:p>
        </w:tc>
        <w:tc>
          <w:tcPr>
            <w:tcW w:w="338" w:type="pct"/>
            <w:tcBorders>
              <w:top w:val="nil"/>
              <w:left w:val="nil"/>
              <w:bottom w:val="single" w:sz="4" w:space="0" w:color="auto"/>
              <w:right w:val="single" w:sz="4" w:space="0" w:color="auto"/>
            </w:tcBorders>
            <w:shd w:val="clear" w:color="auto" w:fill="auto"/>
            <w:vAlign w:val="center"/>
          </w:tcPr>
          <w:p w14:paraId="3F107D1D" w14:textId="77777777" w:rsidR="004A0123" w:rsidRPr="00640447" w:rsidRDefault="004A0123" w:rsidP="008A5C11">
            <w:pPr>
              <w:jc w:val="center"/>
              <w:rPr>
                <w:sz w:val="13"/>
                <w:szCs w:val="13"/>
              </w:rPr>
            </w:pPr>
            <w:proofErr w:type="gramStart"/>
            <w:r w:rsidRPr="00640447">
              <w:rPr>
                <w:sz w:val="13"/>
                <w:szCs w:val="13"/>
              </w:rPr>
              <w:t>Производитель-ность</w:t>
            </w:r>
            <w:proofErr w:type="gramEnd"/>
          </w:p>
        </w:tc>
        <w:tc>
          <w:tcPr>
            <w:tcW w:w="116" w:type="pct"/>
            <w:tcBorders>
              <w:top w:val="nil"/>
              <w:left w:val="nil"/>
              <w:bottom w:val="single" w:sz="4" w:space="0" w:color="auto"/>
              <w:right w:val="single" w:sz="4" w:space="0" w:color="auto"/>
            </w:tcBorders>
            <w:shd w:val="clear" w:color="auto" w:fill="auto"/>
            <w:vAlign w:val="center"/>
          </w:tcPr>
          <w:p w14:paraId="769CA8C9" w14:textId="77777777" w:rsidR="004A0123" w:rsidRPr="00640447" w:rsidRDefault="004A0123" w:rsidP="008A5C11">
            <w:pPr>
              <w:jc w:val="center"/>
              <w:rPr>
                <w:sz w:val="13"/>
                <w:szCs w:val="13"/>
              </w:rPr>
            </w:pPr>
            <w:r w:rsidRPr="00640447">
              <w:rPr>
                <w:sz w:val="13"/>
                <w:szCs w:val="13"/>
              </w:rPr>
              <w:t>м</w:t>
            </w:r>
            <w:r w:rsidRPr="00640447">
              <w:rPr>
                <w:sz w:val="13"/>
                <w:szCs w:val="13"/>
                <w:vertAlign w:val="superscript"/>
              </w:rPr>
              <w:t>3</w:t>
            </w:r>
            <w:r w:rsidRPr="00640447">
              <w:rPr>
                <w:sz w:val="13"/>
                <w:szCs w:val="13"/>
              </w:rPr>
              <w:t>/с</w:t>
            </w:r>
          </w:p>
        </w:tc>
        <w:tc>
          <w:tcPr>
            <w:tcW w:w="182" w:type="pct"/>
            <w:tcBorders>
              <w:top w:val="nil"/>
              <w:left w:val="single" w:sz="4" w:space="0" w:color="auto"/>
              <w:bottom w:val="single" w:sz="4" w:space="0" w:color="auto"/>
              <w:right w:val="single" w:sz="4" w:space="0" w:color="auto"/>
            </w:tcBorders>
            <w:shd w:val="clear" w:color="auto" w:fill="auto"/>
            <w:vAlign w:val="center"/>
          </w:tcPr>
          <w:p w14:paraId="73040C65" w14:textId="77777777" w:rsidR="004A0123" w:rsidRPr="00640447" w:rsidRDefault="004A0123" w:rsidP="008A5C11">
            <w:pPr>
              <w:jc w:val="center"/>
              <w:rPr>
                <w:sz w:val="13"/>
                <w:szCs w:val="13"/>
              </w:rPr>
            </w:pPr>
            <w:r w:rsidRPr="00640447">
              <w:rPr>
                <w:sz w:val="13"/>
                <w:szCs w:val="13"/>
              </w:rPr>
              <w:t>22</w:t>
            </w:r>
          </w:p>
        </w:tc>
        <w:tc>
          <w:tcPr>
            <w:tcW w:w="174" w:type="pct"/>
            <w:tcBorders>
              <w:top w:val="nil"/>
              <w:left w:val="nil"/>
              <w:bottom w:val="single" w:sz="4" w:space="0" w:color="auto"/>
              <w:right w:val="single" w:sz="4" w:space="0" w:color="auto"/>
            </w:tcBorders>
            <w:shd w:val="clear" w:color="auto" w:fill="auto"/>
            <w:vAlign w:val="center"/>
          </w:tcPr>
          <w:p w14:paraId="7D5C75C0" w14:textId="77777777" w:rsidR="004A0123" w:rsidRPr="00640447" w:rsidRDefault="004A0123" w:rsidP="008A5C11">
            <w:pPr>
              <w:jc w:val="center"/>
              <w:rPr>
                <w:sz w:val="13"/>
                <w:szCs w:val="13"/>
              </w:rPr>
            </w:pPr>
            <w:r w:rsidRPr="00640447">
              <w:rPr>
                <w:sz w:val="13"/>
                <w:szCs w:val="13"/>
              </w:rPr>
              <w:t>22</w:t>
            </w:r>
          </w:p>
        </w:tc>
        <w:tc>
          <w:tcPr>
            <w:tcW w:w="189" w:type="pct"/>
            <w:tcBorders>
              <w:top w:val="nil"/>
              <w:left w:val="nil"/>
              <w:bottom w:val="single" w:sz="4" w:space="0" w:color="auto"/>
              <w:right w:val="single" w:sz="4" w:space="0" w:color="auto"/>
            </w:tcBorders>
            <w:shd w:val="clear" w:color="auto" w:fill="auto"/>
            <w:vAlign w:val="center"/>
          </w:tcPr>
          <w:p w14:paraId="5F1E38B7" w14:textId="77777777" w:rsidR="004A0123" w:rsidRPr="00640447" w:rsidRDefault="004A0123" w:rsidP="008A5C11">
            <w:pPr>
              <w:jc w:val="center"/>
              <w:rPr>
                <w:sz w:val="13"/>
                <w:szCs w:val="13"/>
              </w:rPr>
            </w:pPr>
            <w:r w:rsidRPr="00640447">
              <w:rPr>
                <w:sz w:val="13"/>
                <w:szCs w:val="13"/>
              </w:rPr>
              <w:t>2019</w:t>
            </w:r>
          </w:p>
        </w:tc>
        <w:tc>
          <w:tcPr>
            <w:tcW w:w="184" w:type="pct"/>
            <w:tcBorders>
              <w:top w:val="nil"/>
              <w:left w:val="nil"/>
              <w:bottom w:val="single" w:sz="4" w:space="0" w:color="auto"/>
              <w:right w:val="single" w:sz="4" w:space="0" w:color="auto"/>
            </w:tcBorders>
            <w:shd w:val="clear" w:color="auto" w:fill="auto"/>
            <w:vAlign w:val="center"/>
          </w:tcPr>
          <w:p w14:paraId="2572A8F6" w14:textId="77777777" w:rsidR="004A0123" w:rsidRPr="00640447" w:rsidRDefault="004A0123" w:rsidP="008A5C11">
            <w:pPr>
              <w:jc w:val="center"/>
              <w:rPr>
                <w:sz w:val="13"/>
                <w:szCs w:val="13"/>
              </w:rPr>
            </w:pPr>
            <w:r w:rsidRPr="00640447">
              <w:rPr>
                <w:sz w:val="13"/>
                <w:szCs w:val="13"/>
              </w:rPr>
              <w:t>2021</w:t>
            </w:r>
          </w:p>
        </w:tc>
        <w:tc>
          <w:tcPr>
            <w:tcW w:w="180" w:type="pct"/>
            <w:tcBorders>
              <w:top w:val="nil"/>
              <w:left w:val="nil"/>
              <w:bottom w:val="single" w:sz="4" w:space="0" w:color="auto"/>
              <w:right w:val="single" w:sz="4" w:space="0" w:color="auto"/>
            </w:tcBorders>
            <w:shd w:val="clear" w:color="auto" w:fill="auto"/>
            <w:vAlign w:val="center"/>
          </w:tcPr>
          <w:p w14:paraId="3AC8AF19" w14:textId="77777777" w:rsidR="004A0123" w:rsidRPr="00640447" w:rsidRDefault="004A0123" w:rsidP="008A5C11">
            <w:pPr>
              <w:jc w:val="center"/>
              <w:rPr>
                <w:sz w:val="13"/>
                <w:szCs w:val="13"/>
              </w:rPr>
            </w:pPr>
            <w:r w:rsidRPr="00640447">
              <w:rPr>
                <w:sz w:val="13"/>
                <w:szCs w:val="13"/>
              </w:rPr>
              <w:t>18481</w:t>
            </w:r>
          </w:p>
        </w:tc>
        <w:tc>
          <w:tcPr>
            <w:tcW w:w="187" w:type="pct"/>
            <w:tcBorders>
              <w:top w:val="nil"/>
              <w:left w:val="nil"/>
              <w:bottom w:val="single" w:sz="4" w:space="0" w:color="auto"/>
              <w:right w:val="single" w:sz="4" w:space="0" w:color="auto"/>
            </w:tcBorders>
            <w:shd w:val="clear" w:color="auto" w:fill="auto"/>
            <w:vAlign w:val="center"/>
          </w:tcPr>
          <w:p w14:paraId="3FF221BB" w14:textId="77777777" w:rsidR="004A0123" w:rsidRPr="00640447" w:rsidRDefault="004A0123" w:rsidP="008A5C11">
            <w:pPr>
              <w:jc w:val="center"/>
              <w:rPr>
                <w:sz w:val="13"/>
                <w:szCs w:val="13"/>
              </w:rPr>
            </w:pPr>
            <w:r w:rsidRPr="00640447">
              <w:rPr>
                <w:sz w:val="13"/>
                <w:szCs w:val="13"/>
              </w:rPr>
              <w:t>0</w:t>
            </w:r>
          </w:p>
        </w:tc>
        <w:tc>
          <w:tcPr>
            <w:tcW w:w="146" w:type="pct"/>
            <w:tcBorders>
              <w:top w:val="nil"/>
              <w:left w:val="single" w:sz="4" w:space="0" w:color="auto"/>
              <w:bottom w:val="single" w:sz="4" w:space="0" w:color="auto"/>
              <w:right w:val="single" w:sz="4" w:space="0" w:color="auto"/>
            </w:tcBorders>
            <w:shd w:val="clear" w:color="auto" w:fill="auto"/>
            <w:vAlign w:val="center"/>
          </w:tcPr>
          <w:p w14:paraId="4704DFFF" w14:textId="77777777" w:rsidR="004A0123" w:rsidRPr="00640447" w:rsidRDefault="004A0123" w:rsidP="008A5C11">
            <w:pPr>
              <w:jc w:val="center"/>
              <w:rPr>
                <w:sz w:val="13"/>
                <w:szCs w:val="13"/>
              </w:rPr>
            </w:pPr>
            <w:r w:rsidRPr="00640447">
              <w:rPr>
                <w:sz w:val="13"/>
                <w:szCs w:val="13"/>
              </w:rPr>
              <w:t>18200</w:t>
            </w:r>
          </w:p>
        </w:tc>
        <w:tc>
          <w:tcPr>
            <w:tcW w:w="149" w:type="pct"/>
            <w:tcBorders>
              <w:top w:val="nil"/>
              <w:left w:val="nil"/>
              <w:bottom w:val="single" w:sz="4" w:space="0" w:color="auto"/>
              <w:right w:val="single" w:sz="4" w:space="0" w:color="auto"/>
            </w:tcBorders>
            <w:shd w:val="clear" w:color="auto" w:fill="auto"/>
            <w:vAlign w:val="center"/>
          </w:tcPr>
          <w:p w14:paraId="2112040B" w14:textId="77777777" w:rsidR="004A0123" w:rsidRPr="00640447" w:rsidRDefault="004A0123" w:rsidP="008A5C11">
            <w:pPr>
              <w:jc w:val="center"/>
              <w:rPr>
                <w:sz w:val="13"/>
                <w:szCs w:val="13"/>
              </w:rPr>
            </w:pPr>
            <w:r w:rsidRPr="00640447">
              <w:rPr>
                <w:sz w:val="13"/>
                <w:szCs w:val="13"/>
              </w:rPr>
              <w:t>0</w:t>
            </w:r>
          </w:p>
        </w:tc>
        <w:tc>
          <w:tcPr>
            <w:tcW w:w="183" w:type="pct"/>
            <w:tcBorders>
              <w:top w:val="nil"/>
              <w:left w:val="nil"/>
              <w:bottom w:val="single" w:sz="4" w:space="0" w:color="auto"/>
              <w:right w:val="single" w:sz="4" w:space="0" w:color="auto"/>
            </w:tcBorders>
            <w:shd w:val="clear" w:color="auto" w:fill="auto"/>
            <w:vAlign w:val="center"/>
          </w:tcPr>
          <w:p w14:paraId="4B31DBA2" w14:textId="77777777" w:rsidR="004A0123" w:rsidRPr="00640447" w:rsidRDefault="004A0123" w:rsidP="008A5C11">
            <w:pPr>
              <w:jc w:val="center"/>
              <w:rPr>
                <w:sz w:val="13"/>
                <w:szCs w:val="13"/>
              </w:rPr>
            </w:pPr>
            <w:r w:rsidRPr="00640447">
              <w:rPr>
                <w:sz w:val="13"/>
                <w:szCs w:val="13"/>
              </w:rPr>
              <w:t>281</w:t>
            </w:r>
          </w:p>
        </w:tc>
        <w:tc>
          <w:tcPr>
            <w:tcW w:w="183" w:type="pct"/>
            <w:tcBorders>
              <w:top w:val="nil"/>
              <w:left w:val="nil"/>
              <w:bottom w:val="single" w:sz="4" w:space="0" w:color="auto"/>
              <w:right w:val="single" w:sz="4" w:space="0" w:color="auto"/>
            </w:tcBorders>
            <w:shd w:val="clear" w:color="auto" w:fill="auto"/>
            <w:vAlign w:val="center"/>
          </w:tcPr>
          <w:p w14:paraId="52C3B42F" w14:textId="77777777" w:rsidR="004A0123" w:rsidRPr="00640447" w:rsidRDefault="004A0123" w:rsidP="008A5C11">
            <w:pPr>
              <w:jc w:val="center"/>
              <w:rPr>
                <w:sz w:val="13"/>
                <w:szCs w:val="13"/>
              </w:rPr>
            </w:pPr>
            <w:r w:rsidRPr="00640447">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38E46337" w14:textId="77777777" w:rsidR="004A0123" w:rsidRPr="00640447" w:rsidRDefault="004A0123" w:rsidP="008A5C11">
            <w:pPr>
              <w:jc w:val="center"/>
              <w:rPr>
                <w:sz w:val="13"/>
                <w:szCs w:val="13"/>
              </w:rPr>
            </w:pPr>
            <w:r w:rsidRPr="00640447">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2CBEFD4A" w14:textId="77777777" w:rsidR="004A0123" w:rsidRPr="00640447" w:rsidRDefault="004A0123" w:rsidP="008A5C11">
            <w:pPr>
              <w:jc w:val="center"/>
              <w:rPr>
                <w:sz w:val="13"/>
                <w:szCs w:val="13"/>
              </w:rPr>
            </w:pPr>
            <w:r w:rsidRPr="00640447">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3607BE39" w14:textId="77777777" w:rsidR="004A0123" w:rsidRPr="00640447" w:rsidRDefault="004A0123" w:rsidP="008A5C11">
            <w:pPr>
              <w:jc w:val="center"/>
              <w:rPr>
                <w:sz w:val="13"/>
                <w:szCs w:val="13"/>
              </w:rPr>
            </w:pPr>
            <w:r w:rsidRPr="00640447">
              <w:rPr>
                <w:sz w:val="13"/>
                <w:szCs w:val="13"/>
              </w:rPr>
              <w:t>0</w:t>
            </w:r>
          </w:p>
        </w:tc>
        <w:tc>
          <w:tcPr>
            <w:tcW w:w="174" w:type="pct"/>
            <w:tcBorders>
              <w:top w:val="single" w:sz="4" w:space="0" w:color="auto"/>
              <w:left w:val="single" w:sz="4" w:space="0" w:color="auto"/>
              <w:bottom w:val="single" w:sz="4" w:space="0" w:color="auto"/>
              <w:right w:val="single" w:sz="4" w:space="0" w:color="auto"/>
            </w:tcBorders>
            <w:vAlign w:val="center"/>
          </w:tcPr>
          <w:p w14:paraId="62196F57" w14:textId="77777777" w:rsidR="004A0123" w:rsidRPr="00640447" w:rsidRDefault="004A0123" w:rsidP="008A5C11">
            <w:pPr>
              <w:jc w:val="center"/>
              <w:rPr>
                <w:sz w:val="13"/>
                <w:szCs w:val="13"/>
              </w:rPr>
            </w:pPr>
            <w:r w:rsidRPr="00640447">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04D14642" w14:textId="77777777" w:rsidR="004A0123" w:rsidRPr="00640447" w:rsidRDefault="004A0123" w:rsidP="008A5C11">
            <w:pPr>
              <w:jc w:val="center"/>
              <w:rPr>
                <w:sz w:val="13"/>
                <w:szCs w:val="13"/>
              </w:rPr>
            </w:pPr>
            <w:r w:rsidRPr="00640447">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6B8109CC" w14:textId="77777777" w:rsidR="004A0123" w:rsidRPr="00640447" w:rsidRDefault="004A0123" w:rsidP="008A5C11">
            <w:pPr>
              <w:jc w:val="center"/>
              <w:rPr>
                <w:sz w:val="13"/>
                <w:szCs w:val="13"/>
              </w:rPr>
            </w:pPr>
            <w:r w:rsidRPr="00640447">
              <w:rPr>
                <w:sz w:val="13"/>
                <w:szCs w:val="13"/>
              </w:rPr>
              <w:t>0</w:t>
            </w:r>
          </w:p>
        </w:tc>
        <w:tc>
          <w:tcPr>
            <w:tcW w:w="188" w:type="pct"/>
            <w:tcBorders>
              <w:top w:val="single" w:sz="4" w:space="0" w:color="auto"/>
              <w:left w:val="single" w:sz="4" w:space="0" w:color="auto"/>
              <w:bottom w:val="single" w:sz="4" w:space="0" w:color="auto"/>
              <w:right w:val="single" w:sz="4" w:space="0" w:color="auto"/>
            </w:tcBorders>
            <w:vAlign w:val="center"/>
          </w:tcPr>
          <w:p w14:paraId="5061BD50" w14:textId="77777777" w:rsidR="004A0123" w:rsidRPr="00640447" w:rsidRDefault="004A0123" w:rsidP="008A5C11">
            <w:pPr>
              <w:jc w:val="center"/>
              <w:rPr>
                <w:sz w:val="13"/>
                <w:szCs w:val="13"/>
              </w:rPr>
            </w:pPr>
            <w:r w:rsidRPr="00640447">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50A8769C" w14:textId="77777777" w:rsidR="004A0123" w:rsidRPr="00640447" w:rsidRDefault="004A0123" w:rsidP="008A5C11">
            <w:pPr>
              <w:jc w:val="center"/>
              <w:rPr>
                <w:sz w:val="13"/>
                <w:szCs w:val="13"/>
              </w:rPr>
            </w:pPr>
            <w:r w:rsidRPr="00640447">
              <w:rPr>
                <w:sz w:val="13"/>
                <w:szCs w:val="13"/>
              </w:rPr>
              <w:t>0</w:t>
            </w:r>
          </w:p>
        </w:tc>
      </w:tr>
      <w:tr w:rsidR="004A0123" w:rsidRPr="00640447" w14:paraId="0087C742" w14:textId="77777777" w:rsidTr="008A5C11">
        <w:trPr>
          <w:trHeight w:val="489"/>
        </w:trPr>
        <w:tc>
          <w:tcPr>
            <w:tcW w:w="146" w:type="pct"/>
            <w:shd w:val="clear" w:color="auto" w:fill="auto"/>
            <w:vAlign w:val="center"/>
          </w:tcPr>
          <w:p w14:paraId="16CC39CE" w14:textId="77777777" w:rsidR="004A0123" w:rsidRPr="00640447" w:rsidRDefault="004A0123" w:rsidP="008A5C11">
            <w:pPr>
              <w:jc w:val="center"/>
              <w:rPr>
                <w:sz w:val="13"/>
                <w:szCs w:val="13"/>
              </w:rPr>
            </w:pPr>
            <w:r w:rsidRPr="00640447">
              <w:rPr>
                <w:sz w:val="13"/>
                <w:szCs w:val="13"/>
              </w:rPr>
              <w:t>3.2.7.</w:t>
            </w:r>
          </w:p>
        </w:tc>
        <w:tc>
          <w:tcPr>
            <w:tcW w:w="616" w:type="pct"/>
            <w:tcBorders>
              <w:top w:val="nil"/>
              <w:left w:val="single" w:sz="4" w:space="0" w:color="auto"/>
              <w:bottom w:val="single" w:sz="4" w:space="0" w:color="auto"/>
              <w:right w:val="single" w:sz="4" w:space="0" w:color="auto"/>
            </w:tcBorders>
            <w:shd w:val="clear" w:color="auto" w:fill="auto"/>
            <w:vAlign w:val="center"/>
          </w:tcPr>
          <w:p w14:paraId="33D259F8" w14:textId="77777777" w:rsidR="004A0123" w:rsidRPr="00640447" w:rsidRDefault="004A0123" w:rsidP="008A5C11">
            <w:pPr>
              <w:rPr>
                <w:color w:val="000000"/>
                <w:sz w:val="13"/>
                <w:szCs w:val="13"/>
              </w:rPr>
            </w:pPr>
            <w:r w:rsidRPr="00640447">
              <w:rPr>
                <w:color w:val="000000"/>
                <w:sz w:val="13"/>
                <w:szCs w:val="13"/>
              </w:rPr>
              <w:t xml:space="preserve">Котельная «Энергетик». Проектирование и реконструкция </w:t>
            </w:r>
            <w:proofErr w:type="gramStart"/>
            <w:r w:rsidRPr="00640447">
              <w:rPr>
                <w:color w:val="000000"/>
                <w:sz w:val="13"/>
                <w:szCs w:val="13"/>
              </w:rPr>
              <w:t>котла  К</w:t>
            </w:r>
            <w:proofErr w:type="gramEnd"/>
            <w:r w:rsidRPr="00640447">
              <w:rPr>
                <w:color w:val="000000"/>
                <w:sz w:val="13"/>
                <w:szCs w:val="13"/>
              </w:rPr>
              <w:t>-50-40/14 № 1 с установкой системы автоматизации.</w:t>
            </w:r>
          </w:p>
        </w:tc>
        <w:tc>
          <w:tcPr>
            <w:tcW w:w="359" w:type="pct"/>
            <w:tcBorders>
              <w:top w:val="nil"/>
              <w:left w:val="nil"/>
              <w:bottom w:val="single" w:sz="4" w:space="0" w:color="auto"/>
              <w:right w:val="single" w:sz="4" w:space="0" w:color="auto"/>
            </w:tcBorders>
            <w:shd w:val="clear" w:color="auto" w:fill="auto"/>
            <w:vAlign w:val="center"/>
          </w:tcPr>
          <w:p w14:paraId="27D25989" w14:textId="77777777" w:rsidR="004A0123" w:rsidRPr="00640447" w:rsidRDefault="004A0123" w:rsidP="008A5C11">
            <w:pPr>
              <w:jc w:val="center"/>
              <w:rPr>
                <w:color w:val="000000"/>
                <w:sz w:val="13"/>
                <w:szCs w:val="13"/>
              </w:rPr>
            </w:pPr>
            <w:r w:rsidRPr="00640447">
              <w:rPr>
                <w:color w:val="000000"/>
                <w:sz w:val="13"/>
                <w:szCs w:val="13"/>
              </w:rPr>
              <w:t>Повышение надежности теплоснабжения</w:t>
            </w:r>
          </w:p>
        </w:tc>
        <w:tc>
          <w:tcPr>
            <w:tcW w:w="360" w:type="pct"/>
            <w:tcBorders>
              <w:top w:val="nil"/>
              <w:left w:val="nil"/>
              <w:bottom w:val="single" w:sz="4" w:space="0" w:color="auto"/>
              <w:right w:val="single" w:sz="4" w:space="0" w:color="auto"/>
            </w:tcBorders>
            <w:shd w:val="clear" w:color="auto" w:fill="auto"/>
            <w:vAlign w:val="center"/>
          </w:tcPr>
          <w:p w14:paraId="4BC19976" w14:textId="77777777" w:rsidR="004A0123" w:rsidRPr="00640447" w:rsidRDefault="004A0123" w:rsidP="008A5C11">
            <w:pPr>
              <w:jc w:val="center"/>
              <w:rPr>
                <w:color w:val="000000"/>
                <w:sz w:val="13"/>
                <w:szCs w:val="13"/>
              </w:rPr>
            </w:pPr>
            <w:r w:rsidRPr="00640447">
              <w:rPr>
                <w:color w:val="000000"/>
                <w:sz w:val="13"/>
                <w:szCs w:val="13"/>
              </w:rPr>
              <w:t xml:space="preserve">г. Ленинск-Кузнецкий, </w:t>
            </w:r>
          </w:p>
          <w:p w14:paraId="5D2922A6" w14:textId="77777777" w:rsidR="004A0123" w:rsidRPr="00640447" w:rsidRDefault="004A0123" w:rsidP="008A5C11">
            <w:pPr>
              <w:jc w:val="center"/>
              <w:rPr>
                <w:color w:val="000000"/>
                <w:sz w:val="13"/>
                <w:szCs w:val="13"/>
              </w:rPr>
            </w:pPr>
            <w:r w:rsidRPr="00640447">
              <w:rPr>
                <w:color w:val="000000"/>
                <w:sz w:val="13"/>
                <w:szCs w:val="13"/>
              </w:rPr>
              <w:t>тер. Северная промзона 4</w:t>
            </w:r>
          </w:p>
        </w:tc>
        <w:tc>
          <w:tcPr>
            <w:tcW w:w="338" w:type="pct"/>
            <w:tcBorders>
              <w:top w:val="nil"/>
              <w:left w:val="nil"/>
              <w:bottom w:val="single" w:sz="4" w:space="0" w:color="auto"/>
              <w:right w:val="single" w:sz="4" w:space="0" w:color="auto"/>
            </w:tcBorders>
            <w:shd w:val="clear" w:color="auto" w:fill="auto"/>
            <w:vAlign w:val="center"/>
          </w:tcPr>
          <w:p w14:paraId="0E2331E5" w14:textId="77777777" w:rsidR="004A0123" w:rsidRPr="00640447" w:rsidRDefault="004A0123" w:rsidP="008A5C11">
            <w:pPr>
              <w:jc w:val="center"/>
              <w:rPr>
                <w:sz w:val="13"/>
                <w:szCs w:val="13"/>
              </w:rPr>
            </w:pPr>
            <w:r w:rsidRPr="00640447">
              <w:rPr>
                <w:sz w:val="13"/>
                <w:szCs w:val="13"/>
              </w:rPr>
              <w:t>Установленная мощность</w:t>
            </w:r>
          </w:p>
        </w:tc>
        <w:tc>
          <w:tcPr>
            <w:tcW w:w="116" w:type="pct"/>
            <w:tcBorders>
              <w:top w:val="nil"/>
              <w:left w:val="nil"/>
              <w:bottom w:val="single" w:sz="4" w:space="0" w:color="auto"/>
              <w:right w:val="single" w:sz="4" w:space="0" w:color="auto"/>
            </w:tcBorders>
            <w:shd w:val="clear" w:color="auto" w:fill="auto"/>
            <w:vAlign w:val="center"/>
          </w:tcPr>
          <w:p w14:paraId="773DCDC5" w14:textId="77777777" w:rsidR="004A0123" w:rsidRPr="00640447" w:rsidRDefault="004A0123" w:rsidP="008A5C11">
            <w:pPr>
              <w:jc w:val="center"/>
              <w:rPr>
                <w:sz w:val="13"/>
                <w:szCs w:val="13"/>
              </w:rPr>
            </w:pPr>
            <w:r w:rsidRPr="00640447">
              <w:rPr>
                <w:sz w:val="13"/>
                <w:szCs w:val="13"/>
              </w:rPr>
              <w:t>Гкал/ч</w:t>
            </w:r>
          </w:p>
        </w:tc>
        <w:tc>
          <w:tcPr>
            <w:tcW w:w="182" w:type="pct"/>
            <w:tcBorders>
              <w:top w:val="nil"/>
              <w:left w:val="single" w:sz="4" w:space="0" w:color="auto"/>
              <w:bottom w:val="single" w:sz="4" w:space="0" w:color="auto"/>
              <w:right w:val="single" w:sz="4" w:space="0" w:color="auto"/>
            </w:tcBorders>
            <w:shd w:val="clear" w:color="auto" w:fill="auto"/>
            <w:vAlign w:val="center"/>
          </w:tcPr>
          <w:p w14:paraId="190BE585" w14:textId="77777777" w:rsidR="004A0123" w:rsidRPr="00640447" w:rsidRDefault="004A0123" w:rsidP="008A5C11">
            <w:pPr>
              <w:jc w:val="center"/>
              <w:rPr>
                <w:sz w:val="13"/>
                <w:szCs w:val="13"/>
              </w:rPr>
            </w:pPr>
            <w:r w:rsidRPr="00640447">
              <w:rPr>
                <w:sz w:val="13"/>
                <w:szCs w:val="13"/>
              </w:rPr>
              <w:t>28</w:t>
            </w:r>
          </w:p>
        </w:tc>
        <w:tc>
          <w:tcPr>
            <w:tcW w:w="174" w:type="pct"/>
            <w:tcBorders>
              <w:top w:val="nil"/>
              <w:left w:val="nil"/>
              <w:bottom w:val="single" w:sz="4" w:space="0" w:color="auto"/>
              <w:right w:val="single" w:sz="4" w:space="0" w:color="auto"/>
            </w:tcBorders>
            <w:shd w:val="clear" w:color="auto" w:fill="auto"/>
            <w:vAlign w:val="center"/>
          </w:tcPr>
          <w:p w14:paraId="7870E8F8" w14:textId="77777777" w:rsidR="004A0123" w:rsidRPr="00640447" w:rsidRDefault="004A0123" w:rsidP="008A5C11">
            <w:pPr>
              <w:jc w:val="center"/>
              <w:rPr>
                <w:sz w:val="13"/>
                <w:szCs w:val="13"/>
              </w:rPr>
            </w:pPr>
            <w:r w:rsidRPr="00640447">
              <w:rPr>
                <w:sz w:val="13"/>
                <w:szCs w:val="13"/>
              </w:rPr>
              <w:t>28</w:t>
            </w:r>
          </w:p>
        </w:tc>
        <w:tc>
          <w:tcPr>
            <w:tcW w:w="189" w:type="pct"/>
            <w:tcBorders>
              <w:top w:val="nil"/>
              <w:left w:val="nil"/>
              <w:bottom w:val="single" w:sz="4" w:space="0" w:color="auto"/>
              <w:right w:val="single" w:sz="4" w:space="0" w:color="auto"/>
            </w:tcBorders>
            <w:shd w:val="clear" w:color="auto" w:fill="auto"/>
            <w:vAlign w:val="center"/>
          </w:tcPr>
          <w:p w14:paraId="1EA66124" w14:textId="77777777" w:rsidR="004A0123" w:rsidRPr="00640447" w:rsidRDefault="004A0123" w:rsidP="008A5C11">
            <w:pPr>
              <w:jc w:val="center"/>
              <w:rPr>
                <w:sz w:val="13"/>
                <w:szCs w:val="13"/>
              </w:rPr>
            </w:pPr>
            <w:r w:rsidRPr="00640447">
              <w:rPr>
                <w:sz w:val="13"/>
                <w:szCs w:val="13"/>
              </w:rPr>
              <w:t>2019</w:t>
            </w:r>
          </w:p>
        </w:tc>
        <w:tc>
          <w:tcPr>
            <w:tcW w:w="184" w:type="pct"/>
            <w:tcBorders>
              <w:top w:val="nil"/>
              <w:left w:val="nil"/>
              <w:bottom w:val="single" w:sz="4" w:space="0" w:color="auto"/>
              <w:right w:val="single" w:sz="4" w:space="0" w:color="auto"/>
            </w:tcBorders>
            <w:shd w:val="clear" w:color="auto" w:fill="auto"/>
            <w:vAlign w:val="center"/>
          </w:tcPr>
          <w:p w14:paraId="6FE95D0B" w14:textId="77777777" w:rsidR="004A0123" w:rsidRPr="00640447" w:rsidRDefault="004A0123" w:rsidP="008A5C11">
            <w:pPr>
              <w:jc w:val="center"/>
              <w:rPr>
                <w:sz w:val="13"/>
                <w:szCs w:val="13"/>
              </w:rPr>
            </w:pPr>
            <w:r w:rsidRPr="00640447">
              <w:rPr>
                <w:sz w:val="13"/>
                <w:szCs w:val="13"/>
              </w:rPr>
              <w:t>2021</w:t>
            </w:r>
          </w:p>
        </w:tc>
        <w:tc>
          <w:tcPr>
            <w:tcW w:w="180" w:type="pct"/>
            <w:tcBorders>
              <w:top w:val="nil"/>
              <w:left w:val="nil"/>
              <w:bottom w:val="single" w:sz="4" w:space="0" w:color="auto"/>
              <w:right w:val="single" w:sz="4" w:space="0" w:color="auto"/>
            </w:tcBorders>
            <w:shd w:val="clear" w:color="auto" w:fill="auto"/>
            <w:vAlign w:val="center"/>
          </w:tcPr>
          <w:p w14:paraId="66A36D53" w14:textId="77777777" w:rsidR="004A0123" w:rsidRPr="00640447" w:rsidRDefault="004A0123" w:rsidP="008A5C11">
            <w:pPr>
              <w:jc w:val="center"/>
              <w:rPr>
                <w:sz w:val="13"/>
                <w:szCs w:val="13"/>
              </w:rPr>
            </w:pPr>
            <w:r w:rsidRPr="00640447">
              <w:rPr>
                <w:sz w:val="13"/>
                <w:szCs w:val="13"/>
              </w:rPr>
              <w:t>244258</w:t>
            </w:r>
          </w:p>
        </w:tc>
        <w:tc>
          <w:tcPr>
            <w:tcW w:w="187" w:type="pct"/>
            <w:tcBorders>
              <w:top w:val="nil"/>
              <w:left w:val="nil"/>
              <w:bottom w:val="single" w:sz="4" w:space="0" w:color="auto"/>
              <w:right w:val="single" w:sz="4" w:space="0" w:color="auto"/>
            </w:tcBorders>
            <w:shd w:val="clear" w:color="auto" w:fill="auto"/>
            <w:vAlign w:val="center"/>
          </w:tcPr>
          <w:p w14:paraId="26A5EC96" w14:textId="77777777" w:rsidR="004A0123" w:rsidRPr="00640447" w:rsidRDefault="004A0123" w:rsidP="008A5C11">
            <w:pPr>
              <w:jc w:val="center"/>
              <w:rPr>
                <w:sz w:val="13"/>
                <w:szCs w:val="13"/>
              </w:rPr>
            </w:pPr>
            <w:r w:rsidRPr="00640447">
              <w:rPr>
                <w:sz w:val="13"/>
                <w:szCs w:val="13"/>
              </w:rPr>
              <w:t>0</w:t>
            </w:r>
          </w:p>
        </w:tc>
        <w:tc>
          <w:tcPr>
            <w:tcW w:w="146" w:type="pct"/>
            <w:tcBorders>
              <w:top w:val="nil"/>
              <w:left w:val="single" w:sz="4" w:space="0" w:color="auto"/>
              <w:bottom w:val="single" w:sz="4" w:space="0" w:color="auto"/>
              <w:right w:val="single" w:sz="4" w:space="0" w:color="auto"/>
            </w:tcBorders>
            <w:shd w:val="clear" w:color="auto" w:fill="auto"/>
            <w:vAlign w:val="center"/>
          </w:tcPr>
          <w:p w14:paraId="4671EB64" w14:textId="77777777" w:rsidR="004A0123" w:rsidRPr="00640447" w:rsidRDefault="004A0123" w:rsidP="008A5C11">
            <w:pPr>
              <w:jc w:val="center"/>
              <w:rPr>
                <w:sz w:val="13"/>
                <w:szCs w:val="13"/>
              </w:rPr>
            </w:pPr>
            <w:r w:rsidRPr="00640447">
              <w:rPr>
                <w:sz w:val="13"/>
                <w:szCs w:val="13"/>
              </w:rPr>
              <w:t>103455</w:t>
            </w:r>
          </w:p>
        </w:tc>
        <w:tc>
          <w:tcPr>
            <w:tcW w:w="149" w:type="pct"/>
            <w:tcBorders>
              <w:top w:val="nil"/>
              <w:left w:val="nil"/>
              <w:bottom w:val="single" w:sz="4" w:space="0" w:color="auto"/>
              <w:right w:val="single" w:sz="4" w:space="0" w:color="auto"/>
            </w:tcBorders>
            <w:shd w:val="clear" w:color="auto" w:fill="auto"/>
            <w:vAlign w:val="center"/>
          </w:tcPr>
          <w:p w14:paraId="1B603E50" w14:textId="77777777" w:rsidR="004A0123" w:rsidRPr="00640447" w:rsidRDefault="004A0123" w:rsidP="008A5C11">
            <w:pPr>
              <w:jc w:val="center"/>
              <w:rPr>
                <w:sz w:val="13"/>
                <w:szCs w:val="13"/>
              </w:rPr>
            </w:pPr>
            <w:r w:rsidRPr="00640447">
              <w:rPr>
                <w:sz w:val="13"/>
                <w:szCs w:val="13"/>
              </w:rPr>
              <w:t>88000</w:t>
            </w:r>
          </w:p>
        </w:tc>
        <w:tc>
          <w:tcPr>
            <w:tcW w:w="183" w:type="pct"/>
            <w:tcBorders>
              <w:top w:val="nil"/>
              <w:left w:val="nil"/>
              <w:bottom w:val="single" w:sz="4" w:space="0" w:color="auto"/>
              <w:right w:val="single" w:sz="4" w:space="0" w:color="auto"/>
            </w:tcBorders>
            <w:shd w:val="clear" w:color="auto" w:fill="auto"/>
            <w:vAlign w:val="center"/>
          </w:tcPr>
          <w:p w14:paraId="56433484" w14:textId="77777777" w:rsidR="004A0123" w:rsidRPr="00640447" w:rsidRDefault="004A0123" w:rsidP="008A5C11">
            <w:pPr>
              <w:jc w:val="center"/>
              <w:rPr>
                <w:sz w:val="13"/>
                <w:szCs w:val="13"/>
              </w:rPr>
            </w:pPr>
            <w:r w:rsidRPr="00640447">
              <w:rPr>
                <w:sz w:val="13"/>
                <w:szCs w:val="13"/>
              </w:rPr>
              <w:t>52803</w:t>
            </w:r>
          </w:p>
        </w:tc>
        <w:tc>
          <w:tcPr>
            <w:tcW w:w="183" w:type="pct"/>
            <w:tcBorders>
              <w:top w:val="nil"/>
              <w:left w:val="nil"/>
              <w:bottom w:val="single" w:sz="4" w:space="0" w:color="auto"/>
              <w:right w:val="single" w:sz="4" w:space="0" w:color="auto"/>
            </w:tcBorders>
            <w:shd w:val="clear" w:color="auto" w:fill="auto"/>
            <w:vAlign w:val="center"/>
          </w:tcPr>
          <w:p w14:paraId="6B42814B" w14:textId="77777777" w:rsidR="004A0123" w:rsidRPr="00640447" w:rsidRDefault="004A0123" w:rsidP="008A5C11">
            <w:pPr>
              <w:jc w:val="center"/>
              <w:rPr>
                <w:sz w:val="13"/>
                <w:szCs w:val="13"/>
              </w:rPr>
            </w:pPr>
            <w:r w:rsidRPr="00640447">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7167162D" w14:textId="77777777" w:rsidR="004A0123" w:rsidRPr="00640447" w:rsidRDefault="004A0123" w:rsidP="008A5C11">
            <w:pPr>
              <w:jc w:val="center"/>
              <w:rPr>
                <w:sz w:val="13"/>
                <w:szCs w:val="13"/>
              </w:rPr>
            </w:pPr>
            <w:r w:rsidRPr="00640447">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1ACAA6F9" w14:textId="77777777" w:rsidR="004A0123" w:rsidRPr="00640447" w:rsidRDefault="004A0123" w:rsidP="008A5C11">
            <w:pPr>
              <w:jc w:val="center"/>
              <w:rPr>
                <w:sz w:val="13"/>
                <w:szCs w:val="13"/>
              </w:rPr>
            </w:pPr>
            <w:r w:rsidRPr="00640447">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6B746437" w14:textId="77777777" w:rsidR="004A0123" w:rsidRPr="00640447" w:rsidRDefault="004A0123" w:rsidP="008A5C11">
            <w:pPr>
              <w:jc w:val="center"/>
              <w:rPr>
                <w:sz w:val="13"/>
                <w:szCs w:val="13"/>
              </w:rPr>
            </w:pPr>
            <w:r w:rsidRPr="00640447">
              <w:rPr>
                <w:sz w:val="13"/>
                <w:szCs w:val="13"/>
              </w:rPr>
              <w:t>0</w:t>
            </w:r>
          </w:p>
        </w:tc>
        <w:tc>
          <w:tcPr>
            <w:tcW w:w="174" w:type="pct"/>
            <w:tcBorders>
              <w:top w:val="single" w:sz="4" w:space="0" w:color="auto"/>
              <w:left w:val="single" w:sz="4" w:space="0" w:color="auto"/>
              <w:bottom w:val="single" w:sz="4" w:space="0" w:color="auto"/>
              <w:right w:val="single" w:sz="4" w:space="0" w:color="auto"/>
            </w:tcBorders>
            <w:vAlign w:val="center"/>
          </w:tcPr>
          <w:p w14:paraId="6B356FF0" w14:textId="77777777" w:rsidR="004A0123" w:rsidRPr="00640447" w:rsidRDefault="004A0123" w:rsidP="008A5C11">
            <w:pPr>
              <w:jc w:val="center"/>
              <w:rPr>
                <w:sz w:val="13"/>
                <w:szCs w:val="13"/>
              </w:rPr>
            </w:pPr>
            <w:r w:rsidRPr="00640447">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7C1441FF" w14:textId="77777777" w:rsidR="004A0123" w:rsidRPr="00640447" w:rsidRDefault="004A0123" w:rsidP="008A5C11">
            <w:pPr>
              <w:jc w:val="center"/>
              <w:rPr>
                <w:sz w:val="13"/>
                <w:szCs w:val="13"/>
              </w:rPr>
            </w:pPr>
            <w:r w:rsidRPr="00640447">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3034BE90" w14:textId="77777777" w:rsidR="004A0123" w:rsidRPr="00640447" w:rsidRDefault="004A0123" w:rsidP="008A5C11">
            <w:pPr>
              <w:jc w:val="center"/>
              <w:rPr>
                <w:sz w:val="13"/>
                <w:szCs w:val="13"/>
              </w:rPr>
            </w:pPr>
            <w:r w:rsidRPr="00640447">
              <w:rPr>
                <w:sz w:val="13"/>
                <w:szCs w:val="13"/>
              </w:rPr>
              <w:t>0</w:t>
            </w:r>
          </w:p>
        </w:tc>
        <w:tc>
          <w:tcPr>
            <w:tcW w:w="188" w:type="pct"/>
            <w:tcBorders>
              <w:top w:val="single" w:sz="4" w:space="0" w:color="auto"/>
              <w:left w:val="single" w:sz="4" w:space="0" w:color="auto"/>
              <w:bottom w:val="single" w:sz="4" w:space="0" w:color="auto"/>
              <w:right w:val="single" w:sz="4" w:space="0" w:color="auto"/>
            </w:tcBorders>
            <w:vAlign w:val="center"/>
          </w:tcPr>
          <w:p w14:paraId="727F5594" w14:textId="77777777" w:rsidR="004A0123" w:rsidRPr="00640447" w:rsidRDefault="004A0123" w:rsidP="008A5C11">
            <w:pPr>
              <w:jc w:val="center"/>
              <w:rPr>
                <w:sz w:val="13"/>
                <w:szCs w:val="13"/>
              </w:rPr>
            </w:pPr>
            <w:r w:rsidRPr="00640447">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1A03029B" w14:textId="77777777" w:rsidR="004A0123" w:rsidRPr="00640447" w:rsidRDefault="004A0123" w:rsidP="008A5C11">
            <w:pPr>
              <w:jc w:val="center"/>
              <w:rPr>
                <w:sz w:val="13"/>
                <w:szCs w:val="13"/>
              </w:rPr>
            </w:pPr>
            <w:r w:rsidRPr="00640447">
              <w:rPr>
                <w:sz w:val="13"/>
                <w:szCs w:val="13"/>
              </w:rPr>
              <w:t>0</w:t>
            </w:r>
          </w:p>
        </w:tc>
      </w:tr>
      <w:tr w:rsidR="004A0123" w:rsidRPr="00640447" w14:paraId="1BB3F186" w14:textId="77777777" w:rsidTr="008A5C11">
        <w:trPr>
          <w:trHeight w:val="489"/>
        </w:trPr>
        <w:tc>
          <w:tcPr>
            <w:tcW w:w="146" w:type="pct"/>
            <w:shd w:val="clear" w:color="auto" w:fill="auto"/>
            <w:vAlign w:val="center"/>
          </w:tcPr>
          <w:p w14:paraId="73F3E55F" w14:textId="77777777" w:rsidR="004A0123" w:rsidRPr="00640447" w:rsidRDefault="004A0123" w:rsidP="008A5C11">
            <w:pPr>
              <w:jc w:val="center"/>
              <w:rPr>
                <w:sz w:val="13"/>
                <w:szCs w:val="13"/>
              </w:rPr>
            </w:pPr>
            <w:r w:rsidRPr="00640447">
              <w:rPr>
                <w:sz w:val="13"/>
                <w:szCs w:val="13"/>
              </w:rPr>
              <w:t>3.2.8.</w:t>
            </w:r>
          </w:p>
        </w:tc>
        <w:tc>
          <w:tcPr>
            <w:tcW w:w="616" w:type="pct"/>
            <w:tcBorders>
              <w:top w:val="nil"/>
              <w:left w:val="single" w:sz="4" w:space="0" w:color="auto"/>
              <w:bottom w:val="single" w:sz="4" w:space="0" w:color="auto"/>
              <w:right w:val="single" w:sz="4" w:space="0" w:color="auto"/>
            </w:tcBorders>
            <w:shd w:val="clear" w:color="auto" w:fill="auto"/>
            <w:vAlign w:val="center"/>
          </w:tcPr>
          <w:p w14:paraId="6EB368C4" w14:textId="77777777" w:rsidR="004A0123" w:rsidRPr="00640447" w:rsidRDefault="004A0123" w:rsidP="008A5C11">
            <w:pPr>
              <w:rPr>
                <w:color w:val="000000"/>
                <w:sz w:val="13"/>
                <w:szCs w:val="13"/>
              </w:rPr>
            </w:pPr>
            <w:r w:rsidRPr="00640447">
              <w:rPr>
                <w:color w:val="000000"/>
                <w:sz w:val="13"/>
                <w:szCs w:val="13"/>
              </w:rPr>
              <w:t>Котельная «Энергетик». Реконструкция системы газоочистки</w:t>
            </w:r>
          </w:p>
        </w:tc>
        <w:tc>
          <w:tcPr>
            <w:tcW w:w="359" w:type="pct"/>
            <w:tcBorders>
              <w:top w:val="nil"/>
              <w:left w:val="nil"/>
              <w:bottom w:val="single" w:sz="4" w:space="0" w:color="auto"/>
              <w:right w:val="single" w:sz="4" w:space="0" w:color="auto"/>
            </w:tcBorders>
            <w:shd w:val="clear" w:color="auto" w:fill="auto"/>
            <w:vAlign w:val="center"/>
          </w:tcPr>
          <w:p w14:paraId="73C72B4D" w14:textId="77777777" w:rsidR="004A0123" w:rsidRPr="00640447" w:rsidRDefault="004A0123" w:rsidP="008A5C11">
            <w:pPr>
              <w:jc w:val="center"/>
              <w:rPr>
                <w:color w:val="000000"/>
                <w:sz w:val="13"/>
                <w:szCs w:val="13"/>
              </w:rPr>
            </w:pPr>
            <w:r w:rsidRPr="00640447">
              <w:rPr>
                <w:color w:val="000000"/>
                <w:sz w:val="13"/>
                <w:szCs w:val="13"/>
              </w:rPr>
              <w:t>Повышение надежности теплоснабжения</w:t>
            </w:r>
          </w:p>
        </w:tc>
        <w:tc>
          <w:tcPr>
            <w:tcW w:w="360" w:type="pct"/>
            <w:tcBorders>
              <w:top w:val="nil"/>
              <w:left w:val="nil"/>
              <w:bottom w:val="single" w:sz="4" w:space="0" w:color="auto"/>
              <w:right w:val="single" w:sz="4" w:space="0" w:color="auto"/>
            </w:tcBorders>
            <w:shd w:val="clear" w:color="auto" w:fill="auto"/>
            <w:vAlign w:val="center"/>
          </w:tcPr>
          <w:p w14:paraId="3AD50BCE" w14:textId="77777777" w:rsidR="004A0123" w:rsidRPr="00640447" w:rsidRDefault="004A0123" w:rsidP="008A5C11">
            <w:pPr>
              <w:jc w:val="center"/>
              <w:rPr>
                <w:color w:val="000000"/>
                <w:sz w:val="13"/>
                <w:szCs w:val="13"/>
              </w:rPr>
            </w:pPr>
            <w:r w:rsidRPr="00640447">
              <w:rPr>
                <w:color w:val="000000"/>
                <w:sz w:val="13"/>
                <w:szCs w:val="13"/>
              </w:rPr>
              <w:t xml:space="preserve">г. Ленинск-Кузнецкий, </w:t>
            </w:r>
          </w:p>
          <w:p w14:paraId="1A32A7CB" w14:textId="77777777" w:rsidR="004A0123" w:rsidRPr="00640447" w:rsidRDefault="004A0123" w:rsidP="008A5C11">
            <w:pPr>
              <w:jc w:val="center"/>
              <w:rPr>
                <w:color w:val="000000"/>
                <w:sz w:val="13"/>
                <w:szCs w:val="13"/>
              </w:rPr>
            </w:pPr>
            <w:r w:rsidRPr="00640447">
              <w:rPr>
                <w:color w:val="000000"/>
                <w:sz w:val="13"/>
                <w:szCs w:val="13"/>
              </w:rPr>
              <w:t>тер. Северная промзона 4</w:t>
            </w:r>
          </w:p>
        </w:tc>
        <w:tc>
          <w:tcPr>
            <w:tcW w:w="338" w:type="pct"/>
            <w:tcBorders>
              <w:top w:val="nil"/>
              <w:left w:val="nil"/>
              <w:bottom w:val="single" w:sz="4" w:space="0" w:color="auto"/>
              <w:right w:val="single" w:sz="4" w:space="0" w:color="auto"/>
            </w:tcBorders>
            <w:shd w:val="clear" w:color="auto" w:fill="auto"/>
            <w:vAlign w:val="center"/>
          </w:tcPr>
          <w:p w14:paraId="245BD4F0" w14:textId="77777777" w:rsidR="004A0123" w:rsidRPr="00640447" w:rsidRDefault="004A0123" w:rsidP="008A5C11">
            <w:pPr>
              <w:jc w:val="center"/>
              <w:rPr>
                <w:sz w:val="13"/>
                <w:szCs w:val="13"/>
              </w:rPr>
            </w:pPr>
            <w:proofErr w:type="gramStart"/>
            <w:r w:rsidRPr="00640447">
              <w:rPr>
                <w:sz w:val="13"/>
                <w:szCs w:val="13"/>
              </w:rPr>
              <w:t>Производитель-ность</w:t>
            </w:r>
            <w:proofErr w:type="gramEnd"/>
          </w:p>
        </w:tc>
        <w:tc>
          <w:tcPr>
            <w:tcW w:w="116" w:type="pct"/>
            <w:tcBorders>
              <w:top w:val="nil"/>
              <w:left w:val="nil"/>
              <w:bottom w:val="single" w:sz="4" w:space="0" w:color="auto"/>
              <w:right w:val="single" w:sz="4" w:space="0" w:color="auto"/>
            </w:tcBorders>
            <w:shd w:val="clear" w:color="auto" w:fill="auto"/>
            <w:vAlign w:val="center"/>
          </w:tcPr>
          <w:p w14:paraId="7204CBE2" w14:textId="77777777" w:rsidR="004A0123" w:rsidRPr="00640447" w:rsidRDefault="004A0123" w:rsidP="008A5C11">
            <w:pPr>
              <w:jc w:val="center"/>
              <w:rPr>
                <w:sz w:val="13"/>
                <w:szCs w:val="13"/>
              </w:rPr>
            </w:pPr>
            <w:r w:rsidRPr="00640447">
              <w:rPr>
                <w:sz w:val="13"/>
                <w:szCs w:val="13"/>
              </w:rPr>
              <w:t>м</w:t>
            </w:r>
            <w:r w:rsidRPr="00640447">
              <w:rPr>
                <w:sz w:val="13"/>
                <w:szCs w:val="13"/>
                <w:vertAlign w:val="superscript"/>
              </w:rPr>
              <w:t>3</w:t>
            </w:r>
            <w:r w:rsidRPr="00640447">
              <w:rPr>
                <w:sz w:val="13"/>
                <w:szCs w:val="13"/>
              </w:rPr>
              <w:t>/с</w:t>
            </w:r>
          </w:p>
        </w:tc>
        <w:tc>
          <w:tcPr>
            <w:tcW w:w="182" w:type="pct"/>
            <w:tcBorders>
              <w:top w:val="nil"/>
              <w:left w:val="single" w:sz="4" w:space="0" w:color="auto"/>
              <w:bottom w:val="single" w:sz="4" w:space="0" w:color="auto"/>
              <w:right w:val="single" w:sz="4" w:space="0" w:color="auto"/>
            </w:tcBorders>
            <w:shd w:val="clear" w:color="auto" w:fill="auto"/>
            <w:vAlign w:val="center"/>
          </w:tcPr>
          <w:p w14:paraId="3D0E8EFE" w14:textId="77777777" w:rsidR="004A0123" w:rsidRPr="00640447" w:rsidRDefault="004A0123" w:rsidP="008A5C11">
            <w:pPr>
              <w:jc w:val="center"/>
              <w:rPr>
                <w:sz w:val="13"/>
                <w:szCs w:val="13"/>
              </w:rPr>
            </w:pPr>
            <w:r w:rsidRPr="00640447">
              <w:rPr>
                <w:sz w:val="13"/>
                <w:szCs w:val="13"/>
              </w:rPr>
              <w:t>22</w:t>
            </w:r>
          </w:p>
        </w:tc>
        <w:tc>
          <w:tcPr>
            <w:tcW w:w="174" w:type="pct"/>
            <w:tcBorders>
              <w:top w:val="nil"/>
              <w:left w:val="nil"/>
              <w:bottom w:val="single" w:sz="4" w:space="0" w:color="auto"/>
              <w:right w:val="single" w:sz="4" w:space="0" w:color="auto"/>
            </w:tcBorders>
            <w:shd w:val="clear" w:color="auto" w:fill="auto"/>
            <w:vAlign w:val="center"/>
          </w:tcPr>
          <w:p w14:paraId="729083B5" w14:textId="77777777" w:rsidR="004A0123" w:rsidRPr="00640447" w:rsidRDefault="004A0123" w:rsidP="008A5C11">
            <w:pPr>
              <w:jc w:val="center"/>
              <w:rPr>
                <w:sz w:val="13"/>
                <w:szCs w:val="13"/>
              </w:rPr>
            </w:pPr>
            <w:r w:rsidRPr="00640447">
              <w:rPr>
                <w:sz w:val="13"/>
                <w:szCs w:val="13"/>
              </w:rPr>
              <w:t>22</w:t>
            </w:r>
          </w:p>
        </w:tc>
        <w:tc>
          <w:tcPr>
            <w:tcW w:w="189" w:type="pct"/>
            <w:tcBorders>
              <w:top w:val="nil"/>
              <w:left w:val="nil"/>
              <w:bottom w:val="single" w:sz="4" w:space="0" w:color="auto"/>
              <w:right w:val="single" w:sz="4" w:space="0" w:color="auto"/>
            </w:tcBorders>
            <w:shd w:val="clear" w:color="auto" w:fill="auto"/>
            <w:vAlign w:val="center"/>
          </w:tcPr>
          <w:p w14:paraId="2D19A400" w14:textId="77777777" w:rsidR="004A0123" w:rsidRPr="00640447" w:rsidRDefault="004A0123" w:rsidP="008A5C11">
            <w:pPr>
              <w:jc w:val="center"/>
              <w:rPr>
                <w:sz w:val="13"/>
                <w:szCs w:val="13"/>
              </w:rPr>
            </w:pPr>
            <w:r w:rsidRPr="00640447">
              <w:rPr>
                <w:sz w:val="13"/>
                <w:szCs w:val="13"/>
              </w:rPr>
              <w:t>2019</w:t>
            </w:r>
          </w:p>
        </w:tc>
        <w:tc>
          <w:tcPr>
            <w:tcW w:w="184" w:type="pct"/>
            <w:tcBorders>
              <w:top w:val="nil"/>
              <w:left w:val="nil"/>
              <w:bottom w:val="single" w:sz="4" w:space="0" w:color="auto"/>
              <w:right w:val="single" w:sz="4" w:space="0" w:color="auto"/>
            </w:tcBorders>
            <w:shd w:val="clear" w:color="auto" w:fill="auto"/>
            <w:vAlign w:val="center"/>
          </w:tcPr>
          <w:p w14:paraId="4BB5678B" w14:textId="77777777" w:rsidR="004A0123" w:rsidRPr="00640447" w:rsidRDefault="004A0123" w:rsidP="008A5C11">
            <w:pPr>
              <w:jc w:val="center"/>
              <w:rPr>
                <w:sz w:val="13"/>
                <w:szCs w:val="13"/>
              </w:rPr>
            </w:pPr>
            <w:r w:rsidRPr="00640447">
              <w:rPr>
                <w:sz w:val="13"/>
                <w:szCs w:val="13"/>
              </w:rPr>
              <w:t>2021</w:t>
            </w:r>
          </w:p>
        </w:tc>
        <w:tc>
          <w:tcPr>
            <w:tcW w:w="180" w:type="pct"/>
            <w:tcBorders>
              <w:top w:val="nil"/>
              <w:left w:val="nil"/>
              <w:bottom w:val="single" w:sz="4" w:space="0" w:color="auto"/>
              <w:right w:val="single" w:sz="4" w:space="0" w:color="auto"/>
            </w:tcBorders>
            <w:shd w:val="clear" w:color="auto" w:fill="auto"/>
            <w:vAlign w:val="center"/>
          </w:tcPr>
          <w:p w14:paraId="09522DA5" w14:textId="77777777" w:rsidR="004A0123" w:rsidRPr="00640447" w:rsidRDefault="004A0123" w:rsidP="008A5C11">
            <w:pPr>
              <w:jc w:val="center"/>
              <w:rPr>
                <w:sz w:val="13"/>
                <w:szCs w:val="13"/>
              </w:rPr>
            </w:pPr>
            <w:r w:rsidRPr="00640447">
              <w:rPr>
                <w:sz w:val="13"/>
                <w:szCs w:val="13"/>
              </w:rPr>
              <w:t>12581</w:t>
            </w:r>
          </w:p>
        </w:tc>
        <w:tc>
          <w:tcPr>
            <w:tcW w:w="187" w:type="pct"/>
            <w:tcBorders>
              <w:top w:val="nil"/>
              <w:left w:val="nil"/>
              <w:bottom w:val="single" w:sz="4" w:space="0" w:color="auto"/>
              <w:right w:val="single" w:sz="4" w:space="0" w:color="auto"/>
            </w:tcBorders>
            <w:shd w:val="clear" w:color="auto" w:fill="auto"/>
            <w:vAlign w:val="center"/>
          </w:tcPr>
          <w:p w14:paraId="30ADC6DE" w14:textId="77777777" w:rsidR="004A0123" w:rsidRPr="00640447" w:rsidRDefault="004A0123" w:rsidP="008A5C11">
            <w:pPr>
              <w:jc w:val="center"/>
              <w:rPr>
                <w:sz w:val="13"/>
                <w:szCs w:val="13"/>
              </w:rPr>
            </w:pPr>
            <w:r w:rsidRPr="00640447">
              <w:rPr>
                <w:sz w:val="13"/>
                <w:szCs w:val="13"/>
              </w:rPr>
              <w:t>0</w:t>
            </w:r>
          </w:p>
        </w:tc>
        <w:tc>
          <w:tcPr>
            <w:tcW w:w="146" w:type="pct"/>
            <w:tcBorders>
              <w:top w:val="nil"/>
              <w:left w:val="single" w:sz="4" w:space="0" w:color="auto"/>
              <w:bottom w:val="single" w:sz="4" w:space="0" w:color="auto"/>
              <w:right w:val="single" w:sz="4" w:space="0" w:color="auto"/>
            </w:tcBorders>
            <w:shd w:val="clear" w:color="auto" w:fill="auto"/>
            <w:vAlign w:val="center"/>
          </w:tcPr>
          <w:p w14:paraId="15B307C5" w14:textId="77777777" w:rsidR="004A0123" w:rsidRPr="00640447" w:rsidRDefault="004A0123" w:rsidP="008A5C11">
            <w:pPr>
              <w:jc w:val="center"/>
              <w:rPr>
                <w:sz w:val="13"/>
                <w:szCs w:val="13"/>
              </w:rPr>
            </w:pPr>
            <w:r w:rsidRPr="00640447">
              <w:rPr>
                <w:sz w:val="13"/>
                <w:szCs w:val="13"/>
              </w:rPr>
              <w:t>12300</w:t>
            </w:r>
          </w:p>
        </w:tc>
        <w:tc>
          <w:tcPr>
            <w:tcW w:w="149" w:type="pct"/>
            <w:tcBorders>
              <w:top w:val="nil"/>
              <w:left w:val="nil"/>
              <w:bottom w:val="single" w:sz="4" w:space="0" w:color="auto"/>
              <w:right w:val="single" w:sz="4" w:space="0" w:color="auto"/>
            </w:tcBorders>
            <w:shd w:val="clear" w:color="auto" w:fill="auto"/>
            <w:vAlign w:val="center"/>
          </w:tcPr>
          <w:p w14:paraId="103DD13C" w14:textId="77777777" w:rsidR="004A0123" w:rsidRPr="00640447" w:rsidRDefault="004A0123" w:rsidP="008A5C11">
            <w:pPr>
              <w:jc w:val="center"/>
              <w:rPr>
                <w:sz w:val="13"/>
                <w:szCs w:val="13"/>
              </w:rPr>
            </w:pPr>
            <w:r w:rsidRPr="00640447">
              <w:rPr>
                <w:sz w:val="13"/>
                <w:szCs w:val="13"/>
              </w:rPr>
              <w:t>0</w:t>
            </w:r>
          </w:p>
        </w:tc>
        <w:tc>
          <w:tcPr>
            <w:tcW w:w="183" w:type="pct"/>
            <w:tcBorders>
              <w:top w:val="nil"/>
              <w:left w:val="nil"/>
              <w:bottom w:val="single" w:sz="4" w:space="0" w:color="auto"/>
              <w:right w:val="single" w:sz="4" w:space="0" w:color="auto"/>
            </w:tcBorders>
            <w:shd w:val="clear" w:color="auto" w:fill="auto"/>
            <w:vAlign w:val="center"/>
          </w:tcPr>
          <w:p w14:paraId="2E9094E8" w14:textId="77777777" w:rsidR="004A0123" w:rsidRPr="00640447" w:rsidRDefault="004A0123" w:rsidP="008A5C11">
            <w:pPr>
              <w:jc w:val="center"/>
              <w:rPr>
                <w:sz w:val="13"/>
                <w:szCs w:val="13"/>
              </w:rPr>
            </w:pPr>
            <w:r w:rsidRPr="00640447">
              <w:rPr>
                <w:sz w:val="13"/>
                <w:szCs w:val="13"/>
              </w:rPr>
              <w:t>281</w:t>
            </w:r>
          </w:p>
        </w:tc>
        <w:tc>
          <w:tcPr>
            <w:tcW w:w="183" w:type="pct"/>
            <w:tcBorders>
              <w:top w:val="nil"/>
              <w:left w:val="nil"/>
              <w:bottom w:val="single" w:sz="4" w:space="0" w:color="auto"/>
              <w:right w:val="single" w:sz="4" w:space="0" w:color="auto"/>
            </w:tcBorders>
            <w:shd w:val="clear" w:color="auto" w:fill="auto"/>
            <w:vAlign w:val="center"/>
          </w:tcPr>
          <w:p w14:paraId="7BAD6544" w14:textId="77777777" w:rsidR="004A0123" w:rsidRPr="00640447" w:rsidRDefault="004A0123" w:rsidP="008A5C11">
            <w:pPr>
              <w:jc w:val="center"/>
              <w:rPr>
                <w:sz w:val="13"/>
                <w:szCs w:val="13"/>
              </w:rPr>
            </w:pPr>
            <w:r w:rsidRPr="00640447">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4612CB80" w14:textId="77777777" w:rsidR="004A0123" w:rsidRPr="00640447" w:rsidRDefault="004A0123" w:rsidP="008A5C11">
            <w:pPr>
              <w:jc w:val="center"/>
              <w:rPr>
                <w:sz w:val="13"/>
                <w:szCs w:val="13"/>
              </w:rPr>
            </w:pPr>
            <w:r w:rsidRPr="00640447">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5A15D99F" w14:textId="77777777" w:rsidR="004A0123" w:rsidRPr="00640447" w:rsidRDefault="004A0123" w:rsidP="008A5C11">
            <w:pPr>
              <w:jc w:val="center"/>
              <w:rPr>
                <w:sz w:val="13"/>
                <w:szCs w:val="13"/>
              </w:rPr>
            </w:pPr>
            <w:r w:rsidRPr="00640447">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134A86BA" w14:textId="77777777" w:rsidR="004A0123" w:rsidRPr="00640447" w:rsidRDefault="004A0123" w:rsidP="008A5C11">
            <w:pPr>
              <w:jc w:val="center"/>
              <w:rPr>
                <w:sz w:val="13"/>
                <w:szCs w:val="13"/>
              </w:rPr>
            </w:pPr>
            <w:r w:rsidRPr="00640447">
              <w:rPr>
                <w:sz w:val="13"/>
                <w:szCs w:val="13"/>
              </w:rPr>
              <w:t>0</w:t>
            </w:r>
          </w:p>
        </w:tc>
        <w:tc>
          <w:tcPr>
            <w:tcW w:w="174" w:type="pct"/>
            <w:tcBorders>
              <w:top w:val="single" w:sz="4" w:space="0" w:color="auto"/>
              <w:left w:val="single" w:sz="4" w:space="0" w:color="auto"/>
              <w:bottom w:val="single" w:sz="4" w:space="0" w:color="auto"/>
              <w:right w:val="single" w:sz="4" w:space="0" w:color="auto"/>
            </w:tcBorders>
            <w:vAlign w:val="center"/>
          </w:tcPr>
          <w:p w14:paraId="2D1F3881" w14:textId="77777777" w:rsidR="004A0123" w:rsidRPr="00640447" w:rsidRDefault="004A0123" w:rsidP="008A5C11">
            <w:pPr>
              <w:jc w:val="center"/>
              <w:rPr>
                <w:sz w:val="13"/>
                <w:szCs w:val="13"/>
              </w:rPr>
            </w:pPr>
            <w:r w:rsidRPr="00640447">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21C789C7" w14:textId="77777777" w:rsidR="004A0123" w:rsidRPr="00640447" w:rsidRDefault="004A0123" w:rsidP="008A5C11">
            <w:pPr>
              <w:jc w:val="center"/>
              <w:rPr>
                <w:sz w:val="13"/>
                <w:szCs w:val="13"/>
              </w:rPr>
            </w:pPr>
            <w:r w:rsidRPr="00640447">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7EFD53C2" w14:textId="77777777" w:rsidR="004A0123" w:rsidRPr="00640447" w:rsidRDefault="004A0123" w:rsidP="008A5C11">
            <w:pPr>
              <w:jc w:val="center"/>
              <w:rPr>
                <w:sz w:val="13"/>
                <w:szCs w:val="13"/>
              </w:rPr>
            </w:pPr>
            <w:r w:rsidRPr="00640447">
              <w:rPr>
                <w:sz w:val="13"/>
                <w:szCs w:val="13"/>
              </w:rPr>
              <w:t>0</w:t>
            </w:r>
          </w:p>
        </w:tc>
        <w:tc>
          <w:tcPr>
            <w:tcW w:w="188" w:type="pct"/>
            <w:tcBorders>
              <w:top w:val="single" w:sz="4" w:space="0" w:color="auto"/>
              <w:left w:val="single" w:sz="4" w:space="0" w:color="auto"/>
              <w:bottom w:val="single" w:sz="4" w:space="0" w:color="auto"/>
              <w:right w:val="single" w:sz="4" w:space="0" w:color="auto"/>
            </w:tcBorders>
            <w:vAlign w:val="center"/>
          </w:tcPr>
          <w:p w14:paraId="578329B8" w14:textId="77777777" w:rsidR="004A0123" w:rsidRPr="00640447" w:rsidRDefault="004A0123" w:rsidP="008A5C11">
            <w:pPr>
              <w:jc w:val="center"/>
              <w:rPr>
                <w:sz w:val="13"/>
                <w:szCs w:val="13"/>
              </w:rPr>
            </w:pPr>
            <w:r w:rsidRPr="00640447">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5DE45594" w14:textId="77777777" w:rsidR="004A0123" w:rsidRPr="00640447" w:rsidRDefault="004A0123" w:rsidP="008A5C11">
            <w:pPr>
              <w:jc w:val="center"/>
              <w:rPr>
                <w:sz w:val="13"/>
                <w:szCs w:val="13"/>
              </w:rPr>
            </w:pPr>
            <w:r w:rsidRPr="00640447">
              <w:rPr>
                <w:sz w:val="13"/>
                <w:szCs w:val="13"/>
              </w:rPr>
              <w:t>0</w:t>
            </w:r>
          </w:p>
        </w:tc>
      </w:tr>
      <w:tr w:rsidR="004A0123" w:rsidRPr="00640447" w14:paraId="62017B3E" w14:textId="77777777" w:rsidTr="008A5C11">
        <w:trPr>
          <w:trHeight w:val="489"/>
        </w:trPr>
        <w:tc>
          <w:tcPr>
            <w:tcW w:w="146" w:type="pct"/>
            <w:shd w:val="clear" w:color="auto" w:fill="auto"/>
            <w:vAlign w:val="center"/>
          </w:tcPr>
          <w:p w14:paraId="61456497" w14:textId="77777777" w:rsidR="004A0123" w:rsidRPr="00640447" w:rsidRDefault="004A0123" w:rsidP="008A5C11">
            <w:pPr>
              <w:jc w:val="center"/>
              <w:rPr>
                <w:sz w:val="13"/>
                <w:szCs w:val="13"/>
              </w:rPr>
            </w:pPr>
            <w:r w:rsidRPr="00640447">
              <w:rPr>
                <w:sz w:val="13"/>
                <w:szCs w:val="13"/>
              </w:rPr>
              <w:t>3.2.9.</w:t>
            </w:r>
          </w:p>
        </w:tc>
        <w:tc>
          <w:tcPr>
            <w:tcW w:w="616" w:type="pct"/>
            <w:tcBorders>
              <w:top w:val="nil"/>
              <w:left w:val="single" w:sz="4" w:space="0" w:color="auto"/>
              <w:bottom w:val="single" w:sz="4" w:space="0" w:color="auto"/>
              <w:right w:val="single" w:sz="4" w:space="0" w:color="auto"/>
            </w:tcBorders>
            <w:shd w:val="clear" w:color="auto" w:fill="auto"/>
            <w:vAlign w:val="center"/>
          </w:tcPr>
          <w:p w14:paraId="3E30D690" w14:textId="77777777" w:rsidR="004A0123" w:rsidRPr="00640447" w:rsidRDefault="004A0123" w:rsidP="008A5C11">
            <w:pPr>
              <w:rPr>
                <w:color w:val="000000"/>
                <w:sz w:val="13"/>
                <w:szCs w:val="13"/>
              </w:rPr>
            </w:pPr>
            <w:r w:rsidRPr="00640447">
              <w:rPr>
                <w:color w:val="000000"/>
                <w:sz w:val="13"/>
                <w:szCs w:val="13"/>
              </w:rPr>
              <w:t xml:space="preserve">Реконструкция теплосетевого комплекса Центрального планировочного района на участке от ТК-8 до </w:t>
            </w:r>
            <w:proofErr w:type="gramStart"/>
            <w:r w:rsidRPr="00640447">
              <w:rPr>
                <w:color w:val="000000"/>
                <w:sz w:val="13"/>
                <w:szCs w:val="13"/>
              </w:rPr>
              <w:t>проектируе-мой</w:t>
            </w:r>
            <w:proofErr w:type="gramEnd"/>
            <w:r w:rsidRPr="00640447">
              <w:rPr>
                <w:color w:val="000000"/>
                <w:sz w:val="13"/>
                <w:szCs w:val="13"/>
              </w:rPr>
              <w:t xml:space="preserve"> ПНС (в здании котельной № 13, с целью ее закрытия)</w:t>
            </w:r>
          </w:p>
        </w:tc>
        <w:tc>
          <w:tcPr>
            <w:tcW w:w="359" w:type="pct"/>
            <w:tcBorders>
              <w:top w:val="nil"/>
              <w:left w:val="nil"/>
              <w:bottom w:val="single" w:sz="4" w:space="0" w:color="auto"/>
              <w:right w:val="single" w:sz="4" w:space="0" w:color="auto"/>
            </w:tcBorders>
            <w:shd w:val="clear" w:color="auto" w:fill="auto"/>
            <w:vAlign w:val="center"/>
          </w:tcPr>
          <w:p w14:paraId="72A426C1" w14:textId="77777777" w:rsidR="004A0123" w:rsidRPr="00640447" w:rsidRDefault="004A0123" w:rsidP="008A5C11">
            <w:pPr>
              <w:jc w:val="center"/>
              <w:rPr>
                <w:color w:val="000000"/>
                <w:sz w:val="13"/>
                <w:szCs w:val="13"/>
              </w:rPr>
            </w:pPr>
            <w:r w:rsidRPr="00640447">
              <w:rPr>
                <w:color w:val="000000"/>
                <w:sz w:val="13"/>
                <w:szCs w:val="13"/>
              </w:rPr>
              <w:t>Повышение надежности теплоснабжения</w:t>
            </w:r>
          </w:p>
        </w:tc>
        <w:tc>
          <w:tcPr>
            <w:tcW w:w="360" w:type="pct"/>
            <w:tcBorders>
              <w:top w:val="nil"/>
              <w:left w:val="nil"/>
              <w:bottom w:val="single" w:sz="4" w:space="0" w:color="auto"/>
              <w:right w:val="single" w:sz="4" w:space="0" w:color="auto"/>
            </w:tcBorders>
            <w:shd w:val="clear" w:color="auto" w:fill="auto"/>
            <w:vAlign w:val="center"/>
          </w:tcPr>
          <w:p w14:paraId="1E6FAF27" w14:textId="77777777" w:rsidR="004A0123" w:rsidRPr="00640447" w:rsidRDefault="004A0123" w:rsidP="008A5C11">
            <w:pPr>
              <w:jc w:val="center"/>
              <w:rPr>
                <w:color w:val="000000"/>
                <w:sz w:val="13"/>
                <w:szCs w:val="13"/>
              </w:rPr>
            </w:pPr>
            <w:r w:rsidRPr="00640447">
              <w:rPr>
                <w:color w:val="000000"/>
                <w:sz w:val="13"/>
                <w:szCs w:val="13"/>
              </w:rPr>
              <w:t xml:space="preserve">г. Ленинск-Кузнецкий, </w:t>
            </w:r>
          </w:p>
          <w:p w14:paraId="3D9F3A84" w14:textId="77777777" w:rsidR="004A0123" w:rsidRPr="00640447" w:rsidRDefault="004A0123" w:rsidP="008A5C11">
            <w:pPr>
              <w:jc w:val="center"/>
              <w:rPr>
                <w:color w:val="000000"/>
                <w:sz w:val="13"/>
                <w:szCs w:val="13"/>
              </w:rPr>
            </w:pPr>
            <w:r w:rsidRPr="00640447">
              <w:rPr>
                <w:color w:val="000000"/>
                <w:sz w:val="13"/>
                <w:szCs w:val="13"/>
              </w:rPr>
              <w:t>ул. Зорина, 6б</w:t>
            </w:r>
          </w:p>
        </w:tc>
        <w:tc>
          <w:tcPr>
            <w:tcW w:w="338" w:type="pct"/>
            <w:tcBorders>
              <w:top w:val="nil"/>
              <w:left w:val="nil"/>
              <w:bottom w:val="single" w:sz="4" w:space="0" w:color="auto"/>
              <w:right w:val="single" w:sz="4" w:space="0" w:color="auto"/>
            </w:tcBorders>
            <w:shd w:val="clear" w:color="auto" w:fill="auto"/>
            <w:vAlign w:val="center"/>
          </w:tcPr>
          <w:p w14:paraId="2094C182" w14:textId="77777777" w:rsidR="004A0123" w:rsidRPr="00640447" w:rsidRDefault="004A0123" w:rsidP="008A5C11">
            <w:pPr>
              <w:jc w:val="center"/>
              <w:rPr>
                <w:sz w:val="13"/>
                <w:szCs w:val="13"/>
              </w:rPr>
            </w:pPr>
            <w:r w:rsidRPr="00640447">
              <w:rPr>
                <w:sz w:val="13"/>
                <w:szCs w:val="13"/>
              </w:rPr>
              <w:t>Протяженность (трассы)</w:t>
            </w:r>
          </w:p>
        </w:tc>
        <w:tc>
          <w:tcPr>
            <w:tcW w:w="116" w:type="pct"/>
            <w:tcBorders>
              <w:top w:val="nil"/>
              <w:left w:val="nil"/>
              <w:bottom w:val="single" w:sz="4" w:space="0" w:color="auto"/>
              <w:right w:val="single" w:sz="4" w:space="0" w:color="auto"/>
            </w:tcBorders>
            <w:shd w:val="clear" w:color="auto" w:fill="auto"/>
            <w:vAlign w:val="center"/>
          </w:tcPr>
          <w:p w14:paraId="05D04CC1" w14:textId="77777777" w:rsidR="004A0123" w:rsidRPr="00640447" w:rsidRDefault="004A0123" w:rsidP="008A5C11">
            <w:pPr>
              <w:jc w:val="center"/>
              <w:rPr>
                <w:sz w:val="13"/>
                <w:szCs w:val="13"/>
              </w:rPr>
            </w:pPr>
            <w:r w:rsidRPr="00640447">
              <w:rPr>
                <w:sz w:val="13"/>
                <w:szCs w:val="13"/>
              </w:rPr>
              <w:t>км</w:t>
            </w:r>
          </w:p>
        </w:tc>
        <w:tc>
          <w:tcPr>
            <w:tcW w:w="182" w:type="pct"/>
            <w:tcBorders>
              <w:top w:val="nil"/>
              <w:left w:val="single" w:sz="4" w:space="0" w:color="auto"/>
              <w:bottom w:val="single" w:sz="4" w:space="0" w:color="auto"/>
              <w:right w:val="single" w:sz="4" w:space="0" w:color="auto"/>
            </w:tcBorders>
            <w:shd w:val="clear" w:color="auto" w:fill="auto"/>
            <w:vAlign w:val="center"/>
          </w:tcPr>
          <w:p w14:paraId="231D4841" w14:textId="77777777" w:rsidR="004A0123" w:rsidRPr="00640447" w:rsidRDefault="004A0123" w:rsidP="008A5C11">
            <w:pPr>
              <w:jc w:val="center"/>
              <w:rPr>
                <w:sz w:val="13"/>
                <w:szCs w:val="13"/>
              </w:rPr>
            </w:pPr>
            <w:r w:rsidRPr="00640447">
              <w:rPr>
                <w:sz w:val="13"/>
                <w:szCs w:val="13"/>
              </w:rPr>
              <w:t>0</w:t>
            </w:r>
          </w:p>
        </w:tc>
        <w:tc>
          <w:tcPr>
            <w:tcW w:w="174" w:type="pct"/>
            <w:tcBorders>
              <w:top w:val="nil"/>
              <w:left w:val="nil"/>
              <w:bottom w:val="single" w:sz="4" w:space="0" w:color="auto"/>
              <w:right w:val="single" w:sz="4" w:space="0" w:color="auto"/>
            </w:tcBorders>
            <w:shd w:val="clear" w:color="auto" w:fill="auto"/>
            <w:vAlign w:val="center"/>
          </w:tcPr>
          <w:p w14:paraId="3569ABAC" w14:textId="77777777" w:rsidR="004A0123" w:rsidRPr="00640447" w:rsidRDefault="004A0123" w:rsidP="008A5C11">
            <w:pPr>
              <w:jc w:val="center"/>
              <w:rPr>
                <w:sz w:val="13"/>
                <w:szCs w:val="13"/>
              </w:rPr>
            </w:pPr>
            <w:r w:rsidRPr="00640447">
              <w:rPr>
                <w:sz w:val="13"/>
                <w:szCs w:val="13"/>
              </w:rPr>
              <w:t>3,4</w:t>
            </w:r>
          </w:p>
        </w:tc>
        <w:tc>
          <w:tcPr>
            <w:tcW w:w="189" w:type="pct"/>
            <w:tcBorders>
              <w:top w:val="nil"/>
              <w:left w:val="nil"/>
              <w:bottom w:val="single" w:sz="4" w:space="0" w:color="auto"/>
              <w:right w:val="single" w:sz="4" w:space="0" w:color="auto"/>
            </w:tcBorders>
            <w:shd w:val="clear" w:color="auto" w:fill="auto"/>
            <w:vAlign w:val="center"/>
          </w:tcPr>
          <w:p w14:paraId="31EBB8F5" w14:textId="77777777" w:rsidR="004A0123" w:rsidRPr="00640447" w:rsidRDefault="004A0123" w:rsidP="008A5C11">
            <w:pPr>
              <w:jc w:val="center"/>
              <w:rPr>
                <w:sz w:val="13"/>
                <w:szCs w:val="13"/>
              </w:rPr>
            </w:pPr>
            <w:r w:rsidRPr="00640447">
              <w:rPr>
                <w:sz w:val="13"/>
                <w:szCs w:val="13"/>
              </w:rPr>
              <w:t>2019</w:t>
            </w:r>
          </w:p>
        </w:tc>
        <w:tc>
          <w:tcPr>
            <w:tcW w:w="184" w:type="pct"/>
            <w:tcBorders>
              <w:top w:val="nil"/>
              <w:left w:val="nil"/>
              <w:bottom w:val="single" w:sz="4" w:space="0" w:color="auto"/>
              <w:right w:val="single" w:sz="4" w:space="0" w:color="auto"/>
            </w:tcBorders>
            <w:shd w:val="clear" w:color="auto" w:fill="auto"/>
            <w:vAlign w:val="center"/>
          </w:tcPr>
          <w:p w14:paraId="3B234FD1" w14:textId="77777777" w:rsidR="004A0123" w:rsidRPr="00640447" w:rsidRDefault="004A0123" w:rsidP="008A5C11">
            <w:pPr>
              <w:jc w:val="center"/>
              <w:rPr>
                <w:sz w:val="13"/>
                <w:szCs w:val="13"/>
              </w:rPr>
            </w:pPr>
            <w:r w:rsidRPr="00640447">
              <w:rPr>
                <w:sz w:val="13"/>
                <w:szCs w:val="13"/>
              </w:rPr>
              <w:t>2021</w:t>
            </w:r>
          </w:p>
        </w:tc>
        <w:tc>
          <w:tcPr>
            <w:tcW w:w="180" w:type="pct"/>
            <w:tcBorders>
              <w:top w:val="nil"/>
              <w:left w:val="nil"/>
              <w:bottom w:val="single" w:sz="4" w:space="0" w:color="auto"/>
              <w:right w:val="single" w:sz="4" w:space="0" w:color="auto"/>
            </w:tcBorders>
            <w:shd w:val="clear" w:color="auto" w:fill="auto"/>
            <w:vAlign w:val="center"/>
          </w:tcPr>
          <w:p w14:paraId="54B9E356" w14:textId="77777777" w:rsidR="004A0123" w:rsidRPr="00640447" w:rsidRDefault="004A0123" w:rsidP="008A5C11">
            <w:pPr>
              <w:jc w:val="center"/>
              <w:rPr>
                <w:sz w:val="13"/>
                <w:szCs w:val="13"/>
              </w:rPr>
            </w:pPr>
            <w:r w:rsidRPr="00640447">
              <w:rPr>
                <w:sz w:val="13"/>
                <w:szCs w:val="13"/>
              </w:rPr>
              <w:t>93627</w:t>
            </w:r>
          </w:p>
        </w:tc>
        <w:tc>
          <w:tcPr>
            <w:tcW w:w="187" w:type="pct"/>
            <w:tcBorders>
              <w:top w:val="nil"/>
              <w:left w:val="nil"/>
              <w:bottom w:val="single" w:sz="4" w:space="0" w:color="auto"/>
              <w:right w:val="single" w:sz="4" w:space="0" w:color="auto"/>
            </w:tcBorders>
            <w:shd w:val="clear" w:color="auto" w:fill="auto"/>
            <w:vAlign w:val="center"/>
          </w:tcPr>
          <w:p w14:paraId="7A532EFC" w14:textId="77777777" w:rsidR="004A0123" w:rsidRPr="00640447" w:rsidRDefault="004A0123" w:rsidP="008A5C11">
            <w:pPr>
              <w:jc w:val="center"/>
              <w:rPr>
                <w:sz w:val="13"/>
                <w:szCs w:val="13"/>
              </w:rPr>
            </w:pPr>
            <w:r w:rsidRPr="00640447">
              <w:rPr>
                <w:sz w:val="13"/>
                <w:szCs w:val="13"/>
              </w:rPr>
              <w:t>0</w:t>
            </w:r>
          </w:p>
        </w:tc>
        <w:tc>
          <w:tcPr>
            <w:tcW w:w="146" w:type="pct"/>
            <w:tcBorders>
              <w:top w:val="nil"/>
              <w:left w:val="single" w:sz="4" w:space="0" w:color="auto"/>
              <w:bottom w:val="single" w:sz="4" w:space="0" w:color="auto"/>
              <w:right w:val="single" w:sz="4" w:space="0" w:color="auto"/>
            </w:tcBorders>
            <w:shd w:val="clear" w:color="auto" w:fill="auto"/>
            <w:vAlign w:val="center"/>
          </w:tcPr>
          <w:p w14:paraId="643E6418" w14:textId="77777777" w:rsidR="004A0123" w:rsidRPr="00640447" w:rsidRDefault="004A0123" w:rsidP="008A5C11">
            <w:pPr>
              <w:jc w:val="center"/>
              <w:rPr>
                <w:sz w:val="13"/>
                <w:szCs w:val="13"/>
              </w:rPr>
            </w:pPr>
            <w:r w:rsidRPr="00640447">
              <w:rPr>
                <w:sz w:val="13"/>
                <w:szCs w:val="13"/>
              </w:rPr>
              <w:t>92900</w:t>
            </w:r>
          </w:p>
        </w:tc>
        <w:tc>
          <w:tcPr>
            <w:tcW w:w="149" w:type="pct"/>
            <w:tcBorders>
              <w:top w:val="nil"/>
              <w:left w:val="nil"/>
              <w:bottom w:val="single" w:sz="4" w:space="0" w:color="auto"/>
              <w:right w:val="single" w:sz="4" w:space="0" w:color="auto"/>
            </w:tcBorders>
            <w:shd w:val="clear" w:color="auto" w:fill="auto"/>
            <w:vAlign w:val="center"/>
          </w:tcPr>
          <w:p w14:paraId="4892D1F2" w14:textId="77777777" w:rsidR="004A0123" w:rsidRPr="00640447" w:rsidRDefault="004A0123" w:rsidP="008A5C11">
            <w:pPr>
              <w:jc w:val="center"/>
              <w:rPr>
                <w:sz w:val="13"/>
                <w:szCs w:val="13"/>
              </w:rPr>
            </w:pPr>
            <w:r w:rsidRPr="00640447">
              <w:rPr>
                <w:sz w:val="13"/>
                <w:szCs w:val="13"/>
              </w:rPr>
              <w:t>0</w:t>
            </w:r>
          </w:p>
        </w:tc>
        <w:tc>
          <w:tcPr>
            <w:tcW w:w="183" w:type="pct"/>
            <w:tcBorders>
              <w:top w:val="nil"/>
              <w:left w:val="nil"/>
              <w:bottom w:val="single" w:sz="4" w:space="0" w:color="auto"/>
              <w:right w:val="single" w:sz="4" w:space="0" w:color="auto"/>
            </w:tcBorders>
            <w:shd w:val="clear" w:color="auto" w:fill="auto"/>
            <w:vAlign w:val="center"/>
          </w:tcPr>
          <w:p w14:paraId="438D19F7" w14:textId="77777777" w:rsidR="004A0123" w:rsidRPr="00640447" w:rsidRDefault="004A0123" w:rsidP="008A5C11">
            <w:pPr>
              <w:jc w:val="center"/>
              <w:rPr>
                <w:sz w:val="13"/>
                <w:szCs w:val="13"/>
              </w:rPr>
            </w:pPr>
            <w:r w:rsidRPr="00640447">
              <w:rPr>
                <w:sz w:val="13"/>
                <w:szCs w:val="13"/>
              </w:rPr>
              <w:t>727</w:t>
            </w:r>
          </w:p>
        </w:tc>
        <w:tc>
          <w:tcPr>
            <w:tcW w:w="183" w:type="pct"/>
            <w:tcBorders>
              <w:top w:val="nil"/>
              <w:left w:val="nil"/>
              <w:bottom w:val="single" w:sz="4" w:space="0" w:color="auto"/>
              <w:right w:val="single" w:sz="4" w:space="0" w:color="auto"/>
            </w:tcBorders>
            <w:shd w:val="clear" w:color="auto" w:fill="auto"/>
            <w:vAlign w:val="center"/>
          </w:tcPr>
          <w:p w14:paraId="1729E589" w14:textId="77777777" w:rsidR="004A0123" w:rsidRPr="00640447" w:rsidRDefault="004A0123" w:rsidP="008A5C11">
            <w:pPr>
              <w:jc w:val="center"/>
              <w:rPr>
                <w:sz w:val="13"/>
                <w:szCs w:val="13"/>
              </w:rPr>
            </w:pPr>
            <w:r w:rsidRPr="00640447">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3D577337" w14:textId="77777777" w:rsidR="004A0123" w:rsidRPr="00640447" w:rsidRDefault="004A0123" w:rsidP="008A5C11">
            <w:pPr>
              <w:jc w:val="center"/>
              <w:rPr>
                <w:sz w:val="13"/>
                <w:szCs w:val="13"/>
              </w:rPr>
            </w:pPr>
            <w:r w:rsidRPr="00640447">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5EEBD288" w14:textId="77777777" w:rsidR="004A0123" w:rsidRPr="00640447" w:rsidRDefault="004A0123" w:rsidP="008A5C11">
            <w:pPr>
              <w:jc w:val="center"/>
              <w:rPr>
                <w:sz w:val="13"/>
                <w:szCs w:val="13"/>
              </w:rPr>
            </w:pPr>
            <w:r w:rsidRPr="00640447">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17F8852C" w14:textId="77777777" w:rsidR="004A0123" w:rsidRPr="00640447" w:rsidRDefault="004A0123" w:rsidP="008A5C11">
            <w:pPr>
              <w:jc w:val="center"/>
              <w:rPr>
                <w:sz w:val="13"/>
                <w:szCs w:val="13"/>
              </w:rPr>
            </w:pPr>
            <w:r w:rsidRPr="00640447">
              <w:rPr>
                <w:sz w:val="13"/>
                <w:szCs w:val="13"/>
              </w:rPr>
              <w:t>0</w:t>
            </w:r>
          </w:p>
        </w:tc>
        <w:tc>
          <w:tcPr>
            <w:tcW w:w="174" w:type="pct"/>
            <w:tcBorders>
              <w:top w:val="single" w:sz="4" w:space="0" w:color="auto"/>
              <w:left w:val="single" w:sz="4" w:space="0" w:color="auto"/>
              <w:bottom w:val="single" w:sz="4" w:space="0" w:color="auto"/>
              <w:right w:val="single" w:sz="4" w:space="0" w:color="auto"/>
            </w:tcBorders>
            <w:vAlign w:val="center"/>
          </w:tcPr>
          <w:p w14:paraId="3419B3B0" w14:textId="77777777" w:rsidR="004A0123" w:rsidRPr="00640447" w:rsidRDefault="004A0123" w:rsidP="008A5C11">
            <w:pPr>
              <w:jc w:val="center"/>
              <w:rPr>
                <w:sz w:val="13"/>
                <w:szCs w:val="13"/>
              </w:rPr>
            </w:pPr>
            <w:r w:rsidRPr="00640447">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590F4472" w14:textId="77777777" w:rsidR="004A0123" w:rsidRPr="00640447" w:rsidRDefault="004A0123" w:rsidP="008A5C11">
            <w:pPr>
              <w:jc w:val="center"/>
              <w:rPr>
                <w:sz w:val="13"/>
                <w:szCs w:val="13"/>
              </w:rPr>
            </w:pPr>
            <w:r w:rsidRPr="00640447">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39C1BDA1" w14:textId="77777777" w:rsidR="004A0123" w:rsidRPr="00640447" w:rsidRDefault="004A0123" w:rsidP="008A5C11">
            <w:pPr>
              <w:jc w:val="center"/>
              <w:rPr>
                <w:sz w:val="13"/>
                <w:szCs w:val="13"/>
              </w:rPr>
            </w:pPr>
            <w:r w:rsidRPr="00640447">
              <w:rPr>
                <w:sz w:val="13"/>
                <w:szCs w:val="13"/>
              </w:rPr>
              <w:t>0</w:t>
            </w:r>
          </w:p>
        </w:tc>
        <w:tc>
          <w:tcPr>
            <w:tcW w:w="188" w:type="pct"/>
            <w:tcBorders>
              <w:top w:val="single" w:sz="4" w:space="0" w:color="auto"/>
              <w:left w:val="single" w:sz="4" w:space="0" w:color="auto"/>
              <w:bottom w:val="single" w:sz="4" w:space="0" w:color="auto"/>
              <w:right w:val="single" w:sz="4" w:space="0" w:color="auto"/>
            </w:tcBorders>
            <w:vAlign w:val="center"/>
          </w:tcPr>
          <w:p w14:paraId="589498C3" w14:textId="77777777" w:rsidR="004A0123" w:rsidRPr="00640447" w:rsidRDefault="004A0123" w:rsidP="008A5C11">
            <w:pPr>
              <w:jc w:val="center"/>
              <w:rPr>
                <w:sz w:val="13"/>
                <w:szCs w:val="13"/>
              </w:rPr>
            </w:pPr>
            <w:r w:rsidRPr="00640447">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57B5516C" w14:textId="77777777" w:rsidR="004A0123" w:rsidRPr="00640447" w:rsidRDefault="004A0123" w:rsidP="008A5C11">
            <w:pPr>
              <w:jc w:val="center"/>
              <w:rPr>
                <w:sz w:val="13"/>
                <w:szCs w:val="13"/>
              </w:rPr>
            </w:pPr>
            <w:r w:rsidRPr="00640447">
              <w:rPr>
                <w:sz w:val="13"/>
                <w:szCs w:val="13"/>
              </w:rPr>
              <w:t>0</w:t>
            </w:r>
          </w:p>
        </w:tc>
      </w:tr>
      <w:tr w:rsidR="004A0123" w:rsidRPr="00640447" w14:paraId="34E01949" w14:textId="77777777" w:rsidTr="008A5C11">
        <w:trPr>
          <w:trHeight w:val="489"/>
        </w:trPr>
        <w:tc>
          <w:tcPr>
            <w:tcW w:w="146" w:type="pct"/>
            <w:shd w:val="clear" w:color="auto" w:fill="auto"/>
            <w:vAlign w:val="center"/>
          </w:tcPr>
          <w:p w14:paraId="6DE1DFA6" w14:textId="77777777" w:rsidR="004A0123" w:rsidRPr="00640447" w:rsidRDefault="004A0123" w:rsidP="008A5C11">
            <w:pPr>
              <w:jc w:val="center"/>
              <w:rPr>
                <w:sz w:val="13"/>
                <w:szCs w:val="13"/>
              </w:rPr>
            </w:pPr>
            <w:r w:rsidRPr="00640447">
              <w:rPr>
                <w:sz w:val="13"/>
                <w:szCs w:val="13"/>
              </w:rPr>
              <w:t>3.2.10.</w:t>
            </w:r>
          </w:p>
        </w:tc>
        <w:tc>
          <w:tcPr>
            <w:tcW w:w="616" w:type="pct"/>
            <w:tcBorders>
              <w:top w:val="nil"/>
              <w:left w:val="single" w:sz="4" w:space="0" w:color="auto"/>
              <w:bottom w:val="single" w:sz="4" w:space="0" w:color="auto"/>
              <w:right w:val="single" w:sz="4" w:space="0" w:color="auto"/>
            </w:tcBorders>
            <w:shd w:val="clear" w:color="auto" w:fill="auto"/>
            <w:vAlign w:val="center"/>
          </w:tcPr>
          <w:p w14:paraId="0D4DD340" w14:textId="77777777" w:rsidR="004A0123" w:rsidRPr="00640447" w:rsidRDefault="004A0123" w:rsidP="008A5C11">
            <w:pPr>
              <w:rPr>
                <w:color w:val="000000"/>
                <w:sz w:val="13"/>
                <w:szCs w:val="13"/>
              </w:rPr>
            </w:pPr>
            <w:r w:rsidRPr="00640447">
              <w:rPr>
                <w:color w:val="000000"/>
                <w:sz w:val="13"/>
                <w:szCs w:val="13"/>
              </w:rPr>
              <w:t>Котельная «Центральная». Проектирование и замена котла № 1 на КВ-РФ-30-150 с топкой ВКС</w:t>
            </w:r>
          </w:p>
        </w:tc>
        <w:tc>
          <w:tcPr>
            <w:tcW w:w="359" w:type="pct"/>
            <w:tcBorders>
              <w:top w:val="nil"/>
              <w:left w:val="nil"/>
              <w:bottom w:val="single" w:sz="4" w:space="0" w:color="auto"/>
              <w:right w:val="single" w:sz="4" w:space="0" w:color="auto"/>
            </w:tcBorders>
            <w:shd w:val="clear" w:color="auto" w:fill="auto"/>
            <w:vAlign w:val="center"/>
          </w:tcPr>
          <w:p w14:paraId="7DAE001C" w14:textId="77777777" w:rsidR="004A0123" w:rsidRPr="00640447" w:rsidRDefault="004A0123" w:rsidP="008A5C11">
            <w:pPr>
              <w:jc w:val="center"/>
              <w:rPr>
                <w:color w:val="000000"/>
                <w:sz w:val="13"/>
                <w:szCs w:val="13"/>
              </w:rPr>
            </w:pPr>
            <w:r w:rsidRPr="00640447">
              <w:rPr>
                <w:color w:val="000000"/>
                <w:sz w:val="13"/>
                <w:szCs w:val="13"/>
              </w:rPr>
              <w:t>Повышение надежности теплоснабжения</w:t>
            </w:r>
          </w:p>
        </w:tc>
        <w:tc>
          <w:tcPr>
            <w:tcW w:w="360" w:type="pct"/>
            <w:tcBorders>
              <w:top w:val="nil"/>
              <w:left w:val="nil"/>
              <w:bottom w:val="single" w:sz="4" w:space="0" w:color="auto"/>
              <w:right w:val="single" w:sz="4" w:space="0" w:color="auto"/>
            </w:tcBorders>
            <w:shd w:val="clear" w:color="auto" w:fill="auto"/>
            <w:vAlign w:val="center"/>
          </w:tcPr>
          <w:p w14:paraId="1747256A" w14:textId="77777777" w:rsidR="004A0123" w:rsidRPr="00640447" w:rsidRDefault="004A0123" w:rsidP="008A5C11">
            <w:pPr>
              <w:jc w:val="center"/>
              <w:rPr>
                <w:color w:val="000000"/>
                <w:sz w:val="13"/>
                <w:szCs w:val="13"/>
              </w:rPr>
            </w:pPr>
            <w:r w:rsidRPr="00640447">
              <w:rPr>
                <w:color w:val="000000"/>
                <w:sz w:val="13"/>
                <w:szCs w:val="13"/>
              </w:rPr>
              <w:t xml:space="preserve">г. Ленинск-Кузнецкий, </w:t>
            </w:r>
          </w:p>
          <w:p w14:paraId="1F731513" w14:textId="77777777" w:rsidR="004A0123" w:rsidRPr="00640447" w:rsidRDefault="004A0123" w:rsidP="008A5C11">
            <w:pPr>
              <w:jc w:val="center"/>
              <w:rPr>
                <w:color w:val="000000"/>
                <w:sz w:val="13"/>
                <w:szCs w:val="13"/>
              </w:rPr>
            </w:pPr>
            <w:r w:rsidRPr="00640447">
              <w:rPr>
                <w:color w:val="000000"/>
                <w:sz w:val="13"/>
                <w:szCs w:val="13"/>
              </w:rPr>
              <w:t>ул. Суворова, 21а</w:t>
            </w:r>
          </w:p>
        </w:tc>
        <w:tc>
          <w:tcPr>
            <w:tcW w:w="338" w:type="pct"/>
            <w:tcBorders>
              <w:top w:val="nil"/>
              <w:left w:val="nil"/>
              <w:bottom w:val="single" w:sz="4" w:space="0" w:color="auto"/>
              <w:right w:val="single" w:sz="4" w:space="0" w:color="auto"/>
            </w:tcBorders>
            <w:shd w:val="clear" w:color="auto" w:fill="auto"/>
            <w:vAlign w:val="center"/>
          </w:tcPr>
          <w:p w14:paraId="1CFC2AE8" w14:textId="77777777" w:rsidR="004A0123" w:rsidRPr="00640447" w:rsidRDefault="004A0123" w:rsidP="008A5C11">
            <w:pPr>
              <w:jc w:val="center"/>
              <w:rPr>
                <w:sz w:val="13"/>
                <w:szCs w:val="13"/>
              </w:rPr>
            </w:pPr>
            <w:r w:rsidRPr="00640447">
              <w:rPr>
                <w:sz w:val="13"/>
                <w:szCs w:val="13"/>
              </w:rPr>
              <w:t>Установленная мощность</w:t>
            </w:r>
          </w:p>
        </w:tc>
        <w:tc>
          <w:tcPr>
            <w:tcW w:w="116" w:type="pct"/>
            <w:tcBorders>
              <w:top w:val="nil"/>
              <w:left w:val="nil"/>
              <w:bottom w:val="single" w:sz="4" w:space="0" w:color="auto"/>
              <w:right w:val="single" w:sz="4" w:space="0" w:color="auto"/>
            </w:tcBorders>
            <w:shd w:val="clear" w:color="auto" w:fill="auto"/>
            <w:vAlign w:val="center"/>
          </w:tcPr>
          <w:p w14:paraId="1106D82E" w14:textId="77777777" w:rsidR="004A0123" w:rsidRPr="00640447" w:rsidRDefault="004A0123" w:rsidP="008A5C11">
            <w:pPr>
              <w:jc w:val="center"/>
              <w:rPr>
                <w:sz w:val="13"/>
                <w:szCs w:val="13"/>
              </w:rPr>
            </w:pPr>
            <w:r w:rsidRPr="00640447">
              <w:rPr>
                <w:sz w:val="13"/>
                <w:szCs w:val="13"/>
              </w:rPr>
              <w:t>Гкал/ч</w:t>
            </w:r>
          </w:p>
        </w:tc>
        <w:tc>
          <w:tcPr>
            <w:tcW w:w="182" w:type="pct"/>
            <w:tcBorders>
              <w:top w:val="nil"/>
              <w:left w:val="single" w:sz="4" w:space="0" w:color="auto"/>
              <w:bottom w:val="single" w:sz="4" w:space="0" w:color="auto"/>
              <w:right w:val="single" w:sz="4" w:space="0" w:color="auto"/>
            </w:tcBorders>
            <w:shd w:val="clear" w:color="auto" w:fill="auto"/>
            <w:vAlign w:val="center"/>
          </w:tcPr>
          <w:p w14:paraId="4EA024A4" w14:textId="77777777" w:rsidR="004A0123" w:rsidRPr="00640447" w:rsidRDefault="004A0123" w:rsidP="008A5C11">
            <w:pPr>
              <w:jc w:val="center"/>
              <w:rPr>
                <w:sz w:val="13"/>
                <w:szCs w:val="13"/>
              </w:rPr>
            </w:pPr>
            <w:r w:rsidRPr="00640447">
              <w:rPr>
                <w:sz w:val="13"/>
                <w:szCs w:val="13"/>
              </w:rPr>
              <w:t>20</w:t>
            </w:r>
          </w:p>
        </w:tc>
        <w:tc>
          <w:tcPr>
            <w:tcW w:w="174" w:type="pct"/>
            <w:tcBorders>
              <w:top w:val="nil"/>
              <w:left w:val="nil"/>
              <w:bottom w:val="single" w:sz="4" w:space="0" w:color="auto"/>
              <w:right w:val="single" w:sz="4" w:space="0" w:color="auto"/>
            </w:tcBorders>
            <w:shd w:val="clear" w:color="auto" w:fill="auto"/>
            <w:vAlign w:val="center"/>
          </w:tcPr>
          <w:p w14:paraId="70AA8FCD" w14:textId="77777777" w:rsidR="004A0123" w:rsidRPr="00640447" w:rsidRDefault="004A0123" w:rsidP="008A5C11">
            <w:pPr>
              <w:jc w:val="center"/>
              <w:rPr>
                <w:sz w:val="13"/>
                <w:szCs w:val="13"/>
              </w:rPr>
            </w:pPr>
            <w:r w:rsidRPr="00640447">
              <w:rPr>
                <w:sz w:val="13"/>
                <w:szCs w:val="13"/>
              </w:rPr>
              <w:t>30</w:t>
            </w:r>
          </w:p>
        </w:tc>
        <w:tc>
          <w:tcPr>
            <w:tcW w:w="189" w:type="pct"/>
            <w:tcBorders>
              <w:top w:val="nil"/>
              <w:left w:val="nil"/>
              <w:bottom w:val="single" w:sz="4" w:space="0" w:color="auto"/>
              <w:right w:val="single" w:sz="4" w:space="0" w:color="auto"/>
            </w:tcBorders>
            <w:shd w:val="clear" w:color="auto" w:fill="auto"/>
            <w:vAlign w:val="center"/>
          </w:tcPr>
          <w:p w14:paraId="5A5B9EB6" w14:textId="77777777" w:rsidR="004A0123" w:rsidRPr="00640447" w:rsidRDefault="004A0123" w:rsidP="008A5C11">
            <w:pPr>
              <w:jc w:val="center"/>
              <w:rPr>
                <w:sz w:val="13"/>
                <w:szCs w:val="13"/>
              </w:rPr>
            </w:pPr>
            <w:r w:rsidRPr="00640447">
              <w:rPr>
                <w:sz w:val="13"/>
                <w:szCs w:val="13"/>
              </w:rPr>
              <w:t>2022</w:t>
            </w:r>
          </w:p>
        </w:tc>
        <w:tc>
          <w:tcPr>
            <w:tcW w:w="184" w:type="pct"/>
            <w:tcBorders>
              <w:top w:val="nil"/>
              <w:left w:val="nil"/>
              <w:bottom w:val="single" w:sz="4" w:space="0" w:color="auto"/>
              <w:right w:val="single" w:sz="4" w:space="0" w:color="auto"/>
            </w:tcBorders>
            <w:shd w:val="clear" w:color="auto" w:fill="auto"/>
            <w:vAlign w:val="center"/>
          </w:tcPr>
          <w:p w14:paraId="07E4940C" w14:textId="77777777" w:rsidR="004A0123" w:rsidRPr="00640447" w:rsidRDefault="004A0123" w:rsidP="008A5C11">
            <w:pPr>
              <w:jc w:val="center"/>
              <w:rPr>
                <w:sz w:val="13"/>
                <w:szCs w:val="13"/>
              </w:rPr>
            </w:pPr>
            <w:r w:rsidRPr="00640447">
              <w:rPr>
                <w:sz w:val="13"/>
                <w:szCs w:val="13"/>
              </w:rPr>
              <w:t>2022</w:t>
            </w:r>
          </w:p>
        </w:tc>
        <w:tc>
          <w:tcPr>
            <w:tcW w:w="180" w:type="pct"/>
            <w:tcBorders>
              <w:top w:val="nil"/>
              <w:left w:val="nil"/>
              <w:bottom w:val="single" w:sz="4" w:space="0" w:color="auto"/>
              <w:right w:val="single" w:sz="4" w:space="0" w:color="auto"/>
            </w:tcBorders>
            <w:shd w:val="clear" w:color="auto" w:fill="auto"/>
            <w:vAlign w:val="center"/>
          </w:tcPr>
          <w:p w14:paraId="6710415C" w14:textId="77777777" w:rsidR="004A0123" w:rsidRPr="00640447" w:rsidRDefault="004A0123" w:rsidP="008A5C11">
            <w:pPr>
              <w:jc w:val="center"/>
              <w:rPr>
                <w:sz w:val="13"/>
                <w:szCs w:val="13"/>
              </w:rPr>
            </w:pPr>
            <w:r w:rsidRPr="00640447">
              <w:rPr>
                <w:sz w:val="13"/>
                <w:szCs w:val="13"/>
              </w:rPr>
              <w:t>45079</w:t>
            </w:r>
          </w:p>
        </w:tc>
        <w:tc>
          <w:tcPr>
            <w:tcW w:w="187" w:type="pct"/>
            <w:tcBorders>
              <w:top w:val="nil"/>
              <w:left w:val="nil"/>
              <w:bottom w:val="single" w:sz="4" w:space="0" w:color="auto"/>
              <w:right w:val="single" w:sz="4" w:space="0" w:color="auto"/>
            </w:tcBorders>
            <w:shd w:val="clear" w:color="auto" w:fill="auto"/>
            <w:vAlign w:val="center"/>
          </w:tcPr>
          <w:p w14:paraId="75A85EAE" w14:textId="77777777" w:rsidR="004A0123" w:rsidRPr="00640447" w:rsidRDefault="004A0123" w:rsidP="008A5C11">
            <w:pPr>
              <w:jc w:val="center"/>
              <w:rPr>
                <w:sz w:val="13"/>
                <w:szCs w:val="13"/>
              </w:rPr>
            </w:pPr>
            <w:r w:rsidRPr="00640447">
              <w:rPr>
                <w:sz w:val="13"/>
                <w:szCs w:val="13"/>
              </w:rPr>
              <w:t>0</w:t>
            </w:r>
          </w:p>
        </w:tc>
        <w:tc>
          <w:tcPr>
            <w:tcW w:w="146" w:type="pct"/>
            <w:tcBorders>
              <w:top w:val="nil"/>
              <w:left w:val="single" w:sz="4" w:space="0" w:color="auto"/>
              <w:bottom w:val="single" w:sz="4" w:space="0" w:color="auto"/>
              <w:right w:val="single" w:sz="4" w:space="0" w:color="auto"/>
            </w:tcBorders>
            <w:shd w:val="clear" w:color="auto" w:fill="auto"/>
            <w:vAlign w:val="center"/>
          </w:tcPr>
          <w:p w14:paraId="57452781" w14:textId="77777777" w:rsidR="004A0123" w:rsidRPr="00640447" w:rsidRDefault="004A0123" w:rsidP="008A5C11">
            <w:pPr>
              <w:jc w:val="center"/>
              <w:rPr>
                <w:sz w:val="13"/>
                <w:szCs w:val="13"/>
              </w:rPr>
            </w:pPr>
            <w:r w:rsidRPr="00640447">
              <w:rPr>
                <w:sz w:val="13"/>
                <w:szCs w:val="13"/>
              </w:rPr>
              <w:t>0</w:t>
            </w:r>
          </w:p>
        </w:tc>
        <w:tc>
          <w:tcPr>
            <w:tcW w:w="149" w:type="pct"/>
            <w:tcBorders>
              <w:top w:val="nil"/>
              <w:left w:val="nil"/>
              <w:bottom w:val="single" w:sz="4" w:space="0" w:color="auto"/>
              <w:right w:val="single" w:sz="4" w:space="0" w:color="auto"/>
            </w:tcBorders>
            <w:shd w:val="clear" w:color="auto" w:fill="auto"/>
            <w:vAlign w:val="center"/>
          </w:tcPr>
          <w:p w14:paraId="13096817" w14:textId="77777777" w:rsidR="004A0123" w:rsidRPr="00640447" w:rsidRDefault="004A0123" w:rsidP="008A5C11">
            <w:pPr>
              <w:jc w:val="center"/>
              <w:rPr>
                <w:sz w:val="13"/>
                <w:szCs w:val="13"/>
              </w:rPr>
            </w:pPr>
            <w:r w:rsidRPr="00640447">
              <w:rPr>
                <w:sz w:val="13"/>
                <w:szCs w:val="13"/>
              </w:rPr>
              <w:t>0</w:t>
            </w:r>
          </w:p>
        </w:tc>
        <w:tc>
          <w:tcPr>
            <w:tcW w:w="183" w:type="pct"/>
            <w:tcBorders>
              <w:top w:val="nil"/>
              <w:left w:val="nil"/>
              <w:bottom w:val="single" w:sz="4" w:space="0" w:color="auto"/>
              <w:right w:val="single" w:sz="4" w:space="0" w:color="auto"/>
            </w:tcBorders>
            <w:shd w:val="clear" w:color="auto" w:fill="auto"/>
            <w:vAlign w:val="center"/>
          </w:tcPr>
          <w:p w14:paraId="6AEB073B" w14:textId="77777777" w:rsidR="004A0123" w:rsidRPr="00640447" w:rsidRDefault="004A0123" w:rsidP="008A5C11">
            <w:pPr>
              <w:jc w:val="center"/>
              <w:rPr>
                <w:sz w:val="13"/>
                <w:szCs w:val="13"/>
              </w:rPr>
            </w:pPr>
            <w:r w:rsidRPr="00640447">
              <w:rPr>
                <w:sz w:val="13"/>
                <w:szCs w:val="13"/>
              </w:rPr>
              <w:t>0</w:t>
            </w:r>
          </w:p>
        </w:tc>
        <w:tc>
          <w:tcPr>
            <w:tcW w:w="183" w:type="pct"/>
            <w:tcBorders>
              <w:top w:val="nil"/>
              <w:left w:val="nil"/>
              <w:bottom w:val="single" w:sz="4" w:space="0" w:color="auto"/>
              <w:right w:val="single" w:sz="4" w:space="0" w:color="auto"/>
            </w:tcBorders>
            <w:shd w:val="clear" w:color="auto" w:fill="auto"/>
            <w:vAlign w:val="center"/>
          </w:tcPr>
          <w:p w14:paraId="55814A35" w14:textId="77777777" w:rsidR="004A0123" w:rsidRPr="00640447" w:rsidRDefault="004A0123" w:rsidP="008A5C11">
            <w:pPr>
              <w:jc w:val="center"/>
              <w:rPr>
                <w:sz w:val="13"/>
                <w:szCs w:val="13"/>
              </w:rPr>
            </w:pPr>
            <w:r w:rsidRPr="00640447">
              <w:rPr>
                <w:sz w:val="13"/>
                <w:szCs w:val="13"/>
              </w:rPr>
              <w:t>45079</w:t>
            </w:r>
          </w:p>
        </w:tc>
        <w:tc>
          <w:tcPr>
            <w:tcW w:w="155" w:type="pct"/>
            <w:tcBorders>
              <w:top w:val="single" w:sz="4" w:space="0" w:color="auto"/>
              <w:left w:val="single" w:sz="4" w:space="0" w:color="auto"/>
              <w:bottom w:val="single" w:sz="4" w:space="0" w:color="auto"/>
              <w:right w:val="single" w:sz="4" w:space="0" w:color="auto"/>
            </w:tcBorders>
            <w:vAlign w:val="center"/>
          </w:tcPr>
          <w:p w14:paraId="5C08C31F" w14:textId="77777777" w:rsidR="004A0123" w:rsidRPr="00640447" w:rsidRDefault="004A0123" w:rsidP="008A5C11">
            <w:pPr>
              <w:jc w:val="center"/>
              <w:rPr>
                <w:sz w:val="13"/>
                <w:szCs w:val="13"/>
              </w:rPr>
            </w:pPr>
            <w:r w:rsidRPr="00640447">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57325D5E" w14:textId="77777777" w:rsidR="004A0123" w:rsidRPr="00640447" w:rsidRDefault="004A0123" w:rsidP="008A5C11">
            <w:pPr>
              <w:jc w:val="center"/>
              <w:rPr>
                <w:sz w:val="13"/>
                <w:szCs w:val="13"/>
              </w:rPr>
            </w:pPr>
            <w:r w:rsidRPr="00640447">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4234C893" w14:textId="77777777" w:rsidR="004A0123" w:rsidRPr="00640447" w:rsidRDefault="004A0123" w:rsidP="008A5C11">
            <w:pPr>
              <w:jc w:val="center"/>
              <w:rPr>
                <w:sz w:val="13"/>
                <w:szCs w:val="13"/>
              </w:rPr>
            </w:pPr>
            <w:r w:rsidRPr="00640447">
              <w:rPr>
                <w:sz w:val="13"/>
                <w:szCs w:val="13"/>
              </w:rPr>
              <w:t>0</w:t>
            </w:r>
          </w:p>
        </w:tc>
        <w:tc>
          <w:tcPr>
            <w:tcW w:w="174" w:type="pct"/>
            <w:tcBorders>
              <w:top w:val="single" w:sz="4" w:space="0" w:color="auto"/>
              <w:left w:val="single" w:sz="4" w:space="0" w:color="auto"/>
              <w:bottom w:val="single" w:sz="4" w:space="0" w:color="auto"/>
              <w:right w:val="single" w:sz="4" w:space="0" w:color="auto"/>
            </w:tcBorders>
            <w:vAlign w:val="center"/>
          </w:tcPr>
          <w:p w14:paraId="7DFF78AE" w14:textId="77777777" w:rsidR="004A0123" w:rsidRPr="00640447" w:rsidRDefault="004A0123" w:rsidP="008A5C11">
            <w:pPr>
              <w:jc w:val="center"/>
              <w:rPr>
                <w:sz w:val="13"/>
                <w:szCs w:val="13"/>
              </w:rPr>
            </w:pPr>
            <w:r w:rsidRPr="00640447">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4CC59DC7" w14:textId="77777777" w:rsidR="004A0123" w:rsidRPr="00640447" w:rsidRDefault="004A0123" w:rsidP="008A5C11">
            <w:pPr>
              <w:jc w:val="center"/>
              <w:rPr>
                <w:sz w:val="13"/>
                <w:szCs w:val="13"/>
              </w:rPr>
            </w:pPr>
            <w:r w:rsidRPr="00640447">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5442AACA" w14:textId="77777777" w:rsidR="004A0123" w:rsidRPr="00640447" w:rsidRDefault="004A0123" w:rsidP="008A5C11">
            <w:pPr>
              <w:jc w:val="center"/>
              <w:rPr>
                <w:sz w:val="13"/>
                <w:szCs w:val="13"/>
              </w:rPr>
            </w:pPr>
            <w:r w:rsidRPr="00640447">
              <w:rPr>
                <w:sz w:val="13"/>
                <w:szCs w:val="13"/>
              </w:rPr>
              <w:t>0</w:t>
            </w:r>
          </w:p>
        </w:tc>
        <w:tc>
          <w:tcPr>
            <w:tcW w:w="188" w:type="pct"/>
            <w:tcBorders>
              <w:top w:val="single" w:sz="4" w:space="0" w:color="auto"/>
              <w:left w:val="single" w:sz="4" w:space="0" w:color="auto"/>
              <w:bottom w:val="single" w:sz="4" w:space="0" w:color="auto"/>
              <w:right w:val="single" w:sz="4" w:space="0" w:color="auto"/>
            </w:tcBorders>
            <w:vAlign w:val="center"/>
          </w:tcPr>
          <w:p w14:paraId="1C9EFCDF" w14:textId="77777777" w:rsidR="004A0123" w:rsidRPr="00640447" w:rsidRDefault="004A0123" w:rsidP="008A5C11">
            <w:pPr>
              <w:jc w:val="center"/>
              <w:rPr>
                <w:sz w:val="13"/>
                <w:szCs w:val="13"/>
              </w:rPr>
            </w:pPr>
            <w:r w:rsidRPr="00640447">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1A57C9A9" w14:textId="77777777" w:rsidR="004A0123" w:rsidRPr="00640447" w:rsidRDefault="004A0123" w:rsidP="008A5C11">
            <w:pPr>
              <w:jc w:val="center"/>
              <w:rPr>
                <w:sz w:val="13"/>
                <w:szCs w:val="13"/>
              </w:rPr>
            </w:pPr>
            <w:r w:rsidRPr="00640447">
              <w:rPr>
                <w:sz w:val="13"/>
                <w:szCs w:val="13"/>
              </w:rPr>
              <w:t>0</w:t>
            </w:r>
          </w:p>
        </w:tc>
      </w:tr>
      <w:tr w:rsidR="004A0123" w:rsidRPr="00640447" w14:paraId="290C45EA" w14:textId="77777777" w:rsidTr="008A5C11">
        <w:trPr>
          <w:trHeight w:val="64"/>
        </w:trPr>
        <w:tc>
          <w:tcPr>
            <w:tcW w:w="146" w:type="pct"/>
            <w:tcBorders>
              <w:bottom w:val="single" w:sz="4" w:space="0" w:color="auto"/>
            </w:tcBorders>
            <w:shd w:val="clear" w:color="auto" w:fill="auto"/>
            <w:vAlign w:val="center"/>
          </w:tcPr>
          <w:p w14:paraId="1436C48A" w14:textId="77777777" w:rsidR="004A0123" w:rsidRPr="00640447" w:rsidRDefault="004A0123" w:rsidP="008A5C11">
            <w:pPr>
              <w:jc w:val="center"/>
              <w:rPr>
                <w:sz w:val="13"/>
                <w:szCs w:val="13"/>
              </w:rPr>
            </w:pPr>
            <w:r w:rsidRPr="00640447">
              <w:rPr>
                <w:sz w:val="13"/>
                <w:szCs w:val="13"/>
              </w:rPr>
              <w:t>3.2.11.</w:t>
            </w:r>
          </w:p>
        </w:tc>
        <w:tc>
          <w:tcPr>
            <w:tcW w:w="616" w:type="pct"/>
            <w:tcBorders>
              <w:top w:val="nil"/>
              <w:left w:val="single" w:sz="4" w:space="0" w:color="auto"/>
              <w:bottom w:val="single" w:sz="4" w:space="0" w:color="auto"/>
              <w:right w:val="single" w:sz="4" w:space="0" w:color="auto"/>
            </w:tcBorders>
            <w:shd w:val="clear" w:color="auto" w:fill="auto"/>
            <w:vAlign w:val="center"/>
          </w:tcPr>
          <w:p w14:paraId="141E8C65" w14:textId="77777777" w:rsidR="004A0123" w:rsidRPr="00640447" w:rsidRDefault="004A0123" w:rsidP="008A5C11">
            <w:pPr>
              <w:rPr>
                <w:color w:val="000000"/>
                <w:sz w:val="13"/>
                <w:szCs w:val="13"/>
              </w:rPr>
            </w:pPr>
            <w:r w:rsidRPr="00640447">
              <w:rPr>
                <w:color w:val="000000"/>
                <w:sz w:val="13"/>
                <w:szCs w:val="13"/>
              </w:rPr>
              <w:t>г. Ленинск-Кузнецкий. Котельная «Центральная». Проектирование и замена котла № 2, 3 на КВ-РФ-30-150 с топкой ВКС</w:t>
            </w:r>
          </w:p>
        </w:tc>
        <w:tc>
          <w:tcPr>
            <w:tcW w:w="359" w:type="pct"/>
            <w:tcBorders>
              <w:top w:val="nil"/>
              <w:left w:val="nil"/>
              <w:bottom w:val="single" w:sz="4" w:space="0" w:color="auto"/>
              <w:right w:val="single" w:sz="4" w:space="0" w:color="auto"/>
            </w:tcBorders>
            <w:shd w:val="clear" w:color="auto" w:fill="auto"/>
            <w:vAlign w:val="center"/>
          </w:tcPr>
          <w:p w14:paraId="72FCC33F" w14:textId="77777777" w:rsidR="004A0123" w:rsidRPr="00640447" w:rsidRDefault="004A0123" w:rsidP="008A5C11">
            <w:pPr>
              <w:jc w:val="center"/>
              <w:rPr>
                <w:color w:val="000000"/>
                <w:sz w:val="13"/>
                <w:szCs w:val="13"/>
              </w:rPr>
            </w:pPr>
            <w:r w:rsidRPr="00640447">
              <w:rPr>
                <w:color w:val="000000"/>
                <w:sz w:val="13"/>
                <w:szCs w:val="13"/>
              </w:rPr>
              <w:t>Повышение надежности теплоснабжения</w:t>
            </w:r>
          </w:p>
        </w:tc>
        <w:tc>
          <w:tcPr>
            <w:tcW w:w="360" w:type="pct"/>
            <w:tcBorders>
              <w:top w:val="nil"/>
              <w:left w:val="nil"/>
              <w:bottom w:val="single" w:sz="4" w:space="0" w:color="auto"/>
              <w:right w:val="single" w:sz="4" w:space="0" w:color="auto"/>
            </w:tcBorders>
            <w:shd w:val="clear" w:color="auto" w:fill="auto"/>
            <w:vAlign w:val="center"/>
          </w:tcPr>
          <w:p w14:paraId="65DB4FCE" w14:textId="77777777" w:rsidR="004A0123" w:rsidRPr="00640447" w:rsidRDefault="004A0123" w:rsidP="008A5C11">
            <w:pPr>
              <w:jc w:val="center"/>
              <w:rPr>
                <w:color w:val="000000"/>
                <w:sz w:val="13"/>
                <w:szCs w:val="13"/>
              </w:rPr>
            </w:pPr>
            <w:r w:rsidRPr="00640447">
              <w:rPr>
                <w:color w:val="000000"/>
                <w:sz w:val="13"/>
                <w:szCs w:val="13"/>
              </w:rPr>
              <w:t xml:space="preserve">г. Ленинск-Кузнецкий, </w:t>
            </w:r>
          </w:p>
          <w:p w14:paraId="29917EDC" w14:textId="77777777" w:rsidR="004A0123" w:rsidRPr="00640447" w:rsidRDefault="004A0123" w:rsidP="008A5C11">
            <w:pPr>
              <w:jc w:val="center"/>
              <w:rPr>
                <w:color w:val="000000"/>
                <w:sz w:val="13"/>
                <w:szCs w:val="13"/>
              </w:rPr>
            </w:pPr>
            <w:r w:rsidRPr="00640447">
              <w:rPr>
                <w:color w:val="000000"/>
                <w:sz w:val="13"/>
                <w:szCs w:val="13"/>
              </w:rPr>
              <w:t>ул. Суворова, 21а</w:t>
            </w:r>
          </w:p>
        </w:tc>
        <w:tc>
          <w:tcPr>
            <w:tcW w:w="338" w:type="pct"/>
            <w:tcBorders>
              <w:top w:val="nil"/>
              <w:left w:val="nil"/>
              <w:bottom w:val="single" w:sz="4" w:space="0" w:color="auto"/>
              <w:right w:val="single" w:sz="4" w:space="0" w:color="auto"/>
            </w:tcBorders>
            <w:shd w:val="clear" w:color="auto" w:fill="auto"/>
            <w:vAlign w:val="center"/>
          </w:tcPr>
          <w:p w14:paraId="4DBC7C69" w14:textId="77777777" w:rsidR="004A0123" w:rsidRPr="00640447" w:rsidRDefault="004A0123" w:rsidP="008A5C11">
            <w:pPr>
              <w:jc w:val="center"/>
              <w:rPr>
                <w:sz w:val="13"/>
                <w:szCs w:val="13"/>
              </w:rPr>
            </w:pPr>
            <w:r w:rsidRPr="00640447">
              <w:rPr>
                <w:sz w:val="13"/>
                <w:szCs w:val="13"/>
              </w:rPr>
              <w:t>Установленная мощность</w:t>
            </w:r>
          </w:p>
        </w:tc>
        <w:tc>
          <w:tcPr>
            <w:tcW w:w="116" w:type="pct"/>
            <w:tcBorders>
              <w:top w:val="nil"/>
              <w:left w:val="nil"/>
              <w:bottom w:val="single" w:sz="4" w:space="0" w:color="auto"/>
              <w:right w:val="single" w:sz="4" w:space="0" w:color="auto"/>
            </w:tcBorders>
            <w:shd w:val="clear" w:color="auto" w:fill="auto"/>
            <w:vAlign w:val="center"/>
          </w:tcPr>
          <w:p w14:paraId="52FDB4B7" w14:textId="77777777" w:rsidR="004A0123" w:rsidRPr="00640447" w:rsidRDefault="004A0123" w:rsidP="008A5C11">
            <w:pPr>
              <w:jc w:val="center"/>
              <w:rPr>
                <w:sz w:val="13"/>
                <w:szCs w:val="13"/>
              </w:rPr>
            </w:pPr>
            <w:r w:rsidRPr="00640447">
              <w:rPr>
                <w:sz w:val="13"/>
                <w:szCs w:val="13"/>
              </w:rPr>
              <w:t>Гкал/ч</w:t>
            </w:r>
          </w:p>
        </w:tc>
        <w:tc>
          <w:tcPr>
            <w:tcW w:w="182" w:type="pct"/>
            <w:tcBorders>
              <w:top w:val="nil"/>
              <w:left w:val="single" w:sz="4" w:space="0" w:color="auto"/>
              <w:bottom w:val="single" w:sz="4" w:space="0" w:color="auto"/>
              <w:right w:val="single" w:sz="4" w:space="0" w:color="auto"/>
            </w:tcBorders>
            <w:shd w:val="clear" w:color="auto" w:fill="auto"/>
            <w:vAlign w:val="center"/>
          </w:tcPr>
          <w:p w14:paraId="6A0AB1E3" w14:textId="77777777" w:rsidR="004A0123" w:rsidRPr="00640447" w:rsidRDefault="004A0123" w:rsidP="008A5C11">
            <w:pPr>
              <w:jc w:val="center"/>
              <w:rPr>
                <w:sz w:val="13"/>
                <w:szCs w:val="13"/>
              </w:rPr>
            </w:pPr>
            <w:r w:rsidRPr="00640447">
              <w:rPr>
                <w:sz w:val="13"/>
                <w:szCs w:val="13"/>
              </w:rPr>
              <w:t>40</w:t>
            </w:r>
          </w:p>
        </w:tc>
        <w:tc>
          <w:tcPr>
            <w:tcW w:w="174" w:type="pct"/>
            <w:tcBorders>
              <w:top w:val="nil"/>
              <w:left w:val="nil"/>
              <w:bottom w:val="single" w:sz="4" w:space="0" w:color="auto"/>
              <w:right w:val="single" w:sz="4" w:space="0" w:color="auto"/>
            </w:tcBorders>
            <w:shd w:val="clear" w:color="auto" w:fill="auto"/>
            <w:vAlign w:val="center"/>
          </w:tcPr>
          <w:p w14:paraId="37573066" w14:textId="77777777" w:rsidR="004A0123" w:rsidRPr="00640447" w:rsidRDefault="004A0123" w:rsidP="008A5C11">
            <w:pPr>
              <w:jc w:val="center"/>
              <w:rPr>
                <w:sz w:val="13"/>
                <w:szCs w:val="13"/>
              </w:rPr>
            </w:pPr>
            <w:r w:rsidRPr="00640447">
              <w:rPr>
                <w:sz w:val="13"/>
                <w:szCs w:val="13"/>
              </w:rPr>
              <w:t>60</w:t>
            </w:r>
          </w:p>
        </w:tc>
        <w:tc>
          <w:tcPr>
            <w:tcW w:w="189" w:type="pct"/>
            <w:tcBorders>
              <w:top w:val="nil"/>
              <w:left w:val="nil"/>
              <w:bottom w:val="single" w:sz="4" w:space="0" w:color="auto"/>
              <w:right w:val="single" w:sz="4" w:space="0" w:color="auto"/>
            </w:tcBorders>
            <w:shd w:val="clear" w:color="auto" w:fill="auto"/>
            <w:vAlign w:val="center"/>
          </w:tcPr>
          <w:p w14:paraId="26E89837" w14:textId="77777777" w:rsidR="004A0123" w:rsidRPr="00640447" w:rsidRDefault="004A0123" w:rsidP="008A5C11">
            <w:pPr>
              <w:jc w:val="center"/>
              <w:rPr>
                <w:sz w:val="13"/>
                <w:szCs w:val="13"/>
              </w:rPr>
            </w:pPr>
            <w:r w:rsidRPr="00640447">
              <w:rPr>
                <w:sz w:val="13"/>
                <w:szCs w:val="13"/>
              </w:rPr>
              <w:t>2019</w:t>
            </w:r>
          </w:p>
        </w:tc>
        <w:tc>
          <w:tcPr>
            <w:tcW w:w="184" w:type="pct"/>
            <w:tcBorders>
              <w:top w:val="nil"/>
              <w:left w:val="nil"/>
              <w:bottom w:val="single" w:sz="4" w:space="0" w:color="auto"/>
              <w:right w:val="single" w:sz="4" w:space="0" w:color="auto"/>
            </w:tcBorders>
            <w:shd w:val="clear" w:color="auto" w:fill="auto"/>
            <w:vAlign w:val="center"/>
          </w:tcPr>
          <w:p w14:paraId="442443AE" w14:textId="77777777" w:rsidR="004A0123" w:rsidRPr="00640447" w:rsidRDefault="004A0123" w:rsidP="008A5C11">
            <w:pPr>
              <w:jc w:val="center"/>
              <w:rPr>
                <w:sz w:val="13"/>
                <w:szCs w:val="13"/>
              </w:rPr>
            </w:pPr>
            <w:r w:rsidRPr="00640447">
              <w:rPr>
                <w:sz w:val="13"/>
                <w:szCs w:val="13"/>
              </w:rPr>
              <w:t>2021</w:t>
            </w:r>
          </w:p>
        </w:tc>
        <w:tc>
          <w:tcPr>
            <w:tcW w:w="180" w:type="pct"/>
            <w:tcBorders>
              <w:top w:val="nil"/>
              <w:left w:val="nil"/>
              <w:bottom w:val="single" w:sz="4" w:space="0" w:color="auto"/>
              <w:right w:val="single" w:sz="4" w:space="0" w:color="auto"/>
            </w:tcBorders>
            <w:shd w:val="clear" w:color="auto" w:fill="auto"/>
            <w:vAlign w:val="center"/>
          </w:tcPr>
          <w:p w14:paraId="3E4551EA" w14:textId="77777777" w:rsidR="004A0123" w:rsidRPr="00640447" w:rsidRDefault="004A0123" w:rsidP="008A5C11">
            <w:pPr>
              <w:jc w:val="center"/>
              <w:rPr>
                <w:sz w:val="13"/>
                <w:szCs w:val="13"/>
              </w:rPr>
            </w:pPr>
            <w:r w:rsidRPr="00640447">
              <w:rPr>
                <w:sz w:val="13"/>
                <w:szCs w:val="13"/>
              </w:rPr>
              <w:t>119839</w:t>
            </w:r>
          </w:p>
        </w:tc>
        <w:tc>
          <w:tcPr>
            <w:tcW w:w="187" w:type="pct"/>
            <w:tcBorders>
              <w:top w:val="nil"/>
              <w:left w:val="nil"/>
              <w:bottom w:val="single" w:sz="4" w:space="0" w:color="auto"/>
              <w:right w:val="single" w:sz="4" w:space="0" w:color="auto"/>
            </w:tcBorders>
            <w:shd w:val="clear" w:color="auto" w:fill="auto"/>
            <w:vAlign w:val="center"/>
          </w:tcPr>
          <w:p w14:paraId="04644079" w14:textId="77777777" w:rsidR="004A0123" w:rsidRPr="00640447" w:rsidRDefault="004A0123" w:rsidP="008A5C11">
            <w:pPr>
              <w:jc w:val="center"/>
              <w:rPr>
                <w:sz w:val="13"/>
                <w:szCs w:val="13"/>
              </w:rPr>
            </w:pPr>
            <w:r w:rsidRPr="00640447">
              <w:rPr>
                <w:sz w:val="13"/>
                <w:szCs w:val="13"/>
              </w:rPr>
              <w:t>0</w:t>
            </w:r>
          </w:p>
        </w:tc>
        <w:tc>
          <w:tcPr>
            <w:tcW w:w="146" w:type="pct"/>
            <w:tcBorders>
              <w:top w:val="nil"/>
              <w:left w:val="single" w:sz="4" w:space="0" w:color="auto"/>
              <w:bottom w:val="single" w:sz="4" w:space="0" w:color="auto"/>
              <w:right w:val="single" w:sz="4" w:space="0" w:color="auto"/>
            </w:tcBorders>
            <w:shd w:val="clear" w:color="auto" w:fill="auto"/>
            <w:vAlign w:val="center"/>
          </w:tcPr>
          <w:p w14:paraId="150A19DB" w14:textId="77777777" w:rsidR="004A0123" w:rsidRPr="00640447" w:rsidRDefault="004A0123" w:rsidP="008A5C11">
            <w:pPr>
              <w:jc w:val="center"/>
              <w:rPr>
                <w:sz w:val="13"/>
                <w:szCs w:val="13"/>
              </w:rPr>
            </w:pPr>
            <w:r w:rsidRPr="00640447">
              <w:rPr>
                <w:sz w:val="13"/>
                <w:szCs w:val="13"/>
              </w:rPr>
              <w:t>60705</w:t>
            </w:r>
          </w:p>
        </w:tc>
        <w:tc>
          <w:tcPr>
            <w:tcW w:w="149" w:type="pct"/>
            <w:tcBorders>
              <w:top w:val="nil"/>
              <w:left w:val="nil"/>
              <w:bottom w:val="single" w:sz="4" w:space="0" w:color="auto"/>
              <w:right w:val="single" w:sz="4" w:space="0" w:color="auto"/>
            </w:tcBorders>
            <w:shd w:val="clear" w:color="auto" w:fill="auto"/>
            <w:vAlign w:val="center"/>
          </w:tcPr>
          <w:p w14:paraId="3F8EAD5E" w14:textId="77777777" w:rsidR="004A0123" w:rsidRPr="00640447" w:rsidRDefault="004A0123" w:rsidP="008A5C11">
            <w:pPr>
              <w:jc w:val="center"/>
              <w:rPr>
                <w:sz w:val="13"/>
                <w:szCs w:val="13"/>
              </w:rPr>
            </w:pPr>
            <w:r w:rsidRPr="00640447">
              <w:rPr>
                <w:sz w:val="13"/>
                <w:szCs w:val="13"/>
              </w:rPr>
              <w:t>29455</w:t>
            </w:r>
          </w:p>
        </w:tc>
        <w:tc>
          <w:tcPr>
            <w:tcW w:w="183" w:type="pct"/>
            <w:tcBorders>
              <w:top w:val="nil"/>
              <w:left w:val="nil"/>
              <w:bottom w:val="single" w:sz="4" w:space="0" w:color="auto"/>
              <w:right w:val="single" w:sz="4" w:space="0" w:color="auto"/>
            </w:tcBorders>
            <w:shd w:val="clear" w:color="auto" w:fill="auto"/>
            <w:vAlign w:val="center"/>
          </w:tcPr>
          <w:p w14:paraId="5F9DBB93" w14:textId="77777777" w:rsidR="004A0123" w:rsidRPr="00640447" w:rsidRDefault="004A0123" w:rsidP="008A5C11">
            <w:pPr>
              <w:jc w:val="center"/>
              <w:rPr>
                <w:sz w:val="13"/>
                <w:szCs w:val="13"/>
              </w:rPr>
            </w:pPr>
            <w:r w:rsidRPr="00640447">
              <w:rPr>
                <w:sz w:val="13"/>
                <w:szCs w:val="13"/>
              </w:rPr>
              <w:t>29679</w:t>
            </w:r>
          </w:p>
        </w:tc>
        <w:tc>
          <w:tcPr>
            <w:tcW w:w="183" w:type="pct"/>
            <w:tcBorders>
              <w:top w:val="nil"/>
              <w:left w:val="nil"/>
              <w:bottom w:val="single" w:sz="4" w:space="0" w:color="auto"/>
              <w:right w:val="single" w:sz="4" w:space="0" w:color="auto"/>
            </w:tcBorders>
            <w:shd w:val="clear" w:color="auto" w:fill="auto"/>
            <w:vAlign w:val="center"/>
          </w:tcPr>
          <w:p w14:paraId="4131DABB" w14:textId="77777777" w:rsidR="004A0123" w:rsidRPr="00640447" w:rsidRDefault="004A0123" w:rsidP="008A5C11">
            <w:pPr>
              <w:jc w:val="center"/>
              <w:rPr>
                <w:sz w:val="13"/>
                <w:szCs w:val="13"/>
              </w:rPr>
            </w:pPr>
            <w:r w:rsidRPr="00640447">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30A11A17" w14:textId="77777777" w:rsidR="004A0123" w:rsidRPr="00640447" w:rsidRDefault="004A0123" w:rsidP="008A5C11">
            <w:pPr>
              <w:jc w:val="center"/>
              <w:rPr>
                <w:sz w:val="13"/>
                <w:szCs w:val="13"/>
              </w:rPr>
            </w:pPr>
            <w:r w:rsidRPr="00640447">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2F72BC3F" w14:textId="77777777" w:rsidR="004A0123" w:rsidRPr="00640447" w:rsidRDefault="004A0123" w:rsidP="008A5C11">
            <w:pPr>
              <w:jc w:val="center"/>
              <w:rPr>
                <w:sz w:val="13"/>
                <w:szCs w:val="13"/>
              </w:rPr>
            </w:pPr>
            <w:r w:rsidRPr="00640447">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5FAC9932" w14:textId="77777777" w:rsidR="004A0123" w:rsidRPr="00640447" w:rsidRDefault="004A0123" w:rsidP="008A5C11">
            <w:pPr>
              <w:jc w:val="center"/>
              <w:rPr>
                <w:sz w:val="13"/>
                <w:szCs w:val="13"/>
              </w:rPr>
            </w:pPr>
            <w:r w:rsidRPr="00640447">
              <w:rPr>
                <w:sz w:val="13"/>
                <w:szCs w:val="13"/>
              </w:rPr>
              <w:t>0</w:t>
            </w:r>
          </w:p>
        </w:tc>
        <w:tc>
          <w:tcPr>
            <w:tcW w:w="174" w:type="pct"/>
            <w:tcBorders>
              <w:top w:val="single" w:sz="4" w:space="0" w:color="auto"/>
              <w:left w:val="single" w:sz="4" w:space="0" w:color="auto"/>
              <w:bottom w:val="single" w:sz="4" w:space="0" w:color="auto"/>
              <w:right w:val="single" w:sz="4" w:space="0" w:color="auto"/>
            </w:tcBorders>
            <w:vAlign w:val="center"/>
          </w:tcPr>
          <w:p w14:paraId="7B7E0AF9" w14:textId="77777777" w:rsidR="004A0123" w:rsidRPr="00640447" w:rsidRDefault="004A0123" w:rsidP="008A5C11">
            <w:pPr>
              <w:jc w:val="center"/>
              <w:rPr>
                <w:sz w:val="13"/>
                <w:szCs w:val="13"/>
              </w:rPr>
            </w:pPr>
            <w:r w:rsidRPr="00640447">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2D77DD4E" w14:textId="77777777" w:rsidR="004A0123" w:rsidRPr="00640447" w:rsidRDefault="004A0123" w:rsidP="008A5C11">
            <w:pPr>
              <w:jc w:val="center"/>
              <w:rPr>
                <w:sz w:val="13"/>
                <w:szCs w:val="13"/>
              </w:rPr>
            </w:pPr>
            <w:r w:rsidRPr="00640447">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6A71D412" w14:textId="77777777" w:rsidR="004A0123" w:rsidRPr="00640447" w:rsidRDefault="004A0123" w:rsidP="008A5C11">
            <w:pPr>
              <w:jc w:val="center"/>
              <w:rPr>
                <w:sz w:val="13"/>
                <w:szCs w:val="13"/>
              </w:rPr>
            </w:pPr>
            <w:r w:rsidRPr="00640447">
              <w:rPr>
                <w:sz w:val="13"/>
                <w:szCs w:val="13"/>
              </w:rPr>
              <w:t>0</w:t>
            </w:r>
          </w:p>
        </w:tc>
        <w:tc>
          <w:tcPr>
            <w:tcW w:w="188" w:type="pct"/>
            <w:tcBorders>
              <w:top w:val="single" w:sz="4" w:space="0" w:color="auto"/>
              <w:left w:val="single" w:sz="4" w:space="0" w:color="auto"/>
              <w:bottom w:val="single" w:sz="4" w:space="0" w:color="auto"/>
              <w:right w:val="single" w:sz="4" w:space="0" w:color="auto"/>
            </w:tcBorders>
            <w:vAlign w:val="center"/>
          </w:tcPr>
          <w:p w14:paraId="2BE1B578" w14:textId="77777777" w:rsidR="004A0123" w:rsidRPr="00640447" w:rsidRDefault="004A0123" w:rsidP="008A5C11">
            <w:pPr>
              <w:jc w:val="center"/>
              <w:rPr>
                <w:sz w:val="13"/>
                <w:szCs w:val="13"/>
              </w:rPr>
            </w:pPr>
            <w:r w:rsidRPr="00640447">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0CFB8AE6" w14:textId="77777777" w:rsidR="004A0123" w:rsidRPr="00640447" w:rsidRDefault="004A0123" w:rsidP="008A5C11">
            <w:pPr>
              <w:jc w:val="center"/>
              <w:rPr>
                <w:sz w:val="13"/>
                <w:szCs w:val="13"/>
              </w:rPr>
            </w:pPr>
            <w:r w:rsidRPr="00640447">
              <w:rPr>
                <w:sz w:val="13"/>
                <w:szCs w:val="13"/>
              </w:rPr>
              <w:t>0</w:t>
            </w:r>
          </w:p>
        </w:tc>
      </w:tr>
      <w:tr w:rsidR="004A0123" w:rsidRPr="00640447" w14:paraId="3B16E7E8" w14:textId="77777777" w:rsidTr="008A5C11">
        <w:trPr>
          <w:trHeight w:val="489"/>
        </w:trPr>
        <w:tc>
          <w:tcPr>
            <w:tcW w:w="146" w:type="pct"/>
            <w:tcBorders>
              <w:top w:val="single" w:sz="4" w:space="0" w:color="auto"/>
            </w:tcBorders>
            <w:shd w:val="clear" w:color="auto" w:fill="auto"/>
            <w:vAlign w:val="center"/>
          </w:tcPr>
          <w:p w14:paraId="56E2E9DD" w14:textId="77777777" w:rsidR="004A0123" w:rsidRPr="00640447" w:rsidRDefault="004A0123" w:rsidP="008A5C11">
            <w:pPr>
              <w:jc w:val="center"/>
              <w:rPr>
                <w:sz w:val="13"/>
                <w:szCs w:val="13"/>
              </w:rPr>
            </w:pPr>
            <w:r w:rsidRPr="00640447">
              <w:rPr>
                <w:sz w:val="13"/>
                <w:szCs w:val="13"/>
              </w:rPr>
              <w:t>3.2.12.</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5A32A48A" w14:textId="77777777" w:rsidR="004A0123" w:rsidRPr="00640447" w:rsidRDefault="004A0123" w:rsidP="008A5C11">
            <w:pPr>
              <w:rPr>
                <w:color w:val="000000"/>
                <w:sz w:val="13"/>
                <w:szCs w:val="13"/>
              </w:rPr>
            </w:pPr>
            <w:r w:rsidRPr="00640447">
              <w:rPr>
                <w:color w:val="000000"/>
                <w:sz w:val="13"/>
                <w:szCs w:val="13"/>
              </w:rPr>
              <w:t>Котельная «Центральная». Проектирование системы топливоподачи и демонтаж старого здания</w:t>
            </w:r>
          </w:p>
        </w:tc>
        <w:tc>
          <w:tcPr>
            <w:tcW w:w="359" w:type="pct"/>
            <w:tcBorders>
              <w:top w:val="single" w:sz="4" w:space="0" w:color="auto"/>
              <w:left w:val="nil"/>
              <w:bottom w:val="single" w:sz="4" w:space="0" w:color="auto"/>
              <w:right w:val="single" w:sz="4" w:space="0" w:color="auto"/>
            </w:tcBorders>
            <w:shd w:val="clear" w:color="auto" w:fill="auto"/>
            <w:vAlign w:val="center"/>
          </w:tcPr>
          <w:p w14:paraId="63DF397E" w14:textId="77777777" w:rsidR="004A0123" w:rsidRPr="00640447" w:rsidRDefault="004A0123" w:rsidP="008A5C11">
            <w:pPr>
              <w:jc w:val="center"/>
              <w:rPr>
                <w:color w:val="000000"/>
                <w:sz w:val="13"/>
                <w:szCs w:val="13"/>
              </w:rPr>
            </w:pPr>
            <w:r w:rsidRPr="00640447">
              <w:rPr>
                <w:color w:val="000000"/>
                <w:sz w:val="13"/>
                <w:szCs w:val="13"/>
              </w:rPr>
              <w:t>Повышение надежности теплоснабжения</w:t>
            </w:r>
          </w:p>
        </w:tc>
        <w:tc>
          <w:tcPr>
            <w:tcW w:w="360" w:type="pct"/>
            <w:tcBorders>
              <w:top w:val="single" w:sz="4" w:space="0" w:color="auto"/>
              <w:left w:val="nil"/>
              <w:bottom w:val="single" w:sz="4" w:space="0" w:color="auto"/>
              <w:right w:val="single" w:sz="4" w:space="0" w:color="auto"/>
            </w:tcBorders>
            <w:shd w:val="clear" w:color="auto" w:fill="auto"/>
            <w:vAlign w:val="center"/>
          </w:tcPr>
          <w:p w14:paraId="05AD7E2E" w14:textId="77777777" w:rsidR="004A0123" w:rsidRPr="00640447" w:rsidRDefault="004A0123" w:rsidP="008A5C11">
            <w:pPr>
              <w:jc w:val="center"/>
              <w:rPr>
                <w:color w:val="000000"/>
                <w:sz w:val="13"/>
                <w:szCs w:val="13"/>
              </w:rPr>
            </w:pPr>
            <w:r w:rsidRPr="00640447">
              <w:rPr>
                <w:color w:val="000000"/>
                <w:sz w:val="13"/>
                <w:szCs w:val="13"/>
              </w:rPr>
              <w:t xml:space="preserve">г. Ленинск-Кузнецкий, </w:t>
            </w:r>
          </w:p>
          <w:p w14:paraId="6BCE514C" w14:textId="77777777" w:rsidR="004A0123" w:rsidRPr="00640447" w:rsidRDefault="004A0123" w:rsidP="008A5C11">
            <w:pPr>
              <w:jc w:val="center"/>
              <w:rPr>
                <w:color w:val="000000"/>
                <w:sz w:val="13"/>
                <w:szCs w:val="13"/>
              </w:rPr>
            </w:pPr>
            <w:r w:rsidRPr="00640447">
              <w:rPr>
                <w:color w:val="000000"/>
                <w:sz w:val="13"/>
                <w:szCs w:val="13"/>
              </w:rPr>
              <w:t>ул. Суворова, 21а</w:t>
            </w:r>
          </w:p>
        </w:tc>
        <w:tc>
          <w:tcPr>
            <w:tcW w:w="338" w:type="pct"/>
            <w:tcBorders>
              <w:top w:val="single" w:sz="4" w:space="0" w:color="auto"/>
              <w:left w:val="nil"/>
              <w:bottom w:val="single" w:sz="4" w:space="0" w:color="auto"/>
              <w:right w:val="single" w:sz="4" w:space="0" w:color="auto"/>
            </w:tcBorders>
            <w:shd w:val="clear" w:color="auto" w:fill="auto"/>
            <w:vAlign w:val="center"/>
          </w:tcPr>
          <w:p w14:paraId="6511BF5A" w14:textId="77777777" w:rsidR="004A0123" w:rsidRPr="00640447" w:rsidRDefault="004A0123" w:rsidP="008A5C11">
            <w:pPr>
              <w:jc w:val="center"/>
              <w:rPr>
                <w:sz w:val="13"/>
                <w:szCs w:val="13"/>
              </w:rPr>
            </w:pPr>
            <w:r w:rsidRPr="00640447">
              <w:rPr>
                <w:sz w:val="13"/>
                <w:szCs w:val="13"/>
              </w:rPr>
              <w:t xml:space="preserve">Система </w:t>
            </w:r>
          </w:p>
          <w:p w14:paraId="74E6CB84" w14:textId="77777777" w:rsidR="004A0123" w:rsidRPr="00640447" w:rsidRDefault="004A0123" w:rsidP="008A5C11">
            <w:pPr>
              <w:jc w:val="center"/>
              <w:rPr>
                <w:sz w:val="13"/>
                <w:szCs w:val="13"/>
              </w:rPr>
            </w:pPr>
            <w:r w:rsidRPr="00640447">
              <w:rPr>
                <w:sz w:val="13"/>
                <w:szCs w:val="13"/>
              </w:rPr>
              <w:t>топливоподачи</w:t>
            </w:r>
          </w:p>
        </w:tc>
        <w:tc>
          <w:tcPr>
            <w:tcW w:w="116" w:type="pct"/>
            <w:tcBorders>
              <w:top w:val="single" w:sz="4" w:space="0" w:color="auto"/>
              <w:left w:val="nil"/>
              <w:bottom w:val="single" w:sz="4" w:space="0" w:color="auto"/>
              <w:right w:val="single" w:sz="4" w:space="0" w:color="auto"/>
            </w:tcBorders>
            <w:shd w:val="clear" w:color="auto" w:fill="auto"/>
            <w:vAlign w:val="center"/>
          </w:tcPr>
          <w:p w14:paraId="551A6F67" w14:textId="77777777" w:rsidR="004A0123" w:rsidRPr="00640447" w:rsidRDefault="004A0123" w:rsidP="008A5C11">
            <w:pPr>
              <w:jc w:val="center"/>
              <w:rPr>
                <w:sz w:val="13"/>
                <w:szCs w:val="13"/>
              </w:rPr>
            </w:pPr>
            <w:r w:rsidRPr="00640447">
              <w:rPr>
                <w:sz w:val="13"/>
                <w:szCs w:val="13"/>
              </w:rPr>
              <w:t>ед.</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7230A459" w14:textId="77777777" w:rsidR="004A0123" w:rsidRPr="00640447" w:rsidRDefault="004A0123" w:rsidP="008A5C11">
            <w:pPr>
              <w:jc w:val="center"/>
              <w:rPr>
                <w:sz w:val="13"/>
                <w:szCs w:val="13"/>
              </w:rPr>
            </w:pPr>
            <w:r w:rsidRPr="00640447">
              <w:rPr>
                <w:sz w:val="13"/>
                <w:szCs w:val="13"/>
              </w:rPr>
              <w:t>1</w:t>
            </w:r>
          </w:p>
        </w:tc>
        <w:tc>
          <w:tcPr>
            <w:tcW w:w="174" w:type="pct"/>
            <w:tcBorders>
              <w:top w:val="single" w:sz="4" w:space="0" w:color="auto"/>
              <w:left w:val="nil"/>
              <w:bottom w:val="single" w:sz="4" w:space="0" w:color="auto"/>
              <w:right w:val="single" w:sz="4" w:space="0" w:color="auto"/>
            </w:tcBorders>
            <w:shd w:val="clear" w:color="auto" w:fill="auto"/>
            <w:vAlign w:val="center"/>
          </w:tcPr>
          <w:p w14:paraId="4F1DD3AE" w14:textId="77777777" w:rsidR="004A0123" w:rsidRPr="00640447" w:rsidRDefault="004A0123" w:rsidP="008A5C11">
            <w:pPr>
              <w:jc w:val="center"/>
              <w:rPr>
                <w:sz w:val="13"/>
                <w:szCs w:val="13"/>
              </w:rPr>
            </w:pPr>
            <w:r w:rsidRPr="00640447">
              <w:rPr>
                <w:sz w:val="13"/>
                <w:szCs w:val="13"/>
              </w:rPr>
              <w:t>1</w:t>
            </w:r>
          </w:p>
        </w:tc>
        <w:tc>
          <w:tcPr>
            <w:tcW w:w="189" w:type="pct"/>
            <w:tcBorders>
              <w:top w:val="single" w:sz="4" w:space="0" w:color="auto"/>
              <w:left w:val="nil"/>
              <w:bottom w:val="single" w:sz="4" w:space="0" w:color="auto"/>
              <w:right w:val="single" w:sz="4" w:space="0" w:color="auto"/>
            </w:tcBorders>
            <w:shd w:val="clear" w:color="auto" w:fill="auto"/>
            <w:vAlign w:val="center"/>
          </w:tcPr>
          <w:p w14:paraId="464EA309" w14:textId="77777777" w:rsidR="004A0123" w:rsidRPr="00640447" w:rsidRDefault="004A0123" w:rsidP="008A5C11">
            <w:pPr>
              <w:jc w:val="center"/>
              <w:rPr>
                <w:sz w:val="13"/>
                <w:szCs w:val="13"/>
              </w:rPr>
            </w:pPr>
            <w:r w:rsidRPr="00640447">
              <w:rPr>
                <w:sz w:val="13"/>
                <w:szCs w:val="13"/>
              </w:rPr>
              <w:t>2020</w:t>
            </w:r>
          </w:p>
        </w:tc>
        <w:tc>
          <w:tcPr>
            <w:tcW w:w="184" w:type="pct"/>
            <w:tcBorders>
              <w:top w:val="single" w:sz="4" w:space="0" w:color="auto"/>
              <w:left w:val="nil"/>
              <w:bottom w:val="single" w:sz="4" w:space="0" w:color="auto"/>
              <w:right w:val="single" w:sz="4" w:space="0" w:color="auto"/>
            </w:tcBorders>
            <w:shd w:val="clear" w:color="auto" w:fill="auto"/>
            <w:vAlign w:val="center"/>
          </w:tcPr>
          <w:p w14:paraId="51D16E87" w14:textId="77777777" w:rsidR="004A0123" w:rsidRPr="00640447" w:rsidRDefault="004A0123" w:rsidP="008A5C11">
            <w:pPr>
              <w:jc w:val="center"/>
              <w:rPr>
                <w:sz w:val="13"/>
                <w:szCs w:val="13"/>
              </w:rPr>
            </w:pPr>
            <w:r w:rsidRPr="00640447">
              <w:rPr>
                <w:sz w:val="13"/>
                <w:szCs w:val="13"/>
              </w:rPr>
              <w:t>2023</w:t>
            </w:r>
          </w:p>
        </w:tc>
        <w:tc>
          <w:tcPr>
            <w:tcW w:w="180" w:type="pct"/>
            <w:tcBorders>
              <w:top w:val="single" w:sz="4" w:space="0" w:color="auto"/>
              <w:left w:val="nil"/>
              <w:bottom w:val="single" w:sz="4" w:space="0" w:color="auto"/>
              <w:right w:val="single" w:sz="4" w:space="0" w:color="auto"/>
            </w:tcBorders>
            <w:shd w:val="clear" w:color="auto" w:fill="auto"/>
            <w:vAlign w:val="center"/>
          </w:tcPr>
          <w:p w14:paraId="6A8A1E36" w14:textId="77777777" w:rsidR="004A0123" w:rsidRPr="00640447" w:rsidRDefault="004A0123" w:rsidP="008A5C11">
            <w:pPr>
              <w:jc w:val="center"/>
              <w:rPr>
                <w:sz w:val="13"/>
                <w:szCs w:val="13"/>
              </w:rPr>
            </w:pPr>
            <w:r w:rsidRPr="00640447">
              <w:rPr>
                <w:sz w:val="13"/>
                <w:szCs w:val="13"/>
              </w:rPr>
              <w:t>103061</w:t>
            </w:r>
          </w:p>
        </w:tc>
        <w:tc>
          <w:tcPr>
            <w:tcW w:w="187" w:type="pct"/>
            <w:tcBorders>
              <w:top w:val="single" w:sz="4" w:space="0" w:color="auto"/>
              <w:left w:val="nil"/>
              <w:bottom w:val="single" w:sz="4" w:space="0" w:color="auto"/>
              <w:right w:val="single" w:sz="4" w:space="0" w:color="auto"/>
            </w:tcBorders>
            <w:shd w:val="clear" w:color="auto" w:fill="auto"/>
            <w:vAlign w:val="center"/>
          </w:tcPr>
          <w:p w14:paraId="4FB5F068" w14:textId="77777777" w:rsidR="004A0123" w:rsidRPr="00640447" w:rsidRDefault="004A0123" w:rsidP="008A5C11">
            <w:pPr>
              <w:jc w:val="center"/>
              <w:rPr>
                <w:sz w:val="13"/>
                <w:szCs w:val="13"/>
              </w:rPr>
            </w:pPr>
            <w:r w:rsidRPr="00640447">
              <w:rPr>
                <w:sz w:val="13"/>
                <w:szCs w:val="13"/>
              </w:rPr>
              <w:t>0</w:t>
            </w:r>
          </w:p>
        </w:tc>
        <w:tc>
          <w:tcPr>
            <w:tcW w:w="146" w:type="pct"/>
            <w:tcBorders>
              <w:top w:val="single" w:sz="4" w:space="0" w:color="auto"/>
              <w:left w:val="single" w:sz="4" w:space="0" w:color="auto"/>
              <w:bottom w:val="single" w:sz="4" w:space="0" w:color="auto"/>
              <w:right w:val="single" w:sz="4" w:space="0" w:color="auto"/>
            </w:tcBorders>
            <w:shd w:val="clear" w:color="auto" w:fill="auto"/>
            <w:vAlign w:val="center"/>
          </w:tcPr>
          <w:p w14:paraId="11D4AA1D" w14:textId="77777777" w:rsidR="004A0123" w:rsidRPr="00640447" w:rsidRDefault="004A0123" w:rsidP="008A5C11">
            <w:pPr>
              <w:jc w:val="center"/>
              <w:rPr>
                <w:sz w:val="13"/>
                <w:szCs w:val="13"/>
              </w:rPr>
            </w:pPr>
            <w:r w:rsidRPr="00640447">
              <w:rPr>
                <w:sz w:val="13"/>
                <w:szCs w:val="13"/>
              </w:rPr>
              <w:t>0</w:t>
            </w:r>
          </w:p>
        </w:tc>
        <w:tc>
          <w:tcPr>
            <w:tcW w:w="149" w:type="pct"/>
            <w:tcBorders>
              <w:top w:val="single" w:sz="4" w:space="0" w:color="auto"/>
              <w:left w:val="nil"/>
              <w:bottom w:val="single" w:sz="4" w:space="0" w:color="auto"/>
              <w:right w:val="single" w:sz="4" w:space="0" w:color="auto"/>
            </w:tcBorders>
            <w:shd w:val="clear" w:color="auto" w:fill="auto"/>
            <w:vAlign w:val="center"/>
          </w:tcPr>
          <w:p w14:paraId="268ED654" w14:textId="77777777" w:rsidR="004A0123" w:rsidRPr="00640447" w:rsidRDefault="004A0123" w:rsidP="008A5C11">
            <w:pPr>
              <w:jc w:val="center"/>
              <w:rPr>
                <w:sz w:val="13"/>
                <w:szCs w:val="13"/>
              </w:rPr>
            </w:pPr>
            <w:r w:rsidRPr="00640447">
              <w:rPr>
                <w:sz w:val="13"/>
                <w:szCs w:val="13"/>
              </w:rPr>
              <w:t>10842</w:t>
            </w:r>
          </w:p>
        </w:tc>
        <w:tc>
          <w:tcPr>
            <w:tcW w:w="183" w:type="pct"/>
            <w:tcBorders>
              <w:top w:val="single" w:sz="4" w:space="0" w:color="auto"/>
              <w:left w:val="nil"/>
              <w:bottom w:val="single" w:sz="4" w:space="0" w:color="auto"/>
              <w:right w:val="single" w:sz="4" w:space="0" w:color="auto"/>
            </w:tcBorders>
            <w:shd w:val="clear" w:color="auto" w:fill="auto"/>
            <w:vAlign w:val="center"/>
          </w:tcPr>
          <w:p w14:paraId="50C12C68" w14:textId="77777777" w:rsidR="004A0123" w:rsidRPr="00640447" w:rsidRDefault="004A0123" w:rsidP="008A5C11">
            <w:pPr>
              <w:jc w:val="center"/>
              <w:rPr>
                <w:sz w:val="13"/>
                <w:szCs w:val="13"/>
              </w:rPr>
            </w:pPr>
            <w:r w:rsidRPr="00640447">
              <w:rPr>
                <w:sz w:val="13"/>
                <w:szCs w:val="13"/>
              </w:rPr>
              <w:t>10596</w:t>
            </w:r>
          </w:p>
        </w:tc>
        <w:tc>
          <w:tcPr>
            <w:tcW w:w="183" w:type="pct"/>
            <w:tcBorders>
              <w:top w:val="single" w:sz="4" w:space="0" w:color="auto"/>
              <w:left w:val="nil"/>
              <w:bottom w:val="single" w:sz="4" w:space="0" w:color="auto"/>
              <w:right w:val="single" w:sz="4" w:space="0" w:color="auto"/>
            </w:tcBorders>
            <w:shd w:val="clear" w:color="auto" w:fill="auto"/>
            <w:vAlign w:val="center"/>
          </w:tcPr>
          <w:p w14:paraId="1DD16E18" w14:textId="77777777" w:rsidR="004A0123" w:rsidRPr="00640447" w:rsidRDefault="004A0123" w:rsidP="008A5C11">
            <w:pPr>
              <w:jc w:val="center"/>
              <w:rPr>
                <w:sz w:val="13"/>
                <w:szCs w:val="13"/>
              </w:rPr>
            </w:pPr>
            <w:r w:rsidRPr="00640447">
              <w:rPr>
                <w:sz w:val="13"/>
                <w:szCs w:val="13"/>
              </w:rPr>
              <w:t>5112</w:t>
            </w:r>
          </w:p>
        </w:tc>
        <w:tc>
          <w:tcPr>
            <w:tcW w:w="155" w:type="pct"/>
            <w:tcBorders>
              <w:top w:val="single" w:sz="4" w:space="0" w:color="auto"/>
              <w:left w:val="single" w:sz="4" w:space="0" w:color="auto"/>
              <w:bottom w:val="single" w:sz="4" w:space="0" w:color="auto"/>
              <w:right w:val="single" w:sz="4" w:space="0" w:color="auto"/>
            </w:tcBorders>
            <w:vAlign w:val="center"/>
          </w:tcPr>
          <w:p w14:paraId="0679602B" w14:textId="77777777" w:rsidR="004A0123" w:rsidRPr="00640447" w:rsidRDefault="004A0123" w:rsidP="008A5C11">
            <w:pPr>
              <w:jc w:val="center"/>
              <w:rPr>
                <w:sz w:val="13"/>
                <w:szCs w:val="13"/>
              </w:rPr>
            </w:pPr>
            <w:r w:rsidRPr="00640447">
              <w:rPr>
                <w:sz w:val="13"/>
                <w:szCs w:val="13"/>
              </w:rPr>
              <w:t>76511</w:t>
            </w:r>
          </w:p>
        </w:tc>
        <w:tc>
          <w:tcPr>
            <w:tcW w:w="154" w:type="pct"/>
            <w:tcBorders>
              <w:top w:val="single" w:sz="4" w:space="0" w:color="auto"/>
              <w:left w:val="single" w:sz="4" w:space="0" w:color="auto"/>
              <w:bottom w:val="single" w:sz="4" w:space="0" w:color="auto"/>
              <w:right w:val="single" w:sz="4" w:space="0" w:color="auto"/>
            </w:tcBorders>
            <w:vAlign w:val="center"/>
          </w:tcPr>
          <w:p w14:paraId="796B161A" w14:textId="77777777" w:rsidR="004A0123" w:rsidRPr="00640447" w:rsidRDefault="004A0123" w:rsidP="008A5C11">
            <w:pPr>
              <w:jc w:val="center"/>
              <w:rPr>
                <w:sz w:val="13"/>
                <w:szCs w:val="13"/>
              </w:rPr>
            </w:pPr>
            <w:r w:rsidRPr="00640447">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1C3BE466" w14:textId="77777777" w:rsidR="004A0123" w:rsidRPr="00640447" w:rsidRDefault="004A0123" w:rsidP="008A5C11">
            <w:pPr>
              <w:jc w:val="center"/>
              <w:rPr>
                <w:sz w:val="13"/>
                <w:szCs w:val="13"/>
              </w:rPr>
            </w:pPr>
            <w:r w:rsidRPr="00640447">
              <w:rPr>
                <w:sz w:val="13"/>
                <w:szCs w:val="13"/>
              </w:rPr>
              <w:t>0</w:t>
            </w:r>
          </w:p>
        </w:tc>
        <w:tc>
          <w:tcPr>
            <w:tcW w:w="174" w:type="pct"/>
            <w:tcBorders>
              <w:top w:val="single" w:sz="4" w:space="0" w:color="auto"/>
              <w:left w:val="single" w:sz="4" w:space="0" w:color="auto"/>
              <w:bottom w:val="single" w:sz="4" w:space="0" w:color="auto"/>
              <w:right w:val="single" w:sz="4" w:space="0" w:color="auto"/>
            </w:tcBorders>
            <w:vAlign w:val="center"/>
          </w:tcPr>
          <w:p w14:paraId="40B5E7C2" w14:textId="77777777" w:rsidR="004A0123" w:rsidRPr="00640447" w:rsidRDefault="004A0123" w:rsidP="008A5C11">
            <w:pPr>
              <w:jc w:val="center"/>
              <w:rPr>
                <w:sz w:val="13"/>
                <w:szCs w:val="13"/>
              </w:rPr>
            </w:pPr>
            <w:r w:rsidRPr="00640447">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1D88DAFD" w14:textId="77777777" w:rsidR="004A0123" w:rsidRPr="00640447" w:rsidRDefault="004A0123" w:rsidP="008A5C11">
            <w:pPr>
              <w:jc w:val="center"/>
              <w:rPr>
                <w:sz w:val="13"/>
                <w:szCs w:val="13"/>
              </w:rPr>
            </w:pPr>
            <w:r w:rsidRPr="00640447">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2645E9C3" w14:textId="77777777" w:rsidR="004A0123" w:rsidRPr="00640447" w:rsidRDefault="004A0123" w:rsidP="008A5C11">
            <w:pPr>
              <w:jc w:val="center"/>
              <w:rPr>
                <w:sz w:val="13"/>
                <w:szCs w:val="13"/>
              </w:rPr>
            </w:pPr>
            <w:r w:rsidRPr="00640447">
              <w:rPr>
                <w:sz w:val="13"/>
                <w:szCs w:val="13"/>
              </w:rPr>
              <w:t>0</w:t>
            </w:r>
          </w:p>
        </w:tc>
        <w:tc>
          <w:tcPr>
            <w:tcW w:w="188" w:type="pct"/>
            <w:tcBorders>
              <w:top w:val="single" w:sz="4" w:space="0" w:color="auto"/>
              <w:left w:val="single" w:sz="4" w:space="0" w:color="auto"/>
              <w:bottom w:val="single" w:sz="4" w:space="0" w:color="auto"/>
              <w:right w:val="single" w:sz="4" w:space="0" w:color="auto"/>
            </w:tcBorders>
            <w:vAlign w:val="center"/>
          </w:tcPr>
          <w:p w14:paraId="6325AD1D" w14:textId="77777777" w:rsidR="004A0123" w:rsidRPr="00640447" w:rsidRDefault="004A0123" w:rsidP="008A5C11">
            <w:pPr>
              <w:jc w:val="center"/>
              <w:rPr>
                <w:sz w:val="13"/>
                <w:szCs w:val="13"/>
              </w:rPr>
            </w:pPr>
            <w:r w:rsidRPr="00640447">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376F121E" w14:textId="77777777" w:rsidR="004A0123" w:rsidRPr="00640447" w:rsidRDefault="004A0123" w:rsidP="008A5C11">
            <w:pPr>
              <w:jc w:val="center"/>
              <w:rPr>
                <w:sz w:val="13"/>
                <w:szCs w:val="13"/>
              </w:rPr>
            </w:pPr>
            <w:r w:rsidRPr="00640447">
              <w:rPr>
                <w:sz w:val="13"/>
                <w:szCs w:val="13"/>
              </w:rPr>
              <w:t>0</w:t>
            </w:r>
          </w:p>
        </w:tc>
      </w:tr>
      <w:tr w:rsidR="004A0123" w:rsidRPr="00640447" w14:paraId="16E67993" w14:textId="77777777" w:rsidTr="008A5C11">
        <w:trPr>
          <w:trHeight w:val="70"/>
        </w:trPr>
        <w:tc>
          <w:tcPr>
            <w:tcW w:w="146" w:type="pct"/>
            <w:tcBorders>
              <w:bottom w:val="single" w:sz="4" w:space="0" w:color="auto"/>
            </w:tcBorders>
            <w:shd w:val="clear" w:color="auto" w:fill="auto"/>
            <w:vAlign w:val="center"/>
          </w:tcPr>
          <w:p w14:paraId="78CB9568" w14:textId="77777777" w:rsidR="004A0123" w:rsidRPr="00640447" w:rsidRDefault="004A0123" w:rsidP="008A5C11">
            <w:pPr>
              <w:jc w:val="center"/>
              <w:rPr>
                <w:sz w:val="13"/>
                <w:szCs w:val="13"/>
              </w:rPr>
            </w:pPr>
            <w:r w:rsidRPr="00640447">
              <w:rPr>
                <w:sz w:val="13"/>
                <w:szCs w:val="13"/>
              </w:rPr>
              <w:t>3.2.13.</w:t>
            </w:r>
          </w:p>
        </w:tc>
        <w:tc>
          <w:tcPr>
            <w:tcW w:w="616" w:type="pct"/>
            <w:tcBorders>
              <w:top w:val="nil"/>
              <w:left w:val="single" w:sz="4" w:space="0" w:color="auto"/>
              <w:bottom w:val="single" w:sz="4" w:space="0" w:color="auto"/>
              <w:right w:val="single" w:sz="4" w:space="0" w:color="auto"/>
            </w:tcBorders>
            <w:shd w:val="clear" w:color="auto" w:fill="auto"/>
            <w:vAlign w:val="center"/>
          </w:tcPr>
          <w:p w14:paraId="352FA6BA" w14:textId="77777777" w:rsidR="004A0123" w:rsidRPr="00640447" w:rsidRDefault="004A0123" w:rsidP="008A5C11">
            <w:pPr>
              <w:rPr>
                <w:color w:val="000000"/>
                <w:sz w:val="13"/>
                <w:szCs w:val="13"/>
              </w:rPr>
            </w:pPr>
            <w:r w:rsidRPr="00640447">
              <w:rPr>
                <w:color w:val="000000"/>
                <w:sz w:val="13"/>
                <w:szCs w:val="13"/>
              </w:rPr>
              <w:t>Котельная «Центральная». Проектирование и реконструкция насосной станции.</w:t>
            </w:r>
          </w:p>
        </w:tc>
        <w:tc>
          <w:tcPr>
            <w:tcW w:w="359" w:type="pct"/>
            <w:tcBorders>
              <w:top w:val="nil"/>
              <w:left w:val="nil"/>
              <w:bottom w:val="single" w:sz="4" w:space="0" w:color="auto"/>
              <w:right w:val="single" w:sz="4" w:space="0" w:color="auto"/>
            </w:tcBorders>
            <w:shd w:val="clear" w:color="auto" w:fill="auto"/>
            <w:vAlign w:val="center"/>
          </w:tcPr>
          <w:p w14:paraId="001BEF70" w14:textId="77777777" w:rsidR="004A0123" w:rsidRPr="00640447" w:rsidRDefault="004A0123" w:rsidP="008A5C11">
            <w:pPr>
              <w:jc w:val="center"/>
              <w:rPr>
                <w:color w:val="000000"/>
                <w:sz w:val="13"/>
                <w:szCs w:val="13"/>
              </w:rPr>
            </w:pPr>
            <w:r w:rsidRPr="00640447">
              <w:rPr>
                <w:color w:val="000000"/>
                <w:sz w:val="13"/>
                <w:szCs w:val="13"/>
              </w:rPr>
              <w:t>Повышение надежности теплоснабжения</w:t>
            </w:r>
          </w:p>
        </w:tc>
        <w:tc>
          <w:tcPr>
            <w:tcW w:w="360" w:type="pct"/>
            <w:tcBorders>
              <w:top w:val="nil"/>
              <w:left w:val="nil"/>
              <w:bottom w:val="single" w:sz="4" w:space="0" w:color="auto"/>
              <w:right w:val="single" w:sz="4" w:space="0" w:color="auto"/>
            </w:tcBorders>
            <w:shd w:val="clear" w:color="auto" w:fill="auto"/>
            <w:vAlign w:val="center"/>
          </w:tcPr>
          <w:p w14:paraId="4ABD4233" w14:textId="77777777" w:rsidR="004A0123" w:rsidRPr="00640447" w:rsidRDefault="004A0123" w:rsidP="008A5C11">
            <w:pPr>
              <w:jc w:val="center"/>
              <w:rPr>
                <w:color w:val="000000"/>
                <w:sz w:val="13"/>
                <w:szCs w:val="13"/>
              </w:rPr>
            </w:pPr>
            <w:r w:rsidRPr="00640447">
              <w:rPr>
                <w:color w:val="000000"/>
                <w:sz w:val="13"/>
                <w:szCs w:val="13"/>
              </w:rPr>
              <w:t xml:space="preserve">г. Ленинск-Кузнецкий, </w:t>
            </w:r>
          </w:p>
          <w:p w14:paraId="59A1864E" w14:textId="77777777" w:rsidR="004A0123" w:rsidRPr="00640447" w:rsidRDefault="004A0123" w:rsidP="008A5C11">
            <w:pPr>
              <w:jc w:val="center"/>
              <w:rPr>
                <w:color w:val="000000"/>
                <w:sz w:val="13"/>
                <w:szCs w:val="13"/>
              </w:rPr>
            </w:pPr>
            <w:r w:rsidRPr="00640447">
              <w:rPr>
                <w:color w:val="000000"/>
                <w:sz w:val="13"/>
                <w:szCs w:val="13"/>
              </w:rPr>
              <w:t>ул. Суворова, 21а</w:t>
            </w:r>
          </w:p>
        </w:tc>
        <w:tc>
          <w:tcPr>
            <w:tcW w:w="338" w:type="pct"/>
            <w:tcBorders>
              <w:top w:val="nil"/>
              <w:left w:val="nil"/>
              <w:bottom w:val="single" w:sz="4" w:space="0" w:color="auto"/>
              <w:right w:val="single" w:sz="4" w:space="0" w:color="auto"/>
            </w:tcBorders>
            <w:shd w:val="clear" w:color="auto" w:fill="auto"/>
            <w:vAlign w:val="center"/>
          </w:tcPr>
          <w:p w14:paraId="24AA3627" w14:textId="77777777" w:rsidR="004A0123" w:rsidRPr="00640447" w:rsidRDefault="004A0123" w:rsidP="008A5C11">
            <w:pPr>
              <w:jc w:val="center"/>
              <w:rPr>
                <w:sz w:val="13"/>
                <w:szCs w:val="13"/>
              </w:rPr>
            </w:pPr>
            <w:proofErr w:type="gramStart"/>
            <w:r w:rsidRPr="00640447">
              <w:rPr>
                <w:sz w:val="13"/>
                <w:szCs w:val="13"/>
              </w:rPr>
              <w:t>Производитель-ность</w:t>
            </w:r>
            <w:proofErr w:type="gramEnd"/>
          </w:p>
        </w:tc>
        <w:tc>
          <w:tcPr>
            <w:tcW w:w="116" w:type="pct"/>
            <w:tcBorders>
              <w:top w:val="nil"/>
              <w:left w:val="nil"/>
              <w:bottom w:val="single" w:sz="4" w:space="0" w:color="auto"/>
              <w:right w:val="single" w:sz="4" w:space="0" w:color="auto"/>
            </w:tcBorders>
            <w:shd w:val="clear" w:color="auto" w:fill="auto"/>
            <w:vAlign w:val="center"/>
          </w:tcPr>
          <w:p w14:paraId="30EC4B83" w14:textId="77777777" w:rsidR="004A0123" w:rsidRPr="00640447" w:rsidRDefault="004A0123" w:rsidP="008A5C11">
            <w:pPr>
              <w:jc w:val="center"/>
              <w:rPr>
                <w:sz w:val="13"/>
                <w:szCs w:val="13"/>
              </w:rPr>
            </w:pPr>
            <w:r w:rsidRPr="00640447">
              <w:rPr>
                <w:sz w:val="13"/>
                <w:szCs w:val="13"/>
              </w:rPr>
              <w:t>м</w:t>
            </w:r>
            <w:r w:rsidRPr="00640447">
              <w:rPr>
                <w:sz w:val="13"/>
                <w:szCs w:val="13"/>
                <w:vertAlign w:val="superscript"/>
              </w:rPr>
              <w:t>3</w:t>
            </w:r>
            <w:r w:rsidRPr="00640447">
              <w:rPr>
                <w:sz w:val="13"/>
                <w:szCs w:val="13"/>
              </w:rPr>
              <w:t>/ч</w:t>
            </w:r>
          </w:p>
        </w:tc>
        <w:tc>
          <w:tcPr>
            <w:tcW w:w="182" w:type="pct"/>
            <w:tcBorders>
              <w:top w:val="nil"/>
              <w:left w:val="single" w:sz="4" w:space="0" w:color="auto"/>
              <w:bottom w:val="single" w:sz="4" w:space="0" w:color="auto"/>
              <w:right w:val="single" w:sz="4" w:space="0" w:color="auto"/>
            </w:tcBorders>
            <w:shd w:val="clear" w:color="auto" w:fill="auto"/>
            <w:vAlign w:val="center"/>
          </w:tcPr>
          <w:p w14:paraId="7419B628" w14:textId="77777777" w:rsidR="004A0123" w:rsidRPr="00640447" w:rsidRDefault="004A0123" w:rsidP="008A5C11">
            <w:pPr>
              <w:jc w:val="center"/>
              <w:rPr>
                <w:sz w:val="13"/>
                <w:szCs w:val="13"/>
              </w:rPr>
            </w:pPr>
            <w:r w:rsidRPr="00640447">
              <w:rPr>
                <w:sz w:val="13"/>
                <w:szCs w:val="13"/>
              </w:rPr>
              <w:t>0</w:t>
            </w:r>
          </w:p>
        </w:tc>
        <w:tc>
          <w:tcPr>
            <w:tcW w:w="174" w:type="pct"/>
            <w:tcBorders>
              <w:top w:val="nil"/>
              <w:left w:val="nil"/>
              <w:bottom w:val="single" w:sz="4" w:space="0" w:color="auto"/>
              <w:right w:val="single" w:sz="4" w:space="0" w:color="auto"/>
            </w:tcBorders>
            <w:shd w:val="clear" w:color="auto" w:fill="auto"/>
            <w:vAlign w:val="center"/>
          </w:tcPr>
          <w:p w14:paraId="196E0702" w14:textId="77777777" w:rsidR="004A0123" w:rsidRPr="00640447" w:rsidRDefault="004A0123" w:rsidP="008A5C11">
            <w:pPr>
              <w:jc w:val="center"/>
              <w:rPr>
                <w:sz w:val="13"/>
                <w:szCs w:val="13"/>
              </w:rPr>
            </w:pPr>
            <w:r w:rsidRPr="00640447">
              <w:rPr>
                <w:sz w:val="13"/>
                <w:szCs w:val="13"/>
              </w:rPr>
              <w:t>3828</w:t>
            </w:r>
          </w:p>
        </w:tc>
        <w:tc>
          <w:tcPr>
            <w:tcW w:w="189" w:type="pct"/>
            <w:tcBorders>
              <w:top w:val="nil"/>
              <w:left w:val="nil"/>
              <w:bottom w:val="single" w:sz="4" w:space="0" w:color="auto"/>
              <w:right w:val="single" w:sz="4" w:space="0" w:color="auto"/>
            </w:tcBorders>
            <w:shd w:val="clear" w:color="auto" w:fill="auto"/>
            <w:vAlign w:val="center"/>
          </w:tcPr>
          <w:p w14:paraId="2D0F8F8D" w14:textId="77777777" w:rsidR="004A0123" w:rsidRPr="00640447" w:rsidRDefault="004A0123" w:rsidP="008A5C11">
            <w:pPr>
              <w:jc w:val="center"/>
              <w:rPr>
                <w:sz w:val="13"/>
                <w:szCs w:val="13"/>
              </w:rPr>
            </w:pPr>
            <w:r w:rsidRPr="00640447">
              <w:rPr>
                <w:sz w:val="13"/>
                <w:szCs w:val="13"/>
              </w:rPr>
              <w:t>2019</w:t>
            </w:r>
          </w:p>
        </w:tc>
        <w:tc>
          <w:tcPr>
            <w:tcW w:w="184" w:type="pct"/>
            <w:tcBorders>
              <w:top w:val="nil"/>
              <w:left w:val="nil"/>
              <w:bottom w:val="single" w:sz="4" w:space="0" w:color="auto"/>
              <w:right w:val="single" w:sz="4" w:space="0" w:color="auto"/>
            </w:tcBorders>
            <w:shd w:val="clear" w:color="auto" w:fill="auto"/>
            <w:vAlign w:val="center"/>
          </w:tcPr>
          <w:p w14:paraId="4902D410" w14:textId="77777777" w:rsidR="004A0123" w:rsidRPr="00640447" w:rsidRDefault="004A0123" w:rsidP="008A5C11">
            <w:pPr>
              <w:jc w:val="center"/>
              <w:rPr>
                <w:sz w:val="13"/>
                <w:szCs w:val="13"/>
              </w:rPr>
            </w:pPr>
            <w:r w:rsidRPr="00640447">
              <w:rPr>
                <w:sz w:val="13"/>
                <w:szCs w:val="13"/>
              </w:rPr>
              <w:t>2021</w:t>
            </w:r>
          </w:p>
        </w:tc>
        <w:tc>
          <w:tcPr>
            <w:tcW w:w="180" w:type="pct"/>
            <w:tcBorders>
              <w:top w:val="nil"/>
              <w:left w:val="nil"/>
              <w:bottom w:val="single" w:sz="4" w:space="0" w:color="auto"/>
              <w:right w:val="single" w:sz="4" w:space="0" w:color="auto"/>
            </w:tcBorders>
            <w:shd w:val="clear" w:color="auto" w:fill="auto"/>
            <w:vAlign w:val="center"/>
          </w:tcPr>
          <w:p w14:paraId="0C8E3A5D" w14:textId="77777777" w:rsidR="004A0123" w:rsidRPr="00640447" w:rsidRDefault="004A0123" w:rsidP="008A5C11">
            <w:pPr>
              <w:jc w:val="center"/>
              <w:rPr>
                <w:sz w:val="13"/>
                <w:szCs w:val="13"/>
              </w:rPr>
            </w:pPr>
            <w:r w:rsidRPr="00640447">
              <w:rPr>
                <w:sz w:val="13"/>
                <w:szCs w:val="13"/>
              </w:rPr>
              <w:t>23188</w:t>
            </w:r>
          </w:p>
        </w:tc>
        <w:tc>
          <w:tcPr>
            <w:tcW w:w="187" w:type="pct"/>
            <w:tcBorders>
              <w:top w:val="nil"/>
              <w:left w:val="nil"/>
              <w:bottom w:val="single" w:sz="4" w:space="0" w:color="auto"/>
              <w:right w:val="single" w:sz="4" w:space="0" w:color="auto"/>
            </w:tcBorders>
            <w:shd w:val="clear" w:color="auto" w:fill="auto"/>
            <w:vAlign w:val="center"/>
          </w:tcPr>
          <w:p w14:paraId="4761BF60" w14:textId="77777777" w:rsidR="004A0123" w:rsidRPr="00640447" w:rsidRDefault="004A0123" w:rsidP="008A5C11">
            <w:pPr>
              <w:jc w:val="center"/>
              <w:rPr>
                <w:sz w:val="13"/>
                <w:szCs w:val="13"/>
              </w:rPr>
            </w:pPr>
            <w:r w:rsidRPr="00640447">
              <w:rPr>
                <w:sz w:val="13"/>
                <w:szCs w:val="13"/>
              </w:rPr>
              <w:t>0</w:t>
            </w:r>
          </w:p>
        </w:tc>
        <w:tc>
          <w:tcPr>
            <w:tcW w:w="146" w:type="pct"/>
            <w:tcBorders>
              <w:top w:val="nil"/>
              <w:left w:val="single" w:sz="4" w:space="0" w:color="auto"/>
              <w:bottom w:val="single" w:sz="4" w:space="0" w:color="auto"/>
              <w:right w:val="single" w:sz="4" w:space="0" w:color="auto"/>
            </w:tcBorders>
            <w:shd w:val="clear" w:color="auto" w:fill="auto"/>
            <w:vAlign w:val="center"/>
          </w:tcPr>
          <w:p w14:paraId="0BF7AB8E" w14:textId="77777777" w:rsidR="004A0123" w:rsidRPr="00640447" w:rsidRDefault="004A0123" w:rsidP="008A5C11">
            <w:pPr>
              <w:jc w:val="center"/>
              <w:rPr>
                <w:sz w:val="13"/>
                <w:szCs w:val="13"/>
              </w:rPr>
            </w:pPr>
            <w:r w:rsidRPr="00640447">
              <w:rPr>
                <w:sz w:val="13"/>
                <w:szCs w:val="13"/>
              </w:rPr>
              <w:t>16500</w:t>
            </w:r>
          </w:p>
        </w:tc>
        <w:tc>
          <w:tcPr>
            <w:tcW w:w="149" w:type="pct"/>
            <w:tcBorders>
              <w:top w:val="nil"/>
              <w:left w:val="nil"/>
              <w:bottom w:val="single" w:sz="4" w:space="0" w:color="auto"/>
              <w:right w:val="single" w:sz="4" w:space="0" w:color="auto"/>
            </w:tcBorders>
            <w:shd w:val="clear" w:color="auto" w:fill="auto"/>
            <w:vAlign w:val="center"/>
          </w:tcPr>
          <w:p w14:paraId="377D2CB8" w14:textId="77777777" w:rsidR="004A0123" w:rsidRPr="00640447" w:rsidRDefault="004A0123" w:rsidP="008A5C11">
            <w:pPr>
              <w:jc w:val="center"/>
              <w:rPr>
                <w:sz w:val="13"/>
                <w:szCs w:val="13"/>
              </w:rPr>
            </w:pPr>
            <w:r w:rsidRPr="00640447">
              <w:rPr>
                <w:sz w:val="13"/>
                <w:szCs w:val="13"/>
              </w:rPr>
              <w:t>0</w:t>
            </w:r>
          </w:p>
        </w:tc>
        <w:tc>
          <w:tcPr>
            <w:tcW w:w="183" w:type="pct"/>
            <w:tcBorders>
              <w:top w:val="nil"/>
              <w:left w:val="nil"/>
              <w:bottom w:val="single" w:sz="4" w:space="0" w:color="auto"/>
              <w:right w:val="single" w:sz="4" w:space="0" w:color="auto"/>
            </w:tcBorders>
            <w:shd w:val="clear" w:color="auto" w:fill="auto"/>
            <w:vAlign w:val="center"/>
          </w:tcPr>
          <w:p w14:paraId="58296948" w14:textId="77777777" w:rsidR="004A0123" w:rsidRPr="00640447" w:rsidRDefault="004A0123" w:rsidP="008A5C11">
            <w:pPr>
              <w:jc w:val="center"/>
              <w:rPr>
                <w:sz w:val="13"/>
                <w:szCs w:val="13"/>
              </w:rPr>
            </w:pPr>
            <w:r w:rsidRPr="00640447">
              <w:rPr>
                <w:sz w:val="13"/>
                <w:szCs w:val="13"/>
              </w:rPr>
              <w:t>6688</w:t>
            </w:r>
          </w:p>
        </w:tc>
        <w:tc>
          <w:tcPr>
            <w:tcW w:w="183" w:type="pct"/>
            <w:tcBorders>
              <w:top w:val="nil"/>
              <w:left w:val="nil"/>
              <w:bottom w:val="single" w:sz="4" w:space="0" w:color="auto"/>
              <w:right w:val="single" w:sz="4" w:space="0" w:color="auto"/>
            </w:tcBorders>
            <w:shd w:val="clear" w:color="auto" w:fill="auto"/>
            <w:vAlign w:val="center"/>
          </w:tcPr>
          <w:p w14:paraId="47B8D236" w14:textId="77777777" w:rsidR="004A0123" w:rsidRPr="00640447" w:rsidRDefault="004A0123" w:rsidP="008A5C11">
            <w:pPr>
              <w:jc w:val="center"/>
              <w:rPr>
                <w:sz w:val="13"/>
                <w:szCs w:val="13"/>
              </w:rPr>
            </w:pPr>
            <w:r w:rsidRPr="00640447">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18654067" w14:textId="77777777" w:rsidR="004A0123" w:rsidRPr="00640447" w:rsidRDefault="004A0123" w:rsidP="008A5C11">
            <w:pPr>
              <w:jc w:val="center"/>
              <w:rPr>
                <w:sz w:val="13"/>
                <w:szCs w:val="13"/>
              </w:rPr>
            </w:pPr>
            <w:r w:rsidRPr="00640447">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7F6480A3" w14:textId="77777777" w:rsidR="004A0123" w:rsidRPr="00640447" w:rsidRDefault="004A0123" w:rsidP="008A5C11">
            <w:pPr>
              <w:jc w:val="center"/>
              <w:rPr>
                <w:sz w:val="13"/>
                <w:szCs w:val="13"/>
              </w:rPr>
            </w:pPr>
            <w:r w:rsidRPr="00640447">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4DA7E985" w14:textId="77777777" w:rsidR="004A0123" w:rsidRPr="00640447" w:rsidRDefault="004A0123" w:rsidP="008A5C11">
            <w:pPr>
              <w:jc w:val="center"/>
              <w:rPr>
                <w:sz w:val="13"/>
                <w:szCs w:val="13"/>
              </w:rPr>
            </w:pPr>
            <w:r w:rsidRPr="00640447">
              <w:rPr>
                <w:sz w:val="13"/>
                <w:szCs w:val="13"/>
              </w:rPr>
              <w:t>0</w:t>
            </w:r>
          </w:p>
        </w:tc>
        <w:tc>
          <w:tcPr>
            <w:tcW w:w="174" w:type="pct"/>
            <w:tcBorders>
              <w:top w:val="single" w:sz="4" w:space="0" w:color="auto"/>
              <w:left w:val="single" w:sz="4" w:space="0" w:color="auto"/>
              <w:bottom w:val="single" w:sz="4" w:space="0" w:color="auto"/>
              <w:right w:val="single" w:sz="4" w:space="0" w:color="auto"/>
            </w:tcBorders>
            <w:vAlign w:val="center"/>
          </w:tcPr>
          <w:p w14:paraId="3DB67A58" w14:textId="77777777" w:rsidR="004A0123" w:rsidRPr="00640447" w:rsidRDefault="004A0123" w:rsidP="008A5C11">
            <w:pPr>
              <w:jc w:val="center"/>
              <w:rPr>
                <w:sz w:val="13"/>
                <w:szCs w:val="13"/>
              </w:rPr>
            </w:pPr>
            <w:r w:rsidRPr="00640447">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1C805272" w14:textId="77777777" w:rsidR="004A0123" w:rsidRPr="00640447" w:rsidRDefault="004A0123" w:rsidP="008A5C11">
            <w:pPr>
              <w:jc w:val="center"/>
              <w:rPr>
                <w:sz w:val="13"/>
                <w:szCs w:val="13"/>
              </w:rPr>
            </w:pPr>
            <w:r w:rsidRPr="00640447">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01E7960A" w14:textId="77777777" w:rsidR="004A0123" w:rsidRPr="00640447" w:rsidRDefault="004A0123" w:rsidP="008A5C11">
            <w:pPr>
              <w:jc w:val="center"/>
              <w:rPr>
                <w:sz w:val="13"/>
                <w:szCs w:val="13"/>
              </w:rPr>
            </w:pPr>
            <w:r w:rsidRPr="00640447">
              <w:rPr>
                <w:sz w:val="13"/>
                <w:szCs w:val="13"/>
              </w:rPr>
              <w:t>0</w:t>
            </w:r>
          </w:p>
        </w:tc>
        <w:tc>
          <w:tcPr>
            <w:tcW w:w="188" w:type="pct"/>
            <w:tcBorders>
              <w:top w:val="single" w:sz="4" w:space="0" w:color="auto"/>
              <w:left w:val="single" w:sz="4" w:space="0" w:color="auto"/>
              <w:bottom w:val="single" w:sz="4" w:space="0" w:color="auto"/>
              <w:right w:val="single" w:sz="4" w:space="0" w:color="auto"/>
            </w:tcBorders>
            <w:vAlign w:val="center"/>
          </w:tcPr>
          <w:p w14:paraId="2C73C112" w14:textId="77777777" w:rsidR="004A0123" w:rsidRPr="00640447" w:rsidRDefault="004A0123" w:rsidP="008A5C11">
            <w:pPr>
              <w:jc w:val="center"/>
              <w:rPr>
                <w:sz w:val="13"/>
                <w:szCs w:val="13"/>
              </w:rPr>
            </w:pPr>
            <w:r w:rsidRPr="00640447">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6FC2954C" w14:textId="77777777" w:rsidR="004A0123" w:rsidRPr="00640447" w:rsidRDefault="004A0123" w:rsidP="008A5C11">
            <w:pPr>
              <w:jc w:val="center"/>
              <w:rPr>
                <w:sz w:val="13"/>
                <w:szCs w:val="13"/>
              </w:rPr>
            </w:pPr>
            <w:r w:rsidRPr="00640447">
              <w:rPr>
                <w:sz w:val="13"/>
                <w:szCs w:val="13"/>
              </w:rPr>
              <w:t>0</w:t>
            </w:r>
          </w:p>
        </w:tc>
      </w:tr>
      <w:tr w:rsidR="004A0123" w:rsidRPr="00640447" w14:paraId="5A99AEDB" w14:textId="77777777" w:rsidTr="008A5C11">
        <w:trPr>
          <w:trHeight w:val="274"/>
        </w:trPr>
        <w:tc>
          <w:tcPr>
            <w:tcW w:w="146" w:type="pct"/>
            <w:tcBorders>
              <w:top w:val="single" w:sz="4" w:space="0" w:color="auto"/>
              <w:left w:val="single" w:sz="4" w:space="0" w:color="auto"/>
              <w:bottom w:val="single" w:sz="4" w:space="0" w:color="auto"/>
              <w:right w:val="single" w:sz="4" w:space="0" w:color="auto"/>
            </w:tcBorders>
            <w:shd w:val="clear" w:color="auto" w:fill="auto"/>
            <w:vAlign w:val="center"/>
          </w:tcPr>
          <w:p w14:paraId="22D2C4B6" w14:textId="77777777" w:rsidR="004A0123" w:rsidRPr="00640447" w:rsidRDefault="004A0123" w:rsidP="008A5C11">
            <w:pPr>
              <w:jc w:val="center"/>
              <w:rPr>
                <w:bCs/>
                <w:sz w:val="13"/>
                <w:szCs w:val="13"/>
              </w:rPr>
            </w:pPr>
            <w:r w:rsidRPr="00640447">
              <w:rPr>
                <w:bCs/>
                <w:sz w:val="13"/>
                <w:szCs w:val="13"/>
              </w:rPr>
              <w:t>1</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0AD13876" w14:textId="77777777" w:rsidR="004A0123" w:rsidRPr="00640447" w:rsidRDefault="004A0123" w:rsidP="008A5C11">
            <w:pPr>
              <w:jc w:val="center"/>
              <w:rPr>
                <w:bCs/>
                <w:sz w:val="13"/>
                <w:szCs w:val="13"/>
              </w:rPr>
            </w:pPr>
            <w:r w:rsidRPr="00640447">
              <w:rPr>
                <w:bCs/>
                <w:sz w:val="13"/>
                <w:szCs w:val="13"/>
              </w:rPr>
              <w:t>2</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tcPr>
          <w:p w14:paraId="176FBF24" w14:textId="77777777" w:rsidR="004A0123" w:rsidRPr="00640447" w:rsidRDefault="004A0123" w:rsidP="008A5C11">
            <w:pPr>
              <w:jc w:val="center"/>
              <w:rPr>
                <w:bCs/>
                <w:sz w:val="13"/>
                <w:szCs w:val="13"/>
              </w:rPr>
            </w:pPr>
            <w:r w:rsidRPr="00640447">
              <w:rPr>
                <w:bCs/>
                <w:sz w:val="13"/>
                <w:szCs w:val="13"/>
              </w:rPr>
              <w:t>3</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35048B5D" w14:textId="77777777" w:rsidR="004A0123" w:rsidRPr="00640447" w:rsidRDefault="004A0123" w:rsidP="008A5C11">
            <w:pPr>
              <w:jc w:val="center"/>
              <w:rPr>
                <w:bCs/>
                <w:sz w:val="13"/>
                <w:szCs w:val="13"/>
              </w:rPr>
            </w:pPr>
            <w:r w:rsidRPr="00640447">
              <w:rPr>
                <w:bCs/>
                <w:sz w:val="13"/>
                <w:szCs w:val="13"/>
              </w:rPr>
              <w:t>4</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0A634CF9" w14:textId="77777777" w:rsidR="004A0123" w:rsidRPr="00640447" w:rsidRDefault="004A0123" w:rsidP="008A5C11">
            <w:pPr>
              <w:jc w:val="center"/>
              <w:rPr>
                <w:bCs/>
                <w:sz w:val="13"/>
                <w:szCs w:val="13"/>
              </w:rPr>
            </w:pPr>
            <w:r w:rsidRPr="00640447">
              <w:rPr>
                <w:bCs/>
                <w:sz w:val="13"/>
                <w:szCs w:val="13"/>
              </w:rPr>
              <w:t>5</w:t>
            </w:r>
          </w:p>
        </w:tc>
        <w:tc>
          <w:tcPr>
            <w:tcW w:w="116" w:type="pct"/>
            <w:tcBorders>
              <w:top w:val="single" w:sz="4" w:space="0" w:color="auto"/>
              <w:left w:val="single" w:sz="4" w:space="0" w:color="auto"/>
              <w:bottom w:val="single" w:sz="4" w:space="0" w:color="auto"/>
              <w:right w:val="single" w:sz="4" w:space="0" w:color="auto"/>
            </w:tcBorders>
            <w:shd w:val="clear" w:color="auto" w:fill="auto"/>
            <w:vAlign w:val="center"/>
          </w:tcPr>
          <w:p w14:paraId="1E8CAC4C" w14:textId="77777777" w:rsidR="004A0123" w:rsidRPr="00640447" w:rsidRDefault="004A0123" w:rsidP="008A5C11">
            <w:pPr>
              <w:jc w:val="center"/>
              <w:rPr>
                <w:bCs/>
                <w:sz w:val="13"/>
                <w:szCs w:val="13"/>
              </w:rPr>
            </w:pPr>
            <w:r w:rsidRPr="00640447">
              <w:rPr>
                <w:bCs/>
                <w:sz w:val="13"/>
                <w:szCs w:val="13"/>
              </w:rPr>
              <w:t>6</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15BAB029" w14:textId="77777777" w:rsidR="004A0123" w:rsidRPr="00640447" w:rsidRDefault="004A0123" w:rsidP="008A5C11">
            <w:pPr>
              <w:jc w:val="center"/>
              <w:rPr>
                <w:bCs/>
                <w:sz w:val="13"/>
                <w:szCs w:val="13"/>
              </w:rPr>
            </w:pPr>
            <w:r w:rsidRPr="00640447">
              <w:rPr>
                <w:bCs/>
                <w:sz w:val="13"/>
                <w:szCs w:val="13"/>
              </w:rPr>
              <w:t>7</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14:paraId="3604D27D" w14:textId="77777777" w:rsidR="004A0123" w:rsidRPr="00640447" w:rsidRDefault="004A0123" w:rsidP="008A5C11">
            <w:pPr>
              <w:jc w:val="center"/>
              <w:rPr>
                <w:bCs/>
                <w:sz w:val="13"/>
                <w:szCs w:val="13"/>
              </w:rPr>
            </w:pPr>
            <w:r w:rsidRPr="00640447">
              <w:rPr>
                <w:bCs/>
                <w:sz w:val="13"/>
                <w:szCs w:val="13"/>
              </w:rPr>
              <w:t>8</w:t>
            </w: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14:paraId="720BC4B9" w14:textId="77777777" w:rsidR="004A0123" w:rsidRPr="00640447" w:rsidRDefault="004A0123" w:rsidP="008A5C11">
            <w:pPr>
              <w:jc w:val="center"/>
              <w:rPr>
                <w:bCs/>
                <w:sz w:val="13"/>
                <w:szCs w:val="13"/>
              </w:rPr>
            </w:pPr>
            <w:r w:rsidRPr="00640447">
              <w:rPr>
                <w:bCs/>
                <w:sz w:val="13"/>
                <w:szCs w:val="13"/>
              </w:rPr>
              <w:t>9</w:t>
            </w:r>
          </w:p>
        </w:tc>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4886D9B4" w14:textId="77777777" w:rsidR="004A0123" w:rsidRPr="00640447" w:rsidRDefault="004A0123" w:rsidP="008A5C11">
            <w:pPr>
              <w:jc w:val="center"/>
              <w:rPr>
                <w:bCs/>
                <w:sz w:val="13"/>
                <w:szCs w:val="13"/>
              </w:rPr>
            </w:pPr>
            <w:r w:rsidRPr="00640447">
              <w:rPr>
                <w:bCs/>
                <w:sz w:val="13"/>
                <w:szCs w:val="13"/>
              </w:rPr>
              <w:t>10</w:t>
            </w:r>
          </w:p>
        </w:tc>
        <w:tc>
          <w:tcPr>
            <w:tcW w:w="180" w:type="pct"/>
            <w:tcBorders>
              <w:top w:val="single" w:sz="4" w:space="0" w:color="auto"/>
              <w:left w:val="single" w:sz="4" w:space="0" w:color="auto"/>
              <w:bottom w:val="single" w:sz="4" w:space="0" w:color="auto"/>
              <w:right w:val="single" w:sz="4" w:space="0" w:color="auto"/>
            </w:tcBorders>
            <w:shd w:val="clear" w:color="auto" w:fill="auto"/>
            <w:vAlign w:val="center"/>
          </w:tcPr>
          <w:p w14:paraId="785AA8D3" w14:textId="77777777" w:rsidR="004A0123" w:rsidRPr="00640447" w:rsidRDefault="004A0123" w:rsidP="008A5C11">
            <w:pPr>
              <w:jc w:val="center"/>
              <w:rPr>
                <w:bCs/>
                <w:sz w:val="13"/>
                <w:szCs w:val="13"/>
              </w:rPr>
            </w:pPr>
            <w:r w:rsidRPr="00640447">
              <w:rPr>
                <w:bCs/>
                <w:sz w:val="13"/>
                <w:szCs w:val="13"/>
              </w:rPr>
              <w:t>11</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14:paraId="490BB012" w14:textId="77777777" w:rsidR="004A0123" w:rsidRPr="00640447" w:rsidRDefault="004A0123" w:rsidP="008A5C11">
            <w:pPr>
              <w:jc w:val="center"/>
              <w:rPr>
                <w:bCs/>
                <w:sz w:val="13"/>
                <w:szCs w:val="13"/>
              </w:rPr>
            </w:pPr>
            <w:r w:rsidRPr="00640447">
              <w:rPr>
                <w:bCs/>
                <w:sz w:val="13"/>
                <w:szCs w:val="13"/>
              </w:rPr>
              <w:t>12</w:t>
            </w:r>
          </w:p>
        </w:tc>
        <w:tc>
          <w:tcPr>
            <w:tcW w:w="146" w:type="pct"/>
            <w:tcBorders>
              <w:top w:val="single" w:sz="4" w:space="0" w:color="auto"/>
              <w:left w:val="single" w:sz="4" w:space="0" w:color="auto"/>
              <w:bottom w:val="single" w:sz="4" w:space="0" w:color="auto"/>
              <w:right w:val="single" w:sz="4" w:space="0" w:color="auto"/>
            </w:tcBorders>
            <w:shd w:val="clear" w:color="auto" w:fill="auto"/>
            <w:vAlign w:val="center"/>
          </w:tcPr>
          <w:p w14:paraId="606E8179" w14:textId="77777777" w:rsidR="004A0123" w:rsidRPr="00640447" w:rsidRDefault="004A0123" w:rsidP="008A5C11">
            <w:pPr>
              <w:jc w:val="center"/>
              <w:rPr>
                <w:bCs/>
                <w:sz w:val="13"/>
                <w:szCs w:val="13"/>
              </w:rPr>
            </w:pPr>
            <w:r w:rsidRPr="00640447">
              <w:rPr>
                <w:bCs/>
                <w:sz w:val="13"/>
                <w:szCs w:val="13"/>
              </w:rPr>
              <w:t>13</w:t>
            </w:r>
          </w:p>
        </w:tc>
        <w:tc>
          <w:tcPr>
            <w:tcW w:w="149" w:type="pct"/>
            <w:tcBorders>
              <w:top w:val="single" w:sz="4" w:space="0" w:color="auto"/>
              <w:left w:val="single" w:sz="4" w:space="0" w:color="auto"/>
              <w:bottom w:val="single" w:sz="4" w:space="0" w:color="auto"/>
              <w:right w:val="single" w:sz="4" w:space="0" w:color="auto"/>
            </w:tcBorders>
            <w:shd w:val="clear" w:color="auto" w:fill="auto"/>
            <w:vAlign w:val="center"/>
          </w:tcPr>
          <w:p w14:paraId="0A69DE1F" w14:textId="77777777" w:rsidR="004A0123" w:rsidRPr="00640447" w:rsidRDefault="004A0123" w:rsidP="008A5C11">
            <w:pPr>
              <w:jc w:val="center"/>
              <w:rPr>
                <w:bCs/>
                <w:sz w:val="13"/>
                <w:szCs w:val="13"/>
              </w:rPr>
            </w:pPr>
            <w:r w:rsidRPr="00640447">
              <w:rPr>
                <w:bCs/>
                <w:sz w:val="13"/>
                <w:szCs w:val="13"/>
              </w:rPr>
              <w:t>14</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1A7AF29A" w14:textId="77777777" w:rsidR="004A0123" w:rsidRPr="00640447" w:rsidRDefault="004A0123" w:rsidP="008A5C11">
            <w:pPr>
              <w:jc w:val="center"/>
              <w:rPr>
                <w:bCs/>
                <w:sz w:val="13"/>
                <w:szCs w:val="13"/>
              </w:rPr>
            </w:pPr>
            <w:r w:rsidRPr="00640447">
              <w:rPr>
                <w:bCs/>
                <w:sz w:val="13"/>
                <w:szCs w:val="13"/>
              </w:rPr>
              <w:t>15</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79B9BF48" w14:textId="77777777" w:rsidR="004A0123" w:rsidRPr="00640447" w:rsidRDefault="004A0123" w:rsidP="008A5C11">
            <w:pPr>
              <w:jc w:val="center"/>
              <w:rPr>
                <w:bCs/>
                <w:sz w:val="13"/>
                <w:szCs w:val="13"/>
              </w:rPr>
            </w:pPr>
            <w:r w:rsidRPr="00640447">
              <w:rPr>
                <w:bCs/>
                <w:sz w:val="13"/>
                <w:szCs w:val="13"/>
              </w:rPr>
              <w:t>16</w:t>
            </w:r>
          </w:p>
        </w:tc>
        <w:tc>
          <w:tcPr>
            <w:tcW w:w="155" w:type="pct"/>
            <w:tcBorders>
              <w:top w:val="single" w:sz="4" w:space="0" w:color="auto"/>
              <w:left w:val="single" w:sz="4" w:space="0" w:color="auto"/>
              <w:bottom w:val="single" w:sz="4" w:space="0" w:color="auto"/>
              <w:right w:val="single" w:sz="4" w:space="0" w:color="auto"/>
            </w:tcBorders>
            <w:vAlign w:val="center"/>
          </w:tcPr>
          <w:p w14:paraId="65EC15FB" w14:textId="77777777" w:rsidR="004A0123" w:rsidRPr="00640447" w:rsidRDefault="004A0123" w:rsidP="008A5C11">
            <w:pPr>
              <w:jc w:val="center"/>
              <w:rPr>
                <w:bCs/>
                <w:sz w:val="13"/>
                <w:szCs w:val="13"/>
              </w:rPr>
            </w:pPr>
            <w:r w:rsidRPr="00640447">
              <w:rPr>
                <w:bCs/>
                <w:sz w:val="13"/>
                <w:szCs w:val="13"/>
              </w:rPr>
              <w:t>17</w:t>
            </w:r>
          </w:p>
        </w:tc>
        <w:tc>
          <w:tcPr>
            <w:tcW w:w="154" w:type="pct"/>
            <w:tcBorders>
              <w:top w:val="single" w:sz="4" w:space="0" w:color="auto"/>
              <w:left w:val="single" w:sz="4" w:space="0" w:color="auto"/>
              <w:bottom w:val="single" w:sz="4" w:space="0" w:color="auto"/>
              <w:right w:val="single" w:sz="4" w:space="0" w:color="auto"/>
            </w:tcBorders>
            <w:vAlign w:val="center"/>
          </w:tcPr>
          <w:p w14:paraId="2D141C85" w14:textId="77777777" w:rsidR="004A0123" w:rsidRPr="00640447" w:rsidRDefault="004A0123" w:rsidP="008A5C11">
            <w:pPr>
              <w:jc w:val="center"/>
              <w:rPr>
                <w:bCs/>
                <w:sz w:val="13"/>
                <w:szCs w:val="13"/>
              </w:rPr>
            </w:pPr>
            <w:r w:rsidRPr="00640447">
              <w:rPr>
                <w:bCs/>
                <w:sz w:val="13"/>
                <w:szCs w:val="13"/>
              </w:rPr>
              <w:t>18</w:t>
            </w:r>
          </w:p>
        </w:tc>
        <w:tc>
          <w:tcPr>
            <w:tcW w:w="153" w:type="pct"/>
            <w:tcBorders>
              <w:top w:val="single" w:sz="4" w:space="0" w:color="auto"/>
              <w:left w:val="single" w:sz="4" w:space="0" w:color="auto"/>
              <w:bottom w:val="single" w:sz="4" w:space="0" w:color="auto"/>
              <w:right w:val="single" w:sz="4" w:space="0" w:color="auto"/>
            </w:tcBorders>
            <w:vAlign w:val="center"/>
          </w:tcPr>
          <w:p w14:paraId="7796E817" w14:textId="77777777" w:rsidR="004A0123" w:rsidRPr="00640447" w:rsidRDefault="004A0123" w:rsidP="008A5C11">
            <w:pPr>
              <w:jc w:val="center"/>
              <w:rPr>
                <w:bCs/>
                <w:sz w:val="13"/>
                <w:szCs w:val="13"/>
              </w:rPr>
            </w:pPr>
            <w:r w:rsidRPr="00640447">
              <w:rPr>
                <w:bCs/>
                <w:sz w:val="13"/>
                <w:szCs w:val="13"/>
              </w:rPr>
              <w:t>19</w:t>
            </w:r>
          </w:p>
        </w:tc>
        <w:tc>
          <w:tcPr>
            <w:tcW w:w="174" w:type="pct"/>
            <w:tcBorders>
              <w:top w:val="single" w:sz="4" w:space="0" w:color="auto"/>
              <w:left w:val="single" w:sz="4" w:space="0" w:color="auto"/>
              <w:bottom w:val="single" w:sz="4" w:space="0" w:color="auto"/>
              <w:right w:val="single" w:sz="4" w:space="0" w:color="auto"/>
            </w:tcBorders>
            <w:vAlign w:val="center"/>
          </w:tcPr>
          <w:p w14:paraId="7352A906" w14:textId="77777777" w:rsidR="004A0123" w:rsidRPr="00640447" w:rsidRDefault="004A0123" w:rsidP="008A5C11">
            <w:pPr>
              <w:jc w:val="center"/>
              <w:rPr>
                <w:bCs/>
                <w:sz w:val="13"/>
                <w:szCs w:val="13"/>
              </w:rPr>
            </w:pPr>
            <w:r w:rsidRPr="00640447">
              <w:rPr>
                <w:bCs/>
                <w:sz w:val="13"/>
                <w:szCs w:val="13"/>
              </w:rPr>
              <w:t>20</w:t>
            </w:r>
          </w:p>
        </w:tc>
        <w:tc>
          <w:tcPr>
            <w:tcW w:w="156" w:type="pct"/>
            <w:tcBorders>
              <w:top w:val="single" w:sz="4" w:space="0" w:color="auto"/>
              <w:left w:val="single" w:sz="4" w:space="0" w:color="auto"/>
              <w:bottom w:val="single" w:sz="4" w:space="0" w:color="auto"/>
              <w:right w:val="single" w:sz="4" w:space="0" w:color="auto"/>
            </w:tcBorders>
            <w:vAlign w:val="center"/>
          </w:tcPr>
          <w:p w14:paraId="452B2FF5" w14:textId="77777777" w:rsidR="004A0123" w:rsidRPr="00640447" w:rsidRDefault="004A0123" w:rsidP="008A5C11">
            <w:pPr>
              <w:jc w:val="center"/>
              <w:rPr>
                <w:bCs/>
                <w:sz w:val="13"/>
                <w:szCs w:val="13"/>
              </w:rPr>
            </w:pPr>
            <w:r w:rsidRPr="00640447">
              <w:rPr>
                <w:bCs/>
                <w:sz w:val="13"/>
                <w:szCs w:val="13"/>
              </w:rPr>
              <w:t>21</w:t>
            </w:r>
          </w:p>
        </w:tc>
        <w:tc>
          <w:tcPr>
            <w:tcW w:w="146" w:type="pct"/>
            <w:tcBorders>
              <w:top w:val="single" w:sz="4" w:space="0" w:color="auto"/>
              <w:left w:val="single" w:sz="4" w:space="0" w:color="auto"/>
              <w:bottom w:val="single" w:sz="4" w:space="0" w:color="auto"/>
              <w:right w:val="single" w:sz="4" w:space="0" w:color="auto"/>
            </w:tcBorders>
            <w:vAlign w:val="center"/>
          </w:tcPr>
          <w:p w14:paraId="24DBAFAF" w14:textId="77777777" w:rsidR="004A0123" w:rsidRPr="00640447" w:rsidRDefault="004A0123" w:rsidP="008A5C11">
            <w:pPr>
              <w:jc w:val="center"/>
              <w:rPr>
                <w:bCs/>
                <w:sz w:val="13"/>
                <w:szCs w:val="13"/>
              </w:rPr>
            </w:pPr>
            <w:r w:rsidRPr="00640447">
              <w:rPr>
                <w:bCs/>
                <w:sz w:val="13"/>
                <w:szCs w:val="13"/>
              </w:rPr>
              <w:t>22</w:t>
            </w:r>
          </w:p>
        </w:tc>
        <w:tc>
          <w:tcPr>
            <w:tcW w:w="188" w:type="pct"/>
            <w:tcBorders>
              <w:top w:val="single" w:sz="4" w:space="0" w:color="auto"/>
              <w:left w:val="single" w:sz="4" w:space="0" w:color="auto"/>
              <w:bottom w:val="single" w:sz="4" w:space="0" w:color="auto"/>
              <w:right w:val="single" w:sz="4" w:space="0" w:color="auto"/>
            </w:tcBorders>
            <w:vAlign w:val="center"/>
          </w:tcPr>
          <w:p w14:paraId="1AEF92B6" w14:textId="77777777" w:rsidR="004A0123" w:rsidRPr="00640447" w:rsidRDefault="004A0123" w:rsidP="008A5C11">
            <w:pPr>
              <w:jc w:val="center"/>
              <w:rPr>
                <w:bCs/>
                <w:sz w:val="13"/>
                <w:szCs w:val="13"/>
              </w:rPr>
            </w:pPr>
            <w:r w:rsidRPr="00640447">
              <w:rPr>
                <w:bCs/>
                <w:sz w:val="13"/>
                <w:szCs w:val="13"/>
              </w:rPr>
              <w:t>23</w:t>
            </w:r>
          </w:p>
        </w:tc>
        <w:tc>
          <w:tcPr>
            <w:tcW w:w="182" w:type="pct"/>
            <w:tcBorders>
              <w:top w:val="single" w:sz="4" w:space="0" w:color="auto"/>
              <w:left w:val="single" w:sz="4" w:space="0" w:color="auto"/>
              <w:bottom w:val="single" w:sz="4" w:space="0" w:color="auto"/>
              <w:right w:val="single" w:sz="4" w:space="0" w:color="auto"/>
            </w:tcBorders>
            <w:vAlign w:val="center"/>
          </w:tcPr>
          <w:p w14:paraId="73DC0431" w14:textId="77777777" w:rsidR="004A0123" w:rsidRPr="00640447" w:rsidRDefault="004A0123" w:rsidP="008A5C11">
            <w:pPr>
              <w:jc w:val="center"/>
              <w:rPr>
                <w:bCs/>
                <w:sz w:val="13"/>
                <w:szCs w:val="13"/>
              </w:rPr>
            </w:pPr>
            <w:r w:rsidRPr="00640447">
              <w:rPr>
                <w:bCs/>
                <w:sz w:val="13"/>
                <w:szCs w:val="13"/>
              </w:rPr>
              <w:t>24</w:t>
            </w:r>
          </w:p>
        </w:tc>
      </w:tr>
      <w:tr w:rsidR="004A0123" w:rsidRPr="00640447" w14:paraId="601D84C2" w14:textId="77777777" w:rsidTr="008A5C11">
        <w:trPr>
          <w:trHeight w:val="489"/>
        </w:trPr>
        <w:tc>
          <w:tcPr>
            <w:tcW w:w="146" w:type="pct"/>
            <w:tcBorders>
              <w:top w:val="single" w:sz="4" w:space="0" w:color="auto"/>
            </w:tcBorders>
            <w:shd w:val="clear" w:color="auto" w:fill="auto"/>
            <w:vAlign w:val="center"/>
          </w:tcPr>
          <w:p w14:paraId="54D5E67E" w14:textId="77777777" w:rsidR="004A0123" w:rsidRPr="00640447" w:rsidRDefault="004A0123" w:rsidP="008A5C11">
            <w:pPr>
              <w:jc w:val="center"/>
              <w:rPr>
                <w:sz w:val="13"/>
                <w:szCs w:val="13"/>
              </w:rPr>
            </w:pPr>
            <w:r w:rsidRPr="00640447">
              <w:rPr>
                <w:sz w:val="13"/>
                <w:szCs w:val="13"/>
              </w:rPr>
              <w:t>3.2.14.</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2CF84EEF" w14:textId="77777777" w:rsidR="004A0123" w:rsidRPr="00640447" w:rsidRDefault="004A0123" w:rsidP="008A5C11">
            <w:pPr>
              <w:rPr>
                <w:color w:val="000000"/>
                <w:sz w:val="13"/>
                <w:szCs w:val="13"/>
              </w:rPr>
            </w:pPr>
            <w:r w:rsidRPr="00640447">
              <w:rPr>
                <w:color w:val="000000"/>
                <w:sz w:val="13"/>
                <w:szCs w:val="13"/>
              </w:rPr>
              <w:t xml:space="preserve">Котельная «Энергетик». Проектирование и установка </w:t>
            </w:r>
            <w:proofErr w:type="gramStart"/>
            <w:r w:rsidRPr="00640447">
              <w:rPr>
                <w:color w:val="000000"/>
                <w:sz w:val="13"/>
                <w:szCs w:val="13"/>
              </w:rPr>
              <w:t>котла  К</w:t>
            </w:r>
            <w:proofErr w:type="gramEnd"/>
            <w:r w:rsidRPr="00640447">
              <w:rPr>
                <w:color w:val="000000"/>
                <w:sz w:val="13"/>
                <w:szCs w:val="13"/>
              </w:rPr>
              <w:t>-50-40/14 № 2 с установкой системы автоматизации.</w:t>
            </w:r>
          </w:p>
        </w:tc>
        <w:tc>
          <w:tcPr>
            <w:tcW w:w="359" w:type="pct"/>
            <w:tcBorders>
              <w:top w:val="single" w:sz="4" w:space="0" w:color="auto"/>
              <w:left w:val="nil"/>
              <w:bottom w:val="single" w:sz="4" w:space="0" w:color="auto"/>
              <w:right w:val="single" w:sz="4" w:space="0" w:color="auto"/>
            </w:tcBorders>
            <w:shd w:val="clear" w:color="auto" w:fill="auto"/>
            <w:vAlign w:val="center"/>
          </w:tcPr>
          <w:p w14:paraId="4CF8F486" w14:textId="77777777" w:rsidR="004A0123" w:rsidRPr="00640447" w:rsidRDefault="004A0123" w:rsidP="008A5C11">
            <w:pPr>
              <w:jc w:val="center"/>
              <w:rPr>
                <w:color w:val="000000"/>
                <w:sz w:val="13"/>
                <w:szCs w:val="13"/>
              </w:rPr>
            </w:pPr>
            <w:r w:rsidRPr="00640447">
              <w:rPr>
                <w:color w:val="000000"/>
                <w:sz w:val="13"/>
                <w:szCs w:val="13"/>
              </w:rPr>
              <w:t>Повышение надежности теплоснабжения</w:t>
            </w:r>
          </w:p>
        </w:tc>
        <w:tc>
          <w:tcPr>
            <w:tcW w:w="360" w:type="pct"/>
            <w:tcBorders>
              <w:top w:val="single" w:sz="4" w:space="0" w:color="auto"/>
              <w:left w:val="nil"/>
              <w:bottom w:val="single" w:sz="4" w:space="0" w:color="auto"/>
              <w:right w:val="single" w:sz="4" w:space="0" w:color="auto"/>
            </w:tcBorders>
            <w:shd w:val="clear" w:color="auto" w:fill="auto"/>
            <w:vAlign w:val="center"/>
          </w:tcPr>
          <w:p w14:paraId="05C9A062" w14:textId="77777777" w:rsidR="004A0123" w:rsidRPr="00640447" w:rsidRDefault="004A0123" w:rsidP="008A5C11">
            <w:pPr>
              <w:jc w:val="center"/>
              <w:rPr>
                <w:color w:val="000000"/>
                <w:sz w:val="13"/>
                <w:szCs w:val="13"/>
              </w:rPr>
            </w:pPr>
            <w:r w:rsidRPr="00640447">
              <w:rPr>
                <w:color w:val="000000"/>
                <w:sz w:val="13"/>
                <w:szCs w:val="13"/>
              </w:rPr>
              <w:t xml:space="preserve">г. Ленинск-Кузнецкий, </w:t>
            </w:r>
          </w:p>
          <w:p w14:paraId="231A9211" w14:textId="77777777" w:rsidR="004A0123" w:rsidRPr="00640447" w:rsidRDefault="004A0123" w:rsidP="008A5C11">
            <w:pPr>
              <w:jc w:val="center"/>
              <w:rPr>
                <w:color w:val="000000"/>
                <w:sz w:val="13"/>
                <w:szCs w:val="13"/>
              </w:rPr>
            </w:pPr>
            <w:r w:rsidRPr="00640447">
              <w:rPr>
                <w:color w:val="000000"/>
                <w:sz w:val="13"/>
                <w:szCs w:val="13"/>
              </w:rPr>
              <w:t>тер. Северная промзона 4</w:t>
            </w:r>
          </w:p>
        </w:tc>
        <w:tc>
          <w:tcPr>
            <w:tcW w:w="338" w:type="pct"/>
            <w:tcBorders>
              <w:top w:val="single" w:sz="4" w:space="0" w:color="auto"/>
              <w:left w:val="nil"/>
              <w:bottom w:val="single" w:sz="4" w:space="0" w:color="auto"/>
              <w:right w:val="single" w:sz="4" w:space="0" w:color="auto"/>
            </w:tcBorders>
            <w:shd w:val="clear" w:color="auto" w:fill="auto"/>
            <w:vAlign w:val="center"/>
          </w:tcPr>
          <w:p w14:paraId="4D624E12" w14:textId="77777777" w:rsidR="004A0123" w:rsidRPr="00640447" w:rsidRDefault="004A0123" w:rsidP="008A5C11">
            <w:pPr>
              <w:jc w:val="center"/>
              <w:rPr>
                <w:sz w:val="13"/>
                <w:szCs w:val="13"/>
              </w:rPr>
            </w:pPr>
            <w:r w:rsidRPr="00640447">
              <w:rPr>
                <w:sz w:val="13"/>
                <w:szCs w:val="13"/>
              </w:rPr>
              <w:t>Установленная мощность</w:t>
            </w:r>
          </w:p>
        </w:tc>
        <w:tc>
          <w:tcPr>
            <w:tcW w:w="116" w:type="pct"/>
            <w:tcBorders>
              <w:top w:val="single" w:sz="4" w:space="0" w:color="auto"/>
              <w:left w:val="nil"/>
              <w:bottom w:val="single" w:sz="4" w:space="0" w:color="auto"/>
              <w:right w:val="single" w:sz="4" w:space="0" w:color="auto"/>
            </w:tcBorders>
            <w:shd w:val="clear" w:color="auto" w:fill="auto"/>
            <w:vAlign w:val="center"/>
          </w:tcPr>
          <w:p w14:paraId="4F59F5B5" w14:textId="77777777" w:rsidR="004A0123" w:rsidRPr="00640447" w:rsidRDefault="004A0123" w:rsidP="008A5C11">
            <w:pPr>
              <w:jc w:val="center"/>
              <w:rPr>
                <w:sz w:val="13"/>
                <w:szCs w:val="13"/>
              </w:rPr>
            </w:pPr>
            <w:r w:rsidRPr="00640447">
              <w:rPr>
                <w:sz w:val="13"/>
                <w:szCs w:val="13"/>
              </w:rPr>
              <w:t>Гкал/ч</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4934138B" w14:textId="77777777" w:rsidR="004A0123" w:rsidRPr="00640447" w:rsidRDefault="004A0123" w:rsidP="008A5C11">
            <w:pPr>
              <w:jc w:val="center"/>
              <w:rPr>
                <w:sz w:val="13"/>
                <w:szCs w:val="13"/>
              </w:rPr>
            </w:pPr>
            <w:r w:rsidRPr="00640447">
              <w:rPr>
                <w:sz w:val="13"/>
                <w:szCs w:val="13"/>
              </w:rPr>
              <w:t>28</w:t>
            </w:r>
          </w:p>
        </w:tc>
        <w:tc>
          <w:tcPr>
            <w:tcW w:w="174" w:type="pct"/>
            <w:tcBorders>
              <w:top w:val="single" w:sz="4" w:space="0" w:color="auto"/>
              <w:left w:val="nil"/>
              <w:bottom w:val="single" w:sz="4" w:space="0" w:color="auto"/>
              <w:right w:val="single" w:sz="4" w:space="0" w:color="auto"/>
            </w:tcBorders>
            <w:shd w:val="clear" w:color="auto" w:fill="auto"/>
            <w:vAlign w:val="center"/>
          </w:tcPr>
          <w:p w14:paraId="6DDE9FD3" w14:textId="77777777" w:rsidR="004A0123" w:rsidRPr="00640447" w:rsidRDefault="004A0123" w:rsidP="008A5C11">
            <w:pPr>
              <w:jc w:val="center"/>
              <w:rPr>
                <w:sz w:val="13"/>
                <w:szCs w:val="13"/>
              </w:rPr>
            </w:pPr>
            <w:r w:rsidRPr="00640447">
              <w:rPr>
                <w:sz w:val="13"/>
                <w:szCs w:val="13"/>
              </w:rPr>
              <w:t>28</w:t>
            </w:r>
          </w:p>
        </w:tc>
        <w:tc>
          <w:tcPr>
            <w:tcW w:w="189" w:type="pct"/>
            <w:tcBorders>
              <w:top w:val="single" w:sz="4" w:space="0" w:color="auto"/>
              <w:left w:val="nil"/>
              <w:bottom w:val="single" w:sz="4" w:space="0" w:color="auto"/>
              <w:right w:val="single" w:sz="4" w:space="0" w:color="auto"/>
            </w:tcBorders>
            <w:shd w:val="clear" w:color="auto" w:fill="auto"/>
            <w:vAlign w:val="center"/>
          </w:tcPr>
          <w:p w14:paraId="10A643D0" w14:textId="77777777" w:rsidR="004A0123" w:rsidRPr="00640447" w:rsidRDefault="004A0123" w:rsidP="008A5C11">
            <w:pPr>
              <w:jc w:val="center"/>
              <w:rPr>
                <w:sz w:val="13"/>
                <w:szCs w:val="13"/>
              </w:rPr>
            </w:pPr>
            <w:r w:rsidRPr="00640447">
              <w:rPr>
                <w:sz w:val="13"/>
                <w:szCs w:val="13"/>
              </w:rPr>
              <w:t>2026</w:t>
            </w:r>
          </w:p>
        </w:tc>
        <w:tc>
          <w:tcPr>
            <w:tcW w:w="184" w:type="pct"/>
            <w:tcBorders>
              <w:top w:val="single" w:sz="4" w:space="0" w:color="auto"/>
              <w:left w:val="nil"/>
              <w:bottom w:val="single" w:sz="4" w:space="0" w:color="auto"/>
              <w:right w:val="single" w:sz="4" w:space="0" w:color="auto"/>
            </w:tcBorders>
            <w:shd w:val="clear" w:color="auto" w:fill="auto"/>
            <w:vAlign w:val="center"/>
          </w:tcPr>
          <w:p w14:paraId="5584343D" w14:textId="77777777" w:rsidR="004A0123" w:rsidRPr="00640447" w:rsidRDefault="004A0123" w:rsidP="008A5C11">
            <w:pPr>
              <w:jc w:val="center"/>
              <w:rPr>
                <w:sz w:val="13"/>
                <w:szCs w:val="13"/>
              </w:rPr>
            </w:pPr>
            <w:r w:rsidRPr="00640447">
              <w:rPr>
                <w:sz w:val="13"/>
                <w:szCs w:val="13"/>
              </w:rPr>
              <w:t>2027</w:t>
            </w:r>
          </w:p>
        </w:tc>
        <w:tc>
          <w:tcPr>
            <w:tcW w:w="180" w:type="pct"/>
            <w:tcBorders>
              <w:top w:val="single" w:sz="4" w:space="0" w:color="auto"/>
              <w:left w:val="nil"/>
              <w:bottom w:val="single" w:sz="4" w:space="0" w:color="auto"/>
              <w:right w:val="single" w:sz="4" w:space="0" w:color="auto"/>
            </w:tcBorders>
            <w:shd w:val="clear" w:color="auto" w:fill="auto"/>
            <w:vAlign w:val="center"/>
          </w:tcPr>
          <w:p w14:paraId="4BD4F268" w14:textId="77777777" w:rsidR="004A0123" w:rsidRPr="00640447" w:rsidRDefault="004A0123" w:rsidP="008A5C11">
            <w:pPr>
              <w:jc w:val="center"/>
              <w:rPr>
                <w:sz w:val="13"/>
                <w:szCs w:val="13"/>
              </w:rPr>
            </w:pPr>
            <w:r w:rsidRPr="00640447">
              <w:rPr>
                <w:sz w:val="13"/>
                <w:szCs w:val="13"/>
              </w:rPr>
              <w:t>250071</w:t>
            </w:r>
          </w:p>
        </w:tc>
        <w:tc>
          <w:tcPr>
            <w:tcW w:w="187" w:type="pct"/>
            <w:tcBorders>
              <w:top w:val="single" w:sz="4" w:space="0" w:color="auto"/>
              <w:left w:val="nil"/>
              <w:bottom w:val="single" w:sz="4" w:space="0" w:color="auto"/>
              <w:right w:val="single" w:sz="4" w:space="0" w:color="auto"/>
            </w:tcBorders>
            <w:shd w:val="clear" w:color="auto" w:fill="auto"/>
            <w:vAlign w:val="center"/>
          </w:tcPr>
          <w:p w14:paraId="43646F59" w14:textId="77777777" w:rsidR="004A0123" w:rsidRPr="00640447" w:rsidRDefault="004A0123" w:rsidP="008A5C11">
            <w:pPr>
              <w:jc w:val="center"/>
              <w:rPr>
                <w:sz w:val="13"/>
                <w:szCs w:val="13"/>
              </w:rPr>
            </w:pPr>
            <w:r w:rsidRPr="00640447">
              <w:rPr>
                <w:sz w:val="13"/>
                <w:szCs w:val="13"/>
              </w:rPr>
              <w:t>0</w:t>
            </w:r>
          </w:p>
        </w:tc>
        <w:tc>
          <w:tcPr>
            <w:tcW w:w="146" w:type="pct"/>
            <w:tcBorders>
              <w:top w:val="single" w:sz="4" w:space="0" w:color="auto"/>
              <w:left w:val="single" w:sz="4" w:space="0" w:color="auto"/>
              <w:bottom w:val="single" w:sz="4" w:space="0" w:color="auto"/>
              <w:right w:val="single" w:sz="4" w:space="0" w:color="auto"/>
            </w:tcBorders>
            <w:shd w:val="clear" w:color="auto" w:fill="auto"/>
            <w:vAlign w:val="center"/>
          </w:tcPr>
          <w:p w14:paraId="7F1094ED" w14:textId="77777777" w:rsidR="004A0123" w:rsidRPr="00640447" w:rsidRDefault="004A0123" w:rsidP="008A5C11">
            <w:pPr>
              <w:jc w:val="center"/>
              <w:rPr>
                <w:sz w:val="13"/>
                <w:szCs w:val="13"/>
              </w:rPr>
            </w:pPr>
            <w:r w:rsidRPr="00640447">
              <w:rPr>
                <w:sz w:val="13"/>
                <w:szCs w:val="13"/>
              </w:rPr>
              <w:t>0</w:t>
            </w:r>
          </w:p>
        </w:tc>
        <w:tc>
          <w:tcPr>
            <w:tcW w:w="149" w:type="pct"/>
            <w:tcBorders>
              <w:top w:val="single" w:sz="4" w:space="0" w:color="auto"/>
              <w:left w:val="nil"/>
              <w:bottom w:val="single" w:sz="4" w:space="0" w:color="auto"/>
              <w:right w:val="single" w:sz="4" w:space="0" w:color="auto"/>
            </w:tcBorders>
            <w:shd w:val="clear" w:color="auto" w:fill="auto"/>
            <w:vAlign w:val="center"/>
          </w:tcPr>
          <w:p w14:paraId="3A2E4202" w14:textId="77777777" w:rsidR="004A0123" w:rsidRPr="00640447" w:rsidRDefault="004A0123" w:rsidP="008A5C11">
            <w:pPr>
              <w:jc w:val="center"/>
              <w:rPr>
                <w:sz w:val="13"/>
                <w:szCs w:val="13"/>
              </w:rPr>
            </w:pPr>
            <w:r w:rsidRPr="00640447">
              <w:rPr>
                <w:sz w:val="13"/>
                <w:szCs w:val="13"/>
              </w:rPr>
              <w:t>0</w:t>
            </w:r>
          </w:p>
        </w:tc>
        <w:tc>
          <w:tcPr>
            <w:tcW w:w="183" w:type="pct"/>
            <w:tcBorders>
              <w:top w:val="single" w:sz="4" w:space="0" w:color="auto"/>
              <w:left w:val="nil"/>
              <w:bottom w:val="single" w:sz="4" w:space="0" w:color="auto"/>
              <w:right w:val="single" w:sz="4" w:space="0" w:color="auto"/>
            </w:tcBorders>
            <w:shd w:val="clear" w:color="auto" w:fill="auto"/>
            <w:vAlign w:val="center"/>
          </w:tcPr>
          <w:p w14:paraId="1BA70E96" w14:textId="77777777" w:rsidR="004A0123" w:rsidRPr="00640447" w:rsidRDefault="004A0123" w:rsidP="008A5C11">
            <w:pPr>
              <w:jc w:val="center"/>
              <w:rPr>
                <w:sz w:val="13"/>
                <w:szCs w:val="13"/>
              </w:rPr>
            </w:pPr>
            <w:r w:rsidRPr="00640447">
              <w:rPr>
                <w:sz w:val="13"/>
                <w:szCs w:val="13"/>
              </w:rPr>
              <w:t>0</w:t>
            </w:r>
          </w:p>
        </w:tc>
        <w:tc>
          <w:tcPr>
            <w:tcW w:w="183" w:type="pct"/>
            <w:tcBorders>
              <w:top w:val="single" w:sz="4" w:space="0" w:color="auto"/>
              <w:left w:val="nil"/>
              <w:bottom w:val="single" w:sz="4" w:space="0" w:color="auto"/>
              <w:right w:val="single" w:sz="4" w:space="0" w:color="auto"/>
            </w:tcBorders>
            <w:shd w:val="clear" w:color="auto" w:fill="auto"/>
            <w:vAlign w:val="center"/>
          </w:tcPr>
          <w:p w14:paraId="72E74B62" w14:textId="77777777" w:rsidR="004A0123" w:rsidRPr="00640447" w:rsidRDefault="004A0123" w:rsidP="008A5C11">
            <w:pPr>
              <w:jc w:val="center"/>
              <w:rPr>
                <w:sz w:val="13"/>
                <w:szCs w:val="13"/>
              </w:rPr>
            </w:pPr>
            <w:r w:rsidRPr="00640447">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2E43E5F7" w14:textId="77777777" w:rsidR="004A0123" w:rsidRPr="00640447" w:rsidRDefault="004A0123" w:rsidP="008A5C11">
            <w:pPr>
              <w:jc w:val="center"/>
              <w:rPr>
                <w:sz w:val="13"/>
                <w:szCs w:val="13"/>
              </w:rPr>
            </w:pPr>
            <w:r w:rsidRPr="00640447">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7DD9F5D7" w14:textId="77777777" w:rsidR="004A0123" w:rsidRPr="00640447" w:rsidRDefault="004A0123" w:rsidP="008A5C11">
            <w:pPr>
              <w:jc w:val="center"/>
              <w:rPr>
                <w:sz w:val="13"/>
                <w:szCs w:val="13"/>
              </w:rPr>
            </w:pPr>
            <w:r w:rsidRPr="00640447">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2DB93364" w14:textId="77777777" w:rsidR="004A0123" w:rsidRPr="00640447" w:rsidRDefault="004A0123" w:rsidP="008A5C11">
            <w:pPr>
              <w:jc w:val="center"/>
              <w:rPr>
                <w:sz w:val="13"/>
                <w:szCs w:val="13"/>
              </w:rPr>
            </w:pPr>
            <w:r w:rsidRPr="00640447">
              <w:rPr>
                <w:sz w:val="13"/>
                <w:szCs w:val="13"/>
              </w:rPr>
              <w:t>0</w:t>
            </w:r>
          </w:p>
        </w:tc>
        <w:tc>
          <w:tcPr>
            <w:tcW w:w="174" w:type="pct"/>
            <w:tcBorders>
              <w:top w:val="single" w:sz="4" w:space="0" w:color="auto"/>
              <w:left w:val="single" w:sz="4" w:space="0" w:color="auto"/>
              <w:bottom w:val="single" w:sz="4" w:space="0" w:color="auto"/>
              <w:right w:val="single" w:sz="4" w:space="0" w:color="auto"/>
            </w:tcBorders>
            <w:vAlign w:val="center"/>
          </w:tcPr>
          <w:p w14:paraId="34F54797" w14:textId="77777777" w:rsidR="004A0123" w:rsidRPr="00640447" w:rsidRDefault="004A0123" w:rsidP="008A5C11">
            <w:pPr>
              <w:jc w:val="center"/>
              <w:rPr>
                <w:sz w:val="13"/>
                <w:szCs w:val="13"/>
              </w:rPr>
            </w:pPr>
            <w:r w:rsidRPr="00640447">
              <w:rPr>
                <w:sz w:val="13"/>
                <w:szCs w:val="13"/>
              </w:rPr>
              <w:t>58251</w:t>
            </w:r>
          </w:p>
        </w:tc>
        <w:tc>
          <w:tcPr>
            <w:tcW w:w="156" w:type="pct"/>
            <w:tcBorders>
              <w:top w:val="single" w:sz="4" w:space="0" w:color="auto"/>
              <w:left w:val="single" w:sz="4" w:space="0" w:color="auto"/>
              <w:bottom w:val="single" w:sz="4" w:space="0" w:color="auto"/>
              <w:right w:val="single" w:sz="4" w:space="0" w:color="auto"/>
            </w:tcBorders>
            <w:vAlign w:val="center"/>
          </w:tcPr>
          <w:p w14:paraId="40C8318A" w14:textId="77777777" w:rsidR="004A0123" w:rsidRPr="00640447" w:rsidRDefault="004A0123" w:rsidP="008A5C11">
            <w:pPr>
              <w:jc w:val="center"/>
              <w:rPr>
                <w:sz w:val="13"/>
                <w:szCs w:val="13"/>
              </w:rPr>
            </w:pPr>
            <w:r w:rsidRPr="00640447">
              <w:rPr>
                <w:sz w:val="13"/>
                <w:szCs w:val="13"/>
              </w:rPr>
              <w:t>191820</w:t>
            </w:r>
          </w:p>
        </w:tc>
        <w:tc>
          <w:tcPr>
            <w:tcW w:w="146" w:type="pct"/>
            <w:tcBorders>
              <w:top w:val="single" w:sz="4" w:space="0" w:color="auto"/>
              <w:left w:val="single" w:sz="4" w:space="0" w:color="auto"/>
              <w:bottom w:val="single" w:sz="4" w:space="0" w:color="auto"/>
              <w:right w:val="single" w:sz="4" w:space="0" w:color="auto"/>
            </w:tcBorders>
            <w:vAlign w:val="center"/>
          </w:tcPr>
          <w:p w14:paraId="5B215220" w14:textId="77777777" w:rsidR="004A0123" w:rsidRPr="00640447" w:rsidRDefault="004A0123" w:rsidP="008A5C11">
            <w:pPr>
              <w:jc w:val="center"/>
              <w:rPr>
                <w:sz w:val="13"/>
                <w:szCs w:val="13"/>
              </w:rPr>
            </w:pPr>
            <w:r w:rsidRPr="00640447">
              <w:rPr>
                <w:sz w:val="13"/>
                <w:szCs w:val="13"/>
              </w:rPr>
              <w:t>0</w:t>
            </w:r>
          </w:p>
        </w:tc>
        <w:tc>
          <w:tcPr>
            <w:tcW w:w="188" w:type="pct"/>
            <w:tcBorders>
              <w:top w:val="single" w:sz="4" w:space="0" w:color="auto"/>
              <w:left w:val="single" w:sz="4" w:space="0" w:color="auto"/>
              <w:bottom w:val="single" w:sz="4" w:space="0" w:color="auto"/>
              <w:right w:val="single" w:sz="4" w:space="0" w:color="auto"/>
            </w:tcBorders>
            <w:vAlign w:val="center"/>
          </w:tcPr>
          <w:p w14:paraId="28586B0C" w14:textId="77777777" w:rsidR="004A0123" w:rsidRPr="00640447" w:rsidRDefault="004A0123" w:rsidP="008A5C11">
            <w:pPr>
              <w:jc w:val="center"/>
              <w:rPr>
                <w:sz w:val="13"/>
                <w:szCs w:val="13"/>
              </w:rPr>
            </w:pPr>
            <w:r w:rsidRPr="00640447">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630F6188" w14:textId="77777777" w:rsidR="004A0123" w:rsidRPr="00640447" w:rsidRDefault="004A0123" w:rsidP="008A5C11">
            <w:pPr>
              <w:jc w:val="center"/>
              <w:rPr>
                <w:sz w:val="13"/>
                <w:szCs w:val="13"/>
              </w:rPr>
            </w:pPr>
            <w:r w:rsidRPr="00640447">
              <w:rPr>
                <w:sz w:val="13"/>
                <w:szCs w:val="13"/>
              </w:rPr>
              <w:t>0</w:t>
            </w:r>
          </w:p>
        </w:tc>
      </w:tr>
      <w:tr w:rsidR="004A0123" w:rsidRPr="00640447" w14:paraId="28FE3C3D" w14:textId="77777777" w:rsidTr="008A5C11">
        <w:trPr>
          <w:trHeight w:val="489"/>
        </w:trPr>
        <w:tc>
          <w:tcPr>
            <w:tcW w:w="146" w:type="pct"/>
            <w:tcBorders>
              <w:bottom w:val="single" w:sz="4" w:space="0" w:color="auto"/>
            </w:tcBorders>
            <w:shd w:val="clear" w:color="auto" w:fill="auto"/>
            <w:vAlign w:val="center"/>
          </w:tcPr>
          <w:p w14:paraId="677AE4F6" w14:textId="77777777" w:rsidR="004A0123" w:rsidRPr="00640447" w:rsidRDefault="004A0123" w:rsidP="008A5C11">
            <w:pPr>
              <w:jc w:val="center"/>
              <w:rPr>
                <w:sz w:val="13"/>
                <w:szCs w:val="13"/>
              </w:rPr>
            </w:pPr>
            <w:r w:rsidRPr="00640447">
              <w:rPr>
                <w:sz w:val="13"/>
                <w:szCs w:val="13"/>
              </w:rPr>
              <w:t>3.2.15.</w:t>
            </w:r>
          </w:p>
        </w:tc>
        <w:tc>
          <w:tcPr>
            <w:tcW w:w="616" w:type="pct"/>
            <w:tcBorders>
              <w:top w:val="nil"/>
              <w:left w:val="single" w:sz="4" w:space="0" w:color="auto"/>
              <w:bottom w:val="single" w:sz="4" w:space="0" w:color="auto"/>
              <w:right w:val="single" w:sz="4" w:space="0" w:color="auto"/>
            </w:tcBorders>
            <w:shd w:val="clear" w:color="auto" w:fill="auto"/>
            <w:vAlign w:val="center"/>
          </w:tcPr>
          <w:p w14:paraId="70AE8D14" w14:textId="77777777" w:rsidR="004A0123" w:rsidRPr="00640447" w:rsidRDefault="004A0123" w:rsidP="008A5C11">
            <w:pPr>
              <w:rPr>
                <w:color w:val="000000"/>
                <w:sz w:val="13"/>
                <w:szCs w:val="13"/>
              </w:rPr>
            </w:pPr>
            <w:r w:rsidRPr="00640447">
              <w:rPr>
                <w:color w:val="000000"/>
                <w:sz w:val="13"/>
                <w:szCs w:val="13"/>
              </w:rPr>
              <w:t xml:space="preserve">Котельная «Энергетик». Проектирование и установка </w:t>
            </w:r>
            <w:proofErr w:type="gramStart"/>
            <w:r w:rsidRPr="00640447">
              <w:rPr>
                <w:color w:val="000000"/>
                <w:sz w:val="13"/>
                <w:szCs w:val="13"/>
              </w:rPr>
              <w:t>котла  К</w:t>
            </w:r>
            <w:proofErr w:type="gramEnd"/>
            <w:r w:rsidRPr="00640447">
              <w:rPr>
                <w:color w:val="000000"/>
                <w:sz w:val="13"/>
                <w:szCs w:val="13"/>
              </w:rPr>
              <w:t>-50-40/14 № 3 с установкой системы автоматизации.</w:t>
            </w:r>
          </w:p>
        </w:tc>
        <w:tc>
          <w:tcPr>
            <w:tcW w:w="359" w:type="pct"/>
            <w:tcBorders>
              <w:top w:val="nil"/>
              <w:left w:val="nil"/>
              <w:bottom w:val="single" w:sz="4" w:space="0" w:color="auto"/>
              <w:right w:val="single" w:sz="4" w:space="0" w:color="auto"/>
            </w:tcBorders>
            <w:shd w:val="clear" w:color="auto" w:fill="auto"/>
            <w:vAlign w:val="center"/>
          </w:tcPr>
          <w:p w14:paraId="73671EB1" w14:textId="77777777" w:rsidR="004A0123" w:rsidRPr="00640447" w:rsidRDefault="004A0123" w:rsidP="008A5C11">
            <w:pPr>
              <w:jc w:val="center"/>
              <w:rPr>
                <w:color w:val="000000"/>
                <w:sz w:val="13"/>
                <w:szCs w:val="13"/>
              </w:rPr>
            </w:pPr>
            <w:r w:rsidRPr="00640447">
              <w:rPr>
                <w:color w:val="000000"/>
                <w:sz w:val="13"/>
                <w:szCs w:val="13"/>
              </w:rPr>
              <w:t>Повышение надежности теплоснабжения</w:t>
            </w:r>
          </w:p>
        </w:tc>
        <w:tc>
          <w:tcPr>
            <w:tcW w:w="360" w:type="pct"/>
            <w:tcBorders>
              <w:top w:val="nil"/>
              <w:left w:val="nil"/>
              <w:bottom w:val="single" w:sz="4" w:space="0" w:color="auto"/>
              <w:right w:val="single" w:sz="4" w:space="0" w:color="auto"/>
            </w:tcBorders>
            <w:shd w:val="clear" w:color="auto" w:fill="auto"/>
            <w:vAlign w:val="center"/>
          </w:tcPr>
          <w:p w14:paraId="561151D4" w14:textId="77777777" w:rsidR="004A0123" w:rsidRPr="00640447" w:rsidRDefault="004A0123" w:rsidP="008A5C11">
            <w:pPr>
              <w:jc w:val="center"/>
              <w:rPr>
                <w:color w:val="000000"/>
                <w:sz w:val="13"/>
                <w:szCs w:val="13"/>
              </w:rPr>
            </w:pPr>
            <w:r w:rsidRPr="00640447">
              <w:rPr>
                <w:color w:val="000000"/>
                <w:sz w:val="13"/>
                <w:szCs w:val="13"/>
              </w:rPr>
              <w:t xml:space="preserve">г. Ленинск-Кузнецкий, </w:t>
            </w:r>
          </w:p>
          <w:p w14:paraId="717D10A6" w14:textId="77777777" w:rsidR="004A0123" w:rsidRPr="00640447" w:rsidRDefault="004A0123" w:rsidP="008A5C11">
            <w:pPr>
              <w:jc w:val="center"/>
              <w:rPr>
                <w:color w:val="000000"/>
                <w:sz w:val="13"/>
                <w:szCs w:val="13"/>
              </w:rPr>
            </w:pPr>
            <w:r w:rsidRPr="00640447">
              <w:rPr>
                <w:color w:val="000000"/>
                <w:sz w:val="13"/>
                <w:szCs w:val="13"/>
              </w:rPr>
              <w:t>тер. Северная промзона 4</w:t>
            </w:r>
          </w:p>
        </w:tc>
        <w:tc>
          <w:tcPr>
            <w:tcW w:w="338" w:type="pct"/>
            <w:tcBorders>
              <w:top w:val="nil"/>
              <w:left w:val="nil"/>
              <w:bottom w:val="single" w:sz="4" w:space="0" w:color="auto"/>
              <w:right w:val="single" w:sz="4" w:space="0" w:color="auto"/>
            </w:tcBorders>
            <w:shd w:val="clear" w:color="auto" w:fill="auto"/>
            <w:vAlign w:val="center"/>
          </w:tcPr>
          <w:p w14:paraId="65F499F4" w14:textId="77777777" w:rsidR="004A0123" w:rsidRPr="00640447" w:rsidRDefault="004A0123" w:rsidP="008A5C11">
            <w:pPr>
              <w:jc w:val="center"/>
              <w:rPr>
                <w:sz w:val="13"/>
                <w:szCs w:val="13"/>
              </w:rPr>
            </w:pPr>
            <w:r w:rsidRPr="00640447">
              <w:rPr>
                <w:sz w:val="13"/>
                <w:szCs w:val="13"/>
              </w:rPr>
              <w:t>Установленная мощность</w:t>
            </w:r>
          </w:p>
        </w:tc>
        <w:tc>
          <w:tcPr>
            <w:tcW w:w="116" w:type="pct"/>
            <w:tcBorders>
              <w:top w:val="nil"/>
              <w:left w:val="nil"/>
              <w:bottom w:val="single" w:sz="4" w:space="0" w:color="auto"/>
              <w:right w:val="single" w:sz="4" w:space="0" w:color="auto"/>
            </w:tcBorders>
            <w:shd w:val="clear" w:color="auto" w:fill="auto"/>
            <w:vAlign w:val="center"/>
          </w:tcPr>
          <w:p w14:paraId="73C303F9" w14:textId="77777777" w:rsidR="004A0123" w:rsidRPr="00640447" w:rsidRDefault="004A0123" w:rsidP="008A5C11">
            <w:pPr>
              <w:jc w:val="center"/>
              <w:rPr>
                <w:sz w:val="13"/>
                <w:szCs w:val="13"/>
              </w:rPr>
            </w:pPr>
            <w:r w:rsidRPr="00640447">
              <w:rPr>
                <w:sz w:val="13"/>
                <w:szCs w:val="13"/>
              </w:rPr>
              <w:t>Гкал/ч</w:t>
            </w:r>
          </w:p>
        </w:tc>
        <w:tc>
          <w:tcPr>
            <w:tcW w:w="182" w:type="pct"/>
            <w:tcBorders>
              <w:top w:val="nil"/>
              <w:left w:val="single" w:sz="4" w:space="0" w:color="auto"/>
              <w:bottom w:val="single" w:sz="4" w:space="0" w:color="auto"/>
              <w:right w:val="single" w:sz="4" w:space="0" w:color="auto"/>
            </w:tcBorders>
            <w:shd w:val="clear" w:color="auto" w:fill="auto"/>
            <w:vAlign w:val="center"/>
          </w:tcPr>
          <w:p w14:paraId="1B7C5B99" w14:textId="77777777" w:rsidR="004A0123" w:rsidRPr="00640447" w:rsidRDefault="004A0123" w:rsidP="008A5C11">
            <w:pPr>
              <w:jc w:val="center"/>
              <w:rPr>
                <w:sz w:val="13"/>
                <w:szCs w:val="13"/>
              </w:rPr>
            </w:pPr>
            <w:r w:rsidRPr="00640447">
              <w:rPr>
                <w:sz w:val="13"/>
                <w:szCs w:val="13"/>
              </w:rPr>
              <w:t>28</w:t>
            </w:r>
          </w:p>
        </w:tc>
        <w:tc>
          <w:tcPr>
            <w:tcW w:w="174" w:type="pct"/>
            <w:tcBorders>
              <w:top w:val="nil"/>
              <w:left w:val="nil"/>
              <w:bottom w:val="single" w:sz="4" w:space="0" w:color="auto"/>
              <w:right w:val="single" w:sz="4" w:space="0" w:color="auto"/>
            </w:tcBorders>
            <w:shd w:val="clear" w:color="auto" w:fill="auto"/>
            <w:vAlign w:val="center"/>
          </w:tcPr>
          <w:p w14:paraId="0CD2C50B" w14:textId="77777777" w:rsidR="004A0123" w:rsidRPr="00640447" w:rsidRDefault="004A0123" w:rsidP="008A5C11">
            <w:pPr>
              <w:jc w:val="center"/>
              <w:rPr>
                <w:sz w:val="13"/>
                <w:szCs w:val="13"/>
              </w:rPr>
            </w:pPr>
            <w:r w:rsidRPr="00640447">
              <w:rPr>
                <w:sz w:val="13"/>
                <w:szCs w:val="13"/>
              </w:rPr>
              <w:t>28</w:t>
            </w:r>
          </w:p>
        </w:tc>
        <w:tc>
          <w:tcPr>
            <w:tcW w:w="189" w:type="pct"/>
            <w:tcBorders>
              <w:top w:val="nil"/>
              <w:left w:val="nil"/>
              <w:bottom w:val="single" w:sz="4" w:space="0" w:color="auto"/>
              <w:right w:val="single" w:sz="4" w:space="0" w:color="auto"/>
            </w:tcBorders>
            <w:shd w:val="clear" w:color="auto" w:fill="auto"/>
            <w:vAlign w:val="center"/>
          </w:tcPr>
          <w:p w14:paraId="0CDDDCEA" w14:textId="77777777" w:rsidR="004A0123" w:rsidRPr="00640447" w:rsidRDefault="004A0123" w:rsidP="008A5C11">
            <w:pPr>
              <w:jc w:val="center"/>
              <w:rPr>
                <w:sz w:val="13"/>
                <w:szCs w:val="13"/>
              </w:rPr>
            </w:pPr>
            <w:r w:rsidRPr="00640447">
              <w:rPr>
                <w:sz w:val="13"/>
                <w:szCs w:val="13"/>
              </w:rPr>
              <w:t>2027</w:t>
            </w:r>
          </w:p>
        </w:tc>
        <w:tc>
          <w:tcPr>
            <w:tcW w:w="184" w:type="pct"/>
            <w:tcBorders>
              <w:top w:val="nil"/>
              <w:left w:val="nil"/>
              <w:bottom w:val="single" w:sz="4" w:space="0" w:color="auto"/>
              <w:right w:val="single" w:sz="4" w:space="0" w:color="auto"/>
            </w:tcBorders>
            <w:shd w:val="clear" w:color="auto" w:fill="auto"/>
            <w:vAlign w:val="center"/>
          </w:tcPr>
          <w:p w14:paraId="3670AD0A" w14:textId="77777777" w:rsidR="004A0123" w:rsidRPr="00640447" w:rsidRDefault="004A0123" w:rsidP="008A5C11">
            <w:pPr>
              <w:jc w:val="center"/>
              <w:rPr>
                <w:sz w:val="13"/>
                <w:szCs w:val="13"/>
              </w:rPr>
            </w:pPr>
            <w:r w:rsidRPr="00640447">
              <w:rPr>
                <w:sz w:val="13"/>
                <w:szCs w:val="13"/>
              </w:rPr>
              <w:t>2028</w:t>
            </w:r>
          </w:p>
        </w:tc>
        <w:tc>
          <w:tcPr>
            <w:tcW w:w="180" w:type="pct"/>
            <w:tcBorders>
              <w:top w:val="nil"/>
              <w:left w:val="nil"/>
              <w:bottom w:val="single" w:sz="4" w:space="0" w:color="auto"/>
              <w:right w:val="single" w:sz="4" w:space="0" w:color="auto"/>
            </w:tcBorders>
            <w:shd w:val="clear" w:color="auto" w:fill="auto"/>
            <w:vAlign w:val="center"/>
          </w:tcPr>
          <w:p w14:paraId="1BAB1CAC" w14:textId="77777777" w:rsidR="004A0123" w:rsidRPr="00640447" w:rsidRDefault="004A0123" w:rsidP="008A5C11">
            <w:pPr>
              <w:jc w:val="center"/>
              <w:rPr>
                <w:sz w:val="13"/>
                <w:szCs w:val="13"/>
              </w:rPr>
            </w:pPr>
            <w:r w:rsidRPr="00640447">
              <w:rPr>
                <w:sz w:val="13"/>
                <w:szCs w:val="13"/>
              </w:rPr>
              <w:t>258823</w:t>
            </w:r>
          </w:p>
        </w:tc>
        <w:tc>
          <w:tcPr>
            <w:tcW w:w="187" w:type="pct"/>
            <w:tcBorders>
              <w:top w:val="nil"/>
              <w:left w:val="nil"/>
              <w:bottom w:val="single" w:sz="4" w:space="0" w:color="auto"/>
              <w:right w:val="single" w:sz="4" w:space="0" w:color="auto"/>
            </w:tcBorders>
            <w:shd w:val="clear" w:color="auto" w:fill="auto"/>
            <w:vAlign w:val="center"/>
          </w:tcPr>
          <w:p w14:paraId="0E77A344" w14:textId="77777777" w:rsidR="004A0123" w:rsidRPr="00640447" w:rsidRDefault="004A0123" w:rsidP="008A5C11">
            <w:pPr>
              <w:jc w:val="center"/>
              <w:rPr>
                <w:sz w:val="13"/>
                <w:szCs w:val="13"/>
              </w:rPr>
            </w:pPr>
            <w:r w:rsidRPr="00640447">
              <w:rPr>
                <w:sz w:val="13"/>
                <w:szCs w:val="13"/>
              </w:rPr>
              <w:t>0</w:t>
            </w:r>
          </w:p>
        </w:tc>
        <w:tc>
          <w:tcPr>
            <w:tcW w:w="146" w:type="pct"/>
            <w:tcBorders>
              <w:top w:val="nil"/>
              <w:left w:val="single" w:sz="4" w:space="0" w:color="auto"/>
              <w:bottom w:val="single" w:sz="4" w:space="0" w:color="auto"/>
              <w:right w:val="single" w:sz="4" w:space="0" w:color="auto"/>
            </w:tcBorders>
            <w:shd w:val="clear" w:color="auto" w:fill="auto"/>
            <w:vAlign w:val="center"/>
          </w:tcPr>
          <w:p w14:paraId="1EBF24B2" w14:textId="77777777" w:rsidR="004A0123" w:rsidRPr="00640447" w:rsidRDefault="004A0123" w:rsidP="008A5C11">
            <w:pPr>
              <w:jc w:val="center"/>
              <w:rPr>
                <w:sz w:val="13"/>
                <w:szCs w:val="13"/>
              </w:rPr>
            </w:pPr>
            <w:r w:rsidRPr="00640447">
              <w:rPr>
                <w:sz w:val="13"/>
                <w:szCs w:val="13"/>
              </w:rPr>
              <w:t>0</w:t>
            </w:r>
          </w:p>
        </w:tc>
        <w:tc>
          <w:tcPr>
            <w:tcW w:w="149" w:type="pct"/>
            <w:tcBorders>
              <w:top w:val="nil"/>
              <w:left w:val="nil"/>
              <w:bottom w:val="single" w:sz="4" w:space="0" w:color="auto"/>
              <w:right w:val="single" w:sz="4" w:space="0" w:color="auto"/>
            </w:tcBorders>
            <w:shd w:val="clear" w:color="auto" w:fill="auto"/>
            <w:vAlign w:val="center"/>
          </w:tcPr>
          <w:p w14:paraId="25EF94F6" w14:textId="77777777" w:rsidR="004A0123" w:rsidRPr="00640447" w:rsidRDefault="004A0123" w:rsidP="008A5C11">
            <w:pPr>
              <w:jc w:val="center"/>
              <w:rPr>
                <w:sz w:val="13"/>
                <w:szCs w:val="13"/>
              </w:rPr>
            </w:pPr>
            <w:r w:rsidRPr="00640447">
              <w:rPr>
                <w:sz w:val="13"/>
                <w:szCs w:val="13"/>
              </w:rPr>
              <w:t>0</w:t>
            </w:r>
          </w:p>
        </w:tc>
        <w:tc>
          <w:tcPr>
            <w:tcW w:w="183" w:type="pct"/>
            <w:tcBorders>
              <w:top w:val="nil"/>
              <w:left w:val="nil"/>
              <w:bottom w:val="single" w:sz="4" w:space="0" w:color="auto"/>
              <w:right w:val="single" w:sz="4" w:space="0" w:color="auto"/>
            </w:tcBorders>
            <w:shd w:val="clear" w:color="auto" w:fill="auto"/>
            <w:vAlign w:val="center"/>
          </w:tcPr>
          <w:p w14:paraId="7332621A" w14:textId="77777777" w:rsidR="004A0123" w:rsidRPr="00640447" w:rsidRDefault="004A0123" w:rsidP="008A5C11">
            <w:pPr>
              <w:jc w:val="center"/>
              <w:rPr>
                <w:sz w:val="13"/>
                <w:szCs w:val="13"/>
              </w:rPr>
            </w:pPr>
            <w:r w:rsidRPr="00640447">
              <w:rPr>
                <w:sz w:val="13"/>
                <w:szCs w:val="13"/>
              </w:rPr>
              <w:t>0</w:t>
            </w:r>
          </w:p>
        </w:tc>
        <w:tc>
          <w:tcPr>
            <w:tcW w:w="183" w:type="pct"/>
            <w:tcBorders>
              <w:top w:val="nil"/>
              <w:left w:val="nil"/>
              <w:bottom w:val="single" w:sz="4" w:space="0" w:color="auto"/>
              <w:right w:val="single" w:sz="4" w:space="0" w:color="auto"/>
            </w:tcBorders>
            <w:shd w:val="clear" w:color="auto" w:fill="auto"/>
            <w:vAlign w:val="center"/>
          </w:tcPr>
          <w:p w14:paraId="6EEA7D3F" w14:textId="77777777" w:rsidR="004A0123" w:rsidRPr="00640447" w:rsidRDefault="004A0123" w:rsidP="008A5C11">
            <w:pPr>
              <w:jc w:val="center"/>
              <w:rPr>
                <w:sz w:val="13"/>
                <w:szCs w:val="13"/>
              </w:rPr>
            </w:pPr>
            <w:r w:rsidRPr="00640447">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34D3D931" w14:textId="77777777" w:rsidR="004A0123" w:rsidRPr="00640447" w:rsidRDefault="004A0123" w:rsidP="008A5C11">
            <w:pPr>
              <w:jc w:val="center"/>
              <w:rPr>
                <w:sz w:val="13"/>
                <w:szCs w:val="13"/>
              </w:rPr>
            </w:pPr>
            <w:r w:rsidRPr="00640447">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3E3FF7A8" w14:textId="77777777" w:rsidR="004A0123" w:rsidRPr="00640447" w:rsidRDefault="004A0123" w:rsidP="008A5C11">
            <w:pPr>
              <w:jc w:val="center"/>
              <w:rPr>
                <w:sz w:val="13"/>
                <w:szCs w:val="13"/>
              </w:rPr>
            </w:pPr>
            <w:r w:rsidRPr="00640447">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370CAD1E" w14:textId="77777777" w:rsidR="004A0123" w:rsidRPr="00640447" w:rsidRDefault="004A0123" w:rsidP="008A5C11">
            <w:pPr>
              <w:jc w:val="center"/>
              <w:rPr>
                <w:sz w:val="13"/>
                <w:szCs w:val="13"/>
              </w:rPr>
            </w:pPr>
            <w:r w:rsidRPr="00640447">
              <w:rPr>
                <w:sz w:val="13"/>
                <w:szCs w:val="13"/>
              </w:rPr>
              <w:t>0</w:t>
            </w:r>
          </w:p>
        </w:tc>
        <w:tc>
          <w:tcPr>
            <w:tcW w:w="174" w:type="pct"/>
            <w:tcBorders>
              <w:top w:val="single" w:sz="4" w:space="0" w:color="auto"/>
              <w:left w:val="single" w:sz="4" w:space="0" w:color="auto"/>
              <w:bottom w:val="single" w:sz="4" w:space="0" w:color="auto"/>
              <w:right w:val="single" w:sz="4" w:space="0" w:color="auto"/>
            </w:tcBorders>
            <w:vAlign w:val="center"/>
          </w:tcPr>
          <w:p w14:paraId="7C5A1D81" w14:textId="77777777" w:rsidR="004A0123" w:rsidRPr="00640447" w:rsidRDefault="004A0123" w:rsidP="008A5C11">
            <w:pPr>
              <w:jc w:val="center"/>
              <w:rPr>
                <w:sz w:val="13"/>
                <w:szCs w:val="13"/>
              </w:rPr>
            </w:pPr>
            <w:r w:rsidRPr="00640447">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282AD440" w14:textId="77777777" w:rsidR="004A0123" w:rsidRPr="00640447" w:rsidRDefault="004A0123" w:rsidP="008A5C11">
            <w:pPr>
              <w:jc w:val="center"/>
              <w:rPr>
                <w:sz w:val="13"/>
                <w:szCs w:val="13"/>
              </w:rPr>
            </w:pPr>
            <w:r w:rsidRPr="00640447">
              <w:rPr>
                <w:sz w:val="13"/>
                <w:szCs w:val="13"/>
              </w:rPr>
              <w:t>60290</w:t>
            </w:r>
          </w:p>
        </w:tc>
        <w:tc>
          <w:tcPr>
            <w:tcW w:w="146" w:type="pct"/>
            <w:tcBorders>
              <w:top w:val="single" w:sz="4" w:space="0" w:color="auto"/>
              <w:left w:val="single" w:sz="4" w:space="0" w:color="auto"/>
              <w:bottom w:val="single" w:sz="4" w:space="0" w:color="auto"/>
              <w:right w:val="single" w:sz="4" w:space="0" w:color="auto"/>
            </w:tcBorders>
            <w:vAlign w:val="center"/>
          </w:tcPr>
          <w:p w14:paraId="0E1D74CB" w14:textId="77777777" w:rsidR="004A0123" w:rsidRPr="00640447" w:rsidRDefault="004A0123" w:rsidP="008A5C11">
            <w:pPr>
              <w:jc w:val="center"/>
              <w:rPr>
                <w:sz w:val="13"/>
                <w:szCs w:val="13"/>
              </w:rPr>
            </w:pPr>
            <w:r w:rsidRPr="00640447">
              <w:rPr>
                <w:sz w:val="13"/>
                <w:szCs w:val="13"/>
              </w:rPr>
              <w:t>198533</w:t>
            </w:r>
          </w:p>
        </w:tc>
        <w:tc>
          <w:tcPr>
            <w:tcW w:w="188" w:type="pct"/>
            <w:tcBorders>
              <w:top w:val="single" w:sz="4" w:space="0" w:color="auto"/>
              <w:left w:val="single" w:sz="4" w:space="0" w:color="auto"/>
              <w:bottom w:val="single" w:sz="4" w:space="0" w:color="auto"/>
              <w:right w:val="single" w:sz="4" w:space="0" w:color="auto"/>
            </w:tcBorders>
            <w:vAlign w:val="center"/>
          </w:tcPr>
          <w:p w14:paraId="1B16458C" w14:textId="77777777" w:rsidR="004A0123" w:rsidRPr="00640447" w:rsidRDefault="004A0123" w:rsidP="008A5C11">
            <w:pPr>
              <w:jc w:val="center"/>
              <w:rPr>
                <w:sz w:val="13"/>
                <w:szCs w:val="13"/>
              </w:rPr>
            </w:pPr>
            <w:r w:rsidRPr="00640447">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4076CF5F" w14:textId="77777777" w:rsidR="004A0123" w:rsidRPr="00640447" w:rsidRDefault="004A0123" w:rsidP="008A5C11">
            <w:pPr>
              <w:jc w:val="center"/>
              <w:rPr>
                <w:sz w:val="13"/>
                <w:szCs w:val="13"/>
              </w:rPr>
            </w:pPr>
            <w:r w:rsidRPr="00640447">
              <w:rPr>
                <w:sz w:val="13"/>
                <w:szCs w:val="13"/>
              </w:rPr>
              <w:t>0</w:t>
            </w:r>
          </w:p>
        </w:tc>
      </w:tr>
      <w:tr w:rsidR="004A0123" w:rsidRPr="00640447" w14:paraId="279E76B4" w14:textId="77777777" w:rsidTr="008A5C11">
        <w:trPr>
          <w:trHeight w:val="489"/>
        </w:trPr>
        <w:tc>
          <w:tcPr>
            <w:tcW w:w="146" w:type="pct"/>
            <w:tcBorders>
              <w:top w:val="single" w:sz="4" w:space="0" w:color="auto"/>
            </w:tcBorders>
            <w:shd w:val="clear" w:color="auto" w:fill="auto"/>
            <w:vAlign w:val="center"/>
          </w:tcPr>
          <w:p w14:paraId="3C59CA00" w14:textId="77777777" w:rsidR="004A0123" w:rsidRPr="00640447" w:rsidRDefault="004A0123" w:rsidP="008A5C11">
            <w:pPr>
              <w:jc w:val="center"/>
              <w:rPr>
                <w:sz w:val="13"/>
                <w:szCs w:val="13"/>
              </w:rPr>
            </w:pPr>
            <w:r w:rsidRPr="00640447">
              <w:rPr>
                <w:sz w:val="13"/>
                <w:szCs w:val="13"/>
              </w:rPr>
              <w:t>3.2.16.</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5BA733AC" w14:textId="77777777" w:rsidR="004A0123" w:rsidRPr="00640447" w:rsidRDefault="004A0123" w:rsidP="008A5C11">
            <w:pPr>
              <w:rPr>
                <w:color w:val="000000"/>
                <w:sz w:val="13"/>
                <w:szCs w:val="13"/>
              </w:rPr>
            </w:pPr>
            <w:r w:rsidRPr="00640447">
              <w:rPr>
                <w:color w:val="000000"/>
                <w:sz w:val="13"/>
                <w:szCs w:val="13"/>
              </w:rPr>
              <w:t>Котельная «Энергетик». Проектирование и реконструкция угольного склада вместимостью 6000 тонн угля.</w:t>
            </w:r>
          </w:p>
        </w:tc>
        <w:tc>
          <w:tcPr>
            <w:tcW w:w="359" w:type="pct"/>
            <w:tcBorders>
              <w:top w:val="single" w:sz="4" w:space="0" w:color="auto"/>
              <w:left w:val="nil"/>
              <w:bottom w:val="single" w:sz="4" w:space="0" w:color="auto"/>
              <w:right w:val="single" w:sz="4" w:space="0" w:color="auto"/>
            </w:tcBorders>
            <w:shd w:val="clear" w:color="auto" w:fill="auto"/>
            <w:vAlign w:val="center"/>
          </w:tcPr>
          <w:p w14:paraId="387626E0" w14:textId="77777777" w:rsidR="004A0123" w:rsidRPr="00640447" w:rsidRDefault="004A0123" w:rsidP="008A5C11">
            <w:pPr>
              <w:jc w:val="center"/>
              <w:rPr>
                <w:color w:val="000000"/>
                <w:sz w:val="13"/>
                <w:szCs w:val="13"/>
              </w:rPr>
            </w:pPr>
            <w:r w:rsidRPr="00640447">
              <w:rPr>
                <w:color w:val="000000"/>
                <w:sz w:val="13"/>
                <w:szCs w:val="13"/>
              </w:rPr>
              <w:t>Повышение надежности теплоснабжения</w:t>
            </w:r>
          </w:p>
        </w:tc>
        <w:tc>
          <w:tcPr>
            <w:tcW w:w="360" w:type="pct"/>
            <w:tcBorders>
              <w:top w:val="single" w:sz="4" w:space="0" w:color="auto"/>
              <w:left w:val="nil"/>
              <w:bottom w:val="single" w:sz="4" w:space="0" w:color="auto"/>
              <w:right w:val="single" w:sz="4" w:space="0" w:color="auto"/>
            </w:tcBorders>
            <w:shd w:val="clear" w:color="auto" w:fill="auto"/>
            <w:vAlign w:val="center"/>
          </w:tcPr>
          <w:p w14:paraId="27BE2D9A" w14:textId="77777777" w:rsidR="004A0123" w:rsidRPr="00640447" w:rsidRDefault="004A0123" w:rsidP="008A5C11">
            <w:pPr>
              <w:jc w:val="center"/>
              <w:rPr>
                <w:color w:val="000000"/>
                <w:sz w:val="13"/>
                <w:szCs w:val="13"/>
              </w:rPr>
            </w:pPr>
            <w:r w:rsidRPr="00640447">
              <w:rPr>
                <w:color w:val="000000"/>
                <w:sz w:val="13"/>
                <w:szCs w:val="13"/>
              </w:rPr>
              <w:t xml:space="preserve">г. Ленинск-Кузнецкий, </w:t>
            </w:r>
          </w:p>
          <w:p w14:paraId="45E838B3" w14:textId="77777777" w:rsidR="004A0123" w:rsidRPr="00640447" w:rsidRDefault="004A0123" w:rsidP="008A5C11">
            <w:pPr>
              <w:jc w:val="center"/>
              <w:rPr>
                <w:color w:val="000000"/>
                <w:sz w:val="13"/>
                <w:szCs w:val="13"/>
              </w:rPr>
            </w:pPr>
            <w:r w:rsidRPr="00640447">
              <w:rPr>
                <w:color w:val="000000"/>
                <w:sz w:val="13"/>
                <w:szCs w:val="13"/>
              </w:rPr>
              <w:t>тер. Северная промзона 4</w:t>
            </w:r>
          </w:p>
        </w:tc>
        <w:tc>
          <w:tcPr>
            <w:tcW w:w="338" w:type="pct"/>
            <w:tcBorders>
              <w:top w:val="single" w:sz="4" w:space="0" w:color="auto"/>
              <w:left w:val="nil"/>
              <w:bottom w:val="single" w:sz="4" w:space="0" w:color="auto"/>
              <w:right w:val="single" w:sz="4" w:space="0" w:color="auto"/>
            </w:tcBorders>
            <w:shd w:val="clear" w:color="auto" w:fill="auto"/>
            <w:vAlign w:val="center"/>
          </w:tcPr>
          <w:p w14:paraId="78D3F700" w14:textId="77777777" w:rsidR="004A0123" w:rsidRPr="00640447" w:rsidRDefault="004A0123" w:rsidP="008A5C11">
            <w:pPr>
              <w:jc w:val="center"/>
              <w:rPr>
                <w:sz w:val="13"/>
                <w:szCs w:val="13"/>
              </w:rPr>
            </w:pPr>
            <w:r w:rsidRPr="00640447">
              <w:rPr>
                <w:sz w:val="13"/>
                <w:szCs w:val="13"/>
              </w:rPr>
              <w:t>Вместимость угольного склада</w:t>
            </w:r>
          </w:p>
        </w:tc>
        <w:tc>
          <w:tcPr>
            <w:tcW w:w="116" w:type="pct"/>
            <w:tcBorders>
              <w:top w:val="single" w:sz="4" w:space="0" w:color="auto"/>
              <w:left w:val="nil"/>
              <w:bottom w:val="single" w:sz="4" w:space="0" w:color="auto"/>
              <w:right w:val="single" w:sz="4" w:space="0" w:color="auto"/>
            </w:tcBorders>
            <w:shd w:val="clear" w:color="auto" w:fill="auto"/>
            <w:vAlign w:val="center"/>
          </w:tcPr>
          <w:p w14:paraId="76B7C23E" w14:textId="77777777" w:rsidR="004A0123" w:rsidRPr="00640447" w:rsidRDefault="004A0123" w:rsidP="008A5C11">
            <w:pPr>
              <w:jc w:val="center"/>
              <w:rPr>
                <w:sz w:val="13"/>
                <w:szCs w:val="13"/>
              </w:rPr>
            </w:pPr>
            <w:r w:rsidRPr="00640447">
              <w:rPr>
                <w:sz w:val="13"/>
                <w:szCs w:val="13"/>
              </w:rPr>
              <w:t>тн</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02A3BF7C" w14:textId="77777777" w:rsidR="004A0123" w:rsidRPr="00640447" w:rsidRDefault="004A0123" w:rsidP="008A5C11">
            <w:pPr>
              <w:jc w:val="center"/>
              <w:rPr>
                <w:sz w:val="13"/>
                <w:szCs w:val="13"/>
              </w:rPr>
            </w:pPr>
            <w:r w:rsidRPr="00640447">
              <w:rPr>
                <w:sz w:val="13"/>
                <w:szCs w:val="13"/>
              </w:rPr>
              <w:t>4000</w:t>
            </w:r>
          </w:p>
        </w:tc>
        <w:tc>
          <w:tcPr>
            <w:tcW w:w="174" w:type="pct"/>
            <w:tcBorders>
              <w:top w:val="single" w:sz="4" w:space="0" w:color="auto"/>
              <w:left w:val="nil"/>
              <w:bottom w:val="single" w:sz="4" w:space="0" w:color="auto"/>
              <w:right w:val="single" w:sz="4" w:space="0" w:color="auto"/>
            </w:tcBorders>
            <w:shd w:val="clear" w:color="auto" w:fill="auto"/>
            <w:vAlign w:val="center"/>
          </w:tcPr>
          <w:p w14:paraId="5EF5AE5E" w14:textId="77777777" w:rsidR="004A0123" w:rsidRPr="00640447" w:rsidRDefault="004A0123" w:rsidP="008A5C11">
            <w:pPr>
              <w:jc w:val="center"/>
              <w:rPr>
                <w:sz w:val="13"/>
                <w:szCs w:val="13"/>
              </w:rPr>
            </w:pPr>
            <w:r w:rsidRPr="00640447">
              <w:rPr>
                <w:sz w:val="13"/>
                <w:szCs w:val="13"/>
              </w:rPr>
              <w:t>6000</w:t>
            </w:r>
          </w:p>
        </w:tc>
        <w:tc>
          <w:tcPr>
            <w:tcW w:w="189" w:type="pct"/>
            <w:tcBorders>
              <w:top w:val="single" w:sz="4" w:space="0" w:color="auto"/>
              <w:left w:val="nil"/>
              <w:bottom w:val="single" w:sz="4" w:space="0" w:color="auto"/>
              <w:right w:val="single" w:sz="4" w:space="0" w:color="auto"/>
            </w:tcBorders>
            <w:shd w:val="clear" w:color="auto" w:fill="auto"/>
            <w:vAlign w:val="center"/>
          </w:tcPr>
          <w:p w14:paraId="122F4071" w14:textId="77777777" w:rsidR="004A0123" w:rsidRPr="00640447" w:rsidRDefault="004A0123" w:rsidP="008A5C11">
            <w:pPr>
              <w:jc w:val="center"/>
              <w:rPr>
                <w:sz w:val="13"/>
                <w:szCs w:val="13"/>
              </w:rPr>
            </w:pPr>
            <w:r w:rsidRPr="00640447">
              <w:rPr>
                <w:sz w:val="13"/>
                <w:szCs w:val="13"/>
              </w:rPr>
              <w:t>2027</w:t>
            </w:r>
          </w:p>
        </w:tc>
        <w:tc>
          <w:tcPr>
            <w:tcW w:w="184" w:type="pct"/>
            <w:tcBorders>
              <w:top w:val="single" w:sz="4" w:space="0" w:color="auto"/>
              <w:left w:val="nil"/>
              <w:bottom w:val="single" w:sz="4" w:space="0" w:color="auto"/>
              <w:right w:val="single" w:sz="4" w:space="0" w:color="auto"/>
            </w:tcBorders>
            <w:shd w:val="clear" w:color="auto" w:fill="auto"/>
            <w:vAlign w:val="center"/>
          </w:tcPr>
          <w:p w14:paraId="39C7F5EF" w14:textId="77777777" w:rsidR="004A0123" w:rsidRPr="00640447" w:rsidRDefault="004A0123" w:rsidP="008A5C11">
            <w:pPr>
              <w:jc w:val="center"/>
              <w:rPr>
                <w:sz w:val="13"/>
                <w:szCs w:val="13"/>
              </w:rPr>
            </w:pPr>
            <w:r w:rsidRPr="00640447">
              <w:rPr>
                <w:sz w:val="13"/>
                <w:szCs w:val="13"/>
              </w:rPr>
              <w:t>2027</w:t>
            </w:r>
          </w:p>
        </w:tc>
        <w:tc>
          <w:tcPr>
            <w:tcW w:w="180" w:type="pct"/>
            <w:tcBorders>
              <w:top w:val="single" w:sz="4" w:space="0" w:color="auto"/>
              <w:left w:val="nil"/>
              <w:bottom w:val="single" w:sz="4" w:space="0" w:color="auto"/>
              <w:right w:val="single" w:sz="4" w:space="0" w:color="auto"/>
            </w:tcBorders>
            <w:shd w:val="clear" w:color="auto" w:fill="auto"/>
            <w:vAlign w:val="center"/>
          </w:tcPr>
          <w:p w14:paraId="4732A538" w14:textId="77777777" w:rsidR="004A0123" w:rsidRPr="00640447" w:rsidRDefault="004A0123" w:rsidP="008A5C11">
            <w:pPr>
              <w:jc w:val="center"/>
              <w:rPr>
                <w:sz w:val="13"/>
                <w:szCs w:val="13"/>
              </w:rPr>
            </w:pPr>
            <w:r w:rsidRPr="00640447">
              <w:rPr>
                <w:sz w:val="13"/>
                <w:szCs w:val="13"/>
              </w:rPr>
              <w:t>123709</w:t>
            </w:r>
          </w:p>
        </w:tc>
        <w:tc>
          <w:tcPr>
            <w:tcW w:w="187" w:type="pct"/>
            <w:tcBorders>
              <w:top w:val="single" w:sz="4" w:space="0" w:color="auto"/>
              <w:left w:val="nil"/>
              <w:bottom w:val="single" w:sz="4" w:space="0" w:color="auto"/>
              <w:right w:val="single" w:sz="4" w:space="0" w:color="auto"/>
            </w:tcBorders>
            <w:shd w:val="clear" w:color="auto" w:fill="auto"/>
            <w:vAlign w:val="center"/>
          </w:tcPr>
          <w:p w14:paraId="7CF9358C" w14:textId="77777777" w:rsidR="004A0123" w:rsidRPr="00640447" w:rsidRDefault="004A0123" w:rsidP="008A5C11">
            <w:pPr>
              <w:jc w:val="center"/>
              <w:rPr>
                <w:sz w:val="13"/>
                <w:szCs w:val="13"/>
              </w:rPr>
            </w:pPr>
            <w:r w:rsidRPr="00640447">
              <w:rPr>
                <w:sz w:val="13"/>
                <w:szCs w:val="13"/>
              </w:rPr>
              <w:t>0</w:t>
            </w:r>
          </w:p>
        </w:tc>
        <w:tc>
          <w:tcPr>
            <w:tcW w:w="146" w:type="pct"/>
            <w:tcBorders>
              <w:top w:val="single" w:sz="4" w:space="0" w:color="auto"/>
              <w:left w:val="single" w:sz="4" w:space="0" w:color="auto"/>
              <w:bottom w:val="single" w:sz="4" w:space="0" w:color="auto"/>
              <w:right w:val="single" w:sz="4" w:space="0" w:color="auto"/>
            </w:tcBorders>
            <w:shd w:val="clear" w:color="auto" w:fill="auto"/>
            <w:vAlign w:val="center"/>
          </w:tcPr>
          <w:p w14:paraId="7F8844C0" w14:textId="77777777" w:rsidR="004A0123" w:rsidRPr="00640447" w:rsidRDefault="004A0123" w:rsidP="008A5C11">
            <w:pPr>
              <w:jc w:val="center"/>
              <w:rPr>
                <w:sz w:val="13"/>
                <w:szCs w:val="13"/>
              </w:rPr>
            </w:pPr>
            <w:r w:rsidRPr="00640447">
              <w:rPr>
                <w:sz w:val="13"/>
                <w:szCs w:val="13"/>
              </w:rPr>
              <w:t>0</w:t>
            </w:r>
          </w:p>
        </w:tc>
        <w:tc>
          <w:tcPr>
            <w:tcW w:w="149" w:type="pct"/>
            <w:tcBorders>
              <w:top w:val="single" w:sz="4" w:space="0" w:color="auto"/>
              <w:left w:val="nil"/>
              <w:bottom w:val="single" w:sz="4" w:space="0" w:color="auto"/>
              <w:right w:val="single" w:sz="4" w:space="0" w:color="auto"/>
            </w:tcBorders>
            <w:shd w:val="clear" w:color="auto" w:fill="auto"/>
            <w:vAlign w:val="center"/>
          </w:tcPr>
          <w:p w14:paraId="29C2748F" w14:textId="77777777" w:rsidR="004A0123" w:rsidRPr="00640447" w:rsidRDefault="004A0123" w:rsidP="008A5C11">
            <w:pPr>
              <w:jc w:val="center"/>
              <w:rPr>
                <w:sz w:val="13"/>
                <w:szCs w:val="13"/>
              </w:rPr>
            </w:pPr>
            <w:r w:rsidRPr="00640447">
              <w:rPr>
                <w:sz w:val="13"/>
                <w:szCs w:val="13"/>
              </w:rPr>
              <w:t>0</w:t>
            </w:r>
          </w:p>
        </w:tc>
        <w:tc>
          <w:tcPr>
            <w:tcW w:w="183" w:type="pct"/>
            <w:tcBorders>
              <w:top w:val="single" w:sz="4" w:space="0" w:color="auto"/>
              <w:left w:val="nil"/>
              <w:bottom w:val="single" w:sz="4" w:space="0" w:color="auto"/>
              <w:right w:val="single" w:sz="4" w:space="0" w:color="auto"/>
            </w:tcBorders>
            <w:shd w:val="clear" w:color="auto" w:fill="auto"/>
            <w:vAlign w:val="center"/>
          </w:tcPr>
          <w:p w14:paraId="23FE60B3" w14:textId="77777777" w:rsidR="004A0123" w:rsidRPr="00640447" w:rsidRDefault="004A0123" w:rsidP="008A5C11">
            <w:pPr>
              <w:jc w:val="center"/>
              <w:rPr>
                <w:sz w:val="13"/>
                <w:szCs w:val="13"/>
              </w:rPr>
            </w:pPr>
            <w:r w:rsidRPr="00640447">
              <w:rPr>
                <w:sz w:val="13"/>
                <w:szCs w:val="13"/>
              </w:rPr>
              <w:t>0</w:t>
            </w:r>
          </w:p>
        </w:tc>
        <w:tc>
          <w:tcPr>
            <w:tcW w:w="183" w:type="pct"/>
            <w:tcBorders>
              <w:top w:val="single" w:sz="4" w:space="0" w:color="auto"/>
              <w:left w:val="nil"/>
              <w:bottom w:val="single" w:sz="4" w:space="0" w:color="auto"/>
              <w:right w:val="single" w:sz="4" w:space="0" w:color="auto"/>
            </w:tcBorders>
            <w:shd w:val="clear" w:color="auto" w:fill="auto"/>
            <w:vAlign w:val="center"/>
          </w:tcPr>
          <w:p w14:paraId="70D08931" w14:textId="77777777" w:rsidR="004A0123" w:rsidRPr="00640447" w:rsidRDefault="004A0123" w:rsidP="008A5C11">
            <w:pPr>
              <w:jc w:val="center"/>
              <w:rPr>
                <w:sz w:val="13"/>
                <w:szCs w:val="13"/>
              </w:rPr>
            </w:pPr>
            <w:r w:rsidRPr="00640447">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0B2C18A9" w14:textId="77777777" w:rsidR="004A0123" w:rsidRPr="00640447" w:rsidRDefault="004A0123" w:rsidP="008A5C11">
            <w:pPr>
              <w:jc w:val="center"/>
              <w:rPr>
                <w:sz w:val="13"/>
                <w:szCs w:val="13"/>
              </w:rPr>
            </w:pPr>
            <w:r w:rsidRPr="00640447">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35BAC89D" w14:textId="77777777" w:rsidR="004A0123" w:rsidRPr="00640447" w:rsidRDefault="004A0123" w:rsidP="008A5C11">
            <w:pPr>
              <w:jc w:val="center"/>
              <w:rPr>
                <w:sz w:val="13"/>
                <w:szCs w:val="13"/>
              </w:rPr>
            </w:pPr>
            <w:r w:rsidRPr="00640447">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59AEF1DF" w14:textId="77777777" w:rsidR="004A0123" w:rsidRPr="00640447" w:rsidRDefault="004A0123" w:rsidP="008A5C11">
            <w:pPr>
              <w:jc w:val="center"/>
              <w:rPr>
                <w:sz w:val="13"/>
                <w:szCs w:val="13"/>
              </w:rPr>
            </w:pPr>
            <w:r w:rsidRPr="00640447">
              <w:rPr>
                <w:sz w:val="13"/>
                <w:szCs w:val="13"/>
              </w:rPr>
              <w:t>0</w:t>
            </w:r>
          </w:p>
        </w:tc>
        <w:tc>
          <w:tcPr>
            <w:tcW w:w="174" w:type="pct"/>
            <w:tcBorders>
              <w:top w:val="single" w:sz="4" w:space="0" w:color="auto"/>
              <w:left w:val="single" w:sz="4" w:space="0" w:color="auto"/>
              <w:bottom w:val="single" w:sz="4" w:space="0" w:color="auto"/>
              <w:right w:val="single" w:sz="4" w:space="0" w:color="auto"/>
            </w:tcBorders>
            <w:vAlign w:val="center"/>
          </w:tcPr>
          <w:p w14:paraId="2781D2C0" w14:textId="77777777" w:rsidR="004A0123" w:rsidRPr="00640447" w:rsidRDefault="004A0123" w:rsidP="008A5C11">
            <w:pPr>
              <w:jc w:val="center"/>
              <w:rPr>
                <w:sz w:val="13"/>
                <w:szCs w:val="13"/>
              </w:rPr>
            </w:pPr>
            <w:r w:rsidRPr="00640447">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3A7EE851" w14:textId="77777777" w:rsidR="004A0123" w:rsidRPr="00640447" w:rsidRDefault="004A0123" w:rsidP="008A5C11">
            <w:pPr>
              <w:jc w:val="center"/>
              <w:rPr>
                <w:sz w:val="13"/>
                <w:szCs w:val="13"/>
              </w:rPr>
            </w:pPr>
            <w:r w:rsidRPr="00640447">
              <w:rPr>
                <w:sz w:val="13"/>
                <w:szCs w:val="13"/>
              </w:rPr>
              <w:t>123709</w:t>
            </w:r>
          </w:p>
        </w:tc>
        <w:tc>
          <w:tcPr>
            <w:tcW w:w="146" w:type="pct"/>
            <w:tcBorders>
              <w:top w:val="single" w:sz="4" w:space="0" w:color="auto"/>
              <w:left w:val="single" w:sz="4" w:space="0" w:color="auto"/>
              <w:bottom w:val="single" w:sz="4" w:space="0" w:color="auto"/>
              <w:right w:val="single" w:sz="4" w:space="0" w:color="auto"/>
            </w:tcBorders>
            <w:vAlign w:val="center"/>
          </w:tcPr>
          <w:p w14:paraId="31A339BA" w14:textId="77777777" w:rsidR="004A0123" w:rsidRPr="00640447" w:rsidRDefault="004A0123" w:rsidP="008A5C11">
            <w:pPr>
              <w:jc w:val="center"/>
              <w:rPr>
                <w:sz w:val="13"/>
                <w:szCs w:val="13"/>
              </w:rPr>
            </w:pPr>
            <w:r w:rsidRPr="00640447">
              <w:rPr>
                <w:sz w:val="13"/>
                <w:szCs w:val="13"/>
              </w:rPr>
              <w:t>0</w:t>
            </w:r>
          </w:p>
        </w:tc>
        <w:tc>
          <w:tcPr>
            <w:tcW w:w="188" w:type="pct"/>
            <w:tcBorders>
              <w:top w:val="single" w:sz="4" w:space="0" w:color="auto"/>
              <w:left w:val="single" w:sz="4" w:space="0" w:color="auto"/>
              <w:bottom w:val="single" w:sz="4" w:space="0" w:color="auto"/>
              <w:right w:val="single" w:sz="4" w:space="0" w:color="auto"/>
            </w:tcBorders>
            <w:vAlign w:val="center"/>
          </w:tcPr>
          <w:p w14:paraId="5DEA674A" w14:textId="77777777" w:rsidR="004A0123" w:rsidRPr="00640447" w:rsidRDefault="004A0123" w:rsidP="008A5C11">
            <w:pPr>
              <w:jc w:val="center"/>
              <w:rPr>
                <w:sz w:val="13"/>
                <w:szCs w:val="13"/>
              </w:rPr>
            </w:pPr>
            <w:r w:rsidRPr="00640447">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0489701B" w14:textId="77777777" w:rsidR="004A0123" w:rsidRPr="00640447" w:rsidRDefault="004A0123" w:rsidP="008A5C11">
            <w:pPr>
              <w:jc w:val="center"/>
              <w:rPr>
                <w:sz w:val="13"/>
                <w:szCs w:val="13"/>
              </w:rPr>
            </w:pPr>
            <w:r w:rsidRPr="00640447">
              <w:rPr>
                <w:sz w:val="13"/>
                <w:szCs w:val="13"/>
              </w:rPr>
              <w:t>0</w:t>
            </w:r>
          </w:p>
        </w:tc>
      </w:tr>
      <w:tr w:rsidR="004A0123" w:rsidRPr="00640447" w14:paraId="1074E101" w14:textId="77777777" w:rsidTr="008A5C11">
        <w:trPr>
          <w:trHeight w:val="489"/>
        </w:trPr>
        <w:tc>
          <w:tcPr>
            <w:tcW w:w="146" w:type="pct"/>
            <w:shd w:val="clear" w:color="auto" w:fill="auto"/>
            <w:vAlign w:val="center"/>
          </w:tcPr>
          <w:p w14:paraId="053CA864" w14:textId="77777777" w:rsidR="004A0123" w:rsidRPr="00640447" w:rsidRDefault="004A0123" w:rsidP="008A5C11">
            <w:pPr>
              <w:jc w:val="center"/>
              <w:rPr>
                <w:sz w:val="13"/>
                <w:szCs w:val="13"/>
              </w:rPr>
            </w:pPr>
            <w:r w:rsidRPr="00640447">
              <w:rPr>
                <w:sz w:val="13"/>
                <w:szCs w:val="13"/>
              </w:rPr>
              <w:t>3.2.17.</w:t>
            </w:r>
          </w:p>
        </w:tc>
        <w:tc>
          <w:tcPr>
            <w:tcW w:w="616" w:type="pct"/>
            <w:tcBorders>
              <w:top w:val="nil"/>
              <w:left w:val="single" w:sz="4" w:space="0" w:color="auto"/>
              <w:bottom w:val="single" w:sz="4" w:space="0" w:color="auto"/>
              <w:right w:val="single" w:sz="4" w:space="0" w:color="auto"/>
            </w:tcBorders>
            <w:shd w:val="clear" w:color="auto" w:fill="auto"/>
            <w:vAlign w:val="center"/>
          </w:tcPr>
          <w:p w14:paraId="0314C55F" w14:textId="77777777" w:rsidR="004A0123" w:rsidRPr="00640447" w:rsidRDefault="004A0123" w:rsidP="008A5C11">
            <w:pPr>
              <w:rPr>
                <w:color w:val="000000"/>
                <w:sz w:val="13"/>
                <w:szCs w:val="13"/>
              </w:rPr>
            </w:pPr>
            <w:r w:rsidRPr="00640447">
              <w:rPr>
                <w:color w:val="000000"/>
                <w:sz w:val="13"/>
                <w:szCs w:val="13"/>
              </w:rPr>
              <w:t>Котельная «Энергетик». Проектирование и реконструкция системы золошлакоудаления.</w:t>
            </w:r>
          </w:p>
        </w:tc>
        <w:tc>
          <w:tcPr>
            <w:tcW w:w="359" w:type="pct"/>
            <w:tcBorders>
              <w:top w:val="nil"/>
              <w:left w:val="nil"/>
              <w:bottom w:val="single" w:sz="4" w:space="0" w:color="auto"/>
              <w:right w:val="single" w:sz="4" w:space="0" w:color="auto"/>
            </w:tcBorders>
            <w:shd w:val="clear" w:color="auto" w:fill="auto"/>
            <w:vAlign w:val="center"/>
          </w:tcPr>
          <w:p w14:paraId="4EE47419" w14:textId="77777777" w:rsidR="004A0123" w:rsidRPr="00640447" w:rsidRDefault="004A0123" w:rsidP="008A5C11">
            <w:pPr>
              <w:jc w:val="center"/>
              <w:rPr>
                <w:color w:val="000000"/>
                <w:sz w:val="13"/>
                <w:szCs w:val="13"/>
              </w:rPr>
            </w:pPr>
            <w:r w:rsidRPr="00640447">
              <w:rPr>
                <w:color w:val="000000"/>
                <w:sz w:val="13"/>
                <w:szCs w:val="13"/>
              </w:rPr>
              <w:t>Повышение надежности теплоснабжения</w:t>
            </w:r>
          </w:p>
        </w:tc>
        <w:tc>
          <w:tcPr>
            <w:tcW w:w="360" w:type="pct"/>
            <w:tcBorders>
              <w:top w:val="nil"/>
              <w:left w:val="nil"/>
              <w:bottom w:val="single" w:sz="4" w:space="0" w:color="auto"/>
              <w:right w:val="single" w:sz="4" w:space="0" w:color="auto"/>
            </w:tcBorders>
            <w:shd w:val="clear" w:color="auto" w:fill="auto"/>
            <w:vAlign w:val="center"/>
          </w:tcPr>
          <w:p w14:paraId="2D46D1D4" w14:textId="77777777" w:rsidR="004A0123" w:rsidRPr="00640447" w:rsidRDefault="004A0123" w:rsidP="008A5C11">
            <w:pPr>
              <w:jc w:val="center"/>
              <w:rPr>
                <w:color w:val="000000"/>
                <w:sz w:val="13"/>
                <w:szCs w:val="13"/>
              </w:rPr>
            </w:pPr>
            <w:r w:rsidRPr="00640447">
              <w:rPr>
                <w:color w:val="000000"/>
                <w:sz w:val="13"/>
                <w:szCs w:val="13"/>
              </w:rPr>
              <w:t xml:space="preserve">г. Ленинск-Кузнецкий, </w:t>
            </w:r>
          </w:p>
          <w:p w14:paraId="10EC8E55" w14:textId="77777777" w:rsidR="004A0123" w:rsidRPr="00640447" w:rsidRDefault="004A0123" w:rsidP="008A5C11">
            <w:pPr>
              <w:jc w:val="center"/>
              <w:rPr>
                <w:color w:val="000000"/>
                <w:sz w:val="13"/>
                <w:szCs w:val="13"/>
              </w:rPr>
            </w:pPr>
            <w:r w:rsidRPr="00640447">
              <w:rPr>
                <w:color w:val="000000"/>
                <w:sz w:val="13"/>
                <w:szCs w:val="13"/>
              </w:rPr>
              <w:t>тер. Северная промзона 4</w:t>
            </w:r>
          </w:p>
        </w:tc>
        <w:tc>
          <w:tcPr>
            <w:tcW w:w="338" w:type="pct"/>
            <w:tcBorders>
              <w:top w:val="nil"/>
              <w:left w:val="nil"/>
              <w:bottom w:val="single" w:sz="4" w:space="0" w:color="auto"/>
              <w:right w:val="single" w:sz="4" w:space="0" w:color="auto"/>
            </w:tcBorders>
            <w:shd w:val="clear" w:color="auto" w:fill="auto"/>
            <w:vAlign w:val="center"/>
          </w:tcPr>
          <w:p w14:paraId="5E1CFDF6" w14:textId="77777777" w:rsidR="004A0123" w:rsidRPr="00640447" w:rsidRDefault="004A0123" w:rsidP="008A5C11">
            <w:pPr>
              <w:jc w:val="center"/>
              <w:rPr>
                <w:sz w:val="13"/>
                <w:szCs w:val="13"/>
              </w:rPr>
            </w:pPr>
            <w:r w:rsidRPr="00640447">
              <w:rPr>
                <w:sz w:val="13"/>
                <w:szCs w:val="13"/>
              </w:rPr>
              <w:t>Система золошлакоуда-ления</w:t>
            </w:r>
          </w:p>
        </w:tc>
        <w:tc>
          <w:tcPr>
            <w:tcW w:w="116" w:type="pct"/>
            <w:tcBorders>
              <w:top w:val="nil"/>
              <w:left w:val="nil"/>
              <w:bottom w:val="single" w:sz="4" w:space="0" w:color="auto"/>
              <w:right w:val="single" w:sz="4" w:space="0" w:color="auto"/>
            </w:tcBorders>
            <w:shd w:val="clear" w:color="auto" w:fill="auto"/>
            <w:vAlign w:val="center"/>
          </w:tcPr>
          <w:p w14:paraId="1947B138" w14:textId="77777777" w:rsidR="004A0123" w:rsidRPr="00640447" w:rsidRDefault="004A0123" w:rsidP="008A5C11">
            <w:pPr>
              <w:jc w:val="center"/>
              <w:rPr>
                <w:sz w:val="13"/>
                <w:szCs w:val="13"/>
              </w:rPr>
            </w:pPr>
            <w:r w:rsidRPr="00640447">
              <w:rPr>
                <w:sz w:val="13"/>
                <w:szCs w:val="13"/>
              </w:rPr>
              <w:t>ед.</w:t>
            </w:r>
          </w:p>
        </w:tc>
        <w:tc>
          <w:tcPr>
            <w:tcW w:w="182" w:type="pct"/>
            <w:tcBorders>
              <w:top w:val="nil"/>
              <w:left w:val="single" w:sz="4" w:space="0" w:color="auto"/>
              <w:bottom w:val="single" w:sz="4" w:space="0" w:color="auto"/>
              <w:right w:val="single" w:sz="4" w:space="0" w:color="auto"/>
            </w:tcBorders>
            <w:shd w:val="clear" w:color="auto" w:fill="auto"/>
            <w:vAlign w:val="center"/>
          </w:tcPr>
          <w:p w14:paraId="6E666591" w14:textId="77777777" w:rsidR="004A0123" w:rsidRPr="00640447" w:rsidRDefault="004A0123" w:rsidP="008A5C11">
            <w:pPr>
              <w:jc w:val="center"/>
              <w:rPr>
                <w:sz w:val="13"/>
                <w:szCs w:val="13"/>
              </w:rPr>
            </w:pPr>
            <w:r w:rsidRPr="00640447">
              <w:rPr>
                <w:sz w:val="13"/>
                <w:szCs w:val="13"/>
              </w:rPr>
              <w:t>1</w:t>
            </w:r>
          </w:p>
        </w:tc>
        <w:tc>
          <w:tcPr>
            <w:tcW w:w="174" w:type="pct"/>
            <w:tcBorders>
              <w:top w:val="nil"/>
              <w:left w:val="nil"/>
              <w:bottom w:val="single" w:sz="4" w:space="0" w:color="auto"/>
              <w:right w:val="single" w:sz="4" w:space="0" w:color="auto"/>
            </w:tcBorders>
            <w:shd w:val="clear" w:color="auto" w:fill="auto"/>
            <w:vAlign w:val="center"/>
          </w:tcPr>
          <w:p w14:paraId="69535CAA" w14:textId="77777777" w:rsidR="004A0123" w:rsidRPr="00640447" w:rsidRDefault="004A0123" w:rsidP="008A5C11">
            <w:pPr>
              <w:jc w:val="center"/>
              <w:rPr>
                <w:sz w:val="13"/>
                <w:szCs w:val="13"/>
              </w:rPr>
            </w:pPr>
            <w:r w:rsidRPr="00640447">
              <w:rPr>
                <w:sz w:val="13"/>
                <w:szCs w:val="13"/>
              </w:rPr>
              <w:t>1</w:t>
            </w:r>
          </w:p>
        </w:tc>
        <w:tc>
          <w:tcPr>
            <w:tcW w:w="189" w:type="pct"/>
            <w:tcBorders>
              <w:top w:val="nil"/>
              <w:left w:val="nil"/>
              <w:bottom w:val="single" w:sz="4" w:space="0" w:color="auto"/>
              <w:right w:val="single" w:sz="4" w:space="0" w:color="auto"/>
            </w:tcBorders>
            <w:shd w:val="clear" w:color="auto" w:fill="auto"/>
            <w:vAlign w:val="center"/>
          </w:tcPr>
          <w:p w14:paraId="3E16E2AA" w14:textId="77777777" w:rsidR="004A0123" w:rsidRPr="00640447" w:rsidRDefault="004A0123" w:rsidP="008A5C11">
            <w:pPr>
              <w:jc w:val="center"/>
              <w:rPr>
                <w:sz w:val="13"/>
                <w:szCs w:val="13"/>
              </w:rPr>
            </w:pPr>
            <w:r w:rsidRPr="00640447">
              <w:rPr>
                <w:sz w:val="13"/>
                <w:szCs w:val="13"/>
              </w:rPr>
              <w:t>2027</w:t>
            </w:r>
          </w:p>
        </w:tc>
        <w:tc>
          <w:tcPr>
            <w:tcW w:w="184" w:type="pct"/>
            <w:tcBorders>
              <w:top w:val="nil"/>
              <w:left w:val="nil"/>
              <w:bottom w:val="single" w:sz="4" w:space="0" w:color="auto"/>
              <w:right w:val="single" w:sz="4" w:space="0" w:color="auto"/>
            </w:tcBorders>
            <w:shd w:val="clear" w:color="auto" w:fill="auto"/>
            <w:vAlign w:val="center"/>
          </w:tcPr>
          <w:p w14:paraId="0F0265BC" w14:textId="77777777" w:rsidR="004A0123" w:rsidRPr="00640447" w:rsidRDefault="004A0123" w:rsidP="008A5C11">
            <w:pPr>
              <w:jc w:val="center"/>
              <w:rPr>
                <w:sz w:val="13"/>
                <w:szCs w:val="13"/>
              </w:rPr>
            </w:pPr>
            <w:r w:rsidRPr="00640447">
              <w:rPr>
                <w:sz w:val="13"/>
                <w:szCs w:val="13"/>
              </w:rPr>
              <w:t>2028</w:t>
            </w:r>
          </w:p>
        </w:tc>
        <w:tc>
          <w:tcPr>
            <w:tcW w:w="180" w:type="pct"/>
            <w:tcBorders>
              <w:top w:val="nil"/>
              <w:left w:val="nil"/>
              <w:bottom w:val="single" w:sz="4" w:space="0" w:color="auto"/>
              <w:right w:val="single" w:sz="4" w:space="0" w:color="auto"/>
            </w:tcBorders>
            <w:shd w:val="clear" w:color="auto" w:fill="auto"/>
            <w:vAlign w:val="center"/>
          </w:tcPr>
          <w:p w14:paraId="6A0585D5" w14:textId="77777777" w:rsidR="004A0123" w:rsidRPr="00640447" w:rsidRDefault="004A0123" w:rsidP="008A5C11">
            <w:pPr>
              <w:jc w:val="center"/>
              <w:rPr>
                <w:sz w:val="13"/>
                <w:szCs w:val="13"/>
              </w:rPr>
            </w:pPr>
            <w:r w:rsidRPr="00640447">
              <w:rPr>
                <w:sz w:val="13"/>
                <w:szCs w:val="13"/>
              </w:rPr>
              <w:t>296314</w:t>
            </w:r>
          </w:p>
        </w:tc>
        <w:tc>
          <w:tcPr>
            <w:tcW w:w="187" w:type="pct"/>
            <w:tcBorders>
              <w:top w:val="nil"/>
              <w:left w:val="nil"/>
              <w:bottom w:val="single" w:sz="4" w:space="0" w:color="auto"/>
              <w:right w:val="single" w:sz="4" w:space="0" w:color="auto"/>
            </w:tcBorders>
            <w:shd w:val="clear" w:color="auto" w:fill="auto"/>
            <w:vAlign w:val="center"/>
          </w:tcPr>
          <w:p w14:paraId="70EC207B" w14:textId="77777777" w:rsidR="004A0123" w:rsidRPr="00640447" w:rsidRDefault="004A0123" w:rsidP="008A5C11">
            <w:pPr>
              <w:jc w:val="center"/>
              <w:rPr>
                <w:sz w:val="13"/>
                <w:szCs w:val="13"/>
              </w:rPr>
            </w:pPr>
            <w:r w:rsidRPr="00640447">
              <w:rPr>
                <w:sz w:val="13"/>
                <w:szCs w:val="13"/>
              </w:rPr>
              <w:t>0</w:t>
            </w:r>
          </w:p>
        </w:tc>
        <w:tc>
          <w:tcPr>
            <w:tcW w:w="146" w:type="pct"/>
            <w:tcBorders>
              <w:top w:val="nil"/>
              <w:left w:val="single" w:sz="4" w:space="0" w:color="auto"/>
              <w:bottom w:val="single" w:sz="4" w:space="0" w:color="auto"/>
              <w:right w:val="single" w:sz="4" w:space="0" w:color="auto"/>
            </w:tcBorders>
            <w:shd w:val="clear" w:color="auto" w:fill="auto"/>
            <w:vAlign w:val="center"/>
          </w:tcPr>
          <w:p w14:paraId="2DA7024D" w14:textId="77777777" w:rsidR="004A0123" w:rsidRPr="00640447" w:rsidRDefault="004A0123" w:rsidP="008A5C11">
            <w:pPr>
              <w:jc w:val="center"/>
              <w:rPr>
                <w:sz w:val="13"/>
                <w:szCs w:val="13"/>
              </w:rPr>
            </w:pPr>
            <w:r w:rsidRPr="00640447">
              <w:rPr>
                <w:sz w:val="13"/>
                <w:szCs w:val="13"/>
              </w:rPr>
              <w:t>0</w:t>
            </w:r>
          </w:p>
        </w:tc>
        <w:tc>
          <w:tcPr>
            <w:tcW w:w="149" w:type="pct"/>
            <w:tcBorders>
              <w:top w:val="nil"/>
              <w:left w:val="nil"/>
              <w:bottom w:val="single" w:sz="4" w:space="0" w:color="auto"/>
              <w:right w:val="single" w:sz="4" w:space="0" w:color="auto"/>
            </w:tcBorders>
            <w:shd w:val="clear" w:color="auto" w:fill="auto"/>
            <w:vAlign w:val="center"/>
          </w:tcPr>
          <w:p w14:paraId="7B1001EF" w14:textId="77777777" w:rsidR="004A0123" w:rsidRPr="00640447" w:rsidRDefault="004A0123" w:rsidP="008A5C11">
            <w:pPr>
              <w:jc w:val="center"/>
              <w:rPr>
                <w:sz w:val="13"/>
                <w:szCs w:val="13"/>
              </w:rPr>
            </w:pPr>
            <w:r w:rsidRPr="00640447">
              <w:rPr>
                <w:sz w:val="13"/>
                <w:szCs w:val="13"/>
              </w:rPr>
              <w:t>0</w:t>
            </w:r>
          </w:p>
        </w:tc>
        <w:tc>
          <w:tcPr>
            <w:tcW w:w="183" w:type="pct"/>
            <w:tcBorders>
              <w:top w:val="nil"/>
              <w:left w:val="nil"/>
              <w:bottom w:val="single" w:sz="4" w:space="0" w:color="auto"/>
              <w:right w:val="single" w:sz="4" w:space="0" w:color="auto"/>
            </w:tcBorders>
            <w:shd w:val="clear" w:color="auto" w:fill="auto"/>
            <w:vAlign w:val="center"/>
          </w:tcPr>
          <w:p w14:paraId="30273658" w14:textId="77777777" w:rsidR="004A0123" w:rsidRPr="00640447" w:rsidRDefault="004A0123" w:rsidP="008A5C11">
            <w:pPr>
              <w:jc w:val="center"/>
              <w:rPr>
                <w:sz w:val="13"/>
                <w:szCs w:val="13"/>
              </w:rPr>
            </w:pPr>
            <w:r w:rsidRPr="00640447">
              <w:rPr>
                <w:sz w:val="13"/>
                <w:szCs w:val="13"/>
              </w:rPr>
              <w:t>0</w:t>
            </w:r>
          </w:p>
        </w:tc>
        <w:tc>
          <w:tcPr>
            <w:tcW w:w="183" w:type="pct"/>
            <w:tcBorders>
              <w:top w:val="nil"/>
              <w:left w:val="nil"/>
              <w:bottom w:val="single" w:sz="4" w:space="0" w:color="auto"/>
              <w:right w:val="single" w:sz="4" w:space="0" w:color="auto"/>
            </w:tcBorders>
            <w:shd w:val="clear" w:color="auto" w:fill="auto"/>
            <w:vAlign w:val="center"/>
          </w:tcPr>
          <w:p w14:paraId="6B5CA602" w14:textId="77777777" w:rsidR="004A0123" w:rsidRPr="00640447" w:rsidRDefault="004A0123" w:rsidP="008A5C11">
            <w:pPr>
              <w:jc w:val="center"/>
              <w:rPr>
                <w:sz w:val="13"/>
                <w:szCs w:val="13"/>
              </w:rPr>
            </w:pPr>
            <w:r w:rsidRPr="00640447">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5C5984F9" w14:textId="77777777" w:rsidR="004A0123" w:rsidRPr="00640447" w:rsidRDefault="004A0123" w:rsidP="008A5C11">
            <w:pPr>
              <w:jc w:val="center"/>
              <w:rPr>
                <w:sz w:val="13"/>
                <w:szCs w:val="13"/>
              </w:rPr>
            </w:pPr>
            <w:r w:rsidRPr="00640447">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714F342C" w14:textId="77777777" w:rsidR="004A0123" w:rsidRPr="00640447" w:rsidRDefault="004A0123" w:rsidP="008A5C11">
            <w:pPr>
              <w:jc w:val="center"/>
              <w:rPr>
                <w:sz w:val="13"/>
                <w:szCs w:val="13"/>
              </w:rPr>
            </w:pPr>
            <w:r w:rsidRPr="00640447">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06917586" w14:textId="77777777" w:rsidR="004A0123" w:rsidRPr="00640447" w:rsidRDefault="004A0123" w:rsidP="008A5C11">
            <w:pPr>
              <w:jc w:val="center"/>
              <w:rPr>
                <w:sz w:val="13"/>
                <w:szCs w:val="13"/>
              </w:rPr>
            </w:pPr>
            <w:r w:rsidRPr="00640447">
              <w:rPr>
                <w:sz w:val="13"/>
                <w:szCs w:val="13"/>
              </w:rPr>
              <w:t>0</w:t>
            </w:r>
          </w:p>
        </w:tc>
        <w:tc>
          <w:tcPr>
            <w:tcW w:w="174" w:type="pct"/>
            <w:tcBorders>
              <w:top w:val="single" w:sz="4" w:space="0" w:color="auto"/>
              <w:left w:val="single" w:sz="4" w:space="0" w:color="auto"/>
              <w:bottom w:val="single" w:sz="4" w:space="0" w:color="auto"/>
              <w:right w:val="single" w:sz="4" w:space="0" w:color="auto"/>
            </w:tcBorders>
            <w:vAlign w:val="center"/>
          </w:tcPr>
          <w:p w14:paraId="15563AC6" w14:textId="77777777" w:rsidR="004A0123" w:rsidRPr="00640447" w:rsidRDefault="004A0123" w:rsidP="008A5C11">
            <w:pPr>
              <w:jc w:val="center"/>
              <w:rPr>
                <w:sz w:val="13"/>
                <w:szCs w:val="13"/>
              </w:rPr>
            </w:pPr>
            <w:r w:rsidRPr="00640447">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28196E09" w14:textId="77777777" w:rsidR="004A0123" w:rsidRPr="00640447" w:rsidRDefault="004A0123" w:rsidP="008A5C11">
            <w:pPr>
              <w:jc w:val="center"/>
              <w:rPr>
                <w:sz w:val="13"/>
                <w:szCs w:val="13"/>
              </w:rPr>
            </w:pPr>
            <w:r w:rsidRPr="00640447">
              <w:rPr>
                <w:sz w:val="13"/>
                <w:szCs w:val="13"/>
              </w:rPr>
              <w:t>29240</w:t>
            </w:r>
          </w:p>
        </w:tc>
        <w:tc>
          <w:tcPr>
            <w:tcW w:w="146" w:type="pct"/>
            <w:tcBorders>
              <w:top w:val="single" w:sz="4" w:space="0" w:color="auto"/>
              <w:left w:val="single" w:sz="4" w:space="0" w:color="auto"/>
              <w:bottom w:val="single" w:sz="4" w:space="0" w:color="auto"/>
              <w:right w:val="single" w:sz="4" w:space="0" w:color="auto"/>
            </w:tcBorders>
            <w:vAlign w:val="center"/>
          </w:tcPr>
          <w:p w14:paraId="729F1A45" w14:textId="77777777" w:rsidR="004A0123" w:rsidRPr="00640447" w:rsidRDefault="004A0123" w:rsidP="008A5C11">
            <w:pPr>
              <w:jc w:val="center"/>
              <w:rPr>
                <w:sz w:val="13"/>
                <w:szCs w:val="13"/>
              </w:rPr>
            </w:pPr>
            <w:r w:rsidRPr="00640447">
              <w:rPr>
                <w:sz w:val="13"/>
                <w:szCs w:val="13"/>
              </w:rPr>
              <w:t>267072</w:t>
            </w:r>
          </w:p>
        </w:tc>
        <w:tc>
          <w:tcPr>
            <w:tcW w:w="188" w:type="pct"/>
            <w:tcBorders>
              <w:top w:val="single" w:sz="4" w:space="0" w:color="auto"/>
              <w:left w:val="single" w:sz="4" w:space="0" w:color="auto"/>
              <w:bottom w:val="single" w:sz="4" w:space="0" w:color="auto"/>
              <w:right w:val="single" w:sz="4" w:space="0" w:color="auto"/>
            </w:tcBorders>
            <w:vAlign w:val="center"/>
          </w:tcPr>
          <w:p w14:paraId="5CBFC273" w14:textId="77777777" w:rsidR="004A0123" w:rsidRPr="00640447" w:rsidRDefault="004A0123" w:rsidP="008A5C11">
            <w:pPr>
              <w:jc w:val="center"/>
              <w:rPr>
                <w:sz w:val="13"/>
                <w:szCs w:val="13"/>
              </w:rPr>
            </w:pPr>
            <w:r w:rsidRPr="00640447">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43939982" w14:textId="77777777" w:rsidR="004A0123" w:rsidRPr="00640447" w:rsidRDefault="004A0123" w:rsidP="008A5C11">
            <w:pPr>
              <w:jc w:val="center"/>
              <w:rPr>
                <w:sz w:val="13"/>
                <w:szCs w:val="13"/>
              </w:rPr>
            </w:pPr>
            <w:r w:rsidRPr="00640447">
              <w:rPr>
                <w:sz w:val="13"/>
                <w:szCs w:val="13"/>
              </w:rPr>
              <w:t>0</w:t>
            </w:r>
          </w:p>
        </w:tc>
      </w:tr>
      <w:tr w:rsidR="004A0123" w:rsidRPr="00640447" w14:paraId="1918FF92" w14:textId="77777777" w:rsidTr="008A5C11">
        <w:trPr>
          <w:trHeight w:val="489"/>
        </w:trPr>
        <w:tc>
          <w:tcPr>
            <w:tcW w:w="146" w:type="pct"/>
            <w:shd w:val="clear" w:color="auto" w:fill="auto"/>
            <w:vAlign w:val="center"/>
          </w:tcPr>
          <w:p w14:paraId="6EE88F7E" w14:textId="77777777" w:rsidR="004A0123" w:rsidRPr="00640447" w:rsidRDefault="004A0123" w:rsidP="008A5C11">
            <w:pPr>
              <w:jc w:val="center"/>
              <w:rPr>
                <w:sz w:val="13"/>
                <w:szCs w:val="13"/>
              </w:rPr>
            </w:pPr>
            <w:r w:rsidRPr="00640447">
              <w:rPr>
                <w:sz w:val="13"/>
                <w:szCs w:val="13"/>
              </w:rPr>
              <w:t>3.2.18.</w:t>
            </w:r>
          </w:p>
        </w:tc>
        <w:tc>
          <w:tcPr>
            <w:tcW w:w="616" w:type="pct"/>
            <w:tcBorders>
              <w:top w:val="nil"/>
              <w:left w:val="single" w:sz="4" w:space="0" w:color="auto"/>
              <w:bottom w:val="single" w:sz="4" w:space="0" w:color="auto"/>
              <w:right w:val="single" w:sz="4" w:space="0" w:color="auto"/>
            </w:tcBorders>
            <w:shd w:val="clear" w:color="auto" w:fill="auto"/>
            <w:vAlign w:val="center"/>
          </w:tcPr>
          <w:p w14:paraId="6AD5D473" w14:textId="77777777" w:rsidR="004A0123" w:rsidRPr="00640447" w:rsidRDefault="004A0123" w:rsidP="008A5C11">
            <w:pPr>
              <w:rPr>
                <w:color w:val="000000"/>
                <w:sz w:val="13"/>
                <w:szCs w:val="13"/>
              </w:rPr>
            </w:pPr>
            <w:r w:rsidRPr="00640447">
              <w:rPr>
                <w:color w:val="000000"/>
                <w:sz w:val="13"/>
                <w:szCs w:val="13"/>
              </w:rPr>
              <w:t>Котельная «Энергетик». Проектирование и установка насосного оборудования сетевого комплекса.</w:t>
            </w:r>
          </w:p>
        </w:tc>
        <w:tc>
          <w:tcPr>
            <w:tcW w:w="359" w:type="pct"/>
            <w:tcBorders>
              <w:top w:val="nil"/>
              <w:left w:val="nil"/>
              <w:bottom w:val="single" w:sz="4" w:space="0" w:color="auto"/>
              <w:right w:val="single" w:sz="4" w:space="0" w:color="auto"/>
            </w:tcBorders>
            <w:shd w:val="clear" w:color="auto" w:fill="auto"/>
            <w:vAlign w:val="center"/>
          </w:tcPr>
          <w:p w14:paraId="28442D66" w14:textId="77777777" w:rsidR="004A0123" w:rsidRPr="00640447" w:rsidRDefault="004A0123" w:rsidP="008A5C11">
            <w:pPr>
              <w:jc w:val="center"/>
              <w:rPr>
                <w:color w:val="000000"/>
                <w:sz w:val="13"/>
                <w:szCs w:val="13"/>
              </w:rPr>
            </w:pPr>
            <w:r w:rsidRPr="00640447">
              <w:rPr>
                <w:color w:val="000000"/>
                <w:sz w:val="13"/>
                <w:szCs w:val="13"/>
              </w:rPr>
              <w:t>Повышение надежности теплоснабжения</w:t>
            </w:r>
          </w:p>
        </w:tc>
        <w:tc>
          <w:tcPr>
            <w:tcW w:w="360" w:type="pct"/>
            <w:tcBorders>
              <w:top w:val="nil"/>
              <w:left w:val="nil"/>
              <w:bottom w:val="single" w:sz="4" w:space="0" w:color="auto"/>
              <w:right w:val="single" w:sz="4" w:space="0" w:color="auto"/>
            </w:tcBorders>
            <w:shd w:val="clear" w:color="auto" w:fill="auto"/>
            <w:vAlign w:val="center"/>
          </w:tcPr>
          <w:p w14:paraId="5A8E7200" w14:textId="77777777" w:rsidR="004A0123" w:rsidRPr="00640447" w:rsidRDefault="004A0123" w:rsidP="008A5C11">
            <w:pPr>
              <w:jc w:val="center"/>
              <w:rPr>
                <w:color w:val="000000"/>
                <w:sz w:val="13"/>
                <w:szCs w:val="13"/>
              </w:rPr>
            </w:pPr>
            <w:r w:rsidRPr="00640447">
              <w:rPr>
                <w:color w:val="000000"/>
                <w:sz w:val="13"/>
                <w:szCs w:val="13"/>
              </w:rPr>
              <w:t xml:space="preserve">г. Ленинск-Кузнецкий, </w:t>
            </w:r>
          </w:p>
          <w:p w14:paraId="25B862F0" w14:textId="77777777" w:rsidR="004A0123" w:rsidRPr="00640447" w:rsidRDefault="004A0123" w:rsidP="008A5C11">
            <w:pPr>
              <w:jc w:val="center"/>
              <w:rPr>
                <w:color w:val="000000"/>
                <w:sz w:val="13"/>
                <w:szCs w:val="13"/>
              </w:rPr>
            </w:pPr>
            <w:r w:rsidRPr="00640447">
              <w:rPr>
                <w:color w:val="000000"/>
                <w:sz w:val="13"/>
                <w:szCs w:val="13"/>
              </w:rPr>
              <w:t>тер. Северная промзона 4</w:t>
            </w:r>
          </w:p>
        </w:tc>
        <w:tc>
          <w:tcPr>
            <w:tcW w:w="338" w:type="pct"/>
            <w:tcBorders>
              <w:top w:val="nil"/>
              <w:left w:val="nil"/>
              <w:bottom w:val="single" w:sz="4" w:space="0" w:color="auto"/>
              <w:right w:val="single" w:sz="4" w:space="0" w:color="auto"/>
            </w:tcBorders>
            <w:shd w:val="clear" w:color="auto" w:fill="auto"/>
            <w:vAlign w:val="center"/>
          </w:tcPr>
          <w:p w14:paraId="2DB84B1C" w14:textId="77777777" w:rsidR="004A0123" w:rsidRPr="00640447" w:rsidRDefault="004A0123" w:rsidP="008A5C11">
            <w:pPr>
              <w:jc w:val="center"/>
              <w:rPr>
                <w:sz w:val="13"/>
                <w:szCs w:val="13"/>
              </w:rPr>
            </w:pPr>
            <w:proofErr w:type="gramStart"/>
            <w:r w:rsidRPr="00640447">
              <w:rPr>
                <w:sz w:val="13"/>
                <w:szCs w:val="13"/>
              </w:rPr>
              <w:t>Производитель-ность</w:t>
            </w:r>
            <w:proofErr w:type="gramEnd"/>
          </w:p>
        </w:tc>
        <w:tc>
          <w:tcPr>
            <w:tcW w:w="116" w:type="pct"/>
            <w:tcBorders>
              <w:top w:val="nil"/>
              <w:left w:val="nil"/>
              <w:bottom w:val="single" w:sz="4" w:space="0" w:color="auto"/>
              <w:right w:val="single" w:sz="4" w:space="0" w:color="auto"/>
            </w:tcBorders>
            <w:shd w:val="clear" w:color="auto" w:fill="auto"/>
            <w:vAlign w:val="center"/>
          </w:tcPr>
          <w:p w14:paraId="12263450" w14:textId="77777777" w:rsidR="004A0123" w:rsidRPr="00640447" w:rsidRDefault="004A0123" w:rsidP="008A5C11">
            <w:pPr>
              <w:jc w:val="center"/>
              <w:rPr>
                <w:sz w:val="13"/>
                <w:szCs w:val="13"/>
              </w:rPr>
            </w:pPr>
            <w:r w:rsidRPr="00640447">
              <w:rPr>
                <w:sz w:val="13"/>
                <w:szCs w:val="13"/>
              </w:rPr>
              <w:t>м</w:t>
            </w:r>
            <w:r w:rsidRPr="00640447">
              <w:rPr>
                <w:sz w:val="13"/>
                <w:szCs w:val="13"/>
                <w:vertAlign w:val="superscript"/>
              </w:rPr>
              <w:t>3</w:t>
            </w:r>
            <w:r w:rsidRPr="00640447">
              <w:rPr>
                <w:sz w:val="13"/>
                <w:szCs w:val="13"/>
              </w:rPr>
              <w:t>/ч</w:t>
            </w:r>
          </w:p>
        </w:tc>
        <w:tc>
          <w:tcPr>
            <w:tcW w:w="182" w:type="pct"/>
            <w:tcBorders>
              <w:top w:val="nil"/>
              <w:left w:val="single" w:sz="4" w:space="0" w:color="auto"/>
              <w:bottom w:val="single" w:sz="4" w:space="0" w:color="auto"/>
              <w:right w:val="single" w:sz="4" w:space="0" w:color="auto"/>
            </w:tcBorders>
            <w:shd w:val="clear" w:color="auto" w:fill="auto"/>
            <w:vAlign w:val="center"/>
          </w:tcPr>
          <w:p w14:paraId="5EB18AF2" w14:textId="77777777" w:rsidR="004A0123" w:rsidRPr="00640447" w:rsidRDefault="004A0123" w:rsidP="008A5C11">
            <w:pPr>
              <w:jc w:val="center"/>
              <w:rPr>
                <w:sz w:val="13"/>
                <w:szCs w:val="13"/>
              </w:rPr>
            </w:pPr>
            <w:r w:rsidRPr="00640447">
              <w:rPr>
                <w:sz w:val="13"/>
                <w:szCs w:val="13"/>
              </w:rPr>
              <w:t>2400</w:t>
            </w:r>
          </w:p>
        </w:tc>
        <w:tc>
          <w:tcPr>
            <w:tcW w:w="174" w:type="pct"/>
            <w:tcBorders>
              <w:top w:val="nil"/>
              <w:left w:val="nil"/>
              <w:bottom w:val="single" w:sz="4" w:space="0" w:color="auto"/>
              <w:right w:val="single" w:sz="4" w:space="0" w:color="auto"/>
            </w:tcBorders>
            <w:shd w:val="clear" w:color="auto" w:fill="auto"/>
            <w:vAlign w:val="center"/>
          </w:tcPr>
          <w:p w14:paraId="5C2C545B" w14:textId="77777777" w:rsidR="004A0123" w:rsidRPr="00640447" w:rsidRDefault="004A0123" w:rsidP="008A5C11">
            <w:pPr>
              <w:jc w:val="center"/>
              <w:rPr>
                <w:sz w:val="13"/>
                <w:szCs w:val="13"/>
              </w:rPr>
            </w:pPr>
            <w:r w:rsidRPr="00640447">
              <w:rPr>
                <w:sz w:val="13"/>
                <w:szCs w:val="13"/>
              </w:rPr>
              <w:t>2400</w:t>
            </w:r>
          </w:p>
        </w:tc>
        <w:tc>
          <w:tcPr>
            <w:tcW w:w="189" w:type="pct"/>
            <w:tcBorders>
              <w:top w:val="nil"/>
              <w:left w:val="nil"/>
              <w:bottom w:val="single" w:sz="4" w:space="0" w:color="auto"/>
              <w:right w:val="single" w:sz="4" w:space="0" w:color="auto"/>
            </w:tcBorders>
            <w:shd w:val="clear" w:color="auto" w:fill="auto"/>
            <w:vAlign w:val="center"/>
          </w:tcPr>
          <w:p w14:paraId="2BAD1D39" w14:textId="77777777" w:rsidR="004A0123" w:rsidRPr="00640447" w:rsidRDefault="004A0123" w:rsidP="008A5C11">
            <w:pPr>
              <w:jc w:val="center"/>
              <w:rPr>
                <w:sz w:val="13"/>
                <w:szCs w:val="13"/>
              </w:rPr>
            </w:pPr>
            <w:r w:rsidRPr="00640447">
              <w:rPr>
                <w:sz w:val="13"/>
                <w:szCs w:val="13"/>
              </w:rPr>
              <w:t>2028</w:t>
            </w:r>
          </w:p>
        </w:tc>
        <w:tc>
          <w:tcPr>
            <w:tcW w:w="184" w:type="pct"/>
            <w:tcBorders>
              <w:top w:val="nil"/>
              <w:left w:val="nil"/>
              <w:bottom w:val="single" w:sz="4" w:space="0" w:color="auto"/>
              <w:right w:val="single" w:sz="4" w:space="0" w:color="auto"/>
            </w:tcBorders>
            <w:shd w:val="clear" w:color="auto" w:fill="auto"/>
            <w:vAlign w:val="center"/>
          </w:tcPr>
          <w:p w14:paraId="2B46D858" w14:textId="77777777" w:rsidR="004A0123" w:rsidRPr="00640447" w:rsidRDefault="004A0123" w:rsidP="008A5C11">
            <w:pPr>
              <w:jc w:val="center"/>
              <w:rPr>
                <w:sz w:val="13"/>
                <w:szCs w:val="13"/>
              </w:rPr>
            </w:pPr>
            <w:r w:rsidRPr="00640447">
              <w:rPr>
                <w:sz w:val="13"/>
                <w:szCs w:val="13"/>
              </w:rPr>
              <w:t>2028</w:t>
            </w:r>
          </w:p>
        </w:tc>
        <w:tc>
          <w:tcPr>
            <w:tcW w:w="180" w:type="pct"/>
            <w:tcBorders>
              <w:top w:val="nil"/>
              <w:left w:val="nil"/>
              <w:bottom w:val="single" w:sz="4" w:space="0" w:color="auto"/>
              <w:right w:val="single" w:sz="4" w:space="0" w:color="auto"/>
            </w:tcBorders>
            <w:shd w:val="clear" w:color="auto" w:fill="auto"/>
            <w:vAlign w:val="center"/>
          </w:tcPr>
          <w:p w14:paraId="57E66A21" w14:textId="77777777" w:rsidR="004A0123" w:rsidRPr="00640447" w:rsidRDefault="004A0123" w:rsidP="008A5C11">
            <w:pPr>
              <w:jc w:val="center"/>
              <w:rPr>
                <w:sz w:val="13"/>
                <w:szCs w:val="13"/>
              </w:rPr>
            </w:pPr>
            <w:r w:rsidRPr="00640447">
              <w:rPr>
                <w:sz w:val="13"/>
                <w:szCs w:val="13"/>
              </w:rPr>
              <w:t>36965</w:t>
            </w:r>
          </w:p>
        </w:tc>
        <w:tc>
          <w:tcPr>
            <w:tcW w:w="187" w:type="pct"/>
            <w:tcBorders>
              <w:top w:val="nil"/>
              <w:left w:val="nil"/>
              <w:bottom w:val="single" w:sz="4" w:space="0" w:color="auto"/>
              <w:right w:val="single" w:sz="4" w:space="0" w:color="auto"/>
            </w:tcBorders>
            <w:shd w:val="clear" w:color="auto" w:fill="auto"/>
            <w:vAlign w:val="center"/>
          </w:tcPr>
          <w:p w14:paraId="3D825CBD" w14:textId="77777777" w:rsidR="004A0123" w:rsidRPr="00640447" w:rsidRDefault="004A0123" w:rsidP="008A5C11">
            <w:pPr>
              <w:jc w:val="center"/>
              <w:rPr>
                <w:sz w:val="13"/>
                <w:szCs w:val="13"/>
              </w:rPr>
            </w:pPr>
            <w:r w:rsidRPr="00640447">
              <w:rPr>
                <w:sz w:val="13"/>
                <w:szCs w:val="13"/>
              </w:rPr>
              <w:t>0</w:t>
            </w:r>
          </w:p>
        </w:tc>
        <w:tc>
          <w:tcPr>
            <w:tcW w:w="146" w:type="pct"/>
            <w:tcBorders>
              <w:top w:val="nil"/>
              <w:left w:val="single" w:sz="4" w:space="0" w:color="auto"/>
              <w:bottom w:val="single" w:sz="4" w:space="0" w:color="auto"/>
              <w:right w:val="single" w:sz="4" w:space="0" w:color="auto"/>
            </w:tcBorders>
            <w:shd w:val="clear" w:color="auto" w:fill="auto"/>
            <w:vAlign w:val="center"/>
          </w:tcPr>
          <w:p w14:paraId="4D2C95F3" w14:textId="77777777" w:rsidR="004A0123" w:rsidRPr="00640447" w:rsidRDefault="004A0123" w:rsidP="008A5C11">
            <w:pPr>
              <w:jc w:val="center"/>
              <w:rPr>
                <w:sz w:val="13"/>
                <w:szCs w:val="13"/>
              </w:rPr>
            </w:pPr>
            <w:r w:rsidRPr="00640447">
              <w:rPr>
                <w:sz w:val="13"/>
                <w:szCs w:val="13"/>
              </w:rPr>
              <w:t>0</w:t>
            </w:r>
          </w:p>
        </w:tc>
        <w:tc>
          <w:tcPr>
            <w:tcW w:w="149" w:type="pct"/>
            <w:tcBorders>
              <w:top w:val="nil"/>
              <w:left w:val="nil"/>
              <w:bottom w:val="single" w:sz="4" w:space="0" w:color="auto"/>
              <w:right w:val="single" w:sz="4" w:space="0" w:color="auto"/>
            </w:tcBorders>
            <w:shd w:val="clear" w:color="auto" w:fill="auto"/>
            <w:vAlign w:val="center"/>
          </w:tcPr>
          <w:p w14:paraId="42817C92" w14:textId="77777777" w:rsidR="004A0123" w:rsidRPr="00640447" w:rsidRDefault="004A0123" w:rsidP="008A5C11">
            <w:pPr>
              <w:jc w:val="center"/>
              <w:rPr>
                <w:sz w:val="13"/>
                <w:szCs w:val="13"/>
              </w:rPr>
            </w:pPr>
            <w:r w:rsidRPr="00640447">
              <w:rPr>
                <w:sz w:val="13"/>
                <w:szCs w:val="13"/>
              </w:rPr>
              <w:t>0</w:t>
            </w:r>
          </w:p>
        </w:tc>
        <w:tc>
          <w:tcPr>
            <w:tcW w:w="183" w:type="pct"/>
            <w:tcBorders>
              <w:top w:val="nil"/>
              <w:left w:val="nil"/>
              <w:bottom w:val="single" w:sz="4" w:space="0" w:color="auto"/>
              <w:right w:val="single" w:sz="4" w:space="0" w:color="auto"/>
            </w:tcBorders>
            <w:shd w:val="clear" w:color="auto" w:fill="auto"/>
            <w:vAlign w:val="center"/>
          </w:tcPr>
          <w:p w14:paraId="7C94B917" w14:textId="77777777" w:rsidR="004A0123" w:rsidRPr="00640447" w:rsidRDefault="004A0123" w:rsidP="008A5C11">
            <w:pPr>
              <w:jc w:val="center"/>
              <w:rPr>
                <w:sz w:val="13"/>
                <w:szCs w:val="13"/>
              </w:rPr>
            </w:pPr>
            <w:r w:rsidRPr="00640447">
              <w:rPr>
                <w:sz w:val="13"/>
                <w:szCs w:val="13"/>
              </w:rPr>
              <w:t>0</w:t>
            </w:r>
          </w:p>
        </w:tc>
        <w:tc>
          <w:tcPr>
            <w:tcW w:w="183" w:type="pct"/>
            <w:tcBorders>
              <w:top w:val="nil"/>
              <w:left w:val="nil"/>
              <w:bottom w:val="single" w:sz="4" w:space="0" w:color="auto"/>
              <w:right w:val="single" w:sz="4" w:space="0" w:color="auto"/>
            </w:tcBorders>
            <w:shd w:val="clear" w:color="auto" w:fill="auto"/>
            <w:vAlign w:val="center"/>
          </w:tcPr>
          <w:p w14:paraId="708D8F34" w14:textId="77777777" w:rsidR="004A0123" w:rsidRPr="00640447" w:rsidRDefault="004A0123" w:rsidP="008A5C11">
            <w:pPr>
              <w:jc w:val="center"/>
              <w:rPr>
                <w:sz w:val="13"/>
                <w:szCs w:val="13"/>
              </w:rPr>
            </w:pPr>
            <w:r w:rsidRPr="00640447">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01BBB4CE" w14:textId="77777777" w:rsidR="004A0123" w:rsidRPr="00640447" w:rsidRDefault="004A0123" w:rsidP="008A5C11">
            <w:pPr>
              <w:jc w:val="center"/>
              <w:rPr>
                <w:sz w:val="13"/>
                <w:szCs w:val="13"/>
              </w:rPr>
            </w:pPr>
            <w:r w:rsidRPr="00640447">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19140081" w14:textId="77777777" w:rsidR="004A0123" w:rsidRPr="00640447" w:rsidRDefault="004A0123" w:rsidP="008A5C11">
            <w:pPr>
              <w:jc w:val="center"/>
              <w:rPr>
                <w:sz w:val="13"/>
                <w:szCs w:val="13"/>
              </w:rPr>
            </w:pPr>
            <w:r w:rsidRPr="00640447">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2F641B26" w14:textId="77777777" w:rsidR="004A0123" w:rsidRPr="00640447" w:rsidRDefault="004A0123" w:rsidP="008A5C11">
            <w:pPr>
              <w:jc w:val="center"/>
              <w:rPr>
                <w:sz w:val="13"/>
                <w:szCs w:val="13"/>
              </w:rPr>
            </w:pPr>
            <w:r w:rsidRPr="00640447">
              <w:rPr>
                <w:sz w:val="13"/>
                <w:szCs w:val="13"/>
              </w:rPr>
              <w:t>0</w:t>
            </w:r>
          </w:p>
        </w:tc>
        <w:tc>
          <w:tcPr>
            <w:tcW w:w="174" w:type="pct"/>
            <w:tcBorders>
              <w:top w:val="single" w:sz="4" w:space="0" w:color="auto"/>
              <w:left w:val="single" w:sz="4" w:space="0" w:color="auto"/>
              <w:bottom w:val="single" w:sz="4" w:space="0" w:color="auto"/>
              <w:right w:val="single" w:sz="4" w:space="0" w:color="auto"/>
            </w:tcBorders>
            <w:vAlign w:val="center"/>
          </w:tcPr>
          <w:p w14:paraId="2E7259D2" w14:textId="77777777" w:rsidR="004A0123" w:rsidRPr="00640447" w:rsidRDefault="004A0123" w:rsidP="008A5C11">
            <w:pPr>
              <w:jc w:val="center"/>
              <w:rPr>
                <w:sz w:val="13"/>
                <w:szCs w:val="13"/>
              </w:rPr>
            </w:pPr>
            <w:r w:rsidRPr="00640447">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73EC9F08" w14:textId="77777777" w:rsidR="004A0123" w:rsidRPr="00640447" w:rsidRDefault="004A0123" w:rsidP="008A5C11">
            <w:pPr>
              <w:jc w:val="center"/>
              <w:rPr>
                <w:sz w:val="13"/>
                <w:szCs w:val="13"/>
              </w:rPr>
            </w:pPr>
            <w:r w:rsidRPr="00640447">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579DFCA0" w14:textId="77777777" w:rsidR="004A0123" w:rsidRPr="00640447" w:rsidRDefault="004A0123" w:rsidP="008A5C11">
            <w:pPr>
              <w:jc w:val="center"/>
              <w:rPr>
                <w:sz w:val="13"/>
                <w:szCs w:val="13"/>
              </w:rPr>
            </w:pPr>
            <w:r w:rsidRPr="00640447">
              <w:rPr>
                <w:sz w:val="13"/>
                <w:szCs w:val="13"/>
              </w:rPr>
              <w:t>36956</w:t>
            </w:r>
          </w:p>
        </w:tc>
        <w:tc>
          <w:tcPr>
            <w:tcW w:w="188" w:type="pct"/>
            <w:tcBorders>
              <w:top w:val="single" w:sz="4" w:space="0" w:color="auto"/>
              <w:left w:val="single" w:sz="4" w:space="0" w:color="auto"/>
              <w:bottom w:val="single" w:sz="4" w:space="0" w:color="auto"/>
              <w:right w:val="single" w:sz="4" w:space="0" w:color="auto"/>
            </w:tcBorders>
            <w:vAlign w:val="center"/>
          </w:tcPr>
          <w:p w14:paraId="62F176BE" w14:textId="77777777" w:rsidR="004A0123" w:rsidRPr="00640447" w:rsidRDefault="004A0123" w:rsidP="008A5C11">
            <w:pPr>
              <w:jc w:val="center"/>
              <w:rPr>
                <w:sz w:val="13"/>
                <w:szCs w:val="13"/>
              </w:rPr>
            </w:pPr>
            <w:r w:rsidRPr="00640447">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64653116" w14:textId="77777777" w:rsidR="004A0123" w:rsidRPr="00640447" w:rsidRDefault="004A0123" w:rsidP="008A5C11">
            <w:pPr>
              <w:jc w:val="center"/>
              <w:rPr>
                <w:sz w:val="13"/>
                <w:szCs w:val="13"/>
              </w:rPr>
            </w:pPr>
            <w:r w:rsidRPr="00640447">
              <w:rPr>
                <w:sz w:val="13"/>
                <w:szCs w:val="13"/>
              </w:rPr>
              <w:t>0</w:t>
            </w:r>
          </w:p>
        </w:tc>
      </w:tr>
      <w:tr w:rsidR="004A0123" w:rsidRPr="00640447" w14:paraId="17CBA795" w14:textId="77777777" w:rsidTr="008A5C11">
        <w:trPr>
          <w:trHeight w:val="489"/>
        </w:trPr>
        <w:tc>
          <w:tcPr>
            <w:tcW w:w="146" w:type="pct"/>
            <w:shd w:val="clear" w:color="auto" w:fill="auto"/>
            <w:vAlign w:val="center"/>
          </w:tcPr>
          <w:p w14:paraId="6F115110" w14:textId="77777777" w:rsidR="004A0123" w:rsidRPr="00640447" w:rsidRDefault="004A0123" w:rsidP="008A5C11">
            <w:pPr>
              <w:jc w:val="center"/>
              <w:rPr>
                <w:sz w:val="13"/>
                <w:szCs w:val="13"/>
              </w:rPr>
            </w:pPr>
            <w:r w:rsidRPr="00640447">
              <w:rPr>
                <w:sz w:val="13"/>
                <w:szCs w:val="13"/>
              </w:rPr>
              <w:t>3.2.19.</w:t>
            </w:r>
          </w:p>
        </w:tc>
        <w:tc>
          <w:tcPr>
            <w:tcW w:w="616" w:type="pct"/>
            <w:tcBorders>
              <w:top w:val="nil"/>
              <w:left w:val="single" w:sz="4" w:space="0" w:color="auto"/>
              <w:bottom w:val="single" w:sz="4" w:space="0" w:color="auto"/>
              <w:right w:val="single" w:sz="4" w:space="0" w:color="auto"/>
            </w:tcBorders>
            <w:shd w:val="clear" w:color="auto" w:fill="auto"/>
            <w:vAlign w:val="center"/>
          </w:tcPr>
          <w:p w14:paraId="065FC887" w14:textId="77777777" w:rsidR="004A0123" w:rsidRPr="00640447" w:rsidRDefault="004A0123" w:rsidP="008A5C11">
            <w:pPr>
              <w:rPr>
                <w:color w:val="000000"/>
                <w:sz w:val="13"/>
                <w:szCs w:val="13"/>
              </w:rPr>
            </w:pPr>
            <w:r w:rsidRPr="00640447">
              <w:rPr>
                <w:color w:val="000000"/>
                <w:sz w:val="13"/>
                <w:szCs w:val="13"/>
              </w:rPr>
              <w:t>Котельная «Энергетик». Проектирование и реконструкция мазутного хозяйства.</w:t>
            </w:r>
          </w:p>
        </w:tc>
        <w:tc>
          <w:tcPr>
            <w:tcW w:w="359" w:type="pct"/>
            <w:tcBorders>
              <w:top w:val="nil"/>
              <w:left w:val="nil"/>
              <w:bottom w:val="single" w:sz="4" w:space="0" w:color="auto"/>
              <w:right w:val="single" w:sz="4" w:space="0" w:color="auto"/>
            </w:tcBorders>
            <w:shd w:val="clear" w:color="auto" w:fill="auto"/>
            <w:vAlign w:val="center"/>
          </w:tcPr>
          <w:p w14:paraId="239CA44F" w14:textId="77777777" w:rsidR="004A0123" w:rsidRPr="00640447" w:rsidRDefault="004A0123" w:rsidP="008A5C11">
            <w:pPr>
              <w:jc w:val="center"/>
              <w:rPr>
                <w:color w:val="000000"/>
                <w:sz w:val="13"/>
                <w:szCs w:val="13"/>
              </w:rPr>
            </w:pPr>
            <w:r w:rsidRPr="00640447">
              <w:rPr>
                <w:color w:val="000000"/>
                <w:sz w:val="13"/>
                <w:szCs w:val="13"/>
              </w:rPr>
              <w:t>Повышение надежности теплоснабжения</w:t>
            </w:r>
          </w:p>
        </w:tc>
        <w:tc>
          <w:tcPr>
            <w:tcW w:w="360" w:type="pct"/>
            <w:tcBorders>
              <w:top w:val="nil"/>
              <w:left w:val="nil"/>
              <w:bottom w:val="single" w:sz="4" w:space="0" w:color="auto"/>
              <w:right w:val="single" w:sz="4" w:space="0" w:color="auto"/>
            </w:tcBorders>
            <w:shd w:val="clear" w:color="auto" w:fill="auto"/>
            <w:vAlign w:val="center"/>
          </w:tcPr>
          <w:p w14:paraId="4B582631" w14:textId="77777777" w:rsidR="004A0123" w:rsidRPr="00640447" w:rsidRDefault="004A0123" w:rsidP="008A5C11">
            <w:pPr>
              <w:jc w:val="center"/>
              <w:rPr>
                <w:color w:val="000000"/>
                <w:sz w:val="13"/>
                <w:szCs w:val="13"/>
              </w:rPr>
            </w:pPr>
            <w:r w:rsidRPr="00640447">
              <w:rPr>
                <w:color w:val="000000"/>
                <w:sz w:val="13"/>
                <w:szCs w:val="13"/>
              </w:rPr>
              <w:t xml:space="preserve">г. Ленинск-Кузнецкий, </w:t>
            </w:r>
          </w:p>
          <w:p w14:paraId="0FBE082F" w14:textId="77777777" w:rsidR="004A0123" w:rsidRPr="00640447" w:rsidRDefault="004A0123" w:rsidP="008A5C11">
            <w:pPr>
              <w:jc w:val="center"/>
              <w:rPr>
                <w:color w:val="000000"/>
                <w:sz w:val="13"/>
                <w:szCs w:val="13"/>
              </w:rPr>
            </w:pPr>
            <w:r w:rsidRPr="00640447">
              <w:rPr>
                <w:color w:val="000000"/>
                <w:sz w:val="13"/>
                <w:szCs w:val="13"/>
              </w:rPr>
              <w:t>тер. Северная промзона 4</w:t>
            </w:r>
          </w:p>
        </w:tc>
        <w:tc>
          <w:tcPr>
            <w:tcW w:w="338" w:type="pct"/>
            <w:tcBorders>
              <w:top w:val="nil"/>
              <w:left w:val="nil"/>
              <w:bottom w:val="single" w:sz="4" w:space="0" w:color="auto"/>
              <w:right w:val="single" w:sz="4" w:space="0" w:color="auto"/>
            </w:tcBorders>
            <w:shd w:val="clear" w:color="auto" w:fill="auto"/>
            <w:vAlign w:val="center"/>
          </w:tcPr>
          <w:p w14:paraId="084CB983" w14:textId="77777777" w:rsidR="004A0123" w:rsidRPr="00640447" w:rsidRDefault="004A0123" w:rsidP="008A5C11">
            <w:pPr>
              <w:jc w:val="center"/>
              <w:rPr>
                <w:sz w:val="13"/>
                <w:szCs w:val="13"/>
              </w:rPr>
            </w:pPr>
            <w:r w:rsidRPr="00640447">
              <w:rPr>
                <w:sz w:val="13"/>
                <w:szCs w:val="13"/>
              </w:rPr>
              <w:t>Мазутное хозяйство</w:t>
            </w:r>
          </w:p>
        </w:tc>
        <w:tc>
          <w:tcPr>
            <w:tcW w:w="116" w:type="pct"/>
            <w:tcBorders>
              <w:top w:val="nil"/>
              <w:left w:val="nil"/>
              <w:bottom w:val="single" w:sz="4" w:space="0" w:color="auto"/>
              <w:right w:val="single" w:sz="4" w:space="0" w:color="auto"/>
            </w:tcBorders>
            <w:shd w:val="clear" w:color="auto" w:fill="auto"/>
            <w:vAlign w:val="center"/>
          </w:tcPr>
          <w:p w14:paraId="0275802E" w14:textId="77777777" w:rsidR="004A0123" w:rsidRPr="00640447" w:rsidRDefault="004A0123" w:rsidP="008A5C11">
            <w:pPr>
              <w:jc w:val="center"/>
              <w:rPr>
                <w:sz w:val="13"/>
                <w:szCs w:val="13"/>
              </w:rPr>
            </w:pPr>
            <w:r w:rsidRPr="00640447">
              <w:rPr>
                <w:sz w:val="13"/>
                <w:szCs w:val="13"/>
              </w:rPr>
              <w:t>ед.</w:t>
            </w:r>
          </w:p>
        </w:tc>
        <w:tc>
          <w:tcPr>
            <w:tcW w:w="182" w:type="pct"/>
            <w:tcBorders>
              <w:top w:val="nil"/>
              <w:left w:val="single" w:sz="4" w:space="0" w:color="auto"/>
              <w:bottom w:val="single" w:sz="4" w:space="0" w:color="auto"/>
              <w:right w:val="single" w:sz="4" w:space="0" w:color="auto"/>
            </w:tcBorders>
            <w:shd w:val="clear" w:color="auto" w:fill="auto"/>
            <w:vAlign w:val="center"/>
          </w:tcPr>
          <w:p w14:paraId="70C310EA" w14:textId="77777777" w:rsidR="004A0123" w:rsidRPr="00640447" w:rsidRDefault="004A0123" w:rsidP="008A5C11">
            <w:pPr>
              <w:jc w:val="center"/>
              <w:rPr>
                <w:sz w:val="13"/>
                <w:szCs w:val="13"/>
              </w:rPr>
            </w:pPr>
            <w:r w:rsidRPr="00640447">
              <w:rPr>
                <w:sz w:val="13"/>
                <w:szCs w:val="13"/>
              </w:rPr>
              <w:t>1</w:t>
            </w:r>
          </w:p>
        </w:tc>
        <w:tc>
          <w:tcPr>
            <w:tcW w:w="174" w:type="pct"/>
            <w:tcBorders>
              <w:top w:val="nil"/>
              <w:left w:val="nil"/>
              <w:bottom w:val="single" w:sz="4" w:space="0" w:color="auto"/>
              <w:right w:val="single" w:sz="4" w:space="0" w:color="auto"/>
            </w:tcBorders>
            <w:shd w:val="clear" w:color="auto" w:fill="auto"/>
            <w:vAlign w:val="center"/>
          </w:tcPr>
          <w:p w14:paraId="066CE7A9" w14:textId="77777777" w:rsidR="004A0123" w:rsidRPr="00640447" w:rsidRDefault="004A0123" w:rsidP="008A5C11">
            <w:pPr>
              <w:jc w:val="center"/>
              <w:rPr>
                <w:sz w:val="13"/>
                <w:szCs w:val="13"/>
              </w:rPr>
            </w:pPr>
            <w:r w:rsidRPr="00640447">
              <w:rPr>
                <w:sz w:val="13"/>
                <w:szCs w:val="13"/>
              </w:rPr>
              <w:t>1</w:t>
            </w:r>
          </w:p>
        </w:tc>
        <w:tc>
          <w:tcPr>
            <w:tcW w:w="189" w:type="pct"/>
            <w:tcBorders>
              <w:top w:val="nil"/>
              <w:left w:val="nil"/>
              <w:bottom w:val="single" w:sz="4" w:space="0" w:color="auto"/>
              <w:right w:val="single" w:sz="4" w:space="0" w:color="auto"/>
            </w:tcBorders>
            <w:shd w:val="clear" w:color="auto" w:fill="auto"/>
            <w:vAlign w:val="center"/>
          </w:tcPr>
          <w:p w14:paraId="1AFFF22C" w14:textId="77777777" w:rsidR="004A0123" w:rsidRPr="00640447" w:rsidRDefault="004A0123" w:rsidP="008A5C11">
            <w:pPr>
              <w:jc w:val="center"/>
              <w:rPr>
                <w:sz w:val="13"/>
                <w:szCs w:val="13"/>
              </w:rPr>
            </w:pPr>
            <w:r w:rsidRPr="00640447">
              <w:rPr>
                <w:sz w:val="13"/>
                <w:szCs w:val="13"/>
              </w:rPr>
              <w:t>2027</w:t>
            </w:r>
          </w:p>
        </w:tc>
        <w:tc>
          <w:tcPr>
            <w:tcW w:w="184" w:type="pct"/>
            <w:tcBorders>
              <w:top w:val="nil"/>
              <w:left w:val="nil"/>
              <w:bottom w:val="single" w:sz="4" w:space="0" w:color="auto"/>
              <w:right w:val="single" w:sz="4" w:space="0" w:color="auto"/>
            </w:tcBorders>
            <w:shd w:val="clear" w:color="auto" w:fill="auto"/>
            <w:vAlign w:val="center"/>
          </w:tcPr>
          <w:p w14:paraId="67FA492A" w14:textId="77777777" w:rsidR="004A0123" w:rsidRPr="00640447" w:rsidRDefault="004A0123" w:rsidP="008A5C11">
            <w:pPr>
              <w:jc w:val="center"/>
              <w:rPr>
                <w:sz w:val="13"/>
                <w:szCs w:val="13"/>
              </w:rPr>
            </w:pPr>
            <w:r w:rsidRPr="00640447">
              <w:rPr>
                <w:sz w:val="13"/>
                <w:szCs w:val="13"/>
              </w:rPr>
              <w:t>2027</w:t>
            </w:r>
          </w:p>
        </w:tc>
        <w:tc>
          <w:tcPr>
            <w:tcW w:w="180" w:type="pct"/>
            <w:tcBorders>
              <w:top w:val="nil"/>
              <w:left w:val="nil"/>
              <w:bottom w:val="single" w:sz="4" w:space="0" w:color="auto"/>
              <w:right w:val="single" w:sz="4" w:space="0" w:color="auto"/>
            </w:tcBorders>
            <w:shd w:val="clear" w:color="auto" w:fill="auto"/>
            <w:vAlign w:val="center"/>
          </w:tcPr>
          <w:p w14:paraId="07D5BF88" w14:textId="77777777" w:rsidR="004A0123" w:rsidRPr="00640447" w:rsidRDefault="004A0123" w:rsidP="008A5C11">
            <w:pPr>
              <w:jc w:val="center"/>
              <w:rPr>
                <w:sz w:val="13"/>
                <w:szCs w:val="13"/>
              </w:rPr>
            </w:pPr>
            <w:r w:rsidRPr="00640447">
              <w:rPr>
                <w:sz w:val="13"/>
                <w:szCs w:val="13"/>
              </w:rPr>
              <w:t>60878</w:t>
            </w:r>
          </w:p>
        </w:tc>
        <w:tc>
          <w:tcPr>
            <w:tcW w:w="187" w:type="pct"/>
            <w:tcBorders>
              <w:top w:val="nil"/>
              <w:left w:val="nil"/>
              <w:bottom w:val="single" w:sz="4" w:space="0" w:color="auto"/>
              <w:right w:val="single" w:sz="4" w:space="0" w:color="auto"/>
            </w:tcBorders>
            <w:shd w:val="clear" w:color="auto" w:fill="auto"/>
            <w:vAlign w:val="center"/>
          </w:tcPr>
          <w:p w14:paraId="2E216DC5" w14:textId="77777777" w:rsidR="004A0123" w:rsidRPr="00640447" w:rsidRDefault="004A0123" w:rsidP="008A5C11">
            <w:pPr>
              <w:jc w:val="center"/>
              <w:rPr>
                <w:sz w:val="13"/>
                <w:szCs w:val="13"/>
              </w:rPr>
            </w:pPr>
            <w:r w:rsidRPr="00640447">
              <w:rPr>
                <w:sz w:val="13"/>
                <w:szCs w:val="13"/>
              </w:rPr>
              <w:t>0</w:t>
            </w:r>
          </w:p>
        </w:tc>
        <w:tc>
          <w:tcPr>
            <w:tcW w:w="146" w:type="pct"/>
            <w:tcBorders>
              <w:top w:val="nil"/>
              <w:left w:val="single" w:sz="4" w:space="0" w:color="auto"/>
              <w:bottom w:val="single" w:sz="4" w:space="0" w:color="auto"/>
              <w:right w:val="single" w:sz="4" w:space="0" w:color="auto"/>
            </w:tcBorders>
            <w:shd w:val="clear" w:color="auto" w:fill="auto"/>
            <w:vAlign w:val="center"/>
          </w:tcPr>
          <w:p w14:paraId="537CDC3B" w14:textId="77777777" w:rsidR="004A0123" w:rsidRPr="00640447" w:rsidRDefault="004A0123" w:rsidP="008A5C11">
            <w:pPr>
              <w:jc w:val="center"/>
              <w:rPr>
                <w:sz w:val="13"/>
                <w:szCs w:val="13"/>
              </w:rPr>
            </w:pPr>
            <w:r w:rsidRPr="00640447">
              <w:rPr>
                <w:sz w:val="13"/>
                <w:szCs w:val="13"/>
              </w:rPr>
              <w:t>0</w:t>
            </w:r>
          </w:p>
        </w:tc>
        <w:tc>
          <w:tcPr>
            <w:tcW w:w="149" w:type="pct"/>
            <w:tcBorders>
              <w:top w:val="nil"/>
              <w:left w:val="nil"/>
              <w:bottom w:val="single" w:sz="4" w:space="0" w:color="auto"/>
              <w:right w:val="single" w:sz="4" w:space="0" w:color="auto"/>
            </w:tcBorders>
            <w:shd w:val="clear" w:color="auto" w:fill="auto"/>
            <w:vAlign w:val="center"/>
          </w:tcPr>
          <w:p w14:paraId="7819B014" w14:textId="77777777" w:rsidR="004A0123" w:rsidRPr="00640447" w:rsidRDefault="004A0123" w:rsidP="008A5C11">
            <w:pPr>
              <w:jc w:val="center"/>
              <w:rPr>
                <w:sz w:val="13"/>
                <w:szCs w:val="13"/>
              </w:rPr>
            </w:pPr>
            <w:r w:rsidRPr="00640447">
              <w:rPr>
                <w:sz w:val="13"/>
                <w:szCs w:val="13"/>
              </w:rPr>
              <w:t>0</w:t>
            </w:r>
          </w:p>
        </w:tc>
        <w:tc>
          <w:tcPr>
            <w:tcW w:w="183" w:type="pct"/>
            <w:tcBorders>
              <w:top w:val="nil"/>
              <w:left w:val="nil"/>
              <w:bottom w:val="single" w:sz="4" w:space="0" w:color="auto"/>
              <w:right w:val="single" w:sz="4" w:space="0" w:color="auto"/>
            </w:tcBorders>
            <w:shd w:val="clear" w:color="auto" w:fill="auto"/>
            <w:vAlign w:val="center"/>
          </w:tcPr>
          <w:p w14:paraId="0C84D7A5" w14:textId="77777777" w:rsidR="004A0123" w:rsidRPr="00640447" w:rsidRDefault="004A0123" w:rsidP="008A5C11">
            <w:pPr>
              <w:jc w:val="center"/>
              <w:rPr>
                <w:sz w:val="13"/>
                <w:szCs w:val="13"/>
              </w:rPr>
            </w:pPr>
            <w:r w:rsidRPr="00640447">
              <w:rPr>
                <w:sz w:val="13"/>
                <w:szCs w:val="13"/>
              </w:rPr>
              <w:t>0</w:t>
            </w:r>
          </w:p>
        </w:tc>
        <w:tc>
          <w:tcPr>
            <w:tcW w:w="183" w:type="pct"/>
            <w:tcBorders>
              <w:top w:val="nil"/>
              <w:left w:val="nil"/>
              <w:bottom w:val="single" w:sz="4" w:space="0" w:color="auto"/>
              <w:right w:val="single" w:sz="4" w:space="0" w:color="auto"/>
            </w:tcBorders>
            <w:shd w:val="clear" w:color="auto" w:fill="auto"/>
            <w:vAlign w:val="center"/>
          </w:tcPr>
          <w:p w14:paraId="5F518977" w14:textId="77777777" w:rsidR="004A0123" w:rsidRPr="00640447" w:rsidRDefault="004A0123" w:rsidP="008A5C11">
            <w:pPr>
              <w:jc w:val="center"/>
              <w:rPr>
                <w:sz w:val="13"/>
                <w:szCs w:val="13"/>
              </w:rPr>
            </w:pPr>
            <w:r w:rsidRPr="00640447">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561380BB" w14:textId="77777777" w:rsidR="004A0123" w:rsidRPr="00640447" w:rsidRDefault="004A0123" w:rsidP="008A5C11">
            <w:pPr>
              <w:jc w:val="center"/>
              <w:rPr>
                <w:sz w:val="13"/>
                <w:szCs w:val="13"/>
              </w:rPr>
            </w:pPr>
            <w:r w:rsidRPr="00640447">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453E725B" w14:textId="77777777" w:rsidR="004A0123" w:rsidRPr="00640447" w:rsidRDefault="004A0123" w:rsidP="008A5C11">
            <w:pPr>
              <w:jc w:val="center"/>
              <w:rPr>
                <w:sz w:val="13"/>
                <w:szCs w:val="13"/>
              </w:rPr>
            </w:pPr>
            <w:r w:rsidRPr="00640447">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07B5E088" w14:textId="77777777" w:rsidR="004A0123" w:rsidRPr="00640447" w:rsidRDefault="004A0123" w:rsidP="008A5C11">
            <w:pPr>
              <w:jc w:val="center"/>
              <w:rPr>
                <w:sz w:val="13"/>
                <w:szCs w:val="13"/>
              </w:rPr>
            </w:pPr>
            <w:r w:rsidRPr="00640447">
              <w:rPr>
                <w:sz w:val="13"/>
                <w:szCs w:val="13"/>
              </w:rPr>
              <w:t>0</w:t>
            </w:r>
          </w:p>
        </w:tc>
        <w:tc>
          <w:tcPr>
            <w:tcW w:w="174" w:type="pct"/>
            <w:tcBorders>
              <w:top w:val="single" w:sz="4" w:space="0" w:color="auto"/>
              <w:left w:val="single" w:sz="4" w:space="0" w:color="auto"/>
              <w:bottom w:val="single" w:sz="4" w:space="0" w:color="auto"/>
              <w:right w:val="single" w:sz="4" w:space="0" w:color="auto"/>
            </w:tcBorders>
            <w:vAlign w:val="center"/>
          </w:tcPr>
          <w:p w14:paraId="67738238" w14:textId="77777777" w:rsidR="004A0123" w:rsidRPr="00640447" w:rsidRDefault="004A0123" w:rsidP="008A5C11">
            <w:pPr>
              <w:jc w:val="center"/>
              <w:rPr>
                <w:sz w:val="13"/>
                <w:szCs w:val="13"/>
              </w:rPr>
            </w:pPr>
            <w:r w:rsidRPr="00640447">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55577CC1" w14:textId="77777777" w:rsidR="004A0123" w:rsidRPr="00640447" w:rsidRDefault="004A0123" w:rsidP="008A5C11">
            <w:pPr>
              <w:jc w:val="center"/>
              <w:rPr>
                <w:sz w:val="13"/>
                <w:szCs w:val="13"/>
              </w:rPr>
            </w:pPr>
            <w:r w:rsidRPr="00640447">
              <w:rPr>
                <w:sz w:val="13"/>
                <w:szCs w:val="13"/>
              </w:rPr>
              <w:t>60878</w:t>
            </w:r>
          </w:p>
        </w:tc>
        <w:tc>
          <w:tcPr>
            <w:tcW w:w="146" w:type="pct"/>
            <w:tcBorders>
              <w:top w:val="single" w:sz="4" w:space="0" w:color="auto"/>
              <w:left w:val="single" w:sz="4" w:space="0" w:color="auto"/>
              <w:bottom w:val="single" w:sz="4" w:space="0" w:color="auto"/>
              <w:right w:val="single" w:sz="4" w:space="0" w:color="auto"/>
            </w:tcBorders>
            <w:vAlign w:val="center"/>
          </w:tcPr>
          <w:p w14:paraId="1859CCDC" w14:textId="77777777" w:rsidR="004A0123" w:rsidRPr="00640447" w:rsidRDefault="004A0123" w:rsidP="008A5C11">
            <w:pPr>
              <w:jc w:val="center"/>
              <w:rPr>
                <w:sz w:val="13"/>
                <w:szCs w:val="13"/>
              </w:rPr>
            </w:pPr>
            <w:r w:rsidRPr="00640447">
              <w:rPr>
                <w:sz w:val="13"/>
                <w:szCs w:val="13"/>
              </w:rPr>
              <w:t>0</w:t>
            </w:r>
          </w:p>
        </w:tc>
        <w:tc>
          <w:tcPr>
            <w:tcW w:w="188" w:type="pct"/>
            <w:tcBorders>
              <w:top w:val="single" w:sz="4" w:space="0" w:color="auto"/>
              <w:left w:val="single" w:sz="4" w:space="0" w:color="auto"/>
              <w:bottom w:val="single" w:sz="4" w:space="0" w:color="auto"/>
              <w:right w:val="single" w:sz="4" w:space="0" w:color="auto"/>
            </w:tcBorders>
            <w:vAlign w:val="center"/>
          </w:tcPr>
          <w:p w14:paraId="4814D81B" w14:textId="77777777" w:rsidR="004A0123" w:rsidRPr="00640447" w:rsidRDefault="004A0123" w:rsidP="008A5C11">
            <w:pPr>
              <w:jc w:val="center"/>
              <w:rPr>
                <w:sz w:val="13"/>
                <w:szCs w:val="13"/>
              </w:rPr>
            </w:pPr>
            <w:r w:rsidRPr="00640447">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62B368E3" w14:textId="77777777" w:rsidR="004A0123" w:rsidRPr="00640447" w:rsidRDefault="004A0123" w:rsidP="008A5C11">
            <w:pPr>
              <w:jc w:val="center"/>
              <w:rPr>
                <w:sz w:val="13"/>
                <w:szCs w:val="13"/>
              </w:rPr>
            </w:pPr>
            <w:r w:rsidRPr="00640447">
              <w:rPr>
                <w:sz w:val="13"/>
                <w:szCs w:val="13"/>
              </w:rPr>
              <w:t>0</w:t>
            </w:r>
          </w:p>
        </w:tc>
      </w:tr>
      <w:tr w:rsidR="004A0123" w:rsidRPr="00640447" w14:paraId="58FC1C1E" w14:textId="77777777" w:rsidTr="008A5C11">
        <w:trPr>
          <w:trHeight w:val="70"/>
        </w:trPr>
        <w:tc>
          <w:tcPr>
            <w:tcW w:w="146" w:type="pct"/>
            <w:shd w:val="clear" w:color="auto" w:fill="auto"/>
            <w:vAlign w:val="center"/>
          </w:tcPr>
          <w:p w14:paraId="7AE8ADCE" w14:textId="77777777" w:rsidR="004A0123" w:rsidRPr="00640447" w:rsidRDefault="004A0123" w:rsidP="008A5C11">
            <w:pPr>
              <w:jc w:val="center"/>
              <w:rPr>
                <w:sz w:val="13"/>
                <w:szCs w:val="13"/>
              </w:rPr>
            </w:pPr>
            <w:r w:rsidRPr="00640447">
              <w:rPr>
                <w:sz w:val="13"/>
                <w:szCs w:val="13"/>
              </w:rPr>
              <w:t>3.2.20.</w:t>
            </w:r>
          </w:p>
        </w:tc>
        <w:tc>
          <w:tcPr>
            <w:tcW w:w="616" w:type="pct"/>
            <w:tcBorders>
              <w:top w:val="nil"/>
              <w:left w:val="single" w:sz="4" w:space="0" w:color="auto"/>
              <w:bottom w:val="single" w:sz="4" w:space="0" w:color="auto"/>
              <w:right w:val="single" w:sz="4" w:space="0" w:color="auto"/>
            </w:tcBorders>
            <w:shd w:val="clear" w:color="auto" w:fill="auto"/>
            <w:vAlign w:val="center"/>
          </w:tcPr>
          <w:p w14:paraId="4B60BE42" w14:textId="77777777" w:rsidR="004A0123" w:rsidRPr="00640447" w:rsidRDefault="004A0123" w:rsidP="008A5C11">
            <w:pPr>
              <w:rPr>
                <w:color w:val="000000"/>
                <w:sz w:val="13"/>
                <w:szCs w:val="13"/>
              </w:rPr>
            </w:pPr>
            <w:r w:rsidRPr="00640447">
              <w:rPr>
                <w:color w:val="000000"/>
                <w:sz w:val="13"/>
                <w:szCs w:val="13"/>
              </w:rPr>
              <w:t>Котельная «Энергетик». Проектирование и реконструкция системы химводоподготовки.</w:t>
            </w:r>
          </w:p>
        </w:tc>
        <w:tc>
          <w:tcPr>
            <w:tcW w:w="359" w:type="pct"/>
            <w:tcBorders>
              <w:top w:val="nil"/>
              <w:left w:val="nil"/>
              <w:bottom w:val="single" w:sz="4" w:space="0" w:color="auto"/>
              <w:right w:val="single" w:sz="4" w:space="0" w:color="auto"/>
            </w:tcBorders>
            <w:shd w:val="clear" w:color="auto" w:fill="auto"/>
            <w:vAlign w:val="center"/>
          </w:tcPr>
          <w:p w14:paraId="596FBEB8" w14:textId="77777777" w:rsidR="004A0123" w:rsidRPr="00640447" w:rsidRDefault="004A0123" w:rsidP="008A5C11">
            <w:pPr>
              <w:jc w:val="center"/>
              <w:rPr>
                <w:color w:val="000000"/>
                <w:sz w:val="13"/>
                <w:szCs w:val="13"/>
              </w:rPr>
            </w:pPr>
            <w:r w:rsidRPr="00640447">
              <w:rPr>
                <w:color w:val="000000"/>
                <w:sz w:val="13"/>
                <w:szCs w:val="13"/>
              </w:rPr>
              <w:t>Повышение надежности теплоснабжения</w:t>
            </w:r>
          </w:p>
        </w:tc>
        <w:tc>
          <w:tcPr>
            <w:tcW w:w="360" w:type="pct"/>
            <w:tcBorders>
              <w:top w:val="nil"/>
              <w:left w:val="nil"/>
              <w:bottom w:val="single" w:sz="4" w:space="0" w:color="auto"/>
              <w:right w:val="single" w:sz="4" w:space="0" w:color="auto"/>
            </w:tcBorders>
            <w:shd w:val="clear" w:color="auto" w:fill="auto"/>
            <w:vAlign w:val="center"/>
          </w:tcPr>
          <w:p w14:paraId="2EF48365" w14:textId="77777777" w:rsidR="004A0123" w:rsidRPr="00640447" w:rsidRDefault="004A0123" w:rsidP="008A5C11">
            <w:pPr>
              <w:jc w:val="center"/>
              <w:rPr>
                <w:color w:val="000000"/>
                <w:sz w:val="13"/>
                <w:szCs w:val="13"/>
              </w:rPr>
            </w:pPr>
            <w:r w:rsidRPr="00640447">
              <w:rPr>
                <w:color w:val="000000"/>
                <w:sz w:val="13"/>
                <w:szCs w:val="13"/>
              </w:rPr>
              <w:t xml:space="preserve">г. Ленинск-Кузнецкий, </w:t>
            </w:r>
          </w:p>
          <w:p w14:paraId="75617867" w14:textId="77777777" w:rsidR="004A0123" w:rsidRPr="00640447" w:rsidRDefault="004A0123" w:rsidP="008A5C11">
            <w:pPr>
              <w:jc w:val="center"/>
              <w:rPr>
                <w:color w:val="000000"/>
                <w:sz w:val="13"/>
                <w:szCs w:val="13"/>
              </w:rPr>
            </w:pPr>
            <w:r w:rsidRPr="00640447">
              <w:rPr>
                <w:color w:val="000000"/>
                <w:sz w:val="13"/>
                <w:szCs w:val="13"/>
              </w:rPr>
              <w:t>тер. Северная промзона 4</w:t>
            </w:r>
          </w:p>
        </w:tc>
        <w:tc>
          <w:tcPr>
            <w:tcW w:w="338" w:type="pct"/>
            <w:tcBorders>
              <w:top w:val="nil"/>
              <w:left w:val="nil"/>
              <w:bottom w:val="single" w:sz="4" w:space="0" w:color="auto"/>
              <w:right w:val="single" w:sz="4" w:space="0" w:color="auto"/>
            </w:tcBorders>
            <w:shd w:val="clear" w:color="auto" w:fill="auto"/>
            <w:vAlign w:val="center"/>
          </w:tcPr>
          <w:p w14:paraId="375508E5" w14:textId="77777777" w:rsidR="004A0123" w:rsidRPr="00640447" w:rsidRDefault="004A0123" w:rsidP="008A5C11">
            <w:pPr>
              <w:jc w:val="center"/>
              <w:rPr>
                <w:sz w:val="13"/>
                <w:szCs w:val="13"/>
              </w:rPr>
            </w:pPr>
            <w:proofErr w:type="gramStart"/>
            <w:r w:rsidRPr="00640447">
              <w:rPr>
                <w:sz w:val="13"/>
                <w:szCs w:val="13"/>
              </w:rPr>
              <w:t>Производитель-ность</w:t>
            </w:r>
            <w:proofErr w:type="gramEnd"/>
          </w:p>
        </w:tc>
        <w:tc>
          <w:tcPr>
            <w:tcW w:w="116" w:type="pct"/>
            <w:tcBorders>
              <w:top w:val="nil"/>
              <w:left w:val="nil"/>
              <w:bottom w:val="single" w:sz="4" w:space="0" w:color="auto"/>
              <w:right w:val="single" w:sz="4" w:space="0" w:color="auto"/>
            </w:tcBorders>
            <w:shd w:val="clear" w:color="auto" w:fill="auto"/>
            <w:vAlign w:val="center"/>
          </w:tcPr>
          <w:p w14:paraId="54430E3C" w14:textId="77777777" w:rsidR="004A0123" w:rsidRPr="00640447" w:rsidRDefault="004A0123" w:rsidP="008A5C11">
            <w:pPr>
              <w:jc w:val="center"/>
              <w:rPr>
                <w:sz w:val="13"/>
                <w:szCs w:val="13"/>
              </w:rPr>
            </w:pPr>
            <w:r w:rsidRPr="00640447">
              <w:rPr>
                <w:sz w:val="13"/>
                <w:szCs w:val="13"/>
              </w:rPr>
              <w:t>м</w:t>
            </w:r>
            <w:r w:rsidRPr="00640447">
              <w:rPr>
                <w:sz w:val="13"/>
                <w:szCs w:val="13"/>
                <w:vertAlign w:val="superscript"/>
              </w:rPr>
              <w:t>3</w:t>
            </w:r>
            <w:r w:rsidRPr="00640447">
              <w:rPr>
                <w:sz w:val="13"/>
                <w:szCs w:val="13"/>
              </w:rPr>
              <w:t>/ч</w:t>
            </w:r>
          </w:p>
        </w:tc>
        <w:tc>
          <w:tcPr>
            <w:tcW w:w="182" w:type="pct"/>
            <w:tcBorders>
              <w:top w:val="nil"/>
              <w:left w:val="single" w:sz="4" w:space="0" w:color="auto"/>
              <w:bottom w:val="single" w:sz="4" w:space="0" w:color="auto"/>
              <w:right w:val="single" w:sz="4" w:space="0" w:color="auto"/>
            </w:tcBorders>
            <w:shd w:val="clear" w:color="auto" w:fill="auto"/>
            <w:vAlign w:val="center"/>
          </w:tcPr>
          <w:p w14:paraId="2B85F3DB" w14:textId="77777777" w:rsidR="004A0123" w:rsidRPr="00640447" w:rsidRDefault="004A0123" w:rsidP="008A5C11">
            <w:pPr>
              <w:jc w:val="center"/>
              <w:rPr>
                <w:sz w:val="13"/>
                <w:szCs w:val="13"/>
              </w:rPr>
            </w:pPr>
            <w:r w:rsidRPr="00640447">
              <w:rPr>
                <w:sz w:val="13"/>
                <w:szCs w:val="13"/>
              </w:rPr>
              <w:t>300</w:t>
            </w:r>
          </w:p>
        </w:tc>
        <w:tc>
          <w:tcPr>
            <w:tcW w:w="174" w:type="pct"/>
            <w:tcBorders>
              <w:top w:val="nil"/>
              <w:left w:val="nil"/>
              <w:bottom w:val="single" w:sz="4" w:space="0" w:color="auto"/>
              <w:right w:val="single" w:sz="4" w:space="0" w:color="auto"/>
            </w:tcBorders>
            <w:shd w:val="clear" w:color="auto" w:fill="auto"/>
            <w:vAlign w:val="center"/>
          </w:tcPr>
          <w:p w14:paraId="4CE8ED27" w14:textId="77777777" w:rsidR="004A0123" w:rsidRPr="00640447" w:rsidRDefault="004A0123" w:rsidP="008A5C11">
            <w:pPr>
              <w:jc w:val="center"/>
              <w:rPr>
                <w:sz w:val="13"/>
                <w:szCs w:val="13"/>
              </w:rPr>
            </w:pPr>
            <w:r w:rsidRPr="00640447">
              <w:rPr>
                <w:sz w:val="13"/>
                <w:szCs w:val="13"/>
              </w:rPr>
              <w:t>300</w:t>
            </w:r>
          </w:p>
        </w:tc>
        <w:tc>
          <w:tcPr>
            <w:tcW w:w="189" w:type="pct"/>
            <w:tcBorders>
              <w:top w:val="nil"/>
              <w:left w:val="nil"/>
              <w:bottom w:val="single" w:sz="4" w:space="0" w:color="auto"/>
              <w:right w:val="single" w:sz="4" w:space="0" w:color="auto"/>
            </w:tcBorders>
            <w:shd w:val="clear" w:color="auto" w:fill="auto"/>
            <w:vAlign w:val="center"/>
          </w:tcPr>
          <w:p w14:paraId="1EDECDC8" w14:textId="77777777" w:rsidR="004A0123" w:rsidRPr="00640447" w:rsidRDefault="004A0123" w:rsidP="008A5C11">
            <w:pPr>
              <w:jc w:val="center"/>
              <w:rPr>
                <w:sz w:val="13"/>
                <w:szCs w:val="13"/>
              </w:rPr>
            </w:pPr>
            <w:r w:rsidRPr="00640447">
              <w:rPr>
                <w:sz w:val="13"/>
                <w:szCs w:val="13"/>
              </w:rPr>
              <w:t>2028</w:t>
            </w:r>
          </w:p>
        </w:tc>
        <w:tc>
          <w:tcPr>
            <w:tcW w:w="184" w:type="pct"/>
            <w:tcBorders>
              <w:top w:val="nil"/>
              <w:left w:val="nil"/>
              <w:bottom w:val="single" w:sz="4" w:space="0" w:color="auto"/>
              <w:right w:val="single" w:sz="4" w:space="0" w:color="auto"/>
            </w:tcBorders>
            <w:shd w:val="clear" w:color="auto" w:fill="auto"/>
            <w:vAlign w:val="center"/>
          </w:tcPr>
          <w:p w14:paraId="6489389D" w14:textId="77777777" w:rsidR="004A0123" w:rsidRPr="00640447" w:rsidRDefault="004A0123" w:rsidP="008A5C11">
            <w:pPr>
              <w:jc w:val="center"/>
              <w:rPr>
                <w:sz w:val="13"/>
                <w:szCs w:val="13"/>
              </w:rPr>
            </w:pPr>
            <w:r w:rsidRPr="00640447">
              <w:rPr>
                <w:sz w:val="13"/>
                <w:szCs w:val="13"/>
              </w:rPr>
              <w:t>2028</w:t>
            </w:r>
          </w:p>
        </w:tc>
        <w:tc>
          <w:tcPr>
            <w:tcW w:w="180" w:type="pct"/>
            <w:tcBorders>
              <w:top w:val="nil"/>
              <w:left w:val="nil"/>
              <w:bottom w:val="single" w:sz="4" w:space="0" w:color="auto"/>
              <w:right w:val="single" w:sz="4" w:space="0" w:color="auto"/>
            </w:tcBorders>
            <w:shd w:val="clear" w:color="auto" w:fill="auto"/>
            <w:vAlign w:val="center"/>
          </w:tcPr>
          <w:p w14:paraId="7F4DB965" w14:textId="77777777" w:rsidR="004A0123" w:rsidRPr="00640447" w:rsidRDefault="004A0123" w:rsidP="008A5C11">
            <w:pPr>
              <w:jc w:val="center"/>
              <w:rPr>
                <w:sz w:val="13"/>
                <w:szCs w:val="13"/>
              </w:rPr>
            </w:pPr>
            <w:r w:rsidRPr="00640447">
              <w:rPr>
                <w:sz w:val="13"/>
                <w:szCs w:val="13"/>
              </w:rPr>
              <w:t>41738</w:t>
            </w:r>
          </w:p>
        </w:tc>
        <w:tc>
          <w:tcPr>
            <w:tcW w:w="187" w:type="pct"/>
            <w:tcBorders>
              <w:top w:val="nil"/>
              <w:left w:val="nil"/>
              <w:bottom w:val="single" w:sz="4" w:space="0" w:color="auto"/>
              <w:right w:val="single" w:sz="4" w:space="0" w:color="auto"/>
            </w:tcBorders>
            <w:shd w:val="clear" w:color="auto" w:fill="auto"/>
            <w:vAlign w:val="center"/>
          </w:tcPr>
          <w:p w14:paraId="63CE5A24" w14:textId="77777777" w:rsidR="004A0123" w:rsidRPr="00640447" w:rsidRDefault="004A0123" w:rsidP="008A5C11">
            <w:pPr>
              <w:jc w:val="center"/>
              <w:rPr>
                <w:sz w:val="13"/>
                <w:szCs w:val="13"/>
              </w:rPr>
            </w:pPr>
            <w:r w:rsidRPr="00640447">
              <w:rPr>
                <w:sz w:val="13"/>
                <w:szCs w:val="13"/>
              </w:rPr>
              <w:t>0</w:t>
            </w:r>
          </w:p>
        </w:tc>
        <w:tc>
          <w:tcPr>
            <w:tcW w:w="146" w:type="pct"/>
            <w:tcBorders>
              <w:top w:val="nil"/>
              <w:left w:val="single" w:sz="4" w:space="0" w:color="auto"/>
              <w:bottom w:val="single" w:sz="4" w:space="0" w:color="auto"/>
              <w:right w:val="single" w:sz="4" w:space="0" w:color="auto"/>
            </w:tcBorders>
            <w:shd w:val="clear" w:color="auto" w:fill="auto"/>
            <w:vAlign w:val="center"/>
          </w:tcPr>
          <w:p w14:paraId="7E64FA0E" w14:textId="77777777" w:rsidR="004A0123" w:rsidRPr="00640447" w:rsidRDefault="004A0123" w:rsidP="008A5C11">
            <w:pPr>
              <w:jc w:val="center"/>
              <w:rPr>
                <w:sz w:val="13"/>
                <w:szCs w:val="13"/>
              </w:rPr>
            </w:pPr>
            <w:r w:rsidRPr="00640447">
              <w:rPr>
                <w:sz w:val="13"/>
                <w:szCs w:val="13"/>
              </w:rPr>
              <w:t>0</w:t>
            </w:r>
          </w:p>
        </w:tc>
        <w:tc>
          <w:tcPr>
            <w:tcW w:w="149" w:type="pct"/>
            <w:tcBorders>
              <w:top w:val="nil"/>
              <w:left w:val="nil"/>
              <w:bottom w:val="single" w:sz="4" w:space="0" w:color="auto"/>
              <w:right w:val="single" w:sz="4" w:space="0" w:color="auto"/>
            </w:tcBorders>
            <w:shd w:val="clear" w:color="auto" w:fill="auto"/>
            <w:vAlign w:val="center"/>
          </w:tcPr>
          <w:p w14:paraId="02D9E945" w14:textId="77777777" w:rsidR="004A0123" w:rsidRPr="00640447" w:rsidRDefault="004A0123" w:rsidP="008A5C11">
            <w:pPr>
              <w:jc w:val="center"/>
              <w:rPr>
                <w:sz w:val="13"/>
                <w:szCs w:val="13"/>
              </w:rPr>
            </w:pPr>
            <w:r w:rsidRPr="00640447">
              <w:rPr>
                <w:sz w:val="13"/>
                <w:szCs w:val="13"/>
              </w:rPr>
              <w:t>0</w:t>
            </w:r>
          </w:p>
        </w:tc>
        <w:tc>
          <w:tcPr>
            <w:tcW w:w="183" w:type="pct"/>
            <w:tcBorders>
              <w:top w:val="nil"/>
              <w:left w:val="nil"/>
              <w:bottom w:val="single" w:sz="4" w:space="0" w:color="auto"/>
              <w:right w:val="single" w:sz="4" w:space="0" w:color="auto"/>
            </w:tcBorders>
            <w:shd w:val="clear" w:color="auto" w:fill="auto"/>
            <w:vAlign w:val="center"/>
          </w:tcPr>
          <w:p w14:paraId="7CD6AB0B" w14:textId="77777777" w:rsidR="004A0123" w:rsidRPr="00640447" w:rsidRDefault="004A0123" w:rsidP="008A5C11">
            <w:pPr>
              <w:jc w:val="center"/>
              <w:rPr>
                <w:sz w:val="13"/>
                <w:szCs w:val="13"/>
              </w:rPr>
            </w:pPr>
            <w:r w:rsidRPr="00640447">
              <w:rPr>
                <w:sz w:val="13"/>
                <w:szCs w:val="13"/>
              </w:rPr>
              <w:t>0</w:t>
            </w:r>
          </w:p>
        </w:tc>
        <w:tc>
          <w:tcPr>
            <w:tcW w:w="183" w:type="pct"/>
            <w:tcBorders>
              <w:top w:val="nil"/>
              <w:left w:val="nil"/>
              <w:bottom w:val="single" w:sz="4" w:space="0" w:color="auto"/>
              <w:right w:val="single" w:sz="4" w:space="0" w:color="auto"/>
            </w:tcBorders>
            <w:shd w:val="clear" w:color="auto" w:fill="auto"/>
            <w:vAlign w:val="center"/>
          </w:tcPr>
          <w:p w14:paraId="526CC0EE" w14:textId="77777777" w:rsidR="004A0123" w:rsidRPr="00640447" w:rsidRDefault="004A0123" w:rsidP="008A5C11">
            <w:pPr>
              <w:jc w:val="center"/>
              <w:rPr>
                <w:sz w:val="13"/>
                <w:szCs w:val="13"/>
              </w:rPr>
            </w:pPr>
            <w:r w:rsidRPr="00640447">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313245A6" w14:textId="77777777" w:rsidR="004A0123" w:rsidRPr="00640447" w:rsidRDefault="004A0123" w:rsidP="008A5C11">
            <w:pPr>
              <w:jc w:val="center"/>
              <w:rPr>
                <w:sz w:val="13"/>
                <w:szCs w:val="13"/>
              </w:rPr>
            </w:pPr>
            <w:r w:rsidRPr="00640447">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70A6CD50" w14:textId="77777777" w:rsidR="004A0123" w:rsidRPr="00640447" w:rsidRDefault="004A0123" w:rsidP="008A5C11">
            <w:pPr>
              <w:jc w:val="center"/>
              <w:rPr>
                <w:sz w:val="13"/>
                <w:szCs w:val="13"/>
              </w:rPr>
            </w:pPr>
            <w:r w:rsidRPr="00640447">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4A1F785D" w14:textId="77777777" w:rsidR="004A0123" w:rsidRPr="00640447" w:rsidRDefault="004A0123" w:rsidP="008A5C11">
            <w:pPr>
              <w:jc w:val="center"/>
              <w:rPr>
                <w:sz w:val="13"/>
                <w:szCs w:val="13"/>
              </w:rPr>
            </w:pPr>
            <w:r w:rsidRPr="00640447">
              <w:rPr>
                <w:sz w:val="13"/>
                <w:szCs w:val="13"/>
              </w:rPr>
              <w:t>0</w:t>
            </w:r>
          </w:p>
        </w:tc>
        <w:tc>
          <w:tcPr>
            <w:tcW w:w="174" w:type="pct"/>
            <w:tcBorders>
              <w:top w:val="single" w:sz="4" w:space="0" w:color="auto"/>
              <w:left w:val="single" w:sz="4" w:space="0" w:color="auto"/>
              <w:bottom w:val="single" w:sz="4" w:space="0" w:color="auto"/>
              <w:right w:val="single" w:sz="4" w:space="0" w:color="auto"/>
            </w:tcBorders>
            <w:vAlign w:val="center"/>
          </w:tcPr>
          <w:p w14:paraId="34595CD4" w14:textId="77777777" w:rsidR="004A0123" w:rsidRPr="00640447" w:rsidRDefault="004A0123" w:rsidP="008A5C11">
            <w:pPr>
              <w:jc w:val="center"/>
              <w:rPr>
                <w:sz w:val="13"/>
                <w:szCs w:val="13"/>
              </w:rPr>
            </w:pPr>
            <w:r w:rsidRPr="00640447">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634B1112" w14:textId="77777777" w:rsidR="004A0123" w:rsidRPr="00640447" w:rsidRDefault="004A0123" w:rsidP="008A5C11">
            <w:pPr>
              <w:jc w:val="center"/>
              <w:rPr>
                <w:sz w:val="13"/>
                <w:szCs w:val="13"/>
              </w:rPr>
            </w:pPr>
            <w:r w:rsidRPr="00640447">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51DADA7F" w14:textId="77777777" w:rsidR="004A0123" w:rsidRPr="00640447" w:rsidRDefault="004A0123" w:rsidP="008A5C11">
            <w:pPr>
              <w:jc w:val="center"/>
              <w:rPr>
                <w:sz w:val="13"/>
                <w:szCs w:val="13"/>
              </w:rPr>
            </w:pPr>
            <w:r w:rsidRPr="00640447">
              <w:rPr>
                <w:sz w:val="13"/>
                <w:szCs w:val="13"/>
              </w:rPr>
              <w:t>41738</w:t>
            </w:r>
          </w:p>
        </w:tc>
        <w:tc>
          <w:tcPr>
            <w:tcW w:w="188" w:type="pct"/>
            <w:tcBorders>
              <w:top w:val="single" w:sz="4" w:space="0" w:color="auto"/>
              <w:left w:val="single" w:sz="4" w:space="0" w:color="auto"/>
              <w:bottom w:val="single" w:sz="4" w:space="0" w:color="auto"/>
              <w:right w:val="single" w:sz="4" w:space="0" w:color="auto"/>
            </w:tcBorders>
            <w:vAlign w:val="center"/>
          </w:tcPr>
          <w:p w14:paraId="53FD16BF" w14:textId="77777777" w:rsidR="004A0123" w:rsidRPr="00640447" w:rsidRDefault="004A0123" w:rsidP="008A5C11">
            <w:pPr>
              <w:jc w:val="center"/>
              <w:rPr>
                <w:sz w:val="13"/>
                <w:szCs w:val="13"/>
              </w:rPr>
            </w:pPr>
            <w:r w:rsidRPr="00640447">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2F5E8AB5" w14:textId="77777777" w:rsidR="004A0123" w:rsidRPr="00640447" w:rsidRDefault="004A0123" w:rsidP="008A5C11">
            <w:pPr>
              <w:jc w:val="center"/>
              <w:rPr>
                <w:sz w:val="13"/>
                <w:szCs w:val="13"/>
              </w:rPr>
            </w:pPr>
            <w:r w:rsidRPr="00640447">
              <w:rPr>
                <w:sz w:val="13"/>
                <w:szCs w:val="13"/>
              </w:rPr>
              <w:t>0</w:t>
            </w:r>
          </w:p>
        </w:tc>
      </w:tr>
      <w:tr w:rsidR="004A0123" w:rsidRPr="00640447" w14:paraId="30E2D88C" w14:textId="77777777" w:rsidTr="008A5C11">
        <w:trPr>
          <w:trHeight w:val="70"/>
        </w:trPr>
        <w:tc>
          <w:tcPr>
            <w:tcW w:w="2664" w:type="pct"/>
            <w:gridSpan w:val="10"/>
            <w:tcBorders>
              <w:right w:val="single" w:sz="4" w:space="0" w:color="auto"/>
            </w:tcBorders>
            <w:shd w:val="clear" w:color="auto" w:fill="auto"/>
            <w:vAlign w:val="center"/>
          </w:tcPr>
          <w:p w14:paraId="5ACF86FC" w14:textId="77777777" w:rsidR="004A0123" w:rsidRPr="00640447" w:rsidRDefault="004A0123" w:rsidP="008A5C11">
            <w:pPr>
              <w:rPr>
                <w:sz w:val="13"/>
                <w:szCs w:val="13"/>
              </w:rPr>
            </w:pPr>
            <w:r w:rsidRPr="00640447">
              <w:rPr>
                <w:sz w:val="13"/>
                <w:szCs w:val="13"/>
              </w:rPr>
              <w:t>Всего по группе 3.</w:t>
            </w:r>
          </w:p>
        </w:tc>
        <w:tc>
          <w:tcPr>
            <w:tcW w:w="180" w:type="pct"/>
            <w:tcBorders>
              <w:top w:val="nil"/>
              <w:left w:val="nil"/>
              <w:bottom w:val="single" w:sz="4" w:space="0" w:color="auto"/>
              <w:right w:val="single" w:sz="4" w:space="0" w:color="auto"/>
            </w:tcBorders>
            <w:shd w:val="clear" w:color="auto" w:fill="auto"/>
            <w:vAlign w:val="center"/>
          </w:tcPr>
          <w:p w14:paraId="667A5473" w14:textId="77777777" w:rsidR="004A0123" w:rsidRPr="00640447" w:rsidRDefault="004A0123" w:rsidP="008A5C11">
            <w:pPr>
              <w:jc w:val="center"/>
              <w:rPr>
                <w:sz w:val="13"/>
                <w:szCs w:val="13"/>
              </w:rPr>
            </w:pPr>
            <w:r w:rsidRPr="00640447">
              <w:rPr>
                <w:sz w:val="13"/>
                <w:szCs w:val="13"/>
              </w:rPr>
              <w:t>2638438</w:t>
            </w:r>
          </w:p>
        </w:tc>
        <w:tc>
          <w:tcPr>
            <w:tcW w:w="187" w:type="pct"/>
            <w:tcBorders>
              <w:top w:val="nil"/>
              <w:left w:val="nil"/>
              <w:bottom w:val="single" w:sz="4" w:space="0" w:color="auto"/>
              <w:right w:val="single" w:sz="4" w:space="0" w:color="auto"/>
            </w:tcBorders>
            <w:shd w:val="clear" w:color="auto" w:fill="auto"/>
            <w:vAlign w:val="center"/>
          </w:tcPr>
          <w:p w14:paraId="7E06B6FC" w14:textId="77777777" w:rsidR="004A0123" w:rsidRPr="00640447" w:rsidRDefault="004A0123" w:rsidP="008A5C11">
            <w:pPr>
              <w:jc w:val="center"/>
              <w:rPr>
                <w:sz w:val="13"/>
                <w:szCs w:val="13"/>
              </w:rPr>
            </w:pPr>
            <w:r w:rsidRPr="00640447">
              <w:rPr>
                <w:sz w:val="13"/>
                <w:szCs w:val="13"/>
              </w:rPr>
              <w:t>0</w:t>
            </w:r>
          </w:p>
        </w:tc>
        <w:tc>
          <w:tcPr>
            <w:tcW w:w="146" w:type="pct"/>
            <w:tcBorders>
              <w:top w:val="nil"/>
              <w:left w:val="single" w:sz="4" w:space="0" w:color="auto"/>
              <w:bottom w:val="single" w:sz="4" w:space="0" w:color="auto"/>
              <w:right w:val="single" w:sz="4" w:space="0" w:color="auto"/>
            </w:tcBorders>
            <w:shd w:val="clear" w:color="auto" w:fill="auto"/>
            <w:vAlign w:val="center"/>
          </w:tcPr>
          <w:p w14:paraId="62A6E15F" w14:textId="77777777" w:rsidR="004A0123" w:rsidRPr="00640447" w:rsidRDefault="004A0123" w:rsidP="008A5C11">
            <w:pPr>
              <w:jc w:val="center"/>
              <w:rPr>
                <w:sz w:val="13"/>
                <w:szCs w:val="13"/>
              </w:rPr>
            </w:pPr>
            <w:r w:rsidRPr="00640447">
              <w:rPr>
                <w:sz w:val="13"/>
                <w:szCs w:val="13"/>
              </w:rPr>
              <w:t>319560</w:t>
            </w:r>
          </w:p>
        </w:tc>
        <w:tc>
          <w:tcPr>
            <w:tcW w:w="149" w:type="pct"/>
            <w:tcBorders>
              <w:top w:val="nil"/>
              <w:left w:val="nil"/>
              <w:bottom w:val="single" w:sz="4" w:space="0" w:color="auto"/>
              <w:right w:val="single" w:sz="4" w:space="0" w:color="auto"/>
            </w:tcBorders>
            <w:shd w:val="clear" w:color="auto" w:fill="auto"/>
            <w:vAlign w:val="center"/>
          </w:tcPr>
          <w:p w14:paraId="3720F538" w14:textId="77777777" w:rsidR="004A0123" w:rsidRPr="00640447" w:rsidRDefault="004A0123" w:rsidP="008A5C11">
            <w:pPr>
              <w:jc w:val="center"/>
              <w:rPr>
                <w:sz w:val="13"/>
                <w:szCs w:val="13"/>
              </w:rPr>
            </w:pPr>
            <w:r w:rsidRPr="00640447">
              <w:rPr>
                <w:sz w:val="13"/>
                <w:szCs w:val="13"/>
              </w:rPr>
              <w:t>154779</w:t>
            </w:r>
          </w:p>
        </w:tc>
        <w:tc>
          <w:tcPr>
            <w:tcW w:w="183" w:type="pct"/>
            <w:tcBorders>
              <w:top w:val="nil"/>
              <w:left w:val="nil"/>
              <w:bottom w:val="single" w:sz="4" w:space="0" w:color="auto"/>
              <w:right w:val="single" w:sz="4" w:space="0" w:color="auto"/>
            </w:tcBorders>
            <w:shd w:val="clear" w:color="auto" w:fill="auto"/>
            <w:vAlign w:val="center"/>
          </w:tcPr>
          <w:p w14:paraId="066C3AEA" w14:textId="77777777" w:rsidR="004A0123" w:rsidRPr="00640447" w:rsidRDefault="004A0123" w:rsidP="008A5C11">
            <w:pPr>
              <w:jc w:val="center"/>
              <w:rPr>
                <w:sz w:val="13"/>
                <w:szCs w:val="13"/>
              </w:rPr>
            </w:pPr>
            <w:r w:rsidRPr="00640447">
              <w:rPr>
                <w:sz w:val="13"/>
                <w:szCs w:val="13"/>
              </w:rPr>
              <w:t>101889</w:t>
            </w:r>
          </w:p>
        </w:tc>
        <w:tc>
          <w:tcPr>
            <w:tcW w:w="183" w:type="pct"/>
            <w:tcBorders>
              <w:top w:val="nil"/>
              <w:left w:val="nil"/>
              <w:bottom w:val="single" w:sz="4" w:space="0" w:color="auto"/>
              <w:right w:val="single" w:sz="4" w:space="0" w:color="auto"/>
            </w:tcBorders>
            <w:shd w:val="clear" w:color="auto" w:fill="auto"/>
            <w:vAlign w:val="center"/>
          </w:tcPr>
          <w:p w14:paraId="011CE71F" w14:textId="77777777" w:rsidR="004A0123" w:rsidRPr="00640447" w:rsidRDefault="004A0123" w:rsidP="008A5C11">
            <w:pPr>
              <w:jc w:val="center"/>
              <w:rPr>
                <w:sz w:val="13"/>
                <w:szCs w:val="13"/>
              </w:rPr>
            </w:pPr>
            <w:r w:rsidRPr="00640447">
              <w:rPr>
                <w:sz w:val="13"/>
                <w:szCs w:val="13"/>
              </w:rPr>
              <w:t>52735</w:t>
            </w:r>
          </w:p>
        </w:tc>
        <w:tc>
          <w:tcPr>
            <w:tcW w:w="155" w:type="pct"/>
            <w:tcBorders>
              <w:top w:val="single" w:sz="4" w:space="0" w:color="auto"/>
              <w:left w:val="single" w:sz="4" w:space="0" w:color="auto"/>
              <w:bottom w:val="single" w:sz="4" w:space="0" w:color="auto"/>
              <w:right w:val="single" w:sz="4" w:space="0" w:color="auto"/>
            </w:tcBorders>
            <w:vAlign w:val="center"/>
          </w:tcPr>
          <w:p w14:paraId="4CDB4802" w14:textId="77777777" w:rsidR="004A0123" w:rsidRPr="00640447" w:rsidRDefault="004A0123" w:rsidP="008A5C11">
            <w:pPr>
              <w:jc w:val="center"/>
              <w:rPr>
                <w:sz w:val="13"/>
                <w:szCs w:val="13"/>
              </w:rPr>
            </w:pPr>
            <w:r w:rsidRPr="00640447">
              <w:rPr>
                <w:sz w:val="13"/>
                <w:szCs w:val="13"/>
              </w:rPr>
              <w:t>96535</w:t>
            </w:r>
          </w:p>
        </w:tc>
        <w:tc>
          <w:tcPr>
            <w:tcW w:w="154" w:type="pct"/>
            <w:tcBorders>
              <w:top w:val="single" w:sz="4" w:space="0" w:color="auto"/>
              <w:left w:val="single" w:sz="4" w:space="0" w:color="auto"/>
              <w:bottom w:val="single" w:sz="4" w:space="0" w:color="auto"/>
              <w:right w:val="single" w:sz="4" w:space="0" w:color="auto"/>
            </w:tcBorders>
            <w:vAlign w:val="center"/>
          </w:tcPr>
          <w:p w14:paraId="136653F7" w14:textId="77777777" w:rsidR="004A0123" w:rsidRPr="00640447" w:rsidRDefault="004A0123" w:rsidP="008A5C11">
            <w:pPr>
              <w:jc w:val="center"/>
              <w:rPr>
                <w:sz w:val="13"/>
                <w:szCs w:val="13"/>
              </w:rPr>
            </w:pPr>
            <w:r w:rsidRPr="00640447">
              <w:rPr>
                <w:sz w:val="13"/>
                <w:szCs w:val="13"/>
              </w:rPr>
              <w:t>230238</w:t>
            </w:r>
          </w:p>
        </w:tc>
        <w:tc>
          <w:tcPr>
            <w:tcW w:w="153" w:type="pct"/>
            <w:tcBorders>
              <w:top w:val="single" w:sz="4" w:space="0" w:color="auto"/>
              <w:left w:val="single" w:sz="4" w:space="0" w:color="auto"/>
              <w:bottom w:val="single" w:sz="4" w:space="0" w:color="auto"/>
              <w:right w:val="single" w:sz="4" w:space="0" w:color="auto"/>
            </w:tcBorders>
            <w:vAlign w:val="center"/>
          </w:tcPr>
          <w:p w14:paraId="57AFE480" w14:textId="77777777" w:rsidR="004A0123" w:rsidRPr="00640447" w:rsidRDefault="004A0123" w:rsidP="008A5C11">
            <w:pPr>
              <w:jc w:val="center"/>
              <w:rPr>
                <w:sz w:val="13"/>
                <w:szCs w:val="13"/>
              </w:rPr>
            </w:pPr>
            <w:r w:rsidRPr="00640447">
              <w:rPr>
                <w:sz w:val="13"/>
                <w:szCs w:val="13"/>
              </w:rPr>
              <w:t>297808</w:t>
            </w:r>
          </w:p>
        </w:tc>
        <w:tc>
          <w:tcPr>
            <w:tcW w:w="174" w:type="pct"/>
            <w:tcBorders>
              <w:top w:val="single" w:sz="4" w:space="0" w:color="auto"/>
              <w:left w:val="single" w:sz="4" w:space="0" w:color="auto"/>
              <w:bottom w:val="single" w:sz="4" w:space="0" w:color="auto"/>
              <w:right w:val="single" w:sz="4" w:space="0" w:color="auto"/>
            </w:tcBorders>
            <w:vAlign w:val="center"/>
          </w:tcPr>
          <w:p w14:paraId="11DDDE11" w14:textId="77777777" w:rsidR="004A0123" w:rsidRPr="00640447" w:rsidRDefault="004A0123" w:rsidP="008A5C11">
            <w:pPr>
              <w:jc w:val="center"/>
              <w:rPr>
                <w:sz w:val="13"/>
                <w:szCs w:val="13"/>
              </w:rPr>
            </w:pPr>
            <w:r w:rsidRPr="00640447">
              <w:rPr>
                <w:sz w:val="13"/>
                <w:szCs w:val="13"/>
              </w:rPr>
              <w:t>374661</w:t>
            </w:r>
          </w:p>
        </w:tc>
        <w:tc>
          <w:tcPr>
            <w:tcW w:w="156" w:type="pct"/>
            <w:tcBorders>
              <w:top w:val="single" w:sz="4" w:space="0" w:color="auto"/>
              <w:left w:val="single" w:sz="4" w:space="0" w:color="auto"/>
              <w:bottom w:val="single" w:sz="4" w:space="0" w:color="auto"/>
              <w:right w:val="single" w:sz="4" w:space="0" w:color="auto"/>
            </w:tcBorders>
            <w:vAlign w:val="center"/>
          </w:tcPr>
          <w:p w14:paraId="079CE44E" w14:textId="77777777" w:rsidR="004A0123" w:rsidRPr="00640447" w:rsidRDefault="004A0123" w:rsidP="008A5C11">
            <w:pPr>
              <w:jc w:val="center"/>
              <w:rPr>
                <w:sz w:val="13"/>
                <w:szCs w:val="13"/>
              </w:rPr>
            </w:pPr>
            <w:r w:rsidRPr="00640447">
              <w:rPr>
                <w:sz w:val="13"/>
                <w:szCs w:val="13"/>
              </w:rPr>
              <w:t>465937</w:t>
            </w:r>
          </w:p>
        </w:tc>
        <w:tc>
          <w:tcPr>
            <w:tcW w:w="146" w:type="pct"/>
            <w:tcBorders>
              <w:top w:val="single" w:sz="4" w:space="0" w:color="auto"/>
              <w:left w:val="single" w:sz="4" w:space="0" w:color="auto"/>
              <w:bottom w:val="single" w:sz="4" w:space="0" w:color="auto"/>
              <w:right w:val="single" w:sz="4" w:space="0" w:color="auto"/>
            </w:tcBorders>
            <w:vAlign w:val="center"/>
          </w:tcPr>
          <w:p w14:paraId="28EF4BAB" w14:textId="77777777" w:rsidR="004A0123" w:rsidRPr="00640447" w:rsidRDefault="004A0123" w:rsidP="008A5C11">
            <w:pPr>
              <w:jc w:val="center"/>
              <w:rPr>
                <w:sz w:val="13"/>
                <w:szCs w:val="13"/>
              </w:rPr>
            </w:pPr>
            <w:r w:rsidRPr="00640447">
              <w:rPr>
                <w:sz w:val="13"/>
                <w:szCs w:val="13"/>
              </w:rPr>
              <w:t>544299</w:t>
            </w:r>
          </w:p>
        </w:tc>
        <w:tc>
          <w:tcPr>
            <w:tcW w:w="188" w:type="pct"/>
            <w:tcBorders>
              <w:top w:val="single" w:sz="4" w:space="0" w:color="auto"/>
              <w:left w:val="single" w:sz="4" w:space="0" w:color="auto"/>
              <w:bottom w:val="single" w:sz="4" w:space="0" w:color="auto"/>
              <w:right w:val="single" w:sz="4" w:space="0" w:color="auto"/>
            </w:tcBorders>
            <w:vAlign w:val="center"/>
          </w:tcPr>
          <w:p w14:paraId="7F36B5F6" w14:textId="77777777" w:rsidR="004A0123" w:rsidRPr="00640447" w:rsidRDefault="004A0123" w:rsidP="008A5C11">
            <w:pPr>
              <w:jc w:val="center"/>
              <w:rPr>
                <w:sz w:val="13"/>
                <w:szCs w:val="13"/>
              </w:rPr>
            </w:pPr>
          </w:p>
        </w:tc>
        <w:tc>
          <w:tcPr>
            <w:tcW w:w="182" w:type="pct"/>
            <w:tcBorders>
              <w:top w:val="single" w:sz="4" w:space="0" w:color="auto"/>
              <w:left w:val="single" w:sz="4" w:space="0" w:color="auto"/>
              <w:bottom w:val="single" w:sz="4" w:space="0" w:color="auto"/>
              <w:right w:val="single" w:sz="4" w:space="0" w:color="auto"/>
            </w:tcBorders>
            <w:vAlign w:val="center"/>
          </w:tcPr>
          <w:p w14:paraId="70EF8C36" w14:textId="77777777" w:rsidR="004A0123" w:rsidRPr="00640447" w:rsidRDefault="004A0123" w:rsidP="008A5C11">
            <w:pPr>
              <w:jc w:val="center"/>
              <w:rPr>
                <w:sz w:val="13"/>
                <w:szCs w:val="13"/>
              </w:rPr>
            </w:pPr>
          </w:p>
        </w:tc>
      </w:tr>
      <w:tr w:rsidR="004A0123" w:rsidRPr="00640447" w14:paraId="7D9A566C" w14:textId="77777777" w:rsidTr="008A5C11">
        <w:trPr>
          <w:trHeight w:val="82"/>
        </w:trPr>
        <w:tc>
          <w:tcPr>
            <w:tcW w:w="5000" w:type="pct"/>
            <w:gridSpan w:val="24"/>
            <w:tcBorders>
              <w:right w:val="single" w:sz="4" w:space="0" w:color="auto"/>
            </w:tcBorders>
            <w:shd w:val="clear" w:color="auto" w:fill="auto"/>
            <w:vAlign w:val="center"/>
          </w:tcPr>
          <w:p w14:paraId="099A401D" w14:textId="77777777" w:rsidR="004A0123" w:rsidRPr="00640447" w:rsidRDefault="004A0123" w:rsidP="008A5C11">
            <w:pPr>
              <w:rPr>
                <w:sz w:val="13"/>
                <w:szCs w:val="13"/>
              </w:rPr>
            </w:pPr>
            <w:r w:rsidRPr="00640447">
              <w:rPr>
                <w:bCs/>
                <w:sz w:val="13"/>
                <w:szCs w:val="13"/>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4A0123" w:rsidRPr="00640447" w14:paraId="20C6D1B5" w14:textId="77777777" w:rsidTr="008A5C11">
        <w:trPr>
          <w:trHeight w:val="489"/>
        </w:trPr>
        <w:tc>
          <w:tcPr>
            <w:tcW w:w="146" w:type="pct"/>
            <w:shd w:val="clear" w:color="auto" w:fill="auto"/>
            <w:vAlign w:val="center"/>
          </w:tcPr>
          <w:p w14:paraId="24F26ECA" w14:textId="77777777" w:rsidR="004A0123" w:rsidRPr="00640447" w:rsidRDefault="004A0123" w:rsidP="008A5C11">
            <w:pPr>
              <w:jc w:val="center"/>
              <w:rPr>
                <w:sz w:val="13"/>
                <w:szCs w:val="13"/>
              </w:rPr>
            </w:pPr>
            <w:r w:rsidRPr="00640447">
              <w:rPr>
                <w:sz w:val="13"/>
                <w:szCs w:val="13"/>
              </w:rPr>
              <w:t>4.1.</w:t>
            </w:r>
          </w:p>
        </w:tc>
        <w:tc>
          <w:tcPr>
            <w:tcW w:w="616" w:type="pct"/>
            <w:tcBorders>
              <w:top w:val="nil"/>
              <w:left w:val="single" w:sz="4" w:space="0" w:color="auto"/>
              <w:bottom w:val="single" w:sz="4" w:space="0" w:color="auto"/>
              <w:right w:val="single" w:sz="4" w:space="0" w:color="auto"/>
            </w:tcBorders>
            <w:shd w:val="clear" w:color="auto" w:fill="auto"/>
            <w:vAlign w:val="center"/>
          </w:tcPr>
          <w:p w14:paraId="0390F11C" w14:textId="77777777" w:rsidR="004A0123" w:rsidRPr="00640447" w:rsidRDefault="004A0123" w:rsidP="008A5C11">
            <w:pPr>
              <w:rPr>
                <w:color w:val="000000"/>
                <w:sz w:val="13"/>
                <w:szCs w:val="13"/>
              </w:rPr>
            </w:pPr>
            <w:r w:rsidRPr="00640447">
              <w:rPr>
                <w:color w:val="000000"/>
                <w:sz w:val="13"/>
                <w:szCs w:val="13"/>
              </w:rPr>
              <w:t>Проектирование и установка узлов учета тепловой энергии на котельных и ЦТП г. Ленинеск-Кузнецкий</w:t>
            </w:r>
          </w:p>
        </w:tc>
        <w:tc>
          <w:tcPr>
            <w:tcW w:w="359" w:type="pct"/>
            <w:tcBorders>
              <w:top w:val="nil"/>
              <w:left w:val="nil"/>
              <w:bottom w:val="single" w:sz="4" w:space="0" w:color="auto"/>
              <w:right w:val="single" w:sz="4" w:space="0" w:color="auto"/>
            </w:tcBorders>
            <w:shd w:val="clear" w:color="auto" w:fill="auto"/>
            <w:vAlign w:val="center"/>
          </w:tcPr>
          <w:p w14:paraId="6A7E7BB6" w14:textId="77777777" w:rsidR="004A0123" w:rsidRPr="00640447" w:rsidRDefault="004A0123" w:rsidP="008A5C11">
            <w:pPr>
              <w:jc w:val="center"/>
              <w:rPr>
                <w:color w:val="000000"/>
                <w:sz w:val="13"/>
                <w:szCs w:val="13"/>
              </w:rPr>
            </w:pPr>
            <w:r w:rsidRPr="00640447">
              <w:rPr>
                <w:color w:val="000000"/>
                <w:sz w:val="13"/>
                <w:szCs w:val="13"/>
              </w:rPr>
              <w:t xml:space="preserve">Повышение эффективности работы систем </w:t>
            </w:r>
            <w:proofErr w:type="gramStart"/>
            <w:r w:rsidRPr="00640447">
              <w:rPr>
                <w:color w:val="000000"/>
                <w:sz w:val="13"/>
                <w:szCs w:val="13"/>
              </w:rPr>
              <w:t>централизован-ного</w:t>
            </w:r>
            <w:proofErr w:type="gramEnd"/>
            <w:r w:rsidRPr="00640447">
              <w:rPr>
                <w:color w:val="000000"/>
                <w:sz w:val="13"/>
                <w:szCs w:val="13"/>
              </w:rPr>
              <w:t xml:space="preserve"> теплоснабжения</w:t>
            </w:r>
          </w:p>
        </w:tc>
        <w:tc>
          <w:tcPr>
            <w:tcW w:w="360" w:type="pct"/>
            <w:tcBorders>
              <w:top w:val="nil"/>
              <w:left w:val="nil"/>
              <w:bottom w:val="single" w:sz="4" w:space="0" w:color="auto"/>
              <w:right w:val="single" w:sz="4" w:space="0" w:color="auto"/>
            </w:tcBorders>
            <w:shd w:val="clear" w:color="auto" w:fill="auto"/>
            <w:vAlign w:val="center"/>
          </w:tcPr>
          <w:p w14:paraId="115CEC55" w14:textId="77777777" w:rsidR="004A0123" w:rsidRPr="00640447" w:rsidRDefault="004A0123" w:rsidP="008A5C11">
            <w:pPr>
              <w:jc w:val="center"/>
              <w:rPr>
                <w:color w:val="000000"/>
                <w:sz w:val="13"/>
                <w:szCs w:val="13"/>
              </w:rPr>
            </w:pPr>
            <w:r w:rsidRPr="00640447">
              <w:rPr>
                <w:color w:val="000000"/>
                <w:sz w:val="13"/>
                <w:szCs w:val="13"/>
              </w:rPr>
              <w:t>г. Ленинск-Кузнецкий</w:t>
            </w:r>
          </w:p>
        </w:tc>
        <w:tc>
          <w:tcPr>
            <w:tcW w:w="338" w:type="pct"/>
            <w:tcBorders>
              <w:top w:val="nil"/>
              <w:left w:val="nil"/>
              <w:bottom w:val="single" w:sz="4" w:space="0" w:color="auto"/>
              <w:right w:val="single" w:sz="4" w:space="0" w:color="auto"/>
            </w:tcBorders>
            <w:shd w:val="clear" w:color="auto" w:fill="auto"/>
            <w:vAlign w:val="center"/>
          </w:tcPr>
          <w:p w14:paraId="34E32BFB" w14:textId="77777777" w:rsidR="004A0123" w:rsidRPr="00640447" w:rsidRDefault="004A0123" w:rsidP="008A5C11">
            <w:pPr>
              <w:jc w:val="center"/>
              <w:rPr>
                <w:sz w:val="13"/>
                <w:szCs w:val="13"/>
              </w:rPr>
            </w:pPr>
            <w:r w:rsidRPr="00640447">
              <w:rPr>
                <w:sz w:val="13"/>
                <w:szCs w:val="13"/>
              </w:rPr>
              <w:t>Наличие</w:t>
            </w:r>
          </w:p>
        </w:tc>
        <w:tc>
          <w:tcPr>
            <w:tcW w:w="116" w:type="pct"/>
            <w:tcBorders>
              <w:top w:val="nil"/>
              <w:left w:val="nil"/>
              <w:bottom w:val="single" w:sz="4" w:space="0" w:color="auto"/>
              <w:right w:val="single" w:sz="4" w:space="0" w:color="auto"/>
            </w:tcBorders>
            <w:shd w:val="clear" w:color="auto" w:fill="auto"/>
            <w:vAlign w:val="center"/>
          </w:tcPr>
          <w:p w14:paraId="0A1B1161" w14:textId="77777777" w:rsidR="004A0123" w:rsidRPr="00640447" w:rsidRDefault="004A0123" w:rsidP="008A5C11">
            <w:pPr>
              <w:jc w:val="center"/>
              <w:rPr>
                <w:sz w:val="13"/>
                <w:szCs w:val="13"/>
              </w:rPr>
            </w:pPr>
            <w:r w:rsidRPr="00640447">
              <w:rPr>
                <w:sz w:val="13"/>
                <w:szCs w:val="13"/>
              </w:rPr>
              <w:t>ед.</w:t>
            </w:r>
          </w:p>
        </w:tc>
        <w:tc>
          <w:tcPr>
            <w:tcW w:w="182" w:type="pct"/>
            <w:tcBorders>
              <w:top w:val="nil"/>
              <w:left w:val="single" w:sz="4" w:space="0" w:color="auto"/>
              <w:bottom w:val="single" w:sz="4" w:space="0" w:color="auto"/>
              <w:right w:val="single" w:sz="4" w:space="0" w:color="auto"/>
            </w:tcBorders>
            <w:shd w:val="clear" w:color="auto" w:fill="auto"/>
            <w:vAlign w:val="center"/>
          </w:tcPr>
          <w:p w14:paraId="4B767DDF" w14:textId="77777777" w:rsidR="004A0123" w:rsidRPr="00640447" w:rsidRDefault="004A0123" w:rsidP="008A5C11">
            <w:pPr>
              <w:jc w:val="center"/>
              <w:rPr>
                <w:sz w:val="13"/>
                <w:szCs w:val="13"/>
              </w:rPr>
            </w:pPr>
            <w:r w:rsidRPr="00640447">
              <w:rPr>
                <w:sz w:val="13"/>
                <w:szCs w:val="13"/>
              </w:rPr>
              <w:t>0</w:t>
            </w:r>
          </w:p>
        </w:tc>
        <w:tc>
          <w:tcPr>
            <w:tcW w:w="174" w:type="pct"/>
            <w:tcBorders>
              <w:top w:val="nil"/>
              <w:left w:val="nil"/>
              <w:bottom w:val="single" w:sz="4" w:space="0" w:color="auto"/>
              <w:right w:val="single" w:sz="4" w:space="0" w:color="auto"/>
            </w:tcBorders>
            <w:shd w:val="clear" w:color="auto" w:fill="auto"/>
            <w:vAlign w:val="center"/>
          </w:tcPr>
          <w:p w14:paraId="1BC7A05E" w14:textId="77777777" w:rsidR="004A0123" w:rsidRPr="00640447" w:rsidRDefault="004A0123" w:rsidP="008A5C11">
            <w:pPr>
              <w:jc w:val="center"/>
              <w:rPr>
                <w:sz w:val="13"/>
                <w:szCs w:val="13"/>
              </w:rPr>
            </w:pPr>
            <w:r w:rsidRPr="00640447">
              <w:rPr>
                <w:sz w:val="13"/>
                <w:szCs w:val="13"/>
              </w:rPr>
              <w:t>24</w:t>
            </w:r>
          </w:p>
        </w:tc>
        <w:tc>
          <w:tcPr>
            <w:tcW w:w="189" w:type="pct"/>
            <w:tcBorders>
              <w:top w:val="nil"/>
              <w:left w:val="nil"/>
              <w:bottom w:val="single" w:sz="4" w:space="0" w:color="auto"/>
              <w:right w:val="single" w:sz="4" w:space="0" w:color="auto"/>
            </w:tcBorders>
            <w:shd w:val="clear" w:color="auto" w:fill="auto"/>
            <w:vAlign w:val="center"/>
          </w:tcPr>
          <w:p w14:paraId="545FED25" w14:textId="77777777" w:rsidR="004A0123" w:rsidRPr="00640447" w:rsidRDefault="004A0123" w:rsidP="008A5C11">
            <w:pPr>
              <w:jc w:val="center"/>
              <w:rPr>
                <w:sz w:val="13"/>
                <w:szCs w:val="13"/>
              </w:rPr>
            </w:pPr>
            <w:r w:rsidRPr="00640447">
              <w:rPr>
                <w:sz w:val="13"/>
                <w:szCs w:val="13"/>
              </w:rPr>
              <w:t>2021</w:t>
            </w:r>
          </w:p>
        </w:tc>
        <w:tc>
          <w:tcPr>
            <w:tcW w:w="184" w:type="pct"/>
            <w:tcBorders>
              <w:top w:val="nil"/>
              <w:left w:val="nil"/>
              <w:bottom w:val="single" w:sz="4" w:space="0" w:color="auto"/>
              <w:right w:val="single" w:sz="4" w:space="0" w:color="auto"/>
            </w:tcBorders>
            <w:shd w:val="clear" w:color="auto" w:fill="auto"/>
            <w:vAlign w:val="center"/>
          </w:tcPr>
          <w:p w14:paraId="7F198AB7" w14:textId="77777777" w:rsidR="004A0123" w:rsidRPr="00640447" w:rsidRDefault="004A0123" w:rsidP="008A5C11">
            <w:pPr>
              <w:jc w:val="center"/>
              <w:rPr>
                <w:sz w:val="13"/>
                <w:szCs w:val="13"/>
              </w:rPr>
            </w:pPr>
            <w:r w:rsidRPr="00640447">
              <w:rPr>
                <w:sz w:val="13"/>
                <w:szCs w:val="13"/>
              </w:rPr>
              <w:t>2023</w:t>
            </w:r>
          </w:p>
        </w:tc>
        <w:tc>
          <w:tcPr>
            <w:tcW w:w="180" w:type="pct"/>
            <w:tcBorders>
              <w:top w:val="nil"/>
              <w:left w:val="nil"/>
              <w:bottom w:val="single" w:sz="4" w:space="0" w:color="auto"/>
              <w:right w:val="single" w:sz="4" w:space="0" w:color="auto"/>
            </w:tcBorders>
            <w:shd w:val="clear" w:color="auto" w:fill="auto"/>
            <w:vAlign w:val="center"/>
          </w:tcPr>
          <w:p w14:paraId="11EB8C5D" w14:textId="77777777" w:rsidR="004A0123" w:rsidRPr="00640447" w:rsidRDefault="004A0123" w:rsidP="008A5C11">
            <w:pPr>
              <w:jc w:val="center"/>
              <w:rPr>
                <w:sz w:val="13"/>
                <w:szCs w:val="13"/>
              </w:rPr>
            </w:pPr>
            <w:r w:rsidRPr="00640447">
              <w:rPr>
                <w:sz w:val="13"/>
                <w:szCs w:val="13"/>
              </w:rPr>
              <w:t>30655</w:t>
            </w:r>
          </w:p>
        </w:tc>
        <w:tc>
          <w:tcPr>
            <w:tcW w:w="187" w:type="pct"/>
            <w:tcBorders>
              <w:top w:val="nil"/>
              <w:left w:val="nil"/>
              <w:bottom w:val="single" w:sz="4" w:space="0" w:color="auto"/>
              <w:right w:val="single" w:sz="4" w:space="0" w:color="auto"/>
            </w:tcBorders>
            <w:shd w:val="clear" w:color="auto" w:fill="auto"/>
            <w:vAlign w:val="center"/>
          </w:tcPr>
          <w:p w14:paraId="14748542" w14:textId="77777777" w:rsidR="004A0123" w:rsidRPr="00640447" w:rsidRDefault="004A0123" w:rsidP="008A5C11">
            <w:pPr>
              <w:jc w:val="center"/>
              <w:rPr>
                <w:sz w:val="13"/>
                <w:szCs w:val="13"/>
              </w:rPr>
            </w:pPr>
            <w:r w:rsidRPr="00640447">
              <w:rPr>
                <w:sz w:val="13"/>
                <w:szCs w:val="13"/>
              </w:rPr>
              <w:t>0</w:t>
            </w:r>
          </w:p>
        </w:tc>
        <w:tc>
          <w:tcPr>
            <w:tcW w:w="146" w:type="pct"/>
            <w:tcBorders>
              <w:top w:val="nil"/>
              <w:left w:val="single" w:sz="4" w:space="0" w:color="auto"/>
              <w:bottom w:val="single" w:sz="4" w:space="0" w:color="auto"/>
              <w:right w:val="single" w:sz="4" w:space="0" w:color="auto"/>
            </w:tcBorders>
            <w:shd w:val="clear" w:color="auto" w:fill="auto"/>
            <w:vAlign w:val="center"/>
          </w:tcPr>
          <w:p w14:paraId="5528F4AA" w14:textId="77777777" w:rsidR="004A0123" w:rsidRPr="00640447" w:rsidRDefault="004A0123" w:rsidP="008A5C11">
            <w:pPr>
              <w:jc w:val="center"/>
              <w:rPr>
                <w:sz w:val="13"/>
                <w:szCs w:val="13"/>
              </w:rPr>
            </w:pPr>
            <w:r w:rsidRPr="00640447">
              <w:rPr>
                <w:sz w:val="13"/>
                <w:szCs w:val="13"/>
              </w:rPr>
              <w:t>0</w:t>
            </w:r>
          </w:p>
        </w:tc>
        <w:tc>
          <w:tcPr>
            <w:tcW w:w="149" w:type="pct"/>
            <w:tcBorders>
              <w:top w:val="nil"/>
              <w:left w:val="nil"/>
              <w:bottom w:val="single" w:sz="4" w:space="0" w:color="auto"/>
              <w:right w:val="single" w:sz="4" w:space="0" w:color="auto"/>
            </w:tcBorders>
            <w:shd w:val="clear" w:color="auto" w:fill="auto"/>
            <w:vAlign w:val="center"/>
          </w:tcPr>
          <w:p w14:paraId="1F3F06BC" w14:textId="77777777" w:rsidR="004A0123" w:rsidRPr="00640447" w:rsidRDefault="004A0123" w:rsidP="008A5C11">
            <w:pPr>
              <w:jc w:val="center"/>
              <w:rPr>
                <w:sz w:val="13"/>
                <w:szCs w:val="13"/>
              </w:rPr>
            </w:pPr>
            <w:r w:rsidRPr="00640447">
              <w:rPr>
                <w:sz w:val="13"/>
                <w:szCs w:val="13"/>
              </w:rPr>
              <w:t>0</w:t>
            </w:r>
          </w:p>
        </w:tc>
        <w:tc>
          <w:tcPr>
            <w:tcW w:w="183" w:type="pct"/>
            <w:tcBorders>
              <w:top w:val="nil"/>
              <w:left w:val="nil"/>
              <w:bottom w:val="single" w:sz="4" w:space="0" w:color="auto"/>
              <w:right w:val="single" w:sz="4" w:space="0" w:color="auto"/>
            </w:tcBorders>
            <w:shd w:val="clear" w:color="auto" w:fill="auto"/>
            <w:vAlign w:val="center"/>
          </w:tcPr>
          <w:p w14:paraId="4FF22021" w14:textId="77777777" w:rsidR="004A0123" w:rsidRPr="00640447" w:rsidRDefault="004A0123" w:rsidP="008A5C11">
            <w:pPr>
              <w:jc w:val="center"/>
              <w:rPr>
                <w:sz w:val="13"/>
                <w:szCs w:val="13"/>
              </w:rPr>
            </w:pPr>
            <w:r w:rsidRPr="00640447">
              <w:rPr>
                <w:sz w:val="13"/>
                <w:szCs w:val="13"/>
              </w:rPr>
              <w:t>7091</w:t>
            </w:r>
          </w:p>
        </w:tc>
        <w:tc>
          <w:tcPr>
            <w:tcW w:w="183" w:type="pct"/>
            <w:tcBorders>
              <w:top w:val="nil"/>
              <w:left w:val="nil"/>
              <w:bottom w:val="single" w:sz="4" w:space="0" w:color="auto"/>
              <w:right w:val="single" w:sz="4" w:space="0" w:color="auto"/>
            </w:tcBorders>
            <w:shd w:val="clear" w:color="auto" w:fill="auto"/>
            <w:vAlign w:val="center"/>
          </w:tcPr>
          <w:p w14:paraId="16C776EB" w14:textId="77777777" w:rsidR="004A0123" w:rsidRPr="00640447" w:rsidRDefault="004A0123" w:rsidP="008A5C11">
            <w:pPr>
              <w:jc w:val="center"/>
              <w:rPr>
                <w:sz w:val="13"/>
                <w:szCs w:val="13"/>
              </w:rPr>
            </w:pPr>
            <w:r w:rsidRPr="00640447">
              <w:rPr>
                <w:sz w:val="13"/>
                <w:szCs w:val="13"/>
              </w:rPr>
              <w:t>10103</w:t>
            </w:r>
          </w:p>
        </w:tc>
        <w:tc>
          <w:tcPr>
            <w:tcW w:w="155" w:type="pct"/>
            <w:tcBorders>
              <w:top w:val="single" w:sz="4" w:space="0" w:color="auto"/>
              <w:left w:val="single" w:sz="4" w:space="0" w:color="auto"/>
              <w:bottom w:val="single" w:sz="4" w:space="0" w:color="auto"/>
              <w:right w:val="single" w:sz="4" w:space="0" w:color="auto"/>
            </w:tcBorders>
            <w:vAlign w:val="center"/>
          </w:tcPr>
          <w:p w14:paraId="7D29E28B" w14:textId="77777777" w:rsidR="004A0123" w:rsidRPr="00640447" w:rsidRDefault="004A0123" w:rsidP="008A5C11">
            <w:pPr>
              <w:jc w:val="center"/>
              <w:rPr>
                <w:sz w:val="13"/>
                <w:szCs w:val="13"/>
              </w:rPr>
            </w:pPr>
            <w:r w:rsidRPr="00640447">
              <w:rPr>
                <w:sz w:val="13"/>
                <w:szCs w:val="13"/>
              </w:rPr>
              <w:t>13461</w:t>
            </w:r>
          </w:p>
        </w:tc>
        <w:tc>
          <w:tcPr>
            <w:tcW w:w="154" w:type="pct"/>
            <w:tcBorders>
              <w:top w:val="single" w:sz="4" w:space="0" w:color="auto"/>
              <w:left w:val="single" w:sz="4" w:space="0" w:color="auto"/>
              <w:bottom w:val="single" w:sz="4" w:space="0" w:color="auto"/>
              <w:right w:val="single" w:sz="4" w:space="0" w:color="auto"/>
            </w:tcBorders>
            <w:vAlign w:val="center"/>
          </w:tcPr>
          <w:p w14:paraId="4AE4F225" w14:textId="77777777" w:rsidR="004A0123" w:rsidRPr="00640447" w:rsidRDefault="004A0123" w:rsidP="008A5C11">
            <w:pPr>
              <w:jc w:val="center"/>
              <w:rPr>
                <w:sz w:val="13"/>
                <w:szCs w:val="13"/>
              </w:rPr>
            </w:pPr>
            <w:r w:rsidRPr="00640447">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4C2A54D3" w14:textId="77777777" w:rsidR="004A0123" w:rsidRPr="00640447" w:rsidRDefault="004A0123" w:rsidP="008A5C11">
            <w:pPr>
              <w:jc w:val="center"/>
              <w:rPr>
                <w:sz w:val="13"/>
                <w:szCs w:val="13"/>
              </w:rPr>
            </w:pPr>
            <w:r w:rsidRPr="00640447">
              <w:rPr>
                <w:sz w:val="13"/>
                <w:szCs w:val="13"/>
              </w:rPr>
              <w:t>0</w:t>
            </w:r>
          </w:p>
        </w:tc>
        <w:tc>
          <w:tcPr>
            <w:tcW w:w="174" w:type="pct"/>
            <w:tcBorders>
              <w:top w:val="single" w:sz="4" w:space="0" w:color="auto"/>
              <w:left w:val="single" w:sz="4" w:space="0" w:color="auto"/>
              <w:bottom w:val="single" w:sz="4" w:space="0" w:color="auto"/>
              <w:right w:val="single" w:sz="4" w:space="0" w:color="auto"/>
            </w:tcBorders>
            <w:vAlign w:val="center"/>
          </w:tcPr>
          <w:p w14:paraId="0F050543" w14:textId="77777777" w:rsidR="004A0123" w:rsidRPr="00640447" w:rsidRDefault="004A0123" w:rsidP="008A5C11">
            <w:pPr>
              <w:jc w:val="center"/>
              <w:rPr>
                <w:sz w:val="13"/>
                <w:szCs w:val="13"/>
              </w:rPr>
            </w:pPr>
            <w:r w:rsidRPr="00640447">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4EA79050" w14:textId="77777777" w:rsidR="004A0123" w:rsidRPr="00640447" w:rsidRDefault="004A0123" w:rsidP="008A5C11">
            <w:pPr>
              <w:jc w:val="center"/>
              <w:rPr>
                <w:sz w:val="13"/>
                <w:szCs w:val="13"/>
              </w:rPr>
            </w:pPr>
            <w:r w:rsidRPr="00640447">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0D583704" w14:textId="77777777" w:rsidR="004A0123" w:rsidRPr="00640447" w:rsidRDefault="004A0123" w:rsidP="008A5C11">
            <w:pPr>
              <w:jc w:val="center"/>
              <w:rPr>
                <w:sz w:val="13"/>
                <w:szCs w:val="13"/>
              </w:rPr>
            </w:pPr>
            <w:r w:rsidRPr="00640447">
              <w:rPr>
                <w:sz w:val="13"/>
                <w:szCs w:val="13"/>
              </w:rPr>
              <w:t>0</w:t>
            </w:r>
          </w:p>
        </w:tc>
        <w:tc>
          <w:tcPr>
            <w:tcW w:w="188" w:type="pct"/>
            <w:tcBorders>
              <w:top w:val="single" w:sz="4" w:space="0" w:color="auto"/>
              <w:left w:val="single" w:sz="4" w:space="0" w:color="auto"/>
              <w:bottom w:val="single" w:sz="4" w:space="0" w:color="auto"/>
              <w:right w:val="single" w:sz="4" w:space="0" w:color="auto"/>
            </w:tcBorders>
            <w:vAlign w:val="center"/>
          </w:tcPr>
          <w:p w14:paraId="0C4341CA" w14:textId="77777777" w:rsidR="004A0123" w:rsidRPr="00640447" w:rsidRDefault="004A0123" w:rsidP="008A5C11">
            <w:pPr>
              <w:jc w:val="center"/>
              <w:rPr>
                <w:sz w:val="13"/>
                <w:szCs w:val="13"/>
              </w:rPr>
            </w:pPr>
            <w:r w:rsidRPr="00640447">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0B3F91BE" w14:textId="77777777" w:rsidR="004A0123" w:rsidRPr="00640447" w:rsidRDefault="004A0123" w:rsidP="008A5C11">
            <w:pPr>
              <w:jc w:val="center"/>
              <w:rPr>
                <w:sz w:val="13"/>
                <w:szCs w:val="13"/>
              </w:rPr>
            </w:pPr>
            <w:r w:rsidRPr="00640447">
              <w:rPr>
                <w:sz w:val="13"/>
                <w:szCs w:val="13"/>
              </w:rPr>
              <w:t>0</w:t>
            </w:r>
          </w:p>
        </w:tc>
      </w:tr>
      <w:tr w:rsidR="004A0123" w:rsidRPr="00640447" w14:paraId="111F1CD6" w14:textId="77777777" w:rsidTr="008A5C11">
        <w:trPr>
          <w:trHeight w:val="489"/>
        </w:trPr>
        <w:tc>
          <w:tcPr>
            <w:tcW w:w="146" w:type="pct"/>
            <w:shd w:val="clear" w:color="auto" w:fill="auto"/>
            <w:vAlign w:val="center"/>
          </w:tcPr>
          <w:p w14:paraId="0667E2A0" w14:textId="77777777" w:rsidR="004A0123" w:rsidRPr="00640447" w:rsidRDefault="004A0123" w:rsidP="008A5C11">
            <w:pPr>
              <w:jc w:val="center"/>
              <w:rPr>
                <w:sz w:val="13"/>
                <w:szCs w:val="13"/>
              </w:rPr>
            </w:pPr>
            <w:r w:rsidRPr="00640447">
              <w:rPr>
                <w:sz w:val="13"/>
                <w:szCs w:val="13"/>
              </w:rPr>
              <w:t>4.2.</w:t>
            </w:r>
          </w:p>
        </w:tc>
        <w:tc>
          <w:tcPr>
            <w:tcW w:w="616" w:type="pct"/>
            <w:tcBorders>
              <w:top w:val="nil"/>
              <w:left w:val="single" w:sz="4" w:space="0" w:color="auto"/>
              <w:bottom w:val="single" w:sz="4" w:space="0" w:color="auto"/>
              <w:right w:val="single" w:sz="4" w:space="0" w:color="auto"/>
            </w:tcBorders>
            <w:shd w:val="clear" w:color="auto" w:fill="auto"/>
            <w:vAlign w:val="center"/>
          </w:tcPr>
          <w:p w14:paraId="5A6DCDBE" w14:textId="77777777" w:rsidR="004A0123" w:rsidRPr="00640447" w:rsidRDefault="004A0123" w:rsidP="008A5C11">
            <w:pPr>
              <w:rPr>
                <w:color w:val="000000"/>
                <w:sz w:val="13"/>
                <w:szCs w:val="13"/>
              </w:rPr>
            </w:pPr>
            <w:r w:rsidRPr="00640447">
              <w:rPr>
                <w:color w:val="000000"/>
                <w:sz w:val="13"/>
                <w:szCs w:val="13"/>
              </w:rPr>
              <w:t>Проектирование и установка конвейерных весов на котельных г. Ленинск-Кузнецкий - 6 шт.</w:t>
            </w:r>
          </w:p>
        </w:tc>
        <w:tc>
          <w:tcPr>
            <w:tcW w:w="359" w:type="pct"/>
            <w:tcBorders>
              <w:top w:val="nil"/>
              <w:left w:val="nil"/>
              <w:bottom w:val="single" w:sz="4" w:space="0" w:color="auto"/>
              <w:right w:val="single" w:sz="4" w:space="0" w:color="auto"/>
            </w:tcBorders>
            <w:shd w:val="clear" w:color="auto" w:fill="auto"/>
            <w:vAlign w:val="center"/>
          </w:tcPr>
          <w:p w14:paraId="417AE603" w14:textId="77777777" w:rsidR="004A0123" w:rsidRPr="00640447" w:rsidRDefault="004A0123" w:rsidP="008A5C11">
            <w:pPr>
              <w:jc w:val="center"/>
              <w:rPr>
                <w:color w:val="000000"/>
                <w:sz w:val="13"/>
                <w:szCs w:val="13"/>
              </w:rPr>
            </w:pPr>
            <w:r w:rsidRPr="00640447">
              <w:rPr>
                <w:color w:val="000000"/>
                <w:sz w:val="13"/>
                <w:szCs w:val="13"/>
              </w:rPr>
              <w:t xml:space="preserve">Повышение эффективности работы систем </w:t>
            </w:r>
            <w:proofErr w:type="gramStart"/>
            <w:r w:rsidRPr="00640447">
              <w:rPr>
                <w:color w:val="000000"/>
                <w:sz w:val="13"/>
                <w:szCs w:val="13"/>
              </w:rPr>
              <w:t>централизован-ного</w:t>
            </w:r>
            <w:proofErr w:type="gramEnd"/>
            <w:r w:rsidRPr="00640447">
              <w:rPr>
                <w:color w:val="000000"/>
                <w:sz w:val="13"/>
                <w:szCs w:val="13"/>
              </w:rPr>
              <w:t xml:space="preserve"> теплоснабжения</w:t>
            </w:r>
          </w:p>
        </w:tc>
        <w:tc>
          <w:tcPr>
            <w:tcW w:w="360" w:type="pct"/>
            <w:tcBorders>
              <w:top w:val="nil"/>
              <w:left w:val="nil"/>
              <w:bottom w:val="single" w:sz="4" w:space="0" w:color="auto"/>
              <w:right w:val="single" w:sz="4" w:space="0" w:color="auto"/>
            </w:tcBorders>
            <w:shd w:val="clear" w:color="auto" w:fill="auto"/>
            <w:vAlign w:val="center"/>
          </w:tcPr>
          <w:p w14:paraId="22D6E1D3" w14:textId="77777777" w:rsidR="004A0123" w:rsidRPr="00640447" w:rsidRDefault="004A0123" w:rsidP="008A5C11">
            <w:pPr>
              <w:jc w:val="center"/>
              <w:rPr>
                <w:color w:val="000000"/>
                <w:sz w:val="13"/>
                <w:szCs w:val="13"/>
              </w:rPr>
            </w:pPr>
            <w:r w:rsidRPr="00640447">
              <w:rPr>
                <w:color w:val="000000"/>
                <w:sz w:val="13"/>
                <w:szCs w:val="13"/>
              </w:rPr>
              <w:t>г. Ленинск-Кузнецкий</w:t>
            </w:r>
          </w:p>
        </w:tc>
        <w:tc>
          <w:tcPr>
            <w:tcW w:w="338" w:type="pct"/>
            <w:tcBorders>
              <w:top w:val="nil"/>
              <w:left w:val="nil"/>
              <w:bottom w:val="single" w:sz="4" w:space="0" w:color="auto"/>
              <w:right w:val="single" w:sz="4" w:space="0" w:color="auto"/>
            </w:tcBorders>
            <w:shd w:val="clear" w:color="auto" w:fill="auto"/>
            <w:vAlign w:val="center"/>
          </w:tcPr>
          <w:p w14:paraId="28A2223D" w14:textId="77777777" w:rsidR="004A0123" w:rsidRPr="00640447" w:rsidRDefault="004A0123" w:rsidP="008A5C11">
            <w:pPr>
              <w:jc w:val="center"/>
              <w:rPr>
                <w:sz w:val="13"/>
                <w:szCs w:val="13"/>
              </w:rPr>
            </w:pPr>
            <w:r w:rsidRPr="00640447">
              <w:rPr>
                <w:sz w:val="13"/>
                <w:szCs w:val="13"/>
              </w:rPr>
              <w:t>Наличие</w:t>
            </w:r>
          </w:p>
        </w:tc>
        <w:tc>
          <w:tcPr>
            <w:tcW w:w="116" w:type="pct"/>
            <w:tcBorders>
              <w:top w:val="nil"/>
              <w:left w:val="nil"/>
              <w:bottom w:val="single" w:sz="4" w:space="0" w:color="auto"/>
              <w:right w:val="single" w:sz="4" w:space="0" w:color="auto"/>
            </w:tcBorders>
            <w:shd w:val="clear" w:color="auto" w:fill="auto"/>
            <w:vAlign w:val="center"/>
          </w:tcPr>
          <w:p w14:paraId="6F0835AE" w14:textId="77777777" w:rsidR="004A0123" w:rsidRPr="00640447" w:rsidRDefault="004A0123" w:rsidP="008A5C11">
            <w:pPr>
              <w:jc w:val="center"/>
              <w:rPr>
                <w:sz w:val="13"/>
                <w:szCs w:val="13"/>
              </w:rPr>
            </w:pPr>
            <w:r w:rsidRPr="00640447">
              <w:rPr>
                <w:sz w:val="13"/>
                <w:szCs w:val="13"/>
              </w:rPr>
              <w:t>ед.</w:t>
            </w:r>
          </w:p>
        </w:tc>
        <w:tc>
          <w:tcPr>
            <w:tcW w:w="182" w:type="pct"/>
            <w:tcBorders>
              <w:top w:val="nil"/>
              <w:left w:val="single" w:sz="4" w:space="0" w:color="auto"/>
              <w:bottom w:val="single" w:sz="4" w:space="0" w:color="auto"/>
              <w:right w:val="single" w:sz="4" w:space="0" w:color="auto"/>
            </w:tcBorders>
            <w:shd w:val="clear" w:color="auto" w:fill="auto"/>
            <w:vAlign w:val="center"/>
          </w:tcPr>
          <w:p w14:paraId="290044E8" w14:textId="77777777" w:rsidR="004A0123" w:rsidRPr="00640447" w:rsidRDefault="004A0123" w:rsidP="008A5C11">
            <w:pPr>
              <w:jc w:val="center"/>
              <w:rPr>
                <w:sz w:val="13"/>
                <w:szCs w:val="13"/>
              </w:rPr>
            </w:pPr>
            <w:r w:rsidRPr="00640447">
              <w:rPr>
                <w:sz w:val="13"/>
                <w:szCs w:val="13"/>
              </w:rPr>
              <w:t>0</w:t>
            </w:r>
          </w:p>
        </w:tc>
        <w:tc>
          <w:tcPr>
            <w:tcW w:w="174" w:type="pct"/>
            <w:tcBorders>
              <w:top w:val="nil"/>
              <w:left w:val="nil"/>
              <w:bottom w:val="single" w:sz="4" w:space="0" w:color="auto"/>
              <w:right w:val="single" w:sz="4" w:space="0" w:color="auto"/>
            </w:tcBorders>
            <w:shd w:val="clear" w:color="auto" w:fill="auto"/>
            <w:vAlign w:val="center"/>
          </w:tcPr>
          <w:p w14:paraId="0A6032F4" w14:textId="77777777" w:rsidR="004A0123" w:rsidRPr="00640447" w:rsidRDefault="004A0123" w:rsidP="008A5C11">
            <w:pPr>
              <w:jc w:val="center"/>
              <w:rPr>
                <w:sz w:val="13"/>
                <w:szCs w:val="13"/>
              </w:rPr>
            </w:pPr>
            <w:r w:rsidRPr="00640447">
              <w:rPr>
                <w:sz w:val="13"/>
                <w:szCs w:val="13"/>
              </w:rPr>
              <w:t>6</w:t>
            </w:r>
          </w:p>
        </w:tc>
        <w:tc>
          <w:tcPr>
            <w:tcW w:w="189" w:type="pct"/>
            <w:tcBorders>
              <w:top w:val="nil"/>
              <w:left w:val="nil"/>
              <w:bottom w:val="single" w:sz="4" w:space="0" w:color="auto"/>
              <w:right w:val="single" w:sz="4" w:space="0" w:color="auto"/>
            </w:tcBorders>
            <w:shd w:val="clear" w:color="auto" w:fill="auto"/>
            <w:vAlign w:val="center"/>
          </w:tcPr>
          <w:p w14:paraId="278F76BC" w14:textId="77777777" w:rsidR="004A0123" w:rsidRPr="00640447" w:rsidRDefault="004A0123" w:rsidP="008A5C11">
            <w:pPr>
              <w:jc w:val="center"/>
              <w:rPr>
                <w:sz w:val="13"/>
                <w:szCs w:val="13"/>
              </w:rPr>
            </w:pPr>
            <w:r w:rsidRPr="00640447">
              <w:rPr>
                <w:sz w:val="13"/>
                <w:szCs w:val="13"/>
              </w:rPr>
              <w:t>2021</w:t>
            </w:r>
          </w:p>
        </w:tc>
        <w:tc>
          <w:tcPr>
            <w:tcW w:w="184" w:type="pct"/>
            <w:tcBorders>
              <w:top w:val="nil"/>
              <w:left w:val="nil"/>
              <w:bottom w:val="single" w:sz="4" w:space="0" w:color="auto"/>
              <w:right w:val="single" w:sz="4" w:space="0" w:color="auto"/>
            </w:tcBorders>
            <w:shd w:val="clear" w:color="auto" w:fill="auto"/>
            <w:vAlign w:val="center"/>
          </w:tcPr>
          <w:p w14:paraId="45CAD7B3" w14:textId="77777777" w:rsidR="004A0123" w:rsidRPr="00640447" w:rsidRDefault="004A0123" w:rsidP="008A5C11">
            <w:pPr>
              <w:jc w:val="center"/>
              <w:rPr>
                <w:sz w:val="13"/>
                <w:szCs w:val="13"/>
              </w:rPr>
            </w:pPr>
            <w:r w:rsidRPr="00640447">
              <w:rPr>
                <w:sz w:val="13"/>
                <w:szCs w:val="13"/>
              </w:rPr>
              <w:t>2021</w:t>
            </w:r>
          </w:p>
        </w:tc>
        <w:tc>
          <w:tcPr>
            <w:tcW w:w="180" w:type="pct"/>
            <w:tcBorders>
              <w:top w:val="nil"/>
              <w:left w:val="nil"/>
              <w:bottom w:val="single" w:sz="4" w:space="0" w:color="auto"/>
              <w:right w:val="single" w:sz="4" w:space="0" w:color="auto"/>
            </w:tcBorders>
            <w:shd w:val="clear" w:color="auto" w:fill="auto"/>
            <w:vAlign w:val="center"/>
          </w:tcPr>
          <w:p w14:paraId="11C1B9DC" w14:textId="77777777" w:rsidR="004A0123" w:rsidRPr="00640447" w:rsidRDefault="004A0123" w:rsidP="008A5C11">
            <w:pPr>
              <w:jc w:val="center"/>
              <w:rPr>
                <w:sz w:val="13"/>
                <w:szCs w:val="13"/>
              </w:rPr>
            </w:pPr>
            <w:r w:rsidRPr="00640447">
              <w:rPr>
                <w:sz w:val="13"/>
                <w:szCs w:val="13"/>
              </w:rPr>
              <w:t>4635</w:t>
            </w:r>
          </w:p>
        </w:tc>
        <w:tc>
          <w:tcPr>
            <w:tcW w:w="187" w:type="pct"/>
            <w:tcBorders>
              <w:top w:val="nil"/>
              <w:left w:val="nil"/>
              <w:bottom w:val="single" w:sz="4" w:space="0" w:color="auto"/>
              <w:right w:val="single" w:sz="4" w:space="0" w:color="auto"/>
            </w:tcBorders>
            <w:shd w:val="clear" w:color="auto" w:fill="auto"/>
            <w:vAlign w:val="center"/>
          </w:tcPr>
          <w:p w14:paraId="5003D981" w14:textId="77777777" w:rsidR="004A0123" w:rsidRPr="00640447" w:rsidRDefault="004A0123" w:rsidP="008A5C11">
            <w:pPr>
              <w:jc w:val="center"/>
              <w:rPr>
                <w:sz w:val="13"/>
                <w:szCs w:val="13"/>
              </w:rPr>
            </w:pPr>
            <w:r w:rsidRPr="00640447">
              <w:rPr>
                <w:sz w:val="13"/>
                <w:szCs w:val="13"/>
              </w:rPr>
              <w:t>0</w:t>
            </w:r>
          </w:p>
        </w:tc>
        <w:tc>
          <w:tcPr>
            <w:tcW w:w="146" w:type="pct"/>
            <w:tcBorders>
              <w:top w:val="nil"/>
              <w:left w:val="single" w:sz="4" w:space="0" w:color="auto"/>
              <w:bottom w:val="single" w:sz="4" w:space="0" w:color="auto"/>
              <w:right w:val="single" w:sz="4" w:space="0" w:color="auto"/>
            </w:tcBorders>
            <w:shd w:val="clear" w:color="auto" w:fill="auto"/>
            <w:vAlign w:val="center"/>
          </w:tcPr>
          <w:p w14:paraId="3EBC06A0" w14:textId="77777777" w:rsidR="004A0123" w:rsidRPr="00640447" w:rsidRDefault="004A0123" w:rsidP="008A5C11">
            <w:pPr>
              <w:jc w:val="center"/>
              <w:rPr>
                <w:sz w:val="13"/>
                <w:szCs w:val="13"/>
              </w:rPr>
            </w:pPr>
            <w:r w:rsidRPr="00640447">
              <w:rPr>
                <w:sz w:val="13"/>
                <w:szCs w:val="13"/>
              </w:rPr>
              <w:t>0</w:t>
            </w:r>
          </w:p>
        </w:tc>
        <w:tc>
          <w:tcPr>
            <w:tcW w:w="149" w:type="pct"/>
            <w:tcBorders>
              <w:top w:val="nil"/>
              <w:left w:val="nil"/>
              <w:bottom w:val="single" w:sz="4" w:space="0" w:color="auto"/>
              <w:right w:val="single" w:sz="4" w:space="0" w:color="auto"/>
            </w:tcBorders>
            <w:shd w:val="clear" w:color="auto" w:fill="auto"/>
            <w:vAlign w:val="center"/>
          </w:tcPr>
          <w:p w14:paraId="4E56FD05" w14:textId="77777777" w:rsidR="004A0123" w:rsidRPr="00640447" w:rsidRDefault="004A0123" w:rsidP="008A5C11">
            <w:pPr>
              <w:jc w:val="center"/>
              <w:rPr>
                <w:sz w:val="13"/>
                <w:szCs w:val="13"/>
              </w:rPr>
            </w:pPr>
            <w:r w:rsidRPr="00640447">
              <w:rPr>
                <w:sz w:val="13"/>
                <w:szCs w:val="13"/>
              </w:rPr>
              <w:t>0</w:t>
            </w:r>
          </w:p>
        </w:tc>
        <w:tc>
          <w:tcPr>
            <w:tcW w:w="183" w:type="pct"/>
            <w:tcBorders>
              <w:top w:val="nil"/>
              <w:left w:val="nil"/>
              <w:bottom w:val="single" w:sz="4" w:space="0" w:color="auto"/>
              <w:right w:val="single" w:sz="4" w:space="0" w:color="auto"/>
            </w:tcBorders>
            <w:shd w:val="clear" w:color="auto" w:fill="auto"/>
            <w:vAlign w:val="center"/>
          </w:tcPr>
          <w:p w14:paraId="7A357AEF" w14:textId="77777777" w:rsidR="004A0123" w:rsidRPr="00640447" w:rsidRDefault="004A0123" w:rsidP="008A5C11">
            <w:pPr>
              <w:jc w:val="center"/>
              <w:rPr>
                <w:sz w:val="13"/>
                <w:szCs w:val="13"/>
              </w:rPr>
            </w:pPr>
            <w:r w:rsidRPr="00640447">
              <w:rPr>
                <w:sz w:val="13"/>
                <w:szCs w:val="13"/>
              </w:rPr>
              <w:t>4635</w:t>
            </w:r>
          </w:p>
        </w:tc>
        <w:tc>
          <w:tcPr>
            <w:tcW w:w="183" w:type="pct"/>
            <w:tcBorders>
              <w:top w:val="nil"/>
              <w:left w:val="nil"/>
              <w:bottom w:val="single" w:sz="4" w:space="0" w:color="auto"/>
              <w:right w:val="single" w:sz="4" w:space="0" w:color="auto"/>
            </w:tcBorders>
            <w:shd w:val="clear" w:color="auto" w:fill="auto"/>
            <w:vAlign w:val="center"/>
          </w:tcPr>
          <w:p w14:paraId="70BA2605" w14:textId="77777777" w:rsidR="004A0123" w:rsidRPr="00640447" w:rsidRDefault="004A0123" w:rsidP="008A5C11">
            <w:pPr>
              <w:jc w:val="center"/>
              <w:rPr>
                <w:sz w:val="13"/>
                <w:szCs w:val="13"/>
              </w:rPr>
            </w:pPr>
            <w:r w:rsidRPr="00640447">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3051901E" w14:textId="77777777" w:rsidR="004A0123" w:rsidRPr="00640447" w:rsidRDefault="004A0123" w:rsidP="008A5C11">
            <w:pPr>
              <w:jc w:val="center"/>
              <w:rPr>
                <w:sz w:val="13"/>
                <w:szCs w:val="13"/>
              </w:rPr>
            </w:pPr>
            <w:r w:rsidRPr="00640447">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4412A3F1" w14:textId="77777777" w:rsidR="004A0123" w:rsidRPr="00640447" w:rsidRDefault="004A0123" w:rsidP="008A5C11">
            <w:pPr>
              <w:jc w:val="center"/>
              <w:rPr>
                <w:sz w:val="13"/>
                <w:szCs w:val="13"/>
              </w:rPr>
            </w:pPr>
            <w:r w:rsidRPr="00640447">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1A28349D" w14:textId="77777777" w:rsidR="004A0123" w:rsidRPr="00640447" w:rsidRDefault="004A0123" w:rsidP="008A5C11">
            <w:pPr>
              <w:jc w:val="center"/>
              <w:rPr>
                <w:sz w:val="13"/>
                <w:szCs w:val="13"/>
              </w:rPr>
            </w:pPr>
            <w:r w:rsidRPr="00640447">
              <w:rPr>
                <w:sz w:val="13"/>
                <w:szCs w:val="13"/>
              </w:rPr>
              <w:t>0</w:t>
            </w:r>
          </w:p>
        </w:tc>
        <w:tc>
          <w:tcPr>
            <w:tcW w:w="174" w:type="pct"/>
            <w:tcBorders>
              <w:top w:val="single" w:sz="4" w:space="0" w:color="auto"/>
              <w:left w:val="single" w:sz="4" w:space="0" w:color="auto"/>
              <w:bottom w:val="single" w:sz="4" w:space="0" w:color="auto"/>
              <w:right w:val="single" w:sz="4" w:space="0" w:color="auto"/>
            </w:tcBorders>
            <w:vAlign w:val="center"/>
          </w:tcPr>
          <w:p w14:paraId="13771945" w14:textId="77777777" w:rsidR="004A0123" w:rsidRPr="00640447" w:rsidRDefault="004A0123" w:rsidP="008A5C11">
            <w:pPr>
              <w:jc w:val="center"/>
              <w:rPr>
                <w:sz w:val="13"/>
                <w:szCs w:val="13"/>
              </w:rPr>
            </w:pPr>
            <w:r w:rsidRPr="00640447">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5B112250" w14:textId="77777777" w:rsidR="004A0123" w:rsidRPr="00640447" w:rsidRDefault="004A0123" w:rsidP="008A5C11">
            <w:pPr>
              <w:jc w:val="center"/>
              <w:rPr>
                <w:sz w:val="13"/>
                <w:szCs w:val="13"/>
              </w:rPr>
            </w:pPr>
            <w:r w:rsidRPr="00640447">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3B5E4462" w14:textId="77777777" w:rsidR="004A0123" w:rsidRPr="00640447" w:rsidRDefault="004A0123" w:rsidP="008A5C11">
            <w:pPr>
              <w:jc w:val="center"/>
              <w:rPr>
                <w:sz w:val="13"/>
                <w:szCs w:val="13"/>
              </w:rPr>
            </w:pPr>
            <w:r w:rsidRPr="00640447">
              <w:rPr>
                <w:sz w:val="13"/>
                <w:szCs w:val="13"/>
              </w:rPr>
              <w:t>0</w:t>
            </w:r>
          </w:p>
        </w:tc>
        <w:tc>
          <w:tcPr>
            <w:tcW w:w="188" w:type="pct"/>
            <w:tcBorders>
              <w:top w:val="single" w:sz="4" w:space="0" w:color="auto"/>
              <w:left w:val="single" w:sz="4" w:space="0" w:color="auto"/>
              <w:bottom w:val="single" w:sz="4" w:space="0" w:color="auto"/>
              <w:right w:val="single" w:sz="4" w:space="0" w:color="auto"/>
            </w:tcBorders>
            <w:vAlign w:val="center"/>
          </w:tcPr>
          <w:p w14:paraId="2A723DF7" w14:textId="77777777" w:rsidR="004A0123" w:rsidRPr="00640447" w:rsidRDefault="004A0123" w:rsidP="008A5C11">
            <w:pPr>
              <w:jc w:val="center"/>
              <w:rPr>
                <w:sz w:val="13"/>
                <w:szCs w:val="13"/>
              </w:rPr>
            </w:pPr>
            <w:r w:rsidRPr="00640447">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7BC008D0" w14:textId="77777777" w:rsidR="004A0123" w:rsidRPr="00640447" w:rsidRDefault="004A0123" w:rsidP="008A5C11">
            <w:pPr>
              <w:jc w:val="center"/>
              <w:rPr>
                <w:sz w:val="13"/>
                <w:szCs w:val="13"/>
              </w:rPr>
            </w:pPr>
            <w:r w:rsidRPr="00640447">
              <w:rPr>
                <w:sz w:val="13"/>
                <w:szCs w:val="13"/>
              </w:rPr>
              <w:t>0</w:t>
            </w:r>
          </w:p>
        </w:tc>
      </w:tr>
      <w:tr w:rsidR="004A0123" w:rsidRPr="00640447" w14:paraId="520EB4AA" w14:textId="77777777" w:rsidTr="008A5C11">
        <w:trPr>
          <w:trHeight w:val="489"/>
        </w:trPr>
        <w:tc>
          <w:tcPr>
            <w:tcW w:w="146" w:type="pct"/>
            <w:shd w:val="clear" w:color="auto" w:fill="auto"/>
            <w:vAlign w:val="center"/>
          </w:tcPr>
          <w:p w14:paraId="71A1E839" w14:textId="77777777" w:rsidR="004A0123" w:rsidRPr="00640447" w:rsidRDefault="004A0123" w:rsidP="008A5C11">
            <w:pPr>
              <w:jc w:val="center"/>
              <w:rPr>
                <w:sz w:val="13"/>
                <w:szCs w:val="13"/>
              </w:rPr>
            </w:pPr>
            <w:r w:rsidRPr="00640447">
              <w:rPr>
                <w:sz w:val="13"/>
                <w:szCs w:val="13"/>
              </w:rPr>
              <w:t>4.3.</w:t>
            </w:r>
          </w:p>
        </w:tc>
        <w:tc>
          <w:tcPr>
            <w:tcW w:w="616" w:type="pct"/>
            <w:tcBorders>
              <w:top w:val="nil"/>
              <w:left w:val="single" w:sz="4" w:space="0" w:color="auto"/>
              <w:bottom w:val="single" w:sz="4" w:space="0" w:color="auto"/>
              <w:right w:val="single" w:sz="4" w:space="0" w:color="auto"/>
            </w:tcBorders>
            <w:shd w:val="clear" w:color="auto" w:fill="auto"/>
            <w:vAlign w:val="center"/>
          </w:tcPr>
          <w:p w14:paraId="6B56D288" w14:textId="77777777" w:rsidR="004A0123" w:rsidRPr="00640447" w:rsidRDefault="004A0123" w:rsidP="008A5C11">
            <w:pPr>
              <w:rPr>
                <w:color w:val="000000"/>
                <w:sz w:val="13"/>
                <w:szCs w:val="13"/>
              </w:rPr>
            </w:pPr>
            <w:r w:rsidRPr="00640447">
              <w:rPr>
                <w:color w:val="000000"/>
                <w:sz w:val="13"/>
                <w:szCs w:val="13"/>
              </w:rPr>
              <w:t xml:space="preserve">Мероприятия, направленные на обеспечение требований промышленной безопасности </w:t>
            </w:r>
            <w:proofErr w:type="gramStart"/>
            <w:r w:rsidRPr="00640447">
              <w:rPr>
                <w:color w:val="000000"/>
                <w:sz w:val="13"/>
                <w:szCs w:val="13"/>
              </w:rPr>
              <w:t>при  эксплуатации</w:t>
            </w:r>
            <w:proofErr w:type="gramEnd"/>
            <w:r w:rsidRPr="00640447">
              <w:rPr>
                <w:color w:val="000000"/>
                <w:sz w:val="13"/>
                <w:szCs w:val="13"/>
              </w:rPr>
              <w:t xml:space="preserve"> опасных производственных объектов </w:t>
            </w:r>
          </w:p>
          <w:p w14:paraId="7CD7A71C" w14:textId="77777777" w:rsidR="004A0123" w:rsidRPr="00640447" w:rsidRDefault="004A0123" w:rsidP="008A5C11">
            <w:pPr>
              <w:rPr>
                <w:color w:val="000000"/>
                <w:sz w:val="13"/>
                <w:szCs w:val="13"/>
              </w:rPr>
            </w:pPr>
            <w:r w:rsidRPr="00640447">
              <w:rPr>
                <w:color w:val="000000"/>
                <w:sz w:val="13"/>
                <w:szCs w:val="13"/>
              </w:rPr>
              <w:t>(устройство ограждений, систем видеонаблюдения котельных КСК, Энергетик, Привокзальная, Центральная, ш. им. 7-е Ноября)</w:t>
            </w:r>
          </w:p>
        </w:tc>
        <w:tc>
          <w:tcPr>
            <w:tcW w:w="359" w:type="pct"/>
            <w:tcBorders>
              <w:top w:val="nil"/>
              <w:left w:val="nil"/>
              <w:bottom w:val="single" w:sz="4" w:space="0" w:color="auto"/>
              <w:right w:val="single" w:sz="4" w:space="0" w:color="auto"/>
            </w:tcBorders>
            <w:shd w:val="clear" w:color="auto" w:fill="auto"/>
            <w:vAlign w:val="center"/>
          </w:tcPr>
          <w:p w14:paraId="7832D92D" w14:textId="77777777" w:rsidR="004A0123" w:rsidRPr="00640447" w:rsidRDefault="004A0123" w:rsidP="008A5C11">
            <w:pPr>
              <w:jc w:val="center"/>
              <w:rPr>
                <w:color w:val="000000"/>
                <w:sz w:val="13"/>
                <w:szCs w:val="13"/>
              </w:rPr>
            </w:pPr>
            <w:r w:rsidRPr="00640447">
              <w:rPr>
                <w:color w:val="000000"/>
                <w:sz w:val="13"/>
                <w:szCs w:val="13"/>
              </w:rPr>
              <w:t xml:space="preserve">Повышение эффективности работы систем </w:t>
            </w:r>
            <w:proofErr w:type="gramStart"/>
            <w:r w:rsidRPr="00640447">
              <w:rPr>
                <w:color w:val="000000"/>
                <w:sz w:val="13"/>
                <w:szCs w:val="13"/>
              </w:rPr>
              <w:t>централизован-ного</w:t>
            </w:r>
            <w:proofErr w:type="gramEnd"/>
            <w:r w:rsidRPr="00640447">
              <w:rPr>
                <w:color w:val="000000"/>
                <w:sz w:val="13"/>
                <w:szCs w:val="13"/>
              </w:rPr>
              <w:t xml:space="preserve"> теплоснабжения</w:t>
            </w:r>
          </w:p>
        </w:tc>
        <w:tc>
          <w:tcPr>
            <w:tcW w:w="360" w:type="pct"/>
            <w:tcBorders>
              <w:top w:val="nil"/>
              <w:left w:val="nil"/>
              <w:bottom w:val="single" w:sz="4" w:space="0" w:color="auto"/>
              <w:right w:val="single" w:sz="4" w:space="0" w:color="auto"/>
            </w:tcBorders>
            <w:shd w:val="clear" w:color="auto" w:fill="auto"/>
            <w:vAlign w:val="center"/>
          </w:tcPr>
          <w:p w14:paraId="51C284DD" w14:textId="77777777" w:rsidR="004A0123" w:rsidRPr="00640447" w:rsidRDefault="004A0123" w:rsidP="008A5C11">
            <w:pPr>
              <w:jc w:val="center"/>
              <w:rPr>
                <w:color w:val="000000"/>
                <w:sz w:val="13"/>
                <w:szCs w:val="13"/>
              </w:rPr>
            </w:pPr>
            <w:r w:rsidRPr="00640447">
              <w:rPr>
                <w:color w:val="000000"/>
                <w:sz w:val="13"/>
                <w:szCs w:val="13"/>
              </w:rPr>
              <w:t>г. Ленинск-Кузнецкий</w:t>
            </w:r>
          </w:p>
        </w:tc>
        <w:tc>
          <w:tcPr>
            <w:tcW w:w="338" w:type="pct"/>
            <w:tcBorders>
              <w:top w:val="nil"/>
              <w:left w:val="nil"/>
              <w:bottom w:val="single" w:sz="4" w:space="0" w:color="auto"/>
              <w:right w:val="single" w:sz="4" w:space="0" w:color="auto"/>
            </w:tcBorders>
            <w:shd w:val="clear" w:color="auto" w:fill="auto"/>
            <w:vAlign w:val="center"/>
          </w:tcPr>
          <w:p w14:paraId="2E6FF352" w14:textId="77777777" w:rsidR="004A0123" w:rsidRPr="00640447" w:rsidRDefault="004A0123" w:rsidP="008A5C11">
            <w:pPr>
              <w:jc w:val="center"/>
              <w:rPr>
                <w:sz w:val="13"/>
                <w:szCs w:val="13"/>
              </w:rPr>
            </w:pPr>
            <w:r w:rsidRPr="00640447">
              <w:rPr>
                <w:sz w:val="13"/>
                <w:szCs w:val="13"/>
              </w:rPr>
              <w:t>Наличие</w:t>
            </w:r>
          </w:p>
        </w:tc>
        <w:tc>
          <w:tcPr>
            <w:tcW w:w="116" w:type="pct"/>
            <w:tcBorders>
              <w:top w:val="nil"/>
              <w:left w:val="nil"/>
              <w:bottom w:val="single" w:sz="4" w:space="0" w:color="auto"/>
              <w:right w:val="single" w:sz="4" w:space="0" w:color="auto"/>
            </w:tcBorders>
            <w:shd w:val="clear" w:color="auto" w:fill="auto"/>
            <w:vAlign w:val="center"/>
          </w:tcPr>
          <w:p w14:paraId="17D64CE2" w14:textId="77777777" w:rsidR="004A0123" w:rsidRPr="00640447" w:rsidRDefault="004A0123" w:rsidP="008A5C11">
            <w:pPr>
              <w:jc w:val="center"/>
              <w:rPr>
                <w:sz w:val="13"/>
                <w:szCs w:val="13"/>
              </w:rPr>
            </w:pPr>
            <w:r w:rsidRPr="00640447">
              <w:rPr>
                <w:sz w:val="13"/>
                <w:szCs w:val="13"/>
              </w:rPr>
              <w:t>ед.</w:t>
            </w:r>
          </w:p>
        </w:tc>
        <w:tc>
          <w:tcPr>
            <w:tcW w:w="182" w:type="pct"/>
            <w:tcBorders>
              <w:top w:val="nil"/>
              <w:left w:val="single" w:sz="4" w:space="0" w:color="auto"/>
              <w:bottom w:val="single" w:sz="4" w:space="0" w:color="auto"/>
              <w:right w:val="single" w:sz="4" w:space="0" w:color="auto"/>
            </w:tcBorders>
            <w:shd w:val="clear" w:color="auto" w:fill="auto"/>
            <w:vAlign w:val="center"/>
          </w:tcPr>
          <w:p w14:paraId="13504781" w14:textId="77777777" w:rsidR="004A0123" w:rsidRPr="00640447" w:rsidRDefault="004A0123" w:rsidP="008A5C11">
            <w:pPr>
              <w:jc w:val="center"/>
              <w:rPr>
                <w:sz w:val="13"/>
                <w:szCs w:val="13"/>
              </w:rPr>
            </w:pPr>
            <w:r w:rsidRPr="00640447">
              <w:rPr>
                <w:sz w:val="13"/>
                <w:szCs w:val="13"/>
              </w:rPr>
              <w:t>0</w:t>
            </w:r>
          </w:p>
        </w:tc>
        <w:tc>
          <w:tcPr>
            <w:tcW w:w="174" w:type="pct"/>
            <w:tcBorders>
              <w:top w:val="nil"/>
              <w:left w:val="nil"/>
              <w:bottom w:val="single" w:sz="4" w:space="0" w:color="auto"/>
              <w:right w:val="single" w:sz="4" w:space="0" w:color="auto"/>
            </w:tcBorders>
            <w:shd w:val="clear" w:color="auto" w:fill="auto"/>
            <w:vAlign w:val="center"/>
          </w:tcPr>
          <w:p w14:paraId="09D3EBB2" w14:textId="77777777" w:rsidR="004A0123" w:rsidRPr="00640447" w:rsidRDefault="004A0123" w:rsidP="008A5C11">
            <w:pPr>
              <w:jc w:val="center"/>
              <w:rPr>
                <w:sz w:val="13"/>
                <w:szCs w:val="13"/>
              </w:rPr>
            </w:pPr>
            <w:r w:rsidRPr="00640447">
              <w:rPr>
                <w:sz w:val="13"/>
                <w:szCs w:val="13"/>
              </w:rPr>
              <w:t>5</w:t>
            </w:r>
          </w:p>
        </w:tc>
        <w:tc>
          <w:tcPr>
            <w:tcW w:w="189" w:type="pct"/>
            <w:tcBorders>
              <w:top w:val="nil"/>
              <w:left w:val="nil"/>
              <w:bottom w:val="single" w:sz="4" w:space="0" w:color="auto"/>
              <w:right w:val="single" w:sz="4" w:space="0" w:color="auto"/>
            </w:tcBorders>
            <w:shd w:val="clear" w:color="auto" w:fill="auto"/>
            <w:vAlign w:val="center"/>
          </w:tcPr>
          <w:p w14:paraId="2205B840" w14:textId="77777777" w:rsidR="004A0123" w:rsidRPr="00640447" w:rsidRDefault="004A0123" w:rsidP="008A5C11">
            <w:pPr>
              <w:jc w:val="center"/>
              <w:rPr>
                <w:sz w:val="13"/>
                <w:szCs w:val="13"/>
              </w:rPr>
            </w:pPr>
            <w:r w:rsidRPr="00640447">
              <w:rPr>
                <w:sz w:val="13"/>
                <w:szCs w:val="13"/>
              </w:rPr>
              <w:t>2021</w:t>
            </w:r>
          </w:p>
        </w:tc>
        <w:tc>
          <w:tcPr>
            <w:tcW w:w="184" w:type="pct"/>
            <w:tcBorders>
              <w:top w:val="nil"/>
              <w:left w:val="nil"/>
              <w:bottom w:val="single" w:sz="4" w:space="0" w:color="auto"/>
              <w:right w:val="single" w:sz="4" w:space="0" w:color="auto"/>
            </w:tcBorders>
            <w:shd w:val="clear" w:color="auto" w:fill="auto"/>
            <w:vAlign w:val="center"/>
          </w:tcPr>
          <w:p w14:paraId="507A25A6" w14:textId="77777777" w:rsidR="004A0123" w:rsidRPr="00640447" w:rsidRDefault="004A0123" w:rsidP="008A5C11">
            <w:pPr>
              <w:jc w:val="center"/>
              <w:rPr>
                <w:sz w:val="13"/>
                <w:szCs w:val="13"/>
              </w:rPr>
            </w:pPr>
            <w:r w:rsidRPr="00640447">
              <w:rPr>
                <w:sz w:val="13"/>
                <w:szCs w:val="13"/>
              </w:rPr>
              <w:t>2023</w:t>
            </w:r>
          </w:p>
        </w:tc>
        <w:tc>
          <w:tcPr>
            <w:tcW w:w="180" w:type="pct"/>
            <w:tcBorders>
              <w:top w:val="nil"/>
              <w:left w:val="nil"/>
              <w:bottom w:val="single" w:sz="4" w:space="0" w:color="auto"/>
              <w:right w:val="single" w:sz="4" w:space="0" w:color="auto"/>
            </w:tcBorders>
            <w:shd w:val="clear" w:color="auto" w:fill="auto"/>
            <w:vAlign w:val="center"/>
          </w:tcPr>
          <w:p w14:paraId="79032632" w14:textId="77777777" w:rsidR="004A0123" w:rsidRPr="00640447" w:rsidRDefault="004A0123" w:rsidP="008A5C11">
            <w:pPr>
              <w:jc w:val="center"/>
              <w:rPr>
                <w:sz w:val="13"/>
                <w:szCs w:val="13"/>
              </w:rPr>
            </w:pPr>
            <w:r w:rsidRPr="00640447">
              <w:rPr>
                <w:sz w:val="13"/>
                <w:szCs w:val="13"/>
              </w:rPr>
              <w:t>34192</w:t>
            </w:r>
          </w:p>
        </w:tc>
        <w:tc>
          <w:tcPr>
            <w:tcW w:w="187" w:type="pct"/>
            <w:tcBorders>
              <w:top w:val="nil"/>
              <w:left w:val="nil"/>
              <w:bottom w:val="single" w:sz="4" w:space="0" w:color="auto"/>
              <w:right w:val="single" w:sz="4" w:space="0" w:color="auto"/>
            </w:tcBorders>
            <w:shd w:val="clear" w:color="auto" w:fill="auto"/>
            <w:vAlign w:val="center"/>
          </w:tcPr>
          <w:p w14:paraId="08DD44A7" w14:textId="77777777" w:rsidR="004A0123" w:rsidRPr="00640447" w:rsidRDefault="004A0123" w:rsidP="008A5C11">
            <w:pPr>
              <w:jc w:val="center"/>
              <w:rPr>
                <w:sz w:val="13"/>
                <w:szCs w:val="13"/>
              </w:rPr>
            </w:pPr>
            <w:r w:rsidRPr="00640447">
              <w:rPr>
                <w:sz w:val="13"/>
                <w:szCs w:val="13"/>
              </w:rPr>
              <w:t>0</w:t>
            </w:r>
          </w:p>
        </w:tc>
        <w:tc>
          <w:tcPr>
            <w:tcW w:w="146" w:type="pct"/>
            <w:tcBorders>
              <w:top w:val="nil"/>
              <w:left w:val="single" w:sz="4" w:space="0" w:color="auto"/>
              <w:bottom w:val="single" w:sz="4" w:space="0" w:color="auto"/>
              <w:right w:val="single" w:sz="4" w:space="0" w:color="auto"/>
            </w:tcBorders>
            <w:shd w:val="clear" w:color="auto" w:fill="auto"/>
            <w:vAlign w:val="center"/>
          </w:tcPr>
          <w:p w14:paraId="2B9F7124" w14:textId="77777777" w:rsidR="004A0123" w:rsidRPr="00640447" w:rsidRDefault="004A0123" w:rsidP="008A5C11">
            <w:pPr>
              <w:jc w:val="center"/>
              <w:rPr>
                <w:sz w:val="13"/>
                <w:szCs w:val="13"/>
              </w:rPr>
            </w:pPr>
            <w:r w:rsidRPr="00640447">
              <w:rPr>
                <w:sz w:val="13"/>
                <w:szCs w:val="13"/>
              </w:rPr>
              <w:t>0</w:t>
            </w:r>
          </w:p>
        </w:tc>
        <w:tc>
          <w:tcPr>
            <w:tcW w:w="149" w:type="pct"/>
            <w:tcBorders>
              <w:top w:val="nil"/>
              <w:left w:val="nil"/>
              <w:bottom w:val="single" w:sz="4" w:space="0" w:color="auto"/>
              <w:right w:val="single" w:sz="4" w:space="0" w:color="auto"/>
            </w:tcBorders>
            <w:shd w:val="clear" w:color="auto" w:fill="auto"/>
            <w:vAlign w:val="center"/>
          </w:tcPr>
          <w:p w14:paraId="1EC44DF1" w14:textId="77777777" w:rsidR="004A0123" w:rsidRPr="00640447" w:rsidRDefault="004A0123" w:rsidP="008A5C11">
            <w:pPr>
              <w:jc w:val="center"/>
              <w:rPr>
                <w:sz w:val="13"/>
                <w:szCs w:val="13"/>
              </w:rPr>
            </w:pPr>
            <w:r w:rsidRPr="00640447">
              <w:rPr>
                <w:sz w:val="13"/>
                <w:szCs w:val="13"/>
              </w:rPr>
              <w:t>0</w:t>
            </w:r>
          </w:p>
        </w:tc>
        <w:tc>
          <w:tcPr>
            <w:tcW w:w="183" w:type="pct"/>
            <w:tcBorders>
              <w:top w:val="nil"/>
              <w:left w:val="nil"/>
              <w:bottom w:val="single" w:sz="4" w:space="0" w:color="auto"/>
              <w:right w:val="single" w:sz="4" w:space="0" w:color="auto"/>
            </w:tcBorders>
            <w:shd w:val="clear" w:color="auto" w:fill="auto"/>
            <w:vAlign w:val="center"/>
          </w:tcPr>
          <w:p w14:paraId="6BEEE48C" w14:textId="77777777" w:rsidR="004A0123" w:rsidRPr="00640447" w:rsidRDefault="004A0123" w:rsidP="008A5C11">
            <w:pPr>
              <w:jc w:val="center"/>
              <w:rPr>
                <w:sz w:val="13"/>
                <w:szCs w:val="13"/>
              </w:rPr>
            </w:pPr>
            <w:r w:rsidRPr="00640447">
              <w:rPr>
                <w:sz w:val="13"/>
                <w:szCs w:val="13"/>
              </w:rPr>
              <w:t>5664</w:t>
            </w:r>
          </w:p>
        </w:tc>
        <w:tc>
          <w:tcPr>
            <w:tcW w:w="183" w:type="pct"/>
            <w:tcBorders>
              <w:top w:val="nil"/>
              <w:left w:val="nil"/>
              <w:bottom w:val="single" w:sz="4" w:space="0" w:color="auto"/>
              <w:right w:val="single" w:sz="4" w:space="0" w:color="auto"/>
            </w:tcBorders>
            <w:shd w:val="clear" w:color="auto" w:fill="auto"/>
            <w:vAlign w:val="center"/>
          </w:tcPr>
          <w:p w14:paraId="46C2D26F" w14:textId="77777777" w:rsidR="004A0123" w:rsidRPr="00640447" w:rsidRDefault="004A0123" w:rsidP="008A5C11">
            <w:pPr>
              <w:jc w:val="center"/>
              <w:rPr>
                <w:sz w:val="13"/>
                <w:szCs w:val="13"/>
              </w:rPr>
            </w:pPr>
            <w:r w:rsidRPr="00640447">
              <w:rPr>
                <w:sz w:val="13"/>
                <w:szCs w:val="13"/>
              </w:rPr>
              <w:t>7632</w:t>
            </w:r>
          </w:p>
        </w:tc>
        <w:tc>
          <w:tcPr>
            <w:tcW w:w="155" w:type="pct"/>
            <w:tcBorders>
              <w:top w:val="single" w:sz="4" w:space="0" w:color="auto"/>
              <w:left w:val="single" w:sz="4" w:space="0" w:color="auto"/>
              <w:bottom w:val="single" w:sz="4" w:space="0" w:color="auto"/>
              <w:right w:val="single" w:sz="4" w:space="0" w:color="auto"/>
            </w:tcBorders>
            <w:vAlign w:val="center"/>
          </w:tcPr>
          <w:p w14:paraId="3B0FC4AA" w14:textId="77777777" w:rsidR="004A0123" w:rsidRPr="00640447" w:rsidRDefault="004A0123" w:rsidP="008A5C11">
            <w:pPr>
              <w:jc w:val="center"/>
              <w:rPr>
                <w:sz w:val="13"/>
                <w:szCs w:val="13"/>
              </w:rPr>
            </w:pPr>
            <w:r w:rsidRPr="00640447">
              <w:rPr>
                <w:sz w:val="13"/>
                <w:szCs w:val="13"/>
              </w:rPr>
              <w:t>20896</w:t>
            </w:r>
          </w:p>
        </w:tc>
        <w:tc>
          <w:tcPr>
            <w:tcW w:w="154" w:type="pct"/>
            <w:tcBorders>
              <w:top w:val="single" w:sz="4" w:space="0" w:color="auto"/>
              <w:left w:val="single" w:sz="4" w:space="0" w:color="auto"/>
              <w:bottom w:val="single" w:sz="4" w:space="0" w:color="auto"/>
              <w:right w:val="single" w:sz="4" w:space="0" w:color="auto"/>
            </w:tcBorders>
            <w:vAlign w:val="center"/>
          </w:tcPr>
          <w:p w14:paraId="66F88D84" w14:textId="77777777" w:rsidR="004A0123" w:rsidRPr="00640447" w:rsidRDefault="004A0123" w:rsidP="008A5C11">
            <w:pPr>
              <w:jc w:val="center"/>
              <w:rPr>
                <w:sz w:val="13"/>
                <w:szCs w:val="13"/>
              </w:rPr>
            </w:pPr>
            <w:r w:rsidRPr="00640447">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6859E009" w14:textId="77777777" w:rsidR="004A0123" w:rsidRPr="00640447" w:rsidRDefault="004A0123" w:rsidP="008A5C11">
            <w:pPr>
              <w:jc w:val="center"/>
              <w:rPr>
                <w:sz w:val="13"/>
                <w:szCs w:val="13"/>
              </w:rPr>
            </w:pPr>
            <w:r w:rsidRPr="00640447">
              <w:rPr>
                <w:sz w:val="13"/>
                <w:szCs w:val="13"/>
              </w:rPr>
              <w:t>0</w:t>
            </w:r>
          </w:p>
        </w:tc>
        <w:tc>
          <w:tcPr>
            <w:tcW w:w="174" w:type="pct"/>
            <w:tcBorders>
              <w:top w:val="single" w:sz="4" w:space="0" w:color="auto"/>
              <w:left w:val="single" w:sz="4" w:space="0" w:color="auto"/>
              <w:bottom w:val="single" w:sz="4" w:space="0" w:color="auto"/>
              <w:right w:val="single" w:sz="4" w:space="0" w:color="auto"/>
            </w:tcBorders>
            <w:vAlign w:val="center"/>
          </w:tcPr>
          <w:p w14:paraId="5AF4A65D" w14:textId="77777777" w:rsidR="004A0123" w:rsidRPr="00640447" w:rsidRDefault="004A0123" w:rsidP="008A5C11">
            <w:pPr>
              <w:jc w:val="center"/>
              <w:rPr>
                <w:sz w:val="13"/>
                <w:szCs w:val="13"/>
              </w:rPr>
            </w:pPr>
            <w:r w:rsidRPr="00640447">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769F299B" w14:textId="77777777" w:rsidR="004A0123" w:rsidRPr="00640447" w:rsidRDefault="004A0123" w:rsidP="008A5C11">
            <w:pPr>
              <w:jc w:val="center"/>
              <w:rPr>
                <w:sz w:val="13"/>
                <w:szCs w:val="13"/>
              </w:rPr>
            </w:pPr>
            <w:r w:rsidRPr="00640447">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530C07C2" w14:textId="77777777" w:rsidR="004A0123" w:rsidRPr="00640447" w:rsidRDefault="004A0123" w:rsidP="008A5C11">
            <w:pPr>
              <w:jc w:val="center"/>
              <w:rPr>
                <w:sz w:val="13"/>
                <w:szCs w:val="13"/>
              </w:rPr>
            </w:pPr>
            <w:r w:rsidRPr="00640447">
              <w:rPr>
                <w:sz w:val="13"/>
                <w:szCs w:val="13"/>
              </w:rPr>
              <w:t>0</w:t>
            </w:r>
          </w:p>
        </w:tc>
        <w:tc>
          <w:tcPr>
            <w:tcW w:w="188" w:type="pct"/>
            <w:tcBorders>
              <w:top w:val="single" w:sz="4" w:space="0" w:color="auto"/>
              <w:left w:val="single" w:sz="4" w:space="0" w:color="auto"/>
              <w:bottom w:val="single" w:sz="4" w:space="0" w:color="auto"/>
              <w:right w:val="single" w:sz="4" w:space="0" w:color="auto"/>
            </w:tcBorders>
            <w:vAlign w:val="center"/>
          </w:tcPr>
          <w:p w14:paraId="0F927F69" w14:textId="77777777" w:rsidR="004A0123" w:rsidRPr="00640447" w:rsidRDefault="004A0123" w:rsidP="008A5C11">
            <w:pPr>
              <w:jc w:val="center"/>
              <w:rPr>
                <w:sz w:val="13"/>
                <w:szCs w:val="13"/>
              </w:rPr>
            </w:pPr>
            <w:r w:rsidRPr="00640447">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022EA222" w14:textId="77777777" w:rsidR="004A0123" w:rsidRPr="00640447" w:rsidRDefault="004A0123" w:rsidP="008A5C11">
            <w:pPr>
              <w:jc w:val="center"/>
              <w:rPr>
                <w:sz w:val="13"/>
                <w:szCs w:val="13"/>
              </w:rPr>
            </w:pPr>
            <w:r w:rsidRPr="00640447">
              <w:rPr>
                <w:sz w:val="13"/>
                <w:szCs w:val="13"/>
              </w:rPr>
              <w:t>0</w:t>
            </w:r>
          </w:p>
        </w:tc>
      </w:tr>
      <w:tr w:rsidR="004A0123" w:rsidRPr="00640447" w14:paraId="478F4335" w14:textId="77777777" w:rsidTr="008A5C11">
        <w:trPr>
          <w:trHeight w:val="225"/>
        </w:trPr>
        <w:tc>
          <w:tcPr>
            <w:tcW w:w="2664" w:type="pct"/>
            <w:gridSpan w:val="10"/>
            <w:shd w:val="clear" w:color="auto" w:fill="auto"/>
            <w:vAlign w:val="center"/>
            <w:hideMark/>
          </w:tcPr>
          <w:p w14:paraId="1935AE16" w14:textId="77777777" w:rsidR="004A0123" w:rsidRPr="00640447" w:rsidRDefault="004A0123" w:rsidP="008A5C11">
            <w:pPr>
              <w:rPr>
                <w:sz w:val="13"/>
                <w:szCs w:val="13"/>
              </w:rPr>
            </w:pPr>
            <w:r w:rsidRPr="00640447">
              <w:rPr>
                <w:sz w:val="13"/>
                <w:szCs w:val="13"/>
              </w:rPr>
              <w:t>Всего по группе 4.</w:t>
            </w:r>
          </w:p>
        </w:tc>
        <w:tc>
          <w:tcPr>
            <w:tcW w:w="180" w:type="pct"/>
            <w:shd w:val="clear" w:color="auto" w:fill="auto"/>
            <w:vAlign w:val="center"/>
          </w:tcPr>
          <w:p w14:paraId="3B6441AF" w14:textId="77777777" w:rsidR="004A0123" w:rsidRPr="00640447" w:rsidRDefault="004A0123" w:rsidP="008A5C11">
            <w:pPr>
              <w:jc w:val="center"/>
              <w:rPr>
                <w:sz w:val="13"/>
                <w:szCs w:val="13"/>
              </w:rPr>
            </w:pPr>
            <w:r w:rsidRPr="00640447">
              <w:rPr>
                <w:sz w:val="13"/>
                <w:szCs w:val="13"/>
              </w:rPr>
              <w:t>69482</w:t>
            </w:r>
          </w:p>
        </w:tc>
        <w:tc>
          <w:tcPr>
            <w:tcW w:w="187" w:type="pct"/>
            <w:shd w:val="clear" w:color="auto" w:fill="auto"/>
            <w:vAlign w:val="center"/>
          </w:tcPr>
          <w:p w14:paraId="10389930" w14:textId="77777777" w:rsidR="004A0123" w:rsidRPr="00640447" w:rsidRDefault="004A0123" w:rsidP="008A5C11">
            <w:pPr>
              <w:jc w:val="center"/>
              <w:rPr>
                <w:sz w:val="13"/>
                <w:szCs w:val="13"/>
              </w:rPr>
            </w:pPr>
            <w:r w:rsidRPr="00640447">
              <w:rPr>
                <w:sz w:val="13"/>
                <w:szCs w:val="13"/>
              </w:rPr>
              <w:t>0</w:t>
            </w:r>
          </w:p>
        </w:tc>
        <w:tc>
          <w:tcPr>
            <w:tcW w:w="146" w:type="pct"/>
            <w:shd w:val="clear" w:color="auto" w:fill="auto"/>
            <w:vAlign w:val="center"/>
          </w:tcPr>
          <w:p w14:paraId="66598C45" w14:textId="77777777" w:rsidR="004A0123" w:rsidRPr="00640447" w:rsidRDefault="004A0123" w:rsidP="008A5C11">
            <w:pPr>
              <w:jc w:val="center"/>
              <w:rPr>
                <w:sz w:val="13"/>
                <w:szCs w:val="13"/>
              </w:rPr>
            </w:pPr>
            <w:r w:rsidRPr="00640447">
              <w:rPr>
                <w:sz w:val="13"/>
                <w:szCs w:val="13"/>
              </w:rPr>
              <w:t>0</w:t>
            </w:r>
          </w:p>
        </w:tc>
        <w:tc>
          <w:tcPr>
            <w:tcW w:w="149" w:type="pct"/>
            <w:shd w:val="clear" w:color="auto" w:fill="auto"/>
            <w:vAlign w:val="center"/>
          </w:tcPr>
          <w:p w14:paraId="146717FF" w14:textId="77777777" w:rsidR="004A0123" w:rsidRPr="00640447" w:rsidRDefault="004A0123" w:rsidP="008A5C11">
            <w:pPr>
              <w:jc w:val="center"/>
              <w:rPr>
                <w:sz w:val="13"/>
                <w:szCs w:val="13"/>
              </w:rPr>
            </w:pPr>
            <w:r w:rsidRPr="00640447">
              <w:rPr>
                <w:sz w:val="13"/>
                <w:szCs w:val="13"/>
              </w:rPr>
              <w:t>0</w:t>
            </w:r>
          </w:p>
        </w:tc>
        <w:tc>
          <w:tcPr>
            <w:tcW w:w="183" w:type="pct"/>
            <w:shd w:val="clear" w:color="auto" w:fill="auto"/>
            <w:vAlign w:val="center"/>
          </w:tcPr>
          <w:p w14:paraId="52105ED0" w14:textId="77777777" w:rsidR="004A0123" w:rsidRPr="00640447" w:rsidRDefault="004A0123" w:rsidP="008A5C11">
            <w:pPr>
              <w:jc w:val="center"/>
              <w:rPr>
                <w:sz w:val="13"/>
                <w:szCs w:val="13"/>
              </w:rPr>
            </w:pPr>
            <w:r w:rsidRPr="00640447">
              <w:rPr>
                <w:sz w:val="13"/>
                <w:szCs w:val="13"/>
              </w:rPr>
              <w:t>17390</w:t>
            </w:r>
          </w:p>
        </w:tc>
        <w:tc>
          <w:tcPr>
            <w:tcW w:w="183" w:type="pct"/>
            <w:vAlign w:val="center"/>
          </w:tcPr>
          <w:p w14:paraId="59122ED9" w14:textId="77777777" w:rsidR="004A0123" w:rsidRPr="00640447" w:rsidRDefault="004A0123" w:rsidP="008A5C11">
            <w:pPr>
              <w:jc w:val="center"/>
              <w:rPr>
                <w:sz w:val="13"/>
                <w:szCs w:val="13"/>
              </w:rPr>
            </w:pPr>
            <w:r w:rsidRPr="00640447">
              <w:rPr>
                <w:sz w:val="13"/>
                <w:szCs w:val="13"/>
              </w:rPr>
              <w:t>17735</w:t>
            </w:r>
          </w:p>
        </w:tc>
        <w:tc>
          <w:tcPr>
            <w:tcW w:w="155" w:type="pct"/>
            <w:vAlign w:val="center"/>
          </w:tcPr>
          <w:p w14:paraId="299C1A24" w14:textId="77777777" w:rsidR="004A0123" w:rsidRPr="00640447" w:rsidRDefault="004A0123" w:rsidP="008A5C11">
            <w:pPr>
              <w:jc w:val="center"/>
              <w:rPr>
                <w:sz w:val="13"/>
                <w:szCs w:val="13"/>
              </w:rPr>
            </w:pPr>
            <w:r w:rsidRPr="00640447">
              <w:rPr>
                <w:sz w:val="13"/>
                <w:szCs w:val="13"/>
              </w:rPr>
              <w:t>34357</w:t>
            </w:r>
          </w:p>
        </w:tc>
        <w:tc>
          <w:tcPr>
            <w:tcW w:w="154" w:type="pct"/>
            <w:vAlign w:val="center"/>
          </w:tcPr>
          <w:p w14:paraId="64A3B2B7" w14:textId="77777777" w:rsidR="004A0123" w:rsidRPr="00640447" w:rsidRDefault="004A0123" w:rsidP="008A5C11">
            <w:pPr>
              <w:jc w:val="center"/>
              <w:rPr>
                <w:sz w:val="13"/>
                <w:szCs w:val="13"/>
              </w:rPr>
            </w:pPr>
            <w:r w:rsidRPr="00640447">
              <w:rPr>
                <w:sz w:val="13"/>
                <w:szCs w:val="13"/>
              </w:rPr>
              <w:t>0</w:t>
            </w:r>
          </w:p>
        </w:tc>
        <w:tc>
          <w:tcPr>
            <w:tcW w:w="153" w:type="pct"/>
            <w:vAlign w:val="center"/>
          </w:tcPr>
          <w:p w14:paraId="770BF5F0" w14:textId="77777777" w:rsidR="004A0123" w:rsidRPr="00640447" w:rsidRDefault="004A0123" w:rsidP="008A5C11">
            <w:pPr>
              <w:jc w:val="center"/>
              <w:rPr>
                <w:sz w:val="13"/>
                <w:szCs w:val="13"/>
              </w:rPr>
            </w:pPr>
            <w:r w:rsidRPr="00640447">
              <w:rPr>
                <w:sz w:val="13"/>
                <w:szCs w:val="13"/>
              </w:rPr>
              <w:t>0</w:t>
            </w:r>
          </w:p>
        </w:tc>
        <w:tc>
          <w:tcPr>
            <w:tcW w:w="174" w:type="pct"/>
            <w:vAlign w:val="center"/>
          </w:tcPr>
          <w:p w14:paraId="20E6E1C4" w14:textId="77777777" w:rsidR="004A0123" w:rsidRPr="00640447" w:rsidRDefault="004A0123" w:rsidP="008A5C11">
            <w:pPr>
              <w:jc w:val="center"/>
              <w:rPr>
                <w:sz w:val="13"/>
                <w:szCs w:val="13"/>
              </w:rPr>
            </w:pPr>
            <w:r w:rsidRPr="00640447">
              <w:rPr>
                <w:sz w:val="13"/>
                <w:szCs w:val="13"/>
              </w:rPr>
              <w:t>0</w:t>
            </w:r>
          </w:p>
        </w:tc>
        <w:tc>
          <w:tcPr>
            <w:tcW w:w="156" w:type="pct"/>
            <w:vAlign w:val="center"/>
          </w:tcPr>
          <w:p w14:paraId="546FCD21" w14:textId="77777777" w:rsidR="004A0123" w:rsidRPr="00640447" w:rsidRDefault="004A0123" w:rsidP="008A5C11">
            <w:pPr>
              <w:jc w:val="center"/>
              <w:rPr>
                <w:sz w:val="13"/>
                <w:szCs w:val="13"/>
              </w:rPr>
            </w:pPr>
            <w:r w:rsidRPr="00640447">
              <w:rPr>
                <w:sz w:val="13"/>
                <w:szCs w:val="13"/>
              </w:rPr>
              <w:t>0</w:t>
            </w:r>
          </w:p>
        </w:tc>
        <w:tc>
          <w:tcPr>
            <w:tcW w:w="146" w:type="pct"/>
            <w:vAlign w:val="center"/>
          </w:tcPr>
          <w:p w14:paraId="601D5C47" w14:textId="77777777" w:rsidR="004A0123" w:rsidRPr="00640447" w:rsidRDefault="004A0123" w:rsidP="008A5C11">
            <w:pPr>
              <w:jc w:val="center"/>
              <w:rPr>
                <w:sz w:val="13"/>
                <w:szCs w:val="13"/>
              </w:rPr>
            </w:pPr>
            <w:r w:rsidRPr="00640447">
              <w:rPr>
                <w:sz w:val="13"/>
                <w:szCs w:val="13"/>
              </w:rPr>
              <w:t>0</w:t>
            </w:r>
          </w:p>
        </w:tc>
        <w:tc>
          <w:tcPr>
            <w:tcW w:w="188" w:type="pct"/>
            <w:vAlign w:val="center"/>
          </w:tcPr>
          <w:p w14:paraId="616A0235" w14:textId="77777777" w:rsidR="004A0123" w:rsidRPr="00640447" w:rsidRDefault="004A0123" w:rsidP="008A5C11">
            <w:pPr>
              <w:jc w:val="center"/>
              <w:rPr>
                <w:sz w:val="13"/>
                <w:szCs w:val="13"/>
              </w:rPr>
            </w:pPr>
            <w:r w:rsidRPr="00640447">
              <w:rPr>
                <w:sz w:val="13"/>
                <w:szCs w:val="13"/>
              </w:rPr>
              <w:t>0</w:t>
            </w:r>
          </w:p>
        </w:tc>
        <w:tc>
          <w:tcPr>
            <w:tcW w:w="182" w:type="pct"/>
            <w:vAlign w:val="center"/>
          </w:tcPr>
          <w:p w14:paraId="3AE3931B" w14:textId="77777777" w:rsidR="004A0123" w:rsidRPr="00640447" w:rsidRDefault="004A0123" w:rsidP="008A5C11">
            <w:pPr>
              <w:jc w:val="center"/>
              <w:rPr>
                <w:sz w:val="13"/>
                <w:szCs w:val="13"/>
              </w:rPr>
            </w:pPr>
            <w:r w:rsidRPr="00640447">
              <w:rPr>
                <w:sz w:val="13"/>
                <w:szCs w:val="13"/>
              </w:rPr>
              <w:t>0</w:t>
            </w:r>
          </w:p>
        </w:tc>
      </w:tr>
      <w:tr w:rsidR="004A0123" w:rsidRPr="00640447" w14:paraId="78202AFC" w14:textId="77777777" w:rsidTr="008A5C11">
        <w:trPr>
          <w:trHeight w:val="122"/>
        </w:trPr>
        <w:tc>
          <w:tcPr>
            <w:tcW w:w="5000" w:type="pct"/>
            <w:gridSpan w:val="24"/>
          </w:tcPr>
          <w:p w14:paraId="5E121E45" w14:textId="77777777" w:rsidR="004A0123" w:rsidRPr="00640447" w:rsidRDefault="004A0123" w:rsidP="008A5C11">
            <w:pPr>
              <w:rPr>
                <w:bCs/>
                <w:sz w:val="13"/>
                <w:szCs w:val="13"/>
              </w:rPr>
            </w:pPr>
            <w:r w:rsidRPr="00640447">
              <w:rPr>
                <w:bCs/>
                <w:sz w:val="13"/>
                <w:szCs w:val="13"/>
              </w:rPr>
              <w:t>Группа 5. Вывод из эксплуатации, консервация и демонтаж объектов системы централизованного теплоснабжения</w:t>
            </w:r>
          </w:p>
        </w:tc>
      </w:tr>
      <w:tr w:rsidR="004A0123" w:rsidRPr="00640447" w14:paraId="68BEABE0" w14:textId="77777777" w:rsidTr="008A5C11">
        <w:trPr>
          <w:trHeight w:val="96"/>
        </w:trPr>
        <w:tc>
          <w:tcPr>
            <w:tcW w:w="5000" w:type="pct"/>
            <w:gridSpan w:val="24"/>
          </w:tcPr>
          <w:p w14:paraId="051DF14C" w14:textId="77777777" w:rsidR="004A0123" w:rsidRPr="00640447" w:rsidRDefault="004A0123" w:rsidP="008A5C11">
            <w:pPr>
              <w:rPr>
                <w:bCs/>
                <w:sz w:val="13"/>
                <w:szCs w:val="13"/>
              </w:rPr>
            </w:pPr>
            <w:r w:rsidRPr="00640447">
              <w:rPr>
                <w:bCs/>
                <w:sz w:val="13"/>
                <w:szCs w:val="13"/>
              </w:rPr>
              <w:t>5.1. Вывод из эксплуатации, консервация и демонтаж тепловых сетей</w:t>
            </w:r>
          </w:p>
        </w:tc>
      </w:tr>
      <w:tr w:rsidR="004A0123" w:rsidRPr="00640447" w14:paraId="79ACA4C6" w14:textId="77777777" w:rsidTr="008A5C11">
        <w:trPr>
          <w:trHeight w:val="210"/>
        </w:trPr>
        <w:tc>
          <w:tcPr>
            <w:tcW w:w="5000" w:type="pct"/>
            <w:gridSpan w:val="24"/>
          </w:tcPr>
          <w:p w14:paraId="75D4A436" w14:textId="77777777" w:rsidR="004A0123" w:rsidRPr="00640447" w:rsidRDefault="004A0123" w:rsidP="008A5C11">
            <w:pPr>
              <w:rPr>
                <w:bCs/>
                <w:sz w:val="13"/>
                <w:szCs w:val="13"/>
              </w:rPr>
            </w:pPr>
            <w:r w:rsidRPr="00640447">
              <w:rPr>
                <w:bCs/>
                <w:sz w:val="13"/>
                <w:szCs w:val="13"/>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4A0123" w:rsidRPr="00640447" w14:paraId="5409B8D6" w14:textId="77777777" w:rsidTr="008A5C11">
        <w:trPr>
          <w:trHeight w:val="225"/>
        </w:trPr>
        <w:tc>
          <w:tcPr>
            <w:tcW w:w="2664" w:type="pct"/>
            <w:gridSpan w:val="10"/>
            <w:shd w:val="clear" w:color="auto" w:fill="auto"/>
            <w:vAlign w:val="center"/>
            <w:hideMark/>
          </w:tcPr>
          <w:p w14:paraId="6F3A3531" w14:textId="77777777" w:rsidR="004A0123" w:rsidRPr="00640447" w:rsidRDefault="004A0123" w:rsidP="008A5C11">
            <w:pPr>
              <w:rPr>
                <w:sz w:val="13"/>
                <w:szCs w:val="13"/>
              </w:rPr>
            </w:pPr>
            <w:r w:rsidRPr="00640447">
              <w:rPr>
                <w:sz w:val="13"/>
                <w:szCs w:val="13"/>
              </w:rPr>
              <w:t>Всего по группе 5.</w:t>
            </w:r>
          </w:p>
        </w:tc>
        <w:tc>
          <w:tcPr>
            <w:tcW w:w="180" w:type="pct"/>
            <w:shd w:val="clear" w:color="auto" w:fill="auto"/>
            <w:vAlign w:val="center"/>
          </w:tcPr>
          <w:p w14:paraId="27177CFB" w14:textId="77777777" w:rsidR="004A0123" w:rsidRPr="00640447" w:rsidRDefault="004A0123" w:rsidP="008A5C11">
            <w:pPr>
              <w:jc w:val="center"/>
              <w:rPr>
                <w:sz w:val="13"/>
                <w:szCs w:val="13"/>
              </w:rPr>
            </w:pPr>
            <w:r w:rsidRPr="00640447">
              <w:rPr>
                <w:sz w:val="13"/>
                <w:szCs w:val="13"/>
              </w:rPr>
              <w:t>0</w:t>
            </w:r>
          </w:p>
        </w:tc>
        <w:tc>
          <w:tcPr>
            <w:tcW w:w="187" w:type="pct"/>
            <w:shd w:val="clear" w:color="auto" w:fill="auto"/>
            <w:vAlign w:val="center"/>
          </w:tcPr>
          <w:p w14:paraId="4B227D7A" w14:textId="77777777" w:rsidR="004A0123" w:rsidRPr="00640447" w:rsidRDefault="004A0123" w:rsidP="008A5C11">
            <w:pPr>
              <w:jc w:val="center"/>
              <w:rPr>
                <w:sz w:val="13"/>
                <w:szCs w:val="13"/>
              </w:rPr>
            </w:pPr>
            <w:r w:rsidRPr="00640447">
              <w:rPr>
                <w:sz w:val="13"/>
                <w:szCs w:val="13"/>
              </w:rPr>
              <w:t>0</w:t>
            </w:r>
          </w:p>
        </w:tc>
        <w:tc>
          <w:tcPr>
            <w:tcW w:w="146" w:type="pct"/>
            <w:shd w:val="clear" w:color="auto" w:fill="auto"/>
            <w:vAlign w:val="center"/>
          </w:tcPr>
          <w:p w14:paraId="0534986D" w14:textId="77777777" w:rsidR="004A0123" w:rsidRPr="00640447" w:rsidRDefault="004A0123" w:rsidP="008A5C11">
            <w:pPr>
              <w:jc w:val="center"/>
              <w:rPr>
                <w:sz w:val="13"/>
                <w:szCs w:val="13"/>
              </w:rPr>
            </w:pPr>
            <w:r w:rsidRPr="00640447">
              <w:rPr>
                <w:sz w:val="13"/>
                <w:szCs w:val="13"/>
              </w:rPr>
              <w:t>0</w:t>
            </w:r>
          </w:p>
        </w:tc>
        <w:tc>
          <w:tcPr>
            <w:tcW w:w="149" w:type="pct"/>
            <w:shd w:val="clear" w:color="auto" w:fill="auto"/>
            <w:vAlign w:val="center"/>
          </w:tcPr>
          <w:p w14:paraId="4DC83EAD" w14:textId="77777777" w:rsidR="004A0123" w:rsidRPr="00640447" w:rsidRDefault="004A0123" w:rsidP="008A5C11">
            <w:pPr>
              <w:jc w:val="center"/>
              <w:rPr>
                <w:sz w:val="13"/>
                <w:szCs w:val="13"/>
              </w:rPr>
            </w:pPr>
            <w:r w:rsidRPr="00640447">
              <w:rPr>
                <w:sz w:val="13"/>
                <w:szCs w:val="13"/>
              </w:rPr>
              <w:t>0</w:t>
            </w:r>
          </w:p>
        </w:tc>
        <w:tc>
          <w:tcPr>
            <w:tcW w:w="183" w:type="pct"/>
            <w:shd w:val="clear" w:color="auto" w:fill="auto"/>
            <w:vAlign w:val="center"/>
          </w:tcPr>
          <w:p w14:paraId="16194BB7" w14:textId="77777777" w:rsidR="004A0123" w:rsidRPr="00640447" w:rsidRDefault="004A0123" w:rsidP="008A5C11">
            <w:pPr>
              <w:jc w:val="center"/>
              <w:rPr>
                <w:sz w:val="13"/>
                <w:szCs w:val="13"/>
              </w:rPr>
            </w:pPr>
            <w:r w:rsidRPr="00640447">
              <w:rPr>
                <w:sz w:val="13"/>
                <w:szCs w:val="13"/>
              </w:rPr>
              <w:t>0</w:t>
            </w:r>
          </w:p>
        </w:tc>
        <w:tc>
          <w:tcPr>
            <w:tcW w:w="183" w:type="pct"/>
            <w:vAlign w:val="center"/>
          </w:tcPr>
          <w:p w14:paraId="637A6F4A" w14:textId="77777777" w:rsidR="004A0123" w:rsidRPr="00640447" w:rsidRDefault="004A0123" w:rsidP="008A5C11">
            <w:pPr>
              <w:jc w:val="center"/>
              <w:rPr>
                <w:sz w:val="13"/>
                <w:szCs w:val="13"/>
              </w:rPr>
            </w:pPr>
            <w:r w:rsidRPr="00640447">
              <w:rPr>
                <w:sz w:val="13"/>
                <w:szCs w:val="13"/>
              </w:rPr>
              <w:t>0</w:t>
            </w:r>
          </w:p>
        </w:tc>
        <w:tc>
          <w:tcPr>
            <w:tcW w:w="155" w:type="pct"/>
            <w:vAlign w:val="center"/>
          </w:tcPr>
          <w:p w14:paraId="6B0C527B" w14:textId="77777777" w:rsidR="004A0123" w:rsidRPr="00640447" w:rsidRDefault="004A0123" w:rsidP="008A5C11">
            <w:pPr>
              <w:jc w:val="center"/>
              <w:rPr>
                <w:sz w:val="13"/>
                <w:szCs w:val="13"/>
              </w:rPr>
            </w:pPr>
            <w:r w:rsidRPr="00640447">
              <w:rPr>
                <w:sz w:val="13"/>
                <w:szCs w:val="13"/>
              </w:rPr>
              <w:t>0</w:t>
            </w:r>
          </w:p>
        </w:tc>
        <w:tc>
          <w:tcPr>
            <w:tcW w:w="154" w:type="pct"/>
            <w:vAlign w:val="center"/>
          </w:tcPr>
          <w:p w14:paraId="52C52867" w14:textId="77777777" w:rsidR="004A0123" w:rsidRPr="00640447" w:rsidRDefault="004A0123" w:rsidP="008A5C11">
            <w:pPr>
              <w:jc w:val="center"/>
              <w:rPr>
                <w:sz w:val="13"/>
                <w:szCs w:val="13"/>
              </w:rPr>
            </w:pPr>
            <w:r w:rsidRPr="00640447">
              <w:rPr>
                <w:sz w:val="13"/>
                <w:szCs w:val="13"/>
              </w:rPr>
              <w:t>0</w:t>
            </w:r>
          </w:p>
        </w:tc>
        <w:tc>
          <w:tcPr>
            <w:tcW w:w="153" w:type="pct"/>
            <w:vAlign w:val="center"/>
          </w:tcPr>
          <w:p w14:paraId="70ABCAA9" w14:textId="77777777" w:rsidR="004A0123" w:rsidRPr="00640447" w:rsidRDefault="004A0123" w:rsidP="008A5C11">
            <w:pPr>
              <w:jc w:val="center"/>
              <w:rPr>
                <w:sz w:val="13"/>
                <w:szCs w:val="13"/>
              </w:rPr>
            </w:pPr>
            <w:r w:rsidRPr="00640447">
              <w:rPr>
                <w:sz w:val="13"/>
                <w:szCs w:val="13"/>
              </w:rPr>
              <w:t>0</w:t>
            </w:r>
          </w:p>
        </w:tc>
        <w:tc>
          <w:tcPr>
            <w:tcW w:w="174" w:type="pct"/>
            <w:vAlign w:val="center"/>
          </w:tcPr>
          <w:p w14:paraId="098AAE08" w14:textId="77777777" w:rsidR="004A0123" w:rsidRPr="00640447" w:rsidRDefault="004A0123" w:rsidP="008A5C11">
            <w:pPr>
              <w:jc w:val="center"/>
              <w:rPr>
                <w:sz w:val="13"/>
                <w:szCs w:val="13"/>
              </w:rPr>
            </w:pPr>
            <w:r w:rsidRPr="00640447">
              <w:rPr>
                <w:sz w:val="13"/>
                <w:szCs w:val="13"/>
              </w:rPr>
              <w:t>0</w:t>
            </w:r>
          </w:p>
        </w:tc>
        <w:tc>
          <w:tcPr>
            <w:tcW w:w="156" w:type="pct"/>
            <w:vAlign w:val="center"/>
          </w:tcPr>
          <w:p w14:paraId="28432D78" w14:textId="77777777" w:rsidR="004A0123" w:rsidRPr="00640447" w:rsidRDefault="004A0123" w:rsidP="008A5C11">
            <w:pPr>
              <w:jc w:val="center"/>
              <w:rPr>
                <w:sz w:val="13"/>
                <w:szCs w:val="13"/>
              </w:rPr>
            </w:pPr>
            <w:r w:rsidRPr="00640447">
              <w:rPr>
                <w:sz w:val="13"/>
                <w:szCs w:val="13"/>
              </w:rPr>
              <w:t>0</w:t>
            </w:r>
          </w:p>
        </w:tc>
        <w:tc>
          <w:tcPr>
            <w:tcW w:w="146" w:type="pct"/>
            <w:vAlign w:val="center"/>
          </w:tcPr>
          <w:p w14:paraId="34340FCA" w14:textId="77777777" w:rsidR="004A0123" w:rsidRPr="00640447" w:rsidRDefault="004A0123" w:rsidP="008A5C11">
            <w:pPr>
              <w:jc w:val="center"/>
              <w:rPr>
                <w:sz w:val="13"/>
                <w:szCs w:val="13"/>
              </w:rPr>
            </w:pPr>
            <w:r w:rsidRPr="00640447">
              <w:rPr>
                <w:sz w:val="13"/>
                <w:szCs w:val="13"/>
              </w:rPr>
              <w:t>0</w:t>
            </w:r>
          </w:p>
        </w:tc>
        <w:tc>
          <w:tcPr>
            <w:tcW w:w="188" w:type="pct"/>
            <w:vAlign w:val="center"/>
          </w:tcPr>
          <w:p w14:paraId="4C4E7EE4" w14:textId="77777777" w:rsidR="004A0123" w:rsidRPr="00640447" w:rsidRDefault="004A0123" w:rsidP="008A5C11">
            <w:pPr>
              <w:jc w:val="center"/>
              <w:rPr>
                <w:sz w:val="13"/>
                <w:szCs w:val="13"/>
              </w:rPr>
            </w:pPr>
            <w:r w:rsidRPr="00640447">
              <w:rPr>
                <w:sz w:val="13"/>
                <w:szCs w:val="13"/>
              </w:rPr>
              <w:t>0</w:t>
            </w:r>
          </w:p>
        </w:tc>
        <w:tc>
          <w:tcPr>
            <w:tcW w:w="182" w:type="pct"/>
            <w:vAlign w:val="center"/>
          </w:tcPr>
          <w:p w14:paraId="7A66C7BE" w14:textId="77777777" w:rsidR="004A0123" w:rsidRPr="00640447" w:rsidRDefault="004A0123" w:rsidP="008A5C11">
            <w:pPr>
              <w:jc w:val="center"/>
              <w:rPr>
                <w:sz w:val="13"/>
                <w:szCs w:val="13"/>
              </w:rPr>
            </w:pPr>
            <w:r w:rsidRPr="00640447">
              <w:rPr>
                <w:sz w:val="13"/>
                <w:szCs w:val="13"/>
              </w:rPr>
              <w:t>0</w:t>
            </w:r>
          </w:p>
        </w:tc>
      </w:tr>
      <w:tr w:rsidR="004A0123" w:rsidRPr="00640447" w14:paraId="512C31BE" w14:textId="77777777" w:rsidTr="008A5C11">
        <w:trPr>
          <w:trHeight w:val="225"/>
        </w:trPr>
        <w:tc>
          <w:tcPr>
            <w:tcW w:w="2664" w:type="pct"/>
            <w:gridSpan w:val="10"/>
            <w:shd w:val="clear" w:color="auto" w:fill="auto"/>
            <w:vAlign w:val="center"/>
            <w:hideMark/>
          </w:tcPr>
          <w:p w14:paraId="1404CA7A" w14:textId="77777777" w:rsidR="004A0123" w:rsidRPr="00640447" w:rsidRDefault="004A0123" w:rsidP="008A5C11">
            <w:pPr>
              <w:rPr>
                <w:sz w:val="13"/>
                <w:szCs w:val="13"/>
              </w:rPr>
            </w:pPr>
            <w:r w:rsidRPr="00640447">
              <w:rPr>
                <w:sz w:val="13"/>
                <w:szCs w:val="13"/>
              </w:rPr>
              <w:t>ИТОГО по программе</w:t>
            </w:r>
          </w:p>
        </w:tc>
        <w:tc>
          <w:tcPr>
            <w:tcW w:w="180" w:type="pct"/>
            <w:tcBorders>
              <w:top w:val="single" w:sz="4" w:space="0" w:color="auto"/>
              <w:left w:val="nil"/>
              <w:bottom w:val="single" w:sz="4" w:space="0" w:color="auto"/>
              <w:right w:val="single" w:sz="4" w:space="0" w:color="auto"/>
            </w:tcBorders>
            <w:shd w:val="clear" w:color="auto" w:fill="auto"/>
            <w:vAlign w:val="center"/>
          </w:tcPr>
          <w:p w14:paraId="16D870E8" w14:textId="77777777" w:rsidR="004A0123" w:rsidRPr="00640447" w:rsidRDefault="004A0123" w:rsidP="008A5C11">
            <w:pPr>
              <w:jc w:val="center"/>
              <w:rPr>
                <w:sz w:val="13"/>
                <w:szCs w:val="13"/>
              </w:rPr>
            </w:pPr>
            <w:r w:rsidRPr="00640447">
              <w:rPr>
                <w:sz w:val="13"/>
                <w:szCs w:val="13"/>
              </w:rPr>
              <w:t>3106690</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14:paraId="08702BCF" w14:textId="77777777" w:rsidR="004A0123" w:rsidRPr="00640447" w:rsidRDefault="004A0123" w:rsidP="008A5C11">
            <w:pPr>
              <w:jc w:val="center"/>
              <w:rPr>
                <w:sz w:val="13"/>
                <w:szCs w:val="13"/>
              </w:rPr>
            </w:pPr>
            <w:r w:rsidRPr="00640447">
              <w:rPr>
                <w:sz w:val="13"/>
                <w:szCs w:val="13"/>
              </w:rPr>
              <w:t>0</w:t>
            </w:r>
          </w:p>
        </w:tc>
        <w:tc>
          <w:tcPr>
            <w:tcW w:w="146" w:type="pct"/>
            <w:tcBorders>
              <w:top w:val="single" w:sz="4" w:space="0" w:color="auto"/>
              <w:left w:val="single" w:sz="4" w:space="0" w:color="auto"/>
              <w:bottom w:val="single" w:sz="4" w:space="0" w:color="auto"/>
              <w:right w:val="single" w:sz="4" w:space="0" w:color="auto"/>
            </w:tcBorders>
            <w:shd w:val="clear" w:color="auto" w:fill="auto"/>
            <w:vAlign w:val="center"/>
          </w:tcPr>
          <w:p w14:paraId="524D482A" w14:textId="77777777" w:rsidR="004A0123" w:rsidRPr="00640447" w:rsidRDefault="004A0123" w:rsidP="008A5C11">
            <w:pPr>
              <w:jc w:val="center"/>
              <w:rPr>
                <w:sz w:val="13"/>
                <w:szCs w:val="13"/>
              </w:rPr>
            </w:pPr>
            <w:r w:rsidRPr="00640447">
              <w:rPr>
                <w:sz w:val="13"/>
                <w:szCs w:val="13"/>
              </w:rPr>
              <w:t>384055</w:t>
            </w:r>
          </w:p>
        </w:tc>
        <w:tc>
          <w:tcPr>
            <w:tcW w:w="149" w:type="pct"/>
            <w:tcBorders>
              <w:top w:val="single" w:sz="4" w:space="0" w:color="auto"/>
              <w:left w:val="single" w:sz="4" w:space="0" w:color="auto"/>
              <w:bottom w:val="single" w:sz="4" w:space="0" w:color="auto"/>
              <w:right w:val="single" w:sz="4" w:space="0" w:color="auto"/>
            </w:tcBorders>
            <w:shd w:val="clear" w:color="auto" w:fill="auto"/>
            <w:vAlign w:val="center"/>
          </w:tcPr>
          <w:p w14:paraId="79D65449" w14:textId="77777777" w:rsidR="004A0123" w:rsidRPr="00640447" w:rsidRDefault="004A0123" w:rsidP="008A5C11">
            <w:pPr>
              <w:jc w:val="center"/>
              <w:rPr>
                <w:sz w:val="13"/>
                <w:szCs w:val="13"/>
              </w:rPr>
            </w:pPr>
            <w:r w:rsidRPr="00640447">
              <w:rPr>
                <w:sz w:val="13"/>
                <w:szCs w:val="13"/>
              </w:rPr>
              <w:t>190842</w:t>
            </w:r>
          </w:p>
        </w:tc>
        <w:tc>
          <w:tcPr>
            <w:tcW w:w="183" w:type="pct"/>
            <w:tcBorders>
              <w:top w:val="single" w:sz="4" w:space="0" w:color="auto"/>
              <w:left w:val="single" w:sz="4" w:space="0" w:color="auto"/>
              <w:bottom w:val="single" w:sz="4" w:space="0" w:color="auto"/>
              <w:right w:val="nil"/>
            </w:tcBorders>
            <w:shd w:val="clear" w:color="auto" w:fill="auto"/>
            <w:vAlign w:val="center"/>
          </w:tcPr>
          <w:p w14:paraId="2E6C7D57" w14:textId="77777777" w:rsidR="004A0123" w:rsidRPr="00640447" w:rsidRDefault="004A0123" w:rsidP="008A5C11">
            <w:pPr>
              <w:jc w:val="center"/>
              <w:rPr>
                <w:sz w:val="13"/>
                <w:szCs w:val="13"/>
              </w:rPr>
            </w:pPr>
            <w:r w:rsidRPr="00640447">
              <w:rPr>
                <w:sz w:val="13"/>
                <w:szCs w:val="13"/>
              </w:rPr>
              <w:t>174824</w:t>
            </w:r>
          </w:p>
        </w:tc>
        <w:tc>
          <w:tcPr>
            <w:tcW w:w="183" w:type="pct"/>
            <w:vAlign w:val="center"/>
          </w:tcPr>
          <w:p w14:paraId="13114029" w14:textId="77777777" w:rsidR="004A0123" w:rsidRPr="00640447" w:rsidRDefault="004A0123" w:rsidP="008A5C11">
            <w:pPr>
              <w:jc w:val="center"/>
              <w:rPr>
                <w:sz w:val="13"/>
                <w:szCs w:val="13"/>
              </w:rPr>
            </w:pPr>
            <w:r w:rsidRPr="00640447">
              <w:rPr>
                <w:sz w:val="13"/>
                <w:szCs w:val="13"/>
              </w:rPr>
              <w:t>188909</w:t>
            </w:r>
          </w:p>
        </w:tc>
        <w:tc>
          <w:tcPr>
            <w:tcW w:w="155" w:type="pct"/>
            <w:vAlign w:val="center"/>
          </w:tcPr>
          <w:p w14:paraId="17D7184C" w14:textId="77777777" w:rsidR="004A0123" w:rsidRPr="00640447" w:rsidRDefault="004A0123" w:rsidP="008A5C11">
            <w:pPr>
              <w:jc w:val="center"/>
              <w:rPr>
                <w:sz w:val="13"/>
                <w:szCs w:val="13"/>
              </w:rPr>
            </w:pPr>
            <w:r w:rsidRPr="00640447">
              <w:rPr>
                <w:sz w:val="13"/>
                <w:szCs w:val="13"/>
              </w:rPr>
              <w:t>255120</w:t>
            </w:r>
          </w:p>
        </w:tc>
        <w:tc>
          <w:tcPr>
            <w:tcW w:w="154" w:type="pct"/>
            <w:vAlign w:val="center"/>
          </w:tcPr>
          <w:p w14:paraId="31CBE650" w14:textId="77777777" w:rsidR="004A0123" w:rsidRPr="00640447" w:rsidRDefault="004A0123" w:rsidP="008A5C11">
            <w:pPr>
              <w:jc w:val="center"/>
              <w:rPr>
                <w:sz w:val="13"/>
                <w:szCs w:val="13"/>
              </w:rPr>
            </w:pPr>
            <w:r w:rsidRPr="00640447">
              <w:rPr>
                <w:sz w:val="13"/>
                <w:szCs w:val="13"/>
              </w:rPr>
              <w:t>230238</w:t>
            </w:r>
          </w:p>
        </w:tc>
        <w:tc>
          <w:tcPr>
            <w:tcW w:w="153" w:type="pct"/>
            <w:vAlign w:val="center"/>
          </w:tcPr>
          <w:p w14:paraId="764F6892" w14:textId="77777777" w:rsidR="004A0123" w:rsidRPr="00640447" w:rsidRDefault="004A0123" w:rsidP="008A5C11">
            <w:pPr>
              <w:jc w:val="center"/>
              <w:rPr>
                <w:sz w:val="13"/>
                <w:szCs w:val="13"/>
              </w:rPr>
            </w:pPr>
            <w:r w:rsidRPr="00640447">
              <w:rPr>
                <w:sz w:val="13"/>
                <w:szCs w:val="13"/>
              </w:rPr>
              <w:t>297805</w:t>
            </w:r>
          </w:p>
        </w:tc>
        <w:tc>
          <w:tcPr>
            <w:tcW w:w="174" w:type="pct"/>
            <w:vAlign w:val="center"/>
          </w:tcPr>
          <w:p w14:paraId="5F6B9D40" w14:textId="77777777" w:rsidR="004A0123" w:rsidRPr="00640447" w:rsidRDefault="004A0123" w:rsidP="008A5C11">
            <w:pPr>
              <w:jc w:val="center"/>
              <w:rPr>
                <w:sz w:val="13"/>
                <w:szCs w:val="13"/>
              </w:rPr>
            </w:pPr>
            <w:r w:rsidRPr="00640447">
              <w:rPr>
                <w:sz w:val="13"/>
                <w:szCs w:val="13"/>
              </w:rPr>
              <w:t>374661</w:t>
            </w:r>
          </w:p>
        </w:tc>
        <w:tc>
          <w:tcPr>
            <w:tcW w:w="156" w:type="pct"/>
            <w:vAlign w:val="center"/>
          </w:tcPr>
          <w:p w14:paraId="3E7C95F6" w14:textId="77777777" w:rsidR="004A0123" w:rsidRPr="00640447" w:rsidRDefault="004A0123" w:rsidP="008A5C11">
            <w:pPr>
              <w:jc w:val="center"/>
              <w:rPr>
                <w:sz w:val="13"/>
                <w:szCs w:val="13"/>
              </w:rPr>
            </w:pPr>
            <w:r w:rsidRPr="00640447">
              <w:rPr>
                <w:sz w:val="13"/>
                <w:szCs w:val="13"/>
              </w:rPr>
              <w:t>465937</w:t>
            </w:r>
          </w:p>
        </w:tc>
        <w:tc>
          <w:tcPr>
            <w:tcW w:w="146" w:type="pct"/>
            <w:vAlign w:val="center"/>
          </w:tcPr>
          <w:p w14:paraId="4C91E5EB" w14:textId="77777777" w:rsidR="004A0123" w:rsidRPr="00640447" w:rsidRDefault="004A0123" w:rsidP="008A5C11">
            <w:pPr>
              <w:jc w:val="center"/>
              <w:rPr>
                <w:sz w:val="13"/>
                <w:szCs w:val="13"/>
              </w:rPr>
            </w:pPr>
            <w:r w:rsidRPr="00640447">
              <w:rPr>
                <w:sz w:val="13"/>
                <w:szCs w:val="13"/>
              </w:rPr>
              <w:t>544299</w:t>
            </w:r>
          </w:p>
        </w:tc>
        <w:tc>
          <w:tcPr>
            <w:tcW w:w="188" w:type="pct"/>
            <w:vAlign w:val="center"/>
          </w:tcPr>
          <w:p w14:paraId="142E4343" w14:textId="77777777" w:rsidR="004A0123" w:rsidRPr="00640447" w:rsidRDefault="004A0123" w:rsidP="008A5C11">
            <w:pPr>
              <w:jc w:val="center"/>
              <w:rPr>
                <w:sz w:val="13"/>
                <w:szCs w:val="13"/>
              </w:rPr>
            </w:pPr>
            <w:r w:rsidRPr="00640447">
              <w:rPr>
                <w:sz w:val="13"/>
                <w:szCs w:val="13"/>
              </w:rPr>
              <w:t>0</w:t>
            </w:r>
          </w:p>
        </w:tc>
        <w:tc>
          <w:tcPr>
            <w:tcW w:w="182" w:type="pct"/>
            <w:vAlign w:val="center"/>
          </w:tcPr>
          <w:p w14:paraId="4DD7217A" w14:textId="77777777" w:rsidR="004A0123" w:rsidRPr="00640447" w:rsidRDefault="004A0123" w:rsidP="008A5C11">
            <w:pPr>
              <w:jc w:val="center"/>
              <w:rPr>
                <w:sz w:val="13"/>
                <w:szCs w:val="13"/>
              </w:rPr>
            </w:pPr>
            <w:r w:rsidRPr="00640447">
              <w:rPr>
                <w:sz w:val="13"/>
                <w:szCs w:val="13"/>
              </w:rPr>
              <w:t>0</w:t>
            </w:r>
          </w:p>
        </w:tc>
      </w:tr>
    </w:tbl>
    <w:p w14:paraId="277D197F" w14:textId="77777777" w:rsidR="004A0123" w:rsidRPr="00640447" w:rsidRDefault="004A0123" w:rsidP="004A0123">
      <w:pPr>
        <w:spacing w:after="120" w:line="360" w:lineRule="auto"/>
        <w:jc w:val="both"/>
        <w:rPr>
          <w:sz w:val="28"/>
          <w:szCs w:val="28"/>
        </w:rPr>
      </w:pPr>
    </w:p>
    <w:p w14:paraId="0547DDF4" w14:textId="77777777" w:rsidR="004A0123" w:rsidRDefault="004A0123" w:rsidP="004A0123">
      <w:pPr>
        <w:tabs>
          <w:tab w:val="left" w:pos="5580"/>
          <w:tab w:val="left" w:pos="9498"/>
        </w:tabs>
        <w:ind w:right="-569"/>
        <w:rPr>
          <w:color w:val="000000" w:themeColor="text1"/>
        </w:rPr>
        <w:sectPr w:rsidR="004A0123" w:rsidSect="00640447">
          <w:pgSz w:w="16838" w:h="11906" w:orient="landscape"/>
          <w:pgMar w:top="709" w:right="1134" w:bottom="850" w:left="1134" w:header="708" w:footer="708" w:gutter="0"/>
          <w:cols w:space="708"/>
          <w:docGrid w:linePitch="360"/>
        </w:sectPr>
      </w:pPr>
    </w:p>
    <w:p w14:paraId="321D777B" w14:textId="582D3301" w:rsidR="004A0123" w:rsidRPr="00081AD4" w:rsidRDefault="004A0123" w:rsidP="004A0123">
      <w:pPr>
        <w:tabs>
          <w:tab w:val="left" w:pos="3686"/>
          <w:tab w:val="left" w:pos="9498"/>
        </w:tabs>
        <w:ind w:left="-3734" w:right="-1" w:firstLine="9121"/>
        <w:rPr>
          <w:color w:val="000000" w:themeColor="text1"/>
        </w:rPr>
      </w:pPr>
      <w:r w:rsidRPr="00081AD4">
        <w:rPr>
          <w:color w:val="000000" w:themeColor="text1"/>
        </w:rPr>
        <w:t xml:space="preserve">Приложение № </w:t>
      </w:r>
      <w:r>
        <w:rPr>
          <w:color w:val="000000" w:themeColor="text1"/>
        </w:rPr>
        <w:t>2</w:t>
      </w:r>
      <w:r>
        <w:rPr>
          <w:color w:val="000000" w:themeColor="text1"/>
        </w:rPr>
        <w:t>4</w:t>
      </w:r>
      <w:r>
        <w:rPr>
          <w:color w:val="000000" w:themeColor="text1"/>
        </w:rPr>
        <w:t xml:space="preserve"> к протоколу</w:t>
      </w:r>
      <w:r w:rsidRPr="00081AD4">
        <w:rPr>
          <w:color w:val="000000" w:themeColor="text1"/>
        </w:rPr>
        <w:t xml:space="preserve"> № </w:t>
      </w:r>
      <w:r>
        <w:rPr>
          <w:color w:val="000000" w:themeColor="text1"/>
        </w:rPr>
        <w:t>88</w:t>
      </w:r>
    </w:p>
    <w:p w14:paraId="2F7D713E" w14:textId="77777777" w:rsidR="004A0123" w:rsidRPr="00081AD4" w:rsidRDefault="004A0123" w:rsidP="004A0123">
      <w:pPr>
        <w:tabs>
          <w:tab w:val="left" w:pos="3686"/>
          <w:tab w:val="left" w:pos="9498"/>
        </w:tabs>
        <w:ind w:left="-3734" w:right="-1" w:firstLine="912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7A6E1CE7" w14:textId="77777777" w:rsidR="004A0123" w:rsidRPr="00081AD4" w:rsidRDefault="004A0123" w:rsidP="004A0123">
      <w:pPr>
        <w:tabs>
          <w:tab w:val="left" w:pos="3686"/>
          <w:tab w:val="left" w:pos="9498"/>
        </w:tabs>
        <w:ind w:left="-3734" w:right="-1" w:firstLine="9121"/>
        <w:rPr>
          <w:color w:val="000000" w:themeColor="text1"/>
        </w:rPr>
      </w:pPr>
      <w:r w:rsidRPr="00081AD4">
        <w:rPr>
          <w:color w:val="000000" w:themeColor="text1"/>
        </w:rPr>
        <w:t>энергетической комиссии</w:t>
      </w:r>
    </w:p>
    <w:p w14:paraId="6D57D1C3" w14:textId="77777777" w:rsidR="004A0123" w:rsidRDefault="004A0123" w:rsidP="004A0123">
      <w:pPr>
        <w:autoSpaceDE w:val="0"/>
        <w:autoSpaceDN w:val="0"/>
        <w:adjustRightInd w:val="0"/>
        <w:ind w:firstLine="5387"/>
        <w:rPr>
          <w:color w:val="000000" w:themeColor="text1"/>
        </w:rPr>
      </w:pPr>
      <w:r w:rsidRPr="00081AD4">
        <w:rPr>
          <w:color w:val="000000" w:themeColor="text1"/>
        </w:rPr>
        <w:t xml:space="preserve">Кузбасса от </w:t>
      </w:r>
      <w:r>
        <w:rPr>
          <w:color w:val="000000" w:themeColor="text1"/>
        </w:rPr>
        <w:t>23</w:t>
      </w:r>
      <w:r w:rsidRPr="00081AD4">
        <w:rPr>
          <w:color w:val="000000" w:themeColor="text1"/>
        </w:rPr>
        <w:t>.</w:t>
      </w:r>
      <w:r>
        <w:rPr>
          <w:color w:val="000000" w:themeColor="text1"/>
        </w:rPr>
        <w:t>12</w:t>
      </w:r>
      <w:r w:rsidRPr="00081AD4">
        <w:rPr>
          <w:color w:val="000000" w:themeColor="text1"/>
        </w:rPr>
        <w:t>.202</w:t>
      </w:r>
      <w:r>
        <w:rPr>
          <w:color w:val="000000" w:themeColor="text1"/>
        </w:rPr>
        <w:t>1</w:t>
      </w:r>
    </w:p>
    <w:p w14:paraId="0ADA898F" w14:textId="190363EF" w:rsidR="004A0123" w:rsidRDefault="004A0123" w:rsidP="004A0123">
      <w:pPr>
        <w:tabs>
          <w:tab w:val="left" w:pos="5580"/>
          <w:tab w:val="left" w:pos="9498"/>
        </w:tabs>
        <w:ind w:left="-2347" w:right="-569" w:firstLine="7309"/>
        <w:rPr>
          <w:color w:val="000000" w:themeColor="text1"/>
        </w:rPr>
      </w:pPr>
    </w:p>
    <w:p w14:paraId="7CDBE7B2" w14:textId="77777777" w:rsidR="004A0123" w:rsidRPr="00640447" w:rsidRDefault="004A0123" w:rsidP="004A0123">
      <w:pPr>
        <w:autoSpaceDE w:val="0"/>
        <w:autoSpaceDN w:val="0"/>
        <w:adjustRightInd w:val="0"/>
        <w:ind w:left="4962" w:firstLine="7309"/>
        <w:jc w:val="both"/>
        <w:rPr>
          <w:sz w:val="22"/>
          <w:szCs w:val="22"/>
        </w:rPr>
      </w:pPr>
    </w:p>
    <w:p w14:paraId="1B549313" w14:textId="77777777" w:rsidR="004A0123" w:rsidRPr="00640447" w:rsidRDefault="004A0123" w:rsidP="004A0123">
      <w:pPr>
        <w:autoSpaceDE w:val="0"/>
        <w:autoSpaceDN w:val="0"/>
        <w:adjustRightInd w:val="0"/>
        <w:jc w:val="center"/>
        <w:rPr>
          <w:b/>
          <w:color w:val="000000"/>
          <w:sz w:val="28"/>
          <w:szCs w:val="28"/>
        </w:rPr>
      </w:pPr>
      <w:r w:rsidRPr="00640447">
        <w:rPr>
          <w:b/>
          <w:color w:val="000000"/>
          <w:sz w:val="28"/>
          <w:szCs w:val="28"/>
        </w:rPr>
        <w:t xml:space="preserve">Паспорт инвестиционной программы в сфере теплоснабжения </w:t>
      </w:r>
      <w:r w:rsidRPr="00640447">
        <w:rPr>
          <w:b/>
          <w:color w:val="000000"/>
          <w:sz w:val="28"/>
          <w:szCs w:val="28"/>
        </w:rPr>
        <w:br/>
        <w:t xml:space="preserve">ОАО «Северо-Кузбасская энергетическая компания» по узлу теплоснабжения Ленинск-Кузнецкого городского округа </w:t>
      </w:r>
    </w:p>
    <w:p w14:paraId="169AF9AD" w14:textId="77777777" w:rsidR="004A0123" w:rsidRPr="00640447" w:rsidRDefault="004A0123" w:rsidP="004A0123">
      <w:pPr>
        <w:autoSpaceDE w:val="0"/>
        <w:autoSpaceDN w:val="0"/>
        <w:adjustRightInd w:val="0"/>
        <w:jc w:val="center"/>
        <w:rPr>
          <w:b/>
          <w:color w:val="000000"/>
          <w:sz w:val="28"/>
          <w:szCs w:val="28"/>
        </w:rPr>
      </w:pPr>
      <w:r w:rsidRPr="00640447">
        <w:rPr>
          <w:b/>
          <w:color w:val="000000"/>
          <w:sz w:val="28"/>
          <w:szCs w:val="28"/>
        </w:rPr>
        <w:t>на 2019 - 2028 годы</w:t>
      </w:r>
    </w:p>
    <w:p w14:paraId="5269170C" w14:textId="77777777" w:rsidR="004A0123" w:rsidRPr="00640447" w:rsidRDefault="004A0123" w:rsidP="004A0123">
      <w:pPr>
        <w:autoSpaceDE w:val="0"/>
        <w:autoSpaceDN w:val="0"/>
        <w:adjustRightInd w:val="0"/>
        <w:jc w:val="center"/>
        <w:rPr>
          <w:color w:val="000000"/>
          <w:sz w:val="22"/>
          <w:szCs w:val="22"/>
        </w:rPr>
      </w:pPr>
    </w:p>
    <w:tbl>
      <w:tblPr>
        <w:tblOverlap w:val="never"/>
        <w:tblW w:w="5000" w:type="pct"/>
        <w:tblCellMar>
          <w:left w:w="10" w:type="dxa"/>
          <w:right w:w="10" w:type="dxa"/>
        </w:tblCellMar>
        <w:tblLook w:val="04A0" w:firstRow="1" w:lastRow="0" w:firstColumn="1" w:lastColumn="0" w:noHBand="0" w:noVBand="1"/>
      </w:tblPr>
      <w:tblGrid>
        <w:gridCol w:w="4724"/>
        <w:gridCol w:w="4620"/>
      </w:tblGrid>
      <w:tr w:rsidR="004A0123" w:rsidRPr="00640447" w14:paraId="640675F2" w14:textId="77777777" w:rsidTr="008A5C11">
        <w:trPr>
          <w:trHeight w:val="605"/>
        </w:trPr>
        <w:tc>
          <w:tcPr>
            <w:tcW w:w="2528" w:type="pct"/>
            <w:tcBorders>
              <w:top w:val="single" w:sz="4" w:space="0" w:color="auto"/>
              <w:left w:val="single" w:sz="4" w:space="0" w:color="auto"/>
            </w:tcBorders>
            <w:shd w:val="clear" w:color="auto" w:fill="FFFFFF"/>
            <w:vAlign w:val="center"/>
          </w:tcPr>
          <w:p w14:paraId="24A5FFDA" w14:textId="77777777" w:rsidR="004A0123" w:rsidRPr="00640447" w:rsidRDefault="004A0123" w:rsidP="004A0123">
            <w:pPr>
              <w:widowControl w:val="0"/>
              <w:numPr>
                <w:ilvl w:val="0"/>
                <w:numId w:val="17"/>
              </w:numPr>
              <w:spacing w:line="230" w:lineRule="exact"/>
              <w:ind w:left="0" w:firstLine="0"/>
              <w:jc w:val="center"/>
            </w:pPr>
            <w:r w:rsidRPr="00640447">
              <w:rPr>
                <w:color w:val="000000"/>
              </w:rPr>
              <w:t>Наименование организации, в отношении которой разрабатывается инвестиционная программа в сфере теплоснабжения</w:t>
            </w:r>
          </w:p>
        </w:tc>
        <w:tc>
          <w:tcPr>
            <w:tcW w:w="2472" w:type="pct"/>
            <w:tcBorders>
              <w:top w:val="single" w:sz="4" w:space="0" w:color="auto"/>
              <w:left w:val="single" w:sz="4" w:space="0" w:color="auto"/>
              <w:bottom w:val="single" w:sz="4" w:space="0" w:color="auto"/>
              <w:right w:val="single" w:sz="4" w:space="0" w:color="auto"/>
            </w:tcBorders>
            <w:shd w:val="clear" w:color="auto" w:fill="FFFFFF"/>
            <w:vAlign w:val="center"/>
          </w:tcPr>
          <w:p w14:paraId="0F551588" w14:textId="77777777" w:rsidR="004A0123" w:rsidRPr="00640447" w:rsidRDefault="004A0123" w:rsidP="008A5C11">
            <w:pPr>
              <w:jc w:val="center"/>
            </w:pPr>
            <w:r w:rsidRPr="00640447">
              <w:t xml:space="preserve">Открытое акционерное общество </w:t>
            </w:r>
          </w:p>
          <w:p w14:paraId="4E27B2E2" w14:textId="77777777" w:rsidR="004A0123" w:rsidRPr="00640447" w:rsidRDefault="004A0123" w:rsidP="008A5C11">
            <w:pPr>
              <w:jc w:val="center"/>
              <w:rPr>
                <w:color w:val="000000"/>
              </w:rPr>
            </w:pPr>
            <w:r w:rsidRPr="00640447">
              <w:t>«Северо-Кузбасская энергетическая компания»</w:t>
            </w:r>
          </w:p>
        </w:tc>
      </w:tr>
      <w:tr w:rsidR="004A0123" w:rsidRPr="00640447" w14:paraId="3D0C1372" w14:textId="77777777" w:rsidTr="008A5C11">
        <w:trPr>
          <w:trHeight w:val="60"/>
        </w:trPr>
        <w:tc>
          <w:tcPr>
            <w:tcW w:w="2528" w:type="pct"/>
            <w:tcBorders>
              <w:top w:val="single" w:sz="4" w:space="0" w:color="auto"/>
              <w:left w:val="single" w:sz="4" w:space="0" w:color="auto"/>
            </w:tcBorders>
            <w:shd w:val="clear" w:color="auto" w:fill="FFFFFF"/>
            <w:vAlign w:val="center"/>
          </w:tcPr>
          <w:p w14:paraId="66E7A9B1" w14:textId="77777777" w:rsidR="004A0123" w:rsidRPr="00640447" w:rsidRDefault="004A0123" w:rsidP="004A0123">
            <w:pPr>
              <w:widowControl w:val="0"/>
              <w:numPr>
                <w:ilvl w:val="0"/>
                <w:numId w:val="17"/>
              </w:numPr>
              <w:spacing w:line="200" w:lineRule="exact"/>
              <w:ind w:left="0" w:firstLine="0"/>
              <w:jc w:val="center"/>
            </w:pPr>
            <w:r w:rsidRPr="00640447">
              <w:rPr>
                <w:color w:val="000000"/>
              </w:rPr>
              <w:t>Местонахождение регулируемой организации</w:t>
            </w:r>
          </w:p>
        </w:tc>
        <w:tc>
          <w:tcPr>
            <w:tcW w:w="2472" w:type="pct"/>
            <w:tcBorders>
              <w:top w:val="nil"/>
              <w:left w:val="single" w:sz="4" w:space="0" w:color="auto"/>
              <w:bottom w:val="single" w:sz="4" w:space="0" w:color="auto"/>
              <w:right w:val="single" w:sz="4" w:space="0" w:color="auto"/>
            </w:tcBorders>
            <w:shd w:val="clear" w:color="auto" w:fill="auto"/>
            <w:vAlign w:val="center"/>
          </w:tcPr>
          <w:p w14:paraId="6065D0E7" w14:textId="77777777" w:rsidR="004A0123" w:rsidRPr="00640447" w:rsidRDefault="004A0123" w:rsidP="008A5C11">
            <w:pPr>
              <w:jc w:val="center"/>
              <w:rPr>
                <w:color w:val="000000"/>
              </w:rPr>
            </w:pPr>
            <w:r w:rsidRPr="00640447">
              <w:rPr>
                <w:color w:val="000000"/>
              </w:rPr>
              <w:t>650000, г. Кемерово, ул. Кузбасская, 6</w:t>
            </w:r>
          </w:p>
        </w:tc>
      </w:tr>
      <w:tr w:rsidR="004A0123" w:rsidRPr="00640447" w14:paraId="6CDFD205" w14:textId="77777777" w:rsidTr="008A5C11">
        <w:trPr>
          <w:trHeight w:val="84"/>
        </w:trPr>
        <w:tc>
          <w:tcPr>
            <w:tcW w:w="2528" w:type="pct"/>
            <w:tcBorders>
              <w:top w:val="single" w:sz="4" w:space="0" w:color="auto"/>
              <w:left w:val="single" w:sz="4" w:space="0" w:color="auto"/>
            </w:tcBorders>
            <w:shd w:val="clear" w:color="auto" w:fill="FFFFFF"/>
            <w:vAlign w:val="center"/>
          </w:tcPr>
          <w:p w14:paraId="1352DAFA" w14:textId="77777777" w:rsidR="004A0123" w:rsidRPr="00640447" w:rsidRDefault="004A0123" w:rsidP="004A0123">
            <w:pPr>
              <w:widowControl w:val="0"/>
              <w:numPr>
                <w:ilvl w:val="0"/>
                <w:numId w:val="17"/>
              </w:numPr>
              <w:spacing w:line="200" w:lineRule="exact"/>
              <w:ind w:left="0" w:firstLine="0"/>
              <w:jc w:val="center"/>
            </w:pPr>
            <w:r w:rsidRPr="00640447">
              <w:rPr>
                <w:color w:val="000000"/>
              </w:rPr>
              <w:t>Сроки реализации инвестиционной программы</w:t>
            </w:r>
          </w:p>
        </w:tc>
        <w:tc>
          <w:tcPr>
            <w:tcW w:w="2472" w:type="pct"/>
            <w:tcBorders>
              <w:top w:val="nil"/>
              <w:left w:val="single" w:sz="4" w:space="0" w:color="auto"/>
              <w:bottom w:val="single" w:sz="4" w:space="0" w:color="auto"/>
              <w:right w:val="single" w:sz="4" w:space="0" w:color="auto"/>
            </w:tcBorders>
            <w:shd w:val="clear" w:color="auto" w:fill="auto"/>
            <w:vAlign w:val="center"/>
          </w:tcPr>
          <w:p w14:paraId="6CA76523" w14:textId="77777777" w:rsidR="004A0123" w:rsidRPr="00640447" w:rsidRDefault="004A0123" w:rsidP="008A5C11">
            <w:pPr>
              <w:jc w:val="center"/>
            </w:pPr>
            <w:r w:rsidRPr="00640447">
              <w:t>2019 - 2028 г.г.</w:t>
            </w:r>
          </w:p>
        </w:tc>
      </w:tr>
      <w:tr w:rsidR="004A0123" w:rsidRPr="00640447" w14:paraId="08BF6229" w14:textId="77777777" w:rsidTr="008A5C11">
        <w:trPr>
          <w:trHeight w:val="110"/>
        </w:trPr>
        <w:tc>
          <w:tcPr>
            <w:tcW w:w="2528" w:type="pct"/>
            <w:tcBorders>
              <w:top w:val="single" w:sz="4" w:space="0" w:color="auto"/>
              <w:left w:val="single" w:sz="4" w:space="0" w:color="auto"/>
            </w:tcBorders>
            <w:shd w:val="clear" w:color="auto" w:fill="FFFFFF"/>
            <w:vAlign w:val="center"/>
          </w:tcPr>
          <w:p w14:paraId="6188EFA4" w14:textId="77777777" w:rsidR="004A0123" w:rsidRPr="00640447" w:rsidRDefault="004A0123" w:rsidP="004A0123">
            <w:pPr>
              <w:widowControl w:val="0"/>
              <w:numPr>
                <w:ilvl w:val="0"/>
                <w:numId w:val="17"/>
              </w:numPr>
              <w:spacing w:line="234" w:lineRule="exact"/>
              <w:ind w:left="0" w:firstLine="0"/>
              <w:jc w:val="center"/>
            </w:pPr>
            <w:r w:rsidRPr="00640447">
              <w:rPr>
                <w:color w:val="000000"/>
              </w:rPr>
              <w:t>Лицо, ответственное за разработку инвестиционной программы</w:t>
            </w:r>
          </w:p>
        </w:tc>
        <w:tc>
          <w:tcPr>
            <w:tcW w:w="2472" w:type="pct"/>
            <w:tcBorders>
              <w:top w:val="nil"/>
              <w:left w:val="single" w:sz="4" w:space="0" w:color="auto"/>
              <w:bottom w:val="single" w:sz="4" w:space="0" w:color="auto"/>
              <w:right w:val="single" w:sz="4" w:space="0" w:color="auto"/>
            </w:tcBorders>
            <w:shd w:val="clear" w:color="auto" w:fill="auto"/>
            <w:vAlign w:val="center"/>
          </w:tcPr>
          <w:p w14:paraId="5D5E6116" w14:textId="77777777" w:rsidR="004A0123" w:rsidRPr="00640447" w:rsidRDefault="004A0123" w:rsidP="008A5C11">
            <w:pPr>
              <w:jc w:val="center"/>
            </w:pPr>
            <w:r w:rsidRPr="00640447">
              <w:t>Бреусов Владимир Львович</w:t>
            </w:r>
          </w:p>
        </w:tc>
      </w:tr>
      <w:tr w:rsidR="004A0123" w:rsidRPr="00640447" w14:paraId="5B00BFEF" w14:textId="77777777" w:rsidTr="008A5C11">
        <w:trPr>
          <w:trHeight w:val="60"/>
        </w:trPr>
        <w:tc>
          <w:tcPr>
            <w:tcW w:w="2528" w:type="pct"/>
            <w:tcBorders>
              <w:top w:val="single" w:sz="4" w:space="0" w:color="auto"/>
              <w:left w:val="single" w:sz="4" w:space="0" w:color="auto"/>
            </w:tcBorders>
            <w:shd w:val="clear" w:color="auto" w:fill="FFFFFF"/>
            <w:vAlign w:val="center"/>
          </w:tcPr>
          <w:p w14:paraId="31257837" w14:textId="77777777" w:rsidR="004A0123" w:rsidRPr="00640447" w:rsidRDefault="004A0123" w:rsidP="004A0123">
            <w:pPr>
              <w:widowControl w:val="0"/>
              <w:numPr>
                <w:ilvl w:val="0"/>
                <w:numId w:val="17"/>
              </w:numPr>
              <w:spacing w:line="230" w:lineRule="exact"/>
              <w:ind w:left="0" w:firstLine="0"/>
              <w:jc w:val="center"/>
            </w:pPr>
            <w:r w:rsidRPr="00640447">
              <w:rPr>
                <w:color w:val="000000"/>
              </w:rPr>
              <w:t>Контактная информация лица, ответственного за разработку инвестиционной программы</w:t>
            </w:r>
          </w:p>
        </w:tc>
        <w:tc>
          <w:tcPr>
            <w:tcW w:w="2472" w:type="pct"/>
            <w:tcBorders>
              <w:top w:val="nil"/>
              <w:left w:val="single" w:sz="4" w:space="0" w:color="auto"/>
              <w:bottom w:val="single" w:sz="4" w:space="0" w:color="auto"/>
              <w:right w:val="single" w:sz="4" w:space="0" w:color="auto"/>
            </w:tcBorders>
            <w:shd w:val="clear" w:color="auto" w:fill="auto"/>
            <w:vAlign w:val="center"/>
          </w:tcPr>
          <w:p w14:paraId="0581AE1A" w14:textId="77777777" w:rsidR="004A0123" w:rsidRPr="00640447" w:rsidRDefault="004A0123" w:rsidP="008A5C11">
            <w:pPr>
              <w:jc w:val="center"/>
            </w:pPr>
            <w:r w:rsidRPr="00640447">
              <w:t xml:space="preserve">тел.: +7 (3842) 68-18-50  </w:t>
            </w:r>
          </w:p>
        </w:tc>
      </w:tr>
      <w:tr w:rsidR="004A0123" w:rsidRPr="00640447" w14:paraId="47BEFDA8" w14:textId="77777777" w:rsidTr="008A5C11">
        <w:trPr>
          <w:trHeight w:val="192"/>
        </w:trPr>
        <w:tc>
          <w:tcPr>
            <w:tcW w:w="2528" w:type="pct"/>
            <w:tcBorders>
              <w:top w:val="single" w:sz="4" w:space="0" w:color="auto"/>
              <w:left w:val="single" w:sz="4" w:space="0" w:color="auto"/>
            </w:tcBorders>
            <w:shd w:val="clear" w:color="auto" w:fill="FFFFFF"/>
            <w:vAlign w:val="center"/>
          </w:tcPr>
          <w:p w14:paraId="46D01F45" w14:textId="77777777" w:rsidR="004A0123" w:rsidRPr="00640447" w:rsidRDefault="004A0123" w:rsidP="004A0123">
            <w:pPr>
              <w:widowControl w:val="0"/>
              <w:numPr>
                <w:ilvl w:val="0"/>
                <w:numId w:val="17"/>
              </w:numPr>
              <w:spacing w:line="227" w:lineRule="exact"/>
              <w:ind w:left="0" w:firstLine="0"/>
              <w:jc w:val="center"/>
            </w:pPr>
            <w:r w:rsidRPr="00640447">
              <w:rPr>
                <w:color w:val="000000"/>
              </w:rPr>
              <w:t>Наименование органа исполнительной власти субъекта РФ, утвердившего инвестиционную программу</w:t>
            </w:r>
          </w:p>
        </w:tc>
        <w:tc>
          <w:tcPr>
            <w:tcW w:w="2472" w:type="pct"/>
            <w:tcBorders>
              <w:top w:val="nil"/>
              <w:left w:val="single" w:sz="4" w:space="0" w:color="auto"/>
              <w:bottom w:val="single" w:sz="4" w:space="0" w:color="auto"/>
              <w:right w:val="single" w:sz="4" w:space="0" w:color="auto"/>
            </w:tcBorders>
            <w:shd w:val="clear" w:color="auto" w:fill="auto"/>
            <w:vAlign w:val="center"/>
          </w:tcPr>
          <w:p w14:paraId="394C860A" w14:textId="77777777" w:rsidR="004A0123" w:rsidRPr="00640447" w:rsidRDefault="004A0123" w:rsidP="008A5C11">
            <w:pPr>
              <w:jc w:val="center"/>
            </w:pPr>
            <w:r w:rsidRPr="00640447">
              <w:t>Региональная энергетическая комиссия Кемеровской области</w:t>
            </w:r>
          </w:p>
        </w:tc>
      </w:tr>
      <w:tr w:rsidR="004A0123" w:rsidRPr="00640447" w14:paraId="1F6CDE67" w14:textId="77777777" w:rsidTr="008A5C11">
        <w:trPr>
          <w:trHeight w:val="201"/>
        </w:trPr>
        <w:tc>
          <w:tcPr>
            <w:tcW w:w="2528" w:type="pct"/>
            <w:tcBorders>
              <w:top w:val="single" w:sz="4" w:space="0" w:color="auto"/>
              <w:left w:val="single" w:sz="4" w:space="0" w:color="auto"/>
            </w:tcBorders>
            <w:shd w:val="clear" w:color="auto" w:fill="FFFFFF"/>
            <w:vAlign w:val="center"/>
          </w:tcPr>
          <w:p w14:paraId="0515EF93" w14:textId="77777777" w:rsidR="004A0123" w:rsidRPr="00640447" w:rsidRDefault="004A0123" w:rsidP="004A0123">
            <w:pPr>
              <w:widowControl w:val="0"/>
              <w:numPr>
                <w:ilvl w:val="0"/>
                <w:numId w:val="17"/>
              </w:numPr>
              <w:spacing w:line="230" w:lineRule="exact"/>
              <w:ind w:left="0" w:firstLine="0"/>
              <w:jc w:val="center"/>
            </w:pPr>
            <w:r w:rsidRPr="00640447">
              <w:rPr>
                <w:color w:val="000000"/>
              </w:rPr>
              <w:t>Местонахождение органа, утвердившего инвестиционную программу</w:t>
            </w:r>
          </w:p>
        </w:tc>
        <w:tc>
          <w:tcPr>
            <w:tcW w:w="2472" w:type="pct"/>
            <w:tcBorders>
              <w:top w:val="nil"/>
              <w:left w:val="single" w:sz="4" w:space="0" w:color="auto"/>
              <w:bottom w:val="single" w:sz="4" w:space="0" w:color="auto"/>
              <w:right w:val="single" w:sz="4" w:space="0" w:color="auto"/>
            </w:tcBorders>
            <w:shd w:val="clear" w:color="auto" w:fill="auto"/>
            <w:vAlign w:val="center"/>
          </w:tcPr>
          <w:p w14:paraId="35949034" w14:textId="77777777" w:rsidR="004A0123" w:rsidRPr="00640447" w:rsidRDefault="004A0123" w:rsidP="008A5C11">
            <w:pPr>
              <w:jc w:val="center"/>
            </w:pPr>
            <w:r w:rsidRPr="00640447">
              <w:t>650993, г. Кемерово, ул. Н. Островского,32</w:t>
            </w:r>
          </w:p>
        </w:tc>
      </w:tr>
      <w:tr w:rsidR="004A0123" w:rsidRPr="00640447" w14:paraId="6464A467" w14:textId="77777777" w:rsidTr="008A5C11">
        <w:trPr>
          <w:trHeight w:val="151"/>
        </w:trPr>
        <w:tc>
          <w:tcPr>
            <w:tcW w:w="2528" w:type="pct"/>
            <w:tcBorders>
              <w:top w:val="single" w:sz="4" w:space="0" w:color="auto"/>
              <w:left w:val="single" w:sz="4" w:space="0" w:color="auto"/>
            </w:tcBorders>
            <w:shd w:val="clear" w:color="auto" w:fill="FFFFFF"/>
            <w:vAlign w:val="center"/>
          </w:tcPr>
          <w:p w14:paraId="2E9CE225" w14:textId="77777777" w:rsidR="004A0123" w:rsidRPr="00640447" w:rsidRDefault="004A0123" w:rsidP="004A0123">
            <w:pPr>
              <w:widowControl w:val="0"/>
              <w:numPr>
                <w:ilvl w:val="0"/>
                <w:numId w:val="17"/>
              </w:numPr>
              <w:spacing w:line="230" w:lineRule="exact"/>
              <w:ind w:left="0" w:firstLine="0"/>
              <w:jc w:val="center"/>
            </w:pPr>
            <w:r w:rsidRPr="00640447">
              <w:rPr>
                <w:color w:val="000000"/>
              </w:rPr>
              <w:t>Должностное лицо, утвердившее инвестиционную программу</w:t>
            </w:r>
          </w:p>
        </w:tc>
        <w:tc>
          <w:tcPr>
            <w:tcW w:w="2472" w:type="pct"/>
            <w:tcBorders>
              <w:top w:val="nil"/>
              <w:left w:val="single" w:sz="4" w:space="0" w:color="auto"/>
              <w:bottom w:val="single" w:sz="4" w:space="0" w:color="auto"/>
              <w:right w:val="single" w:sz="4" w:space="0" w:color="auto"/>
            </w:tcBorders>
            <w:shd w:val="clear" w:color="auto" w:fill="auto"/>
            <w:vAlign w:val="center"/>
          </w:tcPr>
          <w:p w14:paraId="539C7F48" w14:textId="77777777" w:rsidR="004A0123" w:rsidRPr="00640447" w:rsidRDefault="004A0123" w:rsidP="008A5C11">
            <w:pPr>
              <w:jc w:val="center"/>
            </w:pPr>
            <w:r w:rsidRPr="00640447">
              <w:t xml:space="preserve">Председатель </w:t>
            </w:r>
          </w:p>
          <w:p w14:paraId="35CBBED4" w14:textId="77777777" w:rsidR="004A0123" w:rsidRPr="00640447" w:rsidRDefault="004A0123" w:rsidP="008A5C11">
            <w:pPr>
              <w:jc w:val="center"/>
            </w:pPr>
            <w:r w:rsidRPr="00640447">
              <w:t>Малюта Дмитрий Владимирович</w:t>
            </w:r>
          </w:p>
        </w:tc>
      </w:tr>
      <w:tr w:rsidR="004A0123" w:rsidRPr="00640447" w14:paraId="7DA6AAA8" w14:textId="77777777" w:rsidTr="008A5C11">
        <w:trPr>
          <w:trHeight w:val="60"/>
        </w:trPr>
        <w:tc>
          <w:tcPr>
            <w:tcW w:w="2528" w:type="pct"/>
            <w:tcBorders>
              <w:top w:val="single" w:sz="4" w:space="0" w:color="auto"/>
              <w:left w:val="single" w:sz="4" w:space="0" w:color="auto"/>
            </w:tcBorders>
            <w:shd w:val="clear" w:color="auto" w:fill="FFFFFF"/>
            <w:vAlign w:val="center"/>
          </w:tcPr>
          <w:p w14:paraId="0403F803" w14:textId="77777777" w:rsidR="004A0123" w:rsidRPr="00640447" w:rsidRDefault="004A0123" w:rsidP="004A0123">
            <w:pPr>
              <w:widowControl w:val="0"/>
              <w:numPr>
                <w:ilvl w:val="0"/>
                <w:numId w:val="17"/>
              </w:numPr>
              <w:spacing w:line="200" w:lineRule="exact"/>
              <w:ind w:left="0" w:firstLine="0"/>
              <w:jc w:val="center"/>
            </w:pPr>
            <w:r w:rsidRPr="00640447">
              <w:rPr>
                <w:color w:val="000000"/>
              </w:rPr>
              <w:t>Дата утверждения инвестиционной программы</w:t>
            </w:r>
          </w:p>
        </w:tc>
        <w:tc>
          <w:tcPr>
            <w:tcW w:w="2472" w:type="pct"/>
            <w:tcBorders>
              <w:top w:val="nil"/>
              <w:left w:val="single" w:sz="4" w:space="0" w:color="auto"/>
              <w:bottom w:val="single" w:sz="4" w:space="0" w:color="auto"/>
              <w:right w:val="single" w:sz="4" w:space="0" w:color="auto"/>
            </w:tcBorders>
            <w:shd w:val="clear" w:color="auto" w:fill="auto"/>
            <w:vAlign w:val="center"/>
          </w:tcPr>
          <w:p w14:paraId="274E307B" w14:textId="77777777" w:rsidR="004A0123" w:rsidRPr="00640447" w:rsidRDefault="004A0123" w:rsidP="008A5C11">
            <w:pPr>
              <w:jc w:val="center"/>
            </w:pPr>
            <w:r w:rsidRPr="00640447">
              <w:t>27.12.2019</w:t>
            </w:r>
          </w:p>
        </w:tc>
      </w:tr>
      <w:tr w:rsidR="004A0123" w:rsidRPr="00640447" w14:paraId="06E670A8" w14:textId="77777777" w:rsidTr="008A5C11">
        <w:trPr>
          <w:trHeight w:val="634"/>
        </w:trPr>
        <w:tc>
          <w:tcPr>
            <w:tcW w:w="2528" w:type="pct"/>
            <w:tcBorders>
              <w:top w:val="single" w:sz="4" w:space="0" w:color="auto"/>
              <w:left w:val="single" w:sz="4" w:space="0" w:color="auto"/>
            </w:tcBorders>
            <w:shd w:val="clear" w:color="auto" w:fill="FFFFFF"/>
            <w:vAlign w:val="center"/>
          </w:tcPr>
          <w:p w14:paraId="7DEDF646" w14:textId="77777777" w:rsidR="004A0123" w:rsidRPr="00640447" w:rsidRDefault="004A0123" w:rsidP="004A0123">
            <w:pPr>
              <w:widowControl w:val="0"/>
              <w:numPr>
                <w:ilvl w:val="0"/>
                <w:numId w:val="17"/>
              </w:numPr>
              <w:spacing w:line="230" w:lineRule="exact"/>
              <w:ind w:left="0" w:firstLine="0"/>
              <w:jc w:val="center"/>
            </w:pPr>
            <w:r w:rsidRPr="00640447">
              <w:rPr>
                <w:color w:val="000000"/>
              </w:rPr>
              <w:t>Контактная информация лица, ответственного за утверждение инвестиционной программы</w:t>
            </w:r>
          </w:p>
        </w:tc>
        <w:tc>
          <w:tcPr>
            <w:tcW w:w="2472" w:type="pct"/>
            <w:tcBorders>
              <w:top w:val="nil"/>
              <w:left w:val="single" w:sz="4" w:space="0" w:color="auto"/>
              <w:bottom w:val="single" w:sz="4" w:space="0" w:color="auto"/>
              <w:right w:val="single" w:sz="4" w:space="0" w:color="auto"/>
            </w:tcBorders>
            <w:shd w:val="clear" w:color="auto" w:fill="auto"/>
            <w:vAlign w:val="center"/>
          </w:tcPr>
          <w:p w14:paraId="2D0DD663" w14:textId="77777777" w:rsidR="004A0123" w:rsidRPr="00640447" w:rsidRDefault="004A0123" w:rsidP="008A5C11">
            <w:pPr>
              <w:jc w:val="center"/>
            </w:pPr>
            <w:r w:rsidRPr="00640447">
              <w:t>+7 (3842) 36-28-28 </w:t>
            </w:r>
          </w:p>
        </w:tc>
      </w:tr>
      <w:tr w:rsidR="004A0123" w:rsidRPr="00640447" w14:paraId="24943855" w14:textId="77777777" w:rsidTr="008A5C11">
        <w:trPr>
          <w:trHeight w:val="634"/>
        </w:trPr>
        <w:tc>
          <w:tcPr>
            <w:tcW w:w="2528" w:type="pct"/>
            <w:tcBorders>
              <w:top w:val="single" w:sz="4" w:space="0" w:color="auto"/>
              <w:left w:val="single" w:sz="4" w:space="0" w:color="auto"/>
            </w:tcBorders>
            <w:shd w:val="clear" w:color="auto" w:fill="FFFFFF"/>
            <w:vAlign w:val="center"/>
          </w:tcPr>
          <w:p w14:paraId="517C8498" w14:textId="77777777" w:rsidR="004A0123" w:rsidRPr="00640447" w:rsidRDefault="004A0123" w:rsidP="004A0123">
            <w:pPr>
              <w:widowControl w:val="0"/>
              <w:numPr>
                <w:ilvl w:val="0"/>
                <w:numId w:val="17"/>
              </w:numPr>
              <w:spacing w:line="230" w:lineRule="exact"/>
              <w:ind w:left="0" w:firstLine="0"/>
              <w:jc w:val="center"/>
            </w:pPr>
            <w:r w:rsidRPr="00640447">
              <w:rPr>
                <w:color w:val="000000"/>
              </w:rPr>
              <w:t>Наименование органа местного самоуправления, согласовавшего инвестиционную программу</w:t>
            </w:r>
          </w:p>
        </w:tc>
        <w:tc>
          <w:tcPr>
            <w:tcW w:w="2472" w:type="pct"/>
            <w:tcBorders>
              <w:top w:val="single" w:sz="4" w:space="0" w:color="auto"/>
              <w:left w:val="single" w:sz="4" w:space="0" w:color="auto"/>
              <w:bottom w:val="single" w:sz="4" w:space="0" w:color="auto"/>
              <w:right w:val="single" w:sz="4" w:space="0" w:color="auto"/>
            </w:tcBorders>
            <w:shd w:val="clear" w:color="auto" w:fill="auto"/>
            <w:vAlign w:val="center"/>
          </w:tcPr>
          <w:p w14:paraId="30F79176" w14:textId="77777777" w:rsidR="004A0123" w:rsidRPr="00640447" w:rsidRDefault="004A0123" w:rsidP="008A5C11">
            <w:pPr>
              <w:autoSpaceDE w:val="0"/>
              <w:autoSpaceDN w:val="0"/>
              <w:adjustRightInd w:val="0"/>
              <w:jc w:val="center"/>
            </w:pPr>
            <w:r w:rsidRPr="00640447">
              <w:t xml:space="preserve">Администрация Ленинск-Кузнецкого городского округа </w:t>
            </w:r>
          </w:p>
        </w:tc>
      </w:tr>
      <w:tr w:rsidR="004A0123" w:rsidRPr="00640447" w14:paraId="100D6C63" w14:textId="77777777" w:rsidTr="008A5C11">
        <w:trPr>
          <w:trHeight w:val="469"/>
        </w:trPr>
        <w:tc>
          <w:tcPr>
            <w:tcW w:w="2528" w:type="pct"/>
            <w:tcBorders>
              <w:top w:val="single" w:sz="4" w:space="0" w:color="auto"/>
              <w:left w:val="single" w:sz="4" w:space="0" w:color="auto"/>
            </w:tcBorders>
            <w:shd w:val="clear" w:color="auto" w:fill="FFFFFF"/>
            <w:vAlign w:val="center"/>
          </w:tcPr>
          <w:p w14:paraId="6541CDE6" w14:textId="77777777" w:rsidR="004A0123" w:rsidRPr="00640447" w:rsidRDefault="004A0123" w:rsidP="004A0123">
            <w:pPr>
              <w:widowControl w:val="0"/>
              <w:numPr>
                <w:ilvl w:val="0"/>
                <w:numId w:val="17"/>
              </w:numPr>
              <w:spacing w:line="234" w:lineRule="exact"/>
              <w:ind w:left="0" w:firstLine="0"/>
              <w:jc w:val="center"/>
            </w:pPr>
            <w:r w:rsidRPr="00640447">
              <w:rPr>
                <w:color w:val="000000"/>
              </w:rPr>
              <w:t>Местонахождение органа, согласовавшего инвестиционную программу</w:t>
            </w:r>
          </w:p>
        </w:tc>
        <w:tc>
          <w:tcPr>
            <w:tcW w:w="2472" w:type="pct"/>
            <w:tcBorders>
              <w:top w:val="nil"/>
              <w:left w:val="single" w:sz="4" w:space="0" w:color="auto"/>
              <w:bottom w:val="single" w:sz="4" w:space="0" w:color="auto"/>
              <w:right w:val="single" w:sz="4" w:space="0" w:color="auto"/>
            </w:tcBorders>
            <w:shd w:val="clear" w:color="auto" w:fill="auto"/>
            <w:vAlign w:val="center"/>
          </w:tcPr>
          <w:p w14:paraId="2884D329" w14:textId="77777777" w:rsidR="004A0123" w:rsidRPr="00640447" w:rsidRDefault="004A0123" w:rsidP="008A5C11">
            <w:pPr>
              <w:autoSpaceDE w:val="0"/>
              <w:autoSpaceDN w:val="0"/>
              <w:adjustRightInd w:val="0"/>
              <w:jc w:val="center"/>
            </w:pPr>
            <w:r w:rsidRPr="00640447">
              <w:t xml:space="preserve">652500, Кемеровская обл., </w:t>
            </w:r>
          </w:p>
          <w:p w14:paraId="0AA5A73C" w14:textId="77777777" w:rsidR="004A0123" w:rsidRPr="00640447" w:rsidRDefault="004A0123" w:rsidP="008A5C11">
            <w:pPr>
              <w:autoSpaceDE w:val="0"/>
              <w:autoSpaceDN w:val="0"/>
              <w:adjustRightInd w:val="0"/>
              <w:jc w:val="center"/>
            </w:pPr>
            <w:r w:rsidRPr="00640447">
              <w:t xml:space="preserve">г. Ленинск-кузнецкий, пр-т. Кирова, 56 </w:t>
            </w:r>
          </w:p>
        </w:tc>
      </w:tr>
      <w:tr w:rsidR="004A0123" w:rsidRPr="00640447" w14:paraId="31501490" w14:textId="77777777" w:rsidTr="008A5C11">
        <w:trPr>
          <w:trHeight w:val="212"/>
        </w:trPr>
        <w:tc>
          <w:tcPr>
            <w:tcW w:w="2528" w:type="pct"/>
            <w:tcBorders>
              <w:top w:val="single" w:sz="4" w:space="0" w:color="auto"/>
              <w:left w:val="single" w:sz="4" w:space="0" w:color="auto"/>
            </w:tcBorders>
            <w:shd w:val="clear" w:color="auto" w:fill="FFFFFF"/>
            <w:vAlign w:val="center"/>
          </w:tcPr>
          <w:p w14:paraId="6E03BF4B" w14:textId="77777777" w:rsidR="004A0123" w:rsidRPr="00640447" w:rsidRDefault="004A0123" w:rsidP="004A0123">
            <w:pPr>
              <w:widowControl w:val="0"/>
              <w:numPr>
                <w:ilvl w:val="0"/>
                <w:numId w:val="17"/>
              </w:numPr>
              <w:spacing w:line="230" w:lineRule="exact"/>
              <w:ind w:left="0" w:firstLine="0"/>
              <w:jc w:val="center"/>
            </w:pPr>
            <w:r w:rsidRPr="00640447">
              <w:rPr>
                <w:color w:val="000000"/>
              </w:rPr>
              <w:t>Должностное лицо, согласовавшее инвестиционную программу</w:t>
            </w:r>
          </w:p>
        </w:tc>
        <w:tc>
          <w:tcPr>
            <w:tcW w:w="2472" w:type="pct"/>
            <w:tcBorders>
              <w:top w:val="nil"/>
              <w:left w:val="single" w:sz="4" w:space="0" w:color="auto"/>
              <w:bottom w:val="single" w:sz="4" w:space="0" w:color="auto"/>
              <w:right w:val="single" w:sz="4" w:space="0" w:color="auto"/>
            </w:tcBorders>
            <w:shd w:val="clear" w:color="auto" w:fill="auto"/>
            <w:vAlign w:val="center"/>
          </w:tcPr>
          <w:p w14:paraId="20CE9C54" w14:textId="77777777" w:rsidR="004A0123" w:rsidRPr="00640447" w:rsidRDefault="004A0123" w:rsidP="008A5C11">
            <w:pPr>
              <w:autoSpaceDE w:val="0"/>
              <w:autoSpaceDN w:val="0"/>
              <w:adjustRightInd w:val="0"/>
              <w:jc w:val="center"/>
            </w:pPr>
            <w:r w:rsidRPr="00640447">
              <w:t xml:space="preserve">Глава Ленинск-Кузнецкого городского округа Тихонов Константин Алексеевич </w:t>
            </w:r>
          </w:p>
        </w:tc>
      </w:tr>
      <w:tr w:rsidR="004A0123" w:rsidRPr="00640447" w14:paraId="2EE54C4B" w14:textId="77777777" w:rsidTr="008A5C11">
        <w:trPr>
          <w:trHeight w:val="220"/>
        </w:trPr>
        <w:tc>
          <w:tcPr>
            <w:tcW w:w="2528" w:type="pct"/>
            <w:tcBorders>
              <w:top w:val="single" w:sz="4" w:space="0" w:color="auto"/>
              <w:left w:val="single" w:sz="4" w:space="0" w:color="auto"/>
            </w:tcBorders>
            <w:shd w:val="clear" w:color="auto" w:fill="FFFFFF"/>
            <w:vAlign w:val="center"/>
          </w:tcPr>
          <w:p w14:paraId="6831AE2E" w14:textId="77777777" w:rsidR="004A0123" w:rsidRPr="00640447" w:rsidRDefault="004A0123" w:rsidP="004A0123">
            <w:pPr>
              <w:widowControl w:val="0"/>
              <w:numPr>
                <w:ilvl w:val="0"/>
                <w:numId w:val="17"/>
              </w:numPr>
              <w:spacing w:line="200" w:lineRule="exact"/>
              <w:ind w:left="0" w:firstLine="0"/>
              <w:jc w:val="center"/>
            </w:pPr>
            <w:r w:rsidRPr="00640447">
              <w:rPr>
                <w:color w:val="000000"/>
              </w:rPr>
              <w:t>Дата согласования инвестиционной программы</w:t>
            </w:r>
          </w:p>
        </w:tc>
        <w:tc>
          <w:tcPr>
            <w:tcW w:w="2472" w:type="pct"/>
            <w:tcBorders>
              <w:top w:val="single" w:sz="4" w:space="0" w:color="auto"/>
              <w:left w:val="single" w:sz="4" w:space="0" w:color="auto"/>
              <w:bottom w:val="single" w:sz="4" w:space="0" w:color="auto"/>
              <w:right w:val="single" w:sz="4" w:space="0" w:color="auto"/>
            </w:tcBorders>
            <w:shd w:val="clear" w:color="auto" w:fill="FFFFFF"/>
            <w:vAlign w:val="center"/>
          </w:tcPr>
          <w:p w14:paraId="54F3FAB1" w14:textId="77777777" w:rsidR="004A0123" w:rsidRPr="00640447" w:rsidRDefault="004A0123" w:rsidP="008A5C11">
            <w:pPr>
              <w:jc w:val="center"/>
            </w:pPr>
            <w:r w:rsidRPr="00640447">
              <w:t>20.11.2019</w:t>
            </w:r>
          </w:p>
        </w:tc>
      </w:tr>
      <w:tr w:rsidR="004A0123" w:rsidRPr="00640447" w14:paraId="5288AD11" w14:textId="77777777" w:rsidTr="008A5C11">
        <w:trPr>
          <w:trHeight w:val="659"/>
        </w:trPr>
        <w:tc>
          <w:tcPr>
            <w:tcW w:w="2528" w:type="pct"/>
            <w:tcBorders>
              <w:top w:val="single" w:sz="4" w:space="0" w:color="auto"/>
              <w:left w:val="single" w:sz="4" w:space="0" w:color="auto"/>
              <w:bottom w:val="single" w:sz="4" w:space="0" w:color="auto"/>
            </w:tcBorders>
            <w:shd w:val="clear" w:color="auto" w:fill="FFFFFF"/>
            <w:vAlign w:val="center"/>
          </w:tcPr>
          <w:p w14:paraId="2DAC939E" w14:textId="77777777" w:rsidR="004A0123" w:rsidRPr="00640447" w:rsidRDefault="004A0123" w:rsidP="004A0123">
            <w:pPr>
              <w:widowControl w:val="0"/>
              <w:numPr>
                <w:ilvl w:val="0"/>
                <w:numId w:val="17"/>
              </w:numPr>
              <w:spacing w:line="230" w:lineRule="exact"/>
              <w:ind w:left="0" w:firstLine="0"/>
              <w:jc w:val="center"/>
            </w:pPr>
            <w:r w:rsidRPr="00640447">
              <w:rPr>
                <w:color w:val="000000"/>
              </w:rPr>
              <w:t>Контактная информация лица, ответственного за согласование инвестиционной программы</w:t>
            </w:r>
          </w:p>
        </w:tc>
        <w:tc>
          <w:tcPr>
            <w:tcW w:w="2472" w:type="pct"/>
            <w:tcBorders>
              <w:top w:val="single" w:sz="4" w:space="0" w:color="auto"/>
              <w:left w:val="single" w:sz="4" w:space="0" w:color="auto"/>
              <w:bottom w:val="single" w:sz="4" w:space="0" w:color="auto"/>
              <w:right w:val="single" w:sz="4" w:space="0" w:color="auto"/>
            </w:tcBorders>
            <w:shd w:val="clear" w:color="auto" w:fill="FFFFFF"/>
            <w:vAlign w:val="center"/>
          </w:tcPr>
          <w:p w14:paraId="50A7DAFB" w14:textId="77777777" w:rsidR="004A0123" w:rsidRPr="00640447" w:rsidRDefault="004A0123" w:rsidP="008A5C11">
            <w:pPr>
              <w:jc w:val="center"/>
            </w:pPr>
            <w:r w:rsidRPr="00640447">
              <w:t>Тел. +7(38456) 7-22-04</w:t>
            </w:r>
          </w:p>
        </w:tc>
      </w:tr>
    </w:tbl>
    <w:p w14:paraId="606455DE" w14:textId="77777777" w:rsidR="004A0123" w:rsidRPr="00640447" w:rsidRDefault="004A0123" w:rsidP="004A0123">
      <w:pPr>
        <w:ind w:left="10348" w:right="-31"/>
        <w:jc w:val="center"/>
        <w:rPr>
          <w:sz w:val="28"/>
          <w:szCs w:val="28"/>
        </w:rPr>
      </w:pPr>
    </w:p>
    <w:p w14:paraId="043F06AF" w14:textId="77777777" w:rsidR="004A0123" w:rsidRPr="00640447" w:rsidRDefault="004A0123" w:rsidP="004A0123">
      <w:pPr>
        <w:ind w:left="10348" w:right="-31"/>
        <w:jc w:val="center"/>
        <w:rPr>
          <w:sz w:val="28"/>
          <w:szCs w:val="28"/>
        </w:rPr>
        <w:sectPr w:rsidR="004A0123" w:rsidRPr="00640447" w:rsidSect="008645EE">
          <w:headerReference w:type="default" r:id="rId66"/>
          <w:headerReference w:type="first" r:id="rId67"/>
          <w:pgSz w:w="11906" w:h="16838"/>
          <w:pgMar w:top="1134" w:right="851" w:bottom="1134" w:left="1701" w:header="708" w:footer="418" w:gutter="0"/>
          <w:cols w:space="708"/>
          <w:titlePg/>
          <w:docGrid w:linePitch="360"/>
        </w:sectPr>
      </w:pPr>
    </w:p>
    <w:p w14:paraId="00F023AC" w14:textId="77777777" w:rsidR="004A0123" w:rsidRPr="00640447" w:rsidRDefault="004A0123" w:rsidP="004A0123">
      <w:pPr>
        <w:ind w:left="284" w:right="536"/>
        <w:jc w:val="center"/>
        <w:rPr>
          <w:b/>
          <w:bCs/>
          <w:sz w:val="28"/>
          <w:szCs w:val="28"/>
        </w:rPr>
      </w:pPr>
      <w:r w:rsidRPr="00640447">
        <w:rPr>
          <w:b/>
          <w:bCs/>
          <w:sz w:val="28"/>
          <w:szCs w:val="28"/>
        </w:rPr>
        <w:t xml:space="preserve">Инвестиционная программа в сфере теплоснабжения </w:t>
      </w:r>
      <w:r w:rsidRPr="00640447">
        <w:rPr>
          <w:b/>
          <w:color w:val="000000"/>
          <w:sz w:val="28"/>
          <w:szCs w:val="28"/>
        </w:rPr>
        <w:t>ОАО «Северо-Кузбасская энергетическая компания» по узлу теплоснабжения Ленинск-Кузнецкого</w:t>
      </w:r>
      <w:r w:rsidRPr="00640447">
        <w:rPr>
          <w:b/>
          <w:bCs/>
          <w:sz w:val="28"/>
          <w:szCs w:val="28"/>
        </w:rPr>
        <w:t xml:space="preserve"> городского округа на 2019 - 2028 годы</w:t>
      </w:r>
    </w:p>
    <w:tbl>
      <w:tblPr>
        <w:tblW w:w="5291" w:type="pct"/>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50"/>
        <w:gridCol w:w="1898"/>
        <w:gridCol w:w="1106"/>
        <w:gridCol w:w="1109"/>
        <w:gridCol w:w="1042"/>
        <w:gridCol w:w="357"/>
        <w:gridCol w:w="561"/>
        <w:gridCol w:w="536"/>
        <w:gridCol w:w="582"/>
        <w:gridCol w:w="567"/>
        <w:gridCol w:w="555"/>
        <w:gridCol w:w="576"/>
        <w:gridCol w:w="450"/>
        <w:gridCol w:w="459"/>
        <w:gridCol w:w="564"/>
        <w:gridCol w:w="564"/>
        <w:gridCol w:w="478"/>
        <w:gridCol w:w="475"/>
        <w:gridCol w:w="471"/>
        <w:gridCol w:w="536"/>
        <w:gridCol w:w="481"/>
        <w:gridCol w:w="450"/>
        <w:gridCol w:w="579"/>
        <w:gridCol w:w="561"/>
      </w:tblGrid>
      <w:tr w:rsidR="004A0123" w:rsidRPr="00640447" w14:paraId="189E55BB" w14:textId="77777777" w:rsidTr="008A5C11">
        <w:trPr>
          <w:trHeight w:val="65"/>
        </w:trPr>
        <w:tc>
          <w:tcPr>
            <w:tcW w:w="146" w:type="pct"/>
            <w:vMerge w:val="restart"/>
            <w:shd w:val="clear" w:color="auto" w:fill="auto"/>
            <w:vAlign w:val="center"/>
            <w:hideMark/>
          </w:tcPr>
          <w:p w14:paraId="17952486" w14:textId="77777777" w:rsidR="004A0123" w:rsidRPr="00640447" w:rsidRDefault="004A0123" w:rsidP="008A5C11">
            <w:pPr>
              <w:jc w:val="center"/>
              <w:rPr>
                <w:bCs/>
                <w:sz w:val="13"/>
                <w:szCs w:val="13"/>
              </w:rPr>
            </w:pPr>
            <w:r w:rsidRPr="00640447">
              <w:rPr>
                <w:bCs/>
                <w:sz w:val="13"/>
                <w:szCs w:val="13"/>
              </w:rPr>
              <w:t>№</w:t>
            </w:r>
            <w:r w:rsidRPr="00640447">
              <w:rPr>
                <w:bCs/>
                <w:sz w:val="13"/>
                <w:szCs w:val="13"/>
              </w:rPr>
              <w:br/>
              <w:t>п/п</w:t>
            </w:r>
          </w:p>
        </w:tc>
        <w:tc>
          <w:tcPr>
            <w:tcW w:w="616" w:type="pct"/>
            <w:vMerge w:val="restart"/>
            <w:shd w:val="clear" w:color="auto" w:fill="auto"/>
            <w:vAlign w:val="center"/>
            <w:hideMark/>
          </w:tcPr>
          <w:p w14:paraId="4FA6F482" w14:textId="77777777" w:rsidR="004A0123" w:rsidRPr="00640447" w:rsidRDefault="004A0123" w:rsidP="008A5C11">
            <w:pPr>
              <w:jc w:val="center"/>
              <w:rPr>
                <w:bCs/>
                <w:sz w:val="13"/>
                <w:szCs w:val="13"/>
              </w:rPr>
            </w:pPr>
            <w:r w:rsidRPr="00640447">
              <w:rPr>
                <w:bCs/>
                <w:sz w:val="13"/>
                <w:szCs w:val="13"/>
              </w:rPr>
              <w:t>Наименование</w:t>
            </w:r>
            <w:r w:rsidRPr="00640447">
              <w:rPr>
                <w:bCs/>
                <w:sz w:val="13"/>
                <w:szCs w:val="13"/>
              </w:rPr>
              <w:br/>
              <w:t>мероприятий</w:t>
            </w:r>
          </w:p>
        </w:tc>
        <w:tc>
          <w:tcPr>
            <w:tcW w:w="359" w:type="pct"/>
            <w:vMerge w:val="restart"/>
            <w:shd w:val="clear" w:color="auto" w:fill="auto"/>
            <w:vAlign w:val="center"/>
            <w:hideMark/>
          </w:tcPr>
          <w:p w14:paraId="52FEFDAC" w14:textId="77777777" w:rsidR="004A0123" w:rsidRPr="00640447" w:rsidRDefault="004A0123" w:rsidP="008A5C11">
            <w:pPr>
              <w:jc w:val="center"/>
              <w:rPr>
                <w:bCs/>
                <w:sz w:val="13"/>
                <w:szCs w:val="13"/>
              </w:rPr>
            </w:pPr>
            <w:r w:rsidRPr="00640447">
              <w:rPr>
                <w:bCs/>
                <w:sz w:val="13"/>
                <w:szCs w:val="13"/>
              </w:rPr>
              <w:t>Обоснование необходимости (цель реализации)</w:t>
            </w:r>
          </w:p>
        </w:tc>
        <w:tc>
          <w:tcPr>
            <w:tcW w:w="360" w:type="pct"/>
            <w:vMerge w:val="restart"/>
            <w:shd w:val="clear" w:color="auto" w:fill="auto"/>
            <w:vAlign w:val="center"/>
            <w:hideMark/>
          </w:tcPr>
          <w:p w14:paraId="1B569AEF" w14:textId="77777777" w:rsidR="004A0123" w:rsidRPr="00640447" w:rsidRDefault="004A0123" w:rsidP="008A5C11">
            <w:pPr>
              <w:jc w:val="center"/>
              <w:rPr>
                <w:bCs/>
                <w:sz w:val="13"/>
                <w:szCs w:val="13"/>
              </w:rPr>
            </w:pPr>
            <w:r w:rsidRPr="00640447">
              <w:rPr>
                <w:bCs/>
                <w:sz w:val="13"/>
                <w:szCs w:val="13"/>
              </w:rPr>
              <w:t>Описание и место расположения</w:t>
            </w:r>
            <w:r w:rsidRPr="00640447">
              <w:rPr>
                <w:bCs/>
                <w:sz w:val="13"/>
                <w:szCs w:val="13"/>
              </w:rPr>
              <w:br/>
              <w:t>объекта</w:t>
            </w:r>
          </w:p>
        </w:tc>
        <w:tc>
          <w:tcPr>
            <w:tcW w:w="810" w:type="pct"/>
            <w:gridSpan w:val="4"/>
            <w:shd w:val="clear" w:color="auto" w:fill="auto"/>
            <w:vAlign w:val="center"/>
            <w:hideMark/>
          </w:tcPr>
          <w:p w14:paraId="6482886E" w14:textId="77777777" w:rsidR="004A0123" w:rsidRPr="00640447" w:rsidRDefault="004A0123" w:rsidP="008A5C11">
            <w:pPr>
              <w:jc w:val="center"/>
              <w:rPr>
                <w:bCs/>
                <w:sz w:val="13"/>
                <w:szCs w:val="13"/>
              </w:rPr>
            </w:pPr>
            <w:r w:rsidRPr="00640447">
              <w:rPr>
                <w:bCs/>
                <w:sz w:val="13"/>
                <w:szCs w:val="13"/>
              </w:rPr>
              <w:t>Основные технические характеристики</w:t>
            </w:r>
          </w:p>
        </w:tc>
        <w:tc>
          <w:tcPr>
            <w:tcW w:w="189" w:type="pct"/>
            <w:vMerge w:val="restart"/>
            <w:shd w:val="clear" w:color="auto" w:fill="auto"/>
            <w:vAlign w:val="center"/>
            <w:hideMark/>
          </w:tcPr>
          <w:p w14:paraId="7EB8DA58" w14:textId="77777777" w:rsidR="004A0123" w:rsidRPr="00640447" w:rsidRDefault="004A0123" w:rsidP="008A5C11">
            <w:pPr>
              <w:ind w:left="-27"/>
              <w:jc w:val="center"/>
              <w:rPr>
                <w:bCs/>
                <w:sz w:val="13"/>
                <w:szCs w:val="13"/>
              </w:rPr>
            </w:pPr>
            <w:r w:rsidRPr="00640447">
              <w:rPr>
                <w:bCs/>
                <w:sz w:val="13"/>
                <w:szCs w:val="13"/>
              </w:rPr>
              <w:t xml:space="preserve">Год начала </w:t>
            </w:r>
            <w:proofErr w:type="gramStart"/>
            <w:r w:rsidRPr="00640447">
              <w:rPr>
                <w:bCs/>
                <w:sz w:val="13"/>
                <w:szCs w:val="13"/>
              </w:rPr>
              <w:t>реализа-ции</w:t>
            </w:r>
            <w:proofErr w:type="gramEnd"/>
            <w:r w:rsidRPr="00640447">
              <w:rPr>
                <w:bCs/>
                <w:sz w:val="13"/>
                <w:szCs w:val="13"/>
              </w:rPr>
              <w:t xml:space="preserve"> меропри-ятия</w:t>
            </w:r>
          </w:p>
        </w:tc>
        <w:tc>
          <w:tcPr>
            <w:tcW w:w="184" w:type="pct"/>
            <w:vMerge w:val="restart"/>
            <w:shd w:val="clear" w:color="auto" w:fill="auto"/>
            <w:vAlign w:val="center"/>
            <w:hideMark/>
          </w:tcPr>
          <w:p w14:paraId="149D61E0" w14:textId="77777777" w:rsidR="004A0123" w:rsidRPr="00640447" w:rsidRDefault="004A0123" w:rsidP="008A5C11">
            <w:pPr>
              <w:ind w:left="-3"/>
              <w:jc w:val="center"/>
              <w:rPr>
                <w:bCs/>
                <w:sz w:val="13"/>
                <w:szCs w:val="13"/>
              </w:rPr>
            </w:pPr>
            <w:r w:rsidRPr="00640447">
              <w:rPr>
                <w:bCs/>
                <w:sz w:val="13"/>
                <w:szCs w:val="13"/>
              </w:rPr>
              <w:t xml:space="preserve">Год </w:t>
            </w:r>
            <w:proofErr w:type="gramStart"/>
            <w:r w:rsidRPr="00640447">
              <w:rPr>
                <w:bCs/>
                <w:sz w:val="13"/>
                <w:szCs w:val="13"/>
              </w:rPr>
              <w:t>оконча-ния</w:t>
            </w:r>
            <w:proofErr w:type="gramEnd"/>
            <w:r w:rsidRPr="00640447">
              <w:rPr>
                <w:bCs/>
                <w:sz w:val="13"/>
                <w:szCs w:val="13"/>
              </w:rPr>
              <w:t xml:space="preserve"> реализа-ции меропри-ятия</w:t>
            </w:r>
          </w:p>
        </w:tc>
        <w:tc>
          <w:tcPr>
            <w:tcW w:w="2336" w:type="pct"/>
            <w:gridSpan w:val="14"/>
            <w:vAlign w:val="center"/>
          </w:tcPr>
          <w:p w14:paraId="74C0843F" w14:textId="77777777" w:rsidR="004A0123" w:rsidRPr="00640447" w:rsidRDefault="004A0123" w:rsidP="008A5C11">
            <w:pPr>
              <w:jc w:val="center"/>
              <w:rPr>
                <w:bCs/>
                <w:sz w:val="13"/>
                <w:szCs w:val="13"/>
              </w:rPr>
            </w:pPr>
            <w:r w:rsidRPr="00640447">
              <w:rPr>
                <w:bCs/>
                <w:sz w:val="13"/>
                <w:szCs w:val="13"/>
              </w:rPr>
              <w:t>Расходы на реализацию мероприятий в прогнозных ценах, тыс. руб. (с НДС)</w:t>
            </w:r>
          </w:p>
        </w:tc>
      </w:tr>
      <w:tr w:rsidR="004A0123" w:rsidRPr="00640447" w14:paraId="0B9BD878" w14:textId="77777777" w:rsidTr="008A5C11">
        <w:trPr>
          <w:trHeight w:val="118"/>
        </w:trPr>
        <w:tc>
          <w:tcPr>
            <w:tcW w:w="146" w:type="pct"/>
            <w:vMerge/>
            <w:shd w:val="clear" w:color="auto" w:fill="auto"/>
            <w:vAlign w:val="center"/>
            <w:hideMark/>
          </w:tcPr>
          <w:p w14:paraId="0D4BAFB1" w14:textId="77777777" w:rsidR="004A0123" w:rsidRPr="00640447" w:rsidRDefault="004A0123" w:rsidP="008A5C11">
            <w:pPr>
              <w:rPr>
                <w:bCs/>
                <w:sz w:val="13"/>
                <w:szCs w:val="13"/>
              </w:rPr>
            </w:pPr>
          </w:p>
        </w:tc>
        <w:tc>
          <w:tcPr>
            <w:tcW w:w="616" w:type="pct"/>
            <w:vMerge/>
            <w:shd w:val="clear" w:color="auto" w:fill="auto"/>
            <w:vAlign w:val="center"/>
            <w:hideMark/>
          </w:tcPr>
          <w:p w14:paraId="2B9FDB17" w14:textId="77777777" w:rsidR="004A0123" w:rsidRPr="00640447" w:rsidRDefault="004A0123" w:rsidP="008A5C11">
            <w:pPr>
              <w:rPr>
                <w:bCs/>
                <w:sz w:val="13"/>
                <w:szCs w:val="13"/>
              </w:rPr>
            </w:pPr>
          </w:p>
        </w:tc>
        <w:tc>
          <w:tcPr>
            <w:tcW w:w="359" w:type="pct"/>
            <w:vMerge/>
            <w:shd w:val="clear" w:color="auto" w:fill="auto"/>
            <w:vAlign w:val="center"/>
            <w:hideMark/>
          </w:tcPr>
          <w:p w14:paraId="2EA4C744" w14:textId="77777777" w:rsidR="004A0123" w:rsidRPr="00640447" w:rsidRDefault="004A0123" w:rsidP="008A5C11">
            <w:pPr>
              <w:rPr>
                <w:bCs/>
                <w:sz w:val="13"/>
                <w:szCs w:val="13"/>
              </w:rPr>
            </w:pPr>
          </w:p>
        </w:tc>
        <w:tc>
          <w:tcPr>
            <w:tcW w:w="360" w:type="pct"/>
            <w:vMerge/>
            <w:shd w:val="clear" w:color="auto" w:fill="auto"/>
            <w:vAlign w:val="center"/>
            <w:hideMark/>
          </w:tcPr>
          <w:p w14:paraId="027D413E" w14:textId="77777777" w:rsidR="004A0123" w:rsidRPr="00640447" w:rsidRDefault="004A0123" w:rsidP="008A5C11">
            <w:pPr>
              <w:rPr>
                <w:bCs/>
                <w:sz w:val="13"/>
                <w:szCs w:val="13"/>
              </w:rPr>
            </w:pPr>
          </w:p>
        </w:tc>
        <w:tc>
          <w:tcPr>
            <w:tcW w:w="338" w:type="pct"/>
            <w:vMerge w:val="restart"/>
            <w:shd w:val="clear" w:color="auto" w:fill="auto"/>
            <w:vAlign w:val="center"/>
            <w:hideMark/>
          </w:tcPr>
          <w:p w14:paraId="1A3C8A38" w14:textId="77777777" w:rsidR="004A0123" w:rsidRPr="00640447" w:rsidRDefault="004A0123" w:rsidP="008A5C11">
            <w:pPr>
              <w:jc w:val="center"/>
              <w:rPr>
                <w:bCs/>
                <w:sz w:val="13"/>
                <w:szCs w:val="13"/>
              </w:rPr>
            </w:pPr>
            <w:r w:rsidRPr="00640447">
              <w:rPr>
                <w:bCs/>
                <w:sz w:val="13"/>
                <w:szCs w:val="13"/>
              </w:rPr>
              <w:t xml:space="preserve">Наименование показателя (мощность, протяженность, диаметр </w:t>
            </w:r>
          </w:p>
          <w:p w14:paraId="1F8F3DA5" w14:textId="77777777" w:rsidR="004A0123" w:rsidRPr="00640447" w:rsidRDefault="004A0123" w:rsidP="008A5C11">
            <w:pPr>
              <w:jc w:val="center"/>
              <w:rPr>
                <w:bCs/>
                <w:sz w:val="13"/>
                <w:szCs w:val="13"/>
              </w:rPr>
            </w:pPr>
            <w:r w:rsidRPr="00640447">
              <w:rPr>
                <w:bCs/>
                <w:sz w:val="13"/>
                <w:szCs w:val="13"/>
              </w:rPr>
              <w:t>и т.п.)</w:t>
            </w:r>
          </w:p>
        </w:tc>
        <w:tc>
          <w:tcPr>
            <w:tcW w:w="116" w:type="pct"/>
            <w:vMerge w:val="restart"/>
            <w:shd w:val="clear" w:color="auto" w:fill="auto"/>
            <w:vAlign w:val="center"/>
            <w:hideMark/>
          </w:tcPr>
          <w:p w14:paraId="553CAF5E" w14:textId="77777777" w:rsidR="004A0123" w:rsidRPr="00640447" w:rsidRDefault="004A0123" w:rsidP="008A5C11">
            <w:pPr>
              <w:ind w:left="-108" w:right="-108"/>
              <w:jc w:val="center"/>
              <w:rPr>
                <w:bCs/>
                <w:sz w:val="13"/>
                <w:szCs w:val="13"/>
              </w:rPr>
            </w:pPr>
            <w:r w:rsidRPr="00640447">
              <w:rPr>
                <w:bCs/>
                <w:sz w:val="13"/>
                <w:szCs w:val="13"/>
              </w:rPr>
              <w:t>Ед.</w:t>
            </w:r>
            <w:r w:rsidRPr="00640447">
              <w:rPr>
                <w:bCs/>
                <w:sz w:val="13"/>
                <w:szCs w:val="13"/>
              </w:rPr>
              <w:br/>
              <w:t>изм.</w:t>
            </w:r>
          </w:p>
        </w:tc>
        <w:tc>
          <w:tcPr>
            <w:tcW w:w="356" w:type="pct"/>
            <w:gridSpan w:val="2"/>
            <w:shd w:val="clear" w:color="auto" w:fill="auto"/>
            <w:vAlign w:val="center"/>
            <w:hideMark/>
          </w:tcPr>
          <w:p w14:paraId="14208D7B" w14:textId="77777777" w:rsidR="004A0123" w:rsidRPr="00640447" w:rsidRDefault="004A0123" w:rsidP="008A5C11">
            <w:pPr>
              <w:jc w:val="center"/>
              <w:rPr>
                <w:bCs/>
                <w:sz w:val="13"/>
                <w:szCs w:val="13"/>
              </w:rPr>
            </w:pPr>
            <w:r w:rsidRPr="00640447">
              <w:rPr>
                <w:bCs/>
                <w:sz w:val="13"/>
                <w:szCs w:val="13"/>
              </w:rPr>
              <w:t>Значение показателя</w:t>
            </w:r>
          </w:p>
        </w:tc>
        <w:tc>
          <w:tcPr>
            <w:tcW w:w="189" w:type="pct"/>
            <w:vMerge/>
            <w:shd w:val="clear" w:color="auto" w:fill="auto"/>
            <w:vAlign w:val="center"/>
            <w:hideMark/>
          </w:tcPr>
          <w:p w14:paraId="3FE0637A" w14:textId="77777777" w:rsidR="004A0123" w:rsidRPr="00640447" w:rsidRDefault="004A0123" w:rsidP="008A5C11">
            <w:pPr>
              <w:rPr>
                <w:bCs/>
                <w:sz w:val="13"/>
                <w:szCs w:val="13"/>
              </w:rPr>
            </w:pPr>
          </w:p>
        </w:tc>
        <w:tc>
          <w:tcPr>
            <w:tcW w:w="184" w:type="pct"/>
            <w:vMerge/>
            <w:shd w:val="clear" w:color="auto" w:fill="auto"/>
            <w:vAlign w:val="center"/>
            <w:hideMark/>
          </w:tcPr>
          <w:p w14:paraId="1E551737" w14:textId="77777777" w:rsidR="004A0123" w:rsidRPr="00640447" w:rsidRDefault="004A0123" w:rsidP="008A5C11">
            <w:pPr>
              <w:rPr>
                <w:bCs/>
                <w:sz w:val="13"/>
                <w:szCs w:val="13"/>
              </w:rPr>
            </w:pPr>
          </w:p>
        </w:tc>
        <w:tc>
          <w:tcPr>
            <w:tcW w:w="180" w:type="pct"/>
            <w:vMerge w:val="restart"/>
            <w:shd w:val="clear" w:color="auto" w:fill="auto"/>
            <w:vAlign w:val="center"/>
            <w:hideMark/>
          </w:tcPr>
          <w:p w14:paraId="41684EEE" w14:textId="77777777" w:rsidR="004A0123" w:rsidRPr="00640447" w:rsidRDefault="004A0123" w:rsidP="008A5C11">
            <w:pPr>
              <w:jc w:val="center"/>
              <w:rPr>
                <w:bCs/>
                <w:sz w:val="13"/>
                <w:szCs w:val="13"/>
              </w:rPr>
            </w:pPr>
            <w:r w:rsidRPr="00640447">
              <w:rPr>
                <w:bCs/>
                <w:sz w:val="13"/>
                <w:szCs w:val="13"/>
              </w:rPr>
              <w:t>Всего</w:t>
            </w:r>
          </w:p>
        </w:tc>
        <w:tc>
          <w:tcPr>
            <w:tcW w:w="187" w:type="pct"/>
            <w:vMerge w:val="restart"/>
            <w:shd w:val="clear" w:color="auto" w:fill="auto"/>
            <w:vAlign w:val="center"/>
            <w:hideMark/>
          </w:tcPr>
          <w:p w14:paraId="59A8D1E8" w14:textId="77777777" w:rsidR="004A0123" w:rsidRPr="00640447" w:rsidRDefault="004A0123" w:rsidP="008A5C11">
            <w:pPr>
              <w:jc w:val="center"/>
              <w:rPr>
                <w:bCs/>
                <w:sz w:val="13"/>
                <w:szCs w:val="13"/>
              </w:rPr>
            </w:pPr>
            <w:r w:rsidRPr="00640447">
              <w:rPr>
                <w:bCs/>
                <w:sz w:val="13"/>
                <w:szCs w:val="13"/>
              </w:rPr>
              <w:t xml:space="preserve">Профи-нанси-ровано </w:t>
            </w:r>
          </w:p>
          <w:p w14:paraId="3C899C21" w14:textId="77777777" w:rsidR="004A0123" w:rsidRPr="00640447" w:rsidRDefault="004A0123" w:rsidP="008A5C11">
            <w:pPr>
              <w:jc w:val="center"/>
              <w:rPr>
                <w:bCs/>
                <w:sz w:val="13"/>
                <w:szCs w:val="13"/>
              </w:rPr>
            </w:pPr>
            <w:r w:rsidRPr="00640447">
              <w:rPr>
                <w:bCs/>
                <w:sz w:val="13"/>
                <w:szCs w:val="13"/>
              </w:rPr>
              <w:t>к 2019</w:t>
            </w:r>
          </w:p>
        </w:tc>
        <w:tc>
          <w:tcPr>
            <w:tcW w:w="1599" w:type="pct"/>
            <w:gridSpan w:val="10"/>
            <w:shd w:val="clear" w:color="auto" w:fill="auto"/>
            <w:vAlign w:val="center"/>
            <w:hideMark/>
          </w:tcPr>
          <w:p w14:paraId="06377895" w14:textId="77777777" w:rsidR="004A0123" w:rsidRPr="00640447" w:rsidRDefault="004A0123" w:rsidP="008A5C11">
            <w:pPr>
              <w:jc w:val="center"/>
              <w:rPr>
                <w:bCs/>
                <w:sz w:val="13"/>
                <w:szCs w:val="13"/>
              </w:rPr>
            </w:pPr>
            <w:r w:rsidRPr="00640447">
              <w:rPr>
                <w:bCs/>
                <w:sz w:val="13"/>
                <w:szCs w:val="13"/>
              </w:rPr>
              <w:t>в т.ч. по годам</w:t>
            </w:r>
          </w:p>
        </w:tc>
        <w:tc>
          <w:tcPr>
            <w:tcW w:w="188" w:type="pct"/>
            <w:vMerge w:val="restart"/>
          </w:tcPr>
          <w:p w14:paraId="19199066" w14:textId="77777777" w:rsidR="004A0123" w:rsidRPr="00640447" w:rsidRDefault="004A0123" w:rsidP="008A5C11">
            <w:pPr>
              <w:jc w:val="center"/>
              <w:rPr>
                <w:sz w:val="13"/>
                <w:szCs w:val="13"/>
              </w:rPr>
            </w:pPr>
          </w:p>
          <w:p w14:paraId="04C5493D" w14:textId="77777777" w:rsidR="004A0123" w:rsidRPr="00640447" w:rsidRDefault="004A0123" w:rsidP="008A5C11">
            <w:pPr>
              <w:jc w:val="center"/>
              <w:rPr>
                <w:sz w:val="13"/>
                <w:szCs w:val="13"/>
              </w:rPr>
            </w:pPr>
            <w:r w:rsidRPr="00640447">
              <w:rPr>
                <w:sz w:val="13"/>
                <w:szCs w:val="13"/>
              </w:rPr>
              <w:t>Остаток финан-сирова-ния</w:t>
            </w:r>
          </w:p>
        </w:tc>
        <w:tc>
          <w:tcPr>
            <w:tcW w:w="182" w:type="pct"/>
            <w:vMerge w:val="restart"/>
          </w:tcPr>
          <w:p w14:paraId="1F9754C5" w14:textId="77777777" w:rsidR="004A0123" w:rsidRPr="00640447" w:rsidRDefault="004A0123" w:rsidP="008A5C11">
            <w:pPr>
              <w:jc w:val="center"/>
              <w:rPr>
                <w:bCs/>
                <w:sz w:val="13"/>
                <w:szCs w:val="13"/>
              </w:rPr>
            </w:pPr>
            <w:r w:rsidRPr="00640447">
              <w:rPr>
                <w:bCs/>
                <w:sz w:val="13"/>
                <w:szCs w:val="13"/>
              </w:rPr>
              <w:t>в т.</w:t>
            </w:r>
            <w:r w:rsidRPr="00640447">
              <w:rPr>
                <w:sz w:val="13"/>
                <w:szCs w:val="13"/>
              </w:rPr>
              <w:t xml:space="preserve">ч. за счет платы за </w:t>
            </w:r>
            <w:proofErr w:type="gramStart"/>
            <w:r w:rsidRPr="00640447">
              <w:rPr>
                <w:sz w:val="13"/>
                <w:szCs w:val="13"/>
              </w:rPr>
              <w:t>подклю-чение</w:t>
            </w:r>
            <w:proofErr w:type="gramEnd"/>
          </w:p>
        </w:tc>
      </w:tr>
      <w:tr w:rsidR="004A0123" w:rsidRPr="00640447" w14:paraId="26AE3B0E" w14:textId="77777777" w:rsidTr="008A5C11">
        <w:trPr>
          <w:trHeight w:val="519"/>
        </w:trPr>
        <w:tc>
          <w:tcPr>
            <w:tcW w:w="146" w:type="pct"/>
            <w:vMerge/>
            <w:shd w:val="clear" w:color="auto" w:fill="auto"/>
            <w:vAlign w:val="center"/>
            <w:hideMark/>
          </w:tcPr>
          <w:p w14:paraId="74CC3155" w14:textId="77777777" w:rsidR="004A0123" w:rsidRPr="00640447" w:rsidRDefault="004A0123" w:rsidP="008A5C11">
            <w:pPr>
              <w:rPr>
                <w:bCs/>
                <w:sz w:val="13"/>
                <w:szCs w:val="13"/>
              </w:rPr>
            </w:pPr>
          </w:p>
        </w:tc>
        <w:tc>
          <w:tcPr>
            <w:tcW w:w="616" w:type="pct"/>
            <w:vMerge/>
            <w:shd w:val="clear" w:color="auto" w:fill="auto"/>
            <w:vAlign w:val="center"/>
            <w:hideMark/>
          </w:tcPr>
          <w:p w14:paraId="588D7D7E" w14:textId="77777777" w:rsidR="004A0123" w:rsidRPr="00640447" w:rsidRDefault="004A0123" w:rsidP="008A5C11">
            <w:pPr>
              <w:rPr>
                <w:bCs/>
                <w:sz w:val="13"/>
                <w:szCs w:val="13"/>
              </w:rPr>
            </w:pPr>
          </w:p>
        </w:tc>
        <w:tc>
          <w:tcPr>
            <w:tcW w:w="359" w:type="pct"/>
            <w:vMerge/>
            <w:shd w:val="clear" w:color="auto" w:fill="auto"/>
            <w:vAlign w:val="center"/>
            <w:hideMark/>
          </w:tcPr>
          <w:p w14:paraId="47142F1A" w14:textId="77777777" w:rsidR="004A0123" w:rsidRPr="00640447" w:rsidRDefault="004A0123" w:rsidP="008A5C11">
            <w:pPr>
              <w:rPr>
                <w:bCs/>
                <w:sz w:val="13"/>
                <w:szCs w:val="13"/>
              </w:rPr>
            </w:pPr>
          </w:p>
        </w:tc>
        <w:tc>
          <w:tcPr>
            <w:tcW w:w="360" w:type="pct"/>
            <w:vMerge/>
            <w:shd w:val="clear" w:color="auto" w:fill="auto"/>
            <w:vAlign w:val="center"/>
            <w:hideMark/>
          </w:tcPr>
          <w:p w14:paraId="6C5FDA99" w14:textId="77777777" w:rsidR="004A0123" w:rsidRPr="00640447" w:rsidRDefault="004A0123" w:rsidP="008A5C11">
            <w:pPr>
              <w:rPr>
                <w:bCs/>
                <w:sz w:val="13"/>
                <w:szCs w:val="13"/>
              </w:rPr>
            </w:pPr>
          </w:p>
        </w:tc>
        <w:tc>
          <w:tcPr>
            <w:tcW w:w="338" w:type="pct"/>
            <w:vMerge/>
            <w:shd w:val="clear" w:color="auto" w:fill="auto"/>
            <w:vAlign w:val="center"/>
            <w:hideMark/>
          </w:tcPr>
          <w:p w14:paraId="34521DD6" w14:textId="77777777" w:rsidR="004A0123" w:rsidRPr="00640447" w:rsidRDefault="004A0123" w:rsidP="008A5C11">
            <w:pPr>
              <w:rPr>
                <w:bCs/>
                <w:sz w:val="13"/>
                <w:szCs w:val="13"/>
              </w:rPr>
            </w:pPr>
          </w:p>
        </w:tc>
        <w:tc>
          <w:tcPr>
            <w:tcW w:w="116" w:type="pct"/>
            <w:vMerge/>
            <w:shd w:val="clear" w:color="auto" w:fill="auto"/>
            <w:vAlign w:val="center"/>
            <w:hideMark/>
          </w:tcPr>
          <w:p w14:paraId="4D4F7721" w14:textId="77777777" w:rsidR="004A0123" w:rsidRPr="00640447" w:rsidRDefault="004A0123" w:rsidP="008A5C11">
            <w:pPr>
              <w:rPr>
                <w:bCs/>
                <w:sz w:val="13"/>
                <w:szCs w:val="13"/>
              </w:rPr>
            </w:pPr>
          </w:p>
        </w:tc>
        <w:tc>
          <w:tcPr>
            <w:tcW w:w="182" w:type="pct"/>
            <w:shd w:val="clear" w:color="auto" w:fill="auto"/>
            <w:vAlign w:val="center"/>
            <w:hideMark/>
          </w:tcPr>
          <w:p w14:paraId="7C9A0566" w14:textId="77777777" w:rsidR="004A0123" w:rsidRPr="00640447" w:rsidRDefault="004A0123" w:rsidP="008A5C11">
            <w:pPr>
              <w:jc w:val="center"/>
              <w:rPr>
                <w:bCs/>
                <w:sz w:val="13"/>
                <w:szCs w:val="13"/>
              </w:rPr>
            </w:pPr>
            <w:r w:rsidRPr="00640447">
              <w:rPr>
                <w:bCs/>
                <w:sz w:val="13"/>
                <w:szCs w:val="13"/>
              </w:rPr>
              <w:t xml:space="preserve">до </w:t>
            </w:r>
            <w:proofErr w:type="gramStart"/>
            <w:r w:rsidRPr="00640447">
              <w:rPr>
                <w:bCs/>
                <w:sz w:val="13"/>
                <w:szCs w:val="13"/>
              </w:rPr>
              <w:t>реа-лизации</w:t>
            </w:r>
            <w:proofErr w:type="gramEnd"/>
            <w:r w:rsidRPr="00640447">
              <w:rPr>
                <w:bCs/>
                <w:sz w:val="13"/>
                <w:szCs w:val="13"/>
              </w:rPr>
              <w:t xml:space="preserve"> меро-приятия</w:t>
            </w:r>
          </w:p>
        </w:tc>
        <w:tc>
          <w:tcPr>
            <w:tcW w:w="174" w:type="pct"/>
            <w:shd w:val="clear" w:color="auto" w:fill="auto"/>
            <w:vAlign w:val="center"/>
            <w:hideMark/>
          </w:tcPr>
          <w:p w14:paraId="3BCE2725" w14:textId="77777777" w:rsidR="004A0123" w:rsidRPr="00640447" w:rsidRDefault="004A0123" w:rsidP="008A5C11">
            <w:pPr>
              <w:jc w:val="center"/>
              <w:rPr>
                <w:bCs/>
                <w:sz w:val="13"/>
                <w:szCs w:val="13"/>
              </w:rPr>
            </w:pPr>
            <w:r w:rsidRPr="00640447">
              <w:rPr>
                <w:bCs/>
                <w:sz w:val="13"/>
                <w:szCs w:val="13"/>
              </w:rPr>
              <w:t xml:space="preserve">после </w:t>
            </w:r>
            <w:proofErr w:type="gramStart"/>
            <w:r w:rsidRPr="00640447">
              <w:rPr>
                <w:bCs/>
                <w:sz w:val="13"/>
                <w:szCs w:val="13"/>
              </w:rPr>
              <w:t>реали-зации</w:t>
            </w:r>
            <w:proofErr w:type="gramEnd"/>
            <w:r w:rsidRPr="00640447">
              <w:rPr>
                <w:bCs/>
                <w:sz w:val="13"/>
                <w:szCs w:val="13"/>
              </w:rPr>
              <w:t xml:space="preserve"> меро-приятия</w:t>
            </w:r>
          </w:p>
        </w:tc>
        <w:tc>
          <w:tcPr>
            <w:tcW w:w="189" w:type="pct"/>
            <w:vMerge/>
            <w:shd w:val="clear" w:color="auto" w:fill="auto"/>
            <w:vAlign w:val="center"/>
            <w:hideMark/>
          </w:tcPr>
          <w:p w14:paraId="6EC0917A" w14:textId="77777777" w:rsidR="004A0123" w:rsidRPr="00640447" w:rsidRDefault="004A0123" w:rsidP="008A5C11">
            <w:pPr>
              <w:rPr>
                <w:bCs/>
                <w:sz w:val="13"/>
                <w:szCs w:val="13"/>
              </w:rPr>
            </w:pPr>
          </w:p>
        </w:tc>
        <w:tc>
          <w:tcPr>
            <w:tcW w:w="184" w:type="pct"/>
            <w:vMerge/>
            <w:shd w:val="clear" w:color="auto" w:fill="auto"/>
            <w:vAlign w:val="center"/>
            <w:hideMark/>
          </w:tcPr>
          <w:p w14:paraId="6C99E9C2" w14:textId="77777777" w:rsidR="004A0123" w:rsidRPr="00640447" w:rsidRDefault="004A0123" w:rsidP="008A5C11">
            <w:pPr>
              <w:rPr>
                <w:bCs/>
                <w:sz w:val="13"/>
                <w:szCs w:val="13"/>
              </w:rPr>
            </w:pPr>
          </w:p>
        </w:tc>
        <w:tc>
          <w:tcPr>
            <w:tcW w:w="180" w:type="pct"/>
            <w:vMerge/>
            <w:shd w:val="clear" w:color="auto" w:fill="auto"/>
            <w:vAlign w:val="center"/>
            <w:hideMark/>
          </w:tcPr>
          <w:p w14:paraId="67A99BCE" w14:textId="77777777" w:rsidR="004A0123" w:rsidRPr="00640447" w:rsidRDefault="004A0123" w:rsidP="008A5C11">
            <w:pPr>
              <w:rPr>
                <w:bCs/>
                <w:sz w:val="13"/>
                <w:szCs w:val="13"/>
              </w:rPr>
            </w:pPr>
          </w:p>
        </w:tc>
        <w:tc>
          <w:tcPr>
            <w:tcW w:w="187" w:type="pct"/>
            <w:vMerge/>
            <w:shd w:val="clear" w:color="auto" w:fill="auto"/>
            <w:vAlign w:val="center"/>
            <w:hideMark/>
          </w:tcPr>
          <w:p w14:paraId="70CB1010" w14:textId="77777777" w:rsidR="004A0123" w:rsidRPr="00640447" w:rsidRDefault="004A0123" w:rsidP="008A5C11">
            <w:pPr>
              <w:rPr>
                <w:bCs/>
                <w:sz w:val="13"/>
                <w:szCs w:val="13"/>
              </w:rPr>
            </w:pPr>
          </w:p>
        </w:tc>
        <w:tc>
          <w:tcPr>
            <w:tcW w:w="146" w:type="pct"/>
            <w:shd w:val="clear" w:color="auto" w:fill="auto"/>
            <w:vAlign w:val="center"/>
            <w:hideMark/>
          </w:tcPr>
          <w:p w14:paraId="39343B09" w14:textId="77777777" w:rsidR="004A0123" w:rsidRPr="00640447" w:rsidRDefault="004A0123" w:rsidP="008A5C11">
            <w:pPr>
              <w:jc w:val="center"/>
              <w:rPr>
                <w:bCs/>
                <w:sz w:val="13"/>
                <w:szCs w:val="13"/>
              </w:rPr>
            </w:pPr>
            <w:r w:rsidRPr="00640447">
              <w:rPr>
                <w:bCs/>
                <w:sz w:val="13"/>
                <w:szCs w:val="13"/>
              </w:rPr>
              <w:t>2019</w:t>
            </w:r>
          </w:p>
        </w:tc>
        <w:tc>
          <w:tcPr>
            <w:tcW w:w="149" w:type="pct"/>
            <w:shd w:val="clear" w:color="auto" w:fill="auto"/>
            <w:vAlign w:val="center"/>
            <w:hideMark/>
          </w:tcPr>
          <w:p w14:paraId="23C9A09D" w14:textId="77777777" w:rsidR="004A0123" w:rsidRPr="00640447" w:rsidRDefault="004A0123" w:rsidP="008A5C11">
            <w:pPr>
              <w:jc w:val="center"/>
              <w:rPr>
                <w:bCs/>
                <w:sz w:val="13"/>
                <w:szCs w:val="13"/>
              </w:rPr>
            </w:pPr>
            <w:r w:rsidRPr="00640447">
              <w:rPr>
                <w:bCs/>
                <w:sz w:val="13"/>
                <w:szCs w:val="13"/>
              </w:rPr>
              <w:t>2020</w:t>
            </w:r>
          </w:p>
        </w:tc>
        <w:tc>
          <w:tcPr>
            <w:tcW w:w="183" w:type="pct"/>
            <w:shd w:val="clear" w:color="auto" w:fill="auto"/>
            <w:vAlign w:val="center"/>
            <w:hideMark/>
          </w:tcPr>
          <w:p w14:paraId="0923606F" w14:textId="77777777" w:rsidR="004A0123" w:rsidRPr="00640447" w:rsidRDefault="004A0123" w:rsidP="008A5C11">
            <w:pPr>
              <w:jc w:val="center"/>
              <w:rPr>
                <w:bCs/>
                <w:sz w:val="13"/>
                <w:szCs w:val="13"/>
              </w:rPr>
            </w:pPr>
            <w:r w:rsidRPr="00640447">
              <w:rPr>
                <w:bCs/>
                <w:sz w:val="13"/>
                <w:szCs w:val="13"/>
              </w:rPr>
              <w:t>2021</w:t>
            </w:r>
          </w:p>
        </w:tc>
        <w:tc>
          <w:tcPr>
            <w:tcW w:w="183" w:type="pct"/>
            <w:vAlign w:val="center"/>
          </w:tcPr>
          <w:p w14:paraId="2D373B0C" w14:textId="77777777" w:rsidR="004A0123" w:rsidRPr="00640447" w:rsidRDefault="004A0123" w:rsidP="008A5C11">
            <w:pPr>
              <w:jc w:val="center"/>
              <w:rPr>
                <w:bCs/>
                <w:sz w:val="13"/>
                <w:szCs w:val="13"/>
              </w:rPr>
            </w:pPr>
            <w:r w:rsidRPr="00640447">
              <w:rPr>
                <w:bCs/>
                <w:sz w:val="13"/>
                <w:szCs w:val="13"/>
              </w:rPr>
              <w:t>2022</w:t>
            </w:r>
          </w:p>
        </w:tc>
        <w:tc>
          <w:tcPr>
            <w:tcW w:w="155" w:type="pct"/>
            <w:vAlign w:val="center"/>
          </w:tcPr>
          <w:p w14:paraId="3AE10218" w14:textId="77777777" w:rsidR="004A0123" w:rsidRPr="00640447" w:rsidRDefault="004A0123" w:rsidP="008A5C11">
            <w:pPr>
              <w:jc w:val="center"/>
              <w:rPr>
                <w:bCs/>
                <w:sz w:val="13"/>
                <w:szCs w:val="13"/>
              </w:rPr>
            </w:pPr>
            <w:r w:rsidRPr="00640447">
              <w:rPr>
                <w:bCs/>
                <w:sz w:val="13"/>
                <w:szCs w:val="13"/>
              </w:rPr>
              <w:t>2023</w:t>
            </w:r>
          </w:p>
        </w:tc>
        <w:tc>
          <w:tcPr>
            <w:tcW w:w="154" w:type="pct"/>
            <w:vAlign w:val="center"/>
          </w:tcPr>
          <w:p w14:paraId="651A182D" w14:textId="77777777" w:rsidR="004A0123" w:rsidRPr="00640447" w:rsidRDefault="004A0123" w:rsidP="008A5C11">
            <w:pPr>
              <w:jc w:val="center"/>
              <w:rPr>
                <w:bCs/>
                <w:sz w:val="13"/>
                <w:szCs w:val="13"/>
              </w:rPr>
            </w:pPr>
            <w:r w:rsidRPr="00640447">
              <w:rPr>
                <w:bCs/>
                <w:sz w:val="13"/>
                <w:szCs w:val="13"/>
              </w:rPr>
              <w:t>2024</w:t>
            </w:r>
          </w:p>
        </w:tc>
        <w:tc>
          <w:tcPr>
            <w:tcW w:w="153" w:type="pct"/>
            <w:vAlign w:val="center"/>
          </w:tcPr>
          <w:p w14:paraId="351E5ECC" w14:textId="77777777" w:rsidR="004A0123" w:rsidRPr="00640447" w:rsidRDefault="004A0123" w:rsidP="008A5C11">
            <w:pPr>
              <w:jc w:val="center"/>
              <w:rPr>
                <w:bCs/>
                <w:sz w:val="13"/>
                <w:szCs w:val="13"/>
              </w:rPr>
            </w:pPr>
            <w:r w:rsidRPr="00640447">
              <w:rPr>
                <w:bCs/>
                <w:sz w:val="13"/>
                <w:szCs w:val="13"/>
              </w:rPr>
              <w:t>2025</w:t>
            </w:r>
          </w:p>
        </w:tc>
        <w:tc>
          <w:tcPr>
            <w:tcW w:w="174" w:type="pct"/>
            <w:vAlign w:val="center"/>
          </w:tcPr>
          <w:p w14:paraId="692799E3" w14:textId="77777777" w:rsidR="004A0123" w:rsidRPr="00640447" w:rsidRDefault="004A0123" w:rsidP="008A5C11">
            <w:pPr>
              <w:jc w:val="center"/>
              <w:rPr>
                <w:bCs/>
                <w:sz w:val="13"/>
                <w:szCs w:val="13"/>
              </w:rPr>
            </w:pPr>
            <w:r w:rsidRPr="00640447">
              <w:rPr>
                <w:bCs/>
                <w:sz w:val="13"/>
                <w:szCs w:val="13"/>
              </w:rPr>
              <w:t>2026</w:t>
            </w:r>
          </w:p>
        </w:tc>
        <w:tc>
          <w:tcPr>
            <w:tcW w:w="156" w:type="pct"/>
            <w:vAlign w:val="center"/>
          </w:tcPr>
          <w:p w14:paraId="2F479B3E" w14:textId="77777777" w:rsidR="004A0123" w:rsidRPr="00640447" w:rsidRDefault="004A0123" w:rsidP="008A5C11">
            <w:pPr>
              <w:jc w:val="center"/>
              <w:rPr>
                <w:bCs/>
                <w:sz w:val="13"/>
                <w:szCs w:val="13"/>
              </w:rPr>
            </w:pPr>
            <w:r w:rsidRPr="00640447">
              <w:rPr>
                <w:bCs/>
                <w:sz w:val="13"/>
                <w:szCs w:val="13"/>
              </w:rPr>
              <w:t>2027</w:t>
            </w:r>
          </w:p>
        </w:tc>
        <w:tc>
          <w:tcPr>
            <w:tcW w:w="146" w:type="pct"/>
            <w:vAlign w:val="center"/>
          </w:tcPr>
          <w:p w14:paraId="691B6413" w14:textId="77777777" w:rsidR="004A0123" w:rsidRPr="00640447" w:rsidRDefault="004A0123" w:rsidP="008A5C11">
            <w:pPr>
              <w:jc w:val="center"/>
              <w:rPr>
                <w:bCs/>
                <w:sz w:val="13"/>
                <w:szCs w:val="13"/>
              </w:rPr>
            </w:pPr>
            <w:r w:rsidRPr="00640447">
              <w:rPr>
                <w:bCs/>
                <w:sz w:val="13"/>
                <w:szCs w:val="13"/>
              </w:rPr>
              <w:t>2028</w:t>
            </w:r>
          </w:p>
        </w:tc>
        <w:tc>
          <w:tcPr>
            <w:tcW w:w="188" w:type="pct"/>
            <w:vMerge/>
          </w:tcPr>
          <w:p w14:paraId="5ADB22D7" w14:textId="77777777" w:rsidR="004A0123" w:rsidRPr="00640447" w:rsidRDefault="004A0123" w:rsidP="008A5C11">
            <w:pPr>
              <w:rPr>
                <w:bCs/>
                <w:sz w:val="13"/>
                <w:szCs w:val="13"/>
              </w:rPr>
            </w:pPr>
          </w:p>
        </w:tc>
        <w:tc>
          <w:tcPr>
            <w:tcW w:w="182" w:type="pct"/>
            <w:vMerge/>
          </w:tcPr>
          <w:p w14:paraId="23D46833" w14:textId="77777777" w:rsidR="004A0123" w:rsidRPr="00640447" w:rsidRDefault="004A0123" w:rsidP="008A5C11">
            <w:pPr>
              <w:rPr>
                <w:bCs/>
                <w:sz w:val="13"/>
                <w:szCs w:val="13"/>
              </w:rPr>
            </w:pPr>
          </w:p>
        </w:tc>
      </w:tr>
      <w:tr w:rsidR="004A0123" w:rsidRPr="00640447" w14:paraId="44562868" w14:textId="77777777" w:rsidTr="008A5C11">
        <w:trPr>
          <w:trHeight w:val="110"/>
        </w:trPr>
        <w:tc>
          <w:tcPr>
            <w:tcW w:w="146" w:type="pct"/>
            <w:shd w:val="clear" w:color="auto" w:fill="auto"/>
            <w:vAlign w:val="center"/>
          </w:tcPr>
          <w:p w14:paraId="051C495A" w14:textId="77777777" w:rsidR="004A0123" w:rsidRPr="00640447" w:rsidRDefault="004A0123" w:rsidP="008A5C11">
            <w:pPr>
              <w:jc w:val="center"/>
              <w:rPr>
                <w:bCs/>
                <w:sz w:val="13"/>
                <w:szCs w:val="13"/>
              </w:rPr>
            </w:pPr>
            <w:r w:rsidRPr="00640447">
              <w:rPr>
                <w:bCs/>
                <w:sz w:val="13"/>
                <w:szCs w:val="13"/>
              </w:rPr>
              <w:t>1</w:t>
            </w:r>
          </w:p>
        </w:tc>
        <w:tc>
          <w:tcPr>
            <w:tcW w:w="616" w:type="pct"/>
            <w:shd w:val="clear" w:color="auto" w:fill="auto"/>
            <w:vAlign w:val="center"/>
          </w:tcPr>
          <w:p w14:paraId="2936BD31" w14:textId="77777777" w:rsidR="004A0123" w:rsidRPr="00640447" w:rsidRDefault="004A0123" w:rsidP="008A5C11">
            <w:pPr>
              <w:jc w:val="center"/>
              <w:rPr>
                <w:bCs/>
                <w:sz w:val="13"/>
                <w:szCs w:val="13"/>
              </w:rPr>
            </w:pPr>
            <w:r w:rsidRPr="00640447">
              <w:rPr>
                <w:bCs/>
                <w:sz w:val="13"/>
                <w:szCs w:val="13"/>
              </w:rPr>
              <w:t>2</w:t>
            </w:r>
          </w:p>
        </w:tc>
        <w:tc>
          <w:tcPr>
            <w:tcW w:w="359" w:type="pct"/>
            <w:shd w:val="clear" w:color="auto" w:fill="auto"/>
            <w:vAlign w:val="center"/>
          </w:tcPr>
          <w:p w14:paraId="3404BCD2" w14:textId="77777777" w:rsidR="004A0123" w:rsidRPr="00640447" w:rsidRDefault="004A0123" w:rsidP="008A5C11">
            <w:pPr>
              <w:jc w:val="center"/>
              <w:rPr>
                <w:bCs/>
                <w:sz w:val="13"/>
                <w:szCs w:val="13"/>
              </w:rPr>
            </w:pPr>
            <w:r w:rsidRPr="00640447">
              <w:rPr>
                <w:bCs/>
                <w:sz w:val="13"/>
                <w:szCs w:val="13"/>
              </w:rPr>
              <w:t>3</w:t>
            </w:r>
          </w:p>
        </w:tc>
        <w:tc>
          <w:tcPr>
            <w:tcW w:w="360" w:type="pct"/>
            <w:shd w:val="clear" w:color="auto" w:fill="auto"/>
            <w:vAlign w:val="center"/>
          </w:tcPr>
          <w:p w14:paraId="34CC8AB9" w14:textId="77777777" w:rsidR="004A0123" w:rsidRPr="00640447" w:rsidRDefault="004A0123" w:rsidP="008A5C11">
            <w:pPr>
              <w:jc w:val="center"/>
              <w:rPr>
                <w:bCs/>
                <w:sz w:val="13"/>
                <w:szCs w:val="13"/>
              </w:rPr>
            </w:pPr>
            <w:r w:rsidRPr="00640447">
              <w:rPr>
                <w:bCs/>
                <w:sz w:val="13"/>
                <w:szCs w:val="13"/>
              </w:rPr>
              <w:t>4</w:t>
            </w:r>
          </w:p>
        </w:tc>
        <w:tc>
          <w:tcPr>
            <w:tcW w:w="338" w:type="pct"/>
            <w:shd w:val="clear" w:color="auto" w:fill="auto"/>
            <w:vAlign w:val="center"/>
          </w:tcPr>
          <w:p w14:paraId="25F2AB28" w14:textId="77777777" w:rsidR="004A0123" w:rsidRPr="00640447" w:rsidRDefault="004A0123" w:rsidP="008A5C11">
            <w:pPr>
              <w:jc w:val="center"/>
              <w:rPr>
                <w:bCs/>
                <w:sz w:val="13"/>
                <w:szCs w:val="13"/>
              </w:rPr>
            </w:pPr>
            <w:r w:rsidRPr="00640447">
              <w:rPr>
                <w:bCs/>
                <w:sz w:val="13"/>
                <w:szCs w:val="13"/>
              </w:rPr>
              <w:t>5</w:t>
            </w:r>
          </w:p>
        </w:tc>
        <w:tc>
          <w:tcPr>
            <w:tcW w:w="116" w:type="pct"/>
            <w:shd w:val="clear" w:color="auto" w:fill="auto"/>
            <w:vAlign w:val="center"/>
          </w:tcPr>
          <w:p w14:paraId="699CF01A" w14:textId="77777777" w:rsidR="004A0123" w:rsidRPr="00640447" w:rsidRDefault="004A0123" w:rsidP="008A5C11">
            <w:pPr>
              <w:jc w:val="center"/>
              <w:rPr>
                <w:bCs/>
                <w:sz w:val="13"/>
                <w:szCs w:val="13"/>
              </w:rPr>
            </w:pPr>
            <w:r w:rsidRPr="00640447">
              <w:rPr>
                <w:bCs/>
                <w:sz w:val="13"/>
                <w:szCs w:val="13"/>
              </w:rPr>
              <w:t>6</w:t>
            </w:r>
          </w:p>
        </w:tc>
        <w:tc>
          <w:tcPr>
            <w:tcW w:w="182" w:type="pct"/>
            <w:shd w:val="clear" w:color="auto" w:fill="auto"/>
            <w:vAlign w:val="center"/>
          </w:tcPr>
          <w:p w14:paraId="44B3F5BA" w14:textId="77777777" w:rsidR="004A0123" w:rsidRPr="00640447" w:rsidRDefault="004A0123" w:rsidP="008A5C11">
            <w:pPr>
              <w:jc w:val="center"/>
              <w:rPr>
                <w:bCs/>
                <w:sz w:val="13"/>
                <w:szCs w:val="13"/>
              </w:rPr>
            </w:pPr>
            <w:r w:rsidRPr="00640447">
              <w:rPr>
                <w:bCs/>
                <w:sz w:val="13"/>
                <w:szCs w:val="13"/>
              </w:rPr>
              <w:t>7</w:t>
            </w:r>
          </w:p>
        </w:tc>
        <w:tc>
          <w:tcPr>
            <w:tcW w:w="174" w:type="pct"/>
            <w:shd w:val="clear" w:color="auto" w:fill="auto"/>
            <w:vAlign w:val="center"/>
          </w:tcPr>
          <w:p w14:paraId="46E6CA12" w14:textId="77777777" w:rsidR="004A0123" w:rsidRPr="00640447" w:rsidRDefault="004A0123" w:rsidP="008A5C11">
            <w:pPr>
              <w:jc w:val="center"/>
              <w:rPr>
                <w:bCs/>
                <w:sz w:val="13"/>
                <w:szCs w:val="13"/>
              </w:rPr>
            </w:pPr>
            <w:r w:rsidRPr="00640447">
              <w:rPr>
                <w:bCs/>
                <w:sz w:val="13"/>
                <w:szCs w:val="13"/>
              </w:rPr>
              <w:t>8</w:t>
            </w:r>
          </w:p>
        </w:tc>
        <w:tc>
          <w:tcPr>
            <w:tcW w:w="189" w:type="pct"/>
            <w:shd w:val="clear" w:color="auto" w:fill="auto"/>
            <w:vAlign w:val="center"/>
          </w:tcPr>
          <w:p w14:paraId="1EE2E4CA" w14:textId="77777777" w:rsidR="004A0123" w:rsidRPr="00640447" w:rsidRDefault="004A0123" w:rsidP="008A5C11">
            <w:pPr>
              <w:jc w:val="center"/>
              <w:rPr>
                <w:bCs/>
                <w:sz w:val="13"/>
                <w:szCs w:val="13"/>
              </w:rPr>
            </w:pPr>
            <w:r w:rsidRPr="00640447">
              <w:rPr>
                <w:bCs/>
                <w:sz w:val="13"/>
                <w:szCs w:val="13"/>
              </w:rPr>
              <w:t>9</w:t>
            </w:r>
          </w:p>
        </w:tc>
        <w:tc>
          <w:tcPr>
            <w:tcW w:w="184" w:type="pct"/>
            <w:shd w:val="clear" w:color="auto" w:fill="auto"/>
            <w:vAlign w:val="center"/>
          </w:tcPr>
          <w:p w14:paraId="016FE178" w14:textId="77777777" w:rsidR="004A0123" w:rsidRPr="00640447" w:rsidRDefault="004A0123" w:rsidP="008A5C11">
            <w:pPr>
              <w:jc w:val="center"/>
              <w:rPr>
                <w:bCs/>
                <w:sz w:val="13"/>
                <w:szCs w:val="13"/>
              </w:rPr>
            </w:pPr>
            <w:r w:rsidRPr="00640447">
              <w:rPr>
                <w:bCs/>
                <w:sz w:val="13"/>
                <w:szCs w:val="13"/>
              </w:rPr>
              <w:t>10</w:t>
            </w:r>
          </w:p>
        </w:tc>
        <w:tc>
          <w:tcPr>
            <w:tcW w:w="180" w:type="pct"/>
            <w:shd w:val="clear" w:color="auto" w:fill="auto"/>
            <w:vAlign w:val="center"/>
          </w:tcPr>
          <w:p w14:paraId="3C296208" w14:textId="77777777" w:rsidR="004A0123" w:rsidRPr="00640447" w:rsidRDefault="004A0123" w:rsidP="008A5C11">
            <w:pPr>
              <w:jc w:val="center"/>
              <w:rPr>
                <w:bCs/>
                <w:sz w:val="13"/>
                <w:szCs w:val="13"/>
              </w:rPr>
            </w:pPr>
            <w:r w:rsidRPr="00640447">
              <w:rPr>
                <w:bCs/>
                <w:sz w:val="13"/>
                <w:szCs w:val="13"/>
              </w:rPr>
              <w:t>11</w:t>
            </w:r>
          </w:p>
        </w:tc>
        <w:tc>
          <w:tcPr>
            <w:tcW w:w="187" w:type="pct"/>
            <w:shd w:val="clear" w:color="auto" w:fill="auto"/>
            <w:vAlign w:val="center"/>
          </w:tcPr>
          <w:p w14:paraId="1AA2918B" w14:textId="77777777" w:rsidR="004A0123" w:rsidRPr="00640447" w:rsidRDefault="004A0123" w:rsidP="008A5C11">
            <w:pPr>
              <w:jc w:val="center"/>
              <w:rPr>
                <w:bCs/>
                <w:sz w:val="13"/>
                <w:szCs w:val="13"/>
              </w:rPr>
            </w:pPr>
            <w:r w:rsidRPr="00640447">
              <w:rPr>
                <w:bCs/>
                <w:sz w:val="13"/>
                <w:szCs w:val="13"/>
              </w:rPr>
              <w:t>12</w:t>
            </w:r>
          </w:p>
        </w:tc>
        <w:tc>
          <w:tcPr>
            <w:tcW w:w="146" w:type="pct"/>
            <w:shd w:val="clear" w:color="auto" w:fill="auto"/>
            <w:vAlign w:val="center"/>
          </w:tcPr>
          <w:p w14:paraId="69B64F1F" w14:textId="77777777" w:rsidR="004A0123" w:rsidRPr="00640447" w:rsidRDefault="004A0123" w:rsidP="008A5C11">
            <w:pPr>
              <w:jc w:val="center"/>
              <w:rPr>
                <w:bCs/>
                <w:sz w:val="13"/>
                <w:szCs w:val="13"/>
              </w:rPr>
            </w:pPr>
            <w:r w:rsidRPr="00640447">
              <w:rPr>
                <w:bCs/>
                <w:sz w:val="13"/>
                <w:szCs w:val="13"/>
              </w:rPr>
              <w:t>13</w:t>
            </w:r>
          </w:p>
        </w:tc>
        <w:tc>
          <w:tcPr>
            <w:tcW w:w="149" w:type="pct"/>
            <w:shd w:val="clear" w:color="auto" w:fill="auto"/>
            <w:vAlign w:val="center"/>
          </w:tcPr>
          <w:p w14:paraId="120638FF" w14:textId="77777777" w:rsidR="004A0123" w:rsidRPr="00640447" w:rsidRDefault="004A0123" w:rsidP="008A5C11">
            <w:pPr>
              <w:jc w:val="center"/>
              <w:rPr>
                <w:bCs/>
                <w:sz w:val="13"/>
                <w:szCs w:val="13"/>
              </w:rPr>
            </w:pPr>
            <w:r w:rsidRPr="00640447">
              <w:rPr>
                <w:bCs/>
                <w:sz w:val="13"/>
                <w:szCs w:val="13"/>
              </w:rPr>
              <w:t>14</w:t>
            </w:r>
          </w:p>
        </w:tc>
        <w:tc>
          <w:tcPr>
            <w:tcW w:w="183" w:type="pct"/>
            <w:shd w:val="clear" w:color="auto" w:fill="auto"/>
            <w:vAlign w:val="center"/>
          </w:tcPr>
          <w:p w14:paraId="13C55539" w14:textId="77777777" w:rsidR="004A0123" w:rsidRPr="00640447" w:rsidRDefault="004A0123" w:rsidP="008A5C11">
            <w:pPr>
              <w:jc w:val="center"/>
              <w:rPr>
                <w:bCs/>
                <w:sz w:val="13"/>
                <w:szCs w:val="13"/>
              </w:rPr>
            </w:pPr>
            <w:r w:rsidRPr="00640447">
              <w:rPr>
                <w:bCs/>
                <w:sz w:val="13"/>
                <w:szCs w:val="13"/>
              </w:rPr>
              <w:t>15</w:t>
            </w:r>
          </w:p>
        </w:tc>
        <w:tc>
          <w:tcPr>
            <w:tcW w:w="183" w:type="pct"/>
            <w:vAlign w:val="center"/>
          </w:tcPr>
          <w:p w14:paraId="1463233B" w14:textId="77777777" w:rsidR="004A0123" w:rsidRPr="00640447" w:rsidRDefault="004A0123" w:rsidP="008A5C11">
            <w:pPr>
              <w:jc w:val="center"/>
              <w:rPr>
                <w:bCs/>
                <w:sz w:val="13"/>
                <w:szCs w:val="13"/>
              </w:rPr>
            </w:pPr>
            <w:r w:rsidRPr="00640447">
              <w:rPr>
                <w:bCs/>
                <w:sz w:val="13"/>
                <w:szCs w:val="13"/>
              </w:rPr>
              <w:t>16</w:t>
            </w:r>
          </w:p>
        </w:tc>
        <w:tc>
          <w:tcPr>
            <w:tcW w:w="155" w:type="pct"/>
            <w:vAlign w:val="center"/>
          </w:tcPr>
          <w:p w14:paraId="3A4B58C3" w14:textId="77777777" w:rsidR="004A0123" w:rsidRPr="00640447" w:rsidRDefault="004A0123" w:rsidP="008A5C11">
            <w:pPr>
              <w:jc w:val="center"/>
              <w:rPr>
                <w:bCs/>
                <w:sz w:val="13"/>
                <w:szCs w:val="13"/>
              </w:rPr>
            </w:pPr>
            <w:r w:rsidRPr="00640447">
              <w:rPr>
                <w:bCs/>
                <w:sz w:val="13"/>
                <w:szCs w:val="13"/>
              </w:rPr>
              <w:t>17</w:t>
            </w:r>
          </w:p>
        </w:tc>
        <w:tc>
          <w:tcPr>
            <w:tcW w:w="154" w:type="pct"/>
            <w:vAlign w:val="center"/>
          </w:tcPr>
          <w:p w14:paraId="779911DE" w14:textId="77777777" w:rsidR="004A0123" w:rsidRPr="00640447" w:rsidRDefault="004A0123" w:rsidP="008A5C11">
            <w:pPr>
              <w:jc w:val="center"/>
              <w:rPr>
                <w:bCs/>
                <w:sz w:val="13"/>
                <w:szCs w:val="13"/>
              </w:rPr>
            </w:pPr>
            <w:r w:rsidRPr="00640447">
              <w:rPr>
                <w:bCs/>
                <w:sz w:val="13"/>
                <w:szCs w:val="13"/>
              </w:rPr>
              <w:t>18</w:t>
            </w:r>
          </w:p>
        </w:tc>
        <w:tc>
          <w:tcPr>
            <w:tcW w:w="153" w:type="pct"/>
            <w:vAlign w:val="center"/>
          </w:tcPr>
          <w:p w14:paraId="464F7A78" w14:textId="77777777" w:rsidR="004A0123" w:rsidRPr="00640447" w:rsidRDefault="004A0123" w:rsidP="008A5C11">
            <w:pPr>
              <w:jc w:val="center"/>
              <w:rPr>
                <w:bCs/>
                <w:sz w:val="13"/>
                <w:szCs w:val="13"/>
              </w:rPr>
            </w:pPr>
            <w:r w:rsidRPr="00640447">
              <w:rPr>
                <w:bCs/>
                <w:sz w:val="13"/>
                <w:szCs w:val="13"/>
              </w:rPr>
              <w:t>19</w:t>
            </w:r>
          </w:p>
        </w:tc>
        <w:tc>
          <w:tcPr>
            <w:tcW w:w="174" w:type="pct"/>
            <w:vAlign w:val="center"/>
          </w:tcPr>
          <w:p w14:paraId="721A1B24" w14:textId="77777777" w:rsidR="004A0123" w:rsidRPr="00640447" w:rsidRDefault="004A0123" w:rsidP="008A5C11">
            <w:pPr>
              <w:jc w:val="center"/>
              <w:rPr>
                <w:bCs/>
                <w:sz w:val="13"/>
                <w:szCs w:val="13"/>
              </w:rPr>
            </w:pPr>
            <w:r w:rsidRPr="00640447">
              <w:rPr>
                <w:bCs/>
                <w:sz w:val="13"/>
                <w:szCs w:val="13"/>
              </w:rPr>
              <w:t>20</w:t>
            </w:r>
          </w:p>
        </w:tc>
        <w:tc>
          <w:tcPr>
            <w:tcW w:w="156" w:type="pct"/>
            <w:vAlign w:val="center"/>
          </w:tcPr>
          <w:p w14:paraId="6E903434" w14:textId="77777777" w:rsidR="004A0123" w:rsidRPr="00640447" w:rsidRDefault="004A0123" w:rsidP="008A5C11">
            <w:pPr>
              <w:jc w:val="center"/>
              <w:rPr>
                <w:bCs/>
                <w:sz w:val="13"/>
                <w:szCs w:val="13"/>
              </w:rPr>
            </w:pPr>
            <w:r w:rsidRPr="00640447">
              <w:rPr>
                <w:bCs/>
                <w:sz w:val="13"/>
                <w:szCs w:val="13"/>
              </w:rPr>
              <w:t>21</w:t>
            </w:r>
          </w:p>
        </w:tc>
        <w:tc>
          <w:tcPr>
            <w:tcW w:w="146" w:type="pct"/>
            <w:vAlign w:val="center"/>
          </w:tcPr>
          <w:p w14:paraId="2D2FA01C" w14:textId="77777777" w:rsidR="004A0123" w:rsidRPr="00640447" w:rsidRDefault="004A0123" w:rsidP="008A5C11">
            <w:pPr>
              <w:jc w:val="center"/>
              <w:rPr>
                <w:bCs/>
                <w:sz w:val="13"/>
                <w:szCs w:val="13"/>
              </w:rPr>
            </w:pPr>
            <w:r w:rsidRPr="00640447">
              <w:rPr>
                <w:bCs/>
                <w:sz w:val="13"/>
                <w:szCs w:val="13"/>
              </w:rPr>
              <w:t>22</w:t>
            </w:r>
          </w:p>
        </w:tc>
        <w:tc>
          <w:tcPr>
            <w:tcW w:w="188" w:type="pct"/>
            <w:vAlign w:val="center"/>
          </w:tcPr>
          <w:p w14:paraId="171E1755" w14:textId="77777777" w:rsidR="004A0123" w:rsidRPr="00640447" w:rsidRDefault="004A0123" w:rsidP="008A5C11">
            <w:pPr>
              <w:jc w:val="center"/>
              <w:rPr>
                <w:bCs/>
                <w:sz w:val="13"/>
                <w:szCs w:val="13"/>
              </w:rPr>
            </w:pPr>
            <w:r w:rsidRPr="00640447">
              <w:rPr>
                <w:bCs/>
                <w:sz w:val="13"/>
                <w:szCs w:val="13"/>
              </w:rPr>
              <w:t>23</w:t>
            </w:r>
          </w:p>
        </w:tc>
        <w:tc>
          <w:tcPr>
            <w:tcW w:w="182" w:type="pct"/>
            <w:vAlign w:val="center"/>
          </w:tcPr>
          <w:p w14:paraId="7871E474" w14:textId="77777777" w:rsidR="004A0123" w:rsidRPr="00640447" w:rsidRDefault="004A0123" w:rsidP="008A5C11">
            <w:pPr>
              <w:jc w:val="center"/>
              <w:rPr>
                <w:bCs/>
                <w:sz w:val="13"/>
                <w:szCs w:val="13"/>
              </w:rPr>
            </w:pPr>
            <w:r w:rsidRPr="00640447">
              <w:rPr>
                <w:bCs/>
                <w:sz w:val="13"/>
                <w:szCs w:val="13"/>
              </w:rPr>
              <w:t>24</w:t>
            </w:r>
          </w:p>
        </w:tc>
      </w:tr>
      <w:tr w:rsidR="004A0123" w:rsidRPr="00640447" w14:paraId="4826202D" w14:textId="77777777" w:rsidTr="008A5C11">
        <w:trPr>
          <w:trHeight w:val="84"/>
        </w:trPr>
        <w:tc>
          <w:tcPr>
            <w:tcW w:w="5000" w:type="pct"/>
            <w:gridSpan w:val="24"/>
            <w:vAlign w:val="center"/>
          </w:tcPr>
          <w:p w14:paraId="3858F7C5" w14:textId="77777777" w:rsidR="004A0123" w:rsidRPr="00640447" w:rsidRDefault="004A0123" w:rsidP="008A5C11">
            <w:pPr>
              <w:rPr>
                <w:bCs/>
                <w:sz w:val="12"/>
                <w:szCs w:val="12"/>
              </w:rPr>
            </w:pPr>
            <w:r w:rsidRPr="00640447">
              <w:rPr>
                <w:bCs/>
                <w:sz w:val="12"/>
                <w:szCs w:val="12"/>
              </w:rPr>
              <w:t>Группа 1. Строительство, реконструкция или модернизация объектов в целях подключения потребителей:</w:t>
            </w:r>
          </w:p>
        </w:tc>
      </w:tr>
      <w:tr w:rsidR="004A0123" w:rsidRPr="00640447" w14:paraId="0403EA1D" w14:textId="77777777" w:rsidTr="008A5C11">
        <w:trPr>
          <w:trHeight w:val="45"/>
        </w:trPr>
        <w:tc>
          <w:tcPr>
            <w:tcW w:w="5000" w:type="pct"/>
            <w:gridSpan w:val="24"/>
            <w:vAlign w:val="center"/>
          </w:tcPr>
          <w:p w14:paraId="79AD2F7E" w14:textId="77777777" w:rsidR="004A0123" w:rsidRPr="00640447" w:rsidRDefault="004A0123" w:rsidP="008A5C11">
            <w:pPr>
              <w:rPr>
                <w:bCs/>
                <w:sz w:val="12"/>
                <w:szCs w:val="12"/>
              </w:rPr>
            </w:pPr>
            <w:r w:rsidRPr="00640447">
              <w:rPr>
                <w:bCs/>
                <w:sz w:val="12"/>
                <w:szCs w:val="12"/>
              </w:rPr>
              <w:t>1.1. Строительство новых тепловых сетей в целях подключения потребителей</w:t>
            </w:r>
          </w:p>
        </w:tc>
      </w:tr>
      <w:tr w:rsidR="004A0123" w:rsidRPr="00640447" w14:paraId="1B763CC3" w14:textId="77777777" w:rsidTr="008A5C11">
        <w:trPr>
          <w:trHeight w:val="64"/>
        </w:trPr>
        <w:tc>
          <w:tcPr>
            <w:tcW w:w="5000" w:type="pct"/>
            <w:gridSpan w:val="24"/>
            <w:vAlign w:val="center"/>
          </w:tcPr>
          <w:p w14:paraId="25391F65" w14:textId="77777777" w:rsidR="004A0123" w:rsidRPr="00640447" w:rsidRDefault="004A0123" w:rsidP="008A5C11">
            <w:pPr>
              <w:rPr>
                <w:bCs/>
                <w:sz w:val="12"/>
                <w:szCs w:val="12"/>
              </w:rPr>
            </w:pPr>
            <w:r w:rsidRPr="00640447">
              <w:rPr>
                <w:bCs/>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4A0123" w:rsidRPr="00640447" w14:paraId="50DE88B3" w14:textId="77777777" w:rsidTr="008A5C11">
        <w:trPr>
          <w:trHeight w:val="64"/>
        </w:trPr>
        <w:tc>
          <w:tcPr>
            <w:tcW w:w="5000" w:type="pct"/>
            <w:gridSpan w:val="24"/>
            <w:vAlign w:val="center"/>
          </w:tcPr>
          <w:p w14:paraId="2205BADE" w14:textId="77777777" w:rsidR="004A0123" w:rsidRPr="00640447" w:rsidRDefault="004A0123" w:rsidP="008A5C11">
            <w:pPr>
              <w:rPr>
                <w:bCs/>
                <w:sz w:val="12"/>
                <w:szCs w:val="12"/>
              </w:rPr>
            </w:pPr>
            <w:r w:rsidRPr="00640447">
              <w:rPr>
                <w:bCs/>
                <w:sz w:val="12"/>
                <w:szCs w:val="12"/>
              </w:rPr>
              <w:t>1.3. Увеличение пропускной способности существующих тепловых сетей в целях подключения потребителей</w:t>
            </w:r>
          </w:p>
        </w:tc>
      </w:tr>
      <w:tr w:rsidR="004A0123" w:rsidRPr="00640447" w14:paraId="1F2EC414" w14:textId="77777777" w:rsidTr="008A5C11">
        <w:trPr>
          <w:trHeight w:val="64"/>
        </w:trPr>
        <w:tc>
          <w:tcPr>
            <w:tcW w:w="5000" w:type="pct"/>
            <w:gridSpan w:val="24"/>
            <w:vAlign w:val="center"/>
          </w:tcPr>
          <w:p w14:paraId="042F21C2" w14:textId="77777777" w:rsidR="004A0123" w:rsidRPr="00640447" w:rsidRDefault="004A0123" w:rsidP="008A5C11">
            <w:pPr>
              <w:rPr>
                <w:bCs/>
                <w:sz w:val="12"/>
                <w:szCs w:val="12"/>
              </w:rPr>
            </w:pPr>
            <w:r w:rsidRPr="00640447">
              <w:rPr>
                <w:bCs/>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4A0123" w:rsidRPr="00640447" w14:paraId="7ACDDE31" w14:textId="77777777" w:rsidTr="008A5C11">
        <w:trPr>
          <w:trHeight w:val="45"/>
        </w:trPr>
        <w:tc>
          <w:tcPr>
            <w:tcW w:w="2664" w:type="pct"/>
            <w:gridSpan w:val="10"/>
            <w:shd w:val="clear" w:color="auto" w:fill="auto"/>
            <w:vAlign w:val="center"/>
          </w:tcPr>
          <w:p w14:paraId="6024FA5F" w14:textId="77777777" w:rsidR="004A0123" w:rsidRPr="00640447" w:rsidRDefault="004A0123" w:rsidP="008A5C11">
            <w:pPr>
              <w:rPr>
                <w:sz w:val="13"/>
                <w:szCs w:val="13"/>
              </w:rPr>
            </w:pPr>
            <w:r w:rsidRPr="00640447">
              <w:rPr>
                <w:sz w:val="13"/>
                <w:szCs w:val="13"/>
              </w:rPr>
              <w:t>Всего по группе 1.</w:t>
            </w:r>
          </w:p>
        </w:tc>
        <w:tc>
          <w:tcPr>
            <w:tcW w:w="180" w:type="pct"/>
            <w:shd w:val="clear" w:color="auto" w:fill="auto"/>
            <w:vAlign w:val="center"/>
          </w:tcPr>
          <w:p w14:paraId="05A5F6D1" w14:textId="77777777" w:rsidR="004A0123" w:rsidRPr="00640447" w:rsidRDefault="004A0123" w:rsidP="008A5C11">
            <w:pPr>
              <w:jc w:val="center"/>
              <w:rPr>
                <w:sz w:val="13"/>
                <w:szCs w:val="13"/>
              </w:rPr>
            </w:pPr>
            <w:r w:rsidRPr="00640447">
              <w:rPr>
                <w:color w:val="000000"/>
                <w:sz w:val="13"/>
                <w:szCs w:val="13"/>
              </w:rPr>
              <w:t>0,00</w:t>
            </w:r>
          </w:p>
        </w:tc>
        <w:tc>
          <w:tcPr>
            <w:tcW w:w="187" w:type="pct"/>
            <w:shd w:val="clear" w:color="auto" w:fill="auto"/>
            <w:vAlign w:val="center"/>
          </w:tcPr>
          <w:p w14:paraId="4AFA5D68" w14:textId="77777777" w:rsidR="004A0123" w:rsidRPr="00640447" w:rsidRDefault="004A0123" w:rsidP="008A5C11">
            <w:pPr>
              <w:jc w:val="center"/>
              <w:rPr>
                <w:sz w:val="13"/>
                <w:szCs w:val="13"/>
              </w:rPr>
            </w:pPr>
            <w:r w:rsidRPr="00640447">
              <w:rPr>
                <w:sz w:val="13"/>
                <w:szCs w:val="13"/>
              </w:rPr>
              <w:t>0,00</w:t>
            </w:r>
          </w:p>
        </w:tc>
        <w:tc>
          <w:tcPr>
            <w:tcW w:w="146" w:type="pct"/>
            <w:shd w:val="clear" w:color="auto" w:fill="auto"/>
            <w:vAlign w:val="center"/>
          </w:tcPr>
          <w:p w14:paraId="01DE4271" w14:textId="77777777" w:rsidR="004A0123" w:rsidRPr="00640447" w:rsidRDefault="004A0123" w:rsidP="008A5C11">
            <w:pPr>
              <w:jc w:val="center"/>
              <w:rPr>
                <w:sz w:val="13"/>
                <w:szCs w:val="13"/>
              </w:rPr>
            </w:pPr>
            <w:r w:rsidRPr="00640447">
              <w:rPr>
                <w:sz w:val="13"/>
                <w:szCs w:val="13"/>
              </w:rPr>
              <w:t>0,00</w:t>
            </w:r>
          </w:p>
        </w:tc>
        <w:tc>
          <w:tcPr>
            <w:tcW w:w="149" w:type="pct"/>
            <w:shd w:val="clear" w:color="auto" w:fill="auto"/>
            <w:vAlign w:val="center"/>
          </w:tcPr>
          <w:p w14:paraId="46A78C7E" w14:textId="77777777" w:rsidR="004A0123" w:rsidRPr="00640447" w:rsidRDefault="004A0123" w:rsidP="008A5C11">
            <w:pPr>
              <w:jc w:val="center"/>
              <w:rPr>
                <w:sz w:val="13"/>
                <w:szCs w:val="13"/>
              </w:rPr>
            </w:pPr>
            <w:r w:rsidRPr="00640447">
              <w:rPr>
                <w:sz w:val="13"/>
                <w:szCs w:val="13"/>
              </w:rPr>
              <w:t>0,00</w:t>
            </w:r>
          </w:p>
        </w:tc>
        <w:tc>
          <w:tcPr>
            <w:tcW w:w="183" w:type="pct"/>
            <w:shd w:val="clear" w:color="auto" w:fill="auto"/>
            <w:vAlign w:val="center"/>
          </w:tcPr>
          <w:p w14:paraId="24C59465" w14:textId="77777777" w:rsidR="004A0123" w:rsidRPr="00640447" w:rsidRDefault="004A0123" w:rsidP="008A5C11">
            <w:pPr>
              <w:jc w:val="center"/>
              <w:rPr>
                <w:sz w:val="13"/>
                <w:szCs w:val="13"/>
              </w:rPr>
            </w:pPr>
            <w:r w:rsidRPr="00640447">
              <w:rPr>
                <w:sz w:val="13"/>
                <w:szCs w:val="13"/>
              </w:rPr>
              <w:t>0,00</w:t>
            </w:r>
          </w:p>
        </w:tc>
        <w:tc>
          <w:tcPr>
            <w:tcW w:w="183" w:type="pct"/>
            <w:vAlign w:val="center"/>
          </w:tcPr>
          <w:p w14:paraId="4ADAB045" w14:textId="77777777" w:rsidR="004A0123" w:rsidRPr="00640447" w:rsidRDefault="004A0123" w:rsidP="008A5C11">
            <w:pPr>
              <w:jc w:val="center"/>
              <w:rPr>
                <w:color w:val="000000"/>
                <w:sz w:val="13"/>
                <w:szCs w:val="13"/>
              </w:rPr>
            </w:pPr>
            <w:r w:rsidRPr="00640447">
              <w:rPr>
                <w:sz w:val="13"/>
                <w:szCs w:val="13"/>
              </w:rPr>
              <w:t>0,00</w:t>
            </w:r>
          </w:p>
        </w:tc>
        <w:tc>
          <w:tcPr>
            <w:tcW w:w="155" w:type="pct"/>
            <w:vAlign w:val="center"/>
          </w:tcPr>
          <w:p w14:paraId="42A92F24" w14:textId="77777777" w:rsidR="004A0123" w:rsidRPr="00640447" w:rsidRDefault="004A0123" w:rsidP="008A5C11">
            <w:pPr>
              <w:jc w:val="center"/>
              <w:rPr>
                <w:color w:val="000000"/>
                <w:sz w:val="13"/>
                <w:szCs w:val="13"/>
              </w:rPr>
            </w:pPr>
            <w:r w:rsidRPr="00640447">
              <w:rPr>
                <w:sz w:val="13"/>
                <w:szCs w:val="13"/>
              </w:rPr>
              <w:t>0,00</w:t>
            </w:r>
          </w:p>
        </w:tc>
        <w:tc>
          <w:tcPr>
            <w:tcW w:w="154" w:type="pct"/>
            <w:vAlign w:val="center"/>
          </w:tcPr>
          <w:p w14:paraId="6F825D61" w14:textId="77777777" w:rsidR="004A0123" w:rsidRPr="00640447" w:rsidRDefault="004A0123" w:rsidP="008A5C11">
            <w:pPr>
              <w:jc w:val="center"/>
              <w:rPr>
                <w:color w:val="000000"/>
                <w:sz w:val="13"/>
                <w:szCs w:val="13"/>
              </w:rPr>
            </w:pPr>
            <w:r w:rsidRPr="00640447">
              <w:rPr>
                <w:sz w:val="13"/>
                <w:szCs w:val="13"/>
              </w:rPr>
              <w:t>0,00</w:t>
            </w:r>
          </w:p>
        </w:tc>
        <w:tc>
          <w:tcPr>
            <w:tcW w:w="153" w:type="pct"/>
            <w:vAlign w:val="center"/>
          </w:tcPr>
          <w:p w14:paraId="77454241" w14:textId="77777777" w:rsidR="004A0123" w:rsidRPr="00640447" w:rsidRDefault="004A0123" w:rsidP="008A5C11">
            <w:pPr>
              <w:jc w:val="center"/>
              <w:rPr>
                <w:color w:val="000000"/>
                <w:sz w:val="13"/>
                <w:szCs w:val="13"/>
              </w:rPr>
            </w:pPr>
            <w:r w:rsidRPr="00640447">
              <w:rPr>
                <w:sz w:val="13"/>
                <w:szCs w:val="13"/>
              </w:rPr>
              <w:t>0,00</w:t>
            </w:r>
          </w:p>
        </w:tc>
        <w:tc>
          <w:tcPr>
            <w:tcW w:w="174" w:type="pct"/>
            <w:vAlign w:val="center"/>
          </w:tcPr>
          <w:p w14:paraId="370BA6BC" w14:textId="77777777" w:rsidR="004A0123" w:rsidRPr="00640447" w:rsidRDefault="004A0123" w:rsidP="008A5C11">
            <w:pPr>
              <w:jc w:val="center"/>
              <w:rPr>
                <w:sz w:val="13"/>
                <w:szCs w:val="13"/>
              </w:rPr>
            </w:pPr>
            <w:r w:rsidRPr="00640447">
              <w:rPr>
                <w:sz w:val="13"/>
                <w:szCs w:val="13"/>
              </w:rPr>
              <w:t>0,00</w:t>
            </w:r>
          </w:p>
        </w:tc>
        <w:tc>
          <w:tcPr>
            <w:tcW w:w="156" w:type="pct"/>
            <w:vAlign w:val="center"/>
          </w:tcPr>
          <w:p w14:paraId="55083C28" w14:textId="77777777" w:rsidR="004A0123" w:rsidRPr="00640447" w:rsidRDefault="004A0123" w:rsidP="008A5C11">
            <w:pPr>
              <w:jc w:val="center"/>
              <w:rPr>
                <w:sz w:val="13"/>
                <w:szCs w:val="13"/>
              </w:rPr>
            </w:pPr>
            <w:r w:rsidRPr="00640447">
              <w:rPr>
                <w:sz w:val="13"/>
                <w:szCs w:val="13"/>
              </w:rPr>
              <w:t>0,00</w:t>
            </w:r>
          </w:p>
        </w:tc>
        <w:tc>
          <w:tcPr>
            <w:tcW w:w="146" w:type="pct"/>
            <w:vAlign w:val="center"/>
          </w:tcPr>
          <w:p w14:paraId="37F8BDC6" w14:textId="77777777" w:rsidR="004A0123" w:rsidRPr="00640447" w:rsidRDefault="004A0123" w:rsidP="008A5C11">
            <w:pPr>
              <w:jc w:val="center"/>
              <w:rPr>
                <w:sz w:val="13"/>
                <w:szCs w:val="13"/>
              </w:rPr>
            </w:pPr>
            <w:r w:rsidRPr="00640447">
              <w:rPr>
                <w:sz w:val="13"/>
                <w:szCs w:val="13"/>
              </w:rPr>
              <w:t>0,00</w:t>
            </w:r>
          </w:p>
        </w:tc>
        <w:tc>
          <w:tcPr>
            <w:tcW w:w="188" w:type="pct"/>
            <w:vAlign w:val="center"/>
          </w:tcPr>
          <w:p w14:paraId="5C951657" w14:textId="77777777" w:rsidR="004A0123" w:rsidRPr="00640447" w:rsidRDefault="004A0123" w:rsidP="008A5C11">
            <w:pPr>
              <w:jc w:val="center"/>
              <w:rPr>
                <w:sz w:val="13"/>
                <w:szCs w:val="13"/>
              </w:rPr>
            </w:pPr>
            <w:r w:rsidRPr="00640447">
              <w:rPr>
                <w:sz w:val="13"/>
                <w:szCs w:val="13"/>
              </w:rPr>
              <w:t>0,00</w:t>
            </w:r>
          </w:p>
        </w:tc>
        <w:tc>
          <w:tcPr>
            <w:tcW w:w="182" w:type="pct"/>
            <w:vAlign w:val="center"/>
          </w:tcPr>
          <w:p w14:paraId="5E86F766" w14:textId="77777777" w:rsidR="004A0123" w:rsidRPr="00640447" w:rsidRDefault="004A0123" w:rsidP="008A5C11">
            <w:pPr>
              <w:jc w:val="center"/>
              <w:rPr>
                <w:sz w:val="13"/>
                <w:szCs w:val="13"/>
              </w:rPr>
            </w:pPr>
            <w:r w:rsidRPr="00640447">
              <w:rPr>
                <w:sz w:val="13"/>
                <w:szCs w:val="13"/>
              </w:rPr>
              <w:t>0,00</w:t>
            </w:r>
          </w:p>
        </w:tc>
      </w:tr>
      <w:tr w:rsidR="004A0123" w:rsidRPr="00640447" w14:paraId="7E3E7E62" w14:textId="77777777" w:rsidTr="008A5C11">
        <w:trPr>
          <w:trHeight w:val="64"/>
        </w:trPr>
        <w:tc>
          <w:tcPr>
            <w:tcW w:w="5000" w:type="pct"/>
            <w:gridSpan w:val="24"/>
            <w:vAlign w:val="center"/>
          </w:tcPr>
          <w:p w14:paraId="46D1EB59" w14:textId="77777777" w:rsidR="004A0123" w:rsidRPr="00640447" w:rsidRDefault="004A0123" w:rsidP="008A5C11">
            <w:pPr>
              <w:rPr>
                <w:bCs/>
                <w:sz w:val="12"/>
                <w:szCs w:val="12"/>
              </w:rPr>
            </w:pPr>
            <w:r w:rsidRPr="00640447">
              <w:rPr>
                <w:bCs/>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4A0123" w:rsidRPr="00640447" w14:paraId="5435CDB7" w14:textId="77777777" w:rsidTr="008A5C11">
        <w:trPr>
          <w:trHeight w:val="86"/>
        </w:trPr>
        <w:tc>
          <w:tcPr>
            <w:tcW w:w="146" w:type="pct"/>
            <w:shd w:val="clear" w:color="auto" w:fill="auto"/>
            <w:vAlign w:val="center"/>
          </w:tcPr>
          <w:p w14:paraId="3E8379A0" w14:textId="77777777" w:rsidR="004A0123" w:rsidRPr="00640447" w:rsidRDefault="004A0123" w:rsidP="008A5C11">
            <w:pPr>
              <w:jc w:val="center"/>
              <w:rPr>
                <w:sz w:val="13"/>
                <w:szCs w:val="13"/>
              </w:rPr>
            </w:pPr>
            <w:r w:rsidRPr="00640447">
              <w:rPr>
                <w:sz w:val="13"/>
                <w:szCs w:val="13"/>
              </w:rPr>
              <w:t>2.1.1.</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54DDCB10" w14:textId="77777777" w:rsidR="004A0123" w:rsidRPr="00640447" w:rsidRDefault="004A0123" w:rsidP="008A5C11">
            <w:pPr>
              <w:rPr>
                <w:color w:val="000000"/>
                <w:sz w:val="13"/>
                <w:szCs w:val="13"/>
              </w:rPr>
            </w:pPr>
            <w:r w:rsidRPr="00640447">
              <w:rPr>
                <w:color w:val="000000"/>
                <w:sz w:val="13"/>
                <w:szCs w:val="13"/>
              </w:rPr>
              <w:t>Установка котельной «Терморобот» на ОСК, НФС, 2 Г/</w:t>
            </w:r>
            <w:proofErr w:type="gramStart"/>
            <w:r w:rsidRPr="00640447">
              <w:rPr>
                <w:color w:val="000000"/>
                <w:sz w:val="13"/>
                <w:szCs w:val="13"/>
              </w:rPr>
              <w:t>У,  44</w:t>
            </w:r>
            <w:proofErr w:type="gramEnd"/>
          </w:p>
        </w:tc>
        <w:tc>
          <w:tcPr>
            <w:tcW w:w="359" w:type="pct"/>
            <w:tcBorders>
              <w:top w:val="single" w:sz="4" w:space="0" w:color="auto"/>
              <w:left w:val="nil"/>
              <w:bottom w:val="single" w:sz="4" w:space="0" w:color="auto"/>
              <w:right w:val="single" w:sz="4" w:space="0" w:color="auto"/>
            </w:tcBorders>
            <w:shd w:val="clear" w:color="auto" w:fill="auto"/>
            <w:vAlign w:val="center"/>
          </w:tcPr>
          <w:p w14:paraId="5BC3F9C8" w14:textId="77777777" w:rsidR="004A0123" w:rsidRPr="00640447" w:rsidRDefault="004A0123" w:rsidP="008A5C11">
            <w:pPr>
              <w:jc w:val="center"/>
              <w:rPr>
                <w:color w:val="000000"/>
                <w:sz w:val="13"/>
                <w:szCs w:val="13"/>
              </w:rPr>
            </w:pPr>
            <w:r w:rsidRPr="00640447">
              <w:rPr>
                <w:color w:val="000000"/>
                <w:sz w:val="13"/>
                <w:szCs w:val="13"/>
              </w:rPr>
              <w:t>Обеспечение тепловой энергией потребителей</w:t>
            </w:r>
          </w:p>
        </w:tc>
        <w:tc>
          <w:tcPr>
            <w:tcW w:w="360" w:type="pct"/>
            <w:tcBorders>
              <w:top w:val="single" w:sz="4" w:space="0" w:color="auto"/>
              <w:left w:val="nil"/>
              <w:bottom w:val="single" w:sz="4" w:space="0" w:color="auto"/>
              <w:right w:val="single" w:sz="4" w:space="0" w:color="auto"/>
            </w:tcBorders>
            <w:shd w:val="clear" w:color="auto" w:fill="auto"/>
            <w:vAlign w:val="center"/>
          </w:tcPr>
          <w:p w14:paraId="085246C0" w14:textId="77777777" w:rsidR="004A0123" w:rsidRPr="00640447" w:rsidRDefault="004A0123" w:rsidP="008A5C11">
            <w:pPr>
              <w:jc w:val="center"/>
              <w:rPr>
                <w:color w:val="000000"/>
                <w:sz w:val="13"/>
                <w:szCs w:val="13"/>
              </w:rPr>
            </w:pPr>
            <w:r w:rsidRPr="00640447">
              <w:rPr>
                <w:color w:val="000000"/>
                <w:sz w:val="13"/>
                <w:szCs w:val="13"/>
              </w:rPr>
              <w:t>г. Ленинск-Кузнецкий</w:t>
            </w:r>
          </w:p>
        </w:tc>
        <w:tc>
          <w:tcPr>
            <w:tcW w:w="338" w:type="pct"/>
            <w:tcBorders>
              <w:top w:val="single" w:sz="4" w:space="0" w:color="auto"/>
              <w:left w:val="nil"/>
              <w:bottom w:val="single" w:sz="4" w:space="0" w:color="auto"/>
              <w:right w:val="single" w:sz="4" w:space="0" w:color="auto"/>
            </w:tcBorders>
            <w:shd w:val="clear" w:color="auto" w:fill="auto"/>
            <w:vAlign w:val="center"/>
          </w:tcPr>
          <w:p w14:paraId="5770E61A" w14:textId="77777777" w:rsidR="004A0123" w:rsidRPr="00640447" w:rsidRDefault="004A0123" w:rsidP="008A5C11">
            <w:pPr>
              <w:jc w:val="center"/>
              <w:rPr>
                <w:sz w:val="13"/>
                <w:szCs w:val="13"/>
              </w:rPr>
            </w:pPr>
            <w:r w:rsidRPr="00640447">
              <w:rPr>
                <w:sz w:val="13"/>
                <w:szCs w:val="13"/>
              </w:rPr>
              <w:t>Установленная мощность</w:t>
            </w:r>
          </w:p>
        </w:tc>
        <w:tc>
          <w:tcPr>
            <w:tcW w:w="116" w:type="pct"/>
            <w:tcBorders>
              <w:top w:val="single" w:sz="4" w:space="0" w:color="auto"/>
              <w:left w:val="nil"/>
              <w:bottom w:val="single" w:sz="4" w:space="0" w:color="auto"/>
              <w:right w:val="single" w:sz="4" w:space="0" w:color="auto"/>
            </w:tcBorders>
            <w:shd w:val="clear" w:color="auto" w:fill="auto"/>
            <w:vAlign w:val="center"/>
          </w:tcPr>
          <w:p w14:paraId="21384FAF" w14:textId="77777777" w:rsidR="004A0123" w:rsidRPr="00640447" w:rsidRDefault="004A0123" w:rsidP="008A5C11">
            <w:pPr>
              <w:jc w:val="center"/>
              <w:rPr>
                <w:sz w:val="13"/>
                <w:szCs w:val="13"/>
              </w:rPr>
            </w:pPr>
            <w:r w:rsidRPr="00640447">
              <w:rPr>
                <w:sz w:val="13"/>
                <w:szCs w:val="13"/>
              </w:rPr>
              <w:t>МВт</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0855B70F" w14:textId="77777777" w:rsidR="004A0123" w:rsidRPr="00640447" w:rsidRDefault="004A0123" w:rsidP="008A5C11">
            <w:pPr>
              <w:jc w:val="center"/>
              <w:rPr>
                <w:sz w:val="13"/>
                <w:szCs w:val="13"/>
              </w:rPr>
            </w:pPr>
            <w:r w:rsidRPr="00640447">
              <w:rPr>
                <w:sz w:val="13"/>
                <w:szCs w:val="13"/>
              </w:rPr>
              <w:t>7,65</w:t>
            </w:r>
          </w:p>
        </w:tc>
        <w:tc>
          <w:tcPr>
            <w:tcW w:w="174" w:type="pct"/>
            <w:tcBorders>
              <w:top w:val="single" w:sz="4" w:space="0" w:color="auto"/>
              <w:left w:val="nil"/>
              <w:bottom w:val="single" w:sz="4" w:space="0" w:color="auto"/>
              <w:right w:val="single" w:sz="4" w:space="0" w:color="auto"/>
            </w:tcBorders>
            <w:shd w:val="clear" w:color="auto" w:fill="auto"/>
            <w:vAlign w:val="center"/>
          </w:tcPr>
          <w:p w14:paraId="5B5C5CB1" w14:textId="77777777" w:rsidR="004A0123" w:rsidRPr="00640447" w:rsidRDefault="004A0123" w:rsidP="008A5C11">
            <w:pPr>
              <w:jc w:val="center"/>
              <w:rPr>
                <w:sz w:val="13"/>
                <w:szCs w:val="13"/>
              </w:rPr>
            </w:pPr>
            <w:r w:rsidRPr="00640447">
              <w:rPr>
                <w:sz w:val="13"/>
                <w:szCs w:val="13"/>
              </w:rPr>
              <w:t>6</w:t>
            </w:r>
          </w:p>
        </w:tc>
        <w:tc>
          <w:tcPr>
            <w:tcW w:w="189" w:type="pct"/>
            <w:tcBorders>
              <w:top w:val="single" w:sz="4" w:space="0" w:color="auto"/>
              <w:left w:val="nil"/>
              <w:bottom w:val="single" w:sz="4" w:space="0" w:color="auto"/>
              <w:right w:val="single" w:sz="4" w:space="0" w:color="auto"/>
            </w:tcBorders>
            <w:shd w:val="clear" w:color="auto" w:fill="auto"/>
            <w:vAlign w:val="center"/>
          </w:tcPr>
          <w:p w14:paraId="015CCC85" w14:textId="77777777" w:rsidR="004A0123" w:rsidRPr="00640447" w:rsidRDefault="004A0123" w:rsidP="008A5C11">
            <w:pPr>
              <w:jc w:val="center"/>
              <w:rPr>
                <w:sz w:val="13"/>
                <w:szCs w:val="13"/>
              </w:rPr>
            </w:pPr>
            <w:r w:rsidRPr="00640447">
              <w:rPr>
                <w:sz w:val="13"/>
                <w:szCs w:val="13"/>
              </w:rPr>
              <w:t>2019</w:t>
            </w:r>
          </w:p>
        </w:tc>
        <w:tc>
          <w:tcPr>
            <w:tcW w:w="184" w:type="pct"/>
            <w:tcBorders>
              <w:top w:val="single" w:sz="4" w:space="0" w:color="auto"/>
              <w:left w:val="nil"/>
              <w:bottom w:val="single" w:sz="4" w:space="0" w:color="auto"/>
              <w:right w:val="single" w:sz="4" w:space="0" w:color="auto"/>
            </w:tcBorders>
            <w:shd w:val="clear" w:color="auto" w:fill="auto"/>
            <w:vAlign w:val="center"/>
          </w:tcPr>
          <w:p w14:paraId="601EB21A" w14:textId="77777777" w:rsidR="004A0123" w:rsidRPr="00640447" w:rsidRDefault="004A0123" w:rsidP="008A5C11">
            <w:pPr>
              <w:jc w:val="center"/>
              <w:rPr>
                <w:sz w:val="13"/>
                <w:szCs w:val="13"/>
              </w:rPr>
            </w:pPr>
            <w:r w:rsidRPr="00640447">
              <w:rPr>
                <w:sz w:val="13"/>
                <w:szCs w:val="13"/>
              </w:rPr>
              <w:t>2021</w:t>
            </w:r>
          </w:p>
        </w:tc>
        <w:tc>
          <w:tcPr>
            <w:tcW w:w="180" w:type="pct"/>
            <w:tcBorders>
              <w:top w:val="single" w:sz="4" w:space="0" w:color="auto"/>
              <w:left w:val="nil"/>
              <w:bottom w:val="single" w:sz="4" w:space="0" w:color="auto"/>
              <w:right w:val="single" w:sz="4" w:space="0" w:color="auto"/>
            </w:tcBorders>
            <w:shd w:val="clear" w:color="auto" w:fill="auto"/>
            <w:vAlign w:val="center"/>
          </w:tcPr>
          <w:p w14:paraId="14A37A99" w14:textId="77777777" w:rsidR="004A0123" w:rsidRPr="00640447" w:rsidRDefault="004A0123" w:rsidP="008A5C11">
            <w:pPr>
              <w:jc w:val="center"/>
              <w:rPr>
                <w:sz w:val="13"/>
                <w:szCs w:val="13"/>
              </w:rPr>
            </w:pPr>
            <w:r w:rsidRPr="00640447">
              <w:rPr>
                <w:sz w:val="13"/>
                <w:szCs w:val="13"/>
              </w:rPr>
              <w:t>65379</w:t>
            </w:r>
          </w:p>
        </w:tc>
        <w:tc>
          <w:tcPr>
            <w:tcW w:w="187" w:type="pct"/>
            <w:tcBorders>
              <w:top w:val="single" w:sz="4" w:space="0" w:color="auto"/>
              <w:left w:val="nil"/>
              <w:bottom w:val="single" w:sz="4" w:space="0" w:color="auto"/>
              <w:right w:val="single" w:sz="4" w:space="0" w:color="auto"/>
            </w:tcBorders>
            <w:shd w:val="clear" w:color="auto" w:fill="auto"/>
            <w:vAlign w:val="center"/>
          </w:tcPr>
          <w:p w14:paraId="5EA2F4C8" w14:textId="77777777" w:rsidR="004A0123" w:rsidRPr="00640447" w:rsidRDefault="004A0123" w:rsidP="008A5C11">
            <w:pPr>
              <w:jc w:val="center"/>
              <w:rPr>
                <w:sz w:val="13"/>
                <w:szCs w:val="13"/>
              </w:rPr>
            </w:pPr>
            <w:r w:rsidRPr="00640447">
              <w:rPr>
                <w:sz w:val="13"/>
                <w:szCs w:val="13"/>
              </w:rPr>
              <w:t>0</w:t>
            </w:r>
          </w:p>
        </w:tc>
        <w:tc>
          <w:tcPr>
            <w:tcW w:w="146" w:type="pct"/>
            <w:tcBorders>
              <w:top w:val="single" w:sz="4" w:space="0" w:color="auto"/>
              <w:left w:val="single" w:sz="4" w:space="0" w:color="auto"/>
              <w:bottom w:val="single" w:sz="4" w:space="0" w:color="auto"/>
              <w:right w:val="single" w:sz="4" w:space="0" w:color="auto"/>
            </w:tcBorders>
            <w:shd w:val="clear" w:color="auto" w:fill="auto"/>
            <w:vAlign w:val="center"/>
          </w:tcPr>
          <w:p w14:paraId="2C957526" w14:textId="77777777" w:rsidR="004A0123" w:rsidRPr="00640447" w:rsidRDefault="004A0123" w:rsidP="008A5C11">
            <w:pPr>
              <w:jc w:val="center"/>
              <w:rPr>
                <w:sz w:val="13"/>
                <w:szCs w:val="13"/>
              </w:rPr>
            </w:pPr>
            <w:r w:rsidRPr="00640447">
              <w:rPr>
                <w:sz w:val="13"/>
                <w:szCs w:val="13"/>
              </w:rPr>
              <w:t>64495</w:t>
            </w:r>
          </w:p>
        </w:tc>
        <w:tc>
          <w:tcPr>
            <w:tcW w:w="149" w:type="pct"/>
            <w:tcBorders>
              <w:top w:val="single" w:sz="4" w:space="0" w:color="auto"/>
              <w:left w:val="nil"/>
              <w:bottom w:val="single" w:sz="4" w:space="0" w:color="auto"/>
              <w:right w:val="single" w:sz="4" w:space="0" w:color="auto"/>
            </w:tcBorders>
            <w:shd w:val="clear" w:color="auto" w:fill="auto"/>
            <w:vAlign w:val="center"/>
          </w:tcPr>
          <w:p w14:paraId="7CBBFA22" w14:textId="77777777" w:rsidR="004A0123" w:rsidRPr="00640447" w:rsidRDefault="004A0123" w:rsidP="008A5C11">
            <w:pPr>
              <w:jc w:val="center"/>
              <w:rPr>
                <w:sz w:val="13"/>
                <w:szCs w:val="13"/>
              </w:rPr>
            </w:pPr>
            <w:r w:rsidRPr="00640447">
              <w:rPr>
                <w:sz w:val="13"/>
                <w:szCs w:val="13"/>
              </w:rPr>
              <w:t>0</w:t>
            </w:r>
          </w:p>
        </w:tc>
        <w:tc>
          <w:tcPr>
            <w:tcW w:w="183" w:type="pct"/>
            <w:tcBorders>
              <w:top w:val="single" w:sz="4" w:space="0" w:color="auto"/>
              <w:left w:val="nil"/>
              <w:bottom w:val="single" w:sz="4" w:space="0" w:color="auto"/>
              <w:right w:val="single" w:sz="4" w:space="0" w:color="auto"/>
            </w:tcBorders>
            <w:shd w:val="clear" w:color="auto" w:fill="auto"/>
            <w:vAlign w:val="center"/>
          </w:tcPr>
          <w:p w14:paraId="5277E78E" w14:textId="77777777" w:rsidR="004A0123" w:rsidRPr="00640447" w:rsidRDefault="004A0123" w:rsidP="008A5C11">
            <w:pPr>
              <w:jc w:val="center"/>
              <w:rPr>
                <w:sz w:val="13"/>
                <w:szCs w:val="13"/>
              </w:rPr>
            </w:pPr>
            <w:r w:rsidRPr="00640447">
              <w:rPr>
                <w:sz w:val="13"/>
                <w:szCs w:val="13"/>
              </w:rPr>
              <w:t>884</w:t>
            </w:r>
          </w:p>
        </w:tc>
        <w:tc>
          <w:tcPr>
            <w:tcW w:w="183" w:type="pct"/>
            <w:tcBorders>
              <w:top w:val="single" w:sz="4" w:space="0" w:color="auto"/>
              <w:left w:val="nil"/>
              <w:bottom w:val="single" w:sz="4" w:space="0" w:color="auto"/>
              <w:right w:val="single" w:sz="4" w:space="0" w:color="auto"/>
            </w:tcBorders>
            <w:shd w:val="clear" w:color="auto" w:fill="auto"/>
            <w:vAlign w:val="center"/>
          </w:tcPr>
          <w:p w14:paraId="5CFB2081" w14:textId="77777777" w:rsidR="004A0123" w:rsidRPr="00640447" w:rsidRDefault="004A0123" w:rsidP="008A5C11">
            <w:pPr>
              <w:jc w:val="center"/>
              <w:rPr>
                <w:sz w:val="13"/>
                <w:szCs w:val="13"/>
              </w:rPr>
            </w:pPr>
            <w:r w:rsidRPr="00640447">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291AE09D" w14:textId="77777777" w:rsidR="004A0123" w:rsidRPr="00640447" w:rsidRDefault="004A0123" w:rsidP="008A5C11">
            <w:pPr>
              <w:jc w:val="center"/>
              <w:rPr>
                <w:sz w:val="13"/>
                <w:szCs w:val="13"/>
              </w:rPr>
            </w:pPr>
            <w:r w:rsidRPr="00640447">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0727A228" w14:textId="77777777" w:rsidR="004A0123" w:rsidRPr="00640447" w:rsidRDefault="004A0123" w:rsidP="008A5C11">
            <w:pPr>
              <w:jc w:val="center"/>
              <w:rPr>
                <w:sz w:val="13"/>
                <w:szCs w:val="13"/>
              </w:rPr>
            </w:pPr>
            <w:r w:rsidRPr="00640447">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16849813" w14:textId="77777777" w:rsidR="004A0123" w:rsidRPr="00640447" w:rsidRDefault="004A0123" w:rsidP="008A5C11">
            <w:pPr>
              <w:jc w:val="center"/>
              <w:rPr>
                <w:sz w:val="13"/>
                <w:szCs w:val="13"/>
              </w:rPr>
            </w:pPr>
            <w:r w:rsidRPr="00640447">
              <w:rPr>
                <w:sz w:val="13"/>
                <w:szCs w:val="13"/>
              </w:rPr>
              <w:t>0</w:t>
            </w:r>
          </w:p>
        </w:tc>
        <w:tc>
          <w:tcPr>
            <w:tcW w:w="174" w:type="pct"/>
            <w:tcBorders>
              <w:top w:val="single" w:sz="4" w:space="0" w:color="auto"/>
              <w:left w:val="single" w:sz="4" w:space="0" w:color="auto"/>
              <w:bottom w:val="single" w:sz="4" w:space="0" w:color="auto"/>
              <w:right w:val="single" w:sz="4" w:space="0" w:color="auto"/>
            </w:tcBorders>
            <w:vAlign w:val="center"/>
          </w:tcPr>
          <w:p w14:paraId="77CAC593" w14:textId="77777777" w:rsidR="004A0123" w:rsidRPr="00640447" w:rsidRDefault="004A0123" w:rsidP="008A5C11">
            <w:pPr>
              <w:jc w:val="center"/>
              <w:rPr>
                <w:sz w:val="13"/>
                <w:szCs w:val="13"/>
              </w:rPr>
            </w:pPr>
            <w:r w:rsidRPr="00640447">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390A8CD7" w14:textId="77777777" w:rsidR="004A0123" w:rsidRPr="00640447" w:rsidRDefault="004A0123" w:rsidP="008A5C11">
            <w:pPr>
              <w:jc w:val="center"/>
              <w:rPr>
                <w:sz w:val="13"/>
                <w:szCs w:val="13"/>
              </w:rPr>
            </w:pPr>
            <w:r w:rsidRPr="00640447">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64C9F86F" w14:textId="77777777" w:rsidR="004A0123" w:rsidRPr="00640447" w:rsidRDefault="004A0123" w:rsidP="008A5C11">
            <w:pPr>
              <w:jc w:val="center"/>
              <w:rPr>
                <w:sz w:val="13"/>
                <w:szCs w:val="13"/>
              </w:rPr>
            </w:pPr>
            <w:r w:rsidRPr="00640447">
              <w:rPr>
                <w:sz w:val="13"/>
                <w:szCs w:val="13"/>
              </w:rPr>
              <w:t>0</w:t>
            </w:r>
          </w:p>
        </w:tc>
        <w:tc>
          <w:tcPr>
            <w:tcW w:w="188" w:type="pct"/>
            <w:tcBorders>
              <w:top w:val="single" w:sz="4" w:space="0" w:color="auto"/>
              <w:left w:val="single" w:sz="4" w:space="0" w:color="auto"/>
              <w:bottom w:val="single" w:sz="4" w:space="0" w:color="auto"/>
              <w:right w:val="single" w:sz="4" w:space="0" w:color="auto"/>
            </w:tcBorders>
            <w:vAlign w:val="center"/>
          </w:tcPr>
          <w:p w14:paraId="334C9C7B" w14:textId="77777777" w:rsidR="004A0123" w:rsidRPr="00640447" w:rsidRDefault="004A0123" w:rsidP="008A5C11">
            <w:pPr>
              <w:jc w:val="center"/>
              <w:rPr>
                <w:sz w:val="13"/>
                <w:szCs w:val="13"/>
              </w:rPr>
            </w:pPr>
            <w:r w:rsidRPr="00640447">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1D1BF294" w14:textId="77777777" w:rsidR="004A0123" w:rsidRPr="00640447" w:rsidRDefault="004A0123" w:rsidP="008A5C11">
            <w:pPr>
              <w:jc w:val="center"/>
              <w:rPr>
                <w:sz w:val="13"/>
                <w:szCs w:val="13"/>
              </w:rPr>
            </w:pPr>
            <w:r w:rsidRPr="00640447">
              <w:rPr>
                <w:sz w:val="13"/>
                <w:szCs w:val="13"/>
              </w:rPr>
              <w:t>0</w:t>
            </w:r>
          </w:p>
        </w:tc>
      </w:tr>
      <w:tr w:rsidR="004A0123" w:rsidRPr="00640447" w14:paraId="11114BC7" w14:textId="77777777" w:rsidTr="008A5C11">
        <w:trPr>
          <w:trHeight w:val="212"/>
        </w:trPr>
        <w:tc>
          <w:tcPr>
            <w:tcW w:w="146" w:type="pct"/>
            <w:shd w:val="clear" w:color="auto" w:fill="auto"/>
            <w:vAlign w:val="center"/>
          </w:tcPr>
          <w:p w14:paraId="2F21B6EE" w14:textId="77777777" w:rsidR="004A0123" w:rsidRPr="00640447" w:rsidRDefault="004A0123" w:rsidP="008A5C11">
            <w:pPr>
              <w:jc w:val="center"/>
              <w:rPr>
                <w:sz w:val="13"/>
                <w:szCs w:val="13"/>
              </w:rPr>
            </w:pPr>
            <w:r w:rsidRPr="00640447">
              <w:rPr>
                <w:sz w:val="13"/>
                <w:szCs w:val="13"/>
              </w:rPr>
              <w:t>2.1.2.</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3B738CF2" w14:textId="77777777" w:rsidR="004A0123" w:rsidRPr="00640447" w:rsidRDefault="004A0123" w:rsidP="008A5C11">
            <w:pPr>
              <w:rPr>
                <w:color w:val="000000"/>
                <w:sz w:val="13"/>
                <w:szCs w:val="13"/>
              </w:rPr>
            </w:pPr>
            <w:r w:rsidRPr="00640447">
              <w:rPr>
                <w:color w:val="000000"/>
                <w:sz w:val="13"/>
                <w:szCs w:val="13"/>
              </w:rPr>
              <w:t>Установка котельной «Терморобот» вместо котельной № 26</w:t>
            </w:r>
          </w:p>
        </w:tc>
        <w:tc>
          <w:tcPr>
            <w:tcW w:w="359" w:type="pct"/>
            <w:tcBorders>
              <w:top w:val="single" w:sz="4" w:space="0" w:color="auto"/>
              <w:left w:val="nil"/>
              <w:bottom w:val="single" w:sz="4" w:space="0" w:color="auto"/>
              <w:right w:val="single" w:sz="4" w:space="0" w:color="auto"/>
            </w:tcBorders>
            <w:shd w:val="clear" w:color="auto" w:fill="auto"/>
            <w:vAlign w:val="center"/>
          </w:tcPr>
          <w:p w14:paraId="5AF2FA80" w14:textId="77777777" w:rsidR="004A0123" w:rsidRPr="00640447" w:rsidRDefault="004A0123" w:rsidP="008A5C11">
            <w:pPr>
              <w:jc w:val="center"/>
              <w:rPr>
                <w:color w:val="000000"/>
                <w:sz w:val="13"/>
                <w:szCs w:val="13"/>
              </w:rPr>
            </w:pPr>
            <w:r w:rsidRPr="00640447">
              <w:rPr>
                <w:color w:val="000000"/>
                <w:sz w:val="13"/>
                <w:szCs w:val="13"/>
              </w:rPr>
              <w:t>Обеспечение тепловой энергией потребителей</w:t>
            </w:r>
          </w:p>
        </w:tc>
        <w:tc>
          <w:tcPr>
            <w:tcW w:w="360" w:type="pct"/>
            <w:tcBorders>
              <w:top w:val="single" w:sz="4" w:space="0" w:color="auto"/>
              <w:left w:val="nil"/>
              <w:bottom w:val="single" w:sz="4" w:space="0" w:color="auto"/>
              <w:right w:val="single" w:sz="4" w:space="0" w:color="auto"/>
            </w:tcBorders>
            <w:shd w:val="clear" w:color="auto" w:fill="auto"/>
            <w:vAlign w:val="center"/>
          </w:tcPr>
          <w:p w14:paraId="3680F17E" w14:textId="77777777" w:rsidR="004A0123" w:rsidRPr="00640447" w:rsidRDefault="004A0123" w:rsidP="008A5C11">
            <w:pPr>
              <w:jc w:val="center"/>
              <w:rPr>
                <w:color w:val="000000"/>
                <w:sz w:val="13"/>
                <w:szCs w:val="13"/>
              </w:rPr>
            </w:pPr>
            <w:r w:rsidRPr="00640447">
              <w:rPr>
                <w:color w:val="000000"/>
                <w:sz w:val="13"/>
                <w:szCs w:val="13"/>
              </w:rPr>
              <w:t xml:space="preserve">г. Ленинск-Кузнецкий, </w:t>
            </w:r>
          </w:p>
          <w:p w14:paraId="0BBD4552" w14:textId="77777777" w:rsidR="004A0123" w:rsidRPr="00640447" w:rsidRDefault="004A0123" w:rsidP="008A5C11">
            <w:pPr>
              <w:jc w:val="center"/>
              <w:rPr>
                <w:color w:val="000000"/>
                <w:sz w:val="13"/>
                <w:szCs w:val="13"/>
              </w:rPr>
            </w:pPr>
            <w:r w:rsidRPr="00640447">
              <w:rPr>
                <w:color w:val="000000"/>
                <w:sz w:val="13"/>
                <w:szCs w:val="13"/>
              </w:rPr>
              <w:t>ул. Кутузова, 6а</w:t>
            </w:r>
          </w:p>
        </w:tc>
        <w:tc>
          <w:tcPr>
            <w:tcW w:w="338" w:type="pct"/>
            <w:tcBorders>
              <w:top w:val="single" w:sz="4" w:space="0" w:color="auto"/>
              <w:left w:val="nil"/>
              <w:bottom w:val="single" w:sz="4" w:space="0" w:color="auto"/>
              <w:right w:val="single" w:sz="4" w:space="0" w:color="auto"/>
            </w:tcBorders>
            <w:shd w:val="clear" w:color="auto" w:fill="auto"/>
            <w:vAlign w:val="center"/>
          </w:tcPr>
          <w:p w14:paraId="77190665" w14:textId="77777777" w:rsidR="004A0123" w:rsidRPr="00640447" w:rsidRDefault="004A0123" w:rsidP="008A5C11">
            <w:pPr>
              <w:jc w:val="center"/>
              <w:rPr>
                <w:sz w:val="13"/>
                <w:szCs w:val="13"/>
              </w:rPr>
            </w:pPr>
            <w:r w:rsidRPr="00640447">
              <w:rPr>
                <w:sz w:val="13"/>
                <w:szCs w:val="13"/>
              </w:rPr>
              <w:t>Установленная мощность</w:t>
            </w:r>
          </w:p>
        </w:tc>
        <w:tc>
          <w:tcPr>
            <w:tcW w:w="116" w:type="pct"/>
            <w:tcBorders>
              <w:top w:val="single" w:sz="4" w:space="0" w:color="auto"/>
              <w:left w:val="nil"/>
              <w:bottom w:val="single" w:sz="4" w:space="0" w:color="auto"/>
              <w:right w:val="single" w:sz="4" w:space="0" w:color="auto"/>
            </w:tcBorders>
            <w:shd w:val="clear" w:color="auto" w:fill="auto"/>
            <w:vAlign w:val="center"/>
          </w:tcPr>
          <w:p w14:paraId="161745F5" w14:textId="77777777" w:rsidR="004A0123" w:rsidRPr="00640447" w:rsidRDefault="004A0123" w:rsidP="008A5C11">
            <w:pPr>
              <w:jc w:val="center"/>
              <w:rPr>
                <w:sz w:val="13"/>
                <w:szCs w:val="13"/>
              </w:rPr>
            </w:pPr>
            <w:r w:rsidRPr="00640447">
              <w:rPr>
                <w:sz w:val="13"/>
                <w:szCs w:val="13"/>
              </w:rPr>
              <w:t>МВт</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15E385D3" w14:textId="77777777" w:rsidR="004A0123" w:rsidRPr="00640447" w:rsidRDefault="004A0123" w:rsidP="008A5C11">
            <w:pPr>
              <w:jc w:val="center"/>
              <w:rPr>
                <w:sz w:val="13"/>
                <w:szCs w:val="13"/>
              </w:rPr>
            </w:pPr>
            <w:r w:rsidRPr="00640447">
              <w:rPr>
                <w:sz w:val="13"/>
                <w:szCs w:val="13"/>
              </w:rPr>
              <w:t>3,5</w:t>
            </w:r>
          </w:p>
        </w:tc>
        <w:tc>
          <w:tcPr>
            <w:tcW w:w="174" w:type="pct"/>
            <w:tcBorders>
              <w:top w:val="single" w:sz="4" w:space="0" w:color="auto"/>
              <w:left w:val="nil"/>
              <w:bottom w:val="single" w:sz="4" w:space="0" w:color="auto"/>
              <w:right w:val="single" w:sz="4" w:space="0" w:color="auto"/>
            </w:tcBorders>
            <w:shd w:val="clear" w:color="auto" w:fill="auto"/>
            <w:vAlign w:val="center"/>
          </w:tcPr>
          <w:p w14:paraId="54919D82" w14:textId="77777777" w:rsidR="004A0123" w:rsidRPr="00640447" w:rsidRDefault="004A0123" w:rsidP="008A5C11">
            <w:pPr>
              <w:jc w:val="center"/>
              <w:rPr>
                <w:sz w:val="13"/>
                <w:szCs w:val="13"/>
              </w:rPr>
            </w:pPr>
            <w:r w:rsidRPr="00640447">
              <w:rPr>
                <w:sz w:val="13"/>
                <w:szCs w:val="13"/>
              </w:rPr>
              <w:t>3,5</w:t>
            </w:r>
          </w:p>
        </w:tc>
        <w:tc>
          <w:tcPr>
            <w:tcW w:w="189" w:type="pct"/>
            <w:tcBorders>
              <w:top w:val="single" w:sz="4" w:space="0" w:color="auto"/>
              <w:left w:val="nil"/>
              <w:bottom w:val="single" w:sz="4" w:space="0" w:color="auto"/>
              <w:right w:val="single" w:sz="4" w:space="0" w:color="auto"/>
            </w:tcBorders>
            <w:shd w:val="clear" w:color="auto" w:fill="auto"/>
            <w:vAlign w:val="center"/>
          </w:tcPr>
          <w:p w14:paraId="7154645B" w14:textId="77777777" w:rsidR="004A0123" w:rsidRPr="00640447" w:rsidRDefault="004A0123" w:rsidP="008A5C11">
            <w:pPr>
              <w:jc w:val="center"/>
              <w:rPr>
                <w:sz w:val="13"/>
                <w:szCs w:val="13"/>
              </w:rPr>
            </w:pPr>
            <w:r w:rsidRPr="00640447">
              <w:rPr>
                <w:sz w:val="13"/>
                <w:szCs w:val="13"/>
              </w:rPr>
              <w:t>2020</w:t>
            </w:r>
          </w:p>
        </w:tc>
        <w:tc>
          <w:tcPr>
            <w:tcW w:w="184" w:type="pct"/>
            <w:tcBorders>
              <w:top w:val="single" w:sz="4" w:space="0" w:color="auto"/>
              <w:left w:val="nil"/>
              <w:bottom w:val="single" w:sz="4" w:space="0" w:color="auto"/>
              <w:right w:val="single" w:sz="4" w:space="0" w:color="auto"/>
            </w:tcBorders>
            <w:shd w:val="clear" w:color="auto" w:fill="auto"/>
            <w:vAlign w:val="center"/>
          </w:tcPr>
          <w:p w14:paraId="4D9AF8FC" w14:textId="77777777" w:rsidR="004A0123" w:rsidRPr="00640447" w:rsidRDefault="004A0123" w:rsidP="008A5C11">
            <w:pPr>
              <w:jc w:val="center"/>
              <w:rPr>
                <w:sz w:val="13"/>
                <w:szCs w:val="13"/>
              </w:rPr>
            </w:pPr>
            <w:r w:rsidRPr="00640447">
              <w:rPr>
                <w:sz w:val="13"/>
                <w:szCs w:val="13"/>
              </w:rPr>
              <w:t>2021</w:t>
            </w:r>
          </w:p>
        </w:tc>
        <w:tc>
          <w:tcPr>
            <w:tcW w:w="180" w:type="pct"/>
            <w:tcBorders>
              <w:top w:val="single" w:sz="4" w:space="0" w:color="auto"/>
              <w:left w:val="nil"/>
              <w:bottom w:val="single" w:sz="4" w:space="0" w:color="auto"/>
              <w:right w:val="single" w:sz="4" w:space="0" w:color="auto"/>
            </w:tcBorders>
            <w:shd w:val="clear" w:color="auto" w:fill="auto"/>
            <w:vAlign w:val="center"/>
          </w:tcPr>
          <w:p w14:paraId="4D4EB430" w14:textId="77777777" w:rsidR="004A0123" w:rsidRPr="00640447" w:rsidRDefault="004A0123" w:rsidP="008A5C11">
            <w:pPr>
              <w:jc w:val="center"/>
              <w:rPr>
                <w:sz w:val="13"/>
                <w:szCs w:val="13"/>
              </w:rPr>
            </w:pPr>
            <w:r w:rsidRPr="00640447">
              <w:rPr>
                <w:sz w:val="13"/>
                <w:szCs w:val="13"/>
              </w:rPr>
              <w:t>29831</w:t>
            </w:r>
          </w:p>
        </w:tc>
        <w:tc>
          <w:tcPr>
            <w:tcW w:w="187" w:type="pct"/>
            <w:tcBorders>
              <w:top w:val="single" w:sz="4" w:space="0" w:color="auto"/>
              <w:left w:val="nil"/>
              <w:bottom w:val="single" w:sz="4" w:space="0" w:color="auto"/>
              <w:right w:val="single" w:sz="4" w:space="0" w:color="auto"/>
            </w:tcBorders>
            <w:shd w:val="clear" w:color="auto" w:fill="auto"/>
            <w:vAlign w:val="center"/>
          </w:tcPr>
          <w:p w14:paraId="5F636AB4" w14:textId="77777777" w:rsidR="004A0123" w:rsidRPr="00640447" w:rsidRDefault="004A0123" w:rsidP="008A5C11">
            <w:pPr>
              <w:jc w:val="center"/>
              <w:rPr>
                <w:sz w:val="13"/>
                <w:szCs w:val="13"/>
              </w:rPr>
            </w:pPr>
            <w:r w:rsidRPr="00640447">
              <w:rPr>
                <w:sz w:val="13"/>
                <w:szCs w:val="13"/>
              </w:rPr>
              <w:t>0</w:t>
            </w:r>
          </w:p>
        </w:tc>
        <w:tc>
          <w:tcPr>
            <w:tcW w:w="146" w:type="pct"/>
            <w:tcBorders>
              <w:top w:val="single" w:sz="4" w:space="0" w:color="auto"/>
              <w:left w:val="single" w:sz="4" w:space="0" w:color="auto"/>
              <w:bottom w:val="single" w:sz="4" w:space="0" w:color="auto"/>
              <w:right w:val="single" w:sz="4" w:space="0" w:color="auto"/>
            </w:tcBorders>
            <w:shd w:val="clear" w:color="auto" w:fill="auto"/>
            <w:vAlign w:val="center"/>
          </w:tcPr>
          <w:p w14:paraId="0401705C" w14:textId="77777777" w:rsidR="004A0123" w:rsidRPr="00640447" w:rsidRDefault="004A0123" w:rsidP="008A5C11">
            <w:pPr>
              <w:jc w:val="center"/>
              <w:rPr>
                <w:sz w:val="13"/>
                <w:szCs w:val="13"/>
              </w:rPr>
            </w:pPr>
            <w:r w:rsidRPr="00640447">
              <w:rPr>
                <w:sz w:val="13"/>
                <w:szCs w:val="13"/>
              </w:rPr>
              <w:t>0</w:t>
            </w:r>
          </w:p>
        </w:tc>
        <w:tc>
          <w:tcPr>
            <w:tcW w:w="149" w:type="pct"/>
            <w:tcBorders>
              <w:top w:val="single" w:sz="4" w:space="0" w:color="auto"/>
              <w:left w:val="nil"/>
              <w:bottom w:val="single" w:sz="4" w:space="0" w:color="auto"/>
              <w:right w:val="single" w:sz="4" w:space="0" w:color="auto"/>
            </w:tcBorders>
            <w:shd w:val="clear" w:color="auto" w:fill="auto"/>
            <w:vAlign w:val="center"/>
          </w:tcPr>
          <w:p w14:paraId="46401B4A" w14:textId="77777777" w:rsidR="004A0123" w:rsidRPr="00640447" w:rsidRDefault="004A0123" w:rsidP="008A5C11">
            <w:pPr>
              <w:jc w:val="center"/>
              <w:rPr>
                <w:sz w:val="13"/>
                <w:szCs w:val="13"/>
              </w:rPr>
            </w:pPr>
            <w:r w:rsidRPr="00640447">
              <w:rPr>
                <w:sz w:val="13"/>
                <w:szCs w:val="13"/>
              </w:rPr>
              <w:t>17963</w:t>
            </w:r>
          </w:p>
        </w:tc>
        <w:tc>
          <w:tcPr>
            <w:tcW w:w="183" w:type="pct"/>
            <w:tcBorders>
              <w:top w:val="single" w:sz="4" w:space="0" w:color="auto"/>
              <w:left w:val="nil"/>
              <w:bottom w:val="single" w:sz="4" w:space="0" w:color="auto"/>
              <w:right w:val="single" w:sz="4" w:space="0" w:color="auto"/>
            </w:tcBorders>
            <w:shd w:val="clear" w:color="auto" w:fill="auto"/>
            <w:vAlign w:val="center"/>
          </w:tcPr>
          <w:p w14:paraId="2463C39F" w14:textId="77777777" w:rsidR="004A0123" w:rsidRPr="00640447" w:rsidRDefault="004A0123" w:rsidP="008A5C11">
            <w:pPr>
              <w:jc w:val="center"/>
              <w:rPr>
                <w:sz w:val="13"/>
                <w:szCs w:val="13"/>
              </w:rPr>
            </w:pPr>
            <w:r w:rsidRPr="00640447">
              <w:rPr>
                <w:sz w:val="13"/>
                <w:szCs w:val="13"/>
              </w:rPr>
              <w:t>11868</w:t>
            </w:r>
          </w:p>
        </w:tc>
        <w:tc>
          <w:tcPr>
            <w:tcW w:w="183" w:type="pct"/>
            <w:tcBorders>
              <w:top w:val="single" w:sz="4" w:space="0" w:color="auto"/>
              <w:left w:val="nil"/>
              <w:bottom w:val="single" w:sz="4" w:space="0" w:color="auto"/>
              <w:right w:val="single" w:sz="4" w:space="0" w:color="auto"/>
            </w:tcBorders>
            <w:shd w:val="clear" w:color="auto" w:fill="auto"/>
            <w:vAlign w:val="center"/>
          </w:tcPr>
          <w:p w14:paraId="22546728" w14:textId="77777777" w:rsidR="004A0123" w:rsidRPr="00640447" w:rsidRDefault="004A0123" w:rsidP="008A5C11">
            <w:pPr>
              <w:jc w:val="center"/>
              <w:rPr>
                <w:sz w:val="13"/>
                <w:szCs w:val="13"/>
              </w:rPr>
            </w:pPr>
            <w:r w:rsidRPr="00640447">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1B062C72" w14:textId="77777777" w:rsidR="004A0123" w:rsidRPr="00640447" w:rsidRDefault="004A0123" w:rsidP="008A5C11">
            <w:pPr>
              <w:jc w:val="center"/>
              <w:rPr>
                <w:sz w:val="13"/>
                <w:szCs w:val="13"/>
              </w:rPr>
            </w:pPr>
            <w:r w:rsidRPr="00640447">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56E3CCC2" w14:textId="77777777" w:rsidR="004A0123" w:rsidRPr="00640447" w:rsidRDefault="004A0123" w:rsidP="008A5C11">
            <w:pPr>
              <w:jc w:val="center"/>
              <w:rPr>
                <w:sz w:val="13"/>
                <w:szCs w:val="13"/>
              </w:rPr>
            </w:pPr>
            <w:r w:rsidRPr="00640447">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7C3302EB" w14:textId="77777777" w:rsidR="004A0123" w:rsidRPr="00640447" w:rsidRDefault="004A0123" w:rsidP="008A5C11">
            <w:pPr>
              <w:jc w:val="center"/>
              <w:rPr>
                <w:sz w:val="13"/>
                <w:szCs w:val="13"/>
              </w:rPr>
            </w:pPr>
            <w:r w:rsidRPr="00640447">
              <w:rPr>
                <w:sz w:val="13"/>
                <w:szCs w:val="13"/>
              </w:rPr>
              <w:t>0</w:t>
            </w:r>
          </w:p>
        </w:tc>
        <w:tc>
          <w:tcPr>
            <w:tcW w:w="174" w:type="pct"/>
            <w:tcBorders>
              <w:top w:val="single" w:sz="4" w:space="0" w:color="auto"/>
              <w:left w:val="single" w:sz="4" w:space="0" w:color="auto"/>
              <w:bottom w:val="single" w:sz="4" w:space="0" w:color="auto"/>
              <w:right w:val="single" w:sz="4" w:space="0" w:color="auto"/>
            </w:tcBorders>
            <w:vAlign w:val="center"/>
          </w:tcPr>
          <w:p w14:paraId="4C03E669" w14:textId="77777777" w:rsidR="004A0123" w:rsidRPr="00640447" w:rsidRDefault="004A0123" w:rsidP="008A5C11">
            <w:pPr>
              <w:jc w:val="center"/>
              <w:rPr>
                <w:sz w:val="13"/>
                <w:szCs w:val="13"/>
              </w:rPr>
            </w:pPr>
            <w:r w:rsidRPr="00640447">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4CAB197E" w14:textId="77777777" w:rsidR="004A0123" w:rsidRPr="00640447" w:rsidRDefault="004A0123" w:rsidP="008A5C11">
            <w:pPr>
              <w:jc w:val="center"/>
              <w:rPr>
                <w:sz w:val="13"/>
                <w:szCs w:val="13"/>
              </w:rPr>
            </w:pPr>
            <w:r w:rsidRPr="00640447">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5AFDDE53" w14:textId="77777777" w:rsidR="004A0123" w:rsidRPr="00640447" w:rsidRDefault="004A0123" w:rsidP="008A5C11">
            <w:pPr>
              <w:jc w:val="center"/>
              <w:rPr>
                <w:sz w:val="13"/>
                <w:szCs w:val="13"/>
              </w:rPr>
            </w:pPr>
            <w:r w:rsidRPr="00640447">
              <w:rPr>
                <w:sz w:val="13"/>
                <w:szCs w:val="13"/>
              </w:rPr>
              <w:t>0</w:t>
            </w:r>
          </w:p>
        </w:tc>
        <w:tc>
          <w:tcPr>
            <w:tcW w:w="188" w:type="pct"/>
            <w:tcBorders>
              <w:top w:val="single" w:sz="4" w:space="0" w:color="auto"/>
              <w:left w:val="single" w:sz="4" w:space="0" w:color="auto"/>
              <w:bottom w:val="single" w:sz="4" w:space="0" w:color="auto"/>
              <w:right w:val="single" w:sz="4" w:space="0" w:color="auto"/>
            </w:tcBorders>
            <w:vAlign w:val="center"/>
          </w:tcPr>
          <w:p w14:paraId="5846F10A" w14:textId="77777777" w:rsidR="004A0123" w:rsidRPr="00640447" w:rsidRDefault="004A0123" w:rsidP="008A5C11">
            <w:pPr>
              <w:jc w:val="center"/>
              <w:rPr>
                <w:sz w:val="13"/>
                <w:szCs w:val="13"/>
              </w:rPr>
            </w:pPr>
            <w:r w:rsidRPr="00640447">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3499F323" w14:textId="77777777" w:rsidR="004A0123" w:rsidRPr="00640447" w:rsidRDefault="004A0123" w:rsidP="008A5C11">
            <w:pPr>
              <w:jc w:val="center"/>
              <w:rPr>
                <w:sz w:val="13"/>
                <w:szCs w:val="13"/>
              </w:rPr>
            </w:pPr>
            <w:r w:rsidRPr="00640447">
              <w:rPr>
                <w:sz w:val="13"/>
                <w:szCs w:val="13"/>
              </w:rPr>
              <w:t>0</w:t>
            </w:r>
          </w:p>
        </w:tc>
      </w:tr>
      <w:tr w:rsidR="004A0123" w:rsidRPr="00640447" w14:paraId="3E364BCE" w14:textId="77777777" w:rsidTr="008A5C11">
        <w:trPr>
          <w:trHeight w:val="212"/>
        </w:trPr>
        <w:tc>
          <w:tcPr>
            <w:tcW w:w="146" w:type="pct"/>
            <w:shd w:val="clear" w:color="auto" w:fill="auto"/>
            <w:vAlign w:val="center"/>
          </w:tcPr>
          <w:p w14:paraId="5F94BE66" w14:textId="77777777" w:rsidR="004A0123" w:rsidRPr="00640447" w:rsidRDefault="004A0123" w:rsidP="008A5C11">
            <w:pPr>
              <w:jc w:val="center"/>
              <w:rPr>
                <w:sz w:val="13"/>
                <w:szCs w:val="13"/>
              </w:rPr>
            </w:pPr>
            <w:r w:rsidRPr="00640447">
              <w:rPr>
                <w:sz w:val="13"/>
                <w:szCs w:val="13"/>
              </w:rPr>
              <w:t>2.1.3.</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6859363B" w14:textId="77777777" w:rsidR="004A0123" w:rsidRPr="00640447" w:rsidRDefault="004A0123" w:rsidP="008A5C11">
            <w:pPr>
              <w:rPr>
                <w:color w:val="000000"/>
                <w:sz w:val="13"/>
                <w:szCs w:val="13"/>
              </w:rPr>
            </w:pPr>
            <w:r w:rsidRPr="00640447">
              <w:rPr>
                <w:color w:val="000000"/>
                <w:sz w:val="13"/>
                <w:szCs w:val="13"/>
              </w:rPr>
              <w:t>Реконструкция теплосетевого комплекса юго-восточного планировочного района: закрытие котельной № 20 с переключением тепловых нагрузок на котельную ш.7-го Ноября</w:t>
            </w:r>
          </w:p>
        </w:tc>
        <w:tc>
          <w:tcPr>
            <w:tcW w:w="359" w:type="pct"/>
            <w:tcBorders>
              <w:top w:val="single" w:sz="4" w:space="0" w:color="auto"/>
              <w:left w:val="nil"/>
              <w:bottom w:val="single" w:sz="4" w:space="0" w:color="auto"/>
              <w:right w:val="single" w:sz="4" w:space="0" w:color="auto"/>
            </w:tcBorders>
            <w:shd w:val="clear" w:color="auto" w:fill="auto"/>
            <w:vAlign w:val="center"/>
          </w:tcPr>
          <w:p w14:paraId="418253D8" w14:textId="77777777" w:rsidR="004A0123" w:rsidRPr="00640447" w:rsidRDefault="004A0123" w:rsidP="008A5C11">
            <w:pPr>
              <w:jc w:val="center"/>
              <w:rPr>
                <w:color w:val="000000"/>
                <w:sz w:val="13"/>
                <w:szCs w:val="13"/>
              </w:rPr>
            </w:pPr>
            <w:r w:rsidRPr="00640447">
              <w:rPr>
                <w:color w:val="000000"/>
                <w:sz w:val="13"/>
                <w:szCs w:val="13"/>
              </w:rPr>
              <w:t>Повышение надежности теплоснабжения</w:t>
            </w:r>
          </w:p>
        </w:tc>
        <w:tc>
          <w:tcPr>
            <w:tcW w:w="360" w:type="pct"/>
            <w:tcBorders>
              <w:top w:val="single" w:sz="4" w:space="0" w:color="auto"/>
              <w:left w:val="nil"/>
              <w:bottom w:val="single" w:sz="4" w:space="0" w:color="auto"/>
              <w:right w:val="single" w:sz="4" w:space="0" w:color="auto"/>
            </w:tcBorders>
            <w:shd w:val="clear" w:color="auto" w:fill="auto"/>
            <w:vAlign w:val="center"/>
          </w:tcPr>
          <w:p w14:paraId="3FD75A37" w14:textId="77777777" w:rsidR="004A0123" w:rsidRPr="00640447" w:rsidRDefault="004A0123" w:rsidP="008A5C11">
            <w:pPr>
              <w:jc w:val="center"/>
              <w:rPr>
                <w:color w:val="000000"/>
                <w:sz w:val="13"/>
                <w:szCs w:val="13"/>
              </w:rPr>
            </w:pPr>
            <w:r w:rsidRPr="00640447">
              <w:rPr>
                <w:color w:val="000000"/>
                <w:sz w:val="13"/>
                <w:szCs w:val="13"/>
              </w:rPr>
              <w:t xml:space="preserve">г. Ленинск-Кузнецкий, </w:t>
            </w:r>
          </w:p>
          <w:p w14:paraId="43ACB42A" w14:textId="77777777" w:rsidR="004A0123" w:rsidRPr="00640447" w:rsidRDefault="004A0123" w:rsidP="008A5C11">
            <w:pPr>
              <w:jc w:val="center"/>
              <w:rPr>
                <w:color w:val="000000"/>
                <w:sz w:val="13"/>
                <w:szCs w:val="13"/>
              </w:rPr>
            </w:pPr>
            <w:r w:rsidRPr="00640447">
              <w:rPr>
                <w:color w:val="000000"/>
                <w:sz w:val="13"/>
                <w:szCs w:val="13"/>
              </w:rPr>
              <w:t>ул. Рубинштейна, 2д</w:t>
            </w:r>
          </w:p>
        </w:tc>
        <w:tc>
          <w:tcPr>
            <w:tcW w:w="338" w:type="pct"/>
            <w:tcBorders>
              <w:top w:val="single" w:sz="4" w:space="0" w:color="auto"/>
              <w:left w:val="nil"/>
              <w:bottom w:val="single" w:sz="4" w:space="0" w:color="auto"/>
              <w:right w:val="single" w:sz="4" w:space="0" w:color="auto"/>
            </w:tcBorders>
            <w:shd w:val="clear" w:color="auto" w:fill="auto"/>
            <w:vAlign w:val="center"/>
          </w:tcPr>
          <w:p w14:paraId="53889456" w14:textId="77777777" w:rsidR="004A0123" w:rsidRPr="00640447" w:rsidRDefault="004A0123" w:rsidP="008A5C11">
            <w:pPr>
              <w:jc w:val="center"/>
              <w:rPr>
                <w:sz w:val="13"/>
                <w:szCs w:val="13"/>
              </w:rPr>
            </w:pPr>
            <w:r w:rsidRPr="00640447">
              <w:rPr>
                <w:sz w:val="13"/>
                <w:szCs w:val="13"/>
              </w:rPr>
              <w:t>Протяженность (трассы)</w:t>
            </w:r>
          </w:p>
        </w:tc>
        <w:tc>
          <w:tcPr>
            <w:tcW w:w="116" w:type="pct"/>
            <w:tcBorders>
              <w:top w:val="single" w:sz="4" w:space="0" w:color="auto"/>
              <w:left w:val="nil"/>
              <w:bottom w:val="single" w:sz="4" w:space="0" w:color="auto"/>
              <w:right w:val="single" w:sz="4" w:space="0" w:color="auto"/>
            </w:tcBorders>
            <w:shd w:val="clear" w:color="auto" w:fill="auto"/>
            <w:vAlign w:val="center"/>
          </w:tcPr>
          <w:p w14:paraId="39AF825B" w14:textId="77777777" w:rsidR="004A0123" w:rsidRPr="00640447" w:rsidRDefault="004A0123" w:rsidP="008A5C11">
            <w:pPr>
              <w:jc w:val="center"/>
              <w:rPr>
                <w:sz w:val="13"/>
                <w:szCs w:val="13"/>
              </w:rPr>
            </w:pPr>
            <w:r w:rsidRPr="00640447">
              <w:rPr>
                <w:sz w:val="13"/>
                <w:szCs w:val="13"/>
              </w:rPr>
              <w:t>км</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1D28B21B" w14:textId="77777777" w:rsidR="004A0123" w:rsidRPr="00640447" w:rsidRDefault="004A0123" w:rsidP="008A5C11">
            <w:pPr>
              <w:jc w:val="center"/>
              <w:rPr>
                <w:sz w:val="13"/>
                <w:szCs w:val="13"/>
              </w:rPr>
            </w:pPr>
            <w:r w:rsidRPr="00640447">
              <w:rPr>
                <w:sz w:val="13"/>
                <w:szCs w:val="13"/>
              </w:rPr>
              <w:t>0,0</w:t>
            </w:r>
          </w:p>
        </w:tc>
        <w:tc>
          <w:tcPr>
            <w:tcW w:w="174" w:type="pct"/>
            <w:tcBorders>
              <w:top w:val="single" w:sz="4" w:space="0" w:color="auto"/>
              <w:left w:val="nil"/>
              <w:bottom w:val="single" w:sz="4" w:space="0" w:color="auto"/>
              <w:right w:val="single" w:sz="4" w:space="0" w:color="auto"/>
            </w:tcBorders>
            <w:shd w:val="clear" w:color="auto" w:fill="auto"/>
            <w:vAlign w:val="center"/>
          </w:tcPr>
          <w:p w14:paraId="3D456F81" w14:textId="77777777" w:rsidR="004A0123" w:rsidRPr="00640447" w:rsidRDefault="004A0123" w:rsidP="008A5C11">
            <w:pPr>
              <w:jc w:val="center"/>
              <w:rPr>
                <w:sz w:val="13"/>
                <w:szCs w:val="13"/>
              </w:rPr>
            </w:pPr>
            <w:r w:rsidRPr="00640447">
              <w:rPr>
                <w:sz w:val="13"/>
                <w:szCs w:val="13"/>
              </w:rPr>
              <w:t>0,9</w:t>
            </w:r>
          </w:p>
        </w:tc>
        <w:tc>
          <w:tcPr>
            <w:tcW w:w="189" w:type="pct"/>
            <w:tcBorders>
              <w:top w:val="single" w:sz="4" w:space="0" w:color="auto"/>
              <w:left w:val="nil"/>
              <w:bottom w:val="single" w:sz="4" w:space="0" w:color="auto"/>
              <w:right w:val="single" w:sz="4" w:space="0" w:color="auto"/>
            </w:tcBorders>
            <w:shd w:val="clear" w:color="auto" w:fill="auto"/>
            <w:vAlign w:val="center"/>
          </w:tcPr>
          <w:p w14:paraId="2BD37C75" w14:textId="77777777" w:rsidR="004A0123" w:rsidRPr="00640447" w:rsidRDefault="004A0123" w:rsidP="008A5C11">
            <w:pPr>
              <w:jc w:val="center"/>
              <w:rPr>
                <w:sz w:val="13"/>
                <w:szCs w:val="13"/>
              </w:rPr>
            </w:pPr>
            <w:r w:rsidRPr="00640447">
              <w:rPr>
                <w:sz w:val="13"/>
                <w:szCs w:val="13"/>
              </w:rPr>
              <w:t>2021</w:t>
            </w:r>
          </w:p>
        </w:tc>
        <w:tc>
          <w:tcPr>
            <w:tcW w:w="184" w:type="pct"/>
            <w:tcBorders>
              <w:top w:val="single" w:sz="4" w:space="0" w:color="auto"/>
              <w:left w:val="nil"/>
              <w:bottom w:val="single" w:sz="4" w:space="0" w:color="auto"/>
              <w:right w:val="single" w:sz="4" w:space="0" w:color="auto"/>
            </w:tcBorders>
            <w:shd w:val="clear" w:color="auto" w:fill="auto"/>
            <w:vAlign w:val="center"/>
          </w:tcPr>
          <w:p w14:paraId="6B5A711D" w14:textId="77777777" w:rsidR="004A0123" w:rsidRPr="00640447" w:rsidRDefault="004A0123" w:rsidP="008A5C11">
            <w:pPr>
              <w:jc w:val="center"/>
              <w:rPr>
                <w:sz w:val="13"/>
                <w:szCs w:val="13"/>
              </w:rPr>
            </w:pPr>
            <w:r w:rsidRPr="00640447">
              <w:rPr>
                <w:sz w:val="13"/>
                <w:szCs w:val="13"/>
              </w:rPr>
              <w:t>2022</w:t>
            </w:r>
          </w:p>
        </w:tc>
        <w:tc>
          <w:tcPr>
            <w:tcW w:w="180" w:type="pct"/>
            <w:tcBorders>
              <w:top w:val="single" w:sz="4" w:space="0" w:color="auto"/>
              <w:left w:val="nil"/>
              <w:bottom w:val="single" w:sz="4" w:space="0" w:color="auto"/>
              <w:right w:val="single" w:sz="4" w:space="0" w:color="auto"/>
            </w:tcBorders>
            <w:shd w:val="clear" w:color="auto" w:fill="auto"/>
            <w:vAlign w:val="center"/>
          </w:tcPr>
          <w:p w14:paraId="07B252DC" w14:textId="77777777" w:rsidR="004A0123" w:rsidRPr="00640447" w:rsidRDefault="004A0123" w:rsidP="008A5C11">
            <w:pPr>
              <w:jc w:val="center"/>
              <w:rPr>
                <w:sz w:val="13"/>
                <w:szCs w:val="13"/>
              </w:rPr>
            </w:pPr>
            <w:r w:rsidRPr="00640447">
              <w:rPr>
                <w:sz w:val="13"/>
                <w:szCs w:val="13"/>
              </w:rPr>
              <w:t>82441</w:t>
            </w:r>
          </w:p>
        </w:tc>
        <w:tc>
          <w:tcPr>
            <w:tcW w:w="187" w:type="pct"/>
            <w:tcBorders>
              <w:top w:val="single" w:sz="4" w:space="0" w:color="auto"/>
              <w:left w:val="nil"/>
              <w:bottom w:val="single" w:sz="4" w:space="0" w:color="auto"/>
              <w:right w:val="single" w:sz="4" w:space="0" w:color="auto"/>
            </w:tcBorders>
            <w:shd w:val="clear" w:color="auto" w:fill="auto"/>
            <w:vAlign w:val="center"/>
          </w:tcPr>
          <w:p w14:paraId="5F2175FF" w14:textId="77777777" w:rsidR="004A0123" w:rsidRPr="00640447" w:rsidRDefault="004A0123" w:rsidP="008A5C11">
            <w:pPr>
              <w:jc w:val="center"/>
              <w:rPr>
                <w:sz w:val="13"/>
                <w:szCs w:val="13"/>
              </w:rPr>
            </w:pPr>
            <w:r w:rsidRPr="00640447">
              <w:rPr>
                <w:sz w:val="13"/>
                <w:szCs w:val="13"/>
              </w:rPr>
              <w:t>0</w:t>
            </w:r>
          </w:p>
        </w:tc>
        <w:tc>
          <w:tcPr>
            <w:tcW w:w="146" w:type="pct"/>
            <w:tcBorders>
              <w:top w:val="single" w:sz="4" w:space="0" w:color="auto"/>
              <w:left w:val="single" w:sz="4" w:space="0" w:color="auto"/>
              <w:bottom w:val="single" w:sz="4" w:space="0" w:color="auto"/>
              <w:right w:val="single" w:sz="4" w:space="0" w:color="auto"/>
            </w:tcBorders>
            <w:shd w:val="clear" w:color="auto" w:fill="auto"/>
            <w:vAlign w:val="center"/>
          </w:tcPr>
          <w:p w14:paraId="21B89AB2" w14:textId="77777777" w:rsidR="004A0123" w:rsidRPr="00640447" w:rsidRDefault="004A0123" w:rsidP="008A5C11">
            <w:pPr>
              <w:jc w:val="center"/>
              <w:rPr>
                <w:sz w:val="13"/>
                <w:szCs w:val="13"/>
              </w:rPr>
            </w:pPr>
            <w:r w:rsidRPr="00640447">
              <w:rPr>
                <w:sz w:val="13"/>
                <w:szCs w:val="13"/>
              </w:rPr>
              <w:t>0</w:t>
            </w:r>
          </w:p>
        </w:tc>
        <w:tc>
          <w:tcPr>
            <w:tcW w:w="149" w:type="pct"/>
            <w:tcBorders>
              <w:top w:val="single" w:sz="4" w:space="0" w:color="auto"/>
              <w:left w:val="nil"/>
              <w:bottom w:val="single" w:sz="4" w:space="0" w:color="auto"/>
              <w:right w:val="single" w:sz="4" w:space="0" w:color="auto"/>
            </w:tcBorders>
            <w:shd w:val="clear" w:color="auto" w:fill="auto"/>
            <w:vAlign w:val="center"/>
          </w:tcPr>
          <w:p w14:paraId="42135716" w14:textId="77777777" w:rsidR="004A0123" w:rsidRPr="00640447" w:rsidRDefault="004A0123" w:rsidP="008A5C11">
            <w:pPr>
              <w:jc w:val="center"/>
              <w:rPr>
                <w:sz w:val="13"/>
                <w:szCs w:val="13"/>
              </w:rPr>
            </w:pPr>
            <w:r w:rsidRPr="00640447">
              <w:rPr>
                <w:sz w:val="13"/>
                <w:szCs w:val="13"/>
              </w:rPr>
              <w:t>18100</w:t>
            </w:r>
          </w:p>
        </w:tc>
        <w:tc>
          <w:tcPr>
            <w:tcW w:w="183" w:type="pct"/>
            <w:tcBorders>
              <w:top w:val="single" w:sz="4" w:space="0" w:color="auto"/>
              <w:left w:val="nil"/>
              <w:bottom w:val="single" w:sz="4" w:space="0" w:color="auto"/>
              <w:right w:val="single" w:sz="4" w:space="0" w:color="auto"/>
            </w:tcBorders>
            <w:shd w:val="clear" w:color="auto" w:fill="auto"/>
            <w:vAlign w:val="center"/>
          </w:tcPr>
          <w:p w14:paraId="7B00B836" w14:textId="77777777" w:rsidR="004A0123" w:rsidRPr="00640447" w:rsidRDefault="004A0123" w:rsidP="008A5C11">
            <w:pPr>
              <w:jc w:val="center"/>
              <w:rPr>
                <w:sz w:val="13"/>
                <w:szCs w:val="13"/>
              </w:rPr>
            </w:pPr>
            <w:r w:rsidRPr="00640447">
              <w:rPr>
                <w:sz w:val="13"/>
                <w:szCs w:val="13"/>
              </w:rPr>
              <w:t>32915</w:t>
            </w:r>
          </w:p>
        </w:tc>
        <w:tc>
          <w:tcPr>
            <w:tcW w:w="183" w:type="pct"/>
            <w:tcBorders>
              <w:top w:val="single" w:sz="4" w:space="0" w:color="auto"/>
              <w:left w:val="nil"/>
              <w:bottom w:val="single" w:sz="4" w:space="0" w:color="auto"/>
              <w:right w:val="single" w:sz="4" w:space="0" w:color="auto"/>
            </w:tcBorders>
            <w:shd w:val="clear" w:color="auto" w:fill="auto"/>
            <w:vAlign w:val="center"/>
          </w:tcPr>
          <w:p w14:paraId="65A7EBEC" w14:textId="77777777" w:rsidR="004A0123" w:rsidRPr="00640447" w:rsidRDefault="004A0123" w:rsidP="008A5C11">
            <w:pPr>
              <w:jc w:val="center"/>
              <w:rPr>
                <w:sz w:val="13"/>
                <w:szCs w:val="13"/>
              </w:rPr>
            </w:pPr>
            <w:r w:rsidRPr="00640447">
              <w:rPr>
                <w:sz w:val="13"/>
                <w:szCs w:val="13"/>
              </w:rPr>
              <w:t>31426</w:t>
            </w:r>
          </w:p>
        </w:tc>
        <w:tc>
          <w:tcPr>
            <w:tcW w:w="155" w:type="pct"/>
            <w:tcBorders>
              <w:top w:val="single" w:sz="4" w:space="0" w:color="auto"/>
              <w:left w:val="single" w:sz="4" w:space="0" w:color="auto"/>
              <w:bottom w:val="single" w:sz="4" w:space="0" w:color="auto"/>
              <w:right w:val="single" w:sz="4" w:space="0" w:color="auto"/>
            </w:tcBorders>
            <w:vAlign w:val="center"/>
          </w:tcPr>
          <w:p w14:paraId="7612A3C2" w14:textId="77777777" w:rsidR="004A0123" w:rsidRPr="00640447" w:rsidRDefault="004A0123" w:rsidP="008A5C11">
            <w:pPr>
              <w:jc w:val="center"/>
              <w:rPr>
                <w:sz w:val="13"/>
                <w:szCs w:val="13"/>
              </w:rPr>
            </w:pPr>
            <w:r w:rsidRPr="00640447">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44214050" w14:textId="77777777" w:rsidR="004A0123" w:rsidRPr="00640447" w:rsidRDefault="004A0123" w:rsidP="008A5C11">
            <w:pPr>
              <w:jc w:val="center"/>
              <w:rPr>
                <w:sz w:val="13"/>
                <w:szCs w:val="13"/>
              </w:rPr>
            </w:pPr>
            <w:r w:rsidRPr="00640447">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4AAD1A33" w14:textId="77777777" w:rsidR="004A0123" w:rsidRPr="00640447" w:rsidRDefault="004A0123" w:rsidP="008A5C11">
            <w:pPr>
              <w:jc w:val="center"/>
              <w:rPr>
                <w:sz w:val="13"/>
                <w:szCs w:val="13"/>
              </w:rPr>
            </w:pPr>
            <w:r w:rsidRPr="00640447">
              <w:rPr>
                <w:sz w:val="13"/>
                <w:szCs w:val="13"/>
              </w:rPr>
              <w:t>0</w:t>
            </w:r>
          </w:p>
        </w:tc>
        <w:tc>
          <w:tcPr>
            <w:tcW w:w="174" w:type="pct"/>
            <w:tcBorders>
              <w:top w:val="single" w:sz="4" w:space="0" w:color="auto"/>
              <w:left w:val="single" w:sz="4" w:space="0" w:color="auto"/>
              <w:bottom w:val="single" w:sz="4" w:space="0" w:color="auto"/>
              <w:right w:val="single" w:sz="4" w:space="0" w:color="auto"/>
            </w:tcBorders>
            <w:vAlign w:val="center"/>
          </w:tcPr>
          <w:p w14:paraId="6DD2E7E6" w14:textId="77777777" w:rsidR="004A0123" w:rsidRPr="00640447" w:rsidRDefault="004A0123" w:rsidP="008A5C11">
            <w:pPr>
              <w:jc w:val="center"/>
              <w:rPr>
                <w:sz w:val="13"/>
                <w:szCs w:val="13"/>
              </w:rPr>
            </w:pPr>
            <w:r w:rsidRPr="00640447">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4F17466F" w14:textId="77777777" w:rsidR="004A0123" w:rsidRPr="00640447" w:rsidRDefault="004A0123" w:rsidP="008A5C11">
            <w:pPr>
              <w:jc w:val="center"/>
              <w:rPr>
                <w:sz w:val="13"/>
                <w:szCs w:val="13"/>
              </w:rPr>
            </w:pPr>
            <w:r w:rsidRPr="00640447">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4AF5EF1C" w14:textId="77777777" w:rsidR="004A0123" w:rsidRPr="00640447" w:rsidRDefault="004A0123" w:rsidP="008A5C11">
            <w:pPr>
              <w:jc w:val="center"/>
              <w:rPr>
                <w:sz w:val="13"/>
                <w:szCs w:val="13"/>
              </w:rPr>
            </w:pPr>
            <w:r w:rsidRPr="00640447">
              <w:rPr>
                <w:sz w:val="13"/>
                <w:szCs w:val="13"/>
              </w:rPr>
              <w:t>0</w:t>
            </w:r>
          </w:p>
        </w:tc>
        <w:tc>
          <w:tcPr>
            <w:tcW w:w="188" w:type="pct"/>
            <w:tcBorders>
              <w:top w:val="single" w:sz="4" w:space="0" w:color="auto"/>
              <w:left w:val="single" w:sz="4" w:space="0" w:color="auto"/>
              <w:bottom w:val="single" w:sz="4" w:space="0" w:color="auto"/>
              <w:right w:val="single" w:sz="4" w:space="0" w:color="auto"/>
            </w:tcBorders>
            <w:vAlign w:val="center"/>
          </w:tcPr>
          <w:p w14:paraId="57E2D665" w14:textId="77777777" w:rsidR="004A0123" w:rsidRPr="00640447" w:rsidRDefault="004A0123" w:rsidP="008A5C11">
            <w:pPr>
              <w:jc w:val="center"/>
              <w:rPr>
                <w:sz w:val="13"/>
                <w:szCs w:val="13"/>
              </w:rPr>
            </w:pPr>
            <w:r w:rsidRPr="00640447">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3447B6A3" w14:textId="77777777" w:rsidR="004A0123" w:rsidRPr="00640447" w:rsidRDefault="004A0123" w:rsidP="008A5C11">
            <w:pPr>
              <w:jc w:val="center"/>
              <w:rPr>
                <w:sz w:val="13"/>
                <w:szCs w:val="13"/>
              </w:rPr>
            </w:pPr>
            <w:r w:rsidRPr="00640447">
              <w:rPr>
                <w:sz w:val="13"/>
                <w:szCs w:val="13"/>
              </w:rPr>
              <w:t>0</w:t>
            </w:r>
          </w:p>
        </w:tc>
      </w:tr>
      <w:tr w:rsidR="004A0123" w:rsidRPr="00640447" w14:paraId="652199B6" w14:textId="77777777" w:rsidTr="008A5C11">
        <w:trPr>
          <w:trHeight w:val="212"/>
        </w:trPr>
        <w:tc>
          <w:tcPr>
            <w:tcW w:w="146" w:type="pct"/>
            <w:shd w:val="clear" w:color="auto" w:fill="auto"/>
            <w:vAlign w:val="center"/>
          </w:tcPr>
          <w:p w14:paraId="4406E757" w14:textId="77777777" w:rsidR="004A0123" w:rsidRPr="00640447" w:rsidRDefault="004A0123" w:rsidP="008A5C11">
            <w:pPr>
              <w:jc w:val="center"/>
              <w:rPr>
                <w:sz w:val="13"/>
                <w:szCs w:val="13"/>
              </w:rPr>
            </w:pPr>
            <w:r w:rsidRPr="00640447">
              <w:rPr>
                <w:sz w:val="13"/>
                <w:szCs w:val="13"/>
              </w:rPr>
              <w:t>2.1.4.</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57E5D5B6" w14:textId="77777777" w:rsidR="004A0123" w:rsidRPr="00640447" w:rsidRDefault="004A0123" w:rsidP="008A5C11">
            <w:pPr>
              <w:rPr>
                <w:color w:val="000000"/>
                <w:sz w:val="13"/>
                <w:szCs w:val="13"/>
              </w:rPr>
            </w:pPr>
            <w:r w:rsidRPr="00640447">
              <w:rPr>
                <w:color w:val="000000"/>
                <w:sz w:val="13"/>
                <w:szCs w:val="13"/>
              </w:rPr>
              <w:t>Реконструкция теплосетевого комплекса центрального планировочного района: Закрытие котельной № 14 и №1 с переключением тепловых нагрузок на котельную "Центральная"</w:t>
            </w:r>
          </w:p>
        </w:tc>
        <w:tc>
          <w:tcPr>
            <w:tcW w:w="359" w:type="pct"/>
            <w:tcBorders>
              <w:top w:val="single" w:sz="4" w:space="0" w:color="auto"/>
              <w:left w:val="nil"/>
              <w:bottom w:val="single" w:sz="4" w:space="0" w:color="auto"/>
              <w:right w:val="single" w:sz="4" w:space="0" w:color="auto"/>
            </w:tcBorders>
            <w:shd w:val="clear" w:color="auto" w:fill="auto"/>
            <w:vAlign w:val="center"/>
          </w:tcPr>
          <w:p w14:paraId="2744908B" w14:textId="77777777" w:rsidR="004A0123" w:rsidRPr="00640447" w:rsidRDefault="004A0123" w:rsidP="008A5C11">
            <w:pPr>
              <w:jc w:val="center"/>
              <w:rPr>
                <w:color w:val="000000"/>
                <w:sz w:val="13"/>
                <w:szCs w:val="13"/>
              </w:rPr>
            </w:pPr>
            <w:r w:rsidRPr="00640447">
              <w:rPr>
                <w:color w:val="000000"/>
                <w:sz w:val="13"/>
                <w:szCs w:val="13"/>
              </w:rPr>
              <w:t>Повышение надежности теплоснабжения</w:t>
            </w:r>
          </w:p>
        </w:tc>
        <w:tc>
          <w:tcPr>
            <w:tcW w:w="360" w:type="pct"/>
            <w:tcBorders>
              <w:top w:val="single" w:sz="4" w:space="0" w:color="auto"/>
              <w:left w:val="nil"/>
              <w:bottom w:val="single" w:sz="4" w:space="0" w:color="auto"/>
              <w:right w:val="single" w:sz="4" w:space="0" w:color="auto"/>
            </w:tcBorders>
            <w:shd w:val="clear" w:color="auto" w:fill="auto"/>
            <w:vAlign w:val="center"/>
          </w:tcPr>
          <w:p w14:paraId="0C69EDC8" w14:textId="77777777" w:rsidR="004A0123" w:rsidRPr="00640447" w:rsidRDefault="004A0123" w:rsidP="008A5C11">
            <w:pPr>
              <w:jc w:val="center"/>
              <w:rPr>
                <w:color w:val="000000"/>
                <w:sz w:val="13"/>
                <w:szCs w:val="13"/>
              </w:rPr>
            </w:pPr>
            <w:r w:rsidRPr="00640447">
              <w:rPr>
                <w:color w:val="000000"/>
                <w:sz w:val="13"/>
                <w:szCs w:val="13"/>
              </w:rPr>
              <w:t xml:space="preserve">г. Ленинск-Кузнецкий, </w:t>
            </w:r>
          </w:p>
          <w:p w14:paraId="56D3B77E" w14:textId="77777777" w:rsidR="004A0123" w:rsidRPr="00640447" w:rsidRDefault="004A0123" w:rsidP="008A5C11">
            <w:pPr>
              <w:jc w:val="center"/>
              <w:rPr>
                <w:color w:val="000000"/>
                <w:sz w:val="13"/>
                <w:szCs w:val="13"/>
              </w:rPr>
            </w:pPr>
            <w:r w:rsidRPr="00640447">
              <w:rPr>
                <w:color w:val="000000"/>
                <w:sz w:val="13"/>
                <w:szCs w:val="13"/>
              </w:rPr>
              <w:t xml:space="preserve">пер. Рядовой, 6а, ул. Чекмарева, 30а    </w:t>
            </w:r>
          </w:p>
        </w:tc>
        <w:tc>
          <w:tcPr>
            <w:tcW w:w="338" w:type="pct"/>
            <w:tcBorders>
              <w:top w:val="single" w:sz="4" w:space="0" w:color="auto"/>
              <w:left w:val="nil"/>
              <w:bottom w:val="single" w:sz="4" w:space="0" w:color="auto"/>
              <w:right w:val="single" w:sz="4" w:space="0" w:color="auto"/>
            </w:tcBorders>
            <w:shd w:val="clear" w:color="auto" w:fill="auto"/>
            <w:vAlign w:val="center"/>
          </w:tcPr>
          <w:p w14:paraId="13335290" w14:textId="77777777" w:rsidR="004A0123" w:rsidRPr="00640447" w:rsidRDefault="004A0123" w:rsidP="008A5C11">
            <w:pPr>
              <w:jc w:val="center"/>
              <w:rPr>
                <w:sz w:val="13"/>
                <w:szCs w:val="13"/>
              </w:rPr>
            </w:pPr>
            <w:r w:rsidRPr="00640447">
              <w:rPr>
                <w:sz w:val="13"/>
                <w:szCs w:val="13"/>
              </w:rPr>
              <w:t>Протяженность (трассы)</w:t>
            </w:r>
          </w:p>
        </w:tc>
        <w:tc>
          <w:tcPr>
            <w:tcW w:w="116" w:type="pct"/>
            <w:tcBorders>
              <w:top w:val="single" w:sz="4" w:space="0" w:color="auto"/>
              <w:left w:val="nil"/>
              <w:bottom w:val="single" w:sz="4" w:space="0" w:color="auto"/>
              <w:right w:val="single" w:sz="4" w:space="0" w:color="auto"/>
            </w:tcBorders>
            <w:shd w:val="clear" w:color="auto" w:fill="auto"/>
            <w:vAlign w:val="center"/>
          </w:tcPr>
          <w:p w14:paraId="32F32678" w14:textId="77777777" w:rsidR="004A0123" w:rsidRPr="00640447" w:rsidRDefault="004A0123" w:rsidP="008A5C11">
            <w:pPr>
              <w:jc w:val="center"/>
              <w:rPr>
                <w:sz w:val="13"/>
                <w:szCs w:val="13"/>
              </w:rPr>
            </w:pPr>
            <w:r w:rsidRPr="00640447">
              <w:rPr>
                <w:sz w:val="13"/>
                <w:szCs w:val="13"/>
              </w:rPr>
              <w:t>км</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3517A05D" w14:textId="77777777" w:rsidR="004A0123" w:rsidRPr="00640447" w:rsidRDefault="004A0123" w:rsidP="008A5C11">
            <w:pPr>
              <w:jc w:val="center"/>
              <w:rPr>
                <w:sz w:val="13"/>
                <w:szCs w:val="13"/>
              </w:rPr>
            </w:pPr>
            <w:r w:rsidRPr="00640447">
              <w:rPr>
                <w:sz w:val="13"/>
                <w:szCs w:val="13"/>
              </w:rPr>
              <w:t>0,0</w:t>
            </w:r>
          </w:p>
        </w:tc>
        <w:tc>
          <w:tcPr>
            <w:tcW w:w="174" w:type="pct"/>
            <w:tcBorders>
              <w:top w:val="single" w:sz="4" w:space="0" w:color="auto"/>
              <w:left w:val="nil"/>
              <w:bottom w:val="single" w:sz="4" w:space="0" w:color="auto"/>
              <w:right w:val="single" w:sz="4" w:space="0" w:color="auto"/>
            </w:tcBorders>
            <w:shd w:val="clear" w:color="auto" w:fill="auto"/>
            <w:vAlign w:val="center"/>
          </w:tcPr>
          <w:p w14:paraId="666FD04C" w14:textId="77777777" w:rsidR="004A0123" w:rsidRPr="00640447" w:rsidRDefault="004A0123" w:rsidP="008A5C11">
            <w:pPr>
              <w:jc w:val="center"/>
              <w:rPr>
                <w:sz w:val="13"/>
                <w:szCs w:val="13"/>
              </w:rPr>
            </w:pPr>
            <w:r w:rsidRPr="00640447">
              <w:rPr>
                <w:sz w:val="13"/>
                <w:szCs w:val="13"/>
              </w:rPr>
              <w:t>4,2</w:t>
            </w:r>
          </w:p>
        </w:tc>
        <w:tc>
          <w:tcPr>
            <w:tcW w:w="189" w:type="pct"/>
            <w:tcBorders>
              <w:top w:val="single" w:sz="4" w:space="0" w:color="auto"/>
              <w:left w:val="nil"/>
              <w:bottom w:val="single" w:sz="4" w:space="0" w:color="auto"/>
              <w:right w:val="single" w:sz="4" w:space="0" w:color="auto"/>
            </w:tcBorders>
            <w:shd w:val="clear" w:color="auto" w:fill="auto"/>
            <w:vAlign w:val="center"/>
          </w:tcPr>
          <w:p w14:paraId="6A96DC82" w14:textId="77777777" w:rsidR="004A0123" w:rsidRPr="00640447" w:rsidRDefault="004A0123" w:rsidP="008A5C11">
            <w:pPr>
              <w:jc w:val="center"/>
              <w:rPr>
                <w:sz w:val="13"/>
                <w:szCs w:val="13"/>
              </w:rPr>
            </w:pPr>
            <w:r w:rsidRPr="00640447">
              <w:rPr>
                <w:sz w:val="13"/>
                <w:szCs w:val="13"/>
              </w:rPr>
              <w:t>2021</w:t>
            </w:r>
          </w:p>
        </w:tc>
        <w:tc>
          <w:tcPr>
            <w:tcW w:w="184" w:type="pct"/>
            <w:tcBorders>
              <w:top w:val="single" w:sz="4" w:space="0" w:color="auto"/>
              <w:left w:val="nil"/>
              <w:bottom w:val="single" w:sz="4" w:space="0" w:color="auto"/>
              <w:right w:val="single" w:sz="4" w:space="0" w:color="auto"/>
            </w:tcBorders>
            <w:shd w:val="clear" w:color="auto" w:fill="auto"/>
            <w:vAlign w:val="center"/>
          </w:tcPr>
          <w:p w14:paraId="38964C75" w14:textId="77777777" w:rsidR="004A0123" w:rsidRPr="00640447" w:rsidRDefault="004A0123" w:rsidP="008A5C11">
            <w:pPr>
              <w:jc w:val="center"/>
              <w:rPr>
                <w:sz w:val="13"/>
                <w:szCs w:val="13"/>
              </w:rPr>
            </w:pPr>
            <w:r w:rsidRPr="00640447">
              <w:rPr>
                <w:sz w:val="13"/>
                <w:szCs w:val="13"/>
              </w:rPr>
              <w:t>2023</w:t>
            </w:r>
          </w:p>
        </w:tc>
        <w:tc>
          <w:tcPr>
            <w:tcW w:w="180" w:type="pct"/>
            <w:tcBorders>
              <w:top w:val="single" w:sz="4" w:space="0" w:color="auto"/>
              <w:left w:val="nil"/>
              <w:bottom w:val="single" w:sz="4" w:space="0" w:color="auto"/>
              <w:right w:val="single" w:sz="4" w:space="0" w:color="auto"/>
            </w:tcBorders>
            <w:shd w:val="clear" w:color="auto" w:fill="auto"/>
            <w:vAlign w:val="center"/>
          </w:tcPr>
          <w:p w14:paraId="78FFE730" w14:textId="77777777" w:rsidR="004A0123" w:rsidRPr="00640447" w:rsidRDefault="004A0123" w:rsidP="008A5C11">
            <w:pPr>
              <w:jc w:val="center"/>
              <w:rPr>
                <w:sz w:val="13"/>
                <w:szCs w:val="13"/>
              </w:rPr>
            </w:pPr>
            <w:r w:rsidRPr="00640447">
              <w:rPr>
                <w:sz w:val="13"/>
                <w:szCs w:val="13"/>
              </w:rPr>
              <w:t>221119</w:t>
            </w:r>
          </w:p>
        </w:tc>
        <w:tc>
          <w:tcPr>
            <w:tcW w:w="187" w:type="pct"/>
            <w:tcBorders>
              <w:top w:val="single" w:sz="4" w:space="0" w:color="auto"/>
              <w:left w:val="nil"/>
              <w:bottom w:val="single" w:sz="4" w:space="0" w:color="auto"/>
              <w:right w:val="single" w:sz="4" w:space="0" w:color="auto"/>
            </w:tcBorders>
            <w:shd w:val="clear" w:color="auto" w:fill="auto"/>
            <w:vAlign w:val="center"/>
          </w:tcPr>
          <w:p w14:paraId="0C550F9B" w14:textId="77777777" w:rsidR="004A0123" w:rsidRPr="00640447" w:rsidRDefault="004A0123" w:rsidP="008A5C11">
            <w:pPr>
              <w:jc w:val="center"/>
              <w:rPr>
                <w:sz w:val="13"/>
                <w:szCs w:val="13"/>
              </w:rPr>
            </w:pPr>
            <w:r w:rsidRPr="00640447">
              <w:rPr>
                <w:sz w:val="13"/>
                <w:szCs w:val="13"/>
              </w:rPr>
              <w:t>0</w:t>
            </w:r>
          </w:p>
        </w:tc>
        <w:tc>
          <w:tcPr>
            <w:tcW w:w="146" w:type="pct"/>
            <w:tcBorders>
              <w:top w:val="single" w:sz="4" w:space="0" w:color="auto"/>
              <w:left w:val="single" w:sz="4" w:space="0" w:color="auto"/>
              <w:bottom w:val="single" w:sz="4" w:space="0" w:color="auto"/>
              <w:right w:val="single" w:sz="4" w:space="0" w:color="auto"/>
            </w:tcBorders>
            <w:shd w:val="clear" w:color="auto" w:fill="auto"/>
            <w:vAlign w:val="center"/>
          </w:tcPr>
          <w:p w14:paraId="364467D4" w14:textId="77777777" w:rsidR="004A0123" w:rsidRPr="00640447" w:rsidRDefault="004A0123" w:rsidP="008A5C11">
            <w:pPr>
              <w:jc w:val="center"/>
              <w:rPr>
                <w:sz w:val="13"/>
                <w:szCs w:val="13"/>
              </w:rPr>
            </w:pPr>
            <w:r w:rsidRPr="00640447">
              <w:rPr>
                <w:sz w:val="13"/>
                <w:szCs w:val="13"/>
              </w:rPr>
              <w:t>0</w:t>
            </w:r>
          </w:p>
        </w:tc>
        <w:tc>
          <w:tcPr>
            <w:tcW w:w="149" w:type="pct"/>
            <w:tcBorders>
              <w:top w:val="single" w:sz="4" w:space="0" w:color="auto"/>
              <w:left w:val="nil"/>
              <w:bottom w:val="single" w:sz="4" w:space="0" w:color="auto"/>
              <w:right w:val="single" w:sz="4" w:space="0" w:color="auto"/>
            </w:tcBorders>
            <w:shd w:val="clear" w:color="auto" w:fill="auto"/>
            <w:vAlign w:val="center"/>
          </w:tcPr>
          <w:p w14:paraId="79500488" w14:textId="77777777" w:rsidR="004A0123" w:rsidRPr="00640447" w:rsidRDefault="004A0123" w:rsidP="008A5C11">
            <w:pPr>
              <w:jc w:val="center"/>
              <w:rPr>
                <w:sz w:val="13"/>
                <w:szCs w:val="13"/>
              </w:rPr>
            </w:pPr>
            <w:r w:rsidRPr="00640447">
              <w:rPr>
                <w:sz w:val="13"/>
                <w:szCs w:val="13"/>
              </w:rPr>
              <w:t>0</w:t>
            </w:r>
          </w:p>
        </w:tc>
        <w:tc>
          <w:tcPr>
            <w:tcW w:w="183" w:type="pct"/>
            <w:tcBorders>
              <w:top w:val="single" w:sz="4" w:space="0" w:color="auto"/>
              <w:left w:val="nil"/>
              <w:bottom w:val="single" w:sz="4" w:space="0" w:color="auto"/>
              <w:right w:val="single" w:sz="4" w:space="0" w:color="auto"/>
            </w:tcBorders>
            <w:shd w:val="clear" w:color="auto" w:fill="auto"/>
            <w:vAlign w:val="center"/>
          </w:tcPr>
          <w:p w14:paraId="0DCAD16A" w14:textId="77777777" w:rsidR="004A0123" w:rsidRPr="00640447" w:rsidRDefault="004A0123" w:rsidP="008A5C11">
            <w:pPr>
              <w:jc w:val="center"/>
              <w:rPr>
                <w:sz w:val="13"/>
                <w:szCs w:val="13"/>
              </w:rPr>
            </w:pPr>
            <w:r w:rsidRPr="00640447">
              <w:rPr>
                <w:sz w:val="13"/>
                <w:szCs w:val="13"/>
              </w:rPr>
              <w:t>9878</w:t>
            </w:r>
          </w:p>
        </w:tc>
        <w:tc>
          <w:tcPr>
            <w:tcW w:w="183" w:type="pct"/>
            <w:tcBorders>
              <w:top w:val="single" w:sz="4" w:space="0" w:color="auto"/>
              <w:left w:val="nil"/>
              <w:bottom w:val="single" w:sz="4" w:space="0" w:color="auto"/>
              <w:right w:val="single" w:sz="4" w:space="0" w:color="auto"/>
            </w:tcBorders>
            <w:shd w:val="clear" w:color="auto" w:fill="auto"/>
            <w:vAlign w:val="center"/>
          </w:tcPr>
          <w:p w14:paraId="38D09AA9" w14:textId="77777777" w:rsidR="004A0123" w:rsidRPr="00640447" w:rsidRDefault="004A0123" w:rsidP="008A5C11">
            <w:pPr>
              <w:jc w:val="center"/>
              <w:rPr>
                <w:sz w:val="13"/>
                <w:szCs w:val="13"/>
              </w:rPr>
            </w:pPr>
            <w:r w:rsidRPr="00640447">
              <w:rPr>
                <w:sz w:val="13"/>
                <w:szCs w:val="13"/>
              </w:rPr>
              <w:t>87013</w:t>
            </w:r>
          </w:p>
        </w:tc>
        <w:tc>
          <w:tcPr>
            <w:tcW w:w="155" w:type="pct"/>
            <w:tcBorders>
              <w:top w:val="single" w:sz="4" w:space="0" w:color="auto"/>
              <w:left w:val="single" w:sz="4" w:space="0" w:color="auto"/>
              <w:bottom w:val="single" w:sz="4" w:space="0" w:color="auto"/>
              <w:right w:val="single" w:sz="4" w:space="0" w:color="auto"/>
            </w:tcBorders>
            <w:vAlign w:val="center"/>
          </w:tcPr>
          <w:p w14:paraId="35CA265A" w14:textId="77777777" w:rsidR="004A0123" w:rsidRPr="00640447" w:rsidRDefault="004A0123" w:rsidP="008A5C11">
            <w:pPr>
              <w:jc w:val="center"/>
              <w:rPr>
                <w:sz w:val="13"/>
                <w:szCs w:val="13"/>
              </w:rPr>
            </w:pPr>
            <w:r w:rsidRPr="00640447">
              <w:rPr>
                <w:sz w:val="13"/>
                <w:szCs w:val="13"/>
              </w:rPr>
              <w:t>124228</w:t>
            </w:r>
          </w:p>
        </w:tc>
        <w:tc>
          <w:tcPr>
            <w:tcW w:w="154" w:type="pct"/>
            <w:tcBorders>
              <w:top w:val="single" w:sz="4" w:space="0" w:color="auto"/>
              <w:left w:val="single" w:sz="4" w:space="0" w:color="auto"/>
              <w:bottom w:val="single" w:sz="4" w:space="0" w:color="auto"/>
              <w:right w:val="single" w:sz="4" w:space="0" w:color="auto"/>
            </w:tcBorders>
            <w:vAlign w:val="center"/>
          </w:tcPr>
          <w:p w14:paraId="272E262F" w14:textId="77777777" w:rsidR="004A0123" w:rsidRPr="00640447" w:rsidRDefault="004A0123" w:rsidP="008A5C11">
            <w:pPr>
              <w:jc w:val="center"/>
              <w:rPr>
                <w:sz w:val="13"/>
                <w:szCs w:val="13"/>
              </w:rPr>
            </w:pPr>
            <w:r w:rsidRPr="00640447">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307BAA99" w14:textId="77777777" w:rsidR="004A0123" w:rsidRPr="00640447" w:rsidRDefault="004A0123" w:rsidP="008A5C11">
            <w:pPr>
              <w:jc w:val="center"/>
              <w:rPr>
                <w:sz w:val="13"/>
                <w:szCs w:val="13"/>
              </w:rPr>
            </w:pPr>
            <w:r w:rsidRPr="00640447">
              <w:rPr>
                <w:sz w:val="13"/>
                <w:szCs w:val="13"/>
              </w:rPr>
              <w:t>0</w:t>
            </w:r>
          </w:p>
        </w:tc>
        <w:tc>
          <w:tcPr>
            <w:tcW w:w="174" w:type="pct"/>
            <w:tcBorders>
              <w:top w:val="single" w:sz="4" w:space="0" w:color="auto"/>
              <w:left w:val="single" w:sz="4" w:space="0" w:color="auto"/>
              <w:bottom w:val="single" w:sz="4" w:space="0" w:color="auto"/>
              <w:right w:val="single" w:sz="4" w:space="0" w:color="auto"/>
            </w:tcBorders>
            <w:vAlign w:val="center"/>
          </w:tcPr>
          <w:p w14:paraId="134C7B0A" w14:textId="77777777" w:rsidR="004A0123" w:rsidRPr="00640447" w:rsidRDefault="004A0123" w:rsidP="008A5C11">
            <w:pPr>
              <w:jc w:val="center"/>
              <w:rPr>
                <w:sz w:val="13"/>
                <w:szCs w:val="13"/>
              </w:rPr>
            </w:pPr>
            <w:r w:rsidRPr="00640447">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7818DEBC" w14:textId="77777777" w:rsidR="004A0123" w:rsidRPr="00640447" w:rsidRDefault="004A0123" w:rsidP="008A5C11">
            <w:pPr>
              <w:jc w:val="center"/>
              <w:rPr>
                <w:sz w:val="13"/>
                <w:szCs w:val="13"/>
              </w:rPr>
            </w:pPr>
            <w:r w:rsidRPr="00640447">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6D25C3A9" w14:textId="77777777" w:rsidR="004A0123" w:rsidRPr="00640447" w:rsidRDefault="004A0123" w:rsidP="008A5C11">
            <w:pPr>
              <w:jc w:val="center"/>
              <w:rPr>
                <w:sz w:val="13"/>
                <w:szCs w:val="13"/>
              </w:rPr>
            </w:pPr>
            <w:r w:rsidRPr="00640447">
              <w:rPr>
                <w:sz w:val="13"/>
                <w:szCs w:val="13"/>
              </w:rPr>
              <w:t>0</w:t>
            </w:r>
          </w:p>
        </w:tc>
        <w:tc>
          <w:tcPr>
            <w:tcW w:w="188" w:type="pct"/>
            <w:tcBorders>
              <w:top w:val="single" w:sz="4" w:space="0" w:color="auto"/>
              <w:left w:val="single" w:sz="4" w:space="0" w:color="auto"/>
              <w:bottom w:val="single" w:sz="4" w:space="0" w:color="auto"/>
              <w:right w:val="single" w:sz="4" w:space="0" w:color="auto"/>
            </w:tcBorders>
            <w:vAlign w:val="center"/>
          </w:tcPr>
          <w:p w14:paraId="5CD023DA" w14:textId="77777777" w:rsidR="004A0123" w:rsidRPr="00640447" w:rsidRDefault="004A0123" w:rsidP="008A5C11">
            <w:pPr>
              <w:jc w:val="center"/>
              <w:rPr>
                <w:sz w:val="13"/>
                <w:szCs w:val="13"/>
              </w:rPr>
            </w:pPr>
            <w:r w:rsidRPr="00640447">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37FC4CF8" w14:textId="77777777" w:rsidR="004A0123" w:rsidRPr="00640447" w:rsidRDefault="004A0123" w:rsidP="008A5C11">
            <w:pPr>
              <w:jc w:val="center"/>
              <w:rPr>
                <w:sz w:val="13"/>
                <w:szCs w:val="13"/>
              </w:rPr>
            </w:pPr>
            <w:r w:rsidRPr="00640447">
              <w:rPr>
                <w:sz w:val="13"/>
                <w:szCs w:val="13"/>
              </w:rPr>
              <w:t>0</w:t>
            </w:r>
          </w:p>
        </w:tc>
      </w:tr>
      <w:tr w:rsidR="004A0123" w:rsidRPr="00640447" w14:paraId="0B8D64BD" w14:textId="77777777" w:rsidTr="008A5C11">
        <w:trPr>
          <w:trHeight w:val="126"/>
        </w:trPr>
        <w:tc>
          <w:tcPr>
            <w:tcW w:w="2664" w:type="pct"/>
            <w:gridSpan w:val="10"/>
            <w:tcBorders>
              <w:right w:val="single" w:sz="4" w:space="0" w:color="auto"/>
            </w:tcBorders>
            <w:shd w:val="clear" w:color="auto" w:fill="auto"/>
            <w:vAlign w:val="center"/>
          </w:tcPr>
          <w:p w14:paraId="5512D03B" w14:textId="77777777" w:rsidR="004A0123" w:rsidRPr="00640447" w:rsidRDefault="004A0123" w:rsidP="008A5C11">
            <w:pPr>
              <w:rPr>
                <w:sz w:val="13"/>
                <w:szCs w:val="13"/>
              </w:rPr>
            </w:pPr>
            <w:r w:rsidRPr="00640447">
              <w:rPr>
                <w:sz w:val="13"/>
                <w:szCs w:val="13"/>
              </w:rPr>
              <w:t>Всего по группе 2.</w:t>
            </w:r>
          </w:p>
        </w:tc>
        <w:tc>
          <w:tcPr>
            <w:tcW w:w="180" w:type="pct"/>
            <w:tcBorders>
              <w:top w:val="single" w:sz="4" w:space="0" w:color="auto"/>
              <w:left w:val="nil"/>
              <w:bottom w:val="single" w:sz="4" w:space="0" w:color="auto"/>
              <w:right w:val="single" w:sz="4" w:space="0" w:color="auto"/>
            </w:tcBorders>
            <w:shd w:val="clear" w:color="auto" w:fill="auto"/>
            <w:vAlign w:val="center"/>
          </w:tcPr>
          <w:p w14:paraId="4DCB3D9A" w14:textId="77777777" w:rsidR="004A0123" w:rsidRPr="00640447" w:rsidRDefault="004A0123" w:rsidP="008A5C11">
            <w:pPr>
              <w:jc w:val="center"/>
              <w:rPr>
                <w:sz w:val="13"/>
                <w:szCs w:val="13"/>
              </w:rPr>
            </w:pPr>
            <w:r w:rsidRPr="00640447">
              <w:rPr>
                <w:sz w:val="13"/>
                <w:szCs w:val="13"/>
              </w:rPr>
              <w:t>398770</w:t>
            </w:r>
          </w:p>
        </w:tc>
        <w:tc>
          <w:tcPr>
            <w:tcW w:w="187" w:type="pct"/>
            <w:tcBorders>
              <w:top w:val="single" w:sz="4" w:space="0" w:color="auto"/>
              <w:left w:val="nil"/>
              <w:bottom w:val="single" w:sz="4" w:space="0" w:color="auto"/>
              <w:right w:val="single" w:sz="4" w:space="0" w:color="auto"/>
            </w:tcBorders>
            <w:shd w:val="clear" w:color="auto" w:fill="auto"/>
            <w:vAlign w:val="center"/>
          </w:tcPr>
          <w:p w14:paraId="09071271" w14:textId="77777777" w:rsidR="004A0123" w:rsidRPr="00640447" w:rsidRDefault="004A0123" w:rsidP="008A5C11">
            <w:pPr>
              <w:jc w:val="center"/>
              <w:rPr>
                <w:sz w:val="13"/>
                <w:szCs w:val="13"/>
              </w:rPr>
            </w:pPr>
            <w:r w:rsidRPr="00640447">
              <w:rPr>
                <w:sz w:val="13"/>
                <w:szCs w:val="13"/>
              </w:rPr>
              <w:t>0</w:t>
            </w:r>
          </w:p>
        </w:tc>
        <w:tc>
          <w:tcPr>
            <w:tcW w:w="146" w:type="pct"/>
            <w:tcBorders>
              <w:top w:val="single" w:sz="4" w:space="0" w:color="auto"/>
              <w:left w:val="single" w:sz="4" w:space="0" w:color="auto"/>
              <w:bottom w:val="single" w:sz="4" w:space="0" w:color="auto"/>
              <w:right w:val="single" w:sz="4" w:space="0" w:color="auto"/>
            </w:tcBorders>
            <w:shd w:val="clear" w:color="auto" w:fill="auto"/>
            <w:vAlign w:val="center"/>
          </w:tcPr>
          <w:p w14:paraId="6F5B3631" w14:textId="77777777" w:rsidR="004A0123" w:rsidRPr="00640447" w:rsidRDefault="004A0123" w:rsidP="008A5C11">
            <w:pPr>
              <w:jc w:val="center"/>
              <w:rPr>
                <w:sz w:val="13"/>
                <w:szCs w:val="13"/>
              </w:rPr>
            </w:pPr>
            <w:r w:rsidRPr="00640447">
              <w:rPr>
                <w:sz w:val="13"/>
                <w:szCs w:val="13"/>
              </w:rPr>
              <w:t>64495</w:t>
            </w:r>
          </w:p>
        </w:tc>
        <w:tc>
          <w:tcPr>
            <w:tcW w:w="149" w:type="pct"/>
            <w:tcBorders>
              <w:top w:val="single" w:sz="4" w:space="0" w:color="auto"/>
              <w:left w:val="nil"/>
              <w:bottom w:val="single" w:sz="4" w:space="0" w:color="auto"/>
              <w:right w:val="single" w:sz="4" w:space="0" w:color="auto"/>
            </w:tcBorders>
            <w:shd w:val="clear" w:color="auto" w:fill="auto"/>
            <w:vAlign w:val="center"/>
          </w:tcPr>
          <w:p w14:paraId="193AD809" w14:textId="77777777" w:rsidR="004A0123" w:rsidRPr="00640447" w:rsidRDefault="004A0123" w:rsidP="008A5C11">
            <w:pPr>
              <w:jc w:val="center"/>
              <w:rPr>
                <w:sz w:val="13"/>
                <w:szCs w:val="13"/>
              </w:rPr>
            </w:pPr>
            <w:r w:rsidRPr="00640447">
              <w:rPr>
                <w:sz w:val="13"/>
                <w:szCs w:val="13"/>
              </w:rPr>
              <w:t>36063</w:t>
            </w:r>
          </w:p>
        </w:tc>
        <w:tc>
          <w:tcPr>
            <w:tcW w:w="183" w:type="pct"/>
            <w:tcBorders>
              <w:top w:val="single" w:sz="4" w:space="0" w:color="auto"/>
              <w:left w:val="nil"/>
              <w:bottom w:val="single" w:sz="4" w:space="0" w:color="auto"/>
              <w:right w:val="single" w:sz="4" w:space="0" w:color="auto"/>
            </w:tcBorders>
            <w:shd w:val="clear" w:color="auto" w:fill="auto"/>
            <w:vAlign w:val="center"/>
          </w:tcPr>
          <w:p w14:paraId="017E89D8" w14:textId="77777777" w:rsidR="004A0123" w:rsidRPr="00640447" w:rsidRDefault="004A0123" w:rsidP="008A5C11">
            <w:pPr>
              <w:jc w:val="center"/>
              <w:rPr>
                <w:sz w:val="13"/>
                <w:szCs w:val="13"/>
              </w:rPr>
            </w:pPr>
            <w:r w:rsidRPr="00640447">
              <w:rPr>
                <w:sz w:val="13"/>
                <w:szCs w:val="13"/>
              </w:rPr>
              <w:t>55545</w:t>
            </w:r>
          </w:p>
        </w:tc>
        <w:tc>
          <w:tcPr>
            <w:tcW w:w="183" w:type="pct"/>
            <w:tcBorders>
              <w:top w:val="single" w:sz="4" w:space="0" w:color="auto"/>
              <w:left w:val="nil"/>
              <w:bottom w:val="single" w:sz="4" w:space="0" w:color="auto"/>
              <w:right w:val="single" w:sz="4" w:space="0" w:color="auto"/>
            </w:tcBorders>
            <w:shd w:val="clear" w:color="auto" w:fill="auto"/>
            <w:vAlign w:val="center"/>
          </w:tcPr>
          <w:p w14:paraId="6E7ADC43" w14:textId="77777777" w:rsidR="004A0123" w:rsidRPr="00640447" w:rsidRDefault="004A0123" w:rsidP="008A5C11">
            <w:pPr>
              <w:jc w:val="center"/>
              <w:rPr>
                <w:sz w:val="13"/>
                <w:szCs w:val="13"/>
              </w:rPr>
            </w:pPr>
            <w:r w:rsidRPr="00640447">
              <w:rPr>
                <w:sz w:val="13"/>
                <w:szCs w:val="13"/>
              </w:rPr>
              <w:t>118439</w:t>
            </w:r>
          </w:p>
        </w:tc>
        <w:tc>
          <w:tcPr>
            <w:tcW w:w="155" w:type="pct"/>
            <w:tcBorders>
              <w:top w:val="single" w:sz="4" w:space="0" w:color="auto"/>
              <w:left w:val="single" w:sz="4" w:space="0" w:color="auto"/>
              <w:bottom w:val="single" w:sz="4" w:space="0" w:color="auto"/>
              <w:right w:val="single" w:sz="4" w:space="0" w:color="auto"/>
            </w:tcBorders>
            <w:vAlign w:val="center"/>
          </w:tcPr>
          <w:p w14:paraId="7A60EA67" w14:textId="77777777" w:rsidR="004A0123" w:rsidRPr="00640447" w:rsidRDefault="004A0123" w:rsidP="008A5C11">
            <w:pPr>
              <w:jc w:val="center"/>
              <w:rPr>
                <w:sz w:val="13"/>
                <w:szCs w:val="13"/>
              </w:rPr>
            </w:pPr>
            <w:r w:rsidRPr="00640447">
              <w:rPr>
                <w:sz w:val="13"/>
                <w:szCs w:val="13"/>
              </w:rPr>
              <w:t>124228</w:t>
            </w:r>
          </w:p>
        </w:tc>
        <w:tc>
          <w:tcPr>
            <w:tcW w:w="154" w:type="pct"/>
            <w:tcBorders>
              <w:top w:val="single" w:sz="4" w:space="0" w:color="auto"/>
              <w:left w:val="single" w:sz="4" w:space="0" w:color="auto"/>
              <w:bottom w:val="single" w:sz="4" w:space="0" w:color="auto"/>
              <w:right w:val="single" w:sz="4" w:space="0" w:color="auto"/>
            </w:tcBorders>
            <w:vAlign w:val="center"/>
          </w:tcPr>
          <w:p w14:paraId="730D64BB" w14:textId="77777777" w:rsidR="004A0123" w:rsidRPr="00640447" w:rsidRDefault="004A0123" w:rsidP="008A5C11">
            <w:pPr>
              <w:jc w:val="center"/>
              <w:rPr>
                <w:sz w:val="13"/>
                <w:szCs w:val="13"/>
              </w:rPr>
            </w:pPr>
            <w:r w:rsidRPr="00640447">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63DE48C0" w14:textId="77777777" w:rsidR="004A0123" w:rsidRPr="00640447" w:rsidRDefault="004A0123" w:rsidP="008A5C11">
            <w:pPr>
              <w:jc w:val="center"/>
              <w:rPr>
                <w:sz w:val="13"/>
                <w:szCs w:val="13"/>
              </w:rPr>
            </w:pPr>
            <w:r w:rsidRPr="00640447">
              <w:rPr>
                <w:sz w:val="13"/>
                <w:szCs w:val="13"/>
              </w:rPr>
              <w:t>0</w:t>
            </w:r>
          </w:p>
        </w:tc>
        <w:tc>
          <w:tcPr>
            <w:tcW w:w="174" w:type="pct"/>
            <w:tcBorders>
              <w:top w:val="single" w:sz="4" w:space="0" w:color="auto"/>
              <w:left w:val="single" w:sz="4" w:space="0" w:color="auto"/>
              <w:bottom w:val="single" w:sz="4" w:space="0" w:color="auto"/>
              <w:right w:val="single" w:sz="4" w:space="0" w:color="auto"/>
            </w:tcBorders>
            <w:vAlign w:val="center"/>
          </w:tcPr>
          <w:p w14:paraId="6199E077" w14:textId="77777777" w:rsidR="004A0123" w:rsidRPr="00640447" w:rsidRDefault="004A0123" w:rsidP="008A5C11">
            <w:pPr>
              <w:jc w:val="center"/>
              <w:rPr>
                <w:sz w:val="13"/>
                <w:szCs w:val="13"/>
              </w:rPr>
            </w:pPr>
            <w:r w:rsidRPr="00640447">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67451297" w14:textId="77777777" w:rsidR="004A0123" w:rsidRPr="00640447" w:rsidRDefault="004A0123" w:rsidP="008A5C11">
            <w:pPr>
              <w:jc w:val="center"/>
              <w:rPr>
                <w:sz w:val="13"/>
                <w:szCs w:val="13"/>
              </w:rPr>
            </w:pPr>
            <w:r w:rsidRPr="00640447">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5FE71122" w14:textId="77777777" w:rsidR="004A0123" w:rsidRPr="00640447" w:rsidRDefault="004A0123" w:rsidP="008A5C11">
            <w:pPr>
              <w:jc w:val="center"/>
              <w:rPr>
                <w:sz w:val="13"/>
                <w:szCs w:val="13"/>
              </w:rPr>
            </w:pPr>
            <w:r w:rsidRPr="00640447">
              <w:rPr>
                <w:sz w:val="13"/>
                <w:szCs w:val="13"/>
              </w:rPr>
              <w:t>0</w:t>
            </w:r>
          </w:p>
        </w:tc>
        <w:tc>
          <w:tcPr>
            <w:tcW w:w="188" w:type="pct"/>
            <w:tcBorders>
              <w:top w:val="single" w:sz="4" w:space="0" w:color="auto"/>
              <w:left w:val="single" w:sz="4" w:space="0" w:color="auto"/>
              <w:bottom w:val="single" w:sz="4" w:space="0" w:color="auto"/>
              <w:right w:val="single" w:sz="4" w:space="0" w:color="auto"/>
            </w:tcBorders>
            <w:vAlign w:val="center"/>
          </w:tcPr>
          <w:p w14:paraId="3E891CDE" w14:textId="77777777" w:rsidR="004A0123" w:rsidRPr="00640447" w:rsidRDefault="004A0123" w:rsidP="008A5C11">
            <w:pPr>
              <w:jc w:val="center"/>
              <w:rPr>
                <w:sz w:val="13"/>
                <w:szCs w:val="13"/>
              </w:rPr>
            </w:pPr>
            <w:r w:rsidRPr="00640447">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2D25507C" w14:textId="77777777" w:rsidR="004A0123" w:rsidRPr="00640447" w:rsidRDefault="004A0123" w:rsidP="008A5C11">
            <w:pPr>
              <w:jc w:val="center"/>
              <w:rPr>
                <w:sz w:val="13"/>
                <w:szCs w:val="13"/>
              </w:rPr>
            </w:pPr>
            <w:r w:rsidRPr="00640447">
              <w:rPr>
                <w:sz w:val="13"/>
                <w:szCs w:val="13"/>
              </w:rPr>
              <w:t>0</w:t>
            </w:r>
          </w:p>
        </w:tc>
      </w:tr>
      <w:tr w:rsidR="004A0123" w:rsidRPr="00640447" w14:paraId="22F96844" w14:textId="77777777" w:rsidTr="008A5C11">
        <w:trPr>
          <w:trHeight w:val="45"/>
        </w:trPr>
        <w:tc>
          <w:tcPr>
            <w:tcW w:w="5000" w:type="pct"/>
            <w:gridSpan w:val="24"/>
            <w:tcBorders>
              <w:right w:val="single" w:sz="4" w:space="0" w:color="auto"/>
            </w:tcBorders>
            <w:shd w:val="clear" w:color="auto" w:fill="auto"/>
            <w:vAlign w:val="center"/>
          </w:tcPr>
          <w:p w14:paraId="4A5E6945" w14:textId="77777777" w:rsidR="004A0123" w:rsidRPr="00640447" w:rsidRDefault="004A0123" w:rsidP="008A5C11">
            <w:pPr>
              <w:rPr>
                <w:bCs/>
                <w:sz w:val="13"/>
                <w:szCs w:val="13"/>
              </w:rPr>
            </w:pPr>
            <w:r w:rsidRPr="00640447">
              <w:rPr>
                <w:bCs/>
                <w:sz w:val="12"/>
                <w:szCs w:val="12"/>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4A0123" w:rsidRPr="00640447" w14:paraId="09809F3F" w14:textId="77777777" w:rsidTr="008A5C11">
        <w:trPr>
          <w:trHeight w:val="335"/>
        </w:trPr>
        <w:tc>
          <w:tcPr>
            <w:tcW w:w="5000" w:type="pct"/>
            <w:gridSpan w:val="24"/>
            <w:tcBorders>
              <w:bottom w:val="single" w:sz="4" w:space="0" w:color="auto"/>
              <w:right w:val="single" w:sz="4" w:space="0" w:color="auto"/>
            </w:tcBorders>
            <w:shd w:val="clear" w:color="auto" w:fill="auto"/>
            <w:vAlign w:val="center"/>
          </w:tcPr>
          <w:p w14:paraId="5521B744" w14:textId="77777777" w:rsidR="004A0123" w:rsidRPr="00640447" w:rsidRDefault="004A0123" w:rsidP="008A5C11">
            <w:pPr>
              <w:rPr>
                <w:bCs/>
                <w:sz w:val="13"/>
                <w:szCs w:val="13"/>
              </w:rPr>
            </w:pPr>
            <w:r w:rsidRPr="00640447">
              <w:rPr>
                <w:bCs/>
                <w:sz w:val="12"/>
                <w:szCs w:val="12"/>
              </w:rPr>
              <w:t>3.1. Реконструкция или модернизация существующих тепловых сетей</w:t>
            </w:r>
          </w:p>
        </w:tc>
      </w:tr>
      <w:tr w:rsidR="004A0123" w:rsidRPr="00640447" w14:paraId="3B11CB84" w14:textId="77777777" w:rsidTr="008A5C11">
        <w:trPr>
          <w:trHeight w:val="2436"/>
        </w:trPr>
        <w:tc>
          <w:tcPr>
            <w:tcW w:w="146" w:type="pct"/>
            <w:tcBorders>
              <w:top w:val="single" w:sz="4" w:space="0" w:color="auto"/>
              <w:left w:val="single" w:sz="4" w:space="0" w:color="auto"/>
              <w:bottom w:val="single" w:sz="4" w:space="0" w:color="auto"/>
              <w:right w:val="single" w:sz="4" w:space="0" w:color="auto"/>
            </w:tcBorders>
            <w:shd w:val="clear" w:color="auto" w:fill="auto"/>
            <w:vAlign w:val="center"/>
          </w:tcPr>
          <w:p w14:paraId="2669EAD0" w14:textId="77777777" w:rsidR="004A0123" w:rsidRPr="00640447" w:rsidRDefault="004A0123" w:rsidP="008A5C11">
            <w:pPr>
              <w:jc w:val="center"/>
              <w:rPr>
                <w:sz w:val="13"/>
                <w:szCs w:val="13"/>
              </w:rPr>
            </w:pPr>
            <w:r w:rsidRPr="00640447">
              <w:rPr>
                <w:sz w:val="13"/>
                <w:szCs w:val="13"/>
              </w:rPr>
              <w:t>3.1.1.</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4861E682" w14:textId="77777777" w:rsidR="004A0123" w:rsidRPr="00640447" w:rsidRDefault="004A0123" w:rsidP="008A5C11">
            <w:pPr>
              <w:rPr>
                <w:color w:val="000000"/>
                <w:sz w:val="13"/>
                <w:szCs w:val="13"/>
              </w:rPr>
            </w:pPr>
            <w:r w:rsidRPr="00640447">
              <w:rPr>
                <w:color w:val="000000"/>
                <w:sz w:val="13"/>
                <w:szCs w:val="13"/>
              </w:rPr>
              <w:t>Реконструкция тепловых сетей с увеличением диаметра: от ЦТП-3 (ТК-5) до ЦТП-7 протяженнос-тью 752 м с Ду 200 на Ду 250, от ЦТП-7 до ЦТП-8 протяженнос-тью 521 м с Ду 150 на Ду 175, от Привокзальной котельной до ТК-2 протяжен-ностью 218 м с Ду 400 на Ду 500, от УП-1  до Тк-25, протяженность 218 м с Ду 200 на Ду 250, от УП-28 до ТК-81 протяженностью 152 м с Ду 150 на Ду 200, от ТК-33 до УП-9 протяженностью 220 м с Ду 200 на Ду 250</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tcPr>
          <w:p w14:paraId="6ED4E4DD" w14:textId="77777777" w:rsidR="004A0123" w:rsidRPr="00640447" w:rsidRDefault="004A0123" w:rsidP="008A5C11">
            <w:pPr>
              <w:jc w:val="center"/>
              <w:rPr>
                <w:color w:val="000000"/>
                <w:sz w:val="13"/>
                <w:szCs w:val="13"/>
              </w:rPr>
            </w:pPr>
            <w:r w:rsidRPr="00640447">
              <w:rPr>
                <w:color w:val="000000"/>
                <w:sz w:val="13"/>
                <w:szCs w:val="13"/>
              </w:rPr>
              <w:t>Повышение надежности теплоснабжения</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785CD1BE" w14:textId="77777777" w:rsidR="004A0123" w:rsidRPr="00640447" w:rsidRDefault="004A0123" w:rsidP="008A5C11">
            <w:pPr>
              <w:jc w:val="center"/>
              <w:rPr>
                <w:color w:val="000000"/>
                <w:sz w:val="13"/>
                <w:szCs w:val="13"/>
              </w:rPr>
            </w:pPr>
            <w:r w:rsidRPr="00640447">
              <w:rPr>
                <w:color w:val="000000"/>
                <w:sz w:val="13"/>
                <w:szCs w:val="13"/>
              </w:rPr>
              <w:t>г. Ленинск-Кузнецкий</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1BE74FC0" w14:textId="77777777" w:rsidR="004A0123" w:rsidRPr="00640447" w:rsidRDefault="004A0123" w:rsidP="008A5C11">
            <w:pPr>
              <w:jc w:val="center"/>
              <w:rPr>
                <w:sz w:val="13"/>
                <w:szCs w:val="13"/>
              </w:rPr>
            </w:pPr>
            <w:r w:rsidRPr="00640447">
              <w:rPr>
                <w:sz w:val="13"/>
                <w:szCs w:val="13"/>
              </w:rPr>
              <w:t xml:space="preserve">Протяженность </w:t>
            </w:r>
            <w:proofErr w:type="gramStart"/>
            <w:r w:rsidRPr="00640447">
              <w:rPr>
                <w:sz w:val="13"/>
                <w:szCs w:val="13"/>
              </w:rPr>
              <w:t>реконструируе-мого</w:t>
            </w:r>
            <w:proofErr w:type="gramEnd"/>
            <w:r w:rsidRPr="00640447">
              <w:rPr>
                <w:sz w:val="13"/>
                <w:szCs w:val="13"/>
              </w:rPr>
              <w:t xml:space="preserve"> участка трассы</w:t>
            </w:r>
          </w:p>
        </w:tc>
        <w:tc>
          <w:tcPr>
            <w:tcW w:w="116" w:type="pct"/>
            <w:tcBorders>
              <w:top w:val="single" w:sz="4" w:space="0" w:color="auto"/>
              <w:left w:val="single" w:sz="4" w:space="0" w:color="auto"/>
              <w:bottom w:val="single" w:sz="4" w:space="0" w:color="auto"/>
              <w:right w:val="single" w:sz="4" w:space="0" w:color="auto"/>
            </w:tcBorders>
            <w:shd w:val="clear" w:color="auto" w:fill="auto"/>
            <w:vAlign w:val="center"/>
          </w:tcPr>
          <w:p w14:paraId="13EB379E" w14:textId="77777777" w:rsidR="004A0123" w:rsidRPr="00640447" w:rsidRDefault="004A0123" w:rsidP="008A5C11">
            <w:pPr>
              <w:jc w:val="center"/>
              <w:rPr>
                <w:sz w:val="13"/>
                <w:szCs w:val="13"/>
              </w:rPr>
            </w:pPr>
            <w:r w:rsidRPr="00640447">
              <w:rPr>
                <w:sz w:val="13"/>
                <w:szCs w:val="13"/>
              </w:rPr>
              <w:t>км</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41C16B16" w14:textId="77777777" w:rsidR="004A0123" w:rsidRPr="00640447" w:rsidRDefault="004A0123" w:rsidP="008A5C11">
            <w:pPr>
              <w:jc w:val="center"/>
              <w:rPr>
                <w:sz w:val="13"/>
                <w:szCs w:val="13"/>
              </w:rPr>
            </w:pPr>
            <w:r w:rsidRPr="00640447">
              <w:rPr>
                <w:sz w:val="13"/>
                <w:szCs w:val="13"/>
              </w:rPr>
              <w:t>2,081</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14:paraId="3435F7CB" w14:textId="77777777" w:rsidR="004A0123" w:rsidRPr="00640447" w:rsidRDefault="004A0123" w:rsidP="008A5C11">
            <w:pPr>
              <w:jc w:val="center"/>
              <w:rPr>
                <w:sz w:val="13"/>
                <w:szCs w:val="13"/>
              </w:rPr>
            </w:pPr>
            <w:r w:rsidRPr="00640447">
              <w:rPr>
                <w:sz w:val="13"/>
                <w:szCs w:val="13"/>
              </w:rPr>
              <w:t>2,081</w:t>
            </w: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14:paraId="1570078E" w14:textId="77777777" w:rsidR="004A0123" w:rsidRPr="00640447" w:rsidRDefault="004A0123" w:rsidP="008A5C11">
            <w:pPr>
              <w:jc w:val="center"/>
              <w:rPr>
                <w:sz w:val="13"/>
                <w:szCs w:val="13"/>
              </w:rPr>
            </w:pPr>
            <w:r w:rsidRPr="00640447">
              <w:rPr>
                <w:sz w:val="13"/>
                <w:szCs w:val="13"/>
              </w:rPr>
              <w:t>2022</w:t>
            </w:r>
          </w:p>
        </w:tc>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05DEA024" w14:textId="77777777" w:rsidR="004A0123" w:rsidRPr="00640447" w:rsidRDefault="004A0123" w:rsidP="008A5C11">
            <w:pPr>
              <w:jc w:val="center"/>
              <w:rPr>
                <w:sz w:val="13"/>
                <w:szCs w:val="13"/>
              </w:rPr>
            </w:pPr>
            <w:r w:rsidRPr="00640447">
              <w:rPr>
                <w:sz w:val="13"/>
                <w:szCs w:val="13"/>
              </w:rPr>
              <w:t>2026</w:t>
            </w:r>
          </w:p>
        </w:tc>
        <w:tc>
          <w:tcPr>
            <w:tcW w:w="180" w:type="pct"/>
            <w:tcBorders>
              <w:top w:val="single" w:sz="4" w:space="0" w:color="auto"/>
              <w:left w:val="single" w:sz="4" w:space="0" w:color="auto"/>
              <w:bottom w:val="single" w:sz="4" w:space="0" w:color="auto"/>
              <w:right w:val="single" w:sz="4" w:space="0" w:color="auto"/>
            </w:tcBorders>
            <w:shd w:val="clear" w:color="auto" w:fill="auto"/>
            <w:vAlign w:val="center"/>
          </w:tcPr>
          <w:p w14:paraId="48B2387B" w14:textId="77777777" w:rsidR="004A0123" w:rsidRPr="00640447" w:rsidRDefault="004A0123" w:rsidP="008A5C11">
            <w:pPr>
              <w:jc w:val="center"/>
              <w:rPr>
                <w:sz w:val="13"/>
                <w:szCs w:val="13"/>
              </w:rPr>
            </w:pPr>
            <w:r w:rsidRPr="00640447">
              <w:rPr>
                <w:sz w:val="13"/>
                <w:szCs w:val="13"/>
              </w:rPr>
              <w:t>126984</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14:paraId="782D9162" w14:textId="77777777" w:rsidR="004A0123" w:rsidRPr="00640447" w:rsidRDefault="004A0123" w:rsidP="008A5C11">
            <w:pPr>
              <w:jc w:val="center"/>
              <w:rPr>
                <w:sz w:val="13"/>
                <w:szCs w:val="13"/>
              </w:rPr>
            </w:pPr>
            <w:r w:rsidRPr="00640447">
              <w:rPr>
                <w:sz w:val="13"/>
                <w:szCs w:val="13"/>
              </w:rPr>
              <w:t>0</w:t>
            </w:r>
          </w:p>
        </w:tc>
        <w:tc>
          <w:tcPr>
            <w:tcW w:w="146" w:type="pct"/>
            <w:tcBorders>
              <w:top w:val="single" w:sz="4" w:space="0" w:color="auto"/>
              <w:left w:val="single" w:sz="4" w:space="0" w:color="auto"/>
              <w:bottom w:val="single" w:sz="4" w:space="0" w:color="auto"/>
              <w:right w:val="single" w:sz="4" w:space="0" w:color="auto"/>
            </w:tcBorders>
            <w:shd w:val="clear" w:color="auto" w:fill="auto"/>
            <w:vAlign w:val="center"/>
          </w:tcPr>
          <w:p w14:paraId="072F607B" w14:textId="77777777" w:rsidR="004A0123" w:rsidRPr="00640447" w:rsidRDefault="004A0123" w:rsidP="008A5C11">
            <w:pPr>
              <w:jc w:val="center"/>
              <w:rPr>
                <w:sz w:val="13"/>
                <w:szCs w:val="13"/>
              </w:rPr>
            </w:pPr>
            <w:r w:rsidRPr="00640447">
              <w:rPr>
                <w:sz w:val="13"/>
                <w:szCs w:val="13"/>
              </w:rPr>
              <w:t>0</w:t>
            </w:r>
          </w:p>
        </w:tc>
        <w:tc>
          <w:tcPr>
            <w:tcW w:w="149" w:type="pct"/>
            <w:tcBorders>
              <w:top w:val="single" w:sz="4" w:space="0" w:color="auto"/>
              <w:left w:val="single" w:sz="4" w:space="0" w:color="auto"/>
              <w:bottom w:val="single" w:sz="4" w:space="0" w:color="auto"/>
              <w:right w:val="single" w:sz="4" w:space="0" w:color="auto"/>
            </w:tcBorders>
            <w:shd w:val="clear" w:color="auto" w:fill="auto"/>
            <w:vAlign w:val="center"/>
          </w:tcPr>
          <w:p w14:paraId="3F94F62C" w14:textId="77777777" w:rsidR="004A0123" w:rsidRPr="00640447" w:rsidRDefault="004A0123" w:rsidP="008A5C11">
            <w:pPr>
              <w:jc w:val="center"/>
              <w:rPr>
                <w:sz w:val="13"/>
                <w:szCs w:val="13"/>
              </w:rPr>
            </w:pPr>
            <w:r w:rsidRPr="00640447">
              <w:rPr>
                <w:sz w:val="13"/>
                <w:szCs w:val="13"/>
              </w:rPr>
              <w:t>0</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50B4C542" w14:textId="77777777" w:rsidR="004A0123" w:rsidRPr="00640447" w:rsidRDefault="004A0123" w:rsidP="008A5C11">
            <w:pPr>
              <w:jc w:val="center"/>
              <w:rPr>
                <w:sz w:val="13"/>
                <w:szCs w:val="13"/>
              </w:rPr>
            </w:pPr>
            <w:r w:rsidRPr="00640447">
              <w:rPr>
                <w:sz w:val="13"/>
                <w:szCs w:val="13"/>
              </w:rPr>
              <w:t>0</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4200558F" w14:textId="77777777" w:rsidR="004A0123" w:rsidRPr="00640447" w:rsidRDefault="004A0123" w:rsidP="008A5C11">
            <w:pPr>
              <w:jc w:val="center"/>
              <w:rPr>
                <w:sz w:val="13"/>
                <w:szCs w:val="13"/>
              </w:rPr>
            </w:pPr>
            <w:r w:rsidRPr="00640447">
              <w:rPr>
                <w:sz w:val="13"/>
                <w:szCs w:val="13"/>
              </w:rPr>
              <w:t>2544</w:t>
            </w:r>
          </w:p>
        </w:tc>
        <w:tc>
          <w:tcPr>
            <w:tcW w:w="155" w:type="pct"/>
            <w:tcBorders>
              <w:top w:val="single" w:sz="4" w:space="0" w:color="auto"/>
              <w:left w:val="single" w:sz="4" w:space="0" w:color="auto"/>
              <w:bottom w:val="single" w:sz="4" w:space="0" w:color="auto"/>
              <w:right w:val="single" w:sz="4" w:space="0" w:color="auto"/>
            </w:tcBorders>
            <w:vAlign w:val="center"/>
          </w:tcPr>
          <w:p w14:paraId="21DF2DF6" w14:textId="77777777" w:rsidR="004A0123" w:rsidRPr="00640447" w:rsidRDefault="004A0123" w:rsidP="008A5C11">
            <w:pPr>
              <w:jc w:val="center"/>
              <w:rPr>
                <w:sz w:val="13"/>
                <w:szCs w:val="13"/>
              </w:rPr>
            </w:pPr>
            <w:r w:rsidRPr="00640447">
              <w:rPr>
                <w:sz w:val="13"/>
                <w:szCs w:val="13"/>
              </w:rPr>
              <w:t>15900</w:t>
            </w:r>
          </w:p>
        </w:tc>
        <w:tc>
          <w:tcPr>
            <w:tcW w:w="154" w:type="pct"/>
            <w:tcBorders>
              <w:top w:val="single" w:sz="4" w:space="0" w:color="auto"/>
              <w:left w:val="single" w:sz="4" w:space="0" w:color="auto"/>
              <w:bottom w:val="single" w:sz="4" w:space="0" w:color="auto"/>
              <w:right w:val="single" w:sz="4" w:space="0" w:color="auto"/>
            </w:tcBorders>
            <w:vAlign w:val="center"/>
          </w:tcPr>
          <w:p w14:paraId="09F2F623" w14:textId="77777777" w:rsidR="004A0123" w:rsidRPr="00640447" w:rsidRDefault="004A0123" w:rsidP="008A5C11">
            <w:pPr>
              <w:jc w:val="center"/>
              <w:rPr>
                <w:sz w:val="13"/>
                <w:szCs w:val="13"/>
              </w:rPr>
            </w:pPr>
            <w:r w:rsidRPr="00640447">
              <w:rPr>
                <w:sz w:val="13"/>
                <w:szCs w:val="13"/>
              </w:rPr>
              <w:t>23956</w:t>
            </w:r>
          </w:p>
        </w:tc>
        <w:tc>
          <w:tcPr>
            <w:tcW w:w="153" w:type="pct"/>
            <w:tcBorders>
              <w:top w:val="single" w:sz="4" w:space="0" w:color="auto"/>
              <w:left w:val="single" w:sz="4" w:space="0" w:color="auto"/>
              <w:bottom w:val="single" w:sz="4" w:space="0" w:color="auto"/>
              <w:right w:val="single" w:sz="4" w:space="0" w:color="auto"/>
            </w:tcBorders>
            <w:vAlign w:val="center"/>
          </w:tcPr>
          <w:p w14:paraId="48D93FEE" w14:textId="77777777" w:rsidR="004A0123" w:rsidRPr="00640447" w:rsidRDefault="004A0123" w:rsidP="008A5C11">
            <w:pPr>
              <w:jc w:val="center"/>
              <w:rPr>
                <w:sz w:val="13"/>
                <w:szCs w:val="13"/>
              </w:rPr>
            </w:pPr>
            <w:r w:rsidRPr="00640447">
              <w:rPr>
                <w:sz w:val="13"/>
                <w:szCs w:val="13"/>
              </w:rPr>
              <w:t>24794</w:t>
            </w:r>
          </w:p>
        </w:tc>
        <w:tc>
          <w:tcPr>
            <w:tcW w:w="174" w:type="pct"/>
            <w:tcBorders>
              <w:top w:val="single" w:sz="4" w:space="0" w:color="auto"/>
              <w:left w:val="single" w:sz="4" w:space="0" w:color="auto"/>
              <w:bottom w:val="single" w:sz="4" w:space="0" w:color="auto"/>
              <w:right w:val="single" w:sz="4" w:space="0" w:color="auto"/>
            </w:tcBorders>
            <w:vAlign w:val="center"/>
          </w:tcPr>
          <w:p w14:paraId="51767589" w14:textId="77777777" w:rsidR="004A0123" w:rsidRPr="00640447" w:rsidRDefault="004A0123" w:rsidP="008A5C11">
            <w:pPr>
              <w:jc w:val="center"/>
              <w:rPr>
                <w:sz w:val="13"/>
                <w:szCs w:val="13"/>
              </w:rPr>
            </w:pPr>
            <w:r w:rsidRPr="00640447">
              <w:rPr>
                <w:sz w:val="13"/>
                <w:szCs w:val="13"/>
              </w:rPr>
              <w:t>59790</w:t>
            </w:r>
          </w:p>
        </w:tc>
        <w:tc>
          <w:tcPr>
            <w:tcW w:w="156" w:type="pct"/>
            <w:tcBorders>
              <w:top w:val="single" w:sz="4" w:space="0" w:color="auto"/>
              <w:left w:val="single" w:sz="4" w:space="0" w:color="auto"/>
              <w:bottom w:val="single" w:sz="4" w:space="0" w:color="auto"/>
              <w:right w:val="single" w:sz="4" w:space="0" w:color="auto"/>
            </w:tcBorders>
            <w:vAlign w:val="center"/>
          </w:tcPr>
          <w:p w14:paraId="4887EE13" w14:textId="77777777" w:rsidR="004A0123" w:rsidRPr="00640447" w:rsidRDefault="004A0123" w:rsidP="008A5C11">
            <w:pPr>
              <w:jc w:val="center"/>
              <w:rPr>
                <w:sz w:val="13"/>
                <w:szCs w:val="13"/>
              </w:rPr>
            </w:pPr>
            <w:r w:rsidRPr="00640447">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21C5188F" w14:textId="77777777" w:rsidR="004A0123" w:rsidRPr="00640447" w:rsidRDefault="004A0123" w:rsidP="008A5C11">
            <w:pPr>
              <w:jc w:val="center"/>
              <w:rPr>
                <w:sz w:val="13"/>
                <w:szCs w:val="13"/>
              </w:rPr>
            </w:pPr>
            <w:r w:rsidRPr="00640447">
              <w:rPr>
                <w:sz w:val="13"/>
                <w:szCs w:val="13"/>
              </w:rPr>
              <w:t>0</w:t>
            </w:r>
          </w:p>
        </w:tc>
        <w:tc>
          <w:tcPr>
            <w:tcW w:w="188" w:type="pct"/>
            <w:tcBorders>
              <w:top w:val="single" w:sz="4" w:space="0" w:color="auto"/>
              <w:left w:val="single" w:sz="4" w:space="0" w:color="auto"/>
              <w:bottom w:val="single" w:sz="4" w:space="0" w:color="auto"/>
              <w:right w:val="single" w:sz="4" w:space="0" w:color="auto"/>
            </w:tcBorders>
            <w:vAlign w:val="center"/>
          </w:tcPr>
          <w:p w14:paraId="214BEEA2" w14:textId="77777777" w:rsidR="004A0123" w:rsidRPr="00640447" w:rsidRDefault="004A0123" w:rsidP="008A5C11">
            <w:pPr>
              <w:jc w:val="center"/>
              <w:rPr>
                <w:sz w:val="13"/>
                <w:szCs w:val="13"/>
              </w:rPr>
            </w:pPr>
            <w:r w:rsidRPr="00640447">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790E77AB" w14:textId="77777777" w:rsidR="004A0123" w:rsidRPr="00640447" w:rsidRDefault="004A0123" w:rsidP="008A5C11">
            <w:pPr>
              <w:jc w:val="center"/>
              <w:rPr>
                <w:sz w:val="13"/>
                <w:szCs w:val="13"/>
              </w:rPr>
            </w:pPr>
            <w:r w:rsidRPr="00640447">
              <w:rPr>
                <w:sz w:val="13"/>
                <w:szCs w:val="13"/>
              </w:rPr>
              <w:t>0</w:t>
            </w:r>
          </w:p>
        </w:tc>
      </w:tr>
      <w:tr w:rsidR="004A0123" w:rsidRPr="00640447" w14:paraId="4BAD214F" w14:textId="77777777" w:rsidTr="008A5C11">
        <w:trPr>
          <w:trHeight w:val="267"/>
        </w:trPr>
        <w:tc>
          <w:tcPr>
            <w:tcW w:w="4154" w:type="pct"/>
            <w:gridSpan w:val="19"/>
            <w:tcBorders>
              <w:top w:val="single" w:sz="4" w:space="0" w:color="auto"/>
              <w:right w:val="single" w:sz="4" w:space="0" w:color="auto"/>
            </w:tcBorders>
            <w:shd w:val="clear" w:color="auto" w:fill="auto"/>
            <w:vAlign w:val="center"/>
          </w:tcPr>
          <w:p w14:paraId="34B94C1D" w14:textId="77777777" w:rsidR="004A0123" w:rsidRPr="00640447" w:rsidRDefault="004A0123" w:rsidP="008A5C11">
            <w:pPr>
              <w:rPr>
                <w:sz w:val="13"/>
                <w:szCs w:val="13"/>
              </w:rPr>
            </w:pPr>
            <w:r w:rsidRPr="00640447">
              <w:rPr>
                <w:sz w:val="13"/>
                <w:szCs w:val="13"/>
              </w:rPr>
              <w:t>3.2. Реконструкция или модернизация существующих объектов системы централизованного теплоснабжения, за исключением тепловых сетей</w:t>
            </w:r>
          </w:p>
        </w:tc>
        <w:tc>
          <w:tcPr>
            <w:tcW w:w="174" w:type="pct"/>
            <w:tcBorders>
              <w:top w:val="single" w:sz="4" w:space="0" w:color="auto"/>
              <w:right w:val="single" w:sz="4" w:space="0" w:color="auto"/>
            </w:tcBorders>
            <w:vAlign w:val="center"/>
          </w:tcPr>
          <w:p w14:paraId="43A9C11D" w14:textId="77777777" w:rsidR="004A0123" w:rsidRPr="00640447" w:rsidRDefault="004A0123" w:rsidP="008A5C11">
            <w:pPr>
              <w:jc w:val="center"/>
              <w:rPr>
                <w:sz w:val="13"/>
                <w:szCs w:val="13"/>
              </w:rPr>
            </w:pPr>
          </w:p>
        </w:tc>
        <w:tc>
          <w:tcPr>
            <w:tcW w:w="156" w:type="pct"/>
            <w:tcBorders>
              <w:top w:val="single" w:sz="4" w:space="0" w:color="auto"/>
              <w:right w:val="single" w:sz="4" w:space="0" w:color="auto"/>
            </w:tcBorders>
            <w:vAlign w:val="center"/>
          </w:tcPr>
          <w:p w14:paraId="62624170" w14:textId="77777777" w:rsidR="004A0123" w:rsidRPr="00640447" w:rsidRDefault="004A0123" w:rsidP="008A5C11">
            <w:pPr>
              <w:jc w:val="center"/>
              <w:rPr>
                <w:sz w:val="13"/>
                <w:szCs w:val="13"/>
              </w:rPr>
            </w:pPr>
          </w:p>
        </w:tc>
        <w:tc>
          <w:tcPr>
            <w:tcW w:w="146" w:type="pct"/>
            <w:tcBorders>
              <w:top w:val="single" w:sz="4" w:space="0" w:color="auto"/>
              <w:right w:val="single" w:sz="4" w:space="0" w:color="auto"/>
            </w:tcBorders>
            <w:vAlign w:val="center"/>
          </w:tcPr>
          <w:p w14:paraId="6E753F99" w14:textId="77777777" w:rsidR="004A0123" w:rsidRPr="00640447" w:rsidRDefault="004A0123" w:rsidP="008A5C11">
            <w:pPr>
              <w:jc w:val="center"/>
              <w:rPr>
                <w:sz w:val="13"/>
                <w:szCs w:val="13"/>
              </w:rPr>
            </w:pPr>
          </w:p>
        </w:tc>
        <w:tc>
          <w:tcPr>
            <w:tcW w:w="188" w:type="pct"/>
            <w:tcBorders>
              <w:top w:val="single" w:sz="4" w:space="0" w:color="auto"/>
              <w:right w:val="single" w:sz="4" w:space="0" w:color="auto"/>
            </w:tcBorders>
            <w:vAlign w:val="center"/>
          </w:tcPr>
          <w:p w14:paraId="2315CF96" w14:textId="77777777" w:rsidR="004A0123" w:rsidRPr="00640447" w:rsidRDefault="004A0123" w:rsidP="008A5C11">
            <w:pPr>
              <w:jc w:val="center"/>
              <w:rPr>
                <w:sz w:val="13"/>
                <w:szCs w:val="13"/>
              </w:rPr>
            </w:pPr>
          </w:p>
        </w:tc>
        <w:tc>
          <w:tcPr>
            <w:tcW w:w="182" w:type="pct"/>
            <w:tcBorders>
              <w:top w:val="single" w:sz="4" w:space="0" w:color="auto"/>
              <w:right w:val="single" w:sz="4" w:space="0" w:color="auto"/>
            </w:tcBorders>
            <w:vAlign w:val="center"/>
          </w:tcPr>
          <w:p w14:paraId="16C982D7" w14:textId="77777777" w:rsidR="004A0123" w:rsidRPr="00640447" w:rsidRDefault="004A0123" w:rsidP="008A5C11">
            <w:pPr>
              <w:jc w:val="center"/>
              <w:rPr>
                <w:sz w:val="13"/>
                <w:szCs w:val="13"/>
              </w:rPr>
            </w:pPr>
          </w:p>
        </w:tc>
      </w:tr>
      <w:tr w:rsidR="004A0123" w:rsidRPr="00640447" w14:paraId="468EE759" w14:textId="77777777" w:rsidTr="008A5C11">
        <w:trPr>
          <w:trHeight w:val="247"/>
        </w:trPr>
        <w:tc>
          <w:tcPr>
            <w:tcW w:w="146" w:type="pct"/>
            <w:tcBorders>
              <w:bottom w:val="single" w:sz="4" w:space="0" w:color="auto"/>
            </w:tcBorders>
            <w:shd w:val="clear" w:color="auto" w:fill="auto"/>
            <w:vAlign w:val="center"/>
          </w:tcPr>
          <w:p w14:paraId="4BE3BE2C" w14:textId="77777777" w:rsidR="004A0123" w:rsidRPr="00640447" w:rsidRDefault="004A0123" w:rsidP="008A5C11">
            <w:pPr>
              <w:jc w:val="center"/>
              <w:rPr>
                <w:sz w:val="13"/>
                <w:szCs w:val="13"/>
              </w:rPr>
            </w:pPr>
            <w:r w:rsidRPr="00640447">
              <w:rPr>
                <w:sz w:val="13"/>
                <w:szCs w:val="13"/>
              </w:rPr>
              <w:t>3.2.1.</w:t>
            </w:r>
          </w:p>
        </w:tc>
        <w:tc>
          <w:tcPr>
            <w:tcW w:w="616" w:type="pct"/>
            <w:tcBorders>
              <w:top w:val="nil"/>
              <w:left w:val="single" w:sz="4" w:space="0" w:color="auto"/>
              <w:bottom w:val="single" w:sz="4" w:space="0" w:color="auto"/>
              <w:right w:val="single" w:sz="4" w:space="0" w:color="auto"/>
            </w:tcBorders>
            <w:shd w:val="clear" w:color="auto" w:fill="auto"/>
            <w:vAlign w:val="center"/>
          </w:tcPr>
          <w:p w14:paraId="7B037C17" w14:textId="77777777" w:rsidR="004A0123" w:rsidRPr="00640447" w:rsidRDefault="004A0123" w:rsidP="008A5C11">
            <w:pPr>
              <w:rPr>
                <w:color w:val="000000"/>
                <w:sz w:val="13"/>
                <w:szCs w:val="13"/>
              </w:rPr>
            </w:pPr>
            <w:r w:rsidRPr="00640447">
              <w:rPr>
                <w:color w:val="000000"/>
                <w:sz w:val="13"/>
                <w:szCs w:val="13"/>
              </w:rPr>
              <w:t>Проектирование и установка системы газоочистки на котельной «Привокзальная» для котлоагрегатов КВТС-20 в количестве 4 шт.</w:t>
            </w:r>
          </w:p>
        </w:tc>
        <w:tc>
          <w:tcPr>
            <w:tcW w:w="359" w:type="pct"/>
            <w:tcBorders>
              <w:top w:val="nil"/>
              <w:left w:val="nil"/>
              <w:bottom w:val="single" w:sz="4" w:space="0" w:color="auto"/>
              <w:right w:val="single" w:sz="4" w:space="0" w:color="auto"/>
            </w:tcBorders>
            <w:shd w:val="clear" w:color="auto" w:fill="auto"/>
            <w:vAlign w:val="center"/>
          </w:tcPr>
          <w:p w14:paraId="4FBC83F4" w14:textId="77777777" w:rsidR="004A0123" w:rsidRPr="00640447" w:rsidRDefault="004A0123" w:rsidP="008A5C11">
            <w:pPr>
              <w:jc w:val="center"/>
              <w:rPr>
                <w:color w:val="000000"/>
                <w:sz w:val="13"/>
                <w:szCs w:val="13"/>
              </w:rPr>
            </w:pPr>
            <w:r w:rsidRPr="00640447">
              <w:rPr>
                <w:color w:val="000000"/>
                <w:sz w:val="13"/>
                <w:szCs w:val="13"/>
              </w:rPr>
              <w:t>Повышение надежности теплоснабжения</w:t>
            </w:r>
          </w:p>
        </w:tc>
        <w:tc>
          <w:tcPr>
            <w:tcW w:w="360" w:type="pct"/>
            <w:tcBorders>
              <w:top w:val="nil"/>
              <w:left w:val="nil"/>
              <w:bottom w:val="single" w:sz="4" w:space="0" w:color="auto"/>
              <w:right w:val="single" w:sz="4" w:space="0" w:color="auto"/>
            </w:tcBorders>
            <w:shd w:val="clear" w:color="auto" w:fill="auto"/>
            <w:vAlign w:val="center"/>
          </w:tcPr>
          <w:p w14:paraId="0E1EFC63" w14:textId="77777777" w:rsidR="004A0123" w:rsidRPr="00640447" w:rsidRDefault="004A0123" w:rsidP="008A5C11">
            <w:pPr>
              <w:jc w:val="center"/>
              <w:rPr>
                <w:color w:val="000000"/>
                <w:sz w:val="13"/>
                <w:szCs w:val="13"/>
              </w:rPr>
            </w:pPr>
            <w:r w:rsidRPr="00640447">
              <w:rPr>
                <w:color w:val="000000"/>
                <w:sz w:val="13"/>
                <w:szCs w:val="13"/>
              </w:rPr>
              <w:t xml:space="preserve">г. Ленинск-Кузнецкий, </w:t>
            </w:r>
          </w:p>
          <w:p w14:paraId="55C52626" w14:textId="77777777" w:rsidR="004A0123" w:rsidRPr="00640447" w:rsidRDefault="004A0123" w:rsidP="008A5C11">
            <w:pPr>
              <w:jc w:val="center"/>
              <w:rPr>
                <w:color w:val="000000"/>
                <w:sz w:val="13"/>
                <w:szCs w:val="13"/>
              </w:rPr>
            </w:pPr>
            <w:r w:rsidRPr="00640447">
              <w:rPr>
                <w:color w:val="000000"/>
                <w:sz w:val="13"/>
                <w:szCs w:val="13"/>
              </w:rPr>
              <w:t>ул. Шишляннико-ва, 1б</w:t>
            </w:r>
          </w:p>
        </w:tc>
        <w:tc>
          <w:tcPr>
            <w:tcW w:w="338" w:type="pct"/>
            <w:tcBorders>
              <w:top w:val="nil"/>
              <w:left w:val="nil"/>
              <w:bottom w:val="single" w:sz="4" w:space="0" w:color="auto"/>
              <w:right w:val="single" w:sz="4" w:space="0" w:color="auto"/>
            </w:tcBorders>
            <w:shd w:val="clear" w:color="auto" w:fill="auto"/>
            <w:vAlign w:val="center"/>
          </w:tcPr>
          <w:p w14:paraId="075564E3" w14:textId="77777777" w:rsidR="004A0123" w:rsidRPr="00640447" w:rsidRDefault="004A0123" w:rsidP="008A5C11">
            <w:pPr>
              <w:jc w:val="center"/>
              <w:rPr>
                <w:sz w:val="13"/>
                <w:szCs w:val="13"/>
              </w:rPr>
            </w:pPr>
            <w:proofErr w:type="gramStart"/>
            <w:r w:rsidRPr="00640447">
              <w:rPr>
                <w:sz w:val="13"/>
                <w:szCs w:val="13"/>
              </w:rPr>
              <w:t>Производитель-ность</w:t>
            </w:r>
            <w:proofErr w:type="gramEnd"/>
          </w:p>
        </w:tc>
        <w:tc>
          <w:tcPr>
            <w:tcW w:w="116" w:type="pct"/>
            <w:tcBorders>
              <w:top w:val="nil"/>
              <w:left w:val="nil"/>
              <w:bottom w:val="single" w:sz="4" w:space="0" w:color="auto"/>
              <w:right w:val="single" w:sz="4" w:space="0" w:color="auto"/>
            </w:tcBorders>
            <w:shd w:val="clear" w:color="auto" w:fill="auto"/>
            <w:vAlign w:val="center"/>
          </w:tcPr>
          <w:p w14:paraId="720C0D36" w14:textId="77777777" w:rsidR="004A0123" w:rsidRPr="00640447" w:rsidRDefault="004A0123" w:rsidP="008A5C11">
            <w:pPr>
              <w:jc w:val="center"/>
              <w:rPr>
                <w:sz w:val="13"/>
                <w:szCs w:val="13"/>
              </w:rPr>
            </w:pPr>
            <w:r w:rsidRPr="00640447">
              <w:rPr>
                <w:sz w:val="13"/>
                <w:szCs w:val="13"/>
              </w:rPr>
              <w:t>м</w:t>
            </w:r>
            <w:r w:rsidRPr="00640447">
              <w:rPr>
                <w:sz w:val="13"/>
                <w:szCs w:val="13"/>
                <w:vertAlign w:val="superscript"/>
              </w:rPr>
              <w:t>3</w:t>
            </w:r>
            <w:r w:rsidRPr="00640447">
              <w:rPr>
                <w:sz w:val="13"/>
                <w:szCs w:val="13"/>
              </w:rPr>
              <w:t>/с</w:t>
            </w:r>
          </w:p>
        </w:tc>
        <w:tc>
          <w:tcPr>
            <w:tcW w:w="182" w:type="pct"/>
            <w:tcBorders>
              <w:top w:val="nil"/>
              <w:left w:val="single" w:sz="4" w:space="0" w:color="auto"/>
              <w:bottom w:val="single" w:sz="4" w:space="0" w:color="auto"/>
              <w:right w:val="single" w:sz="4" w:space="0" w:color="auto"/>
            </w:tcBorders>
            <w:shd w:val="clear" w:color="auto" w:fill="auto"/>
            <w:vAlign w:val="center"/>
          </w:tcPr>
          <w:p w14:paraId="5363CC06" w14:textId="77777777" w:rsidR="004A0123" w:rsidRPr="00640447" w:rsidRDefault="004A0123" w:rsidP="008A5C11">
            <w:pPr>
              <w:jc w:val="center"/>
              <w:rPr>
                <w:sz w:val="13"/>
                <w:szCs w:val="13"/>
              </w:rPr>
            </w:pPr>
            <w:r w:rsidRPr="00640447">
              <w:rPr>
                <w:sz w:val="13"/>
                <w:szCs w:val="13"/>
              </w:rPr>
              <w:t>13,6</w:t>
            </w:r>
          </w:p>
        </w:tc>
        <w:tc>
          <w:tcPr>
            <w:tcW w:w="174" w:type="pct"/>
            <w:tcBorders>
              <w:top w:val="nil"/>
              <w:left w:val="nil"/>
              <w:bottom w:val="single" w:sz="4" w:space="0" w:color="auto"/>
              <w:right w:val="single" w:sz="4" w:space="0" w:color="auto"/>
            </w:tcBorders>
            <w:shd w:val="clear" w:color="auto" w:fill="auto"/>
            <w:vAlign w:val="center"/>
          </w:tcPr>
          <w:p w14:paraId="3696E250" w14:textId="77777777" w:rsidR="004A0123" w:rsidRPr="00640447" w:rsidRDefault="004A0123" w:rsidP="008A5C11">
            <w:pPr>
              <w:jc w:val="center"/>
              <w:rPr>
                <w:sz w:val="13"/>
                <w:szCs w:val="13"/>
              </w:rPr>
            </w:pPr>
            <w:r w:rsidRPr="00640447">
              <w:rPr>
                <w:sz w:val="13"/>
                <w:szCs w:val="13"/>
              </w:rPr>
              <w:t>13,6</w:t>
            </w:r>
          </w:p>
        </w:tc>
        <w:tc>
          <w:tcPr>
            <w:tcW w:w="189" w:type="pct"/>
            <w:tcBorders>
              <w:top w:val="nil"/>
              <w:left w:val="nil"/>
              <w:bottom w:val="single" w:sz="4" w:space="0" w:color="auto"/>
              <w:right w:val="single" w:sz="4" w:space="0" w:color="auto"/>
            </w:tcBorders>
            <w:shd w:val="clear" w:color="auto" w:fill="auto"/>
            <w:vAlign w:val="center"/>
          </w:tcPr>
          <w:p w14:paraId="5574F2A0" w14:textId="77777777" w:rsidR="004A0123" w:rsidRPr="00640447" w:rsidRDefault="004A0123" w:rsidP="008A5C11">
            <w:pPr>
              <w:jc w:val="center"/>
              <w:rPr>
                <w:sz w:val="13"/>
                <w:szCs w:val="13"/>
              </w:rPr>
            </w:pPr>
            <w:r w:rsidRPr="00640447">
              <w:rPr>
                <w:sz w:val="13"/>
                <w:szCs w:val="13"/>
              </w:rPr>
              <w:t>2019</w:t>
            </w:r>
          </w:p>
        </w:tc>
        <w:tc>
          <w:tcPr>
            <w:tcW w:w="184" w:type="pct"/>
            <w:tcBorders>
              <w:top w:val="nil"/>
              <w:left w:val="nil"/>
              <w:bottom w:val="single" w:sz="4" w:space="0" w:color="auto"/>
              <w:right w:val="single" w:sz="4" w:space="0" w:color="auto"/>
            </w:tcBorders>
            <w:shd w:val="clear" w:color="auto" w:fill="auto"/>
            <w:vAlign w:val="center"/>
          </w:tcPr>
          <w:p w14:paraId="028CBC9F" w14:textId="77777777" w:rsidR="004A0123" w:rsidRPr="00640447" w:rsidRDefault="004A0123" w:rsidP="008A5C11">
            <w:pPr>
              <w:jc w:val="center"/>
              <w:rPr>
                <w:sz w:val="13"/>
                <w:szCs w:val="13"/>
              </w:rPr>
            </w:pPr>
            <w:r w:rsidRPr="00640447">
              <w:rPr>
                <w:sz w:val="13"/>
                <w:szCs w:val="13"/>
              </w:rPr>
              <w:t>2021</w:t>
            </w:r>
          </w:p>
        </w:tc>
        <w:tc>
          <w:tcPr>
            <w:tcW w:w="180" w:type="pct"/>
            <w:tcBorders>
              <w:top w:val="nil"/>
              <w:left w:val="nil"/>
              <w:bottom w:val="single" w:sz="4" w:space="0" w:color="auto"/>
              <w:right w:val="single" w:sz="4" w:space="0" w:color="auto"/>
            </w:tcBorders>
            <w:shd w:val="clear" w:color="auto" w:fill="auto"/>
            <w:vAlign w:val="center"/>
          </w:tcPr>
          <w:p w14:paraId="6C2CC0BA" w14:textId="77777777" w:rsidR="004A0123" w:rsidRPr="00640447" w:rsidRDefault="004A0123" w:rsidP="008A5C11">
            <w:pPr>
              <w:jc w:val="center"/>
              <w:rPr>
                <w:sz w:val="13"/>
                <w:szCs w:val="13"/>
              </w:rPr>
            </w:pPr>
            <w:r w:rsidRPr="00640447">
              <w:rPr>
                <w:sz w:val="13"/>
                <w:szCs w:val="13"/>
              </w:rPr>
              <w:t>15656</w:t>
            </w:r>
          </w:p>
        </w:tc>
        <w:tc>
          <w:tcPr>
            <w:tcW w:w="187" w:type="pct"/>
            <w:tcBorders>
              <w:top w:val="nil"/>
              <w:left w:val="nil"/>
              <w:bottom w:val="single" w:sz="4" w:space="0" w:color="auto"/>
              <w:right w:val="single" w:sz="4" w:space="0" w:color="auto"/>
            </w:tcBorders>
            <w:shd w:val="clear" w:color="auto" w:fill="auto"/>
            <w:vAlign w:val="center"/>
          </w:tcPr>
          <w:p w14:paraId="0BEA9CC8" w14:textId="77777777" w:rsidR="004A0123" w:rsidRPr="00640447" w:rsidRDefault="004A0123" w:rsidP="008A5C11">
            <w:pPr>
              <w:jc w:val="center"/>
              <w:rPr>
                <w:sz w:val="13"/>
                <w:szCs w:val="13"/>
              </w:rPr>
            </w:pPr>
            <w:r w:rsidRPr="00640447">
              <w:rPr>
                <w:sz w:val="13"/>
                <w:szCs w:val="13"/>
              </w:rPr>
              <w:t>0</w:t>
            </w:r>
          </w:p>
        </w:tc>
        <w:tc>
          <w:tcPr>
            <w:tcW w:w="146" w:type="pct"/>
            <w:tcBorders>
              <w:top w:val="nil"/>
              <w:left w:val="single" w:sz="4" w:space="0" w:color="auto"/>
              <w:bottom w:val="single" w:sz="4" w:space="0" w:color="auto"/>
              <w:right w:val="single" w:sz="4" w:space="0" w:color="auto"/>
            </w:tcBorders>
            <w:shd w:val="clear" w:color="auto" w:fill="auto"/>
            <w:vAlign w:val="center"/>
          </w:tcPr>
          <w:p w14:paraId="428D5CC7" w14:textId="77777777" w:rsidR="004A0123" w:rsidRPr="00640447" w:rsidRDefault="004A0123" w:rsidP="008A5C11">
            <w:pPr>
              <w:jc w:val="center"/>
              <w:rPr>
                <w:sz w:val="13"/>
                <w:szCs w:val="13"/>
              </w:rPr>
            </w:pPr>
            <w:r w:rsidRPr="00640447">
              <w:rPr>
                <w:sz w:val="13"/>
                <w:szCs w:val="13"/>
              </w:rPr>
              <w:t>15500</w:t>
            </w:r>
          </w:p>
        </w:tc>
        <w:tc>
          <w:tcPr>
            <w:tcW w:w="149" w:type="pct"/>
            <w:tcBorders>
              <w:top w:val="nil"/>
              <w:left w:val="nil"/>
              <w:bottom w:val="single" w:sz="4" w:space="0" w:color="auto"/>
              <w:right w:val="single" w:sz="4" w:space="0" w:color="auto"/>
            </w:tcBorders>
            <w:shd w:val="clear" w:color="auto" w:fill="auto"/>
            <w:vAlign w:val="center"/>
          </w:tcPr>
          <w:p w14:paraId="442D1A01" w14:textId="77777777" w:rsidR="004A0123" w:rsidRPr="00640447" w:rsidRDefault="004A0123" w:rsidP="008A5C11">
            <w:pPr>
              <w:jc w:val="center"/>
              <w:rPr>
                <w:sz w:val="13"/>
                <w:szCs w:val="13"/>
              </w:rPr>
            </w:pPr>
            <w:r w:rsidRPr="00640447">
              <w:rPr>
                <w:sz w:val="13"/>
                <w:szCs w:val="13"/>
              </w:rPr>
              <w:t>0</w:t>
            </w:r>
          </w:p>
        </w:tc>
        <w:tc>
          <w:tcPr>
            <w:tcW w:w="183" w:type="pct"/>
            <w:tcBorders>
              <w:top w:val="nil"/>
              <w:left w:val="nil"/>
              <w:bottom w:val="single" w:sz="4" w:space="0" w:color="auto"/>
              <w:right w:val="single" w:sz="4" w:space="0" w:color="auto"/>
            </w:tcBorders>
            <w:shd w:val="clear" w:color="auto" w:fill="auto"/>
            <w:vAlign w:val="center"/>
          </w:tcPr>
          <w:p w14:paraId="114B7ECB" w14:textId="77777777" w:rsidR="004A0123" w:rsidRPr="00640447" w:rsidRDefault="004A0123" w:rsidP="008A5C11">
            <w:pPr>
              <w:jc w:val="center"/>
              <w:rPr>
                <w:sz w:val="13"/>
                <w:szCs w:val="13"/>
              </w:rPr>
            </w:pPr>
            <w:r w:rsidRPr="00640447">
              <w:rPr>
                <w:sz w:val="13"/>
                <w:szCs w:val="13"/>
              </w:rPr>
              <w:t>156</w:t>
            </w:r>
          </w:p>
        </w:tc>
        <w:tc>
          <w:tcPr>
            <w:tcW w:w="183" w:type="pct"/>
            <w:tcBorders>
              <w:top w:val="nil"/>
              <w:left w:val="nil"/>
              <w:bottom w:val="single" w:sz="4" w:space="0" w:color="auto"/>
              <w:right w:val="single" w:sz="4" w:space="0" w:color="auto"/>
            </w:tcBorders>
            <w:shd w:val="clear" w:color="auto" w:fill="auto"/>
            <w:vAlign w:val="center"/>
          </w:tcPr>
          <w:p w14:paraId="184BF0D7" w14:textId="77777777" w:rsidR="004A0123" w:rsidRPr="00640447" w:rsidRDefault="004A0123" w:rsidP="008A5C11">
            <w:pPr>
              <w:jc w:val="center"/>
              <w:rPr>
                <w:sz w:val="13"/>
                <w:szCs w:val="13"/>
              </w:rPr>
            </w:pPr>
            <w:r w:rsidRPr="00640447">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34631956" w14:textId="77777777" w:rsidR="004A0123" w:rsidRPr="00640447" w:rsidRDefault="004A0123" w:rsidP="008A5C11">
            <w:pPr>
              <w:jc w:val="center"/>
              <w:rPr>
                <w:sz w:val="13"/>
                <w:szCs w:val="13"/>
              </w:rPr>
            </w:pPr>
            <w:r w:rsidRPr="00640447">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58CFB8AE" w14:textId="77777777" w:rsidR="004A0123" w:rsidRPr="00640447" w:rsidRDefault="004A0123" w:rsidP="008A5C11">
            <w:pPr>
              <w:jc w:val="center"/>
              <w:rPr>
                <w:sz w:val="13"/>
                <w:szCs w:val="13"/>
              </w:rPr>
            </w:pPr>
            <w:r w:rsidRPr="00640447">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33ECCD25" w14:textId="77777777" w:rsidR="004A0123" w:rsidRPr="00640447" w:rsidRDefault="004A0123" w:rsidP="008A5C11">
            <w:pPr>
              <w:jc w:val="center"/>
              <w:rPr>
                <w:sz w:val="13"/>
                <w:szCs w:val="13"/>
              </w:rPr>
            </w:pPr>
            <w:r w:rsidRPr="00640447">
              <w:rPr>
                <w:sz w:val="13"/>
                <w:szCs w:val="13"/>
              </w:rPr>
              <w:t>0</w:t>
            </w:r>
          </w:p>
        </w:tc>
        <w:tc>
          <w:tcPr>
            <w:tcW w:w="174" w:type="pct"/>
            <w:tcBorders>
              <w:top w:val="single" w:sz="4" w:space="0" w:color="auto"/>
              <w:left w:val="single" w:sz="4" w:space="0" w:color="auto"/>
              <w:bottom w:val="single" w:sz="4" w:space="0" w:color="auto"/>
              <w:right w:val="single" w:sz="4" w:space="0" w:color="auto"/>
            </w:tcBorders>
            <w:vAlign w:val="center"/>
          </w:tcPr>
          <w:p w14:paraId="1E86C76E" w14:textId="77777777" w:rsidR="004A0123" w:rsidRPr="00640447" w:rsidRDefault="004A0123" w:rsidP="008A5C11">
            <w:pPr>
              <w:jc w:val="center"/>
              <w:rPr>
                <w:sz w:val="13"/>
                <w:szCs w:val="13"/>
              </w:rPr>
            </w:pPr>
            <w:r w:rsidRPr="00640447">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339D8946" w14:textId="77777777" w:rsidR="004A0123" w:rsidRPr="00640447" w:rsidRDefault="004A0123" w:rsidP="008A5C11">
            <w:pPr>
              <w:jc w:val="center"/>
              <w:rPr>
                <w:sz w:val="13"/>
                <w:szCs w:val="13"/>
              </w:rPr>
            </w:pPr>
            <w:r w:rsidRPr="00640447">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3DA812C1" w14:textId="77777777" w:rsidR="004A0123" w:rsidRPr="00640447" w:rsidRDefault="004A0123" w:rsidP="008A5C11">
            <w:pPr>
              <w:jc w:val="center"/>
              <w:rPr>
                <w:sz w:val="13"/>
                <w:szCs w:val="13"/>
              </w:rPr>
            </w:pPr>
            <w:r w:rsidRPr="00640447">
              <w:rPr>
                <w:sz w:val="13"/>
                <w:szCs w:val="13"/>
              </w:rPr>
              <w:t>0</w:t>
            </w:r>
          </w:p>
        </w:tc>
        <w:tc>
          <w:tcPr>
            <w:tcW w:w="188" w:type="pct"/>
            <w:tcBorders>
              <w:top w:val="single" w:sz="4" w:space="0" w:color="auto"/>
              <w:left w:val="single" w:sz="4" w:space="0" w:color="auto"/>
              <w:bottom w:val="single" w:sz="4" w:space="0" w:color="auto"/>
              <w:right w:val="single" w:sz="4" w:space="0" w:color="auto"/>
            </w:tcBorders>
            <w:vAlign w:val="center"/>
          </w:tcPr>
          <w:p w14:paraId="73E44529" w14:textId="77777777" w:rsidR="004A0123" w:rsidRPr="00640447" w:rsidRDefault="004A0123" w:rsidP="008A5C11">
            <w:pPr>
              <w:jc w:val="center"/>
              <w:rPr>
                <w:sz w:val="13"/>
                <w:szCs w:val="13"/>
              </w:rPr>
            </w:pPr>
            <w:r w:rsidRPr="00640447">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173E27F0" w14:textId="77777777" w:rsidR="004A0123" w:rsidRPr="00640447" w:rsidRDefault="004A0123" w:rsidP="008A5C11">
            <w:pPr>
              <w:jc w:val="center"/>
              <w:rPr>
                <w:sz w:val="13"/>
                <w:szCs w:val="13"/>
              </w:rPr>
            </w:pPr>
            <w:r w:rsidRPr="00640447">
              <w:rPr>
                <w:sz w:val="13"/>
                <w:szCs w:val="13"/>
              </w:rPr>
              <w:t>0</w:t>
            </w:r>
          </w:p>
        </w:tc>
      </w:tr>
      <w:tr w:rsidR="004A0123" w:rsidRPr="00640447" w14:paraId="5B0AFD92" w14:textId="77777777" w:rsidTr="008A5C11">
        <w:trPr>
          <w:trHeight w:val="101"/>
        </w:trPr>
        <w:tc>
          <w:tcPr>
            <w:tcW w:w="146" w:type="pct"/>
            <w:tcBorders>
              <w:top w:val="single" w:sz="4" w:space="0" w:color="auto"/>
              <w:left w:val="single" w:sz="4" w:space="0" w:color="auto"/>
              <w:bottom w:val="single" w:sz="4" w:space="0" w:color="auto"/>
              <w:right w:val="single" w:sz="4" w:space="0" w:color="auto"/>
            </w:tcBorders>
            <w:shd w:val="clear" w:color="auto" w:fill="auto"/>
            <w:vAlign w:val="center"/>
          </w:tcPr>
          <w:p w14:paraId="734E0DE8" w14:textId="77777777" w:rsidR="004A0123" w:rsidRPr="00640447" w:rsidRDefault="004A0123" w:rsidP="008A5C11">
            <w:pPr>
              <w:jc w:val="center"/>
              <w:rPr>
                <w:bCs/>
                <w:sz w:val="13"/>
                <w:szCs w:val="13"/>
              </w:rPr>
            </w:pPr>
            <w:r w:rsidRPr="00640447">
              <w:rPr>
                <w:bCs/>
                <w:sz w:val="13"/>
                <w:szCs w:val="13"/>
              </w:rPr>
              <w:t>1</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14786F8D" w14:textId="77777777" w:rsidR="004A0123" w:rsidRPr="00640447" w:rsidRDefault="004A0123" w:rsidP="008A5C11">
            <w:pPr>
              <w:jc w:val="center"/>
              <w:rPr>
                <w:bCs/>
                <w:sz w:val="13"/>
                <w:szCs w:val="13"/>
              </w:rPr>
            </w:pPr>
            <w:r w:rsidRPr="00640447">
              <w:rPr>
                <w:bCs/>
                <w:sz w:val="13"/>
                <w:szCs w:val="13"/>
              </w:rPr>
              <w:t>2</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tcPr>
          <w:p w14:paraId="6B5C27D9" w14:textId="77777777" w:rsidR="004A0123" w:rsidRPr="00640447" w:rsidRDefault="004A0123" w:rsidP="008A5C11">
            <w:pPr>
              <w:jc w:val="center"/>
              <w:rPr>
                <w:bCs/>
                <w:sz w:val="13"/>
                <w:szCs w:val="13"/>
              </w:rPr>
            </w:pPr>
            <w:r w:rsidRPr="00640447">
              <w:rPr>
                <w:bCs/>
                <w:sz w:val="13"/>
                <w:szCs w:val="13"/>
              </w:rPr>
              <w:t>3</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49718F71" w14:textId="77777777" w:rsidR="004A0123" w:rsidRPr="00640447" w:rsidRDefault="004A0123" w:rsidP="008A5C11">
            <w:pPr>
              <w:jc w:val="center"/>
              <w:rPr>
                <w:bCs/>
                <w:sz w:val="13"/>
                <w:szCs w:val="13"/>
              </w:rPr>
            </w:pPr>
            <w:r w:rsidRPr="00640447">
              <w:rPr>
                <w:bCs/>
                <w:sz w:val="13"/>
                <w:szCs w:val="13"/>
              </w:rPr>
              <w:t>4</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2498B333" w14:textId="77777777" w:rsidR="004A0123" w:rsidRPr="00640447" w:rsidRDefault="004A0123" w:rsidP="008A5C11">
            <w:pPr>
              <w:jc w:val="center"/>
              <w:rPr>
                <w:bCs/>
                <w:sz w:val="13"/>
                <w:szCs w:val="13"/>
              </w:rPr>
            </w:pPr>
            <w:r w:rsidRPr="00640447">
              <w:rPr>
                <w:bCs/>
                <w:sz w:val="13"/>
                <w:szCs w:val="13"/>
              </w:rPr>
              <w:t>5</w:t>
            </w:r>
          </w:p>
        </w:tc>
        <w:tc>
          <w:tcPr>
            <w:tcW w:w="116" w:type="pct"/>
            <w:tcBorders>
              <w:top w:val="single" w:sz="4" w:space="0" w:color="auto"/>
              <w:left w:val="single" w:sz="4" w:space="0" w:color="auto"/>
              <w:bottom w:val="single" w:sz="4" w:space="0" w:color="auto"/>
              <w:right w:val="single" w:sz="4" w:space="0" w:color="auto"/>
            </w:tcBorders>
            <w:shd w:val="clear" w:color="auto" w:fill="auto"/>
            <w:vAlign w:val="center"/>
          </w:tcPr>
          <w:p w14:paraId="111F7A81" w14:textId="77777777" w:rsidR="004A0123" w:rsidRPr="00640447" w:rsidRDefault="004A0123" w:rsidP="008A5C11">
            <w:pPr>
              <w:jc w:val="center"/>
              <w:rPr>
                <w:bCs/>
                <w:sz w:val="13"/>
                <w:szCs w:val="13"/>
              </w:rPr>
            </w:pPr>
            <w:r w:rsidRPr="00640447">
              <w:rPr>
                <w:bCs/>
                <w:sz w:val="13"/>
                <w:szCs w:val="13"/>
              </w:rPr>
              <w:t>6</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7FAB6B92" w14:textId="77777777" w:rsidR="004A0123" w:rsidRPr="00640447" w:rsidRDefault="004A0123" w:rsidP="008A5C11">
            <w:pPr>
              <w:jc w:val="center"/>
              <w:rPr>
                <w:bCs/>
                <w:sz w:val="13"/>
                <w:szCs w:val="13"/>
              </w:rPr>
            </w:pPr>
            <w:r w:rsidRPr="00640447">
              <w:rPr>
                <w:bCs/>
                <w:sz w:val="13"/>
                <w:szCs w:val="13"/>
              </w:rPr>
              <w:t>7</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14:paraId="6E4AAF88" w14:textId="77777777" w:rsidR="004A0123" w:rsidRPr="00640447" w:rsidRDefault="004A0123" w:rsidP="008A5C11">
            <w:pPr>
              <w:jc w:val="center"/>
              <w:rPr>
                <w:bCs/>
                <w:sz w:val="13"/>
                <w:szCs w:val="13"/>
              </w:rPr>
            </w:pPr>
            <w:r w:rsidRPr="00640447">
              <w:rPr>
                <w:bCs/>
                <w:sz w:val="13"/>
                <w:szCs w:val="13"/>
              </w:rPr>
              <w:t>8</w:t>
            </w: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14:paraId="423CD909" w14:textId="77777777" w:rsidR="004A0123" w:rsidRPr="00640447" w:rsidRDefault="004A0123" w:rsidP="008A5C11">
            <w:pPr>
              <w:jc w:val="center"/>
              <w:rPr>
                <w:bCs/>
                <w:sz w:val="13"/>
                <w:szCs w:val="13"/>
              </w:rPr>
            </w:pPr>
            <w:r w:rsidRPr="00640447">
              <w:rPr>
                <w:bCs/>
                <w:sz w:val="13"/>
                <w:szCs w:val="13"/>
              </w:rPr>
              <w:t>9</w:t>
            </w:r>
          </w:p>
        </w:tc>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335F0603" w14:textId="77777777" w:rsidR="004A0123" w:rsidRPr="00640447" w:rsidRDefault="004A0123" w:rsidP="008A5C11">
            <w:pPr>
              <w:jc w:val="center"/>
              <w:rPr>
                <w:bCs/>
                <w:sz w:val="13"/>
                <w:szCs w:val="13"/>
              </w:rPr>
            </w:pPr>
            <w:r w:rsidRPr="00640447">
              <w:rPr>
                <w:bCs/>
                <w:sz w:val="13"/>
                <w:szCs w:val="13"/>
              </w:rPr>
              <w:t>10</w:t>
            </w:r>
          </w:p>
        </w:tc>
        <w:tc>
          <w:tcPr>
            <w:tcW w:w="180" w:type="pct"/>
            <w:tcBorders>
              <w:top w:val="single" w:sz="4" w:space="0" w:color="auto"/>
              <w:left w:val="single" w:sz="4" w:space="0" w:color="auto"/>
              <w:bottom w:val="single" w:sz="4" w:space="0" w:color="auto"/>
              <w:right w:val="single" w:sz="4" w:space="0" w:color="auto"/>
            </w:tcBorders>
            <w:shd w:val="clear" w:color="auto" w:fill="auto"/>
            <w:vAlign w:val="center"/>
          </w:tcPr>
          <w:p w14:paraId="5F766F77" w14:textId="77777777" w:rsidR="004A0123" w:rsidRPr="00640447" w:rsidRDefault="004A0123" w:rsidP="008A5C11">
            <w:pPr>
              <w:jc w:val="center"/>
              <w:rPr>
                <w:bCs/>
                <w:sz w:val="13"/>
                <w:szCs w:val="13"/>
              </w:rPr>
            </w:pPr>
            <w:r w:rsidRPr="00640447">
              <w:rPr>
                <w:bCs/>
                <w:sz w:val="13"/>
                <w:szCs w:val="13"/>
              </w:rPr>
              <w:t>11</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14:paraId="5D9F01EB" w14:textId="77777777" w:rsidR="004A0123" w:rsidRPr="00640447" w:rsidRDefault="004A0123" w:rsidP="008A5C11">
            <w:pPr>
              <w:jc w:val="center"/>
              <w:rPr>
                <w:bCs/>
                <w:sz w:val="13"/>
                <w:szCs w:val="13"/>
              </w:rPr>
            </w:pPr>
            <w:r w:rsidRPr="00640447">
              <w:rPr>
                <w:bCs/>
                <w:sz w:val="13"/>
                <w:szCs w:val="13"/>
              </w:rPr>
              <w:t>12</w:t>
            </w:r>
          </w:p>
        </w:tc>
        <w:tc>
          <w:tcPr>
            <w:tcW w:w="146" w:type="pct"/>
            <w:tcBorders>
              <w:top w:val="single" w:sz="4" w:space="0" w:color="auto"/>
              <w:left w:val="single" w:sz="4" w:space="0" w:color="auto"/>
              <w:bottom w:val="single" w:sz="4" w:space="0" w:color="auto"/>
              <w:right w:val="single" w:sz="4" w:space="0" w:color="auto"/>
            </w:tcBorders>
            <w:shd w:val="clear" w:color="auto" w:fill="auto"/>
            <w:vAlign w:val="center"/>
          </w:tcPr>
          <w:p w14:paraId="38197E78" w14:textId="77777777" w:rsidR="004A0123" w:rsidRPr="00640447" w:rsidRDefault="004A0123" w:rsidP="008A5C11">
            <w:pPr>
              <w:jc w:val="center"/>
              <w:rPr>
                <w:bCs/>
                <w:sz w:val="13"/>
                <w:szCs w:val="13"/>
              </w:rPr>
            </w:pPr>
            <w:r w:rsidRPr="00640447">
              <w:rPr>
                <w:bCs/>
                <w:sz w:val="13"/>
                <w:szCs w:val="13"/>
              </w:rPr>
              <w:t>13</w:t>
            </w:r>
          </w:p>
        </w:tc>
        <w:tc>
          <w:tcPr>
            <w:tcW w:w="149" w:type="pct"/>
            <w:tcBorders>
              <w:top w:val="single" w:sz="4" w:space="0" w:color="auto"/>
              <w:left w:val="single" w:sz="4" w:space="0" w:color="auto"/>
              <w:bottom w:val="single" w:sz="4" w:space="0" w:color="auto"/>
              <w:right w:val="single" w:sz="4" w:space="0" w:color="auto"/>
            </w:tcBorders>
            <w:shd w:val="clear" w:color="auto" w:fill="auto"/>
            <w:vAlign w:val="center"/>
          </w:tcPr>
          <w:p w14:paraId="4515A33A" w14:textId="77777777" w:rsidR="004A0123" w:rsidRPr="00640447" w:rsidRDefault="004A0123" w:rsidP="008A5C11">
            <w:pPr>
              <w:jc w:val="center"/>
              <w:rPr>
                <w:bCs/>
                <w:sz w:val="13"/>
                <w:szCs w:val="13"/>
              </w:rPr>
            </w:pPr>
            <w:r w:rsidRPr="00640447">
              <w:rPr>
                <w:bCs/>
                <w:sz w:val="13"/>
                <w:szCs w:val="13"/>
              </w:rPr>
              <w:t>14</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6A23B58B" w14:textId="77777777" w:rsidR="004A0123" w:rsidRPr="00640447" w:rsidRDefault="004A0123" w:rsidP="008A5C11">
            <w:pPr>
              <w:jc w:val="center"/>
              <w:rPr>
                <w:bCs/>
                <w:sz w:val="13"/>
                <w:szCs w:val="13"/>
              </w:rPr>
            </w:pPr>
            <w:r w:rsidRPr="00640447">
              <w:rPr>
                <w:bCs/>
                <w:sz w:val="13"/>
                <w:szCs w:val="13"/>
              </w:rPr>
              <w:t>15</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76F88EA7" w14:textId="77777777" w:rsidR="004A0123" w:rsidRPr="00640447" w:rsidRDefault="004A0123" w:rsidP="008A5C11">
            <w:pPr>
              <w:jc w:val="center"/>
              <w:rPr>
                <w:bCs/>
                <w:sz w:val="13"/>
                <w:szCs w:val="13"/>
              </w:rPr>
            </w:pPr>
            <w:r w:rsidRPr="00640447">
              <w:rPr>
                <w:bCs/>
                <w:sz w:val="13"/>
                <w:szCs w:val="13"/>
              </w:rPr>
              <w:t>16</w:t>
            </w:r>
          </w:p>
        </w:tc>
        <w:tc>
          <w:tcPr>
            <w:tcW w:w="155" w:type="pct"/>
            <w:tcBorders>
              <w:top w:val="single" w:sz="4" w:space="0" w:color="auto"/>
              <w:left w:val="single" w:sz="4" w:space="0" w:color="auto"/>
              <w:bottom w:val="single" w:sz="4" w:space="0" w:color="auto"/>
              <w:right w:val="single" w:sz="4" w:space="0" w:color="auto"/>
            </w:tcBorders>
            <w:vAlign w:val="center"/>
          </w:tcPr>
          <w:p w14:paraId="388591DB" w14:textId="77777777" w:rsidR="004A0123" w:rsidRPr="00640447" w:rsidRDefault="004A0123" w:rsidP="008A5C11">
            <w:pPr>
              <w:jc w:val="center"/>
              <w:rPr>
                <w:bCs/>
                <w:sz w:val="13"/>
                <w:szCs w:val="13"/>
              </w:rPr>
            </w:pPr>
            <w:r w:rsidRPr="00640447">
              <w:rPr>
                <w:bCs/>
                <w:sz w:val="13"/>
                <w:szCs w:val="13"/>
              </w:rPr>
              <w:t>17</w:t>
            </w:r>
          </w:p>
        </w:tc>
        <w:tc>
          <w:tcPr>
            <w:tcW w:w="154" w:type="pct"/>
            <w:tcBorders>
              <w:top w:val="single" w:sz="4" w:space="0" w:color="auto"/>
              <w:left w:val="single" w:sz="4" w:space="0" w:color="auto"/>
              <w:bottom w:val="single" w:sz="4" w:space="0" w:color="auto"/>
              <w:right w:val="single" w:sz="4" w:space="0" w:color="auto"/>
            </w:tcBorders>
            <w:vAlign w:val="center"/>
          </w:tcPr>
          <w:p w14:paraId="77395BB1" w14:textId="77777777" w:rsidR="004A0123" w:rsidRPr="00640447" w:rsidRDefault="004A0123" w:rsidP="008A5C11">
            <w:pPr>
              <w:jc w:val="center"/>
              <w:rPr>
                <w:bCs/>
                <w:sz w:val="13"/>
                <w:szCs w:val="13"/>
              </w:rPr>
            </w:pPr>
            <w:r w:rsidRPr="00640447">
              <w:rPr>
                <w:bCs/>
                <w:sz w:val="13"/>
                <w:szCs w:val="13"/>
              </w:rPr>
              <w:t>18</w:t>
            </w:r>
          </w:p>
        </w:tc>
        <w:tc>
          <w:tcPr>
            <w:tcW w:w="153" w:type="pct"/>
            <w:tcBorders>
              <w:top w:val="single" w:sz="4" w:space="0" w:color="auto"/>
              <w:left w:val="single" w:sz="4" w:space="0" w:color="auto"/>
              <w:bottom w:val="single" w:sz="4" w:space="0" w:color="auto"/>
              <w:right w:val="single" w:sz="4" w:space="0" w:color="auto"/>
            </w:tcBorders>
            <w:vAlign w:val="center"/>
          </w:tcPr>
          <w:p w14:paraId="6E7F8D09" w14:textId="77777777" w:rsidR="004A0123" w:rsidRPr="00640447" w:rsidRDefault="004A0123" w:rsidP="008A5C11">
            <w:pPr>
              <w:jc w:val="center"/>
              <w:rPr>
                <w:bCs/>
                <w:sz w:val="13"/>
                <w:szCs w:val="13"/>
              </w:rPr>
            </w:pPr>
            <w:r w:rsidRPr="00640447">
              <w:rPr>
                <w:bCs/>
                <w:sz w:val="13"/>
                <w:szCs w:val="13"/>
              </w:rPr>
              <w:t>19</w:t>
            </w:r>
          </w:p>
        </w:tc>
        <w:tc>
          <w:tcPr>
            <w:tcW w:w="174" w:type="pct"/>
            <w:tcBorders>
              <w:top w:val="single" w:sz="4" w:space="0" w:color="auto"/>
              <w:left w:val="single" w:sz="4" w:space="0" w:color="auto"/>
              <w:bottom w:val="single" w:sz="4" w:space="0" w:color="auto"/>
              <w:right w:val="single" w:sz="4" w:space="0" w:color="auto"/>
            </w:tcBorders>
            <w:vAlign w:val="center"/>
          </w:tcPr>
          <w:p w14:paraId="2E52764D" w14:textId="77777777" w:rsidR="004A0123" w:rsidRPr="00640447" w:rsidRDefault="004A0123" w:rsidP="008A5C11">
            <w:pPr>
              <w:jc w:val="center"/>
              <w:rPr>
                <w:bCs/>
                <w:sz w:val="13"/>
                <w:szCs w:val="13"/>
              </w:rPr>
            </w:pPr>
            <w:r w:rsidRPr="00640447">
              <w:rPr>
                <w:bCs/>
                <w:sz w:val="13"/>
                <w:szCs w:val="13"/>
              </w:rPr>
              <w:t>20</w:t>
            </w:r>
          </w:p>
        </w:tc>
        <w:tc>
          <w:tcPr>
            <w:tcW w:w="156" w:type="pct"/>
            <w:tcBorders>
              <w:top w:val="single" w:sz="4" w:space="0" w:color="auto"/>
              <w:left w:val="single" w:sz="4" w:space="0" w:color="auto"/>
              <w:bottom w:val="single" w:sz="4" w:space="0" w:color="auto"/>
              <w:right w:val="single" w:sz="4" w:space="0" w:color="auto"/>
            </w:tcBorders>
            <w:vAlign w:val="center"/>
          </w:tcPr>
          <w:p w14:paraId="2C912E55" w14:textId="77777777" w:rsidR="004A0123" w:rsidRPr="00640447" w:rsidRDefault="004A0123" w:rsidP="008A5C11">
            <w:pPr>
              <w:jc w:val="center"/>
              <w:rPr>
                <w:bCs/>
                <w:sz w:val="13"/>
                <w:szCs w:val="13"/>
              </w:rPr>
            </w:pPr>
            <w:r w:rsidRPr="00640447">
              <w:rPr>
                <w:bCs/>
                <w:sz w:val="13"/>
                <w:szCs w:val="13"/>
              </w:rPr>
              <w:t>21</w:t>
            </w:r>
          </w:p>
        </w:tc>
        <w:tc>
          <w:tcPr>
            <w:tcW w:w="146" w:type="pct"/>
            <w:tcBorders>
              <w:top w:val="single" w:sz="4" w:space="0" w:color="auto"/>
              <w:left w:val="single" w:sz="4" w:space="0" w:color="auto"/>
              <w:bottom w:val="single" w:sz="4" w:space="0" w:color="auto"/>
              <w:right w:val="single" w:sz="4" w:space="0" w:color="auto"/>
            </w:tcBorders>
            <w:vAlign w:val="center"/>
          </w:tcPr>
          <w:p w14:paraId="58AB3BDC" w14:textId="77777777" w:rsidR="004A0123" w:rsidRPr="00640447" w:rsidRDefault="004A0123" w:rsidP="008A5C11">
            <w:pPr>
              <w:jc w:val="center"/>
              <w:rPr>
                <w:bCs/>
                <w:sz w:val="13"/>
                <w:szCs w:val="13"/>
              </w:rPr>
            </w:pPr>
            <w:r w:rsidRPr="00640447">
              <w:rPr>
                <w:bCs/>
                <w:sz w:val="13"/>
                <w:szCs w:val="13"/>
              </w:rPr>
              <w:t>22</w:t>
            </w:r>
          </w:p>
        </w:tc>
        <w:tc>
          <w:tcPr>
            <w:tcW w:w="188" w:type="pct"/>
            <w:tcBorders>
              <w:top w:val="single" w:sz="4" w:space="0" w:color="auto"/>
              <w:left w:val="single" w:sz="4" w:space="0" w:color="auto"/>
              <w:bottom w:val="single" w:sz="4" w:space="0" w:color="auto"/>
              <w:right w:val="single" w:sz="4" w:space="0" w:color="auto"/>
            </w:tcBorders>
            <w:vAlign w:val="center"/>
          </w:tcPr>
          <w:p w14:paraId="3C243D9D" w14:textId="77777777" w:rsidR="004A0123" w:rsidRPr="00640447" w:rsidRDefault="004A0123" w:rsidP="008A5C11">
            <w:pPr>
              <w:jc w:val="center"/>
              <w:rPr>
                <w:bCs/>
                <w:sz w:val="13"/>
                <w:szCs w:val="13"/>
              </w:rPr>
            </w:pPr>
            <w:r w:rsidRPr="00640447">
              <w:rPr>
                <w:bCs/>
                <w:sz w:val="13"/>
                <w:szCs w:val="13"/>
              </w:rPr>
              <w:t>23</w:t>
            </w:r>
          </w:p>
        </w:tc>
        <w:tc>
          <w:tcPr>
            <w:tcW w:w="182" w:type="pct"/>
            <w:tcBorders>
              <w:top w:val="single" w:sz="4" w:space="0" w:color="auto"/>
              <w:left w:val="single" w:sz="4" w:space="0" w:color="auto"/>
              <w:bottom w:val="single" w:sz="4" w:space="0" w:color="auto"/>
              <w:right w:val="single" w:sz="4" w:space="0" w:color="auto"/>
            </w:tcBorders>
            <w:vAlign w:val="center"/>
          </w:tcPr>
          <w:p w14:paraId="555C8FF1" w14:textId="77777777" w:rsidR="004A0123" w:rsidRPr="00640447" w:rsidRDefault="004A0123" w:rsidP="008A5C11">
            <w:pPr>
              <w:jc w:val="center"/>
              <w:rPr>
                <w:bCs/>
                <w:sz w:val="13"/>
                <w:szCs w:val="13"/>
              </w:rPr>
            </w:pPr>
            <w:r w:rsidRPr="00640447">
              <w:rPr>
                <w:bCs/>
                <w:sz w:val="13"/>
                <w:szCs w:val="13"/>
              </w:rPr>
              <w:t>24</w:t>
            </w:r>
          </w:p>
        </w:tc>
      </w:tr>
      <w:tr w:rsidR="004A0123" w:rsidRPr="00640447" w14:paraId="0EADADF0" w14:textId="77777777" w:rsidTr="008A5C11">
        <w:trPr>
          <w:trHeight w:val="489"/>
        </w:trPr>
        <w:tc>
          <w:tcPr>
            <w:tcW w:w="146" w:type="pct"/>
            <w:tcBorders>
              <w:top w:val="single" w:sz="4" w:space="0" w:color="auto"/>
            </w:tcBorders>
            <w:shd w:val="clear" w:color="auto" w:fill="auto"/>
            <w:vAlign w:val="center"/>
          </w:tcPr>
          <w:p w14:paraId="4FAEAEE4" w14:textId="77777777" w:rsidR="004A0123" w:rsidRPr="00640447" w:rsidRDefault="004A0123" w:rsidP="008A5C11">
            <w:pPr>
              <w:jc w:val="center"/>
              <w:rPr>
                <w:sz w:val="13"/>
                <w:szCs w:val="13"/>
              </w:rPr>
            </w:pPr>
            <w:r w:rsidRPr="00640447">
              <w:rPr>
                <w:sz w:val="13"/>
                <w:szCs w:val="13"/>
              </w:rPr>
              <w:t>3.2.2.</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7B784D65" w14:textId="77777777" w:rsidR="004A0123" w:rsidRPr="00640447" w:rsidRDefault="004A0123" w:rsidP="008A5C11">
            <w:pPr>
              <w:rPr>
                <w:color w:val="000000"/>
                <w:sz w:val="13"/>
                <w:szCs w:val="13"/>
              </w:rPr>
            </w:pPr>
            <w:r w:rsidRPr="00640447">
              <w:rPr>
                <w:color w:val="000000"/>
                <w:sz w:val="13"/>
                <w:szCs w:val="13"/>
              </w:rPr>
              <w:t>Котельная «КСК». Проектирование и реконструкция котла К-50-40/14 №2, с установкой системы автоматизации.</w:t>
            </w:r>
          </w:p>
        </w:tc>
        <w:tc>
          <w:tcPr>
            <w:tcW w:w="359" w:type="pct"/>
            <w:tcBorders>
              <w:top w:val="single" w:sz="4" w:space="0" w:color="auto"/>
              <w:left w:val="nil"/>
              <w:bottom w:val="single" w:sz="4" w:space="0" w:color="auto"/>
              <w:right w:val="single" w:sz="4" w:space="0" w:color="auto"/>
            </w:tcBorders>
            <w:shd w:val="clear" w:color="auto" w:fill="auto"/>
            <w:vAlign w:val="center"/>
          </w:tcPr>
          <w:p w14:paraId="513E2376" w14:textId="77777777" w:rsidR="004A0123" w:rsidRPr="00640447" w:rsidRDefault="004A0123" w:rsidP="008A5C11">
            <w:pPr>
              <w:jc w:val="center"/>
              <w:rPr>
                <w:color w:val="000000"/>
                <w:sz w:val="13"/>
                <w:szCs w:val="13"/>
              </w:rPr>
            </w:pPr>
            <w:r w:rsidRPr="00640447">
              <w:rPr>
                <w:color w:val="000000"/>
                <w:sz w:val="13"/>
                <w:szCs w:val="13"/>
              </w:rPr>
              <w:t>Повышение надежности теплоснабжения</w:t>
            </w:r>
          </w:p>
        </w:tc>
        <w:tc>
          <w:tcPr>
            <w:tcW w:w="360" w:type="pct"/>
            <w:tcBorders>
              <w:top w:val="single" w:sz="4" w:space="0" w:color="auto"/>
              <w:left w:val="nil"/>
              <w:bottom w:val="single" w:sz="4" w:space="0" w:color="auto"/>
              <w:right w:val="single" w:sz="4" w:space="0" w:color="auto"/>
            </w:tcBorders>
            <w:shd w:val="clear" w:color="auto" w:fill="auto"/>
            <w:vAlign w:val="center"/>
          </w:tcPr>
          <w:p w14:paraId="57E344CD" w14:textId="77777777" w:rsidR="004A0123" w:rsidRPr="00640447" w:rsidRDefault="004A0123" w:rsidP="008A5C11">
            <w:pPr>
              <w:jc w:val="center"/>
              <w:rPr>
                <w:color w:val="000000"/>
                <w:sz w:val="13"/>
                <w:szCs w:val="13"/>
              </w:rPr>
            </w:pPr>
            <w:r w:rsidRPr="00640447">
              <w:rPr>
                <w:color w:val="000000"/>
                <w:sz w:val="13"/>
                <w:szCs w:val="13"/>
              </w:rPr>
              <w:t xml:space="preserve">г. Ленинск-Кузнецкий, </w:t>
            </w:r>
          </w:p>
          <w:p w14:paraId="44D34BA2" w14:textId="77777777" w:rsidR="004A0123" w:rsidRPr="00640447" w:rsidRDefault="004A0123" w:rsidP="008A5C11">
            <w:pPr>
              <w:jc w:val="center"/>
              <w:rPr>
                <w:color w:val="000000"/>
                <w:sz w:val="13"/>
                <w:szCs w:val="13"/>
              </w:rPr>
            </w:pPr>
            <w:r w:rsidRPr="00640447">
              <w:rPr>
                <w:color w:val="000000"/>
                <w:sz w:val="13"/>
                <w:szCs w:val="13"/>
              </w:rPr>
              <w:t>ул. Телефонная, 9</w:t>
            </w:r>
          </w:p>
        </w:tc>
        <w:tc>
          <w:tcPr>
            <w:tcW w:w="338" w:type="pct"/>
            <w:tcBorders>
              <w:top w:val="single" w:sz="4" w:space="0" w:color="auto"/>
              <w:left w:val="nil"/>
              <w:bottom w:val="single" w:sz="4" w:space="0" w:color="auto"/>
              <w:right w:val="single" w:sz="4" w:space="0" w:color="auto"/>
            </w:tcBorders>
            <w:shd w:val="clear" w:color="auto" w:fill="auto"/>
            <w:vAlign w:val="center"/>
          </w:tcPr>
          <w:p w14:paraId="7909538D" w14:textId="77777777" w:rsidR="004A0123" w:rsidRPr="00640447" w:rsidRDefault="004A0123" w:rsidP="008A5C11">
            <w:pPr>
              <w:jc w:val="center"/>
              <w:rPr>
                <w:sz w:val="13"/>
                <w:szCs w:val="13"/>
              </w:rPr>
            </w:pPr>
            <w:r w:rsidRPr="00640447">
              <w:rPr>
                <w:sz w:val="13"/>
                <w:szCs w:val="13"/>
              </w:rPr>
              <w:t>Установленная мощность</w:t>
            </w:r>
          </w:p>
        </w:tc>
        <w:tc>
          <w:tcPr>
            <w:tcW w:w="116" w:type="pct"/>
            <w:tcBorders>
              <w:top w:val="single" w:sz="4" w:space="0" w:color="auto"/>
              <w:left w:val="nil"/>
              <w:bottom w:val="single" w:sz="4" w:space="0" w:color="auto"/>
              <w:right w:val="single" w:sz="4" w:space="0" w:color="auto"/>
            </w:tcBorders>
            <w:shd w:val="clear" w:color="auto" w:fill="auto"/>
            <w:vAlign w:val="center"/>
          </w:tcPr>
          <w:p w14:paraId="75D72FEC" w14:textId="77777777" w:rsidR="004A0123" w:rsidRPr="00640447" w:rsidRDefault="004A0123" w:rsidP="008A5C11">
            <w:pPr>
              <w:jc w:val="center"/>
              <w:rPr>
                <w:sz w:val="13"/>
                <w:szCs w:val="13"/>
              </w:rPr>
            </w:pPr>
            <w:r w:rsidRPr="00640447">
              <w:rPr>
                <w:sz w:val="13"/>
                <w:szCs w:val="13"/>
              </w:rPr>
              <w:t>Гкал/ч</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5B56598F" w14:textId="77777777" w:rsidR="004A0123" w:rsidRPr="00640447" w:rsidRDefault="004A0123" w:rsidP="008A5C11">
            <w:pPr>
              <w:jc w:val="center"/>
              <w:rPr>
                <w:sz w:val="13"/>
                <w:szCs w:val="13"/>
              </w:rPr>
            </w:pPr>
            <w:r w:rsidRPr="00640447">
              <w:rPr>
                <w:sz w:val="13"/>
                <w:szCs w:val="13"/>
              </w:rPr>
              <w:t>28</w:t>
            </w:r>
          </w:p>
        </w:tc>
        <w:tc>
          <w:tcPr>
            <w:tcW w:w="174" w:type="pct"/>
            <w:tcBorders>
              <w:top w:val="single" w:sz="4" w:space="0" w:color="auto"/>
              <w:left w:val="nil"/>
              <w:bottom w:val="single" w:sz="4" w:space="0" w:color="auto"/>
              <w:right w:val="single" w:sz="4" w:space="0" w:color="auto"/>
            </w:tcBorders>
            <w:shd w:val="clear" w:color="auto" w:fill="auto"/>
            <w:vAlign w:val="center"/>
          </w:tcPr>
          <w:p w14:paraId="1AB6A149" w14:textId="77777777" w:rsidR="004A0123" w:rsidRPr="00640447" w:rsidRDefault="004A0123" w:rsidP="008A5C11">
            <w:pPr>
              <w:jc w:val="center"/>
              <w:rPr>
                <w:sz w:val="13"/>
                <w:szCs w:val="13"/>
              </w:rPr>
            </w:pPr>
            <w:r w:rsidRPr="00640447">
              <w:rPr>
                <w:sz w:val="13"/>
                <w:szCs w:val="13"/>
              </w:rPr>
              <w:t>28</w:t>
            </w:r>
          </w:p>
        </w:tc>
        <w:tc>
          <w:tcPr>
            <w:tcW w:w="189" w:type="pct"/>
            <w:tcBorders>
              <w:top w:val="single" w:sz="4" w:space="0" w:color="auto"/>
              <w:left w:val="nil"/>
              <w:bottom w:val="single" w:sz="4" w:space="0" w:color="auto"/>
              <w:right w:val="single" w:sz="4" w:space="0" w:color="auto"/>
            </w:tcBorders>
            <w:shd w:val="clear" w:color="auto" w:fill="auto"/>
            <w:vAlign w:val="center"/>
          </w:tcPr>
          <w:p w14:paraId="6B563B4B" w14:textId="77777777" w:rsidR="004A0123" w:rsidRPr="00640447" w:rsidRDefault="004A0123" w:rsidP="008A5C11">
            <w:pPr>
              <w:jc w:val="center"/>
              <w:rPr>
                <w:sz w:val="13"/>
                <w:szCs w:val="13"/>
              </w:rPr>
            </w:pPr>
            <w:r w:rsidRPr="00640447">
              <w:rPr>
                <w:sz w:val="13"/>
                <w:szCs w:val="13"/>
              </w:rPr>
              <w:t>2024</w:t>
            </w:r>
          </w:p>
        </w:tc>
        <w:tc>
          <w:tcPr>
            <w:tcW w:w="184" w:type="pct"/>
            <w:tcBorders>
              <w:top w:val="single" w:sz="4" w:space="0" w:color="auto"/>
              <w:left w:val="nil"/>
              <w:bottom w:val="single" w:sz="4" w:space="0" w:color="auto"/>
              <w:right w:val="single" w:sz="4" w:space="0" w:color="auto"/>
            </w:tcBorders>
            <w:shd w:val="clear" w:color="auto" w:fill="auto"/>
            <w:vAlign w:val="center"/>
          </w:tcPr>
          <w:p w14:paraId="662D9AEA" w14:textId="77777777" w:rsidR="004A0123" w:rsidRPr="00640447" w:rsidRDefault="004A0123" w:rsidP="008A5C11">
            <w:pPr>
              <w:jc w:val="center"/>
              <w:rPr>
                <w:sz w:val="13"/>
                <w:szCs w:val="13"/>
              </w:rPr>
            </w:pPr>
            <w:r w:rsidRPr="00640447">
              <w:rPr>
                <w:sz w:val="13"/>
                <w:szCs w:val="13"/>
              </w:rPr>
              <w:t>2026</w:t>
            </w:r>
          </w:p>
        </w:tc>
        <w:tc>
          <w:tcPr>
            <w:tcW w:w="180" w:type="pct"/>
            <w:tcBorders>
              <w:top w:val="single" w:sz="4" w:space="0" w:color="auto"/>
              <w:left w:val="nil"/>
              <w:bottom w:val="single" w:sz="4" w:space="0" w:color="auto"/>
              <w:right w:val="single" w:sz="4" w:space="0" w:color="auto"/>
            </w:tcBorders>
            <w:shd w:val="clear" w:color="auto" w:fill="auto"/>
            <w:vAlign w:val="center"/>
          </w:tcPr>
          <w:p w14:paraId="7E9CE7C8" w14:textId="77777777" w:rsidR="004A0123" w:rsidRPr="00640447" w:rsidRDefault="004A0123" w:rsidP="008A5C11">
            <w:pPr>
              <w:jc w:val="center"/>
              <w:rPr>
                <w:sz w:val="13"/>
                <w:szCs w:val="13"/>
              </w:rPr>
            </w:pPr>
            <w:r w:rsidRPr="00640447">
              <w:rPr>
                <w:sz w:val="13"/>
                <w:szCs w:val="13"/>
              </w:rPr>
              <w:t>237637</w:t>
            </w:r>
          </w:p>
        </w:tc>
        <w:tc>
          <w:tcPr>
            <w:tcW w:w="187" w:type="pct"/>
            <w:tcBorders>
              <w:top w:val="single" w:sz="4" w:space="0" w:color="auto"/>
              <w:left w:val="nil"/>
              <w:bottom w:val="single" w:sz="4" w:space="0" w:color="auto"/>
              <w:right w:val="single" w:sz="4" w:space="0" w:color="auto"/>
            </w:tcBorders>
            <w:shd w:val="clear" w:color="auto" w:fill="auto"/>
            <w:vAlign w:val="center"/>
          </w:tcPr>
          <w:p w14:paraId="6474EF9F" w14:textId="77777777" w:rsidR="004A0123" w:rsidRPr="00640447" w:rsidRDefault="004A0123" w:rsidP="008A5C11">
            <w:pPr>
              <w:jc w:val="center"/>
              <w:rPr>
                <w:sz w:val="13"/>
                <w:szCs w:val="13"/>
              </w:rPr>
            </w:pPr>
            <w:r w:rsidRPr="00640447">
              <w:rPr>
                <w:sz w:val="13"/>
                <w:szCs w:val="13"/>
              </w:rPr>
              <w:t>0</w:t>
            </w:r>
          </w:p>
        </w:tc>
        <w:tc>
          <w:tcPr>
            <w:tcW w:w="146" w:type="pct"/>
            <w:tcBorders>
              <w:top w:val="single" w:sz="4" w:space="0" w:color="auto"/>
              <w:left w:val="single" w:sz="4" w:space="0" w:color="auto"/>
              <w:bottom w:val="single" w:sz="4" w:space="0" w:color="auto"/>
              <w:right w:val="single" w:sz="4" w:space="0" w:color="auto"/>
            </w:tcBorders>
            <w:shd w:val="clear" w:color="auto" w:fill="auto"/>
            <w:vAlign w:val="center"/>
          </w:tcPr>
          <w:p w14:paraId="75198C49" w14:textId="77777777" w:rsidR="004A0123" w:rsidRPr="00640447" w:rsidRDefault="004A0123" w:rsidP="008A5C11">
            <w:pPr>
              <w:jc w:val="center"/>
              <w:rPr>
                <w:sz w:val="13"/>
                <w:szCs w:val="13"/>
              </w:rPr>
            </w:pPr>
            <w:r w:rsidRPr="00640447">
              <w:rPr>
                <w:sz w:val="13"/>
                <w:szCs w:val="13"/>
              </w:rPr>
              <w:t>0</w:t>
            </w:r>
          </w:p>
        </w:tc>
        <w:tc>
          <w:tcPr>
            <w:tcW w:w="149" w:type="pct"/>
            <w:tcBorders>
              <w:top w:val="single" w:sz="4" w:space="0" w:color="auto"/>
              <w:left w:val="nil"/>
              <w:bottom w:val="single" w:sz="4" w:space="0" w:color="auto"/>
              <w:right w:val="single" w:sz="4" w:space="0" w:color="auto"/>
            </w:tcBorders>
            <w:shd w:val="clear" w:color="auto" w:fill="auto"/>
            <w:vAlign w:val="center"/>
          </w:tcPr>
          <w:p w14:paraId="7027D171" w14:textId="77777777" w:rsidR="004A0123" w:rsidRPr="00640447" w:rsidRDefault="004A0123" w:rsidP="008A5C11">
            <w:pPr>
              <w:jc w:val="center"/>
              <w:rPr>
                <w:sz w:val="13"/>
                <w:szCs w:val="13"/>
              </w:rPr>
            </w:pPr>
            <w:r w:rsidRPr="00640447">
              <w:rPr>
                <w:sz w:val="13"/>
                <w:szCs w:val="13"/>
              </w:rPr>
              <w:t>0</w:t>
            </w:r>
          </w:p>
        </w:tc>
        <w:tc>
          <w:tcPr>
            <w:tcW w:w="183" w:type="pct"/>
            <w:tcBorders>
              <w:top w:val="single" w:sz="4" w:space="0" w:color="auto"/>
              <w:left w:val="nil"/>
              <w:bottom w:val="single" w:sz="4" w:space="0" w:color="auto"/>
              <w:right w:val="single" w:sz="4" w:space="0" w:color="auto"/>
            </w:tcBorders>
            <w:shd w:val="clear" w:color="auto" w:fill="auto"/>
            <w:vAlign w:val="center"/>
          </w:tcPr>
          <w:p w14:paraId="429ABEE2" w14:textId="77777777" w:rsidR="004A0123" w:rsidRPr="00640447" w:rsidRDefault="004A0123" w:rsidP="008A5C11">
            <w:pPr>
              <w:jc w:val="center"/>
              <w:rPr>
                <w:sz w:val="13"/>
                <w:szCs w:val="13"/>
              </w:rPr>
            </w:pPr>
            <w:r w:rsidRPr="00640447">
              <w:rPr>
                <w:sz w:val="13"/>
                <w:szCs w:val="13"/>
              </w:rPr>
              <w:t>0</w:t>
            </w:r>
          </w:p>
        </w:tc>
        <w:tc>
          <w:tcPr>
            <w:tcW w:w="183" w:type="pct"/>
            <w:tcBorders>
              <w:top w:val="single" w:sz="4" w:space="0" w:color="auto"/>
              <w:left w:val="nil"/>
              <w:bottom w:val="single" w:sz="4" w:space="0" w:color="auto"/>
              <w:right w:val="single" w:sz="4" w:space="0" w:color="auto"/>
            </w:tcBorders>
            <w:shd w:val="clear" w:color="auto" w:fill="auto"/>
            <w:vAlign w:val="center"/>
          </w:tcPr>
          <w:p w14:paraId="4599AE0E" w14:textId="77777777" w:rsidR="004A0123" w:rsidRPr="00640447" w:rsidRDefault="004A0123" w:rsidP="008A5C11">
            <w:pPr>
              <w:jc w:val="center"/>
              <w:rPr>
                <w:sz w:val="13"/>
                <w:szCs w:val="13"/>
              </w:rPr>
            </w:pPr>
            <w:r w:rsidRPr="00640447">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33B733A4" w14:textId="77777777" w:rsidR="004A0123" w:rsidRPr="00640447" w:rsidRDefault="004A0123" w:rsidP="008A5C11">
            <w:pPr>
              <w:jc w:val="center"/>
              <w:rPr>
                <w:sz w:val="13"/>
                <w:szCs w:val="13"/>
              </w:rPr>
            </w:pPr>
            <w:r w:rsidRPr="00640447">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1644EB47" w14:textId="77777777" w:rsidR="004A0123" w:rsidRPr="00640447" w:rsidRDefault="004A0123" w:rsidP="008A5C11">
            <w:pPr>
              <w:jc w:val="center"/>
              <w:rPr>
                <w:sz w:val="13"/>
                <w:szCs w:val="13"/>
              </w:rPr>
            </w:pPr>
            <w:r w:rsidRPr="00640447">
              <w:rPr>
                <w:sz w:val="13"/>
                <w:szCs w:val="13"/>
              </w:rPr>
              <w:t>4269</w:t>
            </w:r>
          </w:p>
        </w:tc>
        <w:tc>
          <w:tcPr>
            <w:tcW w:w="153" w:type="pct"/>
            <w:tcBorders>
              <w:top w:val="single" w:sz="4" w:space="0" w:color="auto"/>
              <w:left w:val="single" w:sz="4" w:space="0" w:color="auto"/>
              <w:bottom w:val="single" w:sz="4" w:space="0" w:color="auto"/>
              <w:right w:val="single" w:sz="4" w:space="0" w:color="auto"/>
            </w:tcBorders>
            <w:vAlign w:val="center"/>
          </w:tcPr>
          <w:p w14:paraId="6D02CE51" w14:textId="77777777" w:rsidR="004A0123" w:rsidRPr="00640447" w:rsidRDefault="004A0123" w:rsidP="008A5C11">
            <w:pPr>
              <w:jc w:val="center"/>
              <w:rPr>
                <w:sz w:val="13"/>
                <w:szCs w:val="13"/>
              </w:rPr>
            </w:pPr>
            <w:r w:rsidRPr="00640447">
              <w:rPr>
                <w:sz w:val="13"/>
                <w:szCs w:val="13"/>
              </w:rPr>
              <w:t>161232</w:t>
            </w:r>
          </w:p>
        </w:tc>
        <w:tc>
          <w:tcPr>
            <w:tcW w:w="174" w:type="pct"/>
            <w:tcBorders>
              <w:top w:val="single" w:sz="4" w:space="0" w:color="auto"/>
              <w:left w:val="single" w:sz="4" w:space="0" w:color="auto"/>
              <w:bottom w:val="single" w:sz="4" w:space="0" w:color="auto"/>
              <w:right w:val="single" w:sz="4" w:space="0" w:color="auto"/>
            </w:tcBorders>
            <w:vAlign w:val="center"/>
          </w:tcPr>
          <w:p w14:paraId="1FB1FD3A" w14:textId="77777777" w:rsidR="004A0123" w:rsidRPr="00640447" w:rsidRDefault="004A0123" w:rsidP="008A5C11">
            <w:pPr>
              <w:jc w:val="center"/>
              <w:rPr>
                <w:sz w:val="13"/>
                <w:szCs w:val="13"/>
              </w:rPr>
            </w:pPr>
            <w:r w:rsidRPr="00640447">
              <w:rPr>
                <w:sz w:val="13"/>
                <w:szCs w:val="13"/>
              </w:rPr>
              <w:t>72136</w:t>
            </w:r>
          </w:p>
        </w:tc>
        <w:tc>
          <w:tcPr>
            <w:tcW w:w="156" w:type="pct"/>
            <w:tcBorders>
              <w:top w:val="single" w:sz="4" w:space="0" w:color="auto"/>
              <w:left w:val="single" w:sz="4" w:space="0" w:color="auto"/>
              <w:bottom w:val="single" w:sz="4" w:space="0" w:color="auto"/>
              <w:right w:val="single" w:sz="4" w:space="0" w:color="auto"/>
            </w:tcBorders>
            <w:vAlign w:val="center"/>
          </w:tcPr>
          <w:p w14:paraId="0A4C6108" w14:textId="77777777" w:rsidR="004A0123" w:rsidRPr="00640447" w:rsidRDefault="004A0123" w:rsidP="008A5C11">
            <w:pPr>
              <w:jc w:val="center"/>
              <w:rPr>
                <w:sz w:val="13"/>
                <w:szCs w:val="13"/>
              </w:rPr>
            </w:pPr>
            <w:r w:rsidRPr="00640447">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2F3323E8" w14:textId="77777777" w:rsidR="004A0123" w:rsidRPr="00640447" w:rsidRDefault="004A0123" w:rsidP="008A5C11">
            <w:pPr>
              <w:jc w:val="center"/>
              <w:rPr>
                <w:sz w:val="13"/>
                <w:szCs w:val="13"/>
              </w:rPr>
            </w:pPr>
            <w:r w:rsidRPr="00640447">
              <w:rPr>
                <w:sz w:val="13"/>
                <w:szCs w:val="13"/>
              </w:rPr>
              <w:t>0</w:t>
            </w:r>
          </w:p>
        </w:tc>
        <w:tc>
          <w:tcPr>
            <w:tcW w:w="188" w:type="pct"/>
            <w:tcBorders>
              <w:top w:val="single" w:sz="4" w:space="0" w:color="auto"/>
              <w:left w:val="single" w:sz="4" w:space="0" w:color="auto"/>
              <w:bottom w:val="single" w:sz="4" w:space="0" w:color="auto"/>
              <w:right w:val="single" w:sz="4" w:space="0" w:color="auto"/>
            </w:tcBorders>
            <w:vAlign w:val="center"/>
          </w:tcPr>
          <w:p w14:paraId="57F5575E" w14:textId="77777777" w:rsidR="004A0123" w:rsidRPr="00640447" w:rsidRDefault="004A0123" w:rsidP="008A5C11">
            <w:pPr>
              <w:jc w:val="center"/>
              <w:rPr>
                <w:sz w:val="13"/>
                <w:szCs w:val="13"/>
              </w:rPr>
            </w:pPr>
            <w:r w:rsidRPr="00640447">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7A25940D" w14:textId="77777777" w:rsidR="004A0123" w:rsidRPr="00640447" w:rsidRDefault="004A0123" w:rsidP="008A5C11">
            <w:pPr>
              <w:jc w:val="center"/>
              <w:rPr>
                <w:sz w:val="13"/>
                <w:szCs w:val="13"/>
              </w:rPr>
            </w:pPr>
            <w:r w:rsidRPr="00640447">
              <w:rPr>
                <w:sz w:val="13"/>
                <w:szCs w:val="13"/>
              </w:rPr>
              <w:t>0</w:t>
            </w:r>
          </w:p>
        </w:tc>
      </w:tr>
      <w:tr w:rsidR="004A0123" w:rsidRPr="00640447" w14:paraId="784C866F" w14:textId="77777777" w:rsidTr="008A5C11">
        <w:trPr>
          <w:trHeight w:val="489"/>
        </w:trPr>
        <w:tc>
          <w:tcPr>
            <w:tcW w:w="146" w:type="pct"/>
            <w:shd w:val="clear" w:color="auto" w:fill="auto"/>
            <w:vAlign w:val="center"/>
          </w:tcPr>
          <w:p w14:paraId="37F6835D" w14:textId="77777777" w:rsidR="004A0123" w:rsidRPr="00640447" w:rsidRDefault="004A0123" w:rsidP="008A5C11">
            <w:pPr>
              <w:jc w:val="center"/>
              <w:rPr>
                <w:sz w:val="13"/>
                <w:szCs w:val="13"/>
              </w:rPr>
            </w:pPr>
            <w:r w:rsidRPr="00640447">
              <w:rPr>
                <w:sz w:val="13"/>
                <w:szCs w:val="13"/>
              </w:rPr>
              <w:t>3.2.3.</w:t>
            </w:r>
          </w:p>
        </w:tc>
        <w:tc>
          <w:tcPr>
            <w:tcW w:w="616" w:type="pct"/>
            <w:tcBorders>
              <w:top w:val="nil"/>
              <w:left w:val="single" w:sz="4" w:space="0" w:color="auto"/>
              <w:bottom w:val="single" w:sz="4" w:space="0" w:color="auto"/>
              <w:right w:val="single" w:sz="4" w:space="0" w:color="auto"/>
            </w:tcBorders>
            <w:shd w:val="clear" w:color="auto" w:fill="auto"/>
            <w:vAlign w:val="center"/>
          </w:tcPr>
          <w:p w14:paraId="071A62F3" w14:textId="77777777" w:rsidR="004A0123" w:rsidRPr="00640447" w:rsidRDefault="004A0123" w:rsidP="008A5C11">
            <w:pPr>
              <w:rPr>
                <w:color w:val="000000"/>
                <w:sz w:val="13"/>
                <w:szCs w:val="13"/>
              </w:rPr>
            </w:pPr>
            <w:r w:rsidRPr="00640447">
              <w:rPr>
                <w:color w:val="000000"/>
                <w:sz w:val="13"/>
                <w:szCs w:val="13"/>
              </w:rPr>
              <w:t>Котельная «КСК». Проектирование и реконструкция котла К-50-40/14 № 4 с установкой системы автоматизации</w:t>
            </w:r>
          </w:p>
        </w:tc>
        <w:tc>
          <w:tcPr>
            <w:tcW w:w="359" w:type="pct"/>
            <w:tcBorders>
              <w:top w:val="nil"/>
              <w:left w:val="nil"/>
              <w:bottom w:val="single" w:sz="4" w:space="0" w:color="auto"/>
              <w:right w:val="single" w:sz="4" w:space="0" w:color="auto"/>
            </w:tcBorders>
            <w:shd w:val="clear" w:color="auto" w:fill="auto"/>
            <w:vAlign w:val="center"/>
          </w:tcPr>
          <w:p w14:paraId="1A52C7CA" w14:textId="77777777" w:rsidR="004A0123" w:rsidRPr="00640447" w:rsidRDefault="004A0123" w:rsidP="008A5C11">
            <w:pPr>
              <w:jc w:val="center"/>
              <w:rPr>
                <w:color w:val="000000"/>
                <w:sz w:val="13"/>
                <w:szCs w:val="13"/>
              </w:rPr>
            </w:pPr>
            <w:r w:rsidRPr="00640447">
              <w:rPr>
                <w:color w:val="000000"/>
                <w:sz w:val="13"/>
                <w:szCs w:val="13"/>
              </w:rPr>
              <w:t>Повышение надежности теплоснабжения</w:t>
            </w:r>
          </w:p>
        </w:tc>
        <w:tc>
          <w:tcPr>
            <w:tcW w:w="360" w:type="pct"/>
            <w:tcBorders>
              <w:top w:val="nil"/>
              <w:left w:val="nil"/>
              <w:bottom w:val="single" w:sz="4" w:space="0" w:color="auto"/>
              <w:right w:val="single" w:sz="4" w:space="0" w:color="auto"/>
            </w:tcBorders>
            <w:shd w:val="clear" w:color="auto" w:fill="auto"/>
            <w:vAlign w:val="center"/>
          </w:tcPr>
          <w:p w14:paraId="74C75D1B" w14:textId="77777777" w:rsidR="004A0123" w:rsidRPr="00640447" w:rsidRDefault="004A0123" w:rsidP="008A5C11">
            <w:pPr>
              <w:jc w:val="center"/>
              <w:rPr>
                <w:color w:val="000000"/>
                <w:sz w:val="13"/>
                <w:szCs w:val="13"/>
              </w:rPr>
            </w:pPr>
            <w:r w:rsidRPr="00640447">
              <w:rPr>
                <w:color w:val="000000"/>
                <w:sz w:val="13"/>
                <w:szCs w:val="13"/>
              </w:rPr>
              <w:t xml:space="preserve">г. Ленинск-Кузнецкий, </w:t>
            </w:r>
          </w:p>
          <w:p w14:paraId="1F4BD503" w14:textId="77777777" w:rsidR="004A0123" w:rsidRPr="00640447" w:rsidRDefault="004A0123" w:rsidP="008A5C11">
            <w:pPr>
              <w:jc w:val="center"/>
              <w:rPr>
                <w:color w:val="000000"/>
                <w:sz w:val="13"/>
                <w:szCs w:val="13"/>
              </w:rPr>
            </w:pPr>
            <w:r w:rsidRPr="00640447">
              <w:rPr>
                <w:color w:val="000000"/>
                <w:sz w:val="13"/>
                <w:szCs w:val="13"/>
              </w:rPr>
              <w:t>ул. Телефонная, 9</w:t>
            </w:r>
          </w:p>
        </w:tc>
        <w:tc>
          <w:tcPr>
            <w:tcW w:w="338" w:type="pct"/>
            <w:tcBorders>
              <w:top w:val="nil"/>
              <w:left w:val="nil"/>
              <w:bottom w:val="single" w:sz="4" w:space="0" w:color="auto"/>
              <w:right w:val="single" w:sz="4" w:space="0" w:color="auto"/>
            </w:tcBorders>
            <w:shd w:val="clear" w:color="auto" w:fill="auto"/>
            <w:vAlign w:val="center"/>
          </w:tcPr>
          <w:p w14:paraId="3B37A5D6" w14:textId="77777777" w:rsidR="004A0123" w:rsidRPr="00640447" w:rsidRDefault="004A0123" w:rsidP="008A5C11">
            <w:pPr>
              <w:jc w:val="center"/>
              <w:rPr>
                <w:sz w:val="13"/>
                <w:szCs w:val="13"/>
              </w:rPr>
            </w:pPr>
            <w:r w:rsidRPr="00640447">
              <w:rPr>
                <w:sz w:val="13"/>
                <w:szCs w:val="13"/>
              </w:rPr>
              <w:t>Установленная мощность</w:t>
            </w:r>
          </w:p>
        </w:tc>
        <w:tc>
          <w:tcPr>
            <w:tcW w:w="116" w:type="pct"/>
            <w:tcBorders>
              <w:top w:val="nil"/>
              <w:left w:val="nil"/>
              <w:bottom w:val="single" w:sz="4" w:space="0" w:color="auto"/>
              <w:right w:val="single" w:sz="4" w:space="0" w:color="auto"/>
            </w:tcBorders>
            <w:shd w:val="clear" w:color="auto" w:fill="auto"/>
            <w:vAlign w:val="center"/>
          </w:tcPr>
          <w:p w14:paraId="60E1E319" w14:textId="77777777" w:rsidR="004A0123" w:rsidRPr="00640447" w:rsidRDefault="004A0123" w:rsidP="008A5C11">
            <w:pPr>
              <w:jc w:val="center"/>
              <w:rPr>
                <w:sz w:val="13"/>
                <w:szCs w:val="13"/>
              </w:rPr>
            </w:pPr>
            <w:r w:rsidRPr="00640447">
              <w:rPr>
                <w:sz w:val="13"/>
                <w:szCs w:val="13"/>
              </w:rPr>
              <w:t>Гкал/ч</w:t>
            </w:r>
          </w:p>
        </w:tc>
        <w:tc>
          <w:tcPr>
            <w:tcW w:w="182" w:type="pct"/>
            <w:tcBorders>
              <w:top w:val="nil"/>
              <w:left w:val="single" w:sz="4" w:space="0" w:color="auto"/>
              <w:bottom w:val="single" w:sz="4" w:space="0" w:color="auto"/>
              <w:right w:val="single" w:sz="4" w:space="0" w:color="auto"/>
            </w:tcBorders>
            <w:shd w:val="clear" w:color="auto" w:fill="auto"/>
            <w:vAlign w:val="center"/>
          </w:tcPr>
          <w:p w14:paraId="54D2268C" w14:textId="77777777" w:rsidR="004A0123" w:rsidRPr="00640447" w:rsidRDefault="004A0123" w:rsidP="008A5C11">
            <w:pPr>
              <w:jc w:val="center"/>
              <w:rPr>
                <w:sz w:val="13"/>
                <w:szCs w:val="13"/>
              </w:rPr>
            </w:pPr>
            <w:r w:rsidRPr="00640447">
              <w:rPr>
                <w:sz w:val="13"/>
                <w:szCs w:val="13"/>
              </w:rPr>
              <w:t>28</w:t>
            </w:r>
          </w:p>
        </w:tc>
        <w:tc>
          <w:tcPr>
            <w:tcW w:w="174" w:type="pct"/>
            <w:tcBorders>
              <w:top w:val="nil"/>
              <w:left w:val="nil"/>
              <w:bottom w:val="single" w:sz="4" w:space="0" w:color="auto"/>
              <w:right w:val="single" w:sz="4" w:space="0" w:color="auto"/>
            </w:tcBorders>
            <w:shd w:val="clear" w:color="auto" w:fill="auto"/>
            <w:vAlign w:val="center"/>
          </w:tcPr>
          <w:p w14:paraId="1D1DBB5A" w14:textId="77777777" w:rsidR="004A0123" w:rsidRPr="00640447" w:rsidRDefault="004A0123" w:rsidP="008A5C11">
            <w:pPr>
              <w:jc w:val="center"/>
              <w:rPr>
                <w:sz w:val="13"/>
                <w:szCs w:val="13"/>
              </w:rPr>
            </w:pPr>
            <w:r w:rsidRPr="00640447">
              <w:rPr>
                <w:sz w:val="13"/>
                <w:szCs w:val="13"/>
              </w:rPr>
              <w:t>28</w:t>
            </w:r>
          </w:p>
        </w:tc>
        <w:tc>
          <w:tcPr>
            <w:tcW w:w="189" w:type="pct"/>
            <w:tcBorders>
              <w:top w:val="nil"/>
              <w:left w:val="nil"/>
              <w:bottom w:val="single" w:sz="4" w:space="0" w:color="auto"/>
              <w:right w:val="single" w:sz="4" w:space="0" w:color="auto"/>
            </w:tcBorders>
            <w:shd w:val="clear" w:color="auto" w:fill="auto"/>
            <w:vAlign w:val="center"/>
          </w:tcPr>
          <w:p w14:paraId="18A93427" w14:textId="77777777" w:rsidR="004A0123" w:rsidRPr="00640447" w:rsidRDefault="004A0123" w:rsidP="008A5C11">
            <w:pPr>
              <w:jc w:val="center"/>
              <w:rPr>
                <w:sz w:val="13"/>
                <w:szCs w:val="13"/>
              </w:rPr>
            </w:pPr>
            <w:r w:rsidRPr="00640447">
              <w:rPr>
                <w:sz w:val="13"/>
                <w:szCs w:val="13"/>
              </w:rPr>
              <w:t>2023</w:t>
            </w:r>
          </w:p>
        </w:tc>
        <w:tc>
          <w:tcPr>
            <w:tcW w:w="184" w:type="pct"/>
            <w:tcBorders>
              <w:top w:val="nil"/>
              <w:left w:val="nil"/>
              <w:bottom w:val="single" w:sz="4" w:space="0" w:color="auto"/>
              <w:right w:val="single" w:sz="4" w:space="0" w:color="auto"/>
            </w:tcBorders>
            <w:shd w:val="clear" w:color="auto" w:fill="auto"/>
            <w:vAlign w:val="center"/>
          </w:tcPr>
          <w:p w14:paraId="2E428872" w14:textId="77777777" w:rsidR="004A0123" w:rsidRPr="00640447" w:rsidRDefault="004A0123" w:rsidP="008A5C11">
            <w:pPr>
              <w:jc w:val="center"/>
              <w:rPr>
                <w:sz w:val="13"/>
                <w:szCs w:val="13"/>
              </w:rPr>
            </w:pPr>
            <w:r w:rsidRPr="00640447">
              <w:rPr>
                <w:sz w:val="13"/>
                <w:szCs w:val="13"/>
              </w:rPr>
              <w:t>2025</w:t>
            </w:r>
          </w:p>
        </w:tc>
        <w:tc>
          <w:tcPr>
            <w:tcW w:w="180" w:type="pct"/>
            <w:tcBorders>
              <w:top w:val="nil"/>
              <w:left w:val="nil"/>
              <w:bottom w:val="single" w:sz="4" w:space="0" w:color="auto"/>
              <w:right w:val="single" w:sz="4" w:space="0" w:color="auto"/>
            </w:tcBorders>
            <w:shd w:val="clear" w:color="auto" w:fill="auto"/>
            <w:vAlign w:val="center"/>
          </w:tcPr>
          <w:p w14:paraId="497953CE" w14:textId="77777777" w:rsidR="004A0123" w:rsidRPr="00640447" w:rsidRDefault="004A0123" w:rsidP="008A5C11">
            <w:pPr>
              <w:jc w:val="center"/>
              <w:rPr>
                <w:sz w:val="13"/>
                <w:szCs w:val="13"/>
              </w:rPr>
            </w:pPr>
            <w:r w:rsidRPr="00640447">
              <w:rPr>
                <w:sz w:val="13"/>
                <w:szCs w:val="13"/>
              </w:rPr>
              <w:t>227982</w:t>
            </w:r>
          </w:p>
        </w:tc>
        <w:tc>
          <w:tcPr>
            <w:tcW w:w="187" w:type="pct"/>
            <w:tcBorders>
              <w:top w:val="nil"/>
              <w:left w:val="nil"/>
              <w:bottom w:val="single" w:sz="4" w:space="0" w:color="auto"/>
              <w:right w:val="single" w:sz="4" w:space="0" w:color="auto"/>
            </w:tcBorders>
            <w:shd w:val="clear" w:color="auto" w:fill="auto"/>
            <w:vAlign w:val="center"/>
          </w:tcPr>
          <w:p w14:paraId="4E90F03C" w14:textId="77777777" w:rsidR="004A0123" w:rsidRPr="00640447" w:rsidRDefault="004A0123" w:rsidP="008A5C11">
            <w:pPr>
              <w:jc w:val="center"/>
              <w:rPr>
                <w:sz w:val="13"/>
                <w:szCs w:val="13"/>
              </w:rPr>
            </w:pPr>
            <w:r w:rsidRPr="00640447">
              <w:rPr>
                <w:sz w:val="13"/>
                <w:szCs w:val="13"/>
              </w:rPr>
              <w:t>0</w:t>
            </w:r>
          </w:p>
        </w:tc>
        <w:tc>
          <w:tcPr>
            <w:tcW w:w="146" w:type="pct"/>
            <w:tcBorders>
              <w:top w:val="nil"/>
              <w:left w:val="single" w:sz="4" w:space="0" w:color="auto"/>
              <w:bottom w:val="single" w:sz="4" w:space="0" w:color="auto"/>
              <w:right w:val="single" w:sz="4" w:space="0" w:color="auto"/>
            </w:tcBorders>
            <w:shd w:val="clear" w:color="auto" w:fill="auto"/>
            <w:vAlign w:val="center"/>
          </w:tcPr>
          <w:p w14:paraId="295D04F1" w14:textId="77777777" w:rsidR="004A0123" w:rsidRPr="00640447" w:rsidRDefault="004A0123" w:rsidP="008A5C11">
            <w:pPr>
              <w:jc w:val="center"/>
              <w:rPr>
                <w:sz w:val="13"/>
                <w:szCs w:val="13"/>
              </w:rPr>
            </w:pPr>
            <w:r w:rsidRPr="00640447">
              <w:rPr>
                <w:sz w:val="13"/>
                <w:szCs w:val="13"/>
              </w:rPr>
              <w:t>0</w:t>
            </w:r>
          </w:p>
        </w:tc>
        <w:tc>
          <w:tcPr>
            <w:tcW w:w="149" w:type="pct"/>
            <w:tcBorders>
              <w:top w:val="nil"/>
              <w:left w:val="nil"/>
              <w:bottom w:val="single" w:sz="4" w:space="0" w:color="auto"/>
              <w:right w:val="single" w:sz="4" w:space="0" w:color="auto"/>
            </w:tcBorders>
            <w:shd w:val="clear" w:color="auto" w:fill="auto"/>
            <w:vAlign w:val="center"/>
          </w:tcPr>
          <w:p w14:paraId="70934E8A" w14:textId="77777777" w:rsidR="004A0123" w:rsidRPr="00640447" w:rsidRDefault="004A0123" w:rsidP="008A5C11">
            <w:pPr>
              <w:jc w:val="center"/>
              <w:rPr>
                <w:sz w:val="13"/>
                <w:szCs w:val="13"/>
              </w:rPr>
            </w:pPr>
            <w:r w:rsidRPr="00640447">
              <w:rPr>
                <w:sz w:val="13"/>
                <w:szCs w:val="13"/>
              </w:rPr>
              <w:t>0</w:t>
            </w:r>
          </w:p>
        </w:tc>
        <w:tc>
          <w:tcPr>
            <w:tcW w:w="183" w:type="pct"/>
            <w:tcBorders>
              <w:top w:val="nil"/>
              <w:left w:val="nil"/>
              <w:bottom w:val="single" w:sz="4" w:space="0" w:color="auto"/>
              <w:right w:val="single" w:sz="4" w:space="0" w:color="auto"/>
            </w:tcBorders>
            <w:shd w:val="clear" w:color="auto" w:fill="auto"/>
            <w:vAlign w:val="center"/>
          </w:tcPr>
          <w:p w14:paraId="5E38FECA" w14:textId="77777777" w:rsidR="004A0123" w:rsidRPr="00640447" w:rsidRDefault="004A0123" w:rsidP="008A5C11">
            <w:pPr>
              <w:jc w:val="center"/>
              <w:rPr>
                <w:sz w:val="13"/>
                <w:szCs w:val="13"/>
              </w:rPr>
            </w:pPr>
            <w:r w:rsidRPr="00640447">
              <w:rPr>
                <w:sz w:val="13"/>
                <w:szCs w:val="13"/>
              </w:rPr>
              <w:t>0</w:t>
            </w:r>
          </w:p>
        </w:tc>
        <w:tc>
          <w:tcPr>
            <w:tcW w:w="183" w:type="pct"/>
            <w:tcBorders>
              <w:top w:val="nil"/>
              <w:left w:val="nil"/>
              <w:bottom w:val="single" w:sz="4" w:space="0" w:color="auto"/>
              <w:right w:val="single" w:sz="4" w:space="0" w:color="auto"/>
            </w:tcBorders>
            <w:shd w:val="clear" w:color="auto" w:fill="auto"/>
            <w:vAlign w:val="center"/>
          </w:tcPr>
          <w:p w14:paraId="4B93728F" w14:textId="77777777" w:rsidR="004A0123" w:rsidRPr="00640447" w:rsidRDefault="004A0123" w:rsidP="008A5C11">
            <w:pPr>
              <w:jc w:val="center"/>
              <w:rPr>
                <w:sz w:val="13"/>
                <w:szCs w:val="13"/>
              </w:rPr>
            </w:pPr>
            <w:r w:rsidRPr="00640447">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729EB65B" w14:textId="77777777" w:rsidR="004A0123" w:rsidRPr="00640447" w:rsidRDefault="004A0123" w:rsidP="008A5C11">
            <w:pPr>
              <w:jc w:val="center"/>
              <w:rPr>
                <w:sz w:val="13"/>
                <w:szCs w:val="13"/>
              </w:rPr>
            </w:pPr>
            <w:r w:rsidRPr="00640447">
              <w:rPr>
                <w:sz w:val="13"/>
                <w:szCs w:val="13"/>
              </w:rPr>
              <w:t>4124</w:t>
            </w:r>
          </w:p>
        </w:tc>
        <w:tc>
          <w:tcPr>
            <w:tcW w:w="154" w:type="pct"/>
            <w:tcBorders>
              <w:top w:val="single" w:sz="4" w:space="0" w:color="auto"/>
              <w:left w:val="single" w:sz="4" w:space="0" w:color="auto"/>
              <w:bottom w:val="single" w:sz="4" w:space="0" w:color="auto"/>
              <w:right w:val="single" w:sz="4" w:space="0" w:color="auto"/>
            </w:tcBorders>
            <w:vAlign w:val="center"/>
          </w:tcPr>
          <w:p w14:paraId="4DC6BC2A" w14:textId="77777777" w:rsidR="004A0123" w:rsidRPr="00640447" w:rsidRDefault="004A0123" w:rsidP="008A5C11">
            <w:pPr>
              <w:jc w:val="center"/>
              <w:rPr>
                <w:sz w:val="13"/>
                <w:szCs w:val="13"/>
              </w:rPr>
            </w:pPr>
            <w:r w:rsidRPr="00640447">
              <w:rPr>
                <w:sz w:val="13"/>
                <w:szCs w:val="13"/>
              </w:rPr>
              <w:t>202013</w:t>
            </w:r>
          </w:p>
        </w:tc>
        <w:tc>
          <w:tcPr>
            <w:tcW w:w="153" w:type="pct"/>
            <w:tcBorders>
              <w:top w:val="single" w:sz="4" w:space="0" w:color="auto"/>
              <w:left w:val="single" w:sz="4" w:space="0" w:color="auto"/>
              <w:bottom w:val="single" w:sz="4" w:space="0" w:color="auto"/>
              <w:right w:val="single" w:sz="4" w:space="0" w:color="auto"/>
            </w:tcBorders>
            <w:vAlign w:val="center"/>
          </w:tcPr>
          <w:p w14:paraId="5C2D81E1" w14:textId="77777777" w:rsidR="004A0123" w:rsidRPr="00640447" w:rsidRDefault="004A0123" w:rsidP="008A5C11">
            <w:pPr>
              <w:jc w:val="center"/>
              <w:rPr>
                <w:sz w:val="13"/>
                <w:szCs w:val="13"/>
              </w:rPr>
            </w:pPr>
            <w:r w:rsidRPr="00640447">
              <w:rPr>
                <w:sz w:val="13"/>
                <w:szCs w:val="13"/>
              </w:rPr>
              <w:t>21845</w:t>
            </w:r>
          </w:p>
        </w:tc>
        <w:tc>
          <w:tcPr>
            <w:tcW w:w="174" w:type="pct"/>
            <w:tcBorders>
              <w:top w:val="single" w:sz="4" w:space="0" w:color="auto"/>
              <w:left w:val="single" w:sz="4" w:space="0" w:color="auto"/>
              <w:bottom w:val="single" w:sz="4" w:space="0" w:color="auto"/>
              <w:right w:val="single" w:sz="4" w:space="0" w:color="auto"/>
            </w:tcBorders>
            <w:vAlign w:val="center"/>
          </w:tcPr>
          <w:p w14:paraId="58DC80C9" w14:textId="77777777" w:rsidR="004A0123" w:rsidRPr="00640447" w:rsidRDefault="004A0123" w:rsidP="008A5C11">
            <w:pPr>
              <w:jc w:val="center"/>
              <w:rPr>
                <w:sz w:val="13"/>
                <w:szCs w:val="13"/>
              </w:rPr>
            </w:pPr>
            <w:r w:rsidRPr="00640447">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1E457603" w14:textId="77777777" w:rsidR="004A0123" w:rsidRPr="00640447" w:rsidRDefault="004A0123" w:rsidP="008A5C11">
            <w:pPr>
              <w:jc w:val="center"/>
              <w:rPr>
                <w:sz w:val="13"/>
                <w:szCs w:val="13"/>
              </w:rPr>
            </w:pPr>
            <w:r w:rsidRPr="00640447">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69CD2682" w14:textId="77777777" w:rsidR="004A0123" w:rsidRPr="00640447" w:rsidRDefault="004A0123" w:rsidP="008A5C11">
            <w:pPr>
              <w:jc w:val="center"/>
              <w:rPr>
                <w:sz w:val="13"/>
                <w:szCs w:val="13"/>
              </w:rPr>
            </w:pPr>
            <w:r w:rsidRPr="00640447">
              <w:rPr>
                <w:sz w:val="13"/>
                <w:szCs w:val="13"/>
              </w:rPr>
              <w:t>0</w:t>
            </w:r>
          </w:p>
        </w:tc>
        <w:tc>
          <w:tcPr>
            <w:tcW w:w="188" w:type="pct"/>
            <w:tcBorders>
              <w:top w:val="single" w:sz="4" w:space="0" w:color="auto"/>
              <w:left w:val="single" w:sz="4" w:space="0" w:color="auto"/>
              <w:bottom w:val="single" w:sz="4" w:space="0" w:color="auto"/>
              <w:right w:val="single" w:sz="4" w:space="0" w:color="auto"/>
            </w:tcBorders>
            <w:vAlign w:val="center"/>
          </w:tcPr>
          <w:p w14:paraId="7E4B25C2" w14:textId="77777777" w:rsidR="004A0123" w:rsidRPr="00640447" w:rsidRDefault="004A0123" w:rsidP="008A5C11">
            <w:pPr>
              <w:jc w:val="center"/>
              <w:rPr>
                <w:sz w:val="13"/>
                <w:szCs w:val="13"/>
              </w:rPr>
            </w:pPr>
            <w:r w:rsidRPr="00640447">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23F49032" w14:textId="77777777" w:rsidR="004A0123" w:rsidRPr="00640447" w:rsidRDefault="004A0123" w:rsidP="008A5C11">
            <w:pPr>
              <w:jc w:val="center"/>
              <w:rPr>
                <w:sz w:val="13"/>
                <w:szCs w:val="13"/>
              </w:rPr>
            </w:pPr>
            <w:r w:rsidRPr="00640447">
              <w:rPr>
                <w:sz w:val="13"/>
                <w:szCs w:val="13"/>
              </w:rPr>
              <w:t>0</w:t>
            </w:r>
          </w:p>
        </w:tc>
      </w:tr>
      <w:tr w:rsidR="004A0123" w:rsidRPr="00640447" w14:paraId="0E9AEE89" w14:textId="77777777" w:rsidTr="008A5C11">
        <w:trPr>
          <w:trHeight w:val="489"/>
        </w:trPr>
        <w:tc>
          <w:tcPr>
            <w:tcW w:w="146" w:type="pct"/>
            <w:shd w:val="clear" w:color="auto" w:fill="auto"/>
            <w:vAlign w:val="center"/>
          </w:tcPr>
          <w:p w14:paraId="2ACE39FA" w14:textId="77777777" w:rsidR="004A0123" w:rsidRPr="00640447" w:rsidRDefault="004A0123" w:rsidP="008A5C11">
            <w:pPr>
              <w:jc w:val="center"/>
              <w:rPr>
                <w:sz w:val="13"/>
                <w:szCs w:val="13"/>
              </w:rPr>
            </w:pPr>
            <w:r w:rsidRPr="00640447">
              <w:rPr>
                <w:sz w:val="13"/>
                <w:szCs w:val="13"/>
              </w:rPr>
              <w:t>3.2.4.</w:t>
            </w:r>
          </w:p>
        </w:tc>
        <w:tc>
          <w:tcPr>
            <w:tcW w:w="616" w:type="pct"/>
            <w:tcBorders>
              <w:top w:val="nil"/>
              <w:left w:val="single" w:sz="4" w:space="0" w:color="auto"/>
              <w:bottom w:val="single" w:sz="4" w:space="0" w:color="auto"/>
              <w:right w:val="single" w:sz="4" w:space="0" w:color="auto"/>
            </w:tcBorders>
            <w:shd w:val="clear" w:color="auto" w:fill="auto"/>
            <w:vAlign w:val="center"/>
          </w:tcPr>
          <w:p w14:paraId="4492E3CB" w14:textId="77777777" w:rsidR="004A0123" w:rsidRPr="00640447" w:rsidRDefault="004A0123" w:rsidP="008A5C11">
            <w:pPr>
              <w:rPr>
                <w:color w:val="000000"/>
                <w:sz w:val="13"/>
                <w:szCs w:val="13"/>
              </w:rPr>
            </w:pPr>
            <w:r w:rsidRPr="00640447">
              <w:rPr>
                <w:color w:val="000000"/>
                <w:sz w:val="13"/>
                <w:szCs w:val="13"/>
              </w:rPr>
              <w:t>Котельная «КСК». Реконструкция насосного оборудования, сетевого комплекса</w:t>
            </w:r>
          </w:p>
        </w:tc>
        <w:tc>
          <w:tcPr>
            <w:tcW w:w="359" w:type="pct"/>
            <w:tcBorders>
              <w:top w:val="nil"/>
              <w:left w:val="nil"/>
              <w:bottom w:val="single" w:sz="4" w:space="0" w:color="auto"/>
              <w:right w:val="single" w:sz="4" w:space="0" w:color="auto"/>
            </w:tcBorders>
            <w:shd w:val="clear" w:color="auto" w:fill="auto"/>
            <w:vAlign w:val="center"/>
          </w:tcPr>
          <w:p w14:paraId="5239B085" w14:textId="77777777" w:rsidR="004A0123" w:rsidRPr="00640447" w:rsidRDefault="004A0123" w:rsidP="008A5C11">
            <w:pPr>
              <w:jc w:val="center"/>
              <w:rPr>
                <w:color w:val="000000"/>
                <w:sz w:val="13"/>
                <w:szCs w:val="13"/>
              </w:rPr>
            </w:pPr>
            <w:r w:rsidRPr="00640447">
              <w:rPr>
                <w:color w:val="000000"/>
                <w:sz w:val="13"/>
                <w:szCs w:val="13"/>
              </w:rPr>
              <w:t>Повышение надежности теплоснабжения</w:t>
            </w:r>
          </w:p>
        </w:tc>
        <w:tc>
          <w:tcPr>
            <w:tcW w:w="360" w:type="pct"/>
            <w:tcBorders>
              <w:top w:val="nil"/>
              <w:left w:val="nil"/>
              <w:bottom w:val="single" w:sz="4" w:space="0" w:color="auto"/>
              <w:right w:val="single" w:sz="4" w:space="0" w:color="auto"/>
            </w:tcBorders>
            <w:shd w:val="clear" w:color="auto" w:fill="auto"/>
            <w:vAlign w:val="center"/>
          </w:tcPr>
          <w:p w14:paraId="0A35CCFD" w14:textId="77777777" w:rsidR="004A0123" w:rsidRPr="00640447" w:rsidRDefault="004A0123" w:rsidP="008A5C11">
            <w:pPr>
              <w:jc w:val="center"/>
              <w:rPr>
                <w:color w:val="000000"/>
                <w:sz w:val="13"/>
                <w:szCs w:val="13"/>
              </w:rPr>
            </w:pPr>
            <w:r w:rsidRPr="00640447">
              <w:rPr>
                <w:color w:val="000000"/>
                <w:sz w:val="13"/>
                <w:szCs w:val="13"/>
              </w:rPr>
              <w:t xml:space="preserve">г. Ленинск-Кузнецкий, </w:t>
            </w:r>
          </w:p>
          <w:p w14:paraId="4D05C440" w14:textId="77777777" w:rsidR="004A0123" w:rsidRPr="00640447" w:rsidRDefault="004A0123" w:rsidP="008A5C11">
            <w:pPr>
              <w:jc w:val="center"/>
              <w:rPr>
                <w:color w:val="000000"/>
                <w:sz w:val="13"/>
                <w:szCs w:val="13"/>
              </w:rPr>
            </w:pPr>
            <w:r w:rsidRPr="00640447">
              <w:rPr>
                <w:color w:val="000000"/>
                <w:sz w:val="13"/>
                <w:szCs w:val="13"/>
              </w:rPr>
              <w:t>ул. Телефонная, 9</w:t>
            </w:r>
          </w:p>
        </w:tc>
        <w:tc>
          <w:tcPr>
            <w:tcW w:w="338" w:type="pct"/>
            <w:tcBorders>
              <w:top w:val="nil"/>
              <w:left w:val="nil"/>
              <w:bottom w:val="single" w:sz="4" w:space="0" w:color="auto"/>
              <w:right w:val="single" w:sz="4" w:space="0" w:color="auto"/>
            </w:tcBorders>
            <w:shd w:val="clear" w:color="auto" w:fill="auto"/>
            <w:vAlign w:val="center"/>
          </w:tcPr>
          <w:p w14:paraId="7146A9E2" w14:textId="77777777" w:rsidR="004A0123" w:rsidRPr="00640447" w:rsidRDefault="004A0123" w:rsidP="008A5C11">
            <w:pPr>
              <w:jc w:val="center"/>
              <w:rPr>
                <w:sz w:val="13"/>
                <w:szCs w:val="13"/>
              </w:rPr>
            </w:pPr>
            <w:proofErr w:type="gramStart"/>
            <w:r w:rsidRPr="00640447">
              <w:rPr>
                <w:sz w:val="13"/>
                <w:szCs w:val="13"/>
              </w:rPr>
              <w:t>Производитель-ность</w:t>
            </w:r>
            <w:proofErr w:type="gramEnd"/>
          </w:p>
        </w:tc>
        <w:tc>
          <w:tcPr>
            <w:tcW w:w="116" w:type="pct"/>
            <w:tcBorders>
              <w:top w:val="nil"/>
              <w:left w:val="nil"/>
              <w:bottom w:val="single" w:sz="4" w:space="0" w:color="auto"/>
              <w:right w:val="single" w:sz="4" w:space="0" w:color="auto"/>
            </w:tcBorders>
            <w:shd w:val="clear" w:color="auto" w:fill="auto"/>
            <w:vAlign w:val="center"/>
          </w:tcPr>
          <w:p w14:paraId="3EF02CC0" w14:textId="77777777" w:rsidR="004A0123" w:rsidRPr="00640447" w:rsidRDefault="004A0123" w:rsidP="008A5C11">
            <w:pPr>
              <w:jc w:val="center"/>
              <w:rPr>
                <w:sz w:val="13"/>
                <w:szCs w:val="13"/>
              </w:rPr>
            </w:pPr>
            <w:r w:rsidRPr="00640447">
              <w:rPr>
                <w:sz w:val="13"/>
                <w:szCs w:val="13"/>
              </w:rPr>
              <w:t>м</w:t>
            </w:r>
            <w:r w:rsidRPr="00640447">
              <w:rPr>
                <w:sz w:val="13"/>
                <w:szCs w:val="13"/>
                <w:vertAlign w:val="superscript"/>
              </w:rPr>
              <w:t>3</w:t>
            </w:r>
            <w:r w:rsidRPr="00640447">
              <w:rPr>
                <w:sz w:val="13"/>
                <w:szCs w:val="13"/>
              </w:rPr>
              <w:t>/ч</w:t>
            </w:r>
          </w:p>
        </w:tc>
        <w:tc>
          <w:tcPr>
            <w:tcW w:w="182" w:type="pct"/>
            <w:tcBorders>
              <w:top w:val="nil"/>
              <w:left w:val="single" w:sz="4" w:space="0" w:color="auto"/>
              <w:bottom w:val="single" w:sz="4" w:space="0" w:color="auto"/>
              <w:right w:val="single" w:sz="4" w:space="0" w:color="auto"/>
            </w:tcBorders>
            <w:shd w:val="clear" w:color="auto" w:fill="auto"/>
            <w:vAlign w:val="center"/>
          </w:tcPr>
          <w:p w14:paraId="1EF1A016" w14:textId="77777777" w:rsidR="004A0123" w:rsidRPr="00640447" w:rsidRDefault="004A0123" w:rsidP="008A5C11">
            <w:pPr>
              <w:jc w:val="center"/>
              <w:rPr>
                <w:sz w:val="13"/>
                <w:szCs w:val="13"/>
              </w:rPr>
            </w:pPr>
            <w:r w:rsidRPr="00640447">
              <w:rPr>
                <w:sz w:val="13"/>
                <w:szCs w:val="13"/>
              </w:rPr>
              <w:t>4515</w:t>
            </w:r>
          </w:p>
        </w:tc>
        <w:tc>
          <w:tcPr>
            <w:tcW w:w="174" w:type="pct"/>
            <w:tcBorders>
              <w:top w:val="nil"/>
              <w:left w:val="nil"/>
              <w:bottom w:val="single" w:sz="4" w:space="0" w:color="auto"/>
              <w:right w:val="single" w:sz="4" w:space="0" w:color="auto"/>
            </w:tcBorders>
            <w:shd w:val="clear" w:color="auto" w:fill="auto"/>
            <w:vAlign w:val="center"/>
          </w:tcPr>
          <w:p w14:paraId="369739C5" w14:textId="77777777" w:rsidR="004A0123" w:rsidRPr="00640447" w:rsidRDefault="004A0123" w:rsidP="008A5C11">
            <w:pPr>
              <w:jc w:val="center"/>
              <w:rPr>
                <w:sz w:val="13"/>
                <w:szCs w:val="13"/>
              </w:rPr>
            </w:pPr>
            <w:r w:rsidRPr="00640447">
              <w:rPr>
                <w:sz w:val="13"/>
                <w:szCs w:val="13"/>
              </w:rPr>
              <w:t>4515</w:t>
            </w:r>
          </w:p>
        </w:tc>
        <w:tc>
          <w:tcPr>
            <w:tcW w:w="189" w:type="pct"/>
            <w:tcBorders>
              <w:top w:val="nil"/>
              <w:left w:val="nil"/>
              <w:bottom w:val="single" w:sz="4" w:space="0" w:color="auto"/>
              <w:right w:val="single" w:sz="4" w:space="0" w:color="auto"/>
            </w:tcBorders>
            <w:shd w:val="clear" w:color="auto" w:fill="auto"/>
            <w:vAlign w:val="center"/>
          </w:tcPr>
          <w:p w14:paraId="629002DF" w14:textId="77777777" w:rsidR="004A0123" w:rsidRPr="00640447" w:rsidRDefault="004A0123" w:rsidP="008A5C11">
            <w:pPr>
              <w:jc w:val="center"/>
              <w:rPr>
                <w:sz w:val="13"/>
                <w:szCs w:val="13"/>
              </w:rPr>
            </w:pPr>
            <w:r w:rsidRPr="00640447">
              <w:rPr>
                <w:sz w:val="13"/>
                <w:szCs w:val="13"/>
              </w:rPr>
              <w:t>2020</w:t>
            </w:r>
          </w:p>
        </w:tc>
        <w:tc>
          <w:tcPr>
            <w:tcW w:w="184" w:type="pct"/>
            <w:tcBorders>
              <w:top w:val="nil"/>
              <w:left w:val="nil"/>
              <w:bottom w:val="single" w:sz="4" w:space="0" w:color="auto"/>
              <w:right w:val="single" w:sz="4" w:space="0" w:color="auto"/>
            </w:tcBorders>
            <w:shd w:val="clear" w:color="auto" w:fill="auto"/>
            <w:vAlign w:val="center"/>
          </w:tcPr>
          <w:p w14:paraId="49CB09B7" w14:textId="77777777" w:rsidR="004A0123" w:rsidRPr="00640447" w:rsidRDefault="004A0123" w:rsidP="008A5C11">
            <w:pPr>
              <w:jc w:val="center"/>
              <w:rPr>
                <w:sz w:val="13"/>
                <w:szCs w:val="13"/>
              </w:rPr>
            </w:pPr>
            <w:r w:rsidRPr="00640447">
              <w:rPr>
                <w:sz w:val="13"/>
                <w:szCs w:val="13"/>
              </w:rPr>
              <w:t>2021</w:t>
            </w:r>
          </w:p>
        </w:tc>
        <w:tc>
          <w:tcPr>
            <w:tcW w:w="180" w:type="pct"/>
            <w:tcBorders>
              <w:top w:val="nil"/>
              <w:left w:val="nil"/>
              <w:bottom w:val="single" w:sz="4" w:space="0" w:color="auto"/>
              <w:right w:val="single" w:sz="4" w:space="0" w:color="auto"/>
            </w:tcBorders>
            <w:shd w:val="clear" w:color="auto" w:fill="auto"/>
            <w:vAlign w:val="center"/>
          </w:tcPr>
          <w:p w14:paraId="0D40901E" w14:textId="77777777" w:rsidR="004A0123" w:rsidRPr="00640447" w:rsidRDefault="004A0123" w:rsidP="008A5C11">
            <w:pPr>
              <w:jc w:val="center"/>
              <w:rPr>
                <w:sz w:val="13"/>
                <w:szCs w:val="13"/>
              </w:rPr>
            </w:pPr>
            <w:r w:rsidRPr="00640447">
              <w:rPr>
                <w:sz w:val="13"/>
                <w:szCs w:val="13"/>
              </w:rPr>
              <w:t>27160</w:t>
            </w:r>
          </w:p>
        </w:tc>
        <w:tc>
          <w:tcPr>
            <w:tcW w:w="187" w:type="pct"/>
            <w:tcBorders>
              <w:top w:val="nil"/>
              <w:left w:val="nil"/>
              <w:bottom w:val="single" w:sz="4" w:space="0" w:color="auto"/>
              <w:right w:val="single" w:sz="4" w:space="0" w:color="auto"/>
            </w:tcBorders>
            <w:shd w:val="clear" w:color="auto" w:fill="auto"/>
            <w:vAlign w:val="center"/>
          </w:tcPr>
          <w:p w14:paraId="00E59230" w14:textId="77777777" w:rsidR="004A0123" w:rsidRPr="00640447" w:rsidRDefault="004A0123" w:rsidP="008A5C11">
            <w:pPr>
              <w:jc w:val="center"/>
              <w:rPr>
                <w:sz w:val="13"/>
                <w:szCs w:val="13"/>
              </w:rPr>
            </w:pPr>
            <w:r w:rsidRPr="00640447">
              <w:rPr>
                <w:sz w:val="13"/>
                <w:szCs w:val="13"/>
              </w:rPr>
              <w:t>0</w:t>
            </w:r>
          </w:p>
        </w:tc>
        <w:tc>
          <w:tcPr>
            <w:tcW w:w="146" w:type="pct"/>
            <w:tcBorders>
              <w:top w:val="nil"/>
              <w:left w:val="single" w:sz="4" w:space="0" w:color="auto"/>
              <w:bottom w:val="single" w:sz="4" w:space="0" w:color="auto"/>
              <w:right w:val="single" w:sz="4" w:space="0" w:color="auto"/>
            </w:tcBorders>
            <w:shd w:val="clear" w:color="auto" w:fill="auto"/>
            <w:vAlign w:val="center"/>
          </w:tcPr>
          <w:p w14:paraId="0225F343" w14:textId="77777777" w:rsidR="004A0123" w:rsidRPr="00640447" w:rsidRDefault="004A0123" w:rsidP="008A5C11">
            <w:pPr>
              <w:jc w:val="center"/>
              <w:rPr>
                <w:sz w:val="13"/>
                <w:szCs w:val="13"/>
              </w:rPr>
            </w:pPr>
            <w:r w:rsidRPr="00640447">
              <w:rPr>
                <w:sz w:val="13"/>
                <w:szCs w:val="13"/>
              </w:rPr>
              <w:t>0</w:t>
            </w:r>
          </w:p>
        </w:tc>
        <w:tc>
          <w:tcPr>
            <w:tcW w:w="149" w:type="pct"/>
            <w:tcBorders>
              <w:top w:val="nil"/>
              <w:left w:val="nil"/>
              <w:bottom w:val="single" w:sz="4" w:space="0" w:color="auto"/>
              <w:right w:val="single" w:sz="4" w:space="0" w:color="auto"/>
            </w:tcBorders>
            <w:shd w:val="clear" w:color="auto" w:fill="auto"/>
            <w:vAlign w:val="center"/>
          </w:tcPr>
          <w:p w14:paraId="04F2112F" w14:textId="77777777" w:rsidR="004A0123" w:rsidRPr="00640447" w:rsidRDefault="004A0123" w:rsidP="008A5C11">
            <w:pPr>
              <w:jc w:val="center"/>
              <w:rPr>
                <w:sz w:val="13"/>
                <w:szCs w:val="13"/>
              </w:rPr>
            </w:pPr>
            <w:r w:rsidRPr="00640447">
              <w:rPr>
                <w:sz w:val="13"/>
                <w:szCs w:val="13"/>
              </w:rPr>
              <w:t>26482</w:t>
            </w:r>
          </w:p>
        </w:tc>
        <w:tc>
          <w:tcPr>
            <w:tcW w:w="183" w:type="pct"/>
            <w:tcBorders>
              <w:top w:val="nil"/>
              <w:left w:val="nil"/>
              <w:bottom w:val="single" w:sz="4" w:space="0" w:color="auto"/>
              <w:right w:val="single" w:sz="4" w:space="0" w:color="auto"/>
            </w:tcBorders>
            <w:shd w:val="clear" w:color="auto" w:fill="auto"/>
            <w:vAlign w:val="center"/>
          </w:tcPr>
          <w:p w14:paraId="5589EDC2" w14:textId="77777777" w:rsidR="004A0123" w:rsidRPr="00640447" w:rsidRDefault="004A0123" w:rsidP="008A5C11">
            <w:pPr>
              <w:jc w:val="center"/>
              <w:rPr>
                <w:sz w:val="13"/>
                <w:szCs w:val="13"/>
              </w:rPr>
            </w:pPr>
            <w:r w:rsidRPr="00640447">
              <w:rPr>
                <w:sz w:val="13"/>
                <w:szCs w:val="13"/>
              </w:rPr>
              <w:t>678</w:t>
            </w:r>
          </w:p>
        </w:tc>
        <w:tc>
          <w:tcPr>
            <w:tcW w:w="183" w:type="pct"/>
            <w:tcBorders>
              <w:top w:val="nil"/>
              <w:left w:val="nil"/>
              <w:bottom w:val="single" w:sz="4" w:space="0" w:color="auto"/>
              <w:right w:val="single" w:sz="4" w:space="0" w:color="auto"/>
            </w:tcBorders>
            <w:shd w:val="clear" w:color="auto" w:fill="auto"/>
            <w:vAlign w:val="center"/>
          </w:tcPr>
          <w:p w14:paraId="27730716" w14:textId="77777777" w:rsidR="004A0123" w:rsidRPr="00640447" w:rsidRDefault="004A0123" w:rsidP="008A5C11">
            <w:pPr>
              <w:jc w:val="center"/>
              <w:rPr>
                <w:sz w:val="13"/>
                <w:szCs w:val="13"/>
              </w:rPr>
            </w:pPr>
            <w:r w:rsidRPr="00640447">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02E3AF09" w14:textId="77777777" w:rsidR="004A0123" w:rsidRPr="00640447" w:rsidRDefault="004A0123" w:rsidP="008A5C11">
            <w:pPr>
              <w:jc w:val="center"/>
              <w:rPr>
                <w:sz w:val="13"/>
                <w:szCs w:val="13"/>
              </w:rPr>
            </w:pPr>
            <w:r w:rsidRPr="00640447">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73BEB027" w14:textId="77777777" w:rsidR="004A0123" w:rsidRPr="00640447" w:rsidRDefault="004A0123" w:rsidP="008A5C11">
            <w:pPr>
              <w:jc w:val="center"/>
              <w:rPr>
                <w:sz w:val="13"/>
                <w:szCs w:val="13"/>
              </w:rPr>
            </w:pPr>
            <w:r w:rsidRPr="00640447">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7578B7BC" w14:textId="77777777" w:rsidR="004A0123" w:rsidRPr="00640447" w:rsidRDefault="004A0123" w:rsidP="008A5C11">
            <w:pPr>
              <w:jc w:val="center"/>
              <w:rPr>
                <w:sz w:val="13"/>
                <w:szCs w:val="13"/>
              </w:rPr>
            </w:pPr>
            <w:r w:rsidRPr="00640447">
              <w:rPr>
                <w:sz w:val="13"/>
                <w:szCs w:val="13"/>
              </w:rPr>
              <w:t>0</w:t>
            </w:r>
          </w:p>
        </w:tc>
        <w:tc>
          <w:tcPr>
            <w:tcW w:w="174" w:type="pct"/>
            <w:tcBorders>
              <w:top w:val="single" w:sz="4" w:space="0" w:color="auto"/>
              <w:left w:val="single" w:sz="4" w:space="0" w:color="auto"/>
              <w:bottom w:val="single" w:sz="4" w:space="0" w:color="auto"/>
              <w:right w:val="single" w:sz="4" w:space="0" w:color="auto"/>
            </w:tcBorders>
            <w:vAlign w:val="center"/>
          </w:tcPr>
          <w:p w14:paraId="332DA9E6" w14:textId="77777777" w:rsidR="004A0123" w:rsidRPr="00640447" w:rsidRDefault="004A0123" w:rsidP="008A5C11">
            <w:pPr>
              <w:jc w:val="center"/>
              <w:rPr>
                <w:sz w:val="13"/>
                <w:szCs w:val="13"/>
              </w:rPr>
            </w:pPr>
            <w:r w:rsidRPr="00640447">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79DBA71B" w14:textId="77777777" w:rsidR="004A0123" w:rsidRPr="00640447" w:rsidRDefault="004A0123" w:rsidP="008A5C11">
            <w:pPr>
              <w:jc w:val="center"/>
              <w:rPr>
                <w:sz w:val="13"/>
                <w:szCs w:val="13"/>
              </w:rPr>
            </w:pPr>
            <w:r w:rsidRPr="00640447">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7AA6ACBE" w14:textId="77777777" w:rsidR="004A0123" w:rsidRPr="00640447" w:rsidRDefault="004A0123" w:rsidP="008A5C11">
            <w:pPr>
              <w:jc w:val="center"/>
              <w:rPr>
                <w:sz w:val="13"/>
                <w:szCs w:val="13"/>
              </w:rPr>
            </w:pPr>
            <w:r w:rsidRPr="00640447">
              <w:rPr>
                <w:sz w:val="13"/>
                <w:szCs w:val="13"/>
              </w:rPr>
              <w:t>0</w:t>
            </w:r>
          </w:p>
        </w:tc>
        <w:tc>
          <w:tcPr>
            <w:tcW w:w="188" w:type="pct"/>
            <w:tcBorders>
              <w:top w:val="single" w:sz="4" w:space="0" w:color="auto"/>
              <w:left w:val="single" w:sz="4" w:space="0" w:color="auto"/>
              <w:bottom w:val="single" w:sz="4" w:space="0" w:color="auto"/>
              <w:right w:val="single" w:sz="4" w:space="0" w:color="auto"/>
            </w:tcBorders>
            <w:vAlign w:val="center"/>
          </w:tcPr>
          <w:p w14:paraId="673DF1A1" w14:textId="77777777" w:rsidR="004A0123" w:rsidRPr="00640447" w:rsidRDefault="004A0123" w:rsidP="008A5C11">
            <w:pPr>
              <w:jc w:val="center"/>
              <w:rPr>
                <w:sz w:val="13"/>
                <w:szCs w:val="13"/>
              </w:rPr>
            </w:pPr>
            <w:r w:rsidRPr="00640447">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4E6B8A06" w14:textId="77777777" w:rsidR="004A0123" w:rsidRPr="00640447" w:rsidRDefault="004A0123" w:rsidP="008A5C11">
            <w:pPr>
              <w:jc w:val="center"/>
              <w:rPr>
                <w:sz w:val="13"/>
                <w:szCs w:val="13"/>
              </w:rPr>
            </w:pPr>
            <w:r w:rsidRPr="00640447">
              <w:rPr>
                <w:sz w:val="13"/>
                <w:szCs w:val="13"/>
              </w:rPr>
              <w:t>0</w:t>
            </w:r>
          </w:p>
        </w:tc>
      </w:tr>
      <w:tr w:rsidR="004A0123" w:rsidRPr="00640447" w14:paraId="06521CE0" w14:textId="77777777" w:rsidTr="008A5C11">
        <w:trPr>
          <w:trHeight w:val="489"/>
        </w:trPr>
        <w:tc>
          <w:tcPr>
            <w:tcW w:w="146" w:type="pct"/>
            <w:shd w:val="clear" w:color="auto" w:fill="auto"/>
            <w:vAlign w:val="center"/>
          </w:tcPr>
          <w:p w14:paraId="68BDB5E3" w14:textId="77777777" w:rsidR="004A0123" w:rsidRPr="00640447" w:rsidRDefault="004A0123" w:rsidP="008A5C11">
            <w:pPr>
              <w:jc w:val="center"/>
              <w:rPr>
                <w:sz w:val="13"/>
                <w:szCs w:val="13"/>
              </w:rPr>
            </w:pPr>
            <w:r w:rsidRPr="00640447">
              <w:rPr>
                <w:sz w:val="13"/>
                <w:szCs w:val="13"/>
              </w:rPr>
              <w:t>3.2.5.</w:t>
            </w:r>
          </w:p>
        </w:tc>
        <w:tc>
          <w:tcPr>
            <w:tcW w:w="616" w:type="pct"/>
            <w:tcBorders>
              <w:top w:val="nil"/>
              <w:left w:val="single" w:sz="4" w:space="0" w:color="auto"/>
              <w:bottom w:val="single" w:sz="4" w:space="0" w:color="auto"/>
              <w:right w:val="single" w:sz="4" w:space="0" w:color="auto"/>
            </w:tcBorders>
            <w:shd w:val="clear" w:color="auto" w:fill="auto"/>
            <w:vAlign w:val="center"/>
          </w:tcPr>
          <w:p w14:paraId="50F7C78A" w14:textId="77777777" w:rsidR="004A0123" w:rsidRPr="00640447" w:rsidRDefault="004A0123" w:rsidP="008A5C11">
            <w:pPr>
              <w:rPr>
                <w:color w:val="000000"/>
                <w:sz w:val="13"/>
                <w:szCs w:val="13"/>
              </w:rPr>
            </w:pPr>
            <w:r w:rsidRPr="00640447">
              <w:rPr>
                <w:color w:val="000000"/>
                <w:sz w:val="13"/>
                <w:szCs w:val="13"/>
              </w:rPr>
              <w:t>Котельная «КСК</w:t>
            </w:r>
            <w:proofErr w:type="gramStart"/>
            <w:r w:rsidRPr="00640447">
              <w:rPr>
                <w:color w:val="000000"/>
                <w:sz w:val="13"/>
                <w:szCs w:val="13"/>
              </w:rPr>
              <w:t>»..</w:t>
            </w:r>
            <w:proofErr w:type="gramEnd"/>
            <w:r w:rsidRPr="00640447">
              <w:rPr>
                <w:color w:val="000000"/>
                <w:sz w:val="13"/>
                <w:szCs w:val="13"/>
              </w:rPr>
              <w:t xml:space="preserve"> Проектирование и реконструкция гидравлической системы золошлакоудаления с устройством оборотного водоснабжения (емкость карты летнего намыва 15 300 куб м.- годовой объем)</w:t>
            </w:r>
          </w:p>
        </w:tc>
        <w:tc>
          <w:tcPr>
            <w:tcW w:w="359" w:type="pct"/>
            <w:tcBorders>
              <w:top w:val="nil"/>
              <w:left w:val="nil"/>
              <w:bottom w:val="single" w:sz="4" w:space="0" w:color="auto"/>
              <w:right w:val="single" w:sz="4" w:space="0" w:color="auto"/>
            </w:tcBorders>
            <w:shd w:val="clear" w:color="auto" w:fill="auto"/>
            <w:vAlign w:val="center"/>
          </w:tcPr>
          <w:p w14:paraId="4CAEDF8F" w14:textId="77777777" w:rsidR="004A0123" w:rsidRPr="00640447" w:rsidRDefault="004A0123" w:rsidP="008A5C11">
            <w:pPr>
              <w:jc w:val="center"/>
              <w:rPr>
                <w:color w:val="000000"/>
                <w:sz w:val="13"/>
                <w:szCs w:val="13"/>
              </w:rPr>
            </w:pPr>
            <w:r w:rsidRPr="00640447">
              <w:rPr>
                <w:color w:val="000000"/>
                <w:sz w:val="13"/>
                <w:szCs w:val="13"/>
              </w:rPr>
              <w:t>Повышение надежности теплоснабжения</w:t>
            </w:r>
          </w:p>
        </w:tc>
        <w:tc>
          <w:tcPr>
            <w:tcW w:w="360" w:type="pct"/>
            <w:tcBorders>
              <w:top w:val="nil"/>
              <w:left w:val="nil"/>
              <w:bottom w:val="single" w:sz="4" w:space="0" w:color="auto"/>
              <w:right w:val="single" w:sz="4" w:space="0" w:color="auto"/>
            </w:tcBorders>
            <w:shd w:val="clear" w:color="auto" w:fill="auto"/>
            <w:vAlign w:val="center"/>
          </w:tcPr>
          <w:p w14:paraId="6BC35666" w14:textId="77777777" w:rsidR="004A0123" w:rsidRPr="00640447" w:rsidRDefault="004A0123" w:rsidP="008A5C11">
            <w:pPr>
              <w:jc w:val="center"/>
              <w:rPr>
                <w:color w:val="000000"/>
                <w:sz w:val="13"/>
                <w:szCs w:val="13"/>
              </w:rPr>
            </w:pPr>
            <w:r w:rsidRPr="00640447">
              <w:rPr>
                <w:color w:val="000000"/>
                <w:sz w:val="13"/>
                <w:szCs w:val="13"/>
              </w:rPr>
              <w:t xml:space="preserve">г. Ленинск-Кузнецкий, </w:t>
            </w:r>
          </w:p>
          <w:p w14:paraId="3FD68502" w14:textId="77777777" w:rsidR="004A0123" w:rsidRPr="00640447" w:rsidRDefault="004A0123" w:rsidP="008A5C11">
            <w:pPr>
              <w:jc w:val="center"/>
              <w:rPr>
                <w:color w:val="000000"/>
                <w:sz w:val="13"/>
                <w:szCs w:val="13"/>
              </w:rPr>
            </w:pPr>
            <w:r w:rsidRPr="00640447">
              <w:rPr>
                <w:color w:val="000000"/>
                <w:sz w:val="13"/>
                <w:szCs w:val="13"/>
              </w:rPr>
              <w:t>ул. Телефонная, 9</w:t>
            </w:r>
          </w:p>
        </w:tc>
        <w:tc>
          <w:tcPr>
            <w:tcW w:w="338" w:type="pct"/>
            <w:tcBorders>
              <w:top w:val="nil"/>
              <w:left w:val="nil"/>
              <w:bottom w:val="single" w:sz="4" w:space="0" w:color="auto"/>
              <w:right w:val="single" w:sz="4" w:space="0" w:color="auto"/>
            </w:tcBorders>
            <w:shd w:val="clear" w:color="auto" w:fill="auto"/>
            <w:vAlign w:val="center"/>
          </w:tcPr>
          <w:p w14:paraId="23B9849B" w14:textId="77777777" w:rsidR="004A0123" w:rsidRPr="00640447" w:rsidRDefault="004A0123" w:rsidP="008A5C11">
            <w:pPr>
              <w:jc w:val="center"/>
              <w:rPr>
                <w:sz w:val="13"/>
                <w:szCs w:val="13"/>
              </w:rPr>
            </w:pPr>
            <w:r w:rsidRPr="00640447">
              <w:rPr>
                <w:sz w:val="13"/>
                <w:szCs w:val="13"/>
              </w:rPr>
              <w:t>Объем карты летнего намыва</w:t>
            </w:r>
          </w:p>
        </w:tc>
        <w:tc>
          <w:tcPr>
            <w:tcW w:w="116" w:type="pct"/>
            <w:tcBorders>
              <w:top w:val="nil"/>
              <w:left w:val="nil"/>
              <w:bottom w:val="single" w:sz="4" w:space="0" w:color="auto"/>
              <w:right w:val="single" w:sz="4" w:space="0" w:color="auto"/>
            </w:tcBorders>
            <w:shd w:val="clear" w:color="auto" w:fill="auto"/>
            <w:vAlign w:val="center"/>
          </w:tcPr>
          <w:p w14:paraId="1F20F0D9" w14:textId="77777777" w:rsidR="004A0123" w:rsidRPr="00640447" w:rsidRDefault="004A0123" w:rsidP="008A5C11">
            <w:pPr>
              <w:jc w:val="center"/>
              <w:rPr>
                <w:sz w:val="13"/>
                <w:szCs w:val="13"/>
              </w:rPr>
            </w:pPr>
            <w:r w:rsidRPr="00640447">
              <w:rPr>
                <w:sz w:val="13"/>
                <w:szCs w:val="13"/>
              </w:rPr>
              <w:t>тыс. м</w:t>
            </w:r>
            <w:r w:rsidRPr="00640447">
              <w:rPr>
                <w:sz w:val="13"/>
                <w:szCs w:val="13"/>
                <w:vertAlign w:val="superscript"/>
              </w:rPr>
              <w:t>3</w:t>
            </w:r>
          </w:p>
        </w:tc>
        <w:tc>
          <w:tcPr>
            <w:tcW w:w="182" w:type="pct"/>
            <w:tcBorders>
              <w:top w:val="nil"/>
              <w:left w:val="single" w:sz="4" w:space="0" w:color="auto"/>
              <w:bottom w:val="single" w:sz="4" w:space="0" w:color="auto"/>
              <w:right w:val="single" w:sz="4" w:space="0" w:color="auto"/>
            </w:tcBorders>
            <w:shd w:val="clear" w:color="auto" w:fill="auto"/>
            <w:vAlign w:val="center"/>
          </w:tcPr>
          <w:p w14:paraId="4DC473B2" w14:textId="77777777" w:rsidR="004A0123" w:rsidRPr="00640447" w:rsidRDefault="004A0123" w:rsidP="008A5C11">
            <w:pPr>
              <w:jc w:val="center"/>
              <w:rPr>
                <w:sz w:val="13"/>
                <w:szCs w:val="13"/>
              </w:rPr>
            </w:pPr>
            <w:r w:rsidRPr="00640447">
              <w:rPr>
                <w:sz w:val="13"/>
                <w:szCs w:val="13"/>
              </w:rPr>
              <w:t>0</w:t>
            </w:r>
          </w:p>
        </w:tc>
        <w:tc>
          <w:tcPr>
            <w:tcW w:w="174" w:type="pct"/>
            <w:tcBorders>
              <w:top w:val="nil"/>
              <w:left w:val="nil"/>
              <w:bottom w:val="single" w:sz="4" w:space="0" w:color="auto"/>
              <w:right w:val="single" w:sz="4" w:space="0" w:color="auto"/>
            </w:tcBorders>
            <w:shd w:val="clear" w:color="auto" w:fill="auto"/>
            <w:vAlign w:val="center"/>
          </w:tcPr>
          <w:p w14:paraId="04975CB8" w14:textId="77777777" w:rsidR="004A0123" w:rsidRPr="00640447" w:rsidRDefault="004A0123" w:rsidP="008A5C11">
            <w:pPr>
              <w:jc w:val="center"/>
              <w:rPr>
                <w:sz w:val="13"/>
                <w:szCs w:val="13"/>
              </w:rPr>
            </w:pPr>
            <w:r w:rsidRPr="00640447">
              <w:rPr>
                <w:sz w:val="13"/>
                <w:szCs w:val="13"/>
              </w:rPr>
              <w:t>15,3</w:t>
            </w:r>
          </w:p>
        </w:tc>
        <w:tc>
          <w:tcPr>
            <w:tcW w:w="189" w:type="pct"/>
            <w:tcBorders>
              <w:top w:val="nil"/>
              <w:left w:val="nil"/>
              <w:bottom w:val="single" w:sz="4" w:space="0" w:color="auto"/>
              <w:right w:val="single" w:sz="4" w:space="0" w:color="auto"/>
            </w:tcBorders>
            <w:shd w:val="clear" w:color="auto" w:fill="auto"/>
            <w:vAlign w:val="center"/>
          </w:tcPr>
          <w:p w14:paraId="3DCCA548" w14:textId="77777777" w:rsidR="004A0123" w:rsidRPr="00640447" w:rsidRDefault="004A0123" w:rsidP="008A5C11">
            <w:pPr>
              <w:jc w:val="center"/>
              <w:rPr>
                <w:sz w:val="13"/>
                <w:szCs w:val="13"/>
              </w:rPr>
            </w:pPr>
            <w:r w:rsidRPr="00640447">
              <w:rPr>
                <w:sz w:val="13"/>
                <w:szCs w:val="13"/>
              </w:rPr>
              <w:t>2025</w:t>
            </w:r>
          </w:p>
        </w:tc>
        <w:tc>
          <w:tcPr>
            <w:tcW w:w="184" w:type="pct"/>
            <w:tcBorders>
              <w:top w:val="nil"/>
              <w:left w:val="nil"/>
              <w:bottom w:val="single" w:sz="4" w:space="0" w:color="auto"/>
              <w:right w:val="single" w:sz="4" w:space="0" w:color="auto"/>
            </w:tcBorders>
            <w:shd w:val="clear" w:color="auto" w:fill="auto"/>
            <w:vAlign w:val="center"/>
          </w:tcPr>
          <w:p w14:paraId="6EED9BF6" w14:textId="77777777" w:rsidR="004A0123" w:rsidRPr="00640447" w:rsidRDefault="004A0123" w:rsidP="008A5C11">
            <w:pPr>
              <w:jc w:val="center"/>
              <w:rPr>
                <w:sz w:val="13"/>
                <w:szCs w:val="13"/>
              </w:rPr>
            </w:pPr>
            <w:r w:rsidRPr="00640447">
              <w:rPr>
                <w:sz w:val="13"/>
                <w:szCs w:val="13"/>
              </w:rPr>
              <w:t>2026</w:t>
            </w:r>
          </w:p>
        </w:tc>
        <w:tc>
          <w:tcPr>
            <w:tcW w:w="180" w:type="pct"/>
            <w:tcBorders>
              <w:top w:val="nil"/>
              <w:left w:val="nil"/>
              <w:bottom w:val="single" w:sz="4" w:space="0" w:color="auto"/>
              <w:right w:val="single" w:sz="4" w:space="0" w:color="auto"/>
            </w:tcBorders>
            <w:shd w:val="clear" w:color="auto" w:fill="auto"/>
            <w:vAlign w:val="center"/>
          </w:tcPr>
          <w:p w14:paraId="2C852048" w14:textId="77777777" w:rsidR="004A0123" w:rsidRPr="00640447" w:rsidRDefault="004A0123" w:rsidP="008A5C11">
            <w:pPr>
              <w:jc w:val="center"/>
              <w:rPr>
                <w:sz w:val="13"/>
                <w:szCs w:val="13"/>
              </w:rPr>
            </w:pPr>
            <w:r w:rsidRPr="00640447">
              <w:rPr>
                <w:sz w:val="13"/>
                <w:szCs w:val="13"/>
              </w:rPr>
              <w:t>274418</w:t>
            </w:r>
          </w:p>
        </w:tc>
        <w:tc>
          <w:tcPr>
            <w:tcW w:w="187" w:type="pct"/>
            <w:tcBorders>
              <w:top w:val="nil"/>
              <w:left w:val="nil"/>
              <w:bottom w:val="single" w:sz="4" w:space="0" w:color="auto"/>
              <w:right w:val="single" w:sz="4" w:space="0" w:color="auto"/>
            </w:tcBorders>
            <w:shd w:val="clear" w:color="auto" w:fill="auto"/>
            <w:vAlign w:val="center"/>
          </w:tcPr>
          <w:p w14:paraId="0A344400" w14:textId="77777777" w:rsidR="004A0123" w:rsidRPr="00640447" w:rsidRDefault="004A0123" w:rsidP="008A5C11">
            <w:pPr>
              <w:jc w:val="center"/>
              <w:rPr>
                <w:sz w:val="13"/>
                <w:szCs w:val="13"/>
              </w:rPr>
            </w:pPr>
            <w:r w:rsidRPr="00640447">
              <w:rPr>
                <w:sz w:val="13"/>
                <w:szCs w:val="13"/>
              </w:rPr>
              <w:t>0</w:t>
            </w:r>
          </w:p>
        </w:tc>
        <w:tc>
          <w:tcPr>
            <w:tcW w:w="146" w:type="pct"/>
            <w:tcBorders>
              <w:top w:val="nil"/>
              <w:left w:val="single" w:sz="4" w:space="0" w:color="auto"/>
              <w:bottom w:val="single" w:sz="4" w:space="0" w:color="auto"/>
              <w:right w:val="single" w:sz="4" w:space="0" w:color="auto"/>
            </w:tcBorders>
            <w:shd w:val="clear" w:color="auto" w:fill="auto"/>
            <w:vAlign w:val="center"/>
          </w:tcPr>
          <w:p w14:paraId="12215F50" w14:textId="77777777" w:rsidR="004A0123" w:rsidRPr="00640447" w:rsidRDefault="004A0123" w:rsidP="008A5C11">
            <w:pPr>
              <w:jc w:val="center"/>
              <w:rPr>
                <w:sz w:val="13"/>
                <w:szCs w:val="13"/>
              </w:rPr>
            </w:pPr>
            <w:r w:rsidRPr="00640447">
              <w:rPr>
                <w:sz w:val="13"/>
                <w:szCs w:val="13"/>
              </w:rPr>
              <w:t>0</w:t>
            </w:r>
          </w:p>
        </w:tc>
        <w:tc>
          <w:tcPr>
            <w:tcW w:w="149" w:type="pct"/>
            <w:tcBorders>
              <w:top w:val="nil"/>
              <w:left w:val="nil"/>
              <w:bottom w:val="single" w:sz="4" w:space="0" w:color="auto"/>
              <w:right w:val="single" w:sz="4" w:space="0" w:color="auto"/>
            </w:tcBorders>
            <w:shd w:val="clear" w:color="auto" w:fill="auto"/>
            <w:vAlign w:val="center"/>
          </w:tcPr>
          <w:p w14:paraId="25523317" w14:textId="77777777" w:rsidR="004A0123" w:rsidRPr="00640447" w:rsidRDefault="004A0123" w:rsidP="008A5C11">
            <w:pPr>
              <w:jc w:val="center"/>
              <w:rPr>
                <w:sz w:val="13"/>
                <w:szCs w:val="13"/>
              </w:rPr>
            </w:pPr>
            <w:r w:rsidRPr="00640447">
              <w:rPr>
                <w:sz w:val="13"/>
                <w:szCs w:val="13"/>
              </w:rPr>
              <w:t>0</w:t>
            </w:r>
          </w:p>
        </w:tc>
        <w:tc>
          <w:tcPr>
            <w:tcW w:w="183" w:type="pct"/>
            <w:tcBorders>
              <w:top w:val="nil"/>
              <w:left w:val="nil"/>
              <w:bottom w:val="single" w:sz="4" w:space="0" w:color="auto"/>
              <w:right w:val="single" w:sz="4" w:space="0" w:color="auto"/>
            </w:tcBorders>
            <w:shd w:val="clear" w:color="auto" w:fill="auto"/>
            <w:vAlign w:val="center"/>
          </w:tcPr>
          <w:p w14:paraId="5D7EC794" w14:textId="77777777" w:rsidR="004A0123" w:rsidRPr="00640447" w:rsidRDefault="004A0123" w:rsidP="008A5C11">
            <w:pPr>
              <w:jc w:val="center"/>
              <w:rPr>
                <w:sz w:val="13"/>
                <w:szCs w:val="13"/>
              </w:rPr>
            </w:pPr>
            <w:r w:rsidRPr="00640447">
              <w:rPr>
                <w:sz w:val="13"/>
                <w:szCs w:val="13"/>
              </w:rPr>
              <w:t>0</w:t>
            </w:r>
          </w:p>
        </w:tc>
        <w:tc>
          <w:tcPr>
            <w:tcW w:w="183" w:type="pct"/>
            <w:tcBorders>
              <w:top w:val="nil"/>
              <w:left w:val="nil"/>
              <w:bottom w:val="single" w:sz="4" w:space="0" w:color="auto"/>
              <w:right w:val="single" w:sz="4" w:space="0" w:color="auto"/>
            </w:tcBorders>
            <w:shd w:val="clear" w:color="auto" w:fill="auto"/>
            <w:vAlign w:val="center"/>
          </w:tcPr>
          <w:p w14:paraId="63BB6AE1" w14:textId="77777777" w:rsidR="004A0123" w:rsidRPr="00640447" w:rsidRDefault="004A0123" w:rsidP="008A5C11">
            <w:pPr>
              <w:jc w:val="center"/>
              <w:rPr>
                <w:sz w:val="13"/>
                <w:szCs w:val="13"/>
              </w:rPr>
            </w:pPr>
            <w:r w:rsidRPr="00640447">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28002C15" w14:textId="77777777" w:rsidR="004A0123" w:rsidRPr="00640447" w:rsidRDefault="004A0123" w:rsidP="008A5C11">
            <w:pPr>
              <w:jc w:val="center"/>
              <w:rPr>
                <w:sz w:val="13"/>
                <w:szCs w:val="13"/>
              </w:rPr>
            </w:pPr>
            <w:r w:rsidRPr="00640447">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29A7DC26" w14:textId="77777777" w:rsidR="004A0123" w:rsidRPr="00640447" w:rsidRDefault="004A0123" w:rsidP="008A5C11">
            <w:pPr>
              <w:jc w:val="center"/>
              <w:rPr>
                <w:sz w:val="13"/>
                <w:szCs w:val="13"/>
              </w:rPr>
            </w:pPr>
            <w:r w:rsidRPr="00640447">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27B57253" w14:textId="77777777" w:rsidR="004A0123" w:rsidRPr="00640447" w:rsidRDefault="004A0123" w:rsidP="008A5C11">
            <w:pPr>
              <w:jc w:val="center"/>
              <w:rPr>
                <w:sz w:val="13"/>
                <w:szCs w:val="13"/>
              </w:rPr>
            </w:pPr>
            <w:r w:rsidRPr="00640447">
              <w:rPr>
                <w:sz w:val="13"/>
                <w:szCs w:val="13"/>
              </w:rPr>
              <w:t>89934</w:t>
            </w:r>
          </w:p>
        </w:tc>
        <w:tc>
          <w:tcPr>
            <w:tcW w:w="174" w:type="pct"/>
            <w:tcBorders>
              <w:top w:val="single" w:sz="4" w:space="0" w:color="auto"/>
              <w:left w:val="single" w:sz="4" w:space="0" w:color="auto"/>
              <w:bottom w:val="single" w:sz="4" w:space="0" w:color="auto"/>
              <w:right w:val="single" w:sz="4" w:space="0" w:color="auto"/>
            </w:tcBorders>
            <w:vAlign w:val="center"/>
          </w:tcPr>
          <w:p w14:paraId="76EFAFCB" w14:textId="77777777" w:rsidR="004A0123" w:rsidRPr="00640447" w:rsidRDefault="004A0123" w:rsidP="008A5C11">
            <w:pPr>
              <w:jc w:val="center"/>
              <w:rPr>
                <w:sz w:val="13"/>
                <w:szCs w:val="13"/>
              </w:rPr>
            </w:pPr>
            <w:r w:rsidRPr="00640447">
              <w:rPr>
                <w:sz w:val="13"/>
                <w:szCs w:val="13"/>
              </w:rPr>
              <w:t>184484</w:t>
            </w:r>
          </w:p>
        </w:tc>
        <w:tc>
          <w:tcPr>
            <w:tcW w:w="156" w:type="pct"/>
            <w:tcBorders>
              <w:top w:val="single" w:sz="4" w:space="0" w:color="auto"/>
              <w:left w:val="single" w:sz="4" w:space="0" w:color="auto"/>
              <w:bottom w:val="single" w:sz="4" w:space="0" w:color="auto"/>
              <w:right w:val="single" w:sz="4" w:space="0" w:color="auto"/>
            </w:tcBorders>
            <w:vAlign w:val="center"/>
          </w:tcPr>
          <w:p w14:paraId="6437F030" w14:textId="77777777" w:rsidR="004A0123" w:rsidRPr="00640447" w:rsidRDefault="004A0123" w:rsidP="008A5C11">
            <w:pPr>
              <w:jc w:val="center"/>
              <w:rPr>
                <w:sz w:val="13"/>
                <w:szCs w:val="13"/>
              </w:rPr>
            </w:pPr>
            <w:r w:rsidRPr="00640447">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51063B93" w14:textId="77777777" w:rsidR="004A0123" w:rsidRPr="00640447" w:rsidRDefault="004A0123" w:rsidP="008A5C11">
            <w:pPr>
              <w:jc w:val="center"/>
              <w:rPr>
                <w:sz w:val="13"/>
                <w:szCs w:val="13"/>
              </w:rPr>
            </w:pPr>
            <w:r w:rsidRPr="00640447">
              <w:rPr>
                <w:sz w:val="13"/>
                <w:szCs w:val="13"/>
              </w:rPr>
              <w:t>0</w:t>
            </w:r>
          </w:p>
        </w:tc>
        <w:tc>
          <w:tcPr>
            <w:tcW w:w="188" w:type="pct"/>
            <w:tcBorders>
              <w:top w:val="single" w:sz="4" w:space="0" w:color="auto"/>
              <w:left w:val="single" w:sz="4" w:space="0" w:color="auto"/>
              <w:bottom w:val="single" w:sz="4" w:space="0" w:color="auto"/>
              <w:right w:val="single" w:sz="4" w:space="0" w:color="auto"/>
            </w:tcBorders>
            <w:vAlign w:val="center"/>
          </w:tcPr>
          <w:p w14:paraId="772863F2" w14:textId="77777777" w:rsidR="004A0123" w:rsidRPr="00640447" w:rsidRDefault="004A0123" w:rsidP="008A5C11">
            <w:pPr>
              <w:jc w:val="center"/>
              <w:rPr>
                <w:sz w:val="13"/>
                <w:szCs w:val="13"/>
              </w:rPr>
            </w:pPr>
            <w:r w:rsidRPr="00640447">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638F2A2E" w14:textId="77777777" w:rsidR="004A0123" w:rsidRPr="00640447" w:rsidRDefault="004A0123" w:rsidP="008A5C11">
            <w:pPr>
              <w:jc w:val="center"/>
              <w:rPr>
                <w:sz w:val="13"/>
                <w:szCs w:val="13"/>
              </w:rPr>
            </w:pPr>
            <w:r w:rsidRPr="00640447">
              <w:rPr>
                <w:sz w:val="13"/>
                <w:szCs w:val="13"/>
              </w:rPr>
              <w:t>0</w:t>
            </w:r>
          </w:p>
        </w:tc>
      </w:tr>
      <w:tr w:rsidR="004A0123" w:rsidRPr="00640447" w14:paraId="037C2B98" w14:textId="77777777" w:rsidTr="008A5C11">
        <w:trPr>
          <w:trHeight w:val="489"/>
        </w:trPr>
        <w:tc>
          <w:tcPr>
            <w:tcW w:w="146" w:type="pct"/>
            <w:shd w:val="clear" w:color="auto" w:fill="auto"/>
            <w:vAlign w:val="center"/>
          </w:tcPr>
          <w:p w14:paraId="172A8203" w14:textId="77777777" w:rsidR="004A0123" w:rsidRPr="00640447" w:rsidRDefault="004A0123" w:rsidP="008A5C11">
            <w:pPr>
              <w:jc w:val="center"/>
              <w:rPr>
                <w:sz w:val="13"/>
                <w:szCs w:val="13"/>
              </w:rPr>
            </w:pPr>
            <w:r w:rsidRPr="00640447">
              <w:rPr>
                <w:sz w:val="13"/>
                <w:szCs w:val="13"/>
              </w:rPr>
              <w:t>3.2.6.</w:t>
            </w:r>
          </w:p>
        </w:tc>
        <w:tc>
          <w:tcPr>
            <w:tcW w:w="616" w:type="pct"/>
            <w:tcBorders>
              <w:top w:val="nil"/>
              <w:left w:val="single" w:sz="4" w:space="0" w:color="auto"/>
              <w:bottom w:val="single" w:sz="4" w:space="0" w:color="auto"/>
              <w:right w:val="single" w:sz="4" w:space="0" w:color="auto"/>
            </w:tcBorders>
            <w:shd w:val="clear" w:color="auto" w:fill="auto"/>
            <w:vAlign w:val="center"/>
          </w:tcPr>
          <w:p w14:paraId="54CA6F40" w14:textId="77777777" w:rsidR="004A0123" w:rsidRPr="00640447" w:rsidRDefault="004A0123" w:rsidP="008A5C11">
            <w:pPr>
              <w:rPr>
                <w:color w:val="000000"/>
                <w:sz w:val="13"/>
                <w:szCs w:val="13"/>
              </w:rPr>
            </w:pPr>
            <w:r w:rsidRPr="00640447">
              <w:rPr>
                <w:color w:val="000000"/>
                <w:sz w:val="13"/>
                <w:szCs w:val="13"/>
              </w:rPr>
              <w:t>Котельная «КСК». Проектирование и установка системы газоочистки</w:t>
            </w:r>
          </w:p>
        </w:tc>
        <w:tc>
          <w:tcPr>
            <w:tcW w:w="359" w:type="pct"/>
            <w:tcBorders>
              <w:top w:val="nil"/>
              <w:left w:val="nil"/>
              <w:bottom w:val="single" w:sz="4" w:space="0" w:color="auto"/>
              <w:right w:val="single" w:sz="4" w:space="0" w:color="auto"/>
            </w:tcBorders>
            <w:shd w:val="clear" w:color="auto" w:fill="auto"/>
            <w:vAlign w:val="center"/>
          </w:tcPr>
          <w:p w14:paraId="751AD2FF" w14:textId="77777777" w:rsidR="004A0123" w:rsidRPr="00640447" w:rsidRDefault="004A0123" w:rsidP="008A5C11">
            <w:pPr>
              <w:jc w:val="center"/>
              <w:rPr>
                <w:color w:val="000000"/>
                <w:sz w:val="13"/>
                <w:szCs w:val="13"/>
              </w:rPr>
            </w:pPr>
            <w:r w:rsidRPr="00640447">
              <w:rPr>
                <w:color w:val="000000"/>
                <w:sz w:val="13"/>
                <w:szCs w:val="13"/>
              </w:rPr>
              <w:t>Повышение надежности теплоснабжения</w:t>
            </w:r>
          </w:p>
        </w:tc>
        <w:tc>
          <w:tcPr>
            <w:tcW w:w="360" w:type="pct"/>
            <w:tcBorders>
              <w:top w:val="nil"/>
              <w:left w:val="nil"/>
              <w:bottom w:val="single" w:sz="4" w:space="0" w:color="auto"/>
              <w:right w:val="single" w:sz="4" w:space="0" w:color="auto"/>
            </w:tcBorders>
            <w:shd w:val="clear" w:color="auto" w:fill="auto"/>
            <w:vAlign w:val="center"/>
          </w:tcPr>
          <w:p w14:paraId="211D7E4B" w14:textId="77777777" w:rsidR="004A0123" w:rsidRPr="00640447" w:rsidRDefault="004A0123" w:rsidP="008A5C11">
            <w:pPr>
              <w:jc w:val="center"/>
              <w:rPr>
                <w:color w:val="000000"/>
                <w:sz w:val="13"/>
                <w:szCs w:val="13"/>
              </w:rPr>
            </w:pPr>
            <w:r w:rsidRPr="00640447">
              <w:rPr>
                <w:color w:val="000000"/>
                <w:sz w:val="13"/>
                <w:szCs w:val="13"/>
              </w:rPr>
              <w:t xml:space="preserve">г. Ленинск-Кузнецкий, </w:t>
            </w:r>
          </w:p>
          <w:p w14:paraId="0382CE41" w14:textId="77777777" w:rsidR="004A0123" w:rsidRPr="00640447" w:rsidRDefault="004A0123" w:rsidP="008A5C11">
            <w:pPr>
              <w:jc w:val="center"/>
              <w:rPr>
                <w:color w:val="000000"/>
                <w:sz w:val="13"/>
                <w:szCs w:val="13"/>
              </w:rPr>
            </w:pPr>
            <w:r w:rsidRPr="00640447">
              <w:rPr>
                <w:color w:val="000000"/>
                <w:sz w:val="13"/>
                <w:szCs w:val="13"/>
              </w:rPr>
              <w:t>ул. Телефонная, 9</w:t>
            </w:r>
          </w:p>
        </w:tc>
        <w:tc>
          <w:tcPr>
            <w:tcW w:w="338" w:type="pct"/>
            <w:tcBorders>
              <w:top w:val="nil"/>
              <w:left w:val="nil"/>
              <w:bottom w:val="single" w:sz="4" w:space="0" w:color="auto"/>
              <w:right w:val="single" w:sz="4" w:space="0" w:color="auto"/>
            </w:tcBorders>
            <w:shd w:val="clear" w:color="auto" w:fill="auto"/>
            <w:vAlign w:val="center"/>
          </w:tcPr>
          <w:p w14:paraId="4C2F4045" w14:textId="77777777" w:rsidR="004A0123" w:rsidRPr="00640447" w:rsidRDefault="004A0123" w:rsidP="008A5C11">
            <w:pPr>
              <w:jc w:val="center"/>
              <w:rPr>
                <w:sz w:val="13"/>
                <w:szCs w:val="13"/>
              </w:rPr>
            </w:pPr>
            <w:proofErr w:type="gramStart"/>
            <w:r w:rsidRPr="00640447">
              <w:rPr>
                <w:sz w:val="13"/>
                <w:szCs w:val="13"/>
              </w:rPr>
              <w:t>Производитель-ность</w:t>
            </w:r>
            <w:proofErr w:type="gramEnd"/>
          </w:p>
        </w:tc>
        <w:tc>
          <w:tcPr>
            <w:tcW w:w="116" w:type="pct"/>
            <w:tcBorders>
              <w:top w:val="nil"/>
              <w:left w:val="nil"/>
              <w:bottom w:val="single" w:sz="4" w:space="0" w:color="auto"/>
              <w:right w:val="single" w:sz="4" w:space="0" w:color="auto"/>
            </w:tcBorders>
            <w:shd w:val="clear" w:color="auto" w:fill="auto"/>
            <w:vAlign w:val="center"/>
          </w:tcPr>
          <w:p w14:paraId="4BC17ACC" w14:textId="77777777" w:rsidR="004A0123" w:rsidRPr="00640447" w:rsidRDefault="004A0123" w:rsidP="008A5C11">
            <w:pPr>
              <w:jc w:val="center"/>
              <w:rPr>
                <w:sz w:val="13"/>
                <w:szCs w:val="13"/>
              </w:rPr>
            </w:pPr>
            <w:r w:rsidRPr="00640447">
              <w:rPr>
                <w:sz w:val="13"/>
                <w:szCs w:val="13"/>
              </w:rPr>
              <w:t>м</w:t>
            </w:r>
            <w:r w:rsidRPr="00640447">
              <w:rPr>
                <w:sz w:val="13"/>
                <w:szCs w:val="13"/>
                <w:vertAlign w:val="superscript"/>
              </w:rPr>
              <w:t>3</w:t>
            </w:r>
            <w:r w:rsidRPr="00640447">
              <w:rPr>
                <w:sz w:val="13"/>
                <w:szCs w:val="13"/>
              </w:rPr>
              <w:t>/с</w:t>
            </w:r>
          </w:p>
        </w:tc>
        <w:tc>
          <w:tcPr>
            <w:tcW w:w="182" w:type="pct"/>
            <w:tcBorders>
              <w:top w:val="nil"/>
              <w:left w:val="single" w:sz="4" w:space="0" w:color="auto"/>
              <w:bottom w:val="single" w:sz="4" w:space="0" w:color="auto"/>
              <w:right w:val="single" w:sz="4" w:space="0" w:color="auto"/>
            </w:tcBorders>
            <w:shd w:val="clear" w:color="auto" w:fill="auto"/>
            <w:vAlign w:val="center"/>
          </w:tcPr>
          <w:p w14:paraId="5890B4E2" w14:textId="77777777" w:rsidR="004A0123" w:rsidRPr="00640447" w:rsidRDefault="004A0123" w:rsidP="008A5C11">
            <w:pPr>
              <w:jc w:val="center"/>
              <w:rPr>
                <w:sz w:val="13"/>
                <w:szCs w:val="13"/>
              </w:rPr>
            </w:pPr>
            <w:r w:rsidRPr="00640447">
              <w:rPr>
                <w:sz w:val="13"/>
                <w:szCs w:val="13"/>
              </w:rPr>
              <w:t>22</w:t>
            </w:r>
          </w:p>
        </w:tc>
        <w:tc>
          <w:tcPr>
            <w:tcW w:w="174" w:type="pct"/>
            <w:tcBorders>
              <w:top w:val="nil"/>
              <w:left w:val="nil"/>
              <w:bottom w:val="single" w:sz="4" w:space="0" w:color="auto"/>
              <w:right w:val="single" w:sz="4" w:space="0" w:color="auto"/>
            </w:tcBorders>
            <w:shd w:val="clear" w:color="auto" w:fill="auto"/>
            <w:vAlign w:val="center"/>
          </w:tcPr>
          <w:p w14:paraId="42781499" w14:textId="77777777" w:rsidR="004A0123" w:rsidRPr="00640447" w:rsidRDefault="004A0123" w:rsidP="008A5C11">
            <w:pPr>
              <w:jc w:val="center"/>
              <w:rPr>
                <w:sz w:val="13"/>
                <w:szCs w:val="13"/>
              </w:rPr>
            </w:pPr>
            <w:r w:rsidRPr="00640447">
              <w:rPr>
                <w:sz w:val="13"/>
                <w:szCs w:val="13"/>
              </w:rPr>
              <w:t>22</w:t>
            </w:r>
          </w:p>
        </w:tc>
        <w:tc>
          <w:tcPr>
            <w:tcW w:w="189" w:type="pct"/>
            <w:tcBorders>
              <w:top w:val="nil"/>
              <w:left w:val="nil"/>
              <w:bottom w:val="single" w:sz="4" w:space="0" w:color="auto"/>
              <w:right w:val="single" w:sz="4" w:space="0" w:color="auto"/>
            </w:tcBorders>
            <w:shd w:val="clear" w:color="auto" w:fill="auto"/>
            <w:vAlign w:val="center"/>
          </w:tcPr>
          <w:p w14:paraId="13BB0AE6" w14:textId="77777777" w:rsidR="004A0123" w:rsidRPr="00640447" w:rsidRDefault="004A0123" w:rsidP="008A5C11">
            <w:pPr>
              <w:jc w:val="center"/>
              <w:rPr>
                <w:sz w:val="13"/>
                <w:szCs w:val="13"/>
              </w:rPr>
            </w:pPr>
            <w:r w:rsidRPr="00640447">
              <w:rPr>
                <w:sz w:val="13"/>
                <w:szCs w:val="13"/>
              </w:rPr>
              <w:t>2019</w:t>
            </w:r>
          </w:p>
        </w:tc>
        <w:tc>
          <w:tcPr>
            <w:tcW w:w="184" w:type="pct"/>
            <w:tcBorders>
              <w:top w:val="nil"/>
              <w:left w:val="nil"/>
              <w:bottom w:val="single" w:sz="4" w:space="0" w:color="auto"/>
              <w:right w:val="single" w:sz="4" w:space="0" w:color="auto"/>
            </w:tcBorders>
            <w:shd w:val="clear" w:color="auto" w:fill="auto"/>
            <w:vAlign w:val="center"/>
          </w:tcPr>
          <w:p w14:paraId="099DE0D1" w14:textId="77777777" w:rsidR="004A0123" w:rsidRPr="00640447" w:rsidRDefault="004A0123" w:rsidP="008A5C11">
            <w:pPr>
              <w:jc w:val="center"/>
              <w:rPr>
                <w:sz w:val="13"/>
                <w:szCs w:val="13"/>
              </w:rPr>
            </w:pPr>
            <w:r w:rsidRPr="00640447">
              <w:rPr>
                <w:sz w:val="13"/>
                <w:szCs w:val="13"/>
              </w:rPr>
              <w:t>2021</w:t>
            </w:r>
          </w:p>
        </w:tc>
        <w:tc>
          <w:tcPr>
            <w:tcW w:w="180" w:type="pct"/>
            <w:tcBorders>
              <w:top w:val="nil"/>
              <w:left w:val="nil"/>
              <w:bottom w:val="single" w:sz="4" w:space="0" w:color="auto"/>
              <w:right w:val="single" w:sz="4" w:space="0" w:color="auto"/>
            </w:tcBorders>
            <w:shd w:val="clear" w:color="auto" w:fill="auto"/>
            <w:vAlign w:val="center"/>
          </w:tcPr>
          <w:p w14:paraId="08C65B71" w14:textId="77777777" w:rsidR="004A0123" w:rsidRPr="00640447" w:rsidRDefault="004A0123" w:rsidP="008A5C11">
            <w:pPr>
              <w:jc w:val="center"/>
              <w:rPr>
                <w:sz w:val="13"/>
                <w:szCs w:val="13"/>
              </w:rPr>
            </w:pPr>
            <w:r w:rsidRPr="00640447">
              <w:rPr>
                <w:sz w:val="13"/>
                <w:szCs w:val="13"/>
              </w:rPr>
              <w:t>18481</w:t>
            </w:r>
          </w:p>
        </w:tc>
        <w:tc>
          <w:tcPr>
            <w:tcW w:w="187" w:type="pct"/>
            <w:tcBorders>
              <w:top w:val="nil"/>
              <w:left w:val="nil"/>
              <w:bottom w:val="single" w:sz="4" w:space="0" w:color="auto"/>
              <w:right w:val="single" w:sz="4" w:space="0" w:color="auto"/>
            </w:tcBorders>
            <w:shd w:val="clear" w:color="auto" w:fill="auto"/>
            <w:vAlign w:val="center"/>
          </w:tcPr>
          <w:p w14:paraId="3CAEA34A" w14:textId="77777777" w:rsidR="004A0123" w:rsidRPr="00640447" w:rsidRDefault="004A0123" w:rsidP="008A5C11">
            <w:pPr>
              <w:jc w:val="center"/>
              <w:rPr>
                <w:sz w:val="13"/>
                <w:szCs w:val="13"/>
              </w:rPr>
            </w:pPr>
            <w:r w:rsidRPr="00640447">
              <w:rPr>
                <w:sz w:val="13"/>
                <w:szCs w:val="13"/>
              </w:rPr>
              <w:t>0</w:t>
            </w:r>
          </w:p>
        </w:tc>
        <w:tc>
          <w:tcPr>
            <w:tcW w:w="146" w:type="pct"/>
            <w:tcBorders>
              <w:top w:val="nil"/>
              <w:left w:val="single" w:sz="4" w:space="0" w:color="auto"/>
              <w:bottom w:val="single" w:sz="4" w:space="0" w:color="auto"/>
              <w:right w:val="single" w:sz="4" w:space="0" w:color="auto"/>
            </w:tcBorders>
            <w:shd w:val="clear" w:color="auto" w:fill="auto"/>
            <w:vAlign w:val="center"/>
          </w:tcPr>
          <w:p w14:paraId="12BB324A" w14:textId="77777777" w:rsidR="004A0123" w:rsidRPr="00640447" w:rsidRDefault="004A0123" w:rsidP="008A5C11">
            <w:pPr>
              <w:jc w:val="center"/>
              <w:rPr>
                <w:sz w:val="13"/>
                <w:szCs w:val="13"/>
              </w:rPr>
            </w:pPr>
            <w:r w:rsidRPr="00640447">
              <w:rPr>
                <w:sz w:val="13"/>
                <w:szCs w:val="13"/>
              </w:rPr>
              <w:t>18200</w:t>
            </w:r>
          </w:p>
        </w:tc>
        <w:tc>
          <w:tcPr>
            <w:tcW w:w="149" w:type="pct"/>
            <w:tcBorders>
              <w:top w:val="nil"/>
              <w:left w:val="nil"/>
              <w:bottom w:val="single" w:sz="4" w:space="0" w:color="auto"/>
              <w:right w:val="single" w:sz="4" w:space="0" w:color="auto"/>
            </w:tcBorders>
            <w:shd w:val="clear" w:color="auto" w:fill="auto"/>
            <w:vAlign w:val="center"/>
          </w:tcPr>
          <w:p w14:paraId="328503A5" w14:textId="77777777" w:rsidR="004A0123" w:rsidRPr="00640447" w:rsidRDefault="004A0123" w:rsidP="008A5C11">
            <w:pPr>
              <w:jc w:val="center"/>
              <w:rPr>
                <w:sz w:val="13"/>
                <w:szCs w:val="13"/>
              </w:rPr>
            </w:pPr>
            <w:r w:rsidRPr="00640447">
              <w:rPr>
                <w:sz w:val="13"/>
                <w:szCs w:val="13"/>
              </w:rPr>
              <w:t>0</w:t>
            </w:r>
          </w:p>
        </w:tc>
        <w:tc>
          <w:tcPr>
            <w:tcW w:w="183" w:type="pct"/>
            <w:tcBorders>
              <w:top w:val="nil"/>
              <w:left w:val="nil"/>
              <w:bottom w:val="single" w:sz="4" w:space="0" w:color="auto"/>
              <w:right w:val="single" w:sz="4" w:space="0" w:color="auto"/>
            </w:tcBorders>
            <w:shd w:val="clear" w:color="auto" w:fill="auto"/>
            <w:vAlign w:val="center"/>
          </w:tcPr>
          <w:p w14:paraId="33E9A4B6" w14:textId="77777777" w:rsidR="004A0123" w:rsidRPr="00640447" w:rsidRDefault="004A0123" w:rsidP="008A5C11">
            <w:pPr>
              <w:jc w:val="center"/>
              <w:rPr>
                <w:sz w:val="13"/>
                <w:szCs w:val="13"/>
              </w:rPr>
            </w:pPr>
            <w:r w:rsidRPr="00640447">
              <w:rPr>
                <w:sz w:val="13"/>
                <w:szCs w:val="13"/>
              </w:rPr>
              <w:t>281</w:t>
            </w:r>
          </w:p>
        </w:tc>
        <w:tc>
          <w:tcPr>
            <w:tcW w:w="183" w:type="pct"/>
            <w:tcBorders>
              <w:top w:val="nil"/>
              <w:left w:val="nil"/>
              <w:bottom w:val="single" w:sz="4" w:space="0" w:color="auto"/>
              <w:right w:val="single" w:sz="4" w:space="0" w:color="auto"/>
            </w:tcBorders>
            <w:shd w:val="clear" w:color="auto" w:fill="auto"/>
            <w:vAlign w:val="center"/>
          </w:tcPr>
          <w:p w14:paraId="2560B6CE" w14:textId="77777777" w:rsidR="004A0123" w:rsidRPr="00640447" w:rsidRDefault="004A0123" w:rsidP="008A5C11">
            <w:pPr>
              <w:jc w:val="center"/>
              <w:rPr>
                <w:sz w:val="13"/>
                <w:szCs w:val="13"/>
              </w:rPr>
            </w:pPr>
            <w:r w:rsidRPr="00640447">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0A51CAC4" w14:textId="77777777" w:rsidR="004A0123" w:rsidRPr="00640447" w:rsidRDefault="004A0123" w:rsidP="008A5C11">
            <w:pPr>
              <w:jc w:val="center"/>
              <w:rPr>
                <w:sz w:val="13"/>
                <w:szCs w:val="13"/>
              </w:rPr>
            </w:pPr>
            <w:r w:rsidRPr="00640447">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7EDC7114" w14:textId="77777777" w:rsidR="004A0123" w:rsidRPr="00640447" w:rsidRDefault="004A0123" w:rsidP="008A5C11">
            <w:pPr>
              <w:jc w:val="center"/>
              <w:rPr>
                <w:sz w:val="13"/>
                <w:szCs w:val="13"/>
              </w:rPr>
            </w:pPr>
            <w:r w:rsidRPr="00640447">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69EB0F17" w14:textId="77777777" w:rsidR="004A0123" w:rsidRPr="00640447" w:rsidRDefault="004A0123" w:rsidP="008A5C11">
            <w:pPr>
              <w:jc w:val="center"/>
              <w:rPr>
                <w:sz w:val="13"/>
                <w:szCs w:val="13"/>
              </w:rPr>
            </w:pPr>
            <w:r w:rsidRPr="00640447">
              <w:rPr>
                <w:sz w:val="13"/>
                <w:szCs w:val="13"/>
              </w:rPr>
              <w:t>0</w:t>
            </w:r>
          </w:p>
        </w:tc>
        <w:tc>
          <w:tcPr>
            <w:tcW w:w="174" w:type="pct"/>
            <w:tcBorders>
              <w:top w:val="single" w:sz="4" w:space="0" w:color="auto"/>
              <w:left w:val="single" w:sz="4" w:space="0" w:color="auto"/>
              <w:bottom w:val="single" w:sz="4" w:space="0" w:color="auto"/>
              <w:right w:val="single" w:sz="4" w:space="0" w:color="auto"/>
            </w:tcBorders>
            <w:vAlign w:val="center"/>
          </w:tcPr>
          <w:p w14:paraId="79AEC4E3" w14:textId="77777777" w:rsidR="004A0123" w:rsidRPr="00640447" w:rsidRDefault="004A0123" w:rsidP="008A5C11">
            <w:pPr>
              <w:jc w:val="center"/>
              <w:rPr>
                <w:sz w:val="13"/>
                <w:szCs w:val="13"/>
              </w:rPr>
            </w:pPr>
            <w:r w:rsidRPr="00640447">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40C42902" w14:textId="77777777" w:rsidR="004A0123" w:rsidRPr="00640447" w:rsidRDefault="004A0123" w:rsidP="008A5C11">
            <w:pPr>
              <w:jc w:val="center"/>
              <w:rPr>
                <w:sz w:val="13"/>
                <w:szCs w:val="13"/>
              </w:rPr>
            </w:pPr>
            <w:r w:rsidRPr="00640447">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406604F9" w14:textId="77777777" w:rsidR="004A0123" w:rsidRPr="00640447" w:rsidRDefault="004A0123" w:rsidP="008A5C11">
            <w:pPr>
              <w:jc w:val="center"/>
              <w:rPr>
                <w:sz w:val="13"/>
                <w:szCs w:val="13"/>
              </w:rPr>
            </w:pPr>
            <w:r w:rsidRPr="00640447">
              <w:rPr>
                <w:sz w:val="13"/>
                <w:szCs w:val="13"/>
              </w:rPr>
              <w:t>0</w:t>
            </w:r>
          </w:p>
        </w:tc>
        <w:tc>
          <w:tcPr>
            <w:tcW w:w="188" w:type="pct"/>
            <w:tcBorders>
              <w:top w:val="single" w:sz="4" w:space="0" w:color="auto"/>
              <w:left w:val="single" w:sz="4" w:space="0" w:color="auto"/>
              <w:bottom w:val="single" w:sz="4" w:space="0" w:color="auto"/>
              <w:right w:val="single" w:sz="4" w:space="0" w:color="auto"/>
            </w:tcBorders>
            <w:vAlign w:val="center"/>
          </w:tcPr>
          <w:p w14:paraId="24D996BB" w14:textId="77777777" w:rsidR="004A0123" w:rsidRPr="00640447" w:rsidRDefault="004A0123" w:rsidP="008A5C11">
            <w:pPr>
              <w:jc w:val="center"/>
              <w:rPr>
                <w:sz w:val="13"/>
                <w:szCs w:val="13"/>
              </w:rPr>
            </w:pPr>
            <w:r w:rsidRPr="00640447">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4A784858" w14:textId="77777777" w:rsidR="004A0123" w:rsidRPr="00640447" w:rsidRDefault="004A0123" w:rsidP="008A5C11">
            <w:pPr>
              <w:jc w:val="center"/>
              <w:rPr>
                <w:sz w:val="13"/>
                <w:szCs w:val="13"/>
              </w:rPr>
            </w:pPr>
            <w:r w:rsidRPr="00640447">
              <w:rPr>
                <w:sz w:val="13"/>
                <w:szCs w:val="13"/>
              </w:rPr>
              <w:t>0</w:t>
            </w:r>
          </w:p>
        </w:tc>
      </w:tr>
      <w:tr w:rsidR="004A0123" w:rsidRPr="00640447" w14:paraId="25C2033B" w14:textId="77777777" w:rsidTr="008A5C11">
        <w:trPr>
          <w:trHeight w:val="355"/>
        </w:trPr>
        <w:tc>
          <w:tcPr>
            <w:tcW w:w="146" w:type="pct"/>
            <w:shd w:val="clear" w:color="auto" w:fill="auto"/>
            <w:vAlign w:val="center"/>
          </w:tcPr>
          <w:p w14:paraId="4DA10E9B" w14:textId="77777777" w:rsidR="004A0123" w:rsidRPr="00640447" w:rsidRDefault="004A0123" w:rsidP="008A5C11">
            <w:pPr>
              <w:jc w:val="center"/>
              <w:rPr>
                <w:sz w:val="13"/>
                <w:szCs w:val="13"/>
              </w:rPr>
            </w:pPr>
            <w:r w:rsidRPr="00640447">
              <w:rPr>
                <w:sz w:val="13"/>
                <w:szCs w:val="13"/>
              </w:rPr>
              <w:t>3.2.7.</w:t>
            </w:r>
          </w:p>
        </w:tc>
        <w:tc>
          <w:tcPr>
            <w:tcW w:w="616" w:type="pct"/>
            <w:tcBorders>
              <w:top w:val="nil"/>
              <w:left w:val="single" w:sz="4" w:space="0" w:color="auto"/>
              <w:bottom w:val="single" w:sz="4" w:space="0" w:color="auto"/>
              <w:right w:val="single" w:sz="4" w:space="0" w:color="auto"/>
            </w:tcBorders>
            <w:shd w:val="clear" w:color="auto" w:fill="auto"/>
            <w:vAlign w:val="center"/>
          </w:tcPr>
          <w:p w14:paraId="36BA267A" w14:textId="77777777" w:rsidR="004A0123" w:rsidRPr="00640447" w:rsidRDefault="004A0123" w:rsidP="008A5C11">
            <w:pPr>
              <w:rPr>
                <w:color w:val="000000"/>
                <w:sz w:val="13"/>
                <w:szCs w:val="13"/>
              </w:rPr>
            </w:pPr>
            <w:r w:rsidRPr="00640447">
              <w:rPr>
                <w:color w:val="000000"/>
                <w:sz w:val="13"/>
                <w:szCs w:val="13"/>
              </w:rPr>
              <w:t xml:space="preserve">Котельная «Энергетик». Проектирование и реконструкция </w:t>
            </w:r>
            <w:proofErr w:type="gramStart"/>
            <w:r w:rsidRPr="00640447">
              <w:rPr>
                <w:color w:val="000000"/>
                <w:sz w:val="13"/>
                <w:szCs w:val="13"/>
              </w:rPr>
              <w:t>котла  К</w:t>
            </w:r>
            <w:proofErr w:type="gramEnd"/>
            <w:r w:rsidRPr="00640447">
              <w:rPr>
                <w:color w:val="000000"/>
                <w:sz w:val="13"/>
                <w:szCs w:val="13"/>
              </w:rPr>
              <w:t>-50-40/14 № 1 с установкой системы автоматизации.</w:t>
            </w:r>
          </w:p>
        </w:tc>
        <w:tc>
          <w:tcPr>
            <w:tcW w:w="359" w:type="pct"/>
            <w:tcBorders>
              <w:top w:val="nil"/>
              <w:left w:val="nil"/>
              <w:bottom w:val="single" w:sz="4" w:space="0" w:color="auto"/>
              <w:right w:val="single" w:sz="4" w:space="0" w:color="auto"/>
            </w:tcBorders>
            <w:shd w:val="clear" w:color="auto" w:fill="auto"/>
            <w:vAlign w:val="center"/>
          </w:tcPr>
          <w:p w14:paraId="1E62EBD1" w14:textId="77777777" w:rsidR="004A0123" w:rsidRPr="00640447" w:rsidRDefault="004A0123" w:rsidP="008A5C11">
            <w:pPr>
              <w:jc w:val="center"/>
              <w:rPr>
                <w:color w:val="000000"/>
                <w:sz w:val="13"/>
                <w:szCs w:val="13"/>
              </w:rPr>
            </w:pPr>
            <w:r w:rsidRPr="00640447">
              <w:rPr>
                <w:color w:val="000000"/>
                <w:sz w:val="13"/>
                <w:szCs w:val="13"/>
              </w:rPr>
              <w:t>Повышение надежности теплоснабжения</w:t>
            </w:r>
          </w:p>
        </w:tc>
        <w:tc>
          <w:tcPr>
            <w:tcW w:w="360" w:type="pct"/>
            <w:tcBorders>
              <w:top w:val="nil"/>
              <w:left w:val="nil"/>
              <w:bottom w:val="single" w:sz="4" w:space="0" w:color="auto"/>
              <w:right w:val="single" w:sz="4" w:space="0" w:color="auto"/>
            </w:tcBorders>
            <w:shd w:val="clear" w:color="auto" w:fill="auto"/>
            <w:vAlign w:val="center"/>
          </w:tcPr>
          <w:p w14:paraId="53FD6E11" w14:textId="77777777" w:rsidR="004A0123" w:rsidRPr="00640447" w:rsidRDefault="004A0123" w:rsidP="008A5C11">
            <w:pPr>
              <w:jc w:val="center"/>
              <w:rPr>
                <w:color w:val="000000"/>
                <w:sz w:val="13"/>
                <w:szCs w:val="13"/>
              </w:rPr>
            </w:pPr>
            <w:r w:rsidRPr="00640447">
              <w:rPr>
                <w:color w:val="000000"/>
                <w:sz w:val="13"/>
                <w:szCs w:val="13"/>
              </w:rPr>
              <w:t xml:space="preserve">г. Ленинск-Кузнецкий, </w:t>
            </w:r>
          </w:p>
          <w:p w14:paraId="3C746468" w14:textId="77777777" w:rsidR="004A0123" w:rsidRPr="00640447" w:rsidRDefault="004A0123" w:rsidP="008A5C11">
            <w:pPr>
              <w:jc w:val="center"/>
              <w:rPr>
                <w:color w:val="000000"/>
                <w:sz w:val="13"/>
                <w:szCs w:val="13"/>
              </w:rPr>
            </w:pPr>
            <w:r w:rsidRPr="00640447">
              <w:rPr>
                <w:color w:val="000000"/>
                <w:sz w:val="13"/>
                <w:szCs w:val="13"/>
              </w:rPr>
              <w:t>тер. Северная промзона 4</w:t>
            </w:r>
          </w:p>
        </w:tc>
        <w:tc>
          <w:tcPr>
            <w:tcW w:w="338" w:type="pct"/>
            <w:tcBorders>
              <w:top w:val="nil"/>
              <w:left w:val="nil"/>
              <w:bottom w:val="single" w:sz="4" w:space="0" w:color="auto"/>
              <w:right w:val="single" w:sz="4" w:space="0" w:color="auto"/>
            </w:tcBorders>
            <w:shd w:val="clear" w:color="auto" w:fill="auto"/>
            <w:vAlign w:val="center"/>
          </w:tcPr>
          <w:p w14:paraId="583CC8A4" w14:textId="77777777" w:rsidR="004A0123" w:rsidRPr="00640447" w:rsidRDefault="004A0123" w:rsidP="008A5C11">
            <w:pPr>
              <w:jc w:val="center"/>
              <w:rPr>
                <w:sz w:val="13"/>
                <w:szCs w:val="13"/>
              </w:rPr>
            </w:pPr>
            <w:r w:rsidRPr="00640447">
              <w:rPr>
                <w:sz w:val="13"/>
                <w:szCs w:val="13"/>
              </w:rPr>
              <w:t>Установленная мощность</w:t>
            </w:r>
          </w:p>
        </w:tc>
        <w:tc>
          <w:tcPr>
            <w:tcW w:w="116" w:type="pct"/>
            <w:tcBorders>
              <w:top w:val="nil"/>
              <w:left w:val="nil"/>
              <w:bottom w:val="single" w:sz="4" w:space="0" w:color="auto"/>
              <w:right w:val="single" w:sz="4" w:space="0" w:color="auto"/>
            </w:tcBorders>
            <w:shd w:val="clear" w:color="auto" w:fill="auto"/>
            <w:vAlign w:val="center"/>
          </w:tcPr>
          <w:p w14:paraId="2EEA13C5" w14:textId="77777777" w:rsidR="004A0123" w:rsidRPr="00640447" w:rsidRDefault="004A0123" w:rsidP="008A5C11">
            <w:pPr>
              <w:jc w:val="center"/>
              <w:rPr>
                <w:sz w:val="13"/>
                <w:szCs w:val="13"/>
              </w:rPr>
            </w:pPr>
            <w:r w:rsidRPr="00640447">
              <w:rPr>
                <w:sz w:val="13"/>
                <w:szCs w:val="13"/>
              </w:rPr>
              <w:t>Гкал/ч</w:t>
            </w:r>
          </w:p>
        </w:tc>
        <w:tc>
          <w:tcPr>
            <w:tcW w:w="182" w:type="pct"/>
            <w:tcBorders>
              <w:top w:val="nil"/>
              <w:left w:val="single" w:sz="4" w:space="0" w:color="auto"/>
              <w:bottom w:val="single" w:sz="4" w:space="0" w:color="auto"/>
              <w:right w:val="single" w:sz="4" w:space="0" w:color="auto"/>
            </w:tcBorders>
            <w:shd w:val="clear" w:color="auto" w:fill="auto"/>
            <w:vAlign w:val="center"/>
          </w:tcPr>
          <w:p w14:paraId="65053E63" w14:textId="77777777" w:rsidR="004A0123" w:rsidRPr="00640447" w:rsidRDefault="004A0123" w:rsidP="008A5C11">
            <w:pPr>
              <w:jc w:val="center"/>
              <w:rPr>
                <w:sz w:val="13"/>
                <w:szCs w:val="13"/>
              </w:rPr>
            </w:pPr>
            <w:r w:rsidRPr="00640447">
              <w:rPr>
                <w:sz w:val="13"/>
                <w:szCs w:val="13"/>
              </w:rPr>
              <w:t>28</w:t>
            </w:r>
          </w:p>
        </w:tc>
        <w:tc>
          <w:tcPr>
            <w:tcW w:w="174" w:type="pct"/>
            <w:tcBorders>
              <w:top w:val="nil"/>
              <w:left w:val="nil"/>
              <w:bottom w:val="single" w:sz="4" w:space="0" w:color="auto"/>
              <w:right w:val="single" w:sz="4" w:space="0" w:color="auto"/>
            </w:tcBorders>
            <w:shd w:val="clear" w:color="auto" w:fill="auto"/>
            <w:vAlign w:val="center"/>
          </w:tcPr>
          <w:p w14:paraId="1537434B" w14:textId="77777777" w:rsidR="004A0123" w:rsidRPr="00640447" w:rsidRDefault="004A0123" w:rsidP="008A5C11">
            <w:pPr>
              <w:jc w:val="center"/>
              <w:rPr>
                <w:sz w:val="13"/>
                <w:szCs w:val="13"/>
              </w:rPr>
            </w:pPr>
            <w:r w:rsidRPr="00640447">
              <w:rPr>
                <w:sz w:val="13"/>
                <w:szCs w:val="13"/>
              </w:rPr>
              <w:t>28</w:t>
            </w:r>
          </w:p>
        </w:tc>
        <w:tc>
          <w:tcPr>
            <w:tcW w:w="189" w:type="pct"/>
            <w:tcBorders>
              <w:top w:val="nil"/>
              <w:left w:val="nil"/>
              <w:bottom w:val="single" w:sz="4" w:space="0" w:color="auto"/>
              <w:right w:val="single" w:sz="4" w:space="0" w:color="auto"/>
            </w:tcBorders>
            <w:shd w:val="clear" w:color="auto" w:fill="auto"/>
            <w:vAlign w:val="center"/>
          </w:tcPr>
          <w:p w14:paraId="041D5A3C" w14:textId="77777777" w:rsidR="004A0123" w:rsidRPr="00640447" w:rsidRDefault="004A0123" w:rsidP="008A5C11">
            <w:pPr>
              <w:jc w:val="center"/>
              <w:rPr>
                <w:sz w:val="13"/>
                <w:szCs w:val="13"/>
              </w:rPr>
            </w:pPr>
            <w:r w:rsidRPr="00640447">
              <w:rPr>
                <w:sz w:val="13"/>
                <w:szCs w:val="13"/>
              </w:rPr>
              <w:t>2019</w:t>
            </w:r>
          </w:p>
        </w:tc>
        <w:tc>
          <w:tcPr>
            <w:tcW w:w="184" w:type="pct"/>
            <w:tcBorders>
              <w:top w:val="nil"/>
              <w:left w:val="nil"/>
              <w:bottom w:val="single" w:sz="4" w:space="0" w:color="auto"/>
              <w:right w:val="single" w:sz="4" w:space="0" w:color="auto"/>
            </w:tcBorders>
            <w:shd w:val="clear" w:color="auto" w:fill="auto"/>
            <w:vAlign w:val="center"/>
          </w:tcPr>
          <w:p w14:paraId="751B55EF" w14:textId="77777777" w:rsidR="004A0123" w:rsidRPr="00640447" w:rsidRDefault="004A0123" w:rsidP="008A5C11">
            <w:pPr>
              <w:jc w:val="center"/>
              <w:rPr>
                <w:sz w:val="13"/>
                <w:szCs w:val="13"/>
              </w:rPr>
            </w:pPr>
            <w:r w:rsidRPr="00640447">
              <w:rPr>
                <w:sz w:val="13"/>
                <w:szCs w:val="13"/>
              </w:rPr>
              <w:t>2021</w:t>
            </w:r>
          </w:p>
        </w:tc>
        <w:tc>
          <w:tcPr>
            <w:tcW w:w="180" w:type="pct"/>
            <w:tcBorders>
              <w:top w:val="nil"/>
              <w:left w:val="nil"/>
              <w:bottom w:val="single" w:sz="4" w:space="0" w:color="auto"/>
              <w:right w:val="single" w:sz="4" w:space="0" w:color="auto"/>
            </w:tcBorders>
            <w:shd w:val="clear" w:color="auto" w:fill="auto"/>
            <w:vAlign w:val="center"/>
          </w:tcPr>
          <w:p w14:paraId="34BC9D1F" w14:textId="77777777" w:rsidR="004A0123" w:rsidRPr="00640447" w:rsidRDefault="004A0123" w:rsidP="008A5C11">
            <w:pPr>
              <w:jc w:val="center"/>
              <w:rPr>
                <w:sz w:val="13"/>
                <w:szCs w:val="13"/>
              </w:rPr>
            </w:pPr>
            <w:r w:rsidRPr="00640447">
              <w:rPr>
                <w:sz w:val="13"/>
                <w:szCs w:val="13"/>
              </w:rPr>
              <w:t>244258</w:t>
            </w:r>
          </w:p>
        </w:tc>
        <w:tc>
          <w:tcPr>
            <w:tcW w:w="187" w:type="pct"/>
            <w:tcBorders>
              <w:top w:val="nil"/>
              <w:left w:val="nil"/>
              <w:bottom w:val="single" w:sz="4" w:space="0" w:color="auto"/>
              <w:right w:val="single" w:sz="4" w:space="0" w:color="auto"/>
            </w:tcBorders>
            <w:shd w:val="clear" w:color="auto" w:fill="auto"/>
            <w:vAlign w:val="center"/>
          </w:tcPr>
          <w:p w14:paraId="42E48C4C" w14:textId="77777777" w:rsidR="004A0123" w:rsidRPr="00640447" w:rsidRDefault="004A0123" w:rsidP="008A5C11">
            <w:pPr>
              <w:jc w:val="center"/>
              <w:rPr>
                <w:sz w:val="13"/>
                <w:szCs w:val="13"/>
              </w:rPr>
            </w:pPr>
            <w:r w:rsidRPr="00640447">
              <w:rPr>
                <w:sz w:val="13"/>
                <w:szCs w:val="13"/>
              </w:rPr>
              <w:t>0</w:t>
            </w:r>
          </w:p>
        </w:tc>
        <w:tc>
          <w:tcPr>
            <w:tcW w:w="146" w:type="pct"/>
            <w:tcBorders>
              <w:top w:val="nil"/>
              <w:left w:val="single" w:sz="4" w:space="0" w:color="auto"/>
              <w:bottom w:val="single" w:sz="4" w:space="0" w:color="auto"/>
              <w:right w:val="single" w:sz="4" w:space="0" w:color="auto"/>
            </w:tcBorders>
            <w:shd w:val="clear" w:color="auto" w:fill="auto"/>
            <w:vAlign w:val="center"/>
          </w:tcPr>
          <w:p w14:paraId="54E717E0" w14:textId="77777777" w:rsidR="004A0123" w:rsidRPr="00640447" w:rsidRDefault="004A0123" w:rsidP="008A5C11">
            <w:pPr>
              <w:jc w:val="center"/>
              <w:rPr>
                <w:sz w:val="13"/>
                <w:szCs w:val="13"/>
              </w:rPr>
            </w:pPr>
            <w:r w:rsidRPr="00640447">
              <w:rPr>
                <w:sz w:val="13"/>
                <w:szCs w:val="13"/>
              </w:rPr>
              <w:t>103455</w:t>
            </w:r>
          </w:p>
        </w:tc>
        <w:tc>
          <w:tcPr>
            <w:tcW w:w="149" w:type="pct"/>
            <w:tcBorders>
              <w:top w:val="nil"/>
              <w:left w:val="nil"/>
              <w:bottom w:val="single" w:sz="4" w:space="0" w:color="auto"/>
              <w:right w:val="single" w:sz="4" w:space="0" w:color="auto"/>
            </w:tcBorders>
            <w:shd w:val="clear" w:color="auto" w:fill="auto"/>
            <w:vAlign w:val="center"/>
          </w:tcPr>
          <w:p w14:paraId="408BC52A" w14:textId="77777777" w:rsidR="004A0123" w:rsidRPr="00640447" w:rsidRDefault="004A0123" w:rsidP="008A5C11">
            <w:pPr>
              <w:jc w:val="center"/>
              <w:rPr>
                <w:sz w:val="13"/>
                <w:szCs w:val="13"/>
              </w:rPr>
            </w:pPr>
            <w:r w:rsidRPr="00640447">
              <w:rPr>
                <w:sz w:val="13"/>
                <w:szCs w:val="13"/>
              </w:rPr>
              <w:t>88000</w:t>
            </w:r>
          </w:p>
        </w:tc>
        <w:tc>
          <w:tcPr>
            <w:tcW w:w="183" w:type="pct"/>
            <w:tcBorders>
              <w:top w:val="nil"/>
              <w:left w:val="nil"/>
              <w:bottom w:val="single" w:sz="4" w:space="0" w:color="auto"/>
              <w:right w:val="single" w:sz="4" w:space="0" w:color="auto"/>
            </w:tcBorders>
            <w:shd w:val="clear" w:color="auto" w:fill="auto"/>
            <w:vAlign w:val="center"/>
          </w:tcPr>
          <w:p w14:paraId="4D17BF76" w14:textId="77777777" w:rsidR="004A0123" w:rsidRPr="00640447" w:rsidRDefault="004A0123" w:rsidP="008A5C11">
            <w:pPr>
              <w:jc w:val="center"/>
              <w:rPr>
                <w:sz w:val="13"/>
                <w:szCs w:val="13"/>
              </w:rPr>
            </w:pPr>
            <w:r w:rsidRPr="00640447">
              <w:rPr>
                <w:sz w:val="13"/>
                <w:szCs w:val="13"/>
              </w:rPr>
              <w:t>52803</w:t>
            </w:r>
          </w:p>
        </w:tc>
        <w:tc>
          <w:tcPr>
            <w:tcW w:w="183" w:type="pct"/>
            <w:tcBorders>
              <w:top w:val="nil"/>
              <w:left w:val="nil"/>
              <w:bottom w:val="single" w:sz="4" w:space="0" w:color="auto"/>
              <w:right w:val="single" w:sz="4" w:space="0" w:color="auto"/>
            </w:tcBorders>
            <w:shd w:val="clear" w:color="auto" w:fill="auto"/>
            <w:vAlign w:val="center"/>
          </w:tcPr>
          <w:p w14:paraId="2318FE97" w14:textId="77777777" w:rsidR="004A0123" w:rsidRPr="00640447" w:rsidRDefault="004A0123" w:rsidP="008A5C11">
            <w:pPr>
              <w:jc w:val="center"/>
              <w:rPr>
                <w:sz w:val="13"/>
                <w:szCs w:val="13"/>
              </w:rPr>
            </w:pPr>
            <w:r w:rsidRPr="00640447">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10EBAFD7" w14:textId="77777777" w:rsidR="004A0123" w:rsidRPr="00640447" w:rsidRDefault="004A0123" w:rsidP="008A5C11">
            <w:pPr>
              <w:jc w:val="center"/>
              <w:rPr>
                <w:sz w:val="13"/>
                <w:szCs w:val="13"/>
              </w:rPr>
            </w:pPr>
            <w:r w:rsidRPr="00640447">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3CC57B6F" w14:textId="77777777" w:rsidR="004A0123" w:rsidRPr="00640447" w:rsidRDefault="004A0123" w:rsidP="008A5C11">
            <w:pPr>
              <w:jc w:val="center"/>
              <w:rPr>
                <w:sz w:val="13"/>
                <w:szCs w:val="13"/>
              </w:rPr>
            </w:pPr>
            <w:r w:rsidRPr="00640447">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7F1D313B" w14:textId="77777777" w:rsidR="004A0123" w:rsidRPr="00640447" w:rsidRDefault="004A0123" w:rsidP="008A5C11">
            <w:pPr>
              <w:jc w:val="center"/>
              <w:rPr>
                <w:sz w:val="13"/>
                <w:szCs w:val="13"/>
              </w:rPr>
            </w:pPr>
            <w:r w:rsidRPr="00640447">
              <w:rPr>
                <w:sz w:val="13"/>
                <w:szCs w:val="13"/>
              </w:rPr>
              <w:t>0</w:t>
            </w:r>
          </w:p>
        </w:tc>
        <w:tc>
          <w:tcPr>
            <w:tcW w:w="174" w:type="pct"/>
            <w:tcBorders>
              <w:top w:val="single" w:sz="4" w:space="0" w:color="auto"/>
              <w:left w:val="single" w:sz="4" w:space="0" w:color="auto"/>
              <w:bottom w:val="single" w:sz="4" w:space="0" w:color="auto"/>
              <w:right w:val="single" w:sz="4" w:space="0" w:color="auto"/>
            </w:tcBorders>
            <w:vAlign w:val="center"/>
          </w:tcPr>
          <w:p w14:paraId="1DF69175" w14:textId="77777777" w:rsidR="004A0123" w:rsidRPr="00640447" w:rsidRDefault="004A0123" w:rsidP="008A5C11">
            <w:pPr>
              <w:jc w:val="center"/>
              <w:rPr>
                <w:sz w:val="13"/>
                <w:szCs w:val="13"/>
              </w:rPr>
            </w:pPr>
            <w:r w:rsidRPr="00640447">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1736F412" w14:textId="77777777" w:rsidR="004A0123" w:rsidRPr="00640447" w:rsidRDefault="004A0123" w:rsidP="008A5C11">
            <w:pPr>
              <w:jc w:val="center"/>
              <w:rPr>
                <w:sz w:val="13"/>
                <w:szCs w:val="13"/>
              </w:rPr>
            </w:pPr>
            <w:r w:rsidRPr="00640447">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323E23B7" w14:textId="77777777" w:rsidR="004A0123" w:rsidRPr="00640447" w:rsidRDefault="004A0123" w:rsidP="008A5C11">
            <w:pPr>
              <w:jc w:val="center"/>
              <w:rPr>
                <w:sz w:val="13"/>
                <w:szCs w:val="13"/>
              </w:rPr>
            </w:pPr>
            <w:r w:rsidRPr="00640447">
              <w:rPr>
                <w:sz w:val="13"/>
                <w:szCs w:val="13"/>
              </w:rPr>
              <w:t>0</w:t>
            </w:r>
          </w:p>
        </w:tc>
        <w:tc>
          <w:tcPr>
            <w:tcW w:w="188" w:type="pct"/>
            <w:tcBorders>
              <w:top w:val="single" w:sz="4" w:space="0" w:color="auto"/>
              <w:left w:val="single" w:sz="4" w:space="0" w:color="auto"/>
              <w:bottom w:val="single" w:sz="4" w:space="0" w:color="auto"/>
              <w:right w:val="single" w:sz="4" w:space="0" w:color="auto"/>
            </w:tcBorders>
            <w:vAlign w:val="center"/>
          </w:tcPr>
          <w:p w14:paraId="14ED00C5" w14:textId="77777777" w:rsidR="004A0123" w:rsidRPr="00640447" w:rsidRDefault="004A0123" w:rsidP="008A5C11">
            <w:pPr>
              <w:jc w:val="center"/>
              <w:rPr>
                <w:sz w:val="13"/>
                <w:szCs w:val="13"/>
              </w:rPr>
            </w:pPr>
            <w:r w:rsidRPr="00640447">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63433E83" w14:textId="77777777" w:rsidR="004A0123" w:rsidRPr="00640447" w:rsidRDefault="004A0123" w:rsidP="008A5C11">
            <w:pPr>
              <w:jc w:val="center"/>
              <w:rPr>
                <w:sz w:val="13"/>
                <w:szCs w:val="13"/>
              </w:rPr>
            </w:pPr>
            <w:r w:rsidRPr="00640447">
              <w:rPr>
                <w:sz w:val="13"/>
                <w:szCs w:val="13"/>
              </w:rPr>
              <w:t>0</w:t>
            </w:r>
          </w:p>
        </w:tc>
      </w:tr>
      <w:tr w:rsidR="004A0123" w:rsidRPr="00640447" w14:paraId="7371203A" w14:textId="77777777" w:rsidTr="008A5C11">
        <w:trPr>
          <w:trHeight w:val="489"/>
        </w:trPr>
        <w:tc>
          <w:tcPr>
            <w:tcW w:w="146" w:type="pct"/>
            <w:shd w:val="clear" w:color="auto" w:fill="auto"/>
            <w:vAlign w:val="center"/>
          </w:tcPr>
          <w:p w14:paraId="1F02A788" w14:textId="77777777" w:rsidR="004A0123" w:rsidRPr="00640447" w:rsidRDefault="004A0123" w:rsidP="008A5C11">
            <w:pPr>
              <w:jc w:val="center"/>
              <w:rPr>
                <w:sz w:val="13"/>
                <w:szCs w:val="13"/>
              </w:rPr>
            </w:pPr>
            <w:r w:rsidRPr="00640447">
              <w:rPr>
                <w:sz w:val="13"/>
                <w:szCs w:val="13"/>
              </w:rPr>
              <w:t>3.2.8.</w:t>
            </w:r>
          </w:p>
        </w:tc>
        <w:tc>
          <w:tcPr>
            <w:tcW w:w="616" w:type="pct"/>
            <w:tcBorders>
              <w:top w:val="nil"/>
              <w:left w:val="single" w:sz="4" w:space="0" w:color="auto"/>
              <w:bottom w:val="single" w:sz="4" w:space="0" w:color="auto"/>
              <w:right w:val="single" w:sz="4" w:space="0" w:color="auto"/>
            </w:tcBorders>
            <w:shd w:val="clear" w:color="auto" w:fill="auto"/>
            <w:vAlign w:val="center"/>
          </w:tcPr>
          <w:p w14:paraId="43E1CF9E" w14:textId="77777777" w:rsidR="004A0123" w:rsidRPr="00640447" w:rsidRDefault="004A0123" w:rsidP="008A5C11">
            <w:pPr>
              <w:rPr>
                <w:color w:val="000000"/>
                <w:sz w:val="13"/>
                <w:szCs w:val="13"/>
              </w:rPr>
            </w:pPr>
            <w:r w:rsidRPr="00640447">
              <w:rPr>
                <w:color w:val="000000"/>
                <w:sz w:val="13"/>
                <w:szCs w:val="13"/>
              </w:rPr>
              <w:t>Котельная «Энергетик». Реконструкция системы газоочистки</w:t>
            </w:r>
          </w:p>
        </w:tc>
        <w:tc>
          <w:tcPr>
            <w:tcW w:w="359" w:type="pct"/>
            <w:tcBorders>
              <w:top w:val="nil"/>
              <w:left w:val="nil"/>
              <w:bottom w:val="single" w:sz="4" w:space="0" w:color="auto"/>
              <w:right w:val="single" w:sz="4" w:space="0" w:color="auto"/>
            </w:tcBorders>
            <w:shd w:val="clear" w:color="auto" w:fill="auto"/>
            <w:vAlign w:val="center"/>
          </w:tcPr>
          <w:p w14:paraId="48E6B79D" w14:textId="77777777" w:rsidR="004A0123" w:rsidRPr="00640447" w:rsidRDefault="004A0123" w:rsidP="008A5C11">
            <w:pPr>
              <w:jc w:val="center"/>
              <w:rPr>
                <w:color w:val="000000"/>
                <w:sz w:val="13"/>
                <w:szCs w:val="13"/>
              </w:rPr>
            </w:pPr>
            <w:r w:rsidRPr="00640447">
              <w:rPr>
                <w:color w:val="000000"/>
                <w:sz w:val="13"/>
                <w:szCs w:val="13"/>
              </w:rPr>
              <w:t>Повышение надежности теплоснабжения</w:t>
            </w:r>
          </w:p>
        </w:tc>
        <w:tc>
          <w:tcPr>
            <w:tcW w:w="360" w:type="pct"/>
            <w:tcBorders>
              <w:top w:val="nil"/>
              <w:left w:val="nil"/>
              <w:bottom w:val="single" w:sz="4" w:space="0" w:color="auto"/>
              <w:right w:val="single" w:sz="4" w:space="0" w:color="auto"/>
            </w:tcBorders>
            <w:shd w:val="clear" w:color="auto" w:fill="auto"/>
            <w:vAlign w:val="center"/>
          </w:tcPr>
          <w:p w14:paraId="561EEC5B" w14:textId="77777777" w:rsidR="004A0123" w:rsidRPr="00640447" w:rsidRDefault="004A0123" w:rsidP="008A5C11">
            <w:pPr>
              <w:jc w:val="center"/>
              <w:rPr>
                <w:color w:val="000000"/>
                <w:sz w:val="13"/>
                <w:szCs w:val="13"/>
              </w:rPr>
            </w:pPr>
            <w:r w:rsidRPr="00640447">
              <w:rPr>
                <w:color w:val="000000"/>
                <w:sz w:val="13"/>
                <w:szCs w:val="13"/>
              </w:rPr>
              <w:t xml:space="preserve">г. Ленинск-Кузнецкий, </w:t>
            </w:r>
          </w:p>
          <w:p w14:paraId="7B5E5598" w14:textId="77777777" w:rsidR="004A0123" w:rsidRPr="00640447" w:rsidRDefault="004A0123" w:rsidP="008A5C11">
            <w:pPr>
              <w:jc w:val="center"/>
              <w:rPr>
                <w:color w:val="000000"/>
                <w:sz w:val="13"/>
                <w:szCs w:val="13"/>
              </w:rPr>
            </w:pPr>
            <w:r w:rsidRPr="00640447">
              <w:rPr>
                <w:color w:val="000000"/>
                <w:sz w:val="13"/>
                <w:szCs w:val="13"/>
              </w:rPr>
              <w:t>тер. Северная промзона 4</w:t>
            </w:r>
          </w:p>
        </w:tc>
        <w:tc>
          <w:tcPr>
            <w:tcW w:w="338" w:type="pct"/>
            <w:tcBorders>
              <w:top w:val="nil"/>
              <w:left w:val="nil"/>
              <w:bottom w:val="single" w:sz="4" w:space="0" w:color="auto"/>
              <w:right w:val="single" w:sz="4" w:space="0" w:color="auto"/>
            </w:tcBorders>
            <w:shd w:val="clear" w:color="auto" w:fill="auto"/>
            <w:vAlign w:val="center"/>
          </w:tcPr>
          <w:p w14:paraId="6D068FB1" w14:textId="77777777" w:rsidR="004A0123" w:rsidRPr="00640447" w:rsidRDefault="004A0123" w:rsidP="008A5C11">
            <w:pPr>
              <w:jc w:val="center"/>
              <w:rPr>
                <w:sz w:val="13"/>
                <w:szCs w:val="13"/>
              </w:rPr>
            </w:pPr>
            <w:proofErr w:type="gramStart"/>
            <w:r w:rsidRPr="00640447">
              <w:rPr>
                <w:sz w:val="13"/>
                <w:szCs w:val="13"/>
              </w:rPr>
              <w:t>Производитель-ность</w:t>
            </w:r>
            <w:proofErr w:type="gramEnd"/>
          </w:p>
        </w:tc>
        <w:tc>
          <w:tcPr>
            <w:tcW w:w="116" w:type="pct"/>
            <w:tcBorders>
              <w:top w:val="nil"/>
              <w:left w:val="nil"/>
              <w:bottom w:val="single" w:sz="4" w:space="0" w:color="auto"/>
              <w:right w:val="single" w:sz="4" w:space="0" w:color="auto"/>
            </w:tcBorders>
            <w:shd w:val="clear" w:color="auto" w:fill="auto"/>
            <w:vAlign w:val="center"/>
          </w:tcPr>
          <w:p w14:paraId="2FC373A9" w14:textId="77777777" w:rsidR="004A0123" w:rsidRPr="00640447" w:rsidRDefault="004A0123" w:rsidP="008A5C11">
            <w:pPr>
              <w:jc w:val="center"/>
              <w:rPr>
                <w:sz w:val="13"/>
                <w:szCs w:val="13"/>
              </w:rPr>
            </w:pPr>
            <w:r w:rsidRPr="00640447">
              <w:rPr>
                <w:sz w:val="13"/>
                <w:szCs w:val="13"/>
              </w:rPr>
              <w:t>м</w:t>
            </w:r>
            <w:r w:rsidRPr="00640447">
              <w:rPr>
                <w:sz w:val="13"/>
                <w:szCs w:val="13"/>
                <w:vertAlign w:val="superscript"/>
              </w:rPr>
              <w:t>3</w:t>
            </w:r>
            <w:r w:rsidRPr="00640447">
              <w:rPr>
                <w:sz w:val="13"/>
                <w:szCs w:val="13"/>
              </w:rPr>
              <w:t>/с</w:t>
            </w:r>
          </w:p>
        </w:tc>
        <w:tc>
          <w:tcPr>
            <w:tcW w:w="182" w:type="pct"/>
            <w:tcBorders>
              <w:top w:val="nil"/>
              <w:left w:val="single" w:sz="4" w:space="0" w:color="auto"/>
              <w:bottom w:val="single" w:sz="4" w:space="0" w:color="auto"/>
              <w:right w:val="single" w:sz="4" w:space="0" w:color="auto"/>
            </w:tcBorders>
            <w:shd w:val="clear" w:color="auto" w:fill="auto"/>
            <w:vAlign w:val="center"/>
          </w:tcPr>
          <w:p w14:paraId="7838E5B2" w14:textId="77777777" w:rsidR="004A0123" w:rsidRPr="00640447" w:rsidRDefault="004A0123" w:rsidP="008A5C11">
            <w:pPr>
              <w:jc w:val="center"/>
              <w:rPr>
                <w:sz w:val="13"/>
                <w:szCs w:val="13"/>
              </w:rPr>
            </w:pPr>
            <w:r w:rsidRPr="00640447">
              <w:rPr>
                <w:sz w:val="13"/>
                <w:szCs w:val="13"/>
              </w:rPr>
              <w:t>22</w:t>
            </w:r>
          </w:p>
        </w:tc>
        <w:tc>
          <w:tcPr>
            <w:tcW w:w="174" w:type="pct"/>
            <w:tcBorders>
              <w:top w:val="nil"/>
              <w:left w:val="nil"/>
              <w:bottom w:val="single" w:sz="4" w:space="0" w:color="auto"/>
              <w:right w:val="single" w:sz="4" w:space="0" w:color="auto"/>
            </w:tcBorders>
            <w:shd w:val="clear" w:color="auto" w:fill="auto"/>
            <w:vAlign w:val="center"/>
          </w:tcPr>
          <w:p w14:paraId="39D0CC8F" w14:textId="77777777" w:rsidR="004A0123" w:rsidRPr="00640447" w:rsidRDefault="004A0123" w:rsidP="008A5C11">
            <w:pPr>
              <w:jc w:val="center"/>
              <w:rPr>
                <w:sz w:val="13"/>
                <w:szCs w:val="13"/>
              </w:rPr>
            </w:pPr>
            <w:r w:rsidRPr="00640447">
              <w:rPr>
                <w:sz w:val="13"/>
                <w:szCs w:val="13"/>
              </w:rPr>
              <w:t>22</w:t>
            </w:r>
          </w:p>
        </w:tc>
        <w:tc>
          <w:tcPr>
            <w:tcW w:w="189" w:type="pct"/>
            <w:tcBorders>
              <w:top w:val="nil"/>
              <w:left w:val="nil"/>
              <w:bottom w:val="single" w:sz="4" w:space="0" w:color="auto"/>
              <w:right w:val="single" w:sz="4" w:space="0" w:color="auto"/>
            </w:tcBorders>
            <w:shd w:val="clear" w:color="auto" w:fill="auto"/>
            <w:vAlign w:val="center"/>
          </w:tcPr>
          <w:p w14:paraId="1A445D32" w14:textId="77777777" w:rsidR="004A0123" w:rsidRPr="00640447" w:rsidRDefault="004A0123" w:rsidP="008A5C11">
            <w:pPr>
              <w:jc w:val="center"/>
              <w:rPr>
                <w:sz w:val="13"/>
                <w:szCs w:val="13"/>
              </w:rPr>
            </w:pPr>
            <w:r w:rsidRPr="00640447">
              <w:rPr>
                <w:sz w:val="13"/>
                <w:szCs w:val="13"/>
              </w:rPr>
              <w:t>2019</w:t>
            </w:r>
          </w:p>
        </w:tc>
        <w:tc>
          <w:tcPr>
            <w:tcW w:w="184" w:type="pct"/>
            <w:tcBorders>
              <w:top w:val="nil"/>
              <w:left w:val="nil"/>
              <w:bottom w:val="single" w:sz="4" w:space="0" w:color="auto"/>
              <w:right w:val="single" w:sz="4" w:space="0" w:color="auto"/>
            </w:tcBorders>
            <w:shd w:val="clear" w:color="auto" w:fill="auto"/>
            <w:vAlign w:val="center"/>
          </w:tcPr>
          <w:p w14:paraId="4BB8196F" w14:textId="77777777" w:rsidR="004A0123" w:rsidRPr="00640447" w:rsidRDefault="004A0123" w:rsidP="008A5C11">
            <w:pPr>
              <w:jc w:val="center"/>
              <w:rPr>
                <w:sz w:val="13"/>
                <w:szCs w:val="13"/>
              </w:rPr>
            </w:pPr>
            <w:r w:rsidRPr="00640447">
              <w:rPr>
                <w:sz w:val="13"/>
                <w:szCs w:val="13"/>
              </w:rPr>
              <w:t>2021</w:t>
            </w:r>
          </w:p>
        </w:tc>
        <w:tc>
          <w:tcPr>
            <w:tcW w:w="180" w:type="pct"/>
            <w:tcBorders>
              <w:top w:val="nil"/>
              <w:left w:val="nil"/>
              <w:bottom w:val="single" w:sz="4" w:space="0" w:color="auto"/>
              <w:right w:val="single" w:sz="4" w:space="0" w:color="auto"/>
            </w:tcBorders>
            <w:shd w:val="clear" w:color="auto" w:fill="auto"/>
            <w:vAlign w:val="center"/>
          </w:tcPr>
          <w:p w14:paraId="70B4A218" w14:textId="77777777" w:rsidR="004A0123" w:rsidRPr="00640447" w:rsidRDefault="004A0123" w:rsidP="008A5C11">
            <w:pPr>
              <w:jc w:val="center"/>
              <w:rPr>
                <w:sz w:val="13"/>
                <w:szCs w:val="13"/>
              </w:rPr>
            </w:pPr>
            <w:r w:rsidRPr="00640447">
              <w:rPr>
                <w:sz w:val="13"/>
                <w:szCs w:val="13"/>
              </w:rPr>
              <w:t>12581</w:t>
            </w:r>
          </w:p>
        </w:tc>
        <w:tc>
          <w:tcPr>
            <w:tcW w:w="187" w:type="pct"/>
            <w:tcBorders>
              <w:top w:val="nil"/>
              <w:left w:val="nil"/>
              <w:bottom w:val="single" w:sz="4" w:space="0" w:color="auto"/>
              <w:right w:val="single" w:sz="4" w:space="0" w:color="auto"/>
            </w:tcBorders>
            <w:shd w:val="clear" w:color="auto" w:fill="auto"/>
            <w:vAlign w:val="center"/>
          </w:tcPr>
          <w:p w14:paraId="5CBB6CB3" w14:textId="77777777" w:rsidR="004A0123" w:rsidRPr="00640447" w:rsidRDefault="004A0123" w:rsidP="008A5C11">
            <w:pPr>
              <w:jc w:val="center"/>
              <w:rPr>
                <w:sz w:val="13"/>
                <w:szCs w:val="13"/>
              </w:rPr>
            </w:pPr>
            <w:r w:rsidRPr="00640447">
              <w:rPr>
                <w:sz w:val="13"/>
                <w:szCs w:val="13"/>
              </w:rPr>
              <w:t>0</w:t>
            </w:r>
          </w:p>
        </w:tc>
        <w:tc>
          <w:tcPr>
            <w:tcW w:w="146" w:type="pct"/>
            <w:tcBorders>
              <w:top w:val="nil"/>
              <w:left w:val="single" w:sz="4" w:space="0" w:color="auto"/>
              <w:bottom w:val="single" w:sz="4" w:space="0" w:color="auto"/>
              <w:right w:val="single" w:sz="4" w:space="0" w:color="auto"/>
            </w:tcBorders>
            <w:shd w:val="clear" w:color="auto" w:fill="auto"/>
            <w:vAlign w:val="center"/>
          </w:tcPr>
          <w:p w14:paraId="1D460425" w14:textId="77777777" w:rsidR="004A0123" w:rsidRPr="00640447" w:rsidRDefault="004A0123" w:rsidP="008A5C11">
            <w:pPr>
              <w:jc w:val="center"/>
              <w:rPr>
                <w:sz w:val="13"/>
                <w:szCs w:val="13"/>
              </w:rPr>
            </w:pPr>
            <w:r w:rsidRPr="00640447">
              <w:rPr>
                <w:sz w:val="13"/>
                <w:szCs w:val="13"/>
              </w:rPr>
              <w:t>12300</w:t>
            </w:r>
          </w:p>
        </w:tc>
        <w:tc>
          <w:tcPr>
            <w:tcW w:w="149" w:type="pct"/>
            <w:tcBorders>
              <w:top w:val="nil"/>
              <w:left w:val="nil"/>
              <w:bottom w:val="single" w:sz="4" w:space="0" w:color="auto"/>
              <w:right w:val="single" w:sz="4" w:space="0" w:color="auto"/>
            </w:tcBorders>
            <w:shd w:val="clear" w:color="auto" w:fill="auto"/>
            <w:vAlign w:val="center"/>
          </w:tcPr>
          <w:p w14:paraId="2219AF3F" w14:textId="77777777" w:rsidR="004A0123" w:rsidRPr="00640447" w:rsidRDefault="004A0123" w:rsidP="008A5C11">
            <w:pPr>
              <w:jc w:val="center"/>
              <w:rPr>
                <w:sz w:val="13"/>
                <w:szCs w:val="13"/>
              </w:rPr>
            </w:pPr>
            <w:r w:rsidRPr="00640447">
              <w:rPr>
                <w:sz w:val="13"/>
                <w:szCs w:val="13"/>
              </w:rPr>
              <w:t>0</w:t>
            </w:r>
          </w:p>
        </w:tc>
        <w:tc>
          <w:tcPr>
            <w:tcW w:w="183" w:type="pct"/>
            <w:tcBorders>
              <w:top w:val="nil"/>
              <w:left w:val="nil"/>
              <w:bottom w:val="single" w:sz="4" w:space="0" w:color="auto"/>
              <w:right w:val="single" w:sz="4" w:space="0" w:color="auto"/>
            </w:tcBorders>
            <w:shd w:val="clear" w:color="auto" w:fill="auto"/>
            <w:vAlign w:val="center"/>
          </w:tcPr>
          <w:p w14:paraId="4E64D961" w14:textId="77777777" w:rsidR="004A0123" w:rsidRPr="00640447" w:rsidRDefault="004A0123" w:rsidP="008A5C11">
            <w:pPr>
              <w:jc w:val="center"/>
              <w:rPr>
                <w:sz w:val="13"/>
                <w:szCs w:val="13"/>
              </w:rPr>
            </w:pPr>
            <w:r w:rsidRPr="00640447">
              <w:rPr>
                <w:sz w:val="13"/>
                <w:szCs w:val="13"/>
              </w:rPr>
              <w:t>281</w:t>
            </w:r>
          </w:p>
        </w:tc>
        <w:tc>
          <w:tcPr>
            <w:tcW w:w="183" w:type="pct"/>
            <w:tcBorders>
              <w:top w:val="nil"/>
              <w:left w:val="nil"/>
              <w:bottom w:val="single" w:sz="4" w:space="0" w:color="auto"/>
              <w:right w:val="single" w:sz="4" w:space="0" w:color="auto"/>
            </w:tcBorders>
            <w:shd w:val="clear" w:color="auto" w:fill="auto"/>
            <w:vAlign w:val="center"/>
          </w:tcPr>
          <w:p w14:paraId="0DF441BF" w14:textId="77777777" w:rsidR="004A0123" w:rsidRPr="00640447" w:rsidRDefault="004A0123" w:rsidP="008A5C11">
            <w:pPr>
              <w:jc w:val="center"/>
              <w:rPr>
                <w:sz w:val="13"/>
                <w:szCs w:val="13"/>
              </w:rPr>
            </w:pPr>
            <w:r w:rsidRPr="00640447">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6E8AF840" w14:textId="77777777" w:rsidR="004A0123" w:rsidRPr="00640447" w:rsidRDefault="004A0123" w:rsidP="008A5C11">
            <w:pPr>
              <w:jc w:val="center"/>
              <w:rPr>
                <w:sz w:val="13"/>
                <w:szCs w:val="13"/>
              </w:rPr>
            </w:pPr>
            <w:r w:rsidRPr="00640447">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6462B478" w14:textId="77777777" w:rsidR="004A0123" w:rsidRPr="00640447" w:rsidRDefault="004A0123" w:rsidP="008A5C11">
            <w:pPr>
              <w:jc w:val="center"/>
              <w:rPr>
                <w:sz w:val="13"/>
                <w:szCs w:val="13"/>
              </w:rPr>
            </w:pPr>
            <w:r w:rsidRPr="00640447">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39B25E4C" w14:textId="77777777" w:rsidR="004A0123" w:rsidRPr="00640447" w:rsidRDefault="004A0123" w:rsidP="008A5C11">
            <w:pPr>
              <w:jc w:val="center"/>
              <w:rPr>
                <w:sz w:val="13"/>
                <w:szCs w:val="13"/>
              </w:rPr>
            </w:pPr>
            <w:r w:rsidRPr="00640447">
              <w:rPr>
                <w:sz w:val="13"/>
                <w:szCs w:val="13"/>
              </w:rPr>
              <w:t>0</w:t>
            </w:r>
          </w:p>
        </w:tc>
        <w:tc>
          <w:tcPr>
            <w:tcW w:w="174" w:type="pct"/>
            <w:tcBorders>
              <w:top w:val="single" w:sz="4" w:space="0" w:color="auto"/>
              <w:left w:val="single" w:sz="4" w:space="0" w:color="auto"/>
              <w:bottom w:val="single" w:sz="4" w:space="0" w:color="auto"/>
              <w:right w:val="single" w:sz="4" w:space="0" w:color="auto"/>
            </w:tcBorders>
            <w:vAlign w:val="center"/>
          </w:tcPr>
          <w:p w14:paraId="0AD8695F" w14:textId="77777777" w:rsidR="004A0123" w:rsidRPr="00640447" w:rsidRDefault="004A0123" w:rsidP="008A5C11">
            <w:pPr>
              <w:jc w:val="center"/>
              <w:rPr>
                <w:sz w:val="13"/>
                <w:szCs w:val="13"/>
              </w:rPr>
            </w:pPr>
            <w:r w:rsidRPr="00640447">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2B4F1A3C" w14:textId="77777777" w:rsidR="004A0123" w:rsidRPr="00640447" w:rsidRDefault="004A0123" w:rsidP="008A5C11">
            <w:pPr>
              <w:jc w:val="center"/>
              <w:rPr>
                <w:sz w:val="13"/>
                <w:szCs w:val="13"/>
              </w:rPr>
            </w:pPr>
            <w:r w:rsidRPr="00640447">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14AE3688" w14:textId="77777777" w:rsidR="004A0123" w:rsidRPr="00640447" w:rsidRDefault="004A0123" w:rsidP="008A5C11">
            <w:pPr>
              <w:jc w:val="center"/>
              <w:rPr>
                <w:sz w:val="13"/>
                <w:szCs w:val="13"/>
              </w:rPr>
            </w:pPr>
            <w:r w:rsidRPr="00640447">
              <w:rPr>
                <w:sz w:val="13"/>
                <w:szCs w:val="13"/>
              </w:rPr>
              <w:t>0</w:t>
            </w:r>
          </w:p>
        </w:tc>
        <w:tc>
          <w:tcPr>
            <w:tcW w:w="188" w:type="pct"/>
            <w:tcBorders>
              <w:top w:val="single" w:sz="4" w:space="0" w:color="auto"/>
              <w:left w:val="single" w:sz="4" w:space="0" w:color="auto"/>
              <w:bottom w:val="single" w:sz="4" w:space="0" w:color="auto"/>
              <w:right w:val="single" w:sz="4" w:space="0" w:color="auto"/>
            </w:tcBorders>
            <w:vAlign w:val="center"/>
          </w:tcPr>
          <w:p w14:paraId="7A6EC4DD" w14:textId="77777777" w:rsidR="004A0123" w:rsidRPr="00640447" w:rsidRDefault="004A0123" w:rsidP="008A5C11">
            <w:pPr>
              <w:jc w:val="center"/>
              <w:rPr>
                <w:sz w:val="13"/>
                <w:szCs w:val="13"/>
              </w:rPr>
            </w:pPr>
            <w:r w:rsidRPr="00640447">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06833ABD" w14:textId="77777777" w:rsidR="004A0123" w:rsidRPr="00640447" w:rsidRDefault="004A0123" w:rsidP="008A5C11">
            <w:pPr>
              <w:jc w:val="center"/>
              <w:rPr>
                <w:sz w:val="13"/>
                <w:szCs w:val="13"/>
              </w:rPr>
            </w:pPr>
            <w:r w:rsidRPr="00640447">
              <w:rPr>
                <w:sz w:val="13"/>
                <w:szCs w:val="13"/>
              </w:rPr>
              <w:t>0</w:t>
            </w:r>
          </w:p>
        </w:tc>
      </w:tr>
      <w:tr w:rsidR="004A0123" w:rsidRPr="00640447" w14:paraId="61011A77" w14:textId="77777777" w:rsidTr="008A5C11">
        <w:trPr>
          <w:trHeight w:val="489"/>
        </w:trPr>
        <w:tc>
          <w:tcPr>
            <w:tcW w:w="146" w:type="pct"/>
            <w:shd w:val="clear" w:color="auto" w:fill="auto"/>
            <w:vAlign w:val="center"/>
          </w:tcPr>
          <w:p w14:paraId="55EE3A6B" w14:textId="77777777" w:rsidR="004A0123" w:rsidRPr="00640447" w:rsidRDefault="004A0123" w:rsidP="008A5C11">
            <w:pPr>
              <w:jc w:val="center"/>
              <w:rPr>
                <w:sz w:val="13"/>
                <w:szCs w:val="13"/>
              </w:rPr>
            </w:pPr>
            <w:r w:rsidRPr="00640447">
              <w:rPr>
                <w:sz w:val="13"/>
                <w:szCs w:val="13"/>
              </w:rPr>
              <w:t>3.2.9.</w:t>
            </w:r>
          </w:p>
        </w:tc>
        <w:tc>
          <w:tcPr>
            <w:tcW w:w="616" w:type="pct"/>
            <w:tcBorders>
              <w:top w:val="nil"/>
              <w:left w:val="single" w:sz="4" w:space="0" w:color="auto"/>
              <w:bottom w:val="single" w:sz="4" w:space="0" w:color="auto"/>
              <w:right w:val="single" w:sz="4" w:space="0" w:color="auto"/>
            </w:tcBorders>
            <w:shd w:val="clear" w:color="auto" w:fill="auto"/>
            <w:vAlign w:val="center"/>
          </w:tcPr>
          <w:p w14:paraId="2F4403B2" w14:textId="77777777" w:rsidR="004A0123" w:rsidRPr="00640447" w:rsidRDefault="004A0123" w:rsidP="008A5C11">
            <w:pPr>
              <w:rPr>
                <w:color w:val="000000"/>
                <w:sz w:val="13"/>
                <w:szCs w:val="13"/>
              </w:rPr>
            </w:pPr>
            <w:r w:rsidRPr="00640447">
              <w:rPr>
                <w:color w:val="000000"/>
                <w:sz w:val="13"/>
                <w:szCs w:val="13"/>
              </w:rPr>
              <w:t xml:space="preserve">Реконструкция теплосетевого комплекса Центрального планировочного района на участке от ТК-8 до </w:t>
            </w:r>
            <w:proofErr w:type="gramStart"/>
            <w:r w:rsidRPr="00640447">
              <w:rPr>
                <w:color w:val="000000"/>
                <w:sz w:val="13"/>
                <w:szCs w:val="13"/>
              </w:rPr>
              <w:t>проектируе-мой</w:t>
            </w:r>
            <w:proofErr w:type="gramEnd"/>
            <w:r w:rsidRPr="00640447">
              <w:rPr>
                <w:color w:val="000000"/>
                <w:sz w:val="13"/>
                <w:szCs w:val="13"/>
              </w:rPr>
              <w:t xml:space="preserve"> ПНС (в здании котельной № 13, с целью ее закрытия)</w:t>
            </w:r>
          </w:p>
        </w:tc>
        <w:tc>
          <w:tcPr>
            <w:tcW w:w="359" w:type="pct"/>
            <w:tcBorders>
              <w:top w:val="nil"/>
              <w:left w:val="nil"/>
              <w:bottom w:val="single" w:sz="4" w:space="0" w:color="auto"/>
              <w:right w:val="single" w:sz="4" w:space="0" w:color="auto"/>
            </w:tcBorders>
            <w:shd w:val="clear" w:color="auto" w:fill="auto"/>
            <w:vAlign w:val="center"/>
          </w:tcPr>
          <w:p w14:paraId="5F4EA1EC" w14:textId="77777777" w:rsidR="004A0123" w:rsidRPr="00640447" w:rsidRDefault="004A0123" w:rsidP="008A5C11">
            <w:pPr>
              <w:jc w:val="center"/>
              <w:rPr>
                <w:color w:val="000000"/>
                <w:sz w:val="13"/>
                <w:szCs w:val="13"/>
              </w:rPr>
            </w:pPr>
            <w:r w:rsidRPr="00640447">
              <w:rPr>
                <w:color w:val="000000"/>
                <w:sz w:val="13"/>
                <w:szCs w:val="13"/>
              </w:rPr>
              <w:t>Повышение надежности теплоснабжения</w:t>
            </w:r>
          </w:p>
        </w:tc>
        <w:tc>
          <w:tcPr>
            <w:tcW w:w="360" w:type="pct"/>
            <w:tcBorders>
              <w:top w:val="nil"/>
              <w:left w:val="nil"/>
              <w:bottom w:val="single" w:sz="4" w:space="0" w:color="auto"/>
              <w:right w:val="single" w:sz="4" w:space="0" w:color="auto"/>
            </w:tcBorders>
            <w:shd w:val="clear" w:color="auto" w:fill="auto"/>
            <w:vAlign w:val="center"/>
          </w:tcPr>
          <w:p w14:paraId="66A6C7E7" w14:textId="77777777" w:rsidR="004A0123" w:rsidRPr="00640447" w:rsidRDefault="004A0123" w:rsidP="008A5C11">
            <w:pPr>
              <w:jc w:val="center"/>
              <w:rPr>
                <w:color w:val="000000"/>
                <w:sz w:val="13"/>
                <w:szCs w:val="13"/>
              </w:rPr>
            </w:pPr>
            <w:r w:rsidRPr="00640447">
              <w:rPr>
                <w:color w:val="000000"/>
                <w:sz w:val="13"/>
                <w:szCs w:val="13"/>
              </w:rPr>
              <w:t xml:space="preserve">г. Ленинск-Кузнецкий, </w:t>
            </w:r>
          </w:p>
          <w:p w14:paraId="274FDBB6" w14:textId="77777777" w:rsidR="004A0123" w:rsidRPr="00640447" w:rsidRDefault="004A0123" w:rsidP="008A5C11">
            <w:pPr>
              <w:jc w:val="center"/>
              <w:rPr>
                <w:color w:val="000000"/>
                <w:sz w:val="13"/>
                <w:szCs w:val="13"/>
              </w:rPr>
            </w:pPr>
            <w:r w:rsidRPr="00640447">
              <w:rPr>
                <w:color w:val="000000"/>
                <w:sz w:val="13"/>
                <w:szCs w:val="13"/>
              </w:rPr>
              <w:t>ул. Зорина, 6б</w:t>
            </w:r>
          </w:p>
        </w:tc>
        <w:tc>
          <w:tcPr>
            <w:tcW w:w="338" w:type="pct"/>
            <w:tcBorders>
              <w:top w:val="nil"/>
              <w:left w:val="nil"/>
              <w:bottom w:val="single" w:sz="4" w:space="0" w:color="auto"/>
              <w:right w:val="single" w:sz="4" w:space="0" w:color="auto"/>
            </w:tcBorders>
            <w:shd w:val="clear" w:color="auto" w:fill="auto"/>
            <w:vAlign w:val="center"/>
          </w:tcPr>
          <w:p w14:paraId="3DAC9315" w14:textId="77777777" w:rsidR="004A0123" w:rsidRPr="00640447" w:rsidRDefault="004A0123" w:rsidP="008A5C11">
            <w:pPr>
              <w:jc w:val="center"/>
              <w:rPr>
                <w:sz w:val="13"/>
                <w:szCs w:val="13"/>
              </w:rPr>
            </w:pPr>
            <w:r w:rsidRPr="00640447">
              <w:rPr>
                <w:sz w:val="13"/>
                <w:szCs w:val="13"/>
              </w:rPr>
              <w:t>Протяженность (трассы)</w:t>
            </w:r>
          </w:p>
        </w:tc>
        <w:tc>
          <w:tcPr>
            <w:tcW w:w="116" w:type="pct"/>
            <w:tcBorders>
              <w:top w:val="nil"/>
              <w:left w:val="nil"/>
              <w:bottom w:val="single" w:sz="4" w:space="0" w:color="auto"/>
              <w:right w:val="single" w:sz="4" w:space="0" w:color="auto"/>
            </w:tcBorders>
            <w:shd w:val="clear" w:color="auto" w:fill="auto"/>
            <w:vAlign w:val="center"/>
          </w:tcPr>
          <w:p w14:paraId="20936ECA" w14:textId="77777777" w:rsidR="004A0123" w:rsidRPr="00640447" w:rsidRDefault="004A0123" w:rsidP="008A5C11">
            <w:pPr>
              <w:jc w:val="center"/>
              <w:rPr>
                <w:sz w:val="13"/>
                <w:szCs w:val="13"/>
              </w:rPr>
            </w:pPr>
            <w:r w:rsidRPr="00640447">
              <w:rPr>
                <w:sz w:val="13"/>
                <w:szCs w:val="13"/>
              </w:rPr>
              <w:t>км</w:t>
            </w:r>
          </w:p>
        </w:tc>
        <w:tc>
          <w:tcPr>
            <w:tcW w:w="182" w:type="pct"/>
            <w:tcBorders>
              <w:top w:val="nil"/>
              <w:left w:val="single" w:sz="4" w:space="0" w:color="auto"/>
              <w:bottom w:val="single" w:sz="4" w:space="0" w:color="auto"/>
              <w:right w:val="single" w:sz="4" w:space="0" w:color="auto"/>
            </w:tcBorders>
            <w:shd w:val="clear" w:color="auto" w:fill="auto"/>
            <w:vAlign w:val="center"/>
          </w:tcPr>
          <w:p w14:paraId="530DECE9" w14:textId="77777777" w:rsidR="004A0123" w:rsidRPr="00640447" w:rsidRDefault="004A0123" w:rsidP="008A5C11">
            <w:pPr>
              <w:jc w:val="center"/>
              <w:rPr>
                <w:sz w:val="13"/>
                <w:szCs w:val="13"/>
              </w:rPr>
            </w:pPr>
            <w:r w:rsidRPr="00640447">
              <w:rPr>
                <w:sz w:val="13"/>
                <w:szCs w:val="13"/>
              </w:rPr>
              <w:t>0</w:t>
            </w:r>
          </w:p>
        </w:tc>
        <w:tc>
          <w:tcPr>
            <w:tcW w:w="174" w:type="pct"/>
            <w:tcBorders>
              <w:top w:val="nil"/>
              <w:left w:val="nil"/>
              <w:bottom w:val="single" w:sz="4" w:space="0" w:color="auto"/>
              <w:right w:val="single" w:sz="4" w:space="0" w:color="auto"/>
            </w:tcBorders>
            <w:shd w:val="clear" w:color="auto" w:fill="auto"/>
            <w:vAlign w:val="center"/>
          </w:tcPr>
          <w:p w14:paraId="584682F4" w14:textId="77777777" w:rsidR="004A0123" w:rsidRPr="00640447" w:rsidRDefault="004A0123" w:rsidP="008A5C11">
            <w:pPr>
              <w:jc w:val="center"/>
              <w:rPr>
                <w:sz w:val="13"/>
                <w:szCs w:val="13"/>
              </w:rPr>
            </w:pPr>
            <w:r w:rsidRPr="00640447">
              <w:rPr>
                <w:sz w:val="13"/>
                <w:szCs w:val="13"/>
              </w:rPr>
              <w:t>3,4</w:t>
            </w:r>
          </w:p>
        </w:tc>
        <w:tc>
          <w:tcPr>
            <w:tcW w:w="189" w:type="pct"/>
            <w:tcBorders>
              <w:top w:val="nil"/>
              <w:left w:val="nil"/>
              <w:bottom w:val="single" w:sz="4" w:space="0" w:color="auto"/>
              <w:right w:val="single" w:sz="4" w:space="0" w:color="auto"/>
            </w:tcBorders>
            <w:shd w:val="clear" w:color="auto" w:fill="auto"/>
            <w:vAlign w:val="center"/>
          </w:tcPr>
          <w:p w14:paraId="241AC274" w14:textId="77777777" w:rsidR="004A0123" w:rsidRPr="00640447" w:rsidRDefault="004A0123" w:rsidP="008A5C11">
            <w:pPr>
              <w:jc w:val="center"/>
              <w:rPr>
                <w:sz w:val="13"/>
                <w:szCs w:val="13"/>
              </w:rPr>
            </w:pPr>
            <w:r w:rsidRPr="00640447">
              <w:rPr>
                <w:sz w:val="13"/>
                <w:szCs w:val="13"/>
              </w:rPr>
              <w:t>2019</w:t>
            </w:r>
          </w:p>
        </w:tc>
        <w:tc>
          <w:tcPr>
            <w:tcW w:w="184" w:type="pct"/>
            <w:tcBorders>
              <w:top w:val="nil"/>
              <w:left w:val="nil"/>
              <w:bottom w:val="single" w:sz="4" w:space="0" w:color="auto"/>
              <w:right w:val="single" w:sz="4" w:space="0" w:color="auto"/>
            </w:tcBorders>
            <w:shd w:val="clear" w:color="auto" w:fill="auto"/>
            <w:vAlign w:val="center"/>
          </w:tcPr>
          <w:p w14:paraId="31A2A0A0" w14:textId="77777777" w:rsidR="004A0123" w:rsidRPr="00640447" w:rsidRDefault="004A0123" w:rsidP="008A5C11">
            <w:pPr>
              <w:jc w:val="center"/>
              <w:rPr>
                <w:sz w:val="13"/>
                <w:szCs w:val="13"/>
              </w:rPr>
            </w:pPr>
            <w:r w:rsidRPr="00640447">
              <w:rPr>
                <w:sz w:val="13"/>
                <w:szCs w:val="13"/>
              </w:rPr>
              <w:t>2021</w:t>
            </w:r>
          </w:p>
        </w:tc>
        <w:tc>
          <w:tcPr>
            <w:tcW w:w="180" w:type="pct"/>
            <w:tcBorders>
              <w:top w:val="nil"/>
              <w:left w:val="nil"/>
              <w:bottom w:val="single" w:sz="4" w:space="0" w:color="auto"/>
              <w:right w:val="single" w:sz="4" w:space="0" w:color="auto"/>
            </w:tcBorders>
            <w:shd w:val="clear" w:color="auto" w:fill="auto"/>
            <w:vAlign w:val="center"/>
          </w:tcPr>
          <w:p w14:paraId="46F8F4B7" w14:textId="77777777" w:rsidR="004A0123" w:rsidRPr="00640447" w:rsidRDefault="004A0123" w:rsidP="008A5C11">
            <w:pPr>
              <w:jc w:val="center"/>
              <w:rPr>
                <w:sz w:val="13"/>
                <w:szCs w:val="13"/>
              </w:rPr>
            </w:pPr>
            <w:r w:rsidRPr="00640447">
              <w:rPr>
                <w:sz w:val="13"/>
                <w:szCs w:val="13"/>
              </w:rPr>
              <w:t>93627</w:t>
            </w:r>
          </w:p>
        </w:tc>
        <w:tc>
          <w:tcPr>
            <w:tcW w:w="187" w:type="pct"/>
            <w:tcBorders>
              <w:top w:val="nil"/>
              <w:left w:val="nil"/>
              <w:bottom w:val="single" w:sz="4" w:space="0" w:color="auto"/>
              <w:right w:val="single" w:sz="4" w:space="0" w:color="auto"/>
            </w:tcBorders>
            <w:shd w:val="clear" w:color="auto" w:fill="auto"/>
            <w:vAlign w:val="center"/>
          </w:tcPr>
          <w:p w14:paraId="57D0DB1C" w14:textId="77777777" w:rsidR="004A0123" w:rsidRPr="00640447" w:rsidRDefault="004A0123" w:rsidP="008A5C11">
            <w:pPr>
              <w:jc w:val="center"/>
              <w:rPr>
                <w:sz w:val="13"/>
                <w:szCs w:val="13"/>
              </w:rPr>
            </w:pPr>
            <w:r w:rsidRPr="00640447">
              <w:rPr>
                <w:sz w:val="13"/>
                <w:szCs w:val="13"/>
              </w:rPr>
              <w:t>0</w:t>
            </w:r>
          </w:p>
        </w:tc>
        <w:tc>
          <w:tcPr>
            <w:tcW w:w="146" w:type="pct"/>
            <w:tcBorders>
              <w:top w:val="nil"/>
              <w:left w:val="single" w:sz="4" w:space="0" w:color="auto"/>
              <w:bottom w:val="single" w:sz="4" w:space="0" w:color="auto"/>
              <w:right w:val="single" w:sz="4" w:space="0" w:color="auto"/>
            </w:tcBorders>
            <w:shd w:val="clear" w:color="auto" w:fill="auto"/>
            <w:vAlign w:val="center"/>
          </w:tcPr>
          <w:p w14:paraId="027297B8" w14:textId="77777777" w:rsidR="004A0123" w:rsidRPr="00640447" w:rsidRDefault="004A0123" w:rsidP="008A5C11">
            <w:pPr>
              <w:jc w:val="center"/>
              <w:rPr>
                <w:sz w:val="13"/>
                <w:szCs w:val="13"/>
              </w:rPr>
            </w:pPr>
            <w:r w:rsidRPr="00640447">
              <w:rPr>
                <w:sz w:val="13"/>
                <w:szCs w:val="13"/>
              </w:rPr>
              <w:t>92900</w:t>
            </w:r>
          </w:p>
        </w:tc>
        <w:tc>
          <w:tcPr>
            <w:tcW w:w="149" w:type="pct"/>
            <w:tcBorders>
              <w:top w:val="nil"/>
              <w:left w:val="nil"/>
              <w:bottom w:val="single" w:sz="4" w:space="0" w:color="auto"/>
              <w:right w:val="single" w:sz="4" w:space="0" w:color="auto"/>
            </w:tcBorders>
            <w:shd w:val="clear" w:color="auto" w:fill="auto"/>
            <w:vAlign w:val="center"/>
          </w:tcPr>
          <w:p w14:paraId="01331975" w14:textId="77777777" w:rsidR="004A0123" w:rsidRPr="00640447" w:rsidRDefault="004A0123" w:rsidP="008A5C11">
            <w:pPr>
              <w:jc w:val="center"/>
              <w:rPr>
                <w:sz w:val="13"/>
                <w:szCs w:val="13"/>
              </w:rPr>
            </w:pPr>
            <w:r w:rsidRPr="00640447">
              <w:rPr>
                <w:sz w:val="13"/>
                <w:szCs w:val="13"/>
              </w:rPr>
              <w:t>0</w:t>
            </w:r>
          </w:p>
        </w:tc>
        <w:tc>
          <w:tcPr>
            <w:tcW w:w="183" w:type="pct"/>
            <w:tcBorders>
              <w:top w:val="nil"/>
              <w:left w:val="nil"/>
              <w:bottom w:val="single" w:sz="4" w:space="0" w:color="auto"/>
              <w:right w:val="single" w:sz="4" w:space="0" w:color="auto"/>
            </w:tcBorders>
            <w:shd w:val="clear" w:color="auto" w:fill="auto"/>
            <w:vAlign w:val="center"/>
          </w:tcPr>
          <w:p w14:paraId="2064460B" w14:textId="77777777" w:rsidR="004A0123" w:rsidRPr="00640447" w:rsidRDefault="004A0123" w:rsidP="008A5C11">
            <w:pPr>
              <w:jc w:val="center"/>
              <w:rPr>
                <w:sz w:val="13"/>
                <w:szCs w:val="13"/>
              </w:rPr>
            </w:pPr>
            <w:r w:rsidRPr="00640447">
              <w:rPr>
                <w:sz w:val="13"/>
                <w:szCs w:val="13"/>
              </w:rPr>
              <w:t>727</w:t>
            </w:r>
          </w:p>
        </w:tc>
        <w:tc>
          <w:tcPr>
            <w:tcW w:w="183" w:type="pct"/>
            <w:tcBorders>
              <w:top w:val="nil"/>
              <w:left w:val="nil"/>
              <w:bottom w:val="single" w:sz="4" w:space="0" w:color="auto"/>
              <w:right w:val="single" w:sz="4" w:space="0" w:color="auto"/>
            </w:tcBorders>
            <w:shd w:val="clear" w:color="auto" w:fill="auto"/>
            <w:vAlign w:val="center"/>
          </w:tcPr>
          <w:p w14:paraId="41DFE8BC" w14:textId="77777777" w:rsidR="004A0123" w:rsidRPr="00640447" w:rsidRDefault="004A0123" w:rsidP="008A5C11">
            <w:pPr>
              <w:jc w:val="center"/>
              <w:rPr>
                <w:sz w:val="13"/>
                <w:szCs w:val="13"/>
              </w:rPr>
            </w:pPr>
            <w:r w:rsidRPr="00640447">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45F04BB3" w14:textId="77777777" w:rsidR="004A0123" w:rsidRPr="00640447" w:rsidRDefault="004A0123" w:rsidP="008A5C11">
            <w:pPr>
              <w:jc w:val="center"/>
              <w:rPr>
                <w:sz w:val="13"/>
                <w:szCs w:val="13"/>
              </w:rPr>
            </w:pPr>
            <w:r w:rsidRPr="00640447">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2E94FAA1" w14:textId="77777777" w:rsidR="004A0123" w:rsidRPr="00640447" w:rsidRDefault="004A0123" w:rsidP="008A5C11">
            <w:pPr>
              <w:jc w:val="center"/>
              <w:rPr>
                <w:sz w:val="13"/>
                <w:szCs w:val="13"/>
              </w:rPr>
            </w:pPr>
            <w:r w:rsidRPr="00640447">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245FBBD8" w14:textId="77777777" w:rsidR="004A0123" w:rsidRPr="00640447" w:rsidRDefault="004A0123" w:rsidP="008A5C11">
            <w:pPr>
              <w:jc w:val="center"/>
              <w:rPr>
                <w:sz w:val="13"/>
                <w:szCs w:val="13"/>
              </w:rPr>
            </w:pPr>
            <w:r w:rsidRPr="00640447">
              <w:rPr>
                <w:sz w:val="13"/>
                <w:szCs w:val="13"/>
              </w:rPr>
              <w:t>0</w:t>
            </w:r>
          </w:p>
        </w:tc>
        <w:tc>
          <w:tcPr>
            <w:tcW w:w="174" w:type="pct"/>
            <w:tcBorders>
              <w:top w:val="single" w:sz="4" w:space="0" w:color="auto"/>
              <w:left w:val="single" w:sz="4" w:space="0" w:color="auto"/>
              <w:bottom w:val="single" w:sz="4" w:space="0" w:color="auto"/>
              <w:right w:val="single" w:sz="4" w:space="0" w:color="auto"/>
            </w:tcBorders>
            <w:vAlign w:val="center"/>
          </w:tcPr>
          <w:p w14:paraId="07B620A5" w14:textId="77777777" w:rsidR="004A0123" w:rsidRPr="00640447" w:rsidRDefault="004A0123" w:rsidP="008A5C11">
            <w:pPr>
              <w:jc w:val="center"/>
              <w:rPr>
                <w:sz w:val="13"/>
                <w:szCs w:val="13"/>
              </w:rPr>
            </w:pPr>
            <w:r w:rsidRPr="00640447">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710EFEE1" w14:textId="77777777" w:rsidR="004A0123" w:rsidRPr="00640447" w:rsidRDefault="004A0123" w:rsidP="008A5C11">
            <w:pPr>
              <w:jc w:val="center"/>
              <w:rPr>
                <w:sz w:val="13"/>
                <w:szCs w:val="13"/>
              </w:rPr>
            </w:pPr>
            <w:r w:rsidRPr="00640447">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6754ECA1" w14:textId="77777777" w:rsidR="004A0123" w:rsidRPr="00640447" w:rsidRDefault="004A0123" w:rsidP="008A5C11">
            <w:pPr>
              <w:jc w:val="center"/>
              <w:rPr>
                <w:sz w:val="13"/>
                <w:szCs w:val="13"/>
              </w:rPr>
            </w:pPr>
            <w:r w:rsidRPr="00640447">
              <w:rPr>
                <w:sz w:val="13"/>
                <w:szCs w:val="13"/>
              </w:rPr>
              <w:t>0</w:t>
            </w:r>
          </w:p>
        </w:tc>
        <w:tc>
          <w:tcPr>
            <w:tcW w:w="188" w:type="pct"/>
            <w:tcBorders>
              <w:top w:val="single" w:sz="4" w:space="0" w:color="auto"/>
              <w:left w:val="single" w:sz="4" w:space="0" w:color="auto"/>
              <w:bottom w:val="single" w:sz="4" w:space="0" w:color="auto"/>
              <w:right w:val="single" w:sz="4" w:space="0" w:color="auto"/>
            </w:tcBorders>
            <w:vAlign w:val="center"/>
          </w:tcPr>
          <w:p w14:paraId="4006D619" w14:textId="77777777" w:rsidR="004A0123" w:rsidRPr="00640447" w:rsidRDefault="004A0123" w:rsidP="008A5C11">
            <w:pPr>
              <w:jc w:val="center"/>
              <w:rPr>
                <w:sz w:val="13"/>
                <w:szCs w:val="13"/>
              </w:rPr>
            </w:pPr>
            <w:r w:rsidRPr="00640447">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61504F5A" w14:textId="77777777" w:rsidR="004A0123" w:rsidRPr="00640447" w:rsidRDefault="004A0123" w:rsidP="008A5C11">
            <w:pPr>
              <w:jc w:val="center"/>
              <w:rPr>
                <w:sz w:val="13"/>
                <w:szCs w:val="13"/>
              </w:rPr>
            </w:pPr>
            <w:r w:rsidRPr="00640447">
              <w:rPr>
                <w:sz w:val="13"/>
                <w:szCs w:val="13"/>
              </w:rPr>
              <w:t>0</w:t>
            </w:r>
          </w:p>
        </w:tc>
      </w:tr>
      <w:tr w:rsidR="004A0123" w:rsidRPr="00640447" w14:paraId="0FA6BAD8" w14:textId="77777777" w:rsidTr="008A5C11">
        <w:trPr>
          <w:trHeight w:val="489"/>
        </w:trPr>
        <w:tc>
          <w:tcPr>
            <w:tcW w:w="146" w:type="pct"/>
            <w:shd w:val="clear" w:color="auto" w:fill="auto"/>
            <w:vAlign w:val="center"/>
          </w:tcPr>
          <w:p w14:paraId="02614138" w14:textId="77777777" w:rsidR="004A0123" w:rsidRPr="00640447" w:rsidRDefault="004A0123" w:rsidP="008A5C11">
            <w:pPr>
              <w:jc w:val="center"/>
              <w:rPr>
                <w:sz w:val="13"/>
                <w:szCs w:val="13"/>
              </w:rPr>
            </w:pPr>
            <w:r w:rsidRPr="00640447">
              <w:rPr>
                <w:sz w:val="13"/>
                <w:szCs w:val="13"/>
              </w:rPr>
              <w:t>3.2.10.</w:t>
            </w:r>
          </w:p>
        </w:tc>
        <w:tc>
          <w:tcPr>
            <w:tcW w:w="616" w:type="pct"/>
            <w:tcBorders>
              <w:top w:val="nil"/>
              <w:left w:val="single" w:sz="4" w:space="0" w:color="auto"/>
              <w:bottom w:val="single" w:sz="4" w:space="0" w:color="auto"/>
              <w:right w:val="single" w:sz="4" w:space="0" w:color="auto"/>
            </w:tcBorders>
            <w:shd w:val="clear" w:color="auto" w:fill="auto"/>
            <w:vAlign w:val="center"/>
          </w:tcPr>
          <w:p w14:paraId="680FA9BA" w14:textId="77777777" w:rsidR="004A0123" w:rsidRPr="00640447" w:rsidRDefault="004A0123" w:rsidP="008A5C11">
            <w:pPr>
              <w:rPr>
                <w:color w:val="000000"/>
                <w:sz w:val="13"/>
                <w:szCs w:val="13"/>
              </w:rPr>
            </w:pPr>
            <w:r w:rsidRPr="00640447">
              <w:rPr>
                <w:color w:val="000000"/>
                <w:sz w:val="13"/>
                <w:szCs w:val="13"/>
              </w:rPr>
              <w:t>Котельная «Центральная». Проектирование и замена котла № 1 на КВ-РФ-30-150 с топкой ВКС</w:t>
            </w:r>
          </w:p>
        </w:tc>
        <w:tc>
          <w:tcPr>
            <w:tcW w:w="359" w:type="pct"/>
            <w:tcBorders>
              <w:top w:val="nil"/>
              <w:left w:val="nil"/>
              <w:bottom w:val="single" w:sz="4" w:space="0" w:color="auto"/>
              <w:right w:val="single" w:sz="4" w:space="0" w:color="auto"/>
            </w:tcBorders>
            <w:shd w:val="clear" w:color="auto" w:fill="auto"/>
            <w:vAlign w:val="center"/>
          </w:tcPr>
          <w:p w14:paraId="3BEF411B" w14:textId="77777777" w:rsidR="004A0123" w:rsidRPr="00640447" w:rsidRDefault="004A0123" w:rsidP="008A5C11">
            <w:pPr>
              <w:jc w:val="center"/>
              <w:rPr>
                <w:color w:val="000000"/>
                <w:sz w:val="13"/>
                <w:szCs w:val="13"/>
              </w:rPr>
            </w:pPr>
            <w:r w:rsidRPr="00640447">
              <w:rPr>
                <w:color w:val="000000"/>
                <w:sz w:val="13"/>
                <w:szCs w:val="13"/>
              </w:rPr>
              <w:t>Повышение надежности теплоснабжения</w:t>
            </w:r>
          </w:p>
        </w:tc>
        <w:tc>
          <w:tcPr>
            <w:tcW w:w="360" w:type="pct"/>
            <w:tcBorders>
              <w:top w:val="nil"/>
              <w:left w:val="nil"/>
              <w:bottom w:val="single" w:sz="4" w:space="0" w:color="auto"/>
              <w:right w:val="single" w:sz="4" w:space="0" w:color="auto"/>
            </w:tcBorders>
            <w:shd w:val="clear" w:color="auto" w:fill="auto"/>
            <w:vAlign w:val="center"/>
          </w:tcPr>
          <w:p w14:paraId="64A16EF1" w14:textId="77777777" w:rsidR="004A0123" w:rsidRPr="00640447" w:rsidRDefault="004A0123" w:rsidP="008A5C11">
            <w:pPr>
              <w:jc w:val="center"/>
              <w:rPr>
                <w:color w:val="000000"/>
                <w:sz w:val="13"/>
                <w:szCs w:val="13"/>
              </w:rPr>
            </w:pPr>
            <w:r w:rsidRPr="00640447">
              <w:rPr>
                <w:color w:val="000000"/>
                <w:sz w:val="13"/>
                <w:szCs w:val="13"/>
              </w:rPr>
              <w:t xml:space="preserve">г. Ленинск-Кузнецкий, </w:t>
            </w:r>
          </w:p>
          <w:p w14:paraId="2029EDFE" w14:textId="77777777" w:rsidR="004A0123" w:rsidRPr="00640447" w:rsidRDefault="004A0123" w:rsidP="008A5C11">
            <w:pPr>
              <w:jc w:val="center"/>
              <w:rPr>
                <w:color w:val="000000"/>
                <w:sz w:val="13"/>
                <w:szCs w:val="13"/>
              </w:rPr>
            </w:pPr>
            <w:r w:rsidRPr="00640447">
              <w:rPr>
                <w:color w:val="000000"/>
                <w:sz w:val="13"/>
                <w:szCs w:val="13"/>
              </w:rPr>
              <w:t>ул. Суворова, 21а</w:t>
            </w:r>
          </w:p>
        </w:tc>
        <w:tc>
          <w:tcPr>
            <w:tcW w:w="338" w:type="pct"/>
            <w:tcBorders>
              <w:top w:val="nil"/>
              <w:left w:val="nil"/>
              <w:bottom w:val="single" w:sz="4" w:space="0" w:color="auto"/>
              <w:right w:val="single" w:sz="4" w:space="0" w:color="auto"/>
            </w:tcBorders>
            <w:shd w:val="clear" w:color="auto" w:fill="auto"/>
            <w:vAlign w:val="center"/>
          </w:tcPr>
          <w:p w14:paraId="039BE5F8" w14:textId="77777777" w:rsidR="004A0123" w:rsidRPr="00640447" w:rsidRDefault="004A0123" w:rsidP="008A5C11">
            <w:pPr>
              <w:jc w:val="center"/>
              <w:rPr>
                <w:sz w:val="13"/>
                <w:szCs w:val="13"/>
              </w:rPr>
            </w:pPr>
            <w:r w:rsidRPr="00640447">
              <w:rPr>
                <w:sz w:val="13"/>
                <w:szCs w:val="13"/>
              </w:rPr>
              <w:t>Установленная мощность</w:t>
            </w:r>
          </w:p>
        </w:tc>
        <w:tc>
          <w:tcPr>
            <w:tcW w:w="116" w:type="pct"/>
            <w:tcBorders>
              <w:top w:val="nil"/>
              <w:left w:val="nil"/>
              <w:bottom w:val="single" w:sz="4" w:space="0" w:color="auto"/>
              <w:right w:val="single" w:sz="4" w:space="0" w:color="auto"/>
            </w:tcBorders>
            <w:shd w:val="clear" w:color="auto" w:fill="auto"/>
            <w:vAlign w:val="center"/>
          </w:tcPr>
          <w:p w14:paraId="0ED21385" w14:textId="77777777" w:rsidR="004A0123" w:rsidRPr="00640447" w:rsidRDefault="004A0123" w:rsidP="008A5C11">
            <w:pPr>
              <w:jc w:val="center"/>
              <w:rPr>
                <w:sz w:val="13"/>
                <w:szCs w:val="13"/>
              </w:rPr>
            </w:pPr>
            <w:r w:rsidRPr="00640447">
              <w:rPr>
                <w:sz w:val="13"/>
                <w:szCs w:val="13"/>
              </w:rPr>
              <w:t>Гкал/ч</w:t>
            </w:r>
          </w:p>
        </w:tc>
        <w:tc>
          <w:tcPr>
            <w:tcW w:w="182" w:type="pct"/>
            <w:tcBorders>
              <w:top w:val="nil"/>
              <w:left w:val="single" w:sz="4" w:space="0" w:color="auto"/>
              <w:bottom w:val="single" w:sz="4" w:space="0" w:color="auto"/>
              <w:right w:val="single" w:sz="4" w:space="0" w:color="auto"/>
            </w:tcBorders>
            <w:shd w:val="clear" w:color="auto" w:fill="auto"/>
            <w:vAlign w:val="center"/>
          </w:tcPr>
          <w:p w14:paraId="2C43802D" w14:textId="77777777" w:rsidR="004A0123" w:rsidRPr="00640447" w:rsidRDefault="004A0123" w:rsidP="008A5C11">
            <w:pPr>
              <w:jc w:val="center"/>
              <w:rPr>
                <w:sz w:val="13"/>
                <w:szCs w:val="13"/>
              </w:rPr>
            </w:pPr>
            <w:r w:rsidRPr="00640447">
              <w:rPr>
                <w:sz w:val="13"/>
                <w:szCs w:val="13"/>
              </w:rPr>
              <w:t>20</w:t>
            </w:r>
          </w:p>
        </w:tc>
        <w:tc>
          <w:tcPr>
            <w:tcW w:w="174" w:type="pct"/>
            <w:tcBorders>
              <w:top w:val="nil"/>
              <w:left w:val="nil"/>
              <w:bottom w:val="single" w:sz="4" w:space="0" w:color="auto"/>
              <w:right w:val="single" w:sz="4" w:space="0" w:color="auto"/>
            </w:tcBorders>
            <w:shd w:val="clear" w:color="auto" w:fill="auto"/>
            <w:vAlign w:val="center"/>
          </w:tcPr>
          <w:p w14:paraId="3499144B" w14:textId="77777777" w:rsidR="004A0123" w:rsidRPr="00640447" w:rsidRDefault="004A0123" w:rsidP="008A5C11">
            <w:pPr>
              <w:jc w:val="center"/>
              <w:rPr>
                <w:sz w:val="13"/>
                <w:szCs w:val="13"/>
              </w:rPr>
            </w:pPr>
            <w:r w:rsidRPr="00640447">
              <w:rPr>
                <w:sz w:val="13"/>
                <w:szCs w:val="13"/>
              </w:rPr>
              <w:t>30</w:t>
            </w:r>
          </w:p>
        </w:tc>
        <w:tc>
          <w:tcPr>
            <w:tcW w:w="189" w:type="pct"/>
            <w:tcBorders>
              <w:top w:val="nil"/>
              <w:left w:val="nil"/>
              <w:bottom w:val="single" w:sz="4" w:space="0" w:color="auto"/>
              <w:right w:val="single" w:sz="4" w:space="0" w:color="auto"/>
            </w:tcBorders>
            <w:shd w:val="clear" w:color="auto" w:fill="auto"/>
            <w:vAlign w:val="center"/>
          </w:tcPr>
          <w:p w14:paraId="6FAC41D5" w14:textId="77777777" w:rsidR="004A0123" w:rsidRPr="00640447" w:rsidRDefault="004A0123" w:rsidP="008A5C11">
            <w:pPr>
              <w:jc w:val="center"/>
              <w:rPr>
                <w:sz w:val="13"/>
                <w:szCs w:val="13"/>
              </w:rPr>
            </w:pPr>
            <w:r w:rsidRPr="00640447">
              <w:rPr>
                <w:sz w:val="13"/>
                <w:szCs w:val="13"/>
              </w:rPr>
              <w:t>2022</w:t>
            </w:r>
          </w:p>
        </w:tc>
        <w:tc>
          <w:tcPr>
            <w:tcW w:w="184" w:type="pct"/>
            <w:tcBorders>
              <w:top w:val="nil"/>
              <w:left w:val="nil"/>
              <w:bottom w:val="single" w:sz="4" w:space="0" w:color="auto"/>
              <w:right w:val="single" w:sz="4" w:space="0" w:color="auto"/>
            </w:tcBorders>
            <w:shd w:val="clear" w:color="auto" w:fill="auto"/>
            <w:vAlign w:val="center"/>
          </w:tcPr>
          <w:p w14:paraId="3E66783F" w14:textId="77777777" w:rsidR="004A0123" w:rsidRPr="00640447" w:rsidRDefault="004A0123" w:rsidP="008A5C11">
            <w:pPr>
              <w:jc w:val="center"/>
              <w:rPr>
                <w:sz w:val="13"/>
                <w:szCs w:val="13"/>
              </w:rPr>
            </w:pPr>
            <w:r w:rsidRPr="00640447">
              <w:rPr>
                <w:sz w:val="13"/>
                <w:szCs w:val="13"/>
              </w:rPr>
              <w:t>2022</w:t>
            </w:r>
          </w:p>
        </w:tc>
        <w:tc>
          <w:tcPr>
            <w:tcW w:w="180" w:type="pct"/>
            <w:tcBorders>
              <w:top w:val="nil"/>
              <w:left w:val="nil"/>
              <w:bottom w:val="single" w:sz="4" w:space="0" w:color="auto"/>
              <w:right w:val="single" w:sz="4" w:space="0" w:color="auto"/>
            </w:tcBorders>
            <w:shd w:val="clear" w:color="auto" w:fill="auto"/>
            <w:vAlign w:val="center"/>
          </w:tcPr>
          <w:p w14:paraId="7C1FEA11" w14:textId="77777777" w:rsidR="004A0123" w:rsidRPr="00640447" w:rsidRDefault="004A0123" w:rsidP="008A5C11">
            <w:pPr>
              <w:jc w:val="center"/>
              <w:rPr>
                <w:sz w:val="13"/>
                <w:szCs w:val="13"/>
              </w:rPr>
            </w:pPr>
            <w:r w:rsidRPr="00640447">
              <w:rPr>
                <w:sz w:val="13"/>
                <w:szCs w:val="13"/>
              </w:rPr>
              <w:t>45079</w:t>
            </w:r>
          </w:p>
        </w:tc>
        <w:tc>
          <w:tcPr>
            <w:tcW w:w="187" w:type="pct"/>
            <w:tcBorders>
              <w:top w:val="nil"/>
              <w:left w:val="nil"/>
              <w:bottom w:val="single" w:sz="4" w:space="0" w:color="auto"/>
              <w:right w:val="single" w:sz="4" w:space="0" w:color="auto"/>
            </w:tcBorders>
            <w:shd w:val="clear" w:color="auto" w:fill="auto"/>
            <w:vAlign w:val="center"/>
          </w:tcPr>
          <w:p w14:paraId="6F637E91" w14:textId="77777777" w:rsidR="004A0123" w:rsidRPr="00640447" w:rsidRDefault="004A0123" w:rsidP="008A5C11">
            <w:pPr>
              <w:jc w:val="center"/>
              <w:rPr>
                <w:sz w:val="13"/>
                <w:szCs w:val="13"/>
              </w:rPr>
            </w:pPr>
            <w:r w:rsidRPr="00640447">
              <w:rPr>
                <w:sz w:val="13"/>
                <w:szCs w:val="13"/>
              </w:rPr>
              <w:t>0</w:t>
            </w:r>
          </w:p>
        </w:tc>
        <w:tc>
          <w:tcPr>
            <w:tcW w:w="146" w:type="pct"/>
            <w:tcBorders>
              <w:top w:val="nil"/>
              <w:left w:val="single" w:sz="4" w:space="0" w:color="auto"/>
              <w:bottom w:val="single" w:sz="4" w:space="0" w:color="auto"/>
              <w:right w:val="single" w:sz="4" w:space="0" w:color="auto"/>
            </w:tcBorders>
            <w:shd w:val="clear" w:color="auto" w:fill="auto"/>
            <w:vAlign w:val="center"/>
          </w:tcPr>
          <w:p w14:paraId="56FB6C32" w14:textId="77777777" w:rsidR="004A0123" w:rsidRPr="00640447" w:rsidRDefault="004A0123" w:rsidP="008A5C11">
            <w:pPr>
              <w:jc w:val="center"/>
              <w:rPr>
                <w:sz w:val="13"/>
                <w:szCs w:val="13"/>
              </w:rPr>
            </w:pPr>
            <w:r w:rsidRPr="00640447">
              <w:rPr>
                <w:sz w:val="13"/>
                <w:szCs w:val="13"/>
              </w:rPr>
              <w:t>0</w:t>
            </w:r>
          </w:p>
        </w:tc>
        <w:tc>
          <w:tcPr>
            <w:tcW w:w="149" w:type="pct"/>
            <w:tcBorders>
              <w:top w:val="nil"/>
              <w:left w:val="nil"/>
              <w:bottom w:val="single" w:sz="4" w:space="0" w:color="auto"/>
              <w:right w:val="single" w:sz="4" w:space="0" w:color="auto"/>
            </w:tcBorders>
            <w:shd w:val="clear" w:color="auto" w:fill="auto"/>
            <w:vAlign w:val="center"/>
          </w:tcPr>
          <w:p w14:paraId="0672AD2F" w14:textId="77777777" w:rsidR="004A0123" w:rsidRPr="00640447" w:rsidRDefault="004A0123" w:rsidP="008A5C11">
            <w:pPr>
              <w:jc w:val="center"/>
              <w:rPr>
                <w:sz w:val="13"/>
                <w:szCs w:val="13"/>
              </w:rPr>
            </w:pPr>
            <w:r w:rsidRPr="00640447">
              <w:rPr>
                <w:sz w:val="13"/>
                <w:szCs w:val="13"/>
              </w:rPr>
              <w:t>0</w:t>
            </w:r>
          </w:p>
        </w:tc>
        <w:tc>
          <w:tcPr>
            <w:tcW w:w="183" w:type="pct"/>
            <w:tcBorders>
              <w:top w:val="nil"/>
              <w:left w:val="nil"/>
              <w:bottom w:val="single" w:sz="4" w:space="0" w:color="auto"/>
              <w:right w:val="single" w:sz="4" w:space="0" w:color="auto"/>
            </w:tcBorders>
            <w:shd w:val="clear" w:color="auto" w:fill="auto"/>
            <w:vAlign w:val="center"/>
          </w:tcPr>
          <w:p w14:paraId="786A9094" w14:textId="77777777" w:rsidR="004A0123" w:rsidRPr="00640447" w:rsidRDefault="004A0123" w:rsidP="008A5C11">
            <w:pPr>
              <w:jc w:val="center"/>
              <w:rPr>
                <w:sz w:val="13"/>
                <w:szCs w:val="13"/>
              </w:rPr>
            </w:pPr>
            <w:r w:rsidRPr="00640447">
              <w:rPr>
                <w:sz w:val="13"/>
                <w:szCs w:val="13"/>
              </w:rPr>
              <w:t>0</w:t>
            </w:r>
          </w:p>
        </w:tc>
        <w:tc>
          <w:tcPr>
            <w:tcW w:w="183" w:type="pct"/>
            <w:tcBorders>
              <w:top w:val="nil"/>
              <w:left w:val="nil"/>
              <w:bottom w:val="single" w:sz="4" w:space="0" w:color="auto"/>
              <w:right w:val="single" w:sz="4" w:space="0" w:color="auto"/>
            </w:tcBorders>
            <w:shd w:val="clear" w:color="auto" w:fill="auto"/>
            <w:vAlign w:val="center"/>
          </w:tcPr>
          <w:p w14:paraId="2B3979EC" w14:textId="77777777" w:rsidR="004A0123" w:rsidRPr="00640447" w:rsidRDefault="004A0123" w:rsidP="008A5C11">
            <w:pPr>
              <w:jc w:val="center"/>
              <w:rPr>
                <w:sz w:val="13"/>
                <w:szCs w:val="13"/>
              </w:rPr>
            </w:pPr>
            <w:r w:rsidRPr="00640447">
              <w:rPr>
                <w:sz w:val="13"/>
                <w:szCs w:val="13"/>
              </w:rPr>
              <w:t>45079</w:t>
            </w:r>
          </w:p>
        </w:tc>
        <w:tc>
          <w:tcPr>
            <w:tcW w:w="155" w:type="pct"/>
            <w:tcBorders>
              <w:top w:val="single" w:sz="4" w:space="0" w:color="auto"/>
              <w:left w:val="single" w:sz="4" w:space="0" w:color="auto"/>
              <w:bottom w:val="single" w:sz="4" w:space="0" w:color="auto"/>
              <w:right w:val="single" w:sz="4" w:space="0" w:color="auto"/>
            </w:tcBorders>
            <w:vAlign w:val="center"/>
          </w:tcPr>
          <w:p w14:paraId="57072BD3" w14:textId="77777777" w:rsidR="004A0123" w:rsidRPr="00640447" w:rsidRDefault="004A0123" w:rsidP="008A5C11">
            <w:pPr>
              <w:jc w:val="center"/>
              <w:rPr>
                <w:sz w:val="13"/>
                <w:szCs w:val="13"/>
              </w:rPr>
            </w:pPr>
            <w:r w:rsidRPr="00640447">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4929165E" w14:textId="77777777" w:rsidR="004A0123" w:rsidRPr="00640447" w:rsidRDefault="004A0123" w:rsidP="008A5C11">
            <w:pPr>
              <w:jc w:val="center"/>
              <w:rPr>
                <w:sz w:val="13"/>
                <w:szCs w:val="13"/>
              </w:rPr>
            </w:pPr>
            <w:r w:rsidRPr="00640447">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484BF063" w14:textId="77777777" w:rsidR="004A0123" w:rsidRPr="00640447" w:rsidRDefault="004A0123" w:rsidP="008A5C11">
            <w:pPr>
              <w:jc w:val="center"/>
              <w:rPr>
                <w:sz w:val="13"/>
                <w:szCs w:val="13"/>
              </w:rPr>
            </w:pPr>
            <w:r w:rsidRPr="00640447">
              <w:rPr>
                <w:sz w:val="13"/>
                <w:szCs w:val="13"/>
              </w:rPr>
              <w:t>0</w:t>
            </w:r>
          </w:p>
        </w:tc>
        <w:tc>
          <w:tcPr>
            <w:tcW w:w="174" w:type="pct"/>
            <w:tcBorders>
              <w:top w:val="single" w:sz="4" w:space="0" w:color="auto"/>
              <w:left w:val="single" w:sz="4" w:space="0" w:color="auto"/>
              <w:bottom w:val="single" w:sz="4" w:space="0" w:color="auto"/>
              <w:right w:val="single" w:sz="4" w:space="0" w:color="auto"/>
            </w:tcBorders>
            <w:vAlign w:val="center"/>
          </w:tcPr>
          <w:p w14:paraId="2451D072" w14:textId="77777777" w:rsidR="004A0123" w:rsidRPr="00640447" w:rsidRDefault="004A0123" w:rsidP="008A5C11">
            <w:pPr>
              <w:jc w:val="center"/>
              <w:rPr>
                <w:sz w:val="13"/>
                <w:szCs w:val="13"/>
              </w:rPr>
            </w:pPr>
            <w:r w:rsidRPr="00640447">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71B66E04" w14:textId="77777777" w:rsidR="004A0123" w:rsidRPr="00640447" w:rsidRDefault="004A0123" w:rsidP="008A5C11">
            <w:pPr>
              <w:jc w:val="center"/>
              <w:rPr>
                <w:sz w:val="13"/>
                <w:szCs w:val="13"/>
              </w:rPr>
            </w:pPr>
            <w:r w:rsidRPr="00640447">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7EA79007" w14:textId="77777777" w:rsidR="004A0123" w:rsidRPr="00640447" w:rsidRDefault="004A0123" w:rsidP="008A5C11">
            <w:pPr>
              <w:jc w:val="center"/>
              <w:rPr>
                <w:sz w:val="13"/>
                <w:szCs w:val="13"/>
              </w:rPr>
            </w:pPr>
            <w:r w:rsidRPr="00640447">
              <w:rPr>
                <w:sz w:val="13"/>
                <w:szCs w:val="13"/>
              </w:rPr>
              <w:t>0</w:t>
            </w:r>
          </w:p>
        </w:tc>
        <w:tc>
          <w:tcPr>
            <w:tcW w:w="188" w:type="pct"/>
            <w:tcBorders>
              <w:top w:val="single" w:sz="4" w:space="0" w:color="auto"/>
              <w:left w:val="single" w:sz="4" w:space="0" w:color="auto"/>
              <w:bottom w:val="single" w:sz="4" w:space="0" w:color="auto"/>
              <w:right w:val="single" w:sz="4" w:space="0" w:color="auto"/>
            </w:tcBorders>
            <w:vAlign w:val="center"/>
          </w:tcPr>
          <w:p w14:paraId="7D4D510E" w14:textId="77777777" w:rsidR="004A0123" w:rsidRPr="00640447" w:rsidRDefault="004A0123" w:rsidP="008A5C11">
            <w:pPr>
              <w:jc w:val="center"/>
              <w:rPr>
                <w:sz w:val="13"/>
                <w:szCs w:val="13"/>
              </w:rPr>
            </w:pPr>
            <w:r w:rsidRPr="00640447">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1A2B7150" w14:textId="77777777" w:rsidR="004A0123" w:rsidRPr="00640447" w:rsidRDefault="004A0123" w:rsidP="008A5C11">
            <w:pPr>
              <w:jc w:val="center"/>
              <w:rPr>
                <w:sz w:val="13"/>
                <w:szCs w:val="13"/>
              </w:rPr>
            </w:pPr>
            <w:r w:rsidRPr="00640447">
              <w:rPr>
                <w:sz w:val="13"/>
                <w:szCs w:val="13"/>
              </w:rPr>
              <w:t>0</w:t>
            </w:r>
          </w:p>
        </w:tc>
      </w:tr>
      <w:tr w:rsidR="004A0123" w:rsidRPr="00640447" w14:paraId="6036BBC0" w14:textId="77777777" w:rsidTr="008A5C11">
        <w:trPr>
          <w:trHeight w:val="64"/>
        </w:trPr>
        <w:tc>
          <w:tcPr>
            <w:tcW w:w="146" w:type="pct"/>
            <w:tcBorders>
              <w:bottom w:val="single" w:sz="4" w:space="0" w:color="auto"/>
            </w:tcBorders>
            <w:shd w:val="clear" w:color="auto" w:fill="auto"/>
            <w:vAlign w:val="center"/>
          </w:tcPr>
          <w:p w14:paraId="0A5AAD77" w14:textId="77777777" w:rsidR="004A0123" w:rsidRPr="00640447" w:rsidRDefault="004A0123" w:rsidP="008A5C11">
            <w:pPr>
              <w:jc w:val="center"/>
              <w:rPr>
                <w:sz w:val="13"/>
                <w:szCs w:val="13"/>
              </w:rPr>
            </w:pPr>
            <w:r w:rsidRPr="00640447">
              <w:rPr>
                <w:sz w:val="13"/>
                <w:szCs w:val="13"/>
              </w:rPr>
              <w:t>3.2.11.</w:t>
            </w:r>
          </w:p>
        </w:tc>
        <w:tc>
          <w:tcPr>
            <w:tcW w:w="616" w:type="pct"/>
            <w:tcBorders>
              <w:top w:val="nil"/>
              <w:left w:val="single" w:sz="4" w:space="0" w:color="auto"/>
              <w:bottom w:val="single" w:sz="4" w:space="0" w:color="auto"/>
              <w:right w:val="single" w:sz="4" w:space="0" w:color="auto"/>
            </w:tcBorders>
            <w:shd w:val="clear" w:color="auto" w:fill="auto"/>
            <w:vAlign w:val="center"/>
          </w:tcPr>
          <w:p w14:paraId="53BD5C29" w14:textId="77777777" w:rsidR="004A0123" w:rsidRPr="00640447" w:rsidRDefault="004A0123" w:rsidP="008A5C11">
            <w:pPr>
              <w:rPr>
                <w:color w:val="000000"/>
                <w:sz w:val="13"/>
                <w:szCs w:val="13"/>
              </w:rPr>
            </w:pPr>
            <w:r w:rsidRPr="00640447">
              <w:rPr>
                <w:color w:val="000000"/>
                <w:sz w:val="13"/>
                <w:szCs w:val="13"/>
              </w:rPr>
              <w:t>г. Ленинск-Кузнецкий. Котельная «Центральная». Проектирование и замена котла № 2, 3 на КВ-РФ-30-150 с топкой ВКС</w:t>
            </w:r>
          </w:p>
        </w:tc>
        <w:tc>
          <w:tcPr>
            <w:tcW w:w="359" w:type="pct"/>
            <w:tcBorders>
              <w:top w:val="nil"/>
              <w:left w:val="nil"/>
              <w:bottom w:val="single" w:sz="4" w:space="0" w:color="auto"/>
              <w:right w:val="single" w:sz="4" w:space="0" w:color="auto"/>
            </w:tcBorders>
            <w:shd w:val="clear" w:color="auto" w:fill="auto"/>
            <w:vAlign w:val="center"/>
          </w:tcPr>
          <w:p w14:paraId="228577FF" w14:textId="77777777" w:rsidR="004A0123" w:rsidRPr="00640447" w:rsidRDefault="004A0123" w:rsidP="008A5C11">
            <w:pPr>
              <w:jc w:val="center"/>
              <w:rPr>
                <w:color w:val="000000"/>
                <w:sz w:val="13"/>
                <w:szCs w:val="13"/>
              </w:rPr>
            </w:pPr>
            <w:r w:rsidRPr="00640447">
              <w:rPr>
                <w:color w:val="000000"/>
                <w:sz w:val="13"/>
                <w:szCs w:val="13"/>
              </w:rPr>
              <w:t>Повышение надежности теплоснабжения</w:t>
            </w:r>
          </w:p>
        </w:tc>
        <w:tc>
          <w:tcPr>
            <w:tcW w:w="360" w:type="pct"/>
            <w:tcBorders>
              <w:top w:val="nil"/>
              <w:left w:val="nil"/>
              <w:bottom w:val="single" w:sz="4" w:space="0" w:color="auto"/>
              <w:right w:val="single" w:sz="4" w:space="0" w:color="auto"/>
            </w:tcBorders>
            <w:shd w:val="clear" w:color="auto" w:fill="auto"/>
            <w:vAlign w:val="center"/>
          </w:tcPr>
          <w:p w14:paraId="75594913" w14:textId="77777777" w:rsidR="004A0123" w:rsidRPr="00640447" w:rsidRDefault="004A0123" w:rsidP="008A5C11">
            <w:pPr>
              <w:jc w:val="center"/>
              <w:rPr>
                <w:color w:val="000000"/>
                <w:sz w:val="13"/>
                <w:szCs w:val="13"/>
              </w:rPr>
            </w:pPr>
            <w:r w:rsidRPr="00640447">
              <w:rPr>
                <w:color w:val="000000"/>
                <w:sz w:val="13"/>
                <w:szCs w:val="13"/>
              </w:rPr>
              <w:t xml:space="preserve">г. Ленинск-Кузнецкий, </w:t>
            </w:r>
          </w:p>
          <w:p w14:paraId="7D555D21" w14:textId="77777777" w:rsidR="004A0123" w:rsidRPr="00640447" w:rsidRDefault="004A0123" w:rsidP="008A5C11">
            <w:pPr>
              <w:jc w:val="center"/>
              <w:rPr>
                <w:color w:val="000000"/>
                <w:sz w:val="13"/>
                <w:szCs w:val="13"/>
              </w:rPr>
            </w:pPr>
            <w:r w:rsidRPr="00640447">
              <w:rPr>
                <w:color w:val="000000"/>
                <w:sz w:val="13"/>
                <w:szCs w:val="13"/>
              </w:rPr>
              <w:t>ул. Суворова, 21а</w:t>
            </w:r>
          </w:p>
        </w:tc>
        <w:tc>
          <w:tcPr>
            <w:tcW w:w="338" w:type="pct"/>
            <w:tcBorders>
              <w:top w:val="nil"/>
              <w:left w:val="nil"/>
              <w:bottom w:val="single" w:sz="4" w:space="0" w:color="auto"/>
              <w:right w:val="single" w:sz="4" w:space="0" w:color="auto"/>
            </w:tcBorders>
            <w:shd w:val="clear" w:color="auto" w:fill="auto"/>
            <w:vAlign w:val="center"/>
          </w:tcPr>
          <w:p w14:paraId="4EE2A550" w14:textId="77777777" w:rsidR="004A0123" w:rsidRPr="00640447" w:rsidRDefault="004A0123" w:rsidP="008A5C11">
            <w:pPr>
              <w:jc w:val="center"/>
              <w:rPr>
                <w:sz w:val="13"/>
                <w:szCs w:val="13"/>
              </w:rPr>
            </w:pPr>
            <w:r w:rsidRPr="00640447">
              <w:rPr>
                <w:sz w:val="13"/>
                <w:szCs w:val="13"/>
              </w:rPr>
              <w:t>Установленная мощность</w:t>
            </w:r>
          </w:p>
        </w:tc>
        <w:tc>
          <w:tcPr>
            <w:tcW w:w="116" w:type="pct"/>
            <w:tcBorders>
              <w:top w:val="nil"/>
              <w:left w:val="nil"/>
              <w:bottom w:val="single" w:sz="4" w:space="0" w:color="auto"/>
              <w:right w:val="single" w:sz="4" w:space="0" w:color="auto"/>
            </w:tcBorders>
            <w:shd w:val="clear" w:color="auto" w:fill="auto"/>
            <w:vAlign w:val="center"/>
          </w:tcPr>
          <w:p w14:paraId="67ECBE4F" w14:textId="77777777" w:rsidR="004A0123" w:rsidRPr="00640447" w:rsidRDefault="004A0123" w:rsidP="008A5C11">
            <w:pPr>
              <w:jc w:val="center"/>
              <w:rPr>
                <w:sz w:val="13"/>
                <w:szCs w:val="13"/>
              </w:rPr>
            </w:pPr>
            <w:r w:rsidRPr="00640447">
              <w:rPr>
                <w:sz w:val="13"/>
                <w:szCs w:val="13"/>
              </w:rPr>
              <w:t>Гкал/ч</w:t>
            </w:r>
          </w:p>
        </w:tc>
        <w:tc>
          <w:tcPr>
            <w:tcW w:w="182" w:type="pct"/>
            <w:tcBorders>
              <w:top w:val="nil"/>
              <w:left w:val="single" w:sz="4" w:space="0" w:color="auto"/>
              <w:bottom w:val="single" w:sz="4" w:space="0" w:color="auto"/>
              <w:right w:val="single" w:sz="4" w:space="0" w:color="auto"/>
            </w:tcBorders>
            <w:shd w:val="clear" w:color="auto" w:fill="auto"/>
            <w:vAlign w:val="center"/>
          </w:tcPr>
          <w:p w14:paraId="004DCB26" w14:textId="77777777" w:rsidR="004A0123" w:rsidRPr="00640447" w:rsidRDefault="004A0123" w:rsidP="008A5C11">
            <w:pPr>
              <w:jc w:val="center"/>
              <w:rPr>
                <w:sz w:val="13"/>
                <w:szCs w:val="13"/>
              </w:rPr>
            </w:pPr>
            <w:r w:rsidRPr="00640447">
              <w:rPr>
                <w:sz w:val="13"/>
                <w:szCs w:val="13"/>
              </w:rPr>
              <w:t>40</w:t>
            </w:r>
          </w:p>
        </w:tc>
        <w:tc>
          <w:tcPr>
            <w:tcW w:w="174" w:type="pct"/>
            <w:tcBorders>
              <w:top w:val="nil"/>
              <w:left w:val="nil"/>
              <w:bottom w:val="single" w:sz="4" w:space="0" w:color="auto"/>
              <w:right w:val="single" w:sz="4" w:space="0" w:color="auto"/>
            </w:tcBorders>
            <w:shd w:val="clear" w:color="auto" w:fill="auto"/>
            <w:vAlign w:val="center"/>
          </w:tcPr>
          <w:p w14:paraId="43771A3D" w14:textId="77777777" w:rsidR="004A0123" w:rsidRPr="00640447" w:rsidRDefault="004A0123" w:rsidP="008A5C11">
            <w:pPr>
              <w:jc w:val="center"/>
              <w:rPr>
                <w:sz w:val="13"/>
                <w:szCs w:val="13"/>
              </w:rPr>
            </w:pPr>
            <w:r w:rsidRPr="00640447">
              <w:rPr>
                <w:sz w:val="13"/>
                <w:szCs w:val="13"/>
              </w:rPr>
              <w:t>60</w:t>
            </w:r>
          </w:p>
        </w:tc>
        <w:tc>
          <w:tcPr>
            <w:tcW w:w="189" w:type="pct"/>
            <w:tcBorders>
              <w:top w:val="nil"/>
              <w:left w:val="nil"/>
              <w:bottom w:val="single" w:sz="4" w:space="0" w:color="auto"/>
              <w:right w:val="single" w:sz="4" w:space="0" w:color="auto"/>
            </w:tcBorders>
            <w:shd w:val="clear" w:color="auto" w:fill="auto"/>
            <w:vAlign w:val="center"/>
          </w:tcPr>
          <w:p w14:paraId="4B368129" w14:textId="77777777" w:rsidR="004A0123" w:rsidRPr="00640447" w:rsidRDefault="004A0123" w:rsidP="008A5C11">
            <w:pPr>
              <w:jc w:val="center"/>
              <w:rPr>
                <w:sz w:val="13"/>
                <w:szCs w:val="13"/>
              </w:rPr>
            </w:pPr>
            <w:r w:rsidRPr="00640447">
              <w:rPr>
                <w:sz w:val="13"/>
                <w:szCs w:val="13"/>
              </w:rPr>
              <w:t>2019</w:t>
            </w:r>
          </w:p>
        </w:tc>
        <w:tc>
          <w:tcPr>
            <w:tcW w:w="184" w:type="pct"/>
            <w:tcBorders>
              <w:top w:val="nil"/>
              <w:left w:val="nil"/>
              <w:bottom w:val="single" w:sz="4" w:space="0" w:color="auto"/>
              <w:right w:val="single" w:sz="4" w:space="0" w:color="auto"/>
            </w:tcBorders>
            <w:shd w:val="clear" w:color="auto" w:fill="auto"/>
            <w:vAlign w:val="center"/>
          </w:tcPr>
          <w:p w14:paraId="0505D272" w14:textId="77777777" w:rsidR="004A0123" w:rsidRPr="00640447" w:rsidRDefault="004A0123" w:rsidP="008A5C11">
            <w:pPr>
              <w:jc w:val="center"/>
              <w:rPr>
                <w:sz w:val="13"/>
                <w:szCs w:val="13"/>
              </w:rPr>
            </w:pPr>
            <w:r w:rsidRPr="00640447">
              <w:rPr>
                <w:sz w:val="13"/>
                <w:szCs w:val="13"/>
              </w:rPr>
              <w:t>2021</w:t>
            </w:r>
          </w:p>
        </w:tc>
        <w:tc>
          <w:tcPr>
            <w:tcW w:w="180" w:type="pct"/>
            <w:tcBorders>
              <w:top w:val="nil"/>
              <w:left w:val="nil"/>
              <w:bottom w:val="single" w:sz="4" w:space="0" w:color="auto"/>
              <w:right w:val="single" w:sz="4" w:space="0" w:color="auto"/>
            </w:tcBorders>
            <w:shd w:val="clear" w:color="auto" w:fill="auto"/>
            <w:vAlign w:val="center"/>
          </w:tcPr>
          <w:p w14:paraId="4B671D01" w14:textId="77777777" w:rsidR="004A0123" w:rsidRPr="00640447" w:rsidRDefault="004A0123" w:rsidP="008A5C11">
            <w:pPr>
              <w:jc w:val="center"/>
              <w:rPr>
                <w:sz w:val="13"/>
                <w:szCs w:val="13"/>
              </w:rPr>
            </w:pPr>
            <w:r w:rsidRPr="00640447">
              <w:rPr>
                <w:sz w:val="13"/>
                <w:szCs w:val="13"/>
              </w:rPr>
              <w:t>119839</w:t>
            </w:r>
          </w:p>
        </w:tc>
        <w:tc>
          <w:tcPr>
            <w:tcW w:w="187" w:type="pct"/>
            <w:tcBorders>
              <w:top w:val="nil"/>
              <w:left w:val="nil"/>
              <w:bottom w:val="single" w:sz="4" w:space="0" w:color="auto"/>
              <w:right w:val="single" w:sz="4" w:space="0" w:color="auto"/>
            </w:tcBorders>
            <w:shd w:val="clear" w:color="auto" w:fill="auto"/>
            <w:vAlign w:val="center"/>
          </w:tcPr>
          <w:p w14:paraId="4DD0950A" w14:textId="77777777" w:rsidR="004A0123" w:rsidRPr="00640447" w:rsidRDefault="004A0123" w:rsidP="008A5C11">
            <w:pPr>
              <w:jc w:val="center"/>
              <w:rPr>
                <w:sz w:val="13"/>
                <w:szCs w:val="13"/>
              </w:rPr>
            </w:pPr>
            <w:r w:rsidRPr="00640447">
              <w:rPr>
                <w:sz w:val="13"/>
                <w:szCs w:val="13"/>
              </w:rPr>
              <w:t>0</w:t>
            </w:r>
          </w:p>
        </w:tc>
        <w:tc>
          <w:tcPr>
            <w:tcW w:w="146" w:type="pct"/>
            <w:tcBorders>
              <w:top w:val="nil"/>
              <w:left w:val="single" w:sz="4" w:space="0" w:color="auto"/>
              <w:bottom w:val="single" w:sz="4" w:space="0" w:color="auto"/>
              <w:right w:val="single" w:sz="4" w:space="0" w:color="auto"/>
            </w:tcBorders>
            <w:shd w:val="clear" w:color="auto" w:fill="auto"/>
            <w:vAlign w:val="center"/>
          </w:tcPr>
          <w:p w14:paraId="55F28D21" w14:textId="77777777" w:rsidR="004A0123" w:rsidRPr="00640447" w:rsidRDefault="004A0123" w:rsidP="008A5C11">
            <w:pPr>
              <w:jc w:val="center"/>
              <w:rPr>
                <w:sz w:val="13"/>
                <w:szCs w:val="13"/>
              </w:rPr>
            </w:pPr>
            <w:r w:rsidRPr="00640447">
              <w:rPr>
                <w:sz w:val="13"/>
                <w:szCs w:val="13"/>
              </w:rPr>
              <w:t>60705</w:t>
            </w:r>
          </w:p>
        </w:tc>
        <w:tc>
          <w:tcPr>
            <w:tcW w:w="149" w:type="pct"/>
            <w:tcBorders>
              <w:top w:val="nil"/>
              <w:left w:val="nil"/>
              <w:bottom w:val="single" w:sz="4" w:space="0" w:color="auto"/>
              <w:right w:val="single" w:sz="4" w:space="0" w:color="auto"/>
            </w:tcBorders>
            <w:shd w:val="clear" w:color="auto" w:fill="auto"/>
            <w:vAlign w:val="center"/>
          </w:tcPr>
          <w:p w14:paraId="551D056D" w14:textId="77777777" w:rsidR="004A0123" w:rsidRPr="00640447" w:rsidRDefault="004A0123" w:rsidP="008A5C11">
            <w:pPr>
              <w:jc w:val="center"/>
              <w:rPr>
                <w:sz w:val="13"/>
                <w:szCs w:val="13"/>
              </w:rPr>
            </w:pPr>
            <w:r w:rsidRPr="00640447">
              <w:rPr>
                <w:sz w:val="13"/>
                <w:szCs w:val="13"/>
              </w:rPr>
              <w:t>29455</w:t>
            </w:r>
          </w:p>
        </w:tc>
        <w:tc>
          <w:tcPr>
            <w:tcW w:w="183" w:type="pct"/>
            <w:tcBorders>
              <w:top w:val="nil"/>
              <w:left w:val="nil"/>
              <w:bottom w:val="single" w:sz="4" w:space="0" w:color="auto"/>
              <w:right w:val="single" w:sz="4" w:space="0" w:color="auto"/>
            </w:tcBorders>
            <w:shd w:val="clear" w:color="auto" w:fill="auto"/>
            <w:vAlign w:val="center"/>
          </w:tcPr>
          <w:p w14:paraId="556609A7" w14:textId="77777777" w:rsidR="004A0123" w:rsidRPr="00640447" w:rsidRDefault="004A0123" w:rsidP="008A5C11">
            <w:pPr>
              <w:jc w:val="center"/>
              <w:rPr>
                <w:sz w:val="13"/>
                <w:szCs w:val="13"/>
              </w:rPr>
            </w:pPr>
            <w:r w:rsidRPr="00640447">
              <w:rPr>
                <w:sz w:val="13"/>
                <w:szCs w:val="13"/>
              </w:rPr>
              <w:t>29679</w:t>
            </w:r>
          </w:p>
        </w:tc>
        <w:tc>
          <w:tcPr>
            <w:tcW w:w="183" w:type="pct"/>
            <w:tcBorders>
              <w:top w:val="nil"/>
              <w:left w:val="nil"/>
              <w:bottom w:val="single" w:sz="4" w:space="0" w:color="auto"/>
              <w:right w:val="single" w:sz="4" w:space="0" w:color="auto"/>
            </w:tcBorders>
            <w:shd w:val="clear" w:color="auto" w:fill="auto"/>
            <w:vAlign w:val="center"/>
          </w:tcPr>
          <w:p w14:paraId="468D2A74" w14:textId="77777777" w:rsidR="004A0123" w:rsidRPr="00640447" w:rsidRDefault="004A0123" w:rsidP="008A5C11">
            <w:pPr>
              <w:jc w:val="center"/>
              <w:rPr>
                <w:sz w:val="13"/>
                <w:szCs w:val="13"/>
              </w:rPr>
            </w:pPr>
            <w:r w:rsidRPr="00640447">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30A2755D" w14:textId="77777777" w:rsidR="004A0123" w:rsidRPr="00640447" w:rsidRDefault="004A0123" w:rsidP="008A5C11">
            <w:pPr>
              <w:jc w:val="center"/>
              <w:rPr>
                <w:sz w:val="13"/>
                <w:szCs w:val="13"/>
              </w:rPr>
            </w:pPr>
            <w:r w:rsidRPr="00640447">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637D46BA" w14:textId="77777777" w:rsidR="004A0123" w:rsidRPr="00640447" w:rsidRDefault="004A0123" w:rsidP="008A5C11">
            <w:pPr>
              <w:jc w:val="center"/>
              <w:rPr>
                <w:sz w:val="13"/>
                <w:szCs w:val="13"/>
              </w:rPr>
            </w:pPr>
            <w:r w:rsidRPr="00640447">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580F3485" w14:textId="77777777" w:rsidR="004A0123" w:rsidRPr="00640447" w:rsidRDefault="004A0123" w:rsidP="008A5C11">
            <w:pPr>
              <w:jc w:val="center"/>
              <w:rPr>
                <w:sz w:val="13"/>
                <w:szCs w:val="13"/>
              </w:rPr>
            </w:pPr>
            <w:r w:rsidRPr="00640447">
              <w:rPr>
                <w:sz w:val="13"/>
                <w:szCs w:val="13"/>
              </w:rPr>
              <w:t>0</w:t>
            </w:r>
          </w:p>
        </w:tc>
        <w:tc>
          <w:tcPr>
            <w:tcW w:w="174" w:type="pct"/>
            <w:tcBorders>
              <w:top w:val="single" w:sz="4" w:space="0" w:color="auto"/>
              <w:left w:val="single" w:sz="4" w:space="0" w:color="auto"/>
              <w:bottom w:val="single" w:sz="4" w:space="0" w:color="auto"/>
              <w:right w:val="single" w:sz="4" w:space="0" w:color="auto"/>
            </w:tcBorders>
            <w:vAlign w:val="center"/>
          </w:tcPr>
          <w:p w14:paraId="5A5EC22F" w14:textId="77777777" w:rsidR="004A0123" w:rsidRPr="00640447" w:rsidRDefault="004A0123" w:rsidP="008A5C11">
            <w:pPr>
              <w:jc w:val="center"/>
              <w:rPr>
                <w:sz w:val="13"/>
                <w:szCs w:val="13"/>
              </w:rPr>
            </w:pPr>
            <w:r w:rsidRPr="00640447">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004C662F" w14:textId="77777777" w:rsidR="004A0123" w:rsidRPr="00640447" w:rsidRDefault="004A0123" w:rsidP="008A5C11">
            <w:pPr>
              <w:jc w:val="center"/>
              <w:rPr>
                <w:sz w:val="13"/>
                <w:szCs w:val="13"/>
              </w:rPr>
            </w:pPr>
            <w:r w:rsidRPr="00640447">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0DF8DC23" w14:textId="77777777" w:rsidR="004A0123" w:rsidRPr="00640447" w:rsidRDefault="004A0123" w:rsidP="008A5C11">
            <w:pPr>
              <w:jc w:val="center"/>
              <w:rPr>
                <w:sz w:val="13"/>
                <w:szCs w:val="13"/>
              </w:rPr>
            </w:pPr>
            <w:r w:rsidRPr="00640447">
              <w:rPr>
                <w:sz w:val="13"/>
                <w:szCs w:val="13"/>
              </w:rPr>
              <w:t>0</w:t>
            </w:r>
          </w:p>
        </w:tc>
        <w:tc>
          <w:tcPr>
            <w:tcW w:w="188" w:type="pct"/>
            <w:tcBorders>
              <w:top w:val="single" w:sz="4" w:space="0" w:color="auto"/>
              <w:left w:val="single" w:sz="4" w:space="0" w:color="auto"/>
              <w:bottom w:val="single" w:sz="4" w:space="0" w:color="auto"/>
              <w:right w:val="single" w:sz="4" w:space="0" w:color="auto"/>
            </w:tcBorders>
            <w:vAlign w:val="center"/>
          </w:tcPr>
          <w:p w14:paraId="1F21F400" w14:textId="77777777" w:rsidR="004A0123" w:rsidRPr="00640447" w:rsidRDefault="004A0123" w:rsidP="008A5C11">
            <w:pPr>
              <w:jc w:val="center"/>
              <w:rPr>
                <w:sz w:val="13"/>
                <w:szCs w:val="13"/>
              </w:rPr>
            </w:pPr>
            <w:r w:rsidRPr="00640447">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749A5834" w14:textId="77777777" w:rsidR="004A0123" w:rsidRPr="00640447" w:rsidRDefault="004A0123" w:rsidP="008A5C11">
            <w:pPr>
              <w:jc w:val="center"/>
              <w:rPr>
                <w:sz w:val="13"/>
                <w:szCs w:val="13"/>
              </w:rPr>
            </w:pPr>
            <w:r w:rsidRPr="00640447">
              <w:rPr>
                <w:sz w:val="13"/>
                <w:szCs w:val="13"/>
              </w:rPr>
              <w:t>0</w:t>
            </w:r>
          </w:p>
        </w:tc>
      </w:tr>
      <w:tr w:rsidR="004A0123" w:rsidRPr="00640447" w14:paraId="2D2348FA" w14:textId="77777777" w:rsidTr="008A5C11">
        <w:trPr>
          <w:trHeight w:val="489"/>
        </w:trPr>
        <w:tc>
          <w:tcPr>
            <w:tcW w:w="146" w:type="pct"/>
            <w:tcBorders>
              <w:top w:val="single" w:sz="4" w:space="0" w:color="auto"/>
            </w:tcBorders>
            <w:shd w:val="clear" w:color="auto" w:fill="auto"/>
            <w:vAlign w:val="center"/>
          </w:tcPr>
          <w:p w14:paraId="2ECD8E24" w14:textId="77777777" w:rsidR="004A0123" w:rsidRPr="00640447" w:rsidRDefault="004A0123" w:rsidP="008A5C11">
            <w:pPr>
              <w:jc w:val="center"/>
              <w:rPr>
                <w:sz w:val="13"/>
                <w:szCs w:val="13"/>
              </w:rPr>
            </w:pPr>
            <w:r w:rsidRPr="00640447">
              <w:rPr>
                <w:sz w:val="13"/>
                <w:szCs w:val="13"/>
              </w:rPr>
              <w:t>3.2.12.</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1ED2C94E" w14:textId="77777777" w:rsidR="004A0123" w:rsidRPr="00640447" w:rsidRDefault="004A0123" w:rsidP="008A5C11">
            <w:pPr>
              <w:rPr>
                <w:color w:val="000000"/>
                <w:sz w:val="13"/>
                <w:szCs w:val="13"/>
              </w:rPr>
            </w:pPr>
            <w:r w:rsidRPr="00640447">
              <w:rPr>
                <w:color w:val="000000"/>
                <w:sz w:val="13"/>
                <w:szCs w:val="13"/>
              </w:rPr>
              <w:t>Котельная «Центральная». Проектирование системы топливоподачи и демонтаж старого здания</w:t>
            </w:r>
          </w:p>
        </w:tc>
        <w:tc>
          <w:tcPr>
            <w:tcW w:w="359" w:type="pct"/>
            <w:tcBorders>
              <w:top w:val="single" w:sz="4" w:space="0" w:color="auto"/>
              <w:left w:val="nil"/>
              <w:bottom w:val="single" w:sz="4" w:space="0" w:color="auto"/>
              <w:right w:val="single" w:sz="4" w:space="0" w:color="auto"/>
            </w:tcBorders>
            <w:shd w:val="clear" w:color="auto" w:fill="auto"/>
            <w:vAlign w:val="center"/>
          </w:tcPr>
          <w:p w14:paraId="17818117" w14:textId="77777777" w:rsidR="004A0123" w:rsidRPr="00640447" w:rsidRDefault="004A0123" w:rsidP="008A5C11">
            <w:pPr>
              <w:jc w:val="center"/>
              <w:rPr>
                <w:color w:val="000000"/>
                <w:sz w:val="13"/>
                <w:szCs w:val="13"/>
              </w:rPr>
            </w:pPr>
            <w:r w:rsidRPr="00640447">
              <w:rPr>
                <w:color w:val="000000"/>
                <w:sz w:val="13"/>
                <w:szCs w:val="13"/>
              </w:rPr>
              <w:t>Повышение надежности теплоснабжения</w:t>
            </w:r>
          </w:p>
        </w:tc>
        <w:tc>
          <w:tcPr>
            <w:tcW w:w="360" w:type="pct"/>
            <w:tcBorders>
              <w:top w:val="single" w:sz="4" w:space="0" w:color="auto"/>
              <w:left w:val="nil"/>
              <w:bottom w:val="single" w:sz="4" w:space="0" w:color="auto"/>
              <w:right w:val="single" w:sz="4" w:space="0" w:color="auto"/>
            </w:tcBorders>
            <w:shd w:val="clear" w:color="auto" w:fill="auto"/>
            <w:vAlign w:val="center"/>
          </w:tcPr>
          <w:p w14:paraId="5E421B55" w14:textId="77777777" w:rsidR="004A0123" w:rsidRPr="00640447" w:rsidRDefault="004A0123" w:rsidP="008A5C11">
            <w:pPr>
              <w:jc w:val="center"/>
              <w:rPr>
                <w:color w:val="000000"/>
                <w:sz w:val="13"/>
                <w:szCs w:val="13"/>
              </w:rPr>
            </w:pPr>
            <w:r w:rsidRPr="00640447">
              <w:rPr>
                <w:color w:val="000000"/>
                <w:sz w:val="13"/>
                <w:szCs w:val="13"/>
              </w:rPr>
              <w:t xml:space="preserve">г. Ленинск-Кузнецкий, </w:t>
            </w:r>
          </w:p>
          <w:p w14:paraId="291F6CC3" w14:textId="77777777" w:rsidR="004A0123" w:rsidRPr="00640447" w:rsidRDefault="004A0123" w:rsidP="008A5C11">
            <w:pPr>
              <w:jc w:val="center"/>
              <w:rPr>
                <w:color w:val="000000"/>
                <w:sz w:val="13"/>
                <w:szCs w:val="13"/>
              </w:rPr>
            </w:pPr>
            <w:r w:rsidRPr="00640447">
              <w:rPr>
                <w:color w:val="000000"/>
                <w:sz w:val="13"/>
                <w:szCs w:val="13"/>
              </w:rPr>
              <w:t>ул. Суворова, 21а</w:t>
            </w:r>
          </w:p>
        </w:tc>
        <w:tc>
          <w:tcPr>
            <w:tcW w:w="338" w:type="pct"/>
            <w:tcBorders>
              <w:top w:val="single" w:sz="4" w:space="0" w:color="auto"/>
              <w:left w:val="nil"/>
              <w:bottom w:val="single" w:sz="4" w:space="0" w:color="auto"/>
              <w:right w:val="single" w:sz="4" w:space="0" w:color="auto"/>
            </w:tcBorders>
            <w:shd w:val="clear" w:color="auto" w:fill="auto"/>
            <w:vAlign w:val="center"/>
          </w:tcPr>
          <w:p w14:paraId="359C495C" w14:textId="77777777" w:rsidR="004A0123" w:rsidRPr="00640447" w:rsidRDefault="004A0123" w:rsidP="008A5C11">
            <w:pPr>
              <w:jc w:val="center"/>
              <w:rPr>
                <w:sz w:val="13"/>
                <w:szCs w:val="13"/>
              </w:rPr>
            </w:pPr>
            <w:r w:rsidRPr="00640447">
              <w:rPr>
                <w:sz w:val="13"/>
                <w:szCs w:val="13"/>
              </w:rPr>
              <w:t xml:space="preserve">Система </w:t>
            </w:r>
          </w:p>
          <w:p w14:paraId="47B72411" w14:textId="77777777" w:rsidR="004A0123" w:rsidRPr="00640447" w:rsidRDefault="004A0123" w:rsidP="008A5C11">
            <w:pPr>
              <w:jc w:val="center"/>
              <w:rPr>
                <w:sz w:val="13"/>
                <w:szCs w:val="13"/>
              </w:rPr>
            </w:pPr>
            <w:r w:rsidRPr="00640447">
              <w:rPr>
                <w:sz w:val="13"/>
                <w:szCs w:val="13"/>
              </w:rPr>
              <w:t>топливоподачи</w:t>
            </w:r>
          </w:p>
        </w:tc>
        <w:tc>
          <w:tcPr>
            <w:tcW w:w="116" w:type="pct"/>
            <w:tcBorders>
              <w:top w:val="single" w:sz="4" w:space="0" w:color="auto"/>
              <w:left w:val="nil"/>
              <w:bottom w:val="single" w:sz="4" w:space="0" w:color="auto"/>
              <w:right w:val="single" w:sz="4" w:space="0" w:color="auto"/>
            </w:tcBorders>
            <w:shd w:val="clear" w:color="auto" w:fill="auto"/>
            <w:vAlign w:val="center"/>
          </w:tcPr>
          <w:p w14:paraId="57EF6B41" w14:textId="77777777" w:rsidR="004A0123" w:rsidRPr="00640447" w:rsidRDefault="004A0123" w:rsidP="008A5C11">
            <w:pPr>
              <w:jc w:val="center"/>
              <w:rPr>
                <w:sz w:val="13"/>
                <w:szCs w:val="13"/>
              </w:rPr>
            </w:pPr>
            <w:r w:rsidRPr="00640447">
              <w:rPr>
                <w:sz w:val="13"/>
                <w:szCs w:val="13"/>
              </w:rPr>
              <w:t>ед.</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16F2769B" w14:textId="77777777" w:rsidR="004A0123" w:rsidRPr="00640447" w:rsidRDefault="004A0123" w:rsidP="008A5C11">
            <w:pPr>
              <w:jc w:val="center"/>
              <w:rPr>
                <w:sz w:val="13"/>
                <w:szCs w:val="13"/>
              </w:rPr>
            </w:pPr>
            <w:r w:rsidRPr="00640447">
              <w:rPr>
                <w:sz w:val="13"/>
                <w:szCs w:val="13"/>
              </w:rPr>
              <w:t>1</w:t>
            </w:r>
          </w:p>
        </w:tc>
        <w:tc>
          <w:tcPr>
            <w:tcW w:w="174" w:type="pct"/>
            <w:tcBorders>
              <w:top w:val="single" w:sz="4" w:space="0" w:color="auto"/>
              <w:left w:val="nil"/>
              <w:bottom w:val="single" w:sz="4" w:space="0" w:color="auto"/>
              <w:right w:val="single" w:sz="4" w:space="0" w:color="auto"/>
            </w:tcBorders>
            <w:shd w:val="clear" w:color="auto" w:fill="auto"/>
            <w:vAlign w:val="center"/>
          </w:tcPr>
          <w:p w14:paraId="6EBCD18D" w14:textId="77777777" w:rsidR="004A0123" w:rsidRPr="00640447" w:rsidRDefault="004A0123" w:rsidP="008A5C11">
            <w:pPr>
              <w:jc w:val="center"/>
              <w:rPr>
                <w:sz w:val="13"/>
                <w:szCs w:val="13"/>
              </w:rPr>
            </w:pPr>
            <w:r w:rsidRPr="00640447">
              <w:rPr>
                <w:sz w:val="13"/>
                <w:szCs w:val="13"/>
              </w:rPr>
              <w:t>1</w:t>
            </w:r>
          </w:p>
        </w:tc>
        <w:tc>
          <w:tcPr>
            <w:tcW w:w="189" w:type="pct"/>
            <w:tcBorders>
              <w:top w:val="single" w:sz="4" w:space="0" w:color="auto"/>
              <w:left w:val="nil"/>
              <w:bottom w:val="single" w:sz="4" w:space="0" w:color="auto"/>
              <w:right w:val="single" w:sz="4" w:space="0" w:color="auto"/>
            </w:tcBorders>
            <w:shd w:val="clear" w:color="auto" w:fill="auto"/>
            <w:vAlign w:val="center"/>
          </w:tcPr>
          <w:p w14:paraId="5CC005BB" w14:textId="77777777" w:rsidR="004A0123" w:rsidRPr="00640447" w:rsidRDefault="004A0123" w:rsidP="008A5C11">
            <w:pPr>
              <w:jc w:val="center"/>
              <w:rPr>
                <w:sz w:val="13"/>
                <w:szCs w:val="13"/>
              </w:rPr>
            </w:pPr>
            <w:r w:rsidRPr="00640447">
              <w:rPr>
                <w:sz w:val="13"/>
                <w:szCs w:val="13"/>
              </w:rPr>
              <w:t>2020</w:t>
            </w:r>
          </w:p>
        </w:tc>
        <w:tc>
          <w:tcPr>
            <w:tcW w:w="184" w:type="pct"/>
            <w:tcBorders>
              <w:top w:val="single" w:sz="4" w:space="0" w:color="auto"/>
              <w:left w:val="nil"/>
              <w:bottom w:val="single" w:sz="4" w:space="0" w:color="auto"/>
              <w:right w:val="single" w:sz="4" w:space="0" w:color="auto"/>
            </w:tcBorders>
            <w:shd w:val="clear" w:color="auto" w:fill="auto"/>
            <w:vAlign w:val="center"/>
          </w:tcPr>
          <w:p w14:paraId="4DA8CC59" w14:textId="77777777" w:rsidR="004A0123" w:rsidRPr="00640447" w:rsidRDefault="004A0123" w:rsidP="008A5C11">
            <w:pPr>
              <w:jc w:val="center"/>
              <w:rPr>
                <w:sz w:val="13"/>
                <w:szCs w:val="13"/>
              </w:rPr>
            </w:pPr>
            <w:r w:rsidRPr="00640447">
              <w:rPr>
                <w:sz w:val="13"/>
                <w:szCs w:val="13"/>
              </w:rPr>
              <w:t>2023</w:t>
            </w:r>
          </w:p>
        </w:tc>
        <w:tc>
          <w:tcPr>
            <w:tcW w:w="180" w:type="pct"/>
            <w:tcBorders>
              <w:top w:val="single" w:sz="4" w:space="0" w:color="auto"/>
              <w:left w:val="nil"/>
              <w:bottom w:val="single" w:sz="4" w:space="0" w:color="auto"/>
              <w:right w:val="single" w:sz="4" w:space="0" w:color="auto"/>
            </w:tcBorders>
            <w:shd w:val="clear" w:color="auto" w:fill="auto"/>
            <w:vAlign w:val="center"/>
          </w:tcPr>
          <w:p w14:paraId="5FB43E02" w14:textId="77777777" w:rsidR="004A0123" w:rsidRPr="00640447" w:rsidRDefault="004A0123" w:rsidP="008A5C11">
            <w:pPr>
              <w:jc w:val="center"/>
              <w:rPr>
                <w:sz w:val="13"/>
                <w:szCs w:val="13"/>
              </w:rPr>
            </w:pPr>
            <w:r w:rsidRPr="00640447">
              <w:rPr>
                <w:sz w:val="13"/>
                <w:szCs w:val="13"/>
              </w:rPr>
              <w:t>103061</w:t>
            </w:r>
          </w:p>
        </w:tc>
        <w:tc>
          <w:tcPr>
            <w:tcW w:w="187" w:type="pct"/>
            <w:tcBorders>
              <w:top w:val="single" w:sz="4" w:space="0" w:color="auto"/>
              <w:left w:val="nil"/>
              <w:bottom w:val="single" w:sz="4" w:space="0" w:color="auto"/>
              <w:right w:val="single" w:sz="4" w:space="0" w:color="auto"/>
            </w:tcBorders>
            <w:shd w:val="clear" w:color="auto" w:fill="auto"/>
            <w:vAlign w:val="center"/>
          </w:tcPr>
          <w:p w14:paraId="20BBBE1A" w14:textId="77777777" w:rsidR="004A0123" w:rsidRPr="00640447" w:rsidRDefault="004A0123" w:rsidP="008A5C11">
            <w:pPr>
              <w:jc w:val="center"/>
              <w:rPr>
                <w:sz w:val="13"/>
                <w:szCs w:val="13"/>
              </w:rPr>
            </w:pPr>
            <w:r w:rsidRPr="00640447">
              <w:rPr>
                <w:sz w:val="13"/>
                <w:szCs w:val="13"/>
              </w:rPr>
              <w:t>0</w:t>
            </w:r>
          </w:p>
        </w:tc>
        <w:tc>
          <w:tcPr>
            <w:tcW w:w="146" w:type="pct"/>
            <w:tcBorders>
              <w:top w:val="single" w:sz="4" w:space="0" w:color="auto"/>
              <w:left w:val="single" w:sz="4" w:space="0" w:color="auto"/>
              <w:bottom w:val="single" w:sz="4" w:space="0" w:color="auto"/>
              <w:right w:val="single" w:sz="4" w:space="0" w:color="auto"/>
            </w:tcBorders>
            <w:shd w:val="clear" w:color="auto" w:fill="auto"/>
            <w:vAlign w:val="center"/>
          </w:tcPr>
          <w:p w14:paraId="5D78AA15" w14:textId="77777777" w:rsidR="004A0123" w:rsidRPr="00640447" w:rsidRDefault="004A0123" w:rsidP="008A5C11">
            <w:pPr>
              <w:jc w:val="center"/>
              <w:rPr>
                <w:sz w:val="13"/>
                <w:szCs w:val="13"/>
              </w:rPr>
            </w:pPr>
            <w:r w:rsidRPr="00640447">
              <w:rPr>
                <w:sz w:val="13"/>
                <w:szCs w:val="13"/>
              </w:rPr>
              <w:t>0</w:t>
            </w:r>
          </w:p>
        </w:tc>
        <w:tc>
          <w:tcPr>
            <w:tcW w:w="149" w:type="pct"/>
            <w:tcBorders>
              <w:top w:val="single" w:sz="4" w:space="0" w:color="auto"/>
              <w:left w:val="nil"/>
              <w:bottom w:val="single" w:sz="4" w:space="0" w:color="auto"/>
              <w:right w:val="single" w:sz="4" w:space="0" w:color="auto"/>
            </w:tcBorders>
            <w:shd w:val="clear" w:color="auto" w:fill="auto"/>
            <w:vAlign w:val="center"/>
          </w:tcPr>
          <w:p w14:paraId="7921E222" w14:textId="77777777" w:rsidR="004A0123" w:rsidRPr="00640447" w:rsidRDefault="004A0123" w:rsidP="008A5C11">
            <w:pPr>
              <w:jc w:val="center"/>
              <w:rPr>
                <w:sz w:val="13"/>
                <w:szCs w:val="13"/>
              </w:rPr>
            </w:pPr>
            <w:r w:rsidRPr="00640447">
              <w:rPr>
                <w:sz w:val="13"/>
                <w:szCs w:val="13"/>
              </w:rPr>
              <w:t>10842</w:t>
            </w:r>
          </w:p>
        </w:tc>
        <w:tc>
          <w:tcPr>
            <w:tcW w:w="183" w:type="pct"/>
            <w:tcBorders>
              <w:top w:val="single" w:sz="4" w:space="0" w:color="auto"/>
              <w:left w:val="nil"/>
              <w:bottom w:val="single" w:sz="4" w:space="0" w:color="auto"/>
              <w:right w:val="single" w:sz="4" w:space="0" w:color="auto"/>
            </w:tcBorders>
            <w:shd w:val="clear" w:color="auto" w:fill="auto"/>
            <w:vAlign w:val="center"/>
          </w:tcPr>
          <w:p w14:paraId="23ED31E2" w14:textId="77777777" w:rsidR="004A0123" w:rsidRPr="00640447" w:rsidRDefault="004A0123" w:rsidP="008A5C11">
            <w:pPr>
              <w:jc w:val="center"/>
              <w:rPr>
                <w:sz w:val="13"/>
                <w:szCs w:val="13"/>
              </w:rPr>
            </w:pPr>
            <w:r w:rsidRPr="00640447">
              <w:rPr>
                <w:sz w:val="13"/>
                <w:szCs w:val="13"/>
              </w:rPr>
              <w:t>10596</w:t>
            </w:r>
          </w:p>
        </w:tc>
        <w:tc>
          <w:tcPr>
            <w:tcW w:w="183" w:type="pct"/>
            <w:tcBorders>
              <w:top w:val="single" w:sz="4" w:space="0" w:color="auto"/>
              <w:left w:val="nil"/>
              <w:bottom w:val="single" w:sz="4" w:space="0" w:color="auto"/>
              <w:right w:val="single" w:sz="4" w:space="0" w:color="auto"/>
            </w:tcBorders>
            <w:shd w:val="clear" w:color="auto" w:fill="auto"/>
            <w:vAlign w:val="center"/>
          </w:tcPr>
          <w:p w14:paraId="5D9F6492" w14:textId="77777777" w:rsidR="004A0123" w:rsidRPr="00640447" w:rsidRDefault="004A0123" w:rsidP="008A5C11">
            <w:pPr>
              <w:jc w:val="center"/>
              <w:rPr>
                <w:sz w:val="13"/>
                <w:szCs w:val="13"/>
              </w:rPr>
            </w:pPr>
            <w:r w:rsidRPr="00640447">
              <w:rPr>
                <w:sz w:val="13"/>
                <w:szCs w:val="13"/>
              </w:rPr>
              <w:t>5112</w:t>
            </w:r>
          </w:p>
        </w:tc>
        <w:tc>
          <w:tcPr>
            <w:tcW w:w="155" w:type="pct"/>
            <w:tcBorders>
              <w:top w:val="single" w:sz="4" w:space="0" w:color="auto"/>
              <w:left w:val="single" w:sz="4" w:space="0" w:color="auto"/>
              <w:bottom w:val="single" w:sz="4" w:space="0" w:color="auto"/>
              <w:right w:val="single" w:sz="4" w:space="0" w:color="auto"/>
            </w:tcBorders>
            <w:vAlign w:val="center"/>
          </w:tcPr>
          <w:p w14:paraId="46E21B17" w14:textId="77777777" w:rsidR="004A0123" w:rsidRPr="00640447" w:rsidRDefault="004A0123" w:rsidP="008A5C11">
            <w:pPr>
              <w:jc w:val="center"/>
              <w:rPr>
                <w:sz w:val="13"/>
                <w:szCs w:val="13"/>
              </w:rPr>
            </w:pPr>
            <w:r w:rsidRPr="00640447">
              <w:rPr>
                <w:sz w:val="13"/>
                <w:szCs w:val="13"/>
              </w:rPr>
              <w:t>76511</w:t>
            </w:r>
          </w:p>
        </w:tc>
        <w:tc>
          <w:tcPr>
            <w:tcW w:w="154" w:type="pct"/>
            <w:tcBorders>
              <w:top w:val="single" w:sz="4" w:space="0" w:color="auto"/>
              <w:left w:val="single" w:sz="4" w:space="0" w:color="auto"/>
              <w:bottom w:val="single" w:sz="4" w:space="0" w:color="auto"/>
              <w:right w:val="single" w:sz="4" w:space="0" w:color="auto"/>
            </w:tcBorders>
            <w:vAlign w:val="center"/>
          </w:tcPr>
          <w:p w14:paraId="6B362A54" w14:textId="77777777" w:rsidR="004A0123" w:rsidRPr="00640447" w:rsidRDefault="004A0123" w:rsidP="008A5C11">
            <w:pPr>
              <w:jc w:val="center"/>
              <w:rPr>
                <w:sz w:val="13"/>
                <w:szCs w:val="13"/>
              </w:rPr>
            </w:pPr>
            <w:r w:rsidRPr="00640447">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1802C4B7" w14:textId="77777777" w:rsidR="004A0123" w:rsidRPr="00640447" w:rsidRDefault="004A0123" w:rsidP="008A5C11">
            <w:pPr>
              <w:jc w:val="center"/>
              <w:rPr>
                <w:sz w:val="13"/>
                <w:szCs w:val="13"/>
              </w:rPr>
            </w:pPr>
            <w:r w:rsidRPr="00640447">
              <w:rPr>
                <w:sz w:val="13"/>
                <w:szCs w:val="13"/>
              </w:rPr>
              <w:t>0</w:t>
            </w:r>
          </w:p>
        </w:tc>
        <w:tc>
          <w:tcPr>
            <w:tcW w:w="174" w:type="pct"/>
            <w:tcBorders>
              <w:top w:val="single" w:sz="4" w:space="0" w:color="auto"/>
              <w:left w:val="single" w:sz="4" w:space="0" w:color="auto"/>
              <w:bottom w:val="single" w:sz="4" w:space="0" w:color="auto"/>
              <w:right w:val="single" w:sz="4" w:space="0" w:color="auto"/>
            </w:tcBorders>
            <w:vAlign w:val="center"/>
          </w:tcPr>
          <w:p w14:paraId="3D415F0C" w14:textId="77777777" w:rsidR="004A0123" w:rsidRPr="00640447" w:rsidRDefault="004A0123" w:rsidP="008A5C11">
            <w:pPr>
              <w:jc w:val="center"/>
              <w:rPr>
                <w:sz w:val="13"/>
                <w:szCs w:val="13"/>
              </w:rPr>
            </w:pPr>
            <w:r w:rsidRPr="00640447">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0FE81C8A" w14:textId="77777777" w:rsidR="004A0123" w:rsidRPr="00640447" w:rsidRDefault="004A0123" w:rsidP="008A5C11">
            <w:pPr>
              <w:jc w:val="center"/>
              <w:rPr>
                <w:sz w:val="13"/>
                <w:szCs w:val="13"/>
              </w:rPr>
            </w:pPr>
            <w:r w:rsidRPr="00640447">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569B910E" w14:textId="77777777" w:rsidR="004A0123" w:rsidRPr="00640447" w:rsidRDefault="004A0123" w:rsidP="008A5C11">
            <w:pPr>
              <w:jc w:val="center"/>
              <w:rPr>
                <w:sz w:val="13"/>
                <w:szCs w:val="13"/>
              </w:rPr>
            </w:pPr>
            <w:r w:rsidRPr="00640447">
              <w:rPr>
                <w:sz w:val="13"/>
                <w:szCs w:val="13"/>
              </w:rPr>
              <w:t>0</w:t>
            </w:r>
          </w:p>
        </w:tc>
        <w:tc>
          <w:tcPr>
            <w:tcW w:w="188" w:type="pct"/>
            <w:tcBorders>
              <w:top w:val="single" w:sz="4" w:space="0" w:color="auto"/>
              <w:left w:val="single" w:sz="4" w:space="0" w:color="auto"/>
              <w:bottom w:val="single" w:sz="4" w:space="0" w:color="auto"/>
              <w:right w:val="single" w:sz="4" w:space="0" w:color="auto"/>
            </w:tcBorders>
            <w:vAlign w:val="center"/>
          </w:tcPr>
          <w:p w14:paraId="2918A565" w14:textId="77777777" w:rsidR="004A0123" w:rsidRPr="00640447" w:rsidRDefault="004A0123" w:rsidP="008A5C11">
            <w:pPr>
              <w:jc w:val="center"/>
              <w:rPr>
                <w:sz w:val="13"/>
                <w:szCs w:val="13"/>
              </w:rPr>
            </w:pPr>
            <w:r w:rsidRPr="00640447">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318DEF54" w14:textId="77777777" w:rsidR="004A0123" w:rsidRPr="00640447" w:rsidRDefault="004A0123" w:rsidP="008A5C11">
            <w:pPr>
              <w:jc w:val="center"/>
              <w:rPr>
                <w:sz w:val="13"/>
                <w:szCs w:val="13"/>
              </w:rPr>
            </w:pPr>
            <w:r w:rsidRPr="00640447">
              <w:rPr>
                <w:sz w:val="13"/>
                <w:szCs w:val="13"/>
              </w:rPr>
              <w:t>0</w:t>
            </w:r>
          </w:p>
        </w:tc>
      </w:tr>
      <w:tr w:rsidR="004A0123" w:rsidRPr="00640447" w14:paraId="019C0C4B" w14:textId="77777777" w:rsidTr="008A5C11">
        <w:trPr>
          <w:trHeight w:val="489"/>
        </w:trPr>
        <w:tc>
          <w:tcPr>
            <w:tcW w:w="146" w:type="pct"/>
            <w:shd w:val="clear" w:color="auto" w:fill="auto"/>
            <w:vAlign w:val="center"/>
          </w:tcPr>
          <w:p w14:paraId="3DB36208" w14:textId="77777777" w:rsidR="004A0123" w:rsidRPr="00640447" w:rsidRDefault="004A0123" w:rsidP="008A5C11">
            <w:pPr>
              <w:jc w:val="center"/>
              <w:rPr>
                <w:sz w:val="13"/>
                <w:szCs w:val="13"/>
              </w:rPr>
            </w:pPr>
            <w:r w:rsidRPr="00640447">
              <w:rPr>
                <w:sz w:val="13"/>
                <w:szCs w:val="13"/>
              </w:rPr>
              <w:t>3.2.13.</w:t>
            </w:r>
          </w:p>
        </w:tc>
        <w:tc>
          <w:tcPr>
            <w:tcW w:w="616" w:type="pct"/>
            <w:tcBorders>
              <w:top w:val="nil"/>
              <w:left w:val="single" w:sz="4" w:space="0" w:color="auto"/>
              <w:bottom w:val="single" w:sz="4" w:space="0" w:color="auto"/>
              <w:right w:val="single" w:sz="4" w:space="0" w:color="auto"/>
            </w:tcBorders>
            <w:shd w:val="clear" w:color="auto" w:fill="auto"/>
            <w:vAlign w:val="center"/>
          </w:tcPr>
          <w:p w14:paraId="25C4A420" w14:textId="77777777" w:rsidR="004A0123" w:rsidRPr="00640447" w:rsidRDefault="004A0123" w:rsidP="008A5C11">
            <w:pPr>
              <w:rPr>
                <w:color w:val="000000"/>
                <w:sz w:val="13"/>
                <w:szCs w:val="13"/>
              </w:rPr>
            </w:pPr>
            <w:r w:rsidRPr="00640447">
              <w:rPr>
                <w:color w:val="000000"/>
                <w:sz w:val="13"/>
                <w:szCs w:val="13"/>
              </w:rPr>
              <w:t>Котельная «Центральная». Проектирование и реконструкция насосной станции.</w:t>
            </w:r>
          </w:p>
        </w:tc>
        <w:tc>
          <w:tcPr>
            <w:tcW w:w="359" w:type="pct"/>
            <w:tcBorders>
              <w:top w:val="nil"/>
              <w:left w:val="nil"/>
              <w:bottom w:val="single" w:sz="4" w:space="0" w:color="auto"/>
              <w:right w:val="single" w:sz="4" w:space="0" w:color="auto"/>
            </w:tcBorders>
            <w:shd w:val="clear" w:color="auto" w:fill="auto"/>
            <w:vAlign w:val="center"/>
          </w:tcPr>
          <w:p w14:paraId="03D92397" w14:textId="77777777" w:rsidR="004A0123" w:rsidRPr="00640447" w:rsidRDefault="004A0123" w:rsidP="008A5C11">
            <w:pPr>
              <w:jc w:val="center"/>
              <w:rPr>
                <w:color w:val="000000"/>
                <w:sz w:val="13"/>
                <w:szCs w:val="13"/>
              </w:rPr>
            </w:pPr>
            <w:r w:rsidRPr="00640447">
              <w:rPr>
                <w:color w:val="000000"/>
                <w:sz w:val="13"/>
                <w:szCs w:val="13"/>
              </w:rPr>
              <w:t>Повышение надежности теплоснабжения</w:t>
            </w:r>
          </w:p>
        </w:tc>
        <w:tc>
          <w:tcPr>
            <w:tcW w:w="360" w:type="pct"/>
            <w:tcBorders>
              <w:top w:val="nil"/>
              <w:left w:val="nil"/>
              <w:bottom w:val="single" w:sz="4" w:space="0" w:color="auto"/>
              <w:right w:val="single" w:sz="4" w:space="0" w:color="auto"/>
            </w:tcBorders>
            <w:shd w:val="clear" w:color="auto" w:fill="auto"/>
            <w:vAlign w:val="center"/>
          </w:tcPr>
          <w:p w14:paraId="3C3701AB" w14:textId="77777777" w:rsidR="004A0123" w:rsidRPr="00640447" w:rsidRDefault="004A0123" w:rsidP="008A5C11">
            <w:pPr>
              <w:jc w:val="center"/>
              <w:rPr>
                <w:color w:val="000000"/>
                <w:sz w:val="13"/>
                <w:szCs w:val="13"/>
              </w:rPr>
            </w:pPr>
            <w:r w:rsidRPr="00640447">
              <w:rPr>
                <w:color w:val="000000"/>
                <w:sz w:val="13"/>
                <w:szCs w:val="13"/>
              </w:rPr>
              <w:t xml:space="preserve">г. Ленинск-Кузнецкий, </w:t>
            </w:r>
          </w:p>
          <w:p w14:paraId="2547BE3C" w14:textId="77777777" w:rsidR="004A0123" w:rsidRPr="00640447" w:rsidRDefault="004A0123" w:rsidP="008A5C11">
            <w:pPr>
              <w:jc w:val="center"/>
              <w:rPr>
                <w:color w:val="000000"/>
                <w:sz w:val="13"/>
                <w:szCs w:val="13"/>
              </w:rPr>
            </w:pPr>
            <w:r w:rsidRPr="00640447">
              <w:rPr>
                <w:color w:val="000000"/>
                <w:sz w:val="13"/>
                <w:szCs w:val="13"/>
              </w:rPr>
              <w:t>ул. Суворова, 21а</w:t>
            </w:r>
          </w:p>
        </w:tc>
        <w:tc>
          <w:tcPr>
            <w:tcW w:w="338" w:type="pct"/>
            <w:tcBorders>
              <w:top w:val="nil"/>
              <w:left w:val="nil"/>
              <w:bottom w:val="single" w:sz="4" w:space="0" w:color="auto"/>
              <w:right w:val="single" w:sz="4" w:space="0" w:color="auto"/>
            </w:tcBorders>
            <w:shd w:val="clear" w:color="auto" w:fill="auto"/>
            <w:vAlign w:val="center"/>
          </w:tcPr>
          <w:p w14:paraId="4C59D7B7" w14:textId="77777777" w:rsidR="004A0123" w:rsidRPr="00640447" w:rsidRDefault="004A0123" w:rsidP="008A5C11">
            <w:pPr>
              <w:jc w:val="center"/>
              <w:rPr>
                <w:sz w:val="13"/>
                <w:szCs w:val="13"/>
              </w:rPr>
            </w:pPr>
            <w:proofErr w:type="gramStart"/>
            <w:r w:rsidRPr="00640447">
              <w:rPr>
                <w:sz w:val="13"/>
                <w:szCs w:val="13"/>
              </w:rPr>
              <w:t>Производитель-ность</w:t>
            </w:r>
            <w:proofErr w:type="gramEnd"/>
          </w:p>
        </w:tc>
        <w:tc>
          <w:tcPr>
            <w:tcW w:w="116" w:type="pct"/>
            <w:tcBorders>
              <w:top w:val="nil"/>
              <w:left w:val="nil"/>
              <w:bottom w:val="single" w:sz="4" w:space="0" w:color="auto"/>
              <w:right w:val="single" w:sz="4" w:space="0" w:color="auto"/>
            </w:tcBorders>
            <w:shd w:val="clear" w:color="auto" w:fill="auto"/>
            <w:vAlign w:val="center"/>
          </w:tcPr>
          <w:p w14:paraId="2DB5721B" w14:textId="77777777" w:rsidR="004A0123" w:rsidRPr="00640447" w:rsidRDefault="004A0123" w:rsidP="008A5C11">
            <w:pPr>
              <w:jc w:val="center"/>
              <w:rPr>
                <w:sz w:val="13"/>
                <w:szCs w:val="13"/>
              </w:rPr>
            </w:pPr>
            <w:r w:rsidRPr="00640447">
              <w:rPr>
                <w:sz w:val="13"/>
                <w:szCs w:val="13"/>
              </w:rPr>
              <w:t>м</w:t>
            </w:r>
            <w:r w:rsidRPr="00640447">
              <w:rPr>
                <w:sz w:val="13"/>
                <w:szCs w:val="13"/>
                <w:vertAlign w:val="superscript"/>
              </w:rPr>
              <w:t>3</w:t>
            </w:r>
            <w:r w:rsidRPr="00640447">
              <w:rPr>
                <w:sz w:val="13"/>
                <w:szCs w:val="13"/>
              </w:rPr>
              <w:t>/ч</w:t>
            </w:r>
          </w:p>
        </w:tc>
        <w:tc>
          <w:tcPr>
            <w:tcW w:w="182" w:type="pct"/>
            <w:tcBorders>
              <w:top w:val="nil"/>
              <w:left w:val="single" w:sz="4" w:space="0" w:color="auto"/>
              <w:bottom w:val="single" w:sz="4" w:space="0" w:color="auto"/>
              <w:right w:val="single" w:sz="4" w:space="0" w:color="auto"/>
            </w:tcBorders>
            <w:shd w:val="clear" w:color="auto" w:fill="auto"/>
            <w:vAlign w:val="center"/>
          </w:tcPr>
          <w:p w14:paraId="24E73B7E" w14:textId="77777777" w:rsidR="004A0123" w:rsidRPr="00640447" w:rsidRDefault="004A0123" w:rsidP="008A5C11">
            <w:pPr>
              <w:jc w:val="center"/>
              <w:rPr>
                <w:sz w:val="13"/>
                <w:szCs w:val="13"/>
              </w:rPr>
            </w:pPr>
            <w:r w:rsidRPr="00640447">
              <w:rPr>
                <w:sz w:val="13"/>
                <w:szCs w:val="13"/>
              </w:rPr>
              <w:t>0</w:t>
            </w:r>
          </w:p>
        </w:tc>
        <w:tc>
          <w:tcPr>
            <w:tcW w:w="174" w:type="pct"/>
            <w:tcBorders>
              <w:top w:val="nil"/>
              <w:left w:val="nil"/>
              <w:bottom w:val="single" w:sz="4" w:space="0" w:color="auto"/>
              <w:right w:val="single" w:sz="4" w:space="0" w:color="auto"/>
            </w:tcBorders>
            <w:shd w:val="clear" w:color="auto" w:fill="auto"/>
            <w:vAlign w:val="center"/>
          </w:tcPr>
          <w:p w14:paraId="55E227C4" w14:textId="77777777" w:rsidR="004A0123" w:rsidRPr="00640447" w:rsidRDefault="004A0123" w:rsidP="008A5C11">
            <w:pPr>
              <w:jc w:val="center"/>
              <w:rPr>
                <w:sz w:val="13"/>
                <w:szCs w:val="13"/>
              </w:rPr>
            </w:pPr>
            <w:r w:rsidRPr="00640447">
              <w:rPr>
                <w:sz w:val="13"/>
                <w:szCs w:val="13"/>
              </w:rPr>
              <w:t>3828</w:t>
            </w:r>
          </w:p>
        </w:tc>
        <w:tc>
          <w:tcPr>
            <w:tcW w:w="189" w:type="pct"/>
            <w:tcBorders>
              <w:top w:val="nil"/>
              <w:left w:val="nil"/>
              <w:bottom w:val="single" w:sz="4" w:space="0" w:color="auto"/>
              <w:right w:val="single" w:sz="4" w:space="0" w:color="auto"/>
            </w:tcBorders>
            <w:shd w:val="clear" w:color="auto" w:fill="auto"/>
            <w:vAlign w:val="center"/>
          </w:tcPr>
          <w:p w14:paraId="601C5F9F" w14:textId="77777777" w:rsidR="004A0123" w:rsidRPr="00640447" w:rsidRDefault="004A0123" w:rsidP="008A5C11">
            <w:pPr>
              <w:jc w:val="center"/>
              <w:rPr>
                <w:sz w:val="13"/>
                <w:szCs w:val="13"/>
              </w:rPr>
            </w:pPr>
            <w:r w:rsidRPr="00640447">
              <w:rPr>
                <w:sz w:val="13"/>
                <w:szCs w:val="13"/>
              </w:rPr>
              <w:t>2019</w:t>
            </w:r>
          </w:p>
        </w:tc>
        <w:tc>
          <w:tcPr>
            <w:tcW w:w="184" w:type="pct"/>
            <w:tcBorders>
              <w:top w:val="nil"/>
              <w:left w:val="nil"/>
              <w:bottom w:val="single" w:sz="4" w:space="0" w:color="auto"/>
              <w:right w:val="single" w:sz="4" w:space="0" w:color="auto"/>
            </w:tcBorders>
            <w:shd w:val="clear" w:color="auto" w:fill="auto"/>
            <w:vAlign w:val="center"/>
          </w:tcPr>
          <w:p w14:paraId="3B8D334C" w14:textId="77777777" w:rsidR="004A0123" w:rsidRPr="00640447" w:rsidRDefault="004A0123" w:rsidP="008A5C11">
            <w:pPr>
              <w:jc w:val="center"/>
              <w:rPr>
                <w:sz w:val="13"/>
                <w:szCs w:val="13"/>
              </w:rPr>
            </w:pPr>
            <w:r w:rsidRPr="00640447">
              <w:rPr>
                <w:sz w:val="13"/>
                <w:szCs w:val="13"/>
              </w:rPr>
              <w:t>2021</w:t>
            </w:r>
          </w:p>
        </w:tc>
        <w:tc>
          <w:tcPr>
            <w:tcW w:w="180" w:type="pct"/>
            <w:tcBorders>
              <w:top w:val="nil"/>
              <w:left w:val="nil"/>
              <w:bottom w:val="single" w:sz="4" w:space="0" w:color="auto"/>
              <w:right w:val="single" w:sz="4" w:space="0" w:color="auto"/>
            </w:tcBorders>
            <w:shd w:val="clear" w:color="auto" w:fill="auto"/>
            <w:vAlign w:val="center"/>
          </w:tcPr>
          <w:p w14:paraId="32F5D0F6" w14:textId="77777777" w:rsidR="004A0123" w:rsidRPr="00640447" w:rsidRDefault="004A0123" w:rsidP="008A5C11">
            <w:pPr>
              <w:jc w:val="center"/>
              <w:rPr>
                <w:sz w:val="13"/>
                <w:szCs w:val="13"/>
              </w:rPr>
            </w:pPr>
            <w:r w:rsidRPr="00640447">
              <w:rPr>
                <w:sz w:val="13"/>
                <w:szCs w:val="13"/>
              </w:rPr>
              <w:t>23188</w:t>
            </w:r>
          </w:p>
        </w:tc>
        <w:tc>
          <w:tcPr>
            <w:tcW w:w="187" w:type="pct"/>
            <w:tcBorders>
              <w:top w:val="nil"/>
              <w:left w:val="nil"/>
              <w:bottom w:val="single" w:sz="4" w:space="0" w:color="auto"/>
              <w:right w:val="single" w:sz="4" w:space="0" w:color="auto"/>
            </w:tcBorders>
            <w:shd w:val="clear" w:color="auto" w:fill="auto"/>
            <w:vAlign w:val="center"/>
          </w:tcPr>
          <w:p w14:paraId="1B5E4BDB" w14:textId="77777777" w:rsidR="004A0123" w:rsidRPr="00640447" w:rsidRDefault="004A0123" w:rsidP="008A5C11">
            <w:pPr>
              <w:jc w:val="center"/>
              <w:rPr>
                <w:sz w:val="13"/>
                <w:szCs w:val="13"/>
              </w:rPr>
            </w:pPr>
            <w:r w:rsidRPr="00640447">
              <w:rPr>
                <w:sz w:val="13"/>
                <w:szCs w:val="13"/>
              </w:rPr>
              <w:t>0</w:t>
            </w:r>
          </w:p>
        </w:tc>
        <w:tc>
          <w:tcPr>
            <w:tcW w:w="146" w:type="pct"/>
            <w:tcBorders>
              <w:top w:val="nil"/>
              <w:left w:val="single" w:sz="4" w:space="0" w:color="auto"/>
              <w:bottom w:val="single" w:sz="4" w:space="0" w:color="auto"/>
              <w:right w:val="single" w:sz="4" w:space="0" w:color="auto"/>
            </w:tcBorders>
            <w:shd w:val="clear" w:color="auto" w:fill="auto"/>
            <w:vAlign w:val="center"/>
          </w:tcPr>
          <w:p w14:paraId="0B90C5E9" w14:textId="77777777" w:rsidR="004A0123" w:rsidRPr="00640447" w:rsidRDefault="004A0123" w:rsidP="008A5C11">
            <w:pPr>
              <w:jc w:val="center"/>
              <w:rPr>
                <w:sz w:val="13"/>
                <w:szCs w:val="13"/>
              </w:rPr>
            </w:pPr>
            <w:r w:rsidRPr="00640447">
              <w:rPr>
                <w:sz w:val="13"/>
                <w:szCs w:val="13"/>
              </w:rPr>
              <w:t>16500</w:t>
            </w:r>
          </w:p>
        </w:tc>
        <w:tc>
          <w:tcPr>
            <w:tcW w:w="149" w:type="pct"/>
            <w:tcBorders>
              <w:top w:val="nil"/>
              <w:left w:val="nil"/>
              <w:bottom w:val="single" w:sz="4" w:space="0" w:color="auto"/>
              <w:right w:val="single" w:sz="4" w:space="0" w:color="auto"/>
            </w:tcBorders>
            <w:shd w:val="clear" w:color="auto" w:fill="auto"/>
            <w:vAlign w:val="center"/>
          </w:tcPr>
          <w:p w14:paraId="4C053BB5" w14:textId="77777777" w:rsidR="004A0123" w:rsidRPr="00640447" w:rsidRDefault="004A0123" w:rsidP="008A5C11">
            <w:pPr>
              <w:jc w:val="center"/>
              <w:rPr>
                <w:sz w:val="13"/>
                <w:szCs w:val="13"/>
              </w:rPr>
            </w:pPr>
            <w:r w:rsidRPr="00640447">
              <w:rPr>
                <w:sz w:val="13"/>
                <w:szCs w:val="13"/>
              </w:rPr>
              <w:t>0</w:t>
            </w:r>
          </w:p>
        </w:tc>
        <w:tc>
          <w:tcPr>
            <w:tcW w:w="183" w:type="pct"/>
            <w:tcBorders>
              <w:top w:val="nil"/>
              <w:left w:val="nil"/>
              <w:bottom w:val="single" w:sz="4" w:space="0" w:color="auto"/>
              <w:right w:val="single" w:sz="4" w:space="0" w:color="auto"/>
            </w:tcBorders>
            <w:shd w:val="clear" w:color="auto" w:fill="auto"/>
            <w:vAlign w:val="center"/>
          </w:tcPr>
          <w:p w14:paraId="7FD07434" w14:textId="77777777" w:rsidR="004A0123" w:rsidRPr="00640447" w:rsidRDefault="004A0123" w:rsidP="008A5C11">
            <w:pPr>
              <w:jc w:val="center"/>
              <w:rPr>
                <w:sz w:val="13"/>
                <w:szCs w:val="13"/>
              </w:rPr>
            </w:pPr>
            <w:r w:rsidRPr="00640447">
              <w:rPr>
                <w:sz w:val="13"/>
                <w:szCs w:val="13"/>
              </w:rPr>
              <w:t>6688</w:t>
            </w:r>
          </w:p>
        </w:tc>
        <w:tc>
          <w:tcPr>
            <w:tcW w:w="183" w:type="pct"/>
            <w:tcBorders>
              <w:top w:val="nil"/>
              <w:left w:val="nil"/>
              <w:bottom w:val="single" w:sz="4" w:space="0" w:color="auto"/>
              <w:right w:val="single" w:sz="4" w:space="0" w:color="auto"/>
            </w:tcBorders>
            <w:shd w:val="clear" w:color="auto" w:fill="auto"/>
            <w:vAlign w:val="center"/>
          </w:tcPr>
          <w:p w14:paraId="7B06ECD8" w14:textId="77777777" w:rsidR="004A0123" w:rsidRPr="00640447" w:rsidRDefault="004A0123" w:rsidP="008A5C11">
            <w:pPr>
              <w:jc w:val="center"/>
              <w:rPr>
                <w:sz w:val="13"/>
                <w:szCs w:val="13"/>
              </w:rPr>
            </w:pPr>
            <w:r w:rsidRPr="00640447">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53B90158" w14:textId="77777777" w:rsidR="004A0123" w:rsidRPr="00640447" w:rsidRDefault="004A0123" w:rsidP="008A5C11">
            <w:pPr>
              <w:jc w:val="center"/>
              <w:rPr>
                <w:sz w:val="13"/>
                <w:szCs w:val="13"/>
              </w:rPr>
            </w:pPr>
            <w:r w:rsidRPr="00640447">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7B7575F1" w14:textId="77777777" w:rsidR="004A0123" w:rsidRPr="00640447" w:rsidRDefault="004A0123" w:rsidP="008A5C11">
            <w:pPr>
              <w:jc w:val="center"/>
              <w:rPr>
                <w:sz w:val="13"/>
                <w:szCs w:val="13"/>
              </w:rPr>
            </w:pPr>
            <w:r w:rsidRPr="00640447">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643A8ABF" w14:textId="77777777" w:rsidR="004A0123" w:rsidRPr="00640447" w:rsidRDefault="004A0123" w:rsidP="008A5C11">
            <w:pPr>
              <w:jc w:val="center"/>
              <w:rPr>
                <w:sz w:val="13"/>
                <w:szCs w:val="13"/>
              </w:rPr>
            </w:pPr>
            <w:r w:rsidRPr="00640447">
              <w:rPr>
                <w:sz w:val="13"/>
                <w:szCs w:val="13"/>
              </w:rPr>
              <w:t>0</w:t>
            </w:r>
          </w:p>
        </w:tc>
        <w:tc>
          <w:tcPr>
            <w:tcW w:w="174" w:type="pct"/>
            <w:tcBorders>
              <w:top w:val="single" w:sz="4" w:space="0" w:color="auto"/>
              <w:left w:val="single" w:sz="4" w:space="0" w:color="auto"/>
              <w:bottom w:val="single" w:sz="4" w:space="0" w:color="auto"/>
              <w:right w:val="single" w:sz="4" w:space="0" w:color="auto"/>
            </w:tcBorders>
            <w:vAlign w:val="center"/>
          </w:tcPr>
          <w:p w14:paraId="34E9A651" w14:textId="77777777" w:rsidR="004A0123" w:rsidRPr="00640447" w:rsidRDefault="004A0123" w:rsidP="008A5C11">
            <w:pPr>
              <w:jc w:val="center"/>
              <w:rPr>
                <w:sz w:val="13"/>
                <w:szCs w:val="13"/>
              </w:rPr>
            </w:pPr>
            <w:r w:rsidRPr="00640447">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029E3E9B" w14:textId="77777777" w:rsidR="004A0123" w:rsidRPr="00640447" w:rsidRDefault="004A0123" w:rsidP="008A5C11">
            <w:pPr>
              <w:jc w:val="center"/>
              <w:rPr>
                <w:sz w:val="13"/>
                <w:szCs w:val="13"/>
              </w:rPr>
            </w:pPr>
            <w:r w:rsidRPr="00640447">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0BD4773C" w14:textId="77777777" w:rsidR="004A0123" w:rsidRPr="00640447" w:rsidRDefault="004A0123" w:rsidP="008A5C11">
            <w:pPr>
              <w:jc w:val="center"/>
              <w:rPr>
                <w:sz w:val="13"/>
                <w:szCs w:val="13"/>
              </w:rPr>
            </w:pPr>
            <w:r w:rsidRPr="00640447">
              <w:rPr>
                <w:sz w:val="13"/>
                <w:szCs w:val="13"/>
              </w:rPr>
              <w:t>0</w:t>
            </w:r>
          </w:p>
        </w:tc>
        <w:tc>
          <w:tcPr>
            <w:tcW w:w="188" w:type="pct"/>
            <w:tcBorders>
              <w:top w:val="single" w:sz="4" w:space="0" w:color="auto"/>
              <w:left w:val="single" w:sz="4" w:space="0" w:color="auto"/>
              <w:bottom w:val="single" w:sz="4" w:space="0" w:color="auto"/>
              <w:right w:val="single" w:sz="4" w:space="0" w:color="auto"/>
            </w:tcBorders>
            <w:vAlign w:val="center"/>
          </w:tcPr>
          <w:p w14:paraId="70EEF1BE" w14:textId="77777777" w:rsidR="004A0123" w:rsidRPr="00640447" w:rsidRDefault="004A0123" w:rsidP="008A5C11">
            <w:pPr>
              <w:jc w:val="center"/>
              <w:rPr>
                <w:sz w:val="13"/>
                <w:szCs w:val="13"/>
              </w:rPr>
            </w:pPr>
            <w:r w:rsidRPr="00640447">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19BCF8A8" w14:textId="77777777" w:rsidR="004A0123" w:rsidRPr="00640447" w:rsidRDefault="004A0123" w:rsidP="008A5C11">
            <w:pPr>
              <w:jc w:val="center"/>
              <w:rPr>
                <w:sz w:val="13"/>
                <w:szCs w:val="13"/>
              </w:rPr>
            </w:pPr>
            <w:r w:rsidRPr="00640447">
              <w:rPr>
                <w:sz w:val="13"/>
                <w:szCs w:val="13"/>
              </w:rPr>
              <w:t>0</w:t>
            </w:r>
          </w:p>
        </w:tc>
      </w:tr>
      <w:tr w:rsidR="004A0123" w:rsidRPr="00640447" w14:paraId="3FBDA8DC" w14:textId="77777777" w:rsidTr="008A5C11">
        <w:trPr>
          <w:trHeight w:val="489"/>
        </w:trPr>
        <w:tc>
          <w:tcPr>
            <w:tcW w:w="146" w:type="pct"/>
            <w:shd w:val="clear" w:color="auto" w:fill="auto"/>
            <w:vAlign w:val="center"/>
          </w:tcPr>
          <w:p w14:paraId="5A9042C1" w14:textId="77777777" w:rsidR="004A0123" w:rsidRPr="00640447" w:rsidRDefault="004A0123" w:rsidP="008A5C11">
            <w:pPr>
              <w:jc w:val="center"/>
              <w:rPr>
                <w:sz w:val="13"/>
                <w:szCs w:val="13"/>
              </w:rPr>
            </w:pPr>
            <w:r w:rsidRPr="00640447">
              <w:rPr>
                <w:sz w:val="13"/>
                <w:szCs w:val="13"/>
              </w:rPr>
              <w:t>3.2.14.</w:t>
            </w:r>
          </w:p>
        </w:tc>
        <w:tc>
          <w:tcPr>
            <w:tcW w:w="616" w:type="pct"/>
            <w:tcBorders>
              <w:top w:val="nil"/>
              <w:left w:val="single" w:sz="4" w:space="0" w:color="auto"/>
              <w:bottom w:val="single" w:sz="4" w:space="0" w:color="auto"/>
              <w:right w:val="single" w:sz="4" w:space="0" w:color="auto"/>
            </w:tcBorders>
            <w:shd w:val="clear" w:color="auto" w:fill="auto"/>
            <w:vAlign w:val="center"/>
          </w:tcPr>
          <w:p w14:paraId="6B5DD814" w14:textId="77777777" w:rsidR="004A0123" w:rsidRPr="00640447" w:rsidRDefault="004A0123" w:rsidP="008A5C11">
            <w:pPr>
              <w:rPr>
                <w:color w:val="000000"/>
                <w:sz w:val="13"/>
                <w:szCs w:val="13"/>
              </w:rPr>
            </w:pPr>
            <w:r w:rsidRPr="00640447">
              <w:rPr>
                <w:color w:val="000000"/>
                <w:sz w:val="13"/>
                <w:szCs w:val="13"/>
              </w:rPr>
              <w:t xml:space="preserve">Котельная «Энергетик». Проектирование и установка </w:t>
            </w:r>
            <w:proofErr w:type="gramStart"/>
            <w:r w:rsidRPr="00640447">
              <w:rPr>
                <w:color w:val="000000"/>
                <w:sz w:val="13"/>
                <w:szCs w:val="13"/>
              </w:rPr>
              <w:t>котла  К</w:t>
            </w:r>
            <w:proofErr w:type="gramEnd"/>
            <w:r w:rsidRPr="00640447">
              <w:rPr>
                <w:color w:val="000000"/>
                <w:sz w:val="13"/>
                <w:szCs w:val="13"/>
              </w:rPr>
              <w:t>-50-40/14 № 2 с установкой системы автоматизации.</w:t>
            </w:r>
          </w:p>
        </w:tc>
        <w:tc>
          <w:tcPr>
            <w:tcW w:w="359" w:type="pct"/>
            <w:tcBorders>
              <w:top w:val="nil"/>
              <w:left w:val="nil"/>
              <w:bottom w:val="single" w:sz="4" w:space="0" w:color="auto"/>
              <w:right w:val="single" w:sz="4" w:space="0" w:color="auto"/>
            </w:tcBorders>
            <w:shd w:val="clear" w:color="auto" w:fill="auto"/>
            <w:vAlign w:val="center"/>
          </w:tcPr>
          <w:p w14:paraId="0A376723" w14:textId="77777777" w:rsidR="004A0123" w:rsidRPr="00640447" w:rsidRDefault="004A0123" w:rsidP="008A5C11">
            <w:pPr>
              <w:jc w:val="center"/>
              <w:rPr>
                <w:color w:val="000000"/>
                <w:sz w:val="13"/>
                <w:szCs w:val="13"/>
              </w:rPr>
            </w:pPr>
            <w:r w:rsidRPr="00640447">
              <w:rPr>
                <w:color w:val="000000"/>
                <w:sz w:val="13"/>
                <w:szCs w:val="13"/>
              </w:rPr>
              <w:t>Повышение надежности теплоснабжения</w:t>
            </w:r>
          </w:p>
        </w:tc>
        <w:tc>
          <w:tcPr>
            <w:tcW w:w="360" w:type="pct"/>
            <w:tcBorders>
              <w:top w:val="nil"/>
              <w:left w:val="nil"/>
              <w:bottom w:val="single" w:sz="4" w:space="0" w:color="auto"/>
              <w:right w:val="single" w:sz="4" w:space="0" w:color="auto"/>
            </w:tcBorders>
            <w:shd w:val="clear" w:color="auto" w:fill="auto"/>
            <w:vAlign w:val="center"/>
          </w:tcPr>
          <w:p w14:paraId="0A7C648A" w14:textId="77777777" w:rsidR="004A0123" w:rsidRPr="00640447" w:rsidRDefault="004A0123" w:rsidP="008A5C11">
            <w:pPr>
              <w:jc w:val="center"/>
              <w:rPr>
                <w:color w:val="000000"/>
                <w:sz w:val="13"/>
                <w:szCs w:val="13"/>
              </w:rPr>
            </w:pPr>
            <w:r w:rsidRPr="00640447">
              <w:rPr>
                <w:color w:val="000000"/>
                <w:sz w:val="13"/>
                <w:szCs w:val="13"/>
              </w:rPr>
              <w:t xml:space="preserve">г. Ленинск-Кузнецкий, </w:t>
            </w:r>
          </w:p>
          <w:p w14:paraId="6129A5CC" w14:textId="77777777" w:rsidR="004A0123" w:rsidRPr="00640447" w:rsidRDefault="004A0123" w:rsidP="008A5C11">
            <w:pPr>
              <w:jc w:val="center"/>
              <w:rPr>
                <w:color w:val="000000"/>
                <w:sz w:val="13"/>
                <w:szCs w:val="13"/>
              </w:rPr>
            </w:pPr>
            <w:r w:rsidRPr="00640447">
              <w:rPr>
                <w:color w:val="000000"/>
                <w:sz w:val="13"/>
                <w:szCs w:val="13"/>
              </w:rPr>
              <w:t>тер. Северная промзона 4</w:t>
            </w:r>
          </w:p>
        </w:tc>
        <w:tc>
          <w:tcPr>
            <w:tcW w:w="338" w:type="pct"/>
            <w:tcBorders>
              <w:top w:val="nil"/>
              <w:left w:val="nil"/>
              <w:bottom w:val="single" w:sz="4" w:space="0" w:color="auto"/>
              <w:right w:val="single" w:sz="4" w:space="0" w:color="auto"/>
            </w:tcBorders>
            <w:shd w:val="clear" w:color="auto" w:fill="auto"/>
            <w:vAlign w:val="center"/>
          </w:tcPr>
          <w:p w14:paraId="15CA6EA2" w14:textId="77777777" w:rsidR="004A0123" w:rsidRPr="00640447" w:rsidRDefault="004A0123" w:rsidP="008A5C11">
            <w:pPr>
              <w:jc w:val="center"/>
              <w:rPr>
                <w:sz w:val="13"/>
                <w:szCs w:val="13"/>
              </w:rPr>
            </w:pPr>
            <w:r w:rsidRPr="00640447">
              <w:rPr>
                <w:sz w:val="13"/>
                <w:szCs w:val="13"/>
              </w:rPr>
              <w:t>Установленная мощность</w:t>
            </w:r>
          </w:p>
        </w:tc>
        <w:tc>
          <w:tcPr>
            <w:tcW w:w="116" w:type="pct"/>
            <w:tcBorders>
              <w:top w:val="nil"/>
              <w:left w:val="nil"/>
              <w:bottom w:val="single" w:sz="4" w:space="0" w:color="auto"/>
              <w:right w:val="single" w:sz="4" w:space="0" w:color="auto"/>
            </w:tcBorders>
            <w:shd w:val="clear" w:color="auto" w:fill="auto"/>
            <w:vAlign w:val="center"/>
          </w:tcPr>
          <w:p w14:paraId="1203096E" w14:textId="77777777" w:rsidR="004A0123" w:rsidRPr="00640447" w:rsidRDefault="004A0123" w:rsidP="008A5C11">
            <w:pPr>
              <w:jc w:val="center"/>
              <w:rPr>
                <w:sz w:val="13"/>
                <w:szCs w:val="13"/>
              </w:rPr>
            </w:pPr>
            <w:r w:rsidRPr="00640447">
              <w:rPr>
                <w:sz w:val="13"/>
                <w:szCs w:val="13"/>
              </w:rPr>
              <w:t>Гкал/ч</w:t>
            </w:r>
          </w:p>
        </w:tc>
        <w:tc>
          <w:tcPr>
            <w:tcW w:w="182" w:type="pct"/>
            <w:tcBorders>
              <w:top w:val="nil"/>
              <w:left w:val="single" w:sz="4" w:space="0" w:color="auto"/>
              <w:bottom w:val="single" w:sz="4" w:space="0" w:color="auto"/>
              <w:right w:val="single" w:sz="4" w:space="0" w:color="auto"/>
            </w:tcBorders>
            <w:shd w:val="clear" w:color="auto" w:fill="auto"/>
            <w:vAlign w:val="center"/>
          </w:tcPr>
          <w:p w14:paraId="198D8CDE" w14:textId="77777777" w:rsidR="004A0123" w:rsidRPr="00640447" w:rsidRDefault="004A0123" w:rsidP="008A5C11">
            <w:pPr>
              <w:jc w:val="center"/>
              <w:rPr>
                <w:sz w:val="13"/>
                <w:szCs w:val="13"/>
              </w:rPr>
            </w:pPr>
            <w:r w:rsidRPr="00640447">
              <w:rPr>
                <w:sz w:val="13"/>
                <w:szCs w:val="13"/>
              </w:rPr>
              <w:t>28</w:t>
            </w:r>
          </w:p>
        </w:tc>
        <w:tc>
          <w:tcPr>
            <w:tcW w:w="174" w:type="pct"/>
            <w:tcBorders>
              <w:top w:val="nil"/>
              <w:left w:val="nil"/>
              <w:bottom w:val="single" w:sz="4" w:space="0" w:color="auto"/>
              <w:right w:val="single" w:sz="4" w:space="0" w:color="auto"/>
            </w:tcBorders>
            <w:shd w:val="clear" w:color="auto" w:fill="auto"/>
            <w:vAlign w:val="center"/>
          </w:tcPr>
          <w:p w14:paraId="6661D432" w14:textId="77777777" w:rsidR="004A0123" w:rsidRPr="00640447" w:rsidRDefault="004A0123" w:rsidP="008A5C11">
            <w:pPr>
              <w:jc w:val="center"/>
              <w:rPr>
                <w:sz w:val="13"/>
                <w:szCs w:val="13"/>
              </w:rPr>
            </w:pPr>
            <w:r w:rsidRPr="00640447">
              <w:rPr>
                <w:sz w:val="13"/>
                <w:szCs w:val="13"/>
              </w:rPr>
              <w:t>28</w:t>
            </w:r>
          </w:p>
        </w:tc>
        <w:tc>
          <w:tcPr>
            <w:tcW w:w="189" w:type="pct"/>
            <w:tcBorders>
              <w:top w:val="nil"/>
              <w:left w:val="nil"/>
              <w:bottom w:val="single" w:sz="4" w:space="0" w:color="auto"/>
              <w:right w:val="single" w:sz="4" w:space="0" w:color="auto"/>
            </w:tcBorders>
            <w:shd w:val="clear" w:color="auto" w:fill="auto"/>
            <w:vAlign w:val="center"/>
          </w:tcPr>
          <w:p w14:paraId="5216812B" w14:textId="77777777" w:rsidR="004A0123" w:rsidRPr="00640447" w:rsidRDefault="004A0123" w:rsidP="008A5C11">
            <w:pPr>
              <w:jc w:val="center"/>
              <w:rPr>
                <w:sz w:val="13"/>
                <w:szCs w:val="13"/>
              </w:rPr>
            </w:pPr>
            <w:r w:rsidRPr="00640447">
              <w:rPr>
                <w:sz w:val="13"/>
                <w:szCs w:val="13"/>
              </w:rPr>
              <w:t>2026</w:t>
            </w:r>
          </w:p>
        </w:tc>
        <w:tc>
          <w:tcPr>
            <w:tcW w:w="184" w:type="pct"/>
            <w:tcBorders>
              <w:top w:val="nil"/>
              <w:left w:val="nil"/>
              <w:bottom w:val="single" w:sz="4" w:space="0" w:color="auto"/>
              <w:right w:val="single" w:sz="4" w:space="0" w:color="auto"/>
            </w:tcBorders>
            <w:shd w:val="clear" w:color="auto" w:fill="auto"/>
            <w:vAlign w:val="center"/>
          </w:tcPr>
          <w:p w14:paraId="446623E4" w14:textId="77777777" w:rsidR="004A0123" w:rsidRPr="00640447" w:rsidRDefault="004A0123" w:rsidP="008A5C11">
            <w:pPr>
              <w:jc w:val="center"/>
              <w:rPr>
                <w:sz w:val="13"/>
                <w:szCs w:val="13"/>
              </w:rPr>
            </w:pPr>
            <w:r w:rsidRPr="00640447">
              <w:rPr>
                <w:sz w:val="13"/>
                <w:szCs w:val="13"/>
              </w:rPr>
              <w:t>2027</w:t>
            </w:r>
          </w:p>
        </w:tc>
        <w:tc>
          <w:tcPr>
            <w:tcW w:w="180" w:type="pct"/>
            <w:tcBorders>
              <w:top w:val="nil"/>
              <w:left w:val="nil"/>
              <w:bottom w:val="single" w:sz="4" w:space="0" w:color="auto"/>
              <w:right w:val="single" w:sz="4" w:space="0" w:color="auto"/>
            </w:tcBorders>
            <w:shd w:val="clear" w:color="auto" w:fill="auto"/>
            <w:vAlign w:val="center"/>
          </w:tcPr>
          <w:p w14:paraId="1D7BB06E" w14:textId="77777777" w:rsidR="004A0123" w:rsidRPr="00640447" w:rsidRDefault="004A0123" w:rsidP="008A5C11">
            <w:pPr>
              <w:jc w:val="center"/>
              <w:rPr>
                <w:sz w:val="13"/>
                <w:szCs w:val="13"/>
              </w:rPr>
            </w:pPr>
            <w:r w:rsidRPr="00640447">
              <w:rPr>
                <w:sz w:val="13"/>
                <w:szCs w:val="13"/>
              </w:rPr>
              <w:t>250071</w:t>
            </w:r>
          </w:p>
        </w:tc>
        <w:tc>
          <w:tcPr>
            <w:tcW w:w="187" w:type="pct"/>
            <w:tcBorders>
              <w:top w:val="nil"/>
              <w:left w:val="nil"/>
              <w:bottom w:val="single" w:sz="4" w:space="0" w:color="auto"/>
              <w:right w:val="single" w:sz="4" w:space="0" w:color="auto"/>
            </w:tcBorders>
            <w:shd w:val="clear" w:color="auto" w:fill="auto"/>
            <w:vAlign w:val="center"/>
          </w:tcPr>
          <w:p w14:paraId="2D2C3431" w14:textId="77777777" w:rsidR="004A0123" w:rsidRPr="00640447" w:rsidRDefault="004A0123" w:rsidP="008A5C11">
            <w:pPr>
              <w:jc w:val="center"/>
              <w:rPr>
                <w:sz w:val="13"/>
                <w:szCs w:val="13"/>
              </w:rPr>
            </w:pPr>
            <w:r w:rsidRPr="00640447">
              <w:rPr>
                <w:sz w:val="13"/>
                <w:szCs w:val="13"/>
              </w:rPr>
              <w:t>0</w:t>
            </w:r>
          </w:p>
        </w:tc>
        <w:tc>
          <w:tcPr>
            <w:tcW w:w="146" w:type="pct"/>
            <w:tcBorders>
              <w:top w:val="nil"/>
              <w:left w:val="single" w:sz="4" w:space="0" w:color="auto"/>
              <w:bottom w:val="single" w:sz="4" w:space="0" w:color="auto"/>
              <w:right w:val="single" w:sz="4" w:space="0" w:color="auto"/>
            </w:tcBorders>
            <w:shd w:val="clear" w:color="auto" w:fill="auto"/>
            <w:vAlign w:val="center"/>
          </w:tcPr>
          <w:p w14:paraId="13DB198A" w14:textId="77777777" w:rsidR="004A0123" w:rsidRPr="00640447" w:rsidRDefault="004A0123" w:rsidP="008A5C11">
            <w:pPr>
              <w:jc w:val="center"/>
              <w:rPr>
                <w:sz w:val="13"/>
                <w:szCs w:val="13"/>
              </w:rPr>
            </w:pPr>
            <w:r w:rsidRPr="00640447">
              <w:rPr>
                <w:sz w:val="13"/>
                <w:szCs w:val="13"/>
              </w:rPr>
              <w:t>0</w:t>
            </w:r>
          </w:p>
        </w:tc>
        <w:tc>
          <w:tcPr>
            <w:tcW w:w="149" w:type="pct"/>
            <w:tcBorders>
              <w:top w:val="nil"/>
              <w:left w:val="nil"/>
              <w:bottom w:val="single" w:sz="4" w:space="0" w:color="auto"/>
              <w:right w:val="single" w:sz="4" w:space="0" w:color="auto"/>
            </w:tcBorders>
            <w:shd w:val="clear" w:color="auto" w:fill="auto"/>
            <w:vAlign w:val="center"/>
          </w:tcPr>
          <w:p w14:paraId="576F7F86" w14:textId="77777777" w:rsidR="004A0123" w:rsidRPr="00640447" w:rsidRDefault="004A0123" w:rsidP="008A5C11">
            <w:pPr>
              <w:jc w:val="center"/>
              <w:rPr>
                <w:sz w:val="13"/>
                <w:szCs w:val="13"/>
              </w:rPr>
            </w:pPr>
            <w:r w:rsidRPr="00640447">
              <w:rPr>
                <w:sz w:val="13"/>
                <w:szCs w:val="13"/>
              </w:rPr>
              <w:t>0</w:t>
            </w:r>
          </w:p>
        </w:tc>
        <w:tc>
          <w:tcPr>
            <w:tcW w:w="183" w:type="pct"/>
            <w:tcBorders>
              <w:top w:val="nil"/>
              <w:left w:val="nil"/>
              <w:bottom w:val="single" w:sz="4" w:space="0" w:color="auto"/>
              <w:right w:val="single" w:sz="4" w:space="0" w:color="auto"/>
            </w:tcBorders>
            <w:shd w:val="clear" w:color="auto" w:fill="auto"/>
            <w:vAlign w:val="center"/>
          </w:tcPr>
          <w:p w14:paraId="6B7C20F4" w14:textId="77777777" w:rsidR="004A0123" w:rsidRPr="00640447" w:rsidRDefault="004A0123" w:rsidP="008A5C11">
            <w:pPr>
              <w:jc w:val="center"/>
              <w:rPr>
                <w:sz w:val="13"/>
                <w:szCs w:val="13"/>
              </w:rPr>
            </w:pPr>
            <w:r w:rsidRPr="00640447">
              <w:rPr>
                <w:sz w:val="13"/>
                <w:szCs w:val="13"/>
              </w:rPr>
              <w:t>0</w:t>
            </w:r>
          </w:p>
        </w:tc>
        <w:tc>
          <w:tcPr>
            <w:tcW w:w="183" w:type="pct"/>
            <w:tcBorders>
              <w:top w:val="nil"/>
              <w:left w:val="nil"/>
              <w:bottom w:val="single" w:sz="4" w:space="0" w:color="auto"/>
              <w:right w:val="single" w:sz="4" w:space="0" w:color="auto"/>
            </w:tcBorders>
            <w:shd w:val="clear" w:color="auto" w:fill="auto"/>
            <w:vAlign w:val="center"/>
          </w:tcPr>
          <w:p w14:paraId="1409125A" w14:textId="77777777" w:rsidR="004A0123" w:rsidRPr="00640447" w:rsidRDefault="004A0123" w:rsidP="008A5C11">
            <w:pPr>
              <w:jc w:val="center"/>
              <w:rPr>
                <w:sz w:val="13"/>
                <w:szCs w:val="13"/>
              </w:rPr>
            </w:pPr>
            <w:r w:rsidRPr="00640447">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3B11B4C7" w14:textId="77777777" w:rsidR="004A0123" w:rsidRPr="00640447" w:rsidRDefault="004A0123" w:rsidP="008A5C11">
            <w:pPr>
              <w:jc w:val="center"/>
              <w:rPr>
                <w:sz w:val="13"/>
                <w:szCs w:val="13"/>
              </w:rPr>
            </w:pPr>
            <w:r w:rsidRPr="00640447">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315104F8" w14:textId="77777777" w:rsidR="004A0123" w:rsidRPr="00640447" w:rsidRDefault="004A0123" w:rsidP="008A5C11">
            <w:pPr>
              <w:jc w:val="center"/>
              <w:rPr>
                <w:sz w:val="13"/>
                <w:szCs w:val="13"/>
              </w:rPr>
            </w:pPr>
            <w:r w:rsidRPr="00640447">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0C386D4C" w14:textId="77777777" w:rsidR="004A0123" w:rsidRPr="00640447" w:rsidRDefault="004A0123" w:rsidP="008A5C11">
            <w:pPr>
              <w:jc w:val="center"/>
              <w:rPr>
                <w:sz w:val="13"/>
                <w:szCs w:val="13"/>
              </w:rPr>
            </w:pPr>
            <w:r w:rsidRPr="00640447">
              <w:rPr>
                <w:sz w:val="13"/>
                <w:szCs w:val="13"/>
              </w:rPr>
              <w:t>0</w:t>
            </w:r>
          </w:p>
        </w:tc>
        <w:tc>
          <w:tcPr>
            <w:tcW w:w="174" w:type="pct"/>
            <w:tcBorders>
              <w:top w:val="single" w:sz="4" w:space="0" w:color="auto"/>
              <w:left w:val="single" w:sz="4" w:space="0" w:color="auto"/>
              <w:bottom w:val="single" w:sz="4" w:space="0" w:color="auto"/>
              <w:right w:val="single" w:sz="4" w:space="0" w:color="auto"/>
            </w:tcBorders>
            <w:vAlign w:val="center"/>
          </w:tcPr>
          <w:p w14:paraId="6BC5AFDC" w14:textId="77777777" w:rsidR="004A0123" w:rsidRPr="00640447" w:rsidRDefault="004A0123" w:rsidP="008A5C11">
            <w:pPr>
              <w:jc w:val="center"/>
              <w:rPr>
                <w:sz w:val="13"/>
                <w:szCs w:val="13"/>
              </w:rPr>
            </w:pPr>
            <w:r w:rsidRPr="00640447">
              <w:rPr>
                <w:sz w:val="13"/>
                <w:szCs w:val="13"/>
              </w:rPr>
              <w:t>58251</w:t>
            </w:r>
          </w:p>
        </w:tc>
        <w:tc>
          <w:tcPr>
            <w:tcW w:w="156" w:type="pct"/>
            <w:tcBorders>
              <w:top w:val="single" w:sz="4" w:space="0" w:color="auto"/>
              <w:left w:val="single" w:sz="4" w:space="0" w:color="auto"/>
              <w:bottom w:val="single" w:sz="4" w:space="0" w:color="auto"/>
              <w:right w:val="single" w:sz="4" w:space="0" w:color="auto"/>
            </w:tcBorders>
            <w:vAlign w:val="center"/>
          </w:tcPr>
          <w:p w14:paraId="19F86E0E" w14:textId="77777777" w:rsidR="004A0123" w:rsidRPr="00640447" w:rsidRDefault="004A0123" w:rsidP="008A5C11">
            <w:pPr>
              <w:jc w:val="center"/>
              <w:rPr>
                <w:sz w:val="13"/>
                <w:szCs w:val="13"/>
              </w:rPr>
            </w:pPr>
            <w:r w:rsidRPr="00640447">
              <w:rPr>
                <w:sz w:val="13"/>
                <w:szCs w:val="13"/>
              </w:rPr>
              <w:t>191820</w:t>
            </w:r>
          </w:p>
        </w:tc>
        <w:tc>
          <w:tcPr>
            <w:tcW w:w="146" w:type="pct"/>
            <w:tcBorders>
              <w:top w:val="single" w:sz="4" w:space="0" w:color="auto"/>
              <w:left w:val="single" w:sz="4" w:space="0" w:color="auto"/>
              <w:bottom w:val="single" w:sz="4" w:space="0" w:color="auto"/>
              <w:right w:val="single" w:sz="4" w:space="0" w:color="auto"/>
            </w:tcBorders>
            <w:vAlign w:val="center"/>
          </w:tcPr>
          <w:p w14:paraId="6AA2CE8C" w14:textId="77777777" w:rsidR="004A0123" w:rsidRPr="00640447" w:rsidRDefault="004A0123" w:rsidP="008A5C11">
            <w:pPr>
              <w:jc w:val="center"/>
              <w:rPr>
                <w:sz w:val="13"/>
                <w:szCs w:val="13"/>
              </w:rPr>
            </w:pPr>
            <w:r w:rsidRPr="00640447">
              <w:rPr>
                <w:sz w:val="13"/>
                <w:szCs w:val="13"/>
              </w:rPr>
              <w:t>0</w:t>
            </w:r>
          </w:p>
        </w:tc>
        <w:tc>
          <w:tcPr>
            <w:tcW w:w="188" w:type="pct"/>
            <w:tcBorders>
              <w:top w:val="single" w:sz="4" w:space="0" w:color="auto"/>
              <w:left w:val="single" w:sz="4" w:space="0" w:color="auto"/>
              <w:bottom w:val="single" w:sz="4" w:space="0" w:color="auto"/>
              <w:right w:val="single" w:sz="4" w:space="0" w:color="auto"/>
            </w:tcBorders>
            <w:vAlign w:val="center"/>
          </w:tcPr>
          <w:p w14:paraId="02DACB4C" w14:textId="77777777" w:rsidR="004A0123" w:rsidRPr="00640447" w:rsidRDefault="004A0123" w:rsidP="008A5C11">
            <w:pPr>
              <w:jc w:val="center"/>
              <w:rPr>
                <w:sz w:val="13"/>
                <w:szCs w:val="13"/>
              </w:rPr>
            </w:pPr>
            <w:r w:rsidRPr="00640447">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1EB5CE72" w14:textId="77777777" w:rsidR="004A0123" w:rsidRPr="00640447" w:rsidRDefault="004A0123" w:rsidP="008A5C11">
            <w:pPr>
              <w:jc w:val="center"/>
              <w:rPr>
                <w:sz w:val="13"/>
                <w:szCs w:val="13"/>
              </w:rPr>
            </w:pPr>
            <w:r w:rsidRPr="00640447">
              <w:rPr>
                <w:sz w:val="13"/>
                <w:szCs w:val="13"/>
              </w:rPr>
              <w:t>0</w:t>
            </w:r>
          </w:p>
        </w:tc>
      </w:tr>
      <w:tr w:rsidR="004A0123" w:rsidRPr="00640447" w14:paraId="6D51FCFB" w14:textId="77777777" w:rsidTr="008A5C11">
        <w:trPr>
          <w:trHeight w:val="489"/>
        </w:trPr>
        <w:tc>
          <w:tcPr>
            <w:tcW w:w="146" w:type="pct"/>
            <w:tcBorders>
              <w:bottom w:val="single" w:sz="4" w:space="0" w:color="auto"/>
            </w:tcBorders>
            <w:shd w:val="clear" w:color="auto" w:fill="auto"/>
            <w:vAlign w:val="center"/>
          </w:tcPr>
          <w:p w14:paraId="6A03C84D" w14:textId="77777777" w:rsidR="004A0123" w:rsidRPr="00640447" w:rsidRDefault="004A0123" w:rsidP="008A5C11">
            <w:pPr>
              <w:jc w:val="center"/>
              <w:rPr>
                <w:sz w:val="13"/>
                <w:szCs w:val="13"/>
              </w:rPr>
            </w:pPr>
            <w:r w:rsidRPr="00640447">
              <w:rPr>
                <w:sz w:val="13"/>
                <w:szCs w:val="13"/>
              </w:rPr>
              <w:t>3.2.15.</w:t>
            </w:r>
          </w:p>
        </w:tc>
        <w:tc>
          <w:tcPr>
            <w:tcW w:w="616" w:type="pct"/>
            <w:tcBorders>
              <w:top w:val="nil"/>
              <w:left w:val="single" w:sz="4" w:space="0" w:color="auto"/>
              <w:bottom w:val="single" w:sz="4" w:space="0" w:color="auto"/>
              <w:right w:val="single" w:sz="4" w:space="0" w:color="auto"/>
            </w:tcBorders>
            <w:shd w:val="clear" w:color="auto" w:fill="auto"/>
            <w:vAlign w:val="center"/>
          </w:tcPr>
          <w:p w14:paraId="2E281DA5" w14:textId="77777777" w:rsidR="004A0123" w:rsidRPr="00640447" w:rsidRDefault="004A0123" w:rsidP="008A5C11">
            <w:pPr>
              <w:rPr>
                <w:color w:val="000000"/>
                <w:sz w:val="13"/>
                <w:szCs w:val="13"/>
              </w:rPr>
            </w:pPr>
            <w:r w:rsidRPr="00640447">
              <w:rPr>
                <w:color w:val="000000"/>
                <w:sz w:val="13"/>
                <w:szCs w:val="13"/>
              </w:rPr>
              <w:t xml:space="preserve">Котельная «Энергетик». Проектирование и установка </w:t>
            </w:r>
            <w:proofErr w:type="gramStart"/>
            <w:r w:rsidRPr="00640447">
              <w:rPr>
                <w:color w:val="000000"/>
                <w:sz w:val="13"/>
                <w:szCs w:val="13"/>
              </w:rPr>
              <w:t>котла  К</w:t>
            </w:r>
            <w:proofErr w:type="gramEnd"/>
            <w:r w:rsidRPr="00640447">
              <w:rPr>
                <w:color w:val="000000"/>
                <w:sz w:val="13"/>
                <w:szCs w:val="13"/>
              </w:rPr>
              <w:t>-50-40/14 № 3 с установкой системы автоматизации.</w:t>
            </w:r>
          </w:p>
        </w:tc>
        <w:tc>
          <w:tcPr>
            <w:tcW w:w="359" w:type="pct"/>
            <w:tcBorders>
              <w:top w:val="nil"/>
              <w:left w:val="nil"/>
              <w:bottom w:val="single" w:sz="4" w:space="0" w:color="auto"/>
              <w:right w:val="single" w:sz="4" w:space="0" w:color="auto"/>
            </w:tcBorders>
            <w:shd w:val="clear" w:color="auto" w:fill="auto"/>
            <w:vAlign w:val="center"/>
          </w:tcPr>
          <w:p w14:paraId="54061D74" w14:textId="77777777" w:rsidR="004A0123" w:rsidRPr="00640447" w:rsidRDefault="004A0123" w:rsidP="008A5C11">
            <w:pPr>
              <w:jc w:val="center"/>
              <w:rPr>
                <w:color w:val="000000"/>
                <w:sz w:val="13"/>
                <w:szCs w:val="13"/>
              </w:rPr>
            </w:pPr>
            <w:r w:rsidRPr="00640447">
              <w:rPr>
                <w:color w:val="000000"/>
                <w:sz w:val="13"/>
                <w:szCs w:val="13"/>
              </w:rPr>
              <w:t>Повышение надежности теплоснабжения</w:t>
            </w:r>
          </w:p>
        </w:tc>
        <w:tc>
          <w:tcPr>
            <w:tcW w:w="360" w:type="pct"/>
            <w:tcBorders>
              <w:top w:val="nil"/>
              <w:left w:val="nil"/>
              <w:bottom w:val="single" w:sz="4" w:space="0" w:color="auto"/>
              <w:right w:val="single" w:sz="4" w:space="0" w:color="auto"/>
            </w:tcBorders>
            <w:shd w:val="clear" w:color="auto" w:fill="auto"/>
            <w:vAlign w:val="center"/>
          </w:tcPr>
          <w:p w14:paraId="09A4D52B" w14:textId="77777777" w:rsidR="004A0123" w:rsidRPr="00640447" w:rsidRDefault="004A0123" w:rsidP="008A5C11">
            <w:pPr>
              <w:jc w:val="center"/>
              <w:rPr>
                <w:color w:val="000000"/>
                <w:sz w:val="13"/>
                <w:szCs w:val="13"/>
              </w:rPr>
            </w:pPr>
            <w:r w:rsidRPr="00640447">
              <w:rPr>
                <w:color w:val="000000"/>
                <w:sz w:val="13"/>
                <w:szCs w:val="13"/>
              </w:rPr>
              <w:t xml:space="preserve">г. Ленинск-Кузнецкий, </w:t>
            </w:r>
          </w:p>
          <w:p w14:paraId="139286ED" w14:textId="77777777" w:rsidR="004A0123" w:rsidRPr="00640447" w:rsidRDefault="004A0123" w:rsidP="008A5C11">
            <w:pPr>
              <w:jc w:val="center"/>
              <w:rPr>
                <w:color w:val="000000"/>
                <w:sz w:val="13"/>
                <w:szCs w:val="13"/>
              </w:rPr>
            </w:pPr>
            <w:r w:rsidRPr="00640447">
              <w:rPr>
                <w:color w:val="000000"/>
                <w:sz w:val="13"/>
                <w:szCs w:val="13"/>
              </w:rPr>
              <w:t>тер. Северная промзона 4</w:t>
            </w:r>
          </w:p>
        </w:tc>
        <w:tc>
          <w:tcPr>
            <w:tcW w:w="338" w:type="pct"/>
            <w:tcBorders>
              <w:top w:val="nil"/>
              <w:left w:val="nil"/>
              <w:bottom w:val="single" w:sz="4" w:space="0" w:color="auto"/>
              <w:right w:val="single" w:sz="4" w:space="0" w:color="auto"/>
            </w:tcBorders>
            <w:shd w:val="clear" w:color="auto" w:fill="auto"/>
            <w:vAlign w:val="center"/>
          </w:tcPr>
          <w:p w14:paraId="774EDD54" w14:textId="77777777" w:rsidR="004A0123" w:rsidRPr="00640447" w:rsidRDefault="004A0123" w:rsidP="008A5C11">
            <w:pPr>
              <w:jc w:val="center"/>
              <w:rPr>
                <w:sz w:val="13"/>
                <w:szCs w:val="13"/>
              </w:rPr>
            </w:pPr>
            <w:r w:rsidRPr="00640447">
              <w:rPr>
                <w:sz w:val="13"/>
                <w:szCs w:val="13"/>
              </w:rPr>
              <w:t>Установленная мощность</w:t>
            </w:r>
          </w:p>
        </w:tc>
        <w:tc>
          <w:tcPr>
            <w:tcW w:w="116" w:type="pct"/>
            <w:tcBorders>
              <w:top w:val="nil"/>
              <w:left w:val="nil"/>
              <w:bottom w:val="single" w:sz="4" w:space="0" w:color="auto"/>
              <w:right w:val="single" w:sz="4" w:space="0" w:color="auto"/>
            </w:tcBorders>
            <w:shd w:val="clear" w:color="auto" w:fill="auto"/>
            <w:vAlign w:val="center"/>
          </w:tcPr>
          <w:p w14:paraId="278DD84D" w14:textId="77777777" w:rsidR="004A0123" w:rsidRPr="00640447" w:rsidRDefault="004A0123" w:rsidP="008A5C11">
            <w:pPr>
              <w:jc w:val="center"/>
              <w:rPr>
                <w:sz w:val="13"/>
                <w:szCs w:val="13"/>
              </w:rPr>
            </w:pPr>
            <w:r w:rsidRPr="00640447">
              <w:rPr>
                <w:sz w:val="13"/>
                <w:szCs w:val="13"/>
              </w:rPr>
              <w:t>Гкал/ч</w:t>
            </w:r>
          </w:p>
        </w:tc>
        <w:tc>
          <w:tcPr>
            <w:tcW w:w="182" w:type="pct"/>
            <w:tcBorders>
              <w:top w:val="nil"/>
              <w:left w:val="single" w:sz="4" w:space="0" w:color="auto"/>
              <w:bottom w:val="single" w:sz="4" w:space="0" w:color="auto"/>
              <w:right w:val="single" w:sz="4" w:space="0" w:color="auto"/>
            </w:tcBorders>
            <w:shd w:val="clear" w:color="auto" w:fill="auto"/>
            <w:vAlign w:val="center"/>
          </w:tcPr>
          <w:p w14:paraId="07AFD453" w14:textId="77777777" w:rsidR="004A0123" w:rsidRPr="00640447" w:rsidRDefault="004A0123" w:rsidP="008A5C11">
            <w:pPr>
              <w:jc w:val="center"/>
              <w:rPr>
                <w:sz w:val="13"/>
                <w:szCs w:val="13"/>
              </w:rPr>
            </w:pPr>
            <w:r w:rsidRPr="00640447">
              <w:rPr>
                <w:sz w:val="13"/>
                <w:szCs w:val="13"/>
              </w:rPr>
              <w:t>28</w:t>
            </w:r>
          </w:p>
        </w:tc>
        <w:tc>
          <w:tcPr>
            <w:tcW w:w="174" w:type="pct"/>
            <w:tcBorders>
              <w:top w:val="nil"/>
              <w:left w:val="nil"/>
              <w:bottom w:val="single" w:sz="4" w:space="0" w:color="auto"/>
              <w:right w:val="single" w:sz="4" w:space="0" w:color="auto"/>
            </w:tcBorders>
            <w:shd w:val="clear" w:color="auto" w:fill="auto"/>
            <w:vAlign w:val="center"/>
          </w:tcPr>
          <w:p w14:paraId="7F71192A" w14:textId="77777777" w:rsidR="004A0123" w:rsidRPr="00640447" w:rsidRDefault="004A0123" w:rsidP="008A5C11">
            <w:pPr>
              <w:jc w:val="center"/>
              <w:rPr>
                <w:sz w:val="13"/>
                <w:szCs w:val="13"/>
              </w:rPr>
            </w:pPr>
            <w:r w:rsidRPr="00640447">
              <w:rPr>
                <w:sz w:val="13"/>
                <w:szCs w:val="13"/>
              </w:rPr>
              <w:t>28</w:t>
            </w:r>
          </w:p>
        </w:tc>
        <w:tc>
          <w:tcPr>
            <w:tcW w:w="189" w:type="pct"/>
            <w:tcBorders>
              <w:top w:val="nil"/>
              <w:left w:val="nil"/>
              <w:bottom w:val="single" w:sz="4" w:space="0" w:color="auto"/>
              <w:right w:val="single" w:sz="4" w:space="0" w:color="auto"/>
            </w:tcBorders>
            <w:shd w:val="clear" w:color="auto" w:fill="auto"/>
            <w:vAlign w:val="center"/>
          </w:tcPr>
          <w:p w14:paraId="30DF561F" w14:textId="77777777" w:rsidR="004A0123" w:rsidRPr="00640447" w:rsidRDefault="004A0123" w:rsidP="008A5C11">
            <w:pPr>
              <w:jc w:val="center"/>
              <w:rPr>
                <w:sz w:val="13"/>
                <w:szCs w:val="13"/>
              </w:rPr>
            </w:pPr>
            <w:r w:rsidRPr="00640447">
              <w:rPr>
                <w:sz w:val="13"/>
                <w:szCs w:val="13"/>
              </w:rPr>
              <w:t>2027</w:t>
            </w:r>
          </w:p>
        </w:tc>
        <w:tc>
          <w:tcPr>
            <w:tcW w:w="184" w:type="pct"/>
            <w:tcBorders>
              <w:top w:val="nil"/>
              <w:left w:val="nil"/>
              <w:bottom w:val="single" w:sz="4" w:space="0" w:color="auto"/>
              <w:right w:val="single" w:sz="4" w:space="0" w:color="auto"/>
            </w:tcBorders>
            <w:shd w:val="clear" w:color="auto" w:fill="auto"/>
            <w:vAlign w:val="center"/>
          </w:tcPr>
          <w:p w14:paraId="02F7B277" w14:textId="77777777" w:rsidR="004A0123" w:rsidRPr="00640447" w:rsidRDefault="004A0123" w:rsidP="008A5C11">
            <w:pPr>
              <w:jc w:val="center"/>
              <w:rPr>
                <w:sz w:val="13"/>
                <w:szCs w:val="13"/>
              </w:rPr>
            </w:pPr>
            <w:r w:rsidRPr="00640447">
              <w:rPr>
                <w:sz w:val="13"/>
                <w:szCs w:val="13"/>
              </w:rPr>
              <w:t>2028</w:t>
            </w:r>
          </w:p>
        </w:tc>
        <w:tc>
          <w:tcPr>
            <w:tcW w:w="180" w:type="pct"/>
            <w:tcBorders>
              <w:top w:val="nil"/>
              <w:left w:val="nil"/>
              <w:bottom w:val="single" w:sz="4" w:space="0" w:color="auto"/>
              <w:right w:val="single" w:sz="4" w:space="0" w:color="auto"/>
            </w:tcBorders>
            <w:shd w:val="clear" w:color="auto" w:fill="auto"/>
            <w:vAlign w:val="center"/>
          </w:tcPr>
          <w:p w14:paraId="7386327B" w14:textId="77777777" w:rsidR="004A0123" w:rsidRPr="00640447" w:rsidRDefault="004A0123" w:rsidP="008A5C11">
            <w:pPr>
              <w:jc w:val="center"/>
              <w:rPr>
                <w:sz w:val="13"/>
                <w:szCs w:val="13"/>
              </w:rPr>
            </w:pPr>
            <w:r w:rsidRPr="00640447">
              <w:rPr>
                <w:sz w:val="13"/>
                <w:szCs w:val="13"/>
              </w:rPr>
              <w:t>258823</w:t>
            </w:r>
          </w:p>
        </w:tc>
        <w:tc>
          <w:tcPr>
            <w:tcW w:w="187" w:type="pct"/>
            <w:tcBorders>
              <w:top w:val="nil"/>
              <w:left w:val="nil"/>
              <w:bottom w:val="single" w:sz="4" w:space="0" w:color="auto"/>
              <w:right w:val="single" w:sz="4" w:space="0" w:color="auto"/>
            </w:tcBorders>
            <w:shd w:val="clear" w:color="auto" w:fill="auto"/>
            <w:vAlign w:val="center"/>
          </w:tcPr>
          <w:p w14:paraId="7E4B7BD0" w14:textId="77777777" w:rsidR="004A0123" w:rsidRPr="00640447" w:rsidRDefault="004A0123" w:rsidP="008A5C11">
            <w:pPr>
              <w:jc w:val="center"/>
              <w:rPr>
                <w:sz w:val="13"/>
                <w:szCs w:val="13"/>
              </w:rPr>
            </w:pPr>
            <w:r w:rsidRPr="00640447">
              <w:rPr>
                <w:sz w:val="13"/>
                <w:szCs w:val="13"/>
              </w:rPr>
              <w:t>0</w:t>
            </w:r>
          </w:p>
        </w:tc>
        <w:tc>
          <w:tcPr>
            <w:tcW w:w="146" w:type="pct"/>
            <w:tcBorders>
              <w:top w:val="nil"/>
              <w:left w:val="single" w:sz="4" w:space="0" w:color="auto"/>
              <w:bottom w:val="single" w:sz="4" w:space="0" w:color="auto"/>
              <w:right w:val="single" w:sz="4" w:space="0" w:color="auto"/>
            </w:tcBorders>
            <w:shd w:val="clear" w:color="auto" w:fill="auto"/>
            <w:vAlign w:val="center"/>
          </w:tcPr>
          <w:p w14:paraId="30D9D752" w14:textId="77777777" w:rsidR="004A0123" w:rsidRPr="00640447" w:rsidRDefault="004A0123" w:rsidP="008A5C11">
            <w:pPr>
              <w:jc w:val="center"/>
              <w:rPr>
                <w:sz w:val="13"/>
                <w:szCs w:val="13"/>
              </w:rPr>
            </w:pPr>
            <w:r w:rsidRPr="00640447">
              <w:rPr>
                <w:sz w:val="13"/>
                <w:szCs w:val="13"/>
              </w:rPr>
              <w:t>0</w:t>
            </w:r>
          </w:p>
        </w:tc>
        <w:tc>
          <w:tcPr>
            <w:tcW w:w="149" w:type="pct"/>
            <w:tcBorders>
              <w:top w:val="nil"/>
              <w:left w:val="nil"/>
              <w:bottom w:val="single" w:sz="4" w:space="0" w:color="auto"/>
              <w:right w:val="single" w:sz="4" w:space="0" w:color="auto"/>
            </w:tcBorders>
            <w:shd w:val="clear" w:color="auto" w:fill="auto"/>
            <w:vAlign w:val="center"/>
          </w:tcPr>
          <w:p w14:paraId="302628E6" w14:textId="77777777" w:rsidR="004A0123" w:rsidRPr="00640447" w:rsidRDefault="004A0123" w:rsidP="008A5C11">
            <w:pPr>
              <w:jc w:val="center"/>
              <w:rPr>
                <w:sz w:val="13"/>
                <w:szCs w:val="13"/>
              </w:rPr>
            </w:pPr>
            <w:r w:rsidRPr="00640447">
              <w:rPr>
                <w:sz w:val="13"/>
                <w:szCs w:val="13"/>
              </w:rPr>
              <w:t>0</w:t>
            </w:r>
          </w:p>
        </w:tc>
        <w:tc>
          <w:tcPr>
            <w:tcW w:w="183" w:type="pct"/>
            <w:tcBorders>
              <w:top w:val="nil"/>
              <w:left w:val="nil"/>
              <w:bottom w:val="single" w:sz="4" w:space="0" w:color="auto"/>
              <w:right w:val="single" w:sz="4" w:space="0" w:color="auto"/>
            </w:tcBorders>
            <w:shd w:val="clear" w:color="auto" w:fill="auto"/>
            <w:vAlign w:val="center"/>
          </w:tcPr>
          <w:p w14:paraId="42FBDDAA" w14:textId="77777777" w:rsidR="004A0123" w:rsidRPr="00640447" w:rsidRDefault="004A0123" w:rsidP="008A5C11">
            <w:pPr>
              <w:jc w:val="center"/>
              <w:rPr>
                <w:sz w:val="13"/>
                <w:szCs w:val="13"/>
              </w:rPr>
            </w:pPr>
            <w:r w:rsidRPr="00640447">
              <w:rPr>
                <w:sz w:val="13"/>
                <w:szCs w:val="13"/>
              </w:rPr>
              <w:t>0</w:t>
            </w:r>
          </w:p>
        </w:tc>
        <w:tc>
          <w:tcPr>
            <w:tcW w:w="183" w:type="pct"/>
            <w:tcBorders>
              <w:top w:val="nil"/>
              <w:left w:val="nil"/>
              <w:bottom w:val="single" w:sz="4" w:space="0" w:color="auto"/>
              <w:right w:val="single" w:sz="4" w:space="0" w:color="auto"/>
            </w:tcBorders>
            <w:shd w:val="clear" w:color="auto" w:fill="auto"/>
            <w:vAlign w:val="center"/>
          </w:tcPr>
          <w:p w14:paraId="5373A1FE" w14:textId="77777777" w:rsidR="004A0123" w:rsidRPr="00640447" w:rsidRDefault="004A0123" w:rsidP="008A5C11">
            <w:pPr>
              <w:jc w:val="center"/>
              <w:rPr>
                <w:sz w:val="13"/>
                <w:szCs w:val="13"/>
              </w:rPr>
            </w:pPr>
            <w:r w:rsidRPr="00640447">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161A61F2" w14:textId="77777777" w:rsidR="004A0123" w:rsidRPr="00640447" w:rsidRDefault="004A0123" w:rsidP="008A5C11">
            <w:pPr>
              <w:jc w:val="center"/>
              <w:rPr>
                <w:sz w:val="13"/>
                <w:szCs w:val="13"/>
              </w:rPr>
            </w:pPr>
            <w:r w:rsidRPr="00640447">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0D2C3E22" w14:textId="77777777" w:rsidR="004A0123" w:rsidRPr="00640447" w:rsidRDefault="004A0123" w:rsidP="008A5C11">
            <w:pPr>
              <w:jc w:val="center"/>
              <w:rPr>
                <w:sz w:val="13"/>
                <w:szCs w:val="13"/>
              </w:rPr>
            </w:pPr>
            <w:r w:rsidRPr="00640447">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7558612F" w14:textId="77777777" w:rsidR="004A0123" w:rsidRPr="00640447" w:rsidRDefault="004A0123" w:rsidP="008A5C11">
            <w:pPr>
              <w:jc w:val="center"/>
              <w:rPr>
                <w:sz w:val="13"/>
                <w:szCs w:val="13"/>
              </w:rPr>
            </w:pPr>
            <w:r w:rsidRPr="00640447">
              <w:rPr>
                <w:sz w:val="13"/>
                <w:szCs w:val="13"/>
              </w:rPr>
              <w:t>0</w:t>
            </w:r>
          </w:p>
        </w:tc>
        <w:tc>
          <w:tcPr>
            <w:tcW w:w="174" w:type="pct"/>
            <w:tcBorders>
              <w:top w:val="single" w:sz="4" w:space="0" w:color="auto"/>
              <w:left w:val="single" w:sz="4" w:space="0" w:color="auto"/>
              <w:bottom w:val="single" w:sz="4" w:space="0" w:color="auto"/>
              <w:right w:val="single" w:sz="4" w:space="0" w:color="auto"/>
            </w:tcBorders>
            <w:vAlign w:val="center"/>
          </w:tcPr>
          <w:p w14:paraId="5A95492D" w14:textId="77777777" w:rsidR="004A0123" w:rsidRPr="00640447" w:rsidRDefault="004A0123" w:rsidP="008A5C11">
            <w:pPr>
              <w:jc w:val="center"/>
              <w:rPr>
                <w:sz w:val="13"/>
                <w:szCs w:val="13"/>
              </w:rPr>
            </w:pPr>
            <w:r w:rsidRPr="00640447">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2C251BFD" w14:textId="77777777" w:rsidR="004A0123" w:rsidRPr="00640447" w:rsidRDefault="004A0123" w:rsidP="008A5C11">
            <w:pPr>
              <w:jc w:val="center"/>
              <w:rPr>
                <w:sz w:val="13"/>
                <w:szCs w:val="13"/>
              </w:rPr>
            </w:pPr>
            <w:r w:rsidRPr="00640447">
              <w:rPr>
                <w:sz w:val="13"/>
                <w:szCs w:val="13"/>
              </w:rPr>
              <w:t>60290</w:t>
            </w:r>
          </w:p>
        </w:tc>
        <w:tc>
          <w:tcPr>
            <w:tcW w:w="146" w:type="pct"/>
            <w:tcBorders>
              <w:top w:val="single" w:sz="4" w:space="0" w:color="auto"/>
              <w:left w:val="single" w:sz="4" w:space="0" w:color="auto"/>
              <w:bottom w:val="single" w:sz="4" w:space="0" w:color="auto"/>
              <w:right w:val="single" w:sz="4" w:space="0" w:color="auto"/>
            </w:tcBorders>
            <w:vAlign w:val="center"/>
          </w:tcPr>
          <w:p w14:paraId="26AF8E2E" w14:textId="77777777" w:rsidR="004A0123" w:rsidRPr="00640447" w:rsidRDefault="004A0123" w:rsidP="008A5C11">
            <w:pPr>
              <w:jc w:val="center"/>
              <w:rPr>
                <w:sz w:val="13"/>
                <w:szCs w:val="13"/>
              </w:rPr>
            </w:pPr>
            <w:r w:rsidRPr="00640447">
              <w:rPr>
                <w:sz w:val="13"/>
                <w:szCs w:val="13"/>
              </w:rPr>
              <w:t>198533</w:t>
            </w:r>
          </w:p>
        </w:tc>
        <w:tc>
          <w:tcPr>
            <w:tcW w:w="188" w:type="pct"/>
            <w:tcBorders>
              <w:top w:val="single" w:sz="4" w:space="0" w:color="auto"/>
              <w:left w:val="single" w:sz="4" w:space="0" w:color="auto"/>
              <w:bottom w:val="single" w:sz="4" w:space="0" w:color="auto"/>
              <w:right w:val="single" w:sz="4" w:space="0" w:color="auto"/>
            </w:tcBorders>
            <w:vAlign w:val="center"/>
          </w:tcPr>
          <w:p w14:paraId="37EE4950" w14:textId="77777777" w:rsidR="004A0123" w:rsidRPr="00640447" w:rsidRDefault="004A0123" w:rsidP="008A5C11">
            <w:pPr>
              <w:jc w:val="center"/>
              <w:rPr>
                <w:sz w:val="13"/>
                <w:szCs w:val="13"/>
              </w:rPr>
            </w:pPr>
            <w:r w:rsidRPr="00640447">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4B7F4A4B" w14:textId="77777777" w:rsidR="004A0123" w:rsidRPr="00640447" w:rsidRDefault="004A0123" w:rsidP="008A5C11">
            <w:pPr>
              <w:jc w:val="center"/>
              <w:rPr>
                <w:sz w:val="13"/>
                <w:szCs w:val="13"/>
              </w:rPr>
            </w:pPr>
            <w:r w:rsidRPr="00640447">
              <w:rPr>
                <w:sz w:val="13"/>
                <w:szCs w:val="13"/>
              </w:rPr>
              <w:t>0</w:t>
            </w:r>
          </w:p>
        </w:tc>
      </w:tr>
      <w:tr w:rsidR="004A0123" w:rsidRPr="00640447" w14:paraId="24379D7C" w14:textId="77777777" w:rsidTr="008A5C11">
        <w:trPr>
          <w:trHeight w:val="243"/>
        </w:trPr>
        <w:tc>
          <w:tcPr>
            <w:tcW w:w="146" w:type="pct"/>
            <w:tcBorders>
              <w:top w:val="single" w:sz="4" w:space="0" w:color="auto"/>
              <w:left w:val="single" w:sz="4" w:space="0" w:color="auto"/>
              <w:bottom w:val="single" w:sz="4" w:space="0" w:color="auto"/>
              <w:right w:val="single" w:sz="4" w:space="0" w:color="auto"/>
            </w:tcBorders>
            <w:shd w:val="clear" w:color="auto" w:fill="auto"/>
            <w:vAlign w:val="center"/>
          </w:tcPr>
          <w:p w14:paraId="7D630BF0" w14:textId="77777777" w:rsidR="004A0123" w:rsidRPr="00640447" w:rsidRDefault="004A0123" w:rsidP="008A5C11">
            <w:pPr>
              <w:jc w:val="center"/>
              <w:rPr>
                <w:bCs/>
                <w:sz w:val="13"/>
                <w:szCs w:val="13"/>
              </w:rPr>
            </w:pPr>
            <w:r w:rsidRPr="00640447">
              <w:rPr>
                <w:bCs/>
                <w:sz w:val="13"/>
                <w:szCs w:val="13"/>
              </w:rPr>
              <w:t>1</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5BCDDF9C" w14:textId="77777777" w:rsidR="004A0123" w:rsidRPr="00640447" w:rsidRDefault="004A0123" w:rsidP="008A5C11">
            <w:pPr>
              <w:jc w:val="center"/>
              <w:rPr>
                <w:bCs/>
                <w:sz w:val="13"/>
                <w:szCs w:val="13"/>
              </w:rPr>
            </w:pPr>
            <w:r w:rsidRPr="00640447">
              <w:rPr>
                <w:bCs/>
                <w:sz w:val="13"/>
                <w:szCs w:val="13"/>
              </w:rPr>
              <w:t>2</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tcPr>
          <w:p w14:paraId="04085365" w14:textId="77777777" w:rsidR="004A0123" w:rsidRPr="00640447" w:rsidRDefault="004A0123" w:rsidP="008A5C11">
            <w:pPr>
              <w:jc w:val="center"/>
              <w:rPr>
                <w:bCs/>
                <w:sz w:val="13"/>
                <w:szCs w:val="13"/>
              </w:rPr>
            </w:pPr>
            <w:r w:rsidRPr="00640447">
              <w:rPr>
                <w:bCs/>
                <w:sz w:val="13"/>
                <w:szCs w:val="13"/>
              </w:rPr>
              <w:t>3</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4E73F67F" w14:textId="77777777" w:rsidR="004A0123" w:rsidRPr="00640447" w:rsidRDefault="004A0123" w:rsidP="008A5C11">
            <w:pPr>
              <w:jc w:val="center"/>
              <w:rPr>
                <w:bCs/>
                <w:sz w:val="13"/>
                <w:szCs w:val="13"/>
              </w:rPr>
            </w:pPr>
            <w:r w:rsidRPr="00640447">
              <w:rPr>
                <w:bCs/>
                <w:sz w:val="13"/>
                <w:szCs w:val="13"/>
              </w:rPr>
              <w:t>4</w:t>
            </w:r>
          </w:p>
        </w:tc>
        <w:tc>
          <w:tcPr>
            <w:tcW w:w="338" w:type="pct"/>
            <w:tcBorders>
              <w:top w:val="single" w:sz="4" w:space="0" w:color="auto"/>
              <w:left w:val="single" w:sz="4" w:space="0" w:color="auto"/>
              <w:bottom w:val="single" w:sz="4" w:space="0" w:color="auto"/>
              <w:right w:val="single" w:sz="4" w:space="0" w:color="auto"/>
            </w:tcBorders>
            <w:shd w:val="clear" w:color="auto" w:fill="auto"/>
            <w:vAlign w:val="center"/>
          </w:tcPr>
          <w:p w14:paraId="51C457CD" w14:textId="77777777" w:rsidR="004A0123" w:rsidRPr="00640447" w:rsidRDefault="004A0123" w:rsidP="008A5C11">
            <w:pPr>
              <w:jc w:val="center"/>
              <w:rPr>
                <w:bCs/>
                <w:sz w:val="13"/>
                <w:szCs w:val="13"/>
              </w:rPr>
            </w:pPr>
            <w:r w:rsidRPr="00640447">
              <w:rPr>
                <w:bCs/>
                <w:sz w:val="13"/>
                <w:szCs w:val="13"/>
              </w:rPr>
              <w:t>5</w:t>
            </w:r>
          </w:p>
        </w:tc>
        <w:tc>
          <w:tcPr>
            <w:tcW w:w="116" w:type="pct"/>
            <w:tcBorders>
              <w:top w:val="single" w:sz="4" w:space="0" w:color="auto"/>
              <w:left w:val="single" w:sz="4" w:space="0" w:color="auto"/>
              <w:bottom w:val="single" w:sz="4" w:space="0" w:color="auto"/>
              <w:right w:val="single" w:sz="4" w:space="0" w:color="auto"/>
            </w:tcBorders>
            <w:shd w:val="clear" w:color="auto" w:fill="auto"/>
            <w:vAlign w:val="center"/>
          </w:tcPr>
          <w:p w14:paraId="7469425D" w14:textId="77777777" w:rsidR="004A0123" w:rsidRPr="00640447" w:rsidRDefault="004A0123" w:rsidP="008A5C11">
            <w:pPr>
              <w:jc w:val="center"/>
              <w:rPr>
                <w:bCs/>
                <w:sz w:val="13"/>
                <w:szCs w:val="13"/>
              </w:rPr>
            </w:pPr>
            <w:r w:rsidRPr="00640447">
              <w:rPr>
                <w:bCs/>
                <w:sz w:val="13"/>
                <w:szCs w:val="13"/>
              </w:rPr>
              <w:t>6</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0523E366" w14:textId="77777777" w:rsidR="004A0123" w:rsidRPr="00640447" w:rsidRDefault="004A0123" w:rsidP="008A5C11">
            <w:pPr>
              <w:jc w:val="center"/>
              <w:rPr>
                <w:bCs/>
                <w:sz w:val="13"/>
                <w:szCs w:val="13"/>
              </w:rPr>
            </w:pPr>
            <w:r w:rsidRPr="00640447">
              <w:rPr>
                <w:bCs/>
                <w:sz w:val="13"/>
                <w:szCs w:val="13"/>
              </w:rPr>
              <w:t>7</w:t>
            </w:r>
          </w:p>
        </w:tc>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14:paraId="4CD76C0A" w14:textId="77777777" w:rsidR="004A0123" w:rsidRPr="00640447" w:rsidRDefault="004A0123" w:rsidP="008A5C11">
            <w:pPr>
              <w:jc w:val="center"/>
              <w:rPr>
                <w:bCs/>
                <w:sz w:val="13"/>
                <w:szCs w:val="13"/>
              </w:rPr>
            </w:pPr>
            <w:r w:rsidRPr="00640447">
              <w:rPr>
                <w:bCs/>
                <w:sz w:val="13"/>
                <w:szCs w:val="13"/>
              </w:rPr>
              <w:t>8</w:t>
            </w: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14:paraId="7F588702" w14:textId="77777777" w:rsidR="004A0123" w:rsidRPr="00640447" w:rsidRDefault="004A0123" w:rsidP="008A5C11">
            <w:pPr>
              <w:jc w:val="center"/>
              <w:rPr>
                <w:bCs/>
                <w:sz w:val="13"/>
                <w:szCs w:val="13"/>
              </w:rPr>
            </w:pPr>
            <w:r w:rsidRPr="00640447">
              <w:rPr>
                <w:bCs/>
                <w:sz w:val="13"/>
                <w:szCs w:val="13"/>
              </w:rPr>
              <w:t>9</w:t>
            </w:r>
          </w:p>
        </w:tc>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02404D98" w14:textId="77777777" w:rsidR="004A0123" w:rsidRPr="00640447" w:rsidRDefault="004A0123" w:rsidP="008A5C11">
            <w:pPr>
              <w:jc w:val="center"/>
              <w:rPr>
                <w:bCs/>
                <w:sz w:val="13"/>
                <w:szCs w:val="13"/>
              </w:rPr>
            </w:pPr>
            <w:r w:rsidRPr="00640447">
              <w:rPr>
                <w:bCs/>
                <w:sz w:val="13"/>
                <w:szCs w:val="13"/>
              </w:rPr>
              <w:t>10</w:t>
            </w:r>
          </w:p>
        </w:tc>
        <w:tc>
          <w:tcPr>
            <w:tcW w:w="180" w:type="pct"/>
            <w:tcBorders>
              <w:top w:val="single" w:sz="4" w:space="0" w:color="auto"/>
              <w:left w:val="single" w:sz="4" w:space="0" w:color="auto"/>
              <w:bottom w:val="single" w:sz="4" w:space="0" w:color="auto"/>
              <w:right w:val="single" w:sz="4" w:space="0" w:color="auto"/>
            </w:tcBorders>
            <w:shd w:val="clear" w:color="auto" w:fill="auto"/>
            <w:vAlign w:val="center"/>
          </w:tcPr>
          <w:p w14:paraId="77ED690D" w14:textId="77777777" w:rsidR="004A0123" w:rsidRPr="00640447" w:rsidRDefault="004A0123" w:rsidP="008A5C11">
            <w:pPr>
              <w:jc w:val="center"/>
              <w:rPr>
                <w:bCs/>
                <w:sz w:val="13"/>
                <w:szCs w:val="13"/>
              </w:rPr>
            </w:pPr>
            <w:r w:rsidRPr="00640447">
              <w:rPr>
                <w:bCs/>
                <w:sz w:val="13"/>
                <w:szCs w:val="13"/>
              </w:rPr>
              <w:t>11</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14:paraId="69E417B3" w14:textId="77777777" w:rsidR="004A0123" w:rsidRPr="00640447" w:rsidRDefault="004A0123" w:rsidP="008A5C11">
            <w:pPr>
              <w:jc w:val="center"/>
              <w:rPr>
                <w:bCs/>
                <w:sz w:val="13"/>
                <w:szCs w:val="13"/>
              </w:rPr>
            </w:pPr>
            <w:r w:rsidRPr="00640447">
              <w:rPr>
                <w:bCs/>
                <w:sz w:val="13"/>
                <w:szCs w:val="13"/>
              </w:rPr>
              <w:t>12</w:t>
            </w:r>
          </w:p>
        </w:tc>
        <w:tc>
          <w:tcPr>
            <w:tcW w:w="146" w:type="pct"/>
            <w:tcBorders>
              <w:top w:val="single" w:sz="4" w:space="0" w:color="auto"/>
              <w:left w:val="single" w:sz="4" w:space="0" w:color="auto"/>
              <w:bottom w:val="single" w:sz="4" w:space="0" w:color="auto"/>
              <w:right w:val="single" w:sz="4" w:space="0" w:color="auto"/>
            </w:tcBorders>
            <w:shd w:val="clear" w:color="auto" w:fill="auto"/>
            <w:vAlign w:val="center"/>
          </w:tcPr>
          <w:p w14:paraId="6E6E283C" w14:textId="77777777" w:rsidR="004A0123" w:rsidRPr="00640447" w:rsidRDefault="004A0123" w:rsidP="008A5C11">
            <w:pPr>
              <w:jc w:val="center"/>
              <w:rPr>
                <w:bCs/>
                <w:sz w:val="13"/>
                <w:szCs w:val="13"/>
              </w:rPr>
            </w:pPr>
            <w:r w:rsidRPr="00640447">
              <w:rPr>
                <w:bCs/>
                <w:sz w:val="13"/>
                <w:szCs w:val="13"/>
              </w:rPr>
              <w:t>13</w:t>
            </w:r>
          </w:p>
        </w:tc>
        <w:tc>
          <w:tcPr>
            <w:tcW w:w="149" w:type="pct"/>
            <w:tcBorders>
              <w:top w:val="single" w:sz="4" w:space="0" w:color="auto"/>
              <w:left w:val="single" w:sz="4" w:space="0" w:color="auto"/>
              <w:bottom w:val="single" w:sz="4" w:space="0" w:color="auto"/>
              <w:right w:val="single" w:sz="4" w:space="0" w:color="auto"/>
            </w:tcBorders>
            <w:shd w:val="clear" w:color="auto" w:fill="auto"/>
            <w:vAlign w:val="center"/>
          </w:tcPr>
          <w:p w14:paraId="130A6974" w14:textId="77777777" w:rsidR="004A0123" w:rsidRPr="00640447" w:rsidRDefault="004A0123" w:rsidP="008A5C11">
            <w:pPr>
              <w:jc w:val="center"/>
              <w:rPr>
                <w:bCs/>
                <w:sz w:val="13"/>
                <w:szCs w:val="13"/>
              </w:rPr>
            </w:pPr>
            <w:r w:rsidRPr="00640447">
              <w:rPr>
                <w:bCs/>
                <w:sz w:val="13"/>
                <w:szCs w:val="13"/>
              </w:rPr>
              <w:t>14</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117C5119" w14:textId="77777777" w:rsidR="004A0123" w:rsidRPr="00640447" w:rsidRDefault="004A0123" w:rsidP="008A5C11">
            <w:pPr>
              <w:jc w:val="center"/>
              <w:rPr>
                <w:bCs/>
                <w:sz w:val="13"/>
                <w:szCs w:val="13"/>
              </w:rPr>
            </w:pPr>
            <w:r w:rsidRPr="00640447">
              <w:rPr>
                <w:bCs/>
                <w:sz w:val="13"/>
                <w:szCs w:val="13"/>
              </w:rPr>
              <w:t>15</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693FEA45" w14:textId="77777777" w:rsidR="004A0123" w:rsidRPr="00640447" w:rsidRDefault="004A0123" w:rsidP="008A5C11">
            <w:pPr>
              <w:jc w:val="center"/>
              <w:rPr>
                <w:bCs/>
                <w:sz w:val="13"/>
                <w:szCs w:val="13"/>
              </w:rPr>
            </w:pPr>
            <w:r w:rsidRPr="00640447">
              <w:rPr>
                <w:bCs/>
                <w:sz w:val="13"/>
                <w:szCs w:val="13"/>
              </w:rPr>
              <w:t>16</w:t>
            </w:r>
          </w:p>
        </w:tc>
        <w:tc>
          <w:tcPr>
            <w:tcW w:w="155" w:type="pct"/>
            <w:tcBorders>
              <w:top w:val="single" w:sz="4" w:space="0" w:color="auto"/>
              <w:left w:val="single" w:sz="4" w:space="0" w:color="auto"/>
              <w:bottom w:val="single" w:sz="4" w:space="0" w:color="auto"/>
              <w:right w:val="single" w:sz="4" w:space="0" w:color="auto"/>
            </w:tcBorders>
            <w:vAlign w:val="center"/>
          </w:tcPr>
          <w:p w14:paraId="540B5020" w14:textId="77777777" w:rsidR="004A0123" w:rsidRPr="00640447" w:rsidRDefault="004A0123" w:rsidP="008A5C11">
            <w:pPr>
              <w:jc w:val="center"/>
              <w:rPr>
                <w:bCs/>
                <w:sz w:val="13"/>
                <w:szCs w:val="13"/>
              </w:rPr>
            </w:pPr>
            <w:r w:rsidRPr="00640447">
              <w:rPr>
                <w:bCs/>
                <w:sz w:val="13"/>
                <w:szCs w:val="13"/>
              </w:rPr>
              <w:t>17</w:t>
            </w:r>
          </w:p>
        </w:tc>
        <w:tc>
          <w:tcPr>
            <w:tcW w:w="154" w:type="pct"/>
            <w:tcBorders>
              <w:top w:val="single" w:sz="4" w:space="0" w:color="auto"/>
              <w:left w:val="single" w:sz="4" w:space="0" w:color="auto"/>
              <w:bottom w:val="single" w:sz="4" w:space="0" w:color="auto"/>
              <w:right w:val="single" w:sz="4" w:space="0" w:color="auto"/>
            </w:tcBorders>
            <w:vAlign w:val="center"/>
          </w:tcPr>
          <w:p w14:paraId="510DCD84" w14:textId="77777777" w:rsidR="004A0123" w:rsidRPr="00640447" w:rsidRDefault="004A0123" w:rsidP="008A5C11">
            <w:pPr>
              <w:jc w:val="center"/>
              <w:rPr>
                <w:bCs/>
                <w:sz w:val="13"/>
                <w:szCs w:val="13"/>
              </w:rPr>
            </w:pPr>
            <w:r w:rsidRPr="00640447">
              <w:rPr>
                <w:bCs/>
                <w:sz w:val="13"/>
                <w:szCs w:val="13"/>
              </w:rPr>
              <w:t>18</w:t>
            </w:r>
          </w:p>
        </w:tc>
        <w:tc>
          <w:tcPr>
            <w:tcW w:w="153" w:type="pct"/>
            <w:tcBorders>
              <w:top w:val="single" w:sz="4" w:space="0" w:color="auto"/>
              <w:left w:val="single" w:sz="4" w:space="0" w:color="auto"/>
              <w:bottom w:val="single" w:sz="4" w:space="0" w:color="auto"/>
              <w:right w:val="single" w:sz="4" w:space="0" w:color="auto"/>
            </w:tcBorders>
            <w:vAlign w:val="center"/>
          </w:tcPr>
          <w:p w14:paraId="19921E64" w14:textId="77777777" w:rsidR="004A0123" w:rsidRPr="00640447" w:rsidRDefault="004A0123" w:rsidP="008A5C11">
            <w:pPr>
              <w:jc w:val="center"/>
              <w:rPr>
                <w:bCs/>
                <w:sz w:val="13"/>
                <w:szCs w:val="13"/>
              </w:rPr>
            </w:pPr>
            <w:r w:rsidRPr="00640447">
              <w:rPr>
                <w:bCs/>
                <w:sz w:val="13"/>
                <w:szCs w:val="13"/>
              </w:rPr>
              <w:t>19</w:t>
            </w:r>
          </w:p>
        </w:tc>
        <w:tc>
          <w:tcPr>
            <w:tcW w:w="174" w:type="pct"/>
            <w:tcBorders>
              <w:top w:val="single" w:sz="4" w:space="0" w:color="auto"/>
              <w:left w:val="single" w:sz="4" w:space="0" w:color="auto"/>
              <w:bottom w:val="single" w:sz="4" w:space="0" w:color="auto"/>
              <w:right w:val="single" w:sz="4" w:space="0" w:color="auto"/>
            </w:tcBorders>
            <w:vAlign w:val="center"/>
          </w:tcPr>
          <w:p w14:paraId="15A4A937" w14:textId="77777777" w:rsidR="004A0123" w:rsidRPr="00640447" w:rsidRDefault="004A0123" w:rsidP="008A5C11">
            <w:pPr>
              <w:jc w:val="center"/>
              <w:rPr>
                <w:bCs/>
                <w:sz w:val="13"/>
                <w:szCs w:val="13"/>
              </w:rPr>
            </w:pPr>
            <w:r w:rsidRPr="00640447">
              <w:rPr>
                <w:bCs/>
                <w:sz w:val="13"/>
                <w:szCs w:val="13"/>
              </w:rPr>
              <w:t>20</w:t>
            </w:r>
          </w:p>
        </w:tc>
        <w:tc>
          <w:tcPr>
            <w:tcW w:w="156" w:type="pct"/>
            <w:tcBorders>
              <w:top w:val="single" w:sz="4" w:space="0" w:color="auto"/>
              <w:left w:val="single" w:sz="4" w:space="0" w:color="auto"/>
              <w:bottom w:val="single" w:sz="4" w:space="0" w:color="auto"/>
              <w:right w:val="single" w:sz="4" w:space="0" w:color="auto"/>
            </w:tcBorders>
            <w:vAlign w:val="center"/>
          </w:tcPr>
          <w:p w14:paraId="68FC5003" w14:textId="77777777" w:rsidR="004A0123" w:rsidRPr="00640447" w:rsidRDefault="004A0123" w:rsidP="008A5C11">
            <w:pPr>
              <w:jc w:val="center"/>
              <w:rPr>
                <w:bCs/>
                <w:sz w:val="13"/>
                <w:szCs w:val="13"/>
              </w:rPr>
            </w:pPr>
            <w:r w:rsidRPr="00640447">
              <w:rPr>
                <w:bCs/>
                <w:sz w:val="13"/>
                <w:szCs w:val="13"/>
              </w:rPr>
              <w:t>21</w:t>
            </w:r>
          </w:p>
        </w:tc>
        <w:tc>
          <w:tcPr>
            <w:tcW w:w="146" w:type="pct"/>
            <w:tcBorders>
              <w:top w:val="single" w:sz="4" w:space="0" w:color="auto"/>
              <w:left w:val="single" w:sz="4" w:space="0" w:color="auto"/>
              <w:bottom w:val="single" w:sz="4" w:space="0" w:color="auto"/>
              <w:right w:val="single" w:sz="4" w:space="0" w:color="auto"/>
            </w:tcBorders>
            <w:vAlign w:val="center"/>
          </w:tcPr>
          <w:p w14:paraId="3296634D" w14:textId="77777777" w:rsidR="004A0123" w:rsidRPr="00640447" w:rsidRDefault="004A0123" w:rsidP="008A5C11">
            <w:pPr>
              <w:jc w:val="center"/>
              <w:rPr>
                <w:bCs/>
                <w:sz w:val="13"/>
                <w:szCs w:val="13"/>
              </w:rPr>
            </w:pPr>
            <w:r w:rsidRPr="00640447">
              <w:rPr>
                <w:bCs/>
                <w:sz w:val="13"/>
                <w:szCs w:val="13"/>
              </w:rPr>
              <w:t>22</w:t>
            </w:r>
          </w:p>
        </w:tc>
        <w:tc>
          <w:tcPr>
            <w:tcW w:w="188" w:type="pct"/>
            <w:tcBorders>
              <w:top w:val="single" w:sz="4" w:space="0" w:color="auto"/>
              <w:left w:val="single" w:sz="4" w:space="0" w:color="auto"/>
              <w:bottom w:val="single" w:sz="4" w:space="0" w:color="auto"/>
              <w:right w:val="single" w:sz="4" w:space="0" w:color="auto"/>
            </w:tcBorders>
            <w:vAlign w:val="center"/>
          </w:tcPr>
          <w:p w14:paraId="4E6C3D24" w14:textId="77777777" w:rsidR="004A0123" w:rsidRPr="00640447" w:rsidRDefault="004A0123" w:rsidP="008A5C11">
            <w:pPr>
              <w:jc w:val="center"/>
              <w:rPr>
                <w:bCs/>
                <w:sz w:val="13"/>
                <w:szCs w:val="13"/>
              </w:rPr>
            </w:pPr>
            <w:r w:rsidRPr="00640447">
              <w:rPr>
                <w:bCs/>
                <w:sz w:val="13"/>
                <w:szCs w:val="13"/>
              </w:rPr>
              <w:t>23</w:t>
            </w:r>
          </w:p>
        </w:tc>
        <w:tc>
          <w:tcPr>
            <w:tcW w:w="182" w:type="pct"/>
            <w:tcBorders>
              <w:top w:val="single" w:sz="4" w:space="0" w:color="auto"/>
              <w:left w:val="single" w:sz="4" w:space="0" w:color="auto"/>
              <w:bottom w:val="single" w:sz="4" w:space="0" w:color="auto"/>
              <w:right w:val="single" w:sz="4" w:space="0" w:color="auto"/>
            </w:tcBorders>
            <w:vAlign w:val="center"/>
          </w:tcPr>
          <w:p w14:paraId="29726273" w14:textId="77777777" w:rsidR="004A0123" w:rsidRPr="00640447" w:rsidRDefault="004A0123" w:rsidP="008A5C11">
            <w:pPr>
              <w:jc w:val="center"/>
              <w:rPr>
                <w:bCs/>
                <w:sz w:val="13"/>
                <w:szCs w:val="13"/>
              </w:rPr>
            </w:pPr>
            <w:r w:rsidRPr="00640447">
              <w:rPr>
                <w:bCs/>
                <w:sz w:val="13"/>
                <w:szCs w:val="13"/>
              </w:rPr>
              <w:t>24</w:t>
            </w:r>
          </w:p>
        </w:tc>
      </w:tr>
      <w:tr w:rsidR="004A0123" w:rsidRPr="00640447" w14:paraId="2A31464A" w14:textId="77777777" w:rsidTr="008A5C11">
        <w:trPr>
          <w:trHeight w:val="489"/>
        </w:trPr>
        <w:tc>
          <w:tcPr>
            <w:tcW w:w="146" w:type="pct"/>
            <w:tcBorders>
              <w:top w:val="single" w:sz="4" w:space="0" w:color="auto"/>
            </w:tcBorders>
            <w:shd w:val="clear" w:color="auto" w:fill="auto"/>
            <w:vAlign w:val="center"/>
          </w:tcPr>
          <w:p w14:paraId="04A1715F" w14:textId="77777777" w:rsidR="004A0123" w:rsidRPr="00640447" w:rsidRDefault="004A0123" w:rsidP="008A5C11">
            <w:pPr>
              <w:jc w:val="center"/>
              <w:rPr>
                <w:sz w:val="13"/>
                <w:szCs w:val="13"/>
              </w:rPr>
            </w:pPr>
            <w:r w:rsidRPr="00640447">
              <w:rPr>
                <w:sz w:val="13"/>
                <w:szCs w:val="13"/>
              </w:rPr>
              <w:t>3.2.16.</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4086FC63" w14:textId="77777777" w:rsidR="004A0123" w:rsidRPr="00640447" w:rsidRDefault="004A0123" w:rsidP="008A5C11">
            <w:pPr>
              <w:rPr>
                <w:color w:val="000000"/>
                <w:sz w:val="13"/>
                <w:szCs w:val="13"/>
              </w:rPr>
            </w:pPr>
            <w:r w:rsidRPr="00640447">
              <w:rPr>
                <w:color w:val="000000"/>
                <w:sz w:val="13"/>
                <w:szCs w:val="13"/>
              </w:rPr>
              <w:t>Котельная «Энергетик». Проектирование и реконструкция угольного склада вместимостью 6000 тонн угля.</w:t>
            </w:r>
          </w:p>
        </w:tc>
        <w:tc>
          <w:tcPr>
            <w:tcW w:w="359" w:type="pct"/>
            <w:tcBorders>
              <w:top w:val="single" w:sz="4" w:space="0" w:color="auto"/>
              <w:left w:val="nil"/>
              <w:bottom w:val="single" w:sz="4" w:space="0" w:color="auto"/>
              <w:right w:val="single" w:sz="4" w:space="0" w:color="auto"/>
            </w:tcBorders>
            <w:shd w:val="clear" w:color="auto" w:fill="auto"/>
            <w:vAlign w:val="center"/>
          </w:tcPr>
          <w:p w14:paraId="158D489F" w14:textId="77777777" w:rsidR="004A0123" w:rsidRPr="00640447" w:rsidRDefault="004A0123" w:rsidP="008A5C11">
            <w:pPr>
              <w:jc w:val="center"/>
              <w:rPr>
                <w:color w:val="000000"/>
                <w:sz w:val="13"/>
                <w:szCs w:val="13"/>
              </w:rPr>
            </w:pPr>
            <w:r w:rsidRPr="00640447">
              <w:rPr>
                <w:color w:val="000000"/>
                <w:sz w:val="13"/>
                <w:szCs w:val="13"/>
              </w:rPr>
              <w:t>Повышение надежности теплоснабжения</w:t>
            </w:r>
          </w:p>
        </w:tc>
        <w:tc>
          <w:tcPr>
            <w:tcW w:w="360" w:type="pct"/>
            <w:tcBorders>
              <w:top w:val="single" w:sz="4" w:space="0" w:color="auto"/>
              <w:left w:val="nil"/>
              <w:bottom w:val="single" w:sz="4" w:space="0" w:color="auto"/>
              <w:right w:val="single" w:sz="4" w:space="0" w:color="auto"/>
            </w:tcBorders>
            <w:shd w:val="clear" w:color="auto" w:fill="auto"/>
            <w:vAlign w:val="center"/>
          </w:tcPr>
          <w:p w14:paraId="6827A964" w14:textId="77777777" w:rsidR="004A0123" w:rsidRPr="00640447" w:rsidRDefault="004A0123" w:rsidP="008A5C11">
            <w:pPr>
              <w:jc w:val="center"/>
              <w:rPr>
                <w:color w:val="000000"/>
                <w:sz w:val="13"/>
                <w:szCs w:val="13"/>
              </w:rPr>
            </w:pPr>
            <w:r w:rsidRPr="00640447">
              <w:rPr>
                <w:color w:val="000000"/>
                <w:sz w:val="13"/>
                <w:szCs w:val="13"/>
              </w:rPr>
              <w:t xml:space="preserve">г. Ленинск-Кузнецкий, </w:t>
            </w:r>
          </w:p>
          <w:p w14:paraId="549A52EB" w14:textId="77777777" w:rsidR="004A0123" w:rsidRPr="00640447" w:rsidRDefault="004A0123" w:rsidP="008A5C11">
            <w:pPr>
              <w:jc w:val="center"/>
              <w:rPr>
                <w:color w:val="000000"/>
                <w:sz w:val="13"/>
                <w:szCs w:val="13"/>
              </w:rPr>
            </w:pPr>
            <w:r w:rsidRPr="00640447">
              <w:rPr>
                <w:color w:val="000000"/>
                <w:sz w:val="13"/>
                <w:szCs w:val="13"/>
              </w:rPr>
              <w:t>тер. Северная промзона 4</w:t>
            </w:r>
          </w:p>
        </w:tc>
        <w:tc>
          <w:tcPr>
            <w:tcW w:w="338" w:type="pct"/>
            <w:tcBorders>
              <w:top w:val="single" w:sz="4" w:space="0" w:color="auto"/>
              <w:left w:val="nil"/>
              <w:bottom w:val="single" w:sz="4" w:space="0" w:color="auto"/>
              <w:right w:val="single" w:sz="4" w:space="0" w:color="auto"/>
            </w:tcBorders>
            <w:shd w:val="clear" w:color="auto" w:fill="auto"/>
            <w:vAlign w:val="center"/>
          </w:tcPr>
          <w:p w14:paraId="3F6BE94C" w14:textId="77777777" w:rsidR="004A0123" w:rsidRPr="00640447" w:rsidRDefault="004A0123" w:rsidP="008A5C11">
            <w:pPr>
              <w:jc w:val="center"/>
              <w:rPr>
                <w:sz w:val="13"/>
                <w:szCs w:val="13"/>
              </w:rPr>
            </w:pPr>
            <w:r w:rsidRPr="00640447">
              <w:rPr>
                <w:sz w:val="13"/>
                <w:szCs w:val="13"/>
              </w:rPr>
              <w:t>Вместимость угольного склада</w:t>
            </w:r>
          </w:p>
        </w:tc>
        <w:tc>
          <w:tcPr>
            <w:tcW w:w="116" w:type="pct"/>
            <w:tcBorders>
              <w:top w:val="single" w:sz="4" w:space="0" w:color="auto"/>
              <w:left w:val="nil"/>
              <w:bottom w:val="single" w:sz="4" w:space="0" w:color="auto"/>
              <w:right w:val="single" w:sz="4" w:space="0" w:color="auto"/>
            </w:tcBorders>
            <w:shd w:val="clear" w:color="auto" w:fill="auto"/>
            <w:vAlign w:val="center"/>
          </w:tcPr>
          <w:p w14:paraId="29E1DFFA" w14:textId="77777777" w:rsidR="004A0123" w:rsidRPr="00640447" w:rsidRDefault="004A0123" w:rsidP="008A5C11">
            <w:pPr>
              <w:jc w:val="center"/>
              <w:rPr>
                <w:sz w:val="13"/>
                <w:szCs w:val="13"/>
              </w:rPr>
            </w:pPr>
            <w:r w:rsidRPr="00640447">
              <w:rPr>
                <w:sz w:val="13"/>
                <w:szCs w:val="13"/>
              </w:rPr>
              <w:t>тн</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595A4BB7" w14:textId="77777777" w:rsidR="004A0123" w:rsidRPr="00640447" w:rsidRDefault="004A0123" w:rsidP="008A5C11">
            <w:pPr>
              <w:jc w:val="center"/>
              <w:rPr>
                <w:sz w:val="13"/>
                <w:szCs w:val="13"/>
              </w:rPr>
            </w:pPr>
            <w:r w:rsidRPr="00640447">
              <w:rPr>
                <w:sz w:val="13"/>
                <w:szCs w:val="13"/>
              </w:rPr>
              <w:t>4000</w:t>
            </w:r>
          </w:p>
        </w:tc>
        <w:tc>
          <w:tcPr>
            <w:tcW w:w="174" w:type="pct"/>
            <w:tcBorders>
              <w:top w:val="single" w:sz="4" w:space="0" w:color="auto"/>
              <w:left w:val="nil"/>
              <w:bottom w:val="single" w:sz="4" w:space="0" w:color="auto"/>
              <w:right w:val="single" w:sz="4" w:space="0" w:color="auto"/>
            </w:tcBorders>
            <w:shd w:val="clear" w:color="auto" w:fill="auto"/>
            <w:vAlign w:val="center"/>
          </w:tcPr>
          <w:p w14:paraId="781799C6" w14:textId="77777777" w:rsidR="004A0123" w:rsidRPr="00640447" w:rsidRDefault="004A0123" w:rsidP="008A5C11">
            <w:pPr>
              <w:jc w:val="center"/>
              <w:rPr>
                <w:sz w:val="13"/>
                <w:szCs w:val="13"/>
              </w:rPr>
            </w:pPr>
            <w:r w:rsidRPr="00640447">
              <w:rPr>
                <w:sz w:val="13"/>
                <w:szCs w:val="13"/>
              </w:rPr>
              <w:t>6000</w:t>
            </w:r>
          </w:p>
        </w:tc>
        <w:tc>
          <w:tcPr>
            <w:tcW w:w="189" w:type="pct"/>
            <w:tcBorders>
              <w:top w:val="single" w:sz="4" w:space="0" w:color="auto"/>
              <w:left w:val="nil"/>
              <w:bottom w:val="single" w:sz="4" w:space="0" w:color="auto"/>
              <w:right w:val="single" w:sz="4" w:space="0" w:color="auto"/>
            </w:tcBorders>
            <w:shd w:val="clear" w:color="auto" w:fill="auto"/>
            <w:vAlign w:val="center"/>
          </w:tcPr>
          <w:p w14:paraId="3C732928" w14:textId="77777777" w:rsidR="004A0123" w:rsidRPr="00640447" w:rsidRDefault="004A0123" w:rsidP="008A5C11">
            <w:pPr>
              <w:jc w:val="center"/>
              <w:rPr>
                <w:sz w:val="13"/>
                <w:szCs w:val="13"/>
              </w:rPr>
            </w:pPr>
            <w:r w:rsidRPr="00640447">
              <w:rPr>
                <w:sz w:val="13"/>
                <w:szCs w:val="13"/>
              </w:rPr>
              <w:t>2027</w:t>
            </w:r>
          </w:p>
        </w:tc>
        <w:tc>
          <w:tcPr>
            <w:tcW w:w="184" w:type="pct"/>
            <w:tcBorders>
              <w:top w:val="single" w:sz="4" w:space="0" w:color="auto"/>
              <w:left w:val="nil"/>
              <w:bottom w:val="single" w:sz="4" w:space="0" w:color="auto"/>
              <w:right w:val="single" w:sz="4" w:space="0" w:color="auto"/>
            </w:tcBorders>
            <w:shd w:val="clear" w:color="auto" w:fill="auto"/>
            <w:vAlign w:val="center"/>
          </w:tcPr>
          <w:p w14:paraId="28FEB07C" w14:textId="77777777" w:rsidR="004A0123" w:rsidRPr="00640447" w:rsidRDefault="004A0123" w:rsidP="008A5C11">
            <w:pPr>
              <w:jc w:val="center"/>
              <w:rPr>
                <w:sz w:val="13"/>
                <w:szCs w:val="13"/>
              </w:rPr>
            </w:pPr>
            <w:r w:rsidRPr="00640447">
              <w:rPr>
                <w:sz w:val="13"/>
                <w:szCs w:val="13"/>
              </w:rPr>
              <w:t>2027</w:t>
            </w:r>
          </w:p>
        </w:tc>
        <w:tc>
          <w:tcPr>
            <w:tcW w:w="180" w:type="pct"/>
            <w:tcBorders>
              <w:top w:val="single" w:sz="4" w:space="0" w:color="auto"/>
              <w:left w:val="nil"/>
              <w:bottom w:val="single" w:sz="4" w:space="0" w:color="auto"/>
              <w:right w:val="single" w:sz="4" w:space="0" w:color="auto"/>
            </w:tcBorders>
            <w:shd w:val="clear" w:color="auto" w:fill="auto"/>
            <w:vAlign w:val="center"/>
          </w:tcPr>
          <w:p w14:paraId="4DC54D6D" w14:textId="77777777" w:rsidR="004A0123" w:rsidRPr="00640447" w:rsidRDefault="004A0123" w:rsidP="008A5C11">
            <w:pPr>
              <w:jc w:val="center"/>
              <w:rPr>
                <w:sz w:val="13"/>
                <w:szCs w:val="13"/>
              </w:rPr>
            </w:pPr>
            <w:r w:rsidRPr="00640447">
              <w:rPr>
                <w:sz w:val="13"/>
                <w:szCs w:val="13"/>
              </w:rPr>
              <w:t>123709</w:t>
            </w:r>
          </w:p>
        </w:tc>
        <w:tc>
          <w:tcPr>
            <w:tcW w:w="187" w:type="pct"/>
            <w:tcBorders>
              <w:top w:val="single" w:sz="4" w:space="0" w:color="auto"/>
              <w:left w:val="nil"/>
              <w:bottom w:val="single" w:sz="4" w:space="0" w:color="auto"/>
              <w:right w:val="single" w:sz="4" w:space="0" w:color="auto"/>
            </w:tcBorders>
            <w:shd w:val="clear" w:color="auto" w:fill="auto"/>
            <w:vAlign w:val="center"/>
          </w:tcPr>
          <w:p w14:paraId="25383A46" w14:textId="77777777" w:rsidR="004A0123" w:rsidRPr="00640447" w:rsidRDefault="004A0123" w:rsidP="008A5C11">
            <w:pPr>
              <w:jc w:val="center"/>
              <w:rPr>
                <w:sz w:val="13"/>
                <w:szCs w:val="13"/>
              </w:rPr>
            </w:pPr>
            <w:r w:rsidRPr="00640447">
              <w:rPr>
                <w:sz w:val="13"/>
                <w:szCs w:val="13"/>
              </w:rPr>
              <w:t>0</w:t>
            </w:r>
          </w:p>
        </w:tc>
        <w:tc>
          <w:tcPr>
            <w:tcW w:w="146" w:type="pct"/>
            <w:tcBorders>
              <w:top w:val="single" w:sz="4" w:space="0" w:color="auto"/>
              <w:left w:val="single" w:sz="4" w:space="0" w:color="auto"/>
              <w:bottom w:val="single" w:sz="4" w:space="0" w:color="auto"/>
              <w:right w:val="single" w:sz="4" w:space="0" w:color="auto"/>
            </w:tcBorders>
            <w:shd w:val="clear" w:color="auto" w:fill="auto"/>
            <w:vAlign w:val="center"/>
          </w:tcPr>
          <w:p w14:paraId="79204394" w14:textId="77777777" w:rsidR="004A0123" w:rsidRPr="00640447" w:rsidRDefault="004A0123" w:rsidP="008A5C11">
            <w:pPr>
              <w:jc w:val="center"/>
              <w:rPr>
                <w:sz w:val="13"/>
                <w:szCs w:val="13"/>
              </w:rPr>
            </w:pPr>
            <w:r w:rsidRPr="00640447">
              <w:rPr>
                <w:sz w:val="13"/>
                <w:szCs w:val="13"/>
              </w:rPr>
              <w:t>0</w:t>
            </w:r>
          </w:p>
        </w:tc>
        <w:tc>
          <w:tcPr>
            <w:tcW w:w="149" w:type="pct"/>
            <w:tcBorders>
              <w:top w:val="single" w:sz="4" w:space="0" w:color="auto"/>
              <w:left w:val="nil"/>
              <w:bottom w:val="single" w:sz="4" w:space="0" w:color="auto"/>
              <w:right w:val="single" w:sz="4" w:space="0" w:color="auto"/>
            </w:tcBorders>
            <w:shd w:val="clear" w:color="auto" w:fill="auto"/>
            <w:vAlign w:val="center"/>
          </w:tcPr>
          <w:p w14:paraId="65CD6ECA" w14:textId="77777777" w:rsidR="004A0123" w:rsidRPr="00640447" w:rsidRDefault="004A0123" w:rsidP="008A5C11">
            <w:pPr>
              <w:jc w:val="center"/>
              <w:rPr>
                <w:sz w:val="13"/>
                <w:szCs w:val="13"/>
              </w:rPr>
            </w:pPr>
            <w:r w:rsidRPr="00640447">
              <w:rPr>
                <w:sz w:val="13"/>
                <w:szCs w:val="13"/>
              </w:rPr>
              <w:t>0</w:t>
            </w:r>
          </w:p>
        </w:tc>
        <w:tc>
          <w:tcPr>
            <w:tcW w:w="183" w:type="pct"/>
            <w:tcBorders>
              <w:top w:val="single" w:sz="4" w:space="0" w:color="auto"/>
              <w:left w:val="nil"/>
              <w:bottom w:val="single" w:sz="4" w:space="0" w:color="auto"/>
              <w:right w:val="single" w:sz="4" w:space="0" w:color="auto"/>
            </w:tcBorders>
            <w:shd w:val="clear" w:color="auto" w:fill="auto"/>
            <w:vAlign w:val="center"/>
          </w:tcPr>
          <w:p w14:paraId="15201620" w14:textId="77777777" w:rsidR="004A0123" w:rsidRPr="00640447" w:rsidRDefault="004A0123" w:rsidP="008A5C11">
            <w:pPr>
              <w:jc w:val="center"/>
              <w:rPr>
                <w:sz w:val="13"/>
                <w:szCs w:val="13"/>
              </w:rPr>
            </w:pPr>
            <w:r w:rsidRPr="00640447">
              <w:rPr>
                <w:sz w:val="13"/>
                <w:szCs w:val="13"/>
              </w:rPr>
              <w:t>0</w:t>
            </w:r>
          </w:p>
        </w:tc>
        <w:tc>
          <w:tcPr>
            <w:tcW w:w="183" w:type="pct"/>
            <w:tcBorders>
              <w:top w:val="single" w:sz="4" w:space="0" w:color="auto"/>
              <w:left w:val="nil"/>
              <w:bottom w:val="single" w:sz="4" w:space="0" w:color="auto"/>
              <w:right w:val="single" w:sz="4" w:space="0" w:color="auto"/>
            </w:tcBorders>
            <w:shd w:val="clear" w:color="auto" w:fill="auto"/>
            <w:vAlign w:val="center"/>
          </w:tcPr>
          <w:p w14:paraId="0AFD7BD5" w14:textId="77777777" w:rsidR="004A0123" w:rsidRPr="00640447" w:rsidRDefault="004A0123" w:rsidP="008A5C11">
            <w:pPr>
              <w:jc w:val="center"/>
              <w:rPr>
                <w:sz w:val="13"/>
                <w:szCs w:val="13"/>
              </w:rPr>
            </w:pPr>
            <w:r w:rsidRPr="00640447">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39844251" w14:textId="77777777" w:rsidR="004A0123" w:rsidRPr="00640447" w:rsidRDefault="004A0123" w:rsidP="008A5C11">
            <w:pPr>
              <w:jc w:val="center"/>
              <w:rPr>
                <w:sz w:val="13"/>
                <w:szCs w:val="13"/>
              </w:rPr>
            </w:pPr>
            <w:r w:rsidRPr="00640447">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21F0F026" w14:textId="77777777" w:rsidR="004A0123" w:rsidRPr="00640447" w:rsidRDefault="004A0123" w:rsidP="008A5C11">
            <w:pPr>
              <w:jc w:val="center"/>
              <w:rPr>
                <w:sz w:val="13"/>
                <w:szCs w:val="13"/>
              </w:rPr>
            </w:pPr>
            <w:r w:rsidRPr="00640447">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3339A9A9" w14:textId="77777777" w:rsidR="004A0123" w:rsidRPr="00640447" w:rsidRDefault="004A0123" w:rsidP="008A5C11">
            <w:pPr>
              <w:jc w:val="center"/>
              <w:rPr>
                <w:sz w:val="13"/>
                <w:szCs w:val="13"/>
              </w:rPr>
            </w:pPr>
            <w:r w:rsidRPr="00640447">
              <w:rPr>
                <w:sz w:val="13"/>
                <w:szCs w:val="13"/>
              </w:rPr>
              <w:t>0</w:t>
            </w:r>
          </w:p>
        </w:tc>
        <w:tc>
          <w:tcPr>
            <w:tcW w:w="174" w:type="pct"/>
            <w:tcBorders>
              <w:top w:val="single" w:sz="4" w:space="0" w:color="auto"/>
              <w:left w:val="single" w:sz="4" w:space="0" w:color="auto"/>
              <w:bottom w:val="single" w:sz="4" w:space="0" w:color="auto"/>
              <w:right w:val="single" w:sz="4" w:space="0" w:color="auto"/>
            </w:tcBorders>
            <w:vAlign w:val="center"/>
          </w:tcPr>
          <w:p w14:paraId="462E99A7" w14:textId="77777777" w:rsidR="004A0123" w:rsidRPr="00640447" w:rsidRDefault="004A0123" w:rsidP="008A5C11">
            <w:pPr>
              <w:jc w:val="center"/>
              <w:rPr>
                <w:sz w:val="13"/>
                <w:szCs w:val="13"/>
              </w:rPr>
            </w:pPr>
            <w:r w:rsidRPr="00640447">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04C96CAB" w14:textId="77777777" w:rsidR="004A0123" w:rsidRPr="00640447" w:rsidRDefault="004A0123" w:rsidP="008A5C11">
            <w:pPr>
              <w:jc w:val="center"/>
              <w:rPr>
                <w:sz w:val="13"/>
                <w:szCs w:val="13"/>
              </w:rPr>
            </w:pPr>
            <w:r w:rsidRPr="00640447">
              <w:rPr>
                <w:sz w:val="13"/>
                <w:szCs w:val="13"/>
              </w:rPr>
              <w:t>123709</w:t>
            </w:r>
          </w:p>
        </w:tc>
        <w:tc>
          <w:tcPr>
            <w:tcW w:w="146" w:type="pct"/>
            <w:tcBorders>
              <w:top w:val="single" w:sz="4" w:space="0" w:color="auto"/>
              <w:left w:val="single" w:sz="4" w:space="0" w:color="auto"/>
              <w:bottom w:val="single" w:sz="4" w:space="0" w:color="auto"/>
              <w:right w:val="single" w:sz="4" w:space="0" w:color="auto"/>
            </w:tcBorders>
            <w:vAlign w:val="center"/>
          </w:tcPr>
          <w:p w14:paraId="3E5A9D29" w14:textId="77777777" w:rsidR="004A0123" w:rsidRPr="00640447" w:rsidRDefault="004A0123" w:rsidP="008A5C11">
            <w:pPr>
              <w:jc w:val="center"/>
              <w:rPr>
                <w:sz w:val="13"/>
                <w:szCs w:val="13"/>
              </w:rPr>
            </w:pPr>
            <w:r w:rsidRPr="00640447">
              <w:rPr>
                <w:sz w:val="13"/>
                <w:szCs w:val="13"/>
              </w:rPr>
              <w:t>0</w:t>
            </w:r>
          </w:p>
        </w:tc>
        <w:tc>
          <w:tcPr>
            <w:tcW w:w="188" w:type="pct"/>
            <w:tcBorders>
              <w:top w:val="single" w:sz="4" w:space="0" w:color="auto"/>
              <w:left w:val="single" w:sz="4" w:space="0" w:color="auto"/>
              <w:bottom w:val="single" w:sz="4" w:space="0" w:color="auto"/>
              <w:right w:val="single" w:sz="4" w:space="0" w:color="auto"/>
            </w:tcBorders>
            <w:vAlign w:val="center"/>
          </w:tcPr>
          <w:p w14:paraId="354BFAD9" w14:textId="77777777" w:rsidR="004A0123" w:rsidRPr="00640447" w:rsidRDefault="004A0123" w:rsidP="008A5C11">
            <w:pPr>
              <w:jc w:val="center"/>
              <w:rPr>
                <w:sz w:val="13"/>
                <w:szCs w:val="13"/>
              </w:rPr>
            </w:pPr>
            <w:r w:rsidRPr="00640447">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3EE31F37" w14:textId="77777777" w:rsidR="004A0123" w:rsidRPr="00640447" w:rsidRDefault="004A0123" w:rsidP="008A5C11">
            <w:pPr>
              <w:jc w:val="center"/>
              <w:rPr>
                <w:sz w:val="13"/>
                <w:szCs w:val="13"/>
              </w:rPr>
            </w:pPr>
            <w:r w:rsidRPr="00640447">
              <w:rPr>
                <w:sz w:val="13"/>
                <w:szCs w:val="13"/>
              </w:rPr>
              <w:t>0</w:t>
            </w:r>
          </w:p>
        </w:tc>
      </w:tr>
      <w:tr w:rsidR="004A0123" w:rsidRPr="00640447" w14:paraId="2E4064A5" w14:textId="77777777" w:rsidTr="008A5C11">
        <w:trPr>
          <w:trHeight w:val="489"/>
        </w:trPr>
        <w:tc>
          <w:tcPr>
            <w:tcW w:w="146" w:type="pct"/>
            <w:shd w:val="clear" w:color="auto" w:fill="auto"/>
            <w:vAlign w:val="center"/>
          </w:tcPr>
          <w:p w14:paraId="3F625F66" w14:textId="77777777" w:rsidR="004A0123" w:rsidRPr="00640447" w:rsidRDefault="004A0123" w:rsidP="008A5C11">
            <w:pPr>
              <w:jc w:val="center"/>
              <w:rPr>
                <w:sz w:val="13"/>
                <w:szCs w:val="13"/>
              </w:rPr>
            </w:pPr>
            <w:r w:rsidRPr="00640447">
              <w:rPr>
                <w:sz w:val="13"/>
                <w:szCs w:val="13"/>
              </w:rPr>
              <w:t>3.2.17.</w:t>
            </w:r>
          </w:p>
        </w:tc>
        <w:tc>
          <w:tcPr>
            <w:tcW w:w="616" w:type="pct"/>
            <w:tcBorders>
              <w:top w:val="nil"/>
              <w:left w:val="single" w:sz="4" w:space="0" w:color="auto"/>
              <w:bottom w:val="single" w:sz="4" w:space="0" w:color="auto"/>
              <w:right w:val="single" w:sz="4" w:space="0" w:color="auto"/>
            </w:tcBorders>
            <w:shd w:val="clear" w:color="auto" w:fill="auto"/>
            <w:vAlign w:val="center"/>
          </w:tcPr>
          <w:p w14:paraId="3BF28FB7" w14:textId="77777777" w:rsidR="004A0123" w:rsidRPr="00640447" w:rsidRDefault="004A0123" w:rsidP="008A5C11">
            <w:pPr>
              <w:rPr>
                <w:color w:val="000000"/>
                <w:sz w:val="13"/>
                <w:szCs w:val="13"/>
              </w:rPr>
            </w:pPr>
            <w:r w:rsidRPr="00640447">
              <w:rPr>
                <w:color w:val="000000"/>
                <w:sz w:val="13"/>
                <w:szCs w:val="13"/>
              </w:rPr>
              <w:t>Котельная «Энергетик». Проектирование и реконструкция системы золошлакоудаления.</w:t>
            </w:r>
          </w:p>
        </w:tc>
        <w:tc>
          <w:tcPr>
            <w:tcW w:w="359" w:type="pct"/>
            <w:tcBorders>
              <w:top w:val="nil"/>
              <w:left w:val="nil"/>
              <w:bottom w:val="single" w:sz="4" w:space="0" w:color="auto"/>
              <w:right w:val="single" w:sz="4" w:space="0" w:color="auto"/>
            </w:tcBorders>
            <w:shd w:val="clear" w:color="auto" w:fill="auto"/>
            <w:vAlign w:val="center"/>
          </w:tcPr>
          <w:p w14:paraId="63803A24" w14:textId="77777777" w:rsidR="004A0123" w:rsidRPr="00640447" w:rsidRDefault="004A0123" w:rsidP="008A5C11">
            <w:pPr>
              <w:jc w:val="center"/>
              <w:rPr>
                <w:color w:val="000000"/>
                <w:sz w:val="13"/>
                <w:szCs w:val="13"/>
              </w:rPr>
            </w:pPr>
            <w:r w:rsidRPr="00640447">
              <w:rPr>
                <w:color w:val="000000"/>
                <w:sz w:val="13"/>
                <w:szCs w:val="13"/>
              </w:rPr>
              <w:t>Повышение надежности теплоснабжения</w:t>
            </w:r>
          </w:p>
        </w:tc>
        <w:tc>
          <w:tcPr>
            <w:tcW w:w="360" w:type="pct"/>
            <w:tcBorders>
              <w:top w:val="nil"/>
              <w:left w:val="nil"/>
              <w:bottom w:val="single" w:sz="4" w:space="0" w:color="auto"/>
              <w:right w:val="single" w:sz="4" w:space="0" w:color="auto"/>
            </w:tcBorders>
            <w:shd w:val="clear" w:color="auto" w:fill="auto"/>
            <w:vAlign w:val="center"/>
          </w:tcPr>
          <w:p w14:paraId="49436F0A" w14:textId="77777777" w:rsidR="004A0123" w:rsidRPr="00640447" w:rsidRDefault="004A0123" w:rsidP="008A5C11">
            <w:pPr>
              <w:jc w:val="center"/>
              <w:rPr>
                <w:color w:val="000000"/>
                <w:sz w:val="13"/>
                <w:szCs w:val="13"/>
              </w:rPr>
            </w:pPr>
            <w:r w:rsidRPr="00640447">
              <w:rPr>
                <w:color w:val="000000"/>
                <w:sz w:val="13"/>
                <w:szCs w:val="13"/>
              </w:rPr>
              <w:t xml:space="preserve">г. Ленинск-Кузнецкий, </w:t>
            </w:r>
          </w:p>
          <w:p w14:paraId="3B07A50E" w14:textId="77777777" w:rsidR="004A0123" w:rsidRPr="00640447" w:rsidRDefault="004A0123" w:rsidP="008A5C11">
            <w:pPr>
              <w:jc w:val="center"/>
              <w:rPr>
                <w:color w:val="000000"/>
                <w:sz w:val="13"/>
                <w:szCs w:val="13"/>
              </w:rPr>
            </w:pPr>
            <w:r w:rsidRPr="00640447">
              <w:rPr>
                <w:color w:val="000000"/>
                <w:sz w:val="13"/>
                <w:szCs w:val="13"/>
              </w:rPr>
              <w:t>тер. Северная промзона 4</w:t>
            </w:r>
          </w:p>
        </w:tc>
        <w:tc>
          <w:tcPr>
            <w:tcW w:w="338" w:type="pct"/>
            <w:tcBorders>
              <w:top w:val="nil"/>
              <w:left w:val="nil"/>
              <w:bottom w:val="single" w:sz="4" w:space="0" w:color="auto"/>
              <w:right w:val="single" w:sz="4" w:space="0" w:color="auto"/>
            </w:tcBorders>
            <w:shd w:val="clear" w:color="auto" w:fill="auto"/>
            <w:vAlign w:val="center"/>
          </w:tcPr>
          <w:p w14:paraId="2F53DC6F" w14:textId="77777777" w:rsidR="004A0123" w:rsidRPr="00640447" w:rsidRDefault="004A0123" w:rsidP="008A5C11">
            <w:pPr>
              <w:jc w:val="center"/>
              <w:rPr>
                <w:sz w:val="13"/>
                <w:szCs w:val="13"/>
              </w:rPr>
            </w:pPr>
            <w:r w:rsidRPr="00640447">
              <w:rPr>
                <w:sz w:val="13"/>
                <w:szCs w:val="13"/>
              </w:rPr>
              <w:t>Система золошлакоуда-ления</w:t>
            </w:r>
          </w:p>
        </w:tc>
        <w:tc>
          <w:tcPr>
            <w:tcW w:w="116" w:type="pct"/>
            <w:tcBorders>
              <w:top w:val="nil"/>
              <w:left w:val="nil"/>
              <w:bottom w:val="single" w:sz="4" w:space="0" w:color="auto"/>
              <w:right w:val="single" w:sz="4" w:space="0" w:color="auto"/>
            </w:tcBorders>
            <w:shd w:val="clear" w:color="auto" w:fill="auto"/>
            <w:vAlign w:val="center"/>
          </w:tcPr>
          <w:p w14:paraId="3F3C59B4" w14:textId="77777777" w:rsidR="004A0123" w:rsidRPr="00640447" w:rsidRDefault="004A0123" w:rsidP="008A5C11">
            <w:pPr>
              <w:jc w:val="center"/>
              <w:rPr>
                <w:sz w:val="13"/>
                <w:szCs w:val="13"/>
              </w:rPr>
            </w:pPr>
            <w:r w:rsidRPr="00640447">
              <w:rPr>
                <w:sz w:val="13"/>
                <w:szCs w:val="13"/>
              </w:rPr>
              <w:t>ед.</w:t>
            </w:r>
          </w:p>
        </w:tc>
        <w:tc>
          <w:tcPr>
            <w:tcW w:w="182" w:type="pct"/>
            <w:tcBorders>
              <w:top w:val="nil"/>
              <w:left w:val="single" w:sz="4" w:space="0" w:color="auto"/>
              <w:bottom w:val="single" w:sz="4" w:space="0" w:color="auto"/>
              <w:right w:val="single" w:sz="4" w:space="0" w:color="auto"/>
            </w:tcBorders>
            <w:shd w:val="clear" w:color="auto" w:fill="auto"/>
            <w:vAlign w:val="center"/>
          </w:tcPr>
          <w:p w14:paraId="094A1DE5" w14:textId="77777777" w:rsidR="004A0123" w:rsidRPr="00640447" w:rsidRDefault="004A0123" w:rsidP="008A5C11">
            <w:pPr>
              <w:jc w:val="center"/>
              <w:rPr>
                <w:sz w:val="13"/>
                <w:szCs w:val="13"/>
              </w:rPr>
            </w:pPr>
            <w:r w:rsidRPr="00640447">
              <w:rPr>
                <w:sz w:val="13"/>
                <w:szCs w:val="13"/>
              </w:rPr>
              <w:t>1</w:t>
            </w:r>
          </w:p>
        </w:tc>
        <w:tc>
          <w:tcPr>
            <w:tcW w:w="174" w:type="pct"/>
            <w:tcBorders>
              <w:top w:val="nil"/>
              <w:left w:val="nil"/>
              <w:bottom w:val="single" w:sz="4" w:space="0" w:color="auto"/>
              <w:right w:val="single" w:sz="4" w:space="0" w:color="auto"/>
            </w:tcBorders>
            <w:shd w:val="clear" w:color="auto" w:fill="auto"/>
            <w:vAlign w:val="center"/>
          </w:tcPr>
          <w:p w14:paraId="7B6982F3" w14:textId="77777777" w:rsidR="004A0123" w:rsidRPr="00640447" w:rsidRDefault="004A0123" w:rsidP="008A5C11">
            <w:pPr>
              <w:jc w:val="center"/>
              <w:rPr>
                <w:sz w:val="13"/>
                <w:szCs w:val="13"/>
              </w:rPr>
            </w:pPr>
            <w:r w:rsidRPr="00640447">
              <w:rPr>
                <w:sz w:val="13"/>
                <w:szCs w:val="13"/>
              </w:rPr>
              <w:t>1</w:t>
            </w:r>
          </w:p>
        </w:tc>
        <w:tc>
          <w:tcPr>
            <w:tcW w:w="189" w:type="pct"/>
            <w:tcBorders>
              <w:top w:val="nil"/>
              <w:left w:val="nil"/>
              <w:bottom w:val="single" w:sz="4" w:space="0" w:color="auto"/>
              <w:right w:val="single" w:sz="4" w:space="0" w:color="auto"/>
            </w:tcBorders>
            <w:shd w:val="clear" w:color="auto" w:fill="auto"/>
            <w:vAlign w:val="center"/>
          </w:tcPr>
          <w:p w14:paraId="19D19D4A" w14:textId="77777777" w:rsidR="004A0123" w:rsidRPr="00640447" w:rsidRDefault="004A0123" w:rsidP="008A5C11">
            <w:pPr>
              <w:jc w:val="center"/>
              <w:rPr>
                <w:sz w:val="13"/>
                <w:szCs w:val="13"/>
              </w:rPr>
            </w:pPr>
            <w:r w:rsidRPr="00640447">
              <w:rPr>
                <w:sz w:val="13"/>
                <w:szCs w:val="13"/>
              </w:rPr>
              <w:t>2027</w:t>
            </w:r>
          </w:p>
        </w:tc>
        <w:tc>
          <w:tcPr>
            <w:tcW w:w="184" w:type="pct"/>
            <w:tcBorders>
              <w:top w:val="nil"/>
              <w:left w:val="nil"/>
              <w:bottom w:val="single" w:sz="4" w:space="0" w:color="auto"/>
              <w:right w:val="single" w:sz="4" w:space="0" w:color="auto"/>
            </w:tcBorders>
            <w:shd w:val="clear" w:color="auto" w:fill="auto"/>
            <w:vAlign w:val="center"/>
          </w:tcPr>
          <w:p w14:paraId="198BE0D9" w14:textId="77777777" w:rsidR="004A0123" w:rsidRPr="00640447" w:rsidRDefault="004A0123" w:rsidP="008A5C11">
            <w:pPr>
              <w:jc w:val="center"/>
              <w:rPr>
                <w:sz w:val="13"/>
                <w:szCs w:val="13"/>
              </w:rPr>
            </w:pPr>
            <w:r w:rsidRPr="00640447">
              <w:rPr>
                <w:sz w:val="13"/>
                <w:szCs w:val="13"/>
              </w:rPr>
              <w:t>2028</w:t>
            </w:r>
          </w:p>
        </w:tc>
        <w:tc>
          <w:tcPr>
            <w:tcW w:w="180" w:type="pct"/>
            <w:tcBorders>
              <w:top w:val="nil"/>
              <w:left w:val="nil"/>
              <w:bottom w:val="single" w:sz="4" w:space="0" w:color="auto"/>
              <w:right w:val="single" w:sz="4" w:space="0" w:color="auto"/>
            </w:tcBorders>
            <w:shd w:val="clear" w:color="auto" w:fill="auto"/>
            <w:vAlign w:val="center"/>
          </w:tcPr>
          <w:p w14:paraId="263DAAD1" w14:textId="77777777" w:rsidR="004A0123" w:rsidRPr="00640447" w:rsidRDefault="004A0123" w:rsidP="008A5C11">
            <w:pPr>
              <w:jc w:val="center"/>
              <w:rPr>
                <w:sz w:val="13"/>
                <w:szCs w:val="13"/>
              </w:rPr>
            </w:pPr>
            <w:r w:rsidRPr="00640447">
              <w:rPr>
                <w:sz w:val="13"/>
                <w:szCs w:val="13"/>
              </w:rPr>
              <w:t>296314</w:t>
            </w:r>
          </w:p>
        </w:tc>
        <w:tc>
          <w:tcPr>
            <w:tcW w:w="187" w:type="pct"/>
            <w:tcBorders>
              <w:top w:val="nil"/>
              <w:left w:val="nil"/>
              <w:bottom w:val="single" w:sz="4" w:space="0" w:color="auto"/>
              <w:right w:val="single" w:sz="4" w:space="0" w:color="auto"/>
            </w:tcBorders>
            <w:shd w:val="clear" w:color="auto" w:fill="auto"/>
            <w:vAlign w:val="center"/>
          </w:tcPr>
          <w:p w14:paraId="26CEE06E" w14:textId="77777777" w:rsidR="004A0123" w:rsidRPr="00640447" w:rsidRDefault="004A0123" w:rsidP="008A5C11">
            <w:pPr>
              <w:jc w:val="center"/>
              <w:rPr>
                <w:sz w:val="13"/>
                <w:szCs w:val="13"/>
              </w:rPr>
            </w:pPr>
            <w:r w:rsidRPr="00640447">
              <w:rPr>
                <w:sz w:val="13"/>
                <w:szCs w:val="13"/>
              </w:rPr>
              <w:t>0</w:t>
            </w:r>
          </w:p>
        </w:tc>
        <w:tc>
          <w:tcPr>
            <w:tcW w:w="146" w:type="pct"/>
            <w:tcBorders>
              <w:top w:val="nil"/>
              <w:left w:val="single" w:sz="4" w:space="0" w:color="auto"/>
              <w:bottom w:val="single" w:sz="4" w:space="0" w:color="auto"/>
              <w:right w:val="single" w:sz="4" w:space="0" w:color="auto"/>
            </w:tcBorders>
            <w:shd w:val="clear" w:color="auto" w:fill="auto"/>
            <w:vAlign w:val="center"/>
          </w:tcPr>
          <w:p w14:paraId="6984A0E5" w14:textId="77777777" w:rsidR="004A0123" w:rsidRPr="00640447" w:rsidRDefault="004A0123" w:rsidP="008A5C11">
            <w:pPr>
              <w:jc w:val="center"/>
              <w:rPr>
                <w:sz w:val="13"/>
                <w:szCs w:val="13"/>
              </w:rPr>
            </w:pPr>
            <w:r w:rsidRPr="00640447">
              <w:rPr>
                <w:sz w:val="13"/>
                <w:szCs w:val="13"/>
              </w:rPr>
              <w:t>0</w:t>
            </w:r>
          </w:p>
        </w:tc>
        <w:tc>
          <w:tcPr>
            <w:tcW w:w="149" w:type="pct"/>
            <w:tcBorders>
              <w:top w:val="nil"/>
              <w:left w:val="nil"/>
              <w:bottom w:val="single" w:sz="4" w:space="0" w:color="auto"/>
              <w:right w:val="single" w:sz="4" w:space="0" w:color="auto"/>
            </w:tcBorders>
            <w:shd w:val="clear" w:color="auto" w:fill="auto"/>
            <w:vAlign w:val="center"/>
          </w:tcPr>
          <w:p w14:paraId="201D4F3B" w14:textId="77777777" w:rsidR="004A0123" w:rsidRPr="00640447" w:rsidRDefault="004A0123" w:rsidP="008A5C11">
            <w:pPr>
              <w:jc w:val="center"/>
              <w:rPr>
                <w:sz w:val="13"/>
                <w:szCs w:val="13"/>
              </w:rPr>
            </w:pPr>
            <w:r w:rsidRPr="00640447">
              <w:rPr>
                <w:sz w:val="13"/>
                <w:szCs w:val="13"/>
              </w:rPr>
              <w:t>0</w:t>
            </w:r>
          </w:p>
        </w:tc>
        <w:tc>
          <w:tcPr>
            <w:tcW w:w="183" w:type="pct"/>
            <w:tcBorders>
              <w:top w:val="nil"/>
              <w:left w:val="nil"/>
              <w:bottom w:val="single" w:sz="4" w:space="0" w:color="auto"/>
              <w:right w:val="single" w:sz="4" w:space="0" w:color="auto"/>
            </w:tcBorders>
            <w:shd w:val="clear" w:color="auto" w:fill="auto"/>
            <w:vAlign w:val="center"/>
          </w:tcPr>
          <w:p w14:paraId="1F753C57" w14:textId="77777777" w:rsidR="004A0123" w:rsidRPr="00640447" w:rsidRDefault="004A0123" w:rsidP="008A5C11">
            <w:pPr>
              <w:jc w:val="center"/>
              <w:rPr>
                <w:sz w:val="13"/>
                <w:szCs w:val="13"/>
              </w:rPr>
            </w:pPr>
            <w:r w:rsidRPr="00640447">
              <w:rPr>
                <w:sz w:val="13"/>
                <w:szCs w:val="13"/>
              </w:rPr>
              <w:t>0</w:t>
            </w:r>
          </w:p>
        </w:tc>
        <w:tc>
          <w:tcPr>
            <w:tcW w:w="183" w:type="pct"/>
            <w:tcBorders>
              <w:top w:val="nil"/>
              <w:left w:val="nil"/>
              <w:bottom w:val="single" w:sz="4" w:space="0" w:color="auto"/>
              <w:right w:val="single" w:sz="4" w:space="0" w:color="auto"/>
            </w:tcBorders>
            <w:shd w:val="clear" w:color="auto" w:fill="auto"/>
            <w:vAlign w:val="center"/>
          </w:tcPr>
          <w:p w14:paraId="6F988808" w14:textId="77777777" w:rsidR="004A0123" w:rsidRPr="00640447" w:rsidRDefault="004A0123" w:rsidP="008A5C11">
            <w:pPr>
              <w:jc w:val="center"/>
              <w:rPr>
                <w:sz w:val="13"/>
                <w:szCs w:val="13"/>
              </w:rPr>
            </w:pPr>
            <w:r w:rsidRPr="00640447">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49A77E1C" w14:textId="77777777" w:rsidR="004A0123" w:rsidRPr="00640447" w:rsidRDefault="004A0123" w:rsidP="008A5C11">
            <w:pPr>
              <w:jc w:val="center"/>
              <w:rPr>
                <w:sz w:val="13"/>
                <w:szCs w:val="13"/>
              </w:rPr>
            </w:pPr>
            <w:r w:rsidRPr="00640447">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399DE4E5" w14:textId="77777777" w:rsidR="004A0123" w:rsidRPr="00640447" w:rsidRDefault="004A0123" w:rsidP="008A5C11">
            <w:pPr>
              <w:jc w:val="center"/>
              <w:rPr>
                <w:sz w:val="13"/>
                <w:szCs w:val="13"/>
              </w:rPr>
            </w:pPr>
            <w:r w:rsidRPr="00640447">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7962EE2B" w14:textId="77777777" w:rsidR="004A0123" w:rsidRPr="00640447" w:rsidRDefault="004A0123" w:rsidP="008A5C11">
            <w:pPr>
              <w:jc w:val="center"/>
              <w:rPr>
                <w:sz w:val="13"/>
                <w:szCs w:val="13"/>
              </w:rPr>
            </w:pPr>
            <w:r w:rsidRPr="00640447">
              <w:rPr>
                <w:sz w:val="13"/>
                <w:szCs w:val="13"/>
              </w:rPr>
              <w:t>0</w:t>
            </w:r>
          </w:p>
        </w:tc>
        <w:tc>
          <w:tcPr>
            <w:tcW w:w="174" w:type="pct"/>
            <w:tcBorders>
              <w:top w:val="single" w:sz="4" w:space="0" w:color="auto"/>
              <w:left w:val="single" w:sz="4" w:space="0" w:color="auto"/>
              <w:bottom w:val="single" w:sz="4" w:space="0" w:color="auto"/>
              <w:right w:val="single" w:sz="4" w:space="0" w:color="auto"/>
            </w:tcBorders>
            <w:vAlign w:val="center"/>
          </w:tcPr>
          <w:p w14:paraId="6357E4AD" w14:textId="77777777" w:rsidR="004A0123" w:rsidRPr="00640447" w:rsidRDefault="004A0123" w:rsidP="008A5C11">
            <w:pPr>
              <w:jc w:val="center"/>
              <w:rPr>
                <w:sz w:val="13"/>
                <w:szCs w:val="13"/>
              </w:rPr>
            </w:pPr>
            <w:r w:rsidRPr="00640447">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3DECA0D5" w14:textId="77777777" w:rsidR="004A0123" w:rsidRPr="00640447" w:rsidRDefault="004A0123" w:rsidP="008A5C11">
            <w:pPr>
              <w:jc w:val="center"/>
              <w:rPr>
                <w:sz w:val="13"/>
                <w:szCs w:val="13"/>
              </w:rPr>
            </w:pPr>
            <w:r w:rsidRPr="00640447">
              <w:rPr>
                <w:sz w:val="13"/>
                <w:szCs w:val="13"/>
              </w:rPr>
              <w:t>29240</w:t>
            </w:r>
          </w:p>
        </w:tc>
        <w:tc>
          <w:tcPr>
            <w:tcW w:w="146" w:type="pct"/>
            <w:tcBorders>
              <w:top w:val="single" w:sz="4" w:space="0" w:color="auto"/>
              <w:left w:val="single" w:sz="4" w:space="0" w:color="auto"/>
              <w:bottom w:val="single" w:sz="4" w:space="0" w:color="auto"/>
              <w:right w:val="single" w:sz="4" w:space="0" w:color="auto"/>
            </w:tcBorders>
            <w:vAlign w:val="center"/>
          </w:tcPr>
          <w:p w14:paraId="39E2D901" w14:textId="77777777" w:rsidR="004A0123" w:rsidRPr="00640447" w:rsidRDefault="004A0123" w:rsidP="008A5C11">
            <w:pPr>
              <w:jc w:val="center"/>
              <w:rPr>
                <w:sz w:val="13"/>
                <w:szCs w:val="13"/>
              </w:rPr>
            </w:pPr>
            <w:r w:rsidRPr="00640447">
              <w:rPr>
                <w:sz w:val="13"/>
                <w:szCs w:val="13"/>
              </w:rPr>
              <w:t>267072</w:t>
            </w:r>
          </w:p>
        </w:tc>
        <w:tc>
          <w:tcPr>
            <w:tcW w:w="188" w:type="pct"/>
            <w:tcBorders>
              <w:top w:val="single" w:sz="4" w:space="0" w:color="auto"/>
              <w:left w:val="single" w:sz="4" w:space="0" w:color="auto"/>
              <w:bottom w:val="single" w:sz="4" w:space="0" w:color="auto"/>
              <w:right w:val="single" w:sz="4" w:space="0" w:color="auto"/>
            </w:tcBorders>
            <w:vAlign w:val="center"/>
          </w:tcPr>
          <w:p w14:paraId="4EABDC18" w14:textId="77777777" w:rsidR="004A0123" w:rsidRPr="00640447" w:rsidRDefault="004A0123" w:rsidP="008A5C11">
            <w:pPr>
              <w:jc w:val="center"/>
              <w:rPr>
                <w:sz w:val="13"/>
                <w:szCs w:val="13"/>
              </w:rPr>
            </w:pPr>
            <w:r w:rsidRPr="00640447">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322771AA" w14:textId="77777777" w:rsidR="004A0123" w:rsidRPr="00640447" w:rsidRDefault="004A0123" w:rsidP="008A5C11">
            <w:pPr>
              <w:jc w:val="center"/>
              <w:rPr>
                <w:sz w:val="13"/>
                <w:szCs w:val="13"/>
              </w:rPr>
            </w:pPr>
            <w:r w:rsidRPr="00640447">
              <w:rPr>
                <w:sz w:val="13"/>
                <w:szCs w:val="13"/>
              </w:rPr>
              <w:t>0</w:t>
            </w:r>
          </w:p>
        </w:tc>
      </w:tr>
      <w:tr w:rsidR="004A0123" w:rsidRPr="00640447" w14:paraId="068A815F" w14:textId="77777777" w:rsidTr="008A5C11">
        <w:trPr>
          <w:trHeight w:val="489"/>
        </w:trPr>
        <w:tc>
          <w:tcPr>
            <w:tcW w:w="146" w:type="pct"/>
            <w:shd w:val="clear" w:color="auto" w:fill="auto"/>
            <w:vAlign w:val="center"/>
          </w:tcPr>
          <w:p w14:paraId="7761D844" w14:textId="77777777" w:rsidR="004A0123" w:rsidRPr="00640447" w:rsidRDefault="004A0123" w:rsidP="008A5C11">
            <w:pPr>
              <w:jc w:val="center"/>
              <w:rPr>
                <w:sz w:val="13"/>
                <w:szCs w:val="13"/>
              </w:rPr>
            </w:pPr>
            <w:r w:rsidRPr="00640447">
              <w:rPr>
                <w:sz w:val="13"/>
                <w:szCs w:val="13"/>
              </w:rPr>
              <w:t>3.2.18.</w:t>
            </w:r>
          </w:p>
        </w:tc>
        <w:tc>
          <w:tcPr>
            <w:tcW w:w="616" w:type="pct"/>
            <w:tcBorders>
              <w:top w:val="nil"/>
              <w:left w:val="single" w:sz="4" w:space="0" w:color="auto"/>
              <w:bottom w:val="single" w:sz="4" w:space="0" w:color="auto"/>
              <w:right w:val="single" w:sz="4" w:space="0" w:color="auto"/>
            </w:tcBorders>
            <w:shd w:val="clear" w:color="auto" w:fill="auto"/>
            <w:vAlign w:val="center"/>
          </w:tcPr>
          <w:p w14:paraId="7FB2B018" w14:textId="77777777" w:rsidR="004A0123" w:rsidRPr="00640447" w:rsidRDefault="004A0123" w:rsidP="008A5C11">
            <w:pPr>
              <w:rPr>
                <w:color w:val="000000"/>
                <w:sz w:val="13"/>
                <w:szCs w:val="13"/>
              </w:rPr>
            </w:pPr>
            <w:r w:rsidRPr="00640447">
              <w:rPr>
                <w:color w:val="000000"/>
                <w:sz w:val="13"/>
                <w:szCs w:val="13"/>
              </w:rPr>
              <w:t>Котельная «Энергетик». Проектирование и установка насосного оборудования сетевого комплекса.</w:t>
            </w:r>
          </w:p>
        </w:tc>
        <w:tc>
          <w:tcPr>
            <w:tcW w:w="359" w:type="pct"/>
            <w:tcBorders>
              <w:top w:val="nil"/>
              <w:left w:val="nil"/>
              <w:bottom w:val="single" w:sz="4" w:space="0" w:color="auto"/>
              <w:right w:val="single" w:sz="4" w:space="0" w:color="auto"/>
            </w:tcBorders>
            <w:shd w:val="clear" w:color="auto" w:fill="auto"/>
            <w:vAlign w:val="center"/>
          </w:tcPr>
          <w:p w14:paraId="051A919E" w14:textId="77777777" w:rsidR="004A0123" w:rsidRPr="00640447" w:rsidRDefault="004A0123" w:rsidP="008A5C11">
            <w:pPr>
              <w:jc w:val="center"/>
              <w:rPr>
                <w:color w:val="000000"/>
                <w:sz w:val="13"/>
                <w:szCs w:val="13"/>
              </w:rPr>
            </w:pPr>
            <w:r w:rsidRPr="00640447">
              <w:rPr>
                <w:color w:val="000000"/>
                <w:sz w:val="13"/>
                <w:szCs w:val="13"/>
              </w:rPr>
              <w:t>Повышение надежности теплоснабжения</w:t>
            </w:r>
          </w:p>
        </w:tc>
        <w:tc>
          <w:tcPr>
            <w:tcW w:w="360" w:type="pct"/>
            <w:tcBorders>
              <w:top w:val="nil"/>
              <w:left w:val="nil"/>
              <w:bottom w:val="single" w:sz="4" w:space="0" w:color="auto"/>
              <w:right w:val="single" w:sz="4" w:space="0" w:color="auto"/>
            </w:tcBorders>
            <w:shd w:val="clear" w:color="auto" w:fill="auto"/>
            <w:vAlign w:val="center"/>
          </w:tcPr>
          <w:p w14:paraId="6751087A" w14:textId="77777777" w:rsidR="004A0123" w:rsidRPr="00640447" w:rsidRDefault="004A0123" w:rsidP="008A5C11">
            <w:pPr>
              <w:jc w:val="center"/>
              <w:rPr>
                <w:color w:val="000000"/>
                <w:sz w:val="13"/>
                <w:szCs w:val="13"/>
              </w:rPr>
            </w:pPr>
            <w:r w:rsidRPr="00640447">
              <w:rPr>
                <w:color w:val="000000"/>
                <w:sz w:val="13"/>
                <w:szCs w:val="13"/>
              </w:rPr>
              <w:t xml:space="preserve">г. Ленинск-Кузнецкий, </w:t>
            </w:r>
          </w:p>
          <w:p w14:paraId="2ABF255C" w14:textId="77777777" w:rsidR="004A0123" w:rsidRPr="00640447" w:rsidRDefault="004A0123" w:rsidP="008A5C11">
            <w:pPr>
              <w:jc w:val="center"/>
              <w:rPr>
                <w:color w:val="000000"/>
                <w:sz w:val="13"/>
                <w:szCs w:val="13"/>
              </w:rPr>
            </w:pPr>
            <w:r w:rsidRPr="00640447">
              <w:rPr>
                <w:color w:val="000000"/>
                <w:sz w:val="13"/>
                <w:szCs w:val="13"/>
              </w:rPr>
              <w:t>тер. Северная промзона 4</w:t>
            </w:r>
          </w:p>
        </w:tc>
        <w:tc>
          <w:tcPr>
            <w:tcW w:w="338" w:type="pct"/>
            <w:tcBorders>
              <w:top w:val="nil"/>
              <w:left w:val="nil"/>
              <w:bottom w:val="single" w:sz="4" w:space="0" w:color="auto"/>
              <w:right w:val="single" w:sz="4" w:space="0" w:color="auto"/>
            </w:tcBorders>
            <w:shd w:val="clear" w:color="auto" w:fill="auto"/>
            <w:vAlign w:val="center"/>
          </w:tcPr>
          <w:p w14:paraId="020909A0" w14:textId="77777777" w:rsidR="004A0123" w:rsidRPr="00640447" w:rsidRDefault="004A0123" w:rsidP="008A5C11">
            <w:pPr>
              <w:jc w:val="center"/>
              <w:rPr>
                <w:sz w:val="13"/>
                <w:szCs w:val="13"/>
              </w:rPr>
            </w:pPr>
            <w:proofErr w:type="gramStart"/>
            <w:r w:rsidRPr="00640447">
              <w:rPr>
                <w:sz w:val="13"/>
                <w:szCs w:val="13"/>
              </w:rPr>
              <w:t>Производитель-ность</w:t>
            </w:r>
            <w:proofErr w:type="gramEnd"/>
          </w:p>
        </w:tc>
        <w:tc>
          <w:tcPr>
            <w:tcW w:w="116" w:type="pct"/>
            <w:tcBorders>
              <w:top w:val="nil"/>
              <w:left w:val="nil"/>
              <w:bottom w:val="single" w:sz="4" w:space="0" w:color="auto"/>
              <w:right w:val="single" w:sz="4" w:space="0" w:color="auto"/>
            </w:tcBorders>
            <w:shd w:val="clear" w:color="auto" w:fill="auto"/>
            <w:vAlign w:val="center"/>
          </w:tcPr>
          <w:p w14:paraId="2FC2F261" w14:textId="77777777" w:rsidR="004A0123" w:rsidRPr="00640447" w:rsidRDefault="004A0123" w:rsidP="008A5C11">
            <w:pPr>
              <w:jc w:val="center"/>
              <w:rPr>
                <w:sz w:val="13"/>
                <w:szCs w:val="13"/>
              </w:rPr>
            </w:pPr>
            <w:r w:rsidRPr="00640447">
              <w:rPr>
                <w:sz w:val="13"/>
                <w:szCs w:val="13"/>
              </w:rPr>
              <w:t>м</w:t>
            </w:r>
            <w:r w:rsidRPr="00640447">
              <w:rPr>
                <w:sz w:val="13"/>
                <w:szCs w:val="13"/>
                <w:vertAlign w:val="superscript"/>
              </w:rPr>
              <w:t>3</w:t>
            </w:r>
            <w:r w:rsidRPr="00640447">
              <w:rPr>
                <w:sz w:val="13"/>
                <w:szCs w:val="13"/>
              </w:rPr>
              <w:t>/ч</w:t>
            </w:r>
          </w:p>
        </w:tc>
        <w:tc>
          <w:tcPr>
            <w:tcW w:w="182" w:type="pct"/>
            <w:tcBorders>
              <w:top w:val="nil"/>
              <w:left w:val="single" w:sz="4" w:space="0" w:color="auto"/>
              <w:bottom w:val="single" w:sz="4" w:space="0" w:color="auto"/>
              <w:right w:val="single" w:sz="4" w:space="0" w:color="auto"/>
            </w:tcBorders>
            <w:shd w:val="clear" w:color="auto" w:fill="auto"/>
            <w:vAlign w:val="center"/>
          </w:tcPr>
          <w:p w14:paraId="64D93001" w14:textId="77777777" w:rsidR="004A0123" w:rsidRPr="00640447" w:rsidRDefault="004A0123" w:rsidP="008A5C11">
            <w:pPr>
              <w:jc w:val="center"/>
              <w:rPr>
                <w:sz w:val="13"/>
                <w:szCs w:val="13"/>
              </w:rPr>
            </w:pPr>
            <w:r w:rsidRPr="00640447">
              <w:rPr>
                <w:sz w:val="13"/>
                <w:szCs w:val="13"/>
              </w:rPr>
              <w:t>2400</w:t>
            </w:r>
          </w:p>
        </w:tc>
        <w:tc>
          <w:tcPr>
            <w:tcW w:w="174" w:type="pct"/>
            <w:tcBorders>
              <w:top w:val="nil"/>
              <w:left w:val="nil"/>
              <w:bottom w:val="single" w:sz="4" w:space="0" w:color="auto"/>
              <w:right w:val="single" w:sz="4" w:space="0" w:color="auto"/>
            </w:tcBorders>
            <w:shd w:val="clear" w:color="auto" w:fill="auto"/>
            <w:vAlign w:val="center"/>
          </w:tcPr>
          <w:p w14:paraId="7B13931E" w14:textId="77777777" w:rsidR="004A0123" w:rsidRPr="00640447" w:rsidRDefault="004A0123" w:rsidP="008A5C11">
            <w:pPr>
              <w:jc w:val="center"/>
              <w:rPr>
                <w:sz w:val="13"/>
                <w:szCs w:val="13"/>
              </w:rPr>
            </w:pPr>
            <w:r w:rsidRPr="00640447">
              <w:rPr>
                <w:sz w:val="13"/>
                <w:szCs w:val="13"/>
              </w:rPr>
              <w:t>2400</w:t>
            </w:r>
          </w:p>
        </w:tc>
        <w:tc>
          <w:tcPr>
            <w:tcW w:w="189" w:type="pct"/>
            <w:tcBorders>
              <w:top w:val="nil"/>
              <w:left w:val="nil"/>
              <w:bottom w:val="single" w:sz="4" w:space="0" w:color="auto"/>
              <w:right w:val="single" w:sz="4" w:space="0" w:color="auto"/>
            </w:tcBorders>
            <w:shd w:val="clear" w:color="auto" w:fill="auto"/>
            <w:vAlign w:val="center"/>
          </w:tcPr>
          <w:p w14:paraId="38FFD04C" w14:textId="77777777" w:rsidR="004A0123" w:rsidRPr="00640447" w:rsidRDefault="004A0123" w:rsidP="008A5C11">
            <w:pPr>
              <w:jc w:val="center"/>
              <w:rPr>
                <w:sz w:val="13"/>
                <w:szCs w:val="13"/>
              </w:rPr>
            </w:pPr>
            <w:r w:rsidRPr="00640447">
              <w:rPr>
                <w:sz w:val="13"/>
                <w:szCs w:val="13"/>
              </w:rPr>
              <w:t>2028</w:t>
            </w:r>
          </w:p>
        </w:tc>
        <w:tc>
          <w:tcPr>
            <w:tcW w:w="184" w:type="pct"/>
            <w:tcBorders>
              <w:top w:val="nil"/>
              <w:left w:val="nil"/>
              <w:bottom w:val="single" w:sz="4" w:space="0" w:color="auto"/>
              <w:right w:val="single" w:sz="4" w:space="0" w:color="auto"/>
            </w:tcBorders>
            <w:shd w:val="clear" w:color="auto" w:fill="auto"/>
            <w:vAlign w:val="center"/>
          </w:tcPr>
          <w:p w14:paraId="48E6CAC0" w14:textId="77777777" w:rsidR="004A0123" w:rsidRPr="00640447" w:rsidRDefault="004A0123" w:rsidP="008A5C11">
            <w:pPr>
              <w:jc w:val="center"/>
              <w:rPr>
                <w:sz w:val="13"/>
                <w:szCs w:val="13"/>
              </w:rPr>
            </w:pPr>
            <w:r w:rsidRPr="00640447">
              <w:rPr>
                <w:sz w:val="13"/>
                <w:szCs w:val="13"/>
              </w:rPr>
              <w:t>2028</w:t>
            </w:r>
          </w:p>
        </w:tc>
        <w:tc>
          <w:tcPr>
            <w:tcW w:w="180" w:type="pct"/>
            <w:tcBorders>
              <w:top w:val="nil"/>
              <w:left w:val="nil"/>
              <w:bottom w:val="single" w:sz="4" w:space="0" w:color="auto"/>
              <w:right w:val="single" w:sz="4" w:space="0" w:color="auto"/>
            </w:tcBorders>
            <w:shd w:val="clear" w:color="auto" w:fill="auto"/>
            <w:vAlign w:val="center"/>
          </w:tcPr>
          <w:p w14:paraId="58FD0B1B" w14:textId="77777777" w:rsidR="004A0123" w:rsidRPr="00640447" w:rsidRDefault="004A0123" w:rsidP="008A5C11">
            <w:pPr>
              <w:jc w:val="center"/>
              <w:rPr>
                <w:sz w:val="13"/>
                <w:szCs w:val="13"/>
              </w:rPr>
            </w:pPr>
            <w:r w:rsidRPr="00640447">
              <w:rPr>
                <w:sz w:val="13"/>
                <w:szCs w:val="13"/>
              </w:rPr>
              <w:t>36956</w:t>
            </w:r>
          </w:p>
        </w:tc>
        <w:tc>
          <w:tcPr>
            <w:tcW w:w="187" w:type="pct"/>
            <w:tcBorders>
              <w:top w:val="nil"/>
              <w:left w:val="nil"/>
              <w:bottom w:val="single" w:sz="4" w:space="0" w:color="auto"/>
              <w:right w:val="single" w:sz="4" w:space="0" w:color="auto"/>
            </w:tcBorders>
            <w:shd w:val="clear" w:color="auto" w:fill="auto"/>
            <w:vAlign w:val="center"/>
          </w:tcPr>
          <w:p w14:paraId="7E9FDF19" w14:textId="77777777" w:rsidR="004A0123" w:rsidRPr="00640447" w:rsidRDefault="004A0123" w:rsidP="008A5C11">
            <w:pPr>
              <w:jc w:val="center"/>
              <w:rPr>
                <w:sz w:val="13"/>
                <w:szCs w:val="13"/>
              </w:rPr>
            </w:pPr>
            <w:r w:rsidRPr="00640447">
              <w:rPr>
                <w:sz w:val="13"/>
                <w:szCs w:val="13"/>
              </w:rPr>
              <w:t>0</w:t>
            </w:r>
          </w:p>
        </w:tc>
        <w:tc>
          <w:tcPr>
            <w:tcW w:w="146" w:type="pct"/>
            <w:tcBorders>
              <w:top w:val="nil"/>
              <w:left w:val="single" w:sz="4" w:space="0" w:color="auto"/>
              <w:bottom w:val="single" w:sz="4" w:space="0" w:color="auto"/>
              <w:right w:val="single" w:sz="4" w:space="0" w:color="auto"/>
            </w:tcBorders>
            <w:shd w:val="clear" w:color="auto" w:fill="auto"/>
            <w:vAlign w:val="center"/>
          </w:tcPr>
          <w:p w14:paraId="563ECF8C" w14:textId="77777777" w:rsidR="004A0123" w:rsidRPr="00640447" w:rsidRDefault="004A0123" w:rsidP="008A5C11">
            <w:pPr>
              <w:jc w:val="center"/>
              <w:rPr>
                <w:sz w:val="13"/>
                <w:szCs w:val="13"/>
              </w:rPr>
            </w:pPr>
            <w:r w:rsidRPr="00640447">
              <w:rPr>
                <w:sz w:val="13"/>
                <w:szCs w:val="13"/>
              </w:rPr>
              <w:t>0</w:t>
            </w:r>
          </w:p>
        </w:tc>
        <w:tc>
          <w:tcPr>
            <w:tcW w:w="149" w:type="pct"/>
            <w:tcBorders>
              <w:top w:val="nil"/>
              <w:left w:val="nil"/>
              <w:bottom w:val="single" w:sz="4" w:space="0" w:color="auto"/>
              <w:right w:val="single" w:sz="4" w:space="0" w:color="auto"/>
            </w:tcBorders>
            <w:shd w:val="clear" w:color="auto" w:fill="auto"/>
            <w:vAlign w:val="center"/>
          </w:tcPr>
          <w:p w14:paraId="42AD054D" w14:textId="77777777" w:rsidR="004A0123" w:rsidRPr="00640447" w:rsidRDefault="004A0123" w:rsidP="008A5C11">
            <w:pPr>
              <w:jc w:val="center"/>
              <w:rPr>
                <w:sz w:val="13"/>
                <w:szCs w:val="13"/>
              </w:rPr>
            </w:pPr>
            <w:r w:rsidRPr="00640447">
              <w:rPr>
                <w:sz w:val="13"/>
                <w:szCs w:val="13"/>
              </w:rPr>
              <w:t>0</w:t>
            </w:r>
          </w:p>
        </w:tc>
        <w:tc>
          <w:tcPr>
            <w:tcW w:w="183" w:type="pct"/>
            <w:tcBorders>
              <w:top w:val="nil"/>
              <w:left w:val="nil"/>
              <w:bottom w:val="single" w:sz="4" w:space="0" w:color="auto"/>
              <w:right w:val="single" w:sz="4" w:space="0" w:color="auto"/>
            </w:tcBorders>
            <w:shd w:val="clear" w:color="auto" w:fill="auto"/>
            <w:vAlign w:val="center"/>
          </w:tcPr>
          <w:p w14:paraId="02B133D7" w14:textId="77777777" w:rsidR="004A0123" w:rsidRPr="00640447" w:rsidRDefault="004A0123" w:rsidP="008A5C11">
            <w:pPr>
              <w:jc w:val="center"/>
              <w:rPr>
                <w:sz w:val="13"/>
                <w:szCs w:val="13"/>
              </w:rPr>
            </w:pPr>
            <w:r w:rsidRPr="00640447">
              <w:rPr>
                <w:sz w:val="13"/>
                <w:szCs w:val="13"/>
              </w:rPr>
              <w:t>0</w:t>
            </w:r>
          </w:p>
        </w:tc>
        <w:tc>
          <w:tcPr>
            <w:tcW w:w="183" w:type="pct"/>
            <w:tcBorders>
              <w:top w:val="nil"/>
              <w:left w:val="nil"/>
              <w:bottom w:val="single" w:sz="4" w:space="0" w:color="auto"/>
              <w:right w:val="single" w:sz="4" w:space="0" w:color="auto"/>
            </w:tcBorders>
            <w:shd w:val="clear" w:color="auto" w:fill="auto"/>
            <w:vAlign w:val="center"/>
          </w:tcPr>
          <w:p w14:paraId="631E82EA" w14:textId="77777777" w:rsidR="004A0123" w:rsidRPr="00640447" w:rsidRDefault="004A0123" w:rsidP="008A5C11">
            <w:pPr>
              <w:jc w:val="center"/>
              <w:rPr>
                <w:sz w:val="13"/>
                <w:szCs w:val="13"/>
              </w:rPr>
            </w:pPr>
            <w:r w:rsidRPr="00640447">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2491339D" w14:textId="77777777" w:rsidR="004A0123" w:rsidRPr="00640447" w:rsidRDefault="004A0123" w:rsidP="008A5C11">
            <w:pPr>
              <w:jc w:val="center"/>
              <w:rPr>
                <w:sz w:val="13"/>
                <w:szCs w:val="13"/>
              </w:rPr>
            </w:pPr>
            <w:r w:rsidRPr="00640447">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7175C807" w14:textId="77777777" w:rsidR="004A0123" w:rsidRPr="00640447" w:rsidRDefault="004A0123" w:rsidP="008A5C11">
            <w:pPr>
              <w:jc w:val="center"/>
              <w:rPr>
                <w:sz w:val="13"/>
                <w:szCs w:val="13"/>
              </w:rPr>
            </w:pPr>
            <w:r w:rsidRPr="00640447">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4E87A503" w14:textId="77777777" w:rsidR="004A0123" w:rsidRPr="00640447" w:rsidRDefault="004A0123" w:rsidP="008A5C11">
            <w:pPr>
              <w:jc w:val="center"/>
              <w:rPr>
                <w:sz w:val="13"/>
                <w:szCs w:val="13"/>
              </w:rPr>
            </w:pPr>
            <w:r w:rsidRPr="00640447">
              <w:rPr>
                <w:sz w:val="13"/>
                <w:szCs w:val="13"/>
              </w:rPr>
              <w:t>0</w:t>
            </w:r>
          </w:p>
        </w:tc>
        <w:tc>
          <w:tcPr>
            <w:tcW w:w="174" w:type="pct"/>
            <w:tcBorders>
              <w:top w:val="single" w:sz="4" w:space="0" w:color="auto"/>
              <w:left w:val="single" w:sz="4" w:space="0" w:color="auto"/>
              <w:bottom w:val="single" w:sz="4" w:space="0" w:color="auto"/>
              <w:right w:val="single" w:sz="4" w:space="0" w:color="auto"/>
            </w:tcBorders>
            <w:vAlign w:val="center"/>
          </w:tcPr>
          <w:p w14:paraId="44D2304B" w14:textId="77777777" w:rsidR="004A0123" w:rsidRPr="00640447" w:rsidRDefault="004A0123" w:rsidP="008A5C11">
            <w:pPr>
              <w:jc w:val="center"/>
              <w:rPr>
                <w:sz w:val="13"/>
                <w:szCs w:val="13"/>
              </w:rPr>
            </w:pPr>
            <w:r w:rsidRPr="00640447">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4E937CAB" w14:textId="77777777" w:rsidR="004A0123" w:rsidRPr="00640447" w:rsidRDefault="004A0123" w:rsidP="008A5C11">
            <w:pPr>
              <w:jc w:val="center"/>
              <w:rPr>
                <w:sz w:val="13"/>
                <w:szCs w:val="13"/>
              </w:rPr>
            </w:pPr>
            <w:r w:rsidRPr="00640447">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0B229AA5" w14:textId="77777777" w:rsidR="004A0123" w:rsidRPr="00640447" w:rsidRDefault="004A0123" w:rsidP="008A5C11">
            <w:pPr>
              <w:jc w:val="center"/>
              <w:rPr>
                <w:sz w:val="13"/>
                <w:szCs w:val="13"/>
              </w:rPr>
            </w:pPr>
            <w:r w:rsidRPr="00640447">
              <w:rPr>
                <w:sz w:val="13"/>
                <w:szCs w:val="13"/>
              </w:rPr>
              <w:t>36956</w:t>
            </w:r>
          </w:p>
        </w:tc>
        <w:tc>
          <w:tcPr>
            <w:tcW w:w="188" w:type="pct"/>
            <w:tcBorders>
              <w:top w:val="single" w:sz="4" w:space="0" w:color="auto"/>
              <w:left w:val="single" w:sz="4" w:space="0" w:color="auto"/>
              <w:bottom w:val="single" w:sz="4" w:space="0" w:color="auto"/>
              <w:right w:val="single" w:sz="4" w:space="0" w:color="auto"/>
            </w:tcBorders>
            <w:vAlign w:val="center"/>
          </w:tcPr>
          <w:p w14:paraId="49935C58" w14:textId="77777777" w:rsidR="004A0123" w:rsidRPr="00640447" w:rsidRDefault="004A0123" w:rsidP="008A5C11">
            <w:pPr>
              <w:jc w:val="center"/>
              <w:rPr>
                <w:sz w:val="13"/>
                <w:szCs w:val="13"/>
              </w:rPr>
            </w:pPr>
            <w:r w:rsidRPr="00640447">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354A82D9" w14:textId="77777777" w:rsidR="004A0123" w:rsidRPr="00640447" w:rsidRDefault="004A0123" w:rsidP="008A5C11">
            <w:pPr>
              <w:jc w:val="center"/>
              <w:rPr>
                <w:sz w:val="13"/>
                <w:szCs w:val="13"/>
              </w:rPr>
            </w:pPr>
            <w:r w:rsidRPr="00640447">
              <w:rPr>
                <w:sz w:val="13"/>
                <w:szCs w:val="13"/>
              </w:rPr>
              <w:t>0</w:t>
            </w:r>
          </w:p>
        </w:tc>
      </w:tr>
      <w:tr w:rsidR="004A0123" w:rsidRPr="00640447" w14:paraId="76C9000D" w14:textId="77777777" w:rsidTr="008A5C11">
        <w:trPr>
          <w:trHeight w:val="489"/>
        </w:trPr>
        <w:tc>
          <w:tcPr>
            <w:tcW w:w="146" w:type="pct"/>
            <w:shd w:val="clear" w:color="auto" w:fill="auto"/>
            <w:vAlign w:val="center"/>
          </w:tcPr>
          <w:p w14:paraId="0A91D861" w14:textId="77777777" w:rsidR="004A0123" w:rsidRPr="00640447" w:rsidRDefault="004A0123" w:rsidP="008A5C11">
            <w:pPr>
              <w:jc w:val="center"/>
              <w:rPr>
                <w:sz w:val="13"/>
                <w:szCs w:val="13"/>
              </w:rPr>
            </w:pPr>
            <w:r w:rsidRPr="00640447">
              <w:rPr>
                <w:sz w:val="13"/>
                <w:szCs w:val="13"/>
              </w:rPr>
              <w:t>3.2.19.</w:t>
            </w:r>
          </w:p>
        </w:tc>
        <w:tc>
          <w:tcPr>
            <w:tcW w:w="616" w:type="pct"/>
            <w:tcBorders>
              <w:top w:val="nil"/>
              <w:left w:val="single" w:sz="4" w:space="0" w:color="auto"/>
              <w:bottom w:val="single" w:sz="4" w:space="0" w:color="auto"/>
              <w:right w:val="single" w:sz="4" w:space="0" w:color="auto"/>
            </w:tcBorders>
            <w:shd w:val="clear" w:color="auto" w:fill="auto"/>
            <w:vAlign w:val="center"/>
          </w:tcPr>
          <w:p w14:paraId="1826C3ED" w14:textId="77777777" w:rsidR="004A0123" w:rsidRPr="00640447" w:rsidRDefault="004A0123" w:rsidP="008A5C11">
            <w:pPr>
              <w:rPr>
                <w:color w:val="000000"/>
                <w:sz w:val="13"/>
                <w:szCs w:val="13"/>
              </w:rPr>
            </w:pPr>
            <w:r w:rsidRPr="00640447">
              <w:rPr>
                <w:color w:val="000000"/>
                <w:sz w:val="13"/>
                <w:szCs w:val="13"/>
              </w:rPr>
              <w:t>Котельная «Энергетик». Проектирование и реконструкция мазутного хозяйства.</w:t>
            </w:r>
          </w:p>
        </w:tc>
        <w:tc>
          <w:tcPr>
            <w:tcW w:w="359" w:type="pct"/>
            <w:tcBorders>
              <w:top w:val="nil"/>
              <w:left w:val="nil"/>
              <w:bottom w:val="single" w:sz="4" w:space="0" w:color="auto"/>
              <w:right w:val="single" w:sz="4" w:space="0" w:color="auto"/>
            </w:tcBorders>
            <w:shd w:val="clear" w:color="auto" w:fill="auto"/>
            <w:vAlign w:val="center"/>
          </w:tcPr>
          <w:p w14:paraId="223727E7" w14:textId="77777777" w:rsidR="004A0123" w:rsidRPr="00640447" w:rsidRDefault="004A0123" w:rsidP="008A5C11">
            <w:pPr>
              <w:jc w:val="center"/>
              <w:rPr>
                <w:color w:val="000000"/>
                <w:sz w:val="13"/>
                <w:szCs w:val="13"/>
              </w:rPr>
            </w:pPr>
            <w:r w:rsidRPr="00640447">
              <w:rPr>
                <w:color w:val="000000"/>
                <w:sz w:val="13"/>
                <w:szCs w:val="13"/>
              </w:rPr>
              <w:t>Повышение надежности теплоснабжения</w:t>
            </w:r>
          </w:p>
        </w:tc>
        <w:tc>
          <w:tcPr>
            <w:tcW w:w="360" w:type="pct"/>
            <w:tcBorders>
              <w:top w:val="nil"/>
              <w:left w:val="nil"/>
              <w:bottom w:val="single" w:sz="4" w:space="0" w:color="auto"/>
              <w:right w:val="single" w:sz="4" w:space="0" w:color="auto"/>
            </w:tcBorders>
            <w:shd w:val="clear" w:color="auto" w:fill="auto"/>
            <w:vAlign w:val="center"/>
          </w:tcPr>
          <w:p w14:paraId="3902835D" w14:textId="77777777" w:rsidR="004A0123" w:rsidRPr="00640447" w:rsidRDefault="004A0123" w:rsidP="008A5C11">
            <w:pPr>
              <w:jc w:val="center"/>
              <w:rPr>
                <w:color w:val="000000"/>
                <w:sz w:val="13"/>
                <w:szCs w:val="13"/>
              </w:rPr>
            </w:pPr>
            <w:r w:rsidRPr="00640447">
              <w:rPr>
                <w:color w:val="000000"/>
                <w:sz w:val="13"/>
                <w:szCs w:val="13"/>
              </w:rPr>
              <w:t xml:space="preserve">г. Ленинск-Кузнецкий, </w:t>
            </w:r>
          </w:p>
          <w:p w14:paraId="30765456" w14:textId="77777777" w:rsidR="004A0123" w:rsidRPr="00640447" w:rsidRDefault="004A0123" w:rsidP="008A5C11">
            <w:pPr>
              <w:jc w:val="center"/>
              <w:rPr>
                <w:color w:val="000000"/>
                <w:sz w:val="13"/>
                <w:szCs w:val="13"/>
              </w:rPr>
            </w:pPr>
            <w:r w:rsidRPr="00640447">
              <w:rPr>
                <w:color w:val="000000"/>
                <w:sz w:val="13"/>
                <w:szCs w:val="13"/>
              </w:rPr>
              <w:t>тер. Северная промзона 4</w:t>
            </w:r>
          </w:p>
        </w:tc>
        <w:tc>
          <w:tcPr>
            <w:tcW w:w="338" w:type="pct"/>
            <w:tcBorders>
              <w:top w:val="nil"/>
              <w:left w:val="nil"/>
              <w:bottom w:val="single" w:sz="4" w:space="0" w:color="auto"/>
              <w:right w:val="single" w:sz="4" w:space="0" w:color="auto"/>
            </w:tcBorders>
            <w:shd w:val="clear" w:color="auto" w:fill="auto"/>
            <w:vAlign w:val="center"/>
          </w:tcPr>
          <w:p w14:paraId="468E4102" w14:textId="77777777" w:rsidR="004A0123" w:rsidRPr="00640447" w:rsidRDefault="004A0123" w:rsidP="008A5C11">
            <w:pPr>
              <w:jc w:val="center"/>
              <w:rPr>
                <w:sz w:val="13"/>
                <w:szCs w:val="13"/>
              </w:rPr>
            </w:pPr>
            <w:r w:rsidRPr="00640447">
              <w:rPr>
                <w:sz w:val="13"/>
                <w:szCs w:val="13"/>
              </w:rPr>
              <w:t>Мазутное хозяйство</w:t>
            </w:r>
          </w:p>
        </w:tc>
        <w:tc>
          <w:tcPr>
            <w:tcW w:w="116" w:type="pct"/>
            <w:tcBorders>
              <w:top w:val="nil"/>
              <w:left w:val="nil"/>
              <w:bottom w:val="single" w:sz="4" w:space="0" w:color="auto"/>
              <w:right w:val="single" w:sz="4" w:space="0" w:color="auto"/>
            </w:tcBorders>
            <w:shd w:val="clear" w:color="auto" w:fill="auto"/>
            <w:vAlign w:val="center"/>
          </w:tcPr>
          <w:p w14:paraId="5A60B46E" w14:textId="77777777" w:rsidR="004A0123" w:rsidRPr="00640447" w:rsidRDefault="004A0123" w:rsidP="008A5C11">
            <w:pPr>
              <w:jc w:val="center"/>
              <w:rPr>
                <w:sz w:val="13"/>
                <w:szCs w:val="13"/>
              </w:rPr>
            </w:pPr>
            <w:r w:rsidRPr="00640447">
              <w:rPr>
                <w:sz w:val="13"/>
                <w:szCs w:val="13"/>
              </w:rPr>
              <w:t>ед.</w:t>
            </w:r>
          </w:p>
        </w:tc>
        <w:tc>
          <w:tcPr>
            <w:tcW w:w="182" w:type="pct"/>
            <w:tcBorders>
              <w:top w:val="nil"/>
              <w:left w:val="single" w:sz="4" w:space="0" w:color="auto"/>
              <w:bottom w:val="single" w:sz="4" w:space="0" w:color="auto"/>
              <w:right w:val="single" w:sz="4" w:space="0" w:color="auto"/>
            </w:tcBorders>
            <w:shd w:val="clear" w:color="auto" w:fill="auto"/>
            <w:vAlign w:val="center"/>
          </w:tcPr>
          <w:p w14:paraId="4AF6BD79" w14:textId="77777777" w:rsidR="004A0123" w:rsidRPr="00640447" w:rsidRDefault="004A0123" w:rsidP="008A5C11">
            <w:pPr>
              <w:jc w:val="center"/>
              <w:rPr>
                <w:sz w:val="13"/>
                <w:szCs w:val="13"/>
              </w:rPr>
            </w:pPr>
            <w:r w:rsidRPr="00640447">
              <w:rPr>
                <w:sz w:val="13"/>
                <w:szCs w:val="13"/>
              </w:rPr>
              <w:t>1</w:t>
            </w:r>
          </w:p>
        </w:tc>
        <w:tc>
          <w:tcPr>
            <w:tcW w:w="174" w:type="pct"/>
            <w:tcBorders>
              <w:top w:val="nil"/>
              <w:left w:val="nil"/>
              <w:bottom w:val="single" w:sz="4" w:space="0" w:color="auto"/>
              <w:right w:val="single" w:sz="4" w:space="0" w:color="auto"/>
            </w:tcBorders>
            <w:shd w:val="clear" w:color="auto" w:fill="auto"/>
            <w:vAlign w:val="center"/>
          </w:tcPr>
          <w:p w14:paraId="76CF98CE" w14:textId="77777777" w:rsidR="004A0123" w:rsidRPr="00640447" w:rsidRDefault="004A0123" w:rsidP="008A5C11">
            <w:pPr>
              <w:jc w:val="center"/>
              <w:rPr>
                <w:sz w:val="13"/>
                <w:szCs w:val="13"/>
              </w:rPr>
            </w:pPr>
            <w:r w:rsidRPr="00640447">
              <w:rPr>
                <w:sz w:val="13"/>
                <w:szCs w:val="13"/>
              </w:rPr>
              <w:t>1</w:t>
            </w:r>
          </w:p>
        </w:tc>
        <w:tc>
          <w:tcPr>
            <w:tcW w:w="189" w:type="pct"/>
            <w:tcBorders>
              <w:top w:val="nil"/>
              <w:left w:val="nil"/>
              <w:bottom w:val="single" w:sz="4" w:space="0" w:color="auto"/>
              <w:right w:val="single" w:sz="4" w:space="0" w:color="auto"/>
            </w:tcBorders>
            <w:shd w:val="clear" w:color="auto" w:fill="auto"/>
            <w:vAlign w:val="center"/>
          </w:tcPr>
          <w:p w14:paraId="15260C7A" w14:textId="77777777" w:rsidR="004A0123" w:rsidRPr="00640447" w:rsidRDefault="004A0123" w:rsidP="008A5C11">
            <w:pPr>
              <w:jc w:val="center"/>
              <w:rPr>
                <w:sz w:val="13"/>
                <w:szCs w:val="13"/>
              </w:rPr>
            </w:pPr>
            <w:r w:rsidRPr="00640447">
              <w:rPr>
                <w:sz w:val="13"/>
                <w:szCs w:val="13"/>
              </w:rPr>
              <w:t>2027</w:t>
            </w:r>
          </w:p>
        </w:tc>
        <w:tc>
          <w:tcPr>
            <w:tcW w:w="184" w:type="pct"/>
            <w:tcBorders>
              <w:top w:val="nil"/>
              <w:left w:val="nil"/>
              <w:bottom w:val="single" w:sz="4" w:space="0" w:color="auto"/>
              <w:right w:val="single" w:sz="4" w:space="0" w:color="auto"/>
            </w:tcBorders>
            <w:shd w:val="clear" w:color="auto" w:fill="auto"/>
            <w:vAlign w:val="center"/>
          </w:tcPr>
          <w:p w14:paraId="6FB95EB0" w14:textId="77777777" w:rsidR="004A0123" w:rsidRPr="00640447" w:rsidRDefault="004A0123" w:rsidP="008A5C11">
            <w:pPr>
              <w:jc w:val="center"/>
              <w:rPr>
                <w:sz w:val="13"/>
                <w:szCs w:val="13"/>
              </w:rPr>
            </w:pPr>
            <w:r w:rsidRPr="00640447">
              <w:rPr>
                <w:sz w:val="13"/>
                <w:szCs w:val="13"/>
              </w:rPr>
              <w:t>2027</w:t>
            </w:r>
          </w:p>
        </w:tc>
        <w:tc>
          <w:tcPr>
            <w:tcW w:w="180" w:type="pct"/>
            <w:tcBorders>
              <w:top w:val="nil"/>
              <w:left w:val="nil"/>
              <w:bottom w:val="single" w:sz="4" w:space="0" w:color="auto"/>
              <w:right w:val="single" w:sz="4" w:space="0" w:color="auto"/>
            </w:tcBorders>
            <w:shd w:val="clear" w:color="auto" w:fill="auto"/>
            <w:vAlign w:val="center"/>
          </w:tcPr>
          <w:p w14:paraId="357272E2" w14:textId="77777777" w:rsidR="004A0123" w:rsidRPr="00640447" w:rsidRDefault="004A0123" w:rsidP="008A5C11">
            <w:pPr>
              <w:jc w:val="center"/>
              <w:rPr>
                <w:sz w:val="13"/>
                <w:szCs w:val="13"/>
              </w:rPr>
            </w:pPr>
            <w:r w:rsidRPr="00640447">
              <w:rPr>
                <w:sz w:val="13"/>
                <w:szCs w:val="13"/>
              </w:rPr>
              <w:t>60878</w:t>
            </w:r>
          </w:p>
        </w:tc>
        <w:tc>
          <w:tcPr>
            <w:tcW w:w="187" w:type="pct"/>
            <w:tcBorders>
              <w:top w:val="nil"/>
              <w:left w:val="nil"/>
              <w:bottom w:val="single" w:sz="4" w:space="0" w:color="auto"/>
              <w:right w:val="single" w:sz="4" w:space="0" w:color="auto"/>
            </w:tcBorders>
            <w:shd w:val="clear" w:color="auto" w:fill="auto"/>
            <w:vAlign w:val="center"/>
          </w:tcPr>
          <w:p w14:paraId="02AE2624" w14:textId="77777777" w:rsidR="004A0123" w:rsidRPr="00640447" w:rsidRDefault="004A0123" w:rsidP="008A5C11">
            <w:pPr>
              <w:jc w:val="center"/>
              <w:rPr>
                <w:sz w:val="13"/>
                <w:szCs w:val="13"/>
              </w:rPr>
            </w:pPr>
            <w:r w:rsidRPr="00640447">
              <w:rPr>
                <w:sz w:val="13"/>
                <w:szCs w:val="13"/>
              </w:rPr>
              <w:t>0</w:t>
            </w:r>
          </w:p>
        </w:tc>
        <w:tc>
          <w:tcPr>
            <w:tcW w:w="146" w:type="pct"/>
            <w:tcBorders>
              <w:top w:val="nil"/>
              <w:left w:val="single" w:sz="4" w:space="0" w:color="auto"/>
              <w:bottom w:val="single" w:sz="4" w:space="0" w:color="auto"/>
              <w:right w:val="single" w:sz="4" w:space="0" w:color="auto"/>
            </w:tcBorders>
            <w:shd w:val="clear" w:color="auto" w:fill="auto"/>
            <w:vAlign w:val="center"/>
          </w:tcPr>
          <w:p w14:paraId="6DF9E4FA" w14:textId="77777777" w:rsidR="004A0123" w:rsidRPr="00640447" w:rsidRDefault="004A0123" w:rsidP="008A5C11">
            <w:pPr>
              <w:jc w:val="center"/>
              <w:rPr>
                <w:sz w:val="13"/>
                <w:szCs w:val="13"/>
              </w:rPr>
            </w:pPr>
            <w:r w:rsidRPr="00640447">
              <w:rPr>
                <w:sz w:val="13"/>
                <w:szCs w:val="13"/>
              </w:rPr>
              <w:t>0</w:t>
            </w:r>
          </w:p>
        </w:tc>
        <w:tc>
          <w:tcPr>
            <w:tcW w:w="149" w:type="pct"/>
            <w:tcBorders>
              <w:top w:val="nil"/>
              <w:left w:val="nil"/>
              <w:bottom w:val="single" w:sz="4" w:space="0" w:color="auto"/>
              <w:right w:val="single" w:sz="4" w:space="0" w:color="auto"/>
            </w:tcBorders>
            <w:shd w:val="clear" w:color="auto" w:fill="auto"/>
            <w:vAlign w:val="center"/>
          </w:tcPr>
          <w:p w14:paraId="26D249FA" w14:textId="77777777" w:rsidR="004A0123" w:rsidRPr="00640447" w:rsidRDefault="004A0123" w:rsidP="008A5C11">
            <w:pPr>
              <w:jc w:val="center"/>
              <w:rPr>
                <w:sz w:val="13"/>
                <w:szCs w:val="13"/>
              </w:rPr>
            </w:pPr>
            <w:r w:rsidRPr="00640447">
              <w:rPr>
                <w:sz w:val="13"/>
                <w:szCs w:val="13"/>
              </w:rPr>
              <w:t>0</w:t>
            </w:r>
          </w:p>
        </w:tc>
        <w:tc>
          <w:tcPr>
            <w:tcW w:w="183" w:type="pct"/>
            <w:tcBorders>
              <w:top w:val="nil"/>
              <w:left w:val="nil"/>
              <w:bottom w:val="single" w:sz="4" w:space="0" w:color="auto"/>
              <w:right w:val="single" w:sz="4" w:space="0" w:color="auto"/>
            </w:tcBorders>
            <w:shd w:val="clear" w:color="auto" w:fill="auto"/>
            <w:vAlign w:val="center"/>
          </w:tcPr>
          <w:p w14:paraId="6C6CCFAA" w14:textId="77777777" w:rsidR="004A0123" w:rsidRPr="00640447" w:rsidRDefault="004A0123" w:rsidP="008A5C11">
            <w:pPr>
              <w:jc w:val="center"/>
              <w:rPr>
                <w:sz w:val="13"/>
                <w:szCs w:val="13"/>
              </w:rPr>
            </w:pPr>
            <w:r w:rsidRPr="00640447">
              <w:rPr>
                <w:sz w:val="13"/>
                <w:szCs w:val="13"/>
              </w:rPr>
              <w:t>0</w:t>
            </w:r>
          </w:p>
        </w:tc>
        <w:tc>
          <w:tcPr>
            <w:tcW w:w="183" w:type="pct"/>
            <w:tcBorders>
              <w:top w:val="nil"/>
              <w:left w:val="nil"/>
              <w:bottom w:val="single" w:sz="4" w:space="0" w:color="auto"/>
              <w:right w:val="single" w:sz="4" w:space="0" w:color="auto"/>
            </w:tcBorders>
            <w:shd w:val="clear" w:color="auto" w:fill="auto"/>
            <w:vAlign w:val="center"/>
          </w:tcPr>
          <w:p w14:paraId="2567906A" w14:textId="77777777" w:rsidR="004A0123" w:rsidRPr="00640447" w:rsidRDefault="004A0123" w:rsidP="008A5C11">
            <w:pPr>
              <w:jc w:val="center"/>
              <w:rPr>
                <w:sz w:val="13"/>
                <w:szCs w:val="13"/>
              </w:rPr>
            </w:pPr>
            <w:r w:rsidRPr="00640447">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111BFC77" w14:textId="77777777" w:rsidR="004A0123" w:rsidRPr="00640447" w:rsidRDefault="004A0123" w:rsidP="008A5C11">
            <w:pPr>
              <w:jc w:val="center"/>
              <w:rPr>
                <w:sz w:val="13"/>
                <w:szCs w:val="13"/>
              </w:rPr>
            </w:pPr>
            <w:r w:rsidRPr="00640447">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79B11F6B" w14:textId="77777777" w:rsidR="004A0123" w:rsidRPr="00640447" w:rsidRDefault="004A0123" w:rsidP="008A5C11">
            <w:pPr>
              <w:jc w:val="center"/>
              <w:rPr>
                <w:sz w:val="13"/>
                <w:szCs w:val="13"/>
              </w:rPr>
            </w:pPr>
            <w:r w:rsidRPr="00640447">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1B0F42EF" w14:textId="77777777" w:rsidR="004A0123" w:rsidRPr="00640447" w:rsidRDefault="004A0123" w:rsidP="008A5C11">
            <w:pPr>
              <w:jc w:val="center"/>
              <w:rPr>
                <w:sz w:val="13"/>
                <w:szCs w:val="13"/>
              </w:rPr>
            </w:pPr>
            <w:r w:rsidRPr="00640447">
              <w:rPr>
                <w:sz w:val="13"/>
                <w:szCs w:val="13"/>
              </w:rPr>
              <w:t>0</w:t>
            </w:r>
          </w:p>
        </w:tc>
        <w:tc>
          <w:tcPr>
            <w:tcW w:w="174" w:type="pct"/>
            <w:tcBorders>
              <w:top w:val="single" w:sz="4" w:space="0" w:color="auto"/>
              <w:left w:val="single" w:sz="4" w:space="0" w:color="auto"/>
              <w:bottom w:val="single" w:sz="4" w:space="0" w:color="auto"/>
              <w:right w:val="single" w:sz="4" w:space="0" w:color="auto"/>
            </w:tcBorders>
            <w:vAlign w:val="center"/>
          </w:tcPr>
          <w:p w14:paraId="3387966E" w14:textId="77777777" w:rsidR="004A0123" w:rsidRPr="00640447" w:rsidRDefault="004A0123" w:rsidP="008A5C11">
            <w:pPr>
              <w:jc w:val="center"/>
              <w:rPr>
                <w:sz w:val="13"/>
                <w:szCs w:val="13"/>
              </w:rPr>
            </w:pPr>
            <w:r w:rsidRPr="00640447">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73A2B800" w14:textId="77777777" w:rsidR="004A0123" w:rsidRPr="00640447" w:rsidRDefault="004A0123" w:rsidP="008A5C11">
            <w:pPr>
              <w:jc w:val="center"/>
              <w:rPr>
                <w:sz w:val="13"/>
                <w:szCs w:val="13"/>
              </w:rPr>
            </w:pPr>
            <w:r w:rsidRPr="00640447">
              <w:rPr>
                <w:sz w:val="13"/>
                <w:szCs w:val="13"/>
              </w:rPr>
              <w:t>60878</w:t>
            </w:r>
          </w:p>
        </w:tc>
        <w:tc>
          <w:tcPr>
            <w:tcW w:w="146" w:type="pct"/>
            <w:tcBorders>
              <w:top w:val="single" w:sz="4" w:space="0" w:color="auto"/>
              <w:left w:val="single" w:sz="4" w:space="0" w:color="auto"/>
              <w:bottom w:val="single" w:sz="4" w:space="0" w:color="auto"/>
              <w:right w:val="single" w:sz="4" w:space="0" w:color="auto"/>
            </w:tcBorders>
            <w:vAlign w:val="center"/>
          </w:tcPr>
          <w:p w14:paraId="4479C120" w14:textId="77777777" w:rsidR="004A0123" w:rsidRPr="00640447" w:rsidRDefault="004A0123" w:rsidP="008A5C11">
            <w:pPr>
              <w:jc w:val="center"/>
              <w:rPr>
                <w:sz w:val="13"/>
                <w:szCs w:val="13"/>
              </w:rPr>
            </w:pPr>
            <w:r w:rsidRPr="00640447">
              <w:rPr>
                <w:sz w:val="13"/>
                <w:szCs w:val="13"/>
              </w:rPr>
              <w:t>0</w:t>
            </w:r>
          </w:p>
        </w:tc>
        <w:tc>
          <w:tcPr>
            <w:tcW w:w="188" w:type="pct"/>
            <w:tcBorders>
              <w:top w:val="single" w:sz="4" w:space="0" w:color="auto"/>
              <w:left w:val="single" w:sz="4" w:space="0" w:color="auto"/>
              <w:bottom w:val="single" w:sz="4" w:space="0" w:color="auto"/>
              <w:right w:val="single" w:sz="4" w:space="0" w:color="auto"/>
            </w:tcBorders>
            <w:vAlign w:val="center"/>
          </w:tcPr>
          <w:p w14:paraId="0DF2BC79" w14:textId="77777777" w:rsidR="004A0123" w:rsidRPr="00640447" w:rsidRDefault="004A0123" w:rsidP="008A5C11">
            <w:pPr>
              <w:jc w:val="center"/>
              <w:rPr>
                <w:sz w:val="13"/>
                <w:szCs w:val="13"/>
              </w:rPr>
            </w:pPr>
            <w:r w:rsidRPr="00640447">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34352B40" w14:textId="77777777" w:rsidR="004A0123" w:rsidRPr="00640447" w:rsidRDefault="004A0123" w:rsidP="008A5C11">
            <w:pPr>
              <w:jc w:val="center"/>
              <w:rPr>
                <w:sz w:val="13"/>
                <w:szCs w:val="13"/>
              </w:rPr>
            </w:pPr>
            <w:r w:rsidRPr="00640447">
              <w:rPr>
                <w:sz w:val="13"/>
                <w:szCs w:val="13"/>
              </w:rPr>
              <w:t>0</w:t>
            </w:r>
          </w:p>
        </w:tc>
      </w:tr>
      <w:tr w:rsidR="004A0123" w:rsidRPr="00640447" w14:paraId="4456FB38" w14:textId="77777777" w:rsidTr="008A5C11">
        <w:trPr>
          <w:trHeight w:val="489"/>
        </w:trPr>
        <w:tc>
          <w:tcPr>
            <w:tcW w:w="146" w:type="pct"/>
            <w:shd w:val="clear" w:color="auto" w:fill="auto"/>
            <w:vAlign w:val="center"/>
          </w:tcPr>
          <w:p w14:paraId="1813EFB5" w14:textId="77777777" w:rsidR="004A0123" w:rsidRPr="00640447" w:rsidRDefault="004A0123" w:rsidP="008A5C11">
            <w:pPr>
              <w:jc w:val="center"/>
              <w:rPr>
                <w:sz w:val="13"/>
                <w:szCs w:val="13"/>
              </w:rPr>
            </w:pPr>
            <w:r w:rsidRPr="00640447">
              <w:rPr>
                <w:sz w:val="13"/>
                <w:szCs w:val="13"/>
              </w:rPr>
              <w:t>3.2.20.</w:t>
            </w:r>
          </w:p>
        </w:tc>
        <w:tc>
          <w:tcPr>
            <w:tcW w:w="616" w:type="pct"/>
            <w:tcBorders>
              <w:top w:val="nil"/>
              <w:left w:val="single" w:sz="4" w:space="0" w:color="auto"/>
              <w:bottom w:val="single" w:sz="4" w:space="0" w:color="auto"/>
              <w:right w:val="single" w:sz="4" w:space="0" w:color="auto"/>
            </w:tcBorders>
            <w:shd w:val="clear" w:color="auto" w:fill="auto"/>
            <w:vAlign w:val="center"/>
          </w:tcPr>
          <w:p w14:paraId="4FDFA554" w14:textId="77777777" w:rsidR="004A0123" w:rsidRPr="00640447" w:rsidRDefault="004A0123" w:rsidP="008A5C11">
            <w:pPr>
              <w:rPr>
                <w:color w:val="000000"/>
                <w:sz w:val="13"/>
                <w:szCs w:val="13"/>
              </w:rPr>
            </w:pPr>
            <w:r w:rsidRPr="00640447">
              <w:rPr>
                <w:color w:val="000000"/>
                <w:sz w:val="13"/>
                <w:szCs w:val="13"/>
              </w:rPr>
              <w:t>Котельная «Энергетик». Проектирование и реконструкция системы химводоподготовки.</w:t>
            </w:r>
          </w:p>
        </w:tc>
        <w:tc>
          <w:tcPr>
            <w:tcW w:w="359" w:type="pct"/>
            <w:tcBorders>
              <w:top w:val="nil"/>
              <w:left w:val="nil"/>
              <w:bottom w:val="single" w:sz="4" w:space="0" w:color="auto"/>
              <w:right w:val="single" w:sz="4" w:space="0" w:color="auto"/>
            </w:tcBorders>
            <w:shd w:val="clear" w:color="auto" w:fill="auto"/>
            <w:vAlign w:val="center"/>
          </w:tcPr>
          <w:p w14:paraId="51D678A8" w14:textId="77777777" w:rsidR="004A0123" w:rsidRPr="00640447" w:rsidRDefault="004A0123" w:rsidP="008A5C11">
            <w:pPr>
              <w:jc w:val="center"/>
              <w:rPr>
                <w:color w:val="000000"/>
                <w:sz w:val="13"/>
                <w:szCs w:val="13"/>
              </w:rPr>
            </w:pPr>
            <w:r w:rsidRPr="00640447">
              <w:rPr>
                <w:color w:val="000000"/>
                <w:sz w:val="13"/>
                <w:szCs w:val="13"/>
              </w:rPr>
              <w:t>Повышение надежности теплоснабжения</w:t>
            </w:r>
          </w:p>
        </w:tc>
        <w:tc>
          <w:tcPr>
            <w:tcW w:w="360" w:type="pct"/>
            <w:tcBorders>
              <w:top w:val="nil"/>
              <w:left w:val="nil"/>
              <w:bottom w:val="single" w:sz="4" w:space="0" w:color="auto"/>
              <w:right w:val="single" w:sz="4" w:space="0" w:color="auto"/>
            </w:tcBorders>
            <w:shd w:val="clear" w:color="auto" w:fill="auto"/>
            <w:vAlign w:val="center"/>
          </w:tcPr>
          <w:p w14:paraId="2BDFA983" w14:textId="77777777" w:rsidR="004A0123" w:rsidRPr="00640447" w:rsidRDefault="004A0123" w:rsidP="008A5C11">
            <w:pPr>
              <w:jc w:val="center"/>
              <w:rPr>
                <w:color w:val="000000"/>
                <w:sz w:val="13"/>
                <w:szCs w:val="13"/>
              </w:rPr>
            </w:pPr>
            <w:r w:rsidRPr="00640447">
              <w:rPr>
                <w:color w:val="000000"/>
                <w:sz w:val="13"/>
                <w:szCs w:val="13"/>
              </w:rPr>
              <w:t xml:space="preserve">г. Ленинск-Кузнецкий, </w:t>
            </w:r>
          </w:p>
          <w:p w14:paraId="3E76D052" w14:textId="77777777" w:rsidR="004A0123" w:rsidRPr="00640447" w:rsidRDefault="004A0123" w:rsidP="008A5C11">
            <w:pPr>
              <w:jc w:val="center"/>
              <w:rPr>
                <w:color w:val="000000"/>
                <w:sz w:val="13"/>
                <w:szCs w:val="13"/>
              </w:rPr>
            </w:pPr>
            <w:r w:rsidRPr="00640447">
              <w:rPr>
                <w:color w:val="000000"/>
                <w:sz w:val="13"/>
                <w:szCs w:val="13"/>
              </w:rPr>
              <w:t>тер. Северная промзона 4</w:t>
            </w:r>
          </w:p>
        </w:tc>
        <w:tc>
          <w:tcPr>
            <w:tcW w:w="338" w:type="pct"/>
            <w:tcBorders>
              <w:top w:val="nil"/>
              <w:left w:val="nil"/>
              <w:bottom w:val="single" w:sz="4" w:space="0" w:color="auto"/>
              <w:right w:val="single" w:sz="4" w:space="0" w:color="auto"/>
            </w:tcBorders>
            <w:shd w:val="clear" w:color="auto" w:fill="auto"/>
            <w:vAlign w:val="center"/>
          </w:tcPr>
          <w:p w14:paraId="6F22A96F" w14:textId="77777777" w:rsidR="004A0123" w:rsidRPr="00640447" w:rsidRDefault="004A0123" w:rsidP="008A5C11">
            <w:pPr>
              <w:jc w:val="center"/>
              <w:rPr>
                <w:sz w:val="13"/>
                <w:szCs w:val="13"/>
              </w:rPr>
            </w:pPr>
            <w:proofErr w:type="gramStart"/>
            <w:r w:rsidRPr="00640447">
              <w:rPr>
                <w:sz w:val="13"/>
                <w:szCs w:val="13"/>
              </w:rPr>
              <w:t>Производитель-ность</w:t>
            </w:r>
            <w:proofErr w:type="gramEnd"/>
          </w:p>
        </w:tc>
        <w:tc>
          <w:tcPr>
            <w:tcW w:w="116" w:type="pct"/>
            <w:tcBorders>
              <w:top w:val="nil"/>
              <w:left w:val="nil"/>
              <w:bottom w:val="single" w:sz="4" w:space="0" w:color="auto"/>
              <w:right w:val="single" w:sz="4" w:space="0" w:color="auto"/>
            </w:tcBorders>
            <w:shd w:val="clear" w:color="auto" w:fill="auto"/>
            <w:vAlign w:val="center"/>
          </w:tcPr>
          <w:p w14:paraId="1FCB0AC0" w14:textId="77777777" w:rsidR="004A0123" w:rsidRPr="00640447" w:rsidRDefault="004A0123" w:rsidP="008A5C11">
            <w:pPr>
              <w:jc w:val="center"/>
              <w:rPr>
                <w:sz w:val="13"/>
                <w:szCs w:val="13"/>
              </w:rPr>
            </w:pPr>
            <w:r w:rsidRPr="00640447">
              <w:rPr>
                <w:sz w:val="13"/>
                <w:szCs w:val="13"/>
              </w:rPr>
              <w:t>м</w:t>
            </w:r>
            <w:r w:rsidRPr="00640447">
              <w:rPr>
                <w:sz w:val="13"/>
                <w:szCs w:val="13"/>
                <w:vertAlign w:val="superscript"/>
              </w:rPr>
              <w:t>3</w:t>
            </w:r>
            <w:r w:rsidRPr="00640447">
              <w:rPr>
                <w:sz w:val="13"/>
                <w:szCs w:val="13"/>
              </w:rPr>
              <w:t>/ч</w:t>
            </w:r>
          </w:p>
        </w:tc>
        <w:tc>
          <w:tcPr>
            <w:tcW w:w="182" w:type="pct"/>
            <w:tcBorders>
              <w:top w:val="nil"/>
              <w:left w:val="single" w:sz="4" w:space="0" w:color="auto"/>
              <w:bottom w:val="single" w:sz="4" w:space="0" w:color="auto"/>
              <w:right w:val="single" w:sz="4" w:space="0" w:color="auto"/>
            </w:tcBorders>
            <w:shd w:val="clear" w:color="auto" w:fill="auto"/>
            <w:vAlign w:val="center"/>
          </w:tcPr>
          <w:p w14:paraId="4B68324E" w14:textId="77777777" w:rsidR="004A0123" w:rsidRPr="00640447" w:rsidRDefault="004A0123" w:rsidP="008A5C11">
            <w:pPr>
              <w:jc w:val="center"/>
              <w:rPr>
                <w:sz w:val="13"/>
                <w:szCs w:val="13"/>
              </w:rPr>
            </w:pPr>
            <w:r w:rsidRPr="00640447">
              <w:rPr>
                <w:sz w:val="13"/>
                <w:szCs w:val="13"/>
              </w:rPr>
              <w:t>300</w:t>
            </w:r>
          </w:p>
        </w:tc>
        <w:tc>
          <w:tcPr>
            <w:tcW w:w="174" w:type="pct"/>
            <w:tcBorders>
              <w:top w:val="nil"/>
              <w:left w:val="nil"/>
              <w:bottom w:val="single" w:sz="4" w:space="0" w:color="auto"/>
              <w:right w:val="single" w:sz="4" w:space="0" w:color="auto"/>
            </w:tcBorders>
            <w:shd w:val="clear" w:color="auto" w:fill="auto"/>
            <w:vAlign w:val="center"/>
          </w:tcPr>
          <w:p w14:paraId="775EA9E8" w14:textId="77777777" w:rsidR="004A0123" w:rsidRPr="00640447" w:rsidRDefault="004A0123" w:rsidP="008A5C11">
            <w:pPr>
              <w:jc w:val="center"/>
              <w:rPr>
                <w:sz w:val="13"/>
                <w:szCs w:val="13"/>
              </w:rPr>
            </w:pPr>
            <w:r w:rsidRPr="00640447">
              <w:rPr>
                <w:sz w:val="13"/>
                <w:szCs w:val="13"/>
              </w:rPr>
              <w:t>300</w:t>
            </w:r>
          </w:p>
        </w:tc>
        <w:tc>
          <w:tcPr>
            <w:tcW w:w="189" w:type="pct"/>
            <w:tcBorders>
              <w:top w:val="nil"/>
              <w:left w:val="nil"/>
              <w:bottom w:val="single" w:sz="4" w:space="0" w:color="auto"/>
              <w:right w:val="single" w:sz="4" w:space="0" w:color="auto"/>
            </w:tcBorders>
            <w:shd w:val="clear" w:color="auto" w:fill="auto"/>
            <w:vAlign w:val="center"/>
          </w:tcPr>
          <w:p w14:paraId="05A925BE" w14:textId="77777777" w:rsidR="004A0123" w:rsidRPr="00640447" w:rsidRDefault="004A0123" w:rsidP="008A5C11">
            <w:pPr>
              <w:jc w:val="center"/>
              <w:rPr>
                <w:sz w:val="13"/>
                <w:szCs w:val="13"/>
              </w:rPr>
            </w:pPr>
            <w:r w:rsidRPr="00640447">
              <w:rPr>
                <w:sz w:val="13"/>
                <w:szCs w:val="13"/>
              </w:rPr>
              <w:t>2028</w:t>
            </w:r>
          </w:p>
        </w:tc>
        <w:tc>
          <w:tcPr>
            <w:tcW w:w="184" w:type="pct"/>
            <w:tcBorders>
              <w:top w:val="nil"/>
              <w:left w:val="nil"/>
              <w:bottom w:val="single" w:sz="4" w:space="0" w:color="auto"/>
              <w:right w:val="single" w:sz="4" w:space="0" w:color="auto"/>
            </w:tcBorders>
            <w:shd w:val="clear" w:color="auto" w:fill="auto"/>
            <w:vAlign w:val="center"/>
          </w:tcPr>
          <w:p w14:paraId="45199243" w14:textId="77777777" w:rsidR="004A0123" w:rsidRPr="00640447" w:rsidRDefault="004A0123" w:rsidP="008A5C11">
            <w:pPr>
              <w:jc w:val="center"/>
              <w:rPr>
                <w:sz w:val="13"/>
                <w:szCs w:val="13"/>
              </w:rPr>
            </w:pPr>
            <w:r w:rsidRPr="00640447">
              <w:rPr>
                <w:sz w:val="13"/>
                <w:szCs w:val="13"/>
              </w:rPr>
              <w:t>2028</w:t>
            </w:r>
          </w:p>
        </w:tc>
        <w:tc>
          <w:tcPr>
            <w:tcW w:w="180" w:type="pct"/>
            <w:tcBorders>
              <w:top w:val="nil"/>
              <w:left w:val="nil"/>
              <w:bottom w:val="single" w:sz="4" w:space="0" w:color="auto"/>
              <w:right w:val="single" w:sz="4" w:space="0" w:color="auto"/>
            </w:tcBorders>
            <w:shd w:val="clear" w:color="auto" w:fill="auto"/>
            <w:vAlign w:val="center"/>
          </w:tcPr>
          <w:p w14:paraId="010CDC93" w14:textId="77777777" w:rsidR="004A0123" w:rsidRPr="00640447" w:rsidRDefault="004A0123" w:rsidP="008A5C11">
            <w:pPr>
              <w:jc w:val="center"/>
              <w:rPr>
                <w:sz w:val="13"/>
                <w:szCs w:val="13"/>
              </w:rPr>
            </w:pPr>
            <w:r w:rsidRPr="00640447">
              <w:rPr>
                <w:sz w:val="13"/>
                <w:szCs w:val="13"/>
              </w:rPr>
              <w:t>41738</w:t>
            </w:r>
          </w:p>
        </w:tc>
        <w:tc>
          <w:tcPr>
            <w:tcW w:w="187" w:type="pct"/>
            <w:tcBorders>
              <w:top w:val="nil"/>
              <w:left w:val="nil"/>
              <w:bottom w:val="single" w:sz="4" w:space="0" w:color="auto"/>
              <w:right w:val="single" w:sz="4" w:space="0" w:color="auto"/>
            </w:tcBorders>
            <w:shd w:val="clear" w:color="auto" w:fill="auto"/>
            <w:vAlign w:val="center"/>
          </w:tcPr>
          <w:p w14:paraId="6576AAC6" w14:textId="77777777" w:rsidR="004A0123" w:rsidRPr="00640447" w:rsidRDefault="004A0123" w:rsidP="008A5C11">
            <w:pPr>
              <w:jc w:val="center"/>
              <w:rPr>
                <w:sz w:val="13"/>
                <w:szCs w:val="13"/>
              </w:rPr>
            </w:pPr>
            <w:r w:rsidRPr="00640447">
              <w:rPr>
                <w:sz w:val="13"/>
                <w:szCs w:val="13"/>
              </w:rPr>
              <w:t>0</w:t>
            </w:r>
          </w:p>
        </w:tc>
        <w:tc>
          <w:tcPr>
            <w:tcW w:w="146" w:type="pct"/>
            <w:tcBorders>
              <w:top w:val="nil"/>
              <w:left w:val="single" w:sz="4" w:space="0" w:color="auto"/>
              <w:bottom w:val="single" w:sz="4" w:space="0" w:color="auto"/>
              <w:right w:val="single" w:sz="4" w:space="0" w:color="auto"/>
            </w:tcBorders>
            <w:shd w:val="clear" w:color="auto" w:fill="auto"/>
            <w:vAlign w:val="center"/>
          </w:tcPr>
          <w:p w14:paraId="148250B0" w14:textId="77777777" w:rsidR="004A0123" w:rsidRPr="00640447" w:rsidRDefault="004A0123" w:rsidP="008A5C11">
            <w:pPr>
              <w:jc w:val="center"/>
              <w:rPr>
                <w:sz w:val="13"/>
                <w:szCs w:val="13"/>
              </w:rPr>
            </w:pPr>
            <w:r w:rsidRPr="00640447">
              <w:rPr>
                <w:sz w:val="13"/>
                <w:szCs w:val="13"/>
              </w:rPr>
              <w:t>0</w:t>
            </w:r>
          </w:p>
        </w:tc>
        <w:tc>
          <w:tcPr>
            <w:tcW w:w="149" w:type="pct"/>
            <w:tcBorders>
              <w:top w:val="nil"/>
              <w:left w:val="nil"/>
              <w:bottom w:val="single" w:sz="4" w:space="0" w:color="auto"/>
              <w:right w:val="single" w:sz="4" w:space="0" w:color="auto"/>
            </w:tcBorders>
            <w:shd w:val="clear" w:color="auto" w:fill="auto"/>
            <w:vAlign w:val="center"/>
          </w:tcPr>
          <w:p w14:paraId="665E3E4F" w14:textId="77777777" w:rsidR="004A0123" w:rsidRPr="00640447" w:rsidRDefault="004A0123" w:rsidP="008A5C11">
            <w:pPr>
              <w:jc w:val="center"/>
              <w:rPr>
                <w:sz w:val="13"/>
                <w:szCs w:val="13"/>
              </w:rPr>
            </w:pPr>
            <w:r w:rsidRPr="00640447">
              <w:rPr>
                <w:sz w:val="13"/>
                <w:szCs w:val="13"/>
              </w:rPr>
              <w:t>0</w:t>
            </w:r>
          </w:p>
        </w:tc>
        <w:tc>
          <w:tcPr>
            <w:tcW w:w="183" w:type="pct"/>
            <w:tcBorders>
              <w:top w:val="nil"/>
              <w:left w:val="nil"/>
              <w:bottom w:val="single" w:sz="4" w:space="0" w:color="auto"/>
              <w:right w:val="single" w:sz="4" w:space="0" w:color="auto"/>
            </w:tcBorders>
            <w:shd w:val="clear" w:color="auto" w:fill="auto"/>
            <w:vAlign w:val="center"/>
          </w:tcPr>
          <w:p w14:paraId="48895CC0" w14:textId="77777777" w:rsidR="004A0123" w:rsidRPr="00640447" w:rsidRDefault="004A0123" w:rsidP="008A5C11">
            <w:pPr>
              <w:jc w:val="center"/>
              <w:rPr>
                <w:sz w:val="13"/>
                <w:szCs w:val="13"/>
              </w:rPr>
            </w:pPr>
            <w:r w:rsidRPr="00640447">
              <w:rPr>
                <w:sz w:val="13"/>
                <w:szCs w:val="13"/>
              </w:rPr>
              <w:t>0</w:t>
            </w:r>
          </w:p>
        </w:tc>
        <w:tc>
          <w:tcPr>
            <w:tcW w:w="183" w:type="pct"/>
            <w:tcBorders>
              <w:top w:val="nil"/>
              <w:left w:val="nil"/>
              <w:bottom w:val="single" w:sz="4" w:space="0" w:color="auto"/>
              <w:right w:val="single" w:sz="4" w:space="0" w:color="auto"/>
            </w:tcBorders>
            <w:shd w:val="clear" w:color="auto" w:fill="auto"/>
            <w:vAlign w:val="center"/>
          </w:tcPr>
          <w:p w14:paraId="58B81BD9" w14:textId="77777777" w:rsidR="004A0123" w:rsidRPr="00640447" w:rsidRDefault="004A0123" w:rsidP="008A5C11">
            <w:pPr>
              <w:jc w:val="center"/>
              <w:rPr>
                <w:sz w:val="13"/>
                <w:szCs w:val="13"/>
              </w:rPr>
            </w:pPr>
            <w:r w:rsidRPr="00640447">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2A113577" w14:textId="77777777" w:rsidR="004A0123" w:rsidRPr="00640447" w:rsidRDefault="004A0123" w:rsidP="008A5C11">
            <w:pPr>
              <w:jc w:val="center"/>
              <w:rPr>
                <w:sz w:val="13"/>
                <w:szCs w:val="13"/>
              </w:rPr>
            </w:pPr>
            <w:r w:rsidRPr="00640447">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713CE3B4" w14:textId="77777777" w:rsidR="004A0123" w:rsidRPr="00640447" w:rsidRDefault="004A0123" w:rsidP="008A5C11">
            <w:pPr>
              <w:jc w:val="center"/>
              <w:rPr>
                <w:sz w:val="13"/>
                <w:szCs w:val="13"/>
              </w:rPr>
            </w:pPr>
            <w:r w:rsidRPr="00640447">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47F8698D" w14:textId="77777777" w:rsidR="004A0123" w:rsidRPr="00640447" w:rsidRDefault="004A0123" w:rsidP="008A5C11">
            <w:pPr>
              <w:jc w:val="center"/>
              <w:rPr>
                <w:sz w:val="13"/>
                <w:szCs w:val="13"/>
              </w:rPr>
            </w:pPr>
            <w:r w:rsidRPr="00640447">
              <w:rPr>
                <w:sz w:val="13"/>
                <w:szCs w:val="13"/>
              </w:rPr>
              <w:t>0</w:t>
            </w:r>
          </w:p>
        </w:tc>
        <w:tc>
          <w:tcPr>
            <w:tcW w:w="174" w:type="pct"/>
            <w:tcBorders>
              <w:top w:val="single" w:sz="4" w:space="0" w:color="auto"/>
              <w:left w:val="single" w:sz="4" w:space="0" w:color="auto"/>
              <w:bottom w:val="single" w:sz="4" w:space="0" w:color="auto"/>
              <w:right w:val="single" w:sz="4" w:space="0" w:color="auto"/>
            </w:tcBorders>
            <w:vAlign w:val="center"/>
          </w:tcPr>
          <w:p w14:paraId="1FF61520" w14:textId="77777777" w:rsidR="004A0123" w:rsidRPr="00640447" w:rsidRDefault="004A0123" w:rsidP="008A5C11">
            <w:pPr>
              <w:jc w:val="center"/>
              <w:rPr>
                <w:sz w:val="13"/>
                <w:szCs w:val="13"/>
              </w:rPr>
            </w:pPr>
            <w:r w:rsidRPr="00640447">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3E952A5E" w14:textId="77777777" w:rsidR="004A0123" w:rsidRPr="00640447" w:rsidRDefault="004A0123" w:rsidP="008A5C11">
            <w:pPr>
              <w:jc w:val="center"/>
              <w:rPr>
                <w:sz w:val="13"/>
                <w:szCs w:val="13"/>
              </w:rPr>
            </w:pPr>
            <w:r w:rsidRPr="00640447">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7B872565" w14:textId="77777777" w:rsidR="004A0123" w:rsidRPr="00640447" w:rsidRDefault="004A0123" w:rsidP="008A5C11">
            <w:pPr>
              <w:jc w:val="center"/>
              <w:rPr>
                <w:sz w:val="13"/>
                <w:szCs w:val="13"/>
              </w:rPr>
            </w:pPr>
            <w:r w:rsidRPr="00640447">
              <w:rPr>
                <w:sz w:val="13"/>
                <w:szCs w:val="13"/>
              </w:rPr>
              <w:t>41738</w:t>
            </w:r>
          </w:p>
        </w:tc>
        <w:tc>
          <w:tcPr>
            <w:tcW w:w="188" w:type="pct"/>
            <w:tcBorders>
              <w:top w:val="single" w:sz="4" w:space="0" w:color="auto"/>
              <w:left w:val="single" w:sz="4" w:space="0" w:color="auto"/>
              <w:bottom w:val="single" w:sz="4" w:space="0" w:color="auto"/>
              <w:right w:val="single" w:sz="4" w:space="0" w:color="auto"/>
            </w:tcBorders>
            <w:vAlign w:val="center"/>
          </w:tcPr>
          <w:p w14:paraId="0AB29E50" w14:textId="77777777" w:rsidR="004A0123" w:rsidRPr="00640447" w:rsidRDefault="004A0123" w:rsidP="008A5C11">
            <w:pPr>
              <w:jc w:val="center"/>
              <w:rPr>
                <w:sz w:val="13"/>
                <w:szCs w:val="13"/>
              </w:rPr>
            </w:pPr>
            <w:r w:rsidRPr="00640447">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0170180A" w14:textId="77777777" w:rsidR="004A0123" w:rsidRPr="00640447" w:rsidRDefault="004A0123" w:rsidP="008A5C11">
            <w:pPr>
              <w:jc w:val="center"/>
              <w:rPr>
                <w:sz w:val="13"/>
                <w:szCs w:val="13"/>
              </w:rPr>
            </w:pPr>
            <w:r w:rsidRPr="00640447">
              <w:rPr>
                <w:sz w:val="13"/>
                <w:szCs w:val="13"/>
              </w:rPr>
              <w:t>0</w:t>
            </w:r>
          </w:p>
        </w:tc>
      </w:tr>
      <w:tr w:rsidR="004A0123" w:rsidRPr="00640447" w14:paraId="2124BA22" w14:textId="77777777" w:rsidTr="008A5C11">
        <w:trPr>
          <w:trHeight w:val="204"/>
        </w:trPr>
        <w:tc>
          <w:tcPr>
            <w:tcW w:w="2664" w:type="pct"/>
            <w:gridSpan w:val="10"/>
            <w:tcBorders>
              <w:right w:val="single" w:sz="4" w:space="0" w:color="auto"/>
            </w:tcBorders>
            <w:shd w:val="clear" w:color="auto" w:fill="auto"/>
            <w:vAlign w:val="center"/>
          </w:tcPr>
          <w:p w14:paraId="57F0670A" w14:textId="77777777" w:rsidR="004A0123" w:rsidRPr="00640447" w:rsidRDefault="004A0123" w:rsidP="008A5C11">
            <w:pPr>
              <w:rPr>
                <w:sz w:val="13"/>
                <w:szCs w:val="13"/>
              </w:rPr>
            </w:pPr>
            <w:r w:rsidRPr="00640447">
              <w:rPr>
                <w:sz w:val="13"/>
                <w:szCs w:val="13"/>
              </w:rPr>
              <w:t>Всего по группе 3.</w:t>
            </w:r>
          </w:p>
        </w:tc>
        <w:tc>
          <w:tcPr>
            <w:tcW w:w="180" w:type="pct"/>
            <w:tcBorders>
              <w:top w:val="nil"/>
              <w:left w:val="nil"/>
              <w:bottom w:val="single" w:sz="4" w:space="0" w:color="auto"/>
              <w:right w:val="single" w:sz="4" w:space="0" w:color="auto"/>
            </w:tcBorders>
            <w:shd w:val="clear" w:color="auto" w:fill="auto"/>
            <w:vAlign w:val="center"/>
          </w:tcPr>
          <w:p w14:paraId="3CADCBD1" w14:textId="77777777" w:rsidR="004A0123" w:rsidRPr="00640447" w:rsidRDefault="004A0123" w:rsidP="008A5C11">
            <w:pPr>
              <w:jc w:val="center"/>
              <w:rPr>
                <w:sz w:val="13"/>
                <w:szCs w:val="13"/>
              </w:rPr>
            </w:pPr>
            <w:r w:rsidRPr="00640447">
              <w:rPr>
                <w:sz w:val="13"/>
                <w:szCs w:val="13"/>
              </w:rPr>
              <w:t>2638438</w:t>
            </w:r>
          </w:p>
        </w:tc>
        <w:tc>
          <w:tcPr>
            <w:tcW w:w="187" w:type="pct"/>
            <w:tcBorders>
              <w:top w:val="nil"/>
              <w:left w:val="nil"/>
              <w:bottom w:val="single" w:sz="4" w:space="0" w:color="auto"/>
              <w:right w:val="single" w:sz="4" w:space="0" w:color="auto"/>
            </w:tcBorders>
            <w:shd w:val="clear" w:color="auto" w:fill="auto"/>
            <w:vAlign w:val="center"/>
          </w:tcPr>
          <w:p w14:paraId="7270DAF4" w14:textId="77777777" w:rsidR="004A0123" w:rsidRPr="00640447" w:rsidRDefault="004A0123" w:rsidP="008A5C11">
            <w:pPr>
              <w:jc w:val="center"/>
              <w:rPr>
                <w:sz w:val="13"/>
                <w:szCs w:val="13"/>
              </w:rPr>
            </w:pPr>
            <w:r w:rsidRPr="00640447">
              <w:rPr>
                <w:sz w:val="13"/>
                <w:szCs w:val="13"/>
              </w:rPr>
              <w:t>0</w:t>
            </w:r>
          </w:p>
        </w:tc>
        <w:tc>
          <w:tcPr>
            <w:tcW w:w="146" w:type="pct"/>
            <w:tcBorders>
              <w:top w:val="nil"/>
              <w:left w:val="single" w:sz="4" w:space="0" w:color="auto"/>
              <w:bottom w:val="single" w:sz="4" w:space="0" w:color="auto"/>
              <w:right w:val="single" w:sz="4" w:space="0" w:color="auto"/>
            </w:tcBorders>
            <w:shd w:val="clear" w:color="auto" w:fill="auto"/>
            <w:vAlign w:val="center"/>
          </w:tcPr>
          <w:p w14:paraId="6E8CAE29" w14:textId="77777777" w:rsidR="004A0123" w:rsidRPr="00640447" w:rsidRDefault="004A0123" w:rsidP="008A5C11">
            <w:pPr>
              <w:jc w:val="center"/>
              <w:rPr>
                <w:sz w:val="13"/>
                <w:szCs w:val="13"/>
              </w:rPr>
            </w:pPr>
            <w:r w:rsidRPr="00640447">
              <w:rPr>
                <w:sz w:val="13"/>
                <w:szCs w:val="13"/>
              </w:rPr>
              <w:t>319560</w:t>
            </w:r>
          </w:p>
        </w:tc>
        <w:tc>
          <w:tcPr>
            <w:tcW w:w="149" w:type="pct"/>
            <w:tcBorders>
              <w:top w:val="nil"/>
              <w:left w:val="nil"/>
              <w:bottom w:val="single" w:sz="4" w:space="0" w:color="auto"/>
              <w:right w:val="single" w:sz="4" w:space="0" w:color="auto"/>
            </w:tcBorders>
            <w:shd w:val="clear" w:color="auto" w:fill="auto"/>
            <w:vAlign w:val="center"/>
          </w:tcPr>
          <w:p w14:paraId="26024DE9" w14:textId="77777777" w:rsidR="004A0123" w:rsidRPr="00640447" w:rsidRDefault="004A0123" w:rsidP="008A5C11">
            <w:pPr>
              <w:jc w:val="center"/>
              <w:rPr>
                <w:sz w:val="13"/>
                <w:szCs w:val="13"/>
              </w:rPr>
            </w:pPr>
            <w:r w:rsidRPr="00640447">
              <w:rPr>
                <w:sz w:val="13"/>
                <w:szCs w:val="13"/>
              </w:rPr>
              <w:t>154779</w:t>
            </w:r>
          </w:p>
        </w:tc>
        <w:tc>
          <w:tcPr>
            <w:tcW w:w="183" w:type="pct"/>
            <w:tcBorders>
              <w:top w:val="nil"/>
              <w:left w:val="nil"/>
              <w:bottom w:val="single" w:sz="4" w:space="0" w:color="auto"/>
              <w:right w:val="single" w:sz="4" w:space="0" w:color="auto"/>
            </w:tcBorders>
            <w:shd w:val="clear" w:color="auto" w:fill="auto"/>
            <w:vAlign w:val="center"/>
          </w:tcPr>
          <w:p w14:paraId="4173B697" w14:textId="77777777" w:rsidR="004A0123" w:rsidRPr="00640447" w:rsidRDefault="004A0123" w:rsidP="008A5C11">
            <w:pPr>
              <w:jc w:val="center"/>
              <w:rPr>
                <w:sz w:val="13"/>
                <w:szCs w:val="13"/>
              </w:rPr>
            </w:pPr>
            <w:r w:rsidRPr="00640447">
              <w:rPr>
                <w:sz w:val="13"/>
                <w:szCs w:val="13"/>
              </w:rPr>
              <w:t>101889</w:t>
            </w:r>
          </w:p>
        </w:tc>
        <w:tc>
          <w:tcPr>
            <w:tcW w:w="183" w:type="pct"/>
            <w:tcBorders>
              <w:top w:val="nil"/>
              <w:left w:val="nil"/>
              <w:bottom w:val="single" w:sz="4" w:space="0" w:color="auto"/>
              <w:right w:val="single" w:sz="4" w:space="0" w:color="auto"/>
            </w:tcBorders>
            <w:shd w:val="clear" w:color="auto" w:fill="auto"/>
            <w:vAlign w:val="center"/>
          </w:tcPr>
          <w:p w14:paraId="0F309B9F" w14:textId="77777777" w:rsidR="004A0123" w:rsidRPr="00640447" w:rsidRDefault="004A0123" w:rsidP="008A5C11">
            <w:pPr>
              <w:jc w:val="center"/>
              <w:rPr>
                <w:sz w:val="13"/>
                <w:szCs w:val="13"/>
              </w:rPr>
            </w:pPr>
            <w:r w:rsidRPr="00640447">
              <w:rPr>
                <w:sz w:val="13"/>
                <w:szCs w:val="13"/>
              </w:rPr>
              <w:t>52735</w:t>
            </w:r>
          </w:p>
        </w:tc>
        <w:tc>
          <w:tcPr>
            <w:tcW w:w="155" w:type="pct"/>
            <w:tcBorders>
              <w:top w:val="single" w:sz="4" w:space="0" w:color="auto"/>
              <w:left w:val="single" w:sz="4" w:space="0" w:color="auto"/>
              <w:bottom w:val="single" w:sz="4" w:space="0" w:color="auto"/>
              <w:right w:val="single" w:sz="4" w:space="0" w:color="auto"/>
            </w:tcBorders>
            <w:vAlign w:val="center"/>
          </w:tcPr>
          <w:p w14:paraId="56CED14B" w14:textId="77777777" w:rsidR="004A0123" w:rsidRPr="00640447" w:rsidRDefault="004A0123" w:rsidP="008A5C11">
            <w:pPr>
              <w:jc w:val="center"/>
              <w:rPr>
                <w:sz w:val="13"/>
                <w:szCs w:val="13"/>
              </w:rPr>
            </w:pPr>
            <w:r w:rsidRPr="00640447">
              <w:rPr>
                <w:sz w:val="13"/>
                <w:szCs w:val="13"/>
              </w:rPr>
              <w:t>96535</w:t>
            </w:r>
          </w:p>
        </w:tc>
        <w:tc>
          <w:tcPr>
            <w:tcW w:w="154" w:type="pct"/>
            <w:tcBorders>
              <w:top w:val="single" w:sz="4" w:space="0" w:color="auto"/>
              <w:left w:val="single" w:sz="4" w:space="0" w:color="auto"/>
              <w:bottom w:val="single" w:sz="4" w:space="0" w:color="auto"/>
              <w:right w:val="single" w:sz="4" w:space="0" w:color="auto"/>
            </w:tcBorders>
            <w:vAlign w:val="center"/>
          </w:tcPr>
          <w:p w14:paraId="573FFC5E" w14:textId="77777777" w:rsidR="004A0123" w:rsidRPr="00640447" w:rsidRDefault="004A0123" w:rsidP="008A5C11">
            <w:pPr>
              <w:jc w:val="center"/>
              <w:rPr>
                <w:sz w:val="13"/>
                <w:szCs w:val="13"/>
              </w:rPr>
            </w:pPr>
            <w:r w:rsidRPr="00640447">
              <w:rPr>
                <w:sz w:val="13"/>
                <w:szCs w:val="13"/>
              </w:rPr>
              <w:t>230238</w:t>
            </w:r>
          </w:p>
        </w:tc>
        <w:tc>
          <w:tcPr>
            <w:tcW w:w="153" w:type="pct"/>
            <w:tcBorders>
              <w:top w:val="single" w:sz="4" w:space="0" w:color="auto"/>
              <w:left w:val="single" w:sz="4" w:space="0" w:color="auto"/>
              <w:bottom w:val="single" w:sz="4" w:space="0" w:color="auto"/>
              <w:right w:val="single" w:sz="4" w:space="0" w:color="auto"/>
            </w:tcBorders>
            <w:vAlign w:val="center"/>
          </w:tcPr>
          <w:p w14:paraId="4CC17EFC" w14:textId="77777777" w:rsidR="004A0123" w:rsidRPr="00640447" w:rsidRDefault="004A0123" w:rsidP="008A5C11">
            <w:pPr>
              <w:jc w:val="center"/>
              <w:rPr>
                <w:sz w:val="13"/>
                <w:szCs w:val="13"/>
              </w:rPr>
            </w:pPr>
            <w:r w:rsidRPr="00640447">
              <w:rPr>
                <w:sz w:val="13"/>
                <w:szCs w:val="13"/>
              </w:rPr>
              <w:t>297808</w:t>
            </w:r>
          </w:p>
        </w:tc>
        <w:tc>
          <w:tcPr>
            <w:tcW w:w="174" w:type="pct"/>
            <w:tcBorders>
              <w:top w:val="single" w:sz="4" w:space="0" w:color="auto"/>
              <w:left w:val="single" w:sz="4" w:space="0" w:color="auto"/>
              <w:bottom w:val="single" w:sz="4" w:space="0" w:color="auto"/>
              <w:right w:val="single" w:sz="4" w:space="0" w:color="auto"/>
            </w:tcBorders>
            <w:vAlign w:val="center"/>
          </w:tcPr>
          <w:p w14:paraId="36316569" w14:textId="77777777" w:rsidR="004A0123" w:rsidRPr="00640447" w:rsidRDefault="004A0123" w:rsidP="008A5C11">
            <w:pPr>
              <w:jc w:val="center"/>
              <w:rPr>
                <w:sz w:val="13"/>
                <w:szCs w:val="13"/>
              </w:rPr>
            </w:pPr>
            <w:r w:rsidRPr="00640447">
              <w:rPr>
                <w:sz w:val="13"/>
                <w:szCs w:val="13"/>
              </w:rPr>
              <w:t>374661</w:t>
            </w:r>
          </w:p>
        </w:tc>
        <w:tc>
          <w:tcPr>
            <w:tcW w:w="156" w:type="pct"/>
            <w:tcBorders>
              <w:top w:val="single" w:sz="4" w:space="0" w:color="auto"/>
              <w:left w:val="single" w:sz="4" w:space="0" w:color="auto"/>
              <w:bottom w:val="single" w:sz="4" w:space="0" w:color="auto"/>
              <w:right w:val="single" w:sz="4" w:space="0" w:color="auto"/>
            </w:tcBorders>
            <w:vAlign w:val="center"/>
          </w:tcPr>
          <w:p w14:paraId="200C3B26" w14:textId="77777777" w:rsidR="004A0123" w:rsidRPr="00640447" w:rsidRDefault="004A0123" w:rsidP="008A5C11">
            <w:pPr>
              <w:jc w:val="center"/>
              <w:rPr>
                <w:sz w:val="13"/>
                <w:szCs w:val="13"/>
              </w:rPr>
            </w:pPr>
            <w:r w:rsidRPr="00640447">
              <w:rPr>
                <w:sz w:val="13"/>
                <w:szCs w:val="13"/>
              </w:rPr>
              <w:t>465937</w:t>
            </w:r>
          </w:p>
        </w:tc>
        <w:tc>
          <w:tcPr>
            <w:tcW w:w="146" w:type="pct"/>
            <w:tcBorders>
              <w:top w:val="single" w:sz="4" w:space="0" w:color="auto"/>
              <w:left w:val="single" w:sz="4" w:space="0" w:color="auto"/>
              <w:bottom w:val="single" w:sz="4" w:space="0" w:color="auto"/>
              <w:right w:val="single" w:sz="4" w:space="0" w:color="auto"/>
            </w:tcBorders>
            <w:vAlign w:val="center"/>
          </w:tcPr>
          <w:p w14:paraId="1045D7A8" w14:textId="77777777" w:rsidR="004A0123" w:rsidRPr="00640447" w:rsidRDefault="004A0123" w:rsidP="008A5C11">
            <w:pPr>
              <w:jc w:val="center"/>
              <w:rPr>
                <w:sz w:val="13"/>
                <w:szCs w:val="13"/>
              </w:rPr>
            </w:pPr>
            <w:r w:rsidRPr="00640447">
              <w:rPr>
                <w:sz w:val="13"/>
                <w:szCs w:val="13"/>
              </w:rPr>
              <w:t>544299</w:t>
            </w:r>
          </w:p>
        </w:tc>
        <w:tc>
          <w:tcPr>
            <w:tcW w:w="188" w:type="pct"/>
            <w:tcBorders>
              <w:top w:val="single" w:sz="4" w:space="0" w:color="auto"/>
              <w:left w:val="single" w:sz="4" w:space="0" w:color="auto"/>
              <w:bottom w:val="single" w:sz="4" w:space="0" w:color="auto"/>
              <w:right w:val="single" w:sz="4" w:space="0" w:color="auto"/>
            </w:tcBorders>
            <w:vAlign w:val="center"/>
          </w:tcPr>
          <w:p w14:paraId="626EFA02" w14:textId="77777777" w:rsidR="004A0123" w:rsidRPr="00640447" w:rsidRDefault="004A0123" w:rsidP="008A5C11">
            <w:pPr>
              <w:jc w:val="center"/>
              <w:rPr>
                <w:sz w:val="13"/>
                <w:szCs w:val="13"/>
              </w:rPr>
            </w:pPr>
          </w:p>
        </w:tc>
        <w:tc>
          <w:tcPr>
            <w:tcW w:w="182" w:type="pct"/>
            <w:tcBorders>
              <w:top w:val="single" w:sz="4" w:space="0" w:color="auto"/>
              <w:left w:val="single" w:sz="4" w:space="0" w:color="auto"/>
              <w:bottom w:val="single" w:sz="4" w:space="0" w:color="auto"/>
              <w:right w:val="single" w:sz="4" w:space="0" w:color="auto"/>
            </w:tcBorders>
            <w:vAlign w:val="center"/>
          </w:tcPr>
          <w:p w14:paraId="5679FE7C" w14:textId="77777777" w:rsidR="004A0123" w:rsidRPr="00640447" w:rsidRDefault="004A0123" w:rsidP="008A5C11">
            <w:pPr>
              <w:jc w:val="center"/>
              <w:rPr>
                <w:sz w:val="13"/>
                <w:szCs w:val="13"/>
              </w:rPr>
            </w:pPr>
          </w:p>
        </w:tc>
      </w:tr>
      <w:tr w:rsidR="004A0123" w:rsidRPr="00640447" w14:paraId="00D01E74" w14:textId="77777777" w:rsidTr="008A5C11">
        <w:trPr>
          <w:trHeight w:val="82"/>
        </w:trPr>
        <w:tc>
          <w:tcPr>
            <w:tcW w:w="5000" w:type="pct"/>
            <w:gridSpan w:val="24"/>
            <w:tcBorders>
              <w:right w:val="single" w:sz="4" w:space="0" w:color="auto"/>
            </w:tcBorders>
            <w:shd w:val="clear" w:color="auto" w:fill="auto"/>
            <w:vAlign w:val="center"/>
          </w:tcPr>
          <w:p w14:paraId="19057116" w14:textId="77777777" w:rsidR="004A0123" w:rsidRPr="00640447" w:rsidRDefault="004A0123" w:rsidP="008A5C11">
            <w:pPr>
              <w:rPr>
                <w:sz w:val="13"/>
                <w:szCs w:val="13"/>
              </w:rPr>
            </w:pPr>
            <w:r w:rsidRPr="00640447">
              <w:rPr>
                <w:bCs/>
                <w:sz w:val="13"/>
                <w:szCs w:val="13"/>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4A0123" w:rsidRPr="00640447" w14:paraId="167F4E2B" w14:textId="77777777" w:rsidTr="008A5C11">
        <w:trPr>
          <w:trHeight w:val="489"/>
        </w:trPr>
        <w:tc>
          <w:tcPr>
            <w:tcW w:w="146" w:type="pct"/>
            <w:shd w:val="clear" w:color="auto" w:fill="auto"/>
            <w:vAlign w:val="center"/>
          </w:tcPr>
          <w:p w14:paraId="4B2D0A3A" w14:textId="77777777" w:rsidR="004A0123" w:rsidRPr="00640447" w:rsidRDefault="004A0123" w:rsidP="008A5C11">
            <w:pPr>
              <w:jc w:val="center"/>
              <w:rPr>
                <w:sz w:val="13"/>
                <w:szCs w:val="13"/>
              </w:rPr>
            </w:pPr>
            <w:r w:rsidRPr="00640447">
              <w:rPr>
                <w:sz w:val="13"/>
                <w:szCs w:val="13"/>
              </w:rPr>
              <w:t>4.1.</w:t>
            </w:r>
          </w:p>
        </w:tc>
        <w:tc>
          <w:tcPr>
            <w:tcW w:w="616" w:type="pct"/>
            <w:tcBorders>
              <w:top w:val="nil"/>
              <w:left w:val="single" w:sz="4" w:space="0" w:color="auto"/>
              <w:bottom w:val="single" w:sz="4" w:space="0" w:color="auto"/>
              <w:right w:val="single" w:sz="4" w:space="0" w:color="auto"/>
            </w:tcBorders>
            <w:shd w:val="clear" w:color="auto" w:fill="auto"/>
            <w:vAlign w:val="center"/>
          </w:tcPr>
          <w:p w14:paraId="19EE34DB" w14:textId="77777777" w:rsidR="004A0123" w:rsidRPr="00640447" w:rsidRDefault="004A0123" w:rsidP="008A5C11">
            <w:pPr>
              <w:rPr>
                <w:color w:val="000000"/>
                <w:sz w:val="13"/>
                <w:szCs w:val="13"/>
              </w:rPr>
            </w:pPr>
            <w:r w:rsidRPr="00640447">
              <w:rPr>
                <w:color w:val="000000"/>
                <w:sz w:val="13"/>
                <w:szCs w:val="13"/>
              </w:rPr>
              <w:t>Проектирование и установка узлов учета тепловой энергии на котельных и ЦТП г. Ленинеск-Кузнецкий</w:t>
            </w:r>
          </w:p>
        </w:tc>
        <w:tc>
          <w:tcPr>
            <w:tcW w:w="359" w:type="pct"/>
            <w:tcBorders>
              <w:top w:val="nil"/>
              <w:left w:val="nil"/>
              <w:bottom w:val="single" w:sz="4" w:space="0" w:color="auto"/>
              <w:right w:val="single" w:sz="4" w:space="0" w:color="auto"/>
            </w:tcBorders>
            <w:shd w:val="clear" w:color="auto" w:fill="auto"/>
            <w:vAlign w:val="center"/>
          </w:tcPr>
          <w:p w14:paraId="626E7612" w14:textId="77777777" w:rsidR="004A0123" w:rsidRPr="00640447" w:rsidRDefault="004A0123" w:rsidP="008A5C11">
            <w:pPr>
              <w:jc w:val="center"/>
              <w:rPr>
                <w:color w:val="000000"/>
                <w:sz w:val="13"/>
                <w:szCs w:val="13"/>
              </w:rPr>
            </w:pPr>
            <w:r w:rsidRPr="00640447">
              <w:rPr>
                <w:color w:val="000000"/>
                <w:sz w:val="13"/>
                <w:szCs w:val="13"/>
              </w:rPr>
              <w:t xml:space="preserve">Повышение эффективности работы систем </w:t>
            </w:r>
            <w:proofErr w:type="gramStart"/>
            <w:r w:rsidRPr="00640447">
              <w:rPr>
                <w:color w:val="000000"/>
                <w:sz w:val="13"/>
                <w:szCs w:val="13"/>
              </w:rPr>
              <w:t>централизован-ного</w:t>
            </w:r>
            <w:proofErr w:type="gramEnd"/>
            <w:r w:rsidRPr="00640447">
              <w:rPr>
                <w:color w:val="000000"/>
                <w:sz w:val="13"/>
                <w:szCs w:val="13"/>
              </w:rPr>
              <w:t xml:space="preserve"> теплоснабжения</w:t>
            </w:r>
          </w:p>
        </w:tc>
        <w:tc>
          <w:tcPr>
            <w:tcW w:w="360" w:type="pct"/>
            <w:tcBorders>
              <w:top w:val="nil"/>
              <w:left w:val="nil"/>
              <w:bottom w:val="single" w:sz="4" w:space="0" w:color="auto"/>
              <w:right w:val="single" w:sz="4" w:space="0" w:color="auto"/>
            </w:tcBorders>
            <w:shd w:val="clear" w:color="auto" w:fill="auto"/>
            <w:vAlign w:val="center"/>
          </w:tcPr>
          <w:p w14:paraId="42B47970" w14:textId="77777777" w:rsidR="004A0123" w:rsidRPr="00640447" w:rsidRDefault="004A0123" w:rsidP="008A5C11">
            <w:pPr>
              <w:jc w:val="center"/>
              <w:rPr>
                <w:color w:val="000000"/>
                <w:sz w:val="13"/>
                <w:szCs w:val="13"/>
              </w:rPr>
            </w:pPr>
            <w:r w:rsidRPr="00640447">
              <w:rPr>
                <w:color w:val="000000"/>
                <w:sz w:val="13"/>
                <w:szCs w:val="13"/>
              </w:rPr>
              <w:t>г. Ленинск-Кузнецкий</w:t>
            </w:r>
          </w:p>
        </w:tc>
        <w:tc>
          <w:tcPr>
            <w:tcW w:w="338" w:type="pct"/>
            <w:tcBorders>
              <w:top w:val="nil"/>
              <w:left w:val="nil"/>
              <w:bottom w:val="single" w:sz="4" w:space="0" w:color="auto"/>
              <w:right w:val="single" w:sz="4" w:space="0" w:color="auto"/>
            </w:tcBorders>
            <w:shd w:val="clear" w:color="auto" w:fill="auto"/>
            <w:vAlign w:val="center"/>
          </w:tcPr>
          <w:p w14:paraId="20A3A2EB" w14:textId="77777777" w:rsidR="004A0123" w:rsidRPr="00640447" w:rsidRDefault="004A0123" w:rsidP="008A5C11">
            <w:pPr>
              <w:jc w:val="center"/>
              <w:rPr>
                <w:sz w:val="13"/>
                <w:szCs w:val="13"/>
              </w:rPr>
            </w:pPr>
            <w:r w:rsidRPr="00640447">
              <w:rPr>
                <w:sz w:val="13"/>
                <w:szCs w:val="13"/>
              </w:rPr>
              <w:t>Наличие</w:t>
            </w:r>
          </w:p>
        </w:tc>
        <w:tc>
          <w:tcPr>
            <w:tcW w:w="116" w:type="pct"/>
            <w:tcBorders>
              <w:top w:val="nil"/>
              <w:left w:val="nil"/>
              <w:bottom w:val="single" w:sz="4" w:space="0" w:color="auto"/>
              <w:right w:val="single" w:sz="4" w:space="0" w:color="auto"/>
            </w:tcBorders>
            <w:shd w:val="clear" w:color="auto" w:fill="auto"/>
            <w:vAlign w:val="center"/>
          </w:tcPr>
          <w:p w14:paraId="40ADD40F" w14:textId="77777777" w:rsidR="004A0123" w:rsidRPr="00640447" w:rsidRDefault="004A0123" w:rsidP="008A5C11">
            <w:pPr>
              <w:jc w:val="center"/>
              <w:rPr>
                <w:sz w:val="13"/>
                <w:szCs w:val="13"/>
              </w:rPr>
            </w:pPr>
            <w:r w:rsidRPr="00640447">
              <w:rPr>
                <w:sz w:val="13"/>
                <w:szCs w:val="13"/>
              </w:rPr>
              <w:t>ед.</w:t>
            </w:r>
          </w:p>
        </w:tc>
        <w:tc>
          <w:tcPr>
            <w:tcW w:w="182" w:type="pct"/>
            <w:tcBorders>
              <w:top w:val="nil"/>
              <w:left w:val="single" w:sz="4" w:space="0" w:color="auto"/>
              <w:bottom w:val="single" w:sz="4" w:space="0" w:color="auto"/>
              <w:right w:val="single" w:sz="4" w:space="0" w:color="auto"/>
            </w:tcBorders>
            <w:shd w:val="clear" w:color="auto" w:fill="auto"/>
            <w:vAlign w:val="center"/>
          </w:tcPr>
          <w:p w14:paraId="67AD1040" w14:textId="77777777" w:rsidR="004A0123" w:rsidRPr="00640447" w:rsidRDefault="004A0123" w:rsidP="008A5C11">
            <w:pPr>
              <w:jc w:val="center"/>
              <w:rPr>
                <w:sz w:val="13"/>
                <w:szCs w:val="13"/>
              </w:rPr>
            </w:pPr>
            <w:r w:rsidRPr="00640447">
              <w:rPr>
                <w:sz w:val="13"/>
                <w:szCs w:val="13"/>
              </w:rPr>
              <w:t>0</w:t>
            </w:r>
          </w:p>
        </w:tc>
        <w:tc>
          <w:tcPr>
            <w:tcW w:w="174" w:type="pct"/>
            <w:tcBorders>
              <w:top w:val="nil"/>
              <w:left w:val="nil"/>
              <w:bottom w:val="single" w:sz="4" w:space="0" w:color="auto"/>
              <w:right w:val="single" w:sz="4" w:space="0" w:color="auto"/>
            </w:tcBorders>
            <w:shd w:val="clear" w:color="auto" w:fill="auto"/>
            <w:vAlign w:val="center"/>
          </w:tcPr>
          <w:p w14:paraId="7555480E" w14:textId="77777777" w:rsidR="004A0123" w:rsidRPr="00640447" w:rsidRDefault="004A0123" w:rsidP="008A5C11">
            <w:pPr>
              <w:jc w:val="center"/>
              <w:rPr>
                <w:sz w:val="13"/>
                <w:szCs w:val="13"/>
              </w:rPr>
            </w:pPr>
            <w:r w:rsidRPr="00640447">
              <w:rPr>
                <w:sz w:val="13"/>
                <w:szCs w:val="13"/>
              </w:rPr>
              <w:t>24</w:t>
            </w:r>
          </w:p>
        </w:tc>
        <w:tc>
          <w:tcPr>
            <w:tcW w:w="189" w:type="pct"/>
            <w:tcBorders>
              <w:top w:val="nil"/>
              <w:left w:val="nil"/>
              <w:bottom w:val="single" w:sz="4" w:space="0" w:color="auto"/>
              <w:right w:val="single" w:sz="4" w:space="0" w:color="auto"/>
            </w:tcBorders>
            <w:shd w:val="clear" w:color="auto" w:fill="auto"/>
            <w:vAlign w:val="center"/>
          </w:tcPr>
          <w:p w14:paraId="63BA3500" w14:textId="77777777" w:rsidR="004A0123" w:rsidRPr="00640447" w:rsidRDefault="004A0123" w:rsidP="008A5C11">
            <w:pPr>
              <w:jc w:val="center"/>
              <w:rPr>
                <w:sz w:val="13"/>
                <w:szCs w:val="13"/>
              </w:rPr>
            </w:pPr>
            <w:r w:rsidRPr="00640447">
              <w:rPr>
                <w:sz w:val="13"/>
                <w:szCs w:val="13"/>
              </w:rPr>
              <w:t>2021</w:t>
            </w:r>
          </w:p>
        </w:tc>
        <w:tc>
          <w:tcPr>
            <w:tcW w:w="184" w:type="pct"/>
            <w:tcBorders>
              <w:top w:val="nil"/>
              <w:left w:val="nil"/>
              <w:bottom w:val="single" w:sz="4" w:space="0" w:color="auto"/>
              <w:right w:val="single" w:sz="4" w:space="0" w:color="auto"/>
            </w:tcBorders>
            <w:shd w:val="clear" w:color="auto" w:fill="auto"/>
            <w:vAlign w:val="center"/>
          </w:tcPr>
          <w:p w14:paraId="79901AD6" w14:textId="77777777" w:rsidR="004A0123" w:rsidRPr="00640447" w:rsidRDefault="004A0123" w:rsidP="008A5C11">
            <w:pPr>
              <w:jc w:val="center"/>
              <w:rPr>
                <w:sz w:val="13"/>
                <w:szCs w:val="13"/>
              </w:rPr>
            </w:pPr>
            <w:r w:rsidRPr="00640447">
              <w:rPr>
                <w:sz w:val="13"/>
                <w:szCs w:val="13"/>
              </w:rPr>
              <w:t>2023</w:t>
            </w:r>
          </w:p>
        </w:tc>
        <w:tc>
          <w:tcPr>
            <w:tcW w:w="180" w:type="pct"/>
            <w:tcBorders>
              <w:top w:val="nil"/>
              <w:left w:val="nil"/>
              <w:bottom w:val="single" w:sz="4" w:space="0" w:color="auto"/>
              <w:right w:val="single" w:sz="4" w:space="0" w:color="auto"/>
            </w:tcBorders>
            <w:shd w:val="clear" w:color="auto" w:fill="auto"/>
            <w:vAlign w:val="center"/>
          </w:tcPr>
          <w:p w14:paraId="28627BC7" w14:textId="77777777" w:rsidR="004A0123" w:rsidRPr="00640447" w:rsidRDefault="004A0123" w:rsidP="008A5C11">
            <w:pPr>
              <w:jc w:val="center"/>
              <w:rPr>
                <w:sz w:val="13"/>
                <w:szCs w:val="13"/>
              </w:rPr>
            </w:pPr>
            <w:r w:rsidRPr="00640447">
              <w:rPr>
                <w:sz w:val="13"/>
                <w:szCs w:val="13"/>
              </w:rPr>
              <w:t>30655</w:t>
            </w:r>
          </w:p>
        </w:tc>
        <w:tc>
          <w:tcPr>
            <w:tcW w:w="187" w:type="pct"/>
            <w:tcBorders>
              <w:top w:val="nil"/>
              <w:left w:val="nil"/>
              <w:bottom w:val="single" w:sz="4" w:space="0" w:color="auto"/>
              <w:right w:val="single" w:sz="4" w:space="0" w:color="auto"/>
            </w:tcBorders>
            <w:shd w:val="clear" w:color="auto" w:fill="auto"/>
            <w:vAlign w:val="center"/>
          </w:tcPr>
          <w:p w14:paraId="65335AD5" w14:textId="77777777" w:rsidR="004A0123" w:rsidRPr="00640447" w:rsidRDefault="004A0123" w:rsidP="008A5C11">
            <w:pPr>
              <w:jc w:val="center"/>
              <w:rPr>
                <w:sz w:val="13"/>
                <w:szCs w:val="13"/>
              </w:rPr>
            </w:pPr>
            <w:r w:rsidRPr="00640447">
              <w:rPr>
                <w:sz w:val="13"/>
                <w:szCs w:val="13"/>
              </w:rPr>
              <w:t>0</w:t>
            </w:r>
          </w:p>
        </w:tc>
        <w:tc>
          <w:tcPr>
            <w:tcW w:w="146" w:type="pct"/>
            <w:tcBorders>
              <w:top w:val="nil"/>
              <w:left w:val="single" w:sz="4" w:space="0" w:color="auto"/>
              <w:bottom w:val="single" w:sz="4" w:space="0" w:color="auto"/>
              <w:right w:val="single" w:sz="4" w:space="0" w:color="auto"/>
            </w:tcBorders>
            <w:shd w:val="clear" w:color="auto" w:fill="auto"/>
            <w:vAlign w:val="center"/>
          </w:tcPr>
          <w:p w14:paraId="7E30798A" w14:textId="77777777" w:rsidR="004A0123" w:rsidRPr="00640447" w:rsidRDefault="004A0123" w:rsidP="008A5C11">
            <w:pPr>
              <w:jc w:val="center"/>
              <w:rPr>
                <w:sz w:val="13"/>
                <w:szCs w:val="13"/>
              </w:rPr>
            </w:pPr>
            <w:r w:rsidRPr="00640447">
              <w:rPr>
                <w:sz w:val="13"/>
                <w:szCs w:val="13"/>
              </w:rPr>
              <w:t>0</w:t>
            </w:r>
          </w:p>
        </w:tc>
        <w:tc>
          <w:tcPr>
            <w:tcW w:w="149" w:type="pct"/>
            <w:tcBorders>
              <w:top w:val="nil"/>
              <w:left w:val="nil"/>
              <w:bottom w:val="single" w:sz="4" w:space="0" w:color="auto"/>
              <w:right w:val="single" w:sz="4" w:space="0" w:color="auto"/>
            </w:tcBorders>
            <w:shd w:val="clear" w:color="auto" w:fill="auto"/>
            <w:vAlign w:val="center"/>
          </w:tcPr>
          <w:p w14:paraId="24B38D02" w14:textId="77777777" w:rsidR="004A0123" w:rsidRPr="00640447" w:rsidRDefault="004A0123" w:rsidP="008A5C11">
            <w:pPr>
              <w:jc w:val="center"/>
              <w:rPr>
                <w:sz w:val="13"/>
                <w:szCs w:val="13"/>
              </w:rPr>
            </w:pPr>
            <w:r w:rsidRPr="00640447">
              <w:rPr>
                <w:sz w:val="13"/>
                <w:szCs w:val="13"/>
              </w:rPr>
              <w:t>0</w:t>
            </w:r>
          </w:p>
        </w:tc>
        <w:tc>
          <w:tcPr>
            <w:tcW w:w="183" w:type="pct"/>
            <w:tcBorders>
              <w:top w:val="nil"/>
              <w:left w:val="nil"/>
              <w:bottom w:val="single" w:sz="4" w:space="0" w:color="auto"/>
              <w:right w:val="single" w:sz="4" w:space="0" w:color="auto"/>
            </w:tcBorders>
            <w:shd w:val="clear" w:color="auto" w:fill="auto"/>
            <w:vAlign w:val="center"/>
          </w:tcPr>
          <w:p w14:paraId="17355288" w14:textId="77777777" w:rsidR="004A0123" w:rsidRPr="00640447" w:rsidRDefault="004A0123" w:rsidP="008A5C11">
            <w:pPr>
              <w:jc w:val="center"/>
              <w:rPr>
                <w:sz w:val="13"/>
                <w:szCs w:val="13"/>
              </w:rPr>
            </w:pPr>
            <w:r w:rsidRPr="00640447">
              <w:rPr>
                <w:sz w:val="13"/>
                <w:szCs w:val="13"/>
              </w:rPr>
              <w:t>7091</w:t>
            </w:r>
          </w:p>
        </w:tc>
        <w:tc>
          <w:tcPr>
            <w:tcW w:w="183" w:type="pct"/>
            <w:tcBorders>
              <w:top w:val="nil"/>
              <w:left w:val="nil"/>
              <w:bottom w:val="single" w:sz="4" w:space="0" w:color="auto"/>
              <w:right w:val="single" w:sz="4" w:space="0" w:color="auto"/>
            </w:tcBorders>
            <w:shd w:val="clear" w:color="auto" w:fill="auto"/>
            <w:vAlign w:val="center"/>
          </w:tcPr>
          <w:p w14:paraId="73ABE5D9" w14:textId="77777777" w:rsidR="004A0123" w:rsidRPr="00640447" w:rsidRDefault="004A0123" w:rsidP="008A5C11">
            <w:pPr>
              <w:jc w:val="center"/>
              <w:rPr>
                <w:sz w:val="13"/>
                <w:szCs w:val="13"/>
              </w:rPr>
            </w:pPr>
            <w:r w:rsidRPr="00640447">
              <w:rPr>
                <w:sz w:val="13"/>
                <w:szCs w:val="13"/>
              </w:rPr>
              <w:t>10103</w:t>
            </w:r>
          </w:p>
        </w:tc>
        <w:tc>
          <w:tcPr>
            <w:tcW w:w="155" w:type="pct"/>
            <w:tcBorders>
              <w:top w:val="single" w:sz="4" w:space="0" w:color="auto"/>
              <w:left w:val="single" w:sz="4" w:space="0" w:color="auto"/>
              <w:bottom w:val="single" w:sz="4" w:space="0" w:color="auto"/>
              <w:right w:val="single" w:sz="4" w:space="0" w:color="auto"/>
            </w:tcBorders>
            <w:vAlign w:val="center"/>
          </w:tcPr>
          <w:p w14:paraId="249DA9C0" w14:textId="77777777" w:rsidR="004A0123" w:rsidRPr="00640447" w:rsidRDefault="004A0123" w:rsidP="008A5C11">
            <w:pPr>
              <w:jc w:val="center"/>
              <w:rPr>
                <w:sz w:val="13"/>
                <w:szCs w:val="13"/>
              </w:rPr>
            </w:pPr>
            <w:r w:rsidRPr="00640447">
              <w:rPr>
                <w:sz w:val="13"/>
                <w:szCs w:val="13"/>
              </w:rPr>
              <w:t>13461</w:t>
            </w:r>
          </w:p>
        </w:tc>
        <w:tc>
          <w:tcPr>
            <w:tcW w:w="154" w:type="pct"/>
            <w:tcBorders>
              <w:top w:val="single" w:sz="4" w:space="0" w:color="auto"/>
              <w:left w:val="single" w:sz="4" w:space="0" w:color="auto"/>
              <w:bottom w:val="single" w:sz="4" w:space="0" w:color="auto"/>
              <w:right w:val="single" w:sz="4" w:space="0" w:color="auto"/>
            </w:tcBorders>
            <w:vAlign w:val="center"/>
          </w:tcPr>
          <w:p w14:paraId="4F85DE3A" w14:textId="77777777" w:rsidR="004A0123" w:rsidRPr="00640447" w:rsidRDefault="004A0123" w:rsidP="008A5C11">
            <w:pPr>
              <w:jc w:val="center"/>
              <w:rPr>
                <w:sz w:val="13"/>
                <w:szCs w:val="13"/>
              </w:rPr>
            </w:pPr>
            <w:r w:rsidRPr="00640447">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5DAB28BE" w14:textId="77777777" w:rsidR="004A0123" w:rsidRPr="00640447" w:rsidRDefault="004A0123" w:rsidP="008A5C11">
            <w:pPr>
              <w:jc w:val="center"/>
              <w:rPr>
                <w:sz w:val="13"/>
                <w:szCs w:val="13"/>
              </w:rPr>
            </w:pPr>
            <w:r w:rsidRPr="00640447">
              <w:rPr>
                <w:sz w:val="13"/>
                <w:szCs w:val="13"/>
              </w:rPr>
              <w:t>0</w:t>
            </w:r>
          </w:p>
        </w:tc>
        <w:tc>
          <w:tcPr>
            <w:tcW w:w="174" w:type="pct"/>
            <w:tcBorders>
              <w:top w:val="single" w:sz="4" w:space="0" w:color="auto"/>
              <w:left w:val="single" w:sz="4" w:space="0" w:color="auto"/>
              <w:bottom w:val="single" w:sz="4" w:space="0" w:color="auto"/>
              <w:right w:val="single" w:sz="4" w:space="0" w:color="auto"/>
            </w:tcBorders>
            <w:vAlign w:val="center"/>
          </w:tcPr>
          <w:p w14:paraId="0A46DA6B" w14:textId="77777777" w:rsidR="004A0123" w:rsidRPr="00640447" w:rsidRDefault="004A0123" w:rsidP="008A5C11">
            <w:pPr>
              <w:jc w:val="center"/>
              <w:rPr>
                <w:sz w:val="13"/>
                <w:szCs w:val="13"/>
              </w:rPr>
            </w:pPr>
            <w:r w:rsidRPr="00640447">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5B35E2BB" w14:textId="77777777" w:rsidR="004A0123" w:rsidRPr="00640447" w:rsidRDefault="004A0123" w:rsidP="008A5C11">
            <w:pPr>
              <w:jc w:val="center"/>
              <w:rPr>
                <w:sz w:val="13"/>
                <w:szCs w:val="13"/>
              </w:rPr>
            </w:pPr>
            <w:r w:rsidRPr="00640447">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3D48120D" w14:textId="77777777" w:rsidR="004A0123" w:rsidRPr="00640447" w:rsidRDefault="004A0123" w:rsidP="008A5C11">
            <w:pPr>
              <w:jc w:val="center"/>
              <w:rPr>
                <w:sz w:val="13"/>
                <w:szCs w:val="13"/>
              </w:rPr>
            </w:pPr>
            <w:r w:rsidRPr="00640447">
              <w:rPr>
                <w:sz w:val="13"/>
                <w:szCs w:val="13"/>
              </w:rPr>
              <w:t>0</w:t>
            </w:r>
          </w:p>
        </w:tc>
        <w:tc>
          <w:tcPr>
            <w:tcW w:w="188" w:type="pct"/>
            <w:tcBorders>
              <w:top w:val="single" w:sz="4" w:space="0" w:color="auto"/>
              <w:left w:val="single" w:sz="4" w:space="0" w:color="auto"/>
              <w:bottom w:val="single" w:sz="4" w:space="0" w:color="auto"/>
              <w:right w:val="single" w:sz="4" w:space="0" w:color="auto"/>
            </w:tcBorders>
            <w:vAlign w:val="center"/>
          </w:tcPr>
          <w:p w14:paraId="10E948B4" w14:textId="77777777" w:rsidR="004A0123" w:rsidRPr="00640447" w:rsidRDefault="004A0123" w:rsidP="008A5C11">
            <w:pPr>
              <w:jc w:val="center"/>
              <w:rPr>
                <w:sz w:val="13"/>
                <w:szCs w:val="13"/>
              </w:rPr>
            </w:pPr>
            <w:r w:rsidRPr="00640447">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6096DBE8" w14:textId="77777777" w:rsidR="004A0123" w:rsidRPr="00640447" w:rsidRDefault="004A0123" w:rsidP="008A5C11">
            <w:pPr>
              <w:jc w:val="center"/>
              <w:rPr>
                <w:sz w:val="13"/>
                <w:szCs w:val="13"/>
              </w:rPr>
            </w:pPr>
            <w:r w:rsidRPr="00640447">
              <w:rPr>
                <w:sz w:val="13"/>
                <w:szCs w:val="13"/>
              </w:rPr>
              <w:t>0</w:t>
            </w:r>
          </w:p>
        </w:tc>
      </w:tr>
      <w:tr w:rsidR="004A0123" w:rsidRPr="00640447" w14:paraId="7ED3C9CC" w14:textId="77777777" w:rsidTr="008A5C11">
        <w:trPr>
          <w:trHeight w:val="70"/>
        </w:trPr>
        <w:tc>
          <w:tcPr>
            <w:tcW w:w="146" w:type="pct"/>
            <w:shd w:val="clear" w:color="auto" w:fill="auto"/>
            <w:vAlign w:val="center"/>
          </w:tcPr>
          <w:p w14:paraId="2CE676E7" w14:textId="77777777" w:rsidR="004A0123" w:rsidRPr="00640447" w:rsidRDefault="004A0123" w:rsidP="008A5C11">
            <w:pPr>
              <w:jc w:val="center"/>
              <w:rPr>
                <w:sz w:val="13"/>
                <w:szCs w:val="13"/>
              </w:rPr>
            </w:pPr>
            <w:r w:rsidRPr="00640447">
              <w:rPr>
                <w:sz w:val="13"/>
                <w:szCs w:val="13"/>
              </w:rPr>
              <w:t>4.2.</w:t>
            </w:r>
          </w:p>
        </w:tc>
        <w:tc>
          <w:tcPr>
            <w:tcW w:w="616" w:type="pct"/>
            <w:tcBorders>
              <w:top w:val="nil"/>
              <w:left w:val="single" w:sz="4" w:space="0" w:color="auto"/>
              <w:bottom w:val="single" w:sz="4" w:space="0" w:color="auto"/>
              <w:right w:val="single" w:sz="4" w:space="0" w:color="auto"/>
            </w:tcBorders>
            <w:shd w:val="clear" w:color="auto" w:fill="auto"/>
            <w:vAlign w:val="center"/>
          </w:tcPr>
          <w:p w14:paraId="206C4700" w14:textId="77777777" w:rsidR="004A0123" w:rsidRPr="00640447" w:rsidRDefault="004A0123" w:rsidP="008A5C11">
            <w:pPr>
              <w:rPr>
                <w:color w:val="000000"/>
                <w:sz w:val="13"/>
                <w:szCs w:val="13"/>
              </w:rPr>
            </w:pPr>
            <w:r w:rsidRPr="00640447">
              <w:rPr>
                <w:color w:val="000000"/>
                <w:sz w:val="13"/>
                <w:szCs w:val="13"/>
              </w:rPr>
              <w:t>Проектирование и установка конвейерных весов на котельных г. Ленинск-Кузнецкий - 6 шт.</w:t>
            </w:r>
          </w:p>
        </w:tc>
        <w:tc>
          <w:tcPr>
            <w:tcW w:w="359" w:type="pct"/>
            <w:tcBorders>
              <w:top w:val="nil"/>
              <w:left w:val="nil"/>
              <w:bottom w:val="single" w:sz="4" w:space="0" w:color="auto"/>
              <w:right w:val="single" w:sz="4" w:space="0" w:color="auto"/>
            </w:tcBorders>
            <w:shd w:val="clear" w:color="auto" w:fill="auto"/>
            <w:vAlign w:val="center"/>
          </w:tcPr>
          <w:p w14:paraId="74EC7E9F" w14:textId="77777777" w:rsidR="004A0123" w:rsidRPr="00640447" w:rsidRDefault="004A0123" w:rsidP="008A5C11">
            <w:pPr>
              <w:jc w:val="center"/>
              <w:rPr>
                <w:color w:val="000000"/>
                <w:sz w:val="13"/>
                <w:szCs w:val="13"/>
              </w:rPr>
            </w:pPr>
            <w:r w:rsidRPr="00640447">
              <w:rPr>
                <w:color w:val="000000"/>
                <w:sz w:val="13"/>
                <w:szCs w:val="13"/>
              </w:rPr>
              <w:t xml:space="preserve">Повышение эффективности работы систем </w:t>
            </w:r>
            <w:proofErr w:type="gramStart"/>
            <w:r w:rsidRPr="00640447">
              <w:rPr>
                <w:color w:val="000000"/>
                <w:sz w:val="13"/>
                <w:szCs w:val="13"/>
              </w:rPr>
              <w:t>централизован-ного</w:t>
            </w:r>
            <w:proofErr w:type="gramEnd"/>
            <w:r w:rsidRPr="00640447">
              <w:rPr>
                <w:color w:val="000000"/>
                <w:sz w:val="13"/>
                <w:szCs w:val="13"/>
              </w:rPr>
              <w:t xml:space="preserve"> теплоснабжения</w:t>
            </w:r>
          </w:p>
        </w:tc>
        <w:tc>
          <w:tcPr>
            <w:tcW w:w="360" w:type="pct"/>
            <w:tcBorders>
              <w:top w:val="nil"/>
              <w:left w:val="nil"/>
              <w:bottom w:val="single" w:sz="4" w:space="0" w:color="auto"/>
              <w:right w:val="single" w:sz="4" w:space="0" w:color="auto"/>
            </w:tcBorders>
            <w:shd w:val="clear" w:color="auto" w:fill="auto"/>
            <w:vAlign w:val="center"/>
          </w:tcPr>
          <w:p w14:paraId="2FC29FBC" w14:textId="77777777" w:rsidR="004A0123" w:rsidRPr="00640447" w:rsidRDefault="004A0123" w:rsidP="008A5C11">
            <w:pPr>
              <w:jc w:val="center"/>
              <w:rPr>
                <w:color w:val="000000"/>
                <w:sz w:val="13"/>
                <w:szCs w:val="13"/>
              </w:rPr>
            </w:pPr>
            <w:r w:rsidRPr="00640447">
              <w:rPr>
                <w:color w:val="000000"/>
                <w:sz w:val="13"/>
                <w:szCs w:val="13"/>
              </w:rPr>
              <w:t>г. Ленинск-Кузнецкий</w:t>
            </w:r>
          </w:p>
        </w:tc>
        <w:tc>
          <w:tcPr>
            <w:tcW w:w="338" w:type="pct"/>
            <w:tcBorders>
              <w:top w:val="nil"/>
              <w:left w:val="nil"/>
              <w:bottom w:val="single" w:sz="4" w:space="0" w:color="auto"/>
              <w:right w:val="single" w:sz="4" w:space="0" w:color="auto"/>
            </w:tcBorders>
            <w:shd w:val="clear" w:color="auto" w:fill="auto"/>
            <w:vAlign w:val="center"/>
          </w:tcPr>
          <w:p w14:paraId="5876C071" w14:textId="77777777" w:rsidR="004A0123" w:rsidRPr="00640447" w:rsidRDefault="004A0123" w:rsidP="008A5C11">
            <w:pPr>
              <w:jc w:val="center"/>
              <w:rPr>
                <w:sz w:val="13"/>
                <w:szCs w:val="13"/>
              </w:rPr>
            </w:pPr>
            <w:r w:rsidRPr="00640447">
              <w:rPr>
                <w:sz w:val="13"/>
                <w:szCs w:val="13"/>
              </w:rPr>
              <w:t>Наличие</w:t>
            </w:r>
          </w:p>
        </w:tc>
        <w:tc>
          <w:tcPr>
            <w:tcW w:w="116" w:type="pct"/>
            <w:tcBorders>
              <w:top w:val="nil"/>
              <w:left w:val="nil"/>
              <w:bottom w:val="single" w:sz="4" w:space="0" w:color="auto"/>
              <w:right w:val="single" w:sz="4" w:space="0" w:color="auto"/>
            </w:tcBorders>
            <w:shd w:val="clear" w:color="auto" w:fill="auto"/>
            <w:vAlign w:val="center"/>
          </w:tcPr>
          <w:p w14:paraId="5EC1A463" w14:textId="77777777" w:rsidR="004A0123" w:rsidRPr="00640447" w:rsidRDefault="004A0123" w:rsidP="008A5C11">
            <w:pPr>
              <w:jc w:val="center"/>
              <w:rPr>
                <w:sz w:val="13"/>
                <w:szCs w:val="13"/>
              </w:rPr>
            </w:pPr>
            <w:r w:rsidRPr="00640447">
              <w:rPr>
                <w:sz w:val="13"/>
                <w:szCs w:val="13"/>
              </w:rPr>
              <w:t>ед.</w:t>
            </w:r>
          </w:p>
        </w:tc>
        <w:tc>
          <w:tcPr>
            <w:tcW w:w="182" w:type="pct"/>
            <w:tcBorders>
              <w:top w:val="nil"/>
              <w:left w:val="single" w:sz="4" w:space="0" w:color="auto"/>
              <w:bottom w:val="single" w:sz="4" w:space="0" w:color="auto"/>
              <w:right w:val="single" w:sz="4" w:space="0" w:color="auto"/>
            </w:tcBorders>
            <w:shd w:val="clear" w:color="auto" w:fill="auto"/>
            <w:vAlign w:val="center"/>
          </w:tcPr>
          <w:p w14:paraId="45CC550A" w14:textId="77777777" w:rsidR="004A0123" w:rsidRPr="00640447" w:rsidRDefault="004A0123" w:rsidP="008A5C11">
            <w:pPr>
              <w:jc w:val="center"/>
              <w:rPr>
                <w:sz w:val="13"/>
                <w:szCs w:val="13"/>
              </w:rPr>
            </w:pPr>
            <w:r w:rsidRPr="00640447">
              <w:rPr>
                <w:sz w:val="13"/>
                <w:szCs w:val="13"/>
              </w:rPr>
              <w:t>0</w:t>
            </w:r>
          </w:p>
        </w:tc>
        <w:tc>
          <w:tcPr>
            <w:tcW w:w="174" w:type="pct"/>
            <w:tcBorders>
              <w:top w:val="nil"/>
              <w:left w:val="nil"/>
              <w:bottom w:val="single" w:sz="4" w:space="0" w:color="auto"/>
              <w:right w:val="single" w:sz="4" w:space="0" w:color="auto"/>
            </w:tcBorders>
            <w:shd w:val="clear" w:color="auto" w:fill="auto"/>
            <w:vAlign w:val="center"/>
          </w:tcPr>
          <w:p w14:paraId="4AE729C3" w14:textId="77777777" w:rsidR="004A0123" w:rsidRPr="00640447" w:rsidRDefault="004A0123" w:rsidP="008A5C11">
            <w:pPr>
              <w:jc w:val="center"/>
              <w:rPr>
                <w:sz w:val="13"/>
                <w:szCs w:val="13"/>
              </w:rPr>
            </w:pPr>
            <w:r w:rsidRPr="00640447">
              <w:rPr>
                <w:sz w:val="13"/>
                <w:szCs w:val="13"/>
              </w:rPr>
              <w:t>6</w:t>
            </w:r>
          </w:p>
        </w:tc>
        <w:tc>
          <w:tcPr>
            <w:tcW w:w="189" w:type="pct"/>
            <w:tcBorders>
              <w:top w:val="nil"/>
              <w:left w:val="nil"/>
              <w:bottom w:val="single" w:sz="4" w:space="0" w:color="auto"/>
              <w:right w:val="single" w:sz="4" w:space="0" w:color="auto"/>
            </w:tcBorders>
            <w:shd w:val="clear" w:color="auto" w:fill="auto"/>
            <w:vAlign w:val="center"/>
          </w:tcPr>
          <w:p w14:paraId="213A0279" w14:textId="77777777" w:rsidR="004A0123" w:rsidRPr="00640447" w:rsidRDefault="004A0123" w:rsidP="008A5C11">
            <w:pPr>
              <w:jc w:val="center"/>
              <w:rPr>
                <w:sz w:val="13"/>
                <w:szCs w:val="13"/>
              </w:rPr>
            </w:pPr>
            <w:r w:rsidRPr="00640447">
              <w:rPr>
                <w:sz w:val="13"/>
                <w:szCs w:val="13"/>
              </w:rPr>
              <w:t>2021</w:t>
            </w:r>
          </w:p>
        </w:tc>
        <w:tc>
          <w:tcPr>
            <w:tcW w:w="184" w:type="pct"/>
            <w:tcBorders>
              <w:top w:val="nil"/>
              <w:left w:val="nil"/>
              <w:bottom w:val="single" w:sz="4" w:space="0" w:color="auto"/>
              <w:right w:val="single" w:sz="4" w:space="0" w:color="auto"/>
            </w:tcBorders>
            <w:shd w:val="clear" w:color="auto" w:fill="auto"/>
            <w:vAlign w:val="center"/>
          </w:tcPr>
          <w:p w14:paraId="497D8D42" w14:textId="77777777" w:rsidR="004A0123" w:rsidRPr="00640447" w:rsidRDefault="004A0123" w:rsidP="008A5C11">
            <w:pPr>
              <w:jc w:val="center"/>
              <w:rPr>
                <w:sz w:val="13"/>
                <w:szCs w:val="13"/>
              </w:rPr>
            </w:pPr>
            <w:r w:rsidRPr="00640447">
              <w:rPr>
                <w:sz w:val="13"/>
                <w:szCs w:val="13"/>
              </w:rPr>
              <w:t>2021</w:t>
            </w:r>
          </w:p>
        </w:tc>
        <w:tc>
          <w:tcPr>
            <w:tcW w:w="180" w:type="pct"/>
            <w:tcBorders>
              <w:top w:val="nil"/>
              <w:left w:val="nil"/>
              <w:bottom w:val="single" w:sz="4" w:space="0" w:color="auto"/>
              <w:right w:val="single" w:sz="4" w:space="0" w:color="auto"/>
            </w:tcBorders>
            <w:shd w:val="clear" w:color="auto" w:fill="auto"/>
            <w:vAlign w:val="center"/>
          </w:tcPr>
          <w:p w14:paraId="70A10ABE" w14:textId="77777777" w:rsidR="004A0123" w:rsidRPr="00640447" w:rsidRDefault="004A0123" w:rsidP="008A5C11">
            <w:pPr>
              <w:jc w:val="center"/>
              <w:rPr>
                <w:sz w:val="13"/>
                <w:szCs w:val="13"/>
              </w:rPr>
            </w:pPr>
            <w:r w:rsidRPr="00640447">
              <w:rPr>
                <w:sz w:val="13"/>
                <w:szCs w:val="13"/>
              </w:rPr>
              <w:t>4635</w:t>
            </w:r>
          </w:p>
        </w:tc>
        <w:tc>
          <w:tcPr>
            <w:tcW w:w="187" w:type="pct"/>
            <w:tcBorders>
              <w:top w:val="nil"/>
              <w:left w:val="nil"/>
              <w:bottom w:val="single" w:sz="4" w:space="0" w:color="auto"/>
              <w:right w:val="single" w:sz="4" w:space="0" w:color="auto"/>
            </w:tcBorders>
            <w:shd w:val="clear" w:color="auto" w:fill="auto"/>
            <w:vAlign w:val="center"/>
          </w:tcPr>
          <w:p w14:paraId="6D261F32" w14:textId="77777777" w:rsidR="004A0123" w:rsidRPr="00640447" w:rsidRDefault="004A0123" w:rsidP="008A5C11">
            <w:pPr>
              <w:jc w:val="center"/>
              <w:rPr>
                <w:sz w:val="13"/>
                <w:szCs w:val="13"/>
              </w:rPr>
            </w:pPr>
            <w:r w:rsidRPr="00640447">
              <w:rPr>
                <w:sz w:val="13"/>
                <w:szCs w:val="13"/>
              </w:rPr>
              <w:t>0</w:t>
            </w:r>
          </w:p>
        </w:tc>
        <w:tc>
          <w:tcPr>
            <w:tcW w:w="146" w:type="pct"/>
            <w:tcBorders>
              <w:top w:val="nil"/>
              <w:left w:val="single" w:sz="4" w:space="0" w:color="auto"/>
              <w:bottom w:val="single" w:sz="4" w:space="0" w:color="auto"/>
              <w:right w:val="single" w:sz="4" w:space="0" w:color="auto"/>
            </w:tcBorders>
            <w:shd w:val="clear" w:color="auto" w:fill="auto"/>
            <w:vAlign w:val="center"/>
          </w:tcPr>
          <w:p w14:paraId="6A87AAE3" w14:textId="77777777" w:rsidR="004A0123" w:rsidRPr="00640447" w:rsidRDefault="004A0123" w:rsidP="008A5C11">
            <w:pPr>
              <w:jc w:val="center"/>
              <w:rPr>
                <w:sz w:val="13"/>
                <w:szCs w:val="13"/>
              </w:rPr>
            </w:pPr>
            <w:r w:rsidRPr="00640447">
              <w:rPr>
                <w:sz w:val="13"/>
                <w:szCs w:val="13"/>
              </w:rPr>
              <w:t>0</w:t>
            </w:r>
          </w:p>
        </w:tc>
        <w:tc>
          <w:tcPr>
            <w:tcW w:w="149" w:type="pct"/>
            <w:tcBorders>
              <w:top w:val="nil"/>
              <w:left w:val="nil"/>
              <w:bottom w:val="single" w:sz="4" w:space="0" w:color="auto"/>
              <w:right w:val="single" w:sz="4" w:space="0" w:color="auto"/>
            </w:tcBorders>
            <w:shd w:val="clear" w:color="auto" w:fill="auto"/>
            <w:vAlign w:val="center"/>
          </w:tcPr>
          <w:p w14:paraId="71B3ABB1" w14:textId="77777777" w:rsidR="004A0123" w:rsidRPr="00640447" w:rsidRDefault="004A0123" w:rsidP="008A5C11">
            <w:pPr>
              <w:jc w:val="center"/>
              <w:rPr>
                <w:sz w:val="13"/>
                <w:szCs w:val="13"/>
              </w:rPr>
            </w:pPr>
            <w:r w:rsidRPr="00640447">
              <w:rPr>
                <w:sz w:val="13"/>
                <w:szCs w:val="13"/>
              </w:rPr>
              <w:t>0</w:t>
            </w:r>
          </w:p>
        </w:tc>
        <w:tc>
          <w:tcPr>
            <w:tcW w:w="183" w:type="pct"/>
            <w:tcBorders>
              <w:top w:val="nil"/>
              <w:left w:val="nil"/>
              <w:bottom w:val="single" w:sz="4" w:space="0" w:color="auto"/>
              <w:right w:val="single" w:sz="4" w:space="0" w:color="auto"/>
            </w:tcBorders>
            <w:shd w:val="clear" w:color="auto" w:fill="auto"/>
            <w:vAlign w:val="center"/>
          </w:tcPr>
          <w:p w14:paraId="14CE8E5A" w14:textId="77777777" w:rsidR="004A0123" w:rsidRPr="00640447" w:rsidRDefault="004A0123" w:rsidP="008A5C11">
            <w:pPr>
              <w:jc w:val="center"/>
              <w:rPr>
                <w:sz w:val="13"/>
                <w:szCs w:val="13"/>
              </w:rPr>
            </w:pPr>
            <w:r w:rsidRPr="00640447">
              <w:rPr>
                <w:sz w:val="13"/>
                <w:szCs w:val="13"/>
              </w:rPr>
              <w:t>4635</w:t>
            </w:r>
          </w:p>
        </w:tc>
        <w:tc>
          <w:tcPr>
            <w:tcW w:w="183" w:type="pct"/>
            <w:tcBorders>
              <w:top w:val="nil"/>
              <w:left w:val="nil"/>
              <w:bottom w:val="single" w:sz="4" w:space="0" w:color="auto"/>
              <w:right w:val="single" w:sz="4" w:space="0" w:color="auto"/>
            </w:tcBorders>
            <w:shd w:val="clear" w:color="auto" w:fill="auto"/>
            <w:vAlign w:val="center"/>
          </w:tcPr>
          <w:p w14:paraId="5337DFA5" w14:textId="77777777" w:rsidR="004A0123" w:rsidRPr="00640447" w:rsidRDefault="004A0123" w:rsidP="008A5C11">
            <w:pPr>
              <w:jc w:val="center"/>
              <w:rPr>
                <w:sz w:val="13"/>
                <w:szCs w:val="13"/>
              </w:rPr>
            </w:pPr>
            <w:r w:rsidRPr="00640447">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218BABB0" w14:textId="77777777" w:rsidR="004A0123" w:rsidRPr="00640447" w:rsidRDefault="004A0123" w:rsidP="008A5C11">
            <w:pPr>
              <w:jc w:val="center"/>
              <w:rPr>
                <w:sz w:val="13"/>
                <w:szCs w:val="13"/>
              </w:rPr>
            </w:pPr>
            <w:r w:rsidRPr="00640447">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06464440" w14:textId="77777777" w:rsidR="004A0123" w:rsidRPr="00640447" w:rsidRDefault="004A0123" w:rsidP="008A5C11">
            <w:pPr>
              <w:jc w:val="center"/>
              <w:rPr>
                <w:sz w:val="13"/>
                <w:szCs w:val="13"/>
              </w:rPr>
            </w:pPr>
            <w:r w:rsidRPr="00640447">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50B4FF66" w14:textId="77777777" w:rsidR="004A0123" w:rsidRPr="00640447" w:rsidRDefault="004A0123" w:rsidP="008A5C11">
            <w:pPr>
              <w:jc w:val="center"/>
              <w:rPr>
                <w:sz w:val="13"/>
                <w:szCs w:val="13"/>
              </w:rPr>
            </w:pPr>
            <w:r w:rsidRPr="00640447">
              <w:rPr>
                <w:sz w:val="13"/>
                <w:szCs w:val="13"/>
              </w:rPr>
              <w:t>0</w:t>
            </w:r>
          </w:p>
        </w:tc>
        <w:tc>
          <w:tcPr>
            <w:tcW w:w="174" w:type="pct"/>
            <w:tcBorders>
              <w:top w:val="single" w:sz="4" w:space="0" w:color="auto"/>
              <w:left w:val="single" w:sz="4" w:space="0" w:color="auto"/>
              <w:bottom w:val="single" w:sz="4" w:space="0" w:color="auto"/>
              <w:right w:val="single" w:sz="4" w:space="0" w:color="auto"/>
            </w:tcBorders>
            <w:vAlign w:val="center"/>
          </w:tcPr>
          <w:p w14:paraId="4AB6D614" w14:textId="77777777" w:rsidR="004A0123" w:rsidRPr="00640447" w:rsidRDefault="004A0123" w:rsidP="008A5C11">
            <w:pPr>
              <w:jc w:val="center"/>
              <w:rPr>
                <w:sz w:val="13"/>
                <w:szCs w:val="13"/>
              </w:rPr>
            </w:pPr>
            <w:r w:rsidRPr="00640447">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633F97ED" w14:textId="77777777" w:rsidR="004A0123" w:rsidRPr="00640447" w:rsidRDefault="004A0123" w:rsidP="008A5C11">
            <w:pPr>
              <w:jc w:val="center"/>
              <w:rPr>
                <w:sz w:val="13"/>
                <w:szCs w:val="13"/>
              </w:rPr>
            </w:pPr>
            <w:r w:rsidRPr="00640447">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19B4570F" w14:textId="77777777" w:rsidR="004A0123" w:rsidRPr="00640447" w:rsidRDefault="004A0123" w:rsidP="008A5C11">
            <w:pPr>
              <w:jc w:val="center"/>
              <w:rPr>
                <w:sz w:val="13"/>
                <w:szCs w:val="13"/>
              </w:rPr>
            </w:pPr>
            <w:r w:rsidRPr="00640447">
              <w:rPr>
                <w:sz w:val="13"/>
                <w:szCs w:val="13"/>
              </w:rPr>
              <w:t>0</w:t>
            </w:r>
          </w:p>
        </w:tc>
        <w:tc>
          <w:tcPr>
            <w:tcW w:w="188" w:type="pct"/>
            <w:tcBorders>
              <w:top w:val="single" w:sz="4" w:space="0" w:color="auto"/>
              <w:left w:val="single" w:sz="4" w:space="0" w:color="auto"/>
              <w:bottom w:val="single" w:sz="4" w:space="0" w:color="auto"/>
              <w:right w:val="single" w:sz="4" w:space="0" w:color="auto"/>
            </w:tcBorders>
            <w:vAlign w:val="center"/>
          </w:tcPr>
          <w:p w14:paraId="367CACDF" w14:textId="77777777" w:rsidR="004A0123" w:rsidRPr="00640447" w:rsidRDefault="004A0123" w:rsidP="008A5C11">
            <w:pPr>
              <w:jc w:val="center"/>
              <w:rPr>
                <w:sz w:val="13"/>
                <w:szCs w:val="13"/>
              </w:rPr>
            </w:pPr>
            <w:r w:rsidRPr="00640447">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6800B95B" w14:textId="77777777" w:rsidR="004A0123" w:rsidRPr="00640447" w:rsidRDefault="004A0123" w:rsidP="008A5C11">
            <w:pPr>
              <w:jc w:val="center"/>
              <w:rPr>
                <w:sz w:val="13"/>
                <w:szCs w:val="13"/>
              </w:rPr>
            </w:pPr>
            <w:r w:rsidRPr="00640447">
              <w:rPr>
                <w:sz w:val="13"/>
                <w:szCs w:val="13"/>
              </w:rPr>
              <w:t>0</w:t>
            </w:r>
          </w:p>
        </w:tc>
      </w:tr>
      <w:tr w:rsidR="004A0123" w:rsidRPr="00640447" w14:paraId="499D73E6" w14:textId="77777777" w:rsidTr="008A5C11">
        <w:trPr>
          <w:trHeight w:val="489"/>
        </w:trPr>
        <w:tc>
          <w:tcPr>
            <w:tcW w:w="146" w:type="pct"/>
            <w:shd w:val="clear" w:color="auto" w:fill="auto"/>
            <w:vAlign w:val="center"/>
          </w:tcPr>
          <w:p w14:paraId="1DF18CF9" w14:textId="77777777" w:rsidR="004A0123" w:rsidRPr="00640447" w:rsidRDefault="004A0123" w:rsidP="008A5C11">
            <w:pPr>
              <w:jc w:val="center"/>
              <w:rPr>
                <w:sz w:val="13"/>
                <w:szCs w:val="13"/>
              </w:rPr>
            </w:pPr>
            <w:r w:rsidRPr="00640447">
              <w:rPr>
                <w:sz w:val="13"/>
                <w:szCs w:val="13"/>
              </w:rPr>
              <w:t>4.3.</w:t>
            </w:r>
          </w:p>
        </w:tc>
        <w:tc>
          <w:tcPr>
            <w:tcW w:w="616" w:type="pct"/>
            <w:tcBorders>
              <w:top w:val="nil"/>
              <w:left w:val="single" w:sz="4" w:space="0" w:color="auto"/>
              <w:bottom w:val="single" w:sz="4" w:space="0" w:color="auto"/>
              <w:right w:val="single" w:sz="4" w:space="0" w:color="auto"/>
            </w:tcBorders>
            <w:shd w:val="clear" w:color="auto" w:fill="auto"/>
            <w:vAlign w:val="center"/>
          </w:tcPr>
          <w:p w14:paraId="56B9FBA8" w14:textId="77777777" w:rsidR="004A0123" w:rsidRPr="00640447" w:rsidRDefault="004A0123" w:rsidP="008A5C11">
            <w:pPr>
              <w:rPr>
                <w:color w:val="000000"/>
                <w:sz w:val="13"/>
                <w:szCs w:val="13"/>
              </w:rPr>
            </w:pPr>
            <w:r w:rsidRPr="00640447">
              <w:rPr>
                <w:color w:val="000000"/>
                <w:sz w:val="13"/>
                <w:szCs w:val="13"/>
              </w:rPr>
              <w:t xml:space="preserve">Мероприятия, направленные на обеспечение требований промышленной безопасности </w:t>
            </w:r>
            <w:proofErr w:type="gramStart"/>
            <w:r w:rsidRPr="00640447">
              <w:rPr>
                <w:color w:val="000000"/>
                <w:sz w:val="13"/>
                <w:szCs w:val="13"/>
              </w:rPr>
              <w:t>при  эксплуатации</w:t>
            </w:r>
            <w:proofErr w:type="gramEnd"/>
            <w:r w:rsidRPr="00640447">
              <w:rPr>
                <w:color w:val="000000"/>
                <w:sz w:val="13"/>
                <w:szCs w:val="13"/>
              </w:rPr>
              <w:t xml:space="preserve"> опасных производственных объектов </w:t>
            </w:r>
          </w:p>
          <w:p w14:paraId="37F835A5" w14:textId="77777777" w:rsidR="004A0123" w:rsidRPr="00640447" w:rsidRDefault="004A0123" w:rsidP="008A5C11">
            <w:pPr>
              <w:rPr>
                <w:color w:val="000000"/>
                <w:sz w:val="13"/>
                <w:szCs w:val="13"/>
              </w:rPr>
            </w:pPr>
            <w:r w:rsidRPr="00640447">
              <w:rPr>
                <w:color w:val="000000"/>
                <w:sz w:val="13"/>
                <w:szCs w:val="13"/>
              </w:rPr>
              <w:t>(устройство ограждений, систем видеонаблюдения котельных КСК, Энергетик, Привокзальная, Центральная, ш. им. 7-е Ноября)</w:t>
            </w:r>
          </w:p>
        </w:tc>
        <w:tc>
          <w:tcPr>
            <w:tcW w:w="359" w:type="pct"/>
            <w:tcBorders>
              <w:top w:val="nil"/>
              <w:left w:val="nil"/>
              <w:bottom w:val="single" w:sz="4" w:space="0" w:color="auto"/>
              <w:right w:val="single" w:sz="4" w:space="0" w:color="auto"/>
            </w:tcBorders>
            <w:shd w:val="clear" w:color="auto" w:fill="auto"/>
            <w:vAlign w:val="center"/>
          </w:tcPr>
          <w:p w14:paraId="482EDE12" w14:textId="77777777" w:rsidR="004A0123" w:rsidRPr="00640447" w:rsidRDefault="004A0123" w:rsidP="008A5C11">
            <w:pPr>
              <w:jc w:val="center"/>
              <w:rPr>
                <w:color w:val="000000"/>
                <w:sz w:val="13"/>
                <w:szCs w:val="13"/>
              </w:rPr>
            </w:pPr>
            <w:r w:rsidRPr="00640447">
              <w:rPr>
                <w:color w:val="000000"/>
                <w:sz w:val="13"/>
                <w:szCs w:val="13"/>
              </w:rPr>
              <w:t xml:space="preserve">Повышение эффективности работы систем </w:t>
            </w:r>
            <w:proofErr w:type="gramStart"/>
            <w:r w:rsidRPr="00640447">
              <w:rPr>
                <w:color w:val="000000"/>
                <w:sz w:val="13"/>
                <w:szCs w:val="13"/>
              </w:rPr>
              <w:t>централизован-ного</w:t>
            </w:r>
            <w:proofErr w:type="gramEnd"/>
            <w:r w:rsidRPr="00640447">
              <w:rPr>
                <w:color w:val="000000"/>
                <w:sz w:val="13"/>
                <w:szCs w:val="13"/>
              </w:rPr>
              <w:t xml:space="preserve"> теплоснабжения</w:t>
            </w:r>
          </w:p>
        </w:tc>
        <w:tc>
          <w:tcPr>
            <w:tcW w:w="360" w:type="pct"/>
            <w:tcBorders>
              <w:top w:val="nil"/>
              <w:left w:val="nil"/>
              <w:bottom w:val="single" w:sz="4" w:space="0" w:color="auto"/>
              <w:right w:val="single" w:sz="4" w:space="0" w:color="auto"/>
            </w:tcBorders>
            <w:shd w:val="clear" w:color="auto" w:fill="auto"/>
            <w:vAlign w:val="center"/>
          </w:tcPr>
          <w:p w14:paraId="490A3E4B" w14:textId="77777777" w:rsidR="004A0123" w:rsidRPr="00640447" w:rsidRDefault="004A0123" w:rsidP="008A5C11">
            <w:pPr>
              <w:jc w:val="center"/>
              <w:rPr>
                <w:color w:val="000000"/>
                <w:sz w:val="13"/>
                <w:szCs w:val="13"/>
              </w:rPr>
            </w:pPr>
            <w:r w:rsidRPr="00640447">
              <w:rPr>
                <w:color w:val="000000"/>
                <w:sz w:val="13"/>
                <w:szCs w:val="13"/>
              </w:rPr>
              <w:t>г. Ленинск-Кузнецкий</w:t>
            </w:r>
          </w:p>
        </w:tc>
        <w:tc>
          <w:tcPr>
            <w:tcW w:w="338" w:type="pct"/>
            <w:tcBorders>
              <w:top w:val="nil"/>
              <w:left w:val="nil"/>
              <w:bottom w:val="single" w:sz="4" w:space="0" w:color="auto"/>
              <w:right w:val="single" w:sz="4" w:space="0" w:color="auto"/>
            </w:tcBorders>
            <w:shd w:val="clear" w:color="auto" w:fill="auto"/>
            <w:vAlign w:val="center"/>
          </w:tcPr>
          <w:p w14:paraId="29049059" w14:textId="77777777" w:rsidR="004A0123" w:rsidRPr="00640447" w:rsidRDefault="004A0123" w:rsidP="008A5C11">
            <w:pPr>
              <w:jc w:val="center"/>
              <w:rPr>
                <w:sz w:val="13"/>
                <w:szCs w:val="13"/>
              </w:rPr>
            </w:pPr>
            <w:r w:rsidRPr="00640447">
              <w:rPr>
                <w:sz w:val="13"/>
                <w:szCs w:val="13"/>
              </w:rPr>
              <w:t>Наличие</w:t>
            </w:r>
          </w:p>
        </w:tc>
        <w:tc>
          <w:tcPr>
            <w:tcW w:w="116" w:type="pct"/>
            <w:tcBorders>
              <w:top w:val="nil"/>
              <w:left w:val="nil"/>
              <w:bottom w:val="single" w:sz="4" w:space="0" w:color="auto"/>
              <w:right w:val="single" w:sz="4" w:space="0" w:color="auto"/>
            </w:tcBorders>
            <w:shd w:val="clear" w:color="auto" w:fill="auto"/>
            <w:vAlign w:val="center"/>
          </w:tcPr>
          <w:p w14:paraId="2F227CA7" w14:textId="77777777" w:rsidR="004A0123" w:rsidRPr="00640447" w:rsidRDefault="004A0123" w:rsidP="008A5C11">
            <w:pPr>
              <w:jc w:val="center"/>
              <w:rPr>
                <w:sz w:val="13"/>
                <w:szCs w:val="13"/>
              </w:rPr>
            </w:pPr>
            <w:r w:rsidRPr="00640447">
              <w:rPr>
                <w:sz w:val="13"/>
                <w:szCs w:val="13"/>
              </w:rPr>
              <w:t>ед.</w:t>
            </w:r>
          </w:p>
        </w:tc>
        <w:tc>
          <w:tcPr>
            <w:tcW w:w="182" w:type="pct"/>
            <w:tcBorders>
              <w:top w:val="nil"/>
              <w:left w:val="single" w:sz="4" w:space="0" w:color="auto"/>
              <w:bottom w:val="single" w:sz="4" w:space="0" w:color="auto"/>
              <w:right w:val="single" w:sz="4" w:space="0" w:color="auto"/>
            </w:tcBorders>
            <w:shd w:val="clear" w:color="auto" w:fill="auto"/>
            <w:vAlign w:val="center"/>
          </w:tcPr>
          <w:p w14:paraId="5914CFBC" w14:textId="77777777" w:rsidR="004A0123" w:rsidRPr="00640447" w:rsidRDefault="004A0123" w:rsidP="008A5C11">
            <w:pPr>
              <w:jc w:val="center"/>
              <w:rPr>
                <w:sz w:val="13"/>
                <w:szCs w:val="13"/>
              </w:rPr>
            </w:pPr>
            <w:r w:rsidRPr="00640447">
              <w:rPr>
                <w:sz w:val="13"/>
                <w:szCs w:val="13"/>
              </w:rPr>
              <w:t>0</w:t>
            </w:r>
          </w:p>
        </w:tc>
        <w:tc>
          <w:tcPr>
            <w:tcW w:w="174" w:type="pct"/>
            <w:tcBorders>
              <w:top w:val="nil"/>
              <w:left w:val="nil"/>
              <w:bottom w:val="single" w:sz="4" w:space="0" w:color="auto"/>
              <w:right w:val="single" w:sz="4" w:space="0" w:color="auto"/>
            </w:tcBorders>
            <w:shd w:val="clear" w:color="auto" w:fill="auto"/>
            <w:vAlign w:val="center"/>
          </w:tcPr>
          <w:p w14:paraId="0E723A90" w14:textId="77777777" w:rsidR="004A0123" w:rsidRPr="00640447" w:rsidRDefault="004A0123" w:rsidP="008A5C11">
            <w:pPr>
              <w:jc w:val="center"/>
              <w:rPr>
                <w:sz w:val="13"/>
                <w:szCs w:val="13"/>
              </w:rPr>
            </w:pPr>
            <w:r w:rsidRPr="00640447">
              <w:rPr>
                <w:sz w:val="13"/>
                <w:szCs w:val="13"/>
              </w:rPr>
              <w:t>5</w:t>
            </w:r>
          </w:p>
        </w:tc>
        <w:tc>
          <w:tcPr>
            <w:tcW w:w="189" w:type="pct"/>
            <w:tcBorders>
              <w:top w:val="nil"/>
              <w:left w:val="nil"/>
              <w:bottom w:val="single" w:sz="4" w:space="0" w:color="auto"/>
              <w:right w:val="single" w:sz="4" w:space="0" w:color="auto"/>
            </w:tcBorders>
            <w:shd w:val="clear" w:color="auto" w:fill="auto"/>
            <w:vAlign w:val="center"/>
          </w:tcPr>
          <w:p w14:paraId="4F3D62EE" w14:textId="77777777" w:rsidR="004A0123" w:rsidRPr="00640447" w:rsidRDefault="004A0123" w:rsidP="008A5C11">
            <w:pPr>
              <w:jc w:val="center"/>
              <w:rPr>
                <w:sz w:val="13"/>
                <w:szCs w:val="13"/>
              </w:rPr>
            </w:pPr>
            <w:r w:rsidRPr="00640447">
              <w:rPr>
                <w:sz w:val="13"/>
                <w:szCs w:val="13"/>
              </w:rPr>
              <w:t>2021</w:t>
            </w:r>
          </w:p>
        </w:tc>
        <w:tc>
          <w:tcPr>
            <w:tcW w:w="184" w:type="pct"/>
            <w:tcBorders>
              <w:top w:val="nil"/>
              <w:left w:val="nil"/>
              <w:bottom w:val="single" w:sz="4" w:space="0" w:color="auto"/>
              <w:right w:val="single" w:sz="4" w:space="0" w:color="auto"/>
            </w:tcBorders>
            <w:shd w:val="clear" w:color="auto" w:fill="auto"/>
            <w:vAlign w:val="center"/>
          </w:tcPr>
          <w:p w14:paraId="01091C48" w14:textId="77777777" w:rsidR="004A0123" w:rsidRPr="00640447" w:rsidRDefault="004A0123" w:rsidP="008A5C11">
            <w:pPr>
              <w:jc w:val="center"/>
              <w:rPr>
                <w:sz w:val="13"/>
                <w:szCs w:val="13"/>
              </w:rPr>
            </w:pPr>
            <w:r w:rsidRPr="00640447">
              <w:rPr>
                <w:sz w:val="13"/>
                <w:szCs w:val="13"/>
              </w:rPr>
              <w:t>2023</w:t>
            </w:r>
          </w:p>
        </w:tc>
        <w:tc>
          <w:tcPr>
            <w:tcW w:w="180" w:type="pct"/>
            <w:tcBorders>
              <w:top w:val="nil"/>
              <w:left w:val="nil"/>
              <w:bottom w:val="single" w:sz="4" w:space="0" w:color="auto"/>
              <w:right w:val="single" w:sz="4" w:space="0" w:color="auto"/>
            </w:tcBorders>
            <w:shd w:val="clear" w:color="auto" w:fill="auto"/>
            <w:vAlign w:val="center"/>
          </w:tcPr>
          <w:p w14:paraId="558EA523" w14:textId="77777777" w:rsidR="004A0123" w:rsidRPr="00640447" w:rsidRDefault="004A0123" w:rsidP="008A5C11">
            <w:pPr>
              <w:jc w:val="center"/>
              <w:rPr>
                <w:sz w:val="13"/>
                <w:szCs w:val="13"/>
              </w:rPr>
            </w:pPr>
            <w:r w:rsidRPr="00640447">
              <w:rPr>
                <w:sz w:val="13"/>
                <w:szCs w:val="13"/>
              </w:rPr>
              <w:t>34192</w:t>
            </w:r>
          </w:p>
        </w:tc>
        <w:tc>
          <w:tcPr>
            <w:tcW w:w="187" w:type="pct"/>
            <w:tcBorders>
              <w:top w:val="nil"/>
              <w:left w:val="nil"/>
              <w:bottom w:val="single" w:sz="4" w:space="0" w:color="auto"/>
              <w:right w:val="single" w:sz="4" w:space="0" w:color="auto"/>
            </w:tcBorders>
            <w:shd w:val="clear" w:color="auto" w:fill="auto"/>
            <w:vAlign w:val="center"/>
          </w:tcPr>
          <w:p w14:paraId="5C620548" w14:textId="77777777" w:rsidR="004A0123" w:rsidRPr="00640447" w:rsidRDefault="004A0123" w:rsidP="008A5C11">
            <w:pPr>
              <w:jc w:val="center"/>
              <w:rPr>
                <w:sz w:val="13"/>
                <w:szCs w:val="13"/>
              </w:rPr>
            </w:pPr>
            <w:r w:rsidRPr="00640447">
              <w:rPr>
                <w:sz w:val="13"/>
                <w:szCs w:val="13"/>
              </w:rPr>
              <w:t>0</w:t>
            </w:r>
          </w:p>
        </w:tc>
        <w:tc>
          <w:tcPr>
            <w:tcW w:w="146" w:type="pct"/>
            <w:tcBorders>
              <w:top w:val="nil"/>
              <w:left w:val="single" w:sz="4" w:space="0" w:color="auto"/>
              <w:bottom w:val="single" w:sz="4" w:space="0" w:color="auto"/>
              <w:right w:val="single" w:sz="4" w:space="0" w:color="auto"/>
            </w:tcBorders>
            <w:shd w:val="clear" w:color="auto" w:fill="auto"/>
            <w:vAlign w:val="center"/>
          </w:tcPr>
          <w:p w14:paraId="37719118" w14:textId="77777777" w:rsidR="004A0123" w:rsidRPr="00640447" w:rsidRDefault="004A0123" w:rsidP="008A5C11">
            <w:pPr>
              <w:jc w:val="center"/>
              <w:rPr>
                <w:sz w:val="13"/>
                <w:szCs w:val="13"/>
              </w:rPr>
            </w:pPr>
            <w:r w:rsidRPr="00640447">
              <w:rPr>
                <w:sz w:val="13"/>
                <w:szCs w:val="13"/>
              </w:rPr>
              <w:t>0</w:t>
            </w:r>
          </w:p>
        </w:tc>
        <w:tc>
          <w:tcPr>
            <w:tcW w:w="149" w:type="pct"/>
            <w:tcBorders>
              <w:top w:val="nil"/>
              <w:left w:val="nil"/>
              <w:bottom w:val="single" w:sz="4" w:space="0" w:color="auto"/>
              <w:right w:val="single" w:sz="4" w:space="0" w:color="auto"/>
            </w:tcBorders>
            <w:shd w:val="clear" w:color="auto" w:fill="auto"/>
            <w:vAlign w:val="center"/>
          </w:tcPr>
          <w:p w14:paraId="1AD81BD0" w14:textId="77777777" w:rsidR="004A0123" w:rsidRPr="00640447" w:rsidRDefault="004A0123" w:rsidP="008A5C11">
            <w:pPr>
              <w:jc w:val="center"/>
              <w:rPr>
                <w:sz w:val="13"/>
                <w:szCs w:val="13"/>
              </w:rPr>
            </w:pPr>
            <w:r w:rsidRPr="00640447">
              <w:rPr>
                <w:sz w:val="13"/>
                <w:szCs w:val="13"/>
              </w:rPr>
              <w:t>0</w:t>
            </w:r>
          </w:p>
        </w:tc>
        <w:tc>
          <w:tcPr>
            <w:tcW w:w="183" w:type="pct"/>
            <w:tcBorders>
              <w:top w:val="nil"/>
              <w:left w:val="nil"/>
              <w:bottom w:val="single" w:sz="4" w:space="0" w:color="auto"/>
              <w:right w:val="single" w:sz="4" w:space="0" w:color="auto"/>
            </w:tcBorders>
            <w:shd w:val="clear" w:color="auto" w:fill="auto"/>
            <w:vAlign w:val="center"/>
          </w:tcPr>
          <w:p w14:paraId="6FAFC916" w14:textId="77777777" w:rsidR="004A0123" w:rsidRPr="00640447" w:rsidRDefault="004A0123" w:rsidP="008A5C11">
            <w:pPr>
              <w:jc w:val="center"/>
              <w:rPr>
                <w:sz w:val="13"/>
                <w:szCs w:val="13"/>
              </w:rPr>
            </w:pPr>
            <w:r w:rsidRPr="00640447">
              <w:rPr>
                <w:sz w:val="13"/>
                <w:szCs w:val="13"/>
              </w:rPr>
              <w:t>5664</w:t>
            </w:r>
          </w:p>
        </w:tc>
        <w:tc>
          <w:tcPr>
            <w:tcW w:w="183" w:type="pct"/>
            <w:tcBorders>
              <w:top w:val="nil"/>
              <w:left w:val="nil"/>
              <w:bottom w:val="single" w:sz="4" w:space="0" w:color="auto"/>
              <w:right w:val="single" w:sz="4" w:space="0" w:color="auto"/>
            </w:tcBorders>
            <w:shd w:val="clear" w:color="auto" w:fill="auto"/>
            <w:vAlign w:val="center"/>
          </w:tcPr>
          <w:p w14:paraId="45C2389E" w14:textId="77777777" w:rsidR="004A0123" w:rsidRPr="00640447" w:rsidRDefault="004A0123" w:rsidP="008A5C11">
            <w:pPr>
              <w:jc w:val="center"/>
              <w:rPr>
                <w:sz w:val="13"/>
                <w:szCs w:val="13"/>
              </w:rPr>
            </w:pPr>
            <w:r w:rsidRPr="00640447">
              <w:rPr>
                <w:sz w:val="13"/>
                <w:szCs w:val="13"/>
              </w:rPr>
              <w:t>7632</w:t>
            </w:r>
          </w:p>
        </w:tc>
        <w:tc>
          <w:tcPr>
            <w:tcW w:w="155" w:type="pct"/>
            <w:tcBorders>
              <w:top w:val="single" w:sz="4" w:space="0" w:color="auto"/>
              <w:left w:val="single" w:sz="4" w:space="0" w:color="auto"/>
              <w:bottom w:val="single" w:sz="4" w:space="0" w:color="auto"/>
              <w:right w:val="single" w:sz="4" w:space="0" w:color="auto"/>
            </w:tcBorders>
            <w:vAlign w:val="center"/>
          </w:tcPr>
          <w:p w14:paraId="4702E754" w14:textId="77777777" w:rsidR="004A0123" w:rsidRPr="00640447" w:rsidRDefault="004A0123" w:rsidP="008A5C11">
            <w:pPr>
              <w:jc w:val="center"/>
              <w:rPr>
                <w:sz w:val="13"/>
                <w:szCs w:val="13"/>
              </w:rPr>
            </w:pPr>
            <w:r w:rsidRPr="00640447">
              <w:rPr>
                <w:sz w:val="13"/>
                <w:szCs w:val="13"/>
              </w:rPr>
              <w:t>20896</w:t>
            </w:r>
          </w:p>
        </w:tc>
        <w:tc>
          <w:tcPr>
            <w:tcW w:w="154" w:type="pct"/>
            <w:tcBorders>
              <w:top w:val="single" w:sz="4" w:space="0" w:color="auto"/>
              <w:left w:val="single" w:sz="4" w:space="0" w:color="auto"/>
              <w:bottom w:val="single" w:sz="4" w:space="0" w:color="auto"/>
              <w:right w:val="single" w:sz="4" w:space="0" w:color="auto"/>
            </w:tcBorders>
            <w:vAlign w:val="center"/>
          </w:tcPr>
          <w:p w14:paraId="55716ADD" w14:textId="77777777" w:rsidR="004A0123" w:rsidRPr="00640447" w:rsidRDefault="004A0123" w:rsidP="008A5C11">
            <w:pPr>
              <w:jc w:val="center"/>
              <w:rPr>
                <w:sz w:val="13"/>
                <w:szCs w:val="13"/>
              </w:rPr>
            </w:pPr>
            <w:r w:rsidRPr="00640447">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7B1D88F5" w14:textId="77777777" w:rsidR="004A0123" w:rsidRPr="00640447" w:rsidRDefault="004A0123" w:rsidP="008A5C11">
            <w:pPr>
              <w:jc w:val="center"/>
              <w:rPr>
                <w:sz w:val="13"/>
                <w:szCs w:val="13"/>
              </w:rPr>
            </w:pPr>
            <w:r w:rsidRPr="00640447">
              <w:rPr>
                <w:sz w:val="13"/>
                <w:szCs w:val="13"/>
              </w:rPr>
              <w:t>0</w:t>
            </w:r>
          </w:p>
        </w:tc>
        <w:tc>
          <w:tcPr>
            <w:tcW w:w="174" w:type="pct"/>
            <w:tcBorders>
              <w:top w:val="single" w:sz="4" w:space="0" w:color="auto"/>
              <w:left w:val="single" w:sz="4" w:space="0" w:color="auto"/>
              <w:bottom w:val="single" w:sz="4" w:space="0" w:color="auto"/>
              <w:right w:val="single" w:sz="4" w:space="0" w:color="auto"/>
            </w:tcBorders>
            <w:vAlign w:val="center"/>
          </w:tcPr>
          <w:p w14:paraId="371C15B1" w14:textId="77777777" w:rsidR="004A0123" w:rsidRPr="00640447" w:rsidRDefault="004A0123" w:rsidP="008A5C11">
            <w:pPr>
              <w:jc w:val="center"/>
              <w:rPr>
                <w:sz w:val="13"/>
                <w:szCs w:val="13"/>
              </w:rPr>
            </w:pPr>
            <w:r w:rsidRPr="00640447">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4B78F65A" w14:textId="77777777" w:rsidR="004A0123" w:rsidRPr="00640447" w:rsidRDefault="004A0123" w:rsidP="008A5C11">
            <w:pPr>
              <w:jc w:val="center"/>
              <w:rPr>
                <w:sz w:val="13"/>
                <w:szCs w:val="13"/>
              </w:rPr>
            </w:pPr>
            <w:r w:rsidRPr="00640447">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7A8FA65F" w14:textId="77777777" w:rsidR="004A0123" w:rsidRPr="00640447" w:rsidRDefault="004A0123" w:rsidP="008A5C11">
            <w:pPr>
              <w:jc w:val="center"/>
              <w:rPr>
                <w:sz w:val="13"/>
                <w:szCs w:val="13"/>
              </w:rPr>
            </w:pPr>
            <w:r w:rsidRPr="00640447">
              <w:rPr>
                <w:sz w:val="13"/>
                <w:szCs w:val="13"/>
              </w:rPr>
              <w:t>0</w:t>
            </w:r>
          </w:p>
        </w:tc>
        <w:tc>
          <w:tcPr>
            <w:tcW w:w="188" w:type="pct"/>
            <w:tcBorders>
              <w:top w:val="single" w:sz="4" w:space="0" w:color="auto"/>
              <w:left w:val="single" w:sz="4" w:space="0" w:color="auto"/>
              <w:bottom w:val="single" w:sz="4" w:space="0" w:color="auto"/>
              <w:right w:val="single" w:sz="4" w:space="0" w:color="auto"/>
            </w:tcBorders>
            <w:vAlign w:val="center"/>
          </w:tcPr>
          <w:p w14:paraId="73EE75E2" w14:textId="77777777" w:rsidR="004A0123" w:rsidRPr="00640447" w:rsidRDefault="004A0123" w:rsidP="008A5C11">
            <w:pPr>
              <w:jc w:val="center"/>
              <w:rPr>
                <w:sz w:val="13"/>
                <w:szCs w:val="13"/>
              </w:rPr>
            </w:pPr>
            <w:r w:rsidRPr="00640447">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1E2D442F" w14:textId="77777777" w:rsidR="004A0123" w:rsidRPr="00640447" w:rsidRDefault="004A0123" w:rsidP="008A5C11">
            <w:pPr>
              <w:jc w:val="center"/>
              <w:rPr>
                <w:sz w:val="13"/>
                <w:szCs w:val="13"/>
              </w:rPr>
            </w:pPr>
            <w:r w:rsidRPr="00640447">
              <w:rPr>
                <w:sz w:val="13"/>
                <w:szCs w:val="13"/>
              </w:rPr>
              <w:t>0</w:t>
            </w:r>
          </w:p>
        </w:tc>
      </w:tr>
      <w:tr w:rsidR="004A0123" w:rsidRPr="00640447" w14:paraId="70D0EEDE" w14:textId="77777777" w:rsidTr="008A5C11">
        <w:trPr>
          <w:trHeight w:val="225"/>
        </w:trPr>
        <w:tc>
          <w:tcPr>
            <w:tcW w:w="2664" w:type="pct"/>
            <w:gridSpan w:val="10"/>
            <w:shd w:val="clear" w:color="auto" w:fill="auto"/>
            <w:vAlign w:val="center"/>
            <w:hideMark/>
          </w:tcPr>
          <w:p w14:paraId="38741A91" w14:textId="77777777" w:rsidR="004A0123" w:rsidRPr="00640447" w:rsidRDefault="004A0123" w:rsidP="008A5C11">
            <w:pPr>
              <w:rPr>
                <w:sz w:val="13"/>
                <w:szCs w:val="13"/>
              </w:rPr>
            </w:pPr>
            <w:r w:rsidRPr="00640447">
              <w:rPr>
                <w:sz w:val="13"/>
                <w:szCs w:val="13"/>
              </w:rPr>
              <w:t>Всего по группе 4.</w:t>
            </w:r>
          </w:p>
        </w:tc>
        <w:tc>
          <w:tcPr>
            <w:tcW w:w="180" w:type="pct"/>
            <w:shd w:val="clear" w:color="auto" w:fill="auto"/>
            <w:vAlign w:val="center"/>
          </w:tcPr>
          <w:p w14:paraId="592C089D" w14:textId="77777777" w:rsidR="004A0123" w:rsidRPr="00640447" w:rsidRDefault="004A0123" w:rsidP="008A5C11">
            <w:pPr>
              <w:jc w:val="center"/>
              <w:rPr>
                <w:sz w:val="13"/>
                <w:szCs w:val="13"/>
              </w:rPr>
            </w:pPr>
            <w:r w:rsidRPr="00640447">
              <w:rPr>
                <w:sz w:val="13"/>
                <w:szCs w:val="13"/>
              </w:rPr>
              <w:t>69482</w:t>
            </w:r>
          </w:p>
        </w:tc>
        <w:tc>
          <w:tcPr>
            <w:tcW w:w="187" w:type="pct"/>
            <w:shd w:val="clear" w:color="auto" w:fill="auto"/>
            <w:vAlign w:val="center"/>
          </w:tcPr>
          <w:p w14:paraId="09534402" w14:textId="77777777" w:rsidR="004A0123" w:rsidRPr="00640447" w:rsidRDefault="004A0123" w:rsidP="008A5C11">
            <w:pPr>
              <w:jc w:val="center"/>
              <w:rPr>
                <w:sz w:val="13"/>
                <w:szCs w:val="13"/>
              </w:rPr>
            </w:pPr>
            <w:r w:rsidRPr="00640447">
              <w:rPr>
                <w:sz w:val="13"/>
                <w:szCs w:val="13"/>
              </w:rPr>
              <w:t>0</w:t>
            </w:r>
          </w:p>
        </w:tc>
        <w:tc>
          <w:tcPr>
            <w:tcW w:w="146" w:type="pct"/>
            <w:shd w:val="clear" w:color="auto" w:fill="auto"/>
            <w:vAlign w:val="center"/>
          </w:tcPr>
          <w:p w14:paraId="5A64B374" w14:textId="77777777" w:rsidR="004A0123" w:rsidRPr="00640447" w:rsidRDefault="004A0123" w:rsidP="008A5C11">
            <w:pPr>
              <w:jc w:val="center"/>
              <w:rPr>
                <w:sz w:val="13"/>
                <w:szCs w:val="13"/>
              </w:rPr>
            </w:pPr>
            <w:r w:rsidRPr="00640447">
              <w:rPr>
                <w:sz w:val="13"/>
                <w:szCs w:val="13"/>
              </w:rPr>
              <w:t>0</w:t>
            </w:r>
          </w:p>
        </w:tc>
        <w:tc>
          <w:tcPr>
            <w:tcW w:w="149" w:type="pct"/>
            <w:shd w:val="clear" w:color="auto" w:fill="auto"/>
            <w:vAlign w:val="center"/>
          </w:tcPr>
          <w:p w14:paraId="644541DB" w14:textId="77777777" w:rsidR="004A0123" w:rsidRPr="00640447" w:rsidRDefault="004A0123" w:rsidP="008A5C11">
            <w:pPr>
              <w:jc w:val="center"/>
              <w:rPr>
                <w:sz w:val="13"/>
                <w:szCs w:val="13"/>
              </w:rPr>
            </w:pPr>
            <w:r w:rsidRPr="00640447">
              <w:rPr>
                <w:sz w:val="13"/>
                <w:szCs w:val="13"/>
              </w:rPr>
              <w:t>0</w:t>
            </w:r>
          </w:p>
        </w:tc>
        <w:tc>
          <w:tcPr>
            <w:tcW w:w="183" w:type="pct"/>
            <w:shd w:val="clear" w:color="auto" w:fill="auto"/>
            <w:vAlign w:val="center"/>
          </w:tcPr>
          <w:p w14:paraId="4FFC4ACB" w14:textId="77777777" w:rsidR="004A0123" w:rsidRPr="00640447" w:rsidRDefault="004A0123" w:rsidP="008A5C11">
            <w:pPr>
              <w:jc w:val="center"/>
              <w:rPr>
                <w:sz w:val="13"/>
                <w:szCs w:val="13"/>
              </w:rPr>
            </w:pPr>
            <w:r w:rsidRPr="00640447">
              <w:rPr>
                <w:sz w:val="13"/>
                <w:szCs w:val="13"/>
              </w:rPr>
              <w:t>17390</w:t>
            </w:r>
          </w:p>
        </w:tc>
        <w:tc>
          <w:tcPr>
            <w:tcW w:w="183" w:type="pct"/>
            <w:vAlign w:val="center"/>
          </w:tcPr>
          <w:p w14:paraId="1CCE3E97" w14:textId="77777777" w:rsidR="004A0123" w:rsidRPr="00640447" w:rsidRDefault="004A0123" w:rsidP="008A5C11">
            <w:pPr>
              <w:jc w:val="center"/>
              <w:rPr>
                <w:sz w:val="13"/>
                <w:szCs w:val="13"/>
              </w:rPr>
            </w:pPr>
            <w:r w:rsidRPr="00640447">
              <w:rPr>
                <w:sz w:val="13"/>
                <w:szCs w:val="13"/>
              </w:rPr>
              <w:t>17735</w:t>
            </w:r>
          </w:p>
        </w:tc>
        <w:tc>
          <w:tcPr>
            <w:tcW w:w="155" w:type="pct"/>
            <w:vAlign w:val="center"/>
          </w:tcPr>
          <w:p w14:paraId="2F43EF76" w14:textId="77777777" w:rsidR="004A0123" w:rsidRPr="00640447" w:rsidRDefault="004A0123" w:rsidP="008A5C11">
            <w:pPr>
              <w:jc w:val="center"/>
              <w:rPr>
                <w:sz w:val="13"/>
                <w:szCs w:val="13"/>
              </w:rPr>
            </w:pPr>
            <w:r w:rsidRPr="00640447">
              <w:rPr>
                <w:sz w:val="13"/>
                <w:szCs w:val="13"/>
              </w:rPr>
              <w:t>34357</w:t>
            </w:r>
          </w:p>
        </w:tc>
        <w:tc>
          <w:tcPr>
            <w:tcW w:w="154" w:type="pct"/>
            <w:vAlign w:val="center"/>
          </w:tcPr>
          <w:p w14:paraId="5C465C14" w14:textId="77777777" w:rsidR="004A0123" w:rsidRPr="00640447" w:rsidRDefault="004A0123" w:rsidP="008A5C11">
            <w:pPr>
              <w:jc w:val="center"/>
              <w:rPr>
                <w:sz w:val="13"/>
                <w:szCs w:val="13"/>
              </w:rPr>
            </w:pPr>
            <w:r w:rsidRPr="00640447">
              <w:rPr>
                <w:sz w:val="13"/>
                <w:szCs w:val="13"/>
              </w:rPr>
              <w:t>0</w:t>
            </w:r>
          </w:p>
        </w:tc>
        <w:tc>
          <w:tcPr>
            <w:tcW w:w="153" w:type="pct"/>
            <w:vAlign w:val="center"/>
          </w:tcPr>
          <w:p w14:paraId="12475FC8" w14:textId="77777777" w:rsidR="004A0123" w:rsidRPr="00640447" w:rsidRDefault="004A0123" w:rsidP="008A5C11">
            <w:pPr>
              <w:jc w:val="center"/>
              <w:rPr>
                <w:sz w:val="13"/>
                <w:szCs w:val="13"/>
              </w:rPr>
            </w:pPr>
            <w:r w:rsidRPr="00640447">
              <w:rPr>
                <w:sz w:val="13"/>
                <w:szCs w:val="13"/>
              </w:rPr>
              <w:t>0</w:t>
            </w:r>
          </w:p>
        </w:tc>
        <w:tc>
          <w:tcPr>
            <w:tcW w:w="174" w:type="pct"/>
            <w:vAlign w:val="center"/>
          </w:tcPr>
          <w:p w14:paraId="57324070" w14:textId="77777777" w:rsidR="004A0123" w:rsidRPr="00640447" w:rsidRDefault="004A0123" w:rsidP="008A5C11">
            <w:pPr>
              <w:jc w:val="center"/>
              <w:rPr>
                <w:sz w:val="13"/>
                <w:szCs w:val="13"/>
              </w:rPr>
            </w:pPr>
            <w:r w:rsidRPr="00640447">
              <w:rPr>
                <w:sz w:val="13"/>
                <w:szCs w:val="13"/>
              </w:rPr>
              <w:t>0</w:t>
            </w:r>
          </w:p>
        </w:tc>
        <w:tc>
          <w:tcPr>
            <w:tcW w:w="156" w:type="pct"/>
            <w:vAlign w:val="center"/>
          </w:tcPr>
          <w:p w14:paraId="3DDEFF26" w14:textId="77777777" w:rsidR="004A0123" w:rsidRPr="00640447" w:rsidRDefault="004A0123" w:rsidP="008A5C11">
            <w:pPr>
              <w:jc w:val="center"/>
              <w:rPr>
                <w:sz w:val="13"/>
                <w:szCs w:val="13"/>
              </w:rPr>
            </w:pPr>
            <w:r w:rsidRPr="00640447">
              <w:rPr>
                <w:sz w:val="13"/>
                <w:szCs w:val="13"/>
              </w:rPr>
              <w:t>0</w:t>
            </w:r>
          </w:p>
        </w:tc>
        <w:tc>
          <w:tcPr>
            <w:tcW w:w="146" w:type="pct"/>
            <w:vAlign w:val="center"/>
          </w:tcPr>
          <w:p w14:paraId="2EEF3550" w14:textId="77777777" w:rsidR="004A0123" w:rsidRPr="00640447" w:rsidRDefault="004A0123" w:rsidP="008A5C11">
            <w:pPr>
              <w:jc w:val="center"/>
              <w:rPr>
                <w:sz w:val="13"/>
                <w:szCs w:val="13"/>
              </w:rPr>
            </w:pPr>
            <w:r w:rsidRPr="00640447">
              <w:rPr>
                <w:sz w:val="13"/>
                <w:szCs w:val="13"/>
              </w:rPr>
              <w:t>0</w:t>
            </w:r>
          </w:p>
        </w:tc>
        <w:tc>
          <w:tcPr>
            <w:tcW w:w="188" w:type="pct"/>
            <w:vAlign w:val="center"/>
          </w:tcPr>
          <w:p w14:paraId="29DD161B" w14:textId="77777777" w:rsidR="004A0123" w:rsidRPr="00640447" w:rsidRDefault="004A0123" w:rsidP="008A5C11">
            <w:pPr>
              <w:jc w:val="center"/>
              <w:rPr>
                <w:sz w:val="13"/>
                <w:szCs w:val="13"/>
              </w:rPr>
            </w:pPr>
            <w:r w:rsidRPr="00640447">
              <w:rPr>
                <w:sz w:val="13"/>
                <w:szCs w:val="13"/>
              </w:rPr>
              <w:t>0</w:t>
            </w:r>
          </w:p>
        </w:tc>
        <w:tc>
          <w:tcPr>
            <w:tcW w:w="182" w:type="pct"/>
            <w:vAlign w:val="center"/>
          </w:tcPr>
          <w:p w14:paraId="21A5CDB2" w14:textId="77777777" w:rsidR="004A0123" w:rsidRPr="00640447" w:rsidRDefault="004A0123" w:rsidP="008A5C11">
            <w:pPr>
              <w:jc w:val="center"/>
              <w:rPr>
                <w:sz w:val="13"/>
                <w:szCs w:val="13"/>
              </w:rPr>
            </w:pPr>
            <w:r w:rsidRPr="00640447">
              <w:rPr>
                <w:sz w:val="13"/>
                <w:szCs w:val="13"/>
              </w:rPr>
              <w:t>0</w:t>
            </w:r>
          </w:p>
        </w:tc>
      </w:tr>
      <w:tr w:rsidR="004A0123" w:rsidRPr="00640447" w14:paraId="3BBE926F" w14:textId="77777777" w:rsidTr="008A5C11">
        <w:trPr>
          <w:trHeight w:val="122"/>
        </w:trPr>
        <w:tc>
          <w:tcPr>
            <w:tcW w:w="5000" w:type="pct"/>
            <w:gridSpan w:val="24"/>
          </w:tcPr>
          <w:p w14:paraId="1A68A640" w14:textId="77777777" w:rsidR="004A0123" w:rsidRPr="00640447" w:rsidRDefault="004A0123" w:rsidP="008A5C11">
            <w:pPr>
              <w:rPr>
                <w:bCs/>
                <w:sz w:val="13"/>
                <w:szCs w:val="13"/>
              </w:rPr>
            </w:pPr>
            <w:r w:rsidRPr="00640447">
              <w:rPr>
                <w:bCs/>
                <w:sz w:val="13"/>
                <w:szCs w:val="13"/>
              </w:rPr>
              <w:t>Группа 5. Вывод из эксплуатации, консервация и демонтаж объектов системы централизованного теплоснабжения</w:t>
            </w:r>
          </w:p>
        </w:tc>
      </w:tr>
      <w:tr w:rsidR="004A0123" w:rsidRPr="00640447" w14:paraId="5AE70A19" w14:textId="77777777" w:rsidTr="008A5C11">
        <w:trPr>
          <w:trHeight w:val="96"/>
        </w:trPr>
        <w:tc>
          <w:tcPr>
            <w:tcW w:w="5000" w:type="pct"/>
            <w:gridSpan w:val="24"/>
          </w:tcPr>
          <w:p w14:paraId="1904741C" w14:textId="77777777" w:rsidR="004A0123" w:rsidRPr="00640447" w:rsidRDefault="004A0123" w:rsidP="008A5C11">
            <w:pPr>
              <w:rPr>
                <w:bCs/>
                <w:sz w:val="13"/>
                <w:szCs w:val="13"/>
              </w:rPr>
            </w:pPr>
            <w:r w:rsidRPr="00640447">
              <w:rPr>
                <w:bCs/>
                <w:sz w:val="13"/>
                <w:szCs w:val="13"/>
              </w:rPr>
              <w:t>5.1. Вывод из эксплуатации, консервация и демонтаж тепловых сетей</w:t>
            </w:r>
          </w:p>
        </w:tc>
      </w:tr>
      <w:tr w:rsidR="004A0123" w:rsidRPr="00640447" w14:paraId="4DDB298E" w14:textId="77777777" w:rsidTr="008A5C11">
        <w:trPr>
          <w:trHeight w:val="210"/>
        </w:trPr>
        <w:tc>
          <w:tcPr>
            <w:tcW w:w="5000" w:type="pct"/>
            <w:gridSpan w:val="24"/>
          </w:tcPr>
          <w:p w14:paraId="6C7B3633" w14:textId="77777777" w:rsidR="004A0123" w:rsidRPr="00640447" w:rsidRDefault="004A0123" w:rsidP="008A5C11">
            <w:pPr>
              <w:rPr>
                <w:bCs/>
                <w:sz w:val="13"/>
                <w:szCs w:val="13"/>
              </w:rPr>
            </w:pPr>
            <w:r w:rsidRPr="00640447">
              <w:rPr>
                <w:bCs/>
                <w:sz w:val="13"/>
                <w:szCs w:val="13"/>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4A0123" w:rsidRPr="00640447" w14:paraId="6E39A10D" w14:textId="77777777" w:rsidTr="008A5C11">
        <w:trPr>
          <w:trHeight w:val="225"/>
        </w:trPr>
        <w:tc>
          <w:tcPr>
            <w:tcW w:w="2664" w:type="pct"/>
            <w:gridSpan w:val="10"/>
            <w:shd w:val="clear" w:color="auto" w:fill="auto"/>
            <w:vAlign w:val="center"/>
            <w:hideMark/>
          </w:tcPr>
          <w:p w14:paraId="6BD5FD22" w14:textId="77777777" w:rsidR="004A0123" w:rsidRPr="00640447" w:rsidRDefault="004A0123" w:rsidP="008A5C11">
            <w:pPr>
              <w:rPr>
                <w:sz w:val="13"/>
                <w:szCs w:val="13"/>
              </w:rPr>
            </w:pPr>
            <w:r w:rsidRPr="00640447">
              <w:rPr>
                <w:sz w:val="13"/>
                <w:szCs w:val="13"/>
              </w:rPr>
              <w:t>Всего по группе 5.</w:t>
            </w:r>
          </w:p>
        </w:tc>
        <w:tc>
          <w:tcPr>
            <w:tcW w:w="180" w:type="pct"/>
            <w:shd w:val="clear" w:color="auto" w:fill="auto"/>
            <w:vAlign w:val="center"/>
          </w:tcPr>
          <w:p w14:paraId="0B5CE54F" w14:textId="77777777" w:rsidR="004A0123" w:rsidRPr="00640447" w:rsidRDefault="004A0123" w:rsidP="008A5C11">
            <w:pPr>
              <w:jc w:val="center"/>
              <w:rPr>
                <w:sz w:val="13"/>
                <w:szCs w:val="13"/>
              </w:rPr>
            </w:pPr>
            <w:r w:rsidRPr="00640447">
              <w:rPr>
                <w:sz w:val="13"/>
                <w:szCs w:val="13"/>
              </w:rPr>
              <w:t>0</w:t>
            </w:r>
          </w:p>
        </w:tc>
        <w:tc>
          <w:tcPr>
            <w:tcW w:w="187" w:type="pct"/>
            <w:shd w:val="clear" w:color="auto" w:fill="auto"/>
            <w:vAlign w:val="center"/>
          </w:tcPr>
          <w:p w14:paraId="05D5C72B" w14:textId="77777777" w:rsidR="004A0123" w:rsidRPr="00640447" w:rsidRDefault="004A0123" w:rsidP="008A5C11">
            <w:pPr>
              <w:jc w:val="center"/>
              <w:rPr>
                <w:sz w:val="13"/>
                <w:szCs w:val="13"/>
              </w:rPr>
            </w:pPr>
            <w:r w:rsidRPr="00640447">
              <w:rPr>
                <w:sz w:val="13"/>
                <w:szCs w:val="13"/>
              </w:rPr>
              <w:t>0</w:t>
            </w:r>
          </w:p>
        </w:tc>
        <w:tc>
          <w:tcPr>
            <w:tcW w:w="146" w:type="pct"/>
            <w:shd w:val="clear" w:color="auto" w:fill="auto"/>
            <w:vAlign w:val="center"/>
          </w:tcPr>
          <w:p w14:paraId="75466A53" w14:textId="77777777" w:rsidR="004A0123" w:rsidRPr="00640447" w:rsidRDefault="004A0123" w:rsidP="008A5C11">
            <w:pPr>
              <w:jc w:val="center"/>
              <w:rPr>
                <w:sz w:val="13"/>
                <w:szCs w:val="13"/>
              </w:rPr>
            </w:pPr>
            <w:r w:rsidRPr="00640447">
              <w:rPr>
                <w:sz w:val="13"/>
                <w:szCs w:val="13"/>
              </w:rPr>
              <w:t>0</w:t>
            </w:r>
          </w:p>
        </w:tc>
        <w:tc>
          <w:tcPr>
            <w:tcW w:w="149" w:type="pct"/>
            <w:shd w:val="clear" w:color="auto" w:fill="auto"/>
            <w:vAlign w:val="center"/>
          </w:tcPr>
          <w:p w14:paraId="2969EAB7" w14:textId="77777777" w:rsidR="004A0123" w:rsidRPr="00640447" w:rsidRDefault="004A0123" w:rsidP="008A5C11">
            <w:pPr>
              <w:jc w:val="center"/>
              <w:rPr>
                <w:sz w:val="13"/>
                <w:szCs w:val="13"/>
              </w:rPr>
            </w:pPr>
            <w:r w:rsidRPr="00640447">
              <w:rPr>
                <w:sz w:val="13"/>
                <w:szCs w:val="13"/>
              </w:rPr>
              <w:t>0</w:t>
            </w:r>
          </w:p>
        </w:tc>
        <w:tc>
          <w:tcPr>
            <w:tcW w:w="183" w:type="pct"/>
            <w:shd w:val="clear" w:color="auto" w:fill="auto"/>
            <w:vAlign w:val="center"/>
          </w:tcPr>
          <w:p w14:paraId="5F5E2BFF" w14:textId="77777777" w:rsidR="004A0123" w:rsidRPr="00640447" w:rsidRDefault="004A0123" w:rsidP="008A5C11">
            <w:pPr>
              <w:jc w:val="center"/>
              <w:rPr>
                <w:sz w:val="13"/>
                <w:szCs w:val="13"/>
              </w:rPr>
            </w:pPr>
            <w:r w:rsidRPr="00640447">
              <w:rPr>
                <w:sz w:val="13"/>
                <w:szCs w:val="13"/>
              </w:rPr>
              <w:t>0</w:t>
            </w:r>
          </w:p>
        </w:tc>
        <w:tc>
          <w:tcPr>
            <w:tcW w:w="183" w:type="pct"/>
            <w:vAlign w:val="center"/>
          </w:tcPr>
          <w:p w14:paraId="3ACAB459" w14:textId="77777777" w:rsidR="004A0123" w:rsidRPr="00640447" w:rsidRDefault="004A0123" w:rsidP="008A5C11">
            <w:pPr>
              <w:jc w:val="center"/>
              <w:rPr>
                <w:sz w:val="13"/>
                <w:szCs w:val="13"/>
              </w:rPr>
            </w:pPr>
            <w:r w:rsidRPr="00640447">
              <w:rPr>
                <w:sz w:val="13"/>
                <w:szCs w:val="13"/>
              </w:rPr>
              <w:t>0</w:t>
            </w:r>
          </w:p>
        </w:tc>
        <w:tc>
          <w:tcPr>
            <w:tcW w:w="155" w:type="pct"/>
            <w:vAlign w:val="center"/>
          </w:tcPr>
          <w:p w14:paraId="0D758497" w14:textId="77777777" w:rsidR="004A0123" w:rsidRPr="00640447" w:rsidRDefault="004A0123" w:rsidP="008A5C11">
            <w:pPr>
              <w:jc w:val="center"/>
              <w:rPr>
                <w:sz w:val="13"/>
                <w:szCs w:val="13"/>
              </w:rPr>
            </w:pPr>
            <w:r w:rsidRPr="00640447">
              <w:rPr>
                <w:sz w:val="13"/>
                <w:szCs w:val="13"/>
              </w:rPr>
              <w:t>0</w:t>
            </w:r>
          </w:p>
        </w:tc>
        <w:tc>
          <w:tcPr>
            <w:tcW w:w="154" w:type="pct"/>
            <w:vAlign w:val="center"/>
          </w:tcPr>
          <w:p w14:paraId="706C488E" w14:textId="77777777" w:rsidR="004A0123" w:rsidRPr="00640447" w:rsidRDefault="004A0123" w:rsidP="008A5C11">
            <w:pPr>
              <w:jc w:val="center"/>
              <w:rPr>
                <w:sz w:val="13"/>
                <w:szCs w:val="13"/>
              </w:rPr>
            </w:pPr>
            <w:r w:rsidRPr="00640447">
              <w:rPr>
                <w:sz w:val="13"/>
                <w:szCs w:val="13"/>
              </w:rPr>
              <w:t>0</w:t>
            </w:r>
          </w:p>
        </w:tc>
        <w:tc>
          <w:tcPr>
            <w:tcW w:w="153" w:type="pct"/>
            <w:vAlign w:val="center"/>
          </w:tcPr>
          <w:p w14:paraId="0528562B" w14:textId="77777777" w:rsidR="004A0123" w:rsidRPr="00640447" w:rsidRDefault="004A0123" w:rsidP="008A5C11">
            <w:pPr>
              <w:jc w:val="center"/>
              <w:rPr>
                <w:sz w:val="13"/>
                <w:szCs w:val="13"/>
              </w:rPr>
            </w:pPr>
            <w:r w:rsidRPr="00640447">
              <w:rPr>
                <w:sz w:val="13"/>
                <w:szCs w:val="13"/>
              </w:rPr>
              <w:t>0</w:t>
            </w:r>
          </w:p>
        </w:tc>
        <w:tc>
          <w:tcPr>
            <w:tcW w:w="174" w:type="pct"/>
            <w:vAlign w:val="center"/>
          </w:tcPr>
          <w:p w14:paraId="777E565B" w14:textId="77777777" w:rsidR="004A0123" w:rsidRPr="00640447" w:rsidRDefault="004A0123" w:rsidP="008A5C11">
            <w:pPr>
              <w:jc w:val="center"/>
              <w:rPr>
                <w:sz w:val="13"/>
                <w:szCs w:val="13"/>
              </w:rPr>
            </w:pPr>
            <w:r w:rsidRPr="00640447">
              <w:rPr>
                <w:sz w:val="13"/>
                <w:szCs w:val="13"/>
              </w:rPr>
              <w:t>0</w:t>
            </w:r>
          </w:p>
        </w:tc>
        <w:tc>
          <w:tcPr>
            <w:tcW w:w="156" w:type="pct"/>
            <w:vAlign w:val="center"/>
          </w:tcPr>
          <w:p w14:paraId="44C3DDBD" w14:textId="77777777" w:rsidR="004A0123" w:rsidRPr="00640447" w:rsidRDefault="004A0123" w:rsidP="008A5C11">
            <w:pPr>
              <w:jc w:val="center"/>
              <w:rPr>
                <w:sz w:val="13"/>
                <w:szCs w:val="13"/>
              </w:rPr>
            </w:pPr>
            <w:r w:rsidRPr="00640447">
              <w:rPr>
                <w:sz w:val="13"/>
                <w:szCs w:val="13"/>
              </w:rPr>
              <w:t>0</w:t>
            </w:r>
          </w:p>
        </w:tc>
        <w:tc>
          <w:tcPr>
            <w:tcW w:w="146" w:type="pct"/>
            <w:vAlign w:val="center"/>
          </w:tcPr>
          <w:p w14:paraId="291E7F17" w14:textId="77777777" w:rsidR="004A0123" w:rsidRPr="00640447" w:rsidRDefault="004A0123" w:rsidP="008A5C11">
            <w:pPr>
              <w:jc w:val="center"/>
              <w:rPr>
                <w:sz w:val="13"/>
                <w:szCs w:val="13"/>
              </w:rPr>
            </w:pPr>
            <w:r w:rsidRPr="00640447">
              <w:rPr>
                <w:sz w:val="13"/>
                <w:szCs w:val="13"/>
              </w:rPr>
              <w:t>0</w:t>
            </w:r>
          </w:p>
        </w:tc>
        <w:tc>
          <w:tcPr>
            <w:tcW w:w="188" w:type="pct"/>
            <w:vAlign w:val="center"/>
          </w:tcPr>
          <w:p w14:paraId="11FE709F" w14:textId="77777777" w:rsidR="004A0123" w:rsidRPr="00640447" w:rsidRDefault="004A0123" w:rsidP="008A5C11">
            <w:pPr>
              <w:jc w:val="center"/>
              <w:rPr>
                <w:sz w:val="13"/>
                <w:szCs w:val="13"/>
              </w:rPr>
            </w:pPr>
            <w:r w:rsidRPr="00640447">
              <w:rPr>
                <w:sz w:val="13"/>
                <w:szCs w:val="13"/>
              </w:rPr>
              <w:t>0</w:t>
            </w:r>
          </w:p>
        </w:tc>
        <w:tc>
          <w:tcPr>
            <w:tcW w:w="182" w:type="pct"/>
            <w:vAlign w:val="center"/>
          </w:tcPr>
          <w:p w14:paraId="69334060" w14:textId="77777777" w:rsidR="004A0123" w:rsidRPr="00640447" w:rsidRDefault="004A0123" w:rsidP="008A5C11">
            <w:pPr>
              <w:jc w:val="center"/>
              <w:rPr>
                <w:sz w:val="13"/>
                <w:szCs w:val="13"/>
              </w:rPr>
            </w:pPr>
            <w:r w:rsidRPr="00640447">
              <w:rPr>
                <w:sz w:val="13"/>
                <w:szCs w:val="13"/>
              </w:rPr>
              <w:t>0</w:t>
            </w:r>
          </w:p>
        </w:tc>
      </w:tr>
      <w:tr w:rsidR="004A0123" w:rsidRPr="00640447" w14:paraId="7FB8109B" w14:textId="77777777" w:rsidTr="008A5C11">
        <w:trPr>
          <w:trHeight w:val="225"/>
        </w:trPr>
        <w:tc>
          <w:tcPr>
            <w:tcW w:w="2664" w:type="pct"/>
            <w:gridSpan w:val="10"/>
            <w:shd w:val="clear" w:color="auto" w:fill="auto"/>
            <w:vAlign w:val="center"/>
            <w:hideMark/>
          </w:tcPr>
          <w:p w14:paraId="33E46B6E" w14:textId="77777777" w:rsidR="004A0123" w:rsidRPr="00640447" w:rsidRDefault="004A0123" w:rsidP="008A5C11">
            <w:pPr>
              <w:rPr>
                <w:sz w:val="13"/>
                <w:szCs w:val="13"/>
              </w:rPr>
            </w:pPr>
            <w:r w:rsidRPr="00640447">
              <w:rPr>
                <w:sz w:val="13"/>
                <w:szCs w:val="13"/>
              </w:rPr>
              <w:t>ИТОГО по программе</w:t>
            </w:r>
          </w:p>
        </w:tc>
        <w:tc>
          <w:tcPr>
            <w:tcW w:w="180" w:type="pct"/>
            <w:tcBorders>
              <w:top w:val="single" w:sz="4" w:space="0" w:color="auto"/>
              <w:left w:val="nil"/>
              <w:bottom w:val="single" w:sz="4" w:space="0" w:color="auto"/>
              <w:right w:val="single" w:sz="4" w:space="0" w:color="auto"/>
            </w:tcBorders>
            <w:shd w:val="clear" w:color="auto" w:fill="auto"/>
            <w:vAlign w:val="center"/>
          </w:tcPr>
          <w:p w14:paraId="5CFA309A" w14:textId="77777777" w:rsidR="004A0123" w:rsidRPr="00640447" w:rsidRDefault="004A0123" w:rsidP="008A5C11">
            <w:pPr>
              <w:jc w:val="center"/>
              <w:rPr>
                <w:sz w:val="13"/>
                <w:szCs w:val="13"/>
              </w:rPr>
            </w:pPr>
            <w:r w:rsidRPr="00640447">
              <w:rPr>
                <w:sz w:val="13"/>
                <w:szCs w:val="13"/>
              </w:rPr>
              <w:t>3106690</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14:paraId="05277564" w14:textId="77777777" w:rsidR="004A0123" w:rsidRPr="00640447" w:rsidRDefault="004A0123" w:rsidP="008A5C11">
            <w:pPr>
              <w:jc w:val="center"/>
              <w:rPr>
                <w:sz w:val="13"/>
                <w:szCs w:val="13"/>
              </w:rPr>
            </w:pPr>
            <w:r w:rsidRPr="00640447">
              <w:rPr>
                <w:sz w:val="13"/>
                <w:szCs w:val="13"/>
              </w:rPr>
              <w:t>0</w:t>
            </w:r>
          </w:p>
        </w:tc>
        <w:tc>
          <w:tcPr>
            <w:tcW w:w="146" w:type="pct"/>
            <w:tcBorders>
              <w:top w:val="single" w:sz="4" w:space="0" w:color="auto"/>
              <w:left w:val="single" w:sz="4" w:space="0" w:color="auto"/>
              <w:bottom w:val="single" w:sz="4" w:space="0" w:color="auto"/>
              <w:right w:val="single" w:sz="4" w:space="0" w:color="auto"/>
            </w:tcBorders>
            <w:shd w:val="clear" w:color="auto" w:fill="auto"/>
            <w:vAlign w:val="center"/>
          </w:tcPr>
          <w:p w14:paraId="55CF30F4" w14:textId="77777777" w:rsidR="004A0123" w:rsidRPr="00640447" w:rsidRDefault="004A0123" w:rsidP="008A5C11">
            <w:pPr>
              <w:jc w:val="center"/>
              <w:rPr>
                <w:sz w:val="13"/>
                <w:szCs w:val="13"/>
              </w:rPr>
            </w:pPr>
            <w:r w:rsidRPr="00640447">
              <w:rPr>
                <w:sz w:val="13"/>
                <w:szCs w:val="13"/>
              </w:rPr>
              <w:t>384055</w:t>
            </w:r>
          </w:p>
        </w:tc>
        <w:tc>
          <w:tcPr>
            <w:tcW w:w="149" w:type="pct"/>
            <w:tcBorders>
              <w:top w:val="single" w:sz="4" w:space="0" w:color="auto"/>
              <w:left w:val="single" w:sz="4" w:space="0" w:color="auto"/>
              <w:bottom w:val="single" w:sz="4" w:space="0" w:color="auto"/>
              <w:right w:val="single" w:sz="4" w:space="0" w:color="auto"/>
            </w:tcBorders>
            <w:shd w:val="clear" w:color="auto" w:fill="auto"/>
            <w:vAlign w:val="center"/>
          </w:tcPr>
          <w:p w14:paraId="0895E041" w14:textId="77777777" w:rsidR="004A0123" w:rsidRPr="00640447" w:rsidRDefault="004A0123" w:rsidP="008A5C11">
            <w:pPr>
              <w:jc w:val="center"/>
              <w:rPr>
                <w:sz w:val="13"/>
                <w:szCs w:val="13"/>
              </w:rPr>
            </w:pPr>
            <w:r w:rsidRPr="00640447">
              <w:rPr>
                <w:sz w:val="13"/>
                <w:szCs w:val="13"/>
              </w:rPr>
              <w:t>190842</w:t>
            </w:r>
          </w:p>
        </w:tc>
        <w:tc>
          <w:tcPr>
            <w:tcW w:w="183" w:type="pct"/>
            <w:tcBorders>
              <w:top w:val="single" w:sz="4" w:space="0" w:color="auto"/>
              <w:left w:val="single" w:sz="4" w:space="0" w:color="auto"/>
              <w:bottom w:val="single" w:sz="4" w:space="0" w:color="auto"/>
              <w:right w:val="nil"/>
            </w:tcBorders>
            <w:shd w:val="clear" w:color="auto" w:fill="auto"/>
            <w:vAlign w:val="center"/>
          </w:tcPr>
          <w:p w14:paraId="78C8C865" w14:textId="77777777" w:rsidR="004A0123" w:rsidRPr="00640447" w:rsidRDefault="004A0123" w:rsidP="008A5C11">
            <w:pPr>
              <w:jc w:val="center"/>
              <w:rPr>
                <w:sz w:val="13"/>
                <w:szCs w:val="13"/>
              </w:rPr>
            </w:pPr>
            <w:r w:rsidRPr="00640447">
              <w:rPr>
                <w:sz w:val="13"/>
                <w:szCs w:val="13"/>
              </w:rPr>
              <w:t>174824</w:t>
            </w:r>
          </w:p>
        </w:tc>
        <w:tc>
          <w:tcPr>
            <w:tcW w:w="183" w:type="pct"/>
            <w:vAlign w:val="center"/>
          </w:tcPr>
          <w:p w14:paraId="49BCC007" w14:textId="77777777" w:rsidR="004A0123" w:rsidRPr="00640447" w:rsidRDefault="004A0123" w:rsidP="008A5C11">
            <w:pPr>
              <w:jc w:val="center"/>
              <w:rPr>
                <w:sz w:val="13"/>
                <w:szCs w:val="13"/>
              </w:rPr>
            </w:pPr>
            <w:r w:rsidRPr="00640447">
              <w:rPr>
                <w:sz w:val="13"/>
                <w:szCs w:val="13"/>
              </w:rPr>
              <w:t>188909</w:t>
            </w:r>
          </w:p>
        </w:tc>
        <w:tc>
          <w:tcPr>
            <w:tcW w:w="155" w:type="pct"/>
            <w:vAlign w:val="center"/>
          </w:tcPr>
          <w:p w14:paraId="691FB7C3" w14:textId="77777777" w:rsidR="004A0123" w:rsidRPr="00640447" w:rsidRDefault="004A0123" w:rsidP="008A5C11">
            <w:pPr>
              <w:jc w:val="center"/>
              <w:rPr>
                <w:sz w:val="13"/>
                <w:szCs w:val="13"/>
              </w:rPr>
            </w:pPr>
            <w:r w:rsidRPr="00640447">
              <w:rPr>
                <w:sz w:val="13"/>
                <w:szCs w:val="13"/>
              </w:rPr>
              <w:t>255120</w:t>
            </w:r>
          </w:p>
        </w:tc>
        <w:tc>
          <w:tcPr>
            <w:tcW w:w="154" w:type="pct"/>
            <w:vAlign w:val="center"/>
          </w:tcPr>
          <w:p w14:paraId="00D9B146" w14:textId="77777777" w:rsidR="004A0123" w:rsidRPr="00640447" w:rsidRDefault="004A0123" w:rsidP="008A5C11">
            <w:pPr>
              <w:jc w:val="center"/>
              <w:rPr>
                <w:sz w:val="13"/>
                <w:szCs w:val="13"/>
              </w:rPr>
            </w:pPr>
            <w:r w:rsidRPr="00640447">
              <w:rPr>
                <w:sz w:val="13"/>
                <w:szCs w:val="13"/>
              </w:rPr>
              <w:t>230238</w:t>
            </w:r>
          </w:p>
        </w:tc>
        <w:tc>
          <w:tcPr>
            <w:tcW w:w="153" w:type="pct"/>
            <w:vAlign w:val="center"/>
          </w:tcPr>
          <w:p w14:paraId="3A728074" w14:textId="77777777" w:rsidR="004A0123" w:rsidRPr="00640447" w:rsidRDefault="004A0123" w:rsidP="008A5C11">
            <w:pPr>
              <w:jc w:val="center"/>
              <w:rPr>
                <w:sz w:val="13"/>
                <w:szCs w:val="13"/>
              </w:rPr>
            </w:pPr>
            <w:r w:rsidRPr="00640447">
              <w:rPr>
                <w:sz w:val="13"/>
                <w:szCs w:val="13"/>
              </w:rPr>
              <w:t>297805</w:t>
            </w:r>
          </w:p>
        </w:tc>
        <w:tc>
          <w:tcPr>
            <w:tcW w:w="174" w:type="pct"/>
            <w:vAlign w:val="center"/>
          </w:tcPr>
          <w:p w14:paraId="55B6BA8E" w14:textId="77777777" w:rsidR="004A0123" w:rsidRPr="00640447" w:rsidRDefault="004A0123" w:rsidP="008A5C11">
            <w:pPr>
              <w:jc w:val="center"/>
              <w:rPr>
                <w:sz w:val="13"/>
                <w:szCs w:val="13"/>
              </w:rPr>
            </w:pPr>
            <w:r w:rsidRPr="00640447">
              <w:rPr>
                <w:sz w:val="13"/>
                <w:szCs w:val="13"/>
              </w:rPr>
              <w:t>374661</w:t>
            </w:r>
          </w:p>
        </w:tc>
        <w:tc>
          <w:tcPr>
            <w:tcW w:w="156" w:type="pct"/>
            <w:vAlign w:val="center"/>
          </w:tcPr>
          <w:p w14:paraId="5E1FCBC6" w14:textId="77777777" w:rsidR="004A0123" w:rsidRPr="00640447" w:rsidRDefault="004A0123" w:rsidP="008A5C11">
            <w:pPr>
              <w:jc w:val="center"/>
              <w:rPr>
                <w:sz w:val="13"/>
                <w:szCs w:val="13"/>
              </w:rPr>
            </w:pPr>
            <w:r w:rsidRPr="00640447">
              <w:rPr>
                <w:sz w:val="13"/>
                <w:szCs w:val="13"/>
              </w:rPr>
              <w:t>465937</w:t>
            </w:r>
          </w:p>
        </w:tc>
        <w:tc>
          <w:tcPr>
            <w:tcW w:w="146" w:type="pct"/>
            <w:vAlign w:val="center"/>
          </w:tcPr>
          <w:p w14:paraId="04D9643E" w14:textId="77777777" w:rsidR="004A0123" w:rsidRPr="00640447" w:rsidRDefault="004A0123" w:rsidP="008A5C11">
            <w:pPr>
              <w:jc w:val="center"/>
              <w:rPr>
                <w:sz w:val="13"/>
                <w:szCs w:val="13"/>
              </w:rPr>
            </w:pPr>
            <w:r w:rsidRPr="00640447">
              <w:rPr>
                <w:sz w:val="13"/>
                <w:szCs w:val="13"/>
              </w:rPr>
              <w:t>544299</w:t>
            </w:r>
          </w:p>
        </w:tc>
        <w:tc>
          <w:tcPr>
            <w:tcW w:w="188" w:type="pct"/>
            <w:vAlign w:val="center"/>
          </w:tcPr>
          <w:p w14:paraId="22E754EC" w14:textId="77777777" w:rsidR="004A0123" w:rsidRPr="00640447" w:rsidRDefault="004A0123" w:rsidP="008A5C11">
            <w:pPr>
              <w:jc w:val="center"/>
              <w:rPr>
                <w:sz w:val="13"/>
                <w:szCs w:val="13"/>
              </w:rPr>
            </w:pPr>
            <w:r w:rsidRPr="00640447">
              <w:rPr>
                <w:sz w:val="13"/>
                <w:szCs w:val="13"/>
              </w:rPr>
              <w:t>0</w:t>
            </w:r>
          </w:p>
        </w:tc>
        <w:tc>
          <w:tcPr>
            <w:tcW w:w="182" w:type="pct"/>
            <w:vAlign w:val="center"/>
          </w:tcPr>
          <w:p w14:paraId="1FB1B6A1" w14:textId="77777777" w:rsidR="004A0123" w:rsidRPr="00640447" w:rsidRDefault="004A0123" w:rsidP="008A5C11">
            <w:pPr>
              <w:jc w:val="center"/>
              <w:rPr>
                <w:sz w:val="13"/>
                <w:szCs w:val="13"/>
              </w:rPr>
            </w:pPr>
            <w:r w:rsidRPr="00640447">
              <w:rPr>
                <w:sz w:val="13"/>
                <w:szCs w:val="13"/>
              </w:rPr>
              <w:t>0</w:t>
            </w:r>
          </w:p>
        </w:tc>
      </w:tr>
    </w:tbl>
    <w:p w14:paraId="53620D82" w14:textId="77777777" w:rsidR="004A0123" w:rsidRPr="00640447" w:rsidRDefault="004A0123" w:rsidP="004A0123">
      <w:pPr>
        <w:ind w:right="536"/>
        <w:rPr>
          <w:b/>
          <w:bCs/>
          <w:sz w:val="28"/>
          <w:szCs w:val="28"/>
        </w:rPr>
      </w:pPr>
    </w:p>
    <w:p w14:paraId="73AD1029" w14:textId="77777777" w:rsidR="004A0123" w:rsidRPr="00640447" w:rsidRDefault="004A0123" w:rsidP="004A0123">
      <w:pPr>
        <w:ind w:left="10348" w:right="-31"/>
        <w:jc w:val="center"/>
        <w:rPr>
          <w:sz w:val="20"/>
          <w:szCs w:val="20"/>
        </w:rPr>
        <w:sectPr w:rsidR="004A0123" w:rsidRPr="00640447" w:rsidSect="00450019">
          <w:pgSz w:w="16838" w:h="11906" w:orient="landscape"/>
          <w:pgMar w:top="568" w:right="1134" w:bottom="142" w:left="1134" w:header="709" w:footer="256" w:gutter="0"/>
          <w:cols w:space="708"/>
          <w:docGrid w:linePitch="360"/>
        </w:sectPr>
      </w:pPr>
    </w:p>
    <w:p w14:paraId="5151F03A" w14:textId="77777777" w:rsidR="004A0123" w:rsidRPr="00640447" w:rsidRDefault="004A0123" w:rsidP="004A0123">
      <w:pPr>
        <w:jc w:val="center"/>
        <w:rPr>
          <w:b/>
          <w:color w:val="000000"/>
          <w:sz w:val="28"/>
          <w:szCs w:val="28"/>
        </w:rPr>
      </w:pPr>
      <w:r w:rsidRPr="00640447">
        <w:rPr>
          <w:b/>
          <w:bCs/>
          <w:sz w:val="28"/>
          <w:szCs w:val="28"/>
        </w:rPr>
        <w:t xml:space="preserve">Плановые значения показателей, достижение которых предусмотрено в результате реализации мероприятий инвестиционной программы в сфере теплоснабжения </w:t>
      </w:r>
      <w:r w:rsidRPr="00640447">
        <w:rPr>
          <w:b/>
          <w:color w:val="000000"/>
          <w:sz w:val="28"/>
          <w:szCs w:val="28"/>
        </w:rPr>
        <w:t xml:space="preserve">ОАО «Северо-Кузбасская энергетическая компания» </w:t>
      </w:r>
    </w:p>
    <w:p w14:paraId="4F79BA4F" w14:textId="77777777" w:rsidR="004A0123" w:rsidRPr="00640447" w:rsidRDefault="004A0123" w:rsidP="004A0123">
      <w:pPr>
        <w:jc w:val="center"/>
        <w:rPr>
          <w:b/>
          <w:bCs/>
          <w:sz w:val="28"/>
          <w:szCs w:val="28"/>
        </w:rPr>
      </w:pPr>
      <w:r w:rsidRPr="00640447">
        <w:rPr>
          <w:b/>
          <w:color w:val="000000"/>
          <w:sz w:val="28"/>
          <w:szCs w:val="28"/>
        </w:rPr>
        <w:t>по узлу теплоснабжения Ленинск-Кузнецкого</w:t>
      </w:r>
      <w:r w:rsidRPr="00640447">
        <w:rPr>
          <w:b/>
          <w:bCs/>
          <w:sz w:val="28"/>
          <w:szCs w:val="28"/>
        </w:rPr>
        <w:t xml:space="preserve"> городского округа на 2019 - 2028 годы</w:t>
      </w:r>
    </w:p>
    <w:p w14:paraId="0BED4F5B" w14:textId="77777777" w:rsidR="004A0123" w:rsidRPr="00640447" w:rsidRDefault="004A0123" w:rsidP="004A0123">
      <w:pPr>
        <w:jc w:val="center"/>
        <w:rPr>
          <w:sz w:val="20"/>
          <w:szCs w:val="20"/>
        </w:rPr>
      </w:pPr>
    </w:p>
    <w:tbl>
      <w:tblPr>
        <w:tblW w:w="5105" w:type="pct"/>
        <w:tblInd w:w="-176" w:type="dxa"/>
        <w:tblLayout w:type="fixed"/>
        <w:tblLook w:val="04A0" w:firstRow="1" w:lastRow="0" w:firstColumn="1" w:lastColumn="0" w:noHBand="0" w:noVBand="1"/>
      </w:tblPr>
      <w:tblGrid>
        <w:gridCol w:w="542"/>
        <w:gridCol w:w="2971"/>
        <w:gridCol w:w="1237"/>
        <w:gridCol w:w="954"/>
        <w:gridCol w:w="1121"/>
        <w:gridCol w:w="705"/>
        <w:gridCol w:w="841"/>
        <w:gridCol w:w="702"/>
        <w:gridCol w:w="699"/>
        <w:gridCol w:w="853"/>
        <w:gridCol w:w="856"/>
        <w:gridCol w:w="859"/>
        <w:gridCol w:w="850"/>
        <w:gridCol w:w="838"/>
        <w:gridCol w:w="838"/>
      </w:tblGrid>
      <w:tr w:rsidR="004A0123" w:rsidRPr="00640447" w14:paraId="5CA2C1E0" w14:textId="77777777" w:rsidTr="008A5C11">
        <w:trPr>
          <w:trHeight w:val="480"/>
        </w:trPr>
        <w:tc>
          <w:tcPr>
            <w:tcW w:w="182"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A0A03B1" w14:textId="77777777" w:rsidR="004A0123" w:rsidRPr="00640447" w:rsidRDefault="004A0123" w:rsidP="008A5C11">
            <w:pPr>
              <w:jc w:val="center"/>
              <w:rPr>
                <w:sz w:val="16"/>
                <w:szCs w:val="16"/>
              </w:rPr>
            </w:pPr>
            <w:r w:rsidRPr="00640447">
              <w:rPr>
                <w:sz w:val="16"/>
                <w:szCs w:val="16"/>
              </w:rPr>
              <w:t>№ п/п</w:t>
            </w:r>
          </w:p>
        </w:tc>
        <w:tc>
          <w:tcPr>
            <w:tcW w:w="999"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D3C6887" w14:textId="77777777" w:rsidR="004A0123" w:rsidRPr="00640447" w:rsidRDefault="004A0123" w:rsidP="008A5C11">
            <w:pPr>
              <w:tabs>
                <w:tab w:val="left" w:pos="569"/>
              </w:tabs>
              <w:jc w:val="center"/>
              <w:rPr>
                <w:sz w:val="16"/>
                <w:szCs w:val="16"/>
              </w:rPr>
            </w:pPr>
            <w:r w:rsidRPr="00640447">
              <w:rPr>
                <w:sz w:val="16"/>
                <w:szCs w:val="16"/>
              </w:rPr>
              <w:t>Наименование показателя</w:t>
            </w:r>
          </w:p>
        </w:tc>
        <w:tc>
          <w:tcPr>
            <w:tcW w:w="416"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182EAF7" w14:textId="77777777" w:rsidR="004A0123" w:rsidRPr="00640447" w:rsidRDefault="004A0123" w:rsidP="008A5C11">
            <w:pPr>
              <w:jc w:val="center"/>
              <w:rPr>
                <w:sz w:val="16"/>
                <w:szCs w:val="16"/>
              </w:rPr>
            </w:pPr>
            <w:r w:rsidRPr="00640447">
              <w:rPr>
                <w:sz w:val="16"/>
                <w:szCs w:val="16"/>
              </w:rPr>
              <w:t>Ед. изм.</w:t>
            </w:r>
          </w:p>
        </w:tc>
        <w:tc>
          <w:tcPr>
            <w:tcW w:w="321"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67D0376" w14:textId="77777777" w:rsidR="004A0123" w:rsidRPr="00640447" w:rsidRDefault="004A0123" w:rsidP="008A5C11">
            <w:pPr>
              <w:jc w:val="center"/>
              <w:rPr>
                <w:sz w:val="16"/>
                <w:szCs w:val="16"/>
              </w:rPr>
            </w:pPr>
            <w:proofErr w:type="gramStart"/>
            <w:r w:rsidRPr="00640447">
              <w:rPr>
                <w:sz w:val="16"/>
                <w:szCs w:val="16"/>
              </w:rPr>
              <w:t>Фактичес-кие</w:t>
            </w:r>
            <w:proofErr w:type="gramEnd"/>
            <w:r w:rsidRPr="00640447">
              <w:rPr>
                <w:sz w:val="16"/>
                <w:szCs w:val="16"/>
              </w:rPr>
              <w:t xml:space="preserve"> значения</w:t>
            </w:r>
          </w:p>
        </w:tc>
        <w:tc>
          <w:tcPr>
            <w:tcW w:w="3082" w:type="pct"/>
            <w:gridSpan w:val="11"/>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4FA97EA" w14:textId="77777777" w:rsidR="004A0123" w:rsidRPr="00640447" w:rsidRDefault="004A0123" w:rsidP="008A5C11">
            <w:pPr>
              <w:jc w:val="center"/>
              <w:rPr>
                <w:sz w:val="16"/>
                <w:szCs w:val="16"/>
              </w:rPr>
            </w:pPr>
            <w:r w:rsidRPr="00640447">
              <w:rPr>
                <w:sz w:val="16"/>
                <w:szCs w:val="16"/>
              </w:rPr>
              <w:t>Плановые значения</w:t>
            </w:r>
          </w:p>
        </w:tc>
      </w:tr>
      <w:tr w:rsidR="004A0123" w:rsidRPr="00640447" w14:paraId="51999248" w14:textId="77777777" w:rsidTr="008A5C11">
        <w:trPr>
          <w:trHeight w:val="600"/>
        </w:trPr>
        <w:tc>
          <w:tcPr>
            <w:tcW w:w="182"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AF48E5B" w14:textId="77777777" w:rsidR="004A0123" w:rsidRPr="00640447" w:rsidRDefault="004A0123" w:rsidP="008A5C11">
            <w:pPr>
              <w:jc w:val="center"/>
              <w:rPr>
                <w:sz w:val="16"/>
                <w:szCs w:val="16"/>
              </w:rPr>
            </w:pPr>
          </w:p>
        </w:tc>
        <w:tc>
          <w:tcPr>
            <w:tcW w:w="999"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3062D0C" w14:textId="77777777" w:rsidR="004A0123" w:rsidRPr="00640447" w:rsidRDefault="004A0123" w:rsidP="008A5C11">
            <w:pPr>
              <w:jc w:val="center"/>
              <w:rPr>
                <w:sz w:val="16"/>
                <w:szCs w:val="16"/>
              </w:rPr>
            </w:pPr>
          </w:p>
        </w:tc>
        <w:tc>
          <w:tcPr>
            <w:tcW w:w="416"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EFB0617" w14:textId="77777777" w:rsidR="004A0123" w:rsidRPr="00640447" w:rsidRDefault="004A0123" w:rsidP="008A5C11">
            <w:pPr>
              <w:jc w:val="center"/>
              <w:rPr>
                <w:sz w:val="16"/>
                <w:szCs w:val="16"/>
              </w:rPr>
            </w:pPr>
          </w:p>
        </w:tc>
        <w:tc>
          <w:tcPr>
            <w:tcW w:w="321"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F258D4D" w14:textId="77777777" w:rsidR="004A0123" w:rsidRPr="00640447" w:rsidRDefault="004A0123" w:rsidP="008A5C11">
            <w:pPr>
              <w:jc w:val="center"/>
              <w:rPr>
                <w:sz w:val="16"/>
                <w:szCs w:val="16"/>
              </w:rPr>
            </w:pPr>
          </w:p>
        </w:tc>
        <w:tc>
          <w:tcPr>
            <w:tcW w:w="377" w:type="pct"/>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EAAA0DC" w14:textId="77777777" w:rsidR="004A0123" w:rsidRPr="00640447" w:rsidRDefault="004A0123" w:rsidP="008A5C11">
            <w:pPr>
              <w:jc w:val="center"/>
              <w:rPr>
                <w:sz w:val="16"/>
                <w:szCs w:val="16"/>
              </w:rPr>
            </w:pPr>
            <w:proofErr w:type="gramStart"/>
            <w:r w:rsidRPr="00640447">
              <w:rPr>
                <w:sz w:val="16"/>
                <w:szCs w:val="16"/>
              </w:rPr>
              <w:t>Утвержден-ный</w:t>
            </w:r>
            <w:proofErr w:type="gramEnd"/>
            <w:r w:rsidRPr="00640447">
              <w:rPr>
                <w:sz w:val="16"/>
                <w:szCs w:val="16"/>
              </w:rPr>
              <w:t xml:space="preserve"> период</w:t>
            </w:r>
          </w:p>
        </w:tc>
        <w:tc>
          <w:tcPr>
            <w:tcW w:w="2705" w:type="pct"/>
            <w:gridSpan w:val="10"/>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2E9E240" w14:textId="77777777" w:rsidR="004A0123" w:rsidRPr="00640447" w:rsidRDefault="004A0123" w:rsidP="008A5C11">
            <w:pPr>
              <w:jc w:val="center"/>
              <w:rPr>
                <w:sz w:val="16"/>
                <w:szCs w:val="16"/>
              </w:rPr>
            </w:pPr>
            <w:r w:rsidRPr="00640447">
              <w:rPr>
                <w:sz w:val="16"/>
                <w:szCs w:val="16"/>
              </w:rPr>
              <w:t>в т.ч. по годам реализации</w:t>
            </w:r>
          </w:p>
        </w:tc>
      </w:tr>
      <w:tr w:rsidR="004A0123" w:rsidRPr="00640447" w14:paraId="4CE8C952" w14:textId="77777777" w:rsidTr="008A5C11">
        <w:trPr>
          <w:trHeight w:val="255"/>
        </w:trPr>
        <w:tc>
          <w:tcPr>
            <w:tcW w:w="182"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B8DB69E" w14:textId="77777777" w:rsidR="004A0123" w:rsidRPr="00640447" w:rsidRDefault="004A0123" w:rsidP="008A5C11">
            <w:pPr>
              <w:jc w:val="center"/>
              <w:rPr>
                <w:sz w:val="16"/>
                <w:szCs w:val="16"/>
              </w:rPr>
            </w:pPr>
          </w:p>
        </w:tc>
        <w:tc>
          <w:tcPr>
            <w:tcW w:w="999"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6A3726F" w14:textId="77777777" w:rsidR="004A0123" w:rsidRPr="00640447" w:rsidRDefault="004A0123" w:rsidP="008A5C11">
            <w:pPr>
              <w:jc w:val="center"/>
              <w:rPr>
                <w:sz w:val="16"/>
                <w:szCs w:val="16"/>
              </w:rPr>
            </w:pPr>
          </w:p>
        </w:tc>
        <w:tc>
          <w:tcPr>
            <w:tcW w:w="416"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769FE84" w14:textId="77777777" w:rsidR="004A0123" w:rsidRPr="00640447" w:rsidRDefault="004A0123" w:rsidP="008A5C11">
            <w:pPr>
              <w:jc w:val="center"/>
              <w:rPr>
                <w:sz w:val="16"/>
                <w:szCs w:val="16"/>
              </w:rPr>
            </w:pPr>
          </w:p>
        </w:tc>
        <w:tc>
          <w:tcPr>
            <w:tcW w:w="321"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855E0E7" w14:textId="77777777" w:rsidR="004A0123" w:rsidRPr="00640447" w:rsidRDefault="004A0123" w:rsidP="008A5C11">
            <w:pPr>
              <w:jc w:val="center"/>
              <w:rPr>
                <w:sz w:val="16"/>
                <w:szCs w:val="16"/>
              </w:rPr>
            </w:pPr>
          </w:p>
        </w:tc>
        <w:tc>
          <w:tcPr>
            <w:tcW w:w="377"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31A1B451" w14:textId="77777777" w:rsidR="004A0123" w:rsidRPr="00640447" w:rsidRDefault="004A0123" w:rsidP="008A5C11">
            <w:pPr>
              <w:jc w:val="center"/>
              <w:rPr>
                <w:sz w:val="16"/>
                <w:szCs w:val="16"/>
              </w:rPr>
            </w:pPr>
          </w:p>
        </w:tc>
        <w:tc>
          <w:tcPr>
            <w:tcW w:w="23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38F5C52" w14:textId="77777777" w:rsidR="004A0123" w:rsidRPr="00640447" w:rsidRDefault="004A0123" w:rsidP="008A5C11">
            <w:pPr>
              <w:jc w:val="center"/>
              <w:rPr>
                <w:sz w:val="16"/>
                <w:szCs w:val="16"/>
              </w:rPr>
            </w:pPr>
            <w:r w:rsidRPr="00640447">
              <w:rPr>
                <w:sz w:val="16"/>
                <w:szCs w:val="16"/>
              </w:rPr>
              <w:t>2019</w:t>
            </w:r>
          </w:p>
        </w:tc>
        <w:tc>
          <w:tcPr>
            <w:tcW w:w="28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DD587E9" w14:textId="77777777" w:rsidR="004A0123" w:rsidRPr="00640447" w:rsidRDefault="004A0123" w:rsidP="008A5C11">
            <w:pPr>
              <w:jc w:val="center"/>
              <w:rPr>
                <w:sz w:val="16"/>
                <w:szCs w:val="16"/>
              </w:rPr>
            </w:pPr>
            <w:r w:rsidRPr="00640447">
              <w:rPr>
                <w:sz w:val="16"/>
                <w:szCs w:val="16"/>
              </w:rPr>
              <w:t>2020</w:t>
            </w:r>
          </w:p>
        </w:tc>
        <w:tc>
          <w:tcPr>
            <w:tcW w:w="236" w:type="pct"/>
            <w:tcBorders>
              <w:top w:val="nil"/>
              <w:left w:val="nil"/>
              <w:bottom w:val="single" w:sz="4" w:space="0" w:color="auto"/>
              <w:right w:val="single" w:sz="4" w:space="0" w:color="auto"/>
            </w:tcBorders>
            <w:tcMar>
              <w:left w:w="28" w:type="dxa"/>
              <w:right w:w="28" w:type="dxa"/>
            </w:tcMar>
            <w:vAlign w:val="center"/>
          </w:tcPr>
          <w:p w14:paraId="13CBD27C" w14:textId="77777777" w:rsidR="004A0123" w:rsidRPr="00640447" w:rsidRDefault="004A0123" w:rsidP="008A5C11">
            <w:pPr>
              <w:jc w:val="center"/>
              <w:rPr>
                <w:sz w:val="16"/>
                <w:szCs w:val="16"/>
              </w:rPr>
            </w:pPr>
            <w:r w:rsidRPr="00640447">
              <w:rPr>
                <w:sz w:val="16"/>
                <w:szCs w:val="16"/>
              </w:rPr>
              <w:t>2021</w:t>
            </w:r>
          </w:p>
        </w:tc>
        <w:tc>
          <w:tcPr>
            <w:tcW w:w="235" w:type="pct"/>
            <w:tcBorders>
              <w:top w:val="nil"/>
              <w:left w:val="nil"/>
              <w:bottom w:val="single" w:sz="4" w:space="0" w:color="auto"/>
              <w:right w:val="single" w:sz="4" w:space="0" w:color="auto"/>
            </w:tcBorders>
            <w:tcMar>
              <w:left w:w="28" w:type="dxa"/>
              <w:right w:w="28" w:type="dxa"/>
            </w:tcMar>
            <w:vAlign w:val="center"/>
          </w:tcPr>
          <w:p w14:paraId="0D56948D" w14:textId="77777777" w:rsidR="004A0123" w:rsidRPr="00640447" w:rsidRDefault="004A0123" w:rsidP="008A5C11">
            <w:pPr>
              <w:jc w:val="center"/>
              <w:rPr>
                <w:sz w:val="16"/>
                <w:szCs w:val="16"/>
              </w:rPr>
            </w:pPr>
            <w:r w:rsidRPr="00640447">
              <w:rPr>
                <w:sz w:val="16"/>
                <w:szCs w:val="16"/>
              </w:rPr>
              <w:t>2022</w:t>
            </w:r>
          </w:p>
        </w:tc>
        <w:tc>
          <w:tcPr>
            <w:tcW w:w="287" w:type="pct"/>
            <w:tcBorders>
              <w:top w:val="nil"/>
              <w:left w:val="nil"/>
              <w:bottom w:val="single" w:sz="4" w:space="0" w:color="auto"/>
              <w:right w:val="single" w:sz="4" w:space="0" w:color="auto"/>
            </w:tcBorders>
            <w:tcMar>
              <w:left w:w="28" w:type="dxa"/>
              <w:right w:w="28" w:type="dxa"/>
            </w:tcMar>
            <w:vAlign w:val="center"/>
          </w:tcPr>
          <w:p w14:paraId="4D8D8CDC" w14:textId="77777777" w:rsidR="004A0123" w:rsidRPr="00640447" w:rsidRDefault="004A0123" w:rsidP="008A5C11">
            <w:pPr>
              <w:jc w:val="center"/>
              <w:rPr>
                <w:sz w:val="16"/>
                <w:szCs w:val="16"/>
              </w:rPr>
            </w:pPr>
            <w:r w:rsidRPr="00640447">
              <w:rPr>
                <w:sz w:val="16"/>
                <w:szCs w:val="16"/>
              </w:rPr>
              <w:t>2023</w:t>
            </w:r>
          </w:p>
        </w:tc>
        <w:tc>
          <w:tcPr>
            <w:tcW w:w="288" w:type="pct"/>
            <w:tcBorders>
              <w:top w:val="single" w:sz="4" w:space="0" w:color="auto"/>
              <w:left w:val="nil"/>
              <w:bottom w:val="single" w:sz="4" w:space="0" w:color="auto"/>
              <w:right w:val="single" w:sz="4" w:space="0" w:color="auto"/>
            </w:tcBorders>
            <w:vAlign w:val="center"/>
          </w:tcPr>
          <w:p w14:paraId="4A61B122" w14:textId="77777777" w:rsidR="004A0123" w:rsidRPr="00640447" w:rsidRDefault="004A0123" w:rsidP="008A5C11">
            <w:pPr>
              <w:jc w:val="center"/>
              <w:rPr>
                <w:sz w:val="16"/>
                <w:szCs w:val="16"/>
              </w:rPr>
            </w:pPr>
            <w:r w:rsidRPr="00640447">
              <w:rPr>
                <w:sz w:val="16"/>
                <w:szCs w:val="16"/>
              </w:rPr>
              <w:t>2024</w:t>
            </w:r>
          </w:p>
        </w:tc>
        <w:tc>
          <w:tcPr>
            <w:tcW w:w="289" w:type="pct"/>
            <w:tcBorders>
              <w:top w:val="single" w:sz="4" w:space="0" w:color="auto"/>
              <w:left w:val="single" w:sz="4" w:space="0" w:color="auto"/>
              <w:bottom w:val="single" w:sz="4" w:space="0" w:color="auto"/>
              <w:right w:val="single" w:sz="4" w:space="0" w:color="auto"/>
            </w:tcBorders>
            <w:vAlign w:val="center"/>
          </w:tcPr>
          <w:p w14:paraId="20D53DB2" w14:textId="77777777" w:rsidR="004A0123" w:rsidRPr="00640447" w:rsidRDefault="004A0123" w:rsidP="008A5C11">
            <w:pPr>
              <w:jc w:val="center"/>
              <w:rPr>
                <w:sz w:val="16"/>
                <w:szCs w:val="16"/>
              </w:rPr>
            </w:pPr>
            <w:r w:rsidRPr="00640447">
              <w:rPr>
                <w:sz w:val="16"/>
                <w:szCs w:val="16"/>
              </w:rPr>
              <w:t>2025</w:t>
            </w:r>
          </w:p>
        </w:tc>
        <w:tc>
          <w:tcPr>
            <w:tcW w:w="286" w:type="pct"/>
            <w:tcBorders>
              <w:top w:val="single" w:sz="4" w:space="0" w:color="auto"/>
              <w:left w:val="single" w:sz="4" w:space="0" w:color="auto"/>
              <w:bottom w:val="single" w:sz="4" w:space="0" w:color="auto"/>
              <w:right w:val="single" w:sz="4" w:space="0" w:color="auto"/>
            </w:tcBorders>
            <w:vAlign w:val="center"/>
          </w:tcPr>
          <w:p w14:paraId="2FAC8F0F" w14:textId="77777777" w:rsidR="004A0123" w:rsidRPr="00640447" w:rsidRDefault="004A0123" w:rsidP="008A5C11">
            <w:pPr>
              <w:jc w:val="center"/>
              <w:rPr>
                <w:sz w:val="16"/>
                <w:szCs w:val="16"/>
              </w:rPr>
            </w:pPr>
            <w:r w:rsidRPr="00640447">
              <w:rPr>
                <w:sz w:val="16"/>
                <w:szCs w:val="16"/>
              </w:rPr>
              <w:t>2026</w:t>
            </w:r>
          </w:p>
        </w:tc>
        <w:tc>
          <w:tcPr>
            <w:tcW w:w="282" w:type="pct"/>
            <w:tcBorders>
              <w:top w:val="single" w:sz="4" w:space="0" w:color="auto"/>
              <w:left w:val="single" w:sz="4" w:space="0" w:color="auto"/>
              <w:bottom w:val="single" w:sz="4" w:space="0" w:color="auto"/>
              <w:right w:val="single" w:sz="4" w:space="0" w:color="auto"/>
            </w:tcBorders>
            <w:vAlign w:val="center"/>
          </w:tcPr>
          <w:p w14:paraId="09F91189" w14:textId="77777777" w:rsidR="004A0123" w:rsidRPr="00640447" w:rsidRDefault="004A0123" w:rsidP="008A5C11">
            <w:pPr>
              <w:jc w:val="center"/>
              <w:rPr>
                <w:sz w:val="16"/>
                <w:szCs w:val="16"/>
              </w:rPr>
            </w:pPr>
            <w:r w:rsidRPr="00640447">
              <w:rPr>
                <w:sz w:val="16"/>
                <w:szCs w:val="16"/>
              </w:rPr>
              <w:t>2027</w:t>
            </w:r>
          </w:p>
        </w:tc>
        <w:tc>
          <w:tcPr>
            <w:tcW w:w="282" w:type="pct"/>
            <w:tcBorders>
              <w:top w:val="single" w:sz="4" w:space="0" w:color="auto"/>
              <w:left w:val="single" w:sz="4" w:space="0" w:color="auto"/>
              <w:bottom w:val="single" w:sz="4" w:space="0" w:color="auto"/>
              <w:right w:val="single" w:sz="4" w:space="0" w:color="auto"/>
            </w:tcBorders>
            <w:vAlign w:val="center"/>
          </w:tcPr>
          <w:p w14:paraId="33227B81" w14:textId="77777777" w:rsidR="004A0123" w:rsidRPr="00640447" w:rsidRDefault="004A0123" w:rsidP="008A5C11">
            <w:pPr>
              <w:jc w:val="center"/>
              <w:rPr>
                <w:sz w:val="16"/>
                <w:szCs w:val="16"/>
              </w:rPr>
            </w:pPr>
            <w:r w:rsidRPr="00640447">
              <w:rPr>
                <w:sz w:val="16"/>
                <w:szCs w:val="16"/>
              </w:rPr>
              <w:t>2028</w:t>
            </w:r>
          </w:p>
        </w:tc>
      </w:tr>
      <w:tr w:rsidR="004A0123" w:rsidRPr="00640447" w14:paraId="1D938D30" w14:textId="77777777" w:rsidTr="008A5C11">
        <w:trPr>
          <w:trHeight w:val="510"/>
        </w:trPr>
        <w:tc>
          <w:tcPr>
            <w:tcW w:w="18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980373E" w14:textId="77777777" w:rsidR="004A0123" w:rsidRPr="00640447" w:rsidRDefault="004A0123" w:rsidP="008A5C11">
            <w:pPr>
              <w:jc w:val="center"/>
              <w:rPr>
                <w:sz w:val="16"/>
                <w:szCs w:val="16"/>
              </w:rPr>
            </w:pPr>
            <w:r w:rsidRPr="00640447">
              <w:rPr>
                <w:sz w:val="16"/>
                <w:szCs w:val="16"/>
              </w:rPr>
              <w:t>1.</w:t>
            </w:r>
          </w:p>
        </w:tc>
        <w:tc>
          <w:tcPr>
            <w:tcW w:w="99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6D400F1" w14:textId="77777777" w:rsidR="004A0123" w:rsidRPr="00640447" w:rsidRDefault="004A0123" w:rsidP="008A5C11">
            <w:pPr>
              <w:jc w:val="center"/>
              <w:rPr>
                <w:sz w:val="16"/>
                <w:szCs w:val="16"/>
              </w:rPr>
            </w:pPr>
            <w:r w:rsidRPr="00640447">
              <w:rPr>
                <w:sz w:val="16"/>
                <w:szCs w:val="16"/>
              </w:rPr>
              <w:t>Удельный расход электрической энергии на транспортировку теплоносителя</w:t>
            </w:r>
          </w:p>
        </w:tc>
        <w:tc>
          <w:tcPr>
            <w:tcW w:w="41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E34F8F6" w14:textId="77777777" w:rsidR="004A0123" w:rsidRPr="00640447" w:rsidRDefault="004A0123" w:rsidP="008A5C11">
            <w:pPr>
              <w:jc w:val="center"/>
              <w:rPr>
                <w:sz w:val="16"/>
                <w:szCs w:val="16"/>
              </w:rPr>
            </w:pPr>
            <w:r w:rsidRPr="00640447">
              <w:rPr>
                <w:sz w:val="16"/>
                <w:szCs w:val="16"/>
              </w:rPr>
              <w:t>кВтч/м</w:t>
            </w:r>
            <w:r w:rsidRPr="00640447">
              <w:rPr>
                <w:sz w:val="16"/>
                <w:szCs w:val="16"/>
                <w:vertAlign w:val="superscript"/>
              </w:rPr>
              <w:t>3</w:t>
            </w:r>
          </w:p>
        </w:tc>
        <w:tc>
          <w:tcPr>
            <w:tcW w:w="321" w:type="pct"/>
            <w:tcBorders>
              <w:top w:val="nil"/>
              <w:left w:val="nil"/>
              <w:bottom w:val="single" w:sz="4" w:space="0" w:color="auto"/>
              <w:right w:val="single" w:sz="4" w:space="0" w:color="auto"/>
            </w:tcBorders>
            <w:shd w:val="clear" w:color="auto" w:fill="auto"/>
            <w:tcMar>
              <w:left w:w="28" w:type="dxa"/>
              <w:right w:w="28" w:type="dxa"/>
            </w:tcMar>
            <w:vAlign w:val="center"/>
          </w:tcPr>
          <w:p w14:paraId="013FE64A" w14:textId="77777777" w:rsidR="004A0123" w:rsidRPr="00640447" w:rsidRDefault="004A0123" w:rsidP="008A5C11">
            <w:pPr>
              <w:jc w:val="center"/>
              <w:rPr>
                <w:sz w:val="16"/>
                <w:szCs w:val="16"/>
              </w:rPr>
            </w:pPr>
            <w:r w:rsidRPr="00640447">
              <w:rPr>
                <w:sz w:val="16"/>
                <w:szCs w:val="16"/>
              </w:rPr>
              <w:t>-</w:t>
            </w:r>
          </w:p>
        </w:tc>
        <w:tc>
          <w:tcPr>
            <w:tcW w:w="3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B724E2C" w14:textId="77777777" w:rsidR="004A0123" w:rsidRPr="00640447" w:rsidRDefault="004A0123" w:rsidP="008A5C11">
            <w:pPr>
              <w:jc w:val="center"/>
              <w:rPr>
                <w:sz w:val="16"/>
                <w:szCs w:val="16"/>
              </w:rPr>
            </w:pPr>
            <w:r w:rsidRPr="00640447">
              <w:rPr>
                <w:sz w:val="16"/>
                <w:szCs w:val="16"/>
              </w:rPr>
              <w:t>-</w:t>
            </w:r>
          </w:p>
        </w:tc>
        <w:tc>
          <w:tcPr>
            <w:tcW w:w="23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B2DA4AF" w14:textId="77777777" w:rsidR="004A0123" w:rsidRPr="00640447" w:rsidRDefault="004A0123" w:rsidP="008A5C11">
            <w:pPr>
              <w:jc w:val="center"/>
              <w:rPr>
                <w:sz w:val="16"/>
                <w:szCs w:val="16"/>
              </w:rPr>
            </w:pPr>
            <w:r w:rsidRPr="00640447">
              <w:rPr>
                <w:sz w:val="16"/>
                <w:szCs w:val="16"/>
              </w:rPr>
              <w:t>-</w:t>
            </w:r>
          </w:p>
        </w:tc>
        <w:tc>
          <w:tcPr>
            <w:tcW w:w="28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113A37A" w14:textId="77777777" w:rsidR="004A0123" w:rsidRPr="00640447" w:rsidRDefault="004A0123" w:rsidP="008A5C11">
            <w:pPr>
              <w:jc w:val="center"/>
              <w:rPr>
                <w:sz w:val="16"/>
                <w:szCs w:val="16"/>
              </w:rPr>
            </w:pPr>
            <w:r w:rsidRPr="00640447">
              <w:rPr>
                <w:sz w:val="16"/>
                <w:szCs w:val="16"/>
              </w:rPr>
              <w:t>-</w:t>
            </w:r>
          </w:p>
        </w:tc>
        <w:tc>
          <w:tcPr>
            <w:tcW w:w="23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9737602" w14:textId="77777777" w:rsidR="004A0123" w:rsidRPr="00640447" w:rsidRDefault="004A0123" w:rsidP="008A5C11">
            <w:pPr>
              <w:jc w:val="center"/>
              <w:rPr>
                <w:sz w:val="16"/>
                <w:szCs w:val="16"/>
              </w:rPr>
            </w:pPr>
            <w:r w:rsidRPr="00640447">
              <w:rPr>
                <w:sz w:val="16"/>
                <w:szCs w:val="16"/>
              </w:rPr>
              <w:t>-</w:t>
            </w:r>
          </w:p>
        </w:tc>
        <w:tc>
          <w:tcPr>
            <w:tcW w:w="235" w:type="pct"/>
            <w:tcBorders>
              <w:top w:val="single" w:sz="4" w:space="0" w:color="auto"/>
              <w:left w:val="nil"/>
              <w:bottom w:val="single" w:sz="4" w:space="0" w:color="auto"/>
              <w:right w:val="single" w:sz="4" w:space="0" w:color="auto"/>
            </w:tcBorders>
            <w:tcMar>
              <w:left w:w="28" w:type="dxa"/>
              <w:right w:w="28" w:type="dxa"/>
            </w:tcMar>
            <w:vAlign w:val="center"/>
          </w:tcPr>
          <w:p w14:paraId="6D82F9C6" w14:textId="77777777" w:rsidR="004A0123" w:rsidRPr="00640447" w:rsidRDefault="004A0123" w:rsidP="008A5C11">
            <w:pPr>
              <w:jc w:val="center"/>
              <w:rPr>
                <w:sz w:val="16"/>
                <w:szCs w:val="16"/>
              </w:rPr>
            </w:pPr>
            <w:r w:rsidRPr="00640447">
              <w:rPr>
                <w:sz w:val="16"/>
                <w:szCs w:val="16"/>
              </w:rPr>
              <w:t>-</w:t>
            </w:r>
          </w:p>
        </w:tc>
        <w:tc>
          <w:tcPr>
            <w:tcW w:w="287" w:type="pct"/>
            <w:tcBorders>
              <w:top w:val="single" w:sz="4" w:space="0" w:color="auto"/>
              <w:left w:val="nil"/>
              <w:bottom w:val="single" w:sz="4" w:space="0" w:color="auto"/>
              <w:right w:val="single" w:sz="4" w:space="0" w:color="auto"/>
            </w:tcBorders>
            <w:tcMar>
              <w:left w:w="28" w:type="dxa"/>
              <w:right w:w="28" w:type="dxa"/>
            </w:tcMar>
            <w:vAlign w:val="center"/>
          </w:tcPr>
          <w:p w14:paraId="54B512F8" w14:textId="77777777" w:rsidR="004A0123" w:rsidRPr="00640447" w:rsidRDefault="004A0123" w:rsidP="008A5C11">
            <w:pPr>
              <w:jc w:val="center"/>
              <w:rPr>
                <w:sz w:val="16"/>
                <w:szCs w:val="16"/>
              </w:rPr>
            </w:pPr>
            <w:r w:rsidRPr="00640447">
              <w:rPr>
                <w:sz w:val="16"/>
                <w:szCs w:val="16"/>
              </w:rPr>
              <w:t>-</w:t>
            </w:r>
          </w:p>
        </w:tc>
        <w:tc>
          <w:tcPr>
            <w:tcW w:w="288" w:type="pct"/>
            <w:tcBorders>
              <w:top w:val="single" w:sz="4" w:space="0" w:color="auto"/>
              <w:left w:val="nil"/>
              <w:bottom w:val="single" w:sz="4" w:space="0" w:color="auto"/>
              <w:right w:val="single" w:sz="4" w:space="0" w:color="auto"/>
            </w:tcBorders>
            <w:vAlign w:val="center"/>
          </w:tcPr>
          <w:p w14:paraId="41A59F9E" w14:textId="77777777" w:rsidR="004A0123" w:rsidRPr="00640447" w:rsidRDefault="004A0123" w:rsidP="008A5C11">
            <w:pPr>
              <w:jc w:val="center"/>
              <w:rPr>
                <w:sz w:val="16"/>
                <w:szCs w:val="16"/>
              </w:rPr>
            </w:pPr>
            <w:r w:rsidRPr="00640447">
              <w:rPr>
                <w:sz w:val="16"/>
                <w:szCs w:val="16"/>
              </w:rPr>
              <w:t>-</w:t>
            </w:r>
          </w:p>
        </w:tc>
        <w:tc>
          <w:tcPr>
            <w:tcW w:w="289" w:type="pct"/>
            <w:tcBorders>
              <w:top w:val="single" w:sz="4" w:space="0" w:color="auto"/>
              <w:left w:val="single" w:sz="4" w:space="0" w:color="auto"/>
              <w:bottom w:val="single" w:sz="4" w:space="0" w:color="auto"/>
              <w:right w:val="single" w:sz="4" w:space="0" w:color="auto"/>
            </w:tcBorders>
            <w:vAlign w:val="center"/>
          </w:tcPr>
          <w:p w14:paraId="09E93CFB" w14:textId="77777777" w:rsidR="004A0123" w:rsidRPr="00640447" w:rsidRDefault="004A0123" w:rsidP="008A5C11">
            <w:pPr>
              <w:jc w:val="center"/>
              <w:rPr>
                <w:sz w:val="16"/>
                <w:szCs w:val="16"/>
              </w:rPr>
            </w:pPr>
            <w:r w:rsidRPr="00640447">
              <w:rPr>
                <w:sz w:val="16"/>
                <w:szCs w:val="16"/>
              </w:rPr>
              <w:t>-</w:t>
            </w:r>
          </w:p>
        </w:tc>
        <w:tc>
          <w:tcPr>
            <w:tcW w:w="286" w:type="pct"/>
            <w:tcBorders>
              <w:top w:val="single" w:sz="4" w:space="0" w:color="auto"/>
              <w:left w:val="single" w:sz="4" w:space="0" w:color="auto"/>
              <w:bottom w:val="single" w:sz="4" w:space="0" w:color="auto"/>
              <w:right w:val="single" w:sz="4" w:space="0" w:color="auto"/>
            </w:tcBorders>
            <w:vAlign w:val="center"/>
          </w:tcPr>
          <w:p w14:paraId="53D50EB9" w14:textId="77777777" w:rsidR="004A0123" w:rsidRPr="00640447" w:rsidRDefault="004A0123" w:rsidP="008A5C11">
            <w:pPr>
              <w:jc w:val="center"/>
              <w:rPr>
                <w:sz w:val="16"/>
                <w:szCs w:val="16"/>
              </w:rPr>
            </w:pPr>
            <w:r w:rsidRPr="00640447">
              <w:rPr>
                <w:sz w:val="16"/>
                <w:szCs w:val="16"/>
              </w:rPr>
              <w:t>-</w:t>
            </w:r>
          </w:p>
        </w:tc>
        <w:tc>
          <w:tcPr>
            <w:tcW w:w="282" w:type="pct"/>
            <w:tcBorders>
              <w:top w:val="single" w:sz="4" w:space="0" w:color="auto"/>
              <w:left w:val="single" w:sz="4" w:space="0" w:color="auto"/>
              <w:bottom w:val="single" w:sz="4" w:space="0" w:color="auto"/>
              <w:right w:val="single" w:sz="4" w:space="0" w:color="auto"/>
            </w:tcBorders>
            <w:vAlign w:val="center"/>
          </w:tcPr>
          <w:p w14:paraId="2FA2A91F" w14:textId="77777777" w:rsidR="004A0123" w:rsidRPr="00640447" w:rsidRDefault="004A0123" w:rsidP="008A5C11">
            <w:pPr>
              <w:jc w:val="center"/>
              <w:rPr>
                <w:sz w:val="16"/>
                <w:szCs w:val="16"/>
              </w:rPr>
            </w:pPr>
            <w:r w:rsidRPr="00640447">
              <w:rPr>
                <w:sz w:val="16"/>
                <w:szCs w:val="16"/>
              </w:rPr>
              <w:t>-</w:t>
            </w:r>
          </w:p>
        </w:tc>
        <w:tc>
          <w:tcPr>
            <w:tcW w:w="282" w:type="pct"/>
            <w:tcBorders>
              <w:top w:val="single" w:sz="4" w:space="0" w:color="auto"/>
              <w:left w:val="single" w:sz="4" w:space="0" w:color="auto"/>
              <w:bottom w:val="single" w:sz="4" w:space="0" w:color="auto"/>
              <w:right w:val="single" w:sz="4" w:space="0" w:color="auto"/>
            </w:tcBorders>
            <w:vAlign w:val="center"/>
          </w:tcPr>
          <w:p w14:paraId="0E3EE2E8" w14:textId="77777777" w:rsidR="004A0123" w:rsidRPr="00640447" w:rsidRDefault="004A0123" w:rsidP="008A5C11">
            <w:pPr>
              <w:jc w:val="center"/>
              <w:rPr>
                <w:sz w:val="16"/>
                <w:szCs w:val="16"/>
              </w:rPr>
            </w:pPr>
            <w:r w:rsidRPr="00640447">
              <w:rPr>
                <w:sz w:val="16"/>
                <w:szCs w:val="16"/>
              </w:rPr>
              <w:t>-</w:t>
            </w:r>
          </w:p>
        </w:tc>
      </w:tr>
      <w:tr w:rsidR="004A0123" w:rsidRPr="00640447" w14:paraId="03E8FAF0" w14:textId="77777777" w:rsidTr="008A5C11">
        <w:trPr>
          <w:trHeight w:val="510"/>
        </w:trPr>
        <w:tc>
          <w:tcPr>
            <w:tcW w:w="18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09C390A" w14:textId="77777777" w:rsidR="004A0123" w:rsidRPr="00640447" w:rsidRDefault="004A0123" w:rsidP="008A5C11">
            <w:pPr>
              <w:jc w:val="center"/>
              <w:rPr>
                <w:sz w:val="16"/>
                <w:szCs w:val="16"/>
              </w:rPr>
            </w:pPr>
            <w:r w:rsidRPr="00640447">
              <w:rPr>
                <w:sz w:val="16"/>
                <w:szCs w:val="16"/>
              </w:rPr>
              <w:t>2.</w:t>
            </w:r>
          </w:p>
        </w:tc>
        <w:tc>
          <w:tcPr>
            <w:tcW w:w="99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444FCDD" w14:textId="77777777" w:rsidR="004A0123" w:rsidRPr="00640447" w:rsidRDefault="004A0123" w:rsidP="008A5C11">
            <w:pPr>
              <w:jc w:val="center"/>
              <w:rPr>
                <w:sz w:val="16"/>
                <w:szCs w:val="16"/>
              </w:rPr>
            </w:pPr>
            <w:r w:rsidRPr="00640447">
              <w:rPr>
                <w:sz w:val="16"/>
                <w:szCs w:val="16"/>
              </w:rPr>
              <w:t>Удельный расход условного топлива на выработку единицы тепловой энергии и (или) теплоносителя</w:t>
            </w:r>
          </w:p>
        </w:tc>
        <w:tc>
          <w:tcPr>
            <w:tcW w:w="41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5A58806" w14:textId="77777777" w:rsidR="004A0123" w:rsidRPr="00640447" w:rsidRDefault="004A0123" w:rsidP="008A5C11">
            <w:pPr>
              <w:jc w:val="center"/>
              <w:rPr>
                <w:sz w:val="16"/>
                <w:szCs w:val="16"/>
              </w:rPr>
            </w:pPr>
            <w:r w:rsidRPr="00640447">
              <w:rPr>
                <w:sz w:val="16"/>
                <w:szCs w:val="16"/>
              </w:rPr>
              <w:t>кг.у.т./Гкал</w:t>
            </w:r>
          </w:p>
        </w:tc>
        <w:tc>
          <w:tcPr>
            <w:tcW w:w="321" w:type="pct"/>
            <w:tcBorders>
              <w:top w:val="nil"/>
              <w:left w:val="nil"/>
              <w:bottom w:val="single" w:sz="4" w:space="0" w:color="auto"/>
              <w:right w:val="single" w:sz="4" w:space="0" w:color="auto"/>
            </w:tcBorders>
            <w:shd w:val="clear" w:color="auto" w:fill="auto"/>
            <w:tcMar>
              <w:left w:w="28" w:type="dxa"/>
              <w:right w:w="28" w:type="dxa"/>
            </w:tcMar>
            <w:vAlign w:val="center"/>
          </w:tcPr>
          <w:p w14:paraId="5A600A92" w14:textId="77777777" w:rsidR="004A0123" w:rsidRPr="00640447" w:rsidRDefault="004A0123" w:rsidP="008A5C11">
            <w:pPr>
              <w:jc w:val="center"/>
              <w:rPr>
                <w:sz w:val="16"/>
                <w:szCs w:val="16"/>
              </w:rPr>
            </w:pPr>
            <w:r w:rsidRPr="00640447">
              <w:rPr>
                <w:sz w:val="16"/>
                <w:szCs w:val="16"/>
              </w:rPr>
              <w:t>202,4</w:t>
            </w:r>
          </w:p>
        </w:tc>
        <w:tc>
          <w:tcPr>
            <w:tcW w:w="377" w:type="pct"/>
            <w:tcBorders>
              <w:top w:val="nil"/>
              <w:left w:val="single" w:sz="4" w:space="0" w:color="auto"/>
              <w:bottom w:val="single" w:sz="4" w:space="0" w:color="000000"/>
              <w:right w:val="single" w:sz="4" w:space="0" w:color="auto"/>
            </w:tcBorders>
            <w:shd w:val="clear" w:color="auto" w:fill="auto"/>
            <w:tcMar>
              <w:left w:w="28" w:type="dxa"/>
              <w:right w:w="28" w:type="dxa"/>
            </w:tcMar>
            <w:vAlign w:val="center"/>
          </w:tcPr>
          <w:p w14:paraId="31826C51" w14:textId="77777777" w:rsidR="004A0123" w:rsidRPr="00640447" w:rsidRDefault="004A0123" w:rsidP="008A5C11">
            <w:pPr>
              <w:jc w:val="center"/>
              <w:rPr>
                <w:sz w:val="16"/>
                <w:szCs w:val="16"/>
              </w:rPr>
            </w:pPr>
            <w:r w:rsidRPr="00640447">
              <w:rPr>
                <w:sz w:val="16"/>
                <w:szCs w:val="16"/>
              </w:rPr>
              <w:t>198,7</w:t>
            </w:r>
          </w:p>
        </w:tc>
        <w:tc>
          <w:tcPr>
            <w:tcW w:w="237" w:type="pct"/>
            <w:tcBorders>
              <w:top w:val="nil"/>
              <w:left w:val="single" w:sz="4" w:space="0" w:color="auto"/>
              <w:bottom w:val="single" w:sz="4" w:space="0" w:color="000000"/>
              <w:right w:val="single" w:sz="4" w:space="0" w:color="auto"/>
            </w:tcBorders>
            <w:shd w:val="clear" w:color="auto" w:fill="auto"/>
            <w:tcMar>
              <w:left w:w="28" w:type="dxa"/>
              <w:right w:w="28" w:type="dxa"/>
            </w:tcMar>
            <w:vAlign w:val="center"/>
          </w:tcPr>
          <w:p w14:paraId="73821AC4" w14:textId="77777777" w:rsidR="004A0123" w:rsidRPr="00640447" w:rsidRDefault="004A0123" w:rsidP="008A5C11">
            <w:pPr>
              <w:jc w:val="center"/>
              <w:rPr>
                <w:sz w:val="16"/>
                <w:szCs w:val="16"/>
              </w:rPr>
            </w:pPr>
            <w:r w:rsidRPr="00640447">
              <w:rPr>
                <w:sz w:val="16"/>
                <w:szCs w:val="16"/>
              </w:rPr>
              <w:t>202,40</w:t>
            </w:r>
          </w:p>
        </w:tc>
        <w:tc>
          <w:tcPr>
            <w:tcW w:w="283" w:type="pct"/>
            <w:tcBorders>
              <w:top w:val="nil"/>
              <w:left w:val="single" w:sz="4" w:space="0" w:color="auto"/>
              <w:bottom w:val="single" w:sz="4" w:space="0" w:color="000000"/>
              <w:right w:val="single" w:sz="4" w:space="0" w:color="auto"/>
            </w:tcBorders>
            <w:shd w:val="clear" w:color="auto" w:fill="auto"/>
            <w:tcMar>
              <w:left w:w="28" w:type="dxa"/>
              <w:right w:w="28" w:type="dxa"/>
            </w:tcMar>
            <w:vAlign w:val="center"/>
          </w:tcPr>
          <w:p w14:paraId="6149CC02" w14:textId="77777777" w:rsidR="004A0123" w:rsidRPr="00640447" w:rsidRDefault="004A0123" w:rsidP="008A5C11">
            <w:pPr>
              <w:jc w:val="center"/>
              <w:rPr>
                <w:sz w:val="16"/>
                <w:szCs w:val="16"/>
              </w:rPr>
            </w:pPr>
            <w:r w:rsidRPr="00640447">
              <w:rPr>
                <w:sz w:val="16"/>
                <w:szCs w:val="16"/>
              </w:rPr>
              <w:t>201,30</w:t>
            </w:r>
          </w:p>
        </w:tc>
        <w:tc>
          <w:tcPr>
            <w:tcW w:w="236" w:type="pct"/>
            <w:tcBorders>
              <w:top w:val="nil"/>
              <w:left w:val="single" w:sz="4" w:space="0" w:color="auto"/>
              <w:bottom w:val="single" w:sz="4" w:space="0" w:color="000000"/>
              <w:right w:val="single" w:sz="4" w:space="0" w:color="auto"/>
            </w:tcBorders>
            <w:shd w:val="clear" w:color="auto" w:fill="auto"/>
            <w:tcMar>
              <w:left w:w="28" w:type="dxa"/>
              <w:right w:w="28" w:type="dxa"/>
            </w:tcMar>
            <w:vAlign w:val="center"/>
          </w:tcPr>
          <w:p w14:paraId="67245DD6" w14:textId="77777777" w:rsidR="004A0123" w:rsidRPr="00640447" w:rsidRDefault="004A0123" w:rsidP="008A5C11">
            <w:pPr>
              <w:jc w:val="center"/>
              <w:rPr>
                <w:sz w:val="16"/>
                <w:szCs w:val="16"/>
              </w:rPr>
            </w:pPr>
            <w:r w:rsidRPr="00640447">
              <w:rPr>
                <w:sz w:val="16"/>
                <w:szCs w:val="16"/>
              </w:rPr>
              <w:t>201,30</w:t>
            </w:r>
          </w:p>
        </w:tc>
        <w:tc>
          <w:tcPr>
            <w:tcW w:w="235" w:type="pct"/>
            <w:tcBorders>
              <w:top w:val="nil"/>
              <w:left w:val="single" w:sz="4" w:space="0" w:color="auto"/>
              <w:bottom w:val="single" w:sz="4" w:space="0" w:color="000000"/>
              <w:right w:val="single" w:sz="4" w:space="0" w:color="auto"/>
            </w:tcBorders>
            <w:tcMar>
              <w:left w:w="28" w:type="dxa"/>
              <w:right w:w="28" w:type="dxa"/>
            </w:tcMar>
            <w:vAlign w:val="center"/>
          </w:tcPr>
          <w:p w14:paraId="7930D745" w14:textId="77777777" w:rsidR="004A0123" w:rsidRPr="00640447" w:rsidRDefault="004A0123" w:rsidP="008A5C11">
            <w:pPr>
              <w:jc w:val="center"/>
              <w:rPr>
                <w:sz w:val="16"/>
                <w:szCs w:val="16"/>
              </w:rPr>
            </w:pPr>
            <w:r w:rsidRPr="00640447">
              <w:rPr>
                <w:sz w:val="16"/>
                <w:szCs w:val="16"/>
              </w:rPr>
              <w:t>200,60</w:t>
            </w:r>
          </w:p>
        </w:tc>
        <w:tc>
          <w:tcPr>
            <w:tcW w:w="287" w:type="pct"/>
            <w:tcBorders>
              <w:top w:val="nil"/>
              <w:left w:val="single" w:sz="4" w:space="0" w:color="auto"/>
              <w:bottom w:val="single" w:sz="4" w:space="0" w:color="000000"/>
              <w:right w:val="single" w:sz="4" w:space="0" w:color="auto"/>
            </w:tcBorders>
            <w:tcMar>
              <w:left w:w="28" w:type="dxa"/>
              <w:right w:w="28" w:type="dxa"/>
            </w:tcMar>
            <w:vAlign w:val="center"/>
          </w:tcPr>
          <w:p w14:paraId="61BF6DEC" w14:textId="77777777" w:rsidR="004A0123" w:rsidRPr="00640447" w:rsidRDefault="004A0123" w:rsidP="008A5C11">
            <w:pPr>
              <w:jc w:val="center"/>
              <w:rPr>
                <w:sz w:val="16"/>
                <w:szCs w:val="16"/>
              </w:rPr>
            </w:pPr>
            <w:r w:rsidRPr="00640447">
              <w:rPr>
                <w:sz w:val="16"/>
                <w:szCs w:val="16"/>
              </w:rPr>
              <w:t>199,70</w:t>
            </w:r>
          </w:p>
        </w:tc>
        <w:tc>
          <w:tcPr>
            <w:tcW w:w="288" w:type="pct"/>
            <w:tcBorders>
              <w:top w:val="single" w:sz="4" w:space="0" w:color="auto"/>
              <w:left w:val="single" w:sz="4" w:space="0" w:color="auto"/>
              <w:bottom w:val="single" w:sz="4" w:space="0" w:color="auto"/>
              <w:right w:val="single" w:sz="4" w:space="0" w:color="auto"/>
            </w:tcBorders>
            <w:vAlign w:val="center"/>
          </w:tcPr>
          <w:p w14:paraId="07E8DA51" w14:textId="77777777" w:rsidR="004A0123" w:rsidRPr="00640447" w:rsidRDefault="004A0123" w:rsidP="008A5C11">
            <w:pPr>
              <w:jc w:val="center"/>
              <w:rPr>
                <w:sz w:val="16"/>
                <w:szCs w:val="16"/>
              </w:rPr>
            </w:pPr>
            <w:r w:rsidRPr="00640447">
              <w:rPr>
                <w:sz w:val="16"/>
                <w:szCs w:val="16"/>
              </w:rPr>
              <w:t>199,00</w:t>
            </w:r>
          </w:p>
        </w:tc>
        <w:tc>
          <w:tcPr>
            <w:tcW w:w="289" w:type="pct"/>
            <w:tcBorders>
              <w:top w:val="single" w:sz="4" w:space="0" w:color="auto"/>
              <w:left w:val="single" w:sz="4" w:space="0" w:color="auto"/>
              <w:bottom w:val="single" w:sz="4" w:space="0" w:color="auto"/>
              <w:right w:val="single" w:sz="4" w:space="0" w:color="auto"/>
            </w:tcBorders>
            <w:vAlign w:val="center"/>
          </w:tcPr>
          <w:p w14:paraId="0B0C1844" w14:textId="77777777" w:rsidR="004A0123" w:rsidRPr="00640447" w:rsidRDefault="004A0123" w:rsidP="008A5C11">
            <w:pPr>
              <w:jc w:val="center"/>
              <w:rPr>
                <w:sz w:val="16"/>
                <w:szCs w:val="16"/>
              </w:rPr>
            </w:pPr>
            <w:r w:rsidRPr="00640447">
              <w:rPr>
                <w:sz w:val="16"/>
                <w:szCs w:val="16"/>
              </w:rPr>
              <w:t>199,00</w:t>
            </w:r>
          </w:p>
        </w:tc>
        <w:tc>
          <w:tcPr>
            <w:tcW w:w="286" w:type="pct"/>
            <w:tcBorders>
              <w:top w:val="single" w:sz="4" w:space="0" w:color="auto"/>
              <w:left w:val="single" w:sz="4" w:space="0" w:color="auto"/>
              <w:bottom w:val="single" w:sz="4" w:space="0" w:color="auto"/>
              <w:right w:val="single" w:sz="4" w:space="0" w:color="auto"/>
            </w:tcBorders>
            <w:vAlign w:val="center"/>
          </w:tcPr>
          <w:p w14:paraId="6A0B9D13" w14:textId="77777777" w:rsidR="004A0123" w:rsidRPr="00640447" w:rsidRDefault="004A0123" w:rsidP="008A5C11">
            <w:pPr>
              <w:jc w:val="center"/>
              <w:rPr>
                <w:sz w:val="16"/>
                <w:szCs w:val="16"/>
              </w:rPr>
            </w:pPr>
            <w:r w:rsidRPr="00640447">
              <w:rPr>
                <w:sz w:val="16"/>
                <w:szCs w:val="16"/>
              </w:rPr>
              <w:t>199,00</w:t>
            </w:r>
          </w:p>
        </w:tc>
        <w:tc>
          <w:tcPr>
            <w:tcW w:w="282" w:type="pct"/>
            <w:tcBorders>
              <w:top w:val="single" w:sz="4" w:space="0" w:color="auto"/>
              <w:left w:val="single" w:sz="4" w:space="0" w:color="auto"/>
              <w:bottom w:val="single" w:sz="4" w:space="0" w:color="auto"/>
              <w:right w:val="single" w:sz="4" w:space="0" w:color="auto"/>
            </w:tcBorders>
            <w:vAlign w:val="center"/>
          </w:tcPr>
          <w:p w14:paraId="5A95E0D4" w14:textId="77777777" w:rsidR="004A0123" w:rsidRPr="00640447" w:rsidRDefault="004A0123" w:rsidP="008A5C11">
            <w:pPr>
              <w:jc w:val="center"/>
              <w:rPr>
                <w:sz w:val="16"/>
                <w:szCs w:val="16"/>
              </w:rPr>
            </w:pPr>
            <w:r w:rsidRPr="00640447">
              <w:rPr>
                <w:sz w:val="16"/>
                <w:szCs w:val="16"/>
              </w:rPr>
              <w:t>198,70</w:t>
            </w:r>
          </w:p>
        </w:tc>
        <w:tc>
          <w:tcPr>
            <w:tcW w:w="282" w:type="pct"/>
            <w:tcBorders>
              <w:top w:val="single" w:sz="4" w:space="0" w:color="auto"/>
              <w:left w:val="single" w:sz="4" w:space="0" w:color="auto"/>
              <w:bottom w:val="single" w:sz="4" w:space="0" w:color="auto"/>
              <w:right w:val="single" w:sz="4" w:space="0" w:color="auto"/>
            </w:tcBorders>
            <w:vAlign w:val="center"/>
          </w:tcPr>
          <w:p w14:paraId="42DF19AE" w14:textId="77777777" w:rsidR="004A0123" w:rsidRPr="00640447" w:rsidRDefault="004A0123" w:rsidP="008A5C11">
            <w:pPr>
              <w:jc w:val="center"/>
              <w:rPr>
                <w:sz w:val="16"/>
                <w:szCs w:val="16"/>
              </w:rPr>
            </w:pPr>
            <w:r w:rsidRPr="00640447">
              <w:rPr>
                <w:sz w:val="16"/>
                <w:szCs w:val="16"/>
              </w:rPr>
              <w:t>198,70</w:t>
            </w:r>
          </w:p>
        </w:tc>
      </w:tr>
      <w:tr w:rsidR="004A0123" w:rsidRPr="00640447" w14:paraId="0768F659" w14:textId="77777777" w:rsidTr="008A5C11">
        <w:trPr>
          <w:trHeight w:val="510"/>
        </w:trPr>
        <w:tc>
          <w:tcPr>
            <w:tcW w:w="18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BEF6AAF" w14:textId="77777777" w:rsidR="004A0123" w:rsidRPr="00640447" w:rsidRDefault="004A0123" w:rsidP="008A5C11">
            <w:pPr>
              <w:jc w:val="center"/>
              <w:rPr>
                <w:sz w:val="16"/>
                <w:szCs w:val="16"/>
              </w:rPr>
            </w:pPr>
            <w:r w:rsidRPr="00640447">
              <w:rPr>
                <w:sz w:val="16"/>
                <w:szCs w:val="16"/>
              </w:rPr>
              <w:t>3.</w:t>
            </w:r>
          </w:p>
        </w:tc>
        <w:tc>
          <w:tcPr>
            <w:tcW w:w="99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ADC7678" w14:textId="77777777" w:rsidR="004A0123" w:rsidRPr="00640447" w:rsidRDefault="004A0123" w:rsidP="008A5C11">
            <w:pPr>
              <w:jc w:val="center"/>
              <w:rPr>
                <w:sz w:val="16"/>
                <w:szCs w:val="16"/>
              </w:rPr>
            </w:pPr>
            <w:r w:rsidRPr="00640447">
              <w:rPr>
                <w:sz w:val="16"/>
                <w:szCs w:val="16"/>
              </w:rPr>
              <w:t>Объем присоединенной тепловой нагрузки новых потребителей</w:t>
            </w:r>
          </w:p>
        </w:tc>
        <w:tc>
          <w:tcPr>
            <w:tcW w:w="41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6B9AA98" w14:textId="77777777" w:rsidR="004A0123" w:rsidRPr="00640447" w:rsidRDefault="004A0123" w:rsidP="008A5C11">
            <w:pPr>
              <w:jc w:val="center"/>
              <w:rPr>
                <w:sz w:val="16"/>
                <w:szCs w:val="16"/>
              </w:rPr>
            </w:pPr>
            <w:r w:rsidRPr="00640447">
              <w:rPr>
                <w:sz w:val="16"/>
                <w:szCs w:val="16"/>
              </w:rPr>
              <w:t>Гкал/ч</w:t>
            </w:r>
          </w:p>
        </w:tc>
        <w:tc>
          <w:tcPr>
            <w:tcW w:w="321" w:type="pct"/>
            <w:tcBorders>
              <w:top w:val="nil"/>
              <w:left w:val="nil"/>
              <w:bottom w:val="single" w:sz="4" w:space="0" w:color="auto"/>
              <w:right w:val="single" w:sz="4" w:space="0" w:color="auto"/>
            </w:tcBorders>
            <w:shd w:val="clear" w:color="auto" w:fill="auto"/>
            <w:tcMar>
              <w:left w:w="28" w:type="dxa"/>
              <w:right w:w="28" w:type="dxa"/>
            </w:tcMar>
            <w:vAlign w:val="center"/>
          </w:tcPr>
          <w:p w14:paraId="1BD24A42" w14:textId="77777777" w:rsidR="004A0123" w:rsidRPr="00640447" w:rsidRDefault="004A0123" w:rsidP="008A5C11">
            <w:pPr>
              <w:jc w:val="center"/>
              <w:rPr>
                <w:sz w:val="16"/>
                <w:szCs w:val="16"/>
              </w:rPr>
            </w:pPr>
            <w:r w:rsidRPr="00640447">
              <w:rPr>
                <w:sz w:val="16"/>
                <w:szCs w:val="16"/>
              </w:rPr>
              <w:t>-</w:t>
            </w:r>
          </w:p>
        </w:tc>
        <w:tc>
          <w:tcPr>
            <w:tcW w:w="377"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D7792ED" w14:textId="77777777" w:rsidR="004A0123" w:rsidRPr="00640447" w:rsidRDefault="004A0123" w:rsidP="008A5C11">
            <w:pPr>
              <w:jc w:val="center"/>
              <w:rPr>
                <w:sz w:val="16"/>
                <w:szCs w:val="16"/>
              </w:rPr>
            </w:pPr>
            <w:r w:rsidRPr="00640447">
              <w:rPr>
                <w:sz w:val="16"/>
                <w:szCs w:val="16"/>
              </w:rPr>
              <w:t>-</w:t>
            </w:r>
          </w:p>
        </w:tc>
        <w:tc>
          <w:tcPr>
            <w:tcW w:w="237" w:type="pct"/>
            <w:tcBorders>
              <w:top w:val="nil"/>
              <w:left w:val="nil"/>
              <w:bottom w:val="single" w:sz="4" w:space="0" w:color="auto"/>
              <w:right w:val="single" w:sz="4" w:space="0" w:color="auto"/>
            </w:tcBorders>
            <w:shd w:val="clear" w:color="auto" w:fill="auto"/>
            <w:tcMar>
              <w:left w:w="28" w:type="dxa"/>
              <w:right w:w="28" w:type="dxa"/>
            </w:tcMar>
            <w:vAlign w:val="center"/>
          </w:tcPr>
          <w:p w14:paraId="1F4C7CD8" w14:textId="77777777" w:rsidR="004A0123" w:rsidRPr="00640447" w:rsidRDefault="004A0123" w:rsidP="008A5C11">
            <w:pPr>
              <w:jc w:val="center"/>
              <w:rPr>
                <w:sz w:val="16"/>
                <w:szCs w:val="16"/>
              </w:rPr>
            </w:pPr>
            <w:r w:rsidRPr="00640447">
              <w:rPr>
                <w:sz w:val="16"/>
                <w:szCs w:val="16"/>
              </w:rPr>
              <w:t>-</w:t>
            </w:r>
          </w:p>
        </w:tc>
        <w:tc>
          <w:tcPr>
            <w:tcW w:w="283" w:type="pct"/>
            <w:tcBorders>
              <w:top w:val="nil"/>
              <w:left w:val="nil"/>
              <w:bottom w:val="single" w:sz="4" w:space="0" w:color="auto"/>
              <w:right w:val="single" w:sz="4" w:space="0" w:color="auto"/>
            </w:tcBorders>
            <w:shd w:val="clear" w:color="auto" w:fill="auto"/>
            <w:tcMar>
              <w:left w:w="28" w:type="dxa"/>
              <w:right w:w="28" w:type="dxa"/>
            </w:tcMar>
            <w:vAlign w:val="center"/>
          </w:tcPr>
          <w:p w14:paraId="545E2FED" w14:textId="77777777" w:rsidR="004A0123" w:rsidRPr="00640447" w:rsidRDefault="004A0123" w:rsidP="008A5C11">
            <w:pPr>
              <w:jc w:val="center"/>
              <w:rPr>
                <w:sz w:val="16"/>
                <w:szCs w:val="16"/>
              </w:rPr>
            </w:pPr>
            <w:r w:rsidRPr="00640447">
              <w:rPr>
                <w:sz w:val="16"/>
                <w:szCs w:val="16"/>
              </w:rPr>
              <w:t>-</w:t>
            </w:r>
          </w:p>
        </w:tc>
        <w:tc>
          <w:tcPr>
            <w:tcW w:w="236" w:type="pct"/>
            <w:tcBorders>
              <w:top w:val="nil"/>
              <w:left w:val="nil"/>
              <w:bottom w:val="single" w:sz="4" w:space="0" w:color="auto"/>
              <w:right w:val="single" w:sz="4" w:space="0" w:color="auto"/>
            </w:tcBorders>
            <w:shd w:val="clear" w:color="auto" w:fill="auto"/>
            <w:tcMar>
              <w:left w:w="28" w:type="dxa"/>
              <w:right w:w="28" w:type="dxa"/>
            </w:tcMar>
            <w:vAlign w:val="center"/>
          </w:tcPr>
          <w:p w14:paraId="3C617F8C" w14:textId="77777777" w:rsidR="004A0123" w:rsidRPr="00640447" w:rsidRDefault="004A0123" w:rsidP="008A5C11">
            <w:pPr>
              <w:jc w:val="center"/>
              <w:rPr>
                <w:sz w:val="16"/>
                <w:szCs w:val="16"/>
              </w:rPr>
            </w:pPr>
            <w:r w:rsidRPr="00640447">
              <w:rPr>
                <w:sz w:val="16"/>
                <w:szCs w:val="16"/>
              </w:rPr>
              <w:t>-</w:t>
            </w:r>
          </w:p>
        </w:tc>
        <w:tc>
          <w:tcPr>
            <w:tcW w:w="235" w:type="pct"/>
            <w:tcBorders>
              <w:top w:val="nil"/>
              <w:left w:val="nil"/>
              <w:bottom w:val="single" w:sz="4" w:space="0" w:color="auto"/>
              <w:right w:val="single" w:sz="4" w:space="0" w:color="auto"/>
            </w:tcBorders>
            <w:tcMar>
              <w:left w:w="28" w:type="dxa"/>
              <w:right w:w="28" w:type="dxa"/>
            </w:tcMar>
            <w:vAlign w:val="center"/>
          </w:tcPr>
          <w:p w14:paraId="0366FFA5" w14:textId="77777777" w:rsidR="004A0123" w:rsidRPr="00640447" w:rsidRDefault="004A0123" w:rsidP="008A5C11">
            <w:pPr>
              <w:jc w:val="center"/>
              <w:rPr>
                <w:sz w:val="16"/>
                <w:szCs w:val="16"/>
              </w:rPr>
            </w:pPr>
            <w:r w:rsidRPr="00640447">
              <w:rPr>
                <w:sz w:val="16"/>
                <w:szCs w:val="16"/>
              </w:rPr>
              <w:t>-</w:t>
            </w:r>
          </w:p>
        </w:tc>
        <w:tc>
          <w:tcPr>
            <w:tcW w:w="287" w:type="pct"/>
            <w:tcBorders>
              <w:top w:val="nil"/>
              <w:left w:val="nil"/>
              <w:bottom w:val="single" w:sz="4" w:space="0" w:color="auto"/>
              <w:right w:val="single" w:sz="4" w:space="0" w:color="auto"/>
            </w:tcBorders>
            <w:tcMar>
              <w:left w:w="28" w:type="dxa"/>
              <w:right w:w="28" w:type="dxa"/>
            </w:tcMar>
            <w:vAlign w:val="center"/>
          </w:tcPr>
          <w:p w14:paraId="216A11FE" w14:textId="77777777" w:rsidR="004A0123" w:rsidRPr="00640447" w:rsidRDefault="004A0123" w:rsidP="008A5C11">
            <w:pPr>
              <w:jc w:val="center"/>
              <w:rPr>
                <w:sz w:val="16"/>
                <w:szCs w:val="16"/>
              </w:rPr>
            </w:pPr>
            <w:r w:rsidRPr="00640447">
              <w:rPr>
                <w:sz w:val="16"/>
                <w:szCs w:val="16"/>
              </w:rPr>
              <w:t>-</w:t>
            </w:r>
          </w:p>
        </w:tc>
        <w:tc>
          <w:tcPr>
            <w:tcW w:w="288" w:type="pct"/>
            <w:tcBorders>
              <w:top w:val="single" w:sz="4" w:space="0" w:color="auto"/>
              <w:left w:val="nil"/>
              <w:bottom w:val="single" w:sz="4" w:space="0" w:color="auto"/>
              <w:right w:val="single" w:sz="4" w:space="0" w:color="auto"/>
            </w:tcBorders>
            <w:vAlign w:val="center"/>
          </w:tcPr>
          <w:p w14:paraId="7D4107D3" w14:textId="77777777" w:rsidR="004A0123" w:rsidRPr="00640447" w:rsidRDefault="004A0123" w:rsidP="008A5C11">
            <w:pPr>
              <w:jc w:val="center"/>
              <w:rPr>
                <w:sz w:val="16"/>
                <w:szCs w:val="16"/>
              </w:rPr>
            </w:pPr>
            <w:r w:rsidRPr="00640447">
              <w:rPr>
                <w:sz w:val="16"/>
                <w:szCs w:val="16"/>
              </w:rPr>
              <w:t>-</w:t>
            </w:r>
          </w:p>
        </w:tc>
        <w:tc>
          <w:tcPr>
            <w:tcW w:w="289" w:type="pct"/>
            <w:tcBorders>
              <w:top w:val="single" w:sz="4" w:space="0" w:color="auto"/>
              <w:left w:val="single" w:sz="4" w:space="0" w:color="auto"/>
              <w:bottom w:val="single" w:sz="4" w:space="0" w:color="auto"/>
              <w:right w:val="single" w:sz="4" w:space="0" w:color="auto"/>
            </w:tcBorders>
            <w:vAlign w:val="center"/>
          </w:tcPr>
          <w:p w14:paraId="42D61F97" w14:textId="77777777" w:rsidR="004A0123" w:rsidRPr="00640447" w:rsidRDefault="004A0123" w:rsidP="008A5C11">
            <w:pPr>
              <w:jc w:val="center"/>
              <w:rPr>
                <w:sz w:val="16"/>
                <w:szCs w:val="16"/>
              </w:rPr>
            </w:pPr>
            <w:r w:rsidRPr="00640447">
              <w:rPr>
                <w:sz w:val="16"/>
                <w:szCs w:val="16"/>
              </w:rPr>
              <w:t>-</w:t>
            </w:r>
          </w:p>
        </w:tc>
        <w:tc>
          <w:tcPr>
            <w:tcW w:w="286" w:type="pct"/>
            <w:tcBorders>
              <w:top w:val="single" w:sz="4" w:space="0" w:color="auto"/>
              <w:left w:val="single" w:sz="4" w:space="0" w:color="auto"/>
              <w:bottom w:val="single" w:sz="4" w:space="0" w:color="auto"/>
              <w:right w:val="single" w:sz="4" w:space="0" w:color="auto"/>
            </w:tcBorders>
            <w:vAlign w:val="center"/>
          </w:tcPr>
          <w:p w14:paraId="2B86BA19" w14:textId="77777777" w:rsidR="004A0123" w:rsidRPr="00640447" w:rsidRDefault="004A0123" w:rsidP="008A5C11">
            <w:pPr>
              <w:jc w:val="center"/>
              <w:rPr>
                <w:sz w:val="16"/>
                <w:szCs w:val="16"/>
              </w:rPr>
            </w:pPr>
            <w:r w:rsidRPr="00640447">
              <w:rPr>
                <w:sz w:val="16"/>
                <w:szCs w:val="16"/>
              </w:rPr>
              <w:t>-</w:t>
            </w:r>
          </w:p>
        </w:tc>
        <w:tc>
          <w:tcPr>
            <w:tcW w:w="282" w:type="pct"/>
            <w:tcBorders>
              <w:top w:val="single" w:sz="4" w:space="0" w:color="auto"/>
              <w:left w:val="single" w:sz="4" w:space="0" w:color="auto"/>
              <w:bottom w:val="single" w:sz="4" w:space="0" w:color="auto"/>
              <w:right w:val="single" w:sz="4" w:space="0" w:color="auto"/>
            </w:tcBorders>
            <w:vAlign w:val="center"/>
          </w:tcPr>
          <w:p w14:paraId="6A9E2D8B" w14:textId="77777777" w:rsidR="004A0123" w:rsidRPr="00640447" w:rsidRDefault="004A0123" w:rsidP="008A5C11">
            <w:pPr>
              <w:jc w:val="center"/>
              <w:rPr>
                <w:sz w:val="16"/>
                <w:szCs w:val="16"/>
              </w:rPr>
            </w:pPr>
            <w:r w:rsidRPr="00640447">
              <w:rPr>
                <w:sz w:val="16"/>
                <w:szCs w:val="16"/>
              </w:rPr>
              <w:t>-</w:t>
            </w:r>
          </w:p>
        </w:tc>
        <w:tc>
          <w:tcPr>
            <w:tcW w:w="282" w:type="pct"/>
            <w:tcBorders>
              <w:top w:val="single" w:sz="4" w:space="0" w:color="auto"/>
              <w:left w:val="single" w:sz="4" w:space="0" w:color="auto"/>
              <w:bottom w:val="single" w:sz="4" w:space="0" w:color="auto"/>
              <w:right w:val="single" w:sz="4" w:space="0" w:color="auto"/>
            </w:tcBorders>
            <w:vAlign w:val="center"/>
          </w:tcPr>
          <w:p w14:paraId="51460CE1" w14:textId="77777777" w:rsidR="004A0123" w:rsidRPr="00640447" w:rsidRDefault="004A0123" w:rsidP="008A5C11">
            <w:pPr>
              <w:jc w:val="center"/>
              <w:rPr>
                <w:sz w:val="16"/>
                <w:szCs w:val="16"/>
              </w:rPr>
            </w:pPr>
            <w:r w:rsidRPr="00640447">
              <w:rPr>
                <w:sz w:val="16"/>
                <w:szCs w:val="16"/>
              </w:rPr>
              <w:t>-</w:t>
            </w:r>
          </w:p>
        </w:tc>
      </w:tr>
      <w:tr w:rsidR="004A0123" w:rsidRPr="00640447" w14:paraId="19EAB78B" w14:textId="77777777" w:rsidTr="008A5C11">
        <w:trPr>
          <w:trHeight w:val="420"/>
        </w:trPr>
        <w:tc>
          <w:tcPr>
            <w:tcW w:w="182"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0BF694E" w14:textId="77777777" w:rsidR="004A0123" w:rsidRPr="00640447" w:rsidRDefault="004A0123" w:rsidP="008A5C11">
            <w:pPr>
              <w:jc w:val="center"/>
              <w:rPr>
                <w:sz w:val="16"/>
                <w:szCs w:val="16"/>
              </w:rPr>
            </w:pPr>
            <w:r w:rsidRPr="00640447">
              <w:rPr>
                <w:sz w:val="16"/>
                <w:szCs w:val="16"/>
              </w:rPr>
              <w:t>4.</w:t>
            </w:r>
          </w:p>
        </w:tc>
        <w:tc>
          <w:tcPr>
            <w:tcW w:w="9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A37BF49" w14:textId="77777777" w:rsidR="004A0123" w:rsidRPr="00640447" w:rsidRDefault="004A0123" w:rsidP="008A5C11">
            <w:pPr>
              <w:jc w:val="center"/>
              <w:rPr>
                <w:sz w:val="16"/>
                <w:szCs w:val="16"/>
              </w:rPr>
            </w:pPr>
            <w:r w:rsidRPr="00640447">
              <w:rPr>
                <w:sz w:val="16"/>
                <w:szCs w:val="16"/>
              </w:rPr>
              <w:t>Износ объектов системы теплоснабжения, существующих на начало реализации Инвестиционной программы</w:t>
            </w:r>
          </w:p>
        </w:tc>
        <w:tc>
          <w:tcPr>
            <w:tcW w:w="41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7B22737" w14:textId="77777777" w:rsidR="004A0123" w:rsidRPr="00640447" w:rsidRDefault="004A0123" w:rsidP="008A5C11">
            <w:pPr>
              <w:jc w:val="center"/>
              <w:rPr>
                <w:sz w:val="16"/>
                <w:szCs w:val="16"/>
              </w:rPr>
            </w:pPr>
            <w:r w:rsidRPr="00640447">
              <w:rPr>
                <w:sz w:val="16"/>
                <w:szCs w:val="16"/>
              </w:rPr>
              <w:t>%</w:t>
            </w:r>
          </w:p>
        </w:tc>
        <w:tc>
          <w:tcPr>
            <w:tcW w:w="32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8973EB3" w14:textId="77777777" w:rsidR="004A0123" w:rsidRPr="00640447" w:rsidRDefault="004A0123" w:rsidP="008A5C11">
            <w:pPr>
              <w:jc w:val="center"/>
              <w:rPr>
                <w:sz w:val="16"/>
                <w:szCs w:val="16"/>
              </w:rPr>
            </w:pPr>
            <w:r w:rsidRPr="00640447">
              <w:rPr>
                <w:sz w:val="16"/>
                <w:szCs w:val="16"/>
              </w:rPr>
              <w:t>-</w:t>
            </w:r>
          </w:p>
        </w:tc>
        <w:tc>
          <w:tcPr>
            <w:tcW w:w="377"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D4D2B12" w14:textId="77777777" w:rsidR="004A0123" w:rsidRPr="00640447" w:rsidRDefault="004A0123" w:rsidP="008A5C11">
            <w:pPr>
              <w:jc w:val="center"/>
              <w:rPr>
                <w:sz w:val="16"/>
                <w:szCs w:val="16"/>
              </w:rPr>
            </w:pPr>
            <w:r w:rsidRPr="00640447">
              <w:rPr>
                <w:sz w:val="16"/>
                <w:szCs w:val="16"/>
              </w:rPr>
              <w:t>-</w:t>
            </w:r>
          </w:p>
        </w:tc>
        <w:tc>
          <w:tcPr>
            <w:tcW w:w="237" w:type="pct"/>
            <w:tcBorders>
              <w:top w:val="nil"/>
              <w:left w:val="nil"/>
              <w:bottom w:val="single" w:sz="4" w:space="0" w:color="auto"/>
              <w:right w:val="single" w:sz="4" w:space="0" w:color="auto"/>
            </w:tcBorders>
            <w:shd w:val="clear" w:color="auto" w:fill="auto"/>
            <w:tcMar>
              <w:left w:w="28" w:type="dxa"/>
              <w:right w:w="28" w:type="dxa"/>
            </w:tcMar>
            <w:vAlign w:val="center"/>
          </w:tcPr>
          <w:p w14:paraId="447A4DC5" w14:textId="77777777" w:rsidR="004A0123" w:rsidRPr="00640447" w:rsidRDefault="004A0123" w:rsidP="008A5C11">
            <w:pPr>
              <w:jc w:val="center"/>
              <w:rPr>
                <w:sz w:val="16"/>
                <w:szCs w:val="16"/>
              </w:rPr>
            </w:pPr>
            <w:r w:rsidRPr="00640447">
              <w:rPr>
                <w:sz w:val="16"/>
                <w:szCs w:val="16"/>
              </w:rPr>
              <w:t>-</w:t>
            </w:r>
          </w:p>
        </w:tc>
        <w:tc>
          <w:tcPr>
            <w:tcW w:w="283" w:type="pct"/>
            <w:tcBorders>
              <w:top w:val="nil"/>
              <w:left w:val="nil"/>
              <w:bottom w:val="single" w:sz="4" w:space="0" w:color="auto"/>
              <w:right w:val="single" w:sz="4" w:space="0" w:color="auto"/>
            </w:tcBorders>
            <w:shd w:val="clear" w:color="auto" w:fill="auto"/>
            <w:tcMar>
              <w:left w:w="28" w:type="dxa"/>
              <w:right w:w="28" w:type="dxa"/>
            </w:tcMar>
            <w:vAlign w:val="center"/>
          </w:tcPr>
          <w:p w14:paraId="23065EB4" w14:textId="77777777" w:rsidR="004A0123" w:rsidRPr="00640447" w:rsidRDefault="004A0123" w:rsidP="008A5C11">
            <w:pPr>
              <w:jc w:val="center"/>
              <w:rPr>
                <w:sz w:val="16"/>
                <w:szCs w:val="16"/>
              </w:rPr>
            </w:pPr>
            <w:r w:rsidRPr="00640447">
              <w:rPr>
                <w:sz w:val="16"/>
                <w:szCs w:val="16"/>
              </w:rPr>
              <w:t>-</w:t>
            </w:r>
          </w:p>
        </w:tc>
        <w:tc>
          <w:tcPr>
            <w:tcW w:w="236" w:type="pct"/>
            <w:tcBorders>
              <w:top w:val="nil"/>
              <w:left w:val="nil"/>
              <w:bottom w:val="single" w:sz="4" w:space="0" w:color="auto"/>
              <w:right w:val="single" w:sz="4" w:space="0" w:color="auto"/>
            </w:tcBorders>
            <w:shd w:val="clear" w:color="auto" w:fill="auto"/>
            <w:tcMar>
              <w:left w:w="28" w:type="dxa"/>
              <w:right w:w="28" w:type="dxa"/>
            </w:tcMar>
            <w:vAlign w:val="center"/>
          </w:tcPr>
          <w:p w14:paraId="466BD497" w14:textId="77777777" w:rsidR="004A0123" w:rsidRPr="00640447" w:rsidRDefault="004A0123" w:rsidP="008A5C11">
            <w:pPr>
              <w:jc w:val="center"/>
              <w:rPr>
                <w:sz w:val="16"/>
                <w:szCs w:val="16"/>
              </w:rPr>
            </w:pPr>
            <w:r w:rsidRPr="00640447">
              <w:rPr>
                <w:sz w:val="16"/>
                <w:szCs w:val="16"/>
              </w:rPr>
              <w:t>-</w:t>
            </w:r>
          </w:p>
        </w:tc>
        <w:tc>
          <w:tcPr>
            <w:tcW w:w="235" w:type="pct"/>
            <w:tcBorders>
              <w:top w:val="nil"/>
              <w:left w:val="nil"/>
              <w:bottom w:val="single" w:sz="4" w:space="0" w:color="auto"/>
              <w:right w:val="single" w:sz="4" w:space="0" w:color="auto"/>
            </w:tcBorders>
            <w:tcMar>
              <w:left w:w="28" w:type="dxa"/>
              <w:right w:w="28" w:type="dxa"/>
            </w:tcMar>
            <w:vAlign w:val="center"/>
          </w:tcPr>
          <w:p w14:paraId="31C77D59" w14:textId="77777777" w:rsidR="004A0123" w:rsidRPr="00640447" w:rsidRDefault="004A0123" w:rsidP="008A5C11">
            <w:pPr>
              <w:jc w:val="center"/>
              <w:rPr>
                <w:sz w:val="16"/>
                <w:szCs w:val="16"/>
              </w:rPr>
            </w:pPr>
            <w:r w:rsidRPr="00640447">
              <w:rPr>
                <w:sz w:val="16"/>
                <w:szCs w:val="16"/>
              </w:rPr>
              <w:t>-</w:t>
            </w:r>
          </w:p>
        </w:tc>
        <w:tc>
          <w:tcPr>
            <w:tcW w:w="287" w:type="pct"/>
            <w:tcBorders>
              <w:top w:val="nil"/>
              <w:left w:val="nil"/>
              <w:bottom w:val="single" w:sz="4" w:space="0" w:color="auto"/>
              <w:right w:val="single" w:sz="4" w:space="0" w:color="auto"/>
            </w:tcBorders>
            <w:tcMar>
              <w:left w:w="28" w:type="dxa"/>
              <w:right w:w="28" w:type="dxa"/>
            </w:tcMar>
            <w:vAlign w:val="center"/>
          </w:tcPr>
          <w:p w14:paraId="4D2086AA" w14:textId="77777777" w:rsidR="004A0123" w:rsidRPr="00640447" w:rsidRDefault="004A0123" w:rsidP="008A5C11">
            <w:pPr>
              <w:jc w:val="center"/>
              <w:rPr>
                <w:sz w:val="16"/>
                <w:szCs w:val="16"/>
              </w:rPr>
            </w:pPr>
            <w:r w:rsidRPr="00640447">
              <w:rPr>
                <w:sz w:val="16"/>
                <w:szCs w:val="16"/>
              </w:rPr>
              <w:t>-</w:t>
            </w:r>
          </w:p>
        </w:tc>
        <w:tc>
          <w:tcPr>
            <w:tcW w:w="288" w:type="pct"/>
            <w:tcBorders>
              <w:top w:val="single" w:sz="4" w:space="0" w:color="auto"/>
              <w:left w:val="nil"/>
              <w:bottom w:val="single" w:sz="4" w:space="0" w:color="auto"/>
              <w:right w:val="single" w:sz="4" w:space="0" w:color="auto"/>
            </w:tcBorders>
            <w:vAlign w:val="center"/>
          </w:tcPr>
          <w:p w14:paraId="73DAFE99" w14:textId="77777777" w:rsidR="004A0123" w:rsidRPr="00640447" w:rsidRDefault="004A0123" w:rsidP="008A5C11">
            <w:pPr>
              <w:jc w:val="center"/>
              <w:rPr>
                <w:sz w:val="16"/>
                <w:szCs w:val="16"/>
              </w:rPr>
            </w:pPr>
            <w:r w:rsidRPr="00640447">
              <w:rPr>
                <w:sz w:val="16"/>
                <w:szCs w:val="16"/>
              </w:rPr>
              <w:t>-</w:t>
            </w:r>
          </w:p>
        </w:tc>
        <w:tc>
          <w:tcPr>
            <w:tcW w:w="289" w:type="pct"/>
            <w:tcBorders>
              <w:top w:val="single" w:sz="4" w:space="0" w:color="auto"/>
              <w:left w:val="single" w:sz="4" w:space="0" w:color="auto"/>
              <w:bottom w:val="single" w:sz="4" w:space="0" w:color="auto"/>
              <w:right w:val="single" w:sz="4" w:space="0" w:color="auto"/>
            </w:tcBorders>
            <w:vAlign w:val="center"/>
          </w:tcPr>
          <w:p w14:paraId="3366216E" w14:textId="77777777" w:rsidR="004A0123" w:rsidRPr="00640447" w:rsidRDefault="004A0123" w:rsidP="008A5C11">
            <w:pPr>
              <w:jc w:val="center"/>
              <w:rPr>
                <w:sz w:val="16"/>
                <w:szCs w:val="16"/>
              </w:rPr>
            </w:pPr>
            <w:r w:rsidRPr="00640447">
              <w:rPr>
                <w:sz w:val="16"/>
                <w:szCs w:val="16"/>
              </w:rPr>
              <w:t>-</w:t>
            </w:r>
          </w:p>
        </w:tc>
        <w:tc>
          <w:tcPr>
            <w:tcW w:w="286" w:type="pct"/>
            <w:tcBorders>
              <w:top w:val="single" w:sz="4" w:space="0" w:color="auto"/>
              <w:left w:val="single" w:sz="4" w:space="0" w:color="auto"/>
              <w:bottom w:val="single" w:sz="4" w:space="0" w:color="auto"/>
              <w:right w:val="single" w:sz="4" w:space="0" w:color="auto"/>
            </w:tcBorders>
            <w:vAlign w:val="center"/>
          </w:tcPr>
          <w:p w14:paraId="701D3786" w14:textId="77777777" w:rsidR="004A0123" w:rsidRPr="00640447" w:rsidRDefault="004A0123" w:rsidP="008A5C11">
            <w:pPr>
              <w:jc w:val="center"/>
              <w:rPr>
                <w:sz w:val="16"/>
                <w:szCs w:val="16"/>
              </w:rPr>
            </w:pPr>
            <w:r w:rsidRPr="00640447">
              <w:rPr>
                <w:sz w:val="16"/>
                <w:szCs w:val="16"/>
              </w:rPr>
              <w:t>-</w:t>
            </w:r>
          </w:p>
        </w:tc>
        <w:tc>
          <w:tcPr>
            <w:tcW w:w="282" w:type="pct"/>
            <w:tcBorders>
              <w:top w:val="single" w:sz="4" w:space="0" w:color="auto"/>
              <w:left w:val="single" w:sz="4" w:space="0" w:color="auto"/>
              <w:bottom w:val="single" w:sz="4" w:space="0" w:color="auto"/>
              <w:right w:val="single" w:sz="4" w:space="0" w:color="auto"/>
            </w:tcBorders>
            <w:vAlign w:val="center"/>
          </w:tcPr>
          <w:p w14:paraId="2BE80338" w14:textId="77777777" w:rsidR="004A0123" w:rsidRPr="00640447" w:rsidRDefault="004A0123" w:rsidP="008A5C11">
            <w:pPr>
              <w:jc w:val="center"/>
              <w:rPr>
                <w:sz w:val="16"/>
                <w:szCs w:val="16"/>
              </w:rPr>
            </w:pPr>
            <w:r w:rsidRPr="00640447">
              <w:rPr>
                <w:sz w:val="16"/>
                <w:szCs w:val="16"/>
              </w:rPr>
              <w:t>-</w:t>
            </w:r>
          </w:p>
        </w:tc>
        <w:tc>
          <w:tcPr>
            <w:tcW w:w="282" w:type="pct"/>
            <w:tcBorders>
              <w:top w:val="single" w:sz="4" w:space="0" w:color="auto"/>
              <w:left w:val="single" w:sz="4" w:space="0" w:color="auto"/>
              <w:bottom w:val="single" w:sz="4" w:space="0" w:color="auto"/>
              <w:right w:val="single" w:sz="4" w:space="0" w:color="auto"/>
            </w:tcBorders>
            <w:vAlign w:val="center"/>
          </w:tcPr>
          <w:p w14:paraId="7ED058C7" w14:textId="77777777" w:rsidR="004A0123" w:rsidRPr="00640447" w:rsidRDefault="004A0123" w:rsidP="008A5C11">
            <w:pPr>
              <w:jc w:val="center"/>
              <w:rPr>
                <w:sz w:val="16"/>
                <w:szCs w:val="16"/>
              </w:rPr>
            </w:pPr>
            <w:r w:rsidRPr="00640447">
              <w:rPr>
                <w:sz w:val="16"/>
                <w:szCs w:val="16"/>
              </w:rPr>
              <w:t>-</w:t>
            </w:r>
          </w:p>
        </w:tc>
      </w:tr>
      <w:tr w:rsidR="004A0123" w:rsidRPr="00640447" w14:paraId="3EF279D2" w14:textId="77777777" w:rsidTr="008A5C11">
        <w:trPr>
          <w:trHeight w:val="775"/>
        </w:trPr>
        <w:tc>
          <w:tcPr>
            <w:tcW w:w="18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C8FFCAD" w14:textId="77777777" w:rsidR="004A0123" w:rsidRPr="00640447" w:rsidRDefault="004A0123" w:rsidP="008A5C11">
            <w:pPr>
              <w:jc w:val="center"/>
              <w:rPr>
                <w:sz w:val="16"/>
                <w:szCs w:val="16"/>
              </w:rPr>
            </w:pPr>
            <w:r w:rsidRPr="00640447">
              <w:rPr>
                <w:sz w:val="16"/>
                <w:szCs w:val="16"/>
              </w:rPr>
              <w:t>5.</w:t>
            </w:r>
          </w:p>
        </w:tc>
        <w:tc>
          <w:tcPr>
            <w:tcW w:w="999"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ADD66FF" w14:textId="77777777" w:rsidR="004A0123" w:rsidRPr="00640447" w:rsidRDefault="004A0123" w:rsidP="008A5C11">
            <w:pPr>
              <w:jc w:val="center"/>
              <w:rPr>
                <w:sz w:val="16"/>
                <w:szCs w:val="16"/>
              </w:rPr>
            </w:pPr>
            <w:r w:rsidRPr="00640447">
              <w:rPr>
                <w:sz w:val="16"/>
                <w:szCs w:val="16"/>
              </w:rPr>
              <w:t>Потери тепловой энергии при передаче тепловой энергии по тепловым сетям</w:t>
            </w:r>
          </w:p>
        </w:tc>
        <w:tc>
          <w:tcPr>
            <w:tcW w:w="41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AC4F890" w14:textId="77777777" w:rsidR="004A0123" w:rsidRPr="00640447" w:rsidRDefault="004A0123" w:rsidP="008A5C11">
            <w:pPr>
              <w:jc w:val="center"/>
              <w:rPr>
                <w:sz w:val="16"/>
                <w:szCs w:val="16"/>
              </w:rPr>
            </w:pPr>
            <w:r w:rsidRPr="00640447">
              <w:rPr>
                <w:sz w:val="16"/>
                <w:szCs w:val="16"/>
              </w:rPr>
              <w:t>Гкал/год</w:t>
            </w:r>
          </w:p>
        </w:tc>
        <w:tc>
          <w:tcPr>
            <w:tcW w:w="32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180816F" w14:textId="77777777" w:rsidR="004A0123" w:rsidRPr="00640447" w:rsidRDefault="004A0123" w:rsidP="008A5C11">
            <w:pPr>
              <w:jc w:val="center"/>
              <w:rPr>
                <w:sz w:val="16"/>
                <w:szCs w:val="16"/>
              </w:rPr>
            </w:pPr>
            <w:r w:rsidRPr="00640447">
              <w:rPr>
                <w:sz w:val="16"/>
                <w:szCs w:val="16"/>
              </w:rPr>
              <w:t>114 500,0</w:t>
            </w:r>
          </w:p>
        </w:tc>
        <w:tc>
          <w:tcPr>
            <w:tcW w:w="3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9F23FFD" w14:textId="77777777" w:rsidR="004A0123" w:rsidRPr="00640447" w:rsidRDefault="004A0123" w:rsidP="008A5C11">
            <w:pPr>
              <w:jc w:val="center"/>
              <w:rPr>
                <w:sz w:val="16"/>
                <w:szCs w:val="16"/>
              </w:rPr>
            </w:pPr>
            <w:r w:rsidRPr="00640447">
              <w:rPr>
                <w:sz w:val="16"/>
                <w:szCs w:val="16"/>
              </w:rPr>
              <w:t>119 198,4</w:t>
            </w:r>
          </w:p>
        </w:tc>
        <w:tc>
          <w:tcPr>
            <w:tcW w:w="23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D8D9D62" w14:textId="77777777" w:rsidR="004A0123" w:rsidRPr="00640447" w:rsidRDefault="004A0123" w:rsidP="008A5C11">
            <w:pPr>
              <w:jc w:val="center"/>
              <w:rPr>
                <w:sz w:val="16"/>
                <w:szCs w:val="16"/>
              </w:rPr>
            </w:pPr>
            <w:r w:rsidRPr="00640447">
              <w:rPr>
                <w:sz w:val="16"/>
                <w:szCs w:val="16"/>
              </w:rPr>
              <w:t>114 500,0</w:t>
            </w:r>
          </w:p>
        </w:tc>
        <w:tc>
          <w:tcPr>
            <w:tcW w:w="28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CDB9596" w14:textId="77777777" w:rsidR="004A0123" w:rsidRPr="00640447" w:rsidRDefault="004A0123" w:rsidP="008A5C11">
            <w:pPr>
              <w:jc w:val="center"/>
              <w:rPr>
                <w:sz w:val="16"/>
                <w:szCs w:val="16"/>
              </w:rPr>
            </w:pPr>
            <w:r w:rsidRPr="00640447">
              <w:rPr>
                <w:sz w:val="16"/>
                <w:szCs w:val="16"/>
              </w:rPr>
              <w:t>117 850,4</w:t>
            </w:r>
          </w:p>
        </w:tc>
        <w:tc>
          <w:tcPr>
            <w:tcW w:w="23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F06854B" w14:textId="77777777" w:rsidR="004A0123" w:rsidRPr="00640447" w:rsidRDefault="004A0123" w:rsidP="008A5C11">
            <w:pPr>
              <w:jc w:val="center"/>
              <w:rPr>
                <w:sz w:val="16"/>
                <w:szCs w:val="16"/>
              </w:rPr>
            </w:pPr>
            <w:r w:rsidRPr="00640447">
              <w:rPr>
                <w:sz w:val="16"/>
                <w:szCs w:val="16"/>
              </w:rPr>
              <w:t>117 850,0</w:t>
            </w:r>
          </w:p>
        </w:tc>
        <w:tc>
          <w:tcPr>
            <w:tcW w:w="235" w:type="pct"/>
            <w:tcBorders>
              <w:top w:val="single" w:sz="4" w:space="0" w:color="auto"/>
              <w:left w:val="nil"/>
              <w:bottom w:val="single" w:sz="4" w:space="0" w:color="auto"/>
              <w:right w:val="single" w:sz="4" w:space="0" w:color="auto"/>
            </w:tcBorders>
            <w:tcMar>
              <w:left w:w="28" w:type="dxa"/>
              <w:right w:w="28" w:type="dxa"/>
            </w:tcMar>
            <w:vAlign w:val="center"/>
          </w:tcPr>
          <w:p w14:paraId="58345401" w14:textId="77777777" w:rsidR="004A0123" w:rsidRPr="00640447" w:rsidRDefault="004A0123" w:rsidP="008A5C11">
            <w:pPr>
              <w:jc w:val="center"/>
              <w:rPr>
                <w:sz w:val="16"/>
                <w:szCs w:val="16"/>
              </w:rPr>
            </w:pPr>
            <w:r w:rsidRPr="00640447">
              <w:rPr>
                <w:sz w:val="16"/>
                <w:szCs w:val="16"/>
              </w:rPr>
              <w:t>117 850,0</w:t>
            </w:r>
          </w:p>
        </w:tc>
        <w:tc>
          <w:tcPr>
            <w:tcW w:w="287" w:type="pct"/>
            <w:tcBorders>
              <w:top w:val="single" w:sz="4" w:space="0" w:color="auto"/>
              <w:left w:val="nil"/>
              <w:bottom w:val="single" w:sz="4" w:space="0" w:color="auto"/>
              <w:right w:val="single" w:sz="4" w:space="0" w:color="auto"/>
            </w:tcBorders>
            <w:tcMar>
              <w:left w:w="28" w:type="dxa"/>
              <w:right w:w="28" w:type="dxa"/>
            </w:tcMar>
            <w:vAlign w:val="center"/>
          </w:tcPr>
          <w:p w14:paraId="6A878852" w14:textId="77777777" w:rsidR="004A0123" w:rsidRPr="00640447" w:rsidRDefault="004A0123" w:rsidP="008A5C11">
            <w:pPr>
              <w:jc w:val="center"/>
              <w:rPr>
                <w:sz w:val="16"/>
                <w:szCs w:val="16"/>
              </w:rPr>
            </w:pPr>
            <w:r w:rsidRPr="00640447">
              <w:rPr>
                <w:sz w:val="16"/>
                <w:szCs w:val="16"/>
              </w:rPr>
              <w:t>118 744,0</w:t>
            </w:r>
          </w:p>
        </w:tc>
        <w:tc>
          <w:tcPr>
            <w:tcW w:w="288" w:type="pct"/>
            <w:tcBorders>
              <w:top w:val="single" w:sz="4" w:space="0" w:color="auto"/>
              <w:left w:val="nil"/>
              <w:bottom w:val="single" w:sz="4" w:space="0" w:color="auto"/>
              <w:right w:val="single" w:sz="4" w:space="0" w:color="auto"/>
            </w:tcBorders>
            <w:vAlign w:val="center"/>
          </w:tcPr>
          <w:p w14:paraId="6C85A972" w14:textId="77777777" w:rsidR="004A0123" w:rsidRPr="00640447" w:rsidRDefault="004A0123" w:rsidP="008A5C11">
            <w:pPr>
              <w:jc w:val="center"/>
              <w:rPr>
                <w:sz w:val="16"/>
                <w:szCs w:val="16"/>
              </w:rPr>
            </w:pPr>
            <w:r w:rsidRPr="00640447">
              <w:rPr>
                <w:sz w:val="16"/>
                <w:szCs w:val="16"/>
              </w:rPr>
              <w:t>119 063,0</w:t>
            </w:r>
          </w:p>
        </w:tc>
        <w:tc>
          <w:tcPr>
            <w:tcW w:w="289" w:type="pct"/>
            <w:tcBorders>
              <w:top w:val="single" w:sz="4" w:space="0" w:color="auto"/>
              <w:left w:val="single" w:sz="4" w:space="0" w:color="auto"/>
              <w:bottom w:val="single" w:sz="4" w:space="0" w:color="auto"/>
              <w:right w:val="single" w:sz="4" w:space="0" w:color="auto"/>
            </w:tcBorders>
            <w:vAlign w:val="center"/>
          </w:tcPr>
          <w:p w14:paraId="5EC27DB0" w14:textId="77777777" w:rsidR="004A0123" w:rsidRPr="00640447" w:rsidRDefault="004A0123" w:rsidP="008A5C11">
            <w:pPr>
              <w:jc w:val="center"/>
              <w:rPr>
                <w:sz w:val="16"/>
                <w:szCs w:val="16"/>
              </w:rPr>
            </w:pPr>
            <w:r w:rsidRPr="00640447">
              <w:rPr>
                <w:sz w:val="16"/>
                <w:szCs w:val="16"/>
              </w:rPr>
              <w:t>119 199,0</w:t>
            </w:r>
          </w:p>
        </w:tc>
        <w:tc>
          <w:tcPr>
            <w:tcW w:w="286" w:type="pct"/>
            <w:tcBorders>
              <w:top w:val="single" w:sz="4" w:space="0" w:color="auto"/>
              <w:left w:val="single" w:sz="4" w:space="0" w:color="auto"/>
              <w:bottom w:val="single" w:sz="4" w:space="0" w:color="auto"/>
              <w:right w:val="single" w:sz="4" w:space="0" w:color="auto"/>
            </w:tcBorders>
            <w:vAlign w:val="center"/>
          </w:tcPr>
          <w:p w14:paraId="665CABC4" w14:textId="77777777" w:rsidR="004A0123" w:rsidRPr="00640447" w:rsidRDefault="004A0123" w:rsidP="008A5C11">
            <w:pPr>
              <w:ind w:left="-108" w:right="-104"/>
              <w:jc w:val="center"/>
              <w:rPr>
                <w:sz w:val="16"/>
                <w:szCs w:val="16"/>
              </w:rPr>
            </w:pPr>
            <w:r w:rsidRPr="00640447">
              <w:rPr>
                <w:sz w:val="16"/>
                <w:szCs w:val="16"/>
              </w:rPr>
              <w:t>119 199,0</w:t>
            </w:r>
          </w:p>
        </w:tc>
        <w:tc>
          <w:tcPr>
            <w:tcW w:w="282" w:type="pct"/>
            <w:tcBorders>
              <w:top w:val="single" w:sz="4" w:space="0" w:color="auto"/>
              <w:left w:val="single" w:sz="4" w:space="0" w:color="auto"/>
              <w:bottom w:val="single" w:sz="4" w:space="0" w:color="auto"/>
              <w:right w:val="single" w:sz="4" w:space="0" w:color="auto"/>
            </w:tcBorders>
            <w:vAlign w:val="center"/>
          </w:tcPr>
          <w:p w14:paraId="0C366E73" w14:textId="77777777" w:rsidR="004A0123" w:rsidRPr="00640447" w:rsidRDefault="004A0123" w:rsidP="008A5C11">
            <w:pPr>
              <w:ind w:left="-112" w:right="-113"/>
              <w:jc w:val="center"/>
              <w:rPr>
                <w:sz w:val="16"/>
                <w:szCs w:val="16"/>
              </w:rPr>
            </w:pPr>
            <w:r w:rsidRPr="00640447">
              <w:rPr>
                <w:sz w:val="16"/>
                <w:szCs w:val="16"/>
              </w:rPr>
              <w:t>119 199,0</w:t>
            </w:r>
          </w:p>
        </w:tc>
        <w:tc>
          <w:tcPr>
            <w:tcW w:w="282" w:type="pct"/>
            <w:tcBorders>
              <w:top w:val="single" w:sz="4" w:space="0" w:color="auto"/>
              <w:left w:val="single" w:sz="4" w:space="0" w:color="auto"/>
              <w:bottom w:val="single" w:sz="4" w:space="0" w:color="auto"/>
              <w:right w:val="single" w:sz="4" w:space="0" w:color="auto"/>
            </w:tcBorders>
            <w:vAlign w:val="center"/>
          </w:tcPr>
          <w:p w14:paraId="1F37E900" w14:textId="77777777" w:rsidR="004A0123" w:rsidRPr="00640447" w:rsidRDefault="004A0123" w:rsidP="008A5C11">
            <w:pPr>
              <w:ind w:left="-103"/>
              <w:jc w:val="center"/>
              <w:rPr>
                <w:sz w:val="16"/>
                <w:szCs w:val="16"/>
              </w:rPr>
            </w:pPr>
            <w:r w:rsidRPr="00640447">
              <w:rPr>
                <w:sz w:val="16"/>
                <w:szCs w:val="16"/>
              </w:rPr>
              <w:t>119 199,0</w:t>
            </w:r>
          </w:p>
        </w:tc>
      </w:tr>
      <w:tr w:rsidR="004A0123" w:rsidRPr="00640447" w14:paraId="1026B27C" w14:textId="77777777" w:rsidTr="008A5C11">
        <w:trPr>
          <w:trHeight w:val="255"/>
        </w:trPr>
        <w:tc>
          <w:tcPr>
            <w:tcW w:w="182" w:type="pct"/>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7383870" w14:textId="77777777" w:rsidR="004A0123" w:rsidRPr="00640447" w:rsidRDefault="004A0123" w:rsidP="008A5C11">
            <w:pPr>
              <w:jc w:val="center"/>
              <w:rPr>
                <w:sz w:val="16"/>
                <w:szCs w:val="16"/>
              </w:rPr>
            </w:pPr>
            <w:r w:rsidRPr="00640447">
              <w:rPr>
                <w:sz w:val="16"/>
                <w:szCs w:val="16"/>
              </w:rPr>
              <w:t>6.</w:t>
            </w:r>
          </w:p>
        </w:tc>
        <w:tc>
          <w:tcPr>
            <w:tcW w:w="999" w:type="pct"/>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2DA2802" w14:textId="77777777" w:rsidR="004A0123" w:rsidRPr="00640447" w:rsidRDefault="004A0123" w:rsidP="008A5C11">
            <w:pPr>
              <w:jc w:val="center"/>
              <w:rPr>
                <w:sz w:val="16"/>
                <w:szCs w:val="16"/>
              </w:rPr>
            </w:pPr>
            <w:r w:rsidRPr="00640447">
              <w:rPr>
                <w:sz w:val="16"/>
                <w:szCs w:val="16"/>
              </w:rPr>
              <w:t>Потери теплоносителя при передаче тепловой энергии по тепловым сетям</w:t>
            </w:r>
          </w:p>
        </w:tc>
        <w:tc>
          <w:tcPr>
            <w:tcW w:w="41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63DB05D" w14:textId="77777777" w:rsidR="004A0123" w:rsidRPr="00640447" w:rsidRDefault="004A0123" w:rsidP="008A5C11">
            <w:pPr>
              <w:jc w:val="center"/>
              <w:rPr>
                <w:sz w:val="16"/>
                <w:szCs w:val="16"/>
              </w:rPr>
            </w:pPr>
            <w:r w:rsidRPr="00640447">
              <w:rPr>
                <w:sz w:val="16"/>
                <w:szCs w:val="16"/>
              </w:rPr>
              <w:t>тонн в год для воды</w:t>
            </w:r>
          </w:p>
        </w:tc>
        <w:tc>
          <w:tcPr>
            <w:tcW w:w="32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7A3BF3E" w14:textId="77777777" w:rsidR="004A0123" w:rsidRPr="00640447" w:rsidRDefault="004A0123" w:rsidP="008A5C11">
            <w:pPr>
              <w:jc w:val="center"/>
              <w:rPr>
                <w:sz w:val="16"/>
                <w:szCs w:val="16"/>
              </w:rPr>
            </w:pPr>
            <w:r w:rsidRPr="00640447">
              <w:rPr>
                <w:sz w:val="16"/>
                <w:szCs w:val="16"/>
              </w:rPr>
              <w:t>230 860</w:t>
            </w:r>
          </w:p>
        </w:tc>
        <w:tc>
          <w:tcPr>
            <w:tcW w:w="3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FEC9718" w14:textId="77777777" w:rsidR="004A0123" w:rsidRPr="00640447" w:rsidRDefault="004A0123" w:rsidP="008A5C11">
            <w:pPr>
              <w:jc w:val="center"/>
              <w:rPr>
                <w:sz w:val="16"/>
                <w:szCs w:val="16"/>
              </w:rPr>
            </w:pPr>
            <w:r w:rsidRPr="00640447">
              <w:rPr>
                <w:sz w:val="16"/>
                <w:szCs w:val="16"/>
              </w:rPr>
              <w:t>251 071</w:t>
            </w:r>
          </w:p>
        </w:tc>
        <w:tc>
          <w:tcPr>
            <w:tcW w:w="23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26D714C" w14:textId="77777777" w:rsidR="004A0123" w:rsidRPr="00640447" w:rsidRDefault="004A0123" w:rsidP="008A5C11">
            <w:pPr>
              <w:jc w:val="center"/>
              <w:rPr>
                <w:sz w:val="16"/>
                <w:szCs w:val="16"/>
              </w:rPr>
            </w:pPr>
            <w:r w:rsidRPr="00640447">
              <w:rPr>
                <w:sz w:val="16"/>
                <w:szCs w:val="16"/>
              </w:rPr>
              <w:t>230 860</w:t>
            </w:r>
          </w:p>
        </w:tc>
        <w:tc>
          <w:tcPr>
            <w:tcW w:w="28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BA05AEF" w14:textId="77777777" w:rsidR="004A0123" w:rsidRPr="00640447" w:rsidRDefault="004A0123" w:rsidP="008A5C11">
            <w:pPr>
              <w:jc w:val="center"/>
              <w:rPr>
                <w:sz w:val="16"/>
                <w:szCs w:val="16"/>
              </w:rPr>
            </w:pPr>
            <w:r w:rsidRPr="00640447">
              <w:rPr>
                <w:sz w:val="16"/>
                <w:szCs w:val="16"/>
              </w:rPr>
              <w:t>241 458</w:t>
            </w:r>
          </w:p>
        </w:tc>
        <w:tc>
          <w:tcPr>
            <w:tcW w:w="23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1CD52FF" w14:textId="77777777" w:rsidR="004A0123" w:rsidRPr="00640447" w:rsidRDefault="004A0123" w:rsidP="008A5C11">
            <w:pPr>
              <w:jc w:val="center"/>
              <w:rPr>
                <w:sz w:val="16"/>
                <w:szCs w:val="16"/>
              </w:rPr>
            </w:pPr>
            <w:r w:rsidRPr="00640447">
              <w:rPr>
                <w:sz w:val="16"/>
                <w:szCs w:val="16"/>
              </w:rPr>
              <w:t>241 485</w:t>
            </w:r>
          </w:p>
        </w:tc>
        <w:tc>
          <w:tcPr>
            <w:tcW w:w="235" w:type="pct"/>
            <w:tcBorders>
              <w:top w:val="single" w:sz="4" w:space="0" w:color="auto"/>
              <w:left w:val="nil"/>
              <w:bottom w:val="single" w:sz="4" w:space="0" w:color="auto"/>
              <w:right w:val="single" w:sz="4" w:space="0" w:color="auto"/>
            </w:tcBorders>
            <w:tcMar>
              <w:left w:w="28" w:type="dxa"/>
              <w:right w:w="28" w:type="dxa"/>
            </w:tcMar>
            <w:vAlign w:val="center"/>
          </w:tcPr>
          <w:p w14:paraId="6CF5E81C" w14:textId="77777777" w:rsidR="004A0123" w:rsidRPr="00640447" w:rsidRDefault="004A0123" w:rsidP="008A5C11">
            <w:pPr>
              <w:jc w:val="center"/>
              <w:rPr>
                <w:sz w:val="16"/>
                <w:szCs w:val="16"/>
              </w:rPr>
            </w:pPr>
            <w:r w:rsidRPr="00640447">
              <w:rPr>
                <w:sz w:val="16"/>
                <w:szCs w:val="16"/>
              </w:rPr>
              <w:t>241 458</w:t>
            </w:r>
          </w:p>
        </w:tc>
        <w:tc>
          <w:tcPr>
            <w:tcW w:w="287" w:type="pct"/>
            <w:tcBorders>
              <w:top w:val="single" w:sz="4" w:space="0" w:color="auto"/>
              <w:left w:val="nil"/>
              <w:bottom w:val="single" w:sz="4" w:space="0" w:color="auto"/>
              <w:right w:val="single" w:sz="4" w:space="0" w:color="auto"/>
            </w:tcBorders>
            <w:tcMar>
              <w:left w:w="28" w:type="dxa"/>
              <w:right w:w="28" w:type="dxa"/>
            </w:tcMar>
            <w:vAlign w:val="center"/>
          </w:tcPr>
          <w:p w14:paraId="30D67488" w14:textId="77777777" w:rsidR="004A0123" w:rsidRPr="00640447" w:rsidRDefault="004A0123" w:rsidP="008A5C11">
            <w:pPr>
              <w:jc w:val="center"/>
              <w:rPr>
                <w:sz w:val="16"/>
                <w:szCs w:val="16"/>
              </w:rPr>
            </w:pPr>
            <w:r w:rsidRPr="00640447">
              <w:rPr>
                <w:sz w:val="16"/>
                <w:szCs w:val="16"/>
              </w:rPr>
              <w:t>243 056</w:t>
            </w:r>
          </w:p>
        </w:tc>
        <w:tc>
          <w:tcPr>
            <w:tcW w:w="288" w:type="pct"/>
            <w:tcBorders>
              <w:top w:val="single" w:sz="4" w:space="0" w:color="auto"/>
              <w:left w:val="nil"/>
              <w:bottom w:val="single" w:sz="4" w:space="0" w:color="auto"/>
              <w:right w:val="single" w:sz="4" w:space="0" w:color="auto"/>
            </w:tcBorders>
            <w:vAlign w:val="center"/>
          </w:tcPr>
          <w:p w14:paraId="2E4150B6" w14:textId="77777777" w:rsidR="004A0123" w:rsidRPr="00640447" w:rsidRDefault="004A0123" w:rsidP="008A5C11">
            <w:pPr>
              <w:jc w:val="center"/>
              <w:rPr>
                <w:sz w:val="16"/>
                <w:szCs w:val="16"/>
              </w:rPr>
            </w:pPr>
            <w:r w:rsidRPr="00640447">
              <w:rPr>
                <w:sz w:val="16"/>
                <w:szCs w:val="16"/>
              </w:rPr>
              <w:t>249 244</w:t>
            </w:r>
          </w:p>
        </w:tc>
        <w:tc>
          <w:tcPr>
            <w:tcW w:w="289" w:type="pct"/>
            <w:tcBorders>
              <w:top w:val="single" w:sz="4" w:space="0" w:color="auto"/>
              <w:left w:val="single" w:sz="4" w:space="0" w:color="auto"/>
              <w:bottom w:val="single" w:sz="4" w:space="0" w:color="auto"/>
              <w:right w:val="single" w:sz="4" w:space="0" w:color="auto"/>
            </w:tcBorders>
            <w:vAlign w:val="center"/>
          </w:tcPr>
          <w:p w14:paraId="1AC21EA6" w14:textId="77777777" w:rsidR="004A0123" w:rsidRPr="00640447" w:rsidRDefault="004A0123" w:rsidP="008A5C11">
            <w:pPr>
              <w:jc w:val="center"/>
              <w:rPr>
                <w:sz w:val="16"/>
                <w:szCs w:val="16"/>
              </w:rPr>
            </w:pPr>
            <w:r w:rsidRPr="00640447">
              <w:rPr>
                <w:sz w:val="16"/>
                <w:szCs w:val="16"/>
              </w:rPr>
              <w:t>251 071</w:t>
            </w:r>
          </w:p>
        </w:tc>
        <w:tc>
          <w:tcPr>
            <w:tcW w:w="286" w:type="pct"/>
            <w:tcBorders>
              <w:top w:val="single" w:sz="4" w:space="0" w:color="auto"/>
              <w:left w:val="single" w:sz="4" w:space="0" w:color="auto"/>
              <w:bottom w:val="single" w:sz="4" w:space="0" w:color="auto"/>
              <w:right w:val="single" w:sz="4" w:space="0" w:color="auto"/>
            </w:tcBorders>
            <w:vAlign w:val="center"/>
          </w:tcPr>
          <w:p w14:paraId="241E998D" w14:textId="77777777" w:rsidR="004A0123" w:rsidRPr="00640447" w:rsidRDefault="004A0123" w:rsidP="008A5C11">
            <w:pPr>
              <w:jc w:val="center"/>
              <w:rPr>
                <w:sz w:val="16"/>
                <w:szCs w:val="16"/>
              </w:rPr>
            </w:pPr>
            <w:r w:rsidRPr="00640447">
              <w:rPr>
                <w:sz w:val="16"/>
                <w:szCs w:val="16"/>
              </w:rPr>
              <w:t>251 071</w:t>
            </w:r>
          </w:p>
        </w:tc>
        <w:tc>
          <w:tcPr>
            <w:tcW w:w="282" w:type="pct"/>
            <w:tcBorders>
              <w:top w:val="single" w:sz="4" w:space="0" w:color="auto"/>
              <w:left w:val="single" w:sz="4" w:space="0" w:color="auto"/>
              <w:bottom w:val="single" w:sz="4" w:space="0" w:color="auto"/>
              <w:right w:val="single" w:sz="4" w:space="0" w:color="auto"/>
            </w:tcBorders>
            <w:vAlign w:val="center"/>
          </w:tcPr>
          <w:p w14:paraId="44F5887E" w14:textId="77777777" w:rsidR="004A0123" w:rsidRPr="00640447" w:rsidRDefault="004A0123" w:rsidP="008A5C11">
            <w:pPr>
              <w:jc w:val="center"/>
              <w:rPr>
                <w:sz w:val="16"/>
                <w:szCs w:val="16"/>
              </w:rPr>
            </w:pPr>
            <w:r w:rsidRPr="00640447">
              <w:rPr>
                <w:sz w:val="16"/>
                <w:szCs w:val="16"/>
              </w:rPr>
              <w:t>251 071</w:t>
            </w:r>
          </w:p>
        </w:tc>
        <w:tc>
          <w:tcPr>
            <w:tcW w:w="282" w:type="pct"/>
            <w:tcBorders>
              <w:top w:val="single" w:sz="4" w:space="0" w:color="auto"/>
              <w:left w:val="single" w:sz="4" w:space="0" w:color="auto"/>
              <w:bottom w:val="single" w:sz="4" w:space="0" w:color="auto"/>
              <w:right w:val="single" w:sz="4" w:space="0" w:color="auto"/>
            </w:tcBorders>
            <w:vAlign w:val="center"/>
          </w:tcPr>
          <w:p w14:paraId="1A82348D" w14:textId="77777777" w:rsidR="004A0123" w:rsidRPr="00640447" w:rsidRDefault="004A0123" w:rsidP="008A5C11">
            <w:pPr>
              <w:jc w:val="center"/>
              <w:rPr>
                <w:sz w:val="16"/>
                <w:szCs w:val="16"/>
              </w:rPr>
            </w:pPr>
            <w:r w:rsidRPr="00640447">
              <w:rPr>
                <w:sz w:val="16"/>
                <w:szCs w:val="16"/>
              </w:rPr>
              <w:t>251 071</w:t>
            </w:r>
          </w:p>
        </w:tc>
      </w:tr>
      <w:tr w:rsidR="004A0123" w:rsidRPr="00640447" w14:paraId="2372EC3B" w14:textId="77777777" w:rsidTr="008A5C11">
        <w:trPr>
          <w:trHeight w:val="255"/>
        </w:trPr>
        <w:tc>
          <w:tcPr>
            <w:tcW w:w="182"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3799E76F" w14:textId="77777777" w:rsidR="004A0123" w:rsidRPr="00640447" w:rsidRDefault="004A0123" w:rsidP="008A5C11">
            <w:pPr>
              <w:jc w:val="center"/>
              <w:rPr>
                <w:sz w:val="16"/>
                <w:szCs w:val="16"/>
              </w:rPr>
            </w:pPr>
          </w:p>
        </w:tc>
        <w:tc>
          <w:tcPr>
            <w:tcW w:w="999"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2650637E" w14:textId="77777777" w:rsidR="004A0123" w:rsidRPr="00640447" w:rsidRDefault="004A0123" w:rsidP="008A5C11">
            <w:pPr>
              <w:jc w:val="center"/>
              <w:rPr>
                <w:sz w:val="16"/>
                <w:szCs w:val="16"/>
              </w:rPr>
            </w:pPr>
          </w:p>
        </w:tc>
        <w:tc>
          <w:tcPr>
            <w:tcW w:w="41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505AE44" w14:textId="77777777" w:rsidR="004A0123" w:rsidRPr="00640447" w:rsidRDefault="004A0123" w:rsidP="008A5C11">
            <w:pPr>
              <w:jc w:val="center"/>
              <w:rPr>
                <w:sz w:val="16"/>
                <w:szCs w:val="16"/>
              </w:rPr>
            </w:pPr>
            <w:r w:rsidRPr="00640447">
              <w:rPr>
                <w:sz w:val="16"/>
                <w:szCs w:val="16"/>
              </w:rPr>
              <w:t>м</w:t>
            </w:r>
            <w:r w:rsidRPr="00640447">
              <w:rPr>
                <w:sz w:val="16"/>
                <w:szCs w:val="16"/>
                <w:vertAlign w:val="superscript"/>
              </w:rPr>
              <w:t>3</w:t>
            </w:r>
            <w:r w:rsidRPr="00640447">
              <w:rPr>
                <w:sz w:val="16"/>
                <w:szCs w:val="16"/>
              </w:rPr>
              <w:t xml:space="preserve"> для пара</w:t>
            </w:r>
          </w:p>
        </w:tc>
        <w:tc>
          <w:tcPr>
            <w:tcW w:w="321" w:type="pct"/>
            <w:tcBorders>
              <w:top w:val="nil"/>
              <w:left w:val="nil"/>
              <w:bottom w:val="single" w:sz="4" w:space="0" w:color="auto"/>
              <w:right w:val="single" w:sz="4" w:space="0" w:color="auto"/>
            </w:tcBorders>
            <w:shd w:val="clear" w:color="auto" w:fill="auto"/>
            <w:tcMar>
              <w:left w:w="28" w:type="dxa"/>
              <w:right w:w="28" w:type="dxa"/>
            </w:tcMar>
            <w:vAlign w:val="center"/>
          </w:tcPr>
          <w:p w14:paraId="75FB4A34" w14:textId="77777777" w:rsidR="004A0123" w:rsidRPr="00640447" w:rsidRDefault="004A0123" w:rsidP="008A5C11">
            <w:pPr>
              <w:jc w:val="center"/>
              <w:rPr>
                <w:sz w:val="16"/>
                <w:szCs w:val="16"/>
              </w:rPr>
            </w:pPr>
            <w:r w:rsidRPr="00640447">
              <w:rPr>
                <w:sz w:val="16"/>
                <w:szCs w:val="16"/>
              </w:rPr>
              <w:t>-</w:t>
            </w:r>
          </w:p>
        </w:tc>
        <w:tc>
          <w:tcPr>
            <w:tcW w:w="377"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45AB57C" w14:textId="77777777" w:rsidR="004A0123" w:rsidRPr="00640447" w:rsidRDefault="004A0123" w:rsidP="008A5C11">
            <w:pPr>
              <w:jc w:val="center"/>
              <w:rPr>
                <w:sz w:val="16"/>
                <w:szCs w:val="16"/>
              </w:rPr>
            </w:pPr>
            <w:r w:rsidRPr="00640447">
              <w:rPr>
                <w:sz w:val="16"/>
                <w:szCs w:val="16"/>
              </w:rPr>
              <w:t>-</w:t>
            </w:r>
          </w:p>
        </w:tc>
        <w:tc>
          <w:tcPr>
            <w:tcW w:w="237" w:type="pct"/>
            <w:tcBorders>
              <w:top w:val="nil"/>
              <w:left w:val="nil"/>
              <w:bottom w:val="single" w:sz="4" w:space="0" w:color="auto"/>
              <w:right w:val="single" w:sz="4" w:space="0" w:color="auto"/>
            </w:tcBorders>
            <w:shd w:val="clear" w:color="auto" w:fill="auto"/>
            <w:tcMar>
              <w:left w:w="28" w:type="dxa"/>
              <w:right w:w="28" w:type="dxa"/>
            </w:tcMar>
            <w:vAlign w:val="center"/>
          </w:tcPr>
          <w:p w14:paraId="66F134FB" w14:textId="77777777" w:rsidR="004A0123" w:rsidRPr="00640447" w:rsidRDefault="004A0123" w:rsidP="008A5C11">
            <w:pPr>
              <w:jc w:val="center"/>
              <w:rPr>
                <w:sz w:val="16"/>
                <w:szCs w:val="16"/>
              </w:rPr>
            </w:pPr>
            <w:r w:rsidRPr="00640447">
              <w:rPr>
                <w:sz w:val="16"/>
                <w:szCs w:val="16"/>
              </w:rPr>
              <w:t>-</w:t>
            </w:r>
          </w:p>
        </w:tc>
        <w:tc>
          <w:tcPr>
            <w:tcW w:w="283" w:type="pct"/>
            <w:tcBorders>
              <w:top w:val="nil"/>
              <w:left w:val="nil"/>
              <w:bottom w:val="single" w:sz="4" w:space="0" w:color="auto"/>
              <w:right w:val="single" w:sz="4" w:space="0" w:color="auto"/>
            </w:tcBorders>
            <w:shd w:val="clear" w:color="auto" w:fill="auto"/>
            <w:tcMar>
              <w:left w:w="28" w:type="dxa"/>
              <w:right w:w="28" w:type="dxa"/>
            </w:tcMar>
            <w:vAlign w:val="center"/>
          </w:tcPr>
          <w:p w14:paraId="4E8A6058" w14:textId="77777777" w:rsidR="004A0123" w:rsidRPr="00640447" w:rsidRDefault="004A0123" w:rsidP="008A5C11">
            <w:pPr>
              <w:jc w:val="center"/>
              <w:rPr>
                <w:sz w:val="16"/>
                <w:szCs w:val="16"/>
              </w:rPr>
            </w:pPr>
            <w:r w:rsidRPr="00640447">
              <w:rPr>
                <w:sz w:val="16"/>
                <w:szCs w:val="16"/>
              </w:rPr>
              <w:t>-</w:t>
            </w:r>
          </w:p>
        </w:tc>
        <w:tc>
          <w:tcPr>
            <w:tcW w:w="236" w:type="pct"/>
            <w:tcBorders>
              <w:top w:val="nil"/>
              <w:left w:val="nil"/>
              <w:bottom w:val="single" w:sz="4" w:space="0" w:color="auto"/>
              <w:right w:val="single" w:sz="4" w:space="0" w:color="auto"/>
            </w:tcBorders>
            <w:shd w:val="clear" w:color="auto" w:fill="auto"/>
            <w:tcMar>
              <w:left w:w="28" w:type="dxa"/>
              <w:right w:w="28" w:type="dxa"/>
            </w:tcMar>
            <w:vAlign w:val="center"/>
          </w:tcPr>
          <w:p w14:paraId="2D9EDDAC" w14:textId="77777777" w:rsidR="004A0123" w:rsidRPr="00640447" w:rsidRDefault="004A0123" w:rsidP="008A5C11">
            <w:pPr>
              <w:jc w:val="center"/>
              <w:rPr>
                <w:sz w:val="16"/>
                <w:szCs w:val="16"/>
              </w:rPr>
            </w:pPr>
            <w:r w:rsidRPr="00640447">
              <w:rPr>
                <w:sz w:val="16"/>
                <w:szCs w:val="16"/>
              </w:rPr>
              <w:t>-</w:t>
            </w:r>
          </w:p>
        </w:tc>
        <w:tc>
          <w:tcPr>
            <w:tcW w:w="235" w:type="pct"/>
            <w:tcBorders>
              <w:top w:val="nil"/>
              <w:left w:val="nil"/>
              <w:bottom w:val="single" w:sz="4" w:space="0" w:color="auto"/>
              <w:right w:val="single" w:sz="4" w:space="0" w:color="auto"/>
            </w:tcBorders>
            <w:tcMar>
              <w:left w:w="28" w:type="dxa"/>
              <w:right w:w="28" w:type="dxa"/>
            </w:tcMar>
            <w:vAlign w:val="center"/>
          </w:tcPr>
          <w:p w14:paraId="42AAD0D2" w14:textId="77777777" w:rsidR="004A0123" w:rsidRPr="00640447" w:rsidRDefault="004A0123" w:rsidP="008A5C11">
            <w:pPr>
              <w:jc w:val="center"/>
              <w:rPr>
                <w:sz w:val="16"/>
                <w:szCs w:val="16"/>
              </w:rPr>
            </w:pPr>
            <w:r w:rsidRPr="00640447">
              <w:rPr>
                <w:sz w:val="16"/>
                <w:szCs w:val="16"/>
              </w:rPr>
              <w:t>-</w:t>
            </w:r>
          </w:p>
        </w:tc>
        <w:tc>
          <w:tcPr>
            <w:tcW w:w="287" w:type="pct"/>
            <w:tcBorders>
              <w:top w:val="nil"/>
              <w:left w:val="nil"/>
              <w:bottom w:val="single" w:sz="4" w:space="0" w:color="auto"/>
              <w:right w:val="single" w:sz="4" w:space="0" w:color="auto"/>
            </w:tcBorders>
            <w:tcMar>
              <w:left w:w="28" w:type="dxa"/>
              <w:right w:w="28" w:type="dxa"/>
            </w:tcMar>
            <w:vAlign w:val="center"/>
          </w:tcPr>
          <w:p w14:paraId="2E19F11D" w14:textId="77777777" w:rsidR="004A0123" w:rsidRPr="00640447" w:rsidRDefault="004A0123" w:rsidP="008A5C11">
            <w:pPr>
              <w:jc w:val="center"/>
              <w:rPr>
                <w:sz w:val="16"/>
                <w:szCs w:val="16"/>
              </w:rPr>
            </w:pPr>
            <w:r w:rsidRPr="00640447">
              <w:rPr>
                <w:sz w:val="16"/>
                <w:szCs w:val="16"/>
              </w:rPr>
              <w:t>-</w:t>
            </w:r>
          </w:p>
        </w:tc>
        <w:tc>
          <w:tcPr>
            <w:tcW w:w="288" w:type="pct"/>
            <w:tcBorders>
              <w:top w:val="single" w:sz="4" w:space="0" w:color="auto"/>
              <w:left w:val="nil"/>
              <w:bottom w:val="single" w:sz="4" w:space="0" w:color="auto"/>
              <w:right w:val="single" w:sz="4" w:space="0" w:color="auto"/>
            </w:tcBorders>
            <w:vAlign w:val="center"/>
          </w:tcPr>
          <w:p w14:paraId="3443C3CC" w14:textId="77777777" w:rsidR="004A0123" w:rsidRPr="00640447" w:rsidRDefault="004A0123" w:rsidP="008A5C11">
            <w:pPr>
              <w:jc w:val="center"/>
              <w:rPr>
                <w:sz w:val="16"/>
                <w:szCs w:val="16"/>
              </w:rPr>
            </w:pPr>
            <w:r w:rsidRPr="00640447">
              <w:rPr>
                <w:sz w:val="16"/>
                <w:szCs w:val="16"/>
              </w:rPr>
              <w:t>-</w:t>
            </w:r>
          </w:p>
        </w:tc>
        <w:tc>
          <w:tcPr>
            <w:tcW w:w="289" w:type="pct"/>
            <w:tcBorders>
              <w:top w:val="single" w:sz="4" w:space="0" w:color="auto"/>
              <w:left w:val="single" w:sz="4" w:space="0" w:color="auto"/>
              <w:bottom w:val="single" w:sz="4" w:space="0" w:color="auto"/>
              <w:right w:val="single" w:sz="4" w:space="0" w:color="auto"/>
            </w:tcBorders>
            <w:vAlign w:val="center"/>
          </w:tcPr>
          <w:p w14:paraId="26BB2FEB" w14:textId="77777777" w:rsidR="004A0123" w:rsidRPr="00640447" w:rsidRDefault="004A0123" w:rsidP="008A5C11">
            <w:pPr>
              <w:jc w:val="center"/>
              <w:rPr>
                <w:sz w:val="16"/>
                <w:szCs w:val="16"/>
              </w:rPr>
            </w:pPr>
            <w:r w:rsidRPr="00640447">
              <w:rPr>
                <w:sz w:val="16"/>
                <w:szCs w:val="16"/>
              </w:rPr>
              <w:t>-</w:t>
            </w:r>
          </w:p>
        </w:tc>
        <w:tc>
          <w:tcPr>
            <w:tcW w:w="286" w:type="pct"/>
            <w:tcBorders>
              <w:top w:val="single" w:sz="4" w:space="0" w:color="auto"/>
              <w:left w:val="single" w:sz="4" w:space="0" w:color="auto"/>
              <w:bottom w:val="single" w:sz="4" w:space="0" w:color="auto"/>
              <w:right w:val="single" w:sz="4" w:space="0" w:color="auto"/>
            </w:tcBorders>
            <w:vAlign w:val="center"/>
          </w:tcPr>
          <w:p w14:paraId="762A16CC" w14:textId="77777777" w:rsidR="004A0123" w:rsidRPr="00640447" w:rsidRDefault="004A0123" w:rsidP="008A5C11">
            <w:pPr>
              <w:jc w:val="center"/>
              <w:rPr>
                <w:sz w:val="16"/>
                <w:szCs w:val="16"/>
              </w:rPr>
            </w:pPr>
            <w:r w:rsidRPr="00640447">
              <w:rPr>
                <w:sz w:val="16"/>
                <w:szCs w:val="16"/>
              </w:rPr>
              <w:t>-</w:t>
            </w:r>
          </w:p>
        </w:tc>
        <w:tc>
          <w:tcPr>
            <w:tcW w:w="282" w:type="pct"/>
            <w:tcBorders>
              <w:top w:val="single" w:sz="4" w:space="0" w:color="auto"/>
              <w:left w:val="single" w:sz="4" w:space="0" w:color="auto"/>
              <w:bottom w:val="single" w:sz="4" w:space="0" w:color="auto"/>
              <w:right w:val="single" w:sz="4" w:space="0" w:color="auto"/>
            </w:tcBorders>
            <w:vAlign w:val="center"/>
          </w:tcPr>
          <w:p w14:paraId="47B97470" w14:textId="77777777" w:rsidR="004A0123" w:rsidRPr="00640447" w:rsidRDefault="004A0123" w:rsidP="008A5C11">
            <w:pPr>
              <w:jc w:val="center"/>
              <w:rPr>
                <w:sz w:val="16"/>
                <w:szCs w:val="16"/>
              </w:rPr>
            </w:pPr>
            <w:r w:rsidRPr="00640447">
              <w:rPr>
                <w:sz w:val="16"/>
                <w:szCs w:val="16"/>
              </w:rPr>
              <w:t>-</w:t>
            </w:r>
          </w:p>
        </w:tc>
        <w:tc>
          <w:tcPr>
            <w:tcW w:w="282" w:type="pct"/>
            <w:tcBorders>
              <w:top w:val="single" w:sz="4" w:space="0" w:color="auto"/>
              <w:left w:val="single" w:sz="4" w:space="0" w:color="auto"/>
              <w:bottom w:val="single" w:sz="4" w:space="0" w:color="auto"/>
              <w:right w:val="single" w:sz="4" w:space="0" w:color="auto"/>
            </w:tcBorders>
            <w:vAlign w:val="center"/>
          </w:tcPr>
          <w:p w14:paraId="30B4CEEB" w14:textId="77777777" w:rsidR="004A0123" w:rsidRPr="00640447" w:rsidRDefault="004A0123" w:rsidP="008A5C11">
            <w:pPr>
              <w:jc w:val="center"/>
              <w:rPr>
                <w:sz w:val="16"/>
                <w:szCs w:val="16"/>
              </w:rPr>
            </w:pPr>
            <w:r w:rsidRPr="00640447">
              <w:rPr>
                <w:sz w:val="16"/>
                <w:szCs w:val="16"/>
              </w:rPr>
              <w:t>-</w:t>
            </w:r>
          </w:p>
        </w:tc>
      </w:tr>
      <w:tr w:rsidR="004A0123" w:rsidRPr="00640447" w14:paraId="0A7B31D6" w14:textId="77777777" w:rsidTr="008A5C11">
        <w:trPr>
          <w:trHeight w:val="1020"/>
        </w:trPr>
        <w:tc>
          <w:tcPr>
            <w:tcW w:w="18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ADD6BA1" w14:textId="77777777" w:rsidR="004A0123" w:rsidRPr="00640447" w:rsidRDefault="004A0123" w:rsidP="008A5C11">
            <w:pPr>
              <w:jc w:val="center"/>
              <w:rPr>
                <w:sz w:val="16"/>
                <w:szCs w:val="16"/>
              </w:rPr>
            </w:pPr>
            <w:r w:rsidRPr="00640447">
              <w:rPr>
                <w:sz w:val="16"/>
                <w:szCs w:val="16"/>
              </w:rPr>
              <w:t>7.</w:t>
            </w:r>
          </w:p>
        </w:tc>
        <w:tc>
          <w:tcPr>
            <w:tcW w:w="99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B76AAF2" w14:textId="77777777" w:rsidR="004A0123" w:rsidRPr="00640447" w:rsidRDefault="004A0123" w:rsidP="008A5C11">
            <w:pPr>
              <w:jc w:val="center"/>
              <w:rPr>
                <w:sz w:val="16"/>
                <w:szCs w:val="16"/>
              </w:rPr>
            </w:pPr>
            <w:r w:rsidRPr="00640447">
              <w:rPr>
                <w:sz w:val="16"/>
                <w:szCs w:val="16"/>
              </w:rPr>
              <w:t>Показатели, характеризующие снижение негативного воздействия на окружающую среду, определяемые в соответствии с законодательством РФ об охране окружающей среды</w:t>
            </w:r>
          </w:p>
        </w:tc>
        <w:tc>
          <w:tcPr>
            <w:tcW w:w="41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288ED3E" w14:textId="77777777" w:rsidR="004A0123" w:rsidRPr="00640447" w:rsidRDefault="004A0123" w:rsidP="008A5C11">
            <w:pPr>
              <w:jc w:val="center"/>
              <w:rPr>
                <w:sz w:val="16"/>
                <w:szCs w:val="16"/>
              </w:rPr>
            </w:pPr>
            <w:r w:rsidRPr="00640447">
              <w:rPr>
                <w:sz w:val="16"/>
                <w:szCs w:val="16"/>
              </w:rPr>
              <w:t>Эффективность очистки, %</w:t>
            </w:r>
          </w:p>
        </w:tc>
        <w:tc>
          <w:tcPr>
            <w:tcW w:w="321" w:type="pct"/>
            <w:tcBorders>
              <w:top w:val="nil"/>
              <w:left w:val="nil"/>
              <w:bottom w:val="single" w:sz="4" w:space="0" w:color="auto"/>
              <w:right w:val="single" w:sz="4" w:space="0" w:color="auto"/>
            </w:tcBorders>
            <w:shd w:val="clear" w:color="auto" w:fill="auto"/>
            <w:tcMar>
              <w:left w:w="28" w:type="dxa"/>
              <w:right w:w="28" w:type="dxa"/>
            </w:tcMar>
            <w:vAlign w:val="center"/>
          </w:tcPr>
          <w:p w14:paraId="1A022996" w14:textId="77777777" w:rsidR="004A0123" w:rsidRPr="00640447" w:rsidRDefault="004A0123" w:rsidP="008A5C11">
            <w:pPr>
              <w:jc w:val="center"/>
              <w:rPr>
                <w:sz w:val="16"/>
                <w:szCs w:val="16"/>
              </w:rPr>
            </w:pPr>
            <w:r w:rsidRPr="00640447">
              <w:rPr>
                <w:sz w:val="16"/>
                <w:szCs w:val="16"/>
              </w:rPr>
              <w:t>-</w:t>
            </w:r>
          </w:p>
        </w:tc>
        <w:tc>
          <w:tcPr>
            <w:tcW w:w="377"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0020C99" w14:textId="77777777" w:rsidR="004A0123" w:rsidRPr="00640447" w:rsidRDefault="004A0123" w:rsidP="008A5C11">
            <w:pPr>
              <w:jc w:val="center"/>
              <w:rPr>
                <w:sz w:val="16"/>
                <w:szCs w:val="16"/>
              </w:rPr>
            </w:pPr>
            <w:r w:rsidRPr="00640447">
              <w:rPr>
                <w:sz w:val="16"/>
                <w:szCs w:val="16"/>
              </w:rPr>
              <w:t>-</w:t>
            </w:r>
          </w:p>
        </w:tc>
        <w:tc>
          <w:tcPr>
            <w:tcW w:w="237" w:type="pct"/>
            <w:tcBorders>
              <w:top w:val="nil"/>
              <w:left w:val="nil"/>
              <w:bottom w:val="single" w:sz="4" w:space="0" w:color="auto"/>
              <w:right w:val="single" w:sz="4" w:space="0" w:color="auto"/>
            </w:tcBorders>
            <w:shd w:val="clear" w:color="auto" w:fill="auto"/>
            <w:tcMar>
              <w:left w:w="28" w:type="dxa"/>
              <w:right w:w="28" w:type="dxa"/>
            </w:tcMar>
            <w:vAlign w:val="center"/>
          </w:tcPr>
          <w:p w14:paraId="49AA30C2" w14:textId="77777777" w:rsidR="004A0123" w:rsidRPr="00640447" w:rsidRDefault="004A0123" w:rsidP="008A5C11">
            <w:pPr>
              <w:jc w:val="center"/>
              <w:rPr>
                <w:sz w:val="16"/>
                <w:szCs w:val="16"/>
              </w:rPr>
            </w:pPr>
            <w:r w:rsidRPr="00640447">
              <w:rPr>
                <w:sz w:val="16"/>
                <w:szCs w:val="16"/>
              </w:rPr>
              <w:t>-</w:t>
            </w:r>
          </w:p>
        </w:tc>
        <w:tc>
          <w:tcPr>
            <w:tcW w:w="283" w:type="pct"/>
            <w:tcBorders>
              <w:top w:val="nil"/>
              <w:left w:val="nil"/>
              <w:bottom w:val="single" w:sz="4" w:space="0" w:color="auto"/>
              <w:right w:val="single" w:sz="4" w:space="0" w:color="auto"/>
            </w:tcBorders>
            <w:shd w:val="clear" w:color="auto" w:fill="auto"/>
            <w:tcMar>
              <w:left w:w="28" w:type="dxa"/>
              <w:right w:w="28" w:type="dxa"/>
            </w:tcMar>
            <w:vAlign w:val="center"/>
          </w:tcPr>
          <w:p w14:paraId="211D60E3" w14:textId="77777777" w:rsidR="004A0123" w:rsidRPr="00640447" w:rsidRDefault="004A0123" w:rsidP="008A5C11">
            <w:pPr>
              <w:jc w:val="center"/>
              <w:rPr>
                <w:sz w:val="16"/>
                <w:szCs w:val="16"/>
              </w:rPr>
            </w:pPr>
            <w:r w:rsidRPr="00640447">
              <w:rPr>
                <w:sz w:val="16"/>
                <w:szCs w:val="16"/>
              </w:rPr>
              <w:t>-</w:t>
            </w:r>
          </w:p>
        </w:tc>
        <w:tc>
          <w:tcPr>
            <w:tcW w:w="236" w:type="pct"/>
            <w:tcBorders>
              <w:top w:val="nil"/>
              <w:left w:val="nil"/>
              <w:bottom w:val="single" w:sz="4" w:space="0" w:color="auto"/>
              <w:right w:val="single" w:sz="4" w:space="0" w:color="auto"/>
            </w:tcBorders>
            <w:shd w:val="clear" w:color="auto" w:fill="auto"/>
            <w:tcMar>
              <w:left w:w="28" w:type="dxa"/>
              <w:right w:w="28" w:type="dxa"/>
            </w:tcMar>
            <w:vAlign w:val="center"/>
          </w:tcPr>
          <w:p w14:paraId="7F1AB935" w14:textId="77777777" w:rsidR="004A0123" w:rsidRPr="00640447" w:rsidRDefault="004A0123" w:rsidP="008A5C11">
            <w:pPr>
              <w:jc w:val="center"/>
              <w:rPr>
                <w:sz w:val="16"/>
                <w:szCs w:val="16"/>
              </w:rPr>
            </w:pPr>
            <w:r w:rsidRPr="00640447">
              <w:rPr>
                <w:sz w:val="16"/>
                <w:szCs w:val="16"/>
              </w:rPr>
              <w:t>-</w:t>
            </w:r>
          </w:p>
        </w:tc>
        <w:tc>
          <w:tcPr>
            <w:tcW w:w="235" w:type="pct"/>
            <w:tcBorders>
              <w:top w:val="nil"/>
              <w:left w:val="nil"/>
              <w:bottom w:val="single" w:sz="4" w:space="0" w:color="auto"/>
              <w:right w:val="single" w:sz="4" w:space="0" w:color="auto"/>
            </w:tcBorders>
            <w:tcMar>
              <w:left w:w="28" w:type="dxa"/>
              <w:right w:w="28" w:type="dxa"/>
            </w:tcMar>
            <w:vAlign w:val="center"/>
          </w:tcPr>
          <w:p w14:paraId="3F4010CD" w14:textId="77777777" w:rsidR="004A0123" w:rsidRPr="00640447" w:rsidRDefault="004A0123" w:rsidP="008A5C11">
            <w:pPr>
              <w:jc w:val="center"/>
              <w:rPr>
                <w:sz w:val="16"/>
                <w:szCs w:val="16"/>
              </w:rPr>
            </w:pPr>
            <w:r w:rsidRPr="00640447">
              <w:rPr>
                <w:sz w:val="16"/>
                <w:szCs w:val="16"/>
              </w:rPr>
              <w:t>-</w:t>
            </w:r>
          </w:p>
        </w:tc>
        <w:tc>
          <w:tcPr>
            <w:tcW w:w="287" w:type="pct"/>
            <w:tcBorders>
              <w:top w:val="nil"/>
              <w:left w:val="nil"/>
              <w:bottom w:val="single" w:sz="4" w:space="0" w:color="auto"/>
              <w:right w:val="single" w:sz="4" w:space="0" w:color="auto"/>
            </w:tcBorders>
            <w:tcMar>
              <w:left w:w="28" w:type="dxa"/>
              <w:right w:w="28" w:type="dxa"/>
            </w:tcMar>
            <w:vAlign w:val="center"/>
          </w:tcPr>
          <w:p w14:paraId="17D16DB4" w14:textId="77777777" w:rsidR="004A0123" w:rsidRPr="00640447" w:rsidRDefault="004A0123" w:rsidP="008A5C11">
            <w:pPr>
              <w:jc w:val="center"/>
              <w:rPr>
                <w:sz w:val="16"/>
                <w:szCs w:val="16"/>
              </w:rPr>
            </w:pPr>
            <w:r w:rsidRPr="00640447">
              <w:rPr>
                <w:sz w:val="16"/>
                <w:szCs w:val="16"/>
              </w:rPr>
              <w:t>-</w:t>
            </w:r>
          </w:p>
        </w:tc>
        <w:tc>
          <w:tcPr>
            <w:tcW w:w="288" w:type="pct"/>
            <w:tcBorders>
              <w:top w:val="single" w:sz="4" w:space="0" w:color="auto"/>
              <w:left w:val="nil"/>
              <w:bottom w:val="single" w:sz="4" w:space="0" w:color="auto"/>
              <w:right w:val="single" w:sz="4" w:space="0" w:color="auto"/>
            </w:tcBorders>
            <w:vAlign w:val="center"/>
          </w:tcPr>
          <w:p w14:paraId="586A5513" w14:textId="77777777" w:rsidR="004A0123" w:rsidRPr="00640447" w:rsidRDefault="004A0123" w:rsidP="008A5C11">
            <w:pPr>
              <w:jc w:val="center"/>
              <w:rPr>
                <w:sz w:val="16"/>
                <w:szCs w:val="16"/>
              </w:rPr>
            </w:pPr>
            <w:r w:rsidRPr="00640447">
              <w:rPr>
                <w:sz w:val="16"/>
                <w:szCs w:val="16"/>
              </w:rPr>
              <w:t>-</w:t>
            </w:r>
          </w:p>
        </w:tc>
        <w:tc>
          <w:tcPr>
            <w:tcW w:w="289" w:type="pct"/>
            <w:tcBorders>
              <w:top w:val="single" w:sz="4" w:space="0" w:color="auto"/>
              <w:left w:val="single" w:sz="4" w:space="0" w:color="auto"/>
              <w:bottom w:val="single" w:sz="4" w:space="0" w:color="auto"/>
              <w:right w:val="single" w:sz="4" w:space="0" w:color="auto"/>
            </w:tcBorders>
            <w:vAlign w:val="center"/>
          </w:tcPr>
          <w:p w14:paraId="024EAD12" w14:textId="77777777" w:rsidR="004A0123" w:rsidRPr="00640447" w:rsidRDefault="004A0123" w:rsidP="008A5C11">
            <w:pPr>
              <w:jc w:val="center"/>
              <w:rPr>
                <w:sz w:val="16"/>
                <w:szCs w:val="16"/>
              </w:rPr>
            </w:pPr>
            <w:r w:rsidRPr="00640447">
              <w:rPr>
                <w:sz w:val="16"/>
                <w:szCs w:val="16"/>
              </w:rPr>
              <w:t>-</w:t>
            </w:r>
          </w:p>
        </w:tc>
        <w:tc>
          <w:tcPr>
            <w:tcW w:w="286" w:type="pct"/>
            <w:tcBorders>
              <w:top w:val="single" w:sz="4" w:space="0" w:color="auto"/>
              <w:left w:val="single" w:sz="4" w:space="0" w:color="auto"/>
              <w:bottom w:val="single" w:sz="4" w:space="0" w:color="auto"/>
              <w:right w:val="single" w:sz="4" w:space="0" w:color="auto"/>
            </w:tcBorders>
            <w:vAlign w:val="center"/>
          </w:tcPr>
          <w:p w14:paraId="1F5245FC" w14:textId="77777777" w:rsidR="004A0123" w:rsidRPr="00640447" w:rsidRDefault="004A0123" w:rsidP="008A5C11">
            <w:pPr>
              <w:jc w:val="center"/>
              <w:rPr>
                <w:sz w:val="16"/>
                <w:szCs w:val="16"/>
              </w:rPr>
            </w:pPr>
            <w:r w:rsidRPr="00640447">
              <w:rPr>
                <w:sz w:val="16"/>
                <w:szCs w:val="16"/>
              </w:rPr>
              <w:t>-</w:t>
            </w:r>
          </w:p>
        </w:tc>
        <w:tc>
          <w:tcPr>
            <w:tcW w:w="282" w:type="pct"/>
            <w:tcBorders>
              <w:top w:val="single" w:sz="4" w:space="0" w:color="auto"/>
              <w:left w:val="single" w:sz="4" w:space="0" w:color="auto"/>
              <w:bottom w:val="single" w:sz="4" w:space="0" w:color="auto"/>
              <w:right w:val="single" w:sz="4" w:space="0" w:color="auto"/>
            </w:tcBorders>
            <w:vAlign w:val="center"/>
          </w:tcPr>
          <w:p w14:paraId="3253A21A" w14:textId="77777777" w:rsidR="004A0123" w:rsidRPr="00640447" w:rsidRDefault="004A0123" w:rsidP="008A5C11">
            <w:pPr>
              <w:jc w:val="center"/>
              <w:rPr>
                <w:sz w:val="16"/>
                <w:szCs w:val="16"/>
              </w:rPr>
            </w:pPr>
            <w:r w:rsidRPr="00640447">
              <w:rPr>
                <w:sz w:val="16"/>
                <w:szCs w:val="16"/>
              </w:rPr>
              <w:t>-</w:t>
            </w:r>
          </w:p>
        </w:tc>
        <w:tc>
          <w:tcPr>
            <w:tcW w:w="282" w:type="pct"/>
            <w:tcBorders>
              <w:top w:val="single" w:sz="4" w:space="0" w:color="auto"/>
              <w:left w:val="single" w:sz="4" w:space="0" w:color="auto"/>
              <w:bottom w:val="single" w:sz="4" w:space="0" w:color="auto"/>
              <w:right w:val="single" w:sz="4" w:space="0" w:color="auto"/>
            </w:tcBorders>
            <w:vAlign w:val="center"/>
          </w:tcPr>
          <w:p w14:paraId="4D7E89D9" w14:textId="77777777" w:rsidR="004A0123" w:rsidRPr="00640447" w:rsidRDefault="004A0123" w:rsidP="008A5C11">
            <w:pPr>
              <w:jc w:val="center"/>
              <w:rPr>
                <w:sz w:val="16"/>
                <w:szCs w:val="16"/>
              </w:rPr>
            </w:pPr>
            <w:r w:rsidRPr="00640447">
              <w:rPr>
                <w:sz w:val="16"/>
                <w:szCs w:val="16"/>
              </w:rPr>
              <w:t>-</w:t>
            </w:r>
          </w:p>
        </w:tc>
      </w:tr>
    </w:tbl>
    <w:p w14:paraId="333396B7" w14:textId="77777777" w:rsidR="004A0123" w:rsidRPr="00640447" w:rsidRDefault="004A0123" w:rsidP="004A0123">
      <w:pPr>
        <w:rPr>
          <w:sz w:val="20"/>
          <w:szCs w:val="20"/>
        </w:rPr>
      </w:pPr>
    </w:p>
    <w:p w14:paraId="5D29B841" w14:textId="77777777" w:rsidR="004A0123" w:rsidRPr="00640447" w:rsidRDefault="004A0123" w:rsidP="004A0123">
      <w:pPr>
        <w:rPr>
          <w:sz w:val="20"/>
          <w:szCs w:val="20"/>
        </w:rPr>
      </w:pPr>
    </w:p>
    <w:p w14:paraId="248E8449" w14:textId="77777777" w:rsidR="004A0123" w:rsidRPr="00640447" w:rsidRDefault="004A0123" w:rsidP="004A0123">
      <w:pPr>
        <w:ind w:left="10348" w:right="-31"/>
        <w:jc w:val="center"/>
        <w:rPr>
          <w:sz w:val="20"/>
          <w:szCs w:val="20"/>
        </w:rPr>
      </w:pPr>
    </w:p>
    <w:p w14:paraId="0A75A2DD" w14:textId="77777777" w:rsidR="004A0123" w:rsidRPr="00640447" w:rsidRDefault="004A0123" w:rsidP="004A0123">
      <w:pPr>
        <w:ind w:left="10348" w:right="-31"/>
        <w:jc w:val="center"/>
        <w:rPr>
          <w:sz w:val="20"/>
          <w:szCs w:val="20"/>
        </w:rPr>
      </w:pPr>
    </w:p>
    <w:p w14:paraId="5DF5B08E" w14:textId="77777777" w:rsidR="004A0123" w:rsidRPr="00640447" w:rsidRDefault="004A0123" w:rsidP="004A0123">
      <w:pPr>
        <w:ind w:left="10348" w:right="-31"/>
        <w:jc w:val="center"/>
        <w:rPr>
          <w:sz w:val="20"/>
          <w:szCs w:val="20"/>
        </w:rPr>
      </w:pPr>
    </w:p>
    <w:p w14:paraId="3583213C" w14:textId="77777777" w:rsidR="004A0123" w:rsidRPr="00640447" w:rsidRDefault="004A0123" w:rsidP="004A0123">
      <w:pPr>
        <w:rPr>
          <w:sz w:val="20"/>
          <w:szCs w:val="20"/>
        </w:rPr>
        <w:sectPr w:rsidR="004A0123" w:rsidRPr="00640447" w:rsidSect="000F7661">
          <w:pgSz w:w="16838" w:h="11906" w:orient="landscape"/>
          <w:pgMar w:top="1701" w:right="1134" w:bottom="851" w:left="1134" w:header="709" w:footer="255" w:gutter="0"/>
          <w:cols w:space="708"/>
          <w:docGrid w:linePitch="360"/>
        </w:sectPr>
      </w:pPr>
    </w:p>
    <w:p w14:paraId="029ED8FC" w14:textId="77777777" w:rsidR="004A0123" w:rsidRPr="00640447" w:rsidRDefault="004A0123" w:rsidP="004A0123">
      <w:pPr>
        <w:ind w:left="284" w:right="536"/>
        <w:jc w:val="center"/>
        <w:rPr>
          <w:b/>
          <w:bCs/>
          <w:sz w:val="28"/>
          <w:szCs w:val="28"/>
        </w:rPr>
      </w:pPr>
      <w:r w:rsidRPr="00640447">
        <w:rPr>
          <w:b/>
          <w:bCs/>
          <w:sz w:val="28"/>
          <w:szCs w:val="28"/>
        </w:rPr>
        <w:t xml:space="preserve">Показатели надежности и энергетической эффективности объектов системы теплоснабжения </w:t>
      </w:r>
    </w:p>
    <w:p w14:paraId="22F6FB63" w14:textId="77777777" w:rsidR="004A0123" w:rsidRPr="00640447" w:rsidRDefault="004A0123" w:rsidP="004A0123">
      <w:pPr>
        <w:jc w:val="center"/>
        <w:rPr>
          <w:b/>
          <w:bCs/>
          <w:sz w:val="28"/>
          <w:szCs w:val="28"/>
        </w:rPr>
      </w:pPr>
      <w:r w:rsidRPr="00640447">
        <w:rPr>
          <w:b/>
          <w:color w:val="000000"/>
          <w:sz w:val="28"/>
          <w:szCs w:val="28"/>
        </w:rPr>
        <w:t>ОАО «Северо-Кузбасская энергетическая компания» по узлу теплоснабжения Ленинск-Кузнецкого</w:t>
      </w:r>
      <w:r w:rsidRPr="00640447">
        <w:rPr>
          <w:b/>
          <w:bCs/>
          <w:sz w:val="28"/>
          <w:szCs w:val="28"/>
        </w:rPr>
        <w:t xml:space="preserve"> городского округа на 2019 - 2028 годы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84"/>
        <w:gridCol w:w="2404"/>
        <w:gridCol w:w="1537"/>
        <w:gridCol w:w="408"/>
        <w:gridCol w:w="480"/>
        <w:gridCol w:w="408"/>
        <w:gridCol w:w="408"/>
        <w:gridCol w:w="408"/>
        <w:gridCol w:w="408"/>
        <w:gridCol w:w="408"/>
        <w:gridCol w:w="408"/>
        <w:gridCol w:w="408"/>
        <w:gridCol w:w="419"/>
        <w:gridCol w:w="1561"/>
        <w:gridCol w:w="483"/>
        <w:gridCol w:w="492"/>
        <w:gridCol w:w="408"/>
        <w:gridCol w:w="472"/>
        <w:gridCol w:w="408"/>
        <w:gridCol w:w="408"/>
        <w:gridCol w:w="408"/>
        <w:gridCol w:w="408"/>
        <w:gridCol w:w="408"/>
        <w:gridCol w:w="416"/>
      </w:tblGrid>
      <w:tr w:rsidR="004A0123" w:rsidRPr="00640447" w14:paraId="7DF788C8" w14:textId="77777777" w:rsidTr="008A5C11">
        <w:trPr>
          <w:trHeight w:val="23"/>
          <w:jc w:val="center"/>
        </w:trPr>
        <w:tc>
          <w:tcPr>
            <w:tcW w:w="201" w:type="pct"/>
            <w:vMerge w:val="restart"/>
            <w:tcMar>
              <w:top w:w="62" w:type="dxa"/>
              <w:left w:w="28" w:type="dxa"/>
              <w:bottom w:w="102" w:type="dxa"/>
              <w:right w:w="28" w:type="dxa"/>
            </w:tcMar>
            <w:vAlign w:val="center"/>
          </w:tcPr>
          <w:p w14:paraId="7816D583"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 п/п</w:t>
            </w:r>
          </w:p>
        </w:tc>
        <w:tc>
          <w:tcPr>
            <w:tcW w:w="826" w:type="pct"/>
            <w:vMerge w:val="restart"/>
            <w:tcMar>
              <w:top w:w="62" w:type="dxa"/>
              <w:left w:w="28" w:type="dxa"/>
              <w:bottom w:w="102" w:type="dxa"/>
              <w:right w:w="28" w:type="dxa"/>
            </w:tcMar>
            <w:vAlign w:val="center"/>
          </w:tcPr>
          <w:p w14:paraId="1F09FD8D"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Наименование объекта</w:t>
            </w:r>
          </w:p>
        </w:tc>
        <w:tc>
          <w:tcPr>
            <w:tcW w:w="3974" w:type="pct"/>
            <w:gridSpan w:val="22"/>
            <w:tcMar>
              <w:left w:w="28" w:type="dxa"/>
              <w:right w:w="28" w:type="dxa"/>
            </w:tcMar>
            <w:vAlign w:val="center"/>
          </w:tcPr>
          <w:p w14:paraId="5D50C08B" w14:textId="77777777" w:rsidR="004A0123" w:rsidRPr="00640447" w:rsidRDefault="004A0123" w:rsidP="008A5C11">
            <w:pPr>
              <w:jc w:val="center"/>
              <w:rPr>
                <w:sz w:val="13"/>
                <w:szCs w:val="13"/>
              </w:rPr>
            </w:pPr>
            <w:r w:rsidRPr="00640447">
              <w:rPr>
                <w:sz w:val="13"/>
                <w:szCs w:val="13"/>
              </w:rPr>
              <w:t>Показатели надежности</w:t>
            </w:r>
          </w:p>
        </w:tc>
      </w:tr>
      <w:tr w:rsidR="004A0123" w:rsidRPr="00640447" w14:paraId="5D3C948A" w14:textId="77777777" w:rsidTr="008A5C11">
        <w:trPr>
          <w:trHeight w:val="108"/>
          <w:jc w:val="center"/>
        </w:trPr>
        <w:tc>
          <w:tcPr>
            <w:tcW w:w="201" w:type="pct"/>
            <w:vMerge/>
            <w:tcMar>
              <w:top w:w="62" w:type="dxa"/>
              <w:left w:w="28" w:type="dxa"/>
              <w:bottom w:w="102" w:type="dxa"/>
              <w:right w:w="28" w:type="dxa"/>
            </w:tcMar>
            <w:vAlign w:val="center"/>
          </w:tcPr>
          <w:p w14:paraId="1C475D44" w14:textId="77777777" w:rsidR="004A0123" w:rsidRPr="00640447" w:rsidRDefault="004A0123" w:rsidP="008A5C11">
            <w:pPr>
              <w:widowControl w:val="0"/>
              <w:autoSpaceDE w:val="0"/>
              <w:autoSpaceDN w:val="0"/>
              <w:adjustRightInd w:val="0"/>
              <w:jc w:val="center"/>
              <w:rPr>
                <w:sz w:val="13"/>
                <w:szCs w:val="13"/>
              </w:rPr>
            </w:pPr>
          </w:p>
        </w:tc>
        <w:tc>
          <w:tcPr>
            <w:tcW w:w="826" w:type="pct"/>
            <w:vMerge/>
            <w:tcMar>
              <w:top w:w="62" w:type="dxa"/>
              <w:left w:w="28" w:type="dxa"/>
              <w:bottom w:w="102" w:type="dxa"/>
              <w:right w:w="28" w:type="dxa"/>
            </w:tcMar>
            <w:vAlign w:val="center"/>
          </w:tcPr>
          <w:p w14:paraId="78D1AFE0" w14:textId="77777777" w:rsidR="004A0123" w:rsidRPr="00640447" w:rsidRDefault="004A0123" w:rsidP="008A5C11">
            <w:pPr>
              <w:widowControl w:val="0"/>
              <w:autoSpaceDE w:val="0"/>
              <w:autoSpaceDN w:val="0"/>
              <w:adjustRightInd w:val="0"/>
              <w:jc w:val="center"/>
              <w:rPr>
                <w:sz w:val="13"/>
                <w:szCs w:val="13"/>
              </w:rPr>
            </w:pPr>
          </w:p>
        </w:tc>
        <w:tc>
          <w:tcPr>
            <w:tcW w:w="1957" w:type="pct"/>
            <w:gridSpan w:val="11"/>
            <w:tcMar>
              <w:left w:w="28" w:type="dxa"/>
              <w:right w:w="28" w:type="dxa"/>
            </w:tcMar>
            <w:vAlign w:val="center"/>
          </w:tcPr>
          <w:p w14:paraId="1F550ABB"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Количество прекращений подачи тепловой энергии, теплоносителя в результате технологических нарушений на тепловых сетях на 1 км тепловых сетей</w:t>
            </w:r>
          </w:p>
        </w:tc>
        <w:tc>
          <w:tcPr>
            <w:tcW w:w="2017" w:type="pct"/>
            <w:gridSpan w:val="11"/>
            <w:tcMar>
              <w:left w:w="28" w:type="dxa"/>
              <w:right w:w="28" w:type="dxa"/>
            </w:tcMar>
            <w:vAlign w:val="center"/>
          </w:tcPr>
          <w:p w14:paraId="1C896035"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tc>
      </w:tr>
      <w:tr w:rsidR="004A0123" w:rsidRPr="00640447" w14:paraId="5B484C85" w14:textId="77777777" w:rsidTr="008A5C11">
        <w:trPr>
          <w:trHeight w:val="20"/>
          <w:jc w:val="center"/>
        </w:trPr>
        <w:tc>
          <w:tcPr>
            <w:tcW w:w="201" w:type="pct"/>
            <w:vMerge/>
            <w:tcMar>
              <w:top w:w="62" w:type="dxa"/>
              <w:left w:w="28" w:type="dxa"/>
              <w:bottom w:w="102" w:type="dxa"/>
              <w:right w:w="28" w:type="dxa"/>
            </w:tcMar>
            <w:vAlign w:val="center"/>
          </w:tcPr>
          <w:p w14:paraId="781B5051" w14:textId="77777777" w:rsidR="004A0123" w:rsidRPr="00640447" w:rsidRDefault="004A0123" w:rsidP="008A5C11">
            <w:pPr>
              <w:widowControl w:val="0"/>
              <w:autoSpaceDE w:val="0"/>
              <w:autoSpaceDN w:val="0"/>
              <w:adjustRightInd w:val="0"/>
              <w:jc w:val="center"/>
              <w:rPr>
                <w:sz w:val="13"/>
                <w:szCs w:val="13"/>
              </w:rPr>
            </w:pPr>
          </w:p>
        </w:tc>
        <w:tc>
          <w:tcPr>
            <w:tcW w:w="826" w:type="pct"/>
            <w:vMerge/>
            <w:tcMar>
              <w:top w:w="62" w:type="dxa"/>
              <w:left w:w="28" w:type="dxa"/>
              <w:bottom w:w="102" w:type="dxa"/>
              <w:right w:w="28" w:type="dxa"/>
            </w:tcMar>
            <w:vAlign w:val="center"/>
          </w:tcPr>
          <w:p w14:paraId="4AE519A1" w14:textId="77777777" w:rsidR="004A0123" w:rsidRPr="00640447" w:rsidRDefault="004A0123" w:rsidP="008A5C11">
            <w:pPr>
              <w:widowControl w:val="0"/>
              <w:autoSpaceDE w:val="0"/>
              <w:autoSpaceDN w:val="0"/>
              <w:adjustRightInd w:val="0"/>
              <w:jc w:val="center"/>
              <w:rPr>
                <w:sz w:val="13"/>
                <w:szCs w:val="13"/>
              </w:rPr>
            </w:pPr>
          </w:p>
        </w:tc>
        <w:tc>
          <w:tcPr>
            <w:tcW w:w="528" w:type="pct"/>
            <w:vMerge w:val="restart"/>
            <w:tcMar>
              <w:left w:w="28" w:type="dxa"/>
              <w:right w:w="28" w:type="dxa"/>
            </w:tcMar>
            <w:vAlign w:val="center"/>
          </w:tcPr>
          <w:p w14:paraId="52150609"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Текущее значение</w:t>
            </w:r>
          </w:p>
        </w:tc>
        <w:tc>
          <w:tcPr>
            <w:tcW w:w="1429" w:type="pct"/>
            <w:gridSpan w:val="10"/>
            <w:tcMar>
              <w:left w:w="28" w:type="dxa"/>
              <w:right w:w="28" w:type="dxa"/>
            </w:tcMar>
            <w:vAlign w:val="center"/>
          </w:tcPr>
          <w:p w14:paraId="0B956B3A"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Плановое значение</w:t>
            </w:r>
          </w:p>
        </w:tc>
        <w:tc>
          <w:tcPr>
            <w:tcW w:w="536" w:type="pct"/>
            <w:vMerge w:val="restart"/>
            <w:tcMar>
              <w:left w:w="28" w:type="dxa"/>
              <w:right w:w="28" w:type="dxa"/>
            </w:tcMar>
            <w:vAlign w:val="center"/>
          </w:tcPr>
          <w:p w14:paraId="7E3F4F62"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Текущее значение</w:t>
            </w:r>
          </w:p>
        </w:tc>
        <w:tc>
          <w:tcPr>
            <w:tcW w:w="1481" w:type="pct"/>
            <w:gridSpan w:val="10"/>
            <w:tcMar>
              <w:left w:w="28" w:type="dxa"/>
              <w:right w:w="28" w:type="dxa"/>
            </w:tcMar>
            <w:vAlign w:val="center"/>
          </w:tcPr>
          <w:p w14:paraId="5DD54F19"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Плановое значение</w:t>
            </w:r>
          </w:p>
        </w:tc>
      </w:tr>
      <w:tr w:rsidR="004A0123" w:rsidRPr="00640447" w14:paraId="2EB140E3" w14:textId="77777777" w:rsidTr="008A5C11">
        <w:trPr>
          <w:trHeight w:val="20"/>
          <w:jc w:val="center"/>
        </w:trPr>
        <w:tc>
          <w:tcPr>
            <w:tcW w:w="201" w:type="pct"/>
            <w:vMerge/>
            <w:tcMar>
              <w:top w:w="62" w:type="dxa"/>
              <w:left w:w="28" w:type="dxa"/>
              <w:bottom w:w="102" w:type="dxa"/>
              <w:right w:w="28" w:type="dxa"/>
            </w:tcMar>
            <w:vAlign w:val="center"/>
          </w:tcPr>
          <w:p w14:paraId="7FAC6D5E" w14:textId="77777777" w:rsidR="004A0123" w:rsidRPr="00640447" w:rsidRDefault="004A0123" w:rsidP="008A5C11">
            <w:pPr>
              <w:widowControl w:val="0"/>
              <w:autoSpaceDE w:val="0"/>
              <w:autoSpaceDN w:val="0"/>
              <w:adjustRightInd w:val="0"/>
              <w:jc w:val="center"/>
              <w:rPr>
                <w:sz w:val="13"/>
                <w:szCs w:val="13"/>
              </w:rPr>
            </w:pPr>
          </w:p>
        </w:tc>
        <w:tc>
          <w:tcPr>
            <w:tcW w:w="826" w:type="pct"/>
            <w:vMerge/>
            <w:tcMar>
              <w:top w:w="62" w:type="dxa"/>
              <w:left w:w="28" w:type="dxa"/>
              <w:bottom w:w="102" w:type="dxa"/>
              <w:right w:w="28" w:type="dxa"/>
            </w:tcMar>
            <w:vAlign w:val="center"/>
          </w:tcPr>
          <w:p w14:paraId="14ECB44D" w14:textId="77777777" w:rsidR="004A0123" w:rsidRPr="00640447" w:rsidRDefault="004A0123" w:rsidP="008A5C11">
            <w:pPr>
              <w:widowControl w:val="0"/>
              <w:autoSpaceDE w:val="0"/>
              <w:autoSpaceDN w:val="0"/>
              <w:adjustRightInd w:val="0"/>
              <w:jc w:val="center"/>
              <w:rPr>
                <w:sz w:val="13"/>
                <w:szCs w:val="13"/>
              </w:rPr>
            </w:pPr>
          </w:p>
        </w:tc>
        <w:tc>
          <w:tcPr>
            <w:tcW w:w="528" w:type="pct"/>
            <w:vMerge/>
            <w:tcMar>
              <w:left w:w="28" w:type="dxa"/>
              <w:right w:w="28" w:type="dxa"/>
            </w:tcMar>
            <w:vAlign w:val="center"/>
          </w:tcPr>
          <w:p w14:paraId="57CD98E8" w14:textId="77777777" w:rsidR="004A0123" w:rsidRPr="00640447" w:rsidRDefault="004A0123" w:rsidP="008A5C11">
            <w:pPr>
              <w:widowControl w:val="0"/>
              <w:autoSpaceDE w:val="0"/>
              <w:autoSpaceDN w:val="0"/>
              <w:adjustRightInd w:val="0"/>
              <w:jc w:val="center"/>
              <w:rPr>
                <w:sz w:val="13"/>
                <w:szCs w:val="13"/>
              </w:rPr>
            </w:pPr>
          </w:p>
        </w:tc>
        <w:tc>
          <w:tcPr>
            <w:tcW w:w="140" w:type="pct"/>
            <w:tcMar>
              <w:left w:w="28" w:type="dxa"/>
              <w:right w:w="28" w:type="dxa"/>
            </w:tcMar>
            <w:vAlign w:val="center"/>
          </w:tcPr>
          <w:p w14:paraId="056FD932"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2019</w:t>
            </w:r>
          </w:p>
        </w:tc>
        <w:tc>
          <w:tcPr>
            <w:tcW w:w="165" w:type="pct"/>
            <w:tcMar>
              <w:left w:w="28" w:type="dxa"/>
              <w:right w:w="28" w:type="dxa"/>
            </w:tcMar>
            <w:vAlign w:val="center"/>
          </w:tcPr>
          <w:p w14:paraId="2EEC0FA2"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2020</w:t>
            </w:r>
          </w:p>
        </w:tc>
        <w:tc>
          <w:tcPr>
            <w:tcW w:w="140" w:type="pct"/>
            <w:tcMar>
              <w:left w:w="28" w:type="dxa"/>
              <w:right w:w="28" w:type="dxa"/>
            </w:tcMar>
            <w:vAlign w:val="center"/>
          </w:tcPr>
          <w:p w14:paraId="312083BB"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2021</w:t>
            </w:r>
          </w:p>
        </w:tc>
        <w:tc>
          <w:tcPr>
            <w:tcW w:w="140" w:type="pct"/>
            <w:vAlign w:val="center"/>
          </w:tcPr>
          <w:p w14:paraId="476A7A85"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2022</w:t>
            </w:r>
          </w:p>
        </w:tc>
        <w:tc>
          <w:tcPr>
            <w:tcW w:w="140" w:type="pct"/>
            <w:vAlign w:val="center"/>
          </w:tcPr>
          <w:p w14:paraId="5AEB1522"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2023</w:t>
            </w:r>
          </w:p>
        </w:tc>
        <w:tc>
          <w:tcPr>
            <w:tcW w:w="140" w:type="pct"/>
            <w:vAlign w:val="center"/>
          </w:tcPr>
          <w:p w14:paraId="0796AADF"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2024</w:t>
            </w:r>
          </w:p>
        </w:tc>
        <w:tc>
          <w:tcPr>
            <w:tcW w:w="140" w:type="pct"/>
            <w:vAlign w:val="center"/>
          </w:tcPr>
          <w:p w14:paraId="3A25E79B"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2025</w:t>
            </w:r>
          </w:p>
        </w:tc>
        <w:tc>
          <w:tcPr>
            <w:tcW w:w="140" w:type="pct"/>
            <w:vAlign w:val="center"/>
          </w:tcPr>
          <w:p w14:paraId="5B3300CB"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2026</w:t>
            </w:r>
          </w:p>
        </w:tc>
        <w:tc>
          <w:tcPr>
            <w:tcW w:w="140" w:type="pct"/>
            <w:vAlign w:val="center"/>
          </w:tcPr>
          <w:p w14:paraId="4EB263A1"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2027</w:t>
            </w:r>
          </w:p>
        </w:tc>
        <w:tc>
          <w:tcPr>
            <w:tcW w:w="144" w:type="pct"/>
            <w:vAlign w:val="center"/>
          </w:tcPr>
          <w:p w14:paraId="2CA5094E"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2028</w:t>
            </w:r>
          </w:p>
        </w:tc>
        <w:tc>
          <w:tcPr>
            <w:tcW w:w="536" w:type="pct"/>
            <w:vMerge/>
            <w:tcMar>
              <w:left w:w="28" w:type="dxa"/>
              <w:right w:w="28" w:type="dxa"/>
            </w:tcMar>
            <w:vAlign w:val="center"/>
          </w:tcPr>
          <w:p w14:paraId="5262CBCD" w14:textId="77777777" w:rsidR="004A0123" w:rsidRPr="00640447" w:rsidRDefault="004A0123" w:rsidP="008A5C11">
            <w:pPr>
              <w:widowControl w:val="0"/>
              <w:autoSpaceDE w:val="0"/>
              <w:autoSpaceDN w:val="0"/>
              <w:adjustRightInd w:val="0"/>
              <w:jc w:val="center"/>
              <w:rPr>
                <w:sz w:val="13"/>
                <w:szCs w:val="13"/>
              </w:rPr>
            </w:pPr>
          </w:p>
        </w:tc>
        <w:tc>
          <w:tcPr>
            <w:tcW w:w="166" w:type="pct"/>
            <w:tcMar>
              <w:left w:w="28" w:type="dxa"/>
              <w:right w:w="28" w:type="dxa"/>
            </w:tcMar>
            <w:vAlign w:val="center"/>
          </w:tcPr>
          <w:p w14:paraId="333168D7"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2019</w:t>
            </w:r>
          </w:p>
        </w:tc>
        <w:tc>
          <w:tcPr>
            <w:tcW w:w="169" w:type="pct"/>
            <w:tcMar>
              <w:left w:w="28" w:type="dxa"/>
              <w:right w:w="28" w:type="dxa"/>
            </w:tcMar>
            <w:vAlign w:val="center"/>
          </w:tcPr>
          <w:p w14:paraId="098FD321"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2020</w:t>
            </w:r>
          </w:p>
        </w:tc>
        <w:tc>
          <w:tcPr>
            <w:tcW w:w="140" w:type="pct"/>
            <w:tcMar>
              <w:left w:w="28" w:type="dxa"/>
              <w:right w:w="28" w:type="dxa"/>
            </w:tcMar>
            <w:vAlign w:val="center"/>
          </w:tcPr>
          <w:p w14:paraId="6DA3565A"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2021</w:t>
            </w:r>
          </w:p>
        </w:tc>
        <w:tc>
          <w:tcPr>
            <w:tcW w:w="162" w:type="pct"/>
            <w:vAlign w:val="center"/>
          </w:tcPr>
          <w:p w14:paraId="2E34B1D5"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2022</w:t>
            </w:r>
          </w:p>
        </w:tc>
        <w:tc>
          <w:tcPr>
            <w:tcW w:w="140" w:type="pct"/>
            <w:vAlign w:val="center"/>
          </w:tcPr>
          <w:p w14:paraId="36970B07"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2023</w:t>
            </w:r>
          </w:p>
        </w:tc>
        <w:tc>
          <w:tcPr>
            <w:tcW w:w="140" w:type="pct"/>
            <w:vAlign w:val="center"/>
          </w:tcPr>
          <w:p w14:paraId="5B8ECC6E"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2024</w:t>
            </w:r>
          </w:p>
        </w:tc>
        <w:tc>
          <w:tcPr>
            <w:tcW w:w="140" w:type="pct"/>
            <w:vAlign w:val="center"/>
          </w:tcPr>
          <w:p w14:paraId="10457D58"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2025</w:t>
            </w:r>
          </w:p>
        </w:tc>
        <w:tc>
          <w:tcPr>
            <w:tcW w:w="140" w:type="pct"/>
            <w:vAlign w:val="center"/>
          </w:tcPr>
          <w:p w14:paraId="54E6433A"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2026</w:t>
            </w:r>
          </w:p>
        </w:tc>
        <w:tc>
          <w:tcPr>
            <w:tcW w:w="140" w:type="pct"/>
            <w:vAlign w:val="center"/>
          </w:tcPr>
          <w:p w14:paraId="20ADF2FF"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2027</w:t>
            </w:r>
          </w:p>
        </w:tc>
        <w:tc>
          <w:tcPr>
            <w:tcW w:w="143" w:type="pct"/>
            <w:vAlign w:val="center"/>
          </w:tcPr>
          <w:p w14:paraId="4C4FDBD4"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2028</w:t>
            </w:r>
          </w:p>
        </w:tc>
      </w:tr>
      <w:tr w:rsidR="004A0123" w:rsidRPr="00640447" w14:paraId="4ED28B49" w14:textId="77777777" w:rsidTr="008A5C11">
        <w:trPr>
          <w:trHeight w:val="23"/>
          <w:jc w:val="center"/>
        </w:trPr>
        <w:tc>
          <w:tcPr>
            <w:tcW w:w="201" w:type="pct"/>
            <w:tcMar>
              <w:top w:w="62" w:type="dxa"/>
              <w:left w:w="28" w:type="dxa"/>
              <w:bottom w:w="102" w:type="dxa"/>
              <w:right w:w="28" w:type="dxa"/>
            </w:tcMar>
            <w:vAlign w:val="center"/>
          </w:tcPr>
          <w:p w14:paraId="61131B61" w14:textId="77777777" w:rsidR="004A0123" w:rsidRPr="00640447" w:rsidRDefault="004A0123" w:rsidP="008A5C11">
            <w:pPr>
              <w:jc w:val="center"/>
              <w:rPr>
                <w:sz w:val="13"/>
                <w:szCs w:val="13"/>
              </w:rPr>
            </w:pPr>
            <w:r w:rsidRPr="00640447">
              <w:rPr>
                <w:sz w:val="13"/>
                <w:szCs w:val="13"/>
              </w:rPr>
              <w:t>1</w:t>
            </w:r>
          </w:p>
        </w:tc>
        <w:tc>
          <w:tcPr>
            <w:tcW w:w="826" w:type="pct"/>
            <w:tcMar>
              <w:top w:w="62" w:type="dxa"/>
              <w:left w:w="28" w:type="dxa"/>
              <w:bottom w:w="102" w:type="dxa"/>
              <w:right w:w="28" w:type="dxa"/>
            </w:tcMar>
            <w:vAlign w:val="center"/>
          </w:tcPr>
          <w:p w14:paraId="350E4D0D" w14:textId="77777777" w:rsidR="004A0123" w:rsidRPr="00640447" w:rsidRDefault="004A0123" w:rsidP="008A5C11">
            <w:pPr>
              <w:jc w:val="center"/>
              <w:rPr>
                <w:sz w:val="13"/>
                <w:szCs w:val="13"/>
              </w:rPr>
            </w:pPr>
            <w:r w:rsidRPr="00640447">
              <w:rPr>
                <w:sz w:val="13"/>
                <w:szCs w:val="13"/>
              </w:rPr>
              <w:t>Котельная «Энергетик»</w:t>
            </w:r>
          </w:p>
        </w:tc>
        <w:tc>
          <w:tcPr>
            <w:tcW w:w="528" w:type="pct"/>
            <w:shd w:val="clear" w:color="auto" w:fill="auto"/>
            <w:tcMar>
              <w:left w:w="28" w:type="dxa"/>
              <w:right w:w="28" w:type="dxa"/>
            </w:tcMar>
            <w:vAlign w:val="center"/>
          </w:tcPr>
          <w:p w14:paraId="00AECC62" w14:textId="77777777" w:rsidR="004A0123" w:rsidRPr="00640447" w:rsidRDefault="004A0123" w:rsidP="008A5C11">
            <w:pPr>
              <w:jc w:val="center"/>
              <w:rPr>
                <w:sz w:val="13"/>
                <w:szCs w:val="13"/>
              </w:rPr>
            </w:pPr>
            <w:r w:rsidRPr="00640447">
              <w:rPr>
                <w:sz w:val="13"/>
                <w:szCs w:val="13"/>
              </w:rPr>
              <w:t>0</w:t>
            </w:r>
          </w:p>
        </w:tc>
        <w:tc>
          <w:tcPr>
            <w:tcW w:w="140" w:type="pct"/>
            <w:shd w:val="clear" w:color="auto" w:fill="auto"/>
            <w:tcMar>
              <w:left w:w="28" w:type="dxa"/>
              <w:right w:w="28" w:type="dxa"/>
            </w:tcMar>
            <w:vAlign w:val="center"/>
          </w:tcPr>
          <w:p w14:paraId="4CE38B37" w14:textId="77777777" w:rsidR="004A0123" w:rsidRPr="00640447" w:rsidRDefault="004A0123" w:rsidP="008A5C11">
            <w:pPr>
              <w:jc w:val="center"/>
              <w:rPr>
                <w:sz w:val="13"/>
                <w:szCs w:val="13"/>
              </w:rPr>
            </w:pPr>
            <w:r w:rsidRPr="00640447">
              <w:rPr>
                <w:sz w:val="13"/>
                <w:szCs w:val="13"/>
              </w:rPr>
              <w:t>0</w:t>
            </w:r>
          </w:p>
        </w:tc>
        <w:tc>
          <w:tcPr>
            <w:tcW w:w="165" w:type="pct"/>
            <w:shd w:val="clear" w:color="auto" w:fill="auto"/>
            <w:tcMar>
              <w:left w:w="28" w:type="dxa"/>
              <w:right w:w="28" w:type="dxa"/>
            </w:tcMar>
            <w:vAlign w:val="center"/>
          </w:tcPr>
          <w:p w14:paraId="50609EFD" w14:textId="77777777" w:rsidR="004A0123" w:rsidRPr="00640447" w:rsidRDefault="004A0123" w:rsidP="008A5C11">
            <w:pPr>
              <w:jc w:val="center"/>
              <w:rPr>
                <w:sz w:val="13"/>
                <w:szCs w:val="13"/>
              </w:rPr>
            </w:pPr>
            <w:r w:rsidRPr="00640447">
              <w:rPr>
                <w:sz w:val="13"/>
                <w:szCs w:val="13"/>
              </w:rPr>
              <w:t>0</w:t>
            </w:r>
          </w:p>
        </w:tc>
        <w:tc>
          <w:tcPr>
            <w:tcW w:w="140" w:type="pct"/>
            <w:shd w:val="clear" w:color="auto" w:fill="auto"/>
            <w:tcMar>
              <w:left w:w="28" w:type="dxa"/>
              <w:right w:w="28" w:type="dxa"/>
            </w:tcMar>
            <w:vAlign w:val="center"/>
          </w:tcPr>
          <w:p w14:paraId="25C02555" w14:textId="77777777" w:rsidR="004A0123" w:rsidRPr="00640447" w:rsidRDefault="004A0123" w:rsidP="008A5C11">
            <w:pPr>
              <w:jc w:val="center"/>
              <w:rPr>
                <w:sz w:val="13"/>
                <w:szCs w:val="13"/>
              </w:rPr>
            </w:pPr>
            <w:r w:rsidRPr="00640447">
              <w:rPr>
                <w:sz w:val="13"/>
                <w:szCs w:val="13"/>
              </w:rPr>
              <w:t>0</w:t>
            </w:r>
          </w:p>
        </w:tc>
        <w:tc>
          <w:tcPr>
            <w:tcW w:w="140" w:type="pct"/>
            <w:shd w:val="clear" w:color="auto" w:fill="auto"/>
            <w:vAlign w:val="center"/>
          </w:tcPr>
          <w:p w14:paraId="5764E40D"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548DAD13"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5A359063"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53F101AD"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5FDA3046"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507AD2E2" w14:textId="77777777" w:rsidR="004A0123" w:rsidRPr="00640447" w:rsidRDefault="004A0123" w:rsidP="008A5C11">
            <w:pPr>
              <w:jc w:val="center"/>
              <w:rPr>
                <w:sz w:val="13"/>
                <w:szCs w:val="13"/>
              </w:rPr>
            </w:pPr>
            <w:r w:rsidRPr="00640447">
              <w:rPr>
                <w:sz w:val="13"/>
                <w:szCs w:val="13"/>
              </w:rPr>
              <w:t>0</w:t>
            </w:r>
          </w:p>
        </w:tc>
        <w:tc>
          <w:tcPr>
            <w:tcW w:w="144" w:type="pct"/>
            <w:vAlign w:val="center"/>
          </w:tcPr>
          <w:p w14:paraId="12F8FFB2" w14:textId="77777777" w:rsidR="004A0123" w:rsidRPr="00640447" w:rsidRDefault="004A0123" w:rsidP="008A5C11">
            <w:pPr>
              <w:jc w:val="center"/>
              <w:rPr>
                <w:sz w:val="13"/>
                <w:szCs w:val="13"/>
              </w:rPr>
            </w:pPr>
            <w:r w:rsidRPr="00640447">
              <w:rPr>
                <w:sz w:val="13"/>
                <w:szCs w:val="13"/>
              </w:rPr>
              <w:t>0</w:t>
            </w:r>
          </w:p>
        </w:tc>
        <w:tc>
          <w:tcPr>
            <w:tcW w:w="536" w:type="pct"/>
            <w:shd w:val="clear" w:color="auto" w:fill="auto"/>
            <w:tcMar>
              <w:left w:w="28" w:type="dxa"/>
              <w:right w:w="28" w:type="dxa"/>
            </w:tcMar>
            <w:vAlign w:val="center"/>
          </w:tcPr>
          <w:p w14:paraId="75761019" w14:textId="77777777" w:rsidR="004A0123" w:rsidRPr="00640447" w:rsidRDefault="004A0123" w:rsidP="008A5C11">
            <w:pPr>
              <w:jc w:val="center"/>
              <w:rPr>
                <w:sz w:val="13"/>
                <w:szCs w:val="13"/>
              </w:rPr>
            </w:pPr>
            <w:r w:rsidRPr="00640447">
              <w:rPr>
                <w:sz w:val="13"/>
                <w:szCs w:val="13"/>
              </w:rPr>
              <w:t>0</w:t>
            </w:r>
          </w:p>
        </w:tc>
        <w:tc>
          <w:tcPr>
            <w:tcW w:w="166" w:type="pct"/>
            <w:shd w:val="clear" w:color="auto" w:fill="auto"/>
            <w:tcMar>
              <w:left w:w="28" w:type="dxa"/>
              <w:right w:w="28" w:type="dxa"/>
            </w:tcMar>
            <w:vAlign w:val="center"/>
          </w:tcPr>
          <w:p w14:paraId="4D549760" w14:textId="77777777" w:rsidR="004A0123" w:rsidRPr="00640447" w:rsidRDefault="004A0123" w:rsidP="008A5C11">
            <w:pPr>
              <w:jc w:val="center"/>
              <w:rPr>
                <w:sz w:val="13"/>
                <w:szCs w:val="13"/>
              </w:rPr>
            </w:pPr>
            <w:r w:rsidRPr="00640447">
              <w:rPr>
                <w:sz w:val="13"/>
                <w:szCs w:val="13"/>
              </w:rPr>
              <w:t>0</w:t>
            </w:r>
          </w:p>
        </w:tc>
        <w:tc>
          <w:tcPr>
            <w:tcW w:w="169" w:type="pct"/>
            <w:shd w:val="clear" w:color="auto" w:fill="auto"/>
            <w:tcMar>
              <w:left w:w="28" w:type="dxa"/>
              <w:right w:w="28" w:type="dxa"/>
            </w:tcMar>
            <w:vAlign w:val="center"/>
          </w:tcPr>
          <w:p w14:paraId="4140274D" w14:textId="77777777" w:rsidR="004A0123" w:rsidRPr="00640447" w:rsidRDefault="004A0123" w:rsidP="008A5C11">
            <w:pPr>
              <w:jc w:val="center"/>
              <w:rPr>
                <w:sz w:val="13"/>
                <w:szCs w:val="13"/>
              </w:rPr>
            </w:pPr>
            <w:r w:rsidRPr="00640447">
              <w:rPr>
                <w:sz w:val="13"/>
                <w:szCs w:val="13"/>
              </w:rPr>
              <w:t>0</w:t>
            </w:r>
          </w:p>
        </w:tc>
        <w:tc>
          <w:tcPr>
            <w:tcW w:w="140" w:type="pct"/>
            <w:shd w:val="clear" w:color="auto" w:fill="auto"/>
            <w:tcMar>
              <w:left w:w="28" w:type="dxa"/>
              <w:right w:w="28" w:type="dxa"/>
            </w:tcMar>
            <w:vAlign w:val="center"/>
          </w:tcPr>
          <w:p w14:paraId="55307E40" w14:textId="77777777" w:rsidR="004A0123" w:rsidRPr="00640447" w:rsidRDefault="004A0123" w:rsidP="008A5C11">
            <w:pPr>
              <w:jc w:val="center"/>
              <w:rPr>
                <w:sz w:val="13"/>
                <w:szCs w:val="13"/>
              </w:rPr>
            </w:pPr>
            <w:r w:rsidRPr="00640447">
              <w:rPr>
                <w:sz w:val="13"/>
                <w:szCs w:val="13"/>
              </w:rPr>
              <w:t>0</w:t>
            </w:r>
          </w:p>
        </w:tc>
        <w:tc>
          <w:tcPr>
            <w:tcW w:w="162" w:type="pct"/>
            <w:shd w:val="clear" w:color="auto" w:fill="auto"/>
            <w:vAlign w:val="center"/>
          </w:tcPr>
          <w:p w14:paraId="40684FD1"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7CCAD459"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0C4148DB"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3F94AA0A"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454C091D"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11068251" w14:textId="77777777" w:rsidR="004A0123" w:rsidRPr="00640447" w:rsidRDefault="004A0123" w:rsidP="008A5C11">
            <w:pPr>
              <w:jc w:val="center"/>
              <w:rPr>
                <w:sz w:val="13"/>
                <w:szCs w:val="13"/>
              </w:rPr>
            </w:pPr>
            <w:r w:rsidRPr="00640447">
              <w:rPr>
                <w:sz w:val="13"/>
                <w:szCs w:val="13"/>
              </w:rPr>
              <w:t>0</w:t>
            </w:r>
          </w:p>
        </w:tc>
        <w:tc>
          <w:tcPr>
            <w:tcW w:w="143" w:type="pct"/>
            <w:vAlign w:val="center"/>
          </w:tcPr>
          <w:p w14:paraId="41C21CAA" w14:textId="77777777" w:rsidR="004A0123" w:rsidRPr="00640447" w:rsidRDefault="004A0123" w:rsidP="008A5C11">
            <w:pPr>
              <w:jc w:val="center"/>
              <w:rPr>
                <w:sz w:val="13"/>
                <w:szCs w:val="13"/>
              </w:rPr>
            </w:pPr>
            <w:r w:rsidRPr="00640447">
              <w:rPr>
                <w:sz w:val="13"/>
                <w:szCs w:val="13"/>
              </w:rPr>
              <w:t>0</w:t>
            </w:r>
          </w:p>
        </w:tc>
      </w:tr>
      <w:tr w:rsidR="004A0123" w:rsidRPr="00640447" w14:paraId="4F0F1422" w14:textId="77777777" w:rsidTr="008A5C11">
        <w:trPr>
          <w:trHeight w:val="23"/>
          <w:jc w:val="center"/>
        </w:trPr>
        <w:tc>
          <w:tcPr>
            <w:tcW w:w="201" w:type="pct"/>
            <w:tcMar>
              <w:top w:w="62" w:type="dxa"/>
              <w:left w:w="28" w:type="dxa"/>
              <w:bottom w:w="102" w:type="dxa"/>
              <w:right w:w="28" w:type="dxa"/>
            </w:tcMar>
            <w:vAlign w:val="center"/>
          </w:tcPr>
          <w:p w14:paraId="7E364E13" w14:textId="77777777" w:rsidR="004A0123" w:rsidRPr="00640447" w:rsidRDefault="004A0123" w:rsidP="008A5C11">
            <w:pPr>
              <w:jc w:val="center"/>
              <w:rPr>
                <w:sz w:val="13"/>
                <w:szCs w:val="13"/>
              </w:rPr>
            </w:pPr>
            <w:r w:rsidRPr="00640447">
              <w:rPr>
                <w:sz w:val="13"/>
                <w:szCs w:val="13"/>
              </w:rPr>
              <w:t>2</w:t>
            </w:r>
          </w:p>
        </w:tc>
        <w:tc>
          <w:tcPr>
            <w:tcW w:w="826" w:type="pct"/>
            <w:tcMar>
              <w:top w:w="62" w:type="dxa"/>
              <w:left w:w="28" w:type="dxa"/>
              <w:bottom w:w="102" w:type="dxa"/>
              <w:right w:w="28" w:type="dxa"/>
            </w:tcMar>
            <w:vAlign w:val="center"/>
          </w:tcPr>
          <w:p w14:paraId="045E37F3" w14:textId="77777777" w:rsidR="004A0123" w:rsidRPr="00640447" w:rsidRDefault="004A0123" w:rsidP="008A5C11">
            <w:pPr>
              <w:jc w:val="center"/>
              <w:rPr>
                <w:sz w:val="13"/>
                <w:szCs w:val="13"/>
              </w:rPr>
            </w:pPr>
            <w:r w:rsidRPr="00640447">
              <w:rPr>
                <w:sz w:val="13"/>
                <w:szCs w:val="13"/>
              </w:rPr>
              <w:t>Котельная «КСК»</w:t>
            </w:r>
          </w:p>
        </w:tc>
        <w:tc>
          <w:tcPr>
            <w:tcW w:w="528" w:type="pct"/>
            <w:shd w:val="clear" w:color="auto" w:fill="auto"/>
            <w:tcMar>
              <w:left w:w="28" w:type="dxa"/>
              <w:right w:w="28" w:type="dxa"/>
            </w:tcMar>
            <w:vAlign w:val="center"/>
          </w:tcPr>
          <w:p w14:paraId="2D95214C" w14:textId="77777777" w:rsidR="004A0123" w:rsidRPr="00640447" w:rsidRDefault="004A0123" w:rsidP="008A5C11">
            <w:pPr>
              <w:jc w:val="center"/>
              <w:rPr>
                <w:sz w:val="13"/>
                <w:szCs w:val="13"/>
              </w:rPr>
            </w:pPr>
            <w:r w:rsidRPr="00640447">
              <w:rPr>
                <w:sz w:val="13"/>
                <w:szCs w:val="13"/>
              </w:rPr>
              <w:t>0</w:t>
            </w:r>
          </w:p>
        </w:tc>
        <w:tc>
          <w:tcPr>
            <w:tcW w:w="140" w:type="pct"/>
            <w:shd w:val="clear" w:color="auto" w:fill="auto"/>
            <w:tcMar>
              <w:left w:w="28" w:type="dxa"/>
              <w:right w:w="28" w:type="dxa"/>
            </w:tcMar>
            <w:vAlign w:val="center"/>
          </w:tcPr>
          <w:p w14:paraId="4D2B270B" w14:textId="77777777" w:rsidR="004A0123" w:rsidRPr="00640447" w:rsidRDefault="004A0123" w:rsidP="008A5C11">
            <w:pPr>
              <w:jc w:val="center"/>
              <w:rPr>
                <w:sz w:val="13"/>
                <w:szCs w:val="13"/>
              </w:rPr>
            </w:pPr>
            <w:r w:rsidRPr="00640447">
              <w:rPr>
                <w:sz w:val="13"/>
                <w:szCs w:val="13"/>
              </w:rPr>
              <w:t>0</w:t>
            </w:r>
          </w:p>
        </w:tc>
        <w:tc>
          <w:tcPr>
            <w:tcW w:w="165" w:type="pct"/>
            <w:shd w:val="clear" w:color="auto" w:fill="auto"/>
            <w:tcMar>
              <w:left w:w="28" w:type="dxa"/>
              <w:right w:w="28" w:type="dxa"/>
            </w:tcMar>
            <w:vAlign w:val="center"/>
          </w:tcPr>
          <w:p w14:paraId="0B85A0F3" w14:textId="77777777" w:rsidR="004A0123" w:rsidRPr="00640447" w:rsidRDefault="004A0123" w:rsidP="008A5C11">
            <w:pPr>
              <w:jc w:val="center"/>
              <w:rPr>
                <w:sz w:val="13"/>
                <w:szCs w:val="13"/>
              </w:rPr>
            </w:pPr>
            <w:r w:rsidRPr="00640447">
              <w:rPr>
                <w:sz w:val="13"/>
                <w:szCs w:val="13"/>
              </w:rPr>
              <w:t>0</w:t>
            </w:r>
          </w:p>
        </w:tc>
        <w:tc>
          <w:tcPr>
            <w:tcW w:w="140" w:type="pct"/>
            <w:shd w:val="clear" w:color="auto" w:fill="auto"/>
            <w:tcMar>
              <w:left w:w="28" w:type="dxa"/>
              <w:right w:w="28" w:type="dxa"/>
            </w:tcMar>
            <w:vAlign w:val="center"/>
          </w:tcPr>
          <w:p w14:paraId="207C367D" w14:textId="77777777" w:rsidR="004A0123" w:rsidRPr="00640447" w:rsidRDefault="004A0123" w:rsidP="008A5C11">
            <w:pPr>
              <w:jc w:val="center"/>
              <w:rPr>
                <w:sz w:val="13"/>
                <w:szCs w:val="13"/>
              </w:rPr>
            </w:pPr>
            <w:r w:rsidRPr="00640447">
              <w:rPr>
                <w:sz w:val="13"/>
                <w:szCs w:val="13"/>
              </w:rPr>
              <w:t>0</w:t>
            </w:r>
          </w:p>
        </w:tc>
        <w:tc>
          <w:tcPr>
            <w:tcW w:w="140" w:type="pct"/>
            <w:shd w:val="clear" w:color="auto" w:fill="auto"/>
            <w:vAlign w:val="center"/>
          </w:tcPr>
          <w:p w14:paraId="58431354"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20496704"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3B01D4B4"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5049C579"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392982C2"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088A111D" w14:textId="77777777" w:rsidR="004A0123" w:rsidRPr="00640447" w:rsidRDefault="004A0123" w:rsidP="008A5C11">
            <w:pPr>
              <w:jc w:val="center"/>
              <w:rPr>
                <w:sz w:val="13"/>
                <w:szCs w:val="13"/>
              </w:rPr>
            </w:pPr>
            <w:r w:rsidRPr="00640447">
              <w:rPr>
                <w:sz w:val="13"/>
                <w:szCs w:val="13"/>
              </w:rPr>
              <w:t>0</w:t>
            </w:r>
          </w:p>
        </w:tc>
        <w:tc>
          <w:tcPr>
            <w:tcW w:w="144" w:type="pct"/>
            <w:vAlign w:val="center"/>
          </w:tcPr>
          <w:p w14:paraId="33BF47B3" w14:textId="77777777" w:rsidR="004A0123" w:rsidRPr="00640447" w:rsidRDefault="004A0123" w:rsidP="008A5C11">
            <w:pPr>
              <w:jc w:val="center"/>
              <w:rPr>
                <w:sz w:val="13"/>
                <w:szCs w:val="13"/>
              </w:rPr>
            </w:pPr>
            <w:r w:rsidRPr="00640447">
              <w:rPr>
                <w:sz w:val="13"/>
                <w:szCs w:val="13"/>
              </w:rPr>
              <w:t>0</w:t>
            </w:r>
          </w:p>
        </w:tc>
        <w:tc>
          <w:tcPr>
            <w:tcW w:w="536" w:type="pct"/>
            <w:shd w:val="clear" w:color="auto" w:fill="auto"/>
            <w:tcMar>
              <w:left w:w="28" w:type="dxa"/>
              <w:right w:w="28" w:type="dxa"/>
            </w:tcMar>
            <w:vAlign w:val="center"/>
          </w:tcPr>
          <w:p w14:paraId="4C2E606A" w14:textId="77777777" w:rsidR="004A0123" w:rsidRPr="00640447" w:rsidRDefault="004A0123" w:rsidP="008A5C11">
            <w:pPr>
              <w:jc w:val="center"/>
              <w:rPr>
                <w:sz w:val="13"/>
                <w:szCs w:val="13"/>
              </w:rPr>
            </w:pPr>
            <w:r w:rsidRPr="00640447">
              <w:rPr>
                <w:sz w:val="13"/>
                <w:szCs w:val="13"/>
              </w:rPr>
              <w:t>0</w:t>
            </w:r>
          </w:p>
        </w:tc>
        <w:tc>
          <w:tcPr>
            <w:tcW w:w="166" w:type="pct"/>
            <w:shd w:val="clear" w:color="auto" w:fill="auto"/>
            <w:tcMar>
              <w:left w:w="28" w:type="dxa"/>
              <w:right w:w="28" w:type="dxa"/>
            </w:tcMar>
            <w:vAlign w:val="center"/>
          </w:tcPr>
          <w:p w14:paraId="2A3599CD" w14:textId="77777777" w:rsidR="004A0123" w:rsidRPr="00640447" w:rsidRDefault="004A0123" w:rsidP="008A5C11">
            <w:pPr>
              <w:jc w:val="center"/>
              <w:rPr>
                <w:sz w:val="13"/>
                <w:szCs w:val="13"/>
              </w:rPr>
            </w:pPr>
            <w:r w:rsidRPr="00640447">
              <w:rPr>
                <w:sz w:val="13"/>
                <w:szCs w:val="13"/>
              </w:rPr>
              <w:t>0</w:t>
            </w:r>
          </w:p>
        </w:tc>
        <w:tc>
          <w:tcPr>
            <w:tcW w:w="169" w:type="pct"/>
            <w:shd w:val="clear" w:color="auto" w:fill="auto"/>
            <w:tcMar>
              <w:left w:w="28" w:type="dxa"/>
              <w:right w:w="28" w:type="dxa"/>
            </w:tcMar>
            <w:vAlign w:val="center"/>
          </w:tcPr>
          <w:p w14:paraId="655A1866" w14:textId="77777777" w:rsidR="004A0123" w:rsidRPr="00640447" w:rsidRDefault="004A0123" w:rsidP="008A5C11">
            <w:pPr>
              <w:jc w:val="center"/>
              <w:rPr>
                <w:sz w:val="13"/>
                <w:szCs w:val="13"/>
              </w:rPr>
            </w:pPr>
            <w:r w:rsidRPr="00640447">
              <w:rPr>
                <w:sz w:val="13"/>
                <w:szCs w:val="13"/>
              </w:rPr>
              <w:t>0</w:t>
            </w:r>
          </w:p>
        </w:tc>
        <w:tc>
          <w:tcPr>
            <w:tcW w:w="140" w:type="pct"/>
            <w:shd w:val="clear" w:color="auto" w:fill="auto"/>
            <w:tcMar>
              <w:left w:w="28" w:type="dxa"/>
              <w:right w:w="28" w:type="dxa"/>
            </w:tcMar>
            <w:vAlign w:val="center"/>
          </w:tcPr>
          <w:p w14:paraId="4C66F378" w14:textId="77777777" w:rsidR="004A0123" w:rsidRPr="00640447" w:rsidRDefault="004A0123" w:rsidP="008A5C11">
            <w:pPr>
              <w:jc w:val="center"/>
              <w:rPr>
                <w:sz w:val="13"/>
                <w:szCs w:val="13"/>
              </w:rPr>
            </w:pPr>
            <w:r w:rsidRPr="00640447">
              <w:rPr>
                <w:sz w:val="13"/>
                <w:szCs w:val="13"/>
              </w:rPr>
              <w:t>0</w:t>
            </w:r>
          </w:p>
        </w:tc>
        <w:tc>
          <w:tcPr>
            <w:tcW w:w="162" w:type="pct"/>
            <w:shd w:val="clear" w:color="auto" w:fill="auto"/>
            <w:vAlign w:val="center"/>
          </w:tcPr>
          <w:p w14:paraId="24972A72"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564427D0"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0FB82C95"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279317B0"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51008052"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1B47AB46" w14:textId="77777777" w:rsidR="004A0123" w:rsidRPr="00640447" w:rsidRDefault="004A0123" w:rsidP="008A5C11">
            <w:pPr>
              <w:jc w:val="center"/>
              <w:rPr>
                <w:sz w:val="13"/>
                <w:szCs w:val="13"/>
              </w:rPr>
            </w:pPr>
            <w:r w:rsidRPr="00640447">
              <w:rPr>
                <w:sz w:val="13"/>
                <w:szCs w:val="13"/>
              </w:rPr>
              <w:t>0</w:t>
            </w:r>
          </w:p>
        </w:tc>
        <w:tc>
          <w:tcPr>
            <w:tcW w:w="143" w:type="pct"/>
            <w:vAlign w:val="center"/>
          </w:tcPr>
          <w:p w14:paraId="27825BF8" w14:textId="77777777" w:rsidR="004A0123" w:rsidRPr="00640447" w:rsidRDefault="004A0123" w:rsidP="008A5C11">
            <w:pPr>
              <w:jc w:val="center"/>
              <w:rPr>
                <w:sz w:val="13"/>
                <w:szCs w:val="13"/>
              </w:rPr>
            </w:pPr>
            <w:r w:rsidRPr="00640447">
              <w:rPr>
                <w:sz w:val="13"/>
                <w:szCs w:val="13"/>
              </w:rPr>
              <w:t>0</w:t>
            </w:r>
          </w:p>
        </w:tc>
      </w:tr>
      <w:tr w:rsidR="004A0123" w:rsidRPr="00640447" w14:paraId="4FD820BD" w14:textId="77777777" w:rsidTr="008A5C11">
        <w:trPr>
          <w:trHeight w:val="23"/>
          <w:jc w:val="center"/>
        </w:trPr>
        <w:tc>
          <w:tcPr>
            <w:tcW w:w="201" w:type="pct"/>
            <w:tcMar>
              <w:top w:w="62" w:type="dxa"/>
              <w:left w:w="28" w:type="dxa"/>
              <w:bottom w:w="102" w:type="dxa"/>
              <w:right w:w="28" w:type="dxa"/>
            </w:tcMar>
            <w:vAlign w:val="center"/>
          </w:tcPr>
          <w:p w14:paraId="10842A6E" w14:textId="77777777" w:rsidR="004A0123" w:rsidRPr="00640447" w:rsidRDefault="004A0123" w:rsidP="008A5C11">
            <w:pPr>
              <w:jc w:val="center"/>
              <w:rPr>
                <w:sz w:val="13"/>
                <w:szCs w:val="13"/>
              </w:rPr>
            </w:pPr>
            <w:r w:rsidRPr="00640447">
              <w:rPr>
                <w:sz w:val="13"/>
                <w:szCs w:val="13"/>
              </w:rPr>
              <w:t>3</w:t>
            </w:r>
          </w:p>
        </w:tc>
        <w:tc>
          <w:tcPr>
            <w:tcW w:w="826" w:type="pct"/>
            <w:tcMar>
              <w:top w:w="62" w:type="dxa"/>
              <w:left w:w="28" w:type="dxa"/>
              <w:bottom w:w="102" w:type="dxa"/>
              <w:right w:w="28" w:type="dxa"/>
            </w:tcMar>
            <w:vAlign w:val="center"/>
          </w:tcPr>
          <w:p w14:paraId="395C7BC7" w14:textId="77777777" w:rsidR="004A0123" w:rsidRPr="00640447" w:rsidRDefault="004A0123" w:rsidP="008A5C11">
            <w:pPr>
              <w:jc w:val="center"/>
              <w:rPr>
                <w:sz w:val="13"/>
                <w:szCs w:val="13"/>
              </w:rPr>
            </w:pPr>
            <w:r w:rsidRPr="00640447">
              <w:rPr>
                <w:sz w:val="13"/>
                <w:szCs w:val="13"/>
              </w:rPr>
              <w:t>Котельная «Центральная»</w:t>
            </w:r>
          </w:p>
        </w:tc>
        <w:tc>
          <w:tcPr>
            <w:tcW w:w="528" w:type="pct"/>
            <w:shd w:val="clear" w:color="auto" w:fill="auto"/>
            <w:tcMar>
              <w:left w:w="28" w:type="dxa"/>
              <w:right w:w="28" w:type="dxa"/>
            </w:tcMar>
            <w:vAlign w:val="center"/>
          </w:tcPr>
          <w:p w14:paraId="2C055584" w14:textId="77777777" w:rsidR="004A0123" w:rsidRPr="00640447" w:rsidRDefault="004A0123" w:rsidP="008A5C11">
            <w:pPr>
              <w:jc w:val="center"/>
              <w:rPr>
                <w:sz w:val="13"/>
                <w:szCs w:val="13"/>
              </w:rPr>
            </w:pPr>
            <w:r w:rsidRPr="00640447">
              <w:rPr>
                <w:sz w:val="13"/>
                <w:szCs w:val="13"/>
              </w:rPr>
              <w:t>0</w:t>
            </w:r>
          </w:p>
        </w:tc>
        <w:tc>
          <w:tcPr>
            <w:tcW w:w="140" w:type="pct"/>
            <w:shd w:val="clear" w:color="auto" w:fill="auto"/>
            <w:tcMar>
              <w:left w:w="28" w:type="dxa"/>
              <w:right w:w="28" w:type="dxa"/>
            </w:tcMar>
            <w:vAlign w:val="center"/>
          </w:tcPr>
          <w:p w14:paraId="63AE62B9" w14:textId="77777777" w:rsidR="004A0123" w:rsidRPr="00640447" w:rsidRDefault="004A0123" w:rsidP="008A5C11">
            <w:pPr>
              <w:jc w:val="center"/>
              <w:rPr>
                <w:sz w:val="13"/>
                <w:szCs w:val="13"/>
              </w:rPr>
            </w:pPr>
            <w:r w:rsidRPr="00640447">
              <w:rPr>
                <w:sz w:val="13"/>
                <w:szCs w:val="13"/>
              </w:rPr>
              <w:t>0</w:t>
            </w:r>
          </w:p>
        </w:tc>
        <w:tc>
          <w:tcPr>
            <w:tcW w:w="165" w:type="pct"/>
            <w:shd w:val="clear" w:color="auto" w:fill="auto"/>
            <w:tcMar>
              <w:left w:w="28" w:type="dxa"/>
              <w:right w:w="28" w:type="dxa"/>
            </w:tcMar>
            <w:vAlign w:val="center"/>
          </w:tcPr>
          <w:p w14:paraId="340E2EC5" w14:textId="77777777" w:rsidR="004A0123" w:rsidRPr="00640447" w:rsidRDefault="004A0123" w:rsidP="008A5C11">
            <w:pPr>
              <w:jc w:val="center"/>
              <w:rPr>
                <w:sz w:val="13"/>
                <w:szCs w:val="13"/>
              </w:rPr>
            </w:pPr>
            <w:r w:rsidRPr="00640447">
              <w:rPr>
                <w:sz w:val="13"/>
                <w:szCs w:val="13"/>
              </w:rPr>
              <w:t>0</w:t>
            </w:r>
          </w:p>
        </w:tc>
        <w:tc>
          <w:tcPr>
            <w:tcW w:w="140" w:type="pct"/>
            <w:shd w:val="clear" w:color="auto" w:fill="auto"/>
            <w:tcMar>
              <w:left w:w="28" w:type="dxa"/>
              <w:right w:w="28" w:type="dxa"/>
            </w:tcMar>
            <w:vAlign w:val="center"/>
          </w:tcPr>
          <w:p w14:paraId="1F25140F" w14:textId="77777777" w:rsidR="004A0123" w:rsidRPr="00640447" w:rsidRDefault="004A0123" w:rsidP="008A5C11">
            <w:pPr>
              <w:jc w:val="center"/>
              <w:rPr>
                <w:sz w:val="13"/>
                <w:szCs w:val="13"/>
              </w:rPr>
            </w:pPr>
            <w:r w:rsidRPr="00640447">
              <w:rPr>
                <w:sz w:val="13"/>
                <w:szCs w:val="13"/>
              </w:rPr>
              <w:t>0</w:t>
            </w:r>
          </w:p>
        </w:tc>
        <w:tc>
          <w:tcPr>
            <w:tcW w:w="140" w:type="pct"/>
            <w:shd w:val="clear" w:color="auto" w:fill="auto"/>
            <w:vAlign w:val="center"/>
          </w:tcPr>
          <w:p w14:paraId="6C7F4AC7"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6A64B17F"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33FA430F"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22EB5BD6"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3A2EDBDC"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32B56CD3" w14:textId="77777777" w:rsidR="004A0123" w:rsidRPr="00640447" w:rsidRDefault="004A0123" w:rsidP="008A5C11">
            <w:pPr>
              <w:jc w:val="center"/>
              <w:rPr>
                <w:sz w:val="13"/>
                <w:szCs w:val="13"/>
              </w:rPr>
            </w:pPr>
            <w:r w:rsidRPr="00640447">
              <w:rPr>
                <w:sz w:val="13"/>
                <w:szCs w:val="13"/>
              </w:rPr>
              <w:t>0</w:t>
            </w:r>
          </w:p>
        </w:tc>
        <w:tc>
          <w:tcPr>
            <w:tcW w:w="144" w:type="pct"/>
            <w:vAlign w:val="center"/>
          </w:tcPr>
          <w:p w14:paraId="751CB5B0" w14:textId="77777777" w:rsidR="004A0123" w:rsidRPr="00640447" w:rsidRDefault="004A0123" w:rsidP="008A5C11">
            <w:pPr>
              <w:jc w:val="center"/>
              <w:rPr>
                <w:sz w:val="13"/>
                <w:szCs w:val="13"/>
              </w:rPr>
            </w:pPr>
            <w:r w:rsidRPr="00640447">
              <w:rPr>
                <w:sz w:val="13"/>
                <w:szCs w:val="13"/>
              </w:rPr>
              <w:t>0</w:t>
            </w:r>
          </w:p>
        </w:tc>
        <w:tc>
          <w:tcPr>
            <w:tcW w:w="536" w:type="pct"/>
            <w:shd w:val="clear" w:color="auto" w:fill="auto"/>
            <w:tcMar>
              <w:left w:w="28" w:type="dxa"/>
              <w:right w:w="28" w:type="dxa"/>
            </w:tcMar>
            <w:vAlign w:val="center"/>
          </w:tcPr>
          <w:p w14:paraId="69731560" w14:textId="77777777" w:rsidR="004A0123" w:rsidRPr="00640447" w:rsidRDefault="004A0123" w:rsidP="008A5C11">
            <w:pPr>
              <w:jc w:val="center"/>
              <w:rPr>
                <w:sz w:val="13"/>
                <w:szCs w:val="13"/>
              </w:rPr>
            </w:pPr>
            <w:r w:rsidRPr="00640447">
              <w:rPr>
                <w:sz w:val="13"/>
                <w:szCs w:val="13"/>
              </w:rPr>
              <w:t>0</w:t>
            </w:r>
          </w:p>
        </w:tc>
        <w:tc>
          <w:tcPr>
            <w:tcW w:w="166" w:type="pct"/>
            <w:shd w:val="clear" w:color="auto" w:fill="auto"/>
            <w:tcMar>
              <w:left w:w="28" w:type="dxa"/>
              <w:right w:w="28" w:type="dxa"/>
            </w:tcMar>
            <w:vAlign w:val="center"/>
          </w:tcPr>
          <w:p w14:paraId="7F07E833" w14:textId="77777777" w:rsidR="004A0123" w:rsidRPr="00640447" w:rsidRDefault="004A0123" w:rsidP="008A5C11">
            <w:pPr>
              <w:jc w:val="center"/>
              <w:rPr>
                <w:sz w:val="13"/>
                <w:szCs w:val="13"/>
              </w:rPr>
            </w:pPr>
            <w:r w:rsidRPr="00640447">
              <w:rPr>
                <w:sz w:val="13"/>
                <w:szCs w:val="13"/>
              </w:rPr>
              <w:t>0</w:t>
            </w:r>
          </w:p>
        </w:tc>
        <w:tc>
          <w:tcPr>
            <w:tcW w:w="169" w:type="pct"/>
            <w:shd w:val="clear" w:color="auto" w:fill="auto"/>
            <w:tcMar>
              <w:left w:w="28" w:type="dxa"/>
              <w:right w:w="28" w:type="dxa"/>
            </w:tcMar>
            <w:vAlign w:val="center"/>
          </w:tcPr>
          <w:p w14:paraId="6D63F50B" w14:textId="77777777" w:rsidR="004A0123" w:rsidRPr="00640447" w:rsidRDefault="004A0123" w:rsidP="008A5C11">
            <w:pPr>
              <w:jc w:val="center"/>
              <w:rPr>
                <w:sz w:val="13"/>
                <w:szCs w:val="13"/>
              </w:rPr>
            </w:pPr>
            <w:r w:rsidRPr="00640447">
              <w:rPr>
                <w:sz w:val="13"/>
                <w:szCs w:val="13"/>
              </w:rPr>
              <w:t>0</w:t>
            </w:r>
          </w:p>
        </w:tc>
        <w:tc>
          <w:tcPr>
            <w:tcW w:w="140" w:type="pct"/>
            <w:shd w:val="clear" w:color="auto" w:fill="auto"/>
            <w:tcMar>
              <w:left w:w="28" w:type="dxa"/>
              <w:right w:w="28" w:type="dxa"/>
            </w:tcMar>
            <w:vAlign w:val="center"/>
          </w:tcPr>
          <w:p w14:paraId="2EBCA567" w14:textId="77777777" w:rsidR="004A0123" w:rsidRPr="00640447" w:rsidRDefault="004A0123" w:rsidP="008A5C11">
            <w:pPr>
              <w:jc w:val="center"/>
              <w:rPr>
                <w:sz w:val="13"/>
                <w:szCs w:val="13"/>
              </w:rPr>
            </w:pPr>
            <w:r w:rsidRPr="00640447">
              <w:rPr>
                <w:sz w:val="13"/>
                <w:szCs w:val="13"/>
              </w:rPr>
              <w:t>0</w:t>
            </w:r>
          </w:p>
        </w:tc>
        <w:tc>
          <w:tcPr>
            <w:tcW w:w="162" w:type="pct"/>
            <w:shd w:val="clear" w:color="auto" w:fill="auto"/>
            <w:vAlign w:val="center"/>
          </w:tcPr>
          <w:p w14:paraId="16222461"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36DA6D6A"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74A43C9E"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5BB673AE"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0180C4D7"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440C0B6D" w14:textId="77777777" w:rsidR="004A0123" w:rsidRPr="00640447" w:rsidRDefault="004A0123" w:rsidP="008A5C11">
            <w:pPr>
              <w:jc w:val="center"/>
              <w:rPr>
                <w:sz w:val="13"/>
                <w:szCs w:val="13"/>
              </w:rPr>
            </w:pPr>
            <w:r w:rsidRPr="00640447">
              <w:rPr>
                <w:sz w:val="13"/>
                <w:szCs w:val="13"/>
              </w:rPr>
              <w:t>0</w:t>
            </w:r>
          </w:p>
        </w:tc>
        <w:tc>
          <w:tcPr>
            <w:tcW w:w="143" w:type="pct"/>
            <w:vAlign w:val="center"/>
          </w:tcPr>
          <w:p w14:paraId="1D1F2B98" w14:textId="77777777" w:rsidR="004A0123" w:rsidRPr="00640447" w:rsidRDefault="004A0123" w:rsidP="008A5C11">
            <w:pPr>
              <w:jc w:val="center"/>
              <w:rPr>
                <w:sz w:val="13"/>
                <w:szCs w:val="13"/>
              </w:rPr>
            </w:pPr>
            <w:r w:rsidRPr="00640447">
              <w:rPr>
                <w:sz w:val="13"/>
                <w:szCs w:val="13"/>
              </w:rPr>
              <w:t>0</w:t>
            </w:r>
          </w:p>
        </w:tc>
      </w:tr>
      <w:tr w:rsidR="004A0123" w:rsidRPr="00640447" w14:paraId="56B74180" w14:textId="77777777" w:rsidTr="008A5C11">
        <w:trPr>
          <w:trHeight w:val="23"/>
          <w:jc w:val="center"/>
        </w:trPr>
        <w:tc>
          <w:tcPr>
            <w:tcW w:w="201" w:type="pct"/>
            <w:tcMar>
              <w:top w:w="62" w:type="dxa"/>
              <w:left w:w="28" w:type="dxa"/>
              <w:bottom w:w="102" w:type="dxa"/>
              <w:right w:w="28" w:type="dxa"/>
            </w:tcMar>
            <w:vAlign w:val="center"/>
          </w:tcPr>
          <w:p w14:paraId="316CC72E" w14:textId="77777777" w:rsidR="004A0123" w:rsidRPr="00640447" w:rsidRDefault="004A0123" w:rsidP="008A5C11">
            <w:pPr>
              <w:jc w:val="center"/>
              <w:rPr>
                <w:sz w:val="13"/>
                <w:szCs w:val="13"/>
              </w:rPr>
            </w:pPr>
            <w:r w:rsidRPr="00640447">
              <w:rPr>
                <w:sz w:val="13"/>
                <w:szCs w:val="13"/>
              </w:rPr>
              <w:t>4</w:t>
            </w:r>
          </w:p>
        </w:tc>
        <w:tc>
          <w:tcPr>
            <w:tcW w:w="826" w:type="pct"/>
            <w:tcMar>
              <w:top w:w="62" w:type="dxa"/>
              <w:left w:w="28" w:type="dxa"/>
              <w:bottom w:w="102" w:type="dxa"/>
              <w:right w:w="28" w:type="dxa"/>
            </w:tcMar>
            <w:vAlign w:val="center"/>
          </w:tcPr>
          <w:p w14:paraId="3522055B" w14:textId="77777777" w:rsidR="004A0123" w:rsidRPr="00640447" w:rsidRDefault="004A0123" w:rsidP="008A5C11">
            <w:pPr>
              <w:jc w:val="center"/>
              <w:rPr>
                <w:sz w:val="13"/>
                <w:szCs w:val="13"/>
              </w:rPr>
            </w:pPr>
            <w:r w:rsidRPr="00640447">
              <w:rPr>
                <w:sz w:val="13"/>
                <w:szCs w:val="13"/>
              </w:rPr>
              <w:t>Котельная «Привокзальная»</w:t>
            </w:r>
          </w:p>
        </w:tc>
        <w:tc>
          <w:tcPr>
            <w:tcW w:w="528" w:type="pct"/>
            <w:shd w:val="clear" w:color="auto" w:fill="auto"/>
            <w:tcMar>
              <w:left w:w="28" w:type="dxa"/>
              <w:right w:w="28" w:type="dxa"/>
            </w:tcMar>
            <w:vAlign w:val="center"/>
          </w:tcPr>
          <w:p w14:paraId="75343F22" w14:textId="77777777" w:rsidR="004A0123" w:rsidRPr="00640447" w:rsidRDefault="004A0123" w:rsidP="008A5C11">
            <w:pPr>
              <w:jc w:val="center"/>
              <w:rPr>
                <w:sz w:val="13"/>
                <w:szCs w:val="13"/>
              </w:rPr>
            </w:pPr>
            <w:r w:rsidRPr="00640447">
              <w:rPr>
                <w:sz w:val="13"/>
                <w:szCs w:val="13"/>
              </w:rPr>
              <w:t>0</w:t>
            </w:r>
          </w:p>
        </w:tc>
        <w:tc>
          <w:tcPr>
            <w:tcW w:w="140" w:type="pct"/>
            <w:shd w:val="clear" w:color="auto" w:fill="auto"/>
            <w:tcMar>
              <w:left w:w="28" w:type="dxa"/>
              <w:right w:w="28" w:type="dxa"/>
            </w:tcMar>
            <w:vAlign w:val="center"/>
          </w:tcPr>
          <w:p w14:paraId="7066FBB3" w14:textId="77777777" w:rsidR="004A0123" w:rsidRPr="00640447" w:rsidRDefault="004A0123" w:rsidP="008A5C11">
            <w:pPr>
              <w:jc w:val="center"/>
              <w:rPr>
                <w:sz w:val="13"/>
                <w:szCs w:val="13"/>
              </w:rPr>
            </w:pPr>
            <w:r w:rsidRPr="00640447">
              <w:rPr>
                <w:sz w:val="13"/>
                <w:szCs w:val="13"/>
              </w:rPr>
              <w:t>0</w:t>
            </w:r>
          </w:p>
        </w:tc>
        <w:tc>
          <w:tcPr>
            <w:tcW w:w="165" w:type="pct"/>
            <w:shd w:val="clear" w:color="auto" w:fill="auto"/>
            <w:tcMar>
              <w:left w:w="28" w:type="dxa"/>
              <w:right w:w="28" w:type="dxa"/>
            </w:tcMar>
            <w:vAlign w:val="center"/>
          </w:tcPr>
          <w:p w14:paraId="39D30813" w14:textId="77777777" w:rsidR="004A0123" w:rsidRPr="00640447" w:rsidRDefault="004A0123" w:rsidP="008A5C11">
            <w:pPr>
              <w:jc w:val="center"/>
              <w:rPr>
                <w:sz w:val="13"/>
                <w:szCs w:val="13"/>
              </w:rPr>
            </w:pPr>
            <w:r w:rsidRPr="00640447">
              <w:rPr>
                <w:sz w:val="13"/>
                <w:szCs w:val="13"/>
              </w:rPr>
              <w:t>0</w:t>
            </w:r>
          </w:p>
        </w:tc>
        <w:tc>
          <w:tcPr>
            <w:tcW w:w="140" w:type="pct"/>
            <w:shd w:val="clear" w:color="auto" w:fill="auto"/>
            <w:tcMar>
              <w:left w:w="28" w:type="dxa"/>
              <w:right w:w="28" w:type="dxa"/>
            </w:tcMar>
            <w:vAlign w:val="center"/>
          </w:tcPr>
          <w:p w14:paraId="6FE99917" w14:textId="77777777" w:rsidR="004A0123" w:rsidRPr="00640447" w:rsidRDefault="004A0123" w:rsidP="008A5C11">
            <w:pPr>
              <w:jc w:val="center"/>
              <w:rPr>
                <w:sz w:val="13"/>
                <w:szCs w:val="13"/>
              </w:rPr>
            </w:pPr>
            <w:r w:rsidRPr="00640447">
              <w:rPr>
                <w:sz w:val="13"/>
                <w:szCs w:val="13"/>
              </w:rPr>
              <w:t>0</w:t>
            </w:r>
          </w:p>
        </w:tc>
        <w:tc>
          <w:tcPr>
            <w:tcW w:w="140" w:type="pct"/>
            <w:shd w:val="clear" w:color="auto" w:fill="auto"/>
            <w:vAlign w:val="center"/>
          </w:tcPr>
          <w:p w14:paraId="6FA2FF8A"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5B323875"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30ACCCED"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703E7391"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26E468DB"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239751AF" w14:textId="77777777" w:rsidR="004A0123" w:rsidRPr="00640447" w:rsidRDefault="004A0123" w:rsidP="008A5C11">
            <w:pPr>
              <w:jc w:val="center"/>
              <w:rPr>
                <w:sz w:val="13"/>
                <w:szCs w:val="13"/>
              </w:rPr>
            </w:pPr>
            <w:r w:rsidRPr="00640447">
              <w:rPr>
                <w:sz w:val="13"/>
                <w:szCs w:val="13"/>
              </w:rPr>
              <w:t>0</w:t>
            </w:r>
          </w:p>
        </w:tc>
        <w:tc>
          <w:tcPr>
            <w:tcW w:w="144" w:type="pct"/>
            <w:vAlign w:val="center"/>
          </w:tcPr>
          <w:p w14:paraId="7F255BEB" w14:textId="77777777" w:rsidR="004A0123" w:rsidRPr="00640447" w:rsidRDefault="004A0123" w:rsidP="008A5C11">
            <w:pPr>
              <w:jc w:val="center"/>
              <w:rPr>
                <w:sz w:val="13"/>
                <w:szCs w:val="13"/>
              </w:rPr>
            </w:pPr>
            <w:r w:rsidRPr="00640447">
              <w:rPr>
                <w:sz w:val="13"/>
                <w:szCs w:val="13"/>
              </w:rPr>
              <w:t>0</w:t>
            </w:r>
          </w:p>
        </w:tc>
        <w:tc>
          <w:tcPr>
            <w:tcW w:w="536" w:type="pct"/>
            <w:shd w:val="clear" w:color="auto" w:fill="auto"/>
            <w:tcMar>
              <w:left w:w="28" w:type="dxa"/>
              <w:right w:w="28" w:type="dxa"/>
            </w:tcMar>
            <w:vAlign w:val="center"/>
          </w:tcPr>
          <w:p w14:paraId="57445329" w14:textId="77777777" w:rsidR="004A0123" w:rsidRPr="00640447" w:rsidRDefault="004A0123" w:rsidP="008A5C11">
            <w:pPr>
              <w:jc w:val="center"/>
              <w:rPr>
                <w:sz w:val="13"/>
                <w:szCs w:val="13"/>
              </w:rPr>
            </w:pPr>
            <w:r w:rsidRPr="00640447">
              <w:rPr>
                <w:sz w:val="13"/>
                <w:szCs w:val="13"/>
              </w:rPr>
              <w:t>0</w:t>
            </w:r>
          </w:p>
        </w:tc>
        <w:tc>
          <w:tcPr>
            <w:tcW w:w="166" w:type="pct"/>
            <w:shd w:val="clear" w:color="auto" w:fill="auto"/>
            <w:tcMar>
              <w:left w:w="28" w:type="dxa"/>
              <w:right w:w="28" w:type="dxa"/>
            </w:tcMar>
            <w:vAlign w:val="center"/>
          </w:tcPr>
          <w:p w14:paraId="7337316B" w14:textId="77777777" w:rsidR="004A0123" w:rsidRPr="00640447" w:rsidRDefault="004A0123" w:rsidP="008A5C11">
            <w:pPr>
              <w:jc w:val="center"/>
              <w:rPr>
                <w:sz w:val="13"/>
                <w:szCs w:val="13"/>
              </w:rPr>
            </w:pPr>
            <w:r w:rsidRPr="00640447">
              <w:rPr>
                <w:sz w:val="13"/>
                <w:szCs w:val="13"/>
              </w:rPr>
              <w:t>0</w:t>
            </w:r>
          </w:p>
        </w:tc>
        <w:tc>
          <w:tcPr>
            <w:tcW w:w="169" w:type="pct"/>
            <w:shd w:val="clear" w:color="auto" w:fill="auto"/>
            <w:tcMar>
              <w:left w:w="28" w:type="dxa"/>
              <w:right w:w="28" w:type="dxa"/>
            </w:tcMar>
            <w:vAlign w:val="center"/>
          </w:tcPr>
          <w:p w14:paraId="276FDACC" w14:textId="77777777" w:rsidR="004A0123" w:rsidRPr="00640447" w:rsidRDefault="004A0123" w:rsidP="008A5C11">
            <w:pPr>
              <w:jc w:val="center"/>
              <w:rPr>
                <w:sz w:val="13"/>
                <w:szCs w:val="13"/>
              </w:rPr>
            </w:pPr>
            <w:r w:rsidRPr="00640447">
              <w:rPr>
                <w:sz w:val="13"/>
                <w:szCs w:val="13"/>
              </w:rPr>
              <w:t>0</w:t>
            </w:r>
          </w:p>
        </w:tc>
        <w:tc>
          <w:tcPr>
            <w:tcW w:w="140" w:type="pct"/>
            <w:shd w:val="clear" w:color="auto" w:fill="auto"/>
            <w:tcMar>
              <w:left w:w="28" w:type="dxa"/>
              <w:right w:w="28" w:type="dxa"/>
            </w:tcMar>
            <w:vAlign w:val="center"/>
          </w:tcPr>
          <w:p w14:paraId="09298095" w14:textId="77777777" w:rsidR="004A0123" w:rsidRPr="00640447" w:rsidRDefault="004A0123" w:rsidP="008A5C11">
            <w:pPr>
              <w:jc w:val="center"/>
              <w:rPr>
                <w:sz w:val="13"/>
                <w:szCs w:val="13"/>
              </w:rPr>
            </w:pPr>
            <w:r w:rsidRPr="00640447">
              <w:rPr>
                <w:sz w:val="13"/>
                <w:szCs w:val="13"/>
              </w:rPr>
              <w:t>0</w:t>
            </w:r>
          </w:p>
        </w:tc>
        <w:tc>
          <w:tcPr>
            <w:tcW w:w="162" w:type="pct"/>
            <w:shd w:val="clear" w:color="auto" w:fill="auto"/>
            <w:vAlign w:val="center"/>
          </w:tcPr>
          <w:p w14:paraId="183677A6"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7C98D286"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0DD159DD"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33713E70"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1A752FA6"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1CB1A86E" w14:textId="77777777" w:rsidR="004A0123" w:rsidRPr="00640447" w:rsidRDefault="004A0123" w:rsidP="008A5C11">
            <w:pPr>
              <w:jc w:val="center"/>
              <w:rPr>
                <w:sz w:val="13"/>
                <w:szCs w:val="13"/>
              </w:rPr>
            </w:pPr>
            <w:r w:rsidRPr="00640447">
              <w:rPr>
                <w:sz w:val="13"/>
                <w:szCs w:val="13"/>
              </w:rPr>
              <w:t>0</w:t>
            </w:r>
          </w:p>
        </w:tc>
        <w:tc>
          <w:tcPr>
            <w:tcW w:w="143" w:type="pct"/>
            <w:vAlign w:val="center"/>
          </w:tcPr>
          <w:p w14:paraId="6697557B" w14:textId="77777777" w:rsidR="004A0123" w:rsidRPr="00640447" w:rsidRDefault="004A0123" w:rsidP="008A5C11">
            <w:pPr>
              <w:jc w:val="center"/>
              <w:rPr>
                <w:sz w:val="13"/>
                <w:szCs w:val="13"/>
              </w:rPr>
            </w:pPr>
            <w:r w:rsidRPr="00640447">
              <w:rPr>
                <w:sz w:val="13"/>
                <w:szCs w:val="13"/>
              </w:rPr>
              <w:t>0</w:t>
            </w:r>
          </w:p>
        </w:tc>
      </w:tr>
      <w:tr w:rsidR="004A0123" w:rsidRPr="00640447" w14:paraId="4BB672DE" w14:textId="77777777" w:rsidTr="008A5C11">
        <w:trPr>
          <w:trHeight w:val="23"/>
          <w:jc w:val="center"/>
        </w:trPr>
        <w:tc>
          <w:tcPr>
            <w:tcW w:w="201" w:type="pct"/>
            <w:tcMar>
              <w:top w:w="62" w:type="dxa"/>
              <w:left w:w="28" w:type="dxa"/>
              <w:bottom w:w="102" w:type="dxa"/>
              <w:right w:w="28" w:type="dxa"/>
            </w:tcMar>
            <w:vAlign w:val="center"/>
          </w:tcPr>
          <w:p w14:paraId="4F58A1F7" w14:textId="77777777" w:rsidR="004A0123" w:rsidRPr="00640447" w:rsidRDefault="004A0123" w:rsidP="008A5C11">
            <w:pPr>
              <w:jc w:val="center"/>
              <w:rPr>
                <w:sz w:val="13"/>
                <w:szCs w:val="13"/>
              </w:rPr>
            </w:pPr>
            <w:r w:rsidRPr="00640447">
              <w:rPr>
                <w:sz w:val="13"/>
                <w:szCs w:val="13"/>
              </w:rPr>
              <w:t>5</w:t>
            </w:r>
          </w:p>
        </w:tc>
        <w:tc>
          <w:tcPr>
            <w:tcW w:w="826" w:type="pct"/>
            <w:tcMar>
              <w:top w:w="62" w:type="dxa"/>
              <w:left w:w="28" w:type="dxa"/>
              <w:bottom w:w="102" w:type="dxa"/>
              <w:right w:w="28" w:type="dxa"/>
            </w:tcMar>
            <w:vAlign w:val="center"/>
          </w:tcPr>
          <w:p w14:paraId="164A721A" w14:textId="77777777" w:rsidR="004A0123" w:rsidRPr="00640447" w:rsidRDefault="004A0123" w:rsidP="008A5C11">
            <w:pPr>
              <w:jc w:val="center"/>
              <w:rPr>
                <w:sz w:val="13"/>
                <w:szCs w:val="13"/>
              </w:rPr>
            </w:pPr>
            <w:r w:rsidRPr="00640447">
              <w:rPr>
                <w:sz w:val="13"/>
                <w:szCs w:val="13"/>
              </w:rPr>
              <w:t>Котельная шахты «7-е Ноября»</w:t>
            </w:r>
          </w:p>
        </w:tc>
        <w:tc>
          <w:tcPr>
            <w:tcW w:w="528" w:type="pct"/>
            <w:shd w:val="clear" w:color="auto" w:fill="auto"/>
            <w:tcMar>
              <w:left w:w="28" w:type="dxa"/>
              <w:right w:w="28" w:type="dxa"/>
            </w:tcMar>
            <w:vAlign w:val="center"/>
          </w:tcPr>
          <w:p w14:paraId="4107FC1A" w14:textId="77777777" w:rsidR="004A0123" w:rsidRPr="00640447" w:rsidRDefault="004A0123" w:rsidP="008A5C11">
            <w:pPr>
              <w:jc w:val="center"/>
              <w:rPr>
                <w:sz w:val="13"/>
                <w:szCs w:val="13"/>
              </w:rPr>
            </w:pPr>
            <w:r w:rsidRPr="00640447">
              <w:rPr>
                <w:sz w:val="13"/>
                <w:szCs w:val="13"/>
              </w:rPr>
              <w:t>0</w:t>
            </w:r>
          </w:p>
        </w:tc>
        <w:tc>
          <w:tcPr>
            <w:tcW w:w="140" w:type="pct"/>
            <w:shd w:val="clear" w:color="auto" w:fill="auto"/>
            <w:tcMar>
              <w:left w:w="28" w:type="dxa"/>
              <w:right w:w="28" w:type="dxa"/>
            </w:tcMar>
            <w:vAlign w:val="center"/>
          </w:tcPr>
          <w:p w14:paraId="6A5F552C" w14:textId="77777777" w:rsidR="004A0123" w:rsidRPr="00640447" w:rsidRDefault="004A0123" w:rsidP="008A5C11">
            <w:pPr>
              <w:jc w:val="center"/>
              <w:rPr>
                <w:sz w:val="13"/>
                <w:szCs w:val="13"/>
              </w:rPr>
            </w:pPr>
            <w:r w:rsidRPr="00640447">
              <w:rPr>
                <w:sz w:val="13"/>
                <w:szCs w:val="13"/>
              </w:rPr>
              <w:t>0</w:t>
            </w:r>
          </w:p>
        </w:tc>
        <w:tc>
          <w:tcPr>
            <w:tcW w:w="165" w:type="pct"/>
            <w:shd w:val="clear" w:color="auto" w:fill="auto"/>
            <w:tcMar>
              <w:left w:w="28" w:type="dxa"/>
              <w:right w:w="28" w:type="dxa"/>
            </w:tcMar>
            <w:vAlign w:val="center"/>
          </w:tcPr>
          <w:p w14:paraId="6653701E" w14:textId="77777777" w:rsidR="004A0123" w:rsidRPr="00640447" w:rsidRDefault="004A0123" w:rsidP="008A5C11">
            <w:pPr>
              <w:jc w:val="center"/>
              <w:rPr>
                <w:sz w:val="13"/>
                <w:szCs w:val="13"/>
              </w:rPr>
            </w:pPr>
            <w:r w:rsidRPr="00640447">
              <w:rPr>
                <w:sz w:val="13"/>
                <w:szCs w:val="13"/>
              </w:rPr>
              <w:t>0</w:t>
            </w:r>
          </w:p>
        </w:tc>
        <w:tc>
          <w:tcPr>
            <w:tcW w:w="140" w:type="pct"/>
            <w:shd w:val="clear" w:color="auto" w:fill="auto"/>
            <w:tcMar>
              <w:left w:w="28" w:type="dxa"/>
              <w:right w:w="28" w:type="dxa"/>
            </w:tcMar>
            <w:vAlign w:val="center"/>
          </w:tcPr>
          <w:p w14:paraId="2A0127C2" w14:textId="77777777" w:rsidR="004A0123" w:rsidRPr="00640447" w:rsidRDefault="004A0123" w:rsidP="008A5C11">
            <w:pPr>
              <w:jc w:val="center"/>
              <w:rPr>
                <w:sz w:val="13"/>
                <w:szCs w:val="13"/>
              </w:rPr>
            </w:pPr>
            <w:r w:rsidRPr="00640447">
              <w:rPr>
                <w:sz w:val="13"/>
                <w:szCs w:val="13"/>
              </w:rPr>
              <w:t>0</w:t>
            </w:r>
          </w:p>
        </w:tc>
        <w:tc>
          <w:tcPr>
            <w:tcW w:w="140" w:type="pct"/>
            <w:shd w:val="clear" w:color="auto" w:fill="auto"/>
            <w:vAlign w:val="center"/>
          </w:tcPr>
          <w:p w14:paraId="095F16CB"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1FFA3101"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5C36C33C"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3BECC6C3"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05920B3F"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4EC632A6" w14:textId="77777777" w:rsidR="004A0123" w:rsidRPr="00640447" w:rsidRDefault="004A0123" w:rsidP="008A5C11">
            <w:pPr>
              <w:jc w:val="center"/>
              <w:rPr>
                <w:sz w:val="13"/>
                <w:szCs w:val="13"/>
              </w:rPr>
            </w:pPr>
            <w:r w:rsidRPr="00640447">
              <w:rPr>
                <w:sz w:val="13"/>
                <w:szCs w:val="13"/>
              </w:rPr>
              <w:t>0</w:t>
            </w:r>
          </w:p>
        </w:tc>
        <w:tc>
          <w:tcPr>
            <w:tcW w:w="144" w:type="pct"/>
            <w:vAlign w:val="center"/>
          </w:tcPr>
          <w:p w14:paraId="2491DE14" w14:textId="77777777" w:rsidR="004A0123" w:rsidRPr="00640447" w:rsidRDefault="004A0123" w:rsidP="008A5C11">
            <w:pPr>
              <w:jc w:val="center"/>
              <w:rPr>
                <w:sz w:val="13"/>
                <w:szCs w:val="13"/>
              </w:rPr>
            </w:pPr>
            <w:r w:rsidRPr="00640447">
              <w:rPr>
                <w:sz w:val="13"/>
                <w:szCs w:val="13"/>
              </w:rPr>
              <w:t>0</w:t>
            </w:r>
          </w:p>
        </w:tc>
        <w:tc>
          <w:tcPr>
            <w:tcW w:w="536" w:type="pct"/>
            <w:shd w:val="clear" w:color="auto" w:fill="auto"/>
            <w:tcMar>
              <w:left w:w="28" w:type="dxa"/>
              <w:right w:w="28" w:type="dxa"/>
            </w:tcMar>
            <w:vAlign w:val="center"/>
          </w:tcPr>
          <w:p w14:paraId="0B015B98" w14:textId="77777777" w:rsidR="004A0123" w:rsidRPr="00640447" w:rsidRDefault="004A0123" w:rsidP="008A5C11">
            <w:pPr>
              <w:jc w:val="center"/>
              <w:rPr>
                <w:sz w:val="13"/>
                <w:szCs w:val="13"/>
              </w:rPr>
            </w:pPr>
            <w:r w:rsidRPr="00640447">
              <w:rPr>
                <w:sz w:val="13"/>
                <w:szCs w:val="13"/>
              </w:rPr>
              <w:t>0</w:t>
            </w:r>
          </w:p>
        </w:tc>
        <w:tc>
          <w:tcPr>
            <w:tcW w:w="166" w:type="pct"/>
            <w:shd w:val="clear" w:color="auto" w:fill="auto"/>
            <w:tcMar>
              <w:left w:w="28" w:type="dxa"/>
              <w:right w:w="28" w:type="dxa"/>
            </w:tcMar>
            <w:vAlign w:val="center"/>
          </w:tcPr>
          <w:p w14:paraId="4E237DC8" w14:textId="77777777" w:rsidR="004A0123" w:rsidRPr="00640447" w:rsidRDefault="004A0123" w:rsidP="008A5C11">
            <w:pPr>
              <w:jc w:val="center"/>
              <w:rPr>
                <w:sz w:val="13"/>
                <w:szCs w:val="13"/>
              </w:rPr>
            </w:pPr>
            <w:r w:rsidRPr="00640447">
              <w:rPr>
                <w:sz w:val="13"/>
                <w:szCs w:val="13"/>
              </w:rPr>
              <w:t>0</w:t>
            </w:r>
          </w:p>
        </w:tc>
        <w:tc>
          <w:tcPr>
            <w:tcW w:w="169" w:type="pct"/>
            <w:shd w:val="clear" w:color="auto" w:fill="auto"/>
            <w:tcMar>
              <w:left w:w="28" w:type="dxa"/>
              <w:right w:w="28" w:type="dxa"/>
            </w:tcMar>
            <w:vAlign w:val="center"/>
          </w:tcPr>
          <w:p w14:paraId="429D37E6" w14:textId="77777777" w:rsidR="004A0123" w:rsidRPr="00640447" w:rsidRDefault="004A0123" w:rsidP="008A5C11">
            <w:pPr>
              <w:jc w:val="center"/>
              <w:rPr>
                <w:sz w:val="13"/>
                <w:szCs w:val="13"/>
              </w:rPr>
            </w:pPr>
            <w:r w:rsidRPr="00640447">
              <w:rPr>
                <w:sz w:val="13"/>
                <w:szCs w:val="13"/>
              </w:rPr>
              <w:t>0</w:t>
            </w:r>
          </w:p>
        </w:tc>
        <w:tc>
          <w:tcPr>
            <w:tcW w:w="140" w:type="pct"/>
            <w:shd w:val="clear" w:color="auto" w:fill="auto"/>
            <w:tcMar>
              <w:left w:w="28" w:type="dxa"/>
              <w:right w:w="28" w:type="dxa"/>
            </w:tcMar>
            <w:vAlign w:val="center"/>
          </w:tcPr>
          <w:p w14:paraId="24764F05" w14:textId="77777777" w:rsidR="004A0123" w:rsidRPr="00640447" w:rsidRDefault="004A0123" w:rsidP="008A5C11">
            <w:pPr>
              <w:jc w:val="center"/>
              <w:rPr>
                <w:sz w:val="13"/>
                <w:szCs w:val="13"/>
              </w:rPr>
            </w:pPr>
            <w:r w:rsidRPr="00640447">
              <w:rPr>
                <w:sz w:val="13"/>
                <w:szCs w:val="13"/>
              </w:rPr>
              <w:t>0</w:t>
            </w:r>
          </w:p>
        </w:tc>
        <w:tc>
          <w:tcPr>
            <w:tcW w:w="162" w:type="pct"/>
            <w:shd w:val="clear" w:color="auto" w:fill="auto"/>
            <w:vAlign w:val="center"/>
          </w:tcPr>
          <w:p w14:paraId="69C22BD6"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59189359"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1ED998AC"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1CC2C212"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769C003B"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59C1D383" w14:textId="77777777" w:rsidR="004A0123" w:rsidRPr="00640447" w:rsidRDefault="004A0123" w:rsidP="008A5C11">
            <w:pPr>
              <w:jc w:val="center"/>
              <w:rPr>
                <w:sz w:val="13"/>
                <w:szCs w:val="13"/>
              </w:rPr>
            </w:pPr>
            <w:r w:rsidRPr="00640447">
              <w:rPr>
                <w:sz w:val="13"/>
                <w:szCs w:val="13"/>
              </w:rPr>
              <w:t>0</w:t>
            </w:r>
          </w:p>
        </w:tc>
        <w:tc>
          <w:tcPr>
            <w:tcW w:w="143" w:type="pct"/>
            <w:vAlign w:val="center"/>
          </w:tcPr>
          <w:p w14:paraId="7BDC40FF" w14:textId="77777777" w:rsidR="004A0123" w:rsidRPr="00640447" w:rsidRDefault="004A0123" w:rsidP="008A5C11">
            <w:pPr>
              <w:jc w:val="center"/>
              <w:rPr>
                <w:sz w:val="13"/>
                <w:szCs w:val="13"/>
              </w:rPr>
            </w:pPr>
            <w:r w:rsidRPr="00640447">
              <w:rPr>
                <w:sz w:val="13"/>
                <w:szCs w:val="13"/>
              </w:rPr>
              <w:t>0</w:t>
            </w:r>
          </w:p>
        </w:tc>
      </w:tr>
      <w:tr w:rsidR="004A0123" w:rsidRPr="00640447" w14:paraId="00C757D2" w14:textId="77777777" w:rsidTr="008A5C11">
        <w:trPr>
          <w:trHeight w:val="23"/>
          <w:jc w:val="center"/>
        </w:trPr>
        <w:tc>
          <w:tcPr>
            <w:tcW w:w="201" w:type="pct"/>
            <w:tcMar>
              <w:top w:w="62" w:type="dxa"/>
              <w:left w:w="28" w:type="dxa"/>
              <w:bottom w:w="102" w:type="dxa"/>
              <w:right w:w="28" w:type="dxa"/>
            </w:tcMar>
            <w:vAlign w:val="center"/>
          </w:tcPr>
          <w:p w14:paraId="31618EC8" w14:textId="77777777" w:rsidR="004A0123" w:rsidRPr="00640447" w:rsidRDefault="004A0123" w:rsidP="008A5C11">
            <w:pPr>
              <w:jc w:val="center"/>
              <w:rPr>
                <w:sz w:val="13"/>
                <w:szCs w:val="13"/>
              </w:rPr>
            </w:pPr>
            <w:r w:rsidRPr="00640447">
              <w:rPr>
                <w:sz w:val="13"/>
                <w:szCs w:val="13"/>
              </w:rPr>
              <w:t>6</w:t>
            </w:r>
          </w:p>
        </w:tc>
        <w:tc>
          <w:tcPr>
            <w:tcW w:w="826" w:type="pct"/>
            <w:tcMar>
              <w:top w:w="62" w:type="dxa"/>
              <w:left w:w="28" w:type="dxa"/>
              <w:bottom w:w="102" w:type="dxa"/>
              <w:right w:w="28" w:type="dxa"/>
            </w:tcMar>
            <w:vAlign w:val="center"/>
          </w:tcPr>
          <w:p w14:paraId="06AF6A39" w14:textId="77777777" w:rsidR="004A0123" w:rsidRPr="00640447" w:rsidRDefault="004A0123" w:rsidP="008A5C11">
            <w:pPr>
              <w:jc w:val="center"/>
              <w:rPr>
                <w:sz w:val="13"/>
                <w:szCs w:val="13"/>
              </w:rPr>
            </w:pPr>
            <w:r w:rsidRPr="00640447">
              <w:rPr>
                <w:sz w:val="13"/>
                <w:szCs w:val="13"/>
              </w:rPr>
              <w:t>Котельная № 5</w:t>
            </w:r>
          </w:p>
        </w:tc>
        <w:tc>
          <w:tcPr>
            <w:tcW w:w="528" w:type="pct"/>
            <w:shd w:val="clear" w:color="auto" w:fill="auto"/>
            <w:tcMar>
              <w:left w:w="28" w:type="dxa"/>
              <w:right w:w="28" w:type="dxa"/>
            </w:tcMar>
            <w:vAlign w:val="center"/>
          </w:tcPr>
          <w:p w14:paraId="128ABED6" w14:textId="77777777" w:rsidR="004A0123" w:rsidRPr="00640447" w:rsidRDefault="004A0123" w:rsidP="008A5C11">
            <w:pPr>
              <w:jc w:val="center"/>
              <w:rPr>
                <w:sz w:val="13"/>
                <w:szCs w:val="13"/>
              </w:rPr>
            </w:pPr>
            <w:r w:rsidRPr="00640447">
              <w:rPr>
                <w:sz w:val="13"/>
                <w:szCs w:val="13"/>
              </w:rPr>
              <w:t>0</w:t>
            </w:r>
          </w:p>
        </w:tc>
        <w:tc>
          <w:tcPr>
            <w:tcW w:w="140" w:type="pct"/>
            <w:shd w:val="clear" w:color="auto" w:fill="auto"/>
            <w:tcMar>
              <w:left w:w="28" w:type="dxa"/>
              <w:right w:w="28" w:type="dxa"/>
            </w:tcMar>
            <w:vAlign w:val="center"/>
          </w:tcPr>
          <w:p w14:paraId="6FC7DF12" w14:textId="77777777" w:rsidR="004A0123" w:rsidRPr="00640447" w:rsidRDefault="004A0123" w:rsidP="008A5C11">
            <w:pPr>
              <w:jc w:val="center"/>
              <w:rPr>
                <w:sz w:val="13"/>
                <w:szCs w:val="13"/>
              </w:rPr>
            </w:pPr>
            <w:r w:rsidRPr="00640447">
              <w:rPr>
                <w:sz w:val="13"/>
                <w:szCs w:val="13"/>
              </w:rPr>
              <w:t>0</w:t>
            </w:r>
          </w:p>
        </w:tc>
        <w:tc>
          <w:tcPr>
            <w:tcW w:w="165" w:type="pct"/>
            <w:shd w:val="clear" w:color="auto" w:fill="auto"/>
            <w:tcMar>
              <w:left w:w="28" w:type="dxa"/>
              <w:right w:w="28" w:type="dxa"/>
            </w:tcMar>
            <w:vAlign w:val="center"/>
          </w:tcPr>
          <w:p w14:paraId="61C5B2BE" w14:textId="77777777" w:rsidR="004A0123" w:rsidRPr="00640447" w:rsidRDefault="004A0123" w:rsidP="008A5C11">
            <w:pPr>
              <w:jc w:val="center"/>
              <w:rPr>
                <w:sz w:val="13"/>
                <w:szCs w:val="13"/>
              </w:rPr>
            </w:pPr>
            <w:r w:rsidRPr="00640447">
              <w:rPr>
                <w:sz w:val="13"/>
                <w:szCs w:val="13"/>
              </w:rPr>
              <w:t>0</w:t>
            </w:r>
          </w:p>
        </w:tc>
        <w:tc>
          <w:tcPr>
            <w:tcW w:w="140" w:type="pct"/>
            <w:shd w:val="clear" w:color="auto" w:fill="auto"/>
            <w:tcMar>
              <w:left w:w="28" w:type="dxa"/>
              <w:right w:w="28" w:type="dxa"/>
            </w:tcMar>
            <w:vAlign w:val="center"/>
          </w:tcPr>
          <w:p w14:paraId="786710F1" w14:textId="77777777" w:rsidR="004A0123" w:rsidRPr="00640447" w:rsidRDefault="004A0123" w:rsidP="008A5C11">
            <w:pPr>
              <w:jc w:val="center"/>
              <w:rPr>
                <w:sz w:val="13"/>
                <w:szCs w:val="13"/>
              </w:rPr>
            </w:pPr>
            <w:r w:rsidRPr="00640447">
              <w:rPr>
                <w:sz w:val="13"/>
                <w:szCs w:val="13"/>
              </w:rPr>
              <w:t>0</w:t>
            </w:r>
          </w:p>
        </w:tc>
        <w:tc>
          <w:tcPr>
            <w:tcW w:w="140" w:type="pct"/>
            <w:shd w:val="clear" w:color="auto" w:fill="auto"/>
            <w:vAlign w:val="center"/>
          </w:tcPr>
          <w:p w14:paraId="2501D94D"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52FA1A3D"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5FCD89FF"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6B33F4CB"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434304EF"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7D2121F5" w14:textId="77777777" w:rsidR="004A0123" w:rsidRPr="00640447" w:rsidRDefault="004A0123" w:rsidP="008A5C11">
            <w:pPr>
              <w:jc w:val="center"/>
              <w:rPr>
                <w:sz w:val="13"/>
                <w:szCs w:val="13"/>
              </w:rPr>
            </w:pPr>
            <w:r w:rsidRPr="00640447">
              <w:rPr>
                <w:sz w:val="13"/>
                <w:szCs w:val="13"/>
              </w:rPr>
              <w:t>0</w:t>
            </w:r>
          </w:p>
        </w:tc>
        <w:tc>
          <w:tcPr>
            <w:tcW w:w="144" w:type="pct"/>
            <w:vAlign w:val="center"/>
          </w:tcPr>
          <w:p w14:paraId="7B20ABBC" w14:textId="77777777" w:rsidR="004A0123" w:rsidRPr="00640447" w:rsidRDefault="004A0123" w:rsidP="008A5C11">
            <w:pPr>
              <w:jc w:val="center"/>
              <w:rPr>
                <w:sz w:val="13"/>
                <w:szCs w:val="13"/>
              </w:rPr>
            </w:pPr>
            <w:r w:rsidRPr="00640447">
              <w:rPr>
                <w:sz w:val="13"/>
                <w:szCs w:val="13"/>
              </w:rPr>
              <w:t>0</w:t>
            </w:r>
          </w:p>
        </w:tc>
        <w:tc>
          <w:tcPr>
            <w:tcW w:w="536" w:type="pct"/>
            <w:shd w:val="clear" w:color="auto" w:fill="auto"/>
            <w:tcMar>
              <w:left w:w="28" w:type="dxa"/>
              <w:right w:w="28" w:type="dxa"/>
            </w:tcMar>
            <w:vAlign w:val="center"/>
          </w:tcPr>
          <w:p w14:paraId="2F6955B1" w14:textId="77777777" w:rsidR="004A0123" w:rsidRPr="00640447" w:rsidRDefault="004A0123" w:rsidP="008A5C11">
            <w:pPr>
              <w:jc w:val="center"/>
              <w:rPr>
                <w:sz w:val="13"/>
                <w:szCs w:val="13"/>
              </w:rPr>
            </w:pPr>
            <w:r w:rsidRPr="00640447">
              <w:rPr>
                <w:sz w:val="13"/>
                <w:szCs w:val="13"/>
              </w:rPr>
              <w:t>0</w:t>
            </w:r>
          </w:p>
        </w:tc>
        <w:tc>
          <w:tcPr>
            <w:tcW w:w="166" w:type="pct"/>
            <w:shd w:val="clear" w:color="auto" w:fill="auto"/>
            <w:tcMar>
              <w:left w:w="28" w:type="dxa"/>
              <w:right w:w="28" w:type="dxa"/>
            </w:tcMar>
            <w:vAlign w:val="center"/>
          </w:tcPr>
          <w:p w14:paraId="77092DA8" w14:textId="77777777" w:rsidR="004A0123" w:rsidRPr="00640447" w:rsidRDefault="004A0123" w:rsidP="008A5C11">
            <w:pPr>
              <w:jc w:val="center"/>
              <w:rPr>
                <w:sz w:val="13"/>
                <w:szCs w:val="13"/>
              </w:rPr>
            </w:pPr>
            <w:r w:rsidRPr="00640447">
              <w:rPr>
                <w:sz w:val="13"/>
                <w:szCs w:val="13"/>
              </w:rPr>
              <w:t>0</w:t>
            </w:r>
          </w:p>
        </w:tc>
        <w:tc>
          <w:tcPr>
            <w:tcW w:w="169" w:type="pct"/>
            <w:shd w:val="clear" w:color="auto" w:fill="auto"/>
            <w:tcMar>
              <w:left w:w="28" w:type="dxa"/>
              <w:right w:w="28" w:type="dxa"/>
            </w:tcMar>
            <w:vAlign w:val="center"/>
          </w:tcPr>
          <w:p w14:paraId="36297560" w14:textId="77777777" w:rsidR="004A0123" w:rsidRPr="00640447" w:rsidRDefault="004A0123" w:rsidP="008A5C11">
            <w:pPr>
              <w:jc w:val="center"/>
              <w:rPr>
                <w:sz w:val="13"/>
                <w:szCs w:val="13"/>
              </w:rPr>
            </w:pPr>
            <w:r w:rsidRPr="00640447">
              <w:rPr>
                <w:sz w:val="13"/>
                <w:szCs w:val="13"/>
              </w:rPr>
              <w:t>0</w:t>
            </w:r>
          </w:p>
        </w:tc>
        <w:tc>
          <w:tcPr>
            <w:tcW w:w="140" w:type="pct"/>
            <w:shd w:val="clear" w:color="auto" w:fill="auto"/>
            <w:tcMar>
              <w:left w:w="28" w:type="dxa"/>
              <w:right w:w="28" w:type="dxa"/>
            </w:tcMar>
            <w:vAlign w:val="center"/>
          </w:tcPr>
          <w:p w14:paraId="6F88BAB7" w14:textId="77777777" w:rsidR="004A0123" w:rsidRPr="00640447" w:rsidRDefault="004A0123" w:rsidP="008A5C11">
            <w:pPr>
              <w:jc w:val="center"/>
              <w:rPr>
                <w:sz w:val="13"/>
                <w:szCs w:val="13"/>
              </w:rPr>
            </w:pPr>
            <w:r w:rsidRPr="00640447">
              <w:rPr>
                <w:sz w:val="13"/>
                <w:szCs w:val="13"/>
              </w:rPr>
              <w:t>0</w:t>
            </w:r>
          </w:p>
        </w:tc>
        <w:tc>
          <w:tcPr>
            <w:tcW w:w="162" w:type="pct"/>
            <w:shd w:val="clear" w:color="auto" w:fill="auto"/>
            <w:vAlign w:val="center"/>
          </w:tcPr>
          <w:p w14:paraId="6B6FEC53"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3FCA1115"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45FE1FE1"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4119DEFE"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188C9177"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63B537E1" w14:textId="77777777" w:rsidR="004A0123" w:rsidRPr="00640447" w:rsidRDefault="004A0123" w:rsidP="008A5C11">
            <w:pPr>
              <w:jc w:val="center"/>
              <w:rPr>
                <w:sz w:val="13"/>
                <w:szCs w:val="13"/>
              </w:rPr>
            </w:pPr>
            <w:r w:rsidRPr="00640447">
              <w:rPr>
                <w:sz w:val="13"/>
                <w:szCs w:val="13"/>
              </w:rPr>
              <w:t>0</w:t>
            </w:r>
          </w:p>
        </w:tc>
        <w:tc>
          <w:tcPr>
            <w:tcW w:w="143" w:type="pct"/>
            <w:vAlign w:val="center"/>
          </w:tcPr>
          <w:p w14:paraId="3A2D8EAD" w14:textId="77777777" w:rsidR="004A0123" w:rsidRPr="00640447" w:rsidRDefault="004A0123" w:rsidP="008A5C11">
            <w:pPr>
              <w:jc w:val="center"/>
              <w:rPr>
                <w:sz w:val="13"/>
                <w:szCs w:val="13"/>
              </w:rPr>
            </w:pPr>
            <w:r w:rsidRPr="00640447">
              <w:rPr>
                <w:sz w:val="13"/>
                <w:szCs w:val="13"/>
              </w:rPr>
              <w:t>0</w:t>
            </w:r>
          </w:p>
        </w:tc>
      </w:tr>
      <w:tr w:rsidR="004A0123" w:rsidRPr="00640447" w14:paraId="43B159AD" w14:textId="77777777" w:rsidTr="008A5C11">
        <w:trPr>
          <w:trHeight w:val="23"/>
          <w:jc w:val="center"/>
        </w:trPr>
        <w:tc>
          <w:tcPr>
            <w:tcW w:w="201" w:type="pct"/>
            <w:tcMar>
              <w:top w:w="62" w:type="dxa"/>
              <w:left w:w="28" w:type="dxa"/>
              <w:bottom w:w="102" w:type="dxa"/>
              <w:right w:w="28" w:type="dxa"/>
            </w:tcMar>
            <w:vAlign w:val="center"/>
          </w:tcPr>
          <w:p w14:paraId="7A80C603" w14:textId="77777777" w:rsidR="004A0123" w:rsidRPr="00640447" w:rsidRDefault="004A0123" w:rsidP="008A5C11">
            <w:pPr>
              <w:jc w:val="center"/>
              <w:rPr>
                <w:sz w:val="13"/>
                <w:szCs w:val="13"/>
              </w:rPr>
            </w:pPr>
            <w:r w:rsidRPr="00640447">
              <w:rPr>
                <w:sz w:val="13"/>
                <w:szCs w:val="13"/>
              </w:rPr>
              <w:t>7</w:t>
            </w:r>
          </w:p>
        </w:tc>
        <w:tc>
          <w:tcPr>
            <w:tcW w:w="826" w:type="pct"/>
            <w:tcMar>
              <w:top w:w="62" w:type="dxa"/>
              <w:left w:w="28" w:type="dxa"/>
              <w:bottom w:w="102" w:type="dxa"/>
              <w:right w:w="28" w:type="dxa"/>
            </w:tcMar>
            <w:vAlign w:val="center"/>
          </w:tcPr>
          <w:p w14:paraId="3939602C" w14:textId="77777777" w:rsidR="004A0123" w:rsidRPr="00640447" w:rsidRDefault="004A0123" w:rsidP="008A5C11">
            <w:pPr>
              <w:jc w:val="center"/>
              <w:rPr>
                <w:sz w:val="13"/>
                <w:szCs w:val="13"/>
              </w:rPr>
            </w:pPr>
            <w:r w:rsidRPr="00640447">
              <w:rPr>
                <w:sz w:val="13"/>
                <w:szCs w:val="13"/>
              </w:rPr>
              <w:t>Котельная № 1</w:t>
            </w:r>
          </w:p>
        </w:tc>
        <w:tc>
          <w:tcPr>
            <w:tcW w:w="528" w:type="pct"/>
            <w:shd w:val="clear" w:color="auto" w:fill="auto"/>
            <w:tcMar>
              <w:left w:w="28" w:type="dxa"/>
              <w:right w:w="28" w:type="dxa"/>
            </w:tcMar>
            <w:vAlign w:val="center"/>
          </w:tcPr>
          <w:p w14:paraId="692B3965" w14:textId="77777777" w:rsidR="004A0123" w:rsidRPr="00640447" w:rsidRDefault="004A0123" w:rsidP="008A5C11">
            <w:pPr>
              <w:jc w:val="center"/>
              <w:rPr>
                <w:sz w:val="13"/>
                <w:szCs w:val="13"/>
              </w:rPr>
            </w:pPr>
            <w:r w:rsidRPr="00640447">
              <w:rPr>
                <w:sz w:val="13"/>
                <w:szCs w:val="13"/>
              </w:rPr>
              <w:t>0</w:t>
            </w:r>
          </w:p>
        </w:tc>
        <w:tc>
          <w:tcPr>
            <w:tcW w:w="140" w:type="pct"/>
            <w:shd w:val="clear" w:color="auto" w:fill="auto"/>
            <w:tcMar>
              <w:left w:w="28" w:type="dxa"/>
              <w:right w:w="28" w:type="dxa"/>
            </w:tcMar>
            <w:vAlign w:val="center"/>
          </w:tcPr>
          <w:p w14:paraId="3A45C77C" w14:textId="77777777" w:rsidR="004A0123" w:rsidRPr="00640447" w:rsidRDefault="004A0123" w:rsidP="008A5C11">
            <w:pPr>
              <w:jc w:val="center"/>
              <w:rPr>
                <w:sz w:val="13"/>
                <w:szCs w:val="13"/>
              </w:rPr>
            </w:pPr>
            <w:r w:rsidRPr="00640447">
              <w:rPr>
                <w:sz w:val="13"/>
                <w:szCs w:val="13"/>
              </w:rPr>
              <w:t>0</w:t>
            </w:r>
          </w:p>
        </w:tc>
        <w:tc>
          <w:tcPr>
            <w:tcW w:w="165" w:type="pct"/>
            <w:shd w:val="clear" w:color="auto" w:fill="auto"/>
            <w:tcMar>
              <w:left w:w="28" w:type="dxa"/>
              <w:right w:w="28" w:type="dxa"/>
            </w:tcMar>
            <w:vAlign w:val="center"/>
          </w:tcPr>
          <w:p w14:paraId="2202BA30" w14:textId="77777777" w:rsidR="004A0123" w:rsidRPr="00640447" w:rsidRDefault="004A0123" w:rsidP="008A5C11">
            <w:pPr>
              <w:jc w:val="center"/>
              <w:rPr>
                <w:sz w:val="13"/>
                <w:szCs w:val="13"/>
              </w:rPr>
            </w:pPr>
            <w:r w:rsidRPr="00640447">
              <w:rPr>
                <w:sz w:val="13"/>
                <w:szCs w:val="13"/>
              </w:rPr>
              <w:t>0</w:t>
            </w:r>
          </w:p>
        </w:tc>
        <w:tc>
          <w:tcPr>
            <w:tcW w:w="140" w:type="pct"/>
            <w:shd w:val="clear" w:color="auto" w:fill="auto"/>
            <w:tcMar>
              <w:left w:w="28" w:type="dxa"/>
              <w:right w:w="28" w:type="dxa"/>
            </w:tcMar>
            <w:vAlign w:val="center"/>
          </w:tcPr>
          <w:p w14:paraId="5DAD8A9E" w14:textId="77777777" w:rsidR="004A0123" w:rsidRPr="00640447" w:rsidRDefault="004A0123" w:rsidP="008A5C11">
            <w:pPr>
              <w:jc w:val="center"/>
              <w:rPr>
                <w:sz w:val="13"/>
                <w:szCs w:val="13"/>
              </w:rPr>
            </w:pPr>
            <w:r w:rsidRPr="00640447">
              <w:rPr>
                <w:sz w:val="13"/>
                <w:szCs w:val="13"/>
              </w:rPr>
              <w:t>0</w:t>
            </w:r>
          </w:p>
        </w:tc>
        <w:tc>
          <w:tcPr>
            <w:tcW w:w="140" w:type="pct"/>
            <w:shd w:val="clear" w:color="auto" w:fill="auto"/>
            <w:vAlign w:val="center"/>
          </w:tcPr>
          <w:p w14:paraId="65ABBEAA"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08BE75D9"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0DBBC380"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7747CBC8"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1861A009"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74452DCB" w14:textId="77777777" w:rsidR="004A0123" w:rsidRPr="00640447" w:rsidRDefault="004A0123" w:rsidP="008A5C11">
            <w:pPr>
              <w:jc w:val="center"/>
              <w:rPr>
                <w:sz w:val="13"/>
                <w:szCs w:val="13"/>
              </w:rPr>
            </w:pPr>
            <w:r w:rsidRPr="00640447">
              <w:rPr>
                <w:sz w:val="13"/>
                <w:szCs w:val="13"/>
              </w:rPr>
              <w:t>0</w:t>
            </w:r>
          </w:p>
        </w:tc>
        <w:tc>
          <w:tcPr>
            <w:tcW w:w="144" w:type="pct"/>
            <w:vAlign w:val="center"/>
          </w:tcPr>
          <w:p w14:paraId="1CFAAB40" w14:textId="77777777" w:rsidR="004A0123" w:rsidRPr="00640447" w:rsidRDefault="004A0123" w:rsidP="008A5C11">
            <w:pPr>
              <w:jc w:val="center"/>
              <w:rPr>
                <w:sz w:val="13"/>
                <w:szCs w:val="13"/>
              </w:rPr>
            </w:pPr>
            <w:r w:rsidRPr="00640447">
              <w:rPr>
                <w:sz w:val="13"/>
                <w:szCs w:val="13"/>
              </w:rPr>
              <w:t>0</w:t>
            </w:r>
          </w:p>
        </w:tc>
        <w:tc>
          <w:tcPr>
            <w:tcW w:w="536" w:type="pct"/>
            <w:shd w:val="clear" w:color="auto" w:fill="auto"/>
            <w:tcMar>
              <w:left w:w="28" w:type="dxa"/>
              <w:right w:w="28" w:type="dxa"/>
            </w:tcMar>
            <w:vAlign w:val="center"/>
          </w:tcPr>
          <w:p w14:paraId="57887C4F" w14:textId="77777777" w:rsidR="004A0123" w:rsidRPr="00640447" w:rsidRDefault="004A0123" w:rsidP="008A5C11">
            <w:pPr>
              <w:jc w:val="center"/>
              <w:rPr>
                <w:sz w:val="13"/>
                <w:szCs w:val="13"/>
              </w:rPr>
            </w:pPr>
            <w:r w:rsidRPr="00640447">
              <w:rPr>
                <w:sz w:val="13"/>
                <w:szCs w:val="13"/>
              </w:rPr>
              <w:t>0</w:t>
            </w:r>
          </w:p>
        </w:tc>
        <w:tc>
          <w:tcPr>
            <w:tcW w:w="166" w:type="pct"/>
            <w:shd w:val="clear" w:color="auto" w:fill="auto"/>
            <w:tcMar>
              <w:left w:w="28" w:type="dxa"/>
              <w:right w:w="28" w:type="dxa"/>
            </w:tcMar>
            <w:vAlign w:val="center"/>
          </w:tcPr>
          <w:p w14:paraId="2A15B62C" w14:textId="77777777" w:rsidR="004A0123" w:rsidRPr="00640447" w:rsidRDefault="004A0123" w:rsidP="008A5C11">
            <w:pPr>
              <w:jc w:val="center"/>
              <w:rPr>
                <w:sz w:val="13"/>
                <w:szCs w:val="13"/>
              </w:rPr>
            </w:pPr>
            <w:r w:rsidRPr="00640447">
              <w:rPr>
                <w:sz w:val="13"/>
                <w:szCs w:val="13"/>
              </w:rPr>
              <w:t>0</w:t>
            </w:r>
          </w:p>
        </w:tc>
        <w:tc>
          <w:tcPr>
            <w:tcW w:w="169" w:type="pct"/>
            <w:shd w:val="clear" w:color="auto" w:fill="auto"/>
            <w:tcMar>
              <w:left w:w="28" w:type="dxa"/>
              <w:right w:w="28" w:type="dxa"/>
            </w:tcMar>
            <w:vAlign w:val="center"/>
          </w:tcPr>
          <w:p w14:paraId="1DFA76CD" w14:textId="77777777" w:rsidR="004A0123" w:rsidRPr="00640447" w:rsidRDefault="004A0123" w:rsidP="008A5C11">
            <w:pPr>
              <w:jc w:val="center"/>
              <w:rPr>
                <w:sz w:val="13"/>
                <w:szCs w:val="13"/>
              </w:rPr>
            </w:pPr>
            <w:r w:rsidRPr="00640447">
              <w:rPr>
                <w:sz w:val="13"/>
                <w:szCs w:val="13"/>
              </w:rPr>
              <w:t>0</w:t>
            </w:r>
          </w:p>
        </w:tc>
        <w:tc>
          <w:tcPr>
            <w:tcW w:w="140" w:type="pct"/>
            <w:shd w:val="clear" w:color="auto" w:fill="auto"/>
            <w:tcMar>
              <w:left w:w="28" w:type="dxa"/>
              <w:right w:w="28" w:type="dxa"/>
            </w:tcMar>
            <w:vAlign w:val="center"/>
          </w:tcPr>
          <w:p w14:paraId="2CAC4E85" w14:textId="77777777" w:rsidR="004A0123" w:rsidRPr="00640447" w:rsidRDefault="004A0123" w:rsidP="008A5C11">
            <w:pPr>
              <w:jc w:val="center"/>
              <w:rPr>
                <w:sz w:val="13"/>
                <w:szCs w:val="13"/>
              </w:rPr>
            </w:pPr>
            <w:r w:rsidRPr="00640447">
              <w:rPr>
                <w:sz w:val="13"/>
                <w:szCs w:val="13"/>
              </w:rPr>
              <w:t>0</w:t>
            </w:r>
          </w:p>
        </w:tc>
        <w:tc>
          <w:tcPr>
            <w:tcW w:w="162" w:type="pct"/>
            <w:shd w:val="clear" w:color="auto" w:fill="auto"/>
            <w:vAlign w:val="center"/>
          </w:tcPr>
          <w:p w14:paraId="694D190F"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4DC73EFF"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6FC8A1B6"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7EF0C497"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75B2D042"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67EC7A79" w14:textId="77777777" w:rsidR="004A0123" w:rsidRPr="00640447" w:rsidRDefault="004A0123" w:rsidP="008A5C11">
            <w:pPr>
              <w:jc w:val="center"/>
              <w:rPr>
                <w:sz w:val="13"/>
                <w:szCs w:val="13"/>
              </w:rPr>
            </w:pPr>
            <w:r w:rsidRPr="00640447">
              <w:rPr>
                <w:sz w:val="13"/>
                <w:szCs w:val="13"/>
              </w:rPr>
              <w:t>0</w:t>
            </w:r>
          </w:p>
        </w:tc>
        <w:tc>
          <w:tcPr>
            <w:tcW w:w="143" w:type="pct"/>
            <w:vAlign w:val="center"/>
          </w:tcPr>
          <w:p w14:paraId="76234F97" w14:textId="77777777" w:rsidR="004A0123" w:rsidRPr="00640447" w:rsidRDefault="004A0123" w:rsidP="008A5C11">
            <w:pPr>
              <w:jc w:val="center"/>
              <w:rPr>
                <w:sz w:val="13"/>
                <w:szCs w:val="13"/>
              </w:rPr>
            </w:pPr>
            <w:r w:rsidRPr="00640447">
              <w:rPr>
                <w:sz w:val="13"/>
                <w:szCs w:val="13"/>
              </w:rPr>
              <w:t>0</w:t>
            </w:r>
          </w:p>
        </w:tc>
      </w:tr>
      <w:tr w:rsidR="004A0123" w:rsidRPr="00640447" w14:paraId="78669D68" w14:textId="77777777" w:rsidTr="008A5C11">
        <w:trPr>
          <w:trHeight w:val="23"/>
          <w:jc w:val="center"/>
        </w:trPr>
        <w:tc>
          <w:tcPr>
            <w:tcW w:w="201" w:type="pct"/>
            <w:tcMar>
              <w:top w:w="62" w:type="dxa"/>
              <w:left w:w="28" w:type="dxa"/>
              <w:bottom w:w="102" w:type="dxa"/>
              <w:right w:w="28" w:type="dxa"/>
            </w:tcMar>
            <w:vAlign w:val="center"/>
          </w:tcPr>
          <w:p w14:paraId="05CA2B93" w14:textId="77777777" w:rsidR="004A0123" w:rsidRPr="00640447" w:rsidRDefault="004A0123" w:rsidP="008A5C11">
            <w:pPr>
              <w:jc w:val="center"/>
              <w:rPr>
                <w:sz w:val="13"/>
                <w:szCs w:val="13"/>
              </w:rPr>
            </w:pPr>
            <w:r w:rsidRPr="00640447">
              <w:rPr>
                <w:sz w:val="13"/>
                <w:szCs w:val="13"/>
              </w:rPr>
              <w:t>8</w:t>
            </w:r>
          </w:p>
        </w:tc>
        <w:tc>
          <w:tcPr>
            <w:tcW w:w="826" w:type="pct"/>
            <w:tcMar>
              <w:top w:w="62" w:type="dxa"/>
              <w:left w:w="28" w:type="dxa"/>
              <w:bottom w:w="102" w:type="dxa"/>
              <w:right w:w="28" w:type="dxa"/>
            </w:tcMar>
            <w:vAlign w:val="center"/>
          </w:tcPr>
          <w:p w14:paraId="37F66531" w14:textId="77777777" w:rsidR="004A0123" w:rsidRPr="00640447" w:rsidRDefault="004A0123" w:rsidP="008A5C11">
            <w:pPr>
              <w:jc w:val="center"/>
              <w:rPr>
                <w:sz w:val="13"/>
                <w:szCs w:val="13"/>
              </w:rPr>
            </w:pPr>
            <w:r w:rsidRPr="00640447">
              <w:rPr>
                <w:sz w:val="13"/>
                <w:szCs w:val="13"/>
              </w:rPr>
              <w:t>Котельная № 13</w:t>
            </w:r>
          </w:p>
        </w:tc>
        <w:tc>
          <w:tcPr>
            <w:tcW w:w="528" w:type="pct"/>
            <w:shd w:val="clear" w:color="auto" w:fill="auto"/>
            <w:tcMar>
              <w:left w:w="28" w:type="dxa"/>
              <w:right w:w="28" w:type="dxa"/>
            </w:tcMar>
            <w:vAlign w:val="center"/>
          </w:tcPr>
          <w:p w14:paraId="0294EAE3" w14:textId="77777777" w:rsidR="004A0123" w:rsidRPr="00640447" w:rsidRDefault="004A0123" w:rsidP="008A5C11">
            <w:pPr>
              <w:jc w:val="center"/>
              <w:rPr>
                <w:sz w:val="13"/>
                <w:szCs w:val="13"/>
              </w:rPr>
            </w:pPr>
            <w:r w:rsidRPr="00640447">
              <w:rPr>
                <w:sz w:val="13"/>
                <w:szCs w:val="13"/>
              </w:rPr>
              <w:t>0</w:t>
            </w:r>
          </w:p>
        </w:tc>
        <w:tc>
          <w:tcPr>
            <w:tcW w:w="140" w:type="pct"/>
            <w:shd w:val="clear" w:color="auto" w:fill="auto"/>
            <w:tcMar>
              <w:left w:w="28" w:type="dxa"/>
              <w:right w:w="28" w:type="dxa"/>
            </w:tcMar>
            <w:vAlign w:val="center"/>
          </w:tcPr>
          <w:p w14:paraId="2603B107" w14:textId="77777777" w:rsidR="004A0123" w:rsidRPr="00640447" w:rsidRDefault="004A0123" w:rsidP="008A5C11">
            <w:pPr>
              <w:jc w:val="center"/>
              <w:rPr>
                <w:sz w:val="13"/>
                <w:szCs w:val="13"/>
              </w:rPr>
            </w:pPr>
            <w:r w:rsidRPr="00640447">
              <w:rPr>
                <w:sz w:val="13"/>
                <w:szCs w:val="13"/>
              </w:rPr>
              <w:t>0</w:t>
            </w:r>
          </w:p>
        </w:tc>
        <w:tc>
          <w:tcPr>
            <w:tcW w:w="165" w:type="pct"/>
            <w:shd w:val="clear" w:color="auto" w:fill="auto"/>
            <w:tcMar>
              <w:left w:w="28" w:type="dxa"/>
              <w:right w:w="28" w:type="dxa"/>
            </w:tcMar>
            <w:vAlign w:val="center"/>
          </w:tcPr>
          <w:p w14:paraId="76AB139D" w14:textId="77777777" w:rsidR="004A0123" w:rsidRPr="00640447" w:rsidRDefault="004A0123" w:rsidP="008A5C11">
            <w:pPr>
              <w:jc w:val="center"/>
              <w:rPr>
                <w:sz w:val="13"/>
                <w:szCs w:val="13"/>
              </w:rPr>
            </w:pPr>
            <w:r w:rsidRPr="00640447">
              <w:rPr>
                <w:sz w:val="13"/>
                <w:szCs w:val="13"/>
              </w:rPr>
              <w:t>0</w:t>
            </w:r>
          </w:p>
        </w:tc>
        <w:tc>
          <w:tcPr>
            <w:tcW w:w="140" w:type="pct"/>
            <w:shd w:val="clear" w:color="auto" w:fill="auto"/>
            <w:tcMar>
              <w:left w:w="28" w:type="dxa"/>
              <w:right w:w="28" w:type="dxa"/>
            </w:tcMar>
            <w:vAlign w:val="center"/>
          </w:tcPr>
          <w:p w14:paraId="1C1C561D" w14:textId="77777777" w:rsidR="004A0123" w:rsidRPr="00640447" w:rsidRDefault="004A0123" w:rsidP="008A5C11">
            <w:pPr>
              <w:jc w:val="center"/>
              <w:rPr>
                <w:sz w:val="13"/>
                <w:szCs w:val="13"/>
              </w:rPr>
            </w:pPr>
            <w:r w:rsidRPr="00640447">
              <w:rPr>
                <w:sz w:val="13"/>
                <w:szCs w:val="13"/>
              </w:rPr>
              <w:t>0</w:t>
            </w:r>
          </w:p>
        </w:tc>
        <w:tc>
          <w:tcPr>
            <w:tcW w:w="140" w:type="pct"/>
            <w:shd w:val="clear" w:color="auto" w:fill="auto"/>
            <w:vAlign w:val="center"/>
          </w:tcPr>
          <w:p w14:paraId="0620558E"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217ED2D9"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196B9365"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4F0244E2"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25197EF9"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5E28ED5F" w14:textId="77777777" w:rsidR="004A0123" w:rsidRPr="00640447" w:rsidRDefault="004A0123" w:rsidP="008A5C11">
            <w:pPr>
              <w:jc w:val="center"/>
              <w:rPr>
                <w:sz w:val="13"/>
                <w:szCs w:val="13"/>
              </w:rPr>
            </w:pPr>
            <w:r w:rsidRPr="00640447">
              <w:rPr>
                <w:sz w:val="13"/>
                <w:szCs w:val="13"/>
              </w:rPr>
              <w:t>0</w:t>
            </w:r>
          </w:p>
        </w:tc>
        <w:tc>
          <w:tcPr>
            <w:tcW w:w="144" w:type="pct"/>
            <w:vAlign w:val="center"/>
          </w:tcPr>
          <w:p w14:paraId="63274A53" w14:textId="77777777" w:rsidR="004A0123" w:rsidRPr="00640447" w:rsidRDefault="004A0123" w:rsidP="008A5C11">
            <w:pPr>
              <w:jc w:val="center"/>
              <w:rPr>
                <w:sz w:val="13"/>
                <w:szCs w:val="13"/>
              </w:rPr>
            </w:pPr>
            <w:r w:rsidRPr="00640447">
              <w:rPr>
                <w:sz w:val="13"/>
                <w:szCs w:val="13"/>
              </w:rPr>
              <w:t>0</w:t>
            </w:r>
          </w:p>
        </w:tc>
        <w:tc>
          <w:tcPr>
            <w:tcW w:w="536" w:type="pct"/>
            <w:shd w:val="clear" w:color="auto" w:fill="auto"/>
            <w:tcMar>
              <w:left w:w="28" w:type="dxa"/>
              <w:right w:w="28" w:type="dxa"/>
            </w:tcMar>
            <w:vAlign w:val="center"/>
          </w:tcPr>
          <w:p w14:paraId="755B32CF" w14:textId="77777777" w:rsidR="004A0123" w:rsidRPr="00640447" w:rsidRDefault="004A0123" w:rsidP="008A5C11">
            <w:pPr>
              <w:jc w:val="center"/>
              <w:rPr>
                <w:sz w:val="13"/>
                <w:szCs w:val="13"/>
              </w:rPr>
            </w:pPr>
            <w:r w:rsidRPr="00640447">
              <w:rPr>
                <w:sz w:val="13"/>
                <w:szCs w:val="13"/>
              </w:rPr>
              <w:t>0</w:t>
            </w:r>
          </w:p>
        </w:tc>
        <w:tc>
          <w:tcPr>
            <w:tcW w:w="166" w:type="pct"/>
            <w:shd w:val="clear" w:color="auto" w:fill="auto"/>
            <w:tcMar>
              <w:left w:w="28" w:type="dxa"/>
              <w:right w:w="28" w:type="dxa"/>
            </w:tcMar>
            <w:vAlign w:val="center"/>
          </w:tcPr>
          <w:p w14:paraId="46B9152D" w14:textId="77777777" w:rsidR="004A0123" w:rsidRPr="00640447" w:rsidRDefault="004A0123" w:rsidP="008A5C11">
            <w:pPr>
              <w:jc w:val="center"/>
              <w:rPr>
                <w:sz w:val="13"/>
                <w:szCs w:val="13"/>
              </w:rPr>
            </w:pPr>
            <w:r w:rsidRPr="00640447">
              <w:rPr>
                <w:sz w:val="13"/>
                <w:szCs w:val="13"/>
              </w:rPr>
              <w:t>0</w:t>
            </w:r>
          </w:p>
        </w:tc>
        <w:tc>
          <w:tcPr>
            <w:tcW w:w="169" w:type="pct"/>
            <w:shd w:val="clear" w:color="auto" w:fill="auto"/>
            <w:tcMar>
              <w:left w:w="28" w:type="dxa"/>
              <w:right w:w="28" w:type="dxa"/>
            </w:tcMar>
            <w:vAlign w:val="center"/>
          </w:tcPr>
          <w:p w14:paraId="456E416E" w14:textId="77777777" w:rsidR="004A0123" w:rsidRPr="00640447" w:rsidRDefault="004A0123" w:rsidP="008A5C11">
            <w:pPr>
              <w:jc w:val="center"/>
              <w:rPr>
                <w:sz w:val="13"/>
                <w:szCs w:val="13"/>
              </w:rPr>
            </w:pPr>
            <w:r w:rsidRPr="00640447">
              <w:rPr>
                <w:sz w:val="13"/>
                <w:szCs w:val="13"/>
              </w:rPr>
              <w:t>0</w:t>
            </w:r>
          </w:p>
        </w:tc>
        <w:tc>
          <w:tcPr>
            <w:tcW w:w="140" w:type="pct"/>
            <w:shd w:val="clear" w:color="auto" w:fill="auto"/>
            <w:tcMar>
              <w:left w:w="28" w:type="dxa"/>
              <w:right w:w="28" w:type="dxa"/>
            </w:tcMar>
            <w:vAlign w:val="center"/>
          </w:tcPr>
          <w:p w14:paraId="31D0E9E2" w14:textId="77777777" w:rsidR="004A0123" w:rsidRPr="00640447" w:rsidRDefault="004A0123" w:rsidP="008A5C11">
            <w:pPr>
              <w:jc w:val="center"/>
              <w:rPr>
                <w:sz w:val="13"/>
                <w:szCs w:val="13"/>
              </w:rPr>
            </w:pPr>
            <w:r w:rsidRPr="00640447">
              <w:rPr>
                <w:sz w:val="13"/>
                <w:szCs w:val="13"/>
              </w:rPr>
              <w:t>0</w:t>
            </w:r>
          </w:p>
        </w:tc>
        <w:tc>
          <w:tcPr>
            <w:tcW w:w="162" w:type="pct"/>
            <w:shd w:val="clear" w:color="auto" w:fill="auto"/>
            <w:vAlign w:val="center"/>
          </w:tcPr>
          <w:p w14:paraId="36A96389"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1B5C4FD8"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3F6FD97A"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40F6E627"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5AE82EEC"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185CFBE3" w14:textId="77777777" w:rsidR="004A0123" w:rsidRPr="00640447" w:rsidRDefault="004A0123" w:rsidP="008A5C11">
            <w:pPr>
              <w:jc w:val="center"/>
              <w:rPr>
                <w:sz w:val="13"/>
                <w:szCs w:val="13"/>
              </w:rPr>
            </w:pPr>
            <w:r w:rsidRPr="00640447">
              <w:rPr>
                <w:sz w:val="13"/>
                <w:szCs w:val="13"/>
              </w:rPr>
              <w:t>0</w:t>
            </w:r>
          </w:p>
        </w:tc>
        <w:tc>
          <w:tcPr>
            <w:tcW w:w="143" w:type="pct"/>
            <w:vAlign w:val="center"/>
          </w:tcPr>
          <w:p w14:paraId="4237F960" w14:textId="77777777" w:rsidR="004A0123" w:rsidRPr="00640447" w:rsidRDefault="004A0123" w:rsidP="008A5C11">
            <w:pPr>
              <w:jc w:val="center"/>
              <w:rPr>
                <w:sz w:val="13"/>
                <w:szCs w:val="13"/>
              </w:rPr>
            </w:pPr>
            <w:r w:rsidRPr="00640447">
              <w:rPr>
                <w:sz w:val="13"/>
                <w:szCs w:val="13"/>
              </w:rPr>
              <w:t>0</w:t>
            </w:r>
          </w:p>
        </w:tc>
      </w:tr>
      <w:tr w:rsidR="004A0123" w:rsidRPr="00640447" w14:paraId="6C28AC2B" w14:textId="77777777" w:rsidTr="008A5C11">
        <w:trPr>
          <w:trHeight w:val="23"/>
          <w:jc w:val="center"/>
        </w:trPr>
        <w:tc>
          <w:tcPr>
            <w:tcW w:w="201" w:type="pct"/>
            <w:tcMar>
              <w:top w:w="62" w:type="dxa"/>
              <w:left w:w="28" w:type="dxa"/>
              <w:bottom w:w="102" w:type="dxa"/>
              <w:right w:w="28" w:type="dxa"/>
            </w:tcMar>
            <w:vAlign w:val="center"/>
          </w:tcPr>
          <w:p w14:paraId="13B18E34" w14:textId="77777777" w:rsidR="004A0123" w:rsidRPr="00640447" w:rsidRDefault="004A0123" w:rsidP="008A5C11">
            <w:pPr>
              <w:jc w:val="center"/>
              <w:rPr>
                <w:sz w:val="13"/>
                <w:szCs w:val="13"/>
              </w:rPr>
            </w:pPr>
            <w:r w:rsidRPr="00640447">
              <w:rPr>
                <w:sz w:val="13"/>
                <w:szCs w:val="13"/>
              </w:rPr>
              <w:t>9</w:t>
            </w:r>
          </w:p>
        </w:tc>
        <w:tc>
          <w:tcPr>
            <w:tcW w:w="826" w:type="pct"/>
            <w:tcMar>
              <w:top w:w="62" w:type="dxa"/>
              <w:left w:w="28" w:type="dxa"/>
              <w:bottom w:w="102" w:type="dxa"/>
              <w:right w:w="28" w:type="dxa"/>
            </w:tcMar>
            <w:vAlign w:val="center"/>
          </w:tcPr>
          <w:p w14:paraId="1DA91844" w14:textId="77777777" w:rsidR="004A0123" w:rsidRPr="00640447" w:rsidRDefault="004A0123" w:rsidP="008A5C11">
            <w:pPr>
              <w:jc w:val="center"/>
              <w:rPr>
                <w:sz w:val="13"/>
                <w:szCs w:val="13"/>
              </w:rPr>
            </w:pPr>
            <w:r w:rsidRPr="00640447">
              <w:rPr>
                <w:sz w:val="13"/>
                <w:szCs w:val="13"/>
              </w:rPr>
              <w:t>Котельная № 14</w:t>
            </w:r>
          </w:p>
        </w:tc>
        <w:tc>
          <w:tcPr>
            <w:tcW w:w="528" w:type="pct"/>
            <w:shd w:val="clear" w:color="auto" w:fill="auto"/>
            <w:tcMar>
              <w:left w:w="28" w:type="dxa"/>
              <w:right w:w="28" w:type="dxa"/>
            </w:tcMar>
            <w:vAlign w:val="center"/>
          </w:tcPr>
          <w:p w14:paraId="7B14A518" w14:textId="77777777" w:rsidR="004A0123" w:rsidRPr="00640447" w:rsidRDefault="004A0123" w:rsidP="008A5C11">
            <w:pPr>
              <w:jc w:val="center"/>
              <w:rPr>
                <w:sz w:val="13"/>
                <w:szCs w:val="13"/>
              </w:rPr>
            </w:pPr>
            <w:r w:rsidRPr="00640447">
              <w:rPr>
                <w:sz w:val="13"/>
                <w:szCs w:val="13"/>
              </w:rPr>
              <w:t>0</w:t>
            </w:r>
          </w:p>
        </w:tc>
        <w:tc>
          <w:tcPr>
            <w:tcW w:w="140" w:type="pct"/>
            <w:shd w:val="clear" w:color="auto" w:fill="auto"/>
            <w:tcMar>
              <w:left w:w="28" w:type="dxa"/>
              <w:right w:w="28" w:type="dxa"/>
            </w:tcMar>
            <w:vAlign w:val="center"/>
          </w:tcPr>
          <w:p w14:paraId="620E72FE" w14:textId="77777777" w:rsidR="004A0123" w:rsidRPr="00640447" w:rsidRDefault="004A0123" w:rsidP="008A5C11">
            <w:pPr>
              <w:jc w:val="center"/>
              <w:rPr>
                <w:sz w:val="13"/>
                <w:szCs w:val="13"/>
              </w:rPr>
            </w:pPr>
            <w:r w:rsidRPr="00640447">
              <w:rPr>
                <w:sz w:val="13"/>
                <w:szCs w:val="13"/>
              </w:rPr>
              <w:t>0</w:t>
            </w:r>
          </w:p>
        </w:tc>
        <w:tc>
          <w:tcPr>
            <w:tcW w:w="165" w:type="pct"/>
            <w:shd w:val="clear" w:color="auto" w:fill="auto"/>
            <w:tcMar>
              <w:left w:w="28" w:type="dxa"/>
              <w:right w:w="28" w:type="dxa"/>
            </w:tcMar>
            <w:vAlign w:val="center"/>
          </w:tcPr>
          <w:p w14:paraId="5F5E5C0E" w14:textId="77777777" w:rsidR="004A0123" w:rsidRPr="00640447" w:rsidRDefault="004A0123" w:rsidP="008A5C11">
            <w:pPr>
              <w:jc w:val="center"/>
              <w:rPr>
                <w:sz w:val="13"/>
                <w:szCs w:val="13"/>
              </w:rPr>
            </w:pPr>
            <w:r w:rsidRPr="00640447">
              <w:rPr>
                <w:sz w:val="13"/>
                <w:szCs w:val="13"/>
              </w:rPr>
              <w:t>0</w:t>
            </w:r>
          </w:p>
        </w:tc>
        <w:tc>
          <w:tcPr>
            <w:tcW w:w="140" w:type="pct"/>
            <w:shd w:val="clear" w:color="auto" w:fill="auto"/>
            <w:tcMar>
              <w:left w:w="28" w:type="dxa"/>
              <w:right w:w="28" w:type="dxa"/>
            </w:tcMar>
            <w:vAlign w:val="center"/>
          </w:tcPr>
          <w:p w14:paraId="41FE6080" w14:textId="77777777" w:rsidR="004A0123" w:rsidRPr="00640447" w:rsidRDefault="004A0123" w:rsidP="008A5C11">
            <w:pPr>
              <w:jc w:val="center"/>
              <w:rPr>
                <w:sz w:val="13"/>
                <w:szCs w:val="13"/>
              </w:rPr>
            </w:pPr>
            <w:r w:rsidRPr="00640447">
              <w:rPr>
                <w:sz w:val="13"/>
                <w:szCs w:val="13"/>
              </w:rPr>
              <w:t>0</w:t>
            </w:r>
          </w:p>
        </w:tc>
        <w:tc>
          <w:tcPr>
            <w:tcW w:w="140" w:type="pct"/>
            <w:shd w:val="clear" w:color="auto" w:fill="auto"/>
            <w:vAlign w:val="center"/>
          </w:tcPr>
          <w:p w14:paraId="56C8D90D"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723BBDA8"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78E7D27C"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7082D402"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660C3F65"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7EE8EA77" w14:textId="77777777" w:rsidR="004A0123" w:rsidRPr="00640447" w:rsidRDefault="004A0123" w:rsidP="008A5C11">
            <w:pPr>
              <w:jc w:val="center"/>
              <w:rPr>
                <w:sz w:val="13"/>
                <w:szCs w:val="13"/>
              </w:rPr>
            </w:pPr>
            <w:r w:rsidRPr="00640447">
              <w:rPr>
                <w:sz w:val="13"/>
                <w:szCs w:val="13"/>
              </w:rPr>
              <w:t>0</w:t>
            </w:r>
          </w:p>
        </w:tc>
        <w:tc>
          <w:tcPr>
            <w:tcW w:w="144" w:type="pct"/>
            <w:vAlign w:val="center"/>
          </w:tcPr>
          <w:p w14:paraId="4877E332" w14:textId="77777777" w:rsidR="004A0123" w:rsidRPr="00640447" w:rsidRDefault="004A0123" w:rsidP="008A5C11">
            <w:pPr>
              <w:jc w:val="center"/>
              <w:rPr>
                <w:sz w:val="13"/>
                <w:szCs w:val="13"/>
              </w:rPr>
            </w:pPr>
            <w:r w:rsidRPr="00640447">
              <w:rPr>
                <w:sz w:val="13"/>
                <w:szCs w:val="13"/>
              </w:rPr>
              <w:t>0</w:t>
            </w:r>
          </w:p>
        </w:tc>
        <w:tc>
          <w:tcPr>
            <w:tcW w:w="536" w:type="pct"/>
            <w:shd w:val="clear" w:color="auto" w:fill="auto"/>
            <w:tcMar>
              <w:left w:w="28" w:type="dxa"/>
              <w:right w:w="28" w:type="dxa"/>
            </w:tcMar>
            <w:vAlign w:val="center"/>
          </w:tcPr>
          <w:p w14:paraId="3A53DAB1" w14:textId="77777777" w:rsidR="004A0123" w:rsidRPr="00640447" w:rsidRDefault="004A0123" w:rsidP="008A5C11">
            <w:pPr>
              <w:jc w:val="center"/>
              <w:rPr>
                <w:sz w:val="13"/>
                <w:szCs w:val="13"/>
              </w:rPr>
            </w:pPr>
            <w:r w:rsidRPr="00640447">
              <w:rPr>
                <w:sz w:val="13"/>
                <w:szCs w:val="13"/>
              </w:rPr>
              <w:t>0</w:t>
            </w:r>
          </w:p>
        </w:tc>
        <w:tc>
          <w:tcPr>
            <w:tcW w:w="166" w:type="pct"/>
            <w:shd w:val="clear" w:color="auto" w:fill="auto"/>
            <w:tcMar>
              <w:left w:w="28" w:type="dxa"/>
              <w:right w:w="28" w:type="dxa"/>
            </w:tcMar>
            <w:vAlign w:val="center"/>
          </w:tcPr>
          <w:p w14:paraId="3DF996DC" w14:textId="77777777" w:rsidR="004A0123" w:rsidRPr="00640447" w:rsidRDefault="004A0123" w:rsidP="008A5C11">
            <w:pPr>
              <w:jc w:val="center"/>
              <w:rPr>
                <w:sz w:val="13"/>
                <w:szCs w:val="13"/>
              </w:rPr>
            </w:pPr>
            <w:r w:rsidRPr="00640447">
              <w:rPr>
                <w:sz w:val="13"/>
                <w:szCs w:val="13"/>
              </w:rPr>
              <w:t>0</w:t>
            </w:r>
          </w:p>
        </w:tc>
        <w:tc>
          <w:tcPr>
            <w:tcW w:w="169" w:type="pct"/>
            <w:shd w:val="clear" w:color="auto" w:fill="auto"/>
            <w:tcMar>
              <w:left w:w="28" w:type="dxa"/>
              <w:right w:w="28" w:type="dxa"/>
            </w:tcMar>
            <w:vAlign w:val="center"/>
          </w:tcPr>
          <w:p w14:paraId="2B1D589B" w14:textId="77777777" w:rsidR="004A0123" w:rsidRPr="00640447" w:rsidRDefault="004A0123" w:rsidP="008A5C11">
            <w:pPr>
              <w:jc w:val="center"/>
              <w:rPr>
                <w:sz w:val="13"/>
                <w:szCs w:val="13"/>
              </w:rPr>
            </w:pPr>
            <w:r w:rsidRPr="00640447">
              <w:rPr>
                <w:sz w:val="13"/>
                <w:szCs w:val="13"/>
              </w:rPr>
              <w:t>0</w:t>
            </w:r>
          </w:p>
        </w:tc>
        <w:tc>
          <w:tcPr>
            <w:tcW w:w="140" w:type="pct"/>
            <w:shd w:val="clear" w:color="auto" w:fill="auto"/>
            <w:tcMar>
              <w:left w:w="28" w:type="dxa"/>
              <w:right w:w="28" w:type="dxa"/>
            </w:tcMar>
            <w:vAlign w:val="center"/>
          </w:tcPr>
          <w:p w14:paraId="1FDCEE41" w14:textId="77777777" w:rsidR="004A0123" w:rsidRPr="00640447" w:rsidRDefault="004A0123" w:rsidP="008A5C11">
            <w:pPr>
              <w:jc w:val="center"/>
              <w:rPr>
                <w:sz w:val="13"/>
                <w:szCs w:val="13"/>
              </w:rPr>
            </w:pPr>
            <w:r w:rsidRPr="00640447">
              <w:rPr>
                <w:sz w:val="13"/>
                <w:szCs w:val="13"/>
              </w:rPr>
              <w:t>0</w:t>
            </w:r>
          </w:p>
        </w:tc>
        <w:tc>
          <w:tcPr>
            <w:tcW w:w="162" w:type="pct"/>
            <w:shd w:val="clear" w:color="auto" w:fill="auto"/>
            <w:vAlign w:val="center"/>
          </w:tcPr>
          <w:p w14:paraId="79ACF313"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7AF61A55"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4E5D2796"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66C4974E"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1EED882B"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198DA4A1" w14:textId="77777777" w:rsidR="004A0123" w:rsidRPr="00640447" w:rsidRDefault="004A0123" w:rsidP="008A5C11">
            <w:pPr>
              <w:jc w:val="center"/>
              <w:rPr>
                <w:sz w:val="13"/>
                <w:szCs w:val="13"/>
              </w:rPr>
            </w:pPr>
            <w:r w:rsidRPr="00640447">
              <w:rPr>
                <w:sz w:val="13"/>
                <w:szCs w:val="13"/>
              </w:rPr>
              <w:t>0</w:t>
            </w:r>
          </w:p>
        </w:tc>
        <w:tc>
          <w:tcPr>
            <w:tcW w:w="143" w:type="pct"/>
            <w:vAlign w:val="center"/>
          </w:tcPr>
          <w:p w14:paraId="69F16125" w14:textId="77777777" w:rsidR="004A0123" w:rsidRPr="00640447" w:rsidRDefault="004A0123" w:rsidP="008A5C11">
            <w:pPr>
              <w:jc w:val="center"/>
              <w:rPr>
                <w:sz w:val="13"/>
                <w:szCs w:val="13"/>
              </w:rPr>
            </w:pPr>
            <w:r w:rsidRPr="00640447">
              <w:rPr>
                <w:sz w:val="13"/>
                <w:szCs w:val="13"/>
              </w:rPr>
              <w:t>0</w:t>
            </w:r>
          </w:p>
        </w:tc>
      </w:tr>
      <w:tr w:rsidR="004A0123" w:rsidRPr="00640447" w14:paraId="3026A98D" w14:textId="77777777" w:rsidTr="008A5C11">
        <w:trPr>
          <w:trHeight w:val="23"/>
          <w:jc w:val="center"/>
        </w:trPr>
        <w:tc>
          <w:tcPr>
            <w:tcW w:w="201" w:type="pct"/>
            <w:tcMar>
              <w:top w:w="62" w:type="dxa"/>
              <w:left w:w="28" w:type="dxa"/>
              <w:bottom w:w="102" w:type="dxa"/>
              <w:right w:w="28" w:type="dxa"/>
            </w:tcMar>
            <w:vAlign w:val="center"/>
          </w:tcPr>
          <w:p w14:paraId="6F61E4C1" w14:textId="77777777" w:rsidR="004A0123" w:rsidRPr="00640447" w:rsidRDefault="004A0123" w:rsidP="008A5C11">
            <w:pPr>
              <w:jc w:val="center"/>
              <w:rPr>
                <w:sz w:val="13"/>
                <w:szCs w:val="13"/>
              </w:rPr>
            </w:pPr>
            <w:r w:rsidRPr="00640447">
              <w:rPr>
                <w:sz w:val="13"/>
                <w:szCs w:val="13"/>
              </w:rPr>
              <w:t>10</w:t>
            </w:r>
          </w:p>
        </w:tc>
        <w:tc>
          <w:tcPr>
            <w:tcW w:w="826" w:type="pct"/>
            <w:tcMar>
              <w:top w:w="62" w:type="dxa"/>
              <w:left w:w="28" w:type="dxa"/>
              <w:bottom w:w="102" w:type="dxa"/>
              <w:right w:w="28" w:type="dxa"/>
            </w:tcMar>
            <w:vAlign w:val="center"/>
          </w:tcPr>
          <w:p w14:paraId="1991B920" w14:textId="77777777" w:rsidR="004A0123" w:rsidRPr="00640447" w:rsidRDefault="004A0123" w:rsidP="008A5C11">
            <w:pPr>
              <w:jc w:val="center"/>
              <w:rPr>
                <w:sz w:val="13"/>
                <w:szCs w:val="13"/>
              </w:rPr>
            </w:pPr>
            <w:r w:rsidRPr="00640447">
              <w:rPr>
                <w:sz w:val="13"/>
                <w:szCs w:val="13"/>
              </w:rPr>
              <w:t>Котельная № 20</w:t>
            </w:r>
          </w:p>
        </w:tc>
        <w:tc>
          <w:tcPr>
            <w:tcW w:w="528" w:type="pct"/>
            <w:shd w:val="clear" w:color="auto" w:fill="auto"/>
            <w:tcMar>
              <w:left w:w="28" w:type="dxa"/>
              <w:right w:w="28" w:type="dxa"/>
            </w:tcMar>
            <w:vAlign w:val="center"/>
          </w:tcPr>
          <w:p w14:paraId="0677C197" w14:textId="77777777" w:rsidR="004A0123" w:rsidRPr="00640447" w:rsidRDefault="004A0123" w:rsidP="008A5C11">
            <w:pPr>
              <w:jc w:val="center"/>
              <w:rPr>
                <w:sz w:val="13"/>
                <w:szCs w:val="13"/>
              </w:rPr>
            </w:pPr>
            <w:r w:rsidRPr="00640447">
              <w:rPr>
                <w:sz w:val="13"/>
                <w:szCs w:val="13"/>
              </w:rPr>
              <w:t>0</w:t>
            </w:r>
          </w:p>
        </w:tc>
        <w:tc>
          <w:tcPr>
            <w:tcW w:w="140" w:type="pct"/>
            <w:shd w:val="clear" w:color="auto" w:fill="auto"/>
            <w:tcMar>
              <w:left w:w="28" w:type="dxa"/>
              <w:right w:w="28" w:type="dxa"/>
            </w:tcMar>
            <w:vAlign w:val="center"/>
          </w:tcPr>
          <w:p w14:paraId="3B4A83D7" w14:textId="77777777" w:rsidR="004A0123" w:rsidRPr="00640447" w:rsidRDefault="004A0123" w:rsidP="008A5C11">
            <w:pPr>
              <w:jc w:val="center"/>
              <w:rPr>
                <w:sz w:val="13"/>
                <w:szCs w:val="13"/>
              </w:rPr>
            </w:pPr>
            <w:r w:rsidRPr="00640447">
              <w:rPr>
                <w:sz w:val="13"/>
                <w:szCs w:val="13"/>
              </w:rPr>
              <w:t>0</w:t>
            </w:r>
          </w:p>
        </w:tc>
        <w:tc>
          <w:tcPr>
            <w:tcW w:w="165" w:type="pct"/>
            <w:shd w:val="clear" w:color="auto" w:fill="auto"/>
            <w:tcMar>
              <w:left w:w="28" w:type="dxa"/>
              <w:right w:w="28" w:type="dxa"/>
            </w:tcMar>
            <w:vAlign w:val="center"/>
          </w:tcPr>
          <w:p w14:paraId="34B09B9C" w14:textId="77777777" w:rsidR="004A0123" w:rsidRPr="00640447" w:rsidRDefault="004A0123" w:rsidP="008A5C11">
            <w:pPr>
              <w:jc w:val="center"/>
              <w:rPr>
                <w:sz w:val="13"/>
                <w:szCs w:val="13"/>
              </w:rPr>
            </w:pPr>
            <w:r w:rsidRPr="00640447">
              <w:rPr>
                <w:sz w:val="13"/>
                <w:szCs w:val="13"/>
              </w:rPr>
              <w:t>0</w:t>
            </w:r>
          </w:p>
        </w:tc>
        <w:tc>
          <w:tcPr>
            <w:tcW w:w="140" w:type="pct"/>
            <w:shd w:val="clear" w:color="auto" w:fill="auto"/>
            <w:tcMar>
              <w:left w:w="28" w:type="dxa"/>
              <w:right w:w="28" w:type="dxa"/>
            </w:tcMar>
            <w:vAlign w:val="center"/>
          </w:tcPr>
          <w:p w14:paraId="764E749A" w14:textId="77777777" w:rsidR="004A0123" w:rsidRPr="00640447" w:rsidRDefault="004A0123" w:rsidP="008A5C11">
            <w:pPr>
              <w:jc w:val="center"/>
              <w:rPr>
                <w:sz w:val="13"/>
                <w:szCs w:val="13"/>
              </w:rPr>
            </w:pPr>
            <w:r w:rsidRPr="00640447">
              <w:rPr>
                <w:sz w:val="13"/>
                <w:szCs w:val="13"/>
              </w:rPr>
              <w:t>0</w:t>
            </w:r>
          </w:p>
        </w:tc>
        <w:tc>
          <w:tcPr>
            <w:tcW w:w="140" w:type="pct"/>
            <w:shd w:val="clear" w:color="auto" w:fill="auto"/>
            <w:vAlign w:val="center"/>
          </w:tcPr>
          <w:p w14:paraId="3ADC3C58"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2E03D450"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63F4BA75"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3EA1F997"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66F0DC96"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414B5250" w14:textId="77777777" w:rsidR="004A0123" w:rsidRPr="00640447" w:rsidRDefault="004A0123" w:rsidP="008A5C11">
            <w:pPr>
              <w:jc w:val="center"/>
              <w:rPr>
                <w:sz w:val="13"/>
                <w:szCs w:val="13"/>
              </w:rPr>
            </w:pPr>
            <w:r w:rsidRPr="00640447">
              <w:rPr>
                <w:sz w:val="13"/>
                <w:szCs w:val="13"/>
              </w:rPr>
              <w:t>0</w:t>
            </w:r>
          </w:p>
        </w:tc>
        <w:tc>
          <w:tcPr>
            <w:tcW w:w="144" w:type="pct"/>
            <w:vAlign w:val="center"/>
          </w:tcPr>
          <w:p w14:paraId="01A1AF84" w14:textId="77777777" w:rsidR="004A0123" w:rsidRPr="00640447" w:rsidRDefault="004A0123" w:rsidP="008A5C11">
            <w:pPr>
              <w:jc w:val="center"/>
              <w:rPr>
                <w:sz w:val="13"/>
                <w:szCs w:val="13"/>
              </w:rPr>
            </w:pPr>
            <w:r w:rsidRPr="00640447">
              <w:rPr>
                <w:sz w:val="13"/>
                <w:szCs w:val="13"/>
              </w:rPr>
              <w:t>0</w:t>
            </w:r>
          </w:p>
        </w:tc>
        <w:tc>
          <w:tcPr>
            <w:tcW w:w="536" w:type="pct"/>
            <w:shd w:val="clear" w:color="auto" w:fill="auto"/>
            <w:tcMar>
              <w:left w:w="28" w:type="dxa"/>
              <w:right w:w="28" w:type="dxa"/>
            </w:tcMar>
            <w:vAlign w:val="center"/>
          </w:tcPr>
          <w:p w14:paraId="32D7165F" w14:textId="77777777" w:rsidR="004A0123" w:rsidRPr="00640447" w:rsidRDefault="004A0123" w:rsidP="008A5C11">
            <w:pPr>
              <w:jc w:val="center"/>
              <w:rPr>
                <w:sz w:val="13"/>
                <w:szCs w:val="13"/>
              </w:rPr>
            </w:pPr>
            <w:r w:rsidRPr="00640447">
              <w:rPr>
                <w:sz w:val="13"/>
                <w:szCs w:val="13"/>
              </w:rPr>
              <w:t>0</w:t>
            </w:r>
          </w:p>
        </w:tc>
        <w:tc>
          <w:tcPr>
            <w:tcW w:w="166" w:type="pct"/>
            <w:shd w:val="clear" w:color="auto" w:fill="auto"/>
            <w:tcMar>
              <w:left w:w="28" w:type="dxa"/>
              <w:right w:w="28" w:type="dxa"/>
            </w:tcMar>
            <w:vAlign w:val="center"/>
          </w:tcPr>
          <w:p w14:paraId="008215EE" w14:textId="77777777" w:rsidR="004A0123" w:rsidRPr="00640447" w:rsidRDefault="004A0123" w:rsidP="008A5C11">
            <w:pPr>
              <w:jc w:val="center"/>
              <w:rPr>
                <w:sz w:val="13"/>
                <w:szCs w:val="13"/>
              </w:rPr>
            </w:pPr>
            <w:r w:rsidRPr="00640447">
              <w:rPr>
                <w:sz w:val="13"/>
                <w:szCs w:val="13"/>
              </w:rPr>
              <w:t>0</w:t>
            </w:r>
          </w:p>
        </w:tc>
        <w:tc>
          <w:tcPr>
            <w:tcW w:w="169" w:type="pct"/>
            <w:shd w:val="clear" w:color="auto" w:fill="auto"/>
            <w:tcMar>
              <w:left w:w="28" w:type="dxa"/>
              <w:right w:w="28" w:type="dxa"/>
            </w:tcMar>
            <w:vAlign w:val="center"/>
          </w:tcPr>
          <w:p w14:paraId="198FFB28" w14:textId="77777777" w:rsidR="004A0123" w:rsidRPr="00640447" w:rsidRDefault="004A0123" w:rsidP="008A5C11">
            <w:pPr>
              <w:jc w:val="center"/>
              <w:rPr>
                <w:sz w:val="13"/>
                <w:szCs w:val="13"/>
              </w:rPr>
            </w:pPr>
            <w:r w:rsidRPr="00640447">
              <w:rPr>
                <w:sz w:val="13"/>
                <w:szCs w:val="13"/>
              </w:rPr>
              <w:t>0</w:t>
            </w:r>
          </w:p>
        </w:tc>
        <w:tc>
          <w:tcPr>
            <w:tcW w:w="140" w:type="pct"/>
            <w:shd w:val="clear" w:color="auto" w:fill="auto"/>
            <w:tcMar>
              <w:left w:w="28" w:type="dxa"/>
              <w:right w:w="28" w:type="dxa"/>
            </w:tcMar>
            <w:vAlign w:val="center"/>
          </w:tcPr>
          <w:p w14:paraId="43A2E564" w14:textId="77777777" w:rsidR="004A0123" w:rsidRPr="00640447" w:rsidRDefault="004A0123" w:rsidP="008A5C11">
            <w:pPr>
              <w:jc w:val="center"/>
              <w:rPr>
                <w:sz w:val="13"/>
                <w:szCs w:val="13"/>
              </w:rPr>
            </w:pPr>
            <w:r w:rsidRPr="00640447">
              <w:rPr>
                <w:sz w:val="13"/>
                <w:szCs w:val="13"/>
              </w:rPr>
              <w:t>0</w:t>
            </w:r>
          </w:p>
        </w:tc>
        <w:tc>
          <w:tcPr>
            <w:tcW w:w="162" w:type="pct"/>
            <w:shd w:val="clear" w:color="auto" w:fill="auto"/>
            <w:vAlign w:val="center"/>
          </w:tcPr>
          <w:p w14:paraId="5B470F55"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50242032"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14F402B9"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70191D8A"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0E8F2907"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2525A89E" w14:textId="77777777" w:rsidR="004A0123" w:rsidRPr="00640447" w:rsidRDefault="004A0123" w:rsidP="008A5C11">
            <w:pPr>
              <w:jc w:val="center"/>
              <w:rPr>
                <w:sz w:val="13"/>
                <w:szCs w:val="13"/>
              </w:rPr>
            </w:pPr>
            <w:r w:rsidRPr="00640447">
              <w:rPr>
                <w:sz w:val="13"/>
                <w:szCs w:val="13"/>
              </w:rPr>
              <w:t>0</w:t>
            </w:r>
          </w:p>
        </w:tc>
        <w:tc>
          <w:tcPr>
            <w:tcW w:w="143" w:type="pct"/>
            <w:vAlign w:val="center"/>
          </w:tcPr>
          <w:p w14:paraId="30C27C48" w14:textId="77777777" w:rsidR="004A0123" w:rsidRPr="00640447" w:rsidRDefault="004A0123" w:rsidP="008A5C11">
            <w:pPr>
              <w:jc w:val="center"/>
              <w:rPr>
                <w:sz w:val="13"/>
                <w:szCs w:val="13"/>
              </w:rPr>
            </w:pPr>
            <w:r w:rsidRPr="00640447">
              <w:rPr>
                <w:sz w:val="13"/>
                <w:szCs w:val="13"/>
              </w:rPr>
              <w:t>0</w:t>
            </w:r>
          </w:p>
        </w:tc>
      </w:tr>
      <w:tr w:rsidR="004A0123" w:rsidRPr="00640447" w14:paraId="48A7022B" w14:textId="77777777" w:rsidTr="008A5C11">
        <w:trPr>
          <w:trHeight w:val="23"/>
          <w:jc w:val="center"/>
        </w:trPr>
        <w:tc>
          <w:tcPr>
            <w:tcW w:w="201" w:type="pct"/>
            <w:tcMar>
              <w:top w:w="62" w:type="dxa"/>
              <w:left w:w="28" w:type="dxa"/>
              <w:bottom w:w="102" w:type="dxa"/>
              <w:right w:w="28" w:type="dxa"/>
            </w:tcMar>
            <w:vAlign w:val="center"/>
          </w:tcPr>
          <w:p w14:paraId="5643666E" w14:textId="77777777" w:rsidR="004A0123" w:rsidRPr="00640447" w:rsidRDefault="004A0123" w:rsidP="008A5C11">
            <w:pPr>
              <w:jc w:val="center"/>
              <w:rPr>
                <w:sz w:val="13"/>
                <w:szCs w:val="13"/>
              </w:rPr>
            </w:pPr>
            <w:r w:rsidRPr="00640447">
              <w:rPr>
                <w:sz w:val="13"/>
                <w:szCs w:val="13"/>
              </w:rPr>
              <w:t>11</w:t>
            </w:r>
          </w:p>
        </w:tc>
        <w:tc>
          <w:tcPr>
            <w:tcW w:w="826" w:type="pct"/>
            <w:tcMar>
              <w:top w:w="62" w:type="dxa"/>
              <w:left w:w="28" w:type="dxa"/>
              <w:bottom w:w="102" w:type="dxa"/>
              <w:right w:w="28" w:type="dxa"/>
            </w:tcMar>
            <w:vAlign w:val="center"/>
          </w:tcPr>
          <w:p w14:paraId="72BD6C7D" w14:textId="77777777" w:rsidR="004A0123" w:rsidRPr="00640447" w:rsidRDefault="004A0123" w:rsidP="008A5C11">
            <w:pPr>
              <w:jc w:val="center"/>
              <w:rPr>
                <w:sz w:val="13"/>
                <w:szCs w:val="13"/>
              </w:rPr>
            </w:pPr>
            <w:r w:rsidRPr="00640447">
              <w:rPr>
                <w:sz w:val="13"/>
                <w:szCs w:val="13"/>
              </w:rPr>
              <w:t>Котельная № 26</w:t>
            </w:r>
          </w:p>
        </w:tc>
        <w:tc>
          <w:tcPr>
            <w:tcW w:w="528" w:type="pct"/>
            <w:shd w:val="clear" w:color="auto" w:fill="auto"/>
            <w:tcMar>
              <w:left w:w="28" w:type="dxa"/>
              <w:right w:w="28" w:type="dxa"/>
            </w:tcMar>
            <w:vAlign w:val="center"/>
          </w:tcPr>
          <w:p w14:paraId="67F7F224" w14:textId="77777777" w:rsidR="004A0123" w:rsidRPr="00640447" w:rsidRDefault="004A0123" w:rsidP="008A5C11">
            <w:pPr>
              <w:jc w:val="center"/>
              <w:rPr>
                <w:sz w:val="13"/>
                <w:szCs w:val="13"/>
              </w:rPr>
            </w:pPr>
            <w:r w:rsidRPr="00640447">
              <w:rPr>
                <w:sz w:val="13"/>
                <w:szCs w:val="13"/>
              </w:rPr>
              <w:t>0</w:t>
            </w:r>
          </w:p>
        </w:tc>
        <w:tc>
          <w:tcPr>
            <w:tcW w:w="140" w:type="pct"/>
            <w:shd w:val="clear" w:color="auto" w:fill="auto"/>
            <w:tcMar>
              <w:left w:w="28" w:type="dxa"/>
              <w:right w:w="28" w:type="dxa"/>
            </w:tcMar>
            <w:vAlign w:val="center"/>
          </w:tcPr>
          <w:p w14:paraId="2E113D4D" w14:textId="77777777" w:rsidR="004A0123" w:rsidRPr="00640447" w:rsidRDefault="004A0123" w:rsidP="008A5C11">
            <w:pPr>
              <w:jc w:val="center"/>
              <w:rPr>
                <w:sz w:val="13"/>
                <w:szCs w:val="13"/>
              </w:rPr>
            </w:pPr>
            <w:r w:rsidRPr="00640447">
              <w:rPr>
                <w:sz w:val="13"/>
                <w:szCs w:val="13"/>
              </w:rPr>
              <w:t>0</w:t>
            </w:r>
          </w:p>
        </w:tc>
        <w:tc>
          <w:tcPr>
            <w:tcW w:w="165" w:type="pct"/>
            <w:shd w:val="clear" w:color="auto" w:fill="auto"/>
            <w:tcMar>
              <w:left w:w="28" w:type="dxa"/>
              <w:right w:w="28" w:type="dxa"/>
            </w:tcMar>
            <w:vAlign w:val="center"/>
          </w:tcPr>
          <w:p w14:paraId="66696DDD" w14:textId="77777777" w:rsidR="004A0123" w:rsidRPr="00640447" w:rsidRDefault="004A0123" w:rsidP="008A5C11">
            <w:pPr>
              <w:jc w:val="center"/>
              <w:rPr>
                <w:sz w:val="13"/>
                <w:szCs w:val="13"/>
              </w:rPr>
            </w:pPr>
            <w:r w:rsidRPr="00640447">
              <w:rPr>
                <w:sz w:val="13"/>
                <w:szCs w:val="13"/>
              </w:rPr>
              <w:t>0</w:t>
            </w:r>
          </w:p>
        </w:tc>
        <w:tc>
          <w:tcPr>
            <w:tcW w:w="140" w:type="pct"/>
            <w:shd w:val="clear" w:color="auto" w:fill="auto"/>
            <w:tcMar>
              <w:left w:w="28" w:type="dxa"/>
              <w:right w:w="28" w:type="dxa"/>
            </w:tcMar>
            <w:vAlign w:val="center"/>
          </w:tcPr>
          <w:p w14:paraId="75A8AEA5" w14:textId="77777777" w:rsidR="004A0123" w:rsidRPr="00640447" w:rsidRDefault="004A0123" w:rsidP="008A5C11">
            <w:pPr>
              <w:jc w:val="center"/>
              <w:rPr>
                <w:sz w:val="13"/>
                <w:szCs w:val="13"/>
              </w:rPr>
            </w:pPr>
            <w:r w:rsidRPr="00640447">
              <w:rPr>
                <w:sz w:val="13"/>
                <w:szCs w:val="13"/>
              </w:rPr>
              <w:t>0</w:t>
            </w:r>
          </w:p>
        </w:tc>
        <w:tc>
          <w:tcPr>
            <w:tcW w:w="140" w:type="pct"/>
            <w:shd w:val="clear" w:color="auto" w:fill="auto"/>
            <w:vAlign w:val="center"/>
          </w:tcPr>
          <w:p w14:paraId="6340D757"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499217EB"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04AC811E"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68E22134"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4620C8C4"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72C2F139" w14:textId="77777777" w:rsidR="004A0123" w:rsidRPr="00640447" w:rsidRDefault="004A0123" w:rsidP="008A5C11">
            <w:pPr>
              <w:jc w:val="center"/>
              <w:rPr>
                <w:sz w:val="13"/>
                <w:szCs w:val="13"/>
              </w:rPr>
            </w:pPr>
            <w:r w:rsidRPr="00640447">
              <w:rPr>
                <w:sz w:val="13"/>
                <w:szCs w:val="13"/>
              </w:rPr>
              <w:t>0</w:t>
            </w:r>
          </w:p>
        </w:tc>
        <w:tc>
          <w:tcPr>
            <w:tcW w:w="144" w:type="pct"/>
            <w:vAlign w:val="center"/>
          </w:tcPr>
          <w:p w14:paraId="3BAD18BC" w14:textId="77777777" w:rsidR="004A0123" w:rsidRPr="00640447" w:rsidRDefault="004A0123" w:rsidP="008A5C11">
            <w:pPr>
              <w:jc w:val="center"/>
              <w:rPr>
                <w:sz w:val="13"/>
                <w:szCs w:val="13"/>
              </w:rPr>
            </w:pPr>
            <w:r w:rsidRPr="00640447">
              <w:rPr>
                <w:sz w:val="13"/>
                <w:szCs w:val="13"/>
              </w:rPr>
              <w:t>0</w:t>
            </w:r>
          </w:p>
        </w:tc>
        <w:tc>
          <w:tcPr>
            <w:tcW w:w="536" w:type="pct"/>
            <w:shd w:val="clear" w:color="auto" w:fill="auto"/>
            <w:tcMar>
              <w:left w:w="28" w:type="dxa"/>
              <w:right w:w="28" w:type="dxa"/>
            </w:tcMar>
            <w:vAlign w:val="center"/>
          </w:tcPr>
          <w:p w14:paraId="7A9AB60A" w14:textId="77777777" w:rsidR="004A0123" w:rsidRPr="00640447" w:rsidRDefault="004A0123" w:rsidP="008A5C11">
            <w:pPr>
              <w:jc w:val="center"/>
              <w:rPr>
                <w:sz w:val="13"/>
                <w:szCs w:val="13"/>
              </w:rPr>
            </w:pPr>
            <w:r w:rsidRPr="00640447">
              <w:rPr>
                <w:sz w:val="13"/>
                <w:szCs w:val="13"/>
              </w:rPr>
              <w:t>0</w:t>
            </w:r>
          </w:p>
        </w:tc>
        <w:tc>
          <w:tcPr>
            <w:tcW w:w="166" w:type="pct"/>
            <w:shd w:val="clear" w:color="auto" w:fill="auto"/>
            <w:tcMar>
              <w:left w:w="28" w:type="dxa"/>
              <w:right w:w="28" w:type="dxa"/>
            </w:tcMar>
            <w:vAlign w:val="center"/>
          </w:tcPr>
          <w:p w14:paraId="1C46A45B" w14:textId="77777777" w:rsidR="004A0123" w:rsidRPr="00640447" w:rsidRDefault="004A0123" w:rsidP="008A5C11">
            <w:pPr>
              <w:jc w:val="center"/>
              <w:rPr>
                <w:sz w:val="13"/>
                <w:szCs w:val="13"/>
              </w:rPr>
            </w:pPr>
            <w:r w:rsidRPr="00640447">
              <w:rPr>
                <w:sz w:val="13"/>
                <w:szCs w:val="13"/>
              </w:rPr>
              <w:t>0</w:t>
            </w:r>
          </w:p>
        </w:tc>
        <w:tc>
          <w:tcPr>
            <w:tcW w:w="169" w:type="pct"/>
            <w:shd w:val="clear" w:color="auto" w:fill="auto"/>
            <w:tcMar>
              <w:left w:w="28" w:type="dxa"/>
              <w:right w:w="28" w:type="dxa"/>
            </w:tcMar>
            <w:vAlign w:val="center"/>
          </w:tcPr>
          <w:p w14:paraId="5D1C0150" w14:textId="77777777" w:rsidR="004A0123" w:rsidRPr="00640447" w:rsidRDefault="004A0123" w:rsidP="008A5C11">
            <w:pPr>
              <w:jc w:val="center"/>
              <w:rPr>
                <w:sz w:val="13"/>
                <w:szCs w:val="13"/>
              </w:rPr>
            </w:pPr>
            <w:r w:rsidRPr="00640447">
              <w:rPr>
                <w:sz w:val="13"/>
                <w:szCs w:val="13"/>
              </w:rPr>
              <w:t>0</w:t>
            </w:r>
          </w:p>
        </w:tc>
        <w:tc>
          <w:tcPr>
            <w:tcW w:w="140" w:type="pct"/>
            <w:shd w:val="clear" w:color="auto" w:fill="auto"/>
            <w:tcMar>
              <w:left w:w="28" w:type="dxa"/>
              <w:right w:w="28" w:type="dxa"/>
            </w:tcMar>
            <w:vAlign w:val="center"/>
          </w:tcPr>
          <w:p w14:paraId="166B3421" w14:textId="77777777" w:rsidR="004A0123" w:rsidRPr="00640447" w:rsidRDefault="004A0123" w:rsidP="008A5C11">
            <w:pPr>
              <w:jc w:val="center"/>
              <w:rPr>
                <w:sz w:val="13"/>
                <w:szCs w:val="13"/>
              </w:rPr>
            </w:pPr>
            <w:r w:rsidRPr="00640447">
              <w:rPr>
                <w:sz w:val="13"/>
                <w:szCs w:val="13"/>
              </w:rPr>
              <w:t>0</w:t>
            </w:r>
          </w:p>
        </w:tc>
        <w:tc>
          <w:tcPr>
            <w:tcW w:w="162" w:type="pct"/>
            <w:shd w:val="clear" w:color="auto" w:fill="auto"/>
            <w:vAlign w:val="center"/>
          </w:tcPr>
          <w:p w14:paraId="29BB9634"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1C7E15EB"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2C1BA7B9"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3BFE2565"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1FED6E95"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72B80A44" w14:textId="77777777" w:rsidR="004A0123" w:rsidRPr="00640447" w:rsidRDefault="004A0123" w:rsidP="008A5C11">
            <w:pPr>
              <w:jc w:val="center"/>
              <w:rPr>
                <w:sz w:val="13"/>
                <w:szCs w:val="13"/>
              </w:rPr>
            </w:pPr>
            <w:r w:rsidRPr="00640447">
              <w:rPr>
                <w:sz w:val="13"/>
                <w:szCs w:val="13"/>
              </w:rPr>
              <w:t>0</w:t>
            </w:r>
          </w:p>
        </w:tc>
        <w:tc>
          <w:tcPr>
            <w:tcW w:w="143" w:type="pct"/>
            <w:vAlign w:val="center"/>
          </w:tcPr>
          <w:p w14:paraId="196EBF21" w14:textId="77777777" w:rsidR="004A0123" w:rsidRPr="00640447" w:rsidRDefault="004A0123" w:rsidP="008A5C11">
            <w:pPr>
              <w:jc w:val="center"/>
              <w:rPr>
                <w:sz w:val="13"/>
                <w:szCs w:val="13"/>
              </w:rPr>
            </w:pPr>
            <w:r w:rsidRPr="00640447">
              <w:rPr>
                <w:sz w:val="13"/>
                <w:szCs w:val="13"/>
              </w:rPr>
              <w:t>0</w:t>
            </w:r>
          </w:p>
        </w:tc>
      </w:tr>
      <w:tr w:rsidR="004A0123" w:rsidRPr="00640447" w14:paraId="450EDF39" w14:textId="77777777" w:rsidTr="008A5C11">
        <w:trPr>
          <w:trHeight w:val="23"/>
          <w:jc w:val="center"/>
        </w:trPr>
        <w:tc>
          <w:tcPr>
            <w:tcW w:w="201" w:type="pct"/>
            <w:tcMar>
              <w:top w:w="62" w:type="dxa"/>
              <w:left w:w="28" w:type="dxa"/>
              <w:bottom w:w="102" w:type="dxa"/>
              <w:right w:w="28" w:type="dxa"/>
            </w:tcMar>
            <w:vAlign w:val="center"/>
          </w:tcPr>
          <w:p w14:paraId="4A0B19C4" w14:textId="77777777" w:rsidR="004A0123" w:rsidRPr="00640447" w:rsidRDefault="004A0123" w:rsidP="008A5C11">
            <w:pPr>
              <w:jc w:val="center"/>
              <w:rPr>
                <w:sz w:val="13"/>
                <w:szCs w:val="13"/>
              </w:rPr>
            </w:pPr>
            <w:r w:rsidRPr="00640447">
              <w:rPr>
                <w:sz w:val="13"/>
                <w:szCs w:val="13"/>
              </w:rPr>
              <w:t>12</w:t>
            </w:r>
          </w:p>
        </w:tc>
        <w:tc>
          <w:tcPr>
            <w:tcW w:w="826" w:type="pct"/>
            <w:tcMar>
              <w:top w:w="62" w:type="dxa"/>
              <w:left w:w="28" w:type="dxa"/>
              <w:bottom w:w="102" w:type="dxa"/>
              <w:right w:w="28" w:type="dxa"/>
            </w:tcMar>
            <w:vAlign w:val="center"/>
          </w:tcPr>
          <w:p w14:paraId="26E84E7E" w14:textId="77777777" w:rsidR="004A0123" w:rsidRPr="00640447" w:rsidRDefault="004A0123" w:rsidP="008A5C11">
            <w:pPr>
              <w:jc w:val="center"/>
              <w:rPr>
                <w:sz w:val="13"/>
                <w:szCs w:val="13"/>
              </w:rPr>
            </w:pPr>
            <w:r w:rsidRPr="00640447">
              <w:rPr>
                <w:sz w:val="13"/>
                <w:szCs w:val="13"/>
              </w:rPr>
              <w:t>Котельная № 40</w:t>
            </w:r>
          </w:p>
        </w:tc>
        <w:tc>
          <w:tcPr>
            <w:tcW w:w="528" w:type="pct"/>
            <w:shd w:val="clear" w:color="auto" w:fill="auto"/>
            <w:tcMar>
              <w:left w:w="28" w:type="dxa"/>
              <w:right w:w="28" w:type="dxa"/>
            </w:tcMar>
            <w:vAlign w:val="center"/>
          </w:tcPr>
          <w:p w14:paraId="39180CE5" w14:textId="77777777" w:rsidR="004A0123" w:rsidRPr="00640447" w:rsidRDefault="004A0123" w:rsidP="008A5C11">
            <w:pPr>
              <w:jc w:val="center"/>
              <w:rPr>
                <w:sz w:val="13"/>
                <w:szCs w:val="13"/>
              </w:rPr>
            </w:pPr>
            <w:r w:rsidRPr="00640447">
              <w:rPr>
                <w:sz w:val="13"/>
                <w:szCs w:val="13"/>
              </w:rPr>
              <w:t>0</w:t>
            </w:r>
          </w:p>
        </w:tc>
        <w:tc>
          <w:tcPr>
            <w:tcW w:w="140" w:type="pct"/>
            <w:shd w:val="clear" w:color="auto" w:fill="auto"/>
            <w:tcMar>
              <w:left w:w="28" w:type="dxa"/>
              <w:right w:w="28" w:type="dxa"/>
            </w:tcMar>
            <w:vAlign w:val="center"/>
          </w:tcPr>
          <w:p w14:paraId="6AB36DDA" w14:textId="77777777" w:rsidR="004A0123" w:rsidRPr="00640447" w:rsidRDefault="004A0123" w:rsidP="008A5C11">
            <w:pPr>
              <w:jc w:val="center"/>
              <w:rPr>
                <w:sz w:val="13"/>
                <w:szCs w:val="13"/>
              </w:rPr>
            </w:pPr>
            <w:r w:rsidRPr="00640447">
              <w:rPr>
                <w:sz w:val="13"/>
                <w:szCs w:val="13"/>
              </w:rPr>
              <w:t>0</w:t>
            </w:r>
          </w:p>
        </w:tc>
        <w:tc>
          <w:tcPr>
            <w:tcW w:w="165" w:type="pct"/>
            <w:shd w:val="clear" w:color="auto" w:fill="auto"/>
            <w:tcMar>
              <w:left w:w="28" w:type="dxa"/>
              <w:right w:w="28" w:type="dxa"/>
            </w:tcMar>
            <w:vAlign w:val="center"/>
          </w:tcPr>
          <w:p w14:paraId="008A3B09" w14:textId="77777777" w:rsidR="004A0123" w:rsidRPr="00640447" w:rsidRDefault="004A0123" w:rsidP="008A5C11">
            <w:pPr>
              <w:jc w:val="center"/>
              <w:rPr>
                <w:sz w:val="13"/>
                <w:szCs w:val="13"/>
              </w:rPr>
            </w:pPr>
            <w:r w:rsidRPr="00640447">
              <w:rPr>
                <w:sz w:val="13"/>
                <w:szCs w:val="13"/>
              </w:rPr>
              <w:t>0</w:t>
            </w:r>
          </w:p>
        </w:tc>
        <w:tc>
          <w:tcPr>
            <w:tcW w:w="140" w:type="pct"/>
            <w:shd w:val="clear" w:color="auto" w:fill="auto"/>
            <w:tcMar>
              <w:left w:w="28" w:type="dxa"/>
              <w:right w:w="28" w:type="dxa"/>
            </w:tcMar>
            <w:vAlign w:val="center"/>
          </w:tcPr>
          <w:p w14:paraId="52077EE4" w14:textId="77777777" w:rsidR="004A0123" w:rsidRPr="00640447" w:rsidRDefault="004A0123" w:rsidP="008A5C11">
            <w:pPr>
              <w:jc w:val="center"/>
              <w:rPr>
                <w:sz w:val="13"/>
                <w:szCs w:val="13"/>
              </w:rPr>
            </w:pPr>
            <w:r w:rsidRPr="00640447">
              <w:rPr>
                <w:sz w:val="13"/>
                <w:szCs w:val="13"/>
              </w:rPr>
              <w:t>0</w:t>
            </w:r>
          </w:p>
        </w:tc>
        <w:tc>
          <w:tcPr>
            <w:tcW w:w="140" w:type="pct"/>
            <w:shd w:val="clear" w:color="auto" w:fill="auto"/>
            <w:vAlign w:val="center"/>
          </w:tcPr>
          <w:p w14:paraId="049BDAA2"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6A1F23B5"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47A9D30F"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5912CD66"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415EB1EC"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68DC8BD7" w14:textId="77777777" w:rsidR="004A0123" w:rsidRPr="00640447" w:rsidRDefault="004A0123" w:rsidP="008A5C11">
            <w:pPr>
              <w:jc w:val="center"/>
              <w:rPr>
                <w:sz w:val="13"/>
                <w:szCs w:val="13"/>
              </w:rPr>
            </w:pPr>
            <w:r w:rsidRPr="00640447">
              <w:rPr>
                <w:sz w:val="13"/>
                <w:szCs w:val="13"/>
              </w:rPr>
              <w:t>0</w:t>
            </w:r>
          </w:p>
        </w:tc>
        <w:tc>
          <w:tcPr>
            <w:tcW w:w="144" w:type="pct"/>
            <w:vAlign w:val="center"/>
          </w:tcPr>
          <w:p w14:paraId="6FEDA087" w14:textId="77777777" w:rsidR="004A0123" w:rsidRPr="00640447" w:rsidRDefault="004A0123" w:rsidP="008A5C11">
            <w:pPr>
              <w:jc w:val="center"/>
              <w:rPr>
                <w:sz w:val="13"/>
                <w:szCs w:val="13"/>
              </w:rPr>
            </w:pPr>
            <w:r w:rsidRPr="00640447">
              <w:rPr>
                <w:sz w:val="13"/>
                <w:szCs w:val="13"/>
              </w:rPr>
              <w:t>0</w:t>
            </w:r>
          </w:p>
        </w:tc>
        <w:tc>
          <w:tcPr>
            <w:tcW w:w="536" w:type="pct"/>
            <w:shd w:val="clear" w:color="auto" w:fill="auto"/>
            <w:tcMar>
              <w:left w:w="28" w:type="dxa"/>
              <w:right w:w="28" w:type="dxa"/>
            </w:tcMar>
            <w:vAlign w:val="center"/>
          </w:tcPr>
          <w:p w14:paraId="0A344AB1" w14:textId="77777777" w:rsidR="004A0123" w:rsidRPr="00640447" w:rsidRDefault="004A0123" w:rsidP="008A5C11">
            <w:pPr>
              <w:jc w:val="center"/>
              <w:rPr>
                <w:sz w:val="13"/>
                <w:szCs w:val="13"/>
              </w:rPr>
            </w:pPr>
            <w:r w:rsidRPr="00640447">
              <w:rPr>
                <w:sz w:val="13"/>
                <w:szCs w:val="13"/>
              </w:rPr>
              <w:t>0</w:t>
            </w:r>
          </w:p>
        </w:tc>
        <w:tc>
          <w:tcPr>
            <w:tcW w:w="166" w:type="pct"/>
            <w:shd w:val="clear" w:color="auto" w:fill="auto"/>
            <w:tcMar>
              <w:left w:w="28" w:type="dxa"/>
              <w:right w:w="28" w:type="dxa"/>
            </w:tcMar>
            <w:vAlign w:val="center"/>
          </w:tcPr>
          <w:p w14:paraId="13220E4B" w14:textId="77777777" w:rsidR="004A0123" w:rsidRPr="00640447" w:rsidRDefault="004A0123" w:rsidP="008A5C11">
            <w:pPr>
              <w:jc w:val="center"/>
              <w:rPr>
                <w:sz w:val="13"/>
                <w:szCs w:val="13"/>
              </w:rPr>
            </w:pPr>
            <w:r w:rsidRPr="00640447">
              <w:rPr>
                <w:sz w:val="13"/>
                <w:szCs w:val="13"/>
              </w:rPr>
              <w:t>0</w:t>
            </w:r>
          </w:p>
        </w:tc>
        <w:tc>
          <w:tcPr>
            <w:tcW w:w="169" w:type="pct"/>
            <w:shd w:val="clear" w:color="auto" w:fill="auto"/>
            <w:tcMar>
              <w:left w:w="28" w:type="dxa"/>
              <w:right w:w="28" w:type="dxa"/>
            </w:tcMar>
            <w:vAlign w:val="center"/>
          </w:tcPr>
          <w:p w14:paraId="1C8B0A3F" w14:textId="77777777" w:rsidR="004A0123" w:rsidRPr="00640447" w:rsidRDefault="004A0123" w:rsidP="008A5C11">
            <w:pPr>
              <w:jc w:val="center"/>
              <w:rPr>
                <w:sz w:val="13"/>
                <w:szCs w:val="13"/>
              </w:rPr>
            </w:pPr>
            <w:r w:rsidRPr="00640447">
              <w:rPr>
                <w:sz w:val="13"/>
                <w:szCs w:val="13"/>
              </w:rPr>
              <w:t>0</w:t>
            </w:r>
          </w:p>
        </w:tc>
        <w:tc>
          <w:tcPr>
            <w:tcW w:w="140" w:type="pct"/>
            <w:shd w:val="clear" w:color="auto" w:fill="auto"/>
            <w:tcMar>
              <w:left w:w="28" w:type="dxa"/>
              <w:right w:w="28" w:type="dxa"/>
            </w:tcMar>
            <w:vAlign w:val="center"/>
          </w:tcPr>
          <w:p w14:paraId="1D14D2CE" w14:textId="77777777" w:rsidR="004A0123" w:rsidRPr="00640447" w:rsidRDefault="004A0123" w:rsidP="008A5C11">
            <w:pPr>
              <w:jc w:val="center"/>
              <w:rPr>
                <w:sz w:val="13"/>
                <w:szCs w:val="13"/>
              </w:rPr>
            </w:pPr>
            <w:r w:rsidRPr="00640447">
              <w:rPr>
                <w:sz w:val="13"/>
                <w:szCs w:val="13"/>
              </w:rPr>
              <w:t>0</w:t>
            </w:r>
          </w:p>
        </w:tc>
        <w:tc>
          <w:tcPr>
            <w:tcW w:w="162" w:type="pct"/>
            <w:shd w:val="clear" w:color="auto" w:fill="auto"/>
            <w:vAlign w:val="center"/>
          </w:tcPr>
          <w:p w14:paraId="42E7D9FD"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53A29EBE"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20B0C514"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388552E1"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6DC94792"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5DCB90F7" w14:textId="77777777" w:rsidR="004A0123" w:rsidRPr="00640447" w:rsidRDefault="004A0123" w:rsidP="008A5C11">
            <w:pPr>
              <w:jc w:val="center"/>
              <w:rPr>
                <w:sz w:val="13"/>
                <w:szCs w:val="13"/>
              </w:rPr>
            </w:pPr>
            <w:r w:rsidRPr="00640447">
              <w:rPr>
                <w:sz w:val="13"/>
                <w:szCs w:val="13"/>
              </w:rPr>
              <w:t>0</w:t>
            </w:r>
          </w:p>
        </w:tc>
        <w:tc>
          <w:tcPr>
            <w:tcW w:w="143" w:type="pct"/>
            <w:vAlign w:val="center"/>
          </w:tcPr>
          <w:p w14:paraId="65854758" w14:textId="77777777" w:rsidR="004A0123" w:rsidRPr="00640447" w:rsidRDefault="004A0123" w:rsidP="008A5C11">
            <w:pPr>
              <w:jc w:val="center"/>
              <w:rPr>
                <w:sz w:val="13"/>
                <w:szCs w:val="13"/>
              </w:rPr>
            </w:pPr>
            <w:r w:rsidRPr="00640447">
              <w:rPr>
                <w:sz w:val="13"/>
                <w:szCs w:val="13"/>
              </w:rPr>
              <w:t>0</w:t>
            </w:r>
          </w:p>
        </w:tc>
      </w:tr>
      <w:tr w:rsidR="004A0123" w:rsidRPr="00640447" w14:paraId="3CD434E2" w14:textId="77777777" w:rsidTr="008A5C11">
        <w:trPr>
          <w:trHeight w:val="23"/>
          <w:jc w:val="center"/>
        </w:trPr>
        <w:tc>
          <w:tcPr>
            <w:tcW w:w="201" w:type="pct"/>
            <w:tcMar>
              <w:top w:w="62" w:type="dxa"/>
              <w:left w:w="28" w:type="dxa"/>
              <w:bottom w:w="102" w:type="dxa"/>
              <w:right w:w="28" w:type="dxa"/>
            </w:tcMar>
            <w:vAlign w:val="center"/>
          </w:tcPr>
          <w:p w14:paraId="669668E5" w14:textId="77777777" w:rsidR="004A0123" w:rsidRPr="00640447" w:rsidRDefault="004A0123" w:rsidP="008A5C11">
            <w:pPr>
              <w:jc w:val="center"/>
              <w:rPr>
                <w:sz w:val="13"/>
                <w:szCs w:val="13"/>
              </w:rPr>
            </w:pPr>
            <w:r w:rsidRPr="00640447">
              <w:rPr>
                <w:sz w:val="13"/>
                <w:szCs w:val="13"/>
              </w:rPr>
              <w:t>13</w:t>
            </w:r>
          </w:p>
        </w:tc>
        <w:tc>
          <w:tcPr>
            <w:tcW w:w="826" w:type="pct"/>
            <w:tcMar>
              <w:top w:w="62" w:type="dxa"/>
              <w:left w:w="28" w:type="dxa"/>
              <w:bottom w:w="102" w:type="dxa"/>
              <w:right w:w="28" w:type="dxa"/>
            </w:tcMar>
            <w:vAlign w:val="center"/>
          </w:tcPr>
          <w:p w14:paraId="3342F534" w14:textId="77777777" w:rsidR="004A0123" w:rsidRPr="00640447" w:rsidRDefault="004A0123" w:rsidP="008A5C11">
            <w:pPr>
              <w:jc w:val="center"/>
              <w:rPr>
                <w:sz w:val="13"/>
                <w:szCs w:val="13"/>
              </w:rPr>
            </w:pPr>
            <w:r w:rsidRPr="00640447">
              <w:rPr>
                <w:sz w:val="13"/>
                <w:szCs w:val="13"/>
              </w:rPr>
              <w:t>Котельная № 44</w:t>
            </w:r>
          </w:p>
        </w:tc>
        <w:tc>
          <w:tcPr>
            <w:tcW w:w="528" w:type="pct"/>
            <w:shd w:val="clear" w:color="auto" w:fill="auto"/>
            <w:tcMar>
              <w:left w:w="28" w:type="dxa"/>
              <w:right w:w="28" w:type="dxa"/>
            </w:tcMar>
            <w:vAlign w:val="center"/>
          </w:tcPr>
          <w:p w14:paraId="2AC5A7D4" w14:textId="77777777" w:rsidR="004A0123" w:rsidRPr="00640447" w:rsidRDefault="004A0123" w:rsidP="008A5C11">
            <w:pPr>
              <w:jc w:val="center"/>
              <w:rPr>
                <w:sz w:val="13"/>
                <w:szCs w:val="13"/>
              </w:rPr>
            </w:pPr>
            <w:r w:rsidRPr="00640447">
              <w:rPr>
                <w:sz w:val="13"/>
                <w:szCs w:val="13"/>
              </w:rPr>
              <w:t>0</w:t>
            </w:r>
          </w:p>
        </w:tc>
        <w:tc>
          <w:tcPr>
            <w:tcW w:w="140" w:type="pct"/>
            <w:shd w:val="clear" w:color="auto" w:fill="auto"/>
            <w:tcMar>
              <w:left w:w="28" w:type="dxa"/>
              <w:right w:w="28" w:type="dxa"/>
            </w:tcMar>
            <w:vAlign w:val="center"/>
          </w:tcPr>
          <w:p w14:paraId="7BC444FB" w14:textId="77777777" w:rsidR="004A0123" w:rsidRPr="00640447" w:rsidRDefault="004A0123" w:rsidP="008A5C11">
            <w:pPr>
              <w:jc w:val="center"/>
              <w:rPr>
                <w:sz w:val="13"/>
                <w:szCs w:val="13"/>
              </w:rPr>
            </w:pPr>
            <w:r w:rsidRPr="00640447">
              <w:rPr>
                <w:sz w:val="13"/>
                <w:szCs w:val="13"/>
              </w:rPr>
              <w:t>0</w:t>
            </w:r>
          </w:p>
        </w:tc>
        <w:tc>
          <w:tcPr>
            <w:tcW w:w="165" w:type="pct"/>
            <w:shd w:val="clear" w:color="auto" w:fill="auto"/>
            <w:tcMar>
              <w:left w:w="28" w:type="dxa"/>
              <w:right w:w="28" w:type="dxa"/>
            </w:tcMar>
            <w:vAlign w:val="center"/>
          </w:tcPr>
          <w:p w14:paraId="339750A3" w14:textId="77777777" w:rsidR="004A0123" w:rsidRPr="00640447" w:rsidRDefault="004A0123" w:rsidP="008A5C11">
            <w:pPr>
              <w:jc w:val="center"/>
              <w:rPr>
                <w:sz w:val="13"/>
                <w:szCs w:val="13"/>
              </w:rPr>
            </w:pPr>
            <w:r w:rsidRPr="00640447">
              <w:rPr>
                <w:sz w:val="13"/>
                <w:szCs w:val="13"/>
              </w:rPr>
              <w:t>0</w:t>
            </w:r>
          </w:p>
        </w:tc>
        <w:tc>
          <w:tcPr>
            <w:tcW w:w="140" w:type="pct"/>
            <w:shd w:val="clear" w:color="auto" w:fill="auto"/>
            <w:tcMar>
              <w:left w:w="28" w:type="dxa"/>
              <w:right w:w="28" w:type="dxa"/>
            </w:tcMar>
            <w:vAlign w:val="center"/>
          </w:tcPr>
          <w:p w14:paraId="4EFD5601" w14:textId="77777777" w:rsidR="004A0123" w:rsidRPr="00640447" w:rsidRDefault="004A0123" w:rsidP="008A5C11">
            <w:pPr>
              <w:jc w:val="center"/>
              <w:rPr>
                <w:sz w:val="13"/>
                <w:szCs w:val="13"/>
              </w:rPr>
            </w:pPr>
            <w:r w:rsidRPr="00640447">
              <w:rPr>
                <w:sz w:val="13"/>
                <w:szCs w:val="13"/>
              </w:rPr>
              <w:t>0</w:t>
            </w:r>
          </w:p>
        </w:tc>
        <w:tc>
          <w:tcPr>
            <w:tcW w:w="140" w:type="pct"/>
            <w:shd w:val="clear" w:color="auto" w:fill="auto"/>
            <w:vAlign w:val="center"/>
          </w:tcPr>
          <w:p w14:paraId="67D94791"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159B7266"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07807C0A"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67233BF6"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4DC02C46"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606F6673" w14:textId="77777777" w:rsidR="004A0123" w:rsidRPr="00640447" w:rsidRDefault="004A0123" w:rsidP="008A5C11">
            <w:pPr>
              <w:jc w:val="center"/>
              <w:rPr>
                <w:sz w:val="13"/>
                <w:szCs w:val="13"/>
              </w:rPr>
            </w:pPr>
            <w:r w:rsidRPr="00640447">
              <w:rPr>
                <w:sz w:val="13"/>
                <w:szCs w:val="13"/>
              </w:rPr>
              <w:t>0</w:t>
            </w:r>
          </w:p>
        </w:tc>
        <w:tc>
          <w:tcPr>
            <w:tcW w:w="144" w:type="pct"/>
            <w:vAlign w:val="center"/>
          </w:tcPr>
          <w:p w14:paraId="2CBA2EA2" w14:textId="77777777" w:rsidR="004A0123" w:rsidRPr="00640447" w:rsidRDefault="004A0123" w:rsidP="008A5C11">
            <w:pPr>
              <w:jc w:val="center"/>
              <w:rPr>
                <w:sz w:val="13"/>
                <w:szCs w:val="13"/>
              </w:rPr>
            </w:pPr>
            <w:r w:rsidRPr="00640447">
              <w:rPr>
                <w:sz w:val="13"/>
                <w:szCs w:val="13"/>
              </w:rPr>
              <w:t>0</w:t>
            </w:r>
          </w:p>
        </w:tc>
        <w:tc>
          <w:tcPr>
            <w:tcW w:w="536" w:type="pct"/>
            <w:shd w:val="clear" w:color="auto" w:fill="auto"/>
            <w:tcMar>
              <w:left w:w="28" w:type="dxa"/>
              <w:right w:w="28" w:type="dxa"/>
            </w:tcMar>
            <w:vAlign w:val="center"/>
          </w:tcPr>
          <w:p w14:paraId="7D9BC30E" w14:textId="77777777" w:rsidR="004A0123" w:rsidRPr="00640447" w:rsidRDefault="004A0123" w:rsidP="008A5C11">
            <w:pPr>
              <w:jc w:val="center"/>
              <w:rPr>
                <w:sz w:val="13"/>
                <w:szCs w:val="13"/>
              </w:rPr>
            </w:pPr>
            <w:r w:rsidRPr="00640447">
              <w:rPr>
                <w:sz w:val="13"/>
                <w:szCs w:val="13"/>
              </w:rPr>
              <w:t>0</w:t>
            </w:r>
          </w:p>
        </w:tc>
        <w:tc>
          <w:tcPr>
            <w:tcW w:w="166" w:type="pct"/>
            <w:shd w:val="clear" w:color="auto" w:fill="auto"/>
            <w:tcMar>
              <w:left w:w="28" w:type="dxa"/>
              <w:right w:w="28" w:type="dxa"/>
            </w:tcMar>
            <w:vAlign w:val="center"/>
          </w:tcPr>
          <w:p w14:paraId="5B96F7DB" w14:textId="77777777" w:rsidR="004A0123" w:rsidRPr="00640447" w:rsidRDefault="004A0123" w:rsidP="008A5C11">
            <w:pPr>
              <w:jc w:val="center"/>
              <w:rPr>
                <w:sz w:val="13"/>
                <w:szCs w:val="13"/>
              </w:rPr>
            </w:pPr>
            <w:r w:rsidRPr="00640447">
              <w:rPr>
                <w:sz w:val="13"/>
                <w:szCs w:val="13"/>
              </w:rPr>
              <w:t>0</w:t>
            </w:r>
          </w:p>
        </w:tc>
        <w:tc>
          <w:tcPr>
            <w:tcW w:w="169" w:type="pct"/>
            <w:shd w:val="clear" w:color="auto" w:fill="auto"/>
            <w:tcMar>
              <w:left w:w="28" w:type="dxa"/>
              <w:right w:w="28" w:type="dxa"/>
            </w:tcMar>
            <w:vAlign w:val="center"/>
          </w:tcPr>
          <w:p w14:paraId="49AF6B7E" w14:textId="77777777" w:rsidR="004A0123" w:rsidRPr="00640447" w:rsidRDefault="004A0123" w:rsidP="008A5C11">
            <w:pPr>
              <w:jc w:val="center"/>
              <w:rPr>
                <w:sz w:val="13"/>
                <w:szCs w:val="13"/>
              </w:rPr>
            </w:pPr>
            <w:r w:rsidRPr="00640447">
              <w:rPr>
                <w:sz w:val="13"/>
                <w:szCs w:val="13"/>
              </w:rPr>
              <w:t>0</w:t>
            </w:r>
          </w:p>
        </w:tc>
        <w:tc>
          <w:tcPr>
            <w:tcW w:w="140" w:type="pct"/>
            <w:shd w:val="clear" w:color="auto" w:fill="auto"/>
            <w:tcMar>
              <w:left w:w="28" w:type="dxa"/>
              <w:right w:w="28" w:type="dxa"/>
            </w:tcMar>
            <w:vAlign w:val="center"/>
          </w:tcPr>
          <w:p w14:paraId="69BB9FEE" w14:textId="77777777" w:rsidR="004A0123" w:rsidRPr="00640447" w:rsidRDefault="004A0123" w:rsidP="008A5C11">
            <w:pPr>
              <w:jc w:val="center"/>
              <w:rPr>
                <w:sz w:val="13"/>
                <w:szCs w:val="13"/>
              </w:rPr>
            </w:pPr>
            <w:r w:rsidRPr="00640447">
              <w:rPr>
                <w:sz w:val="13"/>
                <w:szCs w:val="13"/>
              </w:rPr>
              <w:t>0</w:t>
            </w:r>
          </w:p>
        </w:tc>
        <w:tc>
          <w:tcPr>
            <w:tcW w:w="162" w:type="pct"/>
            <w:shd w:val="clear" w:color="auto" w:fill="auto"/>
            <w:vAlign w:val="center"/>
          </w:tcPr>
          <w:p w14:paraId="5DF36186"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5CF13961"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2D332710"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1E6E6F13"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0DA7F2B7"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7F16FC8A" w14:textId="77777777" w:rsidR="004A0123" w:rsidRPr="00640447" w:rsidRDefault="004A0123" w:rsidP="008A5C11">
            <w:pPr>
              <w:jc w:val="center"/>
              <w:rPr>
                <w:sz w:val="13"/>
                <w:szCs w:val="13"/>
              </w:rPr>
            </w:pPr>
            <w:r w:rsidRPr="00640447">
              <w:rPr>
                <w:sz w:val="13"/>
                <w:szCs w:val="13"/>
              </w:rPr>
              <w:t>0</w:t>
            </w:r>
          </w:p>
        </w:tc>
        <w:tc>
          <w:tcPr>
            <w:tcW w:w="143" w:type="pct"/>
            <w:vAlign w:val="center"/>
          </w:tcPr>
          <w:p w14:paraId="2FE344D4" w14:textId="77777777" w:rsidR="004A0123" w:rsidRPr="00640447" w:rsidRDefault="004A0123" w:rsidP="008A5C11">
            <w:pPr>
              <w:jc w:val="center"/>
              <w:rPr>
                <w:sz w:val="13"/>
                <w:szCs w:val="13"/>
              </w:rPr>
            </w:pPr>
            <w:r w:rsidRPr="00640447">
              <w:rPr>
                <w:sz w:val="13"/>
                <w:szCs w:val="13"/>
              </w:rPr>
              <w:t>0</w:t>
            </w:r>
          </w:p>
        </w:tc>
      </w:tr>
      <w:tr w:rsidR="004A0123" w:rsidRPr="00640447" w14:paraId="5BCB20B4" w14:textId="77777777" w:rsidTr="008A5C11">
        <w:trPr>
          <w:trHeight w:val="23"/>
          <w:jc w:val="center"/>
        </w:trPr>
        <w:tc>
          <w:tcPr>
            <w:tcW w:w="201" w:type="pct"/>
            <w:tcMar>
              <w:top w:w="62" w:type="dxa"/>
              <w:left w:w="28" w:type="dxa"/>
              <w:bottom w:w="102" w:type="dxa"/>
              <w:right w:w="28" w:type="dxa"/>
            </w:tcMar>
            <w:vAlign w:val="center"/>
          </w:tcPr>
          <w:p w14:paraId="33FDA0F6" w14:textId="77777777" w:rsidR="004A0123" w:rsidRPr="00640447" w:rsidRDefault="004A0123" w:rsidP="008A5C11">
            <w:pPr>
              <w:jc w:val="center"/>
              <w:rPr>
                <w:sz w:val="13"/>
                <w:szCs w:val="13"/>
              </w:rPr>
            </w:pPr>
            <w:r w:rsidRPr="00640447">
              <w:rPr>
                <w:sz w:val="13"/>
                <w:szCs w:val="13"/>
              </w:rPr>
              <w:t>14</w:t>
            </w:r>
          </w:p>
        </w:tc>
        <w:tc>
          <w:tcPr>
            <w:tcW w:w="826" w:type="pct"/>
            <w:tcMar>
              <w:top w:w="62" w:type="dxa"/>
              <w:left w:w="28" w:type="dxa"/>
              <w:bottom w:w="102" w:type="dxa"/>
              <w:right w:w="28" w:type="dxa"/>
            </w:tcMar>
            <w:vAlign w:val="center"/>
          </w:tcPr>
          <w:p w14:paraId="2414D58F" w14:textId="77777777" w:rsidR="004A0123" w:rsidRPr="00640447" w:rsidRDefault="004A0123" w:rsidP="008A5C11">
            <w:pPr>
              <w:jc w:val="center"/>
              <w:rPr>
                <w:sz w:val="13"/>
                <w:szCs w:val="13"/>
              </w:rPr>
            </w:pPr>
            <w:r w:rsidRPr="00640447">
              <w:rPr>
                <w:sz w:val="13"/>
                <w:szCs w:val="13"/>
              </w:rPr>
              <w:t>Котельная терморобот</w:t>
            </w:r>
          </w:p>
        </w:tc>
        <w:tc>
          <w:tcPr>
            <w:tcW w:w="528" w:type="pct"/>
            <w:shd w:val="clear" w:color="auto" w:fill="auto"/>
            <w:tcMar>
              <w:left w:w="28" w:type="dxa"/>
              <w:right w:w="28" w:type="dxa"/>
            </w:tcMar>
            <w:vAlign w:val="center"/>
          </w:tcPr>
          <w:p w14:paraId="4E51A0C5" w14:textId="77777777" w:rsidR="004A0123" w:rsidRPr="00640447" w:rsidRDefault="004A0123" w:rsidP="008A5C11">
            <w:pPr>
              <w:jc w:val="center"/>
              <w:rPr>
                <w:sz w:val="13"/>
                <w:szCs w:val="13"/>
              </w:rPr>
            </w:pPr>
            <w:r w:rsidRPr="00640447">
              <w:rPr>
                <w:sz w:val="13"/>
                <w:szCs w:val="13"/>
              </w:rPr>
              <w:t>0</w:t>
            </w:r>
          </w:p>
        </w:tc>
        <w:tc>
          <w:tcPr>
            <w:tcW w:w="140" w:type="pct"/>
            <w:shd w:val="clear" w:color="auto" w:fill="auto"/>
            <w:tcMar>
              <w:left w:w="28" w:type="dxa"/>
              <w:right w:w="28" w:type="dxa"/>
            </w:tcMar>
            <w:vAlign w:val="center"/>
          </w:tcPr>
          <w:p w14:paraId="2C918CE5" w14:textId="77777777" w:rsidR="004A0123" w:rsidRPr="00640447" w:rsidRDefault="004A0123" w:rsidP="008A5C11">
            <w:pPr>
              <w:jc w:val="center"/>
              <w:rPr>
                <w:sz w:val="13"/>
                <w:szCs w:val="13"/>
              </w:rPr>
            </w:pPr>
            <w:r w:rsidRPr="00640447">
              <w:rPr>
                <w:sz w:val="13"/>
                <w:szCs w:val="13"/>
              </w:rPr>
              <w:t>0</w:t>
            </w:r>
          </w:p>
        </w:tc>
        <w:tc>
          <w:tcPr>
            <w:tcW w:w="165" w:type="pct"/>
            <w:shd w:val="clear" w:color="auto" w:fill="auto"/>
            <w:tcMar>
              <w:left w:w="28" w:type="dxa"/>
              <w:right w:w="28" w:type="dxa"/>
            </w:tcMar>
            <w:vAlign w:val="center"/>
          </w:tcPr>
          <w:p w14:paraId="66D6F32C" w14:textId="77777777" w:rsidR="004A0123" w:rsidRPr="00640447" w:rsidRDefault="004A0123" w:rsidP="008A5C11">
            <w:pPr>
              <w:jc w:val="center"/>
              <w:rPr>
                <w:sz w:val="13"/>
                <w:szCs w:val="13"/>
              </w:rPr>
            </w:pPr>
            <w:r w:rsidRPr="00640447">
              <w:rPr>
                <w:sz w:val="13"/>
                <w:szCs w:val="13"/>
              </w:rPr>
              <w:t>0</w:t>
            </w:r>
          </w:p>
        </w:tc>
        <w:tc>
          <w:tcPr>
            <w:tcW w:w="140" w:type="pct"/>
            <w:shd w:val="clear" w:color="auto" w:fill="auto"/>
            <w:tcMar>
              <w:left w:w="28" w:type="dxa"/>
              <w:right w:w="28" w:type="dxa"/>
            </w:tcMar>
            <w:vAlign w:val="center"/>
          </w:tcPr>
          <w:p w14:paraId="5F3BD1D9" w14:textId="77777777" w:rsidR="004A0123" w:rsidRPr="00640447" w:rsidRDefault="004A0123" w:rsidP="008A5C11">
            <w:pPr>
              <w:jc w:val="center"/>
              <w:rPr>
                <w:sz w:val="13"/>
                <w:szCs w:val="13"/>
              </w:rPr>
            </w:pPr>
            <w:r w:rsidRPr="00640447">
              <w:rPr>
                <w:sz w:val="13"/>
                <w:szCs w:val="13"/>
              </w:rPr>
              <w:t>0</w:t>
            </w:r>
          </w:p>
        </w:tc>
        <w:tc>
          <w:tcPr>
            <w:tcW w:w="140" w:type="pct"/>
            <w:shd w:val="clear" w:color="auto" w:fill="auto"/>
            <w:vAlign w:val="center"/>
          </w:tcPr>
          <w:p w14:paraId="14EE5D22"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17779907"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62365372"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592C1534"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0B364F19"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3D853871" w14:textId="77777777" w:rsidR="004A0123" w:rsidRPr="00640447" w:rsidRDefault="004A0123" w:rsidP="008A5C11">
            <w:pPr>
              <w:jc w:val="center"/>
              <w:rPr>
                <w:sz w:val="13"/>
                <w:szCs w:val="13"/>
              </w:rPr>
            </w:pPr>
            <w:r w:rsidRPr="00640447">
              <w:rPr>
                <w:sz w:val="13"/>
                <w:szCs w:val="13"/>
              </w:rPr>
              <w:t>0</w:t>
            </w:r>
          </w:p>
        </w:tc>
        <w:tc>
          <w:tcPr>
            <w:tcW w:w="144" w:type="pct"/>
            <w:vAlign w:val="center"/>
          </w:tcPr>
          <w:p w14:paraId="3AD31008" w14:textId="77777777" w:rsidR="004A0123" w:rsidRPr="00640447" w:rsidRDefault="004A0123" w:rsidP="008A5C11">
            <w:pPr>
              <w:jc w:val="center"/>
              <w:rPr>
                <w:sz w:val="13"/>
                <w:szCs w:val="13"/>
              </w:rPr>
            </w:pPr>
            <w:r w:rsidRPr="00640447">
              <w:rPr>
                <w:sz w:val="13"/>
                <w:szCs w:val="13"/>
              </w:rPr>
              <w:t>0</w:t>
            </w:r>
          </w:p>
        </w:tc>
        <w:tc>
          <w:tcPr>
            <w:tcW w:w="536" w:type="pct"/>
            <w:shd w:val="clear" w:color="auto" w:fill="auto"/>
            <w:tcMar>
              <w:left w:w="28" w:type="dxa"/>
              <w:right w:w="28" w:type="dxa"/>
            </w:tcMar>
            <w:vAlign w:val="center"/>
          </w:tcPr>
          <w:p w14:paraId="4E1AD999" w14:textId="77777777" w:rsidR="004A0123" w:rsidRPr="00640447" w:rsidRDefault="004A0123" w:rsidP="008A5C11">
            <w:pPr>
              <w:jc w:val="center"/>
              <w:rPr>
                <w:sz w:val="13"/>
                <w:szCs w:val="13"/>
              </w:rPr>
            </w:pPr>
            <w:r w:rsidRPr="00640447">
              <w:rPr>
                <w:sz w:val="13"/>
                <w:szCs w:val="13"/>
              </w:rPr>
              <w:t>0</w:t>
            </w:r>
          </w:p>
        </w:tc>
        <w:tc>
          <w:tcPr>
            <w:tcW w:w="166" w:type="pct"/>
            <w:shd w:val="clear" w:color="auto" w:fill="auto"/>
            <w:tcMar>
              <w:left w:w="28" w:type="dxa"/>
              <w:right w:w="28" w:type="dxa"/>
            </w:tcMar>
            <w:vAlign w:val="center"/>
          </w:tcPr>
          <w:p w14:paraId="771AA27D" w14:textId="77777777" w:rsidR="004A0123" w:rsidRPr="00640447" w:rsidRDefault="004A0123" w:rsidP="008A5C11">
            <w:pPr>
              <w:jc w:val="center"/>
              <w:rPr>
                <w:sz w:val="13"/>
                <w:szCs w:val="13"/>
              </w:rPr>
            </w:pPr>
            <w:r w:rsidRPr="00640447">
              <w:rPr>
                <w:sz w:val="13"/>
                <w:szCs w:val="13"/>
              </w:rPr>
              <w:t>0</w:t>
            </w:r>
          </w:p>
        </w:tc>
        <w:tc>
          <w:tcPr>
            <w:tcW w:w="169" w:type="pct"/>
            <w:shd w:val="clear" w:color="auto" w:fill="auto"/>
            <w:tcMar>
              <w:left w:w="28" w:type="dxa"/>
              <w:right w:w="28" w:type="dxa"/>
            </w:tcMar>
            <w:vAlign w:val="center"/>
          </w:tcPr>
          <w:p w14:paraId="53D8826E" w14:textId="77777777" w:rsidR="004A0123" w:rsidRPr="00640447" w:rsidRDefault="004A0123" w:rsidP="008A5C11">
            <w:pPr>
              <w:jc w:val="center"/>
              <w:rPr>
                <w:sz w:val="13"/>
                <w:szCs w:val="13"/>
              </w:rPr>
            </w:pPr>
            <w:r w:rsidRPr="00640447">
              <w:rPr>
                <w:sz w:val="13"/>
                <w:szCs w:val="13"/>
              </w:rPr>
              <w:t>0</w:t>
            </w:r>
          </w:p>
        </w:tc>
        <w:tc>
          <w:tcPr>
            <w:tcW w:w="140" w:type="pct"/>
            <w:shd w:val="clear" w:color="auto" w:fill="auto"/>
            <w:tcMar>
              <w:left w:w="28" w:type="dxa"/>
              <w:right w:w="28" w:type="dxa"/>
            </w:tcMar>
            <w:vAlign w:val="center"/>
          </w:tcPr>
          <w:p w14:paraId="34109AE4" w14:textId="77777777" w:rsidR="004A0123" w:rsidRPr="00640447" w:rsidRDefault="004A0123" w:rsidP="008A5C11">
            <w:pPr>
              <w:jc w:val="center"/>
              <w:rPr>
                <w:sz w:val="13"/>
                <w:szCs w:val="13"/>
              </w:rPr>
            </w:pPr>
            <w:r w:rsidRPr="00640447">
              <w:rPr>
                <w:sz w:val="13"/>
                <w:szCs w:val="13"/>
              </w:rPr>
              <w:t>0</w:t>
            </w:r>
          </w:p>
        </w:tc>
        <w:tc>
          <w:tcPr>
            <w:tcW w:w="162" w:type="pct"/>
            <w:shd w:val="clear" w:color="auto" w:fill="auto"/>
            <w:vAlign w:val="center"/>
          </w:tcPr>
          <w:p w14:paraId="7C12EA00"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7CA805A5"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54ED90B0"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38D4929E"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4E0999B4"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615A7437" w14:textId="77777777" w:rsidR="004A0123" w:rsidRPr="00640447" w:rsidRDefault="004A0123" w:rsidP="008A5C11">
            <w:pPr>
              <w:jc w:val="center"/>
              <w:rPr>
                <w:sz w:val="13"/>
                <w:szCs w:val="13"/>
              </w:rPr>
            </w:pPr>
            <w:r w:rsidRPr="00640447">
              <w:rPr>
                <w:sz w:val="13"/>
                <w:szCs w:val="13"/>
              </w:rPr>
              <w:t>0</w:t>
            </w:r>
          </w:p>
        </w:tc>
        <w:tc>
          <w:tcPr>
            <w:tcW w:w="143" w:type="pct"/>
            <w:vAlign w:val="center"/>
          </w:tcPr>
          <w:p w14:paraId="66295C69" w14:textId="77777777" w:rsidR="004A0123" w:rsidRPr="00640447" w:rsidRDefault="004A0123" w:rsidP="008A5C11">
            <w:pPr>
              <w:jc w:val="center"/>
              <w:rPr>
                <w:sz w:val="13"/>
                <w:szCs w:val="13"/>
              </w:rPr>
            </w:pPr>
            <w:r w:rsidRPr="00640447">
              <w:rPr>
                <w:sz w:val="13"/>
                <w:szCs w:val="13"/>
              </w:rPr>
              <w:t>0</w:t>
            </w:r>
          </w:p>
        </w:tc>
      </w:tr>
      <w:tr w:rsidR="004A0123" w:rsidRPr="00640447" w14:paraId="1B1B99C0" w14:textId="77777777" w:rsidTr="008A5C11">
        <w:trPr>
          <w:trHeight w:val="23"/>
          <w:jc w:val="center"/>
        </w:trPr>
        <w:tc>
          <w:tcPr>
            <w:tcW w:w="201" w:type="pct"/>
            <w:tcMar>
              <w:top w:w="62" w:type="dxa"/>
              <w:left w:w="28" w:type="dxa"/>
              <w:bottom w:w="102" w:type="dxa"/>
              <w:right w:w="28" w:type="dxa"/>
            </w:tcMar>
            <w:vAlign w:val="center"/>
          </w:tcPr>
          <w:p w14:paraId="1AB27D33" w14:textId="77777777" w:rsidR="004A0123" w:rsidRPr="00640447" w:rsidRDefault="004A0123" w:rsidP="008A5C11">
            <w:pPr>
              <w:jc w:val="center"/>
              <w:rPr>
                <w:sz w:val="13"/>
                <w:szCs w:val="13"/>
              </w:rPr>
            </w:pPr>
            <w:r w:rsidRPr="00640447">
              <w:rPr>
                <w:sz w:val="13"/>
                <w:szCs w:val="13"/>
              </w:rPr>
              <w:t>15</w:t>
            </w:r>
          </w:p>
        </w:tc>
        <w:tc>
          <w:tcPr>
            <w:tcW w:w="826" w:type="pct"/>
            <w:tcMar>
              <w:top w:w="62" w:type="dxa"/>
              <w:left w:w="28" w:type="dxa"/>
              <w:bottom w:w="102" w:type="dxa"/>
              <w:right w:w="28" w:type="dxa"/>
            </w:tcMar>
            <w:vAlign w:val="center"/>
          </w:tcPr>
          <w:p w14:paraId="4C79BEE8" w14:textId="77777777" w:rsidR="004A0123" w:rsidRPr="00640447" w:rsidRDefault="004A0123" w:rsidP="008A5C11">
            <w:pPr>
              <w:jc w:val="center"/>
              <w:rPr>
                <w:sz w:val="13"/>
                <w:szCs w:val="13"/>
              </w:rPr>
            </w:pPr>
            <w:r w:rsidRPr="00640447">
              <w:rPr>
                <w:sz w:val="13"/>
                <w:szCs w:val="13"/>
              </w:rPr>
              <w:t>Котельная ОСВ</w:t>
            </w:r>
          </w:p>
        </w:tc>
        <w:tc>
          <w:tcPr>
            <w:tcW w:w="528" w:type="pct"/>
            <w:shd w:val="clear" w:color="auto" w:fill="auto"/>
            <w:tcMar>
              <w:left w:w="28" w:type="dxa"/>
              <w:right w:w="28" w:type="dxa"/>
            </w:tcMar>
            <w:vAlign w:val="center"/>
          </w:tcPr>
          <w:p w14:paraId="759D98A7" w14:textId="77777777" w:rsidR="004A0123" w:rsidRPr="00640447" w:rsidRDefault="004A0123" w:rsidP="008A5C11">
            <w:pPr>
              <w:jc w:val="center"/>
              <w:rPr>
                <w:sz w:val="13"/>
                <w:szCs w:val="13"/>
              </w:rPr>
            </w:pPr>
            <w:r w:rsidRPr="00640447">
              <w:rPr>
                <w:sz w:val="13"/>
                <w:szCs w:val="13"/>
              </w:rPr>
              <w:t>0</w:t>
            </w:r>
          </w:p>
        </w:tc>
        <w:tc>
          <w:tcPr>
            <w:tcW w:w="140" w:type="pct"/>
            <w:shd w:val="clear" w:color="auto" w:fill="auto"/>
            <w:tcMar>
              <w:left w:w="28" w:type="dxa"/>
              <w:right w:w="28" w:type="dxa"/>
            </w:tcMar>
            <w:vAlign w:val="center"/>
          </w:tcPr>
          <w:p w14:paraId="39F63EB9" w14:textId="77777777" w:rsidR="004A0123" w:rsidRPr="00640447" w:rsidRDefault="004A0123" w:rsidP="008A5C11">
            <w:pPr>
              <w:jc w:val="center"/>
              <w:rPr>
                <w:sz w:val="13"/>
                <w:szCs w:val="13"/>
              </w:rPr>
            </w:pPr>
            <w:r w:rsidRPr="00640447">
              <w:rPr>
                <w:sz w:val="13"/>
                <w:szCs w:val="13"/>
              </w:rPr>
              <w:t>0</w:t>
            </w:r>
          </w:p>
        </w:tc>
        <w:tc>
          <w:tcPr>
            <w:tcW w:w="165" w:type="pct"/>
            <w:shd w:val="clear" w:color="auto" w:fill="auto"/>
            <w:tcMar>
              <w:left w:w="28" w:type="dxa"/>
              <w:right w:w="28" w:type="dxa"/>
            </w:tcMar>
            <w:vAlign w:val="center"/>
          </w:tcPr>
          <w:p w14:paraId="36D10305" w14:textId="77777777" w:rsidR="004A0123" w:rsidRPr="00640447" w:rsidRDefault="004A0123" w:rsidP="008A5C11">
            <w:pPr>
              <w:jc w:val="center"/>
              <w:rPr>
                <w:sz w:val="13"/>
                <w:szCs w:val="13"/>
              </w:rPr>
            </w:pPr>
            <w:r w:rsidRPr="00640447">
              <w:rPr>
                <w:sz w:val="13"/>
                <w:szCs w:val="13"/>
              </w:rPr>
              <w:t>0</w:t>
            </w:r>
          </w:p>
        </w:tc>
        <w:tc>
          <w:tcPr>
            <w:tcW w:w="140" w:type="pct"/>
            <w:shd w:val="clear" w:color="auto" w:fill="auto"/>
            <w:tcMar>
              <w:left w:w="28" w:type="dxa"/>
              <w:right w:w="28" w:type="dxa"/>
            </w:tcMar>
            <w:vAlign w:val="center"/>
          </w:tcPr>
          <w:p w14:paraId="0B6D990E" w14:textId="77777777" w:rsidR="004A0123" w:rsidRPr="00640447" w:rsidRDefault="004A0123" w:rsidP="008A5C11">
            <w:pPr>
              <w:jc w:val="center"/>
              <w:rPr>
                <w:sz w:val="13"/>
                <w:szCs w:val="13"/>
              </w:rPr>
            </w:pPr>
            <w:r w:rsidRPr="00640447">
              <w:rPr>
                <w:sz w:val="13"/>
                <w:szCs w:val="13"/>
              </w:rPr>
              <w:t>0</w:t>
            </w:r>
          </w:p>
        </w:tc>
        <w:tc>
          <w:tcPr>
            <w:tcW w:w="140" w:type="pct"/>
            <w:shd w:val="clear" w:color="auto" w:fill="auto"/>
            <w:vAlign w:val="center"/>
          </w:tcPr>
          <w:p w14:paraId="06957772"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2F13FD39"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2CE63F03"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180C1EA0"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23FF8D02"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1DD15800" w14:textId="77777777" w:rsidR="004A0123" w:rsidRPr="00640447" w:rsidRDefault="004A0123" w:rsidP="008A5C11">
            <w:pPr>
              <w:jc w:val="center"/>
              <w:rPr>
                <w:sz w:val="13"/>
                <w:szCs w:val="13"/>
              </w:rPr>
            </w:pPr>
            <w:r w:rsidRPr="00640447">
              <w:rPr>
                <w:sz w:val="13"/>
                <w:szCs w:val="13"/>
              </w:rPr>
              <w:t>0</w:t>
            </w:r>
          </w:p>
        </w:tc>
        <w:tc>
          <w:tcPr>
            <w:tcW w:w="144" w:type="pct"/>
            <w:vAlign w:val="center"/>
          </w:tcPr>
          <w:p w14:paraId="0329BC6A" w14:textId="77777777" w:rsidR="004A0123" w:rsidRPr="00640447" w:rsidRDefault="004A0123" w:rsidP="008A5C11">
            <w:pPr>
              <w:jc w:val="center"/>
              <w:rPr>
                <w:sz w:val="13"/>
                <w:szCs w:val="13"/>
              </w:rPr>
            </w:pPr>
            <w:r w:rsidRPr="00640447">
              <w:rPr>
                <w:sz w:val="13"/>
                <w:szCs w:val="13"/>
              </w:rPr>
              <w:t>0</w:t>
            </w:r>
          </w:p>
        </w:tc>
        <w:tc>
          <w:tcPr>
            <w:tcW w:w="536" w:type="pct"/>
            <w:shd w:val="clear" w:color="auto" w:fill="auto"/>
            <w:tcMar>
              <w:left w:w="28" w:type="dxa"/>
              <w:right w:w="28" w:type="dxa"/>
            </w:tcMar>
            <w:vAlign w:val="center"/>
          </w:tcPr>
          <w:p w14:paraId="732DDBC3" w14:textId="77777777" w:rsidR="004A0123" w:rsidRPr="00640447" w:rsidRDefault="004A0123" w:rsidP="008A5C11">
            <w:pPr>
              <w:jc w:val="center"/>
              <w:rPr>
                <w:sz w:val="13"/>
                <w:szCs w:val="13"/>
              </w:rPr>
            </w:pPr>
            <w:r w:rsidRPr="00640447">
              <w:rPr>
                <w:sz w:val="13"/>
                <w:szCs w:val="13"/>
              </w:rPr>
              <w:t>0</w:t>
            </w:r>
          </w:p>
        </w:tc>
        <w:tc>
          <w:tcPr>
            <w:tcW w:w="166" w:type="pct"/>
            <w:shd w:val="clear" w:color="auto" w:fill="auto"/>
            <w:tcMar>
              <w:left w:w="28" w:type="dxa"/>
              <w:right w:w="28" w:type="dxa"/>
            </w:tcMar>
            <w:vAlign w:val="center"/>
          </w:tcPr>
          <w:p w14:paraId="4154BCF5" w14:textId="77777777" w:rsidR="004A0123" w:rsidRPr="00640447" w:rsidRDefault="004A0123" w:rsidP="008A5C11">
            <w:pPr>
              <w:jc w:val="center"/>
              <w:rPr>
                <w:sz w:val="13"/>
                <w:szCs w:val="13"/>
              </w:rPr>
            </w:pPr>
            <w:r w:rsidRPr="00640447">
              <w:rPr>
                <w:sz w:val="13"/>
                <w:szCs w:val="13"/>
              </w:rPr>
              <w:t>0</w:t>
            </w:r>
          </w:p>
        </w:tc>
        <w:tc>
          <w:tcPr>
            <w:tcW w:w="169" w:type="pct"/>
            <w:shd w:val="clear" w:color="auto" w:fill="auto"/>
            <w:tcMar>
              <w:left w:w="28" w:type="dxa"/>
              <w:right w:w="28" w:type="dxa"/>
            </w:tcMar>
            <w:vAlign w:val="center"/>
          </w:tcPr>
          <w:p w14:paraId="6AE1C9CF" w14:textId="77777777" w:rsidR="004A0123" w:rsidRPr="00640447" w:rsidRDefault="004A0123" w:rsidP="008A5C11">
            <w:pPr>
              <w:jc w:val="center"/>
              <w:rPr>
                <w:sz w:val="13"/>
                <w:szCs w:val="13"/>
              </w:rPr>
            </w:pPr>
            <w:r w:rsidRPr="00640447">
              <w:rPr>
                <w:sz w:val="13"/>
                <w:szCs w:val="13"/>
              </w:rPr>
              <w:t>0</w:t>
            </w:r>
          </w:p>
        </w:tc>
        <w:tc>
          <w:tcPr>
            <w:tcW w:w="140" w:type="pct"/>
            <w:shd w:val="clear" w:color="auto" w:fill="auto"/>
            <w:tcMar>
              <w:left w:w="28" w:type="dxa"/>
              <w:right w:w="28" w:type="dxa"/>
            </w:tcMar>
            <w:vAlign w:val="center"/>
          </w:tcPr>
          <w:p w14:paraId="7307FCFD" w14:textId="77777777" w:rsidR="004A0123" w:rsidRPr="00640447" w:rsidRDefault="004A0123" w:rsidP="008A5C11">
            <w:pPr>
              <w:jc w:val="center"/>
              <w:rPr>
                <w:sz w:val="13"/>
                <w:szCs w:val="13"/>
              </w:rPr>
            </w:pPr>
            <w:r w:rsidRPr="00640447">
              <w:rPr>
                <w:sz w:val="13"/>
                <w:szCs w:val="13"/>
              </w:rPr>
              <w:t>0</w:t>
            </w:r>
          </w:p>
        </w:tc>
        <w:tc>
          <w:tcPr>
            <w:tcW w:w="162" w:type="pct"/>
            <w:shd w:val="clear" w:color="auto" w:fill="auto"/>
            <w:vAlign w:val="center"/>
          </w:tcPr>
          <w:p w14:paraId="14815A3E"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416FB864"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7601B32F"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3A4410A1"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603EC262"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62B417E5" w14:textId="77777777" w:rsidR="004A0123" w:rsidRPr="00640447" w:rsidRDefault="004A0123" w:rsidP="008A5C11">
            <w:pPr>
              <w:jc w:val="center"/>
              <w:rPr>
                <w:sz w:val="13"/>
                <w:szCs w:val="13"/>
              </w:rPr>
            </w:pPr>
            <w:r w:rsidRPr="00640447">
              <w:rPr>
                <w:sz w:val="13"/>
                <w:szCs w:val="13"/>
              </w:rPr>
              <w:t>0</w:t>
            </w:r>
          </w:p>
        </w:tc>
        <w:tc>
          <w:tcPr>
            <w:tcW w:w="143" w:type="pct"/>
            <w:vAlign w:val="center"/>
          </w:tcPr>
          <w:p w14:paraId="3205946B" w14:textId="77777777" w:rsidR="004A0123" w:rsidRPr="00640447" w:rsidRDefault="004A0123" w:rsidP="008A5C11">
            <w:pPr>
              <w:jc w:val="center"/>
              <w:rPr>
                <w:sz w:val="13"/>
                <w:szCs w:val="13"/>
              </w:rPr>
            </w:pPr>
            <w:r w:rsidRPr="00640447">
              <w:rPr>
                <w:sz w:val="13"/>
                <w:szCs w:val="13"/>
              </w:rPr>
              <w:t>0</w:t>
            </w:r>
          </w:p>
        </w:tc>
      </w:tr>
      <w:tr w:rsidR="004A0123" w:rsidRPr="00640447" w14:paraId="60B0DAF4" w14:textId="77777777" w:rsidTr="008A5C11">
        <w:trPr>
          <w:trHeight w:val="23"/>
          <w:jc w:val="center"/>
        </w:trPr>
        <w:tc>
          <w:tcPr>
            <w:tcW w:w="201" w:type="pct"/>
            <w:tcMar>
              <w:top w:w="62" w:type="dxa"/>
              <w:left w:w="28" w:type="dxa"/>
              <w:bottom w:w="102" w:type="dxa"/>
              <w:right w:w="28" w:type="dxa"/>
            </w:tcMar>
            <w:vAlign w:val="center"/>
          </w:tcPr>
          <w:p w14:paraId="0CE61C2A" w14:textId="77777777" w:rsidR="004A0123" w:rsidRPr="00640447" w:rsidRDefault="004A0123" w:rsidP="008A5C11">
            <w:pPr>
              <w:jc w:val="center"/>
              <w:rPr>
                <w:sz w:val="13"/>
                <w:szCs w:val="13"/>
              </w:rPr>
            </w:pPr>
            <w:r w:rsidRPr="00640447">
              <w:rPr>
                <w:sz w:val="13"/>
                <w:szCs w:val="13"/>
              </w:rPr>
              <w:t>16</w:t>
            </w:r>
          </w:p>
        </w:tc>
        <w:tc>
          <w:tcPr>
            <w:tcW w:w="826" w:type="pct"/>
            <w:tcMar>
              <w:top w:w="62" w:type="dxa"/>
              <w:left w:w="28" w:type="dxa"/>
              <w:bottom w:w="102" w:type="dxa"/>
              <w:right w:w="28" w:type="dxa"/>
            </w:tcMar>
            <w:vAlign w:val="center"/>
          </w:tcPr>
          <w:p w14:paraId="72D340AF" w14:textId="77777777" w:rsidR="004A0123" w:rsidRPr="00640447" w:rsidRDefault="004A0123" w:rsidP="008A5C11">
            <w:pPr>
              <w:jc w:val="center"/>
              <w:rPr>
                <w:sz w:val="13"/>
                <w:szCs w:val="13"/>
              </w:rPr>
            </w:pPr>
            <w:r w:rsidRPr="00640447">
              <w:rPr>
                <w:sz w:val="13"/>
                <w:szCs w:val="13"/>
              </w:rPr>
              <w:t>Котельная НФС</w:t>
            </w:r>
          </w:p>
        </w:tc>
        <w:tc>
          <w:tcPr>
            <w:tcW w:w="528" w:type="pct"/>
            <w:shd w:val="clear" w:color="auto" w:fill="auto"/>
            <w:tcMar>
              <w:left w:w="28" w:type="dxa"/>
              <w:right w:w="28" w:type="dxa"/>
            </w:tcMar>
            <w:vAlign w:val="center"/>
          </w:tcPr>
          <w:p w14:paraId="2D657A14" w14:textId="77777777" w:rsidR="004A0123" w:rsidRPr="00640447" w:rsidRDefault="004A0123" w:rsidP="008A5C11">
            <w:pPr>
              <w:jc w:val="center"/>
              <w:rPr>
                <w:sz w:val="13"/>
                <w:szCs w:val="13"/>
              </w:rPr>
            </w:pPr>
            <w:r w:rsidRPr="00640447">
              <w:rPr>
                <w:sz w:val="13"/>
                <w:szCs w:val="13"/>
              </w:rPr>
              <w:t>0</w:t>
            </w:r>
          </w:p>
        </w:tc>
        <w:tc>
          <w:tcPr>
            <w:tcW w:w="140" w:type="pct"/>
            <w:shd w:val="clear" w:color="auto" w:fill="auto"/>
            <w:tcMar>
              <w:left w:w="28" w:type="dxa"/>
              <w:right w:w="28" w:type="dxa"/>
            </w:tcMar>
            <w:vAlign w:val="center"/>
          </w:tcPr>
          <w:p w14:paraId="29091886" w14:textId="77777777" w:rsidR="004A0123" w:rsidRPr="00640447" w:rsidRDefault="004A0123" w:rsidP="008A5C11">
            <w:pPr>
              <w:jc w:val="center"/>
              <w:rPr>
                <w:sz w:val="13"/>
                <w:szCs w:val="13"/>
              </w:rPr>
            </w:pPr>
            <w:r w:rsidRPr="00640447">
              <w:rPr>
                <w:sz w:val="13"/>
                <w:szCs w:val="13"/>
              </w:rPr>
              <w:t>0</w:t>
            </w:r>
          </w:p>
        </w:tc>
        <w:tc>
          <w:tcPr>
            <w:tcW w:w="165" w:type="pct"/>
            <w:shd w:val="clear" w:color="auto" w:fill="auto"/>
            <w:tcMar>
              <w:left w:w="28" w:type="dxa"/>
              <w:right w:w="28" w:type="dxa"/>
            </w:tcMar>
            <w:vAlign w:val="center"/>
          </w:tcPr>
          <w:p w14:paraId="5CFE9C8D" w14:textId="77777777" w:rsidR="004A0123" w:rsidRPr="00640447" w:rsidRDefault="004A0123" w:rsidP="008A5C11">
            <w:pPr>
              <w:jc w:val="center"/>
              <w:rPr>
                <w:sz w:val="13"/>
                <w:szCs w:val="13"/>
              </w:rPr>
            </w:pPr>
            <w:r w:rsidRPr="00640447">
              <w:rPr>
                <w:sz w:val="13"/>
                <w:szCs w:val="13"/>
              </w:rPr>
              <w:t>0</w:t>
            </w:r>
          </w:p>
        </w:tc>
        <w:tc>
          <w:tcPr>
            <w:tcW w:w="140" w:type="pct"/>
            <w:shd w:val="clear" w:color="auto" w:fill="auto"/>
            <w:tcMar>
              <w:left w:w="28" w:type="dxa"/>
              <w:right w:w="28" w:type="dxa"/>
            </w:tcMar>
            <w:vAlign w:val="center"/>
          </w:tcPr>
          <w:p w14:paraId="2EC8BF31" w14:textId="77777777" w:rsidR="004A0123" w:rsidRPr="00640447" w:rsidRDefault="004A0123" w:rsidP="008A5C11">
            <w:pPr>
              <w:jc w:val="center"/>
              <w:rPr>
                <w:sz w:val="13"/>
                <w:szCs w:val="13"/>
              </w:rPr>
            </w:pPr>
            <w:r w:rsidRPr="00640447">
              <w:rPr>
                <w:sz w:val="13"/>
                <w:szCs w:val="13"/>
              </w:rPr>
              <w:t>0</w:t>
            </w:r>
          </w:p>
        </w:tc>
        <w:tc>
          <w:tcPr>
            <w:tcW w:w="140" w:type="pct"/>
            <w:shd w:val="clear" w:color="auto" w:fill="auto"/>
            <w:vAlign w:val="center"/>
          </w:tcPr>
          <w:p w14:paraId="665B78D7"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5E37B93A"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1AC9E035"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4DAB0794"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354E86B1"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20920A8C" w14:textId="77777777" w:rsidR="004A0123" w:rsidRPr="00640447" w:rsidRDefault="004A0123" w:rsidP="008A5C11">
            <w:pPr>
              <w:jc w:val="center"/>
              <w:rPr>
                <w:sz w:val="13"/>
                <w:szCs w:val="13"/>
              </w:rPr>
            </w:pPr>
            <w:r w:rsidRPr="00640447">
              <w:rPr>
                <w:sz w:val="13"/>
                <w:szCs w:val="13"/>
              </w:rPr>
              <w:t>0</w:t>
            </w:r>
          </w:p>
        </w:tc>
        <w:tc>
          <w:tcPr>
            <w:tcW w:w="144" w:type="pct"/>
            <w:vAlign w:val="center"/>
          </w:tcPr>
          <w:p w14:paraId="1DAB52F6" w14:textId="77777777" w:rsidR="004A0123" w:rsidRPr="00640447" w:rsidRDefault="004A0123" w:rsidP="008A5C11">
            <w:pPr>
              <w:jc w:val="center"/>
              <w:rPr>
                <w:sz w:val="13"/>
                <w:szCs w:val="13"/>
              </w:rPr>
            </w:pPr>
            <w:r w:rsidRPr="00640447">
              <w:rPr>
                <w:sz w:val="13"/>
                <w:szCs w:val="13"/>
              </w:rPr>
              <w:t>0</w:t>
            </w:r>
          </w:p>
        </w:tc>
        <w:tc>
          <w:tcPr>
            <w:tcW w:w="536" w:type="pct"/>
            <w:shd w:val="clear" w:color="auto" w:fill="auto"/>
            <w:tcMar>
              <w:left w:w="28" w:type="dxa"/>
              <w:right w:w="28" w:type="dxa"/>
            </w:tcMar>
            <w:vAlign w:val="center"/>
          </w:tcPr>
          <w:p w14:paraId="509A6063" w14:textId="77777777" w:rsidR="004A0123" w:rsidRPr="00640447" w:rsidRDefault="004A0123" w:rsidP="008A5C11">
            <w:pPr>
              <w:jc w:val="center"/>
              <w:rPr>
                <w:sz w:val="13"/>
                <w:szCs w:val="13"/>
              </w:rPr>
            </w:pPr>
            <w:r w:rsidRPr="00640447">
              <w:rPr>
                <w:sz w:val="13"/>
                <w:szCs w:val="13"/>
              </w:rPr>
              <w:t>0</w:t>
            </w:r>
          </w:p>
        </w:tc>
        <w:tc>
          <w:tcPr>
            <w:tcW w:w="166" w:type="pct"/>
            <w:shd w:val="clear" w:color="auto" w:fill="auto"/>
            <w:tcMar>
              <w:left w:w="28" w:type="dxa"/>
              <w:right w:w="28" w:type="dxa"/>
            </w:tcMar>
            <w:vAlign w:val="center"/>
          </w:tcPr>
          <w:p w14:paraId="4D709892" w14:textId="77777777" w:rsidR="004A0123" w:rsidRPr="00640447" w:rsidRDefault="004A0123" w:rsidP="008A5C11">
            <w:pPr>
              <w:jc w:val="center"/>
              <w:rPr>
                <w:sz w:val="13"/>
                <w:szCs w:val="13"/>
              </w:rPr>
            </w:pPr>
            <w:r w:rsidRPr="00640447">
              <w:rPr>
                <w:sz w:val="13"/>
                <w:szCs w:val="13"/>
              </w:rPr>
              <w:t>0</w:t>
            </w:r>
          </w:p>
        </w:tc>
        <w:tc>
          <w:tcPr>
            <w:tcW w:w="169" w:type="pct"/>
            <w:shd w:val="clear" w:color="auto" w:fill="auto"/>
            <w:tcMar>
              <w:left w:w="28" w:type="dxa"/>
              <w:right w:w="28" w:type="dxa"/>
            </w:tcMar>
            <w:vAlign w:val="center"/>
          </w:tcPr>
          <w:p w14:paraId="7399F460" w14:textId="77777777" w:rsidR="004A0123" w:rsidRPr="00640447" w:rsidRDefault="004A0123" w:rsidP="008A5C11">
            <w:pPr>
              <w:jc w:val="center"/>
              <w:rPr>
                <w:sz w:val="13"/>
                <w:szCs w:val="13"/>
              </w:rPr>
            </w:pPr>
            <w:r w:rsidRPr="00640447">
              <w:rPr>
                <w:sz w:val="13"/>
                <w:szCs w:val="13"/>
              </w:rPr>
              <w:t>0</w:t>
            </w:r>
          </w:p>
        </w:tc>
        <w:tc>
          <w:tcPr>
            <w:tcW w:w="140" w:type="pct"/>
            <w:shd w:val="clear" w:color="auto" w:fill="auto"/>
            <w:tcMar>
              <w:left w:w="28" w:type="dxa"/>
              <w:right w:w="28" w:type="dxa"/>
            </w:tcMar>
            <w:vAlign w:val="center"/>
          </w:tcPr>
          <w:p w14:paraId="7440F0D2" w14:textId="77777777" w:rsidR="004A0123" w:rsidRPr="00640447" w:rsidRDefault="004A0123" w:rsidP="008A5C11">
            <w:pPr>
              <w:jc w:val="center"/>
              <w:rPr>
                <w:sz w:val="13"/>
                <w:szCs w:val="13"/>
              </w:rPr>
            </w:pPr>
            <w:r w:rsidRPr="00640447">
              <w:rPr>
                <w:sz w:val="13"/>
                <w:szCs w:val="13"/>
              </w:rPr>
              <w:t>0</w:t>
            </w:r>
          </w:p>
        </w:tc>
        <w:tc>
          <w:tcPr>
            <w:tcW w:w="162" w:type="pct"/>
            <w:shd w:val="clear" w:color="auto" w:fill="auto"/>
            <w:vAlign w:val="center"/>
          </w:tcPr>
          <w:p w14:paraId="7A63A27E"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5B5DC5DD"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377CA67F"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440C2F9A"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228AFC24"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48F7B8B6" w14:textId="77777777" w:rsidR="004A0123" w:rsidRPr="00640447" w:rsidRDefault="004A0123" w:rsidP="008A5C11">
            <w:pPr>
              <w:jc w:val="center"/>
              <w:rPr>
                <w:sz w:val="13"/>
                <w:szCs w:val="13"/>
              </w:rPr>
            </w:pPr>
            <w:r w:rsidRPr="00640447">
              <w:rPr>
                <w:sz w:val="13"/>
                <w:szCs w:val="13"/>
              </w:rPr>
              <w:t>0</w:t>
            </w:r>
          </w:p>
        </w:tc>
        <w:tc>
          <w:tcPr>
            <w:tcW w:w="143" w:type="pct"/>
            <w:vAlign w:val="center"/>
          </w:tcPr>
          <w:p w14:paraId="6275EA78" w14:textId="77777777" w:rsidR="004A0123" w:rsidRPr="00640447" w:rsidRDefault="004A0123" w:rsidP="008A5C11">
            <w:pPr>
              <w:jc w:val="center"/>
              <w:rPr>
                <w:sz w:val="13"/>
                <w:szCs w:val="13"/>
              </w:rPr>
            </w:pPr>
            <w:r w:rsidRPr="00640447">
              <w:rPr>
                <w:sz w:val="13"/>
                <w:szCs w:val="13"/>
              </w:rPr>
              <w:t>0</w:t>
            </w:r>
          </w:p>
        </w:tc>
      </w:tr>
      <w:tr w:rsidR="004A0123" w:rsidRPr="00640447" w14:paraId="3ED723C4" w14:textId="77777777" w:rsidTr="008A5C11">
        <w:trPr>
          <w:trHeight w:val="23"/>
          <w:jc w:val="center"/>
        </w:trPr>
        <w:tc>
          <w:tcPr>
            <w:tcW w:w="1026" w:type="pct"/>
            <w:gridSpan w:val="2"/>
            <w:tcMar>
              <w:top w:w="62" w:type="dxa"/>
              <w:left w:w="28" w:type="dxa"/>
              <w:bottom w:w="102" w:type="dxa"/>
              <w:right w:w="28" w:type="dxa"/>
            </w:tcMar>
            <w:vAlign w:val="center"/>
          </w:tcPr>
          <w:p w14:paraId="7BCCA8EA" w14:textId="77777777" w:rsidR="004A0123" w:rsidRPr="00640447" w:rsidRDefault="004A0123" w:rsidP="008A5C11">
            <w:pPr>
              <w:jc w:val="center"/>
              <w:rPr>
                <w:sz w:val="13"/>
                <w:szCs w:val="13"/>
              </w:rPr>
            </w:pPr>
            <w:r w:rsidRPr="00640447">
              <w:rPr>
                <w:sz w:val="13"/>
                <w:szCs w:val="13"/>
              </w:rPr>
              <w:t>Итого:</w:t>
            </w:r>
          </w:p>
        </w:tc>
        <w:tc>
          <w:tcPr>
            <w:tcW w:w="528" w:type="pct"/>
            <w:shd w:val="clear" w:color="auto" w:fill="auto"/>
            <w:tcMar>
              <w:left w:w="28" w:type="dxa"/>
              <w:right w:w="28" w:type="dxa"/>
            </w:tcMar>
            <w:vAlign w:val="center"/>
          </w:tcPr>
          <w:p w14:paraId="757916E2" w14:textId="77777777" w:rsidR="004A0123" w:rsidRPr="00640447" w:rsidRDefault="004A0123" w:rsidP="008A5C11">
            <w:pPr>
              <w:jc w:val="center"/>
              <w:rPr>
                <w:sz w:val="13"/>
                <w:szCs w:val="13"/>
              </w:rPr>
            </w:pPr>
            <w:r w:rsidRPr="00640447">
              <w:rPr>
                <w:sz w:val="13"/>
                <w:szCs w:val="13"/>
              </w:rPr>
              <w:t>0</w:t>
            </w:r>
          </w:p>
        </w:tc>
        <w:tc>
          <w:tcPr>
            <w:tcW w:w="140" w:type="pct"/>
            <w:shd w:val="clear" w:color="auto" w:fill="auto"/>
            <w:tcMar>
              <w:left w:w="28" w:type="dxa"/>
              <w:right w:w="28" w:type="dxa"/>
            </w:tcMar>
            <w:vAlign w:val="center"/>
          </w:tcPr>
          <w:p w14:paraId="416FE24C" w14:textId="77777777" w:rsidR="004A0123" w:rsidRPr="00640447" w:rsidRDefault="004A0123" w:rsidP="008A5C11">
            <w:pPr>
              <w:jc w:val="center"/>
              <w:rPr>
                <w:sz w:val="13"/>
                <w:szCs w:val="13"/>
              </w:rPr>
            </w:pPr>
            <w:r w:rsidRPr="00640447">
              <w:rPr>
                <w:sz w:val="13"/>
                <w:szCs w:val="13"/>
              </w:rPr>
              <w:t>0</w:t>
            </w:r>
          </w:p>
        </w:tc>
        <w:tc>
          <w:tcPr>
            <w:tcW w:w="165" w:type="pct"/>
            <w:shd w:val="clear" w:color="auto" w:fill="auto"/>
            <w:tcMar>
              <w:left w:w="28" w:type="dxa"/>
              <w:right w:w="28" w:type="dxa"/>
            </w:tcMar>
            <w:vAlign w:val="center"/>
          </w:tcPr>
          <w:p w14:paraId="7C4963BC" w14:textId="77777777" w:rsidR="004A0123" w:rsidRPr="00640447" w:rsidRDefault="004A0123" w:rsidP="008A5C11">
            <w:pPr>
              <w:jc w:val="center"/>
              <w:rPr>
                <w:sz w:val="13"/>
                <w:szCs w:val="13"/>
              </w:rPr>
            </w:pPr>
            <w:r w:rsidRPr="00640447">
              <w:rPr>
                <w:sz w:val="13"/>
                <w:szCs w:val="13"/>
              </w:rPr>
              <w:t>0</w:t>
            </w:r>
          </w:p>
        </w:tc>
        <w:tc>
          <w:tcPr>
            <w:tcW w:w="140" w:type="pct"/>
            <w:shd w:val="clear" w:color="auto" w:fill="auto"/>
            <w:tcMar>
              <w:left w:w="28" w:type="dxa"/>
              <w:right w:w="28" w:type="dxa"/>
            </w:tcMar>
            <w:vAlign w:val="center"/>
          </w:tcPr>
          <w:p w14:paraId="2684133E" w14:textId="77777777" w:rsidR="004A0123" w:rsidRPr="00640447" w:rsidRDefault="004A0123" w:rsidP="008A5C11">
            <w:pPr>
              <w:jc w:val="center"/>
              <w:rPr>
                <w:sz w:val="13"/>
                <w:szCs w:val="13"/>
              </w:rPr>
            </w:pPr>
            <w:r w:rsidRPr="00640447">
              <w:rPr>
                <w:sz w:val="13"/>
                <w:szCs w:val="13"/>
              </w:rPr>
              <w:t>0</w:t>
            </w:r>
          </w:p>
        </w:tc>
        <w:tc>
          <w:tcPr>
            <w:tcW w:w="140" w:type="pct"/>
            <w:shd w:val="clear" w:color="auto" w:fill="auto"/>
            <w:vAlign w:val="center"/>
          </w:tcPr>
          <w:p w14:paraId="33E2F363"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249FE9D8"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25DAC4E2"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54BFDB88"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5F55CA8B"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7948240A" w14:textId="77777777" w:rsidR="004A0123" w:rsidRPr="00640447" w:rsidRDefault="004A0123" w:rsidP="008A5C11">
            <w:pPr>
              <w:jc w:val="center"/>
              <w:rPr>
                <w:sz w:val="13"/>
                <w:szCs w:val="13"/>
              </w:rPr>
            </w:pPr>
            <w:r w:rsidRPr="00640447">
              <w:rPr>
                <w:sz w:val="13"/>
                <w:szCs w:val="13"/>
              </w:rPr>
              <w:t>0</w:t>
            </w:r>
          </w:p>
        </w:tc>
        <w:tc>
          <w:tcPr>
            <w:tcW w:w="144" w:type="pct"/>
            <w:vAlign w:val="center"/>
          </w:tcPr>
          <w:p w14:paraId="5F9B82E6" w14:textId="77777777" w:rsidR="004A0123" w:rsidRPr="00640447" w:rsidRDefault="004A0123" w:rsidP="008A5C11">
            <w:pPr>
              <w:jc w:val="center"/>
              <w:rPr>
                <w:sz w:val="13"/>
                <w:szCs w:val="13"/>
              </w:rPr>
            </w:pPr>
            <w:r w:rsidRPr="00640447">
              <w:rPr>
                <w:sz w:val="13"/>
                <w:szCs w:val="13"/>
              </w:rPr>
              <w:t>0</w:t>
            </w:r>
          </w:p>
        </w:tc>
        <w:tc>
          <w:tcPr>
            <w:tcW w:w="536" w:type="pct"/>
            <w:shd w:val="clear" w:color="auto" w:fill="auto"/>
            <w:tcMar>
              <w:left w:w="28" w:type="dxa"/>
              <w:right w:w="28" w:type="dxa"/>
            </w:tcMar>
            <w:vAlign w:val="center"/>
          </w:tcPr>
          <w:p w14:paraId="6BF9A7B7" w14:textId="77777777" w:rsidR="004A0123" w:rsidRPr="00640447" w:rsidRDefault="004A0123" w:rsidP="008A5C11">
            <w:pPr>
              <w:jc w:val="center"/>
              <w:rPr>
                <w:sz w:val="13"/>
                <w:szCs w:val="13"/>
              </w:rPr>
            </w:pPr>
            <w:r w:rsidRPr="00640447">
              <w:rPr>
                <w:sz w:val="13"/>
                <w:szCs w:val="13"/>
              </w:rPr>
              <w:t>0</w:t>
            </w:r>
          </w:p>
        </w:tc>
        <w:tc>
          <w:tcPr>
            <w:tcW w:w="166" w:type="pct"/>
            <w:shd w:val="clear" w:color="auto" w:fill="auto"/>
            <w:tcMar>
              <w:left w:w="28" w:type="dxa"/>
              <w:right w:w="28" w:type="dxa"/>
            </w:tcMar>
            <w:vAlign w:val="center"/>
          </w:tcPr>
          <w:p w14:paraId="63A4027A" w14:textId="77777777" w:rsidR="004A0123" w:rsidRPr="00640447" w:rsidRDefault="004A0123" w:rsidP="008A5C11">
            <w:pPr>
              <w:jc w:val="center"/>
              <w:rPr>
                <w:sz w:val="13"/>
                <w:szCs w:val="13"/>
              </w:rPr>
            </w:pPr>
            <w:r w:rsidRPr="00640447">
              <w:rPr>
                <w:sz w:val="13"/>
                <w:szCs w:val="13"/>
              </w:rPr>
              <w:t>0</w:t>
            </w:r>
          </w:p>
        </w:tc>
        <w:tc>
          <w:tcPr>
            <w:tcW w:w="169" w:type="pct"/>
            <w:shd w:val="clear" w:color="auto" w:fill="auto"/>
            <w:tcMar>
              <w:left w:w="28" w:type="dxa"/>
              <w:right w:w="28" w:type="dxa"/>
            </w:tcMar>
            <w:vAlign w:val="center"/>
          </w:tcPr>
          <w:p w14:paraId="25FFEAD9" w14:textId="77777777" w:rsidR="004A0123" w:rsidRPr="00640447" w:rsidRDefault="004A0123" w:rsidP="008A5C11">
            <w:pPr>
              <w:jc w:val="center"/>
              <w:rPr>
                <w:sz w:val="13"/>
                <w:szCs w:val="13"/>
              </w:rPr>
            </w:pPr>
            <w:r w:rsidRPr="00640447">
              <w:rPr>
                <w:sz w:val="13"/>
                <w:szCs w:val="13"/>
              </w:rPr>
              <w:t>0</w:t>
            </w:r>
          </w:p>
        </w:tc>
        <w:tc>
          <w:tcPr>
            <w:tcW w:w="140" w:type="pct"/>
            <w:shd w:val="clear" w:color="auto" w:fill="auto"/>
            <w:tcMar>
              <w:left w:w="28" w:type="dxa"/>
              <w:right w:w="28" w:type="dxa"/>
            </w:tcMar>
            <w:vAlign w:val="center"/>
          </w:tcPr>
          <w:p w14:paraId="65E14937" w14:textId="77777777" w:rsidR="004A0123" w:rsidRPr="00640447" w:rsidRDefault="004A0123" w:rsidP="008A5C11">
            <w:pPr>
              <w:jc w:val="center"/>
              <w:rPr>
                <w:sz w:val="13"/>
                <w:szCs w:val="13"/>
              </w:rPr>
            </w:pPr>
            <w:r w:rsidRPr="00640447">
              <w:rPr>
                <w:sz w:val="13"/>
                <w:szCs w:val="13"/>
              </w:rPr>
              <w:t>0</w:t>
            </w:r>
          </w:p>
        </w:tc>
        <w:tc>
          <w:tcPr>
            <w:tcW w:w="162" w:type="pct"/>
            <w:shd w:val="clear" w:color="auto" w:fill="auto"/>
            <w:vAlign w:val="center"/>
          </w:tcPr>
          <w:p w14:paraId="0EC2C0A3"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6064F824"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1C906F7F"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6C121C9F"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0DE0F687" w14:textId="77777777" w:rsidR="004A0123" w:rsidRPr="00640447" w:rsidRDefault="004A0123" w:rsidP="008A5C11">
            <w:pPr>
              <w:jc w:val="center"/>
              <w:rPr>
                <w:sz w:val="13"/>
                <w:szCs w:val="13"/>
              </w:rPr>
            </w:pPr>
            <w:r w:rsidRPr="00640447">
              <w:rPr>
                <w:sz w:val="13"/>
                <w:szCs w:val="13"/>
              </w:rPr>
              <w:t>0</w:t>
            </w:r>
          </w:p>
        </w:tc>
        <w:tc>
          <w:tcPr>
            <w:tcW w:w="140" w:type="pct"/>
            <w:vAlign w:val="center"/>
          </w:tcPr>
          <w:p w14:paraId="0A5E48C7" w14:textId="77777777" w:rsidR="004A0123" w:rsidRPr="00640447" w:rsidRDefault="004A0123" w:rsidP="008A5C11">
            <w:pPr>
              <w:jc w:val="center"/>
              <w:rPr>
                <w:sz w:val="13"/>
                <w:szCs w:val="13"/>
              </w:rPr>
            </w:pPr>
            <w:r w:rsidRPr="00640447">
              <w:rPr>
                <w:sz w:val="13"/>
                <w:szCs w:val="13"/>
              </w:rPr>
              <w:t>0</w:t>
            </w:r>
          </w:p>
        </w:tc>
        <w:tc>
          <w:tcPr>
            <w:tcW w:w="143" w:type="pct"/>
            <w:vAlign w:val="center"/>
          </w:tcPr>
          <w:p w14:paraId="5E1AA274" w14:textId="77777777" w:rsidR="004A0123" w:rsidRPr="00640447" w:rsidRDefault="004A0123" w:rsidP="008A5C11">
            <w:pPr>
              <w:jc w:val="center"/>
              <w:rPr>
                <w:sz w:val="13"/>
                <w:szCs w:val="13"/>
              </w:rPr>
            </w:pPr>
            <w:r w:rsidRPr="00640447">
              <w:rPr>
                <w:sz w:val="13"/>
                <w:szCs w:val="13"/>
              </w:rPr>
              <w:t>0</w:t>
            </w:r>
          </w:p>
        </w:tc>
      </w:tr>
    </w:tbl>
    <w:p w14:paraId="5E83F80F" w14:textId="77777777" w:rsidR="004A0123" w:rsidRPr="00640447" w:rsidRDefault="004A0123" w:rsidP="004A0123">
      <w:pPr>
        <w:rPr>
          <w:sz w:val="20"/>
          <w:szCs w:val="20"/>
        </w:rPr>
      </w:pPr>
    </w:p>
    <w:p w14:paraId="07D039D5" w14:textId="77777777" w:rsidR="004A0123" w:rsidRPr="00640447" w:rsidRDefault="004A0123" w:rsidP="004A0123">
      <w:pPr>
        <w:rPr>
          <w:sz w:val="20"/>
          <w:szCs w:val="20"/>
        </w:rPr>
      </w:pPr>
    </w:p>
    <w:p w14:paraId="5A4766CF" w14:textId="77777777" w:rsidR="004A0123" w:rsidRPr="00640447" w:rsidRDefault="004A0123" w:rsidP="004A0123">
      <w:pPr>
        <w:rPr>
          <w:sz w:val="20"/>
          <w:szCs w:val="20"/>
        </w:rPr>
      </w:pPr>
    </w:p>
    <w:p w14:paraId="00400984" w14:textId="77777777" w:rsidR="004A0123" w:rsidRPr="00640447" w:rsidRDefault="004A0123" w:rsidP="004A0123">
      <w:pPr>
        <w:rPr>
          <w:sz w:val="20"/>
          <w:szCs w:val="20"/>
        </w:rPr>
      </w:pPr>
    </w:p>
    <w:p w14:paraId="33B9B929" w14:textId="77777777" w:rsidR="004A0123" w:rsidRPr="00640447" w:rsidRDefault="004A0123" w:rsidP="004A0123">
      <w:pPr>
        <w:rPr>
          <w:sz w:val="20"/>
          <w:szCs w:val="20"/>
        </w:rPr>
      </w:pPr>
    </w:p>
    <w:p w14:paraId="77013A2D" w14:textId="77777777" w:rsidR="004A0123" w:rsidRPr="00640447" w:rsidRDefault="004A0123" w:rsidP="004A0123">
      <w:pPr>
        <w:rPr>
          <w:sz w:val="20"/>
          <w:szCs w:val="20"/>
        </w:rPr>
      </w:pPr>
    </w:p>
    <w:p w14:paraId="0521C83D" w14:textId="77777777" w:rsidR="004A0123" w:rsidRPr="00640447" w:rsidRDefault="004A0123" w:rsidP="004A0123">
      <w:pPr>
        <w:ind w:left="284" w:right="536"/>
        <w:jc w:val="center"/>
        <w:rPr>
          <w:b/>
          <w:bCs/>
          <w:sz w:val="28"/>
          <w:szCs w:val="28"/>
        </w:rPr>
      </w:pPr>
      <w:r w:rsidRPr="00640447">
        <w:rPr>
          <w:b/>
          <w:bCs/>
          <w:sz w:val="28"/>
          <w:szCs w:val="28"/>
        </w:rPr>
        <w:t xml:space="preserve">Показатели надежности и энергетической эффективности объектов системы теплоснабжения </w:t>
      </w:r>
    </w:p>
    <w:p w14:paraId="7C0B713F" w14:textId="77777777" w:rsidR="004A0123" w:rsidRPr="00640447" w:rsidRDefault="004A0123" w:rsidP="004A0123">
      <w:pPr>
        <w:jc w:val="center"/>
        <w:rPr>
          <w:sz w:val="20"/>
          <w:szCs w:val="20"/>
        </w:rPr>
      </w:pPr>
      <w:r w:rsidRPr="00640447">
        <w:rPr>
          <w:b/>
          <w:color w:val="000000"/>
          <w:sz w:val="28"/>
          <w:szCs w:val="28"/>
        </w:rPr>
        <w:t>ОАО «Северо-Кузбасская энергетическая компания» по узлу теплоснабжения Ленинск-Кузнецкого</w:t>
      </w:r>
      <w:r w:rsidRPr="00640447">
        <w:rPr>
          <w:b/>
          <w:bCs/>
          <w:sz w:val="28"/>
          <w:szCs w:val="28"/>
        </w:rPr>
        <w:t xml:space="preserve"> городского округа на 2019 - 2028 годы</w:t>
      </w:r>
    </w:p>
    <w:tbl>
      <w:tblPr>
        <w:tblW w:w="48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2"/>
        <w:gridCol w:w="2538"/>
        <w:gridCol w:w="1586"/>
        <w:gridCol w:w="1012"/>
        <w:gridCol w:w="1026"/>
        <w:gridCol w:w="1020"/>
        <w:gridCol w:w="1023"/>
        <w:gridCol w:w="898"/>
        <w:gridCol w:w="1020"/>
        <w:gridCol w:w="861"/>
        <w:gridCol w:w="861"/>
        <w:gridCol w:w="861"/>
        <w:gridCol w:w="873"/>
      </w:tblGrid>
      <w:tr w:rsidR="004A0123" w:rsidRPr="00640447" w14:paraId="77DD64DA" w14:textId="77777777" w:rsidTr="008A5C11">
        <w:trPr>
          <w:trHeight w:val="23"/>
          <w:jc w:val="center"/>
        </w:trPr>
        <w:tc>
          <w:tcPr>
            <w:tcW w:w="222" w:type="pct"/>
            <w:vMerge w:val="restart"/>
            <w:tcMar>
              <w:top w:w="62" w:type="dxa"/>
              <w:left w:w="28" w:type="dxa"/>
              <w:bottom w:w="102" w:type="dxa"/>
              <w:right w:w="28" w:type="dxa"/>
            </w:tcMar>
            <w:vAlign w:val="center"/>
          </w:tcPr>
          <w:p w14:paraId="5E047AB7"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 п/п</w:t>
            </w:r>
          </w:p>
        </w:tc>
        <w:tc>
          <w:tcPr>
            <w:tcW w:w="893" w:type="pct"/>
            <w:vMerge w:val="restart"/>
            <w:tcMar>
              <w:top w:w="62" w:type="dxa"/>
              <w:left w:w="28" w:type="dxa"/>
              <w:bottom w:w="102" w:type="dxa"/>
              <w:right w:w="28" w:type="dxa"/>
            </w:tcMar>
            <w:vAlign w:val="center"/>
          </w:tcPr>
          <w:p w14:paraId="6CE4AFFF"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Наименование объекта</w:t>
            </w:r>
          </w:p>
        </w:tc>
        <w:tc>
          <w:tcPr>
            <w:tcW w:w="3885" w:type="pct"/>
            <w:gridSpan w:val="11"/>
            <w:tcMar>
              <w:left w:w="28" w:type="dxa"/>
              <w:right w:w="28" w:type="dxa"/>
            </w:tcMar>
            <w:vAlign w:val="center"/>
          </w:tcPr>
          <w:p w14:paraId="1C40AA99" w14:textId="77777777" w:rsidR="004A0123" w:rsidRPr="00640447" w:rsidRDefault="004A0123" w:rsidP="008A5C11">
            <w:pPr>
              <w:jc w:val="center"/>
              <w:rPr>
                <w:sz w:val="13"/>
                <w:szCs w:val="13"/>
              </w:rPr>
            </w:pPr>
            <w:r w:rsidRPr="00640447">
              <w:rPr>
                <w:sz w:val="13"/>
                <w:szCs w:val="13"/>
              </w:rPr>
              <w:t>Показатели энергетической эффективности</w:t>
            </w:r>
          </w:p>
        </w:tc>
      </w:tr>
      <w:tr w:rsidR="004A0123" w:rsidRPr="00640447" w14:paraId="5BEE3BBB" w14:textId="77777777" w:rsidTr="008A5C11">
        <w:trPr>
          <w:trHeight w:val="687"/>
          <w:jc w:val="center"/>
        </w:trPr>
        <w:tc>
          <w:tcPr>
            <w:tcW w:w="222" w:type="pct"/>
            <w:vMerge/>
            <w:tcMar>
              <w:top w:w="62" w:type="dxa"/>
              <w:left w:w="28" w:type="dxa"/>
              <w:bottom w:w="102" w:type="dxa"/>
              <w:right w:w="28" w:type="dxa"/>
            </w:tcMar>
            <w:vAlign w:val="center"/>
          </w:tcPr>
          <w:p w14:paraId="03730505" w14:textId="77777777" w:rsidR="004A0123" w:rsidRPr="00640447" w:rsidRDefault="004A0123" w:rsidP="008A5C11">
            <w:pPr>
              <w:widowControl w:val="0"/>
              <w:autoSpaceDE w:val="0"/>
              <w:autoSpaceDN w:val="0"/>
              <w:adjustRightInd w:val="0"/>
              <w:jc w:val="center"/>
              <w:rPr>
                <w:sz w:val="13"/>
                <w:szCs w:val="13"/>
              </w:rPr>
            </w:pPr>
          </w:p>
        </w:tc>
        <w:tc>
          <w:tcPr>
            <w:tcW w:w="893" w:type="pct"/>
            <w:vMerge/>
            <w:tcMar>
              <w:top w:w="62" w:type="dxa"/>
              <w:left w:w="28" w:type="dxa"/>
              <w:bottom w:w="102" w:type="dxa"/>
              <w:right w:w="28" w:type="dxa"/>
            </w:tcMar>
            <w:vAlign w:val="center"/>
          </w:tcPr>
          <w:p w14:paraId="6E94542D" w14:textId="77777777" w:rsidR="004A0123" w:rsidRPr="00640447" w:rsidRDefault="004A0123" w:rsidP="008A5C11">
            <w:pPr>
              <w:widowControl w:val="0"/>
              <w:autoSpaceDE w:val="0"/>
              <w:autoSpaceDN w:val="0"/>
              <w:adjustRightInd w:val="0"/>
              <w:jc w:val="center"/>
              <w:rPr>
                <w:sz w:val="13"/>
                <w:szCs w:val="13"/>
              </w:rPr>
            </w:pPr>
          </w:p>
        </w:tc>
        <w:tc>
          <w:tcPr>
            <w:tcW w:w="3885" w:type="pct"/>
            <w:gridSpan w:val="11"/>
            <w:tcMar>
              <w:left w:w="28" w:type="dxa"/>
              <w:right w:w="28" w:type="dxa"/>
            </w:tcMar>
            <w:vAlign w:val="center"/>
          </w:tcPr>
          <w:p w14:paraId="4B6E2780"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Удельный расход топлива на производство единицы тепловой энергии, отпускаемой с коллекторов источников тепловой энергии, кг у.т./Гкал</w:t>
            </w:r>
          </w:p>
        </w:tc>
      </w:tr>
      <w:tr w:rsidR="004A0123" w:rsidRPr="00640447" w14:paraId="0F74A612" w14:textId="77777777" w:rsidTr="008A5C11">
        <w:trPr>
          <w:trHeight w:val="20"/>
          <w:jc w:val="center"/>
        </w:trPr>
        <w:tc>
          <w:tcPr>
            <w:tcW w:w="222" w:type="pct"/>
            <w:vMerge/>
            <w:tcMar>
              <w:top w:w="62" w:type="dxa"/>
              <w:left w:w="28" w:type="dxa"/>
              <w:bottom w:w="102" w:type="dxa"/>
              <w:right w:w="28" w:type="dxa"/>
            </w:tcMar>
            <w:vAlign w:val="center"/>
          </w:tcPr>
          <w:p w14:paraId="5D7653CB" w14:textId="77777777" w:rsidR="004A0123" w:rsidRPr="00640447" w:rsidRDefault="004A0123" w:rsidP="008A5C11">
            <w:pPr>
              <w:widowControl w:val="0"/>
              <w:autoSpaceDE w:val="0"/>
              <w:autoSpaceDN w:val="0"/>
              <w:adjustRightInd w:val="0"/>
              <w:jc w:val="center"/>
              <w:rPr>
                <w:sz w:val="13"/>
                <w:szCs w:val="13"/>
              </w:rPr>
            </w:pPr>
          </w:p>
        </w:tc>
        <w:tc>
          <w:tcPr>
            <w:tcW w:w="893" w:type="pct"/>
            <w:vMerge/>
            <w:tcMar>
              <w:top w:w="62" w:type="dxa"/>
              <w:left w:w="28" w:type="dxa"/>
              <w:bottom w:w="102" w:type="dxa"/>
              <w:right w:w="28" w:type="dxa"/>
            </w:tcMar>
            <w:vAlign w:val="center"/>
          </w:tcPr>
          <w:p w14:paraId="1F796AF0" w14:textId="77777777" w:rsidR="004A0123" w:rsidRPr="00640447" w:rsidRDefault="004A0123" w:rsidP="008A5C11">
            <w:pPr>
              <w:widowControl w:val="0"/>
              <w:autoSpaceDE w:val="0"/>
              <w:autoSpaceDN w:val="0"/>
              <w:adjustRightInd w:val="0"/>
              <w:jc w:val="center"/>
              <w:rPr>
                <w:sz w:val="13"/>
                <w:szCs w:val="13"/>
              </w:rPr>
            </w:pPr>
          </w:p>
        </w:tc>
        <w:tc>
          <w:tcPr>
            <w:tcW w:w="558" w:type="pct"/>
            <w:vMerge w:val="restart"/>
            <w:tcMar>
              <w:left w:w="28" w:type="dxa"/>
              <w:right w:w="28" w:type="dxa"/>
            </w:tcMar>
            <w:vAlign w:val="center"/>
          </w:tcPr>
          <w:p w14:paraId="10084B03"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Текущее значение</w:t>
            </w:r>
          </w:p>
        </w:tc>
        <w:tc>
          <w:tcPr>
            <w:tcW w:w="3327" w:type="pct"/>
            <w:gridSpan w:val="10"/>
            <w:tcMar>
              <w:left w:w="28" w:type="dxa"/>
              <w:right w:w="28" w:type="dxa"/>
            </w:tcMar>
            <w:vAlign w:val="center"/>
          </w:tcPr>
          <w:p w14:paraId="2932730E"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Плановое значение</w:t>
            </w:r>
          </w:p>
        </w:tc>
      </w:tr>
      <w:tr w:rsidR="004A0123" w:rsidRPr="00640447" w14:paraId="5E73D652" w14:textId="77777777" w:rsidTr="008A5C11">
        <w:trPr>
          <w:trHeight w:val="20"/>
          <w:jc w:val="center"/>
        </w:trPr>
        <w:tc>
          <w:tcPr>
            <w:tcW w:w="222" w:type="pct"/>
            <w:vMerge/>
            <w:tcMar>
              <w:top w:w="62" w:type="dxa"/>
              <w:left w:w="28" w:type="dxa"/>
              <w:bottom w:w="102" w:type="dxa"/>
              <w:right w:w="28" w:type="dxa"/>
            </w:tcMar>
            <w:vAlign w:val="center"/>
          </w:tcPr>
          <w:p w14:paraId="0913CD0B" w14:textId="77777777" w:rsidR="004A0123" w:rsidRPr="00640447" w:rsidRDefault="004A0123" w:rsidP="008A5C11">
            <w:pPr>
              <w:widowControl w:val="0"/>
              <w:autoSpaceDE w:val="0"/>
              <w:autoSpaceDN w:val="0"/>
              <w:adjustRightInd w:val="0"/>
              <w:jc w:val="center"/>
              <w:rPr>
                <w:sz w:val="13"/>
                <w:szCs w:val="13"/>
              </w:rPr>
            </w:pPr>
          </w:p>
        </w:tc>
        <w:tc>
          <w:tcPr>
            <w:tcW w:w="893" w:type="pct"/>
            <w:vMerge/>
            <w:tcMar>
              <w:top w:w="62" w:type="dxa"/>
              <w:left w:w="28" w:type="dxa"/>
              <w:bottom w:w="102" w:type="dxa"/>
              <w:right w:w="28" w:type="dxa"/>
            </w:tcMar>
            <w:vAlign w:val="center"/>
          </w:tcPr>
          <w:p w14:paraId="57ADE3EE" w14:textId="77777777" w:rsidR="004A0123" w:rsidRPr="00640447" w:rsidRDefault="004A0123" w:rsidP="008A5C11">
            <w:pPr>
              <w:widowControl w:val="0"/>
              <w:autoSpaceDE w:val="0"/>
              <w:autoSpaceDN w:val="0"/>
              <w:adjustRightInd w:val="0"/>
              <w:jc w:val="center"/>
              <w:rPr>
                <w:sz w:val="13"/>
                <w:szCs w:val="13"/>
              </w:rPr>
            </w:pPr>
          </w:p>
        </w:tc>
        <w:tc>
          <w:tcPr>
            <w:tcW w:w="558" w:type="pct"/>
            <w:vMerge/>
            <w:tcMar>
              <w:left w:w="28" w:type="dxa"/>
              <w:right w:w="28" w:type="dxa"/>
            </w:tcMar>
            <w:vAlign w:val="center"/>
          </w:tcPr>
          <w:p w14:paraId="450DFF7F" w14:textId="77777777" w:rsidR="004A0123" w:rsidRPr="00640447" w:rsidRDefault="004A0123" w:rsidP="008A5C11">
            <w:pPr>
              <w:widowControl w:val="0"/>
              <w:autoSpaceDE w:val="0"/>
              <w:autoSpaceDN w:val="0"/>
              <w:adjustRightInd w:val="0"/>
              <w:jc w:val="center"/>
              <w:rPr>
                <w:sz w:val="13"/>
                <w:szCs w:val="13"/>
              </w:rPr>
            </w:pPr>
          </w:p>
        </w:tc>
        <w:tc>
          <w:tcPr>
            <w:tcW w:w="356" w:type="pct"/>
            <w:tcMar>
              <w:left w:w="28" w:type="dxa"/>
              <w:right w:w="28" w:type="dxa"/>
            </w:tcMar>
            <w:vAlign w:val="center"/>
          </w:tcPr>
          <w:p w14:paraId="450F8367"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2019</w:t>
            </w:r>
          </w:p>
        </w:tc>
        <w:tc>
          <w:tcPr>
            <w:tcW w:w="361" w:type="pct"/>
            <w:tcMar>
              <w:left w:w="28" w:type="dxa"/>
              <w:right w:w="28" w:type="dxa"/>
            </w:tcMar>
            <w:vAlign w:val="center"/>
          </w:tcPr>
          <w:p w14:paraId="7F30DF34"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2020</w:t>
            </w:r>
          </w:p>
        </w:tc>
        <w:tc>
          <w:tcPr>
            <w:tcW w:w="359" w:type="pct"/>
            <w:tcMar>
              <w:left w:w="28" w:type="dxa"/>
              <w:right w:w="28" w:type="dxa"/>
            </w:tcMar>
            <w:vAlign w:val="center"/>
          </w:tcPr>
          <w:p w14:paraId="10EFD776"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2021</w:t>
            </w:r>
          </w:p>
        </w:tc>
        <w:tc>
          <w:tcPr>
            <w:tcW w:w="360" w:type="pct"/>
            <w:vAlign w:val="center"/>
          </w:tcPr>
          <w:p w14:paraId="5C299039"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2022</w:t>
            </w:r>
          </w:p>
        </w:tc>
        <w:tc>
          <w:tcPr>
            <w:tcW w:w="316" w:type="pct"/>
            <w:vAlign w:val="center"/>
          </w:tcPr>
          <w:p w14:paraId="418ECA0D"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2023</w:t>
            </w:r>
          </w:p>
        </w:tc>
        <w:tc>
          <w:tcPr>
            <w:tcW w:w="359" w:type="pct"/>
            <w:tcMar>
              <w:left w:w="28" w:type="dxa"/>
              <w:right w:w="28" w:type="dxa"/>
            </w:tcMar>
            <w:vAlign w:val="center"/>
          </w:tcPr>
          <w:p w14:paraId="1DEA2B6B"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2024</w:t>
            </w:r>
          </w:p>
        </w:tc>
        <w:tc>
          <w:tcPr>
            <w:tcW w:w="303" w:type="pct"/>
            <w:tcMar>
              <w:left w:w="28" w:type="dxa"/>
              <w:right w:w="28" w:type="dxa"/>
            </w:tcMar>
            <w:vAlign w:val="center"/>
          </w:tcPr>
          <w:p w14:paraId="3B90616B"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2025</w:t>
            </w:r>
          </w:p>
        </w:tc>
        <w:tc>
          <w:tcPr>
            <w:tcW w:w="303" w:type="pct"/>
            <w:tcMar>
              <w:left w:w="28" w:type="dxa"/>
              <w:right w:w="28" w:type="dxa"/>
            </w:tcMar>
            <w:vAlign w:val="center"/>
          </w:tcPr>
          <w:p w14:paraId="2CF60C88"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2026</w:t>
            </w:r>
          </w:p>
        </w:tc>
        <w:tc>
          <w:tcPr>
            <w:tcW w:w="303" w:type="pct"/>
            <w:tcMar>
              <w:left w:w="28" w:type="dxa"/>
              <w:right w:w="28" w:type="dxa"/>
            </w:tcMar>
            <w:vAlign w:val="center"/>
          </w:tcPr>
          <w:p w14:paraId="764B7BE5"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2027</w:t>
            </w:r>
          </w:p>
        </w:tc>
        <w:tc>
          <w:tcPr>
            <w:tcW w:w="307" w:type="pct"/>
            <w:vAlign w:val="center"/>
          </w:tcPr>
          <w:p w14:paraId="48DCECC3"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2028</w:t>
            </w:r>
          </w:p>
        </w:tc>
      </w:tr>
      <w:tr w:rsidR="004A0123" w:rsidRPr="00640447" w14:paraId="239F764B" w14:textId="77777777" w:rsidTr="008A5C11">
        <w:trPr>
          <w:trHeight w:val="148"/>
          <w:jc w:val="center"/>
        </w:trPr>
        <w:tc>
          <w:tcPr>
            <w:tcW w:w="222" w:type="pct"/>
            <w:tcMar>
              <w:top w:w="62" w:type="dxa"/>
              <w:left w:w="28" w:type="dxa"/>
              <w:bottom w:w="102" w:type="dxa"/>
              <w:right w:w="28" w:type="dxa"/>
            </w:tcMar>
            <w:vAlign w:val="center"/>
          </w:tcPr>
          <w:p w14:paraId="1CF1EDB2" w14:textId="77777777" w:rsidR="004A0123" w:rsidRPr="00640447" w:rsidRDefault="004A0123" w:rsidP="008A5C11">
            <w:pPr>
              <w:jc w:val="center"/>
              <w:rPr>
                <w:sz w:val="13"/>
                <w:szCs w:val="13"/>
              </w:rPr>
            </w:pPr>
            <w:r w:rsidRPr="00640447">
              <w:rPr>
                <w:sz w:val="13"/>
                <w:szCs w:val="13"/>
              </w:rPr>
              <w:t>1</w:t>
            </w:r>
          </w:p>
        </w:tc>
        <w:tc>
          <w:tcPr>
            <w:tcW w:w="893" w:type="pct"/>
            <w:tcMar>
              <w:top w:w="62" w:type="dxa"/>
              <w:left w:w="28" w:type="dxa"/>
              <w:bottom w:w="102" w:type="dxa"/>
              <w:right w:w="28" w:type="dxa"/>
            </w:tcMar>
            <w:vAlign w:val="center"/>
          </w:tcPr>
          <w:p w14:paraId="08387A58" w14:textId="77777777" w:rsidR="004A0123" w:rsidRPr="00640447" w:rsidRDefault="004A0123" w:rsidP="008A5C11">
            <w:pPr>
              <w:jc w:val="center"/>
              <w:rPr>
                <w:sz w:val="13"/>
                <w:szCs w:val="13"/>
              </w:rPr>
            </w:pPr>
            <w:r w:rsidRPr="00640447">
              <w:rPr>
                <w:sz w:val="13"/>
                <w:szCs w:val="13"/>
              </w:rPr>
              <w:t>Котельная «Энергетик»</w:t>
            </w:r>
          </w:p>
        </w:tc>
        <w:tc>
          <w:tcPr>
            <w:tcW w:w="558" w:type="pct"/>
            <w:shd w:val="clear" w:color="auto" w:fill="auto"/>
            <w:tcMar>
              <w:left w:w="28" w:type="dxa"/>
              <w:right w:w="28" w:type="dxa"/>
            </w:tcMar>
            <w:vAlign w:val="center"/>
          </w:tcPr>
          <w:p w14:paraId="79BA29AD" w14:textId="77777777" w:rsidR="004A0123" w:rsidRPr="00640447" w:rsidRDefault="004A0123" w:rsidP="008A5C11">
            <w:pPr>
              <w:jc w:val="center"/>
              <w:rPr>
                <w:sz w:val="13"/>
                <w:szCs w:val="13"/>
              </w:rPr>
            </w:pPr>
            <w:r w:rsidRPr="00640447">
              <w:rPr>
                <w:sz w:val="13"/>
                <w:szCs w:val="13"/>
              </w:rPr>
              <w:t>192,79</w:t>
            </w:r>
          </w:p>
        </w:tc>
        <w:tc>
          <w:tcPr>
            <w:tcW w:w="356" w:type="pct"/>
            <w:shd w:val="clear" w:color="auto" w:fill="auto"/>
            <w:tcMar>
              <w:left w:w="28" w:type="dxa"/>
              <w:right w:w="28" w:type="dxa"/>
            </w:tcMar>
            <w:vAlign w:val="center"/>
          </w:tcPr>
          <w:p w14:paraId="75DDDC63" w14:textId="77777777" w:rsidR="004A0123" w:rsidRPr="00640447" w:rsidRDefault="004A0123" w:rsidP="008A5C11">
            <w:pPr>
              <w:jc w:val="center"/>
              <w:rPr>
                <w:sz w:val="13"/>
                <w:szCs w:val="13"/>
              </w:rPr>
            </w:pPr>
            <w:r w:rsidRPr="00640447">
              <w:rPr>
                <w:sz w:val="13"/>
                <w:szCs w:val="13"/>
              </w:rPr>
              <w:t>192,79</w:t>
            </w:r>
          </w:p>
        </w:tc>
        <w:tc>
          <w:tcPr>
            <w:tcW w:w="361" w:type="pct"/>
            <w:shd w:val="clear" w:color="auto" w:fill="auto"/>
            <w:tcMar>
              <w:left w:w="28" w:type="dxa"/>
              <w:right w:w="28" w:type="dxa"/>
            </w:tcMar>
            <w:vAlign w:val="center"/>
          </w:tcPr>
          <w:p w14:paraId="5B5CBC9F" w14:textId="77777777" w:rsidR="004A0123" w:rsidRPr="00640447" w:rsidRDefault="004A0123" w:rsidP="008A5C11">
            <w:pPr>
              <w:jc w:val="center"/>
              <w:rPr>
                <w:sz w:val="13"/>
                <w:szCs w:val="13"/>
              </w:rPr>
            </w:pPr>
            <w:r w:rsidRPr="00640447">
              <w:rPr>
                <w:sz w:val="13"/>
                <w:szCs w:val="13"/>
              </w:rPr>
              <w:t>192,79</w:t>
            </w:r>
          </w:p>
        </w:tc>
        <w:tc>
          <w:tcPr>
            <w:tcW w:w="359" w:type="pct"/>
            <w:shd w:val="clear" w:color="auto" w:fill="auto"/>
            <w:tcMar>
              <w:left w:w="28" w:type="dxa"/>
              <w:right w:w="28" w:type="dxa"/>
            </w:tcMar>
            <w:vAlign w:val="center"/>
          </w:tcPr>
          <w:p w14:paraId="0FBD06F1" w14:textId="77777777" w:rsidR="004A0123" w:rsidRPr="00640447" w:rsidRDefault="004A0123" w:rsidP="008A5C11">
            <w:pPr>
              <w:jc w:val="center"/>
              <w:rPr>
                <w:sz w:val="13"/>
                <w:szCs w:val="13"/>
              </w:rPr>
            </w:pPr>
            <w:r w:rsidRPr="00640447">
              <w:rPr>
                <w:sz w:val="13"/>
                <w:szCs w:val="13"/>
              </w:rPr>
              <w:t>192,79</w:t>
            </w:r>
          </w:p>
        </w:tc>
        <w:tc>
          <w:tcPr>
            <w:tcW w:w="360" w:type="pct"/>
            <w:shd w:val="clear" w:color="auto" w:fill="auto"/>
            <w:vAlign w:val="center"/>
          </w:tcPr>
          <w:p w14:paraId="61C00398" w14:textId="77777777" w:rsidR="004A0123" w:rsidRPr="00640447" w:rsidRDefault="004A0123" w:rsidP="008A5C11">
            <w:pPr>
              <w:jc w:val="center"/>
              <w:rPr>
                <w:sz w:val="13"/>
                <w:szCs w:val="13"/>
              </w:rPr>
            </w:pPr>
            <w:r w:rsidRPr="00640447">
              <w:rPr>
                <w:sz w:val="13"/>
                <w:szCs w:val="13"/>
              </w:rPr>
              <w:t>189,17</w:t>
            </w:r>
          </w:p>
        </w:tc>
        <w:tc>
          <w:tcPr>
            <w:tcW w:w="316" w:type="pct"/>
            <w:shd w:val="clear" w:color="auto" w:fill="auto"/>
            <w:vAlign w:val="center"/>
          </w:tcPr>
          <w:p w14:paraId="1E56D954" w14:textId="77777777" w:rsidR="004A0123" w:rsidRPr="00640447" w:rsidRDefault="004A0123" w:rsidP="008A5C11">
            <w:pPr>
              <w:jc w:val="center"/>
              <w:rPr>
                <w:sz w:val="13"/>
                <w:szCs w:val="13"/>
              </w:rPr>
            </w:pPr>
            <w:r w:rsidRPr="00640447">
              <w:rPr>
                <w:sz w:val="13"/>
                <w:szCs w:val="13"/>
              </w:rPr>
              <w:t>189,17</w:t>
            </w:r>
          </w:p>
        </w:tc>
        <w:tc>
          <w:tcPr>
            <w:tcW w:w="359" w:type="pct"/>
            <w:shd w:val="clear" w:color="auto" w:fill="auto"/>
            <w:tcMar>
              <w:left w:w="28" w:type="dxa"/>
              <w:right w:w="28" w:type="dxa"/>
            </w:tcMar>
            <w:vAlign w:val="center"/>
          </w:tcPr>
          <w:p w14:paraId="04DC2FB4" w14:textId="77777777" w:rsidR="004A0123" w:rsidRPr="00640447" w:rsidRDefault="004A0123" w:rsidP="008A5C11">
            <w:pPr>
              <w:jc w:val="center"/>
              <w:rPr>
                <w:sz w:val="13"/>
                <w:szCs w:val="13"/>
              </w:rPr>
            </w:pPr>
            <w:r w:rsidRPr="00640447">
              <w:rPr>
                <w:sz w:val="13"/>
                <w:szCs w:val="13"/>
              </w:rPr>
              <w:t>189,17</w:t>
            </w:r>
          </w:p>
        </w:tc>
        <w:tc>
          <w:tcPr>
            <w:tcW w:w="303" w:type="pct"/>
            <w:shd w:val="clear" w:color="auto" w:fill="auto"/>
            <w:tcMar>
              <w:left w:w="28" w:type="dxa"/>
              <w:right w:w="28" w:type="dxa"/>
            </w:tcMar>
            <w:vAlign w:val="center"/>
          </w:tcPr>
          <w:p w14:paraId="0E1ECB1C" w14:textId="77777777" w:rsidR="004A0123" w:rsidRPr="00640447" w:rsidRDefault="004A0123" w:rsidP="008A5C11">
            <w:pPr>
              <w:jc w:val="center"/>
              <w:rPr>
                <w:sz w:val="13"/>
                <w:szCs w:val="13"/>
              </w:rPr>
            </w:pPr>
            <w:r w:rsidRPr="00640447">
              <w:rPr>
                <w:sz w:val="13"/>
                <w:szCs w:val="13"/>
              </w:rPr>
              <w:t>189,17</w:t>
            </w:r>
          </w:p>
        </w:tc>
        <w:tc>
          <w:tcPr>
            <w:tcW w:w="303" w:type="pct"/>
            <w:shd w:val="clear" w:color="auto" w:fill="auto"/>
            <w:tcMar>
              <w:left w:w="28" w:type="dxa"/>
              <w:right w:w="28" w:type="dxa"/>
            </w:tcMar>
            <w:vAlign w:val="center"/>
          </w:tcPr>
          <w:p w14:paraId="4E62A5EC" w14:textId="77777777" w:rsidR="004A0123" w:rsidRPr="00640447" w:rsidRDefault="004A0123" w:rsidP="008A5C11">
            <w:pPr>
              <w:jc w:val="center"/>
              <w:rPr>
                <w:sz w:val="13"/>
                <w:szCs w:val="13"/>
              </w:rPr>
            </w:pPr>
            <w:r w:rsidRPr="00640447">
              <w:rPr>
                <w:sz w:val="13"/>
                <w:szCs w:val="13"/>
              </w:rPr>
              <w:t>189,17</w:t>
            </w:r>
          </w:p>
        </w:tc>
        <w:tc>
          <w:tcPr>
            <w:tcW w:w="303" w:type="pct"/>
            <w:shd w:val="clear" w:color="auto" w:fill="auto"/>
            <w:tcMar>
              <w:left w:w="28" w:type="dxa"/>
              <w:right w:w="28" w:type="dxa"/>
            </w:tcMar>
            <w:vAlign w:val="center"/>
          </w:tcPr>
          <w:p w14:paraId="398423C7" w14:textId="77777777" w:rsidR="004A0123" w:rsidRPr="00640447" w:rsidRDefault="004A0123" w:rsidP="008A5C11">
            <w:pPr>
              <w:jc w:val="center"/>
              <w:rPr>
                <w:sz w:val="13"/>
                <w:szCs w:val="13"/>
              </w:rPr>
            </w:pPr>
            <w:r w:rsidRPr="00640447">
              <w:rPr>
                <w:sz w:val="13"/>
                <w:szCs w:val="13"/>
              </w:rPr>
              <w:t>189,17</w:t>
            </w:r>
          </w:p>
        </w:tc>
        <w:tc>
          <w:tcPr>
            <w:tcW w:w="307" w:type="pct"/>
            <w:shd w:val="clear" w:color="auto" w:fill="auto"/>
            <w:vAlign w:val="center"/>
          </w:tcPr>
          <w:p w14:paraId="1D5D695A" w14:textId="77777777" w:rsidR="004A0123" w:rsidRPr="00640447" w:rsidRDefault="004A0123" w:rsidP="008A5C11">
            <w:pPr>
              <w:jc w:val="center"/>
              <w:rPr>
                <w:sz w:val="13"/>
                <w:szCs w:val="13"/>
              </w:rPr>
            </w:pPr>
            <w:r w:rsidRPr="00640447">
              <w:rPr>
                <w:sz w:val="13"/>
                <w:szCs w:val="13"/>
              </w:rPr>
              <w:t>189,17</w:t>
            </w:r>
          </w:p>
        </w:tc>
      </w:tr>
      <w:tr w:rsidR="004A0123" w:rsidRPr="00640447" w14:paraId="080DE113" w14:textId="77777777" w:rsidTr="008A5C11">
        <w:trPr>
          <w:trHeight w:val="148"/>
          <w:jc w:val="center"/>
        </w:trPr>
        <w:tc>
          <w:tcPr>
            <w:tcW w:w="222" w:type="pct"/>
            <w:tcMar>
              <w:top w:w="62" w:type="dxa"/>
              <w:left w:w="28" w:type="dxa"/>
              <w:bottom w:w="102" w:type="dxa"/>
              <w:right w:w="28" w:type="dxa"/>
            </w:tcMar>
            <w:vAlign w:val="center"/>
          </w:tcPr>
          <w:p w14:paraId="3789D17F" w14:textId="77777777" w:rsidR="004A0123" w:rsidRPr="00640447" w:rsidRDefault="004A0123" w:rsidP="008A5C11">
            <w:pPr>
              <w:jc w:val="center"/>
              <w:rPr>
                <w:sz w:val="13"/>
                <w:szCs w:val="13"/>
              </w:rPr>
            </w:pPr>
            <w:r w:rsidRPr="00640447">
              <w:rPr>
                <w:sz w:val="13"/>
                <w:szCs w:val="13"/>
              </w:rPr>
              <w:t>2</w:t>
            </w:r>
          </w:p>
        </w:tc>
        <w:tc>
          <w:tcPr>
            <w:tcW w:w="893" w:type="pct"/>
            <w:tcMar>
              <w:top w:w="62" w:type="dxa"/>
              <w:left w:w="28" w:type="dxa"/>
              <w:bottom w:w="102" w:type="dxa"/>
              <w:right w:w="28" w:type="dxa"/>
            </w:tcMar>
            <w:vAlign w:val="center"/>
          </w:tcPr>
          <w:p w14:paraId="3D36BC18" w14:textId="77777777" w:rsidR="004A0123" w:rsidRPr="00640447" w:rsidRDefault="004A0123" w:rsidP="008A5C11">
            <w:pPr>
              <w:jc w:val="center"/>
              <w:rPr>
                <w:sz w:val="13"/>
                <w:szCs w:val="13"/>
              </w:rPr>
            </w:pPr>
            <w:r w:rsidRPr="00640447">
              <w:rPr>
                <w:sz w:val="13"/>
                <w:szCs w:val="13"/>
              </w:rPr>
              <w:t>Котельная «КСК»</w:t>
            </w:r>
          </w:p>
        </w:tc>
        <w:tc>
          <w:tcPr>
            <w:tcW w:w="558" w:type="pct"/>
            <w:shd w:val="clear" w:color="auto" w:fill="auto"/>
            <w:tcMar>
              <w:left w:w="28" w:type="dxa"/>
              <w:right w:w="28" w:type="dxa"/>
            </w:tcMar>
            <w:vAlign w:val="center"/>
          </w:tcPr>
          <w:p w14:paraId="77DABF14" w14:textId="77777777" w:rsidR="004A0123" w:rsidRPr="00640447" w:rsidRDefault="004A0123" w:rsidP="008A5C11">
            <w:pPr>
              <w:jc w:val="center"/>
              <w:rPr>
                <w:sz w:val="13"/>
                <w:szCs w:val="13"/>
              </w:rPr>
            </w:pPr>
            <w:r w:rsidRPr="00640447">
              <w:rPr>
                <w:sz w:val="13"/>
                <w:szCs w:val="13"/>
              </w:rPr>
              <w:t>190,87</w:t>
            </w:r>
          </w:p>
        </w:tc>
        <w:tc>
          <w:tcPr>
            <w:tcW w:w="356" w:type="pct"/>
            <w:shd w:val="clear" w:color="auto" w:fill="auto"/>
            <w:tcMar>
              <w:left w:w="28" w:type="dxa"/>
              <w:right w:w="28" w:type="dxa"/>
            </w:tcMar>
            <w:vAlign w:val="center"/>
          </w:tcPr>
          <w:p w14:paraId="1DE164B8" w14:textId="77777777" w:rsidR="004A0123" w:rsidRPr="00640447" w:rsidRDefault="004A0123" w:rsidP="008A5C11">
            <w:pPr>
              <w:jc w:val="center"/>
              <w:rPr>
                <w:sz w:val="13"/>
                <w:szCs w:val="13"/>
              </w:rPr>
            </w:pPr>
            <w:r w:rsidRPr="00640447">
              <w:rPr>
                <w:sz w:val="13"/>
                <w:szCs w:val="13"/>
              </w:rPr>
              <w:t>190,87</w:t>
            </w:r>
          </w:p>
        </w:tc>
        <w:tc>
          <w:tcPr>
            <w:tcW w:w="361" w:type="pct"/>
            <w:shd w:val="clear" w:color="auto" w:fill="auto"/>
            <w:tcMar>
              <w:left w:w="28" w:type="dxa"/>
              <w:right w:w="28" w:type="dxa"/>
            </w:tcMar>
            <w:vAlign w:val="center"/>
          </w:tcPr>
          <w:p w14:paraId="6AE1A375" w14:textId="77777777" w:rsidR="004A0123" w:rsidRPr="00640447" w:rsidRDefault="004A0123" w:rsidP="008A5C11">
            <w:pPr>
              <w:jc w:val="center"/>
              <w:rPr>
                <w:sz w:val="13"/>
                <w:szCs w:val="13"/>
              </w:rPr>
            </w:pPr>
            <w:r w:rsidRPr="00640447">
              <w:rPr>
                <w:sz w:val="13"/>
                <w:szCs w:val="13"/>
              </w:rPr>
              <w:t>190,87</w:t>
            </w:r>
          </w:p>
        </w:tc>
        <w:tc>
          <w:tcPr>
            <w:tcW w:w="359" w:type="pct"/>
            <w:shd w:val="clear" w:color="auto" w:fill="auto"/>
            <w:tcMar>
              <w:left w:w="28" w:type="dxa"/>
              <w:right w:w="28" w:type="dxa"/>
            </w:tcMar>
            <w:vAlign w:val="center"/>
          </w:tcPr>
          <w:p w14:paraId="6D48BDAE" w14:textId="77777777" w:rsidR="004A0123" w:rsidRPr="00640447" w:rsidRDefault="004A0123" w:rsidP="008A5C11">
            <w:pPr>
              <w:jc w:val="center"/>
              <w:rPr>
                <w:sz w:val="13"/>
                <w:szCs w:val="13"/>
              </w:rPr>
            </w:pPr>
            <w:r w:rsidRPr="00640447">
              <w:rPr>
                <w:sz w:val="13"/>
                <w:szCs w:val="13"/>
              </w:rPr>
              <w:t>190,87</w:t>
            </w:r>
          </w:p>
        </w:tc>
        <w:tc>
          <w:tcPr>
            <w:tcW w:w="360" w:type="pct"/>
            <w:shd w:val="clear" w:color="auto" w:fill="auto"/>
            <w:vAlign w:val="center"/>
          </w:tcPr>
          <w:p w14:paraId="1AA1B7EC" w14:textId="77777777" w:rsidR="004A0123" w:rsidRPr="00640447" w:rsidRDefault="004A0123" w:rsidP="008A5C11">
            <w:pPr>
              <w:jc w:val="center"/>
              <w:rPr>
                <w:sz w:val="13"/>
                <w:szCs w:val="13"/>
              </w:rPr>
            </w:pPr>
            <w:r w:rsidRPr="00640447">
              <w:rPr>
                <w:sz w:val="13"/>
                <w:szCs w:val="13"/>
              </w:rPr>
              <w:t>190,87</w:t>
            </w:r>
          </w:p>
        </w:tc>
        <w:tc>
          <w:tcPr>
            <w:tcW w:w="316" w:type="pct"/>
            <w:shd w:val="clear" w:color="auto" w:fill="auto"/>
            <w:vAlign w:val="center"/>
          </w:tcPr>
          <w:p w14:paraId="49198804" w14:textId="77777777" w:rsidR="004A0123" w:rsidRPr="00640447" w:rsidRDefault="004A0123" w:rsidP="008A5C11">
            <w:pPr>
              <w:jc w:val="center"/>
              <w:rPr>
                <w:sz w:val="13"/>
                <w:szCs w:val="13"/>
              </w:rPr>
            </w:pPr>
            <w:r w:rsidRPr="00640447">
              <w:rPr>
                <w:sz w:val="13"/>
                <w:szCs w:val="13"/>
              </w:rPr>
              <w:t>190,87</w:t>
            </w:r>
          </w:p>
        </w:tc>
        <w:tc>
          <w:tcPr>
            <w:tcW w:w="359" w:type="pct"/>
            <w:shd w:val="clear" w:color="auto" w:fill="auto"/>
            <w:tcMar>
              <w:left w:w="28" w:type="dxa"/>
              <w:right w:w="28" w:type="dxa"/>
            </w:tcMar>
            <w:vAlign w:val="center"/>
          </w:tcPr>
          <w:p w14:paraId="7383CC87" w14:textId="77777777" w:rsidR="004A0123" w:rsidRPr="00640447" w:rsidRDefault="004A0123" w:rsidP="008A5C11">
            <w:pPr>
              <w:jc w:val="center"/>
              <w:rPr>
                <w:sz w:val="13"/>
                <w:szCs w:val="13"/>
              </w:rPr>
            </w:pPr>
            <w:r w:rsidRPr="00640447">
              <w:rPr>
                <w:sz w:val="13"/>
                <w:szCs w:val="13"/>
              </w:rPr>
              <w:t>190,87</w:t>
            </w:r>
          </w:p>
        </w:tc>
        <w:tc>
          <w:tcPr>
            <w:tcW w:w="303" w:type="pct"/>
            <w:shd w:val="clear" w:color="auto" w:fill="auto"/>
            <w:tcMar>
              <w:left w:w="28" w:type="dxa"/>
              <w:right w:w="28" w:type="dxa"/>
            </w:tcMar>
            <w:vAlign w:val="center"/>
          </w:tcPr>
          <w:p w14:paraId="224A5766" w14:textId="77777777" w:rsidR="004A0123" w:rsidRPr="00640447" w:rsidRDefault="004A0123" w:rsidP="008A5C11">
            <w:pPr>
              <w:jc w:val="center"/>
              <w:rPr>
                <w:sz w:val="13"/>
                <w:szCs w:val="13"/>
              </w:rPr>
            </w:pPr>
            <w:r w:rsidRPr="00640447">
              <w:rPr>
                <w:sz w:val="13"/>
                <w:szCs w:val="13"/>
              </w:rPr>
              <w:t>190,87</w:t>
            </w:r>
          </w:p>
        </w:tc>
        <w:tc>
          <w:tcPr>
            <w:tcW w:w="303" w:type="pct"/>
            <w:shd w:val="clear" w:color="auto" w:fill="auto"/>
            <w:tcMar>
              <w:left w:w="28" w:type="dxa"/>
              <w:right w:w="28" w:type="dxa"/>
            </w:tcMar>
            <w:vAlign w:val="center"/>
          </w:tcPr>
          <w:p w14:paraId="19079D61" w14:textId="77777777" w:rsidR="004A0123" w:rsidRPr="00640447" w:rsidRDefault="004A0123" w:rsidP="008A5C11">
            <w:pPr>
              <w:jc w:val="center"/>
              <w:rPr>
                <w:sz w:val="13"/>
                <w:szCs w:val="13"/>
              </w:rPr>
            </w:pPr>
            <w:r w:rsidRPr="00640447">
              <w:rPr>
                <w:sz w:val="13"/>
                <w:szCs w:val="13"/>
              </w:rPr>
              <w:t>190,87</w:t>
            </w:r>
          </w:p>
        </w:tc>
        <w:tc>
          <w:tcPr>
            <w:tcW w:w="303" w:type="pct"/>
            <w:shd w:val="clear" w:color="auto" w:fill="auto"/>
            <w:tcMar>
              <w:left w:w="28" w:type="dxa"/>
              <w:right w:w="28" w:type="dxa"/>
            </w:tcMar>
            <w:vAlign w:val="center"/>
          </w:tcPr>
          <w:p w14:paraId="542D43FD" w14:textId="77777777" w:rsidR="004A0123" w:rsidRPr="00640447" w:rsidRDefault="004A0123" w:rsidP="008A5C11">
            <w:pPr>
              <w:jc w:val="center"/>
              <w:rPr>
                <w:sz w:val="13"/>
                <w:szCs w:val="13"/>
              </w:rPr>
            </w:pPr>
            <w:r w:rsidRPr="00640447">
              <w:rPr>
                <w:sz w:val="13"/>
                <w:szCs w:val="13"/>
              </w:rPr>
              <w:t>190,45</w:t>
            </w:r>
          </w:p>
        </w:tc>
        <w:tc>
          <w:tcPr>
            <w:tcW w:w="307" w:type="pct"/>
            <w:shd w:val="clear" w:color="auto" w:fill="auto"/>
            <w:vAlign w:val="center"/>
          </w:tcPr>
          <w:p w14:paraId="67963220" w14:textId="77777777" w:rsidR="004A0123" w:rsidRPr="00640447" w:rsidRDefault="004A0123" w:rsidP="008A5C11">
            <w:pPr>
              <w:jc w:val="center"/>
              <w:rPr>
                <w:sz w:val="13"/>
                <w:szCs w:val="13"/>
              </w:rPr>
            </w:pPr>
            <w:r w:rsidRPr="00640447">
              <w:rPr>
                <w:sz w:val="13"/>
                <w:szCs w:val="13"/>
              </w:rPr>
              <w:t>190,45</w:t>
            </w:r>
          </w:p>
        </w:tc>
      </w:tr>
      <w:tr w:rsidR="004A0123" w:rsidRPr="00640447" w14:paraId="7C33AC90" w14:textId="77777777" w:rsidTr="008A5C11">
        <w:trPr>
          <w:trHeight w:val="148"/>
          <w:jc w:val="center"/>
        </w:trPr>
        <w:tc>
          <w:tcPr>
            <w:tcW w:w="222" w:type="pct"/>
            <w:tcMar>
              <w:top w:w="62" w:type="dxa"/>
              <w:left w:w="28" w:type="dxa"/>
              <w:bottom w:w="102" w:type="dxa"/>
              <w:right w:w="28" w:type="dxa"/>
            </w:tcMar>
            <w:vAlign w:val="center"/>
          </w:tcPr>
          <w:p w14:paraId="17805B83" w14:textId="77777777" w:rsidR="004A0123" w:rsidRPr="00640447" w:rsidRDefault="004A0123" w:rsidP="008A5C11">
            <w:pPr>
              <w:jc w:val="center"/>
              <w:rPr>
                <w:sz w:val="13"/>
                <w:szCs w:val="13"/>
              </w:rPr>
            </w:pPr>
            <w:r w:rsidRPr="00640447">
              <w:rPr>
                <w:sz w:val="13"/>
                <w:szCs w:val="13"/>
              </w:rPr>
              <w:t>3</w:t>
            </w:r>
          </w:p>
        </w:tc>
        <w:tc>
          <w:tcPr>
            <w:tcW w:w="893" w:type="pct"/>
            <w:tcMar>
              <w:top w:w="62" w:type="dxa"/>
              <w:left w:w="28" w:type="dxa"/>
              <w:bottom w:w="102" w:type="dxa"/>
              <w:right w:w="28" w:type="dxa"/>
            </w:tcMar>
            <w:vAlign w:val="center"/>
          </w:tcPr>
          <w:p w14:paraId="3243809D" w14:textId="77777777" w:rsidR="004A0123" w:rsidRPr="00640447" w:rsidRDefault="004A0123" w:rsidP="008A5C11">
            <w:pPr>
              <w:jc w:val="center"/>
              <w:rPr>
                <w:sz w:val="13"/>
                <w:szCs w:val="13"/>
              </w:rPr>
            </w:pPr>
            <w:r w:rsidRPr="00640447">
              <w:rPr>
                <w:sz w:val="13"/>
                <w:szCs w:val="13"/>
              </w:rPr>
              <w:t>Котельная «Центральная»</w:t>
            </w:r>
          </w:p>
        </w:tc>
        <w:tc>
          <w:tcPr>
            <w:tcW w:w="558" w:type="pct"/>
            <w:shd w:val="clear" w:color="auto" w:fill="auto"/>
            <w:tcMar>
              <w:left w:w="28" w:type="dxa"/>
              <w:right w:w="28" w:type="dxa"/>
            </w:tcMar>
            <w:vAlign w:val="center"/>
          </w:tcPr>
          <w:p w14:paraId="62A9E093" w14:textId="77777777" w:rsidR="004A0123" w:rsidRPr="00640447" w:rsidRDefault="004A0123" w:rsidP="008A5C11">
            <w:pPr>
              <w:jc w:val="center"/>
              <w:rPr>
                <w:sz w:val="13"/>
                <w:szCs w:val="13"/>
              </w:rPr>
            </w:pPr>
            <w:r w:rsidRPr="00640447">
              <w:rPr>
                <w:sz w:val="13"/>
                <w:szCs w:val="13"/>
              </w:rPr>
              <w:t>210,66</w:t>
            </w:r>
          </w:p>
        </w:tc>
        <w:tc>
          <w:tcPr>
            <w:tcW w:w="356" w:type="pct"/>
            <w:shd w:val="clear" w:color="auto" w:fill="auto"/>
            <w:tcMar>
              <w:left w:w="28" w:type="dxa"/>
              <w:right w:w="28" w:type="dxa"/>
            </w:tcMar>
            <w:vAlign w:val="center"/>
          </w:tcPr>
          <w:p w14:paraId="2A194391" w14:textId="77777777" w:rsidR="004A0123" w:rsidRPr="00640447" w:rsidRDefault="004A0123" w:rsidP="008A5C11">
            <w:pPr>
              <w:jc w:val="center"/>
              <w:rPr>
                <w:sz w:val="13"/>
                <w:szCs w:val="13"/>
              </w:rPr>
            </w:pPr>
            <w:r w:rsidRPr="00640447">
              <w:rPr>
                <w:sz w:val="13"/>
                <w:szCs w:val="13"/>
              </w:rPr>
              <w:t>210,66</w:t>
            </w:r>
          </w:p>
        </w:tc>
        <w:tc>
          <w:tcPr>
            <w:tcW w:w="361" w:type="pct"/>
            <w:shd w:val="clear" w:color="auto" w:fill="auto"/>
            <w:tcMar>
              <w:left w:w="28" w:type="dxa"/>
              <w:right w:w="28" w:type="dxa"/>
            </w:tcMar>
            <w:vAlign w:val="center"/>
          </w:tcPr>
          <w:p w14:paraId="2641D530" w14:textId="77777777" w:rsidR="004A0123" w:rsidRPr="00640447" w:rsidRDefault="004A0123" w:rsidP="008A5C11">
            <w:pPr>
              <w:jc w:val="center"/>
              <w:rPr>
                <w:sz w:val="13"/>
                <w:szCs w:val="13"/>
              </w:rPr>
            </w:pPr>
            <w:r w:rsidRPr="00640447">
              <w:rPr>
                <w:sz w:val="13"/>
                <w:szCs w:val="13"/>
              </w:rPr>
              <w:t>210,66</w:t>
            </w:r>
          </w:p>
        </w:tc>
        <w:tc>
          <w:tcPr>
            <w:tcW w:w="359" w:type="pct"/>
            <w:shd w:val="clear" w:color="auto" w:fill="auto"/>
            <w:tcMar>
              <w:left w:w="28" w:type="dxa"/>
              <w:right w:w="28" w:type="dxa"/>
            </w:tcMar>
            <w:vAlign w:val="center"/>
          </w:tcPr>
          <w:p w14:paraId="469C5F2A" w14:textId="77777777" w:rsidR="004A0123" w:rsidRPr="00640447" w:rsidRDefault="004A0123" w:rsidP="008A5C11">
            <w:pPr>
              <w:jc w:val="center"/>
              <w:rPr>
                <w:sz w:val="13"/>
                <w:szCs w:val="13"/>
              </w:rPr>
            </w:pPr>
            <w:r w:rsidRPr="00640447">
              <w:rPr>
                <w:sz w:val="13"/>
                <w:szCs w:val="13"/>
              </w:rPr>
              <w:t>210,66</w:t>
            </w:r>
          </w:p>
        </w:tc>
        <w:tc>
          <w:tcPr>
            <w:tcW w:w="360" w:type="pct"/>
            <w:shd w:val="clear" w:color="auto" w:fill="auto"/>
            <w:vAlign w:val="center"/>
          </w:tcPr>
          <w:p w14:paraId="77FBA818" w14:textId="77777777" w:rsidR="004A0123" w:rsidRPr="00640447" w:rsidRDefault="004A0123" w:rsidP="008A5C11">
            <w:pPr>
              <w:jc w:val="center"/>
              <w:rPr>
                <w:sz w:val="13"/>
                <w:szCs w:val="13"/>
              </w:rPr>
            </w:pPr>
            <w:r w:rsidRPr="00640447">
              <w:rPr>
                <w:sz w:val="13"/>
                <w:szCs w:val="13"/>
              </w:rPr>
              <w:t>205,40</w:t>
            </w:r>
          </w:p>
        </w:tc>
        <w:tc>
          <w:tcPr>
            <w:tcW w:w="316" w:type="pct"/>
            <w:shd w:val="clear" w:color="auto" w:fill="auto"/>
            <w:vAlign w:val="center"/>
          </w:tcPr>
          <w:p w14:paraId="0C6C98C2" w14:textId="77777777" w:rsidR="004A0123" w:rsidRPr="00640447" w:rsidRDefault="004A0123" w:rsidP="008A5C11">
            <w:pPr>
              <w:jc w:val="center"/>
              <w:rPr>
                <w:sz w:val="13"/>
                <w:szCs w:val="13"/>
              </w:rPr>
            </w:pPr>
            <w:r w:rsidRPr="00640447">
              <w:rPr>
                <w:sz w:val="13"/>
                <w:szCs w:val="13"/>
              </w:rPr>
              <w:t>198,67</w:t>
            </w:r>
          </w:p>
        </w:tc>
        <w:tc>
          <w:tcPr>
            <w:tcW w:w="359" w:type="pct"/>
            <w:shd w:val="clear" w:color="auto" w:fill="auto"/>
            <w:tcMar>
              <w:left w:w="28" w:type="dxa"/>
              <w:right w:w="28" w:type="dxa"/>
            </w:tcMar>
            <w:vAlign w:val="center"/>
          </w:tcPr>
          <w:p w14:paraId="3D2CFDA7" w14:textId="77777777" w:rsidR="004A0123" w:rsidRPr="00640447" w:rsidRDefault="004A0123" w:rsidP="008A5C11">
            <w:pPr>
              <w:jc w:val="center"/>
              <w:rPr>
                <w:sz w:val="13"/>
                <w:szCs w:val="13"/>
              </w:rPr>
            </w:pPr>
            <w:r w:rsidRPr="00640447">
              <w:rPr>
                <w:sz w:val="13"/>
                <w:szCs w:val="13"/>
              </w:rPr>
              <w:t>198,67</w:t>
            </w:r>
          </w:p>
        </w:tc>
        <w:tc>
          <w:tcPr>
            <w:tcW w:w="303" w:type="pct"/>
            <w:shd w:val="clear" w:color="auto" w:fill="auto"/>
            <w:tcMar>
              <w:left w:w="28" w:type="dxa"/>
              <w:right w:w="28" w:type="dxa"/>
            </w:tcMar>
            <w:vAlign w:val="center"/>
          </w:tcPr>
          <w:p w14:paraId="020BCBD5" w14:textId="77777777" w:rsidR="004A0123" w:rsidRPr="00640447" w:rsidRDefault="004A0123" w:rsidP="008A5C11">
            <w:pPr>
              <w:jc w:val="center"/>
              <w:rPr>
                <w:sz w:val="13"/>
                <w:szCs w:val="13"/>
              </w:rPr>
            </w:pPr>
            <w:r w:rsidRPr="00640447">
              <w:rPr>
                <w:sz w:val="13"/>
                <w:szCs w:val="13"/>
              </w:rPr>
              <w:t>198,67</w:t>
            </w:r>
          </w:p>
        </w:tc>
        <w:tc>
          <w:tcPr>
            <w:tcW w:w="303" w:type="pct"/>
            <w:shd w:val="clear" w:color="auto" w:fill="auto"/>
            <w:tcMar>
              <w:left w:w="28" w:type="dxa"/>
              <w:right w:w="28" w:type="dxa"/>
            </w:tcMar>
            <w:vAlign w:val="center"/>
          </w:tcPr>
          <w:p w14:paraId="19976DE4" w14:textId="77777777" w:rsidR="004A0123" w:rsidRPr="00640447" w:rsidRDefault="004A0123" w:rsidP="008A5C11">
            <w:pPr>
              <w:jc w:val="center"/>
              <w:rPr>
                <w:sz w:val="13"/>
                <w:szCs w:val="13"/>
              </w:rPr>
            </w:pPr>
            <w:r w:rsidRPr="00640447">
              <w:rPr>
                <w:sz w:val="13"/>
                <w:szCs w:val="13"/>
              </w:rPr>
              <w:t>198,67</w:t>
            </w:r>
          </w:p>
        </w:tc>
        <w:tc>
          <w:tcPr>
            <w:tcW w:w="303" w:type="pct"/>
            <w:shd w:val="clear" w:color="auto" w:fill="auto"/>
            <w:tcMar>
              <w:left w:w="28" w:type="dxa"/>
              <w:right w:w="28" w:type="dxa"/>
            </w:tcMar>
            <w:vAlign w:val="center"/>
          </w:tcPr>
          <w:p w14:paraId="615F908E" w14:textId="77777777" w:rsidR="004A0123" w:rsidRPr="00640447" w:rsidRDefault="004A0123" w:rsidP="008A5C11">
            <w:pPr>
              <w:jc w:val="center"/>
              <w:rPr>
                <w:sz w:val="13"/>
                <w:szCs w:val="13"/>
              </w:rPr>
            </w:pPr>
            <w:r w:rsidRPr="00640447">
              <w:rPr>
                <w:sz w:val="13"/>
                <w:szCs w:val="13"/>
              </w:rPr>
              <w:t>198,67</w:t>
            </w:r>
          </w:p>
        </w:tc>
        <w:tc>
          <w:tcPr>
            <w:tcW w:w="307" w:type="pct"/>
            <w:shd w:val="clear" w:color="auto" w:fill="auto"/>
            <w:vAlign w:val="center"/>
          </w:tcPr>
          <w:p w14:paraId="2A39886E" w14:textId="77777777" w:rsidR="004A0123" w:rsidRPr="00640447" w:rsidRDefault="004A0123" w:rsidP="008A5C11">
            <w:pPr>
              <w:jc w:val="center"/>
              <w:rPr>
                <w:sz w:val="13"/>
                <w:szCs w:val="13"/>
              </w:rPr>
            </w:pPr>
            <w:r w:rsidRPr="00640447">
              <w:rPr>
                <w:sz w:val="13"/>
                <w:szCs w:val="13"/>
              </w:rPr>
              <w:t>198,67</w:t>
            </w:r>
          </w:p>
        </w:tc>
      </w:tr>
      <w:tr w:rsidR="004A0123" w:rsidRPr="00640447" w14:paraId="09A1992A" w14:textId="77777777" w:rsidTr="008A5C11">
        <w:trPr>
          <w:trHeight w:val="148"/>
          <w:jc w:val="center"/>
        </w:trPr>
        <w:tc>
          <w:tcPr>
            <w:tcW w:w="222" w:type="pct"/>
            <w:tcMar>
              <w:top w:w="62" w:type="dxa"/>
              <w:left w:w="28" w:type="dxa"/>
              <w:bottom w:w="102" w:type="dxa"/>
              <w:right w:w="28" w:type="dxa"/>
            </w:tcMar>
            <w:vAlign w:val="center"/>
          </w:tcPr>
          <w:p w14:paraId="657010E3" w14:textId="77777777" w:rsidR="004A0123" w:rsidRPr="00640447" w:rsidRDefault="004A0123" w:rsidP="008A5C11">
            <w:pPr>
              <w:jc w:val="center"/>
              <w:rPr>
                <w:sz w:val="13"/>
                <w:szCs w:val="13"/>
              </w:rPr>
            </w:pPr>
            <w:r w:rsidRPr="00640447">
              <w:rPr>
                <w:sz w:val="13"/>
                <w:szCs w:val="13"/>
              </w:rPr>
              <w:t>4</w:t>
            </w:r>
          </w:p>
        </w:tc>
        <w:tc>
          <w:tcPr>
            <w:tcW w:w="893" w:type="pct"/>
            <w:tcMar>
              <w:top w:w="62" w:type="dxa"/>
              <w:left w:w="28" w:type="dxa"/>
              <w:bottom w:w="102" w:type="dxa"/>
              <w:right w:w="28" w:type="dxa"/>
            </w:tcMar>
            <w:vAlign w:val="center"/>
          </w:tcPr>
          <w:p w14:paraId="1744C8FB" w14:textId="77777777" w:rsidR="004A0123" w:rsidRPr="00640447" w:rsidRDefault="004A0123" w:rsidP="008A5C11">
            <w:pPr>
              <w:jc w:val="center"/>
              <w:rPr>
                <w:sz w:val="13"/>
                <w:szCs w:val="13"/>
              </w:rPr>
            </w:pPr>
            <w:r w:rsidRPr="00640447">
              <w:rPr>
                <w:sz w:val="13"/>
                <w:szCs w:val="13"/>
              </w:rPr>
              <w:t>Котельная «Привокзальная»</w:t>
            </w:r>
          </w:p>
        </w:tc>
        <w:tc>
          <w:tcPr>
            <w:tcW w:w="558" w:type="pct"/>
            <w:shd w:val="clear" w:color="auto" w:fill="auto"/>
            <w:tcMar>
              <w:left w:w="28" w:type="dxa"/>
              <w:right w:w="28" w:type="dxa"/>
            </w:tcMar>
            <w:vAlign w:val="center"/>
          </w:tcPr>
          <w:p w14:paraId="44DF09F8" w14:textId="77777777" w:rsidR="004A0123" w:rsidRPr="00640447" w:rsidRDefault="004A0123" w:rsidP="008A5C11">
            <w:pPr>
              <w:jc w:val="center"/>
              <w:rPr>
                <w:sz w:val="13"/>
                <w:szCs w:val="13"/>
              </w:rPr>
            </w:pPr>
            <w:r w:rsidRPr="00640447">
              <w:rPr>
                <w:sz w:val="13"/>
                <w:szCs w:val="13"/>
              </w:rPr>
              <w:t>203,48</w:t>
            </w:r>
          </w:p>
        </w:tc>
        <w:tc>
          <w:tcPr>
            <w:tcW w:w="356" w:type="pct"/>
            <w:shd w:val="clear" w:color="auto" w:fill="auto"/>
            <w:tcMar>
              <w:left w:w="28" w:type="dxa"/>
              <w:right w:w="28" w:type="dxa"/>
            </w:tcMar>
            <w:vAlign w:val="center"/>
          </w:tcPr>
          <w:p w14:paraId="3B8E3F31" w14:textId="77777777" w:rsidR="004A0123" w:rsidRPr="00640447" w:rsidRDefault="004A0123" w:rsidP="008A5C11">
            <w:pPr>
              <w:jc w:val="center"/>
              <w:rPr>
                <w:sz w:val="13"/>
                <w:szCs w:val="13"/>
              </w:rPr>
            </w:pPr>
            <w:r w:rsidRPr="00640447">
              <w:rPr>
                <w:sz w:val="13"/>
                <w:szCs w:val="13"/>
              </w:rPr>
              <w:t>203,48</w:t>
            </w:r>
          </w:p>
        </w:tc>
        <w:tc>
          <w:tcPr>
            <w:tcW w:w="361" w:type="pct"/>
            <w:shd w:val="clear" w:color="auto" w:fill="auto"/>
            <w:tcMar>
              <w:left w:w="28" w:type="dxa"/>
              <w:right w:w="28" w:type="dxa"/>
            </w:tcMar>
            <w:vAlign w:val="center"/>
          </w:tcPr>
          <w:p w14:paraId="5B1B1B4F" w14:textId="77777777" w:rsidR="004A0123" w:rsidRPr="00640447" w:rsidRDefault="004A0123" w:rsidP="008A5C11">
            <w:pPr>
              <w:jc w:val="center"/>
              <w:rPr>
                <w:sz w:val="13"/>
                <w:szCs w:val="13"/>
              </w:rPr>
            </w:pPr>
            <w:r w:rsidRPr="00640447">
              <w:rPr>
                <w:sz w:val="13"/>
                <w:szCs w:val="13"/>
              </w:rPr>
              <w:t>203,48</w:t>
            </w:r>
          </w:p>
        </w:tc>
        <w:tc>
          <w:tcPr>
            <w:tcW w:w="359" w:type="pct"/>
            <w:shd w:val="clear" w:color="auto" w:fill="auto"/>
            <w:tcMar>
              <w:left w:w="28" w:type="dxa"/>
              <w:right w:w="28" w:type="dxa"/>
            </w:tcMar>
            <w:vAlign w:val="center"/>
          </w:tcPr>
          <w:p w14:paraId="39F37DBE" w14:textId="77777777" w:rsidR="004A0123" w:rsidRPr="00640447" w:rsidRDefault="004A0123" w:rsidP="008A5C11">
            <w:pPr>
              <w:jc w:val="center"/>
              <w:rPr>
                <w:sz w:val="13"/>
                <w:szCs w:val="13"/>
              </w:rPr>
            </w:pPr>
            <w:r w:rsidRPr="00640447">
              <w:rPr>
                <w:sz w:val="13"/>
                <w:szCs w:val="13"/>
              </w:rPr>
              <w:t>203,48</w:t>
            </w:r>
          </w:p>
        </w:tc>
        <w:tc>
          <w:tcPr>
            <w:tcW w:w="360" w:type="pct"/>
            <w:shd w:val="clear" w:color="auto" w:fill="auto"/>
            <w:vAlign w:val="center"/>
          </w:tcPr>
          <w:p w14:paraId="4D2BA5E8" w14:textId="77777777" w:rsidR="004A0123" w:rsidRPr="00640447" w:rsidRDefault="004A0123" w:rsidP="008A5C11">
            <w:pPr>
              <w:jc w:val="center"/>
              <w:rPr>
                <w:sz w:val="13"/>
                <w:szCs w:val="13"/>
              </w:rPr>
            </w:pPr>
            <w:r w:rsidRPr="00640447">
              <w:rPr>
                <w:sz w:val="13"/>
                <w:szCs w:val="13"/>
              </w:rPr>
              <w:t>203,48</w:t>
            </w:r>
          </w:p>
        </w:tc>
        <w:tc>
          <w:tcPr>
            <w:tcW w:w="316" w:type="pct"/>
            <w:shd w:val="clear" w:color="auto" w:fill="auto"/>
            <w:vAlign w:val="center"/>
          </w:tcPr>
          <w:p w14:paraId="1E88A4DA" w14:textId="77777777" w:rsidR="004A0123" w:rsidRPr="00640447" w:rsidRDefault="004A0123" w:rsidP="008A5C11">
            <w:pPr>
              <w:jc w:val="center"/>
              <w:rPr>
                <w:sz w:val="13"/>
                <w:szCs w:val="13"/>
              </w:rPr>
            </w:pPr>
            <w:r w:rsidRPr="00640447">
              <w:rPr>
                <w:sz w:val="13"/>
                <w:szCs w:val="13"/>
              </w:rPr>
              <w:t>203,48</w:t>
            </w:r>
          </w:p>
        </w:tc>
        <w:tc>
          <w:tcPr>
            <w:tcW w:w="359" w:type="pct"/>
            <w:shd w:val="clear" w:color="auto" w:fill="auto"/>
            <w:tcMar>
              <w:left w:w="28" w:type="dxa"/>
              <w:right w:w="28" w:type="dxa"/>
            </w:tcMar>
            <w:vAlign w:val="center"/>
          </w:tcPr>
          <w:p w14:paraId="7B29046D" w14:textId="77777777" w:rsidR="004A0123" w:rsidRPr="00640447" w:rsidRDefault="004A0123" w:rsidP="008A5C11">
            <w:pPr>
              <w:jc w:val="center"/>
              <w:rPr>
                <w:sz w:val="13"/>
                <w:szCs w:val="13"/>
              </w:rPr>
            </w:pPr>
            <w:r w:rsidRPr="00640447">
              <w:rPr>
                <w:sz w:val="13"/>
                <w:szCs w:val="13"/>
              </w:rPr>
              <w:t>203,48</w:t>
            </w:r>
          </w:p>
        </w:tc>
        <w:tc>
          <w:tcPr>
            <w:tcW w:w="303" w:type="pct"/>
            <w:shd w:val="clear" w:color="auto" w:fill="auto"/>
            <w:tcMar>
              <w:left w:w="28" w:type="dxa"/>
              <w:right w:w="28" w:type="dxa"/>
            </w:tcMar>
            <w:vAlign w:val="center"/>
          </w:tcPr>
          <w:p w14:paraId="6F9BC381" w14:textId="77777777" w:rsidR="004A0123" w:rsidRPr="00640447" w:rsidRDefault="004A0123" w:rsidP="008A5C11">
            <w:pPr>
              <w:jc w:val="center"/>
              <w:rPr>
                <w:sz w:val="13"/>
                <w:szCs w:val="13"/>
              </w:rPr>
            </w:pPr>
            <w:r w:rsidRPr="00640447">
              <w:rPr>
                <w:sz w:val="13"/>
                <w:szCs w:val="13"/>
              </w:rPr>
              <w:t>203,48</w:t>
            </w:r>
          </w:p>
        </w:tc>
        <w:tc>
          <w:tcPr>
            <w:tcW w:w="303" w:type="pct"/>
            <w:shd w:val="clear" w:color="auto" w:fill="auto"/>
            <w:tcMar>
              <w:left w:w="28" w:type="dxa"/>
              <w:right w:w="28" w:type="dxa"/>
            </w:tcMar>
            <w:vAlign w:val="center"/>
          </w:tcPr>
          <w:p w14:paraId="45A81A15" w14:textId="77777777" w:rsidR="004A0123" w:rsidRPr="00640447" w:rsidRDefault="004A0123" w:rsidP="008A5C11">
            <w:pPr>
              <w:jc w:val="center"/>
              <w:rPr>
                <w:sz w:val="13"/>
                <w:szCs w:val="13"/>
              </w:rPr>
            </w:pPr>
            <w:r w:rsidRPr="00640447">
              <w:rPr>
                <w:sz w:val="13"/>
                <w:szCs w:val="13"/>
              </w:rPr>
              <w:t>203,48</w:t>
            </w:r>
          </w:p>
        </w:tc>
        <w:tc>
          <w:tcPr>
            <w:tcW w:w="303" w:type="pct"/>
            <w:shd w:val="clear" w:color="auto" w:fill="auto"/>
            <w:tcMar>
              <w:left w:w="28" w:type="dxa"/>
              <w:right w:w="28" w:type="dxa"/>
            </w:tcMar>
            <w:vAlign w:val="center"/>
          </w:tcPr>
          <w:p w14:paraId="5CFD78F6" w14:textId="77777777" w:rsidR="004A0123" w:rsidRPr="00640447" w:rsidRDefault="004A0123" w:rsidP="008A5C11">
            <w:pPr>
              <w:jc w:val="center"/>
              <w:rPr>
                <w:sz w:val="13"/>
                <w:szCs w:val="13"/>
              </w:rPr>
            </w:pPr>
            <w:r w:rsidRPr="00640447">
              <w:rPr>
                <w:sz w:val="13"/>
                <w:szCs w:val="13"/>
              </w:rPr>
              <w:t>203,48</w:t>
            </w:r>
          </w:p>
        </w:tc>
        <w:tc>
          <w:tcPr>
            <w:tcW w:w="307" w:type="pct"/>
            <w:shd w:val="clear" w:color="auto" w:fill="auto"/>
            <w:vAlign w:val="center"/>
          </w:tcPr>
          <w:p w14:paraId="03164D56" w14:textId="77777777" w:rsidR="004A0123" w:rsidRPr="00640447" w:rsidRDefault="004A0123" w:rsidP="008A5C11">
            <w:pPr>
              <w:jc w:val="center"/>
              <w:rPr>
                <w:sz w:val="13"/>
                <w:szCs w:val="13"/>
              </w:rPr>
            </w:pPr>
            <w:r w:rsidRPr="00640447">
              <w:rPr>
                <w:sz w:val="13"/>
                <w:szCs w:val="13"/>
              </w:rPr>
              <w:t>203,48</w:t>
            </w:r>
          </w:p>
        </w:tc>
      </w:tr>
      <w:tr w:rsidR="004A0123" w:rsidRPr="00640447" w14:paraId="1CD27455" w14:textId="77777777" w:rsidTr="008A5C11">
        <w:trPr>
          <w:trHeight w:val="148"/>
          <w:jc w:val="center"/>
        </w:trPr>
        <w:tc>
          <w:tcPr>
            <w:tcW w:w="222" w:type="pct"/>
            <w:tcMar>
              <w:top w:w="62" w:type="dxa"/>
              <w:left w:w="28" w:type="dxa"/>
              <w:bottom w:w="102" w:type="dxa"/>
              <w:right w:w="28" w:type="dxa"/>
            </w:tcMar>
            <w:vAlign w:val="center"/>
          </w:tcPr>
          <w:p w14:paraId="177D873A" w14:textId="77777777" w:rsidR="004A0123" w:rsidRPr="00640447" w:rsidRDefault="004A0123" w:rsidP="008A5C11">
            <w:pPr>
              <w:jc w:val="center"/>
              <w:rPr>
                <w:sz w:val="13"/>
                <w:szCs w:val="13"/>
              </w:rPr>
            </w:pPr>
            <w:r w:rsidRPr="00640447">
              <w:rPr>
                <w:sz w:val="13"/>
                <w:szCs w:val="13"/>
              </w:rPr>
              <w:t>5</w:t>
            </w:r>
          </w:p>
        </w:tc>
        <w:tc>
          <w:tcPr>
            <w:tcW w:w="893" w:type="pct"/>
            <w:tcMar>
              <w:top w:w="62" w:type="dxa"/>
              <w:left w:w="28" w:type="dxa"/>
              <w:bottom w:w="102" w:type="dxa"/>
              <w:right w:w="28" w:type="dxa"/>
            </w:tcMar>
            <w:vAlign w:val="center"/>
          </w:tcPr>
          <w:p w14:paraId="45B9718F" w14:textId="77777777" w:rsidR="004A0123" w:rsidRPr="00640447" w:rsidRDefault="004A0123" w:rsidP="008A5C11">
            <w:pPr>
              <w:jc w:val="center"/>
              <w:rPr>
                <w:sz w:val="13"/>
                <w:szCs w:val="13"/>
              </w:rPr>
            </w:pPr>
            <w:r w:rsidRPr="00640447">
              <w:rPr>
                <w:sz w:val="13"/>
                <w:szCs w:val="13"/>
              </w:rPr>
              <w:t>Котельная шахты «7-е Ноября»</w:t>
            </w:r>
          </w:p>
        </w:tc>
        <w:tc>
          <w:tcPr>
            <w:tcW w:w="558" w:type="pct"/>
            <w:shd w:val="clear" w:color="auto" w:fill="auto"/>
            <w:tcMar>
              <w:left w:w="28" w:type="dxa"/>
              <w:right w:w="28" w:type="dxa"/>
            </w:tcMar>
            <w:vAlign w:val="center"/>
          </w:tcPr>
          <w:p w14:paraId="76466010" w14:textId="77777777" w:rsidR="004A0123" w:rsidRPr="00640447" w:rsidRDefault="004A0123" w:rsidP="008A5C11">
            <w:pPr>
              <w:jc w:val="center"/>
              <w:rPr>
                <w:sz w:val="13"/>
                <w:szCs w:val="13"/>
              </w:rPr>
            </w:pPr>
            <w:r w:rsidRPr="00640447">
              <w:rPr>
                <w:sz w:val="13"/>
                <w:szCs w:val="13"/>
              </w:rPr>
              <w:t>220,52</w:t>
            </w:r>
          </w:p>
        </w:tc>
        <w:tc>
          <w:tcPr>
            <w:tcW w:w="356" w:type="pct"/>
            <w:shd w:val="clear" w:color="auto" w:fill="auto"/>
            <w:tcMar>
              <w:left w:w="28" w:type="dxa"/>
              <w:right w:w="28" w:type="dxa"/>
            </w:tcMar>
            <w:vAlign w:val="center"/>
          </w:tcPr>
          <w:p w14:paraId="04E0378F" w14:textId="77777777" w:rsidR="004A0123" w:rsidRPr="00640447" w:rsidRDefault="004A0123" w:rsidP="008A5C11">
            <w:pPr>
              <w:jc w:val="center"/>
              <w:rPr>
                <w:sz w:val="13"/>
                <w:szCs w:val="13"/>
              </w:rPr>
            </w:pPr>
            <w:r w:rsidRPr="00640447">
              <w:rPr>
                <w:sz w:val="13"/>
                <w:szCs w:val="13"/>
              </w:rPr>
              <w:t>220,52</w:t>
            </w:r>
          </w:p>
        </w:tc>
        <w:tc>
          <w:tcPr>
            <w:tcW w:w="361" w:type="pct"/>
            <w:shd w:val="clear" w:color="auto" w:fill="auto"/>
            <w:tcMar>
              <w:left w:w="28" w:type="dxa"/>
              <w:right w:w="28" w:type="dxa"/>
            </w:tcMar>
            <w:vAlign w:val="center"/>
          </w:tcPr>
          <w:p w14:paraId="28C0123D" w14:textId="77777777" w:rsidR="004A0123" w:rsidRPr="00640447" w:rsidRDefault="004A0123" w:rsidP="008A5C11">
            <w:pPr>
              <w:jc w:val="center"/>
              <w:rPr>
                <w:sz w:val="13"/>
                <w:szCs w:val="13"/>
              </w:rPr>
            </w:pPr>
            <w:r w:rsidRPr="00640447">
              <w:rPr>
                <w:sz w:val="13"/>
                <w:szCs w:val="13"/>
              </w:rPr>
              <w:t>220,52</w:t>
            </w:r>
          </w:p>
        </w:tc>
        <w:tc>
          <w:tcPr>
            <w:tcW w:w="359" w:type="pct"/>
            <w:shd w:val="clear" w:color="auto" w:fill="auto"/>
            <w:tcMar>
              <w:left w:w="28" w:type="dxa"/>
              <w:right w:w="28" w:type="dxa"/>
            </w:tcMar>
            <w:vAlign w:val="center"/>
          </w:tcPr>
          <w:p w14:paraId="6B8864DB" w14:textId="77777777" w:rsidR="004A0123" w:rsidRPr="00640447" w:rsidRDefault="004A0123" w:rsidP="008A5C11">
            <w:pPr>
              <w:jc w:val="center"/>
              <w:rPr>
                <w:sz w:val="13"/>
                <w:szCs w:val="13"/>
              </w:rPr>
            </w:pPr>
            <w:r w:rsidRPr="00640447">
              <w:rPr>
                <w:sz w:val="13"/>
                <w:szCs w:val="13"/>
              </w:rPr>
              <w:t>220,52</w:t>
            </w:r>
          </w:p>
        </w:tc>
        <w:tc>
          <w:tcPr>
            <w:tcW w:w="360" w:type="pct"/>
            <w:shd w:val="clear" w:color="auto" w:fill="auto"/>
            <w:vAlign w:val="center"/>
          </w:tcPr>
          <w:p w14:paraId="6A921653" w14:textId="77777777" w:rsidR="004A0123" w:rsidRPr="00640447" w:rsidRDefault="004A0123" w:rsidP="008A5C11">
            <w:pPr>
              <w:jc w:val="center"/>
              <w:rPr>
                <w:sz w:val="13"/>
                <w:szCs w:val="13"/>
              </w:rPr>
            </w:pPr>
            <w:r w:rsidRPr="00640447">
              <w:rPr>
                <w:sz w:val="13"/>
                <w:szCs w:val="13"/>
              </w:rPr>
              <w:t>220,52</w:t>
            </w:r>
          </w:p>
        </w:tc>
        <w:tc>
          <w:tcPr>
            <w:tcW w:w="316" w:type="pct"/>
            <w:shd w:val="clear" w:color="auto" w:fill="auto"/>
            <w:vAlign w:val="center"/>
          </w:tcPr>
          <w:p w14:paraId="016F563B" w14:textId="77777777" w:rsidR="004A0123" w:rsidRPr="00640447" w:rsidRDefault="004A0123" w:rsidP="008A5C11">
            <w:pPr>
              <w:jc w:val="center"/>
              <w:rPr>
                <w:sz w:val="13"/>
                <w:szCs w:val="13"/>
              </w:rPr>
            </w:pPr>
            <w:r w:rsidRPr="00640447">
              <w:rPr>
                <w:sz w:val="13"/>
                <w:szCs w:val="13"/>
              </w:rPr>
              <w:t>220,52</w:t>
            </w:r>
          </w:p>
        </w:tc>
        <w:tc>
          <w:tcPr>
            <w:tcW w:w="359" w:type="pct"/>
            <w:shd w:val="clear" w:color="auto" w:fill="auto"/>
            <w:tcMar>
              <w:left w:w="28" w:type="dxa"/>
              <w:right w:w="28" w:type="dxa"/>
            </w:tcMar>
            <w:vAlign w:val="center"/>
          </w:tcPr>
          <w:p w14:paraId="274BD460" w14:textId="77777777" w:rsidR="004A0123" w:rsidRPr="00640447" w:rsidRDefault="004A0123" w:rsidP="008A5C11">
            <w:pPr>
              <w:jc w:val="center"/>
              <w:rPr>
                <w:sz w:val="13"/>
                <w:szCs w:val="13"/>
              </w:rPr>
            </w:pPr>
            <w:r w:rsidRPr="00640447">
              <w:rPr>
                <w:sz w:val="13"/>
                <w:szCs w:val="13"/>
              </w:rPr>
              <w:t>220,52</w:t>
            </w:r>
          </w:p>
        </w:tc>
        <w:tc>
          <w:tcPr>
            <w:tcW w:w="303" w:type="pct"/>
            <w:shd w:val="clear" w:color="auto" w:fill="auto"/>
            <w:tcMar>
              <w:left w:w="28" w:type="dxa"/>
              <w:right w:w="28" w:type="dxa"/>
            </w:tcMar>
            <w:vAlign w:val="center"/>
          </w:tcPr>
          <w:p w14:paraId="231F3088" w14:textId="77777777" w:rsidR="004A0123" w:rsidRPr="00640447" w:rsidRDefault="004A0123" w:rsidP="008A5C11">
            <w:pPr>
              <w:jc w:val="center"/>
              <w:rPr>
                <w:sz w:val="13"/>
                <w:szCs w:val="13"/>
              </w:rPr>
            </w:pPr>
            <w:r w:rsidRPr="00640447">
              <w:rPr>
                <w:sz w:val="13"/>
                <w:szCs w:val="13"/>
              </w:rPr>
              <w:t>220,52</w:t>
            </w:r>
          </w:p>
        </w:tc>
        <w:tc>
          <w:tcPr>
            <w:tcW w:w="303" w:type="pct"/>
            <w:shd w:val="clear" w:color="auto" w:fill="auto"/>
            <w:tcMar>
              <w:left w:w="28" w:type="dxa"/>
              <w:right w:w="28" w:type="dxa"/>
            </w:tcMar>
            <w:vAlign w:val="center"/>
          </w:tcPr>
          <w:p w14:paraId="7E95A596" w14:textId="77777777" w:rsidR="004A0123" w:rsidRPr="00640447" w:rsidRDefault="004A0123" w:rsidP="008A5C11">
            <w:pPr>
              <w:jc w:val="center"/>
              <w:rPr>
                <w:sz w:val="13"/>
                <w:szCs w:val="13"/>
              </w:rPr>
            </w:pPr>
            <w:r w:rsidRPr="00640447">
              <w:rPr>
                <w:sz w:val="13"/>
                <w:szCs w:val="13"/>
              </w:rPr>
              <w:t>220,52</w:t>
            </w:r>
          </w:p>
        </w:tc>
        <w:tc>
          <w:tcPr>
            <w:tcW w:w="303" w:type="pct"/>
            <w:shd w:val="clear" w:color="auto" w:fill="auto"/>
            <w:tcMar>
              <w:left w:w="28" w:type="dxa"/>
              <w:right w:w="28" w:type="dxa"/>
            </w:tcMar>
            <w:vAlign w:val="center"/>
          </w:tcPr>
          <w:p w14:paraId="4DFE5B52" w14:textId="77777777" w:rsidR="004A0123" w:rsidRPr="00640447" w:rsidRDefault="004A0123" w:rsidP="008A5C11">
            <w:pPr>
              <w:jc w:val="center"/>
              <w:rPr>
                <w:sz w:val="13"/>
                <w:szCs w:val="13"/>
              </w:rPr>
            </w:pPr>
            <w:r w:rsidRPr="00640447">
              <w:rPr>
                <w:sz w:val="13"/>
                <w:szCs w:val="13"/>
              </w:rPr>
              <w:t>220,52</w:t>
            </w:r>
          </w:p>
        </w:tc>
        <w:tc>
          <w:tcPr>
            <w:tcW w:w="307" w:type="pct"/>
            <w:shd w:val="clear" w:color="auto" w:fill="auto"/>
            <w:vAlign w:val="center"/>
          </w:tcPr>
          <w:p w14:paraId="320249B5" w14:textId="77777777" w:rsidR="004A0123" w:rsidRPr="00640447" w:rsidRDefault="004A0123" w:rsidP="008A5C11">
            <w:pPr>
              <w:jc w:val="center"/>
              <w:rPr>
                <w:sz w:val="13"/>
                <w:szCs w:val="13"/>
              </w:rPr>
            </w:pPr>
            <w:r w:rsidRPr="00640447">
              <w:rPr>
                <w:sz w:val="13"/>
                <w:szCs w:val="13"/>
              </w:rPr>
              <w:t>220,52</w:t>
            </w:r>
          </w:p>
        </w:tc>
      </w:tr>
      <w:tr w:rsidR="004A0123" w:rsidRPr="00640447" w14:paraId="63350FDF" w14:textId="77777777" w:rsidTr="008A5C11">
        <w:trPr>
          <w:trHeight w:val="148"/>
          <w:jc w:val="center"/>
        </w:trPr>
        <w:tc>
          <w:tcPr>
            <w:tcW w:w="222" w:type="pct"/>
            <w:tcMar>
              <w:top w:w="62" w:type="dxa"/>
              <w:left w:w="28" w:type="dxa"/>
              <w:bottom w:w="102" w:type="dxa"/>
              <w:right w:w="28" w:type="dxa"/>
            </w:tcMar>
            <w:vAlign w:val="center"/>
          </w:tcPr>
          <w:p w14:paraId="50C5909C" w14:textId="77777777" w:rsidR="004A0123" w:rsidRPr="00640447" w:rsidRDefault="004A0123" w:rsidP="008A5C11">
            <w:pPr>
              <w:jc w:val="center"/>
              <w:rPr>
                <w:sz w:val="13"/>
                <w:szCs w:val="13"/>
              </w:rPr>
            </w:pPr>
            <w:r w:rsidRPr="00640447">
              <w:rPr>
                <w:sz w:val="13"/>
                <w:szCs w:val="13"/>
              </w:rPr>
              <w:t>6</w:t>
            </w:r>
          </w:p>
        </w:tc>
        <w:tc>
          <w:tcPr>
            <w:tcW w:w="893" w:type="pct"/>
            <w:tcMar>
              <w:top w:w="62" w:type="dxa"/>
              <w:left w:w="28" w:type="dxa"/>
              <w:bottom w:w="102" w:type="dxa"/>
              <w:right w:w="28" w:type="dxa"/>
            </w:tcMar>
            <w:vAlign w:val="center"/>
          </w:tcPr>
          <w:p w14:paraId="46497F32" w14:textId="77777777" w:rsidR="004A0123" w:rsidRPr="00640447" w:rsidRDefault="004A0123" w:rsidP="008A5C11">
            <w:pPr>
              <w:jc w:val="center"/>
              <w:rPr>
                <w:sz w:val="13"/>
                <w:szCs w:val="13"/>
              </w:rPr>
            </w:pPr>
            <w:r w:rsidRPr="00640447">
              <w:rPr>
                <w:sz w:val="13"/>
                <w:szCs w:val="13"/>
              </w:rPr>
              <w:t>Котельная № 5</w:t>
            </w:r>
          </w:p>
        </w:tc>
        <w:tc>
          <w:tcPr>
            <w:tcW w:w="558" w:type="pct"/>
            <w:shd w:val="clear" w:color="auto" w:fill="auto"/>
            <w:tcMar>
              <w:left w:w="28" w:type="dxa"/>
              <w:right w:w="28" w:type="dxa"/>
            </w:tcMar>
            <w:vAlign w:val="center"/>
          </w:tcPr>
          <w:p w14:paraId="0CA188CB" w14:textId="77777777" w:rsidR="004A0123" w:rsidRPr="00640447" w:rsidRDefault="004A0123" w:rsidP="008A5C11">
            <w:pPr>
              <w:jc w:val="center"/>
              <w:rPr>
                <w:sz w:val="13"/>
                <w:szCs w:val="13"/>
              </w:rPr>
            </w:pPr>
            <w:r w:rsidRPr="00640447">
              <w:rPr>
                <w:sz w:val="13"/>
                <w:szCs w:val="13"/>
              </w:rPr>
              <w:t>238,90</w:t>
            </w:r>
          </w:p>
        </w:tc>
        <w:tc>
          <w:tcPr>
            <w:tcW w:w="356" w:type="pct"/>
            <w:shd w:val="clear" w:color="auto" w:fill="auto"/>
            <w:tcMar>
              <w:left w:w="28" w:type="dxa"/>
              <w:right w:w="28" w:type="dxa"/>
            </w:tcMar>
            <w:vAlign w:val="center"/>
          </w:tcPr>
          <w:p w14:paraId="2C098F3E" w14:textId="77777777" w:rsidR="004A0123" w:rsidRPr="00640447" w:rsidRDefault="004A0123" w:rsidP="008A5C11">
            <w:pPr>
              <w:jc w:val="center"/>
              <w:rPr>
                <w:sz w:val="13"/>
                <w:szCs w:val="13"/>
              </w:rPr>
            </w:pPr>
            <w:r w:rsidRPr="00640447">
              <w:rPr>
                <w:sz w:val="13"/>
                <w:szCs w:val="13"/>
              </w:rPr>
              <w:t>238,90</w:t>
            </w:r>
          </w:p>
        </w:tc>
        <w:tc>
          <w:tcPr>
            <w:tcW w:w="361" w:type="pct"/>
            <w:shd w:val="clear" w:color="auto" w:fill="auto"/>
            <w:tcMar>
              <w:left w:w="28" w:type="dxa"/>
              <w:right w:w="28" w:type="dxa"/>
            </w:tcMar>
            <w:vAlign w:val="center"/>
          </w:tcPr>
          <w:p w14:paraId="05C8F98B" w14:textId="77777777" w:rsidR="004A0123" w:rsidRPr="00640447" w:rsidRDefault="004A0123" w:rsidP="008A5C11">
            <w:pPr>
              <w:jc w:val="center"/>
              <w:rPr>
                <w:sz w:val="13"/>
                <w:szCs w:val="13"/>
              </w:rPr>
            </w:pPr>
            <w:r w:rsidRPr="00640447">
              <w:rPr>
                <w:sz w:val="13"/>
                <w:szCs w:val="13"/>
              </w:rPr>
              <w:t>238,90</w:t>
            </w:r>
          </w:p>
        </w:tc>
        <w:tc>
          <w:tcPr>
            <w:tcW w:w="359" w:type="pct"/>
            <w:shd w:val="clear" w:color="auto" w:fill="auto"/>
            <w:tcMar>
              <w:left w:w="28" w:type="dxa"/>
              <w:right w:w="28" w:type="dxa"/>
            </w:tcMar>
            <w:vAlign w:val="center"/>
          </w:tcPr>
          <w:p w14:paraId="0A1A0FEF" w14:textId="77777777" w:rsidR="004A0123" w:rsidRPr="00640447" w:rsidRDefault="004A0123" w:rsidP="008A5C11">
            <w:pPr>
              <w:jc w:val="center"/>
              <w:rPr>
                <w:sz w:val="13"/>
                <w:szCs w:val="13"/>
              </w:rPr>
            </w:pPr>
            <w:r w:rsidRPr="00640447">
              <w:rPr>
                <w:sz w:val="13"/>
                <w:szCs w:val="13"/>
              </w:rPr>
              <w:t>238,90</w:t>
            </w:r>
          </w:p>
        </w:tc>
        <w:tc>
          <w:tcPr>
            <w:tcW w:w="360" w:type="pct"/>
            <w:shd w:val="clear" w:color="auto" w:fill="auto"/>
            <w:vAlign w:val="center"/>
          </w:tcPr>
          <w:p w14:paraId="24E1ED69" w14:textId="77777777" w:rsidR="004A0123" w:rsidRPr="00640447" w:rsidRDefault="004A0123" w:rsidP="008A5C11">
            <w:pPr>
              <w:jc w:val="center"/>
              <w:rPr>
                <w:sz w:val="13"/>
                <w:szCs w:val="13"/>
              </w:rPr>
            </w:pPr>
            <w:r w:rsidRPr="00640447">
              <w:rPr>
                <w:sz w:val="13"/>
                <w:szCs w:val="13"/>
              </w:rPr>
              <w:t>238,90</w:t>
            </w:r>
          </w:p>
        </w:tc>
        <w:tc>
          <w:tcPr>
            <w:tcW w:w="316" w:type="pct"/>
            <w:shd w:val="clear" w:color="auto" w:fill="auto"/>
            <w:vAlign w:val="center"/>
          </w:tcPr>
          <w:p w14:paraId="0A5DA7B8" w14:textId="77777777" w:rsidR="004A0123" w:rsidRPr="00640447" w:rsidRDefault="004A0123" w:rsidP="008A5C11">
            <w:pPr>
              <w:jc w:val="center"/>
              <w:rPr>
                <w:sz w:val="13"/>
                <w:szCs w:val="13"/>
              </w:rPr>
            </w:pPr>
            <w:r w:rsidRPr="00640447">
              <w:rPr>
                <w:sz w:val="13"/>
                <w:szCs w:val="13"/>
              </w:rPr>
              <w:t>238,90</w:t>
            </w:r>
          </w:p>
        </w:tc>
        <w:tc>
          <w:tcPr>
            <w:tcW w:w="359" w:type="pct"/>
            <w:shd w:val="clear" w:color="auto" w:fill="auto"/>
            <w:tcMar>
              <w:left w:w="28" w:type="dxa"/>
              <w:right w:w="28" w:type="dxa"/>
            </w:tcMar>
            <w:vAlign w:val="center"/>
          </w:tcPr>
          <w:p w14:paraId="45F7F7C3" w14:textId="77777777" w:rsidR="004A0123" w:rsidRPr="00640447" w:rsidRDefault="004A0123" w:rsidP="008A5C11">
            <w:pPr>
              <w:jc w:val="center"/>
              <w:rPr>
                <w:sz w:val="13"/>
                <w:szCs w:val="13"/>
              </w:rPr>
            </w:pPr>
            <w:r w:rsidRPr="00640447">
              <w:rPr>
                <w:sz w:val="13"/>
                <w:szCs w:val="13"/>
              </w:rPr>
              <w:t>238,90</w:t>
            </w:r>
          </w:p>
        </w:tc>
        <w:tc>
          <w:tcPr>
            <w:tcW w:w="303" w:type="pct"/>
            <w:shd w:val="clear" w:color="auto" w:fill="auto"/>
            <w:tcMar>
              <w:left w:w="28" w:type="dxa"/>
              <w:right w:w="28" w:type="dxa"/>
            </w:tcMar>
            <w:vAlign w:val="center"/>
          </w:tcPr>
          <w:p w14:paraId="54E8DD57" w14:textId="77777777" w:rsidR="004A0123" w:rsidRPr="00640447" w:rsidRDefault="004A0123" w:rsidP="008A5C11">
            <w:pPr>
              <w:jc w:val="center"/>
              <w:rPr>
                <w:sz w:val="13"/>
                <w:szCs w:val="13"/>
              </w:rPr>
            </w:pPr>
            <w:r w:rsidRPr="00640447">
              <w:rPr>
                <w:sz w:val="13"/>
                <w:szCs w:val="13"/>
              </w:rPr>
              <w:t>238,90</w:t>
            </w:r>
          </w:p>
        </w:tc>
        <w:tc>
          <w:tcPr>
            <w:tcW w:w="303" w:type="pct"/>
            <w:shd w:val="clear" w:color="auto" w:fill="auto"/>
            <w:tcMar>
              <w:left w:w="28" w:type="dxa"/>
              <w:right w:w="28" w:type="dxa"/>
            </w:tcMar>
            <w:vAlign w:val="center"/>
          </w:tcPr>
          <w:p w14:paraId="048022DC" w14:textId="77777777" w:rsidR="004A0123" w:rsidRPr="00640447" w:rsidRDefault="004A0123" w:rsidP="008A5C11">
            <w:pPr>
              <w:jc w:val="center"/>
              <w:rPr>
                <w:sz w:val="13"/>
                <w:szCs w:val="13"/>
              </w:rPr>
            </w:pPr>
            <w:r w:rsidRPr="00640447">
              <w:rPr>
                <w:sz w:val="13"/>
                <w:szCs w:val="13"/>
              </w:rPr>
              <w:t>238,90</w:t>
            </w:r>
          </w:p>
        </w:tc>
        <w:tc>
          <w:tcPr>
            <w:tcW w:w="303" w:type="pct"/>
            <w:shd w:val="clear" w:color="auto" w:fill="auto"/>
            <w:tcMar>
              <w:left w:w="28" w:type="dxa"/>
              <w:right w:w="28" w:type="dxa"/>
            </w:tcMar>
            <w:vAlign w:val="center"/>
          </w:tcPr>
          <w:p w14:paraId="42C5F3A4" w14:textId="77777777" w:rsidR="004A0123" w:rsidRPr="00640447" w:rsidRDefault="004A0123" w:rsidP="008A5C11">
            <w:pPr>
              <w:jc w:val="center"/>
              <w:rPr>
                <w:sz w:val="13"/>
                <w:szCs w:val="13"/>
              </w:rPr>
            </w:pPr>
            <w:r w:rsidRPr="00640447">
              <w:rPr>
                <w:sz w:val="13"/>
                <w:szCs w:val="13"/>
              </w:rPr>
              <w:t>238,90</w:t>
            </w:r>
          </w:p>
        </w:tc>
        <w:tc>
          <w:tcPr>
            <w:tcW w:w="307" w:type="pct"/>
            <w:shd w:val="clear" w:color="auto" w:fill="auto"/>
            <w:vAlign w:val="center"/>
          </w:tcPr>
          <w:p w14:paraId="3F20AA61" w14:textId="77777777" w:rsidR="004A0123" w:rsidRPr="00640447" w:rsidRDefault="004A0123" w:rsidP="008A5C11">
            <w:pPr>
              <w:jc w:val="center"/>
              <w:rPr>
                <w:sz w:val="13"/>
                <w:szCs w:val="13"/>
              </w:rPr>
            </w:pPr>
            <w:r w:rsidRPr="00640447">
              <w:rPr>
                <w:sz w:val="13"/>
                <w:szCs w:val="13"/>
              </w:rPr>
              <w:t>238,90</w:t>
            </w:r>
          </w:p>
        </w:tc>
      </w:tr>
      <w:tr w:rsidR="004A0123" w:rsidRPr="00640447" w14:paraId="1831F36A" w14:textId="77777777" w:rsidTr="008A5C11">
        <w:trPr>
          <w:trHeight w:val="148"/>
          <w:jc w:val="center"/>
        </w:trPr>
        <w:tc>
          <w:tcPr>
            <w:tcW w:w="222" w:type="pct"/>
            <w:tcMar>
              <w:top w:w="62" w:type="dxa"/>
              <w:left w:w="28" w:type="dxa"/>
              <w:bottom w:w="102" w:type="dxa"/>
              <w:right w:w="28" w:type="dxa"/>
            </w:tcMar>
            <w:vAlign w:val="center"/>
          </w:tcPr>
          <w:p w14:paraId="05AEC68A" w14:textId="77777777" w:rsidR="004A0123" w:rsidRPr="00640447" w:rsidRDefault="004A0123" w:rsidP="008A5C11">
            <w:pPr>
              <w:jc w:val="center"/>
              <w:rPr>
                <w:sz w:val="13"/>
                <w:szCs w:val="13"/>
              </w:rPr>
            </w:pPr>
            <w:r w:rsidRPr="00640447">
              <w:rPr>
                <w:sz w:val="13"/>
                <w:szCs w:val="13"/>
              </w:rPr>
              <w:t>7</w:t>
            </w:r>
          </w:p>
        </w:tc>
        <w:tc>
          <w:tcPr>
            <w:tcW w:w="893" w:type="pct"/>
            <w:tcMar>
              <w:top w:w="62" w:type="dxa"/>
              <w:left w:w="28" w:type="dxa"/>
              <w:bottom w:w="102" w:type="dxa"/>
              <w:right w:w="28" w:type="dxa"/>
            </w:tcMar>
            <w:vAlign w:val="center"/>
          </w:tcPr>
          <w:p w14:paraId="1D035E86" w14:textId="77777777" w:rsidR="004A0123" w:rsidRPr="00640447" w:rsidRDefault="004A0123" w:rsidP="008A5C11">
            <w:pPr>
              <w:jc w:val="center"/>
              <w:rPr>
                <w:sz w:val="13"/>
                <w:szCs w:val="13"/>
              </w:rPr>
            </w:pPr>
            <w:r w:rsidRPr="00640447">
              <w:rPr>
                <w:sz w:val="13"/>
                <w:szCs w:val="13"/>
              </w:rPr>
              <w:t>Котельная № 1</w:t>
            </w:r>
          </w:p>
        </w:tc>
        <w:tc>
          <w:tcPr>
            <w:tcW w:w="558" w:type="pct"/>
            <w:shd w:val="clear" w:color="auto" w:fill="auto"/>
            <w:tcMar>
              <w:left w:w="28" w:type="dxa"/>
              <w:right w:w="28" w:type="dxa"/>
            </w:tcMar>
            <w:vAlign w:val="center"/>
          </w:tcPr>
          <w:p w14:paraId="254DEB9C" w14:textId="77777777" w:rsidR="004A0123" w:rsidRPr="00640447" w:rsidRDefault="004A0123" w:rsidP="008A5C11">
            <w:pPr>
              <w:jc w:val="center"/>
              <w:rPr>
                <w:sz w:val="13"/>
                <w:szCs w:val="13"/>
              </w:rPr>
            </w:pPr>
            <w:r w:rsidRPr="00640447">
              <w:rPr>
                <w:sz w:val="13"/>
                <w:szCs w:val="13"/>
              </w:rPr>
              <w:t>230,75</w:t>
            </w:r>
          </w:p>
        </w:tc>
        <w:tc>
          <w:tcPr>
            <w:tcW w:w="356" w:type="pct"/>
            <w:shd w:val="clear" w:color="auto" w:fill="auto"/>
            <w:tcMar>
              <w:left w:w="28" w:type="dxa"/>
              <w:right w:w="28" w:type="dxa"/>
            </w:tcMar>
            <w:vAlign w:val="center"/>
          </w:tcPr>
          <w:p w14:paraId="39548A9A" w14:textId="77777777" w:rsidR="004A0123" w:rsidRPr="00640447" w:rsidRDefault="004A0123" w:rsidP="008A5C11">
            <w:pPr>
              <w:jc w:val="center"/>
              <w:rPr>
                <w:sz w:val="13"/>
                <w:szCs w:val="13"/>
              </w:rPr>
            </w:pPr>
            <w:r w:rsidRPr="00640447">
              <w:rPr>
                <w:sz w:val="13"/>
                <w:szCs w:val="13"/>
              </w:rPr>
              <w:t>230,75</w:t>
            </w:r>
          </w:p>
        </w:tc>
        <w:tc>
          <w:tcPr>
            <w:tcW w:w="361" w:type="pct"/>
            <w:shd w:val="clear" w:color="auto" w:fill="auto"/>
            <w:tcMar>
              <w:left w:w="28" w:type="dxa"/>
              <w:right w:w="28" w:type="dxa"/>
            </w:tcMar>
            <w:vAlign w:val="center"/>
          </w:tcPr>
          <w:p w14:paraId="7B5601FF" w14:textId="77777777" w:rsidR="004A0123" w:rsidRPr="00640447" w:rsidRDefault="004A0123" w:rsidP="008A5C11">
            <w:pPr>
              <w:jc w:val="center"/>
              <w:rPr>
                <w:sz w:val="13"/>
                <w:szCs w:val="13"/>
              </w:rPr>
            </w:pPr>
            <w:r w:rsidRPr="00640447">
              <w:rPr>
                <w:sz w:val="13"/>
                <w:szCs w:val="13"/>
              </w:rPr>
              <w:t>230,75</w:t>
            </w:r>
          </w:p>
        </w:tc>
        <w:tc>
          <w:tcPr>
            <w:tcW w:w="359" w:type="pct"/>
            <w:shd w:val="clear" w:color="auto" w:fill="auto"/>
            <w:tcMar>
              <w:left w:w="28" w:type="dxa"/>
              <w:right w:w="28" w:type="dxa"/>
            </w:tcMar>
            <w:vAlign w:val="center"/>
          </w:tcPr>
          <w:p w14:paraId="2D977B7D" w14:textId="77777777" w:rsidR="004A0123" w:rsidRPr="00640447" w:rsidRDefault="004A0123" w:rsidP="008A5C11">
            <w:pPr>
              <w:jc w:val="center"/>
              <w:rPr>
                <w:sz w:val="13"/>
                <w:szCs w:val="13"/>
              </w:rPr>
            </w:pPr>
            <w:r w:rsidRPr="00640447">
              <w:rPr>
                <w:sz w:val="13"/>
                <w:szCs w:val="13"/>
              </w:rPr>
              <w:t>230,75</w:t>
            </w:r>
          </w:p>
        </w:tc>
        <w:tc>
          <w:tcPr>
            <w:tcW w:w="360" w:type="pct"/>
            <w:shd w:val="clear" w:color="auto" w:fill="auto"/>
            <w:vAlign w:val="center"/>
          </w:tcPr>
          <w:p w14:paraId="27693AF6" w14:textId="77777777" w:rsidR="004A0123" w:rsidRPr="00640447" w:rsidRDefault="004A0123" w:rsidP="008A5C11">
            <w:pPr>
              <w:jc w:val="center"/>
              <w:rPr>
                <w:sz w:val="13"/>
                <w:szCs w:val="13"/>
              </w:rPr>
            </w:pPr>
            <w:r w:rsidRPr="00640447">
              <w:rPr>
                <w:sz w:val="13"/>
                <w:szCs w:val="13"/>
              </w:rPr>
              <w:t>230,75</w:t>
            </w:r>
          </w:p>
        </w:tc>
        <w:tc>
          <w:tcPr>
            <w:tcW w:w="316" w:type="pct"/>
            <w:shd w:val="clear" w:color="auto" w:fill="auto"/>
            <w:vAlign w:val="center"/>
          </w:tcPr>
          <w:p w14:paraId="0B07ACF6" w14:textId="77777777" w:rsidR="004A0123" w:rsidRPr="00640447" w:rsidRDefault="004A0123" w:rsidP="008A5C11">
            <w:pPr>
              <w:jc w:val="center"/>
              <w:rPr>
                <w:sz w:val="13"/>
                <w:szCs w:val="13"/>
              </w:rPr>
            </w:pPr>
            <w:r w:rsidRPr="00640447">
              <w:rPr>
                <w:sz w:val="13"/>
                <w:szCs w:val="13"/>
              </w:rPr>
              <w:t>230,75</w:t>
            </w:r>
          </w:p>
        </w:tc>
        <w:tc>
          <w:tcPr>
            <w:tcW w:w="359" w:type="pct"/>
            <w:shd w:val="clear" w:color="auto" w:fill="auto"/>
            <w:tcMar>
              <w:left w:w="28" w:type="dxa"/>
              <w:right w:w="28" w:type="dxa"/>
            </w:tcMar>
            <w:vAlign w:val="center"/>
          </w:tcPr>
          <w:p w14:paraId="408318AF" w14:textId="77777777" w:rsidR="004A0123" w:rsidRPr="00640447" w:rsidRDefault="004A0123" w:rsidP="008A5C11">
            <w:pPr>
              <w:jc w:val="center"/>
              <w:rPr>
                <w:sz w:val="13"/>
                <w:szCs w:val="13"/>
              </w:rPr>
            </w:pPr>
            <w:r w:rsidRPr="00640447">
              <w:rPr>
                <w:sz w:val="13"/>
                <w:szCs w:val="13"/>
              </w:rPr>
              <w:t>0,00</w:t>
            </w:r>
          </w:p>
        </w:tc>
        <w:tc>
          <w:tcPr>
            <w:tcW w:w="303" w:type="pct"/>
            <w:shd w:val="clear" w:color="auto" w:fill="auto"/>
            <w:tcMar>
              <w:left w:w="28" w:type="dxa"/>
              <w:right w:w="28" w:type="dxa"/>
            </w:tcMar>
            <w:vAlign w:val="center"/>
          </w:tcPr>
          <w:p w14:paraId="0056B7B6" w14:textId="77777777" w:rsidR="004A0123" w:rsidRPr="00640447" w:rsidRDefault="004A0123" w:rsidP="008A5C11">
            <w:pPr>
              <w:jc w:val="center"/>
              <w:rPr>
                <w:sz w:val="13"/>
                <w:szCs w:val="13"/>
              </w:rPr>
            </w:pPr>
            <w:r w:rsidRPr="00640447">
              <w:rPr>
                <w:sz w:val="13"/>
                <w:szCs w:val="13"/>
              </w:rPr>
              <w:t>0,00</w:t>
            </w:r>
          </w:p>
        </w:tc>
        <w:tc>
          <w:tcPr>
            <w:tcW w:w="303" w:type="pct"/>
            <w:shd w:val="clear" w:color="auto" w:fill="auto"/>
            <w:tcMar>
              <w:left w:w="28" w:type="dxa"/>
              <w:right w:w="28" w:type="dxa"/>
            </w:tcMar>
            <w:vAlign w:val="center"/>
          </w:tcPr>
          <w:p w14:paraId="19D27532" w14:textId="77777777" w:rsidR="004A0123" w:rsidRPr="00640447" w:rsidRDefault="004A0123" w:rsidP="008A5C11">
            <w:pPr>
              <w:jc w:val="center"/>
              <w:rPr>
                <w:sz w:val="13"/>
                <w:szCs w:val="13"/>
              </w:rPr>
            </w:pPr>
            <w:r w:rsidRPr="00640447">
              <w:rPr>
                <w:sz w:val="13"/>
                <w:szCs w:val="13"/>
              </w:rPr>
              <w:t>0,00</w:t>
            </w:r>
          </w:p>
        </w:tc>
        <w:tc>
          <w:tcPr>
            <w:tcW w:w="303" w:type="pct"/>
            <w:shd w:val="clear" w:color="auto" w:fill="auto"/>
            <w:tcMar>
              <w:left w:w="28" w:type="dxa"/>
              <w:right w:w="28" w:type="dxa"/>
            </w:tcMar>
            <w:vAlign w:val="center"/>
          </w:tcPr>
          <w:p w14:paraId="39E6BBDC" w14:textId="77777777" w:rsidR="004A0123" w:rsidRPr="00640447" w:rsidRDefault="004A0123" w:rsidP="008A5C11">
            <w:pPr>
              <w:jc w:val="center"/>
              <w:rPr>
                <w:sz w:val="13"/>
                <w:szCs w:val="13"/>
              </w:rPr>
            </w:pPr>
            <w:r w:rsidRPr="00640447">
              <w:rPr>
                <w:sz w:val="13"/>
                <w:szCs w:val="13"/>
              </w:rPr>
              <w:t>0,00</w:t>
            </w:r>
          </w:p>
        </w:tc>
        <w:tc>
          <w:tcPr>
            <w:tcW w:w="307" w:type="pct"/>
            <w:shd w:val="clear" w:color="auto" w:fill="auto"/>
            <w:vAlign w:val="center"/>
          </w:tcPr>
          <w:p w14:paraId="63C1ADB5" w14:textId="77777777" w:rsidR="004A0123" w:rsidRPr="00640447" w:rsidRDefault="004A0123" w:rsidP="008A5C11">
            <w:pPr>
              <w:jc w:val="center"/>
              <w:rPr>
                <w:sz w:val="13"/>
                <w:szCs w:val="13"/>
              </w:rPr>
            </w:pPr>
            <w:r w:rsidRPr="00640447">
              <w:rPr>
                <w:sz w:val="13"/>
                <w:szCs w:val="13"/>
              </w:rPr>
              <w:t>0,00</w:t>
            </w:r>
          </w:p>
        </w:tc>
      </w:tr>
      <w:tr w:rsidR="004A0123" w:rsidRPr="00640447" w14:paraId="0494CE9F" w14:textId="77777777" w:rsidTr="008A5C11">
        <w:trPr>
          <w:trHeight w:val="148"/>
          <w:jc w:val="center"/>
        </w:trPr>
        <w:tc>
          <w:tcPr>
            <w:tcW w:w="222" w:type="pct"/>
            <w:tcMar>
              <w:top w:w="62" w:type="dxa"/>
              <w:left w:w="28" w:type="dxa"/>
              <w:bottom w:w="102" w:type="dxa"/>
              <w:right w:w="28" w:type="dxa"/>
            </w:tcMar>
            <w:vAlign w:val="center"/>
          </w:tcPr>
          <w:p w14:paraId="4F53EA3F" w14:textId="77777777" w:rsidR="004A0123" w:rsidRPr="00640447" w:rsidRDefault="004A0123" w:rsidP="008A5C11">
            <w:pPr>
              <w:jc w:val="center"/>
              <w:rPr>
                <w:sz w:val="13"/>
                <w:szCs w:val="13"/>
              </w:rPr>
            </w:pPr>
            <w:r w:rsidRPr="00640447">
              <w:rPr>
                <w:sz w:val="13"/>
                <w:szCs w:val="13"/>
              </w:rPr>
              <w:t>8</w:t>
            </w:r>
          </w:p>
        </w:tc>
        <w:tc>
          <w:tcPr>
            <w:tcW w:w="893" w:type="pct"/>
            <w:tcMar>
              <w:top w:w="62" w:type="dxa"/>
              <w:left w:w="28" w:type="dxa"/>
              <w:bottom w:w="102" w:type="dxa"/>
              <w:right w:w="28" w:type="dxa"/>
            </w:tcMar>
            <w:vAlign w:val="center"/>
          </w:tcPr>
          <w:p w14:paraId="614E4A54" w14:textId="77777777" w:rsidR="004A0123" w:rsidRPr="00640447" w:rsidRDefault="004A0123" w:rsidP="008A5C11">
            <w:pPr>
              <w:jc w:val="center"/>
              <w:rPr>
                <w:sz w:val="13"/>
                <w:szCs w:val="13"/>
              </w:rPr>
            </w:pPr>
            <w:r w:rsidRPr="00640447">
              <w:rPr>
                <w:sz w:val="13"/>
                <w:szCs w:val="13"/>
              </w:rPr>
              <w:t>Котельная № 13</w:t>
            </w:r>
          </w:p>
        </w:tc>
        <w:tc>
          <w:tcPr>
            <w:tcW w:w="558" w:type="pct"/>
            <w:shd w:val="clear" w:color="auto" w:fill="auto"/>
            <w:tcMar>
              <w:left w:w="28" w:type="dxa"/>
              <w:right w:w="28" w:type="dxa"/>
            </w:tcMar>
            <w:vAlign w:val="center"/>
          </w:tcPr>
          <w:p w14:paraId="13865162" w14:textId="77777777" w:rsidR="004A0123" w:rsidRPr="00640447" w:rsidRDefault="004A0123" w:rsidP="008A5C11">
            <w:pPr>
              <w:jc w:val="center"/>
              <w:rPr>
                <w:sz w:val="13"/>
                <w:szCs w:val="13"/>
              </w:rPr>
            </w:pPr>
            <w:r w:rsidRPr="00640447">
              <w:rPr>
                <w:sz w:val="13"/>
                <w:szCs w:val="13"/>
              </w:rPr>
              <w:t>215,32</w:t>
            </w:r>
          </w:p>
        </w:tc>
        <w:tc>
          <w:tcPr>
            <w:tcW w:w="356" w:type="pct"/>
            <w:shd w:val="clear" w:color="auto" w:fill="auto"/>
            <w:tcMar>
              <w:left w:w="28" w:type="dxa"/>
              <w:right w:w="28" w:type="dxa"/>
            </w:tcMar>
            <w:vAlign w:val="center"/>
          </w:tcPr>
          <w:p w14:paraId="22ECE06A" w14:textId="77777777" w:rsidR="004A0123" w:rsidRPr="00640447" w:rsidRDefault="004A0123" w:rsidP="008A5C11">
            <w:pPr>
              <w:jc w:val="center"/>
              <w:rPr>
                <w:sz w:val="13"/>
                <w:szCs w:val="13"/>
              </w:rPr>
            </w:pPr>
            <w:r w:rsidRPr="00640447">
              <w:rPr>
                <w:sz w:val="13"/>
                <w:szCs w:val="13"/>
              </w:rPr>
              <w:t>215,32</w:t>
            </w:r>
          </w:p>
        </w:tc>
        <w:tc>
          <w:tcPr>
            <w:tcW w:w="361" w:type="pct"/>
            <w:shd w:val="clear" w:color="auto" w:fill="auto"/>
            <w:tcMar>
              <w:left w:w="28" w:type="dxa"/>
              <w:right w:w="28" w:type="dxa"/>
            </w:tcMar>
            <w:vAlign w:val="center"/>
          </w:tcPr>
          <w:p w14:paraId="746A04BE" w14:textId="77777777" w:rsidR="004A0123" w:rsidRPr="00640447" w:rsidRDefault="004A0123" w:rsidP="008A5C11">
            <w:pPr>
              <w:jc w:val="center"/>
              <w:rPr>
                <w:sz w:val="13"/>
                <w:szCs w:val="13"/>
              </w:rPr>
            </w:pPr>
            <w:r w:rsidRPr="00640447">
              <w:rPr>
                <w:sz w:val="13"/>
                <w:szCs w:val="13"/>
              </w:rPr>
              <w:t>0,00</w:t>
            </w:r>
          </w:p>
        </w:tc>
        <w:tc>
          <w:tcPr>
            <w:tcW w:w="359" w:type="pct"/>
            <w:shd w:val="clear" w:color="auto" w:fill="auto"/>
            <w:tcMar>
              <w:left w:w="28" w:type="dxa"/>
              <w:right w:w="28" w:type="dxa"/>
            </w:tcMar>
            <w:vAlign w:val="center"/>
          </w:tcPr>
          <w:p w14:paraId="2244DCBE" w14:textId="77777777" w:rsidR="004A0123" w:rsidRPr="00640447" w:rsidRDefault="004A0123" w:rsidP="008A5C11">
            <w:pPr>
              <w:jc w:val="center"/>
              <w:rPr>
                <w:sz w:val="13"/>
                <w:szCs w:val="13"/>
              </w:rPr>
            </w:pPr>
            <w:r w:rsidRPr="00640447">
              <w:rPr>
                <w:sz w:val="13"/>
                <w:szCs w:val="13"/>
              </w:rPr>
              <w:t>0,00</w:t>
            </w:r>
          </w:p>
        </w:tc>
        <w:tc>
          <w:tcPr>
            <w:tcW w:w="360" w:type="pct"/>
            <w:shd w:val="clear" w:color="auto" w:fill="auto"/>
            <w:vAlign w:val="center"/>
          </w:tcPr>
          <w:p w14:paraId="46D53845" w14:textId="77777777" w:rsidR="004A0123" w:rsidRPr="00640447" w:rsidRDefault="004A0123" w:rsidP="008A5C11">
            <w:pPr>
              <w:jc w:val="center"/>
              <w:rPr>
                <w:sz w:val="13"/>
                <w:szCs w:val="13"/>
              </w:rPr>
            </w:pPr>
            <w:r w:rsidRPr="00640447">
              <w:rPr>
                <w:sz w:val="13"/>
                <w:szCs w:val="13"/>
              </w:rPr>
              <w:t>0,00</w:t>
            </w:r>
          </w:p>
        </w:tc>
        <w:tc>
          <w:tcPr>
            <w:tcW w:w="316" w:type="pct"/>
            <w:shd w:val="clear" w:color="auto" w:fill="auto"/>
            <w:vAlign w:val="center"/>
          </w:tcPr>
          <w:p w14:paraId="7CDC8156" w14:textId="77777777" w:rsidR="004A0123" w:rsidRPr="00640447" w:rsidRDefault="004A0123" w:rsidP="008A5C11">
            <w:pPr>
              <w:jc w:val="center"/>
              <w:rPr>
                <w:sz w:val="13"/>
                <w:szCs w:val="13"/>
              </w:rPr>
            </w:pPr>
            <w:r w:rsidRPr="00640447">
              <w:rPr>
                <w:sz w:val="13"/>
                <w:szCs w:val="13"/>
              </w:rPr>
              <w:t>0,00</w:t>
            </w:r>
          </w:p>
        </w:tc>
        <w:tc>
          <w:tcPr>
            <w:tcW w:w="359" w:type="pct"/>
            <w:shd w:val="clear" w:color="auto" w:fill="auto"/>
            <w:tcMar>
              <w:left w:w="28" w:type="dxa"/>
              <w:right w:w="28" w:type="dxa"/>
            </w:tcMar>
            <w:vAlign w:val="center"/>
          </w:tcPr>
          <w:p w14:paraId="325AAB04" w14:textId="77777777" w:rsidR="004A0123" w:rsidRPr="00640447" w:rsidRDefault="004A0123" w:rsidP="008A5C11">
            <w:pPr>
              <w:jc w:val="center"/>
              <w:rPr>
                <w:sz w:val="13"/>
                <w:szCs w:val="13"/>
              </w:rPr>
            </w:pPr>
            <w:r w:rsidRPr="00640447">
              <w:rPr>
                <w:sz w:val="13"/>
                <w:szCs w:val="13"/>
              </w:rPr>
              <w:t>0,00</w:t>
            </w:r>
          </w:p>
        </w:tc>
        <w:tc>
          <w:tcPr>
            <w:tcW w:w="303" w:type="pct"/>
            <w:shd w:val="clear" w:color="auto" w:fill="auto"/>
            <w:tcMar>
              <w:left w:w="28" w:type="dxa"/>
              <w:right w:w="28" w:type="dxa"/>
            </w:tcMar>
            <w:vAlign w:val="center"/>
          </w:tcPr>
          <w:p w14:paraId="5B5F8C26" w14:textId="77777777" w:rsidR="004A0123" w:rsidRPr="00640447" w:rsidRDefault="004A0123" w:rsidP="008A5C11">
            <w:pPr>
              <w:jc w:val="center"/>
              <w:rPr>
                <w:sz w:val="13"/>
                <w:szCs w:val="13"/>
              </w:rPr>
            </w:pPr>
            <w:r w:rsidRPr="00640447">
              <w:rPr>
                <w:sz w:val="13"/>
                <w:szCs w:val="13"/>
              </w:rPr>
              <w:t>0,00</w:t>
            </w:r>
          </w:p>
        </w:tc>
        <w:tc>
          <w:tcPr>
            <w:tcW w:w="303" w:type="pct"/>
            <w:shd w:val="clear" w:color="auto" w:fill="auto"/>
            <w:tcMar>
              <w:left w:w="28" w:type="dxa"/>
              <w:right w:w="28" w:type="dxa"/>
            </w:tcMar>
            <w:vAlign w:val="center"/>
          </w:tcPr>
          <w:p w14:paraId="7B906385" w14:textId="77777777" w:rsidR="004A0123" w:rsidRPr="00640447" w:rsidRDefault="004A0123" w:rsidP="008A5C11">
            <w:pPr>
              <w:jc w:val="center"/>
              <w:rPr>
                <w:sz w:val="13"/>
                <w:szCs w:val="13"/>
              </w:rPr>
            </w:pPr>
            <w:r w:rsidRPr="00640447">
              <w:rPr>
                <w:sz w:val="13"/>
                <w:szCs w:val="13"/>
              </w:rPr>
              <w:t>0,00</w:t>
            </w:r>
          </w:p>
        </w:tc>
        <w:tc>
          <w:tcPr>
            <w:tcW w:w="303" w:type="pct"/>
            <w:shd w:val="clear" w:color="auto" w:fill="auto"/>
            <w:tcMar>
              <w:left w:w="28" w:type="dxa"/>
              <w:right w:w="28" w:type="dxa"/>
            </w:tcMar>
            <w:vAlign w:val="center"/>
          </w:tcPr>
          <w:p w14:paraId="6D46DDB9" w14:textId="77777777" w:rsidR="004A0123" w:rsidRPr="00640447" w:rsidRDefault="004A0123" w:rsidP="008A5C11">
            <w:pPr>
              <w:jc w:val="center"/>
              <w:rPr>
                <w:sz w:val="13"/>
                <w:szCs w:val="13"/>
              </w:rPr>
            </w:pPr>
            <w:r w:rsidRPr="00640447">
              <w:rPr>
                <w:sz w:val="13"/>
                <w:szCs w:val="13"/>
              </w:rPr>
              <w:t>0,00</w:t>
            </w:r>
          </w:p>
        </w:tc>
        <w:tc>
          <w:tcPr>
            <w:tcW w:w="307" w:type="pct"/>
            <w:shd w:val="clear" w:color="auto" w:fill="auto"/>
            <w:vAlign w:val="center"/>
          </w:tcPr>
          <w:p w14:paraId="52B4FE83" w14:textId="77777777" w:rsidR="004A0123" w:rsidRPr="00640447" w:rsidRDefault="004A0123" w:rsidP="008A5C11">
            <w:pPr>
              <w:jc w:val="center"/>
              <w:rPr>
                <w:sz w:val="13"/>
                <w:szCs w:val="13"/>
              </w:rPr>
            </w:pPr>
            <w:r w:rsidRPr="00640447">
              <w:rPr>
                <w:sz w:val="13"/>
                <w:szCs w:val="13"/>
              </w:rPr>
              <w:t>0,00</w:t>
            </w:r>
          </w:p>
        </w:tc>
      </w:tr>
      <w:tr w:rsidR="004A0123" w:rsidRPr="00640447" w14:paraId="23800EBE" w14:textId="77777777" w:rsidTr="008A5C11">
        <w:trPr>
          <w:trHeight w:val="148"/>
          <w:jc w:val="center"/>
        </w:trPr>
        <w:tc>
          <w:tcPr>
            <w:tcW w:w="222" w:type="pct"/>
            <w:tcMar>
              <w:top w:w="62" w:type="dxa"/>
              <w:left w:w="28" w:type="dxa"/>
              <w:bottom w:w="102" w:type="dxa"/>
              <w:right w:w="28" w:type="dxa"/>
            </w:tcMar>
            <w:vAlign w:val="center"/>
          </w:tcPr>
          <w:p w14:paraId="5BC753DF" w14:textId="77777777" w:rsidR="004A0123" w:rsidRPr="00640447" w:rsidRDefault="004A0123" w:rsidP="008A5C11">
            <w:pPr>
              <w:jc w:val="center"/>
              <w:rPr>
                <w:sz w:val="13"/>
                <w:szCs w:val="13"/>
              </w:rPr>
            </w:pPr>
            <w:r w:rsidRPr="00640447">
              <w:rPr>
                <w:sz w:val="13"/>
                <w:szCs w:val="13"/>
              </w:rPr>
              <w:t>9</w:t>
            </w:r>
          </w:p>
        </w:tc>
        <w:tc>
          <w:tcPr>
            <w:tcW w:w="893" w:type="pct"/>
            <w:tcMar>
              <w:top w:w="62" w:type="dxa"/>
              <w:left w:w="28" w:type="dxa"/>
              <w:bottom w:w="102" w:type="dxa"/>
              <w:right w:w="28" w:type="dxa"/>
            </w:tcMar>
            <w:vAlign w:val="center"/>
          </w:tcPr>
          <w:p w14:paraId="08E96F00" w14:textId="77777777" w:rsidR="004A0123" w:rsidRPr="00640447" w:rsidRDefault="004A0123" w:rsidP="008A5C11">
            <w:pPr>
              <w:jc w:val="center"/>
              <w:rPr>
                <w:sz w:val="13"/>
                <w:szCs w:val="13"/>
              </w:rPr>
            </w:pPr>
            <w:r w:rsidRPr="00640447">
              <w:rPr>
                <w:sz w:val="13"/>
                <w:szCs w:val="13"/>
              </w:rPr>
              <w:t>Котельная № 14</w:t>
            </w:r>
          </w:p>
        </w:tc>
        <w:tc>
          <w:tcPr>
            <w:tcW w:w="558" w:type="pct"/>
            <w:shd w:val="clear" w:color="auto" w:fill="auto"/>
            <w:tcMar>
              <w:left w:w="28" w:type="dxa"/>
              <w:right w:w="28" w:type="dxa"/>
            </w:tcMar>
            <w:vAlign w:val="center"/>
          </w:tcPr>
          <w:p w14:paraId="7E54166F" w14:textId="77777777" w:rsidR="004A0123" w:rsidRPr="00640447" w:rsidRDefault="004A0123" w:rsidP="008A5C11">
            <w:pPr>
              <w:jc w:val="center"/>
              <w:rPr>
                <w:sz w:val="13"/>
                <w:szCs w:val="13"/>
              </w:rPr>
            </w:pPr>
            <w:r w:rsidRPr="00640447">
              <w:rPr>
                <w:sz w:val="13"/>
                <w:szCs w:val="13"/>
              </w:rPr>
              <w:t>219,64</w:t>
            </w:r>
          </w:p>
        </w:tc>
        <w:tc>
          <w:tcPr>
            <w:tcW w:w="356" w:type="pct"/>
            <w:shd w:val="clear" w:color="auto" w:fill="auto"/>
            <w:tcMar>
              <w:left w:w="28" w:type="dxa"/>
              <w:right w:w="28" w:type="dxa"/>
            </w:tcMar>
            <w:vAlign w:val="center"/>
          </w:tcPr>
          <w:p w14:paraId="7AED8C71" w14:textId="77777777" w:rsidR="004A0123" w:rsidRPr="00640447" w:rsidRDefault="004A0123" w:rsidP="008A5C11">
            <w:pPr>
              <w:jc w:val="center"/>
              <w:rPr>
                <w:sz w:val="13"/>
                <w:szCs w:val="13"/>
              </w:rPr>
            </w:pPr>
            <w:r w:rsidRPr="00640447">
              <w:rPr>
                <w:sz w:val="13"/>
                <w:szCs w:val="13"/>
              </w:rPr>
              <w:t>219,64</w:t>
            </w:r>
          </w:p>
        </w:tc>
        <w:tc>
          <w:tcPr>
            <w:tcW w:w="361" w:type="pct"/>
            <w:shd w:val="clear" w:color="auto" w:fill="auto"/>
            <w:tcMar>
              <w:left w:w="28" w:type="dxa"/>
              <w:right w:w="28" w:type="dxa"/>
            </w:tcMar>
            <w:vAlign w:val="center"/>
          </w:tcPr>
          <w:p w14:paraId="0631CF74" w14:textId="77777777" w:rsidR="004A0123" w:rsidRPr="00640447" w:rsidRDefault="004A0123" w:rsidP="008A5C11">
            <w:pPr>
              <w:jc w:val="center"/>
              <w:rPr>
                <w:sz w:val="13"/>
                <w:szCs w:val="13"/>
              </w:rPr>
            </w:pPr>
            <w:r w:rsidRPr="00640447">
              <w:rPr>
                <w:sz w:val="13"/>
                <w:szCs w:val="13"/>
              </w:rPr>
              <w:t>219,64</w:t>
            </w:r>
          </w:p>
        </w:tc>
        <w:tc>
          <w:tcPr>
            <w:tcW w:w="359" w:type="pct"/>
            <w:shd w:val="clear" w:color="auto" w:fill="auto"/>
            <w:tcMar>
              <w:left w:w="28" w:type="dxa"/>
              <w:right w:w="28" w:type="dxa"/>
            </w:tcMar>
            <w:vAlign w:val="center"/>
          </w:tcPr>
          <w:p w14:paraId="3FF0471E" w14:textId="77777777" w:rsidR="004A0123" w:rsidRPr="00640447" w:rsidRDefault="004A0123" w:rsidP="008A5C11">
            <w:pPr>
              <w:jc w:val="center"/>
              <w:rPr>
                <w:sz w:val="13"/>
                <w:szCs w:val="13"/>
              </w:rPr>
            </w:pPr>
            <w:r w:rsidRPr="00640447">
              <w:rPr>
                <w:sz w:val="13"/>
                <w:szCs w:val="13"/>
              </w:rPr>
              <w:t>219,64</w:t>
            </w:r>
          </w:p>
        </w:tc>
        <w:tc>
          <w:tcPr>
            <w:tcW w:w="360" w:type="pct"/>
            <w:shd w:val="clear" w:color="auto" w:fill="auto"/>
            <w:vAlign w:val="center"/>
          </w:tcPr>
          <w:p w14:paraId="7FE529A7" w14:textId="77777777" w:rsidR="004A0123" w:rsidRPr="00640447" w:rsidRDefault="004A0123" w:rsidP="008A5C11">
            <w:pPr>
              <w:jc w:val="center"/>
              <w:rPr>
                <w:sz w:val="13"/>
                <w:szCs w:val="13"/>
              </w:rPr>
            </w:pPr>
            <w:r w:rsidRPr="00640447">
              <w:rPr>
                <w:sz w:val="13"/>
                <w:szCs w:val="13"/>
              </w:rPr>
              <w:t>219,64</w:t>
            </w:r>
          </w:p>
        </w:tc>
        <w:tc>
          <w:tcPr>
            <w:tcW w:w="316" w:type="pct"/>
            <w:shd w:val="clear" w:color="auto" w:fill="auto"/>
            <w:vAlign w:val="center"/>
          </w:tcPr>
          <w:p w14:paraId="157BF11E" w14:textId="77777777" w:rsidR="004A0123" w:rsidRPr="00640447" w:rsidRDefault="004A0123" w:rsidP="008A5C11">
            <w:pPr>
              <w:jc w:val="center"/>
              <w:rPr>
                <w:sz w:val="13"/>
                <w:szCs w:val="13"/>
              </w:rPr>
            </w:pPr>
            <w:r w:rsidRPr="00640447">
              <w:rPr>
                <w:sz w:val="13"/>
                <w:szCs w:val="13"/>
              </w:rPr>
              <w:t>219,64</w:t>
            </w:r>
          </w:p>
        </w:tc>
        <w:tc>
          <w:tcPr>
            <w:tcW w:w="359" w:type="pct"/>
            <w:shd w:val="clear" w:color="auto" w:fill="auto"/>
            <w:tcMar>
              <w:left w:w="28" w:type="dxa"/>
              <w:right w:w="28" w:type="dxa"/>
            </w:tcMar>
            <w:vAlign w:val="center"/>
          </w:tcPr>
          <w:p w14:paraId="4EDDD2B5" w14:textId="77777777" w:rsidR="004A0123" w:rsidRPr="00640447" w:rsidRDefault="004A0123" w:rsidP="008A5C11">
            <w:pPr>
              <w:jc w:val="center"/>
              <w:rPr>
                <w:sz w:val="13"/>
                <w:szCs w:val="13"/>
              </w:rPr>
            </w:pPr>
            <w:r w:rsidRPr="00640447">
              <w:rPr>
                <w:sz w:val="13"/>
                <w:szCs w:val="13"/>
              </w:rPr>
              <w:t>0,00</w:t>
            </w:r>
          </w:p>
        </w:tc>
        <w:tc>
          <w:tcPr>
            <w:tcW w:w="303" w:type="pct"/>
            <w:shd w:val="clear" w:color="auto" w:fill="auto"/>
            <w:tcMar>
              <w:left w:w="28" w:type="dxa"/>
              <w:right w:w="28" w:type="dxa"/>
            </w:tcMar>
            <w:vAlign w:val="center"/>
          </w:tcPr>
          <w:p w14:paraId="2EE9362F" w14:textId="77777777" w:rsidR="004A0123" w:rsidRPr="00640447" w:rsidRDefault="004A0123" w:rsidP="008A5C11">
            <w:pPr>
              <w:jc w:val="center"/>
              <w:rPr>
                <w:sz w:val="13"/>
                <w:szCs w:val="13"/>
              </w:rPr>
            </w:pPr>
            <w:r w:rsidRPr="00640447">
              <w:rPr>
                <w:sz w:val="13"/>
                <w:szCs w:val="13"/>
              </w:rPr>
              <w:t>0,00</w:t>
            </w:r>
          </w:p>
        </w:tc>
        <w:tc>
          <w:tcPr>
            <w:tcW w:w="303" w:type="pct"/>
            <w:shd w:val="clear" w:color="auto" w:fill="auto"/>
            <w:tcMar>
              <w:left w:w="28" w:type="dxa"/>
              <w:right w:w="28" w:type="dxa"/>
            </w:tcMar>
            <w:vAlign w:val="center"/>
          </w:tcPr>
          <w:p w14:paraId="43D0670A" w14:textId="77777777" w:rsidR="004A0123" w:rsidRPr="00640447" w:rsidRDefault="004A0123" w:rsidP="008A5C11">
            <w:pPr>
              <w:jc w:val="center"/>
              <w:rPr>
                <w:sz w:val="13"/>
                <w:szCs w:val="13"/>
              </w:rPr>
            </w:pPr>
            <w:r w:rsidRPr="00640447">
              <w:rPr>
                <w:sz w:val="13"/>
                <w:szCs w:val="13"/>
              </w:rPr>
              <w:t>0,00</w:t>
            </w:r>
          </w:p>
        </w:tc>
        <w:tc>
          <w:tcPr>
            <w:tcW w:w="303" w:type="pct"/>
            <w:shd w:val="clear" w:color="auto" w:fill="auto"/>
            <w:tcMar>
              <w:left w:w="28" w:type="dxa"/>
              <w:right w:w="28" w:type="dxa"/>
            </w:tcMar>
            <w:vAlign w:val="center"/>
          </w:tcPr>
          <w:p w14:paraId="2D0DCCCA" w14:textId="77777777" w:rsidR="004A0123" w:rsidRPr="00640447" w:rsidRDefault="004A0123" w:rsidP="008A5C11">
            <w:pPr>
              <w:jc w:val="center"/>
              <w:rPr>
                <w:sz w:val="13"/>
                <w:szCs w:val="13"/>
              </w:rPr>
            </w:pPr>
            <w:r w:rsidRPr="00640447">
              <w:rPr>
                <w:sz w:val="13"/>
                <w:szCs w:val="13"/>
              </w:rPr>
              <w:t>0,00</w:t>
            </w:r>
          </w:p>
        </w:tc>
        <w:tc>
          <w:tcPr>
            <w:tcW w:w="307" w:type="pct"/>
            <w:shd w:val="clear" w:color="auto" w:fill="auto"/>
            <w:vAlign w:val="center"/>
          </w:tcPr>
          <w:p w14:paraId="05763947" w14:textId="77777777" w:rsidR="004A0123" w:rsidRPr="00640447" w:rsidRDefault="004A0123" w:rsidP="008A5C11">
            <w:pPr>
              <w:jc w:val="center"/>
              <w:rPr>
                <w:sz w:val="13"/>
                <w:szCs w:val="13"/>
              </w:rPr>
            </w:pPr>
            <w:r w:rsidRPr="00640447">
              <w:rPr>
                <w:sz w:val="13"/>
                <w:szCs w:val="13"/>
              </w:rPr>
              <w:t>0,00</w:t>
            </w:r>
          </w:p>
        </w:tc>
      </w:tr>
      <w:tr w:rsidR="004A0123" w:rsidRPr="00640447" w14:paraId="64073AAA" w14:textId="77777777" w:rsidTr="008A5C11">
        <w:trPr>
          <w:trHeight w:val="148"/>
          <w:jc w:val="center"/>
        </w:trPr>
        <w:tc>
          <w:tcPr>
            <w:tcW w:w="222" w:type="pct"/>
            <w:tcMar>
              <w:top w:w="62" w:type="dxa"/>
              <w:left w:w="28" w:type="dxa"/>
              <w:bottom w:w="102" w:type="dxa"/>
              <w:right w:w="28" w:type="dxa"/>
            </w:tcMar>
            <w:vAlign w:val="center"/>
          </w:tcPr>
          <w:p w14:paraId="02C26079" w14:textId="77777777" w:rsidR="004A0123" w:rsidRPr="00640447" w:rsidRDefault="004A0123" w:rsidP="008A5C11">
            <w:pPr>
              <w:jc w:val="center"/>
              <w:rPr>
                <w:sz w:val="13"/>
                <w:szCs w:val="13"/>
              </w:rPr>
            </w:pPr>
            <w:r w:rsidRPr="00640447">
              <w:rPr>
                <w:sz w:val="13"/>
                <w:szCs w:val="13"/>
              </w:rPr>
              <w:t>10</w:t>
            </w:r>
          </w:p>
        </w:tc>
        <w:tc>
          <w:tcPr>
            <w:tcW w:w="893" w:type="pct"/>
            <w:tcMar>
              <w:top w:w="62" w:type="dxa"/>
              <w:left w:w="28" w:type="dxa"/>
              <w:bottom w:w="102" w:type="dxa"/>
              <w:right w:w="28" w:type="dxa"/>
            </w:tcMar>
            <w:vAlign w:val="center"/>
          </w:tcPr>
          <w:p w14:paraId="75FBC670" w14:textId="77777777" w:rsidR="004A0123" w:rsidRPr="00640447" w:rsidRDefault="004A0123" w:rsidP="008A5C11">
            <w:pPr>
              <w:jc w:val="center"/>
              <w:rPr>
                <w:sz w:val="13"/>
                <w:szCs w:val="13"/>
              </w:rPr>
            </w:pPr>
            <w:r w:rsidRPr="00640447">
              <w:rPr>
                <w:sz w:val="13"/>
                <w:szCs w:val="13"/>
              </w:rPr>
              <w:t>Котельная № 20</w:t>
            </w:r>
          </w:p>
        </w:tc>
        <w:tc>
          <w:tcPr>
            <w:tcW w:w="558" w:type="pct"/>
            <w:shd w:val="clear" w:color="auto" w:fill="auto"/>
            <w:tcMar>
              <w:left w:w="28" w:type="dxa"/>
              <w:right w:w="28" w:type="dxa"/>
            </w:tcMar>
            <w:vAlign w:val="center"/>
          </w:tcPr>
          <w:p w14:paraId="56F8B7A4" w14:textId="77777777" w:rsidR="004A0123" w:rsidRPr="00640447" w:rsidRDefault="004A0123" w:rsidP="008A5C11">
            <w:pPr>
              <w:jc w:val="center"/>
              <w:rPr>
                <w:sz w:val="13"/>
                <w:szCs w:val="13"/>
              </w:rPr>
            </w:pPr>
            <w:r w:rsidRPr="00640447">
              <w:rPr>
                <w:sz w:val="13"/>
                <w:szCs w:val="13"/>
              </w:rPr>
              <w:t>259,81</w:t>
            </w:r>
          </w:p>
        </w:tc>
        <w:tc>
          <w:tcPr>
            <w:tcW w:w="356" w:type="pct"/>
            <w:shd w:val="clear" w:color="auto" w:fill="auto"/>
            <w:tcMar>
              <w:left w:w="28" w:type="dxa"/>
              <w:right w:w="28" w:type="dxa"/>
            </w:tcMar>
            <w:vAlign w:val="center"/>
          </w:tcPr>
          <w:p w14:paraId="1EA9F036" w14:textId="77777777" w:rsidR="004A0123" w:rsidRPr="00640447" w:rsidRDefault="004A0123" w:rsidP="008A5C11">
            <w:pPr>
              <w:jc w:val="center"/>
              <w:rPr>
                <w:sz w:val="13"/>
                <w:szCs w:val="13"/>
              </w:rPr>
            </w:pPr>
            <w:r w:rsidRPr="00640447">
              <w:rPr>
                <w:sz w:val="13"/>
                <w:szCs w:val="13"/>
              </w:rPr>
              <w:t>259,81</w:t>
            </w:r>
          </w:p>
        </w:tc>
        <w:tc>
          <w:tcPr>
            <w:tcW w:w="361" w:type="pct"/>
            <w:shd w:val="clear" w:color="auto" w:fill="auto"/>
            <w:tcMar>
              <w:left w:w="28" w:type="dxa"/>
              <w:right w:w="28" w:type="dxa"/>
            </w:tcMar>
            <w:vAlign w:val="center"/>
          </w:tcPr>
          <w:p w14:paraId="78711517" w14:textId="77777777" w:rsidR="004A0123" w:rsidRPr="00640447" w:rsidRDefault="004A0123" w:rsidP="008A5C11">
            <w:pPr>
              <w:jc w:val="center"/>
              <w:rPr>
                <w:sz w:val="13"/>
                <w:szCs w:val="13"/>
              </w:rPr>
            </w:pPr>
            <w:r w:rsidRPr="00640447">
              <w:rPr>
                <w:sz w:val="13"/>
                <w:szCs w:val="13"/>
              </w:rPr>
              <w:t>259,81</w:t>
            </w:r>
          </w:p>
        </w:tc>
        <w:tc>
          <w:tcPr>
            <w:tcW w:w="359" w:type="pct"/>
            <w:shd w:val="clear" w:color="auto" w:fill="auto"/>
            <w:tcMar>
              <w:left w:w="28" w:type="dxa"/>
              <w:right w:w="28" w:type="dxa"/>
            </w:tcMar>
            <w:vAlign w:val="center"/>
          </w:tcPr>
          <w:p w14:paraId="25430C84" w14:textId="77777777" w:rsidR="004A0123" w:rsidRPr="00640447" w:rsidRDefault="004A0123" w:rsidP="008A5C11">
            <w:pPr>
              <w:jc w:val="center"/>
              <w:rPr>
                <w:sz w:val="13"/>
                <w:szCs w:val="13"/>
              </w:rPr>
            </w:pPr>
            <w:r w:rsidRPr="00640447">
              <w:rPr>
                <w:sz w:val="13"/>
                <w:szCs w:val="13"/>
              </w:rPr>
              <w:t>259,81</w:t>
            </w:r>
          </w:p>
        </w:tc>
        <w:tc>
          <w:tcPr>
            <w:tcW w:w="360" w:type="pct"/>
            <w:shd w:val="clear" w:color="auto" w:fill="auto"/>
            <w:vAlign w:val="center"/>
          </w:tcPr>
          <w:p w14:paraId="1843F2DB" w14:textId="77777777" w:rsidR="004A0123" w:rsidRPr="00640447" w:rsidRDefault="004A0123" w:rsidP="008A5C11">
            <w:pPr>
              <w:jc w:val="center"/>
              <w:rPr>
                <w:sz w:val="13"/>
                <w:szCs w:val="13"/>
              </w:rPr>
            </w:pPr>
            <w:r w:rsidRPr="00640447">
              <w:rPr>
                <w:sz w:val="13"/>
                <w:szCs w:val="13"/>
              </w:rPr>
              <w:t>259,81</w:t>
            </w:r>
          </w:p>
        </w:tc>
        <w:tc>
          <w:tcPr>
            <w:tcW w:w="316" w:type="pct"/>
            <w:shd w:val="clear" w:color="auto" w:fill="auto"/>
            <w:vAlign w:val="center"/>
          </w:tcPr>
          <w:p w14:paraId="01C8794E" w14:textId="77777777" w:rsidR="004A0123" w:rsidRPr="00640447" w:rsidRDefault="004A0123" w:rsidP="008A5C11">
            <w:pPr>
              <w:jc w:val="center"/>
              <w:rPr>
                <w:sz w:val="13"/>
                <w:szCs w:val="13"/>
              </w:rPr>
            </w:pPr>
            <w:r w:rsidRPr="00640447">
              <w:rPr>
                <w:sz w:val="13"/>
                <w:szCs w:val="13"/>
              </w:rPr>
              <w:t>0,00</w:t>
            </w:r>
          </w:p>
        </w:tc>
        <w:tc>
          <w:tcPr>
            <w:tcW w:w="359" w:type="pct"/>
            <w:shd w:val="clear" w:color="auto" w:fill="auto"/>
            <w:tcMar>
              <w:left w:w="28" w:type="dxa"/>
              <w:right w:w="28" w:type="dxa"/>
            </w:tcMar>
            <w:vAlign w:val="center"/>
          </w:tcPr>
          <w:p w14:paraId="02E24C3A" w14:textId="77777777" w:rsidR="004A0123" w:rsidRPr="00640447" w:rsidRDefault="004A0123" w:rsidP="008A5C11">
            <w:pPr>
              <w:jc w:val="center"/>
              <w:rPr>
                <w:sz w:val="13"/>
                <w:szCs w:val="13"/>
              </w:rPr>
            </w:pPr>
            <w:r w:rsidRPr="00640447">
              <w:rPr>
                <w:sz w:val="13"/>
                <w:szCs w:val="13"/>
              </w:rPr>
              <w:t>0,00</w:t>
            </w:r>
          </w:p>
        </w:tc>
        <w:tc>
          <w:tcPr>
            <w:tcW w:w="303" w:type="pct"/>
            <w:shd w:val="clear" w:color="auto" w:fill="auto"/>
            <w:tcMar>
              <w:left w:w="28" w:type="dxa"/>
              <w:right w:w="28" w:type="dxa"/>
            </w:tcMar>
            <w:vAlign w:val="center"/>
          </w:tcPr>
          <w:p w14:paraId="3E930AF7" w14:textId="77777777" w:rsidR="004A0123" w:rsidRPr="00640447" w:rsidRDefault="004A0123" w:rsidP="008A5C11">
            <w:pPr>
              <w:jc w:val="center"/>
              <w:rPr>
                <w:sz w:val="13"/>
                <w:szCs w:val="13"/>
              </w:rPr>
            </w:pPr>
            <w:r w:rsidRPr="00640447">
              <w:rPr>
                <w:sz w:val="13"/>
                <w:szCs w:val="13"/>
              </w:rPr>
              <w:t>0,00</w:t>
            </w:r>
          </w:p>
        </w:tc>
        <w:tc>
          <w:tcPr>
            <w:tcW w:w="303" w:type="pct"/>
            <w:shd w:val="clear" w:color="auto" w:fill="auto"/>
            <w:tcMar>
              <w:left w:w="28" w:type="dxa"/>
              <w:right w:w="28" w:type="dxa"/>
            </w:tcMar>
            <w:vAlign w:val="center"/>
          </w:tcPr>
          <w:p w14:paraId="2A18718E" w14:textId="77777777" w:rsidR="004A0123" w:rsidRPr="00640447" w:rsidRDefault="004A0123" w:rsidP="008A5C11">
            <w:pPr>
              <w:jc w:val="center"/>
              <w:rPr>
                <w:sz w:val="13"/>
                <w:szCs w:val="13"/>
              </w:rPr>
            </w:pPr>
            <w:r w:rsidRPr="00640447">
              <w:rPr>
                <w:sz w:val="13"/>
                <w:szCs w:val="13"/>
              </w:rPr>
              <w:t>0,00</w:t>
            </w:r>
          </w:p>
        </w:tc>
        <w:tc>
          <w:tcPr>
            <w:tcW w:w="303" w:type="pct"/>
            <w:shd w:val="clear" w:color="auto" w:fill="auto"/>
            <w:tcMar>
              <w:left w:w="28" w:type="dxa"/>
              <w:right w:w="28" w:type="dxa"/>
            </w:tcMar>
            <w:vAlign w:val="center"/>
          </w:tcPr>
          <w:p w14:paraId="06C91FE5" w14:textId="77777777" w:rsidR="004A0123" w:rsidRPr="00640447" w:rsidRDefault="004A0123" w:rsidP="008A5C11">
            <w:pPr>
              <w:jc w:val="center"/>
              <w:rPr>
                <w:sz w:val="13"/>
                <w:szCs w:val="13"/>
              </w:rPr>
            </w:pPr>
            <w:r w:rsidRPr="00640447">
              <w:rPr>
                <w:sz w:val="13"/>
                <w:szCs w:val="13"/>
              </w:rPr>
              <w:t>0,00</w:t>
            </w:r>
          </w:p>
        </w:tc>
        <w:tc>
          <w:tcPr>
            <w:tcW w:w="307" w:type="pct"/>
            <w:shd w:val="clear" w:color="auto" w:fill="auto"/>
            <w:vAlign w:val="center"/>
          </w:tcPr>
          <w:p w14:paraId="6CD9365B" w14:textId="77777777" w:rsidR="004A0123" w:rsidRPr="00640447" w:rsidRDefault="004A0123" w:rsidP="008A5C11">
            <w:pPr>
              <w:jc w:val="center"/>
              <w:rPr>
                <w:sz w:val="13"/>
                <w:szCs w:val="13"/>
              </w:rPr>
            </w:pPr>
            <w:r w:rsidRPr="00640447">
              <w:rPr>
                <w:sz w:val="13"/>
                <w:szCs w:val="13"/>
              </w:rPr>
              <w:t>0,00</w:t>
            </w:r>
          </w:p>
        </w:tc>
      </w:tr>
      <w:tr w:rsidR="004A0123" w:rsidRPr="00640447" w14:paraId="3A27988D" w14:textId="77777777" w:rsidTr="008A5C11">
        <w:trPr>
          <w:trHeight w:val="148"/>
          <w:jc w:val="center"/>
        </w:trPr>
        <w:tc>
          <w:tcPr>
            <w:tcW w:w="222" w:type="pct"/>
            <w:tcMar>
              <w:top w:w="62" w:type="dxa"/>
              <w:left w:w="28" w:type="dxa"/>
              <w:bottom w:w="102" w:type="dxa"/>
              <w:right w:w="28" w:type="dxa"/>
            </w:tcMar>
            <w:vAlign w:val="center"/>
          </w:tcPr>
          <w:p w14:paraId="04628479" w14:textId="77777777" w:rsidR="004A0123" w:rsidRPr="00640447" w:rsidRDefault="004A0123" w:rsidP="008A5C11">
            <w:pPr>
              <w:jc w:val="center"/>
              <w:rPr>
                <w:sz w:val="13"/>
                <w:szCs w:val="13"/>
              </w:rPr>
            </w:pPr>
            <w:r w:rsidRPr="00640447">
              <w:rPr>
                <w:sz w:val="13"/>
                <w:szCs w:val="13"/>
              </w:rPr>
              <w:t>11</w:t>
            </w:r>
          </w:p>
        </w:tc>
        <w:tc>
          <w:tcPr>
            <w:tcW w:w="893" w:type="pct"/>
            <w:tcMar>
              <w:top w:w="62" w:type="dxa"/>
              <w:left w:w="28" w:type="dxa"/>
              <w:bottom w:w="102" w:type="dxa"/>
              <w:right w:w="28" w:type="dxa"/>
            </w:tcMar>
            <w:vAlign w:val="center"/>
          </w:tcPr>
          <w:p w14:paraId="5280BAF9" w14:textId="77777777" w:rsidR="004A0123" w:rsidRPr="00640447" w:rsidRDefault="004A0123" w:rsidP="008A5C11">
            <w:pPr>
              <w:jc w:val="center"/>
              <w:rPr>
                <w:sz w:val="13"/>
                <w:szCs w:val="13"/>
              </w:rPr>
            </w:pPr>
            <w:r w:rsidRPr="00640447">
              <w:rPr>
                <w:sz w:val="13"/>
                <w:szCs w:val="13"/>
              </w:rPr>
              <w:t>Котельная № 26</w:t>
            </w:r>
          </w:p>
        </w:tc>
        <w:tc>
          <w:tcPr>
            <w:tcW w:w="558" w:type="pct"/>
            <w:shd w:val="clear" w:color="auto" w:fill="auto"/>
            <w:tcMar>
              <w:left w:w="28" w:type="dxa"/>
              <w:right w:w="28" w:type="dxa"/>
            </w:tcMar>
            <w:vAlign w:val="center"/>
          </w:tcPr>
          <w:p w14:paraId="2F91B1F5" w14:textId="77777777" w:rsidR="004A0123" w:rsidRPr="00640447" w:rsidRDefault="004A0123" w:rsidP="008A5C11">
            <w:pPr>
              <w:jc w:val="center"/>
              <w:rPr>
                <w:sz w:val="13"/>
                <w:szCs w:val="13"/>
              </w:rPr>
            </w:pPr>
            <w:r w:rsidRPr="00640447">
              <w:rPr>
                <w:sz w:val="13"/>
                <w:szCs w:val="13"/>
              </w:rPr>
              <w:t>231,28</w:t>
            </w:r>
          </w:p>
        </w:tc>
        <w:tc>
          <w:tcPr>
            <w:tcW w:w="356" w:type="pct"/>
            <w:shd w:val="clear" w:color="auto" w:fill="auto"/>
            <w:tcMar>
              <w:left w:w="28" w:type="dxa"/>
              <w:right w:w="28" w:type="dxa"/>
            </w:tcMar>
            <w:vAlign w:val="center"/>
          </w:tcPr>
          <w:p w14:paraId="0364D322" w14:textId="77777777" w:rsidR="004A0123" w:rsidRPr="00640447" w:rsidRDefault="004A0123" w:rsidP="008A5C11">
            <w:pPr>
              <w:jc w:val="center"/>
              <w:rPr>
                <w:sz w:val="13"/>
                <w:szCs w:val="13"/>
              </w:rPr>
            </w:pPr>
            <w:r w:rsidRPr="00640447">
              <w:rPr>
                <w:sz w:val="13"/>
                <w:szCs w:val="13"/>
              </w:rPr>
              <w:t>231,28</w:t>
            </w:r>
          </w:p>
        </w:tc>
        <w:tc>
          <w:tcPr>
            <w:tcW w:w="361" w:type="pct"/>
            <w:shd w:val="clear" w:color="auto" w:fill="auto"/>
            <w:tcMar>
              <w:left w:w="28" w:type="dxa"/>
              <w:right w:w="28" w:type="dxa"/>
            </w:tcMar>
            <w:vAlign w:val="center"/>
          </w:tcPr>
          <w:p w14:paraId="4E046BA2" w14:textId="77777777" w:rsidR="004A0123" w:rsidRPr="00640447" w:rsidRDefault="004A0123" w:rsidP="008A5C11">
            <w:pPr>
              <w:jc w:val="center"/>
              <w:rPr>
                <w:sz w:val="13"/>
                <w:szCs w:val="13"/>
              </w:rPr>
            </w:pPr>
            <w:r w:rsidRPr="00640447">
              <w:rPr>
                <w:sz w:val="13"/>
                <w:szCs w:val="13"/>
              </w:rPr>
              <w:t>231,28</w:t>
            </w:r>
          </w:p>
        </w:tc>
        <w:tc>
          <w:tcPr>
            <w:tcW w:w="359" w:type="pct"/>
            <w:shd w:val="clear" w:color="auto" w:fill="auto"/>
            <w:tcMar>
              <w:left w:w="28" w:type="dxa"/>
              <w:right w:w="28" w:type="dxa"/>
            </w:tcMar>
            <w:vAlign w:val="center"/>
          </w:tcPr>
          <w:p w14:paraId="1AA20D1B" w14:textId="77777777" w:rsidR="004A0123" w:rsidRPr="00640447" w:rsidRDefault="004A0123" w:rsidP="008A5C11">
            <w:pPr>
              <w:jc w:val="center"/>
              <w:rPr>
                <w:sz w:val="13"/>
                <w:szCs w:val="13"/>
              </w:rPr>
            </w:pPr>
            <w:r w:rsidRPr="00640447">
              <w:rPr>
                <w:sz w:val="13"/>
                <w:szCs w:val="13"/>
              </w:rPr>
              <w:t>231,28</w:t>
            </w:r>
          </w:p>
        </w:tc>
        <w:tc>
          <w:tcPr>
            <w:tcW w:w="360" w:type="pct"/>
            <w:shd w:val="clear" w:color="auto" w:fill="auto"/>
            <w:vAlign w:val="center"/>
          </w:tcPr>
          <w:p w14:paraId="55DD83D3" w14:textId="77777777" w:rsidR="004A0123" w:rsidRPr="00640447" w:rsidRDefault="004A0123" w:rsidP="008A5C11">
            <w:pPr>
              <w:jc w:val="center"/>
              <w:rPr>
                <w:sz w:val="13"/>
                <w:szCs w:val="13"/>
              </w:rPr>
            </w:pPr>
            <w:r w:rsidRPr="00640447">
              <w:rPr>
                <w:sz w:val="13"/>
                <w:szCs w:val="13"/>
              </w:rPr>
              <w:t>219,60</w:t>
            </w:r>
          </w:p>
        </w:tc>
        <w:tc>
          <w:tcPr>
            <w:tcW w:w="316" w:type="pct"/>
            <w:shd w:val="clear" w:color="auto" w:fill="auto"/>
            <w:vAlign w:val="center"/>
          </w:tcPr>
          <w:p w14:paraId="2E170647" w14:textId="77777777" w:rsidR="004A0123" w:rsidRPr="00640447" w:rsidRDefault="004A0123" w:rsidP="008A5C11">
            <w:pPr>
              <w:jc w:val="center"/>
              <w:rPr>
                <w:sz w:val="13"/>
                <w:szCs w:val="13"/>
              </w:rPr>
            </w:pPr>
            <w:r w:rsidRPr="00640447">
              <w:rPr>
                <w:sz w:val="13"/>
                <w:szCs w:val="13"/>
              </w:rPr>
              <w:t>219,60</w:t>
            </w:r>
          </w:p>
        </w:tc>
        <w:tc>
          <w:tcPr>
            <w:tcW w:w="359" w:type="pct"/>
            <w:shd w:val="clear" w:color="auto" w:fill="auto"/>
            <w:tcMar>
              <w:left w:w="28" w:type="dxa"/>
              <w:right w:w="28" w:type="dxa"/>
            </w:tcMar>
            <w:vAlign w:val="center"/>
          </w:tcPr>
          <w:p w14:paraId="4458965A" w14:textId="77777777" w:rsidR="004A0123" w:rsidRPr="00640447" w:rsidRDefault="004A0123" w:rsidP="008A5C11">
            <w:pPr>
              <w:jc w:val="center"/>
              <w:rPr>
                <w:sz w:val="13"/>
                <w:szCs w:val="13"/>
              </w:rPr>
            </w:pPr>
            <w:r w:rsidRPr="00640447">
              <w:rPr>
                <w:sz w:val="13"/>
                <w:szCs w:val="13"/>
              </w:rPr>
              <w:t>219,60</w:t>
            </w:r>
          </w:p>
        </w:tc>
        <w:tc>
          <w:tcPr>
            <w:tcW w:w="303" w:type="pct"/>
            <w:shd w:val="clear" w:color="auto" w:fill="auto"/>
            <w:tcMar>
              <w:left w:w="28" w:type="dxa"/>
              <w:right w:w="28" w:type="dxa"/>
            </w:tcMar>
            <w:vAlign w:val="center"/>
          </w:tcPr>
          <w:p w14:paraId="158CDC41" w14:textId="77777777" w:rsidR="004A0123" w:rsidRPr="00640447" w:rsidRDefault="004A0123" w:rsidP="008A5C11">
            <w:pPr>
              <w:jc w:val="center"/>
              <w:rPr>
                <w:sz w:val="13"/>
                <w:szCs w:val="13"/>
              </w:rPr>
            </w:pPr>
            <w:r w:rsidRPr="00640447">
              <w:rPr>
                <w:sz w:val="13"/>
                <w:szCs w:val="13"/>
              </w:rPr>
              <w:t>219,60</w:t>
            </w:r>
          </w:p>
        </w:tc>
        <w:tc>
          <w:tcPr>
            <w:tcW w:w="303" w:type="pct"/>
            <w:shd w:val="clear" w:color="auto" w:fill="auto"/>
            <w:tcMar>
              <w:left w:w="28" w:type="dxa"/>
              <w:right w:w="28" w:type="dxa"/>
            </w:tcMar>
            <w:vAlign w:val="center"/>
          </w:tcPr>
          <w:p w14:paraId="57EA701F" w14:textId="77777777" w:rsidR="004A0123" w:rsidRPr="00640447" w:rsidRDefault="004A0123" w:rsidP="008A5C11">
            <w:pPr>
              <w:jc w:val="center"/>
              <w:rPr>
                <w:sz w:val="13"/>
                <w:szCs w:val="13"/>
              </w:rPr>
            </w:pPr>
            <w:r w:rsidRPr="00640447">
              <w:rPr>
                <w:sz w:val="13"/>
                <w:szCs w:val="13"/>
              </w:rPr>
              <w:t>219,60</w:t>
            </w:r>
          </w:p>
        </w:tc>
        <w:tc>
          <w:tcPr>
            <w:tcW w:w="303" w:type="pct"/>
            <w:shd w:val="clear" w:color="auto" w:fill="auto"/>
            <w:tcMar>
              <w:left w:w="28" w:type="dxa"/>
              <w:right w:w="28" w:type="dxa"/>
            </w:tcMar>
            <w:vAlign w:val="center"/>
          </w:tcPr>
          <w:p w14:paraId="57DC2C2D" w14:textId="77777777" w:rsidR="004A0123" w:rsidRPr="00640447" w:rsidRDefault="004A0123" w:rsidP="008A5C11">
            <w:pPr>
              <w:jc w:val="center"/>
              <w:rPr>
                <w:sz w:val="13"/>
                <w:szCs w:val="13"/>
              </w:rPr>
            </w:pPr>
            <w:r w:rsidRPr="00640447">
              <w:rPr>
                <w:sz w:val="13"/>
                <w:szCs w:val="13"/>
              </w:rPr>
              <w:t>219,60</w:t>
            </w:r>
          </w:p>
        </w:tc>
        <w:tc>
          <w:tcPr>
            <w:tcW w:w="307" w:type="pct"/>
            <w:shd w:val="clear" w:color="auto" w:fill="auto"/>
            <w:vAlign w:val="center"/>
          </w:tcPr>
          <w:p w14:paraId="3497AF29" w14:textId="77777777" w:rsidR="004A0123" w:rsidRPr="00640447" w:rsidRDefault="004A0123" w:rsidP="008A5C11">
            <w:pPr>
              <w:jc w:val="center"/>
              <w:rPr>
                <w:sz w:val="13"/>
                <w:szCs w:val="13"/>
              </w:rPr>
            </w:pPr>
            <w:r w:rsidRPr="00640447">
              <w:rPr>
                <w:sz w:val="13"/>
                <w:szCs w:val="13"/>
              </w:rPr>
              <w:t>219,60</w:t>
            </w:r>
          </w:p>
        </w:tc>
      </w:tr>
      <w:tr w:rsidR="004A0123" w:rsidRPr="00640447" w14:paraId="49038BD6" w14:textId="77777777" w:rsidTr="008A5C11">
        <w:trPr>
          <w:trHeight w:val="148"/>
          <w:jc w:val="center"/>
        </w:trPr>
        <w:tc>
          <w:tcPr>
            <w:tcW w:w="222" w:type="pct"/>
            <w:tcMar>
              <w:top w:w="62" w:type="dxa"/>
              <w:left w:w="28" w:type="dxa"/>
              <w:bottom w:w="102" w:type="dxa"/>
              <w:right w:w="28" w:type="dxa"/>
            </w:tcMar>
            <w:vAlign w:val="center"/>
          </w:tcPr>
          <w:p w14:paraId="1C143F34" w14:textId="77777777" w:rsidR="004A0123" w:rsidRPr="00640447" w:rsidRDefault="004A0123" w:rsidP="008A5C11">
            <w:pPr>
              <w:jc w:val="center"/>
              <w:rPr>
                <w:sz w:val="13"/>
                <w:szCs w:val="13"/>
              </w:rPr>
            </w:pPr>
            <w:r w:rsidRPr="00640447">
              <w:rPr>
                <w:sz w:val="13"/>
                <w:szCs w:val="13"/>
              </w:rPr>
              <w:t>12</w:t>
            </w:r>
          </w:p>
        </w:tc>
        <w:tc>
          <w:tcPr>
            <w:tcW w:w="893" w:type="pct"/>
            <w:tcMar>
              <w:top w:w="62" w:type="dxa"/>
              <w:left w:w="28" w:type="dxa"/>
              <w:bottom w:w="102" w:type="dxa"/>
              <w:right w:w="28" w:type="dxa"/>
            </w:tcMar>
            <w:vAlign w:val="center"/>
          </w:tcPr>
          <w:p w14:paraId="4FC96988" w14:textId="77777777" w:rsidR="004A0123" w:rsidRPr="00640447" w:rsidRDefault="004A0123" w:rsidP="008A5C11">
            <w:pPr>
              <w:jc w:val="center"/>
              <w:rPr>
                <w:sz w:val="13"/>
                <w:szCs w:val="13"/>
              </w:rPr>
            </w:pPr>
            <w:r w:rsidRPr="00640447">
              <w:rPr>
                <w:sz w:val="13"/>
                <w:szCs w:val="13"/>
              </w:rPr>
              <w:t>Котельная № 40</w:t>
            </w:r>
          </w:p>
        </w:tc>
        <w:tc>
          <w:tcPr>
            <w:tcW w:w="558" w:type="pct"/>
            <w:shd w:val="clear" w:color="auto" w:fill="auto"/>
            <w:tcMar>
              <w:left w:w="28" w:type="dxa"/>
              <w:right w:w="28" w:type="dxa"/>
            </w:tcMar>
            <w:vAlign w:val="center"/>
          </w:tcPr>
          <w:p w14:paraId="7CE276B8" w14:textId="77777777" w:rsidR="004A0123" w:rsidRPr="00640447" w:rsidRDefault="004A0123" w:rsidP="008A5C11">
            <w:pPr>
              <w:jc w:val="center"/>
              <w:rPr>
                <w:sz w:val="13"/>
                <w:szCs w:val="13"/>
              </w:rPr>
            </w:pPr>
            <w:r w:rsidRPr="00640447">
              <w:rPr>
                <w:sz w:val="13"/>
                <w:szCs w:val="13"/>
              </w:rPr>
              <w:t>222,05</w:t>
            </w:r>
          </w:p>
        </w:tc>
        <w:tc>
          <w:tcPr>
            <w:tcW w:w="356" w:type="pct"/>
            <w:shd w:val="clear" w:color="auto" w:fill="auto"/>
            <w:tcMar>
              <w:left w:w="28" w:type="dxa"/>
              <w:right w:w="28" w:type="dxa"/>
            </w:tcMar>
            <w:vAlign w:val="center"/>
          </w:tcPr>
          <w:p w14:paraId="16F17BC3" w14:textId="77777777" w:rsidR="004A0123" w:rsidRPr="00640447" w:rsidRDefault="004A0123" w:rsidP="008A5C11">
            <w:pPr>
              <w:jc w:val="center"/>
              <w:rPr>
                <w:sz w:val="13"/>
                <w:szCs w:val="13"/>
              </w:rPr>
            </w:pPr>
            <w:r w:rsidRPr="00640447">
              <w:rPr>
                <w:sz w:val="13"/>
                <w:szCs w:val="13"/>
              </w:rPr>
              <w:t>222,05</w:t>
            </w:r>
          </w:p>
        </w:tc>
        <w:tc>
          <w:tcPr>
            <w:tcW w:w="361" w:type="pct"/>
            <w:shd w:val="clear" w:color="auto" w:fill="auto"/>
            <w:tcMar>
              <w:left w:w="28" w:type="dxa"/>
              <w:right w:w="28" w:type="dxa"/>
            </w:tcMar>
            <w:vAlign w:val="center"/>
          </w:tcPr>
          <w:p w14:paraId="4925B8B0" w14:textId="77777777" w:rsidR="004A0123" w:rsidRPr="00640447" w:rsidRDefault="004A0123" w:rsidP="008A5C11">
            <w:pPr>
              <w:jc w:val="center"/>
              <w:rPr>
                <w:sz w:val="13"/>
                <w:szCs w:val="13"/>
              </w:rPr>
            </w:pPr>
            <w:r w:rsidRPr="00640447">
              <w:rPr>
                <w:sz w:val="13"/>
                <w:szCs w:val="13"/>
              </w:rPr>
              <w:t>222,05</w:t>
            </w:r>
          </w:p>
        </w:tc>
        <w:tc>
          <w:tcPr>
            <w:tcW w:w="359" w:type="pct"/>
            <w:shd w:val="clear" w:color="auto" w:fill="auto"/>
            <w:tcMar>
              <w:left w:w="28" w:type="dxa"/>
              <w:right w:w="28" w:type="dxa"/>
            </w:tcMar>
            <w:vAlign w:val="center"/>
          </w:tcPr>
          <w:p w14:paraId="472B1167" w14:textId="77777777" w:rsidR="004A0123" w:rsidRPr="00640447" w:rsidRDefault="004A0123" w:rsidP="008A5C11">
            <w:pPr>
              <w:jc w:val="center"/>
              <w:rPr>
                <w:sz w:val="13"/>
                <w:szCs w:val="13"/>
              </w:rPr>
            </w:pPr>
            <w:r w:rsidRPr="00640447">
              <w:rPr>
                <w:sz w:val="13"/>
                <w:szCs w:val="13"/>
              </w:rPr>
              <w:t>222,05</w:t>
            </w:r>
          </w:p>
        </w:tc>
        <w:tc>
          <w:tcPr>
            <w:tcW w:w="360" w:type="pct"/>
            <w:shd w:val="clear" w:color="auto" w:fill="auto"/>
            <w:vAlign w:val="center"/>
          </w:tcPr>
          <w:p w14:paraId="5A47719C" w14:textId="77777777" w:rsidR="004A0123" w:rsidRPr="00640447" w:rsidRDefault="004A0123" w:rsidP="008A5C11">
            <w:pPr>
              <w:jc w:val="center"/>
              <w:rPr>
                <w:sz w:val="13"/>
                <w:szCs w:val="13"/>
              </w:rPr>
            </w:pPr>
            <w:r w:rsidRPr="00640447">
              <w:rPr>
                <w:sz w:val="13"/>
                <w:szCs w:val="13"/>
              </w:rPr>
              <w:t>222,05</w:t>
            </w:r>
          </w:p>
        </w:tc>
        <w:tc>
          <w:tcPr>
            <w:tcW w:w="316" w:type="pct"/>
            <w:shd w:val="clear" w:color="auto" w:fill="auto"/>
            <w:vAlign w:val="center"/>
          </w:tcPr>
          <w:p w14:paraId="01DE5BAC" w14:textId="77777777" w:rsidR="004A0123" w:rsidRPr="00640447" w:rsidRDefault="004A0123" w:rsidP="008A5C11">
            <w:pPr>
              <w:jc w:val="center"/>
              <w:rPr>
                <w:sz w:val="13"/>
                <w:szCs w:val="13"/>
              </w:rPr>
            </w:pPr>
            <w:r w:rsidRPr="00640447">
              <w:rPr>
                <w:sz w:val="13"/>
                <w:szCs w:val="13"/>
              </w:rPr>
              <w:t>222,05</w:t>
            </w:r>
          </w:p>
        </w:tc>
        <w:tc>
          <w:tcPr>
            <w:tcW w:w="359" w:type="pct"/>
            <w:shd w:val="clear" w:color="auto" w:fill="auto"/>
            <w:tcMar>
              <w:left w:w="28" w:type="dxa"/>
              <w:right w:w="28" w:type="dxa"/>
            </w:tcMar>
            <w:vAlign w:val="center"/>
          </w:tcPr>
          <w:p w14:paraId="4A6F7B79" w14:textId="77777777" w:rsidR="004A0123" w:rsidRPr="00640447" w:rsidRDefault="004A0123" w:rsidP="008A5C11">
            <w:pPr>
              <w:jc w:val="center"/>
              <w:rPr>
                <w:sz w:val="13"/>
                <w:szCs w:val="13"/>
              </w:rPr>
            </w:pPr>
            <w:r w:rsidRPr="00640447">
              <w:rPr>
                <w:sz w:val="13"/>
                <w:szCs w:val="13"/>
              </w:rPr>
              <w:t>222,05</w:t>
            </w:r>
          </w:p>
        </w:tc>
        <w:tc>
          <w:tcPr>
            <w:tcW w:w="303" w:type="pct"/>
            <w:shd w:val="clear" w:color="auto" w:fill="auto"/>
            <w:tcMar>
              <w:left w:w="28" w:type="dxa"/>
              <w:right w:w="28" w:type="dxa"/>
            </w:tcMar>
            <w:vAlign w:val="center"/>
          </w:tcPr>
          <w:p w14:paraId="31E0AE52" w14:textId="77777777" w:rsidR="004A0123" w:rsidRPr="00640447" w:rsidRDefault="004A0123" w:rsidP="008A5C11">
            <w:pPr>
              <w:jc w:val="center"/>
              <w:rPr>
                <w:sz w:val="13"/>
                <w:szCs w:val="13"/>
              </w:rPr>
            </w:pPr>
            <w:r w:rsidRPr="00640447">
              <w:rPr>
                <w:sz w:val="13"/>
                <w:szCs w:val="13"/>
              </w:rPr>
              <w:t>222,05</w:t>
            </w:r>
          </w:p>
        </w:tc>
        <w:tc>
          <w:tcPr>
            <w:tcW w:w="303" w:type="pct"/>
            <w:shd w:val="clear" w:color="auto" w:fill="auto"/>
            <w:tcMar>
              <w:left w:w="28" w:type="dxa"/>
              <w:right w:w="28" w:type="dxa"/>
            </w:tcMar>
            <w:vAlign w:val="center"/>
          </w:tcPr>
          <w:p w14:paraId="138C56B5" w14:textId="77777777" w:rsidR="004A0123" w:rsidRPr="00640447" w:rsidRDefault="004A0123" w:rsidP="008A5C11">
            <w:pPr>
              <w:jc w:val="center"/>
              <w:rPr>
                <w:sz w:val="13"/>
                <w:szCs w:val="13"/>
              </w:rPr>
            </w:pPr>
            <w:r w:rsidRPr="00640447">
              <w:rPr>
                <w:sz w:val="13"/>
                <w:szCs w:val="13"/>
              </w:rPr>
              <w:t>222,05</w:t>
            </w:r>
          </w:p>
        </w:tc>
        <w:tc>
          <w:tcPr>
            <w:tcW w:w="303" w:type="pct"/>
            <w:shd w:val="clear" w:color="auto" w:fill="auto"/>
            <w:tcMar>
              <w:left w:w="28" w:type="dxa"/>
              <w:right w:w="28" w:type="dxa"/>
            </w:tcMar>
            <w:vAlign w:val="center"/>
          </w:tcPr>
          <w:p w14:paraId="09E72C35" w14:textId="77777777" w:rsidR="004A0123" w:rsidRPr="00640447" w:rsidRDefault="004A0123" w:rsidP="008A5C11">
            <w:pPr>
              <w:jc w:val="center"/>
              <w:rPr>
                <w:sz w:val="13"/>
                <w:szCs w:val="13"/>
              </w:rPr>
            </w:pPr>
            <w:r w:rsidRPr="00640447">
              <w:rPr>
                <w:sz w:val="13"/>
                <w:szCs w:val="13"/>
              </w:rPr>
              <w:t>222,05</w:t>
            </w:r>
          </w:p>
        </w:tc>
        <w:tc>
          <w:tcPr>
            <w:tcW w:w="307" w:type="pct"/>
            <w:shd w:val="clear" w:color="auto" w:fill="auto"/>
            <w:vAlign w:val="center"/>
          </w:tcPr>
          <w:p w14:paraId="0497A78D" w14:textId="77777777" w:rsidR="004A0123" w:rsidRPr="00640447" w:rsidRDefault="004A0123" w:rsidP="008A5C11">
            <w:pPr>
              <w:jc w:val="center"/>
              <w:rPr>
                <w:sz w:val="13"/>
                <w:szCs w:val="13"/>
              </w:rPr>
            </w:pPr>
            <w:r w:rsidRPr="00640447">
              <w:rPr>
                <w:sz w:val="13"/>
                <w:szCs w:val="13"/>
              </w:rPr>
              <w:t>222,05</w:t>
            </w:r>
          </w:p>
        </w:tc>
      </w:tr>
      <w:tr w:rsidR="004A0123" w:rsidRPr="00640447" w14:paraId="417C6427" w14:textId="77777777" w:rsidTr="008A5C11">
        <w:trPr>
          <w:trHeight w:val="170"/>
          <w:jc w:val="center"/>
        </w:trPr>
        <w:tc>
          <w:tcPr>
            <w:tcW w:w="222" w:type="pct"/>
            <w:tcMar>
              <w:top w:w="62" w:type="dxa"/>
              <w:left w:w="28" w:type="dxa"/>
              <w:bottom w:w="102" w:type="dxa"/>
              <w:right w:w="28" w:type="dxa"/>
            </w:tcMar>
            <w:vAlign w:val="center"/>
          </w:tcPr>
          <w:p w14:paraId="281872C0" w14:textId="77777777" w:rsidR="004A0123" w:rsidRPr="00640447" w:rsidRDefault="004A0123" w:rsidP="008A5C11">
            <w:pPr>
              <w:jc w:val="center"/>
              <w:rPr>
                <w:sz w:val="13"/>
                <w:szCs w:val="13"/>
              </w:rPr>
            </w:pPr>
            <w:r w:rsidRPr="00640447">
              <w:rPr>
                <w:sz w:val="13"/>
                <w:szCs w:val="13"/>
              </w:rPr>
              <w:t>13</w:t>
            </w:r>
          </w:p>
        </w:tc>
        <w:tc>
          <w:tcPr>
            <w:tcW w:w="893" w:type="pct"/>
            <w:tcMar>
              <w:top w:w="62" w:type="dxa"/>
              <w:left w:w="28" w:type="dxa"/>
              <w:bottom w:w="102" w:type="dxa"/>
              <w:right w:w="28" w:type="dxa"/>
            </w:tcMar>
            <w:vAlign w:val="center"/>
          </w:tcPr>
          <w:p w14:paraId="4CF6F9B4" w14:textId="77777777" w:rsidR="004A0123" w:rsidRPr="00640447" w:rsidRDefault="004A0123" w:rsidP="008A5C11">
            <w:pPr>
              <w:jc w:val="center"/>
              <w:rPr>
                <w:sz w:val="13"/>
                <w:szCs w:val="13"/>
              </w:rPr>
            </w:pPr>
            <w:r w:rsidRPr="00640447">
              <w:rPr>
                <w:sz w:val="13"/>
                <w:szCs w:val="13"/>
              </w:rPr>
              <w:t>Котельная № 44</w:t>
            </w:r>
          </w:p>
        </w:tc>
        <w:tc>
          <w:tcPr>
            <w:tcW w:w="558" w:type="pct"/>
            <w:shd w:val="clear" w:color="auto" w:fill="auto"/>
            <w:tcMar>
              <w:left w:w="28" w:type="dxa"/>
              <w:right w:w="28" w:type="dxa"/>
            </w:tcMar>
            <w:vAlign w:val="center"/>
          </w:tcPr>
          <w:p w14:paraId="39D652F2" w14:textId="77777777" w:rsidR="004A0123" w:rsidRPr="00640447" w:rsidRDefault="004A0123" w:rsidP="008A5C11">
            <w:pPr>
              <w:jc w:val="center"/>
              <w:rPr>
                <w:sz w:val="13"/>
                <w:szCs w:val="13"/>
              </w:rPr>
            </w:pPr>
            <w:r w:rsidRPr="00640447">
              <w:rPr>
                <w:sz w:val="13"/>
                <w:szCs w:val="13"/>
              </w:rPr>
              <w:t>254,47</w:t>
            </w:r>
          </w:p>
        </w:tc>
        <w:tc>
          <w:tcPr>
            <w:tcW w:w="356" w:type="pct"/>
            <w:shd w:val="clear" w:color="auto" w:fill="auto"/>
            <w:tcMar>
              <w:left w:w="28" w:type="dxa"/>
              <w:right w:w="28" w:type="dxa"/>
            </w:tcMar>
            <w:vAlign w:val="center"/>
          </w:tcPr>
          <w:p w14:paraId="6E38DE9C" w14:textId="77777777" w:rsidR="004A0123" w:rsidRPr="00640447" w:rsidRDefault="004A0123" w:rsidP="008A5C11">
            <w:pPr>
              <w:jc w:val="center"/>
              <w:rPr>
                <w:sz w:val="13"/>
                <w:szCs w:val="13"/>
              </w:rPr>
            </w:pPr>
            <w:r w:rsidRPr="00640447">
              <w:rPr>
                <w:sz w:val="13"/>
                <w:szCs w:val="13"/>
              </w:rPr>
              <w:t>254,47</w:t>
            </w:r>
          </w:p>
        </w:tc>
        <w:tc>
          <w:tcPr>
            <w:tcW w:w="361" w:type="pct"/>
            <w:shd w:val="clear" w:color="auto" w:fill="auto"/>
            <w:tcMar>
              <w:left w:w="28" w:type="dxa"/>
              <w:right w:w="28" w:type="dxa"/>
            </w:tcMar>
            <w:vAlign w:val="center"/>
          </w:tcPr>
          <w:p w14:paraId="16C0F891" w14:textId="77777777" w:rsidR="004A0123" w:rsidRPr="00640447" w:rsidRDefault="004A0123" w:rsidP="008A5C11">
            <w:pPr>
              <w:jc w:val="center"/>
              <w:rPr>
                <w:sz w:val="13"/>
                <w:szCs w:val="13"/>
              </w:rPr>
            </w:pPr>
            <w:r w:rsidRPr="00640447">
              <w:rPr>
                <w:sz w:val="13"/>
                <w:szCs w:val="13"/>
              </w:rPr>
              <w:t>219,60</w:t>
            </w:r>
          </w:p>
        </w:tc>
        <w:tc>
          <w:tcPr>
            <w:tcW w:w="359" w:type="pct"/>
            <w:shd w:val="clear" w:color="auto" w:fill="auto"/>
            <w:tcMar>
              <w:left w:w="28" w:type="dxa"/>
              <w:right w:w="28" w:type="dxa"/>
            </w:tcMar>
            <w:vAlign w:val="center"/>
          </w:tcPr>
          <w:p w14:paraId="040C89C1" w14:textId="77777777" w:rsidR="004A0123" w:rsidRPr="00640447" w:rsidRDefault="004A0123" w:rsidP="008A5C11">
            <w:pPr>
              <w:jc w:val="center"/>
              <w:rPr>
                <w:sz w:val="13"/>
                <w:szCs w:val="13"/>
              </w:rPr>
            </w:pPr>
            <w:r w:rsidRPr="00640447">
              <w:rPr>
                <w:sz w:val="13"/>
                <w:szCs w:val="13"/>
              </w:rPr>
              <w:t>219,60</w:t>
            </w:r>
          </w:p>
        </w:tc>
        <w:tc>
          <w:tcPr>
            <w:tcW w:w="360" w:type="pct"/>
            <w:shd w:val="clear" w:color="auto" w:fill="auto"/>
            <w:vAlign w:val="center"/>
          </w:tcPr>
          <w:p w14:paraId="700D51A1" w14:textId="77777777" w:rsidR="004A0123" w:rsidRPr="00640447" w:rsidRDefault="004A0123" w:rsidP="008A5C11">
            <w:pPr>
              <w:jc w:val="center"/>
              <w:rPr>
                <w:sz w:val="13"/>
                <w:szCs w:val="13"/>
              </w:rPr>
            </w:pPr>
            <w:r w:rsidRPr="00640447">
              <w:rPr>
                <w:sz w:val="13"/>
                <w:szCs w:val="13"/>
              </w:rPr>
              <w:t>219,60</w:t>
            </w:r>
          </w:p>
        </w:tc>
        <w:tc>
          <w:tcPr>
            <w:tcW w:w="316" w:type="pct"/>
            <w:shd w:val="clear" w:color="auto" w:fill="auto"/>
            <w:vAlign w:val="center"/>
          </w:tcPr>
          <w:p w14:paraId="4A01873F" w14:textId="77777777" w:rsidR="004A0123" w:rsidRPr="00640447" w:rsidRDefault="004A0123" w:rsidP="008A5C11">
            <w:pPr>
              <w:jc w:val="center"/>
              <w:rPr>
                <w:sz w:val="13"/>
                <w:szCs w:val="13"/>
              </w:rPr>
            </w:pPr>
            <w:r w:rsidRPr="00640447">
              <w:rPr>
                <w:sz w:val="13"/>
                <w:szCs w:val="13"/>
              </w:rPr>
              <w:t>219,60</w:t>
            </w:r>
          </w:p>
        </w:tc>
        <w:tc>
          <w:tcPr>
            <w:tcW w:w="359" w:type="pct"/>
            <w:shd w:val="clear" w:color="auto" w:fill="auto"/>
            <w:tcMar>
              <w:left w:w="28" w:type="dxa"/>
              <w:right w:w="28" w:type="dxa"/>
            </w:tcMar>
            <w:vAlign w:val="center"/>
          </w:tcPr>
          <w:p w14:paraId="37AE5C2C" w14:textId="77777777" w:rsidR="004A0123" w:rsidRPr="00640447" w:rsidRDefault="004A0123" w:rsidP="008A5C11">
            <w:pPr>
              <w:jc w:val="center"/>
              <w:rPr>
                <w:sz w:val="13"/>
                <w:szCs w:val="13"/>
              </w:rPr>
            </w:pPr>
            <w:r w:rsidRPr="00640447">
              <w:rPr>
                <w:sz w:val="13"/>
                <w:szCs w:val="13"/>
              </w:rPr>
              <w:t>219,60</w:t>
            </w:r>
          </w:p>
        </w:tc>
        <w:tc>
          <w:tcPr>
            <w:tcW w:w="303" w:type="pct"/>
            <w:shd w:val="clear" w:color="auto" w:fill="auto"/>
            <w:tcMar>
              <w:left w:w="28" w:type="dxa"/>
              <w:right w:w="28" w:type="dxa"/>
            </w:tcMar>
            <w:vAlign w:val="center"/>
          </w:tcPr>
          <w:p w14:paraId="3712C71F" w14:textId="77777777" w:rsidR="004A0123" w:rsidRPr="00640447" w:rsidRDefault="004A0123" w:rsidP="008A5C11">
            <w:pPr>
              <w:jc w:val="center"/>
              <w:rPr>
                <w:sz w:val="13"/>
                <w:szCs w:val="13"/>
              </w:rPr>
            </w:pPr>
            <w:r w:rsidRPr="00640447">
              <w:rPr>
                <w:sz w:val="13"/>
                <w:szCs w:val="13"/>
              </w:rPr>
              <w:t>219,60</w:t>
            </w:r>
          </w:p>
        </w:tc>
        <w:tc>
          <w:tcPr>
            <w:tcW w:w="303" w:type="pct"/>
            <w:shd w:val="clear" w:color="auto" w:fill="auto"/>
            <w:tcMar>
              <w:left w:w="28" w:type="dxa"/>
              <w:right w:w="28" w:type="dxa"/>
            </w:tcMar>
            <w:vAlign w:val="center"/>
          </w:tcPr>
          <w:p w14:paraId="666DC082" w14:textId="77777777" w:rsidR="004A0123" w:rsidRPr="00640447" w:rsidRDefault="004A0123" w:rsidP="008A5C11">
            <w:pPr>
              <w:jc w:val="center"/>
              <w:rPr>
                <w:sz w:val="13"/>
                <w:szCs w:val="13"/>
              </w:rPr>
            </w:pPr>
            <w:r w:rsidRPr="00640447">
              <w:rPr>
                <w:sz w:val="13"/>
                <w:szCs w:val="13"/>
              </w:rPr>
              <w:t>219,60</w:t>
            </w:r>
          </w:p>
        </w:tc>
        <w:tc>
          <w:tcPr>
            <w:tcW w:w="303" w:type="pct"/>
            <w:shd w:val="clear" w:color="auto" w:fill="auto"/>
            <w:tcMar>
              <w:left w:w="28" w:type="dxa"/>
              <w:right w:w="28" w:type="dxa"/>
            </w:tcMar>
            <w:vAlign w:val="center"/>
          </w:tcPr>
          <w:p w14:paraId="1B7F29AC" w14:textId="77777777" w:rsidR="004A0123" w:rsidRPr="00640447" w:rsidRDefault="004A0123" w:rsidP="008A5C11">
            <w:pPr>
              <w:jc w:val="center"/>
              <w:rPr>
                <w:sz w:val="13"/>
                <w:szCs w:val="13"/>
              </w:rPr>
            </w:pPr>
            <w:r w:rsidRPr="00640447">
              <w:rPr>
                <w:sz w:val="13"/>
                <w:szCs w:val="13"/>
              </w:rPr>
              <w:t>219,60</w:t>
            </w:r>
          </w:p>
        </w:tc>
        <w:tc>
          <w:tcPr>
            <w:tcW w:w="307" w:type="pct"/>
            <w:shd w:val="clear" w:color="auto" w:fill="auto"/>
            <w:vAlign w:val="center"/>
          </w:tcPr>
          <w:p w14:paraId="786E7B48" w14:textId="77777777" w:rsidR="004A0123" w:rsidRPr="00640447" w:rsidRDefault="004A0123" w:rsidP="008A5C11">
            <w:pPr>
              <w:jc w:val="center"/>
              <w:rPr>
                <w:sz w:val="13"/>
                <w:szCs w:val="13"/>
              </w:rPr>
            </w:pPr>
            <w:r w:rsidRPr="00640447">
              <w:rPr>
                <w:sz w:val="13"/>
                <w:szCs w:val="13"/>
              </w:rPr>
              <w:t>219,60</w:t>
            </w:r>
          </w:p>
        </w:tc>
      </w:tr>
      <w:tr w:rsidR="004A0123" w:rsidRPr="00640447" w14:paraId="6EE51D88" w14:textId="77777777" w:rsidTr="008A5C11">
        <w:trPr>
          <w:trHeight w:val="148"/>
          <w:jc w:val="center"/>
        </w:trPr>
        <w:tc>
          <w:tcPr>
            <w:tcW w:w="222" w:type="pct"/>
            <w:tcMar>
              <w:top w:w="62" w:type="dxa"/>
              <w:left w:w="28" w:type="dxa"/>
              <w:bottom w:w="102" w:type="dxa"/>
              <w:right w:w="28" w:type="dxa"/>
            </w:tcMar>
            <w:vAlign w:val="center"/>
          </w:tcPr>
          <w:p w14:paraId="5C1B14B1" w14:textId="77777777" w:rsidR="004A0123" w:rsidRPr="00640447" w:rsidRDefault="004A0123" w:rsidP="008A5C11">
            <w:pPr>
              <w:jc w:val="center"/>
              <w:rPr>
                <w:sz w:val="13"/>
                <w:szCs w:val="13"/>
              </w:rPr>
            </w:pPr>
            <w:r w:rsidRPr="00640447">
              <w:rPr>
                <w:sz w:val="13"/>
                <w:szCs w:val="13"/>
              </w:rPr>
              <w:t>14</w:t>
            </w:r>
          </w:p>
        </w:tc>
        <w:tc>
          <w:tcPr>
            <w:tcW w:w="893" w:type="pct"/>
            <w:tcMar>
              <w:top w:w="62" w:type="dxa"/>
              <w:left w:w="28" w:type="dxa"/>
              <w:bottom w:w="102" w:type="dxa"/>
              <w:right w:w="28" w:type="dxa"/>
            </w:tcMar>
            <w:vAlign w:val="center"/>
          </w:tcPr>
          <w:p w14:paraId="15F5B30E" w14:textId="77777777" w:rsidR="004A0123" w:rsidRPr="00640447" w:rsidRDefault="004A0123" w:rsidP="008A5C11">
            <w:pPr>
              <w:jc w:val="center"/>
              <w:rPr>
                <w:sz w:val="13"/>
                <w:szCs w:val="13"/>
              </w:rPr>
            </w:pPr>
            <w:r w:rsidRPr="00640447">
              <w:rPr>
                <w:sz w:val="13"/>
                <w:szCs w:val="13"/>
              </w:rPr>
              <w:t>Котельная терморобот</w:t>
            </w:r>
          </w:p>
        </w:tc>
        <w:tc>
          <w:tcPr>
            <w:tcW w:w="558" w:type="pct"/>
            <w:shd w:val="clear" w:color="auto" w:fill="auto"/>
            <w:tcMar>
              <w:left w:w="28" w:type="dxa"/>
              <w:right w:w="28" w:type="dxa"/>
            </w:tcMar>
            <w:vAlign w:val="center"/>
          </w:tcPr>
          <w:p w14:paraId="0DE2D104" w14:textId="77777777" w:rsidR="004A0123" w:rsidRPr="00640447" w:rsidRDefault="004A0123" w:rsidP="008A5C11">
            <w:pPr>
              <w:jc w:val="center"/>
              <w:rPr>
                <w:sz w:val="13"/>
                <w:szCs w:val="13"/>
              </w:rPr>
            </w:pPr>
            <w:r w:rsidRPr="00640447">
              <w:rPr>
                <w:sz w:val="13"/>
                <w:szCs w:val="13"/>
              </w:rPr>
              <w:t>219,60</w:t>
            </w:r>
          </w:p>
        </w:tc>
        <w:tc>
          <w:tcPr>
            <w:tcW w:w="356" w:type="pct"/>
            <w:shd w:val="clear" w:color="auto" w:fill="auto"/>
            <w:tcMar>
              <w:left w:w="28" w:type="dxa"/>
              <w:right w:w="28" w:type="dxa"/>
            </w:tcMar>
            <w:vAlign w:val="center"/>
          </w:tcPr>
          <w:p w14:paraId="51795161" w14:textId="77777777" w:rsidR="004A0123" w:rsidRPr="00640447" w:rsidRDefault="004A0123" w:rsidP="008A5C11">
            <w:pPr>
              <w:jc w:val="center"/>
              <w:rPr>
                <w:sz w:val="13"/>
                <w:szCs w:val="13"/>
              </w:rPr>
            </w:pPr>
            <w:r w:rsidRPr="00640447">
              <w:rPr>
                <w:sz w:val="13"/>
                <w:szCs w:val="13"/>
              </w:rPr>
              <w:t>219,60</w:t>
            </w:r>
          </w:p>
        </w:tc>
        <w:tc>
          <w:tcPr>
            <w:tcW w:w="361" w:type="pct"/>
            <w:shd w:val="clear" w:color="auto" w:fill="auto"/>
            <w:tcMar>
              <w:left w:w="28" w:type="dxa"/>
              <w:right w:w="28" w:type="dxa"/>
            </w:tcMar>
            <w:vAlign w:val="center"/>
          </w:tcPr>
          <w:p w14:paraId="3633E8A8" w14:textId="77777777" w:rsidR="004A0123" w:rsidRPr="00640447" w:rsidRDefault="004A0123" w:rsidP="008A5C11">
            <w:pPr>
              <w:jc w:val="center"/>
              <w:rPr>
                <w:sz w:val="13"/>
                <w:szCs w:val="13"/>
              </w:rPr>
            </w:pPr>
            <w:r w:rsidRPr="00640447">
              <w:rPr>
                <w:sz w:val="13"/>
                <w:szCs w:val="13"/>
              </w:rPr>
              <w:t>219,60</w:t>
            </w:r>
          </w:p>
        </w:tc>
        <w:tc>
          <w:tcPr>
            <w:tcW w:w="359" w:type="pct"/>
            <w:shd w:val="clear" w:color="auto" w:fill="auto"/>
            <w:tcMar>
              <w:left w:w="28" w:type="dxa"/>
              <w:right w:w="28" w:type="dxa"/>
            </w:tcMar>
            <w:vAlign w:val="center"/>
          </w:tcPr>
          <w:p w14:paraId="00713686" w14:textId="77777777" w:rsidR="004A0123" w:rsidRPr="00640447" w:rsidRDefault="004A0123" w:rsidP="008A5C11">
            <w:pPr>
              <w:jc w:val="center"/>
              <w:rPr>
                <w:sz w:val="13"/>
                <w:szCs w:val="13"/>
              </w:rPr>
            </w:pPr>
            <w:r w:rsidRPr="00640447">
              <w:rPr>
                <w:sz w:val="13"/>
                <w:szCs w:val="13"/>
              </w:rPr>
              <w:t>219,60</w:t>
            </w:r>
          </w:p>
        </w:tc>
        <w:tc>
          <w:tcPr>
            <w:tcW w:w="360" w:type="pct"/>
            <w:shd w:val="clear" w:color="auto" w:fill="auto"/>
            <w:vAlign w:val="center"/>
          </w:tcPr>
          <w:p w14:paraId="12455CB8" w14:textId="77777777" w:rsidR="004A0123" w:rsidRPr="00640447" w:rsidRDefault="004A0123" w:rsidP="008A5C11">
            <w:pPr>
              <w:jc w:val="center"/>
              <w:rPr>
                <w:sz w:val="13"/>
                <w:szCs w:val="13"/>
              </w:rPr>
            </w:pPr>
            <w:r w:rsidRPr="00640447">
              <w:rPr>
                <w:sz w:val="13"/>
                <w:szCs w:val="13"/>
              </w:rPr>
              <w:t>219,60</w:t>
            </w:r>
          </w:p>
        </w:tc>
        <w:tc>
          <w:tcPr>
            <w:tcW w:w="316" w:type="pct"/>
            <w:shd w:val="clear" w:color="auto" w:fill="auto"/>
            <w:vAlign w:val="center"/>
          </w:tcPr>
          <w:p w14:paraId="0A02AE81" w14:textId="77777777" w:rsidR="004A0123" w:rsidRPr="00640447" w:rsidRDefault="004A0123" w:rsidP="008A5C11">
            <w:pPr>
              <w:jc w:val="center"/>
              <w:rPr>
                <w:sz w:val="13"/>
                <w:szCs w:val="13"/>
              </w:rPr>
            </w:pPr>
            <w:r w:rsidRPr="00640447">
              <w:rPr>
                <w:sz w:val="13"/>
                <w:szCs w:val="13"/>
              </w:rPr>
              <w:t>219,60</w:t>
            </w:r>
          </w:p>
        </w:tc>
        <w:tc>
          <w:tcPr>
            <w:tcW w:w="359" w:type="pct"/>
            <w:shd w:val="clear" w:color="auto" w:fill="auto"/>
            <w:tcMar>
              <w:left w:w="28" w:type="dxa"/>
              <w:right w:w="28" w:type="dxa"/>
            </w:tcMar>
            <w:vAlign w:val="center"/>
          </w:tcPr>
          <w:p w14:paraId="23ED378F" w14:textId="77777777" w:rsidR="004A0123" w:rsidRPr="00640447" w:rsidRDefault="004A0123" w:rsidP="008A5C11">
            <w:pPr>
              <w:jc w:val="center"/>
              <w:rPr>
                <w:sz w:val="13"/>
                <w:szCs w:val="13"/>
              </w:rPr>
            </w:pPr>
            <w:r w:rsidRPr="00640447">
              <w:rPr>
                <w:sz w:val="13"/>
                <w:szCs w:val="13"/>
              </w:rPr>
              <w:t>219,60</w:t>
            </w:r>
          </w:p>
        </w:tc>
        <w:tc>
          <w:tcPr>
            <w:tcW w:w="303" w:type="pct"/>
            <w:shd w:val="clear" w:color="auto" w:fill="auto"/>
            <w:tcMar>
              <w:left w:w="28" w:type="dxa"/>
              <w:right w:w="28" w:type="dxa"/>
            </w:tcMar>
            <w:vAlign w:val="center"/>
          </w:tcPr>
          <w:p w14:paraId="5E793CFB" w14:textId="77777777" w:rsidR="004A0123" w:rsidRPr="00640447" w:rsidRDefault="004A0123" w:rsidP="008A5C11">
            <w:pPr>
              <w:jc w:val="center"/>
              <w:rPr>
                <w:sz w:val="13"/>
                <w:szCs w:val="13"/>
              </w:rPr>
            </w:pPr>
            <w:r w:rsidRPr="00640447">
              <w:rPr>
                <w:sz w:val="13"/>
                <w:szCs w:val="13"/>
              </w:rPr>
              <w:t>219,60</w:t>
            </w:r>
          </w:p>
        </w:tc>
        <w:tc>
          <w:tcPr>
            <w:tcW w:w="303" w:type="pct"/>
            <w:shd w:val="clear" w:color="auto" w:fill="auto"/>
            <w:tcMar>
              <w:left w:w="28" w:type="dxa"/>
              <w:right w:w="28" w:type="dxa"/>
            </w:tcMar>
            <w:vAlign w:val="center"/>
          </w:tcPr>
          <w:p w14:paraId="6C254B13" w14:textId="77777777" w:rsidR="004A0123" w:rsidRPr="00640447" w:rsidRDefault="004A0123" w:rsidP="008A5C11">
            <w:pPr>
              <w:jc w:val="center"/>
              <w:rPr>
                <w:sz w:val="13"/>
                <w:szCs w:val="13"/>
              </w:rPr>
            </w:pPr>
            <w:r w:rsidRPr="00640447">
              <w:rPr>
                <w:sz w:val="13"/>
                <w:szCs w:val="13"/>
              </w:rPr>
              <w:t>219,60</w:t>
            </w:r>
          </w:p>
        </w:tc>
        <w:tc>
          <w:tcPr>
            <w:tcW w:w="303" w:type="pct"/>
            <w:shd w:val="clear" w:color="auto" w:fill="auto"/>
            <w:tcMar>
              <w:left w:w="28" w:type="dxa"/>
              <w:right w:w="28" w:type="dxa"/>
            </w:tcMar>
            <w:vAlign w:val="center"/>
          </w:tcPr>
          <w:p w14:paraId="6DBE10FC" w14:textId="77777777" w:rsidR="004A0123" w:rsidRPr="00640447" w:rsidRDefault="004A0123" w:rsidP="008A5C11">
            <w:pPr>
              <w:jc w:val="center"/>
              <w:rPr>
                <w:sz w:val="13"/>
                <w:szCs w:val="13"/>
              </w:rPr>
            </w:pPr>
            <w:r w:rsidRPr="00640447">
              <w:rPr>
                <w:sz w:val="13"/>
                <w:szCs w:val="13"/>
              </w:rPr>
              <w:t>219,60</w:t>
            </w:r>
          </w:p>
        </w:tc>
        <w:tc>
          <w:tcPr>
            <w:tcW w:w="307" w:type="pct"/>
            <w:shd w:val="clear" w:color="auto" w:fill="auto"/>
            <w:vAlign w:val="center"/>
          </w:tcPr>
          <w:p w14:paraId="2F9E81C5" w14:textId="77777777" w:rsidR="004A0123" w:rsidRPr="00640447" w:rsidRDefault="004A0123" w:rsidP="008A5C11">
            <w:pPr>
              <w:jc w:val="center"/>
              <w:rPr>
                <w:sz w:val="13"/>
                <w:szCs w:val="13"/>
              </w:rPr>
            </w:pPr>
            <w:r w:rsidRPr="00640447">
              <w:rPr>
                <w:sz w:val="13"/>
                <w:szCs w:val="13"/>
              </w:rPr>
              <w:t>219,60</w:t>
            </w:r>
          </w:p>
        </w:tc>
      </w:tr>
      <w:tr w:rsidR="004A0123" w:rsidRPr="00640447" w14:paraId="5A32F993" w14:textId="77777777" w:rsidTr="008A5C11">
        <w:trPr>
          <w:trHeight w:val="148"/>
          <w:jc w:val="center"/>
        </w:trPr>
        <w:tc>
          <w:tcPr>
            <w:tcW w:w="222" w:type="pct"/>
            <w:tcMar>
              <w:top w:w="62" w:type="dxa"/>
              <w:left w:w="28" w:type="dxa"/>
              <w:bottom w:w="102" w:type="dxa"/>
              <w:right w:w="28" w:type="dxa"/>
            </w:tcMar>
            <w:vAlign w:val="center"/>
          </w:tcPr>
          <w:p w14:paraId="66AAE8BC" w14:textId="77777777" w:rsidR="004A0123" w:rsidRPr="00640447" w:rsidRDefault="004A0123" w:rsidP="008A5C11">
            <w:pPr>
              <w:jc w:val="center"/>
              <w:rPr>
                <w:sz w:val="13"/>
                <w:szCs w:val="13"/>
              </w:rPr>
            </w:pPr>
            <w:r w:rsidRPr="00640447">
              <w:rPr>
                <w:sz w:val="13"/>
                <w:szCs w:val="13"/>
              </w:rPr>
              <w:t>15</w:t>
            </w:r>
          </w:p>
        </w:tc>
        <w:tc>
          <w:tcPr>
            <w:tcW w:w="893" w:type="pct"/>
            <w:tcMar>
              <w:top w:w="62" w:type="dxa"/>
              <w:left w:w="28" w:type="dxa"/>
              <w:bottom w:w="102" w:type="dxa"/>
              <w:right w:w="28" w:type="dxa"/>
            </w:tcMar>
            <w:vAlign w:val="center"/>
          </w:tcPr>
          <w:p w14:paraId="45AF57BA" w14:textId="77777777" w:rsidR="004A0123" w:rsidRPr="00640447" w:rsidRDefault="004A0123" w:rsidP="008A5C11">
            <w:pPr>
              <w:jc w:val="center"/>
              <w:rPr>
                <w:sz w:val="13"/>
                <w:szCs w:val="13"/>
              </w:rPr>
            </w:pPr>
            <w:r w:rsidRPr="00640447">
              <w:rPr>
                <w:sz w:val="13"/>
                <w:szCs w:val="13"/>
              </w:rPr>
              <w:t>Котельная ОСВ</w:t>
            </w:r>
          </w:p>
        </w:tc>
        <w:tc>
          <w:tcPr>
            <w:tcW w:w="558" w:type="pct"/>
            <w:shd w:val="clear" w:color="auto" w:fill="auto"/>
            <w:tcMar>
              <w:left w:w="28" w:type="dxa"/>
              <w:right w:w="28" w:type="dxa"/>
            </w:tcMar>
            <w:vAlign w:val="center"/>
          </w:tcPr>
          <w:p w14:paraId="72C555D5" w14:textId="77777777" w:rsidR="004A0123" w:rsidRPr="00640447" w:rsidRDefault="004A0123" w:rsidP="008A5C11">
            <w:pPr>
              <w:jc w:val="center"/>
              <w:rPr>
                <w:sz w:val="13"/>
                <w:szCs w:val="13"/>
              </w:rPr>
            </w:pPr>
            <w:r w:rsidRPr="00640447">
              <w:rPr>
                <w:sz w:val="13"/>
                <w:szCs w:val="13"/>
              </w:rPr>
              <w:t>219,60</w:t>
            </w:r>
          </w:p>
        </w:tc>
        <w:tc>
          <w:tcPr>
            <w:tcW w:w="356" w:type="pct"/>
            <w:shd w:val="clear" w:color="auto" w:fill="auto"/>
            <w:tcMar>
              <w:left w:w="28" w:type="dxa"/>
              <w:right w:w="28" w:type="dxa"/>
            </w:tcMar>
            <w:vAlign w:val="center"/>
          </w:tcPr>
          <w:p w14:paraId="177AAF5D" w14:textId="77777777" w:rsidR="004A0123" w:rsidRPr="00640447" w:rsidRDefault="004A0123" w:rsidP="008A5C11">
            <w:pPr>
              <w:jc w:val="center"/>
              <w:rPr>
                <w:sz w:val="13"/>
                <w:szCs w:val="13"/>
              </w:rPr>
            </w:pPr>
            <w:r w:rsidRPr="00640447">
              <w:rPr>
                <w:sz w:val="13"/>
                <w:szCs w:val="13"/>
              </w:rPr>
              <w:t>219,60</w:t>
            </w:r>
          </w:p>
        </w:tc>
        <w:tc>
          <w:tcPr>
            <w:tcW w:w="361" w:type="pct"/>
            <w:shd w:val="clear" w:color="auto" w:fill="auto"/>
            <w:tcMar>
              <w:left w:w="28" w:type="dxa"/>
              <w:right w:w="28" w:type="dxa"/>
            </w:tcMar>
            <w:vAlign w:val="center"/>
          </w:tcPr>
          <w:p w14:paraId="58A63450" w14:textId="77777777" w:rsidR="004A0123" w:rsidRPr="00640447" w:rsidRDefault="004A0123" w:rsidP="008A5C11">
            <w:pPr>
              <w:jc w:val="center"/>
              <w:rPr>
                <w:sz w:val="13"/>
                <w:szCs w:val="13"/>
              </w:rPr>
            </w:pPr>
            <w:r w:rsidRPr="00640447">
              <w:rPr>
                <w:sz w:val="13"/>
                <w:szCs w:val="13"/>
              </w:rPr>
              <w:t>219,60</w:t>
            </w:r>
          </w:p>
        </w:tc>
        <w:tc>
          <w:tcPr>
            <w:tcW w:w="359" w:type="pct"/>
            <w:shd w:val="clear" w:color="auto" w:fill="auto"/>
            <w:tcMar>
              <w:left w:w="28" w:type="dxa"/>
              <w:right w:w="28" w:type="dxa"/>
            </w:tcMar>
            <w:vAlign w:val="center"/>
          </w:tcPr>
          <w:p w14:paraId="7B31BD5F" w14:textId="77777777" w:rsidR="004A0123" w:rsidRPr="00640447" w:rsidRDefault="004A0123" w:rsidP="008A5C11">
            <w:pPr>
              <w:jc w:val="center"/>
              <w:rPr>
                <w:sz w:val="13"/>
                <w:szCs w:val="13"/>
              </w:rPr>
            </w:pPr>
            <w:r w:rsidRPr="00640447">
              <w:rPr>
                <w:sz w:val="13"/>
                <w:szCs w:val="13"/>
              </w:rPr>
              <w:t>219,60</w:t>
            </w:r>
          </w:p>
        </w:tc>
        <w:tc>
          <w:tcPr>
            <w:tcW w:w="360" w:type="pct"/>
            <w:shd w:val="clear" w:color="auto" w:fill="auto"/>
            <w:vAlign w:val="center"/>
          </w:tcPr>
          <w:p w14:paraId="3E3ADD53" w14:textId="77777777" w:rsidR="004A0123" w:rsidRPr="00640447" w:rsidRDefault="004A0123" w:rsidP="008A5C11">
            <w:pPr>
              <w:jc w:val="center"/>
              <w:rPr>
                <w:sz w:val="13"/>
                <w:szCs w:val="13"/>
              </w:rPr>
            </w:pPr>
            <w:r w:rsidRPr="00640447">
              <w:rPr>
                <w:sz w:val="13"/>
                <w:szCs w:val="13"/>
              </w:rPr>
              <w:t>219,60</w:t>
            </w:r>
          </w:p>
        </w:tc>
        <w:tc>
          <w:tcPr>
            <w:tcW w:w="316" w:type="pct"/>
            <w:shd w:val="clear" w:color="auto" w:fill="auto"/>
            <w:vAlign w:val="center"/>
          </w:tcPr>
          <w:p w14:paraId="73497DB5" w14:textId="77777777" w:rsidR="004A0123" w:rsidRPr="00640447" w:rsidRDefault="004A0123" w:rsidP="008A5C11">
            <w:pPr>
              <w:jc w:val="center"/>
              <w:rPr>
                <w:sz w:val="13"/>
                <w:szCs w:val="13"/>
              </w:rPr>
            </w:pPr>
            <w:r w:rsidRPr="00640447">
              <w:rPr>
                <w:sz w:val="13"/>
                <w:szCs w:val="13"/>
              </w:rPr>
              <w:t>219,60</w:t>
            </w:r>
          </w:p>
        </w:tc>
        <w:tc>
          <w:tcPr>
            <w:tcW w:w="359" w:type="pct"/>
            <w:shd w:val="clear" w:color="auto" w:fill="auto"/>
            <w:tcMar>
              <w:left w:w="28" w:type="dxa"/>
              <w:right w:w="28" w:type="dxa"/>
            </w:tcMar>
            <w:vAlign w:val="center"/>
          </w:tcPr>
          <w:p w14:paraId="656890AC" w14:textId="77777777" w:rsidR="004A0123" w:rsidRPr="00640447" w:rsidRDefault="004A0123" w:rsidP="008A5C11">
            <w:pPr>
              <w:jc w:val="center"/>
              <w:rPr>
                <w:sz w:val="13"/>
                <w:szCs w:val="13"/>
              </w:rPr>
            </w:pPr>
            <w:r w:rsidRPr="00640447">
              <w:rPr>
                <w:sz w:val="13"/>
                <w:szCs w:val="13"/>
              </w:rPr>
              <w:t>219,60</w:t>
            </w:r>
          </w:p>
        </w:tc>
        <w:tc>
          <w:tcPr>
            <w:tcW w:w="303" w:type="pct"/>
            <w:shd w:val="clear" w:color="auto" w:fill="auto"/>
            <w:tcMar>
              <w:left w:w="28" w:type="dxa"/>
              <w:right w:w="28" w:type="dxa"/>
            </w:tcMar>
            <w:vAlign w:val="center"/>
          </w:tcPr>
          <w:p w14:paraId="77830381" w14:textId="77777777" w:rsidR="004A0123" w:rsidRPr="00640447" w:rsidRDefault="004A0123" w:rsidP="008A5C11">
            <w:pPr>
              <w:jc w:val="center"/>
              <w:rPr>
                <w:sz w:val="13"/>
                <w:szCs w:val="13"/>
              </w:rPr>
            </w:pPr>
            <w:r w:rsidRPr="00640447">
              <w:rPr>
                <w:sz w:val="13"/>
                <w:szCs w:val="13"/>
              </w:rPr>
              <w:t>219,60</w:t>
            </w:r>
          </w:p>
        </w:tc>
        <w:tc>
          <w:tcPr>
            <w:tcW w:w="303" w:type="pct"/>
            <w:shd w:val="clear" w:color="auto" w:fill="auto"/>
            <w:tcMar>
              <w:left w:w="28" w:type="dxa"/>
              <w:right w:w="28" w:type="dxa"/>
            </w:tcMar>
            <w:vAlign w:val="center"/>
          </w:tcPr>
          <w:p w14:paraId="782A50B7" w14:textId="77777777" w:rsidR="004A0123" w:rsidRPr="00640447" w:rsidRDefault="004A0123" w:rsidP="008A5C11">
            <w:pPr>
              <w:jc w:val="center"/>
              <w:rPr>
                <w:sz w:val="13"/>
                <w:szCs w:val="13"/>
              </w:rPr>
            </w:pPr>
            <w:r w:rsidRPr="00640447">
              <w:rPr>
                <w:sz w:val="13"/>
                <w:szCs w:val="13"/>
              </w:rPr>
              <w:t>219,60</w:t>
            </w:r>
          </w:p>
        </w:tc>
        <w:tc>
          <w:tcPr>
            <w:tcW w:w="303" w:type="pct"/>
            <w:shd w:val="clear" w:color="auto" w:fill="auto"/>
            <w:tcMar>
              <w:left w:w="28" w:type="dxa"/>
              <w:right w:w="28" w:type="dxa"/>
            </w:tcMar>
            <w:vAlign w:val="center"/>
          </w:tcPr>
          <w:p w14:paraId="0A676934" w14:textId="77777777" w:rsidR="004A0123" w:rsidRPr="00640447" w:rsidRDefault="004A0123" w:rsidP="008A5C11">
            <w:pPr>
              <w:jc w:val="center"/>
              <w:rPr>
                <w:sz w:val="13"/>
                <w:szCs w:val="13"/>
              </w:rPr>
            </w:pPr>
            <w:r w:rsidRPr="00640447">
              <w:rPr>
                <w:sz w:val="13"/>
                <w:szCs w:val="13"/>
              </w:rPr>
              <w:t>219,60</w:t>
            </w:r>
          </w:p>
        </w:tc>
        <w:tc>
          <w:tcPr>
            <w:tcW w:w="307" w:type="pct"/>
            <w:shd w:val="clear" w:color="auto" w:fill="auto"/>
            <w:vAlign w:val="center"/>
          </w:tcPr>
          <w:p w14:paraId="3C3BB8F2" w14:textId="77777777" w:rsidR="004A0123" w:rsidRPr="00640447" w:rsidRDefault="004A0123" w:rsidP="008A5C11">
            <w:pPr>
              <w:jc w:val="center"/>
              <w:rPr>
                <w:sz w:val="13"/>
                <w:szCs w:val="13"/>
              </w:rPr>
            </w:pPr>
            <w:r w:rsidRPr="00640447">
              <w:rPr>
                <w:sz w:val="13"/>
                <w:szCs w:val="13"/>
              </w:rPr>
              <w:t>219,60</w:t>
            </w:r>
          </w:p>
        </w:tc>
      </w:tr>
      <w:tr w:rsidR="004A0123" w:rsidRPr="00640447" w14:paraId="5DF8E00F" w14:textId="77777777" w:rsidTr="008A5C11">
        <w:trPr>
          <w:trHeight w:val="41"/>
          <w:jc w:val="center"/>
        </w:trPr>
        <w:tc>
          <w:tcPr>
            <w:tcW w:w="222" w:type="pct"/>
            <w:tcMar>
              <w:top w:w="62" w:type="dxa"/>
              <w:left w:w="28" w:type="dxa"/>
              <w:bottom w:w="102" w:type="dxa"/>
              <w:right w:w="28" w:type="dxa"/>
            </w:tcMar>
            <w:vAlign w:val="center"/>
          </w:tcPr>
          <w:p w14:paraId="709D5830" w14:textId="77777777" w:rsidR="004A0123" w:rsidRPr="00640447" w:rsidRDefault="004A0123" w:rsidP="008A5C11">
            <w:pPr>
              <w:jc w:val="center"/>
              <w:rPr>
                <w:sz w:val="13"/>
                <w:szCs w:val="13"/>
              </w:rPr>
            </w:pPr>
            <w:r w:rsidRPr="00640447">
              <w:rPr>
                <w:sz w:val="13"/>
                <w:szCs w:val="13"/>
              </w:rPr>
              <w:t>16</w:t>
            </w:r>
          </w:p>
        </w:tc>
        <w:tc>
          <w:tcPr>
            <w:tcW w:w="893" w:type="pct"/>
            <w:tcMar>
              <w:top w:w="62" w:type="dxa"/>
              <w:left w:w="28" w:type="dxa"/>
              <w:bottom w:w="102" w:type="dxa"/>
              <w:right w:w="28" w:type="dxa"/>
            </w:tcMar>
            <w:vAlign w:val="center"/>
          </w:tcPr>
          <w:p w14:paraId="5F4D16D5" w14:textId="77777777" w:rsidR="004A0123" w:rsidRPr="00640447" w:rsidRDefault="004A0123" w:rsidP="008A5C11">
            <w:pPr>
              <w:jc w:val="center"/>
              <w:rPr>
                <w:sz w:val="13"/>
                <w:szCs w:val="13"/>
              </w:rPr>
            </w:pPr>
            <w:r w:rsidRPr="00640447">
              <w:rPr>
                <w:sz w:val="13"/>
                <w:szCs w:val="13"/>
              </w:rPr>
              <w:t>Котельная НФС</w:t>
            </w:r>
          </w:p>
        </w:tc>
        <w:tc>
          <w:tcPr>
            <w:tcW w:w="558" w:type="pct"/>
            <w:shd w:val="clear" w:color="auto" w:fill="auto"/>
            <w:tcMar>
              <w:left w:w="28" w:type="dxa"/>
              <w:right w:w="28" w:type="dxa"/>
            </w:tcMar>
            <w:vAlign w:val="center"/>
          </w:tcPr>
          <w:p w14:paraId="2B71CAB6" w14:textId="77777777" w:rsidR="004A0123" w:rsidRPr="00640447" w:rsidRDefault="004A0123" w:rsidP="008A5C11">
            <w:pPr>
              <w:jc w:val="center"/>
              <w:rPr>
                <w:sz w:val="13"/>
                <w:szCs w:val="13"/>
              </w:rPr>
            </w:pPr>
            <w:r w:rsidRPr="00640447">
              <w:rPr>
                <w:sz w:val="13"/>
                <w:szCs w:val="13"/>
              </w:rPr>
              <w:t>219,60</w:t>
            </w:r>
          </w:p>
        </w:tc>
        <w:tc>
          <w:tcPr>
            <w:tcW w:w="356" w:type="pct"/>
            <w:shd w:val="clear" w:color="auto" w:fill="auto"/>
            <w:tcMar>
              <w:left w:w="28" w:type="dxa"/>
              <w:right w:w="28" w:type="dxa"/>
            </w:tcMar>
            <w:vAlign w:val="center"/>
          </w:tcPr>
          <w:p w14:paraId="477A8015" w14:textId="77777777" w:rsidR="004A0123" w:rsidRPr="00640447" w:rsidRDefault="004A0123" w:rsidP="008A5C11">
            <w:pPr>
              <w:jc w:val="center"/>
              <w:rPr>
                <w:sz w:val="13"/>
                <w:szCs w:val="13"/>
              </w:rPr>
            </w:pPr>
            <w:r w:rsidRPr="00640447">
              <w:rPr>
                <w:sz w:val="13"/>
                <w:szCs w:val="13"/>
              </w:rPr>
              <w:t>219,60</w:t>
            </w:r>
          </w:p>
        </w:tc>
        <w:tc>
          <w:tcPr>
            <w:tcW w:w="361" w:type="pct"/>
            <w:shd w:val="clear" w:color="auto" w:fill="auto"/>
            <w:tcMar>
              <w:left w:w="28" w:type="dxa"/>
              <w:right w:w="28" w:type="dxa"/>
            </w:tcMar>
            <w:vAlign w:val="center"/>
          </w:tcPr>
          <w:p w14:paraId="419088E9" w14:textId="77777777" w:rsidR="004A0123" w:rsidRPr="00640447" w:rsidRDefault="004A0123" w:rsidP="008A5C11">
            <w:pPr>
              <w:jc w:val="center"/>
              <w:rPr>
                <w:sz w:val="13"/>
                <w:szCs w:val="13"/>
              </w:rPr>
            </w:pPr>
            <w:r w:rsidRPr="00640447">
              <w:rPr>
                <w:sz w:val="13"/>
                <w:szCs w:val="13"/>
              </w:rPr>
              <w:t>219,60</w:t>
            </w:r>
          </w:p>
        </w:tc>
        <w:tc>
          <w:tcPr>
            <w:tcW w:w="359" w:type="pct"/>
            <w:shd w:val="clear" w:color="auto" w:fill="auto"/>
            <w:tcMar>
              <w:left w:w="28" w:type="dxa"/>
              <w:right w:w="28" w:type="dxa"/>
            </w:tcMar>
            <w:vAlign w:val="center"/>
          </w:tcPr>
          <w:p w14:paraId="60E11FF8" w14:textId="77777777" w:rsidR="004A0123" w:rsidRPr="00640447" w:rsidRDefault="004A0123" w:rsidP="008A5C11">
            <w:pPr>
              <w:jc w:val="center"/>
              <w:rPr>
                <w:sz w:val="13"/>
                <w:szCs w:val="13"/>
              </w:rPr>
            </w:pPr>
            <w:r w:rsidRPr="00640447">
              <w:rPr>
                <w:sz w:val="13"/>
                <w:szCs w:val="13"/>
              </w:rPr>
              <w:t>219,60</w:t>
            </w:r>
          </w:p>
        </w:tc>
        <w:tc>
          <w:tcPr>
            <w:tcW w:w="360" w:type="pct"/>
            <w:shd w:val="clear" w:color="auto" w:fill="auto"/>
            <w:vAlign w:val="center"/>
          </w:tcPr>
          <w:p w14:paraId="37945851" w14:textId="77777777" w:rsidR="004A0123" w:rsidRPr="00640447" w:rsidRDefault="004A0123" w:rsidP="008A5C11">
            <w:pPr>
              <w:jc w:val="center"/>
              <w:rPr>
                <w:sz w:val="13"/>
                <w:szCs w:val="13"/>
              </w:rPr>
            </w:pPr>
            <w:r w:rsidRPr="00640447">
              <w:rPr>
                <w:sz w:val="13"/>
                <w:szCs w:val="13"/>
              </w:rPr>
              <w:t>219,60</w:t>
            </w:r>
          </w:p>
        </w:tc>
        <w:tc>
          <w:tcPr>
            <w:tcW w:w="316" w:type="pct"/>
            <w:shd w:val="clear" w:color="auto" w:fill="auto"/>
            <w:vAlign w:val="center"/>
          </w:tcPr>
          <w:p w14:paraId="510CF27E" w14:textId="77777777" w:rsidR="004A0123" w:rsidRPr="00640447" w:rsidRDefault="004A0123" w:rsidP="008A5C11">
            <w:pPr>
              <w:jc w:val="center"/>
              <w:rPr>
                <w:sz w:val="13"/>
                <w:szCs w:val="13"/>
              </w:rPr>
            </w:pPr>
            <w:r w:rsidRPr="00640447">
              <w:rPr>
                <w:sz w:val="13"/>
                <w:szCs w:val="13"/>
              </w:rPr>
              <w:t>219,60</w:t>
            </w:r>
          </w:p>
        </w:tc>
        <w:tc>
          <w:tcPr>
            <w:tcW w:w="359" w:type="pct"/>
            <w:shd w:val="clear" w:color="auto" w:fill="auto"/>
            <w:tcMar>
              <w:left w:w="28" w:type="dxa"/>
              <w:right w:w="28" w:type="dxa"/>
            </w:tcMar>
            <w:vAlign w:val="center"/>
          </w:tcPr>
          <w:p w14:paraId="78BFA828" w14:textId="77777777" w:rsidR="004A0123" w:rsidRPr="00640447" w:rsidRDefault="004A0123" w:rsidP="008A5C11">
            <w:pPr>
              <w:jc w:val="center"/>
              <w:rPr>
                <w:sz w:val="13"/>
                <w:szCs w:val="13"/>
              </w:rPr>
            </w:pPr>
            <w:r w:rsidRPr="00640447">
              <w:rPr>
                <w:sz w:val="13"/>
                <w:szCs w:val="13"/>
              </w:rPr>
              <w:t>219,60</w:t>
            </w:r>
          </w:p>
        </w:tc>
        <w:tc>
          <w:tcPr>
            <w:tcW w:w="303" w:type="pct"/>
            <w:shd w:val="clear" w:color="auto" w:fill="auto"/>
            <w:tcMar>
              <w:left w:w="28" w:type="dxa"/>
              <w:right w:w="28" w:type="dxa"/>
            </w:tcMar>
            <w:vAlign w:val="center"/>
          </w:tcPr>
          <w:p w14:paraId="6BA3054F" w14:textId="77777777" w:rsidR="004A0123" w:rsidRPr="00640447" w:rsidRDefault="004A0123" w:rsidP="008A5C11">
            <w:pPr>
              <w:jc w:val="center"/>
              <w:rPr>
                <w:sz w:val="13"/>
                <w:szCs w:val="13"/>
              </w:rPr>
            </w:pPr>
            <w:r w:rsidRPr="00640447">
              <w:rPr>
                <w:sz w:val="13"/>
                <w:szCs w:val="13"/>
              </w:rPr>
              <w:t>219,60</w:t>
            </w:r>
          </w:p>
        </w:tc>
        <w:tc>
          <w:tcPr>
            <w:tcW w:w="303" w:type="pct"/>
            <w:shd w:val="clear" w:color="auto" w:fill="auto"/>
            <w:tcMar>
              <w:left w:w="28" w:type="dxa"/>
              <w:right w:w="28" w:type="dxa"/>
            </w:tcMar>
            <w:vAlign w:val="center"/>
          </w:tcPr>
          <w:p w14:paraId="680F8E6C" w14:textId="77777777" w:rsidR="004A0123" w:rsidRPr="00640447" w:rsidRDefault="004A0123" w:rsidP="008A5C11">
            <w:pPr>
              <w:jc w:val="center"/>
              <w:rPr>
                <w:sz w:val="13"/>
                <w:szCs w:val="13"/>
              </w:rPr>
            </w:pPr>
            <w:r w:rsidRPr="00640447">
              <w:rPr>
                <w:sz w:val="13"/>
                <w:szCs w:val="13"/>
              </w:rPr>
              <w:t>219,60</w:t>
            </w:r>
          </w:p>
        </w:tc>
        <w:tc>
          <w:tcPr>
            <w:tcW w:w="303" w:type="pct"/>
            <w:shd w:val="clear" w:color="auto" w:fill="auto"/>
            <w:tcMar>
              <w:left w:w="28" w:type="dxa"/>
              <w:right w:w="28" w:type="dxa"/>
            </w:tcMar>
            <w:vAlign w:val="center"/>
          </w:tcPr>
          <w:p w14:paraId="37D7C6A3" w14:textId="77777777" w:rsidR="004A0123" w:rsidRPr="00640447" w:rsidRDefault="004A0123" w:rsidP="008A5C11">
            <w:pPr>
              <w:jc w:val="center"/>
              <w:rPr>
                <w:sz w:val="13"/>
                <w:szCs w:val="13"/>
              </w:rPr>
            </w:pPr>
            <w:r w:rsidRPr="00640447">
              <w:rPr>
                <w:sz w:val="13"/>
                <w:szCs w:val="13"/>
              </w:rPr>
              <w:t>219,60</w:t>
            </w:r>
          </w:p>
        </w:tc>
        <w:tc>
          <w:tcPr>
            <w:tcW w:w="307" w:type="pct"/>
            <w:shd w:val="clear" w:color="auto" w:fill="auto"/>
            <w:vAlign w:val="center"/>
          </w:tcPr>
          <w:p w14:paraId="6BEC294A" w14:textId="77777777" w:rsidR="004A0123" w:rsidRPr="00640447" w:rsidRDefault="004A0123" w:rsidP="008A5C11">
            <w:pPr>
              <w:jc w:val="center"/>
              <w:rPr>
                <w:sz w:val="13"/>
                <w:szCs w:val="13"/>
              </w:rPr>
            </w:pPr>
            <w:r w:rsidRPr="00640447">
              <w:rPr>
                <w:sz w:val="13"/>
                <w:szCs w:val="13"/>
              </w:rPr>
              <w:t>219,60</w:t>
            </w:r>
          </w:p>
        </w:tc>
      </w:tr>
      <w:tr w:rsidR="004A0123" w:rsidRPr="00640447" w14:paraId="433A166C" w14:textId="77777777" w:rsidTr="008A5C11">
        <w:trPr>
          <w:trHeight w:val="148"/>
          <w:jc w:val="center"/>
        </w:trPr>
        <w:tc>
          <w:tcPr>
            <w:tcW w:w="1115" w:type="pct"/>
            <w:gridSpan w:val="2"/>
            <w:tcMar>
              <w:top w:w="62" w:type="dxa"/>
              <w:left w:w="28" w:type="dxa"/>
              <w:bottom w:w="102" w:type="dxa"/>
              <w:right w:w="28" w:type="dxa"/>
            </w:tcMar>
            <w:vAlign w:val="center"/>
          </w:tcPr>
          <w:p w14:paraId="2FB89A1C" w14:textId="77777777" w:rsidR="004A0123" w:rsidRPr="00640447" w:rsidRDefault="004A0123" w:rsidP="008A5C11">
            <w:pPr>
              <w:jc w:val="center"/>
              <w:rPr>
                <w:sz w:val="13"/>
                <w:szCs w:val="13"/>
              </w:rPr>
            </w:pPr>
            <w:r w:rsidRPr="00640447">
              <w:rPr>
                <w:sz w:val="13"/>
                <w:szCs w:val="13"/>
              </w:rPr>
              <w:t>Итого:</w:t>
            </w:r>
          </w:p>
        </w:tc>
        <w:tc>
          <w:tcPr>
            <w:tcW w:w="558" w:type="pct"/>
            <w:shd w:val="clear" w:color="auto" w:fill="auto"/>
            <w:tcMar>
              <w:left w:w="28" w:type="dxa"/>
              <w:right w:w="28" w:type="dxa"/>
            </w:tcMar>
            <w:vAlign w:val="center"/>
          </w:tcPr>
          <w:p w14:paraId="57FCE4E9" w14:textId="77777777" w:rsidR="004A0123" w:rsidRPr="00640447" w:rsidRDefault="004A0123" w:rsidP="008A5C11">
            <w:pPr>
              <w:jc w:val="center"/>
              <w:rPr>
                <w:sz w:val="13"/>
                <w:szCs w:val="13"/>
              </w:rPr>
            </w:pPr>
            <w:r w:rsidRPr="00640447">
              <w:rPr>
                <w:sz w:val="13"/>
                <w:szCs w:val="13"/>
              </w:rPr>
              <w:t>202,40</w:t>
            </w:r>
          </w:p>
        </w:tc>
        <w:tc>
          <w:tcPr>
            <w:tcW w:w="356" w:type="pct"/>
            <w:shd w:val="clear" w:color="auto" w:fill="auto"/>
            <w:tcMar>
              <w:left w:w="28" w:type="dxa"/>
              <w:right w:w="28" w:type="dxa"/>
            </w:tcMar>
            <w:vAlign w:val="center"/>
          </w:tcPr>
          <w:p w14:paraId="1BE69617" w14:textId="77777777" w:rsidR="004A0123" w:rsidRPr="00640447" w:rsidRDefault="004A0123" w:rsidP="008A5C11">
            <w:pPr>
              <w:jc w:val="center"/>
              <w:rPr>
                <w:sz w:val="13"/>
                <w:szCs w:val="13"/>
              </w:rPr>
            </w:pPr>
            <w:r w:rsidRPr="00640447">
              <w:rPr>
                <w:sz w:val="13"/>
                <w:szCs w:val="13"/>
              </w:rPr>
              <w:t>202,40</w:t>
            </w:r>
          </w:p>
        </w:tc>
        <w:tc>
          <w:tcPr>
            <w:tcW w:w="361" w:type="pct"/>
            <w:shd w:val="clear" w:color="auto" w:fill="auto"/>
            <w:tcMar>
              <w:left w:w="28" w:type="dxa"/>
              <w:right w:w="28" w:type="dxa"/>
            </w:tcMar>
            <w:vAlign w:val="center"/>
          </w:tcPr>
          <w:p w14:paraId="7818A2DB" w14:textId="77777777" w:rsidR="004A0123" w:rsidRPr="00640447" w:rsidRDefault="004A0123" w:rsidP="008A5C11">
            <w:pPr>
              <w:jc w:val="center"/>
              <w:rPr>
                <w:sz w:val="13"/>
                <w:szCs w:val="13"/>
              </w:rPr>
            </w:pPr>
            <w:r w:rsidRPr="00640447">
              <w:rPr>
                <w:sz w:val="13"/>
                <w:szCs w:val="13"/>
              </w:rPr>
              <w:t>201,30</w:t>
            </w:r>
          </w:p>
        </w:tc>
        <w:tc>
          <w:tcPr>
            <w:tcW w:w="359" w:type="pct"/>
            <w:shd w:val="clear" w:color="auto" w:fill="auto"/>
            <w:tcMar>
              <w:left w:w="28" w:type="dxa"/>
              <w:right w:w="28" w:type="dxa"/>
            </w:tcMar>
            <w:vAlign w:val="center"/>
          </w:tcPr>
          <w:p w14:paraId="642C95BB" w14:textId="77777777" w:rsidR="004A0123" w:rsidRPr="00640447" w:rsidRDefault="004A0123" w:rsidP="008A5C11">
            <w:pPr>
              <w:jc w:val="center"/>
              <w:rPr>
                <w:sz w:val="13"/>
                <w:szCs w:val="13"/>
              </w:rPr>
            </w:pPr>
            <w:r w:rsidRPr="00640447">
              <w:rPr>
                <w:sz w:val="13"/>
                <w:szCs w:val="13"/>
              </w:rPr>
              <w:t>201,30</w:t>
            </w:r>
          </w:p>
        </w:tc>
        <w:tc>
          <w:tcPr>
            <w:tcW w:w="360" w:type="pct"/>
            <w:shd w:val="clear" w:color="auto" w:fill="auto"/>
            <w:vAlign w:val="center"/>
          </w:tcPr>
          <w:p w14:paraId="1D790F9C" w14:textId="77777777" w:rsidR="004A0123" w:rsidRPr="00640447" w:rsidRDefault="004A0123" w:rsidP="008A5C11">
            <w:pPr>
              <w:jc w:val="center"/>
              <w:rPr>
                <w:sz w:val="13"/>
                <w:szCs w:val="13"/>
              </w:rPr>
            </w:pPr>
            <w:r w:rsidRPr="00640447">
              <w:rPr>
                <w:sz w:val="13"/>
                <w:szCs w:val="13"/>
              </w:rPr>
              <w:t>200,60</w:t>
            </w:r>
          </w:p>
        </w:tc>
        <w:tc>
          <w:tcPr>
            <w:tcW w:w="316" w:type="pct"/>
            <w:shd w:val="clear" w:color="auto" w:fill="auto"/>
            <w:vAlign w:val="center"/>
          </w:tcPr>
          <w:p w14:paraId="4858A3FF" w14:textId="77777777" w:rsidR="004A0123" w:rsidRPr="00640447" w:rsidRDefault="004A0123" w:rsidP="008A5C11">
            <w:pPr>
              <w:jc w:val="center"/>
              <w:rPr>
                <w:sz w:val="13"/>
                <w:szCs w:val="13"/>
              </w:rPr>
            </w:pPr>
            <w:r w:rsidRPr="00640447">
              <w:rPr>
                <w:sz w:val="13"/>
                <w:szCs w:val="13"/>
              </w:rPr>
              <w:t>199,70</w:t>
            </w:r>
          </w:p>
        </w:tc>
        <w:tc>
          <w:tcPr>
            <w:tcW w:w="359" w:type="pct"/>
            <w:shd w:val="clear" w:color="auto" w:fill="auto"/>
            <w:tcMar>
              <w:left w:w="28" w:type="dxa"/>
              <w:right w:w="28" w:type="dxa"/>
            </w:tcMar>
            <w:vAlign w:val="center"/>
          </w:tcPr>
          <w:p w14:paraId="0B983CB1" w14:textId="77777777" w:rsidR="004A0123" w:rsidRPr="00640447" w:rsidRDefault="004A0123" w:rsidP="008A5C11">
            <w:pPr>
              <w:jc w:val="center"/>
              <w:rPr>
                <w:sz w:val="13"/>
                <w:szCs w:val="13"/>
              </w:rPr>
            </w:pPr>
            <w:r w:rsidRPr="00640447">
              <w:rPr>
                <w:sz w:val="13"/>
                <w:szCs w:val="13"/>
              </w:rPr>
              <w:t>199,00</w:t>
            </w:r>
          </w:p>
        </w:tc>
        <w:tc>
          <w:tcPr>
            <w:tcW w:w="303" w:type="pct"/>
            <w:shd w:val="clear" w:color="auto" w:fill="auto"/>
            <w:tcMar>
              <w:left w:w="28" w:type="dxa"/>
              <w:right w:w="28" w:type="dxa"/>
            </w:tcMar>
            <w:vAlign w:val="center"/>
          </w:tcPr>
          <w:p w14:paraId="6A5CF79D" w14:textId="77777777" w:rsidR="004A0123" w:rsidRPr="00640447" w:rsidRDefault="004A0123" w:rsidP="008A5C11">
            <w:pPr>
              <w:jc w:val="center"/>
              <w:rPr>
                <w:sz w:val="13"/>
                <w:szCs w:val="13"/>
              </w:rPr>
            </w:pPr>
            <w:r w:rsidRPr="00640447">
              <w:rPr>
                <w:sz w:val="13"/>
                <w:szCs w:val="13"/>
              </w:rPr>
              <w:t>199,00</w:t>
            </w:r>
          </w:p>
        </w:tc>
        <w:tc>
          <w:tcPr>
            <w:tcW w:w="303" w:type="pct"/>
            <w:shd w:val="clear" w:color="auto" w:fill="auto"/>
            <w:tcMar>
              <w:left w:w="28" w:type="dxa"/>
              <w:right w:w="28" w:type="dxa"/>
            </w:tcMar>
            <w:vAlign w:val="center"/>
          </w:tcPr>
          <w:p w14:paraId="0B942D69" w14:textId="77777777" w:rsidR="004A0123" w:rsidRPr="00640447" w:rsidRDefault="004A0123" w:rsidP="008A5C11">
            <w:pPr>
              <w:jc w:val="center"/>
              <w:rPr>
                <w:sz w:val="13"/>
                <w:szCs w:val="13"/>
              </w:rPr>
            </w:pPr>
            <w:r w:rsidRPr="00640447">
              <w:rPr>
                <w:sz w:val="13"/>
                <w:szCs w:val="13"/>
              </w:rPr>
              <w:t>199,00</w:t>
            </w:r>
          </w:p>
        </w:tc>
        <w:tc>
          <w:tcPr>
            <w:tcW w:w="303" w:type="pct"/>
            <w:shd w:val="clear" w:color="auto" w:fill="auto"/>
            <w:tcMar>
              <w:left w:w="28" w:type="dxa"/>
              <w:right w:w="28" w:type="dxa"/>
            </w:tcMar>
            <w:vAlign w:val="center"/>
          </w:tcPr>
          <w:p w14:paraId="4E9ED3C9" w14:textId="77777777" w:rsidR="004A0123" w:rsidRPr="00640447" w:rsidRDefault="004A0123" w:rsidP="008A5C11">
            <w:pPr>
              <w:jc w:val="center"/>
              <w:rPr>
                <w:sz w:val="13"/>
                <w:szCs w:val="13"/>
              </w:rPr>
            </w:pPr>
            <w:r w:rsidRPr="00640447">
              <w:rPr>
                <w:sz w:val="13"/>
                <w:szCs w:val="13"/>
              </w:rPr>
              <w:t>198,70</w:t>
            </w:r>
          </w:p>
        </w:tc>
        <w:tc>
          <w:tcPr>
            <w:tcW w:w="307" w:type="pct"/>
            <w:shd w:val="clear" w:color="auto" w:fill="auto"/>
            <w:vAlign w:val="center"/>
          </w:tcPr>
          <w:p w14:paraId="3E2F9A2A" w14:textId="77777777" w:rsidR="004A0123" w:rsidRPr="00640447" w:rsidRDefault="004A0123" w:rsidP="008A5C11">
            <w:pPr>
              <w:jc w:val="center"/>
              <w:rPr>
                <w:sz w:val="13"/>
                <w:szCs w:val="13"/>
              </w:rPr>
            </w:pPr>
            <w:r w:rsidRPr="00640447">
              <w:rPr>
                <w:sz w:val="13"/>
                <w:szCs w:val="13"/>
              </w:rPr>
              <w:t>198,70</w:t>
            </w:r>
          </w:p>
        </w:tc>
      </w:tr>
    </w:tbl>
    <w:p w14:paraId="267B0CEB" w14:textId="77777777" w:rsidR="004A0123" w:rsidRPr="00640447" w:rsidRDefault="004A0123" w:rsidP="004A0123">
      <w:pPr>
        <w:jc w:val="center"/>
        <w:rPr>
          <w:b/>
          <w:bCs/>
          <w:sz w:val="28"/>
          <w:szCs w:val="28"/>
        </w:rPr>
      </w:pPr>
    </w:p>
    <w:p w14:paraId="59AB6B7C" w14:textId="77777777" w:rsidR="004A0123" w:rsidRPr="00640447" w:rsidRDefault="004A0123" w:rsidP="004A0123">
      <w:pPr>
        <w:jc w:val="center"/>
        <w:rPr>
          <w:b/>
          <w:bCs/>
          <w:sz w:val="28"/>
          <w:szCs w:val="28"/>
        </w:rPr>
      </w:pPr>
    </w:p>
    <w:p w14:paraId="20476544" w14:textId="77777777" w:rsidR="004A0123" w:rsidRPr="00640447" w:rsidRDefault="004A0123" w:rsidP="004A0123">
      <w:pPr>
        <w:jc w:val="center"/>
        <w:rPr>
          <w:b/>
          <w:bCs/>
          <w:sz w:val="28"/>
          <w:szCs w:val="28"/>
        </w:rPr>
      </w:pPr>
    </w:p>
    <w:p w14:paraId="6E04A6C9" w14:textId="77777777" w:rsidR="004A0123" w:rsidRPr="00640447" w:rsidRDefault="004A0123" w:rsidP="004A0123">
      <w:pPr>
        <w:ind w:left="284" w:right="536"/>
        <w:jc w:val="center"/>
        <w:rPr>
          <w:b/>
          <w:bCs/>
          <w:sz w:val="28"/>
          <w:szCs w:val="28"/>
        </w:rPr>
      </w:pPr>
      <w:r w:rsidRPr="00640447">
        <w:rPr>
          <w:b/>
          <w:bCs/>
          <w:sz w:val="28"/>
          <w:szCs w:val="28"/>
        </w:rPr>
        <w:t xml:space="preserve">Показатели надежности и энергетической эффективности объектов системы теплоснабжения </w:t>
      </w:r>
    </w:p>
    <w:p w14:paraId="437F58FE" w14:textId="77777777" w:rsidR="004A0123" w:rsidRPr="00640447" w:rsidRDefault="004A0123" w:rsidP="004A0123">
      <w:pPr>
        <w:jc w:val="center"/>
        <w:rPr>
          <w:b/>
          <w:bCs/>
          <w:sz w:val="28"/>
          <w:szCs w:val="28"/>
        </w:rPr>
      </w:pPr>
      <w:r w:rsidRPr="00640447">
        <w:rPr>
          <w:b/>
          <w:color w:val="000000"/>
          <w:sz w:val="28"/>
          <w:szCs w:val="28"/>
        </w:rPr>
        <w:t>ОАО «Северо-Кузбасская энергетическая компания» по узлу теплоснабжения Ленинск-Кузнецкого</w:t>
      </w:r>
      <w:r w:rsidRPr="00640447">
        <w:rPr>
          <w:b/>
          <w:bCs/>
          <w:sz w:val="28"/>
          <w:szCs w:val="28"/>
        </w:rPr>
        <w:t xml:space="preserve"> городского округа на 2019 - 2028 годы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89"/>
        <w:gridCol w:w="1529"/>
        <w:gridCol w:w="932"/>
        <w:gridCol w:w="545"/>
        <w:gridCol w:w="562"/>
        <w:gridCol w:w="562"/>
        <w:gridCol w:w="562"/>
        <w:gridCol w:w="530"/>
        <w:gridCol w:w="530"/>
        <w:gridCol w:w="530"/>
        <w:gridCol w:w="530"/>
        <w:gridCol w:w="530"/>
        <w:gridCol w:w="603"/>
        <w:gridCol w:w="1072"/>
        <w:gridCol w:w="530"/>
        <w:gridCol w:w="530"/>
        <w:gridCol w:w="530"/>
        <w:gridCol w:w="530"/>
        <w:gridCol w:w="530"/>
        <w:gridCol w:w="530"/>
        <w:gridCol w:w="530"/>
        <w:gridCol w:w="530"/>
        <w:gridCol w:w="530"/>
        <w:gridCol w:w="384"/>
      </w:tblGrid>
      <w:tr w:rsidR="004A0123" w:rsidRPr="00640447" w14:paraId="219793CF" w14:textId="77777777" w:rsidTr="008A5C11">
        <w:trPr>
          <w:trHeight w:val="23"/>
          <w:jc w:val="center"/>
        </w:trPr>
        <w:tc>
          <w:tcPr>
            <w:tcW w:w="134" w:type="pct"/>
            <w:vMerge w:val="restart"/>
            <w:tcMar>
              <w:top w:w="62" w:type="dxa"/>
              <w:left w:w="28" w:type="dxa"/>
              <w:bottom w:w="102" w:type="dxa"/>
              <w:right w:w="28" w:type="dxa"/>
            </w:tcMar>
            <w:vAlign w:val="center"/>
          </w:tcPr>
          <w:p w14:paraId="0785D860"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 п/п</w:t>
            </w:r>
          </w:p>
        </w:tc>
        <w:tc>
          <w:tcPr>
            <w:tcW w:w="524" w:type="pct"/>
            <w:vMerge w:val="restart"/>
            <w:tcMar>
              <w:top w:w="62" w:type="dxa"/>
              <w:left w:w="28" w:type="dxa"/>
              <w:bottom w:w="102" w:type="dxa"/>
              <w:right w:w="28" w:type="dxa"/>
            </w:tcMar>
            <w:vAlign w:val="center"/>
          </w:tcPr>
          <w:p w14:paraId="34CA9505"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Наименование объекта</w:t>
            </w:r>
          </w:p>
        </w:tc>
        <w:tc>
          <w:tcPr>
            <w:tcW w:w="4341" w:type="pct"/>
            <w:gridSpan w:val="22"/>
            <w:tcMar>
              <w:left w:w="28" w:type="dxa"/>
              <w:right w:w="28" w:type="dxa"/>
            </w:tcMar>
            <w:vAlign w:val="center"/>
          </w:tcPr>
          <w:p w14:paraId="5AC3B8DB" w14:textId="77777777" w:rsidR="004A0123" w:rsidRPr="00640447" w:rsidRDefault="004A0123" w:rsidP="008A5C11">
            <w:pPr>
              <w:jc w:val="center"/>
              <w:rPr>
                <w:sz w:val="13"/>
                <w:szCs w:val="13"/>
              </w:rPr>
            </w:pPr>
            <w:r w:rsidRPr="00640447">
              <w:rPr>
                <w:sz w:val="13"/>
                <w:szCs w:val="13"/>
              </w:rPr>
              <w:t>Показатели энергетической эффективности</w:t>
            </w:r>
          </w:p>
        </w:tc>
      </w:tr>
      <w:tr w:rsidR="004A0123" w:rsidRPr="00640447" w14:paraId="5FF19ED0" w14:textId="77777777" w:rsidTr="008A5C11">
        <w:trPr>
          <w:trHeight w:val="687"/>
          <w:jc w:val="center"/>
        </w:trPr>
        <w:tc>
          <w:tcPr>
            <w:tcW w:w="134" w:type="pct"/>
            <w:vMerge/>
            <w:tcMar>
              <w:top w:w="62" w:type="dxa"/>
              <w:left w:w="28" w:type="dxa"/>
              <w:bottom w:w="102" w:type="dxa"/>
              <w:right w:w="28" w:type="dxa"/>
            </w:tcMar>
            <w:vAlign w:val="center"/>
          </w:tcPr>
          <w:p w14:paraId="4F0E3567" w14:textId="77777777" w:rsidR="004A0123" w:rsidRPr="00640447" w:rsidRDefault="004A0123" w:rsidP="008A5C11">
            <w:pPr>
              <w:widowControl w:val="0"/>
              <w:autoSpaceDE w:val="0"/>
              <w:autoSpaceDN w:val="0"/>
              <w:adjustRightInd w:val="0"/>
              <w:jc w:val="center"/>
              <w:rPr>
                <w:sz w:val="13"/>
                <w:szCs w:val="13"/>
              </w:rPr>
            </w:pPr>
          </w:p>
        </w:tc>
        <w:tc>
          <w:tcPr>
            <w:tcW w:w="524" w:type="pct"/>
            <w:vMerge/>
            <w:tcMar>
              <w:top w:w="62" w:type="dxa"/>
              <w:left w:w="28" w:type="dxa"/>
              <w:bottom w:w="102" w:type="dxa"/>
              <w:right w:w="28" w:type="dxa"/>
            </w:tcMar>
            <w:vAlign w:val="center"/>
          </w:tcPr>
          <w:p w14:paraId="6F239C03" w14:textId="77777777" w:rsidR="004A0123" w:rsidRPr="00640447" w:rsidRDefault="004A0123" w:rsidP="008A5C11">
            <w:pPr>
              <w:widowControl w:val="0"/>
              <w:autoSpaceDE w:val="0"/>
              <w:autoSpaceDN w:val="0"/>
              <w:adjustRightInd w:val="0"/>
              <w:jc w:val="center"/>
              <w:rPr>
                <w:sz w:val="13"/>
                <w:szCs w:val="13"/>
              </w:rPr>
            </w:pPr>
          </w:p>
        </w:tc>
        <w:tc>
          <w:tcPr>
            <w:tcW w:w="2203" w:type="pct"/>
            <w:gridSpan w:val="11"/>
            <w:tcMar>
              <w:left w:w="28" w:type="dxa"/>
              <w:right w:w="28" w:type="dxa"/>
            </w:tcMar>
            <w:vAlign w:val="center"/>
          </w:tcPr>
          <w:p w14:paraId="44251900"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Отношение величины технологических потерь тепловой энергии, теплоносителя к материальной характеристике тепловой сети, Гкал/м</w:t>
            </w:r>
            <w:r w:rsidRPr="00640447">
              <w:rPr>
                <w:sz w:val="13"/>
                <w:szCs w:val="13"/>
                <w:vertAlign w:val="superscript"/>
              </w:rPr>
              <w:t>2</w:t>
            </w:r>
          </w:p>
        </w:tc>
        <w:tc>
          <w:tcPr>
            <w:tcW w:w="2139" w:type="pct"/>
            <w:gridSpan w:val="11"/>
            <w:tcMar>
              <w:left w:w="28" w:type="dxa"/>
              <w:right w:w="28" w:type="dxa"/>
            </w:tcMar>
            <w:vAlign w:val="center"/>
          </w:tcPr>
          <w:p w14:paraId="5E3CDCDB"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Отношение величины технологических потерь тепловой энергии, теплоносителя к материальной характеристике тепловой сети, м</w:t>
            </w:r>
            <w:r w:rsidRPr="00640447">
              <w:rPr>
                <w:sz w:val="13"/>
                <w:szCs w:val="13"/>
                <w:vertAlign w:val="superscript"/>
              </w:rPr>
              <w:t>3</w:t>
            </w:r>
            <w:r w:rsidRPr="00640447">
              <w:rPr>
                <w:sz w:val="13"/>
                <w:szCs w:val="13"/>
              </w:rPr>
              <w:t>/м</w:t>
            </w:r>
            <w:r w:rsidRPr="00640447">
              <w:rPr>
                <w:sz w:val="13"/>
                <w:szCs w:val="13"/>
                <w:vertAlign w:val="superscript"/>
              </w:rPr>
              <w:t>2</w:t>
            </w:r>
          </w:p>
        </w:tc>
      </w:tr>
      <w:tr w:rsidR="004A0123" w:rsidRPr="00640447" w14:paraId="5689F229" w14:textId="77777777" w:rsidTr="008A5C11">
        <w:trPr>
          <w:trHeight w:val="20"/>
          <w:jc w:val="center"/>
        </w:trPr>
        <w:tc>
          <w:tcPr>
            <w:tcW w:w="134" w:type="pct"/>
            <w:vMerge/>
            <w:tcMar>
              <w:top w:w="62" w:type="dxa"/>
              <w:left w:w="28" w:type="dxa"/>
              <w:bottom w:w="102" w:type="dxa"/>
              <w:right w:w="28" w:type="dxa"/>
            </w:tcMar>
            <w:vAlign w:val="center"/>
          </w:tcPr>
          <w:p w14:paraId="536688EC" w14:textId="77777777" w:rsidR="004A0123" w:rsidRPr="00640447" w:rsidRDefault="004A0123" w:rsidP="008A5C11">
            <w:pPr>
              <w:widowControl w:val="0"/>
              <w:autoSpaceDE w:val="0"/>
              <w:autoSpaceDN w:val="0"/>
              <w:adjustRightInd w:val="0"/>
              <w:jc w:val="center"/>
              <w:rPr>
                <w:sz w:val="13"/>
                <w:szCs w:val="13"/>
              </w:rPr>
            </w:pPr>
          </w:p>
        </w:tc>
        <w:tc>
          <w:tcPr>
            <w:tcW w:w="524" w:type="pct"/>
            <w:vMerge/>
            <w:tcMar>
              <w:top w:w="62" w:type="dxa"/>
              <w:left w:w="28" w:type="dxa"/>
              <w:bottom w:w="102" w:type="dxa"/>
              <w:right w:w="28" w:type="dxa"/>
            </w:tcMar>
            <w:vAlign w:val="center"/>
          </w:tcPr>
          <w:p w14:paraId="1F9FAD23" w14:textId="77777777" w:rsidR="004A0123" w:rsidRPr="00640447" w:rsidRDefault="004A0123" w:rsidP="008A5C11">
            <w:pPr>
              <w:widowControl w:val="0"/>
              <w:autoSpaceDE w:val="0"/>
              <w:autoSpaceDN w:val="0"/>
              <w:adjustRightInd w:val="0"/>
              <w:jc w:val="center"/>
              <w:rPr>
                <w:sz w:val="13"/>
                <w:szCs w:val="13"/>
              </w:rPr>
            </w:pPr>
          </w:p>
        </w:tc>
        <w:tc>
          <w:tcPr>
            <w:tcW w:w="320" w:type="pct"/>
            <w:vMerge w:val="restart"/>
            <w:tcMar>
              <w:left w:w="28" w:type="dxa"/>
              <w:right w:w="28" w:type="dxa"/>
            </w:tcMar>
            <w:vAlign w:val="center"/>
          </w:tcPr>
          <w:p w14:paraId="4BC1E4AA"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Текущее значение</w:t>
            </w:r>
          </w:p>
        </w:tc>
        <w:tc>
          <w:tcPr>
            <w:tcW w:w="1882" w:type="pct"/>
            <w:gridSpan w:val="10"/>
            <w:tcMar>
              <w:left w:w="28" w:type="dxa"/>
              <w:right w:w="28" w:type="dxa"/>
            </w:tcMar>
            <w:vAlign w:val="center"/>
          </w:tcPr>
          <w:p w14:paraId="686E3C80"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Плановое значение</w:t>
            </w:r>
          </w:p>
        </w:tc>
        <w:tc>
          <w:tcPr>
            <w:tcW w:w="368" w:type="pct"/>
            <w:vMerge w:val="restart"/>
            <w:tcMar>
              <w:left w:w="28" w:type="dxa"/>
              <w:right w:w="28" w:type="dxa"/>
            </w:tcMar>
            <w:vAlign w:val="center"/>
          </w:tcPr>
          <w:p w14:paraId="6813E62B"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Текущее значение</w:t>
            </w:r>
          </w:p>
        </w:tc>
        <w:tc>
          <w:tcPr>
            <w:tcW w:w="1771" w:type="pct"/>
            <w:gridSpan w:val="10"/>
            <w:tcMar>
              <w:left w:w="28" w:type="dxa"/>
              <w:right w:w="28" w:type="dxa"/>
            </w:tcMar>
            <w:vAlign w:val="center"/>
          </w:tcPr>
          <w:p w14:paraId="5E72007F"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Плановое значение</w:t>
            </w:r>
          </w:p>
        </w:tc>
      </w:tr>
      <w:tr w:rsidR="004A0123" w:rsidRPr="00640447" w14:paraId="24389D1C" w14:textId="77777777" w:rsidTr="008A5C11">
        <w:trPr>
          <w:trHeight w:val="20"/>
          <w:jc w:val="center"/>
        </w:trPr>
        <w:tc>
          <w:tcPr>
            <w:tcW w:w="134" w:type="pct"/>
            <w:vMerge/>
            <w:tcMar>
              <w:top w:w="62" w:type="dxa"/>
              <w:left w:w="28" w:type="dxa"/>
              <w:bottom w:w="102" w:type="dxa"/>
              <w:right w:w="28" w:type="dxa"/>
            </w:tcMar>
            <w:vAlign w:val="center"/>
          </w:tcPr>
          <w:p w14:paraId="051BE990" w14:textId="77777777" w:rsidR="004A0123" w:rsidRPr="00640447" w:rsidRDefault="004A0123" w:rsidP="008A5C11">
            <w:pPr>
              <w:widowControl w:val="0"/>
              <w:autoSpaceDE w:val="0"/>
              <w:autoSpaceDN w:val="0"/>
              <w:adjustRightInd w:val="0"/>
              <w:jc w:val="center"/>
              <w:rPr>
                <w:sz w:val="13"/>
                <w:szCs w:val="13"/>
              </w:rPr>
            </w:pPr>
          </w:p>
        </w:tc>
        <w:tc>
          <w:tcPr>
            <w:tcW w:w="524" w:type="pct"/>
            <w:vMerge/>
            <w:tcMar>
              <w:top w:w="62" w:type="dxa"/>
              <w:left w:w="28" w:type="dxa"/>
              <w:bottom w:w="102" w:type="dxa"/>
              <w:right w:w="28" w:type="dxa"/>
            </w:tcMar>
            <w:vAlign w:val="center"/>
          </w:tcPr>
          <w:p w14:paraId="1ADBE48C" w14:textId="77777777" w:rsidR="004A0123" w:rsidRPr="00640447" w:rsidRDefault="004A0123" w:rsidP="008A5C11">
            <w:pPr>
              <w:widowControl w:val="0"/>
              <w:autoSpaceDE w:val="0"/>
              <w:autoSpaceDN w:val="0"/>
              <w:adjustRightInd w:val="0"/>
              <w:jc w:val="center"/>
              <w:rPr>
                <w:sz w:val="13"/>
                <w:szCs w:val="13"/>
              </w:rPr>
            </w:pPr>
          </w:p>
        </w:tc>
        <w:tc>
          <w:tcPr>
            <w:tcW w:w="320" w:type="pct"/>
            <w:vMerge/>
            <w:tcMar>
              <w:left w:w="28" w:type="dxa"/>
              <w:right w:w="28" w:type="dxa"/>
            </w:tcMar>
            <w:vAlign w:val="center"/>
          </w:tcPr>
          <w:p w14:paraId="00DBA149" w14:textId="77777777" w:rsidR="004A0123" w:rsidRPr="00640447" w:rsidRDefault="004A0123" w:rsidP="008A5C11">
            <w:pPr>
              <w:widowControl w:val="0"/>
              <w:autoSpaceDE w:val="0"/>
              <w:autoSpaceDN w:val="0"/>
              <w:adjustRightInd w:val="0"/>
              <w:jc w:val="center"/>
              <w:rPr>
                <w:sz w:val="13"/>
                <w:szCs w:val="13"/>
              </w:rPr>
            </w:pPr>
          </w:p>
        </w:tc>
        <w:tc>
          <w:tcPr>
            <w:tcW w:w="187" w:type="pct"/>
            <w:tcMar>
              <w:left w:w="28" w:type="dxa"/>
              <w:right w:w="28" w:type="dxa"/>
            </w:tcMar>
            <w:vAlign w:val="center"/>
          </w:tcPr>
          <w:p w14:paraId="04C71982"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2019</w:t>
            </w:r>
          </w:p>
        </w:tc>
        <w:tc>
          <w:tcPr>
            <w:tcW w:w="193" w:type="pct"/>
            <w:tcMar>
              <w:left w:w="28" w:type="dxa"/>
              <w:right w:w="28" w:type="dxa"/>
            </w:tcMar>
            <w:vAlign w:val="center"/>
          </w:tcPr>
          <w:p w14:paraId="652A353E"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2020</w:t>
            </w:r>
          </w:p>
        </w:tc>
        <w:tc>
          <w:tcPr>
            <w:tcW w:w="193" w:type="pct"/>
            <w:tcMar>
              <w:left w:w="28" w:type="dxa"/>
              <w:right w:w="28" w:type="dxa"/>
            </w:tcMar>
            <w:vAlign w:val="center"/>
          </w:tcPr>
          <w:p w14:paraId="1F496686"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2021</w:t>
            </w:r>
          </w:p>
        </w:tc>
        <w:tc>
          <w:tcPr>
            <w:tcW w:w="193" w:type="pct"/>
            <w:vAlign w:val="center"/>
          </w:tcPr>
          <w:p w14:paraId="5DEED27C"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2022</w:t>
            </w:r>
          </w:p>
        </w:tc>
        <w:tc>
          <w:tcPr>
            <w:tcW w:w="182" w:type="pct"/>
            <w:vAlign w:val="center"/>
          </w:tcPr>
          <w:p w14:paraId="2E0DB48B"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2023</w:t>
            </w:r>
          </w:p>
        </w:tc>
        <w:tc>
          <w:tcPr>
            <w:tcW w:w="182" w:type="pct"/>
            <w:tcMar>
              <w:left w:w="28" w:type="dxa"/>
              <w:right w:w="28" w:type="dxa"/>
            </w:tcMar>
            <w:vAlign w:val="center"/>
          </w:tcPr>
          <w:p w14:paraId="5ED3F5A3"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2024</w:t>
            </w:r>
          </w:p>
        </w:tc>
        <w:tc>
          <w:tcPr>
            <w:tcW w:w="182" w:type="pct"/>
            <w:tcMar>
              <w:left w:w="28" w:type="dxa"/>
              <w:right w:w="28" w:type="dxa"/>
            </w:tcMar>
            <w:vAlign w:val="center"/>
          </w:tcPr>
          <w:p w14:paraId="04835073"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2025</w:t>
            </w:r>
          </w:p>
        </w:tc>
        <w:tc>
          <w:tcPr>
            <w:tcW w:w="182" w:type="pct"/>
            <w:tcMar>
              <w:left w:w="28" w:type="dxa"/>
              <w:right w:w="28" w:type="dxa"/>
            </w:tcMar>
            <w:vAlign w:val="center"/>
          </w:tcPr>
          <w:p w14:paraId="3CB20446"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2026</w:t>
            </w:r>
          </w:p>
        </w:tc>
        <w:tc>
          <w:tcPr>
            <w:tcW w:w="182" w:type="pct"/>
            <w:tcMar>
              <w:left w:w="28" w:type="dxa"/>
              <w:right w:w="28" w:type="dxa"/>
            </w:tcMar>
            <w:vAlign w:val="center"/>
          </w:tcPr>
          <w:p w14:paraId="145AC9A0"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2027</w:t>
            </w:r>
          </w:p>
        </w:tc>
        <w:tc>
          <w:tcPr>
            <w:tcW w:w="206" w:type="pct"/>
            <w:vAlign w:val="center"/>
          </w:tcPr>
          <w:p w14:paraId="79F5AA95"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2028</w:t>
            </w:r>
          </w:p>
        </w:tc>
        <w:tc>
          <w:tcPr>
            <w:tcW w:w="368" w:type="pct"/>
            <w:vMerge/>
            <w:tcMar>
              <w:left w:w="28" w:type="dxa"/>
              <w:right w:w="28" w:type="dxa"/>
            </w:tcMar>
            <w:vAlign w:val="center"/>
          </w:tcPr>
          <w:p w14:paraId="609DFD74" w14:textId="77777777" w:rsidR="004A0123" w:rsidRPr="00640447" w:rsidRDefault="004A0123" w:rsidP="008A5C11">
            <w:pPr>
              <w:widowControl w:val="0"/>
              <w:autoSpaceDE w:val="0"/>
              <w:autoSpaceDN w:val="0"/>
              <w:adjustRightInd w:val="0"/>
              <w:jc w:val="center"/>
              <w:rPr>
                <w:sz w:val="13"/>
                <w:szCs w:val="13"/>
              </w:rPr>
            </w:pPr>
          </w:p>
        </w:tc>
        <w:tc>
          <w:tcPr>
            <w:tcW w:w="182" w:type="pct"/>
            <w:tcMar>
              <w:left w:w="28" w:type="dxa"/>
              <w:right w:w="28" w:type="dxa"/>
            </w:tcMar>
            <w:vAlign w:val="center"/>
          </w:tcPr>
          <w:p w14:paraId="28113790"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2019</w:t>
            </w:r>
          </w:p>
        </w:tc>
        <w:tc>
          <w:tcPr>
            <w:tcW w:w="182" w:type="pct"/>
            <w:tcMar>
              <w:left w:w="28" w:type="dxa"/>
              <w:right w:w="28" w:type="dxa"/>
            </w:tcMar>
            <w:vAlign w:val="center"/>
          </w:tcPr>
          <w:p w14:paraId="378D62C9"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2020</w:t>
            </w:r>
          </w:p>
        </w:tc>
        <w:tc>
          <w:tcPr>
            <w:tcW w:w="182" w:type="pct"/>
            <w:tcMar>
              <w:left w:w="28" w:type="dxa"/>
              <w:right w:w="28" w:type="dxa"/>
            </w:tcMar>
            <w:vAlign w:val="center"/>
          </w:tcPr>
          <w:p w14:paraId="461379D5"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2021</w:t>
            </w:r>
          </w:p>
        </w:tc>
        <w:tc>
          <w:tcPr>
            <w:tcW w:w="182" w:type="pct"/>
            <w:vAlign w:val="center"/>
          </w:tcPr>
          <w:p w14:paraId="7435BEC9"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2022</w:t>
            </w:r>
          </w:p>
        </w:tc>
        <w:tc>
          <w:tcPr>
            <w:tcW w:w="182" w:type="pct"/>
            <w:vAlign w:val="center"/>
          </w:tcPr>
          <w:p w14:paraId="4CE52020"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2023</w:t>
            </w:r>
          </w:p>
        </w:tc>
        <w:tc>
          <w:tcPr>
            <w:tcW w:w="182" w:type="pct"/>
            <w:tcMar>
              <w:left w:w="28" w:type="dxa"/>
              <w:right w:w="28" w:type="dxa"/>
            </w:tcMar>
            <w:vAlign w:val="center"/>
          </w:tcPr>
          <w:p w14:paraId="0D0E5640"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2024</w:t>
            </w:r>
          </w:p>
        </w:tc>
        <w:tc>
          <w:tcPr>
            <w:tcW w:w="182" w:type="pct"/>
            <w:tcMar>
              <w:left w:w="28" w:type="dxa"/>
              <w:right w:w="28" w:type="dxa"/>
            </w:tcMar>
            <w:vAlign w:val="center"/>
          </w:tcPr>
          <w:p w14:paraId="7A0F9AEE"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2025</w:t>
            </w:r>
          </w:p>
        </w:tc>
        <w:tc>
          <w:tcPr>
            <w:tcW w:w="182" w:type="pct"/>
            <w:tcMar>
              <w:left w:w="28" w:type="dxa"/>
              <w:right w:w="28" w:type="dxa"/>
            </w:tcMar>
            <w:vAlign w:val="center"/>
          </w:tcPr>
          <w:p w14:paraId="43B799D1"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2026</w:t>
            </w:r>
          </w:p>
        </w:tc>
        <w:tc>
          <w:tcPr>
            <w:tcW w:w="182" w:type="pct"/>
            <w:tcMar>
              <w:left w:w="28" w:type="dxa"/>
              <w:right w:w="28" w:type="dxa"/>
            </w:tcMar>
            <w:vAlign w:val="center"/>
          </w:tcPr>
          <w:p w14:paraId="7594BC6B"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2027</w:t>
            </w:r>
          </w:p>
        </w:tc>
        <w:tc>
          <w:tcPr>
            <w:tcW w:w="134" w:type="pct"/>
            <w:vAlign w:val="center"/>
          </w:tcPr>
          <w:p w14:paraId="660D3860"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2028</w:t>
            </w:r>
          </w:p>
        </w:tc>
      </w:tr>
      <w:tr w:rsidR="004A0123" w:rsidRPr="00640447" w14:paraId="72EB2B5E" w14:textId="77777777" w:rsidTr="008A5C11">
        <w:trPr>
          <w:trHeight w:val="148"/>
          <w:jc w:val="center"/>
        </w:trPr>
        <w:tc>
          <w:tcPr>
            <w:tcW w:w="134" w:type="pct"/>
            <w:tcMar>
              <w:top w:w="62" w:type="dxa"/>
              <w:left w:w="28" w:type="dxa"/>
              <w:bottom w:w="102" w:type="dxa"/>
              <w:right w:w="28" w:type="dxa"/>
            </w:tcMar>
            <w:vAlign w:val="center"/>
          </w:tcPr>
          <w:p w14:paraId="2AEFF3AB" w14:textId="77777777" w:rsidR="004A0123" w:rsidRPr="00640447" w:rsidRDefault="004A0123" w:rsidP="008A5C11">
            <w:pPr>
              <w:jc w:val="center"/>
              <w:rPr>
                <w:sz w:val="13"/>
                <w:szCs w:val="13"/>
              </w:rPr>
            </w:pPr>
            <w:r w:rsidRPr="00640447">
              <w:rPr>
                <w:sz w:val="13"/>
                <w:szCs w:val="13"/>
              </w:rPr>
              <w:t>1</w:t>
            </w:r>
          </w:p>
        </w:tc>
        <w:tc>
          <w:tcPr>
            <w:tcW w:w="524" w:type="pct"/>
            <w:tcMar>
              <w:top w:w="62" w:type="dxa"/>
              <w:left w:w="28" w:type="dxa"/>
              <w:bottom w:w="102" w:type="dxa"/>
              <w:right w:w="28" w:type="dxa"/>
            </w:tcMar>
            <w:vAlign w:val="center"/>
          </w:tcPr>
          <w:p w14:paraId="5263BF50" w14:textId="77777777" w:rsidR="004A0123" w:rsidRPr="00640447" w:rsidRDefault="004A0123" w:rsidP="008A5C11">
            <w:pPr>
              <w:jc w:val="center"/>
              <w:rPr>
                <w:sz w:val="13"/>
                <w:szCs w:val="13"/>
              </w:rPr>
            </w:pPr>
            <w:r w:rsidRPr="00640447">
              <w:rPr>
                <w:sz w:val="13"/>
                <w:szCs w:val="13"/>
              </w:rPr>
              <w:t>Котельная «Энергетик»</w:t>
            </w:r>
          </w:p>
        </w:tc>
        <w:tc>
          <w:tcPr>
            <w:tcW w:w="320" w:type="pct"/>
            <w:shd w:val="clear" w:color="auto" w:fill="auto"/>
            <w:tcMar>
              <w:left w:w="28" w:type="dxa"/>
              <w:right w:w="28" w:type="dxa"/>
            </w:tcMar>
            <w:vAlign w:val="bottom"/>
          </w:tcPr>
          <w:p w14:paraId="57AF31E2" w14:textId="77777777" w:rsidR="004A0123" w:rsidRPr="00640447" w:rsidRDefault="004A0123" w:rsidP="008A5C11">
            <w:pPr>
              <w:jc w:val="center"/>
              <w:rPr>
                <w:sz w:val="13"/>
                <w:szCs w:val="13"/>
              </w:rPr>
            </w:pPr>
            <w:r w:rsidRPr="00640447">
              <w:rPr>
                <w:sz w:val="13"/>
                <w:szCs w:val="13"/>
              </w:rPr>
              <w:t>1,92</w:t>
            </w:r>
          </w:p>
        </w:tc>
        <w:tc>
          <w:tcPr>
            <w:tcW w:w="187" w:type="pct"/>
            <w:shd w:val="clear" w:color="auto" w:fill="auto"/>
            <w:tcMar>
              <w:left w:w="28" w:type="dxa"/>
              <w:right w:w="28" w:type="dxa"/>
            </w:tcMar>
            <w:vAlign w:val="bottom"/>
          </w:tcPr>
          <w:p w14:paraId="7719926D" w14:textId="77777777" w:rsidR="004A0123" w:rsidRPr="00640447" w:rsidRDefault="004A0123" w:rsidP="008A5C11">
            <w:pPr>
              <w:jc w:val="center"/>
              <w:rPr>
                <w:sz w:val="13"/>
                <w:szCs w:val="13"/>
              </w:rPr>
            </w:pPr>
            <w:r w:rsidRPr="00640447">
              <w:rPr>
                <w:sz w:val="13"/>
                <w:szCs w:val="13"/>
              </w:rPr>
              <w:t>1,92</w:t>
            </w:r>
          </w:p>
        </w:tc>
        <w:tc>
          <w:tcPr>
            <w:tcW w:w="193" w:type="pct"/>
            <w:shd w:val="clear" w:color="auto" w:fill="auto"/>
            <w:tcMar>
              <w:left w:w="28" w:type="dxa"/>
              <w:right w:w="28" w:type="dxa"/>
            </w:tcMar>
            <w:vAlign w:val="bottom"/>
          </w:tcPr>
          <w:p w14:paraId="2B134BF2" w14:textId="77777777" w:rsidR="004A0123" w:rsidRPr="00640447" w:rsidRDefault="004A0123" w:rsidP="008A5C11">
            <w:pPr>
              <w:jc w:val="center"/>
              <w:rPr>
                <w:sz w:val="13"/>
                <w:szCs w:val="13"/>
              </w:rPr>
            </w:pPr>
            <w:r w:rsidRPr="00640447">
              <w:rPr>
                <w:sz w:val="13"/>
                <w:szCs w:val="13"/>
              </w:rPr>
              <w:t>1,92</w:t>
            </w:r>
          </w:p>
        </w:tc>
        <w:tc>
          <w:tcPr>
            <w:tcW w:w="193" w:type="pct"/>
            <w:shd w:val="clear" w:color="auto" w:fill="auto"/>
            <w:tcMar>
              <w:left w:w="28" w:type="dxa"/>
              <w:right w:w="28" w:type="dxa"/>
            </w:tcMar>
            <w:vAlign w:val="bottom"/>
          </w:tcPr>
          <w:p w14:paraId="1E554F91" w14:textId="77777777" w:rsidR="004A0123" w:rsidRPr="00640447" w:rsidRDefault="004A0123" w:rsidP="008A5C11">
            <w:pPr>
              <w:jc w:val="center"/>
              <w:rPr>
                <w:sz w:val="13"/>
                <w:szCs w:val="13"/>
              </w:rPr>
            </w:pPr>
            <w:r w:rsidRPr="00640447">
              <w:rPr>
                <w:sz w:val="13"/>
                <w:szCs w:val="13"/>
              </w:rPr>
              <w:t>1,92</w:t>
            </w:r>
          </w:p>
        </w:tc>
        <w:tc>
          <w:tcPr>
            <w:tcW w:w="193" w:type="pct"/>
            <w:shd w:val="clear" w:color="auto" w:fill="auto"/>
            <w:vAlign w:val="bottom"/>
          </w:tcPr>
          <w:p w14:paraId="49DA408C" w14:textId="77777777" w:rsidR="004A0123" w:rsidRPr="00640447" w:rsidRDefault="004A0123" w:rsidP="008A5C11">
            <w:pPr>
              <w:jc w:val="center"/>
              <w:rPr>
                <w:sz w:val="13"/>
                <w:szCs w:val="13"/>
              </w:rPr>
            </w:pPr>
            <w:r w:rsidRPr="00640447">
              <w:rPr>
                <w:sz w:val="13"/>
                <w:szCs w:val="13"/>
              </w:rPr>
              <w:t>1,92</w:t>
            </w:r>
          </w:p>
        </w:tc>
        <w:tc>
          <w:tcPr>
            <w:tcW w:w="182" w:type="pct"/>
            <w:shd w:val="clear" w:color="auto" w:fill="auto"/>
            <w:vAlign w:val="bottom"/>
          </w:tcPr>
          <w:p w14:paraId="54EB10A7" w14:textId="77777777" w:rsidR="004A0123" w:rsidRPr="00640447" w:rsidRDefault="004A0123" w:rsidP="008A5C11">
            <w:pPr>
              <w:jc w:val="center"/>
              <w:rPr>
                <w:sz w:val="13"/>
                <w:szCs w:val="13"/>
              </w:rPr>
            </w:pPr>
            <w:r w:rsidRPr="00640447">
              <w:rPr>
                <w:sz w:val="13"/>
                <w:szCs w:val="13"/>
              </w:rPr>
              <w:t>1,92</w:t>
            </w:r>
          </w:p>
        </w:tc>
        <w:tc>
          <w:tcPr>
            <w:tcW w:w="182" w:type="pct"/>
            <w:shd w:val="clear" w:color="auto" w:fill="auto"/>
            <w:tcMar>
              <w:left w:w="28" w:type="dxa"/>
              <w:right w:w="28" w:type="dxa"/>
            </w:tcMar>
            <w:vAlign w:val="bottom"/>
          </w:tcPr>
          <w:p w14:paraId="58EAAFAE" w14:textId="77777777" w:rsidR="004A0123" w:rsidRPr="00640447" w:rsidRDefault="004A0123" w:rsidP="008A5C11">
            <w:pPr>
              <w:jc w:val="center"/>
              <w:rPr>
                <w:sz w:val="13"/>
                <w:szCs w:val="13"/>
              </w:rPr>
            </w:pPr>
            <w:r w:rsidRPr="00640447">
              <w:rPr>
                <w:sz w:val="13"/>
                <w:szCs w:val="13"/>
              </w:rPr>
              <w:t>1,92</w:t>
            </w:r>
          </w:p>
        </w:tc>
        <w:tc>
          <w:tcPr>
            <w:tcW w:w="182" w:type="pct"/>
            <w:shd w:val="clear" w:color="auto" w:fill="auto"/>
            <w:tcMar>
              <w:left w:w="28" w:type="dxa"/>
              <w:right w:w="28" w:type="dxa"/>
            </w:tcMar>
            <w:vAlign w:val="bottom"/>
          </w:tcPr>
          <w:p w14:paraId="3E629E52" w14:textId="77777777" w:rsidR="004A0123" w:rsidRPr="00640447" w:rsidRDefault="004A0123" w:rsidP="008A5C11">
            <w:pPr>
              <w:jc w:val="center"/>
              <w:rPr>
                <w:sz w:val="13"/>
                <w:szCs w:val="13"/>
              </w:rPr>
            </w:pPr>
            <w:r w:rsidRPr="00640447">
              <w:rPr>
                <w:sz w:val="13"/>
                <w:szCs w:val="13"/>
              </w:rPr>
              <w:t>1,92</w:t>
            </w:r>
          </w:p>
        </w:tc>
        <w:tc>
          <w:tcPr>
            <w:tcW w:w="182" w:type="pct"/>
            <w:shd w:val="clear" w:color="auto" w:fill="auto"/>
            <w:tcMar>
              <w:left w:w="28" w:type="dxa"/>
              <w:right w:w="28" w:type="dxa"/>
            </w:tcMar>
            <w:vAlign w:val="bottom"/>
          </w:tcPr>
          <w:p w14:paraId="68609025" w14:textId="77777777" w:rsidR="004A0123" w:rsidRPr="00640447" w:rsidRDefault="004A0123" w:rsidP="008A5C11">
            <w:pPr>
              <w:jc w:val="center"/>
              <w:rPr>
                <w:sz w:val="13"/>
                <w:szCs w:val="13"/>
              </w:rPr>
            </w:pPr>
            <w:r w:rsidRPr="00640447">
              <w:rPr>
                <w:sz w:val="13"/>
                <w:szCs w:val="13"/>
              </w:rPr>
              <w:t>1,92</w:t>
            </w:r>
          </w:p>
        </w:tc>
        <w:tc>
          <w:tcPr>
            <w:tcW w:w="182" w:type="pct"/>
            <w:shd w:val="clear" w:color="auto" w:fill="auto"/>
            <w:tcMar>
              <w:left w:w="28" w:type="dxa"/>
              <w:right w:w="28" w:type="dxa"/>
            </w:tcMar>
            <w:vAlign w:val="bottom"/>
          </w:tcPr>
          <w:p w14:paraId="5B86CBE8" w14:textId="77777777" w:rsidR="004A0123" w:rsidRPr="00640447" w:rsidRDefault="004A0123" w:rsidP="008A5C11">
            <w:pPr>
              <w:jc w:val="center"/>
              <w:rPr>
                <w:sz w:val="13"/>
                <w:szCs w:val="13"/>
              </w:rPr>
            </w:pPr>
            <w:r w:rsidRPr="00640447">
              <w:rPr>
                <w:sz w:val="13"/>
                <w:szCs w:val="13"/>
              </w:rPr>
              <w:t>1,92</w:t>
            </w:r>
          </w:p>
        </w:tc>
        <w:tc>
          <w:tcPr>
            <w:tcW w:w="206" w:type="pct"/>
            <w:shd w:val="clear" w:color="auto" w:fill="auto"/>
            <w:vAlign w:val="bottom"/>
          </w:tcPr>
          <w:p w14:paraId="5D4975C5" w14:textId="77777777" w:rsidR="004A0123" w:rsidRPr="00640447" w:rsidRDefault="004A0123" w:rsidP="008A5C11">
            <w:pPr>
              <w:jc w:val="center"/>
              <w:rPr>
                <w:sz w:val="13"/>
                <w:szCs w:val="13"/>
              </w:rPr>
            </w:pPr>
            <w:r w:rsidRPr="00640447">
              <w:rPr>
                <w:sz w:val="13"/>
                <w:szCs w:val="13"/>
              </w:rPr>
              <w:t>1,92</w:t>
            </w:r>
          </w:p>
        </w:tc>
        <w:tc>
          <w:tcPr>
            <w:tcW w:w="368" w:type="pct"/>
            <w:shd w:val="clear" w:color="auto" w:fill="auto"/>
            <w:tcMar>
              <w:left w:w="28" w:type="dxa"/>
              <w:right w:w="28" w:type="dxa"/>
            </w:tcMar>
            <w:vAlign w:val="bottom"/>
          </w:tcPr>
          <w:p w14:paraId="6637F562" w14:textId="77777777" w:rsidR="004A0123" w:rsidRPr="00640447" w:rsidRDefault="004A0123" w:rsidP="008A5C11">
            <w:pPr>
              <w:jc w:val="center"/>
              <w:rPr>
                <w:sz w:val="13"/>
                <w:szCs w:val="13"/>
              </w:rPr>
            </w:pPr>
            <w:r w:rsidRPr="00640447">
              <w:rPr>
                <w:sz w:val="13"/>
                <w:szCs w:val="13"/>
              </w:rPr>
              <w:t>4,20</w:t>
            </w:r>
          </w:p>
        </w:tc>
        <w:tc>
          <w:tcPr>
            <w:tcW w:w="182" w:type="pct"/>
            <w:shd w:val="clear" w:color="auto" w:fill="auto"/>
            <w:tcMar>
              <w:left w:w="28" w:type="dxa"/>
              <w:right w:w="28" w:type="dxa"/>
            </w:tcMar>
            <w:vAlign w:val="bottom"/>
          </w:tcPr>
          <w:p w14:paraId="0BCDA33F" w14:textId="77777777" w:rsidR="004A0123" w:rsidRPr="00640447" w:rsidRDefault="004A0123" w:rsidP="008A5C11">
            <w:pPr>
              <w:jc w:val="center"/>
              <w:rPr>
                <w:sz w:val="13"/>
                <w:szCs w:val="13"/>
              </w:rPr>
            </w:pPr>
            <w:r w:rsidRPr="00640447">
              <w:rPr>
                <w:sz w:val="13"/>
                <w:szCs w:val="13"/>
              </w:rPr>
              <w:t>4,20</w:t>
            </w:r>
          </w:p>
        </w:tc>
        <w:tc>
          <w:tcPr>
            <w:tcW w:w="182" w:type="pct"/>
            <w:shd w:val="clear" w:color="auto" w:fill="auto"/>
            <w:tcMar>
              <w:left w:w="28" w:type="dxa"/>
              <w:right w:w="28" w:type="dxa"/>
            </w:tcMar>
            <w:vAlign w:val="bottom"/>
          </w:tcPr>
          <w:p w14:paraId="6AFC57EA" w14:textId="77777777" w:rsidR="004A0123" w:rsidRPr="00640447" w:rsidRDefault="004A0123" w:rsidP="008A5C11">
            <w:pPr>
              <w:jc w:val="center"/>
              <w:rPr>
                <w:sz w:val="13"/>
                <w:szCs w:val="13"/>
              </w:rPr>
            </w:pPr>
            <w:r w:rsidRPr="00640447">
              <w:rPr>
                <w:sz w:val="13"/>
                <w:szCs w:val="13"/>
              </w:rPr>
              <w:t>4,20</w:t>
            </w:r>
          </w:p>
        </w:tc>
        <w:tc>
          <w:tcPr>
            <w:tcW w:w="182" w:type="pct"/>
            <w:shd w:val="clear" w:color="auto" w:fill="auto"/>
            <w:tcMar>
              <w:left w:w="28" w:type="dxa"/>
              <w:right w:w="28" w:type="dxa"/>
            </w:tcMar>
            <w:vAlign w:val="bottom"/>
          </w:tcPr>
          <w:p w14:paraId="6DC59667" w14:textId="77777777" w:rsidR="004A0123" w:rsidRPr="00640447" w:rsidRDefault="004A0123" w:rsidP="008A5C11">
            <w:pPr>
              <w:jc w:val="center"/>
              <w:rPr>
                <w:sz w:val="13"/>
                <w:szCs w:val="13"/>
              </w:rPr>
            </w:pPr>
            <w:r w:rsidRPr="00640447">
              <w:rPr>
                <w:sz w:val="13"/>
                <w:szCs w:val="13"/>
              </w:rPr>
              <w:t>4,20</w:t>
            </w:r>
          </w:p>
        </w:tc>
        <w:tc>
          <w:tcPr>
            <w:tcW w:w="182" w:type="pct"/>
            <w:shd w:val="clear" w:color="auto" w:fill="auto"/>
            <w:vAlign w:val="bottom"/>
          </w:tcPr>
          <w:p w14:paraId="5027EAEC" w14:textId="77777777" w:rsidR="004A0123" w:rsidRPr="00640447" w:rsidRDefault="004A0123" w:rsidP="008A5C11">
            <w:pPr>
              <w:jc w:val="center"/>
              <w:rPr>
                <w:sz w:val="13"/>
                <w:szCs w:val="13"/>
              </w:rPr>
            </w:pPr>
            <w:r w:rsidRPr="00640447">
              <w:rPr>
                <w:sz w:val="13"/>
                <w:szCs w:val="13"/>
              </w:rPr>
              <w:t>4,20</w:t>
            </w:r>
          </w:p>
        </w:tc>
        <w:tc>
          <w:tcPr>
            <w:tcW w:w="182" w:type="pct"/>
            <w:shd w:val="clear" w:color="auto" w:fill="auto"/>
            <w:vAlign w:val="bottom"/>
          </w:tcPr>
          <w:p w14:paraId="266C432B" w14:textId="77777777" w:rsidR="004A0123" w:rsidRPr="00640447" w:rsidRDefault="004A0123" w:rsidP="008A5C11">
            <w:pPr>
              <w:jc w:val="center"/>
              <w:rPr>
                <w:sz w:val="13"/>
                <w:szCs w:val="13"/>
              </w:rPr>
            </w:pPr>
            <w:r w:rsidRPr="00640447">
              <w:rPr>
                <w:sz w:val="13"/>
                <w:szCs w:val="13"/>
              </w:rPr>
              <w:t>4,20</w:t>
            </w:r>
          </w:p>
        </w:tc>
        <w:tc>
          <w:tcPr>
            <w:tcW w:w="182" w:type="pct"/>
            <w:shd w:val="clear" w:color="auto" w:fill="auto"/>
            <w:tcMar>
              <w:left w:w="28" w:type="dxa"/>
              <w:right w:w="28" w:type="dxa"/>
            </w:tcMar>
            <w:vAlign w:val="bottom"/>
          </w:tcPr>
          <w:p w14:paraId="22597D86" w14:textId="77777777" w:rsidR="004A0123" w:rsidRPr="00640447" w:rsidRDefault="004A0123" w:rsidP="008A5C11">
            <w:pPr>
              <w:jc w:val="center"/>
              <w:rPr>
                <w:sz w:val="13"/>
                <w:szCs w:val="13"/>
              </w:rPr>
            </w:pPr>
            <w:r w:rsidRPr="00640447">
              <w:rPr>
                <w:sz w:val="13"/>
                <w:szCs w:val="13"/>
              </w:rPr>
              <w:t>4,20</w:t>
            </w:r>
          </w:p>
        </w:tc>
        <w:tc>
          <w:tcPr>
            <w:tcW w:w="182" w:type="pct"/>
            <w:shd w:val="clear" w:color="auto" w:fill="auto"/>
            <w:tcMar>
              <w:left w:w="28" w:type="dxa"/>
              <w:right w:w="28" w:type="dxa"/>
            </w:tcMar>
            <w:vAlign w:val="bottom"/>
          </w:tcPr>
          <w:p w14:paraId="5E313A4C" w14:textId="77777777" w:rsidR="004A0123" w:rsidRPr="00640447" w:rsidRDefault="004A0123" w:rsidP="008A5C11">
            <w:pPr>
              <w:jc w:val="center"/>
              <w:rPr>
                <w:sz w:val="13"/>
                <w:szCs w:val="13"/>
              </w:rPr>
            </w:pPr>
            <w:r w:rsidRPr="00640447">
              <w:rPr>
                <w:sz w:val="13"/>
                <w:szCs w:val="13"/>
              </w:rPr>
              <w:t>4,20</w:t>
            </w:r>
          </w:p>
        </w:tc>
        <w:tc>
          <w:tcPr>
            <w:tcW w:w="182" w:type="pct"/>
            <w:shd w:val="clear" w:color="auto" w:fill="auto"/>
            <w:tcMar>
              <w:left w:w="28" w:type="dxa"/>
              <w:right w:w="28" w:type="dxa"/>
            </w:tcMar>
            <w:vAlign w:val="bottom"/>
          </w:tcPr>
          <w:p w14:paraId="21964D6D" w14:textId="77777777" w:rsidR="004A0123" w:rsidRPr="00640447" w:rsidRDefault="004A0123" w:rsidP="008A5C11">
            <w:pPr>
              <w:jc w:val="center"/>
              <w:rPr>
                <w:sz w:val="13"/>
                <w:szCs w:val="13"/>
              </w:rPr>
            </w:pPr>
            <w:r w:rsidRPr="00640447">
              <w:rPr>
                <w:sz w:val="13"/>
                <w:szCs w:val="13"/>
              </w:rPr>
              <w:t>4,20</w:t>
            </w:r>
          </w:p>
        </w:tc>
        <w:tc>
          <w:tcPr>
            <w:tcW w:w="182" w:type="pct"/>
            <w:shd w:val="clear" w:color="auto" w:fill="auto"/>
            <w:tcMar>
              <w:left w:w="28" w:type="dxa"/>
              <w:right w:w="28" w:type="dxa"/>
            </w:tcMar>
            <w:vAlign w:val="bottom"/>
          </w:tcPr>
          <w:p w14:paraId="1E2523F2" w14:textId="77777777" w:rsidR="004A0123" w:rsidRPr="00640447" w:rsidRDefault="004A0123" w:rsidP="008A5C11">
            <w:pPr>
              <w:jc w:val="center"/>
              <w:rPr>
                <w:sz w:val="13"/>
                <w:szCs w:val="13"/>
              </w:rPr>
            </w:pPr>
            <w:r w:rsidRPr="00640447">
              <w:rPr>
                <w:sz w:val="13"/>
                <w:szCs w:val="13"/>
              </w:rPr>
              <w:t>4,20</w:t>
            </w:r>
          </w:p>
        </w:tc>
        <w:tc>
          <w:tcPr>
            <w:tcW w:w="134" w:type="pct"/>
            <w:shd w:val="clear" w:color="auto" w:fill="auto"/>
            <w:vAlign w:val="bottom"/>
          </w:tcPr>
          <w:p w14:paraId="11E0AA1F" w14:textId="77777777" w:rsidR="004A0123" w:rsidRPr="00640447" w:rsidRDefault="004A0123" w:rsidP="008A5C11">
            <w:pPr>
              <w:jc w:val="center"/>
              <w:rPr>
                <w:sz w:val="13"/>
                <w:szCs w:val="13"/>
              </w:rPr>
            </w:pPr>
            <w:r w:rsidRPr="00640447">
              <w:rPr>
                <w:sz w:val="13"/>
                <w:szCs w:val="13"/>
              </w:rPr>
              <w:t>4,20</w:t>
            </w:r>
          </w:p>
        </w:tc>
      </w:tr>
      <w:tr w:rsidR="004A0123" w:rsidRPr="00640447" w14:paraId="69C7211A" w14:textId="77777777" w:rsidTr="008A5C11">
        <w:trPr>
          <w:trHeight w:val="148"/>
          <w:jc w:val="center"/>
        </w:trPr>
        <w:tc>
          <w:tcPr>
            <w:tcW w:w="134" w:type="pct"/>
            <w:tcMar>
              <w:top w:w="62" w:type="dxa"/>
              <w:left w:w="28" w:type="dxa"/>
              <w:bottom w:w="102" w:type="dxa"/>
              <w:right w:w="28" w:type="dxa"/>
            </w:tcMar>
            <w:vAlign w:val="center"/>
          </w:tcPr>
          <w:p w14:paraId="42EBB99F" w14:textId="77777777" w:rsidR="004A0123" w:rsidRPr="00640447" w:rsidRDefault="004A0123" w:rsidP="008A5C11">
            <w:pPr>
              <w:jc w:val="center"/>
              <w:rPr>
                <w:sz w:val="13"/>
                <w:szCs w:val="13"/>
              </w:rPr>
            </w:pPr>
            <w:r w:rsidRPr="00640447">
              <w:rPr>
                <w:sz w:val="13"/>
                <w:szCs w:val="13"/>
              </w:rPr>
              <w:t>2</w:t>
            </w:r>
          </w:p>
        </w:tc>
        <w:tc>
          <w:tcPr>
            <w:tcW w:w="524" w:type="pct"/>
            <w:tcMar>
              <w:top w:w="62" w:type="dxa"/>
              <w:left w:w="28" w:type="dxa"/>
              <w:bottom w:w="102" w:type="dxa"/>
              <w:right w:w="28" w:type="dxa"/>
            </w:tcMar>
            <w:vAlign w:val="center"/>
          </w:tcPr>
          <w:p w14:paraId="683CE7FE" w14:textId="77777777" w:rsidR="004A0123" w:rsidRPr="00640447" w:rsidRDefault="004A0123" w:rsidP="008A5C11">
            <w:pPr>
              <w:jc w:val="center"/>
              <w:rPr>
                <w:sz w:val="13"/>
                <w:szCs w:val="13"/>
              </w:rPr>
            </w:pPr>
            <w:r w:rsidRPr="00640447">
              <w:rPr>
                <w:sz w:val="13"/>
                <w:szCs w:val="13"/>
              </w:rPr>
              <w:t>Котельная «КСК»</w:t>
            </w:r>
          </w:p>
        </w:tc>
        <w:tc>
          <w:tcPr>
            <w:tcW w:w="320" w:type="pct"/>
            <w:shd w:val="clear" w:color="auto" w:fill="auto"/>
            <w:tcMar>
              <w:left w:w="28" w:type="dxa"/>
              <w:right w:w="28" w:type="dxa"/>
            </w:tcMar>
            <w:vAlign w:val="bottom"/>
          </w:tcPr>
          <w:p w14:paraId="039CF64F" w14:textId="77777777" w:rsidR="004A0123" w:rsidRPr="00640447" w:rsidRDefault="004A0123" w:rsidP="008A5C11">
            <w:pPr>
              <w:jc w:val="center"/>
              <w:rPr>
                <w:sz w:val="13"/>
                <w:szCs w:val="13"/>
              </w:rPr>
            </w:pPr>
            <w:r w:rsidRPr="00640447">
              <w:rPr>
                <w:sz w:val="13"/>
                <w:szCs w:val="13"/>
              </w:rPr>
              <w:t>3,20</w:t>
            </w:r>
          </w:p>
        </w:tc>
        <w:tc>
          <w:tcPr>
            <w:tcW w:w="187" w:type="pct"/>
            <w:shd w:val="clear" w:color="auto" w:fill="auto"/>
            <w:tcMar>
              <w:left w:w="28" w:type="dxa"/>
              <w:right w:w="28" w:type="dxa"/>
            </w:tcMar>
            <w:vAlign w:val="bottom"/>
          </w:tcPr>
          <w:p w14:paraId="37A1F1EB" w14:textId="77777777" w:rsidR="004A0123" w:rsidRPr="00640447" w:rsidRDefault="004A0123" w:rsidP="008A5C11">
            <w:pPr>
              <w:jc w:val="center"/>
              <w:rPr>
                <w:sz w:val="13"/>
                <w:szCs w:val="13"/>
              </w:rPr>
            </w:pPr>
            <w:r w:rsidRPr="00640447">
              <w:rPr>
                <w:sz w:val="13"/>
                <w:szCs w:val="13"/>
              </w:rPr>
              <w:t>3,20</w:t>
            </w:r>
          </w:p>
        </w:tc>
        <w:tc>
          <w:tcPr>
            <w:tcW w:w="193" w:type="pct"/>
            <w:shd w:val="clear" w:color="auto" w:fill="auto"/>
            <w:tcMar>
              <w:left w:w="28" w:type="dxa"/>
              <w:right w:w="28" w:type="dxa"/>
            </w:tcMar>
            <w:vAlign w:val="bottom"/>
          </w:tcPr>
          <w:p w14:paraId="5ACA8735" w14:textId="77777777" w:rsidR="004A0123" w:rsidRPr="00640447" w:rsidRDefault="004A0123" w:rsidP="008A5C11">
            <w:pPr>
              <w:jc w:val="center"/>
              <w:rPr>
                <w:sz w:val="13"/>
                <w:szCs w:val="13"/>
              </w:rPr>
            </w:pPr>
            <w:r w:rsidRPr="00640447">
              <w:rPr>
                <w:sz w:val="13"/>
                <w:szCs w:val="13"/>
              </w:rPr>
              <w:t>3,20</w:t>
            </w:r>
          </w:p>
        </w:tc>
        <w:tc>
          <w:tcPr>
            <w:tcW w:w="193" w:type="pct"/>
            <w:shd w:val="clear" w:color="auto" w:fill="auto"/>
            <w:tcMar>
              <w:left w:w="28" w:type="dxa"/>
              <w:right w:w="28" w:type="dxa"/>
            </w:tcMar>
            <w:vAlign w:val="bottom"/>
          </w:tcPr>
          <w:p w14:paraId="26B1D6FE" w14:textId="77777777" w:rsidR="004A0123" w:rsidRPr="00640447" w:rsidRDefault="004A0123" w:rsidP="008A5C11">
            <w:pPr>
              <w:jc w:val="center"/>
              <w:rPr>
                <w:sz w:val="13"/>
                <w:szCs w:val="13"/>
              </w:rPr>
            </w:pPr>
            <w:r w:rsidRPr="00640447">
              <w:rPr>
                <w:sz w:val="13"/>
                <w:szCs w:val="13"/>
              </w:rPr>
              <w:t>3,20</w:t>
            </w:r>
          </w:p>
        </w:tc>
        <w:tc>
          <w:tcPr>
            <w:tcW w:w="193" w:type="pct"/>
            <w:shd w:val="clear" w:color="auto" w:fill="auto"/>
            <w:vAlign w:val="bottom"/>
          </w:tcPr>
          <w:p w14:paraId="0F91A6D8" w14:textId="77777777" w:rsidR="004A0123" w:rsidRPr="00640447" w:rsidRDefault="004A0123" w:rsidP="008A5C11">
            <w:pPr>
              <w:jc w:val="center"/>
              <w:rPr>
                <w:sz w:val="13"/>
                <w:szCs w:val="13"/>
              </w:rPr>
            </w:pPr>
            <w:r w:rsidRPr="00640447">
              <w:rPr>
                <w:sz w:val="13"/>
                <w:szCs w:val="13"/>
              </w:rPr>
              <w:t>3,20</w:t>
            </w:r>
          </w:p>
        </w:tc>
        <w:tc>
          <w:tcPr>
            <w:tcW w:w="182" w:type="pct"/>
            <w:shd w:val="clear" w:color="auto" w:fill="auto"/>
            <w:vAlign w:val="bottom"/>
          </w:tcPr>
          <w:p w14:paraId="61BA5467" w14:textId="77777777" w:rsidR="004A0123" w:rsidRPr="00640447" w:rsidRDefault="004A0123" w:rsidP="008A5C11">
            <w:pPr>
              <w:jc w:val="center"/>
              <w:rPr>
                <w:sz w:val="13"/>
                <w:szCs w:val="13"/>
              </w:rPr>
            </w:pPr>
            <w:r w:rsidRPr="00640447">
              <w:rPr>
                <w:sz w:val="13"/>
                <w:szCs w:val="13"/>
              </w:rPr>
              <w:t>3,20</w:t>
            </w:r>
          </w:p>
        </w:tc>
        <w:tc>
          <w:tcPr>
            <w:tcW w:w="182" w:type="pct"/>
            <w:shd w:val="clear" w:color="auto" w:fill="auto"/>
            <w:tcMar>
              <w:left w:w="28" w:type="dxa"/>
              <w:right w:w="28" w:type="dxa"/>
            </w:tcMar>
            <w:vAlign w:val="bottom"/>
          </w:tcPr>
          <w:p w14:paraId="4444EC81" w14:textId="77777777" w:rsidR="004A0123" w:rsidRPr="00640447" w:rsidRDefault="004A0123" w:rsidP="008A5C11">
            <w:pPr>
              <w:jc w:val="center"/>
              <w:rPr>
                <w:sz w:val="13"/>
                <w:szCs w:val="13"/>
              </w:rPr>
            </w:pPr>
            <w:r w:rsidRPr="00640447">
              <w:rPr>
                <w:sz w:val="13"/>
                <w:szCs w:val="13"/>
              </w:rPr>
              <w:t>3,20</w:t>
            </w:r>
          </w:p>
        </w:tc>
        <w:tc>
          <w:tcPr>
            <w:tcW w:w="182" w:type="pct"/>
            <w:shd w:val="clear" w:color="auto" w:fill="auto"/>
            <w:tcMar>
              <w:left w:w="28" w:type="dxa"/>
              <w:right w:w="28" w:type="dxa"/>
            </w:tcMar>
            <w:vAlign w:val="bottom"/>
          </w:tcPr>
          <w:p w14:paraId="2331D8B9" w14:textId="77777777" w:rsidR="004A0123" w:rsidRPr="00640447" w:rsidRDefault="004A0123" w:rsidP="008A5C11">
            <w:pPr>
              <w:jc w:val="center"/>
              <w:rPr>
                <w:sz w:val="13"/>
                <w:szCs w:val="13"/>
              </w:rPr>
            </w:pPr>
            <w:r w:rsidRPr="00640447">
              <w:rPr>
                <w:sz w:val="13"/>
                <w:szCs w:val="13"/>
              </w:rPr>
              <w:t>3,20</w:t>
            </w:r>
          </w:p>
        </w:tc>
        <w:tc>
          <w:tcPr>
            <w:tcW w:w="182" w:type="pct"/>
            <w:shd w:val="clear" w:color="auto" w:fill="auto"/>
            <w:tcMar>
              <w:left w:w="28" w:type="dxa"/>
              <w:right w:w="28" w:type="dxa"/>
            </w:tcMar>
            <w:vAlign w:val="bottom"/>
          </w:tcPr>
          <w:p w14:paraId="4A53EC1A" w14:textId="77777777" w:rsidR="004A0123" w:rsidRPr="00640447" w:rsidRDefault="004A0123" w:rsidP="008A5C11">
            <w:pPr>
              <w:jc w:val="center"/>
              <w:rPr>
                <w:sz w:val="13"/>
                <w:szCs w:val="13"/>
              </w:rPr>
            </w:pPr>
            <w:r w:rsidRPr="00640447">
              <w:rPr>
                <w:sz w:val="13"/>
                <w:szCs w:val="13"/>
              </w:rPr>
              <w:t>3,20</w:t>
            </w:r>
          </w:p>
        </w:tc>
        <w:tc>
          <w:tcPr>
            <w:tcW w:w="182" w:type="pct"/>
            <w:shd w:val="clear" w:color="auto" w:fill="auto"/>
            <w:tcMar>
              <w:left w:w="28" w:type="dxa"/>
              <w:right w:w="28" w:type="dxa"/>
            </w:tcMar>
            <w:vAlign w:val="bottom"/>
          </w:tcPr>
          <w:p w14:paraId="10957272" w14:textId="77777777" w:rsidR="004A0123" w:rsidRPr="00640447" w:rsidRDefault="004A0123" w:rsidP="008A5C11">
            <w:pPr>
              <w:jc w:val="center"/>
              <w:rPr>
                <w:sz w:val="13"/>
                <w:szCs w:val="13"/>
              </w:rPr>
            </w:pPr>
            <w:r w:rsidRPr="00640447">
              <w:rPr>
                <w:sz w:val="13"/>
                <w:szCs w:val="13"/>
              </w:rPr>
              <w:t>3,20</w:t>
            </w:r>
          </w:p>
        </w:tc>
        <w:tc>
          <w:tcPr>
            <w:tcW w:w="206" w:type="pct"/>
            <w:shd w:val="clear" w:color="auto" w:fill="auto"/>
            <w:vAlign w:val="bottom"/>
          </w:tcPr>
          <w:p w14:paraId="50544073" w14:textId="77777777" w:rsidR="004A0123" w:rsidRPr="00640447" w:rsidRDefault="004A0123" w:rsidP="008A5C11">
            <w:pPr>
              <w:jc w:val="center"/>
              <w:rPr>
                <w:sz w:val="13"/>
                <w:szCs w:val="13"/>
              </w:rPr>
            </w:pPr>
            <w:r w:rsidRPr="00640447">
              <w:rPr>
                <w:sz w:val="13"/>
                <w:szCs w:val="13"/>
              </w:rPr>
              <w:t>3,20</w:t>
            </w:r>
          </w:p>
        </w:tc>
        <w:tc>
          <w:tcPr>
            <w:tcW w:w="368" w:type="pct"/>
            <w:shd w:val="clear" w:color="auto" w:fill="auto"/>
            <w:tcMar>
              <w:left w:w="28" w:type="dxa"/>
              <w:right w:w="28" w:type="dxa"/>
            </w:tcMar>
            <w:vAlign w:val="bottom"/>
          </w:tcPr>
          <w:p w14:paraId="4B396F17" w14:textId="77777777" w:rsidR="004A0123" w:rsidRPr="00640447" w:rsidRDefault="004A0123" w:rsidP="008A5C11">
            <w:pPr>
              <w:jc w:val="center"/>
              <w:rPr>
                <w:sz w:val="13"/>
                <w:szCs w:val="13"/>
              </w:rPr>
            </w:pPr>
            <w:r w:rsidRPr="00640447">
              <w:rPr>
                <w:sz w:val="13"/>
                <w:szCs w:val="13"/>
              </w:rPr>
              <w:t>9,92</w:t>
            </w:r>
          </w:p>
        </w:tc>
        <w:tc>
          <w:tcPr>
            <w:tcW w:w="182" w:type="pct"/>
            <w:shd w:val="clear" w:color="auto" w:fill="auto"/>
            <w:tcMar>
              <w:left w:w="28" w:type="dxa"/>
              <w:right w:w="28" w:type="dxa"/>
            </w:tcMar>
            <w:vAlign w:val="bottom"/>
          </w:tcPr>
          <w:p w14:paraId="7567B419" w14:textId="77777777" w:rsidR="004A0123" w:rsidRPr="00640447" w:rsidRDefault="004A0123" w:rsidP="008A5C11">
            <w:pPr>
              <w:jc w:val="center"/>
              <w:rPr>
                <w:sz w:val="13"/>
                <w:szCs w:val="13"/>
              </w:rPr>
            </w:pPr>
            <w:r w:rsidRPr="00640447">
              <w:rPr>
                <w:sz w:val="13"/>
                <w:szCs w:val="13"/>
              </w:rPr>
              <w:t>9,92</w:t>
            </w:r>
          </w:p>
        </w:tc>
        <w:tc>
          <w:tcPr>
            <w:tcW w:w="182" w:type="pct"/>
            <w:shd w:val="clear" w:color="auto" w:fill="auto"/>
            <w:tcMar>
              <w:left w:w="28" w:type="dxa"/>
              <w:right w:w="28" w:type="dxa"/>
            </w:tcMar>
            <w:vAlign w:val="bottom"/>
          </w:tcPr>
          <w:p w14:paraId="26750EC2" w14:textId="77777777" w:rsidR="004A0123" w:rsidRPr="00640447" w:rsidRDefault="004A0123" w:rsidP="008A5C11">
            <w:pPr>
              <w:jc w:val="center"/>
              <w:rPr>
                <w:sz w:val="13"/>
                <w:szCs w:val="13"/>
              </w:rPr>
            </w:pPr>
            <w:r w:rsidRPr="00640447">
              <w:rPr>
                <w:sz w:val="13"/>
                <w:szCs w:val="13"/>
              </w:rPr>
              <w:t>9,92</w:t>
            </w:r>
          </w:p>
        </w:tc>
        <w:tc>
          <w:tcPr>
            <w:tcW w:w="182" w:type="pct"/>
            <w:shd w:val="clear" w:color="auto" w:fill="auto"/>
            <w:tcMar>
              <w:left w:w="28" w:type="dxa"/>
              <w:right w:w="28" w:type="dxa"/>
            </w:tcMar>
            <w:vAlign w:val="bottom"/>
          </w:tcPr>
          <w:p w14:paraId="73C3DCB3" w14:textId="77777777" w:rsidR="004A0123" w:rsidRPr="00640447" w:rsidRDefault="004A0123" w:rsidP="008A5C11">
            <w:pPr>
              <w:jc w:val="center"/>
              <w:rPr>
                <w:sz w:val="13"/>
                <w:szCs w:val="13"/>
              </w:rPr>
            </w:pPr>
            <w:r w:rsidRPr="00640447">
              <w:rPr>
                <w:sz w:val="13"/>
                <w:szCs w:val="13"/>
              </w:rPr>
              <w:t>9,92</w:t>
            </w:r>
          </w:p>
        </w:tc>
        <w:tc>
          <w:tcPr>
            <w:tcW w:w="182" w:type="pct"/>
            <w:shd w:val="clear" w:color="auto" w:fill="auto"/>
            <w:vAlign w:val="bottom"/>
          </w:tcPr>
          <w:p w14:paraId="3BF6B005" w14:textId="77777777" w:rsidR="004A0123" w:rsidRPr="00640447" w:rsidRDefault="004A0123" w:rsidP="008A5C11">
            <w:pPr>
              <w:jc w:val="center"/>
              <w:rPr>
                <w:sz w:val="13"/>
                <w:szCs w:val="13"/>
              </w:rPr>
            </w:pPr>
            <w:r w:rsidRPr="00640447">
              <w:rPr>
                <w:sz w:val="13"/>
                <w:szCs w:val="13"/>
              </w:rPr>
              <w:t>9,92</w:t>
            </w:r>
          </w:p>
        </w:tc>
        <w:tc>
          <w:tcPr>
            <w:tcW w:w="182" w:type="pct"/>
            <w:shd w:val="clear" w:color="auto" w:fill="auto"/>
            <w:vAlign w:val="bottom"/>
          </w:tcPr>
          <w:p w14:paraId="01CB865D" w14:textId="77777777" w:rsidR="004A0123" w:rsidRPr="00640447" w:rsidRDefault="004A0123" w:rsidP="008A5C11">
            <w:pPr>
              <w:jc w:val="center"/>
              <w:rPr>
                <w:sz w:val="13"/>
                <w:szCs w:val="13"/>
              </w:rPr>
            </w:pPr>
            <w:r w:rsidRPr="00640447">
              <w:rPr>
                <w:sz w:val="13"/>
                <w:szCs w:val="13"/>
              </w:rPr>
              <w:t>9,92</w:t>
            </w:r>
          </w:p>
        </w:tc>
        <w:tc>
          <w:tcPr>
            <w:tcW w:w="182" w:type="pct"/>
            <w:shd w:val="clear" w:color="auto" w:fill="auto"/>
            <w:tcMar>
              <w:left w:w="28" w:type="dxa"/>
              <w:right w:w="28" w:type="dxa"/>
            </w:tcMar>
            <w:vAlign w:val="bottom"/>
          </w:tcPr>
          <w:p w14:paraId="77EE4964" w14:textId="77777777" w:rsidR="004A0123" w:rsidRPr="00640447" w:rsidRDefault="004A0123" w:rsidP="008A5C11">
            <w:pPr>
              <w:jc w:val="center"/>
              <w:rPr>
                <w:sz w:val="13"/>
                <w:szCs w:val="13"/>
              </w:rPr>
            </w:pPr>
            <w:r w:rsidRPr="00640447">
              <w:rPr>
                <w:sz w:val="13"/>
                <w:szCs w:val="13"/>
              </w:rPr>
              <w:t>9,92</w:t>
            </w:r>
          </w:p>
        </w:tc>
        <w:tc>
          <w:tcPr>
            <w:tcW w:w="182" w:type="pct"/>
            <w:shd w:val="clear" w:color="auto" w:fill="auto"/>
            <w:tcMar>
              <w:left w:w="28" w:type="dxa"/>
              <w:right w:w="28" w:type="dxa"/>
            </w:tcMar>
            <w:vAlign w:val="bottom"/>
          </w:tcPr>
          <w:p w14:paraId="0B827699" w14:textId="77777777" w:rsidR="004A0123" w:rsidRPr="00640447" w:rsidRDefault="004A0123" w:rsidP="008A5C11">
            <w:pPr>
              <w:jc w:val="center"/>
              <w:rPr>
                <w:sz w:val="13"/>
                <w:szCs w:val="13"/>
              </w:rPr>
            </w:pPr>
            <w:r w:rsidRPr="00640447">
              <w:rPr>
                <w:sz w:val="13"/>
                <w:szCs w:val="13"/>
              </w:rPr>
              <w:t>9,92</w:t>
            </w:r>
          </w:p>
        </w:tc>
        <w:tc>
          <w:tcPr>
            <w:tcW w:w="182" w:type="pct"/>
            <w:shd w:val="clear" w:color="auto" w:fill="auto"/>
            <w:tcMar>
              <w:left w:w="28" w:type="dxa"/>
              <w:right w:w="28" w:type="dxa"/>
            </w:tcMar>
            <w:vAlign w:val="bottom"/>
          </w:tcPr>
          <w:p w14:paraId="270C79F7" w14:textId="77777777" w:rsidR="004A0123" w:rsidRPr="00640447" w:rsidRDefault="004A0123" w:rsidP="008A5C11">
            <w:pPr>
              <w:jc w:val="center"/>
              <w:rPr>
                <w:sz w:val="13"/>
                <w:szCs w:val="13"/>
              </w:rPr>
            </w:pPr>
            <w:r w:rsidRPr="00640447">
              <w:rPr>
                <w:sz w:val="13"/>
                <w:szCs w:val="13"/>
              </w:rPr>
              <w:t>9,92</w:t>
            </w:r>
          </w:p>
        </w:tc>
        <w:tc>
          <w:tcPr>
            <w:tcW w:w="182" w:type="pct"/>
            <w:shd w:val="clear" w:color="auto" w:fill="auto"/>
            <w:tcMar>
              <w:left w:w="28" w:type="dxa"/>
              <w:right w:w="28" w:type="dxa"/>
            </w:tcMar>
            <w:vAlign w:val="bottom"/>
          </w:tcPr>
          <w:p w14:paraId="24AFBCEB" w14:textId="77777777" w:rsidR="004A0123" w:rsidRPr="00640447" w:rsidRDefault="004A0123" w:rsidP="008A5C11">
            <w:pPr>
              <w:jc w:val="center"/>
              <w:rPr>
                <w:sz w:val="13"/>
                <w:szCs w:val="13"/>
              </w:rPr>
            </w:pPr>
            <w:r w:rsidRPr="00640447">
              <w:rPr>
                <w:sz w:val="13"/>
                <w:szCs w:val="13"/>
              </w:rPr>
              <w:t>9,92</w:t>
            </w:r>
          </w:p>
        </w:tc>
        <w:tc>
          <w:tcPr>
            <w:tcW w:w="134" w:type="pct"/>
            <w:shd w:val="clear" w:color="auto" w:fill="auto"/>
            <w:vAlign w:val="bottom"/>
          </w:tcPr>
          <w:p w14:paraId="04EF4217" w14:textId="77777777" w:rsidR="004A0123" w:rsidRPr="00640447" w:rsidRDefault="004A0123" w:rsidP="008A5C11">
            <w:pPr>
              <w:jc w:val="center"/>
              <w:rPr>
                <w:sz w:val="13"/>
                <w:szCs w:val="13"/>
              </w:rPr>
            </w:pPr>
            <w:r w:rsidRPr="00640447">
              <w:rPr>
                <w:sz w:val="13"/>
                <w:szCs w:val="13"/>
              </w:rPr>
              <w:t>9,92</w:t>
            </w:r>
          </w:p>
        </w:tc>
      </w:tr>
      <w:tr w:rsidR="004A0123" w:rsidRPr="00640447" w14:paraId="5E8BA292" w14:textId="77777777" w:rsidTr="008A5C11">
        <w:trPr>
          <w:trHeight w:val="148"/>
          <w:jc w:val="center"/>
        </w:trPr>
        <w:tc>
          <w:tcPr>
            <w:tcW w:w="134" w:type="pct"/>
            <w:tcMar>
              <w:top w:w="62" w:type="dxa"/>
              <w:left w:w="28" w:type="dxa"/>
              <w:bottom w:w="102" w:type="dxa"/>
              <w:right w:w="28" w:type="dxa"/>
            </w:tcMar>
            <w:vAlign w:val="center"/>
          </w:tcPr>
          <w:p w14:paraId="174DDDDB" w14:textId="77777777" w:rsidR="004A0123" w:rsidRPr="00640447" w:rsidRDefault="004A0123" w:rsidP="008A5C11">
            <w:pPr>
              <w:jc w:val="center"/>
              <w:rPr>
                <w:sz w:val="13"/>
                <w:szCs w:val="13"/>
              </w:rPr>
            </w:pPr>
            <w:r w:rsidRPr="00640447">
              <w:rPr>
                <w:sz w:val="13"/>
                <w:szCs w:val="13"/>
              </w:rPr>
              <w:t>3</w:t>
            </w:r>
          </w:p>
        </w:tc>
        <w:tc>
          <w:tcPr>
            <w:tcW w:w="524" w:type="pct"/>
            <w:tcMar>
              <w:top w:w="62" w:type="dxa"/>
              <w:left w:w="28" w:type="dxa"/>
              <w:bottom w:w="102" w:type="dxa"/>
              <w:right w:w="28" w:type="dxa"/>
            </w:tcMar>
            <w:vAlign w:val="center"/>
          </w:tcPr>
          <w:p w14:paraId="2144D441" w14:textId="77777777" w:rsidR="004A0123" w:rsidRPr="00640447" w:rsidRDefault="004A0123" w:rsidP="008A5C11">
            <w:pPr>
              <w:jc w:val="center"/>
              <w:rPr>
                <w:sz w:val="13"/>
                <w:szCs w:val="13"/>
              </w:rPr>
            </w:pPr>
            <w:r w:rsidRPr="00640447">
              <w:rPr>
                <w:sz w:val="13"/>
                <w:szCs w:val="13"/>
              </w:rPr>
              <w:t>Котельная «Центральная»</w:t>
            </w:r>
          </w:p>
        </w:tc>
        <w:tc>
          <w:tcPr>
            <w:tcW w:w="320" w:type="pct"/>
            <w:shd w:val="clear" w:color="auto" w:fill="auto"/>
            <w:tcMar>
              <w:left w:w="28" w:type="dxa"/>
              <w:right w:w="28" w:type="dxa"/>
            </w:tcMar>
            <w:vAlign w:val="bottom"/>
          </w:tcPr>
          <w:p w14:paraId="688F9635" w14:textId="77777777" w:rsidR="004A0123" w:rsidRPr="00640447" w:rsidRDefault="004A0123" w:rsidP="008A5C11">
            <w:pPr>
              <w:jc w:val="center"/>
              <w:rPr>
                <w:sz w:val="13"/>
                <w:szCs w:val="13"/>
              </w:rPr>
            </w:pPr>
            <w:r w:rsidRPr="00640447">
              <w:rPr>
                <w:sz w:val="13"/>
                <w:szCs w:val="13"/>
              </w:rPr>
              <w:t>3,42</w:t>
            </w:r>
          </w:p>
        </w:tc>
        <w:tc>
          <w:tcPr>
            <w:tcW w:w="187" w:type="pct"/>
            <w:shd w:val="clear" w:color="auto" w:fill="auto"/>
            <w:tcMar>
              <w:left w:w="28" w:type="dxa"/>
              <w:right w:w="28" w:type="dxa"/>
            </w:tcMar>
            <w:vAlign w:val="bottom"/>
          </w:tcPr>
          <w:p w14:paraId="67824BDD" w14:textId="77777777" w:rsidR="004A0123" w:rsidRPr="00640447" w:rsidRDefault="004A0123" w:rsidP="008A5C11">
            <w:pPr>
              <w:jc w:val="center"/>
              <w:rPr>
                <w:sz w:val="13"/>
                <w:szCs w:val="13"/>
              </w:rPr>
            </w:pPr>
            <w:r w:rsidRPr="00640447">
              <w:rPr>
                <w:sz w:val="13"/>
                <w:szCs w:val="13"/>
              </w:rPr>
              <w:t>3,42</w:t>
            </w:r>
          </w:p>
        </w:tc>
        <w:tc>
          <w:tcPr>
            <w:tcW w:w="193" w:type="pct"/>
            <w:shd w:val="clear" w:color="auto" w:fill="auto"/>
            <w:tcMar>
              <w:left w:w="28" w:type="dxa"/>
              <w:right w:w="28" w:type="dxa"/>
            </w:tcMar>
            <w:vAlign w:val="bottom"/>
          </w:tcPr>
          <w:p w14:paraId="0CA54A9C" w14:textId="77777777" w:rsidR="004A0123" w:rsidRPr="00640447" w:rsidRDefault="004A0123" w:rsidP="008A5C11">
            <w:pPr>
              <w:jc w:val="center"/>
              <w:rPr>
                <w:sz w:val="13"/>
                <w:szCs w:val="13"/>
              </w:rPr>
            </w:pPr>
            <w:r w:rsidRPr="00640447">
              <w:rPr>
                <w:sz w:val="13"/>
                <w:szCs w:val="13"/>
              </w:rPr>
              <w:t>3,42</w:t>
            </w:r>
          </w:p>
        </w:tc>
        <w:tc>
          <w:tcPr>
            <w:tcW w:w="193" w:type="pct"/>
            <w:shd w:val="clear" w:color="auto" w:fill="auto"/>
            <w:tcMar>
              <w:left w:w="28" w:type="dxa"/>
              <w:right w:w="28" w:type="dxa"/>
            </w:tcMar>
            <w:vAlign w:val="bottom"/>
          </w:tcPr>
          <w:p w14:paraId="3C2BF6AC" w14:textId="77777777" w:rsidR="004A0123" w:rsidRPr="00640447" w:rsidRDefault="004A0123" w:rsidP="008A5C11">
            <w:pPr>
              <w:jc w:val="center"/>
              <w:rPr>
                <w:sz w:val="13"/>
                <w:szCs w:val="13"/>
              </w:rPr>
            </w:pPr>
            <w:r w:rsidRPr="00640447">
              <w:rPr>
                <w:sz w:val="13"/>
                <w:szCs w:val="13"/>
              </w:rPr>
              <w:t>3,42</w:t>
            </w:r>
          </w:p>
        </w:tc>
        <w:tc>
          <w:tcPr>
            <w:tcW w:w="193" w:type="pct"/>
            <w:shd w:val="clear" w:color="auto" w:fill="auto"/>
            <w:vAlign w:val="bottom"/>
          </w:tcPr>
          <w:p w14:paraId="7DA30091" w14:textId="77777777" w:rsidR="004A0123" w:rsidRPr="00640447" w:rsidRDefault="004A0123" w:rsidP="008A5C11">
            <w:pPr>
              <w:jc w:val="center"/>
              <w:rPr>
                <w:sz w:val="13"/>
                <w:szCs w:val="13"/>
              </w:rPr>
            </w:pPr>
            <w:r w:rsidRPr="00640447">
              <w:rPr>
                <w:sz w:val="13"/>
                <w:szCs w:val="13"/>
              </w:rPr>
              <w:t>3,42</w:t>
            </w:r>
          </w:p>
        </w:tc>
        <w:tc>
          <w:tcPr>
            <w:tcW w:w="182" w:type="pct"/>
            <w:shd w:val="clear" w:color="auto" w:fill="auto"/>
            <w:vAlign w:val="bottom"/>
          </w:tcPr>
          <w:p w14:paraId="7159C3F1" w14:textId="77777777" w:rsidR="004A0123" w:rsidRPr="00640447" w:rsidRDefault="004A0123" w:rsidP="008A5C11">
            <w:pPr>
              <w:jc w:val="center"/>
              <w:rPr>
                <w:sz w:val="13"/>
                <w:szCs w:val="13"/>
              </w:rPr>
            </w:pPr>
            <w:r w:rsidRPr="00640447">
              <w:rPr>
                <w:sz w:val="13"/>
                <w:szCs w:val="13"/>
              </w:rPr>
              <w:t>3,42</w:t>
            </w:r>
          </w:p>
        </w:tc>
        <w:tc>
          <w:tcPr>
            <w:tcW w:w="182" w:type="pct"/>
            <w:shd w:val="clear" w:color="auto" w:fill="auto"/>
            <w:tcMar>
              <w:left w:w="28" w:type="dxa"/>
              <w:right w:w="28" w:type="dxa"/>
            </w:tcMar>
            <w:vAlign w:val="bottom"/>
          </w:tcPr>
          <w:p w14:paraId="1BBEEBC4" w14:textId="77777777" w:rsidR="004A0123" w:rsidRPr="00640447" w:rsidRDefault="004A0123" w:rsidP="008A5C11">
            <w:pPr>
              <w:jc w:val="center"/>
              <w:rPr>
                <w:sz w:val="13"/>
                <w:szCs w:val="13"/>
              </w:rPr>
            </w:pPr>
            <w:r w:rsidRPr="00640447">
              <w:rPr>
                <w:sz w:val="13"/>
                <w:szCs w:val="13"/>
              </w:rPr>
              <w:t>3,42</w:t>
            </w:r>
          </w:p>
        </w:tc>
        <w:tc>
          <w:tcPr>
            <w:tcW w:w="182" w:type="pct"/>
            <w:shd w:val="clear" w:color="auto" w:fill="auto"/>
            <w:tcMar>
              <w:left w:w="28" w:type="dxa"/>
              <w:right w:w="28" w:type="dxa"/>
            </w:tcMar>
            <w:vAlign w:val="bottom"/>
          </w:tcPr>
          <w:p w14:paraId="06677162" w14:textId="77777777" w:rsidR="004A0123" w:rsidRPr="00640447" w:rsidRDefault="004A0123" w:rsidP="008A5C11">
            <w:pPr>
              <w:jc w:val="center"/>
              <w:rPr>
                <w:sz w:val="13"/>
                <w:szCs w:val="13"/>
              </w:rPr>
            </w:pPr>
            <w:r w:rsidRPr="00640447">
              <w:rPr>
                <w:sz w:val="13"/>
                <w:szCs w:val="13"/>
              </w:rPr>
              <w:t>3,42</w:t>
            </w:r>
          </w:p>
        </w:tc>
        <w:tc>
          <w:tcPr>
            <w:tcW w:w="182" w:type="pct"/>
            <w:shd w:val="clear" w:color="auto" w:fill="auto"/>
            <w:tcMar>
              <w:left w:w="28" w:type="dxa"/>
              <w:right w:w="28" w:type="dxa"/>
            </w:tcMar>
            <w:vAlign w:val="bottom"/>
          </w:tcPr>
          <w:p w14:paraId="49757266" w14:textId="77777777" w:rsidR="004A0123" w:rsidRPr="00640447" w:rsidRDefault="004A0123" w:rsidP="008A5C11">
            <w:pPr>
              <w:jc w:val="center"/>
              <w:rPr>
                <w:sz w:val="13"/>
                <w:szCs w:val="13"/>
              </w:rPr>
            </w:pPr>
            <w:r w:rsidRPr="00640447">
              <w:rPr>
                <w:sz w:val="13"/>
                <w:szCs w:val="13"/>
              </w:rPr>
              <w:t>3,42</w:t>
            </w:r>
          </w:p>
        </w:tc>
        <w:tc>
          <w:tcPr>
            <w:tcW w:w="182" w:type="pct"/>
            <w:shd w:val="clear" w:color="auto" w:fill="auto"/>
            <w:tcMar>
              <w:left w:w="28" w:type="dxa"/>
              <w:right w:w="28" w:type="dxa"/>
            </w:tcMar>
            <w:vAlign w:val="bottom"/>
          </w:tcPr>
          <w:p w14:paraId="39B29CEE" w14:textId="77777777" w:rsidR="004A0123" w:rsidRPr="00640447" w:rsidRDefault="004A0123" w:rsidP="008A5C11">
            <w:pPr>
              <w:jc w:val="center"/>
              <w:rPr>
                <w:sz w:val="13"/>
                <w:szCs w:val="13"/>
              </w:rPr>
            </w:pPr>
            <w:r w:rsidRPr="00640447">
              <w:rPr>
                <w:sz w:val="13"/>
                <w:szCs w:val="13"/>
              </w:rPr>
              <w:t>3,42</w:t>
            </w:r>
          </w:p>
        </w:tc>
        <w:tc>
          <w:tcPr>
            <w:tcW w:w="206" w:type="pct"/>
            <w:shd w:val="clear" w:color="auto" w:fill="auto"/>
            <w:vAlign w:val="bottom"/>
          </w:tcPr>
          <w:p w14:paraId="143B2331" w14:textId="77777777" w:rsidR="004A0123" w:rsidRPr="00640447" w:rsidRDefault="004A0123" w:rsidP="008A5C11">
            <w:pPr>
              <w:jc w:val="center"/>
              <w:rPr>
                <w:sz w:val="13"/>
                <w:szCs w:val="13"/>
              </w:rPr>
            </w:pPr>
            <w:r w:rsidRPr="00640447">
              <w:rPr>
                <w:sz w:val="13"/>
                <w:szCs w:val="13"/>
              </w:rPr>
              <w:t>3,42</w:t>
            </w:r>
          </w:p>
        </w:tc>
        <w:tc>
          <w:tcPr>
            <w:tcW w:w="368" w:type="pct"/>
            <w:shd w:val="clear" w:color="auto" w:fill="auto"/>
            <w:tcMar>
              <w:left w:w="28" w:type="dxa"/>
              <w:right w:w="28" w:type="dxa"/>
            </w:tcMar>
            <w:vAlign w:val="bottom"/>
          </w:tcPr>
          <w:p w14:paraId="3BC1C247" w14:textId="77777777" w:rsidR="004A0123" w:rsidRPr="00640447" w:rsidRDefault="004A0123" w:rsidP="008A5C11">
            <w:pPr>
              <w:jc w:val="center"/>
              <w:rPr>
                <w:sz w:val="13"/>
                <w:szCs w:val="13"/>
              </w:rPr>
            </w:pPr>
            <w:r w:rsidRPr="00640447">
              <w:rPr>
                <w:sz w:val="13"/>
                <w:szCs w:val="13"/>
              </w:rPr>
              <w:t>4,90</w:t>
            </w:r>
          </w:p>
        </w:tc>
        <w:tc>
          <w:tcPr>
            <w:tcW w:w="182" w:type="pct"/>
            <w:shd w:val="clear" w:color="auto" w:fill="auto"/>
            <w:tcMar>
              <w:left w:w="28" w:type="dxa"/>
              <w:right w:w="28" w:type="dxa"/>
            </w:tcMar>
            <w:vAlign w:val="bottom"/>
          </w:tcPr>
          <w:p w14:paraId="1346EF78" w14:textId="77777777" w:rsidR="004A0123" w:rsidRPr="00640447" w:rsidRDefault="004A0123" w:rsidP="008A5C11">
            <w:pPr>
              <w:jc w:val="center"/>
              <w:rPr>
                <w:sz w:val="13"/>
                <w:szCs w:val="13"/>
              </w:rPr>
            </w:pPr>
            <w:r w:rsidRPr="00640447">
              <w:rPr>
                <w:sz w:val="13"/>
                <w:szCs w:val="13"/>
              </w:rPr>
              <w:t>4,90</w:t>
            </w:r>
          </w:p>
        </w:tc>
        <w:tc>
          <w:tcPr>
            <w:tcW w:w="182" w:type="pct"/>
            <w:shd w:val="clear" w:color="auto" w:fill="auto"/>
            <w:tcMar>
              <w:left w:w="28" w:type="dxa"/>
              <w:right w:w="28" w:type="dxa"/>
            </w:tcMar>
            <w:vAlign w:val="bottom"/>
          </w:tcPr>
          <w:p w14:paraId="235D819F" w14:textId="77777777" w:rsidR="004A0123" w:rsidRPr="00640447" w:rsidRDefault="004A0123" w:rsidP="008A5C11">
            <w:pPr>
              <w:jc w:val="center"/>
              <w:rPr>
                <w:sz w:val="13"/>
                <w:szCs w:val="13"/>
              </w:rPr>
            </w:pPr>
            <w:r w:rsidRPr="00640447">
              <w:rPr>
                <w:sz w:val="13"/>
                <w:szCs w:val="13"/>
              </w:rPr>
              <w:t>4,90</w:t>
            </w:r>
          </w:p>
        </w:tc>
        <w:tc>
          <w:tcPr>
            <w:tcW w:w="182" w:type="pct"/>
            <w:shd w:val="clear" w:color="auto" w:fill="auto"/>
            <w:tcMar>
              <w:left w:w="28" w:type="dxa"/>
              <w:right w:w="28" w:type="dxa"/>
            </w:tcMar>
            <w:vAlign w:val="bottom"/>
          </w:tcPr>
          <w:p w14:paraId="55427EFC" w14:textId="77777777" w:rsidR="004A0123" w:rsidRPr="00640447" w:rsidRDefault="004A0123" w:rsidP="008A5C11">
            <w:pPr>
              <w:jc w:val="center"/>
              <w:rPr>
                <w:sz w:val="13"/>
                <w:szCs w:val="13"/>
              </w:rPr>
            </w:pPr>
            <w:r w:rsidRPr="00640447">
              <w:rPr>
                <w:sz w:val="13"/>
                <w:szCs w:val="13"/>
              </w:rPr>
              <w:t>4,90</w:t>
            </w:r>
          </w:p>
        </w:tc>
        <w:tc>
          <w:tcPr>
            <w:tcW w:w="182" w:type="pct"/>
            <w:shd w:val="clear" w:color="auto" w:fill="auto"/>
            <w:vAlign w:val="bottom"/>
          </w:tcPr>
          <w:p w14:paraId="730E7BA9" w14:textId="77777777" w:rsidR="004A0123" w:rsidRPr="00640447" w:rsidRDefault="004A0123" w:rsidP="008A5C11">
            <w:pPr>
              <w:jc w:val="center"/>
              <w:rPr>
                <w:sz w:val="13"/>
                <w:szCs w:val="13"/>
              </w:rPr>
            </w:pPr>
            <w:r w:rsidRPr="00640447">
              <w:rPr>
                <w:sz w:val="13"/>
                <w:szCs w:val="13"/>
              </w:rPr>
              <w:t>4,90</w:t>
            </w:r>
          </w:p>
        </w:tc>
        <w:tc>
          <w:tcPr>
            <w:tcW w:w="182" w:type="pct"/>
            <w:shd w:val="clear" w:color="auto" w:fill="auto"/>
            <w:vAlign w:val="bottom"/>
          </w:tcPr>
          <w:p w14:paraId="0DAAF4BD" w14:textId="77777777" w:rsidR="004A0123" w:rsidRPr="00640447" w:rsidRDefault="004A0123" w:rsidP="008A5C11">
            <w:pPr>
              <w:jc w:val="center"/>
              <w:rPr>
                <w:sz w:val="13"/>
                <w:szCs w:val="13"/>
              </w:rPr>
            </w:pPr>
            <w:r w:rsidRPr="00640447">
              <w:rPr>
                <w:sz w:val="13"/>
                <w:szCs w:val="13"/>
              </w:rPr>
              <w:t>4,90</w:t>
            </w:r>
          </w:p>
        </w:tc>
        <w:tc>
          <w:tcPr>
            <w:tcW w:w="182" w:type="pct"/>
            <w:shd w:val="clear" w:color="auto" w:fill="auto"/>
            <w:tcMar>
              <w:left w:w="28" w:type="dxa"/>
              <w:right w:w="28" w:type="dxa"/>
            </w:tcMar>
            <w:vAlign w:val="bottom"/>
          </w:tcPr>
          <w:p w14:paraId="727BB154" w14:textId="77777777" w:rsidR="004A0123" w:rsidRPr="00640447" w:rsidRDefault="004A0123" w:rsidP="008A5C11">
            <w:pPr>
              <w:jc w:val="center"/>
              <w:rPr>
                <w:sz w:val="13"/>
                <w:szCs w:val="13"/>
              </w:rPr>
            </w:pPr>
            <w:r w:rsidRPr="00640447">
              <w:rPr>
                <w:sz w:val="13"/>
                <w:szCs w:val="13"/>
              </w:rPr>
              <w:t>4,90</w:t>
            </w:r>
          </w:p>
        </w:tc>
        <w:tc>
          <w:tcPr>
            <w:tcW w:w="182" w:type="pct"/>
            <w:shd w:val="clear" w:color="auto" w:fill="auto"/>
            <w:tcMar>
              <w:left w:w="28" w:type="dxa"/>
              <w:right w:w="28" w:type="dxa"/>
            </w:tcMar>
            <w:vAlign w:val="bottom"/>
          </w:tcPr>
          <w:p w14:paraId="0E4EC5FA" w14:textId="77777777" w:rsidR="004A0123" w:rsidRPr="00640447" w:rsidRDefault="004A0123" w:rsidP="008A5C11">
            <w:pPr>
              <w:jc w:val="center"/>
              <w:rPr>
                <w:sz w:val="13"/>
                <w:szCs w:val="13"/>
              </w:rPr>
            </w:pPr>
            <w:r w:rsidRPr="00640447">
              <w:rPr>
                <w:sz w:val="13"/>
                <w:szCs w:val="13"/>
              </w:rPr>
              <w:t>4,90</w:t>
            </w:r>
          </w:p>
        </w:tc>
        <w:tc>
          <w:tcPr>
            <w:tcW w:w="182" w:type="pct"/>
            <w:shd w:val="clear" w:color="auto" w:fill="auto"/>
            <w:tcMar>
              <w:left w:w="28" w:type="dxa"/>
              <w:right w:w="28" w:type="dxa"/>
            </w:tcMar>
            <w:vAlign w:val="bottom"/>
          </w:tcPr>
          <w:p w14:paraId="7F0DAF01" w14:textId="77777777" w:rsidR="004A0123" w:rsidRPr="00640447" w:rsidRDefault="004A0123" w:rsidP="008A5C11">
            <w:pPr>
              <w:jc w:val="center"/>
              <w:rPr>
                <w:sz w:val="13"/>
                <w:szCs w:val="13"/>
              </w:rPr>
            </w:pPr>
            <w:r w:rsidRPr="00640447">
              <w:rPr>
                <w:sz w:val="13"/>
                <w:szCs w:val="13"/>
              </w:rPr>
              <w:t>4,90</w:t>
            </w:r>
          </w:p>
        </w:tc>
        <w:tc>
          <w:tcPr>
            <w:tcW w:w="182" w:type="pct"/>
            <w:shd w:val="clear" w:color="auto" w:fill="auto"/>
            <w:tcMar>
              <w:left w:w="28" w:type="dxa"/>
              <w:right w:w="28" w:type="dxa"/>
            </w:tcMar>
            <w:vAlign w:val="bottom"/>
          </w:tcPr>
          <w:p w14:paraId="4AFFB97E" w14:textId="77777777" w:rsidR="004A0123" w:rsidRPr="00640447" w:rsidRDefault="004A0123" w:rsidP="008A5C11">
            <w:pPr>
              <w:jc w:val="center"/>
              <w:rPr>
                <w:sz w:val="13"/>
                <w:szCs w:val="13"/>
              </w:rPr>
            </w:pPr>
            <w:r w:rsidRPr="00640447">
              <w:rPr>
                <w:sz w:val="13"/>
                <w:szCs w:val="13"/>
              </w:rPr>
              <w:t>4,90</w:t>
            </w:r>
          </w:p>
        </w:tc>
        <w:tc>
          <w:tcPr>
            <w:tcW w:w="134" w:type="pct"/>
            <w:shd w:val="clear" w:color="auto" w:fill="auto"/>
            <w:vAlign w:val="bottom"/>
          </w:tcPr>
          <w:p w14:paraId="4F7BE1A0" w14:textId="77777777" w:rsidR="004A0123" w:rsidRPr="00640447" w:rsidRDefault="004A0123" w:rsidP="008A5C11">
            <w:pPr>
              <w:jc w:val="center"/>
              <w:rPr>
                <w:sz w:val="13"/>
                <w:szCs w:val="13"/>
              </w:rPr>
            </w:pPr>
            <w:r w:rsidRPr="00640447">
              <w:rPr>
                <w:sz w:val="13"/>
                <w:szCs w:val="13"/>
              </w:rPr>
              <w:t>4,90</w:t>
            </w:r>
          </w:p>
        </w:tc>
      </w:tr>
      <w:tr w:rsidR="004A0123" w:rsidRPr="00640447" w14:paraId="286AF1BC" w14:textId="77777777" w:rsidTr="008A5C11">
        <w:trPr>
          <w:trHeight w:val="148"/>
          <w:jc w:val="center"/>
        </w:trPr>
        <w:tc>
          <w:tcPr>
            <w:tcW w:w="134" w:type="pct"/>
            <w:tcMar>
              <w:top w:w="62" w:type="dxa"/>
              <w:left w:w="28" w:type="dxa"/>
              <w:bottom w:w="102" w:type="dxa"/>
              <w:right w:w="28" w:type="dxa"/>
            </w:tcMar>
            <w:vAlign w:val="center"/>
          </w:tcPr>
          <w:p w14:paraId="2DE8A703" w14:textId="77777777" w:rsidR="004A0123" w:rsidRPr="00640447" w:rsidRDefault="004A0123" w:rsidP="008A5C11">
            <w:pPr>
              <w:jc w:val="center"/>
              <w:rPr>
                <w:sz w:val="13"/>
                <w:szCs w:val="13"/>
              </w:rPr>
            </w:pPr>
            <w:r w:rsidRPr="00640447">
              <w:rPr>
                <w:sz w:val="13"/>
                <w:szCs w:val="13"/>
              </w:rPr>
              <w:t>4</w:t>
            </w:r>
          </w:p>
        </w:tc>
        <w:tc>
          <w:tcPr>
            <w:tcW w:w="524" w:type="pct"/>
            <w:tcMar>
              <w:top w:w="62" w:type="dxa"/>
              <w:left w:w="28" w:type="dxa"/>
              <w:bottom w:w="102" w:type="dxa"/>
              <w:right w:w="28" w:type="dxa"/>
            </w:tcMar>
            <w:vAlign w:val="center"/>
          </w:tcPr>
          <w:p w14:paraId="515BEE1D" w14:textId="77777777" w:rsidR="004A0123" w:rsidRPr="00640447" w:rsidRDefault="004A0123" w:rsidP="008A5C11">
            <w:pPr>
              <w:jc w:val="center"/>
              <w:rPr>
                <w:sz w:val="13"/>
                <w:szCs w:val="13"/>
              </w:rPr>
            </w:pPr>
            <w:r w:rsidRPr="00640447">
              <w:rPr>
                <w:sz w:val="13"/>
                <w:szCs w:val="13"/>
              </w:rPr>
              <w:t>Котельная «Привокзальная»</w:t>
            </w:r>
          </w:p>
        </w:tc>
        <w:tc>
          <w:tcPr>
            <w:tcW w:w="320" w:type="pct"/>
            <w:shd w:val="clear" w:color="auto" w:fill="auto"/>
            <w:tcMar>
              <w:left w:w="28" w:type="dxa"/>
              <w:right w:w="28" w:type="dxa"/>
            </w:tcMar>
            <w:vAlign w:val="bottom"/>
          </w:tcPr>
          <w:p w14:paraId="4ECAA813" w14:textId="77777777" w:rsidR="004A0123" w:rsidRPr="00640447" w:rsidRDefault="004A0123" w:rsidP="008A5C11">
            <w:pPr>
              <w:jc w:val="center"/>
              <w:rPr>
                <w:sz w:val="13"/>
                <w:szCs w:val="13"/>
              </w:rPr>
            </w:pPr>
            <w:r w:rsidRPr="00640447">
              <w:rPr>
                <w:sz w:val="13"/>
                <w:szCs w:val="13"/>
              </w:rPr>
              <w:t>2,72</w:t>
            </w:r>
          </w:p>
        </w:tc>
        <w:tc>
          <w:tcPr>
            <w:tcW w:w="187" w:type="pct"/>
            <w:shd w:val="clear" w:color="auto" w:fill="auto"/>
            <w:tcMar>
              <w:left w:w="28" w:type="dxa"/>
              <w:right w:w="28" w:type="dxa"/>
            </w:tcMar>
            <w:vAlign w:val="bottom"/>
          </w:tcPr>
          <w:p w14:paraId="4F9EBD10" w14:textId="77777777" w:rsidR="004A0123" w:rsidRPr="00640447" w:rsidRDefault="004A0123" w:rsidP="008A5C11">
            <w:pPr>
              <w:jc w:val="center"/>
              <w:rPr>
                <w:sz w:val="13"/>
                <w:szCs w:val="13"/>
              </w:rPr>
            </w:pPr>
            <w:r w:rsidRPr="00640447">
              <w:rPr>
                <w:sz w:val="13"/>
                <w:szCs w:val="13"/>
              </w:rPr>
              <w:t>2,72</w:t>
            </w:r>
          </w:p>
        </w:tc>
        <w:tc>
          <w:tcPr>
            <w:tcW w:w="193" w:type="pct"/>
            <w:shd w:val="clear" w:color="auto" w:fill="auto"/>
            <w:tcMar>
              <w:left w:w="28" w:type="dxa"/>
              <w:right w:w="28" w:type="dxa"/>
            </w:tcMar>
            <w:vAlign w:val="bottom"/>
          </w:tcPr>
          <w:p w14:paraId="17C7F8B0" w14:textId="77777777" w:rsidR="004A0123" w:rsidRPr="00640447" w:rsidRDefault="004A0123" w:rsidP="008A5C11">
            <w:pPr>
              <w:jc w:val="center"/>
              <w:rPr>
                <w:sz w:val="13"/>
                <w:szCs w:val="13"/>
              </w:rPr>
            </w:pPr>
            <w:r w:rsidRPr="00640447">
              <w:rPr>
                <w:sz w:val="13"/>
                <w:szCs w:val="13"/>
              </w:rPr>
              <w:t>2,72</w:t>
            </w:r>
          </w:p>
        </w:tc>
        <w:tc>
          <w:tcPr>
            <w:tcW w:w="193" w:type="pct"/>
            <w:shd w:val="clear" w:color="auto" w:fill="auto"/>
            <w:tcMar>
              <w:left w:w="28" w:type="dxa"/>
              <w:right w:w="28" w:type="dxa"/>
            </w:tcMar>
            <w:vAlign w:val="bottom"/>
          </w:tcPr>
          <w:p w14:paraId="6D9C44A9" w14:textId="77777777" w:rsidR="004A0123" w:rsidRPr="00640447" w:rsidRDefault="004A0123" w:rsidP="008A5C11">
            <w:pPr>
              <w:jc w:val="center"/>
              <w:rPr>
                <w:sz w:val="13"/>
                <w:szCs w:val="13"/>
              </w:rPr>
            </w:pPr>
            <w:r w:rsidRPr="00640447">
              <w:rPr>
                <w:sz w:val="13"/>
                <w:szCs w:val="13"/>
              </w:rPr>
              <w:t>2,72</w:t>
            </w:r>
          </w:p>
        </w:tc>
        <w:tc>
          <w:tcPr>
            <w:tcW w:w="193" w:type="pct"/>
            <w:shd w:val="clear" w:color="auto" w:fill="auto"/>
            <w:vAlign w:val="bottom"/>
          </w:tcPr>
          <w:p w14:paraId="1F030799" w14:textId="77777777" w:rsidR="004A0123" w:rsidRPr="00640447" w:rsidRDefault="004A0123" w:rsidP="008A5C11">
            <w:pPr>
              <w:jc w:val="center"/>
              <w:rPr>
                <w:sz w:val="13"/>
                <w:szCs w:val="13"/>
              </w:rPr>
            </w:pPr>
            <w:r w:rsidRPr="00640447">
              <w:rPr>
                <w:sz w:val="13"/>
                <w:szCs w:val="13"/>
              </w:rPr>
              <w:t>2,72</w:t>
            </w:r>
          </w:p>
        </w:tc>
        <w:tc>
          <w:tcPr>
            <w:tcW w:w="182" w:type="pct"/>
            <w:shd w:val="clear" w:color="auto" w:fill="auto"/>
            <w:vAlign w:val="bottom"/>
          </w:tcPr>
          <w:p w14:paraId="52474A54" w14:textId="77777777" w:rsidR="004A0123" w:rsidRPr="00640447" w:rsidRDefault="004A0123" w:rsidP="008A5C11">
            <w:pPr>
              <w:jc w:val="center"/>
              <w:rPr>
                <w:sz w:val="13"/>
                <w:szCs w:val="13"/>
              </w:rPr>
            </w:pPr>
            <w:r w:rsidRPr="00640447">
              <w:rPr>
                <w:sz w:val="13"/>
                <w:szCs w:val="13"/>
              </w:rPr>
              <w:t>2,72</w:t>
            </w:r>
          </w:p>
        </w:tc>
        <w:tc>
          <w:tcPr>
            <w:tcW w:w="182" w:type="pct"/>
            <w:shd w:val="clear" w:color="auto" w:fill="auto"/>
            <w:tcMar>
              <w:left w:w="28" w:type="dxa"/>
              <w:right w:w="28" w:type="dxa"/>
            </w:tcMar>
            <w:vAlign w:val="bottom"/>
          </w:tcPr>
          <w:p w14:paraId="13FB58E0" w14:textId="77777777" w:rsidR="004A0123" w:rsidRPr="00640447" w:rsidRDefault="004A0123" w:rsidP="008A5C11">
            <w:pPr>
              <w:jc w:val="center"/>
              <w:rPr>
                <w:sz w:val="13"/>
                <w:szCs w:val="13"/>
              </w:rPr>
            </w:pPr>
            <w:r w:rsidRPr="00640447">
              <w:rPr>
                <w:sz w:val="13"/>
                <w:szCs w:val="13"/>
              </w:rPr>
              <w:t>2,72</w:t>
            </w:r>
          </w:p>
        </w:tc>
        <w:tc>
          <w:tcPr>
            <w:tcW w:w="182" w:type="pct"/>
            <w:shd w:val="clear" w:color="auto" w:fill="auto"/>
            <w:tcMar>
              <w:left w:w="28" w:type="dxa"/>
              <w:right w:w="28" w:type="dxa"/>
            </w:tcMar>
            <w:vAlign w:val="bottom"/>
          </w:tcPr>
          <w:p w14:paraId="2C8D537B" w14:textId="77777777" w:rsidR="004A0123" w:rsidRPr="00640447" w:rsidRDefault="004A0123" w:rsidP="008A5C11">
            <w:pPr>
              <w:jc w:val="center"/>
              <w:rPr>
                <w:sz w:val="13"/>
                <w:szCs w:val="13"/>
              </w:rPr>
            </w:pPr>
            <w:r w:rsidRPr="00640447">
              <w:rPr>
                <w:sz w:val="13"/>
                <w:szCs w:val="13"/>
              </w:rPr>
              <w:t>2,72</w:t>
            </w:r>
          </w:p>
        </w:tc>
        <w:tc>
          <w:tcPr>
            <w:tcW w:w="182" w:type="pct"/>
            <w:shd w:val="clear" w:color="auto" w:fill="auto"/>
            <w:tcMar>
              <w:left w:w="28" w:type="dxa"/>
              <w:right w:w="28" w:type="dxa"/>
            </w:tcMar>
            <w:vAlign w:val="bottom"/>
          </w:tcPr>
          <w:p w14:paraId="44C861D0" w14:textId="77777777" w:rsidR="004A0123" w:rsidRPr="00640447" w:rsidRDefault="004A0123" w:rsidP="008A5C11">
            <w:pPr>
              <w:jc w:val="center"/>
              <w:rPr>
                <w:sz w:val="13"/>
                <w:szCs w:val="13"/>
              </w:rPr>
            </w:pPr>
            <w:r w:rsidRPr="00640447">
              <w:rPr>
                <w:sz w:val="13"/>
                <w:szCs w:val="13"/>
              </w:rPr>
              <w:t>2,72</w:t>
            </w:r>
          </w:p>
        </w:tc>
        <w:tc>
          <w:tcPr>
            <w:tcW w:w="182" w:type="pct"/>
            <w:shd w:val="clear" w:color="auto" w:fill="auto"/>
            <w:tcMar>
              <w:left w:w="28" w:type="dxa"/>
              <w:right w:w="28" w:type="dxa"/>
            </w:tcMar>
            <w:vAlign w:val="bottom"/>
          </w:tcPr>
          <w:p w14:paraId="565D3104" w14:textId="77777777" w:rsidR="004A0123" w:rsidRPr="00640447" w:rsidRDefault="004A0123" w:rsidP="008A5C11">
            <w:pPr>
              <w:jc w:val="center"/>
              <w:rPr>
                <w:sz w:val="13"/>
                <w:szCs w:val="13"/>
              </w:rPr>
            </w:pPr>
            <w:r w:rsidRPr="00640447">
              <w:rPr>
                <w:sz w:val="13"/>
                <w:szCs w:val="13"/>
              </w:rPr>
              <w:t>2,72</w:t>
            </w:r>
          </w:p>
        </w:tc>
        <w:tc>
          <w:tcPr>
            <w:tcW w:w="206" w:type="pct"/>
            <w:shd w:val="clear" w:color="auto" w:fill="auto"/>
            <w:vAlign w:val="bottom"/>
          </w:tcPr>
          <w:p w14:paraId="502E5918" w14:textId="77777777" w:rsidR="004A0123" w:rsidRPr="00640447" w:rsidRDefault="004A0123" w:rsidP="008A5C11">
            <w:pPr>
              <w:jc w:val="center"/>
              <w:rPr>
                <w:sz w:val="13"/>
                <w:szCs w:val="13"/>
              </w:rPr>
            </w:pPr>
            <w:r w:rsidRPr="00640447">
              <w:rPr>
                <w:sz w:val="13"/>
                <w:szCs w:val="13"/>
              </w:rPr>
              <w:t>2,72</w:t>
            </w:r>
          </w:p>
        </w:tc>
        <w:tc>
          <w:tcPr>
            <w:tcW w:w="368" w:type="pct"/>
            <w:shd w:val="clear" w:color="auto" w:fill="auto"/>
            <w:tcMar>
              <w:left w:w="28" w:type="dxa"/>
              <w:right w:w="28" w:type="dxa"/>
            </w:tcMar>
            <w:vAlign w:val="bottom"/>
          </w:tcPr>
          <w:p w14:paraId="1D1CC41D" w14:textId="77777777" w:rsidR="004A0123" w:rsidRPr="00640447" w:rsidRDefault="004A0123" w:rsidP="008A5C11">
            <w:pPr>
              <w:jc w:val="center"/>
              <w:rPr>
                <w:sz w:val="13"/>
                <w:szCs w:val="13"/>
              </w:rPr>
            </w:pPr>
            <w:r w:rsidRPr="00640447">
              <w:rPr>
                <w:sz w:val="13"/>
                <w:szCs w:val="13"/>
              </w:rPr>
              <w:t>4,30</w:t>
            </w:r>
          </w:p>
        </w:tc>
        <w:tc>
          <w:tcPr>
            <w:tcW w:w="182" w:type="pct"/>
            <w:shd w:val="clear" w:color="auto" w:fill="auto"/>
            <w:tcMar>
              <w:left w:w="28" w:type="dxa"/>
              <w:right w:w="28" w:type="dxa"/>
            </w:tcMar>
            <w:vAlign w:val="bottom"/>
          </w:tcPr>
          <w:p w14:paraId="739C5091" w14:textId="77777777" w:rsidR="004A0123" w:rsidRPr="00640447" w:rsidRDefault="004A0123" w:rsidP="008A5C11">
            <w:pPr>
              <w:jc w:val="center"/>
              <w:rPr>
                <w:sz w:val="13"/>
                <w:szCs w:val="13"/>
              </w:rPr>
            </w:pPr>
            <w:r w:rsidRPr="00640447">
              <w:rPr>
                <w:sz w:val="13"/>
                <w:szCs w:val="13"/>
              </w:rPr>
              <w:t>4,30</w:t>
            </w:r>
          </w:p>
        </w:tc>
        <w:tc>
          <w:tcPr>
            <w:tcW w:w="182" w:type="pct"/>
            <w:shd w:val="clear" w:color="auto" w:fill="auto"/>
            <w:tcMar>
              <w:left w:w="28" w:type="dxa"/>
              <w:right w:w="28" w:type="dxa"/>
            </w:tcMar>
            <w:vAlign w:val="bottom"/>
          </w:tcPr>
          <w:p w14:paraId="4ECBC82E" w14:textId="77777777" w:rsidR="004A0123" w:rsidRPr="00640447" w:rsidRDefault="004A0123" w:rsidP="008A5C11">
            <w:pPr>
              <w:jc w:val="center"/>
              <w:rPr>
                <w:sz w:val="13"/>
                <w:szCs w:val="13"/>
              </w:rPr>
            </w:pPr>
            <w:r w:rsidRPr="00640447">
              <w:rPr>
                <w:sz w:val="13"/>
                <w:szCs w:val="13"/>
              </w:rPr>
              <w:t>4,30</w:t>
            </w:r>
          </w:p>
        </w:tc>
        <w:tc>
          <w:tcPr>
            <w:tcW w:w="182" w:type="pct"/>
            <w:shd w:val="clear" w:color="auto" w:fill="auto"/>
            <w:tcMar>
              <w:left w:w="28" w:type="dxa"/>
              <w:right w:w="28" w:type="dxa"/>
            </w:tcMar>
            <w:vAlign w:val="bottom"/>
          </w:tcPr>
          <w:p w14:paraId="7ACB7023" w14:textId="77777777" w:rsidR="004A0123" w:rsidRPr="00640447" w:rsidRDefault="004A0123" w:rsidP="008A5C11">
            <w:pPr>
              <w:jc w:val="center"/>
              <w:rPr>
                <w:sz w:val="13"/>
                <w:szCs w:val="13"/>
              </w:rPr>
            </w:pPr>
            <w:r w:rsidRPr="00640447">
              <w:rPr>
                <w:sz w:val="13"/>
                <w:szCs w:val="13"/>
              </w:rPr>
              <w:t>4,30</w:t>
            </w:r>
          </w:p>
        </w:tc>
        <w:tc>
          <w:tcPr>
            <w:tcW w:w="182" w:type="pct"/>
            <w:shd w:val="clear" w:color="auto" w:fill="auto"/>
            <w:vAlign w:val="bottom"/>
          </w:tcPr>
          <w:p w14:paraId="6999F057" w14:textId="77777777" w:rsidR="004A0123" w:rsidRPr="00640447" w:rsidRDefault="004A0123" w:rsidP="008A5C11">
            <w:pPr>
              <w:jc w:val="center"/>
              <w:rPr>
                <w:sz w:val="13"/>
                <w:szCs w:val="13"/>
              </w:rPr>
            </w:pPr>
            <w:r w:rsidRPr="00640447">
              <w:rPr>
                <w:sz w:val="13"/>
                <w:szCs w:val="13"/>
              </w:rPr>
              <w:t>4,30</w:t>
            </w:r>
          </w:p>
        </w:tc>
        <w:tc>
          <w:tcPr>
            <w:tcW w:w="182" w:type="pct"/>
            <w:shd w:val="clear" w:color="auto" w:fill="auto"/>
            <w:vAlign w:val="bottom"/>
          </w:tcPr>
          <w:p w14:paraId="51A61CBC" w14:textId="77777777" w:rsidR="004A0123" w:rsidRPr="00640447" w:rsidRDefault="004A0123" w:rsidP="008A5C11">
            <w:pPr>
              <w:jc w:val="center"/>
              <w:rPr>
                <w:sz w:val="13"/>
                <w:szCs w:val="13"/>
              </w:rPr>
            </w:pPr>
            <w:r w:rsidRPr="00640447">
              <w:rPr>
                <w:sz w:val="13"/>
                <w:szCs w:val="13"/>
              </w:rPr>
              <w:t>4,30</w:t>
            </w:r>
          </w:p>
        </w:tc>
        <w:tc>
          <w:tcPr>
            <w:tcW w:w="182" w:type="pct"/>
            <w:shd w:val="clear" w:color="auto" w:fill="auto"/>
            <w:tcMar>
              <w:left w:w="28" w:type="dxa"/>
              <w:right w:w="28" w:type="dxa"/>
            </w:tcMar>
            <w:vAlign w:val="bottom"/>
          </w:tcPr>
          <w:p w14:paraId="6CA93E0C" w14:textId="77777777" w:rsidR="004A0123" w:rsidRPr="00640447" w:rsidRDefault="004A0123" w:rsidP="008A5C11">
            <w:pPr>
              <w:jc w:val="center"/>
              <w:rPr>
                <w:sz w:val="13"/>
                <w:szCs w:val="13"/>
              </w:rPr>
            </w:pPr>
            <w:r w:rsidRPr="00640447">
              <w:rPr>
                <w:sz w:val="13"/>
                <w:szCs w:val="13"/>
              </w:rPr>
              <w:t>4,30</w:t>
            </w:r>
          </w:p>
        </w:tc>
        <w:tc>
          <w:tcPr>
            <w:tcW w:w="182" w:type="pct"/>
            <w:shd w:val="clear" w:color="auto" w:fill="auto"/>
            <w:tcMar>
              <w:left w:w="28" w:type="dxa"/>
              <w:right w:w="28" w:type="dxa"/>
            </w:tcMar>
            <w:vAlign w:val="bottom"/>
          </w:tcPr>
          <w:p w14:paraId="33BE45D3" w14:textId="77777777" w:rsidR="004A0123" w:rsidRPr="00640447" w:rsidRDefault="004A0123" w:rsidP="008A5C11">
            <w:pPr>
              <w:jc w:val="center"/>
              <w:rPr>
                <w:sz w:val="13"/>
                <w:szCs w:val="13"/>
              </w:rPr>
            </w:pPr>
            <w:r w:rsidRPr="00640447">
              <w:rPr>
                <w:sz w:val="13"/>
                <w:szCs w:val="13"/>
              </w:rPr>
              <w:t>4,30</w:t>
            </w:r>
          </w:p>
        </w:tc>
        <w:tc>
          <w:tcPr>
            <w:tcW w:w="182" w:type="pct"/>
            <w:shd w:val="clear" w:color="auto" w:fill="auto"/>
            <w:tcMar>
              <w:left w:w="28" w:type="dxa"/>
              <w:right w:w="28" w:type="dxa"/>
            </w:tcMar>
            <w:vAlign w:val="bottom"/>
          </w:tcPr>
          <w:p w14:paraId="2589860C" w14:textId="77777777" w:rsidR="004A0123" w:rsidRPr="00640447" w:rsidRDefault="004A0123" w:rsidP="008A5C11">
            <w:pPr>
              <w:jc w:val="center"/>
              <w:rPr>
                <w:sz w:val="13"/>
                <w:szCs w:val="13"/>
              </w:rPr>
            </w:pPr>
            <w:r w:rsidRPr="00640447">
              <w:rPr>
                <w:sz w:val="13"/>
                <w:szCs w:val="13"/>
              </w:rPr>
              <w:t>4,30</w:t>
            </w:r>
          </w:p>
        </w:tc>
        <w:tc>
          <w:tcPr>
            <w:tcW w:w="182" w:type="pct"/>
            <w:shd w:val="clear" w:color="auto" w:fill="auto"/>
            <w:tcMar>
              <w:left w:w="28" w:type="dxa"/>
              <w:right w:w="28" w:type="dxa"/>
            </w:tcMar>
            <w:vAlign w:val="bottom"/>
          </w:tcPr>
          <w:p w14:paraId="27E83E65" w14:textId="77777777" w:rsidR="004A0123" w:rsidRPr="00640447" w:rsidRDefault="004A0123" w:rsidP="008A5C11">
            <w:pPr>
              <w:jc w:val="center"/>
              <w:rPr>
                <w:sz w:val="13"/>
                <w:szCs w:val="13"/>
              </w:rPr>
            </w:pPr>
            <w:r w:rsidRPr="00640447">
              <w:rPr>
                <w:sz w:val="13"/>
                <w:szCs w:val="13"/>
              </w:rPr>
              <w:t>4,30</w:t>
            </w:r>
          </w:p>
        </w:tc>
        <w:tc>
          <w:tcPr>
            <w:tcW w:w="134" w:type="pct"/>
            <w:shd w:val="clear" w:color="auto" w:fill="auto"/>
            <w:vAlign w:val="bottom"/>
          </w:tcPr>
          <w:p w14:paraId="13AE7FD6" w14:textId="77777777" w:rsidR="004A0123" w:rsidRPr="00640447" w:rsidRDefault="004A0123" w:rsidP="008A5C11">
            <w:pPr>
              <w:jc w:val="center"/>
              <w:rPr>
                <w:sz w:val="13"/>
                <w:szCs w:val="13"/>
              </w:rPr>
            </w:pPr>
            <w:r w:rsidRPr="00640447">
              <w:rPr>
                <w:sz w:val="13"/>
                <w:szCs w:val="13"/>
              </w:rPr>
              <w:t>4,30</w:t>
            </w:r>
          </w:p>
        </w:tc>
      </w:tr>
      <w:tr w:rsidR="004A0123" w:rsidRPr="00640447" w14:paraId="4ED21B07" w14:textId="77777777" w:rsidTr="008A5C11">
        <w:trPr>
          <w:trHeight w:val="148"/>
          <w:jc w:val="center"/>
        </w:trPr>
        <w:tc>
          <w:tcPr>
            <w:tcW w:w="134" w:type="pct"/>
            <w:tcMar>
              <w:top w:w="62" w:type="dxa"/>
              <w:left w:w="28" w:type="dxa"/>
              <w:bottom w:w="102" w:type="dxa"/>
              <w:right w:w="28" w:type="dxa"/>
            </w:tcMar>
            <w:vAlign w:val="center"/>
          </w:tcPr>
          <w:p w14:paraId="29C88D98" w14:textId="77777777" w:rsidR="004A0123" w:rsidRPr="00640447" w:rsidRDefault="004A0123" w:rsidP="008A5C11">
            <w:pPr>
              <w:jc w:val="center"/>
              <w:rPr>
                <w:sz w:val="13"/>
                <w:szCs w:val="13"/>
              </w:rPr>
            </w:pPr>
            <w:r w:rsidRPr="00640447">
              <w:rPr>
                <w:sz w:val="13"/>
                <w:szCs w:val="13"/>
              </w:rPr>
              <w:t>5</w:t>
            </w:r>
          </w:p>
        </w:tc>
        <w:tc>
          <w:tcPr>
            <w:tcW w:w="524" w:type="pct"/>
            <w:tcMar>
              <w:top w:w="62" w:type="dxa"/>
              <w:left w:w="28" w:type="dxa"/>
              <w:bottom w:w="102" w:type="dxa"/>
              <w:right w:w="28" w:type="dxa"/>
            </w:tcMar>
            <w:vAlign w:val="center"/>
          </w:tcPr>
          <w:p w14:paraId="0DECC0F6" w14:textId="77777777" w:rsidR="004A0123" w:rsidRPr="00640447" w:rsidRDefault="004A0123" w:rsidP="008A5C11">
            <w:pPr>
              <w:jc w:val="center"/>
              <w:rPr>
                <w:sz w:val="13"/>
                <w:szCs w:val="13"/>
              </w:rPr>
            </w:pPr>
            <w:r w:rsidRPr="00640447">
              <w:rPr>
                <w:sz w:val="13"/>
                <w:szCs w:val="13"/>
              </w:rPr>
              <w:t>Котельная шахты «7-е Ноября»</w:t>
            </w:r>
          </w:p>
        </w:tc>
        <w:tc>
          <w:tcPr>
            <w:tcW w:w="320" w:type="pct"/>
            <w:shd w:val="clear" w:color="auto" w:fill="auto"/>
            <w:tcMar>
              <w:left w:w="28" w:type="dxa"/>
              <w:right w:w="28" w:type="dxa"/>
            </w:tcMar>
            <w:vAlign w:val="bottom"/>
          </w:tcPr>
          <w:p w14:paraId="4EB34E72" w14:textId="77777777" w:rsidR="004A0123" w:rsidRPr="00640447" w:rsidRDefault="004A0123" w:rsidP="008A5C11">
            <w:pPr>
              <w:jc w:val="center"/>
              <w:rPr>
                <w:sz w:val="13"/>
                <w:szCs w:val="13"/>
              </w:rPr>
            </w:pPr>
            <w:r w:rsidRPr="00640447">
              <w:rPr>
                <w:sz w:val="13"/>
                <w:szCs w:val="13"/>
              </w:rPr>
              <w:t>2,63</w:t>
            </w:r>
          </w:p>
        </w:tc>
        <w:tc>
          <w:tcPr>
            <w:tcW w:w="187" w:type="pct"/>
            <w:shd w:val="clear" w:color="auto" w:fill="auto"/>
            <w:tcMar>
              <w:left w:w="28" w:type="dxa"/>
              <w:right w:w="28" w:type="dxa"/>
            </w:tcMar>
            <w:vAlign w:val="bottom"/>
          </w:tcPr>
          <w:p w14:paraId="4FD54447" w14:textId="77777777" w:rsidR="004A0123" w:rsidRPr="00640447" w:rsidRDefault="004A0123" w:rsidP="008A5C11">
            <w:pPr>
              <w:jc w:val="center"/>
              <w:rPr>
                <w:sz w:val="13"/>
                <w:szCs w:val="13"/>
              </w:rPr>
            </w:pPr>
            <w:r w:rsidRPr="00640447">
              <w:rPr>
                <w:sz w:val="13"/>
                <w:szCs w:val="13"/>
              </w:rPr>
              <w:t>2,63</w:t>
            </w:r>
          </w:p>
        </w:tc>
        <w:tc>
          <w:tcPr>
            <w:tcW w:w="193" w:type="pct"/>
            <w:shd w:val="clear" w:color="auto" w:fill="auto"/>
            <w:tcMar>
              <w:left w:w="28" w:type="dxa"/>
              <w:right w:w="28" w:type="dxa"/>
            </w:tcMar>
            <w:vAlign w:val="bottom"/>
          </w:tcPr>
          <w:p w14:paraId="43A941F7" w14:textId="77777777" w:rsidR="004A0123" w:rsidRPr="00640447" w:rsidRDefault="004A0123" w:rsidP="008A5C11">
            <w:pPr>
              <w:jc w:val="center"/>
              <w:rPr>
                <w:sz w:val="13"/>
                <w:szCs w:val="13"/>
              </w:rPr>
            </w:pPr>
            <w:r w:rsidRPr="00640447">
              <w:rPr>
                <w:sz w:val="13"/>
                <w:szCs w:val="13"/>
              </w:rPr>
              <w:t>2,63</w:t>
            </w:r>
          </w:p>
        </w:tc>
        <w:tc>
          <w:tcPr>
            <w:tcW w:w="193" w:type="pct"/>
            <w:shd w:val="clear" w:color="auto" w:fill="auto"/>
            <w:tcMar>
              <w:left w:w="28" w:type="dxa"/>
              <w:right w:w="28" w:type="dxa"/>
            </w:tcMar>
            <w:vAlign w:val="bottom"/>
          </w:tcPr>
          <w:p w14:paraId="4F548954" w14:textId="77777777" w:rsidR="004A0123" w:rsidRPr="00640447" w:rsidRDefault="004A0123" w:rsidP="008A5C11">
            <w:pPr>
              <w:jc w:val="center"/>
              <w:rPr>
                <w:sz w:val="13"/>
                <w:szCs w:val="13"/>
              </w:rPr>
            </w:pPr>
            <w:r w:rsidRPr="00640447">
              <w:rPr>
                <w:sz w:val="13"/>
                <w:szCs w:val="13"/>
              </w:rPr>
              <w:t>2,63</w:t>
            </w:r>
          </w:p>
        </w:tc>
        <w:tc>
          <w:tcPr>
            <w:tcW w:w="193" w:type="pct"/>
            <w:shd w:val="clear" w:color="auto" w:fill="auto"/>
            <w:vAlign w:val="bottom"/>
          </w:tcPr>
          <w:p w14:paraId="79254B3B" w14:textId="77777777" w:rsidR="004A0123" w:rsidRPr="00640447" w:rsidRDefault="004A0123" w:rsidP="008A5C11">
            <w:pPr>
              <w:jc w:val="center"/>
              <w:rPr>
                <w:sz w:val="13"/>
                <w:szCs w:val="13"/>
              </w:rPr>
            </w:pPr>
            <w:r w:rsidRPr="00640447">
              <w:rPr>
                <w:sz w:val="13"/>
                <w:szCs w:val="13"/>
              </w:rPr>
              <w:t>2,63</w:t>
            </w:r>
          </w:p>
        </w:tc>
        <w:tc>
          <w:tcPr>
            <w:tcW w:w="182" w:type="pct"/>
            <w:shd w:val="clear" w:color="auto" w:fill="auto"/>
            <w:vAlign w:val="bottom"/>
          </w:tcPr>
          <w:p w14:paraId="26C40FF8" w14:textId="77777777" w:rsidR="004A0123" w:rsidRPr="00640447" w:rsidRDefault="004A0123" w:rsidP="008A5C11">
            <w:pPr>
              <w:jc w:val="center"/>
              <w:rPr>
                <w:sz w:val="13"/>
                <w:szCs w:val="13"/>
              </w:rPr>
            </w:pPr>
            <w:r w:rsidRPr="00640447">
              <w:rPr>
                <w:sz w:val="13"/>
                <w:szCs w:val="13"/>
              </w:rPr>
              <w:t>2,63</w:t>
            </w:r>
          </w:p>
        </w:tc>
        <w:tc>
          <w:tcPr>
            <w:tcW w:w="182" w:type="pct"/>
            <w:shd w:val="clear" w:color="auto" w:fill="auto"/>
            <w:tcMar>
              <w:left w:w="28" w:type="dxa"/>
              <w:right w:w="28" w:type="dxa"/>
            </w:tcMar>
            <w:vAlign w:val="bottom"/>
          </w:tcPr>
          <w:p w14:paraId="4AA5688C" w14:textId="77777777" w:rsidR="004A0123" w:rsidRPr="00640447" w:rsidRDefault="004A0123" w:rsidP="008A5C11">
            <w:pPr>
              <w:jc w:val="center"/>
              <w:rPr>
                <w:sz w:val="13"/>
                <w:szCs w:val="13"/>
              </w:rPr>
            </w:pPr>
            <w:r w:rsidRPr="00640447">
              <w:rPr>
                <w:sz w:val="13"/>
                <w:szCs w:val="13"/>
              </w:rPr>
              <w:t>2,63</w:t>
            </w:r>
          </w:p>
        </w:tc>
        <w:tc>
          <w:tcPr>
            <w:tcW w:w="182" w:type="pct"/>
            <w:shd w:val="clear" w:color="auto" w:fill="auto"/>
            <w:tcMar>
              <w:left w:w="28" w:type="dxa"/>
              <w:right w:w="28" w:type="dxa"/>
            </w:tcMar>
            <w:vAlign w:val="bottom"/>
          </w:tcPr>
          <w:p w14:paraId="46A89954" w14:textId="77777777" w:rsidR="004A0123" w:rsidRPr="00640447" w:rsidRDefault="004A0123" w:rsidP="008A5C11">
            <w:pPr>
              <w:jc w:val="center"/>
              <w:rPr>
                <w:sz w:val="13"/>
                <w:szCs w:val="13"/>
              </w:rPr>
            </w:pPr>
            <w:r w:rsidRPr="00640447">
              <w:rPr>
                <w:sz w:val="13"/>
                <w:szCs w:val="13"/>
              </w:rPr>
              <w:t>2,63</w:t>
            </w:r>
          </w:p>
        </w:tc>
        <w:tc>
          <w:tcPr>
            <w:tcW w:w="182" w:type="pct"/>
            <w:shd w:val="clear" w:color="auto" w:fill="auto"/>
            <w:tcMar>
              <w:left w:w="28" w:type="dxa"/>
              <w:right w:w="28" w:type="dxa"/>
            </w:tcMar>
            <w:vAlign w:val="bottom"/>
          </w:tcPr>
          <w:p w14:paraId="4D0EF685" w14:textId="77777777" w:rsidR="004A0123" w:rsidRPr="00640447" w:rsidRDefault="004A0123" w:rsidP="008A5C11">
            <w:pPr>
              <w:jc w:val="center"/>
              <w:rPr>
                <w:sz w:val="13"/>
                <w:szCs w:val="13"/>
              </w:rPr>
            </w:pPr>
            <w:r w:rsidRPr="00640447">
              <w:rPr>
                <w:sz w:val="13"/>
                <w:szCs w:val="13"/>
              </w:rPr>
              <w:t>2,63</w:t>
            </w:r>
          </w:p>
        </w:tc>
        <w:tc>
          <w:tcPr>
            <w:tcW w:w="182" w:type="pct"/>
            <w:shd w:val="clear" w:color="auto" w:fill="auto"/>
            <w:tcMar>
              <w:left w:w="28" w:type="dxa"/>
              <w:right w:w="28" w:type="dxa"/>
            </w:tcMar>
            <w:vAlign w:val="bottom"/>
          </w:tcPr>
          <w:p w14:paraId="52141F56" w14:textId="77777777" w:rsidR="004A0123" w:rsidRPr="00640447" w:rsidRDefault="004A0123" w:rsidP="008A5C11">
            <w:pPr>
              <w:jc w:val="center"/>
              <w:rPr>
                <w:sz w:val="13"/>
                <w:szCs w:val="13"/>
              </w:rPr>
            </w:pPr>
            <w:r w:rsidRPr="00640447">
              <w:rPr>
                <w:sz w:val="13"/>
                <w:szCs w:val="13"/>
              </w:rPr>
              <w:t>2,63</w:t>
            </w:r>
          </w:p>
        </w:tc>
        <w:tc>
          <w:tcPr>
            <w:tcW w:w="206" w:type="pct"/>
            <w:shd w:val="clear" w:color="auto" w:fill="auto"/>
            <w:vAlign w:val="bottom"/>
          </w:tcPr>
          <w:p w14:paraId="690309F8" w14:textId="77777777" w:rsidR="004A0123" w:rsidRPr="00640447" w:rsidRDefault="004A0123" w:rsidP="008A5C11">
            <w:pPr>
              <w:jc w:val="center"/>
              <w:rPr>
                <w:sz w:val="13"/>
                <w:szCs w:val="13"/>
              </w:rPr>
            </w:pPr>
            <w:r w:rsidRPr="00640447">
              <w:rPr>
                <w:sz w:val="13"/>
                <w:szCs w:val="13"/>
              </w:rPr>
              <w:t>2,63</w:t>
            </w:r>
          </w:p>
        </w:tc>
        <w:tc>
          <w:tcPr>
            <w:tcW w:w="368" w:type="pct"/>
            <w:shd w:val="clear" w:color="auto" w:fill="auto"/>
            <w:tcMar>
              <w:left w:w="28" w:type="dxa"/>
              <w:right w:w="28" w:type="dxa"/>
            </w:tcMar>
            <w:vAlign w:val="bottom"/>
          </w:tcPr>
          <w:p w14:paraId="34A2663B" w14:textId="77777777" w:rsidR="004A0123" w:rsidRPr="00640447" w:rsidRDefault="004A0123" w:rsidP="008A5C11">
            <w:pPr>
              <w:jc w:val="center"/>
              <w:rPr>
                <w:sz w:val="13"/>
                <w:szCs w:val="13"/>
              </w:rPr>
            </w:pPr>
            <w:r w:rsidRPr="00640447">
              <w:rPr>
                <w:sz w:val="13"/>
                <w:szCs w:val="13"/>
              </w:rPr>
              <w:t>3,70</w:t>
            </w:r>
          </w:p>
        </w:tc>
        <w:tc>
          <w:tcPr>
            <w:tcW w:w="182" w:type="pct"/>
            <w:shd w:val="clear" w:color="auto" w:fill="auto"/>
            <w:tcMar>
              <w:left w:w="28" w:type="dxa"/>
              <w:right w:w="28" w:type="dxa"/>
            </w:tcMar>
            <w:vAlign w:val="bottom"/>
          </w:tcPr>
          <w:p w14:paraId="5538B7EE" w14:textId="77777777" w:rsidR="004A0123" w:rsidRPr="00640447" w:rsidRDefault="004A0123" w:rsidP="008A5C11">
            <w:pPr>
              <w:jc w:val="right"/>
              <w:rPr>
                <w:sz w:val="13"/>
                <w:szCs w:val="13"/>
              </w:rPr>
            </w:pPr>
            <w:r w:rsidRPr="00640447">
              <w:rPr>
                <w:sz w:val="13"/>
                <w:szCs w:val="13"/>
              </w:rPr>
              <w:t>3,70</w:t>
            </w:r>
          </w:p>
        </w:tc>
        <w:tc>
          <w:tcPr>
            <w:tcW w:w="182" w:type="pct"/>
            <w:shd w:val="clear" w:color="auto" w:fill="auto"/>
            <w:tcMar>
              <w:left w:w="28" w:type="dxa"/>
              <w:right w:w="28" w:type="dxa"/>
            </w:tcMar>
            <w:vAlign w:val="bottom"/>
          </w:tcPr>
          <w:p w14:paraId="7BF4FEC6" w14:textId="77777777" w:rsidR="004A0123" w:rsidRPr="00640447" w:rsidRDefault="004A0123" w:rsidP="008A5C11">
            <w:pPr>
              <w:jc w:val="center"/>
              <w:rPr>
                <w:sz w:val="13"/>
                <w:szCs w:val="13"/>
              </w:rPr>
            </w:pPr>
            <w:r w:rsidRPr="00640447">
              <w:rPr>
                <w:sz w:val="13"/>
                <w:szCs w:val="13"/>
              </w:rPr>
              <w:t>3,70</w:t>
            </w:r>
          </w:p>
        </w:tc>
        <w:tc>
          <w:tcPr>
            <w:tcW w:w="182" w:type="pct"/>
            <w:shd w:val="clear" w:color="auto" w:fill="auto"/>
            <w:tcMar>
              <w:left w:w="28" w:type="dxa"/>
              <w:right w:w="28" w:type="dxa"/>
            </w:tcMar>
            <w:vAlign w:val="bottom"/>
          </w:tcPr>
          <w:p w14:paraId="00DEDF8E" w14:textId="77777777" w:rsidR="004A0123" w:rsidRPr="00640447" w:rsidRDefault="004A0123" w:rsidP="008A5C11">
            <w:pPr>
              <w:jc w:val="center"/>
              <w:rPr>
                <w:sz w:val="13"/>
                <w:szCs w:val="13"/>
              </w:rPr>
            </w:pPr>
            <w:r w:rsidRPr="00640447">
              <w:rPr>
                <w:sz w:val="13"/>
                <w:szCs w:val="13"/>
              </w:rPr>
              <w:t>3,70</w:t>
            </w:r>
          </w:p>
        </w:tc>
        <w:tc>
          <w:tcPr>
            <w:tcW w:w="182" w:type="pct"/>
            <w:shd w:val="clear" w:color="auto" w:fill="auto"/>
            <w:vAlign w:val="bottom"/>
          </w:tcPr>
          <w:p w14:paraId="0132F42D" w14:textId="77777777" w:rsidR="004A0123" w:rsidRPr="00640447" w:rsidRDefault="004A0123" w:rsidP="008A5C11">
            <w:pPr>
              <w:jc w:val="center"/>
              <w:rPr>
                <w:sz w:val="13"/>
                <w:szCs w:val="13"/>
              </w:rPr>
            </w:pPr>
            <w:r w:rsidRPr="00640447">
              <w:rPr>
                <w:sz w:val="13"/>
                <w:szCs w:val="13"/>
              </w:rPr>
              <w:t>3,70</w:t>
            </w:r>
          </w:p>
        </w:tc>
        <w:tc>
          <w:tcPr>
            <w:tcW w:w="182" w:type="pct"/>
            <w:shd w:val="clear" w:color="auto" w:fill="auto"/>
            <w:vAlign w:val="bottom"/>
          </w:tcPr>
          <w:p w14:paraId="1ACE0E8F" w14:textId="77777777" w:rsidR="004A0123" w:rsidRPr="00640447" w:rsidRDefault="004A0123" w:rsidP="008A5C11">
            <w:pPr>
              <w:jc w:val="center"/>
              <w:rPr>
                <w:sz w:val="13"/>
                <w:szCs w:val="13"/>
              </w:rPr>
            </w:pPr>
            <w:r w:rsidRPr="00640447">
              <w:rPr>
                <w:sz w:val="13"/>
                <w:szCs w:val="13"/>
              </w:rPr>
              <w:t>3,70</w:t>
            </w:r>
          </w:p>
        </w:tc>
        <w:tc>
          <w:tcPr>
            <w:tcW w:w="182" w:type="pct"/>
            <w:shd w:val="clear" w:color="auto" w:fill="auto"/>
            <w:tcMar>
              <w:left w:w="28" w:type="dxa"/>
              <w:right w:w="28" w:type="dxa"/>
            </w:tcMar>
            <w:vAlign w:val="bottom"/>
          </w:tcPr>
          <w:p w14:paraId="6E11495E" w14:textId="77777777" w:rsidR="004A0123" w:rsidRPr="00640447" w:rsidRDefault="004A0123" w:rsidP="008A5C11">
            <w:pPr>
              <w:jc w:val="center"/>
              <w:rPr>
                <w:sz w:val="13"/>
                <w:szCs w:val="13"/>
              </w:rPr>
            </w:pPr>
            <w:r w:rsidRPr="00640447">
              <w:rPr>
                <w:sz w:val="13"/>
                <w:szCs w:val="13"/>
              </w:rPr>
              <w:t>3,70</w:t>
            </w:r>
          </w:p>
        </w:tc>
        <w:tc>
          <w:tcPr>
            <w:tcW w:w="182" w:type="pct"/>
            <w:shd w:val="clear" w:color="auto" w:fill="auto"/>
            <w:tcMar>
              <w:left w:w="28" w:type="dxa"/>
              <w:right w:w="28" w:type="dxa"/>
            </w:tcMar>
            <w:vAlign w:val="bottom"/>
          </w:tcPr>
          <w:p w14:paraId="28387C4B" w14:textId="77777777" w:rsidR="004A0123" w:rsidRPr="00640447" w:rsidRDefault="004A0123" w:rsidP="008A5C11">
            <w:pPr>
              <w:jc w:val="center"/>
              <w:rPr>
                <w:sz w:val="13"/>
                <w:szCs w:val="13"/>
              </w:rPr>
            </w:pPr>
            <w:r w:rsidRPr="00640447">
              <w:rPr>
                <w:sz w:val="13"/>
                <w:szCs w:val="13"/>
              </w:rPr>
              <w:t>3,70</w:t>
            </w:r>
          </w:p>
        </w:tc>
        <w:tc>
          <w:tcPr>
            <w:tcW w:w="182" w:type="pct"/>
            <w:shd w:val="clear" w:color="auto" w:fill="auto"/>
            <w:tcMar>
              <w:left w:w="28" w:type="dxa"/>
              <w:right w:w="28" w:type="dxa"/>
            </w:tcMar>
            <w:vAlign w:val="bottom"/>
          </w:tcPr>
          <w:p w14:paraId="1A052316" w14:textId="77777777" w:rsidR="004A0123" w:rsidRPr="00640447" w:rsidRDefault="004A0123" w:rsidP="008A5C11">
            <w:pPr>
              <w:jc w:val="center"/>
              <w:rPr>
                <w:sz w:val="13"/>
                <w:szCs w:val="13"/>
              </w:rPr>
            </w:pPr>
            <w:r w:rsidRPr="00640447">
              <w:rPr>
                <w:sz w:val="13"/>
                <w:szCs w:val="13"/>
              </w:rPr>
              <w:t>3,70</w:t>
            </w:r>
          </w:p>
        </w:tc>
        <w:tc>
          <w:tcPr>
            <w:tcW w:w="182" w:type="pct"/>
            <w:shd w:val="clear" w:color="auto" w:fill="auto"/>
            <w:tcMar>
              <w:left w:w="28" w:type="dxa"/>
              <w:right w:w="28" w:type="dxa"/>
            </w:tcMar>
            <w:vAlign w:val="bottom"/>
          </w:tcPr>
          <w:p w14:paraId="521FD4AA" w14:textId="77777777" w:rsidR="004A0123" w:rsidRPr="00640447" w:rsidRDefault="004A0123" w:rsidP="008A5C11">
            <w:pPr>
              <w:jc w:val="center"/>
              <w:rPr>
                <w:sz w:val="13"/>
                <w:szCs w:val="13"/>
              </w:rPr>
            </w:pPr>
            <w:r w:rsidRPr="00640447">
              <w:rPr>
                <w:sz w:val="13"/>
                <w:szCs w:val="13"/>
              </w:rPr>
              <w:t>3,70</w:t>
            </w:r>
          </w:p>
        </w:tc>
        <w:tc>
          <w:tcPr>
            <w:tcW w:w="134" w:type="pct"/>
            <w:shd w:val="clear" w:color="auto" w:fill="auto"/>
            <w:vAlign w:val="bottom"/>
          </w:tcPr>
          <w:p w14:paraId="2A2E5726" w14:textId="77777777" w:rsidR="004A0123" w:rsidRPr="00640447" w:rsidRDefault="004A0123" w:rsidP="008A5C11">
            <w:pPr>
              <w:jc w:val="center"/>
              <w:rPr>
                <w:sz w:val="13"/>
                <w:szCs w:val="13"/>
              </w:rPr>
            </w:pPr>
            <w:r w:rsidRPr="00640447">
              <w:rPr>
                <w:sz w:val="13"/>
                <w:szCs w:val="13"/>
              </w:rPr>
              <w:t>3,70</w:t>
            </w:r>
          </w:p>
        </w:tc>
      </w:tr>
      <w:tr w:rsidR="004A0123" w:rsidRPr="00640447" w14:paraId="1D696391" w14:textId="77777777" w:rsidTr="008A5C11">
        <w:trPr>
          <w:trHeight w:val="148"/>
          <w:jc w:val="center"/>
        </w:trPr>
        <w:tc>
          <w:tcPr>
            <w:tcW w:w="134" w:type="pct"/>
            <w:tcMar>
              <w:top w:w="62" w:type="dxa"/>
              <w:left w:w="28" w:type="dxa"/>
              <w:bottom w:w="102" w:type="dxa"/>
              <w:right w:w="28" w:type="dxa"/>
            </w:tcMar>
            <w:vAlign w:val="center"/>
          </w:tcPr>
          <w:p w14:paraId="6D63CDA8" w14:textId="77777777" w:rsidR="004A0123" w:rsidRPr="00640447" w:rsidRDefault="004A0123" w:rsidP="008A5C11">
            <w:pPr>
              <w:jc w:val="center"/>
              <w:rPr>
                <w:sz w:val="13"/>
                <w:szCs w:val="13"/>
              </w:rPr>
            </w:pPr>
            <w:r w:rsidRPr="00640447">
              <w:rPr>
                <w:sz w:val="13"/>
                <w:szCs w:val="13"/>
              </w:rPr>
              <w:t>6</w:t>
            </w:r>
          </w:p>
        </w:tc>
        <w:tc>
          <w:tcPr>
            <w:tcW w:w="524" w:type="pct"/>
            <w:tcMar>
              <w:top w:w="62" w:type="dxa"/>
              <w:left w:w="28" w:type="dxa"/>
              <w:bottom w:w="102" w:type="dxa"/>
              <w:right w:w="28" w:type="dxa"/>
            </w:tcMar>
            <w:vAlign w:val="center"/>
          </w:tcPr>
          <w:p w14:paraId="28D59860" w14:textId="77777777" w:rsidR="004A0123" w:rsidRPr="00640447" w:rsidRDefault="004A0123" w:rsidP="008A5C11">
            <w:pPr>
              <w:jc w:val="center"/>
              <w:rPr>
                <w:sz w:val="13"/>
                <w:szCs w:val="13"/>
              </w:rPr>
            </w:pPr>
            <w:r w:rsidRPr="00640447">
              <w:rPr>
                <w:sz w:val="13"/>
                <w:szCs w:val="13"/>
              </w:rPr>
              <w:t>Котельная № 5</w:t>
            </w:r>
          </w:p>
        </w:tc>
        <w:tc>
          <w:tcPr>
            <w:tcW w:w="320" w:type="pct"/>
            <w:shd w:val="clear" w:color="auto" w:fill="auto"/>
            <w:tcMar>
              <w:left w:w="28" w:type="dxa"/>
              <w:right w:w="28" w:type="dxa"/>
            </w:tcMar>
            <w:vAlign w:val="bottom"/>
          </w:tcPr>
          <w:p w14:paraId="2543558C" w14:textId="77777777" w:rsidR="004A0123" w:rsidRPr="00640447" w:rsidRDefault="004A0123" w:rsidP="008A5C11">
            <w:pPr>
              <w:jc w:val="center"/>
              <w:rPr>
                <w:sz w:val="13"/>
                <w:szCs w:val="13"/>
              </w:rPr>
            </w:pPr>
            <w:r w:rsidRPr="00640447">
              <w:rPr>
                <w:sz w:val="13"/>
                <w:szCs w:val="13"/>
              </w:rPr>
              <w:t>4,45</w:t>
            </w:r>
          </w:p>
        </w:tc>
        <w:tc>
          <w:tcPr>
            <w:tcW w:w="187" w:type="pct"/>
            <w:shd w:val="clear" w:color="auto" w:fill="auto"/>
            <w:tcMar>
              <w:left w:w="28" w:type="dxa"/>
              <w:right w:w="28" w:type="dxa"/>
            </w:tcMar>
            <w:vAlign w:val="bottom"/>
          </w:tcPr>
          <w:p w14:paraId="233597F4" w14:textId="77777777" w:rsidR="004A0123" w:rsidRPr="00640447" w:rsidRDefault="004A0123" w:rsidP="008A5C11">
            <w:pPr>
              <w:jc w:val="center"/>
              <w:rPr>
                <w:sz w:val="13"/>
                <w:szCs w:val="13"/>
              </w:rPr>
            </w:pPr>
            <w:r w:rsidRPr="00640447">
              <w:rPr>
                <w:sz w:val="13"/>
                <w:szCs w:val="13"/>
              </w:rPr>
              <w:t>4,45</w:t>
            </w:r>
          </w:p>
        </w:tc>
        <w:tc>
          <w:tcPr>
            <w:tcW w:w="193" w:type="pct"/>
            <w:shd w:val="clear" w:color="auto" w:fill="auto"/>
            <w:tcMar>
              <w:left w:w="28" w:type="dxa"/>
              <w:right w:w="28" w:type="dxa"/>
            </w:tcMar>
            <w:vAlign w:val="bottom"/>
          </w:tcPr>
          <w:p w14:paraId="5A13390A" w14:textId="77777777" w:rsidR="004A0123" w:rsidRPr="00640447" w:rsidRDefault="004A0123" w:rsidP="008A5C11">
            <w:pPr>
              <w:jc w:val="center"/>
              <w:rPr>
                <w:sz w:val="13"/>
                <w:szCs w:val="13"/>
              </w:rPr>
            </w:pPr>
            <w:r w:rsidRPr="00640447">
              <w:rPr>
                <w:sz w:val="13"/>
                <w:szCs w:val="13"/>
              </w:rPr>
              <w:t>4,45</w:t>
            </w:r>
          </w:p>
        </w:tc>
        <w:tc>
          <w:tcPr>
            <w:tcW w:w="193" w:type="pct"/>
            <w:shd w:val="clear" w:color="auto" w:fill="auto"/>
            <w:tcMar>
              <w:left w:w="28" w:type="dxa"/>
              <w:right w:w="28" w:type="dxa"/>
            </w:tcMar>
            <w:vAlign w:val="bottom"/>
          </w:tcPr>
          <w:p w14:paraId="2E8026D3" w14:textId="77777777" w:rsidR="004A0123" w:rsidRPr="00640447" w:rsidRDefault="004A0123" w:rsidP="008A5C11">
            <w:pPr>
              <w:jc w:val="center"/>
              <w:rPr>
                <w:sz w:val="13"/>
                <w:szCs w:val="13"/>
              </w:rPr>
            </w:pPr>
            <w:r w:rsidRPr="00640447">
              <w:rPr>
                <w:sz w:val="13"/>
                <w:szCs w:val="13"/>
              </w:rPr>
              <w:t>4,45</w:t>
            </w:r>
          </w:p>
        </w:tc>
        <w:tc>
          <w:tcPr>
            <w:tcW w:w="193" w:type="pct"/>
            <w:shd w:val="clear" w:color="auto" w:fill="auto"/>
            <w:vAlign w:val="bottom"/>
          </w:tcPr>
          <w:p w14:paraId="055E3F9A" w14:textId="77777777" w:rsidR="004A0123" w:rsidRPr="00640447" w:rsidRDefault="004A0123" w:rsidP="008A5C11">
            <w:pPr>
              <w:jc w:val="center"/>
              <w:rPr>
                <w:sz w:val="13"/>
                <w:szCs w:val="13"/>
              </w:rPr>
            </w:pPr>
            <w:r w:rsidRPr="00640447">
              <w:rPr>
                <w:sz w:val="13"/>
                <w:szCs w:val="13"/>
              </w:rPr>
              <w:t>4,45</w:t>
            </w:r>
          </w:p>
        </w:tc>
        <w:tc>
          <w:tcPr>
            <w:tcW w:w="182" w:type="pct"/>
            <w:shd w:val="clear" w:color="auto" w:fill="auto"/>
            <w:vAlign w:val="bottom"/>
          </w:tcPr>
          <w:p w14:paraId="0BBAAD59" w14:textId="77777777" w:rsidR="004A0123" w:rsidRPr="00640447" w:rsidRDefault="004A0123" w:rsidP="008A5C11">
            <w:pPr>
              <w:jc w:val="center"/>
              <w:rPr>
                <w:sz w:val="13"/>
                <w:szCs w:val="13"/>
              </w:rPr>
            </w:pPr>
            <w:r w:rsidRPr="00640447">
              <w:rPr>
                <w:sz w:val="13"/>
                <w:szCs w:val="13"/>
              </w:rPr>
              <w:t>4,45</w:t>
            </w:r>
          </w:p>
        </w:tc>
        <w:tc>
          <w:tcPr>
            <w:tcW w:w="182" w:type="pct"/>
            <w:shd w:val="clear" w:color="auto" w:fill="auto"/>
            <w:tcMar>
              <w:left w:w="28" w:type="dxa"/>
              <w:right w:w="28" w:type="dxa"/>
            </w:tcMar>
            <w:vAlign w:val="bottom"/>
          </w:tcPr>
          <w:p w14:paraId="1398DDDE" w14:textId="77777777" w:rsidR="004A0123" w:rsidRPr="00640447" w:rsidRDefault="004A0123" w:rsidP="008A5C11">
            <w:pPr>
              <w:jc w:val="center"/>
              <w:rPr>
                <w:sz w:val="13"/>
                <w:szCs w:val="13"/>
              </w:rPr>
            </w:pPr>
            <w:r w:rsidRPr="00640447">
              <w:rPr>
                <w:sz w:val="13"/>
                <w:szCs w:val="13"/>
              </w:rPr>
              <w:t>4,45</w:t>
            </w:r>
          </w:p>
        </w:tc>
        <w:tc>
          <w:tcPr>
            <w:tcW w:w="182" w:type="pct"/>
            <w:shd w:val="clear" w:color="auto" w:fill="auto"/>
            <w:tcMar>
              <w:left w:w="28" w:type="dxa"/>
              <w:right w:w="28" w:type="dxa"/>
            </w:tcMar>
            <w:vAlign w:val="bottom"/>
          </w:tcPr>
          <w:p w14:paraId="6A843967" w14:textId="77777777" w:rsidR="004A0123" w:rsidRPr="00640447" w:rsidRDefault="004A0123" w:rsidP="008A5C11">
            <w:pPr>
              <w:jc w:val="center"/>
              <w:rPr>
                <w:sz w:val="13"/>
                <w:szCs w:val="13"/>
              </w:rPr>
            </w:pPr>
            <w:r w:rsidRPr="00640447">
              <w:rPr>
                <w:sz w:val="13"/>
                <w:szCs w:val="13"/>
              </w:rPr>
              <w:t>4,45</w:t>
            </w:r>
          </w:p>
        </w:tc>
        <w:tc>
          <w:tcPr>
            <w:tcW w:w="182" w:type="pct"/>
            <w:shd w:val="clear" w:color="auto" w:fill="auto"/>
            <w:tcMar>
              <w:left w:w="28" w:type="dxa"/>
              <w:right w:w="28" w:type="dxa"/>
            </w:tcMar>
            <w:vAlign w:val="bottom"/>
          </w:tcPr>
          <w:p w14:paraId="6D9B279D" w14:textId="77777777" w:rsidR="004A0123" w:rsidRPr="00640447" w:rsidRDefault="004A0123" w:rsidP="008A5C11">
            <w:pPr>
              <w:jc w:val="center"/>
              <w:rPr>
                <w:sz w:val="13"/>
                <w:szCs w:val="13"/>
              </w:rPr>
            </w:pPr>
            <w:r w:rsidRPr="00640447">
              <w:rPr>
                <w:sz w:val="13"/>
                <w:szCs w:val="13"/>
              </w:rPr>
              <w:t>4,45</w:t>
            </w:r>
          </w:p>
        </w:tc>
        <w:tc>
          <w:tcPr>
            <w:tcW w:w="182" w:type="pct"/>
            <w:shd w:val="clear" w:color="auto" w:fill="auto"/>
            <w:tcMar>
              <w:left w:w="28" w:type="dxa"/>
              <w:right w:w="28" w:type="dxa"/>
            </w:tcMar>
            <w:vAlign w:val="bottom"/>
          </w:tcPr>
          <w:p w14:paraId="744BB442" w14:textId="77777777" w:rsidR="004A0123" w:rsidRPr="00640447" w:rsidRDefault="004A0123" w:rsidP="008A5C11">
            <w:pPr>
              <w:jc w:val="center"/>
              <w:rPr>
                <w:sz w:val="13"/>
                <w:szCs w:val="13"/>
              </w:rPr>
            </w:pPr>
            <w:r w:rsidRPr="00640447">
              <w:rPr>
                <w:sz w:val="13"/>
                <w:szCs w:val="13"/>
              </w:rPr>
              <w:t>4,45</w:t>
            </w:r>
          </w:p>
        </w:tc>
        <w:tc>
          <w:tcPr>
            <w:tcW w:w="206" w:type="pct"/>
            <w:shd w:val="clear" w:color="auto" w:fill="auto"/>
            <w:vAlign w:val="bottom"/>
          </w:tcPr>
          <w:p w14:paraId="174F3C7E" w14:textId="77777777" w:rsidR="004A0123" w:rsidRPr="00640447" w:rsidRDefault="004A0123" w:rsidP="008A5C11">
            <w:pPr>
              <w:jc w:val="center"/>
              <w:rPr>
                <w:sz w:val="13"/>
                <w:szCs w:val="13"/>
              </w:rPr>
            </w:pPr>
            <w:r w:rsidRPr="00640447">
              <w:rPr>
                <w:sz w:val="13"/>
                <w:szCs w:val="13"/>
              </w:rPr>
              <w:t>4,45</w:t>
            </w:r>
          </w:p>
        </w:tc>
        <w:tc>
          <w:tcPr>
            <w:tcW w:w="368" w:type="pct"/>
            <w:shd w:val="clear" w:color="auto" w:fill="auto"/>
            <w:tcMar>
              <w:left w:w="28" w:type="dxa"/>
              <w:right w:w="28" w:type="dxa"/>
            </w:tcMar>
            <w:vAlign w:val="bottom"/>
          </w:tcPr>
          <w:p w14:paraId="55D072A2" w14:textId="77777777" w:rsidR="004A0123" w:rsidRPr="00640447" w:rsidRDefault="004A0123" w:rsidP="008A5C11">
            <w:pPr>
              <w:jc w:val="center"/>
              <w:rPr>
                <w:sz w:val="13"/>
                <w:szCs w:val="13"/>
              </w:rPr>
            </w:pPr>
            <w:r w:rsidRPr="00640447">
              <w:rPr>
                <w:sz w:val="13"/>
                <w:szCs w:val="13"/>
              </w:rPr>
              <w:t>3,90</w:t>
            </w:r>
          </w:p>
        </w:tc>
        <w:tc>
          <w:tcPr>
            <w:tcW w:w="182" w:type="pct"/>
            <w:shd w:val="clear" w:color="auto" w:fill="auto"/>
            <w:tcMar>
              <w:left w:w="28" w:type="dxa"/>
              <w:right w:w="28" w:type="dxa"/>
            </w:tcMar>
            <w:vAlign w:val="bottom"/>
          </w:tcPr>
          <w:p w14:paraId="38CA87EB" w14:textId="77777777" w:rsidR="004A0123" w:rsidRPr="00640447" w:rsidRDefault="004A0123" w:rsidP="008A5C11">
            <w:pPr>
              <w:jc w:val="center"/>
              <w:rPr>
                <w:sz w:val="13"/>
                <w:szCs w:val="13"/>
              </w:rPr>
            </w:pPr>
            <w:r w:rsidRPr="00640447">
              <w:rPr>
                <w:sz w:val="13"/>
                <w:szCs w:val="13"/>
              </w:rPr>
              <w:t>3,90</w:t>
            </w:r>
          </w:p>
        </w:tc>
        <w:tc>
          <w:tcPr>
            <w:tcW w:w="182" w:type="pct"/>
            <w:shd w:val="clear" w:color="auto" w:fill="auto"/>
            <w:tcMar>
              <w:left w:w="28" w:type="dxa"/>
              <w:right w:w="28" w:type="dxa"/>
            </w:tcMar>
            <w:vAlign w:val="bottom"/>
          </w:tcPr>
          <w:p w14:paraId="4CCD1EC2" w14:textId="77777777" w:rsidR="004A0123" w:rsidRPr="00640447" w:rsidRDefault="004A0123" w:rsidP="008A5C11">
            <w:pPr>
              <w:jc w:val="center"/>
              <w:rPr>
                <w:sz w:val="13"/>
                <w:szCs w:val="13"/>
              </w:rPr>
            </w:pPr>
            <w:r w:rsidRPr="00640447">
              <w:rPr>
                <w:sz w:val="13"/>
                <w:szCs w:val="13"/>
              </w:rPr>
              <w:t>3,90</w:t>
            </w:r>
          </w:p>
        </w:tc>
        <w:tc>
          <w:tcPr>
            <w:tcW w:w="182" w:type="pct"/>
            <w:shd w:val="clear" w:color="auto" w:fill="auto"/>
            <w:tcMar>
              <w:left w:w="28" w:type="dxa"/>
              <w:right w:w="28" w:type="dxa"/>
            </w:tcMar>
            <w:vAlign w:val="bottom"/>
          </w:tcPr>
          <w:p w14:paraId="7421D0E4" w14:textId="77777777" w:rsidR="004A0123" w:rsidRPr="00640447" w:rsidRDefault="004A0123" w:rsidP="008A5C11">
            <w:pPr>
              <w:jc w:val="center"/>
              <w:rPr>
                <w:sz w:val="13"/>
                <w:szCs w:val="13"/>
              </w:rPr>
            </w:pPr>
            <w:r w:rsidRPr="00640447">
              <w:rPr>
                <w:sz w:val="13"/>
                <w:szCs w:val="13"/>
              </w:rPr>
              <w:t>3,90</w:t>
            </w:r>
          </w:p>
        </w:tc>
        <w:tc>
          <w:tcPr>
            <w:tcW w:w="182" w:type="pct"/>
            <w:shd w:val="clear" w:color="auto" w:fill="auto"/>
            <w:vAlign w:val="bottom"/>
          </w:tcPr>
          <w:p w14:paraId="5057A18E" w14:textId="77777777" w:rsidR="004A0123" w:rsidRPr="00640447" w:rsidRDefault="004A0123" w:rsidP="008A5C11">
            <w:pPr>
              <w:jc w:val="center"/>
              <w:rPr>
                <w:sz w:val="13"/>
                <w:szCs w:val="13"/>
              </w:rPr>
            </w:pPr>
            <w:r w:rsidRPr="00640447">
              <w:rPr>
                <w:sz w:val="13"/>
                <w:szCs w:val="13"/>
              </w:rPr>
              <w:t>3,90</w:t>
            </w:r>
          </w:p>
        </w:tc>
        <w:tc>
          <w:tcPr>
            <w:tcW w:w="182" w:type="pct"/>
            <w:shd w:val="clear" w:color="auto" w:fill="auto"/>
            <w:vAlign w:val="bottom"/>
          </w:tcPr>
          <w:p w14:paraId="4CDD9FA0" w14:textId="77777777" w:rsidR="004A0123" w:rsidRPr="00640447" w:rsidRDefault="004A0123" w:rsidP="008A5C11">
            <w:pPr>
              <w:jc w:val="center"/>
              <w:rPr>
                <w:sz w:val="13"/>
                <w:szCs w:val="13"/>
              </w:rPr>
            </w:pPr>
            <w:r w:rsidRPr="00640447">
              <w:rPr>
                <w:sz w:val="13"/>
                <w:szCs w:val="13"/>
              </w:rPr>
              <w:t>3,90</w:t>
            </w:r>
          </w:p>
        </w:tc>
        <w:tc>
          <w:tcPr>
            <w:tcW w:w="182" w:type="pct"/>
            <w:shd w:val="clear" w:color="auto" w:fill="auto"/>
            <w:tcMar>
              <w:left w:w="28" w:type="dxa"/>
              <w:right w:w="28" w:type="dxa"/>
            </w:tcMar>
            <w:vAlign w:val="bottom"/>
          </w:tcPr>
          <w:p w14:paraId="6D418B33" w14:textId="77777777" w:rsidR="004A0123" w:rsidRPr="00640447" w:rsidRDefault="004A0123" w:rsidP="008A5C11">
            <w:pPr>
              <w:jc w:val="center"/>
              <w:rPr>
                <w:sz w:val="13"/>
                <w:szCs w:val="13"/>
              </w:rPr>
            </w:pPr>
            <w:r w:rsidRPr="00640447">
              <w:rPr>
                <w:sz w:val="13"/>
                <w:szCs w:val="13"/>
              </w:rPr>
              <w:t>3,90</w:t>
            </w:r>
          </w:p>
        </w:tc>
        <w:tc>
          <w:tcPr>
            <w:tcW w:w="182" w:type="pct"/>
            <w:shd w:val="clear" w:color="auto" w:fill="auto"/>
            <w:tcMar>
              <w:left w:w="28" w:type="dxa"/>
              <w:right w:w="28" w:type="dxa"/>
            </w:tcMar>
            <w:vAlign w:val="bottom"/>
          </w:tcPr>
          <w:p w14:paraId="068607B6" w14:textId="77777777" w:rsidR="004A0123" w:rsidRPr="00640447" w:rsidRDefault="004A0123" w:rsidP="008A5C11">
            <w:pPr>
              <w:jc w:val="center"/>
              <w:rPr>
                <w:sz w:val="13"/>
                <w:szCs w:val="13"/>
              </w:rPr>
            </w:pPr>
            <w:r w:rsidRPr="00640447">
              <w:rPr>
                <w:sz w:val="13"/>
                <w:szCs w:val="13"/>
              </w:rPr>
              <w:t>3,90</w:t>
            </w:r>
          </w:p>
        </w:tc>
        <w:tc>
          <w:tcPr>
            <w:tcW w:w="182" w:type="pct"/>
            <w:shd w:val="clear" w:color="auto" w:fill="auto"/>
            <w:tcMar>
              <w:left w:w="28" w:type="dxa"/>
              <w:right w:w="28" w:type="dxa"/>
            </w:tcMar>
            <w:vAlign w:val="bottom"/>
          </w:tcPr>
          <w:p w14:paraId="5EE27F0C" w14:textId="77777777" w:rsidR="004A0123" w:rsidRPr="00640447" w:rsidRDefault="004A0123" w:rsidP="008A5C11">
            <w:pPr>
              <w:jc w:val="center"/>
              <w:rPr>
                <w:sz w:val="13"/>
                <w:szCs w:val="13"/>
              </w:rPr>
            </w:pPr>
            <w:r w:rsidRPr="00640447">
              <w:rPr>
                <w:sz w:val="13"/>
                <w:szCs w:val="13"/>
              </w:rPr>
              <w:t>3,90</w:t>
            </w:r>
          </w:p>
        </w:tc>
        <w:tc>
          <w:tcPr>
            <w:tcW w:w="182" w:type="pct"/>
            <w:shd w:val="clear" w:color="auto" w:fill="auto"/>
            <w:tcMar>
              <w:left w:w="28" w:type="dxa"/>
              <w:right w:w="28" w:type="dxa"/>
            </w:tcMar>
            <w:vAlign w:val="bottom"/>
          </w:tcPr>
          <w:p w14:paraId="3230D676" w14:textId="77777777" w:rsidR="004A0123" w:rsidRPr="00640447" w:rsidRDefault="004A0123" w:rsidP="008A5C11">
            <w:pPr>
              <w:jc w:val="center"/>
              <w:rPr>
                <w:sz w:val="13"/>
                <w:szCs w:val="13"/>
              </w:rPr>
            </w:pPr>
            <w:r w:rsidRPr="00640447">
              <w:rPr>
                <w:sz w:val="13"/>
                <w:szCs w:val="13"/>
              </w:rPr>
              <w:t>3,90</w:t>
            </w:r>
          </w:p>
        </w:tc>
        <w:tc>
          <w:tcPr>
            <w:tcW w:w="134" w:type="pct"/>
            <w:shd w:val="clear" w:color="auto" w:fill="auto"/>
            <w:vAlign w:val="bottom"/>
          </w:tcPr>
          <w:p w14:paraId="16A04450" w14:textId="77777777" w:rsidR="004A0123" w:rsidRPr="00640447" w:rsidRDefault="004A0123" w:rsidP="008A5C11">
            <w:pPr>
              <w:jc w:val="center"/>
              <w:rPr>
                <w:sz w:val="13"/>
                <w:szCs w:val="13"/>
              </w:rPr>
            </w:pPr>
            <w:r w:rsidRPr="00640447">
              <w:rPr>
                <w:sz w:val="13"/>
                <w:szCs w:val="13"/>
              </w:rPr>
              <w:t>3,90</w:t>
            </w:r>
          </w:p>
        </w:tc>
      </w:tr>
      <w:tr w:rsidR="004A0123" w:rsidRPr="00640447" w14:paraId="5921CB92" w14:textId="77777777" w:rsidTr="008A5C11">
        <w:trPr>
          <w:trHeight w:val="148"/>
          <w:jc w:val="center"/>
        </w:trPr>
        <w:tc>
          <w:tcPr>
            <w:tcW w:w="134" w:type="pct"/>
            <w:tcMar>
              <w:top w:w="62" w:type="dxa"/>
              <w:left w:w="28" w:type="dxa"/>
              <w:bottom w:w="102" w:type="dxa"/>
              <w:right w:w="28" w:type="dxa"/>
            </w:tcMar>
            <w:vAlign w:val="center"/>
          </w:tcPr>
          <w:p w14:paraId="6F1D757C" w14:textId="77777777" w:rsidR="004A0123" w:rsidRPr="00640447" w:rsidRDefault="004A0123" w:rsidP="008A5C11">
            <w:pPr>
              <w:jc w:val="center"/>
              <w:rPr>
                <w:sz w:val="13"/>
                <w:szCs w:val="13"/>
              </w:rPr>
            </w:pPr>
            <w:r w:rsidRPr="00640447">
              <w:rPr>
                <w:sz w:val="13"/>
                <w:szCs w:val="13"/>
              </w:rPr>
              <w:t>7</w:t>
            </w:r>
          </w:p>
        </w:tc>
        <w:tc>
          <w:tcPr>
            <w:tcW w:w="524" w:type="pct"/>
            <w:tcMar>
              <w:top w:w="62" w:type="dxa"/>
              <w:left w:w="28" w:type="dxa"/>
              <w:bottom w:w="102" w:type="dxa"/>
              <w:right w:w="28" w:type="dxa"/>
            </w:tcMar>
            <w:vAlign w:val="center"/>
          </w:tcPr>
          <w:p w14:paraId="5830FEA5" w14:textId="77777777" w:rsidR="004A0123" w:rsidRPr="00640447" w:rsidRDefault="004A0123" w:rsidP="008A5C11">
            <w:pPr>
              <w:jc w:val="center"/>
              <w:rPr>
                <w:sz w:val="13"/>
                <w:szCs w:val="13"/>
              </w:rPr>
            </w:pPr>
            <w:r w:rsidRPr="00640447">
              <w:rPr>
                <w:sz w:val="13"/>
                <w:szCs w:val="13"/>
              </w:rPr>
              <w:t>Котельная № 1</w:t>
            </w:r>
          </w:p>
        </w:tc>
        <w:tc>
          <w:tcPr>
            <w:tcW w:w="320" w:type="pct"/>
            <w:shd w:val="clear" w:color="auto" w:fill="auto"/>
            <w:tcMar>
              <w:left w:w="28" w:type="dxa"/>
              <w:right w:w="28" w:type="dxa"/>
            </w:tcMar>
            <w:vAlign w:val="bottom"/>
          </w:tcPr>
          <w:p w14:paraId="6AA5EFA8" w14:textId="77777777" w:rsidR="004A0123" w:rsidRPr="00640447" w:rsidRDefault="004A0123" w:rsidP="008A5C11">
            <w:pPr>
              <w:jc w:val="center"/>
              <w:rPr>
                <w:sz w:val="13"/>
                <w:szCs w:val="13"/>
              </w:rPr>
            </w:pPr>
            <w:r w:rsidRPr="00640447">
              <w:rPr>
                <w:sz w:val="13"/>
                <w:szCs w:val="13"/>
              </w:rPr>
              <w:t>1,96</w:t>
            </w:r>
          </w:p>
        </w:tc>
        <w:tc>
          <w:tcPr>
            <w:tcW w:w="187" w:type="pct"/>
            <w:shd w:val="clear" w:color="auto" w:fill="auto"/>
            <w:tcMar>
              <w:left w:w="28" w:type="dxa"/>
              <w:right w:w="28" w:type="dxa"/>
            </w:tcMar>
            <w:vAlign w:val="bottom"/>
          </w:tcPr>
          <w:p w14:paraId="7AE7F990" w14:textId="77777777" w:rsidR="004A0123" w:rsidRPr="00640447" w:rsidRDefault="004A0123" w:rsidP="008A5C11">
            <w:pPr>
              <w:jc w:val="center"/>
              <w:rPr>
                <w:sz w:val="13"/>
                <w:szCs w:val="13"/>
              </w:rPr>
            </w:pPr>
            <w:r w:rsidRPr="00640447">
              <w:rPr>
                <w:sz w:val="13"/>
                <w:szCs w:val="13"/>
              </w:rPr>
              <w:t>1,96</w:t>
            </w:r>
          </w:p>
        </w:tc>
        <w:tc>
          <w:tcPr>
            <w:tcW w:w="193" w:type="pct"/>
            <w:shd w:val="clear" w:color="auto" w:fill="auto"/>
            <w:tcMar>
              <w:left w:w="28" w:type="dxa"/>
              <w:right w:w="28" w:type="dxa"/>
            </w:tcMar>
            <w:vAlign w:val="bottom"/>
          </w:tcPr>
          <w:p w14:paraId="305DFAFB" w14:textId="77777777" w:rsidR="004A0123" w:rsidRPr="00640447" w:rsidRDefault="004A0123" w:rsidP="008A5C11">
            <w:pPr>
              <w:jc w:val="center"/>
              <w:rPr>
                <w:sz w:val="13"/>
                <w:szCs w:val="13"/>
              </w:rPr>
            </w:pPr>
            <w:r w:rsidRPr="00640447">
              <w:rPr>
                <w:sz w:val="13"/>
                <w:szCs w:val="13"/>
              </w:rPr>
              <w:t>1,96</w:t>
            </w:r>
          </w:p>
        </w:tc>
        <w:tc>
          <w:tcPr>
            <w:tcW w:w="193" w:type="pct"/>
            <w:shd w:val="clear" w:color="auto" w:fill="auto"/>
            <w:tcMar>
              <w:left w:w="28" w:type="dxa"/>
              <w:right w:w="28" w:type="dxa"/>
            </w:tcMar>
            <w:vAlign w:val="bottom"/>
          </w:tcPr>
          <w:p w14:paraId="207237CB" w14:textId="77777777" w:rsidR="004A0123" w:rsidRPr="00640447" w:rsidRDefault="004A0123" w:rsidP="008A5C11">
            <w:pPr>
              <w:jc w:val="center"/>
              <w:rPr>
                <w:sz w:val="13"/>
                <w:szCs w:val="13"/>
              </w:rPr>
            </w:pPr>
            <w:r w:rsidRPr="00640447">
              <w:rPr>
                <w:sz w:val="13"/>
                <w:szCs w:val="13"/>
              </w:rPr>
              <w:t>1,96</w:t>
            </w:r>
          </w:p>
        </w:tc>
        <w:tc>
          <w:tcPr>
            <w:tcW w:w="193" w:type="pct"/>
            <w:shd w:val="clear" w:color="auto" w:fill="auto"/>
            <w:vAlign w:val="bottom"/>
          </w:tcPr>
          <w:p w14:paraId="58D31A98" w14:textId="77777777" w:rsidR="004A0123" w:rsidRPr="00640447" w:rsidRDefault="004A0123" w:rsidP="008A5C11">
            <w:pPr>
              <w:jc w:val="center"/>
              <w:rPr>
                <w:sz w:val="13"/>
                <w:szCs w:val="13"/>
              </w:rPr>
            </w:pPr>
            <w:r w:rsidRPr="00640447">
              <w:rPr>
                <w:sz w:val="13"/>
                <w:szCs w:val="13"/>
              </w:rPr>
              <w:t>1,96</w:t>
            </w:r>
          </w:p>
        </w:tc>
        <w:tc>
          <w:tcPr>
            <w:tcW w:w="182" w:type="pct"/>
            <w:shd w:val="clear" w:color="auto" w:fill="auto"/>
            <w:vAlign w:val="bottom"/>
          </w:tcPr>
          <w:p w14:paraId="35B02DBC" w14:textId="77777777" w:rsidR="004A0123" w:rsidRPr="00640447" w:rsidRDefault="004A0123" w:rsidP="008A5C11">
            <w:pPr>
              <w:jc w:val="center"/>
              <w:rPr>
                <w:sz w:val="13"/>
                <w:szCs w:val="13"/>
              </w:rPr>
            </w:pPr>
            <w:r w:rsidRPr="00640447">
              <w:rPr>
                <w:sz w:val="13"/>
                <w:szCs w:val="13"/>
              </w:rPr>
              <w:t>1,96</w:t>
            </w:r>
          </w:p>
        </w:tc>
        <w:tc>
          <w:tcPr>
            <w:tcW w:w="182" w:type="pct"/>
            <w:shd w:val="clear" w:color="auto" w:fill="auto"/>
            <w:tcMar>
              <w:left w:w="28" w:type="dxa"/>
              <w:right w:w="28" w:type="dxa"/>
            </w:tcMar>
            <w:vAlign w:val="bottom"/>
          </w:tcPr>
          <w:p w14:paraId="42D74A15" w14:textId="77777777" w:rsidR="004A0123" w:rsidRPr="00640447" w:rsidRDefault="004A0123" w:rsidP="008A5C11">
            <w:pPr>
              <w:jc w:val="center"/>
              <w:rPr>
                <w:sz w:val="13"/>
                <w:szCs w:val="13"/>
              </w:rPr>
            </w:pPr>
            <w:r w:rsidRPr="00640447">
              <w:rPr>
                <w:sz w:val="13"/>
                <w:szCs w:val="13"/>
              </w:rPr>
              <w:t>1,96</w:t>
            </w:r>
          </w:p>
        </w:tc>
        <w:tc>
          <w:tcPr>
            <w:tcW w:w="182" w:type="pct"/>
            <w:shd w:val="clear" w:color="auto" w:fill="auto"/>
            <w:tcMar>
              <w:left w:w="28" w:type="dxa"/>
              <w:right w:w="28" w:type="dxa"/>
            </w:tcMar>
            <w:vAlign w:val="bottom"/>
          </w:tcPr>
          <w:p w14:paraId="5841D7BA" w14:textId="77777777" w:rsidR="004A0123" w:rsidRPr="00640447" w:rsidRDefault="004A0123" w:rsidP="008A5C11">
            <w:pPr>
              <w:jc w:val="center"/>
              <w:rPr>
                <w:sz w:val="13"/>
                <w:szCs w:val="13"/>
              </w:rPr>
            </w:pPr>
            <w:r w:rsidRPr="00640447">
              <w:rPr>
                <w:sz w:val="13"/>
                <w:szCs w:val="13"/>
              </w:rPr>
              <w:t>1,96</w:t>
            </w:r>
          </w:p>
        </w:tc>
        <w:tc>
          <w:tcPr>
            <w:tcW w:w="182" w:type="pct"/>
            <w:shd w:val="clear" w:color="auto" w:fill="auto"/>
            <w:tcMar>
              <w:left w:w="28" w:type="dxa"/>
              <w:right w:w="28" w:type="dxa"/>
            </w:tcMar>
            <w:vAlign w:val="bottom"/>
          </w:tcPr>
          <w:p w14:paraId="70FDDB13" w14:textId="77777777" w:rsidR="004A0123" w:rsidRPr="00640447" w:rsidRDefault="004A0123" w:rsidP="008A5C11">
            <w:pPr>
              <w:jc w:val="center"/>
              <w:rPr>
                <w:sz w:val="13"/>
                <w:szCs w:val="13"/>
              </w:rPr>
            </w:pPr>
            <w:r w:rsidRPr="00640447">
              <w:rPr>
                <w:sz w:val="13"/>
                <w:szCs w:val="13"/>
              </w:rPr>
              <w:t>1,96</w:t>
            </w:r>
          </w:p>
        </w:tc>
        <w:tc>
          <w:tcPr>
            <w:tcW w:w="182" w:type="pct"/>
            <w:shd w:val="clear" w:color="auto" w:fill="auto"/>
            <w:tcMar>
              <w:left w:w="28" w:type="dxa"/>
              <w:right w:w="28" w:type="dxa"/>
            </w:tcMar>
            <w:vAlign w:val="bottom"/>
          </w:tcPr>
          <w:p w14:paraId="55CA664E" w14:textId="77777777" w:rsidR="004A0123" w:rsidRPr="00640447" w:rsidRDefault="004A0123" w:rsidP="008A5C11">
            <w:pPr>
              <w:jc w:val="center"/>
              <w:rPr>
                <w:sz w:val="13"/>
                <w:szCs w:val="13"/>
              </w:rPr>
            </w:pPr>
            <w:r w:rsidRPr="00640447">
              <w:rPr>
                <w:sz w:val="13"/>
                <w:szCs w:val="13"/>
              </w:rPr>
              <w:t>1,96</w:t>
            </w:r>
          </w:p>
        </w:tc>
        <w:tc>
          <w:tcPr>
            <w:tcW w:w="206" w:type="pct"/>
            <w:shd w:val="clear" w:color="auto" w:fill="auto"/>
            <w:vAlign w:val="bottom"/>
          </w:tcPr>
          <w:p w14:paraId="50C3A8A9" w14:textId="77777777" w:rsidR="004A0123" w:rsidRPr="00640447" w:rsidRDefault="004A0123" w:rsidP="008A5C11">
            <w:pPr>
              <w:jc w:val="center"/>
              <w:rPr>
                <w:sz w:val="13"/>
                <w:szCs w:val="13"/>
              </w:rPr>
            </w:pPr>
            <w:r w:rsidRPr="00640447">
              <w:rPr>
                <w:sz w:val="13"/>
                <w:szCs w:val="13"/>
              </w:rPr>
              <w:t>1,96</w:t>
            </w:r>
          </w:p>
        </w:tc>
        <w:tc>
          <w:tcPr>
            <w:tcW w:w="368" w:type="pct"/>
            <w:shd w:val="clear" w:color="auto" w:fill="auto"/>
            <w:tcMar>
              <w:left w:w="28" w:type="dxa"/>
              <w:right w:w="28" w:type="dxa"/>
            </w:tcMar>
            <w:vAlign w:val="bottom"/>
          </w:tcPr>
          <w:p w14:paraId="7D2A2B90" w14:textId="77777777" w:rsidR="004A0123" w:rsidRPr="00640447" w:rsidRDefault="004A0123" w:rsidP="008A5C11">
            <w:pPr>
              <w:jc w:val="center"/>
              <w:rPr>
                <w:sz w:val="13"/>
                <w:szCs w:val="13"/>
              </w:rPr>
            </w:pPr>
            <w:r w:rsidRPr="00640447">
              <w:rPr>
                <w:sz w:val="13"/>
                <w:szCs w:val="13"/>
              </w:rPr>
              <w:t>1,52</w:t>
            </w:r>
          </w:p>
        </w:tc>
        <w:tc>
          <w:tcPr>
            <w:tcW w:w="182" w:type="pct"/>
            <w:shd w:val="clear" w:color="auto" w:fill="auto"/>
            <w:tcMar>
              <w:left w:w="28" w:type="dxa"/>
              <w:right w:w="28" w:type="dxa"/>
            </w:tcMar>
            <w:vAlign w:val="bottom"/>
          </w:tcPr>
          <w:p w14:paraId="55D64127" w14:textId="77777777" w:rsidR="004A0123" w:rsidRPr="00640447" w:rsidRDefault="004A0123" w:rsidP="008A5C11">
            <w:pPr>
              <w:jc w:val="center"/>
              <w:rPr>
                <w:sz w:val="13"/>
                <w:szCs w:val="13"/>
              </w:rPr>
            </w:pPr>
            <w:r w:rsidRPr="00640447">
              <w:rPr>
                <w:sz w:val="13"/>
                <w:szCs w:val="13"/>
              </w:rPr>
              <w:t>1,52</w:t>
            </w:r>
          </w:p>
        </w:tc>
        <w:tc>
          <w:tcPr>
            <w:tcW w:w="182" w:type="pct"/>
            <w:shd w:val="clear" w:color="auto" w:fill="auto"/>
            <w:tcMar>
              <w:left w:w="28" w:type="dxa"/>
              <w:right w:w="28" w:type="dxa"/>
            </w:tcMar>
            <w:vAlign w:val="bottom"/>
          </w:tcPr>
          <w:p w14:paraId="178E492A" w14:textId="77777777" w:rsidR="004A0123" w:rsidRPr="00640447" w:rsidRDefault="004A0123" w:rsidP="008A5C11">
            <w:pPr>
              <w:jc w:val="center"/>
              <w:rPr>
                <w:sz w:val="13"/>
                <w:szCs w:val="13"/>
              </w:rPr>
            </w:pPr>
            <w:r w:rsidRPr="00640447">
              <w:rPr>
                <w:sz w:val="13"/>
                <w:szCs w:val="13"/>
              </w:rPr>
              <w:t>1,52</w:t>
            </w:r>
          </w:p>
        </w:tc>
        <w:tc>
          <w:tcPr>
            <w:tcW w:w="182" w:type="pct"/>
            <w:shd w:val="clear" w:color="auto" w:fill="auto"/>
            <w:tcMar>
              <w:left w:w="28" w:type="dxa"/>
              <w:right w:w="28" w:type="dxa"/>
            </w:tcMar>
            <w:vAlign w:val="bottom"/>
          </w:tcPr>
          <w:p w14:paraId="48999B7C" w14:textId="77777777" w:rsidR="004A0123" w:rsidRPr="00640447" w:rsidRDefault="004A0123" w:rsidP="008A5C11">
            <w:pPr>
              <w:jc w:val="center"/>
              <w:rPr>
                <w:sz w:val="13"/>
                <w:szCs w:val="13"/>
              </w:rPr>
            </w:pPr>
            <w:r w:rsidRPr="00640447">
              <w:rPr>
                <w:sz w:val="13"/>
                <w:szCs w:val="13"/>
              </w:rPr>
              <w:t>1,52</w:t>
            </w:r>
          </w:p>
        </w:tc>
        <w:tc>
          <w:tcPr>
            <w:tcW w:w="182" w:type="pct"/>
            <w:shd w:val="clear" w:color="auto" w:fill="auto"/>
            <w:vAlign w:val="bottom"/>
          </w:tcPr>
          <w:p w14:paraId="47EECBF9" w14:textId="77777777" w:rsidR="004A0123" w:rsidRPr="00640447" w:rsidRDefault="004A0123" w:rsidP="008A5C11">
            <w:pPr>
              <w:jc w:val="center"/>
              <w:rPr>
                <w:sz w:val="13"/>
                <w:szCs w:val="13"/>
              </w:rPr>
            </w:pPr>
            <w:r w:rsidRPr="00640447">
              <w:rPr>
                <w:sz w:val="13"/>
                <w:szCs w:val="13"/>
              </w:rPr>
              <w:t>1,52</w:t>
            </w:r>
          </w:p>
        </w:tc>
        <w:tc>
          <w:tcPr>
            <w:tcW w:w="182" w:type="pct"/>
            <w:shd w:val="clear" w:color="auto" w:fill="auto"/>
            <w:vAlign w:val="bottom"/>
          </w:tcPr>
          <w:p w14:paraId="2F13E6D3" w14:textId="77777777" w:rsidR="004A0123" w:rsidRPr="00640447" w:rsidRDefault="004A0123" w:rsidP="008A5C11">
            <w:pPr>
              <w:jc w:val="center"/>
              <w:rPr>
                <w:sz w:val="13"/>
                <w:szCs w:val="13"/>
              </w:rPr>
            </w:pPr>
            <w:r w:rsidRPr="00640447">
              <w:rPr>
                <w:sz w:val="13"/>
                <w:szCs w:val="13"/>
              </w:rPr>
              <w:t>1,52</w:t>
            </w:r>
          </w:p>
        </w:tc>
        <w:tc>
          <w:tcPr>
            <w:tcW w:w="182" w:type="pct"/>
            <w:shd w:val="clear" w:color="auto" w:fill="auto"/>
            <w:tcMar>
              <w:left w:w="28" w:type="dxa"/>
              <w:right w:w="28" w:type="dxa"/>
            </w:tcMar>
            <w:vAlign w:val="bottom"/>
          </w:tcPr>
          <w:p w14:paraId="298AFE8D" w14:textId="77777777" w:rsidR="004A0123" w:rsidRPr="00640447" w:rsidRDefault="004A0123" w:rsidP="008A5C11">
            <w:pPr>
              <w:jc w:val="center"/>
              <w:rPr>
                <w:sz w:val="13"/>
                <w:szCs w:val="13"/>
              </w:rPr>
            </w:pPr>
            <w:r w:rsidRPr="00640447">
              <w:rPr>
                <w:sz w:val="13"/>
                <w:szCs w:val="13"/>
              </w:rPr>
              <w:t>1,52</w:t>
            </w:r>
          </w:p>
        </w:tc>
        <w:tc>
          <w:tcPr>
            <w:tcW w:w="182" w:type="pct"/>
            <w:shd w:val="clear" w:color="auto" w:fill="auto"/>
            <w:tcMar>
              <w:left w:w="28" w:type="dxa"/>
              <w:right w:w="28" w:type="dxa"/>
            </w:tcMar>
            <w:vAlign w:val="bottom"/>
          </w:tcPr>
          <w:p w14:paraId="54542F27" w14:textId="77777777" w:rsidR="004A0123" w:rsidRPr="00640447" w:rsidRDefault="004A0123" w:rsidP="008A5C11">
            <w:pPr>
              <w:jc w:val="center"/>
              <w:rPr>
                <w:sz w:val="13"/>
                <w:szCs w:val="13"/>
              </w:rPr>
            </w:pPr>
            <w:r w:rsidRPr="00640447">
              <w:rPr>
                <w:sz w:val="13"/>
                <w:szCs w:val="13"/>
              </w:rPr>
              <w:t>1,52</w:t>
            </w:r>
          </w:p>
        </w:tc>
        <w:tc>
          <w:tcPr>
            <w:tcW w:w="182" w:type="pct"/>
            <w:shd w:val="clear" w:color="auto" w:fill="auto"/>
            <w:tcMar>
              <w:left w:w="28" w:type="dxa"/>
              <w:right w:w="28" w:type="dxa"/>
            </w:tcMar>
            <w:vAlign w:val="bottom"/>
          </w:tcPr>
          <w:p w14:paraId="3CA1D365" w14:textId="77777777" w:rsidR="004A0123" w:rsidRPr="00640447" w:rsidRDefault="004A0123" w:rsidP="008A5C11">
            <w:pPr>
              <w:jc w:val="center"/>
              <w:rPr>
                <w:sz w:val="13"/>
                <w:szCs w:val="13"/>
              </w:rPr>
            </w:pPr>
            <w:r w:rsidRPr="00640447">
              <w:rPr>
                <w:sz w:val="13"/>
                <w:szCs w:val="13"/>
              </w:rPr>
              <w:t>1,52</w:t>
            </w:r>
          </w:p>
        </w:tc>
        <w:tc>
          <w:tcPr>
            <w:tcW w:w="182" w:type="pct"/>
            <w:shd w:val="clear" w:color="auto" w:fill="auto"/>
            <w:tcMar>
              <w:left w:w="28" w:type="dxa"/>
              <w:right w:w="28" w:type="dxa"/>
            </w:tcMar>
            <w:vAlign w:val="bottom"/>
          </w:tcPr>
          <w:p w14:paraId="27379692" w14:textId="77777777" w:rsidR="004A0123" w:rsidRPr="00640447" w:rsidRDefault="004A0123" w:rsidP="008A5C11">
            <w:pPr>
              <w:jc w:val="center"/>
              <w:rPr>
                <w:sz w:val="13"/>
                <w:szCs w:val="13"/>
              </w:rPr>
            </w:pPr>
            <w:r w:rsidRPr="00640447">
              <w:rPr>
                <w:sz w:val="13"/>
                <w:szCs w:val="13"/>
              </w:rPr>
              <w:t>1,52</w:t>
            </w:r>
          </w:p>
        </w:tc>
        <w:tc>
          <w:tcPr>
            <w:tcW w:w="134" w:type="pct"/>
            <w:shd w:val="clear" w:color="auto" w:fill="auto"/>
            <w:vAlign w:val="bottom"/>
          </w:tcPr>
          <w:p w14:paraId="1A982074" w14:textId="77777777" w:rsidR="004A0123" w:rsidRPr="00640447" w:rsidRDefault="004A0123" w:rsidP="008A5C11">
            <w:pPr>
              <w:jc w:val="center"/>
              <w:rPr>
                <w:sz w:val="13"/>
                <w:szCs w:val="13"/>
              </w:rPr>
            </w:pPr>
            <w:r w:rsidRPr="00640447">
              <w:rPr>
                <w:sz w:val="13"/>
                <w:szCs w:val="13"/>
              </w:rPr>
              <w:t>1,52</w:t>
            </w:r>
          </w:p>
        </w:tc>
      </w:tr>
      <w:tr w:rsidR="004A0123" w:rsidRPr="00640447" w14:paraId="380FF74E" w14:textId="77777777" w:rsidTr="008A5C11">
        <w:trPr>
          <w:trHeight w:val="148"/>
          <w:jc w:val="center"/>
        </w:trPr>
        <w:tc>
          <w:tcPr>
            <w:tcW w:w="134" w:type="pct"/>
            <w:tcMar>
              <w:top w:w="62" w:type="dxa"/>
              <w:left w:w="28" w:type="dxa"/>
              <w:bottom w:w="102" w:type="dxa"/>
              <w:right w:w="28" w:type="dxa"/>
            </w:tcMar>
            <w:vAlign w:val="center"/>
          </w:tcPr>
          <w:p w14:paraId="008B7A2F" w14:textId="77777777" w:rsidR="004A0123" w:rsidRPr="00640447" w:rsidRDefault="004A0123" w:rsidP="008A5C11">
            <w:pPr>
              <w:jc w:val="center"/>
              <w:rPr>
                <w:sz w:val="13"/>
                <w:szCs w:val="13"/>
              </w:rPr>
            </w:pPr>
            <w:r w:rsidRPr="00640447">
              <w:rPr>
                <w:sz w:val="13"/>
                <w:szCs w:val="13"/>
              </w:rPr>
              <w:t>8</w:t>
            </w:r>
          </w:p>
        </w:tc>
        <w:tc>
          <w:tcPr>
            <w:tcW w:w="524" w:type="pct"/>
            <w:tcMar>
              <w:top w:w="62" w:type="dxa"/>
              <w:left w:w="28" w:type="dxa"/>
              <w:bottom w:w="102" w:type="dxa"/>
              <w:right w:w="28" w:type="dxa"/>
            </w:tcMar>
            <w:vAlign w:val="center"/>
          </w:tcPr>
          <w:p w14:paraId="01DAFDE6" w14:textId="77777777" w:rsidR="004A0123" w:rsidRPr="00640447" w:rsidRDefault="004A0123" w:rsidP="008A5C11">
            <w:pPr>
              <w:jc w:val="center"/>
              <w:rPr>
                <w:sz w:val="13"/>
                <w:szCs w:val="13"/>
              </w:rPr>
            </w:pPr>
            <w:r w:rsidRPr="00640447">
              <w:rPr>
                <w:sz w:val="13"/>
                <w:szCs w:val="13"/>
              </w:rPr>
              <w:t>Котельная № 13</w:t>
            </w:r>
          </w:p>
        </w:tc>
        <w:tc>
          <w:tcPr>
            <w:tcW w:w="320" w:type="pct"/>
            <w:shd w:val="clear" w:color="auto" w:fill="auto"/>
            <w:tcMar>
              <w:left w:w="28" w:type="dxa"/>
              <w:right w:w="28" w:type="dxa"/>
            </w:tcMar>
            <w:vAlign w:val="bottom"/>
          </w:tcPr>
          <w:p w14:paraId="494B0319" w14:textId="77777777" w:rsidR="004A0123" w:rsidRPr="00640447" w:rsidRDefault="004A0123" w:rsidP="008A5C11">
            <w:pPr>
              <w:jc w:val="center"/>
              <w:rPr>
                <w:sz w:val="13"/>
                <w:szCs w:val="13"/>
              </w:rPr>
            </w:pPr>
            <w:r w:rsidRPr="00640447">
              <w:rPr>
                <w:sz w:val="13"/>
                <w:szCs w:val="13"/>
              </w:rPr>
              <w:t>2,20</w:t>
            </w:r>
          </w:p>
        </w:tc>
        <w:tc>
          <w:tcPr>
            <w:tcW w:w="187" w:type="pct"/>
            <w:shd w:val="clear" w:color="auto" w:fill="auto"/>
            <w:tcMar>
              <w:left w:w="28" w:type="dxa"/>
              <w:right w:w="28" w:type="dxa"/>
            </w:tcMar>
            <w:vAlign w:val="bottom"/>
          </w:tcPr>
          <w:p w14:paraId="5DC2B14E" w14:textId="77777777" w:rsidR="004A0123" w:rsidRPr="00640447" w:rsidRDefault="004A0123" w:rsidP="008A5C11">
            <w:pPr>
              <w:jc w:val="center"/>
              <w:rPr>
                <w:sz w:val="13"/>
                <w:szCs w:val="13"/>
              </w:rPr>
            </w:pPr>
            <w:r w:rsidRPr="00640447">
              <w:rPr>
                <w:sz w:val="13"/>
                <w:szCs w:val="13"/>
              </w:rPr>
              <w:t>2,20</w:t>
            </w:r>
          </w:p>
        </w:tc>
        <w:tc>
          <w:tcPr>
            <w:tcW w:w="193" w:type="pct"/>
            <w:shd w:val="clear" w:color="auto" w:fill="auto"/>
            <w:tcMar>
              <w:left w:w="28" w:type="dxa"/>
              <w:right w:w="28" w:type="dxa"/>
            </w:tcMar>
            <w:vAlign w:val="bottom"/>
          </w:tcPr>
          <w:p w14:paraId="1118D90D" w14:textId="77777777" w:rsidR="004A0123" w:rsidRPr="00640447" w:rsidRDefault="004A0123" w:rsidP="008A5C11">
            <w:pPr>
              <w:jc w:val="center"/>
              <w:rPr>
                <w:sz w:val="13"/>
                <w:szCs w:val="13"/>
              </w:rPr>
            </w:pPr>
            <w:r w:rsidRPr="00640447">
              <w:rPr>
                <w:sz w:val="13"/>
                <w:szCs w:val="13"/>
              </w:rPr>
              <w:t>2,20</w:t>
            </w:r>
          </w:p>
        </w:tc>
        <w:tc>
          <w:tcPr>
            <w:tcW w:w="193" w:type="pct"/>
            <w:shd w:val="clear" w:color="auto" w:fill="auto"/>
            <w:tcMar>
              <w:left w:w="28" w:type="dxa"/>
              <w:right w:w="28" w:type="dxa"/>
            </w:tcMar>
            <w:vAlign w:val="bottom"/>
          </w:tcPr>
          <w:p w14:paraId="014B87CA" w14:textId="77777777" w:rsidR="004A0123" w:rsidRPr="00640447" w:rsidRDefault="004A0123" w:rsidP="008A5C11">
            <w:pPr>
              <w:jc w:val="center"/>
              <w:rPr>
                <w:sz w:val="13"/>
                <w:szCs w:val="13"/>
              </w:rPr>
            </w:pPr>
            <w:r w:rsidRPr="00640447">
              <w:rPr>
                <w:sz w:val="13"/>
                <w:szCs w:val="13"/>
              </w:rPr>
              <w:t>2,20</w:t>
            </w:r>
          </w:p>
        </w:tc>
        <w:tc>
          <w:tcPr>
            <w:tcW w:w="193" w:type="pct"/>
            <w:shd w:val="clear" w:color="auto" w:fill="auto"/>
            <w:vAlign w:val="bottom"/>
          </w:tcPr>
          <w:p w14:paraId="49A50F79" w14:textId="77777777" w:rsidR="004A0123" w:rsidRPr="00640447" w:rsidRDefault="004A0123" w:rsidP="008A5C11">
            <w:pPr>
              <w:jc w:val="center"/>
              <w:rPr>
                <w:sz w:val="13"/>
                <w:szCs w:val="13"/>
              </w:rPr>
            </w:pPr>
            <w:r w:rsidRPr="00640447">
              <w:rPr>
                <w:sz w:val="13"/>
                <w:szCs w:val="13"/>
              </w:rPr>
              <w:t>2,20</w:t>
            </w:r>
          </w:p>
        </w:tc>
        <w:tc>
          <w:tcPr>
            <w:tcW w:w="182" w:type="pct"/>
            <w:shd w:val="clear" w:color="auto" w:fill="auto"/>
            <w:vAlign w:val="bottom"/>
          </w:tcPr>
          <w:p w14:paraId="5C4F6C8C" w14:textId="77777777" w:rsidR="004A0123" w:rsidRPr="00640447" w:rsidRDefault="004A0123" w:rsidP="008A5C11">
            <w:pPr>
              <w:jc w:val="center"/>
              <w:rPr>
                <w:sz w:val="13"/>
                <w:szCs w:val="13"/>
              </w:rPr>
            </w:pPr>
            <w:r w:rsidRPr="00640447">
              <w:rPr>
                <w:sz w:val="13"/>
                <w:szCs w:val="13"/>
              </w:rPr>
              <w:t>2,20</w:t>
            </w:r>
          </w:p>
        </w:tc>
        <w:tc>
          <w:tcPr>
            <w:tcW w:w="182" w:type="pct"/>
            <w:shd w:val="clear" w:color="auto" w:fill="auto"/>
            <w:tcMar>
              <w:left w:w="28" w:type="dxa"/>
              <w:right w:w="28" w:type="dxa"/>
            </w:tcMar>
            <w:vAlign w:val="bottom"/>
          </w:tcPr>
          <w:p w14:paraId="6E04291F" w14:textId="77777777" w:rsidR="004A0123" w:rsidRPr="00640447" w:rsidRDefault="004A0123" w:rsidP="008A5C11">
            <w:pPr>
              <w:jc w:val="center"/>
              <w:rPr>
                <w:sz w:val="13"/>
                <w:szCs w:val="13"/>
              </w:rPr>
            </w:pPr>
            <w:r w:rsidRPr="00640447">
              <w:rPr>
                <w:sz w:val="13"/>
                <w:szCs w:val="13"/>
              </w:rPr>
              <w:t>2,20</w:t>
            </w:r>
          </w:p>
        </w:tc>
        <w:tc>
          <w:tcPr>
            <w:tcW w:w="182" w:type="pct"/>
            <w:shd w:val="clear" w:color="auto" w:fill="auto"/>
            <w:tcMar>
              <w:left w:w="28" w:type="dxa"/>
              <w:right w:w="28" w:type="dxa"/>
            </w:tcMar>
            <w:vAlign w:val="bottom"/>
          </w:tcPr>
          <w:p w14:paraId="30AA8A8A" w14:textId="77777777" w:rsidR="004A0123" w:rsidRPr="00640447" w:rsidRDefault="004A0123" w:rsidP="008A5C11">
            <w:pPr>
              <w:jc w:val="center"/>
              <w:rPr>
                <w:sz w:val="13"/>
                <w:szCs w:val="13"/>
              </w:rPr>
            </w:pPr>
            <w:r w:rsidRPr="00640447">
              <w:rPr>
                <w:sz w:val="13"/>
                <w:szCs w:val="13"/>
              </w:rPr>
              <w:t>2,20</w:t>
            </w:r>
          </w:p>
        </w:tc>
        <w:tc>
          <w:tcPr>
            <w:tcW w:w="182" w:type="pct"/>
            <w:shd w:val="clear" w:color="auto" w:fill="auto"/>
            <w:tcMar>
              <w:left w:w="28" w:type="dxa"/>
              <w:right w:w="28" w:type="dxa"/>
            </w:tcMar>
            <w:vAlign w:val="bottom"/>
          </w:tcPr>
          <w:p w14:paraId="1991A8C7" w14:textId="77777777" w:rsidR="004A0123" w:rsidRPr="00640447" w:rsidRDefault="004A0123" w:rsidP="008A5C11">
            <w:pPr>
              <w:jc w:val="center"/>
              <w:rPr>
                <w:sz w:val="13"/>
                <w:szCs w:val="13"/>
              </w:rPr>
            </w:pPr>
            <w:r w:rsidRPr="00640447">
              <w:rPr>
                <w:sz w:val="13"/>
                <w:szCs w:val="13"/>
              </w:rPr>
              <w:t>2,20</w:t>
            </w:r>
          </w:p>
        </w:tc>
        <w:tc>
          <w:tcPr>
            <w:tcW w:w="182" w:type="pct"/>
            <w:shd w:val="clear" w:color="auto" w:fill="auto"/>
            <w:tcMar>
              <w:left w:w="28" w:type="dxa"/>
              <w:right w:w="28" w:type="dxa"/>
            </w:tcMar>
            <w:vAlign w:val="bottom"/>
          </w:tcPr>
          <w:p w14:paraId="04048934" w14:textId="77777777" w:rsidR="004A0123" w:rsidRPr="00640447" w:rsidRDefault="004A0123" w:rsidP="008A5C11">
            <w:pPr>
              <w:jc w:val="center"/>
              <w:rPr>
                <w:sz w:val="13"/>
                <w:szCs w:val="13"/>
              </w:rPr>
            </w:pPr>
            <w:r w:rsidRPr="00640447">
              <w:rPr>
                <w:sz w:val="13"/>
                <w:szCs w:val="13"/>
              </w:rPr>
              <w:t>2,20</w:t>
            </w:r>
          </w:p>
        </w:tc>
        <w:tc>
          <w:tcPr>
            <w:tcW w:w="206" w:type="pct"/>
            <w:shd w:val="clear" w:color="auto" w:fill="auto"/>
            <w:vAlign w:val="bottom"/>
          </w:tcPr>
          <w:p w14:paraId="3D103821" w14:textId="77777777" w:rsidR="004A0123" w:rsidRPr="00640447" w:rsidRDefault="004A0123" w:rsidP="008A5C11">
            <w:pPr>
              <w:jc w:val="center"/>
              <w:rPr>
                <w:sz w:val="13"/>
                <w:szCs w:val="13"/>
              </w:rPr>
            </w:pPr>
            <w:r w:rsidRPr="00640447">
              <w:rPr>
                <w:sz w:val="13"/>
                <w:szCs w:val="13"/>
              </w:rPr>
              <w:t>2,20</w:t>
            </w:r>
          </w:p>
        </w:tc>
        <w:tc>
          <w:tcPr>
            <w:tcW w:w="368" w:type="pct"/>
            <w:shd w:val="clear" w:color="auto" w:fill="auto"/>
            <w:tcMar>
              <w:left w:w="28" w:type="dxa"/>
              <w:right w:w="28" w:type="dxa"/>
            </w:tcMar>
            <w:vAlign w:val="bottom"/>
          </w:tcPr>
          <w:p w14:paraId="32461238" w14:textId="77777777" w:rsidR="004A0123" w:rsidRPr="00640447" w:rsidRDefault="004A0123" w:rsidP="008A5C11">
            <w:pPr>
              <w:jc w:val="center"/>
              <w:rPr>
                <w:sz w:val="13"/>
                <w:szCs w:val="13"/>
              </w:rPr>
            </w:pPr>
            <w:r w:rsidRPr="00640447">
              <w:rPr>
                <w:sz w:val="13"/>
                <w:szCs w:val="13"/>
              </w:rPr>
              <w:t>3,11</w:t>
            </w:r>
          </w:p>
        </w:tc>
        <w:tc>
          <w:tcPr>
            <w:tcW w:w="182" w:type="pct"/>
            <w:shd w:val="clear" w:color="auto" w:fill="auto"/>
            <w:tcMar>
              <w:left w:w="28" w:type="dxa"/>
              <w:right w:w="28" w:type="dxa"/>
            </w:tcMar>
            <w:vAlign w:val="bottom"/>
          </w:tcPr>
          <w:p w14:paraId="4535CC14" w14:textId="77777777" w:rsidR="004A0123" w:rsidRPr="00640447" w:rsidRDefault="004A0123" w:rsidP="008A5C11">
            <w:pPr>
              <w:jc w:val="center"/>
              <w:rPr>
                <w:sz w:val="13"/>
                <w:szCs w:val="13"/>
              </w:rPr>
            </w:pPr>
            <w:r w:rsidRPr="00640447">
              <w:rPr>
                <w:sz w:val="13"/>
                <w:szCs w:val="13"/>
              </w:rPr>
              <w:t>3,11</w:t>
            </w:r>
          </w:p>
        </w:tc>
        <w:tc>
          <w:tcPr>
            <w:tcW w:w="182" w:type="pct"/>
            <w:shd w:val="clear" w:color="auto" w:fill="auto"/>
            <w:tcMar>
              <w:left w:w="28" w:type="dxa"/>
              <w:right w:w="28" w:type="dxa"/>
            </w:tcMar>
            <w:vAlign w:val="bottom"/>
          </w:tcPr>
          <w:p w14:paraId="3BE2FE06" w14:textId="77777777" w:rsidR="004A0123" w:rsidRPr="00640447" w:rsidRDefault="004A0123" w:rsidP="008A5C11">
            <w:pPr>
              <w:jc w:val="center"/>
              <w:rPr>
                <w:sz w:val="13"/>
                <w:szCs w:val="13"/>
              </w:rPr>
            </w:pPr>
            <w:r w:rsidRPr="00640447">
              <w:rPr>
                <w:sz w:val="13"/>
                <w:szCs w:val="13"/>
              </w:rPr>
              <w:t>3,11</w:t>
            </w:r>
          </w:p>
        </w:tc>
        <w:tc>
          <w:tcPr>
            <w:tcW w:w="182" w:type="pct"/>
            <w:shd w:val="clear" w:color="auto" w:fill="auto"/>
            <w:tcMar>
              <w:left w:w="28" w:type="dxa"/>
              <w:right w:w="28" w:type="dxa"/>
            </w:tcMar>
            <w:vAlign w:val="bottom"/>
          </w:tcPr>
          <w:p w14:paraId="0E37EF18" w14:textId="77777777" w:rsidR="004A0123" w:rsidRPr="00640447" w:rsidRDefault="004A0123" w:rsidP="008A5C11">
            <w:pPr>
              <w:jc w:val="center"/>
              <w:rPr>
                <w:sz w:val="13"/>
                <w:szCs w:val="13"/>
              </w:rPr>
            </w:pPr>
            <w:r w:rsidRPr="00640447">
              <w:rPr>
                <w:sz w:val="13"/>
                <w:szCs w:val="13"/>
              </w:rPr>
              <w:t>3,11</w:t>
            </w:r>
          </w:p>
        </w:tc>
        <w:tc>
          <w:tcPr>
            <w:tcW w:w="182" w:type="pct"/>
            <w:shd w:val="clear" w:color="auto" w:fill="auto"/>
            <w:vAlign w:val="bottom"/>
          </w:tcPr>
          <w:p w14:paraId="12DC2711" w14:textId="77777777" w:rsidR="004A0123" w:rsidRPr="00640447" w:rsidRDefault="004A0123" w:rsidP="008A5C11">
            <w:pPr>
              <w:jc w:val="center"/>
              <w:rPr>
                <w:sz w:val="13"/>
                <w:szCs w:val="13"/>
              </w:rPr>
            </w:pPr>
            <w:r w:rsidRPr="00640447">
              <w:rPr>
                <w:sz w:val="13"/>
                <w:szCs w:val="13"/>
              </w:rPr>
              <w:t>3,11</w:t>
            </w:r>
          </w:p>
        </w:tc>
        <w:tc>
          <w:tcPr>
            <w:tcW w:w="182" w:type="pct"/>
            <w:shd w:val="clear" w:color="auto" w:fill="auto"/>
            <w:vAlign w:val="bottom"/>
          </w:tcPr>
          <w:p w14:paraId="22D36542" w14:textId="77777777" w:rsidR="004A0123" w:rsidRPr="00640447" w:rsidRDefault="004A0123" w:rsidP="008A5C11">
            <w:pPr>
              <w:jc w:val="center"/>
              <w:rPr>
                <w:sz w:val="13"/>
                <w:szCs w:val="13"/>
              </w:rPr>
            </w:pPr>
            <w:r w:rsidRPr="00640447">
              <w:rPr>
                <w:sz w:val="13"/>
                <w:szCs w:val="13"/>
              </w:rPr>
              <w:t>3,11</w:t>
            </w:r>
          </w:p>
        </w:tc>
        <w:tc>
          <w:tcPr>
            <w:tcW w:w="182" w:type="pct"/>
            <w:shd w:val="clear" w:color="auto" w:fill="auto"/>
            <w:tcMar>
              <w:left w:w="28" w:type="dxa"/>
              <w:right w:w="28" w:type="dxa"/>
            </w:tcMar>
            <w:vAlign w:val="bottom"/>
          </w:tcPr>
          <w:p w14:paraId="22E063A7" w14:textId="77777777" w:rsidR="004A0123" w:rsidRPr="00640447" w:rsidRDefault="004A0123" w:rsidP="008A5C11">
            <w:pPr>
              <w:jc w:val="center"/>
              <w:rPr>
                <w:sz w:val="13"/>
                <w:szCs w:val="13"/>
              </w:rPr>
            </w:pPr>
            <w:r w:rsidRPr="00640447">
              <w:rPr>
                <w:sz w:val="13"/>
                <w:szCs w:val="13"/>
              </w:rPr>
              <w:t>3,11</w:t>
            </w:r>
          </w:p>
        </w:tc>
        <w:tc>
          <w:tcPr>
            <w:tcW w:w="182" w:type="pct"/>
            <w:shd w:val="clear" w:color="auto" w:fill="auto"/>
            <w:tcMar>
              <w:left w:w="28" w:type="dxa"/>
              <w:right w:w="28" w:type="dxa"/>
            </w:tcMar>
            <w:vAlign w:val="bottom"/>
          </w:tcPr>
          <w:p w14:paraId="155BCCDF" w14:textId="77777777" w:rsidR="004A0123" w:rsidRPr="00640447" w:rsidRDefault="004A0123" w:rsidP="008A5C11">
            <w:pPr>
              <w:jc w:val="center"/>
              <w:rPr>
                <w:sz w:val="13"/>
                <w:szCs w:val="13"/>
              </w:rPr>
            </w:pPr>
            <w:r w:rsidRPr="00640447">
              <w:rPr>
                <w:sz w:val="13"/>
                <w:szCs w:val="13"/>
              </w:rPr>
              <w:t>3,11</w:t>
            </w:r>
          </w:p>
        </w:tc>
        <w:tc>
          <w:tcPr>
            <w:tcW w:w="182" w:type="pct"/>
            <w:shd w:val="clear" w:color="auto" w:fill="auto"/>
            <w:tcMar>
              <w:left w:w="28" w:type="dxa"/>
              <w:right w:w="28" w:type="dxa"/>
            </w:tcMar>
            <w:vAlign w:val="bottom"/>
          </w:tcPr>
          <w:p w14:paraId="7DCF3A42" w14:textId="77777777" w:rsidR="004A0123" w:rsidRPr="00640447" w:rsidRDefault="004A0123" w:rsidP="008A5C11">
            <w:pPr>
              <w:jc w:val="center"/>
              <w:rPr>
                <w:sz w:val="13"/>
                <w:szCs w:val="13"/>
              </w:rPr>
            </w:pPr>
            <w:r w:rsidRPr="00640447">
              <w:rPr>
                <w:sz w:val="13"/>
                <w:szCs w:val="13"/>
              </w:rPr>
              <w:t>3,11</w:t>
            </w:r>
          </w:p>
        </w:tc>
        <w:tc>
          <w:tcPr>
            <w:tcW w:w="182" w:type="pct"/>
            <w:shd w:val="clear" w:color="auto" w:fill="auto"/>
            <w:tcMar>
              <w:left w:w="28" w:type="dxa"/>
              <w:right w:w="28" w:type="dxa"/>
            </w:tcMar>
            <w:vAlign w:val="bottom"/>
          </w:tcPr>
          <w:p w14:paraId="11FAFF79" w14:textId="77777777" w:rsidR="004A0123" w:rsidRPr="00640447" w:rsidRDefault="004A0123" w:rsidP="008A5C11">
            <w:pPr>
              <w:jc w:val="center"/>
              <w:rPr>
                <w:sz w:val="13"/>
                <w:szCs w:val="13"/>
              </w:rPr>
            </w:pPr>
            <w:r w:rsidRPr="00640447">
              <w:rPr>
                <w:sz w:val="13"/>
                <w:szCs w:val="13"/>
              </w:rPr>
              <w:t>3,11</w:t>
            </w:r>
          </w:p>
        </w:tc>
        <w:tc>
          <w:tcPr>
            <w:tcW w:w="134" w:type="pct"/>
            <w:shd w:val="clear" w:color="auto" w:fill="auto"/>
            <w:vAlign w:val="bottom"/>
          </w:tcPr>
          <w:p w14:paraId="6527846B" w14:textId="77777777" w:rsidR="004A0123" w:rsidRPr="00640447" w:rsidRDefault="004A0123" w:rsidP="008A5C11">
            <w:pPr>
              <w:jc w:val="center"/>
              <w:rPr>
                <w:sz w:val="13"/>
                <w:szCs w:val="13"/>
              </w:rPr>
            </w:pPr>
            <w:r w:rsidRPr="00640447">
              <w:rPr>
                <w:sz w:val="13"/>
                <w:szCs w:val="13"/>
              </w:rPr>
              <w:t>3,11</w:t>
            </w:r>
          </w:p>
        </w:tc>
      </w:tr>
      <w:tr w:rsidR="004A0123" w:rsidRPr="00640447" w14:paraId="33592AB0" w14:textId="77777777" w:rsidTr="008A5C11">
        <w:trPr>
          <w:trHeight w:val="148"/>
          <w:jc w:val="center"/>
        </w:trPr>
        <w:tc>
          <w:tcPr>
            <w:tcW w:w="134" w:type="pct"/>
            <w:tcMar>
              <w:top w:w="62" w:type="dxa"/>
              <w:left w:w="28" w:type="dxa"/>
              <w:bottom w:w="102" w:type="dxa"/>
              <w:right w:w="28" w:type="dxa"/>
            </w:tcMar>
            <w:vAlign w:val="center"/>
          </w:tcPr>
          <w:p w14:paraId="578F3D88" w14:textId="77777777" w:rsidR="004A0123" w:rsidRPr="00640447" w:rsidRDefault="004A0123" w:rsidP="008A5C11">
            <w:pPr>
              <w:jc w:val="center"/>
              <w:rPr>
                <w:sz w:val="13"/>
                <w:szCs w:val="13"/>
              </w:rPr>
            </w:pPr>
            <w:r w:rsidRPr="00640447">
              <w:rPr>
                <w:sz w:val="13"/>
                <w:szCs w:val="13"/>
              </w:rPr>
              <w:t>9</w:t>
            </w:r>
          </w:p>
        </w:tc>
        <w:tc>
          <w:tcPr>
            <w:tcW w:w="524" w:type="pct"/>
            <w:tcMar>
              <w:top w:w="62" w:type="dxa"/>
              <w:left w:w="28" w:type="dxa"/>
              <w:bottom w:w="102" w:type="dxa"/>
              <w:right w:w="28" w:type="dxa"/>
            </w:tcMar>
            <w:vAlign w:val="center"/>
          </w:tcPr>
          <w:p w14:paraId="2D386E36" w14:textId="77777777" w:rsidR="004A0123" w:rsidRPr="00640447" w:rsidRDefault="004A0123" w:rsidP="008A5C11">
            <w:pPr>
              <w:jc w:val="center"/>
              <w:rPr>
                <w:sz w:val="13"/>
                <w:szCs w:val="13"/>
              </w:rPr>
            </w:pPr>
            <w:r w:rsidRPr="00640447">
              <w:rPr>
                <w:sz w:val="13"/>
                <w:szCs w:val="13"/>
              </w:rPr>
              <w:t>Котельная № 14</w:t>
            </w:r>
          </w:p>
        </w:tc>
        <w:tc>
          <w:tcPr>
            <w:tcW w:w="320" w:type="pct"/>
            <w:shd w:val="clear" w:color="auto" w:fill="auto"/>
            <w:tcMar>
              <w:left w:w="28" w:type="dxa"/>
              <w:right w:w="28" w:type="dxa"/>
            </w:tcMar>
            <w:vAlign w:val="bottom"/>
          </w:tcPr>
          <w:p w14:paraId="68E8E55B" w14:textId="77777777" w:rsidR="004A0123" w:rsidRPr="00640447" w:rsidRDefault="004A0123" w:rsidP="008A5C11">
            <w:pPr>
              <w:jc w:val="center"/>
              <w:rPr>
                <w:sz w:val="13"/>
                <w:szCs w:val="13"/>
              </w:rPr>
            </w:pPr>
            <w:r w:rsidRPr="00640447">
              <w:rPr>
                <w:sz w:val="13"/>
                <w:szCs w:val="13"/>
              </w:rPr>
              <w:t>1,60</w:t>
            </w:r>
          </w:p>
        </w:tc>
        <w:tc>
          <w:tcPr>
            <w:tcW w:w="187" w:type="pct"/>
            <w:shd w:val="clear" w:color="auto" w:fill="auto"/>
            <w:tcMar>
              <w:left w:w="28" w:type="dxa"/>
              <w:right w:w="28" w:type="dxa"/>
            </w:tcMar>
            <w:vAlign w:val="bottom"/>
          </w:tcPr>
          <w:p w14:paraId="49B3C8CC" w14:textId="77777777" w:rsidR="004A0123" w:rsidRPr="00640447" w:rsidRDefault="004A0123" w:rsidP="008A5C11">
            <w:pPr>
              <w:jc w:val="center"/>
              <w:rPr>
                <w:sz w:val="13"/>
                <w:szCs w:val="13"/>
              </w:rPr>
            </w:pPr>
            <w:r w:rsidRPr="00640447">
              <w:rPr>
                <w:sz w:val="13"/>
                <w:szCs w:val="13"/>
              </w:rPr>
              <w:t>1,60</w:t>
            </w:r>
          </w:p>
        </w:tc>
        <w:tc>
          <w:tcPr>
            <w:tcW w:w="193" w:type="pct"/>
            <w:shd w:val="clear" w:color="auto" w:fill="auto"/>
            <w:tcMar>
              <w:left w:w="28" w:type="dxa"/>
              <w:right w:w="28" w:type="dxa"/>
            </w:tcMar>
            <w:vAlign w:val="bottom"/>
          </w:tcPr>
          <w:p w14:paraId="112B13CD" w14:textId="77777777" w:rsidR="004A0123" w:rsidRPr="00640447" w:rsidRDefault="004A0123" w:rsidP="008A5C11">
            <w:pPr>
              <w:jc w:val="center"/>
              <w:rPr>
                <w:sz w:val="13"/>
                <w:szCs w:val="13"/>
              </w:rPr>
            </w:pPr>
            <w:r w:rsidRPr="00640447">
              <w:rPr>
                <w:sz w:val="13"/>
                <w:szCs w:val="13"/>
              </w:rPr>
              <w:t>1,60</w:t>
            </w:r>
          </w:p>
        </w:tc>
        <w:tc>
          <w:tcPr>
            <w:tcW w:w="193" w:type="pct"/>
            <w:shd w:val="clear" w:color="auto" w:fill="auto"/>
            <w:tcMar>
              <w:left w:w="28" w:type="dxa"/>
              <w:right w:w="28" w:type="dxa"/>
            </w:tcMar>
            <w:vAlign w:val="bottom"/>
          </w:tcPr>
          <w:p w14:paraId="3CA36335" w14:textId="77777777" w:rsidR="004A0123" w:rsidRPr="00640447" w:rsidRDefault="004A0123" w:rsidP="008A5C11">
            <w:pPr>
              <w:jc w:val="center"/>
              <w:rPr>
                <w:sz w:val="13"/>
                <w:szCs w:val="13"/>
              </w:rPr>
            </w:pPr>
            <w:r w:rsidRPr="00640447">
              <w:rPr>
                <w:sz w:val="13"/>
                <w:szCs w:val="13"/>
              </w:rPr>
              <w:t>1,60</w:t>
            </w:r>
          </w:p>
        </w:tc>
        <w:tc>
          <w:tcPr>
            <w:tcW w:w="193" w:type="pct"/>
            <w:shd w:val="clear" w:color="auto" w:fill="auto"/>
            <w:vAlign w:val="bottom"/>
          </w:tcPr>
          <w:p w14:paraId="6321C9E2" w14:textId="77777777" w:rsidR="004A0123" w:rsidRPr="00640447" w:rsidRDefault="004A0123" w:rsidP="008A5C11">
            <w:pPr>
              <w:jc w:val="center"/>
              <w:rPr>
                <w:sz w:val="13"/>
                <w:szCs w:val="13"/>
              </w:rPr>
            </w:pPr>
            <w:r w:rsidRPr="00640447">
              <w:rPr>
                <w:sz w:val="13"/>
                <w:szCs w:val="13"/>
              </w:rPr>
              <w:t>1,60</w:t>
            </w:r>
          </w:p>
        </w:tc>
        <w:tc>
          <w:tcPr>
            <w:tcW w:w="182" w:type="pct"/>
            <w:shd w:val="clear" w:color="auto" w:fill="auto"/>
            <w:vAlign w:val="bottom"/>
          </w:tcPr>
          <w:p w14:paraId="224AD6F1" w14:textId="77777777" w:rsidR="004A0123" w:rsidRPr="00640447" w:rsidRDefault="004A0123" w:rsidP="008A5C11">
            <w:pPr>
              <w:jc w:val="center"/>
              <w:rPr>
                <w:sz w:val="13"/>
                <w:szCs w:val="13"/>
              </w:rPr>
            </w:pPr>
            <w:r w:rsidRPr="00640447">
              <w:rPr>
                <w:sz w:val="13"/>
                <w:szCs w:val="13"/>
              </w:rPr>
              <w:t>1,60</w:t>
            </w:r>
          </w:p>
        </w:tc>
        <w:tc>
          <w:tcPr>
            <w:tcW w:w="182" w:type="pct"/>
            <w:shd w:val="clear" w:color="auto" w:fill="auto"/>
            <w:tcMar>
              <w:left w:w="28" w:type="dxa"/>
              <w:right w:w="28" w:type="dxa"/>
            </w:tcMar>
            <w:vAlign w:val="bottom"/>
          </w:tcPr>
          <w:p w14:paraId="2C24AE59" w14:textId="77777777" w:rsidR="004A0123" w:rsidRPr="00640447" w:rsidRDefault="004A0123" w:rsidP="008A5C11">
            <w:pPr>
              <w:jc w:val="center"/>
              <w:rPr>
                <w:sz w:val="13"/>
                <w:szCs w:val="13"/>
              </w:rPr>
            </w:pPr>
            <w:r w:rsidRPr="00640447">
              <w:rPr>
                <w:sz w:val="13"/>
                <w:szCs w:val="13"/>
              </w:rPr>
              <w:t>1,60</w:t>
            </w:r>
          </w:p>
        </w:tc>
        <w:tc>
          <w:tcPr>
            <w:tcW w:w="182" w:type="pct"/>
            <w:shd w:val="clear" w:color="auto" w:fill="auto"/>
            <w:tcMar>
              <w:left w:w="28" w:type="dxa"/>
              <w:right w:w="28" w:type="dxa"/>
            </w:tcMar>
            <w:vAlign w:val="bottom"/>
          </w:tcPr>
          <w:p w14:paraId="16415B29" w14:textId="77777777" w:rsidR="004A0123" w:rsidRPr="00640447" w:rsidRDefault="004A0123" w:rsidP="008A5C11">
            <w:pPr>
              <w:jc w:val="center"/>
              <w:rPr>
                <w:sz w:val="13"/>
                <w:szCs w:val="13"/>
              </w:rPr>
            </w:pPr>
            <w:r w:rsidRPr="00640447">
              <w:rPr>
                <w:sz w:val="13"/>
                <w:szCs w:val="13"/>
              </w:rPr>
              <w:t>1,60</w:t>
            </w:r>
          </w:p>
        </w:tc>
        <w:tc>
          <w:tcPr>
            <w:tcW w:w="182" w:type="pct"/>
            <w:shd w:val="clear" w:color="auto" w:fill="auto"/>
            <w:tcMar>
              <w:left w:w="28" w:type="dxa"/>
              <w:right w:w="28" w:type="dxa"/>
            </w:tcMar>
            <w:vAlign w:val="bottom"/>
          </w:tcPr>
          <w:p w14:paraId="6452EAAA" w14:textId="77777777" w:rsidR="004A0123" w:rsidRPr="00640447" w:rsidRDefault="004A0123" w:rsidP="008A5C11">
            <w:pPr>
              <w:jc w:val="center"/>
              <w:rPr>
                <w:sz w:val="13"/>
                <w:szCs w:val="13"/>
              </w:rPr>
            </w:pPr>
            <w:r w:rsidRPr="00640447">
              <w:rPr>
                <w:sz w:val="13"/>
                <w:szCs w:val="13"/>
              </w:rPr>
              <w:t>1,60</w:t>
            </w:r>
          </w:p>
        </w:tc>
        <w:tc>
          <w:tcPr>
            <w:tcW w:w="182" w:type="pct"/>
            <w:shd w:val="clear" w:color="auto" w:fill="auto"/>
            <w:tcMar>
              <w:left w:w="28" w:type="dxa"/>
              <w:right w:w="28" w:type="dxa"/>
            </w:tcMar>
            <w:vAlign w:val="bottom"/>
          </w:tcPr>
          <w:p w14:paraId="5C01737E" w14:textId="77777777" w:rsidR="004A0123" w:rsidRPr="00640447" w:rsidRDefault="004A0123" w:rsidP="008A5C11">
            <w:pPr>
              <w:jc w:val="center"/>
              <w:rPr>
                <w:sz w:val="13"/>
                <w:szCs w:val="13"/>
              </w:rPr>
            </w:pPr>
            <w:r w:rsidRPr="00640447">
              <w:rPr>
                <w:sz w:val="13"/>
                <w:szCs w:val="13"/>
              </w:rPr>
              <w:t>1,60</w:t>
            </w:r>
          </w:p>
        </w:tc>
        <w:tc>
          <w:tcPr>
            <w:tcW w:w="206" w:type="pct"/>
            <w:shd w:val="clear" w:color="auto" w:fill="auto"/>
            <w:vAlign w:val="bottom"/>
          </w:tcPr>
          <w:p w14:paraId="3EB88CA7" w14:textId="77777777" w:rsidR="004A0123" w:rsidRPr="00640447" w:rsidRDefault="004A0123" w:rsidP="008A5C11">
            <w:pPr>
              <w:jc w:val="center"/>
              <w:rPr>
                <w:sz w:val="13"/>
                <w:szCs w:val="13"/>
              </w:rPr>
            </w:pPr>
            <w:r w:rsidRPr="00640447">
              <w:rPr>
                <w:sz w:val="13"/>
                <w:szCs w:val="13"/>
              </w:rPr>
              <w:t>1,60</w:t>
            </w:r>
          </w:p>
        </w:tc>
        <w:tc>
          <w:tcPr>
            <w:tcW w:w="368" w:type="pct"/>
            <w:shd w:val="clear" w:color="auto" w:fill="auto"/>
            <w:tcMar>
              <w:left w:w="28" w:type="dxa"/>
              <w:right w:w="28" w:type="dxa"/>
            </w:tcMar>
            <w:vAlign w:val="bottom"/>
          </w:tcPr>
          <w:p w14:paraId="48F8C161" w14:textId="77777777" w:rsidR="004A0123" w:rsidRPr="00640447" w:rsidRDefault="004A0123" w:rsidP="008A5C11">
            <w:pPr>
              <w:jc w:val="center"/>
              <w:rPr>
                <w:sz w:val="13"/>
                <w:szCs w:val="13"/>
              </w:rPr>
            </w:pPr>
            <w:r w:rsidRPr="00640447">
              <w:rPr>
                <w:sz w:val="13"/>
                <w:szCs w:val="13"/>
              </w:rPr>
              <w:t>1,85</w:t>
            </w:r>
          </w:p>
        </w:tc>
        <w:tc>
          <w:tcPr>
            <w:tcW w:w="182" w:type="pct"/>
            <w:shd w:val="clear" w:color="auto" w:fill="auto"/>
            <w:tcMar>
              <w:left w:w="28" w:type="dxa"/>
              <w:right w:w="28" w:type="dxa"/>
            </w:tcMar>
            <w:vAlign w:val="bottom"/>
          </w:tcPr>
          <w:p w14:paraId="0A1F707F" w14:textId="77777777" w:rsidR="004A0123" w:rsidRPr="00640447" w:rsidRDefault="004A0123" w:rsidP="008A5C11">
            <w:pPr>
              <w:jc w:val="center"/>
              <w:rPr>
                <w:sz w:val="13"/>
                <w:szCs w:val="13"/>
              </w:rPr>
            </w:pPr>
            <w:r w:rsidRPr="00640447">
              <w:rPr>
                <w:sz w:val="13"/>
                <w:szCs w:val="13"/>
              </w:rPr>
              <w:t>1,85</w:t>
            </w:r>
          </w:p>
        </w:tc>
        <w:tc>
          <w:tcPr>
            <w:tcW w:w="182" w:type="pct"/>
            <w:shd w:val="clear" w:color="auto" w:fill="auto"/>
            <w:tcMar>
              <w:left w:w="28" w:type="dxa"/>
              <w:right w:w="28" w:type="dxa"/>
            </w:tcMar>
            <w:vAlign w:val="bottom"/>
          </w:tcPr>
          <w:p w14:paraId="732B6BD6" w14:textId="77777777" w:rsidR="004A0123" w:rsidRPr="00640447" w:rsidRDefault="004A0123" w:rsidP="008A5C11">
            <w:pPr>
              <w:jc w:val="center"/>
              <w:rPr>
                <w:sz w:val="13"/>
                <w:szCs w:val="13"/>
              </w:rPr>
            </w:pPr>
            <w:r w:rsidRPr="00640447">
              <w:rPr>
                <w:sz w:val="13"/>
                <w:szCs w:val="13"/>
              </w:rPr>
              <w:t>1,85</w:t>
            </w:r>
          </w:p>
        </w:tc>
        <w:tc>
          <w:tcPr>
            <w:tcW w:w="182" w:type="pct"/>
            <w:shd w:val="clear" w:color="auto" w:fill="auto"/>
            <w:tcMar>
              <w:left w:w="28" w:type="dxa"/>
              <w:right w:w="28" w:type="dxa"/>
            </w:tcMar>
            <w:vAlign w:val="bottom"/>
          </w:tcPr>
          <w:p w14:paraId="63D4D751" w14:textId="77777777" w:rsidR="004A0123" w:rsidRPr="00640447" w:rsidRDefault="004A0123" w:rsidP="008A5C11">
            <w:pPr>
              <w:jc w:val="center"/>
              <w:rPr>
                <w:sz w:val="13"/>
                <w:szCs w:val="13"/>
              </w:rPr>
            </w:pPr>
            <w:r w:rsidRPr="00640447">
              <w:rPr>
                <w:sz w:val="13"/>
                <w:szCs w:val="13"/>
              </w:rPr>
              <w:t>1,85</w:t>
            </w:r>
          </w:p>
        </w:tc>
        <w:tc>
          <w:tcPr>
            <w:tcW w:w="182" w:type="pct"/>
            <w:shd w:val="clear" w:color="auto" w:fill="auto"/>
            <w:vAlign w:val="bottom"/>
          </w:tcPr>
          <w:p w14:paraId="775531E3" w14:textId="77777777" w:rsidR="004A0123" w:rsidRPr="00640447" w:rsidRDefault="004A0123" w:rsidP="008A5C11">
            <w:pPr>
              <w:jc w:val="center"/>
              <w:rPr>
                <w:sz w:val="13"/>
                <w:szCs w:val="13"/>
              </w:rPr>
            </w:pPr>
            <w:r w:rsidRPr="00640447">
              <w:rPr>
                <w:sz w:val="13"/>
                <w:szCs w:val="13"/>
              </w:rPr>
              <w:t>1,85</w:t>
            </w:r>
          </w:p>
        </w:tc>
        <w:tc>
          <w:tcPr>
            <w:tcW w:w="182" w:type="pct"/>
            <w:shd w:val="clear" w:color="auto" w:fill="auto"/>
            <w:vAlign w:val="bottom"/>
          </w:tcPr>
          <w:p w14:paraId="1A67CE26" w14:textId="77777777" w:rsidR="004A0123" w:rsidRPr="00640447" w:rsidRDefault="004A0123" w:rsidP="008A5C11">
            <w:pPr>
              <w:jc w:val="center"/>
              <w:rPr>
                <w:sz w:val="13"/>
                <w:szCs w:val="13"/>
              </w:rPr>
            </w:pPr>
            <w:r w:rsidRPr="00640447">
              <w:rPr>
                <w:sz w:val="13"/>
                <w:szCs w:val="13"/>
              </w:rPr>
              <w:t>1,85</w:t>
            </w:r>
          </w:p>
        </w:tc>
        <w:tc>
          <w:tcPr>
            <w:tcW w:w="182" w:type="pct"/>
            <w:shd w:val="clear" w:color="auto" w:fill="auto"/>
            <w:tcMar>
              <w:left w:w="28" w:type="dxa"/>
              <w:right w:w="28" w:type="dxa"/>
            </w:tcMar>
            <w:vAlign w:val="bottom"/>
          </w:tcPr>
          <w:p w14:paraId="1B5C44E0" w14:textId="77777777" w:rsidR="004A0123" w:rsidRPr="00640447" w:rsidRDefault="004A0123" w:rsidP="008A5C11">
            <w:pPr>
              <w:jc w:val="center"/>
              <w:rPr>
                <w:sz w:val="13"/>
                <w:szCs w:val="13"/>
              </w:rPr>
            </w:pPr>
            <w:r w:rsidRPr="00640447">
              <w:rPr>
                <w:sz w:val="13"/>
                <w:szCs w:val="13"/>
              </w:rPr>
              <w:t>1,85</w:t>
            </w:r>
          </w:p>
        </w:tc>
        <w:tc>
          <w:tcPr>
            <w:tcW w:w="182" w:type="pct"/>
            <w:shd w:val="clear" w:color="auto" w:fill="auto"/>
            <w:tcMar>
              <w:left w:w="28" w:type="dxa"/>
              <w:right w:w="28" w:type="dxa"/>
            </w:tcMar>
            <w:vAlign w:val="bottom"/>
          </w:tcPr>
          <w:p w14:paraId="3DCAFA46" w14:textId="77777777" w:rsidR="004A0123" w:rsidRPr="00640447" w:rsidRDefault="004A0123" w:rsidP="008A5C11">
            <w:pPr>
              <w:jc w:val="center"/>
              <w:rPr>
                <w:sz w:val="13"/>
                <w:szCs w:val="13"/>
              </w:rPr>
            </w:pPr>
            <w:r w:rsidRPr="00640447">
              <w:rPr>
                <w:sz w:val="13"/>
                <w:szCs w:val="13"/>
              </w:rPr>
              <w:t>1,85</w:t>
            </w:r>
          </w:p>
        </w:tc>
        <w:tc>
          <w:tcPr>
            <w:tcW w:w="182" w:type="pct"/>
            <w:shd w:val="clear" w:color="auto" w:fill="auto"/>
            <w:tcMar>
              <w:left w:w="28" w:type="dxa"/>
              <w:right w:w="28" w:type="dxa"/>
            </w:tcMar>
            <w:vAlign w:val="bottom"/>
          </w:tcPr>
          <w:p w14:paraId="2EF03269" w14:textId="77777777" w:rsidR="004A0123" w:rsidRPr="00640447" w:rsidRDefault="004A0123" w:rsidP="008A5C11">
            <w:pPr>
              <w:jc w:val="center"/>
              <w:rPr>
                <w:sz w:val="13"/>
                <w:szCs w:val="13"/>
              </w:rPr>
            </w:pPr>
            <w:r w:rsidRPr="00640447">
              <w:rPr>
                <w:sz w:val="13"/>
                <w:szCs w:val="13"/>
              </w:rPr>
              <w:t>1,85</w:t>
            </w:r>
          </w:p>
        </w:tc>
        <w:tc>
          <w:tcPr>
            <w:tcW w:w="182" w:type="pct"/>
            <w:shd w:val="clear" w:color="auto" w:fill="auto"/>
            <w:tcMar>
              <w:left w:w="28" w:type="dxa"/>
              <w:right w:w="28" w:type="dxa"/>
            </w:tcMar>
            <w:vAlign w:val="bottom"/>
          </w:tcPr>
          <w:p w14:paraId="4FCABDF6" w14:textId="77777777" w:rsidR="004A0123" w:rsidRPr="00640447" w:rsidRDefault="004A0123" w:rsidP="008A5C11">
            <w:pPr>
              <w:jc w:val="center"/>
              <w:rPr>
                <w:sz w:val="13"/>
                <w:szCs w:val="13"/>
              </w:rPr>
            </w:pPr>
            <w:r w:rsidRPr="00640447">
              <w:rPr>
                <w:sz w:val="13"/>
                <w:szCs w:val="13"/>
              </w:rPr>
              <w:t>1,85</w:t>
            </w:r>
          </w:p>
        </w:tc>
        <w:tc>
          <w:tcPr>
            <w:tcW w:w="134" w:type="pct"/>
            <w:shd w:val="clear" w:color="auto" w:fill="auto"/>
            <w:vAlign w:val="bottom"/>
          </w:tcPr>
          <w:p w14:paraId="2FE65BB6" w14:textId="77777777" w:rsidR="004A0123" w:rsidRPr="00640447" w:rsidRDefault="004A0123" w:rsidP="008A5C11">
            <w:pPr>
              <w:jc w:val="center"/>
              <w:rPr>
                <w:sz w:val="13"/>
                <w:szCs w:val="13"/>
              </w:rPr>
            </w:pPr>
            <w:r w:rsidRPr="00640447">
              <w:rPr>
                <w:sz w:val="13"/>
                <w:szCs w:val="13"/>
              </w:rPr>
              <w:t>1,85</w:t>
            </w:r>
          </w:p>
        </w:tc>
      </w:tr>
      <w:tr w:rsidR="004A0123" w:rsidRPr="00640447" w14:paraId="440BAA2D" w14:textId="77777777" w:rsidTr="008A5C11">
        <w:trPr>
          <w:trHeight w:val="148"/>
          <w:jc w:val="center"/>
        </w:trPr>
        <w:tc>
          <w:tcPr>
            <w:tcW w:w="134" w:type="pct"/>
            <w:tcMar>
              <w:top w:w="62" w:type="dxa"/>
              <w:left w:w="28" w:type="dxa"/>
              <w:bottom w:w="102" w:type="dxa"/>
              <w:right w:w="28" w:type="dxa"/>
            </w:tcMar>
            <w:vAlign w:val="center"/>
          </w:tcPr>
          <w:p w14:paraId="7EC7660B" w14:textId="77777777" w:rsidR="004A0123" w:rsidRPr="00640447" w:rsidRDefault="004A0123" w:rsidP="008A5C11">
            <w:pPr>
              <w:jc w:val="center"/>
              <w:rPr>
                <w:sz w:val="13"/>
                <w:szCs w:val="13"/>
              </w:rPr>
            </w:pPr>
            <w:r w:rsidRPr="00640447">
              <w:rPr>
                <w:sz w:val="13"/>
                <w:szCs w:val="13"/>
              </w:rPr>
              <w:t>10</w:t>
            </w:r>
          </w:p>
        </w:tc>
        <w:tc>
          <w:tcPr>
            <w:tcW w:w="524" w:type="pct"/>
            <w:tcMar>
              <w:top w:w="62" w:type="dxa"/>
              <w:left w:w="28" w:type="dxa"/>
              <w:bottom w:w="102" w:type="dxa"/>
              <w:right w:w="28" w:type="dxa"/>
            </w:tcMar>
            <w:vAlign w:val="center"/>
          </w:tcPr>
          <w:p w14:paraId="42A2B878" w14:textId="77777777" w:rsidR="004A0123" w:rsidRPr="00640447" w:rsidRDefault="004A0123" w:rsidP="008A5C11">
            <w:pPr>
              <w:jc w:val="center"/>
              <w:rPr>
                <w:sz w:val="13"/>
                <w:szCs w:val="13"/>
              </w:rPr>
            </w:pPr>
            <w:r w:rsidRPr="00640447">
              <w:rPr>
                <w:sz w:val="13"/>
                <w:szCs w:val="13"/>
              </w:rPr>
              <w:t>Котельная № 20</w:t>
            </w:r>
          </w:p>
        </w:tc>
        <w:tc>
          <w:tcPr>
            <w:tcW w:w="320" w:type="pct"/>
            <w:shd w:val="clear" w:color="auto" w:fill="auto"/>
            <w:tcMar>
              <w:left w:w="28" w:type="dxa"/>
              <w:right w:w="28" w:type="dxa"/>
            </w:tcMar>
            <w:vAlign w:val="bottom"/>
          </w:tcPr>
          <w:p w14:paraId="778BB2D3" w14:textId="77777777" w:rsidR="004A0123" w:rsidRPr="00640447" w:rsidRDefault="004A0123" w:rsidP="008A5C11">
            <w:pPr>
              <w:jc w:val="center"/>
              <w:rPr>
                <w:sz w:val="13"/>
                <w:szCs w:val="13"/>
              </w:rPr>
            </w:pPr>
            <w:r w:rsidRPr="00640447">
              <w:rPr>
                <w:sz w:val="13"/>
                <w:szCs w:val="13"/>
              </w:rPr>
              <w:t>1,37</w:t>
            </w:r>
          </w:p>
        </w:tc>
        <w:tc>
          <w:tcPr>
            <w:tcW w:w="187" w:type="pct"/>
            <w:shd w:val="clear" w:color="auto" w:fill="auto"/>
            <w:tcMar>
              <w:left w:w="28" w:type="dxa"/>
              <w:right w:w="28" w:type="dxa"/>
            </w:tcMar>
            <w:vAlign w:val="bottom"/>
          </w:tcPr>
          <w:p w14:paraId="455843AF" w14:textId="77777777" w:rsidR="004A0123" w:rsidRPr="00640447" w:rsidRDefault="004A0123" w:rsidP="008A5C11">
            <w:pPr>
              <w:jc w:val="center"/>
              <w:rPr>
                <w:sz w:val="13"/>
                <w:szCs w:val="13"/>
              </w:rPr>
            </w:pPr>
            <w:r w:rsidRPr="00640447">
              <w:rPr>
                <w:sz w:val="13"/>
                <w:szCs w:val="13"/>
              </w:rPr>
              <w:t>1,37</w:t>
            </w:r>
          </w:p>
        </w:tc>
        <w:tc>
          <w:tcPr>
            <w:tcW w:w="193" w:type="pct"/>
            <w:shd w:val="clear" w:color="auto" w:fill="auto"/>
            <w:tcMar>
              <w:left w:w="28" w:type="dxa"/>
              <w:right w:w="28" w:type="dxa"/>
            </w:tcMar>
            <w:vAlign w:val="bottom"/>
          </w:tcPr>
          <w:p w14:paraId="6629744D" w14:textId="77777777" w:rsidR="004A0123" w:rsidRPr="00640447" w:rsidRDefault="004A0123" w:rsidP="008A5C11">
            <w:pPr>
              <w:jc w:val="center"/>
              <w:rPr>
                <w:sz w:val="13"/>
                <w:szCs w:val="13"/>
              </w:rPr>
            </w:pPr>
            <w:r w:rsidRPr="00640447">
              <w:rPr>
                <w:sz w:val="13"/>
                <w:szCs w:val="13"/>
              </w:rPr>
              <w:t>1,37</w:t>
            </w:r>
          </w:p>
        </w:tc>
        <w:tc>
          <w:tcPr>
            <w:tcW w:w="193" w:type="pct"/>
            <w:shd w:val="clear" w:color="auto" w:fill="auto"/>
            <w:tcMar>
              <w:left w:w="28" w:type="dxa"/>
              <w:right w:w="28" w:type="dxa"/>
            </w:tcMar>
            <w:vAlign w:val="bottom"/>
          </w:tcPr>
          <w:p w14:paraId="5F5FA51B" w14:textId="77777777" w:rsidR="004A0123" w:rsidRPr="00640447" w:rsidRDefault="004A0123" w:rsidP="008A5C11">
            <w:pPr>
              <w:jc w:val="center"/>
              <w:rPr>
                <w:sz w:val="13"/>
                <w:szCs w:val="13"/>
              </w:rPr>
            </w:pPr>
            <w:r w:rsidRPr="00640447">
              <w:rPr>
                <w:sz w:val="13"/>
                <w:szCs w:val="13"/>
              </w:rPr>
              <w:t>1,37</w:t>
            </w:r>
          </w:p>
        </w:tc>
        <w:tc>
          <w:tcPr>
            <w:tcW w:w="193" w:type="pct"/>
            <w:shd w:val="clear" w:color="auto" w:fill="auto"/>
            <w:vAlign w:val="bottom"/>
          </w:tcPr>
          <w:p w14:paraId="734DF5AA" w14:textId="77777777" w:rsidR="004A0123" w:rsidRPr="00640447" w:rsidRDefault="004A0123" w:rsidP="008A5C11">
            <w:pPr>
              <w:jc w:val="center"/>
              <w:rPr>
                <w:sz w:val="13"/>
                <w:szCs w:val="13"/>
              </w:rPr>
            </w:pPr>
            <w:r w:rsidRPr="00640447">
              <w:rPr>
                <w:sz w:val="13"/>
                <w:szCs w:val="13"/>
              </w:rPr>
              <w:t>1,37</w:t>
            </w:r>
          </w:p>
        </w:tc>
        <w:tc>
          <w:tcPr>
            <w:tcW w:w="182" w:type="pct"/>
            <w:shd w:val="clear" w:color="auto" w:fill="auto"/>
            <w:vAlign w:val="bottom"/>
          </w:tcPr>
          <w:p w14:paraId="10D67A70" w14:textId="77777777" w:rsidR="004A0123" w:rsidRPr="00640447" w:rsidRDefault="004A0123" w:rsidP="008A5C11">
            <w:pPr>
              <w:jc w:val="center"/>
              <w:rPr>
                <w:sz w:val="13"/>
                <w:szCs w:val="13"/>
              </w:rPr>
            </w:pPr>
            <w:r w:rsidRPr="00640447">
              <w:rPr>
                <w:sz w:val="13"/>
                <w:szCs w:val="13"/>
              </w:rPr>
              <w:t>1,37</w:t>
            </w:r>
          </w:p>
        </w:tc>
        <w:tc>
          <w:tcPr>
            <w:tcW w:w="182" w:type="pct"/>
            <w:shd w:val="clear" w:color="auto" w:fill="auto"/>
            <w:tcMar>
              <w:left w:w="28" w:type="dxa"/>
              <w:right w:w="28" w:type="dxa"/>
            </w:tcMar>
            <w:vAlign w:val="bottom"/>
          </w:tcPr>
          <w:p w14:paraId="0F23E1F3" w14:textId="77777777" w:rsidR="004A0123" w:rsidRPr="00640447" w:rsidRDefault="004A0123" w:rsidP="008A5C11">
            <w:pPr>
              <w:jc w:val="center"/>
              <w:rPr>
                <w:sz w:val="13"/>
                <w:szCs w:val="13"/>
              </w:rPr>
            </w:pPr>
            <w:r w:rsidRPr="00640447">
              <w:rPr>
                <w:sz w:val="13"/>
                <w:szCs w:val="13"/>
              </w:rPr>
              <w:t>1,37</w:t>
            </w:r>
          </w:p>
        </w:tc>
        <w:tc>
          <w:tcPr>
            <w:tcW w:w="182" w:type="pct"/>
            <w:shd w:val="clear" w:color="auto" w:fill="auto"/>
            <w:tcMar>
              <w:left w:w="28" w:type="dxa"/>
              <w:right w:w="28" w:type="dxa"/>
            </w:tcMar>
            <w:vAlign w:val="bottom"/>
          </w:tcPr>
          <w:p w14:paraId="6E9FD0C9" w14:textId="77777777" w:rsidR="004A0123" w:rsidRPr="00640447" w:rsidRDefault="004A0123" w:rsidP="008A5C11">
            <w:pPr>
              <w:jc w:val="center"/>
              <w:rPr>
                <w:sz w:val="13"/>
                <w:szCs w:val="13"/>
              </w:rPr>
            </w:pPr>
            <w:r w:rsidRPr="00640447">
              <w:rPr>
                <w:sz w:val="13"/>
                <w:szCs w:val="13"/>
              </w:rPr>
              <w:t>1,37</w:t>
            </w:r>
          </w:p>
        </w:tc>
        <w:tc>
          <w:tcPr>
            <w:tcW w:w="182" w:type="pct"/>
            <w:shd w:val="clear" w:color="auto" w:fill="auto"/>
            <w:tcMar>
              <w:left w:w="28" w:type="dxa"/>
              <w:right w:w="28" w:type="dxa"/>
            </w:tcMar>
            <w:vAlign w:val="bottom"/>
          </w:tcPr>
          <w:p w14:paraId="0419A0FD" w14:textId="77777777" w:rsidR="004A0123" w:rsidRPr="00640447" w:rsidRDefault="004A0123" w:rsidP="008A5C11">
            <w:pPr>
              <w:jc w:val="center"/>
              <w:rPr>
                <w:sz w:val="13"/>
                <w:szCs w:val="13"/>
              </w:rPr>
            </w:pPr>
            <w:r w:rsidRPr="00640447">
              <w:rPr>
                <w:sz w:val="13"/>
                <w:szCs w:val="13"/>
              </w:rPr>
              <w:t>1,37</w:t>
            </w:r>
          </w:p>
        </w:tc>
        <w:tc>
          <w:tcPr>
            <w:tcW w:w="182" w:type="pct"/>
            <w:shd w:val="clear" w:color="auto" w:fill="auto"/>
            <w:tcMar>
              <w:left w:w="28" w:type="dxa"/>
              <w:right w:w="28" w:type="dxa"/>
            </w:tcMar>
            <w:vAlign w:val="bottom"/>
          </w:tcPr>
          <w:p w14:paraId="6641C806" w14:textId="77777777" w:rsidR="004A0123" w:rsidRPr="00640447" w:rsidRDefault="004A0123" w:rsidP="008A5C11">
            <w:pPr>
              <w:jc w:val="center"/>
              <w:rPr>
                <w:sz w:val="13"/>
                <w:szCs w:val="13"/>
              </w:rPr>
            </w:pPr>
            <w:r w:rsidRPr="00640447">
              <w:rPr>
                <w:sz w:val="13"/>
                <w:szCs w:val="13"/>
              </w:rPr>
              <w:t>1,37</w:t>
            </w:r>
          </w:p>
        </w:tc>
        <w:tc>
          <w:tcPr>
            <w:tcW w:w="206" w:type="pct"/>
            <w:shd w:val="clear" w:color="auto" w:fill="auto"/>
            <w:vAlign w:val="bottom"/>
          </w:tcPr>
          <w:p w14:paraId="04A37E47" w14:textId="77777777" w:rsidR="004A0123" w:rsidRPr="00640447" w:rsidRDefault="004A0123" w:rsidP="008A5C11">
            <w:pPr>
              <w:jc w:val="center"/>
              <w:rPr>
                <w:sz w:val="13"/>
                <w:szCs w:val="13"/>
              </w:rPr>
            </w:pPr>
            <w:r w:rsidRPr="00640447">
              <w:rPr>
                <w:sz w:val="13"/>
                <w:szCs w:val="13"/>
              </w:rPr>
              <w:t>1,37</w:t>
            </w:r>
          </w:p>
        </w:tc>
        <w:tc>
          <w:tcPr>
            <w:tcW w:w="368" w:type="pct"/>
            <w:shd w:val="clear" w:color="auto" w:fill="auto"/>
            <w:tcMar>
              <w:left w:w="28" w:type="dxa"/>
              <w:right w:w="28" w:type="dxa"/>
            </w:tcMar>
            <w:vAlign w:val="bottom"/>
          </w:tcPr>
          <w:p w14:paraId="0F301315" w14:textId="77777777" w:rsidR="004A0123" w:rsidRPr="00640447" w:rsidRDefault="004A0123" w:rsidP="008A5C11">
            <w:pPr>
              <w:jc w:val="center"/>
              <w:rPr>
                <w:sz w:val="13"/>
                <w:szCs w:val="13"/>
              </w:rPr>
            </w:pPr>
            <w:r w:rsidRPr="00640447">
              <w:rPr>
                <w:sz w:val="13"/>
                <w:szCs w:val="13"/>
              </w:rPr>
              <w:t>1,64</w:t>
            </w:r>
          </w:p>
        </w:tc>
        <w:tc>
          <w:tcPr>
            <w:tcW w:w="182" w:type="pct"/>
            <w:shd w:val="clear" w:color="auto" w:fill="auto"/>
            <w:tcMar>
              <w:left w:w="28" w:type="dxa"/>
              <w:right w:w="28" w:type="dxa"/>
            </w:tcMar>
            <w:vAlign w:val="bottom"/>
          </w:tcPr>
          <w:p w14:paraId="4258C354" w14:textId="77777777" w:rsidR="004A0123" w:rsidRPr="00640447" w:rsidRDefault="004A0123" w:rsidP="008A5C11">
            <w:pPr>
              <w:jc w:val="center"/>
              <w:rPr>
                <w:sz w:val="13"/>
                <w:szCs w:val="13"/>
              </w:rPr>
            </w:pPr>
            <w:r w:rsidRPr="00640447">
              <w:rPr>
                <w:sz w:val="13"/>
                <w:szCs w:val="13"/>
              </w:rPr>
              <w:t>1,64</w:t>
            </w:r>
          </w:p>
        </w:tc>
        <w:tc>
          <w:tcPr>
            <w:tcW w:w="182" w:type="pct"/>
            <w:shd w:val="clear" w:color="auto" w:fill="auto"/>
            <w:tcMar>
              <w:left w:w="28" w:type="dxa"/>
              <w:right w:w="28" w:type="dxa"/>
            </w:tcMar>
            <w:vAlign w:val="bottom"/>
          </w:tcPr>
          <w:p w14:paraId="624A37EB" w14:textId="77777777" w:rsidR="004A0123" w:rsidRPr="00640447" w:rsidRDefault="004A0123" w:rsidP="008A5C11">
            <w:pPr>
              <w:jc w:val="center"/>
              <w:rPr>
                <w:sz w:val="13"/>
                <w:szCs w:val="13"/>
              </w:rPr>
            </w:pPr>
            <w:r w:rsidRPr="00640447">
              <w:rPr>
                <w:sz w:val="13"/>
                <w:szCs w:val="13"/>
              </w:rPr>
              <w:t>1,64</w:t>
            </w:r>
          </w:p>
        </w:tc>
        <w:tc>
          <w:tcPr>
            <w:tcW w:w="182" w:type="pct"/>
            <w:shd w:val="clear" w:color="auto" w:fill="auto"/>
            <w:tcMar>
              <w:left w:w="28" w:type="dxa"/>
              <w:right w:w="28" w:type="dxa"/>
            </w:tcMar>
            <w:vAlign w:val="bottom"/>
          </w:tcPr>
          <w:p w14:paraId="54501A5F" w14:textId="77777777" w:rsidR="004A0123" w:rsidRPr="00640447" w:rsidRDefault="004A0123" w:rsidP="008A5C11">
            <w:pPr>
              <w:jc w:val="center"/>
              <w:rPr>
                <w:sz w:val="13"/>
                <w:szCs w:val="13"/>
              </w:rPr>
            </w:pPr>
            <w:r w:rsidRPr="00640447">
              <w:rPr>
                <w:sz w:val="13"/>
                <w:szCs w:val="13"/>
              </w:rPr>
              <w:t>1,64</w:t>
            </w:r>
          </w:p>
        </w:tc>
        <w:tc>
          <w:tcPr>
            <w:tcW w:w="182" w:type="pct"/>
            <w:shd w:val="clear" w:color="auto" w:fill="auto"/>
            <w:vAlign w:val="bottom"/>
          </w:tcPr>
          <w:p w14:paraId="20108CD9" w14:textId="77777777" w:rsidR="004A0123" w:rsidRPr="00640447" w:rsidRDefault="004A0123" w:rsidP="008A5C11">
            <w:pPr>
              <w:jc w:val="center"/>
              <w:rPr>
                <w:sz w:val="13"/>
                <w:szCs w:val="13"/>
              </w:rPr>
            </w:pPr>
            <w:r w:rsidRPr="00640447">
              <w:rPr>
                <w:sz w:val="13"/>
                <w:szCs w:val="13"/>
              </w:rPr>
              <w:t>1,64</w:t>
            </w:r>
          </w:p>
        </w:tc>
        <w:tc>
          <w:tcPr>
            <w:tcW w:w="182" w:type="pct"/>
            <w:shd w:val="clear" w:color="auto" w:fill="auto"/>
            <w:vAlign w:val="bottom"/>
          </w:tcPr>
          <w:p w14:paraId="35F82E9C" w14:textId="77777777" w:rsidR="004A0123" w:rsidRPr="00640447" w:rsidRDefault="004A0123" w:rsidP="008A5C11">
            <w:pPr>
              <w:jc w:val="center"/>
              <w:rPr>
                <w:sz w:val="13"/>
                <w:szCs w:val="13"/>
              </w:rPr>
            </w:pPr>
            <w:r w:rsidRPr="00640447">
              <w:rPr>
                <w:sz w:val="13"/>
                <w:szCs w:val="13"/>
              </w:rPr>
              <w:t>1,64</w:t>
            </w:r>
          </w:p>
        </w:tc>
        <w:tc>
          <w:tcPr>
            <w:tcW w:w="182" w:type="pct"/>
            <w:shd w:val="clear" w:color="auto" w:fill="auto"/>
            <w:tcMar>
              <w:left w:w="28" w:type="dxa"/>
              <w:right w:w="28" w:type="dxa"/>
            </w:tcMar>
            <w:vAlign w:val="bottom"/>
          </w:tcPr>
          <w:p w14:paraId="0D20DEFB" w14:textId="77777777" w:rsidR="004A0123" w:rsidRPr="00640447" w:rsidRDefault="004A0123" w:rsidP="008A5C11">
            <w:pPr>
              <w:jc w:val="center"/>
              <w:rPr>
                <w:sz w:val="13"/>
                <w:szCs w:val="13"/>
              </w:rPr>
            </w:pPr>
            <w:r w:rsidRPr="00640447">
              <w:rPr>
                <w:sz w:val="13"/>
                <w:szCs w:val="13"/>
              </w:rPr>
              <w:t>1,64</w:t>
            </w:r>
          </w:p>
        </w:tc>
        <w:tc>
          <w:tcPr>
            <w:tcW w:w="182" w:type="pct"/>
            <w:shd w:val="clear" w:color="auto" w:fill="auto"/>
            <w:tcMar>
              <w:left w:w="28" w:type="dxa"/>
              <w:right w:w="28" w:type="dxa"/>
            </w:tcMar>
            <w:vAlign w:val="bottom"/>
          </w:tcPr>
          <w:p w14:paraId="41170186" w14:textId="77777777" w:rsidR="004A0123" w:rsidRPr="00640447" w:rsidRDefault="004A0123" w:rsidP="008A5C11">
            <w:pPr>
              <w:jc w:val="center"/>
              <w:rPr>
                <w:sz w:val="13"/>
                <w:szCs w:val="13"/>
              </w:rPr>
            </w:pPr>
            <w:r w:rsidRPr="00640447">
              <w:rPr>
                <w:sz w:val="13"/>
                <w:szCs w:val="13"/>
              </w:rPr>
              <w:t>1,64</w:t>
            </w:r>
          </w:p>
        </w:tc>
        <w:tc>
          <w:tcPr>
            <w:tcW w:w="182" w:type="pct"/>
            <w:shd w:val="clear" w:color="auto" w:fill="auto"/>
            <w:tcMar>
              <w:left w:w="28" w:type="dxa"/>
              <w:right w:w="28" w:type="dxa"/>
            </w:tcMar>
            <w:vAlign w:val="bottom"/>
          </w:tcPr>
          <w:p w14:paraId="2AA25051" w14:textId="77777777" w:rsidR="004A0123" w:rsidRPr="00640447" w:rsidRDefault="004A0123" w:rsidP="008A5C11">
            <w:pPr>
              <w:jc w:val="center"/>
              <w:rPr>
                <w:sz w:val="13"/>
                <w:szCs w:val="13"/>
              </w:rPr>
            </w:pPr>
            <w:r w:rsidRPr="00640447">
              <w:rPr>
                <w:sz w:val="13"/>
                <w:szCs w:val="13"/>
              </w:rPr>
              <w:t>1,64</w:t>
            </w:r>
          </w:p>
        </w:tc>
        <w:tc>
          <w:tcPr>
            <w:tcW w:w="182" w:type="pct"/>
            <w:shd w:val="clear" w:color="auto" w:fill="auto"/>
            <w:tcMar>
              <w:left w:w="28" w:type="dxa"/>
              <w:right w:w="28" w:type="dxa"/>
            </w:tcMar>
            <w:vAlign w:val="bottom"/>
          </w:tcPr>
          <w:p w14:paraId="2FEFF6B6" w14:textId="77777777" w:rsidR="004A0123" w:rsidRPr="00640447" w:rsidRDefault="004A0123" w:rsidP="008A5C11">
            <w:pPr>
              <w:jc w:val="center"/>
              <w:rPr>
                <w:sz w:val="13"/>
                <w:szCs w:val="13"/>
              </w:rPr>
            </w:pPr>
            <w:r w:rsidRPr="00640447">
              <w:rPr>
                <w:sz w:val="13"/>
                <w:szCs w:val="13"/>
              </w:rPr>
              <w:t>1,64</w:t>
            </w:r>
          </w:p>
        </w:tc>
        <w:tc>
          <w:tcPr>
            <w:tcW w:w="134" w:type="pct"/>
            <w:shd w:val="clear" w:color="auto" w:fill="auto"/>
            <w:vAlign w:val="bottom"/>
          </w:tcPr>
          <w:p w14:paraId="23D8824E" w14:textId="77777777" w:rsidR="004A0123" w:rsidRPr="00640447" w:rsidRDefault="004A0123" w:rsidP="008A5C11">
            <w:pPr>
              <w:jc w:val="center"/>
              <w:rPr>
                <w:sz w:val="13"/>
                <w:szCs w:val="13"/>
              </w:rPr>
            </w:pPr>
            <w:r w:rsidRPr="00640447">
              <w:rPr>
                <w:sz w:val="13"/>
                <w:szCs w:val="13"/>
              </w:rPr>
              <w:t>1,64</w:t>
            </w:r>
          </w:p>
        </w:tc>
      </w:tr>
      <w:tr w:rsidR="004A0123" w:rsidRPr="00640447" w14:paraId="4EDFD7AA" w14:textId="77777777" w:rsidTr="008A5C11">
        <w:trPr>
          <w:trHeight w:val="148"/>
          <w:jc w:val="center"/>
        </w:trPr>
        <w:tc>
          <w:tcPr>
            <w:tcW w:w="134" w:type="pct"/>
            <w:tcMar>
              <w:top w:w="62" w:type="dxa"/>
              <w:left w:w="28" w:type="dxa"/>
              <w:bottom w:w="102" w:type="dxa"/>
              <w:right w:w="28" w:type="dxa"/>
            </w:tcMar>
            <w:vAlign w:val="center"/>
          </w:tcPr>
          <w:p w14:paraId="0E8C50E6" w14:textId="77777777" w:rsidR="004A0123" w:rsidRPr="00640447" w:rsidRDefault="004A0123" w:rsidP="008A5C11">
            <w:pPr>
              <w:jc w:val="center"/>
              <w:rPr>
                <w:sz w:val="13"/>
                <w:szCs w:val="13"/>
              </w:rPr>
            </w:pPr>
            <w:r w:rsidRPr="00640447">
              <w:rPr>
                <w:sz w:val="13"/>
                <w:szCs w:val="13"/>
              </w:rPr>
              <w:t>11</w:t>
            </w:r>
          </w:p>
        </w:tc>
        <w:tc>
          <w:tcPr>
            <w:tcW w:w="524" w:type="pct"/>
            <w:tcMar>
              <w:top w:w="62" w:type="dxa"/>
              <w:left w:w="28" w:type="dxa"/>
              <w:bottom w:w="102" w:type="dxa"/>
              <w:right w:w="28" w:type="dxa"/>
            </w:tcMar>
            <w:vAlign w:val="center"/>
          </w:tcPr>
          <w:p w14:paraId="38084526" w14:textId="77777777" w:rsidR="004A0123" w:rsidRPr="00640447" w:rsidRDefault="004A0123" w:rsidP="008A5C11">
            <w:pPr>
              <w:jc w:val="center"/>
              <w:rPr>
                <w:sz w:val="13"/>
                <w:szCs w:val="13"/>
              </w:rPr>
            </w:pPr>
            <w:r w:rsidRPr="00640447">
              <w:rPr>
                <w:sz w:val="13"/>
                <w:szCs w:val="13"/>
              </w:rPr>
              <w:t>Котельная № 26</w:t>
            </w:r>
          </w:p>
        </w:tc>
        <w:tc>
          <w:tcPr>
            <w:tcW w:w="320" w:type="pct"/>
            <w:shd w:val="clear" w:color="auto" w:fill="auto"/>
            <w:tcMar>
              <w:left w:w="28" w:type="dxa"/>
              <w:right w:w="28" w:type="dxa"/>
            </w:tcMar>
            <w:vAlign w:val="bottom"/>
          </w:tcPr>
          <w:p w14:paraId="3051821F" w14:textId="77777777" w:rsidR="004A0123" w:rsidRPr="00640447" w:rsidRDefault="004A0123" w:rsidP="008A5C11">
            <w:pPr>
              <w:jc w:val="center"/>
              <w:rPr>
                <w:sz w:val="13"/>
                <w:szCs w:val="13"/>
              </w:rPr>
            </w:pPr>
            <w:r w:rsidRPr="00640447">
              <w:rPr>
                <w:sz w:val="13"/>
                <w:szCs w:val="13"/>
              </w:rPr>
              <w:t>1,43</w:t>
            </w:r>
          </w:p>
        </w:tc>
        <w:tc>
          <w:tcPr>
            <w:tcW w:w="187" w:type="pct"/>
            <w:shd w:val="clear" w:color="auto" w:fill="auto"/>
            <w:tcMar>
              <w:left w:w="28" w:type="dxa"/>
              <w:right w:w="28" w:type="dxa"/>
            </w:tcMar>
            <w:vAlign w:val="bottom"/>
          </w:tcPr>
          <w:p w14:paraId="41F9A565" w14:textId="77777777" w:rsidR="004A0123" w:rsidRPr="00640447" w:rsidRDefault="004A0123" w:rsidP="008A5C11">
            <w:pPr>
              <w:jc w:val="center"/>
              <w:rPr>
                <w:sz w:val="13"/>
                <w:szCs w:val="13"/>
              </w:rPr>
            </w:pPr>
            <w:r w:rsidRPr="00640447">
              <w:rPr>
                <w:sz w:val="13"/>
                <w:szCs w:val="13"/>
              </w:rPr>
              <w:t>1,43</w:t>
            </w:r>
          </w:p>
        </w:tc>
        <w:tc>
          <w:tcPr>
            <w:tcW w:w="193" w:type="pct"/>
            <w:shd w:val="clear" w:color="auto" w:fill="auto"/>
            <w:tcMar>
              <w:left w:w="28" w:type="dxa"/>
              <w:right w:w="28" w:type="dxa"/>
            </w:tcMar>
            <w:vAlign w:val="bottom"/>
          </w:tcPr>
          <w:p w14:paraId="214AEE22" w14:textId="77777777" w:rsidR="004A0123" w:rsidRPr="00640447" w:rsidRDefault="004A0123" w:rsidP="008A5C11">
            <w:pPr>
              <w:jc w:val="center"/>
              <w:rPr>
                <w:sz w:val="13"/>
                <w:szCs w:val="13"/>
              </w:rPr>
            </w:pPr>
            <w:r w:rsidRPr="00640447">
              <w:rPr>
                <w:sz w:val="13"/>
                <w:szCs w:val="13"/>
              </w:rPr>
              <w:t>1,43</w:t>
            </w:r>
          </w:p>
        </w:tc>
        <w:tc>
          <w:tcPr>
            <w:tcW w:w="193" w:type="pct"/>
            <w:shd w:val="clear" w:color="auto" w:fill="auto"/>
            <w:tcMar>
              <w:left w:w="28" w:type="dxa"/>
              <w:right w:w="28" w:type="dxa"/>
            </w:tcMar>
            <w:vAlign w:val="bottom"/>
          </w:tcPr>
          <w:p w14:paraId="529E4B0B" w14:textId="77777777" w:rsidR="004A0123" w:rsidRPr="00640447" w:rsidRDefault="004A0123" w:rsidP="008A5C11">
            <w:pPr>
              <w:jc w:val="center"/>
              <w:rPr>
                <w:sz w:val="13"/>
                <w:szCs w:val="13"/>
              </w:rPr>
            </w:pPr>
            <w:r w:rsidRPr="00640447">
              <w:rPr>
                <w:sz w:val="13"/>
                <w:szCs w:val="13"/>
              </w:rPr>
              <w:t>1,43</w:t>
            </w:r>
          </w:p>
        </w:tc>
        <w:tc>
          <w:tcPr>
            <w:tcW w:w="193" w:type="pct"/>
            <w:shd w:val="clear" w:color="auto" w:fill="auto"/>
            <w:vAlign w:val="bottom"/>
          </w:tcPr>
          <w:p w14:paraId="1DB1C3C8" w14:textId="77777777" w:rsidR="004A0123" w:rsidRPr="00640447" w:rsidRDefault="004A0123" w:rsidP="008A5C11">
            <w:pPr>
              <w:jc w:val="center"/>
              <w:rPr>
                <w:sz w:val="13"/>
                <w:szCs w:val="13"/>
              </w:rPr>
            </w:pPr>
            <w:r w:rsidRPr="00640447">
              <w:rPr>
                <w:sz w:val="13"/>
                <w:szCs w:val="13"/>
              </w:rPr>
              <w:t>1,43</w:t>
            </w:r>
          </w:p>
        </w:tc>
        <w:tc>
          <w:tcPr>
            <w:tcW w:w="182" w:type="pct"/>
            <w:shd w:val="clear" w:color="auto" w:fill="auto"/>
            <w:vAlign w:val="bottom"/>
          </w:tcPr>
          <w:p w14:paraId="47B0A0E1" w14:textId="77777777" w:rsidR="004A0123" w:rsidRPr="00640447" w:rsidRDefault="004A0123" w:rsidP="008A5C11">
            <w:pPr>
              <w:jc w:val="center"/>
              <w:rPr>
                <w:sz w:val="13"/>
                <w:szCs w:val="13"/>
              </w:rPr>
            </w:pPr>
            <w:r w:rsidRPr="00640447">
              <w:rPr>
                <w:sz w:val="13"/>
                <w:szCs w:val="13"/>
              </w:rPr>
              <w:t>1,43</w:t>
            </w:r>
          </w:p>
        </w:tc>
        <w:tc>
          <w:tcPr>
            <w:tcW w:w="182" w:type="pct"/>
            <w:shd w:val="clear" w:color="auto" w:fill="auto"/>
            <w:tcMar>
              <w:left w:w="28" w:type="dxa"/>
              <w:right w:w="28" w:type="dxa"/>
            </w:tcMar>
            <w:vAlign w:val="bottom"/>
          </w:tcPr>
          <w:p w14:paraId="5E18ADAE" w14:textId="77777777" w:rsidR="004A0123" w:rsidRPr="00640447" w:rsidRDefault="004A0123" w:rsidP="008A5C11">
            <w:pPr>
              <w:jc w:val="center"/>
              <w:rPr>
                <w:sz w:val="13"/>
                <w:szCs w:val="13"/>
              </w:rPr>
            </w:pPr>
            <w:r w:rsidRPr="00640447">
              <w:rPr>
                <w:sz w:val="13"/>
                <w:szCs w:val="13"/>
              </w:rPr>
              <w:t>1,43</w:t>
            </w:r>
          </w:p>
        </w:tc>
        <w:tc>
          <w:tcPr>
            <w:tcW w:w="182" w:type="pct"/>
            <w:shd w:val="clear" w:color="auto" w:fill="auto"/>
            <w:tcMar>
              <w:left w:w="28" w:type="dxa"/>
              <w:right w:w="28" w:type="dxa"/>
            </w:tcMar>
            <w:vAlign w:val="bottom"/>
          </w:tcPr>
          <w:p w14:paraId="73CBD329" w14:textId="77777777" w:rsidR="004A0123" w:rsidRPr="00640447" w:rsidRDefault="004A0123" w:rsidP="008A5C11">
            <w:pPr>
              <w:jc w:val="center"/>
              <w:rPr>
                <w:sz w:val="13"/>
                <w:szCs w:val="13"/>
              </w:rPr>
            </w:pPr>
            <w:r w:rsidRPr="00640447">
              <w:rPr>
                <w:sz w:val="13"/>
                <w:szCs w:val="13"/>
              </w:rPr>
              <w:t>1,43</w:t>
            </w:r>
          </w:p>
        </w:tc>
        <w:tc>
          <w:tcPr>
            <w:tcW w:w="182" w:type="pct"/>
            <w:shd w:val="clear" w:color="auto" w:fill="auto"/>
            <w:tcMar>
              <w:left w:w="28" w:type="dxa"/>
              <w:right w:w="28" w:type="dxa"/>
            </w:tcMar>
            <w:vAlign w:val="bottom"/>
          </w:tcPr>
          <w:p w14:paraId="6D70BBC3" w14:textId="77777777" w:rsidR="004A0123" w:rsidRPr="00640447" w:rsidRDefault="004A0123" w:rsidP="008A5C11">
            <w:pPr>
              <w:jc w:val="center"/>
              <w:rPr>
                <w:sz w:val="13"/>
                <w:szCs w:val="13"/>
              </w:rPr>
            </w:pPr>
            <w:r w:rsidRPr="00640447">
              <w:rPr>
                <w:sz w:val="13"/>
                <w:szCs w:val="13"/>
              </w:rPr>
              <w:t>1,43</w:t>
            </w:r>
          </w:p>
        </w:tc>
        <w:tc>
          <w:tcPr>
            <w:tcW w:w="182" w:type="pct"/>
            <w:shd w:val="clear" w:color="auto" w:fill="auto"/>
            <w:tcMar>
              <w:left w:w="28" w:type="dxa"/>
              <w:right w:w="28" w:type="dxa"/>
            </w:tcMar>
            <w:vAlign w:val="bottom"/>
          </w:tcPr>
          <w:p w14:paraId="18E00906" w14:textId="77777777" w:rsidR="004A0123" w:rsidRPr="00640447" w:rsidRDefault="004A0123" w:rsidP="008A5C11">
            <w:pPr>
              <w:jc w:val="center"/>
              <w:rPr>
                <w:sz w:val="13"/>
                <w:szCs w:val="13"/>
              </w:rPr>
            </w:pPr>
            <w:r w:rsidRPr="00640447">
              <w:rPr>
                <w:sz w:val="13"/>
                <w:szCs w:val="13"/>
              </w:rPr>
              <w:t>1,43</w:t>
            </w:r>
          </w:p>
        </w:tc>
        <w:tc>
          <w:tcPr>
            <w:tcW w:w="206" w:type="pct"/>
            <w:shd w:val="clear" w:color="auto" w:fill="auto"/>
            <w:vAlign w:val="bottom"/>
          </w:tcPr>
          <w:p w14:paraId="65C6F548" w14:textId="77777777" w:rsidR="004A0123" w:rsidRPr="00640447" w:rsidRDefault="004A0123" w:rsidP="008A5C11">
            <w:pPr>
              <w:jc w:val="center"/>
              <w:rPr>
                <w:sz w:val="13"/>
                <w:szCs w:val="13"/>
              </w:rPr>
            </w:pPr>
            <w:r w:rsidRPr="00640447">
              <w:rPr>
                <w:sz w:val="13"/>
                <w:szCs w:val="13"/>
              </w:rPr>
              <w:t>1,43</w:t>
            </w:r>
          </w:p>
        </w:tc>
        <w:tc>
          <w:tcPr>
            <w:tcW w:w="368" w:type="pct"/>
            <w:shd w:val="clear" w:color="auto" w:fill="auto"/>
            <w:tcMar>
              <w:left w:w="28" w:type="dxa"/>
              <w:right w:w="28" w:type="dxa"/>
            </w:tcMar>
            <w:vAlign w:val="bottom"/>
          </w:tcPr>
          <w:p w14:paraId="1CBCBDA6" w14:textId="77777777" w:rsidR="004A0123" w:rsidRPr="00640447" w:rsidRDefault="004A0123" w:rsidP="008A5C11">
            <w:pPr>
              <w:jc w:val="center"/>
              <w:rPr>
                <w:sz w:val="13"/>
                <w:szCs w:val="13"/>
              </w:rPr>
            </w:pPr>
            <w:r w:rsidRPr="00640447">
              <w:rPr>
                <w:sz w:val="13"/>
                <w:szCs w:val="13"/>
              </w:rPr>
              <w:t>1,33</w:t>
            </w:r>
          </w:p>
        </w:tc>
        <w:tc>
          <w:tcPr>
            <w:tcW w:w="182" w:type="pct"/>
            <w:shd w:val="clear" w:color="auto" w:fill="auto"/>
            <w:tcMar>
              <w:left w:w="28" w:type="dxa"/>
              <w:right w:w="28" w:type="dxa"/>
            </w:tcMar>
            <w:vAlign w:val="bottom"/>
          </w:tcPr>
          <w:p w14:paraId="0FC451C3" w14:textId="77777777" w:rsidR="004A0123" w:rsidRPr="00640447" w:rsidRDefault="004A0123" w:rsidP="008A5C11">
            <w:pPr>
              <w:jc w:val="center"/>
              <w:rPr>
                <w:sz w:val="13"/>
                <w:szCs w:val="13"/>
              </w:rPr>
            </w:pPr>
            <w:r w:rsidRPr="00640447">
              <w:rPr>
                <w:sz w:val="13"/>
                <w:szCs w:val="13"/>
              </w:rPr>
              <w:t>1,33</w:t>
            </w:r>
          </w:p>
        </w:tc>
        <w:tc>
          <w:tcPr>
            <w:tcW w:w="182" w:type="pct"/>
            <w:shd w:val="clear" w:color="auto" w:fill="auto"/>
            <w:tcMar>
              <w:left w:w="28" w:type="dxa"/>
              <w:right w:w="28" w:type="dxa"/>
            </w:tcMar>
            <w:vAlign w:val="bottom"/>
          </w:tcPr>
          <w:p w14:paraId="7981721D" w14:textId="77777777" w:rsidR="004A0123" w:rsidRPr="00640447" w:rsidRDefault="004A0123" w:rsidP="008A5C11">
            <w:pPr>
              <w:jc w:val="center"/>
              <w:rPr>
                <w:sz w:val="13"/>
                <w:szCs w:val="13"/>
              </w:rPr>
            </w:pPr>
            <w:r w:rsidRPr="00640447">
              <w:rPr>
                <w:sz w:val="13"/>
                <w:szCs w:val="13"/>
              </w:rPr>
              <w:t>1,33</w:t>
            </w:r>
          </w:p>
        </w:tc>
        <w:tc>
          <w:tcPr>
            <w:tcW w:w="182" w:type="pct"/>
            <w:shd w:val="clear" w:color="auto" w:fill="auto"/>
            <w:tcMar>
              <w:left w:w="28" w:type="dxa"/>
              <w:right w:w="28" w:type="dxa"/>
            </w:tcMar>
            <w:vAlign w:val="bottom"/>
          </w:tcPr>
          <w:p w14:paraId="7603BF4A" w14:textId="77777777" w:rsidR="004A0123" w:rsidRPr="00640447" w:rsidRDefault="004A0123" w:rsidP="008A5C11">
            <w:pPr>
              <w:jc w:val="center"/>
              <w:rPr>
                <w:sz w:val="13"/>
                <w:szCs w:val="13"/>
              </w:rPr>
            </w:pPr>
            <w:r w:rsidRPr="00640447">
              <w:rPr>
                <w:sz w:val="13"/>
                <w:szCs w:val="13"/>
              </w:rPr>
              <w:t>1,33</w:t>
            </w:r>
          </w:p>
        </w:tc>
        <w:tc>
          <w:tcPr>
            <w:tcW w:w="182" w:type="pct"/>
            <w:shd w:val="clear" w:color="auto" w:fill="auto"/>
            <w:vAlign w:val="bottom"/>
          </w:tcPr>
          <w:p w14:paraId="08CE645C" w14:textId="77777777" w:rsidR="004A0123" w:rsidRPr="00640447" w:rsidRDefault="004A0123" w:rsidP="008A5C11">
            <w:pPr>
              <w:jc w:val="center"/>
              <w:rPr>
                <w:sz w:val="13"/>
                <w:szCs w:val="13"/>
              </w:rPr>
            </w:pPr>
            <w:r w:rsidRPr="00640447">
              <w:rPr>
                <w:sz w:val="13"/>
                <w:szCs w:val="13"/>
              </w:rPr>
              <w:t>1,33</w:t>
            </w:r>
          </w:p>
        </w:tc>
        <w:tc>
          <w:tcPr>
            <w:tcW w:w="182" w:type="pct"/>
            <w:shd w:val="clear" w:color="auto" w:fill="auto"/>
            <w:vAlign w:val="bottom"/>
          </w:tcPr>
          <w:p w14:paraId="70ECD53E" w14:textId="77777777" w:rsidR="004A0123" w:rsidRPr="00640447" w:rsidRDefault="004A0123" w:rsidP="008A5C11">
            <w:pPr>
              <w:jc w:val="center"/>
              <w:rPr>
                <w:sz w:val="13"/>
                <w:szCs w:val="13"/>
              </w:rPr>
            </w:pPr>
            <w:r w:rsidRPr="00640447">
              <w:rPr>
                <w:sz w:val="13"/>
                <w:szCs w:val="13"/>
              </w:rPr>
              <w:t>1,33</w:t>
            </w:r>
          </w:p>
        </w:tc>
        <w:tc>
          <w:tcPr>
            <w:tcW w:w="182" w:type="pct"/>
            <w:shd w:val="clear" w:color="auto" w:fill="auto"/>
            <w:tcMar>
              <w:left w:w="28" w:type="dxa"/>
              <w:right w:w="28" w:type="dxa"/>
            </w:tcMar>
            <w:vAlign w:val="bottom"/>
          </w:tcPr>
          <w:p w14:paraId="48BD91BA" w14:textId="77777777" w:rsidR="004A0123" w:rsidRPr="00640447" w:rsidRDefault="004A0123" w:rsidP="008A5C11">
            <w:pPr>
              <w:jc w:val="center"/>
              <w:rPr>
                <w:sz w:val="13"/>
                <w:szCs w:val="13"/>
              </w:rPr>
            </w:pPr>
            <w:r w:rsidRPr="00640447">
              <w:rPr>
                <w:sz w:val="13"/>
                <w:szCs w:val="13"/>
              </w:rPr>
              <w:t>1,33</w:t>
            </w:r>
          </w:p>
        </w:tc>
        <w:tc>
          <w:tcPr>
            <w:tcW w:w="182" w:type="pct"/>
            <w:shd w:val="clear" w:color="auto" w:fill="auto"/>
            <w:tcMar>
              <w:left w:w="28" w:type="dxa"/>
              <w:right w:w="28" w:type="dxa"/>
            </w:tcMar>
            <w:vAlign w:val="bottom"/>
          </w:tcPr>
          <w:p w14:paraId="2B8C5D1F" w14:textId="77777777" w:rsidR="004A0123" w:rsidRPr="00640447" w:rsidRDefault="004A0123" w:rsidP="008A5C11">
            <w:pPr>
              <w:jc w:val="center"/>
              <w:rPr>
                <w:sz w:val="13"/>
                <w:szCs w:val="13"/>
              </w:rPr>
            </w:pPr>
            <w:r w:rsidRPr="00640447">
              <w:rPr>
                <w:sz w:val="13"/>
                <w:szCs w:val="13"/>
              </w:rPr>
              <w:t>1,33</w:t>
            </w:r>
          </w:p>
        </w:tc>
        <w:tc>
          <w:tcPr>
            <w:tcW w:w="182" w:type="pct"/>
            <w:shd w:val="clear" w:color="auto" w:fill="auto"/>
            <w:tcMar>
              <w:left w:w="28" w:type="dxa"/>
              <w:right w:w="28" w:type="dxa"/>
            </w:tcMar>
            <w:vAlign w:val="bottom"/>
          </w:tcPr>
          <w:p w14:paraId="42DD2BDA" w14:textId="77777777" w:rsidR="004A0123" w:rsidRPr="00640447" w:rsidRDefault="004A0123" w:rsidP="008A5C11">
            <w:pPr>
              <w:jc w:val="center"/>
              <w:rPr>
                <w:sz w:val="13"/>
                <w:szCs w:val="13"/>
              </w:rPr>
            </w:pPr>
            <w:r w:rsidRPr="00640447">
              <w:rPr>
                <w:sz w:val="13"/>
                <w:szCs w:val="13"/>
              </w:rPr>
              <w:t>1,33</w:t>
            </w:r>
          </w:p>
        </w:tc>
        <w:tc>
          <w:tcPr>
            <w:tcW w:w="182" w:type="pct"/>
            <w:shd w:val="clear" w:color="auto" w:fill="auto"/>
            <w:tcMar>
              <w:left w:w="28" w:type="dxa"/>
              <w:right w:w="28" w:type="dxa"/>
            </w:tcMar>
            <w:vAlign w:val="bottom"/>
          </w:tcPr>
          <w:p w14:paraId="39E82FE0" w14:textId="77777777" w:rsidR="004A0123" w:rsidRPr="00640447" w:rsidRDefault="004A0123" w:rsidP="008A5C11">
            <w:pPr>
              <w:jc w:val="center"/>
              <w:rPr>
                <w:sz w:val="13"/>
                <w:szCs w:val="13"/>
              </w:rPr>
            </w:pPr>
            <w:r w:rsidRPr="00640447">
              <w:rPr>
                <w:sz w:val="13"/>
                <w:szCs w:val="13"/>
              </w:rPr>
              <w:t>1,33</w:t>
            </w:r>
          </w:p>
        </w:tc>
        <w:tc>
          <w:tcPr>
            <w:tcW w:w="134" w:type="pct"/>
            <w:shd w:val="clear" w:color="auto" w:fill="auto"/>
            <w:vAlign w:val="bottom"/>
          </w:tcPr>
          <w:p w14:paraId="1B816A83" w14:textId="77777777" w:rsidR="004A0123" w:rsidRPr="00640447" w:rsidRDefault="004A0123" w:rsidP="008A5C11">
            <w:pPr>
              <w:jc w:val="center"/>
              <w:rPr>
                <w:sz w:val="13"/>
                <w:szCs w:val="13"/>
              </w:rPr>
            </w:pPr>
            <w:r w:rsidRPr="00640447">
              <w:rPr>
                <w:sz w:val="13"/>
                <w:szCs w:val="13"/>
              </w:rPr>
              <w:t>1,33</w:t>
            </w:r>
          </w:p>
        </w:tc>
      </w:tr>
      <w:tr w:rsidR="004A0123" w:rsidRPr="00640447" w14:paraId="1951CB18" w14:textId="77777777" w:rsidTr="008A5C11">
        <w:trPr>
          <w:trHeight w:val="148"/>
          <w:jc w:val="center"/>
        </w:trPr>
        <w:tc>
          <w:tcPr>
            <w:tcW w:w="134" w:type="pct"/>
            <w:tcMar>
              <w:top w:w="62" w:type="dxa"/>
              <w:left w:w="28" w:type="dxa"/>
              <w:bottom w:w="102" w:type="dxa"/>
              <w:right w:w="28" w:type="dxa"/>
            </w:tcMar>
            <w:vAlign w:val="center"/>
          </w:tcPr>
          <w:p w14:paraId="7C6177CF" w14:textId="77777777" w:rsidR="004A0123" w:rsidRPr="00640447" w:rsidRDefault="004A0123" w:rsidP="008A5C11">
            <w:pPr>
              <w:jc w:val="center"/>
              <w:rPr>
                <w:sz w:val="13"/>
                <w:szCs w:val="13"/>
              </w:rPr>
            </w:pPr>
            <w:r w:rsidRPr="00640447">
              <w:rPr>
                <w:sz w:val="13"/>
                <w:szCs w:val="13"/>
              </w:rPr>
              <w:t>12</w:t>
            </w:r>
          </w:p>
        </w:tc>
        <w:tc>
          <w:tcPr>
            <w:tcW w:w="524" w:type="pct"/>
            <w:tcMar>
              <w:top w:w="62" w:type="dxa"/>
              <w:left w:w="28" w:type="dxa"/>
              <w:bottom w:w="102" w:type="dxa"/>
              <w:right w:w="28" w:type="dxa"/>
            </w:tcMar>
            <w:vAlign w:val="center"/>
          </w:tcPr>
          <w:p w14:paraId="423E4559" w14:textId="77777777" w:rsidR="004A0123" w:rsidRPr="00640447" w:rsidRDefault="004A0123" w:rsidP="008A5C11">
            <w:pPr>
              <w:jc w:val="center"/>
              <w:rPr>
                <w:sz w:val="13"/>
                <w:szCs w:val="13"/>
              </w:rPr>
            </w:pPr>
            <w:r w:rsidRPr="00640447">
              <w:rPr>
                <w:sz w:val="13"/>
                <w:szCs w:val="13"/>
              </w:rPr>
              <w:t>Котельная № 40</w:t>
            </w:r>
          </w:p>
        </w:tc>
        <w:tc>
          <w:tcPr>
            <w:tcW w:w="320" w:type="pct"/>
            <w:shd w:val="clear" w:color="auto" w:fill="auto"/>
            <w:tcMar>
              <w:left w:w="28" w:type="dxa"/>
              <w:right w:w="28" w:type="dxa"/>
            </w:tcMar>
            <w:vAlign w:val="bottom"/>
          </w:tcPr>
          <w:p w14:paraId="69F738A1" w14:textId="77777777" w:rsidR="004A0123" w:rsidRPr="00640447" w:rsidRDefault="004A0123" w:rsidP="008A5C11">
            <w:pPr>
              <w:jc w:val="center"/>
              <w:rPr>
                <w:sz w:val="13"/>
                <w:szCs w:val="13"/>
              </w:rPr>
            </w:pPr>
            <w:r w:rsidRPr="00640447">
              <w:rPr>
                <w:sz w:val="13"/>
                <w:szCs w:val="13"/>
              </w:rPr>
              <w:t>1,35</w:t>
            </w:r>
          </w:p>
        </w:tc>
        <w:tc>
          <w:tcPr>
            <w:tcW w:w="187" w:type="pct"/>
            <w:shd w:val="clear" w:color="auto" w:fill="auto"/>
            <w:tcMar>
              <w:left w:w="28" w:type="dxa"/>
              <w:right w:w="28" w:type="dxa"/>
            </w:tcMar>
            <w:vAlign w:val="bottom"/>
          </w:tcPr>
          <w:p w14:paraId="4C445566" w14:textId="77777777" w:rsidR="004A0123" w:rsidRPr="00640447" w:rsidRDefault="004A0123" w:rsidP="008A5C11">
            <w:pPr>
              <w:jc w:val="center"/>
              <w:rPr>
                <w:sz w:val="13"/>
                <w:szCs w:val="13"/>
              </w:rPr>
            </w:pPr>
            <w:r w:rsidRPr="00640447">
              <w:rPr>
                <w:sz w:val="13"/>
                <w:szCs w:val="13"/>
              </w:rPr>
              <w:t>1,35</w:t>
            </w:r>
          </w:p>
        </w:tc>
        <w:tc>
          <w:tcPr>
            <w:tcW w:w="193" w:type="pct"/>
            <w:shd w:val="clear" w:color="auto" w:fill="auto"/>
            <w:tcMar>
              <w:left w:w="28" w:type="dxa"/>
              <w:right w:w="28" w:type="dxa"/>
            </w:tcMar>
            <w:vAlign w:val="bottom"/>
          </w:tcPr>
          <w:p w14:paraId="748D0CE2" w14:textId="77777777" w:rsidR="004A0123" w:rsidRPr="00640447" w:rsidRDefault="004A0123" w:rsidP="008A5C11">
            <w:pPr>
              <w:jc w:val="center"/>
              <w:rPr>
                <w:sz w:val="13"/>
                <w:szCs w:val="13"/>
              </w:rPr>
            </w:pPr>
            <w:r w:rsidRPr="00640447">
              <w:rPr>
                <w:sz w:val="13"/>
                <w:szCs w:val="13"/>
              </w:rPr>
              <w:t>1,35</w:t>
            </w:r>
          </w:p>
        </w:tc>
        <w:tc>
          <w:tcPr>
            <w:tcW w:w="193" w:type="pct"/>
            <w:shd w:val="clear" w:color="auto" w:fill="auto"/>
            <w:tcMar>
              <w:left w:w="28" w:type="dxa"/>
              <w:right w:w="28" w:type="dxa"/>
            </w:tcMar>
            <w:vAlign w:val="bottom"/>
          </w:tcPr>
          <w:p w14:paraId="62342A58" w14:textId="77777777" w:rsidR="004A0123" w:rsidRPr="00640447" w:rsidRDefault="004A0123" w:rsidP="008A5C11">
            <w:pPr>
              <w:jc w:val="center"/>
              <w:rPr>
                <w:sz w:val="13"/>
                <w:szCs w:val="13"/>
              </w:rPr>
            </w:pPr>
            <w:r w:rsidRPr="00640447">
              <w:rPr>
                <w:sz w:val="13"/>
                <w:szCs w:val="13"/>
              </w:rPr>
              <w:t>1,35</w:t>
            </w:r>
          </w:p>
        </w:tc>
        <w:tc>
          <w:tcPr>
            <w:tcW w:w="193" w:type="pct"/>
            <w:shd w:val="clear" w:color="auto" w:fill="auto"/>
            <w:vAlign w:val="bottom"/>
          </w:tcPr>
          <w:p w14:paraId="06494FB5" w14:textId="77777777" w:rsidR="004A0123" w:rsidRPr="00640447" w:rsidRDefault="004A0123" w:rsidP="008A5C11">
            <w:pPr>
              <w:jc w:val="center"/>
              <w:rPr>
                <w:sz w:val="13"/>
                <w:szCs w:val="13"/>
              </w:rPr>
            </w:pPr>
            <w:r w:rsidRPr="00640447">
              <w:rPr>
                <w:sz w:val="13"/>
                <w:szCs w:val="13"/>
              </w:rPr>
              <w:t>1,35</w:t>
            </w:r>
          </w:p>
        </w:tc>
        <w:tc>
          <w:tcPr>
            <w:tcW w:w="182" w:type="pct"/>
            <w:shd w:val="clear" w:color="auto" w:fill="auto"/>
            <w:vAlign w:val="bottom"/>
          </w:tcPr>
          <w:p w14:paraId="45838F25" w14:textId="77777777" w:rsidR="004A0123" w:rsidRPr="00640447" w:rsidRDefault="004A0123" w:rsidP="008A5C11">
            <w:pPr>
              <w:jc w:val="center"/>
              <w:rPr>
                <w:sz w:val="13"/>
                <w:szCs w:val="13"/>
              </w:rPr>
            </w:pPr>
            <w:r w:rsidRPr="00640447">
              <w:rPr>
                <w:sz w:val="13"/>
                <w:szCs w:val="13"/>
              </w:rPr>
              <w:t>1,35</w:t>
            </w:r>
          </w:p>
        </w:tc>
        <w:tc>
          <w:tcPr>
            <w:tcW w:w="182" w:type="pct"/>
            <w:shd w:val="clear" w:color="auto" w:fill="auto"/>
            <w:tcMar>
              <w:left w:w="28" w:type="dxa"/>
              <w:right w:w="28" w:type="dxa"/>
            </w:tcMar>
            <w:vAlign w:val="bottom"/>
          </w:tcPr>
          <w:p w14:paraId="631767B7" w14:textId="77777777" w:rsidR="004A0123" w:rsidRPr="00640447" w:rsidRDefault="004A0123" w:rsidP="008A5C11">
            <w:pPr>
              <w:jc w:val="center"/>
              <w:rPr>
                <w:sz w:val="13"/>
                <w:szCs w:val="13"/>
              </w:rPr>
            </w:pPr>
            <w:r w:rsidRPr="00640447">
              <w:rPr>
                <w:sz w:val="13"/>
                <w:szCs w:val="13"/>
              </w:rPr>
              <w:t>1,35</w:t>
            </w:r>
          </w:p>
        </w:tc>
        <w:tc>
          <w:tcPr>
            <w:tcW w:w="182" w:type="pct"/>
            <w:shd w:val="clear" w:color="auto" w:fill="auto"/>
            <w:tcMar>
              <w:left w:w="28" w:type="dxa"/>
              <w:right w:w="28" w:type="dxa"/>
            </w:tcMar>
            <w:vAlign w:val="bottom"/>
          </w:tcPr>
          <w:p w14:paraId="13F2B931" w14:textId="77777777" w:rsidR="004A0123" w:rsidRPr="00640447" w:rsidRDefault="004A0123" w:rsidP="008A5C11">
            <w:pPr>
              <w:jc w:val="center"/>
              <w:rPr>
                <w:sz w:val="13"/>
                <w:szCs w:val="13"/>
              </w:rPr>
            </w:pPr>
            <w:r w:rsidRPr="00640447">
              <w:rPr>
                <w:sz w:val="13"/>
                <w:szCs w:val="13"/>
              </w:rPr>
              <w:t>1,35</w:t>
            </w:r>
          </w:p>
        </w:tc>
        <w:tc>
          <w:tcPr>
            <w:tcW w:w="182" w:type="pct"/>
            <w:shd w:val="clear" w:color="auto" w:fill="auto"/>
            <w:tcMar>
              <w:left w:w="28" w:type="dxa"/>
              <w:right w:w="28" w:type="dxa"/>
            </w:tcMar>
            <w:vAlign w:val="bottom"/>
          </w:tcPr>
          <w:p w14:paraId="61B73AE1" w14:textId="77777777" w:rsidR="004A0123" w:rsidRPr="00640447" w:rsidRDefault="004A0123" w:rsidP="008A5C11">
            <w:pPr>
              <w:jc w:val="center"/>
              <w:rPr>
                <w:sz w:val="13"/>
                <w:szCs w:val="13"/>
              </w:rPr>
            </w:pPr>
            <w:r w:rsidRPr="00640447">
              <w:rPr>
                <w:sz w:val="13"/>
                <w:szCs w:val="13"/>
              </w:rPr>
              <w:t>1,35</w:t>
            </w:r>
          </w:p>
        </w:tc>
        <w:tc>
          <w:tcPr>
            <w:tcW w:w="182" w:type="pct"/>
            <w:shd w:val="clear" w:color="auto" w:fill="auto"/>
            <w:tcMar>
              <w:left w:w="28" w:type="dxa"/>
              <w:right w:w="28" w:type="dxa"/>
            </w:tcMar>
            <w:vAlign w:val="bottom"/>
          </w:tcPr>
          <w:p w14:paraId="4D5ABEC7" w14:textId="77777777" w:rsidR="004A0123" w:rsidRPr="00640447" w:rsidRDefault="004A0123" w:rsidP="008A5C11">
            <w:pPr>
              <w:jc w:val="center"/>
              <w:rPr>
                <w:sz w:val="13"/>
                <w:szCs w:val="13"/>
              </w:rPr>
            </w:pPr>
            <w:r w:rsidRPr="00640447">
              <w:rPr>
                <w:sz w:val="13"/>
                <w:szCs w:val="13"/>
              </w:rPr>
              <w:t>1,35</w:t>
            </w:r>
          </w:p>
        </w:tc>
        <w:tc>
          <w:tcPr>
            <w:tcW w:w="206" w:type="pct"/>
            <w:shd w:val="clear" w:color="auto" w:fill="auto"/>
            <w:vAlign w:val="bottom"/>
          </w:tcPr>
          <w:p w14:paraId="2D55A77E" w14:textId="77777777" w:rsidR="004A0123" w:rsidRPr="00640447" w:rsidRDefault="004A0123" w:rsidP="008A5C11">
            <w:pPr>
              <w:jc w:val="center"/>
              <w:rPr>
                <w:sz w:val="13"/>
                <w:szCs w:val="13"/>
              </w:rPr>
            </w:pPr>
            <w:r w:rsidRPr="00640447">
              <w:rPr>
                <w:sz w:val="13"/>
                <w:szCs w:val="13"/>
              </w:rPr>
              <w:t>1,35</w:t>
            </w:r>
          </w:p>
        </w:tc>
        <w:tc>
          <w:tcPr>
            <w:tcW w:w="368" w:type="pct"/>
            <w:shd w:val="clear" w:color="auto" w:fill="auto"/>
            <w:tcMar>
              <w:left w:w="28" w:type="dxa"/>
              <w:right w:w="28" w:type="dxa"/>
            </w:tcMar>
            <w:vAlign w:val="bottom"/>
          </w:tcPr>
          <w:p w14:paraId="4A076663" w14:textId="77777777" w:rsidR="004A0123" w:rsidRPr="00640447" w:rsidRDefault="004A0123" w:rsidP="008A5C11">
            <w:pPr>
              <w:jc w:val="center"/>
              <w:rPr>
                <w:sz w:val="13"/>
                <w:szCs w:val="13"/>
              </w:rPr>
            </w:pPr>
            <w:r w:rsidRPr="00640447">
              <w:rPr>
                <w:sz w:val="13"/>
                <w:szCs w:val="13"/>
              </w:rPr>
              <w:t>1,23</w:t>
            </w:r>
          </w:p>
        </w:tc>
        <w:tc>
          <w:tcPr>
            <w:tcW w:w="182" w:type="pct"/>
            <w:shd w:val="clear" w:color="auto" w:fill="auto"/>
            <w:tcMar>
              <w:left w:w="28" w:type="dxa"/>
              <w:right w:w="28" w:type="dxa"/>
            </w:tcMar>
            <w:vAlign w:val="bottom"/>
          </w:tcPr>
          <w:p w14:paraId="18EFC719" w14:textId="77777777" w:rsidR="004A0123" w:rsidRPr="00640447" w:rsidRDefault="004A0123" w:rsidP="008A5C11">
            <w:pPr>
              <w:jc w:val="center"/>
              <w:rPr>
                <w:sz w:val="13"/>
                <w:szCs w:val="13"/>
              </w:rPr>
            </w:pPr>
            <w:r w:rsidRPr="00640447">
              <w:rPr>
                <w:sz w:val="13"/>
                <w:szCs w:val="13"/>
              </w:rPr>
              <w:t>1,23</w:t>
            </w:r>
          </w:p>
        </w:tc>
        <w:tc>
          <w:tcPr>
            <w:tcW w:w="182" w:type="pct"/>
            <w:shd w:val="clear" w:color="auto" w:fill="auto"/>
            <w:tcMar>
              <w:left w:w="28" w:type="dxa"/>
              <w:right w:w="28" w:type="dxa"/>
            </w:tcMar>
            <w:vAlign w:val="bottom"/>
          </w:tcPr>
          <w:p w14:paraId="41B5C979" w14:textId="77777777" w:rsidR="004A0123" w:rsidRPr="00640447" w:rsidRDefault="004A0123" w:rsidP="008A5C11">
            <w:pPr>
              <w:jc w:val="center"/>
              <w:rPr>
                <w:sz w:val="13"/>
                <w:szCs w:val="13"/>
              </w:rPr>
            </w:pPr>
            <w:r w:rsidRPr="00640447">
              <w:rPr>
                <w:sz w:val="13"/>
                <w:szCs w:val="13"/>
              </w:rPr>
              <w:t>1,23</w:t>
            </w:r>
          </w:p>
        </w:tc>
        <w:tc>
          <w:tcPr>
            <w:tcW w:w="182" w:type="pct"/>
            <w:shd w:val="clear" w:color="auto" w:fill="auto"/>
            <w:tcMar>
              <w:left w:w="28" w:type="dxa"/>
              <w:right w:w="28" w:type="dxa"/>
            </w:tcMar>
            <w:vAlign w:val="bottom"/>
          </w:tcPr>
          <w:p w14:paraId="75FEF40E" w14:textId="77777777" w:rsidR="004A0123" w:rsidRPr="00640447" w:rsidRDefault="004A0123" w:rsidP="008A5C11">
            <w:pPr>
              <w:jc w:val="center"/>
              <w:rPr>
                <w:sz w:val="13"/>
                <w:szCs w:val="13"/>
              </w:rPr>
            </w:pPr>
            <w:r w:rsidRPr="00640447">
              <w:rPr>
                <w:sz w:val="13"/>
                <w:szCs w:val="13"/>
              </w:rPr>
              <w:t>1,23</w:t>
            </w:r>
          </w:p>
        </w:tc>
        <w:tc>
          <w:tcPr>
            <w:tcW w:w="182" w:type="pct"/>
            <w:shd w:val="clear" w:color="auto" w:fill="auto"/>
            <w:vAlign w:val="bottom"/>
          </w:tcPr>
          <w:p w14:paraId="50E5B9C4" w14:textId="77777777" w:rsidR="004A0123" w:rsidRPr="00640447" w:rsidRDefault="004A0123" w:rsidP="008A5C11">
            <w:pPr>
              <w:jc w:val="center"/>
              <w:rPr>
                <w:sz w:val="13"/>
                <w:szCs w:val="13"/>
              </w:rPr>
            </w:pPr>
            <w:r w:rsidRPr="00640447">
              <w:rPr>
                <w:sz w:val="13"/>
                <w:szCs w:val="13"/>
              </w:rPr>
              <w:t>1,23</w:t>
            </w:r>
          </w:p>
        </w:tc>
        <w:tc>
          <w:tcPr>
            <w:tcW w:w="182" w:type="pct"/>
            <w:shd w:val="clear" w:color="auto" w:fill="auto"/>
            <w:vAlign w:val="bottom"/>
          </w:tcPr>
          <w:p w14:paraId="181477A3" w14:textId="77777777" w:rsidR="004A0123" w:rsidRPr="00640447" w:rsidRDefault="004A0123" w:rsidP="008A5C11">
            <w:pPr>
              <w:jc w:val="center"/>
              <w:rPr>
                <w:sz w:val="13"/>
                <w:szCs w:val="13"/>
              </w:rPr>
            </w:pPr>
            <w:r w:rsidRPr="00640447">
              <w:rPr>
                <w:sz w:val="13"/>
                <w:szCs w:val="13"/>
              </w:rPr>
              <w:t>1,23</w:t>
            </w:r>
          </w:p>
        </w:tc>
        <w:tc>
          <w:tcPr>
            <w:tcW w:w="182" w:type="pct"/>
            <w:shd w:val="clear" w:color="auto" w:fill="auto"/>
            <w:tcMar>
              <w:left w:w="28" w:type="dxa"/>
              <w:right w:w="28" w:type="dxa"/>
            </w:tcMar>
            <w:vAlign w:val="bottom"/>
          </w:tcPr>
          <w:p w14:paraId="643E5D1D" w14:textId="77777777" w:rsidR="004A0123" w:rsidRPr="00640447" w:rsidRDefault="004A0123" w:rsidP="008A5C11">
            <w:pPr>
              <w:jc w:val="center"/>
              <w:rPr>
                <w:sz w:val="13"/>
                <w:szCs w:val="13"/>
              </w:rPr>
            </w:pPr>
            <w:r w:rsidRPr="00640447">
              <w:rPr>
                <w:sz w:val="13"/>
                <w:szCs w:val="13"/>
              </w:rPr>
              <w:t>1,23</w:t>
            </w:r>
          </w:p>
        </w:tc>
        <w:tc>
          <w:tcPr>
            <w:tcW w:w="182" w:type="pct"/>
            <w:shd w:val="clear" w:color="auto" w:fill="auto"/>
            <w:tcMar>
              <w:left w:w="28" w:type="dxa"/>
              <w:right w:w="28" w:type="dxa"/>
            </w:tcMar>
            <w:vAlign w:val="bottom"/>
          </w:tcPr>
          <w:p w14:paraId="47870484" w14:textId="77777777" w:rsidR="004A0123" w:rsidRPr="00640447" w:rsidRDefault="004A0123" w:rsidP="008A5C11">
            <w:pPr>
              <w:jc w:val="center"/>
              <w:rPr>
                <w:sz w:val="13"/>
                <w:szCs w:val="13"/>
              </w:rPr>
            </w:pPr>
            <w:r w:rsidRPr="00640447">
              <w:rPr>
                <w:sz w:val="13"/>
                <w:szCs w:val="13"/>
              </w:rPr>
              <w:t>1,23</w:t>
            </w:r>
          </w:p>
        </w:tc>
        <w:tc>
          <w:tcPr>
            <w:tcW w:w="182" w:type="pct"/>
            <w:shd w:val="clear" w:color="auto" w:fill="auto"/>
            <w:tcMar>
              <w:left w:w="28" w:type="dxa"/>
              <w:right w:w="28" w:type="dxa"/>
            </w:tcMar>
            <w:vAlign w:val="bottom"/>
          </w:tcPr>
          <w:p w14:paraId="21C513C5" w14:textId="77777777" w:rsidR="004A0123" w:rsidRPr="00640447" w:rsidRDefault="004A0123" w:rsidP="008A5C11">
            <w:pPr>
              <w:jc w:val="center"/>
              <w:rPr>
                <w:sz w:val="13"/>
                <w:szCs w:val="13"/>
              </w:rPr>
            </w:pPr>
            <w:r w:rsidRPr="00640447">
              <w:rPr>
                <w:sz w:val="13"/>
                <w:szCs w:val="13"/>
              </w:rPr>
              <w:t>1,23</w:t>
            </w:r>
          </w:p>
        </w:tc>
        <w:tc>
          <w:tcPr>
            <w:tcW w:w="182" w:type="pct"/>
            <w:shd w:val="clear" w:color="auto" w:fill="auto"/>
            <w:tcMar>
              <w:left w:w="28" w:type="dxa"/>
              <w:right w:w="28" w:type="dxa"/>
            </w:tcMar>
            <w:vAlign w:val="bottom"/>
          </w:tcPr>
          <w:p w14:paraId="209441E9" w14:textId="77777777" w:rsidR="004A0123" w:rsidRPr="00640447" w:rsidRDefault="004A0123" w:rsidP="008A5C11">
            <w:pPr>
              <w:jc w:val="center"/>
              <w:rPr>
                <w:sz w:val="13"/>
                <w:szCs w:val="13"/>
              </w:rPr>
            </w:pPr>
            <w:r w:rsidRPr="00640447">
              <w:rPr>
                <w:sz w:val="13"/>
                <w:szCs w:val="13"/>
              </w:rPr>
              <w:t>1,23</w:t>
            </w:r>
          </w:p>
        </w:tc>
        <w:tc>
          <w:tcPr>
            <w:tcW w:w="134" w:type="pct"/>
            <w:shd w:val="clear" w:color="auto" w:fill="auto"/>
            <w:vAlign w:val="bottom"/>
          </w:tcPr>
          <w:p w14:paraId="72B15D36" w14:textId="77777777" w:rsidR="004A0123" w:rsidRPr="00640447" w:rsidRDefault="004A0123" w:rsidP="008A5C11">
            <w:pPr>
              <w:jc w:val="center"/>
              <w:rPr>
                <w:sz w:val="13"/>
                <w:szCs w:val="13"/>
              </w:rPr>
            </w:pPr>
            <w:r w:rsidRPr="00640447">
              <w:rPr>
                <w:sz w:val="13"/>
                <w:szCs w:val="13"/>
              </w:rPr>
              <w:t>1,23</w:t>
            </w:r>
          </w:p>
        </w:tc>
      </w:tr>
      <w:tr w:rsidR="004A0123" w:rsidRPr="00640447" w14:paraId="741C27B3" w14:textId="77777777" w:rsidTr="008A5C11">
        <w:trPr>
          <w:trHeight w:val="148"/>
          <w:jc w:val="center"/>
        </w:trPr>
        <w:tc>
          <w:tcPr>
            <w:tcW w:w="134" w:type="pct"/>
            <w:tcMar>
              <w:top w:w="62" w:type="dxa"/>
              <w:left w:w="28" w:type="dxa"/>
              <w:bottom w:w="102" w:type="dxa"/>
              <w:right w:w="28" w:type="dxa"/>
            </w:tcMar>
            <w:vAlign w:val="center"/>
          </w:tcPr>
          <w:p w14:paraId="71E90F8A" w14:textId="77777777" w:rsidR="004A0123" w:rsidRPr="00640447" w:rsidRDefault="004A0123" w:rsidP="008A5C11">
            <w:pPr>
              <w:jc w:val="center"/>
              <w:rPr>
                <w:sz w:val="13"/>
                <w:szCs w:val="13"/>
              </w:rPr>
            </w:pPr>
            <w:r w:rsidRPr="00640447">
              <w:rPr>
                <w:sz w:val="13"/>
                <w:szCs w:val="13"/>
              </w:rPr>
              <w:t>13</w:t>
            </w:r>
          </w:p>
        </w:tc>
        <w:tc>
          <w:tcPr>
            <w:tcW w:w="524" w:type="pct"/>
            <w:tcMar>
              <w:top w:w="62" w:type="dxa"/>
              <w:left w:w="28" w:type="dxa"/>
              <w:bottom w:w="102" w:type="dxa"/>
              <w:right w:w="28" w:type="dxa"/>
            </w:tcMar>
            <w:vAlign w:val="center"/>
          </w:tcPr>
          <w:p w14:paraId="15060757" w14:textId="77777777" w:rsidR="004A0123" w:rsidRPr="00640447" w:rsidRDefault="004A0123" w:rsidP="008A5C11">
            <w:pPr>
              <w:jc w:val="center"/>
              <w:rPr>
                <w:sz w:val="13"/>
                <w:szCs w:val="13"/>
              </w:rPr>
            </w:pPr>
            <w:r w:rsidRPr="00640447">
              <w:rPr>
                <w:sz w:val="13"/>
                <w:szCs w:val="13"/>
              </w:rPr>
              <w:t>Котельная № 44</w:t>
            </w:r>
          </w:p>
        </w:tc>
        <w:tc>
          <w:tcPr>
            <w:tcW w:w="320" w:type="pct"/>
            <w:shd w:val="clear" w:color="auto" w:fill="auto"/>
            <w:tcMar>
              <w:left w:w="28" w:type="dxa"/>
              <w:right w:w="28" w:type="dxa"/>
            </w:tcMar>
            <w:vAlign w:val="bottom"/>
          </w:tcPr>
          <w:p w14:paraId="23543ECB" w14:textId="77777777" w:rsidR="004A0123" w:rsidRPr="00640447" w:rsidRDefault="004A0123" w:rsidP="008A5C11">
            <w:pPr>
              <w:jc w:val="center"/>
              <w:rPr>
                <w:sz w:val="13"/>
                <w:szCs w:val="13"/>
              </w:rPr>
            </w:pPr>
            <w:r w:rsidRPr="00640447">
              <w:rPr>
                <w:sz w:val="13"/>
                <w:szCs w:val="13"/>
              </w:rPr>
              <w:t>1,50</w:t>
            </w:r>
          </w:p>
        </w:tc>
        <w:tc>
          <w:tcPr>
            <w:tcW w:w="187" w:type="pct"/>
            <w:shd w:val="clear" w:color="auto" w:fill="auto"/>
            <w:tcMar>
              <w:left w:w="28" w:type="dxa"/>
              <w:right w:w="28" w:type="dxa"/>
            </w:tcMar>
            <w:vAlign w:val="bottom"/>
          </w:tcPr>
          <w:p w14:paraId="71F9AF56" w14:textId="77777777" w:rsidR="004A0123" w:rsidRPr="00640447" w:rsidRDefault="004A0123" w:rsidP="008A5C11">
            <w:pPr>
              <w:jc w:val="center"/>
              <w:rPr>
                <w:sz w:val="13"/>
                <w:szCs w:val="13"/>
              </w:rPr>
            </w:pPr>
            <w:r w:rsidRPr="00640447">
              <w:rPr>
                <w:sz w:val="13"/>
                <w:szCs w:val="13"/>
              </w:rPr>
              <w:t>1,50</w:t>
            </w:r>
          </w:p>
        </w:tc>
        <w:tc>
          <w:tcPr>
            <w:tcW w:w="193" w:type="pct"/>
            <w:shd w:val="clear" w:color="auto" w:fill="auto"/>
            <w:tcMar>
              <w:left w:w="28" w:type="dxa"/>
              <w:right w:w="28" w:type="dxa"/>
            </w:tcMar>
            <w:vAlign w:val="bottom"/>
          </w:tcPr>
          <w:p w14:paraId="12C85BEC" w14:textId="77777777" w:rsidR="004A0123" w:rsidRPr="00640447" w:rsidRDefault="004A0123" w:rsidP="008A5C11">
            <w:pPr>
              <w:jc w:val="center"/>
              <w:rPr>
                <w:sz w:val="13"/>
                <w:szCs w:val="13"/>
              </w:rPr>
            </w:pPr>
            <w:r w:rsidRPr="00640447">
              <w:rPr>
                <w:sz w:val="13"/>
                <w:szCs w:val="13"/>
              </w:rPr>
              <w:t>1,50</w:t>
            </w:r>
          </w:p>
        </w:tc>
        <w:tc>
          <w:tcPr>
            <w:tcW w:w="193" w:type="pct"/>
            <w:shd w:val="clear" w:color="auto" w:fill="auto"/>
            <w:tcMar>
              <w:left w:w="28" w:type="dxa"/>
              <w:right w:w="28" w:type="dxa"/>
            </w:tcMar>
            <w:vAlign w:val="bottom"/>
          </w:tcPr>
          <w:p w14:paraId="2B7B32F2" w14:textId="77777777" w:rsidR="004A0123" w:rsidRPr="00640447" w:rsidRDefault="004A0123" w:rsidP="008A5C11">
            <w:pPr>
              <w:jc w:val="center"/>
              <w:rPr>
                <w:sz w:val="13"/>
                <w:szCs w:val="13"/>
              </w:rPr>
            </w:pPr>
            <w:r w:rsidRPr="00640447">
              <w:rPr>
                <w:sz w:val="13"/>
                <w:szCs w:val="13"/>
              </w:rPr>
              <w:t>1,50</w:t>
            </w:r>
          </w:p>
        </w:tc>
        <w:tc>
          <w:tcPr>
            <w:tcW w:w="193" w:type="pct"/>
            <w:shd w:val="clear" w:color="auto" w:fill="auto"/>
            <w:vAlign w:val="bottom"/>
          </w:tcPr>
          <w:p w14:paraId="305E28F5" w14:textId="77777777" w:rsidR="004A0123" w:rsidRPr="00640447" w:rsidRDefault="004A0123" w:rsidP="008A5C11">
            <w:pPr>
              <w:jc w:val="center"/>
              <w:rPr>
                <w:sz w:val="13"/>
                <w:szCs w:val="13"/>
              </w:rPr>
            </w:pPr>
            <w:r w:rsidRPr="00640447">
              <w:rPr>
                <w:sz w:val="13"/>
                <w:szCs w:val="13"/>
              </w:rPr>
              <w:t>1,50</w:t>
            </w:r>
          </w:p>
        </w:tc>
        <w:tc>
          <w:tcPr>
            <w:tcW w:w="182" w:type="pct"/>
            <w:shd w:val="clear" w:color="auto" w:fill="auto"/>
            <w:vAlign w:val="bottom"/>
          </w:tcPr>
          <w:p w14:paraId="27561DF1" w14:textId="77777777" w:rsidR="004A0123" w:rsidRPr="00640447" w:rsidRDefault="004A0123" w:rsidP="008A5C11">
            <w:pPr>
              <w:jc w:val="center"/>
              <w:rPr>
                <w:sz w:val="13"/>
                <w:szCs w:val="13"/>
              </w:rPr>
            </w:pPr>
            <w:r w:rsidRPr="00640447">
              <w:rPr>
                <w:sz w:val="13"/>
                <w:szCs w:val="13"/>
              </w:rPr>
              <w:t>1,50</w:t>
            </w:r>
          </w:p>
        </w:tc>
        <w:tc>
          <w:tcPr>
            <w:tcW w:w="182" w:type="pct"/>
            <w:shd w:val="clear" w:color="auto" w:fill="auto"/>
            <w:tcMar>
              <w:left w:w="28" w:type="dxa"/>
              <w:right w:w="28" w:type="dxa"/>
            </w:tcMar>
            <w:vAlign w:val="bottom"/>
          </w:tcPr>
          <w:p w14:paraId="2DC75F59" w14:textId="77777777" w:rsidR="004A0123" w:rsidRPr="00640447" w:rsidRDefault="004A0123" w:rsidP="008A5C11">
            <w:pPr>
              <w:jc w:val="center"/>
              <w:rPr>
                <w:sz w:val="13"/>
                <w:szCs w:val="13"/>
              </w:rPr>
            </w:pPr>
            <w:r w:rsidRPr="00640447">
              <w:rPr>
                <w:sz w:val="13"/>
                <w:szCs w:val="13"/>
              </w:rPr>
              <w:t>1,50</w:t>
            </w:r>
          </w:p>
        </w:tc>
        <w:tc>
          <w:tcPr>
            <w:tcW w:w="182" w:type="pct"/>
            <w:shd w:val="clear" w:color="auto" w:fill="auto"/>
            <w:tcMar>
              <w:left w:w="28" w:type="dxa"/>
              <w:right w:w="28" w:type="dxa"/>
            </w:tcMar>
            <w:vAlign w:val="bottom"/>
          </w:tcPr>
          <w:p w14:paraId="54A1A708" w14:textId="77777777" w:rsidR="004A0123" w:rsidRPr="00640447" w:rsidRDefault="004A0123" w:rsidP="008A5C11">
            <w:pPr>
              <w:jc w:val="center"/>
              <w:rPr>
                <w:sz w:val="13"/>
                <w:szCs w:val="13"/>
              </w:rPr>
            </w:pPr>
            <w:r w:rsidRPr="00640447">
              <w:rPr>
                <w:sz w:val="13"/>
                <w:szCs w:val="13"/>
              </w:rPr>
              <w:t>1,50</w:t>
            </w:r>
          </w:p>
        </w:tc>
        <w:tc>
          <w:tcPr>
            <w:tcW w:w="182" w:type="pct"/>
            <w:shd w:val="clear" w:color="auto" w:fill="auto"/>
            <w:tcMar>
              <w:left w:w="28" w:type="dxa"/>
              <w:right w:w="28" w:type="dxa"/>
            </w:tcMar>
            <w:vAlign w:val="bottom"/>
          </w:tcPr>
          <w:p w14:paraId="5891C59B" w14:textId="77777777" w:rsidR="004A0123" w:rsidRPr="00640447" w:rsidRDefault="004A0123" w:rsidP="008A5C11">
            <w:pPr>
              <w:jc w:val="center"/>
              <w:rPr>
                <w:sz w:val="13"/>
                <w:szCs w:val="13"/>
              </w:rPr>
            </w:pPr>
            <w:r w:rsidRPr="00640447">
              <w:rPr>
                <w:sz w:val="13"/>
                <w:szCs w:val="13"/>
              </w:rPr>
              <w:t>1,50</w:t>
            </w:r>
          </w:p>
        </w:tc>
        <w:tc>
          <w:tcPr>
            <w:tcW w:w="182" w:type="pct"/>
            <w:shd w:val="clear" w:color="auto" w:fill="auto"/>
            <w:tcMar>
              <w:left w:w="28" w:type="dxa"/>
              <w:right w:w="28" w:type="dxa"/>
            </w:tcMar>
            <w:vAlign w:val="bottom"/>
          </w:tcPr>
          <w:p w14:paraId="6B56B422" w14:textId="77777777" w:rsidR="004A0123" w:rsidRPr="00640447" w:rsidRDefault="004A0123" w:rsidP="008A5C11">
            <w:pPr>
              <w:jc w:val="center"/>
              <w:rPr>
                <w:sz w:val="13"/>
                <w:szCs w:val="13"/>
              </w:rPr>
            </w:pPr>
            <w:r w:rsidRPr="00640447">
              <w:rPr>
                <w:sz w:val="13"/>
                <w:szCs w:val="13"/>
              </w:rPr>
              <w:t>1,50</w:t>
            </w:r>
          </w:p>
        </w:tc>
        <w:tc>
          <w:tcPr>
            <w:tcW w:w="206" w:type="pct"/>
            <w:shd w:val="clear" w:color="auto" w:fill="auto"/>
            <w:vAlign w:val="bottom"/>
          </w:tcPr>
          <w:p w14:paraId="78495A9C" w14:textId="77777777" w:rsidR="004A0123" w:rsidRPr="00640447" w:rsidRDefault="004A0123" w:rsidP="008A5C11">
            <w:pPr>
              <w:jc w:val="center"/>
              <w:rPr>
                <w:sz w:val="13"/>
                <w:szCs w:val="13"/>
              </w:rPr>
            </w:pPr>
            <w:r w:rsidRPr="00640447">
              <w:rPr>
                <w:sz w:val="13"/>
                <w:szCs w:val="13"/>
              </w:rPr>
              <w:t>1,50</w:t>
            </w:r>
          </w:p>
        </w:tc>
        <w:tc>
          <w:tcPr>
            <w:tcW w:w="368" w:type="pct"/>
            <w:shd w:val="clear" w:color="auto" w:fill="auto"/>
            <w:tcMar>
              <w:left w:w="28" w:type="dxa"/>
              <w:right w:w="28" w:type="dxa"/>
            </w:tcMar>
            <w:vAlign w:val="bottom"/>
          </w:tcPr>
          <w:p w14:paraId="3125FFFE" w14:textId="77777777" w:rsidR="004A0123" w:rsidRPr="00640447" w:rsidRDefault="004A0123" w:rsidP="008A5C11">
            <w:pPr>
              <w:jc w:val="center"/>
              <w:rPr>
                <w:sz w:val="13"/>
                <w:szCs w:val="13"/>
              </w:rPr>
            </w:pPr>
            <w:r w:rsidRPr="00640447">
              <w:rPr>
                <w:sz w:val="13"/>
                <w:szCs w:val="13"/>
              </w:rPr>
              <w:t>1,23</w:t>
            </w:r>
          </w:p>
        </w:tc>
        <w:tc>
          <w:tcPr>
            <w:tcW w:w="182" w:type="pct"/>
            <w:shd w:val="clear" w:color="auto" w:fill="auto"/>
            <w:tcMar>
              <w:left w:w="28" w:type="dxa"/>
              <w:right w:w="28" w:type="dxa"/>
            </w:tcMar>
            <w:vAlign w:val="bottom"/>
          </w:tcPr>
          <w:p w14:paraId="19DA8DB7" w14:textId="77777777" w:rsidR="004A0123" w:rsidRPr="00640447" w:rsidRDefault="004A0123" w:rsidP="008A5C11">
            <w:pPr>
              <w:jc w:val="center"/>
              <w:rPr>
                <w:sz w:val="13"/>
                <w:szCs w:val="13"/>
              </w:rPr>
            </w:pPr>
            <w:r w:rsidRPr="00640447">
              <w:rPr>
                <w:sz w:val="13"/>
                <w:szCs w:val="13"/>
              </w:rPr>
              <w:t>1,23</w:t>
            </w:r>
          </w:p>
        </w:tc>
        <w:tc>
          <w:tcPr>
            <w:tcW w:w="182" w:type="pct"/>
            <w:shd w:val="clear" w:color="auto" w:fill="auto"/>
            <w:tcMar>
              <w:left w:w="28" w:type="dxa"/>
              <w:right w:w="28" w:type="dxa"/>
            </w:tcMar>
            <w:vAlign w:val="bottom"/>
          </w:tcPr>
          <w:p w14:paraId="707B622B" w14:textId="77777777" w:rsidR="004A0123" w:rsidRPr="00640447" w:rsidRDefault="004A0123" w:rsidP="008A5C11">
            <w:pPr>
              <w:jc w:val="center"/>
              <w:rPr>
                <w:sz w:val="13"/>
                <w:szCs w:val="13"/>
              </w:rPr>
            </w:pPr>
            <w:r w:rsidRPr="00640447">
              <w:rPr>
                <w:sz w:val="13"/>
                <w:szCs w:val="13"/>
              </w:rPr>
              <w:t>1,23</w:t>
            </w:r>
          </w:p>
        </w:tc>
        <w:tc>
          <w:tcPr>
            <w:tcW w:w="182" w:type="pct"/>
            <w:shd w:val="clear" w:color="auto" w:fill="auto"/>
            <w:tcMar>
              <w:left w:w="28" w:type="dxa"/>
              <w:right w:w="28" w:type="dxa"/>
            </w:tcMar>
            <w:vAlign w:val="bottom"/>
          </w:tcPr>
          <w:p w14:paraId="487210C5" w14:textId="77777777" w:rsidR="004A0123" w:rsidRPr="00640447" w:rsidRDefault="004A0123" w:rsidP="008A5C11">
            <w:pPr>
              <w:jc w:val="center"/>
              <w:rPr>
                <w:sz w:val="13"/>
                <w:szCs w:val="13"/>
              </w:rPr>
            </w:pPr>
            <w:r w:rsidRPr="00640447">
              <w:rPr>
                <w:sz w:val="13"/>
                <w:szCs w:val="13"/>
              </w:rPr>
              <w:t>1,23</w:t>
            </w:r>
          </w:p>
        </w:tc>
        <w:tc>
          <w:tcPr>
            <w:tcW w:w="182" w:type="pct"/>
            <w:shd w:val="clear" w:color="auto" w:fill="auto"/>
            <w:vAlign w:val="bottom"/>
          </w:tcPr>
          <w:p w14:paraId="5AFA26DD" w14:textId="77777777" w:rsidR="004A0123" w:rsidRPr="00640447" w:rsidRDefault="004A0123" w:rsidP="008A5C11">
            <w:pPr>
              <w:jc w:val="center"/>
              <w:rPr>
                <w:sz w:val="13"/>
                <w:szCs w:val="13"/>
              </w:rPr>
            </w:pPr>
            <w:r w:rsidRPr="00640447">
              <w:rPr>
                <w:sz w:val="13"/>
                <w:szCs w:val="13"/>
              </w:rPr>
              <w:t>1,23</w:t>
            </w:r>
          </w:p>
        </w:tc>
        <w:tc>
          <w:tcPr>
            <w:tcW w:w="182" w:type="pct"/>
            <w:shd w:val="clear" w:color="auto" w:fill="auto"/>
            <w:vAlign w:val="bottom"/>
          </w:tcPr>
          <w:p w14:paraId="49B1C932" w14:textId="77777777" w:rsidR="004A0123" w:rsidRPr="00640447" w:rsidRDefault="004A0123" w:rsidP="008A5C11">
            <w:pPr>
              <w:jc w:val="center"/>
              <w:rPr>
                <w:sz w:val="13"/>
                <w:szCs w:val="13"/>
              </w:rPr>
            </w:pPr>
            <w:r w:rsidRPr="00640447">
              <w:rPr>
                <w:sz w:val="13"/>
                <w:szCs w:val="13"/>
              </w:rPr>
              <w:t>1,23</w:t>
            </w:r>
          </w:p>
        </w:tc>
        <w:tc>
          <w:tcPr>
            <w:tcW w:w="182" w:type="pct"/>
            <w:shd w:val="clear" w:color="auto" w:fill="auto"/>
            <w:tcMar>
              <w:left w:w="28" w:type="dxa"/>
              <w:right w:w="28" w:type="dxa"/>
            </w:tcMar>
            <w:vAlign w:val="bottom"/>
          </w:tcPr>
          <w:p w14:paraId="448065FF" w14:textId="77777777" w:rsidR="004A0123" w:rsidRPr="00640447" w:rsidRDefault="004A0123" w:rsidP="008A5C11">
            <w:pPr>
              <w:jc w:val="center"/>
              <w:rPr>
                <w:sz w:val="13"/>
                <w:szCs w:val="13"/>
              </w:rPr>
            </w:pPr>
            <w:r w:rsidRPr="00640447">
              <w:rPr>
                <w:sz w:val="13"/>
                <w:szCs w:val="13"/>
              </w:rPr>
              <w:t>1,23</w:t>
            </w:r>
          </w:p>
        </w:tc>
        <w:tc>
          <w:tcPr>
            <w:tcW w:w="182" w:type="pct"/>
            <w:shd w:val="clear" w:color="auto" w:fill="auto"/>
            <w:tcMar>
              <w:left w:w="28" w:type="dxa"/>
              <w:right w:w="28" w:type="dxa"/>
            </w:tcMar>
            <w:vAlign w:val="bottom"/>
          </w:tcPr>
          <w:p w14:paraId="0CD5B185" w14:textId="77777777" w:rsidR="004A0123" w:rsidRPr="00640447" w:rsidRDefault="004A0123" w:rsidP="008A5C11">
            <w:pPr>
              <w:jc w:val="center"/>
              <w:rPr>
                <w:sz w:val="13"/>
                <w:szCs w:val="13"/>
              </w:rPr>
            </w:pPr>
            <w:r w:rsidRPr="00640447">
              <w:rPr>
                <w:sz w:val="13"/>
                <w:szCs w:val="13"/>
              </w:rPr>
              <w:t>1,23</w:t>
            </w:r>
          </w:p>
        </w:tc>
        <w:tc>
          <w:tcPr>
            <w:tcW w:w="182" w:type="pct"/>
            <w:shd w:val="clear" w:color="auto" w:fill="auto"/>
            <w:tcMar>
              <w:left w:w="28" w:type="dxa"/>
              <w:right w:w="28" w:type="dxa"/>
            </w:tcMar>
            <w:vAlign w:val="bottom"/>
          </w:tcPr>
          <w:p w14:paraId="7D07F289" w14:textId="77777777" w:rsidR="004A0123" w:rsidRPr="00640447" w:rsidRDefault="004A0123" w:rsidP="008A5C11">
            <w:pPr>
              <w:jc w:val="center"/>
              <w:rPr>
                <w:sz w:val="13"/>
                <w:szCs w:val="13"/>
              </w:rPr>
            </w:pPr>
            <w:r w:rsidRPr="00640447">
              <w:rPr>
                <w:sz w:val="13"/>
                <w:szCs w:val="13"/>
              </w:rPr>
              <w:t>1,23</w:t>
            </w:r>
          </w:p>
        </w:tc>
        <w:tc>
          <w:tcPr>
            <w:tcW w:w="182" w:type="pct"/>
            <w:shd w:val="clear" w:color="auto" w:fill="auto"/>
            <w:tcMar>
              <w:left w:w="28" w:type="dxa"/>
              <w:right w:w="28" w:type="dxa"/>
            </w:tcMar>
            <w:vAlign w:val="bottom"/>
          </w:tcPr>
          <w:p w14:paraId="34F06CF4" w14:textId="77777777" w:rsidR="004A0123" w:rsidRPr="00640447" w:rsidRDefault="004A0123" w:rsidP="008A5C11">
            <w:pPr>
              <w:jc w:val="center"/>
              <w:rPr>
                <w:sz w:val="13"/>
                <w:szCs w:val="13"/>
              </w:rPr>
            </w:pPr>
            <w:r w:rsidRPr="00640447">
              <w:rPr>
                <w:sz w:val="13"/>
                <w:szCs w:val="13"/>
              </w:rPr>
              <w:t>1,23</w:t>
            </w:r>
          </w:p>
        </w:tc>
        <w:tc>
          <w:tcPr>
            <w:tcW w:w="134" w:type="pct"/>
            <w:shd w:val="clear" w:color="auto" w:fill="auto"/>
            <w:vAlign w:val="bottom"/>
          </w:tcPr>
          <w:p w14:paraId="069097CC" w14:textId="77777777" w:rsidR="004A0123" w:rsidRPr="00640447" w:rsidRDefault="004A0123" w:rsidP="008A5C11">
            <w:pPr>
              <w:jc w:val="center"/>
              <w:rPr>
                <w:sz w:val="13"/>
                <w:szCs w:val="13"/>
              </w:rPr>
            </w:pPr>
            <w:r w:rsidRPr="00640447">
              <w:rPr>
                <w:sz w:val="13"/>
                <w:szCs w:val="13"/>
              </w:rPr>
              <w:t>1,23</w:t>
            </w:r>
          </w:p>
        </w:tc>
      </w:tr>
      <w:tr w:rsidR="004A0123" w:rsidRPr="00640447" w14:paraId="76BEF0ED" w14:textId="77777777" w:rsidTr="008A5C11">
        <w:trPr>
          <w:trHeight w:val="148"/>
          <w:jc w:val="center"/>
        </w:trPr>
        <w:tc>
          <w:tcPr>
            <w:tcW w:w="134" w:type="pct"/>
            <w:tcMar>
              <w:top w:w="62" w:type="dxa"/>
              <w:left w:w="28" w:type="dxa"/>
              <w:bottom w:w="102" w:type="dxa"/>
              <w:right w:w="28" w:type="dxa"/>
            </w:tcMar>
            <w:vAlign w:val="center"/>
          </w:tcPr>
          <w:p w14:paraId="772BFFE0" w14:textId="77777777" w:rsidR="004A0123" w:rsidRPr="00640447" w:rsidRDefault="004A0123" w:rsidP="008A5C11">
            <w:pPr>
              <w:jc w:val="center"/>
              <w:rPr>
                <w:sz w:val="13"/>
                <w:szCs w:val="13"/>
              </w:rPr>
            </w:pPr>
            <w:r w:rsidRPr="00640447">
              <w:rPr>
                <w:sz w:val="13"/>
                <w:szCs w:val="13"/>
              </w:rPr>
              <w:t>14</w:t>
            </w:r>
          </w:p>
        </w:tc>
        <w:tc>
          <w:tcPr>
            <w:tcW w:w="524" w:type="pct"/>
            <w:tcMar>
              <w:top w:w="62" w:type="dxa"/>
              <w:left w:w="28" w:type="dxa"/>
              <w:bottom w:w="102" w:type="dxa"/>
              <w:right w:w="28" w:type="dxa"/>
            </w:tcMar>
            <w:vAlign w:val="center"/>
          </w:tcPr>
          <w:p w14:paraId="6E042C55" w14:textId="77777777" w:rsidR="004A0123" w:rsidRPr="00640447" w:rsidRDefault="004A0123" w:rsidP="008A5C11">
            <w:pPr>
              <w:jc w:val="center"/>
              <w:rPr>
                <w:sz w:val="13"/>
                <w:szCs w:val="13"/>
              </w:rPr>
            </w:pPr>
            <w:r w:rsidRPr="00640447">
              <w:rPr>
                <w:sz w:val="13"/>
                <w:szCs w:val="13"/>
              </w:rPr>
              <w:t>Котельная терморобот</w:t>
            </w:r>
          </w:p>
        </w:tc>
        <w:tc>
          <w:tcPr>
            <w:tcW w:w="320" w:type="pct"/>
            <w:shd w:val="clear" w:color="auto" w:fill="auto"/>
            <w:tcMar>
              <w:left w:w="28" w:type="dxa"/>
              <w:right w:w="28" w:type="dxa"/>
            </w:tcMar>
            <w:vAlign w:val="bottom"/>
          </w:tcPr>
          <w:p w14:paraId="3125B1BD" w14:textId="77777777" w:rsidR="004A0123" w:rsidRPr="00640447" w:rsidRDefault="004A0123" w:rsidP="008A5C11">
            <w:pPr>
              <w:jc w:val="center"/>
              <w:rPr>
                <w:sz w:val="13"/>
                <w:szCs w:val="13"/>
              </w:rPr>
            </w:pPr>
            <w:r w:rsidRPr="00640447">
              <w:rPr>
                <w:sz w:val="13"/>
                <w:szCs w:val="13"/>
              </w:rPr>
              <w:t>1,29</w:t>
            </w:r>
          </w:p>
        </w:tc>
        <w:tc>
          <w:tcPr>
            <w:tcW w:w="187" w:type="pct"/>
            <w:shd w:val="clear" w:color="auto" w:fill="auto"/>
            <w:tcMar>
              <w:left w:w="28" w:type="dxa"/>
              <w:right w:w="28" w:type="dxa"/>
            </w:tcMar>
            <w:vAlign w:val="bottom"/>
          </w:tcPr>
          <w:p w14:paraId="0E20790E" w14:textId="77777777" w:rsidR="004A0123" w:rsidRPr="00640447" w:rsidRDefault="004A0123" w:rsidP="008A5C11">
            <w:pPr>
              <w:jc w:val="center"/>
              <w:rPr>
                <w:sz w:val="13"/>
                <w:szCs w:val="13"/>
              </w:rPr>
            </w:pPr>
            <w:r w:rsidRPr="00640447">
              <w:rPr>
                <w:sz w:val="13"/>
                <w:szCs w:val="13"/>
              </w:rPr>
              <w:t>1,29</w:t>
            </w:r>
          </w:p>
        </w:tc>
        <w:tc>
          <w:tcPr>
            <w:tcW w:w="193" w:type="pct"/>
            <w:shd w:val="clear" w:color="auto" w:fill="auto"/>
            <w:tcMar>
              <w:left w:w="28" w:type="dxa"/>
              <w:right w:w="28" w:type="dxa"/>
            </w:tcMar>
            <w:vAlign w:val="bottom"/>
          </w:tcPr>
          <w:p w14:paraId="0ED0B5F3" w14:textId="77777777" w:rsidR="004A0123" w:rsidRPr="00640447" w:rsidRDefault="004A0123" w:rsidP="008A5C11">
            <w:pPr>
              <w:jc w:val="center"/>
              <w:rPr>
                <w:sz w:val="13"/>
                <w:szCs w:val="13"/>
              </w:rPr>
            </w:pPr>
            <w:r w:rsidRPr="00640447">
              <w:rPr>
                <w:sz w:val="13"/>
                <w:szCs w:val="13"/>
              </w:rPr>
              <w:t>1,29</w:t>
            </w:r>
          </w:p>
        </w:tc>
        <w:tc>
          <w:tcPr>
            <w:tcW w:w="193" w:type="pct"/>
            <w:shd w:val="clear" w:color="auto" w:fill="auto"/>
            <w:tcMar>
              <w:left w:w="28" w:type="dxa"/>
              <w:right w:w="28" w:type="dxa"/>
            </w:tcMar>
            <w:vAlign w:val="bottom"/>
          </w:tcPr>
          <w:p w14:paraId="77E0F707" w14:textId="77777777" w:rsidR="004A0123" w:rsidRPr="00640447" w:rsidRDefault="004A0123" w:rsidP="008A5C11">
            <w:pPr>
              <w:jc w:val="center"/>
              <w:rPr>
                <w:sz w:val="13"/>
                <w:szCs w:val="13"/>
              </w:rPr>
            </w:pPr>
            <w:r w:rsidRPr="00640447">
              <w:rPr>
                <w:sz w:val="13"/>
                <w:szCs w:val="13"/>
              </w:rPr>
              <w:t>1,29</w:t>
            </w:r>
          </w:p>
        </w:tc>
        <w:tc>
          <w:tcPr>
            <w:tcW w:w="193" w:type="pct"/>
            <w:shd w:val="clear" w:color="auto" w:fill="auto"/>
            <w:vAlign w:val="bottom"/>
          </w:tcPr>
          <w:p w14:paraId="0C71B9E3" w14:textId="77777777" w:rsidR="004A0123" w:rsidRPr="00640447" w:rsidRDefault="004A0123" w:rsidP="008A5C11">
            <w:pPr>
              <w:jc w:val="center"/>
              <w:rPr>
                <w:sz w:val="13"/>
                <w:szCs w:val="13"/>
              </w:rPr>
            </w:pPr>
            <w:r w:rsidRPr="00640447">
              <w:rPr>
                <w:sz w:val="13"/>
                <w:szCs w:val="13"/>
              </w:rPr>
              <w:t>1,29</w:t>
            </w:r>
          </w:p>
        </w:tc>
        <w:tc>
          <w:tcPr>
            <w:tcW w:w="182" w:type="pct"/>
            <w:shd w:val="clear" w:color="auto" w:fill="auto"/>
            <w:vAlign w:val="bottom"/>
          </w:tcPr>
          <w:p w14:paraId="01F4F423" w14:textId="77777777" w:rsidR="004A0123" w:rsidRPr="00640447" w:rsidRDefault="004A0123" w:rsidP="008A5C11">
            <w:pPr>
              <w:jc w:val="center"/>
              <w:rPr>
                <w:sz w:val="13"/>
                <w:szCs w:val="13"/>
              </w:rPr>
            </w:pPr>
            <w:r w:rsidRPr="00640447">
              <w:rPr>
                <w:sz w:val="13"/>
                <w:szCs w:val="13"/>
              </w:rPr>
              <w:t>1,29</w:t>
            </w:r>
          </w:p>
        </w:tc>
        <w:tc>
          <w:tcPr>
            <w:tcW w:w="182" w:type="pct"/>
            <w:shd w:val="clear" w:color="auto" w:fill="auto"/>
            <w:tcMar>
              <w:left w:w="28" w:type="dxa"/>
              <w:right w:w="28" w:type="dxa"/>
            </w:tcMar>
            <w:vAlign w:val="bottom"/>
          </w:tcPr>
          <w:p w14:paraId="2D469ECF" w14:textId="77777777" w:rsidR="004A0123" w:rsidRPr="00640447" w:rsidRDefault="004A0123" w:rsidP="008A5C11">
            <w:pPr>
              <w:jc w:val="center"/>
              <w:rPr>
                <w:sz w:val="13"/>
                <w:szCs w:val="13"/>
              </w:rPr>
            </w:pPr>
            <w:r w:rsidRPr="00640447">
              <w:rPr>
                <w:sz w:val="13"/>
                <w:szCs w:val="13"/>
              </w:rPr>
              <w:t>1,29</w:t>
            </w:r>
          </w:p>
        </w:tc>
        <w:tc>
          <w:tcPr>
            <w:tcW w:w="182" w:type="pct"/>
            <w:shd w:val="clear" w:color="auto" w:fill="auto"/>
            <w:tcMar>
              <w:left w:w="28" w:type="dxa"/>
              <w:right w:w="28" w:type="dxa"/>
            </w:tcMar>
            <w:vAlign w:val="bottom"/>
          </w:tcPr>
          <w:p w14:paraId="0947389B" w14:textId="77777777" w:rsidR="004A0123" w:rsidRPr="00640447" w:rsidRDefault="004A0123" w:rsidP="008A5C11">
            <w:pPr>
              <w:jc w:val="center"/>
              <w:rPr>
                <w:sz w:val="13"/>
                <w:szCs w:val="13"/>
              </w:rPr>
            </w:pPr>
            <w:r w:rsidRPr="00640447">
              <w:rPr>
                <w:sz w:val="13"/>
                <w:szCs w:val="13"/>
              </w:rPr>
              <w:t>1,29</w:t>
            </w:r>
          </w:p>
        </w:tc>
        <w:tc>
          <w:tcPr>
            <w:tcW w:w="182" w:type="pct"/>
            <w:shd w:val="clear" w:color="auto" w:fill="auto"/>
            <w:tcMar>
              <w:left w:w="28" w:type="dxa"/>
              <w:right w:w="28" w:type="dxa"/>
            </w:tcMar>
            <w:vAlign w:val="bottom"/>
          </w:tcPr>
          <w:p w14:paraId="0C534EC7" w14:textId="77777777" w:rsidR="004A0123" w:rsidRPr="00640447" w:rsidRDefault="004A0123" w:rsidP="008A5C11">
            <w:pPr>
              <w:jc w:val="center"/>
              <w:rPr>
                <w:sz w:val="13"/>
                <w:szCs w:val="13"/>
              </w:rPr>
            </w:pPr>
            <w:r w:rsidRPr="00640447">
              <w:rPr>
                <w:sz w:val="13"/>
                <w:szCs w:val="13"/>
              </w:rPr>
              <w:t>1,29</w:t>
            </w:r>
          </w:p>
        </w:tc>
        <w:tc>
          <w:tcPr>
            <w:tcW w:w="182" w:type="pct"/>
            <w:shd w:val="clear" w:color="auto" w:fill="auto"/>
            <w:tcMar>
              <w:left w:w="28" w:type="dxa"/>
              <w:right w:w="28" w:type="dxa"/>
            </w:tcMar>
            <w:vAlign w:val="bottom"/>
          </w:tcPr>
          <w:p w14:paraId="7301F22B" w14:textId="77777777" w:rsidR="004A0123" w:rsidRPr="00640447" w:rsidRDefault="004A0123" w:rsidP="008A5C11">
            <w:pPr>
              <w:jc w:val="center"/>
              <w:rPr>
                <w:sz w:val="13"/>
                <w:szCs w:val="13"/>
              </w:rPr>
            </w:pPr>
            <w:r w:rsidRPr="00640447">
              <w:rPr>
                <w:sz w:val="13"/>
                <w:szCs w:val="13"/>
              </w:rPr>
              <w:t>1,29</w:t>
            </w:r>
          </w:p>
        </w:tc>
        <w:tc>
          <w:tcPr>
            <w:tcW w:w="206" w:type="pct"/>
            <w:shd w:val="clear" w:color="auto" w:fill="auto"/>
            <w:vAlign w:val="bottom"/>
          </w:tcPr>
          <w:p w14:paraId="2CB45F92" w14:textId="77777777" w:rsidR="004A0123" w:rsidRPr="00640447" w:rsidRDefault="004A0123" w:rsidP="008A5C11">
            <w:pPr>
              <w:jc w:val="center"/>
              <w:rPr>
                <w:sz w:val="13"/>
                <w:szCs w:val="13"/>
              </w:rPr>
            </w:pPr>
            <w:r w:rsidRPr="00640447">
              <w:rPr>
                <w:sz w:val="13"/>
                <w:szCs w:val="13"/>
              </w:rPr>
              <w:t>1,29</w:t>
            </w:r>
          </w:p>
        </w:tc>
        <w:tc>
          <w:tcPr>
            <w:tcW w:w="368" w:type="pct"/>
            <w:shd w:val="clear" w:color="auto" w:fill="auto"/>
            <w:tcMar>
              <w:left w:w="28" w:type="dxa"/>
              <w:right w:w="28" w:type="dxa"/>
            </w:tcMar>
            <w:vAlign w:val="bottom"/>
          </w:tcPr>
          <w:p w14:paraId="1EC338EF" w14:textId="77777777" w:rsidR="004A0123" w:rsidRPr="00640447" w:rsidRDefault="004A0123" w:rsidP="008A5C11">
            <w:pPr>
              <w:jc w:val="center"/>
              <w:rPr>
                <w:sz w:val="13"/>
                <w:szCs w:val="13"/>
              </w:rPr>
            </w:pPr>
            <w:r w:rsidRPr="00640447">
              <w:rPr>
                <w:sz w:val="13"/>
                <w:szCs w:val="13"/>
              </w:rPr>
              <w:t>0,93</w:t>
            </w:r>
          </w:p>
        </w:tc>
        <w:tc>
          <w:tcPr>
            <w:tcW w:w="182" w:type="pct"/>
            <w:shd w:val="clear" w:color="auto" w:fill="auto"/>
            <w:tcMar>
              <w:left w:w="28" w:type="dxa"/>
              <w:right w:w="28" w:type="dxa"/>
            </w:tcMar>
            <w:vAlign w:val="bottom"/>
          </w:tcPr>
          <w:p w14:paraId="426BFAF2" w14:textId="77777777" w:rsidR="004A0123" w:rsidRPr="00640447" w:rsidRDefault="004A0123" w:rsidP="008A5C11">
            <w:pPr>
              <w:jc w:val="center"/>
              <w:rPr>
                <w:sz w:val="13"/>
                <w:szCs w:val="13"/>
              </w:rPr>
            </w:pPr>
            <w:r w:rsidRPr="00640447">
              <w:rPr>
                <w:sz w:val="13"/>
                <w:szCs w:val="13"/>
              </w:rPr>
              <w:t>0,93</w:t>
            </w:r>
          </w:p>
        </w:tc>
        <w:tc>
          <w:tcPr>
            <w:tcW w:w="182" w:type="pct"/>
            <w:shd w:val="clear" w:color="auto" w:fill="auto"/>
            <w:tcMar>
              <w:left w:w="28" w:type="dxa"/>
              <w:right w:w="28" w:type="dxa"/>
            </w:tcMar>
            <w:vAlign w:val="bottom"/>
          </w:tcPr>
          <w:p w14:paraId="4386F2C0" w14:textId="77777777" w:rsidR="004A0123" w:rsidRPr="00640447" w:rsidRDefault="004A0123" w:rsidP="008A5C11">
            <w:pPr>
              <w:jc w:val="center"/>
              <w:rPr>
                <w:sz w:val="13"/>
                <w:szCs w:val="13"/>
              </w:rPr>
            </w:pPr>
            <w:r w:rsidRPr="00640447">
              <w:rPr>
                <w:sz w:val="13"/>
                <w:szCs w:val="13"/>
              </w:rPr>
              <w:t>0,93</w:t>
            </w:r>
          </w:p>
        </w:tc>
        <w:tc>
          <w:tcPr>
            <w:tcW w:w="182" w:type="pct"/>
            <w:shd w:val="clear" w:color="auto" w:fill="auto"/>
            <w:tcMar>
              <w:left w:w="28" w:type="dxa"/>
              <w:right w:w="28" w:type="dxa"/>
            </w:tcMar>
            <w:vAlign w:val="bottom"/>
          </w:tcPr>
          <w:p w14:paraId="2B1B8B9D" w14:textId="77777777" w:rsidR="004A0123" w:rsidRPr="00640447" w:rsidRDefault="004A0123" w:rsidP="008A5C11">
            <w:pPr>
              <w:jc w:val="center"/>
              <w:rPr>
                <w:sz w:val="13"/>
                <w:szCs w:val="13"/>
              </w:rPr>
            </w:pPr>
            <w:r w:rsidRPr="00640447">
              <w:rPr>
                <w:sz w:val="13"/>
                <w:szCs w:val="13"/>
              </w:rPr>
              <w:t>0,93</w:t>
            </w:r>
          </w:p>
        </w:tc>
        <w:tc>
          <w:tcPr>
            <w:tcW w:w="182" w:type="pct"/>
            <w:shd w:val="clear" w:color="auto" w:fill="auto"/>
            <w:vAlign w:val="bottom"/>
          </w:tcPr>
          <w:p w14:paraId="5AC7D409" w14:textId="77777777" w:rsidR="004A0123" w:rsidRPr="00640447" w:rsidRDefault="004A0123" w:rsidP="008A5C11">
            <w:pPr>
              <w:jc w:val="center"/>
              <w:rPr>
                <w:sz w:val="13"/>
                <w:szCs w:val="13"/>
              </w:rPr>
            </w:pPr>
            <w:r w:rsidRPr="00640447">
              <w:rPr>
                <w:sz w:val="13"/>
                <w:szCs w:val="13"/>
              </w:rPr>
              <w:t>0,93</w:t>
            </w:r>
          </w:p>
        </w:tc>
        <w:tc>
          <w:tcPr>
            <w:tcW w:w="182" w:type="pct"/>
            <w:shd w:val="clear" w:color="auto" w:fill="auto"/>
            <w:vAlign w:val="bottom"/>
          </w:tcPr>
          <w:p w14:paraId="3F1E3A7B" w14:textId="77777777" w:rsidR="004A0123" w:rsidRPr="00640447" w:rsidRDefault="004A0123" w:rsidP="008A5C11">
            <w:pPr>
              <w:jc w:val="center"/>
              <w:rPr>
                <w:sz w:val="13"/>
                <w:szCs w:val="13"/>
              </w:rPr>
            </w:pPr>
            <w:r w:rsidRPr="00640447">
              <w:rPr>
                <w:sz w:val="13"/>
                <w:szCs w:val="13"/>
              </w:rPr>
              <w:t>0,93</w:t>
            </w:r>
          </w:p>
        </w:tc>
        <w:tc>
          <w:tcPr>
            <w:tcW w:w="182" w:type="pct"/>
            <w:shd w:val="clear" w:color="auto" w:fill="auto"/>
            <w:tcMar>
              <w:left w:w="28" w:type="dxa"/>
              <w:right w:w="28" w:type="dxa"/>
            </w:tcMar>
            <w:vAlign w:val="bottom"/>
          </w:tcPr>
          <w:p w14:paraId="05B65907" w14:textId="77777777" w:rsidR="004A0123" w:rsidRPr="00640447" w:rsidRDefault="004A0123" w:rsidP="008A5C11">
            <w:pPr>
              <w:jc w:val="center"/>
              <w:rPr>
                <w:sz w:val="13"/>
                <w:szCs w:val="13"/>
              </w:rPr>
            </w:pPr>
            <w:r w:rsidRPr="00640447">
              <w:rPr>
                <w:sz w:val="13"/>
                <w:szCs w:val="13"/>
              </w:rPr>
              <w:t>0,93</w:t>
            </w:r>
          </w:p>
        </w:tc>
        <w:tc>
          <w:tcPr>
            <w:tcW w:w="182" w:type="pct"/>
            <w:shd w:val="clear" w:color="auto" w:fill="auto"/>
            <w:tcMar>
              <w:left w:w="28" w:type="dxa"/>
              <w:right w:w="28" w:type="dxa"/>
            </w:tcMar>
            <w:vAlign w:val="bottom"/>
          </w:tcPr>
          <w:p w14:paraId="3F821AF0" w14:textId="77777777" w:rsidR="004A0123" w:rsidRPr="00640447" w:rsidRDefault="004A0123" w:rsidP="008A5C11">
            <w:pPr>
              <w:jc w:val="center"/>
              <w:rPr>
                <w:sz w:val="13"/>
                <w:szCs w:val="13"/>
              </w:rPr>
            </w:pPr>
            <w:r w:rsidRPr="00640447">
              <w:rPr>
                <w:sz w:val="13"/>
                <w:szCs w:val="13"/>
              </w:rPr>
              <w:t>0,93</w:t>
            </w:r>
          </w:p>
        </w:tc>
        <w:tc>
          <w:tcPr>
            <w:tcW w:w="182" w:type="pct"/>
            <w:shd w:val="clear" w:color="auto" w:fill="auto"/>
            <w:tcMar>
              <w:left w:w="28" w:type="dxa"/>
              <w:right w:w="28" w:type="dxa"/>
            </w:tcMar>
            <w:vAlign w:val="bottom"/>
          </w:tcPr>
          <w:p w14:paraId="7D504845" w14:textId="77777777" w:rsidR="004A0123" w:rsidRPr="00640447" w:rsidRDefault="004A0123" w:rsidP="008A5C11">
            <w:pPr>
              <w:jc w:val="center"/>
              <w:rPr>
                <w:sz w:val="13"/>
                <w:szCs w:val="13"/>
              </w:rPr>
            </w:pPr>
            <w:r w:rsidRPr="00640447">
              <w:rPr>
                <w:sz w:val="13"/>
                <w:szCs w:val="13"/>
              </w:rPr>
              <w:t>0,93</w:t>
            </w:r>
          </w:p>
        </w:tc>
        <w:tc>
          <w:tcPr>
            <w:tcW w:w="182" w:type="pct"/>
            <w:shd w:val="clear" w:color="auto" w:fill="auto"/>
            <w:tcMar>
              <w:left w:w="28" w:type="dxa"/>
              <w:right w:w="28" w:type="dxa"/>
            </w:tcMar>
            <w:vAlign w:val="bottom"/>
          </w:tcPr>
          <w:p w14:paraId="0BF16C2A" w14:textId="77777777" w:rsidR="004A0123" w:rsidRPr="00640447" w:rsidRDefault="004A0123" w:rsidP="008A5C11">
            <w:pPr>
              <w:jc w:val="center"/>
              <w:rPr>
                <w:sz w:val="13"/>
                <w:szCs w:val="13"/>
              </w:rPr>
            </w:pPr>
            <w:r w:rsidRPr="00640447">
              <w:rPr>
                <w:sz w:val="13"/>
                <w:szCs w:val="13"/>
              </w:rPr>
              <w:t>0,93</w:t>
            </w:r>
          </w:p>
        </w:tc>
        <w:tc>
          <w:tcPr>
            <w:tcW w:w="134" w:type="pct"/>
            <w:shd w:val="clear" w:color="auto" w:fill="auto"/>
            <w:vAlign w:val="bottom"/>
          </w:tcPr>
          <w:p w14:paraId="47CF4CB7" w14:textId="77777777" w:rsidR="004A0123" w:rsidRPr="00640447" w:rsidRDefault="004A0123" w:rsidP="008A5C11">
            <w:pPr>
              <w:jc w:val="center"/>
              <w:rPr>
                <w:sz w:val="13"/>
                <w:szCs w:val="13"/>
              </w:rPr>
            </w:pPr>
            <w:r w:rsidRPr="00640447">
              <w:rPr>
                <w:sz w:val="13"/>
                <w:szCs w:val="13"/>
              </w:rPr>
              <w:t>0,93</w:t>
            </w:r>
          </w:p>
        </w:tc>
      </w:tr>
      <w:tr w:rsidR="004A0123" w:rsidRPr="00640447" w14:paraId="7F5E3C1B" w14:textId="77777777" w:rsidTr="008A5C11">
        <w:trPr>
          <w:trHeight w:val="148"/>
          <w:jc w:val="center"/>
        </w:trPr>
        <w:tc>
          <w:tcPr>
            <w:tcW w:w="134" w:type="pct"/>
            <w:tcMar>
              <w:top w:w="62" w:type="dxa"/>
              <w:left w:w="28" w:type="dxa"/>
              <w:bottom w:w="102" w:type="dxa"/>
              <w:right w:w="28" w:type="dxa"/>
            </w:tcMar>
            <w:vAlign w:val="center"/>
          </w:tcPr>
          <w:p w14:paraId="162DBC3F" w14:textId="77777777" w:rsidR="004A0123" w:rsidRPr="00640447" w:rsidRDefault="004A0123" w:rsidP="008A5C11">
            <w:pPr>
              <w:jc w:val="center"/>
              <w:rPr>
                <w:sz w:val="13"/>
                <w:szCs w:val="13"/>
              </w:rPr>
            </w:pPr>
            <w:r w:rsidRPr="00640447">
              <w:rPr>
                <w:sz w:val="13"/>
                <w:szCs w:val="13"/>
              </w:rPr>
              <w:t>15</w:t>
            </w:r>
          </w:p>
        </w:tc>
        <w:tc>
          <w:tcPr>
            <w:tcW w:w="524" w:type="pct"/>
            <w:tcMar>
              <w:top w:w="62" w:type="dxa"/>
              <w:left w:w="28" w:type="dxa"/>
              <w:bottom w:w="102" w:type="dxa"/>
              <w:right w:w="28" w:type="dxa"/>
            </w:tcMar>
            <w:vAlign w:val="center"/>
          </w:tcPr>
          <w:p w14:paraId="739B7202" w14:textId="77777777" w:rsidR="004A0123" w:rsidRPr="00640447" w:rsidRDefault="004A0123" w:rsidP="008A5C11">
            <w:pPr>
              <w:jc w:val="center"/>
              <w:rPr>
                <w:sz w:val="13"/>
                <w:szCs w:val="13"/>
              </w:rPr>
            </w:pPr>
            <w:r w:rsidRPr="00640447">
              <w:rPr>
                <w:sz w:val="13"/>
                <w:szCs w:val="13"/>
              </w:rPr>
              <w:t>Котельная ОСВ</w:t>
            </w:r>
          </w:p>
        </w:tc>
        <w:tc>
          <w:tcPr>
            <w:tcW w:w="320" w:type="pct"/>
            <w:shd w:val="clear" w:color="auto" w:fill="auto"/>
            <w:tcMar>
              <w:left w:w="28" w:type="dxa"/>
              <w:right w:w="28" w:type="dxa"/>
            </w:tcMar>
            <w:vAlign w:val="bottom"/>
          </w:tcPr>
          <w:p w14:paraId="2D71AE9D" w14:textId="77777777" w:rsidR="004A0123" w:rsidRPr="00640447" w:rsidRDefault="004A0123" w:rsidP="008A5C11">
            <w:pPr>
              <w:jc w:val="center"/>
              <w:rPr>
                <w:sz w:val="13"/>
                <w:szCs w:val="13"/>
              </w:rPr>
            </w:pPr>
            <w:r w:rsidRPr="00640447">
              <w:rPr>
                <w:sz w:val="13"/>
                <w:szCs w:val="13"/>
              </w:rPr>
              <w:t>0,00</w:t>
            </w:r>
          </w:p>
        </w:tc>
        <w:tc>
          <w:tcPr>
            <w:tcW w:w="187" w:type="pct"/>
            <w:shd w:val="clear" w:color="auto" w:fill="auto"/>
            <w:tcMar>
              <w:left w:w="28" w:type="dxa"/>
              <w:right w:w="28" w:type="dxa"/>
            </w:tcMar>
            <w:vAlign w:val="bottom"/>
          </w:tcPr>
          <w:p w14:paraId="7D44887C" w14:textId="77777777" w:rsidR="004A0123" w:rsidRPr="00640447" w:rsidRDefault="004A0123" w:rsidP="008A5C11">
            <w:pPr>
              <w:jc w:val="center"/>
              <w:rPr>
                <w:sz w:val="13"/>
                <w:szCs w:val="13"/>
              </w:rPr>
            </w:pPr>
            <w:r w:rsidRPr="00640447">
              <w:rPr>
                <w:sz w:val="13"/>
                <w:szCs w:val="13"/>
              </w:rPr>
              <w:t>0,00</w:t>
            </w:r>
          </w:p>
        </w:tc>
        <w:tc>
          <w:tcPr>
            <w:tcW w:w="193" w:type="pct"/>
            <w:shd w:val="clear" w:color="auto" w:fill="auto"/>
            <w:tcMar>
              <w:left w:w="28" w:type="dxa"/>
              <w:right w:w="28" w:type="dxa"/>
            </w:tcMar>
            <w:vAlign w:val="bottom"/>
          </w:tcPr>
          <w:p w14:paraId="4934F9E1" w14:textId="77777777" w:rsidR="004A0123" w:rsidRPr="00640447" w:rsidRDefault="004A0123" w:rsidP="008A5C11">
            <w:pPr>
              <w:jc w:val="center"/>
              <w:rPr>
                <w:sz w:val="13"/>
                <w:szCs w:val="13"/>
              </w:rPr>
            </w:pPr>
            <w:r w:rsidRPr="00640447">
              <w:rPr>
                <w:sz w:val="13"/>
                <w:szCs w:val="13"/>
              </w:rPr>
              <w:t>0,00</w:t>
            </w:r>
          </w:p>
        </w:tc>
        <w:tc>
          <w:tcPr>
            <w:tcW w:w="193" w:type="pct"/>
            <w:shd w:val="clear" w:color="auto" w:fill="auto"/>
            <w:tcMar>
              <w:left w:w="28" w:type="dxa"/>
              <w:right w:w="28" w:type="dxa"/>
            </w:tcMar>
            <w:vAlign w:val="bottom"/>
          </w:tcPr>
          <w:p w14:paraId="1062F7E5" w14:textId="77777777" w:rsidR="004A0123" w:rsidRPr="00640447" w:rsidRDefault="004A0123" w:rsidP="008A5C11">
            <w:pPr>
              <w:jc w:val="center"/>
              <w:rPr>
                <w:sz w:val="13"/>
                <w:szCs w:val="13"/>
              </w:rPr>
            </w:pPr>
            <w:r w:rsidRPr="00640447">
              <w:rPr>
                <w:sz w:val="13"/>
                <w:szCs w:val="13"/>
              </w:rPr>
              <w:t>0,00</w:t>
            </w:r>
          </w:p>
        </w:tc>
        <w:tc>
          <w:tcPr>
            <w:tcW w:w="193" w:type="pct"/>
            <w:shd w:val="clear" w:color="auto" w:fill="auto"/>
            <w:vAlign w:val="bottom"/>
          </w:tcPr>
          <w:p w14:paraId="3FCCC6C9" w14:textId="77777777" w:rsidR="004A0123" w:rsidRPr="00640447" w:rsidRDefault="004A0123" w:rsidP="008A5C11">
            <w:pPr>
              <w:jc w:val="center"/>
              <w:rPr>
                <w:sz w:val="13"/>
                <w:szCs w:val="13"/>
              </w:rPr>
            </w:pPr>
            <w:r w:rsidRPr="00640447">
              <w:rPr>
                <w:sz w:val="13"/>
                <w:szCs w:val="13"/>
              </w:rPr>
              <w:t>0,00</w:t>
            </w:r>
          </w:p>
        </w:tc>
        <w:tc>
          <w:tcPr>
            <w:tcW w:w="182" w:type="pct"/>
            <w:shd w:val="clear" w:color="auto" w:fill="auto"/>
            <w:vAlign w:val="bottom"/>
          </w:tcPr>
          <w:p w14:paraId="2DF2E882" w14:textId="77777777" w:rsidR="004A0123" w:rsidRPr="00640447" w:rsidRDefault="004A0123" w:rsidP="008A5C11">
            <w:pPr>
              <w:jc w:val="center"/>
              <w:rPr>
                <w:sz w:val="13"/>
                <w:szCs w:val="13"/>
              </w:rPr>
            </w:pPr>
            <w:r w:rsidRPr="00640447">
              <w:rPr>
                <w:sz w:val="13"/>
                <w:szCs w:val="13"/>
              </w:rPr>
              <w:t>0,00</w:t>
            </w:r>
          </w:p>
        </w:tc>
        <w:tc>
          <w:tcPr>
            <w:tcW w:w="182" w:type="pct"/>
            <w:shd w:val="clear" w:color="auto" w:fill="auto"/>
            <w:tcMar>
              <w:left w:w="28" w:type="dxa"/>
              <w:right w:w="28" w:type="dxa"/>
            </w:tcMar>
            <w:vAlign w:val="bottom"/>
          </w:tcPr>
          <w:p w14:paraId="5ACE94BF" w14:textId="77777777" w:rsidR="004A0123" w:rsidRPr="00640447" w:rsidRDefault="004A0123" w:rsidP="008A5C11">
            <w:pPr>
              <w:jc w:val="center"/>
              <w:rPr>
                <w:sz w:val="13"/>
                <w:szCs w:val="13"/>
              </w:rPr>
            </w:pPr>
            <w:r w:rsidRPr="00640447">
              <w:rPr>
                <w:sz w:val="13"/>
                <w:szCs w:val="13"/>
              </w:rPr>
              <w:t>0,00</w:t>
            </w:r>
          </w:p>
        </w:tc>
        <w:tc>
          <w:tcPr>
            <w:tcW w:w="182" w:type="pct"/>
            <w:shd w:val="clear" w:color="auto" w:fill="auto"/>
            <w:tcMar>
              <w:left w:w="28" w:type="dxa"/>
              <w:right w:w="28" w:type="dxa"/>
            </w:tcMar>
            <w:vAlign w:val="bottom"/>
          </w:tcPr>
          <w:p w14:paraId="422D5534" w14:textId="77777777" w:rsidR="004A0123" w:rsidRPr="00640447" w:rsidRDefault="004A0123" w:rsidP="008A5C11">
            <w:pPr>
              <w:jc w:val="center"/>
              <w:rPr>
                <w:sz w:val="13"/>
                <w:szCs w:val="13"/>
              </w:rPr>
            </w:pPr>
            <w:r w:rsidRPr="00640447">
              <w:rPr>
                <w:sz w:val="13"/>
                <w:szCs w:val="13"/>
              </w:rPr>
              <w:t>0,00</w:t>
            </w:r>
          </w:p>
        </w:tc>
        <w:tc>
          <w:tcPr>
            <w:tcW w:w="182" w:type="pct"/>
            <w:shd w:val="clear" w:color="auto" w:fill="auto"/>
            <w:tcMar>
              <w:left w:w="28" w:type="dxa"/>
              <w:right w:w="28" w:type="dxa"/>
            </w:tcMar>
            <w:vAlign w:val="bottom"/>
          </w:tcPr>
          <w:p w14:paraId="602A825B" w14:textId="77777777" w:rsidR="004A0123" w:rsidRPr="00640447" w:rsidRDefault="004A0123" w:rsidP="008A5C11">
            <w:pPr>
              <w:jc w:val="center"/>
              <w:rPr>
                <w:sz w:val="13"/>
                <w:szCs w:val="13"/>
              </w:rPr>
            </w:pPr>
            <w:r w:rsidRPr="00640447">
              <w:rPr>
                <w:sz w:val="13"/>
                <w:szCs w:val="13"/>
              </w:rPr>
              <w:t>0,00</w:t>
            </w:r>
          </w:p>
        </w:tc>
        <w:tc>
          <w:tcPr>
            <w:tcW w:w="182" w:type="pct"/>
            <w:shd w:val="clear" w:color="auto" w:fill="auto"/>
            <w:tcMar>
              <w:left w:w="28" w:type="dxa"/>
              <w:right w:w="28" w:type="dxa"/>
            </w:tcMar>
            <w:vAlign w:val="bottom"/>
          </w:tcPr>
          <w:p w14:paraId="59D7CE6D" w14:textId="77777777" w:rsidR="004A0123" w:rsidRPr="00640447" w:rsidRDefault="004A0123" w:rsidP="008A5C11">
            <w:pPr>
              <w:jc w:val="center"/>
              <w:rPr>
                <w:sz w:val="13"/>
                <w:szCs w:val="13"/>
              </w:rPr>
            </w:pPr>
            <w:r w:rsidRPr="00640447">
              <w:rPr>
                <w:sz w:val="13"/>
                <w:szCs w:val="13"/>
              </w:rPr>
              <w:t>0,00</w:t>
            </w:r>
          </w:p>
        </w:tc>
        <w:tc>
          <w:tcPr>
            <w:tcW w:w="206" w:type="pct"/>
            <w:shd w:val="clear" w:color="auto" w:fill="auto"/>
            <w:vAlign w:val="bottom"/>
          </w:tcPr>
          <w:p w14:paraId="4716FE9E" w14:textId="77777777" w:rsidR="004A0123" w:rsidRPr="00640447" w:rsidRDefault="004A0123" w:rsidP="008A5C11">
            <w:pPr>
              <w:jc w:val="center"/>
              <w:rPr>
                <w:sz w:val="13"/>
                <w:szCs w:val="13"/>
              </w:rPr>
            </w:pPr>
            <w:r w:rsidRPr="00640447">
              <w:rPr>
                <w:sz w:val="13"/>
                <w:szCs w:val="13"/>
              </w:rPr>
              <w:t>0,00</w:t>
            </w:r>
          </w:p>
        </w:tc>
        <w:tc>
          <w:tcPr>
            <w:tcW w:w="368" w:type="pct"/>
            <w:shd w:val="clear" w:color="auto" w:fill="auto"/>
            <w:tcMar>
              <w:left w:w="28" w:type="dxa"/>
              <w:right w:w="28" w:type="dxa"/>
            </w:tcMar>
            <w:vAlign w:val="bottom"/>
          </w:tcPr>
          <w:p w14:paraId="5832D720" w14:textId="77777777" w:rsidR="004A0123" w:rsidRPr="00640447" w:rsidRDefault="004A0123" w:rsidP="008A5C11">
            <w:pPr>
              <w:jc w:val="center"/>
              <w:rPr>
                <w:sz w:val="13"/>
                <w:szCs w:val="13"/>
              </w:rPr>
            </w:pPr>
            <w:r w:rsidRPr="00640447">
              <w:rPr>
                <w:sz w:val="13"/>
                <w:szCs w:val="13"/>
              </w:rPr>
              <w:t>0,00</w:t>
            </w:r>
          </w:p>
        </w:tc>
        <w:tc>
          <w:tcPr>
            <w:tcW w:w="182" w:type="pct"/>
            <w:shd w:val="clear" w:color="auto" w:fill="auto"/>
            <w:tcMar>
              <w:left w:w="28" w:type="dxa"/>
              <w:right w:w="28" w:type="dxa"/>
            </w:tcMar>
            <w:vAlign w:val="bottom"/>
          </w:tcPr>
          <w:p w14:paraId="3173DDC3" w14:textId="77777777" w:rsidR="004A0123" w:rsidRPr="00640447" w:rsidRDefault="004A0123" w:rsidP="008A5C11">
            <w:pPr>
              <w:jc w:val="center"/>
              <w:rPr>
                <w:sz w:val="13"/>
                <w:szCs w:val="13"/>
              </w:rPr>
            </w:pPr>
            <w:r w:rsidRPr="00640447">
              <w:rPr>
                <w:sz w:val="13"/>
                <w:szCs w:val="13"/>
              </w:rPr>
              <w:t>0,00</w:t>
            </w:r>
          </w:p>
        </w:tc>
        <w:tc>
          <w:tcPr>
            <w:tcW w:w="182" w:type="pct"/>
            <w:shd w:val="clear" w:color="auto" w:fill="auto"/>
            <w:tcMar>
              <w:left w:w="28" w:type="dxa"/>
              <w:right w:w="28" w:type="dxa"/>
            </w:tcMar>
            <w:vAlign w:val="bottom"/>
          </w:tcPr>
          <w:p w14:paraId="450F5456" w14:textId="77777777" w:rsidR="004A0123" w:rsidRPr="00640447" w:rsidRDefault="004A0123" w:rsidP="008A5C11">
            <w:pPr>
              <w:jc w:val="center"/>
              <w:rPr>
                <w:sz w:val="13"/>
                <w:szCs w:val="13"/>
              </w:rPr>
            </w:pPr>
            <w:r w:rsidRPr="00640447">
              <w:rPr>
                <w:sz w:val="13"/>
                <w:szCs w:val="13"/>
              </w:rPr>
              <w:t>0,00</w:t>
            </w:r>
          </w:p>
        </w:tc>
        <w:tc>
          <w:tcPr>
            <w:tcW w:w="182" w:type="pct"/>
            <w:shd w:val="clear" w:color="auto" w:fill="auto"/>
            <w:tcMar>
              <w:left w:w="28" w:type="dxa"/>
              <w:right w:w="28" w:type="dxa"/>
            </w:tcMar>
            <w:vAlign w:val="bottom"/>
          </w:tcPr>
          <w:p w14:paraId="7823408E" w14:textId="77777777" w:rsidR="004A0123" w:rsidRPr="00640447" w:rsidRDefault="004A0123" w:rsidP="008A5C11">
            <w:pPr>
              <w:jc w:val="center"/>
              <w:rPr>
                <w:sz w:val="13"/>
                <w:szCs w:val="13"/>
              </w:rPr>
            </w:pPr>
            <w:r w:rsidRPr="00640447">
              <w:rPr>
                <w:sz w:val="13"/>
                <w:szCs w:val="13"/>
              </w:rPr>
              <w:t>0,00</w:t>
            </w:r>
          </w:p>
        </w:tc>
        <w:tc>
          <w:tcPr>
            <w:tcW w:w="182" w:type="pct"/>
            <w:shd w:val="clear" w:color="auto" w:fill="auto"/>
            <w:vAlign w:val="bottom"/>
          </w:tcPr>
          <w:p w14:paraId="7B707534" w14:textId="77777777" w:rsidR="004A0123" w:rsidRPr="00640447" w:rsidRDefault="004A0123" w:rsidP="008A5C11">
            <w:pPr>
              <w:jc w:val="center"/>
              <w:rPr>
                <w:sz w:val="13"/>
                <w:szCs w:val="13"/>
              </w:rPr>
            </w:pPr>
            <w:r w:rsidRPr="00640447">
              <w:rPr>
                <w:sz w:val="13"/>
                <w:szCs w:val="13"/>
              </w:rPr>
              <w:t>0,00</w:t>
            </w:r>
          </w:p>
        </w:tc>
        <w:tc>
          <w:tcPr>
            <w:tcW w:w="182" w:type="pct"/>
            <w:shd w:val="clear" w:color="auto" w:fill="auto"/>
            <w:vAlign w:val="bottom"/>
          </w:tcPr>
          <w:p w14:paraId="244D4234" w14:textId="77777777" w:rsidR="004A0123" w:rsidRPr="00640447" w:rsidRDefault="004A0123" w:rsidP="008A5C11">
            <w:pPr>
              <w:jc w:val="center"/>
              <w:rPr>
                <w:sz w:val="13"/>
                <w:szCs w:val="13"/>
              </w:rPr>
            </w:pPr>
            <w:r w:rsidRPr="00640447">
              <w:rPr>
                <w:sz w:val="13"/>
                <w:szCs w:val="13"/>
              </w:rPr>
              <w:t>0,00</w:t>
            </w:r>
          </w:p>
        </w:tc>
        <w:tc>
          <w:tcPr>
            <w:tcW w:w="182" w:type="pct"/>
            <w:shd w:val="clear" w:color="auto" w:fill="auto"/>
            <w:tcMar>
              <w:left w:w="28" w:type="dxa"/>
              <w:right w:w="28" w:type="dxa"/>
            </w:tcMar>
            <w:vAlign w:val="bottom"/>
          </w:tcPr>
          <w:p w14:paraId="42F19789" w14:textId="77777777" w:rsidR="004A0123" w:rsidRPr="00640447" w:rsidRDefault="004A0123" w:rsidP="008A5C11">
            <w:pPr>
              <w:jc w:val="center"/>
              <w:rPr>
                <w:sz w:val="13"/>
                <w:szCs w:val="13"/>
              </w:rPr>
            </w:pPr>
            <w:r w:rsidRPr="00640447">
              <w:rPr>
                <w:sz w:val="13"/>
                <w:szCs w:val="13"/>
              </w:rPr>
              <w:t>0,00</w:t>
            </w:r>
          </w:p>
        </w:tc>
        <w:tc>
          <w:tcPr>
            <w:tcW w:w="182" w:type="pct"/>
            <w:shd w:val="clear" w:color="auto" w:fill="auto"/>
            <w:tcMar>
              <w:left w:w="28" w:type="dxa"/>
              <w:right w:w="28" w:type="dxa"/>
            </w:tcMar>
            <w:vAlign w:val="bottom"/>
          </w:tcPr>
          <w:p w14:paraId="494F4A05" w14:textId="77777777" w:rsidR="004A0123" w:rsidRPr="00640447" w:rsidRDefault="004A0123" w:rsidP="008A5C11">
            <w:pPr>
              <w:jc w:val="center"/>
              <w:rPr>
                <w:sz w:val="13"/>
                <w:szCs w:val="13"/>
              </w:rPr>
            </w:pPr>
            <w:r w:rsidRPr="00640447">
              <w:rPr>
                <w:sz w:val="13"/>
                <w:szCs w:val="13"/>
              </w:rPr>
              <w:t>0,00</w:t>
            </w:r>
          </w:p>
        </w:tc>
        <w:tc>
          <w:tcPr>
            <w:tcW w:w="182" w:type="pct"/>
            <w:shd w:val="clear" w:color="auto" w:fill="auto"/>
            <w:tcMar>
              <w:left w:w="28" w:type="dxa"/>
              <w:right w:w="28" w:type="dxa"/>
            </w:tcMar>
            <w:vAlign w:val="bottom"/>
          </w:tcPr>
          <w:p w14:paraId="01D78733" w14:textId="77777777" w:rsidR="004A0123" w:rsidRPr="00640447" w:rsidRDefault="004A0123" w:rsidP="008A5C11">
            <w:pPr>
              <w:jc w:val="center"/>
              <w:rPr>
                <w:sz w:val="13"/>
                <w:szCs w:val="13"/>
              </w:rPr>
            </w:pPr>
            <w:r w:rsidRPr="00640447">
              <w:rPr>
                <w:sz w:val="13"/>
                <w:szCs w:val="13"/>
              </w:rPr>
              <w:t>0,00</w:t>
            </w:r>
          </w:p>
        </w:tc>
        <w:tc>
          <w:tcPr>
            <w:tcW w:w="182" w:type="pct"/>
            <w:shd w:val="clear" w:color="auto" w:fill="auto"/>
            <w:tcMar>
              <w:left w:w="28" w:type="dxa"/>
              <w:right w:w="28" w:type="dxa"/>
            </w:tcMar>
            <w:vAlign w:val="bottom"/>
          </w:tcPr>
          <w:p w14:paraId="446A59C9" w14:textId="77777777" w:rsidR="004A0123" w:rsidRPr="00640447" w:rsidRDefault="004A0123" w:rsidP="008A5C11">
            <w:pPr>
              <w:jc w:val="center"/>
              <w:rPr>
                <w:sz w:val="13"/>
                <w:szCs w:val="13"/>
              </w:rPr>
            </w:pPr>
            <w:r w:rsidRPr="00640447">
              <w:rPr>
                <w:sz w:val="13"/>
                <w:szCs w:val="13"/>
              </w:rPr>
              <w:t>0,00</w:t>
            </w:r>
          </w:p>
        </w:tc>
        <w:tc>
          <w:tcPr>
            <w:tcW w:w="134" w:type="pct"/>
            <w:shd w:val="clear" w:color="auto" w:fill="auto"/>
            <w:vAlign w:val="bottom"/>
          </w:tcPr>
          <w:p w14:paraId="3F035EF2" w14:textId="77777777" w:rsidR="004A0123" w:rsidRPr="00640447" w:rsidRDefault="004A0123" w:rsidP="008A5C11">
            <w:pPr>
              <w:jc w:val="center"/>
              <w:rPr>
                <w:sz w:val="13"/>
                <w:szCs w:val="13"/>
              </w:rPr>
            </w:pPr>
            <w:r w:rsidRPr="00640447">
              <w:rPr>
                <w:sz w:val="13"/>
                <w:szCs w:val="13"/>
              </w:rPr>
              <w:t>0,00</w:t>
            </w:r>
          </w:p>
        </w:tc>
      </w:tr>
      <w:tr w:rsidR="004A0123" w:rsidRPr="00640447" w14:paraId="58300CDF" w14:textId="77777777" w:rsidTr="008A5C11">
        <w:trPr>
          <w:trHeight w:val="148"/>
          <w:jc w:val="center"/>
        </w:trPr>
        <w:tc>
          <w:tcPr>
            <w:tcW w:w="134" w:type="pct"/>
            <w:tcMar>
              <w:top w:w="62" w:type="dxa"/>
              <w:left w:w="28" w:type="dxa"/>
              <w:bottom w:w="102" w:type="dxa"/>
              <w:right w:w="28" w:type="dxa"/>
            </w:tcMar>
            <w:vAlign w:val="center"/>
          </w:tcPr>
          <w:p w14:paraId="5D34E1FA" w14:textId="77777777" w:rsidR="004A0123" w:rsidRPr="00640447" w:rsidRDefault="004A0123" w:rsidP="008A5C11">
            <w:pPr>
              <w:jc w:val="center"/>
              <w:rPr>
                <w:sz w:val="13"/>
                <w:szCs w:val="13"/>
              </w:rPr>
            </w:pPr>
            <w:r w:rsidRPr="00640447">
              <w:rPr>
                <w:sz w:val="13"/>
                <w:szCs w:val="13"/>
              </w:rPr>
              <w:t>16</w:t>
            </w:r>
          </w:p>
        </w:tc>
        <w:tc>
          <w:tcPr>
            <w:tcW w:w="524" w:type="pct"/>
            <w:tcMar>
              <w:top w:w="62" w:type="dxa"/>
              <w:left w:w="28" w:type="dxa"/>
              <w:bottom w:w="102" w:type="dxa"/>
              <w:right w:w="28" w:type="dxa"/>
            </w:tcMar>
            <w:vAlign w:val="center"/>
          </w:tcPr>
          <w:p w14:paraId="50CE0B90" w14:textId="77777777" w:rsidR="004A0123" w:rsidRPr="00640447" w:rsidRDefault="004A0123" w:rsidP="008A5C11">
            <w:pPr>
              <w:jc w:val="center"/>
              <w:rPr>
                <w:sz w:val="13"/>
                <w:szCs w:val="13"/>
              </w:rPr>
            </w:pPr>
            <w:r w:rsidRPr="00640447">
              <w:rPr>
                <w:sz w:val="13"/>
                <w:szCs w:val="13"/>
              </w:rPr>
              <w:t>Котельная НФС</w:t>
            </w:r>
          </w:p>
        </w:tc>
        <w:tc>
          <w:tcPr>
            <w:tcW w:w="320" w:type="pct"/>
            <w:shd w:val="clear" w:color="auto" w:fill="auto"/>
            <w:tcMar>
              <w:left w:w="28" w:type="dxa"/>
              <w:right w:w="28" w:type="dxa"/>
            </w:tcMar>
            <w:vAlign w:val="bottom"/>
          </w:tcPr>
          <w:p w14:paraId="0B9E61B1" w14:textId="77777777" w:rsidR="004A0123" w:rsidRPr="00640447" w:rsidRDefault="004A0123" w:rsidP="008A5C11">
            <w:pPr>
              <w:jc w:val="center"/>
              <w:rPr>
                <w:sz w:val="13"/>
                <w:szCs w:val="13"/>
              </w:rPr>
            </w:pPr>
            <w:r w:rsidRPr="00640447">
              <w:rPr>
                <w:sz w:val="13"/>
                <w:szCs w:val="13"/>
              </w:rPr>
              <w:t>0,00</w:t>
            </w:r>
          </w:p>
        </w:tc>
        <w:tc>
          <w:tcPr>
            <w:tcW w:w="187" w:type="pct"/>
            <w:shd w:val="clear" w:color="auto" w:fill="auto"/>
            <w:tcMar>
              <w:left w:w="28" w:type="dxa"/>
              <w:right w:w="28" w:type="dxa"/>
            </w:tcMar>
            <w:vAlign w:val="bottom"/>
          </w:tcPr>
          <w:p w14:paraId="561676A0" w14:textId="77777777" w:rsidR="004A0123" w:rsidRPr="00640447" w:rsidRDefault="004A0123" w:rsidP="008A5C11">
            <w:pPr>
              <w:jc w:val="center"/>
              <w:rPr>
                <w:sz w:val="13"/>
                <w:szCs w:val="13"/>
              </w:rPr>
            </w:pPr>
            <w:r w:rsidRPr="00640447">
              <w:rPr>
                <w:sz w:val="13"/>
                <w:szCs w:val="13"/>
              </w:rPr>
              <w:t>0,00</w:t>
            </w:r>
          </w:p>
        </w:tc>
        <w:tc>
          <w:tcPr>
            <w:tcW w:w="193" w:type="pct"/>
            <w:shd w:val="clear" w:color="auto" w:fill="auto"/>
            <w:tcMar>
              <w:left w:w="28" w:type="dxa"/>
              <w:right w:w="28" w:type="dxa"/>
            </w:tcMar>
            <w:vAlign w:val="bottom"/>
          </w:tcPr>
          <w:p w14:paraId="36D1C239" w14:textId="77777777" w:rsidR="004A0123" w:rsidRPr="00640447" w:rsidRDefault="004A0123" w:rsidP="008A5C11">
            <w:pPr>
              <w:jc w:val="center"/>
              <w:rPr>
                <w:sz w:val="13"/>
                <w:szCs w:val="13"/>
              </w:rPr>
            </w:pPr>
            <w:r w:rsidRPr="00640447">
              <w:rPr>
                <w:sz w:val="13"/>
                <w:szCs w:val="13"/>
              </w:rPr>
              <w:t>0,00</w:t>
            </w:r>
          </w:p>
        </w:tc>
        <w:tc>
          <w:tcPr>
            <w:tcW w:w="193" w:type="pct"/>
            <w:shd w:val="clear" w:color="auto" w:fill="auto"/>
            <w:tcMar>
              <w:left w:w="28" w:type="dxa"/>
              <w:right w:w="28" w:type="dxa"/>
            </w:tcMar>
            <w:vAlign w:val="bottom"/>
          </w:tcPr>
          <w:p w14:paraId="2814E657" w14:textId="77777777" w:rsidR="004A0123" w:rsidRPr="00640447" w:rsidRDefault="004A0123" w:rsidP="008A5C11">
            <w:pPr>
              <w:jc w:val="center"/>
              <w:rPr>
                <w:sz w:val="13"/>
                <w:szCs w:val="13"/>
              </w:rPr>
            </w:pPr>
            <w:r w:rsidRPr="00640447">
              <w:rPr>
                <w:sz w:val="13"/>
                <w:szCs w:val="13"/>
              </w:rPr>
              <w:t>0,00</w:t>
            </w:r>
          </w:p>
        </w:tc>
        <w:tc>
          <w:tcPr>
            <w:tcW w:w="193" w:type="pct"/>
            <w:shd w:val="clear" w:color="auto" w:fill="auto"/>
            <w:vAlign w:val="bottom"/>
          </w:tcPr>
          <w:p w14:paraId="44D56515" w14:textId="77777777" w:rsidR="004A0123" w:rsidRPr="00640447" w:rsidRDefault="004A0123" w:rsidP="008A5C11">
            <w:pPr>
              <w:jc w:val="center"/>
              <w:rPr>
                <w:sz w:val="13"/>
                <w:szCs w:val="13"/>
              </w:rPr>
            </w:pPr>
            <w:r w:rsidRPr="00640447">
              <w:rPr>
                <w:sz w:val="13"/>
                <w:szCs w:val="13"/>
              </w:rPr>
              <w:t>0,00</w:t>
            </w:r>
          </w:p>
        </w:tc>
        <w:tc>
          <w:tcPr>
            <w:tcW w:w="182" w:type="pct"/>
            <w:shd w:val="clear" w:color="auto" w:fill="auto"/>
            <w:vAlign w:val="bottom"/>
          </w:tcPr>
          <w:p w14:paraId="4993A96D" w14:textId="77777777" w:rsidR="004A0123" w:rsidRPr="00640447" w:rsidRDefault="004A0123" w:rsidP="008A5C11">
            <w:pPr>
              <w:jc w:val="center"/>
              <w:rPr>
                <w:sz w:val="13"/>
                <w:szCs w:val="13"/>
              </w:rPr>
            </w:pPr>
            <w:r w:rsidRPr="00640447">
              <w:rPr>
                <w:sz w:val="13"/>
                <w:szCs w:val="13"/>
              </w:rPr>
              <w:t>0,00</w:t>
            </w:r>
          </w:p>
        </w:tc>
        <w:tc>
          <w:tcPr>
            <w:tcW w:w="182" w:type="pct"/>
            <w:shd w:val="clear" w:color="auto" w:fill="auto"/>
            <w:tcMar>
              <w:left w:w="28" w:type="dxa"/>
              <w:right w:w="28" w:type="dxa"/>
            </w:tcMar>
            <w:vAlign w:val="bottom"/>
          </w:tcPr>
          <w:p w14:paraId="40D7896C" w14:textId="77777777" w:rsidR="004A0123" w:rsidRPr="00640447" w:rsidRDefault="004A0123" w:rsidP="008A5C11">
            <w:pPr>
              <w:jc w:val="center"/>
              <w:rPr>
                <w:sz w:val="13"/>
                <w:szCs w:val="13"/>
              </w:rPr>
            </w:pPr>
            <w:r w:rsidRPr="00640447">
              <w:rPr>
                <w:sz w:val="13"/>
                <w:szCs w:val="13"/>
              </w:rPr>
              <w:t>0,00</w:t>
            </w:r>
          </w:p>
        </w:tc>
        <w:tc>
          <w:tcPr>
            <w:tcW w:w="182" w:type="pct"/>
            <w:shd w:val="clear" w:color="auto" w:fill="auto"/>
            <w:tcMar>
              <w:left w:w="28" w:type="dxa"/>
              <w:right w:w="28" w:type="dxa"/>
            </w:tcMar>
            <w:vAlign w:val="bottom"/>
          </w:tcPr>
          <w:p w14:paraId="27BFD15F" w14:textId="77777777" w:rsidR="004A0123" w:rsidRPr="00640447" w:rsidRDefault="004A0123" w:rsidP="008A5C11">
            <w:pPr>
              <w:jc w:val="center"/>
              <w:rPr>
                <w:sz w:val="13"/>
                <w:szCs w:val="13"/>
              </w:rPr>
            </w:pPr>
            <w:r w:rsidRPr="00640447">
              <w:rPr>
                <w:sz w:val="13"/>
                <w:szCs w:val="13"/>
              </w:rPr>
              <w:t>0,00</w:t>
            </w:r>
          </w:p>
        </w:tc>
        <w:tc>
          <w:tcPr>
            <w:tcW w:w="182" w:type="pct"/>
            <w:shd w:val="clear" w:color="auto" w:fill="auto"/>
            <w:tcMar>
              <w:left w:w="28" w:type="dxa"/>
              <w:right w:w="28" w:type="dxa"/>
            </w:tcMar>
            <w:vAlign w:val="bottom"/>
          </w:tcPr>
          <w:p w14:paraId="04CFFAE3" w14:textId="77777777" w:rsidR="004A0123" w:rsidRPr="00640447" w:rsidRDefault="004A0123" w:rsidP="008A5C11">
            <w:pPr>
              <w:jc w:val="center"/>
              <w:rPr>
                <w:sz w:val="13"/>
                <w:szCs w:val="13"/>
              </w:rPr>
            </w:pPr>
            <w:r w:rsidRPr="00640447">
              <w:rPr>
                <w:sz w:val="13"/>
                <w:szCs w:val="13"/>
              </w:rPr>
              <w:t>0,00</w:t>
            </w:r>
          </w:p>
        </w:tc>
        <w:tc>
          <w:tcPr>
            <w:tcW w:w="182" w:type="pct"/>
            <w:shd w:val="clear" w:color="auto" w:fill="auto"/>
            <w:tcMar>
              <w:left w:w="28" w:type="dxa"/>
              <w:right w:w="28" w:type="dxa"/>
            </w:tcMar>
            <w:vAlign w:val="bottom"/>
          </w:tcPr>
          <w:p w14:paraId="39D893FB" w14:textId="77777777" w:rsidR="004A0123" w:rsidRPr="00640447" w:rsidRDefault="004A0123" w:rsidP="008A5C11">
            <w:pPr>
              <w:jc w:val="center"/>
              <w:rPr>
                <w:sz w:val="13"/>
                <w:szCs w:val="13"/>
              </w:rPr>
            </w:pPr>
            <w:r w:rsidRPr="00640447">
              <w:rPr>
                <w:sz w:val="13"/>
                <w:szCs w:val="13"/>
              </w:rPr>
              <w:t>0,00</w:t>
            </w:r>
          </w:p>
        </w:tc>
        <w:tc>
          <w:tcPr>
            <w:tcW w:w="206" w:type="pct"/>
            <w:shd w:val="clear" w:color="auto" w:fill="auto"/>
            <w:vAlign w:val="bottom"/>
          </w:tcPr>
          <w:p w14:paraId="44B1E2E5" w14:textId="77777777" w:rsidR="004A0123" w:rsidRPr="00640447" w:rsidRDefault="004A0123" w:rsidP="008A5C11">
            <w:pPr>
              <w:jc w:val="center"/>
              <w:rPr>
                <w:sz w:val="13"/>
                <w:szCs w:val="13"/>
              </w:rPr>
            </w:pPr>
            <w:r w:rsidRPr="00640447">
              <w:rPr>
                <w:sz w:val="13"/>
                <w:szCs w:val="13"/>
              </w:rPr>
              <w:t>0,00</w:t>
            </w:r>
          </w:p>
        </w:tc>
        <w:tc>
          <w:tcPr>
            <w:tcW w:w="368" w:type="pct"/>
            <w:shd w:val="clear" w:color="auto" w:fill="auto"/>
            <w:tcMar>
              <w:left w:w="28" w:type="dxa"/>
              <w:right w:w="28" w:type="dxa"/>
            </w:tcMar>
            <w:vAlign w:val="bottom"/>
          </w:tcPr>
          <w:p w14:paraId="775A3571" w14:textId="77777777" w:rsidR="004A0123" w:rsidRPr="00640447" w:rsidRDefault="004A0123" w:rsidP="008A5C11">
            <w:pPr>
              <w:jc w:val="center"/>
              <w:rPr>
                <w:sz w:val="13"/>
                <w:szCs w:val="13"/>
              </w:rPr>
            </w:pPr>
            <w:r w:rsidRPr="00640447">
              <w:rPr>
                <w:sz w:val="13"/>
                <w:szCs w:val="13"/>
              </w:rPr>
              <w:t>0,00</w:t>
            </w:r>
          </w:p>
        </w:tc>
        <w:tc>
          <w:tcPr>
            <w:tcW w:w="182" w:type="pct"/>
            <w:shd w:val="clear" w:color="auto" w:fill="auto"/>
            <w:tcMar>
              <w:left w:w="28" w:type="dxa"/>
              <w:right w:w="28" w:type="dxa"/>
            </w:tcMar>
            <w:vAlign w:val="bottom"/>
          </w:tcPr>
          <w:p w14:paraId="5AC1307A" w14:textId="77777777" w:rsidR="004A0123" w:rsidRPr="00640447" w:rsidRDefault="004A0123" w:rsidP="008A5C11">
            <w:pPr>
              <w:jc w:val="center"/>
              <w:rPr>
                <w:sz w:val="13"/>
                <w:szCs w:val="13"/>
              </w:rPr>
            </w:pPr>
            <w:r w:rsidRPr="00640447">
              <w:rPr>
                <w:sz w:val="13"/>
                <w:szCs w:val="13"/>
              </w:rPr>
              <w:t>0,00</w:t>
            </w:r>
          </w:p>
        </w:tc>
        <w:tc>
          <w:tcPr>
            <w:tcW w:w="182" w:type="pct"/>
            <w:shd w:val="clear" w:color="auto" w:fill="auto"/>
            <w:tcMar>
              <w:left w:w="28" w:type="dxa"/>
              <w:right w:w="28" w:type="dxa"/>
            </w:tcMar>
            <w:vAlign w:val="bottom"/>
          </w:tcPr>
          <w:p w14:paraId="406D9F0C" w14:textId="77777777" w:rsidR="004A0123" w:rsidRPr="00640447" w:rsidRDefault="004A0123" w:rsidP="008A5C11">
            <w:pPr>
              <w:jc w:val="center"/>
              <w:rPr>
                <w:sz w:val="13"/>
                <w:szCs w:val="13"/>
              </w:rPr>
            </w:pPr>
            <w:r w:rsidRPr="00640447">
              <w:rPr>
                <w:sz w:val="13"/>
                <w:szCs w:val="13"/>
              </w:rPr>
              <w:t>0,00</w:t>
            </w:r>
          </w:p>
        </w:tc>
        <w:tc>
          <w:tcPr>
            <w:tcW w:w="182" w:type="pct"/>
            <w:shd w:val="clear" w:color="auto" w:fill="auto"/>
            <w:tcMar>
              <w:left w:w="28" w:type="dxa"/>
              <w:right w:w="28" w:type="dxa"/>
            </w:tcMar>
            <w:vAlign w:val="bottom"/>
          </w:tcPr>
          <w:p w14:paraId="487B6A52" w14:textId="77777777" w:rsidR="004A0123" w:rsidRPr="00640447" w:rsidRDefault="004A0123" w:rsidP="008A5C11">
            <w:pPr>
              <w:jc w:val="center"/>
              <w:rPr>
                <w:sz w:val="13"/>
                <w:szCs w:val="13"/>
              </w:rPr>
            </w:pPr>
            <w:r w:rsidRPr="00640447">
              <w:rPr>
                <w:sz w:val="13"/>
                <w:szCs w:val="13"/>
              </w:rPr>
              <w:t>0,00</w:t>
            </w:r>
          </w:p>
        </w:tc>
        <w:tc>
          <w:tcPr>
            <w:tcW w:w="182" w:type="pct"/>
            <w:shd w:val="clear" w:color="auto" w:fill="auto"/>
            <w:vAlign w:val="bottom"/>
          </w:tcPr>
          <w:p w14:paraId="41AAB942" w14:textId="77777777" w:rsidR="004A0123" w:rsidRPr="00640447" w:rsidRDefault="004A0123" w:rsidP="008A5C11">
            <w:pPr>
              <w:jc w:val="center"/>
              <w:rPr>
                <w:sz w:val="13"/>
                <w:szCs w:val="13"/>
              </w:rPr>
            </w:pPr>
            <w:r w:rsidRPr="00640447">
              <w:rPr>
                <w:sz w:val="13"/>
                <w:szCs w:val="13"/>
              </w:rPr>
              <w:t>0,00</w:t>
            </w:r>
          </w:p>
        </w:tc>
        <w:tc>
          <w:tcPr>
            <w:tcW w:w="182" w:type="pct"/>
            <w:shd w:val="clear" w:color="auto" w:fill="auto"/>
            <w:vAlign w:val="bottom"/>
          </w:tcPr>
          <w:p w14:paraId="4D920147" w14:textId="77777777" w:rsidR="004A0123" w:rsidRPr="00640447" w:rsidRDefault="004A0123" w:rsidP="008A5C11">
            <w:pPr>
              <w:jc w:val="center"/>
              <w:rPr>
                <w:sz w:val="13"/>
                <w:szCs w:val="13"/>
              </w:rPr>
            </w:pPr>
            <w:r w:rsidRPr="00640447">
              <w:rPr>
                <w:sz w:val="13"/>
                <w:szCs w:val="13"/>
              </w:rPr>
              <w:t>0,00</w:t>
            </w:r>
          </w:p>
        </w:tc>
        <w:tc>
          <w:tcPr>
            <w:tcW w:w="182" w:type="pct"/>
            <w:shd w:val="clear" w:color="auto" w:fill="auto"/>
            <w:tcMar>
              <w:left w:w="28" w:type="dxa"/>
              <w:right w:w="28" w:type="dxa"/>
            </w:tcMar>
            <w:vAlign w:val="bottom"/>
          </w:tcPr>
          <w:p w14:paraId="7547D4A3" w14:textId="77777777" w:rsidR="004A0123" w:rsidRPr="00640447" w:rsidRDefault="004A0123" w:rsidP="008A5C11">
            <w:pPr>
              <w:jc w:val="center"/>
              <w:rPr>
                <w:sz w:val="13"/>
                <w:szCs w:val="13"/>
              </w:rPr>
            </w:pPr>
            <w:r w:rsidRPr="00640447">
              <w:rPr>
                <w:sz w:val="13"/>
                <w:szCs w:val="13"/>
              </w:rPr>
              <w:t>0,00</w:t>
            </w:r>
          </w:p>
        </w:tc>
        <w:tc>
          <w:tcPr>
            <w:tcW w:w="182" w:type="pct"/>
            <w:shd w:val="clear" w:color="auto" w:fill="auto"/>
            <w:tcMar>
              <w:left w:w="28" w:type="dxa"/>
              <w:right w:w="28" w:type="dxa"/>
            </w:tcMar>
            <w:vAlign w:val="bottom"/>
          </w:tcPr>
          <w:p w14:paraId="5FB554DE" w14:textId="77777777" w:rsidR="004A0123" w:rsidRPr="00640447" w:rsidRDefault="004A0123" w:rsidP="008A5C11">
            <w:pPr>
              <w:jc w:val="center"/>
              <w:rPr>
                <w:sz w:val="13"/>
                <w:szCs w:val="13"/>
              </w:rPr>
            </w:pPr>
            <w:r w:rsidRPr="00640447">
              <w:rPr>
                <w:sz w:val="13"/>
                <w:szCs w:val="13"/>
              </w:rPr>
              <w:t>0,00</w:t>
            </w:r>
          </w:p>
        </w:tc>
        <w:tc>
          <w:tcPr>
            <w:tcW w:w="182" w:type="pct"/>
            <w:shd w:val="clear" w:color="auto" w:fill="auto"/>
            <w:tcMar>
              <w:left w:w="28" w:type="dxa"/>
              <w:right w:w="28" w:type="dxa"/>
            </w:tcMar>
            <w:vAlign w:val="bottom"/>
          </w:tcPr>
          <w:p w14:paraId="4A85B8F7" w14:textId="77777777" w:rsidR="004A0123" w:rsidRPr="00640447" w:rsidRDefault="004A0123" w:rsidP="008A5C11">
            <w:pPr>
              <w:jc w:val="center"/>
              <w:rPr>
                <w:sz w:val="13"/>
                <w:szCs w:val="13"/>
              </w:rPr>
            </w:pPr>
            <w:r w:rsidRPr="00640447">
              <w:rPr>
                <w:sz w:val="13"/>
                <w:szCs w:val="13"/>
              </w:rPr>
              <w:t>0,00</w:t>
            </w:r>
          </w:p>
        </w:tc>
        <w:tc>
          <w:tcPr>
            <w:tcW w:w="182" w:type="pct"/>
            <w:shd w:val="clear" w:color="auto" w:fill="auto"/>
            <w:tcMar>
              <w:left w:w="28" w:type="dxa"/>
              <w:right w:w="28" w:type="dxa"/>
            </w:tcMar>
            <w:vAlign w:val="bottom"/>
          </w:tcPr>
          <w:p w14:paraId="0715C04A" w14:textId="77777777" w:rsidR="004A0123" w:rsidRPr="00640447" w:rsidRDefault="004A0123" w:rsidP="008A5C11">
            <w:pPr>
              <w:jc w:val="center"/>
              <w:rPr>
                <w:sz w:val="13"/>
                <w:szCs w:val="13"/>
              </w:rPr>
            </w:pPr>
            <w:r w:rsidRPr="00640447">
              <w:rPr>
                <w:sz w:val="13"/>
                <w:szCs w:val="13"/>
              </w:rPr>
              <w:t>0,00</w:t>
            </w:r>
          </w:p>
        </w:tc>
        <w:tc>
          <w:tcPr>
            <w:tcW w:w="134" w:type="pct"/>
            <w:shd w:val="clear" w:color="auto" w:fill="auto"/>
            <w:vAlign w:val="bottom"/>
          </w:tcPr>
          <w:p w14:paraId="687E8137" w14:textId="77777777" w:rsidR="004A0123" w:rsidRPr="00640447" w:rsidRDefault="004A0123" w:rsidP="008A5C11">
            <w:pPr>
              <w:jc w:val="center"/>
              <w:rPr>
                <w:sz w:val="13"/>
                <w:szCs w:val="13"/>
              </w:rPr>
            </w:pPr>
            <w:r w:rsidRPr="00640447">
              <w:rPr>
                <w:sz w:val="13"/>
                <w:szCs w:val="13"/>
              </w:rPr>
              <w:t>0,00</w:t>
            </w:r>
          </w:p>
        </w:tc>
      </w:tr>
      <w:tr w:rsidR="004A0123" w:rsidRPr="00640447" w14:paraId="656E4F9A" w14:textId="77777777" w:rsidTr="008A5C11">
        <w:trPr>
          <w:trHeight w:val="148"/>
          <w:jc w:val="center"/>
        </w:trPr>
        <w:tc>
          <w:tcPr>
            <w:tcW w:w="659" w:type="pct"/>
            <w:gridSpan w:val="2"/>
            <w:tcMar>
              <w:top w:w="62" w:type="dxa"/>
              <w:left w:w="28" w:type="dxa"/>
              <w:bottom w:w="102" w:type="dxa"/>
              <w:right w:w="28" w:type="dxa"/>
            </w:tcMar>
            <w:vAlign w:val="center"/>
          </w:tcPr>
          <w:p w14:paraId="466AA472" w14:textId="77777777" w:rsidR="004A0123" w:rsidRPr="00640447" w:rsidRDefault="004A0123" w:rsidP="008A5C11">
            <w:pPr>
              <w:jc w:val="center"/>
              <w:rPr>
                <w:sz w:val="13"/>
                <w:szCs w:val="13"/>
              </w:rPr>
            </w:pPr>
            <w:r w:rsidRPr="00640447">
              <w:rPr>
                <w:sz w:val="13"/>
                <w:szCs w:val="13"/>
              </w:rPr>
              <w:t>Итого:</w:t>
            </w:r>
          </w:p>
        </w:tc>
        <w:tc>
          <w:tcPr>
            <w:tcW w:w="320" w:type="pct"/>
            <w:shd w:val="clear" w:color="auto" w:fill="auto"/>
            <w:tcMar>
              <w:left w:w="28" w:type="dxa"/>
              <w:right w:w="28" w:type="dxa"/>
            </w:tcMar>
            <w:vAlign w:val="center"/>
          </w:tcPr>
          <w:p w14:paraId="043396AA" w14:textId="77777777" w:rsidR="004A0123" w:rsidRPr="00640447" w:rsidRDefault="004A0123" w:rsidP="008A5C11">
            <w:pPr>
              <w:jc w:val="center"/>
              <w:rPr>
                <w:sz w:val="13"/>
                <w:szCs w:val="13"/>
              </w:rPr>
            </w:pPr>
            <w:r w:rsidRPr="00640447">
              <w:rPr>
                <w:sz w:val="13"/>
                <w:szCs w:val="13"/>
              </w:rPr>
              <w:t>1,94</w:t>
            </w:r>
          </w:p>
        </w:tc>
        <w:tc>
          <w:tcPr>
            <w:tcW w:w="187" w:type="pct"/>
            <w:shd w:val="clear" w:color="auto" w:fill="auto"/>
            <w:tcMar>
              <w:left w:w="28" w:type="dxa"/>
              <w:right w:w="28" w:type="dxa"/>
            </w:tcMar>
            <w:vAlign w:val="center"/>
          </w:tcPr>
          <w:p w14:paraId="4A27A4CA" w14:textId="77777777" w:rsidR="004A0123" w:rsidRPr="00640447" w:rsidRDefault="004A0123" w:rsidP="008A5C11">
            <w:pPr>
              <w:jc w:val="center"/>
              <w:rPr>
                <w:sz w:val="13"/>
                <w:szCs w:val="13"/>
              </w:rPr>
            </w:pPr>
            <w:r w:rsidRPr="00640447">
              <w:rPr>
                <w:sz w:val="13"/>
                <w:szCs w:val="13"/>
              </w:rPr>
              <w:t>1,94</w:t>
            </w:r>
          </w:p>
        </w:tc>
        <w:tc>
          <w:tcPr>
            <w:tcW w:w="193" w:type="pct"/>
            <w:shd w:val="clear" w:color="auto" w:fill="auto"/>
            <w:tcMar>
              <w:left w:w="28" w:type="dxa"/>
              <w:right w:w="28" w:type="dxa"/>
            </w:tcMar>
            <w:vAlign w:val="center"/>
          </w:tcPr>
          <w:p w14:paraId="6DE9B997" w14:textId="77777777" w:rsidR="004A0123" w:rsidRPr="00640447" w:rsidRDefault="004A0123" w:rsidP="008A5C11">
            <w:pPr>
              <w:jc w:val="center"/>
              <w:rPr>
                <w:sz w:val="13"/>
                <w:szCs w:val="13"/>
              </w:rPr>
            </w:pPr>
            <w:r w:rsidRPr="00640447">
              <w:rPr>
                <w:sz w:val="13"/>
                <w:szCs w:val="13"/>
              </w:rPr>
              <w:t>1,94</w:t>
            </w:r>
          </w:p>
        </w:tc>
        <w:tc>
          <w:tcPr>
            <w:tcW w:w="193" w:type="pct"/>
            <w:shd w:val="clear" w:color="auto" w:fill="auto"/>
            <w:tcMar>
              <w:left w:w="28" w:type="dxa"/>
              <w:right w:w="28" w:type="dxa"/>
            </w:tcMar>
            <w:vAlign w:val="center"/>
          </w:tcPr>
          <w:p w14:paraId="3A81B863" w14:textId="77777777" w:rsidR="004A0123" w:rsidRPr="00640447" w:rsidRDefault="004A0123" w:rsidP="008A5C11">
            <w:pPr>
              <w:jc w:val="center"/>
              <w:rPr>
                <w:sz w:val="13"/>
                <w:szCs w:val="13"/>
              </w:rPr>
            </w:pPr>
            <w:r w:rsidRPr="00640447">
              <w:rPr>
                <w:sz w:val="13"/>
                <w:szCs w:val="13"/>
              </w:rPr>
              <w:t>1,94</w:t>
            </w:r>
          </w:p>
        </w:tc>
        <w:tc>
          <w:tcPr>
            <w:tcW w:w="193" w:type="pct"/>
            <w:shd w:val="clear" w:color="auto" w:fill="auto"/>
            <w:vAlign w:val="center"/>
          </w:tcPr>
          <w:p w14:paraId="1D8B8269" w14:textId="77777777" w:rsidR="004A0123" w:rsidRPr="00640447" w:rsidRDefault="004A0123" w:rsidP="008A5C11">
            <w:pPr>
              <w:jc w:val="center"/>
              <w:rPr>
                <w:sz w:val="13"/>
                <w:szCs w:val="13"/>
              </w:rPr>
            </w:pPr>
            <w:r w:rsidRPr="00640447">
              <w:rPr>
                <w:sz w:val="13"/>
                <w:szCs w:val="13"/>
              </w:rPr>
              <w:t>1,94</w:t>
            </w:r>
          </w:p>
        </w:tc>
        <w:tc>
          <w:tcPr>
            <w:tcW w:w="182" w:type="pct"/>
            <w:shd w:val="clear" w:color="auto" w:fill="auto"/>
            <w:vAlign w:val="center"/>
          </w:tcPr>
          <w:p w14:paraId="0C16C4D3" w14:textId="77777777" w:rsidR="004A0123" w:rsidRPr="00640447" w:rsidRDefault="004A0123" w:rsidP="008A5C11">
            <w:pPr>
              <w:jc w:val="center"/>
              <w:rPr>
                <w:sz w:val="13"/>
                <w:szCs w:val="13"/>
              </w:rPr>
            </w:pPr>
            <w:r w:rsidRPr="00640447">
              <w:rPr>
                <w:sz w:val="13"/>
                <w:szCs w:val="13"/>
              </w:rPr>
              <w:t>1,94</w:t>
            </w:r>
          </w:p>
        </w:tc>
        <w:tc>
          <w:tcPr>
            <w:tcW w:w="182" w:type="pct"/>
            <w:shd w:val="clear" w:color="auto" w:fill="auto"/>
            <w:tcMar>
              <w:left w:w="28" w:type="dxa"/>
              <w:right w:w="28" w:type="dxa"/>
            </w:tcMar>
            <w:vAlign w:val="center"/>
          </w:tcPr>
          <w:p w14:paraId="60897B7D" w14:textId="77777777" w:rsidR="004A0123" w:rsidRPr="00640447" w:rsidRDefault="004A0123" w:rsidP="008A5C11">
            <w:pPr>
              <w:jc w:val="center"/>
              <w:rPr>
                <w:sz w:val="13"/>
                <w:szCs w:val="13"/>
              </w:rPr>
            </w:pPr>
            <w:r w:rsidRPr="00640447">
              <w:rPr>
                <w:sz w:val="13"/>
                <w:szCs w:val="13"/>
              </w:rPr>
              <w:t>1,94</w:t>
            </w:r>
          </w:p>
        </w:tc>
        <w:tc>
          <w:tcPr>
            <w:tcW w:w="182" w:type="pct"/>
            <w:shd w:val="clear" w:color="auto" w:fill="auto"/>
            <w:tcMar>
              <w:left w:w="28" w:type="dxa"/>
              <w:right w:w="28" w:type="dxa"/>
            </w:tcMar>
            <w:vAlign w:val="center"/>
          </w:tcPr>
          <w:p w14:paraId="15534407" w14:textId="77777777" w:rsidR="004A0123" w:rsidRPr="00640447" w:rsidRDefault="004A0123" w:rsidP="008A5C11">
            <w:pPr>
              <w:jc w:val="center"/>
              <w:rPr>
                <w:sz w:val="13"/>
                <w:szCs w:val="13"/>
              </w:rPr>
            </w:pPr>
            <w:r w:rsidRPr="00640447">
              <w:rPr>
                <w:sz w:val="13"/>
                <w:szCs w:val="13"/>
              </w:rPr>
              <w:t>1,94</w:t>
            </w:r>
          </w:p>
        </w:tc>
        <w:tc>
          <w:tcPr>
            <w:tcW w:w="182" w:type="pct"/>
            <w:shd w:val="clear" w:color="auto" w:fill="auto"/>
            <w:tcMar>
              <w:left w:w="28" w:type="dxa"/>
              <w:right w:w="28" w:type="dxa"/>
            </w:tcMar>
            <w:vAlign w:val="center"/>
          </w:tcPr>
          <w:p w14:paraId="36657D50" w14:textId="77777777" w:rsidR="004A0123" w:rsidRPr="00640447" w:rsidRDefault="004A0123" w:rsidP="008A5C11">
            <w:pPr>
              <w:jc w:val="center"/>
              <w:rPr>
                <w:sz w:val="13"/>
                <w:szCs w:val="13"/>
              </w:rPr>
            </w:pPr>
            <w:r w:rsidRPr="00640447">
              <w:rPr>
                <w:sz w:val="13"/>
                <w:szCs w:val="13"/>
              </w:rPr>
              <w:t>1,94</w:t>
            </w:r>
          </w:p>
        </w:tc>
        <w:tc>
          <w:tcPr>
            <w:tcW w:w="182" w:type="pct"/>
            <w:shd w:val="clear" w:color="auto" w:fill="auto"/>
            <w:tcMar>
              <w:left w:w="28" w:type="dxa"/>
              <w:right w:w="28" w:type="dxa"/>
            </w:tcMar>
            <w:vAlign w:val="center"/>
          </w:tcPr>
          <w:p w14:paraId="6E852573" w14:textId="77777777" w:rsidR="004A0123" w:rsidRPr="00640447" w:rsidRDefault="004A0123" w:rsidP="008A5C11">
            <w:pPr>
              <w:jc w:val="center"/>
              <w:rPr>
                <w:sz w:val="13"/>
                <w:szCs w:val="13"/>
              </w:rPr>
            </w:pPr>
            <w:r w:rsidRPr="00640447">
              <w:rPr>
                <w:sz w:val="13"/>
                <w:szCs w:val="13"/>
              </w:rPr>
              <w:t>1,94</w:t>
            </w:r>
          </w:p>
        </w:tc>
        <w:tc>
          <w:tcPr>
            <w:tcW w:w="206" w:type="pct"/>
            <w:shd w:val="clear" w:color="auto" w:fill="auto"/>
            <w:vAlign w:val="center"/>
          </w:tcPr>
          <w:p w14:paraId="04FAA03F" w14:textId="77777777" w:rsidR="004A0123" w:rsidRPr="00640447" w:rsidRDefault="004A0123" w:rsidP="008A5C11">
            <w:pPr>
              <w:jc w:val="center"/>
              <w:rPr>
                <w:sz w:val="13"/>
                <w:szCs w:val="13"/>
              </w:rPr>
            </w:pPr>
            <w:r w:rsidRPr="00640447">
              <w:rPr>
                <w:sz w:val="13"/>
                <w:szCs w:val="13"/>
              </w:rPr>
              <w:t>1,94</w:t>
            </w:r>
          </w:p>
        </w:tc>
        <w:tc>
          <w:tcPr>
            <w:tcW w:w="368" w:type="pct"/>
            <w:shd w:val="clear" w:color="auto" w:fill="auto"/>
            <w:tcMar>
              <w:left w:w="28" w:type="dxa"/>
              <w:right w:w="28" w:type="dxa"/>
            </w:tcMar>
            <w:vAlign w:val="center"/>
          </w:tcPr>
          <w:p w14:paraId="1DE240EB" w14:textId="77777777" w:rsidR="004A0123" w:rsidRPr="00640447" w:rsidRDefault="004A0123" w:rsidP="008A5C11">
            <w:pPr>
              <w:jc w:val="center"/>
              <w:rPr>
                <w:sz w:val="13"/>
                <w:szCs w:val="13"/>
              </w:rPr>
            </w:pPr>
            <w:r w:rsidRPr="00640447">
              <w:rPr>
                <w:sz w:val="13"/>
                <w:szCs w:val="13"/>
              </w:rPr>
              <w:t>2,74</w:t>
            </w:r>
          </w:p>
        </w:tc>
        <w:tc>
          <w:tcPr>
            <w:tcW w:w="182" w:type="pct"/>
            <w:shd w:val="clear" w:color="auto" w:fill="auto"/>
            <w:tcMar>
              <w:left w:w="28" w:type="dxa"/>
              <w:right w:w="28" w:type="dxa"/>
            </w:tcMar>
            <w:vAlign w:val="center"/>
          </w:tcPr>
          <w:p w14:paraId="0BE13B69" w14:textId="77777777" w:rsidR="004A0123" w:rsidRPr="00640447" w:rsidRDefault="004A0123" w:rsidP="008A5C11">
            <w:pPr>
              <w:jc w:val="center"/>
              <w:rPr>
                <w:sz w:val="13"/>
                <w:szCs w:val="13"/>
              </w:rPr>
            </w:pPr>
            <w:r w:rsidRPr="00640447">
              <w:rPr>
                <w:sz w:val="13"/>
                <w:szCs w:val="13"/>
              </w:rPr>
              <w:t>2,74</w:t>
            </w:r>
          </w:p>
        </w:tc>
        <w:tc>
          <w:tcPr>
            <w:tcW w:w="182" w:type="pct"/>
            <w:shd w:val="clear" w:color="auto" w:fill="auto"/>
            <w:tcMar>
              <w:left w:w="28" w:type="dxa"/>
              <w:right w:w="28" w:type="dxa"/>
            </w:tcMar>
            <w:vAlign w:val="center"/>
          </w:tcPr>
          <w:p w14:paraId="5AB0DBEC" w14:textId="77777777" w:rsidR="004A0123" w:rsidRPr="00640447" w:rsidRDefault="004A0123" w:rsidP="008A5C11">
            <w:pPr>
              <w:jc w:val="center"/>
              <w:rPr>
                <w:sz w:val="13"/>
                <w:szCs w:val="13"/>
              </w:rPr>
            </w:pPr>
            <w:r w:rsidRPr="00640447">
              <w:rPr>
                <w:sz w:val="13"/>
                <w:szCs w:val="13"/>
              </w:rPr>
              <w:t>2,74</w:t>
            </w:r>
          </w:p>
        </w:tc>
        <w:tc>
          <w:tcPr>
            <w:tcW w:w="182" w:type="pct"/>
            <w:shd w:val="clear" w:color="auto" w:fill="auto"/>
            <w:tcMar>
              <w:left w:w="28" w:type="dxa"/>
              <w:right w:w="28" w:type="dxa"/>
            </w:tcMar>
            <w:vAlign w:val="center"/>
          </w:tcPr>
          <w:p w14:paraId="4DF1D017" w14:textId="77777777" w:rsidR="004A0123" w:rsidRPr="00640447" w:rsidRDefault="004A0123" w:rsidP="008A5C11">
            <w:pPr>
              <w:jc w:val="center"/>
              <w:rPr>
                <w:sz w:val="13"/>
                <w:szCs w:val="13"/>
              </w:rPr>
            </w:pPr>
            <w:r w:rsidRPr="00640447">
              <w:rPr>
                <w:sz w:val="13"/>
                <w:szCs w:val="13"/>
              </w:rPr>
              <w:t>2,74</w:t>
            </w:r>
          </w:p>
        </w:tc>
        <w:tc>
          <w:tcPr>
            <w:tcW w:w="182" w:type="pct"/>
            <w:shd w:val="clear" w:color="auto" w:fill="auto"/>
            <w:vAlign w:val="center"/>
          </w:tcPr>
          <w:p w14:paraId="50C8D6A6" w14:textId="77777777" w:rsidR="004A0123" w:rsidRPr="00640447" w:rsidRDefault="004A0123" w:rsidP="008A5C11">
            <w:pPr>
              <w:jc w:val="center"/>
              <w:rPr>
                <w:sz w:val="13"/>
                <w:szCs w:val="13"/>
              </w:rPr>
            </w:pPr>
            <w:r w:rsidRPr="00640447">
              <w:rPr>
                <w:sz w:val="13"/>
                <w:szCs w:val="13"/>
              </w:rPr>
              <w:t>2,74</w:t>
            </w:r>
          </w:p>
        </w:tc>
        <w:tc>
          <w:tcPr>
            <w:tcW w:w="182" w:type="pct"/>
            <w:shd w:val="clear" w:color="auto" w:fill="auto"/>
            <w:vAlign w:val="center"/>
          </w:tcPr>
          <w:p w14:paraId="43DF8568" w14:textId="77777777" w:rsidR="004A0123" w:rsidRPr="00640447" w:rsidRDefault="004A0123" w:rsidP="008A5C11">
            <w:pPr>
              <w:jc w:val="center"/>
              <w:rPr>
                <w:sz w:val="13"/>
                <w:szCs w:val="13"/>
              </w:rPr>
            </w:pPr>
            <w:r w:rsidRPr="00640447">
              <w:rPr>
                <w:sz w:val="13"/>
                <w:szCs w:val="13"/>
              </w:rPr>
              <w:t>2,74</w:t>
            </w:r>
          </w:p>
        </w:tc>
        <w:tc>
          <w:tcPr>
            <w:tcW w:w="182" w:type="pct"/>
            <w:shd w:val="clear" w:color="auto" w:fill="auto"/>
            <w:tcMar>
              <w:left w:w="28" w:type="dxa"/>
              <w:right w:w="28" w:type="dxa"/>
            </w:tcMar>
            <w:vAlign w:val="center"/>
          </w:tcPr>
          <w:p w14:paraId="710DBE38" w14:textId="77777777" w:rsidR="004A0123" w:rsidRPr="00640447" w:rsidRDefault="004A0123" w:rsidP="008A5C11">
            <w:pPr>
              <w:jc w:val="center"/>
              <w:rPr>
                <w:sz w:val="13"/>
                <w:szCs w:val="13"/>
              </w:rPr>
            </w:pPr>
            <w:r w:rsidRPr="00640447">
              <w:rPr>
                <w:sz w:val="13"/>
                <w:szCs w:val="13"/>
              </w:rPr>
              <w:t>2,74</w:t>
            </w:r>
          </w:p>
        </w:tc>
        <w:tc>
          <w:tcPr>
            <w:tcW w:w="182" w:type="pct"/>
            <w:shd w:val="clear" w:color="auto" w:fill="auto"/>
            <w:tcMar>
              <w:left w:w="28" w:type="dxa"/>
              <w:right w:w="28" w:type="dxa"/>
            </w:tcMar>
            <w:vAlign w:val="center"/>
          </w:tcPr>
          <w:p w14:paraId="37476993" w14:textId="77777777" w:rsidR="004A0123" w:rsidRPr="00640447" w:rsidRDefault="004A0123" w:rsidP="008A5C11">
            <w:pPr>
              <w:jc w:val="center"/>
              <w:rPr>
                <w:sz w:val="13"/>
                <w:szCs w:val="13"/>
              </w:rPr>
            </w:pPr>
            <w:r w:rsidRPr="00640447">
              <w:rPr>
                <w:sz w:val="13"/>
                <w:szCs w:val="13"/>
              </w:rPr>
              <w:t>2,74</w:t>
            </w:r>
          </w:p>
        </w:tc>
        <w:tc>
          <w:tcPr>
            <w:tcW w:w="182" w:type="pct"/>
            <w:shd w:val="clear" w:color="auto" w:fill="auto"/>
            <w:tcMar>
              <w:left w:w="28" w:type="dxa"/>
              <w:right w:w="28" w:type="dxa"/>
            </w:tcMar>
            <w:vAlign w:val="center"/>
          </w:tcPr>
          <w:p w14:paraId="49A9F05D" w14:textId="77777777" w:rsidR="004A0123" w:rsidRPr="00640447" w:rsidRDefault="004A0123" w:rsidP="008A5C11">
            <w:pPr>
              <w:jc w:val="center"/>
              <w:rPr>
                <w:sz w:val="13"/>
                <w:szCs w:val="13"/>
              </w:rPr>
            </w:pPr>
            <w:r w:rsidRPr="00640447">
              <w:rPr>
                <w:sz w:val="13"/>
                <w:szCs w:val="13"/>
              </w:rPr>
              <w:t>2,74</w:t>
            </w:r>
          </w:p>
        </w:tc>
        <w:tc>
          <w:tcPr>
            <w:tcW w:w="182" w:type="pct"/>
            <w:shd w:val="clear" w:color="auto" w:fill="auto"/>
            <w:tcMar>
              <w:left w:w="28" w:type="dxa"/>
              <w:right w:w="28" w:type="dxa"/>
            </w:tcMar>
            <w:vAlign w:val="center"/>
          </w:tcPr>
          <w:p w14:paraId="1776EFF6" w14:textId="77777777" w:rsidR="004A0123" w:rsidRPr="00640447" w:rsidRDefault="004A0123" w:rsidP="008A5C11">
            <w:pPr>
              <w:jc w:val="center"/>
              <w:rPr>
                <w:sz w:val="13"/>
                <w:szCs w:val="13"/>
              </w:rPr>
            </w:pPr>
            <w:r w:rsidRPr="00640447">
              <w:rPr>
                <w:sz w:val="13"/>
                <w:szCs w:val="13"/>
              </w:rPr>
              <w:t>2,74</w:t>
            </w:r>
          </w:p>
        </w:tc>
        <w:tc>
          <w:tcPr>
            <w:tcW w:w="134" w:type="pct"/>
            <w:shd w:val="clear" w:color="auto" w:fill="auto"/>
            <w:vAlign w:val="center"/>
          </w:tcPr>
          <w:p w14:paraId="48E0717B" w14:textId="77777777" w:rsidR="004A0123" w:rsidRPr="00640447" w:rsidRDefault="004A0123" w:rsidP="008A5C11">
            <w:pPr>
              <w:jc w:val="center"/>
              <w:rPr>
                <w:sz w:val="13"/>
                <w:szCs w:val="13"/>
              </w:rPr>
            </w:pPr>
            <w:r w:rsidRPr="00640447">
              <w:rPr>
                <w:sz w:val="13"/>
                <w:szCs w:val="13"/>
              </w:rPr>
              <w:t>2,74</w:t>
            </w:r>
          </w:p>
        </w:tc>
      </w:tr>
    </w:tbl>
    <w:p w14:paraId="53F0B191" w14:textId="77777777" w:rsidR="004A0123" w:rsidRPr="00640447" w:rsidRDefault="004A0123" w:rsidP="004A0123">
      <w:pPr>
        <w:rPr>
          <w:sz w:val="28"/>
          <w:szCs w:val="28"/>
        </w:rPr>
      </w:pPr>
    </w:p>
    <w:p w14:paraId="53D8F3B9" w14:textId="77777777" w:rsidR="004A0123" w:rsidRPr="00640447" w:rsidRDefault="004A0123" w:rsidP="004A0123">
      <w:pPr>
        <w:rPr>
          <w:sz w:val="28"/>
          <w:szCs w:val="28"/>
        </w:rPr>
      </w:pPr>
    </w:p>
    <w:p w14:paraId="450AD733" w14:textId="77777777" w:rsidR="004A0123" w:rsidRPr="00640447" w:rsidRDefault="004A0123" w:rsidP="004A0123">
      <w:pPr>
        <w:ind w:left="284" w:right="536"/>
        <w:jc w:val="center"/>
        <w:rPr>
          <w:b/>
          <w:bCs/>
          <w:sz w:val="28"/>
          <w:szCs w:val="28"/>
        </w:rPr>
      </w:pPr>
      <w:r w:rsidRPr="00640447">
        <w:rPr>
          <w:b/>
          <w:bCs/>
          <w:sz w:val="28"/>
          <w:szCs w:val="28"/>
        </w:rPr>
        <w:t xml:space="preserve">Показатели надежности и энергетической эффективности объектов системы теплоснабжения </w:t>
      </w:r>
    </w:p>
    <w:p w14:paraId="4BEE94F2" w14:textId="77777777" w:rsidR="004A0123" w:rsidRPr="00640447" w:rsidRDefault="004A0123" w:rsidP="004A0123">
      <w:pPr>
        <w:jc w:val="center"/>
        <w:rPr>
          <w:sz w:val="28"/>
          <w:szCs w:val="28"/>
        </w:rPr>
      </w:pPr>
      <w:r w:rsidRPr="00640447">
        <w:rPr>
          <w:b/>
          <w:color w:val="000000"/>
          <w:sz w:val="28"/>
          <w:szCs w:val="28"/>
        </w:rPr>
        <w:t>ОАО «Северо-Кузбасская энергетическая компания» по узлу теплоснабжения Ленинск-Кузнецкого</w:t>
      </w:r>
      <w:r w:rsidRPr="00640447">
        <w:rPr>
          <w:b/>
          <w:bCs/>
          <w:sz w:val="28"/>
          <w:szCs w:val="28"/>
        </w:rPr>
        <w:t xml:space="preserve"> городского округа на 2019 - 2028 годы</w:t>
      </w:r>
    </w:p>
    <w:p w14:paraId="1AD4E474" w14:textId="77777777" w:rsidR="004A0123" w:rsidRPr="00640447" w:rsidRDefault="004A0123" w:rsidP="004A0123">
      <w:pPr>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01"/>
        <w:gridCol w:w="1457"/>
        <w:gridCol w:w="842"/>
        <w:gridCol w:w="650"/>
        <w:gridCol w:w="650"/>
        <w:gridCol w:w="650"/>
        <w:gridCol w:w="650"/>
        <w:gridCol w:w="650"/>
        <w:gridCol w:w="650"/>
        <w:gridCol w:w="651"/>
        <w:gridCol w:w="651"/>
        <w:gridCol w:w="651"/>
        <w:gridCol w:w="660"/>
        <w:gridCol w:w="980"/>
        <w:gridCol w:w="446"/>
        <w:gridCol w:w="446"/>
        <w:gridCol w:w="446"/>
        <w:gridCol w:w="446"/>
        <w:gridCol w:w="446"/>
        <w:gridCol w:w="446"/>
        <w:gridCol w:w="446"/>
        <w:gridCol w:w="446"/>
        <w:gridCol w:w="446"/>
        <w:gridCol w:w="453"/>
      </w:tblGrid>
      <w:tr w:rsidR="004A0123" w:rsidRPr="00640447" w14:paraId="4E366D6B" w14:textId="77777777" w:rsidTr="008A5C11">
        <w:trPr>
          <w:trHeight w:val="23"/>
          <w:jc w:val="center"/>
        </w:trPr>
        <w:tc>
          <w:tcPr>
            <w:tcW w:w="104" w:type="pct"/>
            <w:vMerge w:val="restart"/>
            <w:tcMar>
              <w:top w:w="62" w:type="dxa"/>
              <w:left w:w="28" w:type="dxa"/>
              <w:bottom w:w="102" w:type="dxa"/>
              <w:right w:w="28" w:type="dxa"/>
            </w:tcMar>
            <w:vAlign w:val="center"/>
          </w:tcPr>
          <w:p w14:paraId="744CF620"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 п/п</w:t>
            </w:r>
          </w:p>
        </w:tc>
        <w:tc>
          <w:tcPr>
            <w:tcW w:w="500" w:type="pct"/>
            <w:vMerge w:val="restart"/>
            <w:tcMar>
              <w:top w:w="62" w:type="dxa"/>
              <w:left w:w="28" w:type="dxa"/>
              <w:bottom w:w="102" w:type="dxa"/>
              <w:right w:w="28" w:type="dxa"/>
            </w:tcMar>
            <w:vAlign w:val="center"/>
          </w:tcPr>
          <w:p w14:paraId="478B2E79"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Наименование объекта</w:t>
            </w:r>
          </w:p>
        </w:tc>
        <w:tc>
          <w:tcPr>
            <w:tcW w:w="4395" w:type="pct"/>
            <w:gridSpan w:val="22"/>
            <w:tcMar>
              <w:left w:w="28" w:type="dxa"/>
              <w:right w:w="28" w:type="dxa"/>
            </w:tcMar>
            <w:vAlign w:val="center"/>
          </w:tcPr>
          <w:p w14:paraId="4182B3BF" w14:textId="77777777" w:rsidR="004A0123" w:rsidRPr="00640447" w:rsidRDefault="004A0123" w:rsidP="008A5C11">
            <w:pPr>
              <w:jc w:val="center"/>
              <w:rPr>
                <w:sz w:val="13"/>
                <w:szCs w:val="13"/>
              </w:rPr>
            </w:pPr>
            <w:r w:rsidRPr="00640447">
              <w:rPr>
                <w:sz w:val="13"/>
                <w:szCs w:val="13"/>
              </w:rPr>
              <w:t>Показатели энергетической эффективности</w:t>
            </w:r>
          </w:p>
        </w:tc>
      </w:tr>
      <w:tr w:rsidR="004A0123" w:rsidRPr="00640447" w14:paraId="3123A92F" w14:textId="77777777" w:rsidTr="008A5C11">
        <w:trPr>
          <w:trHeight w:val="154"/>
          <w:jc w:val="center"/>
        </w:trPr>
        <w:tc>
          <w:tcPr>
            <w:tcW w:w="104" w:type="pct"/>
            <w:vMerge/>
            <w:tcMar>
              <w:top w:w="62" w:type="dxa"/>
              <w:left w:w="28" w:type="dxa"/>
              <w:bottom w:w="102" w:type="dxa"/>
              <w:right w:w="28" w:type="dxa"/>
            </w:tcMar>
            <w:vAlign w:val="center"/>
          </w:tcPr>
          <w:p w14:paraId="19108335" w14:textId="77777777" w:rsidR="004A0123" w:rsidRPr="00640447" w:rsidRDefault="004A0123" w:rsidP="008A5C11">
            <w:pPr>
              <w:widowControl w:val="0"/>
              <w:autoSpaceDE w:val="0"/>
              <w:autoSpaceDN w:val="0"/>
              <w:adjustRightInd w:val="0"/>
              <w:jc w:val="center"/>
              <w:rPr>
                <w:sz w:val="13"/>
                <w:szCs w:val="13"/>
              </w:rPr>
            </w:pPr>
          </w:p>
        </w:tc>
        <w:tc>
          <w:tcPr>
            <w:tcW w:w="500" w:type="pct"/>
            <w:vMerge/>
            <w:tcMar>
              <w:top w:w="62" w:type="dxa"/>
              <w:left w:w="28" w:type="dxa"/>
              <w:bottom w:w="102" w:type="dxa"/>
              <w:right w:w="28" w:type="dxa"/>
            </w:tcMar>
            <w:vAlign w:val="center"/>
          </w:tcPr>
          <w:p w14:paraId="298639DC" w14:textId="77777777" w:rsidR="004A0123" w:rsidRPr="00640447" w:rsidRDefault="004A0123" w:rsidP="008A5C11">
            <w:pPr>
              <w:widowControl w:val="0"/>
              <w:autoSpaceDE w:val="0"/>
              <w:autoSpaceDN w:val="0"/>
              <w:adjustRightInd w:val="0"/>
              <w:jc w:val="center"/>
              <w:rPr>
                <w:sz w:val="13"/>
                <w:szCs w:val="13"/>
              </w:rPr>
            </w:pPr>
          </w:p>
        </w:tc>
        <w:tc>
          <w:tcPr>
            <w:tcW w:w="2533" w:type="pct"/>
            <w:gridSpan w:val="11"/>
            <w:tcMar>
              <w:left w:w="28" w:type="dxa"/>
              <w:right w:w="28" w:type="dxa"/>
            </w:tcMar>
            <w:vAlign w:val="center"/>
          </w:tcPr>
          <w:p w14:paraId="1D6669D7"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Величина технологических потерь при передаче тепловой энергии, Гкал</w:t>
            </w:r>
          </w:p>
        </w:tc>
        <w:tc>
          <w:tcPr>
            <w:tcW w:w="1862" w:type="pct"/>
            <w:gridSpan w:val="11"/>
            <w:tcMar>
              <w:left w:w="28" w:type="dxa"/>
              <w:right w:w="28" w:type="dxa"/>
            </w:tcMar>
            <w:vAlign w:val="center"/>
          </w:tcPr>
          <w:p w14:paraId="7CF72A6E"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Величины технологических потерь при передаче теплоносителя по тепловым сетям, м</w:t>
            </w:r>
            <w:r w:rsidRPr="00640447">
              <w:rPr>
                <w:sz w:val="13"/>
                <w:szCs w:val="13"/>
                <w:vertAlign w:val="superscript"/>
              </w:rPr>
              <w:t>3</w:t>
            </w:r>
          </w:p>
        </w:tc>
      </w:tr>
      <w:tr w:rsidR="004A0123" w:rsidRPr="00640447" w14:paraId="1A7D5A8A" w14:textId="77777777" w:rsidTr="008A5C11">
        <w:trPr>
          <w:trHeight w:val="20"/>
          <w:jc w:val="center"/>
        </w:trPr>
        <w:tc>
          <w:tcPr>
            <w:tcW w:w="104" w:type="pct"/>
            <w:vMerge/>
            <w:tcMar>
              <w:top w:w="62" w:type="dxa"/>
              <w:left w:w="28" w:type="dxa"/>
              <w:bottom w:w="102" w:type="dxa"/>
              <w:right w:w="28" w:type="dxa"/>
            </w:tcMar>
            <w:vAlign w:val="center"/>
          </w:tcPr>
          <w:p w14:paraId="401E4737" w14:textId="77777777" w:rsidR="004A0123" w:rsidRPr="00640447" w:rsidRDefault="004A0123" w:rsidP="008A5C11">
            <w:pPr>
              <w:widowControl w:val="0"/>
              <w:autoSpaceDE w:val="0"/>
              <w:autoSpaceDN w:val="0"/>
              <w:adjustRightInd w:val="0"/>
              <w:jc w:val="center"/>
              <w:rPr>
                <w:sz w:val="13"/>
                <w:szCs w:val="13"/>
              </w:rPr>
            </w:pPr>
          </w:p>
        </w:tc>
        <w:tc>
          <w:tcPr>
            <w:tcW w:w="500" w:type="pct"/>
            <w:vMerge/>
            <w:tcMar>
              <w:top w:w="62" w:type="dxa"/>
              <w:left w:w="28" w:type="dxa"/>
              <w:bottom w:w="102" w:type="dxa"/>
              <w:right w:w="28" w:type="dxa"/>
            </w:tcMar>
            <w:vAlign w:val="center"/>
          </w:tcPr>
          <w:p w14:paraId="649EEC55" w14:textId="77777777" w:rsidR="004A0123" w:rsidRPr="00640447" w:rsidRDefault="004A0123" w:rsidP="008A5C11">
            <w:pPr>
              <w:widowControl w:val="0"/>
              <w:autoSpaceDE w:val="0"/>
              <w:autoSpaceDN w:val="0"/>
              <w:adjustRightInd w:val="0"/>
              <w:jc w:val="center"/>
              <w:rPr>
                <w:sz w:val="13"/>
                <w:szCs w:val="13"/>
              </w:rPr>
            </w:pPr>
          </w:p>
        </w:tc>
        <w:tc>
          <w:tcPr>
            <w:tcW w:w="290" w:type="pct"/>
            <w:vMerge w:val="restart"/>
            <w:tcMar>
              <w:left w:w="28" w:type="dxa"/>
              <w:right w:w="28" w:type="dxa"/>
            </w:tcMar>
            <w:vAlign w:val="center"/>
          </w:tcPr>
          <w:p w14:paraId="3FDD7389"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Текущее значение</w:t>
            </w:r>
          </w:p>
        </w:tc>
        <w:tc>
          <w:tcPr>
            <w:tcW w:w="2243" w:type="pct"/>
            <w:gridSpan w:val="10"/>
            <w:tcMar>
              <w:left w:w="28" w:type="dxa"/>
              <w:right w:w="28" w:type="dxa"/>
            </w:tcMar>
            <w:vAlign w:val="center"/>
          </w:tcPr>
          <w:p w14:paraId="2DA635DF"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Плановое значение</w:t>
            </w:r>
          </w:p>
        </w:tc>
        <w:tc>
          <w:tcPr>
            <w:tcW w:w="337" w:type="pct"/>
            <w:vMerge w:val="restart"/>
            <w:tcMar>
              <w:left w:w="28" w:type="dxa"/>
              <w:right w:w="28" w:type="dxa"/>
            </w:tcMar>
            <w:vAlign w:val="center"/>
          </w:tcPr>
          <w:p w14:paraId="5C6D8374"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Текущее значение</w:t>
            </w:r>
          </w:p>
        </w:tc>
        <w:tc>
          <w:tcPr>
            <w:tcW w:w="1525" w:type="pct"/>
            <w:gridSpan w:val="10"/>
            <w:tcMar>
              <w:left w:w="28" w:type="dxa"/>
              <w:right w:w="28" w:type="dxa"/>
            </w:tcMar>
            <w:vAlign w:val="center"/>
          </w:tcPr>
          <w:p w14:paraId="7058D201"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Плановое значение</w:t>
            </w:r>
          </w:p>
        </w:tc>
      </w:tr>
      <w:tr w:rsidR="004A0123" w:rsidRPr="00640447" w14:paraId="52FC84D9" w14:textId="77777777" w:rsidTr="008A5C11">
        <w:trPr>
          <w:trHeight w:val="20"/>
          <w:jc w:val="center"/>
        </w:trPr>
        <w:tc>
          <w:tcPr>
            <w:tcW w:w="104" w:type="pct"/>
            <w:vMerge/>
            <w:tcMar>
              <w:top w:w="62" w:type="dxa"/>
              <w:left w:w="28" w:type="dxa"/>
              <w:bottom w:w="102" w:type="dxa"/>
              <w:right w:w="28" w:type="dxa"/>
            </w:tcMar>
            <w:vAlign w:val="center"/>
          </w:tcPr>
          <w:p w14:paraId="56072271" w14:textId="77777777" w:rsidR="004A0123" w:rsidRPr="00640447" w:rsidRDefault="004A0123" w:rsidP="008A5C11">
            <w:pPr>
              <w:widowControl w:val="0"/>
              <w:autoSpaceDE w:val="0"/>
              <w:autoSpaceDN w:val="0"/>
              <w:adjustRightInd w:val="0"/>
              <w:jc w:val="center"/>
              <w:rPr>
                <w:sz w:val="13"/>
                <w:szCs w:val="13"/>
              </w:rPr>
            </w:pPr>
          </w:p>
        </w:tc>
        <w:tc>
          <w:tcPr>
            <w:tcW w:w="500" w:type="pct"/>
            <w:vMerge/>
            <w:tcMar>
              <w:top w:w="62" w:type="dxa"/>
              <w:left w:w="28" w:type="dxa"/>
              <w:bottom w:w="102" w:type="dxa"/>
              <w:right w:w="28" w:type="dxa"/>
            </w:tcMar>
            <w:vAlign w:val="center"/>
          </w:tcPr>
          <w:p w14:paraId="6AC13FBC" w14:textId="77777777" w:rsidR="004A0123" w:rsidRPr="00640447" w:rsidRDefault="004A0123" w:rsidP="008A5C11">
            <w:pPr>
              <w:widowControl w:val="0"/>
              <w:autoSpaceDE w:val="0"/>
              <w:autoSpaceDN w:val="0"/>
              <w:adjustRightInd w:val="0"/>
              <w:jc w:val="center"/>
              <w:rPr>
                <w:sz w:val="13"/>
                <w:szCs w:val="13"/>
              </w:rPr>
            </w:pPr>
          </w:p>
        </w:tc>
        <w:tc>
          <w:tcPr>
            <w:tcW w:w="290" w:type="pct"/>
            <w:vMerge/>
            <w:tcMar>
              <w:left w:w="28" w:type="dxa"/>
              <w:right w:w="28" w:type="dxa"/>
            </w:tcMar>
            <w:vAlign w:val="center"/>
          </w:tcPr>
          <w:p w14:paraId="12B704B6" w14:textId="77777777" w:rsidR="004A0123" w:rsidRPr="00640447" w:rsidRDefault="004A0123" w:rsidP="008A5C11">
            <w:pPr>
              <w:widowControl w:val="0"/>
              <w:autoSpaceDE w:val="0"/>
              <w:autoSpaceDN w:val="0"/>
              <w:adjustRightInd w:val="0"/>
              <w:jc w:val="center"/>
              <w:rPr>
                <w:sz w:val="13"/>
                <w:szCs w:val="13"/>
              </w:rPr>
            </w:pPr>
          </w:p>
        </w:tc>
        <w:tc>
          <w:tcPr>
            <w:tcW w:w="224" w:type="pct"/>
            <w:tcMar>
              <w:left w:w="28" w:type="dxa"/>
              <w:right w:w="28" w:type="dxa"/>
            </w:tcMar>
            <w:vAlign w:val="center"/>
          </w:tcPr>
          <w:p w14:paraId="123C85CC"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2019</w:t>
            </w:r>
          </w:p>
        </w:tc>
        <w:tc>
          <w:tcPr>
            <w:tcW w:w="224" w:type="pct"/>
            <w:tcMar>
              <w:left w:w="28" w:type="dxa"/>
              <w:right w:w="28" w:type="dxa"/>
            </w:tcMar>
            <w:vAlign w:val="center"/>
          </w:tcPr>
          <w:p w14:paraId="36E5A81F"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2020</w:t>
            </w:r>
          </w:p>
        </w:tc>
        <w:tc>
          <w:tcPr>
            <w:tcW w:w="224" w:type="pct"/>
            <w:tcMar>
              <w:left w:w="28" w:type="dxa"/>
              <w:right w:w="28" w:type="dxa"/>
            </w:tcMar>
            <w:vAlign w:val="center"/>
          </w:tcPr>
          <w:p w14:paraId="236F6BE7"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2021</w:t>
            </w:r>
          </w:p>
        </w:tc>
        <w:tc>
          <w:tcPr>
            <w:tcW w:w="224" w:type="pct"/>
            <w:vAlign w:val="center"/>
          </w:tcPr>
          <w:p w14:paraId="048B5111"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2022</w:t>
            </w:r>
          </w:p>
        </w:tc>
        <w:tc>
          <w:tcPr>
            <w:tcW w:w="224" w:type="pct"/>
            <w:vAlign w:val="center"/>
          </w:tcPr>
          <w:p w14:paraId="6FB1ABF9"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2023</w:t>
            </w:r>
          </w:p>
        </w:tc>
        <w:tc>
          <w:tcPr>
            <w:tcW w:w="224" w:type="pct"/>
            <w:tcMar>
              <w:left w:w="28" w:type="dxa"/>
              <w:right w:w="28" w:type="dxa"/>
            </w:tcMar>
            <w:vAlign w:val="center"/>
          </w:tcPr>
          <w:p w14:paraId="0E1F7582"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2024</w:t>
            </w:r>
          </w:p>
        </w:tc>
        <w:tc>
          <w:tcPr>
            <w:tcW w:w="224" w:type="pct"/>
            <w:tcMar>
              <w:left w:w="28" w:type="dxa"/>
              <w:right w:w="28" w:type="dxa"/>
            </w:tcMar>
            <w:vAlign w:val="center"/>
          </w:tcPr>
          <w:p w14:paraId="67EBAE0D"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2025</w:t>
            </w:r>
          </w:p>
        </w:tc>
        <w:tc>
          <w:tcPr>
            <w:tcW w:w="224" w:type="pct"/>
            <w:tcMar>
              <w:left w:w="28" w:type="dxa"/>
              <w:right w:w="28" w:type="dxa"/>
            </w:tcMar>
            <w:vAlign w:val="center"/>
          </w:tcPr>
          <w:p w14:paraId="578120E8"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2026</w:t>
            </w:r>
          </w:p>
        </w:tc>
        <w:tc>
          <w:tcPr>
            <w:tcW w:w="224" w:type="pct"/>
            <w:tcMar>
              <w:left w:w="28" w:type="dxa"/>
              <w:right w:w="28" w:type="dxa"/>
            </w:tcMar>
            <w:vAlign w:val="center"/>
          </w:tcPr>
          <w:p w14:paraId="0FD84B9C"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2027</w:t>
            </w:r>
          </w:p>
        </w:tc>
        <w:tc>
          <w:tcPr>
            <w:tcW w:w="224" w:type="pct"/>
            <w:vAlign w:val="center"/>
          </w:tcPr>
          <w:p w14:paraId="77D965A7"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2028</w:t>
            </w:r>
          </w:p>
        </w:tc>
        <w:tc>
          <w:tcPr>
            <w:tcW w:w="337" w:type="pct"/>
            <w:vMerge/>
            <w:tcMar>
              <w:left w:w="28" w:type="dxa"/>
              <w:right w:w="28" w:type="dxa"/>
            </w:tcMar>
            <w:vAlign w:val="center"/>
          </w:tcPr>
          <w:p w14:paraId="6A1DAA88" w14:textId="77777777" w:rsidR="004A0123" w:rsidRPr="00640447" w:rsidRDefault="004A0123" w:rsidP="008A5C11">
            <w:pPr>
              <w:widowControl w:val="0"/>
              <w:autoSpaceDE w:val="0"/>
              <w:autoSpaceDN w:val="0"/>
              <w:adjustRightInd w:val="0"/>
              <w:jc w:val="center"/>
              <w:rPr>
                <w:sz w:val="13"/>
                <w:szCs w:val="13"/>
              </w:rPr>
            </w:pPr>
          </w:p>
        </w:tc>
        <w:tc>
          <w:tcPr>
            <w:tcW w:w="152" w:type="pct"/>
            <w:tcMar>
              <w:left w:w="28" w:type="dxa"/>
              <w:right w:w="28" w:type="dxa"/>
            </w:tcMar>
            <w:vAlign w:val="center"/>
          </w:tcPr>
          <w:p w14:paraId="0F240EC8"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2019</w:t>
            </w:r>
          </w:p>
        </w:tc>
        <w:tc>
          <w:tcPr>
            <w:tcW w:w="152" w:type="pct"/>
            <w:tcMar>
              <w:left w:w="28" w:type="dxa"/>
              <w:right w:w="28" w:type="dxa"/>
            </w:tcMar>
            <w:vAlign w:val="center"/>
          </w:tcPr>
          <w:p w14:paraId="7557CD4B"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2020</w:t>
            </w:r>
          </w:p>
        </w:tc>
        <w:tc>
          <w:tcPr>
            <w:tcW w:w="152" w:type="pct"/>
            <w:tcMar>
              <w:left w:w="28" w:type="dxa"/>
              <w:right w:w="28" w:type="dxa"/>
            </w:tcMar>
            <w:vAlign w:val="center"/>
          </w:tcPr>
          <w:p w14:paraId="446BB0C1"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2021</w:t>
            </w:r>
          </w:p>
        </w:tc>
        <w:tc>
          <w:tcPr>
            <w:tcW w:w="152" w:type="pct"/>
            <w:vAlign w:val="center"/>
          </w:tcPr>
          <w:p w14:paraId="7268B55A"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2022</w:t>
            </w:r>
          </w:p>
        </w:tc>
        <w:tc>
          <w:tcPr>
            <w:tcW w:w="152" w:type="pct"/>
            <w:vAlign w:val="center"/>
          </w:tcPr>
          <w:p w14:paraId="36022459"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2023</w:t>
            </w:r>
          </w:p>
        </w:tc>
        <w:tc>
          <w:tcPr>
            <w:tcW w:w="152" w:type="pct"/>
            <w:tcMar>
              <w:left w:w="28" w:type="dxa"/>
              <w:right w:w="28" w:type="dxa"/>
            </w:tcMar>
            <w:vAlign w:val="center"/>
          </w:tcPr>
          <w:p w14:paraId="0B393E7B"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2024</w:t>
            </w:r>
          </w:p>
        </w:tc>
        <w:tc>
          <w:tcPr>
            <w:tcW w:w="152" w:type="pct"/>
            <w:tcMar>
              <w:left w:w="28" w:type="dxa"/>
              <w:right w:w="28" w:type="dxa"/>
            </w:tcMar>
            <w:vAlign w:val="center"/>
          </w:tcPr>
          <w:p w14:paraId="2E1EA77D"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2025</w:t>
            </w:r>
          </w:p>
        </w:tc>
        <w:tc>
          <w:tcPr>
            <w:tcW w:w="152" w:type="pct"/>
            <w:tcMar>
              <w:left w:w="28" w:type="dxa"/>
              <w:right w:w="28" w:type="dxa"/>
            </w:tcMar>
            <w:vAlign w:val="center"/>
          </w:tcPr>
          <w:p w14:paraId="690C1FBA"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2026</w:t>
            </w:r>
          </w:p>
        </w:tc>
        <w:tc>
          <w:tcPr>
            <w:tcW w:w="153" w:type="pct"/>
            <w:tcMar>
              <w:left w:w="28" w:type="dxa"/>
              <w:right w:w="28" w:type="dxa"/>
            </w:tcMar>
            <w:vAlign w:val="center"/>
          </w:tcPr>
          <w:p w14:paraId="112A210D"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2027</w:t>
            </w:r>
          </w:p>
        </w:tc>
        <w:tc>
          <w:tcPr>
            <w:tcW w:w="152" w:type="pct"/>
            <w:vAlign w:val="center"/>
          </w:tcPr>
          <w:p w14:paraId="1842BA94" w14:textId="77777777" w:rsidR="004A0123" w:rsidRPr="00640447" w:rsidRDefault="004A0123" w:rsidP="008A5C11">
            <w:pPr>
              <w:widowControl w:val="0"/>
              <w:autoSpaceDE w:val="0"/>
              <w:autoSpaceDN w:val="0"/>
              <w:adjustRightInd w:val="0"/>
              <w:jc w:val="center"/>
              <w:rPr>
                <w:sz w:val="13"/>
                <w:szCs w:val="13"/>
              </w:rPr>
            </w:pPr>
            <w:r w:rsidRPr="00640447">
              <w:rPr>
                <w:sz w:val="13"/>
                <w:szCs w:val="13"/>
              </w:rPr>
              <w:t>2028</w:t>
            </w:r>
          </w:p>
        </w:tc>
      </w:tr>
      <w:tr w:rsidR="004A0123" w:rsidRPr="00640447" w14:paraId="0B814C6F" w14:textId="77777777" w:rsidTr="008A5C11">
        <w:trPr>
          <w:trHeight w:val="148"/>
          <w:jc w:val="center"/>
        </w:trPr>
        <w:tc>
          <w:tcPr>
            <w:tcW w:w="104" w:type="pct"/>
            <w:tcMar>
              <w:top w:w="62" w:type="dxa"/>
              <w:left w:w="28" w:type="dxa"/>
              <w:bottom w:w="102" w:type="dxa"/>
              <w:right w:w="28" w:type="dxa"/>
            </w:tcMar>
            <w:vAlign w:val="center"/>
          </w:tcPr>
          <w:p w14:paraId="3C8164CE" w14:textId="77777777" w:rsidR="004A0123" w:rsidRPr="00640447" w:rsidRDefault="004A0123" w:rsidP="008A5C11">
            <w:pPr>
              <w:jc w:val="center"/>
              <w:rPr>
                <w:sz w:val="13"/>
                <w:szCs w:val="13"/>
              </w:rPr>
            </w:pPr>
            <w:r w:rsidRPr="00640447">
              <w:rPr>
                <w:sz w:val="13"/>
                <w:szCs w:val="13"/>
              </w:rPr>
              <w:t>1</w:t>
            </w:r>
          </w:p>
        </w:tc>
        <w:tc>
          <w:tcPr>
            <w:tcW w:w="500" w:type="pct"/>
            <w:tcMar>
              <w:top w:w="62" w:type="dxa"/>
              <w:left w:w="28" w:type="dxa"/>
              <w:bottom w:w="102" w:type="dxa"/>
              <w:right w:w="28" w:type="dxa"/>
            </w:tcMar>
            <w:vAlign w:val="center"/>
          </w:tcPr>
          <w:p w14:paraId="4B0502DC" w14:textId="77777777" w:rsidR="004A0123" w:rsidRPr="00640447" w:rsidRDefault="004A0123" w:rsidP="008A5C11">
            <w:pPr>
              <w:jc w:val="center"/>
              <w:rPr>
                <w:sz w:val="13"/>
                <w:szCs w:val="13"/>
              </w:rPr>
            </w:pPr>
            <w:r w:rsidRPr="00640447">
              <w:rPr>
                <w:sz w:val="13"/>
                <w:szCs w:val="13"/>
              </w:rPr>
              <w:t>Котельная «Энергетик»</w:t>
            </w:r>
          </w:p>
        </w:tc>
        <w:tc>
          <w:tcPr>
            <w:tcW w:w="290" w:type="pct"/>
            <w:shd w:val="clear" w:color="auto" w:fill="auto"/>
            <w:tcMar>
              <w:left w:w="28" w:type="dxa"/>
              <w:right w:w="28" w:type="dxa"/>
            </w:tcMar>
            <w:vAlign w:val="center"/>
          </w:tcPr>
          <w:p w14:paraId="1A4B8B77" w14:textId="77777777" w:rsidR="004A0123" w:rsidRPr="00640447" w:rsidRDefault="004A0123" w:rsidP="008A5C11">
            <w:pPr>
              <w:jc w:val="center"/>
              <w:rPr>
                <w:sz w:val="13"/>
                <w:szCs w:val="13"/>
              </w:rPr>
            </w:pPr>
            <w:r w:rsidRPr="00640447">
              <w:rPr>
                <w:sz w:val="13"/>
                <w:szCs w:val="13"/>
              </w:rPr>
              <w:t>21636</w:t>
            </w:r>
          </w:p>
        </w:tc>
        <w:tc>
          <w:tcPr>
            <w:tcW w:w="224" w:type="pct"/>
            <w:shd w:val="clear" w:color="auto" w:fill="auto"/>
            <w:tcMar>
              <w:left w:w="28" w:type="dxa"/>
              <w:right w:w="28" w:type="dxa"/>
            </w:tcMar>
            <w:vAlign w:val="center"/>
          </w:tcPr>
          <w:p w14:paraId="5F320A07" w14:textId="77777777" w:rsidR="004A0123" w:rsidRPr="00640447" w:rsidRDefault="004A0123" w:rsidP="008A5C11">
            <w:pPr>
              <w:jc w:val="center"/>
              <w:rPr>
                <w:sz w:val="13"/>
                <w:szCs w:val="13"/>
              </w:rPr>
            </w:pPr>
            <w:r w:rsidRPr="00640447">
              <w:rPr>
                <w:sz w:val="13"/>
                <w:szCs w:val="13"/>
              </w:rPr>
              <w:t>21636</w:t>
            </w:r>
          </w:p>
        </w:tc>
        <w:tc>
          <w:tcPr>
            <w:tcW w:w="224" w:type="pct"/>
            <w:shd w:val="clear" w:color="auto" w:fill="auto"/>
            <w:tcMar>
              <w:left w:w="28" w:type="dxa"/>
              <w:right w:w="28" w:type="dxa"/>
            </w:tcMar>
            <w:vAlign w:val="center"/>
          </w:tcPr>
          <w:p w14:paraId="1DB7986B" w14:textId="77777777" w:rsidR="004A0123" w:rsidRPr="00640447" w:rsidRDefault="004A0123" w:rsidP="008A5C11">
            <w:pPr>
              <w:jc w:val="center"/>
              <w:rPr>
                <w:sz w:val="13"/>
                <w:szCs w:val="13"/>
              </w:rPr>
            </w:pPr>
            <w:r w:rsidRPr="00640447">
              <w:rPr>
                <w:sz w:val="13"/>
                <w:szCs w:val="13"/>
              </w:rPr>
              <w:t>21636</w:t>
            </w:r>
          </w:p>
        </w:tc>
        <w:tc>
          <w:tcPr>
            <w:tcW w:w="224" w:type="pct"/>
            <w:shd w:val="clear" w:color="auto" w:fill="auto"/>
            <w:tcMar>
              <w:left w:w="28" w:type="dxa"/>
              <w:right w:w="28" w:type="dxa"/>
            </w:tcMar>
            <w:vAlign w:val="center"/>
          </w:tcPr>
          <w:p w14:paraId="275F0D99" w14:textId="77777777" w:rsidR="004A0123" w:rsidRPr="00640447" w:rsidRDefault="004A0123" w:rsidP="008A5C11">
            <w:pPr>
              <w:jc w:val="center"/>
              <w:rPr>
                <w:sz w:val="13"/>
                <w:szCs w:val="13"/>
              </w:rPr>
            </w:pPr>
            <w:r w:rsidRPr="00640447">
              <w:rPr>
                <w:sz w:val="13"/>
                <w:szCs w:val="13"/>
              </w:rPr>
              <w:t>21636</w:t>
            </w:r>
          </w:p>
        </w:tc>
        <w:tc>
          <w:tcPr>
            <w:tcW w:w="224" w:type="pct"/>
            <w:shd w:val="clear" w:color="auto" w:fill="auto"/>
            <w:vAlign w:val="center"/>
          </w:tcPr>
          <w:p w14:paraId="0499806D" w14:textId="77777777" w:rsidR="004A0123" w:rsidRPr="00640447" w:rsidRDefault="004A0123" w:rsidP="008A5C11">
            <w:pPr>
              <w:jc w:val="center"/>
              <w:rPr>
                <w:sz w:val="13"/>
                <w:szCs w:val="13"/>
              </w:rPr>
            </w:pPr>
            <w:r w:rsidRPr="00640447">
              <w:rPr>
                <w:sz w:val="13"/>
                <w:szCs w:val="13"/>
              </w:rPr>
              <w:t>21636</w:t>
            </w:r>
          </w:p>
        </w:tc>
        <w:tc>
          <w:tcPr>
            <w:tcW w:w="224" w:type="pct"/>
            <w:shd w:val="clear" w:color="auto" w:fill="auto"/>
            <w:vAlign w:val="center"/>
          </w:tcPr>
          <w:p w14:paraId="0FE080E9" w14:textId="77777777" w:rsidR="004A0123" w:rsidRPr="00640447" w:rsidRDefault="004A0123" w:rsidP="008A5C11">
            <w:pPr>
              <w:jc w:val="center"/>
              <w:rPr>
                <w:sz w:val="13"/>
                <w:szCs w:val="13"/>
              </w:rPr>
            </w:pPr>
            <w:r w:rsidRPr="00640447">
              <w:rPr>
                <w:sz w:val="13"/>
                <w:szCs w:val="13"/>
              </w:rPr>
              <w:t>21636</w:t>
            </w:r>
          </w:p>
        </w:tc>
        <w:tc>
          <w:tcPr>
            <w:tcW w:w="224" w:type="pct"/>
            <w:shd w:val="clear" w:color="auto" w:fill="auto"/>
            <w:tcMar>
              <w:left w:w="28" w:type="dxa"/>
              <w:right w:w="28" w:type="dxa"/>
            </w:tcMar>
            <w:vAlign w:val="center"/>
          </w:tcPr>
          <w:p w14:paraId="32BE1DAC" w14:textId="77777777" w:rsidR="004A0123" w:rsidRPr="00640447" w:rsidRDefault="004A0123" w:rsidP="008A5C11">
            <w:pPr>
              <w:jc w:val="center"/>
              <w:rPr>
                <w:sz w:val="13"/>
                <w:szCs w:val="13"/>
              </w:rPr>
            </w:pPr>
            <w:r w:rsidRPr="00640447">
              <w:rPr>
                <w:sz w:val="13"/>
                <w:szCs w:val="13"/>
              </w:rPr>
              <w:t>21636</w:t>
            </w:r>
          </w:p>
        </w:tc>
        <w:tc>
          <w:tcPr>
            <w:tcW w:w="224" w:type="pct"/>
            <w:shd w:val="clear" w:color="auto" w:fill="auto"/>
            <w:tcMar>
              <w:left w:w="28" w:type="dxa"/>
              <w:right w:w="28" w:type="dxa"/>
            </w:tcMar>
            <w:vAlign w:val="center"/>
          </w:tcPr>
          <w:p w14:paraId="42851DB6" w14:textId="77777777" w:rsidR="004A0123" w:rsidRPr="00640447" w:rsidRDefault="004A0123" w:rsidP="008A5C11">
            <w:pPr>
              <w:jc w:val="center"/>
              <w:rPr>
                <w:sz w:val="13"/>
                <w:szCs w:val="13"/>
              </w:rPr>
            </w:pPr>
            <w:r w:rsidRPr="00640447">
              <w:rPr>
                <w:sz w:val="13"/>
                <w:szCs w:val="13"/>
              </w:rPr>
              <w:t>21636</w:t>
            </w:r>
          </w:p>
        </w:tc>
        <w:tc>
          <w:tcPr>
            <w:tcW w:w="224" w:type="pct"/>
            <w:shd w:val="clear" w:color="auto" w:fill="auto"/>
            <w:tcMar>
              <w:left w:w="28" w:type="dxa"/>
              <w:right w:w="28" w:type="dxa"/>
            </w:tcMar>
            <w:vAlign w:val="center"/>
          </w:tcPr>
          <w:p w14:paraId="07D19AE0" w14:textId="77777777" w:rsidR="004A0123" w:rsidRPr="00640447" w:rsidRDefault="004A0123" w:rsidP="008A5C11">
            <w:pPr>
              <w:jc w:val="center"/>
              <w:rPr>
                <w:sz w:val="13"/>
                <w:szCs w:val="13"/>
              </w:rPr>
            </w:pPr>
            <w:r w:rsidRPr="00640447">
              <w:rPr>
                <w:sz w:val="13"/>
                <w:szCs w:val="13"/>
              </w:rPr>
              <w:t>21636</w:t>
            </w:r>
          </w:p>
        </w:tc>
        <w:tc>
          <w:tcPr>
            <w:tcW w:w="224" w:type="pct"/>
            <w:shd w:val="clear" w:color="auto" w:fill="auto"/>
            <w:tcMar>
              <w:left w:w="28" w:type="dxa"/>
              <w:right w:w="28" w:type="dxa"/>
            </w:tcMar>
            <w:vAlign w:val="center"/>
          </w:tcPr>
          <w:p w14:paraId="0F2F28FE" w14:textId="77777777" w:rsidR="004A0123" w:rsidRPr="00640447" w:rsidRDefault="004A0123" w:rsidP="008A5C11">
            <w:pPr>
              <w:jc w:val="center"/>
              <w:rPr>
                <w:sz w:val="13"/>
                <w:szCs w:val="13"/>
              </w:rPr>
            </w:pPr>
            <w:r w:rsidRPr="00640447">
              <w:rPr>
                <w:sz w:val="13"/>
                <w:szCs w:val="13"/>
              </w:rPr>
              <w:t>21636</w:t>
            </w:r>
          </w:p>
        </w:tc>
        <w:tc>
          <w:tcPr>
            <w:tcW w:w="224" w:type="pct"/>
            <w:shd w:val="clear" w:color="auto" w:fill="auto"/>
            <w:vAlign w:val="center"/>
          </w:tcPr>
          <w:p w14:paraId="1F4452CB" w14:textId="77777777" w:rsidR="004A0123" w:rsidRPr="00640447" w:rsidRDefault="004A0123" w:rsidP="008A5C11">
            <w:pPr>
              <w:jc w:val="center"/>
              <w:rPr>
                <w:sz w:val="13"/>
                <w:szCs w:val="13"/>
              </w:rPr>
            </w:pPr>
            <w:r w:rsidRPr="00640447">
              <w:rPr>
                <w:sz w:val="13"/>
                <w:szCs w:val="13"/>
              </w:rPr>
              <w:t>21636</w:t>
            </w:r>
          </w:p>
        </w:tc>
        <w:tc>
          <w:tcPr>
            <w:tcW w:w="337" w:type="pct"/>
            <w:shd w:val="clear" w:color="auto" w:fill="auto"/>
            <w:tcMar>
              <w:left w:w="28" w:type="dxa"/>
              <w:right w:w="28" w:type="dxa"/>
            </w:tcMar>
            <w:vAlign w:val="center"/>
          </w:tcPr>
          <w:p w14:paraId="1B290A45" w14:textId="77777777" w:rsidR="004A0123" w:rsidRPr="00640447" w:rsidRDefault="004A0123" w:rsidP="008A5C11">
            <w:pPr>
              <w:jc w:val="center"/>
              <w:rPr>
                <w:sz w:val="13"/>
                <w:szCs w:val="13"/>
              </w:rPr>
            </w:pPr>
            <w:r w:rsidRPr="00640447">
              <w:rPr>
                <w:sz w:val="13"/>
                <w:szCs w:val="13"/>
              </w:rPr>
              <w:t>47463</w:t>
            </w:r>
          </w:p>
        </w:tc>
        <w:tc>
          <w:tcPr>
            <w:tcW w:w="152" w:type="pct"/>
            <w:shd w:val="clear" w:color="auto" w:fill="auto"/>
            <w:tcMar>
              <w:left w:w="28" w:type="dxa"/>
              <w:right w:w="28" w:type="dxa"/>
            </w:tcMar>
            <w:vAlign w:val="center"/>
          </w:tcPr>
          <w:p w14:paraId="107BA859" w14:textId="77777777" w:rsidR="004A0123" w:rsidRPr="00640447" w:rsidRDefault="004A0123" w:rsidP="008A5C11">
            <w:pPr>
              <w:jc w:val="center"/>
              <w:rPr>
                <w:sz w:val="13"/>
                <w:szCs w:val="13"/>
              </w:rPr>
            </w:pPr>
            <w:r w:rsidRPr="00640447">
              <w:rPr>
                <w:sz w:val="13"/>
                <w:szCs w:val="13"/>
              </w:rPr>
              <w:t>47463</w:t>
            </w:r>
          </w:p>
        </w:tc>
        <w:tc>
          <w:tcPr>
            <w:tcW w:w="152" w:type="pct"/>
            <w:shd w:val="clear" w:color="auto" w:fill="auto"/>
            <w:tcMar>
              <w:left w:w="28" w:type="dxa"/>
              <w:right w:w="28" w:type="dxa"/>
            </w:tcMar>
            <w:vAlign w:val="center"/>
          </w:tcPr>
          <w:p w14:paraId="72F62968" w14:textId="77777777" w:rsidR="004A0123" w:rsidRPr="00640447" w:rsidRDefault="004A0123" w:rsidP="008A5C11">
            <w:pPr>
              <w:jc w:val="center"/>
              <w:rPr>
                <w:sz w:val="13"/>
                <w:szCs w:val="13"/>
              </w:rPr>
            </w:pPr>
            <w:r w:rsidRPr="00640447">
              <w:rPr>
                <w:sz w:val="13"/>
                <w:szCs w:val="13"/>
              </w:rPr>
              <w:t>47463</w:t>
            </w:r>
          </w:p>
        </w:tc>
        <w:tc>
          <w:tcPr>
            <w:tcW w:w="152" w:type="pct"/>
            <w:shd w:val="clear" w:color="auto" w:fill="auto"/>
            <w:tcMar>
              <w:left w:w="28" w:type="dxa"/>
              <w:right w:w="28" w:type="dxa"/>
            </w:tcMar>
            <w:vAlign w:val="center"/>
          </w:tcPr>
          <w:p w14:paraId="689F7B22" w14:textId="77777777" w:rsidR="004A0123" w:rsidRPr="00640447" w:rsidRDefault="004A0123" w:rsidP="008A5C11">
            <w:pPr>
              <w:jc w:val="center"/>
              <w:rPr>
                <w:sz w:val="13"/>
                <w:szCs w:val="13"/>
              </w:rPr>
            </w:pPr>
            <w:r w:rsidRPr="00640447">
              <w:rPr>
                <w:sz w:val="13"/>
                <w:szCs w:val="13"/>
              </w:rPr>
              <w:t>47463</w:t>
            </w:r>
          </w:p>
        </w:tc>
        <w:tc>
          <w:tcPr>
            <w:tcW w:w="152" w:type="pct"/>
            <w:shd w:val="clear" w:color="auto" w:fill="auto"/>
            <w:vAlign w:val="center"/>
          </w:tcPr>
          <w:p w14:paraId="4943A709" w14:textId="77777777" w:rsidR="004A0123" w:rsidRPr="00640447" w:rsidRDefault="004A0123" w:rsidP="008A5C11">
            <w:pPr>
              <w:jc w:val="center"/>
              <w:rPr>
                <w:sz w:val="13"/>
                <w:szCs w:val="13"/>
              </w:rPr>
            </w:pPr>
            <w:r w:rsidRPr="00640447">
              <w:rPr>
                <w:sz w:val="13"/>
                <w:szCs w:val="13"/>
              </w:rPr>
              <w:t>47463</w:t>
            </w:r>
          </w:p>
        </w:tc>
        <w:tc>
          <w:tcPr>
            <w:tcW w:w="152" w:type="pct"/>
            <w:shd w:val="clear" w:color="auto" w:fill="auto"/>
            <w:vAlign w:val="center"/>
          </w:tcPr>
          <w:p w14:paraId="436BDC63" w14:textId="77777777" w:rsidR="004A0123" w:rsidRPr="00640447" w:rsidRDefault="004A0123" w:rsidP="008A5C11">
            <w:pPr>
              <w:jc w:val="center"/>
              <w:rPr>
                <w:sz w:val="13"/>
                <w:szCs w:val="13"/>
              </w:rPr>
            </w:pPr>
            <w:r w:rsidRPr="00640447">
              <w:rPr>
                <w:sz w:val="13"/>
                <w:szCs w:val="13"/>
              </w:rPr>
              <w:t>47463</w:t>
            </w:r>
          </w:p>
        </w:tc>
        <w:tc>
          <w:tcPr>
            <w:tcW w:w="152" w:type="pct"/>
            <w:shd w:val="clear" w:color="auto" w:fill="auto"/>
            <w:tcMar>
              <w:left w:w="28" w:type="dxa"/>
              <w:right w:w="28" w:type="dxa"/>
            </w:tcMar>
            <w:vAlign w:val="center"/>
          </w:tcPr>
          <w:p w14:paraId="1BF28CD2" w14:textId="77777777" w:rsidR="004A0123" w:rsidRPr="00640447" w:rsidRDefault="004A0123" w:rsidP="008A5C11">
            <w:pPr>
              <w:jc w:val="center"/>
              <w:rPr>
                <w:sz w:val="13"/>
                <w:szCs w:val="13"/>
              </w:rPr>
            </w:pPr>
            <w:r w:rsidRPr="00640447">
              <w:rPr>
                <w:sz w:val="13"/>
                <w:szCs w:val="13"/>
              </w:rPr>
              <w:t>47463</w:t>
            </w:r>
          </w:p>
        </w:tc>
        <w:tc>
          <w:tcPr>
            <w:tcW w:w="152" w:type="pct"/>
            <w:shd w:val="clear" w:color="auto" w:fill="auto"/>
            <w:tcMar>
              <w:left w:w="28" w:type="dxa"/>
              <w:right w:w="28" w:type="dxa"/>
            </w:tcMar>
            <w:vAlign w:val="center"/>
          </w:tcPr>
          <w:p w14:paraId="43111960" w14:textId="77777777" w:rsidR="004A0123" w:rsidRPr="00640447" w:rsidRDefault="004A0123" w:rsidP="008A5C11">
            <w:pPr>
              <w:jc w:val="center"/>
              <w:rPr>
                <w:sz w:val="13"/>
                <w:szCs w:val="13"/>
              </w:rPr>
            </w:pPr>
            <w:r w:rsidRPr="00640447">
              <w:rPr>
                <w:sz w:val="13"/>
                <w:szCs w:val="13"/>
              </w:rPr>
              <w:t>47463</w:t>
            </w:r>
          </w:p>
        </w:tc>
        <w:tc>
          <w:tcPr>
            <w:tcW w:w="152" w:type="pct"/>
            <w:shd w:val="clear" w:color="auto" w:fill="auto"/>
            <w:tcMar>
              <w:left w:w="28" w:type="dxa"/>
              <w:right w:w="28" w:type="dxa"/>
            </w:tcMar>
            <w:vAlign w:val="center"/>
          </w:tcPr>
          <w:p w14:paraId="02073D7D" w14:textId="77777777" w:rsidR="004A0123" w:rsidRPr="00640447" w:rsidRDefault="004A0123" w:rsidP="008A5C11">
            <w:pPr>
              <w:jc w:val="center"/>
              <w:rPr>
                <w:sz w:val="13"/>
                <w:szCs w:val="13"/>
              </w:rPr>
            </w:pPr>
            <w:r w:rsidRPr="00640447">
              <w:rPr>
                <w:sz w:val="13"/>
                <w:szCs w:val="13"/>
              </w:rPr>
              <w:t>47463</w:t>
            </w:r>
          </w:p>
        </w:tc>
        <w:tc>
          <w:tcPr>
            <w:tcW w:w="153" w:type="pct"/>
            <w:shd w:val="clear" w:color="auto" w:fill="auto"/>
            <w:tcMar>
              <w:left w:w="28" w:type="dxa"/>
              <w:right w:w="28" w:type="dxa"/>
            </w:tcMar>
            <w:vAlign w:val="center"/>
          </w:tcPr>
          <w:p w14:paraId="6ACE8E11" w14:textId="77777777" w:rsidR="004A0123" w:rsidRPr="00640447" w:rsidRDefault="004A0123" w:rsidP="008A5C11">
            <w:pPr>
              <w:jc w:val="center"/>
              <w:rPr>
                <w:sz w:val="13"/>
                <w:szCs w:val="13"/>
              </w:rPr>
            </w:pPr>
            <w:r w:rsidRPr="00640447">
              <w:rPr>
                <w:sz w:val="13"/>
                <w:szCs w:val="13"/>
              </w:rPr>
              <w:t>47463</w:t>
            </w:r>
          </w:p>
        </w:tc>
        <w:tc>
          <w:tcPr>
            <w:tcW w:w="152" w:type="pct"/>
            <w:shd w:val="clear" w:color="auto" w:fill="auto"/>
            <w:vAlign w:val="center"/>
          </w:tcPr>
          <w:p w14:paraId="112D2215" w14:textId="77777777" w:rsidR="004A0123" w:rsidRPr="00640447" w:rsidRDefault="004A0123" w:rsidP="008A5C11">
            <w:pPr>
              <w:jc w:val="center"/>
              <w:rPr>
                <w:sz w:val="13"/>
                <w:szCs w:val="13"/>
              </w:rPr>
            </w:pPr>
            <w:r w:rsidRPr="00640447">
              <w:rPr>
                <w:sz w:val="13"/>
                <w:szCs w:val="13"/>
              </w:rPr>
              <w:t>47463</w:t>
            </w:r>
          </w:p>
        </w:tc>
      </w:tr>
      <w:tr w:rsidR="004A0123" w:rsidRPr="00640447" w14:paraId="0495B954" w14:textId="77777777" w:rsidTr="008A5C11">
        <w:trPr>
          <w:trHeight w:val="148"/>
          <w:jc w:val="center"/>
        </w:trPr>
        <w:tc>
          <w:tcPr>
            <w:tcW w:w="104" w:type="pct"/>
            <w:tcMar>
              <w:top w:w="62" w:type="dxa"/>
              <w:left w:w="28" w:type="dxa"/>
              <w:bottom w:w="102" w:type="dxa"/>
              <w:right w:w="28" w:type="dxa"/>
            </w:tcMar>
            <w:vAlign w:val="center"/>
          </w:tcPr>
          <w:p w14:paraId="7A5DF8C4" w14:textId="77777777" w:rsidR="004A0123" w:rsidRPr="00640447" w:rsidRDefault="004A0123" w:rsidP="008A5C11">
            <w:pPr>
              <w:jc w:val="center"/>
              <w:rPr>
                <w:sz w:val="13"/>
                <w:szCs w:val="13"/>
              </w:rPr>
            </w:pPr>
            <w:r w:rsidRPr="00640447">
              <w:rPr>
                <w:sz w:val="13"/>
                <w:szCs w:val="13"/>
              </w:rPr>
              <w:t>2</w:t>
            </w:r>
          </w:p>
        </w:tc>
        <w:tc>
          <w:tcPr>
            <w:tcW w:w="500" w:type="pct"/>
            <w:tcMar>
              <w:top w:w="62" w:type="dxa"/>
              <w:left w:w="28" w:type="dxa"/>
              <w:bottom w:w="102" w:type="dxa"/>
              <w:right w:w="28" w:type="dxa"/>
            </w:tcMar>
            <w:vAlign w:val="center"/>
          </w:tcPr>
          <w:p w14:paraId="021D6B1F" w14:textId="77777777" w:rsidR="004A0123" w:rsidRPr="00640447" w:rsidRDefault="004A0123" w:rsidP="008A5C11">
            <w:pPr>
              <w:jc w:val="center"/>
              <w:rPr>
                <w:sz w:val="13"/>
                <w:szCs w:val="13"/>
              </w:rPr>
            </w:pPr>
            <w:r w:rsidRPr="00640447">
              <w:rPr>
                <w:sz w:val="13"/>
                <w:szCs w:val="13"/>
              </w:rPr>
              <w:t>Котельная «КСК»</w:t>
            </w:r>
          </w:p>
        </w:tc>
        <w:tc>
          <w:tcPr>
            <w:tcW w:w="290" w:type="pct"/>
            <w:shd w:val="clear" w:color="auto" w:fill="auto"/>
            <w:tcMar>
              <w:left w:w="28" w:type="dxa"/>
              <w:right w:w="28" w:type="dxa"/>
            </w:tcMar>
            <w:vAlign w:val="center"/>
          </w:tcPr>
          <w:p w14:paraId="3DA337BD" w14:textId="77777777" w:rsidR="004A0123" w:rsidRPr="00640447" w:rsidRDefault="004A0123" w:rsidP="008A5C11">
            <w:pPr>
              <w:jc w:val="center"/>
              <w:rPr>
                <w:sz w:val="13"/>
                <w:szCs w:val="13"/>
              </w:rPr>
            </w:pPr>
            <w:r w:rsidRPr="00640447">
              <w:rPr>
                <w:sz w:val="13"/>
                <w:szCs w:val="13"/>
              </w:rPr>
              <w:t>30120</w:t>
            </w:r>
          </w:p>
        </w:tc>
        <w:tc>
          <w:tcPr>
            <w:tcW w:w="224" w:type="pct"/>
            <w:shd w:val="clear" w:color="auto" w:fill="auto"/>
            <w:tcMar>
              <w:left w:w="28" w:type="dxa"/>
              <w:right w:w="28" w:type="dxa"/>
            </w:tcMar>
            <w:vAlign w:val="center"/>
          </w:tcPr>
          <w:p w14:paraId="399E1F56" w14:textId="77777777" w:rsidR="004A0123" w:rsidRPr="00640447" w:rsidRDefault="004A0123" w:rsidP="008A5C11">
            <w:pPr>
              <w:jc w:val="center"/>
              <w:rPr>
                <w:sz w:val="13"/>
                <w:szCs w:val="13"/>
              </w:rPr>
            </w:pPr>
            <w:r w:rsidRPr="00640447">
              <w:rPr>
                <w:sz w:val="13"/>
                <w:szCs w:val="13"/>
              </w:rPr>
              <w:t>30120</w:t>
            </w:r>
          </w:p>
        </w:tc>
        <w:tc>
          <w:tcPr>
            <w:tcW w:w="224" w:type="pct"/>
            <w:shd w:val="clear" w:color="auto" w:fill="auto"/>
            <w:tcMar>
              <w:left w:w="28" w:type="dxa"/>
              <w:right w:w="28" w:type="dxa"/>
            </w:tcMar>
            <w:vAlign w:val="center"/>
          </w:tcPr>
          <w:p w14:paraId="0224F047" w14:textId="77777777" w:rsidR="004A0123" w:rsidRPr="00640447" w:rsidRDefault="004A0123" w:rsidP="008A5C11">
            <w:pPr>
              <w:jc w:val="center"/>
              <w:rPr>
                <w:sz w:val="13"/>
                <w:szCs w:val="13"/>
              </w:rPr>
            </w:pPr>
            <w:r w:rsidRPr="00640447">
              <w:rPr>
                <w:sz w:val="13"/>
                <w:szCs w:val="13"/>
              </w:rPr>
              <w:t>30120</w:t>
            </w:r>
          </w:p>
        </w:tc>
        <w:tc>
          <w:tcPr>
            <w:tcW w:w="224" w:type="pct"/>
            <w:shd w:val="clear" w:color="auto" w:fill="auto"/>
            <w:tcMar>
              <w:left w:w="28" w:type="dxa"/>
              <w:right w:w="28" w:type="dxa"/>
            </w:tcMar>
            <w:vAlign w:val="center"/>
          </w:tcPr>
          <w:p w14:paraId="5E227296" w14:textId="77777777" w:rsidR="004A0123" w:rsidRPr="00640447" w:rsidRDefault="004A0123" w:rsidP="008A5C11">
            <w:pPr>
              <w:jc w:val="center"/>
              <w:rPr>
                <w:sz w:val="13"/>
                <w:szCs w:val="13"/>
              </w:rPr>
            </w:pPr>
            <w:r w:rsidRPr="00640447">
              <w:rPr>
                <w:sz w:val="13"/>
                <w:szCs w:val="13"/>
              </w:rPr>
              <w:t>30120</w:t>
            </w:r>
          </w:p>
        </w:tc>
        <w:tc>
          <w:tcPr>
            <w:tcW w:w="224" w:type="pct"/>
            <w:shd w:val="clear" w:color="auto" w:fill="auto"/>
            <w:vAlign w:val="center"/>
          </w:tcPr>
          <w:p w14:paraId="6A92D76F" w14:textId="77777777" w:rsidR="004A0123" w:rsidRPr="00640447" w:rsidRDefault="004A0123" w:rsidP="008A5C11">
            <w:pPr>
              <w:jc w:val="center"/>
              <w:rPr>
                <w:sz w:val="13"/>
                <w:szCs w:val="13"/>
              </w:rPr>
            </w:pPr>
            <w:r w:rsidRPr="00640447">
              <w:rPr>
                <w:sz w:val="13"/>
                <w:szCs w:val="13"/>
              </w:rPr>
              <w:t>30120</w:t>
            </w:r>
          </w:p>
        </w:tc>
        <w:tc>
          <w:tcPr>
            <w:tcW w:w="224" w:type="pct"/>
            <w:shd w:val="clear" w:color="auto" w:fill="auto"/>
            <w:vAlign w:val="center"/>
          </w:tcPr>
          <w:p w14:paraId="1E5FA03B" w14:textId="77777777" w:rsidR="004A0123" w:rsidRPr="00640447" w:rsidRDefault="004A0123" w:rsidP="008A5C11">
            <w:pPr>
              <w:jc w:val="center"/>
              <w:rPr>
                <w:sz w:val="13"/>
                <w:szCs w:val="13"/>
              </w:rPr>
            </w:pPr>
            <w:r w:rsidRPr="00640447">
              <w:rPr>
                <w:sz w:val="13"/>
                <w:szCs w:val="13"/>
              </w:rPr>
              <w:t>30120</w:t>
            </w:r>
          </w:p>
        </w:tc>
        <w:tc>
          <w:tcPr>
            <w:tcW w:w="224" w:type="pct"/>
            <w:shd w:val="clear" w:color="auto" w:fill="auto"/>
            <w:tcMar>
              <w:left w:w="28" w:type="dxa"/>
              <w:right w:w="28" w:type="dxa"/>
            </w:tcMar>
            <w:vAlign w:val="center"/>
          </w:tcPr>
          <w:p w14:paraId="5592C848" w14:textId="77777777" w:rsidR="004A0123" w:rsidRPr="00640447" w:rsidRDefault="004A0123" w:rsidP="008A5C11">
            <w:pPr>
              <w:jc w:val="center"/>
              <w:rPr>
                <w:sz w:val="13"/>
                <w:szCs w:val="13"/>
              </w:rPr>
            </w:pPr>
            <w:r w:rsidRPr="00640447">
              <w:rPr>
                <w:sz w:val="13"/>
                <w:szCs w:val="13"/>
              </w:rPr>
              <w:t>30439</w:t>
            </w:r>
          </w:p>
        </w:tc>
        <w:tc>
          <w:tcPr>
            <w:tcW w:w="224" w:type="pct"/>
            <w:shd w:val="clear" w:color="auto" w:fill="auto"/>
            <w:tcMar>
              <w:left w:w="28" w:type="dxa"/>
              <w:right w:w="28" w:type="dxa"/>
            </w:tcMar>
            <w:vAlign w:val="center"/>
          </w:tcPr>
          <w:p w14:paraId="7B1A4B9E" w14:textId="77777777" w:rsidR="004A0123" w:rsidRPr="00640447" w:rsidRDefault="004A0123" w:rsidP="008A5C11">
            <w:pPr>
              <w:jc w:val="center"/>
              <w:rPr>
                <w:sz w:val="13"/>
                <w:szCs w:val="13"/>
              </w:rPr>
            </w:pPr>
            <w:r w:rsidRPr="00640447">
              <w:rPr>
                <w:sz w:val="13"/>
                <w:szCs w:val="13"/>
              </w:rPr>
              <w:t>30439</w:t>
            </w:r>
          </w:p>
        </w:tc>
        <w:tc>
          <w:tcPr>
            <w:tcW w:w="224" w:type="pct"/>
            <w:shd w:val="clear" w:color="auto" w:fill="auto"/>
            <w:tcMar>
              <w:left w:w="28" w:type="dxa"/>
              <w:right w:w="28" w:type="dxa"/>
            </w:tcMar>
            <w:vAlign w:val="center"/>
          </w:tcPr>
          <w:p w14:paraId="3AD3E7F5" w14:textId="77777777" w:rsidR="004A0123" w:rsidRPr="00640447" w:rsidRDefault="004A0123" w:rsidP="008A5C11">
            <w:pPr>
              <w:jc w:val="center"/>
              <w:rPr>
                <w:sz w:val="13"/>
                <w:szCs w:val="13"/>
              </w:rPr>
            </w:pPr>
            <w:r w:rsidRPr="00640447">
              <w:rPr>
                <w:sz w:val="13"/>
                <w:szCs w:val="13"/>
              </w:rPr>
              <w:t>30439</w:t>
            </w:r>
          </w:p>
        </w:tc>
        <w:tc>
          <w:tcPr>
            <w:tcW w:w="224" w:type="pct"/>
            <w:shd w:val="clear" w:color="auto" w:fill="auto"/>
            <w:tcMar>
              <w:left w:w="28" w:type="dxa"/>
              <w:right w:w="28" w:type="dxa"/>
            </w:tcMar>
            <w:vAlign w:val="center"/>
          </w:tcPr>
          <w:p w14:paraId="6E7669B5" w14:textId="77777777" w:rsidR="004A0123" w:rsidRPr="00640447" w:rsidRDefault="004A0123" w:rsidP="008A5C11">
            <w:pPr>
              <w:jc w:val="center"/>
              <w:rPr>
                <w:sz w:val="13"/>
                <w:szCs w:val="13"/>
              </w:rPr>
            </w:pPr>
            <w:r w:rsidRPr="00640447">
              <w:rPr>
                <w:sz w:val="13"/>
                <w:szCs w:val="13"/>
              </w:rPr>
              <w:t>30439</w:t>
            </w:r>
          </w:p>
        </w:tc>
        <w:tc>
          <w:tcPr>
            <w:tcW w:w="224" w:type="pct"/>
            <w:shd w:val="clear" w:color="auto" w:fill="auto"/>
            <w:vAlign w:val="center"/>
          </w:tcPr>
          <w:p w14:paraId="4FC23E70" w14:textId="77777777" w:rsidR="004A0123" w:rsidRPr="00640447" w:rsidRDefault="004A0123" w:rsidP="008A5C11">
            <w:pPr>
              <w:jc w:val="center"/>
              <w:rPr>
                <w:sz w:val="13"/>
                <w:szCs w:val="13"/>
              </w:rPr>
            </w:pPr>
            <w:r w:rsidRPr="00640447">
              <w:rPr>
                <w:sz w:val="13"/>
                <w:szCs w:val="13"/>
              </w:rPr>
              <w:t>30439</w:t>
            </w:r>
          </w:p>
        </w:tc>
        <w:tc>
          <w:tcPr>
            <w:tcW w:w="337" w:type="pct"/>
            <w:shd w:val="clear" w:color="auto" w:fill="auto"/>
            <w:tcMar>
              <w:left w:w="28" w:type="dxa"/>
              <w:right w:w="28" w:type="dxa"/>
            </w:tcMar>
            <w:vAlign w:val="center"/>
          </w:tcPr>
          <w:p w14:paraId="69E227ED" w14:textId="77777777" w:rsidR="004A0123" w:rsidRPr="00640447" w:rsidRDefault="004A0123" w:rsidP="008A5C11">
            <w:pPr>
              <w:jc w:val="center"/>
              <w:rPr>
                <w:sz w:val="13"/>
                <w:szCs w:val="13"/>
              </w:rPr>
            </w:pPr>
            <w:r w:rsidRPr="00640447">
              <w:rPr>
                <w:sz w:val="13"/>
                <w:szCs w:val="13"/>
              </w:rPr>
              <w:t>93370</w:t>
            </w:r>
          </w:p>
        </w:tc>
        <w:tc>
          <w:tcPr>
            <w:tcW w:w="152" w:type="pct"/>
            <w:shd w:val="clear" w:color="auto" w:fill="auto"/>
            <w:tcMar>
              <w:left w:w="28" w:type="dxa"/>
              <w:right w:w="28" w:type="dxa"/>
            </w:tcMar>
            <w:vAlign w:val="center"/>
          </w:tcPr>
          <w:p w14:paraId="242295C0" w14:textId="77777777" w:rsidR="004A0123" w:rsidRPr="00640447" w:rsidRDefault="004A0123" w:rsidP="008A5C11">
            <w:pPr>
              <w:jc w:val="center"/>
              <w:rPr>
                <w:sz w:val="13"/>
                <w:szCs w:val="13"/>
              </w:rPr>
            </w:pPr>
            <w:r w:rsidRPr="00640447">
              <w:rPr>
                <w:sz w:val="13"/>
                <w:szCs w:val="13"/>
              </w:rPr>
              <w:t>93370</w:t>
            </w:r>
          </w:p>
        </w:tc>
        <w:tc>
          <w:tcPr>
            <w:tcW w:w="152" w:type="pct"/>
            <w:shd w:val="clear" w:color="auto" w:fill="auto"/>
            <w:tcMar>
              <w:left w:w="28" w:type="dxa"/>
              <w:right w:w="28" w:type="dxa"/>
            </w:tcMar>
            <w:vAlign w:val="center"/>
          </w:tcPr>
          <w:p w14:paraId="5DD7BABE" w14:textId="77777777" w:rsidR="004A0123" w:rsidRPr="00640447" w:rsidRDefault="004A0123" w:rsidP="008A5C11">
            <w:pPr>
              <w:jc w:val="center"/>
              <w:rPr>
                <w:sz w:val="13"/>
                <w:szCs w:val="13"/>
              </w:rPr>
            </w:pPr>
            <w:r w:rsidRPr="00640447">
              <w:rPr>
                <w:sz w:val="13"/>
                <w:szCs w:val="13"/>
              </w:rPr>
              <w:t>93370</w:t>
            </w:r>
          </w:p>
        </w:tc>
        <w:tc>
          <w:tcPr>
            <w:tcW w:w="152" w:type="pct"/>
            <w:shd w:val="clear" w:color="auto" w:fill="auto"/>
            <w:tcMar>
              <w:left w:w="28" w:type="dxa"/>
              <w:right w:w="28" w:type="dxa"/>
            </w:tcMar>
            <w:vAlign w:val="center"/>
          </w:tcPr>
          <w:p w14:paraId="3823FC9E" w14:textId="77777777" w:rsidR="004A0123" w:rsidRPr="00640447" w:rsidRDefault="004A0123" w:rsidP="008A5C11">
            <w:pPr>
              <w:jc w:val="center"/>
              <w:rPr>
                <w:sz w:val="13"/>
                <w:szCs w:val="13"/>
              </w:rPr>
            </w:pPr>
            <w:r w:rsidRPr="00640447">
              <w:rPr>
                <w:sz w:val="13"/>
                <w:szCs w:val="13"/>
              </w:rPr>
              <w:t>93370</w:t>
            </w:r>
          </w:p>
        </w:tc>
        <w:tc>
          <w:tcPr>
            <w:tcW w:w="152" w:type="pct"/>
            <w:shd w:val="clear" w:color="auto" w:fill="auto"/>
            <w:vAlign w:val="center"/>
          </w:tcPr>
          <w:p w14:paraId="579EFAF6" w14:textId="77777777" w:rsidR="004A0123" w:rsidRPr="00640447" w:rsidRDefault="004A0123" w:rsidP="008A5C11">
            <w:pPr>
              <w:jc w:val="center"/>
              <w:rPr>
                <w:sz w:val="13"/>
                <w:szCs w:val="13"/>
              </w:rPr>
            </w:pPr>
            <w:r w:rsidRPr="00640447">
              <w:rPr>
                <w:sz w:val="13"/>
                <w:szCs w:val="13"/>
              </w:rPr>
              <w:t>93370</w:t>
            </w:r>
          </w:p>
        </w:tc>
        <w:tc>
          <w:tcPr>
            <w:tcW w:w="152" w:type="pct"/>
            <w:shd w:val="clear" w:color="auto" w:fill="auto"/>
            <w:vAlign w:val="center"/>
          </w:tcPr>
          <w:p w14:paraId="090E86BD" w14:textId="77777777" w:rsidR="004A0123" w:rsidRPr="00640447" w:rsidRDefault="004A0123" w:rsidP="008A5C11">
            <w:pPr>
              <w:jc w:val="center"/>
              <w:rPr>
                <w:sz w:val="13"/>
                <w:szCs w:val="13"/>
              </w:rPr>
            </w:pPr>
            <w:r w:rsidRPr="00640447">
              <w:rPr>
                <w:sz w:val="13"/>
                <w:szCs w:val="13"/>
              </w:rPr>
              <w:t>93370</w:t>
            </w:r>
          </w:p>
        </w:tc>
        <w:tc>
          <w:tcPr>
            <w:tcW w:w="152" w:type="pct"/>
            <w:shd w:val="clear" w:color="auto" w:fill="auto"/>
            <w:tcMar>
              <w:left w:w="28" w:type="dxa"/>
              <w:right w:w="28" w:type="dxa"/>
            </w:tcMar>
            <w:vAlign w:val="center"/>
          </w:tcPr>
          <w:p w14:paraId="0D53AC32" w14:textId="77777777" w:rsidR="004A0123" w:rsidRPr="00640447" w:rsidRDefault="004A0123" w:rsidP="008A5C11">
            <w:pPr>
              <w:jc w:val="center"/>
              <w:rPr>
                <w:sz w:val="13"/>
                <w:szCs w:val="13"/>
              </w:rPr>
            </w:pPr>
            <w:r w:rsidRPr="00640447">
              <w:rPr>
                <w:sz w:val="13"/>
                <w:szCs w:val="13"/>
              </w:rPr>
              <w:t>93370</w:t>
            </w:r>
          </w:p>
        </w:tc>
        <w:tc>
          <w:tcPr>
            <w:tcW w:w="152" w:type="pct"/>
            <w:shd w:val="clear" w:color="auto" w:fill="auto"/>
            <w:tcMar>
              <w:left w:w="28" w:type="dxa"/>
              <w:right w:w="28" w:type="dxa"/>
            </w:tcMar>
            <w:vAlign w:val="center"/>
          </w:tcPr>
          <w:p w14:paraId="5E01C218" w14:textId="77777777" w:rsidR="004A0123" w:rsidRPr="00640447" w:rsidRDefault="004A0123" w:rsidP="008A5C11">
            <w:pPr>
              <w:jc w:val="center"/>
              <w:rPr>
                <w:sz w:val="13"/>
                <w:szCs w:val="13"/>
              </w:rPr>
            </w:pPr>
            <w:r w:rsidRPr="00640447">
              <w:rPr>
                <w:sz w:val="13"/>
                <w:szCs w:val="13"/>
              </w:rPr>
              <w:t>94581</w:t>
            </w:r>
          </w:p>
        </w:tc>
        <w:tc>
          <w:tcPr>
            <w:tcW w:w="152" w:type="pct"/>
            <w:shd w:val="clear" w:color="auto" w:fill="auto"/>
            <w:tcMar>
              <w:left w:w="28" w:type="dxa"/>
              <w:right w:w="28" w:type="dxa"/>
            </w:tcMar>
            <w:vAlign w:val="center"/>
          </w:tcPr>
          <w:p w14:paraId="047FFAF3" w14:textId="77777777" w:rsidR="004A0123" w:rsidRPr="00640447" w:rsidRDefault="004A0123" w:rsidP="008A5C11">
            <w:pPr>
              <w:jc w:val="center"/>
              <w:rPr>
                <w:sz w:val="13"/>
                <w:szCs w:val="13"/>
              </w:rPr>
            </w:pPr>
            <w:r w:rsidRPr="00640447">
              <w:rPr>
                <w:sz w:val="13"/>
                <w:szCs w:val="13"/>
              </w:rPr>
              <w:t>94581</w:t>
            </w:r>
          </w:p>
        </w:tc>
        <w:tc>
          <w:tcPr>
            <w:tcW w:w="153" w:type="pct"/>
            <w:shd w:val="clear" w:color="auto" w:fill="auto"/>
            <w:tcMar>
              <w:left w:w="28" w:type="dxa"/>
              <w:right w:w="28" w:type="dxa"/>
            </w:tcMar>
            <w:vAlign w:val="center"/>
          </w:tcPr>
          <w:p w14:paraId="3CCAE2CA" w14:textId="77777777" w:rsidR="004A0123" w:rsidRPr="00640447" w:rsidRDefault="004A0123" w:rsidP="008A5C11">
            <w:pPr>
              <w:jc w:val="center"/>
              <w:rPr>
                <w:sz w:val="13"/>
                <w:szCs w:val="13"/>
              </w:rPr>
            </w:pPr>
            <w:r w:rsidRPr="00640447">
              <w:rPr>
                <w:sz w:val="13"/>
                <w:szCs w:val="13"/>
              </w:rPr>
              <w:t>94581</w:t>
            </w:r>
          </w:p>
        </w:tc>
        <w:tc>
          <w:tcPr>
            <w:tcW w:w="152" w:type="pct"/>
            <w:shd w:val="clear" w:color="auto" w:fill="auto"/>
            <w:vAlign w:val="center"/>
          </w:tcPr>
          <w:p w14:paraId="4E6B4728" w14:textId="77777777" w:rsidR="004A0123" w:rsidRPr="00640447" w:rsidRDefault="004A0123" w:rsidP="008A5C11">
            <w:pPr>
              <w:jc w:val="center"/>
              <w:rPr>
                <w:sz w:val="13"/>
                <w:szCs w:val="13"/>
              </w:rPr>
            </w:pPr>
            <w:r w:rsidRPr="00640447">
              <w:rPr>
                <w:sz w:val="13"/>
                <w:szCs w:val="13"/>
              </w:rPr>
              <w:t>94581</w:t>
            </w:r>
          </w:p>
        </w:tc>
      </w:tr>
      <w:tr w:rsidR="004A0123" w:rsidRPr="00640447" w14:paraId="2034898E" w14:textId="77777777" w:rsidTr="008A5C11">
        <w:trPr>
          <w:trHeight w:val="148"/>
          <w:jc w:val="center"/>
        </w:trPr>
        <w:tc>
          <w:tcPr>
            <w:tcW w:w="104" w:type="pct"/>
            <w:tcMar>
              <w:top w:w="62" w:type="dxa"/>
              <w:left w:w="28" w:type="dxa"/>
              <w:bottom w:w="102" w:type="dxa"/>
              <w:right w:w="28" w:type="dxa"/>
            </w:tcMar>
            <w:vAlign w:val="center"/>
          </w:tcPr>
          <w:p w14:paraId="7EF37F4A" w14:textId="77777777" w:rsidR="004A0123" w:rsidRPr="00640447" w:rsidRDefault="004A0123" w:rsidP="008A5C11">
            <w:pPr>
              <w:jc w:val="center"/>
              <w:rPr>
                <w:sz w:val="13"/>
                <w:szCs w:val="13"/>
              </w:rPr>
            </w:pPr>
            <w:r w:rsidRPr="00640447">
              <w:rPr>
                <w:sz w:val="13"/>
                <w:szCs w:val="13"/>
              </w:rPr>
              <w:t>3</w:t>
            </w:r>
          </w:p>
        </w:tc>
        <w:tc>
          <w:tcPr>
            <w:tcW w:w="500" w:type="pct"/>
            <w:tcMar>
              <w:top w:w="62" w:type="dxa"/>
              <w:left w:w="28" w:type="dxa"/>
              <w:bottom w:w="102" w:type="dxa"/>
              <w:right w:w="28" w:type="dxa"/>
            </w:tcMar>
            <w:vAlign w:val="center"/>
          </w:tcPr>
          <w:p w14:paraId="5E67276D" w14:textId="77777777" w:rsidR="004A0123" w:rsidRPr="00640447" w:rsidRDefault="004A0123" w:rsidP="008A5C11">
            <w:pPr>
              <w:jc w:val="center"/>
              <w:rPr>
                <w:sz w:val="13"/>
                <w:szCs w:val="13"/>
              </w:rPr>
            </w:pPr>
            <w:r w:rsidRPr="00640447">
              <w:rPr>
                <w:sz w:val="13"/>
                <w:szCs w:val="13"/>
              </w:rPr>
              <w:t>Котельная «Центральная»</w:t>
            </w:r>
          </w:p>
        </w:tc>
        <w:tc>
          <w:tcPr>
            <w:tcW w:w="290" w:type="pct"/>
            <w:shd w:val="clear" w:color="auto" w:fill="auto"/>
            <w:tcMar>
              <w:left w:w="28" w:type="dxa"/>
              <w:right w:w="28" w:type="dxa"/>
            </w:tcMar>
            <w:vAlign w:val="center"/>
          </w:tcPr>
          <w:p w14:paraId="36607004" w14:textId="77777777" w:rsidR="004A0123" w:rsidRPr="00640447" w:rsidRDefault="004A0123" w:rsidP="008A5C11">
            <w:pPr>
              <w:jc w:val="center"/>
              <w:rPr>
                <w:sz w:val="13"/>
                <w:szCs w:val="13"/>
              </w:rPr>
            </w:pPr>
            <w:r w:rsidRPr="00640447">
              <w:rPr>
                <w:sz w:val="13"/>
                <w:szCs w:val="13"/>
              </w:rPr>
              <w:t>18723</w:t>
            </w:r>
          </w:p>
        </w:tc>
        <w:tc>
          <w:tcPr>
            <w:tcW w:w="224" w:type="pct"/>
            <w:shd w:val="clear" w:color="auto" w:fill="auto"/>
            <w:tcMar>
              <w:left w:w="28" w:type="dxa"/>
              <w:right w:w="28" w:type="dxa"/>
            </w:tcMar>
            <w:vAlign w:val="center"/>
          </w:tcPr>
          <w:p w14:paraId="2CB6271D" w14:textId="77777777" w:rsidR="004A0123" w:rsidRPr="00640447" w:rsidRDefault="004A0123" w:rsidP="008A5C11">
            <w:pPr>
              <w:jc w:val="center"/>
              <w:rPr>
                <w:sz w:val="13"/>
                <w:szCs w:val="13"/>
              </w:rPr>
            </w:pPr>
            <w:r w:rsidRPr="00640447">
              <w:rPr>
                <w:sz w:val="13"/>
                <w:szCs w:val="13"/>
              </w:rPr>
              <w:t>18723</w:t>
            </w:r>
          </w:p>
        </w:tc>
        <w:tc>
          <w:tcPr>
            <w:tcW w:w="224" w:type="pct"/>
            <w:shd w:val="clear" w:color="auto" w:fill="auto"/>
            <w:tcMar>
              <w:left w:w="28" w:type="dxa"/>
              <w:right w:w="28" w:type="dxa"/>
            </w:tcMar>
            <w:vAlign w:val="center"/>
          </w:tcPr>
          <w:p w14:paraId="63075F52" w14:textId="77777777" w:rsidR="004A0123" w:rsidRPr="00640447" w:rsidRDefault="004A0123" w:rsidP="008A5C11">
            <w:pPr>
              <w:jc w:val="center"/>
              <w:rPr>
                <w:sz w:val="13"/>
                <w:szCs w:val="13"/>
              </w:rPr>
            </w:pPr>
            <w:r w:rsidRPr="00640447">
              <w:rPr>
                <w:sz w:val="13"/>
                <w:szCs w:val="13"/>
              </w:rPr>
              <w:t>25337</w:t>
            </w:r>
          </w:p>
        </w:tc>
        <w:tc>
          <w:tcPr>
            <w:tcW w:w="224" w:type="pct"/>
            <w:shd w:val="clear" w:color="auto" w:fill="auto"/>
            <w:tcMar>
              <w:left w:w="28" w:type="dxa"/>
              <w:right w:w="28" w:type="dxa"/>
            </w:tcMar>
            <w:vAlign w:val="center"/>
          </w:tcPr>
          <w:p w14:paraId="2CE0BA30" w14:textId="77777777" w:rsidR="004A0123" w:rsidRPr="00640447" w:rsidRDefault="004A0123" w:rsidP="008A5C11">
            <w:pPr>
              <w:jc w:val="center"/>
              <w:rPr>
                <w:sz w:val="13"/>
                <w:szCs w:val="13"/>
              </w:rPr>
            </w:pPr>
            <w:r w:rsidRPr="00640447">
              <w:rPr>
                <w:sz w:val="13"/>
                <w:szCs w:val="13"/>
              </w:rPr>
              <w:t>25337</w:t>
            </w:r>
          </w:p>
        </w:tc>
        <w:tc>
          <w:tcPr>
            <w:tcW w:w="224" w:type="pct"/>
            <w:shd w:val="clear" w:color="auto" w:fill="auto"/>
            <w:vAlign w:val="center"/>
          </w:tcPr>
          <w:p w14:paraId="44537E68" w14:textId="77777777" w:rsidR="004A0123" w:rsidRPr="00640447" w:rsidRDefault="004A0123" w:rsidP="008A5C11">
            <w:pPr>
              <w:jc w:val="center"/>
              <w:rPr>
                <w:sz w:val="13"/>
                <w:szCs w:val="13"/>
              </w:rPr>
            </w:pPr>
            <w:r w:rsidRPr="00640447">
              <w:rPr>
                <w:sz w:val="13"/>
                <w:szCs w:val="13"/>
              </w:rPr>
              <w:t>25337</w:t>
            </w:r>
          </w:p>
        </w:tc>
        <w:tc>
          <w:tcPr>
            <w:tcW w:w="224" w:type="pct"/>
            <w:shd w:val="clear" w:color="auto" w:fill="auto"/>
            <w:vAlign w:val="center"/>
          </w:tcPr>
          <w:p w14:paraId="522533BF" w14:textId="77777777" w:rsidR="004A0123" w:rsidRPr="00640447" w:rsidRDefault="004A0123" w:rsidP="008A5C11">
            <w:pPr>
              <w:jc w:val="center"/>
              <w:rPr>
                <w:sz w:val="13"/>
                <w:szCs w:val="13"/>
              </w:rPr>
            </w:pPr>
            <w:r w:rsidRPr="00640447">
              <w:rPr>
                <w:sz w:val="13"/>
                <w:szCs w:val="13"/>
              </w:rPr>
              <w:t>25337</w:t>
            </w:r>
          </w:p>
        </w:tc>
        <w:tc>
          <w:tcPr>
            <w:tcW w:w="224" w:type="pct"/>
            <w:shd w:val="clear" w:color="auto" w:fill="auto"/>
            <w:tcMar>
              <w:left w:w="28" w:type="dxa"/>
              <w:right w:w="28" w:type="dxa"/>
            </w:tcMar>
            <w:vAlign w:val="center"/>
          </w:tcPr>
          <w:p w14:paraId="783F09AA" w14:textId="77777777" w:rsidR="004A0123" w:rsidRPr="00640447" w:rsidRDefault="004A0123" w:rsidP="008A5C11">
            <w:pPr>
              <w:jc w:val="center"/>
              <w:rPr>
                <w:sz w:val="13"/>
                <w:szCs w:val="13"/>
              </w:rPr>
            </w:pPr>
            <w:r w:rsidRPr="00640447">
              <w:rPr>
                <w:sz w:val="13"/>
                <w:szCs w:val="13"/>
              </w:rPr>
              <w:t>27332</w:t>
            </w:r>
          </w:p>
        </w:tc>
        <w:tc>
          <w:tcPr>
            <w:tcW w:w="224" w:type="pct"/>
            <w:shd w:val="clear" w:color="auto" w:fill="auto"/>
            <w:tcMar>
              <w:left w:w="28" w:type="dxa"/>
              <w:right w:w="28" w:type="dxa"/>
            </w:tcMar>
            <w:vAlign w:val="center"/>
          </w:tcPr>
          <w:p w14:paraId="2562B273" w14:textId="77777777" w:rsidR="004A0123" w:rsidRPr="00640447" w:rsidRDefault="004A0123" w:rsidP="008A5C11">
            <w:pPr>
              <w:jc w:val="center"/>
              <w:rPr>
                <w:sz w:val="13"/>
                <w:szCs w:val="13"/>
              </w:rPr>
            </w:pPr>
            <w:r w:rsidRPr="00640447">
              <w:rPr>
                <w:sz w:val="13"/>
                <w:szCs w:val="13"/>
              </w:rPr>
              <w:t>27332</w:t>
            </w:r>
          </w:p>
        </w:tc>
        <w:tc>
          <w:tcPr>
            <w:tcW w:w="224" w:type="pct"/>
            <w:shd w:val="clear" w:color="auto" w:fill="auto"/>
            <w:tcMar>
              <w:left w:w="28" w:type="dxa"/>
              <w:right w:w="28" w:type="dxa"/>
            </w:tcMar>
            <w:vAlign w:val="center"/>
          </w:tcPr>
          <w:p w14:paraId="5664AAA3" w14:textId="77777777" w:rsidR="004A0123" w:rsidRPr="00640447" w:rsidRDefault="004A0123" w:rsidP="008A5C11">
            <w:pPr>
              <w:jc w:val="center"/>
              <w:rPr>
                <w:sz w:val="13"/>
                <w:szCs w:val="13"/>
              </w:rPr>
            </w:pPr>
            <w:r w:rsidRPr="00640447">
              <w:rPr>
                <w:sz w:val="13"/>
                <w:szCs w:val="13"/>
              </w:rPr>
              <w:t>27332</w:t>
            </w:r>
          </w:p>
        </w:tc>
        <w:tc>
          <w:tcPr>
            <w:tcW w:w="224" w:type="pct"/>
            <w:shd w:val="clear" w:color="auto" w:fill="auto"/>
            <w:tcMar>
              <w:left w:w="28" w:type="dxa"/>
              <w:right w:w="28" w:type="dxa"/>
            </w:tcMar>
            <w:vAlign w:val="center"/>
          </w:tcPr>
          <w:p w14:paraId="6EF30647" w14:textId="77777777" w:rsidR="004A0123" w:rsidRPr="00640447" w:rsidRDefault="004A0123" w:rsidP="008A5C11">
            <w:pPr>
              <w:jc w:val="center"/>
              <w:rPr>
                <w:sz w:val="13"/>
                <w:szCs w:val="13"/>
              </w:rPr>
            </w:pPr>
            <w:r w:rsidRPr="00640447">
              <w:rPr>
                <w:sz w:val="13"/>
                <w:szCs w:val="13"/>
              </w:rPr>
              <w:t>27332</w:t>
            </w:r>
          </w:p>
        </w:tc>
        <w:tc>
          <w:tcPr>
            <w:tcW w:w="224" w:type="pct"/>
            <w:shd w:val="clear" w:color="auto" w:fill="auto"/>
            <w:vAlign w:val="center"/>
          </w:tcPr>
          <w:p w14:paraId="7C44D48A" w14:textId="77777777" w:rsidR="004A0123" w:rsidRPr="00640447" w:rsidRDefault="004A0123" w:rsidP="008A5C11">
            <w:pPr>
              <w:jc w:val="center"/>
              <w:rPr>
                <w:sz w:val="13"/>
                <w:szCs w:val="13"/>
              </w:rPr>
            </w:pPr>
            <w:r w:rsidRPr="00640447">
              <w:rPr>
                <w:sz w:val="13"/>
                <w:szCs w:val="13"/>
              </w:rPr>
              <w:t>27332</w:t>
            </w:r>
          </w:p>
        </w:tc>
        <w:tc>
          <w:tcPr>
            <w:tcW w:w="337" w:type="pct"/>
            <w:shd w:val="clear" w:color="auto" w:fill="auto"/>
            <w:tcMar>
              <w:left w:w="28" w:type="dxa"/>
              <w:right w:w="28" w:type="dxa"/>
            </w:tcMar>
            <w:vAlign w:val="center"/>
          </w:tcPr>
          <w:p w14:paraId="779AB0FC" w14:textId="77777777" w:rsidR="004A0123" w:rsidRPr="00640447" w:rsidRDefault="004A0123" w:rsidP="008A5C11">
            <w:pPr>
              <w:jc w:val="center"/>
              <w:rPr>
                <w:sz w:val="13"/>
                <w:szCs w:val="13"/>
              </w:rPr>
            </w:pPr>
            <w:r w:rsidRPr="00640447">
              <w:rPr>
                <w:sz w:val="13"/>
                <w:szCs w:val="13"/>
              </w:rPr>
              <w:t>26850</w:t>
            </w:r>
          </w:p>
        </w:tc>
        <w:tc>
          <w:tcPr>
            <w:tcW w:w="152" w:type="pct"/>
            <w:shd w:val="clear" w:color="auto" w:fill="auto"/>
            <w:tcMar>
              <w:left w:w="28" w:type="dxa"/>
              <w:right w:w="28" w:type="dxa"/>
            </w:tcMar>
            <w:vAlign w:val="center"/>
          </w:tcPr>
          <w:p w14:paraId="0484A152" w14:textId="77777777" w:rsidR="004A0123" w:rsidRPr="00640447" w:rsidRDefault="004A0123" w:rsidP="008A5C11">
            <w:pPr>
              <w:jc w:val="center"/>
              <w:rPr>
                <w:sz w:val="13"/>
                <w:szCs w:val="13"/>
              </w:rPr>
            </w:pPr>
            <w:r w:rsidRPr="00640447">
              <w:rPr>
                <w:sz w:val="13"/>
                <w:szCs w:val="13"/>
              </w:rPr>
              <w:t>26850</w:t>
            </w:r>
          </w:p>
        </w:tc>
        <w:tc>
          <w:tcPr>
            <w:tcW w:w="152" w:type="pct"/>
            <w:shd w:val="clear" w:color="auto" w:fill="auto"/>
            <w:tcMar>
              <w:left w:w="28" w:type="dxa"/>
              <w:right w:w="28" w:type="dxa"/>
            </w:tcMar>
            <w:vAlign w:val="center"/>
          </w:tcPr>
          <w:p w14:paraId="6F2D7E4F" w14:textId="77777777" w:rsidR="004A0123" w:rsidRPr="00640447" w:rsidRDefault="004A0123" w:rsidP="008A5C11">
            <w:pPr>
              <w:jc w:val="center"/>
              <w:rPr>
                <w:sz w:val="13"/>
                <w:szCs w:val="13"/>
              </w:rPr>
            </w:pPr>
            <w:r w:rsidRPr="00640447">
              <w:rPr>
                <w:sz w:val="13"/>
                <w:szCs w:val="13"/>
              </w:rPr>
              <w:t>42057</w:t>
            </w:r>
          </w:p>
        </w:tc>
        <w:tc>
          <w:tcPr>
            <w:tcW w:w="152" w:type="pct"/>
            <w:shd w:val="clear" w:color="auto" w:fill="auto"/>
            <w:tcMar>
              <w:left w:w="28" w:type="dxa"/>
              <w:right w:w="28" w:type="dxa"/>
            </w:tcMar>
            <w:vAlign w:val="center"/>
          </w:tcPr>
          <w:p w14:paraId="3F538D64" w14:textId="77777777" w:rsidR="004A0123" w:rsidRPr="00640447" w:rsidRDefault="004A0123" w:rsidP="008A5C11">
            <w:pPr>
              <w:jc w:val="center"/>
              <w:rPr>
                <w:sz w:val="13"/>
                <w:szCs w:val="13"/>
              </w:rPr>
            </w:pPr>
            <w:r w:rsidRPr="00640447">
              <w:rPr>
                <w:sz w:val="13"/>
                <w:szCs w:val="13"/>
              </w:rPr>
              <w:t>42057</w:t>
            </w:r>
          </w:p>
        </w:tc>
        <w:tc>
          <w:tcPr>
            <w:tcW w:w="152" w:type="pct"/>
            <w:shd w:val="clear" w:color="auto" w:fill="auto"/>
            <w:vAlign w:val="center"/>
          </w:tcPr>
          <w:p w14:paraId="0364165D" w14:textId="77777777" w:rsidR="004A0123" w:rsidRPr="00640447" w:rsidRDefault="004A0123" w:rsidP="008A5C11">
            <w:pPr>
              <w:jc w:val="center"/>
              <w:rPr>
                <w:sz w:val="13"/>
                <w:szCs w:val="13"/>
              </w:rPr>
            </w:pPr>
            <w:r w:rsidRPr="00640447">
              <w:rPr>
                <w:sz w:val="13"/>
                <w:szCs w:val="13"/>
              </w:rPr>
              <w:t>42057</w:t>
            </w:r>
          </w:p>
        </w:tc>
        <w:tc>
          <w:tcPr>
            <w:tcW w:w="152" w:type="pct"/>
            <w:shd w:val="clear" w:color="auto" w:fill="auto"/>
            <w:vAlign w:val="center"/>
          </w:tcPr>
          <w:p w14:paraId="31BAA9E1" w14:textId="77777777" w:rsidR="004A0123" w:rsidRPr="00640447" w:rsidRDefault="004A0123" w:rsidP="008A5C11">
            <w:pPr>
              <w:jc w:val="center"/>
              <w:rPr>
                <w:sz w:val="13"/>
                <w:szCs w:val="13"/>
              </w:rPr>
            </w:pPr>
            <w:r w:rsidRPr="00640447">
              <w:rPr>
                <w:sz w:val="13"/>
                <w:szCs w:val="13"/>
              </w:rPr>
              <w:t>42057</w:t>
            </w:r>
          </w:p>
        </w:tc>
        <w:tc>
          <w:tcPr>
            <w:tcW w:w="152" w:type="pct"/>
            <w:shd w:val="clear" w:color="auto" w:fill="auto"/>
            <w:tcMar>
              <w:left w:w="28" w:type="dxa"/>
              <w:right w:w="28" w:type="dxa"/>
            </w:tcMar>
            <w:vAlign w:val="center"/>
          </w:tcPr>
          <w:p w14:paraId="6113EA23" w14:textId="77777777" w:rsidR="004A0123" w:rsidRPr="00640447" w:rsidRDefault="004A0123" w:rsidP="008A5C11">
            <w:pPr>
              <w:jc w:val="center"/>
              <w:rPr>
                <w:sz w:val="13"/>
                <w:szCs w:val="13"/>
              </w:rPr>
            </w:pPr>
            <w:r w:rsidRPr="00640447">
              <w:rPr>
                <w:sz w:val="13"/>
                <w:szCs w:val="13"/>
              </w:rPr>
              <w:t>50221</w:t>
            </w:r>
          </w:p>
        </w:tc>
        <w:tc>
          <w:tcPr>
            <w:tcW w:w="152" w:type="pct"/>
            <w:shd w:val="clear" w:color="auto" w:fill="auto"/>
            <w:tcMar>
              <w:left w:w="28" w:type="dxa"/>
              <w:right w:w="28" w:type="dxa"/>
            </w:tcMar>
            <w:vAlign w:val="center"/>
          </w:tcPr>
          <w:p w14:paraId="540A32E8" w14:textId="77777777" w:rsidR="004A0123" w:rsidRPr="00640447" w:rsidRDefault="004A0123" w:rsidP="008A5C11">
            <w:pPr>
              <w:jc w:val="center"/>
              <w:rPr>
                <w:sz w:val="13"/>
                <w:szCs w:val="13"/>
              </w:rPr>
            </w:pPr>
            <w:r w:rsidRPr="00640447">
              <w:rPr>
                <w:sz w:val="13"/>
                <w:szCs w:val="13"/>
              </w:rPr>
              <w:t>50221</w:t>
            </w:r>
          </w:p>
        </w:tc>
        <w:tc>
          <w:tcPr>
            <w:tcW w:w="152" w:type="pct"/>
            <w:shd w:val="clear" w:color="auto" w:fill="auto"/>
            <w:tcMar>
              <w:left w:w="28" w:type="dxa"/>
              <w:right w:w="28" w:type="dxa"/>
            </w:tcMar>
            <w:vAlign w:val="center"/>
          </w:tcPr>
          <w:p w14:paraId="264FC13B" w14:textId="77777777" w:rsidR="004A0123" w:rsidRPr="00640447" w:rsidRDefault="004A0123" w:rsidP="008A5C11">
            <w:pPr>
              <w:jc w:val="center"/>
              <w:rPr>
                <w:sz w:val="13"/>
                <w:szCs w:val="13"/>
              </w:rPr>
            </w:pPr>
            <w:r w:rsidRPr="00640447">
              <w:rPr>
                <w:sz w:val="13"/>
                <w:szCs w:val="13"/>
              </w:rPr>
              <w:t>50221</w:t>
            </w:r>
          </w:p>
        </w:tc>
        <w:tc>
          <w:tcPr>
            <w:tcW w:w="153" w:type="pct"/>
            <w:shd w:val="clear" w:color="auto" w:fill="auto"/>
            <w:tcMar>
              <w:left w:w="28" w:type="dxa"/>
              <w:right w:w="28" w:type="dxa"/>
            </w:tcMar>
            <w:vAlign w:val="center"/>
          </w:tcPr>
          <w:p w14:paraId="5CB4AAD5" w14:textId="77777777" w:rsidR="004A0123" w:rsidRPr="00640447" w:rsidRDefault="004A0123" w:rsidP="008A5C11">
            <w:pPr>
              <w:jc w:val="center"/>
              <w:rPr>
                <w:sz w:val="13"/>
                <w:szCs w:val="13"/>
              </w:rPr>
            </w:pPr>
            <w:r w:rsidRPr="00640447">
              <w:rPr>
                <w:sz w:val="13"/>
                <w:szCs w:val="13"/>
              </w:rPr>
              <w:t>50221</w:t>
            </w:r>
          </w:p>
        </w:tc>
        <w:tc>
          <w:tcPr>
            <w:tcW w:w="152" w:type="pct"/>
            <w:shd w:val="clear" w:color="auto" w:fill="auto"/>
            <w:vAlign w:val="center"/>
          </w:tcPr>
          <w:p w14:paraId="1A0A8246" w14:textId="77777777" w:rsidR="004A0123" w:rsidRPr="00640447" w:rsidRDefault="004A0123" w:rsidP="008A5C11">
            <w:pPr>
              <w:jc w:val="center"/>
              <w:rPr>
                <w:sz w:val="13"/>
                <w:szCs w:val="13"/>
              </w:rPr>
            </w:pPr>
            <w:r w:rsidRPr="00640447">
              <w:rPr>
                <w:sz w:val="13"/>
                <w:szCs w:val="13"/>
              </w:rPr>
              <w:t>50221</w:t>
            </w:r>
          </w:p>
        </w:tc>
      </w:tr>
      <w:tr w:rsidR="004A0123" w:rsidRPr="00640447" w14:paraId="0136D79C" w14:textId="77777777" w:rsidTr="008A5C11">
        <w:trPr>
          <w:trHeight w:val="99"/>
          <w:jc w:val="center"/>
        </w:trPr>
        <w:tc>
          <w:tcPr>
            <w:tcW w:w="104" w:type="pct"/>
            <w:tcMar>
              <w:top w:w="62" w:type="dxa"/>
              <w:left w:w="28" w:type="dxa"/>
              <w:bottom w:w="102" w:type="dxa"/>
              <w:right w:w="28" w:type="dxa"/>
            </w:tcMar>
            <w:vAlign w:val="center"/>
          </w:tcPr>
          <w:p w14:paraId="1A8DC310" w14:textId="77777777" w:rsidR="004A0123" w:rsidRPr="00640447" w:rsidRDefault="004A0123" w:rsidP="008A5C11">
            <w:pPr>
              <w:jc w:val="center"/>
              <w:rPr>
                <w:sz w:val="13"/>
                <w:szCs w:val="13"/>
              </w:rPr>
            </w:pPr>
            <w:r w:rsidRPr="00640447">
              <w:rPr>
                <w:sz w:val="13"/>
                <w:szCs w:val="13"/>
              </w:rPr>
              <w:t>4</w:t>
            </w:r>
          </w:p>
        </w:tc>
        <w:tc>
          <w:tcPr>
            <w:tcW w:w="500" w:type="pct"/>
            <w:tcMar>
              <w:top w:w="62" w:type="dxa"/>
              <w:left w:w="28" w:type="dxa"/>
              <w:bottom w:w="102" w:type="dxa"/>
              <w:right w:w="28" w:type="dxa"/>
            </w:tcMar>
            <w:vAlign w:val="center"/>
          </w:tcPr>
          <w:p w14:paraId="4B80F250" w14:textId="77777777" w:rsidR="004A0123" w:rsidRPr="00640447" w:rsidRDefault="004A0123" w:rsidP="008A5C11">
            <w:pPr>
              <w:jc w:val="center"/>
              <w:rPr>
                <w:sz w:val="13"/>
                <w:szCs w:val="13"/>
              </w:rPr>
            </w:pPr>
            <w:r w:rsidRPr="00640447">
              <w:rPr>
                <w:sz w:val="13"/>
                <w:szCs w:val="13"/>
              </w:rPr>
              <w:t>Котельная «Привокзальная»</w:t>
            </w:r>
          </w:p>
        </w:tc>
        <w:tc>
          <w:tcPr>
            <w:tcW w:w="290" w:type="pct"/>
            <w:shd w:val="clear" w:color="auto" w:fill="auto"/>
            <w:tcMar>
              <w:left w:w="28" w:type="dxa"/>
              <w:right w:w="28" w:type="dxa"/>
            </w:tcMar>
            <w:vAlign w:val="center"/>
          </w:tcPr>
          <w:p w14:paraId="2CDCB510" w14:textId="77777777" w:rsidR="004A0123" w:rsidRPr="00640447" w:rsidRDefault="004A0123" w:rsidP="008A5C11">
            <w:pPr>
              <w:jc w:val="center"/>
              <w:rPr>
                <w:sz w:val="13"/>
                <w:szCs w:val="13"/>
              </w:rPr>
            </w:pPr>
            <w:r w:rsidRPr="00640447">
              <w:rPr>
                <w:sz w:val="13"/>
                <w:szCs w:val="13"/>
              </w:rPr>
              <w:t>20679</w:t>
            </w:r>
          </w:p>
        </w:tc>
        <w:tc>
          <w:tcPr>
            <w:tcW w:w="224" w:type="pct"/>
            <w:shd w:val="clear" w:color="auto" w:fill="auto"/>
            <w:tcMar>
              <w:left w:w="28" w:type="dxa"/>
              <w:right w:w="28" w:type="dxa"/>
            </w:tcMar>
            <w:vAlign w:val="center"/>
          </w:tcPr>
          <w:p w14:paraId="2A1B0406" w14:textId="77777777" w:rsidR="004A0123" w:rsidRPr="00640447" w:rsidRDefault="004A0123" w:rsidP="008A5C11">
            <w:pPr>
              <w:jc w:val="center"/>
              <w:rPr>
                <w:sz w:val="13"/>
                <w:szCs w:val="13"/>
              </w:rPr>
            </w:pPr>
            <w:r w:rsidRPr="00640447">
              <w:rPr>
                <w:sz w:val="13"/>
                <w:szCs w:val="13"/>
              </w:rPr>
              <w:t>20679</w:t>
            </w:r>
          </w:p>
        </w:tc>
        <w:tc>
          <w:tcPr>
            <w:tcW w:w="224" w:type="pct"/>
            <w:shd w:val="clear" w:color="auto" w:fill="auto"/>
            <w:tcMar>
              <w:left w:w="28" w:type="dxa"/>
              <w:right w:w="28" w:type="dxa"/>
            </w:tcMar>
            <w:vAlign w:val="center"/>
          </w:tcPr>
          <w:p w14:paraId="69763285" w14:textId="77777777" w:rsidR="004A0123" w:rsidRPr="00640447" w:rsidRDefault="004A0123" w:rsidP="008A5C11">
            <w:pPr>
              <w:jc w:val="center"/>
              <w:rPr>
                <w:sz w:val="13"/>
                <w:szCs w:val="13"/>
              </w:rPr>
            </w:pPr>
            <w:r w:rsidRPr="00640447">
              <w:rPr>
                <w:sz w:val="13"/>
                <w:szCs w:val="13"/>
              </w:rPr>
              <w:t>20679</w:t>
            </w:r>
          </w:p>
        </w:tc>
        <w:tc>
          <w:tcPr>
            <w:tcW w:w="224" w:type="pct"/>
            <w:shd w:val="clear" w:color="auto" w:fill="auto"/>
            <w:tcMar>
              <w:left w:w="28" w:type="dxa"/>
              <w:right w:w="28" w:type="dxa"/>
            </w:tcMar>
            <w:vAlign w:val="center"/>
          </w:tcPr>
          <w:p w14:paraId="767CF812" w14:textId="77777777" w:rsidR="004A0123" w:rsidRPr="00640447" w:rsidRDefault="004A0123" w:rsidP="008A5C11">
            <w:pPr>
              <w:jc w:val="center"/>
              <w:rPr>
                <w:sz w:val="13"/>
                <w:szCs w:val="13"/>
              </w:rPr>
            </w:pPr>
            <w:r w:rsidRPr="00640447">
              <w:rPr>
                <w:sz w:val="13"/>
                <w:szCs w:val="13"/>
              </w:rPr>
              <w:t>20679</w:t>
            </w:r>
          </w:p>
        </w:tc>
        <w:tc>
          <w:tcPr>
            <w:tcW w:w="224" w:type="pct"/>
            <w:shd w:val="clear" w:color="auto" w:fill="auto"/>
            <w:vAlign w:val="center"/>
          </w:tcPr>
          <w:p w14:paraId="3345CFFD" w14:textId="77777777" w:rsidR="004A0123" w:rsidRPr="00640447" w:rsidRDefault="004A0123" w:rsidP="008A5C11">
            <w:pPr>
              <w:jc w:val="center"/>
              <w:rPr>
                <w:sz w:val="13"/>
                <w:szCs w:val="13"/>
              </w:rPr>
            </w:pPr>
            <w:r w:rsidRPr="00640447">
              <w:rPr>
                <w:sz w:val="13"/>
                <w:szCs w:val="13"/>
              </w:rPr>
              <w:t>20679</w:t>
            </w:r>
          </w:p>
        </w:tc>
        <w:tc>
          <w:tcPr>
            <w:tcW w:w="224" w:type="pct"/>
            <w:shd w:val="clear" w:color="auto" w:fill="auto"/>
            <w:vAlign w:val="center"/>
          </w:tcPr>
          <w:p w14:paraId="1848E3B8" w14:textId="77777777" w:rsidR="004A0123" w:rsidRPr="00640447" w:rsidRDefault="004A0123" w:rsidP="008A5C11">
            <w:pPr>
              <w:jc w:val="center"/>
              <w:rPr>
                <w:sz w:val="13"/>
                <w:szCs w:val="13"/>
              </w:rPr>
            </w:pPr>
            <w:r w:rsidRPr="00640447">
              <w:rPr>
                <w:sz w:val="13"/>
                <w:szCs w:val="13"/>
              </w:rPr>
              <w:t>20679</w:t>
            </w:r>
          </w:p>
        </w:tc>
        <w:tc>
          <w:tcPr>
            <w:tcW w:w="224" w:type="pct"/>
            <w:shd w:val="clear" w:color="auto" w:fill="auto"/>
            <w:tcMar>
              <w:left w:w="28" w:type="dxa"/>
              <w:right w:w="28" w:type="dxa"/>
            </w:tcMar>
            <w:vAlign w:val="center"/>
          </w:tcPr>
          <w:p w14:paraId="3F54D645" w14:textId="77777777" w:rsidR="004A0123" w:rsidRPr="00640447" w:rsidRDefault="004A0123" w:rsidP="008A5C11">
            <w:pPr>
              <w:jc w:val="center"/>
              <w:rPr>
                <w:sz w:val="13"/>
                <w:szCs w:val="13"/>
              </w:rPr>
            </w:pPr>
            <w:r w:rsidRPr="00640447">
              <w:rPr>
                <w:sz w:val="13"/>
                <w:szCs w:val="13"/>
              </w:rPr>
              <w:t>20679</w:t>
            </w:r>
          </w:p>
        </w:tc>
        <w:tc>
          <w:tcPr>
            <w:tcW w:w="224" w:type="pct"/>
            <w:shd w:val="clear" w:color="auto" w:fill="auto"/>
            <w:tcMar>
              <w:left w:w="28" w:type="dxa"/>
              <w:right w:w="28" w:type="dxa"/>
            </w:tcMar>
            <w:vAlign w:val="center"/>
          </w:tcPr>
          <w:p w14:paraId="34ACF965" w14:textId="77777777" w:rsidR="004A0123" w:rsidRPr="00640447" w:rsidRDefault="004A0123" w:rsidP="008A5C11">
            <w:pPr>
              <w:jc w:val="center"/>
              <w:rPr>
                <w:sz w:val="13"/>
                <w:szCs w:val="13"/>
              </w:rPr>
            </w:pPr>
            <w:r w:rsidRPr="00640447">
              <w:rPr>
                <w:sz w:val="13"/>
                <w:szCs w:val="13"/>
              </w:rPr>
              <w:t>20815</w:t>
            </w:r>
          </w:p>
        </w:tc>
        <w:tc>
          <w:tcPr>
            <w:tcW w:w="224" w:type="pct"/>
            <w:shd w:val="clear" w:color="auto" w:fill="auto"/>
            <w:tcMar>
              <w:left w:w="28" w:type="dxa"/>
              <w:right w:w="28" w:type="dxa"/>
            </w:tcMar>
            <w:vAlign w:val="center"/>
          </w:tcPr>
          <w:p w14:paraId="6AE879D8" w14:textId="77777777" w:rsidR="004A0123" w:rsidRPr="00640447" w:rsidRDefault="004A0123" w:rsidP="008A5C11">
            <w:pPr>
              <w:jc w:val="center"/>
              <w:rPr>
                <w:sz w:val="13"/>
                <w:szCs w:val="13"/>
              </w:rPr>
            </w:pPr>
            <w:r w:rsidRPr="00640447">
              <w:rPr>
                <w:sz w:val="13"/>
                <w:szCs w:val="13"/>
              </w:rPr>
              <w:t>20815</w:t>
            </w:r>
          </w:p>
        </w:tc>
        <w:tc>
          <w:tcPr>
            <w:tcW w:w="224" w:type="pct"/>
            <w:shd w:val="clear" w:color="auto" w:fill="auto"/>
            <w:tcMar>
              <w:left w:w="28" w:type="dxa"/>
              <w:right w:w="28" w:type="dxa"/>
            </w:tcMar>
            <w:vAlign w:val="center"/>
          </w:tcPr>
          <w:p w14:paraId="739751B8" w14:textId="77777777" w:rsidR="004A0123" w:rsidRPr="00640447" w:rsidRDefault="004A0123" w:rsidP="008A5C11">
            <w:pPr>
              <w:jc w:val="center"/>
              <w:rPr>
                <w:sz w:val="13"/>
                <w:szCs w:val="13"/>
              </w:rPr>
            </w:pPr>
            <w:r w:rsidRPr="00640447">
              <w:rPr>
                <w:sz w:val="13"/>
                <w:szCs w:val="13"/>
              </w:rPr>
              <w:t>20815</w:t>
            </w:r>
          </w:p>
        </w:tc>
        <w:tc>
          <w:tcPr>
            <w:tcW w:w="224" w:type="pct"/>
            <w:shd w:val="clear" w:color="auto" w:fill="auto"/>
            <w:vAlign w:val="center"/>
          </w:tcPr>
          <w:p w14:paraId="0F270299" w14:textId="77777777" w:rsidR="004A0123" w:rsidRPr="00640447" w:rsidRDefault="004A0123" w:rsidP="008A5C11">
            <w:pPr>
              <w:jc w:val="center"/>
              <w:rPr>
                <w:sz w:val="13"/>
                <w:szCs w:val="13"/>
              </w:rPr>
            </w:pPr>
            <w:r w:rsidRPr="00640447">
              <w:rPr>
                <w:sz w:val="13"/>
                <w:szCs w:val="13"/>
              </w:rPr>
              <w:t>20815</w:t>
            </w:r>
          </w:p>
        </w:tc>
        <w:tc>
          <w:tcPr>
            <w:tcW w:w="337" w:type="pct"/>
            <w:shd w:val="clear" w:color="auto" w:fill="auto"/>
            <w:tcMar>
              <w:left w:w="28" w:type="dxa"/>
              <w:right w:w="28" w:type="dxa"/>
            </w:tcMar>
            <w:vAlign w:val="center"/>
          </w:tcPr>
          <w:p w14:paraId="669B59B5" w14:textId="77777777" w:rsidR="004A0123" w:rsidRPr="00640447" w:rsidRDefault="004A0123" w:rsidP="008A5C11">
            <w:pPr>
              <w:jc w:val="center"/>
              <w:rPr>
                <w:sz w:val="13"/>
                <w:szCs w:val="13"/>
              </w:rPr>
            </w:pPr>
            <w:r w:rsidRPr="00640447">
              <w:rPr>
                <w:sz w:val="13"/>
                <w:szCs w:val="13"/>
              </w:rPr>
              <w:t>32590</w:t>
            </w:r>
          </w:p>
        </w:tc>
        <w:tc>
          <w:tcPr>
            <w:tcW w:w="152" w:type="pct"/>
            <w:shd w:val="clear" w:color="auto" w:fill="auto"/>
            <w:tcMar>
              <w:left w:w="28" w:type="dxa"/>
              <w:right w:w="28" w:type="dxa"/>
            </w:tcMar>
            <w:vAlign w:val="center"/>
          </w:tcPr>
          <w:p w14:paraId="70CD6272" w14:textId="77777777" w:rsidR="004A0123" w:rsidRPr="00640447" w:rsidRDefault="004A0123" w:rsidP="008A5C11">
            <w:pPr>
              <w:jc w:val="center"/>
              <w:rPr>
                <w:sz w:val="13"/>
                <w:szCs w:val="13"/>
              </w:rPr>
            </w:pPr>
            <w:r w:rsidRPr="00640447">
              <w:rPr>
                <w:sz w:val="13"/>
                <w:szCs w:val="13"/>
              </w:rPr>
              <w:t>32590</w:t>
            </w:r>
          </w:p>
        </w:tc>
        <w:tc>
          <w:tcPr>
            <w:tcW w:w="152" w:type="pct"/>
            <w:shd w:val="clear" w:color="auto" w:fill="auto"/>
            <w:tcMar>
              <w:left w:w="28" w:type="dxa"/>
              <w:right w:w="28" w:type="dxa"/>
            </w:tcMar>
            <w:vAlign w:val="center"/>
          </w:tcPr>
          <w:p w14:paraId="1246AC9F" w14:textId="77777777" w:rsidR="004A0123" w:rsidRPr="00640447" w:rsidRDefault="004A0123" w:rsidP="008A5C11">
            <w:pPr>
              <w:jc w:val="center"/>
              <w:rPr>
                <w:sz w:val="13"/>
                <w:szCs w:val="13"/>
              </w:rPr>
            </w:pPr>
            <w:r w:rsidRPr="00640447">
              <w:rPr>
                <w:sz w:val="13"/>
                <w:szCs w:val="13"/>
              </w:rPr>
              <w:t>32590</w:t>
            </w:r>
          </w:p>
        </w:tc>
        <w:tc>
          <w:tcPr>
            <w:tcW w:w="152" w:type="pct"/>
            <w:shd w:val="clear" w:color="auto" w:fill="auto"/>
            <w:tcMar>
              <w:left w:w="28" w:type="dxa"/>
              <w:right w:w="28" w:type="dxa"/>
            </w:tcMar>
            <w:vAlign w:val="center"/>
          </w:tcPr>
          <w:p w14:paraId="3C591752" w14:textId="77777777" w:rsidR="004A0123" w:rsidRPr="00640447" w:rsidRDefault="004A0123" w:rsidP="008A5C11">
            <w:pPr>
              <w:jc w:val="center"/>
              <w:rPr>
                <w:sz w:val="13"/>
                <w:szCs w:val="13"/>
              </w:rPr>
            </w:pPr>
            <w:r w:rsidRPr="00640447">
              <w:rPr>
                <w:sz w:val="13"/>
                <w:szCs w:val="13"/>
              </w:rPr>
              <w:t>32590</w:t>
            </w:r>
          </w:p>
        </w:tc>
        <w:tc>
          <w:tcPr>
            <w:tcW w:w="152" w:type="pct"/>
            <w:shd w:val="clear" w:color="auto" w:fill="auto"/>
            <w:vAlign w:val="center"/>
          </w:tcPr>
          <w:p w14:paraId="40E06A2C" w14:textId="77777777" w:rsidR="004A0123" w:rsidRPr="00640447" w:rsidRDefault="004A0123" w:rsidP="008A5C11">
            <w:pPr>
              <w:jc w:val="center"/>
              <w:rPr>
                <w:sz w:val="13"/>
                <w:szCs w:val="13"/>
              </w:rPr>
            </w:pPr>
            <w:r w:rsidRPr="00640447">
              <w:rPr>
                <w:sz w:val="13"/>
                <w:szCs w:val="13"/>
              </w:rPr>
              <w:t>32590</w:t>
            </w:r>
          </w:p>
        </w:tc>
        <w:tc>
          <w:tcPr>
            <w:tcW w:w="152" w:type="pct"/>
            <w:shd w:val="clear" w:color="auto" w:fill="auto"/>
            <w:vAlign w:val="center"/>
          </w:tcPr>
          <w:p w14:paraId="7C55FB76" w14:textId="77777777" w:rsidR="004A0123" w:rsidRPr="00640447" w:rsidRDefault="004A0123" w:rsidP="008A5C11">
            <w:pPr>
              <w:jc w:val="center"/>
              <w:rPr>
                <w:sz w:val="13"/>
                <w:szCs w:val="13"/>
              </w:rPr>
            </w:pPr>
            <w:r w:rsidRPr="00640447">
              <w:rPr>
                <w:sz w:val="13"/>
                <w:szCs w:val="13"/>
              </w:rPr>
              <w:t>32590</w:t>
            </w:r>
          </w:p>
        </w:tc>
        <w:tc>
          <w:tcPr>
            <w:tcW w:w="152" w:type="pct"/>
            <w:shd w:val="clear" w:color="auto" w:fill="auto"/>
            <w:tcMar>
              <w:left w:w="28" w:type="dxa"/>
              <w:right w:w="28" w:type="dxa"/>
            </w:tcMar>
            <w:vAlign w:val="center"/>
          </w:tcPr>
          <w:p w14:paraId="099CEA23" w14:textId="77777777" w:rsidR="004A0123" w:rsidRPr="00640447" w:rsidRDefault="004A0123" w:rsidP="008A5C11">
            <w:pPr>
              <w:jc w:val="center"/>
              <w:rPr>
                <w:sz w:val="13"/>
                <w:szCs w:val="13"/>
              </w:rPr>
            </w:pPr>
            <w:r w:rsidRPr="00640447">
              <w:rPr>
                <w:sz w:val="13"/>
                <w:szCs w:val="13"/>
              </w:rPr>
              <w:t>32590</w:t>
            </w:r>
          </w:p>
        </w:tc>
        <w:tc>
          <w:tcPr>
            <w:tcW w:w="152" w:type="pct"/>
            <w:shd w:val="clear" w:color="auto" w:fill="auto"/>
            <w:tcMar>
              <w:left w:w="28" w:type="dxa"/>
              <w:right w:w="28" w:type="dxa"/>
            </w:tcMar>
            <w:vAlign w:val="center"/>
          </w:tcPr>
          <w:p w14:paraId="63CEF563" w14:textId="77777777" w:rsidR="004A0123" w:rsidRPr="00640447" w:rsidRDefault="004A0123" w:rsidP="008A5C11">
            <w:pPr>
              <w:jc w:val="center"/>
              <w:rPr>
                <w:sz w:val="13"/>
                <w:szCs w:val="13"/>
              </w:rPr>
            </w:pPr>
            <w:r w:rsidRPr="00640447">
              <w:rPr>
                <w:sz w:val="13"/>
                <w:szCs w:val="13"/>
              </w:rPr>
              <w:t>33206</w:t>
            </w:r>
          </w:p>
        </w:tc>
        <w:tc>
          <w:tcPr>
            <w:tcW w:w="152" w:type="pct"/>
            <w:shd w:val="clear" w:color="auto" w:fill="auto"/>
            <w:tcMar>
              <w:left w:w="28" w:type="dxa"/>
              <w:right w:w="28" w:type="dxa"/>
            </w:tcMar>
            <w:vAlign w:val="center"/>
          </w:tcPr>
          <w:p w14:paraId="15A8CB68" w14:textId="77777777" w:rsidR="004A0123" w:rsidRPr="00640447" w:rsidRDefault="004A0123" w:rsidP="008A5C11">
            <w:pPr>
              <w:jc w:val="center"/>
              <w:rPr>
                <w:sz w:val="13"/>
                <w:szCs w:val="13"/>
              </w:rPr>
            </w:pPr>
            <w:r w:rsidRPr="00640447">
              <w:rPr>
                <w:sz w:val="13"/>
                <w:szCs w:val="13"/>
              </w:rPr>
              <w:t>33206</w:t>
            </w:r>
          </w:p>
        </w:tc>
        <w:tc>
          <w:tcPr>
            <w:tcW w:w="153" w:type="pct"/>
            <w:shd w:val="clear" w:color="auto" w:fill="auto"/>
            <w:tcMar>
              <w:left w:w="28" w:type="dxa"/>
              <w:right w:w="28" w:type="dxa"/>
            </w:tcMar>
            <w:vAlign w:val="center"/>
          </w:tcPr>
          <w:p w14:paraId="0790129A" w14:textId="77777777" w:rsidR="004A0123" w:rsidRPr="00640447" w:rsidRDefault="004A0123" w:rsidP="008A5C11">
            <w:pPr>
              <w:jc w:val="center"/>
              <w:rPr>
                <w:sz w:val="13"/>
                <w:szCs w:val="13"/>
              </w:rPr>
            </w:pPr>
            <w:r w:rsidRPr="00640447">
              <w:rPr>
                <w:sz w:val="13"/>
                <w:szCs w:val="13"/>
              </w:rPr>
              <w:t>33206</w:t>
            </w:r>
          </w:p>
        </w:tc>
        <w:tc>
          <w:tcPr>
            <w:tcW w:w="152" w:type="pct"/>
            <w:shd w:val="clear" w:color="auto" w:fill="auto"/>
            <w:vAlign w:val="center"/>
          </w:tcPr>
          <w:p w14:paraId="3D264BCD" w14:textId="77777777" w:rsidR="004A0123" w:rsidRPr="00640447" w:rsidRDefault="004A0123" w:rsidP="008A5C11">
            <w:pPr>
              <w:jc w:val="center"/>
              <w:rPr>
                <w:sz w:val="13"/>
                <w:szCs w:val="13"/>
              </w:rPr>
            </w:pPr>
            <w:r w:rsidRPr="00640447">
              <w:rPr>
                <w:sz w:val="13"/>
                <w:szCs w:val="13"/>
              </w:rPr>
              <w:t>33206</w:t>
            </w:r>
          </w:p>
        </w:tc>
      </w:tr>
      <w:tr w:rsidR="004A0123" w:rsidRPr="00640447" w14:paraId="34859232" w14:textId="77777777" w:rsidTr="008A5C11">
        <w:trPr>
          <w:trHeight w:val="148"/>
          <w:jc w:val="center"/>
        </w:trPr>
        <w:tc>
          <w:tcPr>
            <w:tcW w:w="104" w:type="pct"/>
            <w:tcMar>
              <w:top w:w="62" w:type="dxa"/>
              <w:left w:w="28" w:type="dxa"/>
              <w:bottom w:w="102" w:type="dxa"/>
              <w:right w:w="28" w:type="dxa"/>
            </w:tcMar>
            <w:vAlign w:val="center"/>
          </w:tcPr>
          <w:p w14:paraId="2FFA30DF" w14:textId="77777777" w:rsidR="004A0123" w:rsidRPr="00640447" w:rsidRDefault="004A0123" w:rsidP="008A5C11">
            <w:pPr>
              <w:jc w:val="center"/>
              <w:rPr>
                <w:sz w:val="13"/>
                <w:szCs w:val="13"/>
              </w:rPr>
            </w:pPr>
            <w:r w:rsidRPr="00640447">
              <w:rPr>
                <w:sz w:val="13"/>
                <w:szCs w:val="13"/>
              </w:rPr>
              <w:t>5</w:t>
            </w:r>
          </w:p>
        </w:tc>
        <w:tc>
          <w:tcPr>
            <w:tcW w:w="500" w:type="pct"/>
            <w:tcMar>
              <w:top w:w="62" w:type="dxa"/>
              <w:left w:w="28" w:type="dxa"/>
              <w:bottom w:w="102" w:type="dxa"/>
              <w:right w:w="28" w:type="dxa"/>
            </w:tcMar>
            <w:vAlign w:val="center"/>
          </w:tcPr>
          <w:p w14:paraId="2C31B381" w14:textId="77777777" w:rsidR="004A0123" w:rsidRPr="00640447" w:rsidRDefault="004A0123" w:rsidP="008A5C11">
            <w:pPr>
              <w:jc w:val="center"/>
              <w:rPr>
                <w:sz w:val="13"/>
                <w:szCs w:val="13"/>
              </w:rPr>
            </w:pPr>
            <w:r w:rsidRPr="00640447">
              <w:rPr>
                <w:sz w:val="13"/>
                <w:szCs w:val="13"/>
              </w:rPr>
              <w:t>Котельная шахты «7-е Ноября»</w:t>
            </w:r>
          </w:p>
        </w:tc>
        <w:tc>
          <w:tcPr>
            <w:tcW w:w="290" w:type="pct"/>
            <w:shd w:val="clear" w:color="auto" w:fill="auto"/>
            <w:tcMar>
              <w:left w:w="28" w:type="dxa"/>
              <w:right w:w="28" w:type="dxa"/>
            </w:tcMar>
            <w:vAlign w:val="center"/>
          </w:tcPr>
          <w:p w14:paraId="09C02EB3" w14:textId="77777777" w:rsidR="004A0123" w:rsidRPr="00640447" w:rsidRDefault="004A0123" w:rsidP="008A5C11">
            <w:pPr>
              <w:jc w:val="center"/>
              <w:rPr>
                <w:sz w:val="13"/>
                <w:szCs w:val="13"/>
              </w:rPr>
            </w:pPr>
            <w:r w:rsidRPr="00640447">
              <w:rPr>
                <w:sz w:val="13"/>
                <w:szCs w:val="13"/>
              </w:rPr>
              <w:t>15215</w:t>
            </w:r>
          </w:p>
        </w:tc>
        <w:tc>
          <w:tcPr>
            <w:tcW w:w="224" w:type="pct"/>
            <w:shd w:val="clear" w:color="auto" w:fill="auto"/>
            <w:tcMar>
              <w:left w:w="28" w:type="dxa"/>
              <w:right w:w="28" w:type="dxa"/>
            </w:tcMar>
            <w:vAlign w:val="center"/>
          </w:tcPr>
          <w:p w14:paraId="2CCC4828" w14:textId="77777777" w:rsidR="004A0123" w:rsidRPr="00640447" w:rsidRDefault="004A0123" w:rsidP="008A5C11">
            <w:pPr>
              <w:jc w:val="center"/>
              <w:rPr>
                <w:sz w:val="13"/>
                <w:szCs w:val="13"/>
              </w:rPr>
            </w:pPr>
            <w:r w:rsidRPr="00640447">
              <w:rPr>
                <w:sz w:val="13"/>
                <w:szCs w:val="13"/>
              </w:rPr>
              <w:t>15215</w:t>
            </w:r>
          </w:p>
        </w:tc>
        <w:tc>
          <w:tcPr>
            <w:tcW w:w="224" w:type="pct"/>
            <w:shd w:val="clear" w:color="auto" w:fill="auto"/>
            <w:tcMar>
              <w:left w:w="28" w:type="dxa"/>
              <w:right w:w="28" w:type="dxa"/>
            </w:tcMar>
            <w:vAlign w:val="center"/>
          </w:tcPr>
          <w:p w14:paraId="33F8EE6D" w14:textId="77777777" w:rsidR="004A0123" w:rsidRPr="00640447" w:rsidRDefault="004A0123" w:rsidP="008A5C11">
            <w:pPr>
              <w:jc w:val="center"/>
              <w:rPr>
                <w:sz w:val="13"/>
                <w:szCs w:val="13"/>
              </w:rPr>
            </w:pPr>
            <w:r w:rsidRPr="00640447">
              <w:rPr>
                <w:sz w:val="13"/>
                <w:szCs w:val="13"/>
              </w:rPr>
              <w:t>15215</w:t>
            </w:r>
          </w:p>
        </w:tc>
        <w:tc>
          <w:tcPr>
            <w:tcW w:w="224" w:type="pct"/>
            <w:shd w:val="clear" w:color="auto" w:fill="auto"/>
            <w:tcMar>
              <w:left w:w="28" w:type="dxa"/>
              <w:right w:w="28" w:type="dxa"/>
            </w:tcMar>
            <w:vAlign w:val="center"/>
          </w:tcPr>
          <w:p w14:paraId="6FDF9D28" w14:textId="77777777" w:rsidR="004A0123" w:rsidRPr="00640447" w:rsidRDefault="004A0123" w:rsidP="008A5C11">
            <w:pPr>
              <w:jc w:val="center"/>
              <w:rPr>
                <w:sz w:val="13"/>
                <w:szCs w:val="13"/>
              </w:rPr>
            </w:pPr>
            <w:r w:rsidRPr="00640447">
              <w:rPr>
                <w:sz w:val="13"/>
                <w:szCs w:val="13"/>
              </w:rPr>
              <w:t>15215</w:t>
            </w:r>
          </w:p>
        </w:tc>
        <w:tc>
          <w:tcPr>
            <w:tcW w:w="224" w:type="pct"/>
            <w:shd w:val="clear" w:color="auto" w:fill="auto"/>
            <w:vAlign w:val="center"/>
          </w:tcPr>
          <w:p w14:paraId="709CE9A6" w14:textId="77777777" w:rsidR="004A0123" w:rsidRPr="00640447" w:rsidRDefault="004A0123" w:rsidP="008A5C11">
            <w:pPr>
              <w:jc w:val="center"/>
              <w:rPr>
                <w:sz w:val="13"/>
                <w:szCs w:val="13"/>
              </w:rPr>
            </w:pPr>
            <w:r w:rsidRPr="00640447">
              <w:rPr>
                <w:sz w:val="13"/>
                <w:szCs w:val="13"/>
              </w:rPr>
              <w:t>15215</w:t>
            </w:r>
          </w:p>
        </w:tc>
        <w:tc>
          <w:tcPr>
            <w:tcW w:w="224" w:type="pct"/>
            <w:shd w:val="clear" w:color="auto" w:fill="auto"/>
            <w:vAlign w:val="center"/>
          </w:tcPr>
          <w:p w14:paraId="4EBC6CEE" w14:textId="77777777" w:rsidR="004A0123" w:rsidRPr="00640447" w:rsidRDefault="004A0123" w:rsidP="008A5C11">
            <w:pPr>
              <w:jc w:val="center"/>
              <w:rPr>
                <w:sz w:val="13"/>
                <w:szCs w:val="13"/>
              </w:rPr>
            </w:pPr>
            <w:r w:rsidRPr="00640447">
              <w:rPr>
                <w:sz w:val="13"/>
                <w:szCs w:val="13"/>
              </w:rPr>
              <w:t>16386</w:t>
            </w:r>
          </w:p>
        </w:tc>
        <w:tc>
          <w:tcPr>
            <w:tcW w:w="224" w:type="pct"/>
            <w:shd w:val="clear" w:color="auto" w:fill="auto"/>
            <w:tcMar>
              <w:left w:w="28" w:type="dxa"/>
              <w:right w:w="28" w:type="dxa"/>
            </w:tcMar>
            <w:vAlign w:val="center"/>
          </w:tcPr>
          <w:p w14:paraId="2DABC865" w14:textId="77777777" w:rsidR="004A0123" w:rsidRPr="00640447" w:rsidRDefault="004A0123" w:rsidP="008A5C11">
            <w:pPr>
              <w:jc w:val="center"/>
              <w:rPr>
                <w:sz w:val="13"/>
                <w:szCs w:val="13"/>
              </w:rPr>
            </w:pPr>
            <w:r w:rsidRPr="00640447">
              <w:rPr>
                <w:sz w:val="13"/>
                <w:szCs w:val="13"/>
              </w:rPr>
              <w:t>16386</w:t>
            </w:r>
          </w:p>
        </w:tc>
        <w:tc>
          <w:tcPr>
            <w:tcW w:w="224" w:type="pct"/>
            <w:shd w:val="clear" w:color="auto" w:fill="auto"/>
            <w:tcMar>
              <w:left w:w="28" w:type="dxa"/>
              <w:right w:w="28" w:type="dxa"/>
            </w:tcMar>
            <w:vAlign w:val="center"/>
          </w:tcPr>
          <w:p w14:paraId="32338DAE" w14:textId="77777777" w:rsidR="004A0123" w:rsidRPr="00640447" w:rsidRDefault="004A0123" w:rsidP="008A5C11">
            <w:pPr>
              <w:jc w:val="center"/>
              <w:rPr>
                <w:sz w:val="13"/>
                <w:szCs w:val="13"/>
              </w:rPr>
            </w:pPr>
            <w:r w:rsidRPr="00640447">
              <w:rPr>
                <w:sz w:val="13"/>
                <w:szCs w:val="13"/>
              </w:rPr>
              <w:t>16386</w:t>
            </w:r>
          </w:p>
        </w:tc>
        <w:tc>
          <w:tcPr>
            <w:tcW w:w="224" w:type="pct"/>
            <w:shd w:val="clear" w:color="auto" w:fill="auto"/>
            <w:tcMar>
              <w:left w:w="28" w:type="dxa"/>
              <w:right w:w="28" w:type="dxa"/>
            </w:tcMar>
            <w:vAlign w:val="center"/>
          </w:tcPr>
          <w:p w14:paraId="7ECF0E85" w14:textId="77777777" w:rsidR="004A0123" w:rsidRPr="00640447" w:rsidRDefault="004A0123" w:rsidP="008A5C11">
            <w:pPr>
              <w:jc w:val="center"/>
              <w:rPr>
                <w:sz w:val="13"/>
                <w:szCs w:val="13"/>
              </w:rPr>
            </w:pPr>
            <w:r w:rsidRPr="00640447">
              <w:rPr>
                <w:sz w:val="13"/>
                <w:szCs w:val="13"/>
              </w:rPr>
              <w:t>16386</w:t>
            </w:r>
          </w:p>
        </w:tc>
        <w:tc>
          <w:tcPr>
            <w:tcW w:w="224" w:type="pct"/>
            <w:shd w:val="clear" w:color="auto" w:fill="auto"/>
            <w:tcMar>
              <w:left w:w="28" w:type="dxa"/>
              <w:right w:w="28" w:type="dxa"/>
            </w:tcMar>
            <w:vAlign w:val="center"/>
          </w:tcPr>
          <w:p w14:paraId="686CFB00" w14:textId="77777777" w:rsidR="004A0123" w:rsidRPr="00640447" w:rsidRDefault="004A0123" w:rsidP="008A5C11">
            <w:pPr>
              <w:jc w:val="center"/>
              <w:rPr>
                <w:sz w:val="13"/>
                <w:szCs w:val="13"/>
              </w:rPr>
            </w:pPr>
            <w:r w:rsidRPr="00640447">
              <w:rPr>
                <w:sz w:val="13"/>
                <w:szCs w:val="13"/>
              </w:rPr>
              <w:t>16386</w:t>
            </w:r>
          </w:p>
        </w:tc>
        <w:tc>
          <w:tcPr>
            <w:tcW w:w="224" w:type="pct"/>
            <w:shd w:val="clear" w:color="auto" w:fill="auto"/>
            <w:vAlign w:val="center"/>
          </w:tcPr>
          <w:p w14:paraId="37E6246A" w14:textId="77777777" w:rsidR="004A0123" w:rsidRPr="00640447" w:rsidRDefault="004A0123" w:rsidP="008A5C11">
            <w:pPr>
              <w:jc w:val="center"/>
              <w:rPr>
                <w:sz w:val="13"/>
                <w:szCs w:val="13"/>
              </w:rPr>
            </w:pPr>
            <w:r w:rsidRPr="00640447">
              <w:rPr>
                <w:sz w:val="13"/>
                <w:szCs w:val="13"/>
              </w:rPr>
              <w:t>16386</w:t>
            </w:r>
          </w:p>
        </w:tc>
        <w:tc>
          <w:tcPr>
            <w:tcW w:w="337" w:type="pct"/>
            <w:shd w:val="clear" w:color="auto" w:fill="auto"/>
            <w:tcMar>
              <w:left w:w="28" w:type="dxa"/>
              <w:right w:w="28" w:type="dxa"/>
            </w:tcMar>
            <w:vAlign w:val="center"/>
          </w:tcPr>
          <w:p w14:paraId="130FC230" w14:textId="77777777" w:rsidR="004A0123" w:rsidRPr="00640447" w:rsidRDefault="004A0123" w:rsidP="008A5C11">
            <w:pPr>
              <w:jc w:val="center"/>
              <w:rPr>
                <w:sz w:val="13"/>
                <w:szCs w:val="13"/>
              </w:rPr>
            </w:pPr>
            <w:r w:rsidRPr="00640447">
              <w:rPr>
                <w:sz w:val="13"/>
                <w:szCs w:val="13"/>
              </w:rPr>
              <w:t>21398</w:t>
            </w:r>
          </w:p>
        </w:tc>
        <w:tc>
          <w:tcPr>
            <w:tcW w:w="152" w:type="pct"/>
            <w:shd w:val="clear" w:color="auto" w:fill="auto"/>
            <w:tcMar>
              <w:left w:w="28" w:type="dxa"/>
              <w:right w:w="28" w:type="dxa"/>
            </w:tcMar>
            <w:vAlign w:val="center"/>
          </w:tcPr>
          <w:p w14:paraId="5E997072" w14:textId="77777777" w:rsidR="004A0123" w:rsidRPr="00640447" w:rsidRDefault="004A0123" w:rsidP="008A5C11">
            <w:pPr>
              <w:jc w:val="center"/>
              <w:rPr>
                <w:sz w:val="13"/>
                <w:szCs w:val="13"/>
              </w:rPr>
            </w:pPr>
            <w:r w:rsidRPr="00640447">
              <w:rPr>
                <w:sz w:val="13"/>
                <w:szCs w:val="13"/>
              </w:rPr>
              <w:t>21398</w:t>
            </w:r>
          </w:p>
        </w:tc>
        <w:tc>
          <w:tcPr>
            <w:tcW w:w="152" w:type="pct"/>
            <w:shd w:val="clear" w:color="auto" w:fill="auto"/>
            <w:tcMar>
              <w:left w:w="28" w:type="dxa"/>
              <w:right w:w="28" w:type="dxa"/>
            </w:tcMar>
            <w:vAlign w:val="center"/>
          </w:tcPr>
          <w:p w14:paraId="3F7BAA6B" w14:textId="77777777" w:rsidR="004A0123" w:rsidRPr="00640447" w:rsidRDefault="004A0123" w:rsidP="008A5C11">
            <w:pPr>
              <w:jc w:val="center"/>
              <w:rPr>
                <w:sz w:val="13"/>
                <w:szCs w:val="13"/>
              </w:rPr>
            </w:pPr>
            <w:r w:rsidRPr="00640447">
              <w:rPr>
                <w:sz w:val="13"/>
                <w:szCs w:val="13"/>
              </w:rPr>
              <w:t>21398</w:t>
            </w:r>
          </w:p>
        </w:tc>
        <w:tc>
          <w:tcPr>
            <w:tcW w:w="152" w:type="pct"/>
            <w:shd w:val="clear" w:color="auto" w:fill="auto"/>
            <w:tcMar>
              <w:left w:w="28" w:type="dxa"/>
              <w:right w:w="28" w:type="dxa"/>
            </w:tcMar>
            <w:vAlign w:val="center"/>
          </w:tcPr>
          <w:p w14:paraId="06459F05" w14:textId="77777777" w:rsidR="004A0123" w:rsidRPr="00640447" w:rsidRDefault="004A0123" w:rsidP="008A5C11">
            <w:pPr>
              <w:jc w:val="center"/>
              <w:rPr>
                <w:sz w:val="13"/>
                <w:szCs w:val="13"/>
              </w:rPr>
            </w:pPr>
            <w:r w:rsidRPr="00640447">
              <w:rPr>
                <w:sz w:val="13"/>
                <w:szCs w:val="13"/>
              </w:rPr>
              <w:t>21398</w:t>
            </w:r>
          </w:p>
        </w:tc>
        <w:tc>
          <w:tcPr>
            <w:tcW w:w="152" w:type="pct"/>
            <w:shd w:val="clear" w:color="auto" w:fill="auto"/>
            <w:vAlign w:val="center"/>
          </w:tcPr>
          <w:p w14:paraId="37F2359E" w14:textId="77777777" w:rsidR="004A0123" w:rsidRPr="00640447" w:rsidRDefault="004A0123" w:rsidP="008A5C11">
            <w:pPr>
              <w:jc w:val="center"/>
              <w:rPr>
                <w:sz w:val="13"/>
                <w:szCs w:val="13"/>
              </w:rPr>
            </w:pPr>
            <w:r w:rsidRPr="00640447">
              <w:rPr>
                <w:sz w:val="13"/>
                <w:szCs w:val="13"/>
              </w:rPr>
              <w:t>21398</w:t>
            </w:r>
          </w:p>
        </w:tc>
        <w:tc>
          <w:tcPr>
            <w:tcW w:w="152" w:type="pct"/>
            <w:shd w:val="clear" w:color="auto" w:fill="auto"/>
            <w:vAlign w:val="center"/>
          </w:tcPr>
          <w:p w14:paraId="61FFCE15" w14:textId="77777777" w:rsidR="004A0123" w:rsidRPr="00640447" w:rsidRDefault="004A0123" w:rsidP="008A5C11">
            <w:pPr>
              <w:jc w:val="center"/>
              <w:rPr>
                <w:sz w:val="13"/>
                <w:szCs w:val="13"/>
              </w:rPr>
            </w:pPr>
            <w:r w:rsidRPr="00640447">
              <w:rPr>
                <w:sz w:val="13"/>
                <w:szCs w:val="13"/>
              </w:rPr>
              <w:t>23329</w:t>
            </w:r>
          </w:p>
        </w:tc>
        <w:tc>
          <w:tcPr>
            <w:tcW w:w="152" w:type="pct"/>
            <w:shd w:val="clear" w:color="auto" w:fill="auto"/>
            <w:tcMar>
              <w:left w:w="28" w:type="dxa"/>
              <w:right w:w="28" w:type="dxa"/>
            </w:tcMar>
            <w:vAlign w:val="center"/>
          </w:tcPr>
          <w:p w14:paraId="2D91D3BF" w14:textId="77777777" w:rsidR="004A0123" w:rsidRPr="00640447" w:rsidRDefault="004A0123" w:rsidP="008A5C11">
            <w:pPr>
              <w:jc w:val="center"/>
              <w:rPr>
                <w:sz w:val="13"/>
                <w:szCs w:val="13"/>
              </w:rPr>
            </w:pPr>
            <w:r w:rsidRPr="00640447">
              <w:rPr>
                <w:sz w:val="13"/>
                <w:szCs w:val="13"/>
              </w:rPr>
              <w:t>23329</w:t>
            </w:r>
          </w:p>
        </w:tc>
        <w:tc>
          <w:tcPr>
            <w:tcW w:w="152" w:type="pct"/>
            <w:shd w:val="clear" w:color="auto" w:fill="auto"/>
            <w:tcMar>
              <w:left w:w="28" w:type="dxa"/>
              <w:right w:w="28" w:type="dxa"/>
            </w:tcMar>
            <w:vAlign w:val="center"/>
          </w:tcPr>
          <w:p w14:paraId="4E75113D" w14:textId="77777777" w:rsidR="004A0123" w:rsidRPr="00640447" w:rsidRDefault="004A0123" w:rsidP="008A5C11">
            <w:pPr>
              <w:jc w:val="center"/>
              <w:rPr>
                <w:sz w:val="13"/>
                <w:szCs w:val="13"/>
              </w:rPr>
            </w:pPr>
            <w:r w:rsidRPr="00640447">
              <w:rPr>
                <w:sz w:val="13"/>
                <w:szCs w:val="13"/>
              </w:rPr>
              <w:t>23329</w:t>
            </w:r>
          </w:p>
        </w:tc>
        <w:tc>
          <w:tcPr>
            <w:tcW w:w="152" w:type="pct"/>
            <w:shd w:val="clear" w:color="auto" w:fill="auto"/>
            <w:tcMar>
              <w:left w:w="28" w:type="dxa"/>
              <w:right w:w="28" w:type="dxa"/>
            </w:tcMar>
            <w:vAlign w:val="center"/>
          </w:tcPr>
          <w:p w14:paraId="7C233C9B" w14:textId="77777777" w:rsidR="004A0123" w:rsidRPr="00640447" w:rsidRDefault="004A0123" w:rsidP="008A5C11">
            <w:pPr>
              <w:jc w:val="center"/>
              <w:rPr>
                <w:sz w:val="13"/>
                <w:szCs w:val="13"/>
              </w:rPr>
            </w:pPr>
            <w:r w:rsidRPr="00640447">
              <w:rPr>
                <w:sz w:val="13"/>
                <w:szCs w:val="13"/>
              </w:rPr>
              <w:t>23329</w:t>
            </w:r>
          </w:p>
        </w:tc>
        <w:tc>
          <w:tcPr>
            <w:tcW w:w="153" w:type="pct"/>
            <w:shd w:val="clear" w:color="auto" w:fill="auto"/>
            <w:tcMar>
              <w:left w:w="28" w:type="dxa"/>
              <w:right w:w="28" w:type="dxa"/>
            </w:tcMar>
            <w:vAlign w:val="center"/>
          </w:tcPr>
          <w:p w14:paraId="6ED8F247" w14:textId="77777777" w:rsidR="004A0123" w:rsidRPr="00640447" w:rsidRDefault="004A0123" w:rsidP="008A5C11">
            <w:pPr>
              <w:jc w:val="center"/>
              <w:rPr>
                <w:sz w:val="13"/>
                <w:szCs w:val="13"/>
              </w:rPr>
            </w:pPr>
            <w:r w:rsidRPr="00640447">
              <w:rPr>
                <w:sz w:val="13"/>
                <w:szCs w:val="13"/>
              </w:rPr>
              <w:t>23329</w:t>
            </w:r>
          </w:p>
        </w:tc>
        <w:tc>
          <w:tcPr>
            <w:tcW w:w="152" w:type="pct"/>
            <w:shd w:val="clear" w:color="auto" w:fill="auto"/>
            <w:vAlign w:val="center"/>
          </w:tcPr>
          <w:p w14:paraId="13D38442" w14:textId="77777777" w:rsidR="004A0123" w:rsidRPr="00640447" w:rsidRDefault="004A0123" w:rsidP="008A5C11">
            <w:pPr>
              <w:jc w:val="center"/>
              <w:rPr>
                <w:sz w:val="13"/>
                <w:szCs w:val="13"/>
              </w:rPr>
            </w:pPr>
            <w:r w:rsidRPr="00640447">
              <w:rPr>
                <w:sz w:val="13"/>
                <w:szCs w:val="13"/>
              </w:rPr>
              <w:t>23329</w:t>
            </w:r>
          </w:p>
        </w:tc>
      </w:tr>
      <w:tr w:rsidR="004A0123" w:rsidRPr="00640447" w14:paraId="372158BA" w14:textId="77777777" w:rsidTr="008A5C11">
        <w:trPr>
          <w:trHeight w:val="148"/>
          <w:jc w:val="center"/>
        </w:trPr>
        <w:tc>
          <w:tcPr>
            <w:tcW w:w="104" w:type="pct"/>
            <w:tcMar>
              <w:top w:w="62" w:type="dxa"/>
              <w:left w:w="28" w:type="dxa"/>
              <w:bottom w:w="102" w:type="dxa"/>
              <w:right w:w="28" w:type="dxa"/>
            </w:tcMar>
            <w:vAlign w:val="center"/>
          </w:tcPr>
          <w:p w14:paraId="0346672D" w14:textId="77777777" w:rsidR="004A0123" w:rsidRPr="00640447" w:rsidRDefault="004A0123" w:rsidP="008A5C11">
            <w:pPr>
              <w:jc w:val="center"/>
              <w:rPr>
                <w:sz w:val="13"/>
                <w:szCs w:val="13"/>
              </w:rPr>
            </w:pPr>
            <w:r w:rsidRPr="00640447">
              <w:rPr>
                <w:sz w:val="13"/>
                <w:szCs w:val="13"/>
              </w:rPr>
              <w:t>6</w:t>
            </w:r>
          </w:p>
        </w:tc>
        <w:tc>
          <w:tcPr>
            <w:tcW w:w="500" w:type="pct"/>
            <w:tcMar>
              <w:top w:w="62" w:type="dxa"/>
              <w:left w:w="28" w:type="dxa"/>
              <w:bottom w:w="102" w:type="dxa"/>
              <w:right w:w="28" w:type="dxa"/>
            </w:tcMar>
            <w:vAlign w:val="center"/>
          </w:tcPr>
          <w:p w14:paraId="3EF0E91D" w14:textId="77777777" w:rsidR="004A0123" w:rsidRPr="00640447" w:rsidRDefault="004A0123" w:rsidP="008A5C11">
            <w:pPr>
              <w:jc w:val="center"/>
              <w:rPr>
                <w:sz w:val="13"/>
                <w:szCs w:val="13"/>
              </w:rPr>
            </w:pPr>
            <w:r w:rsidRPr="00640447">
              <w:rPr>
                <w:sz w:val="13"/>
                <w:szCs w:val="13"/>
              </w:rPr>
              <w:t>Котельная № 5</w:t>
            </w:r>
          </w:p>
        </w:tc>
        <w:tc>
          <w:tcPr>
            <w:tcW w:w="290" w:type="pct"/>
            <w:shd w:val="clear" w:color="auto" w:fill="auto"/>
            <w:tcMar>
              <w:left w:w="28" w:type="dxa"/>
              <w:right w:w="28" w:type="dxa"/>
            </w:tcMar>
            <w:vAlign w:val="center"/>
          </w:tcPr>
          <w:p w14:paraId="3B2BC71E" w14:textId="77777777" w:rsidR="004A0123" w:rsidRPr="00640447" w:rsidRDefault="004A0123" w:rsidP="008A5C11">
            <w:pPr>
              <w:jc w:val="center"/>
              <w:rPr>
                <w:sz w:val="13"/>
                <w:szCs w:val="13"/>
              </w:rPr>
            </w:pPr>
            <w:r w:rsidRPr="00640447">
              <w:rPr>
                <w:sz w:val="13"/>
                <w:szCs w:val="13"/>
              </w:rPr>
              <w:t>1747</w:t>
            </w:r>
          </w:p>
        </w:tc>
        <w:tc>
          <w:tcPr>
            <w:tcW w:w="224" w:type="pct"/>
            <w:shd w:val="clear" w:color="auto" w:fill="auto"/>
            <w:tcMar>
              <w:left w:w="28" w:type="dxa"/>
              <w:right w:w="28" w:type="dxa"/>
            </w:tcMar>
            <w:vAlign w:val="center"/>
          </w:tcPr>
          <w:p w14:paraId="1982A29E" w14:textId="77777777" w:rsidR="004A0123" w:rsidRPr="00640447" w:rsidRDefault="004A0123" w:rsidP="008A5C11">
            <w:pPr>
              <w:jc w:val="center"/>
              <w:rPr>
                <w:sz w:val="13"/>
                <w:szCs w:val="13"/>
              </w:rPr>
            </w:pPr>
            <w:r w:rsidRPr="00640447">
              <w:rPr>
                <w:sz w:val="13"/>
                <w:szCs w:val="13"/>
              </w:rPr>
              <w:t>1747</w:t>
            </w:r>
          </w:p>
        </w:tc>
        <w:tc>
          <w:tcPr>
            <w:tcW w:w="224" w:type="pct"/>
            <w:shd w:val="clear" w:color="auto" w:fill="auto"/>
            <w:tcMar>
              <w:left w:w="28" w:type="dxa"/>
              <w:right w:w="28" w:type="dxa"/>
            </w:tcMar>
            <w:vAlign w:val="center"/>
          </w:tcPr>
          <w:p w14:paraId="43A53D46" w14:textId="77777777" w:rsidR="004A0123" w:rsidRPr="00640447" w:rsidRDefault="004A0123" w:rsidP="008A5C11">
            <w:pPr>
              <w:jc w:val="center"/>
              <w:rPr>
                <w:sz w:val="13"/>
                <w:szCs w:val="13"/>
              </w:rPr>
            </w:pPr>
            <w:r w:rsidRPr="00640447">
              <w:rPr>
                <w:sz w:val="13"/>
                <w:szCs w:val="13"/>
              </w:rPr>
              <w:t>1747</w:t>
            </w:r>
          </w:p>
        </w:tc>
        <w:tc>
          <w:tcPr>
            <w:tcW w:w="224" w:type="pct"/>
            <w:shd w:val="clear" w:color="auto" w:fill="auto"/>
            <w:tcMar>
              <w:left w:w="28" w:type="dxa"/>
              <w:right w:w="28" w:type="dxa"/>
            </w:tcMar>
            <w:vAlign w:val="center"/>
          </w:tcPr>
          <w:p w14:paraId="352C70E9" w14:textId="77777777" w:rsidR="004A0123" w:rsidRPr="00640447" w:rsidRDefault="004A0123" w:rsidP="008A5C11">
            <w:pPr>
              <w:jc w:val="center"/>
              <w:rPr>
                <w:sz w:val="13"/>
                <w:szCs w:val="13"/>
              </w:rPr>
            </w:pPr>
            <w:r w:rsidRPr="00640447">
              <w:rPr>
                <w:sz w:val="13"/>
                <w:szCs w:val="13"/>
              </w:rPr>
              <w:t>1747</w:t>
            </w:r>
          </w:p>
        </w:tc>
        <w:tc>
          <w:tcPr>
            <w:tcW w:w="224" w:type="pct"/>
            <w:shd w:val="clear" w:color="auto" w:fill="auto"/>
            <w:vAlign w:val="center"/>
          </w:tcPr>
          <w:p w14:paraId="04F46341" w14:textId="77777777" w:rsidR="004A0123" w:rsidRPr="00640447" w:rsidRDefault="004A0123" w:rsidP="008A5C11">
            <w:pPr>
              <w:jc w:val="center"/>
              <w:rPr>
                <w:sz w:val="13"/>
                <w:szCs w:val="13"/>
              </w:rPr>
            </w:pPr>
            <w:r w:rsidRPr="00640447">
              <w:rPr>
                <w:sz w:val="13"/>
                <w:szCs w:val="13"/>
              </w:rPr>
              <w:t>1747</w:t>
            </w:r>
          </w:p>
        </w:tc>
        <w:tc>
          <w:tcPr>
            <w:tcW w:w="224" w:type="pct"/>
            <w:shd w:val="clear" w:color="auto" w:fill="auto"/>
            <w:vAlign w:val="center"/>
          </w:tcPr>
          <w:p w14:paraId="2E906877" w14:textId="77777777" w:rsidR="004A0123" w:rsidRPr="00640447" w:rsidRDefault="004A0123" w:rsidP="008A5C11">
            <w:pPr>
              <w:jc w:val="center"/>
              <w:rPr>
                <w:sz w:val="13"/>
                <w:szCs w:val="13"/>
              </w:rPr>
            </w:pPr>
            <w:r w:rsidRPr="00640447">
              <w:rPr>
                <w:sz w:val="13"/>
                <w:szCs w:val="13"/>
              </w:rPr>
              <w:t>1747</w:t>
            </w:r>
          </w:p>
        </w:tc>
        <w:tc>
          <w:tcPr>
            <w:tcW w:w="224" w:type="pct"/>
            <w:shd w:val="clear" w:color="auto" w:fill="auto"/>
            <w:tcMar>
              <w:left w:w="28" w:type="dxa"/>
              <w:right w:w="28" w:type="dxa"/>
            </w:tcMar>
            <w:vAlign w:val="center"/>
          </w:tcPr>
          <w:p w14:paraId="75046B61" w14:textId="77777777" w:rsidR="004A0123" w:rsidRPr="00640447" w:rsidRDefault="004A0123" w:rsidP="008A5C11">
            <w:pPr>
              <w:jc w:val="center"/>
              <w:rPr>
                <w:sz w:val="13"/>
                <w:szCs w:val="13"/>
              </w:rPr>
            </w:pPr>
            <w:r w:rsidRPr="00640447">
              <w:rPr>
                <w:sz w:val="13"/>
                <w:szCs w:val="13"/>
              </w:rPr>
              <w:t>1747</w:t>
            </w:r>
          </w:p>
        </w:tc>
        <w:tc>
          <w:tcPr>
            <w:tcW w:w="224" w:type="pct"/>
            <w:shd w:val="clear" w:color="auto" w:fill="auto"/>
            <w:tcMar>
              <w:left w:w="28" w:type="dxa"/>
              <w:right w:w="28" w:type="dxa"/>
            </w:tcMar>
            <w:vAlign w:val="center"/>
          </w:tcPr>
          <w:p w14:paraId="45985363" w14:textId="77777777" w:rsidR="004A0123" w:rsidRPr="00640447" w:rsidRDefault="004A0123" w:rsidP="008A5C11">
            <w:pPr>
              <w:jc w:val="center"/>
              <w:rPr>
                <w:sz w:val="13"/>
                <w:szCs w:val="13"/>
              </w:rPr>
            </w:pPr>
            <w:r w:rsidRPr="00640447">
              <w:rPr>
                <w:sz w:val="13"/>
                <w:szCs w:val="13"/>
              </w:rPr>
              <w:t>1747</w:t>
            </w:r>
          </w:p>
        </w:tc>
        <w:tc>
          <w:tcPr>
            <w:tcW w:w="224" w:type="pct"/>
            <w:shd w:val="clear" w:color="auto" w:fill="auto"/>
            <w:tcMar>
              <w:left w:w="28" w:type="dxa"/>
              <w:right w:w="28" w:type="dxa"/>
            </w:tcMar>
            <w:vAlign w:val="center"/>
          </w:tcPr>
          <w:p w14:paraId="7FC3CD36" w14:textId="77777777" w:rsidR="004A0123" w:rsidRPr="00640447" w:rsidRDefault="004A0123" w:rsidP="008A5C11">
            <w:pPr>
              <w:jc w:val="center"/>
              <w:rPr>
                <w:sz w:val="13"/>
                <w:szCs w:val="13"/>
              </w:rPr>
            </w:pPr>
            <w:r w:rsidRPr="00640447">
              <w:rPr>
                <w:sz w:val="13"/>
                <w:szCs w:val="13"/>
              </w:rPr>
              <w:t>1747</w:t>
            </w:r>
          </w:p>
        </w:tc>
        <w:tc>
          <w:tcPr>
            <w:tcW w:w="224" w:type="pct"/>
            <w:shd w:val="clear" w:color="auto" w:fill="auto"/>
            <w:tcMar>
              <w:left w:w="28" w:type="dxa"/>
              <w:right w:w="28" w:type="dxa"/>
            </w:tcMar>
            <w:vAlign w:val="center"/>
          </w:tcPr>
          <w:p w14:paraId="15A47F10" w14:textId="77777777" w:rsidR="004A0123" w:rsidRPr="00640447" w:rsidRDefault="004A0123" w:rsidP="008A5C11">
            <w:pPr>
              <w:jc w:val="center"/>
              <w:rPr>
                <w:sz w:val="13"/>
                <w:szCs w:val="13"/>
              </w:rPr>
            </w:pPr>
            <w:r w:rsidRPr="00640447">
              <w:rPr>
                <w:sz w:val="13"/>
                <w:szCs w:val="13"/>
              </w:rPr>
              <w:t>1747</w:t>
            </w:r>
          </w:p>
        </w:tc>
        <w:tc>
          <w:tcPr>
            <w:tcW w:w="224" w:type="pct"/>
            <w:shd w:val="clear" w:color="auto" w:fill="auto"/>
            <w:vAlign w:val="center"/>
          </w:tcPr>
          <w:p w14:paraId="62AB58C2" w14:textId="77777777" w:rsidR="004A0123" w:rsidRPr="00640447" w:rsidRDefault="004A0123" w:rsidP="008A5C11">
            <w:pPr>
              <w:jc w:val="center"/>
              <w:rPr>
                <w:sz w:val="13"/>
                <w:szCs w:val="13"/>
              </w:rPr>
            </w:pPr>
            <w:r w:rsidRPr="00640447">
              <w:rPr>
                <w:sz w:val="13"/>
                <w:szCs w:val="13"/>
              </w:rPr>
              <w:t>1747</w:t>
            </w:r>
          </w:p>
        </w:tc>
        <w:tc>
          <w:tcPr>
            <w:tcW w:w="337" w:type="pct"/>
            <w:shd w:val="clear" w:color="auto" w:fill="auto"/>
            <w:tcMar>
              <w:left w:w="28" w:type="dxa"/>
              <w:right w:w="28" w:type="dxa"/>
            </w:tcMar>
            <w:vAlign w:val="center"/>
          </w:tcPr>
          <w:p w14:paraId="62790369" w14:textId="77777777" w:rsidR="004A0123" w:rsidRPr="00640447" w:rsidRDefault="004A0123" w:rsidP="008A5C11">
            <w:pPr>
              <w:jc w:val="center"/>
              <w:rPr>
                <w:sz w:val="13"/>
                <w:szCs w:val="13"/>
              </w:rPr>
            </w:pPr>
            <w:r w:rsidRPr="00640447">
              <w:rPr>
                <w:sz w:val="13"/>
                <w:szCs w:val="13"/>
              </w:rPr>
              <w:t>1531</w:t>
            </w:r>
          </w:p>
        </w:tc>
        <w:tc>
          <w:tcPr>
            <w:tcW w:w="152" w:type="pct"/>
            <w:shd w:val="clear" w:color="auto" w:fill="auto"/>
            <w:tcMar>
              <w:left w:w="28" w:type="dxa"/>
              <w:right w:w="28" w:type="dxa"/>
            </w:tcMar>
            <w:vAlign w:val="center"/>
          </w:tcPr>
          <w:p w14:paraId="5784B36D" w14:textId="77777777" w:rsidR="004A0123" w:rsidRPr="00640447" w:rsidRDefault="004A0123" w:rsidP="008A5C11">
            <w:pPr>
              <w:jc w:val="center"/>
              <w:rPr>
                <w:sz w:val="13"/>
                <w:szCs w:val="13"/>
              </w:rPr>
            </w:pPr>
            <w:r w:rsidRPr="00640447">
              <w:rPr>
                <w:sz w:val="13"/>
                <w:szCs w:val="13"/>
              </w:rPr>
              <w:t>1531</w:t>
            </w:r>
          </w:p>
        </w:tc>
        <w:tc>
          <w:tcPr>
            <w:tcW w:w="152" w:type="pct"/>
            <w:shd w:val="clear" w:color="auto" w:fill="auto"/>
            <w:tcMar>
              <w:left w:w="28" w:type="dxa"/>
              <w:right w:w="28" w:type="dxa"/>
            </w:tcMar>
            <w:vAlign w:val="center"/>
          </w:tcPr>
          <w:p w14:paraId="18E44619" w14:textId="77777777" w:rsidR="004A0123" w:rsidRPr="00640447" w:rsidRDefault="004A0123" w:rsidP="008A5C11">
            <w:pPr>
              <w:jc w:val="center"/>
              <w:rPr>
                <w:sz w:val="13"/>
                <w:szCs w:val="13"/>
              </w:rPr>
            </w:pPr>
            <w:r w:rsidRPr="00640447">
              <w:rPr>
                <w:sz w:val="13"/>
                <w:szCs w:val="13"/>
              </w:rPr>
              <w:t>1531</w:t>
            </w:r>
          </w:p>
        </w:tc>
        <w:tc>
          <w:tcPr>
            <w:tcW w:w="152" w:type="pct"/>
            <w:shd w:val="clear" w:color="auto" w:fill="auto"/>
            <w:tcMar>
              <w:left w:w="28" w:type="dxa"/>
              <w:right w:w="28" w:type="dxa"/>
            </w:tcMar>
            <w:vAlign w:val="center"/>
          </w:tcPr>
          <w:p w14:paraId="0861FD55" w14:textId="77777777" w:rsidR="004A0123" w:rsidRPr="00640447" w:rsidRDefault="004A0123" w:rsidP="008A5C11">
            <w:pPr>
              <w:jc w:val="center"/>
              <w:rPr>
                <w:sz w:val="13"/>
                <w:szCs w:val="13"/>
              </w:rPr>
            </w:pPr>
            <w:r w:rsidRPr="00640447">
              <w:rPr>
                <w:sz w:val="13"/>
                <w:szCs w:val="13"/>
              </w:rPr>
              <w:t>1531</w:t>
            </w:r>
          </w:p>
        </w:tc>
        <w:tc>
          <w:tcPr>
            <w:tcW w:w="152" w:type="pct"/>
            <w:shd w:val="clear" w:color="auto" w:fill="auto"/>
            <w:vAlign w:val="center"/>
          </w:tcPr>
          <w:p w14:paraId="32406DF6" w14:textId="77777777" w:rsidR="004A0123" w:rsidRPr="00640447" w:rsidRDefault="004A0123" w:rsidP="008A5C11">
            <w:pPr>
              <w:jc w:val="center"/>
              <w:rPr>
                <w:sz w:val="13"/>
                <w:szCs w:val="13"/>
              </w:rPr>
            </w:pPr>
            <w:r w:rsidRPr="00640447">
              <w:rPr>
                <w:sz w:val="13"/>
                <w:szCs w:val="13"/>
              </w:rPr>
              <w:t>1531</w:t>
            </w:r>
          </w:p>
        </w:tc>
        <w:tc>
          <w:tcPr>
            <w:tcW w:w="152" w:type="pct"/>
            <w:shd w:val="clear" w:color="auto" w:fill="auto"/>
            <w:vAlign w:val="center"/>
          </w:tcPr>
          <w:p w14:paraId="6CC7462A" w14:textId="77777777" w:rsidR="004A0123" w:rsidRPr="00640447" w:rsidRDefault="004A0123" w:rsidP="008A5C11">
            <w:pPr>
              <w:jc w:val="center"/>
              <w:rPr>
                <w:sz w:val="13"/>
                <w:szCs w:val="13"/>
              </w:rPr>
            </w:pPr>
            <w:r w:rsidRPr="00640447">
              <w:rPr>
                <w:sz w:val="13"/>
                <w:szCs w:val="13"/>
              </w:rPr>
              <w:t>1531</w:t>
            </w:r>
          </w:p>
        </w:tc>
        <w:tc>
          <w:tcPr>
            <w:tcW w:w="152" w:type="pct"/>
            <w:shd w:val="clear" w:color="auto" w:fill="auto"/>
            <w:tcMar>
              <w:left w:w="28" w:type="dxa"/>
              <w:right w:w="28" w:type="dxa"/>
            </w:tcMar>
            <w:vAlign w:val="center"/>
          </w:tcPr>
          <w:p w14:paraId="33DBA442" w14:textId="77777777" w:rsidR="004A0123" w:rsidRPr="00640447" w:rsidRDefault="004A0123" w:rsidP="008A5C11">
            <w:pPr>
              <w:jc w:val="center"/>
              <w:rPr>
                <w:sz w:val="13"/>
                <w:szCs w:val="13"/>
              </w:rPr>
            </w:pPr>
            <w:r w:rsidRPr="00640447">
              <w:rPr>
                <w:sz w:val="13"/>
                <w:szCs w:val="13"/>
              </w:rPr>
              <w:t>1531</w:t>
            </w:r>
          </w:p>
        </w:tc>
        <w:tc>
          <w:tcPr>
            <w:tcW w:w="152" w:type="pct"/>
            <w:shd w:val="clear" w:color="auto" w:fill="auto"/>
            <w:tcMar>
              <w:left w:w="28" w:type="dxa"/>
              <w:right w:w="28" w:type="dxa"/>
            </w:tcMar>
            <w:vAlign w:val="center"/>
          </w:tcPr>
          <w:p w14:paraId="0C393A24" w14:textId="77777777" w:rsidR="004A0123" w:rsidRPr="00640447" w:rsidRDefault="004A0123" w:rsidP="008A5C11">
            <w:pPr>
              <w:jc w:val="center"/>
              <w:rPr>
                <w:sz w:val="13"/>
                <w:szCs w:val="13"/>
              </w:rPr>
            </w:pPr>
            <w:r w:rsidRPr="00640447">
              <w:rPr>
                <w:sz w:val="13"/>
                <w:szCs w:val="13"/>
              </w:rPr>
              <w:t>1531</w:t>
            </w:r>
          </w:p>
        </w:tc>
        <w:tc>
          <w:tcPr>
            <w:tcW w:w="152" w:type="pct"/>
            <w:shd w:val="clear" w:color="auto" w:fill="auto"/>
            <w:tcMar>
              <w:left w:w="28" w:type="dxa"/>
              <w:right w:w="28" w:type="dxa"/>
            </w:tcMar>
            <w:vAlign w:val="center"/>
          </w:tcPr>
          <w:p w14:paraId="0A783978" w14:textId="77777777" w:rsidR="004A0123" w:rsidRPr="00640447" w:rsidRDefault="004A0123" w:rsidP="008A5C11">
            <w:pPr>
              <w:jc w:val="center"/>
              <w:rPr>
                <w:sz w:val="13"/>
                <w:szCs w:val="13"/>
              </w:rPr>
            </w:pPr>
            <w:r w:rsidRPr="00640447">
              <w:rPr>
                <w:sz w:val="13"/>
                <w:szCs w:val="13"/>
              </w:rPr>
              <w:t>1531</w:t>
            </w:r>
          </w:p>
        </w:tc>
        <w:tc>
          <w:tcPr>
            <w:tcW w:w="153" w:type="pct"/>
            <w:shd w:val="clear" w:color="auto" w:fill="auto"/>
            <w:tcMar>
              <w:left w:w="28" w:type="dxa"/>
              <w:right w:w="28" w:type="dxa"/>
            </w:tcMar>
            <w:vAlign w:val="center"/>
          </w:tcPr>
          <w:p w14:paraId="41416186" w14:textId="77777777" w:rsidR="004A0123" w:rsidRPr="00640447" w:rsidRDefault="004A0123" w:rsidP="008A5C11">
            <w:pPr>
              <w:jc w:val="center"/>
              <w:rPr>
                <w:sz w:val="13"/>
                <w:szCs w:val="13"/>
              </w:rPr>
            </w:pPr>
            <w:r w:rsidRPr="00640447">
              <w:rPr>
                <w:sz w:val="13"/>
                <w:szCs w:val="13"/>
              </w:rPr>
              <w:t>1531</w:t>
            </w:r>
          </w:p>
        </w:tc>
        <w:tc>
          <w:tcPr>
            <w:tcW w:w="152" w:type="pct"/>
            <w:shd w:val="clear" w:color="auto" w:fill="auto"/>
            <w:vAlign w:val="center"/>
          </w:tcPr>
          <w:p w14:paraId="04471C9D" w14:textId="77777777" w:rsidR="004A0123" w:rsidRPr="00640447" w:rsidRDefault="004A0123" w:rsidP="008A5C11">
            <w:pPr>
              <w:jc w:val="center"/>
              <w:rPr>
                <w:sz w:val="13"/>
                <w:szCs w:val="13"/>
              </w:rPr>
            </w:pPr>
            <w:r w:rsidRPr="00640447">
              <w:rPr>
                <w:sz w:val="13"/>
                <w:szCs w:val="13"/>
              </w:rPr>
              <w:t>1531</w:t>
            </w:r>
          </w:p>
        </w:tc>
      </w:tr>
      <w:tr w:rsidR="004A0123" w:rsidRPr="00640447" w14:paraId="1817B959" w14:textId="77777777" w:rsidTr="008A5C11">
        <w:trPr>
          <w:trHeight w:val="148"/>
          <w:jc w:val="center"/>
        </w:trPr>
        <w:tc>
          <w:tcPr>
            <w:tcW w:w="104" w:type="pct"/>
            <w:tcMar>
              <w:top w:w="62" w:type="dxa"/>
              <w:left w:w="28" w:type="dxa"/>
              <w:bottom w:w="102" w:type="dxa"/>
              <w:right w:w="28" w:type="dxa"/>
            </w:tcMar>
            <w:vAlign w:val="center"/>
          </w:tcPr>
          <w:p w14:paraId="15559910" w14:textId="77777777" w:rsidR="004A0123" w:rsidRPr="00640447" w:rsidRDefault="004A0123" w:rsidP="008A5C11">
            <w:pPr>
              <w:jc w:val="center"/>
              <w:rPr>
                <w:sz w:val="13"/>
                <w:szCs w:val="13"/>
              </w:rPr>
            </w:pPr>
            <w:r w:rsidRPr="00640447">
              <w:rPr>
                <w:sz w:val="13"/>
                <w:szCs w:val="13"/>
              </w:rPr>
              <w:t>7</w:t>
            </w:r>
          </w:p>
        </w:tc>
        <w:tc>
          <w:tcPr>
            <w:tcW w:w="500" w:type="pct"/>
            <w:tcMar>
              <w:top w:w="62" w:type="dxa"/>
              <w:left w:w="28" w:type="dxa"/>
              <w:bottom w:w="102" w:type="dxa"/>
              <w:right w:w="28" w:type="dxa"/>
            </w:tcMar>
            <w:vAlign w:val="center"/>
          </w:tcPr>
          <w:p w14:paraId="0FDDA4DA" w14:textId="77777777" w:rsidR="004A0123" w:rsidRPr="00640447" w:rsidRDefault="004A0123" w:rsidP="008A5C11">
            <w:pPr>
              <w:jc w:val="center"/>
              <w:rPr>
                <w:sz w:val="13"/>
                <w:szCs w:val="13"/>
              </w:rPr>
            </w:pPr>
            <w:r w:rsidRPr="00640447">
              <w:rPr>
                <w:sz w:val="13"/>
                <w:szCs w:val="13"/>
              </w:rPr>
              <w:t>Котельная № 1</w:t>
            </w:r>
          </w:p>
        </w:tc>
        <w:tc>
          <w:tcPr>
            <w:tcW w:w="290" w:type="pct"/>
            <w:shd w:val="clear" w:color="auto" w:fill="auto"/>
            <w:tcMar>
              <w:left w:w="28" w:type="dxa"/>
              <w:right w:w="28" w:type="dxa"/>
            </w:tcMar>
            <w:vAlign w:val="center"/>
          </w:tcPr>
          <w:p w14:paraId="4509EEDA" w14:textId="77777777" w:rsidR="004A0123" w:rsidRPr="00640447" w:rsidRDefault="004A0123" w:rsidP="008A5C11">
            <w:pPr>
              <w:jc w:val="center"/>
              <w:rPr>
                <w:sz w:val="13"/>
                <w:szCs w:val="13"/>
              </w:rPr>
            </w:pPr>
            <w:r w:rsidRPr="00640447">
              <w:rPr>
                <w:sz w:val="13"/>
                <w:szCs w:val="13"/>
              </w:rPr>
              <w:t>862</w:t>
            </w:r>
          </w:p>
        </w:tc>
        <w:tc>
          <w:tcPr>
            <w:tcW w:w="224" w:type="pct"/>
            <w:shd w:val="clear" w:color="auto" w:fill="auto"/>
            <w:tcMar>
              <w:left w:w="28" w:type="dxa"/>
              <w:right w:w="28" w:type="dxa"/>
            </w:tcMar>
            <w:vAlign w:val="center"/>
          </w:tcPr>
          <w:p w14:paraId="291CE8C1" w14:textId="77777777" w:rsidR="004A0123" w:rsidRPr="00640447" w:rsidRDefault="004A0123" w:rsidP="008A5C11">
            <w:pPr>
              <w:jc w:val="center"/>
              <w:rPr>
                <w:sz w:val="13"/>
                <w:szCs w:val="13"/>
              </w:rPr>
            </w:pPr>
            <w:r w:rsidRPr="00640447">
              <w:rPr>
                <w:sz w:val="13"/>
                <w:szCs w:val="13"/>
              </w:rPr>
              <w:t>862</w:t>
            </w:r>
          </w:p>
        </w:tc>
        <w:tc>
          <w:tcPr>
            <w:tcW w:w="224" w:type="pct"/>
            <w:shd w:val="clear" w:color="auto" w:fill="auto"/>
            <w:tcMar>
              <w:left w:w="28" w:type="dxa"/>
              <w:right w:w="28" w:type="dxa"/>
            </w:tcMar>
            <w:vAlign w:val="center"/>
          </w:tcPr>
          <w:p w14:paraId="5519F97F" w14:textId="77777777" w:rsidR="004A0123" w:rsidRPr="00640447" w:rsidRDefault="004A0123" w:rsidP="008A5C11">
            <w:pPr>
              <w:jc w:val="center"/>
              <w:rPr>
                <w:sz w:val="13"/>
                <w:szCs w:val="13"/>
              </w:rPr>
            </w:pPr>
            <w:r w:rsidRPr="00640447">
              <w:rPr>
                <w:sz w:val="13"/>
                <w:szCs w:val="13"/>
              </w:rPr>
              <w:t>862</w:t>
            </w:r>
          </w:p>
        </w:tc>
        <w:tc>
          <w:tcPr>
            <w:tcW w:w="224" w:type="pct"/>
            <w:shd w:val="clear" w:color="auto" w:fill="auto"/>
            <w:tcMar>
              <w:left w:w="28" w:type="dxa"/>
              <w:right w:w="28" w:type="dxa"/>
            </w:tcMar>
            <w:vAlign w:val="center"/>
          </w:tcPr>
          <w:p w14:paraId="60855E9E" w14:textId="77777777" w:rsidR="004A0123" w:rsidRPr="00640447" w:rsidRDefault="004A0123" w:rsidP="008A5C11">
            <w:pPr>
              <w:jc w:val="center"/>
              <w:rPr>
                <w:sz w:val="13"/>
                <w:szCs w:val="13"/>
              </w:rPr>
            </w:pPr>
            <w:r w:rsidRPr="00640447">
              <w:rPr>
                <w:sz w:val="13"/>
                <w:szCs w:val="13"/>
              </w:rPr>
              <w:t>862</w:t>
            </w:r>
          </w:p>
        </w:tc>
        <w:tc>
          <w:tcPr>
            <w:tcW w:w="224" w:type="pct"/>
            <w:shd w:val="clear" w:color="auto" w:fill="auto"/>
            <w:vAlign w:val="center"/>
          </w:tcPr>
          <w:p w14:paraId="778BB94C" w14:textId="77777777" w:rsidR="004A0123" w:rsidRPr="00640447" w:rsidRDefault="004A0123" w:rsidP="008A5C11">
            <w:pPr>
              <w:jc w:val="center"/>
              <w:rPr>
                <w:sz w:val="13"/>
                <w:szCs w:val="13"/>
              </w:rPr>
            </w:pPr>
            <w:r w:rsidRPr="00640447">
              <w:rPr>
                <w:sz w:val="13"/>
                <w:szCs w:val="13"/>
              </w:rPr>
              <w:t>862</w:t>
            </w:r>
          </w:p>
        </w:tc>
        <w:tc>
          <w:tcPr>
            <w:tcW w:w="224" w:type="pct"/>
            <w:shd w:val="clear" w:color="auto" w:fill="auto"/>
            <w:vAlign w:val="center"/>
          </w:tcPr>
          <w:p w14:paraId="46509A03" w14:textId="77777777" w:rsidR="004A0123" w:rsidRPr="00640447" w:rsidRDefault="004A0123" w:rsidP="008A5C11">
            <w:pPr>
              <w:jc w:val="center"/>
              <w:rPr>
                <w:sz w:val="13"/>
                <w:szCs w:val="13"/>
              </w:rPr>
            </w:pPr>
            <w:r w:rsidRPr="00640447">
              <w:rPr>
                <w:sz w:val="13"/>
                <w:szCs w:val="13"/>
              </w:rPr>
              <w:t>862</w:t>
            </w:r>
          </w:p>
        </w:tc>
        <w:tc>
          <w:tcPr>
            <w:tcW w:w="224" w:type="pct"/>
            <w:shd w:val="clear" w:color="auto" w:fill="auto"/>
            <w:tcMar>
              <w:left w:w="28" w:type="dxa"/>
              <w:right w:w="28" w:type="dxa"/>
            </w:tcMar>
            <w:vAlign w:val="center"/>
          </w:tcPr>
          <w:p w14:paraId="1D31333E" w14:textId="77777777" w:rsidR="004A0123" w:rsidRPr="00640447" w:rsidRDefault="004A0123" w:rsidP="008A5C11">
            <w:pPr>
              <w:jc w:val="center"/>
              <w:rPr>
                <w:sz w:val="13"/>
                <w:szCs w:val="13"/>
              </w:rPr>
            </w:pPr>
            <w:r w:rsidRPr="00640447">
              <w:rPr>
                <w:sz w:val="13"/>
                <w:szCs w:val="13"/>
              </w:rPr>
              <w:t>0</w:t>
            </w:r>
          </w:p>
        </w:tc>
        <w:tc>
          <w:tcPr>
            <w:tcW w:w="224" w:type="pct"/>
            <w:shd w:val="clear" w:color="auto" w:fill="auto"/>
            <w:tcMar>
              <w:left w:w="28" w:type="dxa"/>
              <w:right w:w="28" w:type="dxa"/>
            </w:tcMar>
            <w:vAlign w:val="center"/>
          </w:tcPr>
          <w:p w14:paraId="03879650" w14:textId="77777777" w:rsidR="004A0123" w:rsidRPr="00640447" w:rsidRDefault="004A0123" w:rsidP="008A5C11">
            <w:pPr>
              <w:jc w:val="center"/>
              <w:rPr>
                <w:sz w:val="13"/>
                <w:szCs w:val="13"/>
              </w:rPr>
            </w:pPr>
            <w:r w:rsidRPr="00640447">
              <w:rPr>
                <w:sz w:val="13"/>
                <w:szCs w:val="13"/>
              </w:rPr>
              <w:t>0</w:t>
            </w:r>
          </w:p>
        </w:tc>
        <w:tc>
          <w:tcPr>
            <w:tcW w:w="224" w:type="pct"/>
            <w:shd w:val="clear" w:color="auto" w:fill="auto"/>
            <w:tcMar>
              <w:left w:w="28" w:type="dxa"/>
              <w:right w:w="28" w:type="dxa"/>
            </w:tcMar>
            <w:vAlign w:val="center"/>
          </w:tcPr>
          <w:p w14:paraId="039E24CD" w14:textId="77777777" w:rsidR="004A0123" w:rsidRPr="00640447" w:rsidRDefault="004A0123" w:rsidP="008A5C11">
            <w:pPr>
              <w:jc w:val="center"/>
              <w:rPr>
                <w:sz w:val="13"/>
                <w:szCs w:val="13"/>
              </w:rPr>
            </w:pPr>
            <w:r w:rsidRPr="00640447">
              <w:rPr>
                <w:sz w:val="13"/>
                <w:szCs w:val="13"/>
              </w:rPr>
              <w:t>0</w:t>
            </w:r>
          </w:p>
        </w:tc>
        <w:tc>
          <w:tcPr>
            <w:tcW w:w="224" w:type="pct"/>
            <w:shd w:val="clear" w:color="auto" w:fill="auto"/>
            <w:tcMar>
              <w:left w:w="28" w:type="dxa"/>
              <w:right w:w="28" w:type="dxa"/>
            </w:tcMar>
            <w:vAlign w:val="center"/>
          </w:tcPr>
          <w:p w14:paraId="64F6869D" w14:textId="77777777" w:rsidR="004A0123" w:rsidRPr="00640447" w:rsidRDefault="004A0123" w:rsidP="008A5C11">
            <w:pPr>
              <w:jc w:val="center"/>
              <w:rPr>
                <w:sz w:val="13"/>
                <w:szCs w:val="13"/>
              </w:rPr>
            </w:pPr>
            <w:r w:rsidRPr="00640447">
              <w:rPr>
                <w:sz w:val="13"/>
                <w:szCs w:val="13"/>
              </w:rPr>
              <w:t>0</w:t>
            </w:r>
          </w:p>
        </w:tc>
        <w:tc>
          <w:tcPr>
            <w:tcW w:w="224" w:type="pct"/>
            <w:shd w:val="clear" w:color="auto" w:fill="auto"/>
            <w:vAlign w:val="center"/>
          </w:tcPr>
          <w:p w14:paraId="60973370" w14:textId="77777777" w:rsidR="004A0123" w:rsidRPr="00640447" w:rsidRDefault="004A0123" w:rsidP="008A5C11">
            <w:pPr>
              <w:jc w:val="center"/>
              <w:rPr>
                <w:sz w:val="13"/>
                <w:szCs w:val="13"/>
              </w:rPr>
            </w:pPr>
            <w:r w:rsidRPr="00640447">
              <w:rPr>
                <w:sz w:val="13"/>
                <w:szCs w:val="13"/>
              </w:rPr>
              <w:t>0</w:t>
            </w:r>
          </w:p>
        </w:tc>
        <w:tc>
          <w:tcPr>
            <w:tcW w:w="337" w:type="pct"/>
            <w:shd w:val="clear" w:color="auto" w:fill="auto"/>
            <w:tcMar>
              <w:left w:w="28" w:type="dxa"/>
              <w:right w:w="28" w:type="dxa"/>
            </w:tcMar>
            <w:vAlign w:val="center"/>
          </w:tcPr>
          <w:p w14:paraId="239D39F0" w14:textId="77777777" w:rsidR="004A0123" w:rsidRPr="00640447" w:rsidRDefault="004A0123" w:rsidP="008A5C11">
            <w:pPr>
              <w:jc w:val="center"/>
              <w:rPr>
                <w:sz w:val="13"/>
                <w:szCs w:val="13"/>
              </w:rPr>
            </w:pPr>
            <w:r w:rsidRPr="00640447">
              <w:rPr>
                <w:sz w:val="13"/>
                <w:szCs w:val="13"/>
              </w:rPr>
              <w:t>670</w:t>
            </w:r>
          </w:p>
        </w:tc>
        <w:tc>
          <w:tcPr>
            <w:tcW w:w="152" w:type="pct"/>
            <w:shd w:val="clear" w:color="auto" w:fill="auto"/>
            <w:tcMar>
              <w:left w:w="28" w:type="dxa"/>
              <w:right w:w="28" w:type="dxa"/>
            </w:tcMar>
            <w:vAlign w:val="center"/>
          </w:tcPr>
          <w:p w14:paraId="61C47564" w14:textId="77777777" w:rsidR="004A0123" w:rsidRPr="00640447" w:rsidRDefault="004A0123" w:rsidP="008A5C11">
            <w:pPr>
              <w:jc w:val="center"/>
              <w:rPr>
                <w:sz w:val="13"/>
                <w:szCs w:val="13"/>
              </w:rPr>
            </w:pPr>
            <w:r w:rsidRPr="00640447">
              <w:rPr>
                <w:sz w:val="13"/>
                <w:szCs w:val="13"/>
              </w:rPr>
              <w:t>670</w:t>
            </w:r>
          </w:p>
        </w:tc>
        <w:tc>
          <w:tcPr>
            <w:tcW w:w="152" w:type="pct"/>
            <w:shd w:val="clear" w:color="auto" w:fill="auto"/>
            <w:tcMar>
              <w:left w:w="28" w:type="dxa"/>
              <w:right w:w="28" w:type="dxa"/>
            </w:tcMar>
            <w:vAlign w:val="center"/>
          </w:tcPr>
          <w:p w14:paraId="48D868ED" w14:textId="77777777" w:rsidR="004A0123" w:rsidRPr="00640447" w:rsidRDefault="004A0123" w:rsidP="008A5C11">
            <w:pPr>
              <w:jc w:val="center"/>
              <w:rPr>
                <w:sz w:val="13"/>
                <w:szCs w:val="13"/>
              </w:rPr>
            </w:pPr>
            <w:r w:rsidRPr="00640447">
              <w:rPr>
                <w:sz w:val="13"/>
                <w:szCs w:val="13"/>
              </w:rPr>
              <w:t>670</w:t>
            </w:r>
          </w:p>
        </w:tc>
        <w:tc>
          <w:tcPr>
            <w:tcW w:w="152" w:type="pct"/>
            <w:shd w:val="clear" w:color="auto" w:fill="auto"/>
            <w:tcMar>
              <w:left w:w="28" w:type="dxa"/>
              <w:right w:w="28" w:type="dxa"/>
            </w:tcMar>
            <w:vAlign w:val="center"/>
          </w:tcPr>
          <w:p w14:paraId="313E1FA5" w14:textId="77777777" w:rsidR="004A0123" w:rsidRPr="00640447" w:rsidRDefault="004A0123" w:rsidP="008A5C11">
            <w:pPr>
              <w:jc w:val="center"/>
              <w:rPr>
                <w:sz w:val="13"/>
                <w:szCs w:val="13"/>
              </w:rPr>
            </w:pPr>
            <w:r w:rsidRPr="00640447">
              <w:rPr>
                <w:sz w:val="13"/>
                <w:szCs w:val="13"/>
              </w:rPr>
              <w:t>670</w:t>
            </w:r>
          </w:p>
        </w:tc>
        <w:tc>
          <w:tcPr>
            <w:tcW w:w="152" w:type="pct"/>
            <w:shd w:val="clear" w:color="auto" w:fill="auto"/>
            <w:vAlign w:val="center"/>
          </w:tcPr>
          <w:p w14:paraId="3750C4B9" w14:textId="77777777" w:rsidR="004A0123" w:rsidRPr="00640447" w:rsidRDefault="004A0123" w:rsidP="008A5C11">
            <w:pPr>
              <w:jc w:val="center"/>
              <w:rPr>
                <w:sz w:val="13"/>
                <w:szCs w:val="13"/>
              </w:rPr>
            </w:pPr>
            <w:r w:rsidRPr="00640447">
              <w:rPr>
                <w:sz w:val="13"/>
                <w:szCs w:val="13"/>
              </w:rPr>
              <w:t>670</w:t>
            </w:r>
          </w:p>
        </w:tc>
        <w:tc>
          <w:tcPr>
            <w:tcW w:w="152" w:type="pct"/>
            <w:shd w:val="clear" w:color="auto" w:fill="auto"/>
            <w:vAlign w:val="center"/>
          </w:tcPr>
          <w:p w14:paraId="3097C77F" w14:textId="77777777" w:rsidR="004A0123" w:rsidRPr="00640447" w:rsidRDefault="004A0123" w:rsidP="008A5C11">
            <w:pPr>
              <w:jc w:val="center"/>
              <w:rPr>
                <w:sz w:val="13"/>
                <w:szCs w:val="13"/>
              </w:rPr>
            </w:pPr>
            <w:r w:rsidRPr="00640447">
              <w:rPr>
                <w:sz w:val="13"/>
                <w:szCs w:val="13"/>
              </w:rPr>
              <w:t>670</w:t>
            </w:r>
          </w:p>
        </w:tc>
        <w:tc>
          <w:tcPr>
            <w:tcW w:w="152" w:type="pct"/>
            <w:shd w:val="clear" w:color="auto" w:fill="auto"/>
            <w:tcMar>
              <w:left w:w="28" w:type="dxa"/>
              <w:right w:w="28" w:type="dxa"/>
            </w:tcMar>
            <w:vAlign w:val="center"/>
          </w:tcPr>
          <w:p w14:paraId="49CD2841" w14:textId="77777777" w:rsidR="004A0123" w:rsidRPr="00640447" w:rsidRDefault="004A0123" w:rsidP="008A5C11">
            <w:pPr>
              <w:jc w:val="center"/>
              <w:rPr>
                <w:sz w:val="13"/>
                <w:szCs w:val="13"/>
              </w:rPr>
            </w:pPr>
            <w:r w:rsidRPr="00640447">
              <w:rPr>
                <w:sz w:val="13"/>
                <w:szCs w:val="13"/>
              </w:rPr>
              <w:t>0</w:t>
            </w:r>
          </w:p>
        </w:tc>
        <w:tc>
          <w:tcPr>
            <w:tcW w:w="152" w:type="pct"/>
            <w:shd w:val="clear" w:color="auto" w:fill="auto"/>
            <w:tcMar>
              <w:left w:w="28" w:type="dxa"/>
              <w:right w:w="28" w:type="dxa"/>
            </w:tcMar>
            <w:vAlign w:val="center"/>
          </w:tcPr>
          <w:p w14:paraId="5E8E2CA3" w14:textId="77777777" w:rsidR="004A0123" w:rsidRPr="00640447" w:rsidRDefault="004A0123" w:rsidP="008A5C11">
            <w:pPr>
              <w:jc w:val="center"/>
              <w:rPr>
                <w:sz w:val="13"/>
                <w:szCs w:val="13"/>
              </w:rPr>
            </w:pPr>
            <w:r w:rsidRPr="00640447">
              <w:rPr>
                <w:sz w:val="13"/>
                <w:szCs w:val="13"/>
              </w:rPr>
              <w:t>0</w:t>
            </w:r>
          </w:p>
        </w:tc>
        <w:tc>
          <w:tcPr>
            <w:tcW w:w="152" w:type="pct"/>
            <w:shd w:val="clear" w:color="auto" w:fill="auto"/>
            <w:tcMar>
              <w:left w:w="28" w:type="dxa"/>
              <w:right w:w="28" w:type="dxa"/>
            </w:tcMar>
            <w:vAlign w:val="center"/>
          </w:tcPr>
          <w:p w14:paraId="0F53600E" w14:textId="77777777" w:rsidR="004A0123" w:rsidRPr="00640447" w:rsidRDefault="004A0123" w:rsidP="008A5C11">
            <w:pPr>
              <w:jc w:val="center"/>
              <w:rPr>
                <w:sz w:val="13"/>
                <w:szCs w:val="13"/>
              </w:rPr>
            </w:pPr>
            <w:r w:rsidRPr="00640447">
              <w:rPr>
                <w:sz w:val="13"/>
                <w:szCs w:val="13"/>
              </w:rPr>
              <w:t>0</w:t>
            </w:r>
          </w:p>
        </w:tc>
        <w:tc>
          <w:tcPr>
            <w:tcW w:w="153" w:type="pct"/>
            <w:shd w:val="clear" w:color="auto" w:fill="auto"/>
            <w:tcMar>
              <w:left w:w="28" w:type="dxa"/>
              <w:right w:w="28" w:type="dxa"/>
            </w:tcMar>
            <w:vAlign w:val="center"/>
          </w:tcPr>
          <w:p w14:paraId="0C98AFB6" w14:textId="77777777" w:rsidR="004A0123" w:rsidRPr="00640447" w:rsidRDefault="004A0123" w:rsidP="008A5C11">
            <w:pPr>
              <w:jc w:val="center"/>
              <w:rPr>
                <w:sz w:val="13"/>
                <w:szCs w:val="13"/>
              </w:rPr>
            </w:pPr>
            <w:r w:rsidRPr="00640447">
              <w:rPr>
                <w:sz w:val="13"/>
                <w:szCs w:val="13"/>
              </w:rPr>
              <w:t>0</w:t>
            </w:r>
          </w:p>
        </w:tc>
        <w:tc>
          <w:tcPr>
            <w:tcW w:w="152" w:type="pct"/>
            <w:shd w:val="clear" w:color="auto" w:fill="auto"/>
            <w:vAlign w:val="center"/>
          </w:tcPr>
          <w:p w14:paraId="58999C8D" w14:textId="77777777" w:rsidR="004A0123" w:rsidRPr="00640447" w:rsidRDefault="004A0123" w:rsidP="008A5C11">
            <w:pPr>
              <w:jc w:val="center"/>
              <w:rPr>
                <w:sz w:val="13"/>
                <w:szCs w:val="13"/>
              </w:rPr>
            </w:pPr>
            <w:r w:rsidRPr="00640447">
              <w:rPr>
                <w:sz w:val="13"/>
                <w:szCs w:val="13"/>
              </w:rPr>
              <w:t>0</w:t>
            </w:r>
          </w:p>
        </w:tc>
      </w:tr>
      <w:tr w:rsidR="004A0123" w:rsidRPr="00640447" w14:paraId="42FD7080" w14:textId="77777777" w:rsidTr="008A5C11">
        <w:trPr>
          <w:trHeight w:val="148"/>
          <w:jc w:val="center"/>
        </w:trPr>
        <w:tc>
          <w:tcPr>
            <w:tcW w:w="104" w:type="pct"/>
            <w:tcMar>
              <w:top w:w="62" w:type="dxa"/>
              <w:left w:w="28" w:type="dxa"/>
              <w:bottom w:w="102" w:type="dxa"/>
              <w:right w:w="28" w:type="dxa"/>
            </w:tcMar>
            <w:vAlign w:val="center"/>
          </w:tcPr>
          <w:p w14:paraId="612E42ED" w14:textId="77777777" w:rsidR="004A0123" w:rsidRPr="00640447" w:rsidRDefault="004A0123" w:rsidP="008A5C11">
            <w:pPr>
              <w:jc w:val="center"/>
              <w:rPr>
                <w:sz w:val="13"/>
                <w:szCs w:val="13"/>
              </w:rPr>
            </w:pPr>
            <w:r w:rsidRPr="00640447">
              <w:rPr>
                <w:sz w:val="13"/>
                <w:szCs w:val="13"/>
              </w:rPr>
              <w:t>8</w:t>
            </w:r>
          </w:p>
        </w:tc>
        <w:tc>
          <w:tcPr>
            <w:tcW w:w="500" w:type="pct"/>
            <w:tcMar>
              <w:top w:w="62" w:type="dxa"/>
              <w:left w:w="28" w:type="dxa"/>
              <w:bottom w:w="102" w:type="dxa"/>
              <w:right w:w="28" w:type="dxa"/>
            </w:tcMar>
            <w:vAlign w:val="center"/>
          </w:tcPr>
          <w:p w14:paraId="46CA75C2" w14:textId="77777777" w:rsidR="004A0123" w:rsidRPr="00640447" w:rsidRDefault="004A0123" w:rsidP="008A5C11">
            <w:pPr>
              <w:jc w:val="center"/>
              <w:rPr>
                <w:sz w:val="13"/>
                <w:szCs w:val="13"/>
              </w:rPr>
            </w:pPr>
            <w:r w:rsidRPr="00640447">
              <w:rPr>
                <w:sz w:val="13"/>
                <w:szCs w:val="13"/>
              </w:rPr>
              <w:t>Котельная № 13</w:t>
            </w:r>
          </w:p>
        </w:tc>
        <w:tc>
          <w:tcPr>
            <w:tcW w:w="290" w:type="pct"/>
            <w:shd w:val="clear" w:color="auto" w:fill="auto"/>
            <w:tcMar>
              <w:left w:w="28" w:type="dxa"/>
              <w:right w:w="28" w:type="dxa"/>
            </w:tcMar>
            <w:vAlign w:val="center"/>
          </w:tcPr>
          <w:p w14:paraId="60147063" w14:textId="77777777" w:rsidR="004A0123" w:rsidRPr="00640447" w:rsidRDefault="004A0123" w:rsidP="008A5C11">
            <w:pPr>
              <w:jc w:val="center"/>
              <w:rPr>
                <w:sz w:val="13"/>
                <w:szCs w:val="13"/>
              </w:rPr>
            </w:pPr>
            <w:r w:rsidRPr="00640447">
              <w:rPr>
                <w:sz w:val="13"/>
                <w:szCs w:val="13"/>
              </w:rPr>
              <w:t>3264</w:t>
            </w:r>
          </w:p>
        </w:tc>
        <w:tc>
          <w:tcPr>
            <w:tcW w:w="224" w:type="pct"/>
            <w:shd w:val="clear" w:color="auto" w:fill="auto"/>
            <w:tcMar>
              <w:left w:w="28" w:type="dxa"/>
              <w:right w:w="28" w:type="dxa"/>
            </w:tcMar>
            <w:vAlign w:val="center"/>
          </w:tcPr>
          <w:p w14:paraId="0B2868CC" w14:textId="77777777" w:rsidR="004A0123" w:rsidRPr="00640447" w:rsidRDefault="004A0123" w:rsidP="008A5C11">
            <w:pPr>
              <w:jc w:val="center"/>
              <w:rPr>
                <w:sz w:val="13"/>
                <w:szCs w:val="13"/>
              </w:rPr>
            </w:pPr>
            <w:r w:rsidRPr="00640447">
              <w:rPr>
                <w:sz w:val="13"/>
                <w:szCs w:val="13"/>
              </w:rPr>
              <w:t>3264</w:t>
            </w:r>
          </w:p>
        </w:tc>
        <w:tc>
          <w:tcPr>
            <w:tcW w:w="224" w:type="pct"/>
            <w:shd w:val="clear" w:color="auto" w:fill="auto"/>
            <w:tcMar>
              <w:left w:w="28" w:type="dxa"/>
              <w:right w:w="28" w:type="dxa"/>
            </w:tcMar>
            <w:vAlign w:val="center"/>
          </w:tcPr>
          <w:p w14:paraId="284923FE" w14:textId="77777777" w:rsidR="004A0123" w:rsidRPr="00640447" w:rsidRDefault="004A0123" w:rsidP="008A5C11">
            <w:pPr>
              <w:jc w:val="center"/>
              <w:rPr>
                <w:sz w:val="13"/>
                <w:szCs w:val="13"/>
              </w:rPr>
            </w:pPr>
            <w:r w:rsidRPr="00640447">
              <w:rPr>
                <w:sz w:val="13"/>
                <w:szCs w:val="13"/>
              </w:rPr>
              <w:t>0</w:t>
            </w:r>
          </w:p>
        </w:tc>
        <w:tc>
          <w:tcPr>
            <w:tcW w:w="224" w:type="pct"/>
            <w:shd w:val="clear" w:color="auto" w:fill="auto"/>
            <w:tcMar>
              <w:left w:w="28" w:type="dxa"/>
              <w:right w:w="28" w:type="dxa"/>
            </w:tcMar>
            <w:vAlign w:val="center"/>
          </w:tcPr>
          <w:p w14:paraId="18F67E80" w14:textId="77777777" w:rsidR="004A0123" w:rsidRPr="00640447" w:rsidRDefault="004A0123" w:rsidP="008A5C11">
            <w:pPr>
              <w:jc w:val="center"/>
              <w:rPr>
                <w:sz w:val="13"/>
                <w:szCs w:val="13"/>
              </w:rPr>
            </w:pPr>
            <w:r w:rsidRPr="00640447">
              <w:rPr>
                <w:sz w:val="13"/>
                <w:szCs w:val="13"/>
              </w:rPr>
              <w:t>0</w:t>
            </w:r>
          </w:p>
        </w:tc>
        <w:tc>
          <w:tcPr>
            <w:tcW w:w="224" w:type="pct"/>
            <w:shd w:val="clear" w:color="auto" w:fill="auto"/>
            <w:vAlign w:val="center"/>
          </w:tcPr>
          <w:p w14:paraId="435FA2F5" w14:textId="77777777" w:rsidR="004A0123" w:rsidRPr="00640447" w:rsidRDefault="004A0123" w:rsidP="008A5C11">
            <w:pPr>
              <w:jc w:val="center"/>
              <w:rPr>
                <w:sz w:val="13"/>
                <w:szCs w:val="13"/>
              </w:rPr>
            </w:pPr>
            <w:r w:rsidRPr="00640447">
              <w:rPr>
                <w:sz w:val="13"/>
                <w:szCs w:val="13"/>
              </w:rPr>
              <w:t>0</w:t>
            </w:r>
          </w:p>
        </w:tc>
        <w:tc>
          <w:tcPr>
            <w:tcW w:w="224" w:type="pct"/>
            <w:shd w:val="clear" w:color="auto" w:fill="auto"/>
            <w:vAlign w:val="center"/>
          </w:tcPr>
          <w:p w14:paraId="46FB5C28" w14:textId="77777777" w:rsidR="004A0123" w:rsidRPr="00640447" w:rsidRDefault="004A0123" w:rsidP="008A5C11">
            <w:pPr>
              <w:jc w:val="center"/>
              <w:rPr>
                <w:sz w:val="13"/>
                <w:szCs w:val="13"/>
              </w:rPr>
            </w:pPr>
            <w:r w:rsidRPr="00640447">
              <w:rPr>
                <w:sz w:val="13"/>
                <w:szCs w:val="13"/>
              </w:rPr>
              <w:t>0</w:t>
            </w:r>
          </w:p>
        </w:tc>
        <w:tc>
          <w:tcPr>
            <w:tcW w:w="224" w:type="pct"/>
            <w:shd w:val="clear" w:color="auto" w:fill="auto"/>
            <w:tcMar>
              <w:left w:w="28" w:type="dxa"/>
              <w:right w:w="28" w:type="dxa"/>
            </w:tcMar>
            <w:vAlign w:val="center"/>
          </w:tcPr>
          <w:p w14:paraId="340B4B7D" w14:textId="77777777" w:rsidR="004A0123" w:rsidRPr="00640447" w:rsidRDefault="004A0123" w:rsidP="008A5C11">
            <w:pPr>
              <w:jc w:val="center"/>
              <w:rPr>
                <w:sz w:val="13"/>
                <w:szCs w:val="13"/>
              </w:rPr>
            </w:pPr>
            <w:r w:rsidRPr="00640447">
              <w:rPr>
                <w:sz w:val="13"/>
                <w:szCs w:val="13"/>
              </w:rPr>
              <w:t>0</w:t>
            </w:r>
          </w:p>
        </w:tc>
        <w:tc>
          <w:tcPr>
            <w:tcW w:w="224" w:type="pct"/>
            <w:shd w:val="clear" w:color="auto" w:fill="auto"/>
            <w:tcMar>
              <w:left w:w="28" w:type="dxa"/>
              <w:right w:w="28" w:type="dxa"/>
            </w:tcMar>
            <w:vAlign w:val="center"/>
          </w:tcPr>
          <w:p w14:paraId="305BD5E6" w14:textId="77777777" w:rsidR="004A0123" w:rsidRPr="00640447" w:rsidRDefault="004A0123" w:rsidP="008A5C11">
            <w:pPr>
              <w:jc w:val="center"/>
              <w:rPr>
                <w:sz w:val="13"/>
                <w:szCs w:val="13"/>
              </w:rPr>
            </w:pPr>
            <w:r w:rsidRPr="00640447">
              <w:rPr>
                <w:sz w:val="13"/>
                <w:szCs w:val="13"/>
              </w:rPr>
              <w:t>0</w:t>
            </w:r>
          </w:p>
        </w:tc>
        <w:tc>
          <w:tcPr>
            <w:tcW w:w="224" w:type="pct"/>
            <w:shd w:val="clear" w:color="auto" w:fill="auto"/>
            <w:tcMar>
              <w:left w:w="28" w:type="dxa"/>
              <w:right w:w="28" w:type="dxa"/>
            </w:tcMar>
            <w:vAlign w:val="center"/>
          </w:tcPr>
          <w:p w14:paraId="4E29AA13" w14:textId="77777777" w:rsidR="004A0123" w:rsidRPr="00640447" w:rsidRDefault="004A0123" w:rsidP="008A5C11">
            <w:pPr>
              <w:jc w:val="center"/>
              <w:rPr>
                <w:sz w:val="13"/>
                <w:szCs w:val="13"/>
              </w:rPr>
            </w:pPr>
            <w:r w:rsidRPr="00640447">
              <w:rPr>
                <w:sz w:val="13"/>
                <w:szCs w:val="13"/>
              </w:rPr>
              <w:t>0</w:t>
            </w:r>
          </w:p>
        </w:tc>
        <w:tc>
          <w:tcPr>
            <w:tcW w:w="224" w:type="pct"/>
            <w:shd w:val="clear" w:color="auto" w:fill="auto"/>
            <w:tcMar>
              <w:left w:w="28" w:type="dxa"/>
              <w:right w:w="28" w:type="dxa"/>
            </w:tcMar>
            <w:vAlign w:val="center"/>
          </w:tcPr>
          <w:p w14:paraId="2F6E8CB8" w14:textId="77777777" w:rsidR="004A0123" w:rsidRPr="00640447" w:rsidRDefault="004A0123" w:rsidP="008A5C11">
            <w:pPr>
              <w:jc w:val="center"/>
              <w:rPr>
                <w:sz w:val="13"/>
                <w:szCs w:val="13"/>
              </w:rPr>
            </w:pPr>
            <w:r w:rsidRPr="00640447">
              <w:rPr>
                <w:sz w:val="13"/>
                <w:szCs w:val="13"/>
              </w:rPr>
              <w:t>0</w:t>
            </w:r>
          </w:p>
        </w:tc>
        <w:tc>
          <w:tcPr>
            <w:tcW w:w="224" w:type="pct"/>
            <w:shd w:val="clear" w:color="auto" w:fill="auto"/>
            <w:vAlign w:val="center"/>
          </w:tcPr>
          <w:p w14:paraId="3F194550" w14:textId="77777777" w:rsidR="004A0123" w:rsidRPr="00640447" w:rsidRDefault="004A0123" w:rsidP="008A5C11">
            <w:pPr>
              <w:jc w:val="center"/>
              <w:rPr>
                <w:sz w:val="13"/>
                <w:szCs w:val="13"/>
              </w:rPr>
            </w:pPr>
            <w:r w:rsidRPr="00640447">
              <w:rPr>
                <w:sz w:val="13"/>
                <w:szCs w:val="13"/>
              </w:rPr>
              <w:t>0</w:t>
            </w:r>
          </w:p>
        </w:tc>
        <w:tc>
          <w:tcPr>
            <w:tcW w:w="337" w:type="pct"/>
            <w:shd w:val="clear" w:color="auto" w:fill="auto"/>
            <w:tcMar>
              <w:left w:w="28" w:type="dxa"/>
              <w:right w:w="28" w:type="dxa"/>
            </w:tcMar>
            <w:vAlign w:val="center"/>
          </w:tcPr>
          <w:p w14:paraId="4784D911" w14:textId="77777777" w:rsidR="004A0123" w:rsidRPr="00640447" w:rsidRDefault="004A0123" w:rsidP="008A5C11">
            <w:pPr>
              <w:jc w:val="center"/>
              <w:rPr>
                <w:sz w:val="13"/>
                <w:szCs w:val="13"/>
              </w:rPr>
            </w:pPr>
            <w:r w:rsidRPr="00640447">
              <w:rPr>
                <w:sz w:val="13"/>
                <w:szCs w:val="13"/>
              </w:rPr>
              <w:t>4608</w:t>
            </w:r>
          </w:p>
        </w:tc>
        <w:tc>
          <w:tcPr>
            <w:tcW w:w="152" w:type="pct"/>
            <w:shd w:val="clear" w:color="auto" w:fill="auto"/>
            <w:tcMar>
              <w:left w:w="28" w:type="dxa"/>
              <w:right w:w="28" w:type="dxa"/>
            </w:tcMar>
            <w:vAlign w:val="center"/>
          </w:tcPr>
          <w:p w14:paraId="4E883432" w14:textId="77777777" w:rsidR="004A0123" w:rsidRPr="00640447" w:rsidRDefault="004A0123" w:rsidP="008A5C11">
            <w:pPr>
              <w:jc w:val="center"/>
              <w:rPr>
                <w:sz w:val="13"/>
                <w:szCs w:val="13"/>
              </w:rPr>
            </w:pPr>
            <w:r w:rsidRPr="00640447">
              <w:rPr>
                <w:sz w:val="13"/>
                <w:szCs w:val="13"/>
              </w:rPr>
              <w:t>4608</w:t>
            </w:r>
          </w:p>
        </w:tc>
        <w:tc>
          <w:tcPr>
            <w:tcW w:w="152" w:type="pct"/>
            <w:shd w:val="clear" w:color="auto" w:fill="auto"/>
            <w:tcMar>
              <w:left w:w="28" w:type="dxa"/>
              <w:right w:w="28" w:type="dxa"/>
            </w:tcMar>
            <w:vAlign w:val="center"/>
          </w:tcPr>
          <w:p w14:paraId="5A4745E4" w14:textId="77777777" w:rsidR="004A0123" w:rsidRPr="00640447" w:rsidRDefault="004A0123" w:rsidP="008A5C11">
            <w:pPr>
              <w:jc w:val="center"/>
              <w:rPr>
                <w:sz w:val="13"/>
                <w:szCs w:val="13"/>
              </w:rPr>
            </w:pPr>
            <w:r w:rsidRPr="00640447">
              <w:rPr>
                <w:sz w:val="13"/>
                <w:szCs w:val="13"/>
              </w:rPr>
              <w:t>0</w:t>
            </w:r>
          </w:p>
        </w:tc>
        <w:tc>
          <w:tcPr>
            <w:tcW w:w="152" w:type="pct"/>
            <w:shd w:val="clear" w:color="auto" w:fill="auto"/>
            <w:tcMar>
              <w:left w:w="28" w:type="dxa"/>
              <w:right w:w="28" w:type="dxa"/>
            </w:tcMar>
            <w:vAlign w:val="center"/>
          </w:tcPr>
          <w:p w14:paraId="7B5132F6" w14:textId="77777777" w:rsidR="004A0123" w:rsidRPr="00640447" w:rsidRDefault="004A0123" w:rsidP="008A5C11">
            <w:pPr>
              <w:jc w:val="center"/>
              <w:rPr>
                <w:sz w:val="13"/>
                <w:szCs w:val="13"/>
              </w:rPr>
            </w:pPr>
            <w:r w:rsidRPr="00640447">
              <w:rPr>
                <w:sz w:val="13"/>
                <w:szCs w:val="13"/>
              </w:rPr>
              <w:t>0</w:t>
            </w:r>
          </w:p>
        </w:tc>
        <w:tc>
          <w:tcPr>
            <w:tcW w:w="152" w:type="pct"/>
            <w:shd w:val="clear" w:color="auto" w:fill="auto"/>
            <w:vAlign w:val="center"/>
          </w:tcPr>
          <w:p w14:paraId="751D0039" w14:textId="77777777" w:rsidR="004A0123" w:rsidRPr="00640447" w:rsidRDefault="004A0123" w:rsidP="008A5C11">
            <w:pPr>
              <w:jc w:val="center"/>
              <w:rPr>
                <w:sz w:val="13"/>
                <w:szCs w:val="13"/>
              </w:rPr>
            </w:pPr>
            <w:r w:rsidRPr="00640447">
              <w:rPr>
                <w:sz w:val="13"/>
                <w:szCs w:val="13"/>
              </w:rPr>
              <w:t>0</w:t>
            </w:r>
          </w:p>
        </w:tc>
        <w:tc>
          <w:tcPr>
            <w:tcW w:w="152" w:type="pct"/>
            <w:shd w:val="clear" w:color="auto" w:fill="auto"/>
            <w:vAlign w:val="center"/>
          </w:tcPr>
          <w:p w14:paraId="749E8A75" w14:textId="77777777" w:rsidR="004A0123" w:rsidRPr="00640447" w:rsidRDefault="004A0123" w:rsidP="008A5C11">
            <w:pPr>
              <w:jc w:val="center"/>
              <w:rPr>
                <w:sz w:val="13"/>
                <w:szCs w:val="13"/>
              </w:rPr>
            </w:pPr>
            <w:r w:rsidRPr="00640447">
              <w:rPr>
                <w:sz w:val="13"/>
                <w:szCs w:val="13"/>
              </w:rPr>
              <w:t>0</w:t>
            </w:r>
          </w:p>
        </w:tc>
        <w:tc>
          <w:tcPr>
            <w:tcW w:w="152" w:type="pct"/>
            <w:shd w:val="clear" w:color="auto" w:fill="auto"/>
            <w:tcMar>
              <w:left w:w="28" w:type="dxa"/>
              <w:right w:w="28" w:type="dxa"/>
            </w:tcMar>
            <w:vAlign w:val="center"/>
          </w:tcPr>
          <w:p w14:paraId="01329F2C" w14:textId="77777777" w:rsidR="004A0123" w:rsidRPr="00640447" w:rsidRDefault="004A0123" w:rsidP="008A5C11">
            <w:pPr>
              <w:jc w:val="center"/>
              <w:rPr>
                <w:sz w:val="13"/>
                <w:szCs w:val="13"/>
              </w:rPr>
            </w:pPr>
            <w:r w:rsidRPr="00640447">
              <w:rPr>
                <w:sz w:val="13"/>
                <w:szCs w:val="13"/>
              </w:rPr>
              <w:t>0</w:t>
            </w:r>
          </w:p>
        </w:tc>
        <w:tc>
          <w:tcPr>
            <w:tcW w:w="152" w:type="pct"/>
            <w:shd w:val="clear" w:color="auto" w:fill="auto"/>
            <w:tcMar>
              <w:left w:w="28" w:type="dxa"/>
              <w:right w:w="28" w:type="dxa"/>
            </w:tcMar>
            <w:vAlign w:val="center"/>
          </w:tcPr>
          <w:p w14:paraId="0E11076C" w14:textId="77777777" w:rsidR="004A0123" w:rsidRPr="00640447" w:rsidRDefault="004A0123" w:rsidP="008A5C11">
            <w:pPr>
              <w:jc w:val="center"/>
              <w:rPr>
                <w:sz w:val="13"/>
                <w:szCs w:val="13"/>
              </w:rPr>
            </w:pPr>
            <w:r w:rsidRPr="00640447">
              <w:rPr>
                <w:sz w:val="13"/>
                <w:szCs w:val="13"/>
              </w:rPr>
              <w:t>0</w:t>
            </w:r>
          </w:p>
        </w:tc>
        <w:tc>
          <w:tcPr>
            <w:tcW w:w="152" w:type="pct"/>
            <w:shd w:val="clear" w:color="auto" w:fill="auto"/>
            <w:tcMar>
              <w:left w:w="28" w:type="dxa"/>
              <w:right w:w="28" w:type="dxa"/>
            </w:tcMar>
            <w:vAlign w:val="center"/>
          </w:tcPr>
          <w:p w14:paraId="3E5662B2" w14:textId="77777777" w:rsidR="004A0123" w:rsidRPr="00640447" w:rsidRDefault="004A0123" w:rsidP="008A5C11">
            <w:pPr>
              <w:jc w:val="center"/>
              <w:rPr>
                <w:sz w:val="13"/>
                <w:szCs w:val="13"/>
              </w:rPr>
            </w:pPr>
            <w:r w:rsidRPr="00640447">
              <w:rPr>
                <w:sz w:val="13"/>
                <w:szCs w:val="13"/>
              </w:rPr>
              <w:t>0</w:t>
            </w:r>
          </w:p>
        </w:tc>
        <w:tc>
          <w:tcPr>
            <w:tcW w:w="153" w:type="pct"/>
            <w:shd w:val="clear" w:color="auto" w:fill="auto"/>
            <w:tcMar>
              <w:left w:w="28" w:type="dxa"/>
              <w:right w:w="28" w:type="dxa"/>
            </w:tcMar>
            <w:vAlign w:val="center"/>
          </w:tcPr>
          <w:p w14:paraId="13152F4E" w14:textId="77777777" w:rsidR="004A0123" w:rsidRPr="00640447" w:rsidRDefault="004A0123" w:rsidP="008A5C11">
            <w:pPr>
              <w:jc w:val="center"/>
              <w:rPr>
                <w:sz w:val="13"/>
                <w:szCs w:val="13"/>
              </w:rPr>
            </w:pPr>
            <w:r w:rsidRPr="00640447">
              <w:rPr>
                <w:sz w:val="13"/>
                <w:szCs w:val="13"/>
              </w:rPr>
              <w:t>0</w:t>
            </w:r>
          </w:p>
        </w:tc>
        <w:tc>
          <w:tcPr>
            <w:tcW w:w="152" w:type="pct"/>
            <w:shd w:val="clear" w:color="auto" w:fill="auto"/>
            <w:vAlign w:val="center"/>
          </w:tcPr>
          <w:p w14:paraId="2EC47D08" w14:textId="77777777" w:rsidR="004A0123" w:rsidRPr="00640447" w:rsidRDefault="004A0123" w:rsidP="008A5C11">
            <w:pPr>
              <w:jc w:val="center"/>
              <w:rPr>
                <w:sz w:val="13"/>
                <w:szCs w:val="13"/>
              </w:rPr>
            </w:pPr>
            <w:r w:rsidRPr="00640447">
              <w:rPr>
                <w:sz w:val="13"/>
                <w:szCs w:val="13"/>
              </w:rPr>
              <w:t>0</w:t>
            </w:r>
          </w:p>
        </w:tc>
      </w:tr>
      <w:tr w:rsidR="004A0123" w:rsidRPr="00640447" w14:paraId="66B79A87" w14:textId="77777777" w:rsidTr="008A5C11">
        <w:trPr>
          <w:trHeight w:val="148"/>
          <w:jc w:val="center"/>
        </w:trPr>
        <w:tc>
          <w:tcPr>
            <w:tcW w:w="104" w:type="pct"/>
            <w:tcMar>
              <w:top w:w="62" w:type="dxa"/>
              <w:left w:w="28" w:type="dxa"/>
              <w:bottom w:w="102" w:type="dxa"/>
              <w:right w:w="28" w:type="dxa"/>
            </w:tcMar>
            <w:vAlign w:val="center"/>
          </w:tcPr>
          <w:p w14:paraId="0FD1BB1D" w14:textId="77777777" w:rsidR="004A0123" w:rsidRPr="00640447" w:rsidRDefault="004A0123" w:rsidP="008A5C11">
            <w:pPr>
              <w:jc w:val="center"/>
              <w:rPr>
                <w:sz w:val="13"/>
                <w:szCs w:val="13"/>
              </w:rPr>
            </w:pPr>
            <w:r w:rsidRPr="00640447">
              <w:rPr>
                <w:sz w:val="13"/>
                <w:szCs w:val="13"/>
              </w:rPr>
              <w:t>9</w:t>
            </w:r>
          </w:p>
        </w:tc>
        <w:tc>
          <w:tcPr>
            <w:tcW w:w="500" w:type="pct"/>
            <w:tcMar>
              <w:top w:w="62" w:type="dxa"/>
              <w:left w:w="28" w:type="dxa"/>
              <w:bottom w:w="102" w:type="dxa"/>
              <w:right w:w="28" w:type="dxa"/>
            </w:tcMar>
            <w:vAlign w:val="center"/>
          </w:tcPr>
          <w:p w14:paraId="7C040E7D" w14:textId="77777777" w:rsidR="004A0123" w:rsidRPr="00640447" w:rsidRDefault="004A0123" w:rsidP="008A5C11">
            <w:pPr>
              <w:jc w:val="center"/>
              <w:rPr>
                <w:sz w:val="13"/>
                <w:szCs w:val="13"/>
              </w:rPr>
            </w:pPr>
            <w:r w:rsidRPr="00640447">
              <w:rPr>
                <w:sz w:val="13"/>
                <w:szCs w:val="13"/>
              </w:rPr>
              <w:t>Котельная № 14</w:t>
            </w:r>
          </w:p>
        </w:tc>
        <w:tc>
          <w:tcPr>
            <w:tcW w:w="290" w:type="pct"/>
            <w:shd w:val="clear" w:color="auto" w:fill="auto"/>
            <w:tcMar>
              <w:left w:w="28" w:type="dxa"/>
              <w:right w:w="28" w:type="dxa"/>
            </w:tcMar>
            <w:vAlign w:val="center"/>
          </w:tcPr>
          <w:p w14:paraId="42ACD223" w14:textId="77777777" w:rsidR="004A0123" w:rsidRPr="00640447" w:rsidRDefault="004A0123" w:rsidP="008A5C11">
            <w:pPr>
              <w:jc w:val="center"/>
              <w:rPr>
                <w:sz w:val="13"/>
                <w:szCs w:val="13"/>
              </w:rPr>
            </w:pPr>
            <w:r w:rsidRPr="00640447">
              <w:rPr>
                <w:sz w:val="13"/>
                <w:szCs w:val="13"/>
              </w:rPr>
              <w:t>1133</w:t>
            </w:r>
          </w:p>
        </w:tc>
        <w:tc>
          <w:tcPr>
            <w:tcW w:w="224" w:type="pct"/>
            <w:shd w:val="clear" w:color="auto" w:fill="auto"/>
            <w:tcMar>
              <w:left w:w="28" w:type="dxa"/>
              <w:right w:w="28" w:type="dxa"/>
            </w:tcMar>
            <w:vAlign w:val="center"/>
          </w:tcPr>
          <w:p w14:paraId="7B0664F3" w14:textId="77777777" w:rsidR="004A0123" w:rsidRPr="00640447" w:rsidRDefault="004A0123" w:rsidP="008A5C11">
            <w:pPr>
              <w:jc w:val="center"/>
              <w:rPr>
                <w:sz w:val="13"/>
                <w:szCs w:val="13"/>
              </w:rPr>
            </w:pPr>
            <w:r w:rsidRPr="00640447">
              <w:rPr>
                <w:sz w:val="13"/>
                <w:szCs w:val="13"/>
              </w:rPr>
              <w:t>1133</w:t>
            </w:r>
          </w:p>
        </w:tc>
        <w:tc>
          <w:tcPr>
            <w:tcW w:w="224" w:type="pct"/>
            <w:shd w:val="clear" w:color="auto" w:fill="auto"/>
            <w:tcMar>
              <w:left w:w="28" w:type="dxa"/>
              <w:right w:w="28" w:type="dxa"/>
            </w:tcMar>
            <w:vAlign w:val="center"/>
          </w:tcPr>
          <w:p w14:paraId="3F5BAF1F" w14:textId="77777777" w:rsidR="004A0123" w:rsidRPr="00640447" w:rsidRDefault="004A0123" w:rsidP="008A5C11">
            <w:pPr>
              <w:jc w:val="center"/>
              <w:rPr>
                <w:sz w:val="13"/>
                <w:szCs w:val="13"/>
              </w:rPr>
            </w:pPr>
            <w:r w:rsidRPr="00640447">
              <w:rPr>
                <w:sz w:val="13"/>
                <w:szCs w:val="13"/>
              </w:rPr>
              <w:t>1133</w:t>
            </w:r>
          </w:p>
        </w:tc>
        <w:tc>
          <w:tcPr>
            <w:tcW w:w="224" w:type="pct"/>
            <w:shd w:val="clear" w:color="auto" w:fill="auto"/>
            <w:tcMar>
              <w:left w:w="28" w:type="dxa"/>
              <w:right w:w="28" w:type="dxa"/>
            </w:tcMar>
            <w:vAlign w:val="center"/>
          </w:tcPr>
          <w:p w14:paraId="3B5A0105" w14:textId="77777777" w:rsidR="004A0123" w:rsidRPr="00640447" w:rsidRDefault="004A0123" w:rsidP="008A5C11">
            <w:pPr>
              <w:jc w:val="center"/>
              <w:rPr>
                <w:sz w:val="13"/>
                <w:szCs w:val="13"/>
              </w:rPr>
            </w:pPr>
            <w:r w:rsidRPr="00640447">
              <w:rPr>
                <w:sz w:val="13"/>
                <w:szCs w:val="13"/>
              </w:rPr>
              <w:t>1133</w:t>
            </w:r>
          </w:p>
        </w:tc>
        <w:tc>
          <w:tcPr>
            <w:tcW w:w="224" w:type="pct"/>
            <w:shd w:val="clear" w:color="auto" w:fill="auto"/>
            <w:vAlign w:val="center"/>
          </w:tcPr>
          <w:p w14:paraId="06E5DE9B" w14:textId="77777777" w:rsidR="004A0123" w:rsidRPr="00640447" w:rsidRDefault="004A0123" w:rsidP="008A5C11">
            <w:pPr>
              <w:jc w:val="center"/>
              <w:rPr>
                <w:sz w:val="13"/>
                <w:szCs w:val="13"/>
              </w:rPr>
            </w:pPr>
            <w:r w:rsidRPr="00640447">
              <w:rPr>
                <w:sz w:val="13"/>
                <w:szCs w:val="13"/>
              </w:rPr>
              <w:t>1133</w:t>
            </w:r>
          </w:p>
        </w:tc>
        <w:tc>
          <w:tcPr>
            <w:tcW w:w="224" w:type="pct"/>
            <w:shd w:val="clear" w:color="auto" w:fill="auto"/>
            <w:vAlign w:val="center"/>
          </w:tcPr>
          <w:p w14:paraId="3B99A638" w14:textId="77777777" w:rsidR="004A0123" w:rsidRPr="00640447" w:rsidRDefault="004A0123" w:rsidP="008A5C11">
            <w:pPr>
              <w:jc w:val="center"/>
              <w:rPr>
                <w:sz w:val="13"/>
                <w:szCs w:val="13"/>
              </w:rPr>
            </w:pPr>
            <w:r w:rsidRPr="00640447">
              <w:rPr>
                <w:sz w:val="13"/>
                <w:szCs w:val="13"/>
              </w:rPr>
              <w:t>1133</w:t>
            </w:r>
          </w:p>
        </w:tc>
        <w:tc>
          <w:tcPr>
            <w:tcW w:w="224" w:type="pct"/>
            <w:shd w:val="clear" w:color="auto" w:fill="auto"/>
            <w:tcMar>
              <w:left w:w="28" w:type="dxa"/>
              <w:right w:w="28" w:type="dxa"/>
            </w:tcMar>
            <w:vAlign w:val="center"/>
          </w:tcPr>
          <w:p w14:paraId="108A77E1" w14:textId="77777777" w:rsidR="004A0123" w:rsidRPr="00640447" w:rsidRDefault="004A0123" w:rsidP="008A5C11">
            <w:pPr>
              <w:jc w:val="center"/>
              <w:rPr>
                <w:sz w:val="13"/>
                <w:szCs w:val="13"/>
              </w:rPr>
            </w:pPr>
            <w:r w:rsidRPr="00640447">
              <w:rPr>
                <w:sz w:val="13"/>
                <w:szCs w:val="13"/>
              </w:rPr>
              <w:t>0</w:t>
            </w:r>
          </w:p>
        </w:tc>
        <w:tc>
          <w:tcPr>
            <w:tcW w:w="224" w:type="pct"/>
            <w:shd w:val="clear" w:color="auto" w:fill="auto"/>
            <w:tcMar>
              <w:left w:w="28" w:type="dxa"/>
              <w:right w:w="28" w:type="dxa"/>
            </w:tcMar>
            <w:vAlign w:val="center"/>
          </w:tcPr>
          <w:p w14:paraId="2B25BBCC" w14:textId="77777777" w:rsidR="004A0123" w:rsidRPr="00640447" w:rsidRDefault="004A0123" w:rsidP="008A5C11">
            <w:pPr>
              <w:jc w:val="center"/>
              <w:rPr>
                <w:sz w:val="13"/>
                <w:szCs w:val="13"/>
              </w:rPr>
            </w:pPr>
            <w:r w:rsidRPr="00640447">
              <w:rPr>
                <w:sz w:val="13"/>
                <w:szCs w:val="13"/>
              </w:rPr>
              <w:t>0</w:t>
            </w:r>
          </w:p>
        </w:tc>
        <w:tc>
          <w:tcPr>
            <w:tcW w:w="224" w:type="pct"/>
            <w:shd w:val="clear" w:color="auto" w:fill="auto"/>
            <w:tcMar>
              <w:left w:w="28" w:type="dxa"/>
              <w:right w:w="28" w:type="dxa"/>
            </w:tcMar>
            <w:vAlign w:val="center"/>
          </w:tcPr>
          <w:p w14:paraId="61A23868" w14:textId="77777777" w:rsidR="004A0123" w:rsidRPr="00640447" w:rsidRDefault="004A0123" w:rsidP="008A5C11">
            <w:pPr>
              <w:jc w:val="center"/>
              <w:rPr>
                <w:sz w:val="13"/>
                <w:szCs w:val="13"/>
              </w:rPr>
            </w:pPr>
            <w:r w:rsidRPr="00640447">
              <w:rPr>
                <w:sz w:val="13"/>
                <w:szCs w:val="13"/>
              </w:rPr>
              <w:t>0</w:t>
            </w:r>
          </w:p>
        </w:tc>
        <w:tc>
          <w:tcPr>
            <w:tcW w:w="224" w:type="pct"/>
            <w:shd w:val="clear" w:color="auto" w:fill="auto"/>
            <w:tcMar>
              <w:left w:w="28" w:type="dxa"/>
              <w:right w:w="28" w:type="dxa"/>
            </w:tcMar>
            <w:vAlign w:val="center"/>
          </w:tcPr>
          <w:p w14:paraId="275AC992" w14:textId="77777777" w:rsidR="004A0123" w:rsidRPr="00640447" w:rsidRDefault="004A0123" w:rsidP="008A5C11">
            <w:pPr>
              <w:jc w:val="center"/>
              <w:rPr>
                <w:sz w:val="13"/>
                <w:szCs w:val="13"/>
              </w:rPr>
            </w:pPr>
            <w:r w:rsidRPr="00640447">
              <w:rPr>
                <w:sz w:val="13"/>
                <w:szCs w:val="13"/>
              </w:rPr>
              <w:t>0</w:t>
            </w:r>
          </w:p>
        </w:tc>
        <w:tc>
          <w:tcPr>
            <w:tcW w:w="224" w:type="pct"/>
            <w:shd w:val="clear" w:color="auto" w:fill="auto"/>
            <w:vAlign w:val="center"/>
          </w:tcPr>
          <w:p w14:paraId="60F3AD12" w14:textId="77777777" w:rsidR="004A0123" w:rsidRPr="00640447" w:rsidRDefault="004A0123" w:rsidP="008A5C11">
            <w:pPr>
              <w:jc w:val="center"/>
              <w:rPr>
                <w:sz w:val="13"/>
                <w:szCs w:val="13"/>
              </w:rPr>
            </w:pPr>
            <w:r w:rsidRPr="00640447">
              <w:rPr>
                <w:sz w:val="13"/>
                <w:szCs w:val="13"/>
              </w:rPr>
              <w:t>0</w:t>
            </w:r>
          </w:p>
        </w:tc>
        <w:tc>
          <w:tcPr>
            <w:tcW w:w="337" w:type="pct"/>
            <w:shd w:val="clear" w:color="auto" w:fill="auto"/>
            <w:tcMar>
              <w:left w:w="28" w:type="dxa"/>
              <w:right w:w="28" w:type="dxa"/>
            </w:tcMar>
            <w:vAlign w:val="center"/>
          </w:tcPr>
          <w:p w14:paraId="7F436CDE" w14:textId="77777777" w:rsidR="004A0123" w:rsidRPr="00640447" w:rsidRDefault="004A0123" w:rsidP="008A5C11">
            <w:pPr>
              <w:jc w:val="center"/>
              <w:rPr>
                <w:sz w:val="13"/>
                <w:szCs w:val="13"/>
              </w:rPr>
            </w:pPr>
            <w:r w:rsidRPr="00640447">
              <w:rPr>
                <w:sz w:val="13"/>
                <w:szCs w:val="13"/>
              </w:rPr>
              <w:t>1307</w:t>
            </w:r>
          </w:p>
        </w:tc>
        <w:tc>
          <w:tcPr>
            <w:tcW w:w="152" w:type="pct"/>
            <w:shd w:val="clear" w:color="auto" w:fill="auto"/>
            <w:tcMar>
              <w:left w:w="28" w:type="dxa"/>
              <w:right w:w="28" w:type="dxa"/>
            </w:tcMar>
            <w:vAlign w:val="center"/>
          </w:tcPr>
          <w:p w14:paraId="58B47EFA" w14:textId="77777777" w:rsidR="004A0123" w:rsidRPr="00640447" w:rsidRDefault="004A0123" w:rsidP="008A5C11">
            <w:pPr>
              <w:jc w:val="center"/>
              <w:rPr>
                <w:sz w:val="13"/>
                <w:szCs w:val="13"/>
              </w:rPr>
            </w:pPr>
            <w:r w:rsidRPr="00640447">
              <w:rPr>
                <w:sz w:val="13"/>
                <w:szCs w:val="13"/>
              </w:rPr>
              <w:t>1307</w:t>
            </w:r>
          </w:p>
        </w:tc>
        <w:tc>
          <w:tcPr>
            <w:tcW w:w="152" w:type="pct"/>
            <w:shd w:val="clear" w:color="auto" w:fill="auto"/>
            <w:tcMar>
              <w:left w:w="28" w:type="dxa"/>
              <w:right w:w="28" w:type="dxa"/>
            </w:tcMar>
            <w:vAlign w:val="center"/>
          </w:tcPr>
          <w:p w14:paraId="1F782041" w14:textId="77777777" w:rsidR="004A0123" w:rsidRPr="00640447" w:rsidRDefault="004A0123" w:rsidP="008A5C11">
            <w:pPr>
              <w:jc w:val="center"/>
              <w:rPr>
                <w:sz w:val="13"/>
                <w:szCs w:val="13"/>
              </w:rPr>
            </w:pPr>
            <w:r w:rsidRPr="00640447">
              <w:rPr>
                <w:sz w:val="13"/>
                <w:szCs w:val="13"/>
              </w:rPr>
              <w:t>1307</w:t>
            </w:r>
          </w:p>
        </w:tc>
        <w:tc>
          <w:tcPr>
            <w:tcW w:w="152" w:type="pct"/>
            <w:shd w:val="clear" w:color="auto" w:fill="auto"/>
            <w:tcMar>
              <w:left w:w="28" w:type="dxa"/>
              <w:right w:w="28" w:type="dxa"/>
            </w:tcMar>
            <w:vAlign w:val="center"/>
          </w:tcPr>
          <w:p w14:paraId="5E7A1283" w14:textId="77777777" w:rsidR="004A0123" w:rsidRPr="00640447" w:rsidRDefault="004A0123" w:rsidP="008A5C11">
            <w:pPr>
              <w:jc w:val="center"/>
              <w:rPr>
                <w:sz w:val="13"/>
                <w:szCs w:val="13"/>
              </w:rPr>
            </w:pPr>
            <w:r w:rsidRPr="00640447">
              <w:rPr>
                <w:sz w:val="13"/>
                <w:szCs w:val="13"/>
              </w:rPr>
              <w:t>1307</w:t>
            </w:r>
          </w:p>
        </w:tc>
        <w:tc>
          <w:tcPr>
            <w:tcW w:w="152" w:type="pct"/>
            <w:shd w:val="clear" w:color="auto" w:fill="auto"/>
            <w:vAlign w:val="center"/>
          </w:tcPr>
          <w:p w14:paraId="0C250E93" w14:textId="77777777" w:rsidR="004A0123" w:rsidRPr="00640447" w:rsidRDefault="004A0123" w:rsidP="008A5C11">
            <w:pPr>
              <w:jc w:val="center"/>
              <w:rPr>
                <w:sz w:val="13"/>
                <w:szCs w:val="13"/>
              </w:rPr>
            </w:pPr>
            <w:r w:rsidRPr="00640447">
              <w:rPr>
                <w:sz w:val="13"/>
                <w:szCs w:val="13"/>
              </w:rPr>
              <w:t>1307</w:t>
            </w:r>
          </w:p>
        </w:tc>
        <w:tc>
          <w:tcPr>
            <w:tcW w:w="152" w:type="pct"/>
            <w:shd w:val="clear" w:color="auto" w:fill="auto"/>
            <w:vAlign w:val="center"/>
          </w:tcPr>
          <w:p w14:paraId="04ACCEDC" w14:textId="77777777" w:rsidR="004A0123" w:rsidRPr="00640447" w:rsidRDefault="004A0123" w:rsidP="008A5C11">
            <w:pPr>
              <w:jc w:val="center"/>
              <w:rPr>
                <w:sz w:val="13"/>
                <w:szCs w:val="13"/>
              </w:rPr>
            </w:pPr>
            <w:r w:rsidRPr="00640447">
              <w:rPr>
                <w:sz w:val="13"/>
                <w:szCs w:val="13"/>
              </w:rPr>
              <w:t>1307</w:t>
            </w:r>
          </w:p>
        </w:tc>
        <w:tc>
          <w:tcPr>
            <w:tcW w:w="152" w:type="pct"/>
            <w:shd w:val="clear" w:color="auto" w:fill="auto"/>
            <w:tcMar>
              <w:left w:w="28" w:type="dxa"/>
              <w:right w:w="28" w:type="dxa"/>
            </w:tcMar>
            <w:vAlign w:val="center"/>
          </w:tcPr>
          <w:p w14:paraId="74887CE6" w14:textId="77777777" w:rsidR="004A0123" w:rsidRPr="00640447" w:rsidRDefault="004A0123" w:rsidP="008A5C11">
            <w:pPr>
              <w:jc w:val="center"/>
              <w:rPr>
                <w:sz w:val="13"/>
                <w:szCs w:val="13"/>
              </w:rPr>
            </w:pPr>
            <w:r w:rsidRPr="00640447">
              <w:rPr>
                <w:sz w:val="13"/>
                <w:szCs w:val="13"/>
              </w:rPr>
              <w:t>0</w:t>
            </w:r>
          </w:p>
        </w:tc>
        <w:tc>
          <w:tcPr>
            <w:tcW w:w="152" w:type="pct"/>
            <w:shd w:val="clear" w:color="auto" w:fill="auto"/>
            <w:tcMar>
              <w:left w:w="28" w:type="dxa"/>
              <w:right w:w="28" w:type="dxa"/>
            </w:tcMar>
            <w:vAlign w:val="center"/>
          </w:tcPr>
          <w:p w14:paraId="332C7F7D" w14:textId="77777777" w:rsidR="004A0123" w:rsidRPr="00640447" w:rsidRDefault="004A0123" w:rsidP="008A5C11">
            <w:pPr>
              <w:jc w:val="center"/>
              <w:rPr>
                <w:sz w:val="13"/>
                <w:szCs w:val="13"/>
              </w:rPr>
            </w:pPr>
            <w:r w:rsidRPr="00640447">
              <w:rPr>
                <w:sz w:val="13"/>
                <w:szCs w:val="13"/>
              </w:rPr>
              <w:t>0</w:t>
            </w:r>
          </w:p>
        </w:tc>
        <w:tc>
          <w:tcPr>
            <w:tcW w:w="152" w:type="pct"/>
            <w:shd w:val="clear" w:color="auto" w:fill="auto"/>
            <w:tcMar>
              <w:left w:w="28" w:type="dxa"/>
              <w:right w:w="28" w:type="dxa"/>
            </w:tcMar>
            <w:vAlign w:val="center"/>
          </w:tcPr>
          <w:p w14:paraId="4D23A2AB" w14:textId="77777777" w:rsidR="004A0123" w:rsidRPr="00640447" w:rsidRDefault="004A0123" w:rsidP="008A5C11">
            <w:pPr>
              <w:jc w:val="center"/>
              <w:rPr>
                <w:sz w:val="13"/>
                <w:szCs w:val="13"/>
              </w:rPr>
            </w:pPr>
            <w:r w:rsidRPr="00640447">
              <w:rPr>
                <w:sz w:val="13"/>
                <w:szCs w:val="13"/>
              </w:rPr>
              <w:t>0</w:t>
            </w:r>
          </w:p>
        </w:tc>
        <w:tc>
          <w:tcPr>
            <w:tcW w:w="153" w:type="pct"/>
            <w:shd w:val="clear" w:color="auto" w:fill="auto"/>
            <w:tcMar>
              <w:left w:w="28" w:type="dxa"/>
              <w:right w:w="28" w:type="dxa"/>
            </w:tcMar>
            <w:vAlign w:val="center"/>
          </w:tcPr>
          <w:p w14:paraId="6B24662A" w14:textId="77777777" w:rsidR="004A0123" w:rsidRPr="00640447" w:rsidRDefault="004A0123" w:rsidP="008A5C11">
            <w:pPr>
              <w:jc w:val="center"/>
              <w:rPr>
                <w:sz w:val="13"/>
                <w:szCs w:val="13"/>
              </w:rPr>
            </w:pPr>
            <w:r w:rsidRPr="00640447">
              <w:rPr>
                <w:sz w:val="13"/>
                <w:szCs w:val="13"/>
              </w:rPr>
              <w:t>0</w:t>
            </w:r>
          </w:p>
        </w:tc>
        <w:tc>
          <w:tcPr>
            <w:tcW w:w="152" w:type="pct"/>
            <w:shd w:val="clear" w:color="auto" w:fill="auto"/>
            <w:vAlign w:val="center"/>
          </w:tcPr>
          <w:p w14:paraId="6E70569C" w14:textId="77777777" w:rsidR="004A0123" w:rsidRPr="00640447" w:rsidRDefault="004A0123" w:rsidP="008A5C11">
            <w:pPr>
              <w:jc w:val="center"/>
              <w:rPr>
                <w:sz w:val="13"/>
                <w:szCs w:val="13"/>
              </w:rPr>
            </w:pPr>
            <w:r w:rsidRPr="00640447">
              <w:rPr>
                <w:sz w:val="13"/>
                <w:szCs w:val="13"/>
              </w:rPr>
              <w:t>0</w:t>
            </w:r>
          </w:p>
        </w:tc>
      </w:tr>
      <w:tr w:rsidR="004A0123" w:rsidRPr="00640447" w14:paraId="3E7C3816" w14:textId="77777777" w:rsidTr="008A5C11">
        <w:trPr>
          <w:trHeight w:val="148"/>
          <w:jc w:val="center"/>
        </w:trPr>
        <w:tc>
          <w:tcPr>
            <w:tcW w:w="104" w:type="pct"/>
            <w:tcMar>
              <w:top w:w="62" w:type="dxa"/>
              <w:left w:w="28" w:type="dxa"/>
              <w:bottom w:w="102" w:type="dxa"/>
              <w:right w:w="28" w:type="dxa"/>
            </w:tcMar>
            <w:vAlign w:val="center"/>
          </w:tcPr>
          <w:p w14:paraId="2CB010A0" w14:textId="77777777" w:rsidR="004A0123" w:rsidRPr="00640447" w:rsidRDefault="004A0123" w:rsidP="008A5C11">
            <w:pPr>
              <w:jc w:val="center"/>
              <w:rPr>
                <w:sz w:val="13"/>
                <w:szCs w:val="13"/>
              </w:rPr>
            </w:pPr>
            <w:r w:rsidRPr="00640447">
              <w:rPr>
                <w:sz w:val="13"/>
                <w:szCs w:val="13"/>
              </w:rPr>
              <w:t>10</w:t>
            </w:r>
          </w:p>
        </w:tc>
        <w:tc>
          <w:tcPr>
            <w:tcW w:w="500" w:type="pct"/>
            <w:tcMar>
              <w:top w:w="62" w:type="dxa"/>
              <w:left w:w="28" w:type="dxa"/>
              <w:bottom w:w="102" w:type="dxa"/>
              <w:right w:w="28" w:type="dxa"/>
            </w:tcMar>
            <w:vAlign w:val="center"/>
          </w:tcPr>
          <w:p w14:paraId="797A8CF5" w14:textId="77777777" w:rsidR="004A0123" w:rsidRPr="00640447" w:rsidRDefault="004A0123" w:rsidP="008A5C11">
            <w:pPr>
              <w:jc w:val="center"/>
              <w:rPr>
                <w:sz w:val="13"/>
                <w:szCs w:val="13"/>
              </w:rPr>
            </w:pPr>
            <w:r w:rsidRPr="00640447">
              <w:rPr>
                <w:sz w:val="13"/>
                <w:szCs w:val="13"/>
              </w:rPr>
              <w:t>Котельная № 20</w:t>
            </w:r>
          </w:p>
        </w:tc>
        <w:tc>
          <w:tcPr>
            <w:tcW w:w="290" w:type="pct"/>
            <w:shd w:val="clear" w:color="auto" w:fill="auto"/>
            <w:tcMar>
              <w:left w:w="28" w:type="dxa"/>
              <w:right w:w="28" w:type="dxa"/>
            </w:tcMar>
            <w:vAlign w:val="center"/>
          </w:tcPr>
          <w:p w14:paraId="6D7E941A" w14:textId="77777777" w:rsidR="004A0123" w:rsidRPr="00640447" w:rsidRDefault="004A0123" w:rsidP="008A5C11">
            <w:pPr>
              <w:jc w:val="center"/>
              <w:rPr>
                <w:sz w:val="13"/>
                <w:szCs w:val="13"/>
              </w:rPr>
            </w:pPr>
            <w:r w:rsidRPr="00640447">
              <w:rPr>
                <w:sz w:val="13"/>
                <w:szCs w:val="13"/>
              </w:rPr>
              <w:t>278</w:t>
            </w:r>
          </w:p>
        </w:tc>
        <w:tc>
          <w:tcPr>
            <w:tcW w:w="224" w:type="pct"/>
            <w:shd w:val="clear" w:color="auto" w:fill="auto"/>
            <w:tcMar>
              <w:left w:w="28" w:type="dxa"/>
              <w:right w:w="28" w:type="dxa"/>
            </w:tcMar>
            <w:vAlign w:val="center"/>
          </w:tcPr>
          <w:p w14:paraId="2C04A873" w14:textId="77777777" w:rsidR="004A0123" w:rsidRPr="00640447" w:rsidRDefault="004A0123" w:rsidP="008A5C11">
            <w:pPr>
              <w:jc w:val="center"/>
              <w:rPr>
                <w:sz w:val="13"/>
                <w:szCs w:val="13"/>
              </w:rPr>
            </w:pPr>
            <w:r w:rsidRPr="00640447">
              <w:rPr>
                <w:sz w:val="13"/>
                <w:szCs w:val="13"/>
              </w:rPr>
              <w:t>278</w:t>
            </w:r>
          </w:p>
        </w:tc>
        <w:tc>
          <w:tcPr>
            <w:tcW w:w="224" w:type="pct"/>
            <w:shd w:val="clear" w:color="auto" w:fill="auto"/>
            <w:tcMar>
              <w:left w:w="28" w:type="dxa"/>
              <w:right w:w="28" w:type="dxa"/>
            </w:tcMar>
            <w:vAlign w:val="center"/>
          </w:tcPr>
          <w:p w14:paraId="49BF191F" w14:textId="77777777" w:rsidR="004A0123" w:rsidRPr="00640447" w:rsidRDefault="004A0123" w:rsidP="008A5C11">
            <w:pPr>
              <w:jc w:val="center"/>
              <w:rPr>
                <w:sz w:val="13"/>
                <w:szCs w:val="13"/>
              </w:rPr>
            </w:pPr>
            <w:r w:rsidRPr="00640447">
              <w:rPr>
                <w:sz w:val="13"/>
                <w:szCs w:val="13"/>
              </w:rPr>
              <w:t>278</w:t>
            </w:r>
          </w:p>
        </w:tc>
        <w:tc>
          <w:tcPr>
            <w:tcW w:w="224" w:type="pct"/>
            <w:shd w:val="clear" w:color="auto" w:fill="auto"/>
            <w:tcMar>
              <w:left w:w="28" w:type="dxa"/>
              <w:right w:w="28" w:type="dxa"/>
            </w:tcMar>
            <w:vAlign w:val="center"/>
          </w:tcPr>
          <w:p w14:paraId="43338FD4" w14:textId="77777777" w:rsidR="004A0123" w:rsidRPr="00640447" w:rsidRDefault="004A0123" w:rsidP="008A5C11">
            <w:pPr>
              <w:jc w:val="center"/>
              <w:rPr>
                <w:sz w:val="13"/>
                <w:szCs w:val="13"/>
              </w:rPr>
            </w:pPr>
            <w:r w:rsidRPr="00640447">
              <w:rPr>
                <w:sz w:val="13"/>
                <w:szCs w:val="13"/>
              </w:rPr>
              <w:t>278</w:t>
            </w:r>
          </w:p>
        </w:tc>
        <w:tc>
          <w:tcPr>
            <w:tcW w:w="224" w:type="pct"/>
            <w:shd w:val="clear" w:color="auto" w:fill="auto"/>
            <w:vAlign w:val="center"/>
          </w:tcPr>
          <w:p w14:paraId="2C21A27E" w14:textId="77777777" w:rsidR="004A0123" w:rsidRPr="00640447" w:rsidRDefault="004A0123" w:rsidP="008A5C11">
            <w:pPr>
              <w:jc w:val="center"/>
              <w:rPr>
                <w:sz w:val="13"/>
                <w:szCs w:val="13"/>
              </w:rPr>
            </w:pPr>
            <w:r w:rsidRPr="00640447">
              <w:rPr>
                <w:sz w:val="13"/>
                <w:szCs w:val="13"/>
              </w:rPr>
              <w:t>278</w:t>
            </w:r>
          </w:p>
        </w:tc>
        <w:tc>
          <w:tcPr>
            <w:tcW w:w="224" w:type="pct"/>
            <w:shd w:val="clear" w:color="auto" w:fill="auto"/>
            <w:vAlign w:val="center"/>
          </w:tcPr>
          <w:p w14:paraId="21637386" w14:textId="77777777" w:rsidR="004A0123" w:rsidRPr="00640447" w:rsidRDefault="004A0123" w:rsidP="008A5C11">
            <w:pPr>
              <w:jc w:val="center"/>
              <w:rPr>
                <w:sz w:val="13"/>
                <w:szCs w:val="13"/>
              </w:rPr>
            </w:pPr>
            <w:r w:rsidRPr="00640447">
              <w:rPr>
                <w:sz w:val="13"/>
                <w:szCs w:val="13"/>
              </w:rPr>
              <w:t>0</w:t>
            </w:r>
          </w:p>
        </w:tc>
        <w:tc>
          <w:tcPr>
            <w:tcW w:w="224" w:type="pct"/>
            <w:shd w:val="clear" w:color="auto" w:fill="auto"/>
            <w:tcMar>
              <w:left w:w="28" w:type="dxa"/>
              <w:right w:w="28" w:type="dxa"/>
            </w:tcMar>
            <w:vAlign w:val="center"/>
          </w:tcPr>
          <w:p w14:paraId="7F53948C" w14:textId="77777777" w:rsidR="004A0123" w:rsidRPr="00640447" w:rsidRDefault="004A0123" w:rsidP="008A5C11">
            <w:pPr>
              <w:jc w:val="center"/>
              <w:rPr>
                <w:sz w:val="13"/>
                <w:szCs w:val="13"/>
              </w:rPr>
            </w:pPr>
            <w:r w:rsidRPr="00640447">
              <w:rPr>
                <w:sz w:val="13"/>
                <w:szCs w:val="13"/>
              </w:rPr>
              <w:t>0</w:t>
            </w:r>
          </w:p>
        </w:tc>
        <w:tc>
          <w:tcPr>
            <w:tcW w:w="224" w:type="pct"/>
            <w:shd w:val="clear" w:color="auto" w:fill="auto"/>
            <w:tcMar>
              <w:left w:w="28" w:type="dxa"/>
              <w:right w:w="28" w:type="dxa"/>
            </w:tcMar>
            <w:vAlign w:val="center"/>
          </w:tcPr>
          <w:p w14:paraId="4476B9E4" w14:textId="77777777" w:rsidR="004A0123" w:rsidRPr="00640447" w:rsidRDefault="004A0123" w:rsidP="008A5C11">
            <w:pPr>
              <w:jc w:val="center"/>
              <w:rPr>
                <w:sz w:val="13"/>
                <w:szCs w:val="13"/>
              </w:rPr>
            </w:pPr>
            <w:r w:rsidRPr="00640447">
              <w:rPr>
                <w:sz w:val="13"/>
                <w:szCs w:val="13"/>
              </w:rPr>
              <w:t>0</w:t>
            </w:r>
          </w:p>
        </w:tc>
        <w:tc>
          <w:tcPr>
            <w:tcW w:w="224" w:type="pct"/>
            <w:shd w:val="clear" w:color="auto" w:fill="auto"/>
            <w:tcMar>
              <w:left w:w="28" w:type="dxa"/>
              <w:right w:w="28" w:type="dxa"/>
            </w:tcMar>
            <w:vAlign w:val="center"/>
          </w:tcPr>
          <w:p w14:paraId="19C6438F" w14:textId="77777777" w:rsidR="004A0123" w:rsidRPr="00640447" w:rsidRDefault="004A0123" w:rsidP="008A5C11">
            <w:pPr>
              <w:jc w:val="center"/>
              <w:rPr>
                <w:sz w:val="13"/>
                <w:szCs w:val="13"/>
              </w:rPr>
            </w:pPr>
            <w:r w:rsidRPr="00640447">
              <w:rPr>
                <w:sz w:val="13"/>
                <w:szCs w:val="13"/>
              </w:rPr>
              <w:t>0</w:t>
            </w:r>
          </w:p>
        </w:tc>
        <w:tc>
          <w:tcPr>
            <w:tcW w:w="224" w:type="pct"/>
            <w:shd w:val="clear" w:color="auto" w:fill="auto"/>
            <w:tcMar>
              <w:left w:w="28" w:type="dxa"/>
              <w:right w:w="28" w:type="dxa"/>
            </w:tcMar>
            <w:vAlign w:val="center"/>
          </w:tcPr>
          <w:p w14:paraId="661A95B8" w14:textId="77777777" w:rsidR="004A0123" w:rsidRPr="00640447" w:rsidRDefault="004A0123" w:rsidP="008A5C11">
            <w:pPr>
              <w:jc w:val="center"/>
              <w:rPr>
                <w:sz w:val="13"/>
                <w:szCs w:val="13"/>
              </w:rPr>
            </w:pPr>
            <w:r w:rsidRPr="00640447">
              <w:rPr>
                <w:sz w:val="13"/>
                <w:szCs w:val="13"/>
              </w:rPr>
              <w:t>0</w:t>
            </w:r>
          </w:p>
        </w:tc>
        <w:tc>
          <w:tcPr>
            <w:tcW w:w="224" w:type="pct"/>
            <w:shd w:val="clear" w:color="auto" w:fill="auto"/>
            <w:vAlign w:val="center"/>
          </w:tcPr>
          <w:p w14:paraId="24EEACB4" w14:textId="77777777" w:rsidR="004A0123" w:rsidRPr="00640447" w:rsidRDefault="004A0123" w:rsidP="008A5C11">
            <w:pPr>
              <w:jc w:val="center"/>
              <w:rPr>
                <w:sz w:val="13"/>
                <w:szCs w:val="13"/>
              </w:rPr>
            </w:pPr>
            <w:r w:rsidRPr="00640447">
              <w:rPr>
                <w:sz w:val="13"/>
                <w:szCs w:val="13"/>
              </w:rPr>
              <w:t>0</w:t>
            </w:r>
          </w:p>
        </w:tc>
        <w:tc>
          <w:tcPr>
            <w:tcW w:w="337" w:type="pct"/>
            <w:shd w:val="clear" w:color="auto" w:fill="auto"/>
            <w:tcMar>
              <w:left w:w="28" w:type="dxa"/>
              <w:right w:w="28" w:type="dxa"/>
            </w:tcMar>
            <w:vAlign w:val="center"/>
          </w:tcPr>
          <w:p w14:paraId="73644EB4" w14:textId="77777777" w:rsidR="004A0123" w:rsidRPr="00640447" w:rsidRDefault="004A0123" w:rsidP="008A5C11">
            <w:pPr>
              <w:jc w:val="center"/>
              <w:rPr>
                <w:sz w:val="13"/>
                <w:szCs w:val="13"/>
              </w:rPr>
            </w:pPr>
            <w:r w:rsidRPr="00640447">
              <w:rPr>
                <w:sz w:val="13"/>
                <w:szCs w:val="13"/>
              </w:rPr>
              <w:t>334</w:t>
            </w:r>
          </w:p>
        </w:tc>
        <w:tc>
          <w:tcPr>
            <w:tcW w:w="152" w:type="pct"/>
            <w:shd w:val="clear" w:color="auto" w:fill="auto"/>
            <w:tcMar>
              <w:left w:w="28" w:type="dxa"/>
              <w:right w:w="28" w:type="dxa"/>
            </w:tcMar>
            <w:vAlign w:val="center"/>
          </w:tcPr>
          <w:p w14:paraId="6A2C3D02" w14:textId="77777777" w:rsidR="004A0123" w:rsidRPr="00640447" w:rsidRDefault="004A0123" w:rsidP="008A5C11">
            <w:pPr>
              <w:jc w:val="center"/>
              <w:rPr>
                <w:sz w:val="13"/>
                <w:szCs w:val="13"/>
              </w:rPr>
            </w:pPr>
            <w:r w:rsidRPr="00640447">
              <w:rPr>
                <w:sz w:val="13"/>
                <w:szCs w:val="13"/>
              </w:rPr>
              <w:t>334</w:t>
            </w:r>
          </w:p>
        </w:tc>
        <w:tc>
          <w:tcPr>
            <w:tcW w:w="152" w:type="pct"/>
            <w:shd w:val="clear" w:color="auto" w:fill="auto"/>
            <w:tcMar>
              <w:left w:w="28" w:type="dxa"/>
              <w:right w:w="28" w:type="dxa"/>
            </w:tcMar>
            <w:vAlign w:val="center"/>
          </w:tcPr>
          <w:p w14:paraId="3E2D6C0A" w14:textId="77777777" w:rsidR="004A0123" w:rsidRPr="00640447" w:rsidRDefault="004A0123" w:rsidP="008A5C11">
            <w:pPr>
              <w:jc w:val="center"/>
              <w:rPr>
                <w:sz w:val="13"/>
                <w:szCs w:val="13"/>
              </w:rPr>
            </w:pPr>
            <w:r w:rsidRPr="00640447">
              <w:rPr>
                <w:sz w:val="13"/>
                <w:szCs w:val="13"/>
              </w:rPr>
              <w:t>334</w:t>
            </w:r>
          </w:p>
        </w:tc>
        <w:tc>
          <w:tcPr>
            <w:tcW w:w="152" w:type="pct"/>
            <w:shd w:val="clear" w:color="auto" w:fill="auto"/>
            <w:tcMar>
              <w:left w:w="28" w:type="dxa"/>
              <w:right w:w="28" w:type="dxa"/>
            </w:tcMar>
            <w:vAlign w:val="center"/>
          </w:tcPr>
          <w:p w14:paraId="6F968E34" w14:textId="77777777" w:rsidR="004A0123" w:rsidRPr="00640447" w:rsidRDefault="004A0123" w:rsidP="008A5C11">
            <w:pPr>
              <w:jc w:val="center"/>
              <w:rPr>
                <w:sz w:val="13"/>
                <w:szCs w:val="13"/>
              </w:rPr>
            </w:pPr>
            <w:r w:rsidRPr="00640447">
              <w:rPr>
                <w:sz w:val="13"/>
                <w:szCs w:val="13"/>
              </w:rPr>
              <w:t>334</w:t>
            </w:r>
          </w:p>
        </w:tc>
        <w:tc>
          <w:tcPr>
            <w:tcW w:w="152" w:type="pct"/>
            <w:shd w:val="clear" w:color="auto" w:fill="auto"/>
            <w:vAlign w:val="center"/>
          </w:tcPr>
          <w:p w14:paraId="7DDA412C" w14:textId="77777777" w:rsidR="004A0123" w:rsidRPr="00640447" w:rsidRDefault="004A0123" w:rsidP="008A5C11">
            <w:pPr>
              <w:jc w:val="center"/>
              <w:rPr>
                <w:sz w:val="13"/>
                <w:szCs w:val="13"/>
              </w:rPr>
            </w:pPr>
            <w:r w:rsidRPr="00640447">
              <w:rPr>
                <w:sz w:val="13"/>
                <w:szCs w:val="13"/>
              </w:rPr>
              <w:t>334</w:t>
            </w:r>
          </w:p>
        </w:tc>
        <w:tc>
          <w:tcPr>
            <w:tcW w:w="152" w:type="pct"/>
            <w:shd w:val="clear" w:color="auto" w:fill="auto"/>
            <w:vAlign w:val="center"/>
          </w:tcPr>
          <w:p w14:paraId="39031E8F" w14:textId="77777777" w:rsidR="004A0123" w:rsidRPr="00640447" w:rsidRDefault="004A0123" w:rsidP="008A5C11">
            <w:pPr>
              <w:jc w:val="center"/>
              <w:rPr>
                <w:sz w:val="13"/>
                <w:szCs w:val="13"/>
              </w:rPr>
            </w:pPr>
            <w:r w:rsidRPr="00640447">
              <w:rPr>
                <w:sz w:val="13"/>
                <w:szCs w:val="13"/>
              </w:rPr>
              <w:t>0</w:t>
            </w:r>
          </w:p>
        </w:tc>
        <w:tc>
          <w:tcPr>
            <w:tcW w:w="152" w:type="pct"/>
            <w:shd w:val="clear" w:color="auto" w:fill="auto"/>
            <w:tcMar>
              <w:left w:w="28" w:type="dxa"/>
              <w:right w:w="28" w:type="dxa"/>
            </w:tcMar>
            <w:vAlign w:val="center"/>
          </w:tcPr>
          <w:p w14:paraId="47B82B3E" w14:textId="77777777" w:rsidR="004A0123" w:rsidRPr="00640447" w:rsidRDefault="004A0123" w:rsidP="008A5C11">
            <w:pPr>
              <w:jc w:val="center"/>
              <w:rPr>
                <w:sz w:val="13"/>
                <w:szCs w:val="13"/>
              </w:rPr>
            </w:pPr>
            <w:r w:rsidRPr="00640447">
              <w:rPr>
                <w:sz w:val="13"/>
                <w:szCs w:val="13"/>
              </w:rPr>
              <w:t>0</w:t>
            </w:r>
          </w:p>
        </w:tc>
        <w:tc>
          <w:tcPr>
            <w:tcW w:w="152" w:type="pct"/>
            <w:shd w:val="clear" w:color="auto" w:fill="auto"/>
            <w:tcMar>
              <w:left w:w="28" w:type="dxa"/>
              <w:right w:w="28" w:type="dxa"/>
            </w:tcMar>
            <w:vAlign w:val="center"/>
          </w:tcPr>
          <w:p w14:paraId="7F5FB473" w14:textId="77777777" w:rsidR="004A0123" w:rsidRPr="00640447" w:rsidRDefault="004A0123" w:rsidP="008A5C11">
            <w:pPr>
              <w:jc w:val="center"/>
              <w:rPr>
                <w:sz w:val="13"/>
                <w:szCs w:val="13"/>
              </w:rPr>
            </w:pPr>
            <w:r w:rsidRPr="00640447">
              <w:rPr>
                <w:sz w:val="13"/>
                <w:szCs w:val="13"/>
              </w:rPr>
              <w:t>0</w:t>
            </w:r>
          </w:p>
        </w:tc>
        <w:tc>
          <w:tcPr>
            <w:tcW w:w="152" w:type="pct"/>
            <w:shd w:val="clear" w:color="auto" w:fill="auto"/>
            <w:tcMar>
              <w:left w:w="28" w:type="dxa"/>
              <w:right w:w="28" w:type="dxa"/>
            </w:tcMar>
            <w:vAlign w:val="center"/>
          </w:tcPr>
          <w:p w14:paraId="159A9232" w14:textId="77777777" w:rsidR="004A0123" w:rsidRPr="00640447" w:rsidRDefault="004A0123" w:rsidP="008A5C11">
            <w:pPr>
              <w:jc w:val="center"/>
              <w:rPr>
                <w:sz w:val="13"/>
                <w:szCs w:val="13"/>
              </w:rPr>
            </w:pPr>
            <w:r w:rsidRPr="00640447">
              <w:rPr>
                <w:sz w:val="13"/>
                <w:szCs w:val="13"/>
              </w:rPr>
              <w:t>0</w:t>
            </w:r>
          </w:p>
        </w:tc>
        <w:tc>
          <w:tcPr>
            <w:tcW w:w="153" w:type="pct"/>
            <w:shd w:val="clear" w:color="auto" w:fill="auto"/>
            <w:tcMar>
              <w:left w:w="28" w:type="dxa"/>
              <w:right w:w="28" w:type="dxa"/>
            </w:tcMar>
            <w:vAlign w:val="center"/>
          </w:tcPr>
          <w:p w14:paraId="65E749B9" w14:textId="77777777" w:rsidR="004A0123" w:rsidRPr="00640447" w:rsidRDefault="004A0123" w:rsidP="008A5C11">
            <w:pPr>
              <w:jc w:val="center"/>
              <w:rPr>
                <w:sz w:val="13"/>
                <w:szCs w:val="13"/>
              </w:rPr>
            </w:pPr>
            <w:r w:rsidRPr="00640447">
              <w:rPr>
                <w:sz w:val="13"/>
                <w:szCs w:val="13"/>
              </w:rPr>
              <w:t>0</w:t>
            </w:r>
          </w:p>
        </w:tc>
        <w:tc>
          <w:tcPr>
            <w:tcW w:w="152" w:type="pct"/>
            <w:shd w:val="clear" w:color="auto" w:fill="auto"/>
            <w:vAlign w:val="center"/>
          </w:tcPr>
          <w:p w14:paraId="75043BEF" w14:textId="77777777" w:rsidR="004A0123" w:rsidRPr="00640447" w:rsidRDefault="004A0123" w:rsidP="008A5C11">
            <w:pPr>
              <w:jc w:val="center"/>
              <w:rPr>
                <w:sz w:val="13"/>
                <w:szCs w:val="13"/>
              </w:rPr>
            </w:pPr>
            <w:r w:rsidRPr="00640447">
              <w:rPr>
                <w:sz w:val="13"/>
                <w:szCs w:val="13"/>
              </w:rPr>
              <w:t>0</w:t>
            </w:r>
          </w:p>
        </w:tc>
      </w:tr>
      <w:tr w:rsidR="004A0123" w:rsidRPr="00640447" w14:paraId="359A30FA" w14:textId="77777777" w:rsidTr="008A5C11">
        <w:trPr>
          <w:trHeight w:val="148"/>
          <w:jc w:val="center"/>
        </w:trPr>
        <w:tc>
          <w:tcPr>
            <w:tcW w:w="104" w:type="pct"/>
            <w:tcMar>
              <w:top w:w="62" w:type="dxa"/>
              <w:left w:w="28" w:type="dxa"/>
              <w:bottom w:w="102" w:type="dxa"/>
              <w:right w:w="28" w:type="dxa"/>
            </w:tcMar>
            <w:vAlign w:val="center"/>
          </w:tcPr>
          <w:p w14:paraId="3E806C00" w14:textId="77777777" w:rsidR="004A0123" w:rsidRPr="00640447" w:rsidRDefault="004A0123" w:rsidP="008A5C11">
            <w:pPr>
              <w:jc w:val="center"/>
              <w:rPr>
                <w:sz w:val="13"/>
                <w:szCs w:val="13"/>
              </w:rPr>
            </w:pPr>
            <w:r w:rsidRPr="00640447">
              <w:rPr>
                <w:sz w:val="13"/>
                <w:szCs w:val="13"/>
              </w:rPr>
              <w:t>11</w:t>
            </w:r>
          </w:p>
        </w:tc>
        <w:tc>
          <w:tcPr>
            <w:tcW w:w="500" w:type="pct"/>
            <w:tcMar>
              <w:top w:w="62" w:type="dxa"/>
              <w:left w:w="28" w:type="dxa"/>
              <w:bottom w:w="102" w:type="dxa"/>
              <w:right w:w="28" w:type="dxa"/>
            </w:tcMar>
            <w:vAlign w:val="center"/>
          </w:tcPr>
          <w:p w14:paraId="5FBC04D4" w14:textId="77777777" w:rsidR="004A0123" w:rsidRPr="00640447" w:rsidRDefault="004A0123" w:rsidP="008A5C11">
            <w:pPr>
              <w:jc w:val="center"/>
              <w:rPr>
                <w:sz w:val="13"/>
                <w:szCs w:val="13"/>
              </w:rPr>
            </w:pPr>
            <w:r w:rsidRPr="00640447">
              <w:rPr>
                <w:sz w:val="13"/>
                <w:szCs w:val="13"/>
              </w:rPr>
              <w:t>Котельная № 26</w:t>
            </w:r>
          </w:p>
        </w:tc>
        <w:tc>
          <w:tcPr>
            <w:tcW w:w="290" w:type="pct"/>
            <w:shd w:val="clear" w:color="auto" w:fill="auto"/>
            <w:tcMar>
              <w:left w:w="28" w:type="dxa"/>
              <w:right w:w="28" w:type="dxa"/>
            </w:tcMar>
            <w:vAlign w:val="center"/>
          </w:tcPr>
          <w:p w14:paraId="4B122822" w14:textId="77777777" w:rsidR="004A0123" w:rsidRPr="00640447" w:rsidRDefault="004A0123" w:rsidP="008A5C11">
            <w:pPr>
              <w:jc w:val="center"/>
              <w:rPr>
                <w:sz w:val="13"/>
                <w:szCs w:val="13"/>
              </w:rPr>
            </w:pPr>
            <w:r w:rsidRPr="00640447">
              <w:rPr>
                <w:sz w:val="13"/>
                <w:szCs w:val="13"/>
              </w:rPr>
              <w:t>432</w:t>
            </w:r>
          </w:p>
        </w:tc>
        <w:tc>
          <w:tcPr>
            <w:tcW w:w="224" w:type="pct"/>
            <w:shd w:val="clear" w:color="auto" w:fill="auto"/>
            <w:tcMar>
              <w:left w:w="28" w:type="dxa"/>
              <w:right w:w="28" w:type="dxa"/>
            </w:tcMar>
            <w:vAlign w:val="center"/>
          </w:tcPr>
          <w:p w14:paraId="129A8881" w14:textId="77777777" w:rsidR="004A0123" w:rsidRPr="00640447" w:rsidRDefault="004A0123" w:rsidP="008A5C11">
            <w:pPr>
              <w:jc w:val="center"/>
              <w:rPr>
                <w:sz w:val="13"/>
                <w:szCs w:val="13"/>
              </w:rPr>
            </w:pPr>
            <w:r w:rsidRPr="00640447">
              <w:rPr>
                <w:sz w:val="13"/>
                <w:szCs w:val="13"/>
              </w:rPr>
              <w:t>432</w:t>
            </w:r>
          </w:p>
        </w:tc>
        <w:tc>
          <w:tcPr>
            <w:tcW w:w="224" w:type="pct"/>
            <w:shd w:val="clear" w:color="auto" w:fill="auto"/>
            <w:tcMar>
              <w:left w:w="28" w:type="dxa"/>
              <w:right w:w="28" w:type="dxa"/>
            </w:tcMar>
            <w:vAlign w:val="center"/>
          </w:tcPr>
          <w:p w14:paraId="4D7382C5" w14:textId="77777777" w:rsidR="004A0123" w:rsidRPr="00640447" w:rsidRDefault="004A0123" w:rsidP="008A5C11">
            <w:pPr>
              <w:jc w:val="center"/>
              <w:rPr>
                <w:sz w:val="13"/>
                <w:szCs w:val="13"/>
              </w:rPr>
            </w:pPr>
            <w:r w:rsidRPr="00640447">
              <w:rPr>
                <w:sz w:val="13"/>
                <w:szCs w:val="13"/>
              </w:rPr>
              <w:t>432</w:t>
            </w:r>
          </w:p>
        </w:tc>
        <w:tc>
          <w:tcPr>
            <w:tcW w:w="224" w:type="pct"/>
            <w:shd w:val="clear" w:color="auto" w:fill="auto"/>
            <w:tcMar>
              <w:left w:w="28" w:type="dxa"/>
              <w:right w:w="28" w:type="dxa"/>
            </w:tcMar>
            <w:vAlign w:val="center"/>
          </w:tcPr>
          <w:p w14:paraId="636CAB76" w14:textId="77777777" w:rsidR="004A0123" w:rsidRPr="00640447" w:rsidRDefault="004A0123" w:rsidP="008A5C11">
            <w:pPr>
              <w:jc w:val="center"/>
              <w:rPr>
                <w:sz w:val="13"/>
                <w:szCs w:val="13"/>
              </w:rPr>
            </w:pPr>
            <w:r w:rsidRPr="00640447">
              <w:rPr>
                <w:sz w:val="13"/>
                <w:szCs w:val="13"/>
              </w:rPr>
              <w:t>432</w:t>
            </w:r>
          </w:p>
        </w:tc>
        <w:tc>
          <w:tcPr>
            <w:tcW w:w="224" w:type="pct"/>
            <w:shd w:val="clear" w:color="auto" w:fill="auto"/>
            <w:vAlign w:val="center"/>
          </w:tcPr>
          <w:p w14:paraId="5AFABD49" w14:textId="77777777" w:rsidR="004A0123" w:rsidRPr="00640447" w:rsidRDefault="004A0123" w:rsidP="008A5C11">
            <w:pPr>
              <w:jc w:val="center"/>
              <w:rPr>
                <w:sz w:val="13"/>
                <w:szCs w:val="13"/>
              </w:rPr>
            </w:pPr>
            <w:r w:rsidRPr="00640447">
              <w:rPr>
                <w:sz w:val="13"/>
                <w:szCs w:val="13"/>
              </w:rPr>
              <w:t>432</w:t>
            </w:r>
          </w:p>
        </w:tc>
        <w:tc>
          <w:tcPr>
            <w:tcW w:w="224" w:type="pct"/>
            <w:shd w:val="clear" w:color="auto" w:fill="auto"/>
            <w:vAlign w:val="center"/>
          </w:tcPr>
          <w:p w14:paraId="603C772E" w14:textId="77777777" w:rsidR="004A0123" w:rsidRPr="00640447" w:rsidRDefault="004A0123" w:rsidP="008A5C11">
            <w:pPr>
              <w:jc w:val="center"/>
              <w:rPr>
                <w:sz w:val="13"/>
                <w:szCs w:val="13"/>
              </w:rPr>
            </w:pPr>
            <w:r w:rsidRPr="00640447">
              <w:rPr>
                <w:sz w:val="13"/>
                <w:szCs w:val="13"/>
              </w:rPr>
              <w:t>432</w:t>
            </w:r>
          </w:p>
        </w:tc>
        <w:tc>
          <w:tcPr>
            <w:tcW w:w="224" w:type="pct"/>
            <w:shd w:val="clear" w:color="auto" w:fill="auto"/>
            <w:tcMar>
              <w:left w:w="28" w:type="dxa"/>
              <w:right w:w="28" w:type="dxa"/>
            </w:tcMar>
            <w:vAlign w:val="center"/>
          </w:tcPr>
          <w:p w14:paraId="0AB4FB80" w14:textId="77777777" w:rsidR="004A0123" w:rsidRPr="00640447" w:rsidRDefault="004A0123" w:rsidP="008A5C11">
            <w:pPr>
              <w:jc w:val="center"/>
              <w:rPr>
                <w:sz w:val="13"/>
                <w:szCs w:val="13"/>
              </w:rPr>
            </w:pPr>
            <w:r w:rsidRPr="00640447">
              <w:rPr>
                <w:sz w:val="13"/>
                <w:szCs w:val="13"/>
              </w:rPr>
              <w:t>432</w:t>
            </w:r>
          </w:p>
        </w:tc>
        <w:tc>
          <w:tcPr>
            <w:tcW w:w="224" w:type="pct"/>
            <w:shd w:val="clear" w:color="auto" w:fill="auto"/>
            <w:tcMar>
              <w:left w:w="28" w:type="dxa"/>
              <w:right w:w="28" w:type="dxa"/>
            </w:tcMar>
            <w:vAlign w:val="center"/>
          </w:tcPr>
          <w:p w14:paraId="5C212488" w14:textId="77777777" w:rsidR="004A0123" w:rsidRPr="00640447" w:rsidRDefault="004A0123" w:rsidP="008A5C11">
            <w:pPr>
              <w:jc w:val="center"/>
              <w:rPr>
                <w:sz w:val="13"/>
                <w:szCs w:val="13"/>
              </w:rPr>
            </w:pPr>
            <w:r w:rsidRPr="00640447">
              <w:rPr>
                <w:sz w:val="13"/>
                <w:szCs w:val="13"/>
              </w:rPr>
              <w:t>432</w:t>
            </w:r>
          </w:p>
        </w:tc>
        <w:tc>
          <w:tcPr>
            <w:tcW w:w="224" w:type="pct"/>
            <w:shd w:val="clear" w:color="auto" w:fill="auto"/>
            <w:tcMar>
              <w:left w:w="28" w:type="dxa"/>
              <w:right w:w="28" w:type="dxa"/>
            </w:tcMar>
            <w:vAlign w:val="center"/>
          </w:tcPr>
          <w:p w14:paraId="7E8356BC" w14:textId="77777777" w:rsidR="004A0123" w:rsidRPr="00640447" w:rsidRDefault="004A0123" w:rsidP="008A5C11">
            <w:pPr>
              <w:jc w:val="center"/>
              <w:rPr>
                <w:sz w:val="13"/>
                <w:szCs w:val="13"/>
              </w:rPr>
            </w:pPr>
            <w:r w:rsidRPr="00640447">
              <w:rPr>
                <w:sz w:val="13"/>
                <w:szCs w:val="13"/>
              </w:rPr>
              <w:t>432</w:t>
            </w:r>
          </w:p>
        </w:tc>
        <w:tc>
          <w:tcPr>
            <w:tcW w:w="224" w:type="pct"/>
            <w:shd w:val="clear" w:color="auto" w:fill="auto"/>
            <w:tcMar>
              <w:left w:w="28" w:type="dxa"/>
              <w:right w:w="28" w:type="dxa"/>
            </w:tcMar>
            <w:vAlign w:val="center"/>
          </w:tcPr>
          <w:p w14:paraId="0FA368A1" w14:textId="77777777" w:rsidR="004A0123" w:rsidRPr="00640447" w:rsidRDefault="004A0123" w:rsidP="008A5C11">
            <w:pPr>
              <w:jc w:val="center"/>
              <w:rPr>
                <w:sz w:val="13"/>
                <w:szCs w:val="13"/>
              </w:rPr>
            </w:pPr>
            <w:r w:rsidRPr="00640447">
              <w:rPr>
                <w:sz w:val="13"/>
                <w:szCs w:val="13"/>
              </w:rPr>
              <w:t>432</w:t>
            </w:r>
          </w:p>
        </w:tc>
        <w:tc>
          <w:tcPr>
            <w:tcW w:w="224" w:type="pct"/>
            <w:shd w:val="clear" w:color="auto" w:fill="auto"/>
            <w:vAlign w:val="center"/>
          </w:tcPr>
          <w:p w14:paraId="0AF1A58F" w14:textId="77777777" w:rsidR="004A0123" w:rsidRPr="00640447" w:rsidRDefault="004A0123" w:rsidP="008A5C11">
            <w:pPr>
              <w:jc w:val="center"/>
              <w:rPr>
                <w:sz w:val="13"/>
                <w:szCs w:val="13"/>
              </w:rPr>
            </w:pPr>
            <w:r w:rsidRPr="00640447">
              <w:rPr>
                <w:sz w:val="13"/>
                <w:szCs w:val="13"/>
              </w:rPr>
              <w:t>432</w:t>
            </w:r>
          </w:p>
        </w:tc>
        <w:tc>
          <w:tcPr>
            <w:tcW w:w="337" w:type="pct"/>
            <w:shd w:val="clear" w:color="auto" w:fill="auto"/>
            <w:tcMar>
              <w:left w:w="28" w:type="dxa"/>
              <w:right w:w="28" w:type="dxa"/>
            </w:tcMar>
            <w:vAlign w:val="center"/>
          </w:tcPr>
          <w:p w14:paraId="736913D9" w14:textId="77777777" w:rsidR="004A0123" w:rsidRPr="00640447" w:rsidRDefault="004A0123" w:rsidP="008A5C11">
            <w:pPr>
              <w:jc w:val="center"/>
              <w:rPr>
                <w:sz w:val="13"/>
                <w:szCs w:val="13"/>
              </w:rPr>
            </w:pPr>
            <w:r w:rsidRPr="00640447">
              <w:rPr>
                <w:sz w:val="13"/>
                <w:szCs w:val="13"/>
              </w:rPr>
              <w:t>401</w:t>
            </w:r>
          </w:p>
        </w:tc>
        <w:tc>
          <w:tcPr>
            <w:tcW w:w="152" w:type="pct"/>
            <w:shd w:val="clear" w:color="auto" w:fill="auto"/>
            <w:tcMar>
              <w:left w:w="28" w:type="dxa"/>
              <w:right w:w="28" w:type="dxa"/>
            </w:tcMar>
            <w:vAlign w:val="center"/>
          </w:tcPr>
          <w:p w14:paraId="212B4ED1" w14:textId="77777777" w:rsidR="004A0123" w:rsidRPr="00640447" w:rsidRDefault="004A0123" w:rsidP="008A5C11">
            <w:pPr>
              <w:jc w:val="center"/>
              <w:rPr>
                <w:sz w:val="13"/>
                <w:szCs w:val="13"/>
              </w:rPr>
            </w:pPr>
            <w:r w:rsidRPr="00640447">
              <w:rPr>
                <w:sz w:val="13"/>
                <w:szCs w:val="13"/>
              </w:rPr>
              <w:t>401</w:t>
            </w:r>
          </w:p>
        </w:tc>
        <w:tc>
          <w:tcPr>
            <w:tcW w:w="152" w:type="pct"/>
            <w:shd w:val="clear" w:color="auto" w:fill="auto"/>
            <w:tcMar>
              <w:left w:w="28" w:type="dxa"/>
              <w:right w:w="28" w:type="dxa"/>
            </w:tcMar>
            <w:vAlign w:val="center"/>
          </w:tcPr>
          <w:p w14:paraId="157B5975" w14:textId="77777777" w:rsidR="004A0123" w:rsidRPr="00640447" w:rsidRDefault="004A0123" w:rsidP="008A5C11">
            <w:pPr>
              <w:jc w:val="center"/>
              <w:rPr>
                <w:sz w:val="13"/>
                <w:szCs w:val="13"/>
              </w:rPr>
            </w:pPr>
            <w:r w:rsidRPr="00640447">
              <w:rPr>
                <w:sz w:val="13"/>
                <w:szCs w:val="13"/>
              </w:rPr>
              <w:t>401</w:t>
            </w:r>
          </w:p>
        </w:tc>
        <w:tc>
          <w:tcPr>
            <w:tcW w:w="152" w:type="pct"/>
            <w:shd w:val="clear" w:color="auto" w:fill="auto"/>
            <w:tcMar>
              <w:left w:w="28" w:type="dxa"/>
              <w:right w:w="28" w:type="dxa"/>
            </w:tcMar>
            <w:vAlign w:val="center"/>
          </w:tcPr>
          <w:p w14:paraId="38239374" w14:textId="77777777" w:rsidR="004A0123" w:rsidRPr="00640447" w:rsidRDefault="004A0123" w:rsidP="008A5C11">
            <w:pPr>
              <w:jc w:val="center"/>
              <w:rPr>
                <w:sz w:val="13"/>
                <w:szCs w:val="13"/>
              </w:rPr>
            </w:pPr>
            <w:r w:rsidRPr="00640447">
              <w:rPr>
                <w:sz w:val="13"/>
                <w:szCs w:val="13"/>
              </w:rPr>
              <w:t>401</w:t>
            </w:r>
          </w:p>
        </w:tc>
        <w:tc>
          <w:tcPr>
            <w:tcW w:w="152" w:type="pct"/>
            <w:shd w:val="clear" w:color="auto" w:fill="auto"/>
            <w:vAlign w:val="center"/>
          </w:tcPr>
          <w:p w14:paraId="47DC9A96" w14:textId="77777777" w:rsidR="004A0123" w:rsidRPr="00640447" w:rsidRDefault="004A0123" w:rsidP="008A5C11">
            <w:pPr>
              <w:jc w:val="center"/>
              <w:rPr>
                <w:sz w:val="13"/>
                <w:szCs w:val="13"/>
              </w:rPr>
            </w:pPr>
            <w:r w:rsidRPr="00640447">
              <w:rPr>
                <w:sz w:val="13"/>
                <w:szCs w:val="13"/>
              </w:rPr>
              <w:t>401</w:t>
            </w:r>
          </w:p>
        </w:tc>
        <w:tc>
          <w:tcPr>
            <w:tcW w:w="152" w:type="pct"/>
            <w:shd w:val="clear" w:color="auto" w:fill="auto"/>
            <w:vAlign w:val="center"/>
          </w:tcPr>
          <w:p w14:paraId="75235756" w14:textId="77777777" w:rsidR="004A0123" w:rsidRPr="00640447" w:rsidRDefault="004A0123" w:rsidP="008A5C11">
            <w:pPr>
              <w:jc w:val="center"/>
              <w:rPr>
                <w:sz w:val="13"/>
                <w:szCs w:val="13"/>
              </w:rPr>
            </w:pPr>
            <w:r w:rsidRPr="00640447">
              <w:rPr>
                <w:sz w:val="13"/>
                <w:szCs w:val="13"/>
              </w:rPr>
              <w:t>401</w:t>
            </w:r>
          </w:p>
        </w:tc>
        <w:tc>
          <w:tcPr>
            <w:tcW w:w="152" w:type="pct"/>
            <w:shd w:val="clear" w:color="auto" w:fill="auto"/>
            <w:tcMar>
              <w:left w:w="28" w:type="dxa"/>
              <w:right w:w="28" w:type="dxa"/>
            </w:tcMar>
            <w:vAlign w:val="center"/>
          </w:tcPr>
          <w:p w14:paraId="67DA7F31" w14:textId="77777777" w:rsidR="004A0123" w:rsidRPr="00640447" w:rsidRDefault="004A0123" w:rsidP="008A5C11">
            <w:pPr>
              <w:jc w:val="center"/>
              <w:rPr>
                <w:sz w:val="13"/>
                <w:szCs w:val="13"/>
              </w:rPr>
            </w:pPr>
            <w:r w:rsidRPr="00640447">
              <w:rPr>
                <w:sz w:val="13"/>
                <w:szCs w:val="13"/>
              </w:rPr>
              <w:t>401</w:t>
            </w:r>
          </w:p>
        </w:tc>
        <w:tc>
          <w:tcPr>
            <w:tcW w:w="152" w:type="pct"/>
            <w:shd w:val="clear" w:color="auto" w:fill="auto"/>
            <w:tcMar>
              <w:left w:w="28" w:type="dxa"/>
              <w:right w:w="28" w:type="dxa"/>
            </w:tcMar>
            <w:vAlign w:val="center"/>
          </w:tcPr>
          <w:p w14:paraId="444E6BDE" w14:textId="77777777" w:rsidR="004A0123" w:rsidRPr="00640447" w:rsidRDefault="004A0123" w:rsidP="008A5C11">
            <w:pPr>
              <w:jc w:val="center"/>
              <w:rPr>
                <w:sz w:val="13"/>
                <w:szCs w:val="13"/>
              </w:rPr>
            </w:pPr>
            <w:r w:rsidRPr="00640447">
              <w:rPr>
                <w:sz w:val="13"/>
                <w:szCs w:val="13"/>
              </w:rPr>
              <w:t>401</w:t>
            </w:r>
          </w:p>
        </w:tc>
        <w:tc>
          <w:tcPr>
            <w:tcW w:w="152" w:type="pct"/>
            <w:shd w:val="clear" w:color="auto" w:fill="auto"/>
            <w:tcMar>
              <w:left w:w="28" w:type="dxa"/>
              <w:right w:w="28" w:type="dxa"/>
            </w:tcMar>
            <w:vAlign w:val="center"/>
          </w:tcPr>
          <w:p w14:paraId="0F8D012A" w14:textId="77777777" w:rsidR="004A0123" w:rsidRPr="00640447" w:rsidRDefault="004A0123" w:rsidP="008A5C11">
            <w:pPr>
              <w:jc w:val="center"/>
              <w:rPr>
                <w:sz w:val="13"/>
                <w:szCs w:val="13"/>
              </w:rPr>
            </w:pPr>
            <w:r w:rsidRPr="00640447">
              <w:rPr>
                <w:sz w:val="13"/>
                <w:szCs w:val="13"/>
              </w:rPr>
              <w:t>401</w:t>
            </w:r>
          </w:p>
        </w:tc>
        <w:tc>
          <w:tcPr>
            <w:tcW w:w="153" w:type="pct"/>
            <w:shd w:val="clear" w:color="auto" w:fill="auto"/>
            <w:tcMar>
              <w:left w:w="28" w:type="dxa"/>
              <w:right w:w="28" w:type="dxa"/>
            </w:tcMar>
            <w:vAlign w:val="center"/>
          </w:tcPr>
          <w:p w14:paraId="2F724FBF" w14:textId="77777777" w:rsidR="004A0123" w:rsidRPr="00640447" w:rsidRDefault="004A0123" w:rsidP="008A5C11">
            <w:pPr>
              <w:jc w:val="center"/>
              <w:rPr>
                <w:sz w:val="13"/>
                <w:szCs w:val="13"/>
              </w:rPr>
            </w:pPr>
            <w:r w:rsidRPr="00640447">
              <w:rPr>
                <w:sz w:val="13"/>
                <w:szCs w:val="13"/>
              </w:rPr>
              <w:t>401</w:t>
            </w:r>
          </w:p>
        </w:tc>
        <w:tc>
          <w:tcPr>
            <w:tcW w:w="152" w:type="pct"/>
            <w:shd w:val="clear" w:color="auto" w:fill="auto"/>
            <w:vAlign w:val="center"/>
          </w:tcPr>
          <w:p w14:paraId="4F6A21A9" w14:textId="77777777" w:rsidR="004A0123" w:rsidRPr="00640447" w:rsidRDefault="004A0123" w:rsidP="008A5C11">
            <w:pPr>
              <w:jc w:val="center"/>
              <w:rPr>
                <w:sz w:val="13"/>
                <w:szCs w:val="13"/>
              </w:rPr>
            </w:pPr>
            <w:r w:rsidRPr="00640447">
              <w:rPr>
                <w:sz w:val="13"/>
                <w:szCs w:val="13"/>
              </w:rPr>
              <w:t>401</w:t>
            </w:r>
          </w:p>
        </w:tc>
      </w:tr>
      <w:tr w:rsidR="004A0123" w:rsidRPr="00640447" w14:paraId="35A7B207" w14:textId="77777777" w:rsidTr="008A5C11">
        <w:trPr>
          <w:trHeight w:val="148"/>
          <w:jc w:val="center"/>
        </w:trPr>
        <w:tc>
          <w:tcPr>
            <w:tcW w:w="104" w:type="pct"/>
            <w:tcMar>
              <w:top w:w="62" w:type="dxa"/>
              <w:left w:w="28" w:type="dxa"/>
              <w:bottom w:w="102" w:type="dxa"/>
              <w:right w:w="28" w:type="dxa"/>
            </w:tcMar>
            <w:vAlign w:val="center"/>
          </w:tcPr>
          <w:p w14:paraId="7755C5D4" w14:textId="77777777" w:rsidR="004A0123" w:rsidRPr="00640447" w:rsidRDefault="004A0123" w:rsidP="008A5C11">
            <w:pPr>
              <w:jc w:val="center"/>
              <w:rPr>
                <w:sz w:val="13"/>
                <w:szCs w:val="13"/>
              </w:rPr>
            </w:pPr>
            <w:r w:rsidRPr="00640447">
              <w:rPr>
                <w:sz w:val="13"/>
                <w:szCs w:val="13"/>
              </w:rPr>
              <w:t>12</w:t>
            </w:r>
          </w:p>
        </w:tc>
        <w:tc>
          <w:tcPr>
            <w:tcW w:w="500" w:type="pct"/>
            <w:tcMar>
              <w:top w:w="62" w:type="dxa"/>
              <w:left w:w="28" w:type="dxa"/>
              <w:bottom w:w="102" w:type="dxa"/>
              <w:right w:w="28" w:type="dxa"/>
            </w:tcMar>
            <w:vAlign w:val="center"/>
          </w:tcPr>
          <w:p w14:paraId="30933C25" w14:textId="77777777" w:rsidR="004A0123" w:rsidRPr="00640447" w:rsidRDefault="004A0123" w:rsidP="008A5C11">
            <w:pPr>
              <w:jc w:val="center"/>
              <w:rPr>
                <w:sz w:val="13"/>
                <w:szCs w:val="13"/>
              </w:rPr>
            </w:pPr>
            <w:r w:rsidRPr="00640447">
              <w:rPr>
                <w:sz w:val="13"/>
                <w:szCs w:val="13"/>
              </w:rPr>
              <w:t>Котельная № 40</w:t>
            </w:r>
          </w:p>
        </w:tc>
        <w:tc>
          <w:tcPr>
            <w:tcW w:w="290" w:type="pct"/>
            <w:shd w:val="clear" w:color="auto" w:fill="auto"/>
            <w:tcMar>
              <w:left w:w="28" w:type="dxa"/>
              <w:right w:w="28" w:type="dxa"/>
            </w:tcMar>
            <w:vAlign w:val="center"/>
          </w:tcPr>
          <w:p w14:paraId="1B772119" w14:textId="77777777" w:rsidR="004A0123" w:rsidRPr="00640447" w:rsidRDefault="004A0123" w:rsidP="008A5C11">
            <w:pPr>
              <w:jc w:val="center"/>
              <w:rPr>
                <w:sz w:val="13"/>
                <w:szCs w:val="13"/>
              </w:rPr>
            </w:pPr>
            <w:r w:rsidRPr="00640447">
              <w:rPr>
                <w:sz w:val="13"/>
                <w:szCs w:val="13"/>
              </w:rPr>
              <w:t>25</w:t>
            </w:r>
          </w:p>
        </w:tc>
        <w:tc>
          <w:tcPr>
            <w:tcW w:w="224" w:type="pct"/>
            <w:shd w:val="clear" w:color="auto" w:fill="auto"/>
            <w:tcMar>
              <w:left w:w="28" w:type="dxa"/>
              <w:right w:w="28" w:type="dxa"/>
            </w:tcMar>
            <w:vAlign w:val="center"/>
          </w:tcPr>
          <w:p w14:paraId="443D84C3" w14:textId="77777777" w:rsidR="004A0123" w:rsidRPr="00640447" w:rsidRDefault="004A0123" w:rsidP="008A5C11">
            <w:pPr>
              <w:jc w:val="center"/>
              <w:rPr>
                <w:sz w:val="13"/>
                <w:szCs w:val="13"/>
              </w:rPr>
            </w:pPr>
            <w:r w:rsidRPr="00640447">
              <w:rPr>
                <w:sz w:val="13"/>
                <w:szCs w:val="13"/>
              </w:rPr>
              <w:t>25</w:t>
            </w:r>
          </w:p>
        </w:tc>
        <w:tc>
          <w:tcPr>
            <w:tcW w:w="224" w:type="pct"/>
            <w:shd w:val="clear" w:color="auto" w:fill="auto"/>
            <w:tcMar>
              <w:left w:w="28" w:type="dxa"/>
              <w:right w:w="28" w:type="dxa"/>
            </w:tcMar>
            <w:vAlign w:val="center"/>
          </w:tcPr>
          <w:p w14:paraId="071B0E07" w14:textId="77777777" w:rsidR="004A0123" w:rsidRPr="00640447" w:rsidRDefault="004A0123" w:rsidP="008A5C11">
            <w:pPr>
              <w:jc w:val="center"/>
              <w:rPr>
                <w:sz w:val="13"/>
                <w:szCs w:val="13"/>
              </w:rPr>
            </w:pPr>
            <w:r w:rsidRPr="00640447">
              <w:rPr>
                <w:sz w:val="13"/>
                <w:szCs w:val="13"/>
              </w:rPr>
              <w:t>25</w:t>
            </w:r>
          </w:p>
        </w:tc>
        <w:tc>
          <w:tcPr>
            <w:tcW w:w="224" w:type="pct"/>
            <w:shd w:val="clear" w:color="auto" w:fill="auto"/>
            <w:tcMar>
              <w:left w:w="28" w:type="dxa"/>
              <w:right w:w="28" w:type="dxa"/>
            </w:tcMar>
            <w:vAlign w:val="center"/>
          </w:tcPr>
          <w:p w14:paraId="33F5C636" w14:textId="77777777" w:rsidR="004A0123" w:rsidRPr="00640447" w:rsidRDefault="004A0123" w:rsidP="008A5C11">
            <w:pPr>
              <w:jc w:val="center"/>
              <w:rPr>
                <w:sz w:val="13"/>
                <w:szCs w:val="13"/>
              </w:rPr>
            </w:pPr>
            <w:r w:rsidRPr="00640447">
              <w:rPr>
                <w:sz w:val="13"/>
                <w:szCs w:val="13"/>
              </w:rPr>
              <w:t>25</w:t>
            </w:r>
          </w:p>
        </w:tc>
        <w:tc>
          <w:tcPr>
            <w:tcW w:w="224" w:type="pct"/>
            <w:shd w:val="clear" w:color="auto" w:fill="auto"/>
            <w:vAlign w:val="center"/>
          </w:tcPr>
          <w:p w14:paraId="76C1CAC6" w14:textId="77777777" w:rsidR="004A0123" w:rsidRPr="00640447" w:rsidRDefault="004A0123" w:rsidP="008A5C11">
            <w:pPr>
              <w:jc w:val="center"/>
              <w:rPr>
                <w:sz w:val="13"/>
                <w:szCs w:val="13"/>
              </w:rPr>
            </w:pPr>
            <w:r w:rsidRPr="00640447">
              <w:rPr>
                <w:sz w:val="13"/>
                <w:szCs w:val="13"/>
              </w:rPr>
              <w:t>25</w:t>
            </w:r>
          </w:p>
        </w:tc>
        <w:tc>
          <w:tcPr>
            <w:tcW w:w="224" w:type="pct"/>
            <w:shd w:val="clear" w:color="auto" w:fill="auto"/>
            <w:vAlign w:val="center"/>
          </w:tcPr>
          <w:p w14:paraId="038D00E0" w14:textId="77777777" w:rsidR="004A0123" w:rsidRPr="00640447" w:rsidRDefault="004A0123" w:rsidP="008A5C11">
            <w:pPr>
              <w:jc w:val="center"/>
              <w:rPr>
                <w:sz w:val="13"/>
                <w:szCs w:val="13"/>
              </w:rPr>
            </w:pPr>
            <w:r w:rsidRPr="00640447">
              <w:rPr>
                <w:sz w:val="13"/>
                <w:szCs w:val="13"/>
              </w:rPr>
              <w:t>25</w:t>
            </w:r>
          </w:p>
        </w:tc>
        <w:tc>
          <w:tcPr>
            <w:tcW w:w="224" w:type="pct"/>
            <w:shd w:val="clear" w:color="auto" w:fill="auto"/>
            <w:tcMar>
              <w:left w:w="28" w:type="dxa"/>
              <w:right w:w="28" w:type="dxa"/>
            </w:tcMar>
            <w:vAlign w:val="center"/>
          </w:tcPr>
          <w:p w14:paraId="53673710" w14:textId="77777777" w:rsidR="004A0123" w:rsidRPr="00640447" w:rsidRDefault="004A0123" w:rsidP="008A5C11">
            <w:pPr>
              <w:jc w:val="center"/>
              <w:rPr>
                <w:sz w:val="13"/>
                <w:szCs w:val="13"/>
              </w:rPr>
            </w:pPr>
            <w:r w:rsidRPr="00640447">
              <w:rPr>
                <w:sz w:val="13"/>
                <w:szCs w:val="13"/>
              </w:rPr>
              <w:t>25</w:t>
            </w:r>
          </w:p>
        </w:tc>
        <w:tc>
          <w:tcPr>
            <w:tcW w:w="224" w:type="pct"/>
            <w:shd w:val="clear" w:color="auto" w:fill="auto"/>
            <w:tcMar>
              <w:left w:w="28" w:type="dxa"/>
              <w:right w:w="28" w:type="dxa"/>
            </w:tcMar>
            <w:vAlign w:val="center"/>
          </w:tcPr>
          <w:p w14:paraId="39B848AA" w14:textId="77777777" w:rsidR="004A0123" w:rsidRPr="00640447" w:rsidRDefault="004A0123" w:rsidP="008A5C11">
            <w:pPr>
              <w:jc w:val="center"/>
              <w:rPr>
                <w:sz w:val="13"/>
                <w:szCs w:val="13"/>
              </w:rPr>
            </w:pPr>
            <w:r w:rsidRPr="00640447">
              <w:rPr>
                <w:sz w:val="13"/>
                <w:szCs w:val="13"/>
              </w:rPr>
              <w:t>25</w:t>
            </w:r>
          </w:p>
        </w:tc>
        <w:tc>
          <w:tcPr>
            <w:tcW w:w="224" w:type="pct"/>
            <w:shd w:val="clear" w:color="auto" w:fill="auto"/>
            <w:tcMar>
              <w:left w:w="28" w:type="dxa"/>
              <w:right w:w="28" w:type="dxa"/>
            </w:tcMar>
            <w:vAlign w:val="center"/>
          </w:tcPr>
          <w:p w14:paraId="6DC87227" w14:textId="77777777" w:rsidR="004A0123" w:rsidRPr="00640447" w:rsidRDefault="004A0123" w:rsidP="008A5C11">
            <w:pPr>
              <w:jc w:val="center"/>
              <w:rPr>
                <w:sz w:val="13"/>
                <w:szCs w:val="13"/>
              </w:rPr>
            </w:pPr>
            <w:r w:rsidRPr="00640447">
              <w:rPr>
                <w:sz w:val="13"/>
                <w:szCs w:val="13"/>
              </w:rPr>
              <w:t>25</w:t>
            </w:r>
          </w:p>
        </w:tc>
        <w:tc>
          <w:tcPr>
            <w:tcW w:w="224" w:type="pct"/>
            <w:shd w:val="clear" w:color="auto" w:fill="auto"/>
            <w:tcMar>
              <w:left w:w="28" w:type="dxa"/>
              <w:right w:w="28" w:type="dxa"/>
            </w:tcMar>
            <w:vAlign w:val="center"/>
          </w:tcPr>
          <w:p w14:paraId="3DD03E8D" w14:textId="77777777" w:rsidR="004A0123" w:rsidRPr="00640447" w:rsidRDefault="004A0123" w:rsidP="008A5C11">
            <w:pPr>
              <w:jc w:val="center"/>
              <w:rPr>
                <w:sz w:val="13"/>
                <w:szCs w:val="13"/>
              </w:rPr>
            </w:pPr>
            <w:r w:rsidRPr="00640447">
              <w:rPr>
                <w:sz w:val="13"/>
                <w:szCs w:val="13"/>
              </w:rPr>
              <w:t>25</w:t>
            </w:r>
          </w:p>
        </w:tc>
        <w:tc>
          <w:tcPr>
            <w:tcW w:w="224" w:type="pct"/>
            <w:shd w:val="clear" w:color="auto" w:fill="auto"/>
            <w:vAlign w:val="center"/>
          </w:tcPr>
          <w:p w14:paraId="78FC6EC7" w14:textId="77777777" w:rsidR="004A0123" w:rsidRPr="00640447" w:rsidRDefault="004A0123" w:rsidP="008A5C11">
            <w:pPr>
              <w:jc w:val="center"/>
              <w:rPr>
                <w:sz w:val="13"/>
                <w:szCs w:val="13"/>
              </w:rPr>
            </w:pPr>
            <w:r w:rsidRPr="00640447">
              <w:rPr>
                <w:sz w:val="13"/>
                <w:szCs w:val="13"/>
              </w:rPr>
              <w:t>25</w:t>
            </w:r>
          </w:p>
        </w:tc>
        <w:tc>
          <w:tcPr>
            <w:tcW w:w="337" w:type="pct"/>
            <w:shd w:val="clear" w:color="auto" w:fill="auto"/>
            <w:tcMar>
              <w:left w:w="28" w:type="dxa"/>
              <w:right w:w="28" w:type="dxa"/>
            </w:tcMar>
            <w:vAlign w:val="center"/>
          </w:tcPr>
          <w:p w14:paraId="0732B40B" w14:textId="77777777" w:rsidR="004A0123" w:rsidRPr="00640447" w:rsidRDefault="004A0123" w:rsidP="008A5C11">
            <w:pPr>
              <w:jc w:val="center"/>
              <w:rPr>
                <w:sz w:val="13"/>
                <w:szCs w:val="13"/>
              </w:rPr>
            </w:pPr>
            <w:r w:rsidRPr="00640447">
              <w:rPr>
                <w:sz w:val="13"/>
                <w:szCs w:val="13"/>
              </w:rPr>
              <w:t>23</w:t>
            </w:r>
          </w:p>
        </w:tc>
        <w:tc>
          <w:tcPr>
            <w:tcW w:w="152" w:type="pct"/>
            <w:shd w:val="clear" w:color="auto" w:fill="auto"/>
            <w:tcMar>
              <w:left w:w="28" w:type="dxa"/>
              <w:right w:w="28" w:type="dxa"/>
            </w:tcMar>
            <w:vAlign w:val="center"/>
          </w:tcPr>
          <w:p w14:paraId="3F31C544" w14:textId="77777777" w:rsidR="004A0123" w:rsidRPr="00640447" w:rsidRDefault="004A0123" w:rsidP="008A5C11">
            <w:pPr>
              <w:jc w:val="center"/>
              <w:rPr>
                <w:sz w:val="13"/>
                <w:szCs w:val="13"/>
              </w:rPr>
            </w:pPr>
            <w:r w:rsidRPr="00640447">
              <w:rPr>
                <w:sz w:val="13"/>
                <w:szCs w:val="13"/>
              </w:rPr>
              <w:t>23</w:t>
            </w:r>
          </w:p>
        </w:tc>
        <w:tc>
          <w:tcPr>
            <w:tcW w:w="152" w:type="pct"/>
            <w:shd w:val="clear" w:color="auto" w:fill="auto"/>
            <w:tcMar>
              <w:left w:w="28" w:type="dxa"/>
              <w:right w:w="28" w:type="dxa"/>
            </w:tcMar>
            <w:vAlign w:val="center"/>
          </w:tcPr>
          <w:p w14:paraId="73698F2D" w14:textId="77777777" w:rsidR="004A0123" w:rsidRPr="00640447" w:rsidRDefault="004A0123" w:rsidP="008A5C11">
            <w:pPr>
              <w:jc w:val="center"/>
              <w:rPr>
                <w:sz w:val="13"/>
                <w:szCs w:val="13"/>
              </w:rPr>
            </w:pPr>
            <w:r w:rsidRPr="00640447">
              <w:rPr>
                <w:sz w:val="13"/>
                <w:szCs w:val="13"/>
              </w:rPr>
              <w:t>23</w:t>
            </w:r>
          </w:p>
        </w:tc>
        <w:tc>
          <w:tcPr>
            <w:tcW w:w="152" w:type="pct"/>
            <w:shd w:val="clear" w:color="auto" w:fill="auto"/>
            <w:tcMar>
              <w:left w:w="28" w:type="dxa"/>
              <w:right w:w="28" w:type="dxa"/>
            </w:tcMar>
            <w:vAlign w:val="center"/>
          </w:tcPr>
          <w:p w14:paraId="33A6AA82" w14:textId="77777777" w:rsidR="004A0123" w:rsidRPr="00640447" w:rsidRDefault="004A0123" w:rsidP="008A5C11">
            <w:pPr>
              <w:jc w:val="center"/>
              <w:rPr>
                <w:sz w:val="13"/>
                <w:szCs w:val="13"/>
              </w:rPr>
            </w:pPr>
            <w:r w:rsidRPr="00640447">
              <w:rPr>
                <w:sz w:val="13"/>
                <w:szCs w:val="13"/>
              </w:rPr>
              <w:t>23</w:t>
            </w:r>
          </w:p>
        </w:tc>
        <w:tc>
          <w:tcPr>
            <w:tcW w:w="152" w:type="pct"/>
            <w:shd w:val="clear" w:color="auto" w:fill="auto"/>
            <w:vAlign w:val="center"/>
          </w:tcPr>
          <w:p w14:paraId="1BE80C21" w14:textId="77777777" w:rsidR="004A0123" w:rsidRPr="00640447" w:rsidRDefault="004A0123" w:rsidP="008A5C11">
            <w:pPr>
              <w:jc w:val="center"/>
              <w:rPr>
                <w:sz w:val="13"/>
                <w:szCs w:val="13"/>
              </w:rPr>
            </w:pPr>
            <w:r w:rsidRPr="00640447">
              <w:rPr>
                <w:sz w:val="13"/>
                <w:szCs w:val="13"/>
              </w:rPr>
              <w:t>23</w:t>
            </w:r>
          </w:p>
        </w:tc>
        <w:tc>
          <w:tcPr>
            <w:tcW w:w="152" w:type="pct"/>
            <w:shd w:val="clear" w:color="auto" w:fill="auto"/>
            <w:vAlign w:val="center"/>
          </w:tcPr>
          <w:p w14:paraId="30260BBB" w14:textId="77777777" w:rsidR="004A0123" w:rsidRPr="00640447" w:rsidRDefault="004A0123" w:rsidP="008A5C11">
            <w:pPr>
              <w:jc w:val="center"/>
              <w:rPr>
                <w:sz w:val="13"/>
                <w:szCs w:val="13"/>
              </w:rPr>
            </w:pPr>
            <w:r w:rsidRPr="00640447">
              <w:rPr>
                <w:sz w:val="13"/>
                <w:szCs w:val="13"/>
              </w:rPr>
              <w:t>23</w:t>
            </w:r>
          </w:p>
        </w:tc>
        <w:tc>
          <w:tcPr>
            <w:tcW w:w="152" w:type="pct"/>
            <w:shd w:val="clear" w:color="auto" w:fill="auto"/>
            <w:tcMar>
              <w:left w:w="28" w:type="dxa"/>
              <w:right w:w="28" w:type="dxa"/>
            </w:tcMar>
            <w:vAlign w:val="center"/>
          </w:tcPr>
          <w:p w14:paraId="3E9CD22F" w14:textId="77777777" w:rsidR="004A0123" w:rsidRPr="00640447" w:rsidRDefault="004A0123" w:rsidP="008A5C11">
            <w:pPr>
              <w:jc w:val="center"/>
              <w:rPr>
                <w:sz w:val="13"/>
                <w:szCs w:val="13"/>
              </w:rPr>
            </w:pPr>
            <w:r w:rsidRPr="00640447">
              <w:rPr>
                <w:sz w:val="13"/>
                <w:szCs w:val="13"/>
              </w:rPr>
              <w:t>23</w:t>
            </w:r>
          </w:p>
        </w:tc>
        <w:tc>
          <w:tcPr>
            <w:tcW w:w="152" w:type="pct"/>
            <w:shd w:val="clear" w:color="auto" w:fill="auto"/>
            <w:tcMar>
              <w:left w:w="28" w:type="dxa"/>
              <w:right w:w="28" w:type="dxa"/>
            </w:tcMar>
            <w:vAlign w:val="center"/>
          </w:tcPr>
          <w:p w14:paraId="21383955" w14:textId="77777777" w:rsidR="004A0123" w:rsidRPr="00640447" w:rsidRDefault="004A0123" w:rsidP="008A5C11">
            <w:pPr>
              <w:jc w:val="center"/>
              <w:rPr>
                <w:sz w:val="13"/>
                <w:szCs w:val="13"/>
              </w:rPr>
            </w:pPr>
            <w:r w:rsidRPr="00640447">
              <w:rPr>
                <w:sz w:val="13"/>
                <w:szCs w:val="13"/>
              </w:rPr>
              <w:t>23</w:t>
            </w:r>
          </w:p>
        </w:tc>
        <w:tc>
          <w:tcPr>
            <w:tcW w:w="152" w:type="pct"/>
            <w:shd w:val="clear" w:color="auto" w:fill="auto"/>
            <w:tcMar>
              <w:left w:w="28" w:type="dxa"/>
              <w:right w:w="28" w:type="dxa"/>
            </w:tcMar>
            <w:vAlign w:val="center"/>
          </w:tcPr>
          <w:p w14:paraId="04FC26B5" w14:textId="77777777" w:rsidR="004A0123" w:rsidRPr="00640447" w:rsidRDefault="004A0123" w:rsidP="008A5C11">
            <w:pPr>
              <w:jc w:val="center"/>
              <w:rPr>
                <w:sz w:val="13"/>
                <w:szCs w:val="13"/>
              </w:rPr>
            </w:pPr>
            <w:r w:rsidRPr="00640447">
              <w:rPr>
                <w:sz w:val="13"/>
                <w:szCs w:val="13"/>
              </w:rPr>
              <w:t>23</w:t>
            </w:r>
          </w:p>
        </w:tc>
        <w:tc>
          <w:tcPr>
            <w:tcW w:w="153" w:type="pct"/>
            <w:shd w:val="clear" w:color="auto" w:fill="auto"/>
            <w:tcMar>
              <w:left w:w="28" w:type="dxa"/>
              <w:right w:w="28" w:type="dxa"/>
            </w:tcMar>
            <w:vAlign w:val="center"/>
          </w:tcPr>
          <w:p w14:paraId="5865A367" w14:textId="77777777" w:rsidR="004A0123" w:rsidRPr="00640447" w:rsidRDefault="004A0123" w:rsidP="008A5C11">
            <w:pPr>
              <w:jc w:val="center"/>
              <w:rPr>
                <w:sz w:val="13"/>
                <w:szCs w:val="13"/>
              </w:rPr>
            </w:pPr>
            <w:r w:rsidRPr="00640447">
              <w:rPr>
                <w:sz w:val="13"/>
                <w:szCs w:val="13"/>
              </w:rPr>
              <w:t>23</w:t>
            </w:r>
          </w:p>
        </w:tc>
        <w:tc>
          <w:tcPr>
            <w:tcW w:w="152" w:type="pct"/>
            <w:shd w:val="clear" w:color="auto" w:fill="auto"/>
            <w:vAlign w:val="center"/>
          </w:tcPr>
          <w:p w14:paraId="4E3A825B" w14:textId="77777777" w:rsidR="004A0123" w:rsidRPr="00640447" w:rsidRDefault="004A0123" w:rsidP="008A5C11">
            <w:pPr>
              <w:jc w:val="center"/>
              <w:rPr>
                <w:sz w:val="13"/>
                <w:szCs w:val="13"/>
              </w:rPr>
            </w:pPr>
            <w:r w:rsidRPr="00640447">
              <w:rPr>
                <w:sz w:val="13"/>
                <w:szCs w:val="13"/>
              </w:rPr>
              <w:t>23</w:t>
            </w:r>
          </w:p>
        </w:tc>
      </w:tr>
      <w:tr w:rsidR="004A0123" w:rsidRPr="00640447" w14:paraId="0995ACD9" w14:textId="77777777" w:rsidTr="008A5C11">
        <w:trPr>
          <w:trHeight w:val="148"/>
          <w:jc w:val="center"/>
        </w:trPr>
        <w:tc>
          <w:tcPr>
            <w:tcW w:w="104" w:type="pct"/>
            <w:tcMar>
              <w:top w:w="62" w:type="dxa"/>
              <w:left w:w="28" w:type="dxa"/>
              <w:bottom w:w="102" w:type="dxa"/>
              <w:right w:w="28" w:type="dxa"/>
            </w:tcMar>
            <w:vAlign w:val="center"/>
          </w:tcPr>
          <w:p w14:paraId="7D658FA1" w14:textId="77777777" w:rsidR="004A0123" w:rsidRPr="00640447" w:rsidRDefault="004A0123" w:rsidP="008A5C11">
            <w:pPr>
              <w:jc w:val="center"/>
              <w:rPr>
                <w:sz w:val="13"/>
                <w:szCs w:val="13"/>
              </w:rPr>
            </w:pPr>
            <w:r w:rsidRPr="00640447">
              <w:rPr>
                <w:sz w:val="13"/>
                <w:szCs w:val="13"/>
              </w:rPr>
              <w:t>13</w:t>
            </w:r>
          </w:p>
        </w:tc>
        <w:tc>
          <w:tcPr>
            <w:tcW w:w="500" w:type="pct"/>
            <w:tcMar>
              <w:top w:w="62" w:type="dxa"/>
              <w:left w:w="28" w:type="dxa"/>
              <w:bottom w:w="102" w:type="dxa"/>
              <w:right w:w="28" w:type="dxa"/>
            </w:tcMar>
            <w:vAlign w:val="center"/>
          </w:tcPr>
          <w:p w14:paraId="3C441291" w14:textId="77777777" w:rsidR="004A0123" w:rsidRPr="00640447" w:rsidRDefault="004A0123" w:rsidP="008A5C11">
            <w:pPr>
              <w:jc w:val="center"/>
              <w:rPr>
                <w:sz w:val="13"/>
                <w:szCs w:val="13"/>
              </w:rPr>
            </w:pPr>
            <w:r w:rsidRPr="00640447">
              <w:rPr>
                <w:sz w:val="13"/>
                <w:szCs w:val="13"/>
              </w:rPr>
              <w:t>Котельная № 44</w:t>
            </w:r>
          </w:p>
        </w:tc>
        <w:tc>
          <w:tcPr>
            <w:tcW w:w="290" w:type="pct"/>
            <w:shd w:val="clear" w:color="auto" w:fill="auto"/>
            <w:tcMar>
              <w:left w:w="28" w:type="dxa"/>
              <w:right w:w="28" w:type="dxa"/>
            </w:tcMar>
            <w:vAlign w:val="center"/>
          </w:tcPr>
          <w:p w14:paraId="1A8920EA" w14:textId="77777777" w:rsidR="004A0123" w:rsidRPr="00640447" w:rsidRDefault="004A0123" w:rsidP="008A5C11">
            <w:pPr>
              <w:jc w:val="center"/>
              <w:rPr>
                <w:sz w:val="13"/>
                <w:szCs w:val="13"/>
              </w:rPr>
            </w:pPr>
            <w:r w:rsidRPr="00640447">
              <w:rPr>
                <w:sz w:val="13"/>
                <w:szCs w:val="13"/>
              </w:rPr>
              <w:t>374</w:t>
            </w:r>
          </w:p>
        </w:tc>
        <w:tc>
          <w:tcPr>
            <w:tcW w:w="224" w:type="pct"/>
            <w:shd w:val="clear" w:color="auto" w:fill="auto"/>
            <w:tcMar>
              <w:left w:w="28" w:type="dxa"/>
              <w:right w:w="28" w:type="dxa"/>
            </w:tcMar>
            <w:vAlign w:val="center"/>
          </w:tcPr>
          <w:p w14:paraId="19C07B7D" w14:textId="77777777" w:rsidR="004A0123" w:rsidRPr="00640447" w:rsidRDefault="004A0123" w:rsidP="008A5C11">
            <w:pPr>
              <w:jc w:val="center"/>
              <w:rPr>
                <w:sz w:val="13"/>
                <w:szCs w:val="13"/>
              </w:rPr>
            </w:pPr>
            <w:r w:rsidRPr="00640447">
              <w:rPr>
                <w:sz w:val="13"/>
                <w:szCs w:val="13"/>
              </w:rPr>
              <w:t>374</w:t>
            </w:r>
          </w:p>
        </w:tc>
        <w:tc>
          <w:tcPr>
            <w:tcW w:w="224" w:type="pct"/>
            <w:shd w:val="clear" w:color="auto" w:fill="auto"/>
            <w:tcMar>
              <w:left w:w="28" w:type="dxa"/>
              <w:right w:w="28" w:type="dxa"/>
            </w:tcMar>
            <w:vAlign w:val="center"/>
          </w:tcPr>
          <w:p w14:paraId="084E3305" w14:textId="77777777" w:rsidR="004A0123" w:rsidRPr="00640447" w:rsidRDefault="004A0123" w:rsidP="008A5C11">
            <w:pPr>
              <w:jc w:val="center"/>
              <w:rPr>
                <w:sz w:val="13"/>
                <w:szCs w:val="13"/>
              </w:rPr>
            </w:pPr>
            <w:r w:rsidRPr="00640447">
              <w:rPr>
                <w:sz w:val="13"/>
                <w:szCs w:val="13"/>
              </w:rPr>
              <w:t>374</w:t>
            </w:r>
          </w:p>
        </w:tc>
        <w:tc>
          <w:tcPr>
            <w:tcW w:w="224" w:type="pct"/>
            <w:shd w:val="clear" w:color="auto" w:fill="auto"/>
            <w:tcMar>
              <w:left w:w="28" w:type="dxa"/>
              <w:right w:w="28" w:type="dxa"/>
            </w:tcMar>
            <w:vAlign w:val="center"/>
          </w:tcPr>
          <w:p w14:paraId="3B07FAAB" w14:textId="77777777" w:rsidR="004A0123" w:rsidRPr="00640447" w:rsidRDefault="004A0123" w:rsidP="008A5C11">
            <w:pPr>
              <w:jc w:val="center"/>
              <w:rPr>
                <w:sz w:val="13"/>
                <w:szCs w:val="13"/>
              </w:rPr>
            </w:pPr>
            <w:r w:rsidRPr="00640447">
              <w:rPr>
                <w:sz w:val="13"/>
                <w:szCs w:val="13"/>
              </w:rPr>
              <w:t>374</w:t>
            </w:r>
          </w:p>
        </w:tc>
        <w:tc>
          <w:tcPr>
            <w:tcW w:w="224" w:type="pct"/>
            <w:shd w:val="clear" w:color="auto" w:fill="auto"/>
            <w:vAlign w:val="center"/>
          </w:tcPr>
          <w:p w14:paraId="3C284046" w14:textId="77777777" w:rsidR="004A0123" w:rsidRPr="00640447" w:rsidRDefault="004A0123" w:rsidP="008A5C11">
            <w:pPr>
              <w:jc w:val="center"/>
              <w:rPr>
                <w:sz w:val="13"/>
                <w:szCs w:val="13"/>
              </w:rPr>
            </w:pPr>
            <w:r w:rsidRPr="00640447">
              <w:rPr>
                <w:sz w:val="13"/>
                <w:szCs w:val="13"/>
              </w:rPr>
              <w:t>374</w:t>
            </w:r>
          </w:p>
        </w:tc>
        <w:tc>
          <w:tcPr>
            <w:tcW w:w="224" w:type="pct"/>
            <w:shd w:val="clear" w:color="auto" w:fill="auto"/>
            <w:vAlign w:val="center"/>
          </w:tcPr>
          <w:p w14:paraId="6F368236" w14:textId="77777777" w:rsidR="004A0123" w:rsidRPr="00640447" w:rsidRDefault="004A0123" w:rsidP="008A5C11">
            <w:pPr>
              <w:jc w:val="center"/>
              <w:rPr>
                <w:sz w:val="13"/>
                <w:szCs w:val="13"/>
              </w:rPr>
            </w:pPr>
            <w:r w:rsidRPr="00640447">
              <w:rPr>
                <w:sz w:val="13"/>
                <w:szCs w:val="13"/>
              </w:rPr>
              <w:t>374</w:t>
            </w:r>
          </w:p>
        </w:tc>
        <w:tc>
          <w:tcPr>
            <w:tcW w:w="224" w:type="pct"/>
            <w:shd w:val="clear" w:color="auto" w:fill="auto"/>
            <w:tcMar>
              <w:left w:w="28" w:type="dxa"/>
              <w:right w:w="28" w:type="dxa"/>
            </w:tcMar>
            <w:vAlign w:val="center"/>
          </w:tcPr>
          <w:p w14:paraId="192E4815" w14:textId="77777777" w:rsidR="004A0123" w:rsidRPr="00640447" w:rsidRDefault="004A0123" w:rsidP="008A5C11">
            <w:pPr>
              <w:jc w:val="center"/>
              <w:rPr>
                <w:sz w:val="13"/>
                <w:szCs w:val="13"/>
              </w:rPr>
            </w:pPr>
            <w:r w:rsidRPr="00640447">
              <w:rPr>
                <w:sz w:val="13"/>
                <w:szCs w:val="13"/>
              </w:rPr>
              <w:t>374</w:t>
            </w:r>
          </w:p>
        </w:tc>
        <w:tc>
          <w:tcPr>
            <w:tcW w:w="224" w:type="pct"/>
            <w:shd w:val="clear" w:color="auto" w:fill="auto"/>
            <w:tcMar>
              <w:left w:w="28" w:type="dxa"/>
              <w:right w:w="28" w:type="dxa"/>
            </w:tcMar>
            <w:vAlign w:val="center"/>
          </w:tcPr>
          <w:p w14:paraId="1F9007DA" w14:textId="77777777" w:rsidR="004A0123" w:rsidRPr="00640447" w:rsidRDefault="004A0123" w:rsidP="008A5C11">
            <w:pPr>
              <w:jc w:val="center"/>
              <w:rPr>
                <w:sz w:val="13"/>
                <w:szCs w:val="13"/>
              </w:rPr>
            </w:pPr>
            <w:r w:rsidRPr="00640447">
              <w:rPr>
                <w:sz w:val="13"/>
                <w:szCs w:val="13"/>
              </w:rPr>
              <w:t>374</w:t>
            </w:r>
          </w:p>
        </w:tc>
        <w:tc>
          <w:tcPr>
            <w:tcW w:w="224" w:type="pct"/>
            <w:shd w:val="clear" w:color="auto" w:fill="auto"/>
            <w:tcMar>
              <w:left w:w="28" w:type="dxa"/>
              <w:right w:w="28" w:type="dxa"/>
            </w:tcMar>
            <w:vAlign w:val="center"/>
          </w:tcPr>
          <w:p w14:paraId="7389EED7" w14:textId="77777777" w:rsidR="004A0123" w:rsidRPr="00640447" w:rsidRDefault="004A0123" w:rsidP="008A5C11">
            <w:pPr>
              <w:jc w:val="center"/>
              <w:rPr>
                <w:sz w:val="13"/>
                <w:szCs w:val="13"/>
              </w:rPr>
            </w:pPr>
            <w:r w:rsidRPr="00640447">
              <w:rPr>
                <w:sz w:val="13"/>
                <w:szCs w:val="13"/>
              </w:rPr>
              <w:t>374</w:t>
            </w:r>
          </w:p>
        </w:tc>
        <w:tc>
          <w:tcPr>
            <w:tcW w:w="224" w:type="pct"/>
            <w:shd w:val="clear" w:color="auto" w:fill="auto"/>
            <w:tcMar>
              <w:left w:w="28" w:type="dxa"/>
              <w:right w:w="28" w:type="dxa"/>
            </w:tcMar>
            <w:vAlign w:val="center"/>
          </w:tcPr>
          <w:p w14:paraId="0D9C943C" w14:textId="77777777" w:rsidR="004A0123" w:rsidRPr="00640447" w:rsidRDefault="004A0123" w:rsidP="008A5C11">
            <w:pPr>
              <w:jc w:val="center"/>
              <w:rPr>
                <w:sz w:val="13"/>
                <w:szCs w:val="13"/>
              </w:rPr>
            </w:pPr>
            <w:r w:rsidRPr="00640447">
              <w:rPr>
                <w:sz w:val="13"/>
                <w:szCs w:val="13"/>
              </w:rPr>
              <w:t>374</w:t>
            </w:r>
          </w:p>
        </w:tc>
        <w:tc>
          <w:tcPr>
            <w:tcW w:w="224" w:type="pct"/>
            <w:shd w:val="clear" w:color="auto" w:fill="auto"/>
            <w:vAlign w:val="center"/>
          </w:tcPr>
          <w:p w14:paraId="4AEF8B73" w14:textId="77777777" w:rsidR="004A0123" w:rsidRPr="00640447" w:rsidRDefault="004A0123" w:rsidP="008A5C11">
            <w:pPr>
              <w:jc w:val="center"/>
              <w:rPr>
                <w:sz w:val="13"/>
                <w:szCs w:val="13"/>
              </w:rPr>
            </w:pPr>
            <w:r w:rsidRPr="00640447">
              <w:rPr>
                <w:sz w:val="13"/>
                <w:szCs w:val="13"/>
              </w:rPr>
              <w:t>374</w:t>
            </w:r>
          </w:p>
        </w:tc>
        <w:tc>
          <w:tcPr>
            <w:tcW w:w="337" w:type="pct"/>
            <w:shd w:val="clear" w:color="auto" w:fill="auto"/>
            <w:tcMar>
              <w:left w:w="28" w:type="dxa"/>
              <w:right w:w="28" w:type="dxa"/>
            </w:tcMar>
            <w:vAlign w:val="center"/>
          </w:tcPr>
          <w:p w14:paraId="62C5A9D2" w14:textId="77777777" w:rsidR="004A0123" w:rsidRPr="00640447" w:rsidRDefault="004A0123" w:rsidP="008A5C11">
            <w:pPr>
              <w:jc w:val="center"/>
              <w:rPr>
                <w:sz w:val="13"/>
                <w:szCs w:val="13"/>
              </w:rPr>
            </w:pPr>
            <w:r w:rsidRPr="00640447">
              <w:rPr>
                <w:sz w:val="13"/>
                <w:szCs w:val="13"/>
              </w:rPr>
              <w:t>308</w:t>
            </w:r>
          </w:p>
        </w:tc>
        <w:tc>
          <w:tcPr>
            <w:tcW w:w="152" w:type="pct"/>
            <w:shd w:val="clear" w:color="auto" w:fill="auto"/>
            <w:tcMar>
              <w:left w:w="28" w:type="dxa"/>
              <w:right w:w="28" w:type="dxa"/>
            </w:tcMar>
            <w:vAlign w:val="center"/>
          </w:tcPr>
          <w:p w14:paraId="5410BE78" w14:textId="77777777" w:rsidR="004A0123" w:rsidRPr="00640447" w:rsidRDefault="004A0123" w:rsidP="008A5C11">
            <w:pPr>
              <w:jc w:val="center"/>
              <w:rPr>
                <w:sz w:val="13"/>
                <w:szCs w:val="13"/>
              </w:rPr>
            </w:pPr>
            <w:r w:rsidRPr="00640447">
              <w:rPr>
                <w:sz w:val="13"/>
                <w:szCs w:val="13"/>
              </w:rPr>
              <w:t>308</w:t>
            </w:r>
          </w:p>
        </w:tc>
        <w:tc>
          <w:tcPr>
            <w:tcW w:w="152" w:type="pct"/>
            <w:shd w:val="clear" w:color="auto" w:fill="auto"/>
            <w:tcMar>
              <w:left w:w="28" w:type="dxa"/>
              <w:right w:w="28" w:type="dxa"/>
            </w:tcMar>
            <w:vAlign w:val="center"/>
          </w:tcPr>
          <w:p w14:paraId="2167F1FD" w14:textId="77777777" w:rsidR="004A0123" w:rsidRPr="00640447" w:rsidRDefault="004A0123" w:rsidP="008A5C11">
            <w:pPr>
              <w:jc w:val="center"/>
              <w:rPr>
                <w:sz w:val="13"/>
                <w:szCs w:val="13"/>
              </w:rPr>
            </w:pPr>
            <w:r w:rsidRPr="00640447">
              <w:rPr>
                <w:sz w:val="13"/>
                <w:szCs w:val="13"/>
              </w:rPr>
              <w:t>308</w:t>
            </w:r>
          </w:p>
        </w:tc>
        <w:tc>
          <w:tcPr>
            <w:tcW w:w="152" w:type="pct"/>
            <w:shd w:val="clear" w:color="auto" w:fill="auto"/>
            <w:tcMar>
              <w:left w:w="28" w:type="dxa"/>
              <w:right w:w="28" w:type="dxa"/>
            </w:tcMar>
            <w:vAlign w:val="center"/>
          </w:tcPr>
          <w:p w14:paraId="2BBB3C12" w14:textId="77777777" w:rsidR="004A0123" w:rsidRPr="00640447" w:rsidRDefault="004A0123" w:rsidP="008A5C11">
            <w:pPr>
              <w:jc w:val="center"/>
              <w:rPr>
                <w:sz w:val="13"/>
                <w:szCs w:val="13"/>
              </w:rPr>
            </w:pPr>
            <w:r w:rsidRPr="00640447">
              <w:rPr>
                <w:sz w:val="13"/>
                <w:szCs w:val="13"/>
              </w:rPr>
              <w:t>308</w:t>
            </w:r>
          </w:p>
        </w:tc>
        <w:tc>
          <w:tcPr>
            <w:tcW w:w="152" w:type="pct"/>
            <w:shd w:val="clear" w:color="auto" w:fill="auto"/>
            <w:vAlign w:val="center"/>
          </w:tcPr>
          <w:p w14:paraId="48FC4B1E" w14:textId="77777777" w:rsidR="004A0123" w:rsidRPr="00640447" w:rsidRDefault="004A0123" w:rsidP="008A5C11">
            <w:pPr>
              <w:jc w:val="center"/>
              <w:rPr>
                <w:sz w:val="13"/>
                <w:szCs w:val="13"/>
              </w:rPr>
            </w:pPr>
            <w:r w:rsidRPr="00640447">
              <w:rPr>
                <w:sz w:val="13"/>
                <w:szCs w:val="13"/>
              </w:rPr>
              <w:t>308</w:t>
            </w:r>
          </w:p>
        </w:tc>
        <w:tc>
          <w:tcPr>
            <w:tcW w:w="152" w:type="pct"/>
            <w:shd w:val="clear" w:color="auto" w:fill="auto"/>
            <w:vAlign w:val="center"/>
          </w:tcPr>
          <w:p w14:paraId="11DA89CE" w14:textId="77777777" w:rsidR="004A0123" w:rsidRPr="00640447" w:rsidRDefault="004A0123" w:rsidP="008A5C11">
            <w:pPr>
              <w:jc w:val="center"/>
              <w:rPr>
                <w:sz w:val="13"/>
                <w:szCs w:val="13"/>
              </w:rPr>
            </w:pPr>
            <w:r w:rsidRPr="00640447">
              <w:rPr>
                <w:sz w:val="13"/>
                <w:szCs w:val="13"/>
              </w:rPr>
              <w:t>308</w:t>
            </w:r>
          </w:p>
        </w:tc>
        <w:tc>
          <w:tcPr>
            <w:tcW w:w="152" w:type="pct"/>
            <w:shd w:val="clear" w:color="auto" w:fill="auto"/>
            <w:tcMar>
              <w:left w:w="28" w:type="dxa"/>
              <w:right w:w="28" w:type="dxa"/>
            </w:tcMar>
            <w:vAlign w:val="center"/>
          </w:tcPr>
          <w:p w14:paraId="07E55764" w14:textId="77777777" w:rsidR="004A0123" w:rsidRPr="00640447" w:rsidRDefault="004A0123" w:rsidP="008A5C11">
            <w:pPr>
              <w:jc w:val="center"/>
              <w:rPr>
                <w:sz w:val="13"/>
                <w:szCs w:val="13"/>
              </w:rPr>
            </w:pPr>
            <w:r w:rsidRPr="00640447">
              <w:rPr>
                <w:sz w:val="13"/>
                <w:szCs w:val="13"/>
              </w:rPr>
              <w:t>308</w:t>
            </w:r>
          </w:p>
        </w:tc>
        <w:tc>
          <w:tcPr>
            <w:tcW w:w="152" w:type="pct"/>
            <w:shd w:val="clear" w:color="auto" w:fill="auto"/>
            <w:tcMar>
              <w:left w:w="28" w:type="dxa"/>
              <w:right w:w="28" w:type="dxa"/>
            </w:tcMar>
            <w:vAlign w:val="center"/>
          </w:tcPr>
          <w:p w14:paraId="0456499C" w14:textId="77777777" w:rsidR="004A0123" w:rsidRPr="00640447" w:rsidRDefault="004A0123" w:rsidP="008A5C11">
            <w:pPr>
              <w:jc w:val="center"/>
              <w:rPr>
                <w:sz w:val="13"/>
                <w:szCs w:val="13"/>
              </w:rPr>
            </w:pPr>
            <w:r w:rsidRPr="00640447">
              <w:rPr>
                <w:sz w:val="13"/>
                <w:szCs w:val="13"/>
              </w:rPr>
              <w:t>308</w:t>
            </w:r>
          </w:p>
        </w:tc>
        <w:tc>
          <w:tcPr>
            <w:tcW w:w="152" w:type="pct"/>
            <w:shd w:val="clear" w:color="auto" w:fill="auto"/>
            <w:tcMar>
              <w:left w:w="28" w:type="dxa"/>
              <w:right w:w="28" w:type="dxa"/>
            </w:tcMar>
            <w:vAlign w:val="center"/>
          </w:tcPr>
          <w:p w14:paraId="7D529493" w14:textId="77777777" w:rsidR="004A0123" w:rsidRPr="00640447" w:rsidRDefault="004A0123" w:rsidP="008A5C11">
            <w:pPr>
              <w:jc w:val="center"/>
              <w:rPr>
                <w:sz w:val="13"/>
                <w:szCs w:val="13"/>
              </w:rPr>
            </w:pPr>
            <w:r w:rsidRPr="00640447">
              <w:rPr>
                <w:sz w:val="13"/>
                <w:szCs w:val="13"/>
              </w:rPr>
              <w:t>308</w:t>
            </w:r>
          </w:p>
        </w:tc>
        <w:tc>
          <w:tcPr>
            <w:tcW w:w="153" w:type="pct"/>
            <w:shd w:val="clear" w:color="auto" w:fill="auto"/>
            <w:tcMar>
              <w:left w:w="28" w:type="dxa"/>
              <w:right w:w="28" w:type="dxa"/>
            </w:tcMar>
            <w:vAlign w:val="center"/>
          </w:tcPr>
          <w:p w14:paraId="641AC05D" w14:textId="77777777" w:rsidR="004A0123" w:rsidRPr="00640447" w:rsidRDefault="004A0123" w:rsidP="008A5C11">
            <w:pPr>
              <w:jc w:val="center"/>
              <w:rPr>
                <w:sz w:val="13"/>
                <w:szCs w:val="13"/>
              </w:rPr>
            </w:pPr>
            <w:r w:rsidRPr="00640447">
              <w:rPr>
                <w:sz w:val="13"/>
                <w:szCs w:val="13"/>
              </w:rPr>
              <w:t>308</w:t>
            </w:r>
          </w:p>
        </w:tc>
        <w:tc>
          <w:tcPr>
            <w:tcW w:w="152" w:type="pct"/>
            <w:shd w:val="clear" w:color="auto" w:fill="auto"/>
            <w:vAlign w:val="center"/>
          </w:tcPr>
          <w:p w14:paraId="71529E74" w14:textId="77777777" w:rsidR="004A0123" w:rsidRPr="00640447" w:rsidRDefault="004A0123" w:rsidP="008A5C11">
            <w:pPr>
              <w:jc w:val="center"/>
              <w:rPr>
                <w:sz w:val="13"/>
                <w:szCs w:val="13"/>
              </w:rPr>
            </w:pPr>
            <w:r w:rsidRPr="00640447">
              <w:rPr>
                <w:sz w:val="13"/>
                <w:szCs w:val="13"/>
              </w:rPr>
              <w:t>308</w:t>
            </w:r>
          </w:p>
        </w:tc>
      </w:tr>
      <w:tr w:rsidR="004A0123" w:rsidRPr="00640447" w14:paraId="612EDA0D" w14:textId="77777777" w:rsidTr="008A5C11">
        <w:trPr>
          <w:trHeight w:val="148"/>
          <w:jc w:val="center"/>
        </w:trPr>
        <w:tc>
          <w:tcPr>
            <w:tcW w:w="104" w:type="pct"/>
            <w:tcMar>
              <w:top w:w="62" w:type="dxa"/>
              <w:left w:w="28" w:type="dxa"/>
              <w:bottom w:w="102" w:type="dxa"/>
              <w:right w:w="28" w:type="dxa"/>
            </w:tcMar>
            <w:vAlign w:val="center"/>
          </w:tcPr>
          <w:p w14:paraId="4E14B91A" w14:textId="77777777" w:rsidR="004A0123" w:rsidRPr="00640447" w:rsidRDefault="004A0123" w:rsidP="008A5C11">
            <w:pPr>
              <w:jc w:val="center"/>
              <w:rPr>
                <w:sz w:val="13"/>
                <w:szCs w:val="13"/>
              </w:rPr>
            </w:pPr>
            <w:r w:rsidRPr="00640447">
              <w:rPr>
                <w:sz w:val="13"/>
                <w:szCs w:val="13"/>
              </w:rPr>
              <w:t>14</w:t>
            </w:r>
          </w:p>
        </w:tc>
        <w:tc>
          <w:tcPr>
            <w:tcW w:w="500" w:type="pct"/>
            <w:tcMar>
              <w:top w:w="62" w:type="dxa"/>
              <w:left w:w="28" w:type="dxa"/>
              <w:bottom w:w="102" w:type="dxa"/>
              <w:right w:w="28" w:type="dxa"/>
            </w:tcMar>
            <w:vAlign w:val="center"/>
          </w:tcPr>
          <w:p w14:paraId="0C0E0419" w14:textId="77777777" w:rsidR="004A0123" w:rsidRPr="00640447" w:rsidRDefault="004A0123" w:rsidP="008A5C11">
            <w:pPr>
              <w:jc w:val="center"/>
              <w:rPr>
                <w:sz w:val="13"/>
                <w:szCs w:val="13"/>
              </w:rPr>
            </w:pPr>
            <w:r w:rsidRPr="00640447">
              <w:rPr>
                <w:sz w:val="13"/>
                <w:szCs w:val="13"/>
              </w:rPr>
              <w:t>Котельная терморобот</w:t>
            </w:r>
          </w:p>
        </w:tc>
        <w:tc>
          <w:tcPr>
            <w:tcW w:w="290" w:type="pct"/>
            <w:shd w:val="clear" w:color="auto" w:fill="auto"/>
            <w:tcMar>
              <w:left w:w="28" w:type="dxa"/>
              <w:right w:w="28" w:type="dxa"/>
            </w:tcMar>
            <w:vAlign w:val="center"/>
          </w:tcPr>
          <w:p w14:paraId="10BFEAE8" w14:textId="77777777" w:rsidR="004A0123" w:rsidRPr="00640447" w:rsidRDefault="004A0123" w:rsidP="008A5C11">
            <w:pPr>
              <w:jc w:val="center"/>
              <w:rPr>
                <w:sz w:val="13"/>
                <w:szCs w:val="13"/>
              </w:rPr>
            </w:pPr>
            <w:r w:rsidRPr="00640447">
              <w:rPr>
                <w:sz w:val="13"/>
                <w:szCs w:val="13"/>
              </w:rPr>
              <w:t>12</w:t>
            </w:r>
          </w:p>
        </w:tc>
        <w:tc>
          <w:tcPr>
            <w:tcW w:w="224" w:type="pct"/>
            <w:shd w:val="clear" w:color="auto" w:fill="auto"/>
            <w:tcMar>
              <w:left w:w="28" w:type="dxa"/>
              <w:right w:w="28" w:type="dxa"/>
            </w:tcMar>
            <w:vAlign w:val="center"/>
          </w:tcPr>
          <w:p w14:paraId="2DA3861F" w14:textId="77777777" w:rsidR="004A0123" w:rsidRPr="00640447" w:rsidRDefault="004A0123" w:rsidP="008A5C11">
            <w:pPr>
              <w:jc w:val="center"/>
              <w:rPr>
                <w:sz w:val="13"/>
                <w:szCs w:val="13"/>
              </w:rPr>
            </w:pPr>
            <w:r w:rsidRPr="00640447">
              <w:rPr>
                <w:sz w:val="13"/>
                <w:szCs w:val="13"/>
              </w:rPr>
              <w:t>12</w:t>
            </w:r>
          </w:p>
        </w:tc>
        <w:tc>
          <w:tcPr>
            <w:tcW w:w="224" w:type="pct"/>
            <w:shd w:val="clear" w:color="auto" w:fill="auto"/>
            <w:tcMar>
              <w:left w:w="28" w:type="dxa"/>
              <w:right w:w="28" w:type="dxa"/>
            </w:tcMar>
            <w:vAlign w:val="center"/>
          </w:tcPr>
          <w:p w14:paraId="755D23CF" w14:textId="77777777" w:rsidR="004A0123" w:rsidRPr="00640447" w:rsidRDefault="004A0123" w:rsidP="008A5C11">
            <w:pPr>
              <w:jc w:val="center"/>
              <w:rPr>
                <w:sz w:val="13"/>
                <w:szCs w:val="13"/>
              </w:rPr>
            </w:pPr>
            <w:r w:rsidRPr="00640447">
              <w:rPr>
                <w:sz w:val="13"/>
                <w:szCs w:val="13"/>
              </w:rPr>
              <w:t>12</w:t>
            </w:r>
          </w:p>
        </w:tc>
        <w:tc>
          <w:tcPr>
            <w:tcW w:w="224" w:type="pct"/>
            <w:shd w:val="clear" w:color="auto" w:fill="auto"/>
            <w:tcMar>
              <w:left w:w="28" w:type="dxa"/>
              <w:right w:w="28" w:type="dxa"/>
            </w:tcMar>
            <w:vAlign w:val="center"/>
          </w:tcPr>
          <w:p w14:paraId="1133A028" w14:textId="77777777" w:rsidR="004A0123" w:rsidRPr="00640447" w:rsidRDefault="004A0123" w:rsidP="008A5C11">
            <w:pPr>
              <w:jc w:val="center"/>
              <w:rPr>
                <w:sz w:val="13"/>
                <w:szCs w:val="13"/>
              </w:rPr>
            </w:pPr>
            <w:r w:rsidRPr="00640447">
              <w:rPr>
                <w:sz w:val="13"/>
                <w:szCs w:val="13"/>
              </w:rPr>
              <w:t>12</w:t>
            </w:r>
          </w:p>
        </w:tc>
        <w:tc>
          <w:tcPr>
            <w:tcW w:w="224" w:type="pct"/>
            <w:shd w:val="clear" w:color="auto" w:fill="auto"/>
            <w:vAlign w:val="center"/>
          </w:tcPr>
          <w:p w14:paraId="0493DE00" w14:textId="77777777" w:rsidR="004A0123" w:rsidRPr="00640447" w:rsidRDefault="004A0123" w:rsidP="008A5C11">
            <w:pPr>
              <w:jc w:val="center"/>
              <w:rPr>
                <w:sz w:val="13"/>
                <w:szCs w:val="13"/>
              </w:rPr>
            </w:pPr>
            <w:r w:rsidRPr="00640447">
              <w:rPr>
                <w:sz w:val="13"/>
                <w:szCs w:val="13"/>
              </w:rPr>
              <w:t>12</w:t>
            </w:r>
          </w:p>
        </w:tc>
        <w:tc>
          <w:tcPr>
            <w:tcW w:w="224" w:type="pct"/>
            <w:shd w:val="clear" w:color="auto" w:fill="auto"/>
            <w:vAlign w:val="center"/>
          </w:tcPr>
          <w:p w14:paraId="37B853B5" w14:textId="77777777" w:rsidR="004A0123" w:rsidRPr="00640447" w:rsidRDefault="004A0123" w:rsidP="008A5C11">
            <w:pPr>
              <w:jc w:val="center"/>
              <w:rPr>
                <w:sz w:val="13"/>
                <w:szCs w:val="13"/>
              </w:rPr>
            </w:pPr>
            <w:r w:rsidRPr="00640447">
              <w:rPr>
                <w:sz w:val="13"/>
                <w:szCs w:val="13"/>
              </w:rPr>
              <w:t>12</w:t>
            </w:r>
          </w:p>
        </w:tc>
        <w:tc>
          <w:tcPr>
            <w:tcW w:w="224" w:type="pct"/>
            <w:shd w:val="clear" w:color="auto" w:fill="auto"/>
            <w:tcMar>
              <w:left w:w="28" w:type="dxa"/>
              <w:right w:w="28" w:type="dxa"/>
            </w:tcMar>
            <w:vAlign w:val="center"/>
          </w:tcPr>
          <w:p w14:paraId="357018F4" w14:textId="77777777" w:rsidR="004A0123" w:rsidRPr="00640447" w:rsidRDefault="004A0123" w:rsidP="008A5C11">
            <w:pPr>
              <w:jc w:val="center"/>
              <w:rPr>
                <w:sz w:val="13"/>
                <w:szCs w:val="13"/>
              </w:rPr>
            </w:pPr>
            <w:r w:rsidRPr="00640447">
              <w:rPr>
                <w:sz w:val="13"/>
                <w:szCs w:val="13"/>
              </w:rPr>
              <w:t>12</w:t>
            </w:r>
          </w:p>
        </w:tc>
        <w:tc>
          <w:tcPr>
            <w:tcW w:w="224" w:type="pct"/>
            <w:shd w:val="clear" w:color="auto" w:fill="auto"/>
            <w:tcMar>
              <w:left w:w="28" w:type="dxa"/>
              <w:right w:w="28" w:type="dxa"/>
            </w:tcMar>
            <w:vAlign w:val="center"/>
          </w:tcPr>
          <w:p w14:paraId="287A0615" w14:textId="77777777" w:rsidR="004A0123" w:rsidRPr="00640447" w:rsidRDefault="004A0123" w:rsidP="008A5C11">
            <w:pPr>
              <w:jc w:val="center"/>
              <w:rPr>
                <w:sz w:val="13"/>
                <w:szCs w:val="13"/>
              </w:rPr>
            </w:pPr>
            <w:r w:rsidRPr="00640447">
              <w:rPr>
                <w:sz w:val="13"/>
                <w:szCs w:val="13"/>
              </w:rPr>
              <w:t>12</w:t>
            </w:r>
          </w:p>
        </w:tc>
        <w:tc>
          <w:tcPr>
            <w:tcW w:w="224" w:type="pct"/>
            <w:shd w:val="clear" w:color="auto" w:fill="auto"/>
            <w:tcMar>
              <w:left w:w="28" w:type="dxa"/>
              <w:right w:w="28" w:type="dxa"/>
            </w:tcMar>
            <w:vAlign w:val="center"/>
          </w:tcPr>
          <w:p w14:paraId="6C482B5E" w14:textId="77777777" w:rsidR="004A0123" w:rsidRPr="00640447" w:rsidRDefault="004A0123" w:rsidP="008A5C11">
            <w:pPr>
              <w:jc w:val="center"/>
              <w:rPr>
                <w:sz w:val="13"/>
                <w:szCs w:val="13"/>
              </w:rPr>
            </w:pPr>
            <w:r w:rsidRPr="00640447">
              <w:rPr>
                <w:sz w:val="13"/>
                <w:szCs w:val="13"/>
              </w:rPr>
              <w:t>12</w:t>
            </w:r>
          </w:p>
        </w:tc>
        <w:tc>
          <w:tcPr>
            <w:tcW w:w="224" w:type="pct"/>
            <w:shd w:val="clear" w:color="auto" w:fill="auto"/>
            <w:tcMar>
              <w:left w:w="28" w:type="dxa"/>
              <w:right w:w="28" w:type="dxa"/>
            </w:tcMar>
            <w:vAlign w:val="center"/>
          </w:tcPr>
          <w:p w14:paraId="27B4A9E3" w14:textId="77777777" w:rsidR="004A0123" w:rsidRPr="00640447" w:rsidRDefault="004A0123" w:rsidP="008A5C11">
            <w:pPr>
              <w:jc w:val="center"/>
              <w:rPr>
                <w:sz w:val="13"/>
                <w:szCs w:val="13"/>
              </w:rPr>
            </w:pPr>
            <w:r w:rsidRPr="00640447">
              <w:rPr>
                <w:sz w:val="13"/>
                <w:szCs w:val="13"/>
              </w:rPr>
              <w:t>12</w:t>
            </w:r>
          </w:p>
        </w:tc>
        <w:tc>
          <w:tcPr>
            <w:tcW w:w="224" w:type="pct"/>
            <w:shd w:val="clear" w:color="auto" w:fill="auto"/>
            <w:vAlign w:val="center"/>
          </w:tcPr>
          <w:p w14:paraId="58E6434D" w14:textId="77777777" w:rsidR="004A0123" w:rsidRPr="00640447" w:rsidRDefault="004A0123" w:rsidP="008A5C11">
            <w:pPr>
              <w:jc w:val="center"/>
              <w:rPr>
                <w:sz w:val="13"/>
                <w:szCs w:val="13"/>
              </w:rPr>
            </w:pPr>
            <w:r w:rsidRPr="00640447">
              <w:rPr>
                <w:sz w:val="13"/>
                <w:szCs w:val="13"/>
              </w:rPr>
              <w:t>12</w:t>
            </w:r>
          </w:p>
        </w:tc>
        <w:tc>
          <w:tcPr>
            <w:tcW w:w="337" w:type="pct"/>
            <w:shd w:val="clear" w:color="auto" w:fill="auto"/>
            <w:tcMar>
              <w:left w:w="28" w:type="dxa"/>
              <w:right w:w="28" w:type="dxa"/>
            </w:tcMar>
            <w:vAlign w:val="center"/>
          </w:tcPr>
          <w:p w14:paraId="14B0D903" w14:textId="77777777" w:rsidR="004A0123" w:rsidRPr="00640447" w:rsidRDefault="004A0123" w:rsidP="008A5C11">
            <w:pPr>
              <w:jc w:val="center"/>
              <w:rPr>
                <w:sz w:val="13"/>
                <w:szCs w:val="13"/>
              </w:rPr>
            </w:pPr>
            <w:r w:rsidRPr="00640447">
              <w:rPr>
                <w:sz w:val="13"/>
                <w:szCs w:val="13"/>
              </w:rPr>
              <w:t>9</w:t>
            </w:r>
          </w:p>
        </w:tc>
        <w:tc>
          <w:tcPr>
            <w:tcW w:w="152" w:type="pct"/>
            <w:shd w:val="clear" w:color="auto" w:fill="auto"/>
            <w:tcMar>
              <w:left w:w="28" w:type="dxa"/>
              <w:right w:w="28" w:type="dxa"/>
            </w:tcMar>
            <w:vAlign w:val="center"/>
          </w:tcPr>
          <w:p w14:paraId="5F81FB1D" w14:textId="77777777" w:rsidR="004A0123" w:rsidRPr="00640447" w:rsidRDefault="004A0123" w:rsidP="008A5C11">
            <w:pPr>
              <w:jc w:val="center"/>
              <w:rPr>
                <w:sz w:val="13"/>
                <w:szCs w:val="13"/>
              </w:rPr>
            </w:pPr>
            <w:r w:rsidRPr="00640447">
              <w:rPr>
                <w:sz w:val="13"/>
                <w:szCs w:val="13"/>
              </w:rPr>
              <w:t>9</w:t>
            </w:r>
          </w:p>
        </w:tc>
        <w:tc>
          <w:tcPr>
            <w:tcW w:w="152" w:type="pct"/>
            <w:shd w:val="clear" w:color="auto" w:fill="auto"/>
            <w:tcMar>
              <w:left w:w="28" w:type="dxa"/>
              <w:right w:w="28" w:type="dxa"/>
            </w:tcMar>
            <w:vAlign w:val="center"/>
          </w:tcPr>
          <w:p w14:paraId="188B7C20" w14:textId="77777777" w:rsidR="004A0123" w:rsidRPr="00640447" w:rsidRDefault="004A0123" w:rsidP="008A5C11">
            <w:pPr>
              <w:jc w:val="center"/>
              <w:rPr>
                <w:sz w:val="13"/>
                <w:szCs w:val="13"/>
              </w:rPr>
            </w:pPr>
            <w:r w:rsidRPr="00640447">
              <w:rPr>
                <w:sz w:val="13"/>
                <w:szCs w:val="13"/>
              </w:rPr>
              <w:t>9</w:t>
            </w:r>
          </w:p>
        </w:tc>
        <w:tc>
          <w:tcPr>
            <w:tcW w:w="152" w:type="pct"/>
            <w:shd w:val="clear" w:color="auto" w:fill="auto"/>
            <w:tcMar>
              <w:left w:w="28" w:type="dxa"/>
              <w:right w:w="28" w:type="dxa"/>
            </w:tcMar>
            <w:vAlign w:val="center"/>
          </w:tcPr>
          <w:p w14:paraId="3A25A361" w14:textId="77777777" w:rsidR="004A0123" w:rsidRPr="00640447" w:rsidRDefault="004A0123" w:rsidP="008A5C11">
            <w:pPr>
              <w:jc w:val="center"/>
              <w:rPr>
                <w:sz w:val="13"/>
                <w:szCs w:val="13"/>
              </w:rPr>
            </w:pPr>
            <w:r w:rsidRPr="00640447">
              <w:rPr>
                <w:sz w:val="13"/>
                <w:szCs w:val="13"/>
              </w:rPr>
              <w:t>9</w:t>
            </w:r>
          </w:p>
        </w:tc>
        <w:tc>
          <w:tcPr>
            <w:tcW w:w="152" w:type="pct"/>
            <w:shd w:val="clear" w:color="auto" w:fill="auto"/>
            <w:vAlign w:val="center"/>
          </w:tcPr>
          <w:p w14:paraId="50F98C37" w14:textId="77777777" w:rsidR="004A0123" w:rsidRPr="00640447" w:rsidRDefault="004A0123" w:rsidP="008A5C11">
            <w:pPr>
              <w:jc w:val="center"/>
              <w:rPr>
                <w:sz w:val="13"/>
                <w:szCs w:val="13"/>
              </w:rPr>
            </w:pPr>
            <w:r w:rsidRPr="00640447">
              <w:rPr>
                <w:sz w:val="13"/>
                <w:szCs w:val="13"/>
              </w:rPr>
              <w:t>9</w:t>
            </w:r>
          </w:p>
        </w:tc>
        <w:tc>
          <w:tcPr>
            <w:tcW w:w="152" w:type="pct"/>
            <w:shd w:val="clear" w:color="auto" w:fill="auto"/>
            <w:vAlign w:val="center"/>
          </w:tcPr>
          <w:p w14:paraId="1084FADE" w14:textId="77777777" w:rsidR="004A0123" w:rsidRPr="00640447" w:rsidRDefault="004A0123" w:rsidP="008A5C11">
            <w:pPr>
              <w:jc w:val="center"/>
              <w:rPr>
                <w:sz w:val="13"/>
                <w:szCs w:val="13"/>
              </w:rPr>
            </w:pPr>
            <w:r w:rsidRPr="00640447">
              <w:rPr>
                <w:sz w:val="13"/>
                <w:szCs w:val="13"/>
              </w:rPr>
              <w:t>9</w:t>
            </w:r>
          </w:p>
        </w:tc>
        <w:tc>
          <w:tcPr>
            <w:tcW w:w="152" w:type="pct"/>
            <w:shd w:val="clear" w:color="auto" w:fill="auto"/>
            <w:tcMar>
              <w:left w:w="28" w:type="dxa"/>
              <w:right w:w="28" w:type="dxa"/>
            </w:tcMar>
            <w:vAlign w:val="center"/>
          </w:tcPr>
          <w:p w14:paraId="5898C4CE" w14:textId="77777777" w:rsidR="004A0123" w:rsidRPr="00640447" w:rsidRDefault="004A0123" w:rsidP="008A5C11">
            <w:pPr>
              <w:jc w:val="center"/>
              <w:rPr>
                <w:sz w:val="13"/>
                <w:szCs w:val="13"/>
              </w:rPr>
            </w:pPr>
            <w:r w:rsidRPr="00640447">
              <w:rPr>
                <w:sz w:val="13"/>
                <w:szCs w:val="13"/>
              </w:rPr>
              <w:t>9</w:t>
            </w:r>
          </w:p>
        </w:tc>
        <w:tc>
          <w:tcPr>
            <w:tcW w:w="152" w:type="pct"/>
            <w:shd w:val="clear" w:color="auto" w:fill="auto"/>
            <w:tcMar>
              <w:left w:w="28" w:type="dxa"/>
              <w:right w:w="28" w:type="dxa"/>
            </w:tcMar>
            <w:vAlign w:val="center"/>
          </w:tcPr>
          <w:p w14:paraId="77C2E87A" w14:textId="77777777" w:rsidR="004A0123" w:rsidRPr="00640447" w:rsidRDefault="004A0123" w:rsidP="008A5C11">
            <w:pPr>
              <w:jc w:val="center"/>
              <w:rPr>
                <w:sz w:val="13"/>
                <w:szCs w:val="13"/>
              </w:rPr>
            </w:pPr>
            <w:r w:rsidRPr="00640447">
              <w:rPr>
                <w:sz w:val="13"/>
                <w:szCs w:val="13"/>
              </w:rPr>
              <w:t>9</w:t>
            </w:r>
          </w:p>
        </w:tc>
        <w:tc>
          <w:tcPr>
            <w:tcW w:w="152" w:type="pct"/>
            <w:shd w:val="clear" w:color="auto" w:fill="auto"/>
            <w:tcMar>
              <w:left w:w="28" w:type="dxa"/>
              <w:right w:w="28" w:type="dxa"/>
            </w:tcMar>
            <w:vAlign w:val="center"/>
          </w:tcPr>
          <w:p w14:paraId="0B5D81C4" w14:textId="77777777" w:rsidR="004A0123" w:rsidRPr="00640447" w:rsidRDefault="004A0123" w:rsidP="008A5C11">
            <w:pPr>
              <w:jc w:val="center"/>
              <w:rPr>
                <w:sz w:val="13"/>
                <w:szCs w:val="13"/>
              </w:rPr>
            </w:pPr>
            <w:r w:rsidRPr="00640447">
              <w:rPr>
                <w:sz w:val="13"/>
                <w:szCs w:val="13"/>
              </w:rPr>
              <w:t>9</w:t>
            </w:r>
          </w:p>
        </w:tc>
        <w:tc>
          <w:tcPr>
            <w:tcW w:w="153" w:type="pct"/>
            <w:shd w:val="clear" w:color="auto" w:fill="auto"/>
            <w:tcMar>
              <w:left w:w="28" w:type="dxa"/>
              <w:right w:w="28" w:type="dxa"/>
            </w:tcMar>
            <w:vAlign w:val="center"/>
          </w:tcPr>
          <w:p w14:paraId="1D47EFFB" w14:textId="77777777" w:rsidR="004A0123" w:rsidRPr="00640447" w:rsidRDefault="004A0123" w:rsidP="008A5C11">
            <w:pPr>
              <w:jc w:val="center"/>
              <w:rPr>
                <w:sz w:val="13"/>
                <w:szCs w:val="13"/>
              </w:rPr>
            </w:pPr>
            <w:r w:rsidRPr="00640447">
              <w:rPr>
                <w:sz w:val="13"/>
                <w:szCs w:val="13"/>
              </w:rPr>
              <w:t>9</w:t>
            </w:r>
          </w:p>
        </w:tc>
        <w:tc>
          <w:tcPr>
            <w:tcW w:w="152" w:type="pct"/>
            <w:shd w:val="clear" w:color="auto" w:fill="auto"/>
            <w:vAlign w:val="center"/>
          </w:tcPr>
          <w:p w14:paraId="6BCE375D" w14:textId="77777777" w:rsidR="004A0123" w:rsidRPr="00640447" w:rsidRDefault="004A0123" w:rsidP="008A5C11">
            <w:pPr>
              <w:jc w:val="center"/>
              <w:rPr>
                <w:sz w:val="13"/>
                <w:szCs w:val="13"/>
              </w:rPr>
            </w:pPr>
            <w:r w:rsidRPr="00640447">
              <w:rPr>
                <w:sz w:val="13"/>
                <w:szCs w:val="13"/>
              </w:rPr>
              <w:t>9</w:t>
            </w:r>
          </w:p>
        </w:tc>
      </w:tr>
      <w:tr w:rsidR="004A0123" w:rsidRPr="00640447" w14:paraId="70394048" w14:textId="77777777" w:rsidTr="008A5C11">
        <w:trPr>
          <w:trHeight w:val="148"/>
          <w:jc w:val="center"/>
        </w:trPr>
        <w:tc>
          <w:tcPr>
            <w:tcW w:w="104" w:type="pct"/>
            <w:tcMar>
              <w:top w:w="62" w:type="dxa"/>
              <w:left w:w="28" w:type="dxa"/>
              <w:bottom w:w="102" w:type="dxa"/>
              <w:right w:w="28" w:type="dxa"/>
            </w:tcMar>
            <w:vAlign w:val="center"/>
          </w:tcPr>
          <w:p w14:paraId="5D701AE2" w14:textId="77777777" w:rsidR="004A0123" w:rsidRPr="00640447" w:rsidRDefault="004A0123" w:rsidP="008A5C11">
            <w:pPr>
              <w:jc w:val="center"/>
              <w:rPr>
                <w:sz w:val="13"/>
                <w:szCs w:val="13"/>
              </w:rPr>
            </w:pPr>
            <w:r w:rsidRPr="00640447">
              <w:rPr>
                <w:sz w:val="13"/>
                <w:szCs w:val="13"/>
              </w:rPr>
              <w:t>15</w:t>
            </w:r>
          </w:p>
        </w:tc>
        <w:tc>
          <w:tcPr>
            <w:tcW w:w="500" w:type="pct"/>
            <w:tcMar>
              <w:top w:w="62" w:type="dxa"/>
              <w:left w:w="28" w:type="dxa"/>
              <w:bottom w:w="102" w:type="dxa"/>
              <w:right w:w="28" w:type="dxa"/>
            </w:tcMar>
            <w:vAlign w:val="center"/>
          </w:tcPr>
          <w:p w14:paraId="30C43B1A" w14:textId="77777777" w:rsidR="004A0123" w:rsidRPr="00640447" w:rsidRDefault="004A0123" w:rsidP="008A5C11">
            <w:pPr>
              <w:jc w:val="center"/>
              <w:rPr>
                <w:sz w:val="13"/>
                <w:szCs w:val="13"/>
              </w:rPr>
            </w:pPr>
            <w:r w:rsidRPr="00640447">
              <w:rPr>
                <w:sz w:val="13"/>
                <w:szCs w:val="13"/>
              </w:rPr>
              <w:t>Котельная ОСВ</w:t>
            </w:r>
          </w:p>
        </w:tc>
        <w:tc>
          <w:tcPr>
            <w:tcW w:w="290" w:type="pct"/>
            <w:shd w:val="clear" w:color="auto" w:fill="auto"/>
            <w:tcMar>
              <w:left w:w="28" w:type="dxa"/>
              <w:right w:w="28" w:type="dxa"/>
            </w:tcMar>
            <w:vAlign w:val="center"/>
          </w:tcPr>
          <w:p w14:paraId="731C169B" w14:textId="77777777" w:rsidR="004A0123" w:rsidRPr="00640447" w:rsidRDefault="004A0123" w:rsidP="008A5C11">
            <w:pPr>
              <w:jc w:val="center"/>
              <w:rPr>
                <w:sz w:val="13"/>
                <w:szCs w:val="13"/>
              </w:rPr>
            </w:pPr>
            <w:r w:rsidRPr="00640447">
              <w:rPr>
                <w:sz w:val="13"/>
                <w:szCs w:val="13"/>
              </w:rPr>
              <w:t>0</w:t>
            </w:r>
          </w:p>
        </w:tc>
        <w:tc>
          <w:tcPr>
            <w:tcW w:w="224" w:type="pct"/>
            <w:shd w:val="clear" w:color="auto" w:fill="auto"/>
            <w:tcMar>
              <w:left w:w="28" w:type="dxa"/>
              <w:right w:w="28" w:type="dxa"/>
            </w:tcMar>
            <w:vAlign w:val="center"/>
          </w:tcPr>
          <w:p w14:paraId="179C2110" w14:textId="77777777" w:rsidR="004A0123" w:rsidRPr="00640447" w:rsidRDefault="004A0123" w:rsidP="008A5C11">
            <w:pPr>
              <w:jc w:val="center"/>
              <w:rPr>
                <w:sz w:val="13"/>
                <w:szCs w:val="13"/>
              </w:rPr>
            </w:pPr>
            <w:r w:rsidRPr="00640447">
              <w:rPr>
                <w:sz w:val="13"/>
                <w:szCs w:val="13"/>
              </w:rPr>
              <w:t>0</w:t>
            </w:r>
          </w:p>
        </w:tc>
        <w:tc>
          <w:tcPr>
            <w:tcW w:w="224" w:type="pct"/>
            <w:shd w:val="clear" w:color="auto" w:fill="auto"/>
            <w:tcMar>
              <w:left w:w="28" w:type="dxa"/>
              <w:right w:w="28" w:type="dxa"/>
            </w:tcMar>
            <w:vAlign w:val="center"/>
          </w:tcPr>
          <w:p w14:paraId="5BAD13E4" w14:textId="77777777" w:rsidR="004A0123" w:rsidRPr="00640447" w:rsidRDefault="004A0123" w:rsidP="008A5C11">
            <w:pPr>
              <w:jc w:val="center"/>
              <w:rPr>
                <w:sz w:val="13"/>
                <w:szCs w:val="13"/>
              </w:rPr>
            </w:pPr>
            <w:r w:rsidRPr="00640447">
              <w:rPr>
                <w:sz w:val="13"/>
                <w:szCs w:val="13"/>
              </w:rPr>
              <w:t>0</w:t>
            </w:r>
          </w:p>
        </w:tc>
        <w:tc>
          <w:tcPr>
            <w:tcW w:w="224" w:type="pct"/>
            <w:shd w:val="clear" w:color="auto" w:fill="auto"/>
            <w:tcMar>
              <w:left w:w="28" w:type="dxa"/>
              <w:right w:w="28" w:type="dxa"/>
            </w:tcMar>
            <w:vAlign w:val="center"/>
          </w:tcPr>
          <w:p w14:paraId="19E0EAB2" w14:textId="77777777" w:rsidR="004A0123" w:rsidRPr="00640447" w:rsidRDefault="004A0123" w:rsidP="008A5C11">
            <w:pPr>
              <w:jc w:val="center"/>
              <w:rPr>
                <w:sz w:val="13"/>
                <w:szCs w:val="13"/>
              </w:rPr>
            </w:pPr>
            <w:r w:rsidRPr="00640447">
              <w:rPr>
                <w:sz w:val="13"/>
                <w:szCs w:val="13"/>
              </w:rPr>
              <w:t>0</w:t>
            </w:r>
          </w:p>
        </w:tc>
        <w:tc>
          <w:tcPr>
            <w:tcW w:w="224" w:type="pct"/>
            <w:shd w:val="clear" w:color="auto" w:fill="auto"/>
            <w:vAlign w:val="center"/>
          </w:tcPr>
          <w:p w14:paraId="64987279" w14:textId="77777777" w:rsidR="004A0123" w:rsidRPr="00640447" w:rsidRDefault="004A0123" w:rsidP="008A5C11">
            <w:pPr>
              <w:jc w:val="center"/>
              <w:rPr>
                <w:sz w:val="13"/>
                <w:szCs w:val="13"/>
              </w:rPr>
            </w:pPr>
            <w:r w:rsidRPr="00640447">
              <w:rPr>
                <w:sz w:val="13"/>
                <w:szCs w:val="13"/>
              </w:rPr>
              <w:t>0</w:t>
            </w:r>
          </w:p>
        </w:tc>
        <w:tc>
          <w:tcPr>
            <w:tcW w:w="224" w:type="pct"/>
            <w:shd w:val="clear" w:color="auto" w:fill="auto"/>
            <w:vAlign w:val="center"/>
          </w:tcPr>
          <w:p w14:paraId="476C748F" w14:textId="77777777" w:rsidR="004A0123" w:rsidRPr="00640447" w:rsidRDefault="004A0123" w:rsidP="008A5C11">
            <w:pPr>
              <w:jc w:val="center"/>
              <w:rPr>
                <w:sz w:val="13"/>
                <w:szCs w:val="13"/>
              </w:rPr>
            </w:pPr>
            <w:r w:rsidRPr="00640447">
              <w:rPr>
                <w:sz w:val="13"/>
                <w:szCs w:val="13"/>
              </w:rPr>
              <w:t>0</w:t>
            </w:r>
          </w:p>
        </w:tc>
        <w:tc>
          <w:tcPr>
            <w:tcW w:w="224" w:type="pct"/>
            <w:shd w:val="clear" w:color="auto" w:fill="auto"/>
            <w:tcMar>
              <w:left w:w="28" w:type="dxa"/>
              <w:right w:w="28" w:type="dxa"/>
            </w:tcMar>
            <w:vAlign w:val="center"/>
          </w:tcPr>
          <w:p w14:paraId="26C05B4E" w14:textId="77777777" w:rsidR="004A0123" w:rsidRPr="00640447" w:rsidRDefault="004A0123" w:rsidP="008A5C11">
            <w:pPr>
              <w:jc w:val="center"/>
              <w:rPr>
                <w:sz w:val="13"/>
                <w:szCs w:val="13"/>
              </w:rPr>
            </w:pPr>
            <w:r w:rsidRPr="00640447">
              <w:rPr>
                <w:sz w:val="13"/>
                <w:szCs w:val="13"/>
              </w:rPr>
              <w:t>0</w:t>
            </w:r>
          </w:p>
        </w:tc>
        <w:tc>
          <w:tcPr>
            <w:tcW w:w="224" w:type="pct"/>
            <w:shd w:val="clear" w:color="auto" w:fill="auto"/>
            <w:tcMar>
              <w:left w:w="28" w:type="dxa"/>
              <w:right w:w="28" w:type="dxa"/>
            </w:tcMar>
            <w:vAlign w:val="center"/>
          </w:tcPr>
          <w:p w14:paraId="3C7B9282" w14:textId="77777777" w:rsidR="004A0123" w:rsidRPr="00640447" w:rsidRDefault="004A0123" w:rsidP="008A5C11">
            <w:pPr>
              <w:jc w:val="center"/>
              <w:rPr>
                <w:sz w:val="13"/>
                <w:szCs w:val="13"/>
              </w:rPr>
            </w:pPr>
            <w:r w:rsidRPr="00640447">
              <w:rPr>
                <w:sz w:val="13"/>
                <w:szCs w:val="13"/>
              </w:rPr>
              <w:t>0</w:t>
            </w:r>
          </w:p>
        </w:tc>
        <w:tc>
          <w:tcPr>
            <w:tcW w:w="224" w:type="pct"/>
            <w:shd w:val="clear" w:color="auto" w:fill="auto"/>
            <w:tcMar>
              <w:left w:w="28" w:type="dxa"/>
              <w:right w:w="28" w:type="dxa"/>
            </w:tcMar>
            <w:vAlign w:val="center"/>
          </w:tcPr>
          <w:p w14:paraId="6BB05087" w14:textId="77777777" w:rsidR="004A0123" w:rsidRPr="00640447" w:rsidRDefault="004A0123" w:rsidP="008A5C11">
            <w:pPr>
              <w:jc w:val="center"/>
              <w:rPr>
                <w:sz w:val="13"/>
                <w:szCs w:val="13"/>
              </w:rPr>
            </w:pPr>
            <w:r w:rsidRPr="00640447">
              <w:rPr>
                <w:sz w:val="13"/>
                <w:szCs w:val="13"/>
              </w:rPr>
              <w:t>0</w:t>
            </w:r>
          </w:p>
        </w:tc>
        <w:tc>
          <w:tcPr>
            <w:tcW w:w="224" w:type="pct"/>
            <w:shd w:val="clear" w:color="auto" w:fill="auto"/>
            <w:tcMar>
              <w:left w:w="28" w:type="dxa"/>
              <w:right w:w="28" w:type="dxa"/>
            </w:tcMar>
            <w:vAlign w:val="center"/>
          </w:tcPr>
          <w:p w14:paraId="660E39EF" w14:textId="77777777" w:rsidR="004A0123" w:rsidRPr="00640447" w:rsidRDefault="004A0123" w:rsidP="008A5C11">
            <w:pPr>
              <w:jc w:val="center"/>
              <w:rPr>
                <w:sz w:val="13"/>
                <w:szCs w:val="13"/>
              </w:rPr>
            </w:pPr>
            <w:r w:rsidRPr="00640447">
              <w:rPr>
                <w:sz w:val="13"/>
                <w:szCs w:val="13"/>
              </w:rPr>
              <w:t>0</w:t>
            </w:r>
          </w:p>
        </w:tc>
        <w:tc>
          <w:tcPr>
            <w:tcW w:w="224" w:type="pct"/>
            <w:shd w:val="clear" w:color="auto" w:fill="auto"/>
            <w:vAlign w:val="center"/>
          </w:tcPr>
          <w:p w14:paraId="4AD17F6F" w14:textId="77777777" w:rsidR="004A0123" w:rsidRPr="00640447" w:rsidRDefault="004A0123" w:rsidP="008A5C11">
            <w:pPr>
              <w:jc w:val="center"/>
              <w:rPr>
                <w:sz w:val="13"/>
                <w:szCs w:val="13"/>
              </w:rPr>
            </w:pPr>
            <w:r w:rsidRPr="00640447">
              <w:rPr>
                <w:sz w:val="13"/>
                <w:szCs w:val="13"/>
              </w:rPr>
              <w:t>0</w:t>
            </w:r>
          </w:p>
        </w:tc>
        <w:tc>
          <w:tcPr>
            <w:tcW w:w="337" w:type="pct"/>
            <w:shd w:val="clear" w:color="auto" w:fill="auto"/>
            <w:tcMar>
              <w:left w:w="28" w:type="dxa"/>
              <w:right w:w="28" w:type="dxa"/>
            </w:tcMar>
            <w:vAlign w:val="center"/>
          </w:tcPr>
          <w:p w14:paraId="62129798" w14:textId="77777777" w:rsidR="004A0123" w:rsidRPr="00640447" w:rsidRDefault="004A0123" w:rsidP="008A5C11">
            <w:pPr>
              <w:jc w:val="center"/>
              <w:rPr>
                <w:sz w:val="13"/>
                <w:szCs w:val="13"/>
              </w:rPr>
            </w:pPr>
            <w:r w:rsidRPr="00640447">
              <w:rPr>
                <w:sz w:val="13"/>
                <w:szCs w:val="13"/>
              </w:rPr>
              <w:t>0</w:t>
            </w:r>
          </w:p>
        </w:tc>
        <w:tc>
          <w:tcPr>
            <w:tcW w:w="152" w:type="pct"/>
            <w:shd w:val="clear" w:color="auto" w:fill="auto"/>
            <w:tcMar>
              <w:left w:w="28" w:type="dxa"/>
              <w:right w:w="28" w:type="dxa"/>
            </w:tcMar>
            <w:vAlign w:val="center"/>
          </w:tcPr>
          <w:p w14:paraId="7E4E8CFD" w14:textId="77777777" w:rsidR="004A0123" w:rsidRPr="00640447" w:rsidRDefault="004A0123" w:rsidP="008A5C11">
            <w:pPr>
              <w:jc w:val="center"/>
              <w:rPr>
                <w:sz w:val="13"/>
                <w:szCs w:val="13"/>
              </w:rPr>
            </w:pPr>
            <w:r w:rsidRPr="00640447">
              <w:rPr>
                <w:sz w:val="13"/>
                <w:szCs w:val="13"/>
              </w:rPr>
              <w:t>0</w:t>
            </w:r>
          </w:p>
        </w:tc>
        <w:tc>
          <w:tcPr>
            <w:tcW w:w="152" w:type="pct"/>
            <w:shd w:val="clear" w:color="auto" w:fill="auto"/>
            <w:tcMar>
              <w:left w:w="28" w:type="dxa"/>
              <w:right w:w="28" w:type="dxa"/>
            </w:tcMar>
            <w:vAlign w:val="center"/>
          </w:tcPr>
          <w:p w14:paraId="2683BFE5" w14:textId="77777777" w:rsidR="004A0123" w:rsidRPr="00640447" w:rsidRDefault="004A0123" w:rsidP="008A5C11">
            <w:pPr>
              <w:jc w:val="center"/>
              <w:rPr>
                <w:sz w:val="13"/>
                <w:szCs w:val="13"/>
              </w:rPr>
            </w:pPr>
            <w:r w:rsidRPr="00640447">
              <w:rPr>
                <w:sz w:val="13"/>
                <w:szCs w:val="13"/>
              </w:rPr>
              <w:t>0</w:t>
            </w:r>
          </w:p>
        </w:tc>
        <w:tc>
          <w:tcPr>
            <w:tcW w:w="152" w:type="pct"/>
            <w:shd w:val="clear" w:color="auto" w:fill="auto"/>
            <w:tcMar>
              <w:left w:w="28" w:type="dxa"/>
              <w:right w:w="28" w:type="dxa"/>
            </w:tcMar>
            <w:vAlign w:val="center"/>
          </w:tcPr>
          <w:p w14:paraId="276582F1" w14:textId="77777777" w:rsidR="004A0123" w:rsidRPr="00640447" w:rsidRDefault="004A0123" w:rsidP="008A5C11">
            <w:pPr>
              <w:jc w:val="center"/>
              <w:rPr>
                <w:sz w:val="13"/>
                <w:szCs w:val="13"/>
              </w:rPr>
            </w:pPr>
            <w:r w:rsidRPr="00640447">
              <w:rPr>
                <w:sz w:val="13"/>
                <w:szCs w:val="13"/>
              </w:rPr>
              <w:t>0</w:t>
            </w:r>
          </w:p>
        </w:tc>
        <w:tc>
          <w:tcPr>
            <w:tcW w:w="152" w:type="pct"/>
            <w:shd w:val="clear" w:color="auto" w:fill="auto"/>
            <w:vAlign w:val="center"/>
          </w:tcPr>
          <w:p w14:paraId="7C5D2DB7" w14:textId="77777777" w:rsidR="004A0123" w:rsidRPr="00640447" w:rsidRDefault="004A0123" w:rsidP="008A5C11">
            <w:pPr>
              <w:jc w:val="center"/>
              <w:rPr>
                <w:sz w:val="13"/>
                <w:szCs w:val="13"/>
              </w:rPr>
            </w:pPr>
            <w:r w:rsidRPr="00640447">
              <w:rPr>
                <w:sz w:val="13"/>
                <w:szCs w:val="13"/>
              </w:rPr>
              <w:t>0</w:t>
            </w:r>
          </w:p>
        </w:tc>
        <w:tc>
          <w:tcPr>
            <w:tcW w:w="152" w:type="pct"/>
            <w:shd w:val="clear" w:color="auto" w:fill="auto"/>
            <w:vAlign w:val="center"/>
          </w:tcPr>
          <w:p w14:paraId="1DAFC157" w14:textId="77777777" w:rsidR="004A0123" w:rsidRPr="00640447" w:rsidRDefault="004A0123" w:rsidP="008A5C11">
            <w:pPr>
              <w:jc w:val="center"/>
              <w:rPr>
                <w:sz w:val="13"/>
                <w:szCs w:val="13"/>
              </w:rPr>
            </w:pPr>
            <w:r w:rsidRPr="00640447">
              <w:rPr>
                <w:sz w:val="13"/>
                <w:szCs w:val="13"/>
              </w:rPr>
              <w:t>0</w:t>
            </w:r>
          </w:p>
        </w:tc>
        <w:tc>
          <w:tcPr>
            <w:tcW w:w="152" w:type="pct"/>
            <w:shd w:val="clear" w:color="auto" w:fill="auto"/>
            <w:tcMar>
              <w:left w:w="28" w:type="dxa"/>
              <w:right w:w="28" w:type="dxa"/>
            </w:tcMar>
            <w:vAlign w:val="center"/>
          </w:tcPr>
          <w:p w14:paraId="7A98E3D2" w14:textId="77777777" w:rsidR="004A0123" w:rsidRPr="00640447" w:rsidRDefault="004A0123" w:rsidP="008A5C11">
            <w:pPr>
              <w:jc w:val="center"/>
              <w:rPr>
                <w:sz w:val="13"/>
                <w:szCs w:val="13"/>
              </w:rPr>
            </w:pPr>
            <w:r w:rsidRPr="00640447">
              <w:rPr>
                <w:sz w:val="13"/>
                <w:szCs w:val="13"/>
              </w:rPr>
              <w:t>0</w:t>
            </w:r>
          </w:p>
        </w:tc>
        <w:tc>
          <w:tcPr>
            <w:tcW w:w="152" w:type="pct"/>
            <w:shd w:val="clear" w:color="auto" w:fill="auto"/>
            <w:tcMar>
              <w:left w:w="28" w:type="dxa"/>
              <w:right w:w="28" w:type="dxa"/>
            </w:tcMar>
            <w:vAlign w:val="center"/>
          </w:tcPr>
          <w:p w14:paraId="5668D87D" w14:textId="77777777" w:rsidR="004A0123" w:rsidRPr="00640447" w:rsidRDefault="004A0123" w:rsidP="008A5C11">
            <w:pPr>
              <w:jc w:val="center"/>
              <w:rPr>
                <w:sz w:val="13"/>
                <w:szCs w:val="13"/>
              </w:rPr>
            </w:pPr>
            <w:r w:rsidRPr="00640447">
              <w:rPr>
                <w:sz w:val="13"/>
                <w:szCs w:val="13"/>
              </w:rPr>
              <w:t>0</w:t>
            </w:r>
          </w:p>
        </w:tc>
        <w:tc>
          <w:tcPr>
            <w:tcW w:w="152" w:type="pct"/>
            <w:shd w:val="clear" w:color="auto" w:fill="auto"/>
            <w:tcMar>
              <w:left w:w="28" w:type="dxa"/>
              <w:right w:w="28" w:type="dxa"/>
            </w:tcMar>
            <w:vAlign w:val="center"/>
          </w:tcPr>
          <w:p w14:paraId="0F460E27" w14:textId="77777777" w:rsidR="004A0123" w:rsidRPr="00640447" w:rsidRDefault="004A0123" w:rsidP="008A5C11">
            <w:pPr>
              <w:jc w:val="center"/>
              <w:rPr>
                <w:sz w:val="13"/>
                <w:szCs w:val="13"/>
              </w:rPr>
            </w:pPr>
            <w:r w:rsidRPr="00640447">
              <w:rPr>
                <w:sz w:val="13"/>
                <w:szCs w:val="13"/>
              </w:rPr>
              <w:t>0</w:t>
            </w:r>
          </w:p>
        </w:tc>
        <w:tc>
          <w:tcPr>
            <w:tcW w:w="153" w:type="pct"/>
            <w:shd w:val="clear" w:color="auto" w:fill="auto"/>
            <w:tcMar>
              <w:left w:w="28" w:type="dxa"/>
              <w:right w:w="28" w:type="dxa"/>
            </w:tcMar>
            <w:vAlign w:val="center"/>
          </w:tcPr>
          <w:p w14:paraId="0D99A060" w14:textId="77777777" w:rsidR="004A0123" w:rsidRPr="00640447" w:rsidRDefault="004A0123" w:rsidP="008A5C11">
            <w:pPr>
              <w:jc w:val="center"/>
              <w:rPr>
                <w:sz w:val="13"/>
                <w:szCs w:val="13"/>
              </w:rPr>
            </w:pPr>
            <w:r w:rsidRPr="00640447">
              <w:rPr>
                <w:sz w:val="13"/>
                <w:szCs w:val="13"/>
              </w:rPr>
              <w:t>0</w:t>
            </w:r>
          </w:p>
        </w:tc>
        <w:tc>
          <w:tcPr>
            <w:tcW w:w="152" w:type="pct"/>
            <w:shd w:val="clear" w:color="auto" w:fill="auto"/>
            <w:vAlign w:val="center"/>
          </w:tcPr>
          <w:p w14:paraId="59AA2ACF" w14:textId="77777777" w:rsidR="004A0123" w:rsidRPr="00640447" w:rsidRDefault="004A0123" w:rsidP="008A5C11">
            <w:pPr>
              <w:jc w:val="center"/>
              <w:rPr>
                <w:sz w:val="13"/>
                <w:szCs w:val="13"/>
              </w:rPr>
            </w:pPr>
            <w:r w:rsidRPr="00640447">
              <w:rPr>
                <w:sz w:val="13"/>
                <w:szCs w:val="13"/>
              </w:rPr>
              <w:t>0</w:t>
            </w:r>
          </w:p>
        </w:tc>
      </w:tr>
      <w:tr w:rsidR="004A0123" w:rsidRPr="00640447" w14:paraId="1268C25E" w14:textId="77777777" w:rsidTr="008A5C11">
        <w:trPr>
          <w:trHeight w:val="148"/>
          <w:jc w:val="center"/>
        </w:trPr>
        <w:tc>
          <w:tcPr>
            <w:tcW w:w="104" w:type="pct"/>
            <w:tcMar>
              <w:top w:w="62" w:type="dxa"/>
              <w:left w:w="28" w:type="dxa"/>
              <w:bottom w:w="102" w:type="dxa"/>
              <w:right w:w="28" w:type="dxa"/>
            </w:tcMar>
            <w:vAlign w:val="center"/>
          </w:tcPr>
          <w:p w14:paraId="5F63F860" w14:textId="77777777" w:rsidR="004A0123" w:rsidRPr="00640447" w:rsidRDefault="004A0123" w:rsidP="008A5C11">
            <w:pPr>
              <w:jc w:val="center"/>
              <w:rPr>
                <w:sz w:val="13"/>
                <w:szCs w:val="13"/>
              </w:rPr>
            </w:pPr>
            <w:r w:rsidRPr="00640447">
              <w:rPr>
                <w:sz w:val="13"/>
                <w:szCs w:val="13"/>
              </w:rPr>
              <w:t>16</w:t>
            </w:r>
          </w:p>
        </w:tc>
        <w:tc>
          <w:tcPr>
            <w:tcW w:w="500" w:type="pct"/>
            <w:tcMar>
              <w:top w:w="62" w:type="dxa"/>
              <w:left w:w="28" w:type="dxa"/>
              <w:bottom w:w="102" w:type="dxa"/>
              <w:right w:w="28" w:type="dxa"/>
            </w:tcMar>
            <w:vAlign w:val="center"/>
          </w:tcPr>
          <w:p w14:paraId="193C5C36" w14:textId="77777777" w:rsidR="004A0123" w:rsidRPr="00640447" w:rsidRDefault="004A0123" w:rsidP="008A5C11">
            <w:pPr>
              <w:jc w:val="center"/>
              <w:rPr>
                <w:sz w:val="13"/>
                <w:szCs w:val="13"/>
              </w:rPr>
            </w:pPr>
            <w:r w:rsidRPr="00640447">
              <w:rPr>
                <w:sz w:val="13"/>
                <w:szCs w:val="13"/>
              </w:rPr>
              <w:t>Котельная НФС</w:t>
            </w:r>
          </w:p>
        </w:tc>
        <w:tc>
          <w:tcPr>
            <w:tcW w:w="290" w:type="pct"/>
            <w:shd w:val="clear" w:color="auto" w:fill="auto"/>
            <w:tcMar>
              <w:left w:w="28" w:type="dxa"/>
              <w:right w:w="28" w:type="dxa"/>
            </w:tcMar>
            <w:vAlign w:val="center"/>
          </w:tcPr>
          <w:p w14:paraId="3BAA3538" w14:textId="77777777" w:rsidR="004A0123" w:rsidRPr="00640447" w:rsidRDefault="004A0123" w:rsidP="008A5C11">
            <w:pPr>
              <w:jc w:val="center"/>
              <w:rPr>
                <w:sz w:val="13"/>
                <w:szCs w:val="13"/>
              </w:rPr>
            </w:pPr>
            <w:r w:rsidRPr="00640447">
              <w:rPr>
                <w:sz w:val="13"/>
                <w:szCs w:val="13"/>
              </w:rPr>
              <w:t>0</w:t>
            </w:r>
          </w:p>
        </w:tc>
        <w:tc>
          <w:tcPr>
            <w:tcW w:w="224" w:type="pct"/>
            <w:shd w:val="clear" w:color="auto" w:fill="auto"/>
            <w:tcMar>
              <w:left w:w="28" w:type="dxa"/>
              <w:right w:w="28" w:type="dxa"/>
            </w:tcMar>
            <w:vAlign w:val="center"/>
          </w:tcPr>
          <w:p w14:paraId="0BC888A1" w14:textId="77777777" w:rsidR="004A0123" w:rsidRPr="00640447" w:rsidRDefault="004A0123" w:rsidP="008A5C11">
            <w:pPr>
              <w:jc w:val="center"/>
              <w:rPr>
                <w:sz w:val="13"/>
                <w:szCs w:val="13"/>
              </w:rPr>
            </w:pPr>
            <w:r w:rsidRPr="00640447">
              <w:rPr>
                <w:sz w:val="13"/>
                <w:szCs w:val="13"/>
              </w:rPr>
              <w:t>0</w:t>
            </w:r>
          </w:p>
        </w:tc>
        <w:tc>
          <w:tcPr>
            <w:tcW w:w="224" w:type="pct"/>
            <w:shd w:val="clear" w:color="auto" w:fill="auto"/>
            <w:tcMar>
              <w:left w:w="28" w:type="dxa"/>
              <w:right w:w="28" w:type="dxa"/>
            </w:tcMar>
            <w:vAlign w:val="center"/>
          </w:tcPr>
          <w:p w14:paraId="272E2F74" w14:textId="77777777" w:rsidR="004A0123" w:rsidRPr="00640447" w:rsidRDefault="004A0123" w:rsidP="008A5C11">
            <w:pPr>
              <w:jc w:val="center"/>
              <w:rPr>
                <w:sz w:val="13"/>
                <w:szCs w:val="13"/>
              </w:rPr>
            </w:pPr>
            <w:r w:rsidRPr="00640447">
              <w:rPr>
                <w:sz w:val="13"/>
                <w:szCs w:val="13"/>
              </w:rPr>
              <w:t>0</w:t>
            </w:r>
          </w:p>
        </w:tc>
        <w:tc>
          <w:tcPr>
            <w:tcW w:w="224" w:type="pct"/>
            <w:shd w:val="clear" w:color="auto" w:fill="auto"/>
            <w:tcMar>
              <w:left w:w="28" w:type="dxa"/>
              <w:right w:w="28" w:type="dxa"/>
            </w:tcMar>
            <w:vAlign w:val="center"/>
          </w:tcPr>
          <w:p w14:paraId="31DF3A00" w14:textId="77777777" w:rsidR="004A0123" w:rsidRPr="00640447" w:rsidRDefault="004A0123" w:rsidP="008A5C11">
            <w:pPr>
              <w:jc w:val="center"/>
              <w:rPr>
                <w:sz w:val="13"/>
                <w:szCs w:val="13"/>
              </w:rPr>
            </w:pPr>
            <w:r w:rsidRPr="00640447">
              <w:rPr>
                <w:sz w:val="13"/>
                <w:szCs w:val="13"/>
              </w:rPr>
              <w:t>0</w:t>
            </w:r>
          </w:p>
        </w:tc>
        <w:tc>
          <w:tcPr>
            <w:tcW w:w="224" w:type="pct"/>
            <w:shd w:val="clear" w:color="auto" w:fill="auto"/>
            <w:vAlign w:val="center"/>
          </w:tcPr>
          <w:p w14:paraId="5BC0E911" w14:textId="77777777" w:rsidR="004A0123" w:rsidRPr="00640447" w:rsidRDefault="004A0123" w:rsidP="008A5C11">
            <w:pPr>
              <w:jc w:val="center"/>
              <w:rPr>
                <w:sz w:val="13"/>
                <w:szCs w:val="13"/>
              </w:rPr>
            </w:pPr>
            <w:r w:rsidRPr="00640447">
              <w:rPr>
                <w:sz w:val="13"/>
                <w:szCs w:val="13"/>
              </w:rPr>
              <w:t>0</w:t>
            </w:r>
          </w:p>
        </w:tc>
        <w:tc>
          <w:tcPr>
            <w:tcW w:w="224" w:type="pct"/>
            <w:shd w:val="clear" w:color="auto" w:fill="auto"/>
            <w:vAlign w:val="center"/>
          </w:tcPr>
          <w:p w14:paraId="12BA0D91" w14:textId="77777777" w:rsidR="004A0123" w:rsidRPr="00640447" w:rsidRDefault="004A0123" w:rsidP="008A5C11">
            <w:pPr>
              <w:jc w:val="center"/>
              <w:rPr>
                <w:sz w:val="13"/>
                <w:szCs w:val="13"/>
              </w:rPr>
            </w:pPr>
            <w:r w:rsidRPr="00640447">
              <w:rPr>
                <w:sz w:val="13"/>
                <w:szCs w:val="13"/>
              </w:rPr>
              <w:t>0</w:t>
            </w:r>
          </w:p>
        </w:tc>
        <w:tc>
          <w:tcPr>
            <w:tcW w:w="224" w:type="pct"/>
            <w:shd w:val="clear" w:color="auto" w:fill="auto"/>
            <w:tcMar>
              <w:left w:w="28" w:type="dxa"/>
              <w:right w:w="28" w:type="dxa"/>
            </w:tcMar>
            <w:vAlign w:val="center"/>
          </w:tcPr>
          <w:p w14:paraId="06A725BB" w14:textId="77777777" w:rsidR="004A0123" w:rsidRPr="00640447" w:rsidRDefault="004A0123" w:rsidP="008A5C11">
            <w:pPr>
              <w:jc w:val="center"/>
              <w:rPr>
                <w:sz w:val="13"/>
                <w:szCs w:val="13"/>
              </w:rPr>
            </w:pPr>
            <w:r w:rsidRPr="00640447">
              <w:rPr>
                <w:sz w:val="13"/>
                <w:szCs w:val="13"/>
              </w:rPr>
              <w:t>0</w:t>
            </w:r>
          </w:p>
        </w:tc>
        <w:tc>
          <w:tcPr>
            <w:tcW w:w="224" w:type="pct"/>
            <w:shd w:val="clear" w:color="auto" w:fill="auto"/>
            <w:tcMar>
              <w:left w:w="28" w:type="dxa"/>
              <w:right w:w="28" w:type="dxa"/>
            </w:tcMar>
            <w:vAlign w:val="center"/>
          </w:tcPr>
          <w:p w14:paraId="555F374C" w14:textId="77777777" w:rsidR="004A0123" w:rsidRPr="00640447" w:rsidRDefault="004A0123" w:rsidP="008A5C11">
            <w:pPr>
              <w:jc w:val="center"/>
              <w:rPr>
                <w:sz w:val="13"/>
                <w:szCs w:val="13"/>
              </w:rPr>
            </w:pPr>
            <w:r w:rsidRPr="00640447">
              <w:rPr>
                <w:sz w:val="13"/>
                <w:szCs w:val="13"/>
              </w:rPr>
              <w:t>0</w:t>
            </w:r>
          </w:p>
        </w:tc>
        <w:tc>
          <w:tcPr>
            <w:tcW w:w="224" w:type="pct"/>
            <w:shd w:val="clear" w:color="auto" w:fill="auto"/>
            <w:tcMar>
              <w:left w:w="28" w:type="dxa"/>
              <w:right w:w="28" w:type="dxa"/>
            </w:tcMar>
            <w:vAlign w:val="center"/>
          </w:tcPr>
          <w:p w14:paraId="40D93993" w14:textId="77777777" w:rsidR="004A0123" w:rsidRPr="00640447" w:rsidRDefault="004A0123" w:rsidP="008A5C11">
            <w:pPr>
              <w:jc w:val="center"/>
              <w:rPr>
                <w:sz w:val="13"/>
                <w:szCs w:val="13"/>
              </w:rPr>
            </w:pPr>
            <w:r w:rsidRPr="00640447">
              <w:rPr>
                <w:sz w:val="13"/>
                <w:szCs w:val="13"/>
              </w:rPr>
              <w:t>0</w:t>
            </w:r>
          </w:p>
        </w:tc>
        <w:tc>
          <w:tcPr>
            <w:tcW w:w="224" w:type="pct"/>
            <w:shd w:val="clear" w:color="auto" w:fill="auto"/>
            <w:tcMar>
              <w:left w:w="28" w:type="dxa"/>
              <w:right w:w="28" w:type="dxa"/>
            </w:tcMar>
            <w:vAlign w:val="center"/>
          </w:tcPr>
          <w:p w14:paraId="68828382" w14:textId="77777777" w:rsidR="004A0123" w:rsidRPr="00640447" w:rsidRDefault="004A0123" w:rsidP="008A5C11">
            <w:pPr>
              <w:jc w:val="center"/>
              <w:rPr>
                <w:sz w:val="13"/>
                <w:szCs w:val="13"/>
              </w:rPr>
            </w:pPr>
            <w:r w:rsidRPr="00640447">
              <w:rPr>
                <w:sz w:val="13"/>
                <w:szCs w:val="13"/>
              </w:rPr>
              <w:t>0</w:t>
            </w:r>
          </w:p>
        </w:tc>
        <w:tc>
          <w:tcPr>
            <w:tcW w:w="224" w:type="pct"/>
            <w:shd w:val="clear" w:color="auto" w:fill="auto"/>
            <w:vAlign w:val="center"/>
          </w:tcPr>
          <w:p w14:paraId="71FBFA86" w14:textId="77777777" w:rsidR="004A0123" w:rsidRPr="00640447" w:rsidRDefault="004A0123" w:rsidP="008A5C11">
            <w:pPr>
              <w:jc w:val="center"/>
              <w:rPr>
                <w:sz w:val="13"/>
                <w:szCs w:val="13"/>
              </w:rPr>
            </w:pPr>
            <w:r w:rsidRPr="00640447">
              <w:rPr>
                <w:sz w:val="13"/>
                <w:szCs w:val="13"/>
              </w:rPr>
              <w:t>0</w:t>
            </w:r>
          </w:p>
        </w:tc>
        <w:tc>
          <w:tcPr>
            <w:tcW w:w="337" w:type="pct"/>
            <w:shd w:val="clear" w:color="auto" w:fill="auto"/>
            <w:tcMar>
              <w:left w:w="28" w:type="dxa"/>
              <w:right w:w="28" w:type="dxa"/>
            </w:tcMar>
            <w:vAlign w:val="center"/>
          </w:tcPr>
          <w:p w14:paraId="6AC6E0E3" w14:textId="77777777" w:rsidR="004A0123" w:rsidRPr="00640447" w:rsidRDefault="004A0123" w:rsidP="008A5C11">
            <w:pPr>
              <w:jc w:val="center"/>
              <w:rPr>
                <w:sz w:val="13"/>
                <w:szCs w:val="13"/>
              </w:rPr>
            </w:pPr>
            <w:r w:rsidRPr="00640447">
              <w:rPr>
                <w:sz w:val="13"/>
                <w:szCs w:val="13"/>
              </w:rPr>
              <w:t>0</w:t>
            </w:r>
          </w:p>
        </w:tc>
        <w:tc>
          <w:tcPr>
            <w:tcW w:w="152" w:type="pct"/>
            <w:shd w:val="clear" w:color="auto" w:fill="auto"/>
            <w:tcMar>
              <w:left w:w="28" w:type="dxa"/>
              <w:right w:w="28" w:type="dxa"/>
            </w:tcMar>
            <w:vAlign w:val="center"/>
          </w:tcPr>
          <w:p w14:paraId="6AAE4831" w14:textId="77777777" w:rsidR="004A0123" w:rsidRPr="00640447" w:rsidRDefault="004A0123" w:rsidP="008A5C11">
            <w:pPr>
              <w:jc w:val="center"/>
              <w:rPr>
                <w:sz w:val="13"/>
                <w:szCs w:val="13"/>
              </w:rPr>
            </w:pPr>
            <w:r w:rsidRPr="00640447">
              <w:rPr>
                <w:sz w:val="13"/>
                <w:szCs w:val="13"/>
              </w:rPr>
              <w:t>0</w:t>
            </w:r>
          </w:p>
        </w:tc>
        <w:tc>
          <w:tcPr>
            <w:tcW w:w="152" w:type="pct"/>
            <w:shd w:val="clear" w:color="auto" w:fill="auto"/>
            <w:tcMar>
              <w:left w:w="28" w:type="dxa"/>
              <w:right w:w="28" w:type="dxa"/>
            </w:tcMar>
            <w:vAlign w:val="center"/>
          </w:tcPr>
          <w:p w14:paraId="3B147703" w14:textId="77777777" w:rsidR="004A0123" w:rsidRPr="00640447" w:rsidRDefault="004A0123" w:rsidP="008A5C11">
            <w:pPr>
              <w:jc w:val="center"/>
              <w:rPr>
                <w:sz w:val="13"/>
                <w:szCs w:val="13"/>
              </w:rPr>
            </w:pPr>
            <w:r w:rsidRPr="00640447">
              <w:rPr>
                <w:sz w:val="13"/>
                <w:szCs w:val="13"/>
              </w:rPr>
              <w:t>0</w:t>
            </w:r>
          </w:p>
        </w:tc>
        <w:tc>
          <w:tcPr>
            <w:tcW w:w="152" w:type="pct"/>
            <w:shd w:val="clear" w:color="auto" w:fill="auto"/>
            <w:tcMar>
              <w:left w:w="28" w:type="dxa"/>
              <w:right w:w="28" w:type="dxa"/>
            </w:tcMar>
            <w:vAlign w:val="center"/>
          </w:tcPr>
          <w:p w14:paraId="1B26878F" w14:textId="77777777" w:rsidR="004A0123" w:rsidRPr="00640447" w:rsidRDefault="004A0123" w:rsidP="008A5C11">
            <w:pPr>
              <w:jc w:val="center"/>
              <w:rPr>
                <w:sz w:val="13"/>
                <w:szCs w:val="13"/>
              </w:rPr>
            </w:pPr>
            <w:r w:rsidRPr="00640447">
              <w:rPr>
                <w:sz w:val="13"/>
                <w:szCs w:val="13"/>
              </w:rPr>
              <w:t>0</w:t>
            </w:r>
          </w:p>
        </w:tc>
        <w:tc>
          <w:tcPr>
            <w:tcW w:w="152" w:type="pct"/>
            <w:shd w:val="clear" w:color="auto" w:fill="auto"/>
            <w:vAlign w:val="center"/>
          </w:tcPr>
          <w:p w14:paraId="302B27C8" w14:textId="77777777" w:rsidR="004A0123" w:rsidRPr="00640447" w:rsidRDefault="004A0123" w:rsidP="008A5C11">
            <w:pPr>
              <w:jc w:val="center"/>
              <w:rPr>
                <w:sz w:val="13"/>
                <w:szCs w:val="13"/>
              </w:rPr>
            </w:pPr>
            <w:r w:rsidRPr="00640447">
              <w:rPr>
                <w:sz w:val="13"/>
                <w:szCs w:val="13"/>
              </w:rPr>
              <w:t>0</w:t>
            </w:r>
          </w:p>
        </w:tc>
        <w:tc>
          <w:tcPr>
            <w:tcW w:w="152" w:type="pct"/>
            <w:shd w:val="clear" w:color="auto" w:fill="auto"/>
            <w:vAlign w:val="center"/>
          </w:tcPr>
          <w:p w14:paraId="02A1EB4B" w14:textId="77777777" w:rsidR="004A0123" w:rsidRPr="00640447" w:rsidRDefault="004A0123" w:rsidP="008A5C11">
            <w:pPr>
              <w:jc w:val="center"/>
              <w:rPr>
                <w:sz w:val="13"/>
                <w:szCs w:val="13"/>
              </w:rPr>
            </w:pPr>
            <w:r w:rsidRPr="00640447">
              <w:rPr>
                <w:sz w:val="13"/>
                <w:szCs w:val="13"/>
              </w:rPr>
              <w:t>0</w:t>
            </w:r>
          </w:p>
        </w:tc>
        <w:tc>
          <w:tcPr>
            <w:tcW w:w="152" w:type="pct"/>
            <w:shd w:val="clear" w:color="auto" w:fill="auto"/>
            <w:tcMar>
              <w:left w:w="28" w:type="dxa"/>
              <w:right w:w="28" w:type="dxa"/>
            </w:tcMar>
            <w:vAlign w:val="center"/>
          </w:tcPr>
          <w:p w14:paraId="18CC423D" w14:textId="77777777" w:rsidR="004A0123" w:rsidRPr="00640447" w:rsidRDefault="004A0123" w:rsidP="008A5C11">
            <w:pPr>
              <w:jc w:val="center"/>
              <w:rPr>
                <w:sz w:val="13"/>
                <w:szCs w:val="13"/>
              </w:rPr>
            </w:pPr>
            <w:r w:rsidRPr="00640447">
              <w:rPr>
                <w:sz w:val="13"/>
                <w:szCs w:val="13"/>
              </w:rPr>
              <w:t>0</w:t>
            </w:r>
          </w:p>
        </w:tc>
        <w:tc>
          <w:tcPr>
            <w:tcW w:w="152" w:type="pct"/>
            <w:shd w:val="clear" w:color="auto" w:fill="auto"/>
            <w:tcMar>
              <w:left w:w="28" w:type="dxa"/>
              <w:right w:w="28" w:type="dxa"/>
            </w:tcMar>
            <w:vAlign w:val="center"/>
          </w:tcPr>
          <w:p w14:paraId="6F15D528" w14:textId="77777777" w:rsidR="004A0123" w:rsidRPr="00640447" w:rsidRDefault="004A0123" w:rsidP="008A5C11">
            <w:pPr>
              <w:jc w:val="center"/>
              <w:rPr>
                <w:sz w:val="13"/>
                <w:szCs w:val="13"/>
              </w:rPr>
            </w:pPr>
            <w:r w:rsidRPr="00640447">
              <w:rPr>
                <w:sz w:val="13"/>
                <w:szCs w:val="13"/>
              </w:rPr>
              <w:t>0</w:t>
            </w:r>
          </w:p>
        </w:tc>
        <w:tc>
          <w:tcPr>
            <w:tcW w:w="152" w:type="pct"/>
            <w:shd w:val="clear" w:color="auto" w:fill="auto"/>
            <w:tcMar>
              <w:left w:w="28" w:type="dxa"/>
              <w:right w:w="28" w:type="dxa"/>
            </w:tcMar>
            <w:vAlign w:val="center"/>
          </w:tcPr>
          <w:p w14:paraId="339F5CD0" w14:textId="77777777" w:rsidR="004A0123" w:rsidRPr="00640447" w:rsidRDefault="004A0123" w:rsidP="008A5C11">
            <w:pPr>
              <w:jc w:val="center"/>
              <w:rPr>
                <w:sz w:val="13"/>
                <w:szCs w:val="13"/>
              </w:rPr>
            </w:pPr>
            <w:r w:rsidRPr="00640447">
              <w:rPr>
                <w:sz w:val="13"/>
                <w:szCs w:val="13"/>
              </w:rPr>
              <w:t>0</w:t>
            </w:r>
          </w:p>
        </w:tc>
        <w:tc>
          <w:tcPr>
            <w:tcW w:w="153" w:type="pct"/>
            <w:shd w:val="clear" w:color="auto" w:fill="auto"/>
            <w:tcMar>
              <w:left w:w="28" w:type="dxa"/>
              <w:right w:w="28" w:type="dxa"/>
            </w:tcMar>
            <w:vAlign w:val="center"/>
          </w:tcPr>
          <w:p w14:paraId="03B86604" w14:textId="77777777" w:rsidR="004A0123" w:rsidRPr="00640447" w:rsidRDefault="004A0123" w:rsidP="008A5C11">
            <w:pPr>
              <w:jc w:val="center"/>
              <w:rPr>
                <w:sz w:val="13"/>
                <w:szCs w:val="13"/>
              </w:rPr>
            </w:pPr>
            <w:r w:rsidRPr="00640447">
              <w:rPr>
                <w:sz w:val="13"/>
                <w:szCs w:val="13"/>
              </w:rPr>
              <w:t>0</w:t>
            </w:r>
          </w:p>
        </w:tc>
        <w:tc>
          <w:tcPr>
            <w:tcW w:w="152" w:type="pct"/>
            <w:shd w:val="clear" w:color="auto" w:fill="auto"/>
            <w:vAlign w:val="center"/>
          </w:tcPr>
          <w:p w14:paraId="542E61BF" w14:textId="77777777" w:rsidR="004A0123" w:rsidRPr="00640447" w:rsidRDefault="004A0123" w:rsidP="008A5C11">
            <w:pPr>
              <w:jc w:val="center"/>
              <w:rPr>
                <w:sz w:val="13"/>
                <w:szCs w:val="13"/>
              </w:rPr>
            </w:pPr>
            <w:r w:rsidRPr="00640447">
              <w:rPr>
                <w:sz w:val="13"/>
                <w:szCs w:val="13"/>
              </w:rPr>
              <w:t>0</w:t>
            </w:r>
          </w:p>
        </w:tc>
      </w:tr>
      <w:tr w:rsidR="004A0123" w:rsidRPr="00640447" w14:paraId="5933C740" w14:textId="77777777" w:rsidTr="008A5C11">
        <w:trPr>
          <w:trHeight w:val="148"/>
          <w:jc w:val="center"/>
        </w:trPr>
        <w:tc>
          <w:tcPr>
            <w:tcW w:w="605" w:type="pct"/>
            <w:gridSpan w:val="2"/>
            <w:tcMar>
              <w:top w:w="62" w:type="dxa"/>
              <w:left w:w="28" w:type="dxa"/>
              <w:bottom w:w="102" w:type="dxa"/>
              <w:right w:w="28" w:type="dxa"/>
            </w:tcMar>
            <w:vAlign w:val="center"/>
          </w:tcPr>
          <w:p w14:paraId="57F54BCA" w14:textId="77777777" w:rsidR="004A0123" w:rsidRPr="00640447" w:rsidRDefault="004A0123" w:rsidP="008A5C11">
            <w:pPr>
              <w:jc w:val="center"/>
              <w:rPr>
                <w:sz w:val="13"/>
                <w:szCs w:val="13"/>
              </w:rPr>
            </w:pPr>
            <w:r w:rsidRPr="00640447">
              <w:rPr>
                <w:sz w:val="13"/>
                <w:szCs w:val="13"/>
              </w:rPr>
              <w:t>Итого:</w:t>
            </w:r>
          </w:p>
        </w:tc>
        <w:tc>
          <w:tcPr>
            <w:tcW w:w="290" w:type="pct"/>
            <w:shd w:val="clear" w:color="auto" w:fill="auto"/>
            <w:tcMar>
              <w:left w:w="28" w:type="dxa"/>
              <w:right w:w="28" w:type="dxa"/>
            </w:tcMar>
            <w:vAlign w:val="center"/>
          </w:tcPr>
          <w:p w14:paraId="786974B2" w14:textId="77777777" w:rsidR="004A0123" w:rsidRPr="00640447" w:rsidRDefault="004A0123" w:rsidP="008A5C11">
            <w:pPr>
              <w:jc w:val="center"/>
              <w:rPr>
                <w:sz w:val="13"/>
                <w:szCs w:val="13"/>
              </w:rPr>
            </w:pPr>
            <w:r w:rsidRPr="00640447">
              <w:rPr>
                <w:sz w:val="13"/>
                <w:szCs w:val="13"/>
              </w:rPr>
              <w:t>114500</w:t>
            </w:r>
          </w:p>
        </w:tc>
        <w:tc>
          <w:tcPr>
            <w:tcW w:w="224" w:type="pct"/>
            <w:shd w:val="clear" w:color="auto" w:fill="auto"/>
            <w:tcMar>
              <w:left w:w="28" w:type="dxa"/>
              <w:right w:w="28" w:type="dxa"/>
            </w:tcMar>
            <w:vAlign w:val="center"/>
          </w:tcPr>
          <w:p w14:paraId="00AEDB96" w14:textId="77777777" w:rsidR="004A0123" w:rsidRPr="00640447" w:rsidRDefault="004A0123" w:rsidP="008A5C11">
            <w:pPr>
              <w:jc w:val="center"/>
              <w:rPr>
                <w:sz w:val="13"/>
                <w:szCs w:val="13"/>
              </w:rPr>
            </w:pPr>
            <w:r w:rsidRPr="00640447">
              <w:rPr>
                <w:sz w:val="13"/>
                <w:szCs w:val="13"/>
              </w:rPr>
              <w:t>114500</w:t>
            </w:r>
          </w:p>
        </w:tc>
        <w:tc>
          <w:tcPr>
            <w:tcW w:w="224" w:type="pct"/>
            <w:shd w:val="clear" w:color="auto" w:fill="auto"/>
            <w:tcMar>
              <w:left w:w="28" w:type="dxa"/>
              <w:right w:w="28" w:type="dxa"/>
            </w:tcMar>
            <w:vAlign w:val="center"/>
          </w:tcPr>
          <w:p w14:paraId="4F2AB3FA" w14:textId="77777777" w:rsidR="004A0123" w:rsidRPr="00640447" w:rsidRDefault="004A0123" w:rsidP="008A5C11">
            <w:pPr>
              <w:jc w:val="center"/>
              <w:rPr>
                <w:sz w:val="13"/>
                <w:szCs w:val="13"/>
              </w:rPr>
            </w:pPr>
            <w:r w:rsidRPr="00640447">
              <w:rPr>
                <w:sz w:val="13"/>
                <w:szCs w:val="13"/>
              </w:rPr>
              <w:t>117850</w:t>
            </w:r>
          </w:p>
        </w:tc>
        <w:tc>
          <w:tcPr>
            <w:tcW w:w="224" w:type="pct"/>
            <w:shd w:val="clear" w:color="auto" w:fill="auto"/>
            <w:tcMar>
              <w:left w:w="28" w:type="dxa"/>
              <w:right w:w="28" w:type="dxa"/>
            </w:tcMar>
            <w:vAlign w:val="center"/>
          </w:tcPr>
          <w:p w14:paraId="34475749" w14:textId="77777777" w:rsidR="004A0123" w:rsidRPr="00640447" w:rsidRDefault="004A0123" w:rsidP="008A5C11">
            <w:pPr>
              <w:jc w:val="center"/>
              <w:rPr>
                <w:sz w:val="13"/>
                <w:szCs w:val="13"/>
              </w:rPr>
            </w:pPr>
            <w:r w:rsidRPr="00640447">
              <w:rPr>
                <w:sz w:val="13"/>
                <w:szCs w:val="13"/>
              </w:rPr>
              <w:t>117850</w:t>
            </w:r>
          </w:p>
        </w:tc>
        <w:tc>
          <w:tcPr>
            <w:tcW w:w="224" w:type="pct"/>
            <w:shd w:val="clear" w:color="auto" w:fill="auto"/>
            <w:vAlign w:val="center"/>
          </w:tcPr>
          <w:p w14:paraId="2FEC6C2E" w14:textId="77777777" w:rsidR="004A0123" w:rsidRPr="00640447" w:rsidRDefault="004A0123" w:rsidP="008A5C11">
            <w:pPr>
              <w:jc w:val="center"/>
              <w:rPr>
                <w:sz w:val="13"/>
                <w:szCs w:val="13"/>
              </w:rPr>
            </w:pPr>
            <w:r w:rsidRPr="00640447">
              <w:rPr>
                <w:sz w:val="13"/>
                <w:szCs w:val="13"/>
              </w:rPr>
              <w:t>117850</w:t>
            </w:r>
          </w:p>
        </w:tc>
        <w:tc>
          <w:tcPr>
            <w:tcW w:w="224" w:type="pct"/>
            <w:shd w:val="clear" w:color="auto" w:fill="auto"/>
            <w:vAlign w:val="center"/>
          </w:tcPr>
          <w:p w14:paraId="1BFEE054" w14:textId="77777777" w:rsidR="004A0123" w:rsidRPr="00640447" w:rsidRDefault="004A0123" w:rsidP="008A5C11">
            <w:pPr>
              <w:jc w:val="center"/>
              <w:rPr>
                <w:sz w:val="13"/>
                <w:szCs w:val="13"/>
              </w:rPr>
            </w:pPr>
            <w:r w:rsidRPr="00640447">
              <w:rPr>
                <w:sz w:val="13"/>
                <w:szCs w:val="13"/>
              </w:rPr>
              <w:t>118744</w:t>
            </w:r>
          </w:p>
        </w:tc>
        <w:tc>
          <w:tcPr>
            <w:tcW w:w="224" w:type="pct"/>
            <w:shd w:val="clear" w:color="auto" w:fill="auto"/>
            <w:tcMar>
              <w:left w:w="28" w:type="dxa"/>
              <w:right w:w="28" w:type="dxa"/>
            </w:tcMar>
            <w:vAlign w:val="center"/>
          </w:tcPr>
          <w:p w14:paraId="1BF0B229" w14:textId="77777777" w:rsidR="004A0123" w:rsidRPr="00640447" w:rsidRDefault="004A0123" w:rsidP="008A5C11">
            <w:pPr>
              <w:jc w:val="center"/>
              <w:rPr>
                <w:sz w:val="13"/>
                <w:szCs w:val="13"/>
              </w:rPr>
            </w:pPr>
            <w:r w:rsidRPr="00640447">
              <w:rPr>
                <w:sz w:val="13"/>
                <w:szCs w:val="13"/>
              </w:rPr>
              <w:t>119063</w:t>
            </w:r>
          </w:p>
        </w:tc>
        <w:tc>
          <w:tcPr>
            <w:tcW w:w="224" w:type="pct"/>
            <w:shd w:val="clear" w:color="auto" w:fill="auto"/>
            <w:tcMar>
              <w:left w:w="28" w:type="dxa"/>
              <w:right w:w="28" w:type="dxa"/>
            </w:tcMar>
            <w:vAlign w:val="center"/>
          </w:tcPr>
          <w:p w14:paraId="7BEF98D8" w14:textId="77777777" w:rsidR="004A0123" w:rsidRPr="00640447" w:rsidRDefault="004A0123" w:rsidP="008A5C11">
            <w:pPr>
              <w:jc w:val="center"/>
              <w:rPr>
                <w:sz w:val="13"/>
                <w:szCs w:val="13"/>
              </w:rPr>
            </w:pPr>
            <w:r w:rsidRPr="00640447">
              <w:rPr>
                <w:sz w:val="13"/>
                <w:szCs w:val="13"/>
              </w:rPr>
              <w:t>119199</w:t>
            </w:r>
          </w:p>
        </w:tc>
        <w:tc>
          <w:tcPr>
            <w:tcW w:w="224" w:type="pct"/>
            <w:shd w:val="clear" w:color="auto" w:fill="auto"/>
            <w:tcMar>
              <w:left w:w="28" w:type="dxa"/>
              <w:right w:w="28" w:type="dxa"/>
            </w:tcMar>
            <w:vAlign w:val="center"/>
          </w:tcPr>
          <w:p w14:paraId="31C7A163" w14:textId="77777777" w:rsidR="004A0123" w:rsidRPr="00640447" w:rsidRDefault="004A0123" w:rsidP="008A5C11">
            <w:pPr>
              <w:jc w:val="center"/>
              <w:rPr>
                <w:sz w:val="13"/>
                <w:szCs w:val="13"/>
              </w:rPr>
            </w:pPr>
            <w:r w:rsidRPr="00640447">
              <w:rPr>
                <w:sz w:val="13"/>
                <w:szCs w:val="13"/>
              </w:rPr>
              <w:t>119199</w:t>
            </w:r>
          </w:p>
        </w:tc>
        <w:tc>
          <w:tcPr>
            <w:tcW w:w="224" w:type="pct"/>
            <w:shd w:val="clear" w:color="auto" w:fill="auto"/>
            <w:tcMar>
              <w:left w:w="28" w:type="dxa"/>
              <w:right w:w="28" w:type="dxa"/>
            </w:tcMar>
            <w:vAlign w:val="center"/>
          </w:tcPr>
          <w:p w14:paraId="528723D0" w14:textId="77777777" w:rsidR="004A0123" w:rsidRPr="00640447" w:rsidRDefault="004A0123" w:rsidP="008A5C11">
            <w:pPr>
              <w:jc w:val="center"/>
              <w:rPr>
                <w:sz w:val="13"/>
                <w:szCs w:val="13"/>
              </w:rPr>
            </w:pPr>
            <w:r w:rsidRPr="00640447">
              <w:rPr>
                <w:sz w:val="13"/>
                <w:szCs w:val="13"/>
              </w:rPr>
              <w:t>119199</w:t>
            </w:r>
          </w:p>
        </w:tc>
        <w:tc>
          <w:tcPr>
            <w:tcW w:w="224" w:type="pct"/>
            <w:shd w:val="clear" w:color="auto" w:fill="auto"/>
            <w:vAlign w:val="center"/>
          </w:tcPr>
          <w:p w14:paraId="2575BC07" w14:textId="77777777" w:rsidR="004A0123" w:rsidRPr="00640447" w:rsidRDefault="004A0123" w:rsidP="008A5C11">
            <w:pPr>
              <w:jc w:val="center"/>
              <w:rPr>
                <w:sz w:val="13"/>
                <w:szCs w:val="13"/>
              </w:rPr>
            </w:pPr>
            <w:r w:rsidRPr="00640447">
              <w:rPr>
                <w:sz w:val="13"/>
                <w:szCs w:val="13"/>
              </w:rPr>
              <w:t>119199</w:t>
            </w:r>
          </w:p>
        </w:tc>
        <w:tc>
          <w:tcPr>
            <w:tcW w:w="337" w:type="pct"/>
            <w:shd w:val="clear" w:color="auto" w:fill="auto"/>
            <w:tcMar>
              <w:left w:w="28" w:type="dxa"/>
              <w:right w:w="28" w:type="dxa"/>
            </w:tcMar>
            <w:vAlign w:val="center"/>
          </w:tcPr>
          <w:p w14:paraId="30BB2DBD" w14:textId="77777777" w:rsidR="004A0123" w:rsidRPr="00640447" w:rsidRDefault="004A0123" w:rsidP="008A5C11">
            <w:pPr>
              <w:jc w:val="center"/>
              <w:rPr>
                <w:sz w:val="13"/>
                <w:szCs w:val="13"/>
              </w:rPr>
            </w:pPr>
            <w:r w:rsidRPr="00640447">
              <w:rPr>
                <w:sz w:val="13"/>
                <w:szCs w:val="13"/>
              </w:rPr>
              <w:t>230860</w:t>
            </w:r>
          </w:p>
        </w:tc>
        <w:tc>
          <w:tcPr>
            <w:tcW w:w="152" w:type="pct"/>
            <w:shd w:val="clear" w:color="auto" w:fill="auto"/>
            <w:tcMar>
              <w:left w:w="28" w:type="dxa"/>
              <w:right w:w="28" w:type="dxa"/>
            </w:tcMar>
            <w:vAlign w:val="center"/>
          </w:tcPr>
          <w:p w14:paraId="17D6734B" w14:textId="77777777" w:rsidR="004A0123" w:rsidRPr="00640447" w:rsidRDefault="004A0123" w:rsidP="008A5C11">
            <w:pPr>
              <w:jc w:val="center"/>
              <w:rPr>
                <w:sz w:val="13"/>
                <w:szCs w:val="13"/>
              </w:rPr>
            </w:pPr>
            <w:r w:rsidRPr="00640447">
              <w:rPr>
                <w:sz w:val="13"/>
                <w:szCs w:val="13"/>
              </w:rPr>
              <w:t>230860</w:t>
            </w:r>
          </w:p>
        </w:tc>
        <w:tc>
          <w:tcPr>
            <w:tcW w:w="152" w:type="pct"/>
            <w:shd w:val="clear" w:color="auto" w:fill="auto"/>
            <w:tcMar>
              <w:left w:w="28" w:type="dxa"/>
              <w:right w:w="28" w:type="dxa"/>
            </w:tcMar>
            <w:vAlign w:val="center"/>
          </w:tcPr>
          <w:p w14:paraId="1911D09A" w14:textId="77777777" w:rsidR="004A0123" w:rsidRPr="00640447" w:rsidRDefault="004A0123" w:rsidP="008A5C11">
            <w:pPr>
              <w:jc w:val="center"/>
              <w:rPr>
                <w:sz w:val="13"/>
                <w:szCs w:val="13"/>
              </w:rPr>
            </w:pPr>
            <w:r w:rsidRPr="00640447">
              <w:rPr>
                <w:sz w:val="13"/>
                <w:szCs w:val="13"/>
              </w:rPr>
              <w:t>241458</w:t>
            </w:r>
          </w:p>
        </w:tc>
        <w:tc>
          <w:tcPr>
            <w:tcW w:w="152" w:type="pct"/>
            <w:shd w:val="clear" w:color="auto" w:fill="auto"/>
            <w:tcMar>
              <w:left w:w="28" w:type="dxa"/>
              <w:right w:w="28" w:type="dxa"/>
            </w:tcMar>
            <w:vAlign w:val="center"/>
          </w:tcPr>
          <w:p w14:paraId="5B7C5AF1" w14:textId="77777777" w:rsidR="004A0123" w:rsidRPr="00640447" w:rsidRDefault="004A0123" w:rsidP="008A5C11">
            <w:pPr>
              <w:jc w:val="center"/>
              <w:rPr>
                <w:sz w:val="13"/>
                <w:szCs w:val="13"/>
              </w:rPr>
            </w:pPr>
            <w:r w:rsidRPr="00640447">
              <w:rPr>
                <w:sz w:val="13"/>
                <w:szCs w:val="13"/>
              </w:rPr>
              <w:t>241458</w:t>
            </w:r>
          </w:p>
        </w:tc>
        <w:tc>
          <w:tcPr>
            <w:tcW w:w="152" w:type="pct"/>
            <w:shd w:val="clear" w:color="auto" w:fill="auto"/>
            <w:vAlign w:val="center"/>
          </w:tcPr>
          <w:p w14:paraId="4CB9B5D4" w14:textId="77777777" w:rsidR="004A0123" w:rsidRPr="00640447" w:rsidRDefault="004A0123" w:rsidP="008A5C11">
            <w:pPr>
              <w:jc w:val="center"/>
              <w:rPr>
                <w:sz w:val="13"/>
                <w:szCs w:val="13"/>
              </w:rPr>
            </w:pPr>
            <w:r w:rsidRPr="00640447">
              <w:rPr>
                <w:sz w:val="13"/>
                <w:szCs w:val="13"/>
              </w:rPr>
              <w:t>241458</w:t>
            </w:r>
          </w:p>
        </w:tc>
        <w:tc>
          <w:tcPr>
            <w:tcW w:w="152" w:type="pct"/>
            <w:shd w:val="clear" w:color="auto" w:fill="auto"/>
            <w:vAlign w:val="center"/>
          </w:tcPr>
          <w:p w14:paraId="0B815D89" w14:textId="77777777" w:rsidR="004A0123" w:rsidRPr="00640447" w:rsidRDefault="004A0123" w:rsidP="008A5C11">
            <w:pPr>
              <w:jc w:val="center"/>
              <w:rPr>
                <w:sz w:val="13"/>
                <w:szCs w:val="13"/>
              </w:rPr>
            </w:pPr>
            <w:r w:rsidRPr="00640447">
              <w:rPr>
                <w:sz w:val="13"/>
                <w:szCs w:val="13"/>
              </w:rPr>
              <w:t>243056</w:t>
            </w:r>
          </w:p>
        </w:tc>
        <w:tc>
          <w:tcPr>
            <w:tcW w:w="152" w:type="pct"/>
            <w:shd w:val="clear" w:color="auto" w:fill="auto"/>
            <w:tcMar>
              <w:left w:w="28" w:type="dxa"/>
              <w:right w:w="28" w:type="dxa"/>
            </w:tcMar>
            <w:vAlign w:val="center"/>
          </w:tcPr>
          <w:p w14:paraId="7CEE0A3C" w14:textId="77777777" w:rsidR="004A0123" w:rsidRPr="00640447" w:rsidRDefault="004A0123" w:rsidP="008A5C11">
            <w:pPr>
              <w:jc w:val="center"/>
              <w:rPr>
                <w:sz w:val="13"/>
                <w:szCs w:val="13"/>
              </w:rPr>
            </w:pPr>
            <w:r w:rsidRPr="00640447">
              <w:rPr>
                <w:sz w:val="13"/>
                <w:szCs w:val="13"/>
              </w:rPr>
              <w:t>249244</w:t>
            </w:r>
          </w:p>
        </w:tc>
        <w:tc>
          <w:tcPr>
            <w:tcW w:w="152" w:type="pct"/>
            <w:shd w:val="clear" w:color="auto" w:fill="auto"/>
            <w:tcMar>
              <w:left w:w="28" w:type="dxa"/>
              <w:right w:w="28" w:type="dxa"/>
            </w:tcMar>
            <w:vAlign w:val="center"/>
          </w:tcPr>
          <w:p w14:paraId="530BAC36" w14:textId="77777777" w:rsidR="004A0123" w:rsidRPr="00640447" w:rsidRDefault="004A0123" w:rsidP="008A5C11">
            <w:pPr>
              <w:jc w:val="center"/>
              <w:rPr>
                <w:sz w:val="13"/>
                <w:szCs w:val="13"/>
              </w:rPr>
            </w:pPr>
            <w:r w:rsidRPr="00640447">
              <w:rPr>
                <w:sz w:val="13"/>
                <w:szCs w:val="13"/>
              </w:rPr>
              <w:t>251071</w:t>
            </w:r>
          </w:p>
        </w:tc>
        <w:tc>
          <w:tcPr>
            <w:tcW w:w="152" w:type="pct"/>
            <w:shd w:val="clear" w:color="auto" w:fill="auto"/>
            <w:tcMar>
              <w:left w:w="28" w:type="dxa"/>
              <w:right w:w="28" w:type="dxa"/>
            </w:tcMar>
            <w:vAlign w:val="center"/>
          </w:tcPr>
          <w:p w14:paraId="01DA7CBF" w14:textId="77777777" w:rsidR="004A0123" w:rsidRPr="00640447" w:rsidRDefault="004A0123" w:rsidP="008A5C11">
            <w:pPr>
              <w:jc w:val="center"/>
              <w:rPr>
                <w:sz w:val="13"/>
                <w:szCs w:val="13"/>
              </w:rPr>
            </w:pPr>
            <w:r w:rsidRPr="00640447">
              <w:rPr>
                <w:sz w:val="13"/>
                <w:szCs w:val="13"/>
              </w:rPr>
              <w:t>251071</w:t>
            </w:r>
          </w:p>
        </w:tc>
        <w:tc>
          <w:tcPr>
            <w:tcW w:w="153" w:type="pct"/>
            <w:shd w:val="clear" w:color="auto" w:fill="auto"/>
            <w:tcMar>
              <w:left w:w="28" w:type="dxa"/>
              <w:right w:w="28" w:type="dxa"/>
            </w:tcMar>
            <w:vAlign w:val="center"/>
          </w:tcPr>
          <w:p w14:paraId="35F058CB" w14:textId="77777777" w:rsidR="004A0123" w:rsidRPr="00640447" w:rsidRDefault="004A0123" w:rsidP="008A5C11">
            <w:pPr>
              <w:jc w:val="center"/>
              <w:rPr>
                <w:sz w:val="13"/>
                <w:szCs w:val="13"/>
              </w:rPr>
            </w:pPr>
            <w:r w:rsidRPr="00640447">
              <w:rPr>
                <w:sz w:val="13"/>
                <w:szCs w:val="13"/>
              </w:rPr>
              <w:t>251071</w:t>
            </w:r>
          </w:p>
        </w:tc>
        <w:tc>
          <w:tcPr>
            <w:tcW w:w="152" w:type="pct"/>
            <w:shd w:val="clear" w:color="auto" w:fill="auto"/>
            <w:vAlign w:val="center"/>
          </w:tcPr>
          <w:p w14:paraId="608B406F" w14:textId="77777777" w:rsidR="004A0123" w:rsidRPr="00640447" w:rsidRDefault="004A0123" w:rsidP="008A5C11">
            <w:pPr>
              <w:jc w:val="center"/>
              <w:rPr>
                <w:sz w:val="13"/>
                <w:szCs w:val="13"/>
              </w:rPr>
            </w:pPr>
            <w:r w:rsidRPr="00640447">
              <w:rPr>
                <w:sz w:val="13"/>
                <w:szCs w:val="13"/>
              </w:rPr>
              <w:t>251071</w:t>
            </w:r>
          </w:p>
        </w:tc>
      </w:tr>
    </w:tbl>
    <w:p w14:paraId="326FD5CA" w14:textId="77777777" w:rsidR="004A0123" w:rsidRPr="00640447" w:rsidRDefault="004A0123" w:rsidP="004A0123">
      <w:pPr>
        <w:rPr>
          <w:sz w:val="28"/>
          <w:szCs w:val="28"/>
        </w:rPr>
        <w:sectPr w:rsidR="004A0123" w:rsidRPr="00640447" w:rsidSect="00095E17">
          <w:headerReference w:type="default" r:id="rId68"/>
          <w:pgSz w:w="16838" w:h="11906" w:orient="landscape" w:code="9"/>
          <w:pgMar w:top="1701" w:right="1134" w:bottom="850" w:left="1134" w:header="720" w:footer="284" w:gutter="0"/>
          <w:cols w:space="720"/>
          <w:docGrid w:linePitch="272"/>
        </w:sectPr>
      </w:pPr>
    </w:p>
    <w:p w14:paraId="076983AC" w14:textId="77777777" w:rsidR="004A0123" w:rsidRPr="00640447" w:rsidRDefault="004A0123" w:rsidP="004A0123">
      <w:pPr>
        <w:ind w:left="284" w:right="536"/>
        <w:jc w:val="center"/>
        <w:rPr>
          <w:b/>
          <w:bCs/>
          <w:sz w:val="28"/>
          <w:szCs w:val="28"/>
        </w:rPr>
      </w:pPr>
      <w:r w:rsidRPr="00640447">
        <w:rPr>
          <w:b/>
          <w:bCs/>
          <w:sz w:val="28"/>
          <w:szCs w:val="28"/>
        </w:rPr>
        <w:t xml:space="preserve">Финансовый план в сфере теплоснабжения </w:t>
      </w:r>
      <w:r w:rsidRPr="00640447">
        <w:rPr>
          <w:b/>
          <w:color w:val="000000"/>
          <w:sz w:val="28"/>
          <w:szCs w:val="28"/>
        </w:rPr>
        <w:t>ОАО «Северо-Кузбасская энергетическая компания» по узлу теплоснабжения Ленинск-Кузнецкого</w:t>
      </w:r>
      <w:r w:rsidRPr="00640447">
        <w:rPr>
          <w:b/>
          <w:bCs/>
          <w:sz w:val="28"/>
          <w:szCs w:val="28"/>
        </w:rPr>
        <w:t xml:space="preserve"> городского округа на 2019 - 2028 годы</w:t>
      </w:r>
    </w:p>
    <w:p w14:paraId="75ED166D" w14:textId="77777777" w:rsidR="004A0123" w:rsidRPr="00640447" w:rsidRDefault="004A0123" w:rsidP="004A0123">
      <w:pPr>
        <w:jc w:val="center"/>
        <w:rPr>
          <w:bCs/>
          <w:color w:val="000000"/>
        </w:rPr>
      </w:pPr>
    </w:p>
    <w:tbl>
      <w:tblPr>
        <w:tblW w:w="55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90"/>
        <w:gridCol w:w="1730"/>
        <w:gridCol w:w="1305"/>
        <w:gridCol w:w="825"/>
        <w:gridCol w:w="716"/>
        <w:gridCol w:w="716"/>
        <w:gridCol w:w="716"/>
        <w:gridCol w:w="716"/>
        <w:gridCol w:w="716"/>
        <w:gridCol w:w="716"/>
        <w:gridCol w:w="716"/>
        <w:gridCol w:w="716"/>
        <w:gridCol w:w="716"/>
        <w:gridCol w:w="716"/>
      </w:tblGrid>
      <w:tr w:rsidR="004A0123" w:rsidRPr="00640447" w14:paraId="47F2B51F" w14:textId="77777777" w:rsidTr="008A5C11">
        <w:trPr>
          <w:trHeight w:val="480"/>
          <w:jc w:val="center"/>
        </w:trPr>
        <w:tc>
          <w:tcPr>
            <w:tcW w:w="356" w:type="dxa"/>
            <w:vMerge w:val="restart"/>
            <w:shd w:val="clear" w:color="auto" w:fill="auto"/>
            <w:tcMar>
              <w:left w:w="28" w:type="dxa"/>
              <w:right w:w="28" w:type="dxa"/>
            </w:tcMar>
            <w:vAlign w:val="center"/>
            <w:hideMark/>
          </w:tcPr>
          <w:p w14:paraId="2382559A" w14:textId="77777777" w:rsidR="004A0123" w:rsidRPr="00640447" w:rsidRDefault="004A0123" w:rsidP="008A5C11">
            <w:pPr>
              <w:jc w:val="center"/>
              <w:rPr>
                <w:bCs/>
                <w:sz w:val="20"/>
                <w:szCs w:val="20"/>
              </w:rPr>
            </w:pPr>
            <w:r w:rsidRPr="00640447">
              <w:rPr>
                <w:bCs/>
                <w:sz w:val="20"/>
                <w:szCs w:val="20"/>
              </w:rPr>
              <w:t>№ п/п</w:t>
            </w:r>
          </w:p>
        </w:tc>
        <w:tc>
          <w:tcPr>
            <w:tcW w:w="1585" w:type="dxa"/>
            <w:vMerge w:val="restart"/>
            <w:shd w:val="clear" w:color="auto" w:fill="auto"/>
            <w:tcMar>
              <w:left w:w="28" w:type="dxa"/>
              <w:right w:w="28" w:type="dxa"/>
            </w:tcMar>
            <w:vAlign w:val="center"/>
            <w:hideMark/>
          </w:tcPr>
          <w:p w14:paraId="5A1AAE1D" w14:textId="77777777" w:rsidR="004A0123" w:rsidRPr="00640447" w:rsidRDefault="004A0123" w:rsidP="008A5C11">
            <w:pPr>
              <w:jc w:val="center"/>
              <w:rPr>
                <w:bCs/>
                <w:sz w:val="20"/>
                <w:szCs w:val="20"/>
              </w:rPr>
            </w:pPr>
            <w:r w:rsidRPr="00640447">
              <w:rPr>
                <w:bCs/>
                <w:sz w:val="20"/>
                <w:szCs w:val="20"/>
              </w:rPr>
              <w:t>Источники финансирования</w:t>
            </w:r>
          </w:p>
        </w:tc>
        <w:tc>
          <w:tcPr>
            <w:tcW w:w="8446" w:type="dxa"/>
            <w:gridSpan w:val="12"/>
            <w:tcMar>
              <w:left w:w="28" w:type="dxa"/>
              <w:right w:w="28" w:type="dxa"/>
            </w:tcMar>
          </w:tcPr>
          <w:p w14:paraId="4C967F14" w14:textId="77777777" w:rsidR="004A0123" w:rsidRPr="00640447" w:rsidRDefault="004A0123" w:rsidP="008A5C11">
            <w:pPr>
              <w:jc w:val="center"/>
              <w:rPr>
                <w:bCs/>
                <w:sz w:val="20"/>
                <w:szCs w:val="20"/>
              </w:rPr>
            </w:pPr>
            <w:r w:rsidRPr="00640447">
              <w:rPr>
                <w:bCs/>
                <w:sz w:val="20"/>
                <w:szCs w:val="20"/>
              </w:rPr>
              <w:t>Расходы на реализацию инвестиционной программы (тыс. руб.)</w:t>
            </w:r>
          </w:p>
          <w:p w14:paraId="4495F55C" w14:textId="77777777" w:rsidR="004A0123" w:rsidRPr="00640447" w:rsidRDefault="004A0123" w:rsidP="008A5C11">
            <w:pPr>
              <w:jc w:val="center"/>
              <w:rPr>
                <w:bCs/>
                <w:sz w:val="20"/>
                <w:szCs w:val="20"/>
              </w:rPr>
            </w:pPr>
            <w:r w:rsidRPr="00640447">
              <w:rPr>
                <w:bCs/>
                <w:sz w:val="20"/>
                <w:szCs w:val="20"/>
              </w:rPr>
              <w:t>(без НДС)</w:t>
            </w:r>
          </w:p>
        </w:tc>
      </w:tr>
      <w:tr w:rsidR="004A0123" w:rsidRPr="00640447" w14:paraId="4007658B" w14:textId="77777777" w:rsidTr="008A5C11">
        <w:trPr>
          <w:trHeight w:val="379"/>
          <w:jc w:val="center"/>
        </w:trPr>
        <w:tc>
          <w:tcPr>
            <w:tcW w:w="356" w:type="dxa"/>
            <w:vMerge/>
            <w:tcMar>
              <w:left w:w="28" w:type="dxa"/>
              <w:right w:w="28" w:type="dxa"/>
            </w:tcMar>
            <w:vAlign w:val="center"/>
            <w:hideMark/>
          </w:tcPr>
          <w:p w14:paraId="451B32EA" w14:textId="77777777" w:rsidR="004A0123" w:rsidRPr="00640447" w:rsidRDefault="004A0123" w:rsidP="008A5C11">
            <w:pPr>
              <w:rPr>
                <w:bCs/>
                <w:sz w:val="20"/>
                <w:szCs w:val="20"/>
              </w:rPr>
            </w:pPr>
          </w:p>
        </w:tc>
        <w:tc>
          <w:tcPr>
            <w:tcW w:w="1585" w:type="dxa"/>
            <w:vMerge/>
            <w:tcMar>
              <w:left w:w="28" w:type="dxa"/>
              <w:right w:w="28" w:type="dxa"/>
            </w:tcMar>
            <w:vAlign w:val="center"/>
            <w:hideMark/>
          </w:tcPr>
          <w:p w14:paraId="3F7D0DE1" w14:textId="77777777" w:rsidR="004A0123" w:rsidRPr="00640447" w:rsidRDefault="004A0123" w:rsidP="008A5C11">
            <w:pPr>
              <w:rPr>
                <w:bCs/>
                <w:sz w:val="20"/>
                <w:szCs w:val="20"/>
              </w:rPr>
            </w:pPr>
          </w:p>
        </w:tc>
        <w:tc>
          <w:tcPr>
            <w:tcW w:w="1196" w:type="dxa"/>
            <w:shd w:val="clear" w:color="auto" w:fill="auto"/>
            <w:tcMar>
              <w:left w:w="28" w:type="dxa"/>
              <w:right w:w="28" w:type="dxa"/>
            </w:tcMar>
            <w:vAlign w:val="center"/>
            <w:hideMark/>
          </w:tcPr>
          <w:p w14:paraId="3B8A4688" w14:textId="77777777" w:rsidR="004A0123" w:rsidRPr="00640447" w:rsidRDefault="004A0123" w:rsidP="008A5C11">
            <w:pPr>
              <w:jc w:val="center"/>
              <w:rPr>
                <w:bCs/>
                <w:sz w:val="20"/>
                <w:szCs w:val="20"/>
              </w:rPr>
            </w:pPr>
            <w:r w:rsidRPr="00640447">
              <w:rPr>
                <w:bCs/>
                <w:sz w:val="20"/>
                <w:szCs w:val="20"/>
              </w:rPr>
              <w:t>по видам деятельности</w:t>
            </w:r>
          </w:p>
        </w:tc>
        <w:tc>
          <w:tcPr>
            <w:tcW w:w="756" w:type="dxa"/>
            <w:vMerge w:val="restart"/>
            <w:shd w:val="clear" w:color="auto" w:fill="auto"/>
            <w:tcMar>
              <w:left w:w="28" w:type="dxa"/>
              <w:right w:w="28" w:type="dxa"/>
            </w:tcMar>
            <w:vAlign w:val="center"/>
            <w:hideMark/>
          </w:tcPr>
          <w:p w14:paraId="42C0A86C" w14:textId="77777777" w:rsidR="004A0123" w:rsidRPr="00640447" w:rsidRDefault="004A0123" w:rsidP="008A5C11">
            <w:pPr>
              <w:jc w:val="center"/>
              <w:rPr>
                <w:bCs/>
                <w:sz w:val="20"/>
                <w:szCs w:val="20"/>
              </w:rPr>
            </w:pPr>
            <w:r w:rsidRPr="00640447">
              <w:rPr>
                <w:bCs/>
                <w:sz w:val="20"/>
                <w:szCs w:val="20"/>
              </w:rPr>
              <w:t>Всего</w:t>
            </w:r>
          </w:p>
        </w:tc>
        <w:tc>
          <w:tcPr>
            <w:tcW w:w="6494" w:type="dxa"/>
            <w:gridSpan w:val="10"/>
            <w:tcMar>
              <w:left w:w="28" w:type="dxa"/>
              <w:right w:w="28" w:type="dxa"/>
            </w:tcMar>
          </w:tcPr>
          <w:p w14:paraId="740A08FA" w14:textId="77777777" w:rsidR="004A0123" w:rsidRPr="00640447" w:rsidRDefault="004A0123" w:rsidP="008A5C11">
            <w:pPr>
              <w:jc w:val="center"/>
              <w:rPr>
                <w:bCs/>
                <w:sz w:val="20"/>
                <w:szCs w:val="20"/>
              </w:rPr>
            </w:pPr>
            <w:r w:rsidRPr="00640447">
              <w:rPr>
                <w:bCs/>
                <w:sz w:val="20"/>
                <w:szCs w:val="20"/>
              </w:rPr>
              <w:t>в т.ч. по годам реализации</w:t>
            </w:r>
          </w:p>
        </w:tc>
      </w:tr>
      <w:tr w:rsidR="004A0123" w:rsidRPr="00640447" w14:paraId="1AABC7C9" w14:textId="77777777" w:rsidTr="008A5C11">
        <w:trPr>
          <w:trHeight w:val="810"/>
          <w:jc w:val="center"/>
        </w:trPr>
        <w:tc>
          <w:tcPr>
            <w:tcW w:w="356" w:type="dxa"/>
            <w:vMerge/>
            <w:tcMar>
              <w:left w:w="28" w:type="dxa"/>
              <w:right w:w="28" w:type="dxa"/>
            </w:tcMar>
            <w:vAlign w:val="center"/>
            <w:hideMark/>
          </w:tcPr>
          <w:p w14:paraId="76CF4FBF" w14:textId="77777777" w:rsidR="004A0123" w:rsidRPr="00640447" w:rsidRDefault="004A0123" w:rsidP="008A5C11">
            <w:pPr>
              <w:rPr>
                <w:bCs/>
                <w:sz w:val="20"/>
                <w:szCs w:val="20"/>
              </w:rPr>
            </w:pPr>
          </w:p>
        </w:tc>
        <w:tc>
          <w:tcPr>
            <w:tcW w:w="1585" w:type="dxa"/>
            <w:vMerge/>
            <w:tcMar>
              <w:left w:w="28" w:type="dxa"/>
              <w:right w:w="28" w:type="dxa"/>
            </w:tcMar>
            <w:vAlign w:val="center"/>
            <w:hideMark/>
          </w:tcPr>
          <w:p w14:paraId="0A3352D1" w14:textId="77777777" w:rsidR="004A0123" w:rsidRPr="00640447" w:rsidRDefault="004A0123" w:rsidP="008A5C11">
            <w:pPr>
              <w:rPr>
                <w:bCs/>
                <w:sz w:val="20"/>
                <w:szCs w:val="20"/>
              </w:rPr>
            </w:pPr>
          </w:p>
        </w:tc>
        <w:tc>
          <w:tcPr>
            <w:tcW w:w="1196" w:type="dxa"/>
            <w:shd w:val="clear" w:color="auto" w:fill="auto"/>
            <w:tcMar>
              <w:left w:w="28" w:type="dxa"/>
              <w:right w:w="28" w:type="dxa"/>
            </w:tcMar>
            <w:vAlign w:val="center"/>
            <w:hideMark/>
          </w:tcPr>
          <w:p w14:paraId="6DFCDC49" w14:textId="77777777" w:rsidR="004A0123" w:rsidRPr="00640447" w:rsidRDefault="004A0123" w:rsidP="008A5C11">
            <w:pPr>
              <w:jc w:val="center"/>
              <w:rPr>
                <w:bCs/>
                <w:iCs/>
                <w:sz w:val="20"/>
                <w:szCs w:val="20"/>
              </w:rPr>
            </w:pPr>
            <w:proofErr w:type="gramStart"/>
            <w:r w:rsidRPr="00640447">
              <w:rPr>
                <w:bCs/>
                <w:iCs/>
                <w:sz w:val="20"/>
                <w:szCs w:val="20"/>
              </w:rPr>
              <w:t>Теплоснаб-жение</w:t>
            </w:r>
            <w:proofErr w:type="gramEnd"/>
          </w:p>
        </w:tc>
        <w:tc>
          <w:tcPr>
            <w:tcW w:w="756" w:type="dxa"/>
            <w:vMerge/>
            <w:tcMar>
              <w:left w:w="28" w:type="dxa"/>
              <w:right w:w="28" w:type="dxa"/>
            </w:tcMar>
            <w:vAlign w:val="center"/>
            <w:hideMark/>
          </w:tcPr>
          <w:p w14:paraId="189BDDD9" w14:textId="77777777" w:rsidR="004A0123" w:rsidRPr="00640447" w:rsidRDefault="004A0123" w:rsidP="008A5C11">
            <w:pPr>
              <w:rPr>
                <w:bCs/>
                <w:sz w:val="20"/>
                <w:szCs w:val="20"/>
              </w:rPr>
            </w:pPr>
          </w:p>
        </w:tc>
        <w:tc>
          <w:tcPr>
            <w:tcW w:w="656" w:type="dxa"/>
            <w:tcMar>
              <w:left w:w="28" w:type="dxa"/>
              <w:right w:w="28" w:type="dxa"/>
            </w:tcMar>
            <w:vAlign w:val="center"/>
          </w:tcPr>
          <w:p w14:paraId="2E9A9517" w14:textId="77777777" w:rsidR="004A0123" w:rsidRPr="00640447" w:rsidRDefault="004A0123" w:rsidP="008A5C11">
            <w:pPr>
              <w:jc w:val="center"/>
              <w:rPr>
                <w:bCs/>
                <w:sz w:val="20"/>
                <w:szCs w:val="20"/>
                <w:lang w:val="en-US"/>
              </w:rPr>
            </w:pPr>
            <w:r w:rsidRPr="00640447">
              <w:rPr>
                <w:bCs/>
                <w:sz w:val="20"/>
                <w:szCs w:val="20"/>
                <w:lang w:val="en-US"/>
              </w:rPr>
              <w:t>2019</w:t>
            </w:r>
          </w:p>
        </w:tc>
        <w:tc>
          <w:tcPr>
            <w:tcW w:w="656" w:type="dxa"/>
            <w:tcMar>
              <w:left w:w="28" w:type="dxa"/>
              <w:right w:w="28" w:type="dxa"/>
            </w:tcMar>
            <w:vAlign w:val="center"/>
          </w:tcPr>
          <w:p w14:paraId="7B56633A" w14:textId="77777777" w:rsidR="004A0123" w:rsidRPr="00640447" w:rsidRDefault="004A0123" w:rsidP="008A5C11">
            <w:pPr>
              <w:jc w:val="center"/>
              <w:rPr>
                <w:bCs/>
                <w:sz w:val="20"/>
                <w:szCs w:val="20"/>
                <w:lang w:val="en-US"/>
              </w:rPr>
            </w:pPr>
            <w:r w:rsidRPr="00640447">
              <w:rPr>
                <w:bCs/>
                <w:sz w:val="20"/>
                <w:szCs w:val="20"/>
                <w:lang w:val="en-US"/>
              </w:rPr>
              <w:t>2020</w:t>
            </w:r>
          </w:p>
        </w:tc>
        <w:tc>
          <w:tcPr>
            <w:tcW w:w="590" w:type="dxa"/>
            <w:tcMar>
              <w:left w:w="28" w:type="dxa"/>
              <w:right w:w="28" w:type="dxa"/>
            </w:tcMar>
            <w:vAlign w:val="center"/>
          </w:tcPr>
          <w:p w14:paraId="3C299A09" w14:textId="77777777" w:rsidR="004A0123" w:rsidRPr="00640447" w:rsidRDefault="004A0123" w:rsidP="008A5C11">
            <w:pPr>
              <w:jc w:val="center"/>
              <w:rPr>
                <w:bCs/>
                <w:sz w:val="20"/>
                <w:szCs w:val="20"/>
                <w:lang w:val="en-US"/>
              </w:rPr>
            </w:pPr>
            <w:r w:rsidRPr="00640447">
              <w:rPr>
                <w:bCs/>
                <w:sz w:val="20"/>
                <w:szCs w:val="20"/>
                <w:lang w:val="en-US"/>
              </w:rPr>
              <w:t>2021</w:t>
            </w:r>
          </w:p>
        </w:tc>
        <w:tc>
          <w:tcPr>
            <w:tcW w:w="656" w:type="dxa"/>
            <w:tcMar>
              <w:left w:w="28" w:type="dxa"/>
              <w:right w:w="28" w:type="dxa"/>
            </w:tcMar>
            <w:vAlign w:val="center"/>
          </w:tcPr>
          <w:p w14:paraId="23072FC0" w14:textId="77777777" w:rsidR="004A0123" w:rsidRPr="00640447" w:rsidRDefault="004A0123" w:rsidP="008A5C11">
            <w:pPr>
              <w:jc w:val="center"/>
              <w:rPr>
                <w:bCs/>
                <w:sz w:val="20"/>
                <w:szCs w:val="20"/>
                <w:lang w:val="en-US"/>
              </w:rPr>
            </w:pPr>
            <w:r w:rsidRPr="00640447">
              <w:rPr>
                <w:bCs/>
                <w:sz w:val="20"/>
                <w:szCs w:val="20"/>
                <w:lang w:val="en-US"/>
              </w:rPr>
              <w:t>2022</w:t>
            </w:r>
          </w:p>
        </w:tc>
        <w:tc>
          <w:tcPr>
            <w:tcW w:w="656" w:type="dxa"/>
            <w:tcMar>
              <w:left w:w="28" w:type="dxa"/>
              <w:right w:w="28" w:type="dxa"/>
            </w:tcMar>
            <w:vAlign w:val="center"/>
          </w:tcPr>
          <w:p w14:paraId="65BFA27A" w14:textId="77777777" w:rsidR="004A0123" w:rsidRPr="00640447" w:rsidRDefault="004A0123" w:rsidP="008A5C11">
            <w:pPr>
              <w:jc w:val="center"/>
              <w:rPr>
                <w:bCs/>
                <w:sz w:val="20"/>
                <w:szCs w:val="20"/>
                <w:lang w:val="en-US"/>
              </w:rPr>
            </w:pPr>
            <w:r w:rsidRPr="00640447">
              <w:rPr>
                <w:bCs/>
                <w:sz w:val="20"/>
                <w:szCs w:val="20"/>
                <w:lang w:val="en-US"/>
              </w:rPr>
              <w:t>2023</w:t>
            </w:r>
          </w:p>
        </w:tc>
        <w:tc>
          <w:tcPr>
            <w:tcW w:w="656" w:type="dxa"/>
            <w:vAlign w:val="center"/>
          </w:tcPr>
          <w:p w14:paraId="03C91856" w14:textId="77777777" w:rsidR="004A0123" w:rsidRPr="00640447" w:rsidRDefault="004A0123" w:rsidP="008A5C11">
            <w:pPr>
              <w:jc w:val="center"/>
              <w:rPr>
                <w:bCs/>
                <w:sz w:val="20"/>
                <w:szCs w:val="20"/>
                <w:lang w:val="en-US"/>
              </w:rPr>
            </w:pPr>
            <w:r w:rsidRPr="00640447">
              <w:rPr>
                <w:bCs/>
                <w:sz w:val="20"/>
                <w:szCs w:val="20"/>
                <w:lang w:val="en-US"/>
              </w:rPr>
              <w:t>2024</w:t>
            </w:r>
          </w:p>
        </w:tc>
        <w:tc>
          <w:tcPr>
            <w:tcW w:w="656" w:type="dxa"/>
            <w:vAlign w:val="center"/>
          </w:tcPr>
          <w:p w14:paraId="54B751F0" w14:textId="77777777" w:rsidR="004A0123" w:rsidRPr="00640447" w:rsidRDefault="004A0123" w:rsidP="008A5C11">
            <w:pPr>
              <w:jc w:val="center"/>
              <w:rPr>
                <w:bCs/>
                <w:sz w:val="20"/>
                <w:szCs w:val="20"/>
                <w:lang w:val="en-US"/>
              </w:rPr>
            </w:pPr>
            <w:r w:rsidRPr="00640447">
              <w:rPr>
                <w:bCs/>
                <w:sz w:val="20"/>
                <w:szCs w:val="20"/>
                <w:lang w:val="en-US"/>
              </w:rPr>
              <w:t>2025</w:t>
            </w:r>
          </w:p>
        </w:tc>
        <w:tc>
          <w:tcPr>
            <w:tcW w:w="656" w:type="dxa"/>
            <w:vAlign w:val="center"/>
          </w:tcPr>
          <w:p w14:paraId="17CF54F5" w14:textId="77777777" w:rsidR="004A0123" w:rsidRPr="00640447" w:rsidRDefault="004A0123" w:rsidP="008A5C11">
            <w:pPr>
              <w:jc w:val="center"/>
              <w:rPr>
                <w:bCs/>
                <w:sz w:val="20"/>
                <w:szCs w:val="20"/>
                <w:lang w:val="en-US"/>
              </w:rPr>
            </w:pPr>
            <w:r w:rsidRPr="00640447">
              <w:rPr>
                <w:bCs/>
                <w:sz w:val="20"/>
                <w:szCs w:val="20"/>
                <w:lang w:val="en-US"/>
              </w:rPr>
              <w:t>2026</w:t>
            </w:r>
          </w:p>
        </w:tc>
        <w:tc>
          <w:tcPr>
            <w:tcW w:w="656" w:type="dxa"/>
            <w:vAlign w:val="center"/>
          </w:tcPr>
          <w:p w14:paraId="07FAFCA5" w14:textId="77777777" w:rsidR="004A0123" w:rsidRPr="00640447" w:rsidRDefault="004A0123" w:rsidP="008A5C11">
            <w:pPr>
              <w:jc w:val="center"/>
              <w:rPr>
                <w:bCs/>
                <w:sz w:val="20"/>
                <w:szCs w:val="20"/>
                <w:lang w:val="en-US"/>
              </w:rPr>
            </w:pPr>
            <w:r w:rsidRPr="00640447">
              <w:rPr>
                <w:bCs/>
                <w:sz w:val="20"/>
                <w:szCs w:val="20"/>
                <w:lang w:val="en-US"/>
              </w:rPr>
              <w:t>2027</w:t>
            </w:r>
          </w:p>
        </w:tc>
        <w:tc>
          <w:tcPr>
            <w:tcW w:w="656" w:type="dxa"/>
            <w:vAlign w:val="center"/>
          </w:tcPr>
          <w:p w14:paraId="42BAFDEA" w14:textId="77777777" w:rsidR="004A0123" w:rsidRPr="00640447" w:rsidRDefault="004A0123" w:rsidP="008A5C11">
            <w:pPr>
              <w:jc w:val="center"/>
              <w:rPr>
                <w:bCs/>
                <w:sz w:val="20"/>
                <w:szCs w:val="20"/>
                <w:lang w:val="en-US"/>
              </w:rPr>
            </w:pPr>
            <w:r w:rsidRPr="00640447">
              <w:rPr>
                <w:bCs/>
                <w:sz w:val="20"/>
                <w:szCs w:val="20"/>
                <w:lang w:val="en-US"/>
              </w:rPr>
              <w:t>2028</w:t>
            </w:r>
          </w:p>
        </w:tc>
      </w:tr>
      <w:tr w:rsidR="004A0123" w:rsidRPr="00640447" w14:paraId="43B84C4A" w14:textId="77777777" w:rsidTr="008A5C11">
        <w:trPr>
          <w:trHeight w:val="255"/>
          <w:jc w:val="center"/>
        </w:trPr>
        <w:tc>
          <w:tcPr>
            <w:tcW w:w="356" w:type="dxa"/>
            <w:shd w:val="clear" w:color="auto" w:fill="auto"/>
            <w:tcMar>
              <w:left w:w="28" w:type="dxa"/>
              <w:right w:w="28" w:type="dxa"/>
            </w:tcMar>
            <w:vAlign w:val="center"/>
            <w:hideMark/>
          </w:tcPr>
          <w:p w14:paraId="4B1C3253" w14:textId="77777777" w:rsidR="004A0123" w:rsidRPr="00640447" w:rsidRDefault="004A0123" w:rsidP="008A5C11">
            <w:pPr>
              <w:jc w:val="center"/>
              <w:rPr>
                <w:bCs/>
                <w:sz w:val="20"/>
                <w:szCs w:val="20"/>
              </w:rPr>
            </w:pPr>
            <w:r w:rsidRPr="00640447">
              <w:rPr>
                <w:bCs/>
                <w:sz w:val="20"/>
                <w:szCs w:val="20"/>
              </w:rPr>
              <w:t>1.</w:t>
            </w:r>
          </w:p>
        </w:tc>
        <w:tc>
          <w:tcPr>
            <w:tcW w:w="1585" w:type="dxa"/>
            <w:shd w:val="clear" w:color="auto" w:fill="auto"/>
            <w:tcMar>
              <w:left w:w="28" w:type="dxa"/>
              <w:right w:w="28" w:type="dxa"/>
            </w:tcMar>
            <w:vAlign w:val="center"/>
            <w:hideMark/>
          </w:tcPr>
          <w:p w14:paraId="13C37EDC" w14:textId="77777777" w:rsidR="004A0123" w:rsidRPr="00640447" w:rsidRDefault="004A0123" w:rsidP="008A5C11">
            <w:pPr>
              <w:rPr>
                <w:bCs/>
                <w:sz w:val="20"/>
                <w:szCs w:val="20"/>
              </w:rPr>
            </w:pPr>
            <w:r w:rsidRPr="00640447">
              <w:rPr>
                <w:bCs/>
                <w:sz w:val="20"/>
                <w:szCs w:val="20"/>
              </w:rPr>
              <w:t>Собственные средства</w:t>
            </w:r>
          </w:p>
        </w:tc>
        <w:tc>
          <w:tcPr>
            <w:tcW w:w="1196" w:type="dxa"/>
            <w:shd w:val="clear" w:color="auto" w:fill="auto"/>
            <w:tcMar>
              <w:left w:w="28" w:type="dxa"/>
              <w:right w:w="28" w:type="dxa"/>
            </w:tcMar>
            <w:vAlign w:val="center"/>
          </w:tcPr>
          <w:p w14:paraId="4DE67631" w14:textId="77777777" w:rsidR="004A0123" w:rsidRPr="00640447" w:rsidRDefault="004A0123" w:rsidP="008A5C11">
            <w:pPr>
              <w:jc w:val="center"/>
              <w:rPr>
                <w:color w:val="000000"/>
                <w:sz w:val="20"/>
                <w:szCs w:val="20"/>
              </w:rPr>
            </w:pPr>
            <w:r w:rsidRPr="00640447">
              <w:rPr>
                <w:color w:val="000000"/>
                <w:sz w:val="20"/>
                <w:szCs w:val="20"/>
              </w:rPr>
              <w:t>1887946</w:t>
            </w:r>
          </w:p>
        </w:tc>
        <w:tc>
          <w:tcPr>
            <w:tcW w:w="756" w:type="dxa"/>
            <w:shd w:val="clear" w:color="auto" w:fill="auto"/>
            <w:tcMar>
              <w:left w:w="28" w:type="dxa"/>
              <w:right w:w="28" w:type="dxa"/>
            </w:tcMar>
            <w:vAlign w:val="center"/>
          </w:tcPr>
          <w:p w14:paraId="1D511F74" w14:textId="77777777" w:rsidR="004A0123" w:rsidRPr="00640447" w:rsidRDefault="004A0123" w:rsidP="008A5C11">
            <w:pPr>
              <w:jc w:val="center"/>
              <w:rPr>
                <w:color w:val="000000"/>
                <w:sz w:val="20"/>
                <w:szCs w:val="20"/>
              </w:rPr>
            </w:pPr>
            <w:r w:rsidRPr="00640447">
              <w:rPr>
                <w:color w:val="000000"/>
                <w:sz w:val="20"/>
                <w:szCs w:val="20"/>
              </w:rPr>
              <w:t>1887946</w:t>
            </w:r>
          </w:p>
        </w:tc>
        <w:tc>
          <w:tcPr>
            <w:tcW w:w="656" w:type="dxa"/>
            <w:shd w:val="clear" w:color="auto" w:fill="auto"/>
            <w:tcMar>
              <w:left w:w="28" w:type="dxa"/>
              <w:right w:w="28" w:type="dxa"/>
            </w:tcMar>
            <w:vAlign w:val="center"/>
          </w:tcPr>
          <w:p w14:paraId="4C305CF6" w14:textId="77777777" w:rsidR="004A0123" w:rsidRPr="00640447" w:rsidRDefault="004A0123" w:rsidP="008A5C11">
            <w:pPr>
              <w:jc w:val="center"/>
              <w:rPr>
                <w:color w:val="000000"/>
                <w:sz w:val="20"/>
                <w:szCs w:val="20"/>
              </w:rPr>
            </w:pPr>
            <w:r w:rsidRPr="00640447">
              <w:rPr>
                <w:bCs/>
                <w:color w:val="000000"/>
                <w:sz w:val="20"/>
                <w:szCs w:val="20"/>
                <w:lang w:val="en-US"/>
              </w:rPr>
              <w:t>0</w:t>
            </w:r>
          </w:p>
        </w:tc>
        <w:tc>
          <w:tcPr>
            <w:tcW w:w="656" w:type="dxa"/>
            <w:shd w:val="clear" w:color="auto" w:fill="auto"/>
            <w:tcMar>
              <w:left w:w="28" w:type="dxa"/>
              <w:right w:w="28" w:type="dxa"/>
            </w:tcMar>
            <w:vAlign w:val="center"/>
          </w:tcPr>
          <w:p w14:paraId="766B2F91" w14:textId="77777777" w:rsidR="004A0123" w:rsidRPr="00640447" w:rsidRDefault="004A0123" w:rsidP="008A5C11">
            <w:pPr>
              <w:jc w:val="center"/>
              <w:rPr>
                <w:color w:val="000000"/>
                <w:sz w:val="20"/>
                <w:szCs w:val="20"/>
              </w:rPr>
            </w:pPr>
            <w:r w:rsidRPr="00640447">
              <w:rPr>
                <w:bCs/>
                <w:color w:val="000000"/>
                <w:sz w:val="20"/>
                <w:szCs w:val="20"/>
                <w:lang w:val="en-US"/>
              </w:rPr>
              <w:t>9035</w:t>
            </w:r>
          </w:p>
        </w:tc>
        <w:tc>
          <w:tcPr>
            <w:tcW w:w="590" w:type="dxa"/>
            <w:shd w:val="clear" w:color="auto" w:fill="auto"/>
            <w:tcMar>
              <w:left w:w="28" w:type="dxa"/>
              <w:right w:w="28" w:type="dxa"/>
            </w:tcMar>
            <w:vAlign w:val="center"/>
          </w:tcPr>
          <w:p w14:paraId="090CC497" w14:textId="77777777" w:rsidR="004A0123" w:rsidRPr="00640447" w:rsidRDefault="004A0123" w:rsidP="008A5C11">
            <w:pPr>
              <w:jc w:val="center"/>
              <w:rPr>
                <w:color w:val="000000"/>
                <w:sz w:val="20"/>
                <w:szCs w:val="20"/>
              </w:rPr>
            </w:pPr>
            <w:r w:rsidRPr="00640447">
              <w:rPr>
                <w:bCs/>
                <w:color w:val="000000"/>
                <w:sz w:val="20"/>
                <w:szCs w:val="20"/>
                <w:lang w:val="en-US"/>
              </w:rPr>
              <w:t>49812</w:t>
            </w:r>
          </w:p>
        </w:tc>
        <w:tc>
          <w:tcPr>
            <w:tcW w:w="656" w:type="dxa"/>
            <w:tcMar>
              <w:left w:w="28" w:type="dxa"/>
              <w:right w:w="28" w:type="dxa"/>
            </w:tcMar>
            <w:vAlign w:val="center"/>
          </w:tcPr>
          <w:p w14:paraId="49DE9285" w14:textId="77777777" w:rsidR="004A0123" w:rsidRPr="00640447" w:rsidRDefault="004A0123" w:rsidP="008A5C11">
            <w:pPr>
              <w:jc w:val="center"/>
              <w:rPr>
                <w:color w:val="000000"/>
                <w:sz w:val="20"/>
                <w:szCs w:val="20"/>
              </w:rPr>
            </w:pPr>
            <w:r w:rsidRPr="00640447">
              <w:rPr>
                <w:color w:val="000000"/>
                <w:sz w:val="20"/>
                <w:szCs w:val="20"/>
                <w:lang w:val="en-US"/>
              </w:rPr>
              <w:t>93670</w:t>
            </w:r>
          </w:p>
        </w:tc>
        <w:tc>
          <w:tcPr>
            <w:tcW w:w="656" w:type="dxa"/>
            <w:tcMar>
              <w:left w:w="28" w:type="dxa"/>
              <w:right w:w="28" w:type="dxa"/>
            </w:tcMar>
            <w:vAlign w:val="center"/>
          </w:tcPr>
          <w:p w14:paraId="7AA7E4F6" w14:textId="77777777" w:rsidR="004A0123" w:rsidRPr="00640447" w:rsidRDefault="004A0123" w:rsidP="008A5C11">
            <w:pPr>
              <w:jc w:val="center"/>
              <w:rPr>
                <w:color w:val="000000"/>
                <w:sz w:val="20"/>
                <w:szCs w:val="20"/>
              </w:rPr>
            </w:pPr>
            <w:r w:rsidRPr="00640447">
              <w:rPr>
                <w:color w:val="000000"/>
                <w:sz w:val="20"/>
                <w:szCs w:val="20"/>
                <w:lang w:val="en-US"/>
              </w:rPr>
              <w:t>141313</w:t>
            </w:r>
          </w:p>
        </w:tc>
        <w:tc>
          <w:tcPr>
            <w:tcW w:w="656" w:type="dxa"/>
            <w:vAlign w:val="center"/>
          </w:tcPr>
          <w:p w14:paraId="160799BF" w14:textId="77777777" w:rsidR="004A0123" w:rsidRPr="00640447" w:rsidRDefault="004A0123" w:rsidP="008A5C11">
            <w:pPr>
              <w:jc w:val="center"/>
              <w:rPr>
                <w:color w:val="000000"/>
                <w:sz w:val="20"/>
                <w:szCs w:val="20"/>
              </w:rPr>
            </w:pPr>
            <w:r w:rsidRPr="00640447">
              <w:rPr>
                <w:color w:val="000000"/>
                <w:sz w:val="20"/>
                <w:szCs w:val="20"/>
                <w:lang w:val="en-US"/>
              </w:rPr>
              <w:t>191865</w:t>
            </w:r>
          </w:p>
        </w:tc>
        <w:tc>
          <w:tcPr>
            <w:tcW w:w="656" w:type="dxa"/>
            <w:vAlign w:val="center"/>
          </w:tcPr>
          <w:p w14:paraId="3CA1E8E9" w14:textId="77777777" w:rsidR="004A0123" w:rsidRPr="00640447" w:rsidRDefault="004A0123" w:rsidP="008A5C11">
            <w:pPr>
              <w:jc w:val="center"/>
              <w:rPr>
                <w:color w:val="000000"/>
                <w:sz w:val="20"/>
                <w:szCs w:val="20"/>
              </w:rPr>
            </w:pPr>
            <w:r w:rsidRPr="00640447">
              <w:rPr>
                <w:color w:val="000000"/>
                <w:sz w:val="20"/>
                <w:szCs w:val="20"/>
                <w:lang w:val="en-US"/>
              </w:rPr>
              <w:t>248171</w:t>
            </w:r>
          </w:p>
        </w:tc>
        <w:tc>
          <w:tcPr>
            <w:tcW w:w="656" w:type="dxa"/>
            <w:vAlign w:val="center"/>
          </w:tcPr>
          <w:p w14:paraId="2A711926" w14:textId="77777777" w:rsidR="004A0123" w:rsidRPr="00640447" w:rsidRDefault="004A0123" w:rsidP="008A5C11">
            <w:pPr>
              <w:jc w:val="center"/>
              <w:rPr>
                <w:color w:val="000000"/>
                <w:sz w:val="20"/>
                <w:szCs w:val="20"/>
              </w:rPr>
            </w:pPr>
            <w:r w:rsidRPr="00640447">
              <w:rPr>
                <w:color w:val="000000"/>
                <w:sz w:val="20"/>
                <w:szCs w:val="20"/>
                <w:lang w:val="en-US"/>
              </w:rPr>
              <w:t>312218</w:t>
            </w:r>
          </w:p>
        </w:tc>
        <w:tc>
          <w:tcPr>
            <w:tcW w:w="656" w:type="dxa"/>
            <w:vAlign w:val="center"/>
          </w:tcPr>
          <w:p w14:paraId="4FDE8CDD" w14:textId="77777777" w:rsidR="004A0123" w:rsidRPr="00640447" w:rsidRDefault="004A0123" w:rsidP="008A5C11">
            <w:pPr>
              <w:jc w:val="center"/>
              <w:rPr>
                <w:color w:val="000000"/>
                <w:sz w:val="20"/>
                <w:szCs w:val="20"/>
              </w:rPr>
            </w:pPr>
            <w:r w:rsidRPr="00640447">
              <w:rPr>
                <w:color w:val="000000"/>
                <w:sz w:val="20"/>
                <w:szCs w:val="20"/>
                <w:lang w:val="en-US"/>
              </w:rPr>
              <w:t>388280</w:t>
            </w:r>
          </w:p>
        </w:tc>
        <w:tc>
          <w:tcPr>
            <w:tcW w:w="656" w:type="dxa"/>
            <w:vAlign w:val="center"/>
          </w:tcPr>
          <w:p w14:paraId="27CECDC2" w14:textId="77777777" w:rsidR="004A0123" w:rsidRPr="00640447" w:rsidRDefault="004A0123" w:rsidP="008A5C11">
            <w:pPr>
              <w:jc w:val="center"/>
              <w:rPr>
                <w:color w:val="000000"/>
                <w:sz w:val="20"/>
                <w:szCs w:val="20"/>
              </w:rPr>
            </w:pPr>
            <w:r w:rsidRPr="00640447">
              <w:rPr>
                <w:color w:val="000000"/>
                <w:sz w:val="20"/>
                <w:szCs w:val="20"/>
                <w:lang w:val="en-US"/>
              </w:rPr>
              <w:t>453582</w:t>
            </w:r>
          </w:p>
        </w:tc>
      </w:tr>
      <w:tr w:rsidR="004A0123" w:rsidRPr="00640447" w14:paraId="77985A09" w14:textId="77777777" w:rsidTr="008A5C11">
        <w:trPr>
          <w:trHeight w:val="255"/>
          <w:jc w:val="center"/>
        </w:trPr>
        <w:tc>
          <w:tcPr>
            <w:tcW w:w="356" w:type="dxa"/>
            <w:shd w:val="clear" w:color="auto" w:fill="auto"/>
            <w:tcMar>
              <w:left w:w="28" w:type="dxa"/>
              <w:right w:w="28" w:type="dxa"/>
            </w:tcMar>
            <w:vAlign w:val="center"/>
            <w:hideMark/>
          </w:tcPr>
          <w:p w14:paraId="1053914C" w14:textId="77777777" w:rsidR="004A0123" w:rsidRPr="00640447" w:rsidRDefault="004A0123" w:rsidP="008A5C11">
            <w:pPr>
              <w:jc w:val="center"/>
              <w:rPr>
                <w:sz w:val="20"/>
                <w:szCs w:val="20"/>
              </w:rPr>
            </w:pPr>
            <w:r w:rsidRPr="00640447">
              <w:rPr>
                <w:sz w:val="20"/>
                <w:szCs w:val="20"/>
              </w:rPr>
              <w:t>1.1.</w:t>
            </w:r>
          </w:p>
        </w:tc>
        <w:tc>
          <w:tcPr>
            <w:tcW w:w="1585" w:type="dxa"/>
            <w:shd w:val="clear" w:color="auto" w:fill="auto"/>
            <w:tcMar>
              <w:left w:w="28" w:type="dxa"/>
              <w:right w:w="28" w:type="dxa"/>
            </w:tcMar>
            <w:vAlign w:val="center"/>
            <w:hideMark/>
          </w:tcPr>
          <w:p w14:paraId="70F9BEFD" w14:textId="77777777" w:rsidR="004A0123" w:rsidRPr="00640447" w:rsidRDefault="004A0123" w:rsidP="008A5C11">
            <w:pPr>
              <w:rPr>
                <w:sz w:val="20"/>
                <w:szCs w:val="20"/>
              </w:rPr>
            </w:pPr>
            <w:r w:rsidRPr="00640447">
              <w:rPr>
                <w:sz w:val="20"/>
                <w:szCs w:val="20"/>
              </w:rPr>
              <w:t>амортизационные отчисления</w:t>
            </w:r>
          </w:p>
        </w:tc>
        <w:tc>
          <w:tcPr>
            <w:tcW w:w="1196" w:type="dxa"/>
            <w:shd w:val="clear" w:color="auto" w:fill="auto"/>
            <w:tcMar>
              <w:left w:w="28" w:type="dxa"/>
              <w:right w:w="28" w:type="dxa"/>
            </w:tcMar>
            <w:vAlign w:val="center"/>
          </w:tcPr>
          <w:p w14:paraId="3820DA76" w14:textId="77777777" w:rsidR="004A0123" w:rsidRPr="00640447" w:rsidRDefault="004A0123" w:rsidP="008A5C11">
            <w:pPr>
              <w:jc w:val="center"/>
              <w:rPr>
                <w:color w:val="000000"/>
                <w:sz w:val="20"/>
                <w:szCs w:val="20"/>
              </w:rPr>
            </w:pPr>
            <w:r w:rsidRPr="00640447">
              <w:rPr>
                <w:color w:val="000000"/>
                <w:sz w:val="20"/>
                <w:szCs w:val="20"/>
              </w:rPr>
              <w:t>1068887</w:t>
            </w:r>
          </w:p>
        </w:tc>
        <w:tc>
          <w:tcPr>
            <w:tcW w:w="756" w:type="dxa"/>
            <w:shd w:val="clear" w:color="auto" w:fill="auto"/>
            <w:tcMar>
              <w:left w:w="28" w:type="dxa"/>
              <w:right w:w="28" w:type="dxa"/>
            </w:tcMar>
            <w:vAlign w:val="center"/>
          </w:tcPr>
          <w:p w14:paraId="5F699FBB" w14:textId="77777777" w:rsidR="004A0123" w:rsidRPr="00640447" w:rsidRDefault="004A0123" w:rsidP="008A5C11">
            <w:pPr>
              <w:jc w:val="center"/>
              <w:rPr>
                <w:color w:val="000000"/>
                <w:sz w:val="20"/>
                <w:szCs w:val="20"/>
              </w:rPr>
            </w:pPr>
            <w:r w:rsidRPr="00640447">
              <w:rPr>
                <w:color w:val="000000"/>
                <w:sz w:val="20"/>
                <w:szCs w:val="20"/>
              </w:rPr>
              <w:t>1068887</w:t>
            </w:r>
          </w:p>
        </w:tc>
        <w:tc>
          <w:tcPr>
            <w:tcW w:w="656" w:type="dxa"/>
            <w:shd w:val="clear" w:color="auto" w:fill="auto"/>
            <w:tcMar>
              <w:left w:w="28" w:type="dxa"/>
              <w:right w:w="28" w:type="dxa"/>
            </w:tcMar>
            <w:vAlign w:val="center"/>
          </w:tcPr>
          <w:p w14:paraId="7221B1FB" w14:textId="77777777" w:rsidR="004A0123" w:rsidRPr="00640447" w:rsidRDefault="004A0123" w:rsidP="008A5C11">
            <w:pPr>
              <w:jc w:val="center"/>
              <w:rPr>
                <w:color w:val="000000"/>
                <w:sz w:val="20"/>
                <w:szCs w:val="20"/>
              </w:rPr>
            </w:pPr>
            <w:r w:rsidRPr="00640447">
              <w:rPr>
                <w:bCs/>
                <w:color w:val="000000"/>
                <w:sz w:val="20"/>
                <w:szCs w:val="20"/>
                <w:lang w:val="en-US"/>
              </w:rPr>
              <w:t> 0</w:t>
            </w:r>
          </w:p>
        </w:tc>
        <w:tc>
          <w:tcPr>
            <w:tcW w:w="656" w:type="dxa"/>
            <w:shd w:val="clear" w:color="auto" w:fill="auto"/>
            <w:tcMar>
              <w:left w:w="28" w:type="dxa"/>
              <w:right w:w="28" w:type="dxa"/>
            </w:tcMar>
            <w:vAlign w:val="center"/>
          </w:tcPr>
          <w:p w14:paraId="11B5DD5A" w14:textId="77777777" w:rsidR="004A0123" w:rsidRPr="00640447" w:rsidRDefault="004A0123" w:rsidP="008A5C11">
            <w:pPr>
              <w:jc w:val="center"/>
              <w:rPr>
                <w:color w:val="000000"/>
                <w:sz w:val="20"/>
                <w:szCs w:val="20"/>
              </w:rPr>
            </w:pPr>
            <w:r w:rsidRPr="00640447">
              <w:rPr>
                <w:color w:val="000000"/>
                <w:sz w:val="20"/>
                <w:szCs w:val="20"/>
              </w:rPr>
              <w:t>0</w:t>
            </w:r>
          </w:p>
        </w:tc>
        <w:tc>
          <w:tcPr>
            <w:tcW w:w="590" w:type="dxa"/>
            <w:shd w:val="clear" w:color="auto" w:fill="auto"/>
            <w:tcMar>
              <w:left w:w="28" w:type="dxa"/>
              <w:right w:w="28" w:type="dxa"/>
            </w:tcMar>
            <w:vAlign w:val="center"/>
          </w:tcPr>
          <w:p w14:paraId="08F98038" w14:textId="77777777" w:rsidR="004A0123" w:rsidRPr="00640447" w:rsidRDefault="004A0123" w:rsidP="008A5C11">
            <w:pPr>
              <w:jc w:val="center"/>
              <w:rPr>
                <w:color w:val="000000"/>
                <w:sz w:val="20"/>
                <w:szCs w:val="20"/>
              </w:rPr>
            </w:pPr>
            <w:r w:rsidRPr="00640447">
              <w:rPr>
                <w:color w:val="000000"/>
                <w:sz w:val="20"/>
                <w:szCs w:val="20"/>
              </w:rPr>
              <w:t>0</w:t>
            </w:r>
          </w:p>
        </w:tc>
        <w:tc>
          <w:tcPr>
            <w:tcW w:w="656" w:type="dxa"/>
            <w:tcMar>
              <w:left w:w="28" w:type="dxa"/>
              <w:right w:w="28" w:type="dxa"/>
            </w:tcMar>
            <w:vAlign w:val="center"/>
          </w:tcPr>
          <w:p w14:paraId="66B8927F" w14:textId="77777777" w:rsidR="004A0123" w:rsidRPr="00640447" w:rsidRDefault="004A0123" w:rsidP="008A5C11">
            <w:pPr>
              <w:jc w:val="center"/>
              <w:rPr>
                <w:color w:val="000000"/>
                <w:sz w:val="20"/>
                <w:szCs w:val="20"/>
              </w:rPr>
            </w:pPr>
            <w:r w:rsidRPr="00640447">
              <w:rPr>
                <w:color w:val="000000"/>
                <w:sz w:val="20"/>
                <w:szCs w:val="20"/>
              </w:rPr>
              <w:t>4678</w:t>
            </w:r>
          </w:p>
        </w:tc>
        <w:tc>
          <w:tcPr>
            <w:tcW w:w="656" w:type="dxa"/>
            <w:tcMar>
              <w:left w:w="28" w:type="dxa"/>
              <w:right w:w="28" w:type="dxa"/>
            </w:tcMar>
            <w:vAlign w:val="center"/>
          </w:tcPr>
          <w:p w14:paraId="51D90E24" w14:textId="77777777" w:rsidR="004A0123" w:rsidRPr="00640447" w:rsidRDefault="004A0123" w:rsidP="008A5C11">
            <w:pPr>
              <w:jc w:val="center"/>
              <w:rPr>
                <w:color w:val="000000"/>
                <w:sz w:val="20"/>
                <w:szCs w:val="20"/>
              </w:rPr>
            </w:pPr>
            <w:r w:rsidRPr="00640447">
              <w:rPr>
                <w:color w:val="000000"/>
                <w:sz w:val="20"/>
                <w:szCs w:val="20"/>
              </w:rPr>
              <w:t>7141</w:t>
            </w:r>
          </w:p>
        </w:tc>
        <w:tc>
          <w:tcPr>
            <w:tcW w:w="656" w:type="dxa"/>
            <w:vAlign w:val="center"/>
          </w:tcPr>
          <w:p w14:paraId="0F006C86" w14:textId="77777777" w:rsidR="004A0123" w:rsidRPr="00640447" w:rsidRDefault="004A0123" w:rsidP="008A5C11">
            <w:pPr>
              <w:jc w:val="center"/>
              <w:rPr>
                <w:color w:val="000000"/>
                <w:sz w:val="20"/>
                <w:szCs w:val="20"/>
              </w:rPr>
            </w:pPr>
            <w:r w:rsidRPr="00640447">
              <w:rPr>
                <w:color w:val="000000"/>
                <w:sz w:val="20"/>
                <w:szCs w:val="20"/>
              </w:rPr>
              <w:t>52641</w:t>
            </w:r>
          </w:p>
        </w:tc>
        <w:tc>
          <w:tcPr>
            <w:tcW w:w="656" w:type="dxa"/>
            <w:vAlign w:val="center"/>
          </w:tcPr>
          <w:p w14:paraId="1E50044F" w14:textId="77777777" w:rsidR="004A0123" w:rsidRPr="00640447" w:rsidRDefault="004A0123" w:rsidP="008A5C11">
            <w:pPr>
              <w:jc w:val="center"/>
              <w:rPr>
                <w:color w:val="000000"/>
                <w:sz w:val="20"/>
                <w:szCs w:val="20"/>
              </w:rPr>
            </w:pPr>
            <w:r w:rsidRPr="00640447">
              <w:rPr>
                <w:color w:val="000000"/>
                <w:sz w:val="20"/>
                <w:szCs w:val="20"/>
              </w:rPr>
              <w:t>52641</w:t>
            </w:r>
          </w:p>
        </w:tc>
        <w:tc>
          <w:tcPr>
            <w:tcW w:w="656" w:type="dxa"/>
            <w:vAlign w:val="center"/>
          </w:tcPr>
          <w:p w14:paraId="7EC203F1" w14:textId="77777777" w:rsidR="004A0123" w:rsidRPr="00640447" w:rsidRDefault="004A0123" w:rsidP="008A5C11">
            <w:pPr>
              <w:jc w:val="center"/>
              <w:rPr>
                <w:color w:val="000000"/>
                <w:sz w:val="20"/>
                <w:szCs w:val="20"/>
              </w:rPr>
            </w:pPr>
            <w:r w:rsidRPr="00640447">
              <w:rPr>
                <w:color w:val="000000"/>
                <w:sz w:val="20"/>
                <w:szCs w:val="20"/>
              </w:rPr>
              <w:t>115969</w:t>
            </w:r>
          </w:p>
        </w:tc>
        <w:tc>
          <w:tcPr>
            <w:tcW w:w="656" w:type="dxa"/>
            <w:vAlign w:val="center"/>
          </w:tcPr>
          <w:p w14:paraId="741E2C0F" w14:textId="77777777" w:rsidR="004A0123" w:rsidRPr="00640447" w:rsidRDefault="004A0123" w:rsidP="008A5C11">
            <w:pPr>
              <w:jc w:val="center"/>
              <w:rPr>
                <w:color w:val="000000"/>
                <w:sz w:val="20"/>
                <w:szCs w:val="20"/>
              </w:rPr>
            </w:pPr>
            <w:r w:rsidRPr="00640447">
              <w:rPr>
                <w:color w:val="000000"/>
                <w:sz w:val="20"/>
                <w:szCs w:val="20"/>
              </w:rPr>
              <w:t>382235</w:t>
            </w:r>
          </w:p>
        </w:tc>
        <w:tc>
          <w:tcPr>
            <w:tcW w:w="656" w:type="dxa"/>
            <w:vAlign w:val="center"/>
          </w:tcPr>
          <w:p w14:paraId="448D30DD" w14:textId="77777777" w:rsidR="004A0123" w:rsidRPr="00640447" w:rsidRDefault="004A0123" w:rsidP="008A5C11">
            <w:pPr>
              <w:jc w:val="center"/>
              <w:rPr>
                <w:color w:val="000000"/>
                <w:sz w:val="20"/>
                <w:szCs w:val="20"/>
              </w:rPr>
            </w:pPr>
            <w:r w:rsidRPr="00640447">
              <w:rPr>
                <w:color w:val="000000"/>
                <w:sz w:val="20"/>
                <w:szCs w:val="20"/>
              </w:rPr>
              <w:t>453582</w:t>
            </w:r>
          </w:p>
        </w:tc>
      </w:tr>
      <w:tr w:rsidR="004A0123" w:rsidRPr="00640447" w14:paraId="05427278" w14:textId="77777777" w:rsidTr="008A5C11">
        <w:trPr>
          <w:trHeight w:val="510"/>
          <w:jc w:val="center"/>
        </w:trPr>
        <w:tc>
          <w:tcPr>
            <w:tcW w:w="356" w:type="dxa"/>
            <w:shd w:val="clear" w:color="auto" w:fill="auto"/>
            <w:tcMar>
              <w:left w:w="28" w:type="dxa"/>
              <w:right w:w="28" w:type="dxa"/>
            </w:tcMar>
            <w:vAlign w:val="center"/>
            <w:hideMark/>
          </w:tcPr>
          <w:p w14:paraId="2AC2FD9D" w14:textId="77777777" w:rsidR="004A0123" w:rsidRPr="00640447" w:rsidRDefault="004A0123" w:rsidP="008A5C11">
            <w:pPr>
              <w:jc w:val="center"/>
              <w:rPr>
                <w:sz w:val="20"/>
                <w:szCs w:val="20"/>
              </w:rPr>
            </w:pPr>
            <w:r w:rsidRPr="00640447">
              <w:rPr>
                <w:sz w:val="20"/>
                <w:szCs w:val="20"/>
              </w:rPr>
              <w:t>1.2.</w:t>
            </w:r>
          </w:p>
        </w:tc>
        <w:tc>
          <w:tcPr>
            <w:tcW w:w="1585" w:type="dxa"/>
            <w:shd w:val="clear" w:color="auto" w:fill="auto"/>
            <w:tcMar>
              <w:left w:w="28" w:type="dxa"/>
              <w:right w:w="28" w:type="dxa"/>
            </w:tcMar>
            <w:vAlign w:val="center"/>
            <w:hideMark/>
          </w:tcPr>
          <w:p w14:paraId="15882AB5" w14:textId="77777777" w:rsidR="004A0123" w:rsidRPr="00640447" w:rsidRDefault="004A0123" w:rsidP="008A5C11">
            <w:pPr>
              <w:rPr>
                <w:sz w:val="20"/>
                <w:szCs w:val="20"/>
              </w:rPr>
            </w:pPr>
            <w:r w:rsidRPr="00640447">
              <w:rPr>
                <w:sz w:val="20"/>
                <w:szCs w:val="20"/>
              </w:rPr>
              <w:t>прибыль, направленная на инвестиции</w:t>
            </w:r>
          </w:p>
        </w:tc>
        <w:tc>
          <w:tcPr>
            <w:tcW w:w="1196" w:type="dxa"/>
            <w:shd w:val="clear" w:color="auto" w:fill="auto"/>
            <w:tcMar>
              <w:left w:w="28" w:type="dxa"/>
              <w:right w:w="28" w:type="dxa"/>
            </w:tcMar>
            <w:vAlign w:val="center"/>
          </w:tcPr>
          <w:p w14:paraId="23DB1DD9" w14:textId="77777777" w:rsidR="004A0123" w:rsidRPr="00640447" w:rsidRDefault="004A0123" w:rsidP="008A5C11">
            <w:pPr>
              <w:jc w:val="center"/>
              <w:rPr>
                <w:color w:val="000000"/>
                <w:sz w:val="20"/>
                <w:szCs w:val="20"/>
              </w:rPr>
            </w:pPr>
            <w:r w:rsidRPr="00640447">
              <w:rPr>
                <w:color w:val="000000"/>
                <w:sz w:val="20"/>
                <w:szCs w:val="20"/>
              </w:rPr>
              <w:t>819059</w:t>
            </w:r>
          </w:p>
        </w:tc>
        <w:tc>
          <w:tcPr>
            <w:tcW w:w="756" w:type="dxa"/>
            <w:shd w:val="clear" w:color="auto" w:fill="auto"/>
            <w:tcMar>
              <w:left w:w="28" w:type="dxa"/>
              <w:right w:w="28" w:type="dxa"/>
            </w:tcMar>
            <w:vAlign w:val="center"/>
          </w:tcPr>
          <w:p w14:paraId="2814DB3C" w14:textId="77777777" w:rsidR="004A0123" w:rsidRPr="00640447" w:rsidRDefault="004A0123" w:rsidP="008A5C11">
            <w:pPr>
              <w:jc w:val="center"/>
              <w:rPr>
                <w:color w:val="000000"/>
                <w:sz w:val="20"/>
                <w:szCs w:val="20"/>
              </w:rPr>
            </w:pPr>
            <w:r w:rsidRPr="00640447">
              <w:rPr>
                <w:color w:val="000000"/>
                <w:sz w:val="20"/>
                <w:szCs w:val="20"/>
              </w:rPr>
              <w:t>819059</w:t>
            </w:r>
          </w:p>
        </w:tc>
        <w:tc>
          <w:tcPr>
            <w:tcW w:w="656" w:type="dxa"/>
            <w:shd w:val="clear" w:color="auto" w:fill="auto"/>
            <w:tcMar>
              <w:left w:w="28" w:type="dxa"/>
              <w:right w:w="28" w:type="dxa"/>
            </w:tcMar>
            <w:vAlign w:val="center"/>
          </w:tcPr>
          <w:p w14:paraId="432B58A0" w14:textId="77777777" w:rsidR="004A0123" w:rsidRPr="00640447" w:rsidRDefault="004A0123" w:rsidP="008A5C11">
            <w:pPr>
              <w:jc w:val="center"/>
              <w:rPr>
                <w:color w:val="000000"/>
                <w:sz w:val="20"/>
                <w:szCs w:val="20"/>
              </w:rPr>
            </w:pPr>
            <w:r w:rsidRPr="00640447">
              <w:rPr>
                <w:bCs/>
                <w:color w:val="000000"/>
                <w:sz w:val="20"/>
                <w:szCs w:val="20"/>
                <w:lang w:val="en-US"/>
              </w:rPr>
              <w:t>0</w:t>
            </w:r>
          </w:p>
        </w:tc>
        <w:tc>
          <w:tcPr>
            <w:tcW w:w="656" w:type="dxa"/>
            <w:shd w:val="clear" w:color="auto" w:fill="auto"/>
            <w:tcMar>
              <w:left w:w="28" w:type="dxa"/>
              <w:right w:w="28" w:type="dxa"/>
            </w:tcMar>
            <w:vAlign w:val="center"/>
          </w:tcPr>
          <w:p w14:paraId="70F3C511" w14:textId="77777777" w:rsidR="004A0123" w:rsidRPr="00640447" w:rsidRDefault="004A0123" w:rsidP="008A5C11">
            <w:pPr>
              <w:jc w:val="center"/>
              <w:rPr>
                <w:color w:val="000000"/>
                <w:sz w:val="20"/>
                <w:szCs w:val="20"/>
              </w:rPr>
            </w:pPr>
            <w:r w:rsidRPr="00640447">
              <w:rPr>
                <w:color w:val="000000"/>
                <w:sz w:val="20"/>
                <w:szCs w:val="20"/>
              </w:rPr>
              <w:t>9035</w:t>
            </w:r>
          </w:p>
        </w:tc>
        <w:tc>
          <w:tcPr>
            <w:tcW w:w="590" w:type="dxa"/>
            <w:shd w:val="clear" w:color="auto" w:fill="auto"/>
            <w:tcMar>
              <w:left w:w="28" w:type="dxa"/>
              <w:right w:w="28" w:type="dxa"/>
            </w:tcMar>
            <w:vAlign w:val="center"/>
          </w:tcPr>
          <w:p w14:paraId="52DC204D" w14:textId="77777777" w:rsidR="004A0123" w:rsidRPr="00640447" w:rsidRDefault="004A0123" w:rsidP="008A5C11">
            <w:pPr>
              <w:jc w:val="center"/>
              <w:rPr>
                <w:color w:val="000000"/>
                <w:sz w:val="20"/>
                <w:szCs w:val="20"/>
              </w:rPr>
            </w:pPr>
            <w:r w:rsidRPr="00640447">
              <w:rPr>
                <w:color w:val="000000"/>
                <w:sz w:val="20"/>
                <w:szCs w:val="20"/>
              </w:rPr>
              <w:t>49812</w:t>
            </w:r>
          </w:p>
        </w:tc>
        <w:tc>
          <w:tcPr>
            <w:tcW w:w="656" w:type="dxa"/>
            <w:tcMar>
              <w:left w:w="28" w:type="dxa"/>
              <w:right w:w="28" w:type="dxa"/>
            </w:tcMar>
            <w:vAlign w:val="center"/>
          </w:tcPr>
          <w:p w14:paraId="61CFFF04" w14:textId="77777777" w:rsidR="004A0123" w:rsidRPr="00640447" w:rsidRDefault="004A0123" w:rsidP="008A5C11">
            <w:pPr>
              <w:jc w:val="center"/>
              <w:rPr>
                <w:color w:val="000000"/>
                <w:sz w:val="20"/>
                <w:szCs w:val="20"/>
              </w:rPr>
            </w:pPr>
            <w:r w:rsidRPr="00640447">
              <w:rPr>
                <w:color w:val="000000"/>
                <w:sz w:val="20"/>
                <w:szCs w:val="20"/>
              </w:rPr>
              <w:t>88992</w:t>
            </w:r>
          </w:p>
        </w:tc>
        <w:tc>
          <w:tcPr>
            <w:tcW w:w="656" w:type="dxa"/>
            <w:tcMar>
              <w:left w:w="28" w:type="dxa"/>
              <w:right w:w="28" w:type="dxa"/>
            </w:tcMar>
            <w:vAlign w:val="center"/>
          </w:tcPr>
          <w:p w14:paraId="03771C84" w14:textId="77777777" w:rsidR="004A0123" w:rsidRPr="00640447" w:rsidRDefault="004A0123" w:rsidP="008A5C11">
            <w:pPr>
              <w:jc w:val="center"/>
              <w:rPr>
                <w:color w:val="000000"/>
                <w:sz w:val="20"/>
                <w:szCs w:val="20"/>
              </w:rPr>
            </w:pPr>
            <w:r w:rsidRPr="00640447">
              <w:rPr>
                <w:color w:val="000000"/>
                <w:sz w:val="20"/>
                <w:szCs w:val="20"/>
              </w:rPr>
              <w:t>134172</w:t>
            </w:r>
          </w:p>
        </w:tc>
        <w:tc>
          <w:tcPr>
            <w:tcW w:w="656" w:type="dxa"/>
            <w:vAlign w:val="center"/>
          </w:tcPr>
          <w:p w14:paraId="0B8DA230" w14:textId="77777777" w:rsidR="004A0123" w:rsidRPr="00640447" w:rsidRDefault="004A0123" w:rsidP="008A5C11">
            <w:pPr>
              <w:jc w:val="center"/>
              <w:rPr>
                <w:color w:val="000000"/>
                <w:sz w:val="20"/>
                <w:szCs w:val="20"/>
              </w:rPr>
            </w:pPr>
            <w:r w:rsidRPr="00640447">
              <w:rPr>
                <w:color w:val="000000"/>
                <w:sz w:val="20"/>
                <w:szCs w:val="20"/>
              </w:rPr>
              <w:t>139224</w:t>
            </w:r>
          </w:p>
        </w:tc>
        <w:tc>
          <w:tcPr>
            <w:tcW w:w="656" w:type="dxa"/>
            <w:vAlign w:val="center"/>
          </w:tcPr>
          <w:p w14:paraId="5393C1AF" w14:textId="77777777" w:rsidR="004A0123" w:rsidRPr="00640447" w:rsidRDefault="004A0123" w:rsidP="008A5C11">
            <w:pPr>
              <w:jc w:val="center"/>
              <w:rPr>
                <w:color w:val="000000"/>
                <w:sz w:val="20"/>
                <w:szCs w:val="20"/>
              </w:rPr>
            </w:pPr>
            <w:r w:rsidRPr="00640447">
              <w:rPr>
                <w:color w:val="000000"/>
                <w:sz w:val="20"/>
                <w:szCs w:val="20"/>
              </w:rPr>
              <w:t>195530</w:t>
            </w:r>
          </w:p>
        </w:tc>
        <w:tc>
          <w:tcPr>
            <w:tcW w:w="656" w:type="dxa"/>
            <w:vAlign w:val="center"/>
          </w:tcPr>
          <w:p w14:paraId="667A43E4" w14:textId="77777777" w:rsidR="004A0123" w:rsidRPr="00640447" w:rsidRDefault="004A0123" w:rsidP="008A5C11">
            <w:pPr>
              <w:jc w:val="center"/>
              <w:rPr>
                <w:color w:val="000000"/>
                <w:sz w:val="20"/>
                <w:szCs w:val="20"/>
              </w:rPr>
            </w:pPr>
            <w:r w:rsidRPr="00640447">
              <w:rPr>
                <w:color w:val="000000"/>
                <w:sz w:val="20"/>
                <w:szCs w:val="20"/>
              </w:rPr>
              <w:t>196249</w:t>
            </w:r>
          </w:p>
        </w:tc>
        <w:tc>
          <w:tcPr>
            <w:tcW w:w="656" w:type="dxa"/>
            <w:vAlign w:val="center"/>
          </w:tcPr>
          <w:p w14:paraId="7B8B828D" w14:textId="77777777" w:rsidR="004A0123" w:rsidRPr="00640447" w:rsidRDefault="004A0123" w:rsidP="008A5C11">
            <w:pPr>
              <w:jc w:val="center"/>
              <w:rPr>
                <w:color w:val="000000"/>
                <w:sz w:val="20"/>
                <w:szCs w:val="20"/>
              </w:rPr>
            </w:pPr>
            <w:r w:rsidRPr="00640447">
              <w:rPr>
                <w:color w:val="000000"/>
                <w:sz w:val="20"/>
                <w:szCs w:val="20"/>
              </w:rPr>
              <w:t>6045</w:t>
            </w:r>
          </w:p>
        </w:tc>
        <w:tc>
          <w:tcPr>
            <w:tcW w:w="656" w:type="dxa"/>
            <w:vAlign w:val="center"/>
          </w:tcPr>
          <w:p w14:paraId="321C5DAD" w14:textId="77777777" w:rsidR="004A0123" w:rsidRPr="00640447" w:rsidRDefault="004A0123" w:rsidP="008A5C11">
            <w:pPr>
              <w:jc w:val="center"/>
              <w:rPr>
                <w:color w:val="000000"/>
                <w:sz w:val="20"/>
                <w:szCs w:val="20"/>
              </w:rPr>
            </w:pPr>
            <w:r w:rsidRPr="00640447">
              <w:rPr>
                <w:color w:val="000000"/>
                <w:sz w:val="20"/>
                <w:szCs w:val="20"/>
              </w:rPr>
              <w:t>0</w:t>
            </w:r>
          </w:p>
        </w:tc>
      </w:tr>
      <w:tr w:rsidR="004A0123" w:rsidRPr="00640447" w14:paraId="18CA95AD" w14:textId="77777777" w:rsidTr="008A5C11">
        <w:trPr>
          <w:trHeight w:val="510"/>
          <w:jc w:val="center"/>
        </w:trPr>
        <w:tc>
          <w:tcPr>
            <w:tcW w:w="356" w:type="dxa"/>
            <w:shd w:val="clear" w:color="auto" w:fill="auto"/>
            <w:tcMar>
              <w:left w:w="28" w:type="dxa"/>
              <w:right w:w="28" w:type="dxa"/>
            </w:tcMar>
            <w:vAlign w:val="center"/>
            <w:hideMark/>
          </w:tcPr>
          <w:p w14:paraId="612E170B" w14:textId="77777777" w:rsidR="004A0123" w:rsidRPr="00640447" w:rsidRDefault="004A0123" w:rsidP="008A5C11">
            <w:pPr>
              <w:jc w:val="center"/>
              <w:rPr>
                <w:sz w:val="20"/>
                <w:szCs w:val="20"/>
              </w:rPr>
            </w:pPr>
            <w:r w:rsidRPr="00640447">
              <w:rPr>
                <w:sz w:val="20"/>
                <w:szCs w:val="20"/>
              </w:rPr>
              <w:t>1.3.</w:t>
            </w:r>
          </w:p>
        </w:tc>
        <w:tc>
          <w:tcPr>
            <w:tcW w:w="1585" w:type="dxa"/>
            <w:shd w:val="clear" w:color="auto" w:fill="auto"/>
            <w:tcMar>
              <w:left w:w="28" w:type="dxa"/>
              <w:right w:w="28" w:type="dxa"/>
            </w:tcMar>
            <w:vAlign w:val="center"/>
            <w:hideMark/>
          </w:tcPr>
          <w:p w14:paraId="4036FCB4" w14:textId="77777777" w:rsidR="004A0123" w:rsidRPr="00640447" w:rsidRDefault="004A0123" w:rsidP="008A5C11">
            <w:pPr>
              <w:ind w:right="-52"/>
              <w:rPr>
                <w:sz w:val="20"/>
                <w:szCs w:val="20"/>
              </w:rPr>
            </w:pPr>
            <w:r w:rsidRPr="00640447">
              <w:rPr>
                <w:sz w:val="20"/>
                <w:szCs w:val="20"/>
              </w:rPr>
              <w:t>средства,</w:t>
            </w:r>
          </w:p>
          <w:p w14:paraId="18895AF6" w14:textId="77777777" w:rsidR="004A0123" w:rsidRPr="00640447" w:rsidRDefault="004A0123" w:rsidP="008A5C11">
            <w:pPr>
              <w:ind w:right="-52"/>
              <w:rPr>
                <w:sz w:val="20"/>
                <w:szCs w:val="20"/>
              </w:rPr>
            </w:pPr>
            <w:r w:rsidRPr="00640447">
              <w:rPr>
                <w:sz w:val="20"/>
                <w:szCs w:val="20"/>
              </w:rPr>
              <w:t>полученные за счет платы за подключение</w:t>
            </w:r>
          </w:p>
        </w:tc>
        <w:tc>
          <w:tcPr>
            <w:tcW w:w="1196" w:type="dxa"/>
            <w:shd w:val="clear" w:color="auto" w:fill="auto"/>
            <w:tcMar>
              <w:left w:w="28" w:type="dxa"/>
              <w:right w:w="28" w:type="dxa"/>
            </w:tcMar>
            <w:vAlign w:val="center"/>
          </w:tcPr>
          <w:p w14:paraId="6873537A" w14:textId="77777777" w:rsidR="004A0123" w:rsidRPr="00640447" w:rsidRDefault="004A0123" w:rsidP="008A5C11">
            <w:pPr>
              <w:jc w:val="center"/>
              <w:rPr>
                <w:sz w:val="20"/>
                <w:szCs w:val="20"/>
                <w:lang w:val="en-US"/>
              </w:rPr>
            </w:pPr>
            <w:r w:rsidRPr="00640447">
              <w:rPr>
                <w:sz w:val="20"/>
                <w:szCs w:val="20"/>
                <w:lang w:val="en-US"/>
              </w:rPr>
              <w:t>0</w:t>
            </w:r>
          </w:p>
        </w:tc>
        <w:tc>
          <w:tcPr>
            <w:tcW w:w="756" w:type="dxa"/>
            <w:shd w:val="clear" w:color="auto" w:fill="auto"/>
            <w:tcMar>
              <w:left w:w="28" w:type="dxa"/>
              <w:right w:w="28" w:type="dxa"/>
            </w:tcMar>
            <w:vAlign w:val="center"/>
          </w:tcPr>
          <w:p w14:paraId="2B564D6F" w14:textId="77777777" w:rsidR="004A0123" w:rsidRPr="00640447" w:rsidRDefault="004A0123" w:rsidP="008A5C11">
            <w:pPr>
              <w:jc w:val="center"/>
              <w:rPr>
                <w:sz w:val="20"/>
                <w:szCs w:val="20"/>
                <w:lang w:val="en-US"/>
              </w:rPr>
            </w:pPr>
            <w:r w:rsidRPr="00640447">
              <w:rPr>
                <w:sz w:val="20"/>
                <w:szCs w:val="20"/>
                <w:lang w:val="en-US"/>
              </w:rPr>
              <w:t>0</w:t>
            </w:r>
          </w:p>
        </w:tc>
        <w:tc>
          <w:tcPr>
            <w:tcW w:w="656" w:type="dxa"/>
            <w:shd w:val="clear" w:color="auto" w:fill="auto"/>
            <w:tcMar>
              <w:left w:w="28" w:type="dxa"/>
              <w:right w:w="28" w:type="dxa"/>
            </w:tcMar>
            <w:vAlign w:val="center"/>
          </w:tcPr>
          <w:p w14:paraId="28E55432" w14:textId="77777777" w:rsidR="004A0123" w:rsidRPr="00640447" w:rsidRDefault="004A0123" w:rsidP="008A5C11">
            <w:pPr>
              <w:jc w:val="center"/>
              <w:rPr>
                <w:bCs/>
                <w:sz w:val="20"/>
                <w:szCs w:val="20"/>
                <w:lang w:val="en-US"/>
              </w:rPr>
            </w:pPr>
            <w:r w:rsidRPr="00640447">
              <w:rPr>
                <w:bCs/>
                <w:sz w:val="20"/>
                <w:szCs w:val="20"/>
                <w:lang w:val="en-US"/>
              </w:rPr>
              <w:t>0</w:t>
            </w:r>
          </w:p>
        </w:tc>
        <w:tc>
          <w:tcPr>
            <w:tcW w:w="656" w:type="dxa"/>
            <w:shd w:val="clear" w:color="auto" w:fill="auto"/>
            <w:tcMar>
              <w:left w:w="28" w:type="dxa"/>
              <w:right w:w="28" w:type="dxa"/>
            </w:tcMar>
            <w:vAlign w:val="center"/>
          </w:tcPr>
          <w:p w14:paraId="00DBD6D6" w14:textId="77777777" w:rsidR="004A0123" w:rsidRPr="00640447" w:rsidRDefault="004A0123" w:rsidP="008A5C11">
            <w:pPr>
              <w:jc w:val="center"/>
              <w:rPr>
                <w:bCs/>
                <w:sz w:val="20"/>
                <w:szCs w:val="20"/>
                <w:lang w:val="en-US"/>
              </w:rPr>
            </w:pPr>
            <w:r w:rsidRPr="00640447">
              <w:rPr>
                <w:bCs/>
                <w:sz w:val="20"/>
                <w:szCs w:val="20"/>
                <w:lang w:val="en-US"/>
              </w:rPr>
              <w:t>0</w:t>
            </w:r>
          </w:p>
        </w:tc>
        <w:tc>
          <w:tcPr>
            <w:tcW w:w="590" w:type="dxa"/>
            <w:shd w:val="clear" w:color="auto" w:fill="auto"/>
            <w:tcMar>
              <w:left w:w="28" w:type="dxa"/>
              <w:right w:w="28" w:type="dxa"/>
            </w:tcMar>
            <w:vAlign w:val="center"/>
          </w:tcPr>
          <w:p w14:paraId="0CCD8CF6" w14:textId="77777777" w:rsidR="004A0123" w:rsidRPr="00640447" w:rsidRDefault="004A0123" w:rsidP="008A5C11">
            <w:pPr>
              <w:jc w:val="center"/>
              <w:rPr>
                <w:bCs/>
                <w:sz w:val="20"/>
                <w:szCs w:val="20"/>
                <w:lang w:val="en-US"/>
              </w:rPr>
            </w:pPr>
            <w:r w:rsidRPr="00640447">
              <w:rPr>
                <w:bCs/>
                <w:sz w:val="20"/>
                <w:szCs w:val="20"/>
                <w:lang w:val="en-US"/>
              </w:rPr>
              <w:t>0</w:t>
            </w:r>
          </w:p>
        </w:tc>
        <w:tc>
          <w:tcPr>
            <w:tcW w:w="656" w:type="dxa"/>
            <w:tcMar>
              <w:left w:w="28" w:type="dxa"/>
              <w:right w:w="28" w:type="dxa"/>
            </w:tcMar>
            <w:vAlign w:val="center"/>
          </w:tcPr>
          <w:p w14:paraId="44A57C34" w14:textId="77777777" w:rsidR="004A0123" w:rsidRPr="00640447" w:rsidRDefault="004A0123" w:rsidP="008A5C11">
            <w:pPr>
              <w:jc w:val="center"/>
              <w:rPr>
                <w:bCs/>
                <w:sz w:val="20"/>
                <w:szCs w:val="20"/>
                <w:lang w:val="en-US"/>
              </w:rPr>
            </w:pPr>
            <w:r w:rsidRPr="00640447">
              <w:rPr>
                <w:bCs/>
                <w:sz w:val="20"/>
                <w:szCs w:val="20"/>
                <w:lang w:val="en-US"/>
              </w:rPr>
              <w:t>0</w:t>
            </w:r>
          </w:p>
        </w:tc>
        <w:tc>
          <w:tcPr>
            <w:tcW w:w="656" w:type="dxa"/>
            <w:tcMar>
              <w:left w:w="28" w:type="dxa"/>
              <w:right w:w="28" w:type="dxa"/>
            </w:tcMar>
            <w:vAlign w:val="center"/>
          </w:tcPr>
          <w:p w14:paraId="1B9ABD22" w14:textId="77777777" w:rsidR="004A0123" w:rsidRPr="00640447" w:rsidRDefault="004A0123" w:rsidP="008A5C11">
            <w:pPr>
              <w:jc w:val="center"/>
              <w:rPr>
                <w:bCs/>
                <w:sz w:val="20"/>
                <w:szCs w:val="20"/>
                <w:lang w:val="en-US"/>
              </w:rPr>
            </w:pPr>
            <w:r w:rsidRPr="00640447">
              <w:rPr>
                <w:bCs/>
                <w:sz w:val="20"/>
                <w:szCs w:val="20"/>
                <w:lang w:val="en-US"/>
              </w:rPr>
              <w:t>0</w:t>
            </w:r>
          </w:p>
        </w:tc>
        <w:tc>
          <w:tcPr>
            <w:tcW w:w="656" w:type="dxa"/>
            <w:vAlign w:val="center"/>
          </w:tcPr>
          <w:p w14:paraId="1A56823E" w14:textId="77777777" w:rsidR="004A0123" w:rsidRPr="00640447" w:rsidRDefault="004A0123" w:rsidP="008A5C11">
            <w:pPr>
              <w:jc w:val="center"/>
              <w:rPr>
                <w:bCs/>
                <w:sz w:val="20"/>
                <w:szCs w:val="20"/>
                <w:lang w:val="en-US"/>
              </w:rPr>
            </w:pPr>
            <w:r w:rsidRPr="00640447">
              <w:rPr>
                <w:bCs/>
                <w:sz w:val="20"/>
                <w:szCs w:val="20"/>
                <w:lang w:val="en-US"/>
              </w:rPr>
              <w:t>0</w:t>
            </w:r>
          </w:p>
        </w:tc>
        <w:tc>
          <w:tcPr>
            <w:tcW w:w="656" w:type="dxa"/>
            <w:vAlign w:val="center"/>
          </w:tcPr>
          <w:p w14:paraId="03CF438B" w14:textId="77777777" w:rsidR="004A0123" w:rsidRPr="00640447" w:rsidRDefault="004A0123" w:rsidP="008A5C11">
            <w:pPr>
              <w:jc w:val="center"/>
              <w:rPr>
                <w:bCs/>
                <w:sz w:val="20"/>
                <w:szCs w:val="20"/>
                <w:lang w:val="en-US"/>
              </w:rPr>
            </w:pPr>
            <w:r w:rsidRPr="00640447">
              <w:rPr>
                <w:bCs/>
                <w:sz w:val="20"/>
                <w:szCs w:val="20"/>
                <w:lang w:val="en-US"/>
              </w:rPr>
              <w:t>0</w:t>
            </w:r>
          </w:p>
        </w:tc>
        <w:tc>
          <w:tcPr>
            <w:tcW w:w="656" w:type="dxa"/>
            <w:vAlign w:val="center"/>
          </w:tcPr>
          <w:p w14:paraId="415ED5C2" w14:textId="77777777" w:rsidR="004A0123" w:rsidRPr="00640447" w:rsidRDefault="004A0123" w:rsidP="008A5C11">
            <w:pPr>
              <w:jc w:val="center"/>
              <w:rPr>
                <w:bCs/>
                <w:sz w:val="20"/>
                <w:szCs w:val="20"/>
                <w:lang w:val="en-US"/>
              </w:rPr>
            </w:pPr>
            <w:r w:rsidRPr="00640447">
              <w:rPr>
                <w:bCs/>
                <w:sz w:val="20"/>
                <w:szCs w:val="20"/>
                <w:lang w:val="en-US"/>
              </w:rPr>
              <w:t>0</w:t>
            </w:r>
          </w:p>
        </w:tc>
        <w:tc>
          <w:tcPr>
            <w:tcW w:w="656" w:type="dxa"/>
            <w:vAlign w:val="center"/>
          </w:tcPr>
          <w:p w14:paraId="6E3B3809" w14:textId="77777777" w:rsidR="004A0123" w:rsidRPr="00640447" w:rsidRDefault="004A0123" w:rsidP="008A5C11">
            <w:pPr>
              <w:jc w:val="center"/>
              <w:rPr>
                <w:bCs/>
                <w:sz w:val="20"/>
                <w:szCs w:val="20"/>
                <w:lang w:val="en-US"/>
              </w:rPr>
            </w:pPr>
            <w:r w:rsidRPr="00640447">
              <w:rPr>
                <w:bCs/>
                <w:sz w:val="20"/>
                <w:szCs w:val="20"/>
                <w:lang w:val="en-US"/>
              </w:rPr>
              <w:t>0</w:t>
            </w:r>
          </w:p>
        </w:tc>
        <w:tc>
          <w:tcPr>
            <w:tcW w:w="656" w:type="dxa"/>
            <w:vAlign w:val="center"/>
          </w:tcPr>
          <w:p w14:paraId="70E192D3" w14:textId="77777777" w:rsidR="004A0123" w:rsidRPr="00640447" w:rsidRDefault="004A0123" w:rsidP="008A5C11">
            <w:pPr>
              <w:jc w:val="center"/>
              <w:rPr>
                <w:bCs/>
                <w:sz w:val="20"/>
                <w:szCs w:val="20"/>
                <w:lang w:val="en-US"/>
              </w:rPr>
            </w:pPr>
            <w:r w:rsidRPr="00640447">
              <w:rPr>
                <w:bCs/>
                <w:sz w:val="20"/>
                <w:szCs w:val="20"/>
                <w:lang w:val="en-US"/>
              </w:rPr>
              <w:t>0</w:t>
            </w:r>
          </w:p>
        </w:tc>
      </w:tr>
      <w:tr w:rsidR="004A0123" w:rsidRPr="00640447" w14:paraId="3D4410F2" w14:textId="77777777" w:rsidTr="008A5C11">
        <w:trPr>
          <w:trHeight w:val="510"/>
          <w:jc w:val="center"/>
        </w:trPr>
        <w:tc>
          <w:tcPr>
            <w:tcW w:w="356" w:type="dxa"/>
            <w:shd w:val="clear" w:color="auto" w:fill="auto"/>
            <w:tcMar>
              <w:left w:w="28" w:type="dxa"/>
              <w:right w:w="28" w:type="dxa"/>
            </w:tcMar>
            <w:vAlign w:val="center"/>
            <w:hideMark/>
          </w:tcPr>
          <w:p w14:paraId="2EDCCC6A" w14:textId="77777777" w:rsidR="004A0123" w:rsidRPr="00640447" w:rsidRDefault="004A0123" w:rsidP="008A5C11">
            <w:pPr>
              <w:jc w:val="center"/>
              <w:rPr>
                <w:sz w:val="20"/>
                <w:szCs w:val="20"/>
              </w:rPr>
            </w:pPr>
            <w:r w:rsidRPr="00640447">
              <w:rPr>
                <w:sz w:val="20"/>
                <w:szCs w:val="20"/>
              </w:rPr>
              <w:t>1.4.</w:t>
            </w:r>
          </w:p>
        </w:tc>
        <w:tc>
          <w:tcPr>
            <w:tcW w:w="1585" w:type="dxa"/>
            <w:shd w:val="clear" w:color="auto" w:fill="auto"/>
            <w:tcMar>
              <w:left w:w="28" w:type="dxa"/>
              <w:right w:w="28" w:type="dxa"/>
            </w:tcMar>
            <w:vAlign w:val="center"/>
            <w:hideMark/>
          </w:tcPr>
          <w:p w14:paraId="679ACBAF" w14:textId="77777777" w:rsidR="004A0123" w:rsidRPr="00640447" w:rsidRDefault="004A0123" w:rsidP="008A5C11">
            <w:pPr>
              <w:rPr>
                <w:sz w:val="20"/>
                <w:szCs w:val="20"/>
              </w:rPr>
            </w:pPr>
            <w:r w:rsidRPr="00640447">
              <w:rPr>
                <w:sz w:val="20"/>
                <w:szCs w:val="20"/>
              </w:rPr>
              <w:t>прочие средства, в т.ч. аренда имущества</w:t>
            </w:r>
          </w:p>
        </w:tc>
        <w:tc>
          <w:tcPr>
            <w:tcW w:w="1196" w:type="dxa"/>
            <w:shd w:val="clear" w:color="auto" w:fill="auto"/>
            <w:tcMar>
              <w:left w:w="28" w:type="dxa"/>
              <w:right w:w="28" w:type="dxa"/>
            </w:tcMar>
            <w:vAlign w:val="center"/>
          </w:tcPr>
          <w:p w14:paraId="3884D5DC" w14:textId="77777777" w:rsidR="004A0123" w:rsidRPr="00640447" w:rsidRDefault="004A0123" w:rsidP="008A5C11">
            <w:pPr>
              <w:jc w:val="center"/>
              <w:rPr>
                <w:sz w:val="20"/>
                <w:szCs w:val="20"/>
                <w:lang w:val="en-US"/>
              </w:rPr>
            </w:pPr>
            <w:r w:rsidRPr="00640447">
              <w:rPr>
                <w:sz w:val="20"/>
                <w:szCs w:val="20"/>
                <w:lang w:val="en-US"/>
              </w:rPr>
              <w:t>0</w:t>
            </w:r>
          </w:p>
        </w:tc>
        <w:tc>
          <w:tcPr>
            <w:tcW w:w="756" w:type="dxa"/>
            <w:shd w:val="clear" w:color="auto" w:fill="auto"/>
            <w:tcMar>
              <w:left w:w="28" w:type="dxa"/>
              <w:right w:w="28" w:type="dxa"/>
            </w:tcMar>
            <w:vAlign w:val="center"/>
          </w:tcPr>
          <w:p w14:paraId="5B0D383B" w14:textId="77777777" w:rsidR="004A0123" w:rsidRPr="00640447" w:rsidRDefault="004A0123" w:rsidP="008A5C11">
            <w:pPr>
              <w:jc w:val="center"/>
              <w:rPr>
                <w:sz w:val="20"/>
                <w:szCs w:val="20"/>
                <w:lang w:val="en-US"/>
              </w:rPr>
            </w:pPr>
            <w:r w:rsidRPr="00640447">
              <w:rPr>
                <w:sz w:val="20"/>
                <w:szCs w:val="20"/>
                <w:lang w:val="en-US"/>
              </w:rPr>
              <w:t>0</w:t>
            </w:r>
          </w:p>
        </w:tc>
        <w:tc>
          <w:tcPr>
            <w:tcW w:w="656" w:type="dxa"/>
            <w:shd w:val="clear" w:color="auto" w:fill="auto"/>
            <w:tcMar>
              <w:left w:w="28" w:type="dxa"/>
              <w:right w:w="28" w:type="dxa"/>
            </w:tcMar>
            <w:vAlign w:val="center"/>
          </w:tcPr>
          <w:p w14:paraId="25330B13" w14:textId="77777777" w:rsidR="004A0123" w:rsidRPr="00640447" w:rsidRDefault="004A0123" w:rsidP="008A5C11">
            <w:pPr>
              <w:jc w:val="center"/>
              <w:rPr>
                <w:bCs/>
                <w:sz w:val="20"/>
                <w:szCs w:val="20"/>
                <w:lang w:val="en-US"/>
              </w:rPr>
            </w:pPr>
            <w:r w:rsidRPr="00640447">
              <w:rPr>
                <w:bCs/>
                <w:sz w:val="20"/>
                <w:szCs w:val="20"/>
                <w:lang w:val="en-US"/>
              </w:rPr>
              <w:t>0</w:t>
            </w:r>
          </w:p>
        </w:tc>
        <w:tc>
          <w:tcPr>
            <w:tcW w:w="656" w:type="dxa"/>
            <w:shd w:val="clear" w:color="auto" w:fill="auto"/>
            <w:tcMar>
              <w:left w:w="28" w:type="dxa"/>
              <w:right w:w="28" w:type="dxa"/>
            </w:tcMar>
            <w:vAlign w:val="center"/>
          </w:tcPr>
          <w:p w14:paraId="323C9100" w14:textId="77777777" w:rsidR="004A0123" w:rsidRPr="00640447" w:rsidRDefault="004A0123" w:rsidP="008A5C11">
            <w:pPr>
              <w:jc w:val="center"/>
              <w:rPr>
                <w:bCs/>
                <w:sz w:val="20"/>
                <w:szCs w:val="20"/>
                <w:lang w:val="en-US"/>
              </w:rPr>
            </w:pPr>
            <w:r w:rsidRPr="00640447">
              <w:rPr>
                <w:bCs/>
                <w:sz w:val="20"/>
                <w:szCs w:val="20"/>
                <w:lang w:val="en-US"/>
              </w:rPr>
              <w:t>0</w:t>
            </w:r>
          </w:p>
        </w:tc>
        <w:tc>
          <w:tcPr>
            <w:tcW w:w="590" w:type="dxa"/>
            <w:shd w:val="clear" w:color="auto" w:fill="auto"/>
            <w:tcMar>
              <w:left w:w="28" w:type="dxa"/>
              <w:right w:w="28" w:type="dxa"/>
            </w:tcMar>
            <w:vAlign w:val="center"/>
          </w:tcPr>
          <w:p w14:paraId="58937036" w14:textId="77777777" w:rsidR="004A0123" w:rsidRPr="00640447" w:rsidRDefault="004A0123" w:rsidP="008A5C11">
            <w:pPr>
              <w:jc w:val="center"/>
              <w:rPr>
                <w:bCs/>
                <w:sz w:val="20"/>
                <w:szCs w:val="20"/>
                <w:lang w:val="en-US"/>
              </w:rPr>
            </w:pPr>
            <w:r w:rsidRPr="00640447">
              <w:rPr>
                <w:bCs/>
                <w:sz w:val="20"/>
                <w:szCs w:val="20"/>
                <w:lang w:val="en-US"/>
              </w:rPr>
              <w:t>0</w:t>
            </w:r>
          </w:p>
        </w:tc>
        <w:tc>
          <w:tcPr>
            <w:tcW w:w="656" w:type="dxa"/>
            <w:tcMar>
              <w:left w:w="28" w:type="dxa"/>
              <w:right w:w="28" w:type="dxa"/>
            </w:tcMar>
            <w:vAlign w:val="center"/>
          </w:tcPr>
          <w:p w14:paraId="2B449ED6" w14:textId="77777777" w:rsidR="004A0123" w:rsidRPr="00640447" w:rsidRDefault="004A0123" w:rsidP="008A5C11">
            <w:pPr>
              <w:jc w:val="center"/>
              <w:rPr>
                <w:bCs/>
                <w:sz w:val="20"/>
                <w:szCs w:val="20"/>
                <w:lang w:val="en-US"/>
              </w:rPr>
            </w:pPr>
            <w:r w:rsidRPr="00640447">
              <w:rPr>
                <w:bCs/>
                <w:sz w:val="20"/>
                <w:szCs w:val="20"/>
                <w:lang w:val="en-US"/>
              </w:rPr>
              <w:t>0</w:t>
            </w:r>
          </w:p>
        </w:tc>
        <w:tc>
          <w:tcPr>
            <w:tcW w:w="656" w:type="dxa"/>
            <w:tcMar>
              <w:left w:w="28" w:type="dxa"/>
              <w:right w:w="28" w:type="dxa"/>
            </w:tcMar>
            <w:vAlign w:val="center"/>
          </w:tcPr>
          <w:p w14:paraId="028E3BB5" w14:textId="77777777" w:rsidR="004A0123" w:rsidRPr="00640447" w:rsidRDefault="004A0123" w:rsidP="008A5C11">
            <w:pPr>
              <w:jc w:val="center"/>
              <w:rPr>
                <w:bCs/>
                <w:sz w:val="20"/>
                <w:szCs w:val="20"/>
                <w:lang w:val="en-US"/>
              </w:rPr>
            </w:pPr>
            <w:r w:rsidRPr="00640447">
              <w:rPr>
                <w:bCs/>
                <w:sz w:val="20"/>
                <w:szCs w:val="20"/>
                <w:lang w:val="en-US"/>
              </w:rPr>
              <w:t>0</w:t>
            </w:r>
          </w:p>
        </w:tc>
        <w:tc>
          <w:tcPr>
            <w:tcW w:w="656" w:type="dxa"/>
            <w:vAlign w:val="center"/>
          </w:tcPr>
          <w:p w14:paraId="25953891" w14:textId="77777777" w:rsidR="004A0123" w:rsidRPr="00640447" w:rsidRDefault="004A0123" w:rsidP="008A5C11">
            <w:pPr>
              <w:jc w:val="center"/>
              <w:rPr>
                <w:bCs/>
                <w:sz w:val="20"/>
                <w:szCs w:val="20"/>
                <w:lang w:val="en-US"/>
              </w:rPr>
            </w:pPr>
            <w:r w:rsidRPr="00640447">
              <w:rPr>
                <w:bCs/>
                <w:sz w:val="20"/>
                <w:szCs w:val="20"/>
                <w:lang w:val="en-US"/>
              </w:rPr>
              <w:t>0</w:t>
            </w:r>
          </w:p>
        </w:tc>
        <w:tc>
          <w:tcPr>
            <w:tcW w:w="656" w:type="dxa"/>
            <w:vAlign w:val="center"/>
          </w:tcPr>
          <w:p w14:paraId="68A7D3CA" w14:textId="77777777" w:rsidR="004A0123" w:rsidRPr="00640447" w:rsidRDefault="004A0123" w:rsidP="008A5C11">
            <w:pPr>
              <w:jc w:val="center"/>
              <w:rPr>
                <w:bCs/>
                <w:sz w:val="20"/>
                <w:szCs w:val="20"/>
                <w:lang w:val="en-US"/>
              </w:rPr>
            </w:pPr>
            <w:r w:rsidRPr="00640447">
              <w:rPr>
                <w:bCs/>
                <w:sz w:val="20"/>
                <w:szCs w:val="20"/>
                <w:lang w:val="en-US"/>
              </w:rPr>
              <w:t>0</w:t>
            </w:r>
          </w:p>
        </w:tc>
        <w:tc>
          <w:tcPr>
            <w:tcW w:w="656" w:type="dxa"/>
            <w:vAlign w:val="center"/>
          </w:tcPr>
          <w:p w14:paraId="0974D74F" w14:textId="77777777" w:rsidR="004A0123" w:rsidRPr="00640447" w:rsidRDefault="004A0123" w:rsidP="008A5C11">
            <w:pPr>
              <w:jc w:val="center"/>
              <w:rPr>
                <w:bCs/>
                <w:sz w:val="20"/>
                <w:szCs w:val="20"/>
                <w:lang w:val="en-US"/>
              </w:rPr>
            </w:pPr>
            <w:r w:rsidRPr="00640447">
              <w:rPr>
                <w:bCs/>
                <w:sz w:val="20"/>
                <w:szCs w:val="20"/>
                <w:lang w:val="en-US"/>
              </w:rPr>
              <w:t>0</w:t>
            </w:r>
          </w:p>
        </w:tc>
        <w:tc>
          <w:tcPr>
            <w:tcW w:w="656" w:type="dxa"/>
            <w:vAlign w:val="center"/>
          </w:tcPr>
          <w:p w14:paraId="6274ACE4" w14:textId="77777777" w:rsidR="004A0123" w:rsidRPr="00640447" w:rsidRDefault="004A0123" w:rsidP="008A5C11">
            <w:pPr>
              <w:jc w:val="center"/>
              <w:rPr>
                <w:bCs/>
                <w:sz w:val="20"/>
                <w:szCs w:val="20"/>
                <w:lang w:val="en-US"/>
              </w:rPr>
            </w:pPr>
            <w:r w:rsidRPr="00640447">
              <w:rPr>
                <w:bCs/>
                <w:sz w:val="20"/>
                <w:szCs w:val="20"/>
                <w:lang w:val="en-US"/>
              </w:rPr>
              <w:t>0</w:t>
            </w:r>
          </w:p>
        </w:tc>
        <w:tc>
          <w:tcPr>
            <w:tcW w:w="656" w:type="dxa"/>
            <w:vAlign w:val="center"/>
          </w:tcPr>
          <w:p w14:paraId="311993B3" w14:textId="77777777" w:rsidR="004A0123" w:rsidRPr="00640447" w:rsidRDefault="004A0123" w:rsidP="008A5C11">
            <w:pPr>
              <w:jc w:val="center"/>
              <w:rPr>
                <w:bCs/>
                <w:sz w:val="20"/>
                <w:szCs w:val="20"/>
                <w:lang w:val="en-US"/>
              </w:rPr>
            </w:pPr>
            <w:r w:rsidRPr="00640447">
              <w:rPr>
                <w:bCs/>
                <w:sz w:val="20"/>
                <w:szCs w:val="20"/>
                <w:lang w:val="en-US"/>
              </w:rPr>
              <w:t>0</w:t>
            </w:r>
          </w:p>
        </w:tc>
      </w:tr>
      <w:tr w:rsidR="004A0123" w:rsidRPr="00640447" w14:paraId="305486B6" w14:textId="77777777" w:rsidTr="008A5C11">
        <w:trPr>
          <w:trHeight w:val="255"/>
          <w:jc w:val="center"/>
        </w:trPr>
        <w:tc>
          <w:tcPr>
            <w:tcW w:w="356" w:type="dxa"/>
            <w:shd w:val="clear" w:color="auto" w:fill="auto"/>
            <w:tcMar>
              <w:left w:w="28" w:type="dxa"/>
              <w:right w:w="28" w:type="dxa"/>
            </w:tcMar>
            <w:vAlign w:val="center"/>
            <w:hideMark/>
          </w:tcPr>
          <w:p w14:paraId="774AE25C" w14:textId="77777777" w:rsidR="004A0123" w:rsidRPr="00640447" w:rsidRDefault="004A0123" w:rsidP="008A5C11">
            <w:pPr>
              <w:jc w:val="center"/>
              <w:rPr>
                <w:bCs/>
                <w:sz w:val="20"/>
                <w:szCs w:val="20"/>
              </w:rPr>
            </w:pPr>
            <w:r w:rsidRPr="00640447">
              <w:rPr>
                <w:bCs/>
                <w:sz w:val="20"/>
                <w:szCs w:val="20"/>
              </w:rPr>
              <w:t>2.</w:t>
            </w:r>
          </w:p>
        </w:tc>
        <w:tc>
          <w:tcPr>
            <w:tcW w:w="1585" w:type="dxa"/>
            <w:shd w:val="clear" w:color="auto" w:fill="auto"/>
            <w:tcMar>
              <w:left w:w="28" w:type="dxa"/>
              <w:right w:w="28" w:type="dxa"/>
            </w:tcMar>
            <w:vAlign w:val="center"/>
            <w:hideMark/>
          </w:tcPr>
          <w:p w14:paraId="0EDAEA72" w14:textId="77777777" w:rsidR="004A0123" w:rsidRPr="00640447" w:rsidRDefault="004A0123" w:rsidP="008A5C11">
            <w:pPr>
              <w:rPr>
                <w:bCs/>
                <w:sz w:val="20"/>
                <w:szCs w:val="20"/>
              </w:rPr>
            </w:pPr>
            <w:r w:rsidRPr="00640447">
              <w:rPr>
                <w:bCs/>
                <w:sz w:val="20"/>
                <w:szCs w:val="20"/>
              </w:rPr>
              <w:t>Привлеченные средства</w:t>
            </w:r>
          </w:p>
        </w:tc>
        <w:tc>
          <w:tcPr>
            <w:tcW w:w="1196" w:type="dxa"/>
            <w:shd w:val="clear" w:color="auto" w:fill="auto"/>
            <w:tcMar>
              <w:left w:w="28" w:type="dxa"/>
              <w:right w:w="28" w:type="dxa"/>
            </w:tcMar>
            <w:vAlign w:val="center"/>
          </w:tcPr>
          <w:p w14:paraId="7F60D72D" w14:textId="77777777" w:rsidR="004A0123" w:rsidRPr="00640447" w:rsidRDefault="004A0123" w:rsidP="008A5C11">
            <w:pPr>
              <w:jc w:val="center"/>
              <w:rPr>
                <w:sz w:val="20"/>
                <w:szCs w:val="20"/>
                <w:lang w:val="en-US"/>
              </w:rPr>
            </w:pPr>
            <w:r w:rsidRPr="00640447">
              <w:rPr>
                <w:sz w:val="20"/>
                <w:szCs w:val="20"/>
                <w:lang w:val="en-US"/>
              </w:rPr>
              <w:t>0</w:t>
            </w:r>
          </w:p>
        </w:tc>
        <w:tc>
          <w:tcPr>
            <w:tcW w:w="756" w:type="dxa"/>
            <w:shd w:val="clear" w:color="auto" w:fill="auto"/>
            <w:tcMar>
              <w:left w:w="28" w:type="dxa"/>
              <w:right w:w="28" w:type="dxa"/>
            </w:tcMar>
            <w:vAlign w:val="center"/>
          </w:tcPr>
          <w:p w14:paraId="412BC94A" w14:textId="77777777" w:rsidR="004A0123" w:rsidRPr="00640447" w:rsidRDefault="004A0123" w:rsidP="008A5C11">
            <w:pPr>
              <w:jc w:val="center"/>
              <w:rPr>
                <w:sz w:val="20"/>
                <w:szCs w:val="20"/>
                <w:lang w:val="en-US"/>
              </w:rPr>
            </w:pPr>
            <w:r w:rsidRPr="00640447">
              <w:rPr>
                <w:sz w:val="20"/>
                <w:szCs w:val="20"/>
                <w:lang w:val="en-US"/>
              </w:rPr>
              <w:t>0</w:t>
            </w:r>
          </w:p>
        </w:tc>
        <w:tc>
          <w:tcPr>
            <w:tcW w:w="656" w:type="dxa"/>
            <w:shd w:val="clear" w:color="auto" w:fill="auto"/>
            <w:tcMar>
              <w:left w:w="28" w:type="dxa"/>
              <w:right w:w="28" w:type="dxa"/>
            </w:tcMar>
            <w:vAlign w:val="center"/>
          </w:tcPr>
          <w:p w14:paraId="47D6041C" w14:textId="77777777" w:rsidR="004A0123" w:rsidRPr="00640447" w:rsidRDefault="004A0123" w:rsidP="008A5C11">
            <w:pPr>
              <w:jc w:val="center"/>
              <w:rPr>
                <w:bCs/>
                <w:sz w:val="20"/>
                <w:szCs w:val="20"/>
                <w:lang w:val="en-US"/>
              </w:rPr>
            </w:pPr>
            <w:r w:rsidRPr="00640447">
              <w:rPr>
                <w:bCs/>
                <w:sz w:val="20"/>
                <w:szCs w:val="20"/>
                <w:lang w:val="en-US"/>
              </w:rPr>
              <w:t>0</w:t>
            </w:r>
          </w:p>
        </w:tc>
        <w:tc>
          <w:tcPr>
            <w:tcW w:w="656" w:type="dxa"/>
            <w:shd w:val="clear" w:color="auto" w:fill="auto"/>
            <w:tcMar>
              <w:left w:w="28" w:type="dxa"/>
              <w:right w:w="28" w:type="dxa"/>
            </w:tcMar>
            <w:vAlign w:val="center"/>
          </w:tcPr>
          <w:p w14:paraId="7868730C" w14:textId="77777777" w:rsidR="004A0123" w:rsidRPr="00640447" w:rsidRDefault="004A0123" w:rsidP="008A5C11">
            <w:pPr>
              <w:jc w:val="center"/>
              <w:rPr>
                <w:bCs/>
                <w:sz w:val="20"/>
                <w:szCs w:val="20"/>
                <w:lang w:val="en-US"/>
              </w:rPr>
            </w:pPr>
            <w:r w:rsidRPr="00640447">
              <w:rPr>
                <w:bCs/>
                <w:sz w:val="20"/>
                <w:szCs w:val="20"/>
                <w:lang w:val="en-US"/>
              </w:rPr>
              <w:t>0</w:t>
            </w:r>
          </w:p>
        </w:tc>
        <w:tc>
          <w:tcPr>
            <w:tcW w:w="590" w:type="dxa"/>
            <w:shd w:val="clear" w:color="auto" w:fill="auto"/>
            <w:tcMar>
              <w:left w:w="28" w:type="dxa"/>
              <w:right w:w="28" w:type="dxa"/>
            </w:tcMar>
            <w:vAlign w:val="center"/>
          </w:tcPr>
          <w:p w14:paraId="5A127B22" w14:textId="77777777" w:rsidR="004A0123" w:rsidRPr="00640447" w:rsidRDefault="004A0123" w:rsidP="008A5C11">
            <w:pPr>
              <w:jc w:val="center"/>
              <w:rPr>
                <w:bCs/>
                <w:sz w:val="20"/>
                <w:szCs w:val="20"/>
                <w:lang w:val="en-US"/>
              </w:rPr>
            </w:pPr>
            <w:r w:rsidRPr="00640447">
              <w:rPr>
                <w:bCs/>
                <w:sz w:val="20"/>
                <w:szCs w:val="20"/>
                <w:lang w:val="en-US"/>
              </w:rPr>
              <w:t>0</w:t>
            </w:r>
          </w:p>
        </w:tc>
        <w:tc>
          <w:tcPr>
            <w:tcW w:w="656" w:type="dxa"/>
            <w:tcMar>
              <w:left w:w="28" w:type="dxa"/>
              <w:right w:w="28" w:type="dxa"/>
            </w:tcMar>
            <w:vAlign w:val="center"/>
          </w:tcPr>
          <w:p w14:paraId="120AB739" w14:textId="77777777" w:rsidR="004A0123" w:rsidRPr="00640447" w:rsidRDefault="004A0123" w:rsidP="008A5C11">
            <w:pPr>
              <w:jc w:val="center"/>
              <w:rPr>
                <w:bCs/>
                <w:sz w:val="20"/>
                <w:szCs w:val="20"/>
                <w:lang w:val="en-US"/>
              </w:rPr>
            </w:pPr>
            <w:r w:rsidRPr="00640447">
              <w:rPr>
                <w:bCs/>
                <w:sz w:val="20"/>
                <w:szCs w:val="20"/>
                <w:lang w:val="en-US"/>
              </w:rPr>
              <w:t>0</w:t>
            </w:r>
          </w:p>
        </w:tc>
        <w:tc>
          <w:tcPr>
            <w:tcW w:w="656" w:type="dxa"/>
            <w:tcMar>
              <w:left w:w="28" w:type="dxa"/>
              <w:right w:w="28" w:type="dxa"/>
            </w:tcMar>
            <w:vAlign w:val="center"/>
          </w:tcPr>
          <w:p w14:paraId="4023C073" w14:textId="77777777" w:rsidR="004A0123" w:rsidRPr="00640447" w:rsidRDefault="004A0123" w:rsidP="008A5C11">
            <w:pPr>
              <w:jc w:val="center"/>
              <w:rPr>
                <w:bCs/>
                <w:sz w:val="20"/>
                <w:szCs w:val="20"/>
                <w:lang w:val="en-US"/>
              </w:rPr>
            </w:pPr>
            <w:r w:rsidRPr="00640447">
              <w:rPr>
                <w:bCs/>
                <w:sz w:val="20"/>
                <w:szCs w:val="20"/>
                <w:lang w:val="en-US"/>
              </w:rPr>
              <w:t>0</w:t>
            </w:r>
          </w:p>
        </w:tc>
        <w:tc>
          <w:tcPr>
            <w:tcW w:w="656" w:type="dxa"/>
            <w:vAlign w:val="center"/>
          </w:tcPr>
          <w:p w14:paraId="369AE534" w14:textId="77777777" w:rsidR="004A0123" w:rsidRPr="00640447" w:rsidRDefault="004A0123" w:rsidP="008A5C11">
            <w:pPr>
              <w:jc w:val="center"/>
              <w:rPr>
                <w:bCs/>
                <w:sz w:val="20"/>
                <w:szCs w:val="20"/>
                <w:lang w:val="en-US"/>
              </w:rPr>
            </w:pPr>
            <w:r w:rsidRPr="00640447">
              <w:rPr>
                <w:bCs/>
                <w:sz w:val="20"/>
                <w:szCs w:val="20"/>
                <w:lang w:val="en-US"/>
              </w:rPr>
              <w:t>0</w:t>
            </w:r>
          </w:p>
        </w:tc>
        <w:tc>
          <w:tcPr>
            <w:tcW w:w="656" w:type="dxa"/>
            <w:vAlign w:val="center"/>
          </w:tcPr>
          <w:p w14:paraId="6F57C52B" w14:textId="77777777" w:rsidR="004A0123" w:rsidRPr="00640447" w:rsidRDefault="004A0123" w:rsidP="008A5C11">
            <w:pPr>
              <w:jc w:val="center"/>
              <w:rPr>
                <w:bCs/>
                <w:sz w:val="20"/>
                <w:szCs w:val="20"/>
                <w:lang w:val="en-US"/>
              </w:rPr>
            </w:pPr>
            <w:r w:rsidRPr="00640447">
              <w:rPr>
                <w:bCs/>
                <w:sz w:val="20"/>
                <w:szCs w:val="20"/>
                <w:lang w:val="en-US"/>
              </w:rPr>
              <w:t>0</w:t>
            </w:r>
          </w:p>
        </w:tc>
        <w:tc>
          <w:tcPr>
            <w:tcW w:w="656" w:type="dxa"/>
            <w:vAlign w:val="center"/>
          </w:tcPr>
          <w:p w14:paraId="1533F530" w14:textId="77777777" w:rsidR="004A0123" w:rsidRPr="00640447" w:rsidRDefault="004A0123" w:rsidP="008A5C11">
            <w:pPr>
              <w:jc w:val="center"/>
              <w:rPr>
                <w:bCs/>
                <w:sz w:val="20"/>
                <w:szCs w:val="20"/>
                <w:lang w:val="en-US"/>
              </w:rPr>
            </w:pPr>
            <w:r w:rsidRPr="00640447">
              <w:rPr>
                <w:bCs/>
                <w:sz w:val="20"/>
                <w:szCs w:val="20"/>
                <w:lang w:val="en-US"/>
              </w:rPr>
              <w:t>0</w:t>
            </w:r>
          </w:p>
        </w:tc>
        <w:tc>
          <w:tcPr>
            <w:tcW w:w="656" w:type="dxa"/>
            <w:vAlign w:val="center"/>
          </w:tcPr>
          <w:p w14:paraId="055201F1" w14:textId="77777777" w:rsidR="004A0123" w:rsidRPr="00640447" w:rsidRDefault="004A0123" w:rsidP="008A5C11">
            <w:pPr>
              <w:jc w:val="center"/>
              <w:rPr>
                <w:bCs/>
                <w:sz w:val="20"/>
                <w:szCs w:val="20"/>
                <w:lang w:val="en-US"/>
              </w:rPr>
            </w:pPr>
            <w:r w:rsidRPr="00640447">
              <w:rPr>
                <w:bCs/>
                <w:sz w:val="20"/>
                <w:szCs w:val="20"/>
                <w:lang w:val="en-US"/>
              </w:rPr>
              <w:t>0</w:t>
            </w:r>
          </w:p>
        </w:tc>
        <w:tc>
          <w:tcPr>
            <w:tcW w:w="656" w:type="dxa"/>
            <w:vAlign w:val="center"/>
          </w:tcPr>
          <w:p w14:paraId="36212350" w14:textId="77777777" w:rsidR="004A0123" w:rsidRPr="00640447" w:rsidRDefault="004A0123" w:rsidP="008A5C11">
            <w:pPr>
              <w:jc w:val="center"/>
              <w:rPr>
                <w:bCs/>
                <w:sz w:val="20"/>
                <w:szCs w:val="20"/>
                <w:lang w:val="en-US"/>
              </w:rPr>
            </w:pPr>
            <w:r w:rsidRPr="00640447">
              <w:rPr>
                <w:bCs/>
                <w:sz w:val="20"/>
                <w:szCs w:val="20"/>
                <w:lang w:val="en-US"/>
              </w:rPr>
              <w:t>0</w:t>
            </w:r>
          </w:p>
        </w:tc>
      </w:tr>
      <w:tr w:rsidR="004A0123" w:rsidRPr="00640447" w14:paraId="18A5A271" w14:textId="77777777" w:rsidTr="008A5C11">
        <w:trPr>
          <w:trHeight w:val="255"/>
          <w:jc w:val="center"/>
        </w:trPr>
        <w:tc>
          <w:tcPr>
            <w:tcW w:w="356" w:type="dxa"/>
            <w:shd w:val="clear" w:color="auto" w:fill="auto"/>
            <w:tcMar>
              <w:left w:w="28" w:type="dxa"/>
              <w:right w:w="28" w:type="dxa"/>
            </w:tcMar>
            <w:vAlign w:val="center"/>
            <w:hideMark/>
          </w:tcPr>
          <w:p w14:paraId="35C0B502" w14:textId="77777777" w:rsidR="004A0123" w:rsidRPr="00640447" w:rsidRDefault="004A0123" w:rsidP="008A5C11">
            <w:pPr>
              <w:jc w:val="center"/>
              <w:rPr>
                <w:sz w:val="20"/>
                <w:szCs w:val="20"/>
              </w:rPr>
            </w:pPr>
            <w:r w:rsidRPr="00640447">
              <w:rPr>
                <w:sz w:val="20"/>
                <w:szCs w:val="20"/>
              </w:rPr>
              <w:t>2.1.</w:t>
            </w:r>
          </w:p>
        </w:tc>
        <w:tc>
          <w:tcPr>
            <w:tcW w:w="1585" w:type="dxa"/>
            <w:shd w:val="clear" w:color="auto" w:fill="auto"/>
            <w:tcMar>
              <w:left w:w="28" w:type="dxa"/>
              <w:right w:w="28" w:type="dxa"/>
            </w:tcMar>
            <w:vAlign w:val="center"/>
            <w:hideMark/>
          </w:tcPr>
          <w:p w14:paraId="3CECCCBE" w14:textId="77777777" w:rsidR="004A0123" w:rsidRPr="00640447" w:rsidRDefault="004A0123" w:rsidP="008A5C11">
            <w:pPr>
              <w:rPr>
                <w:sz w:val="20"/>
                <w:szCs w:val="20"/>
              </w:rPr>
            </w:pPr>
            <w:r w:rsidRPr="00640447">
              <w:rPr>
                <w:sz w:val="20"/>
                <w:szCs w:val="20"/>
              </w:rPr>
              <w:t>кредиты</w:t>
            </w:r>
          </w:p>
        </w:tc>
        <w:tc>
          <w:tcPr>
            <w:tcW w:w="1196" w:type="dxa"/>
            <w:shd w:val="clear" w:color="auto" w:fill="auto"/>
            <w:tcMar>
              <w:left w:w="28" w:type="dxa"/>
              <w:right w:w="28" w:type="dxa"/>
            </w:tcMar>
            <w:vAlign w:val="center"/>
          </w:tcPr>
          <w:p w14:paraId="637765A5" w14:textId="77777777" w:rsidR="004A0123" w:rsidRPr="00640447" w:rsidRDefault="004A0123" w:rsidP="008A5C11">
            <w:pPr>
              <w:jc w:val="center"/>
              <w:rPr>
                <w:sz w:val="20"/>
                <w:szCs w:val="20"/>
                <w:lang w:val="en-US"/>
              </w:rPr>
            </w:pPr>
            <w:r w:rsidRPr="00640447">
              <w:rPr>
                <w:sz w:val="20"/>
                <w:szCs w:val="20"/>
                <w:lang w:val="en-US"/>
              </w:rPr>
              <w:t>0</w:t>
            </w:r>
          </w:p>
        </w:tc>
        <w:tc>
          <w:tcPr>
            <w:tcW w:w="756" w:type="dxa"/>
            <w:shd w:val="clear" w:color="auto" w:fill="auto"/>
            <w:tcMar>
              <w:left w:w="28" w:type="dxa"/>
              <w:right w:w="28" w:type="dxa"/>
            </w:tcMar>
            <w:vAlign w:val="center"/>
          </w:tcPr>
          <w:p w14:paraId="768355DC" w14:textId="77777777" w:rsidR="004A0123" w:rsidRPr="00640447" w:rsidRDefault="004A0123" w:rsidP="008A5C11">
            <w:pPr>
              <w:jc w:val="center"/>
              <w:rPr>
                <w:sz w:val="20"/>
                <w:szCs w:val="20"/>
                <w:lang w:val="en-US"/>
              </w:rPr>
            </w:pPr>
            <w:r w:rsidRPr="00640447">
              <w:rPr>
                <w:sz w:val="20"/>
                <w:szCs w:val="20"/>
                <w:lang w:val="en-US"/>
              </w:rPr>
              <w:t>0</w:t>
            </w:r>
          </w:p>
        </w:tc>
        <w:tc>
          <w:tcPr>
            <w:tcW w:w="656" w:type="dxa"/>
            <w:shd w:val="clear" w:color="auto" w:fill="auto"/>
            <w:tcMar>
              <w:left w:w="28" w:type="dxa"/>
              <w:right w:w="28" w:type="dxa"/>
            </w:tcMar>
            <w:vAlign w:val="center"/>
          </w:tcPr>
          <w:p w14:paraId="2781E0D8" w14:textId="77777777" w:rsidR="004A0123" w:rsidRPr="00640447" w:rsidRDefault="004A0123" w:rsidP="008A5C11">
            <w:pPr>
              <w:jc w:val="center"/>
              <w:rPr>
                <w:bCs/>
                <w:sz w:val="20"/>
                <w:szCs w:val="20"/>
                <w:lang w:val="en-US"/>
              </w:rPr>
            </w:pPr>
            <w:r w:rsidRPr="00640447">
              <w:rPr>
                <w:bCs/>
                <w:sz w:val="20"/>
                <w:szCs w:val="20"/>
                <w:lang w:val="en-US"/>
              </w:rPr>
              <w:t>0</w:t>
            </w:r>
          </w:p>
        </w:tc>
        <w:tc>
          <w:tcPr>
            <w:tcW w:w="656" w:type="dxa"/>
            <w:shd w:val="clear" w:color="auto" w:fill="auto"/>
            <w:tcMar>
              <w:left w:w="28" w:type="dxa"/>
              <w:right w:w="28" w:type="dxa"/>
            </w:tcMar>
            <w:vAlign w:val="center"/>
          </w:tcPr>
          <w:p w14:paraId="3C9B8520" w14:textId="77777777" w:rsidR="004A0123" w:rsidRPr="00640447" w:rsidRDefault="004A0123" w:rsidP="008A5C11">
            <w:pPr>
              <w:jc w:val="center"/>
              <w:rPr>
                <w:bCs/>
                <w:sz w:val="20"/>
                <w:szCs w:val="20"/>
                <w:lang w:val="en-US"/>
              </w:rPr>
            </w:pPr>
            <w:r w:rsidRPr="00640447">
              <w:rPr>
                <w:bCs/>
                <w:sz w:val="20"/>
                <w:szCs w:val="20"/>
                <w:lang w:val="en-US"/>
              </w:rPr>
              <w:t>0</w:t>
            </w:r>
          </w:p>
        </w:tc>
        <w:tc>
          <w:tcPr>
            <w:tcW w:w="590" w:type="dxa"/>
            <w:shd w:val="clear" w:color="auto" w:fill="auto"/>
            <w:tcMar>
              <w:left w:w="28" w:type="dxa"/>
              <w:right w:w="28" w:type="dxa"/>
            </w:tcMar>
            <w:vAlign w:val="center"/>
          </w:tcPr>
          <w:p w14:paraId="354F017B" w14:textId="77777777" w:rsidR="004A0123" w:rsidRPr="00640447" w:rsidRDefault="004A0123" w:rsidP="008A5C11">
            <w:pPr>
              <w:jc w:val="center"/>
              <w:rPr>
                <w:bCs/>
                <w:sz w:val="20"/>
                <w:szCs w:val="20"/>
                <w:lang w:val="en-US"/>
              </w:rPr>
            </w:pPr>
            <w:r w:rsidRPr="00640447">
              <w:rPr>
                <w:bCs/>
                <w:sz w:val="20"/>
                <w:szCs w:val="20"/>
                <w:lang w:val="en-US"/>
              </w:rPr>
              <w:t>0</w:t>
            </w:r>
          </w:p>
        </w:tc>
        <w:tc>
          <w:tcPr>
            <w:tcW w:w="656" w:type="dxa"/>
            <w:tcMar>
              <w:left w:w="28" w:type="dxa"/>
              <w:right w:w="28" w:type="dxa"/>
            </w:tcMar>
            <w:vAlign w:val="center"/>
          </w:tcPr>
          <w:p w14:paraId="32F891E4" w14:textId="77777777" w:rsidR="004A0123" w:rsidRPr="00640447" w:rsidRDefault="004A0123" w:rsidP="008A5C11">
            <w:pPr>
              <w:jc w:val="center"/>
              <w:rPr>
                <w:bCs/>
                <w:sz w:val="20"/>
                <w:szCs w:val="20"/>
                <w:lang w:val="en-US"/>
              </w:rPr>
            </w:pPr>
            <w:r w:rsidRPr="00640447">
              <w:rPr>
                <w:bCs/>
                <w:sz w:val="20"/>
                <w:szCs w:val="20"/>
                <w:lang w:val="en-US"/>
              </w:rPr>
              <w:t>0</w:t>
            </w:r>
          </w:p>
        </w:tc>
        <w:tc>
          <w:tcPr>
            <w:tcW w:w="656" w:type="dxa"/>
            <w:tcMar>
              <w:left w:w="28" w:type="dxa"/>
              <w:right w:w="28" w:type="dxa"/>
            </w:tcMar>
            <w:vAlign w:val="center"/>
          </w:tcPr>
          <w:p w14:paraId="0501B93D" w14:textId="77777777" w:rsidR="004A0123" w:rsidRPr="00640447" w:rsidRDefault="004A0123" w:rsidP="008A5C11">
            <w:pPr>
              <w:jc w:val="center"/>
              <w:rPr>
                <w:bCs/>
                <w:sz w:val="20"/>
                <w:szCs w:val="20"/>
                <w:lang w:val="en-US"/>
              </w:rPr>
            </w:pPr>
            <w:r w:rsidRPr="00640447">
              <w:rPr>
                <w:bCs/>
                <w:sz w:val="20"/>
                <w:szCs w:val="20"/>
                <w:lang w:val="en-US"/>
              </w:rPr>
              <w:t>0</w:t>
            </w:r>
          </w:p>
        </w:tc>
        <w:tc>
          <w:tcPr>
            <w:tcW w:w="656" w:type="dxa"/>
            <w:vAlign w:val="center"/>
          </w:tcPr>
          <w:p w14:paraId="2E2C11BC" w14:textId="77777777" w:rsidR="004A0123" w:rsidRPr="00640447" w:rsidRDefault="004A0123" w:rsidP="008A5C11">
            <w:pPr>
              <w:jc w:val="center"/>
              <w:rPr>
                <w:bCs/>
                <w:sz w:val="20"/>
                <w:szCs w:val="20"/>
                <w:lang w:val="en-US"/>
              </w:rPr>
            </w:pPr>
            <w:r w:rsidRPr="00640447">
              <w:rPr>
                <w:bCs/>
                <w:sz w:val="20"/>
                <w:szCs w:val="20"/>
                <w:lang w:val="en-US"/>
              </w:rPr>
              <w:t>0</w:t>
            </w:r>
          </w:p>
        </w:tc>
        <w:tc>
          <w:tcPr>
            <w:tcW w:w="656" w:type="dxa"/>
            <w:vAlign w:val="center"/>
          </w:tcPr>
          <w:p w14:paraId="6BB11217" w14:textId="77777777" w:rsidR="004A0123" w:rsidRPr="00640447" w:rsidRDefault="004A0123" w:rsidP="008A5C11">
            <w:pPr>
              <w:jc w:val="center"/>
              <w:rPr>
                <w:bCs/>
                <w:sz w:val="20"/>
                <w:szCs w:val="20"/>
                <w:lang w:val="en-US"/>
              </w:rPr>
            </w:pPr>
            <w:r w:rsidRPr="00640447">
              <w:rPr>
                <w:bCs/>
                <w:sz w:val="20"/>
                <w:szCs w:val="20"/>
                <w:lang w:val="en-US"/>
              </w:rPr>
              <w:t>0</w:t>
            </w:r>
          </w:p>
        </w:tc>
        <w:tc>
          <w:tcPr>
            <w:tcW w:w="656" w:type="dxa"/>
            <w:vAlign w:val="center"/>
          </w:tcPr>
          <w:p w14:paraId="030FF06C" w14:textId="77777777" w:rsidR="004A0123" w:rsidRPr="00640447" w:rsidRDefault="004A0123" w:rsidP="008A5C11">
            <w:pPr>
              <w:jc w:val="center"/>
              <w:rPr>
                <w:bCs/>
                <w:sz w:val="20"/>
                <w:szCs w:val="20"/>
                <w:lang w:val="en-US"/>
              </w:rPr>
            </w:pPr>
            <w:r w:rsidRPr="00640447">
              <w:rPr>
                <w:bCs/>
                <w:sz w:val="20"/>
                <w:szCs w:val="20"/>
                <w:lang w:val="en-US"/>
              </w:rPr>
              <w:t>0</w:t>
            </w:r>
          </w:p>
        </w:tc>
        <w:tc>
          <w:tcPr>
            <w:tcW w:w="656" w:type="dxa"/>
            <w:vAlign w:val="center"/>
          </w:tcPr>
          <w:p w14:paraId="158720A6" w14:textId="77777777" w:rsidR="004A0123" w:rsidRPr="00640447" w:rsidRDefault="004A0123" w:rsidP="008A5C11">
            <w:pPr>
              <w:jc w:val="center"/>
              <w:rPr>
                <w:bCs/>
                <w:sz w:val="20"/>
                <w:szCs w:val="20"/>
                <w:lang w:val="en-US"/>
              </w:rPr>
            </w:pPr>
            <w:r w:rsidRPr="00640447">
              <w:rPr>
                <w:bCs/>
                <w:sz w:val="20"/>
                <w:szCs w:val="20"/>
                <w:lang w:val="en-US"/>
              </w:rPr>
              <w:t>0</w:t>
            </w:r>
          </w:p>
        </w:tc>
        <w:tc>
          <w:tcPr>
            <w:tcW w:w="656" w:type="dxa"/>
            <w:vAlign w:val="center"/>
          </w:tcPr>
          <w:p w14:paraId="7BFC49BC" w14:textId="77777777" w:rsidR="004A0123" w:rsidRPr="00640447" w:rsidRDefault="004A0123" w:rsidP="008A5C11">
            <w:pPr>
              <w:jc w:val="center"/>
              <w:rPr>
                <w:bCs/>
                <w:sz w:val="20"/>
                <w:szCs w:val="20"/>
                <w:lang w:val="en-US"/>
              </w:rPr>
            </w:pPr>
            <w:r w:rsidRPr="00640447">
              <w:rPr>
                <w:bCs/>
                <w:sz w:val="20"/>
                <w:szCs w:val="20"/>
                <w:lang w:val="en-US"/>
              </w:rPr>
              <w:t>0</w:t>
            </w:r>
          </w:p>
        </w:tc>
      </w:tr>
      <w:tr w:rsidR="004A0123" w:rsidRPr="00640447" w14:paraId="60F6FD5E" w14:textId="77777777" w:rsidTr="008A5C11">
        <w:trPr>
          <w:trHeight w:val="255"/>
          <w:jc w:val="center"/>
        </w:trPr>
        <w:tc>
          <w:tcPr>
            <w:tcW w:w="356" w:type="dxa"/>
            <w:shd w:val="clear" w:color="auto" w:fill="auto"/>
            <w:tcMar>
              <w:left w:w="28" w:type="dxa"/>
              <w:right w:w="28" w:type="dxa"/>
            </w:tcMar>
            <w:vAlign w:val="center"/>
            <w:hideMark/>
          </w:tcPr>
          <w:p w14:paraId="25558751" w14:textId="77777777" w:rsidR="004A0123" w:rsidRPr="00640447" w:rsidRDefault="004A0123" w:rsidP="008A5C11">
            <w:pPr>
              <w:jc w:val="center"/>
              <w:rPr>
                <w:sz w:val="20"/>
                <w:szCs w:val="20"/>
              </w:rPr>
            </w:pPr>
            <w:r w:rsidRPr="00640447">
              <w:rPr>
                <w:sz w:val="20"/>
                <w:szCs w:val="20"/>
              </w:rPr>
              <w:t>2.2.</w:t>
            </w:r>
          </w:p>
        </w:tc>
        <w:tc>
          <w:tcPr>
            <w:tcW w:w="1585" w:type="dxa"/>
            <w:shd w:val="clear" w:color="auto" w:fill="auto"/>
            <w:tcMar>
              <w:left w:w="28" w:type="dxa"/>
              <w:right w:w="28" w:type="dxa"/>
            </w:tcMar>
            <w:vAlign w:val="center"/>
            <w:hideMark/>
          </w:tcPr>
          <w:p w14:paraId="5D350617" w14:textId="77777777" w:rsidR="004A0123" w:rsidRPr="00640447" w:rsidRDefault="004A0123" w:rsidP="008A5C11">
            <w:pPr>
              <w:rPr>
                <w:sz w:val="20"/>
                <w:szCs w:val="20"/>
              </w:rPr>
            </w:pPr>
            <w:r w:rsidRPr="00640447">
              <w:rPr>
                <w:sz w:val="20"/>
                <w:szCs w:val="20"/>
              </w:rPr>
              <w:t>займы организаций</w:t>
            </w:r>
          </w:p>
        </w:tc>
        <w:tc>
          <w:tcPr>
            <w:tcW w:w="1196" w:type="dxa"/>
            <w:shd w:val="clear" w:color="auto" w:fill="auto"/>
            <w:tcMar>
              <w:left w:w="28" w:type="dxa"/>
              <w:right w:w="28" w:type="dxa"/>
            </w:tcMar>
            <w:vAlign w:val="center"/>
          </w:tcPr>
          <w:p w14:paraId="56378E20" w14:textId="77777777" w:rsidR="004A0123" w:rsidRPr="00640447" w:rsidRDefault="004A0123" w:rsidP="008A5C11">
            <w:pPr>
              <w:jc w:val="center"/>
              <w:rPr>
                <w:sz w:val="20"/>
                <w:szCs w:val="20"/>
                <w:lang w:val="en-US"/>
              </w:rPr>
            </w:pPr>
            <w:r w:rsidRPr="00640447">
              <w:rPr>
                <w:sz w:val="20"/>
                <w:szCs w:val="20"/>
                <w:lang w:val="en-US"/>
              </w:rPr>
              <w:t>0</w:t>
            </w:r>
          </w:p>
        </w:tc>
        <w:tc>
          <w:tcPr>
            <w:tcW w:w="756" w:type="dxa"/>
            <w:shd w:val="clear" w:color="auto" w:fill="auto"/>
            <w:tcMar>
              <w:left w:w="28" w:type="dxa"/>
              <w:right w:w="28" w:type="dxa"/>
            </w:tcMar>
            <w:vAlign w:val="center"/>
          </w:tcPr>
          <w:p w14:paraId="2C543F70" w14:textId="77777777" w:rsidR="004A0123" w:rsidRPr="00640447" w:rsidRDefault="004A0123" w:rsidP="008A5C11">
            <w:pPr>
              <w:jc w:val="center"/>
              <w:rPr>
                <w:sz w:val="20"/>
                <w:szCs w:val="20"/>
                <w:lang w:val="en-US"/>
              </w:rPr>
            </w:pPr>
            <w:r w:rsidRPr="00640447">
              <w:rPr>
                <w:sz w:val="20"/>
                <w:szCs w:val="20"/>
                <w:lang w:val="en-US"/>
              </w:rPr>
              <w:t>0</w:t>
            </w:r>
          </w:p>
        </w:tc>
        <w:tc>
          <w:tcPr>
            <w:tcW w:w="656" w:type="dxa"/>
            <w:shd w:val="clear" w:color="auto" w:fill="auto"/>
            <w:tcMar>
              <w:left w:w="28" w:type="dxa"/>
              <w:right w:w="28" w:type="dxa"/>
            </w:tcMar>
            <w:vAlign w:val="center"/>
          </w:tcPr>
          <w:p w14:paraId="37126F0D" w14:textId="77777777" w:rsidR="004A0123" w:rsidRPr="00640447" w:rsidRDefault="004A0123" w:rsidP="008A5C11">
            <w:pPr>
              <w:jc w:val="center"/>
              <w:rPr>
                <w:bCs/>
                <w:sz w:val="20"/>
                <w:szCs w:val="20"/>
                <w:lang w:val="en-US"/>
              </w:rPr>
            </w:pPr>
            <w:r w:rsidRPr="00640447">
              <w:rPr>
                <w:bCs/>
                <w:sz w:val="20"/>
                <w:szCs w:val="20"/>
                <w:lang w:val="en-US"/>
              </w:rPr>
              <w:t>0</w:t>
            </w:r>
          </w:p>
        </w:tc>
        <w:tc>
          <w:tcPr>
            <w:tcW w:w="656" w:type="dxa"/>
            <w:shd w:val="clear" w:color="auto" w:fill="auto"/>
            <w:tcMar>
              <w:left w:w="28" w:type="dxa"/>
              <w:right w:w="28" w:type="dxa"/>
            </w:tcMar>
            <w:vAlign w:val="center"/>
          </w:tcPr>
          <w:p w14:paraId="593B0483" w14:textId="77777777" w:rsidR="004A0123" w:rsidRPr="00640447" w:rsidRDefault="004A0123" w:rsidP="008A5C11">
            <w:pPr>
              <w:jc w:val="center"/>
              <w:rPr>
                <w:bCs/>
                <w:sz w:val="20"/>
                <w:szCs w:val="20"/>
                <w:lang w:val="en-US"/>
              </w:rPr>
            </w:pPr>
            <w:r w:rsidRPr="00640447">
              <w:rPr>
                <w:bCs/>
                <w:sz w:val="20"/>
                <w:szCs w:val="20"/>
                <w:lang w:val="en-US"/>
              </w:rPr>
              <w:t>0</w:t>
            </w:r>
          </w:p>
        </w:tc>
        <w:tc>
          <w:tcPr>
            <w:tcW w:w="590" w:type="dxa"/>
            <w:shd w:val="clear" w:color="auto" w:fill="auto"/>
            <w:tcMar>
              <w:left w:w="28" w:type="dxa"/>
              <w:right w:w="28" w:type="dxa"/>
            </w:tcMar>
            <w:vAlign w:val="center"/>
          </w:tcPr>
          <w:p w14:paraId="4828F7AC" w14:textId="77777777" w:rsidR="004A0123" w:rsidRPr="00640447" w:rsidRDefault="004A0123" w:rsidP="008A5C11">
            <w:pPr>
              <w:jc w:val="center"/>
              <w:rPr>
                <w:bCs/>
                <w:sz w:val="20"/>
                <w:szCs w:val="20"/>
                <w:lang w:val="en-US"/>
              </w:rPr>
            </w:pPr>
            <w:r w:rsidRPr="00640447">
              <w:rPr>
                <w:bCs/>
                <w:sz w:val="20"/>
                <w:szCs w:val="20"/>
                <w:lang w:val="en-US"/>
              </w:rPr>
              <w:t>0</w:t>
            </w:r>
          </w:p>
        </w:tc>
        <w:tc>
          <w:tcPr>
            <w:tcW w:w="656" w:type="dxa"/>
            <w:tcMar>
              <w:left w:w="28" w:type="dxa"/>
              <w:right w:w="28" w:type="dxa"/>
            </w:tcMar>
            <w:vAlign w:val="center"/>
          </w:tcPr>
          <w:p w14:paraId="66B25268" w14:textId="77777777" w:rsidR="004A0123" w:rsidRPr="00640447" w:rsidRDefault="004A0123" w:rsidP="008A5C11">
            <w:pPr>
              <w:jc w:val="center"/>
              <w:rPr>
                <w:bCs/>
                <w:sz w:val="20"/>
                <w:szCs w:val="20"/>
                <w:lang w:val="en-US"/>
              </w:rPr>
            </w:pPr>
            <w:r w:rsidRPr="00640447">
              <w:rPr>
                <w:bCs/>
                <w:sz w:val="20"/>
                <w:szCs w:val="20"/>
                <w:lang w:val="en-US"/>
              </w:rPr>
              <w:t>0</w:t>
            </w:r>
          </w:p>
        </w:tc>
        <w:tc>
          <w:tcPr>
            <w:tcW w:w="656" w:type="dxa"/>
            <w:tcMar>
              <w:left w:w="28" w:type="dxa"/>
              <w:right w:w="28" w:type="dxa"/>
            </w:tcMar>
            <w:vAlign w:val="center"/>
          </w:tcPr>
          <w:p w14:paraId="62104036" w14:textId="77777777" w:rsidR="004A0123" w:rsidRPr="00640447" w:rsidRDefault="004A0123" w:rsidP="008A5C11">
            <w:pPr>
              <w:jc w:val="center"/>
              <w:rPr>
                <w:bCs/>
                <w:sz w:val="20"/>
                <w:szCs w:val="20"/>
                <w:lang w:val="en-US"/>
              </w:rPr>
            </w:pPr>
            <w:r w:rsidRPr="00640447">
              <w:rPr>
                <w:bCs/>
                <w:sz w:val="20"/>
                <w:szCs w:val="20"/>
                <w:lang w:val="en-US"/>
              </w:rPr>
              <w:t>0</w:t>
            </w:r>
          </w:p>
        </w:tc>
        <w:tc>
          <w:tcPr>
            <w:tcW w:w="656" w:type="dxa"/>
            <w:vAlign w:val="center"/>
          </w:tcPr>
          <w:p w14:paraId="247C4F0E" w14:textId="77777777" w:rsidR="004A0123" w:rsidRPr="00640447" w:rsidRDefault="004A0123" w:rsidP="008A5C11">
            <w:pPr>
              <w:jc w:val="center"/>
              <w:rPr>
                <w:bCs/>
                <w:sz w:val="20"/>
                <w:szCs w:val="20"/>
                <w:lang w:val="en-US"/>
              </w:rPr>
            </w:pPr>
            <w:r w:rsidRPr="00640447">
              <w:rPr>
                <w:bCs/>
                <w:sz w:val="20"/>
                <w:szCs w:val="20"/>
                <w:lang w:val="en-US"/>
              </w:rPr>
              <w:t>0</w:t>
            </w:r>
          </w:p>
        </w:tc>
        <w:tc>
          <w:tcPr>
            <w:tcW w:w="656" w:type="dxa"/>
            <w:vAlign w:val="center"/>
          </w:tcPr>
          <w:p w14:paraId="4FF19417" w14:textId="77777777" w:rsidR="004A0123" w:rsidRPr="00640447" w:rsidRDefault="004A0123" w:rsidP="008A5C11">
            <w:pPr>
              <w:jc w:val="center"/>
              <w:rPr>
                <w:bCs/>
                <w:sz w:val="20"/>
                <w:szCs w:val="20"/>
                <w:lang w:val="en-US"/>
              </w:rPr>
            </w:pPr>
            <w:r w:rsidRPr="00640447">
              <w:rPr>
                <w:bCs/>
                <w:sz w:val="20"/>
                <w:szCs w:val="20"/>
                <w:lang w:val="en-US"/>
              </w:rPr>
              <w:t>0</w:t>
            </w:r>
          </w:p>
        </w:tc>
        <w:tc>
          <w:tcPr>
            <w:tcW w:w="656" w:type="dxa"/>
            <w:vAlign w:val="center"/>
          </w:tcPr>
          <w:p w14:paraId="01CB258E" w14:textId="77777777" w:rsidR="004A0123" w:rsidRPr="00640447" w:rsidRDefault="004A0123" w:rsidP="008A5C11">
            <w:pPr>
              <w:jc w:val="center"/>
              <w:rPr>
                <w:bCs/>
                <w:sz w:val="20"/>
                <w:szCs w:val="20"/>
                <w:lang w:val="en-US"/>
              </w:rPr>
            </w:pPr>
            <w:r w:rsidRPr="00640447">
              <w:rPr>
                <w:bCs/>
                <w:sz w:val="20"/>
                <w:szCs w:val="20"/>
                <w:lang w:val="en-US"/>
              </w:rPr>
              <w:t>0</w:t>
            </w:r>
          </w:p>
        </w:tc>
        <w:tc>
          <w:tcPr>
            <w:tcW w:w="656" w:type="dxa"/>
            <w:vAlign w:val="center"/>
          </w:tcPr>
          <w:p w14:paraId="696C5AFA" w14:textId="77777777" w:rsidR="004A0123" w:rsidRPr="00640447" w:rsidRDefault="004A0123" w:rsidP="008A5C11">
            <w:pPr>
              <w:jc w:val="center"/>
              <w:rPr>
                <w:bCs/>
                <w:sz w:val="20"/>
                <w:szCs w:val="20"/>
                <w:lang w:val="en-US"/>
              </w:rPr>
            </w:pPr>
            <w:r w:rsidRPr="00640447">
              <w:rPr>
                <w:bCs/>
                <w:sz w:val="20"/>
                <w:szCs w:val="20"/>
                <w:lang w:val="en-US"/>
              </w:rPr>
              <w:t>0</w:t>
            </w:r>
          </w:p>
        </w:tc>
        <w:tc>
          <w:tcPr>
            <w:tcW w:w="656" w:type="dxa"/>
            <w:vAlign w:val="center"/>
          </w:tcPr>
          <w:p w14:paraId="7CEB10F8" w14:textId="77777777" w:rsidR="004A0123" w:rsidRPr="00640447" w:rsidRDefault="004A0123" w:rsidP="008A5C11">
            <w:pPr>
              <w:jc w:val="center"/>
              <w:rPr>
                <w:bCs/>
                <w:sz w:val="20"/>
                <w:szCs w:val="20"/>
                <w:lang w:val="en-US"/>
              </w:rPr>
            </w:pPr>
            <w:r w:rsidRPr="00640447">
              <w:rPr>
                <w:bCs/>
                <w:sz w:val="20"/>
                <w:szCs w:val="20"/>
                <w:lang w:val="en-US"/>
              </w:rPr>
              <w:t>0</w:t>
            </w:r>
          </w:p>
        </w:tc>
      </w:tr>
      <w:tr w:rsidR="004A0123" w:rsidRPr="00640447" w14:paraId="2FD3E0F6" w14:textId="77777777" w:rsidTr="008A5C11">
        <w:trPr>
          <w:trHeight w:val="255"/>
          <w:jc w:val="center"/>
        </w:trPr>
        <w:tc>
          <w:tcPr>
            <w:tcW w:w="356" w:type="dxa"/>
            <w:shd w:val="clear" w:color="auto" w:fill="auto"/>
            <w:tcMar>
              <w:left w:w="28" w:type="dxa"/>
              <w:right w:w="28" w:type="dxa"/>
            </w:tcMar>
            <w:vAlign w:val="center"/>
            <w:hideMark/>
          </w:tcPr>
          <w:p w14:paraId="7E62E1FA" w14:textId="77777777" w:rsidR="004A0123" w:rsidRPr="00640447" w:rsidRDefault="004A0123" w:rsidP="008A5C11">
            <w:pPr>
              <w:jc w:val="center"/>
              <w:rPr>
                <w:sz w:val="20"/>
                <w:szCs w:val="20"/>
              </w:rPr>
            </w:pPr>
            <w:r w:rsidRPr="00640447">
              <w:rPr>
                <w:sz w:val="20"/>
                <w:szCs w:val="20"/>
              </w:rPr>
              <w:t>2.3.</w:t>
            </w:r>
          </w:p>
        </w:tc>
        <w:tc>
          <w:tcPr>
            <w:tcW w:w="1585" w:type="dxa"/>
            <w:shd w:val="clear" w:color="auto" w:fill="auto"/>
            <w:tcMar>
              <w:left w:w="28" w:type="dxa"/>
              <w:right w:w="28" w:type="dxa"/>
            </w:tcMar>
            <w:vAlign w:val="center"/>
            <w:hideMark/>
          </w:tcPr>
          <w:p w14:paraId="32842410" w14:textId="77777777" w:rsidR="004A0123" w:rsidRPr="00640447" w:rsidRDefault="004A0123" w:rsidP="008A5C11">
            <w:pPr>
              <w:rPr>
                <w:sz w:val="20"/>
                <w:szCs w:val="20"/>
              </w:rPr>
            </w:pPr>
            <w:r w:rsidRPr="00640447">
              <w:rPr>
                <w:sz w:val="20"/>
                <w:szCs w:val="20"/>
              </w:rPr>
              <w:t>прочие средства</w:t>
            </w:r>
          </w:p>
        </w:tc>
        <w:tc>
          <w:tcPr>
            <w:tcW w:w="1196" w:type="dxa"/>
            <w:shd w:val="clear" w:color="auto" w:fill="auto"/>
            <w:tcMar>
              <w:left w:w="28" w:type="dxa"/>
              <w:right w:w="28" w:type="dxa"/>
            </w:tcMar>
            <w:vAlign w:val="center"/>
          </w:tcPr>
          <w:p w14:paraId="1268578D" w14:textId="77777777" w:rsidR="004A0123" w:rsidRPr="00640447" w:rsidRDefault="004A0123" w:rsidP="008A5C11">
            <w:pPr>
              <w:jc w:val="center"/>
              <w:rPr>
                <w:sz w:val="20"/>
                <w:szCs w:val="20"/>
                <w:lang w:val="en-US"/>
              </w:rPr>
            </w:pPr>
            <w:r w:rsidRPr="00640447">
              <w:rPr>
                <w:sz w:val="20"/>
                <w:szCs w:val="20"/>
                <w:lang w:val="en-US"/>
              </w:rPr>
              <w:t>0</w:t>
            </w:r>
          </w:p>
        </w:tc>
        <w:tc>
          <w:tcPr>
            <w:tcW w:w="756" w:type="dxa"/>
            <w:shd w:val="clear" w:color="auto" w:fill="auto"/>
            <w:tcMar>
              <w:left w:w="28" w:type="dxa"/>
              <w:right w:w="28" w:type="dxa"/>
            </w:tcMar>
            <w:vAlign w:val="center"/>
          </w:tcPr>
          <w:p w14:paraId="47F3789D" w14:textId="77777777" w:rsidR="004A0123" w:rsidRPr="00640447" w:rsidRDefault="004A0123" w:rsidP="008A5C11">
            <w:pPr>
              <w:jc w:val="center"/>
              <w:rPr>
                <w:sz w:val="20"/>
                <w:szCs w:val="20"/>
                <w:lang w:val="en-US"/>
              </w:rPr>
            </w:pPr>
            <w:r w:rsidRPr="00640447">
              <w:rPr>
                <w:sz w:val="20"/>
                <w:szCs w:val="20"/>
                <w:lang w:val="en-US"/>
              </w:rPr>
              <w:t>0</w:t>
            </w:r>
          </w:p>
        </w:tc>
        <w:tc>
          <w:tcPr>
            <w:tcW w:w="656" w:type="dxa"/>
            <w:shd w:val="clear" w:color="auto" w:fill="auto"/>
            <w:tcMar>
              <w:left w:w="28" w:type="dxa"/>
              <w:right w:w="28" w:type="dxa"/>
            </w:tcMar>
            <w:vAlign w:val="center"/>
          </w:tcPr>
          <w:p w14:paraId="6267084F" w14:textId="77777777" w:rsidR="004A0123" w:rsidRPr="00640447" w:rsidRDefault="004A0123" w:rsidP="008A5C11">
            <w:pPr>
              <w:jc w:val="center"/>
              <w:rPr>
                <w:bCs/>
                <w:sz w:val="20"/>
                <w:szCs w:val="20"/>
                <w:lang w:val="en-US"/>
              </w:rPr>
            </w:pPr>
            <w:r w:rsidRPr="00640447">
              <w:rPr>
                <w:bCs/>
                <w:sz w:val="20"/>
                <w:szCs w:val="20"/>
                <w:lang w:val="en-US"/>
              </w:rPr>
              <w:t>0</w:t>
            </w:r>
          </w:p>
        </w:tc>
        <w:tc>
          <w:tcPr>
            <w:tcW w:w="656" w:type="dxa"/>
            <w:shd w:val="clear" w:color="auto" w:fill="auto"/>
            <w:tcMar>
              <w:left w:w="28" w:type="dxa"/>
              <w:right w:w="28" w:type="dxa"/>
            </w:tcMar>
            <w:vAlign w:val="center"/>
          </w:tcPr>
          <w:p w14:paraId="25B6A068" w14:textId="77777777" w:rsidR="004A0123" w:rsidRPr="00640447" w:rsidRDefault="004A0123" w:rsidP="008A5C11">
            <w:pPr>
              <w:jc w:val="center"/>
              <w:rPr>
                <w:bCs/>
                <w:sz w:val="20"/>
                <w:szCs w:val="20"/>
                <w:lang w:val="en-US"/>
              </w:rPr>
            </w:pPr>
            <w:r w:rsidRPr="00640447">
              <w:rPr>
                <w:bCs/>
                <w:sz w:val="20"/>
                <w:szCs w:val="20"/>
                <w:lang w:val="en-US"/>
              </w:rPr>
              <w:t>0</w:t>
            </w:r>
          </w:p>
        </w:tc>
        <w:tc>
          <w:tcPr>
            <w:tcW w:w="590" w:type="dxa"/>
            <w:shd w:val="clear" w:color="auto" w:fill="auto"/>
            <w:tcMar>
              <w:left w:w="28" w:type="dxa"/>
              <w:right w:w="28" w:type="dxa"/>
            </w:tcMar>
            <w:vAlign w:val="center"/>
          </w:tcPr>
          <w:p w14:paraId="6A348A39" w14:textId="77777777" w:rsidR="004A0123" w:rsidRPr="00640447" w:rsidRDefault="004A0123" w:rsidP="008A5C11">
            <w:pPr>
              <w:jc w:val="center"/>
              <w:rPr>
                <w:bCs/>
                <w:sz w:val="20"/>
                <w:szCs w:val="20"/>
                <w:lang w:val="en-US"/>
              </w:rPr>
            </w:pPr>
            <w:r w:rsidRPr="00640447">
              <w:rPr>
                <w:bCs/>
                <w:sz w:val="20"/>
                <w:szCs w:val="20"/>
                <w:lang w:val="en-US"/>
              </w:rPr>
              <w:t>0</w:t>
            </w:r>
          </w:p>
        </w:tc>
        <w:tc>
          <w:tcPr>
            <w:tcW w:w="656" w:type="dxa"/>
            <w:tcMar>
              <w:left w:w="28" w:type="dxa"/>
              <w:right w:w="28" w:type="dxa"/>
            </w:tcMar>
            <w:vAlign w:val="center"/>
          </w:tcPr>
          <w:p w14:paraId="7CA7A1BE" w14:textId="77777777" w:rsidR="004A0123" w:rsidRPr="00640447" w:rsidRDefault="004A0123" w:rsidP="008A5C11">
            <w:pPr>
              <w:jc w:val="center"/>
              <w:rPr>
                <w:bCs/>
                <w:sz w:val="20"/>
                <w:szCs w:val="20"/>
                <w:lang w:val="en-US"/>
              </w:rPr>
            </w:pPr>
            <w:r w:rsidRPr="00640447">
              <w:rPr>
                <w:bCs/>
                <w:sz w:val="20"/>
                <w:szCs w:val="20"/>
                <w:lang w:val="en-US"/>
              </w:rPr>
              <w:t>0</w:t>
            </w:r>
          </w:p>
        </w:tc>
        <w:tc>
          <w:tcPr>
            <w:tcW w:w="656" w:type="dxa"/>
            <w:tcMar>
              <w:left w:w="28" w:type="dxa"/>
              <w:right w:w="28" w:type="dxa"/>
            </w:tcMar>
            <w:vAlign w:val="center"/>
          </w:tcPr>
          <w:p w14:paraId="45F4EB96" w14:textId="77777777" w:rsidR="004A0123" w:rsidRPr="00640447" w:rsidRDefault="004A0123" w:rsidP="008A5C11">
            <w:pPr>
              <w:jc w:val="center"/>
              <w:rPr>
                <w:bCs/>
                <w:sz w:val="20"/>
                <w:szCs w:val="20"/>
                <w:lang w:val="en-US"/>
              </w:rPr>
            </w:pPr>
            <w:r w:rsidRPr="00640447">
              <w:rPr>
                <w:bCs/>
                <w:sz w:val="20"/>
                <w:szCs w:val="20"/>
                <w:lang w:val="en-US"/>
              </w:rPr>
              <w:t>0</w:t>
            </w:r>
          </w:p>
        </w:tc>
        <w:tc>
          <w:tcPr>
            <w:tcW w:w="656" w:type="dxa"/>
            <w:vAlign w:val="center"/>
          </w:tcPr>
          <w:p w14:paraId="5FFEB32E" w14:textId="77777777" w:rsidR="004A0123" w:rsidRPr="00640447" w:rsidRDefault="004A0123" w:rsidP="008A5C11">
            <w:pPr>
              <w:jc w:val="center"/>
              <w:rPr>
                <w:bCs/>
                <w:sz w:val="20"/>
                <w:szCs w:val="20"/>
                <w:lang w:val="en-US"/>
              </w:rPr>
            </w:pPr>
            <w:r w:rsidRPr="00640447">
              <w:rPr>
                <w:bCs/>
                <w:sz w:val="20"/>
                <w:szCs w:val="20"/>
                <w:lang w:val="en-US"/>
              </w:rPr>
              <w:t>0</w:t>
            </w:r>
          </w:p>
        </w:tc>
        <w:tc>
          <w:tcPr>
            <w:tcW w:w="656" w:type="dxa"/>
            <w:vAlign w:val="center"/>
          </w:tcPr>
          <w:p w14:paraId="492CD5CF" w14:textId="77777777" w:rsidR="004A0123" w:rsidRPr="00640447" w:rsidRDefault="004A0123" w:rsidP="008A5C11">
            <w:pPr>
              <w:jc w:val="center"/>
              <w:rPr>
                <w:bCs/>
                <w:sz w:val="20"/>
                <w:szCs w:val="20"/>
                <w:lang w:val="en-US"/>
              </w:rPr>
            </w:pPr>
            <w:r w:rsidRPr="00640447">
              <w:rPr>
                <w:bCs/>
                <w:sz w:val="20"/>
                <w:szCs w:val="20"/>
                <w:lang w:val="en-US"/>
              </w:rPr>
              <w:t>0</w:t>
            </w:r>
          </w:p>
        </w:tc>
        <w:tc>
          <w:tcPr>
            <w:tcW w:w="656" w:type="dxa"/>
            <w:vAlign w:val="center"/>
          </w:tcPr>
          <w:p w14:paraId="581347D4" w14:textId="77777777" w:rsidR="004A0123" w:rsidRPr="00640447" w:rsidRDefault="004A0123" w:rsidP="008A5C11">
            <w:pPr>
              <w:jc w:val="center"/>
              <w:rPr>
                <w:bCs/>
                <w:sz w:val="20"/>
                <w:szCs w:val="20"/>
                <w:lang w:val="en-US"/>
              </w:rPr>
            </w:pPr>
            <w:r w:rsidRPr="00640447">
              <w:rPr>
                <w:bCs/>
                <w:sz w:val="20"/>
                <w:szCs w:val="20"/>
                <w:lang w:val="en-US"/>
              </w:rPr>
              <w:t>0</w:t>
            </w:r>
          </w:p>
        </w:tc>
        <w:tc>
          <w:tcPr>
            <w:tcW w:w="656" w:type="dxa"/>
            <w:vAlign w:val="center"/>
          </w:tcPr>
          <w:p w14:paraId="76B783DA" w14:textId="77777777" w:rsidR="004A0123" w:rsidRPr="00640447" w:rsidRDefault="004A0123" w:rsidP="008A5C11">
            <w:pPr>
              <w:jc w:val="center"/>
              <w:rPr>
                <w:bCs/>
                <w:sz w:val="20"/>
                <w:szCs w:val="20"/>
                <w:lang w:val="en-US"/>
              </w:rPr>
            </w:pPr>
            <w:r w:rsidRPr="00640447">
              <w:rPr>
                <w:bCs/>
                <w:sz w:val="20"/>
                <w:szCs w:val="20"/>
                <w:lang w:val="en-US"/>
              </w:rPr>
              <w:t>0</w:t>
            </w:r>
          </w:p>
        </w:tc>
        <w:tc>
          <w:tcPr>
            <w:tcW w:w="656" w:type="dxa"/>
            <w:vAlign w:val="center"/>
          </w:tcPr>
          <w:p w14:paraId="794A3B5A" w14:textId="77777777" w:rsidR="004A0123" w:rsidRPr="00640447" w:rsidRDefault="004A0123" w:rsidP="008A5C11">
            <w:pPr>
              <w:jc w:val="center"/>
              <w:rPr>
                <w:bCs/>
                <w:sz w:val="20"/>
                <w:szCs w:val="20"/>
                <w:lang w:val="en-US"/>
              </w:rPr>
            </w:pPr>
            <w:r w:rsidRPr="00640447">
              <w:rPr>
                <w:bCs/>
                <w:sz w:val="20"/>
                <w:szCs w:val="20"/>
                <w:lang w:val="en-US"/>
              </w:rPr>
              <w:t>0</w:t>
            </w:r>
          </w:p>
        </w:tc>
      </w:tr>
      <w:tr w:rsidR="004A0123" w:rsidRPr="00640447" w14:paraId="732283DA" w14:textId="77777777" w:rsidTr="008A5C11">
        <w:trPr>
          <w:trHeight w:val="510"/>
          <w:jc w:val="center"/>
        </w:trPr>
        <w:tc>
          <w:tcPr>
            <w:tcW w:w="356" w:type="dxa"/>
            <w:shd w:val="clear" w:color="auto" w:fill="auto"/>
            <w:tcMar>
              <w:left w:w="28" w:type="dxa"/>
              <w:right w:w="28" w:type="dxa"/>
            </w:tcMar>
            <w:vAlign w:val="center"/>
            <w:hideMark/>
          </w:tcPr>
          <w:p w14:paraId="6E69FB2E" w14:textId="77777777" w:rsidR="004A0123" w:rsidRPr="00640447" w:rsidRDefault="004A0123" w:rsidP="008A5C11">
            <w:pPr>
              <w:jc w:val="center"/>
              <w:rPr>
                <w:bCs/>
                <w:sz w:val="20"/>
                <w:szCs w:val="20"/>
              </w:rPr>
            </w:pPr>
            <w:r w:rsidRPr="00640447">
              <w:rPr>
                <w:bCs/>
                <w:sz w:val="20"/>
                <w:szCs w:val="20"/>
              </w:rPr>
              <w:t>3.</w:t>
            </w:r>
          </w:p>
        </w:tc>
        <w:tc>
          <w:tcPr>
            <w:tcW w:w="1585" w:type="dxa"/>
            <w:shd w:val="clear" w:color="auto" w:fill="auto"/>
            <w:tcMar>
              <w:left w:w="28" w:type="dxa"/>
              <w:right w:w="28" w:type="dxa"/>
            </w:tcMar>
            <w:vAlign w:val="center"/>
            <w:hideMark/>
          </w:tcPr>
          <w:p w14:paraId="72D60E4A" w14:textId="77777777" w:rsidR="004A0123" w:rsidRPr="00640447" w:rsidRDefault="004A0123" w:rsidP="008A5C11">
            <w:pPr>
              <w:rPr>
                <w:bCs/>
                <w:sz w:val="20"/>
                <w:szCs w:val="20"/>
              </w:rPr>
            </w:pPr>
            <w:r w:rsidRPr="00640447">
              <w:rPr>
                <w:bCs/>
                <w:sz w:val="20"/>
                <w:szCs w:val="20"/>
              </w:rPr>
              <w:t xml:space="preserve">Бюджетное финансирование </w:t>
            </w:r>
          </w:p>
        </w:tc>
        <w:tc>
          <w:tcPr>
            <w:tcW w:w="1196" w:type="dxa"/>
            <w:shd w:val="clear" w:color="auto" w:fill="auto"/>
            <w:tcMar>
              <w:left w:w="28" w:type="dxa"/>
              <w:right w:w="28" w:type="dxa"/>
            </w:tcMar>
            <w:vAlign w:val="center"/>
          </w:tcPr>
          <w:p w14:paraId="18EF3362" w14:textId="77777777" w:rsidR="004A0123" w:rsidRPr="00640447" w:rsidRDefault="004A0123" w:rsidP="008A5C11">
            <w:pPr>
              <w:jc w:val="center"/>
              <w:rPr>
                <w:sz w:val="20"/>
                <w:szCs w:val="20"/>
              </w:rPr>
            </w:pPr>
            <w:r w:rsidRPr="00640447">
              <w:rPr>
                <w:sz w:val="20"/>
                <w:szCs w:val="20"/>
              </w:rPr>
              <w:t>700962</w:t>
            </w:r>
          </w:p>
        </w:tc>
        <w:tc>
          <w:tcPr>
            <w:tcW w:w="756" w:type="dxa"/>
            <w:shd w:val="clear" w:color="auto" w:fill="auto"/>
            <w:tcMar>
              <w:left w:w="28" w:type="dxa"/>
              <w:right w:w="28" w:type="dxa"/>
            </w:tcMar>
            <w:vAlign w:val="center"/>
          </w:tcPr>
          <w:p w14:paraId="2B92EBE1" w14:textId="77777777" w:rsidR="004A0123" w:rsidRPr="00640447" w:rsidRDefault="004A0123" w:rsidP="008A5C11">
            <w:pPr>
              <w:jc w:val="center"/>
              <w:rPr>
                <w:sz w:val="20"/>
                <w:szCs w:val="20"/>
              </w:rPr>
            </w:pPr>
            <w:r w:rsidRPr="00640447">
              <w:rPr>
                <w:sz w:val="20"/>
                <w:szCs w:val="20"/>
              </w:rPr>
              <w:t>700962</w:t>
            </w:r>
          </w:p>
        </w:tc>
        <w:tc>
          <w:tcPr>
            <w:tcW w:w="656" w:type="dxa"/>
            <w:shd w:val="clear" w:color="auto" w:fill="auto"/>
            <w:tcMar>
              <w:left w:w="28" w:type="dxa"/>
              <w:right w:w="28" w:type="dxa"/>
            </w:tcMar>
            <w:vAlign w:val="center"/>
          </w:tcPr>
          <w:p w14:paraId="3E6FCFD6" w14:textId="77777777" w:rsidR="004A0123" w:rsidRPr="00640447" w:rsidRDefault="004A0123" w:rsidP="008A5C11">
            <w:pPr>
              <w:jc w:val="center"/>
              <w:rPr>
                <w:bCs/>
                <w:sz w:val="20"/>
                <w:szCs w:val="20"/>
              </w:rPr>
            </w:pPr>
            <w:r w:rsidRPr="00640447">
              <w:rPr>
                <w:bCs/>
                <w:sz w:val="20"/>
                <w:szCs w:val="20"/>
              </w:rPr>
              <w:t>320046</w:t>
            </w:r>
          </w:p>
        </w:tc>
        <w:tc>
          <w:tcPr>
            <w:tcW w:w="656" w:type="dxa"/>
            <w:shd w:val="clear" w:color="auto" w:fill="auto"/>
            <w:tcMar>
              <w:left w:w="28" w:type="dxa"/>
              <w:right w:w="28" w:type="dxa"/>
            </w:tcMar>
            <w:vAlign w:val="center"/>
          </w:tcPr>
          <w:p w14:paraId="628507F3" w14:textId="77777777" w:rsidR="004A0123" w:rsidRPr="00640447" w:rsidRDefault="004A0123" w:rsidP="008A5C11">
            <w:pPr>
              <w:jc w:val="center"/>
              <w:rPr>
                <w:bCs/>
                <w:sz w:val="20"/>
                <w:szCs w:val="20"/>
              </w:rPr>
            </w:pPr>
            <w:r w:rsidRPr="00640447">
              <w:rPr>
                <w:bCs/>
                <w:sz w:val="20"/>
                <w:szCs w:val="20"/>
              </w:rPr>
              <w:t>150000</w:t>
            </w:r>
          </w:p>
        </w:tc>
        <w:tc>
          <w:tcPr>
            <w:tcW w:w="590" w:type="dxa"/>
            <w:shd w:val="clear" w:color="auto" w:fill="auto"/>
            <w:tcMar>
              <w:left w:w="28" w:type="dxa"/>
              <w:right w:w="28" w:type="dxa"/>
            </w:tcMar>
            <w:vAlign w:val="center"/>
          </w:tcPr>
          <w:p w14:paraId="248EF2DC" w14:textId="77777777" w:rsidR="004A0123" w:rsidRPr="00640447" w:rsidRDefault="004A0123" w:rsidP="008A5C11">
            <w:pPr>
              <w:jc w:val="center"/>
              <w:rPr>
                <w:bCs/>
                <w:sz w:val="20"/>
                <w:szCs w:val="20"/>
              </w:rPr>
            </w:pPr>
            <w:r w:rsidRPr="00640447">
              <w:rPr>
                <w:bCs/>
                <w:sz w:val="20"/>
                <w:szCs w:val="20"/>
              </w:rPr>
              <w:t>95875</w:t>
            </w:r>
          </w:p>
        </w:tc>
        <w:tc>
          <w:tcPr>
            <w:tcW w:w="656" w:type="dxa"/>
            <w:tcMar>
              <w:left w:w="28" w:type="dxa"/>
              <w:right w:w="28" w:type="dxa"/>
            </w:tcMar>
            <w:vAlign w:val="center"/>
          </w:tcPr>
          <w:p w14:paraId="1B07A5E2" w14:textId="77777777" w:rsidR="004A0123" w:rsidRPr="00640447" w:rsidRDefault="004A0123" w:rsidP="008A5C11">
            <w:pPr>
              <w:jc w:val="center"/>
              <w:rPr>
                <w:bCs/>
                <w:sz w:val="20"/>
                <w:szCs w:val="20"/>
              </w:rPr>
            </w:pPr>
            <w:r w:rsidRPr="00640447">
              <w:rPr>
                <w:bCs/>
                <w:sz w:val="20"/>
                <w:szCs w:val="20"/>
              </w:rPr>
              <w:t>63754</w:t>
            </w:r>
          </w:p>
        </w:tc>
        <w:tc>
          <w:tcPr>
            <w:tcW w:w="656" w:type="dxa"/>
            <w:tcMar>
              <w:left w:w="28" w:type="dxa"/>
              <w:right w:w="28" w:type="dxa"/>
            </w:tcMar>
            <w:vAlign w:val="center"/>
          </w:tcPr>
          <w:p w14:paraId="0F739F47" w14:textId="77777777" w:rsidR="004A0123" w:rsidRPr="00640447" w:rsidRDefault="004A0123" w:rsidP="008A5C11">
            <w:pPr>
              <w:jc w:val="center"/>
              <w:rPr>
                <w:bCs/>
                <w:sz w:val="20"/>
                <w:szCs w:val="20"/>
              </w:rPr>
            </w:pPr>
            <w:r w:rsidRPr="00640447">
              <w:rPr>
                <w:bCs/>
                <w:sz w:val="20"/>
                <w:szCs w:val="20"/>
              </w:rPr>
              <w:t>71287</w:t>
            </w:r>
          </w:p>
        </w:tc>
        <w:tc>
          <w:tcPr>
            <w:tcW w:w="656" w:type="dxa"/>
            <w:vAlign w:val="center"/>
          </w:tcPr>
          <w:p w14:paraId="61B227E7" w14:textId="77777777" w:rsidR="004A0123" w:rsidRPr="00640447" w:rsidRDefault="004A0123" w:rsidP="008A5C11">
            <w:pPr>
              <w:jc w:val="center"/>
              <w:rPr>
                <w:bCs/>
                <w:sz w:val="20"/>
                <w:szCs w:val="20"/>
                <w:lang w:val="en-US"/>
              </w:rPr>
            </w:pPr>
            <w:r w:rsidRPr="00640447">
              <w:rPr>
                <w:bCs/>
                <w:sz w:val="20"/>
                <w:szCs w:val="20"/>
                <w:lang w:val="en-US"/>
              </w:rPr>
              <w:t>0</w:t>
            </w:r>
          </w:p>
        </w:tc>
        <w:tc>
          <w:tcPr>
            <w:tcW w:w="656" w:type="dxa"/>
            <w:vAlign w:val="center"/>
          </w:tcPr>
          <w:p w14:paraId="0AB1C334" w14:textId="77777777" w:rsidR="004A0123" w:rsidRPr="00640447" w:rsidRDefault="004A0123" w:rsidP="008A5C11">
            <w:pPr>
              <w:jc w:val="center"/>
              <w:rPr>
                <w:bCs/>
                <w:sz w:val="20"/>
                <w:szCs w:val="20"/>
                <w:lang w:val="en-US"/>
              </w:rPr>
            </w:pPr>
            <w:r w:rsidRPr="00640447">
              <w:rPr>
                <w:bCs/>
                <w:sz w:val="20"/>
                <w:szCs w:val="20"/>
                <w:lang w:val="en-US"/>
              </w:rPr>
              <w:t>0</w:t>
            </w:r>
          </w:p>
        </w:tc>
        <w:tc>
          <w:tcPr>
            <w:tcW w:w="656" w:type="dxa"/>
            <w:vAlign w:val="center"/>
          </w:tcPr>
          <w:p w14:paraId="609A6626" w14:textId="77777777" w:rsidR="004A0123" w:rsidRPr="00640447" w:rsidRDefault="004A0123" w:rsidP="008A5C11">
            <w:pPr>
              <w:jc w:val="center"/>
              <w:rPr>
                <w:bCs/>
                <w:sz w:val="20"/>
                <w:szCs w:val="20"/>
                <w:lang w:val="en-US"/>
              </w:rPr>
            </w:pPr>
            <w:r w:rsidRPr="00640447">
              <w:rPr>
                <w:bCs/>
                <w:sz w:val="20"/>
                <w:szCs w:val="20"/>
                <w:lang w:val="en-US"/>
              </w:rPr>
              <w:t>0</w:t>
            </w:r>
          </w:p>
        </w:tc>
        <w:tc>
          <w:tcPr>
            <w:tcW w:w="656" w:type="dxa"/>
            <w:vAlign w:val="center"/>
          </w:tcPr>
          <w:p w14:paraId="1E4DABDB" w14:textId="77777777" w:rsidR="004A0123" w:rsidRPr="00640447" w:rsidRDefault="004A0123" w:rsidP="008A5C11">
            <w:pPr>
              <w:jc w:val="center"/>
              <w:rPr>
                <w:bCs/>
                <w:sz w:val="20"/>
                <w:szCs w:val="20"/>
                <w:lang w:val="en-US"/>
              </w:rPr>
            </w:pPr>
            <w:r w:rsidRPr="00640447">
              <w:rPr>
                <w:bCs/>
                <w:sz w:val="20"/>
                <w:szCs w:val="20"/>
                <w:lang w:val="en-US"/>
              </w:rPr>
              <w:t>0</w:t>
            </w:r>
          </w:p>
        </w:tc>
        <w:tc>
          <w:tcPr>
            <w:tcW w:w="656" w:type="dxa"/>
            <w:vAlign w:val="center"/>
          </w:tcPr>
          <w:p w14:paraId="24C6A130" w14:textId="77777777" w:rsidR="004A0123" w:rsidRPr="00640447" w:rsidRDefault="004A0123" w:rsidP="008A5C11">
            <w:pPr>
              <w:jc w:val="center"/>
              <w:rPr>
                <w:bCs/>
                <w:sz w:val="20"/>
                <w:szCs w:val="20"/>
                <w:lang w:val="en-US"/>
              </w:rPr>
            </w:pPr>
            <w:r w:rsidRPr="00640447">
              <w:rPr>
                <w:bCs/>
                <w:sz w:val="20"/>
                <w:szCs w:val="20"/>
                <w:lang w:val="en-US"/>
              </w:rPr>
              <w:t>0</w:t>
            </w:r>
          </w:p>
        </w:tc>
      </w:tr>
      <w:tr w:rsidR="004A0123" w:rsidRPr="00640447" w14:paraId="0472A46B" w14:textId="77777777" w:rsidTr="008A5C11">
        <w:trPr>
          <w:trHeight w:val="645"/>
          <w:jc w:val="center"/>
        </w:trPr>
        <w:tc>
          <w:tcPr>
            <w:tcW w:w="356" w:type="dxa"/>
            <w:shd w:val="clear" w:color="auto" w:fill="auto"/>
            <w:tcMar>
              <w:left w:w="28" w:type="dxa"/>
              <w:right w:w="28" w:type="dxa"/>
            </w:tcMar>
            <w:vAlign w:val="center"/>
            <w:hideMark/>
          </w:tcPr>
          <w:p w14:paraId="0E294519" w14:textId="77777777" w:rsidR="004A0123" w:rsidRPr="00640447" w:rsidRDefault="004A0123" w:rsidP="008A5C11">
            <w:pPr>
              <w:jc w:val="center"/>
              <w:rPr>
                <w:bCs/>
                <w:sz w:val="20"/>
                <w:szCs w:val="20"/>
              </w:rPr>
            </w:pPr>
            <w:r w:rsidRPr="00640447">
              <w:rPr>
                <w:bCs/>
                <w:sz w:val="20"/>
                <w:szCs w:val="20"/>
              </w:rPr>
              <w:t>4.</w:t>
            </w:r>
          </w:p>
        </w:tc>
        <w:tc>
          <w:tcPr>
            <w:tcW w:w="1585" w:type="dxa"/>
            <w:shd w:val="clear" w:color="auto" w:fill="auto"/>
            <w:tcMar>
              <w:left w:w="28" w:type="dxa"/>
              <w:right w:w="28" w:type="dxa"/>
            </w:tcMar>
            <w:vAlign w:val="center"/>
            <w:hideMark/>
          </w:tcPr>
          <w:p w14:paraId="604C9025" w14:textId="77777777" w:rsidR="004A0123" w:rsidRPr="00640447" w:rsidRDefault="004A0123" w:rsidP="008A5C11">
            <w:pPr>
              <w:rPr>
                <w:bCs/>
                <w:sz w:val="20"/>
                <w:szCs w:val="20"/>
              </w:rPr>
            </w:pPr>
            <w:r w:rsidRPr="00640447">
              <w:rPr>
                <w:bCs/>
                <w:sz w:val="20"/>
                <w:szCs w:val="20"/>
              </w:rPr>
              <w:t>Прочие источники финансирования, в т.ч. лизинг</w:t>
            </w:r>
          </w:p>
        </w:tc>
        <w:tc>
          <w:tcPr>
            <w:tcW w:w="1196" w:type="dxa"/>
            <w:shd w:val="clear" w:color="auto" w:fill="auto"/>
            <w:tcMar>
              <w:left w:w="28" w:type="dxa"/>
              <w:right w:w="28" w:type="dxa"/>
            </w:tcMar>
            <w:vAlign w:val="center"/>
          </w:tcPr>
          <w:p w14:paraId="7442C0E4" w14:textId="77777777" w:rsidR="004A0123" w:rsidRPr="00640447" w:rsidRDefault="004A0123" w:rsidP="008A5C11">
            <w:pPr>
              <w:jc w:val="center"/>
              <w:rPr>
                <w:sz w:val="20"/>
                <w:szCs w:val="20"/>
                <w:lang w:val="en-US"/>
              </w:rPr>
            </w:pPr>
            <w:r w:rsidRPr="00640447">
              <w:rPr>
                <w:sz w:val="20"/>
                <w:szCs w:val="20"/>
                <w:lang w:val="en-US"/>
              </w:rPr>
              <w:t>0</w:t>
            </w:r>
          </w:p>
        </w:tc>
        <w:tc>
          <w:tcPr>
            <w:tcW w:w="756" w:type="dxa"/>
            <w:shd w:val="clear" w:color="auto" w:fill="auto"/>
            <w:tcMar>
              <w:left w:w="28" w:type="dxa"/>
              <w:right w:w="28" w:type="dxa"/>
            </w:tcMar>
            <w:vAlign w:val="center"/>
          </w:tcPr>
          <w:p w14:paraId="3FEEE8C8" w14:textId="77777777" w:rsidR="004A0123" w:rsidRPr="00640447" w:rsidRDefault="004A0123" w:rsidP="008A5C11">
            <w:pPr>
              <w:jc w:val="center"/>
              <w:rPr>
                <w:sz w:val="20"/>
                <w:szCs w:val="20"/>
                <w:lang w:val="en-US"/>
              </w:rPr>
            </w:pPr>
            <w:r w:rsidRPr="00640447">
              <w:rPr>
                <w:sz w:val="20"/>
                <w:szCs w:val="20"/>
                <w:lang w:val="en-US"/>
              </w:rPr>
              <w:t>0</w:t>
            </w:r>
          </w:p>
        </w:tc>
        <w:tc>
          <w:tcPr>
            <w:tcW w:w="656" w:type="dxa"/>
            <w:shd w:val="clear" w:color="auto" w:fill="auto"/>
            <w:tcMar>
              <w:left w:w="28" w:type="dxa"/>
              <w:right w:w="28" w:type="dxa"/>
            </w:tcMar>
            <w:vAlign w:val="center"/>
          </w:tcPr>
          <w:p w14:paraId="4B652788" w14:textId="77777777" w:rsidR="004A0123" w:rsidRPr="00640447" w:rsidRDefault="004A0123" w:rsidP="008A5C11">
            <w:pPr>
              <w:jc w:val="center"/>
              <w:rPr>
                <w:bCs/>
                <w:sz w:val="20"/>
                <w:szCs w:val="20"/>
                <w:lang w:val="en-US"/>
              </w:rPr>
            </w:pPr>
            <w:r w:rsidRPr="00640447">
              <w:rPr>
                <w:bCs/>
                <w:sz w:val="20"/>
                <w:szCs w:val="20"/>
                <w:lang w:val="en-US"/>
              </w:rPr>
              <w:t>0</w:t>
            </w:r>
          </w:p>
        </w:tc>
        <w:tc>
          <w:tcPr>
            <w:tcW w:w="656" w:type="dxa"/>
            <w:shd w:val="clear" w:color="auto" w:fill="auto"/>
            <w:tcMar>
              <w:left w:w="28" w:type="dxa"/>
              <w:right w:w="28" w:type="dxa"/>
            </w:tcMar>
            <w:vAlign w:val="center"/>
          </w:tcPr>
          <w:p w14:paraId="02AA754F" w14:textId="77777777" w:rsidR="004A0123" w:rsidRPr="00640447" w:rsidRDefault="004A0123" w:rsidP="008A5C11">
            <w:pPr>
              <w:jc w:val="center"/>
              <w:rPr>
                <w:bCs/>
                <w:sz w:val="20"/>
                <w:szCs w:val="20"/>
                <w:lang w:val="en-US"/>
              </w:rPr>
            </w:pPr>
            <w:r w:rsidRPr="00640447">
              <w:rPr>
                <w:bCs/>
                <w:sz w:val="20"/>
                <w:szCs w:val="20"/>
                <w:lang w:val="en-US"/>
              </w:rPr>
              <w:t>0</w:t>
            </w:r>
          </w:p>
        </w:tc>
        <w:tc>
          <w:tcPr>
            <w:tcW w:w="590" w:type="dxa"/>
            <w:shd w:val="clear" w:color="auto" w:fill="auto"/>
            <w:tcMar>
              <w:left w:w="28" w:type="dxa"/>
              <w:right w:w="28" w:type="dxa"/>
            </w:tcMar>
            <w:vAlign w:val="center"/>
          </w:tcPr>
          <w:p w14:paraId="60631690" w14:textId="77777777" w:rsidR="004A0123" w:rsidRPr="00640447" w:rsidRDefault="004A0123" w:rsidP="008A5C11">
            <w:pPr>
              <w:jc w:val="center"/>
              <w:rPr>
                <w:bCs/>
                <w:sz w:val="20"/>
                <w:szCs w:val="20"/>
                <w:lang w:val="en-US"/>
              </w:rPr>
            </w:pPr>
            <w:r w:rsidRPr="00640447">
              <w:rPr>
                <w:bCs/>
                <w:sz w:val="20"/>
                <w:szCs w:val="20"/>
                <w:lang w:val="en-US"/>
              </w:rPr>
              <w:t>0</w:t>
            </w:r>
          </w:p>
        </w:tc>
        <w:tc>
          <w:tcPr>
            <w:tcW w:w="656" w:type="dxa"/>
            <w:tcMar>
              <w:left w:w="28" w:type="dxa"/>
              <w:right w:w="28" w:type="dxa"/>
            </w:tcMar>
            <w:vAlign w:val="center"/>
          </w:tcPr>
          <w:p w14:paraId="54657B5D" w14:textId="77777777" w:rsidR="004A0123" w:rsidRPr="00640447" w:rsidRDefault="004A0123" w:rsidP="008A5C11">
            <w:pPr>
              <w:jc w:val="center"/>
              <w:rPr>
                <w:bCs/>
                <w:sz w:val="20"/>
                <w:szCs w:val="20"/>
                <w:lang w:val="en-US"/>
              </w:rPr>
            </w:pPr>
            <w:r w:rsidRPr="00640447">
              <w:rPr>
                <w:bCs/>
                <w:sz w:val="20"/>
                <w:szCs w:val="20"/>
                <w:lang w:val="en-US"/>
              </w:rPr>
              <w:t>0</w:t>
            </w:r>
          </w:p>
        </w:tc>
        <w:tc>
          <w:tcPr>
            <w:tcW w:w="656" w:type="dxa"/>
            <w:tcMar>
              <w:left w:w="28" w:type="dxa"/>
              <w:right w:w="28" w:type="dxa"/>
            </w:tcMar>
            <w:vAlign w:val="center"/>
          </w:tcPr>
          <w:p w14:paraId="543A8297" w14:textId="77777777" w:rsidR="004A0123" w:rsidRPr="00640447" w:rsidRDefault="004A0123" w:rsidP="008A5C11">
            <w:pPr>
              <w:jc w:val="center"/>
              <w:rPr>
                <w:bCs/>
                <w:sz w:val="20"/>
                <w:szCs w:val="20"/>
                <w:lang w:val="en-US"/>
              </w:rPr>
            </w:pPr>
            <w:r w:rsidRPr="00640447">
              <w:rPr>
                <w:bCs/>
                <w:sz w:val="20"/>
                <w:szCs w:val="20"/>
                <w:lang w:val="en-US"/>
              </w:rPr>
              <w:t>0</w:t>
            </w:r>
          </w:p>
        </w:tc>
        <w:tc>
          <w:tcPr>
            <w:tcW w:w="656" w:type="dxa"/>
            <w:vAlign w:val="center"/>
          </w:tcPr>
          <w:p w14:paraId="63B0B298" w14:textId="77777777" w:rsidR="004A0123" w:rsidRPr="00640447" w:rsidRDefault="004A0123" w:rsidP="008A5C11">
            <w:pPr>
              <w:jc w:val="center"/>
              <w:rPr>
                <w:bCs/>
                <w:sz w:val="20"/>
                <w:szCs w:val="20"/>
                <w:lang w:val="en-US"/>
              </w:rPr>
            </w:pPr>
            <w:r w:rsidRPr="00640447">
              <w:rPr>
                <w:bCs/>
                <w:sz w:val="20"/>
                <w:szCs w:val="20"/>
                <w:lang w:val="en-US"/>
              </w:rPr>
              <w:t>0</w:t>
            </w:r>
          </w:p>
        </w:tc>
        <w:tc>
          <w:tcPr>
            <w:tcW w:w="656" w:type="dxa"/>
            <w:vAlign w:val="center"/>
          </w:tcPr>
          <w:p w14:paraId="0CC065F6" w14:textId="77777777" w:rsidR="004A0123" w:rsidRPr="00640447" w:rsidRDefault="004A0123" w:rsidP="008A5C11">
            <w:pPr>
              <w:jc w:val="center"/>
              <w:rPr>
                <w:bCs/>
                <w:sz w:val="20"/>
                <w:szCs w:val="20"/>
                <w:lang w:val="en-US"/>
              </w:rPr>
            </w:pPr>
            <w:r w:rsidRPr="00640447">
              <w:rPr>
                <w:bCs/>
                <w:sz w:val="20"/>
                <w:szCs w:val="20"/>
                <w:lang w:val="en-US"/>
              </w:rPr>
              <w:t>0</w:t>
            </w:r>
          </w:p>
        </w:tc>
        <w:tc>
          <w:tcPr>
            <w:tcW w:w="656" w:type="dxa"/>
            <w:vAlign w:val="center"/>
          </w:tcPr>
          <w:p w14:paraId="4C1441B1" w14:textId="77777777" w:rsidR="004A0123" w:rsidRPr="00640447" w:rsidRDefault="004A0123" w:rsidP="008A5C11">
            <w:pPr>
              <w:jc w:val="center"/>
              <w:rPr>
                <w:bCs/>
                <w:sz w:val="20"/>
                <w:szCs w:val="20"/>
                <w:lang w:val="en-US"/>
              </w:rPr>
            </w:pPr>
            <w:r w:rsidRPr="00640447">
              <w:rPr>
                <w:bCs/>
                <w:sz w:val="20"/>
                <w:szCs w:val="20"/>
                <w:lang w:val="en-US"/>
              </w:rPr>
              <w:t>0</w:t>
            </w:r>
          </w:p>
        </w:tc>
        <w:tc>
          <w:tcPr>
            <w:tcW w:w="656" w:type="dxa"/>
            <w:vAlign w:val="center"/>
          </w:tcPr>
          <w:p w14:paraId="40290D66" w14:textId="77777777" w:rsidR="004A0123" w:rsidRPr="00640447" w:rsidRDefault="004A0123" w:rsidP="008A5C11">
            <w:pPr>
              <w:jc w:val="center"/>
              <w:rPr>
                <w:bCs/>
                <w:sz w:val="20"/>
                <w:szCs w:val="20"/>
                <w:lang w:val="en-US"/>
              </w:rPr>
            </w:pPr>
            <w:r w:rsidRPr="00640447">
              <w:rPr>
                <w:bCs/>
                <w:sz w:val="20"/>
                <w:szCs w:val="20"/>
                <w:lang w:val="en-US"/>
              </w:rPr>
              <w:t>0</w:t>
            </w:r>
          </w:p>
        </w:tc>
        <w:tc>
          <w:tcPr>
            <w:tcW w:w="656" w:type="dxa"/>
            <w:vAlign w:val="center"/>
          </w:tcPr>
          <w:p w14:paraId="01F3E3B1" w14:textId="77777777" w:rsidR="004A0123" w:rsidRPr="00640447" w:rsidRDefault="004A0123" w:rsidP="008A5C11">
            <w:pPr>
              <w:jc w:val="center"/>
              <w:rPr>
                <w:bCs/>
                <w:sz w:val="20"/>
                <w:szCs w:val="20"/>
                <w:lang w:val="en-US"/>
              </w:rPr>
            </w:pPr>
            <w:r w:rsidRPr="00640447">
              <w:rPr>
                <w:bCs/>
                <w:sz w:val="20"/>
                <w:szCs w:val="20"/>
                <w:lang w:val="en-US"/>
              </w:rPr>
              <w:t>0</w:t>
            </w:r>
          </w:p>
        </w:tc>
      </w:tr>
      <w:tr w:rsidR="004A0123" w:rsidRPr="00640447" w14:paraId="4A792FED" w14:textId="77777777" w:rsidTr="008A5C11">
        <w:trPr>
          <w:trHeight w:val="255"/>
          <w:jc w:val="center"/>
        </w:trPr>
        <w:tc>
          <w:tcPr>
            <w:tcW w:w="356" w:type="dxa"/>
            <w:shd w:val="clear" w:color="auto" w:fill="auto"/>
            <w:tcMar>
              <w:left w:w="28" w:type="dxa"/>
              <w:right w:w="28" w:type="dxa"/>
            </w:tcMar>
            <w:vAlign w:val="center"/>
            <w:hideMark/>
          </w:tcPr>
          <w:p w14:paraId="3D1A494E" w14:textId="77777777" w:rsidR="004A0123" w:rsidRPr="00640447" w:rsidRDefault="004A0123" w:rsidP="008A5C11">
            <w:pPr>
              <w:jc w:val="center"/>
              <w:rPr>
                <w:bCs/>
                <w:sz w:val="20"/>
                <w:szCs w:val="20"/>
              </w:rPr>
            </w:pPr>
            <w:r w:rsidRPr="00640447">
              <w:rPr>
                <w:bCs/>
                <w:sz w:val="20"/>
                <w:szCs w:val="20"/>
              </w:rPr>
              <w:t>5.</w:t>
            </w:r>
          </w:p>
        </w:tc>
        <w:tc>
          <w:tcPr>
            <w:tcW w:w="1585" w:type="dxa"/>
            <w:shd w:val="clear" w:color="auto" w:fill="auto"/>
            <w:tcMar>
              <w:left w:w="28" w:type="dxa"/>
              <w:right w:w="28" w:type="dxa"/>
            </w:tcMar>
            <w:vAlign w:val="center"/>
            <w:hideMark/>
          </w:tcPr>
          <w:p w14:paraId="347B1B28" w14:textId="77777777" w:rsidR="004A0123" w:rsidRPr="00640447" w:rsidRDefault="004A0123" w:rsidP="008A5C11">
            <w:pPr>
              <w:rPr>
                <w:bCs/>
                <w:sz w:val="20"/>
                <w:szCs w:val="20"/>
              </w:rPr>
            </w:pPr>
            <w:r w:rsidRPr="00640447">
              <w:rPr>
                <w:bCs/>
                <w:sz w:val="20"/>
                <w:szCs w:val="20"/>
              </w:rPr>
              <w:t>Итого по программе</w:t>
            </w:r>
          </w:p>
        </w:tc>
        <w:tc>
          <w:tcPr>
            <w:tcW w:w="1196" w:type="dxa"/>
            <w:shd w:val="clear" w:color="auto" w:fill="auto"/>
            <w:tcMar>
              <w:left w:w="28" w:type="dxa"/>
              <w:right w:w="28" w:type="dxa"/>
            </w:tcMar>
            <w:vAlign w:val="center"/>
          </w:tcPr>
          <w:p w14:paraId="71CD9250" w14:textId="77777777" w:rsidR="004A0123" w:rsidRPr="00640447" w:rsidRDefault="004A0123" w:rsidP="008A5C11">
            <w:pPr>
              <w:jc w:val="center"/>
              <w:rPr>
                <w:color w:val="000000"/>
                <w:sz w:val="20"/>
                <w:szCs w:val="20"/>
              </w:rPr>
            </w:pPr>
            <w:r w:rsidRPr="00640447">
              <w:rPr>
                <w:color w:val="000000"/>
                <w:sz w:val="20"/>
                <w:szCs w:val="20"/>
              </w:rPr>
              <w:t>2588907</w:t>
            </w:r>
          </w:p>
        </w:tc>
        <w:tc>
          <w:tcPr>
            <w:tcW w:w="756" w:type="dxa"/>
            <w:shd w:val="clear" w:color="auto" w:fill="auto"/>
            <w:tcMar>
              <w:left w:w="28" w:type="dxa"/>
              <w:right w:w="28" w:type="dxa"/>
            </w:tcMar>
            <w:vAlign w:val="center"/>
          </w:tcPr>
          <w:p w14:paraId="7672FD85" w14:textId="77777777" w:rsidR="004A0123" w:rsidRPr="00640447" w:rsidRDefault="004A0123" w:rsidP="008A5C11">
            <w:pPr>
              <w:jc w:val="center"/>
              <w:rPr>
                <w:color w:val="000000"/>
                <w:sz w:val="20"/>
                <w:szCs w:val="20"/>
              </w:rPr>
            </w:pPr>
            <w:r w:rsidRPr="00640447">
              <w:rPr>
                <w:color w:val="000000"/>
                <w:sz w:val="20"/>
                <w:szCs w:val="20"/>
              </w:rPr>
              <w:t>2588907</w:t>
            </w:r>
          </w:p>
        </w:tc>
        <w:tc>
          <w:tcPr>
            <w:tcW w:w="656" w:type="dxa"/>
            <w:shd w:val="clear" w:color="auto" w:fill="auto"/>
            <w:tcMar>
              <w:left w:w="28" w:type="dxa"/>
              <w:right w:w="28" w:type="dxa"/>
            </w:tcMar>
            <w:vAlign w:val="center"/>
          </w:tcPr>
          <w:p w14:paraId="3474DE43" w14:textId="77777777" w:rsidR="004A0123" w:rsidRPr="00640447" w:rsidRDefault="004A0123" w:rsidP="008A5C11">
            <w:pPr>
              <w:jc w:val="center"/>
              <w:rPr>
                <w:color w:val="000000"/>
                <w:sz w:val="20"/>
                <w:szCs w:val="20"/>
              </w:rPr>
            </w:pPr>
            <w:r w:rsidRPr="00640447">
              <w:rPr>
                <w:color w:val="000000"/>
                <w:sz w:val="20"/>
                <w:szCs w:val="20"/>
              </w:rPr>
              <w:t>320046</w:t>
            </w:r>
          </w:p>
        </w:tc>
        <w:tc>
          <w:tcPr>
            <w:tcW w:w="656" w:type="dxa"/>
            <w:shd w:val="clear" w:color="auto" w:fill="auto"/>
            <w:tcMar>
              <w:left w:w="28" w:type="dxa"/>
              <w:right w:w="28" w:type="dxa"/>
            </w:tcMar>
            <w:vAlign w:val="center"/>
          </w:tcPr>
          <w:p w14:paraId="027F8F6E" w14:textId="77777777" w:rsidR="004A0123" w:rsidRPr="00640447" w:rsidRDefault="004A0123" w:rsidP="008A5C11">
            <w:pPr>
              <w:jc w:val="center"/>
              <w:rPr>
                <w:color w:val="000000"/>
                <w:sz w:val="20"/>
                <w:szCs w:val="20"/>
              </w:rPr>
            </w:pPr>
            <w:r w:rsidRPr="00640447">
              <w:rPr>
                <w:color w:val="000000"/>
                <w:sz w:val="20"/>
                <w:szCs w:val="20"/>
              </w:rPr>
              <w:t>159035</w:t>
            </w:r>
          </w:p>
        </w:tc>
        <w:tc>
          <w:tcPr>
            <w:tcW w:w="590" w:type="dxa"/>
            <w:shd w:val="clear" w:color="auto" w:fill="auto"/>
            <w:tcMar>
              <w:left w:w="28" w:type="dxa"/>
              <w:right w:w="28" w:type="dxa"/>
            </w:tcMar>
            <w:vAlign w:val="center"/>
          </w:tcPr>
          <w:p w14:paraId="72AE0F54" w14:textId="77777777" w:rsidR="004A0123" w:rsidRPr="00640447" w:rsidRDefault="004A0123" w:rsidP="008A5C11">
            <w:pPr>
              <w:jc w:val="center"/>
              <w:rPr>
                <w:color w:val="000000"/>
                <w:sz w:val="20"/>
                <w:szCs w:val="20"/>
              </w:rPr>
            </w:pPr>
            <w:r w:rsidRPr="00640447">
              <w:rPr>
                <w:color w:val="000000"/>
                <w:sz w:val="20"/>
                <w:szCs w:val="20"/>
              </w:rPr>
              <w:t>145686</w:t>
            </w:r>
          </w:p>
        </w:tc>
        <w:tc>
          <w:tcPr>
            <w:tcW w:w="656" w:type="dxa"/>
            <w:tcMar>
              <w:left w:w="28" w:type="dxa"/>
              <w:right w:w="28" w:type="dxa"/>
            </w:tcMar>
            <w:vAlign w:val="center"/>
          </w:tcPr>
          <w:p w14:paraId="1A8EF558" w14:textId="77777777" w:rsidR="004A0123" w:rsidRPr="00640447" w:rsidRDefault="004A0123" w:rsidP="008A5C11">
            <w:pPr>
              <w:jc w:val="center"/>
              <w:rPr>
                <w:color w:val="000000"/>
                <w:sz w:val="20"/>
                <w:szCs w:val="20"/>
              </w:rPr>
            </w:pPr>
            <w:r w:rsidRPr="00640447">
              <w:rPr>
                <w:color w:val="000000"/>
                <w:sz w:val="20"/>
                <w:szCs w:val="20"/>
              </w:rPr>
              <w:t>157424</w:t>
            </w:r>
          </w:p>
        </w:tc>
        <w:tc>
          <w:tcPr>
            <w:tcW w:w="656" w:type="dxa"/>
            <w:tcMar>
              <w:left w:w="28" w:type="dxa"/>
              <w:right w:w="28" w:type="dxa"/>
            </w:tcMar>
            <w:vAlign w:val="center"/>
          </w:tcPr>
          <w:p w14:paraId="7966E3B1" w14:textId="77777777" w:rsidR="004A0123" w:rsidRPr="00640447" w:rsidRDefault="004A0123" w:rsidP="008A5C11">
            <w:pPr>
              <w:jc w:val="center"/>
              <w:rPr>
                <w:color w:val="000000"/>
                <w:sz w:val="20"/>
                <w:szCs w:val="20"/>
              </w:rPr>
            </w:pPr>
            <w:r w:rsidRPr="00640447">
              <w:rPr>
                <w:color w:val="000000"/>
                <w:sz w:val="20"/>
                <w:szCs w:val="20"/>
              </w:rPr>
              <w:t>212600</w:t>
            </w:r>
          </w:p>
        </w:tc>
        <w:tc>
          <w:tcPr>
            <w:tcW w:w="656" w:type="dxa"/>
            <w:vAlign w:val="center"/>
          </w:tcPr>
          <w:p w14:paraId="7B39FC60" w14:textId="77777777" w:rsidR="004A0123" w:rsidRPr="00640447" w:rsidRDefault="004A0123" w:rsidP="008A5C11">
            <w:pPr>
              <w:jc w:val="center"/>
              <w:rPr>
                <w:color w:val="000000"/>
                <w:sz w:val="20"/>
                <w:szCs w:val="20"/>
              </w:rPr>
            </w:pPr>
            <w:r w:rsidRPr="00640447">
              <w:rPr>
                <w:color w:val="000000"/>
                <w:sz w:val="20"/>
                <w:szCs w:val="20"/>
                <w:lang w:val="en-US"/>
              </w:rPr>
              <w:t>191865</w:t>
            </w:r>
          </w:p>
        </w:tc>
        <w:tc>
          <w:tcPr>
            <w:tcW w:w="656" w:type="dxa"/>
            <w:vAlign w:val="center"/>
          </w:tcPr>
          <w:p w14:paraId="7A93F179" w14:textId="77777777" w:rsidR="004A0123" w:rsidRPr="00640447" w:rsidRDefault="004A0123" w:rsidP="008A5C11">
            <w:pPr>
              <w:jc w:val="center"/>
              <w:rPr>
                <w:color w:val="000000"/>
                <w:sz w:val="20"/>
                <w:szCs w:val="20"/>
              </w:rPr>
            </w:pPr>
            <w:r w:rsidRPr="00640447">
              <w:rPr>
                <w:color w:val="000000"/>
                <w:sz w:val="20"/>
                <w:szCs w:val="20"/>
                <w:lang w:val="en-US"/>
              </w:rPr>
              <w:t>248171</w:t>
            </w:r>
          </w:p>
        </w:tc>
        <w:tc>
          <w:tcPr>
            <w:tcW w:w="656" w:type="dxa"/>
            <w:vAlign w:val="center"/>
          </w:tcPr>
          <w:p w14:paraId="18A39FE0" w14:textId="77777777" w:rsidR="004A0123" w:rsidRPr="00640447" w:rsidRDefault="004A0123" w:rsidP="008A5C11">
            <w:pPr>
              <w:jc w:val="center"/>
              <w:rPr>
                <w:color w:val="000000"/>
                <w:sz w:val="20"/>
                <w:szCs w:val="20"/>
              </w:rPr>
            </w:pPr>
            <w:r w:rsidRPr="00640447">
              <w:rPr>
                <w:color w:val="000000"/>
                <w:sz w:val="20"/>
                <w:szCs w:val="20"/>
                <w:lang w:val="en-US"/>
              </w:rPr>
              <w:t>312218</w:t>
            </w:r>
          </w:p>
        </w:tc>
        <w:tc>
          <w:tcPr>
            <w:tcW w:w="656" w:type="dxa"/>
            <w:vAlign w:val="center"/>
          </w:tcPr>
          <w:p w14:paraId="58392406" w14:textId="77777777" w:rsidR="004A0123" w:rsidRPr="00640447" w:rsidRDefault="004A0123" w:rsidP="008A5C11">
            <w:pPr>
              <w:jc w:val="center"/>
              <w:rPr>
                <w:color w:val="000000"/>
                <w:sz w:val="20"/>
                <w:szCs w:val="20"/>
              </w:rPr>
            </w:pPr>
            <w:r w:rsidRPr="00640447">
              <w:rPr>
                <w:color w:val="000000"/>
                <w:sz w:val="20"/>
                <w:szCs w:val="20"/>
                <w:lang w:val="en-US"/>
              </w:rPr>
              <w:t>388280</w:t>
            </w:r>
          </w:p>
        </w:tc>
        <w:tc>
          <w:tcPr>
            <w:tcW w:w="656" w:type="dxa"/>
            <w:vAlign w:val="center"/>
          </w:tcPr>
          <w:p w14:paraId="2327D73E" w14:textId="77777777" w:rsidR="004A0123" w:rsidRPr="00640447" w:rsidRDefault="004A0123" w:rsidP="008A5C11">
            <w:pPr>
              <w:jc w:val="center"/>
              <w:rPr>
                <w:color w:val="000000"/>
                <w:sz w:val="20"/>
                <w:szCs w:val="20"/>
              </w:rPr>
            </w:pPr>
            <w:r w:rsidRPr="00640447">
              <w:rPr>
                <w:color w:val="000000"/>
                <w:sz w:val="20"/>
                <w:szCs w:val="20"/>
                <w:lang w:val="en-US"/>
              </w:rPr>
              <w:t>453582</w:t>
            </w:r>
          </w:p>
        </w:tc>
      </w:tr>
    </w:tbl>
    <w:p w14:paraId="26307F1A" w14:textId="77777777" w:rsidR="004A0123" w:rsidRPr="00640447" w:rsidRDefault="004A0123" w:rsidP="004A0123">
      <w:pPr>
        <w:jc w:val="right"/>
        <w:rPr>
          <w:bCs/>
          <w:color w:val="000000"/>
        </w:rPr>
      </w:pPr>
    </w:p>
    <w:p w14:paraId="2D88C06B" w14:textId="77777777" w:rsidR="004A0123" w:rsidRPr="00640447" w:rsidRDefault="004A0123" w:rsidP="004A0123">
      <w:pPr>
        <w:jc w:val="right"/>
        <w:rPr>
          <w:bCs/>
          <w:color w:val="000000"/>
        </w:rPr>
      </w:pPr>
    </w:p>
    <w:p w14:paraId="724A96A5" w14:textId="77777777" w:rsidR="004A0123" w:rsidRPr="00640447" w:rsidRDefault="004A0123" w:rsidP="004A0123">
      <w:pPr>
        <w:jc w:val="right"/>
        <w:rPr>
          <w:bCs/>
          <w:color w:val="000000"/>
        </w:rPr>
      </w:pPr>
    </w:p>
    <w:p w14:paraId="3282269D" w14:textId="77777777" w:rsidR="004A0123" w:rsidRPr="00640447" w:rsidRDefault="004A0123" w:rsidP="004A0123">
      <w:pPr>
        <w:jc w:val="right"/>
        <w:rPr>
          <w:bCs/>
          <w:color w:val="000000"/>
        </w:rPr>
      </w:pPr>
    </w:p>
    <w:p w14:paraId="46101373" w14:textId="77777777" w:rsidR="004A0123" w:rsidRPr="00640447" w:rsidRDefault="004A0123" w:rsidP="004A0123">
      <w:pPr>
        <w:jc w:val="right"/>
        <w:rPr>
          <w:bCs/>
          <w:color w:val="000000"/>
        </w:rPr>
      </w:pPr>
    </w:p>
    <w:p w14:paraId="71C70861" w14:textId="77777777" w:rsidR="004A0123" w:rsidRPr="00640447" w:rsidRDefault="004A0123" w:rsidP="004A0123">
      <w:pPr>
        <w:jc w:val="right"/>
        <w:rPr>
          <w:bCs/>
          <w:color w:val="000000"/>
        </w:rPr>
      </w:pPr>
    </w:p>
    <w:p w14:paraId="7B9956C3" w14:textId="77777777" w:rsidR="004A0123" w:rsidRPr="00640447" w:rsidRDefault="004A0123" w:rsidP="004A0123">
      <w:pPr>
        <w:jc w:val="right"/>
        <w:rPr>
          <w:bCs/>
          <w:color w:val="000000"/>
        </w:rPr>
      </w:pPr>
    </w:p>
    <w:p w14:paraId="44A27BD6" w14:textId="77777777" w:rsidR="004A0123" w:rsidRPr="00640447" w:rsidRDefault="004A0123" w:rsidP="004A0123">
      <w:pPr>
        <w:jc w:val="right"/>
        <w:rPr>
          <w:bCs/>
          <w:color w:val="000000"/>
        </w:rPr>
      </w:pPr>
    </w:p>
    <w:p w14:paraId="2875AA78" w14:textId="77777777" w:rsidR="004A0123" w:rsidRPr="00640447" w:rsidRDefault="004A0123" w:rsidP="004A0123">
      <w:pPr>
        <w:jc w:val="right"/>
        <w:rPr>
          <w:bCs/>
          <w:color w:val="000000"/>
        </w:rPr>
      </w:pPr>
    </w:p>
    <w:p w14:paraId="45197C62" w14:textId="77777777" w:rsidR="004A0123" w:rsidRPr="00640447" w:rsidRDefault="004A0123" w:rsidP="004A0123">
      <w:pPr>
        <w:jc w:val="right"/>
        <w:rPr>
          <w:bCs/>
          <w:color w:val="000000"/>
        </w:rPr>
      </w:pPr>
    </w:p>
    <w:p w14:paraId="7DC59DAE" w14:textId="77777777" w:rsidR="004A0123" w:rsidRPr="00640447" w:rsidRDefault="004A0123" w:rsidP="004A0123">
      <w:pPr>
        <w:jc w:val="right"/>
        <w:rPr>
          <w:bCs/>
          <w:color w:val="000000"/>
        </w:rPr>
      </w:pPr>
    </w:p>
    <w:p w14:paraId="213F1380" w14:textId="77777777" w:rsidR="004A0123" w:rsidRPr="00640447" w:rsidRDefault="004A0123" w:rsidP="004A0123">
      <w:pPr>
        <w:jc w:val="right"/>
        <w:rPr>
          <w:bCs/>
          <w:color w:val="000000"/>
        </w:rPr>
      </w:pPr>
    </w:p>
    <w:p w14:paraId="0BDBCF93" w14:textId="77777777" w:rsidR="004A0123" w:rsidRPr="00640447" w:rsidRDefault="004A0123" w:rsidP="004A0123">
      <w:pPr>
        <w:jc w:val="right"/>
        <w:rPr>
          <w:bCs/>
          <w:color w:val="000000"/>
        </w:rPr>
      </w:pPr>
    </w:p>
    <w:p w14:paraId="0AB6E51D" w14:textId="77777777" w:rsidR="004A0123" w:rsidRPr="00640447" w:rsidRDefault="004A0123" w:rsidP="004A0123">
      <w:pPr>
        <w:jc w:val="right"/>
        <w:rPr>
          <w:bCs/>
          <w:color w:val="000000"/>
        </w:rPr>
      </w:pPr>
    </w:p>
    <w:p w14:paraId="2580518B" w14:textId="77777777" w:rsidR="004A0123" w:rsidRPr="00640447" w:rsidRDefault="004A0123" w:rsidP="004A0123">
      <w:pPr>
        <w:jc w:val="right"/>
        <w:rPr>
          <w:bCs/>
          <w:color w:val="000000"/>
        </w:rPr>
      </w:pPr>
    </w:p>
    <w:p w14:paraId="46C50A54" w14:textId="77777777" w:rsidR="004A0123" w:rsidRPr="00640447" w:rsidRDefault="004A0123" w:rsidP="004A0123">
      <w:pPr>
        <w:jc w:val="right"/>
        <w:rPr>
          <w:bCs/>
          <w:color w:val="000000"/>
        </w:rPr>
      </w:pPr>
    </w:p>
    <w:p w14:paraId="102A0146" w14:textId="77777777" w:rsidR="004A0123" w:rsidRPr="00640447" w:rsidRDefault="004A0123" w:rsidP="004A0123">
      <w:pPr>
        <w:jc w:val="right"/>
        <w:rPr>
          <w:bCs/>
          <w:color w:val="000000"/>
        </w:rPr>
      </w:pPr>
    </w:p>
    <w:p w14:paraId="367F9C38" w14:textId="77777777" w:rsidR="004A0123" w:rsidRPr="00640447" w:rsidRDefault="004A0123" w:rsidP="004A0123">
      <w:pPr>
        <w:jc w:val="center"/>
        <w:rPr>
          <w:b/>
          <w:bCs/>
          <w:sz w:val="28"/>
          <w:szCs w:val="28"/>
        </w:rPr>
      </w:pPr>
      <w:r w:rsidRPr="00640447">
        <w:rPr>
          <w:b/>
          <w:bCs/>
          <w:sz w:val="28"/>
          <w:szCs w:val="28"/>
        </w:rPr>
        <w:t xml:space="preserve">Отчет об исполнении инвестиционной программы </w:t>
      </w:r>
      <w:r w:rsidRPr="00640447">
        <w:rPr>
          <w:b/>
          <w:color w:val="000000"/>
          <w:sz w:val="28"/>
          <w:szCs w:val="28"/>
        </w:rPr>
        <w:t>ОАО «Северо-Кузбасская энергетическая компания» по узлу теплоснабжения Ленинск-Кузнецкого</w:t>
      </w:r>
      <w:r w:rsidRPr="00640447">
        <w:rPr>
          <w:b/>
          <w:bCs/>
          <w:sz w:val="28"/>
          <w:szCs w:val="28"/>
        </w:rPr>
        <w:t xml:space="preserve"> городского округа за 2019 год</w:t>
      </w:r>
    </w:p>
    <w:p w14:paraId="5898D640" w14:textId="77777777" w:rsidR="004A0123" w:rsidRPr="00640447" w:rsidRDefault="004A0123" w:rsidP="004A0123">
      <w:pPr>
        <w:jc w:val="center"/>
        <w:rPr>
          <w:b/>
          <w:bCs/>
          <w:sz w:val="28"/>
          <w:szCs w:val="28"/>
        </w:rPr>
      </w:pPr>
    </w:p>
    <w:tbl>
      <w:tblPr>
        <w:tblpPr w:leftFromText="180" w:rightFromText="180" w:vertAnchor="text" w:tblpY="1"/>
        <w:tblOverlap w:val="never"/>
        <w:tblW w:w="4834" w:type="pct"/>
        <w:tblLook w:val="04A0" w:firstRow="1" w:lastRow="0" w:firstColumn="1" w:lastColumn="0" w:noHBand="0" w:noVBand="1"/>
      </w:tblPr>
      <w:tblGrid>
        <w:gridCol w:w="521"/>
        <w:gridCol w:w="3034"/>
        <w:gridCol w:w="714"/>
        <w:gridCol w:w="722"/>
        <w:gridCol w:w="744"/>
        <w:gridCol w:w="774"/>
        <w:gridCol w:w="1055"/>
        <w:gridCol w:w="903"/>
        <w:gridCol w:w="1527"/>
      </w:tblGrid>
      <w:tr w:rsidR="004A0123" w:rsidRPr="00640447" w14:paraId="75970E15" w14:textId="77777777" w:rsidTr="008A5C11">
        <w:trPr>
          <w:trHeight w:val="60"/>
        </w:trPr>
        <w:tc>
          <w:tcPr>
            <w:tcW w:w="261"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A604125" w14:textId="77777777" w:rsidR="004A0123" w:rsidRPr="00640447" w:rsidRDefault="004A0123" w:rsidP="008A5C11">
            <w:pPr>
              <w:jc w:val="center"/>
              <w:rPr>
                <w:bCs/>
                <w:sz w:val="12"/>
                <w:szCs w:val="12"/>
              </w:rPr>
            </w:pPr>
            <w:r w:rsidRPr="00640447">
              <w:rPr>
                <w:bCs/>
                <w:sz w:val="12"/>
                <w:szCs w:val="12"/>
              </w:rPr>
              <w:t>№</w:t>
            </w:r>
            <w:r w:rsidRPr="00640447">
              <w:rPr>
                <w:bCs/>
                <w:sz w:val="12"/>
                <w:szCs w:val="12"/>
              </w:rPr>
              <w:br/>
              <w:t>п/п</w:t>
            </w:r>
          </w:p>
        </w:tc>
        <w:tc>
          <w:tcPr>
            <w:tcW w:w="1518"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9B017DC" w14:textId="77777777" w:rsidR="004A0123" w:rsidRPr="00640447" w:rsidRDefault="004A0123" w:rsidP="008A5C11">
            <w:pPr>
              <w:jc w:val="center"/>
              <w:rPr>
                <w:bCs/>
                <w:sz w:val="12"/>
                <w:szCs w:val="12"/>
              </w:rPr>
            </w:pPr>
            <w:r w:rsidRPr="00640447">
              <w:rPr>
                <w:bCs/>
                <w:sz w:val="12"/>
                <w:szCs w:val="12"/>
              </w:rPr>
              <w:t>Наименование</w:t>
            </w:r>
            <w:r w:rsidRPr="00640447">
              <w:rPr>
                <w:bCs/>
                <w:sz w:val="12"/>
                <w:szCs w:val="12"/>
              </w:rPr>
              <w:br/>
              <w:t>мероприятий</w:t>
            </w:r>
          </w:p>
        </w:tc>
        <w:tc>
          <w:tcPr>
            <w:tcW w:w="718" w:type="pct"/>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39030A8" w14:textId="77777777" w:rsidR="004A0123" w:rsidRPr="00640447" w:rsidRDefault="004A0123" w:rsidP="008A5C11">
            <w:pPr>
              <w:jc w:val="center"/>
              <w:rPr>
                <w:bCs/>
                <w:sz w:val="12"/>
                <w:szCs w:val="12"/>
              </w:rPr>
            </w:pPr>
            <w:r w:rsidRPr="00640447">
              <w:rPr>
                <w:bCs/>
                <w:sz w:val="12"/>
                <w:szCs w:val="12"/>
              </w:rPr>
              <w:t>Год начала реализации мероприятия</w:t>
            </w:r>
          </w:p>
        </w:tc>
        <w:tc>
          <w:tcPr>
            <w:tcW w:w="759" w:type="pct"/>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DA77FC9" w14:textId="77777777" w:rsidR="004A0123" w:rsidRPr="00640447" w:rsidRDefault="004A0123" w:rsidP="008A5C11">
            <w:pPr>
              <w:jc w:val="center"/>
              <w:rPr>
                <w:bCs/>
                <w:sz w:val="12"/>
                <w:szCs w:val="12"/>
              </w:rPr>
            </w:pPr>
            <w:r w:rsidRPr="00640447">
              <w:rPr>
                <w:bCs/>
                <w:sz w:val="12"/>
                <w:szCs w:val="12"/>
              </w:rPr>
              <w:t>Год окончания реализации мероприятия</w:t>
            </w:r>
          </w:p>
        </w:tc>
        <w:tc>
          <w:tcPr>
            <w:tcW w:w="980" w:type="pct"/>
            <w:gridSpan w:val="2"/>
            <w:tcBorders>
              <w:top w:val="single" w:sz="4" w:space="0" w:color="auto"/>
              <w:left w:val="nil"/>
              <w:bottom w:val="single" w:sz="4" w:space="0" w:color="auto"/>
              <w:right w:val="single" w:sz="4" w:space="0" w:color="auto"/>
            </w:tcBorders>
            <w:tcMar>
              <w:left w:w="28" w:type="dxa"/>
              <w:right w:w="28" w:type="dxa"/>
            </w:tcMar>
            <w:vAlign w:val="center"/>
          </w:tcPr>
          <w:p w14:paraId="7DDE2B4A" w14:textId="77777777" w:rsidR="004A0123" w:rsidRPr="00640447" w:rsidRDefault="004A0123" w:rsidP="008A5C11">
            <w:pPr>
              <w:jc w:val="center"/>
              <w:rPr>
                <w:bCs/>
                <w:sz w:val="12"/>
                <w:szCs w:val="12"/>
              </w:rPr>
            </w:pPr>
            <w:r w:rsidRPr="00640447">
              <w:rPr>
                <w:bCs/>
                <w:sz w:val="12"/>
                <w:szCs w:val="12"/>
              </w:rPr>
              <w:t>Стоимость мероприятий,</w:t>
            </w:r>
            <w:r w:rsidRPr="00640447">
              <w:rPr>
                <w:bCs/>
                <w:sz w:val="12"/>
                <w:szCs w:val="12"/>
              </w:rPr>
              <w:br/>
              <w:t>тыс. руб. (с НДС)</w:t>
            </w:r>
          </w:p>
        </w:tc>
        <w:tc>
          <w:tcPr>
            <w:tcW w:w="764" w:type="pct"/>
            <w:tcBorders>
              <w:top w:val="single" w:sz="4" w:space="0" w:color="auto"/>
              <w:left w:val="nil"/>
              <w:bottom w:val="single" w:sz="4" w:space="0" w:color="auto"/>
              <w:right w:val="single" w:sz="4" w:space="0" w:color="auto"/>
            </w:tcBorders>
            <w:tcMar>
              <w:left w:w="28" w:type="dxa"/>
              <w:right w:w="28" w:type="dxa"/>
            </w:tcMar>
            <w:vAlign w:val="center"/>
          </w:tcPr>
          <w:p w14:paraId="4F2FBDF4" w14:textId="77777777" w:rsidR="004A0123" w:rsidRPr="00640447" w:rsidRDefault="004A0123" w:rsidP="008A5C11">
            <w:pPr>
              <w:jc w:val="center"/>
              <w:rPr>
                <w:bCs/>
                <w:sz w:val="12"/>
                <w:szCs w:val="12"/>
              </w:rPr>
            </w:pPr>
            <w:r w:rsidRPr="00640447">
              <w:rPr>
                <w:sz w:val="12"/>
                <w:szCs w:val="12"/>
              </w:rPr>
              <w:t>Примечание</w:t>
            </w:r>
          </w:p>
        </w:tc>
      </w:tr>
      <w:tr w:rsidR="004A0123" w:rsidRPr="00640447" w14:paraId="03F5B73A" w14:textId="77777777" w:rsidTr="008A5C11">
        <w:trPr>
          <w:trHeight w:val="60"/>
        </w:trPr>
        <w:tc>
          <w:tcPr>
            <w:tcW w:w="261"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F0430AB" w14:textId="77777777" w:rsidR="004A0123" w:rsidRPr="00640447" w:rsidRDefault="004A0123" w:rsidP="008A5C11">
            <w:pPr>
              <w:rPr>
                <w:bCs/>
                <w:sz w:val="12"/>
                <w:szCs w:val="12"/>
              </w:rPr>
            </w:pPr>
          </w:p>
        </w:tc>
        <w:tc>
          <w:tcPr>
            <w:tcW w:w="1518"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ECBDF79" w14:textId="77777777" w:rsidR="004A0123" w:rsidRPr="00640447" w:rsidRDefault="004A0123" w:rsidP="008A5C11">
            <w:pPr>
              <w:rPr>
                <w:bCs/>
                <w:sz w:val="12"/>
                <w:szCs w:val="12"/>
              </w:rPr>
            </w:pPr>
          </w:p>
        </w:tc>
        <w:tc>
          <w:tcPr>
            <w:tcW w:w="357"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E48E626" w14:textId="77777777" w:rsidR="004A0123" w:rsidRPr="00640447" w:rsidRDefault="004A0123" w:rsidP="008A5C11">
            <w:pPr>
              <w:jc w:val="center"/>
              <w:rPr>
                <w:bCs/>
                <w:sz w:val="12"/>
                <w:szCs w:val="12"/>
              </w:rPr>
            </w:pPr>
            <w:r w:rsidRPr="00640447">
              <w:rPr>
                <w:bCs/>
                <w:sz w:val="12"/>
                <w:szCs w:val="12"/>
              </w:rPr>
              <w:t>план</w:t>
            </w:r>
          </w:p>
        </w:tc>
        <w:tc>
          <w:tcPr>
            <w:tcW w:w="361"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DB1F455" w14:textId="77777777" w:rsidR="004A0123" w:rsidRPr="00640447" w:rsidRDefault="004A0123" w:rsidP="008A5C11">
            <w:pPr>
              <w:jc w:val="center"/>
              <w:rPr>
                <w:bCs/>
                <w:sz w:val="12"/>
                <w:szCs w:val="12"/>
              </w:rPr>
            </w:pPr>
            <w:r w:rsidRPr="00640447">
              <w:rPr>
                <w:bCs/>
                <w:sz w:val="12"/>
                <w:szCs w:val="12"/>
              </w:rPr>
              <w:t>факт</w:t>
            </w:r>
          </w:p>
        </w:tc>
        <w:tc>
          <w:tcPr>
            <w:tcW w:w="372"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EF72104" w14:textId="77777777" w:rsidR="004A0123" w:rsidRPr="00640447" w:rsidRDefault="004A0123" w:rsidP="008A5C11">
            <w:pPr>
              <w:jc w:val="center"/>
              <w:rPr>
                <w:bCs/>
                <w:sz w:val="12"/>
                <w:szCs w:val="12"/>
              </w:rPr>
            </w:pPr>
            <w:r w:rsidRPr="00640447">
              <w:rPr>
                <w:bCs/>
                <w:sz w:val="12"/>
                <w:szCs w:val="12"/>
              </w:rPr>
              <w:t>план</w:t>
            </w:r>
          </w:p>
        </w:tc>
        <w:tc>
          <w:tcPr>
            <w:tcW w:w="387"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9BA82DF" w14:textId="77777777" w:rsidR="004A0123" w:rsidRPr="00640447" w:rsidRDefault="004A0123" w:rsidP="008A5C11">
            <w:pPr>
              <w:jc w:val="center"/>
              <w:rPr>
                <w:bCs/>
                <w:sz w:val="12"/>
                <w:szCs w:val="12"/>
              </w:rPr>
            </w:pPr>
            <w:r w:rsidRPr="00640447">
              <w:rPr>
                <w:bCs/>
                <w:sz w:val="12"/>
                <w:szCs w:val="12"/>
              </w:rPr>
              <w:t>факт</w:t>
            </w:r>
            <w:r w:rsidRPr="00640447">
              <w:rPr>
                <w:sz w:val="12"/>
                <w:szCs w:val="12"/>
              </w:rPr>
              <w:t xml:space="preserve"> </w:t>
            </w:r>
          </w:p>
        </w:tc>
        <w:tc>
          <w:tcPr>
            <w:tcW w:w="528" w:type="pct"/>
            <w:tcBorders>
              <w:top w:val="single" w:sz="4" w:space="0" w:color="auto"/>
              <w:left w:val="nil"/>
              <w:bottom w:val="single" w:sz="4" w:space="0" w:color="auto"/>
              <w:right w:val="single" w:sz="4" w:space="0" w:color="auto"/>
            </w:tcBorders>
            <w:tcMar>
              <w:left w:w="28" w:type="dxa"/>
              <w:right w:w="28" w:type="dxa"/>
            </w:tcMar>
            <w:vAlign w:val="center"/>
          </w:tcPr>
          <w:p w14:paraId="033B9ED9" w14:textId="77777777" w:rsidR="004A0123" w:rsidRPr="00640447" w:rsidRDefault="004A0123" w:rsidP="008A5C11">
            <w:pPr>
              <w:jc w:val="center"/>
              <w:rPr>
                <w:bCs/>
                <w:sz w:val="12"/>
                <w:szCs w:val="12"/>
              </w:rPr>
            </w:pPr>
            <w:r w:rsidRPr="00640447">
              <w:rPr>
                <w:sz w:val="12"/>
                <w:szCs w:val="12"/>
              </w:rPr>
              <w:t>план</w:t>
            </w:r>
          </w:p>
        </w:tc>
        <w:tc>
          <w:tcPr>
            <w:tcW w:w="452" w:type="pct"/>
            <w:tcBorders>
              <w:top w:val="single" w:sz="4" w:space="0" w:color="auto"/>
              <w:left w:val="nil"/>
              <w:bottom w:val="single" w:sz="4" w:space="0" w:color="auto"/>
              <w:right w:val="single" w:sz="4" w:space="0" w:color="auto"/>
            </w:tcBorders>
            <w:tcMar>
              <w:left w:w="28" w:type="dxa"/>
              <w:right w:w="28" w:type="dxa"/>
            </w:tcMar>
            <w:vAlign w:val="center"/>
          </w:tcPr>
          <w:p w14:paraId="2149ABCC" w14:textId="77777777" w:rsidR="004A0123" w:rsidRPr="00640447" w:rsidRDefault="004A0123" w:rsidP="008A5C11">
            <w:pPr>
              <w:jc w:val="center"/>
              <w:rPr>
                <w:bCs/>
                <w:sz w:val="12"/>
                <w:szCs w:val="12"/>
              </w:rPr>
            </w:pPr>
            <w:r w:rsidRPr="00640447">
              <w:rPr>
                <w:sz w:val="12"/>
                <w:szCs w:val="12"/>
              </w:rPr>
              <w:t>факт</w:t>
            </w:r>
          </w:p>
        </w:tc>
        <w:tc>
          <w:tcPr>
            <w:tcW w:w="764" w:type="pct"/>
            <w:tcBorders>
              <w:top w:val="single" w:sz="4" w:space="0" w:color="auto"/>
              <w:left w:val="nil"/>
              <w:bottom w:val="single" w:sz="4" w:space="0" w:color="auto"/>
              <w:right w:val="single" w:sz="4" w:space="0" w:color="auto"/>
            </w:tcBorders>
            <w:tcMar>
              <w:left w:w="28" w:type="dxa"/>
              <w:right w:w="28" w:type="dxa"/>
            </w:tcMar>
            <w:vAlign w:val="center"/>
          </w:tcPr>
          <w:p w14:paraId="22507719" w14:textId="77777777" w:rsidR="004A0123" w:rsidRPr="00640447" w:rsidRDefault="004A0123" w:rsidP="008A5C11">
            <w:pPr>
              <w:jc w:val="center"/>
              <w:rPr>
                <w:bCs/>
                <w:sz w:val="12"/>
                <w:szCs w:val="12"/>
              </w:rPr>
            </w:pPr>
          </w:p>
        </w:tc>
      </w:tr>
      <w:tr w:rsidR="004A0123" w:rsidRPr="00640447" w14:paraId="2D08C10C" w14:textId="77777777" w:rsidTr="008A5C11">
        <w:trPr>
          <w:trHeight w:val="60"/>
        </w:trPr>
        <w:tc>
          <w:tcPr>
            <w:tcW w:w="5000" w:type="pct"/>
            <w:gridSpan w:val="9"/>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482E7F1" w14:textId="77777777" w:rsidR="004A0123" w:rsidRPr="00640447" w:rsidRDefault="004A0123" w:rsidP="008A5C11">
            <w:pPr>
              <w:rPr>
                <w:bCs/>
                <w:sz w:val="12"/>
                <w:szCs w:val="12"/>
              </w:rPr>
            </w:pPr>
            <w:r w:rsidRPr="00640447">
              <w:rPr>
                <w:bCs/>
                <w:sz w:val="12"/>
                <w:szCs w:val="12"/>
              </w:rPr>
              <w:t>Группа 1. Строительство, реконструкция или модернизация объектов в целях подключения потребителей:</w:t>
            </w:r>
          </w:p>
        </w:tc>
      </w:tr>
      <w:tr w:rsidR="004A0123" w:rsidRPr="00640447" w14:paraId="1CC67CBF" w14:textId="77777777" w:rsidTr="008A5C11">
        <w:trPr>
          <w:trHeight w:val="60"/>
        </w:trPr>
        <w:tc>
          <w:tcPr>
            <w:tcW w:w="1779"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3E2C18D" w14:textId="77777777" w:rsidR="004A0123" w:rsidRPr="00640447" w:rsidRDefault="004A0123" w:rsidP="008A5C11">
            <w:pPr>
              <w:rPr>
                <w:bCs/>
                <w:sz w:val="12"/>
                <w:szCs w:val="12"/>
              </w:rPr>
            </w:pPr>
            <w:r w:rsidRPr="00640447">
              <w:rPr>
                <w:bCs/>
                <w:sz w:val="12"/>
                <w:szCs w:val="12"/>
              </w:rPr>
              <w:t>Всего по группе 1.</w:t>
            </w:r>
          </w:p>
        </w:tc>
        <w:tc>
          <w:tcPr>
            <w:tcW w:w="357"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6D28100B" w14:textId="77777777" w:rsidR="004A0123" w:rsidRPr="00640447" w:rsidRDefault="004A0123" w:rsidP="008A5C11">
            <w:pPr>
              <w:jc w:val="center"/>
              <w:rPr>
                <w:bCs/>
                <w:sz w:val="12"/>
                <w:szCs w:val="12"/>
              </w:rPr>
            </w:pPr>
            <w:r w:rsidRPr="00640447">
              <w:rPr>
                <w:bCs/>
                <w:sz w:val="12"/>
                <w:szCs w:val="12"/>
              </w:rPr>
              <w:t>-</w:t>
            </w:r>
          </w:p>
        </w:tc>
        <w:tc>
          <w:tcPr>
            <w:tcW w:w="361"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34FC5D53" w14:textId="77777777" w:rsidR="004A0123" w:rsidRPr="00640447" w:rsidRDefault="004A0123" w:rsidP="008A5C11">
            <w:pPr>
              <w:jc w:val="center"/>
              <w:rPr>
                <w:bCs/>
                <w:sz w:val="12"/>
                <w:szCs w:val="12"/>
              </w:rPr>
            </w:pPr>
            <w:r w:rsidRPr="00640447">
              <w:rPr>
                <w:bCs/>
                <w:sz w:val="12"/>
                <w:szCs w:val="12"/>
              </w:rPr>
              <w:t>-</w:t>
            </w:r>
          </w:p>
        </w:tc>
        <w:tc>
          <w:tcPr>
            <w:tcW w:w="372"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5094FF36" w14:textId="77777777" w:rsidR="004A0123" w:rsidRPr="00640447" w:rsidRDefault="004A0123" w:rsidP="008A5C11">
            <w:pPr>
              <w:jc w:val="center"/>
              <w:rPr>
                <w:bCs/>
                <w:sz w:val="12"/>
                <w:szCs w:val="12"/>
              </w:rPr>
            </w:pPr>
            <w:r w:rsidRPr="00640447">
              <w:rPr>
                <w:bCs/>
                <w:sz w:val="12"/>
                <w:szCs w:val="12"/>
              </w:rPr>
              <w:t>-</w:t>
            </w:r>
          </w:p>
        </w:tc>
        <w:tc>
          <w:tcPr>
            <w:tcW w:w="387"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7F0F8E15" w14:textId="77777777" w:rsidR="004A0123" w:rsidRPr="00640447" w:rsidRDefault="004A0123" w:rsidP="008A5C11">
            <w:pPr>
              <w:jc w:val="center"/>
              <w:rPr>
                <w:bCs/>
                <w:sz w:val="12"/>
                <w:szCs w:val="12"/>
              </w:rPr>
            </w:pPr>
            <w:r w:rsidRPr="00640447">
              <w:rPr>
                <w:bCs/>
                <w:sz w:val="12"/>
                <w:szCs w:val="12"/>
              </w:rPr>
              <w:t>-</w:t>
            </w:r>
          </w:p>
        </w:tc>
        <w:tc>
          <w:tcPr>
            <w:tcW w:w="528" w:type="pct"/>
            <w:tcBorders>
              <w:top w:val="single" w:sz="4" w:space="0" w:color="auto"/>
              <w:left w:val="nil"/>
              <w:bottom w:val="single" w:sz="4" w:space="0" w:color="auto"/>
              <w:right w:val="single" w:sz="4" w:space="0" w:color="auto"/>
            </w:tcBorders>
            <w:tcMar>
              <w:left w:w="28" w:type="dxa"/>
              <w:right w:w="28" w:type="dxa"/>
            </w:tcMar>
            <w:vAlign w:val="center"/>
          </w:tcPr>
          <w:p w14:paraId="12CAC92C" w14:textId="77777777" w:rsidR="004A0123" w:rsidRPr="00640447" w:rsidRDefault="004A0123" w:rsidP="008A5C11">
            <w:pPr>
              <w:jc w:val="center"/>
              <w:rPr>
                <w:sz w:val="12"/>
                <w:szCs w:val="12"/>
              </w:rPr>
            </w:pPr>
            <w:r w:rsidRPr="00640447">
              <w:rPr>
                <w:sz w:val="12"/>
                <w:szCs w:val="12"/>
              </w:rPr>
              <w:t>0</w:t>
            </w:r>
          </w:p>
        </w:tc>
        <w:tc>
          <w:tcPr>
            <w:tcW w:w="452" w:type="pct"/>
            <w:tcBorders>
              <w:top w:val="single" w:sz="4" w:space="0" w:color="auto"/>
              <w:left w:val="nil"/>
              <w:bottom w:val="single" w:sz="4" w:space="0" w:color="auto"/>
              <w:right w:val="single" w:sz="4" w:space="0" w:color="auto"/>
            </w:tcBorders>
            <w:tcMar>
              <w:left w:w="28" w:type="dxa"/>
              <w:right w:w="28" w:type="dxa"/>
            </w:tcMar>
            <w:vAlign w:val="center"/>
          </w:tcPr>
          <w:p w14:paraId="0894551C" w14:textId="77777777" w:rsidR="004A0123" w:rsidRPr="00640447" w:rsidRDefault="004A0123" w:rsidP="008A5C11">
            <w:pPr>
              <w:jc w:val="center"/>
              <w:rPr>
                <w:sz w:val="12"/>
                <w:szCs w:val="12"/>
              </w:rPr>
            </w:pPr>
            <w:r w:rsidRPr="00640447">
              <w:rPr>
                <w:sz w:val="12"/>
                <w:szCs w:val="12"/>
              </w:rPr>
              <w:t>0</w:t>
            </w:r>
          </w:p>
        </w:tc>
        <w:tc>
          <w:tcPr>
            <w:tcW w:w="764" w:type="pct"/>
            <w:tcBorders>
              <w:top w:val="single" w:sz="4" w:space="0" w:color="auto"/>
              <w:left w:val="nil"/>
              <w:bottom w:val="single" w:sz="4" w:space="0" w:color="auto"/>
              <w:right w:val="single" w:sz="4" w:space="0" w:color="auto"/>
            </w:tcBorders>
            <w:tcMar>
              <w:left w:w="28" w:type="dxa"/>
              <w:right w:w="28" w:type="dxa"/>
            </w:tcMar>
            <w:vAlign w:val="center"/>
          </w:tcPr>
          <w:p w14:paraId="3D91C885" w14:textId="77777777" w:rsidR="004A0123" w:rsidRPr="00640447" w:rsidRDefault="004A0123" w:rsidP="008A5C11">
            <w:pPr>
              <w:jc w:val="center"/>
              <w:rPr>
                <w:bCs/>
                <w:sz w:val="12"/>
                <w:szCs w:val="12"/>
              </w:rPr>
            </w:pPr>
          </w:p>
        </w:tc>
      </w:tr>
      <w:tr w:rsidR="004A0123" w:rsidRPr="00640447" w14:paraId="427DA1E9" w14:textId="77777777" w:rsidTr="008A5C11">
        <w:trPr>
          <w:trHeight w:val="60"/>
        </w:trPr>
        <w:tc>
          <w:tcPr>
            <w:tcW w:w="5000" w:type="pct"/>
            <w:gridSpan w:val="9"/>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5AC6A7B" w14:textId="77777777" w:rsidR="004A0123" w:rsidRPr="00640447" w:rsidRDefault="004A0123" w:rsidP="008A5C11">
            <w:pPr>
              <w:rPr>
                <w:bCs/>
                <w:sz w:val="12"/>
                <w:szCs w:val="12"/>
              </w:rPr>
            </w:pPr>
            <w:r w:rsidRPr="00640447">
              <w:rPr>
                <w:bCs/>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w:t>
            </w:r>
          </w:p>
        </w:tc>
      </w:tr>
      <w:tr w:rsidR="004A0123" w:rsidRPr="00640447" w14:paraId="1454FC6B" w14:textId="77777777" w:rsidTr="008A5C11">
        <w:trPr>
          <w:trHeight w:val="104"/>
        </w:trPr>
        <w:tc>
          <w:tcPr>
            <w:tcW w:w="261" w:type="pct"/>
            <w:vMerge w:val="restart"/>
            <w:tcBorders>
              <w:top w:val="single" w:sz="4" w:space="0" w:color="auto"/>
              <w:left w:val="single" w:sz="4" w:space="0" w:color="auto"/>
              <w:right w:val="single" w:sz="4" w:space="0" w:color="auto"/>
            </w:tcBorders>
            <w:tcMar>
              <w:left w:w="28" w:type="dxa"/>
              <w:right w:w="28" w:type="dxa"/>
            </w:tcMar>
            <w:vAlign w:val="center"/>
          </w:tcPr>
          <w:p w14:paraId="68B94E72" w14:textId="77777777" w:rsidR="004A0123" w:rsidRPr="00640447" w:rsidRDefault="004A0123" w:rsidP="008A5C11">
            <w:pPr>
              <w:jc w:val="center"/>
              <w:rPr>
                <w:bCs/>
                <w:sz w:val="12"/>
                <w:szCs w:val="12"/>
              </w:rPr>
            </w:pPr>
            <w:r w:rsidRPr="00640447">
              <w:rPr>
                <w:bCs/>
                <w:sz w:val="12"/>
                <w:szCs w:val="12"/>
              </w:rPr>
              <w:t>2.1.</w:t>
            </w:r>
          </w:p>
        </w:tc>
        <w:tc>
          <w:tcPr>
            <w:tcW w:w="1518" w:type="pct"/>
            <w:vMerge w:val="restart"/>
            <w:tcBorders>
              <w:top w:val="single" w:sz="4" w:space="0" w:color="auto"/>
              <w:left w:val="single" w:sz="4" w:space="0" w:color="auto"/>
              <w:right w:val="single" w:sz="4" w:space="0" w:color="auto"/>
            </w:tcBorders>
            <w:tcMar>
              <w:left w:w="28" w:type="dxa"/>
              <w:right w:w="28" w:type="dxa"/>
            </w:tcMar>
            <w:vAlign w:val="center"/>
          </w:tcPr>
          <w:p w14:paraId="28034D59" w14:textId="77777777" w:rsidR="004A0123" w:rsidRPr="00640447" w:rsidRDefault="004A0123" w:rsidP="008A5C11">
            <w:pPr>
              <w:jc w:val="center"/>
              <w:rPr>
                <w:bCs/>
                <w:sz w:val="12"/>
                <w:szCs w:val="12"/>
              </w:rPr>
            </w:pPr>
            <w:r w:rsidRPr="00640447">
              <w:rPr>
                <w:bCs/>
                <w:sz w:val="12"/>
                <w:szCs w:val="12"/>
              </w:rPr>
              <w:t>Установка котельной «Терморобот» на ОСК, НФС, 2Г/</w:t>
            </w:r>
            <w:proofErr w:type="gramStart"/>
            <w:r w:rsidRPr="00640447">
              <w:rPr>
                <w:bCs/>
                <w:sz w:val="12"/>
                <w:szCs w:val="12"/>
              </w:rPr>
              <w:t>У,  44</w:t>
            </w:r>
            <w:proofErr w:type="gramEnd"/>
          </w:p>
        </w:tc>
        <w:tc>
          <w:tcPr>
            <w:tcW w:w="357" w:type="pct"/>
            <w:vMerge w:val="restart"/>
            <w:tcBorders>
              <w:top w:val="single" w:sz="4" w:space="0" w:color="auto"/>
              <w:left w:val="nil"/>
              <w:right w:val="single" w:sz="4" w:space="0" w:color="auto"/>
            </w:tcBorders>
            <w:shd w:val="clear" w:color="auto" w:fill="auto"/>
            <w:noWrap/>
            <w:tcMar>
              <w:left w:w="28" w:type="dxa"/>
              <w:right w:w="28" w:type="dxa"/>
            </w:tcMar>
            <w:vAlign w:val="center"/>
          </w:tcPr>
          <w:p w14:paraId="21BB1252" w14:textId="77777777" w:rsidR="004A0123" w:rsidRPr="00640447" w:rsidRDefault="004A0123" w:rsidP="008A5C11">
            <w:pPr>
              <w:jc w:val="center"/>
              <w:rPr>
                <w:bCs/>
                <w:sz w:val="12"/>
                <w:szCs w:val="12"/>
              </w:rPr>
            </w:pPr>
            <w:r w:rsidRPr="00640447">
              <w:rPr>
                <w:bCs/>
                <w:sz w:val="12"/>
                <w:szCs w:val="12"/>
              </w:rPr>
              <w:t>2019</w:t>
            </w:r>
          </w:p>
        </w:tc>
        <w:tc>
          <w:tcPr>
            <w:tcW w:w="361" w:type="pct"/>
            <w:vMerge w:val="restart"/>
            <w:tcBorders>
              <w:top w:val="single" w:sz="4" w:space="0" w:color="auto"/>
              <w:left w:val="nil"/>
              <w:right w:val="single" w:sz="4" w:space="0" w:color="auto"/>
            </w:tcBorders>
            <w:shd w:val="clear" w:color="auto" w:fill="auto"/>
            <w:noWrap/>
            <w:tcMar>
              <w:left w:w="28" w:type="dxa"/>
              <w:right w:w="28" w:type="dxa"/>
            </w:tcMar>
            <w:vAlign w:val="center"/>
          </w:tcPr>
          <w:p w14:paraId="20BA961A" w14:textId="77777777" w:rsidR="004A0123" w:rsidRPr="00640447" w:rsidRDefault="004A0123" w:rsidP="008A5C11">
            <w:pPr>
              <w:jc w:val="center"/>
              <w:rPr>
                <w:bCs/>
                <w:sz w:val="12"/>
                <w:szCs w:val="12"/>
              </w:rPr>
            </w:pPr>
            <w:r w:rsidRPr="00640447">
              <w:rPr>
                <w:bCs/>
                <w:sz w:val="12"/>
                <w:szCs w:val="12"/>
              </w:rPr>
              <w:t>2019</w:t>
            </w:r>
          </w:p>
        </w:tc>
        <w:tc>
          <w:tcPr>
            <w:tcW w:w="372" w:type="pct"/>
            <w:vMerge w:val="restart"/>
            <w:tcBorders>
              <w:top w:val="single" w:sz="4" w:space="0" w:color="auto"/>
              <w:left w:val="nil"/>
              <w:right w:val="single" w:sz="4" w:space="0" w:color="auto"/>
            </w:tcBorders>
            <w:shd w:val="clear" w:color="auto" w:fill="auto"/>
            <w:noWrap/>
            <w:tcMar>
              <w:left w:w="28" w:type="dxa"/>
              <w:right w:w="28" w:type="dxa"/>
            </w:tcMar>
            <w:vAlign w:val="center"/>
          </w:tcPr>
          <w:p w14:paraId="311D33C5" w14:textId="77777777" w:rsidR="004A0123" w:rsidRPr="00640447" w:rsidRDefault="004A0123" w:rsidP="008A5C11">
            <w:pPr>
              <w:jc w:val="center"/>
              <w:rPr>
                <w:bCs/>
                <w:sz w:val="12"/>
                <w:szCs w:val="12"/>
              </w:rPr>
            </w:pPr>
            <w:r w:rsidRPr="00640447">
              <w:rPr>
                <w:bCs/>
                <w:sz w:val="12"/>
                <w:szCs w:val="12"/>
              </w:rPr>
              <w:t>2021</w:t>
            </w:r>
          </w:p>
        </w:tc>
        <w:tc>
          <w:tcPr>
            <w:tcW w:w="387" w:type="pct"/>
            <w:vMerge w:val="restart"/>
            <w:tcBorders>
              <w:top w:val="single" w:sz="4" w:space="0" w:color="auto"/>
              <w:left w:val="nil"/>
              <w:right w:val="single" w:sz="4" w:space="0" w:color="auto"/>
            </w:tcBorders>
            <w:shd w:val="clear" w:color="auto" w:fill="auto"/>
            <w:noWrap/>
            <w:tcMar>
              <w:left w:w="28" w:type="dxa"/>
              <w:right w:w="28" w:type="dxa"/>
            </w:tcMar>
            <w:vAlign w:val="center"/>
          </w:tcPr>
          <w:p w14:paraId="4857DB9E" w14:textId="77777777" w:rsidR="004A0123" w:rsidRPr="00640447" w:rsidRDefault="004A0123" w:rsidP="008A5C11">
            <w:pPr>
              <w:jc w:val="center"/>
              <w:rPr>
                <w:bCs/>
                <w:sz w:val="12"/>
                <w:szCs w:val="12"/>
              </w:rPr>
            </w:pPr>
            <w:r w:rsidRPr="00640447">
              <w:rPr>
                <w:bCs/>
                <w:sz w:val="12"/>
                <w:szCs w:val="12"/>
              </w:rPr>
              <w:t>2021</w:t>
            </w:r>
          </w:p>
        </w:tc>
        <w:tc>
          <w:tcPr>
            <w:tcW w:w="528" w:type="pct"/>
            <w:tcBorders>
              <w:top w:val="single" w:sz="4" w:space="0" w:color="auto"/>
              <w:left w:val="nil"/>
              <w:bottom w:val="single" w:sz="4" w:space="0" w:color="auto"/>
              <w:right w:val="single" w:sz="4" w:space="0" w:color="auto"/>
            </w:tcBorders>
            <w:tcMar>
              <w:left w:w="28" w:type="dxa"/>
              <w:right w:w="28" w:type="dxa"/>
            </w:tcMar>
            <w:vAlign w:val="center"/>
          </w:tcPr>
          <w:p w14:paraId="6D910813" w14:textId="77777777" w:rsidR="004A0123" w:rsidRPr="00640447" w:rsidRDefault="004A0123" w:rsidP="008A5C11">
            <w:pPr>
              <w:jc w:val="center"/>
              <w:rPr>
                <w:sz w:val="12"/>
                <w:szCs w:val="12"/>
              </w:rPr>
            </w:pPr>
            <w:r w:rsidRPr="00640447">
              <w:rPr>
                <w:sz w:val="12"/>
                <w:szCs w:val="12"/>
              </w:rPr>
              <w:t>64495</w:t>
            </w:r>
          </w:p>
        </w:tc>
        <w:tc>
          <w:tcPr>
            <w:tcW w:w="452" w:type="pct"/>
            <w:tcBorders>
              <w:top w:val="single" w:sz="4" w:space="0" w:color="auto"/>
              <w:left w:val="nil"/>
              <w:bottom w:val="single" w:sz="4" w:space="0" w:color="auto"/>
              <w:right w:val="single" w:sz="4" w:space="0" w:color="auto"/>
            </w:tcBorders>
            <w:tcMar>
              <w:left w:w="28" w:type="dxa"/>
              <w:right w:w="28" w:type="dxa"/>
            </w:tcMar>
            <w:vAlign w:val="center"/>
          </w:tcPr>
          <w:p w14:paraId="6FEFAC46" w14:textId="77777777" w:rsidR="004A0123" w:rsidRPr="00640447" w:rsidRDefault="004A0123" w:rsidP="008A5C11">
            <w:pPr>
              <w:jc w:val="center"/>
              <w:rPr>
                <w:sz w:val="12"/>
                <w:szCs w:val="12"/>
              </w:rPr>
            </w:pPr>
            <w:r w:rsidRPr="00640447">
              <w:rPr>
                <w:sz w:val="12"/>
                <w:szCs w:val="12"/>
              </w:rPr>
              <w:t>58908</w:t>
            </w:r>
          </w:p>
        </w:tc>
        <w:tc>
          <w:tcPr>
            <w:tcW w:w="764" w:type="pct"/>
            <w:tcBorders>
              <w:top w:val="single" w:sz="4" w:space="0" w:color="auto"/>
              <w:left w:val="nil"/>
              <w:bottom w:val="single" w:sz="4" w:space="0" w:color="auto"/>
              <w:right w:val="single" w:sz="4" w:space="0" w:color="auto"/>
            </w:tcBorders>
            <w:tcMar>
              <w:left w:w="28" w:type="dxa"/>
              <w:right w:w="28" w:type="dxa"/>
            </w:tcMar>
            <w:vAlign w:val="center"/>
          </w:tcPr>
          <w:p w14:paraId="58B0DE82" w14:textId="77777777" w:rsidR="004A0123" w:rsidRPr="00640447" w:rsidRDefault="004A0123" w:rsidP="008A5C11">
            <w:pPr>
              <w:jc w:val="center"/>
              <w:rPr>
                <w:bCs/>
                <w:sz w:val="12"/>
                <w:szCs w:val="12"/>
              </w:rPr>
            </w:pPr>
            <w:r w:rsidRPr="00640447">
              <w:rPr>
                <w:bCs/>
                <w:sz w:val="12"/>
                <w:szCs w:val="12"/>
              </w:rPr>
              <w:t>бюджетные средства</w:t>
            </w:r>
          </w:p>
        </w:tc>
      </w:tr>
      <w:tr w:rsidR="004A0123" w:rsidRPr="00640447" w14:paraId="4EAD2A3A" w14:textId="77777777" w:rsidTr="008A5C11">
        <w:trPr>
          <w:trHeight w:val="103"/>
        </w:trPr>
        <w:tc>
          <w:tcPr>
            <w:tcW w:w="261" w:type="pct"/>
            <w:vMerge/>
            <w:tcBorders>
              <w:left w:val="single" w:sz="4" w:space="0" w:color="auto"/>
              <w:bottom w:val="single" w:sz="4" w:space="0" w:color="auto"/>
              <w:right w:val="single" w:sz="4" w:space="0" w:color="auto"/>
            </w:tcBorders>
            <w:tcMar>
              <w:left w:w="28" w:type="dxa"/>
              <w:right w:w="28" w:type="dxa"/>
            </w:tcMar>
            <w:vAlign w:val="center"/>
          </w:tcPr>
          <w:p w14:paraId="1B644A86" w14:textId="77777777" w:rsidR="004A0123" w:rsidRPr="00640447" w:rsidRDefault="004A0123" w:rsidP="008A5C11">
            <w:pPr>
              <w:jc w:val="center"/>
              <w:rPr>
                <w:bCs/>
                <w:sz w:val="12"/>
                <w:szCs w:val="12"/>
              </w:rPr>
            </w:pPr>
          </w:p>
        </w:tc>
        <w:tc>
          <w:tcPr>
            <w:tcW w:w="1518" w:type="pct"/>
            <w:vMerge/>
            <w:tcBorders>
              <w:left w:val="single" w:sz="4" w:space="0" w:color="auto"/>
              <w:bottom w:val="single" w:sz="4" w:space="0" w:color="auto"/>
              <w:right w:val="single" w:sz="4" w:space="0" w:color="auto"/>
            </w:tcBorders>
            <w:tcMar>
              <w:left w:w="28" w:type="dxa"/>
              <w:right w:w="28" w:type="dxa"/>
            </w:tcMar>
            <w:vAlign w:val="center"/>
          </w:tcPr>
          <w:p w14:paraId="718BAC40" w14:textId="77777777" w:rsidR="004A0123" w:rsidRPr="00640447" w:rsidRDefault="004A0123" w:rsidP="008A5C11">
            <w:pPr>
              <w:jc w:val="center"/>
              <w:rPr>
                <w:bCs/>
                <w:sz w:val="12"/>
                <w:szCs w:val="12"/>
              </w:rPr>
            </w:pPr>
          </w:p>
        </w:tc>
        <w:tc>
          <w:tcPr>
            <w:tcW w:w="357" w:type="pct"/>
            <w:vMerge/>
            <w:tcBorders>
              <w:left w:val="nil"/>
              <w:bottom w:val="single" w:sz="4" w:space="0" w:color="auto"/>
              <w:right w:val="single" w:sz="4" w:space="0" w:color="auto"/>
            </w:tcBorders>
            <w:shd w:val="clear" w:color="auto" w:fill="auto"/>
            <w:noWrap/>
            <w:tcMar>
              <w:left w:w="28" w:type="dxa"/>
              <w:right w:w="28" w:type="dxa"/>
            </w:tcMar>
            <w:vAlign w:val="center"/>
          </w:tcPr>
          <w:p w14:paraId="165C0E96" w14:textId="77777777" w:rsidR="004A0123" w:rsidRPr="00640447" w:rsidRDefault="004A0123" w:rsidP="008A5C11">
            <w:pPr>
              <w:jc w:val="center"/>
              <w:rPr>
                <w:bCs/>
                <w:sz w:val="12"/>
                <w:szCs w:val="12"/>
              </w:rPr>
            </w:pPr>
          </w:p>
        </w:tc>
        <w:tc>
          <w:tcPr>
            <w:tcW w:w="361" w:type="pct"/>
            <w:vMerge/>
            <w:tcBorders>
              <w:left w:val="nil"/>
              <w:bottom w:val="single" w:sz="4" w:space="0" w:color="auto"/>
              <w:right w:val="single" w:sz="4" w:space="0" w:color="auto"/>
            </w:tcBorders>
            <w:shd w:val="clear" w:color="auto" w:fill="auto"/>
            <w:noWrap/>
            <w:tcMar>
              <w:left w:w="28" w:type="dxa"/>
              <w:right w:w="28" w:type="dxa"/>
            </w:tcMar>
            <w:vAlign w:val="center"/>
          </w:tcPr>
          <w:p w14:paraId="64A8435E" w14:textId="77777777" w:rsidR="004A0123" w:rsidRPr="00640447" w:rsidRDefault="004A0123" w:rsidP="008A5C11">
            <w:pPr>
              <w:jc w:val="center"/>
              <w:rPr>
                <w:bCs/>
                <w:sz w:val="12"/>
                <w:szCs w:val="12"/>
              </w:rPr>
            </w:pPr>
          </w:p>
        </w:tc>
        <w:tc>
          <w:tcPr>
            <w:tcW w:w="372" w:type="pct"/>
            <w:vMerge/>
            <w:tcBorders>
              <w:left w:val="nil"/>
              <w:bottom w:val="single" w:sz="4" w:space="0" w:color="auto"/>
              <w:right w:val="single" w:sz="4" w:space="0" w:color="auto"/>
            </w:tcBorders>
            <w:shd w:val="clear" w:color="auto" w:fill="auto"/>
            <w:noWrap/>
            <w:tcMar>
              <w:left w:w="28" w:type="dxa"/>
              <w:right w:w="28" w:type="dxa"/>
            </w:tcMar>
            <w:vAlign w:val="center"/>
          </w:tcPr>
          <w:p w14:paraId="262D53CD" w14:textId="77777777" w:rsidR="004A0123" w:rsidRPr="00640447" w:rsidRDefault="004A0123" w:rsidP="008A5C11">
            <w:pPr>
              <w:jc w:val="center"/>
              <w:rPr>
                <w:bCs/>
                <w:sz w:val="12"/>
                <w:szCs w:val="12"/>
              </w:rPr>
            </w:pPr>
          </w:p>
        </w:tc>
        <w:tc>
          <w:tcPr>
            <w:tcW w:w="387" w:type="pct"/>
            <w:vMerge/>
            <w:tcBorders>
              <w:left w:val="nil"/>
              <w:bottom w:val="single" w:sz="4" w:space="0" w:color="auto"/>
              <w:right w:val="single" w:sz="4" w:space="0" w:color="auto"/>
            </w:tcBorders>
            <w:shd w:val="clear" w:color="auto" w:fill="auto"/>
            <w:noWrap/>
            <w:tcMar>
              <w:left w:w="28" w:type="dxa"/>
              <w:right w:w="28" w:type="dxa"/>
            </w:tcMar>
            <w:vAlign w:val="center"/>
          </w:tcPr>
          <w:p w14:paraId="33F4B378" w14:textId="77777777" w:rsidR="004A0123" w:rsidRPr="00640447" w:rsidRDefault="004A0123" w:rsidP="008A5C11">
            <w:pPr>
              <w:jc w:val="center"/>
              <w:rPr>
                <w:bCs/>
                <w:sz w:val="12"/>
                <w:szCs w:val="12"/>
              </w:rPr>
            </w:pPr>
          </w:p>
        </w:tc>
        <w:tc>
          <w:tcPr>
            <w:tcW w:w="528" w:type="pct"/>
            <w:tcBorders>
              <w:top w:val="single" w:sz="4" w:space="0" w:color="auto"/>
              <w:left w:val="nil"/>
              <w:bottom w:val="single" w:sz="4" w:space="0" w:color="auto"/>
              <w:right w:val="single" w:sz="4" w:space="0" w:color="auto"/>
            </w:tcBorders>
            <w:tcMar>
              <w:left w:w="28" w:type="dxa"/>
              <w:right w:w="28" w:type="dxa"/>
            </w:tcMar>
            <w:vAlign w:val="center"/>
          </w:tcPr>
          <w:p w14:paraId="4D95CDD2" w14:textId="77777777" w:rsidR="004A0123" w:rsidRPr="00640447" w:rsidRDefault="004A0123" w:rsidP="008A5C11">
            <w:pPr>
              <w:jc w:val="center"/>
              <w:rPr>
                <w:sz w:val="12"/>
                <w:szCs w:val="12"/>
              </w:rPr>
            </w:pPr>
            <w:r w:rsidRPr="00640447">
              <w:rPr>
                <w:sz w:val="12"/>
                <w:szCs w:val="12"/>
              </w:rPr>
              <w:t>0</w:t>
            </w:r>
          </w:p>
        </w:tc>
        <w:tc>
          <w:tcPr>
            <w:tcW w:w="452" w:type="pct"/>
            <w:tcBorders>
              <w:top w:val="single" w:sz="4" w:space="0" w:color="auto"/>
              <w:left w:val="nil"/>
              <w:bottom w:val="single" w:sz="4" w:space="0" w:color="auto"/>
              <w:right w:val="single" w:sz="4" w:space="0" w:color="auto"/>
            </w:tcBorders>
            <w:tcMar>
              <w:left w:w="28" w:type="dxa"/>
              <w:right w:w="28" w:type="dxa"/>
            </w:tcMar>
            <w:vAlign w:val="center"/>
          </w:tcPr>
          <w:p w14:paraId="0705D938" w14:textId="77777777" w:rsidR="004A0123" w:rsidRPr="00640447" w:rsidRDefault="004A0123" w:rsidP="008A5C11">
            <w:pPr>
              <w:jc w:val="center"/>
              <w:rPr>
                <w:sz w:val="12"/>
                <w:szCs w:val="12"/>
              </w:rPr>
            </w:pPr>
            <w:r w:rsidRPr="00640447">
              <w:rPr>
                <w:sz w:val="12"/>
                <w:szCs w:val="12"/>
              </w:rPr>
              <w:t>854</w:t>
            </w:r>
          </w:p>
        </w:tc>
        <w:tc>
          <w:tcPr>
            <w:tcW w:w="764" w:type="pct"/>
            <w:tcBorders>
              <w:top w:val="single" w:sz="4" w:space="0" w:color="auto"/>
              <w:left w:val="nil"/>
              <w:bottom w:val="single" w:sz="4" w:space="0" w:color="auto"/>
              <w:right w:val="single" w:sz="4" w:space="0" w:color="auto"/>
            </w:tcBorders>
            <w:tcMar>
              <w:left w:w="28" w:type="dxa"/>
              <w:right w:w="28" w:type="dxa"/>
            </w:tcMar>
            <w:vAlign w:val="center"/>
          </w:tcPr>
          <w:p w14:paraId="066AEA5A" w14:textId="77777777" w:rsidR="004A0123" w:rsidRPr="00640447" w:rsidRDefault="004A0123" w:rsidP="008A5C11">
            <w:pPr>
              <w:jc w:val="center"/>
              <w:rPr>
                <w:bCs/>
                <w:sz w:val="12"/>
                <w:szCs w:val="12"/>
              </w:rPr>
            </w:pPr>
            <w:r w:rsidRPr="00640447">
              <w:rPr>
                <w:bCs/>
                <w:sz w:val="12"/>
                <w:szCs w:val="12"/>
              </w:rPr>
              <w:t>собственные средства</w:t>
            </w:r>
          </w:p>
        </w:tc>
      </w:tr>
      <w:tr w:rsidR="004A0123" w:rsidRPr="00640447" w14:paraId="301C03A8" w14:textId="77777777" w:rsidTr="008A5C11">
        <w:trPr>
          <w:trHeight w:val="92"/>
        </w:trPr>
        <w:tc>
          <w:tcPr>
            <w:tcW w:w="3256" w:type="pct"/>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439E15D" w14:textId="77777777" w:rsidR="004A0123" w:rsidRPr="00640447" w:rsidRDefault="004A0123" w:rsidP="008A5C11">
            <w:pPr>
              <w:rPr>
                <w:bCs/>
                <w:sz w:val="12"/>
                <w:szCs w:val="12"/>
              </w:rPr>
            </w:pPr>
            <w:r w:rsidRPr="00640447">
              <w:rPr>
                <w:bCs/>
                <w:sz w:val="12"/>
                <w:szCs w:val="12"/>
              </w:rPr>
              <w:t>Всего по группе 2.</w:t>
            </w:r>
          </w:p>
        </w:tc>
        <w:tc>
          <w:tcPr>
            <w:tcW w:w="528" w:type="pct"/>
            <w:tcBorders>
              <w:top w:val="single" w:sz="4" w:space="0" w:color="auto"/>
              <w:left w:val="nil"/>
              <w:bottom w:val="single" w:sz="4" w:space="0" w:color="auto"/>
              <w:right w:val="single" w:sz="4" w:space="0" w:color="auto"/>
            </w:tcBorders>
            <w:tcMar>
              <w:left w:w="28" w:type="dxa"/>
              <w:right w:w="28" w:type="dxa"/>
            </w:tcMar>
            <w:vAlign w:val="center"/>
          </w:tcPr>
          <w:p w14:paraId="1B879503" w14:textId="77777777" w:rsidR="004A0123" w:rsidRPr="00640447" w:rsidRDefault="004A0123" w:rsidP="008A5C11">
            <w:pPr>
              <w:jc w:val="center"/>
              <w:rPr>
                <w:sz w:val="12"/>
                <w:szCs w:val="12"/>
              </w:rPr>
            </w:pPr>
            <w:r w:rsidRPr="00640447">
              <w:rPr>
                <w:sz w:val="12"/>
                <w:szCs w:val="12"/>
              </w:rPr>
              <w:t>64495</w:t>
            </w:r>
          </w:p>
        </w:tc>
        <w:tc>
          <w:tcPr>
            <w:tcW w:w="452" w:type="pct"/>
            <w:tcBorders>
              <w:top w:val="single" w:sz="4" w:space="0" w:color="auto"/>
              <w:left w:val="nil"/>
              <w:bottom w:val="single" w:sz="4" w:space="0" w:color="auto"/>
              <w:right w:val="single" w:sz="4" w:space="0" w:color="auto"/>
            </w:tcBorders>
            <w:tcMar>
              <w:left w:w="28" w:type="dxa"/>
              <w:right w:w="28" w:type="dxa"/>
            </w:tcMar>
            <w:vAlign w:val="center"/>
          </w:tcPr>
          <w:p w14:paraId="3B6C60F8" w14:textId="77777777" w:rsidR="004A0123" w:rsidRPr="00640447" w:rsidRDefault="004A0123" w:rsidP="008A5C11">
            <w:pPr>
              <w:jc w:val="center"/>
              <w:rPr>
                <w:sz w:val="12"/>
                <w:szCs w:val="12"/>
              </w:rPr>
            </w:pPr>
            <w:r w:rsidRPr="00640447">
              <w:rPr>
                <w:sz w:val="12"/>
                <w:szCs w:val="12"/>
              </w:rPr>
              <w:t>59762</w:t>
            </w:r>
          </w:p>
        </w:tc>
        <w:tc>
          <w:tcPr>
            <w:tcW w:w="764" w:type="pct"/>
            <w:tcBorders>
              <w:top w:val="single" w:sz="4" w:space="0" w:color="auto"/>
              <w:left w:val="nil"/>
              <w:bottom w:val="single" w:sz="4" w:space="0" w:color="auto"/>
              <w:right w:val="single" w:sz="4" w:space="0" w:color="auto"/>
            </w:tcBorders>
            <w:tcMar>
              <w:left w:w="28" w:type="dxa"/>
              <w:right w:w="28" w:type="dxa"/>
            </w:tcMar>
            <w:vAlign w:val="center"/>
          </w:tcPr>
          <w:p w14:paraId="47D0CB82" w14:textId="77777777" w:rsidR="004A0123" w:rsidRPr="00640447" w:rsidRDefault="004A0123" w:rsidP="008A5C11">
            <w:pPr>
              <w:jc w:val="center"/>
              <w:rPr>
                <w:bCs/>
                <w:sz w:val="12"/>
                <w:szCs w:val="12"/>
              </w:rPr>
            </w:pPr>
          </w:p>
        </w:tc>
      </w:tr>
      <w:tr w:rsidR="004A0123" w:rsidRPr="00640447" w14:paraId="4E23452A" w14:textId="77777777" w:rsidTr="008A5C11">
        <w:trPr>
          <w:trHeight w:val="276"/>
        </w:trPr>
        <w:tc>
          <w:tcPr>
            <w:tcW w:w="5000" w:type="pct"/>
            <w:gridSpan w:val="9"/>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DC51E2C" w14:textId="77777777" w:rsidR="004A0123" w:rsidRPr="00640447" w:rsidRDefault="004A0123" w:rsidP="008A5C11">
            <w:pPr>
              <w:rPr>
                <w:bCs/>
                <w:sz w:val="12"/>
                <w:szCs w:val="12"/>
              </w:rPr>
            </w:pPr>
            <w:r w:rsidRPr="00640447">
              <w:rPr>
                <w:bCs/>
                <w:sz w:val="12"/>
                <w:szCs w:val="12"/>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4A0123" w:rsidRPr="00640447" w14:paraId="2A5B49C5" w14:textId="77777777" w:rsidTr="008A5C11">
        <w:trPr>
          <w:trHeight w:val="56"/>
        </w:trPr>
        <w:tc>
          <w:tcPr>
            <w:tcW w:w="5000" w:type="pct"/>
            <w:gridSpan w:val="9"/>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A214B87" w14:textId="77777777" w:rsidR="004A0123" w:rsidRPr="00640447" w:rsidRDefault="004A0123" w:rsidP="008A5C11">
            <w:pPr>
              <w:rPr>
                <w:bCs/>
                <w:sz w:val="12"/>
                <w:szCs w:val="12"/>
              </w:rPr>
            </w:pPr>
            <w:r w:rsidRPr="00640447">
              <w:rPr>
                <w:bCs/>
                <w:sz w:val="12"/>
                <w:szCs w:val="12"/>
              </w:rPr>
              <w:t>3.1. Реконструкция или модернизация существующих тепловых сетей</w:t>
            </w:r>
          </w:p>
        </w:tc>
      </w:tr>
      <w:tr w:rsidR="004A0123" w:rsidRPr="00640447" w14:paraId="5CF36C14" w14:textId="77777777" w:rsidTr="008A5C11">
        <w:trPr>
          <w:trHeight w:val="56"/>
        </w:trPr>
        <w:tc>
          <w:tcPr>
            <w:tcW w:w="5000" w:type="pct"/>
            <w:gridSpan w:val="9"/>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B29C83C" w14:textId="77777777" w:rsidR="004A0123" w:rsidRPr="00640447" w:rsidRDefault="004A0123" w:rsidP="008A5C11">
            <w:pPr>
              <w:rPr>
                <w:bCs/>
                <w:sz w:val="12"/>
                <w:szCs w:val="12"/>
              </w:rPr>
            </w:pPr>
            <w:r w:rsidRPr="00640447">
              <w:rPr>
                <w:bCs/>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4A0123" w:rsidRPr="00640447" w14:paraId="7A638920" w14:textId="77777777" w:rsidTr="008A5C11">
        <w:trPr>
          <w:trHeight w:val="162"/>
        </w:trPr>
        <w:tc>
          <w:tcPr>
            <w:tcW w:w="261" w:type="pct"/>
            <w:vMerge w:val="restart"/>
            <w:tcBorders>
              <w:top w:val="single" w:sz="4" w:space="0" w:color="auto"/>
              <w:left w:val="single" w:sz="4" w:space="0" w:color="auto"/>
              <w:right w:val="single" w:sz="4" w:space="0" w:color="auto"/>
            </w:tcBorders>
            <w:tcMar>
              <w:left w:w="28" w:type="dxa"/>
              <w:right w:w="28" w:type="dxa"/>
            </w:tcMar>
            <w:vAlign w:val="center"/>
          </w:tcPr>
          <w:p w14:paraId="018623A5" w14:textId="77777777" w:rsidR="004A0123" w:rsidRPr="00640447" w:rsidRDefault="004A0123" w:rsidP="008A5C11">
            <w:pPr>
              <w:jc w:val="center"/>
              <w:rPr>
                <w:bCs/>
                <w:sz w:val="12"/>
                <w:szCs w:val="12"/>
              </w:rPr>
            </w:pPr>
            <w:r w:rsidRPr="00640447">
              <w:rPr>
                <w:bCs/>
                <w:sz w:val="12"/>
                <w:szCs w:val="12"/>
              </w:rPr>
              <w:t>3.2.1.</w:t>
            </w:r>
          </w:p>
        </w:tc>
        <w:tc>
          <w:tcPr>
            <w:tcW w:w="1518" w:type="pct"/>
            <w:vMerge w:val="restart"/>
            <w:tcBorders>
              <w:top w:val="single" w:sz="4" w:space="0" w:color="auto"/>
              <w:left w:val="single" w:sz="4" w:space="0" w:color="auto"/>
              <w:right w:val="single" w:sz="4" w:space="0" w:color="auto"/>
            </w:tcBorders>
            <w:tcMar>
              <w:left w:w="28" w:type="dxa"/>
              <w:right w:w="28" w:type="dxa"/>
            </w:tcMar>
            <w:vAlign w:val="center"/>
          </w:tcPr>
          <w:p w14:paraId="12122565" w14:textId="77777777" w:rsidR="004A0123" w:rsidRPr="00640447" w:rsidRDefault="004A0123" w:rsidP="008A5C11">
            <w:pPr>
              <w:jc w:val="center"/>
              <w:rPr>
                <w:bCs/>
                <w:sz w:val="12"/>
                <w:szCs w:val="12"/>
              </w:rPr>
            </w:pPr>
            <w:r w:rsidRPr="00640447">
              <w:rPr>
                <w:bCs/>
                <w:sz w:val="12"/>
                <w:szCs w:val="12"/>
              </w:rPr>
              <w:t>Проектирование и реконструкция системы газоочистки на котельной "Привокзальная", для котлоагрегатов КВТС-20 в количестве 4 шт.</w:t>
            </w:r>
          </w:p>
        </w:tc>
        <w:tc>
          <w:tcPr>
            <w:tcW w:w="357" w:type="pct"/>
            <w:vMerge w:val="restart"/>
            <w:tcBorders>
              <w:top w:val="single" w:sz="4" w:space="0" w:color="auto"/>
              <w:left w:val="nil"/>
              <w:right w:val="single" w:sz="4" w:space="0" w:color="auto"/>
            </w:tcBorders>
            <w:shd w:val="clear" w:color="auto" w:fill="auto"/>
            <w:noWrap/>
            <w:tcMar>
              <w:left w:w="28" w:type="dxa"/>
              <w:right w:w="28" w:type="dxa"/>
            </w:tcMar>
            <w:vAlign w:val="center"/>
          </w:tcPr>
          <w:p w14:paraId="5D314CDD" w14:textId="77777777" w:rsidR="004A0123" w:rsidRPr="00640447" w:rsidRDefault="004A0123" w:rsidP="008A5C11">
            <w:pPr>
              <w:jc w:val="center"/>
              <w:rPr>
                <w:bCs/>
                <w:sz w:val="12"/>
                <w:szCs w:val="12"/>
              </w:rPr>
            </w:pPr>
            <w:r w:rsidRPr="00640447">
              <w:rPr>
                <w:bCs/>
                <w:sz w:val="12"/>
                <w:szCs w:val="12"/>
              </w:rPr>
              <w:t>2019</w:t>
            </w:r>
          </w:p>
        </w:tc>
        <w:tc>
          <w:tcPr>
            <w:tcW w:w="361" w:type="pct"/>
            <w:vMerge w:val="restart"/>
            <w:tcBorders>
              <w:top w:val="single" w:sz="4" w:space="0" w:color="auto"/>
              <w:left w:val="nil"/>
              <w:right w:val="single" w:sz="4" w:space="0" w:color="auto"/>
            </w:tcBorders>
            <w:shd w:val="clear" w:color="auto" w:fill="auto"/>
            <w:noWrap/>
            <w:tcMar>
              <w:left w:w="28" w:type="dxa"/>
              <w:right w:w="28" w:type="dxa"/>
            </w:tcMar>
            <w:vAlign w:val="center"/>
          </w:tcPr>
          <w:p w14:paraId="475E8FF7" w14:textId="77777777" w:rsidR="004A0123" w:rsidRPr="00640447" w:rsidRDefault="004A0123" w:rsidP="008A5C11">
            <w:pPr>
              <w:jc w:val="center"/>
              <w:rPr>
                <w:bCs/>
                <w:sz w:val="12"/>
                <w:szCs w:val="12"/>
              </w:rPr>
            </w:pPr>
            <w:r w:rsidRPr="00640447">
              <w:rPr>
                <w:bCs/>
                <w:sz w:val="12"/>
                <w:szCs w:val="12"/>
              </w:rPr>
              <w:t>2019</w:t>
            </w:r>
          </w:p>
        </w:tc>
        <w:tc>
          <w:tcPr>
            <w:tcW w:w="372" w:type="pct"/>
            <w:vMerge w:val="restart"/>
            <w:tcBorders>
              <w:top w:val="single" w:sz="4" w:space="0" w:color="auto"/>
              <w:left w:val="nil"/>
              <w:right w:val="single" w:sz="4" w:space="0" w:color="auto"/>
            </w:tcBorders>
            <w:shd w:val="clear" w:color="auto" w:fill="auto"/>
            <w:noWrap/>
            <w:tcMar>
              <w:left w:w="28" w:type="dxa"/>
              <w:right w:w="28" w:type="dxa"/>
            </w:tcMar>
            <w:vAlign w:val="center"/>
          </w:tcPr>
          <w:p w14:paraId="11C5D871" w14:textId="77777777" w:rsidR="004A0123" w:rsidRPr="00640447" w:rsidRDefault="004A0123" w:rsidP="008A5C11">
            <w:pPr>
              <w:jc w:val="center"/>
              <w:rPr>
                <w:bCs/>
                <w:sz w:val="12"/>
                <w:szCs w:val="12"/>
              </w:rPr>
            </w:pPr>
            <w:r w:rsidRPr="00640447">
              <w:rPr>
                <w:bCs/>
                <w:sz w:val="12"/>
                <w:szCs w:val="12"/>
              </w:rPr>
              <w:t>2021</w:t>
            </w:r>
          </w:p>
        </w:tc>
        <w:tc>
          <w:tcPr>
            <w:tcW w:w="387" w:type="pct"/>
            <w:vMerge w:val="restart"/>
            <w:tcBorders>
              <w:top w:val="single" w:sz="4" w:space="0" w:color="auto"/>
              <w:left w:val="nil"/>
              <w:right w:val="single" w:sz="4" w:space="0" w:color="auto"/>
            </w:tcBorders>
            <w:shd w:val="clear" w:color="auto" w:fill="auto"/>
            <w:noWrap/>
            <w:tcMar>
              <w:left w:w="28" w:type="dxa"/>
              <w:right w:w="28" w:type="dxa"/>
            </w:tcMar>
            <w:vAlign w:val="center"/>
          </w:tcPr>
          <w:p w14:paraId="6E0D1521" w14:textId="77777777" w:rsidR="004A0123" w:rsidRPr="00640447" w:rsidRDefault="004A0123" w:rsidP="008A5C11">
            <w:pPr>
              <w:jc w:val="center"/>
              <w:rPr>
                <w:bCs/>
                <w:sz w:val="12"/>
                <w:szCs w:val="12"/>
              </w:rPr>
            </w:pPr>
            <w:r w:rsidRPr="00640447">
              <w:rPr>
                <w:bCs/>
                <w:sz w:val="12"/>
                <w:szCs w:val="12"/>
              </w:rPr>
              <w:t>2021</w:t>
            </w:r>
          </w:p>
        </w:tc>
        <w:tc>
          <w:tcPr>
            <w:tcW w:w="528" w:type="pct"/>
            <w:tcBorders>
              <w:top w:val="single" w:sz="4" w:space="0" w:color="auto"/>
              <w:left w:val="nil"/>
              <w:bottom w:val="single" w:sz="4" w:space="0" w:color="auto"/>
              <w:right w:val="single" w:sz="4" w:space="0" w:color="auto"/>
            </w:tcBorders>
            <w:tcMar>
              <w:left w:w="28" w:type="dxa"/>
              <w:right w:w="28" w:type="dxa"/>
            </w:tcMar>
            <w:vAlign w:val="center"/>
          </w:tcPr>
          <w:p w14:paraId="06F08808" w14:textId="77777777" w:rsidR="004A0123" w:rsidRPr="00640447" w:rsidRDefault="004A0123" w:rsidP="008A5C11">
            <w:pPr>
              <w:jc w:val="center"/>
              <w:rPr>
                <w:sz w:val="12"/>
                <w:szCs w:val="12"/>
              </w:rPr>
            </w:pPr>
            <w:r w:rsidRPr="00640447">
              <w:rPr>
                <w:sz w:val="12"/>
                <w:szCs w:val="12"/>
              </w:rPr>
              <w:t>15500</w:t>
            </w:r>
          </w:p>
        </w:tc>
        <w:tc>
          <w:tcPr>
            <w:tcW w:w="452" w:type="pct"/>
            <w:tcBorders>
              <w:top w:val="single" w:sz="4" w:space="0" w:color="auto"/>
              <w:left w:val="nil"/>
              <w:bottom w:val="single" w:sz="4" w:space="0" w:color="auto"/>
              <w:right w:val="single" w:sz="4" w:space="0" w:color="auto"/>
            </w:tcBorders>
            <w:tcMar>
              <w:left w:w="28" w:type="dxa"/>
              <w:right w:w="28" w:type="dxa"/>
            </w:tcMar>
            <w:vAlign w:val="center"/>
          </w:tcPr>
          <w:p w14:paraId="549F43E4" w14:textId="77777777" w:rsidR="004A0123" w:rsidRPr="00640447" w:rsidRDefault="004A0123" w:rsidP="008A5C11">
            <w:pPr>
              <w:jc w:val="center"/>
              <w:rPr>
                <w:sz w:val="12"/>
                <w:szCs w:val="12"/>
              </w:rPr>
            </w:pPr>
            <w:r w:rsidRPr="00640447">
              <w:rPr>
                <w:sz w:val="12"/>
                <w:szCs w:val="12"/>
              </w:rPr>
              <w:t>13031</w:t>
            </w:r>
          </w:p>
        </w:tc>
        <w:tc>
          <w:tcPr>
            <w:tcW w:w="764" w:type="pct"/>
            <w:tcBorders>
              <w:top w:val="single" w:sz="4" w:space="0" w:color="auto"/>
              <w:left w:val="nil"/>
              <w:bottom w:val="single" w:sz="4" w:space="0" w:color="auto"/>
              <w:right w:val="single" w:sz="4" w:space="0" w:color="auto"/>
            </w:tcBorders>
            <w:tcMar>
              <w:left w:w="28" w:type="dxa"/>
              <w:right w:w="28" w:type="dxa"/>
            </w:tcMar>
            <w:vAlign w:val="center"/>
          </w:tcPr>
          <w:p w14:paraId="7CFC6960" w14:textId="77777777" w:rsidR="004A0123" w:rsidRPr="00640447" w:rsidRDefault="004A0123" w:rsidP="008A5C11">
            <w:pPr>
              <w:jc w:val="center"/>
              <w:rPr>
                <w:bCs/>
                <w:sz w:val="12"/>
                <w:szCs w:val="12"/>
              </w:rPr>
            </w:pPr>
            <w:r w:rsidRPr="00640447">
              <w:rPr>
                <w:bCs/>
                <w:sz w:val="12"/>
                <w:szCs w:val="12"/>
              </w:rPr>
              <w:t>бюджетные средства</w:t>
            </w:r>
          </w:p>
        </w:tc>
      </w:tr>
      <w:tr w:rsidR="004A0123" w:rsidRPr="00640447" w14:paraId="0288A767" w14:textId="77777777" w:rsidTr="008A5C11">
        <w:trPr>
          <w:trHeight w:val="161"/>
        </w:trPr>
        <w:tc>
          <w:tcPr>
            <w:tcW w:w="261" w:type="pct"/>
            <w:vMerge/>
            <w:tcBorders>
              <w:left w:val="single" w:sz="4" w:space="0" w:color="auto"/>
              <w:bottom w:val="single" w:sz="4" w:space="0" w:color="auto"/>
              <w:right w:val="single" w:sz="4" w:space="0" w:color="auto"/>
            </w:tcBorders>
            <w:tcMar>
              <w:left w:w="28" w:type="dxa"/>
              <w:right w:w="28" w:type="dxa"/>
            </w:tcMar>
            <w:vAlign w:val="center"/>
          </w:tcPr>
          <w:p w14:paraId="57907733" w14:textId="77777777" w:rsidR="004A0123" w:rsidRPr="00640447" w:rsidRDefault="004A0123" w:rsidP="008A5C11">
            <w:pPr>
              <w:jc w:val="center"/>
              <w:rPr>
                <w:bCs/>
                <w:sz w:val="12"/>
                <w:szCs w:val="12"/>
              </w:rPr>
            </w:pPr>
          </w:p>
        </w:tc>
        <w:tc>
          <w:tcPr>
            <w:tcW w:w="1518" w:type="pct"/>
            <w:vMerge/>
            <w:tcBorders>
              <w:left w:val="single" w:sz="4" w:space="0" w:color="auto"/>
              <w:bottom w:val="single" w:sz="4" w:space="0" w:color="auto"/>
              <w:right w:val="single" w:sz="4" w:space="0" w:color="auto"/>
            </w:tcBorders>
            <w:tcMar>
              <w:left w:w="28" w:type="dxa"/>
              <w:right w:w="28" w:type="dxa"/>
            </w:tcMar>
            <w:vAlign w:val="center"/>
          </w:tcPr>
          <w:p w14:paraId="5C39D2FE" w14:textId="77777777" w:rsidR="004A0123" w:rsidRPr="00640447" w:rsidRDefault="004A0123" w:rsidP="008A5C11">
            <w:pPr>
              <w:jc w:val="center"/>
              <w:rPr>
                <w:bCs/>
                <w:sz w:val="12"/>
                <w:szCs w:val="12"/>
              </w:rPr>
            </w:pPr>
          </w:p>
        </w:tc>
        <w:tc>
          <w:tcPr>
            <w:tcW w:w="357" w:type="pct"/>
            <w:vMerge/>
            <w:tcBorders>
              <w:left w:val="nil"/>
              <w:bottom w:val="single" w:sz="4" w:space="0" w:color="auto"/>
              <w:right w:val="single" w:sz="4" w:space="0" w:color="auto"/>
            </w:tcBorders>
            <w:shd w:val="clear" w:color="auto" w:fill="auto"/>
            <w:noWrap/>
            <w:tcMar>
              <w:left w:w="28" w:type="dxa"/>
              <w:right w:w="28" w:type="dxa"/>
            </w:tcMar>
            <w:vAlign w:val="center"/>
          </w:tcPr>
          <w:p w14:paraId="31603098" w14:textId="77777777" w:rsidR="004A0123" w:rsidRPr="00640447" w:rsidRDefault="004A0123" w:rsidP="008A5C11">
            <w:pPr>
              <w:jc w:val="center"/>
              <w:rPr>
                <w:bCs/>
                <w:sz w:val="12"/>
                <w:szCs w:val="12"/>
              </w:rPr>
            </w:pPr>
          </w:p>
        </w:tc>
        <w:tc>
          <w:tcPr>
            <w:tcW w:w="361" w:type="pct"/>
            <w:vMerge/>
            <w:tcBorders>
              <w:left w:val="nil"/>
              <w:bottom w:val="single" w:sz="4" w:space="0" w:color="auto"/>
              <w:right w:val="single" w:sz="4" w:space="0" w:color="auto"/>
            </w:tcBorders>
            <w:shd w:val="clear" w:color="auto" w:fill="auto"/>
            <w:noWrap/>
            <w:tcMar>
              <w:left w:w="28" w:type="dxa"/>
              <w:right w:w="28" w:type="dxa"/>
            </w:tcMar>
            <w:vAlign w:val="center"/>
          </w:tcPr>
          <w:p w14:paraId="5234F449" w14:textId="77777777" w:rsidR="004A0123" w:rsidRPr="00640447" w:rsidRDefault="004A0123" w:rsidP="008A5C11">
            <w:pPr>
              <w:jc w:val="center"/>
              <w:rPr>
                <w:bCs/>
                <w:sz w:val="12"/>
                <w:szCs w:val="12"/>
              </w:rPr>
            </w:pPr>
          </w:p>
        </w:tc>
        <w:tc>
          <w:tcPr>
            <w:tcW w:w="372" w:type="pct"/>
            <w:vMerge/>
            <w:tcBorders>
              <w:left w:val="nil"/>
              <w:bottom w:val="single" w:sz="4" w:space="0" w:color="auto"/>
              <w:right w:val="single" w:sz="4" w:space="0" w:color="auto"/>
            </w:tcBorders>
            <w:shd w:val="clear" w:color="auto" w:fill="auto"/>
            <w:noWrap/>
            <w:tcMar>
              <w:left w:w="28" w:type="dxa"/>
              <w:right w:w="28" w:type="dxa"/>
            </w:tcMar>
            <w:vAlign w:val="center"/>
          </w:tcPr>
          <w:p w14:paraId="548C6FC8" w14:textId="77777777" w:rsidR="004A0123" w:rsidRPr="00640447" w:rsidRDefault="004A0123" w:rsidP="008A5C11">
            <w:pPr>
              <w:jc w:val="center"/>
              <w:rPr>
                <w:bCs/>
                <w:sz w:val="12"/>
                <w:szCs w:val="12"/>
              </w:rPr>
            </w:pPr>
          </w:p>
        </w:tc>
        <w:tc>
          <w:tcPr>
            <w:tcW w:w="387" w:type="pct"/>
            <w:vMerge/>
            <w:tcBorders>
              <w:left w:val="nil"/>
              <w:bottom w:val="single" w:sz="4" w:space="0" w:color="auto"/>
              <w:right w:val="single" w:sz="4" w:space="0" w:color="auto"/>
            </w:tcBorders>
            <w:shd w:val="clear" w:color="auto" w:fill="auto"/>
            <w:noWrap/>
            <w:tcMar>
              <w:left w:w="28" w:type="dxa"/>
              <w:right w:w="28" w:type="dxa"/>
            </w:tcMar>
            <w:vAlign w:val="center"/>
          </w:tcPr>
          <w:p w14:paraId="2AA92EA3" w14:textId="77777777" w:rsidR="004A0123" w:rsidRPr="00640447" w:rsidRDefault="004A0123" w:rsidP="008A5C11">
            <w:pPr>
              <w:jc w:val="center"/>
              <w:rPr>
                <w:bCs/>
                <w:sz w:val="12"/>
                <w:szCs w:val="12"/>
              </w:rPr>
            </w:pPr>
          </w:p>
        </w:tc>
        <w:tc>
          <w:tcPr>
            <w:tcW w:w="528" w:type="pct"/>
            <w:tcBorders>
              <w:top w:val="single" w:sz="4" w:space="0" w:color="auto"/>
              <w:left w:val="nil"/>
              <w:bottom w:val="single" w:sz="4" w:space="0" w:color="auto"/>
              <w:right w:val="single" w:sz="4" w:space="0" w:color="auto"/>
            </w:tcBorders>
            <w:tcMar>
              <w:left w:w="28" w:type="dxa"/>
              <w:right w:w="28" w:type="dxa"/>
            </w:tcMar>
            <w:vAlign w:val="center"/>
          </w:tcPr>
          <w:p w14:paraId="376EFB08" w14:textId="77777777" w:rsidR="004A0123" w:rsidRPr="00640447" w:rsidRDefault="004A0123" w:rsidP="008A5C11">
            <w:pPr>
              <w:jc w:val="center"/>
              <w:rPr>
                <w:sz w:val="12"/>
                <w:szCs w:val="12"/>
              </w:rPr>
            </w:pPr>
            <w:r w:rsidRPr="00640447">
              <w:rPr>
                <w:sz w:val="12"/>
                <w:szCs w:val="12"/>
              </w:rPr>
              <w:t>0</w:t>
            </w:r>
          </w:p>
        </w:tc>
        <w:tc>
          <w:tcPr>
            <w:tcW w:w="452" w:type="pct"/>
            <w:tcBorders>
              <w:top w:val="single" w:sz="4" w:space="0" w:color="auto"/>
              <w:left w:val="nil"/>
              <w:bottom w:val="single" w:sz="4" w:space="0" w:color="auto"/>
              <w:right w:val="single" w:sz="4" w:space="0" w:color="auto"/>
            </w:tcBorders>
            <w:tcMar>
              <w:left w:w="28" w:type="dxa"/>
              <w:right w:w="28" w:type="dxa"/>
            </w:tcMar>
            <w:vAlign w:val="center"/>
          </w:tcPr>
          <w:p w14:paraId="37A13740" w14:textId="77777777" w:rsidR="004A0123" w:rsidRPr="00640447" w:rsidRDefault="004A0123" w:rsidP="008A5C11">
            <w:pPr>
              <w:jc w:val="center"/>
              <w:rPr>
                <w:sz w:val="12"/>
                <w:szCs w:val="12"/>
              </w:rPr>
            </w:pPr>
            <w:r w:rsidRPr="00640447">
              <w:rPr>
                <w:sz w:val="12"/>
                <w:szCs w:val="12"/>
              </w:rPr>
              <w:t>151</w:t>
            </w:r>
          </w:p>
        </w:tc>
        <w:tc>
          <w:tcPr>
            <w:tcW w:w="764" w:type="pct"/>
            <w:tcBorders>
              <w:top w:val="single" w:sz="4" w:space="0" w:color="auto"/>
              <w:left w:val="nil"/>
              <w:bottom w:val="single" w:sz="4" w:space="0" w:color="auto"/>
              <w:right w:val="single" w:sz="4" w:space="0" w:color="auto"/>
            </w:tcBorders>
            <w:tcMar>
              <w:left w:w="28" w:type="dxa"/>
              <w:right w:w="28" w:type="dxa"/>
            </w:tcMar>
            <w:vAlign w:val="center"/>
          </w:tcPr>
          <w:p w14:paraId="3ED167D2" w14:textId="77777777" w:rsidR="004A0123" w:rsidRPr="00640447" w:rsidRDefault="004A0123" w:rsidP="008A5C11">
            <w:pPr>
              <w:jc w:val="center"/>
              <w:rPr>
                <w:bCs/>
                <w:sz w:val="12"/>
                <w:szCs w:val="12"/>
              </w:rPr>
            </w:pPr>
            <w:r w:rsidRPr="00640447">
              <w:rPr>
                <w:bCs/>
                <w:sz w:val="12"/>
                <w:szCs w:val="12"/>
              </w:rPr>
              <w:t>собственные средства</w:t>
            </w:r>
          </w:p>
        </w:tc>
      </w:tr>
      <w:tr w:rsidR="004A0123" w:rsidRPr="00640447" w14:paraId="3078BBFC" w14:textId="77777777" w:rsidTr="008A5C11">
        <w:trPr>
          <w:trHeight w:val="104"/>
        </w:trPr>
        <w:tc>
          <w:tcPr>
            <w:tcW w:w="261" w:type="pct"/>
            <w:vMerge w:val="restart"/>
            <w:tcBorders>
              <w:top w:val="single" w:sz="4" w:space="0" w:color="auto"/>
              <w:left w:val="single" w:sz="4" w:space="0" w:color="auto"/>
              <w:right w:val="single" w:sz="4" w:space="0" w:color="auto"/>
            </w:tcBorders>
            <w:tcMar>
              <w:left w:w="28" w:type="dxa"/>
              <w:right w:w="28" w:type="dxa"/>
            </w:tcMar>
            <w:vAlign w:val="center"/>
          </w:tcPr>
          <w:p w14:paraId="4F8AD22A" w14:textId="77777777" w:rsidR="004A0123" w:rsidRPr="00640447" w:rsidRDefault="004A0123" w:rsidP="008A5C11">
            <w:pPr>
              <w:jc w:val="center"/>
              <w:rPr>
                <w:bCs/>
                <w:sz w:val="12"/>
                <w:szCs w:val="12"/>
              </w:rPr>
            </w:pPr>
            <w:r w:rsidRPr="00640447">
              <w:rPr>
                <w:bCs/>
                <w:sz w:val="12"/>
                <w:szCs w:val="12"/>
              </w:rPr>
              <w:t>3.2.2.</w:t>
            </w:r>
          </w:p>
        </w:tc>
        <w:tc>
          <w:tcPr>
            <w:tcW w:w="1518" w:type="pct"/>
            <w:vMerge w:val="restart"/>
            <w:tcBorders>
              <w:top w:val="single" w:sz="4" w:space="0" w:color="auto"/>
              <w:left w:val="single" w:sz="4" w:space="0" w:color="auto"/>
              <w:right w:val="single" w:sz="4" w:space="0" w:color="auto"/>
            </w:tcBorders>
            <w:tcMar>
              <w:left w:w="28" w:type="dxa"/>
              <w:right w:w="28" w:type="dxa"/>
            </w:tcMar>
            <w:vAlign w:val="center"/>
          </w:tcPr>
          <w:p w14:paraId="1BAD747F" w14:textId="77777777" w:rsidR="004A0123" w:rsidRPr="00640447" w:rsidRDefault="004A0123" w:rsidP="008A5C11">
            <w:pPr>
              <w:jc w:val="center"/>
              <w:rPr>
                <w:bCs/>
                <w:sz w:val="12"/>
                <w:szCs w:val="12"/>
              </w:rPr>
            </w:pPr>
            <w:r w:rsidRPr="00640447">
              <w:rPr>
                <w:bCs/>
                <w:sz w:val="12"/>
                <w:szCs w:val="12"/>
              </w:rPr>
              <w:t>Котельная "КСК". Проектирование и установка системы газоотчистки</w:t>
            </w:r>
          </w:p>
        </w:tc>
        <w:tc>
          <w:tcPr>
            <w:tcW w:w="357" w:type="pct"/>
            <w:vMerge w:val="restart"/>
            <w:tcBorders>
              <w:top w:val="single" w:sz="4" w:space="0" w:color="auto"/>
              <w:left w:val="nil"/>
              <w:right w:val="single" w:sz="4" w:space="0" w:color="auto"/>
            </w:tcBorders>
            <w:shd w:val="clear" w:color="auto" w:fill="auto"/>
            <w:noWrap/>
            <w:tcMar>
              <w:left w:w="28" w:type="dxa"/>
              <w:right w:w="28" w:type="dxa"/>
            </w:tcMar>
            <w:vAlign w:val="center"/>
          </w:tcPr>
          <w:p w14:paraId="685AF171" w14:textId="77777777" w:rsidR="004A0123" w:rsidRPr="00640447" w:rsidRDefault="004A0123" w:rsidP="008A5C11">
            <w:pPr>
              <w:jc w:val="center"/>
              <w:rPr>
                <w:bCs/>
                <w:sz w:val="12"/>
                <w:szCs w:val="12"/>
              </w:rPr>
            </w:pPr>
            <w:r w:rsidRPr="00640447">
              <w:rPr>
                <w:bCs/>
                <w:sz w:val="12"/>
                <w:szCs w:val="12"/>
              </w:rPr>
              <w:t>2019</w:t>
            </w:r>
          </w:p>
        </w:tc>
        <w:tc>
          <w:tcPr>
            <w:tcW w:w="361" w:type="pct"/>
            <w:vMerge w:val="restart"/>
            <w:tcBorders>
              <w:top w:val="single" w:sz="4" w:space="0" w:color="auto"/>
              <w:left w:val="nil"/>
              <w:right w:val="single" w:sz="4" w:space="0" w:color="auto"/>
            </w:tcBorders>
            <w:shd w:val="clear" w:color="auto" w:fill="auto"/>
            <w:noWrap/>
            <w:tcMar>
              <w:left w:w="28" w:type="dxa"/>
              <w:right w:w="28" w:type="dxa"/>
            </w:tcMar>
            <w:vAlign w:val="center"/>
          </w:tcPr>
          <w:p w14:paraId="03ED7CEE" w14:textId="77777777" w:rsidR="004A0123" w:rsidRPr="00640447" w:rsidRDefault="004A0123" w:rsidP="008A5C11">
            <w:pPr>
              <w:jc w:val="center"/>
              <w:rPr>
                <w:bCs/>
                <w:sz w:val="12"/>
                <w:szCs w:val="12"/>
              </w:rPr>
            </w:pPr>
            <w:r w:rsidRPr="00640447">
              <w:rPr>
                <w:bCs/>
                <w:sz w:val="12"/>
                <w:szCs w:val="12"/>
              </w:rPr>
              <w:t>2019</w:t>
            </w:r>
          </w:p>
        </w:tc>
        <w:tc>
          <w:tcPr>
            <w:tcW w:w="372" w:type="pct"/>
            <w:vMerge w:val="restart"/>
            <w:tcBorders>
              <w:top w:val="single" w:sz="4" w:space="0" w:color="auto"/>
              <w:left w:val="nil"/>
              <w:right w:val="single" w:sz="4" w:space="0" w:color="auto"/>
            </w:tcBorders>
            <w:shd w:val="clear" w:color="auto" w:fill="auto"/>
            <w:noWrap/>
            <w:tcMar>
              <w:left w:w="28" w:type="dxa"/>
              <w:right w:w="28" w:type="dxa"/>
            </w:tcMar>
            <w:vAlign w:val="center"/>
          </w:tcPr>
          <w:p w14:paraId="48DE7A1F" w14:textId="77777777" w:rsidR="004A0123" w:rsidRPr="00640447" w:rsidRDefault="004A0123" w:rsidP="008A5C11">
            <w:pPr>
              <w:jc w:val="center"/>
              <w:rPr>
                <w:bCs/>
                <w:sz w:val="12"/>
                <w:szCs w:val="12"/>
              </w:rPr>
            </w:pPr>
            <w:r w:rsidRPr="00640447">
              <w:rPr>
                <w:bCs/>
                <w:sz w:val="12"/>
                <w:szCs w:val="12"/>
              </w:rPr>
              <w:t>2021</w:t>
            </w:r>
          </w:p>
        </w:tc>
        <w:tc>
          <w:tcPr>
            <w:tcW w:w="387" w:type="pct"/>
            <w:vMerge w:val="restart"/>
            <w:tcBorders>
              <w:top w:val="single" w:sz="4" w:space="0" w:color="auto"/>
              <w:left w:val="nil"/>
              <w:right w:val="single" w:sz="4" w:space="0" w:color="auto"/>
            </w:tcBorders>
            <w:shd w:val="clear" w:color="auto" w:fill="auto"/>
            <w:noWrap/>
            <w:tcMar>
              <w:left w:w="28" w:type="dxa"/>
              <w:right w:w="28" w:type="dxa"/>
            </w:tcMar>
            <w:vAlign w:val="center"/>
          </w:tcPr>
          <w:p w14:paraId="19FFD1ED" w14:textId="77777777" w:rsidR="004A0123" w:rsidRPr="00640447" w:rsidRDefault="004A0123" w:rsidP="008A5C11">
            <w:pPr>
              <w:jc w:val="center"/>
              <w:rPr>
                <w:bCs/>
                <w:sz w:val="12"/>
                <w:szCs w:val="12"/>
              </w:rPr>
            </w:pPr>
            <w:r w:rsidRPr="00640447">
              <w:rPr>
                <w:bCs/>
                <w:sz w:val="12"/>
                <w:szCs w:val="12"/>
              </w:rPr>
              <w:t>2021</w:t>
            </w:r>
          </w:p>
        </w:tc>
        <w:tc>
          <w:tcPr>
            <w:tcW w:w="528" w:type="pct"/>
            <w:tcBorders>
              <w:top w:val="single" w:sz="4" w:space="0" w:color="auto"/>
              <w:left w:val="nil"/>
              <w:bottom w:val="single" w:sz="4" w:space="0" w:color="auto"/>
              <w:right w:val="single" w:sz="4" w:space="0" w:color="auto"/>
            </w:tcBorders>
            <w:tcMar>
              <w:left w:w="28" w:type="dxa"/>
              <w:right w:w="28" w:type="dxa"/>
            </w:tcMar>
            <w:vAlign w:val="center"/>
          </w:tcPr>
          <w:p w14:paraId="062542B3" w14:textId="77777777" w:rsidR="004A0123" w:rsidRPr="00640447" w:rsidRDefault="004A0123" w:rsidP="008A5C11">
            <w:pPr>
              <w:jc w:val="center"/>
              <w:rPr>
                <w:sz w:val="12"/>
                <w:szCs w:val="12"/>
              </w:rPr>
            </w:pPr>
            <w:r w:rsidRPr="00640447">
              <w:rPr>
                <w:sz w:val="12"/>
                <w:szCs w:val="12"/>
              </w:rPr>
              <w:t>18200</w:t>
            </w:r>
          </w:p>
        </w:tc>
        <w:tc>
          <w:tcPr>
            <w:tcW w:w="452" w:type="pct"/>
            <w:tcBorders>
              <w:top w:val="single" w:sz="4" w:space="0" w:color="auto"/>
              <w:left w:val="nil"/>
              <w:bottom w:val="single" w:sz="4" w:space="0" w:color="auto"/>
              <w:right w:val="single" w:sz="4" w:space="0" w:color="auto"/>
            </w:tcBorders>
            <w:tcMar>
              <w:left w:w="28" w:type="dxa"/>
              <w:right w:w="28" w:type="dxa"/>
            </w:tcMar>
            <w:vAlign w:val="center"/>
          </w:tcPr>
          <w:p w14:paraId="5E7C7915" w14:textId="77777777" w:rsidR="004A0123" w:rsidRPr="00640447" w:rsidRDefault="004A0123" w:rsidP="008A5C11">
            <w:pPr>
              <w:jc w:val="center"/>
              <w:rPr>
                <w:sz w:val="12"/>
                <w:szCs w:val="12"/>
              </w:rPr>
            </w:pPr>
            <w:r w:rsidRPr="00640447">
              <w:rPr>
                <w:sz w:val="12"/>
                <w:szCs w:val="12"/>
              </w:rPr>
              <w:t>19330</w:t>
            </w:r>
          </w:p>
        </w:tc>
        <w:tc>
          <w:tcPr>
            <w:tcW w:w="764" w:type="pct"/>
            <w:tcBorders>
              <w:top w:val="single" w:sz="4" w:space="0" w:color="auto"/>
              <w:left w:val="nil"/>
              <w:bottom w:val="single" w:sz="4" w:space="0" w:color="auto"/>
              <w:right w:val="single" w:sz="4" w:space="0" w:color="auto"/>
            </w:tcBorders>
            <w:tcMar>
              <w:left w:w="28" w:type="dxa"/>
              <w:right w:w="28" w:type="dxa"/>
            </w:tcMar>
            <w:vAlign w:val="center"/>
          </w:tcPr>
          <w:p w14:paraId="683E1356" w14:textId="77777777" w:rsidR="004A0123" w:rsidRPr="00640447" w:rsidRDefault="004A0123" w:rsidP="008A5C11">
            <w:pPr>
              <w:jc w:val="center"/>
              <w:rPr>
                <w:bCs/>
                <w:sz w:val="12"/>
                <w:szCs w:val="12"/>
              </w:rPr>
            </w:pPr>
            <w:r w:rsidRPr="00640447">
              <w:rPr>
                <w:bCs/>
                <w:sz w:val="12"/>
                <w:szCs w:val="12"/>
              </w:rPr>
              <w:t>бюджетные средства</w:t>
            </w:r>
          </w:p>
        </w:tc>
      </w:tr>
      <w:tr w:rsidR="004A0123" w:rsidRPr="00640447" w14:paraId="0A582F27" w14:textId="77777777" w:rsidTr="008A5C11">
        <w:trPr>
          <w:trHeight w:val="103"/>
        </w:trPr>
        <w:tc>
          <w:tcPr>
            <w:tcW w:w="261" w:type="pct"/>
            <w:vMerge/>
            <w:tcBorders>
              <w:left w:val="single" w:sz="4" w:space="0" w:color="auto"/>
              <w:bottom w:val="single" w:sz="4" w:space="0" w:color="auto"/>
              <w:right w:val="single" w:sz="4" w:space="0" w:color="auto"/>
            </w:tcBorders>
            <w:tcMar>
              <w:left w:w="28" w:type="dxa"/>
              <w:right w:w="28" w:type="dxa"/>
            </w:tcMar>
            <w:vAlign w:val="center"/>
          </w:tcPr>
          <w:p w14:paraId="22D0820C" w14:textId="77777777" w:rsidR="004A0123" w:rsidRPr="00640447" w:rsidRDefault="004A0123" w:rsidP="008A5C11">
            <w:pPr>
              <w:jc w:val="center"/>
              <w:rPr>
                <w:bCs/>
                <w:sz w:val="12"/>
                <w:szCs w:val="12"/>
              </w:rPr>
            </w:pPr>
          </w:p>
        </w:tc>
        <w:tc>
          <w:tcPr>
            <w:tcW w:w="1518" w:type="pct"/>
            <w:vMerge/>
            <w:tcBorders>
              <w:left w:val="single" w:sz="4" w:space="0" w:color="auto"/>
              <w:bottom w:val="single" w:sz="4" w:space="0" w:color="auto"/>
              <w:right w:val="single" w:sz="4" w:space="0" w:color="auto"/>
            </w:tcBorders>
            <w:tcMar>
              <w:left w:w="28" w:type="dxa"/>
              <w:right w:w="28" w:type="dxa"/>
            </w:tcMar>
            <w:vAlign w:val="center"/>
          </w:tcPr>
          <w:p w14:paraId="3419D57C" w14:textId="77777777" w:rsidR="004A0123" w:rsidRPr="00640447" w:rsidRDefault="004A0123" w:rsidP="008A5C11">
            <w:pPr>
              <w:jc w:val="center"/>
              <w:rPr>
                <w:bCs/>
                <w:sz w:val="12"/>
                <w:szCs w:val="12"/>
              </w:rPr>
            </w:pPr>
          </w:p>
        </w:tc>
        <w:tc>
          <w:tcPr>
            <w:tcW w:w="357" w:type="pct"/>
            <w:vMerge/>
            <w:tcBorders>
              <w:left w:val="nil"/>
              <w:bottom w:val="single" w:sz="4" w:space="0" w:color="auto"/>
              <w:right w:val="single" w:sz="4" w:space="0" w:color="auto"/>
            </w:tcBorders>
            <w:shd w:val="clear" w:color="auto" w:fill="auto"/>
            <w:noWrap/>
            <w:tcMar>
              <w:left w:w="28" w:type="dxa"/>
              <w:right w:w="28" w:type="dxa"/>
            </w:tcMar>
            <w:vAlign w:val="center"/>
          </w:tcPr>
          <w:p w14:paraId="5E1FC8B1" w14:textId="77777777" w:rsidR="004A0123" w:rsidRPr="00640447" w:rsidRDefault="004A0123" w:rsidP="008A5C11">
            <w:pPr>
              <w:jc w:val="center"/>
              <w:rPr>
                <w:bCs/>
                <w:sz w:val="12"/>
                <w:szCs w:val="12"/>
              </w:rPr>
            </w:pPr>
          </w:p>
        </w:tc>
        <w:tc>
          <w:tcPr>
            <w:tcW w:w="361" w:type="pct"/>
            <w:vMerge/>
            <w:tcBorders>
              <w:left w:val="nil"/>
              <w:bottom w:val="single" w:sz="4" w:space="0" w:color="auto"/>
              <w:right w:val="single" w:sz="4" w:space="0" w:color="auto"/>
            </w:tcBorders>
            <w:shd w:val="clear" w:color="auto" w:fill="auto"/>
            <w:noWrap/>
            <w:tcMar>
              <w:left w:w="28" w:type="dxa"/>
              <w:right w:w="28" w:type="dxa"/>
            </w:tcMar>
            <w:vAlign w:val="center"/>
          </w:tcPr>
          <w:p w14:paraId="0463158E" w14:textId="77777777" w:rsidR="004A0123" w:rsidRPr="00640447" w:rsidRDefault="004A0123" w:rsidP="008A5C11">
            <w:pPr>
              <w:jc w:val="center"/>
              <w:rPr>
                <w:bCs/>
                <w:sz w:val="12"/>
                <w:szCs w:val="12"/>
              </w:rPr>
            </w:pPr>
          </w:p>
        </w:tc>
        <w:tc>
          <w:tcPr>
            <w:tcW w:w="372" w:type="pct"/>
            <w:vMerge/>
            <w:tcBorders>
              <w:left w:val="nil"/>
              <w:bottom w:val="single" w:sz="4" w:space="0" w:color="auto"/>
              <w:right w:val="single" w:sz="4" w:space="0" w:color="auto"/>
            </w:tcBorders>
            <w:shd w:val="clear" w:color="auto" w:fill="auto"/>
            <w:noWrap/>
            <w:tcMar>
              <w:left w:w="28" w:type="dxa"/>
              <w:right w:w="28" w:type="dxa"/>
            </w:tcMar>
            <w:vAlign w:val="center"/>
          </w:tcPr>
          <w:p w14:paraId="683EA799" w14:textId="77777777" w:rsidR="004A0123" w:rsidRPr="00640447" w:rsidRDefault="004A0123" w:rsidP="008A5C11">
            <w:pPr>
              <w:jc w:val="center"/>
              <w:rPr>
                <w:bCs/>
                <w:sz w:val="12"/>
                <w:szCs w:val="12"/>
              </w:rPr>
            </w:pPr>
          </w:p>
        </w:tc>
        <w:tc>
          <w:tcPr>
            <w:tcW w:w="387" w:type="pct"/>
            <w:vMerge/>
            <w:tcBorders>
              <w:left w:val="nil"/>
              <w:bottom w:val="single" w:sz="4" w:space="0" w:color="auto"/>
              <w:right w:val="single" w:sz="4" w:space="0" w:color="auto"/>
            </w:tcBorders>
            <w:shd w:val="clear" w:color="auto" w:fill="auto"/>
            <w:noWrap/>
            <w:tcMar>
              <w:left w:w="28" w:type="dxa"/>
              <w:right w:w="28" w:type="dxa"/>
            </w:tcMar>
            <w:vAlign w:val="center"/>
          </w:tcPr>
          <w:p w14:paraId="46B08F91" w14:textId="77777777" w:rsidR="004A0123" w:rsidRPr="00640447" w:rsidRDefault="004A0123" w:rsidP="008A5C11">
            <w:pPr>
              <w:jc w:val="center"/>
              <w:rPr>
                <w:bCs/>
                <w:sz w:val="12"/>
                <w:szCs w:val="12"/>
              </w:rPr>
            </w:pPr>
          </w:p>
        </w:tc>
        <w:tc>
          <w:tcPr>
            <w:tcW w:w="528" w:type="pct"/>
            <w:tcBorders>
              <w:top w:val="single" w:sz="4" w:space="0" w:color="auto"/>
              <w:left w:val="nil"/>
              <w:bottom w:val="single" w:sz="4" w:space="0" w:color="auto"/>
              <w:right w:val="single" w:sz="4" w:space="0" w:color="auto"/>
            </w:tcBorders>
            <w:tcMar>
              <w:left w:w="28" w:type="dxa"/>
              <w:right w:w="28" w:type="dxa"/>
            </w:tcMar>
            <w:vAlign w:val="center"/>
          </w:tcPr>
          <w:p w14:paraId="7E809898" w14:textId="77777777" w:rsidR="004A0123" w:rsidRPr="00640447" w:rsidRDefault="004A0123" w:rsidP="008A5C11">
            <w:pPr>
              <w:jc w:val="center"/>
              <w:rPr>
                <w:sz w:val="12"/>
                <w:szCs w:val="12"/>
              </w:rPr>
            </w:pPr>
            <w:r w:rsidRPr="00640447">
              <w:rPr>
                <w:sz w:val="12"/>
                <w:szCs w:val="12"/>
              </w:rPr>
              <w:t>0</w:t>
            </w:r>
          </w:p>
        </w:tc>
        <w:tc>
          <w:tcPr>
            <w:tcW w:w="452" w:type="pct"/>
            <w:tcBorders>
              <w:top w:val="single" w:sz="4" w:space="0" w:color="auto"/>
              <w:left w:val="nil"/>
              <w:bottom w:val="single" w:sz="4" w:space="0" w:color="auto"/>
              <w:right w:val="single" w:sz="4" w:space="0" w:color="auto"/>
            </w:tcBorders>
            <w:tcMar>
              <w:left w:w="28" w:type="dxa"/>
              <w:right w:w="28" w:type="dxa"/>
            </w:tcMar>
            <w:vAlign w:val="center"/>
          </w:tcPr>
          <w:p w14:paraId="266B0724" w14:textId="77777777" w:rsidR="004A0123" w:rsidRPr="00640447" w:rsidRDefault="004A0123" w:rsidP="008A5C11">
            <w:pPr>
              <w:jc w:val="center"/>
              <w:rPr>
                <w:sz w:val="12"/>
                <w:szCs w:val="12"/>
              </w:rPr>
            </w:pPr>
            <w:r w:rsidRPr="00640447">
              <w:rPr>
                <w:sz w:val="12"/>
                <w:szCs w:val="12"/>
              </w:rPr>
              <w:t>271</w:t>
            </w:r>
          </w:p>
        </w:tc>
        <w:tc>
          <w:tcPr>
            <w:tcW w:w="764" w:type="pct"/>
            <w:tcBorders>
              <w:top w:val="single" w:sz="4" w:space="0" w:color="auto"/>
              <w:left w:val="nil"/>
              <w:bottom w:val="single" w:sz="4" w:space="0" w:color="auto"/>
              <w:right w:val="single" w:sz="4" w:space="0" w:color="auto"/>
            </w:tcBorders>
            <w:tcMar>
              <w:left w:w="28" w:type="dxa"/>
              <w:right w:w="28" w:type="dxa"/>
            </w:tcMar>
            <w:vAlign w:val="center"/>
          </w:tcPr>
          <w:p w14:paraId="72FDB6BC" w14:textId="77777777" w:rsidR="004A0123" w:rsidRPr="00640447" w:rsidRDefault="004A0123" w:rsidP="008A5C11">
            <w:pPr>
              <w:jc w:val="center"/>
              <w:rPr>
                <w:bCs/>
                <w:sz w:val="12"/>
                <w:szCs w:val="12"/>
              </w:rPr>
            </w:pPr>
            <w:r w:rsidRPr="00640447">
              <w:rPr>
                <w:bCs/>
                <w:sz w:val="12"/>
                <w:szCs w:val="12"/>
              </w:rPr>
              <w:t>собственные средства</w:t>
            </w:r>
          </w:p>
        </w:tc>
      </w:tr>
      <w:tr w:rsidR="004A0123" w:rsidRPr="00640447" w14:paraId="1A47250D" w14:textId="77777777" w:rsidTr="008A5C11">
        <w:trPr>
          <w:trHeight w:val="162"/>
        </w:trPr>
        <w:tc>
          <w:tcPr>
            <w:tcW w:w="261" w:type="pct"/>
            <w:vMerge w:val="restart"/>
            <w:tcBorders>
              <w:top w:val="single" w:sz="4" w:space="0" w:color="auto"/>
              <w:left w:val="single" w:sz="4" w:space="0" w:color="auto"/>
              <w:right w:val="single" w:sz="4" w:space="0" w:color="auto"/>
            </w:tcBorders>
            <w:tcMar>
              <w:left w:w="28" w:type="dxa"/>
              <w:right w:w="28" w:type="dxa"/>
            </w:tcMar>
            <w:vAlign w:val="center"/>
          </w:tcPr>
          <w:p w14:paraId="7415B186" w14:textId="77777777" w:rsidR="004A0123" w:rsidRPr="00640447" w:rsidRDefault="004A0123" w:rsidP="008A5C11">
            <w:pPr>
              <w:jc w:val="center"/>
              <w:rPr>
                <w:bCs/>
                <w:sz w:val="12"/>
                <w:szCs w:val="12"/>
              </w:rPr>
            </w:pPr>
            <w:r w:rsidRPr="00640447">
              <w:rPr>
                <w:bCs/>
                <w:sz w:val="12"/>
                <w:szCs w:val="12"/>
              </w:rPr>
              <w:t>3.2.3.</w:t>
            </w:r>
          </w:p>
        </w:tc>
        <w:tc>
          <w:tcPr>
            <w:tcW w:w="1518" w:type="pct"/>
            <w:vMerge w:val="restart"/>
            <w:tcBorders>
              <w:top w:val="single" w:sz="4" w:space="0" w:color="auto"/>
              <w:left w:val="single" w:sz="4" w:space="0" w:color="auto"/>
              <w:right w:val="single" w:sz="4" w:space="0" w:color="auto"/>
            </w:tcBorders>
            <w:tcMar>
              <w:left w:w="28" w:type="dxa"/>
              <w:right w:w="28" w:type="dxa"/>
            </w:tcMar>
            <w:vAlign w:val="center"/>
          </w:tcPr>
          <w:p w14:paraId="7F485105" w14:textId="77777777" w:rsidR="004A0123" w:rsidRPr="00640447" w:rsidRDefault="004A0123" w:rsidP="008A5C11">
            <w:pPr>
              <w:jc w:val="center"/>
              <w:rPr>
                <w:bCs/>
                <w:sz w:val="12"/>
                <w:szCs w:val="12"/>
              </w:rPr>
            </w:pPr>
            <w:r w:rsidRPr="00640447">
              <w:rPr>
                <w:bCs/>
                <w:sz w:val="12"/>
                <w:szCs w:val="12"/>
              </w:rPr>
              <w:t xml:space="preserve">Реконструкция котельной "Энергетик". Проектирование и реконструкция </w:t>
            </w:r>
            <w:proofErr w:type="gramStart"/>
            <w:r w:rsidRPr="00640447">
              <w:rPr>
                <w:bCs/>
                <w:sz w:val="12"/>
                <w:szCs w:val="12"/>
              </w:rPr>
              <w:t>котла  К</w:t>
            </w:r>
            <w:proofErr w:type="gramEnd"/>
            <w:r w:rsidRPr="00640447">
              <w:rPr>
                <w:bCs/>
                <w:sz w:val="12"/>
                <w:szCs w:val="12"/>
              </w:rPr>
              <w:t>-50-40/14 № 1с установкой системы автоматизации</w:t>
            </w:r>
          </w:p>
        </w:tc>
        <w:tc>
          <w:tcPr>
            <w:tcW w:w="357" w:type="pct"/>
            <w:vMerge w:val="restart"/>
            <w:tcBorders>
              <w:top w:val="single" w:sz="4" w:space="0" w:color="auto"/>
              <w:left w:val="nil"/>
              <w:right w:val="single" w:sz="4" w:space="0" w:color="auto"/>
            </w:tcBorders>
            <w:shd w:val="clear" w:color="auto" w:fill="auto"/>
            <w:noWrap/>
            <w:tcMar>
              <w:left w:w="28" w:type="dxa"/>
              <w:right w:w="28" w:type="dxa"/>
            </w:tcMar>
            <w:vAlign w:val="center"/>
          </w:tcPr>
          <w:p w14:paraId="14592A06" w14:textId="77777777" w:rsidR="004A0123" w:rsidRPr="00640447" w:rsidRDefault="004A0123" w:rsidP="008A5C11">
            <w:pPr>
              <w:jc w:val="center"/>
              <w:rPr>
                <w:bCs/>
                <w:sz w:val="12"/>
                <w:szCs w:val="12"/>
              </w:rPr>
            </w:pPr>
            <w:r w:rsidRPr="00640447">
              <w:rPr>
                <w:bCs/>
                <w:sz w:val="12"/>
                <w:szCs w:val="12"/>
              </w:rPr>
              <w:t>2019</w:t>
            </w:r>
          </w:p>
        </w:tc>
        <w:tc>
          <w:tcPr>
            <w:tcW w:w="361" w:type="pct"/>
            <w:vMerge w:val="restart"/>
            <w:tcBorders>
              <w:top w:val="single" w:sz="4" w:space="0" w:color="auto"/>
              <w:left w:val="nil"/>
              <w:right w:val="single" w:sz="4" w:space="0" w:color="auto"/>
            </w:tcBorders>
            <w:shd w:val="clear" w:color="auto" w:fill="auto"/>
            <w:noWrap/>
            <w:tcMar>
              <w:left w:w="28" w:type="dxa"/>
              <w:right w:w="28" w:type="dxa"/>
            </w:tcMar>
            <w:vAlign w:val="center"/>
          </w:tcPr>
          <w:p w14:paraId="3BADEFBD" w14:textId="77777777" w:rsidR="004A0123" w:rsidRPr="00640447" w:rsidRDefault="004A0123" w:rsidP="008A5C11">
            <w:pPr>
              <w:jc w:val="center"/>
              <w:rPr>
                <w:bCs/>
                <w:sz w:val="12"/>
                <w:szCs w:val="12"/>
              </w:rPr>
            </w:pPr>
            <w:r w:rsidRPr="00640447">
              <w:rPr>
                <w:bCs/>
                <w:sz w:val="12"/>
                <w:szCs w:val="12"/>
              </w:rPr>
              <w:t>2019</w:t>
            </w:r>
          </w:p>
        </w:tc>
        <w:tc>
          <w:tcPr>
            <w:tcW w:w="372" w:type="pct"/>
            <w:vMerge w:val="restart"/>
            <w:tcBorders>
              <w:top w:val="single" w:sz="4" w:space="0" w:color="auto"/>
              <w:left w:val="nil"/>
              <w:right w:val="single" w:sz="4" w:space="0" w:color="auto"/>
            </w:tcBorders>
            <w:shd w:val="clear" w:color="auto" w:fill="auto"/>
            <w:noWrap/>
            <w:tcMar>
              <w:left w:w="28" w:type="dxa"/>
              <w:right w:w="28" w:type="dxa"/>
            </w:tcMar>
            <w:vAlign w:val="center"/>
          </w:tcPr>
          <w:p w14:paraId="1AD2EB0C" w14:textId="77777777" w:rsidR="004A0123" w:rsidRPr="00640447" w:rsidRDefault="004A0123" w:rsidP="008A5C11">
            <w:pPr>
              <w:jc w:val="center"/>
              <w:rPr>
                <w:bCs/>
                <w:sz w:val="12"/>
                <w:szCs w:val="12"/>
              </w:rPr>
            </w:pPr>
            <w:r w:rsidRPr="00640447">
              <w:rPr>
                <w:bCs/>
                <w:sz w:val="12"/>
                <w:szCs w:val="12"/>
              </w:rPr>
              <w:t>2021</w:t>
            </w:r>
          </w:p>
        </w:tc>
        <w:tc>
          <w:tcPr>
            <w:tcW w:w="387" w:type="pct"/>
            <w:vMerge w:val="restart"/>
            <w:tcBorders>
              <w:top w:val="single" w:sz="4" w:space="0" w:color="auto"/>
              <w:left w:val="nil"/>
              <w:right w:val="single" w:sz="4" w:space="0" w:color="auto"/>
            </w:tcBorders>
            <w:shd w:val="clear" w:color="auto" w:fill="auto"/>
            <w:noWrap/>
            <w:tcMar>
              <w:left w:w="28" w:type="dxa"/>
              <w:right w:w="28" w:type="dxa"/>
            </w:tcMar>
            <w:vAlign w:val="center"/>
          </w:tcPr>
          <w:p w14:paraId="288FE67B" w14:textId="77777777" w:rsidR="004A0123" w:rsidRPr="00640447" w:rsidRDefault="004A0123" w:rsidP="008A5C11">
            <w:pPr>
              <w:jc w:val="center"/>
              <w:rPr>
                <w:bCs/>
                <w:sz w:val="12"/>
                <w:szCs w:val="12"/>
              </w:rPr>
            </w:pPr>
            <w:r w:rsidRPr="00640447">
              <w:rPr>
                <w:bCs/>
                <w:sz w:val="12"/>
                <w:szCs w:val="12"/>
              </w:rPr>
              <w:t>2021</w:t>
            </w:r>
          </w:p>
        </w:tc>
        <w:tc>
          <w:tcPr>
            <w:tcW w:w="528" w:type="pct"/>
            <w:tcBorders>
              <w:top w:val="single" w:sz="4" w:space="0" w:color="auto"/>
              <w:left w:val="nil"/>
              <w:bottom w:val="single" w:sz="4" w:space="0" w:color="auto"/>
              <w:right w:val="single" w:sz="4" w:space="0" w:color="auto"/>
            </w:tcBorders>
            <w:tcMar>
              <w:left w:w="28" w:type="dxa"/>
              <w:right w:w="28" w:type="dxa"/>
            </w:tcMar>
            <w:vAlign w:val="center"/>
          </w:tcPr>
          <w:p w14:paraId="3389BC39" w14:textId="77777777" w:rsidR="004A0123" w:rsidRPr="00640447" w:rsidRDefault="004A0123" w:rsidP="008A5C11">
            <w:pPr>
              <w:jc w:val="center"/>
              <w:rPr>
                <w:sz w:val="12"/>
                <w:szCs w:val="12"/>
              </w:rPr>
            </w:pPr>
            <w:r w:rsidRPr="00640447">
              <w:rPr>
                <w:sz w:val="12"/>
                <w:szCs w:val="12"/>
              </w:rPr>
              <w:t>103455</w:t>
            </w:r>
          </w:p>
        </w:tc>
        <w:tc>
          <w:tcPr>
            <w:tcW w:w="452" w:type="pct"/>
            <w:tcBorders>
              <w:top w:val="single" w:sz="4" w:space="0" w:color="auto"/>
              <w:left w:val="nil"/>
              <w:bottom w:val="single" w:sz="4" w:space="0" w:color="auto"/>
              <w:right w:val="single" w:sz="4" w:space="0" w:color="auto"/>
            </w:tcBorders>
            <w:tcMar>
              <w:left w:w="28" w:type="dxa"/>
              <w:right w:w="28" w:type="dxa"/>
            </w:tcMar>
            <w:vAlign w:val="center"/>
          </w:tcPr>
          <w:p w14:paraId="4606B1BF" w14:textId="77777777" w:rsidR="004A0123" w:rsidRPr="00640447" w:rsidRDefault="004A0123" w:rsidP="008A5C11">
            <w:pPr>
              <w:jc w:val="center"/>
              <w:rPr>
                <w:sz w:val="12"/>
                <w:szCs w:val="12"/>
              </w:rPr>
            </w:pPr>
            <w:r w:rsidRPr="00640447">
              <w:rPr>
                <w:sz w:val="12"/>
                <w:szCs w:val="12"/>
              </w:rPr>
              <w:t>88576</w:t>
            </w:r>
          </w:p>
        </w:tc>
        <w:tc>
          <w:tcPr>
            <w:tcW w:w="764" w:type="pct"/>
            <w:tcBorders>
              <w:top w:val="single" w:sz="4" w:space="0" w:color="auto"/>
              <w:left w:val="nil"/>
              <w:bottom w:val="single" w:sz="4" w:space="0" w:color="auto"/>
              <w:right w:val="single" w:sz="4" w:space="0" w:color="auto"/>
            </w:tcBorders>
            <w:tcMar>
              <w:left w:w="28" w:type="dxa"/>
              <w:right w:w="28" w:type="dxa"/>
            </w:tcMar>
            <w:vAlign w:val="center"/>
          </w:tcPr>
          <w:p w14:paraId="09DDBA77" w14:textId="77777777" w:rsidR="004A0123" w:rsidRPr="00640447" w:rsidRDefault="004A0123" w:rsidP="008A5C11">
            <w:pPr>
              <w:jc w:val="center"/>
              <w:rPr>
                <w:bCs/>
                <w:sz w:val="12"/>
                <w:szCs w:val="12"/>
              </w:rPr>
            </w:pPr>
            <w:r w:rsidRPr="00640447">
              <w:rPr>
                <w:bCs/>
                <w:sz w:val="12"/>
                <w:szCs w:val="12"/>
              </w:rPr>
              <w:t>бюджетные средства</w:t>
            </w:r>
          </w:p>
        </w:tc>
      </w:tr>
      <w:tr w:rsidR="004A0123" w:rsidRPr="00640447" w14:paraId="5ED9DCB4" w14:textId="77777777" w:rsidTr="008A5C11">
        <w:trPr>
          <w:trHeight w:val="161"/>
        </w:trPr>
        <w:tc>
          <w:tcPr>
            <w:tcW w:w="261" w:type="pct"/>
            <w:vMerge/>
            <w:tcBorders>
              <w:left w:val="single" w:sz="4" w:space="0" w:color="auto"/>
              <w:bottom w:val="single" w:sz="4" w:space="0" w:color="auto"/>
              <w:right w:val="single" w:sz="4" w:space="0" w:color="auto"/>
            </w:tcBorders>
            <w:tcMar>
              <w:left w:w="28" w:type="dxa"/>
              <w:right w:w="28" w:type="dxa"/>
            </w:tcMar>
            <w:vAlign w:val="center"/>
          </w:tcPr>
          <w:p w14:paraId="36651194" w14:textId="77777777" w:rsidR="004A0123" w:rsidRPr="00640447" w:rsidRDefault="004A0123" w:rsidP="008A5C11">
            <w:pPr>
              <w:jc w:val="center"/>
              <w:rPr>
                <w:bCs/>
                <w:sz w:val="12"/>
                <w:szCs w:val="12"/>
              </w:rPr>
            </w:pPr>
          </w:p>
        </w:tc>
        <w:tc>
          <w:tcPr>
            <w:tcW w:w="1518" w:type="pct"/>
            <w:vMerge/>
            <w:tcBorders>
              <w:left w:val="single" w:sz="4" w:space="0" w:color="auto"/>
              <w:bottom w:val="single" w:sz="4" w:space="0" w:color="auto"/>
              <w:right w:val="single" w:sz="4" w:space="0" w:color="auto"/>
            </w:tcBorders>
            <w:tcMar>
              <w:left w:w="28" w:type="dxa"/>
              <w:right w:w="28" w:type="dxa"/>
            </w:tcMar>
            <w:vAlign w:val="center"/>
          </w:tcPr>
          <w:p w14:paraId="5E603AE6" w14:textId="77777777" w:rsidR="004A0123" w:rsidRPr="00640447" w:rsidRDefault="004A0123" w:rsidP="008A5C11">
            <w:pPr>
              <w:jc w:val="center"/>
              <w:rPr>
                <w:bCs/>
                <w:sz w:val="12"/>
                <w:szCs w:val="12"/>
              </w:rPr>
            </w:pPr>
          </w:p>
        </w:tc>
        <w:tc>
          <w:tcPr>
            <w:tcW w:w="357" w:type="pct"/>
            <w:vMerge/>
            <w:tcBorders>
              <w:left w:val="nil"/>
              <w:bottom w:val="single" w:sz="4" w:space="0" w:color="auto"/>
              <w:right w:val="single" w:sz="4" w:space="0" w:color="auto"/>
            </w:tcBorders>
            <w:shd w:val="clear" w:color="auto" w:fill="auto"/>
            <w:noWrap/>
            <w:tcMar>
              <w:left w:w="28" w:type="dxa"/>
              <w:right w:w="28" w:type="dxa"/>
            </w:tcMar>
            <w:vAlign w:val="center"/>
          </w:tcPr>
          <w:p w14:paraId="2CC0651E" w14:textId="77777777" w:rsidR="004A0123" w:rsidRPr="00640447" w:rsidRDefault="004A0123" w:rsidP="008A5C11">
            <w:pPr>
              <w:jc w:val="center"/>
              <w:rPr>
                <w:bCs/>
                <w:sz w:val="12"/>
                <w:szCs w:val="12"/>
              </w:rPr>
            </w:pPr>
          </w:p>
        </w:tc>
        <w:tc>
          <w:tcPr>
            <w:tcW w:w="361" w:type="pct"/>
            <w:vMerge/>
            <w:tcBorders>
              <w:left w:val="nil"/>
              <w:bottom w:val="single" w:sz="4" w:space="0" w:color="auto"/>
              <w:right w:val="single" w:sz="4" w:space="0" w:color="auto"/>
            </w:tcBorders>
            <w:shd w:val="clear" w:color="auto" w:fill="auto"/>
            <w:noWrap/>
            <w:tcMar>
              <w:left w:w="28" w:type="dxa"/>
              <w:right w:w="28" w:type="dxa"/>
            </w:tcMar>
            <w:vAlign w:val="center"/>
          </w:tcPr>
          <w:p w14:paraId="6BF40863" w14:textId="77777777" w:rsidR="004A0123" w:rsidRPr="00640447" w:rsidRDefault="004A0123" w:rsidP="008A5C11">
            <w:pPr>
              <w:jc w:val="center"/>
              <w:rPr>
                <w:bCs/>
                <w:sz w:val="12"/>
                <w:szCs w:val="12"/>
              </w:rPr>
            </w:pPr>
          </w:p>
        </w:tc>
        <w:tc>
          <w:tcPr>
            <w:tcW w:w="372" w:type="pct"/>
            <w:vMerge/>
            <w:tcBorders>
              <w:left w:val="nil"/>
              <w:bottom w:val="single" w:sz="4" w:space="0" w:color="auto"/>
              <w:right w:val="single" w:sz="4" w:space="0" w:color="auto"/>
            </w:tcBorders>
            <w:shd w:val="clear" w:color="auto" w:fill="auto"/>
            <w:noWrap/>
            <w:tcMar>
              <w:left w:w="28" w:type="dxa"/>
              <w:right w:w="28" w:type="dxa"/>
            </w:tcMar>
            <w:vAlign w:val="center"/>
          </w:tcPr>
          <w:p w14:paraId="0BF2ABAA" w14:textId="77777777" w:rsidR="004A0123" w:rsidRPr="00640447" w:rsidRDefault="004A0123" w:rsidP="008A5C11">
            <w:pPr>
              <w:jc w:val="center"/>
              <w:rPr>
                <w:bCs/>
                <w:sz w:val="12"/>
                <w:szCs w:val="12"/>
              </w:rPr>
            </w:pPr>
          </w:p>
        </w:tc>
        <w:tc>
          <w:tcPr>
            <w:tcW w:w="387" w:type="pct"/>
            <w:vMerge/>
            <w:tcBorders>
              <w:left w:val="nil"/>
              <w:bottom w:val="single" w:sz="4" w:space="0" w:color="auto"/>
              <w:right w:val="single" w:sz="4" w:space="0" w:color="auto"/>
            </w:tcBorders>
            <w:shd w:val="clear" w:color="auto" w:fill="auto"/>
            <w:noWrap/>
            <w:tcMar>
              <w:left w:w="28" w:type="dxa"/>
              <w:right w:w="28" w:type="dxa"/>
            </w:tcMar>
            <w:vAlign w:val="center"/>
          </w:tcPr>
          <w:p w14:paraId="77B0493C" w14:textId="77777777" w:rsidR="004A0123" w:rsidRPr="00640447" w:rsidRDefault="004A0123" w:rsidP="008A5C11">
            <w:pPr>
              <w:jc w:val="center"/>
              <w:rPr>
                <w:bCs/>
                <w:sz w:val="12"/>
                <w:szCs w:val="12"/>
              </w:rPr>
            </w:pPr>
          </w:p>
        </w:tc>
        <w:tc>
          <w:tcPr>
            <w:tcW w:w="528" w:type="pct"/>
            <w:tcBorders>
              <w:top w:val="single" w:sz="4" w:space="0" w:color="auto"/>
              <w:left w:val="nil"/>
              <w:bottom w:val="single" w:sz="4" w:space="0" w:color="auto"/>
              <w:right w:val="single" w:sz="4" w:space="0" w:color="auto"/>
            </w:tcBorders>
            <w:tcMar>
              <w:left w:w="28" w:type="dxa"/>
              <w:right w:w="28" w:type="dxa"/>
            </w:tcMar>
            <w:vAlign w:val="center"/>
          </w:tcPr>
          <w:p w14:paraId="40F670A4" w14:textId="77777777" w:rsidR="004A0123" w:rsidRPr="00640447" w:rsidRDefault="004A0123" w:rsidP="008A5C11">
            <w:pPr>
              <w:jc w:val="center"/>
              <w:rPr>
                <w:sz w:val="12"/>
                <w:szCs w:val="12"/>
              </w:rPr>
            </w:pPr>
            <w:r w:rsidRPr="00640447">
              <w:rPr>
                <w:sz w:val="12"/>
                <w:szCs w:val="12"/>
              </w:rPr>
              <w:t>0</w:t>
            </w:r>
          </w:p>
        </w:tc>
        <w:tc>
          <w:tcPr>
            <w:tcW w:w="452" w:type="pct"/>
            <w:tcBorders>
              <w:top w:val="single" w:sz="4" w:space="0" w:color="auto"/>
              <w:left w:val="nil"/>
              <w:bottom w:val="single" w:sz="4" w:space="0" w:color="auto"/>
              <w:right w:val="single" w:sz="4" w:space="0" w:color="auto"/>
            </w:tcBorders>
            <w:tcMar>
              <w:left w:w="28" w:type="dxa"/>
              <w:right w:w="28" w:type="dxa"/>
            </w:tcMar>
            <w:vAlign w:val="center"/>
          </w:tcPr>
          <w:p w14:paraId="494C2882" w14:textId="77777777" w:rsidR="004A0123" w:rsidRPr="00640447" w:rsidRDefault="004A0123" w:rsidP="008A5C11">
            <w:pPr>
              <w:jc w:val="center"/>
              <w:rPr>
                <w:sz w:val="12"/>
                <w:szCs w:val="12"/>
              </w:rPr>
            </w:pPr>
            <w:r w:rsidRPr="00640447">
              <w:rPr>
                <w:sz w:val="12"/>
                <w:szCs w:val="12"/>
              </w:rPr>
              <w:t>3720</w:t>
            </w:r>
          </w:p>
        </w:tc>
        <w:tc>
          <w:tcPr>
            <w:tcW w:w="764" w:type="pct"/>
            <w:tcBorders>
              <w:top w:val="single" w:sz="4" w:space="0" w:color="auto"/>
              <w:left w:val="nil"/>
              <w:bottom w:val="single" w:sz="4" w:space="0" w:color="auto"/>
              <w:right w:val="single" w:sz="4" w:space="0" w:color="auto"/>
            </w:tcBorders>
            <w:tcMar>
              <w:left w:w="28" w:type="dxa"/>
              <w:right w:w="28" w:type="dxa"/>
            </w:tcMar>
            <w:vAlign w:val="center"/>
          </w:tcPr>
          <w:p w14:paraId="09BAD068" w14:textId="77777777" w:rsidR="004A0123" w:rsidRPr="00640447" w:rsidRDefault="004A0123" w:rsidP="008A5C11">
            <w:pPr>
              <w:jc w:val="center"/>
              <w:rPr>
                <w:bCs/>
                <w:sz w:val="12"/>
                <w:szCs w:val="12"/>
              </w:rPr>
            </w:pPr>
            <w:r w:rsidRPr="00640447">
              <w:rPr>
                <w:bCs/>
                <w:sz w:val="12"/>
                <w:szCs w:val="12"/>
              </w:rPr>
              <w:t>собственные средства</w:t>
            </w:r>
          </w:p>
        </w:tc>
      </w:tr>
      <w:tr w:rsidR="004A0123" w:rsidRPr="00640447" w14:paraId="45A10B30" w14:textId="77777777" w:rsidTr="008A5C11">
        <w:trPr>
          <w:trHeight w:val="104"/>
        </w:trPr>
        <w:tc>
          <w:tcPr>
            <w:tcW w:w="261" w:type="pct"/>
            <w:vMerge w:val="restart"/>
            <w:tcBorders>
              <w:top w:val="single" w:sz="4" w:space="0" w:color="auto"/>
              <w:left w:val="single" w:sz="4" w:space="0" w:color="auto"/>
              <w:right w:val="single" w:sz="4" w:space="0" w:color="auto"/>
            </w:tcBorders>
            <w:tcMar>
              <w:left w:w="28" w:type="dxa"/>
              <w:right w:w="28" w:type="dxa"/>
            </w:tcMar>
            <w:vAlign w:val="center"/>
          </w:tcPr>
          <w:p w14:paraId="66F4C4B3" w14:textId="77777777" w:rsidR="004A0123" w:rsidRPr="00640447" w:rsidRDefault="004A0123" w:rsidP="008A5C11">
            <w:pPr>
              <w:jc w:val="center"/>
              <w:rPr>
                <w:bCs/>
                <w:sz w:val="12"/>
                <w:szCs w:val="12"/>
              </w:rPr>
            </w:pPr>
            <w:r w:rsidRPr="00640447">
              <w:rPr>
                <w:bCs/>
                <w:sz w:val="12"/>
                <w:szCs w:val="12"/>
              </w:rPr>
              <w:t>3.2.4.</w:t>
            </w:r>
          </w:p>
        </w:tc>
        <w:tc>
          <w:tcPr>
            <w:tcW w:w="1518" w:type="pct"/>
            <w:vMerge w:val="restart"/>
            <w:tcBorders>
              <w:top w:val="single" w:sz="4" w:space="0" w:color="auto"/>
              <w:left w:val="single" w:sz="4" w:space="0" w:color="auto"/>
              <w:right w:val="single" w:sz="4" w:space="0" w:color="auto"/>
            </w:tcBorders>
            <w:tcMar>
              <w:left w:w="28" w:type="dxa"/>
              <w:right w:w="28" w:type="dxa"/>
            </w:tcMar>
            <w:vAlign w:val="center"/>
          </w:tcPr>
          <w:p w14:paraId="572AE2AA" w14:textId="77777777" w:rsidR="004A0123" w:rsidRPr="00640447" w:rsidRDefault="004A0123" w:rsidP="008A5C11">
            <w:pPr>
              <w:jc w:val="center"/>
              <w:rPr>
                <w:bCs/>
                <w:sz w:val="12"/>
                <w:szCs w:val="12"/>
              </w:rPr>
            </w:pPr>
            <w:r w:rsidRPr="00640447">
              <w:rPr>
                <w:bCs/>
                <w:sz w:val="12"/>
                <w:szCs w:val="12"/>
              </w:rPr>
              <w:t>Реконструкция котельной "Энергетик". Реконструкция системы газоочистки</w:t>
            </w:r>
          </w:p>
        </w:tc>
        <w:tc>
          <w:tcPr>
            <w:tcW w:w="357" w:type="pct"/>
            <w:vMerge w:val="restart"/>
            <w:tcBorders>
              <w:top w:val="single" w:sz="4" w:space="0" w:color="auto"/>
              <w:left w:val="nil"/>
              <w:right w:val="single" w:sz="4" w:space="0" w:color="auto"/>
            </w:tcBorders>
            <w:shd w:val="clear" w:color="auto" w:fill="auto"/>
            <w:noWrap/>
            <w:tcMar>
              <w:left w:w="28" w:type="dxa"/>
              <w:right w:w="28" w:type="dxa"/>
            </w:tcMar>
            <w:vAlign w:val="center"/>
          </w:tcPr>
          <w:p w14:paraId="23467338" w14:textId="77777777" w:rsidR="004A0123" w:rsidRPr="00640447" w:rsidRDefault="004A0123" w:rsidP="008A5C11">
            <w:pPr>
              <w:jc w:val="center"/>
              <w:rPr>
                <w:bCs/>
                <w:sz w:val="12"/>
                <w:szCs w:val="12"/>
              </w:rPr>
            </w:pPr>
            <w:r w:rsidRPr="00640447">
              <w:rPr>
                <w:bCs/>
                <w:sz w:val="12"/>
                <w:szCs w:val="12"/>
              </w:rPr>
              <w:t>2019</w:t>
            </w:r>
          </w:p>
        </w:tc>
        <w:tc>
          <w:tcPr>
            <w:tcW w:w="361" w:type="pct"/>
            <w:vMerge w:val="restart"/>
            <w:tcBorders>
              <w:top w:val="single" w:sz="4" w:space="0" w:color="auto"/>
              <w:left w:val="nil"/>
              <w:right w:val="single" w:sz="4" w:space="0" w:color="auto"/>
            </w:tcBorders>
            <w:shd w:val="clear" w:color="auto" w:fill="auto"/>
            <w:noWrap/>
            <w:tcMar>
              <w:left w:w="28" w:type="dxa"/>
              <w:right w:w="28" w:type="dxa"/>
            </w:tcMar>
            <w:vAlign w:val="center"/>
          </w:tcPr>
          <w:p w14:paraId="60BEEE8E" w14:textId="77777777" w:rsidR="004A0123" w:rsidRPr="00640447" w:rsidRDefault="004A0123" w:rsidP="008A5C11">
            <w:pPr>
              <w:jc w:val="center"/>
              <w:rPr>
                <w:bCs/>
                <w:sz w:val="12"/>
                <w:szCs w:val="12"/>
              </w:rPr>
            </w:pPr>
            <w:r w:rsidRPr="00640447">
              <w:rPr>
                <w:bCs/>
                <w:sz w:val="12"/>
                <w:szCs w:val="12"/>
              </w:rPr>
              <w:t>2019</w:t>
            </w:r>
          </w:p>
        </w:tc>
        <w:tc>
          <w:tcPr>
            <w:tcW w:w="372" w:type="pct"/>
            <w:vMerge w:val="restart"/>
            <w:tcBorders>
              <w:top w:val="single" w:sz="4" w:space="0" w:color="auto"/>
              <w:left w:val="nil"/>
              <w:right w:val="single" w:sz="4" w:space="0" w:color="auto"/>
            </w:tcBorders>
            <w:shd w:val="clear" w:color="auto" w:fill="auto"/>
            <w:noWrap/>
            <w:tcMar>
              <w:left w:w="28" w:type="dxa"/>
              <w:right w:w="28" w:type="dxa"/>
            </w:tcMar>
            <w:vAlign w:val="center"/>
          </w:tcPr>
          <w:p w14:paraId="17D294CE" w14:textId="77777777" w:rsidR="004A0123" w:rsidRPr="00640447" w:rsidRDefault="004A0123" w:rsidP="008A5C11">
            <w:pPr>
              <w:jc w:val="center"/>
              <w:rPr>
                <w:bCs/>
                <w:sz w:val="12"/>
                <w:szCs w:val="12"/>
              </w:rPr>
            </w:pPr>
            <w:r w:rsidRPr="00640447">
              <w:rPr>
                <w:bCs/>
                <w:sz w:val="12"/>
                <w:szCs w:val="12"/>
              </w:rPr>
              <w:t>2021</w:t>
            </w:r>
          </w:p>
        </w:tc>
        <w:tc>
          <w:tcPr>
            <w:tcW w:w="387" w:type="pct"/>
            <w:vMerge w:val="restart"/>
            <w:tcBorders>
              <w:top w:val="single" w:sz="4" w:space="0" w:color="auto"/>
              <w:left w:val="nil"/>
              <w:right w:val="single" w:sz="4" w:space="0" w:color="auto"/>
            </w:tcBorders>
            <w:shd w:val="clear" w:color="auto" w:fill="auto"/>
            <w:noWrap/>
            <w:tcMar>
              <w:left w:w="28" w:type="dxa"/>
              <w:right w:w="28" w:type="dxa"/>
            </w:tcMar>
            <w:vAlign w:val="center"/>
          </w:tcPr>
          <w:p w14:paraId="04A366CD" w14:textId="77777777" w:rsidR="004A0123" w:rsidRPr="00640447" w:rsidRDefault="004A0123" w:rsidP="008A5C11">
            <w:pPr>
              <w:jc w:val="center"/>
              <w:rPr>
                <w:bCs/>
                <w:sz w:val="12"/>
                <w:szCs w:val="12"/>
              </w:rPr>
            </w:pPr>
            <w:r w:rsidRPr="00640447">
              <w:rPr>
                <w:bCs/>
                <w:sz w:val="12"/>
                <w:szCs w:val="12"/>
              </w:rPr>
              <w:t>2021</w:t>
            </w:r>
          </w:p>
        </w:tc>
        <w:tc>
          <w:tcPr>
            <w:tcW w:w="528" w:type="pct"/>
            <w:tcBorders>
              <w:top w:val="single" w:sz="4" w:space="0" w:color="auto"/>
              <w:left w:val="nil"/>
              <w:bottom w:val="single" w:sz="4" w:space="0" w:color="auto"/>
              <w:right w:val="single" w:sz="4" w:space="0" w:color="auto"/>
            </w:tcBorders>
            <w:tcMar>
              <w:left w:w="28" w:type="dxa"/>
              <w:right w:w="28" w:type="dxa"/>
            </w:tcMar>
            <w:vAlign w:val="center"/>
          </w:tcPr>
          <w:p w14:paraId="0BAB7049" w14:textId="77777777" w:rsidR="004A0123" w:rsidRPr="00640447" w:rsidRDefault="004A0123" w:rsidP="008A5C11">
            <w:pPr>
              <w:jc w:val="center"/>
              <w:rPr>
                <w:sz w:val="12"/>
                <w:szCs w:val="12"/>
              </w:rPr>
            </w:pPr>
            <w:r w:rsidRPr="00640447">
              <w:rPr>
                <w:sz w:val="12"/>
                <w:szCs w:val="12"/>
              </w:rPr>
              <w:t>12300</w:t>
            </w:r>
          </w:p>
        </w:tc>
        <w:tc>
          <w:tcPr>
            <w:tcW w:w="452" w:type="pct"/>
            <w:tcBorders>
              <w:top w:val="single" w:sz="4" w:space="0" w:color="auto"/>
              <w:left w:val="nil"/>
              <w:bottom w:val="single" w:sz="4" w:space="0" w:color="auto"/>
              <w:right w:val="single" w:sz="4" w:space="0" w:color="auto"/>
            </w:tcBorders>
            <w:tcMar>
              <w:left w:w="28" w:type="dxa"/>
              <w:right w:w="28" w:type="dxa"/>
            </w:tcMar>
            <w:vAlign w:val="center"/>
          </w:tcPr>
          <w:p w14:paraId="4AFF61A2" w14:textId="77777777" w:rsidR="004A0123" w:rsidRPr="00640447" w:rsidRDefault="004A0123" w:rsidP="008A5C11">
            <w:pPr>
              <w:jc w:val="center"/>
              <w:rPr>
                <w:sz w:val="12"/>
                <w:szCs w:val="12"/>
              </w:rPr>
            </w:pPr>
            <w:r w:rsidRPr="00640447">
              <w:rPr>
                <w:sz w:val="12"/>
                <w:szCs w:val="12"/>
              </w:rPr>
              <w:t>10260</w:t>
            </w:r>
          </w:p>
        </w:tc>
        <w:tc>
          <w:tcPr>
            <w:tcW w:w="764" w:type="pct"/>
            <w:tcBorders>
              <w:top w:val="single" w:sz="4" w:space="0" w:color="auto"/>
              <w:left w:val="nil"/>
              <w:bottom w:val="single" w:sz="4" w:space="0" w:color="auto"/>
              <w:right w:val="single" w:sz="4" w:space="0" w:color="auto"/>
            </w:tcBorders>
            <w:tcMar>
              <w:left w:w="28" w:type="dxa"/>
              <w:right w:w="28" w:type="dxa"/>
            </w:tcMar>
            <w:vAlign w:val="center"/>
          </w:tcPr>
          <w:p w14:paraId="425157C5" w14:textId="77777777" w:rsidR="004A0123" w:rsidRPr="00640447" w:rsidRDefault="004A0123" w:rsidP="008A5C11">
            <w:pPr>
              <w:jc w:val="center"/>
              <w:rPr>
                <w:bCs/>
                <w:sz w:val="12"/>
                <w:szCs w:val="12"/>
              </w:rPr>
            </w:pPr>
            <w:r w:rsidRPr="00640447">
              <w:rPr>
                <w:bCs/>
                <w:sz w:val="12"/>
                <w:szCs w:val="12"/>
              </w:rPr>
              <w:t>бюджетные средства</w:t>
            </w:r>
          </w:p>
        </w:tc>
      </w:tr>
      <w:tr w:rsidR="004A0123" w:rsidRPr="00640447" w14:paraId="7D9B52F6" w14:textId="77777777" w:rsidTr="008A5C11">
        <w:trPr>
          <w:trHeight w:val="103"/>
        </w:trPr>
        <w:tc>
          <w:tcPr>
            <w:tcW w:w="261" w:type="pct"/>
            <w:vMerge/>
            <w:tcBorders>
              <w:left w:val="single" w:sz="4" w:space="0" w:color="auto"/>
              <w:bottom w:val="single" w:sz="4" w:space="0" w:color="auto"/>
              <w:right w:val="single" w:sz="4" w:space="0" w:color="auto"/>
            </w:tcBorders>
            <w:tcMar>
              <w:left w:w="28" w:type="dxa"/>
              <w:right w:w="28" w:type="dxa"/>
            </w:tcMar>
            <w:vAlign w:val="center"/>
          </w:tcPr>
          <w:p w14:paraId="4E371C7C" w14:textId="77777777" w:rsidR="004A0123" w:rsidRPr="00640447" w:rsidRDefault="004A0123" w:rsidP="008A5C11">
            <w:pPr>
              <w:jc w:val="center"/>
              <w:rPr>
                <w:bCs/>
                <w:sz w:val="12"/>
                <w:szCs w:val="12"/>
              </w:rPr>
            </w:pPr>
          </w:p>
        </w:tc>
        <w:tc>
          <w:tcPr>
            <w:tcW w:w="1518" w:type="pct"/>
            <w:vMerge/>
            <w:tcBorders>
              <w:left w:val="single" w:sz="4" w:space="0" w:color="auto"/>
              <w:bottom w:val="single" w:sz="4" w:space="0" w:color="auto"/>
              <w:right w:val="single" w:sz="4" w:space="0" w:color="auto"/>
            </w:tcBorders>
            <w:tcMar>
              <w:left w:w="28" w:type="dxa"/>
              <w:right w:w="28" w:type="dxa"/>
            </w:tcMar>
            <w:vAlign w:val="center"/>
          </w:tcPr>
          <w:p w14:paraId="334C980A" w14:textId="77777777" w:rsidR="004A0123" w:rsidRPr="00640447" w:rsidRDefault="004A0123" w:rsidP="008A5C11">
            <w:pPr>
              <w:jc w:val="center"/>
              <w:rPr>
                <w:bCs/>
                <w:sz w:val="12"/>
                <w:szCs w:val="12"/>
              </w:rPr>
            </w:pPr>
          </w:p>
        </w:tc>
        <w:tc>
          <w:tcPr>
            <w:tcW w:w="357" w:type="pct"/>
            <w:vMerge/>
            <w:tcBorders>
              <w:left w:val="nil"/>
              <w:bottom w:val="single" w:sz="4" w:space="0" w:color="auto"/>
              <w:right w:val="single" w:sz="4" w:space="0" w:color="auto"/>
            </w:tcBorders>
            <w:shd w:val="clear" w:color="auto" w:fill="auto"/>
            <w:noWrap/>
            <w:tcMar>
              <w:left w:w="28" w:type="dxa"/>
              <w:right w:w="28" w:type="dxa"/>
            </w:tcMar>
            <w:vAlign w:val="center"/>
          </w:tcPr>
          <w:p w14:paraId="1C718D0E" w14:textId="77777777" w:rsidR="004A0123" w:rsidRPr="00640447" w:rsidRDefault="004A0123" w:rsidP="008A5C11">
            <w:pPr>
              <w:jc w:val="center"/>
              <w:rPr>
                <w:bCs/>
                <w:sz w:val="12"/>
                <w:szCs w:val="12"/>
              </w:rPr>
            </w:pPr>
          </w:p>
        </w:tc>
        <w:tc>
          <w:tcPr>
            <w:tcW w:w="361" w:type="pct"/>
            <w:vMerge/>
            <w:tcBorders>
              <w:left w:val="nil"/>
              <w:bottom w:val="single" w:sz="4" w:space="0" w:color="auto"/>
              <w:right w:val="single" w:sz="4" w:space="0" w:color="auto"/>
            </w:tcBorders>
            <w:shd w:val="clear" w:color="auto" w:fill="auto"/>
            <w:noWrap/>
            <w:tcMar>
              <w:left w:w="28" w:type="dxa"/>
              <w:right w:w="28" w:type="dxa"/>
            </w:tcMar>
            <w:vAlign w:val="center"/>
          </w:tcPr>
          <w:p w14:paraId="4B3D0842" w14:textId="77777777" w:rsidR="004A0123" w:rsidRPr="00640447" w:rsidRDefault="004A0123" w:rsidP="008A5C11">
            <w:pPr>
              <w:jc w:val="center"/>
              <w:rPr>
                <w:bCs/>
                <w:sz w:val="12"/>
                <w:szCs w:val="12"/>
              </w:rPr>
            </w:pPr>
          </w:p>
        </w:tc>
        <w:tc>
          <w:tcPr>
            <w:tcW w:w="372" w:type="pct"/>
            <w:vMerge/>
            <w:tcBorders>
              <w:left w:val="nil"/>
              <w:bottom w:val="single" w:sz="4" w:space="0" w:color="auto"/>
              <w:right w:val="single" w:sz="4" w:space="0" w:color="auto"/>
            </w:tcBorders>
            <w:shd w:val="clear" w:color="auto" w:fill="auto"/>
            <w:noWrap/>
            <w:tcMar>
              <w:left w:w="28" w:type="dxa"/>
              <w:right w:w="28" w:type="dxa"/>
            </w:tcMar>
            <w:vAlign w:val="center"/>
          </w:tcPr>
          <w:p w14:paraId="7F72B253" w14:textId="77777777" w:rsidR="004A0123" w:rsidRPr="00640447" w:rsidRDefault="004A0123" w:rsidP="008A5C11">
            <w:pPr>
              <w:jc w:val="center"/>
              <w:rPr>
                <w:bCs/>
                <w:sz w:val="12"/>
                <w:szCs w:val="12"/>
              </w:rPr>
            </w:pPr>
          </w:p>
        </w:tc>
        <w:tc>
          <w:tcPr>
            <w:tcW w:w="387" w:type="pct"/>
            <w:vMerge/>
            <w:tcBorders>
              <w:left w:val="nil"/>
              <w:bottom w:val="single" w:sz="4" w:space="0" w:color="auto"/>
              <w:right w:val="single" w:sz="4" w:space="0" w:color="auto"/>
            </w:tcBorders>
            <w:shd w:val="clear" w:color="auto" w:fill="auto"/>
            <w:noWrap/>
            <w:tcMar>
              <w:left w:w="28" w:type="dxa"/>
              <w:right w:w="28" w:type="dxa"/>
            </w:tcMar>
            <w:vAlign w:val="center"/>
          </w:tcPr>
          <w:p w14:paraId="6E301EFF" w14:textId="77777777" w:rsidR="004A0123" w:rsidRPr="00640447" w:rsidRDefault="004A0123" w:rsidP="008A5C11">
            <w:pPr>
              <w:jc w:val="center"/>
              <w:rPr>
                <w:bCs/>
                <w:sz w:val="12"/>
                <w:szCs w:val="12"/>
              </w:rPr>
            </w:pPr>
          </w:p>
        </w:tc>
        <w:tc>
          <w:tcPr>
            <w:tcW w:w="528" w:type="pct"/>
            <w:tcBorders>
              <w:top w:val="single" w:sz="4" w:space="0" w:color="auto"/>
              <w:left w:val="nil"/>
              <w:bottom w:val="single" w:sz="4" w:space="0" w:color="auto"/>
              <w:right w:val="single" w:sz="4" w:space="0" w:color="auto"/>
            </w:tcBorders>
            <w:tcMar>
              <w:left w:w="28" w:type="dxa"/>
              <w:right w:w="28" w:type="dxa"/>
            </w:tcMar>
            <w:vAlign w:val="center"/>
          </w:tcPr>
          <w:p w14:paraId="47221EC9" w14:textId="77777777" w:rsidR="004A0123" w:rsidRPr="00640447" w:rsidRDefault="004A0123" w:rsidP="008A5C11">
            <w:pPr>
              <w:jc w:val="center"/>
              <w:rPr>
                <w:sz w:val="12"/>
                <w:szCs w:val="12"/>
              </w:rPr>
            </w:pPr>
            <w:r w:rsidRPr="00640447">
              <w:rPr>
                <w:sz w:val="12"/>
                <w:szCs w:val="12"/>
              </w:rPr>
              <w:t>0</w:t>
            </w:r>
          </w:p>
        </w:tc>
        <w:tc>
          <w:tcPr>
            <w:tcW w:w="452" w:type="pct"/>
            <w:tcBorders>
              <w:top w:val="single" w:sz="4" w:space="0" w:color="auto"/>
              <w:left w:val="nil"/>
              <w:bottom w:val="single" w:sz="4" w:space="0" w:color="auto"/>
              <w:right w:val="single" w:sz="4" w:space="0" w:color="auto"/>
            </w:tcBorders>
            <w:tcMar>
              <w:left w:w="28" w:type="dxa"/>
              <w:right w:w="28" w:type="dxa"/>
            </w:tcMar>
            <w:vAlign w:val="center"/>
          </w:tcPr>
          <w:p w14:paraId="0303F27E" w14:textId="77777777" w:rsidR="004A0123" w:rsidRPr="00640447" w:rsidRDefault="004A0123" w:rsidP="008A5C11">
            <w:pPr>
              <w:jc w:val="center"/>
              <w:rPr>
                <w:sz w:val="12"/>
                <w:szCs w:val="12"/>
              </w:rPr>
            </w:pPr>
            <w:r w:rsidRPr="00640447">
              <w:rPr>
                <w:sz w:val="12"/>
                <w:szCs w:val="12"/>
              </w:rPr>
              <w:t>271</w:t>
            </w:r>
          </w:p>
        </w:tc>
        <w:tc>
          <w:tcPr>
            <w:tcW w:w="764" w:type="pct"/>
            <w:tcBorders>
              <w:top w:val="single" w:sz="4" w:space="0" w:color="auto"/>
              <w:left w:val="nil"/>
              <w:bottom w:val="single" w:sz="4" w:space="0" w:color="auto"/>
              <w:right w:val="single" w:sz="4" w:space="0" w:color="auto"/>
            </w:tcBorders>
            <w:tcMar>
              <w:left w:w="28" w:type="dxa"/>
              <w:right w:w="28" w:type="dxa"/>
            </w:tcMar>
            <w:vAlign w:val="center"/>
          </w:tcPr>
          <w:p w14:paraId="497A8DB6" w14:textId="77777777" w:rsidR="004A0123" w:rsidRPr="00640447" w:rsidRDefault="004A0123" w:rsidP="008A5C11">
            <w:pPr>
              <w:jc w:val="center"/>
              <w:rPr>
                <w:bCs/>
                <w:sz w:val="12"/>
                <w:szCs w:val="12"/>
              </w:rPr>
            </w:pPr>
            <w:r w:rsidRPr="00640447">
              <w:rPr>
                <w:bCs/>
                <w:sz w:val="12"/>
                <w:szCs w:val="12"/>
              </w:rPr>
              <w:t>собственные средства</w:t>
            </w:r>
          </w:p>
        </w:tc>
      </w:tr>
      <w:tr w:rsidR="004A0123" w:rsidRPr="00640447" w14:paraId="242AA1BC" w14:textId="77777777" w:rsidTr="008A5C11">
        <w:trPr>
          <w:trHeight w:val="213"/>
        </w:trPr>
        <w:tc>
          <w:tcPr>
            <w:tcW w:w="261" w:type="pct"/>
            <w:vMerge w:val="restart"/>
            <w:tcBorders>
              <w:top w:val="single" w:sz="4" w:space="0" w:color="auto"/>
              <w:left w:val="single" w:sz="4" w:space="0" w:color="auto"/>
              <w:right w:val="single" w:sz="4" w:space="0" w:color="auto"/>
            </w:tcBorders>
            <w:tcMar>
              <w:left w:w="28" w:type="dxa"/>
              <w:right w:w="28" w:type="dxa"/>
            </w:tcMar>
            <w:vAlign w:val="center"/>
          </w:tcPr>
          <w:p w14:paraId="4ACAA206" w14:textId="77777777" w:rsidR="004A0123" w:rsidRPr="00640447" w:rsidRDefault="004A0123" w:rsidP="008A5C11">
            <w:pPr>
              <w:jc w:val="center"/>
              <w:rPr>
                <w:bCs/>
                <w:sz w:val="12"/>
                <w:szCs w:val="12"/>
              </w:rPr>
            </w:pPr>
            <w:r w:rsidRPr="00640447">
              <w:rPr>
                <w:bCs/>
                <w:sz w:val="12"/>
                <w:szCs w:val="12"/>
              </w:rPr>
              <w:t>3.2.5.</w:t>
            </w:r>
          </w:p>
        </w:tc>
        <w:tc>
          <w:tcPr>
            <w:tcW w:w="1518" w:type="pct"/>
            <w:vMerge w:val="restart"/>
            <w:tcBorders>
              <w:top w:val="single" w:sz="4" w:space="0" w:color="auto"/>
              <w:left w:val="single" w:sz="4" w:space="0" w:color="auto"/>
              <w:right w:val="single" w:sz="4" w:space="0" w:color="auto"/>
            </w:tcBorders>
            <w:tcMar>
              <w:left w:w="28" w:type="dxa"/>
              <w:right w:w="28" w:type="dxa"/>
            </w:tcMar>
            <w:vAlign w:val="center"/>
          </w:tcPr>
          <w:p w14:paraId="5AB6A75B" w14:textId="77777777" w:rsidR="004A0123" w:rsidRPr="00640447" w:rsidRDefault="004A0123" w:rsidP="008A5C11">
            <w:pPr>
              <w:jc w:val="center"/>
              <w:rPr>
                <w:bCs/>
                <w:sz w:val="12"/>
                <w:szCs w:val="12"/>
              </w:rPr>
            </w:pPr>
            <w:r w:rsidRPr="00640447">
              <w:rPr>
                <w:bCs/>
                <w:sz w:val="12"/>
                <w:szCs w:val="12"/>
              </w:rPr>
              <w:t>Реконструкция теплосетевого комплекса Центрального планировочного района на участке от ТК-8 до проектируемой ПНС (в здании котельной №13, с целью ее закрытия)</w:t>
            </w:r>
          </w:p>
        </w:tc>
        <w:tc>
          <w:tcPr>
            <w:tcW w:w="357" w:type="pct"/>
            <w:vMerge w:val="restart"/>
            <w:tcBorders>
              <w:top w:val="single" w:sz="4" w:space="0" w:color="auto"/>
              <w:left w:val="nil"/>
              <w:right w:val="single" w:sz="4" w:space="0" w:color="auto"/>
            </w:tcBorders>
            <w:shd w:val="clear" w:color="auto" w:fill="auto"/>
            <w:noWrap/>
            <w:tcMar>
              <w:left w:w="28" w:type="dxa"/>
              <w:right w:w="28" w:type="dxa"/>
            </w:tcMar>
            <w:vAlign w:val="center"/>
          </w:tcPr>
          <w:p w14:paraId="2C3F2C78" w14:textId="77777777" w:rsidR="004A0123" w:rsidRPr="00640447" w:rsidRDefault="004A0123" w:rsidP="008A5C11">
            <w:pPr>
              <w:jc w:val="center"/>
              <w:rPr>
                <w:bCs/>
                <w:sz w:val="12"/>
                <w:szCs w:val="12"/>
              </w:rPr>
            </w:pPr>
            <w:r w:rsidRPr="00640447">
              <w:rPr>
                <w:bCs/>
                <w:sz w:val="12"/>
                <w:szCs w:val="12"/>
              </w:rPr>
              <w:t>2019</w:t>
            </w:r>
          </w:p>
        </w:tc>
        <w:tc>
          <w:tcPr>
            <w:tcW w:w="361" w:type="pct"/>
            <w:vMerge w:val="restart"/>
            <w:tcBorders>
              <w:top w:val="single" w:sz="4" w:space="0" w:color="auto"/>
              <w:left w:val="nil"/>
              <w:right w:val="single" w:sz="4" w:space="0" w:color="auto"/>
            </w:tcBorders>
            <w:shd w:val="clear" w:color="auto" w:fill="auto"/>
            <w:noWrap/>
            <w:tcMar>
              <w:left w:w="28" w:type="dxa"/>
              <w:right w:w="28" w:type="dxa"/>
            </w:tcMar>
            <w:vAlign w:val="center"/>
          </w:tcPr>
          <w:p w14:paraId="0E99CC57" w14:textId="77777777" w:rsidR="004A0123" w:rsidRPr="00640447" w:rsidRDefault="004A0123" w:rsidP="008A5C11">
            <w:pPr>
              <w:jc w:val="center"/>
              <w:rPr>
                <w:bCs/>
                <w:sz w:val="12"/>
                <w:szCs w:val="12"/>
              </w:rPr>
            </w:pPr>
            <w:r w:rsidRPr="00640447">
              <w:rPr>
                <w:bCs/>
                <w:sz w:val="12"/>
                <w:szCs w:val="12"/>
              </w:rPr>
              <w:t>2019</w:t>
            </w:r>
          </w:p>
        </w:tc>
        <w:tc>
          <w:tcPr>
            <w:tcW w:w="372" w:type="pct"/>
            <w:vMerge w:val="restart"/>
            <w:tcBorders>
              <w:top w:val="single" w:sz="4" w:space="0" w:color="auto"/>
              <w:left w:val="nil"/>
              <w:right w:val="single" w:sz="4" w:space="0" w:color="auto"/>
            </w:tcBorders>
            <w:shd w:val="clear" w:color="auto" w:fill="auto"/>
            <w:noWrap/>
            <w:tcMar>
              <w:left w:w="28" w:type="dxa"/>
              <w:right w:w="28" w:type="dxa"/>
            </w:tcMar>
            <w:vAlign w:val="center"/>
          </w:tcPr>
          <w:p w14:paraId="3D40E9CA" w14:textId="77777777" w:rsidR="004A0123" w:rsidRPr="00640447" w:rsidRDefault="004A0123" w:rsidP="008A5C11">
            <w:pPr>
              <w:jc w:val="center"/>
              <w:rPr>
                <w:bCs/>
                <w:sz w:val="12"/>
                <w:szCs w:val="12"/>
              </w:rPr>
            </w:pPr>
            <w:r w:rsidRPr="00640447">
              <w:rPr>
                <w:bCs/>
                <w:sz w:val="12"/>
                <w:szCs w:val="12"/>
              </w:rPr>
              <w:t>2021</w:t>
            </w:r>
          </w:p>
        </w:tc>
        <w:tc>
          <w:tcPr>
            <w:tcW w:w="387" w:type="pct"/>
            <w:vMerge w:val="restart"/>
            <w:tcBorders>
              <w:top w:val="single" w:sz="4" w:space="0" w:color="auto"/>
              <w:left w:val="nil"/>
              <w:right w:val="single" w:sz="4" w:space="0" w:color="auto"/>
            </w:tcBorders>
            <w:shd w:val="clear" w:color="auto" w:fill="auto"/>
            <w:noWrap/>
            <w:tcMar>
              <w:left w:w="28" w:type="dxa"/>
              <w:right w:w="28" w:type="dxa"/>
            </w:tcMar>
            <w:vAlign w:val="center"/>
          </w:tcPr>
          <w:p w14:paraId="7E55CF75" w14:textId="77777777" w:rsidR="004A0123" w:rsidRPr="00640447" w:rsidRDefault="004A0123" w:rsidP="008A5C11">
            <w:pPr>
              <w:jc w:val="center"/>
              <w:rPr>
                <w:bCs/>
                <w:sz w:val="12"/>
                <w:szCs w:val="12"/>
              </w:rPr>
            </w:pPr>
            <w:r w:rsidRPr="00640447">
              <w:rPr>
                <w:bCs/>
                <w:sz w:val="12"/>
                <w:szCs w:val="12"/>
              </w:rPr>
              <w:t>2021</w:t>
            </w:r>
          </w:p>
        </w:tc>
        <w:tc>
          <w:tcPr>
            <w:tcW w:w="528" w:type="pct"/>
            <w:tcBorders>
              <w:top w:val="single" w:sz="4" w:space="0" w:color="auto"/>
              <w:left w:val="nil"/>
              <w:bottom w:val="single" w:sz="4" w:space="0" w:color="auto"/>
              <w:right w:val="single" w:sz="4" w:space="0" w:color="auto"/>
            </w:tcBorders>
            <w:tcMar>
              <w:left w:w="28" w:type="dxa"/>
              <w:right w:w="28" w:type="dxa"/>
            </w:tcMar>
            <w:vAlign w:val="center"/>
          </w:tcPr>
          <w:p w14:paraId="3D04BCFB" w14:textId="77777777" w:rsidR="004A0123" w:rsidRPr="00640447" w:rsidRDefault="004A0123" w:rsidP="008A5C11">
            <w:pPr>
              <w:jc w:val="center"/>
              <w:rPr>
                <w:sz w:val="12"/>
                <w:szCs w:val="12"/>
              </w:rPr>
            </w:pPr>
            <w:r w:rsidRPr="00640447">
              <w:rPr>
                <w:sz w:val="12"/>
                <w:szCs w:val="12"/>
              </w:rPr>
              <w:t>92900</w:t>
            </w:r>
          </w:p>
        </w:tc>
        <w:tc>
          <w:tcPr>
            <w:tcW w:w="452" w:type="pct"/>
            <w:tcBorders>
              <w:top w:val="single" w:sz="4" w:space="0" w:color="auto"/>
              <w:left w:val="nil"/>
              <w:bottom w:val="single" w:sz="4" w:space="0" w:color="auto"/>
              <w:right w:val="single" w:sz="4" w:space="0" w:color="auto"/>
            </w:tcBorders>
            <w:tcMar>
              <w:left w:w="28" w:type="dxa"/>
              <w:right w:w="28" w:type="dxa"/>
            </w:tcMar>
            <w:vAlign w:val="center"/>
          </w:tcPr>
          <w:p w14:paraId="79D2BE39" w14:textId="77777777" w:rsidR="004A0123" w:rsidRPr="00640447" w:rsidRDefault="004A0123" w:rsidP="008A5C11">
            <w:pPr>
              <w:jc w:val="center"/>
              <w:rPr>
                <w:sz w:val="12"/>
                <w:szCs w:val="12"/>
              </w:rPr>
            </w:pPr>
            <w:r w:rsidRPr="00640447">
              <w:rPr>
                <w:sz w:val="12"/>
                <w:szCs w:val="12"/>
              </w:rPr>
              <w:t>80263</w:t>
            </w:r>
          </w:p>
        </w:tc>
        <w:tc>
          <w:tcPr>
            <w:tcW w:w="764" w:type="pct"/>
            <w:tcBorders>
              <w:top w:val="single" w:sz="4" w:space="0" w:color="auto"/>
              <w:left w:val="nil"/>
              <w:bottom w:val="single" w:sz="4" w:space="0" w:color="auto"/>
              <w:right w:val="single" w:sz="4" w:space="0" w:color="auto"/>
            </w:tcBorders>
            <w:tcMar>
              <w:left w:w="28" w:type="dxa"/>
              <w:right w:w="28" w:type="dxa"/>
            </w:tcMar>
            <w:vAlign w:val="center"/>
          </w:tcPr>
          <w:p w14:paraId="24D89721" w14:textId="77777777" w:rsidR="004A0123" w:rsidRPr="00640447" w:rsidRDefault="004A0123" w:rsidP="008A5C11">
            <w:pPr>
              <w:jc w:val="center"/>
              <w:rPr>
                <w:bCs/>
                <w:sz w:val="12"/>
                <w:szCs w:val="12"/>
              </w:rPr>
            </w:pPr>
            <w:r w:rsidRPr="00640447">
              <w:rPr>
                <w:bCs/>
                <w:sz w:val="12"/>
                <w:szCs w:val="12"/>
              </w:rPr>
              <w:t>бюджетные средства</w:t>
            </w:r>
          </w:p>
        </w:tc>
      </w:tr>
      <w:tr w:rsidR="004A0123" w:rsidRPr="00640447" w14:paraId="271F9248" w14:textId="77777777" w:rsidTr="008A5C11">
        <w:trPr>
          <w:trHeight w:val="213"/>
        </w:trPr>
        <w:tc>
          <w:tcPr>
            <w:tcW w:w="261" w:type="pct"/>
            <w:vMerge/>
            <w:tcBorders>
              <w:left w:val="single" w:sz="4" w:space="0" w:color="auto"/>
              <w:bottom w:val="single" w:sz="4" w:space="0" w:color="auto"/>
              <w:right w:val="single" w:sz="4" w:space="0" w:color="auto"/>
            </w:tcBorders>
            <w:tcMar>
              <w:left w:w="28" w:type="dxa"/>
              <w:right w:w="28" w:type="dxa"/>
            </w:tcMar>
            <w:vAlign w:val="center"/>
          </w:tcPr>
          <w:p w14:paraId="128B6D7C" w14:textId="77777777" w:rsidR="004A0123" w:rsidRPr="00640447" w:rsidRDefault="004A0123" w:rsidP="008A5C11">
            <w:pPr>
              <w:jc w:val="center"/>
              <w:rPr>
                <w:bCs/>
                <w:sz w:val="12"/>
                <w:szCs w:val="12"/>
              </w:rPr>
            </w:pPr>
          </w:p>
        </w:tc>
        <w:tc>
          <w:tcPr>
            <w:tcW w:w="1518" w:type="pct"/>
            <w:vMerge/>
            <w:tcBorders>
              <w:left w:val="single" w:sz="4" w:space="0" w:color="auto"/>
              <w:bottom w:val="single" w:sz="4" w:space="0" w:color="auto"/>
              <w:right w:val="single" w:sz="4" w:space="0" w:color="auto"/>
            </w:tcBorders>
            <w:tcMar>
              <w:left w:w="28" w:type="dxa"/>
              <w:right w:w="28" w:type="dxa"/>
            </w:tcMar>
            <w:vAlign w:val="center"/>
          </w:tcPr>
          <w:p w14:paraId="09F3ECC4" w14:textId="77777777" w:rsidR="004A0123" w:rsidRPr="00640447" w:rsidRDefault="004A0123" w:rsidP="008A5C11">
            <w:pPr>
              <w:jc w:val="center"/>
              <w:rPr>
                <w:bCs/>
                <w:sz w:val="12"/>
                <w:szCs w:val="12"/>
              </w:rPr>
            </w:pPr>
          </w:p>
        </w:tc>
        <w:tc>
          <w:tcPr>
            <w:tcW w:w="357" w:type="pct"/>
            <w:vMerge/>
            <w:tcBorders>
              <w:left w:val="nil"/>
              <w:bottom w:val="single" w:sz="4" w:space="0" w:color="auto"/>
              <w:right w:val="single" w:sz="4" w:space="0" w:color="auto"/>
            </w:tcBorders>
            <w:shd w:val="clear" w:color="auto" w:fill="auto"/>
            <w:noWrap/>
            <w:tcMar>
              <w:left w:w="28" w:type="dxa"/>
              <w:right w:w="28" w:type="dxa"/>
            </w:tcMar>
            <w:vAlign w:val="center"/>
          </w:tcPr>
          <w:p w14:paraId="6DCECFF3" w14:textId="77777777" w:rsidR="004A0123" w:rsidRPr="00640447" w:rsidRDefault="004A0123" w:rsidP="008A5C11">
            <w:pPr>
              <w:jc w:val="center"/>
              <w:rPr>
                <w:bCs/>
                <w:sz w:val="12"/>
                <w:szCs w:val="12"/>
              </w:rPr>
            </w:pPr>
          </w:p>
        </w:tc>
        <w:tc>
          <w:tcPr>
            <w:tcW w:w="361" w:type="pct"/>
            <w:vMerge/>
            <w:tcBorders>
              <w:left w:val="nil"/>
              <w:bottom w:val="single" w:sz="4" w:space="0" w:color="auto"/>
              <w:right w:val="single" w:sz="4" w:space="0" w:color="auto"/>
            </w:tcBorders>
            <w:shd w:val="clear" w:color="auto" w:fill="auto"/>
            <w:noWrap/>
            <w:tcMar>
              <w:left w:w="28" w:type="dxa"/>
              <w:right w:w="28" w:type="dxa"/>
            </w:tcMar>
            <w:vAlign w:val="center"/>
          </w:tcPr>
          <w:p w14:paraId="320C98AF" w14:textId="77777777" w:rsidR="004A0123" w:rsidRPr="00640447" w:rsidRDefault="004A0123" w:rsidP="008A5C11">
            <w:pPr>
              <w:jc w:val="center"/>
              <w:rPr>
                <w:bCs/>
                <w:sz w:val="12"/>
                <w:szCs w:val="12"/>
              </w:rPr>
            </w:pPr>
          </w:p>
        </w:tc>
        <w:tc>
          <w:tcPr>
            <w:tcW w:w="372" w:type="pct"/>
            <w:vMerge/>
            <w:tcBorders>
              <w:left w:val="nil"/>
              <w:bottom w:val="single" w:sz="4" w:space="0" w:color="auto"/>
              <w:right w:val="single" w:sz="4" w:space="0" w:color="auto"/>
            </w:tcBorders>
            <w:shd w:val="clear" w:color="auto" w:fill="auto"/>
            <w:noWrap/>
            <w:tcMar>
              <w:left w:w="28" w:type="dxa"/>
              <w:right w:w="28" w:type="dxa"/>
            </w:tcMar>
            <w:vAlign w:val="center"/>
          </w:tcPr>
          <w:p w14:paraId="284A51B6" w14:textId="77777777" w:rsidR="004A0123" w:rsidRPr="00640447" w:rsidRDefault="004A0123" w:rsidP="008A5C11">
            <w:pPr>
              <w:jc w:val="center"/>
              <w:rPr>
                <w:bCs/>
                <w:sz w:val="12"/>
                <w:szCs w:val="12"/>
              </w:rPr>
            </w:pPr>
          </w:p>
        </w:tc>
        <w:tc>
          <w:tcPr>
            <w:tcW w:w="387" w:type="pct"/>
            <w:vMerge/>
            <w:tcBorders>
              <w:left w:val="nil"/>
              <w:bottom w:val="single" w:sz="4" w:space="0" w:color="auto"/>
              <w:right w:val="single" w:sz="4" w:space="0" w:color="auto"/>
            </w:tcBorders>
            <w:shd w:val="clear" w:color="auto" w:fill="auto"/>
            <w:noWrap/>
            <w:tcMar>
              <w:left w:w="28" w:type="dxa"/>
              <w:right w:w="28" w:type="dxa"/>
            </w:tcMar>
            <w:vAlign w:val="center"/>
          </w:tcPr>
          <w:p w14:paraId="462D6851" w14:textId="77777777" w:rsidR="004A0123" w:rsidRPr="00640447" w:rsidRDefault="004A0123" w:rsidP="008A5C11">
            <w:pPr>
              <w:jc w:val="center"/>
              <w:rPr>
                <w:bCs/>
                <w:sz w:val="12"/>
                <w:szCs w:val="12"/>
              </w:rPr>
            </w:pPr>
          </w:p>
        </w:tc>
        <w:tc>
          <w:tcPr>
            <w:tcW w:w="528" w:type="pct"/>
            <w:tcBorders>
              <w:top w:val="single" w:sz="4" w:space="0" w:color="auto"/>
              <w:left w:val="nil"/>
              <w:bottom w:val="single" w:sz="4" w:space="0" w:color="auto"/>
              <w:right w:val="single" w:sz="4" w:space="0" w:color="auto"/>
            </w:tcBorders>
            <w:tcMar>
              <w:left w:w="28" w:type="dxa"/>
              <w:right w:w="28" w:type="dxa"/>
            </w:tcMar>
            <w:vAlign w:val="center"/>
          </w:tcPr>
          <w:p w14:paraId="5707C3EA" w14:textId="77777777" w:rsidR="004A0123" w:rsidRPr="00640447" w:rsidRDefault="004A0123" w:rsidP="008A5C11">
            <w:pPr>
              <w:jc w:val="center"/>
              <w:rPr>
                <w:sz w:val="12"/>
                <w:szCs w:val="12"/>
              </w:rPr>
            </w:pPr>
            <w:r w:rsidRPr="00640447">
              <w:rPr>
                <w:sz w:val="12"/>
                <w:szCs w:val="12"/>
              </w:rPr>
              <w:t>0</w:t>
            </w:r>
          </w:p>
        </w:tc>
        <w:tc>
          <w:tcPr>
            <w:tcW w:w="452" w:type="pct"/>
            <w:tcBorders>
              <w:top w:val="single" w:sz="4" w:space="0" w:color="auto"/>
              <w:left w:val="nil"/>
              <w:bottom w:val="single" w:sz="4" w:space="0" w:color="auto"/>
              <w:right w:val="single" w:sz="4" w:space="0" w:color="auto"/>
            </w:tcBorders>
            <w:tcMar>
              <w:left w:w="28" w:type="dxa"/>
              <w:right w:w="28" w:type="dxa"/>
            </w:tcMar>
            <w:vAlign w:val="center"/>
          </w:tcPr>
          <w:p w14:paraId="5FF3D5B4" w14:textId="77777777" w:rsidR="004A0123" w:rsidRPr="00640447" w:rsidRDefault="004A0123" w:rsidP="008A5C11">
            <w:pPr>
              <w:jc w:val="center"/>
              <w:rPr>
                <w:sz w:val="12"/>
                <w:szCs w:val="12"/>
              </w:rPr>
            </w:pPr>
            <w:r w:rsidRPr="00640447">
              <w:rPr>
                <w:sz w:val="12"/>
                <w:szCs w:val="12"/>
              </w:rPr>
              <w:t>702</w:t>
            </w:r>
          </w:p>
        </w:tc>
        <w:tc>
          <w:tcPr>
            <w:tcW w:w="764" w:type="pct"/>
            <w:tcBorders>
              <w:top w:val="single" w:sz="4" w:space="0" w:color="auto"/>
              <w:left w:val="nil"/>
              <w:bottom w:val="single" w:sz="4" w:space="0" w:color="auto"/>
              <w:right w:val="single" w:sz="4" w:space="0" w:color="auto"/>
            </w:tcBorders>
            <w:tcMar>
              <w:left w:w="28" w:type="dxa"/>
              <w:right w:w="28" w:type="dxa"/>
            </w:tcMar>
            <w:vAlign w:val="center"/>
          </w:tcPr>
          <w:p w14:paraId="285A313C" w14:textId="77777777" w:rsidR="004A0123" w:rsidRPr="00640447" w:rsidRDefault="004A0123" w:rsidP="008A5C11">
            <w:pPr>
              <w:jc w:val="center"/>
              <w:rPr>
                <w:bCs/>
                <w:sz w:val="12"/>
                <w:szCs w:val="12"/>
              </w:rPr>
            </w:pPr>
            <w:r w:rsidRPr="00640447">
              <w:rPr>
                <w:bCs/>
                <w:sz w:val="12"/>
                <w:szCs w:val="12"/>
              </w:rPr>
              <w:t>собственные средства</w:t>
            </w:r>
          </w:p>
        </w:tc>
      </w:tr>
      <w:tr w:rsidR="004A0123" w:rsidRPr="00640447" w14:paraId="7E067F35" w14:textId="77777777" w:rsidTr="008A5C11">
        <w:trPr>
          <w:trHeight w:val="317"/>
        </w:trPr>
        <w:tc>
          <w:tcPr>
            <w:tcW w:w="261" w:type="pct"/>
            <w:vMerge w:val="restart"/>
            <w:tcBorders>
              <w:top w:val="single" w:sz="4" w:space="0" w:color="auto"/>
              <w:left w:val="single" w:sz="4" w:space="0" w:color="auto"/>
              <w:right w:val="single" w:sz="4" w:space="0" w:color="auto"/>
            </w:tcBorders>
            <w:tcMar>
              <w:left w:w="28" w:type="dxa"/>
              <w:right w:w="28" w:type="dxa"/>
            </w:tcMar>
            <w:vAlign w:val="center"/>
          </w:tcPr>
          <w:p w14:paraId="013B9293" w14:textId="77777777" w:rsidR="004A0123" w:rsidRPr="00640447" w:rsidRDefault="004A0123" w:rsidP="008A5C11">
            <w:pPr>
              <w:jc w:val="center"/>
              <w:rPr>
                <w:bCs/>
                <w:sz w:val="12"/>
                <w:szCs w:val="12"/>
              </w:rPr>
            </w:pPr>
            <w:r w:rsidRPr="00640447">
              <w:rPr>
                <w:bCs/>
                <w:sz w:val="12"/>
                <w:szCs w:val="12"/>
              </w:rPr>
              <w:t>3.2.6.</w:t>
            </w:r>
          </w:p>
        </w:tc>
        <w:tc>
          <w:tcPr>
            <w:tcW w:w="1518" w:type="pct"/>
            <w:vMerge w:val="restart"/>
            <w:tcBorders>
              <w:top w:val="single" w:sz="4" w:space="0" w:color="auto"/>
              <w:left w:val="single" w:sz="4" w:space="0" w:color="auto"/>
              <w:right w:val="single" w:sz="4" w:space="0" w:color="auto"/>
            </w:tcBorders>
            <w:tcMar>
              <w:left w:w="28" w:type="dxa"/>
              <w:right w:w="28" w:type="dxa"/>
            </w:tcMar>
            <w:vAlign w:val="center"/>
          </w:tcPr>
          <w:p w14:paraId="6572D0A4" w14:textId="77777777" w:rsidR="004A0123" w:rsidRPr="00640447" w:rsidRDefault="004A0123" w:rsidP="008A5C11">
            <w:pPr>
              <w:jc w:val="center"/>
              <w:rPr>
                <w:bCs/>
                <w:sz w:val="12"/>
                <w:szCs w:val="12"/>
              </w:rPr>
            </w:pPr>
            <w:r w:rsidRPr="00640447">
              <w:rPr>
                <w:bCs/>
                <w:sz w:val="12"/>
                <w:szCs w:val="12"/>
              </w:rPr>
              <w:t>г. Ленинск-Кузнецкий. Котельная "Центральная". Проектирование и замена котлов №</w:t>
            </w:r>
            <w:proofErr w:type="gramStart"/>
            <w:r w:rsidRPr="00640447">
              <w:rPr>
                <w:bCs/>
                <w:sz w:val="12"/>
                <w:szCs w:val="12"/>
              </w:rPr>
              <w:t>2  №</w:t>
            </w:r>
            <w:proofErr w:type="gramEnd"/>
            <w:r w:rsidRPr="00640447">
              <w:rPr>
                <w:bCs/>
                <w:sz w:val="12"/>
                <w:szCs w:val="12"/>
              </w:rPr>
              <w:t xml:space="preserve"> 3 на КВ-РФ-30-150 с топкой ВКС (2019 г. поставка котлов и вспомогательного оборудования котла № 2, № 3, 2020 монтаж котлов № 2, № 3 и вспомогательного оборудования)</w:t>
            </w:r>
          </w:p>
        </w:tc>
        <w:tc>
          <w:tcPr>
            <w:tcW w:w="357" w:type="pct"/>
            <w:vMerge w:val="restart"/>
            <w:tcBorders>
              <w:top w:val="single" w:sz="4" w:space="0" w:color="auto"/>
              <w:left w:val="nil"/>
              <w:right w:val="single" w:sz="4" w:space="0" w:color="auto"/>
            </w:tcBorders>
            <w:shd w:val="clear" w:color="auto" w:fill="auto"/>
            <w:noWrap/>
            <w:tcMar>
              <w:left w:w="28" w:type="dxa"/>
              <w:right w:w="28" w:type="dxa"/>
            </w:tcMar>
            <w:vAlign w:val="center"/>
          </w:tcPr>
          <w:p w14:paraId="00BB091C" w14:textId="77777777" w:rsidR="004A0123" w:rsidRPr="00640447" w:rsidRDefault="004A0123" w:rsidP="008A5C11">
            <w:pPr>
              <w:jc w:val="center"/>
              <w:rPr>
                <w:bCs/>
                <w:sz w:val="12"/>
                <w:szCs w:val="12"/>
              </w:rPr>
            </w:pPr>
            <w:r w:rsidRPr="00640447">
              <w:rPr>
                <w:bCs/>
                <w:sz w:val="12"/>
                <w:szCs w:val="12"/>
              </w:rPr>
              <w:t>2019</w:t>
            </w:r>
          </w:p>
        </w:tc>
        <w:tc>
          <w:tcPr>
            <w:tcW w:w="361" w:type="pct"/>
            <w:vMerge w:val="restart"/>
            <w:tcBorders>
              <w:top w:val="single" w:sz="4" w:space="0" w:color="auto"/>
              <w:left w:val="nil"/>
              <w:right w:val="single" w:sz="4" w:space="0" w:color="auto"/>
            </w:tcBorders>
            <w:shd w:val="clear" w:color="auto" w:fill="auto"/>
            <w:noWrap/>
            <w:tcMar>
              <w:left w:w="28" w:type="dxa"/>
              <w:right w:w="28" w:type="dxa"/>
            </w:tcMar>
            <w:vAlign w:val="center"/>
          </w:tcPr>
          <w:p w14:paraId="22593AD6" w14:textId="77777777" w:rsidR="004A0123" w:rsidRPr="00640447" w:rsidRDefault="004A0123" w:rsidP="008A5C11">
            <w:pPr>
              <w:jc w:val="center"/>
              <w:rPr>
                <w:bCs/>
                <w:sz w:val="12"/>
                <w:szCs w:val="12"/>
              </w:rPr>
            </w:pPr>
            <w:r w:rsidRPr="00640447">
              <w:rPr>
                <w:bCs/>
                <w:sz w:val="12"/>
                <w:szCs w:val="12"/>
              </w:rPr>
              <w:t>2019</w:t>
            </w:r>
          </w:p>
        </w:tc>
        <w:tc>
          <w:tcPr>
            <w:tcW w:w="372" w:type="pct"/>
            <w:vMerge w:val="restart"/>
            <w:tcBorders>
              <w:top w:val="single" w:sz="4" w:space="0" w:color="auto"/>
              <w:left w:val="nil"/>
              <w:right w:val="single" w:sz="4" w:space="0" w:color="auto"/>
            </w:tcBorders>
            <w:shd w:val="clear" w:color="auto" w:fill="auto"/>
            <w:noWrap/>
            <w:tcMar>
              <w:left w:w="28" w:type="dxa"/>
              <w:right w:w="28" w:type="dxa"/>
            </w:tcMar>
            <w:vAlign w:val="center"/>
          </w:tcPr>
          <w:p w14:paraId="5432D80B" w14:textId="77777777" w:rsidR="004A0123" w:rsidRPr="00640447" w:rsidRDefault="004A0123" w:rsidP="008A5C11">
            <w:pPr>
              <w:jc w:val="center"/>
              <w:rPr>
                <w:bCs/>
                <w:sz w:val="12"/>
                <w:szCs w:val="12"/>
              </w:rPr>
            </w:pPr>
            <w:r w:rsidRPr="00640447">
              <w:rPr>
                <w:bCs/>
                <w:sz w:val="12"/>
                <w:szCs w:val="12"/>
              </w:rPr>
              <w:t>2021</w:t>
            </w:r>
          </w:p>
        </w:tc>
        <w:tc>
          <w:tcPr>
            <w:tcW w:w="387" w:type="pct"/>
            <w:vMerge w:val="restart"/>
            <w:tcBorders>
              <w:top w:val="single" w:sz="4" w:space="0" w:color="auto"/>
              <w:left w:val="nil"/>
              <w:right w:val="single" w:sz="4" w:space="0" w:color="auto"/>
            </w:tcBorders>
            <w:shd w:val="clear" w:color="auto" w:fill="auto"/>
            <w:noWrap/>
            <w:tcMar>
              <w:left w:w="28" w:type="dxa"/>
              <w:right w:w="28" w:type="dxa"/>
            </w:tcMar>
            <w:vAlign w:val="center"/>
          </w:tcPr>
          <w:p w14:paraId="3D96FB18" w14:textId="77777777" w:rsidR="004A0123" w:rsidRPr="00640447" w:rsidRDefault="004A0123" w:rsidP="008A5C11">
            <w:pPr>
              <w:jc w:val="center"/>
              <w:rPr>
                <w:bCs/>
                <w:sz w:val="12"/>
                <w:szCs w:val="12"/>
              </w:rPr>
            </w:pPr>
            <w:r w:rsidRPr="00640447">
              <w:rPr>
                <w:bCs/>
                <w:sz w:val="12"/>
                <w:szCs w:val="12"/>
              </w:rPr>
              <w:t>2021</w:t>
            </w:r>
          </w:p>
        </w:tc>
        <w:tc>
          <w:tcPr>
            <w:tcW w:w="528" w:type="pct"/>
            <w:tcBorders>
              <w:top w:val="single" w:sz="4" w:space="0" w:color="auto"/>
              <w:left w:val="nil"/>
              <w:bottom w:val="single" w:sz="4" w:space="0" w:color="auto"/>
              <w:right w:val="single" w:sz="4" w:space="0" w:color="auto"/>
            </w:tcBorders>
            <w:tcMar>
              <w:left w:w="28" w:type="dxa"/>
              <w:right w:w="28" w:type="dxa"/>
            </w:tcMar>
            <w:vAlign w:val="center"/>
          </w:tcPr>
          <w:p w14:paraId="642BA8D3" w14:textId="77777777" w:rsidR="004A0123" w:rsidRPr="00640447" w:rsidRDefault="004A0123" w:rsidP="008A5C11">
            <w:pPr>
              <w:jc w:val="center"/>
              <w:rPr>
                <w:sz w:val="12"/>
                <w:szCs w:val="12"/>
              </w:rPr>
            </w:pPr>
            <w:r w:rsidRPr="00640447">
              <w:rPr>
                <w:sz w:val="12"/>
                <w:szCs w:val="12"/>
              </w:rPr>
              <w:t>60705</w:t>
            </w:r>
          </w:p>
        </w:tc>
        <w:tc>
          <w:tcPr>
            <w:tcW w:w="452" w:type="pct"/>
            <w:tcBorders>
              <w:top w:val="single" w:sz="4" w:space="0" w:color="auto"/>
              <w:left w:val="nil"/>
              <w:bottom w:val="single" w:sz="4" w:space="0" w:color="auto"/>
              <w:right w:val="single" w:sz="4" w:space="0" w:color="auto"/>
            </w:tcBorders>
            <w:tcMar>
              <w:left w:w="28" w:type="dxa"/>
              <w:right w:w="28" w:type="dxa"/>
            </w:tcMar>
            <w:vAlign w:val="center"/>
          </w:tcPr>
          <w:p w14:paraId="79F89013" w14:textId="77777777" w:rsidR="004A0123" w:rsidRPr="00640447" w:rsidRDefault="004A0123" w:rsidP="008A5C11">
            <w:pPr>
              <w:jc w:val="center"/>
              <w:rPr>
                <w:sz w:val="12"/>
                <w:szCs w:val="12"/>
              </w:rPr>
            </w:pPr>
            <w:r w:rsidRPr="00640447">
              <w:rPr>
                <w:sz w:val="12"/>
                <w:szCs w:val="12"/>
              </w:rPr>
              <w:t>60482</w:t>
            </w:r>
          </w:p>
        </w:tc>
        <w:tc>
          <w:tcPr>
            <w:tcW w:w="764" w:type="pct"/>
            <w:tcBorders>
              <w:top w:val="single" w:sz="4" w:space="0" w:color="auto"/>
              <w:left w:val="nil"/>
              <w:bottom w:val="single" w:sz="4" w:space="0" w:color="auto"/>
              <w:right w:val="single" w:sz="4" w:space="0" w:color="auto"/>
            </w:tcBorders>
            <w:tcMar>
              <w:left w:w="28" w:type="dxa"/>
              <w:right w:w="28" w:type="dxa"/>
            </w:tcMar>
            <w:vAlign w:val="center"/>
          </w:tcPr>
          <w:p w14:paraId="4FBC188B" w14:textId="77777777" w:rsidR="004A0123" w:rsidRPr="00640447" w:rsidRDefault="004A0123" w:rsidP="008A5C11">
            <w:pPr>
              <w:jc w:val="center"/>
              <w:rPr>
                <w:bCs/>
                <w:sz w:val="12"/>
                <w:szCs w:val="12"/>
              </w:rPr>
            </w:pPr>
            <w:r w:rsidRPr="00640447">
              <w:rPr>
                <w:bCs/>
                <w:sz w:val="12"/>
                <w:szCs w:val="12"/>
              </w:rPr>
              <w:t>бюджетные средства</w:t>
            </w:r>
          </w:p>
        </w:tc>
      </w:tr>
      <w:tr w:rsidR="004A0123" w:rsidRPr="00640447" w14:paraId="2D342265" w14:textId="77777777" w:rsidTr="008A5C11">
        <w:trPr>
          <w:trHeight w:val="317"/>
        </w:trPr>
        <w:tc>
          <w:tcPr>
            <w:tcW w:w="261" w:type="pct"/>
            <w:vMerge/>
            <w:tcBorders>
              <w:left w:val="single" w:sz="4" w:space="0" w:color="auto"/>
              <w:bottom w:val="single" w:sz="4" w:space="0" w:color="auto"/>
              <w:right w:val="single" w:sz="4" w:space="0" w:color="auto"/>
            </w:tcBorders>
            <w:tcMar>
              <w:left w:w="28" w:type="dxa"/>
              <w:right w:w="28" w:type="dxa"/>
            </w:tcMar>
            <w:vAlign w:val="center"/>
          </w:tcPr>
          <w:p w14:paraId="5A4B17FA" w14:textId="77777777" w:rsidR="004A0123" w:rsidRPr="00640447" w:rsidRDefault="004A0123" w:rsidP="008A5C11">
            <w:pPr>
              <w:jc w:val="center"/>
              <w:rPr>
                <w:bCs/>
                <w:sz w:val="12"/>
                <w:szCs w:val="12"/>
              </w:rPr>
            </w:pPr>
          </w:p>
        </w:tc>
        <w:tc>
          <w:tcPr>
            <w:tcW w:w="1518" w:type="pct"/>
            <w:vMerge/>
            <w:tcBorders>
              <w:left w:val="single" w:sz="4" w:space="0" w:color="auto"/>
              <w:bottom w:val="single" w:sz="4" w:space="0" w:color="auto"/>
              <w:right w:val="single" w:sz="4" w:space="0" w:color="auto"/>
            </w:tcBorders>
            <w:tcMar>
              <w:left w:w="28" w:type="dxa"/>
              <w:right w:w="28" w:type="dxa"/>
            </w:tcMar>
            <w:vAlign w:val="center"/>
          </w:tcPr>
          <w:p w14:paraId="0DE3B840" w14:textId="77777777" w:rsidR="004A0123" w:rsidRPr="00640447" w:rsidRDefault="004A0123" w:rsidP="008A5C11">
            <w:pPr>
              <w:jc w:val="center"/>
              <w:rPr>
                <w:bCs/>
                <w:sz w:val="12"/>
                <w:szCs w:val="12"/>
              </w:rPr>
            </w:pPr>
          </w:p>
        </w:tc>
        <w:tc>
          <w:tcPr>
            <w:tcW w:w="357" w:type="pct"/>
            <w:vMerge/>
            <w:tcBorders>
              <w:left w:val="nil"/>
              <w:bottom w:val="single" w:sz="4" w:space="0" w:color="auto"/>
              <w:right w:val="single" w:sz="4" w:space="0" w:color="auto"/>
            </w:tcBorders>
            <w:shd w:val="clear" w:color="auto" w:fill="auto"/>
            <w:noWrap/>
            <w:tcMar>
              <w:left w:w="28" w:type="dxa"/>
              <w:right w:w="28" w:type="dxa"/>
            </w:tcMar>
            <w:vAlign w:val="center"/>
          </w:tcPr>
          <w:p w14:paraId="74202E56" w14:textId="77777777" w:rsidR="004A0123" w:rsidRPr="00640447" w:rsidRDefault="004A0123" w:rsidP="008A5C11">
            <w:pPr>
              <w:jc w:val="center"/>
              <w:rPr>
                <w:bCs/>
                <w:sz w:val="12"/>
                <w:szCs w:val="12"/>
              </w:rPr>
            </w:pPr>
          </w:p>
        </w:tc>
        <w:tc>
          <w:tcPr>
            <w:tcW w:w="361" w:type="pct"/>
            <w:vMerge/>
            <w:tcBorders>
              <w:left w:val="nil"/>
              <w:bottom w:val="single" w:sz="4" w:space="0" w:color="auto"/>
              <w:right w:val="single" w:sz="4" w:space="0" w:color="auto"/>
            </w:tcBorders>
            <w:shd w:val="clear" w:color="auto" w:fill="auto"/>
            <w:noWrap/>
            <w:tcMar>
              <w:left w:w="28" w:type="dxa"/>
              <w:right w:w="28" w:type="dxa"/>
            </w:tcMar>
            <w:vAlign w:val="center"/>
          </w:tcPr>
          <w:p w14:paraId="119E9733" w14:textId="77777777" w:rsidR="004A0123" w:rsidRPr="00640447" w:rsidRDefault="004A0123" w:rsidP="008A5C11">
            <w:pPr>
              <w:jc w:val="center"/>
              <w:rPr>
                <w:bCs/>
                <w:sz w:val="12"/>
                <w:szCs w:val="12"/>
              </w:rPr>
            </w:pPr>
          </w:p>
        </w:tc>
        <w:tc>
          <w:tcPr>
            <w:tcW w:w="372" w:type="pct"/>
            <w:vMerge/>
            <w:tcBorders>
              <w:left w:val="nil"/>
              <w:bottom w:val="single" w:sz="4" w:space="0" w:color="auto"/>
              <w:right w:val="single" w:sz="4" w:space="0" w:color="auto"/>
            </w:tcBorders>
            <w:shd w:val="clear" w:color="auto" w:fill="auto"/>
            <w:noWrap/>
            <w:tcMar>
              <w:left w:w="28" w:type="dxa"/>
              <w:right w:w="28" w:type="dxa"/>
            </w:tcMar>
            <w:vAlign w:val="center"/>
          </w:tcPr>
          <w:p w14:paraId="0C1B400B" w14:textId="77777777" w:rsidR="004A0123" w:rsidRPr="00640447" w:rsidRDefault="004A0123" w:rsidP="008A5C11">
            <w:pPr>
              <w:jc w:val="center"/>
              <w:rPr>
                <w:bCs/>
                <w:sz w:val="12"/>
                <w:szCs w:val="12"/>
              </w:rPr>
            </w:pPr>
          </w:p>
        </w:tc>
        <w:tc>
          <w:tcPr>
            <w:tcW w:w="387" w:type="pct"/>
            <w:vMerge/>
            <w:tcBorders>
              <w:left w:val="nil"/>
              <w:bottom w:val="single" w:sz="4" w:space="0" w:color="auto"/>
              <w:right w:val="single" w:sz="4" w:space="0" w:color="auto"/>
            </w:tcBorders>
            <w:shd w:val="clear" w:color="auto" w:fill="auto"/>
            <w:noWrap/>
            <w:tcMar>
              <w:left w:w="28" w:type="dxa"/>
              <w:right w:w="28" w:type="dxa"/>
            </w:tcMar>
            <w:vAlign w:val="center"/>
          </w:tcPr>
          <w:p w14:paraId="0C74A889" w14:textId="77777777" w:rsidR="004A0123" w:rsidRPr="00640447" w:rsidRDefault="004A0123" w:rsidP="008A5C11">
            <w:pPr>
              <w:jc w:val="center"/>
              <w:rPr>
                <w:bCs/>
                <w:sz w:val="12"/>
                <w:szCs w:val="12"/>
              </w:rPr>
            </w:pPr>
          </w:p>
        </w:tc>
        <w:tc>
          <w:tcPr>
            <w:tcW w:w="528" w:type="pct"/>
            <w:tcBorders>
              <w:top w:val="single" w:sz="4" w:space="0" w:color="auto"/>
              <w:left w:val="nil"/>
              <w:bottom w:val="single" w:sz="4" w:space="0" w:color="auto"/>
              <w:right w:val="single" w:sz="4" w:space="0" w:color="auto"/>
            </w:tcBorders>
            <w:tcMar>
              <w:left w:w="28" w:type="dxa"/>
              <w:right w:w="28" w:type="dxa"/>
            </w:tcMar>
            <w:vAlign w:val="center"/>
          </w:tcPr>
          <w:p w14:paraId="72724EA2" w14:textId="77777777" w:rsidR="004A0123" w:rsidRPr="00640447" w:rsidRDefault="004A0123" w:rsidP="008A5C11">
            <w:pPr>
              <w:jc w:val="center"/>
              <w:rPr>
                <w:sz w:val="12"/>
                <w:szCs w:val="12"/>
              </w:rPr>
            </w:pPr>
            <w:r w:rsidRPr="00640447">
              <w:rPr>
                <w:sz w:val="12"/>
                <w:szCs w:val="12"/>
              </w:rPr>
              <w:t>0</w:t>
            </w:r>
          </w:p>
        </w:tc>
        <w:tc>
          <w:tcPr>
            <w:tcW w:w="452" w:type="pct"/>
            <w:tcBorders>
              <w:top w:val="single" w:sz="4" w:space="0" w:color="auto"/>
              <w:left w:val="nil"/>
              <w:bottom w:val="single" w:sz="4" w:space="0" w:color="auto"/>
              <w:right w:val="single" w:sz="4" w:space="0" w:color="auto"/>
            </w:tcBorders>
            <w:tcMar>
              <w:left w:w="28" w:type="dxa"/>
              <w:right w:w="28" w:type="dxa"/>
            </w:tcMar>
            <w:vAlign w:val="center"/>
          </w:tcPr>
          <w:p w14:paraId="263F85E7" w14:textId="77777777" w:rsidR="004A0123" w:rsidRPr="00640447" w:rsidRDefault="004A0123" w:rsidP="008A5C11">
            <w:pPr>
              <w:jc w:val="center"/>
              <w:rPr>
                <w:sz w:val="12"/>
                <w:szCs w:val="12"/>
              </w:rPr>
            </w:pPr>
            <w:r w:rsidRPr="00640447">
              <w:rPr>
                <w:sz w:val="12"/>
                <w:szCs w:val="12"/>
              </w:rPr>
              <w:t>0</w:t>
            </w:r>
          </w:p>
        </w:tc>
        <w:tc>
          <w:tcPr>
            <w:tcW w:w="764" w:type="pct"/>
            <w:tcBorders>
              <w:top w:val="single" w:sz="4" w:space="0" w:color="auto"/>
              <w:left w:val="nil"/>
              <w:bottom w:val="single" w:sz="4" w:space="0" w:color="auto"/>
              <w:right w:val="single" w:sz="4" w:space="0" w:color="auto"/>
            </w:tcBorders>
            <w:tcMar>
              <w:left w:w="28" w:type="dxa"/>
              <w:right w:w="28" w:type="dxa"/>
            </w:tcMar>
            <w:vAlign w:val="center"/>
          </w:tcPr>
          <w:p w14:paraId="6E00BBDE" w14:textId="77777777" w:rsidR="004A0123" w:rsidRPr="00640447" w:rsidRDefault="004A0123" w:rsidP="008A5C11">
            <w:pPr>
              <w:jc w:val="center"/>
              <w:rPr>
                <w:bCs/>
                <w:sz w:val="12"/>
                <w:szCs w:val="12"/>
              </w:rPr>
            </w:pPr>
            <w:r w:rsidRPr="00640447">
              <w:rPr>
                <w:bCs/>
                <w:sz w:val="12"/>
                <w:szCs w:val="12"/>
              </w:rPr>
              <w:t>собственные средства</w:t>
            </w:r>
          </w:p>
        </w:tc>
      </w:tr>
      <w:tr w:rsidR="004A0123" w:rsidRPr="00640447" w14:paraId="28C4D3ED" w14:textId="77777777" w:rsidTr="008A5C11">
        <w:trPr>
          <w:trHeight w:val="104"/>
        </w:trPr>
        <w:tc>
          <w:tcPr>
            <w:tcW w:w="261" w:type="pct"/>
            <w:vMerge w:val="restart"/>
            <w:tcBorders>
              <w:top w:val="single" w:sz="4" w:space="0" w:color="auto"/>
              <w:left w:val="single" w:sz="4" w:space="0" w:color="auto"/>
              <w:right w:val="single" w:sz="4" w:space="0" w:color="auto"/>
            </w:tcBorders>
            <w:tcMar>
              <w:left w:w="28" w:type="dxa"/>
              <w:right w:w="28" w:type="dxa"/>
            </w:tcMar>
            <w:vAlign w:val="center"/>
          </w:tcPr>
          <w:p w14:paraId="44184226" w14:textId="77777777" w:rsidR="004A0123" w:rsidRPr="00640447" w:rsidRDefault="004A0123" w:rsidP="008A5C11">
            <w:pPr>
              <w:jc w:val="center"/>
              <w:rPr>
                <w:bCs/>
                <w:sz w:val="12"/>
                <w:szCs w:val="12"/>
              </w:rPr>
            </w:pPr>
            <w:r w:rsidRPr="00640447">
              <w:rPr>
                <w:bCs/>
                <w:sz w:val="12"/>
                <w:szCs w:val="12"/>
              </w:rPr>
              <w:t>3.2.7.</w:t>
            </w:r>
          </w:p>
        </w:tc>
        <w:tc>
          <w:tcPr>
            <w:tcW w:w="1518" w:type="pct"/>
            <w:vMerge w:val="restart"/>
            <w:tcBorders>
              <w:top w:val="single" w:sz="4" w:space="0" w:color="auto"/>
              <w:left w:val="single" w:sz="4" w:space="0" w:color="auto"/>
              <w:right w:val="single" w:sz="4" w:space="0" w:color="auto"/>
            </w:tcBorders>
            <w:tcMar>
              <w:left w:w="28" w:type="dxa"/>
              <w:right w:w="28" w:type="dxa"/>
            </w:tcMar>
            <w:vAlign w:val="center"/>
          </w:tcPr>
          <w:p w14:paraId="71AE9441" w14:textId="77777777" w:rsidR="004A0123" w:rsidRPr="00640447" w:rsidRDefault="004A0123" w:rsidP="008A5C11">
            <w:pPr>
              <w:jc w:val="center"/>
              <w:rPr>
                <w:bCs/>
                <w:sz w:val="12"/>
                <w:szCs w:val="12"/>
              </w:rPr>
            </w:pPr>
            <w:r w:rsidRPr="00640447">
              <w:rPr>
                <w:bCs/>
                <w:sz w:val="12"/>
                <w:szCs w:val="12"/>
              </w:rPr>
              <w:t>Котельная ""Центральная"". Проектирование и установка насосов на Центральной котельной</w:t>
            </w:r>
          </w:p>
        </w:tc>
        <w:tc>
          <w:tcPr>
            <w:tcW w:w="357" w:type="pct"/>
            <w:vMerge w:val="restart"/>
            <w:tcBorders>
              <w:top w:val="single" w:sz="4" w:space="0" w:color="auto"/>
              <w:left w:val="nil"/>
              <w:right w:val="single" w:sz="4" w:space="0" w:color="auto"/>
            </w:tcBorders>
            <w:shd w:val="clear" w:color="auto" w:fill="auto"/>
            <w:noWrap/>
            <w:tcMar>
              <w:left w:w="28" w:type="dxa"/>
              <w:right w:w="28" w:type="dxa"/>
            </w:tcMar>
            <w:vAlign w:val="center"/>
          </w:tcPr>
          <w:p w14:paraId="517A6365" w14:textId="77777777" w:rsidR="004A0123" w:rsidRPr="00640447" w:rsidRDefault="004A0123" w:rsidP="008A5C11">
            <w:pPr>
              <w:jc w:val="center"/>
              <w:rPr>
                <w:bCs/>
                <w:sz w:val="12"/>
                <w:szCs w:val="12"/>
              </w:rPr>
            </w:pPr>
            <w:r w:rsidRPr="00640447">
              <w:rPr>
                <w:bCs/>
                <w:sz w:val="12"/>
                <w:szCs w:val="12"/>
              </w:rPr>
              <w:t>2019</w:t>
            </w:r>
          </w:p>
        </w:tc>
        <w:tc>
          <w:tcPr>
            <w:tcW w:w="361" w:type="pct"/>
            <w:vMerge w:val="restart"/>
            <w:tcBorders>
              <w:top w:val="single" w:sz="4" w:space="0" w:color="auto"/>
              <w:left w:val="nil"/>
              <w:right w:val="single" w:sz="4" w:space="0" w:color="auto"/>
            </w:tcBorders>
            <w:shd w:val="clear" w:color="auto" w:fill="auto"/>
            <w:noWrap/>
            <w:tcMar>
              <w:left w:w="28" w:type="dxa"/>
              <w:right w:w="28" w:type="dxa"/>
            </w:tcMar>
            <w:vAlign w:val="center"/>
          </w:tcPr>
          <w:p w14:paraId="5F43F52D" w14:textId="77777777" w:rsidR="004A0123" w:rsidRPr="00640447" w:rsidRDefault="004A0123" w:rsidP="008A5C11">
            <w:pPr>
              <w:jc w:val="center"/>
              <w:rPr>
                <w:bCs/>
                <w:sz w:val="12"/>
                <w:szCs w:val="12"/>
              </w:rPr>
            </w:pPr>
            <w:r w:rsidRPr="00640447">
              <w:rPr>
                <w:bCs/>
                <w:sz w:val="12"/>
                <w:szCs w:val="12"/>
              </w:rPr>
              <w:t>2019</w:t>
            </w:r>
          </w:p>
        </w:tc>
        <w:tc>
          <w:tcPr>
            <w:tcW w:w="372" w:type="pct"/>
            <w:vMerge w:val="restart"/>
            <w:tcBorders>
              <w:top w:val="single" w:sz="4" w:space="0" w:color="auto"/>
              <w:left w:val="nil"/>
              <w:right w:val="single" w:sz="4" w:space="0" w:color="auto"/>
            </w:tcBorders>
            <w:shd w:val="clear" w:color="auto" w:fill="auto"/>
            <w:noWrap/>
            <w:tcMar>
              <w:left w:w="28" w:type="dxa"/>
              <w:right w:w="28" w:type="dxa"/>
            </w:tcMar>
            <w:vAlign w:val="center"/>
          </w:tcPr>
          <w:p w14:paraId="4D21B73C" w14:textId="77777777" w:rsidR="004A0123" w:rsidRPr="00640447" w:rsidRDefault="004A0123" w:rsidP="008A5C11">
            <w:pPr>
              <w:jc w:val="center"/>
              <w:rPr>
                <w:bCs/>
                <w:sz w:val="12"/>
                <w:szCs w:val="12"/>
              </w:rPr>
            </w:pPr>
            <w:r w:rsidRPr="00640447">
              <w:rPr>
                <w:bCs/>
                <w:sz w:val="12"/>
                <w:szCs w:val="12"/>
              </w:rPr>
              <w:t>2021</w:t>
            </w:r>
          </w:p>
        </w:tc>
        <w:tc>
          <w:tcPr>
            <w:tcW w:w="387" w:type="pct"/>
            <w:vMerge w:val="restart"/>
            <w:tcBorders>
              <w:top w:val="single" w:sz="4" w:space="0" w:color="auto"/>
              <w:left w:val="nil"/>
              <w:right w:val="single" w:sz="4" w:space="0" w:color="auto"/>
            </w:tcBorders>
            <w:shd w:val="clear" w:color="auto" w:fill="auto"/>
            <w:noWrap/>
            <w:tcMar>
              <w:left w:w="28" w:type="dxa"/>
              <w:right w:w="28" w:type="dxa"/>
            </w:tcMar>
            <w:vAlign w:val="center"/>
          </w:tcPr>
          <w:p w14:paraId="217F4440" w14:textId="77777777" w:rsidR="004A0123" w:rsidRPr="00640447" w:rsidRDefault="004A0123" w:rsidP="008A5C11">
            <w:pPr>
              <w:jc w:val="center"/>
              <w:rPr>
                <w:bCs/>
                <w:sz w:val="12"/>
                <w:szCs w:val="12"/>
              </w:rPr>
            </w:pPr>
            <w:r w:rsidRPr="00640447">
              <w:rPr>
                <w:bCs/>
                <w:sz w:val="12"/>
                <w:szCs w:val="12"/>
              </w:rPr>
              <w:t>2021</w:t>
            </w:r>
          </w:p>
        </w:tc>
        <w:tc>
          <w:tcPr>
            <w:tcW w:w="528" w:type="pct"/>
            <w:tcBorders>
              <w:top w:val="single" w:sz="4" w:space="0" w:color="auto"/>
              <w:left w:val="nil"/>
              <w:bottom w:val="single" w:sz="4" w:space="0" w:color="auto"/>
              <w:right w:val="single" w:sz="4" w:space="0" w:color="auto"/>
            </w:tcBorders>
            <w:tcMar>
              <w:left w:w="28" w:type="dxa"/>
              <w:right w:w="28" w:type="dxa"/>
            </w:tcMar>
            <w:vAlign w:val="center"/>
          </w:tcPr>
          <w:p w14:paraId="2A6A21B8" w14:textId="77777777" w:rsidR="004A0123" w:rsidRPr="00640447" w:rsidRDefault="004A0123" w:rsidP="008A5C11">
            <w:pPr>
              <w:jc w:val="center"/>
              <w:rPr>
                <w:sz w:val="12"/>
                <w:szCs w:val="12"/>
              </w:rPr>
            </w:pPr>
            <w:r w:rsidRPr="00640447">
              <w:rPr>
                <w:sz w:val="12"/>
                <w:szCs w:val="12"/>
              </w:rPr>
              <w:t>16500</w:t>
            </w:r>
          </w:p>
        </w:tc>
        <w:tc>
          <w:tcPr>
            <w:tcW w:w="452" w:type="pct"/>
            <w:tcBorders>
              <w:top w:val="single" w:sz="4" w:space="0" w:color="auto"/>
              <w:left w:val="nil"/>
              <w:bottom w:val="single" w:sz="4" w:space="0" w:color="auto"/>
              <w:right w:val="single" w:sz="4" w:space="0" w:color="auto"/>
            </w:tcBorders>
            <w:tcMar>
              <w:left w:w="28" w:type="dxa"/>
              <w:right w:w="28" w:type="dxa"/>
            </w:tcMar>
            <w:vAlign w:val="center"/>
          </w:tcPr>
          <w:p w14:paraId="449C5AD9" w14:textId="77777777" w:rsidR="004A0123" w:rsidRPr="00640447" w:rsidRDefault="004A0123" w:rsidP="008A5C11">
            <w:pPr>
              <w:jc w:val="center"/>
              <w:rPr>
                <w:sz w:val="12"/>
                <w:szCs w:val="12"/>
              </w:rPr>
            </w:pPr>
            <w:r w:rsidRPr="00640447">
              <w:rPr>
                <w:sz w:val="12"/>
                <w:szCs w:val="12"/>
              </w:rPr>
              <w:t>13256</w:t>
            </w:r>
          </w:p>
        </w:tc>
        <w:tc>
          <w:tcPr>
            <w:tcW w:w="764" w:type="pct"/>
            <w:tcBorders>
              <w:top w:val="single" w:sz="4" w:space="0" w:color="auto"/>
              <w:left w:val="nil"/>
              <w:bottom w:val="single" w:sz="4" w:space="0" w:color="auto"/>
              <w:right w:val="single" w:sz="4" w:space="0" w:color="auto"/>
            </w:tcBorders>
            <w:tcMar>
              <w:left w:w="28" w:type="dxa"/>
              <w:right w:w="28" w:type="dxa"/>
            </w:tcMar>
            <w:vAlign w:val="center"/>
          </w:tcPr>
          <w:p w14:paraId="3D5609DA" w14:textId="77777777" w:rsidR="004A0123" w:rsidRPr="00640447" w:rsidRDefault="004A0123" w:rsidP="008A5C11">
            <w:pPr>
              <w:jc w:val="center"/>
              <w:rPr>
                <w:bCs/>
                <w:sz w:val="12"/>
                <w:szCs w:val="12"/>
              </w:rPr>
            </w:pPr>
            <w:r w:rsidRPr="00640447">
              <w:rPr>
                <w:bCs/>
                <w:sz w:val="12"/>
                <w:szCs w:val="12"/>
              </w:rPr>
              <w:t>бюджетные средства</w:t>
            </w:r>
          </w:p>
        </w:tc>
      </w:tr>
      <w:tr w:rsidR="004A0123" w:rsidRPr="00640447" w14:paraId="7BF29856" w14:textId="77777777" w:rsidTr="008A5C11">
        <w:trPr>
          <w:trHeight w:val="103"/>
        </w:trPr>
        <w:tc>
          <w:tcPr>
            <w:tcW w:w="261" w:type="pct"/>
            <w:vMerge/>
            <w:tcBorders>
              <w:left w:val="single" w:sz="4" w:space="0" w:color="auto"/>
              <w:bottom w:val="single" w:sz="4" w:space="0" w:color="auto"/>
              <w:right w:val="single" w:sz="4" w:space="0" w:color="auto"/>
            </w:tcBorders>
            <w:tcMar>
              <w:left w:w="28" w:type="dxa"/>
              <w:right w:w="28" w:type="dxa"/>
            </w:tcMar>
            <w:vAlign w:val="center"/>
          </w:tcPr>
          <w:p w14:paraId="2202FBDF" w14:textId="77777777" w:rsidR="004A0123" w:rsidRPr="00640447" w:rsidRDefault="004A0123" w:rsidP="008A5C11">
            <w:pPr>
              <w:jc w:val="center"/>
              <w:rPr>
                <w:bCs/>
                <w:sz w:val="12"/>
                <w:szCs w:val="12"/>
              </w:rPr>
            </w:pPr>
          </w:p>
        </w:tc>
        <w:tc>
          <w:tcPr>
            <w:tcW w:w="1518" w:type="pct"/>
            <w:vMerge/>
            <w:tcBorders>
              <w:left w:val="single" w:sz="4" w:space="0" w:color="auto"/>
              <w:bottom w:val="single" w:sz="4" w:space="0" w:color="auto"/>
              <w:right w:val="single" w:sz="4" w:space="0" w:color="auto"/>
            </w:tcBorders>
            <w:tcMar>
              <w:left w:w="28" w:type="dxa"/>
              <w:right w:w="28" w:type="dxa"/>
            </w:tcMar>
            <w:vAlign w:val="center"/>
          </w:tcPr>
          <w:p w14:paraId="67856C81" w14:textId="77777777" w:rsidR="004A0123" w:rsidRPr="00640447" w:rsidRDefault="004A0123" w:rsidP="008A5C11">
            <w:pPr>
              <w:jc w:val="center"/>
              <w:rPr>
                <w:bCs/>
                <w:sz w:val="12"/>
                <w:szCs w:val="12"/>
              </w:rPr>
            </w:pPr>
          </w:p>
        </w:tc>
        <w:tc>
          <w:tcPr>
            <w:tcW w:w="357" w:type="pct"/>
            <w:vMerge/>
            <w:tcBorders>
              <w:left w:val="nil"/>
              <w:bottom w:val="single" w:sz="4" w:space="0" w:color="auto"/>
              <w:right w:val="single" w:sz="4" w:space="0" w:color="auto"/>
            </w:tcBorders>
            <w:shd w:val="clear" w:color="auto" w:fill="auto"/>
            <w:noWrap/>
            <w:tcMar>
              <w:left w:w="28" w:type="dxa"/>
              <w:right w:w="28" w:type="dxa"/>
            </w:tcMar>
            <w:vAlign w:val="center"/>
          </w:tcPr>
          <w:p w14:paraId="04A0908C" w14:textId="77777777" w:rsidR="004A0123" w:rsidRPr="00640447" w:rsidRDefault="004A0123" w:rsidP="008A5C11">
            <w:pPr>
              <w:jc w:val="center"/>
              <w:rPr>
                <w:bCs/>
                <w:sz w:val="12"/>
                <w:szCs w:val="12"/>
              </w:rPr>
            </w:pPr>
          </w:p>
        </w:tc>
        <w:tc>
          <w:tcPr>
            <w:tcW w:w="361" w:type="pct"/>
            <w:vMerge/>
            <w:tcBorders>
              <w:left w:val="nil"/>
              <w:bottom w:val="single" w:sz="4" w:space="0" w:color="auto"/>
              <w:right w:val="single" w:sz="4" w:space="0" w:color="auto"/>
            </w:tcBorders>
            <w:shd w:val="clear" w:color="auto" w:fill="auto"/>
            <w:noWrap/>
            <w:tcMar>
              <w:left w:w="28" w:type="dxa"/>
              <w:right w:w="28" w:type="dxa"/>
            </w:tcMar>
            <w:vAlign w:val="center"/>
          </w:tcPr>
          <w:p w14:paraId="1ED5EBC1" w14:textId="77777777" w:rsidR="004A0123" w:rsidRPr="00640447" w:rsidRDefault="004A0123" w:rsidP="008A5C11">
            <w:pPr>
              <w:jc w:val="center"/>
              <w:rPr>
                <w:bCs/>
                <w:sz w:val="12"/>
                <w:szCs w:val="12"/>
              </w:rPr>
            </w:pPr>
          </w:p>
        </w:tc>
        <w:tc>
          <w:tcPr>
            <w:tcW w:w="372" w:type="pct"/>
            <w:vMerge/>
            <w:tcBorders>
              <w:left w:val="nil"/>
              <w:bottom w:val="single" w:sz="4" w:space="0" w:color="auto"/>
              <w:right w:val="single" w:sz="4" w:space="0" w:color="auto"/>
            </w:tcBorders>
            <w:shd w:val="clear" w:color="auto" w:fill="auto"/>
            <w:noWrap/>
            <w:tcMar>
              <w:left w:w="28" w:type="dxa"/>
              <w:right w:w="28" w:type="dxa"/>
            </w:tcMar>
            <w:vAlign w:val="center"/>
          </w:tcPr>
          <w:p w14:paraId="0FC21AFD" w14:textId="77777777" w:rsidR="004A0123" w:rsidRPr="00640447" w:rsidRDefault="004A0123" w:rsidP="008A5C11">
            <w:pPr>
              <w:jc w:val="center"/>
              <w:rPr>
                <w:bCs/>
                <w:sz w:val="12"/>
                <w:szCs w:val="12"/>
              </w:rPr>
            </w:pPr>
          </w:p>
        </w:tc>
        <w:tc>
          <w:tcPr>
            <w:tcW w:w="387" w:type="pct"/>
            <w:vMerge/>
            <w:tcBorders>
              <w:left w:val="nil"/>
              <w:bottom w:val="single" w:sz="4" w:space="0" w:color="auto"/>
              <w:right w:val="single" w:sz="4" w:space="0" w:color="auto"/>
            </w:tcBorders>
            <w:shd w:val="clear" w:color="auto" w:fill="auto"/>
            <w:noWrap/>
            <w:tcMar>
              <w:left w:w="28" w:type="dxa"/>
              <w:right w:w="28" w:type="dxa"/>
            </w:tcMar>
            <w:vAlign w:val="center"/>
          </w:tcPr>
          <w:p w14:paraId="24922784" w14:textId="77777777" w:rsidR="004A0123" w:rsidRPr="00640447" w:rsidRDefault="004A0123" w:rsidP="008A5C11">
            <w:pPr>
              <w:jc w:val="center"/>
              <w:rPr>
                <w:bCs/>
                <w:sz w:val="12"/>
                <w:szCs w:val="12"/>
              </w:rPr>
            </w:pPr>
          </w:p>
        </w:tc>
        <w:tc>
          <w:tcPr>
            <w:tcW w:w="528" w:type="pct"/>
            <w:tcBorders>
              <w:top w:val="single" w:sz="4" w:space="0" w:color="auto"/>
              <w:left w:val="nil"/>
              <w:bottom w:val="single" w:sz="4" w:space="0" w:color="auto"/>
              <w:right w:val="single" w:sz="4" w:space="0" w:color="auto"/>
            </w:tcBorders>
            <w:tcMar>
              <w:left w:w="28" w:type="dxa"/>
              <w:right w:w="28" w:type="dxa"/>
            </w:tcMar>
            <w:vAlign w:val="center"/>
          </w:tcPr>
          <w:p w14:paraId="1602B0FF" w14:textId="77777777" w:rsidR="004A0123" w:rsidRPr="00640447" w:rsidRDefault="004A0123" w:rsidP="008A5C11">
            <w:pPr>
              <w:jc w:val="center"/>
              <w:rPr>
                <w:sz w:val="12"/>
                <w:szCs w:val="12"/>
              </w:rPr>
            </w:pPr>
            <w:r w:rsidRPr="00640447">
              <w:rPr>
                <w:sz w:val="12"/>
                <w:szCs w:val="12"/>
              </w:rPr>
              <w:t>0</w:t>
            </w:r>
          </w:p>
        </w:tc>
        <w:tc>
          <w:tcPr>
            <w:tcW w:w="452" w:type="pct"/>
            <w:tcBorders>
              <w:top w:val="single" w:sz="4" w:space="0" w:color="auto"/>
              <w:left w:val="nil"/>
              <w:bottom w:val="single" w:sz="4" w:space="0" w:color="auto"/>
              <w:right w:val="single" w:sz="4" w:space="0" w:color="auto"/>
            </w:tcBorders>
            <w:tcMar>
              <w:left w:w="28" w:type="dxa"/>
              <w:right w:w="28" w:type="dxa"/>
            </w:tcMar>
            <w:vAlign w:val="center"/>
          </w:tcPr>
          <w:p w14:paraId="004CE967" w14:textId="77777777" w:rsidR="004A0123" w:rsidRPr="00640447" w:rsidRDefault="004A0123" w:rsidP="008A5C11">
            <w:pPr>
              <w:jc w:val="center"/>
              <w:rPr>
                <w:sz w:val="12"/>
                <w:szCs w:val="12"/>
              </w:rPr>
            </w:pPr>
            <w:r w:rsidRPr="00640447">
              <w:rPr>
                <w:sz w:val="12"/>
                <w:szCs w:val="12"/>
              </w:rPr>
              <w:t>459</w:t>
            </w:r>
          </w:p>
        </w:tc>
        <w:tc>
          <w:tcPr>
            <w:tcW w:w="764" w:type="pct"/>
            <w:tcBorders>
              <w:top w:val="single" w:sz="4" w:space="0" w:color="auto"/>
              <w:left w:val="nil"/>
              <w:bottom w:val="single" w:sz="4" w:space="0" w:color="auto"/>
              <w:right w:val="single" w:sz="4" w:space="0" w:color="auto"/>
            </w:tcBorders>
            <w:tcMar>
              <w:left w:w="28" w:type="dxa"/>
              <w:right w:w="28" w:type="dxa"/>
            </w:tcMar>
            <w:vAlign w:val="center"/>
          </w:tcPr>
          <w:p w14:paraId="21A2C1D4" w14:textId="77777777" w:rsidR="004A0123" w:rsidRPr="00640447" w:rsidRDefault="004A0123" w:rsidP="008A5C11">
            <w:pPr>
              <w:jc w:val="center"/>
              <w:rPr>
                <w:bCs/>
                <w:sz w:val="12"/>
                <w:szCs w:val="12"/>
              </w:rPr>
            </w:pPr>
            <w:r w:rsidRPr="00640447">
              <w:rPr>
                <w:bCs/>
                <w:sz w:val="12"/>
                <w:szCs w:val="12"/>
              </w:rPr>
              <w:t>собственные средства</w:t>
            </w:r>
          </w:p>
        </w:tc>
      </w:tr>
      <w:tr w:rsidR="004A0123" w:rsidRPr="00640447" w14:paraId="142C57F3" w14:textId="77777777" w:rsidTr="008A5C11">
        <w:trPr>
          <w:trHeight w:val="60"/>
        </w:trPr>
        <w:tc>
          <w:tcPr>
            <w:tcW w:w="3256" w:type="pct"/>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4CB1DEB" w14:textId="77777777" w:rsidR="004A0123" w:rsidRPr="00640447" w:rsidRDefault="004A0123" w:rsidP="008A5C11">
            <w:pPr>
              <w:rPr>
                <w:bCs/>
                <w:sz w:val="12"/>
                <w:szCs w:val="12"/>
              </w:rPr>
            </w:pPr>
            <w:r w:rsidRPr="00640447">
              <w:rPr>
                <w:bCs/>
                <w:sz w:val="12"/>
                <w:szCs w:val="12"/>
              </w:rPr>
              <w:t>Всего по группе 3.</w:t>
            </w:r>
          </w:p>
        </w:tc>
        <w:tc>
          <w:tcPr>
            <w:tcW w:w="528" w:type="pct"/>
            <w:tcBorders>
              <w:top w:val="single" w:sz="4" w:space="0" w:color="auto"/>
              <w:left w:val="nil"/>
              <w:bottom w:val="single" w:sz="4" w:space="0" w:color="auto"/>
              <w:right w:val="single" w:sz="4" w:space="0" w:color="auto"/>
            </w:tcBorders>
            <w:tcMar>
              <w:left w:w="28" w:type="dxa"/>
              <w:right w:w="28" w:type="dxa"/>
            </w:tcMar>
            <w:vAlign w:val="center"/>
          </w:tcPr>
          <w:p w14:paraId="1F4791D2" w14:textId="77777777" w:rsidR="004A0123" w:rsidRPr="00640447" w:rsidRDefault="004A0123" w:rsidP="008A5C11">
            <w:pPr>
              <w:jc w:val="center"/>
              <w:rPr>
                <w:sz w:val="12"/>
                <w:szCs w:val="12"/>
              </w:rPr>
            </w:pPr>
            <w:r w:rsidRPr="00640447">
              <w:rPr>
                <w:sz w:val="12"/>
                <w:szCs w:val="12"/>
              </w:rPr>
              <w:t>319559</w:t>
            </w:r>
          </w:p>
        </w:tc>
        <w:tc>
          <w:tcPr>
            <w:tcW w:w="452" w:type="pct"/>
            <w:tcBorders>
              <w:top w:val="single" w:sz="4" w:space="0" w:color="auto"/>
              <w:left w:val="nil"/>
              <w:bottom w:val="single" w:sz="4" w:space="0" w:color="auto"/>
              <w:right w:val="single" w:sz="4" w:space="0" w:color="auto"/>
            </w:tcBorders>
            <w:tcMar>
              <w:left w:w="28" w:type="dxa"/>
              <w:right w:w="28" w:type="dxa"/>
            </w:tcMar>
            <w:vAlign w:val="center"/>
          </w:tcPr>
          <w:p w14:paraId="17B1E9C7" w14:textId="77777777" w:rsidR="004A0123" w:rsidRPr="00640447" w:rsidRDefault="004A0123" w:rsidP="008A5C11">
            <w:pPr>
              <w:jc w:val="center"/>
              <w:rPr>
                <w:sz w:val="12"/>
                <w:szCs w:val="12"/>
              </w:rPr>
            </w:pPr>
            <w:r w:rsidRPr="00640447">
              <w:rPr>
                <w:sz w:val="12"/>
                <w:szCs w:val="12"/>
              </w:rPr>
              <w:t>290772</w:t>
            </w:r>
          </w:p>
        </w:tc>
        <w:tc>
          <w:tcPr>
            <w:tcW w:w="764" w:type="pct"/>
            <w:tcBorders>
              <w:top w:val="single" w:sz="4" w:space="0" w:color="auto"/>
              <w:left w:val="nil"/>
              <w:bottom w:val="single" w:sz="4" w:space="0" w:color="auto"/>
              <w:right w:val="single" w:sz="4" w:space="0" w:color="auto"/>
            </w:tcBorders>
            <w:tcMar>
              <w:left w:w="28" w:type="dxa"/>
              <w:right w:w="28" w:type="dxa"/>
            </w:tcMar>
            <w:vAlign w:val="center"/>
          </w:tcPr>
          <w:p w14:paraId="1F622B85" w14:textId="77777777" w:rsidR="004A0123" w:rsidRPr="00640447" w:rsidRDefault="004A0123" w:rsidP="008A5C11">
            <w:pPr>
              <w:jc w:val="center"/>
              <w:rPr>
                <w:bCs/>
                <w:sz w:val="12"/>
                <w:szCs w:val="12"/>
              </w:rPr>
            </w:pPr>
          </w:p>
        </w:tc>
      </w:tr>
      <w:tr w:rsidR="004A0123" w:rsidRPr="00640447" w14:paraId="41DC1B7A" w14:textId="77777777" w:rsidTr="008A5C11">
        <w:trPr>
          <w:trHeight w:val="276"/>
        </w:trPr>
        <w:tc>
          <w:tcPr>
            <w:tcW w:w="5000" w:type="pct"/>
            <w:gridSpan w:val="9"/>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436B576" w14:textId="77777777" w:rsidR="004A0123" w:rsidRPr="00640447" w:rsidRDefault="004A0123" w:rsidP="008A5C11">
            <w:pPr>
              <w:rPr>
                <w:bCs/>
                <w:sz w:val="12"/>
                <w:szCs w:val="12"/>
              </w:rPr>
            </w:pPr>
            <w:r w:rsidRPr="00640447">
              <w:rPr>
                <w:bCs/>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4A0123" w:rsidRPr="00640447" w14:paraId="2BFEBC2C" w14:textId="77777777" w:rsidTr="008A5C11">
        <w:trPr>
          <w:trHeight w:val="60"/>
        </w:trPr>
        <w:tc>
          <w:tcPr>
            <w:tcW w:w="3256" w:type="pct"/>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416E639" w14:textId="77777777" w:rsidR="004A0123" w:rsidRPr="00640447" w:rsidRDefault="004A0123" w:rsidP="008A5C11">
            <w:pPr>
              <w:rPr>
                <w:bCs/>
                <w:sz w:val="12"/>
                <w:szCs w:val="12"/>
              </w:rPr>
            </w:pPr>
            <w:r w:rsidRPr="00640447">
              <w:rPr>
                <w:bCs/>
                <w:sz w:val="12"/>
                <w:szCs w:val="12"/>
              </w:rPr>
              <w:t>Всего по группе 4.</w:t>
            </w:r>
          </w:p>
        </w:tc>
        <w:tc>
          <w:tcPr>
            <w:tcW w:w="528" w:type="pct"/>
            <w:tcBorders>
              <w:top w:val="single" w:sz="4" w:space="0" w:color="auto"/>
              <w:left w:val="nil"/>
              <w:bottom w:val="single" w:sz="4" w:space="0" w:color="auto"/>
              <w:right w:val="single" w:sz="4" w:space="0" w:color="auto"/>
            </w:tcBorders>
            <w:tcMar>
              <w:left w:w="28" w:type="dxa"/>
              <w:right w:w="28" w:type="dxa"/>
            </w:tcMar>
            <w:vAlign w:val="center"/>
          </w:tcPr>
          <w:p w14:paraId="6D8AD672" w14:textId="77777777" w:rsidR="004A0123" w:rsidRPr="00640447" w:rsidRDefault="004A0123" w:rsidP="008A5C11">
            <w:pPr>
              <w:jc w:val="center"/>
              <w:rPr>
                <w:sz w:val="12"/>
                <w:szCs w:val="12"/>
              </w:rPr>
            </w:pPr>
            <w:r w:rsidRPr="00640447">
              <w:rPr>
                <w:sz w:val="12"/>
                <w:szCs w:val="12"/>
              </w:rPr>
              <w:t>0</w:t>
            </w:r>
          </w:p>
        </w:tc>
        <w:tc>
          <w:tcPr>
            <w:tcW w:w="452" w:type="pct"/>
            <w:tcBorders>
              <w:top w:val="single" w:sz="4" w:space="0" w:color="auto"/>
              <w:left w:val="nil"/>
              <w:bottom w:val="single" w:sz="4" w:space="0" w:color="auto"/>
              <w:right w:val="single" w:sz="4" w:space="0" w:color="auto"/>
            </w:tcBorders>
            <w:tcMar>
              <w:left w:w="28" w:type="dxa"/>
              <w:right w:w="28" w:type="dxa"/>
            </w:tcMar>
            <w:vAlign w:val="center"/>
          </w:tcPr>
          <w:p w14:paraId="0251C708" w14:textId="77777777" w:rsidR="004A0123" w:rsidRPr="00640447" w:rsidRDefault="004A0123" w:rsidP="008A5C11">
            <w:pPr>
              <w:jc w:val="center"/>
              <w:rPr>
                <w:sz w:val="12"/>
                <w:szCs w:val="12"/>
              </w:rPr>
            </w:pPr>
            <w:r w:rsidRPr="00640447">
              <w:rPr>
                <w:sz w:val="12"/>
                <w:szCs w:val="12"/>
              </w:rPr>
              <w:t>0</w:t>
            </w:r>
          </w:p>
        </w:tc>
        <w:tc>
          <w:tcPr>
            <w:tcW w:w="764" w:type="pct"/>
            <w:tcBorders>
              <w:top w:val="single" w:sz="4" w:space="0" w:color="auto"/>
              <w:left w:val="nil"/>
              <w:bottom w:val="single" w:sz="4" w:space="0" w:color="auto"/>
              <w:right w:val="single" w:sz="4" w:space="0" w:color="auto"/>
            </w:tcBorders>
            <w:tcMar>
              <w:left w:w="28" w:type="dxa"/>
              <w:right w:w="28" w:type="dxa"/>
            </w:tcMar>
            <w:vAlign w:val="center"/>
          </w:tcPr>
          <w:p w14:paraId="164D3BE0" w14:textId="77777777" w:rsidR="004A0123" w:rsidRPr="00640447" w:rsidRDefault="004A0123" w:rsidP="008A5C11">
            <w:pPr>
              <w:jc w:val="center"/>
              <w:rPr>
                <w:bCs/>
                <w:sz w:val="12"/>
                <w:szCs w:val="12"/>
              </w:rPr>
            </w:pPr>
          </w:p>
        </w:tc>
      </w:tr>
      <w:tr w:rsidR="004A0123" w:rsidRPr="00640447" w14:paraId="31381733" w14:textId="77777777" w:rsidTr="008A5C11">
        <w:trPr>
          <w:trHeight w:val="60"/>
        </w:trPr>
        <w:tc>
          <w:tcPr>
            <w:tcW w:w="5000" w:type="pct"/>
            <w:gridSpan w:val="9"/>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685AC83" w14:textId="77777777" w:rsidR="004A0123" w:rsidRPr="00640447" w:rsidRDefault="004A0123" w:rsidP="008A5C11">
            <w:pPr>
              <w:rPr>
                <w:bCs/>
                <w:sz w:val="12"/>
                <w:szCs w:val="12"/>
              </w:rPr>
            </w:pPr>
            <w:r w:rsidRPr="00640447">
              <w:rPr>
                <w:bCs/>
                <w:sz w:val="12"/>
                <w:szCs w:val="12"/>
              </w:rPr>
              <w:t>Группа 5. Вывод из эксплуатации, консервация и демонтаж объектов системы централизованного теплоснабжения</w:t>
            </w:r>
          </w:p>
        </w:tc>
      </w:tr>
      <w:tr w:rsidR="004A0123" w:rsidRPr="00640447" w14:paraId="0C039E2D" w14:textId="77777777" w:rsidTr="008A5C11">
        <w:trPr>
          <w:trHeight w:val="60"/>
        </w:trPr>
        <w:tc>
          <w:tcPr>
            <w:tcW w:w="3256" w:type="pct"/>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FDED1CC" w14:textId="77777777" w:rsidR="004A0123" w:rsidRPr="00640447" w:rsidRDefault="004A0123" w:rsidP="008A5C11">
            <w:pPr>
              <w:rPr>
                <w:bCs/>
                <w:sz w:val="12"/>
                <w:szCs w:val="12"/>
              </w:rPr>
            </w:pPr>
            <w:r w:rsidRPr="00640447">
              <w:rPr>
                <w:bCs/>
                <w:sz w:val="12"/>
                <w:szCs w:val="12"/>
              </w:rPr>
              <w:t>Всего по группе 5.</w:t>
            </w:r>
          </w:p>
        </w:tc>
        <w:tc>
          <w:tcPr>
            <w:tcW w:w="528" w:type="pct"/>
            <w:tcBorders>
              <w:top w:val="single" w:sz="4" w:space="0" w:color="auto"/>
              <w:left w:val="nil"/>
              <w:bottom w:val="single" w:sz="4" w:space="0" w:color="auto"/>
              <w:right w:val="single" w:sz="4" w:space="0" w:color="auto"/>
            </w:tcBorders>
            <w:tcMar>
              <w:left w:w="28" w:type="dxa"/>
              <w:right w:w="28" w:type="dxa"/>
            </w:tcMar>
            <w:vAlign w:val="center"/>
          </w:tcPr>
          <w:p w14:paraId="322369E2" w14:textId="77777777" w:rsidR="004A0123" w:rsidRPr="00640447" w:rsidRDefault="004A0123" w:rsidP="008A5C11">
            <w:pPr>
              <w:jc w:val="center"/>
              <w:rPr>
                <w:sz w:val="12"/>
                <w:szCs w:val="12"/>
              </w:rPr>
            </w:pPr>
            <w:r w:rsidRPr="00640447">
              <w:rPr>
                <w:sz w:val="12"/>
                <w:szCs w:val="12"/>
              </w:rPr>
              <w:t>0</w:t>
            </w:r>
          </w:p>
        </w:tc>
        <w:tc>
          <w:tcPr>
            <w:tcW w:w="452" w:type="pct"/>
            <w:tcBorders>
              <w:top w:val="single" w:sz="4" w:space="0" w:color="auto"/>
              <w:left w:val="nil"/>
              <w:bottom w:val="single" w:sz="4" w:space="0" w:color="auto"/>
              <w:right w:val="single" w:sz="4" w:space="0" w:color="auto"/>
            </w:tcBorders>
            <w:tcMar>
              <w:left w:w="28" w:type="dxa"/>
              <w:right w:w="28" w:type="dxa"/>
            </w:tcMar>
            <w:vAlign w:val="center"/>
          </w:tcPr>
          <w:p w14:paraId="13A1D6B9" w14:textId="77777777" w:rsidR="004A0123" w:rsidRPr="00640447" w:rsidRDefault="004A0123" w:rsidP="008A5C11">
            <w:pPr>
              <w:jc w:val="center"/>
              <w:rPr>
                <w:sz w:val="12"/>
                <w:szCs w:val="12"/>
              </w:rPr>
            </w:pPr>
            <w:r w:rsidRPr="00640447">
              <w:rPr>
                <w:sz w:val="12"/>
                <w:szCs w:val="12"/>
              </w:rPr>
              <w:t>0</w:t>
            </w:r>
          </w:p>
        </w:tc>
        <w:tc>
          <w:tcPr>
            <w:tcW w:w="764" w:type="pct"/>
            <w:tcBorders>
              <w:top w:val="single" w:sz="4" w:space="0" w:color="auto"/>
              <w:left w:val="nil"/>
              <w:bottom w:val="single" w:sz="4" w:space="0" w:color="auto"/>
              <w:right w:val="single" w:sz="4" w:space="0" w:color="auto"/>
            </w:tcBorders>
            <w:tcMar>
              <w:left w:w="28" w:type="dxa"/>
              <w:right w:w="28" w:type="dxa"/>
            </w:tcMar>
            <w:vAlign w:val="center"/>
          </w:tcPr>
          <w:p w14:paraId="42B745F5" w14:textId="77777777" w:rsidR="004A0123" w:rsidRPr="00640447" w:rsidRDefault="004A0123" w:rsidP="008A5C11">
            <w:pPr>
              <w:jc w:val="center"/>
              <w:rPr>
                <w:bCs/>
                <w:sz w:val="12"/>
                <w:szCs w:val="12"/>
              </w:rPr>
            </w:pPr>
          </w:p>
        </w:tc>
      </w:tr>
      <w:tr w:rsidR="004A0123" w:rsidRPr="00640447" w14:paraId="284313DB" w14:textId="77777777" w:rsidTr="008A5C11">
        <w:trPr>
          <w:trHeight w:val="60"/>
        </w:trPr>
        <w:tc>
          <w:tcPr>
            <w:tcW w:w="3256" w:type="pct"/>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1D7D37B" w14:textId="77777777" w:rsidR="004A0123" w:rsidRPr="00640447" w:rsidRDefault="004A0123" w:rsidP="008A5C11">
            <w:pPr>
              <w:jc w:val="right"/>
              <w:rPr>
                <w:bCs/>
                <w:sz w:val="12"/>
                <w:szCs w:val="12"/>
              </w:rPr>
            </w:pPr>
            <w:r w:rsidRPr="00640447">
              <w:rPr>
                <w:bCs/>
                <w:sz w:val="12"/>
                <w:szCs w:val="12"/>
              </w:rPr>
              <w:t>ВСЕГО, в т.ч:</w:t>
            </w:r>
          </w:p>
        </w:tc>
        <w:tc>
          <w:tcPr>
            <w:tcW w:w="528" w:type="pct"/>
            <w:tcBorders>
              <w:top w:val="single" w:sz="4" w:space="0" w:color="auto"/>
              <w:left w:val="nil"/>
              <w:bottom w:val="single" w:sz="4" w:space="0" w:color="auto"/>
              <w:right w:val="single" w:sz="4" w:space="0" w:color="auto"/>
            </w:tcBorders>
            <w:tcMar>
              <w:left w:w="28" w:type="dxa"/>
              <w:right w:w="28" w:type="dxa"/>
            </w:tcMar>
            <w:vAlign w:val="center"/>
          </w:tcPr>
          <w:p w14:paraId="4FD8D2D3" w14:textId="77777777" w:rsidR="004A0123" w:rsidRPr="00640447" w:rsidRDefault="004A0123" w:rsidP="008A5C11">
            <w:pPr>
              <w:jc w:val="center"/>
              <w:rPr>
                <w:sz w:val="12"/>
                <w:szCs w:val="12"/>
              </w:rPr>
            </w:pPr>
            <w:r w:rsidRPr="00640447">
              <w:rPr>
                <w:sz w:val="12"/>
                <w:szCs w:val="12"/>
              </w:rPr>
              <w:t>384055</w:t>
            </w:r>
          </w:p>
        </w:tc>
        <w:tc>
          <w:tcPr>
            <w:tcW w:w="452" w:type="pct"/>
            <w:tcBorders>
              <w:top w:val="single" w:sz="4" w:space="0" w:color="auto"/>
              <w:left w:val="nil"/>
              <w:bottom w:val="single" w:sz="4" w:space="0" w:color="auto"/>
              <w:right w:val="single" w:sz="4" w:space="0" w:color="auto"/>
            </w:tcBorders>
            <w:tcMar>
              <w:left w:w="28" w:type="dxa"/>
              <w:right w:w="28" w:type="dxa"/>
            </w:tcMar>
            <w:vAlign w:val="center"/>
          </w:tcPr>
          <w:p w14:paraId="4C1CCAE3" w14:textId="77777777" w:rsidR="004A0123" w:rsidRPr="00640447" w:rsidRDefault="004A0123" w:rsidP="008A5C11">
            <w:pPr>
              <w:jc w:val="center"/>
              <w:rPr>
                <w:sz w:val="12"/>
                <w:szCs w:val="12"/>
              </w:rPr>
            </w:pPr>
            <w:r w:rsidRPr="00640447">
              <w:rPr>
                <w:sz w:val="12"/>
                <w:szCs w:val="12"/>
              </w:rPr>
              <w:t>350535</w:t>
            </w:r>
          </w:p>
        </w:tc>
        <w:tc>
          <w:tcPr>
            <w:tcW w:w="764" w:type="pct"/>
            <w:tcBorders>
              <w:top w:val="single" w:sz="4" w:space="0" w:color="auto"/>
              <w:left w:val="nil"/>
              <w:bottom w:val="single" w:sz="4" w:space="0" w:color="auto"/>
              <w:right w:val="single" w:sz="4" w:space="0" w:color="auto"/>
            </w:tcBorders>
            <w:tcMar>
              <w:left w:w="28" w:type="dxa"/>
              <w:right w:w="28" w:type="dxa"/>
            </w:tcMar>
            <w:vAlign w:val="center"/>
          </w:tcPr>
          <w:p w14:paraId="07A035F8" w14:textId="77777777" w:rsidR="004A0123" w:rsidRPr="00640447" w:rsidRDefault="004A0123" w:rsidP="008A5C11">
            <w:pPr>
              <w:jc w:val="center"/>
              <w:rPr>
                <w:bCs/>
                <w:sz w:val="12"/>
                <w:szCs w:val="12"/>
              </w:rPr>
            </w:pPr>
          </w:p>
        </w:tc>
      </w:tr>
      <w:tr w:rsidR="004A0123" w:rsidRPr="00640447" w14:paraId="560F1A8C" w14:textId="77777777" w:rsidTr="008A5C11">
        <w:trPr>
          <w:trHeight w:val="60"/>
        </w:trPr>
        <w:tc>
          <w:tcPr>
            <w:tcW w:w="3256" w:type="pct"/>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05D8B35" w14:textId="77777777" w:rsidR="004A0123" w:rsidRPr="00640447" w:rsidRDefault="004A0123" w:rsidP="008A5C11">
            <w:pPr>
              <w:jc w:val="right"/>
              <w:rPr>
                <w:bCs/>
                <w:sz w:val="12"/>
                <w:szCs w:val="12"/>
              </w:rPr>
            </w:pPr>
            <w:r w:rsidRPr="00640447">
              <w:rPr>
                <w:bCs/>
                <w:sz w:val="12"/>
                <w:szCs w:val="12"/>
              </w:rPr>
              <w:t>бюджетные средства</w:t>
            </w:r>
          </w:p>
        </w:tc>
        <w:tc>
          <w:tcPr>
            <w:tcW w:w="528" w:type="pct"/>
            <w:tcBorders>
              <w:top w:val="single" w:sz="4" w:space="0" w:color="auto"/>
              <w:left w:val="nil"/>
              <w:bottom w:val="single" w:sz="4" w:space="0" w:color="auto"/>
              <w:right w:val="single" w:sz="4" w:space="0" w:color="auto"/>
            </w:tcBorders>
            <w:tcMar>
              <w:left w:w="28" w:type="dxa"/>
              <w:right w:w="28" w:type="dxa"/>
            </w:tcMar>
            <w:vAlign w:val="center"/>
          </w:tcPr>
          <w:p w14:paraId="0FB23125" w14:textId="77777777" w:rsidR="004A0123" w:rsidRPr="00640447" w:rsidRDefault="004A0123" w:rsidP="008A5C11">
            <w:pPr>
              <w:jc w:val="center"/>
              <w:rPr>
                <w:sz w:val="12"/>
                <w:szCs w:val="12"/>
              </w:rPr>
            </w:pPr>
            <w:r w:rsidRPr="00640447">
              <w:rPr>
                <w:sz w:val="12"/>
                <w:szCs w:val="12"/>
              </w:rPr>
              <w:t>384055</w:t>
            </w:r>
          </w:p>
        </w:tc>
        <w:tc>
          <w:tcPr>
            <w:tcW w:w="452" w:type="pct"/>
            <w:tcBorders>
              <w:top w:val="single" w:sz="4" w:space="0" w:color="auto"/>
              <w:left w:val="nil"/>
              <w:bottom w:val="single" w:sz="4" w:space="0" w:color="auto"/>
              <w:right w:val="single" w:sz="4" w:space="0" w:color="auto"/>
            </w:tcBorders>
            <w:tcMar>
              <w:left w:w="28" w:type="dxa"/>
              <w:right w:w="28" w:type="dxa"/>
            </w:tcMar>
            <w:vAlign w:val="center"/>
          </w:tcPr>
          <w:p w14:paraId="42141775" w14:textId="77777777" w:rsidR="004A0123" w:rsidRPr="00640447" w:rsidRDefault="004A0123" w:rsidP="008A5C11">
            <w:pPr>
              <w:jc w:val="center"/>
              <w:rPr>
                <w:sz w:val="12"/>
                <w:szCs w:val="12"/>
              </w:rPr>
            </w:pPr>
            <w:r w:rsidRPr="00640447">
              <w:rPr>
                <w:sz w:val="12"/>
                <w:szCs w:val="12"/>
              </w:rPr>
              <w:t>344107</w:t>
            </w:r>
          </w:p>
        </w:tc>
        <w:tc>
          <w:tcPr>
            <w:tcW w:w="764" w:type="pct"/>
            <w:tcBorders>
              <w:top w:val="single" w:sz="4" w:space="0" w:color="auto"/>
              <w:left w:val="nil"/>
              <w:bottom w:val="single" w:sz="4" w:space="0" w:color="auto"/>
              <w:right w:val="single" w:sz="4" w:space="0" w:color="auto"/>
            </w:tcBorders>
            <w:tcMar>
              <w:left w:w="28" w:type="dxa"/>
              <w:right w:w="28" w:type="dxa"/>
            </w:tcMar>
            <w:vAlign w:val="center"/>
          </w:tcPr>
          <w:p w14:paraId="17D4B421" w14:textId="77777777" w:rsidR="004A0123" w:rsidRPr="00640447" w:rsidRDefault="004A0123" w:rsidP="008A5C11">
            <w:pPr>
              <w:jc w:val="center"/>
              <w:rPr>
                <w:bCs/>
                <w:sz w:val="12"/>
                <w:szCs w:val="12"/>
              </w:rPr>
            </w:pPr>
          </w:p>
        </w:tc>
      </w:tr>
      <w:tr w:rsidR="004A0123" w:rsidRPr="00640447" w14:paraId="3530B2D8" w14:textId="77777777" w:rsidTr="008A5C11">
        <w:trPr>
          <w:trHeight w:val="60"/>
        </w:trPr>
        <w:tc>
          <w:tcPr>
            <w:tcW w:w="3256" w:type="pct"/>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C7A4E6B" w14:textId="77777777" w:rsidR="004A0123" w:rsidRPr="00640447" w:rsidRDefault="004A0123" w:rsidP="008A5C11">
            <w:pPr>
              <w:jc w:val="right"/>
              <w:rPr>
                <w:bCs/>
                <w:sz w:val="12"/>
                <w:szCs w:val="12"/>
              </w:rPr>
            </w:pPr>
            <w:r w:rsidRPr="00640447">
              <w:rPr>
                <w:bCs/>
                <w:sz w:val="12"/>
                <w:szCs w:val="12"/>
              </w:rPr>
              <w:t>собственные средства</w:t>
            </w:r>
          </w:p>
        </w:tc>
        <w:tc>
          <w:tcPr>
            <w:tcW w:w="52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B1F2562" w14:textId="77777777" w:rsidR="004A0123" w:rsidRPr="00640447" w:rsidRDefault="004A0123" w:rsidP="008A5C11">
            <w:pPr>
              <w:jc w:val="center"/>
              <w:rPr>
                <w:sz w:val="12"/>
                <w:szCs w:val="12"/>
              </w:rPr>
            </w:pPr>
            <w:r w:rsidRPr="00640447">
              <w:rPr>
                <w:sz w:val="12"/>
                <w:szCs w:val="12"/>
              </w:rPr>
              <w:t>0</w:t>
            </w:r>
          </w:p>
        </w:tc>
        <w:tc>
          <w:tcPr>
            <w:tcW w:w="45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4E9D128" w14:textId="77777777" w:rsidR="004A0123" w:rsidRPr="00640447" w:rsidRDefault="004A0123" w:rsidP="008A5C11">
            <w:pPr>
              <w:jc w:val="center"/>
              <w:rPr>
                <w:sz w:val="12"/>
                <w:szCs w:val="12"/>
              </w:rPr>
            </w:pPr>
            <w:r w:rsidRPr="00640447">
              <w:rPr>
                <w:sz w:val="12"/>
                <w:szCs w:val="12"/>
              </w:rPr>
              <w:t>6428</w:t>
            </w:r>
          </w:p>
        </w:tc>
        <w:tc>
          <w:tcPr>
            <w:tcW w:w="7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909B9FB" w14:textId="77777777" w:rsidR="004A0123" w:rsidRPr="00640447" w:rsidRDefault="004A0123" w:rsidP="008A5C11">
            <w:pPr>
              <w:jc w:val="center"/>
              <w:rPr>
                <w:bCs/>
                <w:sz w:val="12"/>
                <w:szCs w:val="12"/>
              </w:rPr>
            </w:pPr>
          </w:p>
        </w:tc>
      </w:tr>
    </w:tbl>
    <w:p w14:paraId="2849C816" w14:textId="77777777" w:rsidR="004A0123" w:rsidRPr="00640447" w:rsidRDefault="004A0123" w:rsidP="004A0123">
      <w:pPr>
        <w:jc w:val="center"/>
        <w:rPr>
          <w:bCs/>
          <w:color w:val="000000"/>
        </w:rPr>
      </w:pPr>
    </w:p>
    <w:p w14:paraId="318DAFA3" w14:textId="77777777" w:rsidR="004A0123" w:rsidRPr="00640447" w:rsidRDefault="004A0123" w:rsidP="004A0123">
      <w:pPr>
        <w:jc w:val="center"/>
        <w:rPr>
          <w:bCs/>
          <w:color w:val="000000"/>
        </w:rPr>
      </w:pPr>
    </w:p>
    <w:p w14:paraId="2397CA2C" w14:textId="77777777" w:rsidR="004A0123" w:rsidRPr="00640447" w:rsidRDefault="004A0123" w:rsidP="004A0123">
      <w:pPr>
        <w:jc w:val="center"/>
        <w:rPr>
          <w:bCs/>
          <w:color w:val="000000"/>
        </w:rPr>
      </w:pPr>
    </w:p>
    <w:p w14:paraId="1133B82E" w14:textId="77777777" w:rsidR="004A0123" w:rsidRPr="00640447" w:rsidRDefault="004A0123" w:rsidP="004A0123">
      <w:pPr>
        <w:jc w:val="center"/>
        <w:rPr>
          <w:bCs/>
          <w:color w:val="000000"/>
        </w:rPr>
      </w:pPr>
    </w:p>
    <w:p w14:paraId="082D670D" w14:textId="77777777" w:rsidR="004A0123" w:rsidRPr="00640447" w:rsidRDefault="004A0123" w:rsidP="004A0123">
      <w:pPr>
        <w:jc w:val="center"/>
        <w:rPr>
          <w:bCs/>
          <w:color w:val="000000"/>
        </w:rPr>
      </w:pPr>
    </w:p>
    <w:p w14:paraId="50D702E3" w14:textId="77777777" w:rsidR="004A0123" w:rsidRPr="00640447" w:rsidRDefault="004A0123" w:rsidP="004A0123">
      <w:pPr>
        <w:jc w:val="center"/>
        <w:rPr>
          <w:bCs/>
          <w:color w:val="000000"/>
        </w:rPr>
      </w:pPr>
    </w:p>
    <w:p w14:paraId="63969BE6" w14:textId="77777777" w:rsidR="004A0123" w:rsidRPr="00640447" w:rsidRDefault="004A0123" w:rsidP="004A0123">
      <w:pPr>
        <w:jc w:val="center"/>
        <w:rPr>
          <w:bCs/>
          <w:color w:val="000000"/>
        </w:rPr>
      </w:pPr>
    </w:p>
    <w:p w14:paraId="23E7B3CD" w14:textId="77777777" w:rsidR="004A0123" w:rsidRPr="00640447" w:rsidRDefault="004A0123" w:rsidP="004A0123">
      <w:pPr>
        <w:jc w:val="center"/>
        <w:rPr>
          <w:bCs/>
          <w:color w:val="000000"/>
        </w:rPr>
      </w:pPr>
    </w:p>
    <w:p w14:paraId="0AE992DF" w14:textId="77777777" w:rsidR="004A0123" w:rsidRPr="00640447" w:rsidRDefault="004A0123" w:rsidP="004A0123">
      <w:pPr>
        <w:jc w:val="center"/>
        <w:rPr>
          <w:bCs/>
          <w:color w:val="000000"/>
        </w:rPr>
      </w:pPr>
    </w:p>
    <w:p w14:paraId="3DB42EDB" w14:textId="77777777" w:rsidR="004A0123" w:rsidRPr="00640447" w:rsidRDefault="004A0123" w:rsidP="004A0123">
      <w:pPr>
        <w:jc w:val="center"/>
        <w:rPr>
          <w:bCs/>
          <w:color w:val="000000"/>
        </w:rPr>
      </w:pPr>
    </w:p>
    <w:p w14:paraId="44766A17" w14:textId="77777777" w:rsidR="004A0123" w:rsidRPr="00640447" w:rsidRDefault="004A0123" w:rsidP="004A0123">
      <w:pPr>
        <w:jc w:val="center"/>
        <w:rPr>
          <w:bCs/>
          <w:color w:val="000000"/>
        </w:rPr>
      </w:pPr>
    </w:p>
    <w:p w14:paraId="0DD0C8BA" w14:textId="77777777" w:rsidR="004A0123" w:rsidRPr="00640447" w:rsidRDefault="004A0123" w:rsidP="004A0123">
      <w:pPr>
        <w:jc w:val="center"/>
        <w:rPr>
          <w:bCs/>
          <w:color w:val="000000"/>
        </w:rPr>
      </w:pPr>
    </w:p>
    <w:p w14:paraId="1DB14F47" w14:textId="77777777" w:rsidR="004A0123" w:rsidRPr="00640447" w:rsidRDefault="004A0123" w:rsidP="004A0123">
      <w:pPr>
        <w:jc w:val="center"/>
        <w:rPr>
          <w:bCs/>
          <w:color w:val="000000"/>
        </w:rPr>
      </w:pPr>
    </w:p>
    <w:p w14:paraId="363B2A1D" w14:textId="77777777" w:rsidR="004A0123" w:rsidRPr="00640447" w:rsidRDefault="004A0123" w:rsidP="004A0123">
      <w:pPr>
        <w:jc w:val="center"/>
        <w:rPr>
          <w:bCs/>
          <w:color w:val="000000"/>
        </w:rPr>
      </w:pPr>
    </w:p>
    <w:p w14:paraId="16CB73C7" w14:textId="77777777" w:rsidR="004A0123" w:rsidRPr="00640447" w:rsidRDefault="004A0123" w:rsidP="004A0123">
      <w:pPr>
        <w:jc w:val="center"/>
        <w:rPr>
          <w:bCs/>
          <w:color w:val="000000"/>
        </w:rPr>
      </w:pPr>
    </w:p>
    <w:p w14:paraId="16255996" w14:textId="77777777" w:rsidR="004A0123" w:rsidRPr="00640447" w:rsidRDefault="004A0123" w:rsidP="004A0123">
      <w:pPr>
        <w:jc w:val="center"/>
        <w:rPr>
          <w:bCs/>
          <w:color w:val="000000"/>
        </w:rPr>
      </w:pPr>
    </w:p>
    <w:p w14:paraId="31EA7D20" w14:textId="77777777" w:rsidR="004A0123" w:rsidRPr="00640447" w:rsidRDefault="004A0123" w:rsidP="004A0123">
      <w:pPr>
        <w:jc w:val="center"/>
        <w:rPr>
          <w:bCs/>
          <w:color w:val="000000"/>
        </w:rPr>
      </w:pPr>
    </w:p>
    <w:p w14:paraId="0BCEFFDB" w14:textId="77777777" w:rsidR="004A0123" w:rsidRPr="00640447" w:rsidRDefault="004A0123" w:rsidP="004A0123">
      <w:pPr>
        <w:jc w:val="center"/>
        <w:rPr>
          <w:bCs/>
          <w:color w:val="000000"/>
        </w:rPr>
      </w:pPr>
    </w:p>
    <w:p w14:paraId="1F3A3620" w14:textId="77777777" w:rsidR="004A0123" w:rsidRPr="00640447" w:rsidRDefault="004A0123" w:rsidP="004A0123">
      <w:pPr>
        <w:jc w:val="center"/>
        <w:rPr>
          <w:bCs/>
          <w:color w:val="000000"/>
        </w:rPr>
      </w:pPr>
    </w:p>
    <w:p w14:paraId="173B1AA2" w14:textId="77777777" w:rsidR="004A0123" w:rsidRPr="00640447" w:rsidRDefault="004A0123" w:rsidP="004A0123">
      <w:pPr>
        <w:jc w:val="center"/>
        <w:rPr>
          <w:bCs/>
          <w:color w:val="000000"/>
        </w:rPr>
      </w:pPr>
    </w:p>
    <w:p w14:paraId="51796462" w14:textId="77777777" w:rsidR="004A0123" w:rsidRPr="00640447" w:rsidRDefault="004A0123" w:rsidP="004A0123">
      <w:pPr>
        <w:jc w:val="right"/>
        <w:rPr>
          <w:bCs/>
          <w:color w:val="000000"/>
        </w:rPr>
      </w:pPr>
    </w:p>
    <w:p w14:paraId="390CF1E6" w14:textId="77777777" w:rsidR="004A0123" w:rsidRPr="00640447" w:rsidRDefault="004A0123" w:rsidP="004A0123">
      <w:pPr>
        <w:jc w:val="right"/>
        <w:rPr>
          <w:bCs/>
          <w:color w:val="000000"/>
        </w:rPr>
      </w:pPr>
    </w:p>
    <w:p w14:paraId="40A8C66B" w14:textId="77777777" w:rsidR="004A0123" w:rsidRPr="00640447" w:rsidRDefault="004A0123" w:rsidP="004A0123">
      <w:pPr>
        <w:jc w:val="right"/>
        <w:rPr>
          <w:bCs/>
          <w:color w:val="000000"/>
        </w:rPr>
      </w:pPr>
    </w:p>
    <w:p w14:paraId="25D0C3C0" w14:textId="77777777" w:rsidR="004A0123" w:rsidRPr="00640447" w:rsidRDefault="004A0123" w:rsidP="004A0123">
      <w:pPr>
        <w:jc w:val="right"/>
        <w:rPr>
          <w:bCs/>
          <w:color w:val="000000"/>
        </w:rPr>
      </w:pPr>
    </w:p>
    <w:p w14:paraId="54F25E29" w14:textId="77777777" w:rsidR="004A0123" w:rsidRPr="00640447" w:rsidRDefault="004A0123" w:rsidP="004A0123">
      <w:pPr>
        <w:jc w:val="center"/>
        <w:rPr>
          <w:b/>
          <w:bCs/>
          <w:sz w:val="28"/>
          <w:szCs w:val="28"/>
        </w:rPr>
      </w:pPr>
      <w:r w:rsidRPr="00640447">
        <w:rPr>
          <w:b/>
          <w:bCs/>
          <w:sz w:val="28"/>
          <w:szCs w:val="28"/>
        </w:rPr>
        <w:t xml:space="preserve">Отчет об исполнении инвестиционной программы </w:t>
      </w:r>
      <w:r w:rsidRPr="00640447">
        <w:rPr>
          <w:b/>
          <w:color w:val="000000"/>
          <w:sz w:val="28"/>
          <w:szCs w:val="28"/>
        </w:rPr>
        <w:t>ОАО «Северо-Кузбасская энергетическая компания» по узлу теплоснабжения Ленинск-Кузнецкого</w:t>
      </w:r>
      <w:r w:rsidRPr="00640447">
        <w:rPr>
          <w:b/>
          <w:bCs/>
          <w:sz w:val="28"/>
          <w:szCs w:val="28"/>
        </w:rPr>
        <w:t xml:space="preserve"> городского округа за 2020 год</w:t>
      </w:r>
    </w:p>
    <w:p w14:paraId="71133AAF" w14:textId="77777777" w:rsidR="004A0123" w:rsidRPr="00640447" w:rsidRDefault="004A0123" w:rsidP="004A0123">
      <w:pPr>
        <w:jc w:val="center"/>
        <w:rPr>
          <w:b/>
          <w:bCs/>
          <w:sz w:val="28"/>
          <w:szCs w:val="28"/>
        </w:rPr>
      </w:pPr>
    </w:p>
    <w:tbl>
      <w:tblPr>
        <w:tblpPr w:leftFromText="180" w:rightFromText="180" w:vertAnchor="text" w:tblpY="1"/>
        <w:tblOverlap w:val="never"/>
        <w:tblW w:w="5582" w:type="pct"/>
        <w:tblLook w:val="04A0" w:firstRow="1" w:lastRow="0" w:firstColumn="1" w:lastColumn="0" w:noHBand="0" w:noVBand="1"/>
      </w:tblPr>
      <w:tblGrid>
        <w:gridCol w:w="522"/>
        <w:gridCol w:w="3035"/>
        <w:gridCol w:w="713"/>
        <w:gridCol w:w="722"/>
        <w:gridCol w:w="743"/>
        <w:gridCol w:w="773"/>
        <w:gridCol w:w="1055"/>
        <w:gridCol w:w="905"/>
        <w:gridCol w:w="1528"/>
        <w:gridCol w:w="773"/>
        <w:gridCol w:w="771"/>
      </w:tblGrid>
      <w:tr w:rsidR="004A0123" w:rsidRPr="00640447" w14:paraId="342F6234" w14:textId="77777777" w:rsidTr="008A5C11">
        <w:trPr>
          <w:gridAfter w:val="2"/>
          <w:wAfter w:w="669" w:type="pct"/>
          <w:trHeight w:val="60"/>
        </w:trPr>
        <w:tc>
          <w:tcPr>
            <w:tcW w:w="226"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9BF4C14" w14:textId="77777777" w:rsidR="004A0123" w:rsidRPr="00640447" w:rsidRDefault="004A0123" w:rsidP="008A5C11">
            <w:pPr>
              <w:jc w:val="center"/>
              <w:rPr>
                <w:bCs/>
                <w:sz w:val="12"/>
                <w:szCs w:val="12"/>
              </w:rPr>
            </w:pPr>
            <w:r w:rsidRPr="00640447">
              <w:rPr>
                <w:bCs/>
                <w:sz w:val="12"/>
                <w:szCs w:val="12"/>
              </w:rPr>
              <w:t>№</w:t>
            </w:r>
            <w:r w:rsidRPr="00640447">
              <w:rPr>
                <w:bCs/>
                <w:sz w:val="12"/>
                <w:szCs w:val="12"/>
              </w:rPr>
              <w:br/>
              <w:t>п/п</w:t>
            </w:r>
          </w:p>
        </w:tc>
        <w:tc>
          <w:tcPr>
            <w:tcW w:w="1315"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AD66287" w14:textId="77777777" w:rsidR="004A0123" w:rsidRPr="00640447" w:rsidRDefault="004A0123" w:rsidP="008A5C11">
            <w:pPr>
              <w:jc w:val="center"/>
              <w:rPr>
                <w:bCs/>
                <w:sz w:val="12"/>
                <w:szCs w:val="12"/>
              </w:rPr>
            </w:pPr>
            <w:r w:rsidRPr="00640447">
              <w:rPr>
                <w:bCs/>
                <w:sz w:val="12"/>
                <w:szCs w:val="12"/>
              </w:rPr>
              <w:t>Наименование</w:t>
            </w:r>
            <w:r w:rsidRPr="00640447">
              <w:rPr>
                <w:bCs/>
                <w:sz w:val="12"/>
                <w:szCs w:val="12"/>
              </w:rPr>
              <w:br/>
              <w:t>мероприятий</w:t>
            </w:r>
          </w:p>
        </w:tc>
        <w:tc>
          <w:tcPr>
            <w:tcW w:w="622" w:type="pct"/>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D8E7E8D" w14:textId="77777777" w:rsidR="004A0123" w:rsidRPr="00640447" w:rsidRDefault="004A0123" w:rsidP="008A5C11">
            <w:pPr>
              <w:jc w:val="center"/>
              <w:rPr>
                <w:bCs/>
                <w:sz w:val="12"/>
                <w:szCs w:val="12"/>
              </w:rPr>
            </w:pPr>
            <w:r w:rsidRPr="00640447">
              <w:rPr>
                <w:bCs/>
                <w:sz w:val="12"/>
                <w:szCs w:val="12"/>
              </w:rPr>
              <w:t>Год начала реализации мероприятия</w:t>
            </w:r>
          </w:p>
        </w:tc>
        <w:tc>
          <w:tcPr>
            <w:tcW w:w="657" w:type="pct"/>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E99D930" w14:textId="77777777" w:rsidR="004A0123" w:rsidRPr="00640447" w:rsidRDefault="004A0123" w:rsidP="008A5C11">
            <w:pPr>
              <w:jc w:val="center"/>
              <w:rPr>
                <w:bCs/>
                <w:sz w:val="12"/>
                <w:szCs w:val="12"/>
              </w:rPr>
            </w:pPr>
            <w:r w:rsidRPr="00640447">
              <w:rPr>
                <w:bCs/>
                <w:sz w:val="12"/>
                <w:szCs w:val="12"/>
              </w:rPr>
              <w:t>Год окончания реализации мероприятия</w:t>
            </w:r>
          </w:p>
        </w:tc>
        <w:tc>
          <w:tcPr>
            <w:tcW w:w="849" w:type="pct"/>
            <w:gridSpan w:val="2"/>
            <w:tcBorders>
              <w:top w:val="single" w:sz="4" w:space="0" w:color="auto"/>
              <w:left w:val="nil"/>
              <w:bottom w:val="single" w:sz="4" w:space="0" w:color="auto"/>
              <w:right w:val="single" w:sz="4" w:space="0" w:color="auto"/>
            </w:tcBorders>
            <w:tcMar>
              <w:left w:w="28" w:type="dxa"/>
              <w:right w:w="28" w:type="dxa"/>
            </w:tcMar>
            <w:vAlign w:val="center"/>
          </w:tcPr>
          <w:p w14:paraId="2F2DEAD8" w14:textId="77777777" w:rsidR="004A0123" w:rsidRPr="00640447" w:rsidRDefault="004A0123" w:rsidP="008A5C11">
            <w:pPr>
              <w:jc w:val="center"/>
              <w:rPr>
                <w:bCs/>
                <w:sz w:val="12"/>
                <w:szCs w:val="12"/>
              </w:rPr>
            </w:pPr>
            <w:r w:rsidRPr="00640447">
              <w:rPr>
                <w:bCs/>
                <w:sz w:val="12"/>
                <w:szCs w:val="12"/>
              </w:rPr>
              <w:t>Стоимость мероприятий,</w:t>
            </w:r>
            <w:r w:rsidRPr="00640447">
              <w:rPr>
                <w:bCs/>
                <w:sz w:val="12"/>
                <w:szCs w:val="12"/>
              </w:rPr>
              <w:br/>
              <w:t>тыс. руб. (с НДС)</w:t>
            </w:r>
          </w:p>
        </w:tc>
        <w:tc>
          <w:tcPr>
            <w:tcW w:w="662" w:type="pct"/>
            <w:tcBorders>
              <w:top w:val="single" w:sz="4" w:space="0" w:color="auto"/>
              <w:left w:val="nil"/>
              <w:bottom w:val="single" w:sz="4" w:space="0" w:color="auto"/>
              <w:right w:val="single" w:sz="4" w:space="0" w:color="auto"/>
            </w:tcBorders>
            <w:tcMar>
              <w:left w:w="28" w:type="dxa"/>
              <w:right w:w="28" w:type="dxa"/>
            </w:tcMar>
            <w:vAlign w:val="center"/>
          </w:tcPr>
          <w:p w14:paraId="0F97233C" w14:textId="77777777" w:rsidR="004A0123" w:rsidRPr="00640447" w:rsidRDefault="004A0123" w:rsidP="008A5C11">
            <w:pPr>
              <w:jc w:val="center"/>
              <w:rPr>
                <w:bCs/>
                <w:sz w:val="12"/>
                <w:szCs w:val="12"/>
              </w:rPr>
            </w:pPr>
            <w:r w:rsidRPr="00640447">
              <w:rPr>
                <w:sz w:val="12"/>
                <w:szCs w:val="12"/>
              </w:rPr>
              <w:t>Примечание</w:t>
            </w:r>
          </w:p>
        </w:tc>
      </w:tr>
      <w:tr w:rsidR="004A0123" w:rsidRPr="00640447" w14:paraId="57012F6B" w14:textId="77777777" w:rsidTr="008A5C11">
        <w:trPr>
          <w:gridAfter w:val="2"/>
          <w:wAfter w:w="669" w:type="pct"/>
          <w:trHeight w:val="60"/>
        </w:trPr>
        <w:tc>
          <w:tcPr>
            <w:tcW w:w="226"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8D74194" w14:textId="77777777" w:rsidR="004A0123" w:rsidRPr="00640447" w:rsidRDefault="004A0123" w:rsidP="008A5C11">
            <w:pPr>
              <w:rPr>
                <w:bCs/>
                <w:sz w:val="12"/>
                <w:szCs w:val="12"/>
              </w:rPr>
            </w:pPr>
          </w:p>
        </w:tc>
        <w:tc>
          <w:tcPr>
            <w:tcW w:w="1315"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4FB98B2" w14:textId="77777777" w:rsidR="004A0123" w:rsidRPr="00640447" w:rsidRDefault="004A0123" w:rsidP="008A5C11">
            <w:pPr>
              <w:rPr>
                <w:bCs/>
                <w:sz w:val="12"/>
                <w:szCs w:val="12"/>
              </w:rPr>
            </w:pPr>
          </w:p>
        </w:tc>
        <w:tc>
          <w:tcPr>
            <w:tcW w:w="309"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31D948C" w14:textId="77777777" w:rsidR="004A0123" w:rsidRPr="00640447" w:rsidRDefault="004A0123" w:rsidP="008A5C11">
            <w:pPr>
              <w:jc w:val="center"/>
              <w:rPr>
                <w:bCs/>
                <w:sz w:val="12"/>
                <w:szCs w:val="12"/>
              </w:rPr>
            </w:pPr>
            <w:r w:rsidRPr="00640447">
              <w:rPr>
                <w:bCs/>
                <w:sz w:val="12"/>
                <w:szCs w:val="12"/>
              </w:rPr>
              <w:t>план</w:t>
            </w:r>
          </w:p>
        </w:tc>
        <w:tc>
          <w:tcPr>
            <w:tcW w:w="313"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0D874F4" w14:textId="77777777" w:rsidR="004A0123" w:rsidRPr="00640447" w:rsidRDefault="004A0123" w:rsidP="008A5C11">
            <w:pPr>
              <w:jc w:val="center"/>
              <w:rPr>
                <w:bCs/>
                <w:sz w:val="12"/>
                <w:szCs w:val="12"/>
              </w:rPr>
            </w:pPr>
            <w:r w:rsidRPr="00640447">
              <w:rPr>
                <w:bCs/>
                <w:sz w:val="12"/>
                <w:szCs w:val="12"/>
              </w:rPr>
              <w:t>факт</w:t>
            </w:r>
          </w:p>
        </w:tc>
        <w:tc>
          <w:tcPr>
            <w:tcW w:w="322"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B0BBA63" w14:textId="77777777" w:rsidR="004A0123" w:rsidRPr="00640447" w:rsidRDefault="004A0123" w:rsidP="008A5C11">
            <w:pPr>
              <w:jc w:val="center"/>
              <w:rPr>
                <w:bCs/>
                <w:sz w:val="12"/>
                <w:szCs w:val="12"/>
              </w:rPr>
            </w:pPr>
            <w:r w:rsidRPr="00640447">
              <w:rPr>
                <w:bCs/>
                <w:sz w:val="12"/>
                <w:szCs w:val="12"/>
              </w:rPr>
              <w:t>план</w:t>
            </w:r>
          </w:p>
        </w:tc>
        <w:tc>
          <w:tcPr>
            <w:tcW w:w="335"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BFA4AA5" w14:textId="77777777" w:rsidR="004A0123" w:rsidRPr="00640447" w:rsidRDefault="004A0123" w:rsidP="008A5C11">
            <w:pPr>
              <w:jc w:val="center"/>
              <w:rPr>
                <w:bCs/>
                <w:sz w:val="12"/>
                <w:szCs w:val="12"/>
              </w:rPr>
            </w:pPr>
            <w:r w:rsidRPr="00640447">
              <w:rPr>
                <w:bCs/>
                <w:sz w:val="12"/>
                <w:szCs w:val="12"/>
              </w:rPr>
              <w:t>факт</w:t>
            </w:r>
            <w:r w:rsidRPr="00640447">
              <w:rPr>
                <w:sz w:val="12"/>
                <w:szCs w:val="12"/>
              </w:rPr>
              <w:t xml:space="preserve"> </w:t>
            </w:r>
          </w:p>
        </w:tc>
        <w:tc>
          <w:tcPr>
            <w:tcW w:w="457" w:type="pct"/>
            <w:tcBorders>
              <w:top w:val="single" w:sz="4" w:space="0" w:color="auto"/>
              <w:left w:val="nil"/>
              <w:bottom w:val="single" w:sz="4" w:space="0" w:color="auto"/>
              <w:right w:val="single" w:sz="4" w:space="0" w:color="auto"/>
            </w:tcBorders>
            <w:tcMar>
              <w:left w:w="28" w:type="dxa"/>
              <w:right w:w="28" w:type="dxa"/>
            </w:tcMar>
            <w:vAlign w:val="center"/>
          </w:tcPr>
          <w:p w14:paraId="5C0E7E3F" w14:textId="77777777" w:rsidR="004A0123" w:rsidRPr="00640447" w:rsidRDefault="004A0123" w:rsidP="008A5C11">
            <w:pPr>
              <w:jc w:val="center"/>
              <w:rPr>
                <w:bCs/>
                <w:sz w:val="12"/>
                <w:szCs w:val="12"/>
              </w:rPr>
            </w:pPr>
            <w:r w:rsidRPr="00640447">
              <w:rPr>
                <w:sz w:val="12"/>
                <w:szCs w:val="12"/>
              </w:rPr>
              <w:t>план</w:t>
            </w:r>
          </w:p>
        </w:tc>
        <w:tc>
          <w:tcPr>
            <w:tcW w:w="392" w:type="pct"/>
            <w:tcBorders>
              <w:top w:val="single" w:sz="4" w:space="0" w:color="auto"/>
              <w:left w:val="nil"/>
              <w:bottom w:val="single" w:sz="4" w:space="0" w:color="auto"/>
              <w:right w:val="single" w:sz="4" w:space="0" w:color="auto"/>
            </w:tcBorders>
            <w:tcMar>
              <w:left w:w="28" w:type="dxa"/>
              <w:right w:w="28" w:type="dxa"/>
            </w:tcMar>
            <w:vAlign w:val="center"/>
          </w:tcPr>
          <w:p w14:paraId="330E1CB7" w14:textId="77777777" w:rsidR="004A0123" w:rsidRPr="00640447" w:rsidRDefault="004A0123" w:rsidP="008A5C11">
            <w:pPr>
              <w:jc w:val="center"/>
              <w:rPr>
                <w:bCs/>
                <w:sz w:val="12"/>
                <w:szCs w:val="12"/>
              </w:rPr>
            </w:pPr>
            <w:r w:rsidRPr="00640447">
              <w:rPr>
                <w:sz w:val="12"/>
                <w:szCs w:val="12"/>
              </w:rPr>
              <w:t>факт</w:t>
            </w:r>
          </w:p>
        </w:tc>
        <w:tc>
          <w:tcPr>
            <w:tcW w:w="662" w:type="pct"/>
            <w:tcBorders>
              <w:top w:val="single" w:sz="4" w:space="0" w:color="auto"/>
              <w:left w:val="nil"/>
              <w:bottom w:val="single" w:sz="4" w:space="0" w:color="auto"/>
              <w:right w:val="single" w:sz="4" w:space="0" w:color="auto"/>
            </w:tcBorders>
            <w:tcMar>
              <w:left w:w="28" w:type="dxa"/>
              <w:right w:w="28" w:type="dxa"/>
            </w:tcMar>
            <w:vAlign w:val="center"/>
          </w:tcPr>
          <w:p w14:paraId="3F706C8D" w14:textId="77777777" w:rsidR="004A0123" w:rsidRPr="00640447" w:rsidRDefault="004A0123" w:rsidP="008A5C11">
            <w:pPr>
              <w:jc w:val="center"/>
              <w:rPr>
                <w:bCs/>
                <w:sz w:val="12"/>
                <w:szCs w:val="12"/>
              </w:rPr>
            </w:pPr>
          </w:p>
        </w:tc>
      </w:tr>
      <w:tr w:rsidR="004A0123" w:rsidRPr="00640447" w14:paraId="00516798" w14:textId="77777777" w:rsidTr="008A5C11">
        <w:trPr>
          <w:gridAfter w:val="2"/>
          <w:wAfter w:w="669" w:type="pct"/>
          <w:trHeight w:val="60"/>
        </w:trPr>
        <w:tc>
          <w:tcPr>
            <w:tcW w:w="4331" w:type="pct"/>
            <w:gridSpan w:val="9"/>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384FFAC" w14:textId="77777777" w:rsidR="004A0123" w:rsidRPr="00640447" w:rsidRDefault="004A0123" w:rsidP="008A5C11">
            <w:pPr>
              <w:rPr>
                <w:bCs/>
                <w:sz w:val="12"/>
                <w:szCs w:val="12"/>
              </w:rPr>
            </w:pPr>
            <w:r w:rsidRPr="00640447">
              <w:rPr>
                <w:bCs/>
                <w:sz w:val="12"/>
                <w:szCs w:val="12"/>
              </w:rPr>
              <w:t>Группа 1. Строительство, реконструкция или модернизация объектов в целях подключения потребителей:</w:t>
            </w:r>
          </w:p>
        </w:tc>
      </w:tr>
      <w:tr w:rsidR="004A0123" w:rsidRPr="00640447" w14:paraId="18A25788" w14:textId="77777777" w:rsidTr="008A5C11">
        <w:trPr>
          <w:gridAfter w:val="2"/>
          <w:wAfter w:w="669" w:type="pct"/>
          <w:trHeight w:val="60"/>
        </w:trPr>
        <w:tc>
          <w:tcPr>
            <w:tcW w:w="1540"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DFFDA3B" w14:textId="77777777" w:rsidR="004A0123" w:rsidRPr="00640447" w:rsidRDefault="004A0123" w:rsidP="008A5C11">
            <w:pPr>
              <w:rPr>
                <w:bCs/>
                <w:sz w:val="12"/>
                <w:szCs w:val="12"/>
              </w:rPr>
            </w:pPr>
            <w:r w:rsidRPr="00640447">
              <w:rPr>
                <w:bCs/>
                <w:sz w:val="12"/>
                <w:szCs w:val="12"/>
              </w:rPr>
              <w:t>Всего по группе 1.</w:t>
            </w:r>
          </w:p>
        </w:tc>
        <w:tc>
          <w:tcPr>
            <w:tcW w:w="309"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6B63E31F" w14:textId="77777777" w:rsidR="004A0123" w:rsidRPr="00640447" w:rsidRDefault="004A0123" w:rsidP="008A5C11">
            <w:pPr>
              <w:jc w:val="center"/>
              <w:rPr>
                <w:bCs/>
                <w:sz w:val="12"/>
                <w:szCs w:val="12"/>
              </w:rPr>
            </w:pPr>
            <w:r w:rsidRPr="00640447">
              <w:rPr>
                <w:bCs/>
                <w:sz w:val="12"/>
                <w:szCs w:val="12"/>
              </w:rPr>
              <w:t>-</w:t>
            </w:r>
          </w:p>
        </w:tc>
        <w:tc>
          <w:tcPr>
            <w:tcW w:w="313"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720D14BE" w14:textId="77777777" w:rsidR="004A0123" w:rsidRPr="00640447" w:rsidRDefault="004A0123" w:rsidP="008A5C11">
            <w:pPr>
              <w:jc w:val="center"/>
              <w:rPr>
                <w:bCs/>
                <w:sz w:val="12"/>
                <w:szCs w:val="12"/>
              </w:rPr>
            </w:pPr>
            <w:r w:rsidRPr="00640447">
              <w:rPr>
                <w:bCs/>
                <w:sz w:val="12"/>
                <w:szCs w:val="12"/>
              </w:rPr>
              <w:t>-</w:t>
            </w:r>
          </w:p>
        </w:tc>
        <w:tc>
          <w:tcPr>
            <w:tcW w:w="322"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7AE1C038" w14:textId="77777777" w:rsidR="004A0123" w:rsidRPr="00640447" w:rsidRDefault="004A0123" w:rsidP="008A5C11">
            <w:pPr>
              <w:jc w:val="center"/>
              <w:rPr>
                <w:bCs/>
                <w:sz w:val="12"/>
                <w:szCs w:val="12"/>
              </w:rPr>
            </w:pPr>
            <w:r w:rsidRPr="00640447">
              <w:rPr>
                <w:bCs/>
                <w:sz w:val="12"/>
                <w:szCs w:val="12"/>
              </w:rPr>
              <w:t>-</w:t>
            </w:r>
          </w:p>
        </w:tc>
        <w:tc>
          <w:tcPr>
            <w:tcW w:w="335"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419826A5" w14:textId="77777777" w:rsidR="004A0123" w:rsidRPr="00640447" w:rsidRDefault="004A0123" w:rsidP="008A5C11">
            <w:pPr>
              <w:jc w:val="center"/>
              <w:rPr>
                <w:bCs/>
                <w:sz w:val="12"/>
                <w:szCs w:val="12"/>
              </w:rPr>
            </w:pPr>
            <w:r w:rsidRPr="00640447">
              <w:rPr>
                <w:bCs/>
                <w:sz w:val="12"/>
                <w:szCs w:val="12"/>
              </w:rPr>
              <w:t>-</w:t>
            </w:r>
          </w:p>
        </w:tc>
        <w:tc>
          <w:tcPr>
            <w:tcW w:w="457" w:type="pct"/>
            <w:tcBorders>
              <w:top w:val="single" w:sz="4" w:space="0" w:color="auto"/>
              <w:left w:val="nil"/>
              <w:bottom w:val="single" w:sz="4" w:space="0" w:color="auto"/>
              <w:right w:val="single" w:sz="4" w:space="0" w:color="auto"/>
            </w:tcBorders>
            <w:tcMar>
              <w:left w:w="28" w:type="dxa"/>
              <w:right w:w="28" w:type="dxa"/>
            </w:tcMar>
            <w:vAlign w:val="center"/>
          </w:tcPr>
          <w:p w14:paraId="050F5CFD" w14:textId="77777777" w:rsidR="004A0123" w:rsidRPr="00640447" w:rsidRDefault="004A0123" w:rsidP="008A5C11">
            <w:pPr>
              <w:jc w:val="center"/>
              <w:rPr>
                <w:sz w:val="12"/>
                <w:szCs w:val="12"/>
              </w:rPr>
            </w:pPr>
            <w:r w:rsidRPr="00640447">
              <w:rPr>
                <w:sz w:val="12"/>
                <w:szCs w:val="12"/>
              </w:rPr>
              <w:t>0</w:t>
            </w:r>
          </w:p>
        </w:tc>
        <w:tc>
          <w:tcPr>
            <w:tcW w:w="392" w:type="pct"/>
            <w:tcBorders>
              <w:top w:val="single" w:sz="4" w:space="0" w:color="auto"/>
              <w:left w:val="nil"/>
              <w:bottom w:val="single" w:sz="4" w:space="0" w:color="auto"/>
              <w:right w:val="single" w:sz="4" w:space="0" w:color="auto"/>
            </w:tcBorders>
            <w:tcMar>
              <w:left w:w="28" w:type="dxa"/>
              <w:right w:w="28" w:type="dxa"/>
            </w:tcMar>
            <w:vAlign w:val="center"/>
          </w:tcPr>
          <w:p w14:paraId="396F0F9B" w14:textId="77777777" w:rsidR="004A0123" w:rsidRPr="00640447" w:rsidRDefault="004A0123" w:rsidP="008A5C11">
            <w:pPr>
              <w:jc w:val="center"/>
              <w:rPr>
                <w:sz w:val="12"/>
                <w:szCs w:val="12"/>
              </w:rPr>
            </w:pPr>
            <w:r w:rsidRPr="00640447">
              <w:rPr>
                <w:sz w:val="12"/>
                <w:szCs w:val="12"/>
              </w:rPr>
              <w:t>0</w:t>
            </w:r>
          </w:p>
        </w:tc>
        <w:tc>
          <w:tcPr>
            <w:tcW w:w="662" w:type="pct"/>
            <w:tcBorders>
              <w:top w:val="single" w:sz="4" w:space="0" w:color="auto"/>
              <w:left w:val="nil"/>
              <w:bottom w:val="single" w:sz="4" w:space="0" w:color="auto"/>
              <w:right w:val="single" w:sz="4" w:space="0" w:color="auto"/>
            </w:tcBorders>
            <w:tcMar>
              <w:left w:w="28" w:type="dxa"/>
              <w:right w:w="28" w:type="dxa"/>
            </w:tcMar>
            <w:vAlign w:val="center"/>
          </w:tcPr>
          <w:p w14:paraId="74B681E6" w14:textId="77777777" w:rsidR="004A0123" w:rsidRPr="00640447" w:rsidRDefault="004A0123" w:rsidP="008A5C11">
            <w:pPr>
              <w:jc w:val="center"/>
              <w:rPr>
                <w:bCs/>
                <w:sz w:val="12"/>
                <w:szCs w:val="12"/>
              </w:rPr>
            </w:pPr>
          </w:p>
        </w:tc>
      </w:tr>
      <w:tr w:rsidR="004A0123" w:rsidRPr="00640447" w14:paraId="7CC7A125" w14:textId="77777777" w:rsidTr="008A5C11">
        <w:trPr>
          <w:gridAfter w:val="2"/>
          <w:wAfter w:w="669" w:type="pct"/>
          <w:trHeight w:val="60"/>
        </w:trPr>
        <w:tc>
          <w:tcPr>
            <w:tcW w:w="4331" w:type="pct"/>
            <w:gridSpan w:val="9"/>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704C35D" w14:textId="77777777" w:rsidR="004A0123" w:rsidRPr="00640447" w:rsidRDefault="004A0123" w:rsidP="008A5C11">
            <w:pPr>
              <w:rPr>
                <w:bCs/>
                <w:sz w:val="12"/>
                <w:szCs w:val="12"/>
              </w:rPr>
            </w:pPr>
            <w:r w:rsidRPr="00640447">
              <w:rPr>
                <w:bCs/>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w:t>
            </w:r>
          </w:p>
        </w:tc>
      </w:tr>
      <w:tr w:rsidR="004A0123" w:rsidRPr="00640447" w14:paraId="71C3412C" w14:textId="77777777" w:rsidTr="008A5C11">
        <w:trPr>
          <w:gridAfter w:val="2"/>
          <w:wAfter w:w="669" w:type="pct"/>
          <w:trHeight w:val="104"/>
        </w:trPr>
        <w:tc>
          <w:tcPr>
            <w:tcW w:w="226" w:type="pct"/>
            <w:vMerge w:val="restart"/>
            <w:tcBorders>
              <w:top w:val="single" w:sz="4" w:space="0" w:color="auto"/>
              <w:left w:val="single" w:sz="4" w:space="0" w:color="auto"/>
              <w:right w:val="single" w:sz="4" w:space="0" w:color="auto"/>
            </w:tcBorders>
            <w:tcMar>
              <w:left w:w="28" w:type="dxa"/>
              <w:right w:w="28" w:type="dxa"/>
            </w:tcMar>
            <w:vAlign w:val="center"/>
          </w:tcPr>
          <w:p w14:paraId="117E0AE5" w14:textId="77777777" w:rsidR="004A0123" w:rsidRPr="00640447" w:rsidRDefault="004A0123" w:rsidP="008A5C11">
            <w:pPr>
              <w:jc w:val="center"/>
              <w:rPr>
                <w:bCs/>
                <w:sz w:val="12"/>
                <w:szCs w:val="12"/>
              </w:rPr>
            </w:pPr>
            <w:r w:rsidRPr="00640447">
              <w:rPr>
                <w:bCs/>
                <w:sz w:val="12"/>
                <w:szCs w:val="12"/>
              </w:rPr>
              <w:t>2.1.</w:t>
            </w:r>
          </w:p>
        </w:tc>
        <w:tc>
          <w:tcPr>
            <w:tcW w:w="1315" w:type="pct"/>
            <w:vMerge w:val="restart"/>
            <w:tcBorders>
              <w:top w:val="single" w:sz="4" w:space="0" w:color="auto"/>
              <w:left w:val="single" w:sz="4" w:space="0" w:color="auto"/>
              <w:right w:val="single" w:sz="4" w:space="0" w:color="auto"/>
            </w:tcBorders>
            <w:tcMar>
              <w:left w:w="28" w:type="dxa"/>
              <w:right w:w="28" w:type="dxa"/>
            </w:tcMar>
            <w:vAlign w:val="center"/>
          </w:tcPr>
          <w:p w14:paraId="2B74AFCF" w14:textId="77777777" w:rsidR="004A0123" w:rsidRPr="00640447" w:rsidRDefault="004A0123" w:rsidP="008A5C11">
            <w:pPr>
              <w:jc w:val="center"/>
              <w:rPr>
                <w:bCs/>
                <w:sz w:val="12"/>
                <w:szCs w:val="12"/>
              </w:rPr>
            </w:pPr>
            <w:r w:rsidRPr="00640447">
              <w:rPr>
                <w:bCs/>
                <w:sz w:val="12"/>
                <w:szCs w:val="12"/>
              </w:rPr>
              <w:t>Установка котельной «Терморобот» вместо котельной № 26</w:t>
            </w:r>
          </w:p>
        </w:tc>
        <w:tc>
          <w:tcPr>
            <w:tcW w:w="309" w:type="pct"/>
            <w:vMerge w:val="restart"/>
            <w:tcBorders>
              <w:top w:val="single" w:sz="4" w:space="0" w:color="auto"/>
              <w:left w:val="nil"/>
              <w:right w:val="single" w:sz="4" w:space="0" w:color="auto"/>
            </w:tcBorders>
            <w:shd w:val="clear" w:color="auto" w:fill="auto"/>
            <w:noWrap/>
            <w:tcMar>
              <w:left w:w="28" w:type="dxa"/>
              <w:right w:w="28" w:type="dxa"/>
            </w:tcMar>
            <w:vAlign w:val="center"/>
          </w:tcPr>
          <w:p w14:paraId="36897004" w14:textId="77777777" w:rsidR="004A0123" w:rsidRPr="00640447" w:rsidRDefault="004A0123" w:rsidP="008A5C11">
            <w:pPr>
              <w:jc w:val="center"/>
              <w:rPr>
                <w:bCs/>
                <w:sz w:val="12"/>
                <w:szCs w:val="12"/>
              </w:rPr>
            </w:pPr>
            <w:r w:rsidRPr="00640447">
              <w:rPr>
                <w:bCs/>
                <w:sz w:val="12"/>
                <w:szCs w:val="12"/>
              </w:rPr>
              <w:t>2020</w:t>
            </w:r>
          </w:p>
        </w:tc>
        <w:tc>
          <w:tcPr>
            <w:tcW w:w="313" w:type="pct"/>
            <w:vMerge w:val="restart"/>
            <w:tcBorders>
              <w:top w:val="single" w:sz="4" w:space="0" w:color="auto"/>
              <w:left w:val="nil"/>
              <w:right w:val="single" w:sz="4" w:space="0" w:color="auto"/>
            </w:tcBorders>
            <w:shd w:val="clear" w:color="auto" w:fill="auto"/>
            <w:noWrap/>
            <w:tcMar>
              <w:left w:w="28" w:type="dxa"/>
              <w:right w:w="28" w:type="dxa"/>
            </w:tcMar>
            <w:vAlign w:val="center"/>
          </w:tcPr>
          <w:p w14:paraId="519B1ECC" w14:textId="77777777" w:rsidR="004A0123" w:rsidRPr="00640447" w:rsidRDefault="004A0123" w:rsidP="008A5C11">
            <w:pPr>
              <w:jc w:val="center"/>
              <w:rPr>
                <w:bCs/>
                <w:sz w:val="12"/>
                <w:szCs w:val="12"/>
              </w:rPr>
            </w:pPr>
            <w:r w:rsidRPr="00640447">
              <w:rPr>
                <w:bCs/>
                <w:sz w:val="12"/>
                <w:szCs w:val="12"/>
              </w:rPr>
              <w:t>2020</w:t>
            </w:r>
          </w:p>
        </w:tc>
        <w:tc>
          <w:tcPr>
            <w:tcW w:w="322" w:type="pct"/>
            <w:vMerge w:val="restart"/>
            <w:tcBorders>
              <w:top w:val="single" w:sz="4" w:space="0" w:color="auto"/>
              <w:left w:val="nil"/>
              <w:right w:val="single" w:sz="4" w:space="0" w:color="auto"/>
            </w:tcBorders>
            <w:shd w:val="clear" w:color="auto" w:fill="auto"/>
            <w:noWrap/>
            <w:tcMar>
              <w:left w:w="28" w:type="dxa"/>
              <w:right w:w="28" w:type="dxa"/>
            </w:tcMar>
            <w:vAlign w:val="center"/>
          </w:tcPr>
          <w:p w14:paraId="46F94DAD" w14:textId="77777777" w:rsidR="004A0123" w:rsidRPr="00640447" w:rsidRDefault="004A0123" w:rsidP="008A5C11">
            <w:pPr>
              <w:jc w:val="center"/>
              <w:rPr>
                <w:bCs/>
                <w:sz w:val="12"/>
                <w:szCs w:val="12"/>
              </w:rPr>
            </w:pPr>
            <w:r w:rsidRPr="00640447">
              <w:rPr>
                <w:bCs/>
                <w:sz w:val="12"/>
                <w:szCs w:val="12"/>
              </w:rPr>
              <w:t>2021</w:t>
            </w:r>
          </w:p>
        </w:tc>
        <w:tc>
          <w:tcPr>
            <w:tcW w:w="335" w:type="pct"/>
            <w:vMerge w:val="restart"/>
            <w:tcBorders>
              <w:top w:val="single" w:sz="4" w:space="0" w:color="auto"/>
              <w:left w:val="nil"/>
              <w:right w:val="single" w:sz="4" w:space="0" w:color="auto"/>
            </w:tcBorders>
            <w:shd w:val="clear" w:color="auto" w:fill="auto"/>
            <w:noWrap/>
            <w:tcMar>
              <w:left w:w="28" w:type="dxa"/>
              <w:right w:w="28" w:type="dxa"/>
            </w:tcMar>
            <w:vAlign w:val="center"/>
          </w:tcPr>
          <w:p w14:paraId="6525D052" w14:textId="77777777" w:rsidR="004A0123" w:rsidRPr="00640447" w:rsidRDefault="004A0123" w:rsidP="008A5C11">
            <w:pPr>
              <w:jc w:val="center"/>
              <w:rPr>
                <w:bCs/>
                <w:sz w:val="12"/>
                <w:szCs w:val="12"/>
              </w:rPr>
            </w:pPr>
            <w:r w:rsidRPr="00640447">
              <w:rPr>
                <w:bCs/>
                <w:sz w:val="12"/>
                <w:szCs w:val="12"/>
              </w:rPr>
              <w:t>2021</w:t>
            </w:r>
          </w:p>
        </w:tc>
        <w:tc>
          <w:tcPr>
            <w:tcW w:w="457" w:type="pct"/>
            <w:tcBorders>
              <w:top w:val="single" w:sz="4" w:space="0" w:color="auto"/>
              <w:left w:val="nil"/>
              <w:bottom w:val="single" w:sz="4" w:space="0" w:color="auto"/>
              <w:right w:val="single" w:sz="4" w:space="0" w:color="auto"/>
            </w:tcBorders>
            <w:tcMar>
              <w:left w:w="28" w:type="dxa"/>
              <w:right w:w="28" w:type="dxa"/>
            </w:tcMar>
            <w:vAlign w:val="center"/>
          </w:tcPr>
          <w:p w14:paraId="76B5B7E5" w14:textId="77777777" w:rsidR="004A0123" w:rsidRPr="00640447" w:rsidRDefault="004A0123" w:rsidP="008A5C11">
            <w:pPr>
              <w:jc w:val="center"/>
              <w:rPr>
                <w:sz w:val="12"/>
                <w:szCs w:val="12"/>
              </w:rPr>
            </w:pPr>
            <w:r w:rsidRPr="00640447">
              <w:rPr>
                <w:sz w:val="12"/>
                <w:szCs w:val="12"/>
              </w:rPr>
              <w:t>17963</w:t>
            </w:r>
          </w:p>
        </w:tc>
        <w:tc>
          <w:tcPr>
            <w:tcW w:w="392" w:type="pct"/>
            <w:tcBorders>
              <w:top w:val="single" w:sz="4" w:space="0" w:color="auto"/>
              <w:left w:val="nil"/>
              <w:bottom w:val="single" w:sz="4" w:space="0" w:color="auto"/>
              <w:right w:val="single" w:sz="4" w:space="0" w:color="auto"/>
            </w:tcBorders>
            <w:tcMar>
              <w:left w:w="28" w:type="dxa"/>
              <w:right w:w="28" w:type="dxa"/>
            </w:tcMar>
            <w:vAlign w:val="center"/>
          </w:tcPr>
          <w:p w14:paraId="345CD1CA" w14:textId="77777777" w:rsidR="004A0123" w:rsidRPr="00640447" w:rsidRDefault="004A0123" w:rsidP="008A5C11">
            <w:pPr>
              <w:jc w:val="center"/>
              <w:rPr>
                <w:sz w:val="12"/>
                <w:szCs w:val="12"/>
              </w:rPr>
            </w:pPr>
            <w:r w:rsidRPr="00640447">
              <w:rPr>
                <w:sz w:val="12"/>
                <w:szCs w:val="12"/>
              </w:rPr>
              <w:t>17963</w:t>
            </w:r>
          </w:p>
        </w:tc>
        <w:tc>
          <w:tcPr>
            <w:tcW w:w="662" w:type="pct"/>
            <w:tcBorders>
              <w:top w:val="single" w:sz="4" w:space="0" w:color="auto"/>
              <w:left w:val="nil"/>
              <w:bottom w:val="single" w:sz="4" w:space="0" w:color="auto"/>
              <w:right w:val="single" w:sz="4" w:space="0" w:color="auto"/>
            </w:tcBorders>
            <w:tcMar>
              <w:left w:w="28" w:type="dxa"/>
              <w:right w:w="28" w:type="dxa"/>
            </w:tcMar>
            <w:vAlign w:val="center"/>
          </w:tcPr>
          <w:p w14:paraId="67E90720" w14:textId="77777777" w:rsidR="004A0123" w:rsidRPr="00640447" w:rsidRDefault="004A0123" w:rsidP="008A5C11">
            <w:pPr>
              <w:jc w:val="center"/>
              <w:rPr>
                <w:bCs/>
                <w:sz w:val="12"/>
                <w:szCs w:val="12"/>
              </w:rPr>
            </w:pPr>
            <w:r w:rsidRPr="00640447">
              <w:rPr>
                <w:bCs/>
                <w:sz w:val="12"/>
                <w:szCs w:val="12"/>
              </w:rPr>
              <w:t>бюджетные средства</w:t>
            </w:r>
          </w:p>
        </w:tc>
      </w:tr>
      <w:tr w:rsidR="004A0123" w:rsidRPr="00640447" w14:paraId="2AD8D1B8" w14:textId="77777777" w:rsidTr="008A5C11">
        <w:trPr>
          <w:gridAfter w:val="2"/>
          <w:wAfter w:w="669" w:type="pct"/>
          <w:trHeight w:val="103"/>
        </w:trPr>
        <w:tc>
          <w:tcPr>
            <w:tcW w:w="226" w:type="pct"/>
            <w:vMerge/>
            <w:tcBorders>
              <w:left w:val="single" w:sz="4" w:space="0" w:color="auto"/>
              <w:bottom w:val="single" w:sz="4" w:space="0" w:color="auto"/>
              <w:right w:val="single" w:sz="4" w:space="0" w:color="auto"/>
            </w:tcBorders>
            <w:tcMar>
              <w:left w:w="28" w:type="dxa"/>
              <w:right w:w="28" w:type="dxa"/>
            </w:tcMar>
            <w:vAlign w:val="center"/>
          </w:tcPr>
          <w:p w14:paraId="6AA81A0F" w14:textId="77777777" w:rsidR="004A0123" w:rsidRPr="00640447" w:rsidRDefault="004A0123" w:rsidP="008A5C11">
            <w:pPr>
              <w:jc w:val="center"/>
              <w:rPr>
                <w:bCs/>
                <w:sz w:val="12"/>
                <w:szCs w:val="12"/>
              </w:rPr>
            </w:pPr>
          </w:p>
        </w:tc>
        <w:tc>
          <w:tcPr>
            <w:tcW w:w="1315" w:type="pct"/>
            <w:vMerge/>
            <w:tcBorders>
              <w:left w:val="single" w:sz="4" w:space="0" w:color="auto"/>
              <w:bottom w:val="single" w:sz="4" w:space="0" w:color="auto"/>
              <w:right w:val="single" w:sz="4" w:space="0" w:color="auto"/>
            </w:tcBorders>
            <w:tcMar>
              <w:left w:w="28" w:type="dxa"/>
              <w:right w:w="28" w:type="dxa"/>
            </w:tcMar>
            <w:vAlign w:val="center"/>
          </w:tcPr>
          <w:p w14:paraId="4DFCB300" w14:textId="77777777" w:rsidR="004A0123" w:rsidRPr="00640447" w:rsidRDefault="004A0123" w:rsidP="008A5C11">
            <w:pPr>
              <w:jc w:val="center"/>
              <w:rPr>
                <w:bCs/>
                <w:sz w:val="12"/>
                <w:szCs w:val="12"/>
              </w:rPr>
            </w:pPr>
          </w:p>
        </w:tc>
        <w:tc>
          <w:tcPr>
            <w:tcW w:w="309" w:type="pct"/>
            <w:vMerge/>
            <w:tcBorders>
              <w:left w:val="nil"/>
              <w:bottom w:val="single" w:sz="4" w:space="0" w:color="auto"/>
              <w:right w:val="single" w:sz="4" w:space="0" w:color="auto"/>
            </w:tcBorders>
            <w:shd w:val="clear" w:color="auto" w:fill="auto"/>
            <w:noWrap/>
            <w:tcMar>
              <w:left w:w="28" w:type="dxa"/>
              <w:right w:w="28" w:type="dxa"/>
            </w:tcMar>
            <w:vAlign w:val="center"/>
          </w:tcPr>
          <w:p w14:paraId="726BE302" w14:textId="77777777" w:rsidR="004A0123" w:rsidRPr="00640447" w:rsidRDefault="004A0123" w:rsidP="008A5C11">
            <w:pPr>
              <w:jc w:val="center"/>
              <w:rPr>
                <w:bCs/>
                <w:sz w:val="12"/>
                <w:szCs w:val="12"/>
              </w:rPr>
            </w:pPr>
          </w:p>
        </w:tc>
        <w:tc>
          <w:tcPr>
            <w:tcW w:w="313" w:type="pct"/>
            <w:vMerge/>
            <w:tcBorders>
              <w:left w:val="nil"/>
              <w:bottom w:val="single" w:sz="4" w:space="0" w:color="auto"/>
              <w:right w:val="single" w:sz="4" w:space="0" w:color="auto"/>
            </w:tcBorders>
            <w:shd w:val="clear" w:color="auto" w:fill="auto"/>
            <w:noWrap/>
            <w:tcMar>
              <w:left w:w="28" w:type="dxa"/>
              <w:right w:w="28" w:type="dxa"/>
            </w:tcMar>
            <w:vAlign w:val="center"/>
          </w:tcPr>
          <w:p w14:paraId="2FF0C607" w14:textId="77777777" w:rsidR="004A0123" w:rsidRPr="00640447" w:rsidRDefault="004A0123" w:rsidP="008A5C11">
            <w:pPr>
              <w:jc w:val="center"/>
              <w:rPr>
                <w:bCs/>
                <w:sz w:val="12"/>
                <w:szCs w:val="12"/>
              </w:rPr>
            </w:pPr>
          </w:p>
        </w:tc>
        <w:tc>
          <w:tcPr>
            <w:tcW w:w="322" w:type="pct"/>
            <w:vMerge/>
            <w:tcBorders>
              <w:left w:val="nil"/>
              <w:bottom w:val="single" w:sz="4" w:space="0" w:color="auto"/>
              <w:right w:val="single" w:sz="4" w:space="0" w:color="auto"/>
            </w:tcBorders>
            <w:shd w:val="clear" w:color="auto" w:fill="auto"/>
            <w:noWrap/>
            <w:tcMar>
              <w:left w:w="28" w:type="dxa"/>
              <w:right w:w="28" w:type="dxa"/>
            </w:tcMar>
            <w:vAlign w:val="center"/>
          </w:tcPr>
          <w:p w14:paraId="42E9CF96" w14:textId="77777777" w:rsidR="004A0123" w:rsidRPr="00640447" w:rsidRDefault="004A0123" w:rsidP="008A5C11">
            <w:pPr>
              <w:jc w:val="center"/>
              <w:rPr>
                <w:bCs/>
                <w:sz w:val="12"/>
                <w:szCs w:val="12"/>
              </w:rPr>
            </w:pPr>
          </w:p>
        </w:tc>
        <w:tc>
          <w:tcPr>
            <w:tcW w:w="335" w:type="pct"/>
            <w:vMerge/>
            <w:tcBorders>
              <w:left w:val="nil"/>
              <w:bottom w:val="single" w:sz="4" w:space="0" w:color="auto"/>
              <w:right w:val="single" w:sz="4" w:space="0" w:color="auto"/>
            </w:tcBorders>
            <w:shd w:val="clear" w:color="auto" w:fill="auto"/>
            <w:noWrap/>
            <w:tcMar>
              <w:left w:w="28" w:type="dxa"/>
              <w:right w:w="28" w:type="dxa"/>
            </w:tcMar>
            <w:vAlign w:val="center"/>
          </w:tcPr>
          <w:p w14:paraId="1ECD8D8D" w14:textId="77777777" w:rsidR="004A0123" w:rsidRPr="00640447" w:rsidRDefault="004A0123" w:rsidP="008A5C11">
            <w:pPr>
              <w:jc w:val="center"/>
              <w:rPr>
                <w:bCs/>
                <w:sz w:val="12"/>
                <w:szCs w:val="12"/>
              </w:rPr>
            </w:pPr>
          </w:p>
        </w:tc>
        <w:tc>
          <w:tcPr>
            <w:tcW w:w="457" w:type="pct"/>
            <w:tcBorders>
              <w:top w:val="single" w:sz="4" w:space="0" w:color="auto"/>
              <w:left w:val="nil"/>
              <w:bottom w:val="single" w:sz="4" w:space="0" w:color="auto"/>
              <w:right w:val="single" w:sz="4" w:space="0" w:color="auto"/>
            </w:tcBorders>
            <w:tcMar>
              <w:left w:w="28" w:type="dxa"/>
              <w:right w:w="28" w:type="dxa"/>
            </w:tcMar>
            <w:vAlign w:val="center"/>
          </w:tcPr>
          <w:p w14:paraId="4EBC2ED1" w14:textId="77777777" w:rsidR="004A0123" w:rsidRPr="00640447" w:rsidRDefault="004A0123" w:rsidP="008A5C11">
            <w:pPr>
              <w:jc w:val="center"/>
              <w:rPr>
                <w:sz w:val="12"/>
                <w:szCs w:val="12"/>
              </w:rPr>
            </w:pPr>
            <w:r w:rsidRPr="00640447">
              <w:rPr>
                <w:sz w:val="12"/>
                <w:szCs w:val="12"/>
              </w:rPr>
              <w:t>0</w:t>
            </w:r>
          </w:p>
        </w:tc>
        <w:tc>
          <w:tcPr>
            <w:tcW w:w="392" w:type="pct"/>
            <w:tcBorders>
              <w:top w:val="single" w:sz="4" w:space="0" w:color="auto"/>
              <w:left w:val="nil"/>
              <w:bottom w:val="single" w:sz="4" w:space="0" w:color="auto"/>
              <w:right w:val="single" w:sz="4" w:space="0" w:color="auto"/>
            </w:tcBorders>
            <w:tcMar>
              <w:left w:w="28" w:type="dxa"/>
              <w:right w:w="28" w:type="dxa"/>
            </w:tcMar>
            <w:vAlign w:val="center"/>
          </w:tcPr>
          <w:p w14:paraId="245CE48A" w14:textId="77777777" w:rsidR="004A0123" w:rsidRPr="00640447" w:rsidRDefault="004A0123" w:rsidP="008A5C11">
            <w:pPr>
              <w:jc w:val="center"/>
              <w:rPr>
                <w:sz w:val="12"/>
                <w:szCs w:val="12"/>
              </w:rPr>
            </w:pPr>
            <w:r w:rsidRPr="00640447">
              <w:rPr>
                <w:sz w:val="12"/>
                <w:szCs w:val="12"/>
              </w:rPr>
              <w:t>60</w:t>
            </w:r>
          </w:p>
        </w:tc>
        <w:tc>
          <w:tcPr>
            <w:tcW w:w="662" w:type="pct"/>
            <w:tcBorders>
              <w:top w:val="single" w:sz="4" w:space="0" w:color="auto"/>
              <w:left w:val="nil"/>
              <w:bottom w:val="single" w:sz="4" w:space="0" w:color="auto"/>
              <w:right w:val="single" w:sz="4" w:space="0" w:color="auto"/>
            </w:tcBorders>
            <w:tcMar>
              <w:left w:w="28" w:type="dxa"/>
              <w:right w:w="28" w:type="dxa"/>
            </w:tcMar>
            <w:vAlign w:val="center"/>
          </w:tcPr>
          <w:p w14:paraId="1AB84918" w14:textId="77777777" w:rsidR="004A0123" w:rsidRPr="00640447" w:rsidRDefault="004A0123" w:rsidP="008A5C11">
            <w:pPr>
              <w:jc w:val="center"/>
              <w:rPr>
                <w:bCs/>
                <w:sz w:val="12"/>
                <w:szCs w:val="12"/>
              </w:rPr>
            </w:pPr>
            <w:r w:rsidRPr="00640447">
              <w:rPr>
                <w:bCs/>
                <w:sz w:val="12"/>
                <w:szCs w:val="12"/>
              </w:rPr>
              <w:t>собственные средства</w:t>
            </w:r>
          </w:p>
        </w:tc>
      </w:tr>
      <w:tr w:rsidR="004A0123" w:rsidRPr="00640447" w14:paraId="5BA85A91" w14:textId="77777777" w:rsidTr="008A5C11">
        <w:trPr>
          <w:gridAfter w:val="2"/>
          <w:wAfter w:w="669" w:type="pct"/>
          <w:trHeight w:val="213"/>
        </w:trPr>
        <w:tc>
          <w:tcPr>
            <w:tcW w:w="226" w:type="pct"/>
            <w:vMerge w:val="restart"/>
            <w:tcBorders>
              <w:left w:val="single" w:sz="4" w:space="0" w:color="auto"/>
              <w:right w:val="single" w:sz="4" w:space="0" w:color="auto"/>
            </w:tcBorders>
            <w:tcMar>
              <w:left w:w="28" w:type="dxa"/>
              <w:right w:w="28" w:type="dxa"/>
            </w:tcMar>
            <w:vAlign w:val="center"/>
          </w:tcPr>
          <w:p w14:paraId="5AF25BEE" w14:textId="77777777" w:rsidR="004A0123" w:rsidRPr="00640447" w:rsidRDefault="004A0123" w:rsidP="008A5C11">
            <w:pPr>
              <w:jc w:val="center"/>
              <w:rPr>
                <w:bCs/>
                <w:sz w:val="12"/>
                <w:szCs w:val="12"/>
              </w:rPr>
            </w:pPr>
            <w:r w:rsidRPr="00640447">
              <w:rPr>
                <w:bCs/>
                <w:sz w:val="12"/>
                <w:szCs w:val="12"/>
              </w:rPr>
              <w:t>2.2.</w:t>
            </w:r>
          </w:p>
        </w:tc>
        <w:tc>
          <w:tcPr>
            <w:tcW w:w="1315" w:type="pct"/>
            <w:vMerge w:val="restart"/>
            <w:tcBorders>
              <w:left w:val="single" w:sz="4" w:space="0" w:color="auto"/>
              <w:right w:val="single" w:sz="4" w:space="0" w:color="auto"/>
            </w:tcBorders>
            <w:tcMar>
              <w:left w:w="28" w:type="dxa"/>
              <w:right w:w="28" w:type="dxa"/>
            </w:tcMar>
            <w:vAlign w:val="center"/>
          </w:tcPr>
          <w:p w14:paraId="1EBD9C5E" w14:textId="77777777" w:rsidR="004A0123" w:rsidRPr="00640447" w:rsidRDefault="004A0123" w:rsidP="008A5C11">
            <w:pPr>
              <w:jc w:val="center"/>
              <w:rPr>
                <w:bCs/>
                <w:sz w:val="12"/>
                <w:szCs w:val="12"/>
              </w:rPr>
            </w:pPr>
            <w:r w:rsidRPr="00640447">
              <w:rPr>
                <w:bCs/>
                <w:sz w:val="12"/>
                <w:szCs w:val="12"/>
              </w:rPr>
              <w:t>Реконструкция теплосетевого комплекса юго-восточного планировочного района: закрытие котельной № 20 с переключением тепловых нагрузок на котельную ш.7-го Ноября</w:t>
            </w:r>
          </w:p>
        </w:tc>
        <w:tc>
          <w:tcPr>
            <w:tcW w:w="309" w:type="pct"/>
            <w:vMerge w:val="restart"/>
            <w:tcBorders>
              <w:left w:val="nil"/>
              <w:right w:val="single" w:sz="4" w:space="0" w:color="auto"/>
            </w:tcBorders>
            <w:shd w:val="clear" w:color="auto" w:fill="auto"/>
            <w:noWrap/>
            <w:tcMar>
              <w:left w:w="28" w:type="dxa"/>
              <w:right w:w="28" w:type="dxa"/>
            </w:tcMar>
            <w:vAlign w:val="center"/>
          </w:tcPr>
          <w:p w14:paraId="6B2492FE" w14:textId="77777777" w:rsidR="004A0123" w:rsidRPr="00640447" w:rsidRDefault="004A0123" w:rsidP="008A5C11">
            <w:pPr>
              <w:jc w:val="center"/>
              <w:rPr>
                <w:bCs/>
                <w:sz w:val="12"/>
                <w:szCs w:val="12"/>
              </w:rPr>
            </w:pPr>
            <w:r w:rsidRPr="00640447">
              <w:rPr>
                <w:bCs/>
                <w:sz w:val="12"/>
                <w:szCs w:val="12"/>
              </w:rPr>
              <w:t>2020</w:t>
            </w:r>
          </w:p>
        </w:tc>
        <w:tc>
          <w:tcPr>
            <w:tcW w:w="313" w:type="pct"/>
            <w:vMerge w:val="restart"/>
            <w:tcBorders>
              <w:left w:val="nil"/>
              <w:right w:val="single" w:sz="4" w:space="0" w:color="auto"/>
            </w:tcBorders>
            <w:shd w:val="clear" w:color="auto" w:fill="auto"/>
            <w:noWrap/>
            <w:tcMar>
              <w:left w:w="28" w:type="dxa"/>
              <w:right w:w="28" w:type="dxa"/>
            </w:tcMar>
            <w:vAlign w:val="center"/>
          </w:tcPr>
          <w:p w14:paraId="75281A19" w14:textId="77777777" w:rsidR="004A0123" w:rsidRPr="00640447" w:rsidRDefault="004A0123" w:rsidP="008A5C11">
            <w:pPr>
              <w:jc w:val="center"/>
              <w:rPr>
                <w:bCs/>
                <w:sz w:val="12"/>
                <w:szCs w:val="12"/>
              </w:rPr>
            </w:pPr>
            <w:r w:rsidRPr="00640447">
              <w:rPr>
                <w:bCs/>
                <w:sz w:val="12"/>
                <w:szCs w:val="12"/>
              </w:rPr>
              <w:t>2020</w:t>
            </w:r>
          </w:p>
        </w:tc>
        <w:tc>
          <w:tcPr>
            <w:tcW w:w="322" w:type="pct"/>
            <w:vMerge w:val="restart"/>
            <w:tcBorders>
              <w:left w:val="nil"/>
              <w:right w:val="single" w:sz="4" w:space="0" w:color="auto"/>
            </w:tcBorders>
            <w:shd w:val="clear" w:color="auto" w:fill="auto"/>
            <w:noWrap/>
            <w:tcMar>
              <w:left w:w="28" w:type="dxa"/>
              <w:right w:w="28" w:type="dxa"/>
            </w:tcMar>
            <w:vAlign w:val="center"/>
          </w:tcPr>
          <w:p w14:paraId="1E7E2CCB" w14:textId="77777777" w:rsidR="004A0123" w:rsidRPr="00640447" w:rsidRDefault="004A0123" w:rsidP="008A5C11">
            <w:pPr>
              <w:jc w:val="center"/>
              <w:rPr>
                <w:bCs/>
                <w:sz w:val="12"/>
                <w:szCs w:val="12"/>
              </w:rPr>
            </w:pPr>
            <w:r w:rsidRPr="00640447">
              <w:rPr>
                <w:bCs/>
                <w:sz w:val="12"/>
                <w:szCs w:val="12"/>
              </w:rPr>
              <w:t>2021</w:t>
            </w:r>
          </w:p>
        </w:tc>
        <w:tc>
          <w:tcPr>
            <w:tcW w:w="335" w:type="pct"/>
            <w:vMerge w:val="restart"/>
            <w:tcBorders>
              <w:left w:val="nil"/>
              <w:right w:val="single" w:sz="4" w:space="0" w:color="auto"/>
            </w:tcBorders>
            <w:shd w:val="clear" w:color="auto" w:fill="auto"/>
            <w:noWrap/>
            <w:tcMar>
              <w:left w:w="28" w:type="dxa"/>
              <w:right w:w="28" w:type="dxa"/>
            </w:tcMar>
            <w:vAlign w:val="center"/>
          </w:tcPr>
          <w:p w14:paraId="69891706" w14:textId="77777777" w:rsidR="004A0123" w:rsidRPr="00640447" w:rsidRDefault="004A0123" w:rsidP="008A5C11">
            <w:pPr>
              <w:jc w:val="center"/>
              <w:rPr>
                <w:bCs/>
                <w:sz w:val="12"/>
                <w:szCs w:val="12"/>
              </w:rPr>
            </w:pPr>
            <w:r w:rsidRPr="00640447">
              <w:rPr>
                <w:bCs/>
                <w:sz w:val="12"/>
                <w:szCs w:val="12"/>
              </w:rPr>
              <w:t>2021</w:t>
            </w:r>
          </w:p>
        </w:tc>
        <w:tc>
          <w:tcPr>
            <w:tcW w:w="457" w:type="pct"/>
            <w:tcBorders>
              <w:top w:val="single" w:sz="4" w:space="0" w:color="auto"/>
              <w:left w:val="nil"/>
              <w:bottom w:val="single" w:sz="4" w:space="0" w:color="auto"/>
              <w:right w:val="single" w:sz="4" w:space="0" w:color="auto"/>
            </w:tcBorders>
            <w:tcMar>
              <w:left w:w="28" w:type="dxa"/>
              <w:right w:w="28" w:type="dxa"/>
            </w:tcMar>
            <w:vAlign w:val="center"/>
          </w:tcPr>
          <w:p w14:paraId="4B45329F" w14:textId="77777777" w:rsidR="004A0123" w:rsidRPr="00640447" w:rsidRDefault="004A0123" w:rsidP="008A5C11">
            <w:pPr>
              <w:jc w:val="center"/>
              <w:rPr>
                <w:sz w:val="12"/>
                <w:szCs w:val="12"/>
              </w:rPr>
            </w:pPr>
            <w:r w:rsidRPr="00640447">
              <w:rPr>
                <w:sz w:val="12"/>
                <w:szCs w:val="12"/>
              </w:rPr>
              <w:t>18100</w:t>
            </w:r>
          </w:p>
        </w:tc>
        <w:tc>
          <w:tcPr>
            <w:tcW w:w="392" w:type="pct"/>
            <w:tcBorders>
              <w:top w:val="single" w:sz="4" w:space="0" w:color="auto"/>
              <w:left w:val="nil"/>
              <w:bottom w:val="single" w:sz="4" w:space="0" w:color="auto"/>
              <w:right w:val="single" w:sz="4" w:space="0" w:color="auto"/>
            </w:tcBorders>
            <w:tcMar>
              <w:left w:w="28" w:type="dxa"/>
              <w:right w:w="28" w:type="dxa"/>
            </w:tcMar>
            <w:vAlign w:val="center"/>
          </w:tcPr>
          <w:p w14:paraId="38B3D7C0" w14:textId="77777777" w:rsidR="004A0123" w:rsidRPr="00640447" w:rsidRDefault="004A0123" w:rsidP="008A5C11">
            <w:pPr>
              <w:jc w:val="center"/>
              <w:rPr>
                <w:sz w:val="12"/>
                <w:szCs w:val="12"/>
              </w:rPr>
            </w:pPr>
            <w:r w:rsidRPr="00640447">
              <w:rPr>
                <w:sz w:val="12"/>
                <w:szCs w:val="12"/>
              </w:rPr>
              <w:t>0</w:t>
            </w:r>
          </w:p>
        </w:tc>
        <w:tc>
          <w:tcPr>
            <w:tcW w:w="662" w:type="pct"/>
            <w:tcBorders>
              <w:top w:val="single" w:sz="4" w:space="0" w:color="auto"/>
              <w:left w:val="nil"/>
              <w:bottom w:val="single" w:sz="4" w:space="0" w:color="auto"/>
              <w:right w:val="single" w:sz="4" w:space="0" w:color="auto"/>
            </w:tcBorders>
            <w:tcMar>
              <w:left w:w="28" w:type="dxa"/>
              <w:right w:w="28" w:type="dxa"/>
            </w:tcMar>
            <w:vAlign w:val="center"/>
          </w:tcPr>
          <w:p w14:paraId="6668C05B" w14:textId="77777777" w:rsidR="004A0123" w:rsidRPr="00640447" w:rsidRDefault="004A0123" w:rsidP="008A5C11">
            <w:pPr>
              <w:jc w:val="center"/>
              <w:rPr>
                <w:bCs/>
                <w:sz w:val="12"/>
                <w:szCs w:val="12"/>
              </w:rPr>
            </w:pPr>
            <w:r w:rsidRPr="00640447">
              <w:rPr>
                <w:bCs/>
                <w:sz w:val="12"/>
                <w:szCs w:val="12"/>
              </w:rPr>
              <w:t>бюджетные средства</w:t>
            </w:r>
          </w:p>
        </w:tc>
      </w:tr>
      <w:tr w:rsidR="004A0123" w:rsidRPr="00640447" w14:paraId="5C70459A" w14:textId="77777777" w:rsidTr="008A5C11">
        <w:trPr>
          <w:gridAfter w:val="2"/>
          <w:wAfter w:w="669" w:type="pct"/>
          <w:trHeight w:val="213"/>
        </w:trPr>
        <w:tc>
          <w:tcPr>
            <w:tcW w:w="226" w:type="pct"/>
            <w:vMerge/>
            <w:tcBorders>
              <w:left w:val="single" w:sz="4" w:space="0" w:color="auto"/>
              <w:bottom w:val="single" w:sz="4" w:space="0" w:color="auto"/>
              <w:right w:val="single" w:sz="4" w:space="0" w:color="auto"/>
            </w:tcBorders>
            <w:tcMar>
              <w:left w:w="28" w:type="dxa"/>
              <w:right w:w="28" w:type="dxa"/>
            </w:tcMar>
            <w:vAlign w:val="center"/>
          </w:tcPr>
          <w:p w14:paraId="64A76203" w14:textId="77777777" w:rsidR="004A0123" w:rsidRPr="00640447" w:rsidRDefault="004A0123" w:rsidP="008A5C11">
            <w:pPr>
              <w:jc w:val="center"/>
              <w:rPr>
                <w:bCs/>
                <w:sz w:val="12"/>
                <w:szCs w:val="12"/>
              </w:rPr>
            </w:pPr>
          </w:p>
        </w:tc>
        <w:tc>
          <w:tcPr>
            <w:tcW w:w="1315" w:type="pct"/>
            <w:vMerge/>
            <w:tcBorders>
              <w:left w:val="single" w:sz="4" w:space="0" w:color="auto"/>
              <w:bottom w:val="single" w:sz="4" w:space="0" w:color="auto"/>
              <w:right w:val="single" w:sz="4" w:space="0" w:color="auto"/>
            </w:tcBorders>
            <w:tcMar>
              <w:left w:w="28" w:type="dxa"/>
              <w:right w:w="28" w:type="dxa"/>
            </w:tcMar>
            <w:vAlign w:val="center"/>
          </w:tcPr>
          <w:p w14:paraId="0467F82B" w14:textId="77777777" w:rsidR="004A0123" w:rsidRPr="00640447" w:rsidRDefault="004A0123" w:rsidP="008A5C11">
            <w:pPr>
              <w:jc w:val="center"/>
              <w:rPr>
                <w:bCs/>
                <w:sz w:val="12"/>
                <w:szCs w:val="12"/>
              </w:rPr>
            </w:pPr>
          </w:p>
        </w:tc>
        <w:tc>
          <w:tcPr>
            <w:tcW w:w="309" w:type="pct"/>
            <w:vMerge/>
            <w:tcBorders>
              <w:left w:val="nil"/>
              <w:bottom w:val="single" w:sz="4" w:space="0" w:color="auto"/>
              <w:right w:val="single" w:sz="4" w:space="0" w:color="auto"/>
            </w:tcBorders>
            <w:shd w:val="clear" w:color="auto" w:fill="auto"/>
            <w:noWrap/>
            <w:tcMar>
              <w:left w:w="28" w:type="dxa"/>
              <w:right w:w="28" w:type="dxa"/>
            </w:tcMar>
            <w:vAlign w:val="center"/>
          </w:tcPr>
          <w:p w14:paraId="23A82C64" w14:textId="77777777" w:rsidR="004A0123" w:rsidRPr="00640447" w:rsidRDefault="004A0123" w:rsidP="008A5C11">
            <w:pPr>
              <w:jc w:val="center"/>
              <w:rPr>
                <w:bCs/>
                <w:sz w:val="12"/>
                <w:szCs w:val="12"/>
              </w:rPr>
            </w:pPr>
          </w:p>
        </w:tc>
        <w:tc>
          <w:tcPr>
            <w:tcW w:w="313" w:type="pct"/>
            <w:vMerge/>
            <w:tcBorders>
              <w:left w:val="nil"/>
              <w:bottom w:val="single" w:sz="4" w:space="0" w:color="auto"/>
              <w:right w:val="single" w:sz="4" w:space="0" w:color="auto"/>
            </w:tcBorders>
            <w:shd w:val="clear" w:color="auto" w:fill="auto"/>
            <w:noWrap/>
            <w:tcMar>
              <w:left w:w="28" w:type="dxa"/>
              <w:right w:w="28" w:type="dxa"/>
            </w:tcMar>
            <w:vAlign w:val="center"/>
          </w:tcPr>
          <w:p w14:paraId="05BBB699" w14:textId="77777777" w:rsidR="004A0123" w:rsidRPr="00640447" w:rsidRDefault="004A0123" w:rsidP="008A5C11">
            <w:pPr>
              <w:jc w:val="center"/>
              <w:rPr>
                <w:bCs/>
                <w:sz w:val="12"/>
                <w:szCs w:val="12"/>
              </w:rPr>
            </w:pPr>
          </w:p>
        </w:tc>
        <w:tc>
          <w:tcPr>
            <w:tcW w:w="322" w:type="pct"/>
            <w:vMerge/>
            <w:tcBorders>
              <w:left w:val="nil"/>
              <w:bottom w:val="single" w:sz="4" w:space="0" w:color="auto"/>
              <w:right w:val="single" w:sz="4" w:space="0" w:color="auto"/>
            </w:tcBorders>
            <w:shd w:val="clear" w:color="auto" w:fill="auto"/>
            <w:noWrap/>
            <w:tcMar>
              <w:left w:w="28" w:type="dxa"/>
              <w:right w:w="28" w:type="dxa"/>
            </w:tcMar>
            <w:vAlign w:val="center"/>
          </w:tcPr>
          <w:p w14:paraId="0D58BCE3" w14:textId="77777777" w:rsidR="004A0123" w:rsidRPr="00640447" w:rsidRDefault="004A0123" w:rsidP="008A5C11">
            <w:pPr>
              <w:jc w:val="center"/>
              <w:rPr>
                <w:bCs/>
                <w:sz w:val="12"/>
                <w:szCs w:val="12"/>
              </w:rPr>
            </w:pPr>
          </w:p>
        </w:tc>
        <w:tc>
          <w:tcPr>
            <w:tcW w:w="335" w:type="pct"/>
            <w:vMerge/>
            <w:tcBorders>
              <w:left w:val="nil"/>
              <w:bottom w:val="single" w:sz="4" w:space="0" w:color="auto"/>
              <w:right w:val="single" w:sz="4" w:space="0" w:color="auto"/>
            </w:tcBorders>
            <w:shd w:val="clear" w:color="auto" w:fill="auto"/>
            <w:noWrap/>
            <w:tcMar>
              <w:left w:w="28" w:type="dxa"/>
              <w:right w:w="28" w:type="dxa"/>
            </w:tcMar>
            <w:vAlign w:val="center"/>
          </w:tcPr>
          <w:p w14:paraId="205317E0" w14:textId="77777777" w:rsidR="004A0123" w:rsidRPr="00640447" w:rsidRDefault="004A0123" w:rsidP="008A5C11">
            <w:pPr>
              <w:jc w:val="center"/>
              <w:rPr>
                <w:bCs/>
                <w:sz w:val="12"/>
                <w:szCs w:val="12"/>
              </w:rPr>
            </w:pPr>
          </w:p>
        </w:tc>
        <w:tc>
          <w:tcPr>
            <w:tcW w:w="457" w:type="pct"/>
            <w:tcBorders>
              <w:top w:val="single" w:sz="4" w:space="0" w:color="auto"/>
              <w:left w:val="nil"/>
              <w:bottom w:val="single" w:sz="4" w:space="0" w:color="auto"/>
              <w:right w:val="single" w:sz="4" w:space="0" w:color="auto"/>
            </w:tcBorders>
            <w:tcMar>
              <w:left w:w="28" w:type="dxa"/>
              <w:right w:w="28" w:type="dxa"/>
            </w:tcMar>
            <w:vAlign w:val="center"/>
          </w:tcPr>
          <w:p w14:paraId="2EC7A3D3" w14:textId="77777777" w:rsidR="004A0123" w:rsidRPr="00640447" w:rsidRDefault="004A0123" w:rsidP="008A5C11">
            <w:pPr>
              <w:jc w:val="center"/>
              <w:rPr>
                <w:sz w:val="12"/>
                <w:szCs w:val="12"/>
              </w:rPr>
            </w:pPr>
            <w:r w:rsidRPr="00640447">
              <w:rPr>
                <w:sz w:val="12"/>
                <w:szCs w:val="12"/>
              </w:rPr>
              <w:t>0</w:t>
            </w:r>
          </w:p>
        </w:tc>
        <w:tc>
          <w:tcPr>
            <w:tcW w:w="392" w:type="pct"/>
            <w:tcBorders>
              <w:top w:val="single" w:sz="4" w:space="0" w:color="auto"/>
              <w:left w:val="nil"/>
              <w:bottom w:val="single" w:sz="4" w:space="0" w:color="auto"/>
              <w:right w:val="single" w:sz="4" w:space="0" w:color="auto"/>
            </w:tcBorders>
            <w:tcMar>
              <w:left w:w="28" w:type="dxa"/>
              <w:right w:w="28" w:type="dxa"/>
            </w:tcMar>
            <w:vAlign w:val="center"/>
          </w:tcPr>
          <w:p w14:paraId="3BE49903" w14:textId="77777777" w:rsidR="004A0123" w:rsidRPr="00640447" w:rsidRDefault="004A0123" w:rsidP="008A5C11">
            <w:pPr>
              <w:jc w:val="center"/>
              <w:rPr>
                <w:sz w:val="12"/>
                <w:szCs w:val="12"/>
              </w:rPr>
            </w:pPr>
            <w:r w:rsidRPr="00640447">
              <w:rPr>
                <w:sz w:val="12"/>
                <w:szCs w:val="12"/>
              </w:rPr>
              <w:t>1560</w:t>
            </w:r>
          </w:p>
        </w:tc>
        <w:tc>
          <w:tcPr>
            <w:tcW w:w="662" w:type="pct"/>
            <w:tcBorders>
              <w:top w:val="single" w:sz="4" w:space="0" w:color="auto"/>
              <w:left w:val="nil"/>
              <w:bottom w:val="single" w:sz="4" w:space="0" w:color="auto"/>
              <w:right w:val="single" w:sz="4" w:space="0" w:color="auto"/>
            </w:tcBorders>
            <w:tcMar>
              <w:left w:w="28" w:type="dxa"/>
              <w:right w:w="28" w:type="dxa"/>
            </w:tcMar>
            <w:vAlign w:val="center"/>
          </w:tcPr>
          <w:p w14:paraId="4BCEED3E" w14:textId="77777777" w:rsidR="004A0123" w:rsidRPr="00640447" w:rsidRDefault="004A0123" w:rsidP="008A5C11">
            <w:pPr>
              <w:jc w:val="center"/>
              <w:rPr>
                <w:bCs/>
                <w:sz w:val="12"/>
                <w:szCs w:val="12"/>
              </w:rPr>
            </w:pPr>
            <w:r w:rsidRPr="00640447">
              <w:rPr>
                <w:bCs/>
                <w:sz w:val="12"/>
                <w:szCs w:val="12"/>
              </w:rPr>
              <w:t>собственные средства</w:t>
            </w:r>
          </w:p>
        </w:tc>
      </w:tr>
      <w:tr w:rsidR="004A0123" w:rsidRPr="00640447" w14:paraId="1333FBA9" w14:textId="77777777" w:rsidTr="008A5C11">
        <w:trPr>
          <w:gridAfter w:val="2"/>
          <w:wAfter w:w="669" w:type="pct"/>
          <w:trHeight w:val="213"/>
        </w:trPr>
        <w:tc>
          <w:tcPr>
            <w:tcW w:w="226" w:type="pct"/>
            <w:vMerge w:val="restart"/>
            <w:tcBorders>
              <w:left w:val="single" w:sz="4" w:space="0" w:color="auto"/>
              <w:right w:val="single" w:sz="4" w:space="0" w:color="auto"/>
            </w:tcBorders>
            <w:tcMar>
              <w:left w:w="28" w:type="dxa"/>
              <w:right w:w="28" w:type="dxa"/>
            </w:tcMar>
            <w:vAlign w:val="center"/>
          </w:tcPr>
          <w:p w14:paraId="5A2B1C3B" w14:textId="77777777" w:rsidR="004A0123" w:rsidRPr="00640447" w:rsidRDefault="004A0123" w:rsidP="008A5C11">
            <w:pPr>
              <w:jc w:val="center"/>
              <w:rPr>
                <w:bCs/>
                <w:sz w:val="12"/>
                <w:szCs w:val="12"/>
              </w:rPr>
            </w:pPr>
            <w:r w:rsidRPr="00640447">
              <w:rPr>
                <w:bCs/>
                <w:sz w:val="12"/>
                <w:szCs w:val="12"/>
              </w:rPr>
              <w:t>2.3.</w:t>
            </w:r>
          </w:p>
        </w:tc>
        <w:tc>
          <w:tcPr>
            <w:tcW w:w="1315" w:type="pct"/>
            <w:vMerge w:val="restart"/>
            <w:tcBorders>
              <w:left w:val="single" w:sz="4" w:space="0" w:color="auto"/>
              <w:right w:val="single" w:sz="4" w:space="0" w:color="auto"/>
            </w:tcBorders>
            <w:tcMar>
              <w:left w:w="28" w:type="dxa"/>
              <w:right w:w="28" w:type="dxa"/>
            </w:tcMar>
            <w:vAlign w:val="center"/>
          </w:tcPr>
          <w:p w14:paraId="42E6E3DE" w14:textId="77777777" w:rsidR="004A0123" w:rsidRPr="00640447" w:rsidRDefault="004A0123" w:rsidP="008A5C11">
            <w:pPr>
              <w:jc w:val="center"/>
              <w:rPr>
                <w:bCs/>
                <w:sz w:val="12"/>
                <w:szCs w:val="12"/>
              </w:rPr>
            </w:pPr>
            <w:r w:rsidRPr="00640447">
              <w:rPr>
                <w:bCs/>
                <w:sz w:val="12"/>
                <w:szCs w:val="12"/>
              </w:rPr>
              <w:t>Реконструкция теплосетевого комплекса центрального планировочного района: Закрытие котельной № 14 и №1 с переключением тепловых нагрузок на котельную «Центральная»</w:t>
            </w:r>
          </w:p>
        </w:tc>
        <w:tc>
          <w:tcPr>
            <w:tcW w:w="309" w:type="pct"/>
            <w:vMerge w:val="restart"/>
            <w:tcBorders>
              <w:left w:val="nil"/>
              <w:right w:val="single" w:sz="4" w:space="0" w:color="auto"/>
            </w:tcBorders>
            <w:shd w:val="clear" w:color="auto" w:fill="auto"/>
            <w:noWrap/>
            <w:tcMar>
              <w:left w:w="28" w:type="dxa"/>
              <w:right w:w="28" w:type="dxa"/>
            </w:tcMar>
            <w:vAlign w:val="center"/>
          </w:tcPr>
          <w:p w14:paraId="2EC08CB9" w14:textId="77777777" w:rsidR="004A0123" w:rsidRPr="00640447" w:rsidRDefault="004A0123" w:rsidP="008A5C11">
            <w:pPr>
              <w:jc w:val="center"/>
              <w:rPr>
                <w:bCs/>
                <w:sz w:val="12"/>
                <w:szCs w:val="12"/>
              </w:rPr>
            </w:pPr>
            <w:r w:rsidRPr="00640447">
              <w:rPr>
                <w:bCs/>
                <w:sz w:val="12"/>
                <w:szCs w:val="12"/>
              </w:rPr>
              <w:t>2021</w:t>
            </w:r>
          </w:p>
        </w:tc>
        <w:tc>
          <w:tcPr>
            <w:tcW w:w="313" w:type="pct"/>
            <w:vMerge w:val="restart"/>
            <w:tcBorders>
              <w:left w:val="nil"/>
              <w:right w:val="single" w:sz="4" w:space="0" w:color="auto"/>
            </w:tcBorders>
            <w:shd w:val="clear" w:color="auto" w:fill="auto"/>
            <w:noWrap/>
            <w:tcMar>
              <w:left w:w="28" w:type="dxa"/>
              <w:right w:w="28" w:type="dxa"/>
            </w:tcMar>
            <w:vAlign w:val="center"/>
          </w:tcPr>
          <w:p w14:paraId="2BE35D37" w14:textId="77777777" w:rsidR="004A0123" w:rsidRPr="00640447" w:rsidRDefault="004A0123" w:rsidP="008A5C11">
            <w:pPr>
              <w:jc w:val="center"/>
              <w:rPr>
                <w:bCs/>
                <w:sz w:val="12"/>
                <w:szCs w:val="12"/>
              </w:rPr>
            </w:pPr>
            <w:r w:rsidRPr="00640447">
              <w:rPr>
                <w:bCs/>
                <w:sz w:val="12"/>
                <w:szCs w:val="12"/>
              </w:rPr>
              <w:t>202</w:t>
            </w:r>
          </w:p>
        </w:tc>
        <w:tc>
          <w:tcPr>
            <w:tcW w:w="322" w:type="pct"/>
            <w:vMerge w:val="restart"/>
            <w:tcBorders>
              <w:left w:val="nil"/>
              <w:right w:val="single" w:sz="4" w:space="0" w:color="auto"/>
            </w:tcBorders>
            <w:shd w:val="clear" w:color="auto" w:fill="auto"/>
            <w:noWrap/>
            <w:tcMar>
              <w:left w:w="28" w:type="dxa"/>
              <w:right w:w="28" w:type="dxa"/>
            </w:tcMar>
            <w:vAlign w:val="center"/>
          </w:tcPr>
          <w:p w14:paraId="4C7BCFCF" w14:textId="77777777" w:rsidR="004A0123" w:rsidRPr="00640447" w:rsidRDefault="004A0123" w:rsidP="008A5C11">
            <w:pPr>
              <w:jc w:val="center"/>
              <w:rPr>
                <w:bCs/>
                <w:sz w:val="12"/>
                <w:szCs w:val="12"/>
              </w:rPr>
            </w:pPr>
            <w:r w:rsidRPr="00640447">
              <w:rPr>
                <w:bCs/>
                <w:sz w:val="12"/>
                <w:szCs w:val="12"/>
              </w:rPr>
              <w:t>2023</w:t>
            </w:r>
          </w:p>
        </w:tc>
        <w:tc>
          <w:tcPr>
            <w:tcW w:w="335" w:type="pct"/>
            <w:vMerge w:val="restart"/>
            <w:tcBorders>
              <w:left w:val="nil"/>
              <w:right w:val="single" w:sz="4" w:space="0" w:color="auto"/>
            </w:tcBorders>
            <w:shd w:val="clear" w:color="auto" w:fill="auto"/>
            <w:noWrap/>
            <w:tcMar>
              <w:left w:w="28" w:type="dxa"/>
              <w:right w:w="28" w:type="dxa"/>
            </w:tcMar>
            <w:vAlign w:val="center"/>
          </w:tcPr>
          <w:p w14:paraId="44E02751" w14:textId="77777777" w:rsidR="004A0123" w:rsidRPr="00640447" w:rsidRDefault="004A0123" w:rsidP="008A5C11">
            <w:pPr>
              <w:jc w:val="center"/>
              <w:rPr>
                <w:bCs/>
                <w:sz w:val="12"/>
                <w:szCs w:val="12"/>
              </w:rPr>
            </w:pPr>
            <w:r w:rsidRPr="00640447">
              <w:rPr>
                <w:bCs/>
                <w:sz w:val="12"/>
                <w:szCs w:val="12"/>
              </w:rPr>
              <w:t>2023</w:t>
            </w:r>
          </w:p>
        </w:tc>
        <w:tc>
          <w:tcPr>
            <w:tcW w:w="457" w:type="pct"/>
            <w:tcBorders>
              <w:top w:val="single" w:sz="4" w:space="0" w:color="auto"/>
              <w:left w:val="nil"/>
              <w:bottom w:val="single" w:sz="4" w:space="0" w:color="auto"/>
              <w:right w:val="single" w:sz="4" w:space="0" w:color="auto"/>
            </w:tcBorders>
            <w:tcMar>
              <w:left w:w="28" w:type="dxa"/>
              <w:right w:w="28" w:type="dxa"/>
            </w:tcMar>
            <w:vAlign w:val="center"/>
          </w:tcPr>
          <w:p w14:paraId="66513693" w14:textId="77777777" w:rsidR="004A0123" w:rsidRPr="00640447" w:rsidRDefault="004A0123" w:rsidP="008A5C11">
            <w:pPr>
              <w:jc w:val="center"/>
              <w:rPr>
                <w:sz w:val="12"/>
                <w:szCs w:val="12"/>
              </w:rPr>
            </w:pPr>
            <w:r w:rsidRPr="00640447">
              <w:rPr>
                <w:sz w:val="12"/>
                <w:szCs w:val="12"/>
              </w:rPr>
              <w:t>0</w:t>
            </w:r>
          </w:p>
        </w:tc>
        <w:tc>
          <w:tcPr>
            <w:tcW w:w="392" w:type="pct"/>
            <w:tcBorders>
              <w:top w:val="single" w:sz="4" w:space="0" w:color="auto"/>
              <w:left w:val="nil"/>
              <w:bottom w:val="single" w:sz="4" w:space="0" w:color="auto"/>
              <w:right w:val="single" w:sz="4" w:space="0" w:color="auto"/>
            </w:tcBorders>
            <w:tcMar>
              <w:left w:w="28" w:type="dxa"/>
              <w:right w:w="28" w:type="dxa"/>
            </w:tcMar>
            <w:vAlign w:val="center"/>
          </w:tcPr>
          <w:p w14:paraId="54A791AC" w14:textId="77777777" w:rsidR="004A0123" w:rsidRPr="00640447" w:rsidRDefault="004A0123" w:rsidP="008A5C11">
            <w:pPr>
              <w:jc w:val="center"/>
              <w:rPr>
                <w:sz w:val="12"/>
                <w:szCs w:val="12"/>
              </w:rPr>
            </w:pPr>
            <w:r w:rsidRPr="00640447">
              <w:rPr>
                <w:sz w:val="12"/>
                <w:szCs w:val="12"/>
              </w:rPr>
              <w:t>0</w:t>
            </w:r>
          </w:p>
        </w:tc>
        <w:tc>
          <w:tcPr>
            <w:tcW w:w="662" w:type="pct"/>
            <w:tcBorders>
              <w:top w:val="single" w:sz="4" w:space="0" w:color="auto"/>
              <w:left w:val="nil"/>
              <w:bottom w:val="single" w:sz="4" w:space="0" w:color="auto"/>
              <w:right w:val="single" w:sz="4" w:space="0" w:color="auto"/>
            </w:tcBorders>
            <w:tcMar>
              <w:left w:w="28" w:type="dxa"/>
              <w:right w:w="28" w:type="dxa"/>
            </w:tcMar>
            <w:vAlign w:val="center"/>
          </w:tcPr>
          <w:p w14:paraId="3B8C5F62" w14:textId="77777777" w:rsidR="004A0123" w:rsidRPr="00640447" w:rsidRDefault="004A0123" w:rsidP="008A5C11">
            <w:pPr>
              <w:jc w:val="center"/>
              <w:rPr>
                <w:bCs/>
                <w:sz w:val="12"/>
                <w:szCs w:val="12"/>
              </w:rPr>
            </w:pPr>
            <w:r w:rsidRPr="00640447">
              <w:rPr>
                <w:bCs/>
                <w:sz w:val="12"/>
                <w:szCs w:val="12"/>
              </w:rPr>
              <w:t>бюджетные средства</w:t>
            </w:r>
          </w:p>
        </w:tc>
      </w:tr>
      <w:tr w:rsidR="004A0123" w:rsidRPr="00640447" w14:paraId="01F5C6D0" w14:textId="77777777" w:rsidTr="008A5C11">
        <w:trPr>
          <w:gridAfter w:val="2"/>
          <w:wAfter w:w="669" w:type="pct"/>
          <w:trHeight w:val="213"/>
        </w:trPr>
        <w:tc>
          <w:tcPr>
            <w:tcW w:w="226" w:type="pct"/>
            <w:vMerge/>
            <w:tcBorders>
              <w:left w:val="single" w:sz="4" w:space="0" w:color="auto"/>
              <w:bottom w:val="single" w:sz="4" w:space="0" w:color="auto"/>
              <w:right w:val="single" w:sz="4" w:space="0" w:color="auto"/>
            </w:tcBorders>
            <w:tcMar>
              <w:left w:w="28" w:type="dxa"/>
              <w:right w:w="28" w:type="dxa"/>
            </w:tcMar>
            <w:vAlign w:val="center"/>
          </w:tcPr>
          <w:p w14:paraId="4C4A39B1" w14:textId="77777777" w:rsidR="004A0123" w:rsidRPr="00640447" w:rsidRDefault="004A0123" w:rsidP="008A5C11">
            <w:pPr>
              <w:jc w:val="center"/>
              <w:rPr>
                <w:bCs/>
                <w:sz w:val="12"/>
                <w:szCs w:val="12"/>
              </w:rPr>
            </w:pPr>
          </w:p>
        </w:tc>
        <w:tc>
          <w:tcPr>
            <w:tcW w:w="1315" w:type="pct"/>
            <w:vMerge/>
            <w:tcBorders>
              <w:left w:val="single" w:sz="4" w:space="0" w:color="auto"/>
              <w:bottom w:val="single" w:sz="4" w:space="0" w:color="auto"/>
              <w:right w:val="single" w:sz="4" w:space="0" w:color="auto"/>
            </w:tcBorders>
            <w:tcMar>
              <w:left w:w="28" w:type="dxa"/>
              <w:right w:w="28" w:type="dxa"/>
            </w:tcMar>
            <w:vAlign w:val="center"/>
          </w:tcPr>
          <w:p w14:paraId="56941716" w14:textId="77777777" w:rsidR="004A0123" w:rsidRPr="00640447" w:rsidRDefault="004A0123" w:rsidP="008A5C11">
            <w:pPr>
              <w:jc w:val="center"/>
              <w:rPr>
                <w:bCs/>
                <w:sz w:val="12"/>
                <w:szCs w:val="12"/>
              </w:rPr>
            </w:pPr>
          </w:p>
        </w:tc>
        <w:tc>
          <w:tcPr>
            <w:tcW w:w="309" w:type="pct"/>
            <w:vMerge/>
            <w:tcBorders>
              <w:left w:val="nil"/>
              <w:bottom w:val="single" w:sz="4" w:space="0" w:color="auto"/>
              <w:right w:val="single" w:sz="4" w:space="0" w:color="auto"/>
            </w:tcBorders>
            <w:shd w:val="clear" w:color="auto" w:fill="auto"/>
            <w:noWrap/>
            <w:tcMar>
              <w:left w:w="28" w:type="dxa"/>
              <w:right w:w="28" w:type="dxa"/>
            </w:tcMar>
            <w:vAlign w:val="center"/>
          </w:tcPr>
          <w:p w14:paraId="0A469464" w14:textId="77777777" w:rsidR="004A0123" w:rsidRPr="00640447" w:rsidRDefault="004A0123" w:rsidP="008A5C11">
            <w:pPr>
              <w:jc w:val="center"/>
              <w:rPr>
                <w:bCs/>
                <w:sz w:val="12"/>
                <w:szCs w:val="12"/>
              </w:rPr>
            </w:pPr>
          </w:p>
        </w:tc>
        <w:tc>
          <w:tcPr>
            <w:tcW w:w="313" w:type="pct"/>
            <w:vMerge/>
            <w:tcBorders>
              <w:left w:val="nil"/>
              <w:bottom w:val="single" w:sz="4" w:space="0" w:color="auto"/>
              <w:right w:val="single" w:sz="4" w:space="0" w:color="auto"/>
            </w:tcBorders>
            <w:shd w:val="clear" w:color="auto" w:fill="auto"/>
            <w:noWrap/>
            <w:tcMar>
              <w:left w:w="28" w:type="dxa"/>
              <w:right w:w="28" w:type="dxa"/>
            </w:tcMar>
            <w:vAlign w:val="center"/>
          </w:tcPr>
          <w:p w14:paraId="50B77B4C" w14:textId="77777777" w:rsidR="004A0123" w:rsidRPr="00640447" w:rsidRDefault="004A0123" w:rsidP="008A5C11">
            <w:pPr>
              <w:jc w:val="center"/>
              <w:rPr>
                <w:bCs/>
                <w:sz w:val="12"/>
                <w:szCs w:val="12"/>
              </w:rPr>
            </w:pPr>
          </w:p>
        </w:tc>
        <w:tc>
          <w:tcPr>
            <w:tcW w:w="322" w:type="pct"/>
            <w:vMerge/>
            <w:tcBorders>
              <w:left w:val="nil"/>
              <w:bottom w:val="single" w:sz="4" w:space="0" w:color="auto"/>
              <w:right w:val="single" w:sz="4" w:space="0" w:color="auto"/>
            </w:tcBorders>
            <w:shd w:val="clear" w:color="auto" w:fill="auto"/>
            <w:noWrap/>
            <w:tcMar>
              <w:left w:w="28" w:type="dxa"/>
              <w:right w:w="28" w:type="dxa"/>
            </w:tcMar>
            <w:vAlign w:val="center"/>
          </w:tcPr>
          <w:p w14:paraId="2A01EA94" w14:textId="77777777" w:rsidR="004A0123" w:rsidRPr="00640447" w:rsidRDefault="004A0123" w:rsidP="008A5C11">
            <w:pPr>
              <w:jc w:val="center"/>
              <w:rPr>
                <w:bCs/>
                <w:sz w:val="12"/>
                <w:szCs w:val="12"/>
              </w:rPr>
            </w:pPr>
          </w:p>
        </w:tc>
        <w:tc>
          <w:tcPr>
            <w:tcW w:w="335" w:type="pct"/>
            <w:vMerge/>
            <w:tcBorders>
              <w:left w:val="nil"/>
              <w:bottom w:val="single" w:sz="4" w:space="0" w:color="auto"/>
              <w:right w:val="single" w:sz="4" w:space="0" w:color="auto"/>
            </w:tcBorders>
            <w:shd w:val="clear" w:color="auto" w:fill="auto"/>
            <w:noWrap/>
            <w:tcMar>
              <w:left w:w="28" w:type="dxa"/>
              <w:right w:w="28" w:type="dxa"/>
            </w:tcMar>
            <w:vAlign w:val="center"/>
          </w:tcPr>
          <w:p w14:paraId="2690ECAF" w14:textId="77777777" w:rsidR="004A0123" w:rsidRPr="00640447" w:rsidRDefault="004A0123" w:rsidP="008A5C11">
            <w:pPr>
              <w:jc w:val="center"/>
              <w:rPr>
                <w:bCs/>
                <w:sz w:val="12"/>
                <w:szCs w:val="12"/>
              </w:rPr>
            </w:pPr>
          </w:p>
        </w:tc>
        <w:tc>
          <w:tcPr>
            <w:tcW w:w="457" w:type="pct"/>
            <w:tcBorders>
              <w:top w:val="single" w:sz="4" w:space="0" w:color="auto"/>
              <w:left w:val="nil"/>
              <w:bottom w:val="single" w:sz="4" w:space="0" w:color="auto"/>
              <w:right w:val="single" w:sz="4" w:space="0" w:color="auto"/>
            </w:tcBorders>
            <w:tcMar>
              <w:left w:w="28" w:type="dxa"/>
              <w:right w:w="28" w:type="dxa"/>
            </w:tcMar>
            <w:vAlign w:val="center"/>
          </w:tcPr>
          <w:p w14:paraId="20D4C2E7" w14:textId="77777777" w:rsidR="004A0123" w:rsidRPr="00640447" w:rsidRDefault="004A0123" w:rsidP="008A5C11">
            <w:pPr>
              <w:jc w:val="center"/>
              <w:rPr>
                <w:sz w:val="12"/>
                <w:szCs w:val="12"/>
              </w:rPr>
            </w:pPr>
            <w:r w:rsidRPr="00640447">
              <w:rPr>
                <w:sz w:val="12"/>
                <w:szCs w:val="12"/>
              </w:rPr>
              <w:t>0</w:t>
            </w:r>
          </w:p>
        </w:tc>
        <w:tc>
          <w:tcPr>
            <w:tcW w:w="392" w:type="pct"/>
            <w:tcBorders>
              <w:top w:val="single" w:sz="4" w:space="0" w:color="auto"/>
              <w:left w:val="nil"/>
              <w:bottom w:val="single" w:sz="4" w:space="0" w:color="auto"/>
              <w:right w:val="single" w:sz="4" w:space="0" w:color="auto"/>
            </w:tcBorders>
            <w:tcMar>
              <w:left w:w="28" w:type="dxa"/>
              <w:right w:w="28" w:type="dxa"/>
            </w:tcMar>
            <w:vAlign w:val="center"/>
          </w:tcPr>
          <w:p w14:paraId="1D45DCC8" w14:textId="77777777" w:rsidR="004A0123" w:rsidRPr="00640447" w:rsidRDefault="004A0123" w:rsidP="008A5C11">
            <w:pPr>
              <w:jc w:val="center"/>
              <w:rPr>
                <w:sz w:val="12"/>
                <w:szCs w:val="12"/>
              </w:rPr>
            </w:pPr>
            <w:r w:rsidRPr="00640447">
              <w:rPr>
                <w:sz w:val="12"/>
                <w:szCs w:val="12"/>
              </w:rPr>
              <w:t>8</w:t>
            </w:r>
          </w:p>
        </w:tc>
        <w:tc>
          <w:tcPr>
            <w:tcW w:w="662" w:type="pct"/>
            <w:tcBorders>
              <w:top w:val="single" w:sz="4" w:space="0" w:color="auto"/>
              <w:left w:val="nil"/>
              <w:bottom w:val="single" w:sz="4" w:space="0" w:color="auto"/>
              <w:right w:val="single" w:sz="4" w:space="0" w:color="auto"/>
            </w:tcBorders>
            <w:tcMar>
              <w:left w:w="28" w:type="dxa"/>
              <w:right w:w="28" w:type="dxa"/>
            </w:tcMar>
            <w:vAlign w:val="center"/>
          </w:tcPr>
          <w:p w14:paraId="1C33955D" w14:textId="77777777" w:rsidR="004A0123" w:rsidRPr="00640447" w:rsidRDefault="004A0123" w:rsidP="008A5C11">
            <w:pPr>
              <w:jc w:val="center"/>
              <w:rPr>
                <w:bCs/>
                <w:sz w:val="12"/>
                <w:szCs w:val="12"/>
              </w:rPr>
            </w:pPr>
            <w:r w:rsidRPr="00640447">
              <w:rPr>
                <w:bCs/>
                <w:sz w:val="12"/>
                <w:szCs w:val="12"/>
              </w:rPr>
              <w:t>собственные средства</w:t>
            </w:r>
          </w:p>
        </w:tc>
      </w:tr>
      <w:tr w:rsidR="004A0123" w:rsidRPr="00640447" w14:paraId="22241184" w14:textId="77777777" w:rsidTr="008A5C11">
        <w:trPr>
          <w:trHeight w:val="92"/>
        </w:trPr>
        <w:tc>
          <w:tcPr>
            <w:tcW w:w="2820" w:type="pct"/>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CD8CB9D" w14:textId="77777777" w:rsidR="004A0123" w:rsidRPr="00640447" w:rsidRDefault="004A0123" w:rsidP="008A5C11">
            <w:pPr>
              <w:rPr>
                <w:bCs/>
                <w:sz w:val="12"/>
                <w:szCs w:val="12"/>
              </w:rPr>
            </w:pPr>
            <w:r w:rsidRPr="00640447">
              <w:rPr>
                <w:bCs/>
                <w:sz w:val="12"/>
                <w:szCs w:val="12"/>
              </w:rPr>
              <w:t>Всего по группе 2.</w:t>
            </w:r>
          </w:p>
        </w:tc>
        <w:tc>
          <w:tcPr>
            <w:tcW w:w="457" w:type="pct"/>
            <w:tcBorders>
              <w:top w:val="single" w:sz="4" w:space="0" w:color="auto"/>
              <w:left w:val="nil"/>
              <w:bottom w:val="single" w:sz="4" w:space="0" w:color="auto"/>
              <w:right w:val="single" w:sz="4" w:space="0" w:color="auto"/>
            </w:tcBorders>
            <w:tcMar>
              <w:left w:w="28" w:type="dxa"/>
              <w:right w:w="28" w:type="dxa"/>
            </w:tcMar>
            <w:vAlign w:val="center"/>
          </w:tcPr>
          <w:p w14:paraId="34082CC4" w14:textId="77777777" w:rsidR="004A0123" w:rsidRPr="00640447" w:rsidRDefault="004A0123" w:rsidP="008A5C11">
            <w:pPr>
              <w:jc w:val="center"/>
              <w:rPr>
                <w:sz w:val="12"/>
                <w:szCs w:val="12"/>
              </w:rPr>
            </w:pPr>
            <w:r w:rsidRPr="00640447">
              <w:rPr>
                <w:sz w:val="12"/>
                <w:szCs w:val="12"/>
              </w:rPr>
              <w:t>36063</w:t>
            </w:r>
          </w:p>
        </w:tc>
        <w:tc>
          <w:tcPr>
            <w:tcW w:w="392" w:type="pct"/>
            <w:tcBorders>
              <w:top w:val="single" w:sz="4" w:space="0" w:color="auto"/>
              <w:left w:val="nil"/>
              <w:bottom w:val="single" w:sz="4" w:space="0" w:color="auto"/>
              <w:right w:val="single" w:sz="4" w:space="0" w:color="auto"/>
            </w:tcBorders>
            <w:tcMar>
              <w:left w:w="28" w:type="dxa"/>
              <w:right w:w="28" w:type="dxa"/>
            </w:tcMar>
            <w:vAlign w:val="center"/>
          </w:tcPr>
          <w:p w14:paraId="38AA26CE" w14:textId="77777777" w:rsidR="004A0123" w:rsidRPr="00640447" w:rsidRDefault="004A0123" w:rsidP="008A5C11">
            <w:pPr>
              <w:jc w:val="center"/>
              <w:rPr>
                <w:bCs/>
                <w:sz w:val="12"/>
                <w:szCs w:val="12"/>
              </w:rPr>
            </w:pPr>
            <w:r w:rsidRPr="00640447">
              <w:rPr>
                <w:bCs/>
                <w:sz w:val="12"/>
                <w:szCs w:val="12"/>
              </w:rPr>
              <w:t>19591</w:t>
            </w:r>
          </w:p>
        </w:tc>
        <w:tc>
          <w:tcPr>
            <w:tcW w:w="662" w:type="pct"/>
            <w:tcBorders>
              <w:top w:val="single" w:sz="4" w:space="0" w:color="auto"/>
              <w:left w:val="nil"/>
              <w:bottom w:val="single" w:sz="4" w:space="0" w:color="auto"/>
              <w:right w:val="single" w:sz="4" w:space="0" w:color="auto"/>
            </w:tcBorders>
            <w:tcMar>
              <w:left w:w="28" w:type="dxa"/>
              <w:right w:w="28" w:type="dxa"/>
            </w:tcMar>
            <w:vAlign w:val="center"/>
          </w:tcPr>
          <w:p w14:paraId="729F913D" w14:textId="77777777" w:rsidR="004A0123" w:rsidRPr="00640447" w:rsidRDefault="004A0123" w:rsidP="008A5C11">
            <w:pPr>
              <w:jc w:val="center"/>
              <w:rPr>
                <w:bCs/>
                <w:sz w:val="12"/>
                <w:szCs w:val="12"/>
              </w:rPr>
            </w:pPr>
          </w:p>
        </w:tc>
        <w:tc>
          <w:tcPr>
            <w:tcW w:w="335" w:type="pct"/>
            <w:vAlign w:val="center"/>
          </w:tcPr>
          <w:p w14:paraId="6E93BA48" w14:textId="77777777" w:rsidR="004A0123" w:rsidRPr="00640447" w:rsidRDefault="004A0123" w:rsidP="008A5C11">
            <w:pPr>
              <w:jc w:val="center"/>
              <w:rPr>
                <w:bCs/>
                <w:sz w:val="12"/>
                <w:szCs w:val="12"/>
              </w:rPr>
            </w:pPr>
          </w:p>
        </w:tc>
        <w:tc>
          <w:tcPr>
            <w:tcW w:w="334" w:type="pct"/>
            <w:vAlign w:val="center"/>
          </w:tcPr>
          <w:p w14:paraId="345E565E" w14:textId="77777777" w:rsidR="004A0123" w:rsidRPr="00640447" w:rsidRDefault="004A0123" w:rsidP="008A5C11">
            <w:pPr>
              <w:jc w:val="center"/>
              <w:rPr>
                <w:bCs/>
                <w:sz w:val="12"/>
                <w:szCs w:val="12"/>
              </w:rPr>
            </w:pPr>
          </w:p>
        </w:tc>
      </w:tr>
      <w:tr w:rsidR="004A0123" w:rsidRPr="00640447" w14:paraId="6A6E4310" w14:textId="77777777" w:rsidTr="008A5C11">
        <w:trPr>
          <w:gridAfter w:val="2"/>
          <w:wAfter w:w="669" w:type="pct"/>
          <w:trHeight w:val="276"/>
        </w:trPr>
        <w:tc>
          <w:tcPr>
            <w:tcW w:w="4331" w:type="pct"/>
            <w:gridSpan w:val="9"/>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CC0C5B9" w14:textId="77777777" w:rsidR="004A0123" w:rsidRPr="00640447" w:rsidRDefault="004A0123" w:rsidP="008A5C11">
            <w:pPr>
              <w:rPr>
                <w:bCs/>
                <w:sz w:val="12"/>
                <w:szCs w:val="12"/>
              </w:rPr>
            </w:pPr>
            <w:r w:rsidRPr="00640447">
              <w:rPr>
                <w:bCs/>
                <w:sz w:val="12"/>
                <w:szCs w:val="12"/>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4A0123" w:rsidRPr="00640447" w14:paraId="2DBEF508" w14:textId="77777777" w:rsidTr="008A5C11">
        <w:trPr>
          <w:gridAfter w:val="2"/>
          <w:wAfter w:w="669" w:type="pct"/>
          <w:trHeight w:val="56"/>
        </w:trPr>
        <w:tc>
          <w:tcPr>
            <w:tcW w:w="4331" w:type="pct"/>
            <w:gridSpan w:val="9"/>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30FBC7E" w14:textId="77777777" w:rsidR="004A0123" w:rsidRPr="00640447" w:rsidRDefault="004A0123" w:rsidP="008A5C11">
            <w:pPr>
              <w:rPr>
                <w:bCs/>
                <w:sz w:val="12"/>
                <w:szCs w:val="12"/>
              </w:rPr>
            </w:pPr>
            <w:r w:rsidRPr="00640447">
              <w:rPr>
                <w:bCs/>
                <w:sz w:val="12"/>
                <w:szCs w:val="12"/>
              </w:rPr>
              <w:t>3.1. Реконструкция или модернизация существующих тепловых сетей</w:t>
            </w:r>
          </w:p>
        </w:tc>
      </w:tr>
      <w:tr w:rsidR="004A0123" w:rsidRPr="00640447" w14:paraId="345CDB43" w14:textId="77777777" w:rsidTr="008A5C11">
        <w:trPr>
          <w:gridAfter w:val="2"/>
          <w:wAfter w:w="669" w:type="pct"/>
          <w:trHeight w:val="56"/>
        </w:trPr>
        <w:tc>
          <w:tcPr>
            <w:tcW w:w="4331" w:type="pct"/>
            <w:gridSpan w:val="9"/>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1CB03C8" w14:textId="77777777" w:rsidR="004A0123" w:rsidRPr="00640447" w:rsidRDefault="004A0123" w:rsidP="008A5C11">
            <w:pPr>
              <w:rPr>
                <w:bCs/>
                <w:sz w:val="12"/>
                <w:szCs w:val="12"/>
              </w:rPr>
            </w:pPr>
            <w:r w:rsidRPr="00640447">
              <w:rPr>
                <w:bCs/>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4A0123" w:rsidRPr="00640447" w14:paraId="393B618B" w14:textId="77777777" w:rsidTr="008A5C11">
        <w:trPr>
          <w:gridAfter w:val="2"/>
          <w:wAfter w:w="669" w:type="pct"/>
          <w:trHeight w:val="162"/>
        </w:trPr>
        <w:tc>
          <w:tcPr>
            <w:tcW w:w="226" w:type="pct"/>
            <w:vMerge w:val="restart"/>
            <w:tcBorders>
              <w:top w:val="single" w:sz="4" w:space="0" w:color="auto"/>
              <w:left w:val="single" w:sz="4" w:space="0" w:color="auto"/>
              <w:right w:val="single" w:sz="4" w:space="0" w:color="auto"/>
            </w:tcBorders>
            <w:tcMar>
              <w:left w:w="28" w:type="dxa"/>
              <w:right w:w="28" w:type="dxa"/>
            </w:tcMar>
            <w:vAlign w:val="center"/>
          </w:tcPr>
          <w:p w14:paraId="69545761" w14:textId="77777777" w:rsidR="004A0123" w:rsidRPr="00640447" w:rsidRDefault="004A0123" w:rsidP="008A5C11">
            <w:pPr>
              <w:jc w:val="center"/>
              <w:rPr>
                <w:bCs/>
                <w:sz w:val="12"/>
                <w:szCs w:val="12"/>
              </w:rPr>
            </w:pPr>
            <w:r w:rsidRPr="00640447">
              <w:rPr>
                <w:bCs/>
                <w:sz w:val="12"/>
                <w:szCs w:val="12"/>
              </w:rPr>
              <w:t>3.2.1.</w:t>
            </w:r>
          </w:p>
        </w:tc>
        <w:tc>
          <w:tcPr>
            <w:tcW w:w="1315" w:type="pct"/>
            <w:vMerge w:val="restart"/>
            <w:tcBorders>
              <w:top w:val="single" w:sz="4" w:space="0" w:color="auto"/>
              <w:left w:val="single" w:sz="4" w:space="0" w:color="auto"/>
              <w:right w:val="single" w:sz="4" w:space="0" w:color="auto"/>
            </w:tcBorders>
            <w:tcMar>
              <w:left w:w="28" w:type="dxa"/>
              <w:right w:w="28" w:type="dxa"/>
            </w:tcMar>
            <w:vAlign w:val="center"/>
          </w:tcPr>
          <w:p w14:paraId="63A90D5C" w14:textId="77777777" w:rsidR="004A0123" w:rsidRPr="00640447" w:rsidRDefault="004A0123" w:rsidP="008A5C11">
            <w:pPr>
              <w:jc w:val="center"/>
              <w:rPr>
                <w:bCs/>
                <w:sz w:val="12"/>
                <w:szCs w:val="12"/>
              </w:rPr>
            </w:pPr>
            <w:r w:rsidRPr="00640447">
              <w:rPr>
                <w:bCs/>
                <w:sz w:val="12"/>
                <w:szCs w:val="12"/>
              </w:rPr>
              <w:t>Котельная «КСК». Реконструкция насосного оборудования, сетевого комплекса</w:t>
            </w:r>
          </w:p>
        </w:tc>
        <w:tc>
          <w:tcPr>
            <w:tcW w:w="309" w:type="pct"/>
            <w:vMerge w:val="restart"/>
            <w:tcBorders>
              <w:top w:val="single" w:sz="4" w:space="0" w:color="auto"/>
              <w:left w:val="nil"/>
              <w:right w:val="single" w:sz="4" w:space="0" w:color="auto"/>
            </w:tcBorders>
            <w:shd w:val="clear" w:color="auto" w:fill="auto"/>
            <w:noWrap/>
            <w:tcMar>
              <w:left w:w="28" w:type="dxa"/>
              <w:right w:w="28" w:type="dxa"/>
            </w:tcMar>
            <w:vAlign w:val="center"/>
          </w:tcPr>
          <w:p w14:paraId="67727C8E" w14:textId="77777777" w:rsidR="004A0123" w:rsidRPr="00640447" w:rsidRDefault="004A0123" w:rsidP="008A5C11">
            <w:pPr>
              <w:jc w:val="center"/>
              <w:rPr>
                <w:bCs/>
                <w:sz w:val="12"/>
                <w:szCs w:val="12"/>
              </w:rPr>
            </w:pPr>
            <w:r w:rsidRPr="00640447">
              <w:rPr>
                <w:bCs/>
                <w:sz w:val="12"/>
                <w:szCs w:val="12"/>
              </w:rPr>
              <w:t>2020</w:t>
            </w:r>
          </w:p>
        </w:tc>
        <w:tc>
          <w:tcPr>
            <w:tcW w:w="313" w:type="pct"/>
            <w:vMerge w:val="restart"/>
            <w:tcBorders>
              <w:top w:val="single" w:sz="4" w:space="0" w:color="auto"/>
              <w:left w:val="nil"/>
              <w:right w:val="single" w:sz="4" w:space="0" w:color="auto"/>
            </w:tcBorders>
            <w:shd w:val="clear" w:color="auto" w:fill="auto"/>
            <w:noWrap/>
            <w:tcMar>
              <w:left w:w="28" w:type="dxa"/>
              <w:right w:w="28" w:type="dxa"/>
            </w:tcMar>
            <w:vAlign w:val="center"/>
          </w:tcPr>
          <w:p w14:paraId="2E213046" w14:textId="77777777" w:rsidR="004A0123" w:rsidRPr="00640447" w:rsidRDefault="004A0123" w:rsidP="008A5C11">
            <w:pPr>
              <w:jc w:val="center"/>
              <w:rPr>
                <w:bCs/>
                <w:sz w:val="12"/>
                <w:szCs w:val="12"/>
              </w:rPr>
            </w:pPr>
            <w:r w:rsidRPr="00640447">
              <w:rPr>
                <w:bCs/>
                <w:sz w:val="12"/>
                <w:szCs w:val="12"/>
              </w:rPr>
              <w:t>2020</w:t>
            </w:r>
          </w:p>
        </w:tc>
        <w:tc>
          <w:tcPr>
            <w:tcW w:w="322" w:type="pct"/>
            <w:vMerge w:val="restart"/>
            <w:tcBorders>
              <w:top w:val="single" w:sz="4" w:space="0" w:color="auto"/>
              <w:left w:val="nil"/>
              <w:right w:val="single" w:sz="4" w:space="0" w:color="auto"/>
            </w:tcBorders>
            <w:shd w:val="clear" w:color="auto" w:fill="auto"/>
            <w:noWrap/>
            <w:tcMar>
              <w:left w:w="28" w:type="dxa"/>
              <w:right w:w="28" w:type="dxa"/>
            </w:tcMar>
            <w:vAlign w:val="center"/>
          </w:tcPr>
          <w:p w14:paraId="4A45BB5B" w14:textId="77777777" w:rsidR="004A0123" w:rsidRPr="00640447" w:rsidRDefault="004A0123" w:rsidP="008A5C11">
            <w:pPr>
              <w:jc w:val="center"/>
              <w:rPr>
                <w:bCs/>
                <w:sz w:val="12"/>
                <w:szCs w:val="12"/>
              </w:rPr>
            </w:pPr>
            <w:r w:rsidRPr="00640447">
              <w:rPr>
                <w:bCs/>
                <w:sz w:val="12"/>
                <w:szCs w:val="12"/>
              </w:rPr>
              <w:t>2021</w:t>
            </w:r>
          </w:p>
        </w:tc>
        <w:tc>
          <w:tcPr>
            <w:tcW w:w="335" w:type="pct"/>
            <w:vMerge w:val="restart"/>
            <w:tcBorders>
              <w:top w:val="single" w:sz="4" w:space="0" w:color="auto"/>
              <w:left w:val="nil"/>
              <w:right w:val="single" w:sz="4" w:space="0" w:color="auto"/>
            </w:tcBorders>
            <w:shd w:val="clear" w:color="auto" w:fill="auto"/>
            <w:noWrap/>
            <w:tcMar>
              <w:left w:w="28" w:type="dxa"/>
              <w:right w:w="28" w:type="dxa"/>
            </w:tcMar>
            <w:vAlign w:val="center"/>
          </w:tcPr>
          <w:p w14:paraId="7031684C" w14:textId="77777777" w:rsidR="004A0123" w:rsidRPr="00640447" w:rsidRDefault="004A0123" w:rsidP="008A5C11">
            <w:pPr>
              <w:jc w:val="center"/>
              <w:rPr>
                <w:bCs/>
                <w:sz w:val="12"/>
                <w:szCs w:val="12"/>
              </w:rPr>
            </w:pPr>
            <w:r w:rsidRPr="00640447">
              <w:rPr>
                <w:bCs/>
                <w:sz w:val="12"/>
                <w:szCs w:val="12"/>
              </w:rPr>
              <w:t>2021</w:t>
            </w:r>
          </w:p>
        </w:tc>
        <w:tc>
          <w:tcPr>
            <w:tcW w:w="457" w:type="pct"/>
            <w:tcBorders>
              <w:top w:val="single" w:sz="4" w:space="0" w:color="auto"/>
              <w:left w:val="nil"/>
              <w:bottom w:val="single" w:sz="4" w:space="0" w:color="auto"/>
              <w:right w:val="single" w:sz="4" w:space="0" w:color="auto"/>
            </w:tcBorders>
            <w:tcMar>
              <w:left w:w="28" w:type="dxa"/>
              <w:right w:w="28" w:type="dxa"/>
            </w:tcMar>
            <w:vAlign w:val="center"/>
          </w:tcPr>
          <w:p w14:paraId="327B2E6F" w14:textId="77777777" w:rsidR="004A0123" w:rsidRPr="00640447" w:rsidRDefault="004A0123" w:rsidP="008A5C11">
            <w:pPr>
              <w:jc w:val="center"/>
              <w:rPr>
                <w:sz w:val="12"/>
                <w:szCs w:val="12"/>
              </w:rPr>
            </w:pPr>
            <w:r w:rsidRPr="00640447">
              <w:rPr>
                <w:sz w:val="12"/>
                <w:szCs w:val="12"/>
              </w:rPr>
              <w:t>26482</w:t>
            </w:r>
          </w:p>
        </w:tc>
        <w:tc>
          <w:tcPr>
            <w:tcW w:w="392" w:type="pct"/>
            <w:tcBorders>
              <w:top w:val="single" w:sz="4" w:space="0" w:color="auto"/>
              <w:left w:val="nil"/>
              <w:bottom w:val="single" w:sz="4" w:space="0" w:color="auto"/>
              <w:right w:val="single" w:sz="4" w:space="0" w:color="auto"/>
            </w:tcBorders>
            <w:tcMar>
              <w:left w:w="28" w:type="dxa"/>
              <w:right w:w="28" w:type="dxa"/>
            </w:tcMar>
            <w:vAlign w:val="center"/>
          </w:tcPr>
          <w:p w14:paraId="3AB137DC" w14:textId="77777777" w:rsidR="004A0123" w:rsidRPr="00640447" w:rsidRDefault="004A0123" w:rsidP="008A5C11">
            <w:pPr>
              <w:jc w:val="center"/>
              <w:rPr>
                <w:sz w:val="12"/>
                <w:szCs w:val="12"/>
              </w:rPr>
            </w:pPr>
            <w:r w:rsidRPr="00640447">
              <w:rPr>
                <w:sz w:val="12"/>
                <w:szCs w:val="12"/>
              </w:rPr>
              <w:t>16886</w:t>
            </w:r>
          </w:p>
        </w:tc>
        <w:tc>
          <w:tcPr>
            <w:tcW w:w="662" w:type="pct"/>
            <w:tcBorders>
              <w:top w:val="single" w:sz="4" w:space="0" w:color="auto"/>
              <w:left w:val="nil"/>
              <w:bottom w:val="single" w:sz="4" w:space="0" w:color="auto"/>
              <w:right w:val="single" w:sz="4" w:space="0" w:color="auto"/>
            </w:tcBorders>
            <w:tcMar>
              <w:left w:w="28" w:type="dxa"/>
              <w:right w:w="28" w:type="dxa"/>
            </w:tcMar>
            <w:vAlign w:val="center"/>
          </w:tcPr>
          <w:p w14:paraId="3BB8BD1A" w14:textId="77777777" w:rsidR="004A0123" w:rsidRPr="00640447" w:rsidRDefault="004A0123" w:rsidP="008A5C11">
            <w:pPr>
              <w:jc w:val="center"/>
              <w:rPr>
                <w:bCs/>
                <w:sz w:val="12"/>
                <w:szCs w:val="12"/>
              </w:rPr>
            </w:pPr>
            <w:r w:rsidRPr="00640447">
              <w:rPr>
                <w:bCs/>
                <w:sz w:val="12"/>
                <w:szCs w:val="12"/>
              </w:rPr>
              <w:t>бюджетные средства</w:t>
            </w:r>
          </w:p>
        </w:tc>
      </w:tr>
      <w:tr w:rsidR="004A0123" w:rsidRPr="00640447" w14:paraId="0F95616E" w14:textId="77777777" w:rsidTr="008A5C11">
        <w:trPr>
          <w:gridAfter w:val="2"/>
          <w:wAfter w:w="669" w:type="pct"/>
          <w:trHeight w:val="161"/>
        </w:trPr>
        <w:tc>
          <w:tcPr>
            <w:tcW w:w="226" w:type="pct"/>
            <w:vMerge/>
            <w:tcBorders>
              <w:left w:val="single" w:sz="4" w:space="0" w:color="auto"/>
              <w:bottom w:val="single" w:sz="4" w:space="0" w:color="auto"/>
              <w:right w:val="single" w:sz="4" w:space="0" w:color="auto"/>
            </w:tcBorders>
            <w:tcMar>
              <w:left w:w="28" w:type="dxa"/>
              <w:right w:w="28" w:type="dxa"/>
            </w:tcMar>
            <w:vAlign w:val="center"/>
          </w:tcPr>
          <w:p w14:paraId="3619D5D5" w14:textId="77777777" w:rsidR="004A0123" w:rsidRPr="00640447" w:rsidRDefault="004A0123" w:rsidP="008A5C11">
            <w:pPr>
              <w:jc w:val="center"/>
              <w:rPr>
                <w:bCs/>
                <w:sz w:val="12"/>
                <w:szCs w:val="12"/>
              </w:rPr>
            </w:pPr>
          </w:p>
        </w:tc>
        <w:tc>
          <w:tcPr>
            <w:tcW w:w="1315" w:type="pct"/>
            <w:vMerge/>
            <w:tcBorders>
              <w:left w:val="single" w:sz="4" w:space="0" w:color="auto"/>
              <w:bottom w:val="single" w:sz="4" w:space="0" w:color="auto"/>
              <w:right w:val="single" w:sz="4" w:space="0" w:color="auto"/>
            </w:tcBorders>
            <w:tcMar>
              <w:left w:w="28" w:type="dxa"/>
              <w:right w:w="28" w:type="dxa"/>
            </w:tcMar>
            <w:vAlign w:val="center"/>
          </w:tcPr>
          <w:p w14:paraId="182D1909" w14:textId="77777777" w:rsidR="004A0123" w:rsidRPr="00640447" w:rsidRDefault="004A0123" w:rsidP="008A5C11">
            <w:pPr>
              <w:jc w:val="center"/>
              <w:rPr>
                <w:bCs/>
                <w:sz w:val="12"/>
                <w:szCs w:val="12"/>
              </w:rPr>
            </w:pPr>
          </w:p>
        </w:tc>
        <w:tc>
          <w:tcPr>
            <w:tcW w:w="309" w:type="pct"/>
            <w:vMerge/>
            <w:tcBorders>
              <w:left w:val="nil"/>
              <w:bottom w:val="single" w:sz="4" w:space="0" w:color="auto"/>
              <w:right w:val="single" w:sz="4" w:space="0" w:color="auto"/>
            </w:tcBorders>
            <w:shd w:val="clear" w:color="auto" w:fill="auto"/>
            <w:noWrap/>
            <w:tcMar>
              <w:left w:w="28" w:type="dxa"/>
              <w:right w:w="28" w:type="dxa"/>
            </w:tcMar>
            <w:vAlign w:val="center"/>
          </w:tcPr>
          <w:p w14:paraId="15261AC8" w14:textId="77777777" w:rsidR="004A0123" w:rsidRPr="00640447" w:rsidRDefault="004A0123" w:rsidP="008A5C11">
            <w:pPr>
              <w:jc w:val="center"/>
              <w:rPr>
                <w:bCs/>
                <w:sz w:val="12"/>
                <w:szCs w:val="12"/>
              </w:rPr>
            </w:pPr>
          </w:p>
        </w:tc>
        <w:tc>
          <w:tcPr>
            <w:tcW w:w="313" w:type="pct"/>
            <w:vMerge/>
            <w:tcBorders>
              <w:left w:val="nil"/>
              <w:bottom w:val="single" w:sz="4" w:space="0" w:color="auto"/>
              <w:right w:val="single" w:sz="4" w:space="0" w:color="auto"/>
            </w:tcBorders>
            <w:shd w:val="clear" w:color="auto" w:fill="auto"/>
            <w:noWrap/>
            <w:tcMar>
              <w:left w:w="28" w:type="dxa"/>
              <w:right w:w="28" w:type="dxa"/>
            </w:tcMar>
            <w:vAlign w:val="center"/>
          </w:tcPr>
          <w:p w14:paraId="71DE1A15" w14:textId="77777777" w:rsidR="004A0123" w:rsidRPr="00640447" w:rsidRDefault="004A0123" w:rsidP="008A5C11">
            <w:pPr>
              <w:jc w:val="center"/>
              <w:rPr>
                <w:bCs/>
                <w:sz w:val="12"/>
                <w:szCs w:val="12"/>
              </w:rPr>
            </w:pPr>
          </w:p>
        </w:tc>
        <w:tc>
          <w:tcPr>
            <w:tcW w:w="322" w:type="pct"/>
            <w:vMerge/>
            <w:tcBorders>
              <w:left w:val="nil"/>
              <w:bottom w:val="single" w:sz="4" w:space="0" w:color="auto"/>
              <w:right w:val="single" w:sz="4" w:space="0" w:color="auto"/>
            </w:tcBorders>
            <w:shd w:val="clear" w:color="auto" w:fill="auto"/>
            <w:noWrap/>
            <w:tcMar>
              <w:left w:w="28" w:type="dxa"/>
              <w:right w:w="28" w:type="dxa"/>
            </w:tcMar>
            <w:vAlign w:val="center"/>
          </w:tcPr>
          <w:p w14:paraId="709B9701" w14:textId="77777777" w:rsidR="004A0123" w:rsidRPr="00640447" w:rsidRDefault="004A0123" w:rsidP="008A5C11">
            <w:pPr>
              <w:jc w:val="center"/>
              <w:rPr>
                <w:bCs/>
                <w:sz w:val="12"/>
                <w:szCs w:val="12"/>
              </w:rPr>
            </w:pPr>
          </w:p>
        </w:tc>
        <w:tc>
          <w:tcPr>
            <w:tcW w:w="335" w:type="pct"/>
            <w:vMerge/>
            <w:tcBorders>
              <w:left w:val="nil"/>
              <w:bottom w:val="single" w:sz="4" w:space="0" w:color="auto"/>
              <w:right w:val="single" w:sz="4" w:space="0" w:color="auto"/>
            </w:tcBorders>
            <w:shd w:val="clear" w:color="auto" w:fill="auto"/>
            <w:noWrap/>
            <w:tcMar>
              <w:left w:w="28" w:type="dxa"/>
              <w:right w:w="28" w:type="dxa"/>
            </w:tcMar>
            <w:vAlign w:val="center"/>
          </w:tcPr>
          <w:p w14:paraId="1BFCF97A" w14:textId="77777777" w:rsidR="004A0123" w:rsidRPr="00640447" w:rsidRDefault="004A0123" w:rsidP="008A5C11">
            <w:pPr>
              <w:jc w:val="center"/>
              <w:rPr>
                <w:bCs/>
                <w:sz w:val="12"/>
                <w:szCs w:val="12"/>
              </w:rPr>
            </w:pPr>
          </w:p>
        </w:tc>
        <w:tc>
          <w:tcPr>
            <w:tcW w:w="457" w:type="pct"/>
            <w:tcBorders>
              <w:top w:val="single" w:sz="4" w:space="0" w:color="auto"/>
              <w:left w:val="nil"/>
              <w:bottom w:val="single" w:sz="4" w:space="0" w:color="auto"/>
              <w:right w:val="single" w:sz="4" w:space="0" w:color="auto"/>
            </w:tcBorders>
            <w:tcMar>
              <w:left w:w="28" w:type="dxa"/>
              <w:right w:w="28" w:type="dxa"/>
            </w:tcMar>
            <w:vAlign w:val="center"/>
          </w:tcPr>
          <w:p w14:paraId="52FB7764" w14:textId="77777777" w:rsidR="004A0123" w:rsidRPr="00640447" w:rsidRDefault="004A0123" w:rsidP="008A5C11">
            <w:pPr>
              <w:jc w:val="center"/>
              <w:rPr>
                <w:sz w:val="12"/>
                <w:szCs w:val="12"/>
              </w:rPr>
            </w:pPr>
            <w:r w:rsidRPr="00640447">
              <w:rPr>
                <w:sz w:val="12"/>
                <w:szCs w:val="12"/>
              </w:rPr>
              <w:t>0</w:t>
            </w:r>
          </w:p>
        </w:tc>
        <w:tc>
          <w:tcPr>
            <w:tcW w:w="392" w:type="pct"/>
            <w:tcBorders>
              <w:top w:val="single" w:sz="4" w:space="0" w:color="auto"/>
              <w:left w:val="nil"/>
              <w:bottom w:val="single" w:sz="4" w:space="0" w:color="auto"/>
              <w:right w:val="single" w:sz="4" w:space="0" w:color="auto"/>
            </w:tcBorders>
            <w:tcMar>
              <w:left w:w="28" w:type="dxa"/>
              <w:right w:w="28" w:type="dxa"/>
            </w:tcMar>
            <w:vAlign w:val="center"/>
          </w:tcPr>
          <w:p w14:paraId="14200867" w14:textId="77777777" w:rsidR="004A0123" w:rsidRPr="00640447" w:rsidRDefault="004A0123" w:rsidP="008A5C11">
            <w:pPr>
              <w:jc w:val="center"/>
              <w:rPr>
                <w:sz w:val="12"/>
                <w:szCs w:val="12"/>
              </w:rPr>
            </w:pPr>
            <w:r w:rsidRPr="00640447">
              <w:rPr>
                <w:sz w:val="12"/>
                <w:szCs w:val="12"/>
              </w:rPr>
              <w:t>533</w:t>
            </w:r>
          </w:p>
        </w:tc>
        <w:tc>
          <w:tcPr>
            <w:tcW w:w="662" w:type="pct"/>
            <w:tcBorders>
              <w:top w:val="single" w:sz="4" w:space="0" w:color="auto"/>
              <w:left w:val="nil"/>
              <w:bottom w:val="single" w:sz="4" w:space="0" w:color="auto"/>
              <w:right w:val="single" w:sz="4" w:space="0" w:color="auto"/>
            </w:tcBorders>
            <w:tcMar>
              <w:left w:w="28" w:type="dxa"/>
              <w:right w:w="28" w:type="dxa"/>
            </w:tcMar>
            <w:vAlign w:val="center"/>
          </w:tcPr>
          <w:p w14:paraId="2BEF1F6D" w14:textId="77777777" w:rsidR="004A0123" w:rsidRPr="00640447" w:rsidRDefault="004A0123" w:rsidP="008A5C11">
            <w:pPr>
              <w:jc w:val="center"/>
              <w:rPr>
                <w:bCs/>
                <w:sz w:val="12"/>
                <w:szCs w:val="12"/>
              </w:rPr>
            </w:pPr>
            <w:r w:rsidRPr="00640447">
              <w:rPr>
                <w:bCs/>
                <w:sz w:val="12"/>
                <w:szCs w:val="12"/>
              </w:rPr>
              <w:t>собственные средства</w:t>
            </w:r>
          </w:p>
        </w:tc>
      </w:tr>
      <w:tr w:rsidR="004A0123" w:rsidRPr="00640447" w14:paraId="72A6F839" w14:textId="77777777" w:rsidTr="008A5C11">
        <w:trPr>
          <w:gridAfter w:val="2"/>
          <w:wAfter w:w="669" w:type="pct"/>
          <w:trHeight w:val="104"/>
        </w:trPr>
        <w:tc>
          <w:tcPr>
            <w:tcW w:w="226" w:type="pct"/>
            <w:vMerge w:val="restart"/>
            <w:tcBorders>
              <w:top w:val="single" w:sz="4" w:space="0" w:color="auto"/>
              <w:left w:val="single" w:sz="4" w:space="0" w:color="auto"/>
              <w:right w:val="single" w:sz="4" w:space="0" w:color="auto"/>
            </w:tcBorders>
            <w:tcMar>
              <w:left w:w="28" w:type="dxa"/>
              <w:right w:w="28" w:type="dxa"/>
            </w:tcMar>
            <w:vAlign w:val="center"/>
          </w:tcPr>
          <w:p w14:paraId="70C781B7" w14:textId="77777777" w:rsidR="004A0123" w:rsidRPr="00640447" w:rsidRDefault="004A0123" w:rsidP="008A5C11">
            <w:pPr>
              <w:jc w:val="center"/>
              <w:rPr>
                <w:bCs/>
                <w:sz w:val="12"/>
                <w:szCs w:val="12"/>
              </w:rPr>
            </w:pPr>
            <w:r w:rsidRPr="00640447">
              <w:rPr>
                <w:bCs/>
                <w:sz w:val="12"/>
                <w:szCs w:val="12"/>
              </w:rPr>
              <w:t>3.2.2.</w:t>
            </w:r>
          </w:p>
        </w:tc>
        <w:tc>
          <w:tcPr>
            <w:tcW w:w="1315" w:type="pct"/>
            <w:vMerge w:val="restart"/>
            <w:tcBorders>
              <w:top w:val="single" w:sz="4" w:space="0" w:color="auto"/>
              <w:left w:val="single" w:sz="4" w:space="0" w:color="auto"/>
              <w:right w:val="single" w:sz="4" w:space="0" w:color="auto"/>
            </w:tcBorders>
            <w:tcMar>
              <w:left w:w="28" w:type="dxa"/>
              <w:right w:w="28" w:type="dxa"/>
            </w:tcMar>
            <w:vAlign w:val="center"/>
          </w:tcPr>
          <w:p w14:paraId="30C831A2" w14:textId="77777777" w:rsidR="004A0123" w:rsidRPr="00640447" w:rsidRDefault="004A0123" w:rsidP="008A5C11">
            <w:pPr>
              <w:jc w:val="center"/>
              <w:rPr>
                <w:bCs/>
                <w:sz w:val="12"/>
                <w:szCs w:val="12"/>
              </w:rPr>
            </w:pPr>
            <w:r w:rsidRPr="00640447">
              <w:rPr>
                <w:bCs/>
                <w:sz w:val="12"/>
                <w:szCs w:val="12"/>
              </w:rPr>
              <w:t xml:space="preserve">Реконструкция котельной «Энергетик». Проектирование и реконструкция </w:t>
            </w:r>
            <w:proofErr w:type="gramStart"/>
            <w:r w:rsidRPr="00640447">
              <w:rPr>
                <w:bCs/>
                <w:sz w:val="12"/>
                <w:szCs w:val="12"/>
              </w:rPr>
              <w:t>котла  К</w:t>
            </w:r>
            <w:proofErr w:type="gramEnd"/>
            <w:r w:rsidRPr="00640447">
              <w:rPr>
                <w:bCs/>
                <w:sz w:val="12"/>
                <w:szCs w:val="12"/>
              </w:rPr>
              <w:t>-50-40/14 № 1 с установкой системы автоматизации.</w:t>
            </w:r>
          </w:p>
        </w:tc>
        <w:tc>
          <w:tcPr>
            <w:tcW w:w="309" w:type="pct"/>
            <w:vMerge w:val="restart"/>
            <w:tcBorders>
              <w:top w:val="single" w:sz="4" w:space="0" w:color="auto"/>
              <w:left w:val="nil"/>
              <w:right w:val="single" w:sz="4" w:space="0" w:color="auto"/>
            </w:tcBorders>
            <w:shd w:val="clear" w:color="auto" w:fill="auto"/>
            <w:noWrap/>
            <w:tcMar>
              <w:left w:w="28" w:type="dxa"/>
              <w:right w:w="28" w:type="dxa"/>
            </w:tcMar>
            <w:vAlign w:val="center"/>
          </w:tcPr>
          <w:p w14:paraId="0B24D9EA" w14:textId="77777777" w:rsidR="004A0123" w:rsidRPr="00640447" w:rsidRDefault="004A0123" w:rsidP="008A5C11">
            <w:pPr>
              <w:jc w:val="center"/>
              <w:rPr>
                <w:bCs/>
                <w:sz w:val="12"/>
                <w:szCs w:val="12"/>
              </w:rPr>
            </w:pPr>
            <w:r w:rsidRPr="00640447">
              <w:rPr>
                <w:bCs/>
                <w:sz w:val="12"/>
                <w:szCs w:val="12"/>
              </w:rPr>
              <w:t>2019</w:t>
            </w:r>
          </w:p>
        </w:tc>
        <w:tc>
          <w:tcPr>
            <w:tcW w:w="313" w:type="pct"/>
            <w:vMerge w:val="restart"/>
            <w:tcBorders>
              <w:top w:val="single" w:sz="4" w:space="0" w:color="auto"/>
              <w:left w:val="nil"/>
              <w:right w:val="single" w:sz="4" w:space="0" w:color="auto"/>
            </w:tcBorders>
            <w:shd w:val="clear" w:color="auto" w:fill="auto"/>
            <w:noWrap/>
            <w:tcMar>
              <w:left w:w="28" w:type="dxa"/>
              <w:right w:w="28" w:type="dxa"/>
            </w:tcMar>
            <w:vAlign w:val="center"/>
          </w:tcPr>
          <w:p w14:paraId="1FC8931E" w14:textId="77777777" w:rsidR="004A0123" w:rsidRPr="00640447" w:rsidRDefault="004A0123" w:rsidP="008A5C11">
            <w:pPr>
              <w:jc w:val="center"/>
              <w:rPr>
                <w:bCs/>
                <w:sz w:val="12"/>
                <w:szCs w:val="12"/>
              </w:rPr>
            </w:pPr>
            <w:r w:rsidRPr="00640447">
              <w:rPr>
                <w:bCs/>
                <w:sz w:val="12"/>
                <w:szCs w:val="12"/>
              </w:rPr>
              <w:t>2019</w:t>
            </w:r>
          </w:p>
        </w:tc>
        <w:tc>
          <w:tcPr>
            <w:tcW w:w="322" w:type="pct"/>
            <w:vMerge w:val="restart"/>
            <w:tcBorders>
              <w:top w:val="single" w:sz="4" w:space="0" w:color="auto"/>
              <w:left w:val="nil"/>
              <w:right w:val="single" w:sz="4" w:space="0" w:color="auto"/>
            </w:tcBorders>
            <w:shd w:val="clear" w:color="auto" w:fill="auto"/>
            <w:noWrap/>
            <w:tcMar>
              <w:left w:w="28" w:type="dxa"/>
              <w:right w:w="28" w:type="dxa"/>
            </w:tcMar>
            <w:vAlign w:val="center"/>
          </w:tcPr>
          <w:p w14:paraId="6CC0A6B6" w14:textId="77777777" w:rsidR="004A0123" w:rsidRPr="00640447" w:rsidRDefault="004A0123" w:rsidP="008A5C11">
            <w:pPr>
              <w:jc w:val="center"/>
              <w:rPr>
                <w:bCs/>
                <w:sz w:val="12"/>
                <w:szCs w:val="12"/>
              </w:rPr>
            </w:pPr>
            <w:r w:rsidRPr="00640447">
              <w:rPr>
                <w:bCs/>
                <w:sz w:val="12"/>
                <w:szCs w:val="12"/>
              </w:rPr>
              <w:t>2021</w:t>
            </w:r>
          </w:p>
        </w:tc>
        <w:tc>
          <w:tcPr>
            <w:tcW w:w="335" w:type="pct"/>
            <w:vMerge w:val="restart"/>
            <w:tcBorders>
              <w:top w:val="single" w:sz="4" w:space="0" w:color="auto"/>
              <w:left w:val="nil"/>
              <w:right w:val="single" w:sz="4" w:space="0" w:color="auto"/>
            </w:tcBorders>
            <w:shd w:val="clear" w:color="auto" w:fill="auto"/>
            <w:noWrap/>
            <w:tcMar>
              <w:left w:w="28" w:type="dxa"/>
              <w:right w:w="28" w:type="dxa"/>
            </w:tcMar>
            <w:vAlign w:val="center"/>
          </w:tcPr>
          <w:p w14:paraId="35C87287" w14:textId="77777777" w:rsidR="004A0123" w:rsidRPr="00640447" w:rsidRDefault="004A0123" w:rsidP="008A5C11">
            <w:pPr>
              <w:jc w:val="center"/>
              <w:rPr>
                <w:bCs/>
                <w:sz w:val="12"/>
                <w:szCs w:val="12"/>
              </w:rPr>
            </w:pPr>
            <w:r w:rsidRPr="00640447">
              <w:rPr>
                <w:bCs/>
                <w:sz w:val="12"/>
                <w:szCs w:val="12"/>
              </w:rPr>
              <w:t>2021</w:t>
            </w:r>
          </w:p>
        </w:tc>
        <w:tc>
          <w:tcPr>
            <w:tcW w:w="457" w:type="pct"/>
            <w:tcBorders>
              <w:top w:val="single" w:sz="4" w:space="0" w:color="auto"/>
              <w:left w:val="nil"/>
              <w:bottom w:val="single" w:sz="4" w:space="0" w:color="auto"/>
              <w:right w:val="single" w:sz="4" w:space="0" w:color="auto"/>
            </w:tcBorders>
            <w:tcMar>
              <w:left w:w="28" w:type="dxa"/>
              <w:right w:w="28" w:type="dxa"/>
            </w:tcMar>
            <w:vAlign w:val="center"/>
          </w:tcPr>
          <w:p w14:paraId="65DE79C9" w14:textId="77777777" w:rsidR="004A0123" w:rsidRPr="00640447" w:rsidRDefault="004A0123" w:rsidP="008A5C11">
            <w:pPr>
              <w:jc w:val="center"/>
              <w:rPr>
                <w:sz w:val="12"/>
                <w:szCs w:val="12"/>
              </w:rPr>
            </w:pPr>
            <w:r w:rsidRPr="00640447">
              <w:rPr>
                <w:sz w:val="12"/>
                <w:szCs w:val="12"/>
              </w:rPr>
              <w:t>88000</w:t>
            </w:r>
          </w:p>
        </w:tc>
        <w:tc>
          <w:tcPr>
            <w:tcW w:w="392" w:type="pct"/>
            <w:tcBorders>
              <w:top w:val="single" w:sz="4" w:space="0" w:color="auto"/>
              <w:left w:val="nil"/>
              <w:bottom w:val="single" w:sz="4" w:space="0" w:color="auto"/>
              <w:right w:val="single" w:sz="4" w:space="0" w:color="auto"/>
            </w:tcBorders>
            <w:tcMar>
              <w:left w:w="28" w:type="dxa"/>
              <w:right w:w="28" w:type="dxa"/>
            </w:tcMar>
            <w:vAlign w:val="center"/>
          </w:tcPr>
          <w:p w14:paraId="22F2FE92" w14:textId="77777777" w:rsidR="004A0123" w:rsidRPr="00640447" w:rsidRDefault="004A0123" w:rsidP="008A5C11">
            <w:pPr>
              <w:jc w:val="center"/>
              <w:rPr>
                <w:sz w:val="12"/>
                <w:szCs w:val="12"/>
              </w:rPr>
            </w:pPr>
            <w:r w:rsidRPr="00640447">
              <w:rPr>
                <w:sz w:val="12"/>
                <w:szCs w:val="12"/>
              </w:rPr>
              <w:t>88000</w:t>
            </w:r>
          </w:p>
        </w:tc>
        <w:tc>
          <w:tcPr>
            <w:tcW w:w="662" w:type="pct"/>
            <w:tcBorders>
              <w:top w:val="single" w:sz="4" w:space="0" w:color="auto"/>
              <w:left w:val="nil"/>
              <w:bottom w:val="single" w:sz="4" w:space="0" w:color="auto"/>
              <w:right w:val="single" w:sz="4" w:space="0" w:color="auto"/>
            </w:tcBorders>
            <w:tcMar>
              <w:left w:w="28" w:type="dxa"/>
              <w:right w:w="28" w:type="dxa"/>
            </w:tcMar>
            <w:vAlign w:val="center"/>
          </w:tcPr>
          <w:p w14:paraId="5F1CE5C1" w14:textId="77777777" w:rsidR="004A0123" w:rsidRPr="00640447" w:rsidRDefault="004A0123" w:rsidP="008A5C11">
            <w:pPr>
              <w:jc w:val="center"/>
              <w:rPr>
                <w:bCs/>
                <w:sz w:val="12"/>
                <w:szCs w:val="12"/>
              </w:rPr>
            </w:pPr>
            <w:r w:rsidRPr="00640447">
              <w:rPr>
                <w:bCs/>
                <w:sz w:val="12"/>
                <w:szCs w:val="12"/>
              </w:rPr>
              <w:t>бюджетные средства</w:t>
            </w:r>
          </w:p>
        </w:tc>
      </w:tr>
      <w:tr w:rsidR="004A0123" w:rsidRPr="00640447" w14:paraId="22992EDE" w14:textId="77777777" w:rsidTr="008A5C11">
        <w:trPr>
          <w:gridAfter w:val="2"/>
          <w:wAfter w:w="669" w:type="pct"/>
          <w:trHeight w:val="103"/>
        </w:trPr>
        <w:tc>
          <w:tcPr>
            <w:tcW w:w="226" w:type="pct"/>
            <w:vMerge/>
            <w:tcBorders>
              <w:left w:val="single" w:sz="4" w:space="0" w:color="auto"/>
              <w:bottom w:val="single" w:sz="4" w:space="0" w:color="auto"/>
              <w:right w:val="single" w:sz="4" w:space="0" w:color="auto"/>
            </w:tcBorders>
            <w:tcMar>
              <w:left w:w="28" w:type="dxa"/>
              <w:right w:w="28" w:type="dxa"/>
            </w:tcMar>
            <w:vAlign w:val="center"/>
          </w:tcPr>
          <w:p w14:paraId="0A8D9E1E" w14:textId="77777777" w:rsidR="004A0123" w:rsidRPr="00640447" w:rsidRDefault="004A0123" w:rsidP="008A5C11">
            <w:pPr>
              <w:jc w:val="center"/>
              <w:rPr>
                <w:bCs/>
                <w:sz w:val="12"/>
                <w:szCs w:val="12"/>
              </w:rPr>
            </w:pPr>
          </w:p>
        </w:tc>
        <w:tc>
          <w:tcPr>
            <w:tcW w:w="1315" w:type="pct"/>
            <w:vMerge/>
            <w:tcBorders>
              <w:left w:val="single" w:sz="4" w:space="0" w:color="auto"/>
              <w:bottom w:val="single" w:sz="4" w:space="0" w:color="auto"/>
              <w:right w:val="single" w:sz="4" w:space="0" w:color="auto"/>
            </w:tcBorders>
            <w:tcMar>
              <w:left w:w="28" w:type="dxa"/>
              <w:right w:w="28" w:type="dxa"/>
            </w:tcMar>
            <w:vAlign w:val="center"/>
          </w:tcPr>
          <w:p w14:paraId="75F79EAA" w14:textId="77777777" w:rsidR="004A0123" w:rsidRPr="00640447" w:rsidRDefault="004A0123" w:rsidP="008A5C11">
            <w:pPr>
              <w:jc w:val="center"/>
              <w:rPr>
                <w:bCs/>
                <w:sz w:val="12"/>
                <w:szCs w:val="12"/>
              </w:rPr>
            </w:pPr>
          </w:p>
        </w:tc>
        <w:tc>
          <w:tcPr>
            <w:tcW w:w="309" w:type="pct"/>
            <w:vMerge/>
            <w:tcBorders>
              <w:left w:val="nil"/>
              <w:bottom w:val="single" w:sz="4" w:space="0" w:color="auto"/>
              <w:right w:val="single" w:sz="4" w:space="0" w:color="auto"/>
            </w:tcBorders>
            <w:shd w:val="clear" w:color="auto" w:fill="auto"/>
            <w:noWrap/>
            <w:tcMar>
              <w:left w:w="28" w:type="dxa"/>
              <w:right w:w="28" w:type="dxa"/>
            </w:tcMar>
            <w:vAlign w:val="center"/>
          </w:tcPr>
          <w:p w14:paraId="378EE1AF" w14:textId="77777777" w:rsidR="004A0123" w:rsidRPr="00640447" w:rsidRDefault="004A0123" w:rsidP="008A5C11">
            <w:pPr>
              <w:jc w:val="center"/>
              <w:rPr>
                <w:bCs/>
                <w:sz w:val="12"/>
                <w:szCs w:val="12"/>
              </w:rPr>
            </w:pPr>
          </w:p>
        </w:tc>
        <w:tc>
          <w:tcPr>
            <w:tcW w:w="313" w:type="pct"/>
            <w:vMerge/>
            <w:tcBorders>
              <w:left w:val="nil"/>
              <w:bottom w:val="single" w:sz="4" w:space="0" w:color="auto"/>
              <w:right w:val="single" w:sz="4" w:space="0" w:color="auto"/>
            </w:tcBorders>
            <w:shd w:val="clear" w:color="auto" w:fill="auto"/>
            <w:noWrap/>
            <w:tcMar>
              <w:left w:w="28" w:type="dxa"/>
              <w:right w:w="28" w:type="dxa"/>
            </w:tcMar>
            <w:vAlign w:val="center"/>
          </w:tcPr>
          <w:p w14:paraId="7F74CF36" w14:textId="77777777" w:rsidR="004A0123" w:rsidRPr="00640447" w:rsidRDefault="004A0123" w:rsidP="008A5C11">
            <w:pPr>
              <w:jc w:val="center"/>
              <w:rPr>
                <w:bCs/>
                <w:sz w:val="12"/>
                <w:szCs w:val="12"/>
              </w:rPr>
            </w:pPr>
          </w:p>
        </w:tc>
        <w:tc>
          <w:tcPr>
            <w:tcW w:w="322" w:type="pct"/>
            <w:vMerge/>
            <w:tcBorders>
              <w:left w:val="nil"/>
              <w:bottom w:val="single" w:sz="4" w:space="0" w:color="auto"/>
              <w:right w:val="single" w:sz="4" w:space="0" w:color="auto"/>
            </w:tcBorders>
            <w:shd w:val="clear" w:color="auto" w:fill="auto"/>
            <w:noWrap/>
            <w:tcMar>
              <w:left w:w="28" w:type="dxa"/>
              <w:right w:w="28" w:type="dxa"/>
            </w:tcMar>
            <w:vAlign w:val="center"/>
          </w:tcPr>
          <w:p w14:paraId="3F3E4640" w14:textId="77777777" w:rsidR="004A0123" w:rsidRPr="00640447" w:rsidRDefault="004A0123" w:rsidP="008A5C11">
            <w:pPr>
              <w:jc w:val="center"/>
              <w:rPr>
                <w:bCs/>
                <w:sz w:val="12"/>
                <w:szCs w:val="12"/>
              </w:rPr>
            </w:pPr>
          </w:p>
        </w:tc>
        <w:tc>
          <w:tcPr>
            <w:tcW w:w="335" w:type="pct"/>
            <w:vMerge/>
            <w:tcBorders>
              <w:left w:val="nil"/>
              <w:bottom w:val="single" w:sz="4" w:space="0" w:color="auto"/>
              <w:right w:val="single" w:sz="4" w:space="0" w:color="auto"/>
            </w:tcBorders>
            <w:shd w:val="clear" w:color="auto" w:fill="auto"/>
            <w:noWrap/>
            <w:tcMar>
              <w:left w:w="28" w:type="dxa"/>
              <w:right w:w="28" w:type="dxa"/>
            </w:tcMar>
            <w:vAlign w:val="center"/>
          </w:tcPr>
          <w:p w14:paraId="5319D400" w14:textId="77777777" w:rsidR="004A0123" w:rsidRPr="00640447" w:rsidRDefault="004A0123" w:rsidP="008A5C11">
            <w:pPr>
              <w:jc w:val="center"/>
              <w:rPr>
                <w:bCs/>
                <w:sz w:val="12"/>
                <w:szCs w:val="12"/>
              </w:rPr>
            </w:pPr>
          </w:p>
        </w:tc>
        <w:tc>
          <w:tcPr>
            <w:tcW w:w="457" w:type="pct"/>
            <w:tcBorders>
              <w:top w:val="single" w:sz="4" w:space="0" w:color="auto"/>
              <w:left w:val="nil"/>
              <w:bottom w:val="single" w:sz="4" w:space="0" w:color="auto"/>
              <w:right w:val="single" w:sz="4" w:space="0" w:color="auto"/>
            </w:tcBorders>
            <w:tcMar>
              <w:left w:w="28" w:type="dxa"/>
              <w:right w:w="28" w:type="dxa"/>
            </w:tcMar>
            <w:vAlign w:val="center"/>
          </w:tcPr>
          <w:p w14:paraId="20E6DA2B" w14:textId="77777777" w:rsidR="004A0123" w:rsidRPr="00640447" w:rsidRDefault="004A0123" w:rsidP="008A5C11">
            <w:pPr>
              <w:jc w:val="center"/>
              <w:rPr>
                <w:sz w:val="12"/>
                <w:szCs w:val="12"/>
              </w:rPr>
            </w:pPr>
            <w:r w:rsidRPr="00640447">
              <w:rPr>
                <w:sz w:val="12"/>
                <w:szCs w:val="12"/>
              </w:rPr>
              <w:t>0</w:t>
            </w:r>
          </w:p>
        </w:tc>
        <w:tc>
          <w:tcPr>
            <w:tcW w:w="392" w:type="pct"/>
            <w:tcBorders>
              <w:top w:val="single" w:sz="4" w:space="0" w:color="auto"/>
              <w:left w:val="nil"/>
              <w:bottom w:val="single" w:sz="4" w:space="0" w:color="auto"/>
              <w:right w:val="single" w:sz="4" w:space="0" w:color="auto"/>
            </w:tcBorders>
            <w:tcMar>
              <w:left w:w="28" w:type="dxa"/>
              <w:right w:w="28" w:type="dxa"/>
            </w:tcMar>
            <w:vAlign w:val="center"/>
          </w:tcPr>
          <w:p w14:paraId="534C791D" w14:textId="77777777" w:rsidR="004A0123" w:rsidRPr="00640447" w:rsidRDefault="004A0123" w:rsidP="008A5C11">
            <w:pPr>
              <w:jc w:val="center"/>
              <w:rPr>
                <w:sz w:val="12"/>
                <w:szCs w:val="12"/>
              </w:rPr>
            </w:pPr>
            <w:r w:rsidRPr="00640447">
              <w:rPr>
                <w:sz w:val="12"/>
                <w:szCs w:val="12"/>
              </w:rPr>
              <w:t>257</w:t>
            </w:r>
          </w:p>
        </w:tc>
        <w:tc>
          <w:tcPr>
            <w:tcW w:w="662" w:type="pct"/>
            <w:tcBorders>
              <w:top w:val="single" w:sz="4" w:space="0" w:color="auto"/>
              <w:left w:val="nil"/>
              <w:bottom w:val="single" w:sz="4" w:space="0" w:color="auto"/>
              <w:right w:val="single" w:sz="4" w:space="0" w:color="auto"/>
            </w:tcBorders>
            <w:tcMar>
              <w:left w:w="28" w:type="dxa"/>
              <w:right w:w="28" w:type="dxa"/>
            </w:tcMar>
            <w:vAlign w:val="center"/>
          </w:tcPr>
          <w:p w14:paraId="37CF310A" w14:textId="77777777" w:rsidR="004A0123" w:rsidRPr="00640447" w:rsidRDefault="004A0123" w:rsidP="008A5C11">
            <w:pPr>
              <w:jc w:val="center"/>
              <w:rPr>
                <w:bCs/>
                <w:sz w:val="12"/>
                <w:szCs w:val="12"/>
              </w:rPr>
            </w:pPr>
            <w:r w:rsidRPr="00640447">
              <w:rPr>
                <w:bCs/>
                <w:sz w:val="12"/>
                <w:szCs w:val="12"/>
              </w:rPr>
              <w:t>собственные средства</w:t>
            </w:r>
          </w:p>
        </w:tc>
      </w:tr>
      <w:tr w:rsidR="004A0123" w:rsidRPr="00640447" w14:paraId="32AE2110" w14:textId="77777777" w:rsidTr="008A5C11">
        <w:trPr>
          <w:gridAfter w:val="2"/>
          <w:wAfter w:w="669" w:type="pct"/>
          <w:trHeight w:val="162"/>
        </w:trPr>
        <w:tc>
          <w:tcPr>
            <w:tcW w:w="226" w:type="pct"/>
            <w:vMerge w:val="restart"/>
            <w:tcBorders>
              <w:top w:val="single" w:sz="4" w:space="0" w:color="auto"/>
              <w:left w:val="single" w:sz="4" w:space="0" w:color="auto"/>
              <w:right w:val="single" w:sz="4" w:space="0" w:color="auto"/>
            </w:tcBorders>
            <w:tcMar>
              <w:left w:w="28" w:type="dxa"/>
              <w:right w:w="28" w:type="dxa"/>
            </w:tcMar>
            <w:vAlign w:val="center"/>
          </w:tcPr>
          <w:p w14:paraId="69A7B324" w14:textId="77777777" w:rsidR="004A0123" w:rsidRPr="00640447" w:rsidRDefault="004A0123" w:rsidP="008A5C11">
            <w:pPr>
              <w:jc w:val="center"/>
              <w:rPr>
                <w:bCs/>
                <w:sz w:val="12"/>
                <w:szCs w:val="12"/>
              </w:rPr>
            </w:pPr>
            <w:r w:rsidRPr="00640447">
              <w:rPr>
                <w:bCs/>
                <w:sz w:val="12"/>
                <w:szCs w:val="12"/>
              </w:rPr>
              <w:t>3.2.3.</w:t>
            </w:r>
          </w:p>
        </w:tc>
        <w:tc>
          <w:tcPr>
            <w:tcW w:w="1315" w:type="pct"/>
            <w:vMerge w:val="restart"/>
            <w:tcBorders>
              <w:top w:val="single" w:sz="4" w:space="0" w:color="auto"/>
              <w:left w:val="single" w:sz="4" w:space="0" w:color="auto"/>
              <w:right w:val="single" w:sz="4" w:space="0" w:color="auto"/>
            </w:tcBorders>
            <w:tcMar>
              <w:left w:w="28" w:type="dxa"/>
              <w:right w:w="28" w:type="dxa"/>
            </w:tcMar>
            <w:vAlign w:val="center"/>
          </w:tcPr>
          <w:p w14:paraId="61906AA1" w14:textId="77777777" w:rsidR="004A0123" w:rsidRPr="00640447" w:rsidRDefault="004A0123" w:rsidP="008A5C11">
            <w:pPr>
              <w:jc w:val="center"/>
              <w:rPr>
                <w:bCs/>
                <w:sz w:val="12"/>
                <w:szCs w:val="12"/>
              </w:rPr>
            </w:pPr>
            <w:r w:rsidRPr="00640447">
              <w:rPr>
                <w:bCs/>
                <w:sz w:val="12"/>
                <w:szCs w:val="12"/>
              </w:rPr>
              <w:t>Реконструкция теплосетевого комплекса Центрального планировочного района на участке от ТК-8 до проектируемой ПНС (в здании котельной №13, с целью ее закрытия)</w:t>
            </w:r>
          </w:p>
        </w:tc>
        <w:tc>
          <w:tcPr>
            <w:tcW w:w="309" w:type="pct"/>
            <w:vMerge w:val="restart"/>
            <w:tcBorders>
              <w:top w:val="single" w:sz="4" w:space="0" w:color="auto"/>
              <w:left w:val="nil"/>
              <w:right w:val="single" w:sz="4" w:space="0" w:color="auto"/>
            </w:tcBorders>
            <w:shd w:val="clear" w:color="auto" w:fill="auto"/>
            <w:noWrap/>
            <w:tcMar>
              <w:left w:w="28" w:type="dxa"/>
              <w:right w:w="28" w:type="dxa"/>
            </w:tcMar>
            <w:vAlign w:val="center"/>
          </w:tcPr>
          <w:p w14:paraId="7C579AAB" w14:textId="77777777" w:rsidR="004A0123" w:rsidRPr="00640447" w:rsidRDefault="004A0123" w:rsidP="008A5C11">
            <w:pPr>
              <w:jc w:val="center"/>
              <w:rPr>
                <w:bCs/>
                <w:sz w:val="12"/>
                <w:szCs w:val="12"/>
              </w:rPr>
            </w:pPr>
            <w:r w:rsidRPr="00640447">
              <w:rPr>
                <w:bCs/>
                <w:sz w:val="12"/>
                <w:szCs w:val="12"/>
              </w:rPr>
              <w:t>2019</w:t>
            </w:r>
          </w:p>
        </w:tc>
        <w:tc>
          <w:tcPr>
            <w:tcW w:w="313" w:type="pct"/>
            <w:vMerge w:val="restart"/>
            <w:tcBorders>
              <w:top w:val="single" w:sz="4" w:space="0" w:color="auto"/>
              <w:left w:val="nil"/>
              <w:right w:val="single" w:sz="4" w:space="0" w:color="auto"/>
            </w:tcBorders>
            <w:shd w:val="clear" w:color="auto" w:fill="auto"/>
            <w:noWrap/>
            <w:tcMar>
              <w:left w:w="28" w:type="dxa"/>
              <w:right w:w="28" w:type="dxa"/>
            </w:tcMar>
            <w:vAlign w:val="center"/>
          </w:tcPr>
          <w:p w14:paraId="47D59FCF" w14:textId="77777777" w:rsidR="004A0123" w:rsidRPr="00640447" w:rsidRDefault="004A0123" w:rsidP="008A5C11">
            <w:pPr>
              <w:jc w:val="center"/>
              <w:rPr>
                <w:bCs/>
                <w:sz w:val="12"/>
                <w:szCs w:val="12"/>
              </w:rPr>
            </w:pPr>
            <w:r w:rsidRPr="00640447">
              <w:rPr>
                <w:bCs/>
                <w:sz w:val="12"/>
                <w:szCs w:val="12"/>
              </w:rPr>
              <w:t>2019</w:t>
            </w:r>
          </w:p>
        </w:tc>
        <w:tc>
          <w:tcPr>
            <w:tcW w:w="322" w:type="pct"/>
            <w:vMerge w:val="restart"/>
            <w:tcBorders>
              <w:top w:val="single" w:sz="4" w:space="0" w:color="auto"/>
              <w:left w:val="nil"/>
              <w:right w:val="single" w:sz="4" w:space="0" w:color="auto"/>
            </w:tcBorders>
            <w:shd w:val="clear" w:color="auto" w:fill="auto"/>
            <w:noWrap/>
            <w:tcMar>
              <w:left w:w="28" w:type="dxa"/>
              <w:right w:w="28" w:type="dxa"/>
            </w:tcMar>
            <w:vAlign w:val="center"/>
          </w:tcPr>
          <w:p w14:paraId="6960B49E" w14:textId="77777777" w:rsidR="004A0123" w:rsidRPr="00640447" w:rsidRDefault="004A0123" w:rsidP="008A5C11">
            <w:pPr>
              <w:jc w:val="center"/>
              <w:rPr>
                <w:bCs/>
                <w:sz w:val="12"/>
                <w:szCs w:val="12"/>
              </w:rPr>
            </w:pPr>
            <w:r w:rsidRPr="00640447">
              <w:rPr>
                <w:bCs/>
                <w:sz w:val="12"/>
                <w:szCs w:val="12"/>
              </w:rPr>
              <w:t>2021</w:t>
            </w:r>
          </w:p>
        </w:tc>
        <w:tc>
          <w:tcPr>
            <w:tcW w:w="335" w:type="pct"/>
            <w:vMerge w:val="restart"/>
            <w:tcBorders>
              <w:top w:val="single" w:sz="4" w:space="0" w:color="auto"/>
              <w:left w:val="nil"/>
              <w:right w:val="single" w:sz="4" w:space="0" w:color="auto"/>
            </w:tcBorders>
            <w:shd w:val="clear" w:color="auto" w:fill="auto"/>
            <w:noWrap/>
            <w:tcMar>
              <w:left w:w="28" w:type="dxa"/>
              <w:right w:w="28" w:type="dxa"/>
            </w:tcMar>
            <w:vAlign w:val="center"/>
          </w:tcPr>
          <w:p w14:paraId="3DFE0B3B" w14:textId="77777777" w:rsidR="004A0123" w:rsidRPr="00640447" w:rsidRDefault="004A0123" w:rsidP="008A5C11">
            <w:pPr>
              <w:jc w:val="center"/>
              <w:rPr>
                <w:bCs/>
                <w:sz w:val="12"/>
                <w:szCs w:val="12"/>
              </w:rPr>
            </w:pPr>
            <w:r w:rsidRPr="00640447">
              <w:rPr>
                <w:bCs/>
                <w:sz w:val="12"/>
                <w:szCs w:val="12"/>
              </w:rPr>
              <w:t>2021</w:t>
            </w:r>
          </w:p>
        </w:tc>
        <w:tc>
          <w:tcPr>
            <w:tcW w:w="457" w:type="pct"/>
            <w:tcBorders>
              <w:top w:val="single" w:sz="4" w:space="0" w:color="auto"/>
              <w:left w:val="nil"/>
              <w:bottom w:val="single" w:sz="4" w:space="0" w:color="auto"/>
              <w:right w:val="single" w:sz="4" w:space="0" w:color="auto"/>
            </w:tcBorders>
            <w:tcMar>
              <w:left w:w="28" w:type="dxa"/>
              <w:right w:w="28" w:type="dxa"/>
            </w:tcMar>
            <w:vAlign w:val="center"/>
          </w:tcPr>
          <w:p w14:paraId="5601BD9C" w14:textId="77777777" w:rsidR="004A0123" w:rsidRPr="00640447" w:rsidRDefault="004A0123" w:rsidP="008A5C11">
            <w:pPr>
              <w:jc w:val="center"/>
              <w:rPr>
                <w:sz w:val="12"/>
                <w:szCs w:val="12"/>
              </w:rPr>
            </w:pPr>
            <w:r w:rsidRPr="00640447">
              <w:rPr>
                <w:sz w:val="12"/>
                <w:szCs w:val="12"/>
              </w:rPr>
              <w:t>0</w:t>
            </w:r>
          </w:p>
        </w:tc>
        <w:tc>
          <w:tcPr>
            <w:tcW w:w="392" w:type="pct"/>
            <w:tcBorders>
              <w:top w:val="single" w:sz="4" w:space="0" w:color="auto"/>
              <w:left w:val="nil"/>
              <w:bottom w:val="single" w:sz="4" w:space="0" w:color="auto"/>
              <w:right w:val="single" w:sz="4" w:space="0" w:color="auto"/>
            </w:tcBorders>
            <w:tcMar>
              <w:left w:w="28" w:type="dxa"/>
              <w:right w:w="28" w:type="dxa"/>
            </w:tcMar>
            <w:vAlign w:val="center"/>
          </w:tcPr>
          <w:p w14:paraId="1BD3E816" w14:textId="77777777" w:rsidR="004A0123" w:rsidRPr="00640447" w:rsidRDefault="004A0123" w:rsidP="008A5C11">
            <w:pPr>
              <w:jc w:val="center"/>
              <w:rPr>
                <w:sz w:val="12"/>
                <w:szCs w:val="12"/>
              </w:rPr>
            </w:pPr>
            <w:r w:rsidRPr="00640447">
              <w:rPr>
                <w:sz w:val="12"/>
                <w:szCs w:val="12"/>
              </w:rPr>
              <w:t>0</w:t>
            </w:r>
          </w:p>
        </w:tc>
        <w:tc>
          <w:tcPr>
            <w:tcW w:w="662" w:type="pct"/>
            <w:tcBorders>
              <w:top w:val="single" w:sz="4" w:space="0" w:color="auto"/>
              <w:left w:val="nil"/>
              <w:bottom w:val="single" w:sz="4" w:space="0" w:color="auto"/>
              <w:right w:val="single" w:sz="4" w:space="0" w:color="auto"/>
            </w:tcBorders>
            <w:tcMar>
              <w:left w:w="28" w:type="dxa"/>
              <w:right w:w="28" w:type="dxa"/>
            </w:tcMar>
            <w:vAlign w:val="center"/>
          </w:tcPr>
          <w:p w14:paraId="2B7B4260" w14:textId="77777777" w:rsidR="004A0123" w:rsidRPr="00640447" w:rsidRDefault="004A0123" w:rsidP="008A5C11">
            <w:pPr>
              <w:jc w:val="center"/>
              <w:rPr>
                <w:bCs/>
                <w:sz w:val="12"/>
                <w:szCs w:val="12"/>
              </w:rPr>
            </w:pPr>
            <w:r w:rsidRPr="00640447">
              <w:rPr>
                <w:bCs/>
                <w:sz w:val="12"/>
                <w:szCs w:val="12"/>
              </w:rPr>
              <w:t>бюджетные средства</w:t>
            </w:r>
          </w:p>
        </w:tc>
      </w:tr>
      <w:tr w:rsidR="004A0123" w:rsidRPr="00640447" w14:paraId="1758CD7E" w14:textId="77777777" w:rsidTr="008A5C11">
        <w:trPr>
          <w:gridAfter w:val="2"/>
          <w:wAfter w:w="669" w:type="pct"/>
          <w:trHeight w:val="161"/>
        </w:trPr>
        <w:tc>
          <w:tcPr>
            <w:tcW w:w="226" w:type="pct"/>
            <w:vMerge/>
            <w:tcBorders>
              <w:left w:val="single" w:sz="4" w:space="0" w:color="auto"/>
              <w:bottom w:val="single" w:sz="4" w:space="0" w:color="auto"/>
              <w:right w:val="single" w:sz="4" w:space="0" w:color="auto"/>
            </w:tcBorders>
            <w:tcMar>
              <w:left w:w="28" w:type="dxa"/>
              <w:right w:w="28" w:type="dxa"/>
            </w:tcMar>
            <w:vAlign w:val="center"/>
          </w:tcPr>
          <w:p w14:paraId="5D372187" w14:textId="77777777" w:rsidR="004A0123" w:rsidRPr="00640447" w:rsidRDefault="004A0123" w:rsidP="008A5C11">
            <w:pPr>
              <w:jc w:val="center"/>
              <w:rPr>
                <w:bCs/>
                <w:sz w:val="12"/>
                <w:szCs w:val="12"/>
              </w:rPr>
            </w:pPr>
          </w:p>
        </w:tc>
        <w:tc>
          <w:tcPr>
            <w:tcW w:w="1315" w:type="pct"/>
            <w:vMerge/>
            <w:tcBorders>
              <w:left w:val="single" w:sz="4" w:space="0" w:color="auto"/>
              <w:bottom w:val="single" w:sz="4" w:space="0" w:color="auto"/>
              <w:right w:val="single" w:sz="4" w:space="0" w:color="auto"/>
            </w:tcBorders>
            <w:tcMar>
              <w:left w:w="28" w:type="dxa"/>
              <w:right w:w="28" w:type="dxa"/>
            </w:tcMar>
            <w:vAlign w:val="center"/>
          </w:tcPr>
          <w:p w14:paraId="270E1328" w14:textId="77777777" w:rsidR="004A0123" w:rsidRPr="00640447" w:rsidRDefault="004A0123" w:rsidP="008A5C11">
            <w:pPr>
              <w:jc w:val="center"/>
              <w:rPr>
                <w:bCs/>
                <w:sz w:val="12"/>
                <w:szCs w:val="12"/>
              </w:rPr>
            </w:pPr>
          </w:p>
        </w:tc>
        <w:tc>
          <w:tcPr>
            <w:tcW w:w="309" w:type="pct"/>
            <w:vMerge/>
            <w:tcBorders>
              <w:left w:val="nil"/>
              <w:bottom w:val="single" w:sz="4" w:space="0" w:color="auto"/>
              <w:right w:val="single" w:sz="4" w:space="0" w:color="auto"/>
            </w:tcBorders>
            <w:shd w:val="clear" w:color="auto" w:fill="auto"/>
            <w:noWrap/>
            <w:tcMar>
              <w:left w:w="28" w:type="dxa"/>
              <w:right w:w="28" w:type="dxa"/>
            </w:tcMar>
            <w:vAlign w:val="center"/>
          </w:tcPr>
          <w:p w14:paraId="6201BA93" w14:textId="77777777" w:rsidR="004A0123" w:rsidRPr="00640447" w:rsidRDefault="004A0123" w:rsidP="008A5C11">
            <w:pPr>
              <w:jc w:val="center"/>
              <w:rPr>
                <w:bCs/>
                <w:sz w:val="12"/>
                <w:szCs w:val="12"/>
              </w:rPr>
            </w:pPr>
          </w:p>
        </w:tc>
        <w:tc>
          <w:tcPr>
            <w:tcW w:w="313" w:type="pct"/>
            <w:vMerge/>
            <w:tcBorders>
              <w:left w:val="nil"/>
              <w:bottom w:val="single" w:sz="4" w:space="0" w:color="auto"/>
              <w:right w:val="single" w:sz="4" w:space="0" w:color="auto"/>
            </w:tcBorders>
            <w:shd w:val="clear" w:color="auto" w:fill="auto"/>
            <w:noWrap/>
            <w:tcMar>
              <w:left w:w="28" w:type="dxa"/>
              <w:right w:w="28" w:type="dxa"/>
            </w:tcMar>
            <w:vAlign w:val="center"/>
          </w:tcPr>
          <w:p w14:paraId="775F7975" w14:textId="77777777" w:rsidR="004A0123" w:rsidRPr="00640447" w:rsidRDefault="004A0123" w:rsidP="008A5C11">
            <w:pPr>
              <w:jc w:val="center"/>
              <w:rPr>
                <w:bCs/>
                <w:sz w:val="12"/>
                <w:szCs w:val="12"/>
              </w:rPr>
            </w:pPr>
          </w:p>
        </w:tc>
        <w:tc>
          <w:tcPr>
            <w:tcW w:w="322" w:type="pct"/>
            <w:vMerge/>
            <w:tcBorders>
              <w:left w:val="nil"/>
              <w:bottom w:val="single" w:sz="4" w:space="0" w:color="auto"/>
              <w:right w:val="single" w:sz="4" w:space="0" w:color="auto"/>
            </w:tcBorders>
            <w:shd w:val="clear" w:color="auto" w:fill="auto"/>
            <w:noWrap/>
            <w:tcMar>
              <w:left w:w="28" w:type="dxa"/>
              <w:right w:w="28" w:type="dxa"/>
            </w:tcMar>
            <w:vAlign w:val="center"/>
          </w:tcPr>
          <w:p w14:paraId="24C37877" w14:textId="77777777" w:rsidR="004A0123" w:rsidRPr="00640447" w:rsidRDefault="004A0123" w:rsidP="008A5C11">
            <w:pPr>
              <w:jc w:val="center"/>
              <w:rPr>
                <w:bCs/>
                <w:sz w:val="12"/>
                <w:szCs w:val="12"/>
              </w:rPr>
            </w:pPr>
          </w:p>
        </w:tc>
        <w:tc>
          <w:tcPr>
            <w:tcW w:w="335" w:type="pct"/>
            <w:vMerge/>
            <w:tcBorders>
              <w:left w:val="nil"/>
              <w:bottom w:val="single" w:sz="4" w:space="0" w:color="auto"/>
              <w:right w:val="single" w:sz="4" w:space="0" w:color="auto"/>
            </w:tcBorders>
            <w:shd w:val="clear" w:color="auto" w:fill="auto"/>
            <w:noWrap/>
            <w:tcMar>
              <w:left w:w="28" w:type="dxa"/>
              <w:right w:w="28" w:type="dxa"/>
            </w:tcMar>
            <w:vAlign w:val="center"/>
          </w:tcPr>
          <w:p w14:paraId="79F1238D" w14:textId="77777777" w:rsidR="004A0123" w:rsidRPr="00640447" w:rsidRDefault="004A0123" w:rsidP="008A5C11">
            <w:pPr>
              <w:jc w:val="center"/>
              <w:rPr>
                <w:bCs/>
                <w:sz w:val="12"/>
                <w:szCs w:val="12"/>
              </w:rPr>
            </w:pPr>
          </w:p>
        </w:tc>
        <w:tc>
          <w:tcPr>
            <w:tcW w:w="457" w:type="pct"/>
            <w:tcBorders>
              <w:top w:val="single" w:sz="4" w:space="0" w:color="auto"/>
              <w:left w:val="nil"/>
              <w:bottom w:val="single" w:sz="4" w:space="0" w:color="auto"/>
              <w:right w:val="single" w:sz="4" w:space="0" w:color="auto"/>
            </w:tcBorders>
            <w:tcMar>
              <w:left w:w="28" w:type="dxa"/>
              <w:right w:w="28" w:type="dxa"/>
            </w:tcMar>
            <w:vAlign w:val="center"/>
          </w:tcPr>
          <w:p w14:paraId="32EDCC83" w14:textId="77777777" w:rsidR="004A0123" w:rsidRPr="00640447" w:rsidRDefault="004A0123" w:rsidP="008A5C11">
            <w:pPr>
              <w:jc w:val="center"/>
              <w:rPr>
                <w:sz w:val="12"/>
                <w:szCs w:val="12"/>
              </w:rPr>
            </w:pPr>
            <w:r w:rsidRPr="00640447">
              <w:rPr>
                <w:sz w:val="12"/>
                <w:szCs w:val="12"/>
              </w:rPr>
              <w:t>0</w:t>
            </w:r>
          </w:p>
        </w:tc>
        <w:tc>
          <w:tcPr>
            <w:tcW w:w="392" w:type="pct"/>
            <w:tcBorders>
              <w:top w:val="single" w:sz="4" w:space="0" w:color="auto"/>
              <w:left w:val="nil"/>
              <w:bottom w:val="single" w:sz="4" w:space="0" w:color="auto"/>
              <w:right w:val="single" w:sz="4" w:space="0" w:color="auto"/>
            </w:tcBorders>
            <w:tcMar>
              <w:left w:w="28" w:type="dxa"/>
              <w:right w:w="28" w:type="dxa"/>
            </w:tcMar>
            <w:vAlign w:val="center"/>
          </w:tcPr>
          <w:p w14:paraId="67CB93D5" w14:textId="77777777" w:rsidR="004A0123" w:rsidRPr="00640447" w:rsidRDefault="004A0123" w:rsidP="008A5C11">
            <w:pPr>
              <w:jc w:val="center"/>
              <w:rPr>
                <w:sz w:val="12"/>
                <w:szCs w:val="12"/>
              </w:rPr>
            </w:pPr>
            <w:r w:rsidRPr="00640447">
              <w:rPr>
                <w:sz w:val="12"/>
                <w:szCs w:val="12"/>
              </w:rPr>
              <w:t>1774</w:t>
            </w:r>
          </w:p>
        </w:tc>
        <w:tc>
          <w:tcPr>
            <w:tcW w:w="662" w:type="pct"/>
            <w:tcBorders>
              <w:top w:val="single" w:sz="4" w:space="0" w:color="auto"/>
              <w:left w:val="nil"/>
              <w:bottom w:val="single" w:sz="4" w:space="0" w:color="auto"/>
              <w:right w:val="single" w:sz="4" w:space="0" w:color="auto"/>
            </w:tcBorders>
            <w:tcMar>
              <w:left w:w="28" w:type="dxa"/>
              <w:right w:w="28" w:type="dxa"/>
            </w:tcMar>
            <w:vAlign w:val="center"/>
          </w:tcPr>
          <w:p w14:paraId="07F32ED8" w14:textId="77777777" w:rsidR="004A0123" w:rsidRPr="00640447" w:rsidRDefault="004A0123" w:rsidP="008A5C11">
            <w:pPr>
              <w:jc w:val="center"/>
              <w:rPr>
                <w:bCs/>
                <w:sz w:val="12"/>
                <w:szCs w:val="12"/>
              </w:rPr>
            </w:pPr>
            <w:r w:rsidRPr="00640447">
              <w:rPr>
                <w:bCs/>
                <w:sz w:val="12"/>
                <w:szCs w:val="12"/>
              </w:rPr>
              <w:t>собственные средства</w:t>
            </w:r>
          </w:p>
        </w:tc>
      </w:tr>
      <w:tr w:rsidR="004A0123" w:rsidRPr="00640447" w14:paraId="47173CCC" w14:textId="77777777" w:rsidTr="008A5C11">
        <w:trPr>
          <w:gridAfter w:val="2"/>
          <w:wAfter w:w="669" w:type="pct"/>
          <w:trHeight w:val="104"/>
        </w:trPr>
        <w:tc>
          <w:tcPr>
            <w:tcW w:w="226" w:type="pct"/>
            <w:vMerge w:val="restart"/>
            <w:tcBorders>
              <w:top w:val="single" w:sz="4" w:space="0" w:color="auto"/>
              <w:left w:val="single" w:sz="4" w:space="0" w:color="auto"/>
              <w:right w:val="single" w:sz="4" w:space="0" w:color="auto"/>
            </w:tcBorders>
            <w:tcMar>
              <w:left w:w="28" w:type="dxa"/>
              <w:right w:w="28" w:type="dxa"/>
            </w:tcMar>
            <w:vAlign w:val="center"/>
          </w:tcPr>
          <w:p w14:paraId="44D01704" w14:textId="77777777" w:rsidR="004A0123" w:rsidRPr="00640447" w:rsidRDefault="004A0123" w:rsidP="008A5C11">
            <w:pPr>
              <w:jc w:val="center"/>
              <w:rPr>
                <w:bCs/>
                <w:sz w:val="12"/>
                <w:szCs w:val="12"/>
              </w:rPr>
            </w:pPr>
            <w:r w:rsidRPr="00640447">
              <w:rPr>
                <w:bCs/>
                <w:sz w:val="12"/>
                <w:szCs w:val="12"/>
              </w:rPr>
              <w:t>3.2.4.</w:t>
            </w:r>
          </w:p>
        </w:tc>
        <w:tc>
          <w:tcPr>
            <w:tcW w:w="1315" w:type="pct"/>
            <w:vMerge w:val="restart"/>
            <w:tcBorders>
              <w:top w:val="single" w:sz="4" w:space="0" w:color="auto"/>
              <w:left w:val="single" w:sz="4" w:space="0" w:color="auto"/>
              <w:right w:val="single" w:sz="4" w:space="0" w:color="auto"/>
            </w:tcBorders>
            <w:tcMar>
              <w:left w:w="28" w:type="dxa"/>
              <w:right w:w="28" w:type="dxa"/>
            </w:tcMar>
            <w:vAlign w:val="center"/>
          </w:tcPr>
          <w:p w14:paraId="7E0FCFCA" w14:textId="77777777" w:rsidR="004A0123" w:rsidRPr="00640447" w:rsidRDefault="004A0123" w:rsidP="008A5C11">
            <w:pPr>
              <w:jc w:val="center"/>
              <w:rPr>
                <w:bCs/>
                <w:sz w:val="12"/>
                <w:szCs w:val="12"/>
              </w:rPr>
            </w:pPr>
            <w:r w:rsidRPr="00640447">
              <w:rPr>
                <w:bCs/>
                <w:sz w:val="12"/>
                <w:szCs w:val="12"/>
              </w:rPr>
              <w:t>г. Ленинск-Кузнецкий. Котельная «Центральная». Проектирование и замена котлов №</w:t>
            </w:r>
            <w:proofErr w:type="gramStart"/>
            <w:r w:rsidRPr="00640447">
              <w:rPr>
                <w:bCs/>
                <w:sz w:val="12"/>
                <w:szCs w:val="12"/>
              </w:rPr>
              <w:t>2  №</w:t>
            </w:r>
            <w:proofErr w:type="gramEnd"/>
            <w:r w:rsidRPr="00640447">
              <w:rPr>
                <w:bCs/>
                <w:sz w:val="12"/>
                <w:szCs w:val="12"/>
              </w:rPr>
              <w:t xml:space="preserve"> 3 на КВ-РФ-30-150 с топкой ВКС (2019 г. поставка котлов и вспомогательного оборудования котла № 2, № 3, 2020 монтаж котлов № 2, № 3 и вспомогательного оборудования)</w:t>
            </w:r>
          </w:p>
        </w:tc>
        <w:tc>
          <w:tcPr>
            <w:tcW w:w="309" w:type="pct"/>
            <w:vMerge w:val="restart"/>
            <w:tcBorders>
              <w:top w:val="single" w:sz="4" w:space="0" w:color="auto"/>
              <w:left w:val="nil"/>
              <w:right w:val="single" w:sz="4" w:space="0" w:color="auto"/>
            </w:tcBorders>
            <w:shd w:val="clear" w:color="auto" w:fill="auto"/>
            <w:noWrap/>
            <w:tcMar>
              <w:left w:w="28" w:type="dxa"/>
              <w:right w:w="28" w:type="dxa"/>
            </w:tcMar>
            <w:vAlign w:val="center"/>
          </w:tcPr>
          <w:p w14:paraId="3FA36255" w14:textId="77777777" w:rsidR="004A0123" w:rsidRPr="00640447" w:rsidRDefault="004A0123" w:rsidP="008A5C11">
            <w:pPr>
              <w:jc w:val="center"/>
              <w:rPr>
                <w:bCs/>
                <w:sz w:val="12"/>
                <w:szCs w:val="12"/>
              </w:rPr>
            </w:pPr>
            <w:r w:rsidRPr="00640447">
              <w:rPr>
                <w:bCs/>
                <w:sz w:val="12"/>
                <w:szCs w:val="12"/>
              </w:rPr>
              <w:t>2019</w:t>
            </w:r>
          </w:p>
        </w:tc>
        <w:tc>
          <w:tcPr>
            <w:tcW w:w="313" w:type="pct"/>
            <w:vMerge w:val="restart"/>
            <w:tcBorders>
              <w:top w:val="single" w:sz="4" w:space="0" w:color="auto"/>
              <w:left w:val="nil"/>
              <w:right w:val="single" w:sz="4" w:space="0" w:color="auto"/>
            </w:tcBorders>
            <w:shd w:val="clear" w:color="auto" w:fill="auto"/>
            <w:noWrap/>
            <w:tcMar>
              <w:left w:w="28" w:type="dxa"/>
              <w:right w:w="28" w:type="dxa"/>
            </w:tcMar>
            <w:vAlign w:val="center"/>
          </w:tcPr>
          <w:p w14:paraId="7A002AB8" w14:textId="77777777" w:rsidR="004A0123" w:rsidRPr="00640447" w:rsidRDefault="004A0123" w:rsidP="008A5C11">
            <w:pPr>
              <w:jc w:val="center"/>
              <w:rPr>
                <w:bCs/>
                <w:sz w:val="12"/>
                <w:szCs w:val="12"/>
              </w:rPr>
            </w:pPr>
            <w:r w:rsidRPr="00640447">
              <w:rPr>
                <w:bCs/>
                <w:sz w:val="12"/>
                <w:szCs w:val="12"/>
              </w:rPr>
              <w:t>2019</w:t>
            </w:r>
          </w:p>
        </w:tc>
        <w:tc>
          <w:tcPr>
            <w:tcW w:w="322" w:type="pct"/>
            <w:vMerge w:val="restart"/>
            <w:tcBorders>
              <w:top w:val="single" w:sz="4" w:space="0" w:color="auto"/>
              <w:left w:val="nil"/>
              <w:right w:val="single" w:sz="4" w:space="0" w:color="auto"/>
            </w:tcBorders>
            <w:shd w:val="clear" w:color="auto" w:fill="auto"/>
            <w:noWrap/>
            <w:tcMar>
              <w:left w:w="28" w:type="dxa"/>
              <w:right w:w="28" w:type="dxa"/>
            </w:tcMar>
            <w:vAlign w:val="center"/>
          </w:tcPr>
          <w:p w14:paraId="7373DEDC" w14:textId="77777777" w:rsidR="004A0123" w:rsidRPr="00640447" w:rsidRDefault="004A0123" w:rsidP="008A5C11">
            <w:pPr>
              <w:jc w:val="center"/>
              <w:rPr>
                <w:bCs/>
                <w:sz w:val="12"/>
                <w:szCs w:val="12"/>
              </w:rPr>
            </w:pPr>
            <w:r w:rsidRPr="00640447">
              <w:rPr>
                <w:bCs/>
                <w:sz w:val="12"/>
                <w:szCs w:val="12"/>
              </w:rPr>
              <w:t>2021</w:t>
            </w:r>
          </w:p>
        </w:tc>
        <w:tc>
          <w:tcPr>
            <w:tcW w:w="335" w:type="pct"/>
            <w:vMerge w:val="restart"/>
            <w:tcBorders>
              <w:top w:val="single" w:sz="4" w:space="0" w:color="auto"/>
              <w:left w:val="nil"/>
              <w:right w:val="single" w:sz="4" w:space="0" w:color="auto"/>
            </w:tcBorders>
            <w:shd w:val="clear" w:color="auto" w:fill="auto"/>
            <w:noWrap/>
            <w:tcMar>
              <w:left w:w="28" w:type="dxa"/>
              <w:right w:w="28" w:type="dxa"/>
            </w:tcMar>
            <w:vAlign w:val="center"/>
          </w:tcPr>
          <w:p w14:paraId="3F398E3D" w14:textId="77777777" w:rsidR="004A0123" w:rsidRPr="00640447" w:rsidRDefault="004A0123" w:rsidP="008A5C11">
            <w:pPr>
              <w:jc w:val="center"/>
              <w:rPr>
                <w:bCs/>
                <w:sz w:val="12"/>
                <w:szCs w:val="12"/>
              </w:rPr>
            </w:pPr>
            <w:r w:rsidRPr="00640447">
              <w:rPr>
                <w:bCs/>
                <w:sz w:val="12"/>
                <w:szCs w:val="12"/>
              </w:rPr>
              <w:t>2021</w:t>
            </w:r>
          </w:p>
        </w:tc>
        <w:tc>
          <w:tcPr>
            <w:tcW w:w="457" w:type="pct"/>
            <w:tcBorders>
              <w:top w:val="single" w:sz="4" w:space="0" w:color="auto"/>
              <w:left w:val="nil"/>
              <w:bottom w:val="single" w:sz="4" w:space="0" w:color="auto"/>
              <w:right w:val="single" w:sz="4" w:space="0" w:color="auto"/>
            </w:tcBorders>
            <w:tcMar>
              <w:left w:w="28" w:type="dxa"/>
              <w:right w:w="28" w:type="dxa"/>
            </w:tcMar>
            <w:vAlign w:val="center"/>
          </w:tcPr>
          <w:p w14:paraId="1E129ECB" w14:textId="77777777" w:rsidR="004A0123" w:rsidRPr="00640447" w:rsidRDefault="004A0123" w:rsidP="008A5C11">
            <w:pPr>
              <w:jc w:val="center"/>
              <w:rPr>
                <w:sz w:val="12"/>
                <w:szCs w:val="12"/>
              </w:rPr>
            </w:pPr>
            <w:r w:rsidRPr="00640447">
              <w:rPr>
                <w:sz w:val="12"/>
                <w:szCs w:val="12"/>
              </w:rPr>
              <w:t>29455</w:t>
            </w:r>
          </w:p>
        </w:tc>
        <w:tc>
          <w:tcPr>
            <w:tcW w:w="392" w:type="pct"/>
            <w:tcBorders>
              <w:top w:val="single" w:sz="4" w:space="0" w:color="auto"/>
              <w:left w:val="nil"/>
              <w:bottom w:val="single" w:sz="4" w:space="0" w:color="auto"/>
              <w:right w:val="single" w:sz="4" w:space="0" w:color="auto"/>
            </w:tcBorders>
            <w:tcMar>
              <w:left w:w="28" w:type="dxa"/>
              <w:right w:w="28" w:type="dxa"/>
            </w:tcMar>
            <w:vAlign w:val="center"/>
          </w:tcPr>
          <w:p w14:paraId="4B62830C" w14:textId="77777777" w:rsidR="004A0123" w:rsidRPr="00640447" w:rsidRDefault="004A0123" w:rsidP="008A5C11">
            <w:pPr>
              <w:jc w:val="center"/>
              <w:rPr>
                <w:sz w:val="12"/>
                <w:szCs w:val="12"/>
              </w:rPr>
            </w:pPr>
            <w:r w:rsidRPr="00640447">
              <w:rPr>
                <w:sz w:val="12"/>
                <w:szCs w:val="12"/>
              </w:rPr>
              <w:t>0</w:t>
            </w:r>
          </w:p>
        </w:tc>
        <w:tc>
          <w:tcPr>
            <w:tcW w:w="662" w:type="pct"/>
            <w:tcBorders>
              <w:top w:val="single" w:sz="4" w:space="0" w:color="auto"/>
              <w:left w:val="nil"/>
              <w:bottom w:val="single" w:sz="4" w:space="0" w:color="auto"/>
              <w:right w:val="single" w:sz="4" w:space="0" w:color="auto"/>
            </w:tcBorders>
            <w:tcMar>
              <w:left w:w="28" w:type="dxa"/>
              <w:right w:w="28" w:type="dxa"/>
            </w:tcMar>
            <w:vAlign w:val="center"/>
          </w:tcPr>
          <w:p w14:paraId="1D4A5122" w14:textId="77777777" w:rsidR="004A0123" w:rsidRPr="00640447" w:rsidRDefault="004A0123" w:rsidP="008A5C11">
            <w:pPr>
              <w:jc w:val="center"/>
              <w:rPr>
                <w:bCs/>
                <w:sz w:val="12"/>
                <w:szCs w:val="12"/>
              </w:rPr>
            </w:pPr>
            <w:r w:rsidRPr="00640447">
              <w:rPr>
                <w:bCs/>
                <w:sz w:val="12"/>
                <w:szCs w:val="12"/>
              </w:rPr>
              <w:t>бюджетные средства</w:t>
            </w:r>
          </w:p>
        </w:tc>
      </w:tr>
      <w:tr w:rsidR="004A0123" w:rsidRPr="00640447" w14:paraId="65E2AD01" w14:textId="77777777" w:rsidTr="008A5C11">
        <w:trPr>
          <w:gridAfter w:val="2"/>
          <w:wAfter w:w="669" w:type="pct"/>
          <w:trHeight w:val="103"/>
        </w:trPr>
        <w:tc>
          <w:tcPr>
            <w:tcW w:w="226" w:type="pct"/>
            <w:vMerge/>
            <w:tcBorders>
              <w:left w:val="single" w:sz="4" w:space="0" w:color="auto"/>
              <w:bottom w:val="single" w:sz="4" w:space="0" w:color="auto"/>
              <w:right w:val="single" w:sz="4" w:space="0" w:color="auto"/>
            </w:tcBorders>
            <w:tcMar>
              <w:left w:w="28" w:type="dxa"/>
              <w:right w:w="28" w:type="dxa"/>
            </w:tcMar>
            <w:vAlign w:val="center"/>
          </w:tcPr>
          <w:p w14:paraId="618447D5" w14:textId="77777777" w:rsidR="004A0123" w:rsidRPr="00640447" w:rsidRDefault="004A0123" w:rsidP="008A5C11">
            <w:pPr>
              <w:jc w:val="center"/>
              <w:rPr>
                <w:bCs/>
                <w:sz w:val="12"/>
                <w:szCs w:val="12"/>
              </w:rPr>
            </w:pPr>
          </w:p>
        </w:tc>
        <w:tc>
          <w:tcPr>
            <w:tcW w:w="1315" w:type="pct"/>
            <w:vMerge/>
            <w:tcBorders>
              <w:left w:val="single" w:sz="4" w:space="0" w:color="auto"/>
              <w:bottom w:val="single" w:sz="4" w:space="0" w:color="auto"/>
              <w:right w:val="single" w:sz="4" w:space="0" w:color="auto"/>
            </w:tcBorders>
            <w:tcMar>
              <w:left w:w="28" w:type="dxa"/>
              <w:right w:w="28" w:type="dxa"/>
            </w:tcMar>
            <w:vAlign w:val="center"/>
          </w:tcPr>
          <w:p w14:paraId="2AC49B89" w14:textId="77777777" w:rsidR="004A0123" w:rsidRPr="00640447" w:rsidRDefault="004A0123" w:rsidP="008A5C11">
            <w:pPr>
              <w:jc w:val="center"/>
              <w:rPr>
                <w:bCs/>
                <w:sz w:val="12"/>
                <w:szCs w:val="12"/>
              </w:rPr>
            </w:pPr>
          </w:p>
        </w:tc>
        <w:tc>
          <w:tcPr>
            <w:tcW w:w="309" w:type="pct"/>
            <w:vMerge/>
            <w:tcBorders>
              <w:left w:val="nil"/>
              <w:bottom w:val="single" w:sz="4" w:space="0" w:color="auto"/>
              <w:right w:val="single" w:sz="4" w:space="0" w:color="auto"/>
            </w:tcBorders>
            <w:shd w:val="clear" w:color="auto" w:fill="auto"/>
            <w:noWrap/>
            <w:tcMar>
              <w:left w:w="28" w:type="dxa"/>
              <w:right w:w="28" w:type="dxa"/>
            </w:tcMar>
            <w:vAlign w:val="center"/>
          </w:tcPr>
          <w:p w14:paraId="538F927D" w14:textId="77777777" w:rsidR="004A0123" w:rsidRPr="00640447" w:rsidRDefault="004A0123" w:rsidP="008A5C11">
            <w:pPr>
              <w:jc w:val="center"/>
              <w:rPr>
                <w:bCs/>
                <w:sz w:val="12"/>
                <w:szCs w:val="12"/>
              </w:rPr>
            </w:pPr>
          </w:p>
        </w:tc>
        <w:tc>
          <w:tcPr>
            <w:tcW w:w="313" w:type="pct"/>
            <w:vMerge/>
            <w:tcBorders>
              <w:left w:val="nil"/>
              <w:bottom w:val="single" w:sz="4" w:space="0" w:color="auto"/>
              <w:right w:val="single" w:sz="4" w:space="0" w:color="auto"/>
            </w:tcBorders>
            <w:shd w:val="clear" w:color="auto" w:fill="auto"/>
            <w:noWrap/>
            <w:tcMar>
              <w:left w:w="28" w:type="dxa"/>
              <w:right w:w="28" w:type="dxa"/>
            </w:tcMar>
            <w:vAlign w:val="center"/>
          </w:tcPr>
          <w:p w14:paraId="45F39655" w14:textId="77777777" w:rsidR="004A0123" w:rsidRPr="00640447" w:rsidRDefault="004A0123" w:rsidP="008A5C11">
            <w:pPr>
              <w:jc w:val="center"/>
              <w:rPr>
                <w:bCs/>
                <w:sz w:val="12"/>
                <w:szCs w:val="12"/>
              </w:rPr>
            </w:pPr>
          </w:p>
        </w:tc>
        <w:tc>
          <w:tcPr>
            <w:tcW w:w="322" w:type="pct"/>
            <w:vMerge/>
            <w:tcBorders>
              <w:left w:val="nil"/>
              <w:bottom w:val="single" w:sz="4" w:space="0" w:color="auto"/>
              <w:right w:val="single" w:sz="4" w:space="0" w:color="auto"/>
            </w:tcBorders>
            <w:shd w:val="clear" w:color="auto" w:fill="auto"/>
            <w:noWrap/>
            <w:tcMar>
              <w:left w:w="28" w:type="dxa"/>
              <w:right w:w="28" w:type="dxa"/>
            </w:tcMar>
            <w:vAlign w:val="center"/>
          </w:tcPr>
          <w:p w14:paraId="2CDB1B50" w14:textId="77777777" w:rsidR="004A0123" w:rsidRPr="00640447" w:rsidRDefault="004A0123" w:rsidP="008A5C11">
            <w:pPr>
              <w:jc w:val="center"/>
              <w:rPr>
                <w:bCs/>
                <w:sz w:val="12"/>
                <w:szCs w:val="12"/>
              </w:rPr>
            </w:pPr>
          </w:p>
        </w:tc>
        <w:tc>
          <w:tcPr>
            <w:tcW w:w="335" w:type="pct"/>
            <w:vMerge/>
            <w:tcBorders>
              <w:left w:val="nil"/>
              <w:bottom w:val="single" w:sz="4" w:space="0" w:color="auto"/>
              <w:right w:val="single" w:sz="4" w:space="0" w:color="auto"/>
            </w:tcBorders>
            <w:shd w:val="clear" w:color="auto" w:fill="auto"/>
            <w:noWrap/>
            <w:tcMar>
              <w:left w:w="28" w:type="dxa"/>
              <w:right w:w="28" w:type="dxa"/>
            </w:tcMar>
            <w:vAlign w:val="center"/>
          </w:tcPr>
          <w:p w14:paraId="6CB39D22" w14:textId="77777777" w:rsidR="004A0123" w:rsidRPr="00640447" w:rsidRDefault="004A0123" w:rsidP="008A5C11">
            <w:pPr>
              <w:jc w:val="center"/>
              <w:rPr>
                <w:bCs/>
                <w:sz w:val="12"/>
                <w:szCs w:val="12"/>
              </w:rPr>
            </w:pPr>
          </w:p>
        </w:tc>
        <w:tc>
          <w:tcPr>
            <w:tcW w:w="457" w:type="pct"/>
            <w:tcBorders>
              <w:top w:val="single" w:sz="4" w:space="0" w:color="auto"/>
              <w:left w:val="nil"/>
              <w:bottom w:val="single" w:sz="4" w:space="0" w:color="auto"/>
              <w:right w:val="single" w:sz="4" w:space="0" w:color="auto"/>
            </w:tcBorders>
            <w:tcMar>
              <w:left w:w="28" w:type="dxa"/>
              <w:right w:w="28" w:type="dxa"/>
            </w:tcMar>
            <w:vAlign w:val="center"/>
          </w:tcPr>
          <w:p w14:paraId="41A00FB9" w14:textId="77777777" w:rsidR="004A0123" w:rsidRPr="00640447" w:rsidRDefault="004A0123" w:rsidP="008A5C11">
            <w:pPr>
              <w:jc w:val="center"/>
              <w:rPr>
                <w:sz w:val="12"/>
                <w:szCs w:val="12"/>
              </w:rPr>
            </w:pPr>
            <w:r w:rsidRPr="00640447">
              <w:rPr>
                <w:sz w:val="12"/>
                <w:szCs w:val="12"/>
              </w:rPr>
              <w:t>0</w:t>
            </w:r>
          </w:p>
        </w:tc>
        <w:tc>
          <w:tcPr>
            <w:tcW w:w="392" w:type="pct"/>
            <w:tcBorders>
              <w:top w:val="single" w:sz="4" w:space="0" w:color="auto"/>
              <w:left w:val="nil"/>
              <w:bottom w:val="single" w:sz="4" w:space="0" w:color="auto"/>
              <w:right w:val="single" w:sz="4" w:space="0" w:color="auto"/>
            </w:tcBorders>
            <w:tcMar>
              <w:left w:w="28" w:type="dxa"/>
              <w:right w:w="28" w:type="dxa"/>
            </w:tcMar>
            <w:vAlign w:val="center"/>
          </w:tcPr>
          <w:p w14:paraId="3487F51D" w14:textId="77777777" w:rsidR="004A0123" w:rsidRPr="00640447" w:rsidRDefault="004A0123" w:rsidP="008A5C11">
            <w:pPr>
              <w:jc w:val="center"/>
              <w:rPr>
                <w:sz w:val="12"/>
                <w:szCs w:val="12"/>
              </w:rPr>
            </w:pPr>
            <w:r w:rsidRPr="00640447">
              <w:rPr>
                <w:sz w:val="12"/>
                <w:szCs w:val="12"/>
              </w:rPr>
              <w:t>0</w:t>
            </w:r>
          </w:p>
        </w:tc>
        <w:tc>
          <w:tcPr>
            <w:tcW w:w="662" w:type="pct"/>
            <w:tcBorders>
              <w:top w:val="single" w:sz="4" w:space="0" w:color="auto"/>
              <w:left w:val="nil"/>
              <w:bottom w:val="single" w:sz="4" w:space="0" w:color="auto"/>
              <w:right w:val="single" w:sz="4" w:space="0" w:color="auto"/>
            </w:tcBorders>
            <w:tcMar>
              <w:left w:w="28" w:type="dxa"/>
              <w:right w:w="28" w:type="dxa"/>
            </w:tcMar>
            <w:vAlign w:val="center"/>
          </w:tcPr>
          <w:p w14:paraId="5ED32942" w14:textId="77777777" w:rsidR="004A0123" w:rsidRPr="00640447" w:rsidRDefault="004A0123" w:rsidP="008A5C11">
            <w:pPr>
              <w:jc w:val="center"/>
              <w:rPr>
                <w:bCs/>
                <w:sz w:val="12"/>
                <w:szCs w:val="12"/>
              </w:rPr>
            </w:pPr>
            <w:r w:rsidRPr="00640447">
              <w:rPr>
                <w:bCs/>
                <w:sz w:val="12"/>
                <w:szCs w:val="12"/>
              </w:rPr>
              <w:t>собственные средства</w:t>
            </w:r>
          </w:p>
        </w:tc>
      </w:tr>
      <w:tr w:rsidR="004A0123" w:rsidRPr="00640447" w14:paraId="2D83BE65" w14:textId="77777777" w:rsidTr="008A5C11">
        <w:trPr>
          <w:gridAfter w:val="2"/>
          <w:wAfter w:w="669" w:type="pct"/>
          <w:trHeight w:val="213"/>
        </w:trPr>
        <w:tc>
          <w:tcPr>
            <w:tcW w:w="226" w:type="pct"/>
            <w:vMerge w:val="restart"/>
            <w:tcBorders>
              <w:top w:val="single" w:sz="4" w:space="0" w:color="auto"/>
              <w:left w:val="single" w:sz="4" w:space="0" w:color="auto"/>
              <w:right w:val="single" w:sz="4" w:space="0" w:color="auto"/>
            </w:tcBorders>
            <w:tcMar>
              <w:left w:w="28" w:type="dxa"/>
              <w:right w:w="28" w:type="dxa"/>
            </w:tcMar>
            <w:vAlign w:val="center"/>
          </w:tcPr>
          <w:p w14:paraId="4413EC02" w14:textId="77777777" w:rsidR="004A0123" w:rsidRPr="00640447" w:rsidRDefault="004A0123" w:rsidP="008A5C11">
            <w:pPr>
              <w:jc w:val="center"/>
              <w:rPr>
                <w:bCs/>
                <w:sz w:val="12"/>
                <w:szCs w:val="12"/>
              </w:rPr>
            </w:pPr>
            <w:r w:rsidRPr="00640447">
              <w:rPr>
                <w:bCs/>
                <w:sz w:val="12"/>
                <w:szCs w:val="12"/>
              </w:rPr>
              <w:t>3.2.5.</w:t>
            </w:r>
          </w:p>
        </w:tc>
        <w:tc>
          <w:tcPr>
            <w:tcW w:w="1315" w:type="pct"/>
            <w:vMerge w:val="restart"/>
            <w:tcBorders>
              <w:top w:val="single" w:sz="4" w:space="0" w:color="auto"/>
              <w:left w:val="single" w:sz="4" w:space="0" w:color="auto"/>
              <w:right w:val="single" w:sz="4" w:space="0" w:color="auto"/>
            </w:tcBorders>
            <w:tcMar>
              <w:left w:w="28" w:type="dxa"/>
              <w:right w:w="28" w:type="dxa"/>
            </w:tcMar>
            <w:vAlign w:val="center"/>
          </w:tcPr>
          <w:p w14:paraId="4B51F11A" w14:textId="77777777" w:rsidR="004A0123" w:rsidRPr="00640447" w:rsidRDefault="004A0123" w:rsidP="008A5C11">
            <w:pPr>
              <w:jc w:val="center"/>
              <w:rPr>
                <w:bCs/>
                <w:sz w:val="12"/>
                <w:szCs w:val="12"/>
              </w:rPr>
            </w:pPr>
            <w:r w:rsidRPr="00640447">
              <w:rPr>
                <w:bCs/>
                <w:sz w:val="12"/>
                <w:szCs w:val="12"/>
              </w:rPr>
              <w:t>Котельная «Центральная». Проектирование системы топливоподачи на Центральной котельной и демонтаж старого здания</w:t>
            </w:r>
          </w:p>
        </w:tc>
        <w:tc>
          <w:tcPr>
            <w:tcW w:w="309" w:type="pct"/>
            <w:vMerge w:val="restart"/>
            <w:tcBorders>
              <w:top w:val="single" w:sz="4" w:space="0" w:color="auto"/>
              <w:left w:val="nil"/>
              <w:right w:val="single" w:sz="4" w:space="0" w:color="auto"/>
            </w:tcBorders>
            <w:shd w:val="clear" w:color="auto" w:fill="auto"/>
            <w:noWrap/>
            <w:tcMar>
              <w:left w:w="28" w:type="dxa"/>
              <w:right w:w="28" w:type="dxa"/>
            </w:tcMar>
            <w:vAlign w:val="center"/>
          </w:tcPr>
          <w:p w14:paraId="219B4D43" w14:textId="77777777" w:rsidR="004A0123" w:rsidRPr="00640447" w:rsidRDefault="004A0123" w:rsidP="008A5C11">
            <w:pPr>
              <w:jc w:val="center"/>
              <w:rPr>
                <w:bCs/>
                <w:sz w:val="12"/>
                <w:szCs w:val="12"/>
              </w:rPr>
            </w:pPr>
            <w:r w:rsidRPr="00640447">
              <w:rPr>
                <w:bCs/>
                <w:sz w:val="12"/>
                <w:szCs w:val="12"/>
              </w:rPr>
              <w:t>2020</w:t>
            </w:r>
          </w:p>
        </w:tc>
        <w:tc>
          <w:tcPr>
            <w:tcW w:w="313" w:type="pct"/>
            <w:vMerge w:val="restart"/>
            <w:tcBorders>
              <w:top w:val="single" w:sz="4" w:space="0" w:color="auto"/>
              <w:left w:val="nil"/>
              <w:right w:val="single" w:sz="4" w:space="0" w:color="auto"/>
            </w:tcBorders>
            <w:shd w:val="clear" w:color="auto" w:fill="auto"/>
            <w:noWrap/>
            <w:tcMar>
              <w:left w:w="28" w:type="dxa"/>
              <w:right w:w="28" w:type="dxa"/>
            </w:tcMar>
            <w:vAlign w:val="center"/>
          </w:tcPr>
          <w:p w14:paraId="5DEFBC82" w14:textId="77777777" w:rsidR="004A0123" w:rsidRPr="00640447" w:rsidRDefault="004A0123" w:rsidP="008A5C11">
            <w:pPr>
              <w:jc w:val="center"/>
              <w:rPr>
                <w:bCs/>
                <w:sz w:val="12"/>
                <w:szCs w:val="12"/>
              </w:rPr>
            </w:pPr>
            <w:r w:rsidRPr="00640447">
              <w:rPr>
                <w:bCs/>
                <w:sz w:val="12"/>
                <w:szCs w:val="12"/>
              </w:rPr>
              <w:t>2020</w:t>
            </w:r>
          </w:p>
        </w:tc>
        <w:tc>
          <w:tcPr>
            <w:tcW w:w="322" w:type="pct"/>
            <w:vMerge w:val="restart"/>
            <w:tcBorders>
              <w:top w:val="single" w:sz="4" w:space="0" w:color="auto"/>
              <w:left w:val="nil"/>
              <w:right w:val="single" w:sz="4" w:space="0" w:color="auto"/>
            </w:tcBorders>
            <w:shd w:val="clear" w:color="auto" w:fill="auto"/>
            <w:noWrap/>
            <w:tcMar>
              <w:left w:w="28" w:type="dxa"/>
              <w:right w:w="28" w:type="dxa"/>
            </w:tcMar>
            <w:vAlign w:val="center"/>
          </w:tcPr>
          <w:p w14:paraId="511FB7C5" w14:textId="77777777" w:rsidR="004A0123" w:rsidRPr="00640447" w:rsidRDefault="004A0123" w:rsidP="008A5C11">
            <w:pPr>
              <w:jc w:val="center"/>
              <w:rPr>
                <w:bCs/>
                <w:sz w:val="12"/>
                <w:szCs w:val="12"/>
              </w:rPr>
            </w:pPr>
            <w:r w:rsidRPr="00640447">
              <w:rPr>
                <w:bCs/>
                <w:sz w:val="12"/>
                <w:szCs w:val="12"/>
              </w:rPr>
              <w:t>2023</w:t>
            </w:r>
          </w:p>
        </w:tc>
        <w:tc>
          <w:tcPr>
            <w:tcW w:w="335" w:type="pct"/>
            <w:vMerge w:val="restart"/>
            <w:tcBorders>
              <w:top w:val="single" w:sz="4" w:space="0" w:color="auto"/>
              <w:left w:val="nil"/>
              <w:right w:val="single" w:sz="4" w:space="0" w:color="auto"/>
            </w:tcBorders>
            <w:shd w:val="clear" w:color="auto" w:fill="auto"/>
            <w:noWrap/>
            <w:tcMar>
              <w:left w:w="28" w:type="dxa"/>
              <w:right w:w="28" w:type="dxa"/>
            </w:tcMar>
            <w:vAlign w:val="center"/>
          </w:tcPr>
          <w:p w14:paraId="48D9D3A9" w14:textId="77777777" w:rsidR="004A0123" w:rsidRPr="00640447" w:rsidRDefault="004A0123" w:rsidP="008A5C11">
            <w:pPr>
              <w:jc w:val="center"/>
              <w:rPr>
                <w:bCs/>
                <w:sz w:val="12"/>
                <w:szCs w:val="12"/>
              </w:rPr>
            </w:pPr>
            <w:r w:rsidRPr="00640447">
              <w:rPr>
                <w:bCs/>
                <w:sz w:val="12"/>
                <w:szCs w:val="12"/>
              </w:rPr>
              <w:t>2023</w:t>
            </w:r>
          </w:p>
        </w:tc>
        <w:tc>
          <w:tcPr>
            <w:tcW w:w="457" w:type="pct"/>
            <w:tcBorders>
              <w:top w:val="single" w:sz="4" w:space="0" w:color="auto"/>
              <w:left w:val="nil"/>
              <w:bottom w:val="single" w:sz="4" w:space="0" w:color="auto"/>
              <w:right w:val="single" w:sz="4" w:space="0" w:color="auto"/>
            </w:tcBorders>
            <w:tcMar>
              <w:left w:w="28" w:type="dxa"/>
              <w:right w:w="28" w:type="dxa"/>
            </w:tcMar>
            <w:vAlign w:val="center"/>
          </w:tcPr>
          <w:p w14:paraId="6799E517" w14:textId="77777777" w:rsidR="004A0123" w:rsidRPr="00640447" w:rsidRDefault="004A0123" w:rsidP="008A5C11">
            <w:pPr>
              <w:jc w:val="center"/>
              <w:rPr>
                <w:sz w:val="12"/>
                <w:szCs w:val="12"/>
              </w:rPr>
            </w:pPr>
            <w:r w:rsidRPr="00640447">
              <w:rPr>
                <w:sz w:val="12"/>
                <w:szCs w:val="12"/>
              </w:rPr>
              <w:t>0</w:t>
            </w:r>
          </w:p>
        </w:tc>
        <w:tc>
          <w:tcPr>
            <w:tcW w:w="392" w:type="pct"/>
            <w:tcBorders>
              <w:top w:val="single" w:sz="4" w:space="0" w:color="auto"/>
              <w:left w:val="nil"/>
              <w:bottom w:val="single" w:sz="4" w:space="0" w:color="auto"/>
              <w:right w:val="single" w:sz="4" w:space="0" w:color="auto"/>
            </w:tcBorders>
            <w:tcMar>
              <w:left w:w="28" w:type="dxa"/>
              <w:right w:w="28" w:type="dxa"/>
            </w:tcMar>
            <w:vAlign w:val="center"/>
          </w:tcPr>
          <w:p w14:paraId="15F69660" w14:textId="77777777" w:rsidR="004A0123" w:rsidRPr="00640447" w:rsidRDefault="004A0123" w:rsidP="008A5C11">
            <w:pPr>
              <w:jc w:val="center"/>
              <w:rPr>
                <w:sz w:val="12"/>
                <w:szCs w:val="12"/>
              </w:rPr>
            </w:pPr>
            <w:r w:rsidRPr="00640447">
              <w:rPr>
                <w:sz w:val="12"/>
                <w:szCs w:val="12"/>
              </w:rPr>
              <w:t>0</w:t>
            </w:r>
          </w:p>
        </w:tc>
        <w:tc>
          <w:tcPr>
            <w:tcW w:w="662" w:type="pct"/>
            <w:tcBorders>
              <w:top w:val="single" w:sz="4" w:space="0" w:color="auto"/>
              <w:left w:val="nil"/>
              <w:bottom w:val="single" w:sz="4" w:space="0" w:color="auto"/>
              <w:right w:val="single" w:sz="4" w:space="0" w:color="auto"/>
            </w:tcBorders>
            <w:tcMar>
              <w:left w:w="28" w:type="dxa"/>
              <w:right w:w="28" w:type="dxa"/>
            </w:tcMar>
            <w:vAlign w:val="center"/>
          </w:tcPr>
          <w:p w14:paraId="2FF38D62" w14:textId="77777777" w:rsidR="004A0123" w:rsidRPr="00640447" w:rsidRDefault="004A0123" w:rsidP="008A5C11">
            <w:pPr>
              <w:jc w:val="center"/>
              <w:rPr>
                <w:bCs/>
                <w:sz w:val="12"/>
                <w:szCs w:val="12"/>
              </w:rPr>
            </w:pPr>
            <w:r w:rsidRPr="00640447">
              <w:rPr>
                <w:bCs/>
                <w:sz w:val="12"/>
                <w:szCs w:val="12"/>
              </w:rPr>
              <w:t>бюджетные средства</w:t>
            </w:r>
          </w:p>
        </w:tc>
      </w:tr>
      <w:tr w:rsidR="004A0123" w:rsidRPr="00640447" w14:paraId="0E8287DB" w14:textId="77777777" w:rsidTr="008A5C11">
        <w:trPr>
          <w:gridAfter w:val="2"/>
          <w:wAfter w:w="669" w:type="pct"/>
          <w:trHeight w:val="213"/>
        </w:trPr>
        <w:tc>
          <w:tcPr>
            <w:tcW w:w="226" w:type="pct"/>
            <w:vMerge/>
            <w:tcBorders>
              <w:left w:val="single" w:sz="4" w:space="0" w:color="auto"/>
              <w:bottom w:val="single" w:sz="4" w:space="0" w:color="auto"/>
              <w:right w:val="single" w:sz="4" w:space="0" w:color="auto"/>
            </w:tcBorders>
            <w:tcMar>
              <w:left w:w="28" w:type="dxa"/>
              <w:right w:w="28" w:type="dxa"/>
            </w:tcMar>
            <w:vAlign w:val="center"/>
          </w:tcPr>
          <w:p w14:paraId="322C01B5" w14:textId="77777777" w:rsidR="004A0123" w:rsidRPr="00640447" w:rsidRDefault="004A0123" w:rsidP="008A5C11">
            <w:pPr>
              <w:jc w:val="center"/>
              <w:rPr>
                <w:bCs/>
                <w:sz w:val="12"/>
                <w:szCs w:val="12"/>
              </w:rPr>
            </w:pPr>
          </w:p>
        </w:tc>
        <w:tc>
          <w:tcPr>
            <w:tcW w:w="1315" w:type="pct"/>
            <w:vMerge/>
            <w:tcBorders>
              <w:left w:val="single" w:sz="4" w:space="0" w:color="auto"/>
              <w:bottom w:val="single" w:sz="4" w:space="0" w:color="auto"/>
              <w:right w:val="single" w:sz="4" w:space="0" w:color="auto"/>
            </w:tcBorders>
            <w:tcMar>
              <w:left w:w="28" w:type="dxa"/>
              <w:right w:w="28" w:type="dxa"/>
            </w:tcMar>
            <w:vAlign w:val="center"/>
          </w:tcPr>
          <w:p w14:paraId="5D4A4E80" w14:textId="77777777" w:rsidR="004A0123" w:rsidRPr="00640447" w:rsidRDefault="004A0123" w:rsidP="008A5C11">
            <w:pPr>
              <w:jc w:val="center"/>
              <w:rPr>
                <w:bCs/>
                <w:sz w:val="12"/>
                <w:szCs w:val="12"/>
              </w:rPr>
            </w:pPr>
          </w:p>
        </w:tc>
        <w:tc>
          <w:tcPr>
            <w:tcW w:w="309" w:type="pct"/>
            <w:vMerge/>
            <w:tcBorders>
              <w:left w:val="nil"/>
              <w:bottom w:val="single" w:sz="4" w:space="0" w:color="auto"/>
              <w:right w:val="single" w:sz="4" w:space="0" w:color="auto"/>
            </w:tcBorders>
            <w:shd w:val="clear" w:color="auto" w:fill="auto"/>
            <w:noWrap/>
            <w:tcMar>
              <w:left w:w="28" w:type="dxa"/>
              <w:right w:w="28" w:type="dxa"/>
            </w:tcMar>
            <w:vAlign w:val="center"/>
          </w:tcPr>
          <w:p w14:paraId="06B264DD" w14:textId="77777777" w:rsidR="004A0123" w:rsidRPr="00640447" w:rsidRDefault="004A0123" w:rsidP="008A5C11">
            <w:pPr>
              <w:jc w:val="center"/>
              <w:rPr>
                <w:bCs/>
                <w:sz w:val="12"/>
                <w:szCs w:val="12"/>
              </w:rPr>
            </w:pPr>
          </w:p>
        </w:tc>
        <w:tc>
          <w:tcPr>
            <w:tcW w:w="313" w:type="pct"/>
            <w:vMerge/>
            <w:tcBorders>
              <w:left w:val="nil"/>
              <w:bottom w:val="single" w:sz="4" w:space="0" w:color="auto"/>
              <w:right w:val="single" w:sz="4" w:space="0" w:color="auto"/>
            </w:tcBorders>
            <w:shd w:val="clear" w:color="auto" w:fill="auto"/>
            <w:noWrap/>
            <w:tcMar>
              <w:left w:w="28" w:type="dxa"/>
              <w:right w:w="28" w:type="dxa"/>
            </w:tcMar>
            <w:vAlign w:val="center"/>
          </w:tcPr>
          <w:p w14:paraId="04D41608" w14:textId="77777777" w:rsidR="004A0123" w:rsidRPr="00640447" w:rsidRDefault="004A0123" w:rsidP="008A5C11">
            <w:pPr>
              <w:jc w:val="center"/>
              <w:rPr>
                <w:bCs/>
                <w:sz w:val="12"/>
                <w:szCs w:val="12"/>
              </w:rPr>
            </w:pPr>
          </w:p>
        </w:tc>
        <w:tc>
          <w:tcPr>
            <w:tcW w:w="322" w:type="pct"/>
            <w:vMerge/>
            <w:tcBorders>
              <w:left w:val="nil"/>
              <w:bottom w:val="single" w:sz="4" w:space="0" w:color="auto"/>
              <w:right w:val="single" w:sz="4" w:space="0" w:color="auto"/>
            </w:tcBorders>
            <w:shd w:val="clear" w:color="auto" w:fill="auto"/>
            <w:noWrap/>
            <w:tcMar>
              <w:left w:w="28" w:type="dxa"/>
              <w:right w:w="28" w:type="dxa"/>
            </w:tcMar>
            <w:vAlign w:val="center"/>
          </w:tcPr>
          <w:p w14:paraId="575DD6AB" w14:textId="77777777" w:rsidR="004A0123" w:rsidRPr="00640447" w:rsidRDefault="004A0123" w:rsidP="008A5C11">
            <w:pPr>
              <w:jc w:val="center"/>
              <w:rPr>
                <w:bCs/>
                <w:sz w:val="12"/>
                <w:szCs w:val="12"/>
              </w:rPr>
            </w:pPr>
          </w:p>
        </w:tc>
        <w:tc>
          <w:tcPr>
            <w:tcW w:w="335" w:type="pct"/>
            <w:vMerge/>
            <w:tcBorders>
              <w:left w:val="nil"/>
              <w:bottom w:val="single" w:sz="4" w:space="0" w:color="auto"/>
              <w:right w:val="single" w:sz="4" w:space="0" w:color="auto"/>
            </w:tcBorders>
            <w:shd w:val="clear" w:color="auto" w:fill="auto"/>
            <w:noWrap/>
            <w:tcMar>
              <w:left w:w="28" w:type="dxa"/>
              <w:right w:w="28" w:type="dxa"/>
            </w:tcMar>
            <w:vAlign w:val="center"/>
          </w:tcPr>
          <w:p w14:paraId="46014CF1" w14:textId="77777777" w:rsidR="004A0123" w:rsidRPr="00640447" w:rsidRDefault="004A0123" w:rsidP="008A5C11">
            <w:pPr>
              <w:jc w:val="center"/>
              <w:rPr>
                <w:bCs/>
                <w:sz w:val="12"/>
                <w:szCs w:val="12"/>
              </w:rPr>
            </w:pPr>
          </w:p>
        </w:tc>
        <w:tc>
          <w:tcPr>
            <w:tcW w:w="457" w:type="pct"/>
            <w:tcBorders>
              <w:top w:val="single" w:sz="4" w:space="0" w:color="auto"/>
              <w:left w:val="nil"/>
              <w:bottom w:val="single" w:sz="4" w:space="0" w:color="auto"/>
              <w:right w:val="single" w:sz="4" w:space="0" w:color="auto"/>
            </w:tcBorders>
            <w:tcMar>
              <w:left w:w="28" w:type="dxa"/>
              <w:right w:w="28" w:type="dxa"/>
            </w:tcMar>
            <w:vAlign w:val="center"/>
          </w:tcPr>
          <w:p w14:paraId="3AF185D4" w14:textId="77777777" w:rsidR="004A0123" w:rsidRPr="00640447" w:rsidRDefault="004A0123" w:rsidP="008A5C11">
            <w:pPr>
              <w:jc w:val="center"/>
              <w:rPr>
                <w:sz w:val="12"/>
                <w:szCs w:val="12"/>
              </w:rPr>
            </w:pPr>
            <w:r w:rsidRPr="00640447">
              <w:rPr>
                <w:sz w:val="12"/>
                <w:szCs w:val="12"/>
              </w:rPr>
              <w:t>10841</w:t>
            </w:r>
          </w:p>
        </w:tc>
        <w:tc>
          <w:tcPr>
            <w:tcW w:w="392" w:type="pct"/>
            <w:tcBorders>
              <w:top w:val="single" w:sz="4" w:space="0" w:color="auto"/>
              <w:left w:val="nil"/>
              <w:bottom w:val="single" w:sz="4" w:space="0" w:color="auto"/>
              <w:right w:val="single" w:sz="4" w:space="0" w:color="auto"/>
            </w:tcBorders>
            <w:tcMar>
              <w:left w:w="28" w:type="dxa"/>
              <w:right w:w="28" w:type="dxa"/>
            </w:tcMar>
            <w:vAlign w:val="center"/>
          </w:tcPr>
          <w:p w14:paraId="5EA7EC68" w14:textId="77777777" w:rsidR="004A0123" w:rsidRPr="00640447" w:rsidRDefault="004A0123" w:rsidP="008A5C11">
            <w:pPr>
              <w:jc w:val="center"/>
              <w:rPr>
                <w:sz w:val="12"/>
                <w:szCs w:val="12"/>
              </w:rPr>
            </w:pPr>
            <w:r w:rsidRPr="00640447">
              <w:rPr>
                <w:sz w:val="12"/>
                <w:szCs w:val="12"/>
              </w:rPr>
              <w:t>3960</w:t>
            </w:r>
          </w:p>
        </w:tc>
        <w:tc>
          <w:tcPr>
            <w:tcW w:w="662" w:type="pct"/>
            <w:tcBorders>
              <w:top w:val="single" w:sz="4" w:space="0" w:color="auto"/>
              <w:left w:val="nil"/>
              <w:bottom w:val="single" w:sz="4" w:space="0" w:color="auto"/>
              <w:right w:val="single" w:sz="4" w:space="0" w:color="auto"/>
            </w:tcBorders>
            <w:tcMar>
              <w:left w:w="28" w:type="dxa"/>
              <w:right w:w="28" w:type="dxa"/>
            </w:tcMar>
            <w:vAlign w:val="center"/>
          </w:tcPr>
          <w:p w14:paraId="6B253C2D" w14:textId="77777777" w:rsidR="004A0123" w:rsidRPr="00640447" w:rsidRDefault="004A0123" w:rsidP="008A5C11">
            <w:pPr>
              <w:jc w:val="center"/>
              <w:rPr>
                <w:bCs/>
                <w:sz w:val="12"/>
                <w:szCs w:val="12"/>
              </w:rPr>
            </w:pPr>
            <w:r w:rsidRPr="00640447">
              <w:rPr>
                <w:bCs/>
                <w:sz w:val="12"/>
                <w:szCs w:val="12"/>
              </w:rPr>
              <w:t>собственные средства</w:t>
            </w:r>
          </w:p>
        </w:tc>
      </w:tr>
      <w:tr w:rsidR="004A0123" w:rsidRPr="00640447" w14:paraId="7B0B3446" w14:textId="77777777" w:rsidTr="008A5C11">
        <w:trPr>
          <w:gridAfter w:val="2"/>
          <w:wAfter w:w="669" w:type="pct"/>
          <w:trHeight w:val="60"/>
        </w:trPr>
        <w:tc>
          <w:tcPr>
            <w:tcW w:w="2820" w:type="pct"/>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0A299A0" w14:textId="77777777" w:rsidR="004A0123" w:rsidRPr="00640447" w:rsidRDefault="004A0123" w:rsidP="008A5C11">
            <w:pPr>
              <w:rPr>
                <w:bCs/>
                <w:sz w:val="12"/>
                <w:szCs w:val="12"/>
              </w:rPr>
            </w:pPr>
            <w:r w:rsidRPr="00640447">
              <w:rPr>
                <w:bCs/>
                <w:sz w:val="12"/>
                <w:szCs w:val="12"/>
              </w:rPr>
              <w:t>Всего по группе 3.</w:t>
            </w:r>
          </w:p>
        </w:tc>
        <w:tc>
          <w:tcPr>
            <w:tcW w:w="457" w:type="pct"/>
            <w:tcBorders>
              <w:top w:val="single" w:sz="4" w:space="0" w:color="auto"/>
              <w:left w:val="nil"/>
              <w:bottom w:val="single" w:sz="4" w:space="0" w:color="auto"/>
              <w:right w:val="single" w:sz="4" w:space="0" w:color="auto"/>
            </w:tcBorders>
            <w:tcMar>
              <w:left w:w="28" w:type="dxa"/>
              <w:right w:w="28" w:type="dxa"/>
            </w:tcMar>
            <w:vAlign w:val="center"/>
          </w:tcPr>
          <w:p w14:paraId="38EC6A63" w14:textId="77777777" w:rsidR="004A0123" w:rsidRPr="00640447" w:rsidRDefault="004A0123" w:rsidP="008A5C11">
            <w:pPr>
              <w:jc w:val="center"/>
              <w:rPr>
                <w:sz w:val="12"/>
                <w:szCs w:val="12"/>
              </w:rPr>
            </w:pPr>
          </w:p>
        </w:tc>
        <w:tc>
          <w:tcPr>
            <w:tcW w:w="392" w:type="pct"/>
            <w:tcBorders>
              <w:top w:val="single" w:sz="4" w:space="0" w:color="auto"/>
              <w:left w:val="nil"/>
              <w:bottom w:val="single" w:sz="4" w:space="0" w:color="auto"/>
              <w:right w:val="single" w:sz="4" w:space="0" w:color="auto"/>
            </w:tcBorders>
            <w:tcMar>
              <w:left w:w="28" w:type="dxa"/>
              <w:right w:w="28" w:type="dxa"/>
            </w:tcMar>
            <w:vAlign w:val="center"/>
          </w:tcPr>
          <w:p w14:paraId="60BA3AF2" w14:textId="77777777" w:rsidR="004A0123" w:rsidRPr="00640447" w:rsidRDefault="004A0123" w:rsidP="008A5C11">
            <w:pPr>
              <w:jc w:val="center"/>
              <w:rPr>
                <w:sz w:val="12"/>
                <w:szCs w:val="12"/>
              </w:rPr>
            </w:pPr>
          </w:p>
        </w:tc>
        <w:tc>
          <w:tcPr>
            <w:tcW w:w="662" w:type="pct"/>
            <w:tcBorders>
              <w:top w:val="single" w:sz="4" w:space="0" w:color="auto"/>
              <w:left w:val="nil"/>
              <w:bottom w:val="single" w:sz="4" w:space="0" w:color="auto"/>
              <w:right w:val="single" w:sz="4" w:space="0" w:color="auto"/>
            </w:tcBorders>
            <w:tcMar>
              <w:left w:w="28" w:type="dxa"/>
              <w:right w:w="28" w:type="dxa"/>
            </w:tcMar>
            <w:vAlign w:val="center"/>
          </w:tcPr>
          <w:p w14:paraId="63742DBA" w14:textId="77777777" w:rsidR="004A0123" w:rsidRPr="00640447" w:rsidRDefault="004A0123" w:rsidP="008A5C11">
            <w:pPr>
              <w:jc w:val="center"/>
              <w:rPr>
                <w:bCs/>
                <w:sz w:val="12"/>
                <w:szCs w:val="12"/>
              </w:rPr>
            </w:pPr>
          </w:p>
        </w:tc>
      </w:tr>
      <w:tr w:rsidR="004A0123" w:rsidRPr="00640447" w14:paraId="1BC77D0C" w14:textId="77777777" w:rsidTr="008A5C11">
        <w:trPr>
          <w:gridAfter w:val="2"/>
          <w:wAfter w:w="669" w:type="pct"/>
          <w:trHeight w:val="276"/>
        </w:trPr>
        <w:tc>
          <w:tcPr>
            <w:tcW w:w="4331" w:type="pct"/>
            <w:gridSpan w:val="9"/>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7E15D5C" w14:textId="77777777" w:rsidR="004A0123" w:rsidRPr="00640447" w:rsidRDefault="004A0123" w:rsidP="008A5C11">
            <w:pPr>
              <w:rPr>
                <w:bCs/>
                <w:sz w:val="12"/>
                <w:szCs w:val="12"/>
              </w:rPr>
            </w:pPr>
            <w:r w:rsidRPr="00640447">
              <w:rPr>
                <w:bCs/>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4A0123" w:rsidRPr="00640447" w14:paraId="0124A552" w14:textId="77777777" w:rsidTr="008A5C11">
        <w:trPr>
          <w:gridAfter w:val="2"/>
          <w:wAfter w:w="669" w:type="pct"/>
          <w:trHeight w:val="60"/>
        </w:trPr>
        <w:tc>
          <w:tcPr>
            <w:tcW w:w="2820" w:type="pct"/>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F14FB1E" w14:textId="77777777" w:rsidR="004A0123" w:rsidRPr="00640447" w:rsidRDefault="004A0123" w:rsidP="008A5C11">
            <w:pPr>
              <w:rPr>
                <w:bCs/>
                <w:sz w:val="12"/>
                <w:szCs w:val="12"/>
              </w:rPr>
            </w:pPr>
            <w:r w:rsidRPr="00640447">
              <w:rPr>
                <w:bCs/>
                <w:sz w:val="12"/>
                <w:szCs w:val="12"/>
              </w:rPr>
              <w:t>Всего по группе 4.</w:t>
            </w:r>
          </w:p>
        </w:tc>
        <w:tc>
          <w:tcPr>
            <w:tcW w:w="457" w:type="pct"/>
            <w:tcBorders>
              <w:top w:val="single" w:sz="4" w:space="0" w:color="auto"/>
              <w:left w:val="nil"/>
              <w:bottom w:val="single" w:sz="4" w:space="0" w:color="auto"/>
              <w:right w:val="single" w:sz="4" w:space="0" w:color="auto"/>
            </w:tcBorders>
            <w:tcMar>
              <w:left w:w="28" w:type="dxa"/>
              <w:right w:w="28" w:type="dxa"/>
            </w:tcMar>
            <w:vAlign w:val="center"/>
          </w:tcPr>
          <w:p w14:paraId="72F28BDB" w14:textId="77777777" w:rsidR="004A0123" w:rsidRPr="00640447" w:rsidRDefault="004A0123" w:rsidP="008A5C11">
            <w:pPr>
              <w:jc w:val="center"/>
              <w:rPr>
                <w:sz w:val="12"/>
                <w:szCs w:val="12"/>
              </w:rPr>
            </w:pPr>
            <w:r w:rsidRPr="00640447">
              <w:rPr>
                <w:sz w:val="12"/>
                <w:szCs w:val="12"/>
              </w:rPr>
              <w:t>0</w:t>
            </w:r>
          </w:p>
        </w:tc>
        <w:tc>
          <w:tcPr>
            <w:tcW w:w="392" w:type="pct"/>
            <w:tcBorders>
              <w:top w:val="single" w:sz="4" w:space="0" w:color="auto"/>
              <w:left w:val="nil"/>
              <w:bottom w:val="single" w:sz="4" w:space="0" w:color="auto"/>
              <w:right w:val="single" w:sz="4" w:space="0" w:color="auto"/>
            </w:tcBorders>
            <w:tcMar>
              <w:left w:w="28" w:type="dxa"/>
              <w:right w:w="28" w:type="dxa"/>
            </w:tcMar>
            <w:vAlign w:val="center"/>
          </w:tcPr>
          <w:p w14:paraId="5DEC4838" w14:textId="77777777" w:rsidR="004A0123" w:rsidRPr="00640447" w:rsidRDefault="004A0123" w:rsidP="008A5C11">
            <w:pPr>
              <w:jc w:val="center"/>
              <w:rPr>
                <w:sz w:val="12"/>
                <w:szCs w:val="12"/>
              </w:rPr>
            </w:pPr>
            <w:r w:rsidRPr="00640447">
              <w:rPr>
                <w:sz w:val="12"/>
                <w:szCs w:val="12"/>
              </w:rPr>
              <w:t>0</w:t>
            </w:r>
          </w:p>
        </w:tc>
        <w:tc>
          <w:tcPr>
            <w:tcW w:w="662" w:type="pct"/>
            <w:tcBorders>
              <w:top w:val="single" w:sz="4" w:space="0" w:color="auto"/>
              <w:left w:val="nil"/>
              <w:bottom w:val="single" w:sz="4" w:space="0" w:color="auto"/>
              <w:right w:val="single" w:sz="4" w:space="0" w:color="auto"/>
            </w:tcBorders>
            <w:tcMar>
              <w:left w:w="28" w:type="dxa"/>
              <w:right w:w="28" w:type="dxa"/>
            </w:tcMar>
            <w:vAlign w:val="center"/>
          </w:tcPr>
          <w:p w14:paraId="4C9B6954" w14:textId="77777777" w:rsidR="004A0123" w:rsidRPr="00640447" w:rsidRDefault="004A0123" w:rsidP="008A5C11">
            <w:pPr>
              <w:jc w:val="center"/>
              <w:rPr>
                <w:bCs/>
                <w:sz w:val="12"/>
                <w:szCs w:val="12"/>
              </w:rPr>
            </w:pPr>
          </w:p>
        </w:tc>
      </w:tr>
      <w:tr w:rsidR="004A0123" w:rsidRPr="00640447" w14:paraId="344D1B09" w14:textId="77777777" w:rsidTr="008A5C11">
        <w:trPr>
          <w:gridAfter w:val="2"/>
          <w:wAfter w:w="669" w:type="pct"/>
          <w:trHeight w:val="60"/>
        </w:trPr>
        <w:tc>
          <w:tcPr>
            <w:tcW w:w="4331" w:type="pct"/>
            <w:gridSpan w:val="9"/>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5E6DA2E" w14:textId="77777777" w:rsidR="004A0123" w:rsidRPr="00640447" w:rsidRDefault="004A0123" w:rsidP="008A5C11">
            <w:pPr>
              <w:rPr>
                <w:bCs/>
                <w:sz w:val="12"/>
                <w:szCs w:val="12"/>
              </w:rPr>
            </w:pPr>
            <w:r w:rsidRPr="00640447">
              <w:rPr>
                <w:bCs/>
                <w:sz w:val="12"/>
                <w:szCs w:val="12"/>
              </w:rPr>
              <w:t>Группа 5. Вывод из эксплуатации, консервация и демонтаж объектов системы централизованного теплоснабжения</w:t>
            </w:r>
          </w:p>
        </w:tc>
      </w:tr>
      <w:tr w:rsidR="004A0123" w:rsidRPr="00640447" w14:paraId="6D53F251" w14:textId="77777777" w:rsidTr="008A5C11">
        <w:trPr>
          <w:gridAfter w:val="2"/>
          <w:wAfter w:w="669" w:type="pct"/>
          <w:trHeight w:val="60"/>
        </w:trPr>
        <w:tc>
          <w:tcPr>
            <w:tcW w:w="2820" w:type="pct"/>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D13051C" w14:textId="77777777" w:rsidR="004A0123" w:rsidRPr="00640447" w:rsidRDefault="004A0123" w:rsidP="008A5C11">
            <w:pPr>
              <w:rPr>
                <w:bCs/>
                <w:sz w:val="12"/>
                <w:szCs w:val="12"/>
              </w:rPr>
            </w:pPr>
            <w:r w:rsidRPr="00640447">
              <w:rPr>
                <w:bCs/>
                <w:sz w:val="12"/>
                <w:szCs w:val="12"/>
              </w:rPr>
              <w:t>Всего по группе 5.</w:t>
            </w:r>
          </w:p>
        </w:tc>
        <w:tc>
          <w:tcPr>
            <w:tcW w:w="457" w:type="pct"/>
            <w:tcBorders>
              <w:top w:val="single" w:sz="4" w:space="0" w:color="auto"/>
              <w:left w:val="nil"/>
              <w:bottom w:val="single" w:sz="4" w:space="0" w:color="auto"/>
              <w:right w:val="single" w:sz="4" w:space="0" w:color="auto"/>
            </w:tcBorders>
            <w:tcMar>
              <w:left w:w="28" w:type="dxa"/>
              <w:right w:w="28" w:type="dxa"/>
            </w:tcMar>
            <w:vAlign w:val="center"/>
          </w:tcPr>
          <w:p w14:paraId="2DB7B8AC" w14:textId="77777777" w:rsidR="004A0123" w:rsidRPr="00640447" w:rsidRDefault="004A0123" w:rsidP="008A5C11">
            <w:pPr>
              <w:jc w:val="center"/>
              <w:rPr>
                <w:sz w:val="12"/>
                <w:szCs w:val="12"/>
              </w:rPr>
            </w:pPr>
            <w:r w:rsidRPr="00640447">
              <w:rPr>
                <w:sz w:val="12"/>
                <w:szCs w:val="12"/>
              </w:rPr>
              <w:t>0</w:t>
            </w:r>
          </w:p>
        </w:tc>
        <w:tc>
          <w:tcPr>
            <w:tcW w:w="392" w:type="pct"/>
            <w:tcBorders>
              <w:top w:val="single" w:sz="4" w:space="0" w:color="auto"/>
              <w:left w:val="nil"/>
              <w:bottom w:val="single" w:sz="4" w:space="0" w:color="auto"/>
              <w:right w:val="single" w:sz="4" w:space="0" w:color="auto"/>
            </w:tcBorders>
            <w:tcMar>
              <w:left w:w="28" w:type="dxa"/>
              <w:right w:w="28" w:type="dxa"/>
            </w:tcMar>
            <w:vAlign w:val="center"/>
          </w:tcPr>
          <w:p w14:paraId="7C346C7B" w14:textId="77777777" w:rsidR="004A0123" w:rsidRPr="00640447" w:rsidRDefault="004A0123" w:rsidP="008A5C11">
            <w:pPr>
              <w:jc w:val="center"/>
              <w:rPr>
                <w:sz w:val="12"/>
                <w:szCs w:val="12"/>
              </w:rPr>
            </w:pPr>
            <w:r w:rsidRPr="00640447">
              <w:rPr>
                <w:sz w:val="12"/>
                <w:szCs w:val="12"/>
              </w:rPr>
              <w:t>0</w:t>
            </w:r>
          </w:p>
        </w:tc>
        <w:tc>
          <w:tcPr>
            <w:tcW w:w="662" w:type="pct"/>
            <w:tcBorders>
              <w:top w:val="single" w:sz="4" w:space="0" w:color="auto"/>
              <w:left w:val="nil"/>
              <w:bottom w:val="single" w:sz="4" w:space="0" w:color="auto"/>
              <w:right w:val="single" w:sz="4" w:space="0" w:color="auto"/>
            </w:tcBorders>
            <w:tcMar>
              <w:left w:w="28" w:type="dxa"/>
              <w:right w:w="28" w:type="dxa"/>
            </w:tcMar>
            <w:vAlign w:val="center"/>
          </w:tcPr>
          <w:p w14:paraId="0232AE43" w14:textId="77777777" w:rsidR="004A0123" w:rsidRPr="00640447" w:rsidRDefault="004A0123" w:rsidP="008A5C11">
            <w:pPr>
              <w:jc w:val="center"/>
              <w:rPr>
                <w:bCs/>
                <w:sz w:val="12"/>
                <w:szCs w:val="12"/>
              </w:rPr>
            </w:pPr>
          </w:p>
        </w:tc>
      </w:tr>
      <w:tr w:rsidR="004A0123" w:rsidRPr="00640447" w14:paraId="54036DD1" w14:textId="77777777" w:rsidTr="008A5C11">
        <w:trPr>
          <w:gridAfter w:val="2"/>
          <w:wAfter w:w="669" w:type="pct"/>
          <w:trHeight w:val="60"/>
        </w:trPr>
        <w:tc>
          <w:tcPr>
            <w:tcW w:w="2820" w:type="pct"/>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883ED30" w14:textId="77777777" w:rsidR="004A0123" w:rsidRPr="00640447" w:rsidRDefault="004A0123" w:rsidP="008A5C11">
            <w:pPr>
              <w:jc w:val="right"/>
              <w:rPr>
                <w:bCs/>
                <w:sz w:val="12"/>
                <w:szCs w:val="12"/>
              </w:rPr>
            </w:pPr>
            <w:r w:rsidRPr="00640447">
              <w:rPr>
                <w:bCs/>
                <w:sz w:val="12"/>
                <w:szCs w:val="12"/>
              </w:rPr>
              <w:t>ВСЕГО, в т.ч:</w:t>
            </w:r>
          </w:p>
        </w:tc>
        <w:tc>
          <w:tcPr>
            <w:tcW w:w="457" w:type="pct"/>
            <w:tcBorders>
              <w:top w:val="single" w:sz="4" w:space="0" w:color="auto"/>
              <w:left w:val="nil"/>
              <w:bottom w:val="single" w:sz="4" w:space="0" w:color="auto"/>
              <w:right w:val="single" w:sz="4" w:space="0" w:color="auto"/>
            </w:tcBorders>
            <w:tcMar>
              <w:left w:w="28" w:type="dxa"/>
              <w:right w:w="28" w:type="dxa"/>
            </w:tcMar>
            <w:vAlign w:val="center"/>
          </w:tcPr>
          <w:p w14:paraId="082F1A3D" w14:textId="77777777" w:rsidR="004A0123" w:rsidRPr="00640447" w:rsidRDefault="004A0123" w:rsidP="008A5C11">
            <w:pPr>
              <w:jc w:val="center"/>
              <w:rPr>
                <w:sz w:val="12"/>
                <w:szCs w:val="12"/>
              </w:rPr>
            </w:pPr>
            <w:r w:rsidRPr="00640447">
              <w:rPr>
                <w:sz w:val="12"/>
                <w:szCs w:val="12"/>
              </w:rPr>
              <w:t>190842</w:t>
            </w:r>
          </w:p>
        </w:tc>
        <w:tc>
          <w:tcPr>
            <w:tcW w:w="392" w:type="pct"/>
            <w:tcBorders>
              <w:top w:val="single" w:sz="4" w:space="0" w:color="auto"/>
              <w:left w:val="nil"/>
              <w:bottom w:val="single" w:sz="4" w:space="0" w:color="auto"/>
              <w:right w:val="single" w:sz="4" w:space="0" w:color="auto"/>
            </w:tcBorders>
            <w:tcMar>
              <w:left w:w="28" w:type="dxa"/>
              <w:right w:w="28" w:type="dxa"/>
            </w:tcMar>
            <w:vAlign w:val="center"/>
          </w:tcPr>
          <w:p w14:paraId="120E5ACC" w14:textId="77777777" w:rsidR="004A0123" w:rsidRPr="00640447" w:rsidRDefault="004A0123" w:rsidP="008A5C11">
            <w:pPr>
              <w:jc w:val="center"/>
              <w:rPr>
                <w:sz w:val="12"/>
                <w:szCs w:val="12"/>
              </w:rPr>
            </w:pPr>
            <w:r w:rsidRPr="00640447">
              <w:rPr>
                <w:sz w:val="12"/>
                <w:szCs w:val="12"/>
              </w:rPr>
              <w:t>131000</w:t>
            </w:r>
          </w:p>
        </w:tc>
        <w:tc>
          <w:tcPr>
            <w:tcW w:w="662" w:type="pct"/>
            <w:tcBorders>
              <w:top w:val="single" w:sz="4" w:space="0" w:color="auto"/>
              <w:left w:val="nil"/>
              <w:bottom w:val="single" w:sz="4" w:space="0" w:color="auto"/>
              <w:right w:val="single" w:sz="4" w:space="0" w:color="auto"/>
            </w:tcBorders>
            <w:tcMar>
              <w:left w:w="28" w:type="dxa"/>
              <w:right w:w="28" w:type="dxa"/>
            </w:tcMar>
            <w:vAlign w:val="center"/>
          </w:tcPr>
          <w:p w14:paraId="4BBE0645" w14:textId="77777777" w:rsidR="004A0123" w:rsidRPr="00640447" w:rsidRDefault="004A0123" w:rsidP="008A5C11">
            <w:pPr>
              <w:jc w:val="center"/>
              <w:rPr>
                <w:bCs/>
                <w:sz w:val="12"/>
                <w:szCs w:val="12"/>
              </w:rPr>
            </w:pPr>
          </w:p>
        </w:tc>
      </w:tr>
      <w:tr w:rsidR="004A0123" w:rsidRPr="00640447" w14:paraId="4F5B342B" w14:textId="77777777" w:rsidTr="008A5C11">
        <w:trPr>
          <w:gridAfter w:val="2"/>
          <w:wAfter w:w="669" w:type="pct"/>
          <w:trHeight w:val="60"/>
        </w:trPr>
        <w:tc>
          <w:tcPr>
            <w:tcW w:w="2820" w:type="pct"/>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298C238" w14:textId="77777777" w:rsidR="004A0123" w:rsidRPr="00640447" w:rsidRDefault="004A0123" w:rsidP="008A5C11">
            <w:pPr>
              <w:jc w:val="right"/>
              <w:rPr>
                <w:bCs/>
                <w:sz w:val="12"/>
                <w:szCs w:val="12"/>
              </w:rPr>
            </w:pPr>
            <w:r w:rsidRPr="00640447">
              <w:rPr>
                <w:bCs/>
                <w:sz w:val="12"/>
                <w:szCs w:val="12"/>
              </w:rPr>
              <w:t>бюджетные средства</w:t>
            </w:r>
          </w:p>
        </w:tc>
        <w:tc>
          <w:tcPr>
            <w:tcW w:w="457" w:type="pct"/>
            <w:tcBorders>
              <w:top w:val="single" w:sz="4" w:space="0" w:color="auto"/>
              <w:left w:val="nil"/>
              <w:bottom w:val="single" w:sz="4" w:space="0" w:color="auto"/>
              <w:right w:val="single" w:sz="4" w:space="0" w:color="auto"/>
            </w:tcBorders>
            <w:tcMar>
              <w:left w:w="28" w:type="dxa"/>
              <w:right w:w="28" w:type="dxa"/>
            </w:tcMar>
            <w:vAlign w:val="center"/>
          </w:tcPr>
          <w:p w14:paraId="595FA945" w14:textId="77777777" w:rsidR="004A0123" w:rsidRPr="00640447" w:rsidRDefault="004A0123" w:rsidP="008A5C11">
            <w:pPr>
              <w:jc w:val="center"/>
              <w:rPr>
                <w:sz w:val="12"/>
                <w:szCs w:val="12"/>
              </w:rPr>
            </w:pPr>
            <w:r w:rsidRPr="00640447">
              <w:rPr>
                <w:sz w:val="12"/>
                <w:szCs w:val="12"/>
              </w:rPr>
              <w:t>180000</w:t>
            </w:r>
          </w:p>
        </w:tc>
        <w:tc>
          <w:tcPr>
            <w:tcW w:w="392" w:type="pct"/>
            <w:tcBorders>
              <w:top w:val="single" w:sz="4" w:space="0" w:color="auto"/>
              <w:left w:val="nil"/>
              <w:bottom w:val="single" w:sz="4" w:space="0" w:color="auto"/>
              <w:right w:val="single" w:sz="4" w:space="0" w:color="auto"/>
            </w:tcBorders>
            <w:tcMar>
              <w:left w:w="28" w:type="dxa"/>
              <w:right w:w="28" w:type="dxa"/>
            </w:tcMar>
            <w:vAlign w:val="center"/>
          </w:tcPr>
          <w:p w14:paraId="45EDAE7B" w14:textId="77777777" w:rsidR="004A0123" w:rsidRPr="00640447" w:rsidRDefault="004A0123" w:rsidP="008A5C11">
            <w:pPr>
              <w:jc w:val="center"/>
              <w:rPr>
                <w:sz w:val="12"/>
                <w:szCs w:val="12"/>
              </w:rPr>
            </w:pPr>
            <w:r w:rsidRPr="00640447">
              <w:rPr>
                <w:sz w:val="12"/>
                <w:szCs w:val="12"/>
              </w:rPr>
              <w:t>122849</w:t>
            </w:r>
          </w:p>
        </w:tc>
        <w:tc>
          <w:tcPr>
            <w:tcW w:w="662" w:type="pct"/>
            <w:tcBorders>
              <w:top w:val="single" w:sz="4" w:space="0" w:color="auto"/>
              <w:left w:val="nil"/>
              <w:bottom w:val="single" w:sz="4" w:space="0" w:color="auto"/>
              <w:right w:val="single" w:sz="4" w:space="0" w:color="auto"/>
            </w:tcBorders>
            <w:tcMar>
              <w:left w:w="28" w:type="dxa"/>
              <w:right w:w="28" w:type="dxa"/>
            </w:tcMar>
            <w:vAlign w:val="center"/>
          </w:tcPr>
          <w:p w14:paraId="4A4B8C89" w14:textId="77777777" w:rsidR="004A0123" w:rsidRPr="00640447" w:rsidRDefault="004A0123" w:rsidP="008A5C11">
            <w:pPr>
              <w:jc w:val="center"/>
              <w:rPr>
                <w:bCs/>
                <w:sz w:val="12"/>
                <w:szCs w:val="12"/>
              </w:rPr>
            </w:pPr>
          </w:p>
        </w:tc>
      </w:tr>
      <w:tr w:rsidR="004A0123" w:rsidRPr="00640447" w14:paraId="1E0C0A1C" w14:textId="77777777" w:rsidTr="008A5C11">
        <w:trPr>
          <w:gridAfter w:val="2"/>
          <w:wAfter w:w="669" w:type="pct"/>
          <w:trHeight w:val="60"/>
        </w:trPr>
        <w:tc>
          <w:tcPr>
            <w:tcW w:w="2820" w:type="pct"/>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8ED2BA3" w14:textId="77777777" w:rsidR="004A0123" w:rsidRPr="00640447" w:rsidRDefault="004A0123" w:rsidP="008A5C11">
            <w:pPr>
              <w:jc w:val="right"/>
              <w:rPr>
                <w:bCs/>
                <w:sz w:val="12"/>
                <w:szCs w:val="12"/>
              </w:rPr>
            </w:pPr>
            <w:r w:rsidRPr="00640447">
              <w:rPr>
                <w:bCs/>
                <w:sz w:val="12"/>
                <w:szCs w:val="12"/>
              </w:rPr>
              <w:t>собственные средства</w:t>
            </w:r>
          </w:p>
        </w:tc>
        <w:tc>
          <w:tcPr>
            <w:tcW w:w="457"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DAFFA23" w14:textId="77777777" w:rsidR="004A0123" w:rsidRPr="00640447" w:rsidRDefault="004A0123" w:rsidP="008A5C11">
            <w:pPr>
              <w:jc w:val="center"/>
              <w:rPr>
                <w:sz w:val="12"/>
                <w:szCs w:val="12"/>
              </w:rPr>
            </w:pPr>
            <w:r w:rsidRPr="00640447">
              <w:rPr>
                <w:sz w:val="12"/>
                <w:szCs w:val="12"/>
              </w:rPr>
              <w:t>10841</w:t>
            </w:r>
          </w:p>
        </w:tc>
        <w:tc>
          <w:tcPr>
            <w:tcW w:w="39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31BD62D" w14:textId="77777777" w:rsidR="004A0123" w:rsidRPr="00640447" w:rsidRDefault="004A0123" w:rsidP="008A5C11">
            <w:pPr>
              <w:jc w:val="center"/>
              <w:rPr>
                <w:sz w:val="12"/>
                <w:szCs w:val="12"/>
              </w:rPr>
            </w:pPr>
            <w:r w:rsidRPr="00640447">
              <w:rPr>
                <w:sz w:val="12"/>
                <w:szCs w:val="12"/>
              </w:rPr>
              <w:t>8151</w:t>
            </w:r>
          </w:p>
        </w:tc>
        <w:tc>
          <w:tcPr>
            <w:tcW w:w="66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DF43E6E" w14:textId="77777777" w:rsidR="004A0123" w:rsidRPr="00640447" w:rsidRDefault="004A0123" w:rsidP="008A5C11">
            <w:pPr>
              <w:jc w:val="center"/>
              <w:rPr>
                <w:bCs/>
                <w:sz w:val="12"/>
                <w:szCs w:val="12"/>
              </w:rPr>
            </w:pPr>
          </w:p>
        </w:tc>
      </w:tr>
    </w:tbl>
    <w:p w14:paraId="4EEC894C" w14:textId="77777777" w:rsidR="004A0123" w:rsidRPr="00640447" w:rsidRDefault="004A0123" w:rsidP="004A0123"/>
    <w:p w14:paraId="635BFA21" w14:textId="77777777" w:rsidR="004A0123" w:rsidRPr="00640447" w:rsidRDefault="004A0123" w:rsidP="004A0123">
      <w:pPr>
        <w:jc w:val="center"/>
        <w:rPr>
          <w:bCs/>
          <w:color w:val="000000"/>
        </w:rPr>
      </w:pPr>
    </w:p>
    <w:p w14:paraId="5A97B5CE" w14:textId="77777777" w:rsidR="004A0123" w:rsidRPr="00640447" w:rsidRDefault="004A0123" w:rsidP="004A0123">
      <w:pPr>
        <w:tabs>
          <w:tab w:val="left" w:pos="1134"/>
        </w:tabs>
        <w:jc w:val="both"/>
        <w:rPr>
          <w:b/>
          <w:bCs/>
          <w:color w:val="000000"/>
        </w:rPr>
      </w:pPr>
    </w:p>
    <w:p w14:paraId="0926764F" w14:textId="77777777" w:rsidR="004A0123" w:rsidRDefault="004A0123" w:rsidP="004A0123">
      <w:pPr>
        <w:tabs>
          <w:tab w:val="left" w:pos="5580"/>
          <w:tab w:val="left" w:pos="9498"/>
        </w:tabs>
        <w:ind w:right="-569"/>
        <w:rPr>
          <w:color w:val="000000" w:themeColor="text1"/>
        </w:rPr>
        <w:sectPr w:rsidR="004A0123" w:rsidSect="00640447">
          <w:pgSz w:w="11906" w:h="16838"/>
          <w:pgMar w:top="1134" w:right="850" w:bottom="1134" w:left="709" w:header="708" w:footer="708" w:gutter="0"/>
          <w:cols w:space="708"/>
          <w:docGrid w:linePitch="360"/>
        </w:sectPr>
      </w:pPr>
    </w:p>
    <w:p w14:paraId="590AA4A6" w14:textId="278A275C" w:rsidR="004A0123" w:rsidRPr="00081AD4" w:rsidRDefault="004A0123" w:rsidP="004A0123">
      <w:pPr>
        <w:tabs>
          <w:tab w:val="left" w:pos="3686"/>
          <w:tab w:val="left" w:pos="9498"/>
        </w:tabs>
        <w:ind w:left="-3734" w:right="-1" w:firstLine="8129"/>
        <w:rPr>
          <w:color w:val="000000" w:themeColor="text1"/>
        </w:rPr>
      </w:pPr>
      <w:r w:rsidRPr="00081AD4">
        <w:rPr>
          <w:color w:val="000000" w:themeColor="text1"/>
        </w:rPr>
        <w:t xml:space="preserve">Приложение № </w:t>
      </w:r>
      <w:r>
        <w:rPr>
          <w:color w:val="000000" w:themeColor="text1"/>
        </w:rPr>
        <w:t>2</w:t>
      </w:r>
      <w:r>
        <w:rPr>
          <w:color w:val="000000" w:themeColor="text1"/>
        </w:rPr>
        <w:t>5</w:t>
      </w:r>
      <w:r>
        <w:rPr>
          <w:color w:val="000000" w:themeColor="text1"/>
        </w:rPr>
        <w:t xml:space="preserve"> к протоколу</w:t>
      </w:r>
      <w:r w:rsidRPr="00081AD4">
        <w:rPr>
          <w:color w:val="000000" w:themeColor="text1"/>
        </w:rPr>
        <w:t xml:space="preserve"> № </w:t>
      </w:r>
      <w:r>
        <w:rPr>
          <w:color w:val="000000" w:themeColor="text1"/>
        </w:rPr>
        <w:t>88</w:t>
      </w:r>
    </w:p>
    <w:p w14:paraId="085B54BE" w14:textId="77777777" w:rsidR="004A0123" w:rsidRPr="00081AD4" w:rsidRDefault="004A0123" w:rsidP="004A0123">
      <w:pPr>
        <w:tabs>
          <w:tab w:val="left" w:pos="3686"/>
          <w:tab w:val="left" w:pos="9498"/>
        </w:tabs>
        <w:ind w:left="-3734" w:right="-1" w:firstLine="8129"/>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4F747507" w14:textId="77777777" w:rsidR="004A0123" w:rsidRDefault="004A0123" w:rsidP="004A0123">
      <w:pPr>
        <w:tabs>
          <w:tab w:val="left" w:pos="3686"/>
          <w:tab w:val="left" w:pos="9498"/>
        </w:tabs>
        <w:ind w:left="-3734" w:right="-1" w:firstLine="8129"/>
        <w:rPr>
          <w:color w:val="000000" w:themeColor="text1"/>
        </w:rPr>
      </w:pPr>
      <w:r w:rsidRPr="00081AD4">
        <w:rPr>
          <w:color w:val="000000" w:themeColor="text1"/>
        </w:rPr>
        <w:t>энергетической комиссии</w:t>
      </w:r>
    </w:p>
    <w:p w14:paraId="3D059F4E" w14:textId="3E654E2A" w:rsidR="004A0123" w:rsidRDefault="004A0123" w:rsidP="004A0123">
      <w:pPr>
        <w:tabs>
          <w:tab w:val="left" w:pos="3686"/>
          <w:tab w:val="left" w:pos="9498"/>
        </w:tabs>
        <w:ind w:left="-3734" w:right="-1" w:firstLine="8129"/>
        <w:rPr>
          <w:color w:val="000000" w:themeColor="text1"/>
        </w:rPr>
      </w:pPr>
      <w:r w:rsidRPr="00081AD4">
        <w:rPr>
          <w:color w:val="000000" w:themeColor="text1"/>
        </w:rPr>
        <w:t xml:space="preserve">Кузбасса от </w:t>
      </w:r>
      <w:r>
        <w:rPr>
          <w:color w:val="000000" w:themeColor="text1"/>
        </w:rPr>
        <w:t>23</w:t>
      </w:r>
      <w:r w:rsidRPr="00081AD4">
        <w:rPr>
          <w:color w:val="000000" w:themeColor="text1"/>
        </w:rPr>
        <w:t>.</w:t>
      </w:r>
      <w:r>
        <w:rPr>
          <w:color w:val="000000" w:themeColor="text1"/>
        </w:rPr>
        <w:t>12</w:t>
      </w:r>
      <w:r w:rsidRPr="00081AD4">
        <w:rPr>
          <w:color w:val="000000" w:themeColor="text1"/>
        </w:rPr>
        <w:t>.202</w:t>
      </w:r>
      <w:r>
        <w:rPr>
          <w:color w:val="000000" w:themeColor="text1"/>
        </w:rPr>
        <w:t>1</w:t>
      </w:r>
    </w:p>
    <w:p w14:paraId="7DF1E35F" w14:textId="77777777" w:rsidR="004A0123" w:rsidRPr="00640447" w:rsidRDefault="004A0123" w:rsidP="004A0123">
      <w:pPr>
        <w:autoSpaceDE w:val="0"/>
        <w:autoSpaceDN w:val="0"/>
        <w:adjustRightInd w:val="0"/>
        <w:ind w:left="4962" w:firstLine="7309"/>
        <w:jc w:val="both"/>
        <w:rPr>
          <w:sz w:val="22"/>
          <w:szCs w:val="22"/>
        </w:rPr>
      </w:pPr>
    </w:p>
    <w:p w14:paraId="43ACB331" w14:textId="77777777" w:rsidR="004A0123" w:rsidRPr="000D3D0C" w:rsidRDefault="004A0123" w:rsidP="004A0123">
      <w:pPr>
        <w:jc w:val="center"/>
        <w:rPr>
          <w:b/>
          <w:bCs/>
          <w:sz w:val="28"/>
          <w:szCs w:val="28"/>
        </w:rPr>
      </w:pPr>
      <w:r w:rsidRPr="000D3D0C">
        <w:rPr>
          <w:b/>
          <w:bCs/>
          <w:sz w:val="28"/>
          <w:szCs w:val="28"/>
        </w:rPr>
        <w:t>Экспертное заключение</w:t>
      </w:r>
    </w:p>
    <w:p w14:paraId="5363260F" w14:textId="77777777" w:rsidR="004A0123" w:rsidRPr="000D3D0C" w:rsidRDefault="004A0123" w:rsidP="004A0123">
      <w:pPr>
        <w:jc w:val="center"/>
        <w:rPr>
          <w:b/>
          <w:bCs/>
          <w:sz w:val="28"/>
          <w:szCs w:val="28"/>
        </w:rPr>
      </w:pPr>
      <w:r w:rsidRPr="000D3D0C">
        <w:rPr>
          <w:b/>
          <w:bCs/>
          <w:sz w:val="28"/>
          <w:szCs w:val="28"/>
        </w:rPr>
        <w:t>Региональной энергетической комиссии Кузбасса</w:t>
      </w:r>
    </w:p>
    <w:p w14:paraId="1DB7DD53" w14:textId="77777777" w:rsidR="004A0123" w:rsidRPr="000D3D0C" w:rsidRDefault="004A0123" w:rsidP="004A0123">
      <w:pPr>
        <w:jc w:val="center"/>
        <w:rPr>
          <w:sz w:val="28"/>
          <w:szCs w:val="28"/>
        </w:rPr>
      </w:pPr>
      <w:r w:rsidRPr="000D3D0C">
        <w:rPr>
          <w:sz w:val="28"/>
          <w:szCs w:val="28"/>
        </w:rPr>
        <w:t xml:space="preserve">по материалам, представленным ОАО «СКЭК», </w:t>
      </w:r>
    </w:p>
    <w:p w14:paraId="31B284C2" w14:textId="77777777" w:rsidR="004A0123" w:rsidRPr="000D3D0C" w:rsidRDefault="004A0123" w:rsidP="004A0123">
      <w:pPr>
        <w:jc w:val="center"/>
        <w:rPr>
          <w:sz w:val="28"/>
          <w:szCs w:val="28"/>
        </w:rPr>
      </w:pPr>
      <w:r w:rsidRPr="000D3D0C">
        <w:rPr>
          <w:sz w:val="28"/>
          <w:szCs w:val="28"/>
        </w:rPr>
        <w:t>для утверждения инвестиционной программы в сфере теплоснабжения</w:t>
      </w:r>
    </w:p>
    <w:p w14:paraId="289BC485" w14:textId="77777777" w:rsidR="004A0123" w:rsidRPr="000D3D0C" w:rsidRDefault="004A0123" w:rsidP="004A0123">
      <w:pPr>
        <w:jc w:val="center"/>
        <w:rPr>
          <w:sz w:val="28"/>
          <w:szCs w:val="28"/>
        </w:rPr>
      </w:pPr>
      <w:r w:rsidRPr="000D3D0C">
        <w:rPr>
          <w:sz w:val="28"/>
          <w:szCs w:val="28"/>
        </w:rPr>
        <w:t>по узлу теплоснабжения Тайгинского городского округа</w:t>
      </w:r>
    </w:p>
    <w:p w14:paraId="7ACEE513" w14:textId="77777777" w:rsidR="004A0123" w:rsidRPr="000D3D0C" w:rsidRDefault="004A0123" w:rsidP="004A0123">
      <w:pPr>
        <w:jc w:val="center"/>
        <w:rPr>
          <w:sz w:val="28"/>
          <w:szCs w:val="28"/>
        </w:rPr>
      </w:pPr>
      <w:r w:rsidRPr="000D3D0C">
        <w:rPr>
          <w:sz w:val="28"/>
          <w:szCs w:val="28"/>
        </w:rPr>
        <w:t>на 2021 - 2030 годы</w:t>
      </w:r>
    </w:p>
    <w:p w14:paraId="6E370408" w14:textId="77777777" w:rsidR="004A0123" w:rsidRPr="000D3D0C" w:rsidRDefault="004A0123" w:rsidP="004A0123">
      <w:pPr>
        <w:spacing w:line="276" w:lineRule="auto"/>
        <w:ind w:left="-142" w:firstLine="505"/>
        <w:jc w:val="both"/>
        <w:rPr>
          <w:sz w:val="28"/>
          <w:szCs w:val="28"/>
        </w:rPr>
      </w:pPr>
    </w:p>
    <w:p w14:paraId="4FA2AA1B" w14:textId="77777777" w:rsidR="004A0123" w:rsidRPr="000D3D0C" w:rsidRDefault="004A0123" w:rsidP="004A0123">
      <w:pPr>
        <w:spacing w:line="276" w:lineRule="auto"/>
        <w:ind w:left="-142" w:firstLine="505"/>
        <w:jc w:val="both"/>
        <w:rPr>
          <w:sz w:val="28"/>
          <w:szCs w:val="28"/>
        </w:rPr>
      </w:pPr>
      <w:r w:rsidRPr="000D3D0C">
        <w:rPr>
          <w:sz w:val="28"/>
          <w:szCs w:val="28"/>
        </w:rPr>
        <w:t>Нормативно-методической основой проведения анализа материалов, представленных ОАО «</w:t>
      </w:r>
      <w:r w:rsidRPr="000D3D0C">
        <w:rPr>
          <w:bCs/>
          <w:sz w:val="28"/>
          <w:szCs w:val="28"/>
        </w:rPr>
        <w:t>СКЭК» (г. Кемерово)</w:t>
      </w:r>
      <w:r w:rsidRPr="000D3D0C">
        <w:rPr>
          <w:sz w:val="28"/>
          <w:szCs w:val="28"/>
        </w:rPr>
        <w:t xml:space="preserve"> являются:</w:t>
      </w:r>
    </w:p>
    <w:p w14:paraId="2E64A9BF" w14:textId="77777777" w:rsidR="004A0123" w:rsidRPr="000D3D0C" w:rsidRDefault="004A0123" w:rsidP="004A0123">
      <w:pPr>
        <w:spacing w:line="276" w:lineRule="auto"/>
        <w:ind w:left="-142" w:firstLine="505"/>
        <w:jc w:val="both"/>
        <w:rPr>
          <w:sz w:val="28"/>
          <w:szCs w:val="28"/>
        </w:rPr>
      </w:pPr>
      <w:r w:rsidRPr="000D3D0C">
        <w:rPr>
          <w:sz w:val="28"/>
          <w:szCs w:val="28"/>
        </w:rPr>
        <w:t>- Гражданский кодекс Российской Федерации;</w:t>
      </w:r>
    </w:p>
    <w:p w14:paraId="66D0D95A" w14:textId="77777777" w:rsidR="004A0123" w:rsidRPr="000D3D0C" w:rsidRDefault="004A0123" w:rsidP="004A0123">
      <w:pPr>
        <w:spacing w:line="276" w:lineRule="auto"/>
        <w:ind w:left="-142" w:firstLine="505"/>
        <w:jc w:val="both"/>
        <w:rPr>
          <w:sz w:val="28"/>
          <w:szCs w:val="28"/>
        </w:rPr>
      </w:pPr>
      <w:r w:rsidRPr="000D3D0C">
        <w:rPr>
          <w:sz w:val="28"/>
          <w:szCs w:val="28"/>
        </w:rPr>
        <w:t>- Приказ ФСТ России от 13.06.2013 № 760-э «Об утверждении методических указаний по расчету регулируемых цен (тарифов) в сфере теплоснабжения»;</w:t>
      </w:r>
    </w:p>
    <w:p w14:paraId="752F5125" w14:textId="77777777" w:rsidR="004A0123" w:rsidRPr="000D3D0C" w:rsidRDefault="004A0123" w:rsidP="004A0123">
      <w:pPr>
        <w:spacing w:line="276" w:lineRule="auto"/>
        <w:ind w:left="-142" w:firstLine="505"/>
        <w:jc w:val="both"/>
        <w:rPr>
          <w:sz w:val="28"/>
          <w:szCs w:val="28"/>
        </w:rPr>
      </w:pPr>
      <w:r w:rsidRPr="000D3D0C">
        <w:rPr>
          <w:sz w:val="28"/>
          <w:szCs w:val="28"/>
        </w:rPr>
        <w:t>- Налоговый кодекс Российской Федерации (в дальнейшем НК РФ);</w:t>
      </w:r>
    </w:p>
    <w:p w14:paraId="3348F785" w14:textId="77777777" w:rsidR="004A0123" w:rsidRPr="000D3D0C" w:rsidRDefault="004A0123" w:rsidP="004A0123">
      <w:pPr>
        <w:spacing w:line="276" w:lineRule="auto"/>
        <w:ind w:left="-142" w:firstLine="505"/>
        <w:jc w:val="both"/>
        <w:rPr>
          <w:sz w:val="28"/>
          <w:szCs w:val="28"/>
        </w:rPr>
      </w:pPr>
      <w:r w:rsidRPr="000D3D0C">
        <w:rPr>
          <w:sz w:val="28"/>
          <w:szCs w:val="28"/>
        </w:rPr>
        <w:t>- Трудовой Кодекс Российской Федерации (в дальнейшем ТК РФ);</w:t>
      </w:r>
    </w:p>
    <w:p w14:paraId="114C858E" w14:textId="77777777" w:rsidR="004A0123" w:rsidRPr="000D3D0C" w:rsidRDefault="004A0123" w:rsidP="004A0123">
      <w:pPr>
        <w:spacing w:line="276" w:lineRule="auto"/>
        <w:ind w:left="-142" w:firstLine="505"/>
        <w:jc w:val="both"/>
        <w:rPr>
          <w:sz w:val="28"/>
          <w:szCs w:val="28"/>
        </w:rPr>
      </w:pPr>
      <w:r w:rsidRPr="000D3D0C">
        <w:rPr>
          <w:sz w:val="28"/>
          <w:szCs w:val="28"/>
        </w:rPr>
        <w:t>- Федеральный закон от 27.07.2010 № 190-ФЗ «О теплоснабжении»;</w:t>
      </w:r>
    </w:p>
    <w:p w14:paraId="3FAC6311" w14:textId="77777777" w:rsidR="004A0123" w:rsidRPr="000D3D0C" w:rsidRDefault="004A0123" w:rsidP="004A0123">
      <w:pPr>
        <w:spacing w:line="276" w:lineRule="auto"/>
        <w:ind w:left="-142" w:firstLine="505"/>
        <w:jc w:val="both"/>
        <w:rPr>
          <w:sz w:val="28"/>
          <w:szCs w:val="28"/>
        </w:rPr>
      </w:pPr>
      <w:r w:rsidRPr="000D3D0C">
        <w:rPr>
          <w:sz w:val="28"/>
          <w:szCs w:val="28"/>
        </w:rPr>
        <w:t>- Федеральный Закон от 17.08.1995 № 147-ФЗ «О естественных монополиях»;</w:t>
      </w:r>
    </w:p>
    <w:p w14:paraId="53614BC8" w14:textId="77777777" w:rsidR="004A0123" w:rsidRPr="000D3D0C" w:rsidRDefault="004A0123" w:rsidP="004A0123">
      <w:pPr>
        <w:tabs>
          <w:tab w:val="num" w:pos="360"/>
          <w:tab w:val="num" w:pos="1080"/>
        </w:tabs>
        <w:spacing w:line="276" w:lineRule="auto"/>
        <w:ind w:left="-142" w:firstLine="505"/>
        <w:jc w:val="both"/>
        <w:rPr>
          <w:sz w:val="28"/>
          <w:szCs w:val="28"/>
        </w:rPr>
      </w:pPr>
      <w:r w:rsidRPr="000D3D0C">
        <w:rPr>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56A511DE" w14:textId="77777777" w:rsidR="004A0123" w:rsidRPr="000D3D0C" w:rsidRDefault="004A0123" w:rsidP="004A0123">
      <w:pPr>
        <w:tabs>
          <w:tab w:val="num" w:pos="360"/>
          <w:tab w:val="num" w:pos="1080"/>
        </w:tabs>
        <w:spacing w:line="276" w:lineRule="auto"/>
        <w:ind w:left="-142" w:firstLine="505"/>
        <w:jc w:val="both"/>
        <w:rPr>
          <w:sz w:val="28"/>
          <w:szCs w:val="28"/>
        </w:rPr>
      </w:pPr>
      <w:r w:rsidRPr="000D3D0C">
        <w:rPr>
          <w:sz w:val="28"/>
          <w:szCs w:val="28"/>
        </w:rPr>
        <w:t>- Постановление Правительства Российской Федерации 22.10.2012 №1075 «О ценообразовании в сфере теплоснабжения»;</w:t>
      </w:r>
    </w:p>
    <w:p w14:paraId="15AB662A" w14:textId="77777777" w:rsidR="004A0123" w:rsidRPr="000D3D0C" w:rsidRDefault="004A0123" w:rsidP="004A0123">
      <w:pPr>
        <w:tabs>
          <w:tab w:val="num" w:pos="360"/>
          <w:tab w:val="num" w:pos="1080"/>
        </w:tabs>
        <w:spacing w:line="276" w:lineRule="auto"/>
        <w:ind w:left="-142" w:firstLine="505"/>
        <w:jc w:val="both"/>
        <w:rPr>
          <w:sz w:val="28"/>
          <w:szCs w:val="28"/>
        </w:rPr>
      </w:pPr>
      <w:r w:rsidRPr="000D3D0C">
        <w:rPr>
          <w:sz w:val="28"/>
          <w:szCs w:val="28"/>
        </w:rPr>
        <w:t>- Приказ Министерства строительства и жилищно-коммунального хозяйства Российской Федерации от 28.08. 2014 №506/пр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6B7B1E0A" w14:textId="77777777" w:rsidR="004A0123" w:rsidRPr="000D3D0C" w:rsidRDefault="004A0123" w:rsidP="004A0123">
      <w:pPr>
        <w:tabs>
          <w:tab w:val="num" w:pos="360"/>
          <w:tab w:val="num" w:pos="1080"/>
        </w:tabs>
        <w:spacing w:line="276" w:lineRule="auto"/>
        <w:ind w:left="-142" w:firstLine="505"/>
        <w:jc w:val="both"/>
        <w:rPr>
          <w:rFonts w:eastAsia="Calibri"/>
          <w:sz w:val="28"/>
          <w:szCs w:val="28"/>
          <w:lang w:eastAsia="en-US"/>
        </w:rPr>
      </w:pPr>
      <w:r w:rsidRPr="000D3D0C">
        <w:rPr>
          <w:rFonts w:eastAsia="Calibri"/>
          <w:sz w:val="28"/>
          <w:szCs w:val="28"/>
          <w:lang w:eastAsia="en-US"/>
        </w:rPr>
        <w:t>- Схема теплоснабжения Тайгинского городского округа до 2030 г. Актуализация на 2022 год;</w:t>
      </w:r>
    </w:p>
    <w:p w14:paraId="6D3C5C18" w14:textId="77777777" w:rsidR="004A0123" w:rsidRPr="000D3D0C" w:rsidRDefault="004A0123" w:rsidP="004A0123">
      <w:pPr>
        <w:spacing w:line="276" w:lineRule="auto"/>
        <w:ind w:firstLine="567"/>
        <w:jc w:val="both"/>
        <w:rPr>
          <w:sz w:val="28"/>
          <w:szCs w:val="28"/>
        </w:rPr>
      </w:pPr>
      <w:r w:rsidRPr="000D3D0C">
        <w:rPr>
          <w:sz w:val="28"/>
          <w:szCs w:val="28"/>
        </w:rPr>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3FA5E54D" w14:textId="77777777" w:rsidR="004A0123" w:rsidRPr="000D3D0C" w:rsidRDefault="004A0123" w:rsidP="004A0123">
      <w:pPr>
        <w:spacing w:line="276" w:lineRule="auto"/>
        <w:ind w:firstLine="567"/>
        <w:jc w:val="both"/>
        <w:rPr>
          <w:sz w:val="25"/>
          <w:szCs w:val="25"/>
        </w:rPr>
      </w:pPr>
    </w:p>
    <w:p w14:paraId="5A5A9A0E" w14:textId="77777777" w:rsidR="004A0123" w:rsidRPr="000D3D0C" w:rsidRDefault="004A0123" w:rsidP="004A0123">
      <w:pPr>
        <w:tabs>
          <w:tab w:val="left" w:pos="720"/>
        </w:tabs>
        <w:spacing w:line="276" w:lineRule="auto"/>
        <w:ind w:firstLine="709"/>
        <w:jc w:val="both"/>
        <w:rPr>
          <w:sz w:val="28"/>
          <w:szCs w:val="28"/>
        </w:rPr>
      </w:pPr>
      <w:r w:rsidRPr="000D3D0C">
        <w:rPr>
          <w:sz w:val="28"/>
          <w:szCs w:val="28"/>
        </w:rPr>
        <w:t xml:space="preserve">ОАО «СКЭК» (далее Предприятие) представило в Региональную энергетическую комиссию Кузбасса заявление с просьбой об утверждении инвестиционной программы </w:t>
      </w:r>
      <w:r w:rsidRPr="000D3D0C">
        <w:rPr>
          <w:sz w:val="28"/>
          <w:szCs w:val="28"/>
        </w:rPr>
        <w:br/>
        <w:t>на 2021-2030 годы.</w:t>
      </w:r>
    </w:p>
    <w:p w14:paraId="60D4F82E" w14:textId="77777777" w:rsidR="004A0123" w:rsidRPr="000D3D0C" w:rsidRDefault="004A0123" w:rsidP="004A0123">
      <w:pPr>
        <w:tabs>
          <w:tab w:val="num" w:pos="360"/>
          <w:tab w:val="num" w:pos="1080"/>
        </w:tabs>
        <w:spacing w:line="276" w:lineRule="auto"/>
        <w:ind w:left="-142" w:firstLine="505"/>
        <w:jc w:val="both"/>
        <w:rPr>
          <w:sz w:val="28"/>
          <w:szCs w:val="28"/>
        </w:rPr>
      </w:pPr>
      <w:r w:rsidRPr="000D3D0C">
        <w:rPr>
          <w:sz w:val="28"/>
          <w:szCs w:val="28"/>
        </w:rPr>
        <w:t xml:space="preserve">Предприятие представило инвестиционную программу </w:t>
      </w:r>
      <w:r w:rsidRPr="000D3D0C">
        <w:rPr>
          <w:sz w:val="28"/>
          <w:szCs w:val="28"/>
        </w:rPr>
        <w:br/>
        <w:t>в размере 574 985 тыс. руб. (без НДС), в т.ч. из амортизационных отчислений 318 240 тыс. руб., и из прибыли 256 745 тыс. руб.</w:t>
      </w:r>
    </w:p>
    <w:p w14:paraId="6541E888" w14:textId="77777777" w:rsidR="004A0123" w:rsidRPr="000D3D0C" w:rsidRDefault="004A0123" w:rsidP="004A0123">
      <w:pPr>
        <w:tabs>
          <w:tab w:val="left" w:pos="720"/>
        </w:tabs>
        <w:spacing w:line="276" w:lineRule="auto"/>
        <w:ind w:firstLine="709"/>
        <w:jc w:val="both"/>
        <w:rPr>
          <w:bCs/>
          <w:kern w:val="32"/>
          <w:sz w:val="28"/>
          <w:szCs w:val="28"/>
        </w:rPr>
      </w:pPr>
      <w:r w:rsidRPr="000D3D0C">
        <w:rPr>
          <w:bCs/>
          <w:kern w:val="32"/>
          <w:sz w:val="28"/>
          <w:szCs w:val="28"/>
        </w:rPr>
        <w:t>Экспертами объем финансирования, в том числе разбивка по источникам финансирования, приняты согласно заключенному концессионному соглашению в отношении объектов теплоснабжения, находящихся в муниципальной собственности муниципального образования Тайгинского городского округа, с учетом ранее выданных Региональной энергетической комиссией Кузбасса долгосрочных параметров регулирования для заключения концессионного соглашения.</w:t>
      </w:r>
    </w:p>
    <w:p w14:paraId="2C8291DC" w14:textId="77777777" w:rsidR="004A0123" w:rsidRPr="000D3D0C" w:rsidRDefault="004A0123" w:rsidP="004A0123">
      <w:pPr>
        <w:autoSpaceDE w:val="0"/>
        <w:autoSpaceDN w:val="0"/>
        <w:adjustRightInd w:val="0"/>
        <w:spacing w:line="276" w:lineRule="auto"/>
        <w:ind w:firstLine="540"/>
        <w:jc w:val="both"/>
        <w:rPr>
          <w:bCs/>
          <w:sz w:val="28"/>
          <w:szCs w:val="20"/>
        </w:rPr>
      </w:pPr>
      <w:r w:rsidRPr="000D3D0C">
        <w:rPr>
          <w:bCs/>
          <w:sz w:val="28"/>
          <w:szCs w:val="20"/>
        </w:rPr>
        <w:t xml:space="preserve">Инвестиционная программа соответствует п. </w:t>
      </w:r>
      <w:hyperlink r:id="rId69" w:history="1">
        <w:r w:rsidRPr="000D3D0C">
          <w:rPr>
            <w:bCs/>
            <w:sz w:val="28"/>
            <w:szCs w:val="20"/>
          </w:rPr>
          <w:t>8</w:t>
        </w:r>
      </w:hyperlink>
      <w:r w:rsidRPr="000D3D0C">
        <w:rPr>
          <w:bCs/>
          <w:sz w:val="28"/>
          <w:szCs w:val="20"/>
        </w:rPr>
        <w:t xml:space="preserve"> - </w:t>
      </w:r>
      <w:hyperlink r:id="rId70" w:history="1">
        <w:r w:rsidRPr="000D3D0C">
          <w:rPr>
            <w:bCs/>
            <w:sz w:val="28"/>
            <w:szCs w:val="20"/>
          </w:rPr>
          <w:t>19</w:t>
        </w:r>
      </w:hyperlink>
      <w:r w:rsidRPr="000D3D0C">
        <w:rPr>
          <w:bCs/>
          <w:sz w:val="28"/>
          <w:szCs w:val="20"/>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w:t>
      </w:r>
      <w:r w:rsidRPr="000D3D0C">
        <w:rPr>
          <w:bCs/>
          <w:sz w:val="28"/>
          <w:szCs w:val="20"/>
        </w:rPr>
        <w:br/>
        <w:t>от 5 мая 2014 г. №410 (далее Правила).</w:t>
      </w:r>
    </w:p>
    <w:p w14:paraId="28226057" w14:textId="77777777" w:rsidR="004A0123" w:rsidRPr="000D3D0C" w:rsidRDefault="004A0123" w:rsidP="004A0123">
      <w:pPr>
        <w:autoSpaceDE w:val="0"/>
        <w:autoSpaceDN w:val="0"/>
        <w:adjustRightInd w:val="0"/>
        <w:spacing w:line="276" w:lineRule="auto"/>
        <w:ind w:firstLine="540"/>
        <w:jc w:val="both"/>
        <w:rPr>
          <w:bCs/>
          <w:sz w:val="28"/>
          <w:szCs w:val="20"/>
        </w:rPr>
      </w:pPr>
      <w:r w:rsidRPr="000D3D0C">
        <w:rPr>
          <w:bCs/>
          <w:sz w:val="28"/>
          <w:szCs w:val="20"/>
        </w:rPr>
        <w:t xml:space="preserve">Инвестиционная программа соответствует п. 6 Правил, целесообразность реализации мероприятий инвестиционной программы обоснована в схеме теплоснабжения Тайгинского городского округа </w:t>
      </w:r>
      <w:r w:rsidRPr="000D3D0C">
        <w:rPr>
          <w:rFonts w:eastAsia="Calibri"/>
          <w:sz w:val="28"/>
          <w:szCs w:val="28"/>
          <w:lang w:eastAsia="en-US"/>
        </w:rPr>
        <w:t>до 2030 г. Актуализация на 2022 год</w:t>
      </w:r>
      <w:r w:rsidRPr="000D3D0C">
        <w:rPr>
          <w:bCs/>
          <w:sz w:val="28"/>
          <w:szCs w:val="20"/>
        </w:rPr>
        <w:t>, утвержденной постановлением Администрации Тайгинского городского округа № 345-п от 28.06.2021 (http://adm-tayga.ru/images/GOROD/ADM/DOCS/358-%D0%BF_%D0%BE%D1%82_05.07.2021__%D0%BA%D0%BE%D0%BD%D0%BA%D1%83%D1%80%D1%81_%D0%BF%D0%BE_%D0%B1%D0%BB%D0%B0%D0%B3%D0%BE%D1%83%D1%81%D1%82%D1%80%D0%BE%D0%B9%D1%81%D1%82%D0%B2%D1%83_2019.docx)</w:t>
      </w:r>
    </w:p>
    <w:p w14:paraId="49D6C505" w14:textId="77777777" w:rsidR="004A0123" w:rsidRPr="000D3D0C" w:rsidRDefault="004A0123" w:rsidP="004A0123">
      <w:pPr>
        <w:spacing w:line="276" w:lineRule="auto"/>
        <w:ind w:firstLine="709"/>
        <w:jc w:val="both"/>
        <w:rPr>
          <w:bCs/>
          <w:sz w:val="28"/>
          <w:szCs w:val="20"/>
        </w:rPr>
      </w:pPr>
      <w:r w:rsidRPr="000D3D0C">
        <w:rPr>
          <w:bCs/>
          <w:sz w:val="28"/>
          <w:szCs w:val="20"/>
        </w:rPr>
        <w:t xml:space="preserve">В соответствии с требованиями п. 21 Правил инвестиционная программа в сфере теплоснабжения ОАО «СКЭК» по узлу теплоснабжения Тайгинского городского округа на 2021-2030 годы согласована главой Тайгинского городского округа М.Е. Теремецким. </w:t>
      </w:r>
    </w:p>
    <w:p w14:paraId="4F511B5F" w14:textId="77777777" w:rsidR="004A0123" w:rsidRPr="000D3D0C" w:rsidRDefault="004A0123" w:rsidP="004A0123">
      <w:pPr>
        <w:spacing w:line="276" w:lineRule="auto"/>
        <w:ind w:firstLine="709"/>
        <w:jc w:val="both"/>
        <w:rPr>
          <w:sz w:val="28"/>
          <w:szCs w:val="28"/>
        </w:rPr>
      </w:pPr>
      <w:r w:rsidRPr="000D3D0C">
        <w:rPr>
          <w:sz w:val="28"/>
          <w:szCs w:val="28"/>
        </w:rPr>
        <w:t>В качестве обосновывающих материалов представлены пояснительная записка, концессионное соглашение, сметные расчеты, коммерческие предложения.</w:t>
      </w:r>
    </w:p>
    <w:p w14:paraId="7593DB15" w14:textId="77777777" w:rsidR="004A0123" w:rsidRPr="000D3D0C" w:rsidRDefault="004A0123" w:rsidP="004A0123">
      <w:pPr>
        <w:spacing w:line="276" w:lineRule="auto"/>
        <w:ind w:firstLine="709"/>
        <w:jc w:val="both"/>
        <w:rPr>
          <w:sz w:val="28"/>
          <w:szCs w:val="28"/>
        </w:rPr>
      </w:pPr>
      <w:r w:rsidRPr="000D3D0C">
        <w:rPr>
          <w:sz w:val="28"/>
          <w:szCs w:val="28"/>
        </w:rPr>
        <w:t>Обоснованность стоимостных показателей (сметных расчетов), включаемых экспертами в инвестиционную программу, проверена с помощью программного комплекса ГРАНД-Смета. В результате проверки экспертами стоимость мероприятий признана обоснованной.</w:t>
      </w:r>
    </w:p>
    <w:p w14:paraId="4448B116" w14:textId="77777777" w:rsidR="004A0123" w:rsidRPr="000D3D0C" w:rsidRDefault="004A0123" w:rsidP="004A0123">
      <w:pPr>
        <w:tabs>
          <w:tab w:val="left" w:pos="720"/>
        </w:tabs>
        <w:spacing w:line="276" w:lineRule="auto"/>
        <w:ind w:firstLine="709"/>
        <w:jc w:val="both"/>
        <w:rPr>
          <w:sz w:val="28"/>
          <w:szCs w:val="28"/>
        </w:rPr>
      </w:pPr>
      <w:r w:rsidRPr="000D3D0C">
        <w:rPr>
          <w:sz w:val="28"/>
          <w:szCs w:val="28"/>
        </w:rPr>
        <w:t>Таким образом, экспертами объем финансирования инвестиционной программы на 2021-2030 годы признан обоснованным в размере 574 985 тыс. руб. (без НДС), в т.ч. из амортизационных отчислений 318 240 тыс. руб., и из прибыли 256 745 тыс. руб.:</w:t>
      </w:r>
    </w:p>
    <w:tbl>
      <w:tblPr>
        <w:tblW w:w="9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04"/>
        <w:gridCol w:w="1347"/>
        <w:gridCol w:w="973"/>
        <w:gridCol w:w="709"/>
        <w:gridCol w:w="425"/>
        <w:gridCol w:w="567"/>
        <w:gridCol w:w="709"/>
        <w:gridCol w:w="709"/>
        <w:gridCol w:w="708"/>
        <w:gridCol w:w="683"/>
        <w:gridCol w:w="593"/>
        <w:gridCol w:w="709"/>
        <w:gridCol w:w="716"/>
        <w:gridCol w:w="651"/>
      </w:tblGrid>
      <w:tr w:rsidR="004A0123" w:rsidRPr="000D3D0C" w14:paraId="59E5903E" w14:textId="77777777" w:rsidTr="008A5C11">
        <w:trPr>
          <w:trHeight w:val="149"/>
          <w:jc w:val="center"/>
        </w:trPr>
        <w:tc>
          <w:tcPr>
            <w:tcW w:w="304" w:type="dxa"/>
            <w:vMerge w:val="restart"/>
            <w:shd w:val="clear" w:color="auto" w:fill="auto"/>
            <w:tcMar>
              <w:left w:w="28" w:type="dxa"/>
              <w:right w:w="28" w:type="dxa"/>
            </w:tcMar>
            <w:vAlign w:val="center"/>
            <w:hideMark/>
          </w:tcPr>
          <w:p w14:paraId="33BE6798" w14:textId="77777777" w:rsidR="004A0123" w:rsidRPr="000D3D0C" w:rsidRDefault="004A0123" w:rsidP="008A5C11">
            <w:pPr>
              <w:jc w:val="center"/>
              <w:rPr>
                <w:bCs/>
                <w:sz w:val="14"/>
                <w:szCs w:val="14"/>
              </w:rPr>
            </w:pPr>
            <w:r w:rsidRPr="000D3D0C">
              <w:rPr>
                <w:bCs/>
                <w:sz w:val="14"/>
                <w:szCs w:val="14"/>
              </w:rPr>
              <w:t>№ п/п</w:t>
            </w:r>
          </w:p>
        </w:tc>
        <w:tc>
          <w:tcPr>
            <w:tcW w:w="1347" w:type="dxa"/>
            <w:vMerge w:val="restart"/>
            <w:shd w:val="clear" w:color="auto" w:fill="auto"/>
            <w:tcMar>
              <w:left w:w="28" w:type="dxa"/>
              <w:right w:w="28" w:type="dxa"/>
            </w:tcMar>
            <w:vAlign w:val="center"/>
            <w:hideMark/>
          </w:tcPr>
          <w:p w14:paraId="2A98FA74" w14:textId="77777777" w:rsidR="004A0123" w:rsidRPr="000D3D0C" w:rsidRDefault="004A0123" w:rsidP="008A5C11">
            <w:pPr>
              <w:jc w:val="center"/>
              <w:rPr>
                <w:bCs/>
                <w:sz w:val="14"/>
                <w:szCs w:val="14"/>
              </w:rPr>
            </w:pPr>
            <w:r w:rsidRPr="000D3D0C">
              <w:rPr>
                <w:bCs/>
                <w:sz w:val="14"/>
                <w:szCs w:val="14"/>
              </w:rPr>
              <w:t>Источники финансирования</w:t>
            </w:r>
          </w:p>
        </w:tc>
        <w:tc>
          <w:tcPr>
            <w:tcW w:w="8152" w:type="dxa"/>
            <w:gridSpan w:val="12"/>
            <w:tcMar>
              <w:left w:w="28" w:type="dxa"/>
              <w:right w:w="28" w:type="dxa"/>
            </w:tcMar>
            <w:vAlign w:val="center"/>
          </w:tcPr>
          <w:p w14:paraId="49CCEB83" w14:textId="77777777" w:rsidR="004A0123" w:rsidRPr="000D3D0C" w:rsidRDefault="004A0123" w:rsidP="008A5C11">
            <w:pPr>
              <w:jc w:val="center"/>
              <w:rPr>
                <w:bCs/>
                <w:sz w:val="14"/>
                <w:szCs w:val="14"/>
              </w:rPr>
            </w:pPr>
            <w:r w:rsidRPr="000D3D0C">
              <w:rPr>
                <w:bCs/>
                <w:sz w:val="14"/>
                <w:szCs w:val="14"/>
              </w:rPr>
              <w:t>Расходы на реализацию инвестиционной программы (тыс. руб.)</w:t>
            </w:r>
          </w:p>
          <w:p w14:paraId="5573E358" w14:textId="77777777" w:rsidR="004A0123" w:rsidRPr="000D3D0C" w:rsidRDefault="004A0123" w:rsidP="008A5C11">
            <w:pPr>
              <w:jc w:val="center"/>
              <w:rPr>
                <w:bCs/>
                <w:sz w:val="14"/>
                <w:szCs w:val="14"/>
              </w:rPr>
            </w:pPr>
            <w:r w:rsidRPr="000D3D0C">
              <w:rPr>
                <w:bCs/>
                <w:sz w:val="14"/>
                <w:szCs w:val="14"/>
              </w:rPr>
              <w:t>(без НДС)</w:t>
            </w:r>
          </w:p>
        </w:tc>
      </w:tr>
      <w:tr w:rsidR="004A0123" w:rsidRPr="000D3D0C" w14:paraId="56226C47" w14:textId="77777777" w:rsidTr="008A5C11">
        <w:trPr>
          <w:trHeight w:val="71"/>
          <w:jc w:val="center"/>
        </w:trPr>
        <w:tc>
          <w:tcPr>
            <w:tcW w:w="304" w:type="dxa"/>
            <w:vMerge/>
            <w:tcMar>
              <w:left w:w="28" w:type="dxa"/>
              <w:right w:w="28" w:type="dxa"/>
            </w:tcMar>
            <w:vAlign w:val="center"/>
            <w:hideMark/>
          </w:tcPr>
          <w:p w14:paraId="56DB7C3B" w14:textId="77777777" w:rsidR="004A0123" w:rsidRPr="000D3D0C" w:rsidRDefault="004A0123" w:rsidP="008A5C11">
            <w:pPr>
              <w:jc w:val="center"/>
              <w:rPr>
                <w:bCs/>
                <w:sz w:val="14"/>
                <w:szCs w:val="14"/>
              </w:rPr>
            </w:pPr>
          </w:p>
        </w:tc>
        <w:tc>
          <w:tcPr>
            <w:tcW w:w="1347" w:type="dxa"/>
            <w:vMerge/>
            <w:tcMar>
              <w:left w:w="28" w:type="dxa"/>
              <w:right w:w="28" w:type="dxa"/>
            </w:tcMar>
            <w:vAlign w:val="center"/>
            <w:hideMark/>
          </w:tcPr>
          <w:p w14:paraId="3D39B7E1" w14:textId="77777777" w:rsidR="004A0123" w:rsidRPr="000D3D0C" w:rsidRDefault="004A0123" w:rsidP="008A5C11">
            <w:pPr>
              <w:jc w:val="center"/>
              <w:rPr>
                <w:bCs/>
                <w:sz w:val="14"/>
                <w:szCs w:val="14"/>
              </w:rPr>
            </w:pPr>
          </w:p>
        </w:tc>
        <w:tc>
          <w:tcPr>
            <w:tcW w:w="973" w:type="dxa"/>
            <w:shd w:val="clear" w:color="auto" w:fill="auto"/>
            <w:tcMar>
              <w:left w:w="28" w:type="dxa"/>
              <w:right w:w="28" w:type="dxa"/>
            </w:tcMar>
            <w:vAlign w:val="center"/>
            <w:hideMark/>
          </w:tcPr>
          <w:p w14:paraId="6A500169" w14:textId="77777777" w:rsidR="004A0123" w:rsidRPr="000D3D0C" w:rsidRDefault="004A0123" w:rsidP="008A5C11">
            <w:pPr>
              <w:jc w:val="center"/>
              <w:rPr>
                <w:bCs/>
                <w:sz w:val="14"/>
                <w:szCs w:val="14"/>
              </w:rPr>
            </w:pPr>
            <w:r w:rsidRPr="000D3D0C">
              <w:rPr>
                <w:bCs/>
                <w:sz w:val="14"/>
                <w:szCs w:val="14"/>
              </w:rPr>
              <w:t>по видам деятельности</w:t>
            </w:r>
          </w:p>
        </w:tc>
        <w:tc>
          <w:tcPr>
            <w:tcW w:w="709" w:type="dxa"/>
            <w:vMerge w:val="restart"/>
            <w:shd w:val="clear" w:color="auto" w:fill="auto"/>
            <w:tcMar>
              <w:left w:w="28" w:type="dxa"/>
              <w:right w:w="28" w:type="dxa"/>
            </w:tcMar>
            <w:vAlign w:val="center"/>
            <w:hideMark/>
          </w:tcPr>
          <w:p w14:paraId="1A530EB6" w14:textId="77777777" w:rsidR="004A0123" w:rsidRPr="000D3D0C" w:rsidRDefault="004A0123" w:rsidP="008A5C11">
            <w:pPr>
              <w:jc w:val="center"/>
              <w:rPr>
                <w:bCs/>
                <w:sz w:val="14"/>
                <w:szCs w:val="14"/>
              </w:rPr>
            </w:pPr>
            <w:r w:rsidRPr="000D3D0C">
              <w:rPr>
                <w:bCs/>
                <w:sz w:val="14"/>
                <w:szCs w:val="14"/>
              </w:rPr>
              <w:t>Всего</w:t>
            </w:r>
          </w:p>
        </w:tc>
        <w:tc>
          <w:tcPr>
            <w:tcW w:w="6470" w:type="dxa"/>
            <w:gridSpan w:val="10"/>
            <w:tcMar>
              <w:left w:w="28" w:type="dxa"/>
              <w:right w:w="28" w:type="dxa"/>
            </w:tcMar>
            <w:vAlign w:val="center"/>
          </w:tcPr>
          <w:p w14:paraId="7F680F5D" w14:textId="77777777" w:rsidR="004A0123" w:rsidRPr="000D3D0C" w:rsidRDefault="004A0123" w:rsidP="008A5C11">
            <w:pPr>
              <w:jc w:val="center"/>
              <w:rPr>
                <w:bCs/>
                <w:sz w:val="14"/>
                <w:szCs w:val="14"/>
              </w:rPr>
            </w:pPr>
            <w:r w:rsidRPr="000D3D0C">
              <w:rPr>
                <w:bCs/>
                <w:sz w:val="14"/>
                <w:szCs w:val="14"/>
              </w:rPr>
              <w:t>в т.ч. по годам реализации</w:t>
            </w:r>
          </w:p>
        </w:tc>
      </w:tr>
      <w:tr w:rsidR="004A0123" w:rsidRPr="000D3D0C" w14:paraId="53FBFDE9" w14:textId="77777777" w:rsidTr="008A5C11">
        <w:trPr>
          <w:trHeight w:val="317"/>
          <w:jc w:val="center"/>
        </w:trPr>
        <w:tc>
          <w:tcPr>
            <w:tcW w:w="304" w:type="dxa"/>
            <w:vMerge/>
            <w:tcMar>
              <w:left w:w="28" w:type="dxa"/>
              <w:right w:w="28" w:type="dxa"/>
            </w:tcMar>
            <w:vAlign w:val="center"/>
            <w:hideMark/>
          </w:tcPr>
          <w:p w14:paraId="01A0C5A0" w14:textId="77777777" w:rsidR="004A0123" w:rsidRPr="000D3D0C" w:rsidRDefault="004A0123" w:rsidP="008A5C11">
            <w:pPr>
              <w:jc w:val="center"/>
              <w:rPr>
                <w:bCs/>
                <w:sz w:val="14"/>
                <w:szCs w:val="14"/>
              </w:rPr>
            </w:pPr>
          </w:p>
        </w:tc>
        <w:tc>
          <w:tcPr>
            <w:tcW w:w="1347" w:type="dxa"/>
            <w:vMerge/>
            <w:tcMar>
              <w:left w:w="28" w:type="dxa"/>
              <w:right w:w="28" w:type="dxa"/>
            </w:tcMar>
            <w:vAlign w:val="center"/>
            <w:hideMark/>
          </w:tcPr>
          <w:p w14:paraId="0FCA38D6" w14:textId="77777777" w:rsidR="004A0123" w:rsidRPr="000D3D0C" w:rsidRDefault="004A0123" w:rsidP="008A5C11">
            <w:pPr>
              <w:jc w:val="center"/>
              <w:rPr>
                <w:bCs/>
                <w:sz w:val="14"/>
                <w:szCs w:val="14"/>
              </w:rPr>
            </w:pPr>
          </w:p>
        </w:tc>
        <w:tc>
          <w:tcPr>
            <w:tcW w:w="973" w:type="dxa"/>
            <w:shd w:val="clear" w:color="auto" w:fill="auto"/>
            <w:tcMar>
              <w:left w:w="28" w:type="dxa"/>
              <w:right w:w="28" w:type="dxa"/>
            </w:tcMar>
            <w:vAlign w:val="center"/>
            <w:hideMark/>
          </w:tcPr>
          <w:p w14:paraId="5BF31593" w14:textId="77777777" w:rsidR="004A0123" w:rsidRPr="000D3D0C" w:rsidRDefault="004A0123" w:rsidP="008A5C11">
            <w:pPr>
              <w:jc w:val="center"/>
              <w:rPr>
                <w:bCs/>
                <w:iCs/>
                <w:sz w:val="14"/>
                <w:szCs w:val="14"/>
              </w:rPr>
            </w:pPr>
            <w:proofErr w:type="gramStart"/>
            <w:r w:rsidRPr="000D3D0C">
              <w:rPr>
                <w:bCs/>
                <w:iCs/>
                <w:sz w:val="14"/>
                <w:szCs w:val="14"/>
              </w:rPr>
              <w:t>Теплоснабже-ние</w:t>
            </w:r>
            <w:proofErr w:type="gramEnd"/>
          </w:p>
        </w:tc>
        <w:tc>
          <w:tcPr>
            <w:tcW w:w="709" w:type="dxa"/>
            <w:vMerge/>
            <w:tcMar>
              <w:left w:w="28" w:type="dxa"/>
              <w:right w:w="28" w:type="dxa"/>
            </w:tcMar>
            <w:vAlign w:val="center"/>
            <w:hideMark/>
          </w:tcPr>
          <w:p w14:paraId="178F97B6" w14:textId="77777777" w:rsidR="004A0123" w:rsidRPr="000D3D0C" w:rsidRDefault="004A0123" w:rsidP="008A5C11">
            <w:pPr>
              <w:jc w:val="center"/>
              <w:rPr>
                <w:bCs/>
                <w:sz w:val="14"/>
                <w:szCs w:val="14"/>
              </w:rPr>
            </w:pPr>
          </w:p>
        </w:tc>
        <w:tc>
          <w:tcPr>
            <w:tcW w:w="425" w:type="dxa"/>
            <w:tcMar>
              <w:left w:w="28" w:type="dxa"/>
              <w:right w:w="28" w:type="dxa"/>
            </w:tcMar>
            <w:vAlign w:val="center"/>
          </w:tcPr>
          <w:p w14:paraId="7ABBE11A" w14:textId="77777777" w:rsidR="004A0123" w:rsidRPr="000D3D0C" w:rsidRDefault="004A0123" w:rsidP="008A5C11">
            <w:pPr>
              <w:jc w:val="center"/>
              <w:rPr>
                <w:sz w:val="14"/>
                <w:szCs w:val="14"/>
              </w:rPr>
            </w:pPr>
            <w:r w:rsidRPr="000D3D0C">
              <w:rPr>
                <w:sz w:val="14"/>
                <w:szCs w:val="14"/>
              </w:rPr>
              <w:t>2021</w:t>
            </w:r>
          </w:p>
        </w:tc>
        <w:tc>
          <w:tcPr>
            <w:tcW w:w="567" w:type="dxa"/>
            <w:tcMar>
              <w:left w:w="28" w:type="dxa"/>
              <w:right w:w="28" w:type="dxa"/>
            </w:tcMar>
            <w:vAlign w:val="center"/>
          </w:tcPr>
          <w:p w14:paraId="14B7A74C" w14:textId="77777777" w:rsidR="004A0123" w:rsidRPr="000D3D0C" w:rsidRDefault="004A0123" w:rsidP="008A5C11">
            <w:pPr>
              <w:jc w:val="center"/>
              <w:rPr>
                <w:sz w:val="14"/>
                <w:szCs w:val="14"/>
              </w:rPr>
            </w:pPr>
            <w:r w:rsidRPr="000D3D0C">
              <w:rPr>
                <w:sz w:val="14"/>
                <w:szCs w:val="14"/>
              </w:rPr>
              <w:t>2022</w:t>
            </w:r>
          </w:p>
        </w:tc>
        <w:tc>
          <w:tcPr>
            <w:tcW w:w="709" w:type="dxa"/>
            <w:tcMar>
              <w:left w:w="28" w:type="dxa"/>
              <w:right w:w="28" w:type="dxa"/>
            </w:tcMar>
            <w:vAlign w:val="center"/>
          </w:tcPr>
          <w:p w14:paraId="6499C408" w14:textId="77777777" w:rsidR="004A0123" w:rsidRPr="000D3D0C" w:rsidRDefault="004A0123" w:rsidP="008A5C11">
            <w:pPr>
              <w:jc w:val="center"/>
              <w:rPr>
                <w:sz w:val="14"/>
                <w:szCs w:val="14"/>
              </w:rPr>
            </w:pPr>
            <w:r w:rsidRPr="000D3D0C">
              <w:rPr>
                <w:sz w:val="14"/>
                <w:szCs w:val="14"/>
              </w:rPr>
              <w:t>2023</w:t>
            </w:r>
          </w:p>
        </w:tc>
        <w:tc>
          <w:tcPr>
            <w:tcW w:w="709" w:type="dxa"/>
            <w:tcMar>
              <w:left w:w="28" w:type="dxa"/>
              <w:right w:w="28" w:type="dxa"/>
            </w:tcMar>
            <w:vAlign w:val="center"/>
          </w:tcPr>
          <w:p w14:paraId="7A02544C" w14:textId="77777777" w:rsidR="004A0123" w:rsidRPr="000D3D0C" w:rsidRDefault="004A0123" w:rsidP="008A5C11">
            <w:pPr>
              <w:jc w:val="center"/>
              <w:rPr>
                <w:sz w:val="14"/>
                <w:szCs w:val="14"/>
              </w:rPr>
            </w:pPr>
            <w:r w:rsidRPr="000D3D0C">
              <w:rPr>
                <w:sz w:val="14"/>
                <w:szCs w:val="14"/>
              </w:rPr>
              <w:t>2024</w:t>
            </w:r>
          </w:p>
        </w:tc>
        <w:tc>
          <w:tcPr>
            <w:tcW w:w="708" w:type="dxa"/>
            <w:tcMar>
              <w:left w:w="28" w:type="dxa"/>
              <w:right w:w="28" w:type="dxa"/>
            </w:tcMar>
            <w:vAlign w:val="center"/>
          </w:tcPr>
          <w:p w14:paraId="4668EF4E" w14:textId="77777777" w:rsidR="004A0123" w:rsidRPr="000D3D0C" w:rsidRDefault="004A0123" w:rsidP="008A5C11">
            <w:pPr>
              <w:jc w:val="center"/>
              <w:rPr>
                <w:sz w:val="14"/>
                <w:szCs w:val="14"/>
              </w:rPr>
            </w:pPr>
            <w:r w:rsidRPr="000D3D0C">
              <w:rPr>
                <w:sz w:val="14"/>
                <w:szCs w:val="14"/>
              </w:rPr>
              <w:t>2025</w:t>
            </w:r>
          </w:p>
        </w:tc>
        <w:tc>
          <w:tcPr>
            <w:tcW w:w="683" w:type="dxa"/>
            <w:tcMar>
              <w:left w:w="28" w:type="dxa"/>
              <w:right w:w="28" w:type="dxa"/>
            </w:tcMar>
            <w:vAlign w:val="center"/>
          </w:tcPr>
          <w:p w14:paraId="42B15B60" w14:textId="77777777" w:rsidR="004A0123" w:rsidRPr="000D3D0C" w:rsidRDefault="004A0123" w:rsidP="008A5C11">
            <w:pPr>
              <w:jc w:val="center"/>
              <w:rPr>
                <w:sz w:val="14"/>
                <w:szCs w:val="14"/>
              </w:rPr>
            </w:pPr>
            <w:r w:rsidRPr="000D3D0C">
              <w:rPr>
                <w:sz w:val="14"/>
                <w:szCs w:val="14"/>
              </w:rPr>
              <w:t>2026</w:t>
            </w:r>
          </w:p>
        </w:tc>
        <w:tc>
          <w:tcPr>
            <w:tcW w:w="593" w:type="dxa"/>
            <w:tcMar>
              <w:left w:w="28" w:type="dxa"/>
              <w:right w:w="28" w:type="dxa"/>
            </w:tcMar>
            <w:vAlign w:val="center"/>
          </w:tcPr>
          <w:p w14:paraId="290B5C20" w14:textId="77777777" w:rsidR="004A0123" w:rsidRPr="000D3D0C" w:rsidRDefault="004A0123" w:rsidP="008A5C11">
            <w:pPr>
              <w:jc w:val="center"/>
              <w:rPr>
                <w:sz w:val="14"/>
                <w:szCs w:val="14"/>
              </w:rPr>
            </w:pPr>
            <w:r w:rsidRPr="000D3D0C">
              <w:rPr>
                <w:sz w:val="14"/>
                <w:szCs w:val="14"/>
              </w:rPr>
              <w:t>2027</w:t>
            </w:r>
          </w:p>
        </w:tc>
        <w:tc>
          <w:tcPr>
            <w:tcW w:w="709" w:type="dxa"/>
            <w:tcMar>
              <w:left w:w="28" w:type="dxa"/>
              <w:right w:w="28" w:type="dxa"/>
            </w:tcMar>
            <w:vAlign w:val="center"/>
          </w:tcPr>
          <w:p w14:paraId="33DA00D5" w14:textId="77777777" w:rsidR="004A0123" w:rsidRPr="000D3D0C" w:rsidRDefault="004A0123" w:rsidP="008A5C11">
            <w:pPr>
              <w:jc w:val="center"/>
              <w:rPr>
                <w:sz w:val="14"/>
                <w:szCs w:val="14"/>
              </w:rPr>
            </w:pPr>
            <w:r w:rsidRPr="000D3D0C">
              <w:rPr>
                <w:sz w:val="14"/>
                <w:szCs w:val="14"/>
              </w:rPr>
              <w:t>2028</w:t>
            </w:r>
          </w:p>
        </w:tc>
        <w:tc>
          <w:tcPr>
            <w:tcW w:w="716" w:type="dxa"/>
            <w:tcMar>
              <w:left w:w="28" w:type="dxa"/>
              <w:right w:w="28" w:type="dxa"/>
            </w:tcMar>
            <w:vAlign w:val="center"/>
          </w:tcPr>
          <w:p w14:paraId="4D5EB09D" w14:textId="77777777" w:rsidR="004A0123" w:rsidRPr="000D3D0C" w:rsidRDefault="004A0123" w:rsidP="008A5C11">
            <w:pPr>
              <w:jc w:val="center"/>
              <w:rPr>
                <w:sz w:val="14"/>
                <w:szCs w:val="14"/>
              </w:rPr>
            </w:pPr>
            <w:r w:rsidRPr="000D3D0C">
              <w:rPr>
                <w:sz w:val="14"/>
                <w:szCs w:val="14"/>
              </w:rPr>
              <w:t>2029</w:t>
            </w:r>
          </w:p>
        </w:tc>
        <w:tc>
          <w:tcPr>
            <w:tcW w:w="651" w:type="dxa"/>
            <w:tcMar>
              <w:left w:w="28" w:type="dxa"/>
              <w:right w:w="28" w:type="dxa"/>
            </w:tcMar>
            <w:vAlign w:val="center"/>
          </w:tcPr>
          <w:p w14:paraId="44AA4A95" w14:textId="77777777" w:rsidR="004A0123" w:rsidRPr="000D3D0C" w:rsidRDefault="004A0123" w:rsidP="008A5C11">
            <w:pPr>
              <w:jc w:val="center"/>
              <w:rPr>
                <w:sz w:val="14"/>
                <w:szCs w:val="14"/>
              </w:rPr>
            </w:pPr>
            <w:r w:rsidRPr="000D3D0C">
              <w:rPr>
                <w:sz w:val="14"/>
                <w:szCs w:val="14"/>
              </w:rPr>
              <w:t>2030</w:t>
            </w:r>
          </w:p>
        </w:tc>
      </w:tr>
      <w:tr w:rsidR="004A0123" w:rsidRPr="000D3D0C" w14:paraId="5A24434C" w14:textId="77777777" w:rsidTr="008A5C11">
        <w:trPr>
          <w:trHeight w:val="255"/>
          <w:jc w:val="center"/>
        </w:trPr>
        <w:tc>
          <w:tcPr>
            <w:tcW w:w="304" w:type="dxa"/>
            <w:shd w:val="clear" w:color="auto" w:fill="auto"/>
            <w:tcMar>
              <w:left w:w="28" w:type="dxa"/>
              <w:right w:w="28" w:type="dxa"/>
            </w:tcMar>
            <w:vAlign w:val="center"/>
            <w:hideMark/>
          </w:tcPr>
          <w:p w14:paraId="0548ADF0" w14:textId="77777777" w:rsidR="004A0123" w:rsidRPr="000D3D0C" w:rsidRDefault="004A0123" w:rsidP="008A5C11">
            <w:pPr>
              <w:jc w:val="center"/>
              <w:rPr>
                <w:bCs/>
                <w:sz w:val="14"/>
                <w:szCs w:val="14"/>
              </w:rPr>
            </w:pPr>
            <w:r w:rsidRPr="000D3D0C">
              <w:rPr>
                <w:bCs/>
                <w:sz w:val="14"/>
                <w:szCs w:val="14"/>
              </w:rPr>
              <w:t>1.</w:t>
            </w:r>
          </w:p>
        </w:tc>
        <w:tc>
          <w:tcPr>
            <w:tcW w:w="1347" w:type="dxa"/>
            <w:shd w:val="clear" w:color="auto" w:fill="auto"/>
            <w:tcMar>
              <w:left w:w="28" w:type="dxa"/>
              <w:right w:w="28" w:type="dxa"/>
            </w:tcMar>
            <w:vAlign w:val="center"/>
            <w:hideMark/>
          </w:tcPr>
          <w:p w14:paraId="50457EF1" w14:textId="77777777" w:rsidR="004A0123" w:rsidRPr="000D3D0C" w:rsidRDefault="004A0123" w:rsidP="008A5C11">
            <w:pPr>
              <w:jc w:val="center"/>
              <w:rPr>
                <w:bCs/>
                <w:sz w:val="14"/>
                <w:szCs w:val="14"/>
              </w:rPr>
            </w:pPr>
            <w:r w:rsidRPr="000D3D0C">
              <w:rPr>
                <w:bCs/>
                <w:sz w:val="14"/>
                <w:szCs w:val="14"/>
              </w:rPr>
              <w:t>Собственные средства</w:t>
            </w:r>
          </w:p>
        </w:tc>
        <w:tc>
          <w:tcPr>
            <w:tcW w:w="973" w:type="dxa"/>
            <w:shd w:val="clear" w:color="auto" w:fill="auto"/>
            <w:tcMar>
              <w:left w:w="28" w:type="dxa"/>
              <w:right w:w="28" w:type="dxa"/>
            </w:tcMar>
            <w:vAlign w:val="center"/>
          </w:tcPr>
          <w:p w14:paraId="1523CA95" w14:textId="77777777" w:rsidR="004A0123" w:rsidRPr="000D3D0C" w:rsidRDefault="004A0123" w:rsidP="008A5C11">
            <w:pPr>
              <w:jc w:val="center"/>
              <w:rPr>
                <w:sz w:val="14"/>
                <w:szCs w:val="14"/>
              </w:rPr>
            </w:pPr>
            <w:r w:rsidRPr="000D3D0C">
              <w:rPr>
                <w:sz w:val="14"/>
                <w:szCs w:val="14"/>
              </w:rPr>
              <w:t>574 985</w:t>
            </w:r>
          </w:p>
        </w:tc>
        <w:tc>
          <w:tcPr>
            <w:tcW w:w="709" w:type="dxa"/>
            <w:shd w:val="clear" w:color="auto" w:fill="auto"/>
            <w:tcMar>
              <w:left w:w="28" w:type="dxa"/>
              <w:right w:w="28" w:type="dxa"/>
            </w:tcMar>
            <w:vAlign w:val="center"/>
          </w:tcPr>
          <w:p w14:paraId="191F603E" w14:textId="77777777" w:rsidR="004A0123" w:rsidRPr="000D3D0C" w:rsidRDefault="004A0123" w:rsidP="008A5C11">
            <w:pPr>
              <w:jc w:val="center"/>
              <w:rPr>
                <w:sz w:val="14"/>
                <w:szCs w:val="14"/>
              </w:rPr>
            </w:pPr>
            <w:r w:rsidRPr="000D3D0C">
              <w:rPr>
                <w:sz w:val="14"/>
                <w:szCs w:val="14"/>
              </w:rPr>
              <w:t>574 985</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3BBE125" w14:textId="77777777" w:rsidR="004A0123" w:rsidRPr="000D3D0C" w:rsidRDefault="004A0123" w:rsidP="008A5C11">
            <w:pPr>
              <w:jc w:val="center"/>
              <w:rPr>
                <w:sz w:val="14"/>
                <w:szCs w:val="14"/>
              </w:rPr>
            </w:pPr>
            <w:r w:rsidRPr="000D3D0C">
              <w:rPr>
                <w:sz w:val="14"/>
                <w:szCs w:val="14"/>
              </w:rPr>
              <w:t>9 330</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9B9323E" w14:textId="77777777" w:rsidR="004A0123" w:rsidRPr="000D3D0C" w:rsidRDefault="004A0123" w:rsidP="008A5C11">
            <w:pPr>
              <w:jc w:val="center"/>
              <w:rPr>
                <w:sz w:val="14"/>
                <w:szCs w:val="14"/>
              </w:rPr>
            </w:pPr>
            <w:r w:rsidRPr="000D3D0C">
              <w:rPr>
                <w:sz w:val="14"/>
                <w:szCs w:val="14"/>
              </w:rPr>
              <w:t>24 960</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0C93A49" w14:textId="77777777" w:rsidR="004A0123" w:rsidRPr="000D3D0C" w:rsidRDefault="004A0123" w:rsidP="008A5C11">
            <w:pPr>
              <w:jc w:val="center"/>
              <w:rPr>
                <w:sz w:val="14"/>
                <w:szCs w:val="14"/>
              </w:rPr>
            </w:pPr>
            <w:r w:rsidRPr="000D3D0C">
              <w:rPr>
                <w:sz w:val="14"/>
                <w:szCs w:val="14"/>
              </w:rPr>
              <w:t>28 273</w:t>
            </w:r>
          </w:p>
        </w:tc>
        <w:tc>
          <w:tcPr>
            <w:tcW w:w="70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12CDBA1F" w14:textId="77777777" w:rsidR="004A0123" w:rsidRPr="000D3D0C" w:rsidRDefault="004A0123" w:rsidP="008A5C11">
            <w:pPr>
              <w:jc w:val="center"/>
              <w:rPr>
                <w:sz w:val="14"/>
                <w:szCs w:val="14"/>
              </w:rPr>
            </w:pPr>
            <w:r w:rsidRPr="000D3D0C">
              <w:rPr>
                <w:sz w:val="14"/>
                <w:szCs w:val="14"/>
              </w:rPr>
              <w:t>42 473</w:t>
            </w:r>
          </w:p>
        </w:tc>
        <w:tc>
          <w:tcPr>
            <w:tcW w:w="708"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7969E231" w14:textId="77777777" w:rsidR="004A0123" w:rsidRPr="000D3D0C" w:rsidRDefault="004A0123" w:rsidP="008A5C11">
            <w:pPr>
              <w:jc w:val="center"/>
              <w:rPr>
                <w:sz w:val="14"/>
                <w:szCs w:val="14"/>
              </w:rPr>
            </w:pPr>
            <w:r w:rsidRPr="000D3D0C">
              <w:rPr>
                <w:sz w:val="14"/>
                <w:szCs w:val="14"/>
              </w:rPr>
              <w:t>55 009</w:t>
            </w:r>
          </w:p>
        </w:tc>
        <w:tc>
          <w:tcPr>
            <w:tcW w:w="68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E177513" w14:textId="77777777" w:rsidR="004A0123" w:rsidRPr="000D3D0C" w:rsidRDefault="004A0123" w:rsidP="008A5C11">
            <w:pPr>
              <w:jc w:val="center"/>
              <w:rPr>
                <w:sz w:val="14"/>
                <w:szCs w:val="14"/>
              </w:rPr>
            </w:pPr>
            <w:r w:rsidRPr="000D3D0C">
              <w:rPr>
                <w:sz w:val="14"/>
                <w:szCs w:val="14"/>
              </w:rPr>
              <w:t>69 481</w:t>
            </w:r>
          </w:p>
        </w:tc>
        <w:tc>
          <w:tcPr>
            <w:tcW w:w="5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4F33CBC" w14:textId="77777777" w:rsidR="004A0123" w:rsidRPr="000D3D0C" w:rsidRDefault="004A0123" w:rsidP="008A5C11">
            <w:pPr>
              <w:jc w:val="center"/>
              <w:rPr>
                <w:sz w:val="14"/>
                <w:szCs w:val="14"/>
              </w:rPr>
            </w:pPr>
            <w:r w:rsidRPr="000D3D0C">
              <w:rPr>
                <w:sz w:val="14"/>
                <w:szCs w:val="14"/>
              </w:rPr>
              <w:t>77 514</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26DC240" w14:textId="77777777" w:rsidR="004A0123" w:rsidRPr="000D3D0C" w:rsidRDefault="004A0123" w:rsidP="008A5C11">
            <w:pPr>
              <w:jc w:val="center"/>
              <w:rPr>
                <w:sz w:val="14"/>
                <w:szCs w:val="14"/>
              </w:rPr>
            </w:pPr>
            <w:r w:rsidRPr="000D3D0C">
              <w:rPr>
                <w:sz w:val="14"/>
                <w:szCs w:val="14"/>
              </w:rPr>
              <w:t>83 930</w:t>
            </w:r>
          </w:p>
        </w:tc>
        <w:tc>
          <w:tcPr>
            <w:tcW w:w="71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7C1F5CD" w14:textId="77777777" w:rsidR="004A0123" w:rsidRPr="000D3D0C" w:rsidRDefault="004A0123" w:rsidP="008A5C11">
            <w:pPr>
              <w:jc w:val="center"/>
              <w:rPr>
                <w:sz w:val="14"/>
                <w:szCs w:val="14"/>
              </w:rPr>
            </w:pPr>
            <w:r w:rsidRPr="000D3D0C">
              <w:rPr>
                <w:sz w:val="14"/>
                <w:szCs w:val="14"/>
              </w:rPr>
              <w:t>90 536</w:t>
            </w:r>
          </w:p>
        </w:tc>
        <w:tc>
          <w:tcPr>
            <w:tcW w:w="6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6FFB089" w14:textId="77777777" w:rsidR="004A0123" w:rsidRPr="000D3D0C" w:rsidRDefault="004A0123" w:rsidP="008A5C11">
            <w:pPr>
              <w:jc w:val="center"/>
              <w:rPr>
                <w:sz w:val="14"/>
                <w:szCs w:val="14"/>
              </w:rPr>
            </w:pPr>
            <w:r w:rsidRPr="000D3D0C">
              <w:rPr>
                <w:sz w:val="14"/>
                <w:szCs w:val="14"/>
              </w:rPr>
              <w:t>93 479</w:t>
            </w:r>
          </w:p>
        </w:tc>
      </w:tr>
      <w:tr w:rsidR="004A0123" w:rsidRPr="000D3D0C" w14:paraId="0560FCDD" w14:textId="77777777" w:rsidTr="008A5C11">
        <w:trPr>
          <w:trHeight w:val="255"/>
          <w:jc w:val="center"/>
        </w:trPr>
        <w:tc>
          <w:tcPr>
            <w:tcW w:w="304" w:type="dxa"/>
            <w:shd w:val="clear" w:color="auto" w:fill="auto"/>
            <w:tcMar>
              <w:left w:w="28" w:type="dxa"/>
              <w:right w:w="28" w:type="dxa"/>
            </w:tcMar>
            <w:vAlign w:val="center"/>
            <w:hideMark/>
          </w:tcPr>
          <w:p w14:paraId="3C36980C" w14:textId="77777777" w:rsidR="004A0123" w:rsidRPr="000D3D0C" w:rsidRDefault="004A0123" w:rsidP="008A5C11">
            <w:pPr>
              <w:jc w:val="center"/>
              <w:rPr>
                <w:sz w:val="14"/>
                <w:szCs w:val="14"/>
              </w:rPr>
            </w:pPr>
            <w:r w:rsidRPr="000D3D0C">
              <w:rPr>
                <w:sz w:val="14"/>
                <w:szCs w:val="14"/>
              </w:rPr>
              <w:t>1.1.</w:t>
            </w:r>
          </w:p>
        </w:tc>
        <w:tc>
          <w:tcPr>
            <w:tcW w:w="1347" w:type="dxa"/>
            <w:shd w:val="clear" w:color="auto" w:fill="auto"/>
            <w:tcMar>
              <w:left w:w="28" w:type="dxa"/>
              <w:right w:w="28" w:type="dxa"/>
            </w:tcMar>
            <w:vAlign w:val="center"/>
            <w:hideMark/>
          </w:tcPr>
          <w:p w14:paraId="1573CB3F" w14:textId="77777777" w:rsidR="004A0123" w:rsidRPr="000D3D0C" w:rsidRDefault="004A0123" w:rsidP="008A5C11">
            <w:pPr>
              <w:jc w:val="center"/>
              <w:rPr>
                <w:sz w:val="14"/>
                <w:szCs w:val="14"/>
              </w:rPr>
            </w:pPr>
            <w:r w:rsidRPr="000D3D0C">
              <w:rPr>
                <w:sz w:val="14"/>
                <w:szCs w:val="14"/>
              </w:rPr>
              <w:t>амортизационные отчисления</w:t>
            </w:r>
          </w:p>
        </w:tc>
        <w:tc>
          <w:tcPr>
            <w:tcW w:w="973" w:type="dxa"/>
            <w:shd w:val="clear" w:color="auto" w:fill="auto"/>
            <w:tcMar>
              <w:left w:w="28" w:type="dxa"/>
              <w:right w:w="28" w:type="dxa"/>
            </w:tcMar>
            <w:vAlign w:val="center"/>
          </w:tcPr>
          <w:p w14:paraId="1648DCEC" w14:textId="77777777" w:rsidR="004A0123" w:rsidRPr="000D3D0C" w:rsidRDefault="004A0123" w:rsidP="008A5C11">
            <w:pPr>
              <w:jc w:val="center"/>
              <w:rPr>
                <w:sz w:val="14"/>
                <w:szCs w:val="14"/>
              </w:rPr>
            </w:pPr>
            <w:r w:rsidRPr="000D3D0C">
              <w:rPr>
                <w:sz w:val="14"/>
                <w:szCs w:val="14"/>
              </w:rPr>
              <w:t>318 240</w:t>
            </w:r>
          </w:p>
        </w:tc>
        <w:tc>
          <w:tcPr>
            <w:tcW w:w="709" w:type="dxa"/>
            <w:shd w:val="clear" w:color="auto" w:fill="auto"/>
            <w:tcMar>
              <w:left w:w="28" w:type="dxa"/>
              <w:right w:w="28" w:type="dxa"/>
            </w:tcMar>
            <w:vAlign w:val="center"/>
          </w:tcPr>
          <w:p w14:paraId="04500395" w14:textId="77777777" w:rsidR="004A0123" w:rsidRPr="000D3D0C" w:rsidRDefault="004A0123" w:rsidP="008A5C11">
            <w:pPr>
              <w:jc w:val="center"/>
              <w:rPr>
                <w:sz w:val="14"/>
                <w:szCs w:val="14"/>
              </w:rPr>
            </w:pPr>
            <w:r w:rsidRPr="000D3D0C">
              <w:rPr>
                <w:sz w:val="14"/>
                <w:szCs w:val="14"/>
              </w:rPr>
              <w:t>318 240</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CA6274D" w14:textId="77777777" w:rsidR="004A0123" w:rsidRPr="000D3D0C" w:rsidRDefault="004A0123" w:rsidP="008A5C11">
            <w:pPr>
              <w:jc w:val="center"/>
              <w:rPr>
                <w:sz w:val="14"/>
                <w:szCs w:val="14"/>
              </w:rPr>
            </w:pPr>
            <w:r w:rsidRPr="000D3D0C">
              <w:rPr>
                <w:sz w:val="14"/>
                <w:szCs w:val="14"/>
              </w:rPr>
              <w:t>0</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D3E62FA" w14:textId="77777777" w:rsidR="004A0123" w:rsidRPr="000D3D0C" w:rsidRDefault="004A0123" w:rsidP="008A5C11">
            <w:pPr>
              <w:jc w:val="center"/>
              <w:rPr>
                <w:sz w:val="14"/>
                <w:szCs w:val="14"/>
              </w:rPr>
            </w:pPr>
            <w:r w:rsidRPr="000D3D0C">
              <w:rPr>
                <w:sz w:val="14"/>
                <w:szCs w:val="14"/>
              </w:rPr>
              <w:t>1037</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D67FEE4" w14:textId="77777777" w:rsidR="004A0123" w:rsidRPr="000D3D0C" w:rsidRDefault="004A0123" w:rsidP="008A5C11">
            <w:pPr>
              <w:jc w:val="center"/>
              <w:rPr>
                <w:sz w:val="14"/>
                <w:szCs w:val="14"/>
              </w:rPr>
            </w:pPr>
            <w:r w:rsidRPr="000D3D0C">
              <w:rPr>
                <w:sz w:val="14"/>
                <w:szCs w:val="14"/>
              </w:rPr>
              <w:t>2 588</w:t>
            </w:r>
          </w:p>
        </w:tc>
        <w:tc>
          <w:tcPr>
            <w:tcW w:w="70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59AA4426" w14:textId="77777777" w:rsidR="004A0123" w:rsidRPr="000D3D0C" w:rsidRDefault="004A0123" w:rsidP="008A5C11">
            <w:pPr>
              <w:jc w:val="center"/>
              <w:rPr>
                <w:sz w:val="14"/>
                <w:szCs w:val="14"/>
              </w:rPr>
            </w:pPr>
            <w:r w:rsidRPr="000D3D0C">
              <w:rPr>
                <w:sz w:val="14"/>
                <w:szCs w:val="14"/>
              </w:rPr>
              <w:t>5 697</w:t>
            </w:r>
          </w:p>
        </w:tc>
        <w:tc>
          <w:tcPr>
            <w:tcW w:w="708"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74053F0B" w14:textId="77777777" w:rsidR="004A0123" w:rsidRPr="000D3D0C" w:rsidRDefault="004A0123" w:rsidP="008A5C11">
            <w:pPr>
              <w:jc w:val="center"/>
              <w:rPr>
                <w:sz w:val="14"/>
                <w:szCs w:val="14"/>
              </w:rPr>
            </w:pPr>
            <w:r w:rsidRPr="000D3D0C">
              <w:rPr>
                <w:sz w:val="14"/>
                <w:szCs w:val="14"/>
              </w:rPr>
              <w:t>11 769</w:t>
            </w:r>
          </w:p>
        </w:tc>
        <w:tc>
          <w:tcPr>
            <w:tcW w:w="68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8506FA7" w14:textId="77777777" w:rsidR="004A0123" w:rsidRPr="000D3D0C" w:rsidRDefault="004A0123" w:rsidP="008A5C11">
            <w:pPr>
              <w:jc w:val="center"/>
              <w:rPr>
                <w:sz w:val="14"/>
                <w:szCs w:val="14"/>
              </w:rPr>
            </w:pPr>
            <w:r w:rsidRPr="000D3D0C">
              <w:rPr>
                <w:sz w:val="14"/>
                <w:szCs w:val="14"/>
              </w:rPr>
              <w:t>18 611</w:t>
            </w:r>
          </w:p>
        </w:tc>
        <w:tc>
          <w:tcPr>
            <w:tcW w:w="5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0D80774" w14:textId="77777777" w:rsidR="004A0123" w:rsidRPr="000D3D0C" w:rsidRDefault="004A0123" w:rsidP="008A5C11">
            <w:pPr>
              <w:jc w:val="center"/>
              <w:rPr>
                <w:sz w:val="14"/>
                <w:szCs w:val="14"/>
              </w:rPr>
            </w:pPr>
            <w:r w:rsidRPr="000D3D0C">
              <w:rPr>
                <w:sz w:val="14"/>
                <w:szCs w:val="14"/>
              </w:rPr>
              <w:t>32 414</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AA29FF1" w14:textId="77777777" w:rsidR="004A0123" w:rsidRPr="000D3D0C" w:rsidRDefault="004A0123" w:rsidP="008A5C11">
            <w:pPr>
              <w:jc w:val="center"/>
              <w:rPr>
                <w:sz w:val="14"/>
                <w:szCs w:val="14"/>
              </w:rPr>
            </w:pPr>
            <w:r w:rsidRPr="000D3D0C">
              <w:rPr>
                <w:sz w:val="14"/>
                <w:szCs w:val="14"/>
              </w:rPr>
              <w:t xml:space="preserve">62 109 </w:t>
            </w:r>
          </w:p>
        </w:tc>
        <w:tc>
          <w:tcPr>
            <w:tcW w:w="71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BDEC03C" w14:textId="77777777" w:rsidR="004A0123" w:rsidRPr="000D3D0C" w:rsidRDefault="004A0123" w:rsidP="008A5C11">
            <w:pPr>
              <w:jc w:val="center"/>
              <w:rPr>
                <w:sz w:val="14"/>
                <w:szCs w:val="14"/>
              </w:rPr>
            </w:pPr>
            <w:r w:rsidRPr="000D3D0C">
              <w:rPr>
                <w:sz w:val="14"/>
                <w:szCs w:val="14"/>
              </w:rPr>
              <w:t>90 536</w:t>
            </w:r>
          </w:p>
        </w:tc>
        <w:tc>
          <w:tcPr>
            <w:tcW w:w="6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B8195EB" w14:textId="77777777" w:rsidR="004A0123" w:rsidRPr="000D3D0C" w:rsidRDefault="004A0123" w:rsidP="008A5C11">
            <w:pPr>
              <w:jc w:val="center"/>
              <w:rPr>
                <w:sz w:val="14"/>
                <w:szCs w:val="14"/>
              </w:rPr>
            </w:pPr>
            <w:r w:rsidRPr="000D3D0C">
              <w:rPr>
                <w:sz w:val="14"/>
                <w:szCs w:val="14"/>
              </w:rPr>
              <w:t>93 479</w:t>
            </w:r>
          </w:p>
        </w:tc>
      </w:tr>
      <w:tr w:rsidR="004A0123" w:rsidRPr="000D3D0C" w14:paraId="4BA5FDAD" w14:textId="77777777" w:rsidTr="008A5C11">
        <w:trPr>
          <w:trHeight w:val="510"/>
          <w:jc w:val="center"/>
        </w:trPr>
        <w:tc>
          <w:tcPr>
            <w:tcW w:w="304" w:type="dxa"/>
            <w:shd w:val="clear" w:color="auto" w:fill="auto"/>
            <w:tcMar>
              <w:left w:w="28" w:type="dxa"/>
              <w:right w:w="28" w:type="dxa"/>
            </w:tcMar>
            <w:vAlign w:val="center"/>
            <w:hideMark/>
          </w:tcPr>
          <w:p w14:paraId="74D16F5E" w14:textId="77777777" w:rsidR="004A0123" w:rsidRPr="000D3D0C" w:rsidRDefault="004A0123" w:rsidP="008A5C11">
            <w:pPr>
              <w:jc w:val="center"/>
              <w:rPr>
                <w:sz w:val="14"/>
                <w:szCs w:val="14"/>
              </w:rPr>
            </w:pPr>
            <w:r w:rsidRPr="000D3D0C">
              <w:rPr>
                <w:sz w:val="14"/>
                <w:szCs w:val="14"/>
              </w:rPr>
              <w:t>1.2.</w:t>
            </w:r>
          </w:p>
        </w:tc>
        <w:tc>
          <w:tcPr>
            <w:tcW w:w="1347" w:type="dxa"/>
            <w:shd w:val="clear" w:color="auto" w:fill="auto"/>
            <w:tcMar>
              <w:left w:w="28" w:type="dxa"/>
              <w:right w:w="28" w:type="dxa"/>
            </w:tcMar>
            <w:vAlign w:val="center"/>
            <w:hideMark/>
          </w:tcPr>
          <w:p w14:paraId="21AA551F" w14:textId="77777777" w:rsidR="004A0123" w:rsidRPr="000D3D0C" w:rsidRDefault="004A0123" w:rsidP="008A5C11">
            <w:pPr>
              <w:jc w:val="center"/>
              <w:rPr>
                <w:sz w:val="14"/>
                <w:szCs w:val="14"/>
              </w:rPr>
            </w:pPr>
            <w:r w:rsidRPr="000D3D0C">
              <w:rPr>
                <w:sz w:val="14"/>
                <w:szCs w:val="14"/>
              </w:rPr>
              <w:t>прибыль, направленная на инвестиции</w:t>
            </w:r>
          </w:p>
        </w:tc>
        <w:tc>
          <w:tcPr>
            <w:tcW w:w="973" w:type="dxa"/>
            <w:shd w:val="clear" w:color="auto" w:fill="auto"/>
            <w:tcMar>
              <w:left w:w="28" w:type="dxa"/>
              <w:right w:w="28" w:type="dxa"/>
            </w:tcMar>
            <w:vAlign w:val="center"/>
          </w:tcPr>
          <w:p w14:paraId="1E90565D" w14:textId="77777777" w:rsidR="004A0123" w:rsidRPr="000D3D0C" w:rsidRDefault="004A0123" w:rsidP="008A5C11">
            <w:pPr>
              <w:jc w:val="center"/>
              <w:rPr>
                <w:sz w:val="14"/>
                <w:szCs w:val="14"/>
              </w:rPr>
            </w:pPr>
            <w:r w:rsidRPr="000D3D0C">
              <w:rPr>
                <w:sz w:val="14"/>
                <w:szCs w:val="14"/>
              </w:rPr>
              <w:t>256 745</w:t>
            </w:r>
          </w:p>
        </w:tc>
        <w:tc>
          <w:tcPr>
            <w:tcW w:w="709" w:type="dxa"/>
            <w:shd w:val="clear" w:color="auto" w:fill="auto"/>
            <w:tcMar>
              <w:left w:w="28" w:type="dxa"/>
              <w:right w:w="28" w:type="dxa"/>
            </w:tcMar>
            <w:vAlign w:val="center"/>
          </w:tcPr>
          <w:p w14:paraId="224DE7EF" w14:textId="77777777" w:rsidR="004A0123" w:rsidRPr="000D3D0C" w:rsidRDefault="004A0123" w:rsidP="008A5C11">
            <w:pPr>
              <w:jc w:val="center"/>
              <w:rPr>
                <w:sz w:val="14"/>
                <w:szCs w:val="14"/>
              </w:rPr>
            </w:pPr>
            <w:r w:rsidRPr="000D3D0C">
              <w:rPr>
                <w:sz w:val="14"/>
                <w:szCs w:val="14"/>
              </w:rPr>
              <w:t>256 745</w:t>
            </w:r>
          </w:p>
        </w:tc>
        <w:tc>
          <w:tcPr>
            <w:tcW w:w="425" w:type="dxa"/>
            <w:shd w:val="clear" w:color="auto" w:fill="auto"/>
            <w:tcMar>
              <w:left w:w="28" w:type="dxa"/>
              <w:right w:w="28" w:type="dxa"/>
            </w:tcMar>
            <w:vAlign w:val="center"/>
          </w:tcPr>
          <w:p w14:paraId="21C76D81" w14:textId="77777777" w:rsidR="004A0123" w:rsidRPr="000D3D0C" w:rsidRDefault="004A0123" w:rsidP="008A5C11">
            <w:pPr>
              <w:jc w:val="center"/>
              <w:rPr>
                <w:sz w:val="14"/>
                <w:szCs w:val="14"/>
              </w:rPr>
            </w:pPr>
            <w:r w:rsidRPr="000D3D0C">
              <w:rPr>
                <w:sz w:val="14"/>
                <w:szCs w:val="14"/>
              </w:rPr>
              <w:t>9 330</w:t>
            </w:r>
          </w:p>
        </w:tc>
        <w:tc>
          <w:tcPr>
            <w:tcW w:w="567" w:type="dxa"/>
            <w:shd w:val="clear" w:color="auto" w:fill="auto"/>
            <w:tcMar>
              <w:left w:w="28" w:type="dxa"/>
              <w:right w:w="28" w:type="dxa"/>
            </w:tcMar>
            <w:vAlign w:val="center"/>
          </w:tcPr>
          <w:p w14:paraId="7AC0B1BF" w14:textId="77777777" w:rsidR="004A0123" w:rsidRPr="000D3D0C" w:rsidRDefault="004A0123" w:rsidP="008A5C11">
            <w:pPr>
              <w:jc w:val="center"/>
              <w:rPr>
                <w:sz w:val="14"/>
                <w:szCs w:val="14"/>
              </w:rPr>
            </w:pPr>
            <w:r w:rsidRPr="000D3D0C">
              <w:rPr>
                <w:sz w:val="14"/>
                <w:szCs w:val="14"/>
              </w:rPr>
              <w:t>23 923</w:t>
            </w:r>
          </w:p>
        </w:tc>
        <w:tc>
          <w:tcPr>
            <w:tcW w:w="709" w:type="dxa"/>
            <w:shd w:val="clear" w:color="auto" w:fill="auto"/>
            <w:tcMar>
              <w:left w:w="28" w:type="dxa"/>
              <w:right w:w="28" w:type="dxa"/>
            </w:tcMar>
            <w:vAlign w:val="center"/>
          </w:tcPr>
          <w:p w14:paraId="4D6FDBF4" w14:textId="77777777" w:rsidR="004A0123" w:rsidRPr="000D3D0C" w:rsidRDefault="004A0123" w:rsidP="008A5C11">
            <w:pPr>
              <w:jc w:val="center"/>
              <w:rPr>
                <w:sz w:val="14"/>
                <w:szCs w:val="14"/>
              </w:rPr>
            </w:pPr>
            <w:r w:rsidRPr="000D3D0C">
              <w:rPr>
                <w:sz w:val="14"/>
                <w:szCs w:val="14"/>
              </w:rPr>
              <w:t>25 685</w:t>
            </w:r>
          </w:p>
        </w:tc>
        <w:tc>
          <w:tcPr>
            <w:tcW w:w="709" w:type="dxa"/>
            <w:tcMar>
              <w:left w:w="28" w:type="dxa"/>
              <w:right w:w="28" w:type="dxa"/>
            </w:tcMar>
            <w:vAlign w:val="center"/>
          </w:tcPr>
          <w:p w14:paraId="57560B50" w14:textId="77777777" w:rsidR="004A0123" w:rsidRPr="000D3D0C" w:rsidRDefault="004A0123" w:rsidP="008A5C11">
            <w:pPr>
              <w:jc w:val="center"/>
              <w:rPr>
                <w:sz w:val="14"/>
                <w:szCs w:val="14"/>
              </w:rPr>
            </w:pPr>
            <w:r w:rsidRPr="000D3D0C">
              <w:rPr>
                <w:sz w:val="14"/>
                <w:szCs w:val="14"/>
              </w:rPr>
              <w:t>36 776</w:t>
            </w:r>
          </w:p>
        </w:tc>
        <w:tc>
          <w:tcPr>
            <w:tcW w:w="708" w:type="dxa"/>
            <w:tcMar>
              <w:left w:w="28" w:type="dxa"/>
              <w:right w:w="28" w:type="dxa"/>
            </w:tcMar>
            <w:vAlign w:val="center"/>
          </w:tcPr>
          <w:p w14:paraId="1AFCD694" w14:textId="77777777" w:rsidR="004A0123" w:rsidRPr="000D3D0C" w:rsidRDefault="004A0123" w:rsidP="008A5C11">
            <w:pPr>
              <w:jc w:val="center"/>
              <w:rPr>
                <w:sz w:val="14"/>
                <w:szCs w:val="14"/>
              </w:rPr>
            </w:pPr>
            <w:r w:rsidRPr="000D3D0C">
              <w:rPr>
                <w:sz w:val="14"/>
                <w:szCs w:val="14"/>
              </w:rPr>
              <w:t>43 240</w:t>
            </w:r>
          </w:p>
        </w:tc>
        <w:tc>
          <w:tcPr>
            <w:tcW w:w="683" w:type="dxa"/>
            <w:tcMar>
              <w:left w:w="28" w:type="dxa"/>
              <w:right w:w="28" w:type="dxa"/>
            </w:tcMar>
            <w:vAlign w:val="center"/>
          </w:tcPr>
          <w:p w14:paraId="70C0AF6C" w14:textId="77777777" w:rsidR="004A0123" w:rsidRPr="000D3D0C" w:rsidRDefault="004A0123" w:rsidP="008A5C11">
            <w:pPr>
              <w:jc w:val="center"/>
              <w:rPr>
                <w:sz w:val="14"/>
                <w:szCs w:val="14"/>
              </w:rPr>
            </w:pPr>
            <w:r w:rsidRPr="000D3D0C">
              <w:rPr>
                <w:sz w:val="14"/>
                <w:szCs w:val="14"/>
              </w:rPr>
              <w:t xml:space="preserve">50 870 </w:t>
            </w:r>
          </w:p>
        </w:tc>
        <w:tc>
          <w:tcPr>
            <w:tcW w:w="593" w:type="dxa"/>
            <w:tcMar>
              <w:left w:w="28" w:type="dxa"/>
              <w:right w:w="28" w:type="dxa"/>
            </w:tcMar>
            <w:vAlign w:val="center"/>
          </w:tcPr>
          <w:p w14:paraId="2B16C343" w14:textId="77777777" w:rsidR="004A0123" w:rsidRPr="000D3D0C" w:rsidRDefault="004A0123" w:rsidP="008A5C11">
            <w:pPr>
              <w:jc w:val="center"/>
              <w:rPr>
                <w:sz w:val="14"/>
                <w:szCs w:val="14"/>
              </w:rPr>
            </w:pPr>
            <w:r w:rsidRPr="000D3D0C">
              <w:rPr>
                <w:sz w:val="14"/>
                <w:szCs w:val="14"/>
              </w:rPr>
              <w:t>45 100</w:t>
            </w:r>
          </w:p>
        </w:tc>
        <w:tc>
          <w:tcPr>
            <w:tcW w:w="709" w:type="dxa"/>
            <w:tcMar>
              <w:left w:w="28" w:type="dxa"/>
              <w:right w:w="28" w:type="dxa"/>
            </w:tcMar>
            <w:vAlign w:val="center"/>
          </w:tcPr>
          <w:p w14:paraId="234DB317" w14:textId="77777777" w:rsidR="004A0123" w:rsidRPr="000D3D0C" w:rsidRDefault="004A0123" w:rsidP="008A5C11">
            <w:pPr>
              <w:jc w:val="center"/>
              <w:rPr>
                <w:sz w:val="14"/>
                <w:szCs w:val="14"/>
              </w:rPr>
            </w:pPr>
            <w:r w:rsidRPr="000D3D0C">
              <w:rPr>
                <w:sz w:val="14"/>
                <w:szCs w:val="14"/>
              </w:rPr>
              <w:t>21 821</w:t>
            </w:r>
          </w:p>
        </w:tc>
        <w:tc>
          <w:tcPr>
            <w:tcW w:w="716" w:type="dxa"/>
            <w:tcMar>
              <w:left w:w="28" w:type="dxa"/>
              <w:right w:w="28" w:type="dxa"/>
            </w:tcMar>
            <w:vAlign w:val="center"/>
          </w:tcPr>
          <w:p w14:paraId="76DC3359" w14:textId="77777777" w:rsidR="004A0123" w:rsidRPr="000D3D0C" w:rsidRDefault="004A0123" w:rsidP="008A5C11">
            <w:pPr>
              <w:jc w:val="center"/>
              <w:rPr>
                <w:sz w:val="14"/>
                <w:szCs w:val="14"/>
              </w:rPr>
            </w:pPr>
            <w:r w:rsidRPr="000D3D0C">
              <w:rPr>
                <w:sz w:val="14"/>
                <w:szCs w:val="14"/>
              </w:rPr>
              <w:t>0</w:t>
            </w:r>
          </w:p>
        </w:tc>
        <w:tc>
          <w:tcPr>
            <w:tcW w:w="651" w:type="dxa"/>
            <w:tcMar>
              <w:left w:w="28" w:type="dxa"/>
              <w:right w:w="28" w:type="dxa"/>
            </w:tcMar>
            <w:vAlign w:val="center"/>
          </w:tcPr>
          <w:p w14:paraId="78AACDCC" w14:textId="77777777" w:rsidR="004A0123" w:rsidRPr="000D3D0C" w:rsidRDefault="004A0123" w:rsidP="008A5C11">
            <w:pPr>
              <w:jc w:val="center"/>
              <w:rPr>
                <w:sz w:val="14"/>
                <w:szCs w:val="14"/>
              </w:rPr>
            </w:pPr>
            <w:r w:rsidRPr="000D3D0C">
              <w:rPr>
                <w:sz w:val="14"/>
                <w:szCs w:val="14"/>
              </w:rPr>
              <w:t>0</w:t>
            </w:r>
          </w:p>
        </w:tc>
      </w:tr>
      <w:tr w:rsidR="004A0123" w:rsidRPr="000D3D0C" w14:paraId="4610674E" w14:textId="77777777" w:rsidTr="008A5C11">
        <w:trPr>
          <w:trHeight w:val="255"/>
          <w:jc w:val="center"/>
        </w:trPr>
        <w:tc>
          <w:tcPr>
            <w:tcW w:w="304" w:type="dxa"/>
            <w:shd w:val="clear" w:color="auto" w:fill="auto"/>
            <w:tcMar>
              <w:left w:w="28" w:type="dxa"/>
              <w:right w:w="28" w:type="dxa"/>
            </w:tcMar>
            <w:vAlign w:val="center"/>
            <w:hideMark/>
          </w:tcPr>
          <w:p w14:paraId="3A01A559" w14:textId="77777777" w:rsidR="004A0123" w:rsidRPr="000D3D0C" w:rsidRDefault="004A0123" w:rsidP="008A5C11">
            <w:pPr>
              <w:jc w:val="center"/>
              <w:rPr>
                <w:bCs/>
                <w:sz w:val="14"/>
                <w:szCs w:val="14"/>
              </w:rPr>
            </w:pPr>
            <w:r w:rsidRPr="000D3D0C">
              <w:rPr>
                <w:bCs/>
                <w:sz w:val="14"/>
                <w:szCs w:val="14"/>
              </w:rPr>
              <w:t>5.</w:t>
            </w:r>
          </w:p>
        </w:tc>
        <w:tc>
          <w:tcPr>
            <w:tcW w:w="1347" w:type="dxa"/>
            <w:shd w:val="clear" w:color="auto" w:fill="auto"/>
            <w:tcMar>
              <w:left w:w="28" w:type="dxa"/>
              <w:right w:w="28" w:type="dxa"/>
            </w:tcMar>
            <w:vAlign w:val="center"/>
            <w:hideMark/>
          </w:tcPr>
          <w:p w14:paraId="6C311674" w14:textId="77777777" w:rsidR="004A0123" w:rsidRPr="000D3D0C" w:rsidRDefault="004A0123" w:rsidP="008A5C11">
            <w:pPr>
              <w:jc w:val="center"/>
              <w:rPr>
                <w:bCs/>
                <w:sz w:val="14"/>
                <w:szCs w:val="14"/>
              </w:rPr>
            </w:pPr>
            <w:r w:rsidRPr="000D3D0C">
              <w:rPr>
                <w:bCs/>
                <w:sz w:val="14"/>
                <w:szCs w:val="14"/>
              </w:rPr>
              <w:t>Итого по программе</w:t>
            </w:r>
          </w:p>
        </w:tc>
        <w:tc>
          <w:tcPr>
            <w:tcW w:w="973" w:type="dxa"/>
            <w:shd w:val="clear" w:color="auto" w:fill="auto"/>
            <w:tcMar>
              <w:left w:w="28" w:type="dxa"/>
              <w:right w:w="28" w:type="dxa"/>
            </w:tcMar>
            <w:vAlign w:val="center"/>
          </w:tcPr>
          <w:p w14:paraId="32375927" w14:textId="77777777" w:rsidR="004A0123" w:rsidRPr="000D3D0C" w:rsidRDefault="004A0123" w:rsidP="008A5C11">
            <w:pPr>
              <w:jc w:val="center"/>
              <w:rPr>
                <w:sz w:val="14"/>
                <w:szCs w:val="14"/>
              </w:rPr>
            </w:pPr>
            <w:r w:rsidRPr="000D3D0C">
              <w:rPr>
                <w:sz w:val="14"/>
                <w:szCs w:val="14"/>
              </w:rPr>
              <w:t>574 985</w:t>
            </w:r>
          </w:p>
        </w:tc>
        <w:tc>
          <w:tcPr>
            <w:tcW w:w="709" w:type="dxa"/>
            <w:shd w:val="clear" w:color="auto" w:fill="auto"/>
            <w:tcMar>
              <w:left w:w="28" w:type="dxa"/>
              <w:right w:w="28" w:type="dxa"/>
            </w:tcMar>
            <w:vAlign w:val="center"/>
          </w:tcPr>
          <w:p w14:paraId="1063EE22" w14:textId="77777777" w:rsidR="004A0123" w:rsidRPr="000D3D0C" w:rsidRDefault="004A0123" w:rsidP="008A5C11">
            <w:pPr>
              <w:jc w:val="center"/>
              <w:rPr>
                <w:sz w:val="14"/>
                <w:szCs w:val="14"/>
              </w:rPr>
            </w:pPr>
            <w:r w:rsidRPr="000D3D0C">
              <w:rPr>
                <w:sz w:val="14"/>
                <w:szCs w:val="14"/>
              </w:rPr>
              <w:t>574 985</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4B35455" w14:textId="77777777" w:rsidR="004A0123" w:rsidRPr="000D3D0C" w:rsidRDefault="004A0123" w:rsidP="008A5C11">
            <w:pPr>
              <w:jc w:val="center"/>
              <w:rPr>
                <w:sz w:val="14"/>
                <w:szCs w:val="14"/>
              </w:rPr>
            </w:pPr>
            <w:r w:rsidRPr="000D3D0C">
              <w:rPr>
                <w:sz w:val="14"/>
                <w:szCs w:val="14"/>
              </w:rPr>
              <w:t>9 330</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EB733BE" w14:textId="77777777" w:rsidR="004A0123" w:rsidRPr="000D3D0C" w:rsidRDefault="004A0123" w:rsidP="008A5C11">
            <w:pPr>
              <w:jc w:val="center"/>
              <w:rPr>
                <w:sz w:val="14"/>
                <w:szCs w:val="14"/>
              </w:rPr>
            </w:pPr>
            <w:r w:rsidRPr="000D3D0C">
              <w:rPr>
                <w:sz w:val="14"/>
                <w:szCs w:val="14"/>
              </w:rPr>
              <w:t>24 960</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548EB52" w14:textId="77777777" w:rsidR="004A0123" w:rsidRPr="000D3D0C" w:rsidRDefault="004A0123" w:rsidP="008A5C11">
            <w:pPr>
              <w:jc w:val="center"/>
              <w:rPr>
                <w:sz w:val="14"/>
                <w:szCs w:val="14"/>
              </w:rPr>
            </w:pPr>
            <w:r w:rsidRPr="000D3D0C">
              <w:rPr>
                <w:sz w:val="14"/>
                <w:szCs w:val="14"/>
              </w:rPr>
              <w:t>28 273</w:t>
            </w:r>
          </w:p>
        </w:tc>
        <w:tc>
          <w:tcPr>
            <w:tcW w:w="70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397886D3" w14:textId="77777777" w:rsidR="004A0123" w:rsidRPr="000D3D0C" w:rsidRDefault="004A0123" w:rsidP="008A5C11">
            <w:pPr>
              <w:jc w:val="center"/>
              <w:rPr>
                <w:sz w:val="14"/>
                <w:szCs w:val="14"/>
              </w:rPr>
            </w:pPr>
            <w:r w:rsidRPr="000D3D0C">
              <w:rPr>
                <w:sz w:val="14"/>
                <w:szCs w:val="14"/>
              </w:rPr>
              <w:t>42 473</w:t>
            </w:r>
          </w:p>
        </w:tc>
        <w:tc>
          <w:tcPr>
            <w:tcW w:w="708"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5FD924EB" w14:textId="77777777" w:rsidR="004A0123" w:rsidRPr="000D3D0C" w:rsidRDefault="004A0123" w:rsidP="008A5C11">
            <w:pPr>
              <w:jc w:val="center"/>
              <w:rPr>
                <w:sz w:val="14"/>
                <w:szCs w:val="14"/>
              </w:rPr>
            </w:pPr>
            <w:r w:rsidRPr="000D3D0C">
              <w:rPr>
                <w:sz w:val="14"/>
                <w:szCs w:val="14"/>
              </w:rPr>
              <w:t>55 009</w:t>
            </w:r>
          </w:p>
        </w:tc>
        <w:tc>
          <w:tcPr>
            <w:tcW w:w="68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86A242A" w14:textId="77777777" w:rsidR="004A0123" w:rsidRPr="000D3D0C" w:rsidRDefault="004A0123" w:rsidP="008A5C11">
            <w:pPr>
              <w:jc w:val="center"/>
              <w:rPr>
                <w:sz w:val="14"/>
                <w:szCs w:val="14"/>
              </w:rPr>
            </w:pPr>
            <w:r w:rsidRPr="000D3D0C">
              <w:rPr>
                <w:sz w:val="14"/>
                <w:szCs w:val="14"/>
              </w:rPr>
              <w:t>69 481</w:t>
            </w:r>
          </w:p>
        </w:tc>
        <w:tc>
          <w:tcPr>
            <w:tcW w:w="5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AFA1C1A" w14:textId="77777777" w:rsidR="004A0123" w:rsidRPr="000D3D0C" w:rsidRDefault="004A0123" w:rsidP="008A5C11">
            <w:pPr>
              <w:jc w:val="center"/>
              <w:rPr>
                <w:sz w:val="14"/>
                <w:szCs w:val="14"/>
              </w:rPr>
            </w:pPr>
            <w:r w:rsidRPr="000D3D0C">
              <w:rPr>
                <w:sz w:val="14"/>
                <w:szCs w:val="14"/>
              </w:rPr>
              <w:t>77 514</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814D7CE" w14:textId="77777777" w:rsidR="004A0123" w:rsidRPr="000D3D0C" w:rsidRDefault="004A0123" w:rsidP="008A5C11">
            <w:pPr>
              <w:jc w:val="center"/>
              <w:rPr>
                <w:sz w:val="14"/>
                <w:szCs w:val="14"/>
              </w:rPr>
            </w:pPr>
            <w:r w:rsidRPr="000D3D0C">
              <w:rPr>
                <w:sz w:val="14"/>
                <w:szCs w:val="14"/>
              </w:rPr>
              <w:t>83 930</w:t>
            </w:r>
          </w:p>
        </w:tc>
        <w:tc>
          <w:tcPr>
            <w:tcW w:w="71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2A7C2D2" w14:textId="77777777" w:rsidR="004A0123" w:rsidRPr="000D3D0C" w:rsidRDefault="004A0123" w:rsidP="008A5C11">
            <w:pPr>
              <w:jc w:val="center"/>
              <w:rPr>
                <w:sz w:val="14"/>
                <w:szCs w:val="14"/>
              </w:rPr>
            </w:pPr>
            <w:r w:rsidRPr="000D3D0C">
              <w:rPr>
                <w:sz w:val="14"/>
                <w:szCs w:val="14"/>
              </w:rPr>
              <w:t>90 536</w:t>
            </w:r>
          </w:p>
        </w:tc>
        <w:tc>
          <w:tcPr>
            <w:tcW w:w="6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8E9A29E" w14:textId="77777777" w:rsidR="004A0123" w:rsidRPr="000D3D0C" w:rsidRDefault="004A0123" w:rsidP="008A5C11">
            <w:pPr>
              <w:jc w:val="center"/>
              <w:rPr>
                <w:sz w:val="14"/>
                <w:szCs w:val="14"/>
              </w:rPr>
            </w:pPr>
            <w:r w:rsidRPr="000D3D0C">
              <w:rPr>
                <w:sz w:val="14"/>
                <w:szCs w:val="14"/>
              </w:rPr>
              <w:t>93 479</w:t>
            </w:r>
          </w:p>
        </w:tc>
      </w:tr>
    </w:tbl>
    <w:p w14:paraId="7E58085A" w14:textId="77777777" w:rsidR="004A0123" w:rsidRPr="000D3D0C" w:rsidRDefault="004A0123" w:rsidP="004A0123">
      <w:pPr>
        <w:spacing w:line="276" w:lineRule="auto"/>
        <w:ind w:firstLine="567"/>
        <w:jc w:val="both"/>
        <w:rPr>
          <w:sz w:val="25"/>
          <w:szCs w:val="25"/>
        </w:rPr>
      </w:pPr>
    </w:p>
    <w:p w14:paraId="12456FEA" w14:textId="77777777" w:rsidR="004A0123" w:rsidRPr="000D3D0C" w:rsidRDefault="004A0123" w:rsidP="004A0123">
      <w:pPr>
        <w:spacing w:line="276" w:lineRule="auto"/>
        <w:ind w:firstLine="708"/>
        <w:jc w:val="both"/>
        <w:rPr>
          <w:bCs/>
          <w:sz w:val="28"/>
          <w:szCs w:val="20"/>
        </w:rPr>
      </w:pPr>
      <w:r w:rsidRPr="000D3D0C">
        <w:rPr>
          <w:bCs/>
          <w:sz w:val="28"/>
          <w:szCs w:val="28"/>
        </w:rPr>
        <w:t xml:space="preserve">Перечень мероприятий, подлежащих выполнению </w:t>
      </w:r>
      <w:r w:rsidRPr="000D3D0C">
        <w:rPr>
          <w:bCs/>
          <w:sz w:val="28"/>
          <w:szCs w:val="28"/>
        </w:rPr>
        <w:br/>
        <w:t>в 2021-2030 годах приведен в приложении к настоящему экспертному заключению.</w:t>
      </w:r>
    </w:p>
    <w:p w14:paraId="0CE32A5E" w14:textId="77777777" w:rsidR="004A0123" w:rsidRPr="000D3D0C" w:rsidRDefault="004A0123" w:rsidP="004A0123">
      <w:pPr>
        <w:spacing w:line="276" w:lineRule="auto"/>
        <w:ind w:firstLine="708"/>
        <w:jc w:val="both"/>
        <w:rPr>
          <w:sz w:val="28"/>
          <w:szCs w:val="28"/>
        </w:rPr>
      </w:pPr>
      <w:r w:rsidRPr="000D3D0C">
        <w:rPr>
          <w:sz w:val="28"/>
          <w:szCs w:val="28"/>
        </w:rPr>
        <w:t>Проанализировав представленные обосновывающие документы, экспертная группа, считает предложенные мероприятия обоснованными и предлагает утвердить инвестиционную программу на 2021-2030 годы с объемом финансирования на уровне предложения предприятия в размере 574 985 тыс. руб. (без НДС), в т.ч. из амортизационных отчислений 318 240 тыс. руб., и из прибыли 256 745 тыс. руб.</w:t>
      </w:r>
    </w:p>
    <w:p w14:paraId="01DD2122" w14:textId="77777777" w:rsidR="004A0123" w:rsidRPr="000D3D0C" w:rsidRDefault="004A0123" w:rsidP="004A0123">
      <w:pPr>
        <w:ind w:firstLine="567"/>
        <w:jc w:val="both"/>
        <w:rPr>
          <w:sz w:val="25"/>
          <w:szCs w:val="25"/>
        </w:rPr>
      </w:pPr>
    </w:p>
    <w:p w14:paraId="1B4CC5AF" w14:textId="77777777" w:rsidR="004A0123" w:rsidRPr="000D3D0C" w:rsidRDefault="004A0123" w:rsidP="004A0123">
      <w:pPr>
        <w:tabs>
          <w:tab w:val="left" w:pos="0"/>
          <w:tab w:val="left" w:pos="900"/>
        </w:tabs>
        <w:jc w:val="both"/>
        <w:rPr>
          <w:b/>
          <w:sz w:val="28"/>
          <w:szCs w:val="28"/>
        </w:rPr>
      </w:pPr>
    </w:p>
    <w:p w14:paraId="6B48841F" w14:textId="77777777" w:rsidR="004A0123" w:rsidRPr="000D3D0C" w:rsidRDefault="004A0123" w:rsidP="004A0123">
      <w:pPr>
        <w:jc w:val="both"/>
        <w:rPr>
          <w:sz w:val="20"/>
          <w:szCs w:val="20"/>
        </w:rPr>
      </w:pPr>
    </w:p>
    <w:p w14:paraId="580176EC" w14:textId="77777777" w:rsidR="004A0123" w:rsidRPr="000D3D0C" w:rsidRDefault="004A0123" w:rsidP="004A0123">
      <w:pPr>
        <w:jc w:val="both"/>
        <w:rPr>
          <w:sz w:val="20"/>
          <w:szCs w:val="20"/>
        </w:rPr>
        <w:sectPr w:rsidR="004A0123" w:rsidRPr="000D3D0C" w:rsidSect="009310D5">
          <w:headerReference w:type="default" r:id="rId71"/>
          <w:pgSz w:w="11906" w:h="16838"/>
          <w:pgMar w:top="567" w:right="1418" w:bottom="567" w:left="1559" w:header="709" w:footer="709" w:gutter="0"/>
          <w:cols w:space="708"/>
          <w:titlePg/>
          <w:docGrid w:linePitch="360"/>
        </w:sectPr>
      </w:pPr>
    </w:p>
    <w:p w14:paraId="4B3C17AC" w14:textId="77777777" w:rsidR="004A0123" w:rsidRPr="000D3D0C" w:rsidRDefault="004A0123" w:rsidP="004A0123">
      <w:pPr>
        <w:ind w:left="284" w:right="536"/>
        <w:jc w:val="right"/>
        <w:rPr>
          <w:sz w:val="28"/>
          <w:szCs w:val="28"/>
        </w:rPr>
      </w:pPr>
      <w:r w:rsidRPr="000D3D0C">
        <w:rPr>
          <w:sz w:val="28"/>
          <w:szCs w:val="28"/>
        </w:rPr>
        <w:t>Приложение</w:t>
      </w:r>
    </w:p>
    <w:p w14:paraId="5B64F674" w14:textId="77777777" w:rsidR="004A0123" w:rsidRPr="000D3D0C" w:rsidRDefault="004A0123" w:rsidP="004A0123">
      <w:pPr>
        <w:ind w:left="284" w:right="536"/>
        <w:jc w:val="center"/>
        <w:rPr>
          <w:color w:val="000000"/>
          <w:sz w:val="28"/>
          <w:szCs w:val="28"/>
        </w:rPr>
      </w:pPr>
      <w:r w:rsidRPr="000D3D0C">
        <w:rPr>
          <w:bCs/>
          <w:sz w:val="28"/>
          <w:szCs w:val="28"/>
        </w:rPr>
        <w:t xml:space="preserve">Инвестиционная программа в сфере теплоснабжения </w:t>
      </w:r>
      <w:r w:rsidRPr="000D3D0C">
        <w:rPr>
          <w:color w:val="000000"/>
          <w:sz w:val="28"/>
          <w:szCs w:val="28"/>
        </w:rPr>
        <w:t>ОАО «Северо-Кузбасская энергетическая компания» по узлу теплоснабжения Тайгинского городского округа на 2021 - 2030 годы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20"/>
        <w:gridCol w:w="1693"/>
        <w:gridCol w:w="1034"/>
        <w:gridCol w:w="1191"/>
        <w:gridCol w:w="970"/>
        <w:gridCol w:w="419"/>
        <w:gridCol w:w="516"/>
        <w:gridCol w:w="507"/>
        <w:gridCol w:w="547"/>
        <w:gridCol w:w="571"/>
        <w:gridCol w:w="532"/>
        <w:gridCol w:w="535"/>
        <w:gridCol w:w="415"/>
        <w:gridCol w:w="424"/>
        <w:gridCol w:w="520"/>
        <w:gridCol w:w="520"/>
        <w:gridCol w:w="439"/>
        <w:gridCol w:w="439"/>
        <w:gridCol w:w="453"/>
        <w:gridCol w:w="494"/>
        <w:gridCol w:w="446"/>
        <w:gridCol w:w="446"/>
        <w:gridCol w:w="518"/>
        <w:gridCol w:w="511"/>
      </w:tblGrid>
      <w:tr w:rsidR="004A0123" w:rsidRPr="000D3D0C" w14:paraId="6EA8694D" w14:textId="77777777" w:rsidTr="008A5C11">
        <w:trPr>
          <w:trHeight w:val="65"/>
        </w:trPr>
        <w:tc>
          <w:tcPr>
            <w:tcW w:w="147" w:type="pct"/>
            <w:vMerge w:val="restart"/>
            <w:shd w:val="clear" w:color="auto" w:fill="auto"/>
            <w:vAlign w:val="center"/>
            <w:hideMark/>
          </w:tcPr>
          <w:p w14:paraId="4B4F993B" w14:textId="77777777" w:rsidR="004A0123" w:rsidRPr="000D3D0C" w:rsidRDefault="004A0123" w:rsidP="008A5C11">
            <w:pPr>
              <w:jc w:val="center"/>
              <w:rPr>
                <w:bCs/>
                <w:sz w:val="13"/>
                <w:szCs w:val="13"/>
              </w:rPr>
            </w:pPr>
            <w:r w:rsidRPr="000D3D0C">
              <w:rPr>
                <w:bCs/>
                <w:sz w:val="13"/>
                <w:szCs w:val="13"/>
              </w:rPr>
              <w:t>№</w:t>
            </w:r>
            <w:r w:rsidRPr="000D3D0C">
              <w:rPr>
                <w:bCs/>
                <w:sz w:val="13"/>
                <w:szCs w:val="13"/>
              </w:rPr>
              <w:br/>
              <w:t>п/п</w:t>
            </w:r>
          </w:p>
        </w:tc>
        <w:tc>
          <w:tcPr>
            <w:tcW w:w="584" w:type="pct"/>
            <w:vMerge w:val="restart"/>
            <w:shd w:val="clear" w:color="auto" w:fill="auto"/>
            <w:vAlign w:val="center"/>
            <w:hideMark/>
          </w:tcPr>
          <w:p w14:paraId="47B64526" w14:textId="77777777" w:rsidR="004A0123" w:rsidRPr="000D3D0C" w:rsidRDefault="004A0123" w:rsidP="008A5C11">
            <w:pPr>
              <w:jc w:val="center"/>
              <w:rPr>
                <w:bCs/>
                <w:sz w:val="13"/>
                <w:szCs w:val="13"/>
              </w:rPr>
            </w:pPr>
            <w:r w:rsidRPr="000D3D0C">
              <w:rPr>
                <w:bCs/>
                <w:sz w:val="13"/>
                <w:szCs w:val="13"/>
              </w:rPr>
              <w:t>Наименование</w:t>
            </w:r>
            <w:r w:rsidRPr="000D3D0C">
              <w:rPr>
                <w:bCs/>
                <w:sz w:val="13"/>
                <w:szCs w:val="13"/>
              </w:rPr>
              <w:br/>
              <w:t>мероприятий</w:t>
            </w:r>
          </w:p>
        </w:tc>
        <w:tc>
          <w:tcPr>
            <w:tcW w:w="358" w:type="pct"/>
            <w:vMerge w:val="restart"/>
            <w:shd w:val="clear" w:color="auto" w:fill="auto"/>
            <w:vAlign w:val="center"/>
            <w:hideMark/>
          </w:tcPr>
          <w:p w14:paraId="36879F0B" w14:textId="77777777" w:rsidR="004A0123" w:rsidRPr="000D3D0C" w:rsidRDefault="004A0123" w:rsidP="008A5C11">
            <w:pPr>
              <w:jc w:val="center"/>
              <w:rPr>
                <w:bCs/>
                <w:sz w:val="13"/>
                <w:szCs w:val="13"/>
              </w:rPr>
            </w:pPr>
            <w:r w:rsidRPr="000D3D0C">
              <w:rPr>
                <w:bCs/>
                <w:sz w:val="13"/>
                <w:szCs w:val="13"/>
              </w:rPr>
              <w:t>Обоснование необходимости (цель реализации)</w:t>
            </w:r>
          </w:p>
        </w:tc>
        <w:tc>
          <w:tcPr>
            <w:tcW w:w="389" w:type="pct"/>
            <w:vMerge w:val="restart"/>
            <w:shd w:val="clear" w:color="auto" w:fill="auto"/>
            <w:vAlign w:val="center"/>
            <w:hideMark/>
          </w:tcPr>
          <w:p w14:paraId="0BED337A" w14:textId="77777777" w:rsidR="004A0123" w:rsidRPr="000D3D0C" w:rsidRDefault="004A0123" w:rsidP="008A5C11">
            <w:pPr>
              <w:jc w:val="center"/>
              <w:rPr>
                <w:bCs/>
                <w:sz w:val="13"/>
                <w:szCs w:val="13"/>
              </w:rPr>
            </w:pPr>
            <w:r w:rsidRPr="000D3D0C">
              <w:rPr>
                <w:bCs/>
                <w:sz w:val="13"/>
                <w:szCs w:val="13"/>
              </w:rPr>
              <w:t>Описание и место расположения</w:t>
            </w:r>
            <w:r w:rsidRPr="000D3D0C">
              <w:rPr>
                <w:bCs/>
                <w:sz w:val="13"/>
                <w:szCs w:val="13"/>
              </w:rPr>
              <w:br/>
              <w:t>объекта</w:t>
            </w:r>
          </w:p>
        </w:tc>
        <w:tc>
          <w:tcPr>
            <w:tcW w:w="825" w:type="pct"/>
            <w:gridSpan w:val="4"/>
            <w:shd w:val="clear" w:color="auto" w:fill="auto"/>
            <w:vAlign w:val="center"/>
            <w:hideMark/>
          </w:tcPr>
          <w:p w14:paraId="25DC97EE" w14:textId="77777777" w:rsidR="004A0123" w:rsidRPr="000D3D0C" w:rsidRDefault="004A0123" w:rsidP="008A5C11">
            <w:pPr>
              <w:jc w:val="center"/>
              <w:rPr>
                <w:bCs/>
                <w:sz w:val="13"/>
                <w:szCs w:val="13"/>
              </w:rPr>
            </w:pPr>
            <w:r w:rsidRPr="000D3D0C">
              <w:rPr>
                <w:bCs/>
                <w:sz w:val="13"/>
                <w:szCs w:val="13"/>
              </w:rPr>
              <w:t>Основные технические характеристики</w:t>
            </w:r>
          </w:p>
        </w:tc>
        <w:tc>
          <w:tcPr>
            <w:tcW w:w="188" w:type="pct"/>
            <w:vMerge w:val="restart"/>
            <w:shd w:val="clear" w:color="auto" w:fill="auto"/>
            <w:vAlign w:val="center"/>
            <w:hideMark/>
          </w:tcPr>
          <w:p w14:paraId="1ABD3950" w14:textId="77777777" w:rsidR="004A0123" w:rsidRPr="000D3D0C" w:rsidRDefault="004A0123" w:rsidP="008A5C11">
            <w:pPr>
              <w:ind w:left="-27"/>
              <w:jc w:val="center"/>
              <w:rPr>
                <w:bCs/>
                <w:sz w:val="13"/>
                <w:szCs w:val="13"/>
              </w:rPr>
            </w:pPr>
            <w:r w:rsidRPr="000D3D0C">
              <w:rPr>
                <w:bCs/>
                <w:sz w:val="13"/>
                <w:szCs w:val="13"/>
              </w:rPr>
              <w:t xml:space="preserve">Год начала </w:t>
            </w:r>
            <w:proofErr w:type="gramStart"/>
            <w:r w:rsidRPr="000D3D0C">
              <w:rPr>
                <w:bCs/>
                <w:sz w:val="13"/>
                <w:szCs w:val="13"/>
              </w:rPr>
              <w:t>реализа-ции</w:t>
            </w:r>
            <w:proofErr w:type="gramEnd"/>
            <w:r w:rsidRPr="000D3D0C">
              <w:rPr>
                <w:bCs/>
                <w:sz w:val="13"/>
                <w:szCs w:val="13"/>
              </w:rPr>
              <w:t xml:space="preserve"> меропри-ятия</w:t>
            </w:r>
          </w:p>
        </w:tc>
        <w:tc>
          <w:tcPr>
            <w:tcW w:w="186" w:type="pct"/>
            <w:vMerge w:val="restart"/>
            <w:shd w:val="clear" w:color="auto" w:fill="auto"/>
            <w:vAlign w:val="center"/>
            <w:hideMark/>
          </w:tcPr>
          <w:p w14:paraId="684C8036" w14:textId="77777777" w:rsidR="004A0123" w:rsidRPr="000D3D0C" w:rsidRDefault="004A0123" w:rsidP="008A5C11">
            <w:pPr>
              <w:ind w:left="-3"/>
              <w:jc w:val="center"/>
              <w:rPr>
                <w:bCs/>
                <w:sz w:val="13"/>
                <w:szCs w:val="13"/>
              </w:rPr>
            </w:pPr>
            <w:r w:rsidRPr="000D3D0C">
              <w:rPr>
                <w:bCs/>
                <w:sz w:val="13"/>
                <w:szCs w:val="13"/>
              </w:rPr>
              <w:t xml:space="preserve">Год </w:t>
            </w:r>
            <w:proofErr w:type="gramStart"/>
            <w:r w:rsidRPr="000D3D0C">
              <w:rPr>
                <w:bCs/>
                <w:sz w:val="13"/>
                <w:szCs w:val="13"/>
              </w:rPr>
              <w:t>оконча-ния</w:t>
            </w:r>
            <w:proofErr w:type="gramEnd"/>
            <w:r w:rsidRPr="000D3D0C">
              <w:rPr>
                <w:bCs/>
                <w:sz w:val="13"/>
                <w:szCs w:val="13"/>
              </w:rPr>
              <w:t xml:space="preserve"> реализа-ции меропри-ятия</w:t>
            </w:r>
          </w:p>
        </w:tc>
        <w:tc>
          <w:tcPr>
            <w:tcW w:w="2323" w:type="pct"/>
            <w:gridSpan w:val="14"/>
            <w:vAlign w:val="center"/>
          </w:tcPr>
          <w:p w14:paraId="59DF82C3" w14:textId="77777777" w:rsidR="004A0123" w:rsidRPr="000D3D0C" w:rsidRDefault="004A0123" w:rsidP="008A5C11">
            <w:pPr>
              <w:jc w:val="center"/>
              <w:rPr>
                <w:bCs/>
                <w:sz w:val="13"/>
                <w:szCs w:val="13"/>
              </w:rPr>
            </w:pPr>
            <w:r w:rsidRPr="000D3D0C">
              <w:rPr>
                <w:bCs/>
                <w:sz w:val="13"/>
                <w:szCs w:val="13"/>
              </w:rPr>
              <w:t>Расходы на реализацию мероприятий в прогнозных ценах, тыс. руб. (с НДС)</w:t>
            </w:r>
          </w:p>
        </w:tc>
      </w:tr>
      <w:tr w:rsidR="004A0123" w:rsidRPr="000D3D0C" w14:paraId="476ED21D" w14:textId="77777777" w:rsidTr="008A5C11">
        <w:trPr>
          <w:trHeight w:val="118"/>
        </w:trPr>
        <w:tc>
          <w:tcPr>
            <w:tcW w:w="147" w:type="pct"/>
            <w:vMerge/>
            <w:shd w:val="clear" w:color="auto" w:fill="auto"/>
            <w:vAlign w:val="center"/>
            <w:hideMark/>
          </w:tcPr>
          <w:p w14:paraId="4DDC8F7B" w14:textId="77777777" w:rsidR="004A0123" w:rsidRPr="000D3D0C" w:rsidRDefault="004A0123" w:rsidP="008A5C11">
            <w:pPr>
              <w:rPr>
                <w:bCs/>
                <w:sz w:val="13"/>
                <w:szCs w:val="13"/>
              </w:rPr>
            </w:pPr>
          </w:p>
        </w:tc>
        <w:tc>
          <w:tcPr>
            <w:tcW w:w="584" w:type="pct"/>
            <w:vMerge/>
            <w:shd w:val="clear" w:color="auto" w:fill="auto"/>
            <w:vAlign w:val="center"/>
            <w:hideMark/>
          </w:tcPr>
          <w:p w14:paraId="217939BA" w14:textId="77777777" w:rsidR="004A0123" w:rsidRPr="000D3D0C" w:rsidRDefault="004A0123" w:rsidP="008A5C11">
            <w:pPr>
              <w:rPr>
                <w:bCs/>
                <w:sz w:val="13"/>
                <w:szCs w:val="13"/>
              </w:rPr>
            </w:pPr>
          </w:p>
        </w:tc>
        <w:tc>
          <w:tcPr>
            <w:tcW w:w="358" w:type="pct"/>
            <w:vMerge/>
            <w:shd w:val="clear" w:color="auto" w:fill="auto"/>
            <w:vAlign w:val="center"/>
            <w:hideMark/>
          </w:tcPr>
          <w:p w14:paraId="42A85875" w14:textId="77777777" w:rsidR="004A0123" w:rsidRPr="000D3D0C" w:rsidRDefault="004A0123" w:rsidP="008A5C11">
            <w:pPr>
              <w:rPr>
                <w:bCs/>
                <w:sz w:val="13"/>
                <w:szCs w:val="13"/>
              </w:rPr>
            </w:pPr>
          </w:p>
        </w:tc>
        <w:tc>
          <w:tcPr>
            <w:tcW w:w="389" w:type="pct"/>
            <w:vMerge/>
            <w:shd w:val="clear" w:color="auto" w:fill="auto"/>
            <w:vAlign w:val="center"/>
            <w:hideMark/>
          </w:tcPr>
          <w:p w14:paraId="4F5649B5" w14:textId="77777777" w:rsidR="004A0123" w:rsidRPr="000D3D0C" w:rsidRDefault="004A0123" w:rsidP="008A5C11">
            <w:pPr>
              <w:rPr>
                <w:bCs/>
                <w:sz w:val="13"/>
                <w:szCs w:val="13"/>
              </w:rPr>
            </w:pPr>
          </w:p>
        </w:tc>
        <w:tc>
          <w:tcPr>
            <w:tcW w:w="336" w:type="pct"/>
            <w:vMerge w:val="restart"/>
            <w:shd w:val="clear" w:color="auto" w:fill="auto"/>
            <w:vAlign w:val="center"/>
            <w:hideMark/>
          </w:tcPr>
          <w:p w14:paraId="3C56905A" w14:textId="77777777" w:rsidR="004A0123" w:rsidRPr="000D3D0C" w:rsidRDefault="004A0123" w:rsidP="008A5C11">
            <w:pPr>
              <w:jc w:val="center"/>
              <w:rPr>
                <w:bCs/>
                <w:sz w:val="13"/>
                <w:szCs w:val="13"/>
              </w:rPr>
            </w:pPr>
            <w:r w:rsidRPr="000D3D0C">
              <w:rPr>
                <w:bCs/>
                <w:sz w:val="13"/>
                <w:szCs w:val="13"/>
              </w:rPr>
              <w:t xml:space="preserve">Наименование показателя (мощность, протяженность, диаметр </w:t>
            </w:r>
          </w:p>
          <w:p w14:paraId="5FECA03D" w14:textId="77777777" w:rsidR="004A0123" w:rsidRPr="000D3D0C" w:rsidRDefault="004A0123" w:rsidP="008A5C11">
            <w:pPr>
              <w:jc w:val="center"/>
              <w:rPr>
                <w:bCs/>
                <w:sz w:val="13"/>
                <w:szCs w:val="13"/>
              </w:rPr>
            </w:pPr>
            <w:r w:rsidRPr="000D3D0C">
              <w:rPr>
                <w:bCs/>
                <w:sz w:val="13"/>
                <w:szCs w:val="13"/>
              </w:rPr>
              <w:t>и т.п.)</w:t>
            </w:r>
          </w:p>
        </w:tc>
        <w:tc>
          <w:tcPr>
            <w:tcW w:w="133" w:type="pct"/>
            <w:vMerge w:val="restart"/>
            <w:shd w:val="clear" w:color="auto" w:fill="auto"/>
            <w:vAlign w:val="center"/>
            <w:hideMark/>
          </w:tcPr>
          <w:p w14:paraId="13CC324F" w14:textId="77777777" w:rsidR="004A0123" w:rsidRPr="000D3D0C" w:rsidRDefault="004A0123" w:rsidP="008A5C11">
            <w:pPr>
              <w:ind w:left="-108" w:right="-108"/>
              <w:jc w:val="center"/>
              <w:rPr>
                <w:bCs/>
                <w:sz w:val="13"/>
                <w:szCs w:val="13"/>
              </w:rPr>
            </w:pPr>
            <w:r w:rsidRPr="000D3D0C">
              <w:rPr>
                <w:bCs/>
                <w:sz w:val="13"/>
                <w:szCs w:val="13"/>
              </w:rPr>
              <w:t>Ед.</w:t>
            </w:r>
            <w:r w:rsidRPr="000D3D0C">
              <w:rPr>
                <w:bCs/>
                <w:sz w:val="13"/>
                <w:szCs w:val="13"/>
              </w:rPr>
              <w:br/>
              <w:t>изм.</w:t>
            </w:r>
          </w:p>
        </w:tc>
        <w:tc>
          <w:tcPr>
            <w:tcW w:w="356" w:type="pct"/>
            <w:gridSpan w:val="2"/>
            <w:shd w:val="clear" w:color="auto" w:fill="auto"/>
            <w:vAlign w:val="center"/>
            <w:hideMark/>
          </w:tcPr>
          <w:p w14:paraId="1BB2B4A1" w14:textId="77777777" w:rsidR="004A0123" w:rsidRPr="000D3D0C" w:rsidRDefault="004A0123" w:rsidP="008A5C11">
            <w:pPr>
              <w:jc w:val="center"/>
              <w:rPr>
                <w:bCs/>
                <w:sz w:val="13"/>
                <w:szCs w:val="13"/>
              </w:rPr>
            </w:pPr>
            <w:r w:rsidRPr="000D3D0C">
              <w:rPr>
                <w:bCs/>
                <w:sz w:val="13"/>
                <w:szCs w:val="13"/>
              </w:rPr>
              <w:t>Значение показателя</w:t>
            </w:r>
          </w:p>
        </w:tc>
        <w:tc>
          <w:tcPr>
            <w:tcW w:w="188" w:type="pct"/>
            <w:vMerge/>
            <w:shd w:val="clear" w:color="auto" w:fill="auto"/>
            <w:vAlign w:val="center"/>
            <w:hideMark/>
          </w:tcPr>
          <w:p w14:paraId="31C8333F" w14:textId="77777777" w:rsidR="004A0123" w:rsidRPr="000D3D0C" w:rsidRDefault="004A0123" w:rsidP="008A5C11">
            <w:pPr>
              <w:rPr>
                <w:bCs/>
                <w:sz w:val="13"/>
                <w:szCs w:val="13"/>
              </w:rPr>
            </w:pPr>
          </w:p>
        </w:tc>
        <w:tc>
          <w:tcPr>
            <w:tcW w:w="186" w:type="pct"/>
            <w:vMerge/>
            <w:shd w:val="clear" w:color="auto" w:fill="auto"/>
            <w:vAlign w:val="center"/>
            <w:hideMark/>
          </w:tcPr>
          <w:p w14:paraId="6862B88C" w14:textId="77777777" w:rsidR="004A0123" w:rsidRPr="000D3D0C" w:rsidRDefault="004A0123" w:rsidP="008A5C11">
            <w:pPr>
              <w:rPr>
                <w:bCs/>
                <w:sz w:val="13"/>
                <w:szCs w:val="13"/>
              </w:rPr>
            </w:pPr>
          </w:p>
        </w:tc>
        <w:tc>
          <w:tcPr>
            <w:tcW w:w="186" w:type="pct"/>
            <w:vMerge w:val="restart"/>
            <w:shd w:val="clear" w:color="auto" w:fill="auto"/>
            <w:vAlign w:val="center"/>
            <w:hideMark/>
          </w:tcPr>
          <w:p w14:paraId="2E4EC9B2" w14:textId="77777777" w:rsidR="004A0123" w:rsidRPr="000D3D0C" w:rsidRDefault="004A0123" w:rsidP="008A5C11">
            <w:pPr>
              <w:jc w:val="center"/>
              <w:rPr>
                <w:bCs/>
                <w:sz w:val="13"/>
                <w:szCs w:val="13"/>
              </w:rPr>
            </w:pPr>
            <w:r w:rsidRPr="000D3D0C">
              <w:rPr>
                <w:bCs/>
                <w:sz w:val="13"/>
                <w:szCs w:val="13"/>
              </w:rPr>
              <w:t>Всего</w:t>
            </w:r>
          </w:p>
        </w:tc>
        <w:tc>
          <w:tcPr>
            <w:tcW w:w="186" w:type="pct"/>
            <w:vMerge w:val="restart"/>
            <w:shd w:val="clear" w:color="auto" w:fill="auto"/>
            <w:vAlign w:val="center"/>
            <w:hideMark/>
          </w:tcPr>
          <w:p w14:paraId="1F9C8EA7" w14:textId="77777777" w:rsidR="004A0123" w:rsidRPr="000D3D0C" w:rsidRDefault="004A0123" w:rsidP="008A5C11">
            <w:pPr>
              <w:jc w:val="center"/>
              <w:rPr>
                <w:bCs/>
                <w:sz w:val="13"/>
                <w:szCs w:val="13"/>
              </w:rPr>
            </w:pPr>
            <w:r w:rsidRPr="000D3D0C">
              <w:rPr>
                <w:bCs/>
                <w:sz w:val="13"/>
                <w:szCs w:val="13"/>
              </w:rPr>
              <w:t xml:space="preserve">Профи-нанси-ровано </w:t>
            </w:r>
          </w:p>
          <w:p w14:paraId="5419601A" w14:textId="77777777" w:rsidR="004A0123" w:rsidRPr="000D3D0C" w:rsidRDefault="004A0123" w:rsidP="008A5C11">
            <w:pPr>
              <w:jc w:val="center"/>
              <w:rPr>
                <w:bCs/>
                <w:sz w:val="13"/>
                <w:szCs w:val="13"/>
              </w:rPr>
            </w:pPr>
            <w:r w:rsidRPr="000D3D0C">
              <w:rPr>
                <w:bCs/>
                <w:sz w:val="13"/>
                <w:szCs w:val="13"/>
              </w:rPr>
              <w:t>к 2021</w:t>
            </w:r>
          </w:p>
        </w:tc>
        <w:tc>
          <w:tcPr>
            <w:tcW w:w="1592" w:type="pct"/>
            <w:gridSpan w:val="10"/>
            <w:shd w:val="clear" w:color="auto" w:fill="auto"/>
            <w:vAlign w:val="center"/>
            <w:hideMark/>
          </w:tcPr>
          <w:p w14:paraId="6C88B190" w14:textId="77777777" w:rsidR="004A0123" w:rsidRPr="000D3D0C" w:rsidRDefault="004A0123" w:rsidP="008A5C11">
            <w:pPr>
              <w:jc w:val="center"/>
              <w:rPr>
                <w:bCs/>
                <w:sz w:val="13"/>
                <w:szCs w:val="13"/>
              </w:rPr>
            </w:pPr>
            <w:r w:rsidRPr="000D3D0C">
              <w:rPr>
                <w:bCs/>
                <w:sz w:val="13"/>
                <w:szCs w:val="13"/>
              </w:rPr>
              <w:t>в т.ч. по годам</w:t>
            </w:r>
          </w:p>
        </w:tc>
        <w:tc>
          <w:tcPr>
            <w:tcW w:w="181" w:type="pct"/>
            <w:vMerge w:val="restart"/>
          </w:tcPr>
          <w:p w14:paraId="5310E5A3" w14:textId="77777777" w:rsidR="004A0123" w:rsidRPr="000D3D0C" w:rsidRDefault="004A0123" w:rsidP="008A5C11">
            <w:pPr>
              <w:jc w:val="center"/>
              <w:rPr>
                <w:sz w:val="13"/>
                <w:szCs w:val="13"/>
              </w:rPr>
            </w:pPr>
          </w:p>
          <w:p w14:paraId="4A466FA9" w14:textId="77777777" w:rsidR="004A0123" w:rsidRPr="000D3D0C" w:rsidRDefault="004A0123" w:rsidP="008A5C11">
            <w:pPr>
              <w:jc w:val="center"/>
              <w:rPr>
                <w:sz w:val="13"/>
                <w:szCs w:val="13"/>
              </w:rPr>
            </w:pPr>
            <w:r w:rsidRPr="000D3D0C">
              <w:rPr>
                <w:sz w:val="13"/>
                <w:szCs w:val="13"/>
              </w:rPr>
              <w:t>Остаток финан-сирова-ния</w:t>
            </w:r>
          </w:p>
        </w:tc>
        <w:tc>
          <w:tcPr>
            <w:tcW w:w="178" w:type="pct"/>
            <w:vMerge w:val="restart"/>
          </w:tcPr>
          <w:p w14:paraId="0B36913F" w14:textId="77777777" w:rsidR="004A0123" w:rsidRPr="000D3D0C" w:rsidRDefault="004A0123" w:rsidP="008A5C11">
            <w:pPr>
              <w:ind w:left="-30" w:right="-34"/>
              <w:jc w:val="center"/>
              <w:rPr>
                <w:bCs/>
                <w:sz w:val="13"/>
                <w:szCs w:val="13"/>
              </w:rPr>
            </w:pPr>
            <w:r w:rsidRPr="000D3D0C">
              <w:rPr>
                <w:bCs/>
                <w:sz w:val="13"/>
                <w:szCs w:val="13"/>
              </w:rPr>
              <w:t>в т.</w:t>
            </w:r>
            <w:r w:rsidRPr="000D3D0C">
              <w:rPr>
                <w:sz w:val="13"/>
                <w:szCs w:val="13"/>
              </w:rPr>
              <w:t xml:space="preserve">ч. за счет платы за </w:t>
            </w:r>
            <w:proofErr w:type="gramStart"/>
            <w:r w:rsidRPr="000D3D0C">
              <w:rPr>
                <w:sz w:val="13"/>
                <w:szCs w:val="13"/>
              </w:rPr>
              <w:t>подклю-чение</w:t>
            </w:r>
            <w:proofErr w:type="gramEnd"/>
          </w:p>
        </w:tc>
      </w:tr>
      <w:tr w:rsidR="004A0123" w:rsidRPr="000D3D0C" w14:paraId="245084D4" w14:textId="77777777" w:rsidTr="008A5C11">
        <w:trPr>
          <w:trHeight w:val="519"/>
        </w:trPr>
        <w:tc>
          <w:tcPr>
            <w:tcW w:w="147" w:type="pct"/>
            <w:vMerge/>
            <w:shd w:val="clear" w:color="auto" w:fill="auto"/>
            <w:vAlign w:val="center"/>
            <w:hideMark/>
          </w:tcPr>
          <w:p w14:paraId="017F6D2B" w14:textId="77777777" w:rsidR="004A0123" w:rsidRPr="000D3D0C" w:rsidRDefault="004A0123" w:rsidP="008A5C11">
            <w:pPr>
              <w:rPr>
                <w:bCs/>
                <w:sz w:val="13"/>
                <w:szCs w:val="13"/>
              </w:rPr>
            </w:pPr>
          </w:p>
        </w:tc>
        <w:tc>
          <w:tcPr>
            <w:tcW w:w="584" w:type="pct"/>
            <w:vMerge/>
            <w:shd w:val="clear" w:color="auto" w:fill="auto"/>
            <w:vAlign w:val="center"/>
            <w:hideMark/>
          </w:tcPr>
          <w:p w14:paraId="108BBACE" w14:textId="77777777" w:rsidR="004A0123" w:rsidRPr="000D3D0C" w:rsidRDefault="004A0123" w:rsidP="008A5C11">
            <w:pPr>
              <w:rPr>
                <w:bCs/>
                <w:sz w:val="13"/>
                <w:szCs w:val="13"/>
              </w:rPr>
            </w:pPr>
          </w:p>
        </w:tc>
        <w:tc>
          <w:tcPr>
            <w:tcW w:w="358" w:type="pct"/>
            <w:vMerge/>
            <w:shd w:val="clear" w:color="auto" w:fill="auto"/>
            <w:vAlign w:val="center"/>
            <w:hideMark/>
          </w:tcPr>
          <w:p w14:paraId="5B8A1C72" w14:textId="77777777" w:rsidR="004A0123" w:rsidRPr="000D3D0C" w:rsidRDefault="004A0123" w:rsidP="008A5C11">
            <w:pPr>
              <w:rPr>
                <w:bCs/>
                <w:sz w:val="13"/>
                <w:szCs w:val="13"/>
              </w:rPr>
            </w:pPr>
          </w:p>
        </w:tc>
        <w:tc>
          <w:tcPr>
            <w:tcW w:w="389" w:type="pct"/>
            <w:vMerge/>
            <w:shd w:val="clear" w:color="auto" w:fill="auto"/>
            <w:vAlign w:val="center"/>
            <w:hideMark/>
          </w:tcPr>
          <w:p w14:paraId="5C721BD0" w14:textId="77777777" w:rsidR="004A0123" w:rsidRPr="000D3D0C" w:rsidRDefault="004A0123" w:rsidP="008A5C11">
            <w:pPr>
              <w:rPr>
                <w:bCs/>
                <w:sz w:val="13"/>
                <w:szCs w:val="13"/>
              </w:rPr>
            </w:pPr>
          </w:p>
        </w:tc>
        <w:tc>
          <w:tcPr>
            <w:tcW w:w="336" w:type="pct"/>
            <w:vMerge/>
            <w:shd w:val="clear" w:color="auto" w:fill="auto"/>
            <w:vAlign w:val="center"/>
            <w:hideMark/>
          </w:tcPr>
          <w:p w14:paraId="20A1ED5B" w14:textId="77777777" w:rsidR="004A0123" w:rsidRPr="000D3D0C" w:rsidRDefault="004A0123" w:rsidP="008A5C11">
            <w:pPr>
              <w:rPr>
                <w:bCs/>
                <w:sz w:val="13"/>
                <w:szCs w:val="13"/>
              </w:rPr>
            </w:pPr>
          </w:p>
        </w:tc>
        <w:tc>
          <w:tcPr>
            <w:tcW w:w="133" w:type="pct"/>
            <w:vMerge/>
            <w:shd w:val="clear" w:color="auto" w:fill="auto"/>
            <w:vAlign w:val="center"/>
            <w:hideMark/>
          </w:tcPr>
          <w:p w14:paraId="7F1B7A05" w14:textId="77777777" w:rsidR="004A0123" w:rsidRPr="000D3D0C" w:rsidRDefault="004A0123" w:rsidP="008A5C11">
            <w:pPr>
              <w:rPr>
                <w:bCs/>
                <w:sz w:val="13"/>
                <w:szCs w:val="13"/>
              </w:rPr>
            </w:pPr>
          </w:p>
        </w:tc>
        <w:tc>
          <w:tcPr>
            <w:tcW w:w="180" w:type="pct"/>
            <w:shd w:val="clear" w:color="auto" w:fill="auto"/>
            <w:vAlign w:val="center"/>
            <w:hideMark/>
          </w:tcPr>
          <w:p w14:paraId="5C251A56" w14:textId="77777777" w:rsidR="004A0123" w:rsidRPr="000D3D0C" w:rsidRDefault="004A0123" w:rsidP="008A5C11">
            <w:pPr>
              <w:jc w:val="center"/>
              <w:rPr>
                <w:bCs/>
                <w:sz w:val="13"/>
                <w:szCs w:val="13"/>
              </w:rPr>
            </w:pPr>
            <w:r w:rsidRPr="000D3D0C">
              <w:rPr>
                <w:bCs/>
                <w:sz w:val="13"/>
                <w:szCs w:val="13"/>
              </w:rPr>
              <w:t xml:space="preserve">до </w:t>
            </w:r>
            <w:proofErr w:type="gramStart"/>
            <w:r w:rsidRPr="000D3D0C">
              <w:rPr>
                <w:bCs/>
                <w:sz w:val="13"/>
                <w:szCs w:val="13"/>
              </w:rPr>
              <w:t>реа-лизации</w:t>
            </w:r>
            <w:proofErr w:type="gramEnd"/>
            <w:r w:rsidRPr="000D3D0C">
              <w:rPr>
                <w:bCs/>
                <w:sz w:val="13"/>
                <w:szCs w:val="13"/>
              </w:rPr>
              <w:t xml:space="preserve"> меро-приятия</w:t>
            </w:r>
          </w:p>
        </w:tc>
        <w:tc>
          <w:tcPr>
            <w:tcW w:w="176" w:type="pct"/>
            <w:shd w:val="clear" w:color="auto" w:fill="auto"/>
            <w:vAlign w:val="center"/>
            <w:hideMark/>
          </w:tcPr>
          <w:p w14:paraId="16702D49" w14:textId="77777777" w:rsidR="004A0123" w:rsidRPr="000D3D0C" w:rsidRDefault="004A0123" w:rsidP="008A5C11">
            <w:pPr>
              <w:jc w:val="center"/>
              <w:rPr>
                <w:bCs/>
                <w:sz w:val="13"/>
                <w:szCs w:val="13"/>
              </w:rPr>
            </w:pPr>
            <w:r w:rsidRPr="000D3D0C">
              <w:rPr>
                <w:bCs/>
                <w:sz w:val="13"/>
                <w:szCs w:val="13"/>
              </w:rPr>
              <w:t xml:space="preserve">после </w:t>
            </w:r>
            <w:proofErr w:type="gramStart"/>
            <w:r w:rsidRPr="000D3D0C">
              <w:rPr>
                <w:bCs/>
                <w:sz w:val="13"/>
                <w:szCs w:val="13"/>
              </w:rPr>
              <w:t>реали-зации</w:t>
            </w:r>
            <w:proofErr w:type="gramEnd"/>
            <w:r w:rsidRPr="000D3D0C">
              <w:rPr>
                <w:bCs/>
                <w:sz w:val="13"/>
                <w:szCs w:val="13"/>
              </w:rPr>
              <w:t xml:space="preserve"> меро-приятия</w:t>
            </w:r>
          </w:p>
        </w:tc>
        <w:tc>
          <w:tcPr>
            <w:tcW w:w="188" w:type="pct"/>
            <w:vMerge/>
            <w:shd w:val="clear" w:color="auto" w:fill="auto"/>
            <w:vAlign w:val="center"/>
            <w:hideMark/>
          </w:tcPr>
          <w:p w14:paraId="68860D67" w14:textId="77777777" w:rsidR="004A0123" w:rsidRPr="000D3D0C" w:rsidRDefault="004A0123" w:rsidP="008A5C11">
            <w:pPr>
              <w:rPr>
                <w:bCs/>
                <w:sz w:val="13"/>
                <w:szCs w:val="13"/>
              </w:rPr>
            </w:pPr>
          </w:p>
        </w:tc>
        <w:tc>
          <w:tcPr>
            <w:tcW w:w="186" w:type="pct"/>
            <w:vMerge/>
            <w:shd w:val="clear" w:color="auto" w:fill="auto"/>
            <w:vAlign w:val="center"/>
            <w:hideMark/>
          </w:tcPr>
          <w:p w14:paraId="79BD17FC" w14:textId="77777777" w:rsidR="004A0123" w:rsidRPr="000D3D0C" w:rsidRDefault="004A0123" w:rsidP="008A5C11">
            <w:pPr>
              <w:rPr>
                <w:bCs/>
                <w:sz w:val="13"/>
                <w:szCs w:val="13"/>
              </w:rPr>
            </w:pPr>
          </w:p>
        </w:tc>
        <w:tc>
          <w:tcPr>
            <w:tcW w:w="186" w:type="pct"/>
            <w:vMerge/>
            <w:shd w:val="clear" w:color="auto" w:fill="auto"/>
            <w:vAlign w:val="center"/>
            <w:hideMark/>
          </w:tcPr>
          <w:p w14:paraId="664E0A24" w14:textId="77777777" w:rsidR="004A0123" w:rsidRPr="000D3D0C" w:rsidRDefault="004A0123" w:rsidP="008A5C11">
            <w:pPr>
              <w:rPr>
                <w:bCs/>
                <w:sz w:val="13"/>
                <w:szCs w:val="13"/>
              </w:rPr>
            </w:pPr>
          </w:p>
        </w:tc>
        <w:tc>
          <w:tcPr>
            <w:tcW w:w="186" w:type="pct"/>
            <w:vMerge/>
            <w:shd w:val="clear" w:color="auto" w:fill="auto"/>
            <w:vAlign w:val="center"/>
            <w:hideMark/>
          </w:tcPr>
          <w:p w14:paraId="5AE800FC" w14:textId="77777777" w:rsidR="004A0123" w:rsidRPr="000D3D0C" w:rsidRDefault="004A0123" w:rsidP="008A5C11">
            <w:pPr>
              <w:rPr>
                <w:bCs/>
                <w:sz w:val="13"/>
                <w:szCs w:val="13"/>
              </w:rPr>
            </w:pPr>
          </w:p>
        </w:tc>
        <w:tc>
          <w:tcPr>
            <w:tcW w:w="145" w:type="pct"/>
            <w:shd w:val="clear" w:color="auto" w:fill="auto"/>
            <w:vAlign w:val="center"/>
          </w:tcPr>
          <w:p w14:paraId="117AB1B2" w14:textId="77777777" w:rsidR="004A0123" w:rsidRPr="000D3D0C" w:rsidRDefault="004A0123" w:rsidP="008A5C11">
            <w:pPr>
              <w:jc w:val="center"/>
              <w:rPr>
                <w:bCs/>
                <w:sz w:val="13"/>
                <w:szCs w:val="13"/>
              </w:rPr>
            </w:pPr>
            <w:r w:rsidRPr="000D3D0C">
              <w:rPr>
                <w:bCs/>
                <w:sz w:val="13"/>
                <w:szCs w:val="13"/>
              </w:rPr>
              <w:t>2021</w:t>
            </w:r>
          </w:p>
        </w:tc>
        <w:tc>
          <w:tcPr>
            <w:tcW w:w="148" w:type="pct"/>
            <w:shd w:val="clear" w:color="auto" w:fill="auto"/>
            <w:vAlign w:val="center"/>
          </w:tcPr>
          <w:p w14:paraId="2AFFAD97" w14:textId="77777777" w:rsidR="004A0123" w:rsidRPr="000D3D0C" w:rsidRDefault="004A0123" w:rsidP="008A5C11">
            <w:pPr>
              <w:jc w:val="center"/>
              <w:rPr>
                <w:bCs/>
                <w:sz w:val="13"/>
                <w:szCs w:val="13"/>
              </w:rPr>
            </w:pPr>
            <w:r w:rsidRPr="000D3D0C">
              <w:rPr>
                <w:bCs/>
                <w:sz w:val="13"/>
                <w:szCs w:val="13"/>
              </w:rPr>
              <w:t>2022</w:t>
            </w:r>
          </w:p>
        </w:tc>
        <w:tc>
          <w:tcPr>
            <w:tcW w:w="181" w:type="pct"/>
            <w:shd w:val="clear" w:color="auto" w:fill="auto"/>
            <w:vAlign w:val="center"/>
          </w:tcPr>
          <w:p w14:paraId="2DB34EFA" w14:textId="77777777" w:rsidR="004A0123" w:rsidRPr="000D3D0C" w:rsidRDefault="004A0123" w:rsidP="008A5C11">
            <w:pPr>
              <w:jc w:val="center"/>
              <w:rPr>
                <w:bCs/>
                <w:sz w:val="13"/>
                <w:szCs w:val="13"/>
              </w:rPr>
            </w:pPr>
            <w:r w:rsidRPr="000D3D0C">
              <w:rPr>
                <w:bCs/>
                <w:sz w:val="13"/>
                <w:szCs w:val="13"/>
              </w:rPr>
              <w:t>2023</w:t>
            </w:r>
          </w:p>
        </w:tc>
        <w:tc>
          <w:tcPr>
            <w:tcW w:w="181" w:type="pct"/>
            <w:vAlign w:val="center"/>
          </w:tcPr>
          <w:p w14:paraId="52E98D7C" w14:textId="77777777" w:rsidR="004A0123" w:rsidRPr="000D3D0C" w:rsidRDefault="004A0123" w:rsidP="008A5C11">
            <w:pPr>
              <w:jc w:val="center"/>
              <w:rPr>
                <w:bCs/>
                <w:sz w:val="13"/>
                <w:szCs w:val="13"/>
              </w:rPr>
            </w:pPr>
            <w:r w:rsidRPr="000D3D0C">
              <w:rPr>
                <w:bCs/>
                <w:sz w:val="13"/>
                <w:szCs w:val="13"/>
              </w:rPr>
              <w:t>2024</w:t>
            </w:r>
          </w:p>
        </w:tc>
        <w:tc>
          <w:tcPr>
            <w:tcW w:w="153" w:type="pct"/>
            <w:vAlign w:val="center"/>
          </w:tcPr>
          <w:p w14:paraId="64E59E85" w14:textId="77777777" w:rsidR="004A0123" w:rsidRPr="000D3D0C" w:rsidRDefault="004A0123" w:rsidP="008A5C11">
            <w:pPr>
              <w:ind w:left="-14"/>
              <w:jc w:val="center"/>
              <w:rPr>
                <w:bCs/>
                <w:sz w:val="13"/>
                <w:szCs w:val="13"/>
              </w:rPr>
            </w:pPr>
            <w:r w:rsidRPr="000D3D0C">
              <w:rPr>
                <w:bCs/>
                <w:sz w:val="13"/>
                <w:szCs w:val="13"/>
              </w:rPr>
              <w:t>2025</w:t>
            </w:r>
          </w:p>
        </w:tc>
        <w:tc>
          <w:tcPr>
            <w:tcW w:w="153" w:type="pct"/>
            <w:vAlign w:val="center"/>
          </w:tcPr>
          <w:p w14:paraId="57FF314D" w14:textId="77777777" w:rsidR="004A0123" w:rsidRPr="000D3D0C" w:rsidRDefault="004A0123" w:rsidP="008A5C11">
            <w:pPr>
              <w:jc w:val="center"/>
              <w:rPr>
                <w:bCs/>
                <w:sz w:val="13"/>
                <w:szCs w:val="13"/>
              </w:rPr>
            </w:pPr>
            <w:r w:rsidRPr="000D3D0C">
              <w:rPr>
                <w:bCs/>
                <w:sz w:val="13"/>
                <w:szCs w:val="13"/>
              </w:rPr>
              <w:t>2026</w:t>
            </w:r>
          </w:p>
        </w:tc>
        <w:tc>
          <w:tcPr>
            <w:tcW w:w="158" w:type="pct"/>
            <w:vAlign w:val="center"/>
          </w:tcPr>
          <w:p w14:paraId="741340C5" w14:textId="77777777" w:rsidR="004A0123" w:rsidRPr="000D3D0C" w:rsidRDefault="004A0123" w:rsidP="008A5C11">
            <w:pPr>
              <w:jc w:val="center"/>
              <w:rPr>
                <w:bCs/>
                <w:sz w:val="13"/>
                <w:szCs w:val="13"/>
              </w:rPr>
            </w:pPr>
            <w:r w:rsidRPr="000D3D0C">
              <w:rPr>
                <w:bCs/>
                <w:sz w:val="13"/>
                <w:szCs w:val="13"/>
              </w:rPr>
              <w:t>2027</w:t>
            </w:r>
          </w:p>
        </w:tc>
        <w:tc>
          <w:tcPr>
            <w:tcW w:w="172" w:type="pct"/>
            <w:vAlign w:val="center"/>
          </w:tcPr>
          <w:p w14:paraId="21A8B1B1" w14:textId="77777777" w:rsidR="004A0123" w:rsidRPr="000D3D0C" w:rsidRDefault="004A0123" w:rsidP="008A5C11">
            <w:pPr>
              <w:jc w:val="center"/>
              <w:rPr>
                <w:bCs/>
                <w:sz w:val="13"/>
                <w:szCs w:val="13"/>
              </w:rPr>
            </w:pPr>
            <w:r w:rsidRPr="000D3D0C">
              <w:rPr>
                <w:bCs/>
                <w:sz w:val="13"/>
                <w:szCs w:val="13"/>
              </w:rPr>
              <w:t>2028</w:t>
            </w:r>
          </w:p>
        </w:tc>
        <w:tc>
          <w:tcPr>
            <w:tcW w:w="155" w:type="pct"/>
            <w:vAlign w:val="center"/>
          </w:tcPr>
          <w:p w14:paraId="5FB58AF9" w14:textId="77777777" w:rsidR="004A0123" w:rsidRPr="000D3D0C" w:rsidRDefault="004A0123" w:rsidP="008A5C11">
            <w:pPr>
              <w:jc w:val="center"/>
              <w:rPr>
                <w:bCs/>
                <w:sz w:val="13"/>
                <w:szCs w:val="13"/>
              </w:rPr>
            </w:pPr>
            <w:r w:rsidRPr="000D3D0C">
              <w:rPr>
                <w:bCs/>
                <w:sz w:val="13"/>
                <w:szCs w:val="13"/>
              </w:rPr>
              <w:t>2029</w:t>
            </w:r>
          </w:p>
        </w:tc>
        <w:tc>
          <w:tcPr>
            <w:tcW w:w="146" w:type="pct"/>
            <w:vAlign w:val="center"/>
          </w:tcPr>
          <w:p w14:paraId="52A14AB9" w14:textId="77777777" w:rsidR="004A0123" w:rsidRPr="000D3D0C" w:rsidRDefault="004A0123" w:rsidP="008A5C11">
            <w:pPr>
              <w:jc w:val="center"/>
              <w:rPr>
                <w:bCs/>
                <w:sz w:val="13"/>
                <w:szCs w:val="13"/>
              </w:rPr>
            </w:pPr>
            <w:r w:rsidRPr="000D3D0C">
              <w:rPr>
                <w:bCs/>
                <w:sz w:val="13"/>
                <w:szCs w:val="13"/>
              </w:rPr>
              <w:t>2030</w:t>
            </w:r>
          </w:p>
        </w:tc>
        <w:tc>
          <w:tcPr>
            <w:tcW w:w="181" w:type="pct"/>
            <w:vMerge/>
          </w:tcPr>
          <w:p w14:paraId="10BC7400" w14:textId="77777777" w:rsidR="004A0123" w:rsidRPr="000D3D0C" w:rsidRDefault="004A0123" w:rsidP="008A5C11">
            <w:pPr>
              <w:rPr>
                <w:bCs/>
                <w:sz w:val="13"/>
                <w:szCs w:val="13"/>
              </w:rPr>
            </w:pPr>
          </w:p>
        </w:tc>
        <w:tc>
          <w:tcPr>
            <w:tcW w:w="178" w:type="pct"/>
            <w:vMerge/>
          </w:tcPr>
          <w:p w14:paraId="28BAE0D8" w14:textId="77777777" w:rsidR="004A0123" w:rsidRPr="000D3D0C" w:rsidRDefault="004A0123" w:rsidP="008A5C11">
            <w:pPr>
              <w:rPr>
                <w:bCs/>
                <w:sz w:val="13"/>
                <w:szCs w:val="13"/>
              </w:rPr>
            </w:pPr>
          </w:p>
        </w:tc>
      </w:tr>
      <w:tr w:rsidR="004A0123" w:rsidRPr="000D3D0C" w14:paraId="19C04854" w14:textId="77777777" w:rsidTr="008A5C11">
        <w:trPr>
          <w:trHeight w:val="238"/>
        </w:trPr>
        <w:tc>
          <w:tcPr>
            <w:tcW w:w="147" w:type="pct"/>
            <w:shd w:val="clear" w:color="auto" w:fill="auto"/>
            <w:vAlign w:val="center"/>
          </w:tcPr>
          <w:p w14:paraId="400481FF" w14:textId="77777777" w:rsidR="004A0123" w:rsidRPr="000D3D0C" w:rsidRDefault="004A0123" w:rsidP="008A5C11">
            <w:pPr>
              <w:jc w:val="center"/>
              <w:rPr>
                <w:bCs/>
                <w:sz w:val="13"/>
                <w:szCs w:val="13"/>
              </w:rPr>
            </w:pPr>
            <w:r w:rsidRPr="000D3D0C">
              <w:rPr>
                <w:bCs/>
                <w:sz w:val="13"/>
                <w:szCs w:val="13"/>
              </w:rPr>
              <w:t>1</w:t>
            </w:r>
          </w:p>
        </w:tc>
        <w:tc>
          <w:tcPr>
            <w:tcW w:w="584" w:type="pct"/>
            <w:shd w:val="clear" w:color="auto" w:fill="auto"/>
            <w:vAlign w:val="center"/>
          </w:tcPr>
          <w:p w14:paraId="07FBEA55" w14:textId="77777777" w:rsidR="004A0123" w:rsidRPr="000D3D0C" w:rsidRDefault="004A0123" w:rsidP="008A5C11">
            <w:pPr>
              <w:jc w:val="center"/>
              <w:rPr>
                <w:bCs/>
                <w:sz w:val="13"/>
                <w:szCs w:val="13"/>
              </w:rPr>
            </w:pPr>
            <w:r w:rsidRPr="000D3D0C">
              <w:rPr>
                <w:bCs/>
                <w:sz w:val="13"/>
                <w:szCs w:val="13"/>
              </w:rPr>
              <w:t>2</w:t>
            </w:r>
          </w:p>
        </w:tc>
        <w:tc>
          <w:tcPr>
            <w:tcW w:w="358" w:type="pct"/>
            <w:shd w:val="clear" w:color="auto" w:fill="auto"/>
            <w:vAlign w:val="center"/>
          </w:tcPr>
          <w:p w14:paraId="6659786C" w14:textId="77777777" w:rsidR="004A0123" w:rsidRPr="000D3D0C" w:rsidRDefault="004A0123" w:rsidP="008A5C11">
            <w:pPr>
              <w:jc w:val="center"/>
              <w:rPr>
                <w:bCs/>
                <w:sz w:val="13"/>
                <w:szCs w:val="13"/>
              </w:rPr>
            </w:pPr>
            <w:r w:rsidRPr="000D3D0C">
              <w:rPr>
                <w:bCs/>
                <w:sz w:val="13"/>
                <w:szCs w:val="13"/>
              </w:rPr>
              <w:t>3</w:t>
            </w:r>
          </w:p>
        </w:tc>
        <w:tc>
          <w:tcPr>
            <w:tcW w:w="389" w:type="pct"/>
            <w:shd w:val="clear" w:color="auto" w:fill="auto"/>
            <w:vAlign w:val="center"/>
          </w:tcPr>
          <w:p w14:paraId="116DB442" w14:textId="77777777" w:rsidR="004A0123" w:rsidRPr="000D3D0C" w:rsidRDefault="004A0123" w:rsidP="008A5C11">
            <w:pPr>
              <w:jc w:val="center"/>
              <w:rPr>
                <w:bCs/>
                <w:sz w:val="13"/>
                <w:szCs w:val="13"/>
              </w:rPr>
            </w:pPr>
            <w:r w:rsidRPr="000D3D0C">
              <w:rPr>
                <w:bCs/>
                <w:sz w:val="13"/>
                <w:szCs w:val="13"/>
              </w:rPr>
              <w:t>4</w:t>
            </w:r>
          </w:p>
        </w:tc>
        <w:tc>
          <w:tcPr>
            <w:tcW w:w="336" w:type="pct"/>
            <w:shd w:val="clear" w:color="auto" w:fill="auto"/>
            <w:vAlign w:val="center"/>
          </w:tcPr>
          <w:p w14:paraId="38A90678" w14:textId="77777777" w:rsidR="004A0123" w:rsidRPr="000D3D0C" w:rsidRDefault="004A0123" w:rsidP="008A5C11">
            <w:pPr>
              <w:jc w:val="center"/>
              <w:rPr>
                <w:bCs/>
                <w:sz w:val="13"/>
                <w:szCs w:val="13"/>
              </w:rPr>
            </w:pPr>
            <w:r w:rsidRPr="000D3D0C">
              <w:rPr>
                <w:bCs/>
                <w:sz w:val="13"/>
                <w:szCs w:val="13"/>
              </w:rPr>
              <w:t>5</w:t>
            </w:r>
          </w:p>
        </w:tc>
        <w:tc>
          <w:tcPr>
            <w:tcW w:w="133" w:type="pct"/>
            <w:shd w:val="clear" w:color="auto" w:fill="auto"/>
            <w:vAlign w:val="center"/>
          </w:tcPr>
          <w:p w14:paraId="4769EFCD" w14:textId="77777777" w:rsidR="004A0123" w:rsidRPr="000D3D0C" w:rsidRDefault="004A0123" w:rsidP="008A5C11">
            <w:pPr>
              <w:jc w:val="center"/>
              <w:rPr>
                <w:bCs/>
                <w:sz w:val="13"/>
                <w:szCs w:val="13"/>
              </w:rPr>
            </w:pPr>
            <w:r w:rsidRPr="000D3D0C">
              <w:rPr>
                <w:bCs/>
                <w:sz w:val="13"/>
                <w:szCs w:val="13"/>
              </w:rPr>
              <w:t>6</w:t>
            </w:r>
          </w:p>
        </w:tc>
        <w:tc>
          <w:tcPr>
            <w:tcW w:w="180" w:type="pct"/>
            <w:shd w:val="clear" w:color="auto" w:fill="auto"/>
            <w:vAlign w:val="center"/>
          </w:tcPr>
          <w:p w14:paraId="46216CE1" w14:textId="77777777" w:rsidR="004A0123" w:rsidRPr="000D3D0C" w:rsidRDefault="004A0123" w:rsidP="008A5C11">
            <w:pPr>
              <w:jc w:val="center"/>
              <w:rPr>
                <w:bCs/>
                <w:sz w:val="13"/>
                <w:szCs w:val="13"/>
              </w:rPr>
            </w:pPr>
            <w:r w:rsidRPr="000D3D0C">
              <w:rPr>
                <w:bCs/>
                <w:sz w:val="13"/>
                <w:szCs w:val="13"/>
              </w:rPr>
              <w:t>7</w:t>
            </w:r>
          </w:p>
        </w:tc>
        <w:tc>
          <w:tcPr>
            <w:tcW w:w="176" w:type="pct"/>
            <w:shd w:val="clear" w:color="auto" w:fill="auto"/>
            <w:vAlign w:val="center"/>
          </w:tcPr>
          <w:p w14:paraId="0B5AD2AD" w14:textId="77777777" w:rsidR="004A0123" w:rsidRPr="000D3D0C" w:rsidRDefault="004A0123" w:rsidP="008A5C11">
            <w:pPr>
              <w:jc w:val="center"/>
              <w:rPr>
                <w:bCs/>
                <w:sz w:val="13"/>
                <w:szCs w:val="13"/>
              </w:rPr>
            </w:pPr>
            <w:r w:rsidRPr="000D3D0C">
              <w:rPr>
                <w:bCs/>
                <w:sz w:val="13"/>
                <w:szCs w:val="13"/>
              </w:rPr>
              <w:t>8</w:t>
            </w:r>
          </w:p>
        </w:tc>
        <w:tc>
          <w:tcPr>
            <w:tcW w:w="188" w:type="pct"/>
            <w:shd w:val="clear" w:color="auto" w:fill="auto"/>
            <w:vAlign w:val="center"/>
          </w:tcPr>
          <w:p w14:paraId="3650EFA5" w14:textId="77777777" w:rsidR="004A0123" w:rsidRPr="000D3D0C" w:rsidRDefault="004A0123" w:rsidP="008A5C11">
            <w:pPr>
              <w:jc w:val="center"/>
              <w:rPr>
                <w:bCs/>
                <w:sz w:val="13"/>
                <w:szCs w:val="13"/>
              </w:rPr>
            </w:pPr>
            <w:r w:rsidRPr="000D3D0C">
              <w:rPr>
                <w:bCs/>
                <w:sz w:val="13"/>
                <w:szCs w:val="13"/>
              </w:rPr>
              <w:t>9</w:t>
            </w:r>
          </w:p>
        </w:tc>
        <w:tc>
          <w:tcPr>
            <w:tcW w:w="186" w:type="pct"/>
            <w:shd w:val="clear" w:color="auto" w:fill="auto"/>
            <w:vAlign w:val="center"/>
          </w:tcPr>
          <w:p w14:paraId="5A065AA4" w14:textId="77777777" w:rsidR="004A0123" w:rsidRPr="000D3D0C" w:rsidRDefault="004A0123" w:rsidP="008A5C11">
            <w:pPr>
              <w:jc w:val="center"/>
              <w:rPr>
                <w:bCs/>
                <w:sz w:val="13"/>
                <w:szCs w:val="13"/>
              </w:rPr>
            </w:pPr>
            <w:r w:rsidRPr="000D3D0C">
              <w:rPr>
                <w:bCs/>
                <w:sz w:val="13"/>
                <w:szCs w:val="13"/>
              </w:rPr>
              <w:t>10</w:t>
            </w:r>
          </w:p>
        </w:tc>
        <w:tc>
          <w:tcPr>
            <w:tcW w:w="186" w:type="pct"/>
            <w:shd w:val="clear" w:color="auto" w:fill="auto"/>
            <w:vAlign w:val="center"/>
          </w:tcPr>
          <w:p w14:paraId="40D02D47" w14:textId="77777777" w:rsidR="004A0123" w:rsidRPr="000D3D0C" w:rsidRDefault="004A0123" w:rsidP="008A5C11">
            <w:pPr>
              <w:jc w:val="center"/>
              <w:rPr>
                <w:bCs/>
                <w:sz w:val="13"/>
                <w:szCs w:val="13"/>
              </w:rPr>
            </w:pPr>
            <w:r w:rsidRPr="000D3D0C">
              <w:rPr>
                <w:bCs/>
                <w:sz w:val="13"/>
                <w:szCs w:val="13"/>
              </w:rPr>
              <w:t>11</w:t>
            </w:r>
          </w:p>
        </w:tc>
        <w:tc>
          <w:tcPr>
            <w:tcW w:w="186" w:type="pct"/>
            <w:shd w:val="clear" w:color="auto" w:fill="auto"/>
            <w:vAlign w:val="center"/>
          </w:tcPr>
          <w:p w14:paraId="0D65E59F" w14:textId="77777777" w:rsidR="004A0123" w:rsidRPr="000D3D0C" w:rsidRDefault="004A0123" w:rsidP="008A5C11">
            <w:pPr>
              <w:jc w:val="center"/>
              <w:rPr>
                <w:bCs/>
                <w:sz w:val="13"/>
                <w:szCs w:val="13"/>
              </w:rPr>
            </w:pPr>
            <w:r w:rsidRPr="000D3D0C">
              <w:rPr>
                <w:bCs/>
                <w:sz w:val="13"/>
                <w:szCs w:val="13"/>
              </w:rPr>
              <w:t>12</w:t>
            </w:r>
          </w:p>
        </w:tc>
        <w:tc>
          <w:tcPr>
            <w:tcW w:w="145" w:type="pct"/>
            <w:shd w:val="clear" w:color="auto" w:fill="auto"/>
            <w:vAlign w:val="center"/>
          </w:tcPr>
          <w:p w14:paraId="1926BCA9" w14:textId="77777777" w:rsidR="004A0123" w:rsidRPr="000D3D0C" w:rsidRDefault="004A0123" w:rsidP="008A5C11">
            <w:pPr>
              <w:jc w:val="center"/>
              <w:rPr>
                <w:bCs/>
                <w:sz w:val="13"/>
                <w:szCs w:val="13"/>
              </w:rPr>
            </w:pPr>
            <w:r w:rsidRPr="000D3D0C">
              <w:rPr>
                <w:bCs/>
                <w:sz w:val="13"/>
                <w:szCs w:val="13"/>
              </w:rPr>
              <w:t>13</w:t>
            </w:r>
          </w:p>
        </w:tc>
        <w:tc>
          <w:tcPr>
            <w:tcW w:w="148" w:type="pct"/>
            <w:shd w:val="clear" w:color="auto" w:fill="auto"/>
            <w:vAlign w:val="center"/>
          </w:tcPr>
          <w:p w14:paraId="7E206633" w14:textId="77777777" w:rsidR="004A0123" w:rsidRPr="000D3D0C" w:rsidRDefault="004A0123" w:rsidP="008A5C11">
            <w:pPr>
              <w:jc w:val="center"/>
              <w:rPr>
                <w:bCs/>
                <w:sz w:val="13"/>
                <w:szCs w:val="13"/>
              </w:rPr>
            </w:pPr>
            <w:r w:rsidRPr="000D3D0C">
              <w:rPr>
                <w:bCs/>
                <w:sz w:val="13"/>
                <w:szCs w:val="13"/>
              </w:rPr>
              <w:t>14</w:t>
            </w:r>
          </w:p>
        </w:tc>
        <w:tc>
          <w:tcPr>
            <w:tcW w:w="181" w:type="pct"/>
            <w:shd w:val="clear" w:color="auto" w:fill="auto"/>
            <w:vAlign w:val="center"/>
          </w:tcPr>
          <w:p w14:paraId="3BFDA551" w14:textId="77777777" w:rsidR="004A0123" w:rsidRPr="000D3D0C" w:rsidRDefault="004A0123" w:rsidP="008A5C11">
            <w:pPr>
              <w:jc w:val="center"/>
              <w:rPr>
                <w:bCs/>
                <w:sz w:val="13"/>
                <w:szCs w:val="13"/>
              </w:rPr>
            </w:pPr>
            <w:r w:rsidRPr="000D3D0C">
              <w:rPr>
                <w:bCs/>
                <w:sz w:val="13"/>
                <w:szCs w:val="13"/>
              </w:rPr>
              <w:t>15</w:t>
            </w:r>
          </w:p>
        </w:tc>
        <w:tc>
          <w:tcPr>
            <w:tcW w:w="181" w:type="pct"/>
            <w:vAlign w:val="center"/>
          </w:tcPr>
          <w:p w14:paraId="0CBBF8C2" w14:textId="77777777" w:rsidR="004A0123" w:rsidRPr="000D3D0C" w:rsidRDefault="004A0123" w:rsidP="008A5C11">
            <w:pPr>
              <w:jc w:val="center"/>
              <w:rPr>
                <w:bCs/>
                <w:sz w:val="13"/>
                <w:szCs w:val="13"/>
              </w:rPr>
            </w:pPr>
            <w:r w:rsidRPr="000D3D0C">
              <w:rPr>
                <w:bCs/>
                <w:sz w:val="13"/>
                <w:szCs w:val="13"/>
              </w:rPr>
              <w:t>16</w:t>
            </w:r>
          </w:p>
        </w:tc>
        <w:tc>
          <w:tcPr>
            <w:tcW w:w="153" w:type="pct"/>
            <w:vAlign w:val="center"/>
          </w:tcPr>
          <w:p w14:paraId="2242E645" w14:textId="77777777" w:rsidR="004A0123" w:rsidRPr="000D3D0C" w:rsidRDefault="004A0123" w:rsidP="008A5C11">
            <w:pPr>
              <w:jc w:val="center"/>
              <w:rPr>
                <w:bCs/>
                <w:sz w:val="13"/>
                <w:szCs w:val="13"/>
              </w:rPr>
            </w:pPr>
            <w:r w:rsidRPr="000D3D0C">
              <w:rPr>
                <w:bCs/>
                <w:sz w:val="13"/>
                <w:szCs w:val="13"/>
              </w:rPr>
              <w:t>17</w:t>
            </w:r>
          </w:p>
        </w:tc>
        <w:tc>
          <w:tcPr>
            <w:tcW w:w="153" w:type="pct"/>
            <w:vAlign w:val="center"/>
          </w:tcPr>
          <w:p w14:paraId="7B88BCF4" w14:textId="77777777" w:rsidR="004A0123" w:rsidRPr="000D3D0C" w:rsidRDefault="004A0123" w:rsidP="008A5C11">
            <w:pPr>
              <w:jc w:val="center"/>
              <w:rPr>
                <w:bCs/>
                <w:sz w:val="13"/>
                <w:szCs w:val="13"/>
              </w:rPr>
            </w:pPr>
            <w:r w:rsidRPr="000D3D0C">
              <w:rPr>
                <w:bCs/>
                <w:sz w:val="13"/>
                <w:szCs w:val="13"/>
              </w:rPr>
              <w:t>18</w:t>
            </w:r>
          </w:p>
        </w:tc>
        <w:tc>
          <w:tcPr>
            <w:tcW w:w="158" w:type="pct"/>
            <w:vAlign w:val="center"/>
          </w:tcPr>
          <w:p w14:paraId="47C5DF51" w14:textId="77777777" w:rsidR="004A0123" w:rsidRPr="000D3D0C" w:rsidRDefault="004A0123" w:rsidP="008A5C11">
            <w:pPr>
              <w:jc w:val="center"/>
              <w:rPr>
                <w:bCs/>
                <w:sz w:val="13"/>
                <w:szCs w:val="13"/>
              </w:rPr>
            </w:pPr>
            <w:r w:rsidRPr="000D3D0C">
              <w:rPr>
                <w:bCs/>
                <w:sz w:val="13"/>
                <w:szCs w:val="13"/>
              </w:rPr>
              <w:t>19</w:t>
            </w:r>
          </w:p>
        </w:tc>
        <w:tc>
          <w:tcPr>
            <w:tcW w:w="172" w:type="pct"/>
            <w:vAlign w:val="center"/>
          </w:tcPr>
          <w:p w14:paraId="0D14F7E0" w14:textId="77777777" w:rsidR="004A0123" w:rsidRPr="000D3D0C" w:rsidRDefault="004A0123" w:rsidP="008A5C11">
            <w:pPr>
              <w:jc w:val="center"/>
              <w:rPr>
                <w:bCs/>
                <w:sz w:val="13"/>
                <w:szCs w:val="13"/>
              </w:rPr>
            </w:pPr>
            <w:r w:rsidRPr="000D3D0C">
              <w:rPr>
                <w:bCs/>
                <w:sz w:val="13"/>
                <w:szCs w:val="13"/>
              </w:rPr>
              <w:t>20</w:t>
            </w:r>
          </w:p>
        </w:tc>
        <w:tc>
          <w:tcPr>
            <w:tcW w:w="155" w:type="pct"/>
            <w:vAlign w:val="center"/>
          </w:tcPr>
          <w:p w14:paraId="787610DB" w14:textId="77777777" w:rsidR="004A0123" w:rsidRPr="000D3D0C" w:rsidRDefault="004A0123" w:rsidP="008A5C11">
            <w:pPr>
              <w:jc w:val="center"/>
              <w:rPr>
                <w:bCs/>
                <w:sz w:val="13"/>
                <w:szCs w:val="13"/>
              </w:rPr>
            </w:pPr>
            <w:r w:rsidRPr="000D3D0C">
              <w:rPr>
                <w:bCs/>
                <w:sz w:val="13"/>
                <w:szCs w:val="13"/>
              </w:rPr>
              <w:t>21</w:t>
            </w:r>
          </w:p>
        </w:tc>
        <w:tc>
          <w:tcPr>
            <w:tcW w:w="146" w:type="pct"/>
            <w:vAlign w:val="center"/>
          </w:tcPr>
          <w:p w14:paraId="6471A282" w14:textId="77777777" w:rsidR="004A0123" w:rsidRPr="000D3D0C" w:rsidRDefault="004A0123" w:rsidP="008A5C11">
            <w:pPr>
              <w:jc w:val="center"/>
              <w:rPr>
                <w:bCs/>
                <w:sz w:val="13"/>
                <w:szCs w:val="13"/>
              </w:rPr>
            </w:pPr>
            <w:r w:rsidRPr="000D3D0C">
              <w:rPr>
                <w:bCs/>
                <w:sz w:val="13"/>
                <w:szCs w:val="13"/>
              </w:rPr>
              <w:t>22</w:t>
            </w:r>
          </w:p>
        </w:tc>
        <w:tc>
          <w:tcPr>
            <w:tcW w:w="181" w:type="pct"/>
            <w:vAlign w:val="center"/>
          </w:tcPr>
          <w:p w14:paraId="7674464A" w14:textId="77777777" w:rsidR="004A0123" w:rsidRPr="000D3D0C" w:rsidRDefault="004A0123" w:rsidP="008A5C11">
            <w:pPr>
              <w:jc w:val="center"/>
              <w:rPr>
                <w:bCs/>
                <w:sz w:val="13"/>
                <w:szCs w:val="13"/>
              </w:rPr>
            </w:pPr>
            <w:r w:rsidRPr="000D3D0C">
              <w:rPr>
                <w:bCs/>
                <w:sz w:val="13"/>
                <w:szCs w:val="13"/>
              </w:rPr>
              <w:t>23</w:t>
            </w:r>
          </w:p>
        </w:tc>
        <w:tc>
          <w:tcPr>
            <w:tcW w:w="178" w:type="pct"/>
            <w:vAlign w:val="center"/>
          </w:tcPr>
          <w:p w14:paraId="65B988C1" w14:textId="77777777" w:rsidR="004A0123" w:rsidRPr="000D3D0C" w:rsidRDefault="004A0123" w:rsidP="008A5C11">
            <w:pPr>
              <w:jc w:val="center"/>
              <w:rPr>
                <w:bCs/>
                <w:sz w:val="13"/>
                <w:szCs w:val="13"/>
              </w:rPr>
            </w:pPr>
            <w:r w:rsidRPr="000D3D0C">
              <w:rPr>
                <w:bCs/>
                <w:sz w:val="13"/>
                <w:szCs w:val="13"/>
              </w:rPr>
              <w:t>24</w:t>
            </w:r>
          </w:p>
        </w:tc>
      </w:tr>
      <w:tr w:rsidR="004A0123" w:rsidRPr="000D3D0C" w14:paraId="1D835EF8" w14:textId="77777777" w:rsidTr="008A5C11">
        <w:trPr>
          <w:trHeight w:val="84"/>
        </w:trPr>
        <w:tc>
          <w:tcPr>
            <w:tcW w:w="5000" w:type="pct"/>
            <w:gridSpan w:val="24"/>
            <w:vAlign w:val="center"/>
          </w:tcPr>
          <w:p w14:paraId="00A38DCB" w14:textId="77777777" w:rsidR="004A0123" w:rsidRPr="000D3D0C" w:rsidRDefault="004A0123" w:rsidP="008A5C11">
            <w:pPr>
              <w:rPr>
                <w:bCs/>
                <w:sz w:val="12"/>
                <w:szCs w:val="12"/>
              </w:rPr>
            </w:pPr>
            <w:r w:rsidRPr="000D3D0C">
              <w:rPr>
                <w:bCs/>
                <w:sz w:val="12"/>
                <w:szCs w:val="12"/>
              </w:rPr>
              <w:t>Группа 1. Строительство, реконструкция или модернизация объектов в целях подключения потребителей:</w:t>
            </w:r>
          </w:p>
        </w:tc>
      </w:tr>
      <w:tr w:rsidR="004A0123" w:rsidRPr="000D3D0C" w14:paraId="2E5F2C4A" w14:textId="77777777" w:rsidTr="008A5C11">
        <w:trPr>
          <w:trHeight w:val="45"/>
        </w:trPr>
        <w:tc>
          <w:tcPr>
            <w:tcW w:w="5000" w:type="pct"/>
            <w:gridSpan w:val="24"/>
            <w:vAlign w:val="center"/>
          </w:tcPr>
          <w:p w14:paraId="53DF08BD" w14:textId="77777777" w:rsidR="004A0123" w:rsidRPr="000D3D0C" w:rsidRDefault="004A0123" w:rsidP="008A5C11">
            <w:pPr>
              <w:rPr>
                <w:bCs/>
                <w:sz w:val="12"/>
                <w:szCs w:val="12"/>
              </w:rPr>
            </w:pPr>
            <w:r w:rsidRPr="000D3D0C">
              <w:rPr>
                <w:bCs/>
                <w:sz w:val="12"/>
                <w:szCs w:val="12"/>
              </w:rPr>
              <w:t>1.1. Строительство новых тепловых сетей в целях подключения потребителей</w:t>
            </w:r>
          </w:p>
        </w:tc>
      </w:tr>
      <w:tr w:rsidR="004A0123" w:rsidRPr="000D3D0C" w14:paraId="0073E999" w14:textId="77777777" w:rsidTr="008A5C11">
        <w:trPr>
          <w:trHeight w:val="64"/>
        </w:trPr>
        <w:tc>
          <w:tcPr>
            <w:tcW w:w="5000" w:type="pct"/>
            <w:gridSpan w:val="24"/>
            <w:vAlign w:val="center"/>
          </w:tcPr>
          <w:p w14:paraId="1432EB27" w14:textId="77777777" w:rsidR="004A0123" w:rsidRPr="000D3D0C" w:rsidRDefault="004A0123" w:rsidP="008A5C11">
            <w:pPr>
              <w:rPr>
                <w:bCs/>
                <w:sz w:val="12"/>
                <w:szCs w:val="12"/>
              </w:rPr>
            </w:pPr>
            <w:r w:rsidRPr="000D3D0C">
              <w:rPr>
                <w:bCs/>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4A0123" w:rsidRPr="000D3D0C" w14:paraId="0754CEF6" w14:textId="77777777" w:rsidTr="008A5C11">
        <w:trPr>
          <w:trHeight w:val="64"/>
        </w:trPr>
        <w:tc>
          <w:tcPr>
            <w:tcW w:w="5000" w:type="pct"/>
            <w:gridSpan w:val="24"/>
            <w:vAlign w:val="center"/>
          </w:tcPr>
          <w:p w14:paraId="79D54F6C" w14:textId="77777777" w:rsidR="004A0123" w:rsidRPr="000D3D0C" w:rsidRDefault="004A0123" w:rsidP="008A5C11">
            <w:pPr>
              <w:rPr>
                <w:bCs/>
                <w:sz w:val="12"/>
                <w:szCs w:val="12"/>
              </w:rPr>
            </w:pPr>
            <w:r w:rsidRPr="000D3D0C">
              <w:rPr>
                <w:bCs/>
                <w:sz w:val="12"/>
                <w:szCs w:val="12"/>
              </w:rPr>
              <w:t>1.3. Увеличение пропускной способности существующих тепловых сетей в целях подключения потребителей</w:t>
            </w:r>
          </w:p>
        </w:tc>
      </w:tr>
      <w:tr w:rsidR="004A0123" w:rsidRPr="000D3D0C" w14:paraId="66710731" w14:textId="77777777" w:rsidTr="008A5C11">
        <w:trPr>
          <w:trHeight w:val="64"/>
        </w:trPr>
        <w:tc>
          <w:tcPr>
            <w:tcW w:w="5000" w:type="pct"/>
            <w:gridSpan w:val="24"/>
            <w:vAlign w:val="center"/>
          </w:tcPr>
          <w:p w14:paraId="5B946199" w14:textId="77777777" w:rsidR="004A0123" w:rsidRPr="000D3D0C" w:rsidRDefault="004A0123" w:rsidP="008A5C11">
            <w:pPr>
              <w:rPr>
                <w:bCs/>
                <w:sz w:val="12"/>
                <w:szCs w:val="12"/>
              </w:rPr>
            </w:pPr>
            <w:r w:rsidRPr="000D3D0C">
              <w:rPr>
                <w:bCs/>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4A0123" w:rsidRPr="000D3D0C" w14:paraId="3932368B" w14:textId="77777777" w:rsidTr="008A5C11">
        <w:trPr>
          <w:trHeight w:val="70"/>
        </w:trPr>
        <w:tc>
          <w:tcPr>
            <w:tcW w:w="2677" w:type="pct"/>
            <w:gridSpan w:val="10"/>
            <w:shd w:val="clear" w:color="auto" w:fill="auto"/>
            <w:vAlign w:val="center"/>
          </w:tcPr>
          <w:p w14:paraId="192DD020" w14:textId="77777777" w:rsidR="004A0123" w:rsidRPr="000D3D0C" w:rsidRDefault="004A0123" w:rsidP="008A5C11">
            <w:pPr>
              <w:rPr>
                <w:sz w:val="13"/>
                <w:szCs w:val="13"/>
              </w:rPr>
            </w:pPr>
            <w:r w:rsidRPr="000D3D0C">
              <w:rPr>
                <w:sz w:val="13"/>
                <w:szCs w:val="13"/>
              </w:rPr>
              <w:t>Всего по группе 1.</w:t>
            </w:r>
          </w:p>
        </w:tc>
        <w:tc>
          <w:tcPr>
            <w:tcW w:w="186" w:type="pct"/>
            <w:shd w:val="clear" w:color="auto" w:fill="auto"/>
            <w:vAlign w:val="center"/>
          </w:tcPr>
          <w:p w14:paraId="0D960FA1" w14:textId="77777777" w:rsidR="004A0123" w:rsidRPr="000D3D0C" w:rsidRDefault="004A0123" w:rsidP="008A5C11">
            <w:pPr>
              <w:jc w:val="center"/>
              <w:rPr>
                <w:sz w:val="13"/>
                <w:szCs w:val="13"/>
              </w:rPr>
            </w:pPr>
            <w:r w:rsidRPr="000D3D0C">
              <w:rPr>
                <w:sz w:val="13"/>
                <w:szCs w:val="13"/>
              </w:rPr>
              <w:t>0</w:t>
            </w:r>
          </w:p>
        </w:tc>
        <w:tc>
          <w:tcPr>
            <w:tcW w:w="186" w:type="pct"/>
            <w:shd w:val="clear" w:color="auto" w:fill="auto"/>
            <w:vAlign w:val="center"/>
          </w:tcPr>
          <w:p w14:paraId="50E24936" w14:textId="77777777" w:rsidR="004A0123" w:rsidRPr="000D3D0C" w:rsidRDefault="004A0123" w:rsidP="008A5C11">
            <w:pPr>
              <w:jc w:val="center"/>
              <w:rPr>
                <w:sz w:val="13"/>
                <w:szCs w:val="13"/>
              </w:rPr>
            </w:pPr>
            <w:r w:rsidRPr="000D3D0C">
              <w:rPr>
                <w:sz w:val="13"/>
                <w:szCs w:val="13"/>
              </w:rPr>
              <w:t>0</w:t>
            </w:r>
          </w:p>
        </w:tc>
        <w:tc>
          <w:tcPr>
            <w:tcW w:w="145" w:type="pct"/>
            <w:shd w:val="clear" w:color="auto" w:fill="auto"/>
            <w:vAlign w:val="center"/>
          </w:tcPr>
          <w:p w14:paraId="141F7F87" w14:textId="77777777" w:rsidR="004A0123" w:rsidRPr="000D3D0C" w:rsidRDefault="004A0123" w:rsidP="008A5C11">
            <w:pPr>
              <w:jc w:val="center"/>
              <w:rPr>
                <w:sz w:val="13"/>
                <w:szCs w:val="13"/>
              </w:rPr>
            </w:pPr>
            <w:r w:rsidRPr="000D3D0C">
              <w:rPr>
                <w:sz w:val="13"/>
                <w:szCs w:val="13"/>
              </w:rPr>
              <w:t>0</w:t>
            </w:r>
          </w:p>
        </w:tc>
        <w:tc>
          <w:tcPr>
            <w:tcW w:w="148" w:type="pct"/>
            <w:shd w:val="clear" w:color="auto" w:fill="auto"/>
            <w:vAlign w:val="center"/>
          </w:tcPr>
          <w:p w14:paraId="176C0888" w14:textId="77777777" w:rsidR="004A0123" w:rsidRPr="000D3D0C" w:rsidRDefault="004A0123" w:rsidP="008A5C11">
            <w:pPr>
              <w:jc w:val="center"/>
              <w:rPr>
                <w:sz w:val="13"/>
                <w:szCs w:val="13"/>
              </w:rPr>
            </w:pPr>
            <w:r w:rsidRPr="000D3D0C">
              <w:rPr>
                <w:sz w:val="13"/>
                <w:szCs w:val="13"/>
              </w:rPr>
              <w:t>0</w:t>
            </w:r>
          </w:p>
        </w:tc>
        <w:tc>
          <w:tcPr>
            <w:tcW w:w="181" w:type="pct"/>
            <w:shd w:val="clear" w:color="auto" w:fill="auto"/>
            <w:vAlign w:val="center"/>
          </w:tcPr>
          <w:p w14:paraId="268FFC82" w14:textId="77777777" w:rsidR="004A0123" w:rsidRPr="000D3D0C" w:rsidRDefault="004A0123" w:rsidP="008A5C11">
            <w:pPr>
              <w:jc w:val="center"/>
              <w:rPr>
                <w:sz w:val="13"/>
                <w:szCs w:val="13"/>
              </w:rPr>
            </w:pPr>
            <w:r w:rsidRPr="000D3D0C">
              <w:rPr>
                <w:sz w:val="13"/>
                <w:szCs w:val="13"/>
              </w:rPr>
              <w:t>0</w:t>
            </w:r>
          </w:p>
        </w:tc>
        <w:tc>
          <w:tcPr>
            <w:tcW w:w="181" w:type="pct"/>
            <w:vAlign w:val="center"/>
          </w:tcPr>
          <w:p w14:paraId="7CD6DC6B" w14:textId="77777777" w:rsidR="004A0123" w:rsidRPr="000D3D0C" w:rsidRDefault="004A0123" w:rsidP="008A5C11">
            <w:pPr>
              <w:jc w:val="center"/>
              <w:rPr>
                <w:sz w:val="13"/>
                <w:szCs w:val="13"/>
              </w:rPr>
            </w:pPr>
            <w:r w:rsidRPr="000D3D0C">
              <w:rPr>
                <w:sz w:val="13"/>
                <w:szCs w:val="13"/>
              </w:rPr>
              <w:t>0</w:t>
            </w:r>
          </w:p>
        </w:tc>
        <w:tc>
          <w:tcPr>
            <w:tcW w:w="153" w:type="pct"/>
            <w:vAlign w:val="center"/>
          </w:tcPr>
          <w:p w14:paraId="59D2E2DD" w14:textId="77777777" w:rsidR="004A0123" w:rsidRPr="000D3D0C" w:rsidRDefault="004A0123" w:rsidP="008A5C11">
            <w:pPr>
              <w:jc w:val="center"/>
              <w:rPr>
                <w:sz w:val="13"/>
                <w:szCs w:val="13"/>
              </w:rPr>
            </w:pPr>
            <w:r w:rsidRPr="000D3D0C">
              <w:rPr>
                <w:sz w:val="13"/>
                <w:szCs w:val="13"/>
              </w:rPr>
              <w:t>0</w:t>
            </w:r>
          </w:p>
        </w:tc>
        <w:tc>
          <w:tcPr>
            <w:tcW w:w="153" w:type="pct"/>
            <w:vAlign w:val="center"/>
          </w:tcPr>
          <w:p w14:paraId="0A562B01" w14:textId="77777777" w:rsidR="004A0123" w:rsidRPr="000D3D0C" w:rsidRDefault="004A0123" w:rsidP="008A5C11">
            <w:pPr>
              <w:jc w:val="center"/>
              <w:rPr>
                <w:sz w:val="13"/>
                <w:szCs w:val="13"/>
              </w:rPr>
            </w:pPr>
            <w:r w:rsidRPr="000D3D0C">
              <w:rPr>
                <w:sz w:val="13"/>
                <w:szCs w:val="13"/>
              </w:rPr>
              <w:t>0</w:t>
            </w:r>
          </w:p>
        </w:tc>
        <w:tc>
          <w:tcPr>
            <w:tcW w:w="158" w:type="pct"/>
            <w:vAlign w:val="center"/>
          </w:tcPr>
          <w:p w14:paraId="26BC7C5D" w14:textId="77777777" w:rsidR="004A0123" w:rsidRPr="000D3D0C" w:rsidRDefault="004A0123" w:rsidP="008A5C11">
            <w:pPr>
              <w:jc w:val="center"/>
              <w:rPr>
                <w:sz w:val="13"/>
                <w:szCs w:val="13"/>
              </w:rPr>
            </w:pPr>
            <w:r w:rsidRPr="000D3D0C">
              <w:rPr>
                <w:sz w:val="13"/>
                <w:szCs w:val="13"/>
              </w:rPr>
              <w:t>0</w:t>
            </w:r>
          </w:p>
        </w:tc>
        <w:tc>
          <w:tcPr>
            <w:tcW w:w="172" w:type="pct"/>
            <w:vAlign w:val="center"/>
          </w:tcPr>
          <w:p w14:paraId="27FBBBB3" w14:textId="77777777" w:rsidR="004A0123" w:rsidRPr="000D3D0C" w:rsidRDefault="004A0123" w:rsidP="008A5C11">
            <w:pPr>
              <w:jc w:val="center"/>
              <w:rPr>
                <w:sz w:val="13"/>
                <w:szCs w:val="13"/>
              </w:rPr>
            </w:pPr>
            <w:r w:rsidRPr="000D3D0C">
              <w:rPr>
                <w:sz w:val="13"/>
                <w:szCs w:val="13"/>
              </w:rPr>
              <w:t>0</w:t>
            </w:r>
          </w:p>
        </w:tc>
        <w:tc>
          <w:tcPr>
            <w:tcW w:w="155" w:type="pct"/>
            <w:vAlign w:val="center"/>
          </w:tcPr>
          <w:p w14:paraId="7F5C998A" w14:textId="77777777" w:rsidR="004A0123" w:rsidRPr="000D3D0C" w:rsidRDefault="004A0123" w:rsidP="008A5C11">
            <w:pPr>
              <w:jc w:val="center"/>
              <w:rPr>
                <w:sz w:val="13"/>
                <w:szCs w:val="13"/>
              </w:rPr>
            </w:pPr>
            <w:r w:rsidRPr="000D3D0C">
              <w:rPr>
                <w:sz w:val="13"/>
                <w:szCs w:val="13"/>
              </w:rPr>
              <w:t>0</w:t>
            </w:r>
          </w:p>
        </w:tc>
        <w:tc>
          <w:tcPr>
            <w:tcW w:w="146" w:type="pct"/>
            <w:vAlign w:val="center"/>
          </w:tcPr>
          <w:p w14:paraId="1E7B4955" w14:textId="77777777" w:rsidR="004A0123" w:rsidRPr="000D3D0C" w:rsidRDefault="004A0123" w:rsidP="008A5C11">
            <w:pPr>
              <w:jc w:val="center"/>
              <w:rPr>
                <w:sz w:val="13"/>
                <w:szCs w:val="13"/>
              </w:rPr>
            </w:pPr>
            <w:r w:rsidRPr="000D3D0C">
              <w:rPr>
                <w:sz w:val="13"/>
                <w:szCs w:val="13"/>
              </w:rPr>
              <w:t>0</w:t>
            </w:r>
          </w:p>
        </w:tc>
        <w:tc>
          <w:tcPr>
            <w:tcW w:w="181" w:type="pct"/>
            <w:vAlign w:val="center"/>
          </w:tcPr>
          <w:p w14:paraId="7AB901A4" w14:textId="77777777" w:rsidR="004A0123" w:rsidRPr="000D3D0C" w:rsidRDefault="004A0123" w:rsidP="008A5C11">
            <w:pPr>
              <w:jc w:val="center"/>
              <w:rPr>
                <w:sz w:val="13"/>
                <w:szCs w:val="13"/>
              </w:rPr>
            </w:pPr>
            <w:r w:rsidRPr="000D3D0C">
              <w:rPr>
                <w:sz w:val="13"/>
                <w:szCs w:val="13"/>
              </w:rPr>
              <w:t>0</w:t>
            </w:r>
          </w:p>
        </w:tc>
        <w:tc>
          <w:tcPr>
            <w:tcW w:w="178" w:type="pct"/>
            <w:vAlign w:val="center"/>
          </w:tcPr>
          <w:p w14:paraId="2680E086" w14:textId="77777777" w:rsidR="004A0123" w:rsidRPr="000D3D0C" w:rsidRDefault="004A0123" w:rsidP="008A5C11">
            <w:pPr>
              <w:jc w:val="center"/>
              <w:rPr>
                <w:sz w:val="13"/>
                <w:szCs w:val="13"/>
              </w:rPr>
            </w:pPr>
            <w:r w:rsidRPr="000D3D0C">
              <w:rPr>
                <w:sz w:val="13"/>
                <w:szCs w:val="13"/>
              </w:rPr>
              <w:t>0</w:t>
            </w:r>
          </w:p>
        </w:tc>
      </w:tr>
      <w:tr w:rsidR="004A0123" w:rsidRPr="000D3D0C" w14:paraId="3883074A" w14:textId="77777777" w:rsidTr="008A5C11">
        <w:trPr>
          <w:trHeight w:val="64"/>
        </w:trPr>
        <w:tc>
          <w:tcPr>
            <w:tcW w:w="5000" w:type="pct"/>
            <w:gridSpan w:val="24"/>
            <w:vAlign w:val="center"/>
          </w:tcPr>
          <w:p w14:paraId="56633F5F" w14:textId="77777777" w:rsidR="004A0123" w:rsidRPr="000D3D0C" w:rsidRDefault="004A0123" w:rsidP="008A5C11">
            <w:pPr>
              <w:rPr>
                <w:bCs/>
                <w:sz w:val="12"/>
                <w:szCs w:val="12"/>
              </w:rPr>
            </w:pPr>
            <w:r w:rsidRPr="000D3D0C">
              <w:rPr>
                <w:bCs/>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4A0123" w:rsidRPr="000D3D0C" w14:paraId="24AE8CF7" w14:textId="77777777" w:rsidTr="008A5C11">
        <w:trPr>
          <w:trHeight w:val="130"/>
        </w:trPr>
        <w:tc>
          <w:tcPr>
            <w:tcW w:w="2677" w:type="pct"/>
            <w:gridSpan w:val="10"/>
            <w:tcBorders>
              <w:right w:val="single" w:sz="4" w:space="0" w:color="auto"/>
            </w:tcBorders>
            <w:shd w:val="clear" w:color="auto" w:fill="auto"/>
            <w:vAlign w:val="center"/>
          </w:tcPr>
          <w:p w14:paraId="15BB6B51" w14:textId="77777777" w:rsidR="004A0123" w:rsidRPr="000D3D0C" w:rsidRDefault="004A0123" w:rsidP="008A5C11">
            <w:pPr>
              <w:rPr>
                <w:sz w:val="13"/>
                <w:szCs w:val="13"/>
              </w:rPr>
            </w:pPr>
            <w:r w:rsidRPr="000D3D0C">
              <w:rPr>
                <w:sz w:val="13"/>
                <w:szCs w:val="13"/>
              </w:rPr>
              <w:t>Всего по группе 2.</w:t>
            </w:r>
          </w:p>
        </w:tc>
        <w:tc>
          <w:tcPr>
            <w:tcW w:w="186" w:type="pct"/>
            <w:tcBorders>
              <w:top w:val="single" w:sz="4" w:space="0" w:color="auto"/>
              <w:left w:val="nil"/>
              <w:bottom w:val="single" w:sz="4" w:space="0" w:color="auto"/>
              <w:right w:val="single" w:sz="4" w:space="0" w:color="auto"/>
            </w:tcBorders>
            <w:shd w:val="clear" w:color="auto" w:fill="auto"/>
            <w:vAlign w:val="center"/>
          </w:tcPr>
          <w:p w14:paraId="5210B633" w14:textId="77777777" w:rsidR="004A0123" w:rsidRPr="000D3D0C" w:rsidRDefault="004A0123" w:rsidP="008A5C11">
            <w:pPr>
              <w:jc w:val="center"/>
              <w:rPr>
                <w:sz w:val="13"/>
                <w:szCs w:val="13"/>
              </w:rPr>
            </w:pPr>
            <w:r w:rsidRPr="000D3D0C">
              <w:rPr>
                <w:sz w:val="13"/>
                <w:szCs w:val="13"/>
              </w:rPr>
              <w:t>0</w:t>
            </w:r>
          </w:p>
        </w:tc>
        <w:tc>
          <w:tcPr>
            <w:tcW w:w="186" w:type="pct"/>
            <w:tcBorders>
              <w:top w:val="single" w:sz="4" w:space="0" w:color="auto"/>
              <w:left w:val="nil"/>
              <w:bottom w:val="single" w:sz="4" w:space="0" w:color="auto"/>
              <w:right w:val="single" w:sz="4" w:space="0" w:color="auto"/>
            </w:tcBorders>
            <w:shd w:val="clear" w:color="auto" w:fill="auto"/>
            <w:vAlign w:val="center"/>
          </w:tcPr>
          <w:p w14:paraId="662AB012" w14:textId="77777777" w:rsidR="004A0123" w:rsidRPr="000D3D0C" w:rsidRDefault="004A0123" w:rsidP="008A5C11">
            <w:pPr>
              <w:jc w:val="center"/>
              <w:rPr>
                <w:sz w:val="13"/>
                <w:szCs w:val="13"/>
              </w:rPr>
            </w:pPr>
            <w:r w:rsidRPr="000D3D0C">
              <w:rPr>
                <w:sz w:val="13"/>
                <w:szCs w:val="13"/>
              </w:rPr>
              <w:t>0</w:t>
            </w:r>
          </w:p>
        </w:tc>
        <w:tc>
          <w:tcPr>
            <w:tcW w:w="145" w:type="pct"/>
            <w:tcBorders>
              <w:top w:val="single" w:sz="4" w:space="0" w:color="auto"/>
              <w:left w:val="single" w:sz="4" w:space="0" w:color="auto"/>
              <w:bottom w:val="single" w:sz="4" w:space="0" w:color="auto"/>
              <w:right w:val="single" w:sz="4" w:space="0" w:color="auto"/>
            </w:tcBorders>
            <w:shd w:val="clear" w:color="auto" w:fill="auto"/>
            <w:vAlign w:val="center"/>
          </w:tcPr>
          <w:p w14:paraId="0EB191D0" w14:textId="77777777" w:rsidR="004A0123" w:rsidRPr="000D3D0C" w:rsidRDefault="004A0123" w:rsidP="008A5C11">
            <w:pPr>
              <w:jc w:val="center"/>
              <w:rPr>
                <w:sz w:val="13"/>
                <w:szCs w:val="13"/>
              </w:rPr>
            </w:pPr>
            <w:r w:rsidRPr="000D3D0C">
              <w:rPr>
                <w:sz w:val="13"/>
                <w:szCs w:val="13"/>
              </w:rPr>
              <w:t>0</w:t>
            </w:r>
          </w:p>
        </w:tc>
        <w:tc>
          <w:tcPr>
            <w:tcW w:w="148" w:type="pct"/>
            <w:tcBorders>
              <w:top w:val="single" w:sz="4" w:space="0" w:color="auto"/>
              <w:left w:val="nil"/>
              <w:bottom w:val="single" w:sz="4" w:space="0" w:color="auto"/>
              <w:right w:val="single" w:sz="4" w:space="0" w:color="auto"/>
            </w:tcBorders>
            <w:shd w:val="clear" w:color="auto" w:fill="auto"/>
            <w:vAlign w:val="center"/>
          </w:tcPr>
          <w:p w14:paraId="4D3381EC" w14:textId="77777777" w:rsidR="004A0123" w:rsidRPr="000D3D0C" w:rsidRDefault="004A0123" w:rsidP="008A5C11">
            <w:pPr>
              <w:jc w:val="center"/>
              <w:rPr>
                <w:sz w:val="13"/>
                <w:szCs w:val="13"/>
              </w:rPr>
            </w:pPr>
            <w:r w:rsidRPr="000D3D0C">
              <w:rPr>
                <w:sz w:val="13"/>
                <w:szCs w:val="13"/>
              </w:rPr>
              <w:t>0</w:t>
            </w:r>
          </w:p>
        </w:tc>
        <w:tc>
          <w:tcPr>
            <w:tcW w:w="181" w:type="pct"/>
            <w:tcBorders>
              <w:top w:val="single" w:sz="4" w:space="0" w:color="auto"/>
              <w:left w:val="nil"/>
              <w:bottom w:val="single" w:sz="4" w:space="0" w:color="auto"/>
              <w:right w:val="single" w:sz="4" w:space="0" w:color="auto"/>
            </w:tcBorders>
            <w:shd w:val="clear" w:color="auto" w:fill="auto"/>
            <w:vAlign w:val="center"/>
          </w:tcPr>
          <w:p w14:paraId="4C0C1EC3" w14:textId="77777777" w:rsidR="004A0123" w:rsidRPr="000D3D0C" w:rsidRDefault="004A0123" w:rsidP="008A5C11">
            <w:pPr>
              <w:jc w:val="center"/>
              <w:rPr>
                <w:sz w:val="13"/>
                <w:szCs w:val="13"/>
              </w:rPr>
            </w:pPr>
            <w:r w:rsidRPr="000D3D0C">
              <w:rPr>
                <w:sz w:val="13"/>
                <w:szCs w:val="13"/>
              </w:rPr>
              <w:t>0</w:t>
            </w:r>
          </w:p>
        </w:tc>
        <w:tc>
          <w:tcPr>
            <w:tcW w:w="181" w:type="pct"/>
            <w:tcBorders>
              <w:top w:val="single" w:sz="4" w:space="0" w:color="auto"/>
              <w:left w:val="nil"/>
              <w:bottom w:val="single" w:sz="4" w:space="0" w:color="auto"/>
              <w:right w:val="single" w:sz="4" w:space="0" w:color="auto"/>
            </w:tcBorders>
            <w:shd w:val="clear" w:color="auto" w:fill="auto"/>
            <w:vAlign w:val="center"/>
          </w:tcPr>
          <w:p w14:paraId="08050B7D" w14:textId="77777777" w:rsidR="004A0123" w:rsidRPr="000D3D0C" w:rsidRDefault="004A0123" w:rsidP="008A5C11">
            <w:pPr>
              <w:jc w:val="center"/>
              <w:rPr>
                <w:sz w:val="13"/>
                <w:szCs w:val="13"/>
              </w:rPr>
            </w:pPr>
            <w:r w:rsidRPr="000D3D0C">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44967C6C" w14:textId="77777777" w:rsidR="004A0123" w:rsidRPr="000D3D0C" w:rsidRDefault="004A0123" w:rsidP="008A5C11">
            <w:pPr>
              <w:jc w:val="center"/>
              <w:rPr>
                <w:sz w:val="13"/>
                <w:szCs w:val="13"/>
              </w:rPr>
            </w:pPr>
            <w:r w:rsidRPr="000D3D0C">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5C30160C" w14:textId="77777777" w:rsidR="004A0123" w:rsidRPr="000D3D0C" w:rsidRDefault="004A0123" w:rsidP="008A5C11">
            <w:pPr>
              <w:jc w:val="center"/>
              <w:rPr>
                <w:sz w:val="13"/>
                <w:szCs w:val="13"/>
              </w:rPr>
            </w:pPr>
            <w:r w:rsidRPr="000D3D0C">
              <w:rPr>
                <w:sz w:val="13"/>
                <w:szCs w:val="13"/>
              </w:rPr>
              <w:t>0</w:t>
            </w:r>
          </w:p>
        </w:tc>
        <w:tc>
          <w:tcPr>
            <w:tcW w:w="158" w:type="pct"/>
            <w:tcBorders>
              <w:top w:val="single" w:sz="4" w:space="0" w:color="auto"/>
              <w:left w:val="single" w:sz="4" w:space="0" w:color="auto"/>
              <w:bottom w:val="single" w:sz="4" w:space="0" w:color="auto"/>
              <w:right w:val="single" w:sz="4" w:space="0" w:color="auto"/>
            </w:tcBorders>
            <w:vAlign w:val="center"/>
          </w:tcPr>
          <w:p w14:paraId="3BCAA9E5" w14:textId="77777777" w:rsidR="004A0123" w:rsidRPr="000D3D0C" w:rsidRDefault="004A0123" w:rsidP="008A5C11">
            <w:pPr>
              <w:jc w:val="center"/>
              <w:rPr>
                <w:sz w:val="13"/>
                <w:szCs w:val="13"/>
              </w:rPr>
            </w:pPr>
            <w:r w:rsidRPr="000D3D0C">
              <w:rPr>
                <w:sz w:val="13"/>
                <w:szCs w:val="13"/>
              </w:rPr>
              <w:t>0</w:t>
            </w:r>
          </w:p>
        </w:tc>
        <w:tc>
          <w:tcPr>
            <w:tcW w:w="172" w:type="pct"/>
            <w:tcBorders>
              <w:top w:val="single" w:sz="4" w:space="0" w:color="auto"/>
              <w:left w:val="single" w:sz="4" w:space="0" w:color="auto"/>
              <w:bottom w:val="single" w:sz="4" w:space="0" w:color="auto"/>
              <w:right w:val="single" w:sz="4" w:space="0" w:color="auto"/>
            </w:tcBorders>
            <w:vAlign w:val="center"/>
          </w:tcPr>
          <w:p w14:paraId="68E4805E" w14:textId="77777777" w:rsidR="004A0123" w:rsidRPr="000D3D0C" w:rsidRDefault="004A0123" w:rsidP="008A5C11">
            <w:pPr>
              <w:jc w:val="center"/>
              <w:rPr>
                <w:sz w:val="13"/>
                <w:szCs w:val="13"/>
              </w:rPr>
            </w:pPr>
            <w:r w:rsidRPr="000D3D0C">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211D8F9C" w14:textId="77777777" w:rsidR="004A0123" w:rsidRPr="000D3D0C" w:rsidRDefault="004A0123" w:rsidP="008A5C11">
            <w:pPr>
              <w:jc w:val="center"/>
              <w:rPr>
                <w:sz w:val="13"/>
                <w:szCs w:val="13"/>
              </w:rPr>
            </w:pPr>
            <w:r w:rsidRPr="000D3D0C">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061B1803" w14:textId="77777777" w:rsidR="004A0123" w:rsidRPr="000D3D0C" w:rsidRDefault="004A0123" w:rsidP="008A5C11">
            <w:pPr>
              <w:jc w:val="center"/>
              <w:rPr>
                <w:sz w:val="13"/>
                <w:szCs w:val="13"/>
              </w:rPr>
            </w:pPr>
            <w:r w:rsidRPr="000D3D0C">
              <w:rPr>
                <w:sz w:val="13"/>
                <w:szCs w:val="13"/>
              </w:rPr>
              <w:t>0</w:t>
            </w:r>
          </w:p>
        </w:tc>
        <w:tc>
          <w:tcPr>
            <w:tcW w:w="181" w:type="pct"/>
            <w:tcBorders>
              <w:top w:val="single" w:sz="4" w:space="0" w:color="auto"/>
              <w:left w:val="single" w:sz="4" w:space="0" w:color="auto"/>
              <w:bottom w:val="single" w:sz="4" w:space="0" w:color="auto"/>
              <w:right w:val="single" w:sz="4" w:space="0" w:color="auto"/>
            </w:tcBorders>
            <w:vAlign w:val="center"/>
          </w:tcPr>
          <w:p w14:paraId="5874D161" w14:textId="77777777" w:rsidR="004A0123" w:rsidRPr="000D3D0C" w:rsidRDefault="004A0123" w:rsidP="008A5C11">
            <w:pPr>
              <w:jc w:val="center"/>
              <w:rPr>
                <w:sz w:val="13"/>
                <w:szCs w:val="13"/>
              </w:rPr>
            </w:pPr>
            <w:r w:rsidRPr="000D3D0C">
              <w:rPr>
                <w:sz w:val="13"/>
                <w:szCs w:val="13"/>
              </w:rPr>
              <w:t>0</w:t>
            </w:r>
          </w:p>
        </w:tc>
        <w:tc>
          <w:tcPr>
            <w:tcW w:w="178" w:type="pct"/>
            <w:tcBorders>
              <w:top w:val="single" w:sz="4" w:space="0" w:color="auto"/>
              <w:left w:val="single" w:sz="4" w:space="0" w:color="auto"/>
              <w:bottom w:val="single" w:sz="4" w:space="0" w:color="auto"/>
              <w:right w:val="single" w:sz="4" w:space="0" w:color="auto"/>
            </w:tcBorders>
            <w:vAlign w:val="center"/>
          </w:tcPr>
          <w:p w14:paraId="1491491D" w14:textId="77777777" w:rsidR="004A0123" w:rsidRPr="000D3D0C" w:rsidRDefault="004A0123" w:rsidP="008A5C11">
            <w:pPr>
              <w:jc w:val="center"/>
              <w:rPr>
                <w:sz w:val="13"/>
                <w:szCs w:val="13"/>
              </w:rPr>
            </w:pPr>
            <w:r w:rsidRPr="000D3D0C">
              <w:rPr>
                <w:sz w:val="13"/>
                <w:szCs w:val="13"/>
              </w:rPr>
              <w:t>0</w:t>
            </w:r>
          </w:p>
        </w:tc>
      </w:tr>
      <w:tr w:rsidR="004A0123" w:rsidRPr="000D3D0C" w14:paraId="01564923" w14:textId="77777777" w:rsidTr="008A5C11">
        <w:trPr>
          <w:trHeight w:val="226"/>
        </w:trPr>
        <w:tc>
          <w:tcPr>
            <w:tcW w:w="5000" w:type="pct"/>
            <w:gridSpan w:val="24"/>
            <w:tcBorders>
              <w:right w:val="single" w:sz="4" w:space="0" w:color="auto"/>
            </w:tcBorders>
            <w:shd w:val="clear" w:color="auto" w:fill="auto"/>
            <w:vAlign w:val="center"/>
          </w:tcPr>
          <w:p w14:paraId="5762B8BF" w14:textId="77777777" w:rsidR="004A0123" w:rsidRPr="000D3D0C" w:rsidRDefault="004A0123" w:rsidP="008A5C11">
            <w:pPr>
              <w:rPr>
                <w:sz w:val="13"/>
                <w:szCs w:val="13"/>
              </w:rPr>
            </w:pPr>
            <w:r w:rsidRPr="000D3D0C">
              <w:rPr>
                <w:sz w:val="13"/>
                <w:szCs w:val="13"/>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4A0123" w:rsidRPr="000D3D0C" w14:paraId="53237939" w14:textId="77777777" w:rsidTr="008A5C11">
        <w:trPr>
          <w:trHeight w:val="86"/>
        </w:trPr>
        <w:tc>
          <w:tcPr>
            <w:tcW w:w="5000" w:type="pct"/>
            <w:gridSpan w:val="24"/>
            <w:tcBorders>
              <w:bottom w:val="single" w:sz="4" w:space="0" w:color="auto"/>
              <w:right w:val="single" w:sz="4" w:space="0" w:color="auto"/>
            </w:tcBorders>
            <w:shd w:val="clear" w:color="auto" w:fill="auto"/>
            <w:vAlign w:val="center"/>
          </w:tcPr>
          <w:p w14:paraId="66407DB5" w14:textId="77777777" w:rsidR="004A0123" w:rsidRPr="000D3D0C" w:rsidRDefault="004A0123" w:rsidP="008A5C11">
            <w:pPr>
              <w:rPr>
                <w:sz w:val="13"/>
                <w:szCs w:val="13"/>
              </w:rPr>
            </w:pPr>
            <w:r w:rsidRPr="000D3D0C">
              <w:rPr>
                <w:sz w:val="13"/>
                <w:szCs w:val="13"/>
              </w:rPr>
              <w:t>3.1. Реконструкция или модернизация существующих тепловых сетей</w:t>
            </w:r>
          </w:p>
        </w:tc>
      </w:tr>
      <w:tr w:rsidR="004A0123" w:rsidRPr="000D3D0C" w14:paraId="5F231597" w14:textId="77777777" w:rsidTr="008A5C11">
        <w:trPr>
          <w:trHeight w:val="94"/>
        </w:trPr>
        <w:tc>
          <w:tcPr>
            <w:tcW w:w="147" w:type="pct"/>
            <w:tcBorders>
              <w:top w:val="single" w:sz="4" w:space="0" w:color="auto"/>
              <w:left w:val="single" w:sz="4" w:space="0" w:color="auto"/>
              <w:bottom w:val="single" w:sz="4" w:space="0" w:color="auto"/>
              <w:right w:val="single" w:sz="4" w:space="0" w:color="auto"/>
            </w:tcBorders>
            <w:shd w:val="clear" w:color="auto" w:fill="auto"/>
            <w:vAlign w:val="center"/>
          </w:tcPr>
          <w:p w14:paraId="12EE574D" w14:textId="77777777" w:rsidR="004A0123" w:rsidRPr="000D3D0C" w:rsidRDefault="004A0123" w:rsidP="008A5C11">
            <w:pPr>
              <w:jc w:val="center"/>
              <w:rPr>
                <w:sz w:val="13"/>
                <w:szCs w:val="13"/>
              </w:rPr>
            </w:pPr>
            <w:r w:rsidRPr="000D3D0C">
              <w:rPr>
                <w:sz w:val="13"/>
                <w:szCs w:val="13"/>
              </w:rPr>
              <w:t>3.1.1.</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5C97E569" w14:textId="77777777" w:rsidR="004A0123" w:rsidRPr="000D3D0C" w:rsidRDefault="004A0123" w:rsidP="008A5C11">
            <w:pPr>
              <w:rPr>
                <w:color w:val="000000"/>
                <w:sz w:val="13"/>
                <w:szCs w:val="13"/>
              </w:rPr>
            </w:pPr>
            <w:r w:rsidRPr="000D3D0C">
              <w:rPr>
                <w:color w:val="000000"/>
                <w:sz w:val="13"/>
                <w:szCs w:val="13"/>
              </w:rPr>
              <w:t>Реконструкция тепловых сетей Центральной котельной</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4A48CF13" w14:textId="77777777" w:rsidR="004A0123" w:rsidRPr="000D3D0C" w:rsidRDefault="004A0123" w:rsidP="008A5C11">
            <w:pPr>
              <w:jc w:val="center"/>
              <w:rPr>
                <w:color w:val="000000"/>
                <w:sz w:val="13"/>
                <w:szCs w:val="13"/>
              </w:rPr>
            </w:pPr>
            <w:r w:rsidRPr="000D3D0C">
              <w:rPr>
                <w:color w:val="000000"/>
                <w:sz w:val="13"/>
                <w:szCs w:val="13"/>
              </w:rPr>
              <w:t>Повышение надежности теплоснабжения</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14:paraId="663CF540" w14:textId="77777777" w:rsidR="004A0123" w:rsidRPr="000D3D0C" w:rsidRDefault="004A0123" w:rsidP="008A5C11">
            <w:pPr>
              <w:jc w:val="center"/>
              <w:rPr>
                <w:color w:val="000000"/>
                <w:sz w:val="13"/>
                <w:szCs w:val="13"/>
              </w:rPr>
            </w:pPr>
            <w:r w:rsidRPr="000D3D0C">
              <w:rPr>
                <w:color w:val="000000"/>
                <w:sz w:val="13"/>
                <w:szCs w:val="13"/>
              </w:rPr>
              <w:t xml:space="preserve">г. </w:t>
            </w:r>
            <w:proofErr w:type="gramStart"/>
            <w:r w:rsidRPr="000D3D0C">
              <w:rPr>
                <w:color w:val="000000"/>
                <w:sz w:val="13"/>
                <w:szCs w:val="13"/>
              </w:rPr>
              <w:t xml:space="preserve">Тайга,   </w:t>
            </w:r>
            <w:proofErr w:type="gramEnd"/>
            <w:r w:rsidRPr="000D3D0C">
              <w:rPr>
                <w:color w:val="000000"/>
                <w:sz w:val="13"/>
                <w:szCs w:val="13"/>
              </w:rPr>
              <w:t xml:space="preserve">               ул. Таежная (11)</w:t>
            </w:r>
          </w:p>
        </w:tc>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14:paraId="4B9980ED" w14:textId="77777777" w:rsidR="004A0123" w:rsidRPr="000D3D0C" w:rsidRDefault="004A0123" w:rsidP="008A5C11">
            <w:pPr>
              <w:jc w:val="center"/>
              <w:rPr>
                <w:sz w:val="13"/>
                <w:szCs w:val="13"/>
              </w:rPr>
            </w:pPr>
            <w:r w:rsidRPr="000D3D0C">
              <w:rPr>
                <w:sz w:val="13"/>
                <w:szCs w:val="13"/>
              </w:rPr>
              <w:t>Износ</w:t>
            </w:r>
          </w:p>
        </w:tc>
        <w:tc>
          <w:tcPr>
            <w:tcW w:w="133" w:type="pct"/>
            <w:tcBorders>
              <w:top w:val="single" w:sz="4" w:space="0" w:color="auto"/>
              <w:left w:val="single" w:sz="4" w:space="0" w:color="auto"/>
              <w:bottom w:val="single" w:sz="4" w:space="0" w:color="auto"/>
              <w:right w:val="single" w:sz="4" w:space="0" w:color="auto"/>
            </w:tcBorders>
            <w:shd w:val="clear" w:color="auto" w:fill="auto"/>
            <w:vAlign w:val="center"/>
          </w:tcPr>
          <w:p w14:paraId="5AF3D46B" w14:textId="77777777" w:rsidR="004A0123" w:rsidRPr="000D3D0C" w:rsidRDefault="004A0123" w:rsidP="008A5C11">
            <w:pPr>
              <w:jc w:val="center"/>
              <w:rPr>
                <w:sz w:val="13"/>
                <w:szCs w:val="13"/>
              </w:rPr>
            </w:pPr>
            <w:r w:rsidRPr="000D3D0C">
              <w:rPr>
                <w:sz w:val="13"/>
                <w:szCs w:val="13"/>
              </w:rPr>
              <w:t>%</w:t>
            </w:r>
          </w:p>
        </w:tc>
        <w:tc>
          <w:tcPr>
            <w:tcW w:w="180" w:type="pct"/>
            <w:tcBorders>
              <w:top w:val="single" w:sz="4" w:space="0" w:color="auto"/>
              <w:left w:val="single" w:sz="4" w:space="0" w:color="auto"/>
              <w:bottom w:val="single" w:sz="4" w:space="0" w:color="auto"/>
              <w:right w:val="single" w:sz="4" w:space="0" w:color="auto"/>
            </w:tcBorders>
            <w:shd w:val="clear" w:color="auto" w:fill="auto"/>
            <w:vAlign w:val="center"/>
          </w:tcPr>
          <w:p w14:paraId="57290248" w14:textId="77777777" w:rsidR="004A0123" w:rsidRPr="000D3D0C" w:rsidRDefault="004A0123" w:rsidP="008A5C11">
            <w:pPr>
              <w:jc w:val="center"/>
              <w:rPr>
                <w:sz w:val="13"/>
                <w:szCs w:val="13"/>
              </w:rPr>
            </w:pPr>
            <w:r w:rsidRPr="000D3D0C">
              <w:rPr>
                <w:sz w:val="13"/>
                <w:szCs w:val="13"/>
              </w:rPr>
              <w:t>100</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5B497632" w14:textId="77777777" w:rsidR="004A0123" w:rsidRPr="000D3D0C" w:rsidRDefault="004A0123" w:rsidP="008A5C11">
            <w:pPr>
              <w:jc w:val="center"/>
              <w:rPr>
                <w:sz w:val="13"/>
                <w:szCs w:val="13"/>
              </w:rPr>
            </w:pPr>
            <w:r w:rsidRPr="000D3D0C">
              <w:rPr>
                <w:sz w:val="13"/>
                <w:szCs w:val="13"/>
              </w:rPr>
              <w:t>0</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C48478A" w14:textId="77777777" w:rsidR="004A0123" w:rsidRPr="000D3D0C" w:rsidRDefault="004A0123" w:rsidP="008A5C11">
            <w:pPr>
              <w:jc w:val="center"/>
              <w:rPr>
                <w:sz w:val="13"/>
                <w:szCs w:val="13"/>
              </w:rPr>
            </w:pPr>
            <w:r w:rsidRPr="000D3D0C">
              <w:rPr>
                <w:sz w:val="13"/>
                <w:szCs w:val="13"/>
              </w:rPr>
              <w:t>2024</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6BED37C5" w14:textId="77777777" w:rsidR="004A0123" w:rsidRPr="000D3D0C" w:rsidRDefault="004A0123" w:rsidP="008A5C11">
            <w:pPr>
              <w:jc w:val="center"/>
              <w:rPr>
                <w:sz w:val="13"/>
                <w:szCs w:val="13"/>
              </w:rPr>
            </w:pPr>
            <w:r w:rsidRPr="000D3D0C">
              <w:rPr>
                <w:sz w:val="13"/>
                <w:szCs w:val="13"/>
              </w:rPr>
              <w:t>2025</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06817B14" w14:textId="77777777" w:rsidR="004A0123" w:rsidRPr="000D3D0C" w:rsidRDefault="004A0123" w:rsidP="008A5C11">
            <w:pPr>
              <w:jc w:val="center"/>
              <w:rPr>
                <w:sz w:val="13"/>
                <w:szCs w:val="13"/>
              </w:rPr>
            </w:pPr>
            <w:r w:rsidRPr="000D3D0C">
              <w:rPr>
                <w:sz w:val="13"/>
                <w:szCs w:val="13"/>
              </w:rPr>
              <w:t>35068</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305B6125" w14:textId="77777777" w:rsidR="004A0123" w:rsidRPr="000D3D0C" w:rsidRDefault="004A0123" w:rsidP="008A5C11">
            <w:pPr>
              <w:jc w:val="center"/>
              <w:rPr>
                <w:sz w:val="13"/>
                <w:szCs w:val="13"/>
              </w:rPr>
            </w:pPr>
            <w:r w:rsidRPr="000D3D0C">
              <w:rPr>
                <w:sz w:val="13"/>
                <w:szCs w:val="13"/>
              </w:rPr>
              <w:t>0</w:t>
            </w:r>
          </w:p>
        </w:tc>
        <w:tc>
          <w:tcPr>
            <w:tcW w:w="145" w:type="pct"/>
            <w:tcBorders>
              <w:top w:val="single" w:sz="4" w:space="0" w:color="auto"/>
              <w:left w:val="single" w:sz="4" w:space="0" w:color="auto"/>
              <w:bottom w:val="single" w:sz="4" w:space="0" w:color="auto"/>
              <w:right w:val="single" w:sz="4" w:space="0" w:color="auto"/>
            </w:tcBorders>
            <w:shd w:val="clear" w:color="auto" w:fill="auto"/>
            <w:vAlign w:val="center"/>
          </w:tcPr>
          <w:p w14:paraId="3CAA88BB" w14:textId="77777777" w:rsidR="004A0123" w:rsidRPr="000D3D0C" w:rsidRDefault="004A0123" w:rsidP="008A5C11">
            <w:pPr>
              <w:jc w:val="center"/>
              <w:rPr>
                <w:sz w:val="13"/>
                <w:szCs w:val="13"/>
              </w:rPr>
            </w:pPr>
            <w:r w:rsidRPr="000D3D0C">
              <w:rPr>
                <w:sz w:val="13"/>
                <w:szCs w:val="13"/>
              </w:rPr>
              <w:t>0</w:t>
            </w:r>
          </w:p>
        </w:tc>
        <w:tc>
          <w:tcPr>
            <w:tcW w:w="148" w:type="pct"/>
            <w:tcBorders>
              <w:top w:val="single" w:sz="4" w:space="0" w:color="auto"/>
              <w:left w:val="single" w:sz="4" w:space="0" w:color="auto"/>
              <w:bottom w:val="single" w:sz="4" w:space="0" w:color="auto"/>
              <w:right w:val="single" w:sz="4" w:space="0" w:color="auto"/>
            </w:tcBorders>
            <w:shd w:val="clear" w:color="auto" w:fill="auto"/>
            <w:vAlign w:val="center"/>
          </w:tcPr>
          <w:p w14:paraId="754C41ED" w14:textId="77777777" w:rsidR="004A0123" w:rsidRPr="000D3D0C" w:rsidRDefault="004A0123" w:rsidP="008A5C11">
            <w:pPr>
              <w:jc w:val="center"/>
              <w:rPr>
                <w:sz w:val="13"/>
                <w:szCs w:val="13"/>
              </w:rPr>
            </w:pPr>
            <w:r w:rsidRPr="000D3D0C">
              <w:rPr>
                <w:sz w:val="13"/>
                <w:szCs w:val="13"/>
              </w:rPr>
              <w:t>0</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098A12B1" w14:textId="77777777" w:rsidR="004A0123" w:rsidRPr="000D3D0C" w:rsidRDefault="004A0123" w:rsidP="008A5C11">
            <w:pPr>
              <w:jc w:val="center"/>
              <w:rPr>
                <w:sz w:val="13"/>
                <w:szCs w:val="13"/>
              </w:rPr>
            </w:pPr>
            <w:r w:rsidRPr="000D3D0C">
              <w:rPr>
                <w:sz w:val="13"/>
                <w:szCs w:val="13"/>
              </w:rPr>
              <w:t>0</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10FBD1DE" w14:textId="77777777" w:rsidR="004A0123" w:rsidRPr="000D3D0C" w:rsidRDefault="004A0123" w:rsidP="008A5C11">
            <w:pPr>
              <w:jc w:val="center"/>
              <w:rPr>
                <w:sz w:val="13"/>
                <w:szCs w:val="13"/>
              </w:rPr>
            </w:pPr>
            <w:r w:rsidRPr="000D3D0C">
              <w:rPr>
                <w:sz w:val="13"/>
                <w:szCs w:val="13"/>
              </w:rPr>
              <w:t>15062</w:t>
            </w:r>
          </w:p>
        </w:tc>
        <w:tc>
          <w:tcPr>
            <w:tcW w:w="153" w:type="pct"/>
            <w:tcBorders>
              <w:top w:val="single" w:sz="4" w:space="0" w:color="auto"/>
              <w:left w:val="single" w:sz="4" w:space="0" w:color="auto"/>
              <w:bottom w:val="single" w:sz="4" w:space="0" w:color="auto"/>
              <w:right w:val="single" w:sz="4" w:space="0" w:color="auto"/>
            </w:tcBorders>
            <w:vAlign w:val="center"/>
          </w:tcPr>
          <w:p w14:paraId="27AEE2A7" w14:textId="77777777" w:rsidR="004A0123" w:rsidRPr="000D3D0C" w:rsidRDefault="004A0123" w:rsidP="008A5C11">
            <w:pPr>
              <w:jc w:val="center"/>
              <w:rPr>
                <w:sz w:val="13"/>
                <w:szCs w:val="13"/>
              </w:rPr>
            </w:pPr>
            <w:r w:rsidRPr="000D3D0C">
              <w:rPr>
                <w:sz w:val="13"/>
                <w:szCs w:val="13"/>
              </w:rPr>
              <w:t>20006</w:t>
            </w:r>
          </w:p>
        </w:tc>
        <w:tc>
          <w:tcPr>
            <w:tcW w:w="153" w:type="pct"/>
            <w:tcBorders>
              <w:top w:val="single" w:sz="4" w:space="0" w:color="auto"/>
              <w:left w:val="single" w:sz="4" w:space="0" w:color="auto"/>
              <w:bottom w:val="single" w:sz="4" w:space="0" w:color="auto"/>
              <w:right w:val="single" w:sz="4" w:space="0" w:color="auto"/>
            </w:tcBorders>
            <w:vAlign w:val="center"/>
          </w:tcPr>
          <w:p w14:paraId="7B39F290" w14:textId="77777777" w:rsidR="004A0123" w:rsidRPr="000D3D0C" w:rsidRDefault="004A0123" w:rsidP="008A5C11">
            <w:pPr>
              <w:jc w:val="center"/>
              <w:rPr>
                <w:sz w:val="13"/>
                <w:szCs w:val="13"/>
              </w:rPr>
            </w:pPr>
            <w:r w:rsidRPr="000D3D0C">
              <w:rPr>
                <w:sz w:val="13"/>
                <w:szCs w:val="13"/>
              </w:rPr>
              <w:t>0</w:t>
            </w:r>
          </w:p>
        </w:tc>
        <w:tc>
          <w:tcPr>
            <w:tcW w:w="158" w:type="pct"/>
            <w:tcBorders>
              <w:top w:val="single" w:sz="4" w:space="0" w:color="auto"/>
              <w:left w:val="single" w:sz="4" w:space="0" w:color="auto"/>
              <w:bottom w:val="single" w:sz="4" w:space="0" w:color="auto"/>
              <w:right w:val="single" w:sz="4" w:space="0" w:color="auto"/>
            </w:tcBorders>
            <w:vAlign w:val="center"/>
          </w:tcPr>
          <w:p w14:paraId="791B6C9B" w14:textId="77777777" w:rsidR="004A0123" w:rsidRPr="000D3D0C" w:rsidRDefault="004A0123" w:rsidP="008A5C11">
            <w:pPr>
              <w:jc w:val="center"/>
              <w:rPr>
                <w:sz w:val="13"/>
                <w:szCs w:val="13"/>
              </w:rPr>
            </w:pPr>
            <w:r w:rsidRPr="000D3D0C">
              <w:rPr>
                <w:sz w:val="13"/>
                <w:szCs w:val="13"/>
              </w:rPr>
              <w:t>0</w:t>
            </w:r>
          </w:p>
        </w:tc>
        <w:tc>
          <w:tcPr>
            <w:tcW w:w="172" w:type="pct"/>
            <w:tcBorders>
              <w:top w:val="single" w:sz="4" w:space="0" w:color="auto"/>
              <w:left w:val="single" w:sz="4" w:space="0" w:color="auto"/>
              <w:bottom w:val="single" w:sz="4" w:space="0" w:color="auto"/>
              <w:right w:val="single" w:sz="4" w:space="0" w:color="auto"/>
            </w:tcBorders>
            <w:vAlign w:val="center"/>
          </w:tcPr>
          <w:p w14:paraId="2C225E89" w14:textId="77777777" w:rsidR="004A0123" w:rsidRPr="000D3D0C" w:rsidRDefault="004A0123" w:rsidP="008A5C11">
            <w:pPr>
              <w:jc w:val="center"/>
              <w:rPr>
                <w:sz w:val="13"/>
                <w:szCs w:val="13"/>
              </w:rPr>
            </w:pPr>
            <w:r w:rsidRPr="000D3D0C">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3D917AB9" w14:textId="77777777" w:rsidR="004A0123" w:rsidRPr="000D3D0C" w:rsidRDefault="004A0123" w:rsidP="008A5C11">
            <w:pPr>
              <w:jc w:val="center"/>
              <w:rPr>
                <w:sz w:val="13"/>
                <w:szCs w:val="13"/>
              </w:rPr>
            </w:pPr>
            <w:r w:rsidRPr="000D3D0C">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111DD397" w14:textId="77777777" w:rsidR="004A0123" w:rsidRPr="000D3D0C" w:rsidRDefault="004A0123" w:rsidP="008A5C11">
            <w:pPr>
              <w:jc w:val="center"/>
              <w:rPr>
                <w:sz w:val="13"/>
                <w:szCs w:val="13"/>
              </w:rPr>
            </w:pPr>
            <w:r w:rsidRPr="000D3D0C">
              <w:rPr>
                <w:sz w:val="13"/>
                <w:szCs w:val="13"/>
              </w:rPr>
              <w:t>0</w:t>
            </w:r>
          </w:p>
        </w:tc>
        <w:tc>
          <w:tcPr>
            <w:tcW w:w="181" w:type="pct"/>
            <w:tcBorders>
              <w:top w:val="single" w:sz="4" w:space="0" w:color="auto"/>
              <w:left w:val="single" w:sz="4" w:space="0" w:color="auto"/>
              <w:bottom w:val="single" w:sz="4" w:space="0" w:color="auto"/>
              <w:right w:val="single" w:sz="4" w:space="0" w:color="auto"/>
            </w:tcBorders>
            <w:vAlign w:val="center"/>
          </w:tcPr>
          <w:p w14:paraId="404B0D2A" w14:textId="77777777" w:rsidR="004A0123" w:rsidRPr="000D3D0C" w:rsidRDefault="004A0123" w:rsidP="008A5C11">
            <w:pPr>
              <w:jc w:val="center"/>
              <w:rPr>
                <w:sz w:val="13"/>
                <w:szCs w:val="13"/>
              </w:rPr>
            </w:pPr>
            <w:r w:rsidRPr="000D3D0C">
              <w:rPr>
                <w:sz w:val="13"/>
                <w:szCs w:val="13"/>
              </w:rPr>
              <w:t>0</w:t>
            </w:r>
          </w:p>
        </w:tc>
        <w:tc>
          <w:tcPr>
            <w:tcW w:w="178" w:type="pct"/>
            <w:tcBorders>
              <w:top w:val="single" w:sz="4" w:space="0" w:color="auto"/>
              <w:left w:val="single" w:sz="4" w:space="0" w:color="auto"/>
              <w:bottom w:val="single" w:sz="4" w:space="0" w:color="auto"/>
              <w:right w:val="single" w:sz="4" w:space="0" w:color="auto"/>
            </w:tcBorders>
            <w:vAlign w:val="center"/>
          </w:tcPr>
          <w:p w14:paraId="1A44DEC6" w14:textId="77777777" w:rsidR="004A0123" w:rsidRPr="000D3D0C" w:rsidRDefault="004A0123" w:rsidP="008A5C11">
            <w:pPr>
              <w:jc w:val="center"/>
              <w:rPr>
                <w:sz w:val="13"/>
                <w:szCs w:val="13"/>
              </w:rPr>
            </w:pPr>
            <w:r w:rsidRPr="000D3D0C">
              <w:rPr>
                <w:sz w:val="13"/>
                <w:szCs w:val="13"/>
              </w:rPr>
              <w:t>0</w:t>
            </w:r>
          </w:p>
        </w:tc>
      </w:tr>
      <w:tr w:rsidR="004A0123" w:rsidRPr="000D3D0C" w14:paraId="14101736" w14:textId="77777777" w:rsidTr="008A5C11">
        <w:trPr>
          <w:trHeight w:val="64"/>
        </w:trPr>
        <w:tc>
          <w:tcPr>
            <w:tcW w:w="147" w:type="pct"/>
            <w:tcBorders>
              <w:top w:val="single" w:sz="4" w:space="0" w:color="auto"/>
              <w:left w:val="single" w:sz="4" w:space="0" w:color="auto"/>
              <w:bottom w:val="single" w:sz="4" w:space="0" w:color="auto"/>
              <w:right w:val="single" w:sz="4" w:space="0" w:color="auto"/>
            </w:tcBorders>
            <w:shd w:val="clear" w:color="auto" w:fill="auto"/>
            <w:vAlign w:val="center"/>
          </w:tcPr>
          <w:p w14:paraId="60001C84" w14:textId="77777777" w:rsidR="004A0123" w:rsidRPr="000D3D0C" w:rsidRDefault="004A0123" w:rsidP="008A5C11">
            <w:pPr>
              <w:jc w:val="center"/>
              <w:rPr>
                <w:sz w:val="13"/>
                <w:szCs w:val="13"/>
              </w:rPr>
            </w:pPr>
            <w:r w:rsidRPr="000D3D0C">
              <w:rPr>
                <w:sz w:val="13"/>
                <w:szCs w:val="13"/>
              </w:rPr>
              <w:t>3.1.2.</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7F52EBE9" w14:textId="77777777" w:rsidR="004A0123" w:rsidRPr="000D3D0C" w:rsidRDefault="004A0123" w:rsidP="008A5C11">
            <w:pPr>
              <w:rPr>
                <w:color w:val="000000"/>
                <w:sz w:val="13"/>
                <w:szCs w:val="13"/>
              </w:rPr>
            </w:pPr>
            <w:r w:rsidRPr="000D3D0C">
              <w:rPr>
                <w:color w:val="000000"/>
                <w:sz w:val="13"/>
                <w:szCs w:val="13"/>
              </w:rPr>
              <w:t xml:space="preserve">Увеличение диаметра магистрального трубопровода от ЦТП 3 до </w:t>
            </w:r>
            <w:proofErr w:type="gramStart"/>
            <w:r w:rsidRPr="000D3D0C">
              <w:rPr>
                <w:color w:val="000000"/>
                <w:sz w:val="13"/>
                <w:szCs w:val="13"/>
              </w:rPr>
              <w:t>ЦТП  —</w:t>
            </w:r>
            <w:proofErr w:type="gramEnd"/>
            <w:r w:rsidRPr="000D3D0C">
              <w:rPr>
                <w:color w:val="000000"/>
                <w:sz w:val="13"/>
                <w:szCs w:val="13"/>
              </w:rPr>
              <w:t xml:space="preserve"> 1300 м</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2B31426E" w14:textId="77777777" w:rsidR="004A0123" w:rsidRPr="000D3D0C" w:rsidRDefault="004A0123" w:rsidP="008A5C11">
            <w:pPr>
              <w:jc w:val="center"/>
              <w:rPr>
                <w:color w:val="000000"/>
                <w:sz w:val="13"/>
                <w:szCs w:val="13"/>
              </w:rPr>
            </w:pPr>
            <w:r w:rsidRPr="000D3D0C">
              <w:rPr>
                <w:color w:val="000000"/>
                <w:sz w:val="13"/>
                <w:szCs w:val="13"/>
              </w:rPr>
              <w:t>Повышение надежности теплоснабжения</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14:paraId="1BCE484F" w14:textId="77777777" w:rsidR="004A0123" w:rsidRPr="000D3D0C" w:rsidRDefault="004A0123" w:rsidP="008A5C11">
            <w:pPr>
              <w:jc w:val="center"/>
              <w:rPr>
                <w:color w:val="000000"/>
                <w:sz w:val="13"/>
                <w:szCs w:val="13"/>
              </w:rPr>
            </w:pPr>
            <w:r w:rsidRPr="000D3D0C">
              <w:rPr>
                <w:color w:val="000000"/>
                <w:sz w:val="13"/>
                <w:szCs w:val="13"/>
              </w:rPr>
              <w:t xml:space="preserve">г. </w:t>
            </w:r>
            <w:proofErr w:type="gramStart"/>
            <w:r w:rsidRPr="000D3D0C">
              <w:rPr>
                <w:color w:val="000000"/>
                <w:sz w:val="13"/>
                <w:szCs w:val="13"/>
              </w:rPr>
              <w:t xml:space="preserve">Тайга,   </w:t>
            </w:r>
            <w:proofErr w:type="gramEnd"/>
            <w:r w:rsidRPr="000D3D0C">
              <w:rPr>
                <w:color w:val="000000"/>
                <w:sz w:val="13"/>
                <w:szCs w:val="13"/>
              </w:rPr>
              <w:t xml:space="preserve">                        от ул.Лермонтова,20 до ул.40 лет Октября, 38а</w:t>
            </w:r>
          </w:p>
        </w:tc>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14:paraId="53B8CA14" w14:textId="77777777" w:rsidR="004A0123" w:rsidRPr="000D3D0C" w:rsidRDefault="004A0123" w:rsidP="008A5C11">
            <w:pPr>
              <w:jc w:val="center"/>
              <w:rPr>
                <w:sz w:val="13"/>
                <w:szCs w:val="13"/>
              </w:rPr>
            </w:pPr>
            <w:r w:rsidRPr="000D3D0C">
              <w:rPr>
                <w:sz w:val="13"/>
                <w:szCs w:val="13"/>
              </w:rPr>
              <w:t>Диаметр</w:t>
            </w:r>
          </w:p>
        </w:tc>
        <w:tc>
          <w:tcPr>
            <w:tcW w:w="133" w:type="pct"/>
            <w:tcBorders>
              <w:top w:val="single" w:sz="4" w:space="0" w:color="auto"/>
              <w:left w:val="single" w:sz="4" w:space="0" w:color="auto"/>
              <w:bottom w:val="single" w:sz="4" w:space="0" w:color="auto"/>
              <w:right w:val="single" w:sz="4" w:space="0" w:color="auto"/>
            </w:tcBorders>
            <w:shd w:val="clear" w:color="auto" w:fill="auto"/>
            <w:vAlign w:val="center"/>
          </w:tcPr>
          <w:p w14:paraId="732D30C3" w14:textId="77777777" w:rsidR="004A0123" w:rsidRPr="000D3D0C" w:rsidRDefault="004A0123" w:rsidP="008A5C11">
            <w:pPr>
              <w:jc w:val="center"/>
              <w:rPr>
                <w:sz w:val="13"/>
                <w:szCs w:val="13"/>
              </w:rPr>
            </w:pPr>
            <w:r w:rsidRPr="000D3D0C">
              <w:rPr>
                <w:sz w:val="13"/>
                <w:szCs w:val="13"/>
              </w:rPr>
              <w:t>мм</w:t>
            </w:r>
          </w:p>
        </w:tc>
        <w:tc>
          <w:tcPr>
            <w:tcW w:w="180" w:type="pct"/>
            <w:tcBorders>
              <w:top w:val="single" w:sz="4" w:space="0" w:color="auto"/>
              <w:left w:val="single" w:sz="4" w:space="0" w:color="auto"/>
              <w:bottom w:val="single" w:sz="4" w:space="0" w:color="auto"/>
              <w:right w:val="single" w:sz="4" w:space="0" w:color="auto"/>
            </w:tcBorders>
            <w:shd w:val="clear" w:color="auto" w:fill="auto"/>
            <w:vAlign w:val="center"/>
          </w:tcPr>
          <w:p w14:paraId="27B49E54" w14:textId="77777777" w:rsidR="004A0123" w:rsidRPr="000D3D0C" w:rsidRDefault="004A0123" w:rsidP="008A5C11">
            <w:pPr>
              <w:jc w:val="center"/>
              <w:rPr>
                <w:sz w:val="13"/>
                <w:szCs w:val="13"/>
              </w:rPr>
            </w:pPr>
            <w:r w:rsidRPr="000D3D0C">
              <w:rPr>
                <w:sz w:val="13"/>
                <w:szCs w:val="13"/>
              </w:rPr>
              <w:t>219</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572ACF29" w14:textId="77777777" w:rsidR="004A0123" w:rsidRPr="000D3D0C" w:rsidRDefault="004A0123" w:rsidP="008A5C11">
            <w:pPr>
              <w:jc w:val="center"/>
              <w:rPr>
                <w:sz w:val="13"/>
                <w:szCs w:val="13"/>
              </w:rPr>
            </w:pPr>
            <w:r w:rsidRPr="000D3D0C">
              <w:rPr>
                <w:sz w:val="13"/>
                <w:szCs w:val="13"/>
              </w:rPr>
              <w:t>273</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05A3F26" w14:textId="77777777" w:rsidR="004A0123" w:rsidRPr="000D3D0C" w:rsidRDefault="004A0123" w:rsidP="008A5C11">
            <w:pPr>
              <w:jc w:val="center"/>
              <w:rPr>
                <w:sz w:val="13"/>
                <w:szCs w:val="13"/>
              </w:rPr>
            </w:pPr>
            <w:r w:rsidRPr="000D3D0C">
              <w:rPr>
                <w:sz w:val="13"/>
                <w:szCs w:val="13"/>
              </w:rPr>
              <w:t>2028</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413553D2" w14:textId="77777777" w:rsidR="004A0123" w:rsidRPr="000D3D0C" w:rsidRDefault="004A0123" w:rsidP="008A5C11">
            <w:pPr>
              <w:jc w:val="center"/>
              <w:rPr>
                <w:sz w:val="13"/>
                <w:szCs w:val="13"/>
              </w:rPr>
            </w:pPr>
            <w:r w:rsidRPr="000D3D0C">
              <w:rPr>
                <w:sz w:val="13"/>
                <w:szCs w:val="13"/>
              </w:rPr>
              <w:t>2029</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35DD6FEA" w14:textId="77777777" w:rsidR="004A0123" w:rsidRPr="000D3D0C" w:rsidRDefault="004A0123" w:rsidP="008A5C11">
            <w:pPr>
              <w:jc w:val="center"/>
              <w:rPr>
                <w:sz w:val="13"/>
                <w:szCs w:val="13"/>
              </w:rPr>
            </w:pPr>
            <w:r w:rsidRPr="000D3D0C">
              <w:rPr>
                <w:sz w:val="13"/>
                <w:szCs w:val="13"/>
              </w:rPr>
              <w:t>69399</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0B1B2892" w14:textId="77777777" w:rsidR="004A0123" w:rsidRPr="000D3D0C" w:rsidRDefault="004A0123" w:rsidP="008A5C11">
            <w:pPr>
              <w:jc w:val="center"/>
              <w:rPr>
                <w:sz w:val="13"/>
                <w:szCs w:val="13"/>
              </w:rPr>
            </w:pPr>
            <w:r w:rsidRPr="000D3D0C">
              <w:rPr>
                <w:sz w:val="13"/>
                <w:szCs w:val="13"/>
              </w:rPr>
              <w:t>0</w:t>
            </w:r>
          </w:p>
        </w:tc>
        <w:tc>
          <w:tcPr>
            <w:tcW w:w="145" w:type="pct"/>
            <w:tcBorders>
              <w:top w:val="single" w:sz="4" w:space="0" w:color="auto"/>
              <w:left w:val="single" w:sz="4" w:space="0" w:color="auto"/>
              <w:bottom w:val="single" w:sz="4" w:space="0" w:color="auto"/>
              <w:right w:val="single" w:sz="4" w:space="0" w:color="auto"/>
            </w:tcBorders>
            <w:shd w:val="clear" w:color="auto" w:fill="auto"/>
            <w:vAlign w:val="center"/>
          </w:tcPr>
          <w:p w14:paraId="2BF0243C" w14:textId="77777777" w:rsidR="004A0123" w:rsidRPr="000D3D0C" w:rsidRDefault="004A0123" w:rsidP="008A5C11">
            <w:pPr>
              <w:jc w:val="center"/>
              <w:rPr>
                <w:sz w:val="13"/>
                <w:szCs w:val="13"/>
              </w:rPr>
            </w:pPr>
            <w:r w:rsidRPr="000D3D0C">
              <w:rPr>
                <w:sz w:val="13"/>
                <w:szCs w:val="13"/>
              </w:rPr>
              <w:t>0</w:t>
            </w:r>
          </w:p>
        </w:tc>
        <w:tc>
          <w:tcPr>
            <w:tcW w:w="148" w:type="pct"/>
            <w:tcBorders>
              <w:top w:val="single" w:sz="4" w:space="0" w:color="auto"/>
              <w:left w:val="single" w:sz="4" w:space="0" w:color="auto"/>
              <w:bottom w:val="single" w:sz="4" w:space="0" w:color="auto"/>
              <w:right w:val="single" w:sz="4" w:space="0" w:color="auto"/>
            </w:tcBorders>
            <w:shd w:val="clear" w:color="auto" w:fill="auto"/>
            <w:vAlign w:val="center"/>
          </w:tcPr>
          <w:p w14:paraId="36AAD84E" w14:textId="77777777" w:rsidR="004A0123" w:rsidRPr="000D3D0C" w:rsidRDefault="004A0123" w:rsidP="008A5C11">
            <w:pPr>
              <w:jc w:val="center"/>
              <w:rPr>
                <w:sz w:val="13"/>
                <w:szCs w:val="13"/>
              </w:rPr>
            </w:pPr>
            <w:r w:rsidRPr="000D3D0C">
              <w:rPr>
                <w:sz w:val="13"/>
                <w:szCs w:val="13"/>
              </w:rPr>
              <w:t>0</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5338FF40" w14:textId="77777777" w:rsidR="004A0123" w:rsidRPr="000D3D0C" w:rsidRDefault="004A0123" w:rsidP="008A5C11">
            <w:pPr>
              <w:jc w:val="center"/>
              <w:rPr>
                <w:sz w:val="13"/>
                <w:szCs w:val="13"/>
              </w:rPr>
            </w:pPr>
            <w:r w:rsidRPr="000D3D0C">
              <w:rPr>
                <w:sz w:val="13"/>
                <w:szCs w:val="13"/>
              </w:rPr>
              <w:t>0</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4CA52F10" w14:textId="77777777" w:rsidR="004A0123" w:rsidRPr="000D3D0C" w:rsidRDefault="004A0123" w:rsidP="008A5C11">
            <w:pPr>
              <w:jc w:val="center"/>
              <w:rPr>
                <w:sz w:val="13"/>
                <w:szCs w:val="13"/>
              </w:rPr>
            </w:pPr>
            <w:r w:rsidRPr="000D3D0C">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780B5978" w14:textId="77777777" w:rsidR="004A0123" w:rsidRPr="000D3D0C" w:rsidRDefault="004A0123" w:rsidP="008A5C11">
            <w:pPr>
              <w:jc w:val="center"/>
              <w:rPr>
                <w:sz w:val="13"/>
                <w:szCs w:val="13"/>
              </w:rPr>
            </w:pPr>
            <w:r w:rsidRPr="000D3D0C">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66743692" w14:textId="77777777" w:rsidR="004A0123" w:rsidRPr="000D3D0C" w:rsidRDefault="004A0123" w:rsidP="008A5C11">
            <w:pPr>
              <w:jc w:val="center"/>
              <w:rPr>
                <w:sz w:val="13"/>
                <w:szCs w:val="13"/>
              </w:rPr>
            </w:pPr>
            <w:r w:rsidRPr="000D3D0C">
              <w:rPr>
                <w:sz w:val="13"/>
                <w:szCs w:val="13"/>
              </w:rPr>
              <w:t>0</w:t>
            </w:r>
          </w:p>
        </w:tc>
        <w:tc>
          <w:tcPr>
            <w:tcW w:w="158" w:type="pct"/>
            <w:tcBorders>
              <w:top w:val="single" w:sz="4" w:space="0" w:color="auto"/>
              <w:left w:val="single" w:sz="4" w:space="0" w:color="auto"/>
              <w:bottom w:val="single" w:sz="4" w:space="0" w:color="auto"/>
              <w:right w:val="single" w:sz="4" w:space="0" w:color="auto"/>
            </w:tcBorders>
            <w:vAlign w:val="center"/>
          </w:tcPr>
          <w:p w14:paraId="135E6120" w14:textId="77777777" w:rsidR="004A0123" w:rsidRPr="000D3D0C" w:rsidRDefault="004A0123" w:rsidP="008A5C11">
            <w:pPr>
              <w:jc w:val="center"/>
              <w:rPr>
                <w:sz w:val="13"/>
                <w:szCs w:val="13"/>
              </w:rPr>
            </w:pPr>
            <w:r w:rsidRPr="000D3D0C">
              <w:rPr>
                <w:sz w:val="13"/>
                <w:szCs w:val="13"/>
              </w:rPr>
              <w:t>0</w:t>
            </w:r>
          </w:p>
        </w:tc>
        <w:tc>
          <w:tcPr>
            <w:tcW w:w="172" w:type="pct"/>
            <w:tcBorders>
              <w:top w:val="single" w:sz="4" w:space="0" w:color="auto"/>
              <w:left w:val="single" w:sz="4" w:space="0" w:color="auto"/>
              <w:bottom w:val="single" w:sz="4" w:space="0" w:color="auto"/>
              <w:right w:val="single" w:sz="4" w:space="0" w:color="auto"/>
            </w:tcBorders>
            <w:vAlign w:val="center"/>
          </w:tcPr>
          <w:p w14:paraId="26C0B330" w14:textId="77777777" w:rsidR="004A0123" w:rsidRPr="000D3D0C" w:rsidRDefault="004A0123" w:rsidP="008A5C11">
            <w:pPr>
              <w:jc w:val="center"/>
              <w:rPr>
                <w:sz w:val="13"/>
                <w:szCs w:val="13"/>
              </w:rPr>
            </w:pPr>
            <w:r w:rsidRPr="000D3D0C">
              <w:rPr>
                <w:sz w:val="13"/>
                <w:szCs w:val="13"/>
              </w:rPr>
              <w:t>58621</w:t>
            </w:r>
          </w:p>
        </w:tc>
        <w:tc>
          <w:tcPr>
            <w:tcW w:w="155" w:type="pct"/>
            <w:tcBorders>
              <w:top w:val="single" w:sz="4" w:space="0" w:color="auto"/>
              <w:left w:val="single" w:sz="4" w:space="0" w:color="auto"/>
              <w:bottom w:val="single" w:sz="4" w:space="0" w:color="auto"/>
              <w:right w:val="single" w:sz="4" w:space="0" w:color="auto"/>
            </w:tcBorders>
            <w:vAlign w:val="center"/>
          </w:tcPr>
          <w:p w14:paraId="49A6F282" w14:textId="77777777" w:rsidR="004A0123" w:rsidRPr="000D3D0C" w:rsidRDefault="004A0123" w:rsidP="008A5C11">
            <w:pPr>
              <w:jc w:val="center"/>
              <w:rPr>
                <w:sz w:val="13"/>
                <w:szCs w:val="13"/>
              </w:rPr>
            </w:pPr>
            <w:r w:rsidRPr="000D3D0C">
              <w:rPr>
                <w:sz w:val="13"/>
                <w:szCs w:val="13"/>
              </w:rPr>
              <w:t>10778</w:t>
            </w:r>
          </w:p>
        </w:tc>
        <w:tc>
          <w:tcPr>
            <w:tcW w:w="146" w:type="pct"/>
            <w:tcBorders>
              <w:top w:val="single" w:sz="4" w:space="0" w:color="auto"/>
              <w:left w:val="single" w:sz="4" w:space="0" w:color="auto"/>
              <w:bottom w:val="single" w:sz="4" w:space="0" w:color="auto"/>
              <w:right w:val="single" w:sz="4" w:space="0" w:color="auto"/>
            </w:tcBorders>
            <w:vAlign w:val="center"/>
          </w:tcPr>
          <w:p w14:paraId="24B2364D" w14:textId="77777777" w:rsidR="004A0123" w:rsidRPr="000D3D0C" w:rsidRDefault="004A0123" w:rsidP="008A5C11">
            <w:pPr>
              <w:jc w:val="center"/>
              <w:rPr>
                <w:sz w:val="13"/>
                <w:szCs w:val="13"/>
              </w:rPr>
            </w:pPr>
            <w:r w:rsidRPr="000D3D0C">
              <w:rPr>
                <w:sz w:val="13"/>
                <w:szCs w:val="13"/>
              </w:rPr>
              <w:t>0</w:t>
            </w:r>
          </w:p>
        </w:tc>
        <w:tc>
          <w:tcPr>
            <w:tcW w:w="181" w:type="pct"/>
            <w:tcBorders>
              <w:top w:val="single" w:sz="4" w:space="0" w:color="auto"/>
              <w:left w:val="single" w:sz="4" w:space="0" w:color="auto"/>
              <w:bottom w:val="single" w:sz="4" w:space="0" w:color="auto"/>
              <w:right w:val="single" w:sz="4" w:space="0" w:color="auto"/>
            </w:tcBorders>
            <w:vAlign w:val="center"/>
          </w:tcPr>
          <w:p w14:paraId="63D9EFFA" w14:textId="77777777" w:rsidR="004A0123" w:rsidRPr="000D3D0C" w:rsidRDefault="004A0123" w:rsidP="008A5C11">
            <w:pPr>
              <w:jc w:val="center"/>
              <w:rPr>
                <w:sz w:val="13"/>
                <w:szCs w:val="13"/>
              </w:rPr>
            </w:pPr>
            <w:r w:rsidRPr="000D3D0C">
              <w:rPr>
                <w:sz w:val="13"/>
                <w:szCs w:val="13"/>
              </w:rPr>
              <w:t>0</w:t>
            </w:r>
          </w:p>
        </w:tc>
        <w:tc>
          <w:tcPr>
            <w:tcW w:w="178" w:type="pct"/>
            <w:tcBorders>
              <w:top w:val="single" w:sz="4" w:space="0" w:color="auto"/>
              <w:left w:val="single" w:sz="4" w:space="0" w:color="auto"/>
              <w:bottom w:val="single" w:sz="4" w:space="0" w:color="auto"/>
              <w:right w:val="single" w:sz="4" w:space="0" w:color="auto"/>
            </w:tcBorders>
            <w:vAlign w:val="center"/>
          </w:tcPr>
          <w:p w14:paraId="3AD83904" w14:textId="77777777" w:rsidR="004A0123" w:rsidRPr="000D3D0C" w:rsidRDefault="004A0123" w:rsidP="008A5C11">
            <w:pPr>
              <w:jc w:val="center"/>
              <w:rPr>
                <w:sz w:val="13"/>
                <w:szCs w:val="13"/>
              </w:rPr>
            </w:pPr>
            <w:r w:rsidRPr="000D3D0C">
              <w:rPr>
                <w:sz w:val="13"/>
                <w:szCs w:val="13"/>
              </w:rPr>
              <w:t>0</w:t>
            </w:r>
          </w:p>
        </w:tc>
      </w:tr>
      <w:tr w:rsidR="004A0123" w:rsidRPr="000D3D0C" w14:paraId="4A3C9E17" w14:textId="77777777" w:rsidTr="008A5C11">
        <w:trPr>
          <w:trHeight w:val="70"/>
        </w:trPr>
        <w:tc>
          <w:tcPr>
            <w:tcW w:w="4168" w:type="pct"/>
            <w:gridSpan w:val="19"/>
            <w:tcBorders>
              <w:top w:val="single" w:sz="4" w:space="0" w:color="auto"/>
              <w:right w:val="single" w:sz="4" w:space="0" w:color="auto"/>
            </w:tcBorders>
            <w:shd w:val="clear" w:color="auto" w:fill="auto"/>
            <w:vAlign w:val="center"/>
          </w:tcPr>
          <w:p w14:paraId="48573467" w14:textId="77777777" w:rsidR="004A0123" w:rsidRPr="000D3D0C" w:rsidRDefault="004A0123" w:rsidP="008A5C11">
            <w:pPr>
              <w:rPr>
                <w:sz w:val="13"/>
                <w:szCs w:val="13"/>
              </w:rPr>
            </w:pPr>
            <w:r w:rsidRPr="000D3D0C">
              <w:rPr>
                <w:sz w:val="13"/>
                <w:szCs w:val="13"/>
              </w:rPr>
              <w:t>3.2. Реконструкция или модернизация существующих объектов системы централизованного теплоснабжения, за исключением тепловых сетей</w:t>
            </w:r>
          </w:p>
        </w:tc>
        <w:tc>
          <w:tcPr>
            <w:tcW w:w="172" w:type="pct"/>
            <w:tcBorders>
              <w:top w:val="single" w:sz="4" w:space="0" w:color="auto"/>
              <w:right w:val="single" w:sz="4" w:space="0" w:color="auto"/>
            </w:tcBorders>
            <w:vAlign w:val="center"/>
          </w:tcPr>
          <w:p w14:paraId="54823FB0" w14:textId="77777777" w:rsidR="004A0123" w:rsidRPr="000D3D0C" w:rsidRDefault="004A0123" w:rsidP="008A5C11">
            <w:pPr>
              <w:jc w:val="center"/>
              <w:rPr>
                <w:sz w:val="13"/>
                <w:szCs w:val="13"/>
              </w:rPr>
            </w:pPr>
          </w:p>
        </w:tc>
        <w:tc>
          <w:tcPr>
            <w:tcW w:w="155" w:type="pct"/>
            <w:tcBorders>
              <w:top w:val="single" w:sz="4" w:space="0" w:color="auto"/>
              <w:right w:val="single" w:sz="4" w:space="0" w:color="auto"/>
            </w:tcBorders>
            <w:vAlign w:val="center"/>
          </w:tcPr>
          <w:p w14:paraId="23D22ED6" w14:textId="77777777" w:rsidR="004A0123" w:rsidRPr="000D3D0C" w:rsidRDefault="004A0123" w:rsidP="008A5C11">
            <w:pPr>
              <w:jc w:val="center"/>
              <w:rPr>
                <w:sz w:val="13"/>
                <w:szCs w:val="13"/>
              </w:rPr>
            </w:pPr>
          </w:p>
        </w:tc>
        <w:tc>
          <w:tcPr>
            <w:tcW w:w="146" w:type="pct"/>
            <w:tcBorders>
              <w:top w:val="single" w:sz="4" w:space="0" w:color="auto"/>
              <w:right w:val="single" w:sz="4" w:space="0" w:color="auto"/>
            </w:tcBorders>
            <w:vAlign w:val="center"/>
          </w:tcPr>
          <w:p w14:paraId="515B90CC" w14:textId="77777777" w:rsidR="004A0123" w:rsidRPr="000D3D0C" w:rsidRDefault="004A0123" w:rsidP="008A5C11">
            <w:pPr>
              <w:jc w:val="center"/>
              <w:rPr>
                <w:sz w:val="13"/>
                <w:szCs w:val="13"/>
              </w:rPr>
            </w:pPr>
          </w:p>
        </w:tc>
        <w:tc>
          <w:tcPr>
            <w:tcW w:w="181" w:type="pct"/>
            <w:tcBorders>
              <w:top w:val="single" w:sz="4" w:space="0" w:color="auto"/>
              <w:right w:val="single" w:sz="4" w:space="0" w:color="auto"/>
            </w:tcBorders>
            <w:vAlign w:val="center"/>
          </w:tcPr>
          <w:p w14:paraId="40CEBFC5" w14:textId="77777777" w:rsidR="004A0123" w:rsidRPr="000D3D0C" w:rsidRDefault="004A0123" w:rsidP="008A5C11">
            <w:pPr>
              <w:jc w:val="center"/>
              <w:rPr>
                <w:sz w:val="13"/>
                <w:szCs w:val="13"/>
              </w:rPr>
            </w:pPr>
          </w:p>
        </w:tc>
        <w:tc>
          <w:tcPr>
            <w:tcW w:w="178" w:type="pct"/>
            <w:tcBorders>
              <w:top w:val="single" w:sz="4" w:space="0" w:color="auto"/>
              <w:right w:val="single" w:sz="4" w:space="0" w:color="auto"/>
            </w:tcBorders>
            <w:vAlign w:val="center"/>
          </w:tcPr>
          <w:p w14:paraId="569FC45A" w14:textId="77777777" w:rsidR="004A0123" w:rsidRPr="000D3D0C" w:rsidRDefault="004A0123" w:rsidP="008A5C11">
            <w:pPr>
              <w:jc w:val="center"/>
              <w:rPr>
                <w:sz w:val="13"/>
                <w:szCs w:val="13"/>
              </w:rPr>
            </w:pPr>
          </w:p>
        </w:tc>
      </w:tr>
      <w:tr w:rsidR="004A0123" w:rsidRPr="000D3D0C" w14:paraId="40002984" w14:textId="77777777" w:rsidTr="008A5C11">
        <w:trPr>
          <w:trHeight w:val="489"/>
        </w:trPr>
        <w:tc>
          <w:tcPr>
            <w:tcW w:w="147" w:type="pct"/>
            <w:shd w:val="clear" w:color="auto" w:fill="auto"/>
            <w:vAlign w:val="center"/>
          </w:tcPr>
          <w:p w14:paraId="1289B9B1" w14:textId="77777777" w:rsidR="004A0123" w:rsidRPr="000D3D0C" w:rsidRDefault="004A0123" w:rsidP="008A5C11">
            <w:pPr>
              <w:jc w:val="center"/>
              <w:rPr>
                <w:sz w:val="13"/>
                <w:szCs w:val="13"/>
              </w:rPr>
            </w:pPr>
            <w:r w:rsidRPr="000D3D0C">
              <w:rPr>
                <w:sz w:val="13"/>
                <w:szCs w:val="13"/>
              </w:rPr>
              <w:t>3.2.1.</w:t>
            </w:r>
          </w:p>
        </w:tc>
        <w:tc>
          <w:tcPr>
            <w:tcW w:w="584" w:type="pct"/>
            <w:tcBorders>
              <w:top w:val="nil"/>
              <w:left w:val="single" w:sz="4" w:space="0" w:color="auto"/>
              <w:bottom w:val="single" w:sz="4" w:space="0" w:color="auto"/>
              <w:right w:val="single" w:sz="4" w:space="0" w:color="auto"/>
            </w:tcBorders>
            <w:shd w:val="clear" w:color="auto" w:fill="auto"/>
            <w:vAlign w:val="center"/>
          </w:tcPr>
          <w:p w14:paraId="48A56CE7" w14:textId="77777777" w:rsidR="004A0123" w:rsidRPr="000D3D0C" w:rsidRDefault="004A0123" w:rsidP="008A5C11">
            <w:pPr>
              <w:rPr>
                <w:color w:val="000000"/>
                <w:sz w:val="13"/>
                <w:szCs w:val="13"/>
              </w:rPr>
            </w:pPr>
            <w:r w:rsidRPr="000D3D0C">
              <w:rPr>
                <w:color w:val="000000"/>
                <w:sz w:val="13"/>
                <w:szCs w:val="13"/>
              </w:rPr>
              <w:t xml:space="preserve">Проектирование и </w:t>
            </w:r>
            <w:proofErr w:type="gramStart"/>
            <w:r w:rsidRPr="000D3D0C">
              <w:rPr>
                <w:color w:val="000000"/>
                <w:sz w:val="13"/>
                <w:szCs w:val="13"/>
              </w:rPr>
              <w:t>реконструкция</w:t>
            </w:r>
            <w:proofErr w:type="gramEnd"/>
            <w:r w:rsidRPr="000D3D0C">
              <w:rPr>
                <w:color w:val="000000"/>
                <w:sz w:val="13"/>
                <w:szCs w:val="13"/>
              </w:rPr>
              <w:t xml:space="preserve"> и замена оборудования газоочистки</w:t>
            </w:r>
          </w:p>
        </w:tc>
        <w:tc>
          <w:tcPr>
            <w:tcW w:w="358" w:type="pct"/>
            <w:tcBorders>
              <w:top w:val="nil"/>
              <w:left w:val="nil"/>
              <w:bottom w:val="single" w:sz="4" w:space="0" w:color="auto"/>
              <w:right w:val="single" w:sz="4" w:space="0" w:color="auto"/>
            </w:tcBorders>
            <w:shd w:val="clear" w:color="auto" w:fill="auto"/>
            <w:vAlign w:val="center"/>
          </w:tcPr>
          <w:p w14:paraId="0D4FBD34" w14:textId="77777777" w:rsidR="004A0123" w:rsidRPr="000D3D0C" w:rsidRDefault="004A0123" w:rsidP="008A5C11">
            <w:pPr>
              <w:jc w:val="center"/>
              <w:rPr>
                <w:color w:val="000000"/>
                <w:sz w:val="13"/>
                <w:szCs w:val="13"/>
              </w:rPr>
            </w:pPr>
            <w:r w:rsidRPr="000D3D0C">
              <w:rPr>
                <w:color w:val="000000"/>
                <w:sz w:val="13"/>
                <w:szCs w:val="13"/>
              </w:rPr>
              <w:t>Повышение надежности теплоснабжения</w:t>
            </w:r>
          </w:p>
        </w:tc>
        <w:tc>
          <w:tcPr>
            <w:tcW w:w="389" w:type="pct"/>
            <w:tcBorders>
              <w:top w:val="nil"/>
              <w:left w:val="nil"/>
              <w:bottom w:val="single" w:sz="4" w:space="0" w:color="auto"/>
              <w:right w:val="single" w:sz="4" w:space="0" w:color="auto"/>
            </w:tcBorders>
            <w:shd w:val="clear" w:color="auto" w:fill="auto"/>
            <w:vAlign w:val="center"/>
          </w:tcPr>
          <w:p w14:paraId="471A1ADA" w14:textId="77777777" w:rsidR="004A0123" w:rsidRPr="000D3D0C" w:rsidRDefault="004A0123" w:rsidP="008A5C11">
            <w:pPr>
              <w:jc w:val="center"/>
              <w:rPr>
                <w:color w:val="000000"/>
                <w:sz w:val="13"/>
                <w:szCs w:val="13"/>
              </w:rPr>
            </w:pPr>
            <w:r w:rsidRPr="000D3D0C">
              <w:rPr>
                <w:color w:val="000000"/>
                <w:sz w:val="13"/>
                <w:szCs w:val="13"/>
              </w:rPr>
              <w:t xml:space="preserve">г. </w:t>
            </w:r>
            <w:proofErr w:type="gramStart"/>
            <w:r w:rsidRPr="000D3D0C">
              <w:rPr>
                <w:color w:val="000000"/>
                <w:sz w:val="13"/>
                <w:szCs w:val="13"/>
              </w:rPr>
              <w:t xml:space="preserve">Тайга,   </w:t>
            </w:r>
            <w:proofErr w:type="gramEnd"/>
            <w:r w:rsidRPr="000D3D0C">
              <w:rPr>
                <w:color w:val="000000"/>
                <w:sz w:val="13"/>
                <w:szCs w:val="13"/>
              </w:rPr>
              <w:t xml:space="preserve">               ул.Таежная,д.11.             Котельная Центральная</w:t>
            </w:r>
          </w:p>
        </w:tc>
        <w:tc>
          <w:tcPr>
            <w:tcW w:w="336" w:type="pct"/>
            <w:tcBorders>
              <w:top w:val="nil"/>
              <w:left w:val="nil"/>
              <w:bottom w:val="single" w:sz="4" w:space="0" w:color="auto"/>
              <w:right w:val="single" w:sz="4" w:space="0" w:color="auto"/>
            </w:tcBorders>
            <w:shd w:val="clear" w:color="auto" w:fill="auto"/>
            <w:vAlign w:val="center"/>
          </w:tcPr>
          <w:p w14:paraId="4F85086B" w14:textId="77777777" w:rsidR="004A0123" w:rsidRPr="000D3D0C" w:rsidRDefault="004A0123" w:rsidP="008A5C11">
            <w:pPr>
              <w:jc w:val="center"/>
              <w:rPr>
                <w:sz w:val="13"/>
                <w:szCs w:val="13"/>
              </w:rPr>
            </w:pPr>
            <w:r w:rsidRPr="000D3D0C">
              <w:rPr>
                <w:sz w:val="13"/>
                <w:szCs w:val="13"/>
              </w:rPr>
              <w:t>Износ</w:t>
            </w:r>
          </w:p>
        </w:tc>
        <w:tc>
          <w:tcPr>
            <w:tcW w:w="133" w:type="pct"/>
            <w:tcBorders>
              <w:top w:val="nil"/>
              <w:left w:val="nil"/>
              <w:bottom w:val="single" w:sz="4" w:space="0" w:color="auto"/>
              <w:right w:val="single" w:sz="4" w:space="0" w:color="auto"/>
            </w:tcBorders>
            <w:shd w:val="clear" w:color="auto" w:fill="auto"/>
            <w:vAlign w:val="center"/>
          </w:tcPr>
          <w:p w14:paraId="3DA0C7F0" w14:textId="77777777" w:rsidR="004A0123" w:rsidRPr="000D3D0C" w:rsidRDefault="004A0123" w:rsidP="008A5C11">
            <w:pPr>
              <w:jc w:val="center"/>
              <w:rPr>
                <w:sz w:val="13"/>
                <w:szCs w:val="13"/>
              </w:rPr>
            </w:pPr>
            <w:r w:rsidRPr="000D3D0C">
              <w:rPr>
                <w:sz w:val="13"/>
                <w:szCs w:val="13"/>
              </w:rPr>
              <w:t>%</w:t>
            </w:r>
          </w:p>
        </w:tc>
        <w:tc>
          <w:tcPr>
            <w:tcW w:w="180" w:type="pct"/>
            <w:tcBorders>
              <w:top w:val="nil"/>
              <w:left w:val="single" w:sz="4" w:space="0" w:color="auto"/>
              <w:bottom w:val="single" w:sz="4" w:space="0" w:color="auto"/>
              <w:right w:val="single" w:sz="4" w:space="0" w:color="auto"/>
            </w:tcBorders>
            <w:shd w:val="clear" w:color="auto" w:fill="auto"/>
            <w:vAlign w:val="center"/>
          </w:tcPr>
          <w:p w14:paraId="5C231E93" w14:textId="77777777" w:rsidR="004A0123" w:rsidRPr="000D3D0C" w:rsidRDefault="004A0123" w:rsidP="008A5C11">
            <w:pPr>
              <w:jc w:val="center"/>
              <w:rPr>
                <w:sz w:val="13"/>
                <w:szCs w:val="13"/>
              </w:rPr>
            </w:pPr>
            <w:r w:rsidRPr="000D3D0C">
              <w:rPr>
                <w:sz w:val="13"/>
                <w:szCs w:val="13"/>
              </w:rPr>
              <w:t>100</w:t>
            </w:r>
          </w:p>
        </w:tc>
        <w:tc>
          <w:tcPr>
            <w:tcW w:w="176" w:type="pct"/>
            <w:tcBorders>
              <w:top w:val="nil"/>
              <w:left w:val="nil"/>
              <w:bottom w:val="single" w:sz="4" w:space="0" w:color="auto"/>
              <w:right w:val="single" w:sz="4" w:space="0" w:color="auto"/>
            </w:tcBorders>
            <w:shd w:val="clear" w:color="auto" w:fill="auto"/>
            <w:vAlign w:val="center"/>
          </w:tcPr>
          <w:p w14:paraId="4A58C5D1" w14:textId="77777777" w:rsidR="004A0123" w:rsidRPr="000D3D0C" w:rsidRDefault="004A0123" w:rsidP="008A5C11">
            <w:pPr>
              <w:jc w:val="center"/>
              <w:rPr>
                <w:sz w:val="13"/>
                <w:szCs w:val="13"/>
              </w:rPr>
            </w:pPr>
            <w:r w:rsidRPr="000D3D0C">
              <w:rPr>
                <w:sz w:val="13"/>
                <w:szCs w:val="13"/>
              </w:rPr>
              <w:t>0</w:t>
            </w:r>
          </w:p>
        </w:tc>
        <w:tc>
          <w:tcPr>
            <w:tcW w:w="188" w:type="pct"/>
            <w:tcBorders>
              <w:top w:val="nil"/>
              <w:left w:val="nil"/>
              <w:bottom w:val="single" w:sz="4" w:space="0" w:color="auto"/>
              <w:right w:val="single" w:sz="4" w:space="0" w:color="auto"/>
            </w:tcBorders>
            <w:shd w:val="clear" w:color="auto" w:fill="auto"/>
            <w:vAlign w:val="center"/>
          </w:tcPr>
          <w:p w14:paraId="4AA9C9A7" w14:textId="77777777" w:rsidR="004A0123" w:rsidRPr="000D3D0C" w:rsidRDefault="004A0123" w:rsidP="008A5C11">
            <w:pPr>
              <w:jc w:val="center"/>
              <w:rPr>
                <w:color w:val="000000"/>
                <w:sz w:val="13"/>
                <w:szCs w:val="13"/>
              </w:rPr>
            </w:pPr>
            <w:r w:rsidRPr="000D3D0C">
              <w:rPr>
                <w:color w:val="000000"/>
                <w:sz w:val="13"/>
                <w:szCs w:val="13"/>
              </w:rPr>
              <w:t>2029</w:t>
            </w:r>
          </w:p>
        </w:tc>
        <w:tc>
          <w:tcPr>
            <w:tcW w:w="186" w:type="pct"/>
            <w:tcBorders>
              <w:top w:val="nil"/>
              <w:left w:val="nil"/>
              <w:bottom w:val="single" w:sz="4" w:space="0" w:color="auto"/>
              <w:right w:val="single" w:sz="4" w:space="0" w:color="auto"/>
            </w:tcBorders>
            <w:shd w:val="clear" w:color="auto" w:fill="auto"/>
            <w:vAlign w:val="center"/>
          </w:tcPr>
          <w:p w14:paraId="6EA9E6A1" w14:textId="77777777" w:rsidR="004A0123" w:rsidRPr="000D3D0C" w:rsidRDefault="004A0123" w:rsidP="008A5C11">
            <w:pPr>
              <w:jc w:val="center"/>
              <w:rPr>
                <w:color w:val="000000"/>
                <w:sz w:val="13"/>
                <w:szCs w:val="13"/>
              </w:rPr>
            </w:pPr>
            <w:r w:rsidRPr="000D3D0C">
              <w:rPr>
                <w:color w:val="000000"/>
                <w:sz w:val="13"/>
                <w:szCs w:val="13"/>
              </w:rPr>
              <w:t>2030</w:t>
            </w:r>
          </w:p>
        </w:tc>
        <w:tc>
          <w:tcPr>
            <w:tcW w:w="186" w:type="pct"/>
            <w:tcBorders>
              <w:top w:val="nil"/>
              <w:left w:val="nil"/>
              <w:bottom w:val="single" w:sz="4" w:space="0" w:color="auto"/>
              <w:right w:val="single" w:sz="4" w:space="0" w:color="auto"/>
            </w:tcBorders>
            <w:shd w:val="clear" w:color="auto" w:fill="auto"/>
            <w:vAlign w:val="center"/>
          </w:tcPr>
          <w:p w14:paraId="07019BF6" w14:textId="77777777" w:rsidR="004A0123" w:rsidRPr="000D3D0C" w:rsidRDefault="004A0123" w:rsidP="008A5C11">
            <w:pPr>
              <w:jc w:val="center"/>
              <w:rPr>
                <w:color w:val="000000"/>
                <w:sz w:val="13"/>
                <w:szCs w:val="13"/>
              </w:rPr>
            </w:pPr>
            <w:r w:rsidRPr="000D3D0C">
              <w:rPr>
                <w:color w:val="000000"/>
                <w:sz w:val="13"/>
                <w:szCs w:val="13"/>
              </w:rPr>
              <w:t>19886</w:t>
            </w:r>
          </w:p>
        </w:tc>
        <w:tc>
          <w:tcPr>
            <w:tcW w:w="186" w:type="pct"/>
            <w:tcBorders>
              <w:top w:val="nil"/>
              <w:left w:val="nil"/>
              <w:bottom w:val="single" w:sz="4" w:space="0" w:color="auto"/>
              <w:right w:val="single" w:sz="4" w:space="0" w:color="auto"/>
            </w:tcBorders>
            <w:shd w:val="clear" w:color="auto" w:fill="auto"/>
            <w:vAlign w:val="center"/>
          </w:tcPr>
          <w:p w14:paraId="63C8EE61" w14:textId="77777777" w:rsidR="004A0123" w:rsidRPr="000D3D0C" w:rsidRDefault="004A0123" w:rsidP="008A5C11">
            <w:pPr>
              <w:jc w:val="center"/>
              <w:rPr>
                <w:sz w:val="13"/>
                <w:szCs w:val="13"/>
              </w:rPr>
            </w:pPr>
            <w:r w:rsidRPr="000D3D0C">
              <w:rPr>
                <w:sz w:val="13"/>
                <w:szCs w:val="13"/>
              </w:rPr>
              <w:t>0</w:t>
            </w:r>
          </w:p>
        </w:tc>
        <w:tc>
          <w:tcPr>
            <w:tcW w:w="145" w:type="pct"/>
            <w:tcBorders>
              <w:top w:val="nil"/>
              <w:left w:val="single" w:sz="4" w:space="0" w:color="auto"/>
              <w:bottom w:val="single" w:sz="4" w:space="0" w:color="auto"/>
              <w:right w:val="single" w:sz="4" w:space="0" w:color="auto"/>
            </w:tcBorders>
            <w:shd w:val="clear" w:color="auto" w:fill="auto"/>
            <w:vAlign w:val="center"/>
          </w:tcPr>
          <w:p w14:paraId="2E6DDA0E" w14:textId="77777777" w:rsidR="004A0123" w:rsidRPr="000D3D0C" w:rsidRDefault="004A0123" w:rsidP="008A5C11">
            <w:pPr>
              <w:jc w:val="center"/>
              <w:rPr>
                <w:sz w:val="13"/>
                <w:szCs w:val="13"/>
              </w:rPr>
            </w:pPr>
            <w:r w:rsidRPr="000D3D0C">
              <w:rPr>
                <w:sz w:val="13"/>
                <w:szCs w:val="13"/>
              </w:rPr>
              <w:t>0</w:t>
            </w:r>
          </w:p>
        </w:tc>
        <w:tc>
          <w:tcPr>
            <w:tcW w:w="148" w:type="pct"/>
            <w:tcBorders>
              <w:top w:val="nil"/>
              <w:left w:val="nil"/>
              <w:bottom w:val="single" w:sz="4" w:space="0" w:color="auto"/>
              <w:right w:val="single" w:sz="4" w:space="0" w:color="auto"/>
            </w:tcBorders>
            <w:shd w:val="clear" w:color="auto" w:fill="auto"/>
            <w:vAlign w:val="center"/>
          </w:tcPr>
          <w:p w14:paraId="47530442" w14:textId="77777777" w:rsidR="004A0123" w:rsidRPr="000D3D0C" w:rsidRDefault="004A0123" w:rsidP="008A5C11">
            <w:pPr>
              <w:jc w:val="center"/>
              <w:rPr>
                <w:sz w:val="13"/>
                <w:szCs w:val="13"/>
              </w:rPr>
            </w:pPr>
            <w:r w:rsidRPr="000D3D0C">
              <w:rPr>
                <w:sz w:val="13"/>
                <w:szCs w:val="13"/>
              </w:rPr>
              <w:t>0</w:t>
            </w:r>
          </w:p>
        </w:tc>
        <w:tc>
          <w:tcPr>
            <w:tcW w:w="181" w:type="pct"/>
            <w:tcBorders>
              <w:top w:val="nil"/>
              <w:left w:val="nil"/>
              <w:bottom w:val="single" w:sz="4" w:space="0" w:color="auto"/>
              <w:right w:val="single" w:sz="4" w:space="0" w:color="auto"/>
            </w:tcBorders>
            <w:shd w:val="clear" w:color="auto" w:fill="auto"/>
            <w:vAlign w:val="center"/>
          </w:tcPr>
          <w:p w14:paraId="56D72228" w14:textId="77777777" w:rsidR="004A0123" w:rsidRPr="000D3D0C" w:rsidRDefault="004A0123" w:rsidP="008A5C11">
            <w:pPr>
              <w:jc w:val="center"/>
              <w:rPr>
                <w:sz w:val="13"/>
                <w:szCs w:val="13"/>
              </w:rPr>
            </w:pPr>
            <w:r w:rsidRPr="000D3D0C">
              <w:rPr>
                <w:sz w:val="13"/>
                <w:szCs w:val="13"/>
              </w:rPr>
              <w:t>0</w:t>
            </w:r>
          </w:p>
        </w:tc>
        <w:tc>
          <w:tcPr>
            <w:tcW w:w="181" w:type="pct"/>
            <w:tcBorders>
              <w:top w:val="nil"/>
              <w:left w:val="nil"/>
              <w:bottom w:val="single" w:sz="4" w:space="0" w:color="auto"/>
              <w:right w:val="single" w:sz="4" w:space="0" w:color="auto"/>
            </w:tcBorders>
            <w:shd w:val="clear" w:color="auto" w:fill="auto"/>
            <w:vAlign w:val="center"/>
          </w:tcPr>
          <w:p w14:paraId="16462BA1" w14:textId="77777777" w:rsidR="004A0123" w:rsidRPr="000D3D0C" w:rsidRDefault="004A0123" w:rsidP="008A5C11">
            <w:pPr>
              <w:jc w:val="center"/>
              <w:rPr>
                <w:sz w:val="13"/>
                <w:szCs w:val="13"/>
              </w:rPr>
            </w:pPr>
            <w:r w:rsidRPr="000D3D0C">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1D0483D3" w14:textId="77777777" w:rsidR="004A0123" w:rsidRPr="000D3D0C" w:rsidRDefault="004A0123" w:rsidP="008A5C11">
            <w:pPr>
              <w:jc w:val="center"/>
              <w:rPr>
                <w:sz w:val="13"/>
                <w:szCs w:val="13"/>
              </w:rPr>
            </w:pPr>
            <w:r w:rsidRPr="000D3D0C">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5142024E" w14:textId="77777777" w:rsidR="004A0123" w:rsidRPr="000D3D0C" w:rsidRDefault="004A0123" w:rsidP="008A5C11">
            <w:pPr>
              <w:jc w:val="center"/>
              <w:rPr>
                <w:sz w:val="13"/>
                <w:szCs w:val="13"/>
              </w:rPr>
            </w:pPr>
            <w:r w:rsidRPr="000D3D0C">
              <w:rPr>
                <w:sz w:val="13"/>
                <w:szCs w:val="13"/>
              </w:rPr>
              <w:t>0</w:t>
            </w:r>
          </w:p>
        </w:tc>
        <w:tc>
          <w:tcPr>
            <w:tcW w:w="158" w:type="pct"/>
            <w:tcBorders>
              <w:top w:val="single" w:sz="4" w:space="0" w:color="auto"/>
              <w:left w:val="single" w:sz="4" w:space="0" w:color="auto"/>
              <w:bottom w:val="single" w:sz="4" w:space="0" w:color="auto"/>
              <w:right w:val="single" w:sz="4" w:space="0" w:color="auto"/>
            </w:tcBorders>
            <w:vAlign w:val="center"/>
          </w:tcPr>
          <w:p w14:paraId="6C5F3D34" w14:textId="77777777" w:rsidR="004A0123" w:rsidRPr="000D3D0C" w:rsidRDefault="004A0123" w:rsidP="008A5C11">
            <w:pPr>
              <w:jc w:val="center"/>
              <w:rPr>
                <w:sz w:val="13"/>
                <w:szCs w:val="13"/>
              </w:rPr>
            </w:pPr>
            <w:r w:rsidRPr="000D3D0C">
              <w:rPr>
                <w:sz w:val="13"/>
                <w:szCs w:val="13"/>
              </w:rPr>
              <w:t>0</w:t>
            </w:r>
          </w:p>
        </w:tc>
        <w:tc>
          <w:tcPr>
            <w:tcW w:w="172" w:type="pct"/>
            <w:tcBorders>
              <w:top w:val="single" w:sz="4" w:space="0" w:color="auto"/>
              <w:left w:val="single" w:sz="4" w:space="0" w:color="auto"/>
              <w:bottom w:val="single" w:sz="4" w:space="0" w:color="auto"/>
              <w:right w:val="single" w:sz="4" w:space="0" w:color="auto"/>
            </w:tcBorders>
            <w:vAlign w:val="center"/>
          </w:tcPr>
          <w:p w14:paraId="1CBBF00D" w14:textId="77777777" w:rsidR="004A0123" w:rsidRPr="000D3D0C" w:rsidRDefault="004A0123" w:rsidP="008A5C11">
            <w:pPr>
              <w:jc w:val="center"/>
              <w:rPr>
                <w:sz w:val="13"/>
                <w:szCs w:val="13"/>
              </w:rPr>
            </w:pPr>
            <w:r w:rsidRPr="000D3D0C">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70F4D572" w14:textId="77777777" w:rsidR="004A0123" w:rsidRPr="000D3D0C" w:rsidRDefault="004A0123" w:rsidP="008A5C11">
            <w:pPr>
              <w:jc w:val="center"/>
              <w:rPr>
                <w:sz w:val="13"/>
                <w:szCs w:val="13"/>
              </w:rPr>
            </w:pPr>
            <w:r w:rsidRPr="000D3D0C">
              <w:rPr>
                <w:sz w:val="13"/>
                <w:szCs w:val="13"/>
              </w:rPr>
              <w:t>15596</w:t>
            </w:r>
          </w:p>
        </w:tc>
        <w:tc>
          <w:tcPr>
            <w:tcW w:w="146" w:type="pct"/>
            <w:tcBorders>
              <w:top w:val="single" w:sz="4" w:space="0" w:color="auto"/>
              <w:left w:val="single" w:sz="4" w:space="0" w:color="auto"/>
              <w:bottom w:val="single" w:sz="4" w:space="0" w:color="auto"/>
              <w:right w:val="single" w:sz="4" w:space="0" w:color="auto"/>
            </w:tcBorders>
            <w:vAlign w:val="center"/>
          </w:tcPr>
          <w:p w14:paraId="7BAD757D" w14:textId="77777777" w:rsidR="004A0123" w:rsidRPr="000D3D0C" w:rsidRDefault="004A0123" w:rsidP="008A5C11">
            <w:pPr>
              <w:jc w:val="center"/>
              <w:rPr>
                <w:sz w:val="13"/>
                <w:szCs w:val="13"/>
              </w:rPr>
            </w:pPr>
            <w:r w:rsidRPr="000D3D0C">
              <w:rPr>
                <w:sz w:val="13"/>
                <w:szCs w:val="13"/>
              </w:rPr>
              <w:t>4290</w:t>
            </w:r>
          </w:p>
        </w:tc>
        <w:tc>
          <w:tcPr>
            <w:tcW w:w="181" w:type="pct"/>
            <w:tcBorders>
              <w:top w:val="single" w:sz="4" w:space="0" w:color="auto"/>
              <w:left w:val="single" w:sz="4" w:space="0" w:color="auto"/>
              <w:bottom w:val="single" w:sz="4" w:space="0" w:color="auto"/>
              <w:right w:val="single" w:sz="4" w:space="0" w:color="auto"/>
            </w:tcBorders>
            <w:vAlign w:val="center"/>
          </w:tcPr>
          <w:p w14:paraId="48813F03" w14:textId="77777777" w:rsidR="004A0123" w:rsidRPr="000D3D0C" w:rsidRDefault="004A0123" w:rsidP="008A5C11">
            <w:pPr>
              <w:jc w:val="center"/>
              <w:rPr>
                <w:sz w:val="13"/>
                <w:szCs w:val="13"/>
              </w:rPr>
            </w:pPr>
            <w:r w:rsidRPr="000D3D0C">
              <w:rPr>
                <w:sz w:val="13"/>
                <w:szCs w:val="13"/>
              </w:rPr>
              <w:t>0</w:t>
            </w:r>
          </w:p>
        </w:tc>
        <w:tc>
          <w:tcPr>
            <w:tcW w:w="178" w:type="pct"/>
            <w:tcBorders>
              <w:top w:val="single" w:sz="4" w:space="0" w:color="auto"/>
              <w:left w:val="single" w:sz="4" w:space="0" w:color="auto"/>
              <w:bottom w:val="single" w:sz="4" w:space="0" w:color="auto"/>
              <w:right w:val="single" w:sz="4" w:space="0" w:color="auto"/>
            </w:tcBorders>
            <w:vAlign w:val="center"/>
          </w:tcPr>
          <w:p w14:paraId="215B20A5" w14:textId="77777777" w:rsidR="004A0123" w:rsidRPr="000D3D0C" w:rsidRDefault="004A0123" w:rsidP="008A5C11">
            <w:pPr>
              <w:jc w:val="center"/>
              <w:rPr>
                <w:sz w:val="13"/>
                <w:szCs w:val="13"/>
              </w:rPr>
            </w:pPr>
            <w:r w:rsidRPr="000D3D0C">
              <w:rPr>
                <w:sz w:val="13"/>
                <w:szCs w:val="13"/>
              </w:rPr>
              <w:t>0</w:t>
            </w:r>
          </w:p>
        </w:tc>
      </w:tr>
      <w:tr w:rsidR="004A0123" w:rsidRPr="000D3D0C" w14:paraId="613B37CC" w14:textId="77777777" w:rsidTr="008A5C11">
        <w:trPr>
          <w:trHeight w:val="110"/>
        </w:trPr>
        <w:tc>
          <w:tcPr>
            <w:tcW w:w="147" w:type="pct"/>
            <w:shd w:val="clear" w:color="auto" w:fill="auto"/>
            <w:vAlign w:val="center"/>
          </w:tcPr>
          <w:p w14:paraId="6145830B" w14:textId="77777777" w:rsidR="004A0123" w:rsidRPr="000D3D0C" w:rsidRDefault="004A0123" w:rsidP="008A5C11">
            <w:pPr>
              <w:jc w:val="center"/>
              <w:rPr>
                <w:sz w:val="13"/>
                <w:szCs w:val="13"/>
              </w:rPr>
            </w:pPr>
            <w:r w:rsidRPr="000D3D0C">
              <w:rPr>
                <w:sz w:val="13"/>
                <w:szCs w:val="13"/>
              </w:rPr>
              <w:t>3.2.2.</w:t>
            </w:r>
          </w:p>
        </w:tc>
        <w:tc>
          <w:tcPr>
            <w:tcW w:w="584" w:type="pct"/>
            <w:tcBorders>
              <w:top w:val="nil"/>
              <w:left w:val="single" w:sz="4" w:space="0" w:color="auto"/>
              <w:bottom w:val="single" w:sz="4" w:space="0" w:color="auto"/>
              <w:right w:val="single" w:sz="4" w:space="0" w:color="auto"/>
            </w:tcBorders>
            <w:shd w:val="clear" w:color="auto" w:fill="auto"/>
            <w:vAlign w:val="center"/>
          </w:tcPr>
          <w:p w14:paraId="42C131E2" w14:textId="77777777" w:rsidR="004A0123" w:rsidRPr="000D3D0C" w:rsidRDefault="004A0123" w:rsidP="008A5C11">
            <w:pPr>
              <w:rPr>
                <w:color w:val="000000"/>
                <w:sz w:val="13"/>
                <w:szCs w:val="13"/>
              </w:rPr>
            </w:pPr>
            <w:r w:rsidRPr="000D3D0C">
              <w:rPr>
                <w:color w:val="000000"/>
                <w:sz w:val="13"/>
                <w:szCs w:val="13"/>
              </w:rPr>
              <w:t>Реконструкция системы ХВО с заменой баков запаса воды</w:t>
            </w:r>
          </w:p>
        </w:tc>
        <w:tc>
          <w:tcPr>
            <w:tcW w:w="358" w:type="pct"/>
            <w:tcBorders>
              <w:top w:val="nil"/>
              <w:left w:val="nil"/>
              <w:bottom w:val="single" w:sz="4" w:space="0" w:color="auto"/>
              <w:right w:val="single" w:sz="4" w:space="0" w:color="auto"/>
            </w:tcBorders>
            <w:shd w:val="clear" w:color="auto" w:fill="auto"/>
            <w:vAlign w:val="center"/>
          </w:tcPr>
          <w:p w14:paraId="08A392BB" w14:textId="77777777" w:rsidR="004A0123" w:rsidRPr="000D3D0C" w:rsidRDefault="004A0123" w:rsidP="008A5C11">
            <w:pPr>
              <w:jc w:val="center"/>
              <w:rPr>
                <w:color w:val="000000"/>
                <w:sz w:val="13"/>
                <w:szCs w:val="13"/>
              </w:rPr>
            </w:pPr>
            <w:r w:rsidRPr="000D3D0C">
              <w:rPr>
                <w:color w:val="000000"/>
                <w:sz w:val="13"/>
                <w:szCs w:val="13"/>
              </w:rPr>
              <w:t>Повышение надежности теплоснабжения</w:t>
            </w:r>
          </w:p>
        </w:tc>
        <w:tc>
          <w:tcPr>
            <w:tcW w:w="389" w:type="pct"/>
            <w:tcBorders>
              <w:top w:val="nil"/>
              <w:left w:val="nil"/>
              <w:bottom w:val="single" w:sz="4" w:space="0" w:color="auto"/>
              <w:right w:val="single" w:sz="4" w:space="0" w:color="auto"/>
            </w:tcBorders>
            <w:shd w:val="clear" w:color="auto" w:fill="auto"/>
            <w:vAlign w:val="center"/>
          </w:tcPr>
          <w:p w14:paraId="0640CB6E" w14:textId="77777777" w:rsidR="004A0123" w:rsidRPr="000D3D0C" w:rsidRDefault="004A0123" w:rsidP="008A5C11">
            <w:pPr>
              <w:jc w:val="center"/>
              <w:rPr>
                <w:color w:val="000000"/>
                <w:sz w:val="13"/>
                <w:szCs w:val="13"/>
              </w:rPr>
            </w:pPr>
            <w:r w:rsidRPr="000D3D0C">
              <w:rPr>
                <w:color w:val="000000"/>
                <w:sz w:val="13"/>
                <w:szCs w:val="13"/>
              </w:rPr>
              <w:t xml:space="preserve">г. </w:t>
            </w:r>
            <w:proofErr w:type="gramStart"/>
            <w:r w:rsidRPr="000D3D0C">
              <w:rPr>
                <w:color w:val="000000"/>
                <w:sz w:val="13"/>
                <w:szCs w:val="13"/>
              </w:rPr>
              <w:t xml:space="preserve">Тайга,   </w:t>
            </w:r>
            <w:proofErr w:type="gramEnd"/>
            <w:r w:rsidRPr="000D3D0C">
              <w:rPr>
                <w:color w:val="000000"/>
                <w:sz w:val="13"/>
                <w:szCs w:val="13"/>
              </w:rPr>
              <w:t xml:space="preserve">               ул.Таежная,д.11.             Котельная Центральная</w:t>
            </w:r>
          </w:p>
        </w:tc>
        <w:tc>
          <w:tcPr>
            <w:tcW w:w="336" w:type="pct"/>
            <w:tcBorders>
              <w:top w:val="nil"/>
              <w:left w:val="nil"/>
              <w:bottom w:val="single" w:sz="4" w:space="0" w:color="auto"/>
              <w:right w:val="single" w:sz="4" w:space="0" w:color="auto"/>
            </w:tcBorders>
            <w:shd w:val="clear" w:color="auto" w:fill="auto"/>
            <w:vAlign w:val="center"/>
          </w:tcPr>
          <w:p w14:paraId="7EC8F6FA" w14:textId="77777777" w:rsidR="004A0123" w:rsidRPr="000D3D0C" w:rsidRDefault="004A0123" w:rsidP="008A5C11">
            <w:pPr>
              <w:jc w:val="center"/>
              <w:rPr>
                <w:sz w:val="13"/>
                <w:szCs w:val="13"/>
              </w:rPr>
            </w:pPr>
            <w:r w:rsidRPr="000D3D0C">
              <w:rPr>
                <w:sz w:val="13"/>
                <w:szCs w:val="13"/>
              </w:rPr>
              <w:t>Износ</w:t>
            </w:r>
          </w:p>
        </w:tc>
        <w:tc>
          <w:tcPr>
            <w:tcW w:w="133" w:type="pct"/>
            <w:tcBorders>
              <w:top w:val="nil"/>
              <w:left w:val="nil"/>
              <w:bottom w:val="single" w:sz="4" w:space="0" w:color="auto"/>
              <w:right w:val="single" w:sz="4" w:space="0" w:color="auto"/>
            </w:tcBorders>
            <w:shd w:val="clear" w:color="auto" w:fill="auto"/>
            <w:vAlign w:val="center"/>
          </w:tcPr>
          <w:p w14:paraId="7EB7C19D" w14:textId="77777777" w:rsidR="004A0123" w:rsidRPr="000D3D0C" w:rsidRDefault="004A0123" w:rsidP="008A5C11">
            <w:pPr>
              <w:jc w:val="center"/>
              <w:rPr>
                <w:sz w:val="13"/>
                <w:szCs w:val="13"/>
              </w:rPr>
            </w:pPr>
            <w:r w:rsidRPr="000D3D0C">
              <w:rPr>
                <w:sz w:val="13"/>
                <w:szCs w:val="13"/>
              </w:rPr>
              <w:t>%</w:t>
            </w:r>
          </w:p>
        </w:tc>
        <w:tc>
          <w:tcPr>
            <w:tcW w:w="180" w:type="pct"/>
            <w:tcBorders>
              <w:top w:val="nil"/>
              <w:left w:val="single" w:sz="4" w:space="0" w:color="auto"/>
              <w:bottom w:val="single" w:sz="4" w:space="0" w:color="auto"/>
              <w:right w:val="single" w:sz="4" w:space="0" w:color="auto"/>
            </w:tcBorders>
            <w:shd w:val="clear" w:color="auto" w:fill="auto"/>
            <w:vAlign w:val="center"/>
          </w:tcPr>
          <w:p w14:paraId="6A8B9A58" w14:textId="77777777" w:rsidR="004A0123" w:rsidRPr="000D3D0C" w:rsidRDefault="004A0123" w:rsidP="008A5C11">
            <w:pPr>
              <w:jc w:val="center"/>
              <w:rPr>
                <w:sz w:val="13"/>
                <w:szCs w:val="13"/>
              </w:rPr>
            </w:pPr>
            <w:r w:rsidRPr="000D3D0C">
              <w:rPr>
                <w:sz w:val="13"/>
                <w:szCs w:val="13"/>
              </w:rPr>
              <w:t>100</w:t>
            </w:r>
          </w:p>
        </w:tc>
        <w:tc>
          <w:tcPr>
            <w:tcW w:w="176" w:type="pct"/>
            <w:tcBorders>
              <w:top w:val="nil"/>
              <w:left w:val="nil"/>
              <w:bottom w:val="single" w:sz="4" w:space="0" w:color="auto"/>
              <w:right w:val="single" w:sz="4" w:space="0" w:color="auto"/>
            </w:tcBorders>
            <w:shd w:val="clear" w:color="auto" w:fill="auto"/>
            <w:vAlign w:val="center"/>
          </w:tcPr>
          <w:p w14:paraId="08AD1AFB" w14:textId="77777777" w:rsidR="004A0123" w:rsidRPr="000D3D0C" w:rsidRDefault="004A0123" w:rsidP="008A5C11">
            <w:pPr>
              <w:jc w:val="center"/>
              <w:rPr>
                <w:sz w:val="13"/>
                <w:szCs w:val="13"/>
              </w:rPr>
            </w:pPr>
            <w:r w:rsidRPr="000D3D0C">
              <w:rPr>
                <w:sz w:val="13"/>
                <w:szCs w:val="13"/>
              </w:rPr>
              <w:t>0</w:t>
            </w:r>
          </w:p>
        </w:tc>
        <w:tc>
          <w:tcPr>
            <w:tcW w:w="188" w:type="pct"/>
            <w:tcBorders>
              <w:top w:val="nil"/>
              <w:left w:val="nil"/>
              <w:bottom w:val="single" w:sz="4" w:space="0" w:color="auto"/>
              <w:right w:val="single" w:sz="4" w:space="0" w:color="auto"/>
            </w:tcBorders>
            <w:shd w:val="clear" w:color="auto" w:fill="auto"/>
            <w:vAlign w:val="center"/>
          </w:tcPr>
          <w:p w14:paraId="73F0D012" w14:textId="77777777" w:rsidR="004A0123" w:rsidRPr="000D3D0C" w:rsidRDefault="004A0123" w:rsidP="008A5C11">
            <w:pPr>
              <w:jc w:val="center"/>
              <w:rPr>
                <w:color w:val="000000"/>
                <w:sz w:val="13"/>
                <w:szCs w:val="13"/>
              </w:rPr>
            </w:pPr>
            <w:r w:rsidRPr="000D3D0C">
              <w:rPr>
                <w:color w:val="000000"/>
                <w:sz w:val="13"/>
                <w:szCs w:val="13"/>
              </w:rPr>
              <w:t>2026</w:t>
            </w:r>
          </w:p>
        </w:tc>
        <w:tc>
          <w:tcPr>
            <w:tcW w:w="186" w:type="pct"/>
            <w:tcBorders>
              <w:top w:val="nil"/>
              <w:left w:val="nil"/>
              <w:bottom w:val="single" w:sz="4" w:space="0" w:color="auto"/>
              <w:right w:val="single" w:sz="4" w:space="0" w:color="auto"/>
            </w:tcBorders>
            <w:shd w:val="clear" w:color="auto" w:fill="auto"/>
            <w:vAlign w:val="center"/>
          </w:tcPr>
          <w:p w14:paraId="786B27EA" w14:textId="77777777" w:rsidR="004A0123" w:rsidRPr="000D3D0C" w:rsidRDefault="004A0123" w:rsidP="008A5C11">
            <w:pPr>
              <w:jc w:val="center"/>
              <w:rPr>
                <w:color w:val="000000"/>
                <w:sz w:val="13"/>
                <w:szCs w:val="13"/>
              </w:rPr>
            </w:pPr>
            <w:r w:rsidRPr="000D3D0C">
              <w:rPr>
                <w:color w:val="000000"/>
                <w:sz w:val="13"/>
                <w:szCs w:val="13"/>
              </w:rPr>
              <w:t>2028</w:t>
            </w:r>
          </w:p>
        </w:tc>
        <w:tc>
          <w:tcPr>
            <w:tcW w:w="186" w:type="pct"/>
            <w:tcBorders>
              <w:top w:val="nil"/>
              <w:left w:val="nil"/>
              <w:bottom w:val="single" w:sz="4" w:space="0" w:color="auto"/>
              <w:right w:val="single" w:sz="4" w:space="0" w:color="auto"/>
            </w:tcBorders>
            <w:shd w:val="clear" w:color="auto" w:fill="auto"/>
            <w:vAlign w:val="center"/>
          </w:tcPr>
          <w:p w14:paraId="41E73312" w14:textId="77777777" w:rsidR="004A0123" w:rsidRPr="000D3D0C" w:rsidRDefault="004A0123" w:rsidP="008A5C11">
            <w:pPr>
              <w:jc w:val="center"/>
              <w:rPr>
                <w:color w:val="000000"/>
                <w:sz w:val="13"/>
                <w:szCs w:val="13"/>
              </w:rPr>
            </w:pPr>
            <w:r w:rsidRPr="000D3D0C">
              <w:rPr>
                <w:color w:val="000000"/>
                <w:sz w:val="13"/>
                <w:szCs w:val="13"/>
              </w:rPr>
              <w:t>100411</w:t>
            </w:r>
          </w:p>
        </w:tc>
        <w:tc>
          <w:tcPr>
            <w:tcW w:w="186" w:type="pct"/>
            <w:tcBorders>
              <w:top w:val="nil"/>
              <w:left w:val="nil"/>
              <w:bottom w:val="single" w:sz="4" w:space="0" w:color="auto"/>
              <w:right w:val="single" w:sz="4" w:space="0" w:color="auto"/>
            </w:tcBorders>
            <w:shd w:val="clear" w:color="auto" w:fill="auto"/>
            <w:vAlign w:val="center"/>
          </w:tcPr>
          <w:p w14:paraId="5D9F0524" w14:textId="77777777" w:rsidR="004A0123" w:rsidRPr="000D3D0C" w:rsidRDefault="004A0123" w:rsidP="008A5C11">
            <w:pPr>
              <w:jc w:val="center"/>
              <w:rPr>
                <w:sz w:val="13"/>
                <w:szCs w:val="13"/>
              </w:rPr>
            </w:pPr>
            <w:r w:rsidRPr="000D3D0C">
              <w:rPr>
                <w:sz w:val="13"/>
                <w:szCs w:val="13"/>
              </w:rPr>
              <w:t>0</w:t>
            </w:r>
          </w:p>
        </w:tc>
        <w:tc>
          <w:tcPr>
            <w:tcW w:w="145" w:type="pct"/>
            <w:tcBorders>
              <w:top w:val="nil"/>
              <w:left w:val="single" w:sz="4" w:space="0" w:color="auto"/>
              <w:bottom w:val="single" w:sz="4" w:space="0" w:color="auto"/>
              <w:right w:val="single" w:sz="4" w:space="0" w:color="auto"/>
            </w:tcBorders>
            <w:shd w:val="clear" w:color="auto" w:fill="auto"/>
            <w:vAlign w:val="center"/>
          </w:tcPr>
          <w:p w14:paraId="38951A7C" w14:textId="77777777" w:rsidR="004A0123" w:rsidRPr="000D3D0C" w:rsidRDefault="004A0123" w:rsidP="008A5C11">
            <w:pPr>
              <w:jc w:val="center"/>
              <w:rPr>
                <w:sz w:val="13"/>
                <w:szCs w:val="13"/>
              </w:rPr>
            </w:pPr>
            <w:r w:rsidRPr="000D3D0C">
              <w:rPr>
                <w:sz w:val="13"/>
                <w:szCs w:val="13"/>
              </w:rPr>
              <w:t>0</w:t>
            </w:r>
          </w:p>
        </w:tc>
        <w:tc>
          <w:tcPr>
            <w:tcW w:w="148" w:type="pct"/>
            <w:tcBorders>
              <w:top w:val="nil"/>
              <w:left w:val="nil"/>
              <w:bottom w:val="single" w:sz="4" w:space="0" w:color="auto"/>
              <w:right w:val="single" w:sz="4" w:space="0" w:color="auto"/>
            </w:tcBorders>
            <w:shd w:val="clear" w:color="auto" w:fill="auto"/>
            <w:vAlign w:val="center"/>
          </w:tcPr>
          <w:p w14:paraId="4B25C9CF" w14:textId="77777777" w:rsidR="004A0123" w:rsidRPr="000D3D0C" w:rsidRDefault="004A0123" w:rsidP="008A5C11">
            <w:pPr>
              <w:jc w:val="center"/>
              <w:rPr>
                <w:sz w:val="13"/>
                <w:szCs w:val="13"/>
              </w:rPr>
            </w:pPr>
            <w:r w:rsidRPr="000D3D0C">
              <w:rPr>
                <w:sz w:val="13"/>
                <w:szCs w:val="13"/>
              </w:rPr>
              <w:t>0</w:t>
            </w:r>
          </w:p>
        </w:tc>
        <w:tc>
          <w:tcPr>
            <w:tcW w:w="181" w:type="pct"/>
            <w:tcBorders>
              <w:top w:val="nil"/>
              <w:left w:val="nil"/>
              <w:bottom w:val="single" w:sz="4" w:space="0" w:color="auto"/>
              <w:right w:val="single" w:sz="4" w:space="0" w:color="auto"/>
            </w:tcBorders>
            <w:shd w:val="clear" w:color="auto" w:fill="auto"/>
            <w:vAlign w:val="center"/>
          </w:tcPr>
          <w:p w14:paraId="03BBDDF9" w14:textId="77777777" w:rsidR="004A0123" w:rsidRPr="000D3D0C" w:rsidRDefault="004A0123" w:rsidP="008A5C11">
            <w:pPr>
              <w:jc w:val="center"/>
              <w:rPr>
                <w:sz w:val="13"/>
                <w:szCs w:val="13"/>
              </w:rPr>
            </w:pPr>
            <w:r w:rsidRPr="000D3D0C">
              <w:rPr>
                <w:sz w:val="13"/>
                <w:szCs w:val="13"/>
              </w:rPr>
              <w:t>0</w:t>
            </w:r>
          </w:p>
        </w:tc>
        <w:tc>
          <w:tcPr>
            <w:tcW w:w="181" w:type="pct"/>
            <w:tcBorders>
              <w:top w:val="nil"/>
              <w:left w:val="nil"/>
              <w:bottom w:val="single" w:sz="4" w:space="0" w:color="auto"/>
              <w:right w:val="single" w:sz="4" w:space="0" w:color="auto"/>
            </w:tcBorders>
            <w:shd w:val="clear" w:color="auto" w:fill="auto"/>
            <w:vAlign w:val="center"/>
          </w:tcPr>
          <w:p w14:paraId="593F4FC7" w14:textId="77777777" w:rsidR="004A0123" w:rsidRPr="000D3D0C" w:rsidRDefault="004A0123" w:rsidP="008A5C11">
            <w:pPr>
              <w:jc w:val="center"/>
              <w:rPr>
                <w:sz w:val="13"/>
                <w:szCs w:val="13"/>
              </w:rPr>
            </w:pPr>
            <w:r w:rsidRPr="000D3D0C">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6CE47994" w14:textId="77777777" w:rsidR="004A0123" w:rsidRPr="000D3D0C" w:rsidRDefault="004A0123" w:rsidP="008A5C11">
            <w:pPr>
              <w:jc w:val="center"/>
              <w:rPr>
                <w:sz w:val="13"/>
                <w:szCs w:val="13"/>
              </w:rPr>
            </w:pPr>
            <w:r w:rsidRPr="000D3D0C">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14191F60" w14:textId="77777777" w:rsidR="004A0123" w:rsidRPr="000D3D0C" w:rsidRDefault="004A0123" w:rsidP="008A5C11">
            <w:pPr>
              <w:rPr>
                <w:sz w:val="13"/>
                <w:szCs w:val="13"/>
              </w:rPr>
            </w:pPr>
            <w:r w:rsidRPr="000D3D0C">
              <w:rPr>
                <w:sz w:val="13"/>
                <w:szCs w:val="13"/>
              </w:rPr>
              <w:t>16370</w:t>
            </w:r>
          </w:p>
        </w:tc>
        <w:tc>
          <w:tcPr>
            <w:tcW w:w="158" w:type="pct"/>
            <w:tcBorders>
              <w:top w:val="single" w:sz="4" w:space="0" w:color="auto"/>
              <w:left w:val="single" w:sz="4" w:space="0" w:color="auto"/>
              <w:bottom w:val="single" w:sz="4" w:space="0" w:color="auto"/>
              <w:right w:val="single" w:sz="4" w:space="0" w:color="auto"/>
            </w:tcBorders>
            <w:vAlign w:val="center"/>
          </w:tcPr>
          <w:p w14:paraId="22D55C0D" w14:textId="77777777" w:rsidR="004A0123" w:rsidRPr="000D3D0C" w:rsidRDefault="004A0123" w:rsidP="008A5C11">
            <w:pPr>
              <w:jc w:val="center"/>
              <w:rPr>
                <w:sz w:val="13"/>
                <w:szCs w:val="13"/>
              </w:rPr>
            </w:pPr>
            <w:r w:rsidRPr="000D3D0C">
              <w:rPr>
                <w:sz w:val="13"/>
                <w:szCs w:val="13"/>
              </w:rPr>
              <w:t>41947</w:t>
            </w:r>
          </w:p>
        </w:tc>
        <w:tc>
          <w:tcPr>
            <w:tcW w:w="172" w:type="pct"/>
            <w:tcBorders>
              <w:top w:val="single" w:sz="4" w:space="0" w:color="auto"/>
              <w:left w:val="single" w:sz="4" w:space="0" w:color="auto"/>
              <w:bottom w:val="single" w:sz="4" w:space="0" w:color="auto"/>
              <w:right w:val="single" w:sz="4" w:space="0" w:color="auto"/>
            </w:tcBorders>
            <w:vAlign w:val="center"/>
          </w:tcPr>
          <w:p w14:paraId="6E391EB5" w14:textId="77777777" w:rsidR="004A0123" w:rsidRPr="000D3D0C" w:rsidRDefault="004A0123" w:rsidP="008A5C11">
            <w:pPr>
              <w:jc w:val="center"/>
              <w:rPr>
                <w:sz w:val="13"/>
                <w:szCs w:val="13"/>
              </w:rPr>
            </w:pPr>
            <w:r w:rsidRPr="000D3D0C">
              <w:rPr>
                <w:sz w:val="13"/>
                <w:szCs w:val="13"/>
              </w:rPr>
              <w:t>42094</w:t>
            </w:r>
          </w:p>
        </w:tc>
        <w:tc>
          <w:tcPr>
            <w:tcW w:w="155" w:type="pct"/>
            <w:tcBorders>
              <w:top w:val="single" w:sz="4" w:space="0" w:color="auto"/>
              <w:left w:val="single" w:sz="4" w:space="0" w:color="auto"/>
              <w:bottom w:val="single" w:sz="4" w:space="0" w:color="auto"/>
              <w:right w:val="single" w:sz="4" w:space="0" w:color="auto"/>
            </w:tcBorders>
            <w:vAlign w:val="center"/>
          </w:tcPr>
          <w:p w14:paraId="205C0A9B" w14:textId="77777777" w:rsidR="004A0123" w:rsidRPr="000D3D0C" w:rsidRDefault="004A0123" w:rsidP="008A5C11">
            <w:pPr>
              <w:jc w:val="center"/>
              <w:rPr>
                <w:sz w:val="13"/>
                <w:szCs w:val="13"/>
              </w:rPr>
            </w:pPr>
            <w:r w:rsidRPr="000D3D0C">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060F91BD" w14:textId="77777777" w:rsidR="004A0123" w:rsidRPr="000D3D0C" w:rsidRDefault="004A0123" w:rsidP="008A5C11">
            <w:pPr>
              <w:jc w:val="center"/>
              <w:rPr>
                <w:sz w:val="13"/>
                <w:szCs w:val="13"/>
              </w:rPr>
            </w:pPr>
            <w:r w:rsidRPr="000D3D0C">
              <w:rPr>
                <w:sz w:val="13"/>
                <w:szCs w:val="13"/>
              </w:rPr>
              <w:t>0</w:t>
            </w:r>
          </w:p>
        </w:tc>
        <w:tc>
          <w:tcPr>
            <w:tcW w:w="181" w:type="pct"/>
            <w:tcBorders>
              <w:top w:val="single" w:sz="4" w:space="0" w:color="auto"/>
              <w:left w:val="single" w:sz="4" w:space="0" w:color="auto"/>
              <w:bottom w:val="single" w:sz="4" w:space="0" w:color="auto"/>
              <w:right w:val="single" w:sz="4" w:space="0" w:color="auto"/>
            </w:tcBorders>
            <w:vAlign w:val="center"/>
          </w:tcPr>
          <w:p w14:paraId="1E56A055" w14:textId="77777777" w:rsidR="004A0123" w:rsidRPr="000D3D0C" w:rsidRDefault="004A0123" w:rsidP="008A5C11">
            <w:pPr>
              <w:jc w:val="center"/>
              <w:rPr>
                <w:sz w:val="13"/>
                <w:szCs w:val="13"/>
              </w:rPr>
            </w:pPr>
            <w:r w:rsidRPr="000D3D0C">
              <w:rPr>
                <w:sz w:val="13"/>
                <w:szCs w:val="13"/>
              </w:rPr>
              <w:t>0</w:t>
            </w:r>
          </w:p>
        </w:tc>
        <w:tc>
          <w:tcPr>
            <w:tcW w:w="178" w:type="pct"/>
            <w:tcBorders>
              <w:top w:val="single" w:sz="4" w:space="0" w:color="auto"/>
              <w:left w:val="single" w:sz="4" w:space="0" w:color="auto"/>
              <w:bottom w:val="single" w:sz="4" w:space="0" w:color="auto"/>
              <w:right w:val="single" w:sz="4" w:space="0" w:color="auto"/>
            </w:tcBorders>
            <w:vAlign w:val="center"/>
          </w:tcPr>
          <w:p w14:paraId="7C5197D8" w14:textId="77777777" w:rsidR="004A0123" w:rsidRPr="000D3D0C" w:rsidRDefault="004A0123" w:rsidP="008A5C11">
            <w:pPr>
              <w:jc w:val="center"/>
              <w:rPr>
                <w:sz w:val="13"/>
                <w:szCs w:val="13"/>
              </w:rPr>
            </w:pPr>
            <w:r w:rsidRPr="000D3D0C">
              <w:rPr>
                <w:sz w:val="13"/>
                <w:szCs w:val="13"/>
              </w:rPr>
              <w:t>0</w:t>
            </w:r>
          </w:p>
        </w:tc>
      </w:tr>
      <w:tr w:rsidR="004A0123" w:rsidRPr="000D3D0C" w14:paraId="1F3E334E" w14:textId="77777777" w:rsidTr="008A5C11">
        <w:trPr>
          <w:trHeight w:val="489"/>
        </w:trPr>
        <w:tc>
          <w:tcPr>
            <w:tcW w:w="147" w:type="pct"/>
            <w:shd w:val="clear" w:color="auto" w:fill="auto"/>
            <w:vAlign w:val="center"/>
          </w:tcPr>
          <w:p w14:paraId="37D8708A" w14:textId="77777777" w:rsidR="004A0123" w:rsidRPr="000D3D0C" w:rsidRDefault="004A0123" w:rsidP="008A5C11">
            <w:pPr>
              <w:jc w:val="center"/>
              <w:rPr>
                <w:sz w:val="13"/>
                <w:szCs w:val="13"/>
              </w:rPr>
            </w:pPr>
            <w:r w:rsidRPr="000D3D0C">
              <w:rPr>
                <w:sz w:val="13"/>
                <w:szCs w:val="13"/>
              </w:rPr>
              <w:t>3.2.3.</w:t>
            </w:r>
          </w:p>
        </w:tc>
        <w:tc>
          <w:tcPr>
            <w:tcW w:w="584" w:type="pct"/>
            <w:tcBorders>
              <w:top w:val="nil"/>
              <w:left w:val="single" w:sz="4" w:space="0" w:color="auto"/>
              <w:bottom w:val="single" w:sz="4" w:space="0" w:color="auto"/>
              <w:right w:val="single" w:sz="4" w:space="0" w:color="auto"/>
            </w:tcBorders>
            <w:shd w:val="clear" w:color="auto" w:fill="auto"/>
            <w:vAlign w:val="center"/>
          </w:tcPr>
          <w:p w14:paraId="05623966" w14:textId="77777777" w:rsidR="004A0123" w:rsidRPr="000D3D0C" w:rsidRDefault="004A0123" w:rsidP="008A5C11">
            <w:pPr>
              <w:rPr>
                <w:color w:val="000000"/>
                <w:sz w:val="13"/>
                <w:szCs w:val="13"/>
              </w:rPr>
            </w:pPr>
            <w:r w:rsidRPr="000D3D0C">
              <w:rPr>
                <w:color w:val="000000"/>
                <w:sz w:val="13"/>
                <w:szCs w:val="13"/>
              </w:rPr>
              <w:t>Реконструкция котлоагрегата КЕ-25-14 № 4 с автоматизацией</w:t>
            </w:r>
          </w:p>
        </w:tc>
        <w:tc>
          <w:tcPr>
            <w:tcW w:w="358" w:type="pct"/>
            <w:tcBorders>
              <w:top w:val="nil"/>
              <w:left w:val="nil"/>
              <w:bottom w:val="single" w:sz="4" w:space="0" w:color="auto"/>
              <w:right w:val="single" w:sz="4" w:space="0" w:color="auto"/>
            </w:tcBorders>
            <w:shd w:val="clear" w:color="auto" w:fill="auto"/>
            <w:vAlign w:val="center"/>
          </w:tcPr>
          <w:p w14:paraId="2440BAAC" w14:textId="77777777" w:rsidR="004A0123" w:rsidRPr="000D3D0C" w:rsidRDefault="004A0123" w:rsidP="008A5C11">
            <w:pPr>
              <w:jc w:val="center"/>
              <w:rPr>
                <w:color w:val="000000"/>
                <w:sz w:val="13"/>
                <w:szCs w:val="13"/>
              </w:rPr>
            </w:pPr>
            <w:r w:rsidRPr="000D3D0C">
              <w:rPr>
                <w:color w:val="000000"/>
                <w:sz w:val="13"/>
                <w:szCs w:val="13"/>
              </w:rPr>
              <w:t>Повышение надежности теплоснабжения</w:t>
            </w:r>
          </w:p>
        </w:tc>
        <w:tc>
          <w:tcPr>
            <w:tcW w:w="389" w:type="pct"/>
            <w:tcBorders>
              <w:top w:val="nil"/>
              <w:left w:val="nil"/>
              <w:bottom w:val="single" w:sz="4" w:space="0" w:color="auto"/>
              <w:right w:val="single" w:sz="4" w:space="0" w:color="auto"/>
            </w:tcBorders>
            <w:shd w:val="clear" w:color="auto" w:fill="auto"/>
            <w:vAlign w:val="center"/>
          </w:tcPr>
          <w:p w14:paraId="6246304C" w14:textId="77777777" w:rsidR="004A0123" w:rsidRPr="000D3D0C" w:rsidRDefault="004A0123" w:rsidP="008A5C11">
            <w:pPr>
              <w:jc w:val="center"/>
              <w:rPr>
                <w:color w:val="000000"/>
                <w:sz w:val="13"/>
                <w:szCs w:val="13"/>
              </w:rPr>
            </w:pPr>
            <w:r w:rsidRPr="000D3D0C">
              <w:rPr>
                <w:color w:val="000000"/>
                <w:sz w:val="13"/>
                <w:szCs w:val="13"/>
              </w:rPr>
              <w:t xml:space="preserve">г. </w:t>
            </w:r>
            <w:proofErr w:type="gramStart"/>
            <w:r w:rsidRPr="000D3D0C">
              <w:rPr>
                <w:color w:val="000000"/>
                <w:sz w:val="13"/>
                <w:szCs w:val="13"/>
              </w:rPr>
              <w:t xml:space="preserve">Тайга,   </w:t>
            </w:r>
            <w:proofErr w:type="gramEnd"/>
            <w:r w:rsidRPr="000D3D0C">
              <w:rPr>
                <w:color w:val="000000"/>
                <w:sz w:val="13"/>
                <w:szCs w:val="13"/>
              </w:rPr>
              <w:t xml:space="preserve">               ул.Таежная,д.11.             Котельная Центральная</w:t>
            </w:r>
            <w:r w:rsidRPr="000D3D0C">
              <w:rPr>
                <w:color w:val="000000"/>
                <w:sz w:val="13"/>
                <w:szCs w:val="13"/>
              </w:rPr>
              <w:tab/>
            </w:r>
          </w:p>
        </w:tc>
        <w:tc>
          <w:tcPr>
            <w:tcW w:w="336" w:type="pct"/>
            <w:tcBorders>
              <w:top w:val="nil"/>
              <w:left w:val="nil"/>
              <w:bottom w:val="single" w:sz="4" w:space="0" w:color="auto"/>
              <w:right w:val="single" w:sz="4" w:space="0" w:color="auto"/>
            </w:tcBorders>
            <w:shd w:val="clear" w:color="auto" w:fill="auto"/>
            <w:vAlign w:val="center"/>
          </w:tcPr>
          <w:p w14:paraId="39B7CF51" w14:textId="77777777" w:rsidR="004A0123" w:rsidRPr="000D3D0C" w:rsidRDefault="004A0123" w:rsidP="008A5C11">
            <w:pPr>
              <w:jc w:val="center"/>
              <w:rPr>
                <w:sz w:val="13"/>
                <w:szCs w:val="13"/>
              </w:rPr>
            </w:pPr>
            <w:r w:rsidRPr="000D3D0C">
              <w:rPr>
                <w:sz w:val="13"/>
                <w:szCs w:val="13"/>
              </w:rPr>
              <w:t>Износ</w:t>
            </w:r>
          </w:p>
        </w:tc>
        <w:tc>
          <w:tcPr>
            <w:tcW w:w="133" w:type="pct"/>
            <w:tcBorders>
              <w:top w:val="nil"/>
              <w:left w:val="nil"/>
              <w:bottom w:val="single" w:sz="4" w:space="0" w:color="auto"/>
              <w:right w:val="single" w:sz="4" w:space="0" w:color="auto"/>
            </w:tcBorders>
            <w:shd w:val="clear" w:color="auto" w:fill="auto"/>
            <w:vAlign w:val="center"/>
          </w:tcPr>
          <w:p w14:paraId="5B992BFE" w14:textId="77777777" w:rsidR="004A0123" w:rsidRPr="000D3D0C" w:rsidRDefault="004A0123" w:rsidP="008A5C11">
            <w:pPr>
              <w:jc w:val="center"/>
              <w:rPr>
                <w:sz w:val="13"/>
                <w:szCs w:val="13"/>
              </w:rPr>
            </w:pPr>
            <w:r w:rsidRPr="000D3D0C">
              <w:rPr>
                <w:sz w:val="13"/>
                <w:szCs w:val="13"/>
              </w:rPr>
              <w:t>%</w:t>
            </w:r>
          </w:p>
        </w:tc>
        <w:tc>
          <w:tcPr>
            <w:tcW w:w="180" w:type="pct"/>
            <w:tcBorders>
              <w:top w:val="nil"/>
              <w:left w:val="single" w:sz="4" w:space="0" w:color="auto"/>
              <w:bottom w:val="single" w:sz="4" w:space="0" w:color="auto"/>
              <w:right w:val="single" w:sz="4" w:space="0" w:color="auto"/>
            </w:tcBorders>
            <w:shd w:val="clear" w:color="auto" w:fill="auto"/>
            <w:vAlign w:val="center"/>
          </w:tcPr>
          <w:p w14:paraId="1E3999C0" w14:textId="77777777" w:rsidR="004A0123" w:rsidRPr="000D3D0C" w:rsidRDefault="004A0123" w:rsidP="008A5C11">
            <w:pPr>
              <w:jc w:val="center"/>
              <w:rPr>
                <w:sz w:val="13"/>
                <w:szCs w:val="13"/>
              </w:rPr>
            </w:pPr>
            <w:r w:rsidRPr="000D3D0C">
              <w:rPr>
                <w:sz w:val="13"/>
                <w:szCs w:val="13"/>
              </w:rPr>
              <w:t>100</w:t>
            </w:r>
          </w:p>
        </w:tc>
        <w:tc>
          <w:tcPr>
            <w:tcW w:w="176" w:type="pct"/>
            <w:tcBorders>
              <w:top w:val="nil"/>
              <w:left w:val="nil"/>
              <w:bottom w:val="single" w:sz="4" w:space="0" w:color="auto"/>
              <w:right w:val="single" w:sz="4" w:space="0" w:color="auto"/>
            </w:tcBorders>
            <w:shd w:val="clear" w:color="auto" w:fill="auto"/>
            <w:vAlign w:val="center"/>
          </w:tcPr>
          <w:p w14:paraId="22CC1280" w14:textId="77777777" w:rsidR="004A0123" w:rsidRPr="000D3D0C" w:rsidRDefault="004A0123" w:rsidP="008A5C11">
            <w:pPr>
              <w:jc w:val="center"/>
              <w:rPr>
                <w:sz w:val="13"/>
                <w:szCs w:val="13"/>
              </w:rPr>
            </w:pPr>
            <w:r w:rsidRPr="000D3D0C">
              <w:rPr>
                <w:sz w:val="13"/>
                <w:szCs w:val="13"/>
              </w:rPr>
              <w:t>0</w:t>
            </w:r>
          </w:p>
        </w:tc>
        <w:tc>
          <w:tcPr>
            <w:tcW w:w="188" w:type="pct"/>
            <w:tcBorders>
              <w:top w:val="nil"/>
              <w:left w:val="nil"/>
              <w:bottom w:val="single" w:sz="4" w:space="0" w:color="auto"/>
              <w:right w:val="single" w:sz="4" w:space="0" w:color="auto"/>
            </w:tcBorders>
            <w:shd w:val="clear" w:color="auto" w:fill="auto"/>
            <w:vAlign w:val="center"/>
          </w:tcPr>
          <w:p w14:paraId="09EE7160" w14:textId="77777777" w:rsidR="004A0123" w:rsidRPr="000D3D0C" w:rsidRDefault="004A0123" w:rsidP="008A5C11">
            <w:pPr>
              <w:jc w:val="center"/>
              <w:rPr>
                <w:color w:val="000000"/>
                <w:sz w:val="13"/>
                <w:szCs w:val="13"/>
              </w:rPr>
            </w:pPr>
            <w:r w:rsidRPr="000D3D0C">
              <w:rPr>
                <w:color w:val="000000"/>
                <w:sz w:val="13"/>
                <w:szCs w:val="13"/>
              </w:rPr>
              <w:t>2025</w:t>
            </w:r>
          </w:p>
        </w:tc>
        <w:tc>
          <w:tcPr>
            <w:tcW w:w="186" w:type="pct"/>
            <w:tcBorders>
              <w:top w:val="nil"/>
              <w:left w:val="nil"/>
              <w:bottom w:val="single" w:sz="4" w:space="0" w:color="auto"/>
              <w:right w:val="single" w:sz="4" w:space="0" w:color="auto"/>
            </w:tcBorders>
            <w:shd w:val="clear" w:color="auto" w:fill="auto"/>
            <w:vAlign w:val="center"/>
          </w:tcPr>
          <w:p w14:paraId="1B801E2F" w14:textId="77777777" w:rsidR="004A0123" w:rsidRPr="000D3D0C" w:rsidRDefault="004A0123" w:rsidP="008A5C11">
            <w:pPr>
              <w:jc w:val="center"/>
              <w:rPr>
                <w:color w:val="000000"/>
                <w:sz w:val="13"/>
                <w:szCs w:val="13"/>
              </w:rPr>
            </w:pPr>
            <w:r w:rsidRPr="000D3D0C">
              <w:rPr>
                <w:color w:val="000000"/>
                <w:sz w:val="13"/>
                <w:szCs w:val="13"/>
              </w:rPr>
              <w:t>2026</w:t>
            </w:r>
          </w:p>
        </w:tc>
        <w:tc>
          <w:tcPr>
            <w:tcW w:w="186" w:type="pct"/>
            <w:tcBorders>
              <w:top w:val="nil"/>
              <w:left w:val="nil"/>
              <w:bottom w:val="single" w:sz="4" w:space="0" w:color="auto"/>
              <w:right w:val="single" w:sz="4" w:space="0" w:color="auto"/>
            </w:tcBorders>
            <w:shd w:val="clear" w:color="auto" w:fill="auto"/>
            <w:vAlign w:val="center"/>
          </w:tcPr>
          <w:p w14:paraId="1D12AE4B" w14:textId="77777777" w:rsidR="004A0123" w:rsidRPr="000D3D0C" w:rsidRDefault="004A0123" w:rsidP="008A5C11">
            <w:pPr>
              <w:jc w:val="center"/>
              <w:rPr>
                <w:color w:val="000000"/>
                <w:sz w:val="13"/>
                <w:szCs w:val="13"/>
              </w:rPr>
            </w:pPr>
            <w:r w:rsidRPr="000D3D0C">
              <w:rPr>
                <w:color w:val="000000"/>
                <w:sz w:val="13"/>
                <w:szCs w:val="13"/>
              </w:rPr>
              <w:t>66255</w:t>
            </w:r>
          </w:p>
        </w:tc>
        <w:tc>
          <w:tcPr>
            <w:tcW w:w="186" w:type="pct"/>
            <w:tcBorders>
              <w:top w:val="nil"/>
              <w:left w:val="nil"/>
              <w:bottom w:val="single" w:sz="4" w:space="0" w:color="auto"/>
              <w:right w:val="single" w:sz="4" w:space="0" w:color="auto"/>
            </w:tcBorders>
            <w:shd w:val="clear" w:color="auto" w:fill="auto"/>
            <w:vAlign w:val="center"/>
          </w:tcPr>
          <w:p w14:paraId="70B53614" w14:textId="77777777" w:rsidR="004A0123" w:rsidRPr="000D3D0C" w:rsidRDefault="004A0123" w:rsidP="008A5C11">
            <w:pPr>
              <w:jc w:val="center"/>
              <w:rPr>
                <w:sz w:val="13"/>
                <w:szCs w:val="13"/>
              </w:rPr>
            </w:pPr>
            <w:r w:rsidRPr="000D3D0C">
              <w:rPr>
                <w:sz w:val="13"/>
                <w:szCs w:val="13"/>
              </w:rPr>
              <w:t>0</w:t>
            </w:r>
          </w:p>
        </w:tc>
        <w:tc>
          <w:tcPr>
            <w:tcW w:w="145" w:type="pct"/>
            <w:tcBorders>
              <w:top w:val="nil"/>
              <w:left w:val="single" w:sz="4" w:space="0" w:color="auto"/>
              <w:bottom w:val="single" w:sz="4" w:space="0" w:color="auto"/>
              <w:right w:val="single" w:sz="4" w:space="0" w:color="auto"/>
            </w:tcBorders>
            <w:shd w:val="clear" w:color="auto" w:fill="auto"/>
            <w:vAlign w:val="center"/>
          </w:tcPr>
          <w:p w14:paraId="72E89E5D" w14:textId="77777777" w:rsidR="004A0123" w:rsidRPr="000D3D0C" w:rsidRDefault="004A0123" w:rsidP="008A5C11">
            <w:pPr>
              <w:jc w:val="center"/>
              <w:rPr>
                <w:sz w:val="13"/>
                <w:szCs w:val="13"/>
              </w:rPr>
            </w:pPr>
            <w:r w:rsidRPr="000D3D0C">
              <w:rPr>
                <w:sz w:val="13"/>
                <w:szCs w:val="13"/>
              </w:rPr>
              <w:t>0</w:t>
            </w:r>
          </w:p>
        </w:tc>
        <w:tc>
          <w:tcPr>
            <w:tcW w:w="148" w:type="pct"/>
            <w:tcBorders>
              <w:top w:val="nil"/>
              <w:left w:val="nil"/>
              <w:bottom w:val="single" w:sz="4" w:space="0" w:color="auto"/>
              <w:right w:val="single" w:sz="4" w:space="0" w:color="auto"/>
            </w:tcBorders>
            <w:shd w:val="clear" w:color="auto" w:fill="auto"/>
            <w:vAlign w:val="center"/>
          </w:tcPr>
          <w:p w14:paraId="611054C9" w14:textId="77777777" w:rsidR="004A0123" w:rsidRPr="000D3D0C" w:rsidRDefault="004A0123" w:rsidP="008A5C11">
            <w:pPr>
              <w:jc w:val="center"/>
              <w:rPr>
                <w:sz w:val="13"/>
                <w:szCs w:val="13"/>
              </w:rPr>
            </w:pPr>
            <w:r w:rsidRPr="000D3D0C">
              <w:rPr>
                <w:sz w:val="13"/>
                <w:szCs w:val="13"/>
              </w:rPr>
              <w:t>0</w:t>
            </w:r>
          </w:p>
        </w:tc>
        <w:tc>
          <w:tcPr>
            <w:tcW w:w="181" w:type="pct"/>
            <w:tcBorders>
              <w:top w:val="nil"/>
              <w:left w:val="nil"/>
              <w:bottom w:val="single" w:sz="4" w:space="0" w:color="auto"/>
              <w:right w:val="single" w:sz="4" w:space="0" w:color="auto"/>
            </w:tcBorders>
            <w:shd w:val="clear" w:color="auto" w:fill="auto"/>
            <w:vAlign w:val="center"/>
          </w:tcPr>
          <w:p w14:paraId="4A919EBA" w14:textId="77777777" w:rsidR="004A0123" w:rsidRPr="000D3D0C" w:rsidRDefault="004A0123" w:rsidP="008A5C11">
            <w:pPr>
              <w:jc w:val="center"/>
              <w:rPr>
                <w:sz w:val="13"/>
                <w:szCs w:val="13"/>
              </w:rPr>
            </w:pPr>
            <w:r w:rsidRPr="000D3D0C">
              <w:rPr>
                <w:sz w:val="13"/>
                <w:szCs w:val="13"/>
              </w:rPr>
              <w:t>0</w:t>
            </w:r>
          </w:p>
        </w:tc>
        <w:tc>
          <w:tcPr>
            <w:tcW w:w="181" w:type="pct"/>
            <w:tcBorders>
              <w:top w:val="nil"/>
              <w:left w:val="nil"/>
              <w:bottom w:val="single" w:sz="4" w:space="0" w:color="auto"/>
              <w:right w:val="single" w:sz="4" w:space="0" w:color="auto"/>
            </w:tcBorders>
            <w:shd w:val="clear" w:color="auto" w:fill="auto"/>
            <w:vAlign w:val="center"/>
          </w:tcPr>
          <w:p w14:paraId="4F831B23" w14:textId="77777777" w:rsidR="004A0123" w:rsidRPr="000D3D0C" w:rsidRDefault="004A0123" w:rsidP="008A5C11">
            <w:pPr>
              <w:jc w:val="center"/>
              <w:rPr>
                <w:sz w:val="13"/>
                <w:szCs w:val="13"/>
              </w:rPr>
            </w:pPr>
            <w:r w:rsidRPr="000D3D0C">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73B4F82F" w14:textId="77777777" w:rsidR="004A0123" w:rsidRPr="000D3D0C" w:rsidRDefault="004A0123" w:rsidP="008A5C11">
            <w:pPr>
              <w:jc w:val="center"/>
              <w:rPr>
                <w:sz w:val="13"/>
                <w:szCs w:val="13"/>
              </w:rPr>
            </w:pPr>
            <w:r w:rsidRPr="000D3D0C">
              <w:rPr>
                <w:sz w:val="13"/>
                <w:szCs w:val="13"/>
              </w:rPr>
              <w:t>22719</w:t>
            </w:r>
          </w:p>
        </w:tc>
        <w:tc>
          <w:tcPr>
            <w:tcW w:w="153" w:type="pct"/>
            <w:tcBorders>
              <w:top w:val="single" w:sz="4" w:space="0" w:color="auto"/>
              <w:left w:val="single" w:sz="4" w:space="0" w:color="auto"/>
              <w:bottom w:val="single" w:sz="4" w:space="0" w:color="auto"/>
              <w:right w:val="single" w:sz="4" w:space="0" w:color="auto"/>
            </w:tcBorders>
            <w:vAlign w:val="center"/>
          </w:tcPr>
          <w:p w14:paraId="00A2278D" w14:textId="77777777" w:rsidR="004A0123" w:rsidRPr="000D3D0C" w:rsidRDefault="004A0123" w:rsidP="008A5C11">
            <w:pPr>
              <w:jc w:val="center"/>
              <w:rPr>
                <w:sz w:val="13"/>
                <w:szCs w:val="13"/>
              </w:rPr>
            </w:pPr>
            <w:r w:rsidRPr="000D3D0C">
              <w:rPr>
                <w:sz w:val="13"/>
                <w:szCs w:val="13"/>
              </w:rPr>
              <w:t>43536</w:t>
            </w:r>
          </w:p>
        </w:tc>
        <w:tc>
          <w:tcPr>
            <w:tcW w:w="158" w:type="pct"/>
            <w:tcBorders>
              <w:top w:val="single" w:sz="4" w:space="0" w:color="auto"/>
              <w:left w:val="single" w:sz="4" w:space="0" w:color="auto"/>
              <w:bottom w:val="single" w:sz="4" w:space="0" w:color="auto"/>
              <w:right w:val="single" w:sz="4" w:space="0" w:color="auto"/>
            </w:tcBorders>
            <w:vAlign w:val="center"/>
          </w:tcPr>
          <w:p w14:paraId="67D40517" w14:textId="77777777" w:rsidR="004A0123" w:rsidRPr="000D3D0C" w:rsidRDefault="004A0123" w:rsidP="008A5C11">
            <w:pPr>
              <w:jc w:val="center"/>
              <w:rPr>
                <w:sz w:val="13"/>
                <w:szCs w:val="13"/>
              </w:rPr>
            </w:pPr>
            <w:r w:rsidRPr="000D3D0C">
              <w:rPr>
                <w:sz w:val="13"/>
                <w:szCs w:val="13"/>
              </w:rPr>
              <w:t>0</w:t>
            </w:r>
          </w:p>
        </w:tc>
        <w:tc>
          <w:tcPr>
            <w:tcW w:w="172" w:type="pct"/>
            <w:tcBorders>
              <w:top w:val="single" w:sz="4" w:space="0" w:color="auto"/>
              <w:left w:val="single" w:sz="4" w:space="0" w:color="auto"/>
              <w:bottom w:val="single" w:sz="4" w:space="0" w:color="auto"/>
              <w:right w:val="single" w:sz="4" w:space="0" w:color="auto"/>
            </w:tcBorders>
            <w:vAlign w:val="center"/>
          </w:tcPr>
          <w:p w14:paraId="4BD43E63" w14:textId="77777777" w:rsidR="004A0123" w:rsidRPr="000D3D0C" w:rsidRDefault="004A0123" w:rsidP="008A5C11">
            <w:pPr>
              <w:jc w:val="center"/>
              <w:rPr>
                <w:sz w:val="13"/>
                <w:szCs w:val="13"/>
              </w:rPr>
            </w:pPr>
            <w:r w:rsidRPr="000D3D0C">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286A4B03" w14:textId="77777777" w:rsidR="004A0123" w:rsidRPr="000D3D0C" w:rsidRDefault="004A0123" w:rsidP="008A5C11">
            <w:pPr>
              <w:jc w:val="center"/>
              <w:rPr>
                <w:sz w:val="13"/>
                <w:szCs w:val="13"/>
              </w:rPr>
            </w:pPr>
            <w:r w:rsidRPr="000D3D0C">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10CC6CE9" w14:textId="77777777" w:rsidR="004A0123" w:rsidRPr="000D3D0C" w:rsidRDefault="004A0123" w:rsidP="008A5C11">
            <w:pPr>
              <w:jc w:val="center"/>
              <w:rPr>
                <w:sz w:val="13"/>
                <w:szCs w:val="13"/>
              </w:rPr>
            </w:pPr>
            <w:r w:rsidRPr="000D3D0C">
              <w:rPr>
                <w:sz w:val="13"/>
                <w:szCs w:val="13"/>
              </w:rPr>
              <w:t>0</w:t>
            </w:r>
          </w:p>
        </w:tc>
        <w:tc>
          <w:tcPr>
            <w:tcW w:w="181" w:type="pct"/>
            <w:tcBorders>
              <w:top w:val="single" w:sz="4" w:space="0" w:color="auto"/>
              <w:left w:val="single" w:sz="4" w:space="0" w:color="auto"/>
              <w:bottom w:val="single" w:sz="4" w:space="0" w:color="auto"/>
              <w:right w:val="single" w:sz="4" w:space="0" w:color="auto"/>
            </w:tcBorders>
            <w:vAlign w:val="center"/>
          </w:tcPr>
          <w:p w14:paraId="0D7AF0AD" w14:textId="77777777" w:rsidR="004A0123" w:rsidRPr="000D3D0C" w:rsidRDefault="004A0123" w:rsidP="008A5C11">
            <w:pPr>
              <w:jc w:val="center"/>
              <w:rPr>
                <w:sz w:val="13"/>
                <w:szCs w:val="13"/>
              </w:rPr>
            </w:pPr>
            <w:r w:rsidRPr="000D3D0C">
              <w:rPr>
                <w:sz w:val="13"/>
                <w:szCs w:val="13"/>
              </w:rPr>
              <w:t>0</w:t>
            </w:r>
          </w:p>
        </w:tc>
        <w:tc>
          <w:tcPr>
            <w:tcW w:w="178" w:type="pct"/>
            <w:tcBorders>
              <w:top w:val="single" w:sz="4" w:space="0" w:color="auto"/>
              <w:left w:val="single" w:sz="4" w:space="0" w:color="auto"/>
              <w:bottom w:val="single" w:sz="4" w:space="0" w:color="auto"/>
              <w:right w:val="single" w:sz="4" w:space="0" w:color="auto"/>
            </w:tcBorders>
            <w:vAlign w:val="center"/>
          </w:tcPr>
          <w:p w14:paraId="406FE202" w14:textId="77777777" w:rsidR="004A0123" w:rsidRPr="000D3D0C" w:rsidRDefault="004A0123" w:rsidP="008A5C11">
            <w:pPr>
              <w:jc w:val="center"/>
              <w:rPr>
                <w:sz w:val="13"/>
                <w:szCs w:val="13"/>
              </w:rPr>
            </w:pPr>
            <w:r w:rsidRPr="000D3D0C">
              <w:rPr>
                <w:sz w:val="13"/>
                <w:szCs w:val="13"/>
              </w:rPr>
              <w:t>0</w:t>
            </w:r>
          </w:p>
        </w:tc>
      </w:tr>
      <w:tr w:rsidR="004A0123" w:rsidRPr="000D3D0C" w14:paraId="4A6FBEF4" w14:textId="77777777" w:rsidTr="008A5C11">
        <w:trPr>
          <w:trHeight w:val="64"/>
        </w:trPr>
        <w:tc>
          <w:tcPr>
            <w:tcW w:w="147" w:type="pct"/>
            <w:shd w:val="clear" w:color="auto" w:fill="auto"/>
            <w:vAlign w:val="center"/>
          </w:tcPr>
          <w:p w14:paraId="3043033D" w14:textId="77777777" w:rsidR="004A0123" w:rsidRPr="000D3D0C" w:rsidRDefault="004A0123" w:rsidP="008A5C11">
            <w:pPr>
              <w:jc w:val="center"/>
              <w:rPr>
                <w:sz w:val="13"/>
                <w:szCs w:val="13"/>
              </w:rPr>
            </w:pPr>
            <w:r w:rsidRPr="000D3D0C">
              <w:rPr>
                <w:sz w:val="13"/>
                <w:szCs w:val="13"/>
              </w:rPr>
              <w:t>3.2.4.</w:t>
            </w:r>
          </w:p>
        </w:tc>
        <w:tc>
          <w:tcPr>
            <w:tcW w:w="584" w:type="pct"/>
            <w:tcBorders>
              <w:top w:val="nil"/>
              <w:left w:val="single" w:sz="4" w:space="0" w:color="auto"/>
              <w:bottom w:val="single" w:sz="4" w:space="0" w:color="auto"/>
              <w:right w:val="single" w:sz="4" w:space="0" w:color="auto"/>
            </w:tcBorders>
            <w:shd w:val="clear" w:color="auto" w:fill="auto"/>
            <w:vAlign w:val="center"/>
          </w:tcPr>
          <w:p w14:paraId="15E01514" w14:textId="77777777" w:rsidR="004A0123" w:rsidRPr="000D3D0C" w:rsidRDefault="004A0123" w:rsidP="008A5C11">
            <w:pPr>
              <w:rPr>
                <w:color w:val="000000"/>
                <w:sz w:val="13"/>
                <w:szCs w:val="13"/>
              </w:rPr>
            </w:pPr>
            <w:r w:rsidRPr="000D3D0C">
              <w:rPr>
                <w:color w:val="000000"/>
                <w:sz w:val="13"/>
                <w:szCs w:val="13"/>
              </w:rPr>
              <w:t>Реконструкция котлоагрегата КЕ-25-14 № 1 с автоматизацией</w:t>
            </w:r>
          </w:p>
        </w:tc>
        <w:tc>
          <w:tcPr>
            <w:tcW w:w="358" w:type="pct"/>
            <w:tcBorders>
              <w:top w:val="nil"/>
              <w:left w:val="nil"/>
              <w:bottom w:val="single" w:sz="4" w:space="0" w:color="auto"/>
              <w:right w:val="single" w:sz="4" w:space="0" w:color="auto"/>
            </w:tcBorders>
            <w:shd w:val="clear" w:color="auto" w:fill="auto"/>
            <w:vAlign w:val="center"/>
          </w:tcPr>
          <w:p w14:paraId="5095528B" w14:textId="77777777" w:rsidR="004A0123" w:rsidRPr="000D3D0C" w:rsidRDefault="004A0123" w:rsidP="008A5C11">
            <w:pPr>
              <w:jc w:val="center"/>
              <w:rPr>
                <w:color w:val="000000"/>
                <w:sz w:val="13"/>
                <w:szCs w:val="13"/>
              </w:rPr>
            </w:pPr>
            <w:r w:rsidRPr="000D3D0C">
              <w:rPr>
                <w:color w:val="000000"/>
                <w:sz w:val="13"/>
                <w:szCs w:val="13"/>
              </w:rPr>
              <w:t>Повышение надежности теплоснабжения</w:t>
            </w:r>
          </w:p>
        </w:tc>
        <w:tc>
          <w:tcPr>
            <w:tcW w:w="389" w:type="pct"/>
            <w:tcBorders>
              <w:top w:val="nil"/>
              <w:left w:val="nil"/>
              <w:bottom w:val="single" w:sz="4" w:space="0" w:color="auto"/>
              <w:right w:val="single" w:sz="4" w:space="0" w:color="auto"/>
            </w:tcBorders>
            <w:shd w:val="clear" w:color="auto" w:fill="auto"/>
            <w:vAlign w:val="center"/>
          </w:tcPr>
          <w:p w14:paraId="0B8C73C5" w14:textId="77777777" w:rsidR="004A0123" w:rsidRPr="000D3D0C" w:rsidRDefault="004A0123" w:rsidP="008A5C11">
            <w:pPr>
              <w:jc w:val="center"/>
              <w:rPr>
                <w:color w:val="000000"/>
                <w:sz w:val="13"/>
                <w:szCs w:val="13"/>
              </w:rPr>
            </w:pPr>
            <w:r w:rsidRPr="000D3D0C">
              <w:rPr>
                <w:color w:val="000000"/>
                <w:sz w:val="13"/>
                <w:szCs w:val="13"/>
              </w:rPr>
              <w:t xml:space="preserve">г. </w:t>
            </w:r>
            <w:proofErr w:type="gramStart"/>
            <w:r w:rsidRPr="000D3D0C">
              <w:rPr>
                <w:color w:val="000000"/>
                <w:sz w:val="13"/>
                <w:szCs w:val="13"/>
              </w:rPr>
              <w:t xml:space="preserve">Тайга,   </w:t>
            </w:r>
            <w:proofErr w:type="gramEnd"/>
            <w:r w:rsidRPr="000D3D0C">
              <w:rPr>
                <w:color w:val="000000"/>
                <w:sz w:val="13"/>
                <w:szCs w:val="13"/>
              </w:rPr>
              <w:t xml:space="preserve">               ул.Таежная,д.11.             Котельная Центральная</w:t>
            </w:r>
            <w:r w:rsidRPr="000D3D0C">
              <w:rPr>
                <w:color w:val="000000"/>
                <w:sz w:val="13"/>
                <w:szCs w:val="13"/>
              </w:rPr>
              <w:tab/>
            </w:r>
          </w:p>
        </w:tc>
        <w:tc>
          <w:tcPr>
            <w:tcW w:w="336" w:type="pct"/>
            <w:tcBorders>
              <w:top w:val="nil"/>
              <w:left w:val="nil"/>
              <w:bottom w:val="single" w:sz="4" w:space="0" w:color="auto"/>
              <w:right w:val="single" w:sz="4" w:space="0" w:color="auto"/>
            </w:tcBorders>
            <w:shd w:val="clear" w:color="auto" w:fill="auto"/>
            <w:vAlign w:val="center"/>
          </w:tcPr>
          <w:p w14:paraId="2641F4CE" w14:textId="77777777" w:rsidR="004A0123" w:rsidRPr="000D3D0C" w:rsidRDefault="004A0123" w:rsidP="008A5C11">
            <w:pPr>
              <w:jc w:val="center"/>
              <w:rPr>
                <w:sz w:val="13"/>
                <w:szCs w:val="13"/>
              </w:rPr>
            </w:pPr>
            <w:r w:rsidRPr="000D3D0C">
              <w:rPr>
                <w:sz w:val="13"/>
                <w:szCs w:val="13"/>
              </w:rPr>
              <w:t>Износ</w:t>
            </w:r>
          </w:p>
        </w:tc>
        <w:tc>
          <w:tcPr>
            <w:tcW w:w="133" w:type="pct"/>
            <w:tcBorders>
              <w:top w:val="nil"/>
              <w:left w:val="nil"/>
              <w:bottom w:val="single" w:sz="4" w:space="0" w:color="auto"/>
              <w:right w:val="single" w:sz="4" w:space="0" w:color="auto"/>
            </w:tcBorders>
            <w:shd w:val="clear" w:color="auto" w:fill="auto"/>
            <w:vAlign w:val="center"/>
          </w:tcPr>
          <w:p w14:paraId="4B594B11" w14:textId="77777777" w:rsidR="004A0123" w:rsidRPr="000D3D0C" w:rsidRDefault="004A0123" w:rsidP="008A5C11">
            <w:pPr>
              <w:jc w:val="center"/>
              <w:rPr>
                <w:sz w:val="13"/>
                <w:szCs w:val="13"/>
              </w:rPr>
            </w:pPr>
            <w:r w:rsidRPr="000D3D0C">
              <w:rPr>
                <w:sz w:val="13"/>
                <w:szCs w:val="13"/>
              </w:rPr>
              <w:t>%</w:t>
            </w:r>
          </w:p>
        </w:tc>
        <w:tc>
          <w:tcPr>
            <w:tcW w:w="180" w:type="pct"/>
            <w:tcBorders>
              <w:top w:val="nil"/>
              <w:left w:val="single" w:sz="4" w:space="0" w:color="auto"/>
              <w:bottom w:val="single" w:sz="4" w:space="0" w:color="auto"/>
              <w:right w:val="single" w:sz="4" w:space="0" w:color="auto"/>
            </w:tcBorders>
            <w:shd w:val="clear" w:color="auto" w:fill="auto"/>
            <w:vAlign w:val="center"/>
          </w:tcPr>
          <w:p w14:paraId="3BA1A8E9" w14:textId="77777777" w:rsidR="004A0123" w:rsidRPr="000D3D0C" w:rsidRDefault="004A0123" w:rsidP="008A5C11">
            <w:pPr>
              <w:jc w:val="center"/>
              <w:rPr>
                <w:sz w:val="13"/>
                <w:szCs w:val="13"/>
              </w:rPr>
            </w:pPr>
            <w:r w:rsidRPr="000D3D0C">
              <w:rPr>
                <w:sz w:val="13"/>
                <w:szCs w:val="13"/>
              </w:rPr>
              <w:t>100</w:t>
            </w:r>
          </w:p>
        </w:tc>
        <w:tc>
          <w:tcPr>
            <w:tcW w:w="176" w:type="pct"/>
            <w:tcBorders>
              <w:top w:val="nil"/>
              <w:left w:val="nil"/>
              <w:bottom w:val="single" w:sz="4" w:space="0" w:color="auto"/>
              <w:right w:val="single" w:sz="4" w:space="0" w:color="auto"/>
            </w:tcBorders>
            <w:shd w:val="clear" w:color="auto" w:fill="auto"/>
            <w:vAlign w:val="center"/>
          </w:tcPr>
          <w:p w14:paraId="43D9D566" w14:textId="77777777" w:rsidR="004A0123" w:rsidRPr="000D3D0C" w:rsidRDefault="004A0123" w:rsidP="008A5C11">
            <w:pPr>
              <w:jc w:val="center"/>
              <w:rPr>
                <w:sz w:val="13"/>
                <w:szCs w:val="13"/>
              </w:rPr>
            </w:pPr>
            <w:r w:rsidRPr="000D3D0C">
              <w:rPr>
                <w:sz w:val="13"/>
                <w:szCs w:val="13"/>
              </w:rPr>
              <w:t>0</w:t>
            </w:r>
          </w:p>
        </w:tc>
        <w:tc>
          <w:tcPr>
            <w:tcW w:w="188" w:type="pct"/>
            <w:tcBorders>
              <w:top w:val="nil"/>
              <w:left w:val="nil"/>
              <w:bottom w:val="single" w:sz="4" w:space="0" w:color="auto"/>
              <w:right w:val="single" w:sz="4" w:space="0" w:color="auto"/>
            </w:tcBorders>
            <w:shd w:val="clear" w:color="auto" w:fill="auto"/>
            <w:vAlign w:val="center"/>
          </w:tcPr>
          <w:p w14:paraId="16DC9355" w14:textId="77777777" w:rsidR="004A0123" w:rsidRPr="000D3D0C" w:rsidRDefault="004A0123" w:rsidP="008A5C11">
            <w:pPr>
              <w:jc w:val="center"/>
              <w:rPr>
                <w:color w:val="000000"/>
                <w:sz w:val="13"/>
                <w:szCs w:val="13"/>
              </w:rPr>
            </w:pPr>
            <w:r w:rsidRPr="000D3D0C">
              <w:rPr>
                <w:color w:val="000000"/>
                <w:sz w:val="13"/>
                <w:szCs w:val="13"/>
              </w:rPr>
              <w:t>2030</w:t>
            </w:r>
          </w:p>
        </w:tc>
        <w:tc>
          <w:tcPr>
            <w:tcW w:w="186" w:type="pct"/>
            <w:tcBorders>
              <w:top w:val="nil"/>
              <w:left w:val="nil"/>
              <w:bottom w:val="single" w:sz="4" w:space="0" w:color="auto"/>
              <w:right w:val="single" w:sz="4" w:space="0" w:color="auto"/>
            </w:tcBorders>
            <w:shd w:val="clear" w:color="auto" w:fill="auto"/>
            <w:vAlign w:val="center"/>
          </w:tcPr>
          <w:p w14:paraId="270CDF39" w14:textId="77777777" w:rsidR="004A0123" w:rsidRPr="000D3D0C" w:rsidRDefault="004A0123" w:rsidP="008A5C11">
            <w:pPr>
              <w:jc w:val="center"/>
              <w:rPr>
                <w:color w:val="000000"/>
                <w:sz w:val="13"/>
                <w:szCs w:val="13"/>
              </w:rPr>
            </w:pPr>
            <w:r w:rsidRPr="000D3D0C">
              <w:rPr>
                <w:color w:val="000000"/>
                <w:sz w:val="13"/>
                <w:szCs w:val="13"/>
              </w:rPr>
              <w:t>2030</w:t>
            </w:r>
          </w:p>
        </w:tc>
        <w:tc>
          <w:tcPr>
            <w:tcW w:w="186" w:type="pct"/>
            <w:tcBorders>
              <w:top w:val="nil"/>
              <w:left w:val="nil"/>
              <w:bottom w:val="single" w:sz="4" w:space="0" w:color="auto"/>
              <w:right w:val="single" w:sz="4" w:space="0" w:color="auto"/>
            </w:tcBorders>
            <w:shd w:val="clear" w:color="auto" w:fill="auto"/>
            <w:vAlign w:val="center"/>
          </w:tcPr>
          <w:p w14:paraId="33DC6227" w14:textId="77777777" w:rsidR="004A0123" w:rsidRPr="000D3D0C" w:rsidRDefault="004A0123" w:rsidP="008A5C11">
            <w:pPr>
              <w:jc w:val="center"/>
              <w:rPr>
                <w:color w:val="000000"/>
                <w:sz w:val="13"/>
                <w:szCs w:val="13"/>
              </w:rPr>
            </w:pPr>
            <w:r w:rsidRPr="000D3D0C">
              <w:rPr>
                <w:color w:val="000000"/>
                <w:sz w:val="13"/>
                <w:szCs w:val="13"/>
              </w:rPr>
              <w:t>78701</w:t>
            </w:r>
          </w:p>
        </w:tc>
        <w:tc>
          <w:tcPr>
            <w:tcW w:w="186" w:type="pct"/>
            <w:tcBorders>
              <w:top w:val="nil"/>
              <w:left w:val="nil"/>
              <w:bottom w:val="single" w:sz="4" w:space="0" w:color="auto"/>
              <w:right w:val="single" w:sz="4" w:space="0" w:color="auto"/>
            </w:tcBorders>
            <w:shd w:val="clear" w:color="auto" w:fill="auto"/>
            <w:vAlign w:val="center"/>
          </w:tcPr>
          <w:p w14:paraId="28AE40D8" w14:textId="77777777" w:rsidR="004A0123" w:rsidRPr="000D3D0C" w:rsidRDefault="004A0123" w:rsidP="008A5C11">
            <w:pPr>
              <w:jc w:val="center"/>
              <w:rPr>
                <w:sz w:val="13"/>
                <w:szCs w:val="13"/>
              </w:rPr>
            </w:pPr>
            <w:r w:rsidRPr="000D3D0C">
              <w:rPr>
                <w:sz w:val="13"/>
                <w:szCs w:val="13"/>
              </w:rPr>
              <w:t>0</w:t>
            </w:r>
          </w:p>
        </w:tc>
        <w:tc>
          <w:tcPr>
            <w:tcW w:w="145" w:type="pct"/>
            <w:tcBorders>
              <w:top w:val="nil"/>
              <w:left w:val="single" w:sz="4" w:space="0" w:color="auto"/>
              <w:bottom w:val="single" w:sz="4" w:space="0" w:color="auto"/>
              <w:right w:val="single" w:sz="4" w:space="0" w:color="auto"/>
            </w:tcBorders>
            <w:shd w:val="clear" w:color="auto" w:fill="auto"/>
            <w:vAlign w:val="center"/>
          </w:tcPr>
          <w:p w14:paraId="3FFA6DAB" w14:textId="77777777" w:rsidR="004A0123" w:rsidRPr="000D3D0C" w:rsidRDefault="004A0123" w:rsidP="008A5C11">
            <w:pPr>
              <w:jc w:val="center"/>
              <w:rPr>
                <w:sz w:val="13"/>
                <w:szCs w:val="13"/>
              </w:rPr>
            </w:pPr>
            <w:r w:rsidRPr="000D3D0C">
              <w:rPr>
                <w:sz w:val="13"/>
                <w:szCs w:val="13"/>
              </w:rPr>
              <w:t>0</w:t>
            </w:r>
          </w:p>
        </w:tc>
        <w:tc>
          <w:tcPr>
            <w:tcW w:w="148" w:type="pct"/>
            <w:tcBorders>
              <w:top w:val="nil"/>
              <w:left w:val="nil"/>
              <w:bottom w:val="single" w:sz="4" w:space="0" w:color="auto"/>
              <w:right w:val="single" w:sz="4" w:space="0" w:color="auto"/>
            </w:tcBorders>
            <w:shd w:val="clear" w:color="auto" w:fill="auto"/>
            <w:vAlign w:val="center"/>
          </w:tcPr>
          <w:p w14:paraId="054E12BD" w14:textId="77777777" w:rsidR="004A0123" w:rsidRPr="000D3D0C" w:rsidRDefault="004A0123" w:rsidP="008A5C11">
            <w:pPr>
              <w:jc w:val="center"/>
              <w:rPr>
                <w:sz w:val="13"/>
                <w:szCs w:val="13"/>
              </w:rPr>
            </w:pPr>
            <w:r w:rsidRPr="000D3D0C">
              <w:rPr>
                <w:sz w:val="13"/>
                <w:szCs w:val="13"/>
              </w:rPr>
              <w:t>0</w:t>
            </w:r>
          </w:p>
        </w:tc>
        <w:tc>
          <w:tcPr>
            <w:tcW w:w="181" w:type="pct"/>
            <w:tcBorders>
              <w:top w:val="nil"/>
              <w:left w:val="nil"/>
              <w:bottom w:val="single" w:sz="4" w:space="0" w:color="auto"/>
              <w:right w:val="single" w:sz="4" w:space="0" w:color="auto"/>
            </w:tcBorders>
            <w:shd w:val="clear" w:color="auto" w:fill="auto"/>
            <w:vAlign w:val="center"/>
          </w:tcPr>
          <w:p w14:paraId="1F31996E" w14:textId="77777777" w:rsidR="004A0123" w:rsidRPr="000D3D0C" w:rsidRDefault="004A0123" w:rsidP="008A5C11">
            <w:pPr>
              <w:jc w:val="center"/>
              <w:rPr>
                <w:sz w:val="13"/>
                <w:szCs w:val="13"/>
              </w:rPr>
            </w:pPr>
            <w:r w:rsidRPr="000D3D0C">
              <w:rPr>
                <w:sz w:val="13"/>
                <w:szCs w:val="13"/>
              </w:rPr>
              <w:t>0</w:t>
            </w:r>
          </w:p>
        </w:tc>
        <w:tc>
          <w:tcPr>
            <w:tcW w:w="181" w:type="pct"/>
            <w:tcBorders>
              <w:top w:val="nil"/>
              <w:left w:val="nil"/>
              <w:bottom w:val="single" w:sz="4" w:space="0" w:color="auto"/>
              <w:right w:val="single" w:sz="4" w:space="0" w:color="auto"/>
            </w:tcBorders>
            <w:shd w:val="clear" w:color="auto" w:fill="auto"/>
            <w:vAlign w:val="center"/>
          </w:tcPr>
          <w:p w14:paraId="4CD7D05A" w14:textId="77777777" w:rsidR="004A0123" w:rsidRPr="000D3D0C" w:rsidRDefault="004A0123" w:rsidP="008A5C11">
            <w:pPr>
              <w:jc w:val="center"/>
              <w:rPr>
                <w:sz w:val="13"/>
                <w:szCs w:val="13"/>
              </w:rPr>
            </w:pPr>
            <w:r w:rsidRPr="000D3D0C">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0E60D9CD" w14:textId="77777777" w:rsidR="004A0123" w:rsidRPr="000D3D0C" w:rsidRDefault="004A0123" w:rsidP="008A5C11">
            <w:pPr>
              <w:jc w:val="center"/>
              <w:rPr>
                <w:sz w:val="13"/>
                <w:szCs w:val="13"/>
              </w:rPr>
            </w:pPr>
            <w:r w:rsidRPr="000D3D0C">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34903D6E" w14:textId="77777777" w:rsidR="004A0123" w:rsidRPr="000D3D0C" w:rsidRDefault="004A0123" w:rsidP="008A5C11">
            <w:pPr>
              <w:jc w:val="center"/>
              <w:rPr>
                <w:sz w:val="13"/>
                <w:szCs w:val="13"/>
              </w:rPr>
            </w:pPr>
            <w:r w:rsidRPr="000D3D0C">
              <w:rPr>
                <w:sz w:val="13"/>
                <w:szCs w:val="13"/>
              </w:rPr>
              <w:t>0</w:t>
            </w:r>
          </w:p>
        </w:tc>
        <w:tc>
          <w:tcPr>
            <w:tcW w:w="158" w:type="pct"/>
            <w:tcBorders>
              <w:top w:val="single" w:sz="4" w:space="0" w:color="auto"/>
              <w:left w:val="single" w:sz="4" w:space="0" w:color="auto"/>
              <w:bottom w:val="single" w:sz="4" w:space="0" w:color="auto"/>
              <w:right w:val="single" w:sz="4" w:space="0" w:color="auto"/>
            </w:tcBorders>
            <w:vAlign w:val="center"/>
          </w:tcPr>
          <w:p w14:paraId="1C916208" w14:textId="77777777" w:rsidR="004A0123" w:rsidRPr="000D3D0C" w:rsidRDefault="004A0123" w:rsidP="008A5C11">
            <w:pPr>
              <w:jc w:val="center"/>
              <w:rPr>
                <w:sz w:val="13"/>
                <w:szCs w:val="13"/>
              </w:rPr>
            </w:pPr>
            <w:r w:rsidRPr="000D3D0C">
              <w:rPr>
                <w:sz w:val="13"/>
                <w:szCs w:val="13"/>
              </w:rPr>
              <w:t>0</w:t>
            </w:r>
          </w:p>
        </w:tc>
        <w:tc>
          <w:tcPr>
            <w:tcW w:w="172" w:type="pct"/>
            <w:tcBorders>
              <w:top w:val="single" w:sz="4" w:space="0" w:color="auto"/>
              <w:left w:val="single" w:sz="4" w:space="0" w:color="auto"/>
              <w:bottom w:val="single" w:sz="4" w:space="0" w:color="auto"/>
              <w:right w:val="single" w:sz="4" w:space="0" w:color="auto"/>
            </w:tcBorders>
            <w:vAlign w:val="center"/>
          </w:tcPr>
          <w:p w14:paraId="106A81CF" w14:textId="77777777" w:rsidR="004A0123" w:rsidRPr="000D3D0C" w:rsidRDefault="004A0123" w:rsidP="008A5C11">
            <w:pPr>
              <w:jc w:val="center"/>
              <w:rPr>
                <w:sz w:val="13"/>
                <w:szCs w:val="13"/>
              </w:rPr>
            </w:pPr>
            <w:r w:rsidRPr="000D3D0C">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61029ED1" w14:textId="77777777" w:rsidR="004A0123" w:rsidRPr="000D3D0C" w:rsidRDefault="004A0123" w:rsidP="008A5C11">
            <w:pPr>
              <w:jc w:val="center"/>
              <w:rPr>
                <w:sz w:val="13"/>
                <w:szCs w:val="13"/>
              </w:rPr>
            </w:pPr>
            <w:r w:rsidRPr="000D3D0C">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3C938FBE" w14:textId="77777777" w:rsidR="004A0123" w:rsidRPr="000D3D0C" w:rsidRDefault="004A0123" w:rsidP="008A5C11">
            <w:pPr>
              <w:jc w:val="center"/>
              <w:rPr>
                <w:sz w:val="13"/>
                <w:szCs w:val="13"/>
              </w:rPr>
            </w:pPr>
            <w:r w:rsidRPr="000D3D0C">
              <w:rPr>
                <w:sz w:val="13"/>
                <w:szCs w:val="13"/>
              </w:rPr>
              <w:t>78701</w:t>
            </w:r>
          </w:p>
        </w:tc>
        <w:tc>
          <w:tcPr>
            <w:tcW w:w="181" w:type="pct"/>
            <w:tcBorders>
              <w:top w:val="single" w:sz="4" w:space="0" w:color="auto"/>
              <w:left w:val="single" w:sz="4" w:space="0" w:color="auto"/>
              <w:bottom w:val="single" w:sz="4" w:space="0" w:color="auto"/>
              <w:right w:val="single" w:sz="4" w:space="0" w:color="auto"/>
            </w:tcBorders>
            <w:vAlign w:val="center"/>
          </w:tcPr>
          <w:p w14:paraId="03FE415F" w14:textId="77777777" w:rsidR="004A0123" w:rsidRPr="000D3D0C" w:rsidRDefault="004A0123" w:rsidP="008A5C11">
            <w:pPr>
              <w:jc w:val="center"/>
              <w:rPr>
                <w:sz w:val="13"/>
                <w:szCs w:val="13"/>
              </w:rPr>
            </w:pPr>
            <w:r w:rsidRPr="000D3D0C">
              <w:rPr>
                <w:sz w:val="13"/>
                <w:szCs w:val="13"/>
              </w:rPr>
              <w:t>0</w:t>
            </w:r>
          </w:p>
        </w:tc>
        <w:tc>
          <w:tcPr>
            <w:tcW w:w="178" w:type="pct"/>
            <w:tcBorders>
              <w:top w:val="single" w:sz="4" w:space="0" w:color="auto"/>
              <w:left w:val="single" w:sz="4" w:space="0" w:color="auto"/>
              <w:bottom w:val="single" w:sz="4" w:space="0" w:color="auto"/>
              <w:right w:val="single" w:sz="4" w:space="0" w:color="auto"/>
            </w:tcBorders>
            <w:vAlign w:val="center"/>
          </w:tcPr>
          <w:p w14:paraId="4C1E88B7" w14:textId="77777777" w:rsidR="004A0123" w:rsidRPr="000D3D0C" w:rsidRDefault="004A0123" w:rsidP="008A5C11">
            <w:pPr>
              <w:jc w:val="center"/>
              <w:rPr>
                <w:sz w:val="13"/>
                <w:szCs w:val="13"/>
              </w:rPr>
            </w:pPr>
            <w:r w:rsidRPr="000D3D0C">
              <w:rPr>
                <w:sz w:val="13"/>
                <w:szCs w:val="13"/>
              </w:rPr>
              <w:t>0</w:t>
            </w:r>
          </w:p>
        </w:tc>
      </w:tr>
      <w:tr w:rsidR="004A0123" w:rsidRPr="000D3D0C" w14:paraId="7350D7C1" w14:textId="77777777" w:rsidTr="008A5C11">
        <w:trPr>
          <w:trHeight w:val="70"/>
        </w:trPr>
        <w:tc>
          <w:tcPr>
            <w:tcW w:w="147" w:type="pct"/>
            <w:tcBorders>
              <w:bottom w:val="single" w:sz="4" w:space="0" w:color="auto"/>
            </w:tcBorders>
            <w:shd w:val="clear" w:color="auto" w:fill="auto"/>
            <w:vAlign w:val="center"/>
          </w:tcPr>
          <w:p w14:paraId="3BFD74C0" w14:textId="77777777" w:rsidR="004A0123" w:rsidRPr="000D3D0C" w:rsidRDefault="004A0123" w:rsidP="008A5C11">
            <w:pPr>
              <w:jc w:val="center"/>
              <w:rPr>
                <w:sz w:val="13"/>
                <w:szCs w:val="13"/>
              </w:rPr>
            </w:pPr>
            <w:r w:rsidRPr="000D3D0C">
              <w:rPr>
                <w:sz w:val="13"/>
                <w:szCs w:val="13"/>
              </w:rPr>
              <w:t>3.2.5.</w:t>
            </w:r>
          </w:p>
        </w:tc>
        <w:tc>
          <w:tcPr>
            <w:tcW w:w="584" w:type="pct"/>
            <w:tcBorders>
              <w:top w:val="nil"/>
              <w:left w:val="single" w:sz="4" w:space="0" w:color="auto"/>
              <w:bottom w:val="single" w:sz="4" w:space="0" w:color="auto"/>
              <w:right w:val="single" w:sz="4" w:space="0" w:color="auto"/>
            </w:tcBorders>
            <w:shd w:val="clear" w:color="auto" w:fill="auto"/>
            <w:vAlign w:val="center"/>
          </w:tcPr>
          <w:p w14:paraId="0574C8FD" w14:textId="77777777" w:rsidR="004A0123" w:rsidRPr="000D3D0C" w:rsidRDefault="004A0123" w:rsidP="008A5C11">
            <w:pPr>
              <w:rPr>
                <w:color w:val="000000"/>
                <w:sz w:val="13"/>
                <w:szCs w:val="13"/>
              </w:rPr>
            </w:pPr>
            <w:r w:rsidRPr="000D3D0C">
              <w:rPr>
                <w:color w:val="000000"/>
                <w:sz w:val="13"/>
                <w:szCs w:val="13"/>
              </w:rPr>
              <w:t>Проектирование и установка системы АСУ ТП и частотных преобразователей</w:t>
            </w:r>
          </w:p>
        </w:tc>
        <w:tc>
          <w:tcPr>
            <w:tcW w:w="358" w:type="pct"/>
            <w:tcBorders>
              <w:top w:val="nil"/>
              <w:left w:val="nil"/>
              <w:bottom w:val="single" w:sz="4" w:space="0" w:color="auto"/>
              <w:right w:val="single" w:sz="4" w:space="0" w:color="auto"/>
            </w:tcBorders>
            <w:shd w:val="clear" w:color="auto" w:fill="auto"/>
            <w:vAlign w:val="center"/>
          </w:tcPr>
          <w:p w14:paraId="6C4F4037" w14:textId="77777777" w:rsidR="004A0123" w:rsidRPr="000D3D0C" w:rsidRDefault="004A0123" w:rsidP="008A5C11">
            <w:pPr>
              <w:jc w:val="center"/>
              <w:rPr>
                <w:color w:val="000000"/>
                <w:sz w:val="13"/>
                <w:szCs w:val="13"/>
              </w:rPr>
            </w:pPr>
            <w:r w:rsidRPr="000D3D0C">
              <w:rPr>
                <w:color w:val="000000"/>
                <w:sz w:val="13"/>
                <w:szCs w:val="13"/>
              </w:rPr>
              <w:t>Повышение надежности теплоснабжения</w:t>
            </w:r>
          </w:p>
        </w:tc>
        <w:tc>
          <w:tcPr>
            <w:tcW w:w="389" w:type="pct"/>
            <w:tcBorders>
              <w:top w:val="nil"/>
              <w:left w:val="nil"/>
              <w:bottom w:val="single" w:sz="4" w:space="0" w:color="auto"/>
              <w:right w:val="single" w:sz="4" w:space="0" w:color="auto"/>
            </w:tcBorders>
            <w:shd w:val="clear" w:color="auto" w:fill="auto"/>
            <w:vAlign w:val="center"/>
          </w:tcPr>
          <w:p w14:paraId="375F6190" w14:textId="77777777" w:rsidR="004A0123" w:rsidRPr="000D3D0C" w:rsidRDefault="004A0123" w:rsidP="008A5C11">
            <w:pPr>
              <w:jc w:val="center"/>
              <w:rPr>
                <w:color w:val="000000"/>
                <w:sz w:val="13"/>
                <w:szCs w:val="13"/>
              </w:rPr>
            </w:pPr>
            <w:r w:rsidRPr="000D3D0C">
              <w:rPr>
                <w:color w:val="000000"/>
                <w:sz w:val="13"/>
                <w:szCs w:val="13"/>
              </w:rPr>
              <w:t xml:space="preserve">г. </w:t>
            </w:r>
            <w:proofErr w:type="gramStart"/>
            <w:r w:rsidRPr="000D3D0C">
              <w:rPr>
                <w:color w:val="000000"/>
                <w:sz w:val="13"/>
                <w:szCs w:val="13"/>
              </w:rPr>
              <w:t xml:space="preserve">Тайга,   </w:t>
            </w:r>
            <w:proofErr w:type="gramEnd"/>
            <w:r w:rsidRPr="000D3D0C">
              <w:rPr>
                <w:color w:val="000000"/>
                <w:sz w:val="13"/>
                <w:szCs w:val="13"/>
              </w:rPr>
              <w:t xml:space="preserve">               ул.Таежная,д.11.             Котельная Центральная</w:t>
            </w:r>
            <w:r w:rsidRPr="000D3D0C">
              <w:rPr>
                <w:color w:val="000000"/>
                <w:sz w:val="13"/>
                <w:szCs w:val="13"/>
              </w:rPr>
              <w:tab/>
            </w:r>
          </w:p>
        </w:tc>
        <w:tc>
          <w:tcPr>
            <w:tcW w:w="336" w:type="pct"/>
            <w:tcBorders>
              <w:top w:val="nil"/>
              <w:left w:val="nil"/>
              <w:bottom w:val="single" w:sz="4" w:space="0" w:color="auto"/>
              <w:right w:val="single" w:sz="4" w:space="0" w:color="auto"/>
            </w:tcBorders>
            <w:shd w:val="clear" w:color="auto" w:fill="auto"/>
            <w:vAlign w:val="center"/>
          </w:tcPr>
          <w:p w14:paraId="612E9439" w14:textId="77777777" w:rsidR="004A0123" w:rsidRPr="000D3D0C" w:rsidRDefault="004A0123" w:rsidP="008A5C11">
            <w:pPr>
              <w:jc w:val="center"/>
              <w:rPr>
                <w:color w:val="000000"/>
                <w:sz w:val="13"/>
                <w:szCs w:val="13"/>
              </w:rPr>
            </w:pPr>
            <w:r w:rsidRPr="000D3D0C">
              <w:rPr>
                <w:color w:val="000000"/>
                <w:sz w:val="13"/>
                <w:szCs w:val="13"/>
              </w:rPr>
              <w:t>Количество</w:t>
            </w:r>
          </w:p>
        </w:tc>
        <w:tc>
          <w:tcPr>
            <w:tcW w:w="133" w:type="pct"/>
            <w:tcBorders>
              <w:top w:val="nil"/>
              <w:left w:val="nil"/>
              <w:bottom w:val="single" w:sz="4" w:space="0" w:color="auto"/>
              <w:right w:val="single" w:sz="4" w:space="0" w:color="auto"/>
            </w:tcBorders>
            <w:shd w:val="clear" w:color="auto" w:fill="auto"/>
            <w:vAlign w:val="center"/>
          </w:tcPr>
          <w:p w14:paraId="52F9306A" w14:textId="77777777" w:rsidR="004A0123" w:rsidRPr="000D3D0C" w:rsidRDefault="004A0123" w:rsidP="008A5C11">
            <w:pPr>
              <w:jc w:val="center"/>
              <w:rPr>
                <w:color w:val="000000"/>
                <w:sz w:val="13"/>
                <w:szCs w:val="13"/>
              </w:rPr>
            </w:pPr>
            <w:r w:rsidRPr="000D3D0C">
              <w:rPr>
                <w:color w:val="000000"/>
                <w:sz w:val="13"/>
                <w:szCs w:val="13"/>
              </w:rPr>
              <w:t>ед.</w:t>
            </w:r>
          </w:p>
        </w:tc>
        <w:tc>
          <w:tcPr>
            <w:tcW w:w="180" w:type="pct"/>
            <w:tcBorders>
              <w:top w:val="nil"/>
              <w:left w:val="single" w:sz="4" w:space="0" w:color="auto"/>
              <w:bottom w:val="single" w:sz="4" w:space="0" w:color="auto"/>
              <w:right w:val="single" w:sz="4" w:space="0" w:color="auto"/>
            </w:tcBorders>
            <w:shd w:val="clear" w:color="auto" w:fill="auto"/>
            <w:vAlign w:val="center"/>
          </w:tcPr>
          <w:p w14:paraId="3CC326F4" w14:textId="77777777" w:rsidR="004A0123" w:rsidRPr="000D3D0C" w:rsidRDefault="004A0123" w:rsidP="008A5C11">
            <w:pPr>
              <w:jc w:val="center"/>
              <w:rPr>
                <w:color w:val="000000"/>
                <w:sz w:val="13"/>
                <w:szCs w:val="13"/>
              </w:rPr>
            </w:pPr>
            <w:r w:rsidRPr="000D3D0C">
              <w:rPr>
                <w:color w:val="000000"/>
                <w:sz w:val="13"/>
                <w:szCs w:val="13"/>
              </w:rPr>
              <w:t>0</w:t>
            </w:r>
          </w:p>
        </w:tc>
        <w:tc>
          <w:tcPr>
            <w:tcW w:w="176" w:type="pct"/>
            <w:tcBorders>
              <w:top w:val="nil"/>
              <w:left w:val="nil"/>
              <w:bottom w:val="single" w:sz="4" w:space="0" w:color="auto"/>
              <w:right w:val="single" w:sz="4" w:space="0" w:color="auto"/>
            </w:tcBorders>
            <w:shd w:val="clear" w:color="auto" w:fill="auto"/>
            <w:vAlign w:val="center"/>
          </w:tcPr>
          <w:p w14:paraId="25BA2D51" w14:textId="77777777" w:rsidR="004A0123" w:rsidRPr="000D3D0C" w:rsidRDefault="004A0123" w:rsidP="008A5C11">
            <w:pPr>
              <w:jc w:val="center"/>
              <w:rPr>
                <w:color w:val="000000"/>
                <w:sz w:val="13"/>
                <w:szCs w:val="13"/>
              </w:rPr>
            </w:pPr>
            <w:r w:rsidRPr="000D3D0C">
              <w:rPr>
                <w:color w:val="000000"/>
                <w:sz w:val="13"/>
                <w:szCs w:val="13"/>
              </w:rPr>
              <w:t>4</w:t>
            </w:r>
          </w:p>
        </w:tc>
        <w:tc>
          <w:tcPr>
            <w:tcW w:w="188" w:type="pct"/>
            <w:tcBorders>
              <w:top w:val="nil"/>
              <w:left w:val="nil"/>
              <w:bottom w:val="single" w:sz="4" w:space="0" w:color="auto"/>
              <w:right w:val="single" w:sz="4" w:space="0" w:color="auto"/>
            </w:tcBorders>
            <w:shd w:val="clear" w:color="auto" w:fill="auto"/>
            <w:vAlign w:val="center"/>
          </w:tcPr>
          <w:p w14:paraId="72694B9F" w14:textId="77777777" w:rsidR="004A0123" w:rsidRPr="000D3D0C" w:rsidRDefault="004A0123" w:rsidP="008A5C11">
            <w:pPr>
              <w:jc w:val="center"/>
              <w:rPr>
                <w:color w:val="000000"/>
                <w:sz w:val="13"/>
                <w:szCs w:val="13"/>
              </w:rPr>
            </w:pPr>
            <w:r w:rsidRPr="000D3D0C">
              <w:rPr>
                <w:color w:val="000000"/>
                <w:sz w:val="13"/>
                <w:szCs w:val="13"/>
              </w:rPr>
              <w:t>2030</w:t>
            </w:r>
          </w:p>
        </w:tc>
        <w:tc>
          <w:tcPr>
            <w:tcW w:w="186" w:type="pct"/>
            <w:tcBorders>
              <w:top w:val="nil"/>
              <w:left w:val="nil"/>
              <w:bottom w:val="single" w:sz="4" w:space="0" w:color="auto"/>
              <w:right w:val="single" w:sz="4" w:space="0" w:color="auto"/>
            </w:tcBorders>
            <w:shd w:val="clear" w:color="auto" w:fill="auto"/>
            <w:vAlign w:val="center"/>
          </w:tcPr>
          <w:p w14:paraId="4C8712BD" w14:textId="77777777" w:rsidR="004A0123" w:rsidRPr="000D3D0C" w:rsidRDefault="004A0123" w:rsidP="008A5C11">
            <w:pPr>
              <w:jc w:val="center"/>
              <w:rPr>
                <w:color w:val="000000"/>
                <w:sz w:val="13"/>
                <w:szCs w:val="13"/>
              </w:rPr>
            </w:pPr>
            <w:r w:rsidRPr="000D3D0C">
              <w:rPr>
                <w:color w:val="000000"/>
                <w:sz w:val="13"/>
                <w:szCs w:val="13"/>
              </w:rPr>
              <w:t>2030</w:t>
            </w:r>
          </w:p>
        </w:tc>
        <w:tc>
          <w:tcPr>
            <w:tcW w:w="186" w:type="pct"/>
            <w:tcBorders>
              <w:top w:val="nil"/>
              <w:left w:val="nil"/>
              <w:bottom w:val="single" w:sz="4" w:space="0" w:color="auto"/>
              <w:right w:val="single" w:sz="4" w:space="0" w:color="auto"/>
            </w:tcBorders>
            <w:shd w:val="clear" w:color="auto" w:fill="auto"/>
            <w:vAlign w:val="center"/>
          </w:tcPr>
          <w:p w14:paraId="74E6BFCA" w14:textId="77777777" w:rsidR="004A0123" w:rsidRPr="000D3D0C" w:rsidRDefault="004A0123" w:rsidP="008A5C11">
            <w:pPr>
              <w:jc w:val="center"/>
              <w:rPr>
                <w:color w:val="000000"/>
                <w:sz w:val="13"/>
                <w:szCs w:val="13"/>
              </w:rPr>
            </w:pPr>
            <w:r w:rsidRPr="000D3D0C">
              <w:rPr>
                <w:color w:val="000000"/>
                <w:sz w:val="13"/>
                <w:szCs w:val="13"/>
              </w:rPr>
              <w:t>29183</w:t>
            </w:r>
          </w:p>
        </w:tc>
        <w:tc>
          <w:tcPr>
            <w:tcW w:w="186" w:type="pct"/>
            <w:tcBorders>
              <w:top w:val="nil"/>
              <w:left w:val="nil"/>
              <w:bottom w:val="single" w:sz="4" w:space="0" w:color="auto"/>
              <w:right w:val="single" w:sz="4" w:space="0" w:color="auto"/>
            </w:tcBorders>
            <w:shd w:val="clear" w:color="auto" w:fill="auto"/>
            <w:vAlign w:val="center"/>
          </w:tcPr>
          <w:p w14:paraId="53588E22" w14:textId="77777777" w:rsidR="004A0123" w:rsidRPr="000D3D0C" w:rsidRDefault="004A0123" w:rsidP="008A5C11">
            <w:pPr>
              <w:jc w:val="center"/>
              <w:rPr>
                <w:sz w:val="13"/>
                <w:szCs w:val="13"/>
              </w:rPr>
            </w:pPr>
            <w:r w:rsidRPr="000D3D0C">
              <w:rPr>
                <w:sz w:val="13"/>
                <w:szCs w:val="13"/>
              </w:rPr>
              <w:t>0</w:t>
            </w:r>
          </w:p>
        </w:tc>
        <w:tc>
          <w:tcPr>
            <w:tcW w:w="145" w:type="pct"/>
            <w:tcBorders>
              <w:top w:val="nil"/>
              <w:left w:val="single" w:sz="4" w:space="0" w:color="auto"/>
              <w:bottom w:val="single" w:sz="4" w:space="0" w:color="auto"/>
              <w:right w:val="single" w:sz="4" w:space="0" w:color="auto"/>
            </w:tcBorders>
            <w:shd w:val="clear" w:color="auto" w:fill="auto"/>
            <w:vAlign w:val="center"/>
          </w:tcPr>
          <w:p w14:paraId="0751A1F8" w14:textId="77777777" w:rsidR="004A0123" w:rsidRPr="000D3D0C" w:rsidRDefault="004A0123" w:rsidP="008A5C11">
            <w:pPr>
              <w:jc w:val="center"/>
              <w:rPr>
                <w:sz w:val="13"/>
                <w:szCs w:val="13"/>
              </w:rPr>
            </w:pPr>
            <w:r w:rsidRPr="000D3D0C">
              <w:rPr>
                <w:sz w:val="13"/>
                <w:szCs w:val="13"/>
              </w:rPr>
              <w:t>0</w:t>
            </w:r>
          </w:p>
        </w:tc>
        <w:tc>
          <w:tcPr>
            <w:tcW w:w="148" w:type="pct"/>
            <w:tcBorders>
              <w:top w:val="nil"/>
              <w:left w:val="nil"/>
              <w:bottom w:val="single" w:sz="4" w:space="0" w:color="auto"/>
              <w:right w:val="single" w:sz="4" w:space="0" w:color="auto"/>
            </w:tcBorders>
            <w:shd w:val="clear" w:color="auto" w:fill="auto"/>
            <w:vAlign w:val="center"/>
          </w:tcPr>
          <w:p w14:paraId="61BF64FC" w14:textId="77777777" w:rsidR="004A0123" w:rsidRPr="000D3D0C" w:rsidRDefault="004A0123" w:rsidP="008A5C11">
            <w:pPr>
              <w:jc w:val="center"/>
              <w:rPr>
                <w:sz w:val="13"/>
                <w:szCs w:val="13"/>
              </w:rPr>
            </w:pPr>
            <w:r w:rsidRPr="000D3D0C">
              <w:rPr>
                <w:sz w:val="13"/>
                <w:szCs w:val="13"/>
              </w:rPr>
              <w:t>0</w:t>
            </w:r>
          </w:p>
        </w:tc>
        <w:tc>
          <w:tcPr>
            <w:tcW w:w="181" w:type="pct"/>
            <w:tcBorders>
              <w:top w:val="nil"/>
              <w:left w:val="nil"/>
              <w:bottom w:val="single" w:sz="4" w:space="0" w:color="auto"/>
              <w:right w:val="single" w:sz="4" w:space="0" w:color="auto"/>
            </w:tcBorders>
            <w:shd w:val="clear" w:color="auto" w:fill="auto"/>
            <w:vAlign w:val="center"/>
          </w:tcPr>
          <w:p w14:paraId="0691F2BD" w14:textId="77777777" w:rsidR="004A0123" w:rsidRPr="000D3D0C" w:rsidRDefault="004A0123" w:rsidP="008A5C11">
            <w:pPr>
              <w:jc w:val="center"/>
              <w:rPr>
                <w:sz w:val="13"/>
                <w:szCs w:val="13"/>
              </w:rPr>
            </w:pPr>
            <w:r w:rsidRPr="000D3D0C">
              <w:rPr>
                <w:sz w:val="13"/>
                <w:szCs w:val="13"/>
              </w:rPr>
              <w:t>0</w:t>
            </w:r>
          </w:p>
        </w:tc>
        <w:tc>
          <w:tcPr>
            <w:tcW w:w="181" w:type="pct"/>
            <w:tcBorders>
              <w:top w:val="nil"/>
              <w:left w:val="nil"/>
              <w:bottom w:val="single" w:sz="4" w:space="0" w:color="auto"/>
              <w:right w:val="single" w:sz="4" w:space="0" w:color="auto"/>
            </w:tcBorders>
            <w:shd w:val="clear" w:color="auto" w:fill="auto"/>
            <w:vAlign w:val="center"/>
          </w:tcPr>
          <w:p w14:paraId="2819F250" w14:textId="77777777" w:rsidR="004A0123" w:rsidRPr="000D3D0C" w:rsidRDefault="004A0123" w:rsidP="008A5C11">
            <w:pPr>
              <w:jc w:val="center"/>
              <w:rPr>
                <w:sz w:val="13"/>
                <w:szCs w:val="13"/>
              </w:rPr>
            </w:pPr>
            <w:r w:rsidRPr="000D3D0C">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06719CA4" w14:textId="77777777" w:rsidR="004A0123" w:rsidRPr="000D3D0C" w:rsidRDefault="004A0123" w:rsidP="008A5C11">
            <w:pPr>
              <w:jc w:val="center"/>
              <w:rPr>
                <w:sz w:val="13"/>
                <w:szCs w:val="13"/>
              </w:rPr>
            </w:pPr>
            <w:r w:rsidRPr="000D3D0C">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4F92EE2F" w14:textId="77777777" w:rsidR="004A0123" w:rsidRPr="000D3D0C" w:rsidRDefault="004A0123" w:rsidP="008A5C11">
            <w:pPr>
              <w:jc w:val="center"/>
              <w:rPr>
                <w:sz w:val="13"/>
                <w:szCs w:val="13"/>
              </w:rPr>
            </w:pPr>
            <w:r w:rsidRPr="000D3D0C">
              <w:rPr>
                <w:sz w:val="13"/>
                <w:szCs w:val="13"/>
              </w:rPr>
              <w:t>0</w:t>
            </w:r>
          </w:p>
        </w:tc>
        <w:tc>
          <w:tcPr>
            <w:tcW w:w="158" w:type="pct"/>
            <w:tcBorders>
              <w:top w:val="single" w:sz="4" w:space="0" w:color="auto"/>
              <w:left w:val="single" w:sz="4" w:space="0" w:color="auto"/>
              <w:bottom w:val="single" w:sz="4" w:space="0" w:color="auto"/>
              <w:right w:val="single" w:sz="4" w:space="0" w:color="auto"/>
            </w:tcBorders>
            <w:vAlign w:val="center"/>
          </w:tcPr>
          <w:p w14:paraId="52C85A2A" w14:textId="77777777" w:rsidR="004A0123" w:rsidRPr="000D3D0C" w:rsidRDefault="004A0123" w:rsidP="008A5C11">
            <w:pPr>
              <w:jc w:val="center"/>
              <w:rPr>
                <w:sz w:val="13"/>
                <w:szCs w:val="13"/>
              </w:rPr>
            </w:pPr>
            <w:r w:rsidRPr="000D3D0C">
              <w:rPr>
                <w:sz w:val="13"/>
                <w:szCs w:val="13"/>
              </w:rPr>
              <w:t>0</w:t>
            </w:r>
          </w:p>
        </w:tc>
        <w:tc>
          <w:tcPr>
            <w:tcW w:w="172" w:type="pct"/>
            <w:tcBorders>
              <w:top w:val="single" w:sz="4" w:space="0" w:color="auto"/>
              <w:left w:val="single" w:sz="4" w:space="0" w:color="auto"/>
              <w:bottom w:val="single" w:sz="4" w:space="0" w:color="auto"/>
              <w:right w:val="single" w:sz="4" w:space="0" w:color="auto"/>
            </w:tcBorders>
            <w:vAlign w:val="center"/>
          </w:tcPr>
          <w:p w14:paraId="6B37D5F8" w14:textId="77777777" w:rsidR="004A0123" w:rsidRPr="000D3D0C" w:rsidRDefault="004A0123" w:rsidP="008A5C11">
            <w:pPr>
              <w:jc w:val="center"/>
              <w:rPr>
                <w:sz w:val="13"/>
                <w:szCs w:val="13"/>
              </w:rPr>
            </w:pPr>
            <w:r w:rsidRPr="000D3D0C">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58188DB1" w14:textId="77777777" w:rsidR="004A0123" w:rsidRPr="000D3D0C" w:rsidRDefault="004A0123" w:rsidP="008A5C11">
            <w:pPr>
              <w:jc w:val="center"/>
              <w:rPr>
                <w:sz w:val="13"/>
                <w:szCs w:val="13"/>
              </w:rPr>
            </w:pPr>
            <w:r w:rsidRPr="000D3D0C">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4100B038" w14:textId="77777777" w:rsidR="004A0123" w:rsidRPr="000D3D0C" w:rsidRDefault="004A0123" w:rsidP="008A5C11">
            <w:pPr>
              <w:jc w:val="center"/>
              <w:rPr>
                <w:sz w:val="13"/>
                <w:szCs w:val="13"/>
              </w:rPr>
            </w:pPr>
            <w:r w:rsidRPr="000D3D0C">
              <w:rPr>
                <w:sz w:val="13"/>
                <w:szCs w:val="13"/>
              </w:rPr>
              <w:t>29183</w:t>
            </w:r>
          </w:p>
        </w:tc>
        <w:tc>
          <w:tcPr>
            <w:tcW w:w="181" w:type="pct"/>
            <w:tcBorders>
              <w:top w:val="single" w:sz="4" w:space="0" w:color="auto"/>
              <w:left w:val="single" w:sz="4" w:space="0" w:color="auto"/>
              <w:bottom w:val="single" w:sz="4" w:space="0" w:color="auto"/>
              <w:right w:val="single" w:sz="4" w:space="0" w:color="auto"/>
            </w:tcBorders>
            <w:vAlign w:val="center"/>
          </w:tcPr>
          <w:p w14:paraId="527523EB" w14:textId="77777777" w:rsidR="004A0123" w:rsidRPr="000D3D0C" w:rsidRDefault="004A0123" w:rsidP="008A5C11">
            <w:pPr>
              <w:jc w:val="center"/>
              <w:rPr>
                <w:sz w:val="13"/>
                <w:szCs w:val="13"/>
              </w:rPr>
            </w:pPr>
            <w:r w:rsidRPr="000D3D0C">
              <w:rPr>
                <w:sz w:val="13"/>
                <w:szCs w:val="13"/>
              </w:rPr>
              <w:t>0</w:t>
            </w:r>
          </w:p>
        </w:tc>
        <w:tc>
          <w:tcPr>
            <w:tcW w:w="178" w:type="pct"/>
            <w:tcBorders>
              <w:top w:val="single" w:sz="4" w:space="0" w:color="auto"/>
              <w:left w:val="single" w:sz="4" w:space="0" w:color="auto"/>
              <w:bottom w:val="single" w:sz="4" w:space="0" w:color="auto"/>
              <w:right w:val="single" w:sz="4" w:space="0" w:color="auto"/>
            </w:tcBorders>
            <w:vAlign w:val="center"/>
          </w:tcPr>
          <w:p w14:paraId="72EFC476" w14:textId="77777777" w:rsidR="004A0123" w:rsidRPr="000D3D0C" w:rsidRDefault="004A0123" w:rsidP="008A5C11">
            <w:pPr>
              <w:jc w:val="center"/>
              <w:rPr>
                <w:sz w:val="13"/>
                <w:szCs w:val="13"/>
              </w:rPr>
            </w:pPr>
            <w:r w:rsidRPr="000D3D0C">
              <w:rPr>
                <w:sz w:val="13"/>
                <w:szCs w:val="13"/>
              </w:rPr>
              <w:t>0</w:t>
            </w:r>
          </w:p>
        </w:tc>
      </w:tr>
      <w:tr w:rsidR="004A0123" w:rsidRPr="000D3D0C" w14:paraId="171FBB56" w14:textId="77777777" w:rsidTr="008A5C11">
        <w:trPr>
          <w:trHeight w:val="306"/>
        </w:trPr>
        <w:tc>
          <w:tcPr>
            <w:tcW w:w="147" w:type="pct"/>
            <w:tcBorders>
              <w:top w:val="single" w:sz="4" w:space="0" w:color="auto"/>
              <w:left w:val="single" w:sz="4" w:space="0" w:color="auto"/>
              <w:bottom w:val="single" w:sz="4" w:space="0" w:color="auto"/>
              <w:right w:val="single" w:sz="4" w:space="0" w:color="auto"/>
            </w:tcBorders>
            <w:shd w:val="clear" w:color="auto" w:fill="auto"/>
            <w:vAlign w:val="center"/>
          </w:tcPr>
          <w:p w14:paraId="7F71EEBC" w14:textId="77777777" w:rsidR="004A0123" w:rsidRPr="000D3D0C" w:rsidRDefault="004A0123" w:rsidP="008A5C11">
            <w:pPr>
              <w:jc w:val="center"/>
              <w:rPr>
                <w:bCs/>
                <w:sz w:val="13"/>
                <w:szCs w:val="13"/>
              </w:rPr>
            </w:pPr>
            <w:r w:rsidRPr="000D3D0C">
              <w:rPr>
                <w:bCs/>
                <w:sz w:val="13"/>
                <w:szCs w:val="13"/>
              </w:rPr>
              <w:t>1</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50E0AA97" w14:textId="77777777" w:rsidR="004A0123" w:rsidRPr="000D3D0C" w:rsidRDefault="004A0123" w:rsidP="008A5C11">
            <w:pPr>
              <w:jc w:val="center"/>
              <w:rPr>
                <w:bCs/>
                <w:sz w:val="13"/>
                <w:szCs w:val="13"/>
              </w:rPr>
            </w:pPr>
            <w:r w:rsidRPr="000D3D0C">
              <w:rPr>
                <w:bCs/>
                <w:sz w:val="13"/>
                <w:szCs w:val="13"/>
              </w:rPr>
              <w:t>2</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55FD4C47" w14:textId="77777777" w:rsidR="004A0123" w:rsidRPr="000D3D0C" w:rsidRDefault="004A0123" w:rsidP="008A5C11">
            <w:pPr>
              <w:jc w:val="center"/>
              <w:rPr>
                <w:bCs/>
                <w:sz w:val="13"/>
                <w:szCs w:val="13"/>
              </w:rPr>
            </w:pPr>
            <w:r w:rsidRPr="000D3D0C">
              <w:rPr>
                <w:bCs/>
                <w:sz w:val="13"/>
                <w:szCs w:val="13"/>
              </w:rPr>
              <w:t>3</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14:paraId="71642F6F" w14:textId="77777777" w:rsidR="004A0123" w:rsidRPr="000D3D0C" w:rsidRDefault="004A0123" w:rsidP="008A5C11">
            <w:pPr>
              <w:jc w:val="center"/>
              <w:rPr>
                <w:bCs/>
                <w:sz w:val="13"/>
                <w:szCs w:val="13"/>
              </w:rPr>
            </w:pPr>
            <w:r w:rsidRPr="000D3D0C">
              <w:rPr>
                <w:bCs/>
                <w:sz w:val="13"/>
                <w:szCs w:val="13"/>
              </w:rPr>
              <w:t>4</w:t>
            </w:r>
          </w:p>
        </w:tc>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14:paraId="2B7CA7E4" w14:textId="77777777" w:rsidR="004A0123" w:rsidRPr="000D3D0C" w:rsidRDefault="004A0123" w:rsidP="008A5C11">
            <w:pPr>
              <w:jc w:val="center"/>
              <w:rPr>
                <w:bCs/>
                <w:sz w:val="13"/>
                <w:szCs w:val="13"/>
              </w:rPr>
            </w:pPr>
            <w:r w:rsidRPr="000D3D0C">
              <w:rPr>
                <w:bCs/>
                <w:sz w:val="13"/>
                <w:szCs w:val="13"/>
              </w:rPr>
              <w:t>5</w:t>
            </w:r>
          </w:p>
        </w:tc>
        <w:tc>
          <w:tcPr>
            <w:tcW w:w="133" w:type="pct"/>
            <w:tcBorders>
              <w:top w:val="single" w:sz="4" w:space="0" w:color="auto"/>
              <w:left w:val="single" w:sz="4" w:space="0" w:color="auto"/>
              <w:bottom w:val="single" w:sz="4" w:space="0" w:color="auto"/>
              <w:right w:val="single" w:sz="4" w:space="0" w:color="auto"/>
            </w:tcBorders>
            <w:shd w:val="clear" w:color="auto" w:fill="auto"/>
            <w:vAlign w:val="center"/>
          </w:tcPr>
          <w:p w14:paraId="6841A553" w14:textId="77777777" w:rsidR="004A0123" w:rsidRPr="000D3D0C" w:rsidRDefault="004A0123" w:rsidP="008A5C11">
            <w:pPr>
              <w:jc w:val="center"/>
              <w:rPr>
                <w:bCs/>
                <w:sz w:val="13"/>
                <w:szCs w:val="13"/>
              </w:rPr>
            </w:pPr>
            <w:r w:rsidRPr="000D3D0C">
              <w:rPr>
                <w:bCs/>
                <w:sz w:val="13"/>
                <w:szCs w:val="13"/>
              </w:rPr>
              <w:t>6</w:t>
            </w:r>
          </w:p>
        </w:tc>
        <w:tc>
          <w:tcPr>
            <w:tcW w:w="180" w:type="pct"/>
            <w:tcBorders>
              <w:top w:val="single" w:sz="4" w:space="0" w:color="auto"/>
              <w:left w:val="single" w:sz="4" w:space="0" w:color="auto"/>
              <w:bottom w:val="single" w:sz="4" w:space="0" w:color="auto"/>
              <w:right w:val="single" w:sz="4" w:space="0" w:color="auto"/>
            </w:tcBorders>
            <w:shd w:val="clear" w:color="auto" w:fill="auto"/>
            <w:vAlign w:val="center"/>
          </w:tcPr>
          <w:p w14:paraId="397056A4" w14:textId="77777777" w:rsidR="004A0123" w:rsidRPr="000D3D0C" w:rsidRDefault="004A0123" w:rsidP="008A5C11">
            <w:pPr>
              <w:jc w:val="center"/>
              <w:rPr>
                <w:bCs/>
                <w:sz w:val="13"/>
                <w:szCs w:val="13"/>
              </w:rPr>
            </w:pPr>
            <w:r w:rsidRPr="000D3D0C">
              <w:rPr>
                <w:bCs/>
                <w:sz w:val="13"/>
                <w:szCs w:val="13"/>
              </w:rPr>
              <w:t>7</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25B8A43A" w14:textId="77777777" w:rsidR="004A0123" w:rsidRPr="000D3D0C" w:rsidRDefault="004A0123" w:rsidP="008A5C11">
            <w:pPr>
              <w:jc w:val="center"/>
              <w:rPr>
                <w:bCs/>
                <w:sz w:val="13"/>
                <w:szCs w:val="13"/>
              </w:rPr>
            </w:pPr>
            <w:r w:rsidRPr="000D3D0C">
              <w:rPr>
                <w:bCs/>
                <w:sz w:val="13"/>
                <w:szCs w:val="13"/>
              </w:rPr>
              <w:t>8</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78105F6" w14:textId="77777777" w:rsidR="004A0123" w:rsidRPr="000D3D0C" w:rsidRDefault="004A0123" w:rsidP="008A5C11">
            <w:pPr>
              <w:jc w:val="center"/>
              <w:rPr>
                <w:bCs/>
                <w:sz w:val="13"/>
                <w:szCs w:val="13"/>
              </w:rPr>
            </w:pPr>
            <w:r w:rsidRPr="000D3D0C">
              <w:rPr>
                <w:bCs/>
                <w:sz w:val="13"/>
                <w:szCs w:val="13"/>
              </w:rPr>
              <w:t>9</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6BCE6D61" w14:textId="77777777" w:rsidR="004A0123" w:rsidRPr="000D3D0C" w:rsidRDefault="004A0123" w:rsidP="008A5C11">
            <w:pPr>
              <w:jc w:val="center"/>
              <w:rPr>
                <w:bCs/>
                <w:sz w:val="13"/>
                <w:szCs w:val="13"/>
              </w:rPr>
            </w:pPr>
            <w:r w:rsidRPr="000D3D0C">
              <w:rPr>
                <w:bCs/>
                <w:sz w:val="13"/>
                <w:szCs w:val="13"/>
              </w:rPr>
              <w:t>10</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69471939" w14:textId="77777777" w:rsidR="004A0123" w:rsidRPr="000D3D0C" w:rsidRDefault="004A0123" w:rsidP="008A5C11">
            <w:pPr>
              <w:jc w:val="center"/>
              <w:rPr>
                <w:bCs/>
                <w:sz w:val="13"/>
                <w:szCs w:val="13"/>
              </w:rPr>
            </w:pPr>
            <w:r w:rsidRPr="000D3D0C">
              <w:rPr>
                <w:bCs/>
                <w:sz w:val="13"/>
                <w:szCs w:val="13"/>
              </w:rPr>
              <w:t>11</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679F8AA1" w14:textId="77777777" w:rsidR="004A0123" w:rsidRPr="000D3D0C" w:rsidRDefault="004A0123" w:rsidP="008A5C11">
            <w:pPr>
              <w:jc w:val="center"/>
              <w:rPr>
                <w:bCs/>
                <w:sz w:val="13"/>
                <w:szCs w:val="13"/>
              </w:rPr>
            </w:pPr>
            <w:r w:rsidRPr="000D3D0C">
              <w:rPr>
                <w:bCs/>
                <w:sz w:val="13"/>
                <w:szCs w:val="13"/>
              </w:rPr>
              <w:t>12</w:t>
            </w:r>
          </w:p>
        </w:tc>
        <w:tc>
          <w:tcPr>
            <w:tcW w:w="145" w:type="pct"/>
            <w:tcBorders>
              <w:top w:val="single" w:sz="4" w:space="0" w:color="auto"/>
              <w:left w:val="single" w:sz="4" w:space="0" w:color="auto"/>
              <w:bottom w:val="single" w:sz="4" w:space="0" w:color="auto"/>
              <w:right w:val="single" w:sz="4" w:space="0" w:color="auto"/>
            </w:tcBorders>
            <w:shd w:val="clear" w:color="auto" w:fill="auto"/>
            <w:vAlign w:val="center"/>
          </w:tcPr>
          <w:p w14:paraId="6E96240B" w14:textId="77777777" w:rsidR="004A0123" w:rsidRPr="000D3D0C" w:rsidRDefault="004A0123" w:rsidP="008A5C11">
            <w:pPr>
              <w:jc w:val="center"/>
              <w:rPr>
                <w:bCs/>
                <w:sz w:val="13"/>
                <w:szCs w:val="13"/>
              </w:rPr>
            </w:pPr>
            <w:r w:rsidRPr="000D3D0C">
              <w:rPr>
                <w:bCs/>
                <w:sz w:val="13"/>
                <w:szCs w:val="13"/>
              </w:rPr>
              <w:t>13</w:t>
            </w:r>
          </w:p>
        </w:tc>
        <w:tc>
          <w:tcPr>
            <w:tcW w:w="148" w:type="pct"/>
            <w:tcBorders>
              <w:top w:val="single" w:sz="4" w:space="0" w:color="auto"/>
              <w:left w:val="single" w:sz="4" w:space="0" w:color="auto"/>
              <w:bottom w:val="single" w:sz="4" w:space="0" w:color="auto"/>
              <w:right w:val="single" w:sz="4" w:space="0" w:color="auto"/>
            </w:tcBorders>
            <w:shd w:val="clear" w:color="auto" w:fill="auto"/>
            <w:vAlign w:val="center"/>
          </w:tcPr>
          <w:p w14:paraId="10F1A6DF" w14:textId="77777777" w:rsidR="004A0123" w:rsidRPr="000D3D0C" w:rsidRDefault="004A0123" w:rsidP="008A5C11">
            <w:pPr>
              <w:jc w:val="center"/>
              <w:rPr>
                <w:bCs/>
                <w:sz w:val="13"/>
                <w:szCs w:val="13"/>
              </w:rPr>
            </w:pPr>
            <w:r w:rsidRPr="000D3D0C">
              <w:rPr>
                <w:bCs/>
                <w:sz w:val="13"/>
                <w:szCs w:val="13"/>
              </w:rPr>
              <w:t>14</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219B69A4" w14:textId="77777777" w:rsidR="004A0123" w:rsidRPr="000D3D0C" w:rsidRDefault="004A0123" w:rsidP="008A5C11">
            <w:pPr>
              <w:jc w:val="center"/>
              <w:rPr>
                <w:bCs/>
                <w:sz w:val="13"/>
                <w:szCs w:val="13"/>
              </w:rPr>
            </w:pPr>
            <w:r w:rsidRPr="000D3D0C">
              <w:rPr>
                <w:bCs/>
                <w:sz w:val="13"/>
                <w:szCs w:val="13"/>
              </w:rPr>
              <w:t>15</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62308DFF" w14:textId="77777777" w:rsidR="004A0123" w:rsidRPr="000D3D0C" w:rsidRDefault="004A0123" w:rsidP="008A5C11">
            <w:pPr>
              <w:jc w:val="center"/>
              <w:rPr>
                <w:bCs/>
                <w:sz w:val="13"/>
                <w:szCs w:val="13"/>
              </w:rPr>
            </w:pPr>
            <w:r w:rsidRPr="000D3D0C">
              <w:rPr>
                <w:bCs/>
                <w:sz w:val="13"/>
                <w:szCs w:val="13"/>
              </w:rPr>
              <w:t>16</w:t>
            </w:r>
          </w:p>
        </w:tc>
        <w:tc>
          <w:tcPr>
            <w:tcW w:w="153" w:type="pct"/>
            <w:tcBorders>
              <w:top w:val="single" w:sz="4" w:space="0" w:color="auto"/>
              <w:left w:val="single" w:sz="4" w:space="0" w:color="auto"/>
              <w:bottom w:val="single" w:sz="4" w:space="0" w:color="auto"/>
              <w:right w:val="single" w:sz="4" w:space="0" w:color="auto"/>
            </w:tcBorders>
            <w:vAlign w:val="center"/>
          </w:tcPr>
          <w:p w14:paraId="7BC44C2B" w14:textId="77777777" w:rsidR="004A0123" w:rsidRPr="000D3D0C" w:rsidRDefault="004A0123" w:rsidP="008A5C11">
            <w:pPr>
              <w:jc w:val="center"/>
              <w:rPr>
                <w:bCs/>
                <w:sz w:val="13"/>
                <w:szCs w:val="13"/>
              </w:rPr>
            </w:pPr>
            <w:r w:rsidRPr="000D3D0C">
              <w:rPr>
                <w:bCs/>
                <w:sz w:val="13"/>
                <w:szCs w:val="13"/>
              </w:rPr>
              <w:t>17</w:t>
            </w:r>
          </w:p>
        </w:tc>
        <w:tc>
          <w:tcPr>
            <w:tcW w:w="153" w:type="pct"/>
            <w:tcBorders>
              <w:top w:val="single" w:sz="4" w:space="0" w:color="auto"/>
              <w:left w:val="single" w:sz="4" w:space="0" w:color="auto"/>
              <w:bottom w:val="single" w:sz="4" w:space="0" w:color="auto"/>
              <w:right w:val="single" w:sz="4" w:space="0" w:color="auto"/>
            </w:tcBorders>
            <w:vAlign w:val="center"/>
          </w:tcPr>
          <w:p w14:paraId="34AB1A56" w14:textId="77777777" w:rsidR="004A0123" w:rsidRPr="000D3D0C" w:rsidRDefault="004A0123" w:rsidP="008A5C11">
            <w:pPr>
              <w:jc w:val="center"/>
              <w:rPr>
                <w:bCs/>
                <w:sz w:val="13"/>
                <w:szCs w:val="13"/>
              </w:rPr>
            </w:pPr>
            <w:r w:rsidRPr="000D3D0C">
              <w:rPr>
                <w:bCs/>
                <w:sz w:val="13"/>
                <w:szCs w:val="13"/>
              </w:rPr>
              <w:t>18</w:t>
            </w:r>
          </w:p>
        </w:tc>
        <w:tc>
          <w:tcPr>
            <w:tcW w:w="158" w:type="pct"/>
            <w:tcBorders>
              <w:top w:val="single" w:sz="4" w:space="0" w:color="auto"/>
              <w:left w:val="single" w:sz="4" w:space="0" w:color="auto"/>
              <w:bottom w:val="single" w:sz="4" w:space="0" w:color="auto"/>
              <w:right w:val="single" w:sz="4" w:space="0" w:color="auto"/>
            </w:tcBorders>
            <w:vAlign w:val="center"/>
          </w:tcPr>
          <w:p w14:paraId="231E33E1" w14:textId="77777777" w:rsidR="004A0123" w:rsidRPr="000D3D0C" w:rsidRDefault="004A0123" w:rsidP="008A5C11">
            <w:pPr>
              <w:jc w:val="center"/>
              <w:rPr>
                <w:bCs/>
                <w:sz w:val="13"/>
                <w:szCs w:val="13"/>
              </w:rPr>
            </w:pPr>
            <w:r w:rsidRPr="000D3D0C">
              <w:rPr>
                <w:bCs/>
                <w:sz w:val="13"/>
                <w:szCs w:val="13"/>
              </w:rPr>
              <w:t>19</w:t>
            </w:r>
          </w:p>
        </w:tc>
        <w:tc>
          <w:tcPr>
            <w:tcW w:w="172" w:type="pct"/>
            <w:tcBorders>
              <w:top w:val="single" w:sz="4" w:space="0" w:color="auto"/>
              <w:left w:val="single" w:sz="4" w:space="0" w:color="auto"/>
              <w:bottom w:val="single" w:sz="4" w:space="0" w:color="auto"/>
              <w:right w:val="single" w:sz="4" w:space="0" w:color="auto"/>
            </w:tcBorders>
            <w:vAlign w:val="center"/>
          </w:tcPr>
          <w:p w14:paraId="58B90206" w14:textId="77777777" w:rsidR="004A0123" w:rsidRPr="000D3D0C" w:rsidRDefault="004A0123" w:rsidP="008A5C11">
            <w:pPr>
              <w:jc w:val="center"/>
              <w:rPr>
                <w:bCs/>
                <w:sz w:val="13"/>
                <w:szCs w:val="13"/>
              </w:rPr>
            </w:pPr>
            <w:r w:rsidRPr="000D3D0C">
              <w:rPr>
                <w:bCs/>
                <w:sz w:val="13"/>
                <w:szCs w:val="13"/>
              </w:rPr>
              <w:t>20</w:t>
            </w:r>
          </w:p>
        </w:tc>
        <w:tc>
          <w:tcPr>
            <w:tcW w:w="155" w:type="pct"/>
            <w:tcBorders>
              <w:top w:val="single" w:sz="4" w:space="0" w:color="auto"/>
              <w:left w:val="single" w:sz="4" w:space="0" w:color="auto"/>
              <w:bottom w:val="single" w:sz="4" w:space="0" w:color="auto"/>
              <w:right w:val="single" w:sz="4" w:space="0" w:color="auto"/>
            </w:tcBorders>
            <w:vAlign w:val="center"/>
          </w:tcPr>
          <w:p w14:paraId="4C8F7E5D" w14:textId="77777777" w:rsidR="004A0123" w:rsidRPr="000D3D0C" w:rsidRDefault="004A0123" w:rsidP="008A5C11">
            <w:pPr>
              <w:jc w:val="center"/>
              <w:rPr>
                <w:bCs/>
                <w:sz w:val="13"/>
                <w:szCs w:val="13"/>
              </w:rPr>
            </w:pPr>
            <w:r w:rsidRPr="000D3D0C">
              <w:rPr>
                <w:bCs/>
                <w:sz w:val="13"/>
                <w:szCs w:val="13"/>
              </w:rPr>
              <w:t>21</w:t>
            </w:r>
          </w:p>
        </w:tc>
        <w:tc>
          <w:tcPr>
            <w:tcW w:w="146" w:type="pct"/>
            <w:tcBorders>
              <w:top w:val="single" w:sz="4" w:space="0" w:color="auto"/>
              <w:left w:val="single" w:sz="4" w:space="0" w:color="auto"/>
              <w:bottom w:val="single" w:sz="4" w:space="0" w:color="auto"/>
              <w:right w:val="single" w:sz="4" w:space="0" w:color="auto"/>
            </w:tcBorders>
            <w:vAlign w:val="center"/>
          </w:tcPr>
          <w:p w14:paraId="37EF9BFD" w14:textId="77777777" w:rsidR="004A0123" w:rsidRPr="000D3D0C" w:rsidRDefault="004A0123" w:rsidP="008A5C11">
            <w:pPr>
              <w:jc w:val="center"/>
              <w:rPr>
                <w:bCs/>
                <w:sz w:val="13"/>
                <w:szCs w:val="13"/>
              </w:rPr>
            </w:pPr>
            <w:r w:rsidRPr="000D3D0C">
              <w:rPr>
                <w:bCs/>
                <w:sz w:val="13"/>
                <w:szCs w:val="13"/>
              </w:rPr>
              <w:t>22</w:t>
            </w:r>
          </w:p>
        </w:tc>
        <w:tc>
          <w:tcPr>
            <w:tcW w:w="181" w:type="pct"/>
            <w:tcBorders>
              <w:top w:val="single" w:sz="4" w:space="0" w:color="auto"/>
              <w:left w:val="single" w:sz="4" w:space="0" w:color="auto"/>
              <w:bottom w:val="single" w:sz="4" w:space="0" w:color="auto"/>
              <w:right w:val="single" w:sz="4" w:space="0" w:color="auto"/>
            </w:tcBorders>
            <w:vAlign w:val="center"/>
          </w:tcPr>
          <w:p w14:paraId="7E400974" w14:textId="77777777" w:rsidR="004A0123" w:rsidRPr="000D3D0C" w:rsidRDefault="004A0123" w:rsidP="008A5C11">
            <w:pPr>
              <w:jc w:val="center"/>
              <w:rPr>
                <w:bCs/>
                <w:sz w:val="13"/>
                <w:szCs w:val="13"/>
              </w:rPr>
            </w:pPr>
            <w:r w:rsidRPr="000D3D0C">
              <w:rPr>
                <w:bCs/>
                <w:sz w:val="13"/>
                <w:szCs w:val="13"/>
              </w:rPr>
              <w:t>23</w:t>
            </w:r>
          </w:p>
        </w:tc>
        <w:tc>
          <w:tcPr>
            <w:tcW w:w="178" w:type="pct"/>
            <w:tcBorders>
              <w:top w:val="single" w:sz="4" w:space="0" w:color="auto"/>
              <w:left w:val="single" w:sz="4" w:space="0" w:color="auto"/>
              <w:bottom w:val="single" w:sz="4" w:space="0" w:color="auto"/>
              <w:right w:val="single" w:sz="4" w:space="0" w:color="auto"/>
            </w:tcBorders>
            <w:vAlign w:val="center"/>
          </w:tcPr>
          <w:p w14:paraId="79B7B174" w14:textId="77777777" w:rsidR="004A0123" w:rsidRPr="000D3D0C" w:rsidRDefault="004A0123" w:rsidP="008A5C11">
            <w:pPr>
              <w:jc w:val="center"/>
              <w:rPr>
                <w:bCs/>
                <w:sz w:val="13"/>
                <w:szCs w:val="13"/>
              </w:rPr>
            </w:pPr>
            <w:r w:rsidRPr="000D3D0C">
              <w:rPr>
                <w:bCs/>
                <w:sz w:val="13"/>
                <w:szCs w:val="13"/>
              </w:rPr>
              <w:t>24</w:t>
            </w:r>
          </w:p>
        </w:tc>
      </w:tr>
      <w:tr w:rsidR="004A0123" w:rsidRPr="000D3D0C" w14:paraId="34F588E9" w14:textId="77777777" w:rsidTr="008A5C11">
        <w:trPr>
          <w:trHeight w:val="921"/>
        </w:trPr>
        <w:tc>
          <w:tcPr>
            <w:tcW w:w="147" w:type="pct"/>
            <w:tcBorders>
              <w:top w:val="single" w:sz="4" w:space="0" w:color="auto"/>
            </w:tcBorders>
            <w:shd w:val="clear" w:color="auto" w:fill="auto"/>
            <w:vAlign w:val="center"/>
          </w:tcPr>
          <w:p w14:paraId="37628006" w14:textId="77777777" w:rsidR="004A0123" w:rsidRPr="000D3D0C" w:rsidRDefault="004A0123" w:rsidP="008A5C11">
            <w:pPr>
              <w:jc w:val="center"/>
              <w:rPr>
                <w:sz w:val="13"/>
                <w:szCs w:val="13"/>
              </w:rPr>
            </w:pPr>
            <w:r w:rsidRPr="000D3D0C">
              <w:rPr>
                <w:sz w:val="13"/>
                <w:szCs w:val="13"/>
              </w:rPr>
              <w:t>3.2.6.</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58D63F58" w14:textId="77777777" w:rsidR="004A0123" w:rsidRPr="000D3D0C" w:rsidRDefault="004A0123" w:rsidP="008A5C11">
            <w:pPr>
              <w:rPr>
                <w:color w:val="000000"/>
                <w:sz w:val="13"/>
                <w:szCs w:val="13"/>
              </w:rPr>
            </w:pPr>
            <w:r w:rsidRPr="000D3D0C">
              <w:rPr>
                <w:color w:val="000000"/>
                <w:sz w:val="13"/>
                <w:szCs w:val="13"/>
              </w:rPr>
              <w:t>Реконструкция угольного склада вместимостью 8000 тонн, с установкой грейферного и автомобильных весов</w:t>
            </w:r>
          </w:p>
        </w:tc>
        <w:tc>
          <w:tcPr>
            <w:tcW w:w="358" w:type="pct"/>
            <w:tcBorders>
              <w:top w:val="single" w:sz="4" w:space="0" w:color="auto"/>
              <w:left w:val="nil"/>
              <w:bottom w:val="single" w:sz="4" w:space="0" w:color="auto"/>
              <w:right w:val="single" w:sz="4" w:space="0" w:color="auto"/>
            </w:tcBorders>
            <w:shd w:val="clear" w:color="auto" w:fill="auto"/>
            <w:vAlign w:val="center"/>
          </w:tcPr>
          <w:p w14:paraId="2E48F2A7" w14:textId="77777777" w:rsidR="004A0123" w:rsidRPr="000D3D0C" w:rsidRDefault="004A0123" w:rsidP="008A5C11">
            <w:pPr>
              <w:jc w:val="center"/>
              <w:rPr>
                <w:color w:val="000000"/>
                <w:sz w:val="13"/>
                <w:szCs w:val="13"/>
              </w:rPr>
            </w:pPr>
            <w:r w:rsidRPr="000D3D0C">
              <w:rPr>
                <w:color w:val="000000"/>
                <w:sz w:val="13"/>
                <w:szCs w:val="13"/>
              </w:rPr>
              <w:t>Повышение надежности теплоснабжения</w:t>
            </w:r>
          </w:p>
        </w:tc>
        <w:tc>
          <w:tcPr>
            <w:tcW w:w="389" w:type="pct"/>
            <w:tcBorders>
              <w:top w:val="single" w:sz="4" w:space="0" w:color="auto"/>
              <w:left w:val="nil"/>
              <w:bottom w:val="single" w:sz="4" w:space="0" w:color="auto"/>
              <w:right w:val="single" w:sz="4" w:space="0" w:color="auto"/>
            </w:tcBorders>
            <w:shd w:val="clear" w:color="auto" w:fill="auto"/>
            <w:vAlign w:val="center"/>
          </w:tcPr>
          <w:p w14:paraId="3F91C8C9" w14:textId="77777777" w:rsidR="004A0123" w:rsidRPr="000D3D0C" w:rsidRDefault="004A0123" w:rsidP="008A5C11">
            <w:pPr>
              <w:jc w:val="center"/>
              <w:rPr>
                <w:color w:val="000000"/>
                <w:sz w:val="13"/>
                <w:szCs w:val="13"/>
              </w:rPr>
            </w:pPr>
            <w:r w:rsidRPr="000D3D0C">
              <w:rPr>
                <w:color w:val="000000"/>
                <w:sz w:val="13"/>
                <w:szCs w:val="13"/>
              </w:rPr>
              <w:t xml:space="preserve">г. </w:t>
            </w:r>
            <w:proofErr w:type="gramStart"/>
            <w:r w:rsidRPr="000D3D0C">
              <w:rPr>
                <w:color w:val="000000"/>
                <w:sz w:val="13"/>
                <w:szCs w:val="13"/>
              </w:rPr>
              <w:t xml:space="preserve">Тайга,   </w:t>
            </w:r>
            <w:proofErr w:type="gramEnd"/>
            <w:r w:rsidRPr="000D3D0C">
              <w:rPr>
                <w:color w:val="000000"/>
                <w:sz w:val="13"/>
                <w:szCs w:val="13"/>
              </w:rPr>
              <w:t xml:space="preserve">               ул.Таежная,д.11.             Котельная Центральная</w:t>
            </w:r>
            <w:r w:rsidRPr="000D3D0C">
              <w:rPr>
                <w:color w:val="000000"/>
                <w:sz w:val="13"/>
                <w:szCs w:val="13"/>
              </w:rPr>
              <w:tab/>
            </w:r>
          </w:p>
        </w:tc>
        <w:tc>
          <w:tcPr>
            <w:tcW w:w="336" w:type="pct"/>
            <w:tcBorders>
              <w:top w:val="single" w:sz="4" w:space="0" w:color="auto"/>
              <w:left w:val="nil"/>
              <w:bottom w:val="single" w:sz="4" w:space="0" w:color="auto"/>
              <w:right w:val="single" w:sz="4" w:space="0" w:color="auto"/>
            </w:tcBorders>
            <w:shd w:val="clear" w:color="auto" w:fill="auto"/>
            <w:vAlign w:val="center"/>
          </w:tcPr>
          <w:p w14:paraId="56D091DF" w14:textId="77777777" w:rsidR="004A0123" w:rsidRPr="000D3D0C" w:rsidRDefault="004A0123" w:rsidP="008A5C11">
            <w:pPr>
              <w:jc w:val="center"/>
              <w:rPr>
                <w:color w:val="000000"/>
                <w:sz w:val="13"/>
                <w:szCs w:val="13"/>
              </w:rPr>
            </w:pPr>
            <w:r w:rsidRPr="000D3D0C">
              <w:rPr>
                <w:color w:val="000000"/>
                <w:sz w:val="13"/>
                <w:szCs w:val="13"/>
              </w:rPr>
              <w:t>Вместимость</w:t>
            </w:r>
          </w:p>
        </w:tc>
        <w:tc>
          <w:tcPr>
            <w:tcW w:w="133" w:type="pct"/>
            <w:tcBorders>
              <w:top w:val="single" w:sz="4" w:space="0" w:color="auto"/>
              <w:left w:val="nil"/>
              <w:bottom w:val="single" w:sz="4" w:space="0" w:color="auto"/>
              <w:right w:val="single" w:sz="4" w:space="0" w:color="auto"/>
            </w:tcBorders>
            <w:shd w:val="clear" w:color="auto" w:fill="auto"/>
            <w:vAlign w:val="center"/>
          </w:tcPr>
          <w:p w14:paraId="1A790376" w14:textId="77777777" w:rsidR="004A0123" w:rsidRPr="000D3D0C" w:rsidRDefault="004A0123" w:rsidP="008A5C11">
            <w:pPr>
              <w:jc w:val="center"/>
              <w:rPr>
                <w:color w:val="000000"/>
                <w:sz w:val="13"/>
                <w:szCs w:val="13"/>
              </w:rPr>
            </w:pPr>
            <w:r w:rsidRPr="000D3D0C">
              <w:rPr>
                <w:color w:val="000000"/>
                <w:sz w:val="13"/>
                <w:szCs w:val="13"/>
              </w:rPr>
              <w:t>тн</w:t>
            </w:r>
          </w:p>
        </w:tc>
        <w:tc>
          <w:tcPr>
            <w:tcW w:w="180" w:type="pct"/>
            <w:tcBorders>
              <w:top w:val="single" w:sz="4" w:space="0" w:color="auto"/>
              <w:left w:val="single" w:sz="4" w:space="0" w:color="auto"/>
              <w:bottom w:val="single" w:sz="4" w:space="0" w:color="auto"/>
              <w:right w:val="single" w:sz="4" w:space="0" w:color="auto"/>
            </w:tcBorders>
            <w:shd w:val="clear" w:color="auto" w:fill="auto"/>
            <w:vAlign w:val="center"/>
          </w:tcPr>
          <w:p w14:paraId="2F868B7A" w14:textId="77777777" w:rsidR="004A0123" w:rsidRPr="000D3D0C" w:rsidRDefault="004A0123" w:rsidP="008A5C11">
            <w:pPr>
              <w:jc w:val="center"/>
              <w:rPr>
                <w:color w:val="000000"/>
                <w:sz w:val="13"/>
                <w:szCs w:val="13"/>
              </w:rPr>
            </w:pPr>
            <w:r w:rsidRPr="000D3D0C">
              <w:rPr>
                <w:color w:val="000000"/>
                <w:sz w:val="13"/>
                <w:szCs w:val="13"/>
              </w:rPr>
              <w:t>6500</w:t>
            </w:r>
          </w:p>
        </w:tc>
        <w:tc>
          <w:tcPr>
            <w:tcW w:w="176" w:type="pct"/>
            <w:tcBorders>
              <w:top w:val="single" w:sz="4" w:space="0" w:color="auto"/>
              <w:left w:val="nil"/>
              <w:bottom w:val="single" w:sz="4" w:space="0" w:color="auto"/>
              <w:right w:val="single" w:sz="4" w:space="0" w:color="auto"/>
            </w:tcBorders>
            <w:shd w:val="clear" w:color="auto" w:fill="auto"/>
            <w:vAlign w:val="center"/>
          </w:tcPr>
          <w:p w14:paraId="57A19758" w14:textId="77777777" w:rsidR="004A0123" w:rsidRPr="000D3D0C" w:rsidRDefault="004A0123" w:rsidP="008A5C11">
            <w:pPr>
              <w:jc w:val="center"/>
              <w:rPr>
                <w:color w:val="000000"/>
                <w:sz w:val="13"/>
                <w:szCs w:val="13"/>
              </w:rPr>
            </w:pPr>
            <w:r w:rsidRPr="000D3D0C">
              <w:rPr>
                <w:color w:val="000000"/>
                <w:sz w:val="13"/>
                <w:szCs w:val="13"/>
              </w:rPr>
              <w:t>8000</w:t>
            </w:r>
          </w:p>
        </w:tc>
        <w:tc>
          <w:tcPr>
            <w:tcW w:w="188" w:type="pct"/>
            <w:tcBorders>
              <w:top w:val="single" w:sz="4" w:space="0" w:color="auto"/>
              <w:left w:val="nil"/>
              <w:bottom w:val="single" w:sz="4" w:space="0" w:color="auto"/>
              <w:right w:val="single" w:sz="4" w:space="0" w:color="auto"/>
            </w:tcBorders>
            <w:shd w:val="clear" w:color="auto" w:fill="auto"/>
            <w:vAlign w:val="center"/>
          </w:tcPr>
          <w:p w14:paraId="6D37E481" w14:textId="77777777" w:rsidR="004A0123" w:rsidRPr="000D3D0C" w:rsidRDefault="004A0123" w:rsidP="008A5C11">
            <w:pPr>
              <w:jc w:val="center"/>
              <w:rPr>
                <w:color w:val="000000"/>
                <w:sz w:val="13"/>
                <w:szCs w:val="13"/>
              </w:rPr>
            </w:pPr>
            <w:r w:rsidRPr="000D3D0C">
              <w:rPr>
                <w:color w:val="000000"/>
                <w:sz w:val="13"/>
                <w:szCs w:val="13"/>
              </w:rPr>
              <w:t>2029</w:t>
            </w:r>
          </w:p>
        </w:tc>
        <w:tc>
          <w:tcPr>
            <w:tcW w:w="186" w:type="pct"/>
            <w:tcBorders>
              <w:top w:val="single" w:sz="4" w:space="0" w:color="auto"/>
              <w:left w:val="nil"/>
              <w:bottom w:val="single" w:sz="4" w:space="0" w:color="auto"/>
              <w:right w:val="single" w:sz="4" w:space="0" w:color="auto"/>
            </w:tcBorders>
            <w:shd w:val="clear" w:color="auto" w:fill="auto"/>
            <w:vAlign w:val="center"/>
          </w:tcPr>
          <w:p w14:paraId="14462B64" w14:textId="77777777" w:rsidR="004A0123" w:rsidRPr="000D3D0C" w:rsidRDefault="004A0123" w:rsidP="008A5C11">
            <w:pPr>
              <w:jc w:val="center"/>
              <w:rPr>
                <w:color w:val="000000"/>
                <w:sz w:val="13"/>
                <w:szCs w:val="13"/>
              </w:rPr>
            </w:pPr>
            <w:r w:rsidRPr="000D3D0C">
              <w:rPr>
                <w:color w:val="000000"/>
                <w:sz w:val="13"/>
                <w:szCs w:val="13"/>
              </w:rPr>
              <w:t>2029</w:t>
            </w:r>
          </w:p>
        </w:tc>
        <w:tc>
          <w:tcPr>
            <w:tcW w:w="186" w:type="pct"/>
            <w:tcBorders>
              <w:top w:val="single" w:sz="4" w:space="0" w:color="auto"/>
              <w:left w:val="nil"/>
              <w:bottom w:val="single" w:sz="4" w:space="0" w:color="auto"/>
              <w:right w:val="single" w:sz="4" w:space="0" w:color="auto"/>
            </w:tcBorders>
            <w:shd w:val="clear" w:color="auto" w:fill="auto"/>
            <w:vAlign w:val="center"/>
          </w:tcPr>
          <w:p w14:paraId="62FB5EFD" w14:textId="77777777" w:rsidR="004A0123" w:rsidRPr="000D3D0C" w:rsidRDefault="004A0123" w:rsidP="008A5C11">
            <w:pPr>
              <w:jc w:val="center"/>
              <w:rPr>
                <w:color w:val="000000"/>
                <w:sz w:val="13"/>
                <w:szCs w:val="13"/>
              </w:rPr>
            </w:pPr>
            <w:r w:rsidRPr="000D3D0C">
              <w:rPr>
                <w:color w:val="000000"/>
                <w:sz w:val="13"/>
                <w:szCs w:val="13"/>
              </w:rPr>
              <w:t>60204</w:t>
            </w:r>
          </w:p>
        </w:tc>
        <w:tc>
          <w:tcPr>
            <w:tcW w:w="186" w:type="pct"/>
            <w:tcBorders>
              <w:top w:val="single" w:sz="4" w:space="0" w:color="auto"/>
              <w:left w:val="nil"/>
              <w:bottom w:val="single" w:sz="4" w:space="0" w:color="auto"/>
              <w:right w:val="single" w:sz="4" w:space="0" w:color="auto"/>
            </w:tcBorders>
            <w:shd w:val="clear" w:color="auto" w:fill="auto"/>
            <w:vAlign w:val="center"/>
          </w:tcPr>
          <w:p w14:paraId="6077EA92" w14:textId="77777777" w:rsidR="004A0123" w:rsidRPr="000D3D0C" w:rsidRDefault="004A0123" w:rsidP="008A5C11">
            <w:pPr>
              <w:jc w:val="center"/>
              <w:rPr>
                <w:sz w:val="13"/>
                <w:szCs w:val="13"/>
              </w:rPr>
            </w:pPr>
            <w:r w:rsidRPr="000D3D0C">
              <w:rPr>
                <w:sz w:val="13"/>
                <w:szCs w:val="13"/>
              </w:rPr>
              <w:t>0</w:t>
            </w:r>
          </w:p>
        </w:tc>
        <w:tc>
          <w:tcPr>
            <w:tcW w:w="145" w:type="pct"/>
            <w:tcBorders>
              <w:top w:val="single" w:sz="4" w:space="0" w:color="auto"/>
              <w:left w:val="single" w:sz="4" w:space="0" w:color="auto"/>
              <w:bottom w:val="single" w:sz="4" w:space="0" w:color="auto"/>
              <w:right w:val="single" w:sz="4" w:space="0" w:color="auto"/>
            </w:tcBorders>
            <w:shd w:val="clear" w:color="auto" w:fill="auto"/>
            <w:vAlign w:val="center"/>
          </w:tcPr>
          <w:p w14:paraId="736EDAFF" w14:textId="77777777" w:rsidR="004A0123" w:rsidRPr="000D3D0C" w:rsidRDefault="004A0123" w:rsidP="008A5C11">
            <w:pPr>
              <w:jc w:val="center"/>
              <w:rPr>
                <w:sz w:val="13"/>
                <w:szCs w:val="13"/>
              </w:rPr>
            </w:pPr>
            <w:r w:rsidRPr="000D3D0C">
              <w:rPr>
                <w:sz w:val="13"/>
                <w:szCs w:val="13"/>
              </w:rPr>
              <w:t>0</w:t>
            </w:r>
          </w:p>
        </w:tc>
        <w:tc>
          <w:tcPr>
            <w:tcW w:w="148" w:type="pct"/>
            <w:tcBorders>
              <w:top w:val="single" w:sz="4" w:space="0" w:color="auto"/>
              <w:left w:val="nil"/>
              <w:bottom w:val="single" w:sz="4" w:space="0" w:color="auto"/>
              <w:right w:val="single" w:sz="4" w:space="0" w:color="auto"/>
            </w:tcBorders>
            <w:shd w:val="clear" w:color="auto" w:fill="auto"/>
            <w:vAlign w:val="center"/>
          </w:tcPr>
          <w:p w14:paraId="7ED4616B" w14:textId="77777777" w:rsidR="004A0123" w:rsidRPr="000D3D0C" w:rsidRDefault="004A0123" w:rsidP="008A5C11">
            <w:pPr>
              <w:jc w:val="center"/>
              <w:rPr>
                <w:sz w:val="13"/>
                <w:szCs w:val="13"/>
              </w:rPr>
            </w:pPr>
            <w:r w:rsidRPr="000D3D0C">
              <w:rPr>
                <w:sz w:val="13"/>
                <w:szCs w:val="13"/>
              </w:rPr>
              <w:t>0</w:t>
            </w:r>
          </w:p>
        </w:tc>
        <w:tc>
          <w:tcPr>
            <w:tcW w:w="181" w:type="pct"/>
            <w:tcBorders>
              <w:top w:val="single" w:sz="4" w:space="0" w:color="auto"/>
              <w:left w:val="nil"/>
              <w:bottom w:val="single" w:sz="4" w:space="0" w:color="auto"/>
              <w:right w:val="single" w:sz="4" w:space="0" w:color="auto"/>
            </w:tcBorders>
            <w:shd w:val="clear" w:color="auto" w:fill="auto"/>
            <w:vAlign w:val="center"/>
          </w:tcPr>
          <w:p w14:paraId="34AA3E95" w14:textId="77777777" w:rsidR="004A0123" w:rsidRPr="000D3D0C" w:rsidRDefault="004A0123" w:rsidP="008A5C11">
            <w:pPr>
              <w:jc w:val="center"/>
              <w:rPr>
                <w:sz w:val="13"/>
                <w:szCs w:val="13"/>
              </w:rPr>
            </w:pPr>
            <w:r w:rsidRPr="000D3D0C">
              <w:rPr>
                <w:sz w:val="13"/>
                <w:szCs w:val="13"/>
              </w:rPr>
              <w:t>0</w:t>
            </w:r>
          </w:p>
        </w:tc>
        <w:tc>
          <w:tcPr>
            <w:tcW w:w="181" w:type="pct"/>
            <w:tcBorders>
              <w:top w:val="single" w:sz="4" w:space="0" w:color="auto"/>
              <w:left w:val="nil"/>
              <w:bottom w:val="single" w:sz="4" w:space="0" w:color="auto"/>
              <w:right w:val="single" w:sz="4" w:space="0" w:color="auto"/>
            </w:tcBorders>
            <w:shd w:val="clear" w:color="auto" w:fill="auto"/>
            <w:vAlign w:val="center"/>
          </w:tcPr>
          <w:p w14:paraId="022FA596" w14:textId="77777777" w:rsidR="004A0123" w:rsidRPr="000D3D0C" w:rsidRDefault="004A0123" w:rsidP="008A5C11">
            <w:pPr>
              <w:jc w:val="center"/>
              <w:rPr>
                <w:sz w:val="13"/>
                <w:szCs w:val="13"/>
              </w:rPr>
            </w:pPr>
            <w:r w:rsidRPr="000D3D0C">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78F01B98" w14:textId="77777777" w:rsidR="004A0123" w:rsidRPr="000D3D0C" w:rsidRDefault="004A0123" w:rsidP="008A5C11">
            <w:pPr>
              <w:jc w:val="center"/>
              <w:rPr>
                <w:sz w:val="13"/>
                <w:szCs w:val="13"/>
              </w:rPr>
            </w:pPr>
            <w:r w:rsidRPr="000D3D0C">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2E5F8797" w14:textId="77777777" w:rsidR="004A0123" w:rsidRPr="000D3D0C" w:rsidRDefault="004A0123" w:rsidP="008A5C11">
            <w:pPr>
              <w:jc w:val="center"/>
              <w:rPr>
                <w:sz w:val="13"/>
                <w:szCs w:val="13"/>
              </w:rPr>
            </w:pPr>
            <w:r w:rsidRPr="000D3D0C">
              <w:rPr>
                <w:sz w:val="13"/>
                <w:szCs w:val="13"/>
              </w:rPr>
              <w:t>0</w:t>
            </w:r>
          </w:p>
        </w:tc>
        <w:tc>
          <w:tcPr>
            <w:tcW w:w="158" w:type="pct"/>
            <w:tcBorders>
              <w:top w:val="single" w:sz="4" w:space="0" w:color="auto"/>
              <w:left w:val="single" w:sz="4" w:space="0" w:color="auto"/>
              <w:bottom w:val="single" w:sz="4" w:space="0" w:color="auto"/>
              <w:right w:val="single" w:sz="4" w:space="0" w:color="auto"/>
            </w:tcBorders>
            <w:vAlign w:val="center"/>
          </w:tcPr>
          <w:p w14:paraId="21E16F85" w14:textId="77777777" w:rsidR="004A0123" w:rsidRPr="000D3D0C" w:rsidRDefault="004A0123" w:rsidP="008A5C11">
            <w:pPr>
              <w:jc w:val="center"/>
              <w:rPr>
                <w:sz w:val="13"/>
                <w:szCs w:val="13"/>
              </w:rPr>
            </w:pPr>
            <w:r w:rsidRPr="000D3D0C">
              <w:rPr>
                <w:sz w:val="13"/>
                <w:szCs w:val="13"/>
              </w:rPr>
              <w:t>0</w:t>
            </w:r>
          </w:p>
        </w:tc>
        <w:tc>
          <w:tcPr>
            <w:tcW w:w="172" w:type="pct"/>
            <w:tcBorders>
              <w:top w:val="single" w:sz="4" w:space="0" w:color="auto"/>
              <w:left w:val="single" w:sz="4" w:space="0" w:color="auto"/>
              <w:bottom w:val="single" w:sz="4" w:space="0" w:color="auto"/>
              <w:right w:val="single" w:sz="4" w:space="0" w:color="auto"/>
            </w:tcBorders>
            <w:vAlign w:val="center"/>
          </w:tcPr>
          <w:p w14:paraId="607FF59D" w14:textId="77777777" w:rsidR="004A0123" w:rsidRPr="000D3D0C" w:rsidRDefault="004A0123" w:rsidP="008A5C11">
            <w:pPr>
              <w:jc w:val="center"/>
              <w:rPr>
                <w:sz w:val="13"/>
                <w:szCs w:val="13"/>
              </w:rPr>
            </w:pPr>
            <w:r w:rsidRPr="000D3D0C">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27FE7FFF" w14:textId="77777777" w:rsidR="004A0123" w:rsidRPr="000D3D0C" w:rsidRDefault="004A0123" w:rsidP="008A5C11">
            <w:pPr>
              <w:jc w:val="center"/>
              <w:rPr>
                <w:sz w:val="13"/>
                <w:szCs w:val="13"/>
              </w:rPr>
            </w:pPr>
            <w:r w:rsidRPr="000D3D0C">
              <w:rPr>
                <w:sz w:val="13"/>
                <w:szCs w:val="13"/>
              </w:rPr>
              <w:t>60204</w:t>
            </w:r>
          </w:p>
        </w:tc>
        <w:tc>
          <w:tcPr>
            <w:tcW w:w="146" w:type="pct"/>
            <w:tcBorders>
              <w:top w:val="single" w:sz="4" w:space="0" w:color="auto"/>
              <w:left w:val="single" w:sz="4" w:space="0" w:color="auto"/>
              <w:bottom w:val="single" w:sz="4" w:space="0" w:color="auto"/>
              <w:right w:val="single" w:sz="4" w:space="0" w:color="auto"/>
            </w:tcBorders>
            <w:vAlign w:val="center"/>
          </w:tcPr>
          <w:p w14:paraId="69812C0E" w14:textId="77777777" w:rsidR="004A0123" w:rsidRPr="000D3D0C" w:rsidRDefault="004A0123" w:rsidP="008A5C11">
            <w:pPr>
              <w:jc w:val="center"/>
              <w:rPr>
                <w:sz w:val="13"/>
                <w:szCs w:val="13"/>
              </w:rPr>
            </w:pPr>
            <w:r w:rsidRPr="000D3D0C">
              <w:rPr>
                <w:sz w:val="13"/>
                <w:szCs w:val="13"/>
              </w:rPr>
              <w:t>0</w:t>
            </w:r>
          </w:p>
        </w:tc>
        <w:tc>
          <w:tcPr>
            <w:tcW w:w="181" w:type="pct"/>
            <w:tcBorders>
              <w:top w:val="single" w:sz="4" w:space="0" w:color="auto"/>
              <w:left w:val="single" w:sz="4" w:space="0" w:color="auto"/>
              <w:bottom w:val="single" w:sz="4" w:space="0" w:color="auto"/>
              <w:right w:val="single" w:sz="4" w:space="0" w:color="auto"/>
            </w:tcBorders>
            <w:vAlign w:val="center"/>
          </w:tcPr>
          <w:p w14:paraId="1B840DCC" w14:textId="77777777" w:rsidR="004A0123" w:rsidRPr="000D3D0C" w:rsidRDefault="004A0123" w:rsidP="008A5C11">
            <w:pPr>
              <w:jc w:val="center"/>
              <w:rPr>
                <w:sz w:val="13"/>
                <w:szCs w:val="13"/>
              </w:rPr>
            </w:pPr>
            <w:r w:rsidRPr="000D3D0C">
              <w:rPr>
                <w:sz w:val="13"/>
                <w:szCs w:val="13"/>
              </w:rPr>
              <w:t>0</w:t>
            </w:r>
          </w:p>
        </w:tc>
        <w:tc>
          <w:tcPr>
            <w:tcW w:w="178" w:type="pct"/>
            <w:tcBorders>
              <w:top w:val="single" w:sz="4" w:space="0" w:color="auto"/>
              <w:left w:val="single" w:sz="4" w:space="0" w:color="auto"/>
              <w:bottom w:val="single" w:sz="4" w:space="0" w:color="auto"/>
              <w:right w:val="single" w:sz="4" w:space="0" w:color="auto"/>
            </w:tcBorders>
            <w:vAlign w:val="center"/>
          </w:tcPr>
          <w:p w14:paraId="3412167D" w14:textId="77777777" w:rsidR="004A0123" w:rsidRPr="000D3D0C" w:rsidRDefault="004A0123" w:rsidP="008A5C11">
            <w:pPr>
              <w:jc w:val="center"/>
              <w:rPr>
                <w:sz w:val="13"/>
                <w:szCs w:val="13"/>
              </w:rPr>
            </w:pPr>
            <w:r w:rsidRPr="000D3D0C">
              <w:rPr>
                <w:sz w:val="13"/>
                <w:szCs w:val="13"/>
              </w:rPr>
              <w:t>0</w:t>
            </w:r>
          </w:p>
        </w:tc>
      </w:tr>
      <w:tr w:rsidR="004A0123" w:rsidRPr="000D3D0C" w14:paraId="1457842B" w14:textId="77777777" w:rsidTr="008A5C11">
        <w:trPr>
          <w:trHeight w:val="747"/>
        </w:trPr>
        <w:tc>
          <w:tcPr>
            <w:tcW w:w="147" w:type="pct"/>
            <w:tcBorders>
              <w:bottom w:val="single" w:sz="4" w:space="0" w:color="auto"/>
            </w:tcBorders>
            <w:shd w:val="clear" w:color="auto" w:fill="auto"/>
            <w:vAlign w:val="center"/>
          </w:tcPr>
          <w:p w14:paraId="4A9221C5" w14:textId="77777777" w:rsidR="004A0123" w:rsidRPr="000D3D0C" w:rsidRDefault="004A0123" w:rsidP="008A5C11">
            <w:pPr>
              <w:jc w:val="center"/>
              <w:rPr>
                <w:sz w:val="13"/>
                <w:szCs w:val="13"/>
              </w:rPr>
            </w:pPr>
            <w:r w:rsidRPr="000D3D0C">
              <w:rPr>
                <w:sz w:val="13"/>
                <w:szCs w:val="13"/>
              </w:rPr>
              <w:t>3.2.7.</w:t>
            </w:r>
          </w:p>
        </w:tc>
        <w:tc>
          <w:tcPr>
            <w:tcW w:w="584" w:type="pct"/>
            <w:tcBorders>
              <w:top w:val="nil"/>
              <w:left w:val="single" w:sz="4" w:space="0" w:color="auto"/>
              <w:bottom w:val="single" w:sz="4" w:space="0" w:color="auto"/>
              <w:right w:val="single" w:sz="4" w:space="0" w:color="auto"/>
            </w:tcBorders>
            <w:shd w:val="clear" w:color="auto" w:fill="auto"/>
            <w:vAlign w:val="center"/>
          </w:tcPr>
          <w:p w14:paraId="63265536" w14:textId="77777777" w:rsidR="004A0123" w:rsidRPr="000D3D0C" w:rsidRDefault="004A0123" w:rsidP="008A5C11">
            <w:pPr>
              <w:rPr>
                <w:color w:val="000000"/>
                <w:sz w:val="13"/>
                <w:szCs w:val="13"/>
              </w:rPr>
            </w:pPr>
            <w:r w:rsidRPr="000D3D0C">
              <w:rPr>
                <w:color w:val="000000"/>
                <w:sz w:val="13"/>
                <w:szCs w:val="13"/>
              </w:rPr>
              <w:t>Установка приборов учета</w:t>
            </w:r>
          </w:p>
        </w:tc>
        <w:tc>
          <w:tcPr>
            <w:tcW w:w="358" w:type="pct"/>
            <w:tcBorders>
              <w:top w:val="nil"/>
              <w:left w:val="nil"/>
              <w:bottom w:val="single" w:sz="4" w:space="0" w:color="auto"/>
              <w:right w:val="single" w:sz="4" w:space="0" w:color="auto"/>
            </w:tcBorders>
            <w:shd w:val="clear" w:color="auto" w:fill="auto"/>
            <w:vAlign w:val="center"/>
          </w:tcPr>
          <w:p w14:paraId="509FDFDE" w14:textId="77777777" w:rsidR="004A0123" w:rsidRPr="000D3D0C" w:rsidRDefault="004A0123" w:rsidP="008A5C11">
            <w:pPr>
              <w:jc w:val="center"/>
              <w:rPr>
                <w:color w:val="000000"/>
                <w:sz w:val="13"/>
                <w:szCs w:val="13"/>
              </w:rPr>
            </w:pPr>
            <w:r w:rsidRPr="000D3D0C">
              <w:rPr>
                <w:color w:val="000000"/>
                <w:sz w:val="13"/>
                <w:szCs w:val="13"/>
              </w:rPr>
              <w:t>Повышение надежности теплоснабжения</w:t>
            </w:r>
          </w:p>
        </w:tc>
        <w:tc>
          <w:tcPr>
            <w:tcW w:w="389" w:type="pct"/>
            <w:tcBorders>
              <w:top w:val="nil"/>
              <w:left w:val="nil"/>
              <w:bottom w:val="single" w:sz="4" w:space="0" w:color="auto"/>
              <w:right w:val="single" w:sz="4" w:space="0" w:color="auto"/>
            </w:tcBorders>
            <w:shd w:val="clear" w:color="auto" w:fill="auto"/>
            <w:vAlign w:val="center"/>
          </w:tcPr>
          <w:p w14:paraId="205C2D07" w14:textId="77777777" w:rsidR="004A0123" w:rsidRPr="000D3D0C" w:rsidRDefault="004A0123" w:rsidP="008A5C11">
            <w:pPr>
              <w:jc w:val="center"/>
              <w:rPr>
                <w:color w:val="000000"/>
                <w:sz w:val="13"/>
                <w:szCs w:val="13"/>
              </w:rPr>
            </w:pPr>
            <w:r w:rsidRPr="000D3D0C">
              <w:rPr>
                <w:color w:val="000000"/>
                <w:sz w:val="13"/>
                <w:szCs w:val="13"/>
              </w:rPr>
              <w:t xml:space="preserve">г. </w:t>
            </w:r>
            <w:proofErr w:type="gramStart"/>
            <w:r w:rsidRPr="000D3D0C">
              <w:rPr>
                <w:color w:val="000000"/>
                <w:sz w:val="13"/>
                <w:szCs w:val="13"/>
              </w:rPr>
              <w:t xml:space="preserve">Тайга,   </w:t>
            </w:r>
            <w:proofErr w:type="gramEnd"/>
            <w:r w:rsidRPr="000D3D0C">
              <w:rPr>
                <w:color w:val="000000"/>
                <w:sz w:val="13"/>
                <w:szCs w:val="13"/>
              </w:rPr>
              <w:t xml:space="preserve">               ул.Таежная,д.11.             Котельная Центральная</w:t>
            </w:r>
            <w:r w:rsidRPr="000D3D0C">
              <w:rPr>
                <w:color w:val="000000"/>
                <w:sz w:val="13"/>
                <w:szCs w:val="13"/>
              </w:rPr>
              <w:tab/>
            </w:r>
          </w:p>
        </w:tc>
        <w:tc>
          <w:tcPr>
            <w:tcW w:w="336" w:type="pct"/>
            <w:tcBorders>
              <w:top w:val="nil"/>
              <w:left w:val="nil"/>
              <w:bottom w:val="single" w:sz="4" w:space="0" w:color="auto"/>
              <w:right w:val="single" w:sz="4" w:space="0" w:color="auto"/>
            </w:tcBorders>
            <w:shd w:val="clear" w:color="auto" w:fill="auto"/>
            <w:vAlign w:val="center"/>
          </w:tcPr>
          <w:p w14:paraId="0B38362B" w14:textId="77777777" w:rsidR="004A0123" w:rsidRPr="000D3D0C" w:rsidRDefault="004A0123" w:rsidP="008A5C11">
            <w:pPr>
              <w:jc w:val="center"/>
              <w:rPr>
                <w:color w:val="000000"/>
                <w:sz w:val="13"/>
                <w:szCs w:val="13"/>
              </w:rPr>
            </w:pPr>
            <w:r w:rsidRPr="000D3D0C">
              <w:rPr>
                <w:color w:val="000000"/>
                <w:sz w:val="13"/>
                <w:szCs w:val="13"/>
              </w:rPr>
              <w:t>Количество</w:t>
            </w:r>
          </w:p>
        </w:tc>
        <w:tc>
          <w:tcPr>
            <w:tcW w:w="133" w:type="pct"/>
            <w:tcBorders>
              <w:top w:val="nil"/>
              <w:left w:val="nil"/>
              <w:bottom w:val="single" w:sz="4" w:space="0" w:color="auto"/>
              <w:right w:val="single" w:sz="4" w:space="0" w:color="auto"/>
            </w:tcBorders>
            <w:shd w:val="clear" w:color="auto" w:fill="auto"/>
            <w:vAlign w:val="center"/>
          </w:tcPr>
          <w:p w14:paraId="0682D42F" w14:textId="77777777" w:rsidR="004A0123" w:rsidRPr="000D3D0C" w:rsidRDefault="004A0123" w:rsidP="008A5C11">
            <w:pPr>
              <w:jc w:val="center"/>
              <w:rPr>
                <w:color w:val="000000"/>
                <w:sz w:val="13"/>
                <w:szCs w:val="13"/>
              </w:rPr>
            </w:pPr>
            <w:r w:rsidRPr="000D3D0C">
              <w:rPr>
                <w:color w:val="000000"/>
                <w:sz w:val="13"/>
                <w:szCs w:val="13"/>
              </w:rPr>
              <w:t>ед.</w:t>
            </w:r>
          </w:p>
        </w:tc>
        <w:tc>
          <w:tcPr>
            <w:tcW w:w="180" w:type="pct"/>
            <w:tcBorders>
              <w:top w:val="nil"/>
              <w:left w:val="single" w:sz="4" w:space="0" w:color="auto"/>
              <w:bottom w:val="single" w:sz="4" w:space="0" w:color="auto"/>
              <w:right w:val="single" w:sz="4" w:space="0" w:color="auto"/>
            </w:tcBorders>
            <w:shd w:val="clear" w:color="auto" w:fill="auto"/>
            <w:vAlign w:val="center"/>
          </w:tcPr>
          <w:p w14:paraId="6412CA44" w14:textId="77777777" w:rsidR="004A0123" w:rsidRPr="000D3D0C" w:rsidRDefault="004A0123" w:rsidP="008A5C11">
            <w:pPr>
              <w:jc w:val="center"/>
              <w:rPr>
                <w:color w:val="000000"/>
                <w:sz w:val="13"/>
                <w:szCs w:val="13"/>
              </w:rPr>
            </w:pPr>
            <w:r w:rsidRPr="000D3D0C">
              <w:rPr>
                <w:color w:val="000000"/>
                <w:sz w:val="13"/>
                <w:szCs w:val="13"/>
              </w:rPr>
              <w:t>0</w:t>
            </w:r>
          </w:p>
        </w:tc>
        <w:tc>
          <w:tcPr>
            <w:tcW w:w="176" w:type="pct"/>
            <w:tcBorders>
              <w:top w:val="nil"/>
              <w:left w:val="nil"/>
              <w:bottom w:val="single" w:sz="4" w:space="0" w:color="auto"/>
              <w:right w:val="single" w:sz="4" w:space="0" w:color="auto"/>
            </w:tcBorders>
            <w:shd w:val="clear" w:color="auto" w:fill="auto"/>
            <w:vAlign w:val="center"/>
          </w:tcPr>
          <w:p w14:paraId="3FE67F93" w14:textId="77777777" w:rsidR="004A0123" w:rsidRPr="000D3D0C" w:rsidRDefault="004A0123" w:rsidP="008A5C11">
            <w:pPr>
              <w:jc w:val="center"/>
              <w:rPr>
                <w:color w:val="000000"/>
                <w:sz w:val="13"/>
                <w:szCs w:val="13"/>
              </w:rPr>
            </w:pPr>
            <w:r w:rsidRPr="000D3D0C">
              <w:rPr>
                <w:color w:val="000000"/>
                <w:sz w:val="13"/>
                <w:szCs w:val="13"/>
              </w:rPr>
              <w:t>1</w:t>
            </w:r>
          </w:p>
        </w:tc>
        <w:tc>
          <w:tcPr>
            <w:tcW w:w="188" w:type="pct"/>
            <w:tcBorders>
              <w:top w:val="nil"/>
              <w:left w:val="nil"/>
              <w:bottom w:val="single" w:sz="4" w:space="0" w:color="auto"/>
              <w:right w:val="single" w:sz="4" w:space="0" w:color="auto"/>
            </w:tcBorders>
            <w:shd w:val="clear" w:color="auto" w:fill="auto"/>
            <w:vAlign w:val="center"/>
          </w:tcPr>
          <w:p w14:paraId="08B90153" w14:textId="77777777" w:rsidR="004A0123" w:rsidRPr="000D3D0C" w:rsidRDefault="004A0123" w:rsidP="008A5C11">
            <w:pPr>
              <w:jc w:val="center"/>
              <w:rPr>
                <w:color w:val="000000"/>
                <w:sz w:val="13"/>
                <w:szCs w:val="13"/>
              </w:rPr>
            </w:pPr>
            <w:r w:rsidRPr="000D3D0C">
              <w:rPr>
                <w:color w:val="000000"/>
                <w:sz w:val="13"/>
                <w:szCs w:val="13"/>
              </w:rPr>
              <w:t>2021</w:t>
            </w:r>
          </w:p>
        </w:tc>
        <w:tc>
          <w:tcPr>
            <w:tcW w:w="186" w:type="pct"/>
            <w:tcBorders>
              <w:top w:val="nil"/>
              <w:left w:val="nil"/>
              <w:bottom w:val="single" w:sz="4" w:space="0" w:color="auto"/>
              <w:right w:val="single" w:sz="4" w:space="0" w:color="auto"/>
            </w:tcBorders>
            <w:shd w:val="clear" w:color="auto" w:fill="auto"/>
            <w:vAlign w:val="center"/>
          </w:tcPr>
          <w:p w14:paraId="3C74753D" w14:textId="77777777" w:rsidR="004A0123" w:rsidRPr="000D3D0C" w:rsidRDefault="004A0123" w:rsidP="008A5C11">
            <w:pPr>
              <w:jc w:val="center"/>
              <w:rPr>
                <w:color w:val="000000"/>
                <w:sz w:val="13"/>
                <w:szCs w:val="13"/>
              </w:rPr>
            </w:pPr>
            <w:r w:rsidRPr="000D3D0C">
              <w:rPr>
                <w:color w:val="000000"/>
                <w:sz w:val="13"/>
                <w:szCs w:val="13"/>
              </w:rPr>
              <w:t>2021</w:t>
            </w:r>
          </w:p>
        </w:tc>
        <w:tc>
          <w:tcPr>
            <w:tcW w:w="186" w:type="pct"/>
            <w:tcBorders>
              <w:top w:val="nil"/>
              <w:left w:val="nil"/>
              <w:bottom w:val="single" w:sz="4" w:space="0" w:color="auto"/>
              <w:right w:val="single" w:sz="4" w:space="0" w:color="auto"/>
            </w:tcBorders>
            <w:shd w:val="clear" w:color="auto" w:fill="auto"/>
            <w:vAlign w:val="center"/>
          </w:tcPr>
          <w:p w14:paraId="5AC285D1" w14:textId="77777777" w:rsidR="004A0123" w:rsidRPr="000D3D0C" w:rsidRDefault="004A0123" w:rsidP="008A5C11">
            <w:pPr>
              <w:jc w:val="center"/>
              <w:rPr>
                <w:color w:val="000000"/>
                <w:sz w:val="13"/>
                <w:szCs w:val="13"/>
              </w:rPr>
            </w:pPr>
            <w:r w:rsidRPr="000D3D0C">
              <w:rPr>
                <w:color w:val="000000"/>
                <w:sz w:val="13"/>
                <w:szCs w:val="13"/>
              </w:rPr>
              <w:t>2149</w:t>
            </w:r>
          </w:p>
        </w:tc>
        <w:tc>
          <w:tcPr>
            <w:tcW w:w="186" w:type="pct"/>
            <w:tcBorders>
              <w:top w:val="nil"/>
              <w:left w:val="nil"/>
              <w:bottom w:val="single" w:sz="4" w:space="0" w:color="auto"/>
              <w:right w:val="single" w:sz="4" w:space="0" w:color="auto"/>
            </w:tcBorders>
            <w:shd w:val="clear" w:color="auto" w:fill="auto"/>
            <w:vAlign w:val="center"/>
          </w:tcPr>
          <w:p w14:paraId="739488E6" w14:textId="77777777" w:rsidR="004A0123" w:rsidRPr="000D3D0C" w:rsidRDefault="004A0123" w:rsidP="008A5C11">
            <w:pPr>
              <w:jc w:val="center"/>
              <w:rPr>
                <w:sz w:val="13"/>
                <w:szCs w:val="13"/>
              </w:rPr>
            </w:pPr>
          </w:p>
        </w:tc>
        <w:tc>
          <w:tcPr>
            <w:tcW w:w="145" w:type="pct"/>
            <w:tcBorders>
              <w:top w:val="nil"/>
              <w:left w:val="single" w:sz="4" w:space="0" w:color="auto"/>
              <w:bottom w:val="single" w:sz="4" w:space="0" w:color="auto"/>
              <w:right w:val="single" w:sz="4" w:space="0" w:color="auto"/>
            </w:tcBorders>
            <w:shd w:val="clear" w:color="auto" w:fill="auto"/>
            <w:vAlign w:val="center"/>
          </w:tcPr>
          <w:p w14:paraId="2454E7ED" w14:textId="77777777" w:rsidR="004A0123" w:rsidRPr="000D3D0C" w:rsidRDefault="004A0123" w:rsidP="008A5C11">
            <w:pPr>
              <w:jc w:val="center"/>
              <w:rPr>
                <w:sz w:val="13"/>
                <w:szCs w:val="13"/>
              </w:rPr>
            </w:pPr>
            <w:r w:rsidRPr="000D3D0C">
              <w:rPr>
                <w:sz w:val="13"/>
                <w:szCs w:val="13"/>
              </w:rPr>
              <w:t>2149</w:t>
            </w:r>
          </w:p>
        </w:tc>
        <w:tc>
          <w:tcPr>
            <w:tcW w:w="148" w:type="pct"/>
            <w:tcBorders>
              <w:top w:val="nil"/>
              <w:left w:val="nil"/>
              <w:bottom w:val="single" w:sz="4" w:space="0" w:color="auto"/>
              <w:right w:val="single" w:sz="4" w:space="0" w:color="auto"/>
            </w:tcBorders>
            <w:shd w:val="clear" w:color="auto" w:fill="auto"/>
            <w:vAlign w:val="center"/>
          </w:tcPr>
          <w:p w14:paraId="6852390D" w14:textId="77777777" w:rsidR="004A0123" w:rsidRPr="000D3D0C" w:rsidRDefault="004A0123" w:rsidP="008A5C11">
            <w:pPr>
              <w:jc w:val="center"/>
              <w:rPr>
                <w:sz w:val="13"/>
                <w:szCs w:val="13"/>
              </w:rPr>
            </w:pPr>
            <w:r w:rsidRPr="000D3D0C">
              <w:rPr>
                <w:sz w:val="13"/>
                <w:szCs w:val="13"/>
              </w:rPr>
              <w:t>0</w:t>
            </w:r>
          </w:p>
        </w:tc>
        <w:tc>
          <w:tcPr>
            <w:tcW w:w="181" w:type="pct"/>
            <w:tcBorders>
              <w:top w:val="nil"/>
              <w:left w:val="nil"/>
              <w:bottom w:val="single" w:sz="4" w:space="0" w:color="auto"/>
              <w:right w:val="single" w:sz="4" w:space="0" w:color="auto"/>
            </w:tcBorders>
            <w:shd w:val="clear" w:color="auto" w:fill="auto"/>
            <w:vAlign w:val="center"/>
          </w:tcPr>
          <w:p w14:paraId="35638C47" w14:textId="77777777" w:rsidR="004A0123" w:rsidRPr="000D3D0C" w:rsidRDefault="004A0123" w:rsidP="008A5C11">
            <w:pPr>
              <w:jc w:val="center"/>
              <w:rPr>
                <w:sz w:val="13"/>
                <w:szCs w:val="13"/>
              </w:rPr>
            </w:pPr>
            <w:r w:rsidRPr="000D3D0C">
              <w:rPr>
                <w:sz w:val="13"/>
                <w:szCs w:val="13"/>
              </w:rPr>
              <w:t>0</w:t>
            </w:r>
          </w:p>
        </w:tc>
        <w:tc>
          <w:tcPr>
            <w:tcW w:w="181" w:type="pct"/>
            <w:tcBorders>
              <w:top w:val="nil"/>
              <w:left w:val="nil"/>
              <w:bottom w:val="single" w:sz="4" w:space="0" w:color="auto"/>
              <w:right w:val="single" w:sz="4" w:space="0" w:color="auto"/>
            </w:tcBorders>
            <w:shd w:val="clear" w:color="auto" w:fill="auto"/>
            <w:vAlign w:val="center"/>
          </w:tcPr>
          <w:p w14:paraId="4709507E" w14:textId="77777777" w:rsidR="004A0123" w:rsidRPr="000D3D0C" w:rsidRDefault="004A0123" w:rsidP="008A5C11">
            <w:pPr>
              <w:jc w:val="center"/>
              <w:rPr>
                <w:sz w:val="13"/>
                <w:szCs w:val="13"/>
              </w:rPr>
            </w:pPr>
            <w:r w:rsidRPr="000D3D0C">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4B61BD4D" w14:textId="77777777" w:rsidR="004A0123" w:rsidRPr="000D3D0C" w:rsidRDefault="004A0123" w:rsidP="008A5C11">
            <w:pPr>
              <w:jc w:val="center"/>
              <w:rPr>
                <w:sz w:val="13"/>
                <w:szCs w:val="13"/>
              </w:rPr>
            </w:pPr>
            <w:r w:rsidRPr="000D3D0C">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7FA81068" w14:textId="77777777" w:rsidR="004A0123" w:rsidRPr="000D3D0C" w:rsidRDefault="004A0123" w:rsidP="008A5C11">
            <w:pPr>
              <w:jc w:val="center"/>
              <w:rPr>
                <w:sz w:val="13"/>
                <w:szCs w:val="13"/>
              </w:rPr>
            </w:pPr>
            <w:r w:rsidRPr="000D3D0C">
              <w:rPr>
                <w:sz w:val="13"/>
                <w:szCs w:val="13"/>
              </w:rPr>
              <w:t>0</w:t>
            </w:r>
          </w:p>
        </w:tc>
        <w:tc>
          <w:tcPr>
            <w:tcW w:w="158" w:type="pct"/>
            <w:tcBorders>
              <w:top w:val="single" w:sz="4" w:space="0" w:color="auto"/>
              <w:left w:val="single" w:sz="4" w:space="0" w:color="auto"/>
              <w:bottom w:val="single" w:sz="4" w:space="0" w:color="auto"/>
              <w:right w:val="single" w:sz="4" w:space="0" w:color="auto"/>
            </w:tcBorders>
            <w:vAlign w:val="center"/>
          </w:tcPr>
          <w:p w14:paraId="6D8A5306" w14:textId="77777777" w:rsidR="004A0123" w:rsidRPr="000D3D0C" w:rsidRDefault="004A0123" w:rsidP="008A5C11">
            <w:pPr>
              <w:jc w:val="center"/>
              <w:rPr>
                <w:sz w:val="13"/>
                <w:szCs w:val="13"/>
              </w:rPr>
            </w:pPr>
            <w:r w:rsidRPr="000D3D0C">
              <w:rPr>
                <w:sz w:val="13"/>
                <w:szCs w:val="13"/>
              </w:rPr>
              <w:t>0</w:t>
            </w:r>
          </w:p>
        </w:tc>
        <w:tc>
          <w:tcPr>
            <w:tcW w:w="172" w:type="pct"/>
            <w:tcBorders>
              <w:top w:val="single" w:sz="4" w:space="0" w:color="auto"/>
              <w:left w:val="single" w:sz="4" w:space="0" w:color="auto"/>
              <w:bottom w:val="single" w:sz="4" w:space="0" w:color="auto"/>
              <w:right w:val="single" w:sz="4" w:space="0" w:color="auto"/>
            </w:tcBorders>
            <w:vAlign w:val="center"/>
          </w:tcPr>
          <w:p w14:paraId="6EA00716" w14:textId="77777777" w:rsidR="004A0123" w:rsidRPr="000D3D0C" w:rsidRDefault="004A0123" w:rsidP="008A5C11">
            <w:pPr>
              <w:jc w:val="center"/>
              <w:rPr>
                <w:sz w:val="13"/>
                <w:szCs w:val="13"/>
              </w:rPr>
            </w:pPr>
            <w:r w:rsidRPr="000D3D0C">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0C3CC537" w14:textId="77777777" w:rsidR="004A0123" w:rsidRPr="000D3D0C" w:rsidRDefault="004A0123" w:rsidP="008A5C11">
            <w:pPr>
              <w:jc w:val="center"/>
              <w:rPr>
                <w:sz w:val="13"/>
                <w:szCs w:val="13"/>
              </w:rPr>
            </w:pPr>
            <w:r w:rsidRPr="000D3D0C">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126689F4" w14:textId="77777777" w:rsidR="004A0123" w:rsidRPr="000D3D0C" w:rsidRDefault="004A0123" w:rsidP="008A5C11">
            <w:pPr>
              <w:jc w:val="center"/>
              <w:rPr>
                <w:sz w:val="13"/>
                <w:szCs w:val="13"/>
              </w:rPr>
            </w:pPr>
            <w:r w:rsidRPr="000D3D0C">
              <w:rPr>
                <w:sz w:val="13"/>
                <w:szCs w:val="13"/>
              </w:rPr>
              <w:t>0</w:t>
            </w:r>
          </w:p>
        </w:tc>
        <w:tc>
          <w:tcPr>
            <w:tcW w:w="181" w:type="pct"/>
            <w:tcBorders>
              <w:top w:val="single" w:sz="4" w:space="0" w:color="auto"/>
              <w:left w:val="single" w:sz="4" w:space="0" w:color="auto"/>
              <w:bottom w:val="single" w:sz="4" w:space="0" w:color="auto"/>
              <w:right w:val="single" w:sz="4" w:space="0" w:color="auto"/>
            </w:tcBorders>
            <w:vAlign w:val="center"/>
          </w:tcPr>
          <w:p w14:paraId="02C7073F" w14:textId="77777777" w:rsidR="004A0123" w:rsidRPr="000D3D0C" w:rsidRDefault="004A0123" w:rsidP="008A5C11">
            <w:pPr>
              <w:jc w:val="center"/>
              <w:rPr>
                <w:sz w:val="13"/>
                <w:szCs w:val="13"/>
              </w:rPr>
            </w:pPr>
            <w:r w:rsidRPr="000D3D0C">
              <w:rPr>
                <w:sz w:val="13"/>
                <w:szCs w:val="13"/>
              </w:rPr>
              <w:t>0</w:t>
            </w:r>
          </w:p>
        </w:tc>
        <w:tc>
          <w:tcPr>
            <w:tcW w:w="178" w:type="pct"/>
            <w:tcBorders>
              <w:top w:val="single" w:sz="4" w:space="0" w:color="auto"/>
              <w:left w:val="single" w:sz="4" w:space="0" w:color="auto"/>
              <w:bottom w:val="single" w:sz="4" w:space="0" w:color="auto"/>
              <w:right w:val="single" w:sz="4" w:space="0" w:color="auto"/>
            </w:tcBorders>
            <w:vAlign w:val="center"/>
          </w:tcPr>
          <w:p w14:paraId="286DB8CE" w14:textId="77777777" w:rsidR="004A0123" w:rsidRPr="000D3D0C" w:rsidRDefault="004A0123" w:rsidP="008A5C11">
            <w:pPr>
              <w:jc w:val="center"/>
              <w:rPr>
                <w:sz w:val="13"/>
                <w:szCs w:val="13"/>
              </w:rPr>
            </w:pPr>
            <w:r w:rsidRPr="000D3D0C">
              <w:rPr>
                <w:sz w:val="13"/>
                <w:szCs w:val="13"/>
              </w:rPr>
              <w:t>0</w:t>
            </w:r>
          </w:p>
        </w:tc>
      </w:tr>
      <w:tr w:rsidR="004A0123" w:rsidRPr="000D3D0C" w14:paraId="3AA27F73" w14:textId="77777777" w:rsidTr="008A5C11">
        <w:trPr>
          <w:trHeight w:val="448"/>
        </w:trPr>
        <w:tc>
          <w:tcPr>
            <w:tcW w:w="147" w:type="pct"/>
            <w:tcBorders>
              <w:top w:val="single" w:sz="4" w:space="0" w:color="auto"/>
            </w:tcBorders>
            <w:shd w:val="clear" w:color="auto" w:fill="auto"/>
            <w:vAlign w:val="center"/>
          </w:tcPr>
          <w:p w14:paraId="7C761B1E" w14:textId="77777777" w:rsidR="004A0123" w:rsidRPr="000D3D0C" w:rsidRDefault="004A0123" w:rsidP="008A5C11">
            <w:pPr>
              <w:jc w:val="center"/>
              <w:rPr>
                <w:sz w:val="13"/>
                <w:szCs w:val="13"/>
              </w:rPr>
            </w:pPr>
            <w:r w:rsidRPr="000D3D0C">
              <w:rPr>
                <w:sz w:val="13"/>
                <w:szCs w:val="13"/>
              </w:rPr>
              <w:t>3.2.8.</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59FB4243" w14:textId="77777777" w:rsidR="004A0123" w:rsidRPr="000D3D0C" w:rsidRDefault="004A0123" w:rsidP="008A5C11">
            <w:pPr>
              <w:rPr>
                <w:color w:val="000000"/>
                <w:sz w:val="13"/>
                <w:szCs w:val="13"/>
              </w:rPr>
            </w:pPr>
            <w:r w:rsidRPr="000D3D0C">
              <w:rPr>
                <w:color w:val="000000"/>
                <w:sz w:val="13"/>
                <w:szCs w:val="13"/>
              </w:rPr>
              <w:t>Реконструкция железнодорожных путей</w:t>
            </w:r>
          </w:p>
        </w:tc>
        <w:tc>
          <w:tcPr>
            <w:tcW w:w="358" w:type="pct"/>
            <w:tcBorders>
              <w:top w:val="single" w:sz="4" w:space="0" w:color="auto"/>
              <w:left w:val="nil"/>
              <w:bottom w:val="single" w:sz="4" w:space="0" w:color="auto"/>
              <w:right w:val="single" w:sz="4" w:space="0" w:color="auto"/>
            </w:tcBorders>
            <w:shd w:val="clear" w:color="auto" w:fill="auto"/>
            <w:vAlign w:val="center"/>
          </w:tcPr>
          <w:p w14:paraId="1729E1A1" w14:textId="77777777" w:rsidR="004A0123" w:rsidRPr="000D3D0C" w:rsidRDefault="004A0123" w:rsidP="008A5C11">
            <w:pPr>
              <w:jc w:val="center"/>
              <w:rPr>
                <w:color w:val="000000"/>
                <w:sz w:val="13"/>
                <w:szCs w:val="13"/>
              </w:rPr>
            </w:pPr>
            <w:r w:rsidRPr="000D3D0C">
              <w:rPr>
                <w:color w:val="000000"/>
                <w:sz w:val="13"/>
                <w:szCs w:val="13"/>
              </w:rPr>
              <w:t>Повышение надежности теплоснабжения</w:t>
            </w:r>
          </w:p>
        </w:tc>
        <w:tc>
          <w:tcPr>
            <w:tcW w:w="389" w:type="pct"/>
            <w:tcBorders>
              <w:top w:val="single" w:sz="4" w:space="0" w:color="auto"/>
              <w:left w:val="nil"/>
              <w:bottom w:val="single" w:sz="4" w:space="0" w:color="auto"/>
              <w:right w:val="single" w:sz="4" w:space="0" w:color="auto"/>
            </w:tcBorders>
            <w:shd w:val="clear" w:color="auto" w:fill="auto"/>
            <w:vAlign w:val="center"/>
          </w:tcPr>
          <w:p w14:paraId="3CC1966F" w14:textId="77777777" w:rsidR="004A0123" w:rsidRPr="000D3D0C" w:rsidRDefault="004A0123" w:rsidP="008A5C11">
            <w:pPr>
              <w:jc w:val="center"/>
              <w:rPr>
                <w:color w:val="000000"/>
                <w:sz w:val="13"/>
                <w:szCs w:val="13"/>
              </w:rPr>
            </w:pPr>
            <w:r w:rsidRPr="000D3D0C">
              <w:rPr>
                <w:color w:val="000000"/>
                <w:sz w:val="13"/>
                <w:szCs w:val="13"/>
              </w:rPr>
              <w:t xml:space="preserve">г. </w:t>
            </w:r>
            <w:proofErr w:type="gramStart"/>
            <w:r w:rsidRPr="000D3D0C">
              <w:rPr>
                <w:color w:val="000000"/>
                <w:sz w:val="13"/>
                <w:szCs w:val="13"/>
              </w:rPr>
              <w:t xml:space="preserve">Тайга,   </w:t>
            </w:r>
            <w:proofErr w:type="gramEnd"/>
            <w:r w:rsidRPr="000D3D0C">
              <w:rPr>
                <w:color w:val="000000"/>
                <w:sz w:val="13"/>
                <w:szCs w:val="13"/>
              </w:rPr>
              <w:t xml:space="preserve">               ул.Таежная,д.11.             Котельная Центральная</w:t>
            </w:r>
            <w:r w:rsidRPr="000D3D0C">
              <w:rPr>
                <w:color w:val="000000"/>
                <w:sz w:val="13"/>
                <w:szCs w:val="13"/>
              </w:rPr>
              <w:tab/>
            </w:r>
          </w:p>
        </w:tc>
        <w:tc>
          <w:tcPr>
            <w:tcW w:w="336" w:type="pct"/>
            <w:tcBorders>
              <w:top w:val="single" w:sz="4" w:space="0" w:color="auto"/>
              <w:left w:val="nil"/>
              <w:bottom w:val="single" w:sz="4" w:space="0" w:color="auto"/>
              <w:right w:val="single" w:sz="4" w:space="0" w:color="auto"/>
            </w:tcBorders>
            <w:shd w:val="clear" w:color="auto" w:fill="auto"/>
            <w:vAlign w:val="center"/>
          </w:tcPr>
          <w:p w14:paraId="69B4FBF6" w14:textId="77777777" w:rsidR="004A0123" w:rsidRPr="000D3D0C" w:rsidRDefault="004A0123" w:rsidP="008A5C11">
            <w:pPr>
              <w:jc w:val="center"/>
              <w:rPr>
                <w:sz w:val="13"/>
                <w:szCs w:val="13"/>
              </w:rPr>
            </w:pPr>
            <w:r w:rsidRPr="000D3D0C">
              <w:rPr>
                <w:sz w:val="13"/>
                <w:szCs w:val="13"/>
              </w:rPr>
              <w:t>Износ</w:t>
            </w:r>
          </w:p>
        </w:tc>
        <w:tc>
          <w:tcPr>
            <w:tcW w:w="133" w:type="pct"/>
            <w:tcBorders>
              <w:top w:val="single" w:sz="4" w:space="0" w:color="auto"/>
              <w:left w:val="nil"/>
              <w:bottom w:val="single" w:sz="4" w:space="0" w:color="auto"/>
              <w:right w:val="single" w:sz="4" w:space="0" w:color="auto"/>
            </w:tcBorders>
            <w:shd w:val="clear" w:color="auto" w:fill="auto"/>
            <w:vAlign w:val="center"/>
          </w:tcPr>
          <w:p w14:paraId="5F32EBD3" w14:textId="77777777" w:rsidR="004A0123" w:rsidRPr="000D3D0C" w:rsidRDefault="004A0123" w:rsidP="008A5C11">
            <w:pPr>
              <w:jc w:val="center"/>
              <w:rPr>
                <w:sz w:val="13"/>
                <w:szCs w:val="13"/>
              </w:rPr>
            </w:pPr>
            <w:r w:rsidRPr="000D3D0C">
              <w:rPr>
                <w:sz w:val="13"/>
                <w:szCs w:val="13"/>
              </w:rPr>
              <w:t>%</w:t>
            </w:r>
          </w:p>
        </w:tc>
        <w:tc>
          <w:tcPr>
            <w:tcW w:w="180" w:type="pct"/>
            <w:tcBorders>
              <w:top w:val="single" w:sz="4" w:space="0" w:color="auto"/>
              <w:left w:val="single" w:sz="4" w:space="0" w:color="auto"/>
              <w:bottom w:val="single" w:sz="4" w:space="0" w:color="auto"/>
              <w:right w:val="single" w:sz="4" w:space="0" w:color="auto"/>
            </w:tcBorders>
            <w:shd w:val="clear" w:color="auto" w:fill="auto"/>
            <w:vAlign w:val="center"/>
          </w:tcPr>
          <w:p w14:paraId="3F8DE73A" w14:textId="77777777" w:rsidR="004A0123" w:rsidRPr="000D3D0C" w:rsidRDefault="004A0123" w:rsidP="008A5C11">
            <w:pPr>
              <w:jc w:val="center"/>
              <w:rPr>
                <w:sz w:val="13"/>
                <w:szCs w:val="13"/>
              </w:rPr>
            </w:pPr>
            <w:r w:rsidRPr="000D3D0C">
              <w:rPr>
                <w:sz w:val="13"/>
                <w:szCs w:val="13"/>
              </w:rPr>
              <w:t>100</w:t>
            </w:r>
          </w:p>
        </w:tc>
        <w:tc>
          <w:tcPr>
            <w:tcW w:w="176" w:type="pct"/>
            <w:tcBorders>
              <w:top w:val="single" w:sz="4" w:space="0" w:color="auto"/>
              <w:left w:val="nil"/>
              <w:bottom w:val="single" w:sz="4" w:space="0" w:color="auto"/>
              <w:right w:val="single" w:sz="4" w:space="0" w:color="auto"/>
            </w:tcBorders>
            <w:shd w:val="clear" w:color="auto" w:fill="auto"/>
            <w:vAlign w:val="center"/>
          </w:tcPr>
          <w:p w14:paraId="41EC7349" w14:textId="77777777" w:rsidR="004A0123" w:rsidRPr="000D3D0C" w:rsidRDefault="004A0123" w:rsidP="008A5C11">
            <w:pPr>
              <w:jc w:val="center"/>
              <w:rPr>
                <w:sz w:val="13"/>
                <w:szCs w:val="13"/>
              </w:rPr>
            </w:pPr>
            <w:r w:rsidRPr="000D3D0C">
              <w:rPr>
                <w:sz w:val="13"/>
                <w:szCs w:val="13"/>
              </w:rPr>
              <w:t>0</w:t>
            </w:r>
          </w:p>
        </w:tc>
        <w:tc>
          <w:tcPr>
            <w:tcW w:w="188" w:type="pct"/>
            <w:tcBorders>
              <w:top w:val="single" w:sz="4" w:space="0" w:color="auto"/>
              <w:left w:val="nil"/>
              <w:bottom w:val="single" w:sz="4" w:space="0" w:color="auto"/>
              <w:right w:val="single" w:sz="4" w:space="0" w:color="auto"/>
            </w:tcBorders>
            <w:shd w:val="clear" w:color="auto" w:fill="auto"/>
            <w:vAlign w:val="center"/>
          </w:tcPr>
          <w:p w14:paraId="270FA1D8" w14:textId="77777777" w:rsidR="004A0123" w:rsidRPr="000D3D0C" w:rsidRDefault="004A0123" w:rsidP="008A5C11">
            <w:pPr>
              <w:jc w:val="center"/>
              <w:rPr>
                <w:color w:val="000000"/>
                <w:sz w:val="13"/>
                <w:szCs w:val="13"/>
              </w:rPr>
            </w:pPr>
            <w:r w:rsidRPr="000D3D0C">
              <w:rPr>
                <w:color w:val="000000"/>
                <w:sz w:val="13"/>
                <w:szCs w:val="13"/>
              </w:rPr>
              <w:t>2029</w:t>
            </w:r>
          </w:p>
        </w:tc>
        <w:tc>
          <w:tcPr>
            <w:tcW w:w="186" w:type="pct"/>
            <w:tcBorders>
              <w:top w:val="single" w:sz="4" w:space="0" w:color="auto"/>
              <w:left w:val="nil"/>
              <w:bottom w:val="single" w:sz="4" w:space="0" w:color="auto"/>
              <w:right w:val="single" w:sz="4" w:space="0" w:color="auto"/>
            </w:tcBorders>
            <w:shd w:val="clear" w:color="auto" w:fill="auto"/>
            <w:vAlign w:val="center"/>
          </w:tcPr>
          <w:p w14:paraId="1DC0ABA5" w14:textId="77777777" w:rsidR="004A0123" w:rsidRPr="000D3D0C" w:rsidRDefault="004A0123" w:rsidP="008A5C11">
            <w:pPr>
              <w:jc w:val="center"/>
              <w:rPr>
                <w:color w:val="000000"/>
                <w:sz w:val="13"/>
                <w:szCs w:val="13"/>
              </w:rPr>
            </w:pPr>
            <w:r w:rsidRPr="000D3D0C">
              <w:rPr>
                <w:color w:val="000000"/>
                <w:sz w:val="13"/>
                <w:szCs w:val="13"/>
              </w:rPr>
              <w:t>2029</w:t>
            </w:r>
          </w:p>
        </w:tc>
        <w:tc>
          <w:tcPr>
            <w:tcW w:w="186" w:type="pct"/>
            <w:tcBorders>
              <w:top w:val="single" w:sz="4" w:space="0" w:color="auto"/>
              <w:left w:val="nil"/>
              <w:bottom w:val="single" w:sz="4" w:space="0" w:color="auto"/>
              <w:right w:val="single" w:sz="4" w:space="0" w:color="auto"/>
            </w:tcBorders>
            <w:shd w:val="clear" w:color="auto" w:fill="auto"/>
            <w:vAlign w:val="center"/>
          </w:tcPr>
          <w:p w14:paraId="03859A0F" w14:textId="77777777" w:rsidR="004A0123" w:rsidRPr="000D3D0C" w:rsidRDefault="004A0123" w:rsidP="008A5C11">
            <w:pPr>
              <w:jc w:val="center"/>
              <w:rPr>
                <w:color w:val="000000"/>
                <w:sz w:val="13"/>
                <w:szCs w:val="13"/>
              </w:rPr>
            </w:pPr>
            <w:r w:rsidRPr="000D3D0C">
              <w:rPr>
                <w:color w:val="000000"/>
                <w:sz w:val="13"/>
                <w:szCs w:val="13"/>
              </w:rPr>
              <w:t>22065</w:t>
            </w:r>
          </w:p>
        </w:tc>
        <w:tc>
          <w:tcPr>
            <w:tcW w:w="186" w:type="pct"/>
            <w:tcBorders>
              <w:top w:val="single" w:sz="4" w:space="0" w:color="auto"/>
              <w:left w:val="nil"/>
              <w:bottom w:val="single" w:sz="4" w:space="0" w:color="auto"/>
              <w:right w:val="single" w:sz="4" w:space="0" w:color="auto"/>
            </w:tcBorders>
            <w:shd w:val="clear" w:color="auto" w:fill="auto"/>
            <w:vAlign w:val="center"/>
          </w:tcPr>
          <w:p w14:paraId="3773DF02" w14:textId="77777777" w:rsidR="004A0123" w:rsidRPr="000D3D0C" w:rsidRDefault="004A0123" w:rsidP="008A5C11">
            <w:pPr>
              <w:jc w:val="center"/>
              <w:rPr>
                <w:sz w:val="13"/>
                <w:szCs w:val="13"/>
              </w:rPr>
            </w:pPr>
            <w:r w:rsidRPr="000D3D0C">
              <w:rPr>
                <w:sz w:val="13"/>
                <w:szCs w:val="13"/>
              </w:rPr>
              <w:t>0</w:t>
            </w:r>
          </w:p>
        </w:tc>
        <w:tc>
          <w:tcPr>
            <w:tcW w:w="145" w:type="pct"/>
            <w:tcBorders>
              <w:top w:val="single" w:sz="4" w:space="0" w:color="auto"/>
              <w:left w:val="single" w:sz="4" w:space="0" w:color="auto"/>
              <w:bottom w:val="single" w:sz="4" w:space="0" w:color="auto"/>
              <w:right w:val="single" w:sz="4" w:space="0" w:color="auto"/>
            </w:tcBorders>
            <w:shd w:val="clear" w:color="auto" w:fill="auto"/>
            <w:vAlign w:val="center"/>
          </w:tcPr>
          <w:p w14:paraId="733F13FC" w14:textId="77777777" w:rsidR="004A0123" w:rsidRPr="000D3D0C" w:rsidRDefault="004A0123" w:rsidP="008A5C11">
            <w:pPr>
              <w:jc w:val="center"/>
              <w:rPr>
                <w:sz w:val="13"/>
                <w:szCs w:val="13"/>
              </w:rPr>
            </w:pPr>
            <w:r w:rsidRPr="000D3D0C">
              <w:rPr>
                <w:sz w:val="13"/>
                <w:szCs w:val="13"/>
              </w:rPr>
              <w:t>0</w:t>
            </w:r>
          </w:p>
        </w:tc>
        <w:tc>
          <w:tcPr>
            <w:tcW w:w="148" w:type="pct"/>
            <w:tcBorders>
              <w:top w:val="single" w:sz="4" w:space="0" w:color="auto"/>
              <w:left w:val="nil"/>
              <w:bottom w:val="single" w:sz="4" w:space="0" w:color="auto"/>
              <w:right w:val="single" w:sz="4" w:space="0" w:color="auto"/>
            </w:tcBorders>
            <w:shd w:val="clear" w:color="auto" w:fill="auto"/>
            <w:vAlign w:val="center"/>
          </w:tcPr>
          <w:p w14:paraId="55EE9698" w14:textId="77777777" w:rsidR="004A0123" w:rsidRPr="000D3D0C" w:rsidRDefault="004A0123" w:rsidP="008A5C11">
            <w:pPr>
              <w:jc w:val="center"/>
              <w:rPr>
                <w:sz w:val="13"/>
                <w:szCs w:val="13"/>
              </w:rPr>
            </w:pPr>
            <w:r w:rsidRPr="000D3D0C">
              <w:rPr>
                <w:sz w:val="13"/>
                <w:szCs w:val="13"/>
              </w:rPr>
              <w:t>0</w:t>
            </w:r>
          </w:p>
        </w:tc>
        <w:tc>
          <w:tcPr>
            <w:tcW w:w="181" w:type="pct"/>
            <w:tcBorders>
              <w:top w:val="single" w:sz="4" w:space="0" w:color="auto"/>
              <w:left w:val="nil"/>
              <w:bottom w:val="single" w:sz="4" w:space="0" w:color="auto"/>
              <w:right w:val="single" w:sz="4" w:space="0" w:color="auto"/>
            </w:tcBorders>
            <w:shd w:val="clear" w:color="auto" w:fill="auto"/>
            <w:vAlign w:val="center"/>
          </w:tcPr>
          <w:p w14:paraId="3D141C5C" w14:textId="77777777" w:rsidR="004A0123" w:rsidRPr="000D3D0C" w:rsidRDefault="004A0123" w:rsidP="008A5C11">
            <w:pPr>
              <w:jc w:val="center"/>
              <w:rPr>
                <w:sz w:val="13"/>
                <w:szCs w:val="13"/>
              </w:rPr>
            </w:pPr>
            <w:r w:rsidRPr="000D3D0C">
              <w:rPr>
                <w:sz w:val="13"/>
                <w:szCs w:val="13"/>
              </w:rPr>
              <w:t>0</w:t>
            </w:r>
          </w:p>
        </w:tc>
        <w:tc>
          <w:tcPr>
            <w:tcW w:w="181" w:type="pct"/>
            <w:tcBorders>
              <w:top w:val="single" w:sz="4" w:space="0" w:color="auto"/>
              <w:left w:val="nil"/>
              <w:bottom w:val="single" w:sz="4" w:space="0" w:color="auto"/>
              <w:right w:val="single" w:sz="4" w:space="0" w:color="auto"/>
            </w:tcBorders>
            <w:shd w:val="clear" w:color="auto" w:fill="auto"/>
            <w:vAlign w:val="center"/>
          </w:tcPr>
          <w:p w14:paraId="4790D8C7" w14:textId="77777777" w:rsidR="004A0123" w:rsidRPr="000D3D0C" w:rsidRDefault="004A0123" w:rsidP="008A5C11">
            <w:pPr>
              <w:jc w:val="center"/>
              <w:rPr>
                <w:sz w:val="13"/>
                <w:szCs w:val="13"/>
              </w:rPr>
            </w:pPr>
            <w:r w:rsidRPr="000D3D0C">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1AD91E97" w14:textId="77777777" w:rsidR="004A0123" w:rsidRPr="000D3D0C" w:rsidRDefault="004A0123" w:rsidP="008A5C11">
            <w:pPr>
              <w:jc w:val="center"/>
              <w:rPr>
                <w:sz w:val="13"/>
                <w:szCs w:val="13"/>
              </w:rPr>
            </w:pPr>
            <w:r w:rsidRPr="000D3D0C">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16774799" w14:textId="77777777" w:rsidR="004A0123" w:rsidRPr="000D3D0C" w:rsidRDefault="004A0123" w:rsidP="008A5C11">
            <w:pPr>
              <w:jc w:val="center"/>
              <w:rPr>
                <w:sz w:val="13"/>
                <w:szCs w:val="13"/>
              </w:rPr>
            </w:pPr>
            <w:r w:rsidRPr="000D3D0C">
              <w:rPr>
                <w:sz w:val="13"/>
                <w:szCs w:val="13"/>
              </w:rPr>
              <w:t>0</w:t>
            </w:r>
          </w:p>
        </w:tc>
        <w:tc>
          <w:tcPr>
            <w:tcW w:w="158" w:type="pct"/>
            <w:tcBorders>
              <w:top w:val="single" w:sz="4" w:space="0" w:color="auto"/>
              <w:left w:val="single" w:sz="4" w:space="0" w:color="auto"/>
              <w:bottom w:val="single" w:sz="4" w:space="0" w:color="auto"/>
              <w:right w:val="single" w:sz="4" w:space="0" w:color="auto"/>
            </w:tcBorders>
            <w:vAlign w:val="center"/>
          </w:tcPr>
          <w:p w14:paraId="790269A8" w14:textId="77777777" w:rsidR="004A0123" w:rsidRPr="000D3D0C" w:rsidRDefault="004A0123" w:rsidP="008A5C11">
            <w:pPr>
              <w:jc w:val="center"/>
              <w:rPr>
                <w:sz w:val="13"/>
                <w:szCs w:val="13"/>
              </w:rPr>
            </w:pPr>
            <w:r w:rsidRPr="000D3D0C">
              <w:rPr>
                <w:sz w:val="13"/>
                <w:szCs w:val="13"/>
              </w:rPr>
              <w:t>0</w:t>
            </w:r>
          </w:p>
        </w:tc>
        <w:tc>
          <w:tcPr>
            <w:tcW w:w="172" w:type="pct"/>
            <w:tcBorders>
              <w:top w:val="single" w:sz="4" w:space="0" w:color="auto"/>
              <w:left w:val="single" w:sz="4" w:space="0" w:color="auto"/>
              <w:bottom w:val="single" w:sz="4" w:space="0" w:color="auto"/>
              <w:right w:val="single" w:sz="4" w:space="0" w:color="auto"/>
            </w:tcBorders>
            <w:vAlign w:val="center"/>
          </w:tcPr>
          <w:p w14:paraId="6C9C5142" w14:textId="77777777" w:rsidR="004A0123" w:rsidRPr="000D3D0C" w:rsidRDefault="004A0123" w:rsidP="008A5C11">
            <w:pPr>
              <w:jc w:val="center"/>
              <w:rPr>
                <w:sz w:val="13"/>
                <w:szCs w:val="13"/>
              </w:rPr>
            </w:pPr>
            <w:r w:rsidRPr="000D3D0C">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43E63B4D" w14:textId="77777777" w:rsidR="004A0123" w:rsidRPr="000D3D0C" w:rsidRDefault="004A0123" w:rsidP="008A5C11">
            <w:pPr>
              <w:rPr>
                <w:sz w:val="13"/>
                <w:szCs w:val="13"/>
              </w:rPr>
            </w:pPr>
            <w:r w:rsidRPr="000D3D0C">
              <w:rPr>
                <w:sz w:val="13"/>
                <w:szCs w:val="13"/>
              </w:rPr>
              <w:t>22065</w:t>
            </w:r>
          </w:p>
        </w:tc>
        <w:tc>
          <w:tcPr>
            <w:tcW w:w="146" w:type="pct"/>
            <w:tcBorders>
              <w:top w:val="single" w:sz="4" w:space="0" w:color="auto"/>
              <w:left w:val="single" w:sz="4" w:space="0" w:color="auto"/>
              <w:bottom w:val="single" w:sz="4" w:space="0" w:color="auto"/>
              <w:right w:val="single" w:sz="4" w:space="0" w:color="auto"/>
            </w:tcBorders>
            <w:vAlign w:val="center"/>
          </w:tcPr>
          <w:p w14:paraId="727DC938" w14:textId="77777777" w:rsidR="004A0123" w:rsidRPr="000D3D0C" w:rsidRDefault="004A0123" w:rsidP="008A5C11">
            <w:pPr>
              <w:jc w:val="center"/>
              <w:rPr>
                <w:sz w:val="13"/>
                <w:szCs w:val="13"/>
              </w:rPr>
            </w:pPr>
            <w:r w:rsidRPr="000D3D0C">
              <w:rPr>
                <w:sz w:val="13"/>
                <w:szCs w:val="13"/>
              </w:rPr>
              <w:t>0</w:t>
            </w:r>
          </w:p>
        </w:tc>
        <w:tc>
          <w:tcPr>
            <w:tcW w:w="181" w:type="pct"/>
            <w:tcBorders>
              <w:top w:val="single" w:sz="4" w:space="0" w:color="auto"/>
              <w:left w:val="single" w:sz="4" w:space="0" w:color="auto"/>
              <w:bottom w:val="single" w:sz="4" w:space="0" w:color="auto"/>
              <w:right w:val="single" w:sz="4" w:space="0" w:color="auto"/>
            </w:tcBorders>
            <w:vAlign w:val="center"/>
          </w:tcPr>
          <w:p w14:paraId="5E9D57C9" w14:textId="77777777" w:rsidR="004A0123" w:rsidRPr="000D3D0C" w:rsidRDefault="004A0123" w:rsidP="008A5C11">
            <w:pPr>
              <w:jc w:val="center"/>
              <w:rPr>
                <w:sz w:val="13"/>
                <w:szCs w:val="13"/>
              </w:rPr>
            </w:pPr>
            <w:r w:rsidRPr="000D3D0C">
              <w:rPr>
                <w:sz w:val="13"/>
                <w:szCs w:val="13"/>
              </w:rPr>
              <w:t>0</w:t>
            </w:r>
          </w:p>
        </w:tc>
        <w:tc>
          <w:tcPr>
            <w:tcW w:w="178" w:type="pct"/>
            <w:tcBorders>
              <w:top w:val="single" w:sz="4" w:space="0" w:color="auto"/>
              <w:left w:val="single" w:sz="4" w:space="0" w:color="auto"/>
              <w:bottom w:val="single" w:sz="4" w:space="0" w:color="auto"/>
              <w:right w:val="single" w:sz="4" w:space="0" w:color="auto"/>
            </w:tcBorders>
            <w:vAlign w:val="center"/>
          </w:tcPr>
          <w:p w14:paraId="553DB055" w14:textId="77777777" w:rsidR="004A0123" w:rsidRPr="000D3D0C" w:rsidRDefault="004A0123" w:rsidP="008A5C11">
            <w:pPr>
              <w:jc w:val="center"/>
              <w:rPr>
                <w:sz w:val="13"/>
                <w:szCs w:val="13"/>
              </w:rPr>
            </w:pPr>
            <w:r w:rsidRPr="000D3D0C">
              <w:rPr>
                <w:sz w:val="13"/>
                <w:szCs w:val="13"/>
              </w:rPr>
              <w:t>0</w:t>
            </w:r>
          </w:p>
        </w:tc>
      </w:tr>
      <w:tr w:rsidR="004A0123" w:rsidRPr="000D3D0C" w14:paraId="6F4583E7" w14:textId="77777777" w:rsidTr="008A5C11">
        <w:trPr>
          <w:trHeight w:val="579"/>
        </w:trPr>
        <w:tc>
          <w:tcPr>
            <w:tcW w:w="147" w:type="pct"/>
            <w:tcBorders>
              <w:bottom w:val="single" w:sz="4" w:space="0" w:color="auto"/>
            </w:tcBorders>
            <w:shd w:val="clear" w:color="auto" w:fill="auto"/>
            <w:vAlign w:val="center"/>
          </w:tcPr>
          <w:p w14:paraId="07003F10" w14:textId="77777777" w:rsidR="004A0123" w:rsidRPr="000D3D0C" w:rsidRDefault="004A0123" w:rsidP="008A5C11">
            <w:pPr>
              <w:jc w:val="center"/>
              <w:rPr>
                <w:sz w:val="13"/>
                <w:szCs w:val="13"/>
              </w:rPr>
            </w:pPr>
            <w:r w:rsidRPr="000D3D0C">
              <w:rPr>
                <w:sz w:val="13"/>
                <w:szCs w:val="13"/>
              </w:rPr>
              <w:t>3.2.9.</w:t>
            </w:r>
          </w:p>
        </w:tc>
        <w:tc>
          <w:tcPr>
            <w:tcW w:w="584" w:type="pct"/>
            <w:tcBorders>
              <w:top w:val="nil"/>
              <w:left w:val="single" w:sz="4" w:space="0" w:color="auto"/>
              <w:bottom w:val="single" w:sz="4" w:space="0" w:color="auto"/>
              <w:right w:val="single" w:sz="4" w:space="0" w:color="auto"/>
            </w:tcBorders>
            <w:shd w:val="clear" w:color="auto" w:fill="auto"/>
            <w:vAlign w:val="center"/>
          </w:tcPr>
          <w:p w14:paraId="2F800BF3" w14:textId="77777777" w:rsidR="004A0123" w:rsidRPr="000D3D0C" w:rsidRDefault="004A0123" w:rsidP="008A5C11">
            <w:pPr>
              <w:rPr>
                <w:color w:val="000000"/>
                <w:sz w:val="13"/>
                <w:szCs w:val="13"/>
              </w:rPr>
            </w:pPr>
            <w:r w:rsidRPr="000D3D0C">
              <w:rPr>
                <w:color w:val="000000"/>
                <w:sz w:val="13"/>
                <w:szCs w:val="13"/>
              </w:rPr>
              <w:t>Реконструкция систем углеподачи и золошлакоудаления</w:t>
            </w:r>
          </w:p>
        </w:tc>
        <w:tc>
          <w:tcPr>
            <w:tcW w:w="358" w:type="pct"/>
            <w:tcBorders>
              <w:top w:val="nil"/>
              <w:left w:val="nil"/>
              <w:bottom w:val="single" w:sz="4" w:space="0" w:color="auto"/>
              <w:right w:val="single" w:sz="4" w:space="0" w:color="auto"/>
            </w:tcBorders>
            <w:shd w:val="clear" w:color="auto" w:fill="auto"/>
            <w:vAlign w:val="center"/>
          </w:tcPr>
          <w:p w14:paraId="5E573986" w14:textId="77777777" w:rsidR="004A0123" w:rsidRPr="000D3D0C" w:rsidRDefault="004A0123" w:rsidP="008A5C11">
            <w:pPr>
              <w:jc w:val="center"/>
              <w:rPr>
                <w:color w:val="000000"/>
                <w:sz w:val="13"/>
                <w:szCs w:val="13"/>
              </w:rPr>
            </w:pPr>
            <w:r w:rsidRPr="000D3D0C">
              <w:rPr>
                <w:color w:val="000000"/>
                <w:sz w:val="13"/>
                <w:szCs w:val="13"/>
              </w:rPr>
              <w:t>Повышение надежности теплоснабжения</w:t>
            </w:r>
          </w:p>
        </w:tc>
        <w:tc>
          <w:tcPr>
            <w:tcW w:w="389" w:type="pct"/>
            <w:tcBorders>
              <w:top w:val="nil"/>
              <w:left w:val="nil"/>
              <w:bottom w:val="single" w:sz="4" w:space="0" w:color="auto"/>
              <w:right w:val="single" w:sz="4" w:space="0" w:color="auto"/>
            </w:tcBorders>
            <w:shd w:val="clear" w:color="auto" w:fill="auto"/>
            <w:vAlign w:val="center"/>
          </w:tcPr>
          <w:p w14:paraId="5346B820" w14:textId="77777777" w:rsidR="004A0123" w:rsidRPr="000D3D0C" w:rsidRDefault="004A0123" w:rsidP="008A5C11">
            <w:pPr>
              <w:jc w:val="center"/>
              <w:rPr>
                <w:color w:val="000000"/>
                <w:sz w:val="13"/>
                <w:szCs w:val="13"/>
              </w:rPr>
            </w:pPr>
            <w:r w:rsidRPr="000D3D0C">
              <w:rPr>
                <w:color w:val="000000"/>
                <w:sz w:val="13"/>
                <w:szCs w:val="13"/>
              </w:rPr>
              <w:t xml:space="preserve">г. </w:t>
            </w:r>
            <w:proofErr w:type="gramStart"/>
            <w:r w:rsidRPr="000D3D0C">
              <w:rPr>
                <w:color w:val="000000"/>
                <w:sz w:val="13"/>
                <w:szCs w:val="13"/>
              </w:rPr>
              <w:t xml:space="preserve">Тайга,   </w:t>
            </w:r>
            <w:proofErr w:type="gramEnd"/>
            <w:r w:rsidRPr="000D3D0C">
              <w:rPr>
                <w:color w:val="000000"/>
                <w:sz w:val="13"/>
                <w:szCs w:val="13"/>
              </w:rPr>
              <w:t xml:space="preserve">               ул.Таежная,д.11.             Котельная Центральная</w:t>
            </w:r>
            <w:r w:rsidRPr="000D3D0C">
              <w:rPr>
                <w:color w:val="000000"/>
                <w:sz w:val="13"/>
                <w:szCs w:val="13"/>
              </w:rPr>
              <w:tab/>
            </w:r>
          </w:p>
        </w:tc>
        <w:tc>
          <w:tcPr>
            <w:tcW w:w="336" w:type="pct"/>
            <w:tcBorders>
              <w:top w:val="nil"/>
              <w:left w:val="nil"/>
              <w:bottom w:val="single" w:sz="4" w:space="0" w:color="auto"/>
              <w:right w:val="single" w:sz="4" w:space="0" w:color="auto"/>
            </w:tcBorders>
            <w:shd w:val="clear" w:color="auto" w:fill="auto"/>
            <w:vAlign w:val="center"/>
          </w:tcPr>
          <w:p w14:paraId="5B12736C" w14:textId="77777777" w:rsidR="004A0123" w:rsidRPr="000D3D0C" w:rsidRDefault="004A0123" w:rsidP="008A5C11">
            <w:pPr>
              <w:jc w:val="center"/>
              <w:rPr>
                <w:sz w:val="13"/>
                <w:szCs w:val="13"/>
              </w:rPr>
            </w:pPr>
            <w:r w:rsidRPr="000D3D0C">
              <w:rPr>
                <w:sz w:val="13"/>
                <w:szCs w:val="13"/>
              </w:rPr>
              <w:t>Износ</w:t>
            </w:r>
          </w:p>
        </w:tc>
        <w:tc>
          <w:tcPr>
            <w:tcW w:w="133" w:type="pct"/>
            <w:tcBorders>
              <w:top w:val="nil"/>
              <w:left w:val="nil"/>
              <w:bottom w:val="single" w:sz="4" w:space="0" w:color="auto"/>
              <w:right w:val="single" w:sz="4" w:space="0" w:color="auto"/>
            </w:tcBorders>
            <w:shd w:val="clear" w:color="auto" w:fill="auto"/>
            <w:vAlign w:val="center"/>
          </w:tcPr>
          <w:p w14:paraId="6DE2E13B" w14:textId="77777777" w:rsidR="004A0123" w:rsidRPr="000D3D0C" w:rsidRDefault="004A0123" w:rsidP="008A5C11">
            <w:pPr>
              <w:jc w:val="center"/>
              <w:rPr>
                <w:sz w:val="13"/>
                <w:szCs w:val="13"/>
              </w:rPr>
            </w:pPr>
            <w:r w:rsidRPr="000D3D0C">
              <w:rPr>
                <w:sz w:val="13"/>
                <w:szCs w:val="13"/>
              </w:rPr>
              <w:t>%</w:t>
            </w:r>
          </w:p>
        </w:tc>
        <w:tc>
          <w:tcPr>
            <w:tcW w:w="180" w:type="pct"/>
            <w:tcBorders>
              <w:top w:val="nil"/>
              <w:left w:val="single" w:sz="4" w:space="0" w:color="auto"/>
              <w:bottom w:val="single" w:sz="4" w:space="0" w:color="auto"/>
              <w:right w:val="single" w:sz="4" w:space="0" w:color="auto"/>
            </w:tcBorders>
            <w:shd w:val="clear" w:color="auto" w:fill="auto"/>
            <w:vAlign w:val="center"/>
          </w:tcPr>
          <w:p w14:paraId="33E77CF6" w14:textId="77777777" w:rsidR="004A0123" w:rsidRPr="000D3D0C" w:rsidRDefault="004A0123" w:rsidP="008A5C11">
            <w:pPr>
              <w:jc w:val="center"/>
              <w:rPr>
                <w:sz w:val="13"/>
                <w:szCs w:val="13"/>
              </w:rPr>
            </w:pPr>
            <w:r w:rsidRPr="000D3D0C">
              <w:rPr>
                <w:sz w:val="13"/>
                <w:szCs w:val="13"/>
              </w:rPr>
              <w:t>100</w:t>
            </w:r>
          </w:p>
        </w:tc>
        <w:tc>
          <w:tcPr>
            <w:tcW w:w="176" w:type="pct"/>
            <w:tcBorders>
              <w:top w:val="nil"/>
              <w:left w:val="nil"/>
              <w:bottom w:val="single" w:sz="4" w:space="0" w:color="auto"/>
              <w:right w:val="single" w:sz="4" w:space="0" w:color="auto"/>
            </w:tcBorders>
            <w:shd w:val="clear" w:color="auto" w:fill="auto"/>
            <w:vAlign w:val="center"/>
          </w:tcPr>
          <w:p w14:paraId="52B1ABD4" w14:textId="77777777" w:rsidR="004A0123" w:rsidRPr="000D3D0C" w:rsidRDefault="004A0123" w:rsidP="008A5C11">
            <w:pPr>
              <w:jc w:val="center"/>
              <w:rPr>
                <w:sz w:val="13"/>
                <w:szCs w:val="13"/>
              </w:rPr>
            </w:pPr>
            <w:r w:rsidRPr="000D3D0C">
              <w:rPr>
                <w:sz w:val="13"/>
                <w:szCs w:val="13"/>
              </w:rPr>
              <w:t>0</w:t>
            </w:r>
          </w:p>
        </w:tc>
        <w:tc>
          <w:tcPr>
            <w:tcW w:w="188" w:type="pct"/>
            <w:tcBorders>
              <w:top w:val="nil"/>
              <w:left w:val="nil"/>
              <w:bottom w:val="single" w:sz="4" w:space="0" w:color="auto"/>
              <w:right w:val="single" w:sz="4" w:space="0" w:color="auto"/>
            </w:tcBorders>
            <w:shd w:val="clear" w:color="auto" w:fill="auto"/>
            <w:vAlign w:val="center"/>
          </w:tcPr>
          <w:p w14:paraId="0519C248" w14:textId="77777777" w:rsidR="004A0123" w:rsidRPr="000D3D0C" w:rsidRDefault="004A0123" w:rsidP="008A5C11">
            <w:pPr>
              <w:jc w:val="center"/>
              <w:rPr>
                <w:color w:val="000000"/>
                <w:sz w:val="13"/>
                <w:szCs w:val="13"/>
              </w:rPr>
            </w:pPr>
            <w:r w:rsidRPr="000D3D0C">
              <w:rPr>
                <w:color w:val="000000"/>
                <w:sz w:val="13"/>
                <w:szCs w:val="13"/>
              </w:rPr>
              <w:t>2023</w:t>
            </w:r>
          </w:p>
        </w:tc>
        <w:tc>
          <w:tcPr>
            <w:tcW w:w="186" w:type="pct"/>
            <w:tcBorders>
              <w:top w:val="nil"/>
              <w:left w:val="nil"/>
              <w:bottom w:val="single" w:sz="4" w:space="0" w:color="auto"/>
              <w:right w:val="single" w:sz="4" w:space="0" w:color="auto"/>
            </w:tcBorders>
            <w:shd w:val="clear" w:color="auto" w:fill="auto"/>
            <w:vAlign w:val="center"/>
          </w:tcPr>
          <w:p w14:paraId="483EE49A" w14:textId="77777777" w:rsidR="004A0123" w:rsidRPr="000D3D0C" w:rsidRDefault="004A0123" w:rsidP="008A5C11">
            <w:pPr>
              <w:jc w:val="center"/>
              <w:rPr>
                <w:color w:val="000000"/>
                <w:sz w:val="13"/>
                <w:szCs w:val="13"/>
              </w:rPr>
            </w:pPr>
            <w:r w:rsidRPr="000D3D0C">
              <w:rPr>
                <w:color w:val="000000"/>
                <w:sz w:val="13"/>
                <w:szCs w:val="13"/>
              </w:rPr>
              <w:t>2024</w:t>
            </w:r>
          </w:p>
        </w:tc>
        <w:tc>
          <w:tcPr>
            <w:tcW w:w="186" w:type="pct"/>
            <w:tcBorders>
              <w:top w:val="nil"/>
              <w:left w:val="nil"/>
              <w:bottom w:val="single" w:sz="4" w:space="0" w:color="auto"/>
              <w:right w:val="single" w:sz="4" w:space="0" w:color="auto"/>
            </w:tcBorders>
            <w:shd w:val="clear" w:color="auto" w:fill="auto"/>
            <w:vAlign w:val="center"/>
          </w:tcPr>
          <w:p w14:paraId="2FD4B460" w14:textId="77777777" w:rsidR="004A0123" w:rsidRPr="000D3D0C" w:rsidRDefault="004A0123" w:rsidP="008A5C11">
            <w:pPr>
              <w:jc w:val="center"/>
              <w:rPr>
                <w:color w:val="000000"/>
                <w:sz w:val="13"/>
                <w:szCs w:val="13"/>
              </w:rPr>
            </w:pPr>
            <w:r w:rsidRPr="000D3D0C">
              <w:rPr>
                <w:color w:val="000000"/>
                <w:sz w:val="13"/>
                <w:szCs w:val="13"/>
              </w:rPr>
              <w:t>17735</w:t>
            </w:r>
          </w:p>
        </w:tc>
        <w:tc>
          <w:tcPr>
            <w:tcW w:w="186" w:type="pct"/>
            <w:tcBorders>
              <w:top w:val="nil"/>
              <w:left w:val="nil"/>
              <w:bottom w:val="single" w:sz="4" w:space="0" w:color="auto"/>
              <w:right w:val="single" w:sz="4" w:space="0" w:color="auto"/>
            </w:tcBorders>
            <w:shd w:val="clear" w:color="auto" w:fill="auto"/>
            <w:vAlign w:val="center"/>
          </w:tcPr>
          <w:p w14:paraId="0E1884D8" w14:textId="77777777" w:rsidR="004A0123" w:rsidRPr="000D3D0C" w:rsidRDefault="004A0123" w:rsidP="008A5C11">
            <w:pPr>
              <w:jc w:val="center"/>
              <w:rPr>
                <w:sz w:val="13"/>
                <w:szCs w:val="13"/>
              </w:rPr>
            </w:pPr>
            <w:r w:rsidRPr="000D3D0C">
              <w:rPr>
                <w:sz w:val="13"/>
                <w:szCs w:val="13"/>
              </w:rPr>
              <w:t>0</w:t>
            </w:r>
          </w:p>
        </w:tc>
        <w:tc>
          <w:tcPr>
            <w:tcW w:w="145" w:type="pct"/>
            <w:tcBorders>
              <w:top w:val="nil"/>
              <w:left w:val="single" w:sz="4" w:space="0" w:color="auto"/>
              <w:bottom w:val="single" w:sz="4" w:space="0" w:color="auto"/>
              <w:right w:val="single" w:sz="4" w:space="0" w:color="auto"/>
            </w:tcBorders>
            <w:shd w:val="clear" w:color="auto" w:fill="auto"/>
            <w:vAlign w:val="center"/>
          </w:tcPr>
          <w:p w14:paraId="5DAD0E43" w14:textId="77777777" w:rsidR="004A0123" w:rsidRPr="000D3D0C" w:rsidRDefault="004A0123" w:rsidP="008A5C11">
            <w:pPr>
              <w:jc w:val="center"/>
              <w:rPr>
                <w:sz w:val="13"/>
                <w:szCs w:val="13"/>
              </w:rPr>
            </w:pPr>
            <w:r w:rsidRPr="000D3D0C">
              <w:rPr>
                <w:sz w:val="13"/>
                <w:szCs w:val="13"/>
              </w:rPr>
              <w:t>0</w:t>
            </w:r>
          </w:p>
        </w:tc>
        <w:tc>
          <w:tcPr>
            <w:tcW w:w="148" w:type="pct"/>
            <w:tcBorders>
              <w:top w:val="nil"/>
              <w:left w:val="nil"/>
              <w:bottom w:val="single" w:sz="4" w:space="0" w:color="auto"/>
              <w:right w:val="single" w:sz="4" w:space="0" w:color="auto"/>
            </w:tcBorders>
            <w:shd w:val="clear" w:color="auto" w:fill="auto"/>
            <w:vAlign w:val="center"/>
          </w:tcPr>
          <w:p w14:paraId="5308F83B" w14:textId="77777777" w:rsidR="004A0123" w:rsidRPr="000D3D0C" w:rsidRDefault="004A0123" w:rsidP="008A5C11">
            <w:pPr>
              <w:jc w:val="center"/>
              <w:rPr>
                <w:sz w:val="13"/>
                <w:szCs w:val="13"/>
              </w:rPr>
            </w:pPr>
            <w:r w:rsidRPr="000D3D0C">
              <w:rPr>
                <w:sz w:val="13"/>
                <w:szCs w:val="13"/>
              </w:rPr>
              <w:t>0</w:t>
            </w:r>
          </w:p>
        </w:tc>
        <w:tc>
          <w:tcPr>
            <w:tcW w:w="181" w:type="pct"/>
            <w:tcBorders>
              <w:top w:val="nil"/>
              <w:left w:val="nil"/>
              <w:bottom w:val="single" w:sz="4" w:space="0" w:color="auto"/>
              <w:right w:val="single" w:sz="4" w:space="0" w:color="auto"/>
            </w:tcBorders>
            <w:shd w:val="clear" w:color="auto" w:fill="auto"/>
            <w:vAlign w:val="center"/>
          </w:tcPr>
          <w:p w14:paraId="1A27CBBF" w14:textId="77777777" w:rsidR="004A0123" w:rsidRPr="000D3D0C" w:rsidRDefault="004A0123" w:rsidP="008A5C11">
            <w:pPr>
              <w:jc w:val="center"/>
              <w:rPr>
                <w:sz w:val="13"/>
                <w:szCs w:val="13"/>
              </w:rPr>
            </w:pPr>
            <w:r w:rsidRPr="000D3D0C">
              <w:rPr>
                <w:sz w:val="13"/>
                <w:szCs w:val="13"/>
              </w:rPr>
              <w:t>7814</w:t>
            </w:r>
          </w:p>
        </w:tc>
        <w:tc>
          <w:tcPr>
            <w:tcW w:w="181" w:type="pct"/>
            <w:tcBorders>
              <w:top w:val="nil"/>
              <w:left w:val="nil"/>
              <w:bottom w:val="single" w:sz="4" w:space="0" w:color="auto"/>
              <w:right w:val="single" w:sz="4" w:space="0" w:color="auto"/>
            </w:tcBorders>
            <w:shd w:val="clear" w:color="auto" w:fill="auto"/>
            <w:vAlign w:val="center"/>
          </w:tcPr>
          <w:p w14:paraId="03C02FD6" w14:textId="77777777" w:rsidR="004A0123" w:rsidRPr="000D3D0C" w:rsidRDefault="004A0123" w:rsidP="008A5C11">
            <w:pPr>
              <w:jc w:val="center"/>
              <w:rPr>
                <w:sz w:val="13"/>
                <w:szCs w:val="13"/>
              </w:rPr>
            </w:pPr>
            <w:r w:rsidRPr="000D3D0C">
              <w:rPr>
                <w:sz w:val="13"/>
                <w:szCs w:val="13"/>
              </w:rPr>
              <w:t>9921</w:t>
            </w:r>
          </w:p>
        </w:tc>
        <w:tc>
          <w:tcPr>
            <w:tcW w:w="153" w:type="pct"/>
            <w:tcBorders>
              <w:top w:val="single" w:sz="4" w:space="0" w:color="auto"/>
              <w:left w:val="single" w:sz="4" w:space="0" w:color="auto"/>
              <w:bottom w:val="single" w:sz="4" w:space="0" w:color="auto"/>
              <w:right w:val="single" w:sz="4" w:space="0" w:color="auto"/>
            </w:tcBorders>
            <w:vAlign w:val="center"/>
          </w:tcPr>
          <w:p w14:paraId="7EF7E939" w14:textId="77777777" w:rsidR="004A0123" w:rsidRPr="000D3D0C" w:rsidRDefault="004A0123" w:rsidP="008A5C11">
            <w:pPr>
              <w:jc w:val="center"/>
              <w:rPr>
                <w:sz w:val="13"/>
                <w:szCs w:val="13"/>
              </w:rPr>
            </w:pPr>
            <w:r w:rsidRPr="000D3D0C">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07BB30AA" w14:textId="77777777" w:rsidR="004A0123" w:rsidRPr="000D3D0C" w:rsidRDefault="004A0123" w:rsidP="008A5C11">
            <w:pPr>
              <w:jc w:val="center"/>
              <w:rPr>
                <w:sz w:val="13"/>
                <w:szCs w:val="13"/>
              </w:rPr>
            </w:pPr>
            <w:r w:rsidRPr="000D3D0C">
              <w:rPr>
                <w:sz w:val="13"/>
                <w:szCs w:val="13"/>
              </w:rPr>
              <w:t>0</w:t>
            </w:r>
          </w:p>
        </w:tc>
        <w:tc>
          <w:tcPr>
            <w:tcW w:w="158" w:type="pct"/>
            <w:tcBorders>
              <w:top w:val="single" w:sz="4" w:space="0" w:color="auto"/>
              <w:left w:val="single" w:sz="4" w:space="0" w:color="auto"/>
              <w:bottom w:val="single" w:sz="4" w:space="0" w:color="auto"/>
              <w:right w:val="single" w:sz="4" w:space="0" w:color="auto"/>
            </w:tcBorders>
            <w:vAlign w:val="center"/>
          </w:tcPr>
          <w:p w14:paraId="33468E19" w14:textId="77777777" w:rsidR="004A0123" w:rsidRPr="000D3D0C" w:rsidRDefault="004A0123" w:rsidP="008A5C11">
            <w:pPr>
              <w:jc w:val="center"/>
              <w:rPr>
                <w:sz w:val="13"/>
                <w:szCs w:val="13"/>
              </w:rPr>
            </w:pPr>
            <w:r w:rsidRPr="000D3D0C">
              <w:rPr>
                <w:sz w:val="13"/>
                <w:szCs w:val="13"/>
              </w:rPr>
              <w:t>0</w:t>
            </w:r>
          </w:p>
        </w:tc>
        <w:tc>
          <w:tcPr>
            <w:tcW w:w="172" w:type="pct"/>
            <w:tcBorders>
              <w:top w:val="single" w:sz="4" w:space="0" w:color="auto"/>
              <w:left w:val="single" w:sz="4" w:space="0" w:color="auto"/>
              <w:bottom w:val="single" w:sz="4" w:space="0" w:color="auto"/>
              <w:right w:val="single" w:sz="4" w:space="0" w:color="auto"/>
            </w:tcBorders>
            <w:vAlign w:val="center"/>
          </w:tcPr>
          <w:p w14:paraId="34C63298" w14:textId="77777777" w:rsidR="004A0123" w:rsidRPr="000D3D0C" w:rsidRDefault="004A0123" w:rsidP="008A5C11">
            <w:pPr>
              <w:jc w:val="center"/>
              <w:rPr>
                <w:sz w:val="13"/>
                <w:szCs w:val="13"/>
              </w:rPr>
            </w:pPr>
            <w:r w:rsidRPr="000D3D0C">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328FBF12" w14:textId="77777777" w:rsidR="004A0123" w:rsidRPr="000D3D0C" w:rsidRDefault="004A0123" w:rsidP="008A5C11">
            <w:pPr>
              <w:jc w:val="center"/>
              <w:rPr>
                <w:sz w:val="13"/>
                <w:szCs w:val="13"/>
              </w:rPr>
            </w:pPr>
            <w:r w:rsidRPr="000D3D0C">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4FA1E4D0" w14:textId="77777777" w:rsidR="004A0123" w:rsidRPr="000D3D0C" w:rsidRDefault="004A0123" w:rsidP="008A5C11">
            <w:pPr>
              <w:jc w:val="center"/>
              <w:rPr>
                <w:sz w:val="13"/>
                <w:szCs w:val="13"/>
              </w:rPr>
            </w:pPr>
            <w:r w:rsidRPr="000D3D0C">
              <w:rPr>
                <w:sz w:val="13"/>
                <w:szCs w:val="13"/>
              </w:rPr>
              <w:t>0</w:t>
            </w:r>
          </w:p>
        </w:tc>
        <w:tc>
          <w:tcPr>
            <w:tcW w:w="181" w:type="pct"/>
            <w:tcBorders>
              <w:top w:val="single" w:sz="4" w:space="0" w:color="auto"/>
              <w:left w:val="single" w:sz="4" w:space="0" w:color="auto"/>
              <w:bottom w:val="single" w:sz="4" w:space="0" w:color="auto"/>
              <w:right w:val="single" w:sz="4" w:space="0" w:color="auto"/>
            </w:tcBorders>
            <w:vAlign w:val="center"/>
          </w:tcPr>
          <w:p w14:paraId="10D3E026" w14:textId="77777777" w:rsidR="004A0123" w:rsidRPr="000D3D0C" w:rsidRDefault="004A0123" w:rsidP="008A5C11">
            <w:pPr>
              <w:jc w:val="center"/>
              <w:rPr>
                <w:sz w:val="13"/>
                <w:szCs w:val="13"/>
              </w:rPr>
            </w:pPr>
            <w:r w:rsidRPr="000D3D0C">
              <w:rPr>
                <w:sz w:val="13"/>
                <w:szCs w:val="13"/>
              </w:rPr>
              <w:t>0</w:t>
            </w:r>
          </w:p>
        </w:tc>
        <w:tc>
          <w:tcPr>
            <w:tcW w:w="178" w:type="pct"/>
            <w:tcBorders>
              <w:top w:val="single" w:sz="4" w:space="0" w:color="auto"/>
              <w:left w:val="single" w:sz="4" w:space="0" w:color="auto"/>
              <w:bottom w:val="single" w:sz="4" w:space="0" w:color="auto"/>
              <w:right w:val="single" w:sz="4" w:space="0" w:color="auto"/>
            </w:tcBorders>
            <w:vAlign w:val="center"/>
          </w:tcPr>
          <w:p w14:paraId="2B4ACA74" w14:textId="77777777" w:rsidR="004A0123" w:rsidRPr="000D3D0C" w:rsidRDefault="004A0123" w:rsidP="008A5C11">
            <w:pPr>
              <w:jc w:val="center"/>
              <w:rPr>
                <w:sz w:val="13"/>
                <w:szCs w:val="13"/>
              </w:rPr>
            </w:pPr>
            <w:r w:rsidRPr="000D3D0C">
              <w:rPr>
                <w:sz w:val="13"/>
                <w:szCs w:val="13"/>
              </w:rPr>
              <w:t>0</w:t>
            </w:r>
          </w:p>
        </w:tc>
      </w:tr>
      <w:tr w:rsidR="004A0123" w:rsidRPr="000D3D0C" w14:paraId="0D55199C" w14:textId="77777777" w:rsidTr="008A5C11">
        <w:trPr>
          <w:trHeight w:val="64"/>
        </w:trPr>
        <w:tc>
          <w:tcPr>
            <w:tcW w:w="147" w:type="pct"/>
            <w:tcBorders>
              <w:top w:val="single" w:sz="4" w:space="0" w:color="auto"/>
              <w:bottom w:val="single" w:sz="4" w:space="0" w:color="auto"/>
            </w:tcBorders>
            <w:shd w:val="clear" w:color="auto" w:fill="auto"/>
            <w:vAlign w:val="center"/>
          </w:tcPr>
          <w:p w14:paraId="58E224DC" w14:textId="77777777" w:rsidR="004A0123" w:rsidRPr="000D3D0C" w:rsidRDefault="004A0123" w:rsidP="008A5C11">
            <w:pPr>
              <w:jc w:val="center"/>
              <w:rPr>
                <w:sz w:val="13"/>
                <w:szCs w:val="13"/>
              </w:rPr>
            </w:pPr>
            <w:r w:rsidRPr="000D3D0C">
              <w:rPr>
                <w:sz w:val="13"/>
                <w:szCs w:val="13"/>
              </w:rPr>
              <w:t>3.2.10.</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76ACF425" w14:textId="77777777" w:rsidR="004A0123" w:rsidRPr="000D3D0C" w:rsidRDefault="004A0123" w:rsidP="008A5C11">
            <w:pPr>
              <w:rPr>
                <w:color w:val="000000"/>
                <w:sz w:val="13"/>
                <w:szCs w:val="13"/>
              </w:rPr>
            </w:pPr>
            <w:r w:rsidRPr="000D3D0C">
              <w:rPr>
                <w:color w:val="000000"/>
                <w:sz w:val="13"/>
                <w:szCs w:val="13"/>
              </w:rPr>
              <w:t xml:space="preserve">Реконструкция ЦТП 1, ЦТП 3, ЦТП 4, ЦТП 5, ЦТП 6, ЦТП </w:t>
            </w:r>
            <w:proofErr w:type="gramStart"/>
            <w:r w:rsidRPr="000D3D0C">
              <w:rPr>
                <w:color w:val="000000"/>
                <w:sz w:val="13"/>
                <w:szCs w:val="13"/>
              </w:rPr>
              <w:t>7,  установка</w:t>
            </w:r>
            <w:proofErr w:type="gramEnd"/>
            <w:r w:rsidRPr="000D3D0C">
              <w:rPr>
                <w:color w:val="000000"/>
                <w:sz w:val="13"/>
                <w:szCs w:val="13"/>
              </w:rPr>
              <w:t xml:space="preserve"> системы ХВП, насосного оборудования, теплообменного оборудования, диспетчеризация и автоматизация (2022 - ЦТП 3)</w:t>
            </w:r>
          </w:p>
        </w:tc>
        <w:tc>
          <w:tcPr>
            <w:tcW w:w="358" w:type="pct"/>
            <w:tcBorders>
              <w:top w:val="single" w:sz="4" w:space="0" w:color="auto"/>
              <w:left w:val="nil"/>
              <w:bottom w:val="single" w:sz="4" w:space="0" w:color="auto"/>
              <w:right w:val="single" w:sz="4" w:space="0" w:color="auto"/>
            </w:tcBorders>
            <w:shd w:val="clear" w:color="auto" w:fill="auto"/>
            <w:vAlign w:val="center"/>
          </w:tcPr>
          <w:p w14:paraId="641F22AE" w14:textId="77777777" w:rsidR="004A0123" w:rsidRPr="000D3D0C" w:rsidRDefault="004A0123" w:rsidP="008A5C11">
            <w:pPr>
              <w:jc w:val="center"/>
              <w:rPr>
                <w:color w:val="000000"/>
                <w:sz w:val="13"/>
                <w:szCs w:val="13"/>
              </w:rPr>
            </w:pPr>
            <w:r w:rsidRPr="000D3D0C">
              <w:rPr>
                <w:color w:val="000000"/>
                <w:sz w:val="13"/>
                <w:szCs w:val="13"/>
              </w:rPr>
              <w:t>Повышение надежности теплоснабжения</w:t>
            </w:r>
          </w:p>
        </w:tc>
        <w:tc>
          <w:tcPr>
            <w:tcW w:w="389" w:type="pct"/>
            <w:tcBorders>
              <w:top w:val="single" w:sz="4" w:space="0" w:color="auto"/>
              <w:left w:val="nil"/>
              <w:bottom w:val="single" w:sz="4" w:space="0" w:color="auto"/>
              <w:right w:val="single" w:sz="4" w:space="0" w:color="auto"/>
            </w:tcBorders>
            <w:shd w:val="clear" w:color="auto" w:fill="auto"/>
            <w:vAlign w:val="center"/>
          </w:tcPr>
          <w:p w14:paraId="19825524" w14:textId="77777777" w:rsidR="004A0123" w:rsidRPr="000D3D0C" w:rsidRDefault="004A0123" w:rsidP="008A5C11">
            <w:pPr>
              <w:jc w:val="center"/>
              <w:rPr>
                <w:color w:val="000000"/>
                <w:sz w:val="13"/>
                <w:szCs w:val="13"/>
              </w:rPr>
            </w:pPr>
            <w:r w:rsidRPr="000D3D0C">
              <w:rPr>
                <w:color w:val="000000"/>
                <w:sz w:val="13"/>
                <w:szCs w:val="13"/>
              </w:rPr>
              <w:t xml:space="preserve">г. Тайга                     ул. Щетинкина, д.61, строение № </w:t>
            </w:r>
            <w:proofErr w:type="gramStart"/>
            <w:r w:rsidRPr="000D3D0C">
              <w:rPr>
                <w:color w:val="000000"/>
                <w:sz w:val="13"/>
                <w:szCs w:val="13"/>
              </w:rPr>
              <w:t xml:space="preserve">8;   </w:t>
            </w:r>
            <w:proofErr w:type="gramEnd"/>
            <w:r w:rsidRPr="000D3D0C">
              <w:rPr>
                <w:color w:val="000000"/>
                <w:sz w:val="13"/>
                <w:szCs w:val="13"/>
              </w:rPr>
              <w:t xml:space="preserve">                ул. Лермонтнова, д.20; </w:t>
            </w:r>
          </w:p>
          <w:p w14:paraId="3808F715" w14:textId="77777777" w:rsidR="004A0123" w:rsidRPr="000D3D0C" w:rsidRDefault="004A0123" w:rsidP="008A5C11">
            <w:pPr>
              <w:jc w:val="center"/>
              <w:rPr>
                <w:color w:val="000000"/>
                <w:sz w:val="13"/>
                <w:szCs w:val="13"/>
              </w:rPr>
            </w:pPr>
            <w:r w:rsidRPr="000D3D0C">
              <w:rPr>
                <w:color w:val="000000"/>
                <w:sz w:val="13"/>
                <w:szCs w:val="13"/>
              </w:rPr>
              <w:t>ул.40 лет Октября, д.38 а;</w:t>
            </w:r>
          </w:p>
          <w:p w14:paraId="4AFBB286" w14:textId="77777777" w:rsidR="004A0123" w:rsidRPr="000D3D0C" w:rsidRDefault="004A0123" w:rsidP="008A5C11">
            <w:pPr>
              <w:jc w:val="center"/>
              <w:rPr>
                <w:color w:val="000000"/>
                <w:sz w:val="13"/>
                <w:szCs w:val="13"/>
              </w:rPr>
            </w:pPr>
            <w:r w:rsidRPr="000D3D0C">
              <w:rPr>
                <w:color w:val="000000"/>
                <w:sz w:val="13"/>
                <w:szCs w:val="13"/>
              </w:rPr>
              <w:t xml:space="preserve">пр. Кирова, д. </w:t>
            </w:r>
            <w:proofErr w:type="gramStart"/>
            <w:r w:rsidRPr="000D3D0C">
              <w:rPr>
                <w:color w:val="000000"/>
                <w:sz w:val="13"/>
                <w:szCs w:val="13"/>
              </w:rPr>
              <w:t xml:space="preserve">9;   </w:t>
            </w:r>
            <w:proofErr w:type="gramEnd"/>
            <w:r w:rsidRPr="000D3D0C">
              <w:rPr>
                <w:color w:val="000000"/>
                <w:sz w:val="13"/>
                <w:szCs w:val="13"/>
              </w:rPr>
              <w:t xml:space="preserve">          ул. Октябрьская,д.2;                  ул. Мира, д. 2б</w:t>
            </w:r>
          </w:p>
        </w:tc>
        <w:tc>
          <w:tcPr>
            <w:tcW w:w="336" w:type="pct"/>
            <w:tcBorders>
              <w:top w:val="single" w:sz="4" w:space="0" w:color="auto"/>
              <w:left w:val="nil"/>
              <w:bottom w:val="single" w:sz="4" w:space="0" w:color="auto"/>
              <w:right w:val="single" w:sz="4" w:space="0" w:color="auto"/>
            </w:tcBorders>
            <w:shd w:val="clear" w:color="auto" w:fill="auto"/>
            <w:vAlign w:val="center"/>
          </w:tcPr>
          <w:p w14:paraId="34FCACFA" w14:textId="77777777" w:rsidR="004A0123" w:rsidRPr="000D3D0C" w:rsidRDefault="004A0123" w:rsidP="008A5C11">
            <w:pPr>
              <w:jc w:val="center"/>
              <w:rPr>
                <w:color w:val="000000"/>
                <w:sz w:val="13"/>
                <w:szCs w:val="13"/>
              </w:rPr>
            </w:pPr>
            <w:r w:rsidRPr="000D3D0C">
              <w:rPr>
                <w:color w:val="000000"/>
                <w:sz w:val="13"/>
                <w:szCs w:val="13"/>
              </w:rPr>
              <w:t>Количество</w:t>
            </w:r>
          </w:p>
        </w:tc>
        <w:tc>
          <w:tcPr>
            <w:tcW w:w="133" w:type="pct"/>
            <w:tcBorders>
              <w:top w:val="single" w:sz="4" w:space="0" w:color="auto"/>
              <w:left w:val="nil"/>
              <w:bottom w:val="single" w:sz="4" w:space="0" w:color="auto"/>
              <w:right w:val="single" w:sz="4" w:space="0" w:color="auto"/>
            </w:tcBorders>
            <w:shd w:val="clear" w:color="auto" w:fill="auto"/>
            <w:vAlign w:val="center"/>
          </w:tcPr>
          <w:p w14:paraId="5C84B4AE" w14:textId="77777777" w:rsidR="004A0123" w:rsidRPr="000D3D0C" w:rsidRDefault="004A0123" w:rsidP="008A5C11">
            <w:pPr>
              <w:jc w:val="center"/>
              <w:rPr>
                <w:color w:val="000000"/>
                <w:sz w:val="13"/>
                <w:szCs w:val="13"/>
              </w:rPr>
            </w:pPr>
            <w:r w:rsidRPr="000D3D0C">
              <w:rPr>
                <w:color w:val="000000"/>
                <w:sz w:val="13"/>
                <w:szCs w:val="13"/>
              </w:rPr>
              <w:t>ед.</w:t>
            </w:r>
          </w:p>
        </w:tc>
        <w:tc>
          <w:tcPr>
            <w:tcW w:w="180" w:type="pct"/>
            <w:tcBorders>
              <w:top w:val="single" w:sz="4" w:space="0" w:color="auto"/>
              <w:left w:val="single" w:sz="4" w:space="0" w:color="auto"/>
              <w:bottom w:val="single" w:sz="4" w:space="0" w:color="auto"/>
              <w:right w:val="single" w:sz="4" w:space="0" w:color="auto"/>
            </w:tcBorders>
            <w:shd w:val="clear" w:color="auto" w:fill="auto"/>
            <w:vAlign w:val="center"/>
          </w:tcPr>
          <w:p w14:paraId="6A146A73" w14:textId="77777777" w:rsidR="004A0123" w:rsidRPr="000D3D0C" w:rsidRDefault="004A0123" w:rsidP="008A5C11">
            <w:pPr>
              <w:jc w:val="center"/>
              <w:rPr>
                <w:color w:val="000000"/>
                <w:sz w:val="13"/>
                <w:szCs w:val="13"/>
              </w:rPr>
            </w:pPr>
            <w:r w:rsidRPr="000D3D0C">
              <w:rPr>
                <w:color w:val="000000"/>
                <w:sz w:val="13"/>
                <w:szCs w:val="13"/>
              </w:rPr>
              <w:t>0</w:t>
            </w:r>
          </w:p>
        </w:tc>
        <w:tc>
          <w:tcPr>
            <w:tcW w:w="176" w:type="pct"/>
            <w:tcBorders>
              <w:top w:val="single" w:sz="4" w:space="0" w:color="auto"/>
              <w:left w:val="nil"/>
              <w:bottom w:val="single" w:sz="4" w:space="0" w:color="auto"/>
              <w:right w:val="single" w:sz="4" w:space="0" w:color="auto"/>
            </w:tcBorders>
            <w:shd w:val="clear" w:color="auto" w:fill="auto"/>
            <w:vAlign w:val="center"/>
          </w:tcPr>
          <w:p w14:paraId="2C44A58E" w14:textId="77777777" w:rsidR="004A0123" w:rsidRPr="000D3D0C" w:rsidRDefault="004A0123" w:rsidP="008A5C11">
            <w:pPr>
              <w:jc w:val="center"/>
              <w:rPr>
                <w:color w:val="000000"/>
                <w:sz w:val="13"/>
                <w:szCs w:val="13"/>
              </w:rPr>
            </w:pPr>
            <w:r w:rsidRPr="000D3D0C">
              <w:rPr>
                <w:color w:val="000000"/>
                <w:sz w:val="13"/>
                <w:szCs w:val="13"/>
              </w:rPr>
              <w:t>6</w:t>
            </w:r>
          </w:p>
        </w:tc>
        <w:tc>
          <w:tcPr>
            <w:tcW w:w="188" w:type="pct"/>
            <w:tcBorders>
              <w:top w:val="single" w:sz="4" w:space="0" w:color="auto"/>
              <w:left w:val="nil"/>
              <w:bottom w:val="single" w:sz="4" w:space="0" w:color="auto"/>
              <w:right w:val="single" w:sz="4" w:space="0" w:color="auto"/>
            </w:tcBorders>
            <w:shd w:val="clear" w:color="auto" w:fill="auto"/>
            <w:vAlign w:val="center"/>
          </w:tcPr>
          <w:p w14:paraId="60900204" w14:textId="77777777" w:rsidR="004A0123" w:rsidRPr="000D3D0C" w:rsidRDefault="004A0123" w:rsidP="008A5C11">
            <w:pPr>
              <w:jc w:val="center"/>
              <w:rPr>
                <w:color w:val="000000"/>
                <w:sz w:val="13"/>
                <w:szCs w:val="13"/>
              </w:rPr>
            </w:pPr>
            <w:r w:rsidRPr="000D3D0C">
              <w:rPr>
                <w:color w:val="000000"/>
                <w:sz w:val="13"/>
                <w:szCs w:val="13"/>
              </w:rPr>
              <w:t>2022</w:t>
            </w:r>
          </w:p>
        </w:tc>
        <w:tc>
          <w:tcPr>
            <w:tcW w:w="186" w:type="pct"/>
            <w:tcBorders>
              <w:top w:val="single" w:sz="4" w:space="0" w:color="auto"/>
              <w:left w:val="nil"/>
              <w:bottom w:val="single" w:sz="4" w:space="0" w:color="auto"/>
              <w:right w:val="single" w:sz="4" w:space="0" w:color="auto"/>
            </w:tcBorders>
            <w:shd w:val="clear" w:color="auto" w:fill="auto"/>
            <w:vAlign w:val="center"/>
          </w:tcPr>
          <w:p w14:paraId="0FAA2D98" w14:textId="77777777" w:rsidR="004A0123" w:rsidRPr="000D3D0C" w:rsidRDefault="004A0123" w:rsidP="008A5C11">
            <w:pPr>
              <w:jc w:val="center"/>
              <w:rPr>
                <w:color w:val="000000"/>
                <w:sz w:val="13"/>
                <w:szCs w:val="13"/>
              </w:rPr>
            </w:pPr>
            <w:r w:rsidRPr="000D3D0C">
              <w:rPr>
                <w:color w:val="000000"/>
                <w:sz w:val="13"/>
                <w:szCs w:val="13"/>
              </w:rPr>
              <w:t>2027</w:t>
            </w:r>
          </w:p>
        </w:tc>
        <w:tc>
          <w:tcPr>
            <w:tcW w:w="186" w:type="pct"/>
            <w:tcBorders>
              <w:top w:val="single" w:sz="4" w:space="0" w:color="auto"/>
              <w:left w:val="nil"/>
              <w:bottom w:val="single" w:sz="4" w:space="0" w:color="auto"/>
              <w:right w:val="single" w:sz="4" w:space="0" w:color="auto"/>
            </w:tcBorders>
            <w:shd w:val="clear" w:color="auto" w:fill="auto"/>
            <w:vAlign w:val="center"/>
          </w:tcPr>
          <w:p w14:paraId="0EA3E767" w14:textId="77777777" w:rsidR="004A0123" w:rsidRPr="000D3D0C" w:rsidRDefault="004A0123" w:rsidP="008A5C11">
            <w:pPr>
              <w:jc w:val="center"/>
              <w:rPr>
                <w:color w:val="000000"/>
                <w:sz w:val="13"/>
                <w:szCs w:val="13"/>
              </w:rPr>
            </w:pPr>
            <w:r w:rsidRPr="000D3D0C">
              <w:rPr>
                <w:color w:val="000000"/>
                <w:sz w:val="13"/>
                <w:szCs w:val="13"/>
              </w:rPr>
              <w:t>106900</w:t>
            </w:r>
          </w:p>
        </w:tc>
        <w:tc>
          <w:tcPr>
            <w:tcW w:w="186" w:type="pct"/>
            <w:tcBorders>
              <w:top w:val="single" w:sz="4" w:space="0" w:color="auto"/>
              <w:left w:val="nil"/>
              <w:bottom w:val="single" w:sz="4" w:space="0" w:color="auto"/>
              <w:right w:val="single" w:sz="4" w:space="0" w:color="auto"/>
            </w:tcBorders>
            <w:shd w:val="clear" w:color="auto" w:fill="auto"/>
            <w:vAlign w:val="center"/>
          </w:tcPr>
          <w:p w14:paraId="40F12353" w14:textId="77777777" w:rsidR="004A0123" w:rsidRPr="000D3D0C" w:rsidRDefault="004A0123" w:rsidP="008A5C11">
            <w:pPr>
              <w:jc w:val="center"/>
              <w:rPr>
                <w:sz w:val="13"/>
                <w:szCs w:val="13"/>
              </w:rPr>
            </w:pPr>
            <w:r w:rsidRPr="000D3D0C">
              <w:rPr>
                <w:sz w:val="13"/>
                <w:szCs w:val="13"/>
              </w:rPr>
              <w:t>0</w:t>
            </w:r>
          </w:p>
        </w:tc>
        <w:tc>
          <w:tcPr>
            <w:tcW w:w="145" w:type="pct"/>
            <w:tcBorders>
              <w:top w:val="single" w:sz="4" w:space="0" w:color="auto"/>
              <w:left w:val="single" w:sz="4" w:space="0" w:color="auto"/>
              <w:bottom w:val="single" w:sz="4" w:space="0" w:color="auto"/>
              <w:right w:val="single" w:sz="4" w:space="0" w:color="auto"/>
            </w:tcBorders>
            <w:shd w:val="clear" w:color="auto" w:fill="auto"/>
            <w:vAlign w:val="center"/>
          </w:tcPr>
          <w:p w14:paraId="7DE4F6DF" w14:textId="77777777" w:rsidR="004A0123" w:rsidRPr="000D3D0C" w:rsidRDefault="004A0123" w:rsidP="008A5C11">
            <w:pPr>
              <w:jc w:val="center"/>
              <w:rPr>
                <w:sz w:val="13"/>
                <w:szCs w:val="13"/>
              </w:rPr>
            </w:pPr>
            <w:r w:rsidRPr="000D3D0C">
              <w:rPr>
                <w:sz w:val="13"/>
                <w:szCs w:val="13"/>
              </w:rPr>
              <w:t>0</w:t>
            </w:r>
          </w:p>
        </w:tc>
        <w:tc>
          <w:tcPr>
            <w:tcW w:w="148" w:type="pct"/>
            <w:tcBorders>
              <w:top w:val="single" w:sz="4" w:space="0" w:color="auto"/>
              <w:left w:val="nil"/>
              <w:bottom w:val="single" w:sz="4" w:space="0" w:color="auto"/>
              <w:right w:val="single" w:sz="4" w:space="0" w:color="auto"/>
            </w:tcBorders>
            <w:shd w:val="clear" w:color="auto" w:fill="auto"/>
            <w:vAlign w:val="center"/>
          </w:tcPr>
          <w:p w14:paraId="53DFD367" w14:textId="77777777" w:rsidR="004A0123" w:rsidRPr="000D3D0C" w:rsidRDefault="004A0123" w:rsidP="008A5C11">
            <w:pPr>
              <w:jc w:val="center"/>
              <w:rPr>
                <w:sz w:val="13"/>
                <w:szCs w:val="13"/>
              </w:rPr>
            </w:pPr>
            <w:r w:rsidRPr="000D3D0C">
              <w:rPr>
                <w:sz w:val="13"/>
                <w:szCs w:val="13"/>
              </w:rPr>
              <w:t>15055</w:t>
            </w:r>
          </w:p>
        </w:tc>
        <w:tc>
          <w:tcPr>
            <w:tcW w:w="181" w:type="pct"/>
            <w:tcBorders>
              <w:top w:val="single" w:sz="4" w:space="0" w:color="auto"/>
              <w:left w:val="nil"/>
              <w:bottom w:val="single" w:sz="4" w:space="0" w:color="auto"/>
              <w:right w:val="single" w:sz="4" w:space="0" w:color="auto"/>
            </w:tcBorders>
            <w:shd w:val="clear" w:color="auto" w:fill="auto"/>
            <w:vAlign w:val="center"/>
          </w:tcPr>
          <w:p w14:paraId="4CBE0323" w14:textId="77777777" w:rsidR="004A0123" w:rsidRPr="000D3D0C" w:rsidRDefault="004A0123" w:rsidP="008A5C11">
            <w:pPr>
              <w:jc w:val="center"/>
              <w:rPr>
                <w:sz w:val="13"/>
                <w:szCs w:val="13"/>
              </w:rPr>
            </w:pPr>
            <w:r w:rsidRPr="000D3D0C">
              <w:rPr>
                <w:sz w:val="13"/>
                <w:szCs w:val="13"/>
              </w:rPr>
              <w:t>0</w:t>
            </w:r>
          </w:p>
        </w:tc>
        <w:tc>
          <w:tcPr>
            <w:tcW w:w="181" w:type="pct"/>
            <w:tcBorders>
              <w:top w:val="single" w:sz="4" w:space="0" w:color="auto"/>
              <w:left w:val="nil"/>
              <w:bottom w:val="single" w:sz="4" w:space="0" w:color="auto"/>
              <w:right w:val="single" w:sz="4" w:space="0" w:color="auto"/>
            </w:tcBorders>
            <w:shd w:val="clear" w:color="auto" w:fill="auto"/>
            <w:vAlign w:val="center"/>
          </w:tcPr>
          <w:p w14:paraId="308B450F" w14:textId="77777777" w:rsidR="004A0123" w:rsidRPr="000D3D0C" w:rsidRDefault="004A0123" w:rsidP="008A5C11">
            <w:pPr>
              <w:jc w:val="center"/>
              <w:rPr>
                <w:sz w:val="13"/>
                <w:szCs w:val="13"/>
              </w:rPr>
            </w:pPr>
            <w:r w:rsidRPr="000D3D0C">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69E52724" w14:textId="77777777" w:rsidR="004A0123" w:rsidRPr="000D3D0C" w:rsidRDefault="004A0123" w:rsidP="008A5C11">
            <w:pPr>
              <w:jc w:val="center"/>
              <w:rPr>
                <w:sz w:val="13"/>
                <w:szCs w:val="13"/>
              </w:rPr>
            </w:pPr>
            <w:r w:rsidRPr="000D3D0C">
              <w:rPr>
                <w:sz w:val="13"/>
                <w:szCs w:val="13"/>
              </w:rPr>
              <w:t>17305</w:t>
            </w:r>
          </w:p>
        </w:tc>
        <w:tc>
          <w:tcPr>
            <w:tcW w:w="153" w:type="pct"/>
            <w:tcBorders>
              <w:top w:val="single" w:sz="4" w:space="0" w:color="auto"/>
              <w:left w:val="single" w:sz="4" w:space="0" w:color="auto"/>
              <w:bottom w:val="single" w:sz="4" w:space="0" w:color="auto"/>
              <w:right w:val="single" w:sz="4" w:space="0" w:color="auto"/>
            </w:tcBorders>
            <w:vAlign w:val="center"/>
          </w:tcPr>
          <w:p w14:paraId="171B6FFD" w14:textId="77777777" w:rsidR="004A0123" w:rsidRPr="000D3D0C" w:rsidRDefault="004A0123" w:rsidP="008A5C11">
            <w:pPr>
              <w:jc w:val="center"/>
              <w:rPr>
                <w:sz w:val="13"/>
                <w:szCs w:val="13"/>
              </w:rPr>
            </w:pPr>
            <w:r w:rsidRPr="000D3D0C">
              <w:rPr>
                <w:sz w:val="13"/>
                <w:szCs w:val="13"/>
              </w:rPr>
              <w:t>23471</w:t>
            </w:r>
          </w:p>
        </w:tc>
        <w:tc>
          <w:tcPr>
            <w:tcW w:w="158" w:type="pct"/>
            <w:tcBorders>
              <w:top w:val="single" w:sz="4" w:space="0" w:color="auto"/>
              <w:left w:val="single" w:sz="4" w:space="0" w:color="auto"/>
              <w:bottom w:val="single" w:sz="4" w:space="0" w:color="auto"/>
              <w:right w:val="single" w:sz="4" w:space="0" w:color="auto"/>
            </w:tcBorders>
            <w:vAlign w:val="center"/>
          </w:tcPr>
          <w:p w14:paraId="12A40392" w14:textId="77777777" w:rsidR="004A0123" w:rsidRPr="000D3D0C" w:rsidRDefault="004A0123" w:rsidP="008A5C11">
            <w:pPr>
              <w:jc w:val="center"/>
              <w:rPr>
                <w:sz w:val="13"/>
                <w:szCs w:val="13"/>
              </w:rPr>
            </w:pPr>
            <w:r w:rsidRPr="000D3D0C">
              <w:rPr>
                <w:sz w:val="13"/>
                <w:szCs w:val="13"/>
              </w:rPr>
              <w:t>51069</w:t>
            </w:r>
          </w:p>
        </w:tc>
        <w:tc>
          <w:tcPr>
            <w:tcW w:w="172" w:type="pct"/>
            <w:tcBorders>
              <w:top w:val="single" w:sz="4" w:space="0" w:color="auto"/>
              <w:left w:val="single" w:sz="4" w:space="0" w:color="auto"/>
              <w:bottom w:val="single" w:sz="4" w:space="0" w:color="auto"/>
              <w:right w:val="single" w:sz="4" w:space="0" w:color="auto"/>
            </w:tcBorders>
            <w:vAlign w:val="center"/>
          </w:tcPr>
          <w:p w14:paraId="3929B688" w14:textId="77777777" w:rsidR="004A0123" w:rsidRPr="000D3D0C" w:rsidRDefault="004A0123" w:rsidP="008A5C11">
            <w:pPr>
              <w:jc w:val="center"/>
              <w:rPr>
                <w:sz w:val="13"/>
                <w:szCs w:val="13"/>
              </w:rPr>
            </w:pPr>
            <w:r w:rsidRPr="000D3D0C">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104C459E" w14:textId="77777777" w:rsidR="004A0123" w:rsidRPr="000D3D0C" w:rsidRDefault="004A0123" w:rsidP="008A5C11">
            <w:pPr>
              <w:jc w:val="center"/>
              <w:rPr>
                <w:sz w:val="13"/>
                <w:szCs w:val="13"/>
              </w:rPr>
            </w:pPr>
            <w:r w:rsidRPr="000D3D0C">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59177971" w14:textId="77777777" w:rsidR="004A0123" w:rsidRPr="000D3D0C" w:rsidRDefault="004A0123" w:rsidP="008A5C11">
            <w:pPr>
              <w:jc w:val="center"/>
              <w:rPr>
                <w:sz w:val="13"/>
                <w:szCs w:val="13"/>
              </w:rPr>
            </w:pPr>
            <w:r w:rsidRPr="000D3D0C">
              <w:rPr>
                <w:sz w:val="13"/>
                <w:szCs w:val="13"/>
              </w:rPr>
              <w:t>0</w:t>
            </w:r>
          </w:p>
        </w:tc>
        <w:tc>
          <w:tcPr>
            <w:tcW w:w="181" w:type="pct"/>
            <w:tcBorders>
              <w:top w:val="single" w:sz="4" w:space="0" w:color="auto"/>
              <w:left w:val="single" w:sz="4" w:space="0" w:color="auto"/>
              <w:bottom w:val="single" w:sz="4" w:space="0" w:color="auto"/>
              <w:right w:val="single" w:sz="4" w:space="0" w:color="auto"/>
            </w:tcBorders>
            <w:vAlign w:val="center"/>
          </w:tcPr>
          <w:p w14:paraId="749AC2FB" w14:textId="77777777" w:rsidR="004A0123" w:rsidRPr="000D3D0C" w:rsidRDefault="004A0123" w:rsidP="008A5C11">
            <w:pPr>
              <w:jc w:val="center"/>
              <w:rPr>
                <w:sz w:val="13"/>
                <w:szCs w:val="13"/>
              </w:rPr>
            </w:pPr>
            <w:r w:rsidRPr="000D3D0C">
              <w:rPr>
                <w:sz w:val="13"/>
                <w:szCs w:val="13"/>
              </w:rPr>
              <w:t>0</w:t>
            </w:r>
          </w:p>
        </w:tc>
        <w:tc>
          <w:tcPr>
            <w:tcW w:w="178" w:type="pct"/>
            <w:tcBorders>
              <w:top w:val="single" w:sz="4" w:space="0" w:color="auto"/>
              <w:left w:val="single" w:sz="4" w:space="0" w:color="auto"/>
              <w:bottom w:val="single" w:sz="4" w:space="0" w:color="auto"/>
              <w:right w:val="single" w:sz="4" w:space="0" w:color="auto"/>
            </w:tcBorders>
            <w:vAlign w:val="center"/>
          </w:tcPr>
          <w:p w14:paraId="70371CB4" w14:textId="77777777" w:rsidR="004A0123" w:rsidRPr="000D3D0C" w:rsidRDefault="004A0123" w:rsidP="008A5C11">
            <w:pPr>
              <w:jc w:val="center"/>
              <w:rPr>
                <w:sz w:val="13"/>
                <w:szCs w:val="13"/>
              </w:rPr>
            </w:pPr>
            <w:r w:rsidRPr="000D3D0C">
              <w:rPr>
                <w:sz w:val="13"/>
                <w:szCs w:val="13"/>
              </w:rPr>
              <w:t>0</w:t>
            </w:r>
          </w:p>
        </w:tc>
      </w:tr>
      <w:tr w:rsidR="004A0123" w:rsidRPr="000D3D0C" w14:paraId="62E1D17C" w14:textId="77777777" w:rsidTr="008A5C11">
        <w:trPr>
          <w:trHeight w:val="489"/>
        </w:trPr>
        <w:tc>
          <w:tcPr>
            <w:tcW w:w="147" w:type="pct"/>
            <w:tcBorders>
              <w:top w:val="single" w:sz="4" w:space="0" w:color="auto"/>
              <w:left w:val="single" w:sz="4" w:space="0" w:color="auto"/>
              <w:bottom w:val="single" w:sz="4" w:space="0" w:color="auto"/>
              <w:right w:val="single" w:sz="4" w:space="0" w:color="auto"/>
            </w:tcBorders>
            <w:shd w:val="clear" w:color="auto" w:fill="auto"/>
            <w:vAlign w:val="center"/>
          </w:tcPr>
          <w:p w14:paraId="14C41EA9" w14:textId="77777777" w:rsidR="004A0123" w:rsidRPr="000D3D0C" w:rsidRDefault="004A0123" w:rsidP="008A5C11">
            <w:pPr>
              <w:jc w:val="center"/>
              <w:rPr>
                <w:sz w:val="13"/>
                <w:szCs w:val="13"/>
              </w:rPr>
            </w:pPr>
            <w:r w:rsidRPr="000D3D0C">
              <w:rPr>
                <w:sz w:val="13"/>
                <w:szCs w:val="13"/>
              </w:rPr>
              <w:t>3.2.11.</w:t>
            </w:r>
          </w:p>
        </w:tc>
        <w:tc>
          <w:tcPr>
            <w:tcW w:w="584" w:type="pct"/>
            <w:tcBorders>
              <w:top w:val="nil"/>
              <w:left w:val="single" w:sz="4" w:space="0" w:color="auto"/>
              <w:bottom w:val="single" w:sz="4" w:space="0" w:color="auto"/>
              <w:right w:val="single" w:sz="4" w:space="0" w:color="auto"/>
            </w:tcBorders>
            <w:shd w:val="clear" w:color="auto" w:fill="auto"/>
            <w:vAlign w:val="center"/>
          </w:tcPr>
          <w:p w14:paraId="42D8FA95" w14:textId="77777777" w:rsidR="004A0123" w:rsidRPr="000D3D0C" w:rsidRDefault="004A0123" w:rsidP="008A5C11">
            <w:pPr>
              <w:rPr>
                <w:color w:val="000000"/>
                <w:sz w:val="13"/>
                <w:szCs w:val="13"/>
              </w:rPr>
            </w:pPr>
            <w:r w:rsidRPr="000D3D0C">
              <w:rPr>
                <w:color w:val="000000"/>
                <w:sz w:val="13"/>
                <w:szCs w:val="13"/>
              </w:rPr>
              <w:t>Установка приборов учета на              ЦТП 1, ЦТП 3, ЦТП 4, ЦТП 5, ЦТП 6, ЦТП 7.</w:t>
            </w:r>
          </w:p>
        </w:tc>
        <w:tc>
          <w:tcPr>
            <w:tcW w:w="358" w:type="pct"/>
            <w:tcBorders>
              <w:top w:val="nil"/>
              <w:left w:val="nil"/>
              <w:bottom w:val="single" w:sz="4" w:space="0" w:color="auto"/>
              <w:right w:val="single" w:sz="4" w:space="0" w:color="auto"/>
            </w:tcBorders>
            <w:shd w:val="clear" w:color="auto" w:fill="auto"/>
            <w:vAlign w:val="center"/>
          </w:tcPr>
          <w:p w14:paraId="19120105" w14:textId="77777777" w:rsidR="004A0123" w:rsidRPr="000D3D0C" w:rsidRDefault="004A0123" w:rsidP="008A5C11">
            <w:pPr>
              <w:jc w:val="center"/>
              <w:rPr>
                <w:color w:val="000000"/>
                <w:sz w:val="13"/>
                <w:szCs w:val="13"/>
              </w:rPr>
            </w:pPr>
            <w:r w:rsidRPr="000D3D0C">
              <w:rPr>
                <w:color w:val="000000"/>
                <w:sz w:val="13"/>
                <w:szCs w:val="13"/>
              </w:rPr>
              <w:t>Повышение надежности теплоснабжения</w:t>
            </w:r>
          </w:p>
        </w:tc>
        <w:tc>
          <w:tcPr>
            <w:tcW w:w="389" w:type="pct"/>
            <w:tcBorders>
              <w:top w:val="nil"/>
              <w:left w:val="nil"/>
              <w:bottom w:val="single" w:sz="4" w:space="0" w:color="auto"/>
              <w:right w:val="single" w:sz="4" w:space="0" w:color="auto"/>
            </w:tcBorders>
            <w:shd w:val="clear" w:color="auto" w:fill="auto"/>
            <w:vAlign w:val="center"/>
          </w:tcPr>
          <w:p w14:paraId="62BDDCF4" w14:textId="77777777" w:rsidR="004A0123" w:rsidRPr="000D3D0C" w:rsidRDefault="004A0123" w:rsidP="008A5C11">
            <w:pPr>
              <w:jc w:val="center"/>
              <w:rPr>
                <w:color w:val="000000"/>
                <w:sz w:val="13"/>
                <w:szCs w:val="13"/>
              </w:rPr>
            </w:pPr>
            <w:r w:rsidRPr="000D3D0C">
              <w:rPr>
                <w:color w:val="000000"/>
                <w:sz w:val="13"/>
                <w:szCs w:val="13"/>
              </w:rPr>
              <w:t xml:space="preserve">г. Тайга                     ул. Щетинкина, д.61, строение № </w:t>
            </w:r>
            <w:proofErr w:type="gramStart"/>
            <w:r w:rsidRPr="000D3D0C">
              <w:rPr>
                <w:color w:val="000000"/>
                <w:sz w:val="13"/>
                <w:szCs w:val="13"/>
              </w:rPr>
              <w:t xml:space="preserve">8;   </w:t>
            </w:r>
            <w:proofErr w:type="gramEnd"/>
            <w:r w:rsidRPr="000D3D0C">
              <w:rPr>
                <w:color w:val="000000"/>
                <w:sz w:val="13"/>
                <w:szCs w:val="13"/>
              </w:rPr>
              <w:t xml:space="preserve">                ул. Лермонтнова, д.20; </w:t>
            </w:r>
          </w:p>
          <w:p w14:paraId="28D26910" w14:textId="77777777" w:rsidR="004A0123" w:rsidRPr="000D3D0C" w:rsidRDefault="004A0123" w:rsidP="008A5C11">
            <w:pPr>
              <w:jc w:val="center"/>
              <w:rPr>
                <w:color w:val="000000"/>
                <w:sz w:val="13"/>
                <w:szCs w:val="13"/>
              </w:rPr>
            </w:pPr>
            <w:r w:rsidRPr="000D3D0C">
              <w:rPr>
                <w:color w:val="000000"/>
                <w:sz w:val="13"/>
                <w:szCs w:val="13"/>
              </w:rPr>
              <w:t>ул.40 лет Октября, д.38 а;</w:t>
            </w:r>
          </w:p>
          <w:p w14:paraId="2B155E49" w14:textId="77777777" w:rsidR="004A0123" w:rsidRPr="000D3D0C" w:rsidRDefault="004A0123" w:rsidP="008A5C11">
            <w:pPr>
              <w:jc w:val="center"/>
              <w:rPr>
                <w:color w:val="000000"/>
                <w:sz w:val="13"/>
                <w:szCs w:val="13"/>
              </w:rPr>
            </w:pPr>
            <w:r w:rsidRPr="000D3D0C">
              <w:rPr>
                <w:color w:val="000000"/>
                <w:sz w:val="13"/>
                <w:szCs w:val="13"/>
              </w:rPr>
              <w:t xml:space="preserve">пр. Кирова, д. </w:t>
            </w:r>
            <w:proofErr w:type="gramStart"/>
            <w:r w:rsidRPr="000D3D0C">
              <w:rPr>
                <w:color w:val="000000"/>
                <w:sz w:val="13"/>
                <w:szCs w:val="13"/>
              </w:rPr>
              <w:t xml:space="preserve">9;   </w:t>
            </w:r>
            <w:proofErr w:type="gramEnd"/>
            <w:r w:rsidRPr="000D3D0C">
              <w:rPr>
                <w:color w:val="000000"/>
                <w:sz w:val="13"/>
                <w:szCs w:val="13"/>
              </w:rPr>
              <w:t xml:space="preserve">          ул. Октябрьская,д.2;                  ул. Мира, д. 2б</w:t>
            </w:r>
          </w:p>
        </w:tc>
        <w:tc>
          <w:tcPr>
            <w:tcW w:w="336" w:type="pct"/>
            <w:tcBorders>
              <w:top w:val="nil"/>
              <w:left w:val="nil"/>
              <w:bottom w:val="single" w:sz="4" w:space="0" w:color="auto"/>
              <w:right w:val="single" w:sz="4" w:space="0" w:color="auto"/>
            </w:tcBorders>
            <w:shd w:val="clear" w:color="auto" w:fill="auto"/>
            <w:vAlign w:val="center"/>
          </w:tcPr>
          <w:p w14:paraId="6DCED754" w14:textId="77777777" w:rsidR="004A0123" w:rsidRPr="000D3D0C" w:rsidRDefault="004A0123" w:rsidP="008A5C11">
            <w:pPr>
              <w:jc w:val="center"/>
              <w:rPr>
                <w:color w:val="000000"/>
                <w:sz w:val="13"/>
                <w:szCs w:val="13"/>
              </w:rPr>
            </w:pPr>
            <w:r w:rsidRPr="000D3D0C">
              <w:rPr>
                <w:color w:val="000000"/>
                <w:sz w:val="13"/>
                <w:szCs w:val="13"/>
              </w:rPr>
              <w:t>Количество</w:t>
            </w:r>
          </w:p>
        </w:tc>
        <w:tc>
          <w:tcPr>
            <w:tcW w:w="133" w:type="pct"/>
            <w:tcBorders>
              <w:top w:val="nil"/>
              <w:left w:val="nil"/>
              <w:bottom w:val="single" w:sz="4" w:space="0" w:color="auto"/>
              <w:right w:val="single" w:sz="4" w:space="0" w:color="auto"/>
            </w:tcBorders>
            <w:shd w:val="clear" w:color="auto" w:fill="auto"/>
            <w:vAlign w:val="center"/>
          </w:tcPr>
          <w:p w14:paraId="3327B64A" w14:textId="77777777" w:rsidR="004A0123" w:rsidRPr="000D3D0C" w:rsidRDefault="004A0123" w:rsidP="008A5C11">
            <w:pPr>
              <w:jc w:val="center"/>
              <w:rPr>
                <w:color w:val="000000"/>
                <w:sz w:val="13"/>
                <w:szCs w:val="13"/>
              </w:rPr>
            </w:pPr>
            <w:r w:rsidRPr="000D3D0C">
              <w:rPr>
                <w:color w:val="000000"/>
                <w:sz w:val="13"/>
                <w:szCs w:val="13"/>
              </w:rPr>
              <w:t>ед.</w:t>
            </w:r>
          </w:p>
        </w:tc>
        <w:tc>
          <w:tcPr>
            <w:tcW w:w="180" w:type="pct"/>
            <w:tcBorders>
              <w:top w:val="nil"/>
              <w:left w:val="single" w:sz="4" w:space="0" w:color="auto"/>
              <w:bottom w:val="single" w:sz="4" w:space="0" w:color="auto"/>
              <w:right w:val="single" w:sz="4" w:space="0" w:color="auto"/>
            </w:tcBorders>
            <w:shd w:val="clear" w:color="auto" w:fill="auto"/>
            <w:vAlign w:val="center"/>
          </w:tcPr>
          <w:p w14:paraId="158909A1" w14:textId="77777777" w:rsidR="004A0123" w:rsidRPr="000D3D0C" w:rsidRDefault="004A0123" w:rsidP="008A5C11">
            <w:pPr>
              <w:jc w:val="center"/>
              <w:rPr>
                <w:color w:val="000000"/>
                <w:sz w:val="13"/>
                <w:szCs w:val="13"/>
              </w:rPr>
            </w:pPr>
            <w:r w:rsidRPr="000D3D0C">
              <w:rPr>
                <w:color w:val="000000"/>
                <w:sz w:val="13"/>
                <w:szCs w:val="13"/>
              </w:rPr>
              <w:t>0</w:t>
            </w:r>
          </w:p>
        </w:tc>
        <w:tc>
          <w:tcPr>
            <w:tcW w:w="176" w:type="pct"/>
            <w:tcBorders>
              <w:top w:val="nil"/>
              <w:left w:val="nil"/>
              <w:bottom w:val="single" w:sz="4" w:space="0" w:color="auto"/>
              <w:right w:val="single" w:sz="4" w:space="0" w:color="auto"/>
            </w:tcBorders>
            <w:shd w:val="clear" w:color="auto" w:fill="auto"/>
            <w:vAlign w:val="center"/>
          </w:tcPr>
          <w:p w14:paraId="454329AC" w14:textId="77777777" w:rsidR="004A0123" w:rsidRPr="000D3D0C" w:rsidRDefault="004A0123" w:rsidP="008A5C11">
            <w:pPr>
              <w:jc w:val="center"/>
              <w:rPr>
                <w:color w:val="000000"/>
                <w:sz w:val="13"/>
                <w:szCs w:val="13"/>
              </w:rPr>
            </w:pPr>
            <w:r w:rsidRPr="000D3D0C">
              <w:rPr>
                <w:color w:val="000000"/>
                <w:sz w:val="13"/>
                <w:szCs w:val="13"/>
              </w:rPr>
              <w:t>6</w:t>
            </w:r>
          </w:p>
        </w:tc>
        <w:tc>
          <w:tcPr>
            <w:tcW w:w="188" w:type="pct"/>
            <w:tcBorders>
              <w:top w:val="nil"/>
              <w:left w:val="nil"/>
              <w:bottom w:val="single" w:sz="4" w:space="0" w:color="auto"/>
              <w:right w:val="single" w:sz="4" w:space="0" w:color="auto"/>
            </w:tcBorders>
            <w:shd w:val="clear" w:color="auto" w:fill="auto"/>
            <w:vAlign w:val="center"/>
          </w:tcPr>
          <w:p w14:paraId="3CA29090" w14:textId="77777777" w:rsidR="004A0123" w:rsidRPr="000D3D0C" w:rsidRDefault="004A0123" w:rsidP="008A5C11">
            <w:pPr>
              <w:jc w:val="center"/>
              <w:rPr>
                <w:color w:val="000000"/>
                <w:sz w:val="13"/>
                <w:szCs w:val="13"/>
              </w:rPr>
            </w:pPr>
            <w:r w:rsidRPr="000D3D0C">
              <w:rPr>
                <w:color w:val="000000"/>
                <w:sz w:val="13"/>
                <w:szCs w:val="13"/>
              </w:rPr>
              <w:t>2021</w:t>
            </w:r>
          </w:p>
        </w:tc>
        <w:tc>
          <w:tcPr>
            <w:tcW w:w="186" w:type="pct"/>
            <w:tcBorders>
              <w:top w:val="nil"/>
              <w:left w:val="nil"/>
              <w:bottom w:val="single" w:sz="4" w:space="0" w:color="auto"/>
              <w:right w:val="single" w:sz="4" w:space="0" w:color="auto"/>
            </w:tcBorders>
            <w:shd w:val="clear" w:color="auto" w:fill="auto"/>
            <w:vAlign w:val="center"/>
          </w:tcPr>
          <w:p w14:paraId="4390BF6D" w14:textId="77777777" w:rsidR="004A0123" w:rsidRPr="000D3D0C" w:rsidRDefault="004A0123" w:rsidP="008A5C11">
            <w:pPr>
              <w:jc w:val="center"/>
              <w:rPr>
                <w:color w:val="000000"/>
                <w:sz w:val="13"/>
                <w:szCs w:val="13"/>
              </w:rPr>
            </w:pPr>
            <w:r w:rsidRPr="000D3D0C">
              <w:rPr>
                <w:color w:val="000000"/>
                <w:sz w:val="13"/>
                <w:szCs w:val="13"/>
              </w:rPr>
              <w:t>2021</w:t>
            </w:r>
          </w:p>
        </w:tc>
        <w:tc>
          <w:tcPr>
            <w:tcW w:w="186" w:type="pct"/>
            <w:tcBorders>
              <w:top w:val="nil"/>
              <w:left w:val="nil"/>
              <w:bottom w:val="single" w:sz="4" w:space="0" w:color="auto"/>
              <w:right w:val="single" w:sz="4" w:space="0" w:color="auto"/>
            </w:tcBorders>
            <w:shd w:val="clear" w:color="auto" w:fill="auto"/>
            <w:vAlign w:val="center"/>
          </w:tcPr>
          <w:p w14:paraId="230C8DA5" w14:textId="77777777" w:rsidR="004A0123" w:rsidRPr="000D3D0C" w:rsidRDefault="004A0123" w:rsidP="008A5C11">
            <w:pPr>
              <w:jc w:val="center"/>
              <w:rPr>
                <w:color w:val="000000"/>
                <w:sz w:val="13"/>
                <w:szCs w:val="13"/>
              </w:rPr>
            </w:pPr>
            <w:r w:rsidRPr="000D3D0C">
              <w:rPr>
                <w:color w:val="000000"/>
                <w:sz w:val="13"/>
                <w:szCs w:val="13"/>
              </w:rPr>
              <w:t>3224</w:t>
            </w:r>
          </w:p>
        </w:tc>
        <w:tc>
          <w:tcPr>
            <w:tcW w:w="186" w:type="pct"/>
            <w:tcBorders>
              <w:top w:val="nil"/>
              <w:left w:val="nil"/>
              <w:bottom w:val="single" w:sz="4" w:space="0" w:color="auto"/>
              <w:right w:val="single" w:sz="4" w:space="0" w:color="auto"/>
            </w:tcBorders>
            <w:shd w:val="clear" w:color="auto" w:fill="auto"/>
            <w:vAlign w:val="center"/>
          </w:tcPr>
          <w:p w14:paraId="33A2ACA3" w14:textId="77777777" w:rsidR="004A0123" w:rsidRPr="000D3D0C" w:rsidRDefault="004A0123" w:rsidP="008A5C11">
            <w:pPr>
              <w:jc w:val="center"/>
              <w:rPr>
                <w:sz w:val="13"/>
                <w:szCs w:val="13"/>
              </w:rPr>
            </w:pPr>
            <w:r w:rsidRPr="000D3D0C">
              <w:rPr>
                <w:sz w:val="13"/>
                <w:szCs w:val="13"/>
              </w:rPr>
              <w:t>0</w:t>
            </w:r>
          </w:p>
        </w:tc>
        <w:tc>
          <w:tcPr>
            <w:tcW w:w="145" w:type="pct"/>
            <w:tcBorders>
              <w:top w:val="nil"/>
              <w:left w:val="single" w:sz="4" w:space="0" w:color="auto"/>
              <w:bottom w:val="single" w:sz="4" w:space="0" w:color="auto"/>
              <w:right w:val="single" w:sz="4" w:space="0" w:color="auto"/>
            </w:tcBorders>
            <w:shd w:val="clear" w:color="auto" w:fill="auto"/>
            <w:vAlign w:val="center"/>
          </w:tcPr>
          <w:p w14:paraId="02C5BDD0" w14:textId="77777777" w:rsidR="004A0123" w:rsidRPr="000D3D0C" w:rsidRDefault="004A0123" w:rsidP="008A5C11">
            <w:pPr>
              <w:jc w:val="center"/>
              <w:rPr>
                <w:sz w:val="13"/>
                <w:szCs w:val="13"/>
              </w:rPr>
            </w:pPr>
            <w:r w:rsidRPr="000D3D0C">
              <w:rPr>
                <w:sz w:val="13"/>
                <w:szCs w:val="13"/>
              </w:rPr>
              <w:t>3224</w:t>
            </w:r>
          </w:p>
        </w:tc>
        <w:tc>
          <w:tcPr>
            <w:tcW w:w="148" w:type="pct"/>
            <w:tcBorders>
              <w:top w:val="nil"/>
              <w:left w:val="nil"/>
              <w:bottom w:val="single" w:sz="4" w:space="0" w:color="auto"/>
              <w:right w:val="single" w:sz="4" w:space="0" w:color="auto"/>
            </w:tcBorders>
            <w:shd w:val="clear" w:color="auto" w:fill="auto"/>
            <w:vAlign w:val="center"/>
          </w:tcPr>
          <w:p w14:paraId="770F8ACF" w14:textId="77777777" w:rsidR="004A0123" w:rsidRPr="000D3D0C" w:rsidRDefault="004A0123" w:rsidP="008A5C11">
            <w:pPr>
              <w:jc w:val="center"/>
              <w:rPr>
                <w:sz w:val="13"/>
                <w:szCs w:val="13"/>
              </w:rPr>
            </w:pPr>
            <w:r w:rsidRPr="000D3D0C">
              <w:rPr>
                <w:sz w:val="13"/>
                <w:szCs w:val="13"/>
              </w:rPr>
              <w:t>0</w:t>
            </w:r>
          </w:p>
        </w:tc>
        <w:tc>
          <w:tcPr>
            <w:tcW w:w="181" w:type="pct"/>
            <w:tcBorders>
              <w:top w:val="nil"/>
              <w:left w:val="nil"/>
              <w:bottom w:val="single" w:sz="4" w:space="0" w:color="auto"/>
              <w:right w:val="single" w:sz="4" w:space="0" w:color="auto"/>
            </w:tcBorders>
            <w:shd w:val="clear" w:color="auto" w:fill="auto"/>
            <w:vAlign w:val="center"/>
          </w:tcPr>
          <w:p w14:paraId="2A4D1486" w14:textId="77777777" w:rsidR="004A0123" w:rsidRPr="000D3D0C" w:rsidRDefault="004A0123" w:rsidP="008A5C11">
            <w:pPr>
              <w:jc w:val="center"/>
              <w:rPr>
                <w:sz w:val="13"/>
                <w:szCs w:val="13"/>
              </w:rPr>
            </w:pPr>
            <w:r w:rsidRPr="000D3D0C">
              <w:rPr>
                <w:sz w:val="13"/>
                <w:szCs w:val="13"/>
              </w:rPr>
              <w:t>0</w:t>
            </w:r>
          </w:p>
        </w:tc>
        <w:tc>
          <w:tcPr>
            <w:tcW w:w="181" w:type="pct"/>
            <w:tcBorders>
              <w:top w:val="nil"/>
              <w:left w:val="nil"/>
              <w:bottom w:val="single" w:sz="4" w:space="0" w:color="auto"/>
              <w:right w:val="single" w:sz="4" w:space="0" w:color="auto"/>
            </w:tcBorders>
            <w:shd w:val="clear" w:color="auto" w:fill="auto"/>
            <w:vAlign w:val="center"/>
          </w:tcPr>
          <w:p w14:paraId="6A1923AE" w14:textId="77777777" w:rsidR="004A0123" w:rsidRPr="000D3D0C" w:rsidRDefault="004A0123" w:rsidP="008A5C11">
            <w:pPr>
              <w:jc w:val="center"/>
              <w:rPr>
                <w:sz w:val="13"/>
                <w:szCs w:val="13"/>
              </w:rPr>
            </w:pPr>
            <w:r w:rsidRPr="000D3D0C">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617AC398" w14:textId="77777777" w:rsidR="004A0123" w:rsidRPr="000D3D0C" w:rsidRDefault="004A0123" w:rsidP="008A5C11">
            <w:pPr>
              <w:jc w:val="center"/>
              <w:rPr>
                <w:sz w:val="13"/>
                <w:szCs w:val="13"/>
              </w:rPr>
            </w:pPr>
            <w:r w:rsidRPr="000D3D0C">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3DAE81F3" w14:textId="77777777" w:rsidR="004A0123" w:rsidRPr="000D3D0C" w:rsidRDefault="004A0123" w:rsidP="008A5C11">
            <w:pPr>
              <w:jc w:val="center"/>
              <w:rPr>
                <w:sz w:val="13"/>
                <w:szCs w:val="13"/>
              </w:rPr>
            </w:pPr>
            <w:r w:rsidRPr="000D3D0C">
              <w:rPr>
                <w:sz w:val="13"/>
                <w:szCs w:val="13"/>
              </w:rPr>
              <w:t>0</w:t>
            </w:r>
          </w:p>
        </w:tc>
        <w:tc>
          <w:tcPr>
            <w:tcW w:w="158" w:type="pct"/>
            <w:tcBorders>
              <w:top w:val="single" w:sz="4" w:space="0" w:color="auto"/>
              <w:left w:val="single" w:sz="4" w:space="0" w:color="auto"/>
              <w:bottom w:val="single" w:sz="4" w:space="0" w:color="auto"/>
              <w:right w:val="single" w:sz="4" w:space="0" w:color="auto"/>
            </w:tcBorders>
            <w:vAlign w:val="center"/>
          </w:tcPr>
          <w:p w14:paraId="6ABC180C" w14:textId="77777777" w:rsidR="004A0123" w:rsidRPr="000D3D0C" w:rsidRDefault="004A0123" w:rsidP="008A5C11">
            <w:pPr>
              <w:jc w:val="center"/>
              <w:rPr>
                <w:sz w:val="13"/>
                <w:szCs w:val="13"/>
              </w:rPr>
            </w:pPr>
            <w:r w:rsidRPr="000D3D0C">
              <w:rPr>
                <w:sz w:val="13"/>
                <w:szCs w:val="13"/>
              </w:rPr>
              <w:t>0</w:t>
            </w:r>
          </w:p>
        </w:tc>
        <w:tc>
          <w:tcPr>
            <w:tcW w:w="172" w:type="pct"/>
            <w:tcBorders>
              <w:top w:val="single" w:sz="4" w:space="0" w:color="auto"/>
              <w:left w:val="single" w:sz="4" w:space="0" w:color="auto"/>
              <w:bottom w:val="single" w:sz="4" w:space="0" w:color="auto"/>
              <w:right w:val="single" w:sz="4" w:space="0" w:color="auto"/>
            </w:tcBorders>
            <w:vAlign w:val="center"/>
          </w:tcPr>
          <w:p w14:paraId="4CF37D38" w14:textId="77777777" w:rsidR="004A0123" w:rsidRPr="000D3D0C" w:rsidRDefault="004A0123" w:rsidP="008A5C11">
            <w:pPr>
              <w:jc w:val="center"/>
              <w:rPr>
                <w:sz w:val="13"/>
                <w:szCs w:val="13"/>
              </w:rPr>
            </w:pPr>
            <w:r w:rsidRPr="000D3D0C">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3417A6A9" w14:textId="77777777" w:rsidR="004A0123" w:rsidRPr="000D3D0C" w:rsidRDefault="004A0123" w:rsidP="008A5C11">
            <w:pPr>
              <w:jc w:val="center"/>
              <w:rPr>
                <w:sz w:val="13"/>
                <w:szCs w:val="13"/>
              </w:rPr>
            </w:pPr>
            <w:r w:rsidRPr="000D3D0C">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0A6168A8" w14:textId="77777777" w:rsidR="004A0123" w:rsidRPr="000D3D0C" w:rsidRDefault="004A0123" w:rsidP="008A5C11">
            <w:pPr>
              <w:jc w:val="center"/>
              <w:rPr>
                <w:sz w:val="13"/>
                <w:szCs w:val="13"/>
              </w:rPr>
            </w:pPr>
            <w:r w:rsidRPr="000D3D0C">
              <w:rPr>
                <w:sz w:val="13"/>
                <w:szCs w:val="13"/>
              </w:rPr>
              <w:t>0</w:t>
            </w:r>
          </w:p>
        </w:tc>
        <w:tc>
          <w:tcPr>
            <w:tcW w:w="181" w:type="pct"/>
            <w:tcBorders>
              <w:top w:val="single" w:sz="4" w:space="0" w:color="auto"/>
              <w:left w:val="single" w:sz="4" w:space="0" w:color="auto"/>
              <w:bottom w:val="single" w:sz="4" w:space="0" w:color="auto"/>
              <w:right w:val="single" w:sz="4" w:space="0" w:color="auto"/>
            </w:tcBorders>
            <w:vAlign w:val="center"/>
          </w:tcPr>
          <w:p w14:paraId="55F89E8A" w14:textId="77777777" w:rsidR="004A0123" w:rsidRPr="000D3D0C" w:rsidRDefault="004A0123" w:rsidP="008A5C11">
            <w:pPr>
              <w:jc w:val="center"/>
              <w:rPr>
                <w:sz w:val="13"/>
                <w:szCs w:val="13"/>
              </w:rPr>
            </w:pPr>
            <w:r w:rsidRPr="000D3D0C">
              <w:rPr>
                <w:sz w:val="13"/>
                <w:szCs w:val="13"/>
              </w:rPr>
              <w:t>0</w:t>
            </w:r>
          </w:p>
        </w:tc>
        <w:tc>
          <w:tcPr>
            <w:tcW w:w="178" w:type="pct"/>
            <w:tcBorders>
              <w:top w:val="single" w:sz="4" w:space="0" w:color="auto"/>
              <w:left w:val="single" w:sz="4" w:space="0" w:color="auto"/>
              <w:bottom w:val="single" w:sz="4" w:space="0" w:color="auto"/>
              <w:right w:val="single" w:sz="4" w:space="0" w:color="auto"/>
            </w:tcBorders>
            <w:vAlign w:val="center"/>
          </w:tcPr>
          <w:p w14:paraId="3DE70619" w14:textId="77777777" w:rsidR="004A0123" w:rsidRPr="000D3D0C" w:rsidRDefault="004A0123" w:rsidP="008A5C11">
            <w:pPr>
              <w:jc w:val="center"/>
              <w:rPr>
                <w:sz w:val="13"/>
                <w:szCs w:val="13"/>
              </w:rPr>
            </w:pPr>
            <w:r w:rsidRPr="000D3D0C">
              <w:rPr>
                <w:sz w:val="13"/>
                <w:szCs w:val="13"/>
              </w:rPr>
              <w:t>0</w:t>
            </w:r>
          </w:p>
        </w:tc>
      </w:tr>
      <w:tr w:rsidR="004A0123" w:rsidRPr="000D3D0C" w14:paraId="7217806D" w14:textId="77777777" w:rsidTr="008A5C11">
        <w:trPr>
          <w:trHeight w:val="213"/>
        </w:trPr>
        <w:tc>
          <w:tcPr>
            <w:tcW w:w="2677" w:type="pct"/>
            <w:gridSpan w:val="10"/>
            <w:tcBorders>
              <w:bottom w:val="single" w:sz="4" w:space="0" w:color="auto"/>
              <w:right w:val="single" w:sz="4" w:space="0" w:color="auto"/>
            </w:tcBorders>
            <w:shd w:val="clear" w:color="auto" w:fill="auto"/>
            <w:vAlign w:val="center"/>
          </w:tcPr>
          <w:p w14:paraId="0C2E6B2D" w14:textId="77777777" w:rsidR="004A0123" w:rsidRPr="000D3D0C" w:rsidRDefault="004A0123" w:rsidP="008A5C11">
            <w:pPr>
              <w:rPr>
                <w:sz w:val="13"/>
                <w:szCs w:val="13"/>
              </w:rPr>
            </w:pPr>
            <w:r w:rsidRPr="000D3D0C">
              <w:rPr>
                <w:sz w:val="13"/>
                <w:szCs w:val="13"/>
              </w:rPr>
              <w:t>Всего по группе 3.</w:t>
            </w:r>
          </w:p>
        </w:tc>
        <w:tc>
          <w:tcPr>
            <w:tcW w:w="186" w:type="pct"/>
            <w:tcBorders>
              <w:top w:val="nil"/>
              <w:left w:val="nil"/>
              <w:bottom w:val="single" w:sz="4" w:space="0" w:color="auto"/>
              <w:right w:val="single" w:sz="4" w:space="0" w:color="auto"/>
            </w:tcBorders>
            <w:shd w:val="clear" w:color="auto" w:fill="auto"/>
            <w:vAlign w:val="center"/>
          </w:tcPr>
          <w:p w14:paraId="6BD24AC0" w14:textId="77777777" w:rsidR="004A0123" w:rsidRPr="000D3D0C" w:rsidRDefault="004A0123" w:rsidP="008A5C11">
            <w:pPr>
              <w:jc w:val="center"/>
              <w:rPr>
                <w:sz w:val="13"/>
                <w:szCs w:val="13"/>
              </w:rPr>
            </w:pPr>
            <w:r w:rsidRPr="000D3D0C">
              <w:rPr>
                <w:sz w:val="13"/>
                <w:szCs w:val="13"/>
              </w:rPr>
              <w:t>611180</w:t>
            </w:r>
          </w:p>
        </w:tc>
        <w:tc>
          <w:tcPr>
            <w:tcW w:w="186" w:type="pct"/>
            <w:tcBorders>
              <w:top w:val="nil"/>
              <w:left w:val="nil"/>
              <w:bottom w:val="single" w:sz="4" w:space="0" w:color="auto"/>
              <w:right w:val="single" w:sz="4" w:space="0" w:color="auto"/>
            </w:tcBorders>
            <w:shd w:val="clear" w:color="auto" w:fill="auto"/>
            <w:vAlign w:val="center"/>
          </w:tcPr>
          <w:p w14:paraId="7D8AAACC" w14:textId="77777777" w:rsidR="004A0123" w:rsidRPr="000D3D0C" w:rsidRDefault="004A0123" w:rsidP="008A5C11">
            <w:pPr>
              <w:jc w:val="center"/>
              <w:rPr>
                <w:sz w:val="13"/>
                <w:szCs w:val="13"/>
              </w:rPr>
            </w:pPr>
            <w:r w:rsidRPr="000D3D0C">
              <w:rPr>
                <w:sz w:val="13"/>
                <w:szCs w:val="13"/>
              </w:rPr>
              <w:t>0</w:t>
            </w:r>
          </w:p>
        </w:tc>
        <w:tc>
          <w:tcPr>
            <w:tcW w:w="145" w:type="pct"/>
            <w:tcBorders>
              <w:top w:val="nil"/>
              <w:left w:val="single" w:sz="4" w:space="0" w:color="auto"/>
              <w:bottom w:val="single" w:sz="4" w:space="0" w:color="auto"/>
              <w:right w:val="single" w:sz="4" w:space="0" w:color="auto"/>
            </w:tcBorders>
            <w:shd w:val="clear" w:color="auto" w:fill="auto"/>
            <w:vAlign w:val="center"/>
          </w:tcPr>
          <w:p w14:paraId="4BC74879" w14:textId="77777777" w:rsidR="004A0123" w:rsidRPr="000D3D0C" w:rsidRDefault="004A0123" w:rsidP="008A5C11">
            <w:pPr>
              <w:jc w:val="center"/>
              <w:rPr>
                <w:sz w:val="13"/>
                <w:szCs w:val="13"/>
              </w:rPr>
            </w:pPr>
            <w:r w:rsidRPr="000D3D0C">
              <w:rPr>
                <w:sz w:val="13"/>
                <w:szCs w:val="13"/>
              </w:rPr>
              <w:t>5373</w:t>
            </w:r>
          </w:p>
        </w:tc>
        <w:tc>
          <w:tcPr>
            <w:tcW w:w="148" w:type="pct"/>
            <w:tcBorders>
              <w:top w:val="nil"/>
              <w:left w:val="nil"/>
              <w:bottom w:val="single" w:sz="4" w:space="0" w:color="auto"/>
              <w:right w:val="single" w:sz="4" w:space="0" w:color="auto"/>
            </w:tcBorders>
            <w:shd w:val="clear" w:color="auto" w:fill="auto"/>
            <w:vAlign w:val="center"/>
          </w:tcPr>
          <w:p w14:paraId="3734273E" w14:textId="77777777" w:rsidR="004A0123" w:rsidRPr="000D3D0C" w:rsidRDefault="004A0123" w:rsidP="008A5C11">
            <w:pPr>
              <w:jc w:val="center"/>
              <w:rPr>
                <w:sz w:val="13"/>
                <w:szCs w:val="13"/>
              </w:rPr>
            </w:pPr>
            <w:r w:rsidRPr="000D3D0C">
              <w:rPr>
                <w:sz w:val="13"/>
                <w:szCs w:val="13"/>
              </w:rPr>
              <w:t>15055</w:t>
            </w:r>
          </w:p>
        </w:tc>
        <w:tc>
          <w:tcPr>
            <w:tcW w:w="181" w:type="pct"/>
            <w:tcBorders>
              <w:top w:val="nil"/>
              <w:left w:val="nil"/>
              <w:bottom w:val="single" w:sz="4" w:space="0" w:color="auto"/>
              <w:right w:val="single" w:sz="4" w:space="0" w:color="auto"/>
            </w:tcBorders>
            <w:shd w:val="clear" w:color="auto" w:fill="auto"/>
            <w:vAlign w:val="center"/>
          </w:tcPr>
          <w:p w14:paraId="66D254D5" w14:textId="77777777" w:rsidR="004A0123" w:rsidRPr="000D3D0C" w:rsidRDefault="004A0123" w:rsidP="008A5C11">
            <w:pPr>
              <w:jc w:val="center"/>
              <w:rPr>
                <w:sz w:val="13"/>
                <w:szCs w:val="13"/>
              </w:rPr>
            </w:pPr>
            <w:r w:rsidRPr="000D3D0C">
              <w:rPr>
                <w:sz w:val="13"/>
                <w:szCs w:val="13"/>
              </w:rPr>
              <w:t>7814</w:t>
            </w:r>
          </w:p>
        </w:tc>
        <w:tc>
          <w:tcPr>
            <w:tcW w:w="181" w:type="pct"/>
            <w:tcBorders>
              <w:top w:val="nil"/>
              <w:left w:val="nil"/>
              <w:bottom w:val="single" w:sz="4" w:space="0" w:color="auto"/>
              <w:right w:val="single" w:sz="4" w:space="0" w:color="auto"/>
            </w:tcBorders>
            <w:shd w:val="clear" w:color="auto" w:fill="auto"/>
            <w:vAlign w:val="center"/>
          </w:tcPr>
          <w:p w14:paraId="2E0D4B05" w14:textId="77777777" w:rsidR="004A0123" w:rsidRPr="000D3D0C" w:rsidRDefault="004A0123" w:rsidP="008A5C11">
            <w:pPr>
              <w:jc w:val="center"/>
              <w:rPr>
                <w:sz w:val="13"/>
                <w:szCs w:val="13"/>
              </w:rPr>
            </w:pPr>
            <w:r w:rsidRPr="000D3D0C">
              <w:rPr>
                <w:sz w:val="13"/>
                <w:szCs w:val="13"/>
              </w:rPr>
              <w:t>24983</w:t>
            </w:r>
          </w:p>
        </w:tc>
        <w:tc>
          <w:tcPr>
            <w:tcW w:w="153" w:type="pct"/>
            <w:tcBorders>
              <w:top w:val="single" w:sz="4" w:space="0" w:color="auto"/>
              <w:left w:val="single" w:sz="4" w:space="0" w:color="auto"/>
              <w:bottom w:val="single" w:sz="4" w:space="0" w:color="auto"/>
              <w:right w:val="single" w:sz="4" w:space="0" w:color="auto"/>
            </w:tcBorders>
            <w:vAlign w:val="center"/>
          </w:tcPr>
          <w:p w14:paraId="4F03B7E9" w14:textId="77777777" w:rsidR="004A0123" w:rsidRPr="000D3D0C" w:rsidRDefault="004A0123" w:rsidP="008A5C11">
            <w:pPr>
              <w:jc w:val="center"/>
              <w:rPr>
                <w:sz w:val="13"/>
                <w:szCs w:val="13"/>
              </w:rPr>
            </w:pPr>
            <w:r w:rsidRPr="000D3D0C">
              <w:rPr>
                <w:sz w:val="13"/>
                <w:szCs w:val="13"/>
              </w:rPr>
              <w:t>60030</w:t>
            </w:r>
          </w:p>
        </w:tc>
        <w:tc>
          <w:tcPr>
            <w:tcW w:w="153" w:type="pct"/>
            <w:tcBorders>
              <w:top w:val="single" w:sz="4" w:space="0" w:color="auto"/>
              <w:left w:val="single" w:sz="4" w:space="0" w:color="auto"/>
              <w:bottom w:val="single" w:sz="4" w:space="0" w:color="auto"/>
              <w:right w:val="single" w:sz="4" w:space="0" w:color="auto"/>
            </w:tcBorders>
            <w:vAlign w:val="center"/>
          </w:tcPr>
          <w:p w14:paraId="5CB34F38" w14:textId="77777777" w:rsidR="004A0123" w:rsidRPr="000D3D0C" w:rsidRDefault="004A0123" w:rsidP="008A5C11">
            <w:pPr>
              <w:jc w:val="center"/>
              <w:rPr>
                <w:sz w:val="13"/>
                <w:szCs w:val="13"/>
              </w:rPr>
            </w:pPr>
            <w:r w:rsidRPr="000D3D0C">
              <w:rPr>
                <w:sz w:val="13"/>
                <w:szCs w:val="13"/>
              </w:rPr>
              <w:t>83377</w:t>
            </w:r>
          </w:p>
        </w:tc>
        <w:tc>
          <w:tcPr>
            <w:tcW w:w="158" w:type="pct"/>
            <w:tcBorders>
              <w:top w:val="single" w:sz="4" w:space="0" w:color="auto"/>
              <w:left w:val="single" w:sz="4" w:space="0" w:color="auto"/>
              <w:bottom w:val="single" w:sz="4" w:space="0" w:color="auto"/>
              <w:right w:val="single" w:sz="4" w:space="0" w:color="auto"/>
            </w:tcBorders>
            <w:vAlign w:val="center"/>
          </w:tcPr>
          <w:p w14:paraId="65F2EE8F" w14:textId="77777777" w:rsidR="004A0123" w:rsidRPr="000D3D0C" w:rsidRDefault="004A0123" w:rsidP="008A5C11">
            <w:pPr>
              <w:jc w:val="center"/>
              <w:rPr>
                <w:sz w:val="13"/>
                <w:szCs w:val="13"/>
              </w:rPr>
            </w:pPr>
            <w:r w:rsidRPr="000D3D0C">
              <w:rPr>
                <w:sz w:val="13"/>
                <w:szCs w:val="13"/>
              </w:rPr>
              <w:t>93016</w:t>
            </w:r>
          </w:p>
        </w:tc>
        <w:tc>
          <w:tcPr>
            <w:tcW w:w="172" w:type="pct"/>
            <w:tcBorders>
              <w:top w:val="single" w:sz="4" w:space="0" w:color="auto"/>
              <w:left w:val="single" w:sz="4" w:space="0" w:color="auto"/>
              <w:bottom w:val="single" w:sz="4" w:space="0" w:color="auto"/>
              <w:right w:val="single" w:sz="4" w:space="0" w:color="auto"/>
            </w:tcBorders>
            <w:vAlign w:val="center"/>
          </w:tcPr>
          <w:p w14:paraId="33B6CE46" w14:textId="77777777" w:rsidR="004A0123" w:rsidRPr="000D3D0C" w:rsidRDefault="004A0123" w:rsidP="008A5C11">
            <w:pPr>
              <w:jc w:val="center"/>
              <w:rPr>
                <w:sz w:val="13"/>
                <w:szCs w:val="13"/>
              </w:rPr>
            </w:pPr>
            <w:r w:rsidRPr="000D3D0C">
              <w:rPr>
                <w:sz w:val="13"/>
                <w:szCs w:val="13"/>
              </w:rPr>
              <w:t>100715</w:t>
            </w:r>
          </w:p>
        </w:tc>
        <w:tc>
          <w:tcPr>
            <w:tcW w:w="155" w:type="pct"/>
            <w:tcBorders>
              <w:top w:val="single" w:sz="4" w:space="0" w:color="auto"/>
              <w:left w:val="single" w:sz="4" w:space="0" w:color="auto"/>
              <w:bottom w:val="single" w:sz="4" w:space="0" w:color="auto"/>
              <w:right w:val="single" w:sz="4" w:space="0" w:color="auto"/>
            </w:tcBorders>
            <w:vAlign w:val="center"/>
          </w:tcPr>
          <w:p w14:paraId="0714239B" w14:textId="77777777" w:rsidR="004A0123" w:rsidRPr="000D3D0C" w:rsidRDefault="004A0123" w:rsidP="008A5C11">
            <w:pPr>
              <w:jc w:val="center"/>
              <w:rPr>
                <w:sz w:val="13"/>
                <w:szCs w:val="13"/>
              </w:rPr>
            </w:pPr>
            <w:r w:rsidRPr="000D3D0C">
              <w:rPr>
                <w:sz w:val="13"/>
                <w:szCs w:val="13"/>
              </w:rPr>
              <w:t>108643</w:t>
            </w:r>
          </w:p>
        </w:tc>
        <w:tc>
          <w:tcPr>
            <w:tcW w:w="146" w:type="pct"/>
            <w:tcBorders>
              <w:top w:val="single" w:sz="4" w:space="0" w:color="auto"/>
              <w:left w:val="single" w:sz="4" w:space="0" w:color="auto"/>
              <w:bottom w:val="single" w:sz="4" w:space="0" w:color="auto"/>
              <w:right w:val="single" w:sz="4" w:space="0" w:color="auto"/>
            </w:tcBorders>
            <w:vAlign w:val="center"/>
          </w:tcPr>
          <w:p w14:paraId="2AA6B26C" w14:textId="77777777" w:rsidR="004A0123" w:rsidRPr="000D3D0C" w:rsidRDefault="004A0123" w:rsidP="008A5C11">
            <w:pPr>
              <w:jc w:val="center"/>
              <w:rPr>
                <w:sz w:val="13"/>
                <w:szCs w:val="13"/>
              </w:rPr>
            </w:pPr>
            <w:r w:rsidRPr="000D3D0C">
              <w:rPr>
                <w:sz w:val="13"/>
                <w:szCs w:val="13"/>
              </w:rPr>
              <w:t>112174</w:t>
            </w:r>
          </w:p>
        </w:tc>
        <w:tc>
          <w:tcPr>
            <w:tcW w:w="181" w:type="pct"/>
            <w:tcBorders>
              <w:top w:val="single" w:sz="4" w:space="0" w:color="auto"/>
              <w:left w:val="single" w:sz="4" w:space="0" w:color="auto"/>
              <w:bottom w:val="single" w:sz="4" w:space="0" w:color="auto"/>
              <w:right w:val="single" w:sz="4" w:space="0" w:color="auto"/>
            </w:tcBorders>
            <w:vAlign w:val="center"/>
          </w:tcPr>
          <w:p w14:paraId="5817AD27" w14:textId="77777777" w:rsidR="004A0123" w:rsidRPr="000D3D0C" w:rsidRDefault="004A0123" w:rsidP="008A5C11">
            <w:pPr>
              <w:jc w:val="center"/>
              <w:rPr>
                <w:sz w:val="13"/>
                <w:szCs w:val="13"/>
              </w:rPr>
            </w:pPr>
            <w:r w:rsidRPr="000D3D0C">
              <w:rPr>
                <w:sz w:val="13"/>
                <w:szCs w:val="13"/>
              </w:rPr>
              <w:t>0</w:t>
            </w:r>
          </w:p>
        </w:tc>
        <w:tc>
          <w:tcPr>
            <w:tcW w:w="178" w:type="pct"/>
            <w:tcBorders>
              <w:top w:val="single" w:sz="4" w:space="0" w:color="auto"/>
              <w:left w:val="single" w:sz="4" w:space="0" w:color="auto"/>
              <w:bottom w:val="single" w:sz="4" w:space="0" w:color="auto"/>
              <w:right w:val="single" w:sz="4" w:space="0" w:color="auto"/>
            </w:tcBorders>
            <w:vAlign w:val="center"/>
          </w:tcPr>
          <w:p w14:paraId="1F5A9BCB" w14:textId="77777777" w:rsidR="004A0123" w:rsidRPr="000D3D0C" w:rsidRDefault="004A0123" w:rsidP="008A5C11">
            <w:pPr>
              <w:jc w:val="center"/>
              <w:rPr>
                <w:sz w:val="13"/>
                <w:szCs w:val="13"/>
              </w:rPr>
            </w:pPr>
            <w:r w:rsidRPr="000D3D0C">
              <w:rPr>
                <w:sz w:val="13"/>
                <w:szCs w:val="13"/>
              </w:rPr>
              <w:t>0</w:t>
            </w:r>
          </w:p>
        </w:tc>
      </w:tr>
      <w:tr w:rsidR="004A0123" w:rsidRPr="000D3D0C" w14:paraId="3CF7B022" w14:textId="77777777" w:rsidTr="008A5C11">
        <w:trPr>
          <w:trHeight w:val="64"/>
        </w:trPr>
        <w:tc>
          <w:tcPr>
            <w:tcW w:w="5000" w:type="pct"/>
            <w:gridSpan w:val="24"/>
            <w:tcBorders>
              <w:bottom w:val="single" w:sz="4" w:space="0" w:color="auto"/>
              <w:right w:val="single" w:sz="4" w:space="0" w:color="auto"/>
            </w:tcBorders>
            <w:shd w:val="clear" w:color="auto" w:fill="auto"/>
            <w:vAlign w:val="center"/>
          </w:tcPr>
          <w:p w14:paraId="0AA6D2F5" w14:textId="77777777" w:rsidR="004A0123" w:rsidRPr="000D3D0C" w:rsidRDefault="004A0123" w:rsidP="008A5C11">
            <w:pPr>
              <w:rPr>
                <w:sz w:val="13"/>
                <w:szCs w:val="13"/>
              </w:rPr>
            </w:pPr>
            <w:r w:rsidRPr="000D3D0C">
              <w:rPr>
                <w:bCs/>
                <w:sz w:val="13"/>
                <w:szCs w:val="13"/>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4A0123" w:rsidRPr="000D3D0C" w14:paraId="43C12FBE" w14:textId="77777777" w:rsidTr="008A5C11">
        <w:trPr>
          <w:trHeight w:val="890"/>
        </w:trPr>
        <w:tc>
          <w:tcPr>
            <w:tcW w:w="147" w:type="pct"/>
            <w:tcBorders>
              <w:bottom w:val="single" w:sz="4" w:space="0" w:color="auto"/>
            </w:tcBorders>
            <w:shd w:val="clear" w:color="auto" w:fill="auto"/>
            <w:vAlign w:val="center"/>
          </w:tcPr>
          <w:p w14:paraId="052CEBDC" w14:textId="77777777" w:rsidR="004A0123" w:rsidRPr="000D3D0C" w:rsidRDefault="004A0123" w:rsidP="008A5C11">
            <w:pPr>
              <w:jc w:val="center"/>
              <w:rPr>
                <w:sz w:val="13"/>
                <w:szCs w:val="13"/>
              </w:rPr>
            </w:pPr>
            <w:r w:rsidRPr="000D3D0C">
              <w:rPr>
                <w:sz w:val="13"/>
                <w:szCs w:val="13"/>
              </w:rPr>
              <w:t>4.1.</w:t>
            </w:r>
          </w:p>
        </w:tc>
        <w:tc>
          <w:tcPr>
            <w:tcW w:w="584" w:type="pct"/>
            <w:tcBorders>
              <w:top w:val="nil"/>
              <w:left w:val="single" w:sz="4" w:space="0" w:color="auto"/>
              <w:bottom w:val="single" w:sz="4" w:space="0" w:color="auto"/>
              <w:right w:val="single" w:sz="4" w:space="0" w:color="auto"/>
            </w:tcBorders>
            <w:shd w:val="clear" w:color="auto" w:fill="auto"/>
            <w:vAlign w:val="center"/>
          </w:tcPr>
          <w:p w14:paraId="276112CB" w14:textId="77777777" w:rsidR="004A0123" w:rsidRPr="000D3D0C" w:rsidRDefault="004A0123" w:rsidP="008A5C11">
            <w:pPr>
              <w:rPr>
                <w:color w:val="000000"/>
                <w:sz w:val="13"/>
                <w:szCs w:val="13"/>
              </w:rPr>
            </w:pPr>
            <w:r w:rsidRPr="000D3D0C">
              <w:rPr>
                <w:color w:val="000000"/>
                <w:sz w:val="13"/>
                <w:szCs w:val="13"/>
              </w:rPr>
              <w:t>Установка блочно-модульной котельной 80 кВт (2х40)</w:t>
            </w:r>
          </w:p>
        </w:tc>
        <w:tc>
          <w:tcPr>
            <w:tcW w:w="358" w:type="pct"/>
            <w:tcBorders>
              <w:top w:val="nil"/>
              <w:left w:val="nil"/>
              <w:bottom w:val="single" w:sz="4" w:space="0" w:color="auto"/>
              <w:right w:val="single" w:sz="4" w:space="0" w:color="auto"/>
            </w:tcBorders>
            <w:shd w:val="clear" w:color="auto" w:fill="auto"/>
            <w:vAlign w:val="center"/>
          </w:tcPr>
          <w:p w14:paraId="521AAE3E" w14:textId="77777777" w:rsidR="004A0123" w:rsidRPr="000D3D0C" w:rsidRDefault="004A0123" w:rsidP="008A5C11">
            <w:pPr>
              <w:jc w:val="center"/>
              <w:rPr>
                <w:color w:val="000000"/>
                <w:sz w:val="13"/>
                <w:szCs w:val="13"/>
              </w:rPr>
            </w:pPr>
            <w:r w:rsidRPr="000D3D0C">
              <w:rPr>
                <w:color w:val="000000"/>
                <w:sz w:val="13"/>
                <w:szCs w:val="13"/>
              </w:rPr>
              <w:t>Повышение эффективности работы систем</w:t>
            </w:r>
          </w:p>
        </w:tc>
        <w:tc>
          <w:tcPr>
            <w:tcW w:w="389" w:type="pct"/>
            <w:tcBorders>
              <w:top w:val="nil"/>
              <w:left w:val="nil"/>
              <w:bottom w:val="single" w:sz="4" w:space="0" w:color="auto"/>
              <w:right w:val="single" w:sz="4" w:space="0" w:color="auto"/>
            </w:tcBorders>
            <w:shd w:val="clear" w:color="auto" w:fill="auto"/>
            <w:vAlign w:val="center"/>
          </w:tcPr>
          <w:p w14:paraId="649B58B6" w14:textId="77777777" w:rsidR="004A0123" w:rsidRPr="000D3D0C" w:rsidRDefault="004A0123" w:rsidP="008A5C11">
            <w:pPr>
              <w:jc w:val="center"/>
              <w:rPr>
                <w:color w:val="000000"/>
                <w:sz w:val="13"/>
                <w:szCs w:val="13"/>
              </w:rPr>
            </w:pPr>
            <w:r w:rsidRPr="000D3D0C">
              <w:rPr>
                <w:color w:val="000000"/>
                <w:sz w:val="13"/>
                <w:szCs w:val="13"/>
              </w:rPr>
              <w:t>Кемеровская обл.                  г. Тайга                         ул. Рабочая, 179.              Котельная Детского сада</w:t>
            </w:r>
          </w:p>
        </w:tc>
        <w:tc>
          <w:tcPr>
            <w:tcW w:w="336" w:type="pct"/>
            <w:tcBorders>
              <w:top w:val="nil"/>
              <w:left w:val="nil"/>
              <w:bottom w:val="single" w:sz="4" w:space="0" w:color="auto"/>
              <w:right w:val="single" w:sz="4" w:space="0" w:color="auto"/>
            </w:tcBorders>
            <w:shd w:val="clear" w:color="auto" w:fill="auto"/>
            <w:vAlign w:val="center"/>
          </w:tcPr>
          <w:p w14:paraId="36A7364E" w14:textId="77777777" w:rsidR="004A0123" w:rsidRPr="000D3D0C" w:rsidRDefault="004A0123" w:rsidP="008A5C11">
            <w:pPr>
              <w:jc w:val="center"/>
              <w:rPr>
                <w:color w:val="000000"/>
                <w:sz w:val="13"/>
                <w:szCs w:val="13"/>
              </w:rPr>
            </w:pPr>
            <w:r w:rsidRPr="000D3D0C">
              <w:rPr>
                <w:color w:val="000000"/>
                <w:sz w:val="13"/>
                <w:szCs w:val="13"/>
              </w:rPr>
              <w:t>Установленная тепловая мощность</w:t>
            </w:r>
          </w:p>
        </w:tc>
        <w:tc>
          <w:tcPr>
            <w:tcW w:w="133" w:type="pct"/>
            <w:tcBorders>
              <w:top w:val="nil"/>
              <w:left w:val="nil"/>
              <w:bottom w:val="single" w:sz="4" w:space="0" w:color="auto"/>
              <w:right w:val="single" w:sz="4" w:space="0" w:color="auto"/>
            </w:tcBorders>
            <w:shd w:val="clear" w:color="auto" w:fill="auto"/>
            <w:vAlign w:val="center"/>
          </w:tcPr>
          <w:p w14:paraId="47DB0F4C" w14:textId="77777777" w:rsidR="004A0123" w:rsidRPr="000D3D0C" w:rsidRDefault="004A0123" w:rsidP="008A5C11">
            <w:pPr>
              <w:jc w:val="center"/>
              <w:rPr>
                <w:color w:val="000000"/>
                <w:sz w:val="13"/>
                <w:szCs w:val="13"/>
              </w:rPr>
            </w:pPr>
            <w:r w:rsidRPr="000D3D0C">
              <w:rPr>
                <w:color w:val="000000"/>
                <w:sz w:val="13"/>
                <w:szCs w:val="13"/>
              </w:rPr>
              <w:t>Гкал/ч</w:t>
            </w:r>
          </w:p>
        </w:tc>
        <w:tc>
          <w:tcPr>
            <w:tcW w:w="180" w:type="pct"/>
            <w:tcBorders>
              <w:top w:val="nil"/>
              <w:left w:val="single" w:sz="4" w:space="0" w:color="auto"/>
              <w:bottom w:val="single" w:sz="4" w:space="0" w:color="auto"/>
              <w:right w:val="single" w:sz="4" w:space="0" w:color="auto"/>
            </w:tcBorders>
            <w:shd w:val="clear" w:color="auto" w:fill="auto"/>
            <w:vAlign w:val="center"/>
          </w:tcPr>
          <w:p w14:paraId="39E6C2F5" w14:textId="77777777" w:rsidR="004A0123" w:rsidRPr="000D3D0C" w:rsidRDefault="004A0123" w:rsidP="008A5C11">
            <w:pPr>
              <w:jc w:val="center"/>
              <w:rPr>
                <w:color w:val="000000"/>
                <w:sz w:val="13"/>
                <w:szCs w:val="13"/>
              </w:rPr>
            </w:pPr>
            <w:r w:rsidRPr="000D3D0C">
              <w:rPr>
                <w:color w:val="000000"/>
                <w:sz w:val="13"/>
                <w:szCs w:val="13"/>
              </w:rPr>
              <w:t>0,03</w:t>
            </w:r>
          </w:p>
        </w:tc>
        <w:tc>
          <w:tcPr>
            <w:tcW w:w="176" w:type="pct"/>
            <w:tcBorders>
              <w:top w:val="nil"/>
              <w:left w:val="nil"/>
              <w:bottom w:val="single" w:sz="4" w:space="0" w:color="auto"/>
              <w:right w:val="single" w:sz="4" w:space="0" w:color="auto"/>
            </w:tcBorders>
            <w:shd w:val="clear" w:color="auto" w:fill="auto"/>
            <w:vAlign w:val="center"/>
          </w:tcPr>
          <w:p w14:paraId="64D1FD81" w14:textId="77777777" w:rsidR="004A0123" w:rsidRPr="000D3D0C" w:rsidRDefault="004A0123" w:rsidP="008A5C11">
            <w:pPr>
              <w:jc w:val="center"/>
              <w:rPr>
                <w:color w:val="000000"/>
                <w:sz w:val="13"/>
                <w:szCs w:val="13"/>
              </w:rPr>
            </w:pPr>
            <w:r w:rsidRPr="000D3D0C">
              <w:rPr>
                <w:color w:val="000000"/>
                <w:sz w:val="13"/>
                <w:szCs w:val="13"/>
              </w:rPr>
              <w:t>0,07</w:t>
            </w:r>
          </w:p>
        </w:tc>
        <w:tc>
          <w:tcPr>
            <w:tcW w:w="188" w:type="pct"/>
            <w:tcBorders>
              <w:top w:val="nil"/>
              <w:left w:val="nil"/>
              <w:bottom w:val="single" w:sz="4" w:space="0" w:color="auto"/>
              <w:right w:val="single" w:sz="4" w:space="0" w:color="auto"/>
            </w:tcBorders>
            <w:shd w:val="clear" w:color="auto" w:fill="auto"/>
            <w:vAlign w:val="center"/>
          </w:tcPr>
          <w:p w14:paraId="66F72929" w14:textId="77777777" w:rsidR="004A0123" w:rsidRPr="000D3D0C" w:rsidRDefault="004A0123" w:rsidP="008A5C11">
            <w:pPr>
              <w:jc w:val="center"/>
              <w:rPr>
                <w:color w:val="000000"/>
                <w:sz w:val="13"/>
                <w:szCs w:val="13"/>
              </w:rPr>
            </w:pPr>
            <w:r w:rsidRPr="000D3D0C">
              <w:rPr>
                <w:color w:val="000000"/>
                <w:sz w:val="13"/>
                <w:szCs w:val="13"/>
              </w:rPr>
              <w:t>2021</w:t>
            </w:r>
          </w:p>
        </w:tc>
        <w:tc>
          <w:tcPr>
            <w:tcW w:w="186" w:type="pct"/>
            <w:tcBorders>
              <w:top w:val="nil"/>
              <w:left w:val="nil"/>
              <w:bottom w:val="single" w:sz="4" w:space="0" w:color="auto"/>
              <w:right w:val="single" w:sz="4" w:space="0" w:color="auto"/>
            </w:tcBorders>
            <w:shd w:val="clear" w:color="auto" w:fill="auto"/>
            <w:vAlign w:val="center"/>
          </w:tcPr>
          <w:p w14:paraId="32F2E7EE" w14:textId="77777777" w:rsidR="004A0123" w:rsidRPr="000D3D0C" w:rsidRDefault="004A0123" w:rsidP="008A5C11">
            <w:pPr>
              <w:jc w:val="center"/>
              <w:rPr>
                <w:color w:val="000000"/>
                <w:sz w:val="13"/>
                <w:szCs w:val="13"/>
              </w:rPr>
            </w:pPr>
            <w:r w:rsidRPr="000D3D0C">
              <w:rPr>
                <w:color w:val="000000"/>
                <w:sz w:val="13"/>
                <w:szCs w:val="13"/>
              </w:rPr>
              <w:t>2021</w:t>
            </w:r>
          </w:p>
        </w:tc>
        <w:tc>
          <w:tcPr>
            <w:tcW w:w="186" w:type="pct"/>
            <w:tcBorders>
              <w:top w:val="nil"/>
              <w:left w:val="nil"/>
              <w:bottom w:val="single" w:sz="4" w:space="0" w:color="auto"/>
              <w:right w:val="single" w:sz="4" w:space="0" w:color="auto"/>
            </w:tcBorders>
            <w:shd w:val="clear" w:color="auto" w:fill="auto"/>
            <w:vAlign w:val="center"/>
          </w:tcPr>
          <w:p w14:paraId="2BB86DBA" w14:textId="77777777" w:rsidR="004A0123" w:rsidRPr="000D3D0C" w:rsidRDefault="004A0123" w:rsidP="008A5C11">
            <w:pPr>
              <w:jc w:val="center"/>
              <w:rPr>
                <w:color w:val="000000"/>
                <w:sz w:val="13"/>
                <w:szCs w:val="13"/>
              </w:rPr>
            </w:pPr>
            <w:r w:rsidRPr="000D3D0C">
              <w:rPr>
                <w:color w:val="000000"/>
                <w:sz w:val="13"/>
                <w:szCs w:val="13"/>
              </w:rPr>
              <w:t>5824</w:t>
            </w:r>
          </w:p>
        </w:tc>
        <w:tc>
          <w:tcPr>
            <w:tcW w:w="186" w:type="pct"/>
            <w:tcBorders>
              <w:top w:val="nil"/>
              <w:left w:val="nil"/>
              <w:bottom w:val="single" w:sz="4" w:space="0" w:color="auto"/>
              <w:right w:val="single" w:sz="4" w:space="0" w:color="auto"/>
            </w:tcBorders>
            <w:shd w:val="clear" w:color="auto" w:fill="auto"/>
            <w:vAlign w:val="center"/>
          </w:tcPr>
          <w:p w14:paraId="5D56515C" w14:textId="77777777" w:rsidR="004A0123" w:rsidRPr="000D3D0C" w:rsidRDefault="004A0123" w:rsidP="008A5C11">
            <w:pPr>
              <w:jc w:val="center"/>
              <w:rPr>
                <w:sz w:val="13"/>
                <w:szCs w:val="13"/>
              </w:rPr>
            </w:pPr>
            <w:r w:rsidRPr="000D3D0C">
              <w:rPr>
                <w:sz w:val="13"/>
                <w:szCs w:val="13"/>
              </w:rPr>
              <w:t>0</w:t>
            </w:r>
          </w:p>
        </w:tc>
        <w:tc>
          <w:tcPr>
            <w:tcW w:w="145" w:type="pct"/>
            <w:tcBorders>
              <w:top w:val="nil"/>
              <w:left w:val="single" w:sz="4" w:space="0" w:color="auto"/>
              <w:bottom w:val="single" w:sz="4" w:space="0" w:color="auto"/>
              <w:right w:val="single" w:sz="4" w:space="0" w:color="auto"/>
            </w:tcBorders>
            <w:shd w:val="clear" w:color="auto" w:fill="auto"/>
            <w:vAlign w:val="center"/>
          </w:tcPr>
          <w:p w14:paraId="537C19A0" w14:textId="77777777" w:rsidR="004A0123" w:rsidRPr="000D3D0C" w:rsidRDefault="004A0123" w:rsidP="008A5C11">
            <w:pPr>
              <w:jc w:val="center"/>
              <w:rPr>
                <w:sz w:val="13"/>
                <w:szCs w:val="13"/>
              </w:rPr>
            </w:pPr>
            <w:r w:rsidRPr="000D3D0C">
              <w:rPr>
                <w:sz w:val="13"/>
                <w:szCs w:val="13"/>
              </w:rPr>
              <w:t>5824</w:t>
            </w:r>
          </w:p>
        </w:tc>
        <w:tc>
          <w:tcPr>
            <w:tcW w:w="148" w:type="pct"/>
            <w:tcBorders>
              <w:top w:val="nil"/>
              <w:left w:val="nil"/>
              <w:bottom w:val="single" w:sz="4" w:space="0" w:color="auto"/>
              <w:right w:val="single" w:sz="4" w:space="0" w:color="auto"/>
            </w:tcBorders>
            <w:shd w:val="clear" w:color="auto" w:fill="auto"/>
            <w:vAlign w:val="center"/>
          </w:tcPr>
          <w:p w14:paraId="5AEFFBD8" w14:textId="77777777" w:rsidR="004A0123" w:rsidRPr="000D3D0C" w:rsidRDefault="004A0123" w:rsidP="008A5C11">
            <w:pPr>
              <w:jc w:val="center"/>
              <w:rPr>
                <w:sz w:val="13"/>
                <w:szCs w:val="13"/>
              </w:rPr>
            </w:pPr>
            <w:r w:rsidRPr="000D3D0C">
              <w:rPr>
                <w:sz w:val="13"/>
                <w:szCs w:val="13"/>
              </w:rPr>
              <w:t>0</w:t>
            </w:r>
          </w:p>
        </w:tc>
        <w:tc>
          <w:tcPr>
            <w:tcW w:w="181" w:type="pct"/>
            <w:tcBorders>
              <w:top w:val="nil"/>
              <w:left w:val="nil"/>
              <w:bottom w:val="single" w:sz="4" w:space="0" w:color="auto"/>
              <w:right w:val="single" w:sz="4" w:space="0" w:color="auto"/>
            </w:tcBorders>
            <w:shd w:val="clear" w:color="auto" w:fill="auto"/>
            <w:vAlign w:val="center"/>
          </w:tcPr>
          <w:p w14:paraId="439D7CD0" w14:textId="77777777" w:rsidR="004A0123" w:rsidRPr="000D3D0C" w:rsidRDefault="004A0123" w:rsidP="008A5C11">
            <w:pPr>
              <w:jc w:val="center"/>
              <w:rPr>
                <w:sz w:val="13"/>
                <w:szCs w:val="13"/>
              </w:rPr>
            </w:pPr>
            <w:r w:rsidRPr="000D3D0C">
              <w:rPr>
                <w:sz w:val="13"/>
                <w:szCs w:val="13"/>
              </w:rPr>
              <w:t>0</w:t>
            </w:r>
          </w:p>
        </w:tc>
        <w:tc>
          <w:tcPr>
            <w:tcW w:w="181" w:type="pct"/>
            <w:tcBorders>
              <w:top w:val="nil"/>
              <w:left w:val="nil"/>
              <w:bottom w:val="single" w:sz="4" w:space="0" w:color="auto"/>
              <w:right w:val="single" w:sz="4" w:space="0" w:color="auto"/>
            </w:tcBorders>
            <w:shd w:val="clear" w:color="auto" w:fill="auto"/>
            <w:vAlign w:val="center"/>
          </w:tcPr>
          <w:p w14:paraId="0BCA0E42" w14:textId="77777777" w:rsidR="004A0123" w:rsidRPr="000D3D0C" w:rsidRDefault="004A0123" w:rsidP="008A5C11">
            <w:pPr>
              <w:jc w:val="center"/>
              <w:rPr>
                <w:sz w:val="13"/>
                <w:szCs w:val="13"/>
              </w:rPr>
            </w:pPr>
            <w:r w:rsidRPr="000D3D0C">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6191B385" w14:textId="77777777" w:rsidR="004A0123" w:rsidRPr="000D3D0C" w:rsidRDefault="004A0123" w:rsidP="008A5C11">
            <w:pPr>
              <w:jc w:val="center"/>
              <w:rPr>
                <w:sz w:val="13"/>
                <w:szCs w:val="13"/>
              </w:rPr>
            </w:pPr>
            <w:r w:rsidRPr="000D3D0C">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2DA0E257" w14:textId="77777777" w:rsidR="004A0123" w:rsidRPr="000D3D0C" w:rsidRDefault="004A0123" w:rsidP="008A5C11">
            <w:pPr>
              <w:jc w:val="center"/>
              <w:rPr>
                <w:sz w:val="13"/>
                <w:szCs w:val="13"/>
              </w:rPr>
            </w:pPr>
            <w:r w:rsidRPr="000D3D0C">
              <w:rPr>
                <w:sz w:val="13"/>
                <w:szCs w:val="13"/>
              </w:rPr>
              <w:t>0</w:t>
            </w:r>
          </w:p>
        </w:tc>
        <w:tc>
          <w:tcPr>
            <w:tcW w:w="158" w:type="pct"/>
            <w:tcBorders>
              <w:top w:val="single" w:sz="4" w:space="0" w:color="auto"/>
              <w:left w:val="single" w:sz="4" w:space="0" w:color="auto"/>
              <w:bottom w:val="single" w:sz="4" w:space="0" w:color="auto"/>
              <w:right w:val="single" w:sz="4" w:space="0" w:color="auto"/>
            </w:tcBorders>
            <w:vAlign w:val="center"/>
          </w:tcPr>
          <w:p w14:paraId="1017E219" w14:textId="77777777" w:rsidR="004A0123" w:rsidRPr="000D3D0C" w:rsidRDefault="004A0123" w:rsidP="008A5C11">
            <w:pPr>
              <w:jc w:val="center"/>
              <w:rPr>
                <w:sz w:val="13"/>
                <w:szCs w:val="13"/>
              </w:rPr>
            </w:pPr>
            <w:r w:rsidRPr="000D3D0C">
              <w:rPr>
                <w:sz w:val="13"/>
                <w:szCs w:val="13"/>
              </w:rPr>
              <w:t>0</w:t>
            </w:r>
          </w:p>
        </w:tc>
        <w:tc>
          <w:tcPr>
            <w:tcW w:w="172" w:type="pct"/>
            <w:tcBorders>
              <w:top w:val="single" w:sz="4" w:space="0" w:color="auto"/>
              <w:left w:val="single" w:sz="4" w:space="0" w:color="auto"/>
              <w:bottom w:val="single" w:sz="4" w:space="0" w:color="auto"/>
              <w:right w:val="single" w:sz="4" w:space="0" w:color="auto"/>
            </w:tcBorders>
            <w:vAlign w:val="center"/>
          </w:tcPr>
          <w:p w14:paraId="7F499F49" w14:textId="77777777" w:rsidR="004A0123" w:rsidRPr="000D3D0C" w:rsidRDefault="004A0123" w:rsidP="008A5C11">
            <w:pPr>
              <w:jc w:val="center"/>
              <w:rPr>
                <w:sz w:val="13"/>
                <w:szCs w:val="13"/>
              </w:rPr>
            </w:pPr>
            <w:r w:rsidRPr="000D3D0C">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4670BB4A" w14:textId="77777777" w:rsidR="004A0123" w:rsidRPr="000D3D0C" w:rsidRDefault="004A0123" w:rsidP="008A5C11">
            <w:pPr>
              <w:jc w:val="center"/>
              <w:rPr>
                <w:sz w:val="13"/>
                <w:szCs w:val="13"/>
              </w:rPr>
            </w:pPr>
            <w:r w:rsidRPr="000D3D0C">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6DCDE4D1" w14:textId="77777777" w:rsidR="004A0123" w:rsidRPr="000D3D0C" w:rsidRDefault="004A0123" w:rsidP="008A5C11">
            <w:pPr>
              <w:jc w:val="center"/>
              <w:rPr>
                <w:sz w:val="13"/>
                <w:szCs w:val="13"/>
              </w:rPr>
            </w:pPr>
            <w:r w:rsidRPr="000D3D0C">
              <w:rPr>
                <w:sz w:val="13"/>
                <w:szCs w:val="13"/>
              </w:rPr>
              <w:t>0</w:t>
            </w:r>
          </w:p>
        </w:tc>
        <w:tc>
          <w:tcPr>
            <w:tcW w:w="181" w:type="pct"/>
            <w:tcBorders>
              <w:top w:val="single" w:sz="4" w:space="0" w:color="auto"/>
              <w:left w:val="single" w:sz="4" w:space="0" w:color="auto"/>
              <w:bottom w:val="single" w:sz="4" w:space="0" w:color="auto"/>
              <w:right w:val="single" w:sz="4" w:space="0" w:color="auto"/>
            </w:tcBorders>
            <w:vAlign w:val="center"/>
          </w:tcPr>
          <w:p w14:paraId="0ED00517" w14:textId="77777777" w:rsidR="004A0123" w:rsidRPr="000D3D0C" w:rsidRDefault="004A0123" w:rsidP="008A5C11">
            <w:pPr>
              <w:jc w:val="center"/>
              <w:rPr>
                <w:sz w:val="13"/>
                <w:szCs w:val="13"/>
              </w:rPr>
            </w:pPr>
            <w:r w:rsidRPr="000D3D0C">
              <w:rPr>
                <w:sz w:val="13"/>
                <w:szCs w:val="13"/>
              </w:rPr>
              <w:t>0</w:t>
            </w:r>
          </w:p>
        </w:tc>
        <w:tc>
          <w:tcPr>
            <w:tcW w:w="178" w:type="pct"/>
            <w:tcBorders>
              <w:top w:val="single" w:sz="4" w:space="0" w:color="auto"/>
              <w:left w:val="single" w:sz="4" w:space="0" w:color="auto"/>
              <w:bottom w:val="single" w:sz="4" w:space="0" w:color="auto"/>
              <w:right w:val="single" w:sz="4" w:space="0" w:color="auto"/>
            </w:tcBorders>
            <w:vAlign w:val="center"/>
          </w:tcPr>
          <w:p w14:paraId="5D5FEAD7" w14:textId="77777777" w:rsidR="004A0123" w:rsidRPr="000D3D0C" w:rsidRDefault="004A0123" w:rsidP="008A5C11">
            <w:pPr>
              <w:jc w:val="center"/>
              <w:rPr>
                <w:sz w:val="13"/>
                <w:szCs w:val="13"/>
              </w:rPr>
            </w:pPr>
            <w:r w:rsidRPr="000D3D0C">
              <w:rPr>
                <w:sz w:val="13"/>
                <w:szCs w:val="13"/>
              </w:rPr>
              <w:t>0</w:t>
            </w:r>
          </w:p>
        </w:tc>
      </w:tr>
      <w:tr w:rsidR="004A0123" w:rsidRPr="000D3D0C" w14:paraId="1DF3A4AC" w14:textId="77777777" w:rsidTr="008A5C11">
        <w:trPr>
          <w:trHeight w:val="845"/>
        </w:trPr>
        <w:tc>
          <w:tcPr>
            <w:tcW w:w="147" w:type="pct"/>
            <w:tcBorders>
              <w:bottom w:val="single" w:sz="4" w:space="0" w:color="auto"/>
            </w:tcBorders>
            <w:shd w:val="clear" w:color="auto" w:fill="auto"/>
            <w:vAlign w:val="center"/>
          </w:tcPr>
          <w:p w14:paraId="65516C9B" w14:textId="77777777" w:rsidR="004A0123" w:rsidRPr="000D3D0C" w:rsidRDefault="004A0123" w:rsidP="008A5C11">
            <w:pPr>
              <w:jc w:val="center"/>
              <w:rPr>
                <w:sz w:val="13"/>
                <w:szCs w:val="13"/>
              </w:rPr>
            </w:pPr>
            <w:r w:rsidRPr="000D3D0C">
              <w:rPr>
                <w:sz w:val="13"/>
                <w:szCs w:val="13"/>
              </w:rPr>
              <w:t>4.2.</w:t>
            </w:r>
          </w:p>
        </w:tc>
        <w:tc>
          <w:tcPr>
            <w:tcW w:w="584" w:type="pct"/>
            <w:tcBorders>
              <w:top w:val="nil"/>
              <w:left w:val="single" w:sz="4" w:space="0" w:color="auto"/>
              <w:bottom w:val="single" w:sz="4" w:space="0" w:color="auto"/>
              <w:right w:val="single" w:sz="4" w:space="0" w:color="auto"/>
            </w:tcBorders>
            <w:shd w:val="clear" w:color="auto" w:fill="auto"/>
          </w:tcPr>
          <w:p w14:paraId="7FC05550" w14:textId="77777777" w:rsidR="004A0123" w:rsidRPr="000D3D0C" w:rsidRDefault="004A0123" w:rsidP="008A5C11">
            <w:pPr>
              <w:rPr>
                <w:color w:val="000000"/>
                <w:sz w:val="13"/>
                <w:szCs w:val="13"/>
              </w:rPr>
            </w:pPr>
            <w:r w:rsidRPr="000D3D0C">
              <w:rPr>
                <w:color w:val="000000"/>
                <w:sz w:val="13"/>
                <w:szCs w:val="13"/>
              </w:rPr>
              <w:t>Установка блочно-модульной котельной 1800 кВт (3х600)</w:t>
            </w:r>
          </w:p>
        </w:tc>
        <w:tc>
          <w:tcPr>
            <w:tcW w:w="358" w:type="pct"/>
            <w:tcBorders>
              <w:top w:val="nil"/>
              <w:left w:val="nil"/>
              <w:bottom w:val="single" w:sz="4" w:space="0" w:color="auto"/>
              <w:right w:val="single" w:sz="4" w:space="0" w:color="auto"/>
            </w:tcBorders>
            <w:shd w:val="clear" w:color="auto" w:fill="auto"/>
            <w:vAlign w:val="center"/>
          </w:tcPr>
          <w:p w14:paraId="1095EA8E" w14:textId="77777777" w:rsidR="004A0123" w:rsidRPr="000D3D0C" w:rsidRDefault="004A0123" w:rsidP="008A5C11">
            <w:pPr>
              <w:jc w:val="center"/>
              <w:rPr>
                <w:color w:val="000000"/>
                <w:sz w:val="13"/>
                <w:szCs w:val="13"/>
              </w:rPr>
            </w:pPr>
            <w:r w:rsidRPr="000D3D0C">
              <w:rPr>
                <w:color w:val="000000"/>
                <w:sz w:val="13"/>
                <w:szCs w:val="13"/>
              </w:rPr>
              <w:t>Повышение эффективности работы систем</w:t>
            </w:r>
          </w:p>
        </w:tc>
        <w:tc>
          <w:tcPr>
            <w:tcW w:w="389" w:type="pct"/>
            <w:tcBorders>
              <w:top w:val="nil"/>
              <w:left w:val="nil"/>
              <w:bottom w:val="single" w:sz="4" w:space="0" w:color="auto"/>
              <w:right w:val="single" w:sz="4" w:space="0" w:color="auto"/>
            </w:tcBorders>
            <w:shd w:val="clear" w:color="auto" w:fill="auto"/>
            <w:vAlign w:val="center"/>
          </w:tcPr>
          <w:p w14:paraId="6254133D" w14:textId="77777777" w:rsidR="004A0123" w:rsidRPr="000D3D0C" w:rsidRDefault="004A0123" w:rsidP="008A5C11">
            <w:pPr>
              <w:jc w:val="center"/>
              <w:rPr>
                <w:color w:val="000000"/>
                <w:sz w:val="13"/>
                <w:szCs w:val="13"/>
              </w:rPr>
            </w:pPr>
            <w:r w:rsidRPr="000D3D0C">
              <w:rPr>
                <w:color w:val="000000"/>
                <w:sz w:val="13"/>
                <w:szCs w:val="13"/>
              </w:rPr>
              <w:t xml:space="preserve">Кемеровская обл.                  г. Тайга                         </w:t>
            </w:r>
            <w:proofErr w:type="gramStart"/>
            <w:r w:rsidRPr="000D3D0C">
              <w:rPr>
                <w:color w:val="000000"/>
                <w:sz w:val="13"/>
                <w:szCs w:val="13"/>
              </w:rPr>
              <w:t>ул.Почтовая,д.</w:t>
            </w:r>
            <w:proofErr w:type="gramEnd"/>
            <w:r w:rsidRPr="000D3D0C">
              <w:rPr>
                <w:color w:val="000000"/>
                <w:sz w:val="13"/>
                <w:szCs w:val="13"/>
              </w:rPr>
              <w:t>135Д.              Котельная №1</w:t>
            </w:r>
          </w:p>
        </w:tc>
        <w:tc>
          <w:tcPr>
            <w:tcW w:w="336" w:type="pct"/>
            <w:tcBorders>
              <w:top w:val="nil"/>
              <w:left w:val="nil"/>
              <w:bottom w:val="single" w:sz="4" w:space="0" w:color="auto"/>
              <w:right w:val="single" w:sz="4" w:space="0" w:color="auto"/>
            </w:tcBorders>
            <w:shd w:val="clear" w:color="auto" w:fill="auto"/>
            <w:vAlign w:val="center"/>
          </w:tcPr>
          <w:p w14:paraId="4E72FA34" w14:textId="77777777" w:rsidR="004A0123" w:rsidRPr="000D3D0C" w:rsidRDefault="004A0123" w:rsidP="008A5C11">
            <w:pPr>
              <w:jc w:val="center"/>
              <w:rPr>
                <w:color w:val="000000"/>
                <w:sz w:val="13"/>
                <w:szCs w:val="13"/>
              </w:rPr>
            </w:pPr>
            <w:r w:rsidRPr="000D3D0C">
              <w:rPr>
                <w:color w:val="000000"/>
                <w:sz w:val="13"/>
                <w:szCs w:val="13"/>
              </w:rPr>
              <w:t>Установленная тепловая мощность</w:t>
            </w:r>
          </w:p>
        </w:tc>
        <w:tc>
          <w:tcPr>
            <w:tcW w:w="133" w:type="pct"/>
            <w:tcBorders>
              <w:top w:val="nil"/>
              <w:left w:val="nil"/>
              <w:bottom w:val="single" w:sz="4" w:space="0" w:color="auto"/>
              <w:right w:val="single" w:sz="4" w:space="0" w:color="auto"/>
            </w:tcBorders>
            <w:shd w:val="clear" w:color="auto" w:fill="auto"/>
            <w:vAlign w:val="center"/>
          </w:tcPr>
          <w:p w14:paraId="2BF57E13" w14:textId="77777777" w:rsidR="004A0123" w:rsidRPr="000D3D0C" w:rsidRDefault="004A0123" w:rsidP="008A5C11">
            <w:pPr>
              <w:jc w:val="center"/>
              <w:rPr>
                <w:color w:val="000000"/>
                <w:sz w:val="13"/>
                <w:szCs w:val="13"/>
              </w:rPr>
            </w:pPr>
            <w:r w:rsidRPr="000D3D0C">
              <w:rPr>
                <w:color w:val="000000"/>
                <w:sz w:val="13"/>
                <w:szCs w:val="13"/>
              </w:rPr>
              <w:t>Гкал/ч</w:t>
            </w:r>
          </w:p>
        </w:tc>
        <w:tc>
          <w:tcPr>
            <w:tcW w:w="180" w:type="pct"/>
            <w:tcBorders>
              <w:top w:val="nil"/>
              <w:left w:val="single" w:sz="4" w:space="0" w:color="auto"/>
              <w:bottom w:val="single" w:sz="4" w:space="0" w:color="auto"/>
              <w:right w:val="single" w:sz="4" w:space="0" w:color="auto"/>
            </w:tcBorders>
            <w:shd w:val="clear" w:color="auto" w:fill="auto"/>
            <w:vAlign w:val="center"/>
          </w:tcPr>
          <w:p w14:paraId="03F268EF" w14:textId="77777777" w:rsidR="004A0123" w:rsidRPr="000D3D0C" w:rsidRDefault="004A0123" w:rsidP="008A5C11">
            <w:pPr>
              <w:jc w:val="center"/>
              <w:rPr>
                <w:color w:val="000000"/>
                <w:sz w:val="13"/>
                <w:szCs w:val="13"/>
              </w:rPr>
            </w:pPr>
            <w:r w:rsidRPr="000D3D0C">
              <w:rPr>
                <w:color w:val="000000"/>
                <w:sz w:val="13"/>
                <w:szCs w:val="13"/>
              </w:rPr>
              <w:t>1,6</w:t>
            </w:r>
          </w:p>
        </w:tc>
        <w:tc>
          <w:tcPr>
            <w:tcW w:w="176" w:type="pct"/>
            <w:tcBorders>
              <w:top w:val="nil"/>
              <w:left w:val="nil"/>
              <w:bottom w:val="single" w:sz="4" w:space="0" w:color="auto"/>
              <w:right w:val="single" w:sz="4" w:space="0" w:color="auto"/>
            </w:tcBorders>
            <w:shd w:val="clear" w:color="auto" w:fill="auto"/>
            <w:vAlign w:val="center"/>
          </w:tcPr>
          <w:p w14:paraId="05B05DFD" w14:textId="77777777" w:rsidR="004A0123" w:rsidRPr="000D3D0C" w:rsidRDefault="004A0123" w:rsidP="008A5C11">
            <w:pPr>
              <w:jc w:val="center"/>
              <w:rPr>
                <w:color w:val="000000"/>
                <w:sz w:val="13"/>
                <w:szCs w:val="13"/>
              </w:rPr>
            </w:pPr>
            <w:r w:rsidRPr="000D3D0C">
              <w:rPr>
                <w:color w:val="000000"/>
                <w:sz w:val="13"/>
                <w:szCs w:val="13"/>
              </w:rPr>
              <w:t>1,55</w:t>
            </w:r>
          </w:p>
        </w:tc>
        <w:tc>
          <w:tcPr>
            <w:tcW w:w="188" w:type="pct"/>
            <w:tcBorders>
              <w:top w:val="nil"/>
              <w:left w:val="nil"/>
              <w:bottom w:val="single" w:sz="4" w:space="0" w:color="auto"/>
              <w:right w:val="single" w:sz="4" w:space="0" w:color="auto"/>
            </w:tcBorders>
            <w:shd w:val="clear" w:color="auto" w:fill="auto"/>
            <w:vAlign w:val="center"/>
          </w:tcPr>
          <w:p w14:paraId="5A12591F" w14:textId="77777777" w:rsidR="004A0123" w:rsidRPr="000D3D0C" w:rsidRDefault="004A0123" w:rsidP="008A5C11">
            <w:pPr>
              <w:jc w:val="center"/>
              <w:rPr>
                <w:color w:val="000000"/>
                <w:sz w:val="13"/>
                <w:szCs w:val="13"/>
              </w:rPr>
            </w:pPr>
            <w:r w:rsidRPr="000D3D0C">
              <w:rPr>
                <w:color w:val="000000"/>
                <w:sz w:val="13"/>
                <w:szCs w:val="13"/>
              </w:rPr>
              <w:t>2024</w:t>
            </w:r>
          </w:p>
        </w:tc>
        <w:tc>
          <w:tcPr>
            <w:tcW w:w="186" w:type="pct"/>
            <w:tcBorders>
              <w:top w:val="nil"/>
              <w:left w:val="nil"/>
              <w:bottom w:val="single" w:sz="4" w:space="0" w:color="auto"/>
              <w:right w:val="single" w:sz="4" w:space="0" w:color="auto"/>
            </w:tcBorders>
            <w:shd w:val="clear" w:color="auto" w:fill="auto"/>
            <w:vAlign w:val="center"/>
          </w:tcPr>
          <w:p w14:paraId="0CF1EC88" w14:textId="77777777" w:rsidR="004A0123" w:rsidRPr="000D3D0C" w:rsidRDefault="004A0123" w:rsidP="008A5C11">
            <w:pPr>
              <w:jc w:val="center"/>
              <w:rPr>
                <w:color w:val="000000"/>
                <w:sz w:val="13"/>
                <w:szCs w:val="13"/>
              </w:rPr>
            </w:pPr>
            <w:r w:rsidRPr="000D3D0C">
              <w:rPr>
                <w:color w:val="000000"/>
                <w:sz w:val="13"/>
                <w:szCs w:val="13"/>
              </w:rPr>
              <w:t>2024</w:t>
            </w:r>
          </w:p>
        </w:tc>
        <w:tc>
          <w:tcPr>
            <w:tcW w:w="186" w:type="pct"/>
            <w:tcBorders>
              <w:top w:val="nil"/>
              <w:left w:val="nil"/>
              <w:bottom w:val="single" w:sz="4" w:space="0" w:color="auto"/>
              <w:right w:val="single" w:sz="4" w:space="0" w:color="auto"/>
            </w:tcBorders>
            <w:shd w:val="clear" w:color="auto" w:fill="auto"/>
            <w:vAlign w:val="center"/>
          </w:tcPr>
          <w:p w14:paraId="380BD0F5" w14:textId="77777777" w:rsidR="004A0123" w:rsidRPr="000D3D0C" w:rsidRDefault="004A0123" w:rsidP="008A5C11">
            <w:pPr>
              <w:jc w:val="center"/>
              <w:rPr>
                <w:color w:val="000000"/>
                <w:sz w:val="13"/>
                <w:szCs w:val="13"/>
              </w:rPr>
            </w:pPr>
            <w:r w:rsidRPr="000D3D0C">
              <w:rPr>
                <w:color w:val="000000"/>
                <w:sz w:val="13"/>
                <w:szCs w:val="13"/>
              </w:rPr>
              <w:t>25985</w:t>
            </w:r>
          </w:p>
        </w:tc>
        <w:tc>
          <w:tcPr>
            <w:tcW w:w="186" w:type="pct"/>
            <w:tcBorders>
              <w:top w:val="nil"/>
              <w:left w:val="nil"/>
              <w:bottom w:val="single" w:sz="4" w:space="0" w:color="auto"/>
              <w:right w:val="single" w:sz="4" w:space="0" w:color="auto"/>
            </w:tcBorders>
            <w:shd w:val="clear" w:color="auto" w:fill="auto"/>
            <w:vAlign w:val="center"/>
          </w:tcPr>
          <w:p w14:paraId="385C1FA5" w14:textId="77777777" w:rsidR="004A0123" w:rsidRPr="000D3D0C" w:rsidRDefault="004A0123" w:rsidP="008A5C11">
            <w:pPr>
              <w:jc w:val="center"/>
              <w:rPr>
                <w:sz w:val="13"/>
                <w:szCs w:val="13"/>
              </w:rPr>
            </w:pPr>
            <w:r w:rsidRPr="000D3D0C">
              <w:rPr>
                <w:sz w:val="13"/>
                <w:szCs w:val="13"/>
              </w:rPr>
              <w:t>0</w:t>
            </w:r>
          </w:p>
        </w:tc>
        <w:tc>
          <w:tcPr>
            <w:tcW w:w="145" w:type="pct"/>
            <w:tcBorders>
              <w:top w:val="nil"/>
              <w:left w:val="single" w:sz="4" w:space="0" w:color="auto"/>
              <w:bottom w:val="single" w:sz="4" w:space="0" w:color="auto"/>
              <w:right w:val="single" w:sz="4" w:space="0" w:color="auto"/>
            </w:tcBorders>
            <w:shd w:val="clear" w:color="auto" w:fill="auto"/>
            <w:vAlign w:val="center"/>
          </w:tcPr>
          <w:p w14:paraId="4136D236" w14:textId="77777777" w:rsidR="004A0123" w:rsidRPr="000D3D0C" w:rsidRDefault="004A0123" w:rsidP="008A5C11">
            <w:pPr>
              <w:jc w:val="center"/>
              <w:rPr>
                <w:sz w:val="13"/>
                <w:szCs w:val="13"/>
              </w:rPr>
            </w:pPr>
            <w:r w:rsidRPr="000D3D0C">
              <w:rPr>
                <w:sz w:val="13"/>
                <w:szCs w:val="13"/>
              </w:rPr>
              <w:t>0</w:t>
            </w:r>
          </w:p>
        </w:tc>
        <w:tc>
          <w:tcPr>
            <w:tcW w:w="148" w:type="pct"/>
            <w:tcBorders>
              <w:top w:val="nil"/>
              <w:left w:val="nil"/>
              <w:bottom w:val="single" w:sz="4" w:space="0" w:color="auto"/>
              <w:right w:val="single" w:sz="4" w:space="0" w:color="auto"/>
            </w:tcBorders>
            <w:shd w:val="clear" w:color="auto" w:fill="auto"/>
            <w:vAlign w:val="center"/>
          </w:tcPr>
          <w:p w14:paraId="6F2B3037" w14:textId="77777777" w:rsidR="004A0123" w:rsidRPr="000D3D0C" w:rsidRDefault="004A0123" w:rsidP="008A5C11">
            <w:pPr>
              <w:jc w:val="center"/>
              <w:rPr>
                <w:sz w:val="13"/>
                <w:szCs w:val="13"/>
              </w:rPr>
            </w:pPr>
            <w:r w:rsidRPr="000D3D0C">
              <w:rPr>
                <w:sz w:val="13"/>
                <w:szCs w:val="13"/>
              </w:rPr>
              <w:t>0</w:t>
            </w:r>
          </w:p>
        </w:tc>
        <w:tc>
          <w:tcPr>
            <w:tcW w:w="181" w:type="pct"/>
            <w:tcBorders>
              <w:top w:val="nil"/>
              <w:left w:val="nil"/>
              <w:bottom w:val="single" w:sz="4" w:space="0" w:color="auto"/>
              <w:right w:val="single" w:sz="4" w:space="0" w:color="auto"/>
            </w:tcBorders>
            <w:shd w:val="clear" w:color="auto" w:fill="auto"/>
            <w:vAlign w:val="center"/>
          </w:tcPr>
          <w:p w14:paraId="66E59C93" w14:textId="77777777" w:rsidR="004A0123" w:rsidRPr="000D3D0C" w:rsidRDefault="004A0123" w:rsidP="008A5C11">
            <w:pPr>
              <w:jc w:val="center"/>
              <w:rPr>
                <w:sz w:val="13"/>
                <w:szCs w:val="13"/>
              </w:rPr>
            </w:pPr>
            <w:r w:rsidRPr="000D3D0C">
              <w:rPr>
                <w:sz w:val="13"/>
                <w:szCs w:val="13"/>
              </w:rPr>
              <w:t>0</w:t>
            </w:r>
          </w:p>
        </w:tc>
        <w:tc>
          <w:tcPr>
            <w:tcW w:w="181" w:type="pct"/>
            <w:tcBorders>
              <w:top w:val="nil"/>
              <w:left w:val="nil"/>
              <w:bottom w:val="single" w:sz="4" w:space="0" w:color="auto"/>
              <w:right w:val="single" w:sz="4" w:space="0" w:color="auto"/>
            </w:tcBorders>
            <w:shd w:val="clear" w:color="auto" w:fill="auto"/>
            <w:vAlign w:val="center"/>
          </w:tcPr>
          <w:p w14:paraId="11B49124" w14:textId="77777777" w:rsidR="004A0123" w:rsidRPr="000D3D0C" w:rsidRDefault="004A0123" w:rsidP="008A5C11">
            <w:pPr>
              <w:jc w:val="center"/>
              <w:rPr>
                <w:sz w:val="13"/>
                <w:szCs w:val="13"/>
              </w:rPr>
            </w:pPr>
            <w:r w:rsidRPr="000D3D0C">
              <w:rPr>
                <w:sz w:val="13"/>
                <w:szCs w:val="13"/>
              </w:rPr>
              <w:t>25985</w:t>
            </w:r>
          </w:p>
        </w:tc>
        <w:tc>
          <w:tcPr>
            <w:tcW w:w="153" w:type="pct"/>
            <w:tcBorders>
              <w:top w:val="single" w:sz="4" w:space="0" w:color="auto"/>
              <w:left w:val="single" w:sz="4" w:space="0" w:color="auto"/>
              <w:bottom w:val="single" w:sz="4" w:space="0" w:color="auto"/>
              <w:right w:val="single" w:sz="4" w:space="0" w:color="auto"/>
            </w:tcBorders>
            <w:vAlign w:val="center"/>
          </w:tcPr>
          <w:p w14:paraId="5730CE78" w14:textId="77777777" w:rsidR="004A0123" w:rsidRPr="000D3D0C" w:rsidRDefault="004A0123" w:rsidP="008A5C11">
            <w:pPr>
              <w:jc w:val="center"/>
              <w:rPr>
                <w:sz w:val="13"/>
                <w:szCs w:val="13"/>
              </w:rPr>
            </w:pPr>
            <w:r w:rsidRPr="000D3D0C">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066DBADF" w14:textId="77777777" w:rsidR="004A0123" w:rsidRPr="000D3D0C" w:rsidRDefault="004A0123" w:rsidP="008A5C11">
            <w:pPr>
              <w:jc w:val="center"/>
              <w:rPr>
                <w:sz w:val="13"/>
                <w:szCs w:val="13"/>
              </w:rPr>
            </w:pPr>
            <w:r w:rsidRPr="000D3D0C">
              <w:rPr>
                <w:sz w:val="13"/>
                <w:szCs w:val="13"/>
              </w:rPr>
              <w:t>0</w:t>
            </w:r>
          </w:p>
        </w:tc>
        <w:tc>
          <w:tcPr>
            <w:tcW w:w="158" w:type="pct"/>
            <w:tcBorders>
              <w:top w:val="single" w:sz="4" w:space="0" w:color="auto"/>
              <w:left w:val="single" w:sz="4" w:space="0" w:color="auto"/>
              <w:bottom w:val="single" w:sz="4" w:space="0" w:color="auto"/>
              <w:right w:val="single" w:sz="4" w:space="0" w:color="auto"/>
            </w:tcBorders>
            <w:vAlign w:val="center"/>
          </w:tcPr>
          <w:p w14:paraId="3AA6B85B" w14:textId="77777777" w:rsidR="004A0123" w:rsidRPr="000D3D0C" w:rsidRDefault="004A0123" w:rsidP="008A5C11">
            <w:pPr>
              <w:jc w:val="center"/>
              <w:rPr>
                <w:sz w:val="13"/>
                <w:szCs w:val="13"/>
              </w:rPr>
            </w:pPr>
            <w:r w:rsidRPr="000D3D0C">
              <w:rPr>
                <w:sz w:val="13"/>
                <w:szCs w:val="13"/>
              </w:rPr>
              <w:t>0</w:t>
            </w:r>
          </w:p>
        </w:tc>
        <w:tc>
          <w:tcPr>
            <w:tcW w:w="172" w:type="pct"/>
            <w:tcBorders>
              <w:top w:val="single" w:sz="4" w:space="0" w:color="auto"/>
              <w:left w:val="single" w:sz="4" w:space="0" w:color="auto"/>
              <w:bottom w:val="single" w:sz="4" w:space="0" w:color="auto"/>
              <w:right w:val="single" w:sz="4" w:space="0" w:color="auto"/>
            </w:tcBorders>
            <w:vAlign w:val="center"/>
          </w:tcPr>
          <w:p w14:paraId="28FB4F81" w14:textId="77777777" w:rsidR="004A0123" w:rsidRPr="000D3D0C" w:rsidRDefault="004A0123" w:rsidP="008A5C11">
            <w:pPr>
              <w:jc w:val="center"/>
              <w:rPr>
                <w:sz w:val="13"/>
                <w:szCs w:val="13"/>
              </w:rPr>
            </w:pPr>
            <w:r w:rsidRPr="000D3D0C">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4C25D68A" w14:textId="77777777" w:rsidR="004A0123" w:rsidRPr="000D3D0C" w:rsidRDefault="004A0123" w:rsidP="008A5C11">
            <w:pPr>
              <w:jc w:val="center"/>
              <w:rPr>
                <w:sz w:val="13"/>
                <w:szCs w:val="13"/>
              </w:rPr>
            </w:pPr>
            <w:r w:rsidRPr="000D3D0C">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62A43B55" w14:textId="77777777" w:rsidR="004A0123" w:rsidRPr="000D3D0C" w:rsidRDefault="004A0123" w:rsidP="008A5C11">
            <w:pPr>
              <w:jc w:val="center"/>
              <w:rPr>
                <w:sz w:val="13"/>
                <w:szCs w:val="13"/>
              </w:rPr>
            </w:pPr>
            <w:r w:rsidRPr="000D3D0C">
              <w:rPr>
                <w:sz w:val="13"/>
                <w:szCs w:val="13"/>
              </w:rPr>
              <w:t>0</w:t>
            </w:r>
          </w:p>
        </w:tc>
        <w:tc>
          <w:tcPr>
            <w:tcW w:w="181" w:type="pct"/>
            <w:tcBorders>
              <w:top w:val="single" w:sz="4" w:space="0" w:color="auto"/>
              <w:left w:val="single" w:sz="4" w:space="0" w:color="auto"/>
              <w:bottom w:val="single" w:sz="4" w:space="0" w:color="auto"/>
              <w:right w:val="single" w:sz="4" w:space="0" w:color="auto"/>
            </w:tcBorders>
            <w:vAlign w:val="center"/>
          </w:tcPr>
          <w:p w14:paraId="5185057E" w14:textId="77777777" w:rsidR="004A0123" w:rsidRPr="000D3D0C" w:rsidRDefault="004A0123" w:rsidP="008A5C11">
            <w:pPr>
              <w:jc w:val="center"/>
              <w:rPr>
                <w:sz w:val="13"/>
                <w:szCs w:val="13"/>
              </w:rPr>
            </w:pPr>
            <w:r w:rsidRPr="000D3D0C">
              <w:rPr>
                <w:sz w:val="13"/>
                <w:szCs w:val="13"/>
              </w:rPr>
              <w:t>0</w:t>
            </w:r>
          </w:p>
        </w:tc>
        <w:tc>
          <w:tcPr>
            <w:tcW w:w="178" w:type="pct"/>
            <w:tcBorders>
              <w:top w:val="single" w:sz="4" w:space="0" w:color="auto"/>
              <w:left w:val="single" w:sz="4" w:space="0" w:color="auto"/>
              <w:bottom w:val="single" w:sz="4" w:space="0" w:color="auto"/>
              <w:right w:val="single" w:sz="4" w:space="0" w:color="auto"/>
            </w:tcBorders>
            <w:vAlign w:val="center"/>
          </w:tcPr>
          <w:p w14:paraId="773095E7" w14:textId="77777777" w:rsidR="004A0123" w:rsidRPr="000D3D0C" w:rsidRDefault="004A0123" w:rsidP="008A5C11">
            <w:pPr>
              <w:jc w:val="center"/>
              <w:rPr>
                <w:sz w:val="13"/>
                <w:szCs w:val="13"/>
              </w:rPr>
            </w:pPr>
            <w:r w:rsidRPr="000D3D0C">
              <w:rPr>
                <w:sz w:val="13"/>
                <w:szCs w:val="13"/>
              </w:rPr>
              <w:t>0</w:t>
            </w:r>
          </w:p>
        </w:tc>
      </w:tr>
      <w:tr w:rsidR="004A0123" w:rsidRPr="000D3D0C" w14:paraId="4EFE9E05" w14:textId="77777777" w:rsidTr="008A5C11">
        <w:trPr>
          <w:trHeight w:val="267"/>
        </w:trPr>
        <w:tc>
          <w:tcPr>
            <w:tcW w:w="147" w:type="pct"/>
            <w:tcBorders>
              <w:top w:val="single" w:sz="4" w:space="0" w:color="auto"/>
              <w:left w:val="single" w:sz="4" w:space="0" w:color="auto"/>
              <w:bottom w:val="single" w:sz="4" w:space="0" w:color="auto"/>
              <w:right w:val="single" w:sz="4" w:space="0" w:color="auto"/>
            </w:tcBorders>
            <w:shd w:val="clear" w:color="auto" w:fill="auto"/>
            <w:vAlign w:val="center"/>
          </w:tcPr>
          <w:p w14:paraId="270127BD" w14:textId="77777777" w:rsidR="004A0123" w:rsidRPr="000D3D0C" w:rsidRDefault="004A0123" w:rsidP="008A5C11">
            <w:pPr>
              <w:jc w:val="center"/>
              <w:rPr>
                <w:bCs/>
                <w:sz w:val="13"/>
                <w:szCs w:val="13"/>
              </w:rPr>
            </w:pPr>
            <w:r w:rsidRPr="000D3D0C">
              <w:rPr>
                <w:bCs/>
                <w:sz w:val="13"/>
                <w:szCs w:val="13"/>
              </w:rPr>
              <w:t>1</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725E3B8C" w14:textId="77777777" w:rsidR="004A0123" w:rsidRPr="000D3D0C" w:rsidRDefault="004A0123" w:rsidP="008A5C11">
            <w:pPr>
              <w:jc w:val="center"/>
              <w:rPr>
                <w:bCs/>
                <w:sz w:val="13"/>
                <w:szCs w:val="13"/>
              </w:rPr>
            </w:pPr>
            <w:r w:rsidRPr="000D3D0C">
              <w:rPr>
                <w:bCs/>
                <w:sz w:val="13"/>
                <w:szCs w:val="13"/>
              </w:rPr>
              <w:t>2</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241F6B6A" w14:textId="77777777" w:rsidR="004A0123" w:rsidRPr="000D3D0C" w:rsidRDefault="004A0123" w:rsidP="008A5C11">
            <w:pPr>
              <w:jc w:val="center"/>
              <w:rPr>
                <w:bCs/>
                <w:sz w:val="13"/>
                <w:szCs w:val="13"/>
              </w:rPr>
            </w:pPr>
            <w:r w:rsidRPr="000D3D0C">
              <w:rPr>
                <w:bCs/>
                <w:sz w:val="13"/>
                <w:szCs w:val="13"/>
              </w:rPr>
              <w:t>3</w:t>
            </w:r>
          </w:p>
        </w:tc>
        <w:tc>
          <w:tcPr>
            <w:tcW w:w="389" w:type="pct"/>
            <w:tcBorders>
              <w:top w:val="single" w:sz="4" w:space="0" w:color="auto"/>
              <w:left w:val="single" w:sz="4" w:space="0" w:color="auto"/>
              <w:bottom w:val="single" w:sz="4" w:space="0" w:color="auto"/>
              <w:right w:val="single" w:sz="4" w:space="0" w:color="auto"/>
            </w:tcBorders>
            <w:shd w:val="clear" w:color="auto" w:fill="auto"/>
            <w:vAlign w:val="center"/>
          </w:tcPr>
          <w:p w14:paraId="6468773B" w14:textId="77777777" w:rsidR="004A0123" w:rsidRPr="000D3D0C" w:rsidRDefault="004A0123" w:rsidP="008A5C11">
            <w:pPr>
              <w:jc w:val="center"/>
              <w:rPr>
                <w:bCs/>
                <w:sz w:val="13"/>
                <w:szCs w:val="13"/>
              </w:rPr>
            </w:pPr>
            <w:r w:rsidRPr="000D3D0C">
              <w:rPr>
                <w:bCs/>
                <w:sz w:val="13"/>
                <w:szCs w:val="13"/>
              </w:rPr>
              <w:t>4</w:t>
            </w:r>
          </w:p>
        </w:tc>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14:paraId="16B2F557" w14:textId="77777777" w:rsidR="004A0123" w:rsidRPr="000D3D0C" w:rsidRDefault="004A0123" w:rsidP="008A5C11">
            <w:pPr>
              <w:jc w:val="center"/>
              <w:rPr>
                <w:bCs/>
                <w:sz w:val="13"/>
                <w:szCs w:val="13"/>
              </w:rPr>
            </w:pPr>
            <w:r w:rsidRPr="000D3D0C">
              <w:rPr>
                <w:bCs/>
                <w:sz w:val="13"/>
                <w:szCs w:val="13"/>
              </w:rPr>
              <w:t>5</w:t>
            </w:r>
          </w:p>
        </w:tc>
        <w:tc>
          <w:tcPr>
            <w:tcW w:w="133" w:type="pct"/>
            <w:tcBorders>
              <w:top w:val="single" w:sz="4" w:space="0" w:color="auto"/>
              <w:left w:val="single" w:sz="4" w:space="0" w:color="auto"/>
              <w:bottom w:val="single" w:sz="4" w:space="0" w:color="auto"/>
              <w:right w:val="single" w:sz="4" w:space="0" w:color="auto"/>
            </w:tcBorders>
            <w:shd w:val="clear" w:color="auto" w:fill="auto"/>
            <w:vAlign w:val="center"/>
          </w:tcPr>
          <w:p w14:paraId="6A7ADB73" w14:textId="77777777" w:rsidR="004A0123" w:rsidRPr="000D3D0C" w:rsidRDefault="004A0123" w:rsidP="008A5C11">
            <w:pPr>
              <w:jc w:val="center"/>
              <w:rPr>
                <w:bCs/>
                <w:sz w:val="13"/>
                <w:szCs w:val="13"/>
              </w:rPr>
            </w:pPr>
            <w:r w:rsidRPr="000D3D0C">
              <w:rPr>
                <w:bCs/>
                <w:sz w:val="13"/>
                <w:szCs w:val="13"/>
              </w:rPr>
              <w:t>6</w:t>
            </w:r>
          </w:p>
        </w:tc>
        <w:tc>
          <w:tcPr>
            <w:tcW w:w="180" w:type="pct"/>
            <w:tcBorders>
              <w:top w:val="single" w:sz="4" w:space="0" w:color="auto"/>
              <w:left w:val="single" w:sz="4" w:space="0" w:color="auto"/>
              <w:bottom w:val="single" w:sz="4" w:space="0" w:color="auto"/>
              <w:right w:val="single" w:sz="4" w:space="0" w:color="auto"/>
            </w:tcBorders>
            <w:shd w:val="clear" w:color="auto" w:fill="auto"/>
            <w:vAlign w:val="center"/>
          </w:tcPr>
          <w:p w14:paraId="0641CA9C" w14:textId="77777777" w:rsidR="004A0123" w:rsidRPr="000D3D0C" w:rsidRDefault="004A0123" w:rsidP="008A5C11">
            <w:pPr>
              <w:jc w:val="center"/>
              <w:rPr>
                <w:bCs/>
                <w:sz w:val="13"/>
                <w:szCs w:val="13"/>
              </w:rPr>
            </w:pPr>
            <w:r w:rsidRPr="000D3D0C">
              <w:rPr>
                <w:bCs/>
                <w:sz w:val="13"/>
                <w:szCs w:val="13"/>
              </w:rPr>
              <w:t>7</w:t>
            </w:r>
          </w:p>
        </w:tc>
        <w:tc>
          <w:tcPr>
            <w:tcW w:w="176" w:type="pct"/>
            <w:tcBorders>
              <w:top w:val="single" w:sz="4" w:space="0" w:color="auto"/>
              <w:left w:val="single" w:sz="4" w:space="0" w:color="auto"/>
              <w:bottom w:val="single" w:sz="4" w:space="0" w:color="auto"/>
              <w:right w:val="single" w:sz="4" w:space="0" w:color="auto"/>
            </w:tcBorders>
            <w:shd w:val="clear" w:color="auto" w:fill="auto"/>
            <w:vAlign w:val="center"/>
          </w:tcPr>
          <w:p w14:paraId="25067181" w14:textId="77777777" w:rsidR="004A0123" w:rsidRPr="000D3D0C" w:rsidRDefault="004A0123" w:rsidP="008A5C11">
            <w:pPr>
              <w:jc w:val="center"/>
              <w:rPr>
                <w:bCs/>
                <w:sz w:val="13"/>
                <w:szCs w:val="13"/>
              </w:rPr>
            </w:pPr>
            <w:r w:rsidRPr="000D3D0C">
              <w:rPr>
                <w:bCs/>
                <w:sz w:val="13"/>
                <w:szCs w:val="13"/>
              </w:rPr>
              <w:t>8</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033D2980" w14:textId="77777777" w:rsidR="004A0123" w:rsidRPr="000D3D0C" w:rsidRDefault="004A0123" w:rsidP="008A5C11">
            <w:pPr>
              <w:jc w:val="center"/>
              <w:rPr>
                <w:bCs/>
                <w:sz w:val="13"/>
                <w:szCs w:val="13"/>
              </w:rPr>
            </w:pPr>
            <w:r w:rsidRPr="000D3D0C">
              <w:rPr>
                <w:bCs/>
                <w:sz w:val="13"/>
                <w:szCs w:val="13"/>
              </w:rPr>
              <w:t>9</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5C6DB97D" w14:textId="77777777" w:rsidR="004A0123" w:rsidRPr="000D3D0C" w:rsidRDefault="004A0123" w:rsidP="008A5C11">
            <w:pPr>
              <w:jc w:val="center"/>
              <w:rPr>
                <w:bCs/>
                <w:sz w:val="13"/>
                <w:szCs w:val="13"/>
              </w:rPr>
            </w:pPr>
            <w:r w:rsidRPr="000D3D0C">
              <w:rPr>
                <w:bCs/>
                <w:sz w:val="13"/>
                <w:szCs w:val="13"/>
              </w:rPr>
              <w:t>10</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7871CDC5" w14:textId="77777777" w:rsidR="004A0123" w:rsidRPr="000D3D0C" w:rsidRDefault="004A0123" w:rsidP="008A5C11">
            <w:pPr>
              <w:jc w:val="center"/>
              <w:rPr>
                <w:bCs/>
                <w:sz w:val="13"/>
                <w:szCs w:val="13"/>
              </w:rPr>
            </w:pPr>
            <w:r w:rsidRPr="000D3D0C">
              <w:rPr>
                <w:bCs/>
                <w:sz w:val="13"/>
                <w:szCs w:val="13"/>
              </w:rPr>
              <w:t>11</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40EFFBD9" w14:textId="77777777" w:rsidR="004A0123" w:rsidRPr="000D3D0C" w:rsidRDefault="004A0123" w:rsidP="008A5C11">
            <w:pPr>
              <w:jc w:val="center"/>
              <w:rPr>
                <w:bCs/>
                <w:sz w:val="13"/>
                <w:szCs w:val="13"/>
              </w:rPr>
            </w:pPr>
            <w:r w:rsidRPr="000D3D0C">
              <w:rPr>
                <w:bCs/>
                <w:sz w:val="13"/>
                <w:szCs w:val="13"/>
              </w:rPr>
              <w:t>12</w:t>
            </w:r>
          </w:p>
        </w:tc>
        <w:tc>
          <w:tcPr>
            <w:tcW w:w="145" w:type="pct"/>
            <w:tcBorders>
              <w:top w:val="single" w:sz="4" w:space="0" w:color="auto"/>
              <w:left w:val="single" w:sz="4" w:space="0" w:color="auto"/>
              <w:bottom w:val="single" w:sz="4" w:space="0" w:color="auto"/>
              <w:right w:val="single" w:sz="4" w:space="0" w:color="auto"/>
            </w:tcBorders>
            <w:shd w:val="clear" w:color="auto" w:fill="auto"/>
            <w:vAlign w:val="center"/>
          </w:tcPr>
          <w:p w14:paraId="519D8248" w14:textId="77777777" w:rsidR="004A0123" w:rsidRPr="000D3D0C" w:rsidRDefault="004A0123" w:rsidP="008A5C11">
            <w:pPr>
              <w:jc w:val="center"/>
              <w:rPr>
                <w:bCs/>
                <w:sz w:val="13"/>
                <w:szCs w:val="13"/>
              </w:rPr>
            </w:pPr>
            <w:r w:rsidRPr="000D3D0C">
              <w:rPr>
                <w:bCs/>
                <w:sz w:val="13"/>
                <w:szCs w:val="13"/>
              </w:rPr>
              <w:t>13</w:t>
            </w:r>
          </w:p>
        </w:tc>
        <w:tc>
          <w:tcPr>
            <w:tcW w:w="148" w:type="pct"/>
            <w:tcBorders>
              <w:top w:val="single" w:sz="4" w:space="0" w:color="auto"/>
              <w:left w:val="single" w:sz="4" w:space="0" w:color="auto"/>
              <w:bottom w:val="single" w:sz="4" w:space="0" w:color="auto"/>
              <w:right w:val="single" w:sz="4" w:space="0" w:color="auto"/>
            </w:tcBorders>
            <w:shd w:val="clear" w:color="auto" w:fill="auto"/>
            <w:vAlign w:val="center"/>
          </w:tcPr>
          <w:p w14:paraId="229BE4D1" w14:textId="77777777" w:rsidR="004A0123" w:rsidRPr="000D3D0C" w:rsidRDefault="004A0123" w:rsidP="008A5C11">
            <w:pPr>
              <w:jc w:val="center"/>
              <w:rPr>
                <w:bCs/>
                <w:sz w:val="13"/>
                <w:szCs w:val="13"/>
              </w:rPr>
            </w:pPr>
            <w:r w:rsidRPr="000D3D0C">
              <w:rPr>
                <w:bCs/>
                <w:sz w:val="13"/>
                <w:szCs w:val="13"/>
              </w:rPr>
              <w:t>14</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51A5E58A" w14:textId="77777777" w:rsidR="004A0123" w:rsidRPr="000D3D0C" w:rsidRDefault="004A0123" w:rsidP="008A5C11">
            <w:pPr>
              <w:jc w:val="center"/>
              <w:rPr>
                <w:bCs/>
                <w:sz w:val="13"/>
                <w:szCs w:val="13"/>
              </w:rPr>
            </w:pPr>
            <w:r w:rsidRPr="000D3D0C">
              <w:rPr>
                <w:bCs/>
                <w:sz w:val="13"/>
                <w:szCs w:val="13"/>
              </w:rPr>
              <w:t>15</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6463C123" w14:textId="77777777" w:rsidR="004A0123" w:rsidRPr="000D3D0C" w:rsidRDefault="004A0123" w:rsidP="008A5C11">
            <w:pPr>
              <w:jc w:val="center"/>
              <w:rPr>
                <w:bCs/>
                <w:sz w:val="13"/>
                <w:szCs w:val="13"/>
              </w:rPr>
            </w:pPr>
            <w:r w:rsidRPr="000D3D0C">
              <w:rPr>
                <w:bCs/>
                <w:sz w:val="13"/>
                <w:szCs w:val="13"/>
              </w:rPr>
              <w:t>16</w:t>
            </w:r>
          </w:p>
        </w:tc>
        <w:tc>
          <w:tcPr>
            <w:tcW w:w="153" w:type="pct"/>
            <w:tcBorders>
              <w:top w:val="single" w:sz="4" w:space="0" w:color="auto"/>
              <w:left w:val="single" w:sz="4" w:space="0" w:color="auto"/>
              <w:bottom w:val="single" w:sz="4" w:space="0" w:color="auto"/>
              <w:right w:val="single" w:sz="4" w:space="0" w:color="auto"/>
            </w:tcBorders>
            <w:vAlign w:val="center"/>
          </w:tcPr>
          <w:p w14:paraId="61F54C08" w14:textId="77777777" w:rsidR="004A0123" w:rsidRPr="000D3D0C" w:rsidRDefault="004A0123" w:rsidP="008A5C11">
            <w:pPr>
              <w:jc w:val="center"/>
              <w:rPr>
                <w:bCs/>
                <w:sz w:val="13"/>
                <w:szCs w:val="13"/>
              </w:rPr>
            </w:pPr>
            <w:r w:rsidRPr="000D3D0C">
              <w:rPr>
                <w:bCs/>
                <w:sz w:val="13"/>
                <w:szCs w:val="13"/>
              </w:rPr>
              <w:t>17</w:t>
            </w:r>
          </w:p>
        </w:tc>
        <w:tc>
          <w:tcPr>
            <w:tcW w:w="153" w:type="pct"/>
            <w:tcBorders>
              <w:top w:val="single" w:sz="4" w:space="0" w:color="auto"/>
              <w:left w:val="single" w:sz="4" w:space="0" w:color="auto"/>
              <w:bottom w:val="single" w:sz="4" w:space="0" w:color="auto"/>
              <w:right w:val="single" w:sz="4" w:space="0" w:color="auto"/>
            </w:tcBorders>
            <w:vAlign w:val="center"/>
          </w:tcPr>
          <w:p w14:paraId="1A72B376" w14:textId="77777777" w:rsidR="004A0123" w:rsidRPr="000D3D0C" w:rsidRDefault="004A0123" w:rsidP="008A5C11">
            <w:pPr>
              <w:jc w:val="center"/>
              <w:rPr>
                <w:bCs/>
                <w:sz w:val="13"/>
                <w:szCs w:val="13"/>
              </w:rPr>
            </w:pPr>
            <w:r w:rsidRPr="000D3D0C">
              <w:rPr>
                <w:bCs/>
                <w:sz w:val="13"/>
                <w:szCs w:val="13"/>
              </w:rPr>
              <w:t>18</w:t>
            </w:r>
          </w:p>
        </w:tc>
        <w:tc>
          <w:tcPr>
            <w:tcW w:w="158" w:type="pct"/>
            <w:tcBorders>
              <w:top w:val="single" w:sz="4" w:space="0" w:color="auto"/>
              <w:left w:val="single" w:sz="4" w:space="0" w:color="auto"/>
              <w:bottom w:val="single" w:sz="4" w:space="0" w:color="auto"/>
              <w:right w:val="single" w:sz="4" w:space="0" w:color="auto"/>
            </w:tcBorders>
            <w:vAlign w:val="center"/>
          </w:tcPr>
          <w:p w14:paraId="3D5B8691" w14:textId="77777777" w:rsidR="004A0123" w:rsidRPr="000D3D0C" w:rsidRDefault="004A0123" w:rsidP="008A5C11">
            <w:pPr>
              <w:jc w:val="center"/>
              <w:rPr>
                <w:bCs/>
                <w:sz w:val="13"/>
                <w:szCs w:val="13"/>
              </w:rPr>
            </w:pPr>
            <w:r w:rsidRPr="000D3D0C">
              <w:rPr>
                <w:bCs/>
                <w:sz w:val="13"/>
                <w:szCs w:val="13"/>
              </w:rPr>
              <w:t>19</w:t>
            </w:r>
          </w:p>
        </w:tc>
        <w:tc>
          <w:tcPr>
            <w:tcW w:w="172" w:type="pct"/>
            <w:tcBorders>
              <w:top w:val="single" w:sz="4" w:space="0" w:color="auto"/>
              <w:left w:val="single" w:sz="4" w:space="0" w:color="auto"/>
              <w:bottom w:val="single" w:sz="4" w:space="0" w:color="auto"/>
              <w:right w:val="single" w:sz="4" w:space="0" w:color="auto"/>
            </w:tcBorders>
            <w:vAlign w:val="center"/>
          </w:tcPr>
          <w:p w14:paraId="7B463433" w14:textId="77777777" w:rsidR="004A0123" w:rsidRPr="000D3D0C" w:rsidRDefault="004A0123" w:rsidP="008A5C11">
            <w:pPr>
              <w:jc w:val="center"/>
              <w:rPr>
                <w:bCs/>
                <w:sz w:val="13"/>
                <w:szCs w:val="13"/>
              </w:rPr>
            </w:pPr>
            <w:r w:rsidRPr="000D3D0C">
              <w:rPr>
                <w:bCs/>
                <w:sz w:val="13"/>
                <w:szCs w:val="13"/>
              </w:rPr>
              <w:t>20</w:t>
            </w:r>
          </w:p>
        </w:tc>
        <w:tc>
          <w:tcPr>
            <w:tcW w:w="155" w:type="pct"/>
            <w:tcBorders>
              <w:top w:val="single" w:sz="4" w:space="0" w:color="auto"/>
              <w:left w:val="single" w:sz="4" w:space="0" w:color="auto"/>
              <w:bottom w:val="single" w:sz="4" w:space="0" w:color="auto"/>
              <w:right w:val="single" w:sz="4" w:space="0" w:color="auto"/>
            </w:tcBorders>
            <w:vAlign w:val="center"/>
          </w:tcPr>
          <w:p w14:paraId="4F4D8C53" w14:textId="77777777" w:rsidR="004A0123" w:rsidRPr="000D3D0C" w:rsidRDefault="004A0123" w:rsidP="008A5C11">
            <w:pPr>
              <w:jc w:val="center"/>
              <w:rPr>
                <w:bCs/>
                <w:sz w:val="13"/>
                <w:szCs w:val="13"/>
              </w:rPr>
            </w:pPr>
            <w:r w:rsidRPr="000D3D0C">
              <w:rPr>
                <w:bCs/>
                <w:sz w:val="13"/>
                <w:szCs w:val="13"/>
              </w:rPr>
              <w:t>21</w:t>
            </w:r>
          </w:p>
        </w:tc>
        <w:tc>
          <w:tcPr>
            <w:tcW w:w="146" w:type="pct"/>
            <w:tcBorders>
              <w:top w:val="single" w:sz="4" w:space="0" w:color="auto"/>
              <w:left w:val="single" w:sz="4" w:space="0" w:color="auto"/>
              <w:bottom w:val="single" w:sz="4" w:space="0" w:color="auto"/>
              <w:right w:val="single" w:sz="4" w:space="0" w:color="auto"/>
            </w:tcBorders>
            <w:vAlign w:val="center"/>
          </w:tcPr>
          <w:p w14:paraId="6D0D3978" w14:textId="77777777" w:rsidR="004A0123" w:rsidRPr="000D3D0C" w:rsidRDefault="004A0123" w:rsidP="008A5C11">
            <w:pPr>
              <w:jc w:val="center"/>
              <w:rPr>
                <w:bCs/>
                <w:sz w:val="13"/>
                <w:szCs w:val="13"/>
              </w:rPr>
            </w:pPr>
            <w:r w:rsidRPr="000D3D0C">
              <w:rPr>
                <w:bCs/>
                <w:sz w:val="13"/>
                <w:szCs w:val="13"/>
              </w:rPr>
              <w:t>22</w:t>
            </w:r>
          </w:p>
        </w:tc>
        <w:tc>
          <w:tcPr>
            <w:tcW w:w="181" w:type="pct"/>
            <w:tcBorders>
              <w:top w:val="single" w:sz="4" w:space="0" w:color="auto"/>
              <w:left w:val="single" w:sz="4" w:space="0" w:color="auto"/>
              <w:bottom w:val="single" w:sz="4" w:space="0" w:color="auto"/>
              <w:right w:val="single" w:sz="4" w:space="0" w:color="auto"/>
            </w:tcBorders>
            <w:vAlign w:val="center"/>
          </w:tcPr>
          <w:p w14:paraId="2F62B152" w14:textId="77777777" w:rsidR="004A0123" w:rsidRPr="000D3D0C" w:rsidRDefault="004A0123" w:rsidP="008A5C11">
            <w:pPr>
              <w:jc w:val="center"/>
              <w:rPr>
                <w:bCs/>
                <w:sz w:val="13"/>
                <w:szCs w:val="13"/>
              </w:rPr>
            </w:pPr>
            <w:r w:rsidRPr="000D3D0C">
              <w:rPr>
                <w:bCs/>
                <w:sz w:val="13"/>
                <w:szCs w:val="13"/>
              </w:rPr>
              <w:t>23</w:t>
            </w:r>
          </w:p>
        </w:tc>
        <w:tc>
          <w:tcPr>
            <w:tcW w:w="178" w:type="pct"/>
            <w:tcBorders>
              <w:top w:val="single" w:sz="4" w:space="0" w:color="auto"/>
              <w:left w:val="single" w:sz="4" w:space="0" w:color="auto"/>
              <w:bottom w:val="single" w:sz="4" w:space="0" w:color="auto"/>
              <w:right w:val="single" w:sz="4" w:space="0" w:color="auto"/>
            </w:tcBorders>
            <w:vAlign w:val="center"/>
          </w:tcPr>
          <w:p w14:paraId="78397306" w14:textId="77777777" w:rsidR="004A0123" w:rsidRPr="000D3D0C" w:rsidRDefault="004A0123" w:rsidP="008A5C11">
            <w:pPr>
              <w:jc w:val="center"/>
              <w:rPr>
                <w:bCs/>
                <w:sz w:val="13"/>
                <w:szCs w:val="13"/>
              </w:rPr>
            </w:pPr>
            <w:r w:rsidRPr="000D3D0C">
              <w:rPr>
                <w:bCs/>
                <w:sz w:val="13"/>
                <w:szCs w:val="13"/>
              </w:rPr>
              <w:t>24</w:t>
            </w:r>
          </w:p>
        </w:tc>
      </w:tr>
      <w:tr w:rsidR="004A0123" w:rsidRPr="000D3D0C" w14:paraId="07B8378E" w14:textId="77777777" w:rsidTr="008A5C11">
        <w:trPr>
          <w:trHeight w:val="1081"/>
        </w:trPr>
        <w:tc>
          <w:tcPr>
            <w:tcW w:w="147" w:type="pct"/>
            <w:tcBorders>
              <w:top w:val="single" w:sz="4" w:space="0" w:color="auto"/>
              <w:bottom w:val="single" w:sz="4" w:space="0" w:color="auto"/>
            </w:tcBorders>
            <w:shd w:val="clear" w:color="auto" w:fill="auto"/>
            <w:vAlign w:val="center"/>
          </w:tcPr>
          <w:p w14:paraId="190114F0" w14:textId="77777777" w:rsidR="004A0123" w:rsidRPr="000D3D0C" w:rsidRDefault="004A0123" w:rsidP="008A5C11">
            <w:pPr>
              <w:jc w:val="center"/>
              <w:rPr>
                <w:sz w:val="13"/>
                <w:szCs w:val="13"/>
              </w:rPr>
            </w:pPr>
            <w:r w:rsidRPr="000D3D0C">
              <w:rPr>
                <w:sz w:val="13"/>
                <w:szCs w:val="13"/>
              </w:rPr>
              <w:t>4.3.</w:t>
            </w: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598CFCF9" w14:textId="77777777" w:rsidR="004A0123" w:rsidRPr="000D3D0C" w:rsidRDefault="004A0123" w:rsidP="008A5C11">
            <w:pPr>
              <w:rPr>
                <w:color w:val="000000"/>
                <w:sz w:val="13"/>
                <w:szCs w:val="13"/>
              </w:rPr>
            </w:pPr>
            <w:r w:rsidRPr="000D3D0C">
              <w:rPr>
                <w:color w:val="000000"/>
                <w:sz w:val="13"/>
                <w:szCs w:val="13"/>
              </w:rPr>
              <w:t>Установка блочно-модульной котельной 1200 кВт (3х400)</w:t>
            </w:r>
          </w:p>
        </w:tc>
        <w:tc>
          <w:tcPr>
            <w:tcW w:w="358" w:type="pct"/>
            <w:tcBorders>
              <w:top w:val="single" w:sz="4" w:space="0" w:color="auto"/>
              <w:left w:val="nil"/>
              <w:bottom w:val="single" w:sz="4" w:space="0" w:color="auto"/>
              <w:right w:val="single" w:sz="4" w:space="0" w:color="auto"/>
            </w:tcBorders>
            <w:shd w:val="clear" w:color="auto" w:fill="auto"/>
            <w:vAlign w:val="center"/>
          </w:tcPr>
          <w:p w14:paraId="10D1C8BB" w14:textId="77777777" w:rsidR="004A0123" w:rsidRPr="000D3D0C" w:rsidRDefault="004A0123" w:rsidP="008A5C11">
            <w:pPr>
              <w:jc w:val="center"/>
              <w:rPr>
                <w:color w:val="000000"/>
                <w:sz w:val="13"/>
                <w:szCs w:val="13"/>
              </w:rPr>
            </w:pPr>
            <w:r w:rsidRPr="000D3D0C">
              <w:rPr>
                <w:color w:val="000000"/>
                <w:sz w:val="13"/>
                <w:szCs w:val="13"/>
              </w:rPr>
              <w:t>Повышение эффективности работы систем</w:t>
            </w:r>
          </w:p>
        </w:tc>
        <w:tc>
          <w:tcPr>
            <w:tcW w:w="389" w:type="pct"/>
            <w:tcBorders>
              <w:top w:val="single" w:sz="4" w:space="0" w:color="auto"/>
              <w:left w:val="nil"/>
              <w:bottom w:val="single" w:sz="4" w:space="0" w:color="auto"/>
              <w:right w:val="single" w:sz="4" w:space="0" w:color="auto"/>
            </w:tcBorders>
            <w:shd w:val="clear" w:color="auto" w:fill="auto"/>
            <w:vAlign w:val="center"/>
          </w:tcPr>
          <w:p w14:paraId="5B0E7377" w14:textId="77777777" w:rsidR="004A0123" w:rsidRPr="000D3D0C" w:rsidRDefault="004A0123" w:rsidP="008A5C11">
            <w:pPr>
              <w:jc w:val="center"/>
              <w:rPr>
                <w:color w:val="000000"/>
                <w:sz w:val="13"/>
                <w:szCs w:val="13"/>
              </w:rPr>
            </w:pPr>
            <w:r w:rsidRPr="000D3D0C">
              <w:rPr>
                <w:color w:val="000000"/>
                <w:sz w:val="13"/>
                <w:szCs w:val="13"/>
              </w:rPr>
              <w:t xml:space="preserve">Кемеровская обл.                  г. Тайга </w:t>
            </w:r>
          </w:p>
          <w:p w14:paraId="54708BA6" w14:textId="77777777" w:rsidR="004A0123" w:rsidRPr="000D3D0C" w:rsidRDefault="004A0123" w:rsidP="008A5C11">
            <w:pPr>
              <w:jc w:val="center"/>
              <w:rPr>
                <w:color w:val="000000"/>
                <w:sz w:val="13"/>
                <w:szCs w:val="13"/>
              </w:rPr>
            </w:pPr>
            <w:r w:rsidRPr="000D3D0C">
              <w:rPr>
                <w:color w:val="000000"/>
                <w:sz w:val="13"/>
                <w:szCs w:val="13"/>
              </w:rPr>
              <w:t>п. Кедровый, д.1              Котельная Диспансер</w:t>
            </w:r>
          </w:p>
        </w:tc>
        <w:tc>
          <w:tcPr>
            <w:tcW w:w="336" w:type="pct"/>
            <w:tcBorders>
              <w:top w:val="single" w:sz="4" w:space="0" w:color="auto"/>
              <w:left w:val="nil"/>
              <w:bottom w:val="single" w:sz="4" w:space="0" w:color="auto"/>
              <w:right w:val="single" w:sz="4" w:space="0" w:color="auto"/>
            </w:tcBorders>
            <w:shd w:val="clear" w:color="auto" w:fill="auto"/>
            <w:vAlign w:val="center"/>
          </w:tcPr>
          <w:p w14:paraId="7CAA3CF6" w14:textId="77777777" w:rsidR="004A0123" w:rsidRPr="000D3D0C" w:rsidRDefault="004A0123" w:rsidP="008A5C11">
            <w:pPr>
              <w:jc w:val="center"/>
              <w:rPr>
                <w:color w:val="000000"/>
                <w:sz w:val="13"/>
                <w:szCs w:val="13"/>
              </w:rPr>
            </w:pPr>
            <w:r w:rsidRPr="000D3D0C">
              <w:rPr>
                <w:color w:val="000000"/>
                <w:sz w:val="13"/>
                <w:szCs w:val="13"/>
              </w:rPr>
              <w:t>Установленная тепловая мощность</w:t>
            </w:r>
          </w:p>
        </w:tc>
        <w:tc>
          <w:tcPr>
            <w:tcW w:w="133" w:type="pct"/>
            <w:tcBorders>
              <w:top w:val="single" w:sz="4" w:space="0" w:color="auto"/>
              <w:left w:val="nil"/>
              <w:bottom w:val="single" w:sz="4" w:space="0" w:color="auto"/>
              <w:right w:val="single" w:sz="4" w:space="0" w:color="auto"/>
            </w:tcBorders>
            <w:shd w:val="clear" w:color="auto" w:fill="auto"/>
            <w:vAlign w:val="center"/>
          </w:tcPr>
          <w:p w14:paraId="29F1AB85" w14:textId="77777777" w:rsidR="004A0123" w:rsidRPr="000D3D0C" w:rsidRDefault="004A0123" w:rsidP="008A5C11">
            <w:pPr>
              <w:jc w:val="center"/>
              <w:rPr>
                <w:color w:val="000000"/>
                <w:sz w:val="13"/>
                <w:szCs w:val="13"/>
              </w:rPr>
            </w:pPr>
            <w:r w:rsidRPr="000D3D0C">
              <w:rPr>
                <w:color w:val="000000"/>
                <w:sz w:val="13"/>
                <w:szCs w:val="13"/>
              </w:rPr>
              <w:t>Гкал/ч</w:t>
            </w:r>
          </w:p>
        </w:tc>
        <w:tc>
          <w:tcPr>
            <w:tcW w:w="180" w:type="pct"/>
            <w:tcBorders>
              <w:top w:val="single" w:sz="4" w:space="0" w:color="auto"/>
              <w:left w:val="single" w:sz="4" w:space="0" w:color="auto"/>
              <w:bottom w:val="single" w:sz="4" w:space="0" w:color="auto"/>
              <w:right w:val="single" w:sz="4" w:space="0" w:color="auto"/>
            </w:tcBorders>
            <w:shd w:val="clear" w:color="auto" w:fill="auto"/>
            <w:vAlign w:val="center"/>
          </w:tcPr>
          <w:p w14:paraId="374DD46D" w14:textId="77777777" w:rsidR="004A0123" w:rsidRPr="000D3D0C" w:rsidRDefault="004A0123" w:rsidP="008A5C11">
            <w:pPr>
              <w:jc w:val="center"/>
              <w:rPr>
                <w:color w:val="000000"/>
                <w:sz w:val="13"/>
                <w:szCs w:val="13"/>
              </w:rPr>
            </w:pPr>
            <w:r w:rsidRPr="000D3D0C">
              <w:rPr>
                <w:color w:val="000000"/>
                <w:sz w:val="13"/>
                <w:szCs w:val="13"/>
              </w:rPr>
              <w:t>2</w:t>
            </w:r>
          </w:p>
        </w:tc>
        <w:tc>
          <w:tcPr>
            <w:tcW w:w="176" w:type="pct"/>
            <w:tcBorders>
              <w:top w:val="single" w:sz="4" w:space="0" w:color="auto"/>
              <w:left w:val="nil"/>
              <w:bottom w:val="single" w:sz="4" w:space="0" w:color="auto"/>
              <w:right w:val="single" w:sz="4" w:space="0" w:color="auto"/>
            </w:tcBorders>
            <w:shd w:val="clear" w:color="auto" w:fill="auto"/>
            <w:vAlign w:val="center"/>
          </w:tcPr>
          <w:p w14:paraId="3FDB1B89" w14:textId="77777777" w:rsidR="004A0123" w:rsidRPr="000D3D0C" w:rsidRDefault="004A0123" w:rsidP="008A5C11">
            <w:pPr>
              <w:jc w:val="center"/>
              <w:rPr>
                <w:color w:val="000000"/>
                <w:sz w:val="13"/>
                <w:szCs w:val="13"/>
              </w:rPr>
            </w:pPr>
            <w:r w:rsidRPr="000D3D0C">
              <w:rPr>
                <w:color w:val="000000"/>
                <w:sz w:val="13"/>
                <w:szCs w:val="13"/>
              </w:rPr>
              <w:t>0,3</w:t>
            </w:r>
          </w:p>
        </w:tc>
        <w:tc>
          <w:tcPr>
            <w:tcW w:w="188" w:type="pct"/>
            <w:tcBorders>
              <w:top w:val="single" w:sz="4" w:space="0" w:color="auto"/>
              <w:left w:val="nil"/>
              <w:bottom w:val="single" w:sz="4" w:space="0" w:color="auto"/>
              <w:right w:val="single" w:sz="4" w:space="0" w:color="auto"/>
            </w:tcBorders>
            <w:shd w:val="clear" w:color="auto" w:fill="auto"/>
            <w:vAlign w:val="center"/>
          </w:tcPr>
          <w:p w14:paraId="53BC2A9D" w14:textId="77777777" w:rsidR="004A0123" w:rsidRPr="000D3D0C" w:rsidRDefault="004A0123" w:rsidP="008A5C11">
            <w:pPr>
              <w:jc w:val="center"/>
              <w:rPr>
                <w:color w:val="000000"/>
                <w:sz w:val="13"/>
                <w:szCs w:val="13"/>
              </w:rPr>
            </w:pPr>
            <w:r w:rsidRPr="000D3D0C">
              <w:rPr>
                <w:color w:val="000000"/>
                <w:sz w:val="13"/>
                <w:szCs w:val="13"/>
              </w:rPr>
              <w:t>2022</w:t>
            </w:r>
          </w:p>
        </w:tc>
        <w:tc>
          <w:tcPr>
            <w:tcW w:w="186" w:type="pct"/>
            <w:tcBorders>
              <w:top w:val="single" w:sz="4" w:space="0" w:color="auto"/>
              <w:left w:val="nil"/>
              <w:bottom w:val="single" w:sz="4" w:space="0" w:color="auto"/>
              <w:right w:val="single" w:sz="4" w:space="0" w:color="auto"/>
            </w:tcBorders>
            <w:shd w:val="clear" w:color="auto" w:fill="auto"/>
            <w:vAlign w:val="center"/>
          </w:tcPr>
          <w:p w14:paraId="74BBACB0" w14:textId="77777777" w:rsidR="004A0123" w:rsidRPr="000D3D0C" w:rsidRDefault="004A0123" w:rsidP="008A5C11">
            <w:pPr>
              <w:jc w:val="center"/>
              <w:rPr>
                <w:color w:val="000000"/>
                <w:sz w:val="13"/>
                <w:szCs w:val="13"/>
              </w:rPr>
            </w:pPr>
            <w:r w:rsidRPr="000D3D0C">
              <w:rPr>
                <w:color w:val="000000"/>
                <w:sz w:val="13"/>
                <w:szCs w:val="13"/>
              </w:rPr>
              <w:t>2022</w:t>
            </w:r>
          </w:p>
        </w:tc>
        <w:tc>
          <w:tcPr>
            <w:tcW w:w="186" w:type="pct"/>
            <w:tcBorders>
              <w:top w:val="single" w:sz="4" w:space="0" w:color="auto"/>
              <w:left w:val="nil"/>
              <w:bottom w:val="single" w:sz="4" w:space="0" w:color="auto"/>
              <w:right w:val="single" w:sz="4" w:space="0" w:color="auto"/>
            </w:tcBorders>
            <w:shd w:val="clear" w:color="auto" w:fill="auto"/>
            <w:vAlign w:val="center"/>
          </w:tcPr>
          <w:p w14:paraId="5EDCCC1B" w14:textId="77777777" w:rsidR="004A0123" w:rsidRPr="000D3D0C" w:rsidRDefault="004A0123" w:rsidP="008A5C11">
            <w:pPr>
              <w:jc w:val="center"/>
              <w:rPr>
                <w:color w:val="000000"/>
                <w:sz w:val="13"/>
                <w:szCs w:val="13"/>
              </w:rPr>
            </w:pPr>
            <w:r w:rsidRPr="000D3D0C">
              <w:rPr>
                <w:color w:val="000000"/>
                <w:sz w:val="13"/>
                <w:szCs w:val="13"/>
              </w:rPr>
              <w:t>14896</w:t>
            </w:r>
          </w:p>
        </w:tc>
        <w:tc>
          <w:tcPr>
            <w:tcW w:w="186" w:type="pct"/>
            <w:tcBorders>
              <w:top w:val="single" w:sz="4" w:space="0" w:color="auto"/>
              <w:left w:val="nil"/>
              <w:bottom w:val="single" w:sz="4" w:space="0" w:color="auto"/>
              <w:right w:val="single" w:sz="4" w:space="0" w:color="auto"/>
            </w:tcBorders>
            <w:shd w:val="clear" w:color="auto" w:fill="auto"/>
            <w:vAlign w:val="center"/>
          </w:tcPr>
          <w:p w14:paraId="578EFE80" w14:textId="77777777" w:rsidR="004A0123" w:rsidRPr="000D3D0C" w:rsidRDefault="004A0123" w:rsidP="008A5C11">
            <w:pPr>
              <w:jc w:val="center"/>
              <w:rPr>
                <w:sz w:val="13"/>
                <w:szCs w:val="13"/>
              </w:rPr>
            </w:pPr>
            <w:r w:rsidRPr="000D3D0C">
              <w:rPr>
                <w:sz w:val="13"/>
                <w:szCs w:val="13"/>
              </w:rPr>
              <w:t>0</w:t>
            </w:r>
          </w:p>
        </w:tc>
        <w:tc>
          <w:tcPr>
            <w:tcW w:w="145" w:type="pct"/>
            <w:tcBorders>
              <w:top w:val="single" w:sz="4" w:space="0" w:color="auto"/>
              <w:left w:val="single" w:sz="4" w:space="0" w:color="auto"/>
              <w:bottom w:val="single" w:sz="4" w:space="0" w:color="auto"/>
              <w:right w:val="single" w:sz="4" w:space="0" w:color="auto"/>
            </w:tcBorders>
            <w:shd w:val="clear" w:color="auto" w:fill="auto"/>
            <w:vAlign w:val="center"/>
          </w:tcPr>
          <w:p w14:paraId="23C65469" w14:textId="77777777" w:rsidR="004A0123" w:rsidRPr="000D3D0C" w:rsidRDefault="004A0123" w:rsidP="008A5C11">
            <w:pPr>
              <w:jc w:val="center"/>
              <w:rPr>
                <w:sz w:val="13"/>
                <w:szCs w:val="13"/>
              </w:rPr>
            </w:pPr>
            <w:r w:rsidRPr="000D3D0C">
              <w:rPr>
                <w:sz w:val="13"/>
                <w:szCs w:val="13"/>
              </w:rPr>
              <w:t>0</w:t>
            </w:r>
          </w:p>
        </w:tc>
        <w:tc>
          <w:tcPr>
            <w:tcW w:w="148" w:type="pct"/>
            <w:tcBorders>
              <w:top w:val="single" w:sz="4" w:space="0" w:color="auto"/>
              <w:left w:val="nil"/>
              <w:bottom w:val="single" w:sz="4" w:space="0" w:color="auto"/>
              <w:right w:val="single" w:sz="4" w:space="0" w:color="auto"/>
            </w:tcBorders>
            <w:shd w:val="clear" w:color="auto" w:fill="auto"/>
            <w:vAlign w:val="center"/>
          </w:tcPr>
          <w:p w14:paraId="0AA106CE" w14:textId="77777777" w:rsidR="004A0123" w:rsidRPr="000D3D0C" w:rsidRDefault="004A0123" w:rsidP="008A5C11">
            <w:pPr>
              <w:jc w:val="center"/>
              <w:rPr>
                <w:sz w:val="13"/>
                <w:szCs w:val="13"/>
              </w:rPr>
            </w:pPr>
            <w:r w:rsidRPr="000D3D0C">
              <w:rPr>
                <w:sz w:val="13"/>
                <w:szCs w:val="13"/>
              </w:rPr>
              <w:t>14896</w:t>
            </w:r>
          </w:p>
        </w:tc>
        <w:tc>
          <w:tcPr>
            <w:tcW w:w="181" w:type="pct"/>
            <w:tcBorders>
              <w:top w:val="single" w:sz="4" w:space="0" w:color="auto"/>
              <w:left w:val="nil"/>
              <w:bottom w:val="single" w:sz="4" w:space="0" w:color="auto"/>
              <w:right w:val="single" w:sz="4" w:space="0" w:color="auto"/>
            </w:tcBorders>
            <w:shd w:val="clear" w:color="auto" w:fill="auto"/>
            <w:vAlign w:val="center"/>
          </w:tcPr>
          <w:p w14:paraId="5E8ECB53" w14:textId="77777777" w:rsidR="004A0123" w:rsidRPr="000D3D0C" w:rsidRDefault="004A0123" w:rsidP="008A5C11">
            <w:pPr>
              <w:jc w:val="center"/>
              <w:rPr>
                <w:sz w:val="13"/>
                <w:szCs w:val="13"/>
              </w:rPr>
            </w:pPr>
            <w:r w:rsidRPr="000D3D0C">
              <w:rPr>
                <w:sz w:val="13"/>
                <w:szCs w:val="13"/>
              </w:rPr>
              <w:t>0</w:t>
            </w:r>
          </w:p>
        </w:tc>
        <w:tc>
          <w:tcPr>
            <w:tcW w:w="181" w:type="pct"/>
            <w:tcBorders>
              <w:top w:val="single" w:sz="4" w:space="0" w:color="auto"/>
              <w:left w:val="nil"/>
              <w:bottom w:val="single" w:sz="4" w:space="0" w:color="auto"/>
              <w:right w:val="single" w:sz="4" w:space="0" w:color="auto"/>
            </w:tcBorders>
            <w:shd w:val="clear" w:color="auto" w:fill="auto"/>
            <w:vAlign w:val="center"/>
          </w:tcPr>
          <w:p w14:paraId="271B1BBA" w14:textId="77777777" w:rsidR="004A0123" w:rsidRPr="000D3D0C" w:rsidRDefault="004A0123" w:rsidP="008A5C11">
            <w:pPr>
              <w:jc w:val="center"/>
              <w:rPr>
                <w:sz w:val="13"/>
                <w:szCs w:val="13"/>
              </w:rPr>
            </w:pPr>
            <w:r w:rsidRPr="000D3D0C">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5603699D" w14:textId="77777777" w:rsidR="004A0123" w:rsidRPr="000D3D0C" w:rsidRDefault="004A0123" w:rsidP="008A5C11">
            <w:pPr>
              <w:jc w:val="center"/>
              <w:rPr>
                <w:sz w:val="13"/>
                <w:szCs w:val="13"/>
              </w:rPr>
            </w:pPr>
            <w:r w:rsidRPr="000D3D0C">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5BF78AF8" w14:textId="77777777" w:rsidR="004A0123" w:rsidRPr="000D3D0C" w:rsidRDefault="004A0123" w:rsidP="008A5C11">
            <w:pPr>
              <w:jc w:val="center"/>
              <w:rPr>
                <w:sz w:val="13"/>
                <w:szCs w:val="13"/>
              </w:rPr>
            </w:pPr>
            <w:r w:rsidRPr="000D3D0C">
              <w:rPr>
                <w:sz w:val="13"/>
                <w:szCs w:val="13"/>
              </w:rPr>
              <w:t>0</w:t>
            </w:r>
          </w:p>
        </w:tc>
        <w:tc>
          <w:tcPr>
            <w:tcW w:w="158" w:type="pct"/>
            <w:tcBorders>
              <w:top w:val="single" w:sz="4" w:space="0" w:color="auto"/>
              <w:left w:val="single" w:sz="4" w:space="0" w:color="auto"/>
              <w:bottom w:val="single" w:sz="4" w:space="0" w:color="auto"/>
              <w:right w:val="single" w:sz="4" w:space="0" w:color="auto"/>
            </w:tcBorders>
            <w:vAlign w:val="center"/>
          </w:tcPr>
          <w:p w14:paraId="429B2B41" w14:textId="77777777" w:rsidR="004A0123" w:rsidRPr="000D3D0C" w:rsidRDefault="004A0123" w:rsidP="008A5C11">
            <w:pPr>
              <w:jc w:val="center"/>
              <w:rPr>
                <w:sz w:val="13"/>
                <w:szCs w:val="13"/>
              </w:rPr>
            </w:pPr>
            <w:r w:rsidRPr="000D3D0C">
              <w:rPr>
                <w:sz w:val="13"/>
                <w:szCs w:val="13"/>
              </w:rPr>
              <w:t>0</w:t>
            </w:r>
          </w:p>
        </w:tc>
        <w:tc>
          <w:tcPr>
            <w:tcW w:w="172" w:type="pct"/>
            <w:tcBorders>
              <w:top w:val="single" w:sz="4" w:space="0" w:color="auto"/>
              <w:left w:val="single" w:sz="4" w:space="0" w:color="auto"/>
              <w:bottom w:val="single" w:sz="4" w:space="0" w:color="auto"/>
              <w:right w:val="single" w:sz="4" w:space="0" w:color="auto"/>
            </w:tcBorders>
            <w:vAlign w:val="center"/>
          </w:tcPr>
          <w:p w14:paraId="55D72A50" w14:textId="77777777" w:rsidR="004A0123" w:rsidRPr="000D3D0C" w:rsidRDefault="004A0123" w:rsidP="008A5C11">
            <w:pPr>
              <w:jc w:val="center"/>
              <w:rPr>
                <w:sz w:val="13"/>
                <w:szCs w:val="13"/>
              </w:rPr>
            </w:pPr>
            <w:r w:rsidRPr="000D3D0C">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3A7F26C4" w14:textId="77777777" w:rsidR="004A0123" w:rsidRPr="000D3D0C" w:rsidRDefault="004A0123" w:rsidP="008A5C11">
            <w:pPr>
              <w:jc w:val="center"/>
              <w:rPr>
                <w:sz w:val="13"/>
                <w:szCs w:val="13"/>
              </w:rPr>
            </w:pPr>
            <w:r w:rsidRPr="000D3D0C">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3AFEEFAA" w14:textId="77777777" w:rsidR="004A0123" w:rsidRPr="000D3D0C" w:rsidRDefault="004A0123" w:rsidP="008A5C11">
            <w:pPr>
              <w:jc w:val="center"/>
              <w:rPr>
                <w:sz w:val="13"/>
                <w:szCs w:val="13"/>
              </w:rPr>
            </w:pPr>
            <w:r w:rsidRPr="000D3D0C">
              <w:rPr>
                <w:sz w:val="13"/>
                <w:szCs w:val="13"/>
              </w:rPr>
              <w:t>0</w:t>
            </w:r>
          </w:p>
        </w:tc>
        <w:tc>
          <w:tcPr>
            <w:tcW w:w="181" w:type="pct"/>
            <w:tcBorders>
              <w:top w:val="single" w:sz="4" w:space="0" w:color="auto"/>
              <w:left w:val="single" w:sz="4" w:space="0" w:color="auto"/>
              <w:bottom w:val="single" w:sz="4" w:space="0" w:color="auto"/>
              <w:right w:val="single" w:sz="4" w:space="0" w:color="auto"/>
            </w:tcBorders>
            <w:vAlign w:val="center"/>
          </w:tcPr>
          <w:p w14:paraId="613D2B04" w14:textId="77777777" w:rsidR="004A0123" w:rsidRPr="000D3D0C" w:rsidRDefault="004A0123" w:rsidP="008A5C11">
            <w:pPr>
              <w:jc w:val="center"/>
              <w:rPr>
                <w:sz w:val="13"/>
                <w:szCs w:val="13"/>
              </w:rPr>
            </w:pPr>
            <w:r w:rsidRPr="000D3D0C">
              <w:rPr>
                <w:sz w:val="13"/>
                <w:szCs w:val="13"/>
              </w:rPr>
              <w:t>0</w:t>
            </w:r>
          </w:p>
        </w:tc>
        <w:tc>
          <w:tcPr>
            <w:tcW w:w="178" w:type="pct"/>
            <w:tcBorders>
              <w:top w:val="single" w:sz="4" w:space="0" w:color="auto"/>
              <w:left w:val="single" w:sz="4" w:space="0" w:color="auto"/>
              <w:bottom w:val="single" w:sz="4" w:space="0" w:color="auto"/>
              <w:right w:val="single" w:sz="4" w:space="0" w:color="auto"/>
            </w:tcBorders>
            <w:vAlign w:val="center"/>
          </w:tcPr>
          <w:p w14:paraId="02A825A1" w14:textId="77777777" w:rsidR="004A0123" w:rsidRPr="000D3D0C" w:rsidRDefault="004A0123" w:rsidP="008A5C11">
            <w:pPr>
              <w:jc w:val="center"/>
              <w:rPr>
                <w:sz w:val="13"/>
                <w:szCs w:val="13"/>
              </w:rPr>
            </w:pPr>
            <w:r w:rsidRPr="000D3D0C">
              <w:rPr>
                <w:sz w:val="13"/>
                <w:szCs w:val="13"/>
              </w:rPr>
              <w:t>0</w:t>
            </w:r>
          </w:p>
        </w:tc>
      </w:tr>
      <w:tr w:rsidR="004A0123" w:rsidRPr="000D3D0C" w14:paraId="309886F9" w14:textId="77777777" w:rsidTr="008A5C11">
        <w:trPr>
          <w:trHeight w:val="1034"/>
        </w:trPr>
        <w:tc>
          <w:tcPr>
            <w:tcW w:w="147" w:type="pct"/>
            <w:tcBorders>
              <w:bottom w:val="single" w:sz="4" w:space="0" w:color="auto"/>
            </w:tcBorders>
            <w:shd w:val="clear" w:color="auto" w:fill="auto"/>
            <w:vAlign w:val="center"/>
          </w:tcPr>
          <w:p w14:paraId="4138008E" w14:textId="77777777" w:rsidR="004A0123" w:rsidRPr="000D3D0C" w:rsidRDefault="004A0123" w:rsidP="008A5C11">
            <w:pPr>
              <w:jc w:val="center"/>
              <w:rPr>
                <w:sz w:val="13"/>
                <w:szCs w:val="13"/>
              </w:rPr>
            </w:pPr>
            <w:r w:rsidRPr="000D3D0C">
              <w:rPr>
                <w:sz w:val="13"/>
                <w:szCs w:val="13"/>
              </w:rPr>
              <w:t>4.4.</w:t>
            </w:r>
          </w:p>
        </w:tc>
        <w:tc>
          <w:tcPr>
            <w:tcW w:w="584" w:type="pct"/>
            <w:tcBorders>
              <w:top w:val="nil"/>
              <w:left w:val="single" w:sz="4" w:space="0" w:color="auto"/>
              <w:bottom w:val="single" w:sz="4" w:space="0" w:color="auto"/>
              <w:right w:val="single" w:sz="4" w:space="0" w:color="auto"/>
            </w:tcBorders>
            <w:shd w:val="clear" w:color="auto" w:fill="auto"/>
          </w:tcPr>
          <w:p w14:paraId="1C7A1A60" w14:textId="77777777" w:rsidR="004A0123" w:rsidRPr="000D3D0C" w:rsidRDefault="004A0123" w:rsidP="008A5C11">
            <w:pPr>
              <w:rPr>
                <w:color w:val="000000"/>
                <w:sz w:val="13"/>
                <w:szCs w:val="13"/>
              </w:rPr>
            </w:pPr>
            <w:r w:rsidRPr="000D3D0C">
              <w:rPr>
                <w:color w:val="000000"/>
                <w:sz w:val="13"/>
                <w:szCs w:val="13"/>
              </w:rPr>
              <w:t>Установка блочно-модульной котельной 600 кВт (2х300)</w:t>
            </w:r>
          </w:p>
        </w:tc>
        <w:tc>
          <w:tcPr>
            <w:tcW w:w="358" w:type="pct"/>
            <w:tcBorders>
              <w:top w:val="nil"/>
              <w:left w:val="nil"/>
              <w:bottom w:val="single" w:sz="4" w:space="0" w:color="auto"/>
              <w:right w:val="single" w:sz="4" w:space="0" w:color="auto"/>
            </w:tcBorders>
            <w:shd w:val="clear" w:color="auto" w:fill="auto"/>
            <w:vAlign w:val="center"/>
          </w:tcPr>
          <w:p w14:paraId="1352946B" w14:textId="77777777" w:rsidR="004A0123" w:rsidRPr="000D3D0C" w:rsidRDefault="004A0123" w:rsidP="008A5C11">
            <w:pPr>
              <w:jc w:val="center"/>
              <w:rPr>
                <w:color w:val="000000"/>
                <w:sz w:val="13"/>
                <w:szCs w:val="13"/>
              </w:rPr>
            </w:pPr>
            <w:r w:rsidRPr="000D3D0C">
              <w:rPr>
                <w:color w:val="000000"/>
                <w:sz w:val="13"/>
                <w:szCs w:val="13"/>
              </w:rPr>
              <w:t>Повышение эффективности работы систем</w:t>
            </w:r>
          </w:p>
        </w:tc>
        <w:tc>
          <w:tcPr>
            <w:tcW w:w="389" w:type="pct"/>
            <w:tcBorders>
              <w:top w:val="nil"/>
              <w:left w:val="nil"/>
              <w:bottom w:val="single" w:sz="4" w:space="0" w:color="auto"/>
              <w:right w:val="single" w:sz="4" w:space="0" w:color="auto"/>
            </w:tcBorders>
            <w:shd w:val="clear" w:color="auto" w:fill="auto"/>
            <w:vAlign w:val="center"/>
          </w:tcPr>
          <w:p w14:paraId="6214818B" w14:textId="77777777" w:rsidR="004A0123" w:rsidRPr="000D3D0C" w:rsidRDefault="004A0123" w:rsidP="008A5C11">
            <w:pPr>
              <w:jc w:val="center"/>
              <w:rPr>
                <w:color w:val="000000"/>
                <w:sz w:val="13"/>
                <w:szCs w:val="13"/>
              </w:rPr>
            </w:pPr>
            <w:r w:rsidRPr="000D3D0C">
              <w:rPr>
                <w:color w:val="000000"/>
                <w:sz w:val="13"/>
                <w:szCs w:val="13"/>
              </w:rPr>
              <w:t>Кемеровская обл.                  г. Тайга                         ул. Трудовые резервы, д.18.                                    Котельная Приют</w:t>
            </w:r>
          </w:p>
        </w:tc>
        <w:tc>
          <w:tcPr>
            <w:tcW w:w="336" w:type="pct"/>
            <w:tcBorders>
              <w:top w:val="nil"/>
              <w:left w:val="nil"/>
              <w:bottom w:val="single" w:sz="4" w:space="0" w:color="auto"/>
              <w:right w:val="single" w:sz="4" w:space="0" w:color="auto"/>
            </w:tcBorders>
            <w:shd w:val="clear" w:color="auto" w:fill="auto"/>
            <w:vAlign w:val="center"/>
          </w:tcPr>
          <w:p w14:paraId="47BAA5EF" w14:textId="77777777" w:rsidR="004A0123" w:rsidRPr="000D3D0C" w:rsidRDefault="004A0123" w:rsidP="008A5C11">
            <w:pPr>
              <w:jc w:val="center"/>
              <w:rPr>
                <w:color w:val="000000"/>
                <w:sz w:val="13"/>
                <w:szCs w:val="13"/>
              </w:rPr>
            </w:pPr>
            <w:r w:rsidRPr="000D3D0C">
              <w:rPr>
                <w:color w:val="000000"/>
                <w:sz w:val="13"/>
                <w:szCs w:val="13"/>
              </w:rPr>
              <w:t>Установленная тепловая мощность</w:t>
            </w:r>
          </w:p>
        </w:tc>
        <w:tc>
          <w:tcPr>
            <w:tcW w:w="133" w:type="pct"/>
            <w:tcBorders>
              <w:top w:val="nil"/>
              <w:left w:val="nil"/>
              <w:bottom w:val="single" w:sz="4" w:space="0" w:color="auto"/>
              <w:right w:val="single" w:sz="4" w:space="0" w:color="auto"/>
            </w:tcBorders>
            <w:shd w:val="clear" w:color="auto" w:fill="auto"/>
            <w:vAlign w:val="center"/>
          </w:tcPr>
          <w:p w14:paraId="5E7CA600" w14:textId="77777777" w:rsidR="004A0123" w:rsidRPr="000D3D0C" w:rsidRDefault="004A0123" w:rsidP="008A5C11">
            <w:pPr>
              <w:jc w:val="center"/>
              <w:rPr>
                <w:color w:val="000000"/>
                <w:sz w:val="13"/>
                <w:szCs w:val="13"/>
              </w:rPr>
            </w:pPr>
            <w:r w:rsidRPr="000D3D0C">
              <w:rPr>
                <w:color w:val="000000"/>
                <w:sz w:val="13"/>
                <w:szCs w:val="13"/>
              </w:rPr>
              <w:t>Гкал/ч</w:t>
            </w:r>
          </w:p>
        </w:tc>
        <w:tc>
          <w:tcPr>
            <w:tcW w:w="180" w:type="pct"/>
            <w:tcBorders>
              <w:top w:val="nil"/>
              <w:left w:val="single" w:sz="4" w:space="0" w:color="auto"/>
              <w:bottom w:val="single" w:sz="4" w:space="0" w:color="auto"/>
              <w:right w:val="single" w:sz="4" w:space="0" w:color="auto"/>
            </w:tcBorders>
            <w:shd w:val="clear" w:color="auto" w:fill="auto"/>
            <w:vAlign w:val="center"/>
          </w:tcPr>
          <w:p w14:paraId="6EF94895" w14:textId="77777777" w:rsidR="004A0123" w:rsidRPr="000D3D0C" w:rsidRDefault="004A0123" w:rsidP="008A5C11">
            <w:pPr>
              <w:jc w:val="center"/>
              <w:rPr>
                <w:color w:val="000000"/>
                <w:sz w:val="13"/>
                <w:szCs w:val="13"/>
              </w:rPr>
            </w:pPr>
            <w:r w:rsidRPr="000D3D0C">
              <w:rPr>
                <w:color w:val="000000"/>
                <w:sz w:val="13"/>
                <w:szCs w:val="13"/>
              </w:rPr>
              <w:t>0,6</w:t>
            </w:r>
          </w:p>
        </w:tc>
        <w:tc>
          <w:tcPr>
            <w:tcW w:w="176" w:type="pct"/>
            <w:tcBorders>
              <w:top w:val="nil"/>
              <w:left w:val="nil"/>
              <w:bottom w:val="single" w:sz="4" w:space="0" w:color="auto"/>
              <w:right w:val="single" w:sz="4" w:space="0" w:color="auto"/>
            </w:tcBorders>
            <w:shd w:val="clear" w:color="auto" w:fill="auto"/>
            <w:vAlign w:val="center"/>
          </w:tcPr>
          <w:p w14:paraId="6C625C42" w14:textId="77777777" w:rsidR="004A0123" w:rsidRPr="000D3D0C" w:rsidRDefault="004A0123" w:rsidP="008A5C11">
            <w:pPr>
              <w:jc w:val="center"/>
              <w:rPr>
                <w:color w:val="000000"/>
                <w:sz w:val="13"/>
                <w:szCs w:val="13"/>
              </w:rPr>
            </w:pPr>
            <w:r w:rsidRPr="000D3D0C">
              <w:rPr>
                <w:color w:val="000000"/>
                <w:sz w:val="13"/>
                <w:szCs w:val="13"/>
              </w:rPr>
              <w:t>0,52</w:t>
            </w:r>
          </w:p>
        </w:tc>
        <w:tc>
          <w:tcPr>
            <w:tcW w:w="188" w:type="pct"/>
            <w:tcBorders>
              <w:top w:val="nil"/>
              <w:left w:val="nil"/>
              <w:bottom w:val="single" w:sz="4" w:space="0" w:color="auto"/>
              <w:right w:val="single" w:sz="4" w:space="0" w:color="auto"/>
            </w:tcBorders>
            <w:shd w:val="clear" w:color="auto" w:fill="auto"/>
            <w:vAlign w:val="center"/>
          </w:tcPr>
          <w:p w14:paraId="147A51FB" w14:textId="77777777" w:rsidR="004A0123" w:rsidRPr="000D3D0C" w:rsidRDefault="004A0123" w:rsidP="008A5C11">
            <w:pPr>
              <w:jc w:val="center"/>
              <w:rPr>
                <w:color w:val="000000"/>
                <w:sz w:val="13"/>
                <w:szCs w:val="13"/>
              </w:rPr>
            </w:pPr>
            <w:r w:rsidRPr="000D3D0C">
              <w:rPr>
                <w:color w:val="000000"/>
                <w:sz w:val="13"/>
                <w:szCs w:val="13"/>
              </w:rPr>
              <w:t>2023</w:t>
            </w:r>
          </w:p>
        </w:tc>
        <w:tc>
          <w:tcPr>
            <w:tcW w:w="186" w:type="pct"/>
            <w:tcBorders>
              <w:top w:val="nil"/>
              <w:left w:val="nil"/>
              <w:bottom w:val="single" w:sz="4" w:space="0" w:color="auto"/>
              <w:right w:val="single" w:sz="4" w:space="0" w:color="auto"/>
            </w:tcBorders>
            <w:shd w:val="clear" w:color="auto" w:fill="auto"/>
            <w:vAlign w:val="center"/>
          </w:tcPr>
          <w:p w14:paraId="33A7C35B" w14:textId="77777777" w:rsidR="004A0123" w:rsidRPr="000D3D0C" w:rsidRDefault="004A0123" w:rsidP="008A5C11">
            <w:pPr>
              <w:jc w:val="center"/>
              <w:rPr>
                <w:color w:val="000000"/>
                <w:sz w:val="13"/>
                <w:szCs w:val="13"/>
              </w:rPr>
            </w:pPr>
            <w:r w:rsidRPr="000D3D0C">
              <w:rPr>
                <w:color w:val="000000"/>
                <w:sz w:val="13"/>
                <w:szCs w:val="13"/>
              </w:rPr>
              <w:t>2023</w:t>
            </w:r>
          </w:p>
        </w:tc>
        <w:tc>
          <w:tcPr>
            <w:tcW w:w="186" w:type="pct"/>
            <w:tcBorders>
              <w:top w:val="nil"/>
              <w:left w:val="nil"/>
              <w:bottom w:val="single" w:sz="4" w:space="0" w:color="auto"/>
              <w:right w:val="single" w:sz="4" w:space="0" w:color="auto"/>
            </w:tcBorders>
            <w:shd w:val="clear" w:color="auto" w:fill="auto"/>
            <w:vAlign w:val="center"/>
          </w:tcPr>
          <w:p w14:paraId="45FE443D" w14:textId="77777777" w:rsidR="004A0123" w:rsidRPr="000D3D0C" w:rsidRDefault="004A0123" w:rsidP="008A5C11">
            <w:pPr>
              <w:jc w:val="center"/>
              <w:rPr>
                <w:color w:val="000000"/>
                <w:sz w:val="13"/>
                <w:szCs w:val="13"/>
              </w:rPr>
            </w:pPr>
            <w:r w:rsidRPr="000D3D0C">
              <w:rPr>
                <w:color w:val="000000"/>
                <w:sz w:val="13"/>
                <w:szCs w:val="13"/>
              </w:rPr>
              <w:t>13344</w:t>
            </w:r>
          </w:p>
        </w:tc>
        <w:tc>
          <w:tcPr>
            <w:tcW w:w="186" w:type="pct"/>
            <w:tcBorders>
              <w:top w:val="nil"/>
              <w:left w:val="nil"/>
              <w:bottom w:val="single" w:sz="4" w:space="0" w:color="auto"/>
              <w:right w:val="single" w:sz="4" w:space="0" w:color="auto"/>
            </w:tcBorders>
            <w:shd w:val="clear" w:color="auto" w:fill="auto"/>
            <w:vAlign w:val="center"/>
          </w:tcPr>
          <w:p w14:paraId="468CAB41" w14:textId="77777777" w:rsidR="004A0123" w:rsidRPr="000D3D0C" w:rsidRDefault="004A0123" w:rsidP="008A5C11">
            <w:pPr>
              <w:jc w:val="center"/>
              <w:rPr>
                <w:sz w:val="13"/>
                <w:szCs w:val="13"/>
              </w:rPr>
            </w:pPr>
            <w:r w:rsidRPr="000D3D0C">
              <w:rPr>
                <w:sz w:val="13"/>
                <w:szCs w:val="13"/>
              </w:rPr>
              <w:t>0</w:t>
            </w:r>
          </w:p>
        </w:tc>
        <w:tc>
          <w:tcPr>
            <w:tcW w:w="145" w:type="pct"/>
            <w:tcBorders>
              <w:top w:val="nil"/>
              <w:left w:val="single" w:sz="4" w:space="0" w:color="auto"/>
              <w:bottom w:val="single" w:sz="4" w:space="0" w:color="auto"/>
              <w:right w:val="single" w:sz="4" w:space="0" w:color="auto"/>
            </w:tcBorders>
            <w:shd w:val="clear" w:color="auto" w:fill="auto"/>
            <w:vAlign w:val="center"/>
          </w:tcPr>
          <w:p w14:paraId="1D92C750" w14:textId="77777777" w:rsidR="004A0123" w:rsidRPr="000D3D0C" w:rsidRDefault="004A0123" w:rsidP="008A5C11">
            <w:pPr>
              <w:jc w:val="center"/>
              <w:rPr>
                <w:sz w:val="13"/>
                <w:szCs w:val="13"/>
              </w:rPr>
            </w:pPr>
            <w:r w:rsidRPr="000D3D0C">
              <w:rPr>
                <w:sz w:val="13"/>
                <w:szCs w:val="13"/>
              </w:rPr>
              <w:t>0</w:t>
            </w:r>
          </w:p>
        </w:tc>
        <w:tc>
          <w:tcPr>
            <w:tcW w:w="148" w:type="pct"/>
            <w:tcBorders>
              <w:top w:val="nil"/>
              <w:left w:val="nil"/>
              <w:bottom w:val="single" w:sz="4" w:space="0" w:color="auto"/>
              <w:right w:val="single" w:sz="4" w:space="0" w:color="auto"/>
            </w:tcBorders>
            <w:shd w:val="clear" w:color="auto" w:fill="auto"/>
            <w:vAlign w:val="center"/>
          </w:tcPr>
          <w:p w14:paraId="22F514B7" w14:textId="77777777" w:rsidR="004A0123" w:rsidRPr="000D3D0C" w:rsidRDefault="004A0123" w:rsidP="008A5C11">
            <w:pPr>
              <w:jc w:val="center"/>
              <w:rPr>
                <w:sz w:val="13"/>
                <w:szCs w:val="13"/>
              </w:rPr>
            </w:pPr>
            <w:r w:rsidRPr="000D3D0C">
              <w:rPr>
                <w:sz w:val="13"/>
                <w:szCs w:val="13"/>
              </w:rPr>
              <w:t>0</w:t>
            </w:r>
          </w:p>
        </w:tc>
        <w:tc>
          <w:tcPr>
            <w:tcW w:w="181" w:type="pct"/>
            <w:tcBorders>
              <w:top w:val="nil"/>
              <w:left w:val="nil"/>
              <w:bottom w:val="single" w:sz="4" w:space="0" w:color="auto"/>
              <w:right w:val="single" w:sz="4" w:space="0" w:color="auto"/>
            </w:tcBorders>
            <w:shd w:val="clear" w:color="auto" w:fill="auto"/>
            <w:vAlign w:val="center"/>
          </w:tcPr>
          <w:p w14:paraId="2F28835A" w14:textId="77777777" w:rsidR="004A0123" w:rsidRPr="000D3D0C" w:rsidRDefault="004A0123" w:rsidP="008A5C11">
            <w:pPr>
              <w:jc w:val="center"/>
              <w:rPr>
                <w:sz w:val="13"/>
                <w:szCs w:val="13"/>
              </w:rPr>
            </w:pPr>
            <w:r w:rsidRPr="000D3D0C">
              <w:rPr>
                <w:sz w:val="13"/>
                <w:szCs w:val="13"/>
              </w:rPr>
              <w:t>13344</w:t>
            </w:r>
          </w:p>
        </w:tc>
        <w:tc>
          <w:tcPr>
            <w:tcW w:w="181" w:type="pct"/>
            <w:tcBorders>
              <w:top w:val="nil"/>
              <w:left w:val="nil"/>
              <w:bottom w:val="single" w:sz="4" w:space="0" w:color="auto"/>
              <w:right w:val="single" w:sz="4" w:space="0" w:color="auto"/>
            </w:tcBorders>
            <w:shd w:val="clear" w:color="auto" w:fill="auto"/>
            <w:vAlign w:val="center"/>
          </w:tcPr>
          <w:p w14:paraId="4043E97D" w14:textId="77777777" w:rsidR="004A0123" w:rsidRPr="000D3D0C" w:rsidRDefault="004A0123" w:rsidP="008A5C11">
            <w:pPr>
              <w:jc w:val="center"/>
              <w:rPr>
                <w:sz w:val="13"/>
                <w:szCs w:val="13"/>
              </w:rPr>
            </w:pPr>
            <w:r w:rsidRPr="000D3D0C">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0861396E" w14:textId="77777777" w:rsidR="004A0123" w:rsidRPr="000D3D0C" w:rsidRDefault="004A0123" w:rsidP="008A5C11">
            <w:pPr>
              <w:jc w:val="center"/>
              <w:rPr>
                <w:sz w:val="13"/>
                <w:szCs w:val="13"/>
              </w:rPr>
            </w:pPr>
            <w:r w:rsidRPr="000D3D0C">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14E4DC59" w14:textId="77777777" w:rsidR="004A0123" w:rsidRPr="000D3D0C" w:rsidRDefault="004A0123" w:rsidP="008A5C11">
            <w:pPr>
              <w:jc w:val="center"/>
              <w:rPr>
                <w:sz w:val="13"/>
                <w:szCs w:val="13"/>
              </w:rPr>
            </w:pPr>
            <w:r w:rsidRPr="000D3D0C">
              <w:rPr>
                <w:sz w:val="13"/>
                <w:szCs w:val="13"/>
              </w:rPr>
              <w:t>0</w:t>
            </w:r>
          </w:p>
        </w:tc>
        <w:tc>
          <w:tcPr>
            <w:tcW w:w="158" w:type="pct"/>
            <w:tcBorders>
              <w:top w:val="single" w:sz="4" w:space="0" w:color="auto"/>
              <w:left w:val="single" w:sz="4" w:space="0" w:color="auto"/>
              <w:bottom w:val="single" w:sz="4" w:space="0" w:color="auto"/>
              <w:right w:val="single" w:sz="4" w:space="0" w:color="auto"/>
            </w:tcBorders>
            <w:vAlign w:val="center"/>
          </w:tcPr>
          <w:p w14:paraId="2AE5FC54" w14:textId="77777777" w:rsidR="004A0123" w:rsidRPr="000D3D0C" w:rsidRDefault="004A0123" w:rsidP="008A5C11">
            <w:pPr>
              <w:jc w:val="center"/>
              <w:rPr>
                <w:sz w:val="13"/>
                <w:szCs w:val="13"/>
              </w:rPr>
            </w:pPr>
            <w:r w:rsidRPr="000D3D0C">
              <w:rPr>
                <w:sz w:val="13"/>
                <w:szCs w:val="13"/>
              </w:rPr>
              <w:t>0</w:t>
            </w:r>
          </w:p>
        </w:tc>
        <w:tc>
          <w:tcPr>
            <w:tcW w:w="172" w:type="pct"/>
            <w:tcBorders>
              <w:top w:val="single" w:sz="4" w:space="0" w:color="auto"/>
              <w:left w:val="single" w:sz="4" w:space="0" w:color="auto"/>
              <w:bottom w:val="single" w:sz="4" w:space="0" w:color="auto"/>
              <w:right w:val="single" w:sz="4" w:space="0" w:color="auto"/>
            </w:tcBorders>
            <w:vAlign w:val="center"/>
          </w:tcPr>
          <w:p w14:paraId="540DEC9E" w14:textId="77777777" w:rsidR="004A0123" w:rsidRPr="000D3D0C" w:rsidRDefault="004A0123" w:rsidP="008A5C11">
            <w:pPr>
              <w:jc w:val="center"/>
              <w:rPr>
                <w:sz w:val="13"/>
                <w:szCs w:val="13"/>
              </w:rPr>
            </w:pPr>
            <w:r w:rsidRPr="000D3D0C">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353B5BE4" w14:textId="77777777" w:rsidR="004A0123" w:rsidRPr="000D3D0C" w:rsidRDefault="004A0123" w:rsidP="008A5C11">
            <w:pPr>
              <w:jc w:val="center"/>
              <w:rPr>
                <w:sz w:val="13"/>
                <w:szCs w:val="13"/>
              </w:rPr>
            </w:pPr>
            <w:r w:rsidRPr="000D3D0C">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41410249" w14:textId="77777777" w:rsidR="004A0123" w:rsidRPr="000D3D0C" w:rsidRDefault="004A0123" w:rsidP="008A5C11">
            <w:pPr>
              <w:jc w:val="center"/>
              <w:rPr>
                <w:sz w:val="13"/>
                <w:szCs w:val="13"/>
              </w:rPr>
            </w:pPr>
            <w:r w:rsidRPr="000D3D0C">
              <w:rPr>
                <w:sz w:val="13"/>
                <w:szCs w:val="13"/>
              </w:rPr>
              <w:t>0</w:t>
            </w:r>
          </w:p>
        </w:tc>
        <w:tc>
          <w:tcPr>
            <w:tcW w:w="181" w:type="pct"/>
            <w:tcBorders>
              <w:top w:val="single" w:sz="4" w:space="0" w:color="auto"/>
              <w:left w:val="single" w:sz="4" w:space="0" w:color="auto"/>
              <w:bottom w:val="single" w:sz="4" w:space="0" w:color="auto"/>
              <w:right w:val="single" w:sz="4" w:space="0" w:color="auto"/>
            </w:tcBorders>
            <w:vAlign w:val="center"/>
          </w:tcPr>
          <w:p w14:paraId="760176CB" w14:textId="77777777" w:rsidR="004A0123" w:rsidRPr="000D3D0C" w:rsidRDefault="004A0123" w:rsidP="008A5C11">
            <w:pPr>
              <w:jc w:val="center"/>
              <w:rPr>
                <w:sz w:val="13"/>
                <w:szCs w:val="13"/>
              </w:rPr>
            </w:pPr>
            <w:r w:rsidRPr="000D3D0C">
              <w:rPr>
                <w:sz w:val="13"/>
                <w:szCs w:val="13"/>
              </w:rPr>
              <w:t>0</w:t>
            </w:r>
          </w:p>
        </w:tc>
        <w:tc>
          <w:tcPr>
            <w:tcW w:w="178" w:type="pct"/>
            <w:tcBorders>
              <w:top w:val="single" w:sz="4" w:space="0" w:color="auto"/>
              <w:left w:val="single" w:sz="4" w:space="0" w:color="auto"/>
              <w:bottom w:val="single" w:sz="4" w:space="0" w:color="auto"/>
              <w:right w:val="single" w:sz="4" w:space="0" w:color="auto"/>
            </w:tcBorders>
            <w:vAlign w:val="center"/>
          </w:tcPr>
          <w:p w14:paraId="31374681" w14:textId="77777777" w:rsidR="004A0123" w:rsidRPr="000D3D0C" w:rsidRDefault="004A0123" w:rsidP="008A5C11">
            <w:pPr>
              <w:jc w:val="center"/>
              <w:rPr>
                <w:sz w:val="13"/>
                <w:szCs w:val="13"/>
              </w:rPr>
            </w:pPr>
            <w:r w:rsidRPr="000D3D0C">
              <w:rPr>
                <w:sz w:val="13"/>
                <w:szCs w:val="13"/>
              </w:rPr>
              <w:t>0</w:t>
            </w:r>
          </w:p>
        </w:tc>
      </w:tr>
      <w:tr w:rsidR="004A0123" w:rsidRPr="000D3D0C" w14:paraId="4C56A735" w14:textId="77777777" w:rsidTr="008A5C11">
        <w:trPr>
          <w:trHeight w:val="832"/>
        </w:trPr>
        <w:tc>
          <w:tcPr>
            <w:tcW w:w="147" w:type="pct"/>
            <w:tcBorders>
              <w:bottom w:val="single" w:sz="4" w:space="0" w:color="auto"/>
            </w:tcBorders>
            <w:shd w:val="clear" w:color="auto" w:fill="auto"/>
            <w:vAlign w:val="center"/>
          </w:tcPr>
          <w:p w14:paraId="667EDC91" w14:textId="77777777" w:rsidR="004A0123" w:rsidRPr="000D3D0C" w:rsidRDefault="004A0123" w:rsidP="008A5C11">
            <w:pPr>
              <w:jc w:val="center"/>
              <w:rPr>
                <w:sz w:val="13"/>
                <w:szCs w:val="13"/>
              </w:rPr>
            </w:pPr>
            <w:r w:rsidRPr="000D3D0C">
              <w:rPr>
                <w:sz w:val="13"/>
                <w:szCs w:val="13"/>
              </w:rPr>
              <w:t>4.5.</w:t>
            </w:r>
          </w:p>
        </w:tc>
        <w:tc>
          <w:tcPr>
            <w:tcW w:w="584" w:type="pct"/>
            <w:tcBorders>
              <w:top w:val="nil"/>
              <w:left w:val="single" w:sz="4" w:space="0" w:color="auto"/>
              <w:bottom w:val="single" w:sz="4" w:space="0" w:color="auto"/>
              <w:right w:val="single" w:sz="4" w:space="0" w:color="auto"/>
            </w:tcBorders>
            <w:shd w:val="clear" w:color="auto" w:fill="auto"/>
          </w:tcPr>
          <w:p w14:paraId="2BE085E9" w14:textId="77777777" w:rsidR="004A0123" w:rsidRPr="000D3D0C" w:rsidRDefault="004A0123" w:rsidP="008A5C11">
            <w:pPr>
              <w:rPr>
                <w:color w:val="000000"/>
                <w:sz w:val="13"/>
                <w:szCs w:val="13"/>
              </w:rPr>
            </w:pPr>
            <w:r w:rsidRPr="000D3D0C">
              <w:rPr>
                <w:color w:val="000000"/>
                <w:sz w:val="13"/>
                <w:szCs w:val="13"/>
              </w:rPr>
              <w:t>Установка блочно-модульной котельной 400 кВт (2х200)</w:t>
            </w:r>
          </w:p>
        </w:tc>
        <w:tc>
          <w:tcPr>
            <w:tcW w:w="358" w:type="pct"/>
            <w:tcBorders>
              <w:top w:val="nil"/>
              <w:left w:val="nil"/>
              <w:bottom w:val="single" w:sz="4" w:space="0" w:color="auto"/>
              <w:right w:val="single" w:sz="4" w:space="0" w:color="auto"/>
            </w:tcBorders>
            <w:shd w:val="clear" w:color="auto" w:fill="auto"/>
            <w:vAlign w:val="center"/>
          </w:tcPr>
          <w:p w14:paraId="5F7E1050" w14:textId="77777777" w:rsidR="004A0123" w:rsidRPr="000D3D0C" w:rsidRDefault="004A0123" w:rsidP="008A5C11">
            <w:pPr>
              <w:jc w:val="center"/>
              <w:rPr>
                <w:color w:val="000000"/>
                <w:sz w:val="13"/>
                <w:szCs w:val="13"/>
              </w:rPr>
            </w:pPr>
            <w:r w:rsidRPr="000D3D0C">
              <w:rPr>
                <w:color w:val="000000"/>
                <w:sz w:val="13"/>
                <w:szCs w:val="13"/>
              </w:rPr>
              <w:t>Повышение эффективности работы систем</w:t>
            </w:r>
          </w:p>
        </w:tc>
        <w:tc>
          <w:tcPr>
            <w:tcW w:w="389" w:type="pct"/>
            <w:tcBorders>
              <w:top w:val="nil"/>
              <w:left w:val="nil"/>
              <w:bottom w:val="single" w:sz="4" w:space="0" w:color="auto"/>
              <w:right w:val="single" w:sz="4" w:space="0" w:color="auto"/>
            </w:tcBorders>
            <w:shd w:val="clear" w:color="auto" w:fill="auto"/>
            <w:vAlign w:val="center"/>
          </w:tcPr>
          <w:p w14:paraId="0244B0A5" w14:textId="77777777" w:rsidR="004A0123" w:rsidRPr="000D3D0C" w:rsidRDefault="004A0123" w:rsidP="008A5C11">
            <w:pPr>
              <w:jc w:val="center"/>
              <w:rPr>
                <w:color w:val="000000"/>
                <w:sz w:val="13"/>
                <w:szCs w:val="13"/>
              </w:rPr>
            </w:pPr>
            <w:r w:rsidRPr="000D3D0C">
              <w:rPr>
                <w:color w:val="000000"/>
                <w:sz w:val="13"/>
                <w:szCs w:val="13"/>
              </w:rPr>
              <w:t>Кемеровская обл.                  п. Кузель                         ул. Школьная, 14а.              Котельная Кузель</w:t>
            </w:r>
          </w:p>
        </w:tc>
        <w:tc>
          <w:tcPr>
            <w:tcW w:w="336" w:type="pct"/>
            <w:tcBorders>
              <w:top w:val="nil"/>
              <w:left w:val="nil"/>
              <w:bottom w:val="single" w:sz="4" w:space="0" w:color="auto"/>
              <w:right w:val="single" w:sz="4" w:space="0" w:color="auto"/>
            </w:tcBorders>
            <w:shd w:val="clear" w:color="auto" w:fill="auto"/>
            <w:vAlign w:val="center"/>
          </w:tcPr>
          <w:p w14:paraId="20396CC8" w14:textId="77777777" w:rsidR="004A0123" w:rsidRPr="000D3D0C" w:rsidRDefault="004A0123" w:rsidP="008A5C11">
            <w:pPr>
              <w:jc w:val="center"/>
              <w:rPr>
                <w:color w:val="000000"/>
                <w:sz w:val="13"/>
                <w:szCs w:val="13"/>
              </w:rPr>
            </w:pPr>
            <w:r w:rsidRPr="000D3D0C">
              <w:rPr>
                <w:color w:val="000000"/>
                <w:sz w:val="13"/>
                <w:szCs w:val="13"/>
              </w:rPr>
              <w:t>Установленная тепловая мощность</w:t>
            </w:r>
          </w:p>
        </w:tc>
        <w:tc>
          <w:tcPr>
            <w:tcW w:w="133" w:type="pct"/>
            <w:tcBorders>
              <w:top w:val="nil"/>
              <w:left w:val="nil"/>
              <w:bottom w:val="single" w:sz="4" w:space="0" w:color="auto"/>
              <w:right w:val="single" w:sz="4" w:space="0" w:color="auto"/>
            </w:tcBorders>
            <w:shd w:val="clear" w:color="auto" w:fill="auto"/>
            <w:vAlign w:val="center"/>
          </w:tcPr>
          <w:p w14:paraId="560EE908" w14:textId="77777777" w:rsidR="004A0123" w:rsidRPr="000D3D0C" w:rsidRDefault="004A0123" w:rsidP="008A5C11">
            <w:pPr>
              <w:jc w:val="center"/>
              <w:rPr>
                <w:color w:val="000000"/>
                <w:sz w:val="13"/>
                <w:szCs w:val="13"/>
              </w:rPr>
            </w:pPr>
            <w:r w:rsidRPr="000D3D0C">
              <w:rPr>
                <w:color w:val="000000"/>
                <w:sz w:val="13"/>
                <w:szCs w:val="13"/>
              </w:rPr>
              <w:t>Гкал/ч</w:t>
            </w:r>
          </w:p>
        </w:tc>
        <w:tc>
          <w:tcPr>
            <w:tcW w:w="180" w:type="pct"/>
            <w:tcBorders>
              <w:top w:val="nil"/>
              <w:left w:val="single" w:sz="4" w:space="0" w:color="auto"/>
              <w:bottom w:val="single" w:sz="4" w:space="0" w:color="auto"/>
              <w:right w:val="single" w:sz="4" w:space="0" w:color="auto"/>
            </w:tcBorders>
            <w:shd w:val="clear" w:color="auto" w:fill="auto"/>
            <w:vAlign w:val="center"/>
          </w:tcPr>
          <w:p w14:paraId="150EC77A" w14:textId="77777777" w:rsidR="004A0123" w:rsidRPr="000D3D0C" w:rsidRDefault="004A0123" w:rsidP="008A5C11">
            <w:pPr>
              <w:jc w:val="center"/>
              <w:rPr>
                <w:color w:val="000000"/>
                <w:sz w:val="13"/>
                <w:szCs w:val="13"/>
              </w:rPr>
            </w:pPr>
            <w:r w:rsidRPr="000D3D0C">
              <w:rPr>
                <w:color w:val="000000"/>
                <w:sz w:val="13"/>
                <w:szCs w:val="13"/>
              </w:rPr>
              <w:t>0,8</w:t>
            </w:r>
          </w:p>
        </w:tc>
        <w:tc>
          <w:tcPr>
            <w:tcW w:w="176" w:type="pct"/>
            <w:tcBorders>
              <w:top w:val="nil"/>
              <w:left w:val="nil"/>
              <w:bottom w:val="single" w:sz="4" w:space="0" w:color="auto"/>
              <w:right w:val="single" w:sz="4" w:space="0" w:color="auto"/>
            </w:tcBorders>
            <w:shd w:val="clear" w:color="auto" w:fill="auto"/>
            <w:vAlign w:val="center"/>
          </w:tcPr>
          <w:p w14:paraId="7307588D" w14:textId="77777777" w:rsidR="004A0123" w:rsidRPr="000D3D0C" w:rsidRDefault="004A0123" w:rsidP="008A5C11">
            <w:pPr>
              <w:jc w:val="center"/>
              <w:rPr>
                <w:color w:val="000000"/>
                <w:sz w:val="13"/>
                <w:szCs w:val="13"/>
              </w:rPr>
            </w:pPr>
            <w:r w:rsidRPr="000D3D0C">
              <w:rPr>
                <w:color w:val="000000"/>
                <w:sz w:val="13"/>
                <w:szCs w:val="13"/>
              </w:rPr>
              <w:t>0,34</w:t>
            </w:r>
          </w:p>
        </w:tc>
        <w:tc>
          <w:tcPr>
            <w:tcW w:w="188" w:type="pct"/>
            <w:tcBorders>
              <w:top w:val="nil"/>
              <w:left w:val="nil"/>
              <w:bottom w:val="single" w:sz="4" w:space="0" w:color="auto"/>
              <w:right w:val="single" w:sz="4" w:space="0" w:color="auto"/>
            </w:tcBorders>
            <w:shd w:val="clear" w:color="auto" w:fill="auto"/>
            <w:vAlign w:val="center"/>
          </w:tcPr>
          <w:p w14:paraId="7BDD1321" w14:textId="77777777" w:rsidR="004A0123" w:rsidRPr="000D3D0C" w:rsidRDefault="004A0123" w:rsidP="008A5C11">
            <w:pPr>
              <w:jc w:val="center"/>
              <w:rPr>
                <w:color w:val="000000"/>
                <w:sz w:val="13"/>
                <w:szCs w:val="13"/>
              </w:rPr>
            </w:pPr>
            <w:r w:rsidRPr="000D3D0C">
              <w:rPr>
                <w:color w:val="000000"/>
                <w:sz w:val="13"/>
                <w:szCs w:val="13"/>
              </w:rPr>
              <w:t>2023</w:t>
            </w:r>
          </w:p>
        </w:tc>
        <w:tc>
          <w:tcPr>
            <w:tcW w:w="186" w:type="pct"/>
            <w:tcBorders>
              <w:top w:val="nil"/>
              <w:left w:val="nil"/>
              <w:bottom w:val="single" w:sz="4" w:space="0" w:color="auto"/>
              <w:right w:val="single" w:sz="4" w:space="0" w:color="auto"/>
            </w:tcBorders>
            <w:shd w:val="clear" w:color="auto" w:fill="auto"/>
            <w:vAlign w:val="center"/>
          </w:tcPr>
          <w:p w14:paraId="6B33C735" w14:textId="77777777" w:rsidR="004A0123" w:rsidRPr="000D3D0C" w:rsidRDefault="004A0123" w:rsidP="008A5C11">
            <w:pPr>
              <w:jc w:val="center"/>
              <w:rPr>
                <w:color w:val="000000"/>
                <w:sz w:val="13"/>
                <w:szCs w:val="13"/>
              </w:rPr>
            </w:pPr>
            <w:r w:rsidRPr="000D3D0C">
              <w:rPr>
                <w:color w:val="000000"/>
                <w:sz w:val="13"/>
                <w:szCs w:val="13"/>
              </w:rPr>
              <w:t>2023</w:t>
            </w:r>
          </w:p>
        </w:tc>
        <w:tc>
          <w:tcPr>
            <w:tcW w:w="186" w:type="pct"/>
            <w:tcBorders>
              <w:top w:val="nil"/>
              <w:left w:val="nil"/>
              <w:bottom w:val="single" w:sz="4" w:space="0" w:color="auto"/>
              <w:right w:val="single" w:sz="4" w:space="0" w:color="auto"/>
            </w:tcBorders>
            <w:shd w:val="clear" w:color="auto" w:fill="auto"/>
            <w:vAlign w:val="center"/>
          </w:tcPr>
          <w:p w14:paraId="3C6E1D96" w14:textId="77777777" w:rsidR="004A0123" w:rsidRPr="000D3D0C" w:rsidRDefault="004A0123" w:rsidP="008A5C11">
            <w:pPr>
              <w:jc w:val="center"/>
              <w:rPr>
                <w:color w:val="000000"/>
                <w:sz w:val="13"/>
                <w:szCs w:val="13"/>
              </w:rPr>
            </w:pPr>
            <w:r w:rsidRPr="000D3D0C">
              <w:rPr>
                <w:color w:val="000000"/>
                <w:sz w:val="13"/>
                <w:szCs w:val="13"/>
              </w:rPr>
              <w:t>12770</w:t>
            </w:r>
          </w:p>
        </w:tc>
        <w:tc>
          <w:tcPr>
            <w:tcW w:w="186" w:type="pct"/>
            <w:tcBorders>
              <w:top w:val="nil"/>
              <w:left w:val="nil"/>
              <w:bottom w:val="single" w:sz="4" w:space="0" w:color="auto"/>
              <w:right w:val="single" w:sz="4" w:space="0" w:color="auto"/>
            </w:tcBorders>
            <w:shd w:val="clear" w:color="auto" w:fill="auto"/>
            <w:vAlign w:val="center"/>
          </w:tcPr>
          <w:p w14:paraId="6771DB88" w14:textId="77777777" w:rsidR="004A0123" w:rsidRPr="000D3D0C" w:rsidRDefault="004A0123" w:rsidP="008A5C11">
            <w:pPr>
              <w:jc w:val="center"/>
              <w:rPr>
                <w:sz w:val="13"/>
                <w:szCs w:val="13"/>
              </w:rPr>
            </w:pPr>
            <w:r w:rsidRPr="000D3D0C">
              <w:rPr>
                <w:sz w:val="13"/>
                <w:szCs w:val="13"/>
              </w:rPr>
              <w:t>0</w:t>
            </w:r>
          </w:p>
        </w:tc>
        <w:tc>
          <w:tcPr>
            <w:tcW w:w="145" w:type="pct"/>
            <w:tcBorders>
              <w:top w:val="nil"/>
              <w:left w:val="single" w:sz="4" w:space="0" w:color="auto"/>
              <w:bottom w:val="single" w:sz="4" w:space="0" w:color="auto"/>
              <w:right w:val="single" w:sz="4" w:space="0" w:color="auto"/>
            </w:tcBorders>
            <w:shd w:val="clear" w:color="auto" w:fill="auto"/>
            <w:vAlign w:val="center"/>
          </w:tcPr>
          <w:p w14:paraId="15FFDAA8" w14:textId="77777777" w:rsidR="004A0123" w:rsidRPr="000D3D0C" w:rsidRDefault="004A0123" w:rsidP="008A5C11">
            <w:pPr>
              <w:jc w:val="center"/>
              <w:rPr>
                <w:sz w:val="13"/>
                <w:szCs w:val="13"/>
              </w:rPr>
            </w:pPr>
            <w:r w:rsidRPr="000D3D0C">
              <w:rPr>
                <w:sz w:val="13"/>
                <w:szCs w:val="13"/>
              </w:rPr>
              <w:t>0</w:t>
            </w:r>
          </w:p>
        </w:tc>
        <w:tc>
          <w:tcPr>
            <w:tcW w:w="148" w:type="pct"/>
            <w:tcBorders>
              <w:top w:val="nil"/>
              <w:left w:val="nil"/>
              <w:bottom w:val="single" w:sz="4" w:space="0" w:color="auto"/>
              <w:right w:val="single" w:sz="4" w:space="0" w:color="auto"/>
            </w:tcBorders>
            <w:shd w:val="clear" w:color="auto" w:fill="auto"/>
            <w:vAlign w:val="center"/>
          </w:tcPr>
          <w:p w14:paraId="1374283D" w14:textId="77777777" w:rsidR="004A0123" w:rsidRPr="000D3D0C" w:rsidRDefault="004A0123" w:rsidP="008A5C11">
            <w:pPr>
              <w:jc w:val="center"/>
              <w:rPr>
                <w:sz w:val="13"/>
                <w:szCs w:val="13"/>
              </w:rPr>
            </w:pPr>
            <w:r w:rsidRPr="000D3D0C">
              <w:rPr>
                <w:sz w:val="13"/>
                <w:szCs w:val="13"/>
              </w:rPr>
              <w:t>0</w:t>
            </w:r>
          </w:p>
        </w:tc>
        <w:tc>
          <w:tcPr>
            <w:tcW w:w="181" w:type="pct"/>
            <w:tcBorders>
              <w:top w:val="nil"/>
              <w:left w:val="nil"/>
              <w:bottom w:val="single" w:sz="4" w:space="0" w:color="auto"/>
              <w:right w:val="single" w:sz="4" w:space="0" w:color="auto"/>
            </w:tcBorders>
            <w:shd w:val="clear" w:color="auto" w:fill="auto"/>
            <w:vAlign w:val="center"/>
          </w:tcPr>
          <w:p w14:paraId="6A387164" w14:textId="77777777" w:rsidR="004A0123" w:rsidRPr="000D3D0C" w:rsidRDefault="004A0123" w:rsidP="008A5C11">
            <w:pPr>
              <w:jc w:val="center"/>
              <w:rPr>
                <w:sz w:val="13"/>
                <w:szCs w:val="13"/>
              </w:rPr>
            </w:pPr>
            <w:r w:rsidRPr="000D3D0C">
              <w:rPr>
                <w:sz w:val="13"/>
                <w:szCs w:val="13"/>
              </w:rPr>
              <w:t>12770</w:t>
            </w:r>
          </w:p>
        </w:tc>
        <w:tc>
          <w:tcPr>
            <w:tcW w:w="181" w:type="pct"/>
            <w:tcBorders>
              <w:top w:val="nil"/>
              <w:left w:val="nil"/>
              <w:bottom w:val="single" w:sz="4" w:space="0" w:color="auto"/>
              <w:right w:val="single" w:sz="4" w:space="0" w:color="auto"/>
            </w:tcBorders>
            <w:shd w:val="clear" w:color="auto" w:fill="auto"/>
            <w:vAlign w:val="center"/>
          </w:tcPr>
          <w:p w14:paraId="1263033D" w14:textId="77777777" w:rsidR="004A0123" w:rsidRPr="000D3D0C" w:rsidRDefault="004A0123" w:rsidP="008A5C11">
            <w:pPr>
              <w:jc w:val="center"/>
              <w:rPr>
                <w:sz w:val="13"/>
                <w:szCs w:val="13"/>
              </w:rPr>
            </w:pPr>
            <w:r w:rsidRPr="000D3D0C">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7B8002F0" w14:textId="77777777" w:rsidR="004A0123" w:rsidRPr="000D3D0C" w:rsidRDefault="004A0123" w:rsidP="008A5C11">
            <w:pPr>
              <w:jc w:val="center"/>
              <w:rPr>
                <w:sz w:val="13"/>
                <w:szCs w:val="13"/>
              </w:rPr>
            </w:pPr>
            <w:r w:rsidRPr="000D3D0C">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78FDB1D6" w14:textId="77777777" w:rsidR="004A0123" w:rsidRPr="000D3D0C" w:rsidRDefault="004A0123" w:rsidP="008A5C11">
            <w:pPr>
              <w:jc w:val="center"/>
              <w:rPr>
                <w:sz w:val="13"/>
                <w:szCs w:val="13"/>
              </w:rPr>
            </w:pPr>
            <w:r w:rsidRPr="000D3D0C">
              <w:rPr>
                <w:sz w:val="13"/>
                <w:szCs w:val="13"/>
              </w:rPr>
              <w:t>0</w:t>
            </w:r>
          </w:p>
        </w:tc>
        <w:tc>
          <w:tcPr>
            <w:tcW w:w="158" w:type="pct"/>
            <w:tcBorders>
              <w:top w:val="single" w:sz="4" w:space="0" w:color="auto"/>
              <w:left w:val="single" w:sz="4" w:space="0" w:color="auto"/>
              <w:bottom w:val="single" w:sz="4" w:space="0" w:color="auto"/>
              <w:right w:val="single" w:sz="4" w:space="0" w:color="auto"/>
            </w:tcBorders>
            <w:vAlign w:val="center"/>
          </w:tcPr>
          <w:p w14:paraId="379C5A4D" w14:textId="77777777" w:rsidR="004A0123" w:rsidRPr="000D3D0C" w:rsidRDefault="004A0123" w:rsidP="008A5C11">
            <w:pPr>
              <w:jc w:val="center"/>
              <w:rPr>
                <w:sz w:val="13"/>
                <w:szCs w:val="13"/>
              </w:rPr>
            </w:pPr>
            <w:r w:rsidRPr="000D3D0C">
              <w:rPr>
                <w:sz w:val="13"/>
                <w:szCs w:val="13"/>
              </w:rPr>
              <w:t>0</w:t>
            </w:r>
          </w:p>
        </w:tc>
        <w:tc>
          <w:tcPr>
            <w:tcW w:w="172" w:type="pct"/>
            <w:tcBorders>
              <w:top w:val="single" w:sz="4" w:space="0" w:color="auto"/>
              <w:left w:val="single" w:sz="4" w:space="0" w:color="auto"/>
              <w:bottom w:val="single" w:sz="4" w:space="0" w:color="auto"/>
              <w:right w:val="single" w:sz="4" w:space="0" w:color="auto"/>
            </w:tcBorders>
            <w:vAlign w:val="center"/>
          </w:tcPr>
          <w:p w14:paraId="044103AF" w14:textId="77777777" w:rsidR="004A0123" w:rsidRPr="000D3D0C" w:rsidRDefault="004A0123" w:rsidP="008A5C11">
            <w:pPr>
              <w:jc w:val="center"/>
              <w:rPr>
                <w:sz w:val="13"/>
                <w:szCs w:val="13"/>
              </w:rPr>
            </w:pPr>
            <w:r w:rsidRPr="000D3D0C">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4D36FD88" w14:textId="77777777" w:rsidR="004A0123" w:rsidRPr="000D3D0C" w:rsidRDefault="004A0123" w:rsidP="008A5C11">
            <w:pPr>
              <w:jc w:val="center"/>
              <w:rPr>
                <w:sz w:val="13"/>
                <w:szCs w:val="13"/>
              </w:rPr>
            </w:pPr>
            <w:r w:rsidRPr="000D3D0C">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51A923A5" w14:textId="77777777" w:rsidR="004A0123" w:rsidRPr="000D3D0C" w:rsidRDefault="004A0123" w:rsidP="008A5C11">
            <w:pPr>
              <w:jc w:val="center"/>
              <w:rPr>
                <w:sz w:val="13"/>
                <w:szCs w:val="13"/>
              </w:rPr>
            </w:pPr>
            <w:r w:rsidRPr="000D3D0C">
              <w:rPr>
                <w:sz w:val="13"/>
                <w:szCs w:val="13"/>
              </w:rPr>
              <w:t>0</w:t>
            </w:r>
          </w:p>
        </w:tc>
        <w:tc>
          <w:tcPr>
            <w:tcW w:w="181" w:type="pct"/>
            <w:tcBorders>
              <w:top w:val="single" w:sz="4" w:space="0" w:color="auto"/>
              <w:left w:val="single" w:sz="4" w:space="0" w:color="auto"/>
              <w:bottom w:val="single" w:sz="4" w:space="0" w:color="auto"/>
              <w:right w:val="single" w:sz="4" w:space="0" w:color="auto"/>
            </w:tcBorders>
            <w:vAlign w:val="center"/>
          </w:tcPr>
          <w:p w14:paraId="60C95797" w14:textId="77777777" w:rsidR="004A0123" w:rsidRPr="000D3D0C" w:rsidRDefault="004A0123" w:rsidP="008A5C11">
            <w:pPr>
              <w:jc w:val="center"/>
              <w:rPr>
                <w:sz w:val="13"/>
                <w:szCs w:val="13"/>
              </w:rPr>
            </w:pPr>
            <w:r w:rsidRPr="000D3D0C">
              <w:rPr>
                <w:sz w:val="13"/>
                <w:szCs w:val="13"/>
              </w:rPr>
              <w:t>0</w:t>
            </w:r>
          </w:p>
        </w:tc>
        <w:tc>
          <w:tcPr>
            <w:tcW w:w="178" w:type="pct"/>
            <w:tcBorders>
              <w:top w:val="single" w:sz="4" w:space="0" w:color="auto"/>
              <w:left w:val="single" w:sz="4" w:space="0" w:color="auto"/>
              <w:bottom w:val="single" w:sz="4" w:space="0" w:color="auto"/>
              <w:right w:val="single" w:sz="4" w:space="0" w:color="auto"/>
            </w:tcBorders>
            <w:vAlign w:val="center"/>
          </w:tcPr>
          <w:p w14:paraId="27323637" w14:textId="77777777" w:rsidR="004A0123" w:rsidRPr="000D3D0C" w:rsidRDefault="004A0123" w:rsidP="008A5C11">
            <w:pPr>
              <w:jc w:val="center"/>
              <w:rPr>
                <w:sz w:val="13"/>
                <w:szCs w:val="13"/>
              </w:rPr>
            </w:pPr>
            <w:r w:rsidRPr="000D3D0C">
              <w:rPr>
                <w:sz w:val="13"/>
                <w:szCs w:val="13"/>
              </w:rPr>
              <w:t>0</w:t>
            </w:r>
          </w:p>
        </w:tc>
      </w:tr>
      <w:tr w:rsidR="004A0123" w:rsidRPr="000D3D0C" w14:paraId="23249137" w14:textId="77777777" w:rsidTr="008A5C11">
        <w:trPr>
          <w:trHeight w:val="64"/>
        </w:trPr>
        <w:tc>
          <w:tcPr>
            <w:tcW w:w="147" w:type="pct"/>
            <w:tcBorders>
              <w:bottom w:val="single" w:sz="4" w:space="0" w:color="auto"/>
            </w:tcBorders>
            <w:shd w:val="clear" w:color="auto" w:fill="auto"/>
            <w:vAlign w:val="center"/>
          </w:tcPr>
          <w:p w14:paraId="3359842E" w14:textId="77777777" w:rsidR="004A0123" w:rsidRPr="000D3D0C" w:rsidRDefault="004A0123" w:rsidP="008A5C11">
            <w:pPr>
              <w:jc w:val="center"/>
              <w:rPr>
                <w:sz w:val="13"/>
                <w:szCs w:val="13"/>
              </w:rPr>
            </w:pPr>
            <w:r w:rsidRPr="000D3D0C">
              <w:rPr>
                <w:sz w:val="13"/>
                <w:szCs w:val="13"/>
              </w:rPr>
              <w:t>4.6.</w:t>
            </w: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0C30B015" w14:textId="77777777" w:rsidR="004A0123" w:rsidRPr="000D3D0C" w:rsidRDefault="004A0123" w:rsidP="008A5C11">
            <w:pPr>
              <w:rPr>
                <w:color w:val="000000"/>
                <w:sz w:val="13"/>
                <w:szCs w:val="13"/>
              </w:rPr>
            </w:pPr>
            <w:r w:rsidRPr="000D3D0C">
              <w:rPr>
                <w:color w:val="000000"/>
                <w:sz w:val="13"/>
                <w:szCs w:val="13"/>
              </w:rPr>
              <w:t xml:space="preserve">Мероприятия, направленные на обеспечение требований промышленной безопасности </w:t>
            </w:r>
            <w:proofErr w:type="gramStart"/>
            <w:r w:rsidRPr="000D3D0C">
              <w:rPr>
                <w:color w:val="000000"/>
                <w:sz w:val="13"/>
                <w:szCs w:val="13"/>
              </w:rPr>
              <w:t>при  эксплуатации</w:t>
            </w:r>
            <w:proofErr w:type="gramEnd"/>
            <w:r w:rsidRPr="000D3D0C">
              <w:rPr>
                <w:color w:val="000000"/>
                <w:sz w:val="13"/>
                <w:szCs w:val="13"/>
              </w:rPr>
              <w:t xml:space="preserve"> опасных производственных объектов - ограждения котельных и система видеонаблюдения (все котельные)</w:t>
            </w:r>
          </w:p>
        </w:tc>
        <w:tc>
          <w:tcPr>
            <w:tcW w:w="358" w:type="pct"/>
            <w:tcBorders>
              <w:top w:val="single" w:sz="4" w:space="0" w:color="auto"/>
              <w:left w:val="nil"/>
              <w:bottom w:val="single" w:sz="4" w:space="0" w:color="auto"/>
              <w:right w:val="single" w:sz="4" w:space="0" w:color="auto"/>
            </w:tcBorders>
            <w:shd w:val="clear" w:color="auto" w:fill="auto"/>
            <w:vAlign w:val="center"/>
          </w:tcPr>
          <w:p w14:paraId="42DFC12A" w14:textId="77777777" w:rsidR="004A0123" w:rsidRPr="000D3D0C" w:rsidRDefault="004A0123" w:rsidP="008A5C11">
            <w:pPr>
              <w:jc w:val="center"/>
              <w:rPr>
                <w:color w:val="000000"/>
                <w:sz w:val="13"/>
                <w:szCs w:val="13"/>
              </w:rPr>
            </w:pPr>
            <w:r w:rsidRPr="000D3D0C">
              <w:rPr>
                <w:color w:val="000000"/>
                <w:sz w:val="13"/>
                <w:szCs w:val="13"/>
              </w:rPr>
              <w:t>Повышение эффективности работы систем</w:t>
            </w:r>
          </w:p>
        </w:tc>
        <w:tc>
          <w:tcPr>
            <w:tcW w:w="389" w:type="pct"/>
            <w:tcBorders>
              <w:top w:val="single" w:sz="4" w:space="0" w:color="auto"/>
              <w:left w:val="nil"/>
              <w:bottom w:val="single" w:sz="4" w:space="0" w:color="auto"/>
              <w:right w:val="single" w:sz="4" w:space="0" w:color="auto"/>
            </w:tcBorders>
            <w:shd w:val="clear" w:color="auto" w:fill="auto"/>
            <w:vAlign w:val="center"/>
          </w:tcPr>
          <w:p w14:paraId="1D023031" w14:textId="77777777" w:rsidR="004A0123" w:rsidRPr="000D3D0C" w:rsidRDefault="004A0123" w:rsidP="008A5C11">
            <w:pPr>
              <w:jc w:val="center"/>
              <w:rPr>
                <w:color w:val="000000"/>
                <w:sz w:val="13"/>
                <w:szCs w:val="13"/>
              </w:rPr>
            </w:pPr>
            <w:r w:rsidRPr="000D3D0C">
              <w:rPr>
                <w:color w:val="000000"/>
                <w:sz w:val="13"/>
                <w:szCs w:val="13"/>
              </w:rPr>
              <w:t>Тайгинский городской округ</w:t>
            </w:r>
          </w:p>
        </w:tc>
        <w:tc>
          <w:tcPr>
            <w:tcW w:w="336" w:type="pct"/>
            <w:tcBorders>
              <w:top w:val="single" w:sz="4" w:space="0" w:color="auto"/>
              <w:left w:val="nil"/>
              <w:bottom w:val="single" w:sz="4" w:space="0" w:color="auto"/>
              <w:right w:val="single" w:sz="4" w:space="0" w:color="auto"/>
            </w:tcBorders>
            <w:shd w:val="clear" w:color="auto" w:fill="auto"/>
            <w:vAlign w:val="center"/>
          </w:tcPr>
          <w:p w14:paraId="77FF89A9" w14:textId="77777777" w:rsidR="004A0123" w:rsidRPr="000D3D0C" w:rsidRDefault="004A0123" w:rsidP="008A5C11">
            <w:pPr>
              <w:jc w:val="center"/>
              <w:rPr>
                <w:color w:val="000000"/>
                <w:sz w:val="13"/>
                <w:szCs w:val="13"/>
              </w:rPr>
            </w:pPr>
            <w:r w:rsidRPr="000D3D0C">
              <w:rPr>
                <w:color w:val="000000"/>
                <w:sz w:val="13"/>
                <w:szCs w:val="13"/>
              </w:rPr>
              <w:t>Количество</w:t>
            </w:r>
          </w:p>
        </w:tc>
        <w:tc>
          <w:tcPr>
            <w:tcW w:w="133" w:type="pct"/>
            <w:tcBorders>
              <w:top w:val="single" w:sz="4" w:space="0" w:color="auto"/>
              <w:left w:val="nil"/>
              <w:bottom w:val="single" w:sz="4" w:space="0" w:color="auto"/>
              <w:right w:val="single" w:sz="4" w:space="0" w:color="auto"/>
            </w:tcBorders>
            <w:shd w:val="clear" w:color="auto" w:fill="auto"/>
            <w:vAlign w:val="center"/>
          </w:tcPr>
          <w:p w14:paraId="21510BA3" w14:textId="77777777" w:rsidR="004A0123" w:rsidRPr="000D3D0C" w:rsidRDefault="004A0123" w:rsidP="008A5C11">
            <w:pPr>
              <w:jc w:val="center"/>
              <w:rPr>
                <w:color w:val="000000"/>
                <w:sz w:val="13"/>
                <w:szCs w:val="13"/>
              </w:rPr>
            </w:pPr>
            <w:r w:rsidRPr="000D3D0C">
              <w:rPr>
                <w:color w:val="000000"/>
                <w:sz w:val="13"/>
                <w:szCs w:val="13"/>
              </w:rPr>
              <w:t>ед.</w:t>
            </w:r>
          </w:p>
        </w:tc>
        <w:tc>
          <w:tcPr>
            <w:tcW w:w="180" w:type="pct"/>
            <w:tcBorders>
              <w:top w:val="single" w:sz="4" w:space="0" w:color="auto"/>
              <w:left w:val="single" w:sz="4" w:space="0" w:color="auto"/>
              <w:bottom w:val="single" w:sz="4" w:space="0" w:color="auto"/>
              <w:right w:val="single" w:sz="4" w:space="0" w:color="auto"/>
            </w:tcBorders>
            <w:shd w:val="clear" w:color="auto" w:fill="auto"/>
            <w:vAlign w:val="center"/>
          </w:tcPr>
          <w:p w14:paraId="3D382DC7" w14:textId="77777777" w:rsidR="004A0123" w:rsidRPr="000D3D0C" w:rsidRDefault="004A0123" w:rsidP="008A5C11">
            <w:pPr>
              <w:jc w:val="center"/>
              <w:rPr>
                <w:color w:val="000000"/>
                <w:sz w:val="13"/>
                <w:szCs w:val="13"/>
              </w:rPr>
            </w:pPr>
            <w:r w:rsidRPr="000D3D0C">
              <w:rPr>
                <w:color w:val="000000"/>
                <w:sz w:val="13"/>
                <w:szCs w:val="13"/>
              </w:rPr>
              <w:t>0</w:t>
            </w:r>
          </w:p>
        </w:tc>
        <w:tc>
          <w:tcPr>
            <w:tcW w:w="176" w:type="pct"/>
            <w:tcBorders>
              <w:top w:val="single" w:sz="4" w:space="0" w:color="auto"/>
              <w:left w:val="nil"/>
              <w:bottom w:val="single" w:sz="4" w:space="0" w:color="auto"/>
              <w:right w:val="single" w:sz="4" w:space="0" w:color="auto"/>
            </w:tcBorders>
            <w:shd w:val="clear" w:color="auto" w:fill="auto"/>
            <w:vAlign w:val="center"/>
          </w:tcPr>
          <w:p w14:paraId="2F4102A9" w14:textId="77777777" w:rsidR="004A0123" w:rsidRPr="000D3D0C" w:rsidRDefault="004A0123" w:rsidP="008A5C11">
            <w:pPr>
              <w:jc w:val="center"/>
              <w:rPr>
                <w:color w:val="000000"/>
                <w:sz w:val="13"/>
                <w:szCs w:val="13"/>
              </w:rPr>
            </w:pPr>
            <w:r w:rsidRPr="000D3D0C">
              <w:rPr>
                <w:color w:val="000000"/>
                <w:sz w:val="13"/>
                <w:szCs w:val="13"/>
              </w:rPr>
              <w:t>6</w:t>
            </w:r>
          </w:p>
        </w:tc>
        <w:tc>
          <w:tcPr>
            <w:tcW w:w="188" w:type="pct"/>
            <w:tcBorders>
              <w:top w:val="single" w:sz="4" w:space="0" w:color="auto"/>
              <w:left w:val="nil"/>
              <w:bottom w:val="single" w:sz="4" w:space="0" w:color="auto"/>
              <w:right w:val="single" w:sz="4" w:space="0" w:color="auto"/>
            </w:tcBorders>
            <w:shd w:val="clear" w:color="auto" w:fill="auto"/>
            <w:vAlign w:val="center"/>
          </w:tcPr>
          <w:p w14:paraId="6C0FDF4A" w14:textId="77777777" w:rsidR="004A0123" w:rsidRPr="000D3D0C" w:rsidRDefault="004A0123" w:rsidP="008A5C11">
            <w:pPr>
              <w:jc w:val="center"/>
              <w:rPr>
                <w:color w:val="000000"/>
                <w:sz w:val="13"/>
                <w:szCs w:val="13"/>
              </w:rPr>
            </w:pPr>
            <w:r w:rsidRPr="000D3D0C">
              <w:rPr>
                <w:color w:val="000000"/>
                <w:sz w:val="13"/>
                <w:szCs w:val="13"/>
              </w:rPr>
              <w:t>2025</w:t>
            </w:r>
          </w:p>
        </w:tc>
        <w:tc>
          <w:tcPr>
            <w:tcW w:w="186" w:type="pct"/>
            <w:tcBorders>
              <w:top w:val="single" w:sz="4" w:space="0" w:color="auto"/>
              <w:left w:val="nil"/>
              <w:bottom w:val="single" w:sz="4" w:space="0" w:color="auto"/>
              <w:right w:val="single" w:sz="4" w:space="0" w:color="auto"/>
            </w:tcBorders>
            <w:shd w:val="clear" w:color="auto" w:fill="auto"/>
            <w:vAlign w:val="center"/>
          </w:tcPr>
          <w:p w14:paraId="37F6082E" w14:textId="77777777" w:rsidR="004A0123" w:rsidRPr="000D3D0C" w:rsidRDefault="004A0123" w:rsidP="008A5C11">
            <w:pPr>
              <w:jc w:val="center"/>
              <w:rPr>
                <w:color w:val="000000"/>
                <w:sz w:val="13"/>
                <w:szCs w:val="13"/>
              </w:rPr>
            </w:pPr>
            <w:r w:rsidRPr="000D3D0C">
              <w:rPr>
                <w:color w:val="000000"/>
                <w:sz w:val="13"/>
                <w:szCs w:val="13"/>
              </w:rPr>
              <w:t>2025</w:t>
            </w:r>
          </w:p>
        </w:tc>
        <w:tc>
          <w:tcPr>
            <w:tcW w:w="186" w:type="pct"/>
            <w:tcBorders>
              <w:top w:val="single" w:sz="4" w:space="0" w:color="auto"/>
              <w:left w:val="nil"/>
              <w:bottom w:val="single" w:sz="4" w:space="0" w:color="auto"/>
              <w:right w:val="single" w:sz="4" w:space="0" w:color="auto"/>
            </w:tcBorders>
            <w:shd w:val="clear" w:color="auto" w:fill="auto"/>
            <w:vAlign w:val="center"/>
          </w:tcPr>
          <w:p w14:paraId="74A48E92" w14:textId="77777777" w:rsidR="004A0123" w:rsidRPr="000D3D0C" w:rsidRDefault="004A0123" w:rsidP="008A5C11">
            <w:pPr>
              <w:jc w:val="center"/>
              <w:rPr>
                <w:color w:val="000000"/>
                <w:sz w:val="13"/>
                <w:szCs w:val="13"/>
              </w:rPr>
            </w:pPr>
            <w:r w:rsidRPr="000D3D0C">
              <w:rPr>
                <w:color w:val="000000"/>
                <w:sz w:val="13"/>
                <w:szCs w:val="13"/>
              </w:rPr>
              <w:t>5982</w:t>
            </w:r>
          </w:p>
        </w:tc>
        <w:tc>
          <w:tcPr>
            <w:tcW w:w="186" w:type="pct"/>
            <w:tcBorders>
              <w:top w:val="single" w:sz="4" w:space="0" w:color="auto"/>
              <w:left w:val="nil"/>
              <w:bottom w:val="single" w:sz="4" w:space="0" w:color="auto"/>
              <w:right w:val="single" w:sz="4" w:space="0" w:color="auto"/>
            </w:tcBorders>
            <w:shd w:val="clear" w:color="auto" w:fill="auto"/>
            <w:vAlign w:val="center"/>
          </w:tcPr>
          <w:p w14:paraId="67FE6A47" w14:textId="77777777" w:rsidR="004A0123" w:rsidRPr="000D3D0C" w:rsidRDefault="004A0123" w:rsidP="008A5C11">
            <w:pPr>
              <w:jc w:val="center"/>
              <w:rPr>
                <w:sz w:val="13"/>
                <w:szCs w:val="13"/>
              </w:rPr>
            </w:pPr>
            <w:r w:rsidRPr="000D3D0C">
              <w:rPr>
                <w:sz w:val="13"/>
                <w:szCs w:val="13"/>
              </w:rPr>
              <w:t>0</w:t>
            </w:r>
          </w:p>
        </w:tc>
        <w:tc>
          <w:tcPr>
            <w:tcW w:w="145" w:type="pct"/>
            <w:tcBorders>
              <w:top w:val="single" w:sz="4" w:space="0" w:color="auto"/>
              <w:left w:val="single" w:sz="4" w:space="0" w:color="auto"/>
              <w:bottom w:val="single" w:sz="4" w:space="0" w:color="auto"/>
              <w:right w:val="single" w:sz="4" w:space="0" w:color="auto"/>
            </w:tcBorders>
            <w:shd w:val="clear" w:color="auto" w:fill="auto"/>
            <w:vAlign w:val="center"/>
          </w:tcPr>
          <w:p w14:paraId="26400DB8" w14:textId="77777777" w:rsidR="004A0123" w:rsidRPr="000D3D0C" w:rsidRDefault="004A0123" w:rsidP="008A5C11">
            <w:pPr>
              <w:jc w:val="center"/>
              <w:rPr>
                <w:sz w:val="13"/>
                <w:szCs w:val="13"/>
              </w:rPr>
            </w:pPr>
            <w:r w:rsidRPr="000D3D0C">
              <w:rPr>
                <w:sz w:val="13"/>
                <w:szCs w:val="13"/>
              </w:rPr>
              <w:t>0</w:t>
            </w:r>
          </w:p>
        </w:tc>
        <w:tc>
          <w:tcPr>
            <w:tcW w:w="148" w:type="pct"/>
            <w:tcBorders>
              <w:top w:val="single" w:sz="4" w:space="0" w:color="auto"/>
              <w:left w:val="nil"/>
              <w:bottom w:val="single" w:sz="4" w:space="0" w:color="auto"/>
              <w:right w:val="single" w:sz="4" w:space="0" w:color="auto"/>
            </w:tcBorders>
            <w:shd w:val="clear" w:color="auto" w:fill="auto"/>
            <w:vAlign w:val="center"/>
          </w:tcPr>
          <w:p w14:paraId="025B2337" w14:textId="77777777" w:rsidR="004A0123" w:rsidRPr="000D3D0C" w:rsidRDefault="004A0123" w:rsidP="008A5C11">
            <w:pPr>
              <w:jc w:val="center"/>
              <w:rPr>
                <w:sz w:val="13"/>
                <w:szCs w:val="13"/>
              </w:rPr>
            </w:pPr>
            <w:r w:rsidRPr="000D3D0C">
              <w:rPr>
                <w:sz w:val="13"/>
                <w:szCs w:val="13"/>
              </w:rPr>
              <w:t>0</w:t>
            </w:r>
          </w:p>
        </w:tc>
        <w:tc>
          <w:tcPr>
            <w:tcW w:w="181" w:type="pct"/>
            <w:tcBorders>
              <w:top w:val="single" w:sz="4" w:space="0" w:color="auto"/>
              <w:left w:val="nil"/>
              <w:bottom w:val="single" w:sz="4" w:space="0" w:color="auto"/>
              <w:right w:val="single" w:sz="4" w:space="0" w:color="auto"/>
            </w:tcBorders>
            <w:shd w:val="clear" w:color="auto" w:fill="auto"/>
            <w:vAlign w:val="center"/>
          </w:tcPr>
          <w:p w14:paraId="7D62A083" w14:textId="77777777" w:rsidR="004A0123" w:rsidRPr="000D3D0C" w:rsidRDefault="004A0123" w:rsidP="008A5C11">
            <w:pPr>
              <w:jc w:val="center"/>
              <w:rPr>
                <w:sz w:val="13"/>
                <w:szCs w:val="13"/>
              </w:rPr>
            </w:pPr>
            <w:r w:rsidRPr="000D3D0C">
              <w:rPr>
                <w:sz w:val="13"/>
                <w:szCs w:val="13"/>
              </w:rPr>
              <w:t>0</w:t>
            </w:r>
          </w:p>
        </w:tc>
        <w:tc>
          <w:tcPr>
            <w:tcW w:w="181" w:type="pct"/>
            <w:tcBorders>
              <w:top w:val="single" w:sz="4" w:space="0" w:color="auto"/>
              <w:left w:val="nil"/>
              <w:bottom w:val="single" w:sz="4" w:space="0" w:color="auto"/>
              <w:right w:val="single" w:sz="4" w:space="0" w:color="auto"/>
            </w:tcBorders>
            <w:shd w:val="clear" w:color="auto" w:fill="auto"/>
            <w:vAlign w:val="center"/>
          </w:tcPr>
          <w:p w14:paraId="4BB4AFE3" w14:textId="77777777" w:rsidR="004A0123" w:rsidRPr="000D3D0C" w:rsidRDefault="004A0123" w:rsidP="008A5C11">
            <w:pPr>
              <w:jc w:val="center"/>
              <w:rPr>
                <w:sz w:val="13"/>
                <w:szCs w:val="13"/>
              </w:rPr>
            </w:pPr>
            <w:r w:rsidRPr="000D3D0C">
              <w:rPr>
                <w:sz w:val="13"/>
                <w:szCs w:val="13"/>
              </w:rPr>
              <w:t>0</w:t>
            </w:r>
          </w:p>
        </w:tc>
        <w:tc>
          <w:tcPr>
            <w:tcW w:w="153" w:type="pct"/>
            <w:tcBorders>
              <w:top w:val="single" w:sz="4" w:space="0" w:color="auto"/>
              <w:left w:val="single" w:sz="4" w:space="0" w:color="auto"/>
              <w:bottom w:val="single" w:sz="4" w:space="0" w:color="auto"/>
              <w:right w:val="single" w:sz="4" w:space="0" w:color="auto"/>
            </w:tcBorders>
            <w:vAlign w:val="center"/>
          </w:tcPr>
          <w:p w14:paraId="6DCC7067" w14:textId="77777777" w:rsidR="004A0123" w:rsidRPr="000D3D0C" w:rsidRDefault="004A0123" w:rsidP="008A5C11">
            <w:pPr>
              <w:jc w:val="center"/>
              <w:rPr>
                <w:sz w:val="13"/>
                <w:szCs w:val="13"/>
              </w:rPr>
            </w:pPr>
            <w:r w:rsidRPr="000D3D0C">
              <w:rPr>
                <w:sz w:val="13"/>
                <w:szCs w:val="13"/>
              </w:rPr>
              <w:t>5982</w:t>
            </w:r>
          </w:p>
        </w:tc>
        <w:tc>
          <w:tcPr>
            <w:tcW w:w="153" w:type="pct"/>
            <w:tcBorders>
              <w:top w:val="single" w:sz="4" w:space="0" w:color="auto"/>
              <w:left w:val="single" w:sz="4" w:space="0" w:color="auto"/>
              <w:bottom w:val="single" w:sz="4" w:space="0" w:color="auto"/>
              <w:right w:val="single" w:sz="4" w:space="0" w:color="auto"/>
            </w:tcBorders>
            <w:vAlign w:val="center"/>
          </w:tcPr>
          <w:p w14:paraId="5701108F" w14:textId="77777777" w:rsidR="004A0123" w:rsidRPr="000D3D0C" w:rsidRDefault="004A0123" w:rsidP="008A5C11">
            <w:pPr>
              <w:jc w:val="center"/>
              <w:rPr>
                <w:sz w:val="13"/>
                <w:szCs w:val="13"/>
              </w:rPr>
            </w:pPr>
            <w:r w:rsidRPr="000D3D0C">
              <w:rPr>
                <w:sz w:val="13"/>
                <w:szCs w:val="13"/>
              </w:rPr>
              <w:t>0</w:t>
            </w:r>
          </w:p>
        </w:tc>
        <w:tc>
          <w:tcPr>
            <w:tcW w:w="158" w:type="pct"/>
            <w:tcBorders>
              <w:top w:val="single" w:sz="4" w:space="0" w:color="auto"/>
              <w:left w:val="single" w:sz="4" w:space="0" w:color="auto"/>
              <w:bottom w:val="single" w:sz="4" w:space="0" w:color="auto"/>
              <w:right w:val="single" w:sz="4" w:space="0" w:color="auto"/>
            </w:tcBorders>
            <w:vAlign w:val="center"/>
          </w:tcPr>
          <w:p w14:paraId="5EE52294" w14:textId="77777777" w:rsidR="004A0123" w:rsidRPr="000D3D0C" w:rsidRDefault="004A0123" w:rsidP="008A5C11">
            <w:pPr>
              <w:jc w:val="center"/>
              <w:rPr>
                <w:sz w:val="13"/>
                <w:szCs w:val="13"/>
              </w:rPr>
            </w:pPr>
            <w:r w:rsidRPr="000D3D0C">
              <w:rPr>
                <w:sz w:val="13"/>
                <w:szCs w:val="13"/>
              </w:rPr>
              <w:t>0</w:t>
            </w:r>
          </w:p>
        </w:tc>
        <w:tc>
          <w:tcPr>
            <w:tcW w:w="172" w:type="pct"/>
            <w:tcBorders>
              <w:top w:val="single" w:sz="4" w:space="0" w:color="auto"/>
              <w:left w:val="single" w:sz="4" w:space="0" w:color="auto"/>
              <w:bottom w:val="single" w:sz="4" w:space="0" w:color="auto"/>
              <w:right w:val="single" w:sz="4" w:space="0" w:color="auto"/>
            </w:tcBorders>
            <w:vAlign w:val="center"/>
          </w:tcPr>
          <w:p w14:paraId="176C5F6F" w14:textId="77777777" w:rsidR="004A0123" w:rsidRPr="000D3D0C" w:rsidRDefault="004A0123" w:rsidP="008A5C11">
            <w:pPr>
              <w:jc w:val="center"/>
              <w:rPr>
                <w:sz w:val="13"/>
                <w:szCs w:val="13"/>
              </w:rPr>
            </w:pPr>
            <w:r w:rsidRPr="000D3D0C">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3395ECBB" w14:textId="77777777" w:rsidR="004A0123" w:rsidRPr="000D3D0C" w:rsidRDefault="004A0123" w:rsidP="008A5C11">
            <w:pPr>
              <w:jc w:val="center"/>
              <w:rPr>
                <w:sz w:val="13"/>
                <w:szCs w:val="13"/>
              </w:rPr>
            </w:pPr>
            <w:r w:rsidRPr="000D3D0C">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19A79FBF" w14:textId="77777777" w:rsidR="004A0123" w:rsidRPr="000D3D0C" w:rsidRDefault="004A0123" w:rsidP="008A5C11">
            <w:pPr>
              <w:jc w:val="center"/>
              <w:rPr>
                <w:sz w:val="13"/>
                <w:szCs w:val="13"/>
              </w:rPr>
            </w:pPr>
            <w:r w:rsidRPr="000D3D0C">
              <w:rPr>
                <w:sz w:val="13"/>
                <w:szCs w:val="13"/>
              </w:rPr>
              <w:t>0</w:t>
            </w:r>
          </w:p>
        </w:tc>
        <w:tc>
          <w:tcPr>
            <w:tcW w:w="181" w:type="pct"/>
            <w:tcBorders>
              <w:top w:val="single" w:sz="4" w:space="0" w:color="auto"/>
              <w:left w:val="single" w:sz="4" w:space="0" w:color="auto"/>
              <w:bottom w:val="single" w:sz="4" w:space="0" w:color="auto"/>
              <w:right w:val="single" w:sz="4" w:space="0" w:color="auto"/>
            </w:tcBorders>
            <w:vAlign w:val="center"/>
          </w:tcPr>
          <w:p w14:paraId="4EA825BF" w14:textId="77777777" w:rsidR="004A0123" w:rsidRPr="000D3D0C" w:rsidRDefault="004A0123" w:rsidP="008A5C11">
            <w:pPr>
              <w:jc w:val="center"/>
              <w:rPr>
                <w:sz w:val="13"/>
                <w:szCs w:val="13"/>
              </w:rPr>
            </w:pPr>
            <w:r w:rsidRPr="000D3D0C">
              <w:rPr>
                <w:sz w:val="13"/>
                <w:szCs w:val="13"/>
              </w:rPr>
              <w:t>0</w:t>
            </w:r>
          </w:p>
        </w:tc>
        <w:tc>
          <w:tcPr>
            <w:tcW w:w="178" w:type="pct"/>
            <w:tcBorders>
              <w:top w:val="single" w:sz="4" w:space="0" w:color="auto"/>
              <w:left w:val="single" w:sz="4" w:space="0" w:color="auto"/>
              <w:bottom w:val="single" w:sz="4" w:space="0" w:color="auto"/>
              <w:right w:val="single" w:sz="4" w:space="0" w:color="auto"/>
            </w:tcBorders>
            <w:vAlign w:val="center"/>
          </w:tcPr>
          <w:p w14:paraId="23BCF58B" w14:textId="77777777" w:rsidR="004A0123" w:rsidRPr="000D3D0C" w:rsidRDefault="004A0123" w:rsidP="008A5C11">
            <w:pPr>
              <w:jc w:val="center"/>
              <w:rPr>
                <w:sz w:val="13"/>
                <w:szCs w:val="13"/>
              </w:rPr>
            </w:pPr>
            <w:r w:rsidRPr="000D3D0C">
              <w:rPr>
                <w:sz w:val="13"/>
                <w:szCs w:val="13"/>
              </w:rPr>
              <w:t>0</w:t>
            </w:r>
          </w:p>
        </w:tc>
      </w:tr>
      <w:tr w:rsidR="004A0123" w:rsidRPr="000D3D0C" w14:paraId="772A2E32" w14:textId="77777777" w:rsidTr="008A5C11">
        <w:trPr>
          <w:trHeight w:val="203"/>
        </w:trPr>
        <w:tc>
          <w:tcPr>
            <w:tcW w:w="2677" w:type="pct"/>
            <w:gridSpan w:val="10"/>
            <w:tcBorders>
              <w:right w:val="single" w:sz="4" w:space="0" w:color="auto"/>
            </w:tcBorders>
            <w:shd w:val="clear" w:color="auto" w:fill="auto"/>
            <w:vAlign w:val="center"/>
          </w:tcPr>
          <w:p w14:paraId="4CE3BBE7" w14:textId="77777777" w:rsidR="004A0123" w:rsidRPr="000D3D0C" w:rsidRDefault="004A0123" w:rsidP="008A5C11">
            <w:pPr>
              <w:rPr>
                <w:sz w:val="13"/>
                <w:szCs w:val="13"/>
              </w:rPr>
            </w:pPr>
            <w:r w:rsidRPr="000D3D0C">
              <w:rPr>
                <w:sz w:val="13"/>
                <w:szCs w:val="13"/>
              </w:rPr>
              <w:t>Всего по группе 4.</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57AC6D59" w14:textId="77777777" w:rsidR="004A0123" w:rsidRPr="000D3D0C" w:rsidRDefault="004A0123" w:rsidP="008A5C11">
            <w:pPr>
              <w:jc w:val="center"/>
              <w:rPr>
                <w:sz w:val="13"/>
                <w:szCs w:val="13"/>
              </w:rPr>
            </w:pPr>
            <w:r w:rsidRPr="000D3D0C">
              <w:rPr>
                <w:sz w:val="13"/>
                <w:szCs w:val="13"/>
              </w:rPr>
              <w:t>78801</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0CEBE6C5" w14:textId="77777777" w:rsidR="004A0123" w:rsidRPr="000D3D0C" w:rsidRDefault="004A0123" w:rsidP="008A5C11">
            <w:pPr>
              <w:jc w:val="center"/>
              <w:rPr>
                <w:sz w:val="13"/>
                <w:szCs w:val="13"/>
              </w:rPr>
            </w:pPr>
            <w:r w:rsidRPr="000D3D0C">
              <w:rPr>
                <w:sz w:val="13"/>
                <w:szCs w:val="13"/>
              </w:rPr>
              <w:t>0</w:t>
            </w:r>
          </w:p>
        </w:tc>
        <w:tc>
          <w:tcPr>
            <w:tcW w:w="145" w:type="pct"/>
            <w:tcBorders>
              <w:top w:val="single" w:sz="4" w:space="0" w:color="auto"/>
              <w:left w:val="single" w:sz="4" w:space="0" w:color="auto"/>
              <w:bottom w:val="single" w:sz="4" w:space="0" w:color="auto"/>
              <w:right w:val="single" w:sz="4" w:space="0" w:color="auto"/>
            </w:tcBorders>
            <w:shd w:val="clear" w:color="auto" w:fill="auto"/>
            <w:vAlign w:val="center"/>
          </w:tcPr>
          <w:p w14:paraId="5100DB92" w14:textId="77777777" w:rsidR="004A0123" w:rsidRPr="000D3D0C" w:rsidRDefault="004A0123" w:rsidP="008A5C11">
            <w:pPr>
              <w:jc w:val="center"/>
              <w:rPr>
                <w:sz w:val="13"/>
                <w:szCs w:val="13"/>
              </w:rPr>
            </w:pPr>
            <w:r w:rsidRPr="000D3D0C">
              <w:rPr>
                <w:sz w:val="13"/>
                <w:szCs w:val="13"/>
              </w:rPr>
              <w:t>5824</w:t>
            </w:r>
          </w:p>
        </w:tc>
        <w:tc>
          <w:tcPr>
            <w:tcW w:w="148" w:type="pct"/>
            <w:tcBorders>
              <w:top w:val="single" w:sz="4" w:space="0" w:color="auto"/>
              <w:left w:val="single" w:sz="4" w:space="0" w:color="auto"/>
              <w:bottom w:val="single" w:sz="4" w:space="0" w:color="auto"/>
              <w:right w:val="single" w:sz="4" w:space="0" w:color="auto"/>
            </w:tcBorders>
            <w:shd w:val="clear" w:color="auto" w:fill="auto"/>
            <w:vAlign w:val="center"/>
          </w:tcPr>
          <w:p w14:paraId="28F45F3C" w14:textId="77777777" w:rsidR="004A0123" w:rsidRPr="000D3D0C" w:rsidRDefault="004A0123" w:rsidP="008A5C11">
            <w:pPr>
              <w:jc w:val="center"/>
              <w:rPr>
                <w:sz w:val="13"/>
                <w:szCs w:val="13"/>
              </w:rPr>
            </w:pPr>
            <w:r w:rsidRPr="000D3D0C">
              <w:rPr>
                <w:sz w:val="13"/>
                <w:szCs w:val="13"/>
              </w:rPr>
              <w:t>14896</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41F6498D" w14:textId="77777777" w:rsidR="004A0123" w:rsidRPr="000D3D0C" w:rsidRDefault="004A0123" w:rsidP="008A5C11">
            <w:pPr>
              <w:jc w:val="center"/>
              <w:rPr>
                <w:sz w:val="13"/>
                <w:szCs w:val="13"/>
              </w:rPr>
            </w:pPr>
            <w:r w:rsidRPr="000D3D0C">
              <w:rPr>
                <w:sz w:val="13"/>
                <w:szCs w:val="13"/>
              </w:rPr>
              <w:t>26114</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20708E60" w14:textId="77777777" w:rsidR="004A0123" w:rsidRPr="000D3D0C" w:rsidRDefault="004A0123" w:rsidP="008A5C11">
            <w:pPr>
              <w:jc w:val="center"/>
              <w:rPr>
                <w:sz w:val="13"/>
                <w:szCs w:val="13"/>
              </w:rPr>
            </w:pPr>
            <w:r w:rsidRPr="000D3D0C">
              <w:rPr>
                <w:sz w:val="13"/>
                <w:szCs w:val="13"/>
              </w:rPr>
              <w:t>25985</w:t>
            </w:r>
          </w:p>
        </w:tc>
        <w:tc>
          <w:tcPr>
            <w:tcW w:w="153" w:type="pct"/>
            <w:tcBorders>
              <w:top w:val="single" w:sz="4" w:space="0" w:color="auto"/>
              <w:left w:val="single" w:sz="4" w:space="0" w:color="auto"/>
              <w:bottom w:val="single" w:sz="4" w:space="0" w:color="auto"/>
              <w:right w:val="single" w:sz="4" w:space="0" w:color="auto"/>
            </w:tcBorders>
            <w:vAlign w:val="center"/>
          </w:tcPr>
          <w:p w14:paraId="1912BEC9" w14:textId="77777777" w:rsidR="004A0123" w:rsidRPr="000D3D0C" w:rsidRDefault="004A0123" w:rsidP="008A5C11">
            <w:pPr>
              <w:jc w:val="center"/>
              <w:rPr>
                <w:sz w:val="13"/>
                <w:szCs w:val="13"/>
              </w:rPr>
            </w:pPr>
            <w:r w:rsidRPr="000D3D0C">
              <w:rPr>
                <w:sz w:val="13"/>
                <w:szCs w:val="13"/>
              </w:rPr>
              <w:t>5982</w:t>
            </w:r>
          </w:p>
        </w:tc>
        <w:tc>
          <w:tcPr>
            <w:tcW w:w="153" w:type="pct"/>
            <w:tcBorders>
              <w:top w:val="single" w:sz="4" w:space="0" w:color="auto"/>
              <w:left w:val="single" w:sz="4" w:space="0" w:color="auto"/>
              <w:bottom w:val="single" w:sz="4" w:space="0" w:color="auto"/>
              <w:right w:val="single" w:sz="4" w:space="0" w:color="auto"/>
            </w:tcBorders>
            <w:vAlign w:val="center"/>
          </w:tcPr>
          <w:p w14:paraId="7F2DEA8D" w14:textId="77777777" w:rsidR="004A0123" w:rsidRPr="000D3D0C" w:rsidRDefault="004A0123" w:rsidP="008A5C11">
            <w:pPr>
              <w:jc w:val="center"/>
              <w:rPr>
                <w:sz w:val="13"/>
                <w:szCs w:val="13"/>
              </w:rPr>
            </w:pPr>
            <w:r w:rsidRPr="000D3D0C">
              <w:rPr>
                <w:sz w:val="13"/>
                <w:szCs w:val="13"/>
              </w:rPr>
              <w:t>0</w:t>
            </w:r>
          </w:p>
        </w:tc>
        <w:tc>
          <w:tcPr>
            <w:tcW w:w="158" w:type="pct"/>
            <w:tcBorders>
              <w:top w:val="single" w:sz="4" w:space="0" w:color="auto"/>
              <w:left w:val="single" w:sz="4" w:space="0" w:color="auto"/>
              <w:bottom w:val="single" w:sz="4" w:space="0" w:color="auto"/>
              <w:right w:val="single" w:sz="4" w:space="0" w:color="auto"/>
            </w:tcBorders>
            <w:vAlign w:val="center"/>
          </w:tcPr>
          <w:p w14:paraId="1F8C12A5" w14:textId="77777777" w:rsidR="004A0123" w:rsidRPr="000D3D0C" w:rsidRDefault="004A0123" w:rsidP="008A5C11">
            <w:pPr>
              <w:jc w:val="center"/>
              <w:rPr>
                <w:sz w:val="13"/>
                <w:szCs w:val="13"/>
              </w:rPr>
            </w:pPr>
            <w:r w:rsidRPr="000D3D0C">
              <w:rPr>
                <w:sz w:val="13"/>
                <w:szCs w:val="13"/>
              </w:rPr>
              <w:t>0</w:t>
            </w:r>
          </w:p>
        </w:tc>
        <w:tc>
          <w:tcPr>
            <w:tcW w:w="172" w:type="pct"/>
            <w:tcBorders>
              <w:top w:val="single" w:sz="4" w:space="0" w:color="auto"/>
              <w:left w:val="single" w:sz="4" w:space="0" w:color="auto"/>
              <w:bottom w:val="single" w:sz="4" w:space="0" w:color="auto"/>
              <w:right w:val="single" w:sz="4" w:space="0" w:color="auto"/>
            </w:tcBorders>
            <w:vAlign w:val="center"/>
          </w:tcPr>
          <w:p w14:paraId="5BB3FB50" w14:textId="77777777" w:rsidR="004A0123" w:rsidRPr="000D3D0C" w:rsidRDefault="004A0123" w:rsidP="008A5C11">
            <w:pPr>
              <w:jc w:val="center"/>
              <w:rPr>
                <w:sz w:val="13"/>
                <w:szCs w:val="13"/>
              </w:rPr>
            </w:pPr>
            <w:r w:rsidRPr="000D3D0C">
              <w:rPr>
                <w:sz w:val="13"/>
                <w:szCs w:val="13"/>
              </w:rPr>
              <w:t>0</w:t>
            </w:r>
          </w:p>
        </w:tc>
        <w:tc>
          <w:tcPr>
            <w:tcW w:w="155" w:type="pct"/>
            <w:tcBorders>
              <w:top w:val="single" w:sz="4" w:space="0" w:color="auto"/>
              <w:left w:val="single" w:sz="4" w:space="0" w:color="auto"/>
              <w:bottom w:val="single" w:sz="4" w:space="0" w:color="auto"/>
              <w:right w:val="single" w:sz="4" w:space="0" w:color="auto"/>
            </w:tcBorders>
            <w:vAlign w:val="center"/>
          </w:tcPr>
          <w:p w14:paraId="22BD0ED2" w14:textId="77777777" w:rsidR="004A0123" w:rsidRPr="000D3D0C" w:rsidRDefault="004A0123" w:rsidP="008A5C11">
            <w:pPr>
              <w:jc w:val="center"/>
              <w:rPr>
                <w:sz w:val="13"/>
                <w:szCs w:val="13"/>
              </w:rPr>
            </w:pPr>
            <w:r w:rsidRPr="000D3D0C">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49EE5133" w14:textId="77777777" w:rsidR="004A0123" w:rsidRPr="000D3D0C" w:rsidRDefault="004A0123" w:rsidP="008A5C11">
            <w:pPr>
              <w:jc w:val="center"/>
              <w:rPr>
                <w:sz w:val="13"/>
                <w:szCs w:val="13"/>
              </w:rPr>
            </w:pPr>
            <w:r w:rsidRPr="000D3D0C">
              <w:rPr>
                <w:sz w:val="13"/>
                <w:szCs w:val="13"/>
              </w:rPr>
              <w:t>0</w:t>
            </w:r>
          </w:p>
        </w:tc>
        <w:tc>
          <w:tcPr>
            <w:tcW w:w="181" w:type="pct"/>
            <w:tcBorders>
              <w:top w:val="single" w:sz="4" w:space="0" w:color="auto"/>
              <w:left w:val="single" w:sz="4" w:space="0" w:color="auto"/>
              <w:bottom w:val="single" w:sz="4" w:space="0" w:color="auto"/>
              <w:right w:val="single" w:sz="4" w:space="0" w:color="auto"/>
            </w:tcBorders>
            <w:vAlign w:val="center"/>
          </w:tcPr>
          <w:p w14:paraId="56ADF33C" w14:textId="77777777" w:rsidR="004A0123" w:rsidRPr="000D3D0C" w:rsidRDefault="004A0123" w:rsidP="008A5C11">
            <w:pPr>
              <w:jc w:val="center"/>
              <w:rPr>
                <w:sz w:val="13"/>
                <w:szCs w:val="13"/>
              </w:rPr>
            </w:pPr>
            <w:r w:rsidRPr="000D3D0C">
              <w:rPr>
                <w:sz w:val="13"/>
                <w:szCs w:val="13"/>
              </w:rPr>
              <w:t>0</w:t>
            </w:r>
          </w:p>
        </w:tc>
        <w:tc>
          <w:tcPr>
            <w:tcW w:w="178" w:type="pct"/>
            <w:tcBorders>
              <w:top w:val="single" w:sz="4" w:space="0" w:color="auto"/>
              <w:left w:val="single" w:sz="4" w:space="0" w:color="auto"/>
              <w:bottom w:val="single" w:sz="4" w:space="0" w:color="auto"/>
              <w:right w:val="single" w:sz="4" w:space="0" w:color="auto"/>
            </w:tcBorders>
            <w:vAlign w:val="center"/>
          </w:tcPr>
          <w:p w14:paraId="6A59193D" w14:textId="77777777" w:rsidR="004A0123" w:rsidRPr="000D3D0C" w:rsidRDefault="004A0123" w:rsidP="008A5C11">
            <w:pPr>
              <w:jc w:val="center"/>
              <w:rPr>
                <w:sz w:val="13"/>
                <w:szCs w:val="13"/>
              </w:rPr>
            </w:pPr>
            <w:r w:rsidRPr="000D3D0C">
              <w:rPr>
                <w:sz w:val="13"/>
                <w:szCs w:val="13"/>
              </w:rPr>
              <w:t>0</w:t>
            </w:r>
          </w:p>
        </w:tc>
      </w:tr>
      <w:tr w:rsidR="004A0123" w:rsidRPr="000D3D0C" w14:paraId="00BC9E43" w14:textId="77777777" w:rsidTr="008A5C11">
        <w:trPr>
          <w:trHeight w:val="122"/>
        </w:trPr>
        <w:tc>
          <w:tcPr>
            <w:tcW w:w="5000" w:type="pct"/>
            <w:gridSpan w:val="24"/>
          </w:tcPr>
          <w:p w14:paraId="283B29BA" w14:textId="77777777" w:rsidR="004A0123" w:rsidRPr="000D3D0C" w:rsidRDefault="004A0123" w:rsidP="008A5C11">
            <w:pPr>
              <w:rPr>
                <w:bCs/>
                <w:sz w:val="13"/>
                <w:szCs w:val="13"/>
              </w:rPr>
            </w:pPr>
            <w:r w:rsidRPr="000D3D0C">
              <w:rPr>
                <w:bCs/>
                <w:sz w:val="13"/>
                <w:szCs w:val="13"/>
              </w:rPr>
              <w:t>Группа 5. Вывод из эксплуатации, консервация и демонтаж объектов системы централизованного теплоснабжения</w:t>
            </w:r>
          </w:p>
        </w:tc>
      </w:tr>
      <w:tr w:rsidR="004A0123" w:rsidRPr="000D3D0C" w14:paraId="0BAA9E8A" w14:textId="77777777" w:rsidTr="008A5C11">
        <w:trPr>
          <w:trHeight w:val="96"/>
        </w:trPr>
        <w:tc>
          <w:tcPr>
            <w:tcW w:w="5000" w:type="pct"/>
            <w:gridSpan w:val="24"/>
          </w:tcPr>
          <w:p w14:paraId="5F103413" w14:textId="77777777" w:rsidR="004A0123" w:rsidRPr="000D3D0C" w:rsidRDefault="004A0123" w:rsidP="008A5C11">
            <w:pPr>
              <w:rPr>
                <w:bCs/>
                <w:sz w:val="13"/>
                <w:szCs w:val="13"/>
              </w:rPr>
            </w:pPr>
            <w:r w:rsidRPr="000D3D0C">
              <w:rPr>
                <w:bCs/>
                <w:sz w:val="13"/>
                <w:szCs w:val="13"/>
              </w:rPr>
              <w:t>5.1. Вывод из эксплуатации, консервация и демонтаж тепловых сетей</w:t>
            </w:r>
          </w:p>
        </w:tc>
      </w:tr>
      <w:tr w:rsidR="004A0123" w:rsidRPr="000D3D0C" w14:paraId="6C23FEE5" w14:textId="77777777" w:rsidTr="008A5C11">
        <w:trPr>
          <w:trHeight w:val="210"/>
        </w:trPr>
        <w:tc>
          <w:tcPr>
            <w:tcW w:w="5000" w:type="pct"/>
            <w:gridSpan w:val="24"/>
          </w:tcPr>
          <w:p w14:paraId="2B90C6B6" w14:textId="77777777" w:rsidR="004A0123" w:rsidRPr="000D3D0C" w:rsidRDefault="004A0123" w:rsidP="008A5C11">
            <w:pPr>
              <w:rPr>
                <w:bCs/>
                <w:sz w:val="13"/>
                <w:szCs w:val="13"/>
              </w:rPr>
            </w:pPr>
            <w:r w:rsidRPr="000D3D0C">
              <w:rPr>
                <w:bCs/>
                <w:sz w:val="13"/>
                <w:szCs w:val="13"/>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4A0123" w:rsidRPr="000D3D0C" w14:paraId="14AFEA51" w14:textId="77777777" w:rsidTr="008A5C11">
        <w:trPr>
          <w:trHeight w:val="225"/>
        </w:trPr>
        <w:tc>
          <w:tcPr>
            <w:tcW w:w="2677" w:type="pct"/>
            <w:gridSpan w:val="10"/>
            <w:shd w:val="clear" w:color="auto" w:fill="auto"/>
            <w:vAlign w:val="center"/>
            <w:hideMark/>
          </w:tcPr>
          <w:p w14:paraId="3BF67BAC" w14:textId="77777777" w:rsidR="004A0123" w:rsidRPr="000D3D0C" w:rsidRDefault="004A0123" w:rsidP="008A5C11">
            <w:pPr>
              <w:rPr>
                <w:sz w:val="13"/>
                <w:szCs w:val="13"/>
              </w:rPr>
            </w:pPr>
            <w:r w:rsidRPr="000D3D0C">
              <w:rPr>
                <w:sz w:val="13"/>
                <w:szCs w:val="13"/>
              </w:rPr>
              <w:t>Всего по группе 5.</w:t>
            </w:r>
          </w:p>
        </w:tc>
        <w:tc>
          <w:tcPr>
            <w:tcW w:w="186" w:type="pct"/>
            <w:shd w:val="clear" w:color="auto" w:fill="auto"/>
            <w:vAlign w:val="center"/>
          </w:tcPr>
          <w:p w14:paraId="79F33F49" w14:textId="77777777" w:rsidR="004A0123" w:rsidRPr="000D3D0C" w:rsidRDefault="004A0123" w:rsidP="008A5C11">
            <w:pPr>
              <w:jc w:val="center"/>
              <w:rPr>
                <w:sz w:val="13"/>
                <w:szCs w:val="13"/>
              </w:rPr>
            </w:pPr>
            <w:r w:rsidRPr="000D3D0C">
              <w:rPr>
                <w:sz w:val="13"/>
                <w:szCs w:val="13"/>
              </w:rPr>
              <w:t>0</w:t>
            </w:r>
          </w:p>
        </w:tc>
        <w:tc>
          <w:tcPr>
            <w:tcW w:w="186" w:type="pct"/>
            <w:shd w:val="clear" w:color="auto" w:fill="auto"/>
            <w:vAlign w:val="center"/>
          </w:tcPr>
          <w:p w14:paraId="03CFD081" w14:textId="77777777" w:rsidR="004A0123" w:rsidRPr="000D3D0C" w:rsidRDefault="004A0123" w:rsidP="008A5C11">
            <w:pPr>
              <w:jc w:val="center"/>
              <w:rPr>
                <w:sz w:val="13"/>
                <w:szCs w:val="13"/>
              </w:rPr>
            </w:pPr>
            <w:r w:rsidRPr="000D3D0C">
              <w:rPr>
                <w:sz w:val="13"/>
                <w:szCs w:val="13"/>
              </w:rPr>
              <w:t>0</w:t>
            </w:r>
          </w:p>
        </w:tc>
        <w:tc>
          <w:tcPr>
            <w:tcW w:w="145" w:type="pct"/>
            <w:shd w:val="clear" w:color="auto" w:fill="auto"/>
            <w:vAlign w:val="center"/>
          </w:tcPr>
          <w:p w14:paraId="567E9770" w14:textId="77777777" w:rsidR="004A0123" w:rsidRPr="000D3D0C" w:rsidRDefault="004A0123" w:rsidP="008A5C11">
            <w:pPr>
              <w:jc w:val="center"/>
              <w:rPr>
                <w:sz w:val="13"/>
                <w:szCs w:val="13"/>
              </w:rPr>
            </w:pPr>
            <w:r w:rsidRPr="000D3D0C">
              <w:rPr>
                <w:sz w:val="13"/>
                <w:szCs w:val="13"/>
              </w:rPr>
              <w:t>0</w:t>
            </w:r>
          </w:p>
        </w:tc>
        <w:tc>
          <w:tcPr>
            <w:tcW w:w="148" w:type="pct"/>
            <w:shd w:val="clear" w:color="auto" w:fill="auto"/>
            <w:vAlign w:val="center"/>
          </w:tcPr>
          <w:p w14:paraId="518494D4" w14:textId="77777777" w:rsidR="004A0123" w:rsidRPr="000D3D0C" w:rsidRDefault="004A0123" w:rsidP="008A5C11">
            <w:pPr>
              <w:jc w:val="center"/>
              <w:rPr>
                <w:sz w:val="13"/>
                <w:szCs w:val="13"/>
              </w:rPr>
            </w:pPr>
            <w:r w:rsidRPr="000D3D0C">
              <w:rPr>
                <w:sz w:val="13"/>
                <w:szCs w:val="13"/>
              </w:rPr>
              <w:t>0</w:t>
            </w:r>
          </w:p>
        </w:tc>
        <w:tc>
          <w:tcPr>
            <w:tcW w:w="181" w:type="pct"/>
            <w:shd w:val="clear" w:color="auto" w:fill="auto"/>
            <w:vAlign w:val="center"/>
          </w:tcPr>
          <w:p w14:paraId="664E6D7E" w14:textId="77777777" w:rsidR="004A0123" w:rsidRPr="000D3D0C" w:rsidRDefault="004A0123" w:rsidP="008A5C11">
            <w:pPr>
              <w:jc w:val="center"/>
              <w:rPr>
                <w:sz w:val="13"/>
                <w:szCs w:val="13"/>
              </w:rPr>
            </w:pPr>
            <w:r w:rsidRPr="000D3D0C">
              <w:rPr>
                <w:sz w:val="13"/>
                <w:szCs w:val="13"/>
              </w:rPr>
              <w:t>0</w:t>
            </w:r>
          </w:p>
        </w:tc>
        <w:tc>
          <w:tcPr>
            <w:tcW w:w="181" w:type="pct"/>
            <w:vAlign w:val="center"/>
          </w:tcPr>
          <w:p w14:paraId="69CB6ADD" w14:textId="77777777" w:rsidR="004A0123" w:rsidRPr="000D3D0C" w:rsidRDefault="004A0123" w:rsidP="008A5C11">
            <w:pPr>
              <w:jc w:val="center"/>
              <w:rPr>
                <w:sz w:val="13"/>
                <w:szCs w:val="13"/>
              </w:rPr>
            </w:pPr>
            <w:r w:rsidRPr="000D3D0C">
              <w:rPr>
                <w:sz w:val="13"/>
                <w:szCs w:val="13"/>
              </w:rPr>
              <w:t>0</w:t>
            </w:r>
          </w:p>
        </w:tc>
        <w:tc>
          <w:tcPr>
            <w:tcW w:w="153" w:type="pct"/>
            <w:vAlign w:val="center"/>
          </w:tcPr>
          <w:p w14:paraId="3BCF964C" w14:textId="77777777" w:rsidR="004A0123" w:rsidRPr="000D3D0C" w:rsidRDefault="004A0123" w:rsidP="008A5C11">
            <w:pPr>
              <w:jc w:val="center"/>
              <w:rPr>
                <w:sz w:val="13"/>
                <w:szCs w:val="13"/>
              </w:rPr>
            </w:pPr>
            <w:r w:rsidRPr="000D3D0C">
              <w:rPr>
                <w:sz w:val="13"/>
                <w:szCs w:val="13"/>
              </w:rPr>
              <w:t>0</w:t>
            </w:r>
          </w:p>
        </w:tc>
        <w:tc>
          <w:tcPr>
            <w:tcW w:w="153" w:type="pct"/>
            <w:vAlign w:val="center"/>
          </w:tcPr>
          <w:p w14:paraId="25C5BEAC" w14:textId="77777777" w:rsidR="004A0123" w:rsidRPr="000D3D0C" w:rsidRDefault="004A0123" w:rsidP="008A5C11">
            <w:pPr>
              <w:jc w:val="center"/>
              <w:rPr>
                <w:sz w:val="13"/>
                <w:szCs w:val="13"/>
              </w:rPr>
            </w:pPr>
            <w:r w:rsidRPr="000D3D0C">
              <w:rPr>
                <w:sz w:val="13"/>
                <w:szCs w:val="13"/>
              </w:rPr>
              <w:t>0</w:t>
            </w:r>
          </w:p>
        </w:tc>
        <w:tc>
          <w:tcPr>
            <w:tcW w:w="158" w:type="pct"/>
            <w:vAlign w:val="center"/>
          </w:tcPr>
          <w:p w14:paraId="2E3096E4" w14:textId="77777777" w:rsidR="004A0123" w:rsidRPr="000D3D0C" w:rsidRDefault="004A0123" w:rsidP="008A5C11">
            <w:pPr>
              <w:jc w:val="center"/>
              <w:rPr>
                <w:sz w:val="13"/>
                <w:szCs w:val="13"/>
              </w:rPr>
            </w:pPr>
            <w:r w:rsidRPr="000D3D0C">
              <w:rPr>
                <w:sz w:val="13"/>
                <w:szCs w:val="13"/>
              </w:rPr>
              <w:t>0</w:t>
            </w:r>
          </w:p>
        </w:tc>
        <w:tc>
          <w:tcPr>
            <w:tcW w:w="172" w:type="pct"/>
            <w:vAlign w:val="center"/>
          </w:tcPr>
          <w:p w14:paraId="19196A78" w14:textId="77777777" w:rsidR="004A0123" w:rsidRPr="000D3D0C" w:rsidRDefault="004A0123" w:rsidP="008A5C11">
            <w:pPr>
              <w:jc w:val="center"/>
              <w:rPr>
                <w:sz w:val="13"/>
                <w:szCs w:val="13"/>
              </w:rPr>
            </w:pPr>
            <w:r w:rsidRPr="000D3D0C">
              <w:rPr>
                <w:sz w:val="13"/>
                <w:szCs w:val="13"/>
              </w:rPr>
              <w:t>0</w:t>
            </w:r>
          </w:p>
        </w:tc>
        <w:tc>
          <w:tcPr>
            <w:tcW w:w="155" w:type="pct"/>
            <w:vAlign w:val="center"/>
          </w:tcPr>
          <w:p w14:paraId="7F163590" w14:textId="77777777" w:rsidR="004A0123" w:rsidRPr="000D3D0C" w:rsidRDefault="004A0123" w:rsidP="008A5C11">
            <w:pPr>
              <w:jc w:val="center"/>
              <w:rPr>
                <w:sz w:val="13"/>
                <w:szCs w:val="13"/>
              </w:rPr>
            </w:pPr>
            <w:r w:rsidRPr="000D3D0C">
              <w:rPr>
                <w:sz w:val="13"/>
                <w:szCs w:val="13"/>
              </w:rPr>
              <w:t>0</w:t>
            </w:r>
          </w:p>
        </w:tc>
        <w:tc>
          <w:tcPr>
            <w:tcW w:w="146" w:type="pct"/>
            <w:vAlign w:val="center"/>
          </w:tcPr>
          <w:p w14:paraId="1211C974" w14:textId="77777777" w:rsidR="004A0123" w:rsidRPr="000D3D0C" w:rsidRDefault="004A0123" w:rsidP="008A5C11">
            <w:pPr>
              <w:jc w:val="center"/>
              <w:rPr>
                <w:sz w:val="13"/>
                <w:szCs w:val="13"/>
              </w:rPr>
            </w:pPr>
            <w:r w:rsidRPr="000D3D0C">
              <w:rPr>
                <w:sz w:val="13"/>
                <w:szCs w:val="13"/>
              </w:rPr>
              <w:t>0</w:t>
            </w:r>
          </w:p>
        </w:tc>
        <w:tc>
          <w:tcPr>
            <w:tcW w:w="181" w:type="pct"/>
            <w:vAlign w:val="center"/>
          </w:tcPr>
          <w:p w14:paraId="4F6A2F98" w14:textId="77777777" w:rsidR="004A0123" w:rsidRPr="000D3D0C" w:rsidRDefault="004A0123" w:rsidP="008A5C11">
            <w:pPr>
              <w:jc w:val="center"/>
              <w:rPr>
                <w:sz w:val="13"/>
                <w:szCs w:val="13"/>
              </w:rPr>
            </w:pPr>
            <w:r w:rsidRPr="000D3D0C">
              <w:rPr>
                <w:sz w:val="13"/>
                <w:szCs w:val="13"/>
              </w:rPr>
              <w:t>0</w:t>
            </w:r>
          </w:p>
        </w:tc>
        <w:tc>
          <w:tcPr>
            <w:tcW w:w="178" w:type="pct"/>
            <w:vAlign w:val="center"/>
          </w:tcPr>
          <w:p w14:paraId="37B0CCDC" w14:textId="77777777" w:rsidR="004A0123" w:rsidRPr="000D3D0C" w:rsidRDefault="004A0123" w:rsidP="008A5C11">
            <w:pPr>
              <w:jc w:val="center"/>
              <w:rPr>
                <w:sz w:val="13"/>
                <w:szCs w:val="13"/>
              </w:rPr>
            </w:pPr>
            <w:r w:rsidRPr="000D3D0C">
              <w:rPr>
                <w:sz w:val="13"/>
                <w:szCs w:val="13"/>
              </w:rPr>
              <w:t>0</w:t>
            </w:r>
          </w:p>
        </w:tc>
      </w:tr>
      <w:tr w:rsidR="004A0123" w:rsidRPr="000D3D0C" w14:paraId="67945C29" w14:textId="77777777" w:rsidTr="008A5C11">
        <w:trPr>
          <w:trHeight w:val="225"/>
        </w:trPr>
        <w:tc>
          <w:tcPr>
            <w:tcW w:w="2677" w:type="pct"/>
            <w:gridSpan w:val="10"/>
            <w:shd w:val="clear" w:color="auto" w:fill="auto"/>
            <w:vAlign w:val="center"/>
            <w:hideMark/>
          </w:tcPr>
          <w:p w14:paraId="3BBCE976" w14:textId="77777777" w:rsidR="004A0123" w:rsidRPr="000D3D0C" w:rsidRDefault="004A0123" w:rsidP="008A5C11">
            <w:pPr>
              <w:rPr>
                <w:sz w:val="13"/>
                <w:szCs w:val="13"/>
              </w:rPr>
            </w:pPr>
            <w:r w:rsidRPr="000D3D0C">
              <w:rPr>
                <w:sz w:val="13"/>
                <w:szCs w:val="13"/>
              </w:rPr>
              <w:t>ИТОГО по программе</w:t>
            </w:r>
          </w:p>
        </w:tc>
        <w:tc>
          <w:tcPr>
            <w:tcW w:w="186" w:type="pct"/>
            <w:tcBorders>
              <w:top w:val="single" w:sz="4" w:space="0" w:color="auto"/>
              <w:left w:val="nil"/>
              <w:bottom w:val="single" w:sz="4" w:space="0" w:color="auto"/>
              <w:right w:val="single" w:sz="4" w:space="0" w:color="auto"/>
            </w:tcBorders>
            <w:shd w:val="clear" w:color="auto" w:fill="auto"/>
            <w:vAlign w:val="center"/>
          </w:tcPr>
          <w:p w14:paraId="59552B02" w14:textId="77777777" w:rsidR="004A0123" w:rsidRPr="000D3D0C" w:rsidRDefault="004A0123" w:rsidP="008A5C11">
            <w:pPr>
              <w:jc w:val="center"/>
              <w:rPr>
                <w:sz w:val="13"/>
                <w:szCs w:val="13"/>
              </w:rPr>
            </w:pPr>
            <w:r w:rsidRPr="000D3D0C">
              <w:rPr>
                <w:sz w:val="13"/>
                <w:szCs w:val="13"/>
              </w:rPr>
              <w:t>689981</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335FCF15" w14:textId="77777777" w:rsidR="004A0123" w:rsidRPr="000D3D0C" w:rsidRDefault="004A0123" w:rsidP="008A5C11">
            <w:pPr>
              <w:jc w:val="center"/>
              <w:rPr>
                <w:sz w:val="13"/>
                <w:szCs w:val="13"/>
              </w:rPr>
            </w:pPr>
            <w:r w:rsidRPr="000D3D0C">
              <w:rPr>
                <w:sz w:val="13"/>
                <w:szCs w:val="13"/>
              </w:rPr>
              <w:t>0</w:t>
            </w:r>
          </w:p>
        </w:tc>
        <w:tc>
          <w:tcPr>
            <w:tcW w:w="145" w:type="pct"/>
            <w:tcBorders>
              <w:top w:val="single" w:sz="4" w:space="0" w:color="auto"/>
              <w:left w:val="single" w:sz="4" w:space="0" w:color="auto"/>
              <w:bottom w:val="single" w:sz="4" w:space="0" w:color="auto"/>
              <w:right w:val="single" w:sz="4" w:space="0" w:color="auto"/>
            </w:tcBorders>
            <w:shd w:val="clear" w:color="auto" w:fill="auto"/>
            <w:vAlign w:val="center"/>
          </w:tcPr>
          <w:p w14:paraId="7D982CEB" w14:textId="77777777" w:rsidR="004A0123" w:rsidRPr="000D3D0C" w:rsidRDefault="004A0123" w:rsidP="008A5C11">
            <w:pPr>
              <w:jc w:val="center"/>
              <w:rPr>
                <w:sz w:val="13"/>
                <w:szCs w:val="13"/>
              </w:rPr>
            </w:pPr>
            <w:r w:rsidRPr="000D3D0C">
              <w:rPr>
                <w:sz w:val="13"/>
                <w:szCs w:val="13"/>
              </w:rPr>
              <w:t>11197</w:t>
            </w:r>
          </w:p>
        </w:tc>
        <w:tc>
          <w:tcPr>
            <w:tcW w:w="148" w:type="pct"/>
            <w:tcBorders>
              <w:top w:val="single" w:sz="4" w:space="0" w:color="auto"/>
              <w:left w:val="single" w:sz="4" w:space="0" w:color="auto"/>
              <w:bottom w:val="single" w:sz="4" w:space="0" w:color="auto"/>
              <w:right w:val="single" w:sz="4" w:space="0" w:color="auto"/>
            </w:tcBorders>
            <w:shd w:val="clear" w:color="auto" w:fill="auto"/>
            <w:vAlign w:val="center"/>
          </w:tcPr>
          <w:p w14:paraId="520040D6" w14:textId="77777777" w:rsidR="004A0123" w:rsidRPr="000D3D0C" w:rsidRDefault="004A0123" w:rsidP="008A5C11">
            <w:pPr>
              <w:jc w:val="center"/>
              <w:rPr>
                <w:sz w:val="13"/>
                <w:szCs w:val="13"/>
              </w:rPr>
            </w:pPr>
            <w:r w:rsidRPr="000D3D0C">
              <w:rPr>
                <w:sz w:val="13"/>
                <w:szCs w:val="13"/>
              </w:rPr>
              <w:t>29951</w:t>
            </w:r>
          </w:p>
        </w:tc>
        <w:tc>
          <w:tcPr>
            <w:tcW w:w="181" w:type="pct"/>
            <w:tcBorders>
              <w:top w:val="single" w:sz="4" w:space="0" w:color="auto"/>
              <w:left w:val="single" w:sz="4" w:space="0" w:color="auto"/>
              <w:bottom w:val="single" w:sz="4" w:space="0" w:color="auto"/>
              <w:right w:val="nil"/>
            </w:tcBorders>
            <w:shd w:val="clear" w:color="auto" w:fill="auto"/>
            <w:vAlign w:val="center"/>
          </w:tcPr>
          <w:p w14:paraId="6EC4292E" w14:textId="77777777" w:rsidR="004A0123" w:rsidRPr="000D3D0C" w:rsidRDefault="004A0123" w:rsidP="008A5C11">
            <w:pPr>
              <w:jc w:val="center"/>
              <w:rPr>
                <w:sz w:val="13"/>
                <w:szCs w:val="13"/>
              </w:rPr>
            </w:pPr>
            <w:r w:rsidRPr="000D3D0C">
              <w:rPr>
                <w:sz w:val="13"/>
                <w:szCs w:val="13"/>
              </w:rPr>
              <w:t>33928</w:t>
            </w:r>
          </w:p>
        </w:tc>
        <w:tc>
          <w:tcPr>
            <w:tcW w:w="181" w:type="pct"/>
            <w:vAlign w:val="center"/>
          </w:tcPr>
          <w:p w14:paraId="766CC8F0" w14:textId="77777777" w:rsidR="004A0123" w:rsidRPr="000D3D0C" w:rsidRDefault="004A0123" w:rsidP="008A5C11">
            <w:pPr>
              <w:jc w:val="center"/>
              <w:rPr>
                <w:sz w:val="13"/>
                <w:szCs w:val="13"/>
              </w:rPr>
            </w:pPr>
            <w:r w:rsidRPr="000D3D0C">
              <w:rPr>
                <w:sz w:val="13"/>
                <w:szCs w:val="13"/>
              </w:rPr>
              <w:t>50968</w:t>
            </w:r>
          </w:p>
        </w:tc>
        <w:tc>
          <w:tcPr>
            <w:tcW w:w="153" w:type="pct"/>
            <w:vAlign w:val="center"/>
          </w:tcPr>
          <w:p w14:paraId="46658983" w14:textId="77777777" w:rsidR="004A0123" w:rsidRPr="000D3D0C" w:rsidRDefault="004A0123" w:rsidP="008A5C11">
            <w:pPr>
              <w:jc w:val="center"/>
              <w:rPr>
                <w:sz w:val="13"/>
                <w:szCs w:val="13"/>
              </w:rPr>
            </w:pPr>
            <w:r w:rsidRPr="000D3D0C">
              <w:rPr>
                <w:sz w:val="13"/>
                <w:szCs w:val="13"/>
              </w:rPr>
              <w:t>66012</w:t>
            </w:r>
          </w:p>
        </w:tc>
        <w:tc>
          <w:tcPr>
            <w:tcW w:w="153" w:type="pct"/>
            <w:vAlign w:val="center"/>
          </w:tcPr>
          <w:p w14:paraId="405936D7" w14:textId="77777777" w:rsidR="004A0123" w:rsidRPr="000D3D0C" w:rsidRDefault="004A0123" w:rsidP="008A5C11">
            <w:pPr>
              <w:jc w:val="center"/>
              <w:rPr>
                <w:sz w:val="13"/>
                <w:szCs w:val="13"/>
              </w:rPr>
            </w:pPr>
            <w:r w:rsidRPr="000D3D0C">
              <w:rPr>
                <w:sz w:val="13"/>
                <w:szCs w:val="13"/>
              </w:rPr>
              <w:t>83377</w:t>
            </w:r>
          </w:p>
        </w:tc>
        <w:tc>
          <w:tcPr>
            <w:tcW w:w="158" w:type="pct"/>
            <w:vAlign w:val="center"/>
          </w:tcPr>
          <w:p w14:paraId="39999E30" w14:textId="77777777" w:rsidR="004A0123" w:rsidRPr="000D3D0C" w:rsidRDefault="004A0123" w:rsidP="008A5C11">
            <w:pPr>
              <w:jc w:val="center"/>
              <w:rPr>
                <w:sz w:val="13"/>
                <w:szCs w:val="13"/>
              </w:rPr>
            </w:pPr>
            <w:r w:rsidRPr="000D3D0C">
              <w:rPr>
                <w:sz w:val="13"/>
                <w:szCs w:val="13"/>
              </w:rPr>
              <w:t>93016</w:t>
            </w:r>
          </w:p>
        </w:tc>
        <w:tc>
          <w:tcPr>
            <w:tcW w:w="172" w:type="pct"/>
            <w:vAlign w:val="center"/>
          </w:tcPr>
          <w:p w14:paraId="5556673C" w14:textId="77777777" w:rsidR="004A0123" w:rsidRPr="000D3D0C" w:rsidRDefault="004A0123" w:rsidP="008A5C11">
            <w:pPr>
              <w:jc w:val="center"/>
              <w:rPr>
                <w:sz w:val="13"/>
                <w:szCs w:val="13"/>
              </w:rPr>
            </w:pPr>
            <w:r w:rsidRPr="000D3D0C">
              <w:rPr>
                <w:sz w:val="13"/>
                <w:szCs w:val="13"/>
              </w:rPr>
              <w:t>100715</w:t>
            </w:r>
          </w:p>
        </w:tc>
        <w:tc>
          <w:tcPr>
            <w:tcW w:w="155" w:type="pct"/>
            <w:vAlign w:val="center"/>
          </w:tcPr>
          <w:p w14:paraId="6EC353CB" w14:textId="77777777" w:rsidR="004A0123" w:rsidRPr="000D3D0C" w:rsidRDefault="004A0123" w:rsidP="008A5C11">
            <w:pPr>
              <w:jc w:val="center"/>
              <w:rPr>
                <w:sz w:val="13"/>
                <w:szCs w:val="13"/>
              </w:rPr>
            </w:pPr>
            <w:r w:rsidRPr="000D3D0C">
              <w:rPr>
                <w:sz w:val="13"/>
                <w:szCs w:val="13"/>
              </w:rPr>
              <w:t>108643</w:t>
            </w:r>
          </w:p>
        </w:tc>
        <w:tc>
          <w:tcPr>
            <w:tcW w:w="146" w:type="pct"/>
            <w:vAlign w:val="center"/>
          </w:tcPr>
          <w:p w14:paraId="56727B45" w14:textId="77777777" w:rsidR="004A0123" w:rsidRPr="000D3D0C" w:rsidRDefault="004A0123" w:rsidP="008A5C11">
            <w:pPr>
              <w:jc w:val="center"/>
              <w:rPr>
                <w:sz w:val="13"/>
                <w:szCs w:val="13"/>
              </w:rPr>
            </w:pPr>
            <w:r w:rsidRPr="000D3D0C">
              <w:rPr>
                <w:sz w:val="13"/>
                <w:szCs w:val="13"/>
              </w:rPr>
              <w:t>112175</w:t>
            </w:r>
          </w:p>
        </w:tc>
        <w:tc>
          <w:tcPr>
            <w:tcW w:w="181" w:type="pct"/>
            <w:vAlign w:val="center"/>
          </w:tcPr>
          <w:p w14:paraId="00EFEEE5" w14:textId="77777777" w:rsidR="004A0123" w:rsidRPr="000D3D0C" w:rsidRDefault="004A0123" w:rsidP="008A5C11">
            <w:pPr>
              <w:jc w:val="center"/>
              <w:rPr>
                <w:sz w:val="13"/>
                <w:szCs w:val="13"/>
              </w:rPr>
            </w:pPr>
            <w:r w:rsidRPr="000D3D0C">
              <w:rPr>
                <w:sz w:val="13"/>
                <w:szCs w:val="13"/>
              </w:rPr>
              <w:t>0</w:t>
            </w:r>
          </w:p>
        </w:tc>
        <w:tc>
          <w:tcPr>
            <w:tcW w:w="178" w:type="pct"/>
            <w:vAlign w:val="center"/>
          </w:tcPr>
          <w:p w14:paraId="0FAC7F17" w14:textId="77777777" w:rsidR="004A0123" w:rsidRPr="000D3D0C" w:rsidRDefault="004A0123" w:rsidP="008A5C11">
            <w:pPr>
              <w:jc w:val="center"/>
              <w:rPr>
                <w:sz w:val="13"/>
                <w:szCs w:val="13"/>
              </w:rPr>
            </w:pPr>
            <w:r w:rsidRPr="000D3D0C">
              <w:rPr>
                <w:sz w:val="13"/>
                <w:szCs w:val="13"/>
              </w:rPr>
              <w:t>0</w:t>
            </w:r>
          </w:p>
        </w:tc>
      </w:tr>
    </w:tbl>
    <w:p w14:paraId="41A08F30" w14:textId="77777777" w:rsidR="004A0123" w:rsidRPr="000D3D0C" w:rsidRDefault="004A0123" w:rsidP="004A0123">
      <w:pPr>
        <w:ind w:left="284" w:right="536"/>
        <w:jc w:val="center"/>
        <w:rPr>
          <w:b/>
          <w:bCs/>
          <w:sz w:val="28"/>
          <w:szCs w:val="28"/>
        </w:rPr>
      </w:pPr>
    </w:p>
    <w:p w14:paraId="47A1F104" w14:textId="77777777" w:rsidR="004A0123" w:rsidRPr="000D3D0C" w:rsidRDefault="004A0123" w:rsidP="004A0123">
      <w:pPr>
        <w:ind w:left="284" w:right="536"/>
        <w:jc w:val="center"/>
        <w:rPr>
          <w:b/>
          <w:bCs/>
          <w:sz w:val="28"/>
          <w:szCs w:val="28"/>
        </w:rPr>
      </w:pPr>
    </w:p>
    <w:p w14:paraId="2AA7F25B" w14:textId="77777777" w:rsidR="004A0123" w:rsidRPr="000D3D0C" w:rsidRDefault="004A0123" w:rsidP="004A0123">
      <w:pPr>
        <w:rPr>
          <w:sz w:val="20"/>
          <w:szCs w:val="20"/>
        </w:rPr>
      </w:pPr>
    </w:p>
    <w:p w14:paraId="080966FA" w14:textId="77777777" w:rsidR="004A0123" w:rsidRDefault="004A0123" w:rsidP="004A0123">
      <w:pPr>
        <w:tabs>
          <w:tab w:val="left" w:pos="5580"/>
          <w:tab w:val="left" w:pos="9498"/>
        </w:tabs>
        <w:ind w:right="-569" w:firstLine="142"/>
        <w:rPr>
          <w:color w:val="000000" w:themeColor="text1"/>
        </w:rPr>
        <w:sectPr w:rsidR="004A0123" w:rsidSect="000D3D0C">
          <w:pgSz w:w="16838" w:h="11906" w:orient="landscape"/>
          <w:pgMar w:top="709" w:right="1134" w:bottom="850" w:left="1134" w:header="708" w:footer="708" w:gutter="0"/>
          <w:cols w:space="708"/>
          <w:docGrid w:linePitch="360"/>
        </w:sectPr>
      </w:pPr>
    </w:p>
    <w:p w14:paraId="7A14CAA9" w14:textId="520E31EE" w:rsidR="004A0123" w:rsidRPr="00081AD4" w:rsidRDefault="004A0123" w:rsidP="004A0123">
      <w:pPr>
        <w:tabs>
          <w:tab w:val="left" w:pos="3686"/>
          <w:tab w:val="left" w:pos="9498"/>
        </w:tabs>
        <w:ind w:left="-3734" w:right="-1" w:firstLine="9121"/>
        <w:rPr>
          <w:color w:val="000000" w:themeColor="text1"/>
        </w:rPr>
      </w:pPr>
      <w:r w:rsidRPr="00081AD4">
        <w:rPr>
          <w:color w:val="000000" w:themeColor="text1"/>
        </w:rPr>
        <w:t xml:space="preserve">Приложение № </w:t>
      </w:r>
      <w:r>
        <w:rPr>
          <w:color w:val="000000" w:themeColor="text1"/>
        </w:rPr>
        <w:t>2</w:t>
      </w:r>
      <w:r>
        <w:rPr>
          <w:color w:val="000000" w:themeColor="text1"/>
        </w:rPr>
        <w:t>6</w:t>
      </w:r>
      <w:r>
        <w:rPr>
          <w:color w:val="000000" w:themeColor="text1"/>
        </w:rPr>
        <w:t xml:space="preserve"> к протоколу</w:t>
      </w:r>
      <w:r w:rsidRPr="00081AD4">
        <w:rPr>
          <w:color w:val="000000" w:themeColor="text1"/>
        </w:rPr>
        <w:t xml:space="preserve"> № </w:t>
      </w:r>
      <w:r>
        <w:rPr>
          <w:color w:val="000000" w:themeColor="text1"/>
        </w:rPr>
        <w:t>88</w:t>
      </w:r>
    </w:p>
    <w:p w14:paraId="0AAFB839" w14:textId="77777777" w:rsidR="004A0123" w:rsidRPr="00081AD4" w:rsidRDefault="004A0123" w:rsidP="004A0123">
      <w:pPr>
        <w:tabs>
          <w:tab w:val="left" w:pos="3686"/>
          <w:tab w:val="left" w:pos="9498"/>
        </w:tabs>
        <w:ind w:left="-3734" w:right="-1" w:firstLine="912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123B1BE1" w14:textId="77777777" w:rsidR="004A0123" w:rsidRPr="00081AD4" w:rsidRDefault="004A0123" w:rsidP="004A0123">
      <w:pPr>
        <w:tabs>
          <w:tab w:val="left" w:pos="3686"/>
          <w:tab w:val="left" w:pos="9498"/>
        </w:tabs>
        <w:ind w:left="-3734" w:right="-1" w:firstLine="9121"/>
        <w:rPr>
          <w:color w:val="000000" w:themeColor="text1"/>
        </w:rPr>
      </w:pPr>
      <w:r w:rsidRPr="00081AD4">
        <w:rPr>
          <w:color w:val="000000" w:themeColor="text1"/>
        </w:rPr>
        <w:t>энергетической комиссии</w:t>
      </w:r>
    </w:p>
    <w:p w14:paraId="00A950EC" w14:textId="77777777" w:rsidR="004A0123" w:rsidRDefault="004A0123" w:rsidP="004A0123">
      <w:pPr>
        <w:autoSpaceDE w:val="0"/>
        <w:autoSpaceDN w:val="0"/>
        <w:adjustRightInd w:val="0"/>
        <w:ind w:firstLine="5387"/>
        <w:rPr>
          <w:color w:val="000000" w:themeColor="text1"/>
        </w:rPr>
      </w:pPr>
      <w:r w:rsidRPr="00081AD4">
        <w:rPr>
          <w:color w:val="000000" w:themeColor="text1"/>
        </w:rPr>
        <w:t xml:space="preserve">Кузбасса от </w:t>
      </w:r>
      <w:r>
        <w:rPr>
          <w:color w:val="000000" w:themeColor="text1"/>
        </w:rPr>
        <w:t>23</w:t>
      </w:r>
      <w:r w:rsidRPr="00081AD4">
        <w:rPr>
          <w:color w:val="000000" w:themeColor="text1"/>
        </w:rPr>
        <w:t>.</w:t>
      </w:r>
      <w:r>
        <w:rPr>
          <w:color w:val="000000" w:themeColor="text1"/>
        </w:rPr>
        <w:t>12</w:t>
      </w:r>
      <w:r w:rsidRPr="00081AD4">
        <w:rPr>
          <w:color w:val="000000" w:themeColor="text1"/>
        </w:rPr>
        <w:t>.202</w:t>
      </w:r>
      <w:r>
        <w:rPr>
          <w:color w:val="000000" w:themeColor="text1"/>
        </w:rPr>
        <w:t>1</w:t>
      </w:r>
    </w:p>
    <w:p w14:paraId="30E836C6" w14:textId="77777777" w:rsidR="004A0123" w:rsidRPr="000D3D0C" w:rsidRDefault="004A0123" w:rsidP="004A0123">
      <w:pPr>
        <w:autoSpaceDE w:val="0"/>
        <w:autoSpaceDN w:val="0"/>
        <w:adjustRightInd w:val="0"/>
        <w:ind w:left="4962"/>
        <w:jc w:val="both"/>
        <w:rPr>
          <w:sz w:val="28"/>
          <w:szCs w:val="28"/>
        </w:rPr>
      </w:pPr>
    </w:p>
    <w:p w14:paraId="578A1502" w14:textId="77777777" w:rsidR="004A0123" w:rsidRPr="000D3D0C" w:rsidRDefault="004A0123" w:rsidP="004A0123">
      <w:pPr>
        <w:autoSpaceDE w:val="0"/>
        <w:autoSpaceDN w:val="0"/>
        <w:adjustRightInd w:val="0"/>
        <w:jc w:val="center"/>
        <w:rPr>
          <w:b/>
          <w:color w:val="000000"/>
          <w:sz w:val="28"/>
          <w:szCs w:val="28"/>
        </w:rPr>
      </w:pPr>
      <w:r w:rsidRPr="000D3D0C">
        <w:rPr>
          <w:b/>
          <w:color w:val="000000"/>
          <w:sz w:val="28"/>
          <w:szCs w:val="28"/>
        </w:rPr>
        <w:t xml:space="preserve">Паспорт инвестиционной программы в сфере теплоснабжения </w:t>
      </w:r>
      <w:r w:rsidRPr="000D3D0C">
        <w:rPr>
          <w:b/>
          <w:color w:val="000000"/>
          <w:sz w:val="28"/>
          <w:szCs w:val="28"/>
        </w:rPr>
        <w:br/>
        <w:t xml:space="preserve">ОАО «Северо-Кузбасская энергетическая компания» по узлу теплоснабжения Тайгинского городского округа </w:t>
      </w:r>
    </w:p>
    <w:p w14:paraId="6754C7B7" w14:textId="77777777" w:rsidR="004A0123" w:rsidRPr="000D3D0C" w:rsidRDefault="004A0123" w:rsidP="004A0123">
      <w:pPr>
        <w:autoSpaceDE w:val="0"/>
        <w:autoSpaceDN w:val="0"/>
        <w:adjustRightInd w:val="0"/>
        <w:jc w:val="center"/>
        <w:rPr>
          <w:b/>
          <w:color w:val="000000"/>
          <w:sz w:val="28"/>
          <w:szCs w:val="28"/>
        </w:rPr>
      </w:pPr>
      <w:r w:rsidRPr="000D3D0C">
        <w:rPr>
          <w:b/>
          <w:color w:val="000000"/>
          <w:sz w:val="28"/>
          <w:szCs w:val="28"/>
        </w:rPr>
        <w:t>на 2021 - 2030 годы</w:t>
      </w:r>
    </w:p>
    <w:tbl>
      <w:tblPr>
        <w:tblOverlap w:val="never"/>
        <w:tblW w:w="5000" w:type="pct"/>
        <w:tblCellMar>
          <w:left w:w="10" w:type="dxa"/>
          <w:right w:w="10" w:type="dxa"/>
        </w:tblCellMar>
        <w:tblLook w:val="04A0" w:firstRow="1" w:lastRow="0" w:firstColumn="1" w:lastColumn="0" w:noHBand="0" w:noVBand="1"/>
      </w:tblPr>
      <w:tblGrid>
        <w:gridCol w:w="4724"/>
        <w:gridCol w:w="4620"/>
      </w:tblGrid>
      <w:tr w:rsidR="004A0123" w:rsidRPr="000D3D0C" w14:paraId="78B841D0" w14:textId="77777777" w:rsidTr="008A5C11">
        <w:trPr>
          <w:trHeight w:val="882"/>
        </w:trPr>
        <w:tc>
          <w:tcPr>
            <w:tcW w:w="2528" w:type="pct"/>
            <w:tcBorders>
              <w:top w:val="single" w:sz="4" w:space="0" w:color="auto"/>
              <w:left w:val="single" w:sz="4" w:space="0" w:color="auto"/>
            </w:tcBorders>
            <w:shd w:val="clear" w:color="auto" w:fill="FFFFFF"/>
            <w:vAlign w:val="center"/>
          </w:tcPr>
          <w:p w14:paraId="3A7E9717" w14:textId="77777777" w:rsidR="004A0123" w:rsidRPr="000D3D0C" w:rsidRDefault="004A0123" w:rsidP="004A0123">
            <w:pPr>
              <w:widowControl w:val="0"/>
              <w:numPr>
                <w:ilvl w:val="0"/>
                <w:numId w:val="17"/>
              </w:numPr>
              <w:spacing w:line="230" w:lineRule="exact"/>
              <w:ind w:left="0" w:firstLine="0"/>
              <w:jc w:val="center"/>
            </w:pPr>
            <w:r w:rsidRPr="000D3D0C">
              <w:rPr>
                <w:color w:val="000000"/>
              </w:rPr>
              <w:t>Наименование организации, в отношении которой разрабатывается инвестиционная программа в сфере теплоснабжения</w:t>
            </w:r>
          </w:p>
        </w:tc>
        <w:tc>
          <w:tcPr>
            <w:tcW w:w="2472" w:type="pct"/>
            <w:tcBorders>
              <w:top w:val="single" w:sz="4" w:space="0" w:color="auto"/>
              <w:left w:val="single" w:sz="4" w:space="0" w:color="auto"/>
              <w:bottom w:val="single" w:sz="4" w:space="0" w:color="auto"/>
              <w:right w:val="single" w:sz="4" w:space="0" w:color="auto"/>
            </w:tcBorders>
            <w:shd w:val="clear" w:color="auto" w:fill="FFFFFF"/>
            <w:vAlign w:val="center"/>
          </w:tcPr>
          <w:p w14:paraId="25771E81" w14:textId="77777777" w:rsidR="004A0123" w:rsidRPr="000D3D0C" w:rsidRDefault="004A0123" w:rsidP="008A5C11">
            <w:pPr>
              <w:jc w:val="center"/>
            </w:pPr>
            <w:r w:rsidRPr="000D3D0C">
              <w:t xml:space="preserve">Открытое акционерное общество </w:t>
            </w:r>
          </w:p>
          <w:p w14:paraId="65DA09D6" w14:textId="77777777" w:rsidR="004A0123" w:rsidRPr="000D3D0C" w:rsidRDefault="004A0123" w:rsidP="008A5C11">
            <w:pPr>
              <w:jc w:val="center"/>
              <w:rPr>
                <w:color w:val="000000"/>
              </w:rPr>
            </w:pPr>
            <w:r w:rsidRPr="000D3D0C">
              <w:t>«Северо-Кузбасская энергетическая компания»</w:t>
            </w:r>
          </w:p>
        </w:tc>
      </w:tr>
      <w:tr w:rsidR="004A0123" w:rsidRPr="000D3D0C" w14:paraId="1519A526" w14:textId="77777777" w:rsidTr="008A5C11">
        <w:trPr>
          <w:trHeight w:val="699"/>
        </w:trPr>
        <w:tc>
          <w:tcPr>
            <w:tcW w:w="2528" w:type="pct"/>
            <w:tcBorders>
              <w:top w:val="single" w:sz="4" w:space="0" w:color="auto"/>
              <w:left w:val="single" w:sz="4" w:space="0" w:color="auto"/>
            </w:tcBorders>
            <w:shd w:val="clear" w:color="auto" w:fill="FFFFFF"/>
            <w:vAlign w:val="center"/>
          </w:tcPr>
          <w:p w14:paraId="4FC1B80E" w14:textId="77777777" w:rsidR="004A0123" w:rsidRPr="000D3D0C" w:rsidRDefault="004A0123" w:rsidP="004A0123">
            <w:pPr>
              <w:widowControl w:val="0"/>
              <w:numPr>
                <w:ilvl w:val="0"/>
                <w:numId w:val="17"/>
              </w:numPr>
              <w:spacing w:line="200" w:lineRule="exact"/>
              <w:ind w:left="0" w:firstLine="0"/>
              <w:jc w:val="center"/>
            </w:pPr>
            <w:r w:rsidRPr="000D3D0C">
              <w:rPr>
                <w:color w:val="000000"/>
              </w:rPr>
              <w:t>Местонахождение регулируемой организации</w:t>
            </w:r>
          </w:p>
        </w:tc>
        <w:tc>
          <w:tcPr>
            <w:tcW w:w="2472" w:type="pct"/>
            <w:tcBorders>
              <w:top w:val="nil"/>
              <w:left w:val="single" w:sz="4" w:space="0" w:color="auto"/>
              <w:bottom w:val="single" w:sz="4" w:space="0" w:color="auto"/>
              <w:right w:val="single" w:sz="4" w:space="0" w:color="auto"/>
            </w:tcBorders>
            <w:shd w:val="clear" w:color="auto" w:fill="auto"/>
            <w:vAlign w:val="center"/>
          </w:tcPr>
          <w:p w14:paraId="55BED5B7" w14:textId="77777777" w:rsidR="004A0123" w:rsidRPr="000D3D0C" w:rsidRDefault="004A0123" w:rsidP="008A5C11">
            <w:pPr>
              <w:jc w:val="center"/>
              <w:rPr>
                <w:color w:val="000000"/>
              </w:rPr>
            </w:pPr>
            <w:r w:rsidRPr="000D3D0C">
              <w:rPr>
                <w:color w:val="000000"/>
              </w:rPr>
              <w:t>650000, г. Кемерово, ул. Кузбасская, 6</w:t>
            </w:r>
          </w:p>
        </w:tc>
      </w:tr>
      <w:tr w:rsidR="004A0123" w:rsidRPr="000D3D0C" w14:paraId="2B567A53" w14:textId="77777777" w:rsidTr="008A5C11">
        <w:trPr>
          <w:trHeight w:val="400"/>
        </w:trPr>
        <w:tc>
          <w:tcPr>
            <w:tcW w:w="2528" w:type="pct"/>
            <w:tcBorders>
              <w:top w:val="single" w:sz="4" w:space="0" w:color="auto"/>
              <w:left w:val="single" w:sz="4" w:space="0" w:color="auto"/>
            </w:tcBorders>
            <w:shd w:val="clear" w:color="auto" w:fill="FFFFFF"/>
            <w:vAlign w:val="center"/>
          </w:tcPr>
          <w:p w14:paraId="13E16A37" w14:textId="77777777" w:rsidR="004A0123" w:rsidRPr="000D3D0C" w:rsidRDefault="004A0123" w:rsidP="004A0123">
            <w:pPr>
              <w:widowControl w:val="0"/>
              <w:numPr>
                <w:ilvl w:val="0"/>
                <w:numId w:val="17"/>
              </w:numPr>
              <w:spacing w:line="200" w:lineRule="exact"/>
              <w:ind w:left="0" w:firstLine="0"/>
              <w:jc w:val="center"/>
            </w:pPr>
            <w:r w:rsidRPr="000D3D0C">
              <w:rPr>
                <w:color w:val="000000"/>
              </w:rPr>
              <w:t>Сроки реализации инвестиционной программы</w:t>
            </w:r>
          </w:p>
        </w:tc>
        <w:tc>
          <w:tcPr>
            <w:tcW w:w="2472" w:type="pct"/>
            <w:tcBorders>
              <w:top w:val="nil"/>
              <w:left w:val="single" w:sz="4" w:space="0" w:color="auto"/>
              <w:bottom w:val="single" w:sz="4" w:space="0" w:color="auto"/>
              <w:right w:val="single" w:sz="4" w:space="0" w:color="auto"/>
            </w:tcBorders>
            <w:shd w:val="clear" w:color="auto" w:fill="auto"/>
            <w:vAlign w:val="center"/>
          </w:tcPr>
          <w:p w14:paraId="49B4776D" w14:textId="77777777" w:rsidR="004A0123" w:rsidRPr="000D3D0C" w:rsidRDefault="004A0123" w:rsidP="008A5C11">
            <w:pPr>
              <w:jc w:val="center"/>
            </w:pPr>
            <w:r w:rsidRPr="000D3D0C">
              <w:t>2021 - 2030 г.г.</w:t>
            </w:r>
          </w:p>
        </w:tc>
      </w:tr>
      <w:tr w:rsidR="004A0123" w:rsidRPr="000D3D0C" w14:paraId="67873AC6" w14:textId="77777777" w:rsidTr="008A5C11">
        <w:trPr>
          <w:trHeight w:val="110"/>
        </w:trPr>
        <w:tc>
          <w:tcPr>
            <w:tcW w:w="2528" w:type="pct"/>
            <w:tcBorders>
              <w:top w:val="single" w:sz="4" w:space="0" w:color="auto"/>
              <w:left w:val="single" w:sz="4" w:space="0" w:color="auto"/>
            </w:tcBorders>
            <w:shd w:val="clear" w:color="auto" w:fill="FFFFFF"/>
            <w:vAlign w:val="center"/>
          </w:tcPr>
          <w:p w14:paraId="2F9F80F2" w14:textId="77777777" w:rsidR="004A0123" w:rsidRPr="000D3D0C" w:rsidRDefault="004A0123" w:rsidP="004A0123">
            <w:pPr>
              <w:widowControl w:val="0"/>
              <w:numPr>
                <w:ilvl w:val="0"/>
                <w:numId w:val="17"/>
              </w:numPr>
              <w:spacing w:line="234" w:lineRule="exact"/>
              <w:ind w:left="0" w:firstLine="0"/>
              <w:jc w:val="center"/>
            </w:pPr>
            <w:r w:rsidRPr="000D3D0C">
              <w:rPr>
                <w:color w:val="000000"/>
              </w:rPr>
              <w:t>Лицо, ответственное за разработку инвестиционной программы</w:t>
            </w:r>
          </w:p>
        </w:tc>
        <w:tc>
          <w:tcPr>
            <w:tcW w:w="2472" w:type="pct"/>
            <w:tcBorders>
              <w:top w:val="nil"/>
              <w:left w:val="single" w:sz="4" w:space="0" w:color="auto"/>
              <w:bottom w:val="single" w:sz="4" w:space="0" w:color="auto"/>
              <w:right w:val="single" w:sz="4" w:space="0" w:color="auto"/>
            </w:tcBorders>
            <w:shd w:val="clear" w:color="auto" w:fill="auto"/>
            <w:vAlign w:val="center"/>
          </w:tcPr>
          <w:p w14:paraId="15227FA3" w14:textId="77777777" w:rsidR="004A0123" w:rsidRPr="000D3D0C" w:rsidRDefault="004A0123" w:rsidP="008A5C11">
            <w:pPr>
              <w:jc w:val="center"/>
            </w:pPr>
            <w:r w:rsidRPr="000D3D0C">
              <w:t>Ушаков Евгений Алексеевич</w:t>
            </w:r>
          </w:p>
        </w:tc>
      </w:tr>
      <w:tr w:rsidR="004A0123" w:rsidRPr="000D3D0C" w14:paraId="171D8DEE" w14:textId="77777777" w:rsidTr="008A5C11">
        <w:trPr>
          <w:trHeight w:val="626"/>
        </w:trPr>
        <w:tc>
          <w:tcPr>
            <w:tcW w:w="2528" w:type="pct"/>
            <w:tcBorders>
              <w:top w:val="single" w:sz="4" w:space="0" w:color="auto"/>
              <w:left w:val="single" w:sz="4" w:space="0" w:color="auto"/>
            </w:tcBorders>
            <w:shd w:val="clear" w:color="auto" w:fill="FFFFFF"/>
            <w:vAlign w:val="center"/>
          </w:tcPr>
          <w:p w14:paraId="49E69E5D" w14:textId="77777777" w:rsidR="004A0123" w:rsidRPr="000D3D0C" w:rsidRDefault="004A0123" w:rsidP="004A0123">
            <w:pPr>
              <w:widowControl w:val="0"/>
              <w:numPr>
                <w:ilvl w:val="0"/>
                <w:numId w:val="17"/>
              </w:numPr>
              <w:spacing w:line="230" w:lineRule="exact"/>
              <w:ind w:left="0" w:firstLine="0"/>
              <w:jc w:val="center"/>
            </w:pPr>
            <w:r w:rsidRPr="000D3D0C">
              <w:rPr>
                <w:color w:val="000000"/>
              </w:rPr>
              <w:t>Контактная информация лица, ответственного за разработку инвестиционной программы</w:t>
            </w:r>
          </w:p>
        </w:tc>
        <w:tc>
          <w:tcPr>
            <w:tcW w:w="2472" w:type="pct"/>
            <w:tcBorders>
              <w:top w:val="nil"/>
              <w:left w:val="single" w:sz="4" w:space="0" w:color="auto"/>
              <w:bottom w:val="single" w:sz="4" w:space="0" w:color="auto"/>
              <w:right w:val="single" w:sz="4" w:space="0" w:color="auto"/>
            </w:tcBorders>
            <w:shd w:val="clear" w:color="auto" w:fill="auto"/>
            <w:vAlign w:val="center"/>
          </w:tcPr>
          <w:p w14:paraId="2F5626DC" w14:textId="77777777" w:rsidR="004A0123" w:rsidRPr="000D3D0C" w:rsidRDefault="004A0123" w:rsidP="008A5C11">
            <w:pPr>
              <w:jc w:val="center"/>
            </w:pPr>
            <w:r w:rsidRPr="000D3D0C">
              <w:t xml:space="preserve">тел.: +7 (3842) 68-18-50  </w:t>
            </w:r>
          </w:p>
        </w:tc>
      </w:tr>
      <w:tr w:rsidR="004A0123" w:rsidRPr="000D3D0C" w14:paraId="2F582227" w14:textId="77777777" w:rsidTr="008A5C11">
        <w:trPr>
          <w:trHeight w:val="373"/>
        </w:trPr>
        <w:tc>
          <w:tcPr>
            <w:tcW w:w="2528" w:type="pct"/>
            <w:tcBorders>
              <w:top w:val="single" w:sz="4" w:space="0" w:color="auto"/>
              <w:left w:val="single" w:sz="4" w:space="0" w:color="auto"/>
            </w:tcBorders>
            <w:shd w:val="clear" w:color="auto" w:fill="FFFFFF"/>
            <w:vAlign w:val="center"/>
          </w:tcPr>
          <w:p w14:paraId="63DAAC4A" w14:textId="77777777" w:rsidR="004A0123" w:rsidRPr="000D3D0C" w:rsidRDefault="004A0123" w:rsidP="004A0123">
            <w:pPr>
              <w:widowControl w:val="0"/>
              <w:numPr>
                <w:ilvl w:val="0"/>
                <w:numId w:val="17"/>
              </w:numPr>
              <w:spacing w:line="227" w:lineRule="exact"/>
              <w:ind w:left="0" w:firstLine="0"/>
              <w:jc w:val="center"/>
            </w:pPr>
            <w:r w:rsidRPr="000D3D0C">
              <w:rPr>
                <w:color w:val="000000"/>
              </w:rPr>
              <w:t>Наименование органа исполнительной власти субъекта РФ, утвердившего инвестиционную программу</w:t>
            </w:r>
          </w:p>
        </w:tc>
        <w:tc>
          <w:tcPr>
            <w:tcW w:w="2472" w:type="pct"/>
            <w:tcBorders>
              <w:top w:val="nil"/>
              <w:left w:val="single" w:sz="4" w:space="0" w:color="auto"/>
              <w:bottom w:val="single" w:sz="4" w:space="0" w:color="auto"/>
              <w:right w:val="single" w:sz="4" w:space="0" w:color="auto"/>
            </w:tcBorders>
            <w:shd w:val="clear" w:color="auto" w:fill="auto"/>
            <w:vAlign w:val="center"/>
          </w:tcPr>
          <w:p w14:paraId="57108200" w14:textId="77777777" w:rsidR="004A0123" w:rsidRPr="000D3D0C" w:rsidRDefault="004A0123" w:rsidP="008A5C11">
            <w:pPr>
              <w:jc w:val="center"/>
            </w:pPr>
            <w:r w:rsidRPr="000D3D0C">
              <w:t>Региональная энергетическая комиссия Кузбасса</w:t>
            </w:r>
          </w:p>
        </w:tc>
      </w:tr>
      <w:tr w:rsidR="004A0123" w:rsidRPr="000D3D0C" w14:paraId="768A6D86" w14:textId="77777777" w:rsidTr="008A5C11">
        <w:trPr>
          <w:trHeight w:val="641"/>
        </w:trPr>
        <w:tc>
          <w:tcPr>
            <w:tcW w:w="2528" w:type="pct"/>
            <w:tcBorders>
              <w:top w:val="single" w:sz="4" w:space="0" w:color="auto"/>
              <w:left w:val="single" w:sz="4" w:space="0" w:color="auto"/>
            </w:tcBorders>
            <w:shd w:val="clear" w:color="auto" w:fill="FFFFFF"/>
            <w:vAlign w:val="center"/>
          </w:tcPr>
          <w:p w14:paraId="6322F813" w14:textId="77777777" w:rsidR="004A0123" w:rsidRPr="000D3D0C" w:rsidRDefault="004A0123" w:rsidP="004A0123">
            <w:pPr>
              <w:widowControl w:val="0"/>
              <w:numPr>
                <w:ilvl w:val="0"/>
                <w:numId w:val="17"/>
              </w:numPr>
              <w:spacing w:line="230" w:lineRule="exact"/>
              <w:ind w:left="0" w:firstLine="0"/>
              <w:jc w:val="center"/>
            </w:pPr>
            <w:r w:rsidRPr="000D3D0C">
              <w:rPr>
                <w:color w:val="000000"/>
              </w:rPr>
              <w:t>Местонахождение органа, утвердившего инвестиционную программу</w:t>
            </w:r>
          </w:p>
        </w:tc>
        <w:tc>
          <w:tcPr>
            <w:tcW w:w="2472" w:type="pct"/>
            <w:tcBorders>
              <w:top w:val="nil"/>
              <w:left w:val="single" w:sz="4" w:space="0" w:color="auto"/>
              <w:bottom w:val="single" w:sz="4" w:space="0" w:color="auto"/>
              <w:right w:val="single" w:sz="4" w:space="0" w:color="auto"/>
            </w:tcBorders>
            <w:shd w:val="clear" w:color="auto" w:fill="auto"/>
            <w:vAlign w:val="center"/>
          </w:tcPr>
          <w:p w14:paraId="4F93DCCC" w14:textId="77777777" w:rsidR="004A0123" w:rsidRPr="000D3D0C" w:rsidRDefault="004A0123" w:rsidP="008A5C11">
            <w:pPr>
              <w:jc w:val="center"/>
            </w:pPr>
            <w:r w:rsidRPr="000D3D0C">
              <w:t>650000, г. Кемерово, ул. Н. Островского,32</w:t>
            </w:r>
          </w:p>
        </w:tc>
      </w:tr>
      <w:tr w:rsidR="004A0123" w:rsidRPr="000D3D0C" w14:paraId="2207FF4A" w14:textId="77777777" w:rsidTr="008A5C11">
        <w:trPr>
          <w:trHeight w:val="637"/>
        </w:trPr>
        <w:tc>
          <w:tcPr>
            <w:tcW w:w="2528" w:type="pct"/>
            <w:tcBorders>
              <w:top w:val="single" w:sz="4" w:space="0" w:color="auto"/>
              <w:left w:val="single" w:sz="4" w:space="0" w:color="auto"/>
            </w:tcBorders>
            <w:shd w:val="clear" w:color="auto" w:fill="FFFFFF"/>
            <w:vAlign w:val="center"/>
          </w:tcPr>
          <w:p w14:paraId="3798B1B4" w14:textId="77777777" w:rsidR="004A0123" w:rsidRPr="000D3D0C" w:rsidRDefault="004A0123" w:rsidP="004A0123">
            <w:pPr>
              <w:widowControl w:val="0"/>
              <w:numPr>
                <w:ilvl w:val="0"/>
                <w:numId w:val="17"/>
              </w:numPr>
              <w:spacing w:line="230" w:lineRule="exact"/>
              <w:ind w:left="0" w:firstLine="0"/>
              <w:jc w:val="center"/>
            </w:pPr>
            <w:r w:rsidRPr="000D3D0C">
              <w:rPr>
                <w:color w:val="000000"/>
              </w:rPr>
              <w:t>Должностное лицо, утвердившее инвестиционную программу</w:t>
            </w:r>
          </w:p>
        </w:tc>
        <w:tc>
          <w:tcPr>
            <w:tcW w:w="2472" w:type="pct"/>
            <w:tcBorders>
              <w:top w:val="nil"/>
              <w:left w:val="single" w:sz="4" w:space="0" w:color="auto"/>
              <w:bottom w:val="single" w:sz="4" w:space="0" w:color="auto"/>
              <w:right w:val="single" w:sz="4" w:space="0" w:color="auto"/>
            </w:tcBorders>
            <w:shd w:val="clear" w:color="auto" w:fill="auto"/>
            <w:vAlign w:val="center"/>
          </w:tcPr>
          <w:p w14:paraId="77E62253" w14:textId="77777777" w:rsidR="004A0123" w:rsidRPr="000D3D0C" w:rsidRDefault="004A0123" w:rsidP="008A5C11">
            <w:pPr>
              <w:jc w:val="center"/>
            </w:pPr>
            <w:r w:rsidRPr="000D3D0C">
              <w:t xml:space="preserve">Председатель </w:t>
            </w:r>
          </w:p>
          <w:p w14:paraId="52BFC57C" w14:textId="77777777" w:rsidR="004A0123" w:rsidRPr="000D3D0C" w:rsidRDefault="004A0123" w:rsidP="008A5C11">
            <w:pPr>
              <w:jc w:val="center"/>
            </w:pPr>
            <w:r w:rsidRPr="000D3D0C">
              <w:t>Малюта Дмитрий Владимирович</w:t>
            </w:r>
          </w:p>
        </w:tc>
      </w:tr>
      <w:tr w:rsidR="004A0123" w:rsidRPr="000D3D0C" w14:paraId="31F5116A" w14:textId="77777777" w:rsidTr="008A5C11">
        <w:trPr>
          <w:trHeight w:val="403"/>
        </w:trPr>
        <w:tc>
          <w:tcPr>
            <w:tcW w:w="2528" w:type="pct"/>
            <w:tcBorders>
              <w:top w:val="single" w:sz="4" w:space="0" w:color="auto"/>
              <w:left w:val="single" w:sz="4" w:space="0" w:color="auto"/>
            </w:tcBorders>
            <w:shd w:val="clear" w:color="auto" w:fill="FFFFFF"/>
            <w:vAlign w:val="center"/>
          </w:tcPr>
          <w:p w14:paraId="27D97A2C" w14:textId="77777777" w:rsidR="004A0123" w:rsidRPr="000D3D0C" w:rsidRDefault="004A0123" w:rsidP="004A0123">
            <w:pPr>
              <w:widowControl w:val="0"/>
              <w:numPr>
                <w:ilvl w:val="0"/>
                <w:numId w:val="17"/>
              </w:numPr>
              <w:spacing w:line="200" w:lineRule="exact"/>
              <w:ind w:left="0" w:firstLine="0"/>
              <w:jc w:val="center"/>
            </w:pPr>
            <w:r w:rsidRPr="000D3D0C">
              <w:rPr>
                <w:color w:val="000000"/>
              </w:rPr>
              <w:t>Дата утверждения инвестиционной программы</w:t>
            </w:r>
          </w:p>
        </w:tc>
        <w:tc>
          <w:tcPr>
            <w:tcW w:w="2472" w:type="pct"/>
            <w:tcBorders>
              <w:top w:val="nil"/>
              <w:left w:val="single" w:sz="4" w:space="0" w:color="auto"/>
              <w:bottom w:val="single" w:sz="4" w:space="0" w:color="auto"/>
              <w:right w:val="single" w:sz="4" w:space="0" w:color="auto"/>
            </w:tcBorders>
            <w:shd w:val="clear" w:color="auto" w:fill="auto"/>
            <w:vAlign w:val="center"/>
          </w:tcPr>
          <w:p w14:paraId="5D30BDFA" w14:textId="77777777" w:rsidR="004A0123" w:rsidRPr="000D3D0C" w:rsidRDefault="004A0123" w:rsidP="008A5C11">
            <w:pPr>
              <w:jc w:val="center"/>
            </w:pPr>
            <w:r w:rsidRPr="000D3D0C">
              <w:t>___.12.2021</w:t>
            </w:r>
          </w:p>
        </w:tc>
      </w:tr>
      <w:tr w:rsidR="004A0123" w:rsidRPr="000D3D0C" w14:paraId="7ACC742D" w14:textId="77777777" w:rsidTr="008A5C11">
        <w:trPr>
          <w:trHeight w:val="634"/>
        </w:trPr>
        <w:tc>
          <w:tcPr>
            <w:tcW w:w="2528" w:type="pct"/>
            <w:tcBorders>
              <w:top w:val="single" w:sz="4" w:space="0" w:color="auto"/>
              <w:left w:val="single" w:sz="4" w:space="0" w:color="auto"/>
            </w:tcBorders>
            <w:shd w:val="clear" w:color="auto" w:fill="FFFFFF"/>
            <w:vAlign w:val="center"/>
          </w:tcPr>
          <w:p w14:paraId="21A9D112" w14:textId="77777777" w:rsidR="004A0123" w:rsidRPr="000D3D0C" w:rsidRDefault="004A0123" w:rsidP="004A0123">
            <w:pPr>
              <w:widowControl w:val="0"/>
              <w:numPr>
                <w:ilvl w:val="0"/>
                <w:numId w:val="17"/>
              </w:numPr>
              <w:spacing w:line="230" w:lineRule="exact"/>
              <w:ind w:left="0" w:firstLine="0"/>
              <w:jc w:val="center"/>
            </w:pPr>
            <w:r w:rsidRPr="000D3D0C">
              <w:rPr>
                <w:color w:val="000000"/>
              </w:rPr>
              <w:t>Контактная информация лица, ответственного за утверждение инвестиционной программы</w:t>
            </w:r>
          </w:p>
        </w:tc>
        <w:tc>
          <w:tcPr>
            <w:tcW w:w="2472" w:type="pct"/>
            <w:tcBorders>
              <w:top w:val="nil"/>
              <w:left w:val="single" w:sz="4" w:space="0" w:color="auto"/>
              <w:bottom w:val="single" w:sz="4" w:space="0" w:color="auto"/>
              <w:right w:val="single" w:sz="4" w:space="0" w:color="auto"/>
            </w:tcBorders>
            <w:shd w:val="clear" w:color="auto" w:fill="auto"/>
            <w:vAlign w:val="center"/>
          </w:tcPr>
          <w:p w14:paraId="0AC676E9" w14:textId="77777777" w:rsidR="004A0123" w:rsidRPr="000D3D0C" w:rsidRDefault="004A0123" w:rsidP="008A5C11">
            <w:pPr>
              <w:jc w:val="center"/>
            </w:pPr>
            <w:r w:rsidRPr="000D3D0C">
              <w:t>+7 (3842) 36-28-28 </w:t>
            </w:r>
          </w:p>
        </w:tc>
      </w:tr>
      <w:tr w:rsidR="004A0123" w:rsidRPr="000D3D0C" w14:paraId="6117AAB6" w14:textId="77777777" w:rsidTr="008A5C11">
        <w:trPr>
          <w:trHeight w:val="634"/>
        </w:trPr>
        <w:tc>
          <w:tcPr>
            <w:tcW w:w="2528" w:type="pct"/>
            <w:tcBorders>
              <w:top w:val="single" w:sz="4" w:space="0" w:color="auto"/>
              <w:left w:val="single" w:sz="4" w:space="0" w:color="auto"/>
            </w:tcBorders>
            <w:shd w:val="clear" w:color="auto" w:fill="FFFFFF"/>
            <w:vAlign w:val="center"/>
          </w:tcPr>
          <w:p w14:paraId="1091D0A5" w14:textId="77777777" w:rsidR="004A0123" w:rsidRPr="000D3D0C" w:rsidRDefault="004A0123" w:rsidP="004A0123">
            <w:pPr>
              <w:widowControl w:val="0"/>
              <w:numPr>
                <w:ilvl w:val="0"/>
                <w:numId w:val="17"/>
              </w:numPr>
              <w:spacing w:line="230" w:lineRule="exact"/>
              <w:ind w:left="0" w:firstLine="0"/>
              <w:jc w:val="center"/>
            </w:pPr>
            <w:r w:rsidRPr="000D3D0C">
              <w:rPr>
                <w:color w:val="000000"/>
              </w:rPr>
              <w:t>Наименование органа местного самоуправления, согласовавшего инвестиционную программу</w:t>
            </w:r>
          </w:p>
        </w:tc>
        <w:tc>
          <w:tcPr>
            <w:tcW w:w="2472" w:type="pct"/>
            <w:tcBorders>
              <w:top w:val="single" w:sz="4" w:space="0" w:color="auto"/>
              <w:left w:val="single" w:sz="4" w:space="0" w:color="auto"/>
              <w:bottom w:val="single" w:sz="4" w:space="0" w:color="auto"/>
              <w:right w:val="single" w:sz="4" w:space="0" w:color="auto"/>
            </w:tcBorders>
            <w:shd w:val="clear" w:color="auto" w:fill="auto"/>
            <w:vAlign w:val="center"/>
          </w:tcPr>
          <w:p w14:paraId="44FE0BCE" w14:textId="77777777" w:rsidR="004A0123" w:rsidRPr="000D3D0C" w:rsidRDefault="004A0123" w:rsidP="008A5C11">
            <w:pPr>
              <w:autoSpaceDE w:val="0"/>
              <w:autoSpaceDN w:val="0"/>
              <w:adjustRightInd w:val="0"/>
              <w:jc w:val="center"/>
            </w:pPr>
            <w:r w:rsidRPr="000D3D0C">
              <w:t xml:space="preserve">Администрация Тайгинского городского округа </w:t>
            </w:r>
          </w:p>
        </w:tc>
      </w:tr>
      <w:tr w:rsidR="004A0123" w:rsidRPr="000D3D0C" w14:paraId="7906532C" w14:textId="77777777" w:rsidTr="008A5C11">
        <w:trPr>
          <w:trHeight w:val="634"/>
        </w:trPr>
        <w:tc>
          <w:tcPr>
            <w:tcW w:w="2528" w:type="pct"/>
            <w:tcBorders>
              <w:top w:val="single" w:sz="4" w:space="0" w:color="auto"/>
              <w:left w:val="single" w:sz="4" w:space="0" w:color="auto"/>
            </w:tcBorders>
            <w:shd w:val="clear" w:color="auto" w:fill="FFFFFF"/>
            <w:vAlign w:val="center"/>
          </w:tcPr>
          <w:p w14:paraId="63FCEFE4" w14:textId="77777777" w:rsidR="004A0123" w:rsidRPr="000D3D0C" w:rsidRDefault="004A0123" w:rsidP="004A0123">
            <w:pPr>
              <w:widowControl w:val="0"/>
              <w:numPr>
                <w:ilvl w:val="0"/>
                <w:numId w:val="17"/>
              </w:numPr>
              <w:spacing w:line="234" w:lineRule="exact"/>
              <w:ind w:left="0" w:firstLine="0"/>
              <w:jc w:val="center"/>
            </w:pPr>
            <w:r w:rsidRPr="000D3D0C">
              <w:rPr>
                <w:color w:val="000000"/>
              </w:rPr>
              <w:t>Местонахождение органа, согласовавшего инвестиционную программу</w:t>
            </w:r>
          </w:p>
        </w:tc>
        <w:tc>
          <w:tcPr>
            <w:tcW w:w="2472" w:type="pct"/>
            <w:tcBorders>
              <w:top w:val="nil"/>
              <w:left w:val="single" w:sz="4" w:space="0" w:color="auto"/>
              <w:bottom w:val="single" w:sz="4" w:space="0" w:color="auto"/>
              <w:right w:val="single" w:sz="4" w:space="0" w:color="auto"/>
            </w:tcBorders>
            <w:shd w:val="clear" w:color="auto" w:fill="auto"/>
            <w:vAlign w:val="center"/>
          </w:tcPr>
          <w:p w14:paraId="798BED9E" w14:textId="77777777" w:rsidR="004A0123" w:rsidRPr="000D3D0C" w:rsidRDefault="004A0123" w:rsidP="008A5C11">
            <w:pPr>
              <w:autoSpaceDE w:val="0"/>
              <w:autoSpaceDN w:val="0"/>
              <w:adjustRightInd w:val="0"/>
              <w:jc w:val="center"/>
            </w:pPr>
            <w:r w:rsidRPr="000D3D0C">
              <w:t xml:space="preserve">Кемеровская область – Кузбасс, </w:t>
            </w:r>
          </w:p>
          <w:p w14:paraId="0827C6E7" w14:textId="77777777" w:rsidR="004A0123" w:rsidRPr="000D3D0C" w:rsidRDefault="004A0123" w:rsidP="008A5C11">
            <w:pPr>
              <w:autoSpaceDE w:val="0"/>
              <w:autoSpaceDN w:val="0"/>
              <w:adjustRightInd w:val="0"/>
              <w:jc w:val="center"/>
            </w:pPr>
            <w:r w:rsidRPr="000D3D0C">
              <w:t xml:space="preserve">г. Тайга, ул. 40 лет Октября, д. 23 </w:t>
            </w:r>
          </w:p>
        </w:tc>
      </w:tr>
      <w:tr w:rsidR="004A0123" w:rsidRPr="000D3D0C" w14:paraId="3B7AB76E" w14:textId="77777777" w:rsidTr="008A5C11">
        <w:trPr>
          <w:trHeight w:val="637"/>
        </w:trPr>
        <w:tc>
          <w:tcPr>
            <w:tcW w:w="2528" w:type="pct"/>
            <w:tcBorders>
              <w:top w:val="single" w:sz="4" w:space="0" w:color="auto"/>
              <w:left w:val="single" w:sz="4" w:space="0" w:color="auto"/>
            </w:tcBorders>
            <w:shd w:val="clear" w:color="auto" w:fill="FFFFFF"/>
            <w:vAlign w:val="center"/>
          </w:tcPr>
          <w:p w14:paraId="02B1B53A" w14:textId="77777777" w:rsidR="004A0123" w:rsidRPr="000D3D0C" w:rsidRDefault="004A0123" w:rsidP="004A0123">
            <w:pPr>
              <w:widowControl w:val="0"/>
              <w:numPr>
                <w:ilvl w:val="0"/>
                <w:numId w:val="17"/>
              </w:numPr>
              <w:spacing w:line="230" w:lineRule="exact"/>
              <w:ind w:left="0" w:firstLine="0"/>
              <w:jc w:val="center"/>
            </w:pPr>
            <w:r w:rsidRPr="000D3D0C">
              <w:rPr>
                <w:color w:val="000000"/>
              </w:rPr>
              <w:t>Должностное лицо, согласовавшее инвестиционную программу</w:t>
            </w:r>
          </w:p>
        </w:tc>
        <w:tc>
          <w:tcPr>
            <w:tcW w:w="2472" w:type="pct"/>
            <w:tcBorders>
              <w:top w:val="nil"/>
              <w:left w:val="single" w:sz="4" w:space="0" w:color="auto"/>
              <w:bottom w:val="single" w:sz="4" w:space="0" w:color="auto"/>
              <w:right w:val="single" w:sz="4" w:space="0" w:color="auto"/>
            </w:tcBorders>
            <w:shd w:val="clear" w:color="auto" w:fill="auto"/>
            <w:vAlign w:val="center"/>
          </w:tcPr>
          <w:p w14:paraId="76821775" w14:textId="77777777" w:rsidR="004A0123" w:rsidRPr="000D3D0C" w:rsidRDefault="004A0123" w:rsidP="008A5C11">
            <w:pPr>
              <w:autoSpaceDE w:val="0"/>
              <w:autoSpaceDN w:val="0"/>
              <w:adjustRightInd w:val="0"/>
              <w:jc w:val="center"/>
            </w:pPr>
            <w:r w:rsidRPr="000D3D0C">
              <w:t xml:space="preserve">Глава Тайгинского городского округа </w:t>
            </w:r>
          </w:p>
          <w:p w14:paraId="77CAD5D8" w14:textId="77777777" w:rsidR="004A0123" w:rsidRPr="000D3D0C" w:rsidRDefault="004A0123" w:rsidP="008A5C11">
            <w:pPr>
              <w:autoSpaceDE w:val="0"/>
              <w:autoSpaceDN w:val="0"/>
              <w:adjustRightInd w:val="0"/>
              <w:jc w:val="center"/>
            </w:pPr>
            <w:r w:rsidRPr="000D3D0C">
              <w:t>Теремецкий Михаил Евгеньевич</w:t>
            </w:r>
          </w:p>
        </w:tc>
      </w:tr>
      <w:tr w:rsidR="004A0123" w:rsidRPr="000D3D0C" w14:paraId="73914D8B" w14:textId="77777777" w:rsidTr="008A5C11">
        <w:trPr>
          <w:trHeight w:val="688"/>
        </w:trPr>
        <w:tc>
          <w:tcPr>
            <w:tcW w:w="2528" w:type="pct"/>
            <w:tcBorders>
              <w:top w:val="single" w:sz="4" w:space="0" w:color="auto"/>
              <w:left w:val="single" w:sz="4" w:space="0" w:color="auto"/>
            </w:tcBorders>
            <w:shd w:val="clear" w:color="auto" w:fill="FFFFFF"/>
            <w:vAlign w:val="center"/>
          </w:tcPr>
          <w:p w14:paraId="6DDBC974" w14:textId="77777777" w:rsidR="004A0123" w:rsidRPr="000D3D0C" w:rsidRDefault="004A0123" w:rsidP="004A0123">
            <w:pPr>
              <w:widowControl w:val="0"/>
              <w:numPr>
                <w:ilvl w:val="0"/>
                <w:numId w:val="17"/>
              </w:numPr>
              <w:spacing w:line="200" w:lineRule="exact"/>
              <w:ind w:left="0" w:firstLine="0"/>
              <w:jc w:val="center"/>
            </w:pPr>
            <w:r w:rsidRPr="000D3D0C">
              <w:rPr>
                <w:color w:val="000000"/>
              </w:rPr>
              <w:t>Дата согласования инвестиционной программы</w:t>
            </w:r>
          </w:p>
        </w:tc>
        <w:tc>
          <w:tcPr>
            <w:tcW w:w="2472" w:type="pct"/>
            <w:tcBorders>
              <w:top w:val="single" w:sz="4" w:space="0" w:color="auto"/>
              <w:left w:val="single" w:sz="4" w:space="0" w:color="auto"/>
              <w:bottom w:val="single" w:sz="4" w:space="0" w:color="auto"/>
              <w:right w:val="single" w:sz="4" w:space="0" w:color="auto"/>
            </w:tcBorders>
            <w:shd w:val="clear" w:color="auto" w:fill="FFFFFF"/>
            <w:vAlign w:val="center"/>
          </w:tcPr>
          <w:p w14:paraId="23CC66D2" w14:textId="77777777" w:rsidR="004A0123" w:rsidRPr="000D3D0C" w:rsidRDefault="004A0123" w:rsidP="008A5C11">
            <w:pPr>
              <w:jc w:val="center"/>
            </w:pPr>
            <w:r w:rsidRPr="000D3D0C">
              <w:t>26.11.2021</w:t>
            </w:r>
          </w:p>
        </w:tc>
      </w:tr>
      <w:tr w:rsidR="004A0123" w:rsidRPr="000D3D0C" w14:paraId="4068F1B3" w14:textId="77777777" w:rsidTr="008A5C11">
        <w:trPr>
          <w:trHeight w:val="659"/>
        </w:trPr>
        <w:tc>
          <w:tcPr>
            <w:tcW w:w="2528" w:type="pct"/>
            <w:tcBorders>
              <w:top w:val="single" w:sz="4" w:space="0" w:color="auto"/>
              <w:left w:val="single" w:sz="4" w:space="0" w:color="auto"/>
              <w:bottom w:val="single" w:sz="4" w:space="0" w:color="auto"/>
            </w:tcBorders>
            <w:shd w:val="clear" w:color="auto" w:fill="FFFFFF"/>
            <w:vAlign w:val="center"/>
          </w:tcPr>
          <w:p w14:paraId="2858C3BC" w14:textId="77777777" w:rsidR="004A0123" w:rsidRPr="000D3D0C" w:rsidRDefault="004A0123" w:rsidP="004A0123">
            <w:pPr>
              <w:widowControl w:val="0"/>
              <w:numPr>
                <w:ilvl w:val="0"/>
                <w:numId w:val="17"/>
              </w:numPr>
              <w:spacing w:line="230" w:lineRule="exact"/>
              <w:ind w:left="0" w:firstLine="0"/>
              <w:jc w:val="center"/>
            </w:pPr>
            <w:r w:rsidRPr="000D3D0C">
              <w:rPr>
                <w:color w:val="000000"/>
              </w:rPr>
              <w:t>Контактная информация лица, ответственного за согласование инвестиционной программы</w:t>
            </w:r>
          </w:p>
        </w:tc>
        <w:tc>
          <w:tcPr>
            <w:tcW w:w="2472" w:type="pct"/>
            <w:tcBorders>
              <w:top w:val="single" w:sz="4" w:space="0" w:color="auto"/>
              <w:left w:val="single" w:sz="4" w:space="0" w:color="auto"/>
              <w:bottom w:val="single" w:sz="4" w:space="0" w:color="auto"/>
              <w:right w:val="single" w:sz="4" w:space="0" w:color="auto"/>
            </w:tcBorders>
            <w:shd w:val="clear" w:color="auto" w:fill="FFFFFF"/>
            <w:vAlign w:val="center"/>
          </w:tcPr>
          <w:p w14:paraId="7059CF0C" w14:textId="77777777" w:rsidR="004A0123" w:rsidRPr="000D3D0C" w:rsidRDefault="004A0123" w:rsidP="008A5C11">
            <w:pPr>
              <w:jc w:val="center"/>
            </w:pPr>
            <w:r w:rsidRPr="000D3D0C">
              <w:t>Тел. +</w:t>
            </w:r>
            <w:r w:rsidRPr="000D3D0C">
              <w:rPr>
                <w:sz w:val="20"/>
                <w:szCs w:val="20"/>
              </w:rPr>
              <w:t xml:space="preserve"> </w:t>
            </w:r>
            <w:r w:rsidRPr="000D3D0C">
              <w:t>7 (38448) 2-22-00</w:t>
            </w:r>
          </w:p>
        </w:tc>
      </w:tr>
    </w:tbl>
    <w:p w14:paraId="150D4110" w14:textId="77777777" w:rsidR="004A0123" w:rsidRPr="000D3D0C" w:rsidRDefault="004A0123" w:rsidP="004A0123">
      <w:pPr>
        <w:ind w:left="10348" w:right="-31"/>
        <w:jc w:val="center"/>
        <w:rPr>
          <w:sz w:val="28"/>
          <w:szCs w:val="28"/>
        </w:rPr>
      </w:pPr>
    </w:p>
    <w:p w14:paraId="3885BEE8" w14:textId="77777777" w:rsidR="004A0123" w:rsidRPr="000D3D0C" w:rsidRDefault="004A0123" w:rsidP="004A0123">
      <w:pPr>
        <w:ind w:left="10348" w:right="-31"/>
        <w:jc w:val="center"/>
        <w:rPr>
          <w:sz w:val="28"/>
          <w:szCs w:val="28"/>
        </w:rPr>
        <w:sectPr w:rsidR="004A0123" w:rsidRPr="000D3D0C" w:rsidSect="00521EA2">
          <w:headerReference w:type="first" r:id="rId72"/>
          <w:pgSz w:w="11906" w:h="16838"/>
          <w:pgMar w:top="1134" w:right="851" w:bottom="1134" w:left="1701" w:header="708" w:footer="418" w:gutter="0"/>
          <w:cols w:space="708"/>
          <w:docGrid w:linePitch="360"/>
        </w:sectPr>
      </w:pPr>
    </w:p>
    <w:p w14:paraId="7DF997AE" w14:textId="77777777" w:rsidR="004A0123" w:rsidRPr="000D3D0C" w:rsidRDefault="004A0123" w:rsidP="004A0123">
      <w:pPr>
        <w:autoSpaceDE w:val="0"/>
        <w:autoSpaceDN w:val="0"/>
        <w:adjustRightInd w:val="0"/>
        <w:jc w:val="center"/>
        <w:rPr>
          <w:b/>
          <w:bCs/>
          <w:sz w:val="28"/>
          <w:szCs w:val="28"/>
        </w:rPr>
      </w:pPr>
      <w:r w:rsidRPr="000D3D0C">
        <w:rPr>
          <w:b/>
          <w:bCs/>
          <w:sz w:val="28"/>
          <w:szCs w:val="28"/>
        </w:rPr>
        <w:t xml:space="preserve">Инвестиционная программа в сфере теплоснабжения </w:t>
      </w:r>
      <w:r w:rsidRPr="000D3D0C">
        <w:rPr>
          <w:b/>
          <w:color w:val="000000"/>
          <w:sz w:val="28"/>
          <w:szCs w:val="28"/>
        </w:rPr>
        <w:t>ОАО «Северо-Кузбасская энергетическая компания» по узлу теплоснабжения Тайгинского городского округа на 2021 - 2030 годы</w:t>
      </w:r>
    </w:p>
    <w:tbl>
      <w:tblPr>
        <w:tblW w:w="5293" w:type="pct"/>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56"/>
        <w:gridCol w:w="1803"/>
        <w:gridCol w:w="1107"/>
        <w:gridCol w:w="1202"/>
        <w:gridCol w:w="1039"/>
        <w:gridCol w:w="358"/>
        <w:gridCol w:w="558"/>
        <w:gridCol w:w="546"/>
        <w:gridCol w:w="580"/>
        <w:gridCol w:w="576"/>
        <w:gridCol w:w="576"/>
        <w:gridCol w:w="576"/>
        <w:gridCol w:w="450"/>
        <w:gridCol w:w="459"/>
        <w:gridCol w:w="561"/>
        <w:gridCol w:w="561"/>
        <w:gridCol w:w="475"/>
        <w:gridCol w:w="475"/>
        <w:gridCol w:w="481"/>
        <w:gridCol w:w="533"/>
        <w:gridCol w:w="481"/>
        <w:gridCol w:w="450"/>
        <w:gridCol w:w="561"/>
        <w:gridCol w:w="549"/>
      </w:tblGrid>
      <w:tr w:rsidR="004A0123" w:rsidRPr="000D3D0C" w14:paraId="309BE8EC" w14:textId="77777777" w:rsidTr="008A5C11">
        <w:trPr>
          <w:trHeight w:val="65"/>
        </w:trPr>
        <w:tc>
          <w:tcPr>
            <w:tcW w:w="148" w:type="pct"/>
            <w:vMerge w:val="restart"/>
            <w:shd w:val="clear" w:color="auto" w:fill="auto"/>
            <w:vAlign w:val="center"/>
            <w:hideMark/>
          </w:tcPr>
          <w:p w14:paraId="6B3CE066" w14:textId="77777777" w:rsidR="004A0123" w:rsidRPr="000D3D0C" w:rsidRDefault="004A0123" w:rsidP="008A5C11">
            <w:pPr>
              <w:jc w:val="center"/>
              <w:rPr>
                <w:bCs/>
                <w:sz w:val="13"/>
                <w:szCs w:val="13"/>
              </w:rPr>
            </w:pPr>
            <w:r w:rsidRPr="000D3D0C">
              <w:rPr>
                <w:bCs/>
                <w:sz w:val="13"/>
                <w:szCs w:val="13"/>
              </w:rPr>
              <w:t>№</w:t>
            </w:r>
            <w:r w:rsidRPr="000D3D0C">
              <w:rPr>
                <w:bCs/>
                <w:sz w:val="13"/>
                <w:szCs w:val="13"/>
              </w:rPr>
              <w:br/>
              <w:t>п/п</w:t>
            </w:r>
          </w:p>
        </w:tc>
        <w:tc>
          <w:tcPr>
            <w:tcW w:w="585" w:type="pct"/>
            <w:vMerge w:val="restart"/>
            <w:shd w:val="clear" w:color="auto" w:fill="auto"/>
            <w:vAlign w:val="center"/>
            <w:hideMark/>
          </w:tcPr>
          <w:p w14:paraId="1979A25E" w14:textId="77777777" w:rsidR="004A0123" w:rsidRPr="000D3D0C" w:rsidRDefault="004A0123" w:rsidP="008A5C11">
            <w:pPr>
              <w:jc w:val="center"/>
              <w:rPr>
                <w:bCs/>
                <w:sz w:val="13"/>
                <w:szCs w:val="13"/>
              </w:rPr>
            </w:pPr>
            <w:r w:rsidRPr="000D3D0C">
              <w:rPr>
                <w:bCs/>
                <w:sz w:val="13"/>
                <w:szCs w:val="13"/>
              </w:rPr>
              <w:t>Наименование</w:t>
            </w:r>
            <w:r w:rsidRPr="000D3D0C">
              <w:rPr>
                <w:bCs/>
                <w:sz w:val="13"/>
                <w:szCs w:val="13"/>
              </w:rPr>
              <w:br/>
              <w:t>мероприятий</w:t>
            </w:r>
          </w:p>
        </w:tc>
        <w:tc>
          <w:tcPr>
            <w:tcW w:w="359" w:type="pct"/>
            <w:vMerge w:val="restart"/>
            <w:shd w:val="clear" w:color="auto" w:fill="auto"/>
            <w:vAlign w:val="center"/>
            <w:hideMark/>
          </w:tcPr>
          <w:p w14:paraId="6A56A69E" w14:textId="77777777" w:rsidR="004A0123" w:rsidRPr="000D3D0C" w:rsidRDefault="004A0123" w:rsidP="008A5C11">
            <w:pPr>
              <w:jc w:val="center"/>
              <w:rPr>
                <w:bCs/>
                <w:sz w:val="13"/>
                <w:szCs w:val="13"/>
              </w:rPr>
            </w:pPr>
            <w:r w:rsidRPr="000D3D0C">
              <w:rPr>
                <w:bCs/>
                <w:sz w:val="13"/>
                <w:szCs w:val="13"/>
              </w:rPr>
              <w:t>Обоснование необходимости (цель реализации)</w:t>
            </w:r>
          </w:p>
        </w:tc>
        <w:tc>
          <w:tcPr>
            <w:tcW w:w="390" w:type="pct"/>
            <w:vMerge w:val="restart"/>
            <w:shd w:val="clear" w:color="auto" w:fill="auto"/>
            <w:vAlign w:val="center"/>
            <w:hideMark/>
          </w:tcPr>
          <w:p w14:paraId="1942FDA0" w14:textId="77777777" w:rsidR="004A0123" w:rsidRPr="000D3D0C" w:rsidRDefault="004A0123" w:rsidP="008A5C11">
            <w:pPr>
              <w:jc w:val="center"/>
              <w:rPr>
                <w:bCs/>
                <w:sz w:val="13"/>
                <w:szCs w:val="13"/>
              </w:rPr>
            </w:pPr>
            <w:r w:rsidRPr="000D3D0C">
              <w:rPr>
                <w:bCs/>
                <w:sz w:val="13"/>
                <w:szCs w:val="13"/>
              </w:rPr>
              <w:t>Описание и место расположения</w:t>
            </w:r>
            <w:r w:rsidRPr="000D3D0C">
              <w:rPr>
                <w:bCs/>
                <w:sz w:val="13"/>
                <w:szCs w:val="13"/>
              </w:rPr>
              <w:br/>
              <w:t>объекта</w:t>
            </w:r>
          </w:p>
        </w:tc>
        <w:tc>
          <w:tcPr>
            <w:tcW w:w="811" w:type="pct"/>
            <w:gridSpan w:val="4"/>
            <w:shd w:val="clear" w:color="auto" w:fill="auto"/>
            <w:vAlign w:val="center"/>
            <w:hideMark/>
          </w:tcPr>
          <w:p w14:paraId="3A08B120" w14:textId="77777777" w:rsidR="004A0123" w:rsidRPr="000D3D0C" w:rsidRDefault="004A0123" w:rsidP="008A5C11">
            <w:pPr>
              <w:jc w:val="center"/>
              <w:rPr>
                <w:bCs/>
                <w:sz w:val="13"/>
                <w:szCs w:val="13"/>
              </w:rPr>
            </w:pPr>
            <w:r w:rsidRPr="000D3D0C">
              <w:rPr>
                <w:bCs/>
                <w:sz w:val="13"/>
                <w:szCs w:val="13"/>
              </w:rPr>
              <w:t>Основные технические характеристики</w:t>
            </w:r>
          </w:p>
        </w:tc>
        <w:tc>
          <w:tcPr>
            <w:tcW w:w="188" w:type="pct"/>
            <w:vMerge w:val="restart"/>
            <w:shd w:val="clear" w:color="auto" w:fill="auto"/>
            <w:vAlign w:val="center"/>
            <w:hideMark/>
          </w:tcPr>
          <w:p w14:paraId="7A7FF5D5" w14:textId="77777777" w:rsidR="004A0123" w:rsidRPr="000D3D0C" w:rsidRDefault="004A0123" w:rsidP="008A5C11">
            <w:pPr>
              <w:ind w:left="-27"/>
              <w:jc w:val="center"/>
              <w:rPr>
                <w:bCs/>
                <w:sz w:val="13"/>
                <w:szCs w:val="13"/>
              </w:rPr>
            </w:pPr>
            <w:r w:rsidRPr="000D3D0C">
              <w:rPr>
                <w:bCs/>
                <w:sz w:val="13"/>
                <w:szCs w:val="13"/>
              </w:rPr>
              <w:t xml:space="preserve">Год начала </w:t>
            </w:r>
            <w:proofErr w:type="gramStart"/>
            <w:r w:rsidRPr="000D3D0C">
              <w:rPr>
                <w:bCs/>
                <w:sz w:val="13"/>
                <w:szCs w:val="13"/>
              </w:rPr>
              <w:t>реализа-ции</w:t>
            </w:r>
            <w:proofErr w:type="gramEnd"/>
            <w:r w:rsidRPr="000D3D0C">
              <w:rPr>
                <w:bCs/>
                <w:sz w:val="13"/>
                <w:szCs w:val="13"/>
              </w:rPr>
              <w:t xml:space="preserve"> меропри-ятия</w:t>
            </w:r>
          </w:p>
        </w:tc>
        <w:tc>
          <w:tcPr>
            <w:tcW w:w="187" w:type="pct"/>
            <w:vMerge w:val="restart"/>
            <w:shd w:val="clear" w:color="auto" w:fill="auto"/>
            <w:vAlign w:val="center"/>
            <w:hideMark/>
          </w:tcPr>
          <w:p w14:paraId="1A06EB16" w14:textId="77777777" w:rsidR="004A0123" w:rsidRPr="000D3D0C" w:rsidRDefault="004A0123" w:rsidP="008A5C11">
            <w:pPr>
              <w:ind w:left="-3"/>
              <w:jc w:val="center"/>
              <w:rPr>
                <w:bCs/>
                <w:sz w:val="13"/>
                <w:szCs w:val="13"/>
              </w:rPr>
            </w:pPr>
            <w:r w:rsidRPr="000D3D0C">
              <w:rPr>
                <w:bCs/>
                <w:sz w:val="13"/>
                <w:szCs w:val="13"/>
              </w:rPr>
              <w:t xml:space="preserve">Год </w:t>
            </w:r>
            <w:proofErr w:type="gramStart"/>
            <w:r w:rsidRPr="000D3D0C">
              <w:rPr>
                <w:bCs/>
                <w:sz w:val="13"/>
                <w:szCs w:val="13"/>
              </w:rPr>
              <w:t>оконча-ния</w:t>
            </w:r>
            <w:proofErr w:type="gramEnd"/>
            <w:r w:rsidRPr="000D3D0C">
              <w:rPr>
                <w:bCs/>
                <w:sz w:val="13"/>
                <w:szCs w:val="13"/>
              </w:rPr>
              <w:t xml:space="preserve"> реализа-ции меропри-ятия</w:t>
            </w:r>
          </w:p>
        </w:tc>
        <w:tc>
          <w:tcPr>
            <w:tcW w:w="2332" w:type="pct"/>
            <w:gridSpan w:val="14"/>
            <w:vAlign w:val="center"/>
          </w:tcPr>
          <w:p w14:paraId="16756477" w14:textId="77777777" w:rsidR="004A0123" w:rsidRPr="000D3D0C" w:rsidRDefault="004A0123" w:rsidP="008A5C11">
            <w:pPr>
              <w:jc w:val="center"/>
              <w:rPr>
                <w:bCs/>
                <w:sz w:val="13"/>
                <w:szCs w:val="13"/>
              </w:rPr>
            </w:pPr>
            <w:r w:rsidRPr="000D3D0C">
              <w:rPr>
                <w:bCs/>
                <w:sz w:val="13"/>
                <w:szCs w:val="13"/>
              </w:rPr>
              <w:t>Расходы на реализацию мероприятий в прогнозных ценах, тыс. руб. (с НДС)</w:t>
            </w:r>
          </w:p>
        </w:tc>
      </w:tr>
      <w:tr w:rsidR="004A0123" w:rsidRPr="000D3D0C" w14:paraId="2557BC4E" w14:textId="77777777" w:rsidTr="008A5C11">
        <w:trPr>
          <w:trHeight w:val="118"/>
        </w:trPr>
        <w:tc>
          <w:tcPr>
            <w:tcW w:w="148" w:type="pct"/>
            <w:vMerge/>
            <w:shd w:val="clear" w:color="auto" w:fill="auto"/>
            <w:vAlign w:val="center"/>
            <w:hideMark/>
          </w:tcPr>
          <w:p w14:paraId="68436858" w14:textId="77777777" w:rsidR="004A0123" w:rsidRPr="000D3D0C" w:rsidRDefault="004A0123" w:rsidP="008A5C11">
            <w:pPr>
              <w:rPr>
                <w:bCs/>
                <w:sz w:val="13"/>
                <w:szCs w:val="13"/>
              </w:rPr>
            </w:pPr>
          </w:p>
        </w:tc>
        <w:tc>
          <w:tcPr>
            <w:tcW w:w="585" w:type="pct"/>
            <w:vMerge/>
            <w:shd w:val="clear" w:color="auto" w:fill="auto"/>
            <w:vAlign w:val="center"/>
            <w:hideMark/>
          </w:tcPr>
          <w:p w14:paraId="7D06E429" w14:textId="77777777" w:rsidR="004A0123" w:rsidRPr="000D3D0C" w:rsidRDefault="004A0123" w:rsidP="008A5C11">
            <w:pPr>
              <w:rPr>
                <w:bCs/>
                <w:sz w:val="13"/>
                <w:szCs w:val="13"/>
              </w:rPr>
            </w:pPr>
          </w:p>
        </w:tc>
        <w:tc>
          <w:tcPr>
            <w:tcW w:w="359" w:type="pct"/>
            <w:vMerge/>
            <w:shd w:val="clear" w:color="auto" w:fill="auto"/>
            <w:vAlign w:val="center"/>
            <w:hideMark/>
          </w:tcPr>
          <w:p w14:paraId="0C6C0431" w14:textId="77777777" w:rsidR="004A0123" w:rsidRPr="000D3D0C" w:rsidRDefault="004A0123" w:rsidP="008A5C11">
            <w:pPr>
              <w:rPr>
                <w:bCs/>
                <w:sz w:val="13"/>
                <w:szCs w:val="13"/>
              </w:rPr>
            </w:pPr>
          </w:p>
        </w:tc>
        <w:tc>
          <w:tcPr>
            <w:tcW w:w="390" w:type="pct"/>
            <w:vMerge/>
            <w:shd w:val="clear" w:color="auto" w:fill="auto"/>
            <w:vAlign w:val="center"/>
            <w:hideMark/>
          </w:tcPr>
          <w:p w14:paraId="26E972B1" w14:textId="77777777" w:rsidR="004A0123" w:rsidRPr="000D3D0C" w:rsidRDefault="004A0123" w:rsidP="008A5C11">
            <w:pPr>
              <w:rPr>
                <w:bCs/>
                <w:sz w:val="13"/>
                <w:szCs w:val="13"/>
              </w:rPr>
            </w:pPr>
          </w:p>
        </w:tc>
        <w:tc>
          <w:tcPr>
            <w:tcW w:w="337" w:type="pct"/>
            <w:vMerge w:val="restart"/>
            <w:shd w:val="clear" w:color="auto" w:fill="auto"/>
            <w:vAlign w:val="center"/>
            <w:hideMark/>
          </w:tcPr>
          <w:p w14:paraId="64E1AE31" w14:textId="77777777" w:rsidR="004A0123" w:rsidRPr="000D3D0C" w:rsidRDefault="004A0123" w:rsidP="008A5C11">
            <w:pPr>
              <w:jc w:val="center"/>
              <w:rPr>
                <w:bCs/>
                <w:sz w:val="13"/>
                <w:szCs w:val="13"/>
              </w:rPr>
            </w:pPr>
            <w:r w:rsidRPr="000D3D0C">
              <w:rPr>
                <w:bCs/>
                <w:sz w:val="13"/>
                <w:szCs w:val="13"/>
              </w:rPr>
              <w:t xml:space="preserve">Наименование показателя (мощность, протяженность, диаметр </w:t>
            </w:r>
          </w:p>
          <w:p w14:paraId="40E468FD" w14:textId="77777777" w:rsidR="004A0123" w:rsidRPr="000D3D0C" w:rsidRDefault="004A0123" w:rsidP="008A5C11">
            <w:pPr>
              <w:jc w:val="center"/>
              <w:rPr>
                <w:bCs/>
                <w:sz w:val="13"/>
                <w:szCs w:val="13"/>
              </w:rPr>
            </w:pPr>
            <w:r w:rsidRPr="000D3D0C">
              <w:rPr>
                <w:bCs/>
                <w:sz w:val="13"/>
                <w:szCs w:val="13"/>
              </w:rPr>
              <w:t>и т.п.)</w:t>
            </w:r>
          </w:p>
        </w:tc>
        <w:tc>
          <w:tcPr>
            <w:tcW w:w="116" w:type="pct"/>
            <w:vMerge w:val="restart"/>
            <w:shd w:val="clear" w:color="auto" w:fill="auto"/>
            <w:vAlign w:val="center"/>
            <w:hideMark/>
          </w:tcPr>
          <w:p w14:paraId="159C8DED" w14:textId="77777777" w:rsidR="004A0123" w:rsidRPr="000D3D0C" w:rsidRDefault="004A0123" w:rsidP="008A5C11">
            <w:pPr>
              <w:ind w:left="-108" w:right="-108"/>
              <w:jc w:val="center"/>
              <w:rPr>
                <w:bCs/>
                <w:sz w:val="13"/>
                <w:szCs w:val="13"/>
              </w:rPr>
            </w:pPr>
            <w:r w:rsidRPr="000D3D0C">
              <w:rPr>
                <w:bCs/>
                <w:sz w:val="13"/>
                <w:szCs w:val="13"/>
              </w:rPr>
              <w:t>Ед.</w:t>
            </w:r>
            <w:r w:rsidRPr="000D3D0C">
              <w:rPr>
                <w:bCs/>
                <w:sz w:val="13"/>
                <w:szCs w:val="13"/>
              </w:rPr>
              <w:br/>
              <w:t>изм.</w:t>
            </w:r>
          </w:p>
        </w:tc>
        <w:tc>
          <w:tcPr>
            <w:tcW w:w="358" w:type="pct"/>
            <w:gridSpan w:val="2"/>
            <w:shd w:val="clear" w:color="auto" w:fill="auto"/>
            <w:vAlign w:val="center"/>
            <w:hideMark/>
          </w:tcPr>
          <w:p w14:paraId="31FD72AC" w14:textId="77777777" w:rsidR="004A0123" w:rsidRPr="000D3D0C" w:rsidRDefault="004A0123" w:rsidP="008A5C11">
            <w:pPr>
              <w:jc w:val="center"/>
              <w:rPr>
                <w:bCs/>
                <w:sz w:val="13"/>
                <w:szCs w:val="13"/>
              </w:rPr>
            </w:pPr>
            <w:r w:rsidRPr="000D3D0C">
              <w:rPr>
                <w:bCs/>
                <w:sz w:val="13"/>
                <w:szCs w:val="13"/>
              </w:rPr>
              <w:t>Значение показателя</w:t>
            </w:r>
          </w:p>
        </w:tc>
        <w:tc>
          <w:tcPr>
            <w:tcW w:w="188" w:type="pct"/>
            <w:vMerge/>
            <w:shd w:val="clear" w:color="auto" w:fill="auto"/>
            <w:vAlign w:val="center"/>
            <w:hideMark/>
          </w:tcPr>
          <w:p w14:paraId="63250574" w14:textId="77777777" w:rsidR="004A0123" w:rsidRPr="000D3D0C" w:rsidRDefault="004A0123" w:rsidP="008A5C11">
            <w:pPr>
              <w:rPr>
                <w:bCs/>
                <w:sz w:val="13"/>
                <w:szCs w:val="13"/>
              </w:rPr>
            </w:pPr>
          </w:p>
        </w:tc>
        <w:tc>
          <w:tcPr>
            <w:tcW w:w="187" w:type="pct"/>
            <w:vMerge/>
            <w:shd w:val="clear" w:color="auto" w:fill="auto"/>
            <w:vAlign w:val="center"/>
            <w:hideMark/>
          </w:tcPr>
          <w:p w14:paraId="1E4F0C3C" w14:textId="77777777" w:rsidR="004A0123" w:rsidRPr="000D3D0C" w:rsidRDefault="004A0123" w:rsidP="008A5C11">
            <w:pPr>
              <w:rPr>
                <w:bCs/>
                <w:sz w:val="13"/>
                <w:szCs w:val="13"/>
              </w:rPr>
            </w:pPr>
          </w:p>
        </w:tc>
        <w:tc>
          <w:tcPr>
            <w:tcW w:w="187" w:type="pct"/>
            <w:vMerge w:val="restart"/>
            <w:shd w:val="clear" w:color="auto" w:fill="auto"/>
            <w:vAlign w:val="center"/>
            <w:hideMark/>
          </w:tcPr>
          <w:p w14:paraId="59950C26" w14:textId="77777777" w:rsidR="004A0123" w:rsidRPr="000D3D0C" w:rsidRDefault="004A0123" w:rsidP="008A5C11">
            <w:pPr>
              <w:jc w:val="center"/>
              <w:rPr>
                <w:bCs/>
                <w:sz w:val="13"/>
                <w:szCs w:val="13"/>
              </w:rPr>
            </w:pPr>
            <w:r w:rsidRPr="000D3D0C">
              <w:rPr>
                <w:bCs/>
                <w:sz w:val="13"/>
                <w:szCs w:val="13"/>
              </w:rPr>
              <w:t>Всего</w:t>
            </w:r>
          </w:p>
        </w:tc>
        <w:tc>
          <w:tcPr>
            <w:tcW w:w="187" w:type="pct"/>
            <w:vMerge w:val="restart"/>
            <w:shd w:val="clear" w:color="auto" w:fill="auto"/>
            <w:vAlign w:val="center"/>
            <w:hideMark/>
          </w:tcPr>
          <w:p w14:paraId="45FFEA0B" w14:textId="77777777" w:rsidR="004A0123" w:rsidRPr="000D3D0C" w:rsidRDefault="004A0123" w:rsidP="008A5C11">
            <w:pPr>
              <w:jc w:val="center"/>
              <w:rPr>
                <w:bCs/>
                <w:sz w:val="13"/>
                <w:szCs w:val="13"/>
              </w:rPr>
            </w:pPr>
            <w:r w:rsidRPr="000D3D0C">
              <w:rPr>
                <w:bCs/>
                <w:sz w:val="13"/>
                <w:szCs w:val="13"/>
              </w:rPr>
              <w:t xml:space="preserve">Профи-нанси-ровано </w:t>
            </w:r>
          </w:p>
          <w:p w14:paraId="05C2727B" w14:textId="77777777" w:rsidR="004A0123" w:rsidRPr="000D3D0C" w:rsidRDefault="004A0123" w:rsidP="008A5C11">
            <w:pPr>
              <w:jc w:val="center"/>
              <w:rPr>
                <w:bCs/>
                <w:sz w:val="13"/>
                <w:szCs w:val="13"/>
              </w:rPr>
            </w:pPr>
            <w:r w:rsidRPr="000D3D0C">
              <w:rPr>
                <w:bCs/>
                <w:sz w:val="13"/>
                <w:szCs w:val="13"/>
              </w:rPr>
              <w:t>к 2021</w:t>
            </w:r>
          </w:p>
        </w:tc>
        <w:tc>
          <w:tcPr>
            <w:tcW w:w="1598" w:type="pct"/>
            <w:gridSpan w:val="10"/>
            <w:shd w:val="clear" w:color="auto" w:fill="auto"/>
            <w:vAlign w:val="center"/>
            <w:hideMark/>
          </w:tcPr>
          <w:p w14:paraId="0FAE7AEE" w14:textId="77777777" w:rsidR="004A0123" w:rsidRPr="000D3D0C" w:rsidRDefault="004A0123" w:rsidP="008A5C11">
            <w:pPr>
              <w:jc w:val="center"/>
              <w:rPr>
                <w:bCs/>
                <w:sz w:val="13"/>
                <w:szCs w:val="13"/>
              </w:rPr>
            </w:pPr>
            <w:r w:rsidRPr="000D3D0C">
              <w:rPr>
                <w:bCs/>
                <w:sz w:val="13"/>
                <w:szCs w:val="13"/>
              </w:rPr>
              <w:t>в т.ч. по годам</w:t>
            </w:r>
          </w:p>
        </w:tc>
        <w:tc>
          <w:tcPr>
            <w:tcW w:w="182" w:type="pct"/>
            <w:vMerge w:val="restart"/>
          </w:tcPr>
          <w:p w14:paraId="33AEB050" w14:textId="77777777" w:rsidR="004A0123" w:rsidRPr="000D3D0C" w:rsidRDefault="004A0123" w:rsidP="008A5C11">
            <w:pPr>
              <w:jc w:val="center"/>
              <w:rPr>
                <w:sz w:val="13"/>
                <w:szCs w:val="13"/>
              </w:rPr>
            </w:pPr>
          </w:p>
          <w:p w14:paraId="4FAEBB36" w14:textId="77777777" w:rsidR="004A0123" w:rsidRPr="000D3D0C" w:rsidRDefault="004A0123" w:rsidP="008A5C11">
            <w:pPr>
              <w:jc w:val="center"/>
              <w:rPr>
                <w:sz w:val="13"/>
                <w:szCs w:val="13"/>
              </w:rPr>
            </w:pPr>
            <w:r w:rsidRPr="000D3D0C">
              <w:rPr>
                <w:sz w:val="13"/>
                <w:szCs w:val="13"/>
              </w:rPr>
              <w:t>Остаток финан-сирова-ния</w:t>
            </w:r>
          </w:p>
        </w:tc>
        <w:tc>
          <w:tcPr>
            <w:tcW w:w="178" w:type="pct"/>
            <w:vMerge w:val="restart"/>
          </w:tcPr>
          <w:p w14:paraId="7D50F1C3" w14:textId="77777777" w:rsidR="004A0123" w:rsidRPr="000D3D0C" w:rsidRDefault="004A0123" w:rsidP="008A5C11">
            <w:pPr>
              <w:ind w:left="-30" w:right="-34"/>
              <w:jc w:val="center"/>
              <w:rPr>
                <w:bCs/>
                <w:sz w:val="13"/>
                <w:szCs w:val="13"/>
              </w:rPr>
            </w:pPr>
            <w:r w:rsidRPr="000D3D0C">
              <w:rPr>
                <w:bCs/>
                <w:sz w:val="13"/>
                <w:szCs w:val="13"/>
              </w:rPr>
              <w:t>в т.</w:t>
            </w:r>
            <w:r w:rsidRPr="000D3D0C">
              <w:rPr>
                <w:sz w:val="13"/>
                <w:szCs w:val="13"/>
              </w:rPr>
              <w:t xml:space="preserve">ч. за счет платы за </w:t>
            </w:r>
            <w:proofErr w:type="gramStart"/>
            <w:r w:rsidRPr="000D3D0C">
              <w:rPr>
                <w:sz w:val="13"/>
                <w:szCs w:val="13"/>
              </w:rPr>
              <w:t>подклю-чение</w:t>
            </w:r>
            <w:proofErr w:type="gramEnd"/>
          </w:p>
        </w:tc>
      </w:tr>
      <w:tr w:rsidR="004A0123" w:rsidRPr="000D3D0C" w14:paraId="4AD86F94" w14:textId="77777777" w:rsidTr="008A5C11">
        <w:trPr>
          <w:trHeight w:val="519"/>
        </w:trPr>
        <w:tc>
          <w:tcPr>
            <w:tcW w:w="148" w:type="pct"/>
            <w:vMerge/>
            <w:shd w:val="clear" w:color="auto" w:fill="auto"/>
            <w:vAlign w:val="center"/>
            <w:hideMark/>
          </w:tcPr>
          <w:p w14:paraId="31DFB68E" w14:textId="77777777" w:rsidR="004A0123" w:rsidRPr="000D3D0C" w:rsidRDefault="004A0123" w:rsidP="008A5C11">
            <w:pPr>
              <w:rPr>
                <w:bCs/>
                <w:sz w:val="13"/>
                <w:szCs w:val="13"/>
              </w:rPr>
            </w:pPr>
          </w:p>
        </w:tc>
        <w:tc>
          <w:tcPr>
            <w:tcW w:w="585" w:type="pct"/>
            <w:vMerge/>
            <w:shd w:val="clear" w:color="auto" w:fill="auto"/>
            <w:vAlign w:val="center"/>
            <w:hideMark/>
          </w:tcPr>
          <w:p w14:paraId="6E6B4498" w14:textId="77777777" w:rsidR="004A0123" w:rsidRPr="000D3D0C" w:rsidRDefault="004A0123" w:rsidP="008A5C11">
            <w:pPr>
              <w:rPr>
                <w:bCs/>
                <w:sz w:val="13"/>
                <w:szCs w:val="13"/>
              </w:rPr>
            </w:pPr>
          </w:p>
        </w:tc>
        <w:tc>
          <w:tcPr>
            <w:tcW w:w="359" w:type="pct"/>
            <w:vMerge/>
            <w:shd w:val="clear" w:color="auto" w:fill="auto"/>
            <w:vAlign w:val="center"/>
            <w:hideMark/>
          </w:tcPr>
          <w:p w14:paraId="24336159" w14:textId="77777777" w:rsidR="004A0123" w:rsidRPr="000D3D0C" w:rsidRDefault="004A0123" w:rsidP="008A5C11">
            <w:pPr>
              <w:rPr>
                <w:bCs/>
                <w:sz w:val="13"/>
                <w:szCs w:val="13"/>
              </w:rPr>
            </w:pPr>
          </w:p>
        </w:tc>
        <w:tc>
          <w:tcPr>
            <w:tcW w:w="390" w:type="pct"/>
            <w:vMerge/>
            <w:shd w:val="clear" w:color="auto" w:fill="auto"/>
            <w:vAlign w:val="center"/>
            <w:hideMark/>
          </w:tcPr>
          <w:p w14:paraId="622A5CFC" w14:textId="77777777" w:rsidR="004A0123" w:rsidRPr="000D3D0C" w:rsidRDefault="004A0123" w:rsidP="008A5C11">
            <w:pPr>
              <w:rPr>
                <w:bCs/>
                <w:sz w:val="13"/>
                <w:szCs w:val="13"/>
              </w:rPr>
            </w:pPr>
          </w:p>
        </w:tc>
        <w:tc>
          <w:tcPr>
            <w:tcW w:w="337" w:type="pct"/>
            <w:vMerge/>
            <w:shd w:val="clear" w:color="auto" w:fill="auto"/>
            <w:vAlign w:val="center"/>
            <w:hideMark/>
          </w:tcPr>
          <w:p w14:paraId="0E3E1E98" w14:textId="77777777" w:rsidR="004A0123" w:rsidRPr="000D3D0C" w:rsidRDefault="004A0123" w:rsidP="008A5C11">
            <w:pPr>
              <w:rPr>
                <w:bCs/>
                <w:sz w:val="13"/>
                <w:szCs w:val="13"/>
              </w:rPr>
            </w:pPr>
          </w:p>
        </w:tc>
        <w:tc>
          <w:tcPr>
            <w:tcW w:w="116" w:type="pct"/>
            <w:vMerge/>
            <w:shd w:val="clear" w:color="auto" w:fill="auto"/>
            <w:vAlign w:val="center"/>
            <w:hideMark/>
          </w:tcPr>
          <w:p w14:paraId="0028680B" w14:textId="77777777" w:rsidR="004A0123" w:rsidRPr="000D3D0C" w:rsidRDefault="004A0123" w:rsidP="008A5C11">
            <w:pPr>
              <w:rPr>
                <w:bCs/>
                <w:sz w:val="13"/>
                <w:szCs w:val="13"/>
              </w:rPr>
            </w:pPr>
          </w:p>
        </w:tc>
        <w:tc>
          <w:tcPr>
            <w:tcW w:w="181" w:type="pct"/>
            <w:shd w:val="clear" w:color="auto" w:fill="auto"/>
            <w:vAlign w:val="center"/>
            <w:hideMark/>
          </w:tcPr>
          <w:p w14:paraId="292C11AA" w14:textId="77777777" w:rsidR="004A0123" w:rsidRPr="000D3D0C" w:rsidRDefault="004A0123" w:rsidP="008A5C11">
            <w:pPr>
              <w:jc w:val="center"/>
              <w:rPr>
                <w:bCs/>
                <w:sz w:val="13"/>
                <w:szCs w:val="13"/>
              </w:rPr>
            </w:pPr>
            <w:r w:rsidRPr="000D3D0C">
              <w:rPr>
                <w:bCs/>
                <w:sz w:val="13"/>
                <w:szCs w:val="13"/>
              </w:rPr>
              <w:t xml:space="preserve">до </w:t>
            </w:r>
            <w:proofErr w:type="gramStart"/>
            <w:r w:rsidRPr="000D3D0C">
              <w:rPr>
                <w:bCs/>
                <w:sz w:val="13"/>
                <w:szCs w:val="13"/>
              </w:rPr>
              <w:t>реа-лизации</w:t>
            </w:r>
            <w:proofErr w:type="gramEnd"/>
            <w:r w:rsidRPr="000D3D0C">
              <w:rPr>
                <w:bCs/>
                <w:sz w:val="13"/>
                <w:szCs w:val="13"/>
              </w:rPr>
              <w:t xml:space="preserve"> меро-приятия</w:t>
            </w:r>
          </w:p>
        </w:tc>
        <w:tc>
          <w:tcPr>
            <w:tcW w:w="177" w:type="pct"/>
            <w:shd w:val="clear" w:color="auto" w:fill="auto"/>
            <w:vAlign w:val="center"/>
            <w:hideMark/>
          </w:tcPr>
          <w:p w14:paraId="1AAE6BEC" w14:textId="77777777" w:rsidR="004A0123" w:rsidRPr="000D3D0C" w:rsidRDefault="004A0123" w:rsidP="008A5C11">
            <w:pPr>
              <w:jc w:val="center"/>
              <w:rPr>
                <w:bCs/>
                <w:sz w:val="13"/>
                <w:szCs w:val="13"/>
              </w:rPr>
            </w:pPr>
            <w:r w:rsidRPr="000D3D0C">
              <w:rPr>
                <w:bCs/>
                <w:sz w:val="13"/>
                <w:szCs w:val="13"/>
              </w:rPr>
              <w:t xml:space="preserve">после </w:t>
            </w:r>
            <w:proofErr w:type="gramStart"/>
            <w:r w:rsidRPr="000D3D0C">
              <w:rPr>
                <w:bCs/>
                <w:sz w:val="13"/>
                <w:szCs w:val="13"/>
              </w:rPr>
              <w:t>реали-зации</w:t>
            </w:r>
            <w:proofErr w:type="gramEnd"/>
            <w:r w:rsidRPr="000D3D0C">
              <w:rPr>
                <w:bCs/>
                <w:sz w:val="13"/>
                <w:szCs w:val="13"/>
              </w:rPr>
              <w:t xml:space="preserve"> меро-приятия</w:t>
            </w:r>
          </w:p>
        </w:tc>
        <w:tc>
          <w:tcPr>
            <w:tcW w:w="188" w:type="pct"/>
            <w:vMerge/>
            <w:shd w:val="clear" w:color="auto" w:fill="auto"/>
            <w:vAlign w:val="center"/>
            <w:hideMark/>
          </w:tcPr>
          <w:p w14:paraId="306EF156" w14:textId="77777777" w:rsidR="004A0123" w:rsidRPr="000D3D0C" w:rsidRDefault="004A0123" w:rsidP="008A5C11">
            <w:pPr>
              <w:rPr>
                <w:bCs/>
                <w:sz w:val="13"/>
                <w:szCs w:val="13"/>
              </w:rPr>
            </w:pPr>
          </w:p>
        </w:tc>
        <w:tc>
          <w:tcPr>
            <w:tcW w:w="187" w:type="pct"/>
            <w:vMerge/>
            <w:shd w:val="clear" w:color="auto" w:fill="auto"/>
            <w:vAlign w:val="center"/>
            <w:hideMark/>
          </w:tcPr>
          <w:p w14:paraId="2B2D375A" w14:textId="77777777" w:rsidR="004A0123" w:rsidRPr="000D3D0C" w:rsidRDefault="004A0123" w:rsidP="008A5C11">
            <w:pPr>
              <w:rPr>
                <w:bCs/>
                <w:sz w:val="13"/>
                <w:szCs w:val="13"/>
              </w:rPr>
            </w:pPr>
          </w:p>
        </w:tc>
        <w:tc>
          <w:tcPr>
            <w:tcW w:w="187" w:type="pct"/>
            <w:vMerge/>
            <w:shd w:val="clear" w:color="auto" w:fill="auto"/>
            <w:vAlign w:val="center"/>
            <w:hideMark/>
          </w:tcPr>
          <w:p w14:paraId="00B139A3" w14:textId="77777777" w:rsidR="004A0123" w:rsidRPr="000D3D0C" w:rsidRDefault="004A0123" w:rsidP="008A5C11">
            <w:pPr>
              <w:rPr>
                <w:bCs/>
                <w:sz w:val="13"/>
                <w:szCs w:val="13"/>
              </w:rPr>
            </w:pPr>
          </w:p>
        </w:tc>
        <w:tc>
          <w:tcPr>
            <w:tcW w:w="187" w:type="pct"/>
            <w:vMerge/>
            <w:shd w:val="clear" w:color="auto" w:fill="auto"/>
            <w:vAlign w:val="center"/>
            <w:hideMark/>
          </w:tcPr>
          <w:p w14:paraId="29FCCFB3" w14:textId="77777777" w:rsidR="004A0123" w:rsidRPr="000D3D0C" w:rsidRDefault="004A0123" w:rsidP="008A5C11">
            <w:pPr>
              <w:rPr>
                <w:bCs/>
                <w:sz w:val="13"/>
                <w:szCs w:val="13"/>
              </w:rPr>
            </w:pPr>
          </w:p>
        </w:tc>
        <w:tc>
          <w:tcPr>
            <w:tcW w:w="146" w:type="pct"/>
            <w:shd w:val="clear" w:color="auto" w:fill="auto"/>
            <w:vAlign w:val="center"/>
          </w:tcPr>
          <w:p w14:paraId="62B8C351" w14:textId="77777777" w:rsidR="004A0123" w:rsidRPr="000D3D0C" w:rsidRDefault="004A0123" w:rsidP="008A5C11">
            <w:pPr>
              <w:jc w:val="center"/>
              <w:rPr>
                <w:bCs/>
                <w:sz w:val="13"/>
                <w:szCs w:val="13"/>
              </w:rPr>
            </w:pPr>
            <w:r w:rsidRPr="000D3D0C">
              <w:rPr>
                <w:bCs/>
                <w:sz w:val="13"/>
                <w:szCs w:val="13"/>
              </w:rPr>
              <w:t>2021</w:t>
            </w:r>
          </w:p>
        </w:tc>
        <w:tc>
          <w:tcPr>
            <w:tcW w:w="149" w:type="pct"/>
            <w:shd w:val="clear" w:color="auto" w:fill="auto"/>
            <w:vAlign w:val="center"/>
          </w:tcPr>
          <w:p w14:paraId="6529F618" w14:textId="77777777" w:rsidR="004A0123" w:rsidRPr="000D3D0C" w:rsidRDefault="004A0123" w:rsidP="008A5C11">
            <w:pPr>
              <w:jc w:val="center"/>
              <w:rPr>
                <w:bCs/>
                <w:sz w:val="13"/>
                <w:szCs w:val="13"/>
              </w:rPr>
            </w:pPr>
            <w:r w:rsidRPr="000D3D0C">
              <w:rPr>
                <w:bCs/>
                <w:sz w:val="13"/>
                <w:szCs w:val="13"/>
              </w:rPr>
              <w:t>2022</w:t>
            </w:r>
          </w:p>
        </w:tc>
        <w:tc>
          <w:tcPr>
            <w:tcW w:w="182" w:type="pct"/>
            <w:shd w:val="clear" w:color="auto" w:fill="auto"/>
            <w:vAlign w:val="center"/>
          </w:tcPr>
          <w:p w14:paraId="15D2DC06" w14:textId="77777777" w:rsidR="004A0123" w:rsidRPr="000D3D0C" w:rsidRDefault="004A0123" w:rsidP="008A5C11">
            <w:pPr>
              <w:jc w:val="center"/>
              <w:rPr>
                <w:bCs/>
                <w:sz w:val="13"/>
                <w:szCs w:val="13"/>
              </w:rPr>
            </w:pPr>
            <w:r w:rsidRPr="000D3D0C">
              <w:rPr>
                <w:bCs/>
                <w:sz w:val="13"/>
                <w:szCs w:val="13"/>
              </w:rPr>
              <w:t>2023</w:t>
            </w:r>
          </w:p>
        </w:tc>
        <w:tc>
          <w:tcPr>
            <w:tcW w:w="182" w:type="pct"/>
            <w:vAlign w:val="center"/>
          </w:tcPr>
          <w:p w14:paraId="554F9BD5" w14:textId="77777777" w:rsidR="004A0123" w:rsidRPr="000D3D0C" w:rsidRDefault="004A0123" w:rsidP="008A5C11">
            <w:pPr>
              <w:jc w:val="center"/>
              <w:rPr>
                <w:bCs/>
                <w:sz w:val="13"/>
                <w:szCs w:val="13"/>
              </w:rPr>
            </w:pPr>
            <w:r w:rsidRPr="000D3D0C">
              <w:rPr>
                <w:bCs/>
                <w:sz w:val="13"/>
                <w:szCs w:val="13"/>
              </w:rPr>
              <w:t>2024</w:t>
            </w:r>
          </w:p>
        </w:tc>
        <w:tc>
          <w:tcPr>
            <w:tcW w:w="154" w:type="pct"/>
            <w:vAlign w:val="center"/>
          </w:tcPr>
          <w:p w14:paraId="6A1A296C" w14:textId="77777777" w:rsidR="004A0123" w:rsidRPr="000D3D0C" w:rsidRDefault="004A0123" w:rsidP="008A5C11">
            <w:pPr>
              <w:ind w:left="-14"/>
              <w:jc w:val="center"/>
              <w:rPr>
                <w:bCs/>
                <w:sz w:val="13"/>
                <w:szCs w:val="13"/>
              </w:rPr>
            </w:pPr>
            <w:r w:rsidRPr="000D3D0C">
              <w:rPr>
                <w:bCs/>
                <w:sz w:val="13"/>
                <w:szCs w:val="13"/>
              </w:rPr>
              <w:t>2025</w:t>
            </w:r>
          </w:p>
        </w:tc>
        <w:tc>
          <w:tcPr>
            <w:tcW w:w="154" w:type="pct"/>
            <w:vAlign w:val="center"/>
          </w:tcPr>
          <w:p w14:paraId="08B3F56C" w14:textId="77777777" w:rsidR="004A0123" w:rsidRPr="000D3D0C" w:rsidRDefault="004A0123" w:rsidP="008A5C11">
            <w:pPr>
              <w:jc w:val="center"/>
              <w:rPr>
                <w:bCs/>
                <w:sz w:val="13"/>
                <w:szCs w:val="13"/>
              </w:rPr>
            </w:pPr>
            <w:r w:rsidRPr="000D3D0C">
              <w:rPr>
                <w:bCs/>
                <w:sz w:val="13"/>
                <w:szCs w:val="13"/>
              </w:rPr>
              <w:t>2026</w:t>
            </w:r>
          </w:p>
        </w:tc>
        <w:tc>
          <w:tcPr>
            <w:tcW w:w="156" w:type="pct"/>
            <w:vAlign w:val="center"/>
          </w:tcPr>
          <w:p w14:paraId="7ADAD3E6" w14:textId="77777777" w:rsidR="004A0123" w:rsidRPr="000D3D0C" w:rsidRDefault="004A0123" w:rsidP="008A5C11">
            <w:pPr>
              <w:jc w:val="center"/>
              <w:rPr>
                <w:bCs/>
                <w:sz w:val="13"/>
                <w:szCs w:val="13"/>
              </w:rPr>
            </w:pPr>
            <w:r w:rsidRPr="000D3D0C">
              <w:rPr>
                <w:bCs/>
                <w:sz w:val="13"/>
                <w:szCs w:val="13"/>
              </w:rPr>
              <w:t>2027</w:t>
            </w:r>
          </w:p>
        </w:tc>
        <w:tc>
          <w:tcPr>
            <w:tcW w:w="173" w:type="pct"/>
            <w:vAlign w:val="center"/>
          </w:tcPr>
          <w:p w14:paraId="38000A14" w14:textId="77777777" w:rsidR="004A0123" w:rsidRPr="000D3D0C" w:rsidRDefault="004A0123" w:rsidP="008A5C11">
            <w:pPr>
              <w:jc w:val="center"/>
              <w:rPr>
                <w:bCs/>
                <w:sz w:val="13"/>
                <w:szCs w:val="13"/>
              </w:rPr>
            </w:pPr>
            <w:r w:rsidRPr="000D3D0C">
              <w:rPr>
                <w:bCs/>
                <w:sz w:val="13"/>
                <w:szCs w:val="13"/>
              </w:rPr>
              <w:t>2028</w:t>
            </w:r>
          </w:p>
        </w:tc>
        <w:tc>
          <w:tcPr>
            <w:tcW w:w="156" w:type="pct"/>
            <w:vAlign w:val="center"/>
          </w:tcPr>
          <w:p w14:paraId="748F6DEA" w14:textId="77777777" w:rsidR="004A0123" w:rsidRPr="000D3D0C" w:rsidRDefault="004A0123" w:rsidP="008A5C11">
            <w:pPr>
              <w:jc w:val="center"/>
              <w:rPr>
                <w:bCs/>
                <w:sz w:val="13"/>
                <w:szCs w:val="13"/>
              </w:rPr>
            </w:pPr>
            <w:r w:rsidRPr="000D3D0C">
              <w:rPr>
                <w:bCs/>
                <w:sz w:val="13"/>
                <w:szCs w:val="13"/>
              </w:rPr>
              <w:t>2029</w:t>
            </w:r>
          </w:p>
        </w:tc>
        <w:tc>
          <w:tcPr>
            <w:tcW w:w="146" w:type="pct"/>
            <w:vAlign w:val="center"/>
          </w:tcPr>
          <w:p w14:paraId="3D78A33E" w14:textId="77777777" w:rsidR="004A0123" w:rsidRPr="000D3D0C" w:rsidRDefault="004A0123" w:rsidP="008A5C11">
            <w:pPr>
              <w:jc w:val="center"/>
              <w:rPr>
                <w:bCs/>
                <w:sz w:val="13"/>
                <w:szCs w:val="13"/>
              </w:rPr>
            </w:pPr>
            <w:r w:rsidRPr="000D3D0C">
              <w:rPr>
                <w:bCs/>
                <w:sz w:val="13"/>
                <w:szCs w:val="13"/>
              </w:rPr>
              <w:t>2030</w:t>
            </w:r>
          </w:p>
        </w:tc>
        <w:tc>
          <w:tcPr>
            <w:tcW w:w="182" w:type="pct"/>
            <w:vMerge/>
          </w:tcPr>
          <w:p w14:paraId="581B5777" w14:textId="77777777" w:rsidR="004A0123" w:rsidRPr="000D3D0C" w:rsidRDefault="004A0123" w:rsidP="008A5C11">
            <w:pPr>
              <w:rPr>
                <w:bCs/>
                <w:sz w:val="13"/>
                <w:szCs w:val="13"/>
              </w:rPr>
            </w:pPr>
          </w:p>
        </w:tc>
        <w:tc>
          <w:tcPr>
            <w:tcW w:w="178" w:type="pct"/>
            <w:vMerge/>
          </w:tcPr>
          <w:p w14:paraId="2BF7572F" w14:textId="77777777" w:rsidR="004A0123" w:rsidRPr="000D3D0C" w:rsidRDefault="004A0123" w:rsidP="008A5C11">
            <w:pPr>
              <w:rPr>
                <w:bCs/>
                <w:sz w:val="13"/>
                <w:szCs w:val="13"/>
              </w:rPr>
            </w:pPr>
          </w:p>
        </w:tc>
      </w:tr>
      <w:tr w:rsidR="004A0123" w:rsidRPr="000D3D0C" w14:paraId="57711A7D" w14:textId="77777777" w:rsidTr="008A5C11">
        <w:trPr>
          <w:trHeight w:val="238"/>
        </w:trPr>
        <w:tc>
          <w:tcPr>
            <w:tcW w:w="148" w:type="pct"/>
            <w:shd w:val="clear" w:color="auto" w:fill="auto"/>
            <w:vAlign w:val="center"/>
          </w:tcPr>
          <w:p w14:paraId="6C3D61DF" w14:textId="77777777" w:rsidR="004A0123" w:rsidRPr="000D3D0C" w:rsidRDefault="004A0123" w:rsidP="008A5C11">
            <w:pPr>
              <w:jc w:val="center"/>
              <w:rPr>
                <w:bCs/>
                <w:sz w:val="13"/>
                <w:szCs w:val="13"/>
              </w:rPr>
            </w:pPr>
            <w:r w:rsidRPr="000D3D0C">
              <w:rPr>
                <w:bCs/>
                <w:sz w:val="13"/>
                <w:szCs w:val="13"/>
              </w:rPr>
              <w:t>1</w:t>
            </w:r>
          </w:p>
        </w:tc>
        <w:tc>
          <w:tcPr>
            <w:tcW w:w="585" w:type="pct"/>
            <w:shd w:val="clear" w:color="auto" w:fill="auto"/>
            <w:vAlign w:val="center"/>
          </w:tcPr>
          <w:p w14:paraId="09E09171" w14:textId="77777777" w:rsidR="004A0123" w:rsidRPr="000D3D0C" w:rsidRDefault="004A0123" w:rsidP="008A5C11">
            <w:pPr>
              <w:jc w:val="center"/>
              <w:rPr>
                <w:bCs/>
                <w:sz w:val="13"/>
                <w:szCs w:val="13"/>
              </w:rPr>
            </w:pPr>
            <w:r w:rsidRPr="000D3D0C">
              <w:rPr>
                <w:bCs/>
                <w:sz w:val="13"/>
                <w:szCs w:val="13"/>
              </w:rPr>
              <w:t>2</w:t>
            </w:r>
          </w:p>
        </w:tc>
        <w:tc>
          <w:tcPr>
            <w:tcW w:w="359" w:type="pct"/>
            <w:shd w:val="clear" w:color="auto" w:fill="auto"/>
            <w:vAlign w:val="center"/>
          </w:tcPr>
          <w:p w14:paraId="07383F0C" w14:textId="77777777" w:rsidR="004A0123" w:rsidRPr="000D3D0C" w:rsidRDefault="004A0123" w:rsidP="008A5C11">
            <w:pPr>
              <w:jc w:val="center"/>
              <w:rPr>
                <w:bCs/>
                <w:sz w:val="13"/>
                <w:szCs w:val="13"/>
              </w:rPr>
            </w:pPr>
            <w:r w:rsidRPr="000D3D0C">
              <w:rPr>
                <w:bCs/>
                <w:sz w:val="13"/>
                <w:szCs w:val="13"/>
              </w:rPr>
              <w:t>3</w:t>
            </w:r>
          </w:p>
        </w:tc>
        <w:tc>
          <w:tcPr>
            <w:tcW w:w="390" w:type="pct"/>
            <w:shd w:val="clear" w:color="auto" w:fill="auto"/>
            <w:vAlign w:val="center"/>
          </w:tcPr>
          <w:p w14:paraId="13D75C2B" w14:textId="77777777" w:rsidR="004A0123" w:rsidRPr="000D3D0C" w:rsidRDefault="004A0123" w:rsidP="008A5C11">
            <w:pPr>
              <w:jc w:val="center"/>
              <w:rPr>
                <w:bCs/>
                <w:sz w:val="13"/>
                <w:szCs w:val="13"/>
              </w:rPr>
            </w:pPr>
            <w:r w:rsidRPr="000D3D0C">
              <w:rPr>
                <w:bCs/>
                <w:sz w:val="13"/>
                <w:szCs w:val="13"/>
              </w:rPr>
              <w:t>4</w:t>
            </w:r>
          </w:p>
        </w:tc>
        <w:tc>
          <w:tcPr>
            <w:tcW w:w="337" w:type="pct"/>
            <w:shd w:val="clear" w:color="auto" w:fill="auto"/>
            <w:vAlign w:val="center"/>
          </w:tcPr>
          <w:p w14:paraId="47F7A8ED" w14:textId="77777777" w:rsidR="004A0123" w:rsidRPr="000D3D0C" w:rsidRDefault="004A0123" w:rsidP="008A5C11">
            <w:pPr>
              <w:jc w:val="center"/>
              <w:rPr>
                <w:bCs/>
                <w:sz w:val="13"/>
                <w:szCs w:val="13"/>
              </w:rPr>
            </w:pPr>
            <w:r w:rsidRPr="000D3D0C">
              <w:rPr>
                <w:bCs/>
                <w:sz w:val="13"/>
                <w:szCs w:val="13"/>
              </w:rPr>
              <w:t>5</w:t>
            </w:r>
          </w:p>
        </w:tc>
        <w:tc>
          <w:tcPr>
            <w:tcW w:w="116" w:type="pct"/>
            <w:shd w:val="clear" w:color="auto" w:fill="auto"/>
            <w:vAlign w:val="center"/>
          </w:tcPr>
          <w:p w14:paraId="031854A2" w14:textId="77777777" w:rsidR="004A0123" w:rsidRPr="000D3D0C" w:rsidRDefault="004A0123" w:rsidP="008A5C11">
            <w:pPr>
              <w:jc w:val="center"/>
              <w:rPr>
                <w:bCs/>
                <w:sz w:val="13"/>
                <w:szCs w:val="13"/>
              </w:rPr>
            </w:pPr>
            <w:r w:rsidRPr="000D3D0C">
              <w:rPr>
                <w:bCs/>
                <w:sz w:val="13"/>
                <w:szCs w:val="13"/>
              </w:rPr>
              <w:t>6</w:t>
            </w:r>
          </w:p>
        </w:tc>
        <w:tc>
          <w:tcPr>
            <w:tcW w:w="181" w:type="pct"/>
            <w:shd w:val="clear" w:color="auto" w:fill="auto"/>
            <w:vAlign w:val="center"/>
          </w:tcPr>
          <w:p w14:paraId="577377BC" w14:textId="77777777" w:rsidR="004A0123" w:rsidRPr="000D3D0C" w:rsidRDefault="004A0123" w:rsidP="008A5C11">
            <w:pPr>
              <w:jc w:val="center"/>
              <w:rPr>
                <w:bCs/>
                <w:sz w:val="13"/>
                <w:szCs w:val="13"/>
              </w:rPr>
            </w:pPr>
            <w:r w:rsidRPr="000D3D0C">
              <w:rPr>
                <w:bCs/>
                <w:sz w:val="13"/>
                <w:szCs w:val="13"/>
              </w:rPr>
              <w:t>7</w:t>
            </w:r>
          </w:p>
        </w:tc>
        <w:tc>
          <w:tcPr>
            <w:tcW w:w="177" w:type="pct"/>
            <w:shd w:val="clear" w:color="auto" w:fill="auto"/>
            <w:vAlign w:val="center"/>
          </w:tcPr>
          <w:p w14:paraId="03C53993" w14:textId="77777777" w:rsidR="004A0123" w:rsidRPr="000D3D0C" w:rsidRDefault="004A0123" w:rsidP="008A5C11">
            <w:pPr>
              <w:jc w:val="center"/>
              <w:rPr>
                <w:bCs/>
                <w:sz w:val="13"/>
                <w:szCs w:val="13"/>
              </w:rPr>
            </w:pPr>
            <w:r w:rsidRPr="000D3D0C">
              <w:rPr>
                <w:bCs/>
                <w:sz w:val="13"/>
                <w:szCs w:val="13"/>
              </w:rPr>
              <w:t>8</w:t>
            </w:r>
          </w:p>
        </w:tc>
        <w:tc>
          <w:tcPr>
            <w:tcW w:w="188" w:type="pct"/>
            <w:shd w:val="clear" w:color="auto" w:fill="auto"/>
            <w:vAlign w:val="center"/>
          </w:tcPr>
          <w:p w14:paraId="403E7174" w14:textId="77777777" w:rsidR="004A0123" w:rsidRPr="000D3D0C" w:rsidRDefault="004A0123" w:rsidP="008A5C11">
            <w:pPr>
              <w:jc w:val="center"/>
              <w:rPr>
                <w:bCs/>
                <w:sz w:val="13"/>
                <w:szCs w:val="13"/>
              </w:rPr>
            </w:pPr>
            <w:r w:rsidRPr="000D3D0C">
              <w:rPr>
                <w:bCs/>
                <w:sz w:val="13"/>
                <w:szCs w:val="13"/>
              </w:rPr>
              <w:t>9</w:t>
            </w:r>
          </w:p>
        </w:tc>
        <w:tc>
          <w:tcPr>
            <w:tcW w:w="187" w:type="pct"/>
            <w:shd w:val="clear" w:color="auto" w:fill="auto"/>
            <w:vAlign w:val="center"/>
          </w:tcPr>
          <w:p w14:paraId="369339B2" w14:textId="77777777" w:rsidR="004A0123" w:rsidRPr="000D3D0C" w:rsidRDefault="004A0123" w:rsidP="008A5C11">
            <w:pPr>
              <w:jc w:val="center"/>
              <w:rPr>
                <w:bCs/>
                <w:sz w:val="13"/>
                <w:szCs w:val="13"/>
              </w:rPr>
            </w:pPr>
            <w:r w:rsidRPr="000D3D0C">
              <w:rPr>
                <w:bCs/>
                <w:sz w:val="13"/>
                <w:szCs w:val="13"/>
              </w:rPr>
              <w:t>10</w:t>
            </w:r>
          </w:p>
        </w:tc>
        <w:tc>
          <w:tcPr>
            <w:tcW w:w="187" w:type="pct"/>
            <w:shd w:val="clear" w:color="auto" w:fill="auto"/>
            <w:vAlign w:val="center"/>
          </w:tcPr>
          <w:p w14:paraId="4919313D" w14:textId="77777777" w:rsidR="004A0123" w:rsidRPr="000D3D0C" w:rsidRDefault="004A0123" w:rsidP="008A5C11">
            <w:pPr>
              <w:jc w:val="center"/>
              <w:rPr>
                <w:bCs/>
                <w:sz w:val="13"/>
                <w:szCs w:val="13"/>
              </w:rPr>
            </w:pPr>
            <w:r w:rsidRPr="000D3D0C">
              <w:rPr>
                <w:bCs/>
                <w:sz w:val="13"/>
                <w:szCs w:val="13"/>
              </w:rPr>
              <w:t>11</w:t>
            </w:r>
          </w:p>
        </w:tc>
        <w:tc>
          <w:tcPr>
            <w:tcW w:w="187" w:type="pct"/>
            <w:shd w:val="clear" w:color="auto" w:fill="auto"/>
            <w:vAlign w:val="center"/>
          </w:tcPr>
          <w:p w14:paraId="6682C740" w14:textId="77777777" w:rsidR="004A0123" w:rsidRPr="000D3D0C" w:rsidRDefault="004A0123" w:rsidP="008A5C11">
            <w:pPr>
              <w:jc w:val="center"/>
              <w:rPr>
                <w:bCs/>
                <w:sz w:val="13"/>
                <w:szCs w:val="13"/>
              </w:rPr>
            </w:pPr>
            <w:r w:rsidRPr="000D3D0C">
              <w:rPr>
                <w:bCs/>
                <w:sz w:val="13"/>
                <w:szCs w:val="13"/>
              </w:rPr>
              <w:t>12</w:t>
            </w:r>
          </w:p>
        </w:tc>
        <w:tc>
          <w:tcPr>
            <w:tcW w:w="146" w:type="pct"/>
            <w:shd w:val="clear" w:color="auto" w:fill="auto"/>
            <w:vAlign w:val="center"/>
          </w:tcPr>
          <w:p w14:paraId="4222D723" w14:textId="77777777" w:rsidR="004A0123" w:rsidRPr="000D3D0C" w:rsidRDefault="004A0123" w:rsidP="008A5C11">
            <w:pPr>
              <w:jc w:val="center"/>
              <w:rPr>
                <w:bCs/>
                <w:sz w:val="13"/>
                <w:szCs w:val="13"/>
              </w:rPr>
            </w:pPr>
            <w:r w:rsidRPr="000D3D0C">
              <w:rPr>
                <w:bCs/>
                <w:sz w:val="13"/>
                <w:szCs w:val="13"/>
              </w:rPr>
              <w:t>13</w:t>
            </w:r>
          </w:p>
        </w:tc>
        <w:tc>
          <w:tcPr>
            <w:tcW w:w="149" w:type="pct"/>
            <w:shd w:val="clear" w:color="auto" w:fill="auto"/>
            <w:vAlign w:val="center"/>
          </w:tcPr>
          <w:p w14:paraId="4DA44157" w14:textId="77777777" w:rsidR="004A0123" w:rsidRPr="000D3D0C" w:rsidRDefault="004A0123" w:rsidP="008A5C11">
            <w:pPr>
              <w:jc w:val="center"/>
              <w:rPr>
                <w:bCs/>
                <w:sz w:val="13"/>
                <w:szCs w:val="13"/>
              </w:rPr>
            </w:pPr>
            <w:r w:rsidRPr="000D3D0C">
              <w:rPr>
                <w:bCs/>
                <w:sz w:val="13"/>
                <w:szCs w:val="13"/>
              </w:rPr>
              <w:t>14</w:t>
            </w:r>
          </w:p>
        </w:tc>
        <w:tc>
          <w:tcPr>
            <w:tcW w:w="182" w:type="pct"/>
            <w:shd w:val="clear" w:color="auto" w:fill="auto"/>
            <w:vAlign w:val="center"/>
          </w:tcPr>
          <w:p w14:paraId="316B8877" w14:textId="77777777" w:rsidR="004A0123" w:rsidRPr="000D3D0C" w:rsidRDefault="004A0123" w:rsidP="008A5C11">
            <w:pPr>
              <w:jc w:val="center"/>
              <w:rPr>
                <w:bCs/>
                <w:sz w:val="13"/>
                <w:szCs w:val="13"/>
              </w:rPr>
            </w:pPr>
            <w:r w:rsidRPr="000D3D0C">
              <w:rPr>
                <w:bCs/>
                <w:sz w:val="13"/>
                <w:szCs w:val="13"/>
              </w:rPr>
              <w:t>15</w:t>
            </w:r>
          </w:p>
        </w:tc>
        <w:tc>
          <w:tcPr>
            <w:tcW w:w="182" w:type="pct"/>
            <w:vAlign w:val="center"/>
          </w:tcPr>
          <w:p w14:paraId="055EF940" w14:textId="77777777" w:rsidR="004A0123" w:rsidRPr="000D3D0C" w:rsidRDefault="004A0123" w:rsidP="008A5C11">
            <w:pPr>
              <w:jc w:val="center"/>
              <w:rPr>
                <w:bCs/>
                <w:sz w:val="13"/>
                <w:szCs w:val="13"/>
              </w:rPr>
            </w:pPr>
            <w:r w:rsidRPr="000D3D0C">
              <w:rPr>
                <w:bCs/>
                <w:sz w:val="13"/>
                <w:szCs w:val="13"/>
              </w:rPr>
              <w:t>16</w:t>
            </w:r>
          </w:p>
        </w:tc>
        <w:tc>
          <w:tcPr>
            <w:tcW w:w="154" w:type="pct"/>
            <w:vAlign w:val="center"/>
          </w:tcPr>
          <w:p w14:paraId="278CD2AF" w14:textId="77777777" w:rsidR="004A0123" w:rsidRPr="000D3D0C" w:rsidRDefault="004A0123" w:rsidP="008A5C11">
            <w:pPr>
              <w:jc w:val="center"/>
              <w:rPr>
                <w:bCs/>
                <w:sz w:val="13"/>
                <w:szCs w:val="13"/>
              </w:rPr>
            </w:pPr>
            <w:r w:rsidRPr="000D3D0C">
              <w:rPr>
                <w:bCs/>
                <w:sz w:val="13"/>
                <w:szCs w:val="13"/>
              </w:rPr>
              <w:t>17</w:t>
            </w:r>
          </w:p>
        </w:tc>
        <w:tc>
          <w:tcPr>
            <w:tcW w:w="154" w:type="pct"/>
            <w:vAlign w:val="center"/>
          </w:tcPr>
          <w:p w14:paraId="607B5385" w14:textId="77777777" w:rsidR="004A0123" w:rsidRPr="000D3D0C" w:rsidRDefault="004A0123" w:rsidP="008A5C11">
            <w:pPr>
              <w:jc w:val="center"/>
              <w:rPr>
                <w:bCs/>
                <w:sz w:val="13"/>
                <w:szCs w:val="13"/>
              </w:rPr>
            </w:pPr>
            <w:r w:rsidRPr="000D3D0C">
              <w:rPr>
                <w:bCs/>
                <w:sz w:val="13"/>
                <w:szCs w:val="13"/>
              </w:rPr>
              <w:t>18</w:t>
            </w:r>
          </w:p>
        </w:tc>
        <w:tc>
          <w:tcPr>
            <w:tcW w:w="156" w:type="pct"/>
            <w:vAlign w:val="center"/>
          </w:tcPr>
          <w:p w14:paraId="76400E3F" w14:textId="77777777" w:rsidR="004A0123" w:rsidRPr="000D3D0C" w:rsidRDefault="004A0123" w:rsidP="008A5C11">
            <w:pPr>
              <w:jc w:val="center"/>
              <w:rPr>
                <w:bCs/>
                <w:sz w:val="13"/>
                <w:szCs w:val="13"/>
              </w:rPr>
            </w:pPr>
            <w:r w:rsidRPr="000D3D0C">
              <w:rPr>
                <w:bCs/>
                <w:sz w:val="13"/>
                <w:szCs w:val="13"/>
              </w:rPr>
              <w:t>19</w:t>
            </w:r>
          </w:p>
        </w:tc>
        <w:tc>
          <w:tcPr>
            <w:tcW w:w="173" w:type="pct"/>
            <w:vAlign w:val="center"/>
          </w:tcPr>
          <w:p w14:paraId="126F8D89" w14:textId="77777777" w:rsidR="004A0123" w:rsidRPr="000D3D0C" w:rsidRDefault="004A0123" w:rsidP="008A5C11">
            <w:pPr>
              <w:jc w:val="center"/>
              <w:rPr>
                <w:bCs/>
                <w:sz w:val="13"/>
                <w:szCs w:val="13"/>
              </w:rPr>
            </w:pPr>
            <w:r w:rsidRPr="000D3D0C">
              <w:rPr>
                <w:bCs/>
                <w:sz w:val="13"/>
                <w:szCs w:val="13"/>
              </w:rPr>
              <w:t>20</w:t>
            </w:r>
          </w:p>
        </w:tc>
        <w:tc>
          <w:tcPr>
            <w:tcW w:w="156" w:type="pct"/>
            <w:vAlign w:val="center"/>
          </w:tcPr>
          <w:p w14:paraId="5C9583FB" w14:textId="77777777" w:rsidR="004A0123" w:rsidRPr="000D3D0C" w:rsidRDefault="004A0123" w:rsidP="008A5C11">
            <w:pPr>
              <w:jc w:val="center"/>
              <w:rPr>
                <w:bCs/>
                <w:sz w:val="13"/>
                <w:szCs w:val="13"/>
              </w:rPr>
            </w:pPr>
            <w:r w:rsidRPr="000D3D0C">
              <w:rPr>
                <w:bCs/>
                <w:sz w:val="13"/>
                <w:szCs w:val="13"/>
              </w:rPr>
              <w:t>21</w:t>
            </w:r>
          </w:p>
        </w:tc>
        <w:tc>
          <w:tcPr>
            <w:tcW w:w="146" w:type="pct"/>
            <w:vAlign w:val="center"/>
          </w:tcPr>
          <w:p w14:paraId="6EF50B66" w14:textId="77777777" w:rsidR="004A0123" w:rsidRPr="000D3D0C" w:rsidRDefault="004A0123" w:rsidP="008A5C11">
            <w:pPr>
              <w:jc w:val="center"/>
              <w:rPr>
                <w:bCs/>
                <w:sz w:val="13"/>
                <w:szCs w:val="13"/>
              </w:rPr>
            </w:pPr>
            <w:r w:rsidRPr="000D3D0C">
              <w:rPr>
                <w:bCs/>
                <w:sz w:val="13"/>
                <w:szCs w:val="13"/>
              </w:rPr>
              <w:t>22</w:t>
            </w:r>
          </w:p>
        </w:tc>
        <w:tc>
          <w:tcPr>
            <w:tcW w:w="182" w:type="pct"/>
            <w:vAlign w:val="center"/>
          </w:tcPr>
          <w:p w14:paraId="49C33261" w14:textId="77777777" w:rsidR="004A0123" w:rsidRPr="000D3D0C" w:rsidRDefault="004A0123" w:rsidP="008A5C11">
            <w:pPr>
              <w:jc w:val="center"/>
              <w:rPr>
                <w:bCs/>
                <w:sz w:val="13"/>
                <w:szCs w:val="13"/>
              </w:rPr>
            </w:pPr>
            <w:r w:rsidRPr="000D3D0C">
              <w:rPr>
                <w:bCs/>
                <w:sz w:val="13"/>
                <w:szCs w:val="13"/>
              </w:rPr>
              <w:t>23</w:t>
            </w:r>
          </w:p>
        </w:tc>
        <w:tc>
          <w:tcPr>
            <w:tcW w:w="178" w:type="pct"/>
            <w:vAlign w:val="center"/>
          </w:tcPr>
          <w:p w14:paraId="6070837C" w14:textId="77777777" w:rsidR="004A0123" w:rsidRPr="000D3D0C" w:rsidRDefault="004A0123" w:rsidP="008A5C11">
            <w:pPr>
              <w:jc w:val="center"/>
              <w:rPr>
                <w:bCs/>
                <w:sz w:val="13"/>
                <w:szCs w:val="13"/>
              </w:rPr>
            </w:pPr>
            <w:r w:rsidRPr="000D3D0C">
              <w:rPr>
                <w:bCs/>
                <w:sz w:val="13"/>
                <w:szCs w:val="13"/>
              </w:rPr>
              <w:t>24</w:t>
            </w:r>
          </w:p>
        </w:tc>
      </w:tr>
      <w:tr w:rsidR="004A0123" w:rsidRPr="000D3D0C" w14:paraId="37EB830A" w14:textId="77777777" w:rsidTr="008A5C11">
        <w:trPr>
          <w:trHeight w:val="84"/>
        </w:trPr>
        <w:tc>
          <w:tcPr>
            <w:tcW w:w="5000" w:type="pct"/>
            <w:gridSpan w:val="24"/>
            <w:vAlign w:val="center"/>
          </w:tcPr>
          <w:p w14:paraId="29122393" w14:textId="77777777" w:rsidR="004A0123" w:rsidRPr="000D3D0C" w:rsidRDefault="004A0123" w:rsidP="008A5C11">
            <w:pPr>
              <w:rPr>
                <w:bCs/>
                <w:sz w:val="12"/>
                <w:szCs w:val="12"/>
              </w:rPr>
            </w:pPr>
            <w:r w:rsidRPr="000D3D0C">
              <w:rPr>
                <w:bCs/>
                <w:sz w:val="12"/>
                <w:szCs w:val="12"/>
              </w:rPr>
              <w:t>Группа 1. Строительство, реконструкция или модернизация объектов в целях подключения потребителей:</w:t>
            </w:r>
          </w:p>
        </w:tc>
      </w:tr>
      <w:tr w:rsidR="004A0123" w:rsidRPr="000D3D0C" w14:paraId="119FCC80" w14:textId="77777777" w:rsidTr="008A5C11">
        <w:trPr>
          <w:trHeight w:val="45"/>
        </w:trPr>
        <w:tc>
          <w:tcPr>
            <w:tcW w:w="5000" w:type="pct"/>
            <w:gridSpan w:val="24"/>
            <w:vAlign w:val="center"/>
          </w:tcPr>
          <w:p w14:paraId="610ED8CB" w14:textId="77777777" w:rsidR="004A0123" w:rsidRPr="000D3D0C" w:rsidRDefault="004A0123" w:rsidP="008A5C11">
            <w:pPr>
              <w:rPr>
                <w:bCs/>
                <w:sz w:val="12"/>
                <w:szCs w:val="12"/>
              </w:rPr>
            </w:pPr>
            <w:r w:rsidRPr="000D3D0C">
              <w:rPr>
                <w:bCs/>
                <w:sz w:val="12"/>
                <w:szCs w:val="12"/>
              </w:rPr>
              <w:t>1.1. Строительство новых тепловых сетей в целях подключения потребителей</w:t>
            </w:r>
          </w:p>
        </w:tc>
      </w:tr>
      <w:tr w:rsidR="004A0123" w:rsidRPr="000D3D0C" w14:paraId="34DE75E4" w14:textId="77777777" w:rsidTr="008A5C11">
        <w:trPr>
          <w:trHeight w:val="64"/>
        </w:trPr>
        <w:tc>
          <w:tcPr>
            <w:tcW w:w="5000" w:type="pct"/>
            <w:gridSpan w:val="24"/>
            <w:vAlign w:val="center"/>
          </w:tcPr>
          <w:p w14:paraId="3A74FB6E" w14:textId="77777777" w:rsidR="004A0123" w:rsidRPr="000D3D0C" w:rsidRDefault="004A0123" w:rsidP="008A5C11">
            <w:pPr>
              <w:rPr>
                <w:bCs/>
                <w:sz w:val="12"/>
                <w:szCs w:val="12"/>
              </w:rPr>
            </w:pPr>
            <w:r w:rsidRPr="000D3D0C">
              <w:rPr>
                <w:bCs/>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4A0123" w:rsidRPr="000D3D0C" w14:paraId="7DCCDA96" w14:textId="77777777" w:rsidTr="008A5C11">
        <w:trPr>
          <w:trHeight w:val="64"/>
        </w:trPr>
        <w:tc>
          <w:tcPr>
            <w:tcW w:w="5000" w:type="pct"/>
            <w:gridSpan w:val="24"/>
            <w:vAlign w:val="center"/>
          </w:tcPr>
          <w:p w14:paraId="555D77E1" w14:textId="77777777" w:rsidR="004A0123" w:rsidRPr="000D3D0C" w:rsidRDefault="004A0123" w:rsidP="008A5C11">
            <w:pPr>
              <w:rPr>
                <w:bCs/>
                <w:sz w:val="12"/>
                <w:szCs w:val="12"/>
              </w:rPr>
            </w:pPr>
            <w:r w:rsidRPr="000D3D0C">
              <w:rPr>
                <w:bCs/>
                <w:sz w:val="12"/>
                <w:szCs w:val="12"/>
              </w:rPr>
              <w:t>1.3. Увеличение пропускной способности существующих тепловых сетей в целях подключения потребителей</w:t>
            </w:r>
          </w:p>
        </w:tc>
      </w:tr>
      <w:tr w:rsidR="004A0123" w:rsidRPr="000D3D0C" w14:paraId="6285CAB4" w14:textId="77777777" w:rsidTr="008A5C11">
        <w:trPr>
          <w:trHeight w:val="64"/>
        </w:trPr>
        <w:tc>
          <w:tcPr>
            <w:tcW w:w="5000" w:type="pct"/>
            <w:gridSpan w:val="24"/>
            <w:vAlign w:val="center"/>
          </w:tcPr>
          <w:p w14:paraId="36EAA341" w14:textId="77777777" w:rsidR="004A0123" w:rsidRPr="000D3D0C" w:rsidRDefault="004A0123" w:rsidP="008A5C11">
            <w:pPr>
              <w:rPr>
                <w:bCs/>
                <w:sz w:val="12"/>
                <w:szCs w:val="12"/>
              </w:rPr>
            </w:pPr>
            <w:r w:rsidRPr="000D3D0C">
              <w:rPr>
                <w:bCs/>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4A0123" w:rsidRPr="000D3D0C" w14:paraId="33E8EEE8" w14:textId="77777777" w:rsidTr="008A5C11">
        <w:trPr>
          <w:trHeight w:val="70"/>
        </w:trPr>
        <w:tc>
          <w:tcPr>
            <w:tcW w:w="2668" w:type="pct"/>
            <w:gridSpan w:val="10"/>
            <w:shd w:val="clear" w:color="auto" w:fill="auto"/>
            <w:vAlign w:val="center"/>
          </w:tcPr>
          <w:p w14:paraId="41BE5047" w14:textId="77777777" w:rsidR="004A0123" w:rsidRPr="000D3D0C" w:rsidRDefault="004A0123" w:rsidP="008A5C11">
            <w:pPr>
              <w:rPr>
                <w:sz w:val="13"/>
                <w:szCs w:val="13"/>
              </w:rPr>
            </w:pPr>
            <w:r w:rsidRPr="000D3D0C">
              <w:rPr>
                <w:sz w:val="13"/>
                <w:szCs w:val="13"/>
              </w:rPr>
              <w:t>Всего по группе 1.</w:t>
            </w:r>
          </w:p>
        </w:tc>
        <w:tc>
          <w:tcPr>
            <w:tcW w:w="187" w:type="pct"/>
            <w:shd w:val="clear" w:color="auto" w:fill="auto"/>
            <w:vAlign w:val="center"/>
          </w:tcPr>
          <w:p w14:paraId="3D1A9B6B" w14:textId="77777777" w:rsidR="004A0123" w:rsidRPr="000D3D0C" w:rsidRDefault="004A0123" w:rsidP="008A5C11">
            <w:pPr>
              <w:jc w:val="center"/>
              <w:rPr>
                <w:sz w:val="13"/>
                <w:szCs w:val="13"/>
              </w:rPr>
            </w:pPr>
            <w:r w:rsidRPr="000D3D0C">
              <w:rPr>
                <w:sz w:val="13"/>
                <w:szCs w:val="13"/>
              </w:rPr>
              <w:t>0</w:t>
            </w:r>
          </w:p>
        </w:tc>
        <w:tc>
          <w:tcPr>
            <w:tcW w:w="187" w:type="pct"/>
            <w:shd w:val="clear" w:color="auto" w:fill="auto"/>
            <w:vAlign w:val="center"/>
          </w:tcPr>
          <w:p w14:paraId="40C939BA" w14:textId="77777777" w:rsidR="004A0123" w:rsidRPr="000D3D0C" w:rsidRDefault="004A0123" w:rsidP="008A5C11">
            <w:pPr>
              <w:jc w:val="center"/>
              <w:rPr>
                <w:sz w:val="13"/>
                <w:szCs w:val="13"/>
              </w:rPr>
            </w:pPr>
            <w:r w:rsidRPr="000D3D0C">
              <w:rPr>
                <w:sz w:val="13"/>
                <w:szCs w:val="13"/>
              </w:rPr>
              <w:t>0</w:t>
            </w:r>
          </w:p>
        </w:tc>
        <w:tc>
          <w:tcPr>
            <w:tcW w:w="146" w:type="pct"/>
            <w:shd w:val="clear" w:color="auto" w:fill="auto"/>
            <w:vAlign w:val="center"/>
          </w:tcPr>
          <w:p w14:paraId="02B876F5" w14:textId="77777777" w:rsidR="004A0123" w:rsidRPr="000D3D0C" w:rsidRDefault="004A0123" w:rsidP="008A5C11">
            <w:pPr>
              <w:jc w:val="center"/>
              <w:rPr>
                <w:sz w:val="13"/>
                <w:szCs w:val="13"/>
              </w:rPr>
            </w:pPr>
            <w:r w:rsidRPr="000D3D0C">
              <w:rPr>
                <w:sz w:val="13"/>
                <w:szCs w:val="13"/>
              </w:rPr>
              <w:t>0</w:t>
            </w:r>
          </w:p>
        </w:tc>
        <w:tc>
          <w:tcPr>
            <w:tcW w:w="149" w:type="pct"/>
            <w:shd w:val="clear" w:color="auto" w:fill="auto"/>
            <w:vAlign w:val="center"/>
          </w:tcPr>
          <w:p w14:paraId="79B83512" w14:textId="77777777" w:rsidR="004A0123" w:rsidRPr="000D3D0C" w:rsidRDefault="004A0123" w:rsidP="008A5C11">
            <w:pPr>
              <w:jc w:val="center"/>
              <w:rPr>
                <w:sz w:val="13"/>
                <w:szCs w:val="13"/>
              </w:rPr>
            </w:pPr>
            <w:r w:rsidRPr="000D3D0C">
              <w:rPr>
                <w:sz w:val="13"/>
                <w:szCs w:val="13"/>
              </w:rPr>
              <w:t>0</w:t>
            </w:r>
          </w:p>
        </w:tc>
        <w:tc>
          <w:tcPr>
            <w:tcW w:w="182" w:type="pct"/>
            <w:shd w:val="clear" w:color="auto" w:fill="auto"/>
            <w:vAlign w:val="center"/>
          </w:tcPr>
          <w:p w14:paraId="2AD8E9DB" w14:textId="77777777" w:rsidR="004A0123" w:rsidRPr="000D3D0C" w:rsidRDefault="004A0123" w:rsidP="008A5C11">
            <w:pPr>
              <w:jc w:val="center"/>
              <w:rPr>
                <w:sz w:val="13"/>
                <w:szCs w:val="13"/>
              </w:rPr>
            </w:pPr>
            <w:r w:rsidRPr="000D3D0C">
              <w:rPr>
                <w:sz w:val="13"/>
                <w:szCs w:val="13"/>
              </w:rPr>
              <w:t>0</w:t>
            </w:r>
          </w:p>
        </w:tc>
        <w:tc>
          <w:tcPr>
            <w:tcW w:w="182" w:type="pct"/>
            <w:vAlign w:val="center"/>
          </w:tcPr>
          <w:p w14:paraId="5E9039C5" w14:textId="77777777" w:rsidR="004A0123" w:rsidRPr="000D3D0C" w:rsidRDefault="004A0123" w:rsidP="008A5C11">
            <w:pPr>
              <w:jc w:val="center"/>
              <w:rPr>
                <w:sz w:val="13"/>
                <w:szCs w:val="13"/>
              </w:rPr>
            </w:pPr>
            <w:r w:rsidRPr="000D3D0C">
              <w:rPr>
                <w:sz w:val="13"/>
                <w:szCs w:val="13"/>
              </w:rPr>
              <w:t>0</w:t>
            </w:r>
          </w:p>
        </w:tc>
        <w:tc>
          <w:tcPr>
            <w:tcW w:w="154" w:type="pct"/>
            <w:vAlign w:val="center"/>
          </w:tcPr>
          <w:p w14:paraId="5E0511C8" w14:textId="77777777" w:rsidR="004A0123" w:rsidRPr="000D3D0C" w:rsidRDefault="004A0123" w:rsidP="008A5C11">
            <w:pPr>
              <w:jc w:val="center"/>
              <w:rPr>
                <w:sz w:val="13"/>
                <w:szCs w:val="13"/>
              </w:rPr>
            </w:pPr>
            <w:r w:rsidRPr="000D3D0C">
              <w:rPr>
                <w:sz w:val="13"/>
                <w:szCs w:val="13"/>
              </w:rPr>
              <w:t>0</w:t>
            </w:r>
          </w:p>
        </w:tc>
        <w:tc>
          <w:tcPr>
            <w:tcW w:w="154" w:type="pct"/>
            <w:vAlign w:val="center"/>
          </w:tcPr>
          <w:p w14:paraId="03880FFC" w14:textId="77777777" w:rsidR="004A0123" w:rsidRPr="000D3D0C" w:rsidRDefault="004A0123" w:rsidP="008A5C11">
            <w:pPr>
              <w:jc w:val="center"/>
              <w:rPr>
                <w:sz w:val="13"/>
                <w:szCs w:val="13"/>
              </w:rPr>
            </w:pPr>
            <w:r w:rsidRPr="000D3D0C">
              <w:rPr>
                <w:sz w:val="13"/>
                <w:szCs w:val="13"/>
              </w:rPr>
              <w:t>0</w:t>
            </w:r>
          </w:p>
        </w:tc>
        <w:tc>
          <w:tcPr>
            <w:tcW w:w="156" w:type="pct"/>
            <w:vAlign w:val="center"/>
          </w:tcPr>
          <w:p w14:paraId="15D9E05C" w14:textId="77777777" w:rsidR="004A0123" w:rsidRPr="000D3D0C" w:rsidRDefault="004A0123" w:rsidP="008A5C11">
            <w:pPr>
              <w:jc w:val="center"/>
              <w:rPr>
                <w:sz w:val="13"/>
                <w:szCs w:val="13"/>
              </w:rPr>
            </w:pPr>
            <w:r w:rsidRPr="000D3D0C">
              <w:rPr>
                <w:sz w:val="13"/>
                <w:szCs w:val="13"/>
              </w:rPr>
              <w:t>0</w:t>
            </w:r>
          </w:p>
        </w:tc>
        <w:tc>
          <w:tcPr>
            <w:tcW w:w="173" w:type="pct"/>
            <w:vAlign w:val="center"/>
          </w:tcPr>
          <w:p w14:paraId="6280EA88" w14:textId="77777777" w:rsidR="004A0123" w:rsidRPr="000D3D0C" w:rsidRDefault="004A0123" w:rsidP="008A5C11">
            <w:pPr>
              <w:jc w:val="center"/>
              <w:rPr>
                <w:sz w:val="13"/>
                <w:szCs w:val="13"/>
              </w:rPr>
            </w:pPr>
            <w:r w:rsidRPr="000D3D0C">
              <w:rPr>
                <w:sz w:val="13"/>
                <w:szCs w:val="13"/>
              </w:rPr>
              <w:t>0</w:t>
            </w:r>
          </w:p>
        </w:tc>
        <w:tc>
          <w:tcPr>
            <w:tcW w:w="156" w:type="pct"/>
            <w:vAlign w:val="center"/>
          </w:tcPr>
          <w:p w14:paraId="06B25DB1" w14:textId="77777777" w:rsidR="004A0123" w:rsidRPr="000D3D0C" w:rsidRDefault="004A0123" w:rsidP="008A5C11">
            <w:pPr>
              <w:jc w:val="center"/>
              <w:rPr>
                <w:sz w:val="13"/>
                <w:szCs w:val="13"/>
              </w:rPr>
            </w:pPr>
            <w:r w:rsidRPr="000D3D0C">
              <w:rPr>
                <w:sz w:val="13"/>
                <w:szCs w:val="13"/>
              </w:rPr>
              <w:t>0</w:t>
            </w:r>
          </w:p>
        </w:tc>
        <w:tc>
          <w:tcPr>
            <w:tcW w:w="146" w:type="pct"/>
            <w:vAlign w:val="center"/>
          </w:tcPr>
          <w:p w14:paraId="03C11391" w14:textId="77777777" w:rsidR="004A0123" w:rsidRPr="000D3D0C" w:rsidRDefault="004A0123" w:rsidP="008A5C11">
            <w:pPr>
              <w:jc w:val="center"/>
              <w:rPr>
                <w:sz w:val="13"/>
                <w:szCs w:val="13"/>
              </w:rPr>
            </w:pPr>
            <w:r w:rsidRPr="000D3D0C">
              <w:rPr>
                <w:sz w:val="13"/>
                <w:szCs w:val="13"/>
              </w:rPr>
              <w:t>0</w:t>
            </w:r>
          </w:p>
        </w:tc>
        <w:tc>
          <w:tcPr>
            <w:tcW w:w="182" w:type="pct"/>
            <w:vAlign w:val="center"/>
          </w:tcPr>
          <w:p w14:paraId="211840FF" w14:textId="77777777" w:rsidR="004A0123" w:rsidRPr="000D3D0C" w:rsidRDefault="004A0123" w:rsidP="008A5C11">
            <w:pPr>
              <w:jc w:val="center"/>
              <w:rPr>
                <w:sz w:val="13"/>
                <w:szCs w:val="13"/>
              </w:rPr>
            </w:pPr>
            <w:r w:rsidRPr="000D3D0C">
              <w:rPr>
                <w:sz w:val="13"/>
                <w:szCs w:val="13"/>
              </w:rPr>
              <w:t>0</w:t>
            </w:r>
          </w:p>
        </w:tc>
        <w:tc>
          <w:tcPr>
            <w:tcW w:w="178" w:type="pct"/>
            <w:vAlign w:val="center"/>
          </w:tcPr>
          <w:p w14:paraId="3A824DA1" w14:textId="77777777" w:rsidR="004A0123" w:rsidRPr="000D3D0C" w:rsidRDefault="004A0123" w:rsidP="008A5C11">
            <w:pPr>
              <w:jc w:val="center"/>
              <w:rPr>
                <w:sz w:val="13"/>
                <w:szCs w:val="13"/>
              </w:rPr>
            </w:pPr>
            <w:r w:rsidRPr="000D3D0C">
              <w:rPr>
                <w:sz w:val="13"/>
                <w:szCs w:val="13"/>
              </w:rPr>
              <w:t>0</w:t>
            </w:r>
          </w:p>
        </w:tc>
      </w:tr>
      <w:tr w:rsidR="004A0123" w:rsidRPr="000D3D0C" w14:paraId="58D23647" w14:textId="77777777" w:rsidTr="008A5C11">
        <w:trPr>
          <w:trHeight w:val="64"/>
        </w:trPr>
        <w:tc>
          <w:tcPr>
            <w:tcW w:w="5000" w:type="pct"/>
            <w:gridSpan w:val="24"/>
            <w:vAlign w:val="center"/>
          </w:tcPr>
          <w:p w14:paraId="0A2216D2" w14:textId="77777777" w:rsidR="004A0123" w:rsidRPr="000D3D0C" w:rsidRDefault="004A0123" w:rsidP="008A5C11">
            <w:pPr>
              <w:rPr>
                <w:bCs/>
                <w:sz w:val="12"/>
                <w:szCs w:val="12"/>
              </w:rPr>
            </w:pPr>
            <w:r w:rsidRPr="000D3D0C">
              <w:rPr>
                <w:bCs/>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4A0123" w:rsidRPr="000D3D0C" w14:paraId="69A0BC4B" w14:textId="77777777" w:rsidTr="008A5C11">
        <w:trPr>
          <w:trHeight w:val="130"/>
        </w:trPr>
        <w:tc>
          <w:tcPr>
            <w:tcW w:w="2668" w:type="pct"/>
            <w:gridSpan w:val="10"/>
            <w:tcBorders>
              <w:right w:val="single" w:sz="4" w:space="0" w:color="auto"/>
            </w:tcBorders>
            <w:shd w:val="clear" w:color="auto" w:fill="auto"/>
            <w:vAlign w:val="center"/>
          </w:tcPr>
          <w:p w14:paraId="13792048" w14:textId="77777777" w:rsidR="004A0123" w:rsidRPr="000D3D0C" w:rsidRDefault="004A0123" w:rsidP="008A5C11">
            <w:pPr>
              <w:rPr>
                <w:sz w:val="13"/>
                <w:szCs w:val="13"/>
              </w:rPr>
            </w:pPr>
            <w:r w:rsidRPr="000D3D0C">
              <w:rPr>
                <w:sz w:val="13"/>
                <w:szCs w:val="13"/>
              </w:rPr>
              <w:t>Всего по группе 2.</w:t>
            </w:r>
          </w:p>
        </w:tc>
        <w:tc>
          <w:tcPr>
            <w:tcW w:w="187" w:type="pct"/>
            <w:tcBorders>
              <w:top w:val="single" w:sz="4" w:space="0" w:color="auto"/>
              <w:left w:val="nil"/>
              <w:bottom w:val="single" w:sz="4" w:space="0" w:color="auto"/>
              <w:right w:val="single" w:sz="4" w:space="0" w:color="auto"/>
            </w:tcBorders>
            <w:shd w:val="clear" w:color="auto" w:fill="auto"/>
            <w:vAlign w:val="center"/>
          </w:tcPr>
          <w:p w14:paraId="28D81F82" w14:textId="77777777" w:rsidR="004A0123" w:rsidRPr="000D3D0C" w:rsidRDefault="004A0123" w:rsidP="008A5C11">
            <w:pPr>
              <w:jc w:val="center"/>
              <w:rPr>
                <w:sz w:val="13"/>
                <w:szCs w:val="13"/>
              </w:rPr>
            </w:pPr>
            <w:r w:rsidRPr="000D3D0C">
              <w:rPr>
                <w:sz w:val="13"/>
                <w:szCs w:val="13"/>
              </w:rPr>
              <w:t>0</w:t>
            </w:r>
          </w:p>
        </w:tc>
        <w:tc>
          <w:tcPr>
            <w:tcW w:w="187" w:type="pct"/>
            <w:tcBorders>
              <w:top w:val="single" w:sz="4" w:space="0" w:color="auto"/>
              <w:left w:val="nil"/>
              <w:bottom w:val="single" w:sz="4" w:space="0" w:color="auto"/>
              <w:right w:val="single" w:sz="4" w:space="0" w:color="auto"/>
            </w:tcBorders>
            <w:shd w:val="clear" w:color="auto" w:fill="auto"/>
            <w:vAlign w:val="center"/>
          </w:tcPr>
          <w:p w14:paraId="063D7E4B" w14:textId="77777777" w:rsidR="004A0123" w:rsidRPr="000D3D0C" w:rsidRDefault="004A0123" w:rsidP="008A5C11">
            <w:pPr>
              <w:jc w:val="center"/>
              <w:rPr>
                <w:sz w:val="13"/>
                <w:szCs w:val="13"/>
              </w:rPr>
            </w:pPr>
            <w:r w:rsidRPr="000D3D0C">
              <w:rPr>
                <w:sz w:val="13"/>
                <w:szCs w:val="13"/>
              </w:rPr>
              <w:t>0</w:t>
            </w:r>
          </w:p>
        </w:tc>
        <w:tc>
          <w:tcPr>
            <w:tcW w:w="146" w:type="pct"/>
            <w:tcBorders>
              <w:top w:val="single" w:sz="4" w:space="0" w:color="auto"/>
              <w:left w:val="single" w:sz="4" w:space="0" w:color="auto"/>
              <w:bottom w:val="single" w:sz="4" w:space="0" w:color="auto"/>
              <w:right w:val="single" w:sz="4" w:space="0" w:color="auto"/>
            </w:tcBorders>
            <w:shd w:val="clear" w:color="auto" w:fill="auto"/>
            <w:vAlign w:val="center"/>
          </w:tcPr>
          <w:p w14:paraId="0022C257" w14:textId="77777777" w:rsidR="004A0123" w:rsidRPr="000D3D0C" w:rsidRDefault="004A0123" w:rsidP="008A5C11">
            <w:pPr>
              <w:jc w:val="center"/>
              <w:rPr>
                <w:sz w:val="13"/>
                <w:szCs w:val="13"/>
              </w:rPr>
            </w:pPr>
            <w:r w:rsidRPr="000D3D0C">
              <w:rPr>
                <w:sz w:val="13"/>
                <w:szCs w:val="13"/>
              </w:rPr>
              <w:t>0</w:t>
            </w:r>
          </w:p>
        </w:tc>
        <w:tc>
          <w:tcPr>
            <w:tcW w:w="149" w:type="pct"/>
            <w:tcBorders>
              <w:top w:val="single" w:sz="4" w:space="0" w:color="auto"/>
              <w:left w:val="nil"/>
              <w:bottom w:val="single" w:sz="4" w:space="0" w:color="auto"/>
              <w:right w:val="single" w:sz="4" w:space="0" w:color="auto"/>
            </w:tcBorders>
            <w:shd w:val="clear" w:color="auto" w:fill="auto"/>
            <w:vAlign w:val="center"/>
          </w:tcPr>
          <w:p w14:paraId="508634D5" w14:textId="77777777" w:rsidR="004A0123" w:rsidRPr="000D3D0C" w:rsidRDefault="004A0123" w:rsidP="008A5C11">
            <w:pPr>
              <w:jc w:val="center"/>
              <w:rPr>
                <w:sz w:val="13"/>
                <w:szCs w:val="13"/>
              </w:rPr>
            </w:pPr>
            <w:r w:rsidRPr="000D3D0C">
              <w:rPr>
                <w:sz w:val="13"/>
                <w:szCs w:val="13"/>
              </w:rPr>
              <w:t>0</w:t>
            </w:r>
          </w:p>
        </w:tc>
        <w:tc>
          <w:tcPr>
            <w:tcW w:w="182" w:type="pct"/>
            <w:tcBorders>
              <w:top w:val="single" w:sz="4" w:space="0" w:color="auto"/>
              <w:left w:val="nil"/>
              <w:bottom w:val="single" w:sz="4" w:space="0" w:color="auto"/>
              <w:right w:val="single" w:sz="4" w:space="0" w:color="auto"/>
            </w:tcBorders>
            <w:shd w:val="clear" w:color="auto" w:fill="auto"/>
            <w:vAlign w:val="center"/>
          </w:tcPr>
          <w:p w14:paraId="47A5B62F" w14:textId="77777777" w:rsidR="004A0123" w:rsidRPr="000D3D0C" w:rsidRDefault="004A0123" w:rsidP="008A5C11">
            <w:pPr>
              <w:jc w:val="center"/>
              <w:rPr>
                <w:sz w:val="13"/>
                <w:szCs w:val="13"/>
              </w:rPr>
            </w:pPr>
            <w:r w:rsidRPr="000D3D0C">
              <w:rPr>
                <w:sz w:val="13"/>
                <w:szCs w:val="13"/>
              </w:rPr>
              <w:t>0</w:t>
            </w:r>
          </w:p>
        </w:tc>
        <w:tc>
          <w:tcPr>
            <w:tcW w:w="182" w:type="pct"/>
            <w:tcBorders>
              <w:top w:val="single" w:sz="4" w:space="0" w:color="auto"/>
              <w:left w:val="nil"/>
              <w:bottom w:val="single" w:sz="4" w:space="0" w:color="auto"/>
              <w:right w:val="single" w:sz="4" w:space="0" w:color="auto"/>
            </w:tcBorders>
            <w:shd w:val="clear" w:color="auto" w:fill="auto"/>
            <w:vAlign w:val="center"/>
          </w:tcPr>
          <w:p w14:paraId="3B4AF307" w14:textId="77777777" w:rsidR="004A0123" w:rsidRPr="000D3D0C" w:rsidRDefault="004A0123" w:rsidP="008A5C11">
            <w:pPr>
              <w:jc w:val="center"/>
              <w:rPr>
                <w:sz w:val="13"/>
                <w:szCs w:val="13"/>
              </w:rPr>
            </w:pPr>
            <w:r w:rsidRPr="000D3D0C">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455A3819" w14:textId="77777777" w:rsidR="004A0123" w:rsidRPr="000D3D0C" w:rsidRDefault="004A0123" w:rsidP="008A5C11">
            <w:pPr>
              <w:jc w:val="center"/>
              <w:rPr>
                <w:sz w:val="13"/>
                <w:szCs w:val="13"/>
              </w:rPr>
            </w:pPr>
            <w:r w:rsidRPr="000D3D0C">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3126E7C8" w14:textId="77777777" w:rsidR="004A0123" w:rsidRPr="000D3D0C" w:rsidRDefault="004A0123" w:rsidP="008A5C11">
            <w:pPr>
              <w:jc w:val="center"/>
              <w:rPr>
                <w:sz w:val="13"/>
                <w:szCs w:val="13"/>
              </w:rPr>
            </w:pPr>
            <w:r w:rsidRPr="000D3D0C">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3C96AF2F" w14:textId="77777777" w:rsidR="004A0123" w:rsidRPr="000D3D0C" w:rsidRDefault="004A0123" w:rsidP="008A5C11">
            <w:pPr>
              <w:jc w:val="center"/>
              <w:rPr>
                <w:sz w:val="13"/>
                <w:szCs w:val="13"/>
              </w:rPr>
            </w:pPr>
            <w:r w:rsidRPr="000D3D0C">
              <w:rPr>
                <w:sz w:val="13"/>
                <w:szCs w:val="13"/>
              </w:rPr>
              <w:t>0</w:t>
            </w:r>
          </w:p>
        </w:tc>
        <w:tc>
          <w:tcPr>
            <w:tcW w:w="173" w:type="pct"/>
            <w:tcBorders>
              <w:top w:val="single" w:sz="4" w:space="0" w:color="auto"/>
              <w:left w:val="single" w:sz="4" w:space="0" w:color="auto"/>
              <w:bottom w:val="single" w:sz="4" w:space="0" w:color="auto"/>
              <w:right w:val="single" w:sz="4" w:space="0" w:color="auto"/>
            </w:tcBorders>
            <w:vAlign w:val="center"/>
          </w:tcPr>
          <w:p w14:paraId="7BCB7B82" w14:textId="77777777" w:rsidR="004A0123" w:rsidRPr="000D3D0C" w:rsidRDefault="004A0123" w:rsidP="008A5C11">
            <w:pPr>
              <w:jc w:val="center"/>
              <w:rPr>
                <w:sz w:val="13"/>
                <w:szCs w:val="13"/>
              </w:rPr>
            </w:pPr>
            <w:r w:rsidRPr="000D3D0C">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484E1779" w14:textId="77777777" w:rsidR="004A0123" w:rsidRPr="000D3D0C" w:rsidRDefault="004A0123" w:rsidP="008A5C11">
            <w:pPr>
              <w:jc w:val="center"/>
              <w:rPr>
                <w:sz w:val="13"/>
                <w:szCs w:val="13"/>
              </w:rPr>
            </w:pPr>
            <w:r w:rsidRPr="000D3D0C">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76E75080" w14:textId="77777777" w:rsidR="004A0123" w:rsidRPr="000D3D0C" w:rsidRDefault="004A0123" w:rsidP="008A5C11">
            <w:pPr>
              <w:jc w:val="center"/>
              <w:rPr>
                <w:sz w:val="13"/>
                <w:szCs w:val="13"/>
              </w:rPr>
            </w:pPr>
            <w:r w:rsidRPr="000D3D0C">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23082CA6" w14:textId="77777777" w:rsidR="004A0123" w:rsidRPr="000D3D0C" w:rsidRDefault="004A0123" w:rsidP="008A5C11">
            <w:pPr>
              <w:jc w:val="center"/>
              <w:rPr>
                <w:sz w:val="13"/>
                <w:szCs w:val="13"/>
              </w:rPr>
            </w:pPr>
            <w:r w:rsidRPr="000D3D0C">
              <w:rPr>
                <w:sz w:val="13"/>
                <w:szCs w:val="13"/>
              </w:rPr>
              <w:t>0</w:t>
            </w:r>
          </w:p>
        </w:tc>
        <w:tc>
          <w:tcPr>
            <w:tcW w:w="178" w:type="pct"/>
            <w:tcBorders>
              <w:top w:val="single" w:sz="4" w:space="0" w:color="auto"/>
              <w:left w:val="single" w:sz="4" w:space="0" w:color="auto"/>
              <w:bottom w:val="single" w:sz="4" w:space="0" w:color="auto"/>
              <w:right w:val="single" w:sz="4" w:space="0" w:color="auto"/>
            </w:tcBorders>
            <w:vAlign w:val="center"/>
          </w:tcPr>
          <w:p w14:paraId="0BA59062" w14:textId="77777777" w:rsidR="004A0123" w:rsidRPr="000D3D0C" w:rsidRDefault="004A0123" w:rsidP="008A5C11">
            <w:pPr>
              <w:jc w:val="center"/>
              <w:rPr>
                <w:sz w:val="13"/>
                <w:szCs w:val="13"/>
              </w:rPr>
            </w:pPr>
            <w:r w:rsidRPr="000D3D0C">
              <w:rPr>
                <w:sz w:val="13"/>
                <w:szCs w:val="13"/>
              </w:rPr>
              <w:t>0</w:t>
            </w:r>
          </w:p>
        </w:tc>
      </w:tr>
      <w:tr w:rsidR="004A0123" w:rsidRPr="000D3D0C" w14:paraId="64F7CC20" w14:textId="77777777" w:rsidTr="008A5C11">
        <w:trPr>
          <w:trHeight w:val="226"/>
        </w:trPr>
        <w:tc>
          <w:tcPr>
            <w:tcW w:w="5000" w:type="pct"/>
            <w:gridSpan w:val="24"/>
            <w:tcBorders>
              <w:right w:val="single" w:sz="4" w:space="0" w:color="auto"/>
            </w:tcBorders>
            <w:shd w:val="clear" w:color="auto" w:fill="auto"/>
            <w:vAlign w:val="center"/>
          </w:tcPr>
          <w:p w14:paraId="56646808" w14:textId="77777777" w:rsidR="004A0123" w:rsidRPr="000D3D0C" w:rsidRDefault="004A0123" w:rsidP="008A5C11">
            <w:pPr>
              <w:rPr>
                <w:sz w:val="13"/>
                <w:szCs w:val="13"/>
              </w:rPr>
            </w:pPr>
            <w:r w:rsidRPr="000D3D0C">
              <w:rPr>
                <w:sz w:val="13"/>
                <w:szCs w:val="13"/>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4A0123" w:rsidRPr="000D3D0C" w14:paraId="005B086B" w14:textId="77777777" w:rsidTr="008A5C11">
        <w:trPr>
          <w:trHeight w:val="86"/>
        </w:trPr>
        <w:tc>
          <w:tcPr>
            <w:tcW w:w="5000" w:type="pct"/>
            <w:gridSpan w:val="24"/>
            <w:tcBorders>
              <w:bottom w:val="single" w:sz="4" w:space="0" w:color="auto"/>
              <w:right w:val="single" w:sz="4" w:space="0" w:color="auto"/>
            </w:tcBorders>
            <w:shd w:val="clear" w:color="auto" w:fill="auto"/>
            <w:vAlign w:val="center"/>
          </w:tcPr>
          <w:p w14:paraId="115EE3EF" w14:textId="77777777" w:rsidR="004A0123" w:rsidRPr="000D3D0C" w:rsidRDefault="004A0123" w:rsidP="008A5C11">
            <w:pPr>
              <w:rPr>
                <w:sz w:val="13"/>
                <w:szCs w:val="13"/>
              </w:rPr>
            </w:pPr>
            <w:r w:rsidRPr="000D3D0C">
              <w:rPr>
                <w:sz w:val="13"/>
                <w:szCs w:val="13"/>
              </w:rPr>
              <w:t>3.1. Реконструкция или модернизация существующих тепловых сетей</w:t>
            </w:r>
          </w:p>
        </w:tc>
      </w:tr>
      <w:tr w:rsidR="004A0123" w:rsidRPr="000D3D0C" w14:paraId="12692DAD" w14:textId="77777777" w:rsidTr="008A5C11">
        <w:trPr>
          <w:trHeight w:val="94"/>
        </w:trPr>
        <w:tc>
          <w:tcPr>
            <w:tcW w:w="148" w:type="pct"/>
            <w:tcBorders>
              <w:top w:val="single" w:sz="4" w:space="0" w:color="auto"/>
              <w:left w:val="single" w:sz="4" w:space="0" w:color="auto"/>
              <w:bottom w:val="single" w:sz="4" w:space="0" w:color="auto"/>
              <w:right w:val="single" w:sz="4" w:space="0" w:color="auto"/>
            </w:tcBorders>
            <w:shd w:val="clear" w:color="auto" w:fill="auto"/>
            <w:vAlign w:val="center"/>
          </w:tcPr>
          <w:p w14:paraId="3F5E9403" w14:textId="77777777" w:rsidR="004A0123" w:rsidRPr="000D3D0C" w:rsidRDefault="004A0123" w:rsidP="008A5C11">
            <w:pPr>
              <w:jc w:val="center"/>
              <w:rPr>
                <w:sz w:val="13"/>
                <w:szCs w:val="13"/>
              </w:rPr>
            </w:pPr>
            <w:r w:rsidRPr="000D3D0C">
              <w:rPr>
                <w:sz w:val="13"/>
                <w:szCs w:val="13"/>
              </w:rPr>
              <w:t>3.1.1.</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14:paraId="2A611833" w14:textId="77777777" w:rsidR="004A0123" w:rsidRPr="000D3D0C" w:rsidRDefault="004A0123" w:rsidP="008A5C11">
            <w:pPr>
              <w:rPr>
                <w:color w:val="000000"/>
                <w:sz w:val="13"/>
                <w:szCs w:val="13"/>
              </w:rPr>
            </w:pPr>
            <w:r w:rsidRPr="000D3D0C">
              <w:rPr>
                <w:color w:val="000000"/>
                <w:sz w:val="13"/>
                <w:szCs w:val="13"/>
              </w:rPr>
              <w:t>Реконструкция тепловых сетей Центральной котельной</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tcPr>
          <w:p w14:paraId="69EA2DF9" w14:textId="77777777" w:rsidR="004A0123" w:rsidRPr="000D3D0C" w:rsidRDefault="004A0123" w:rsidP="008A5C11">
            <w:pPr>
              <w:jc w:val="center"/>
              <w:rPr>
                <w:color w:val="000000"/>
                <w:sz w:val="13"/>
                <w:szCs w:val="13"/>
              </w:rPr>
            </w:pPr>
            <w:r w:rsidRPr="000D3D0C">
              <w:rPr>
                <w:color w:val="000000"/>
                <w:sz w:val="13"/>
                <w:szCs w:val="13"/>
              </w:rPr>
              <w:t>Повышение надежности теплоснабжения</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14:paraId="57F2944E" w14:textId="77777777" w:rsidR="004A0123" w:rsidRPr="000D3D0C" w:rsidRDefault="004A0123" w:rsidP="008A5C11">
            <w:pPr>
              <w:jc w:val="center"/>
              <w:rPr>
                <w:color w:val="000000"/>
                <w:sz w:val="13"/>
                <w:szCs w:val="13"/>
              </w:rPr>
            </w:pPr>
            <w:r w:rsidRPr="000D3D0C">
              <w:rPr>
                <w:color w:val="000000"/>
                <w:sz w:val="13"/>
                <w:szCs w:val="13"/>
              </w:rPr>
              <w:t xml:space="preserve">г. </w:t>
            </w:r>
            <w:proofErr w:type="gramStart"/>
            <w:r w:rsidRPr="000D3D0C">
              <w:rPr>
                <w:color w:val="000000"/>
                <w:sz w:val="13"/>
                <w:szCs w:val="13"/>
              </w:rPr>
              <w:t xml:space="preserve">Тайга,   </w:t>
            </w:r>
            <w:proofErr w:type="gramEnd"/>
            <w:r w:rsidRPr="000D3D0C">
              <w:rPr>
                <w:color w:val="000000"/>
                <w:sz w:val="13"/>
                <w:szCs w:val="13"/>
              </w:rPr>
              <w:t xml:space="preserve">               ул. Таежная (11)</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10304EED" w14:textId="77777777" w:rsidR="004A0123" w:rsidRPr="000D3D0C" w:rsidRDefault="004A0123" w:rsidP="008A5C11">
            <w:pPr>
              <w:jc w:val="center"/>
              <w:rPr>
                <w:sz w:val="13"/>
                <w:szCs w:val="13"/>
              </w:rPr>
            </w:pPr>
            <w:r w:rsidRPr="000D3D0C">
              <w:rPr>
                <w:sz w:val="13"/>
                <w:szCs w:val="13"/>
              </w:rPr>
              <w:t>Износ</w:t>
            </w:r>
          </w:p>
        </w:tc>
        <w:tc>
          <w:tcPr>
            <w:tcW w:w="116" w:type="pct"/>
            <w:tcBorders>
              <w:top w:val="single" w:sz="4" w:space="0" w:color="auto"/>
              <w:left w:val="single" w:sz="4" w:space="0" w:color="auto"/>
              <w:bottom w:val="single" w:sz="4" w:space="0" w:color="auto"/>
              <w:right w:val="single" w:sz="4" w:space="0" w:color="auto"/>
            </w:tcBorders>
            <w:shd w:val="clear" w:color="auto" w:fill="auto"/>
            <w:vAlign w:val="center"/>
          </w:tcPr>
          <w:p w14:paraId="2850A4BA" w14:textId="77777777" w:rsidR="004A0123" w:rsidRPr="000D3D0C" w:rsidRDefault="004A0123" w:rsidP="008A5C11">
            <w:pPr>
              <w:jc w:val="center"/>
              <w:rPr>
                <w:sz w:val="13"/>
                <w:szCs w:val="13"/>
              </w:rPr>
            </w:pPr>
            <w:r w:rsidRPr="000D3D0C">
              <w:rPr>
                <w:sz w:val="13"/>
                <w:szCs w:val="13"/>
              </w:rPr>
              <w:t>%</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8CC4A1D" w14:textId="77777777" w:rsidR="004A0123" w:rsidRPr="000D3D0C" w:rsidRDefault="004A0123" w:rsidP="008A5C11">
            <w:pPr>
              <w:jc w:val="center"/>
              <w:rPr>
                <w:sz w:val="13"/>
                <w:szCs w:val="13"/>
              </w:rPr>
            </w:pPr>
            <w:r w:rsidRPr="000D3D0C">
              <w:rPr>
                <w:sz w:val="13"/>
                <w:szCs w:val="13"/>
              </w:rPr>
              <w:t>100</w:t>
            </w: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14:paraId="10440C83" w14:textId="77777777" w:rsidR="004A0123" w:rsidRPr="000D3D0C" w:rsidRDefault="004A0123" w:rsidP="008A5C11">
            <w:pPr>
              <w:jc w:val="center"/>
              <w:rPr>
                <w:sz w:val="13"/>
                <w:szCs w:val="13"/>
              </w:rPr>
            </w:pPr>
            <w:r w:rsidRPr="000D3D0C">
              <w:rPr>
                <w:sz w:val="13"/>
                <w:szCs w:val="13"/>
              </w:rPr>
              <w:t>0</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1DA0A621" w14:textId="77777777" w:rsidR="004A0123" w:rsidRPr="000D3D0C" w:rsidRDefault="004A0123" w:rsidP="008A5C11">
            <w:pPr>
              <w:jc w:val="center"/>
              <w:rPr>
                <w:sz w:val="13"/>
                <w:szCs w:val="13"/>
              </w:rPr>
            </w:pPr>
            <w:r w:rsidRPr="000D3D0C">
              <w:rPr>
                <w:sz w:val="13"/>
                <w:szCs w:val="13"/>
              </w:rPr>
              <w:t>2024</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14:paraId="3711FDBB" w14:textId="77777777" w:rsidR="004A0123" w:rsidRPr="000D3D0C" w:rsidRDefault="004A0123" w:rsidP="008A5C11">
            <w:pPr>
              <w:jc w:val="center"/>
              <w:rPr>
                <w:sz w:val="13"/>
                <w:szCs w:val="13"/>
              </w:rPr>
            </w:pPr>
            <w:r w:rsidRPr="000D3D0C">
              <w:rPr>
                <w:sz w:val="13"/>
                <w:szCs w:val="13"/>
              </w:rPr>
              <w:t>2025</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14:paraId="483FBC2F" w14:textId="77777777" w:rsidR="004A0123" w:rsidRPr="000D3D0C" w:rsidRDefault="004A0123" w:rsidP="008A5C11">
            <w:pPr>
              <w:jc w:val="center"/>
              <w:rPr>
                <w:sz w:val="13"/>
                <w:szCs w:val="13"/>
              </w:rPr>
            </w:pPr>
            <w:r w:rsidRPr="000D3D0C">
              <w:rPr>
                <w:sz w:val="13"/>
                <w:szCs w:val="13"/>
              </w:rPr>
              <w:t>35068</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14:paraId="50233B54" w14:textId="77777777" w:rsidR="004A0123" w:rsidRPr="000D3D0C" w:rsidRDefault="004A0123" w:rsidP="008A5C11">
            <w:pPr>
              <w:jc w:val="center"/>
              <w:rPr>
                <w:sz w:val="13"/>
                <w:szCs w:val="13"/>
              </w:rPr>
            </w:pPr>
            <w:r w:rsidRPr="000D3D0C">
              <w:rPr>
                <w:sz w:val="13"/>
                <w:szCs w:val="13"/>
              </w:rPr>
              <w:t>0</w:t>
            </w:r>
          </w:p>
        </w:tc>
        <w:tc>
          <w:tcPr>
            <w:tcW w:w="146" w:type="pct"/>
            <w:tcBorders>
              <w:top w:val="single" w:sz="4" w:space="0" w:color="auto"/>
              <w:left w:val="single" w:sz="4" w:space="0" w:color="auto"/>
              <w:bottom w:val="single" w:sz="4" w:space="0" w:color="auto"/>
              <w:right w:val="single" w:sz="4" w:space="0" w:color="auto"/>
            </w:tcBorders>
            <w:shd w:val="clear" w:color="auto" w:fill="auto"/>
            <w:vAlign w:val="center"/>
          </w:tcPr>
          <w:p w14:paraId="72A7E0B3" w14:textId="77777777" w:rsidR="004A0123" w:rsidRPr="000D3D0C" w:rsidRDefault="004A0123" w:rsidP="008A5C11">
            <w:pPr>
              <w:jc w:val="center"/>
              <w:rPr>
                <w:sz w:val="13"/>
                <w:szCs w:val="13"/>
              </w:rPr>
            </w:pPr>
            <w:r w:rsidRPr="000D3D0C">
              <w:rPr>
                <w:sz w:val="13"/>
                <w:szCs w:val="13"/>
              </w:rPr>
              <w:t>0</w:t>
            </w:r>
          </w:p>
        </w:tc>
        <w:tc>
          <w:tcPr>
            <w:tcW w:w="149" w:type="pct"/>
            <w:tcBorders>
              <w:top w:val="single" w:sz="4" w:space="0" w:color="auto"/>
              <w:left w:val="single" w:sz="4" w:space="0" w:color="auto"/>
              <w:bottom w:val="single" w:sz="4" w:space="0" w:color="auto"/>
              <w:right w:val="single" w:sz="4" w:space="0" w:color="auto"/>
            </w:tcBorders>
            <w:shd w:val="clear" w:color="auto" w:fill="auto"/>
            <w:vAlign w:val="center"/>
          </w:tcPr>
          <w:p w14:paraId="2D643567" w14:textId="77777777" w:rsidR="004A0123" w:rsidRPr="000D3D0C" w:rsidRDefault="004A0123" w:rsidP="008A5C11">
            <w:pPr>
              <w:jc w:val="center"/>
              <w:rPr>
                <w:sz w:val="13"/>
                <w:szCs w:val="13"/>
              </w:rPr>
            </w:pPr>
            <w:r w:rsidRPr="000D3D0C">
              <w:rPr>
                <w:sz w:val="13"/>
                <w:szCs w:val="13"/>
              </w:rPr>
              <w:t>0</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78618C5A" w14:textId="77777777" w:rsidR="004A0123" w:rsidRPr="000D3D0C" w:rsidRDefault="004A0123" w:rsidP="008A5C11">
            <w:pPr>
              <w:jc w:val="center"/>
              <w:rPr>
                <w:sz w:val="13"/>
                <w:szCs w:val="13"/>
              </w:rPr>
            </w:pPr>
            <w:r w:rsidRPr="000D3D0C">
              <w:rPr>
                <w:sz w:val="13"/>
                <w:szCs w:val="13"/>
              </w:rPr>
              <w:t>0</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51525407" w14:textId="77777777" w:rsidR="004A0123" w:rsidRPr="000D3D0C" w:rsidRDefault="004A0123" w:rsidP="008A5C11">
            <w:pPr>
              <w:jc w:val="center"/>
              <w:rPr>
                <w:sz w:val="13"/>
                <w:szCs w:val="13"/>
              </w:rPr>
            </w:pPr>
            <w:r w:rsidRPr="000D3D0C">
              <w:rPr>
                <w:sz w:val="13"/>
                <w:szCs w:val="13"/>
              </w:rPr>
              <w:t>15062</w:t>
            </w:r>
          </w:p>
        </w:tc>
        <w:tc>
          <w:tcPr>
            <w:tcW w:w="154" w:type="pct"/>
            <w:tcBorders>
              <w:top w:val="single" w:sz="4" w:space="0" w:color="auto"/>
              <w:left w:val="single" w:sz="4" w:space="0" w:color="auto"/>
              <w:bottom w:val="single" w:sz="4" w:space="0" w:color="auto"/>
              <w:right w:val="single" w:sz="4" w:space="0" w:color="auto"/>
            </w:tcBorders>
            <w:vAlign w:val="center"/>
          </w:tcPr>
          <w:p w14:paraId="5E6E69C8" w14:textId="77777777" w:rsidR="004A0123" w:rsidRPr="000D3D0C" w:rsidRDefault="004A0123" w:rsidP="008A5C11">
            <w:pPr>
              <w:jc w:val="center"/>
              <w:rPr>
                <w:sz w:val="13"/>
                <w:szCs w:val="13"/>
              </w:rPr>
            </w:pPr>
            <w:r w:rsidRPr="000D3D0C">
              <w:rPr>
                <w:sz w:val="13"/>
                <w:szCs w:val="13"/>
              </w:rPr>
              <w:t>20006</w:t>
            </w:r>
          </w:p>
        </w:tc>
        <w:tc>
          <w:tcPr>
            <w:tcW w:w="154" w:type="pct"/>
            <w:tcBorders>
              <w:top w:val="single" w:sz="4" w:space="0" w:color="auto"/>
              <w:left w:val="single" w:sz="4" w:space="0" w:color="auto"/>
              <w:bottom w:val="single" w:sz="4" w:space="0" w:color="auto"/>
              <w:right w:val="single" w:sz="4" w:space="0" w:color="auto"/>
            </w:tcBorders>
            <w:vAlign w:val="center"/>
          </w:tcPr>
          <w:p w14:paraId="4CDD044F" w14:textId="77777777" w:rsidR="004A0123" w:rsidRPr="000D3D0C" w:rsidRDefault="004A0123" w:rsidP="008A5C11">
            <w:pPr>
              <w:jc w:val="center"/>
              <w:rPr>
                <w:sz w:val="13"/>
                <w:szCs w:val="13"/>
              </w:rPr>
            </w:pPr>
            <w:r w:rsidRPr="000D3D0C">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55FB1EB1" w14:textId="77777777" w:rsidR="004A0123" w:rsidRPr="000D3D0C" w:rsidRDefault="004A0123" w:rsidP="008A5C11">
            <w:pPr>
              <w:jc w:val="center"/>
              <w:rPr>
                <w:sz w:val="13"/>
                <w:szCs w:val="13"/>
              </w:rPr>
            </w:pPr>
            <w:r w:rsidRPr="000D3D0C">
              <w:rPr>
                <w:sz w:val="13"/>
                <w:szCs w:val="13"/>
              </w:rPr>
              <w:t>0</w:t>
            </w:r>
          </w:p>
        </w:tc>
        <w:tc>
          <w:tcPr>
            <w:tcW w:w="173" w:type="pct"/>
            <w:tcBorders>
              <w:top w:val="single" w:sz="4" w:space="0" w:color="auto"/>
              <w:left w:val="single" w:sz="4" w:space="0" w:color="auto"/>
              <w:bottom w:val="single" w:sz="4" w:space="0" w:color="auto"/>
              <w:right w:val="single" w:sz="4" w:space="0" w:color="auto"/>
            </w:tcBorders>
            <w:vAlign w:val="center"/>
          </w:tcPr>
          <w:p w14:paraId="1DD55DE5" w14:textId="77777777" w:rsidR="004A0123" w:rsidRPr="000D3D0C" w:rsidRDefault="004A0123" w:rsidP="008A5C11">
            <w:pPr>
              <w:jc w:val="center"/>
              <w:rPr>
                <w:sz w:val="13"/>
                <w:szCs w:val="13"/>
              </w:rPr>
            </w:pPr>
            <w:r w:rsidRPr="000D3D0C">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1D7FDBC2" w14:textId="77777777" w:rsidR="004A0123" w:rsidRPr="000D3D0C" w:rsidRDefault="004A0123" w:rsidP="008A5C11">
            <w:pPr>
              <w:jc w:val="center"/>
              <w:rPr>
                <w:sz w:val="13"/>
                <w:szCs w:val="13"/>
              </w:rPr>
            </w:pPr>
            <w:r w:rsidRPr="000D3D0C">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4D1E527B" w14:textId="77777777" w:rsidR="004A0123" w:rsidRPr="000D3D0C" w:rsidRDefault="004A0123" w:rsidP="008A5C11">
            <w:pPr>
              <w:jc w:val="center"/>
              <w:rPr>
                <w:sz w:val="13"/>
                <w:szCs w:val="13"/>
              </w:rPr>
            </w:pPr>
            <w:r w:rsidRPr="000D3D0C">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1F4F0A95" w14:textId="77777777" w:rsidR="004A0123" w:rsidRPr="000D3D0C" w:rsidRDefault="004A0123" w:rsidP="008A5C11">
            <w:pPr>
              <w:jc w:val="center"/>
              <w:rPr>
                <w:sz w:val="13"/>
                <w:szCs w:val="13"/>
              </w:rPr>
            </w:pPr>
            <w:r w:rsidRPr="000D3D0C">
              <w:rPr>
                <w:sz w:val="13"/>
                <w:szCs w:val="13"/>
              </w:rPr>
              <w:t>0</w:t>
            </w:r>
          </w:p>
        </w:tc>
        <w:tc>
          <w:tcPr>
            <w:tcW w:w="178" w:type="pct"/>
            <w:tcBorders>
              <w:top w:val="single" w:sz="4" w:space="0" w:color="auto"/>
              <w:left w:val="single" w:sz="4" w:space="0" w:color="auto"/>
              <w:bottom w:val="single" w:sz="4" w:space="0" w:color="auto"/>
              <w:right w:val="single" w:sz="4" w:space="0" w:color="auto"/>
            </w:tcBorders>
            <w:vAlign w:val="center"/>
          </w:tcPr>
          <w:p w14:paraId="3655BE10" w14:textId="77777777" w:rsidR="004A0123" w:rsidRPr="000D3D0C" w:rsidRDefault="004A0123" w:rsidP="008A5C11">
            <w:pPr>
              <w:jc w:val="center"/>
              <w:rPr>
                <w:sz w:val="13"/>
                <w:szCs w:val="13"/>
              </w:rPr>
            </w:pPr>
            <w:r w:rsidRPr="000D3D0C">
              <w:rPr>
                <w:sz w:val="13"/>
                <w:szCs w:val="13"/>
              </w:rPr>
              <w:t>0</w:t>
            </w:r>
          </w:p>
        </w:tc>
      </w:tr>
      <w:tr w:rsidR="004A0123" w:rsidRPr="000D3D0C" w14:paraId="2E58A601" w14:textId="77777777" w:rsidTr="008A5C11">
        <w:trPr>
          <w:trHeight w:val="64"/>
        </w:trPr>
        <w:tc>
          <w:tcPr>
            <w:tcW w:w="148" w:type="pct"/>
            <w:tcBorders>
              <w:top w:val="single" w:sz="4" w:space="0" w:color="auto"/>
              <w:left w:val="single" w:sz="4" w:space="0" w:color="auto"/>
              <w:bottom w:val="single" w:sz="4" w:space="0" w:color="auto"/>
              <w:right w:val="single" w:sz="4" w:space="0" w:color="auto"/>
            </w:tcBorders>
            <w:shd w:val="clear" w:color="auto" w:fill="auto"/>
            <w:vAlign w:val="center"/>
          </w:tcPr>
          <w:p w14:paraId="680A12B9" w14:textId="77777777" w:rsidR="004A0123" w:rsidRPr="000D3D0C" w:rsidRDefault="004A0123" w:rsidP="008A5C11">
            <w:pPr>
              <w:jc w:val="center"/>
              <w:rPr>
                <w:sz w:val="13"/>
                <w:szCs w:val="13"/>
              </w:rPr>
            </w:pPr>
            <w:r w:rsidRPr="000D3D0C">
              <w:rPr>
                <w:sz w:val="13"/>
                <w:szCs w:val="13"/>
              </w:rPr>
              <w:t>3.1.2.</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14:paraId="657D2AFB" w14:textId="77777777" w:rsidR="004A0123" w:rsidRPr="000D3D0C" w:rsidRDefault="004A0123" w:rsidP="008A5C11">
            <w:pPr>
              <w:rPr>
                <w:color w:val="000000"/>
                <w:sz w:val="13"/>
                <w:szCs w:val="13"/>
              </w:rPr>
            </w:pPr>
            <w:r w:rsidRPr="000D3D0C">
              <w:rPr>
                <w:color w:val="000000"/>
                <w:sz w:val="13"/>
                <w:szCs w:val="13"/>
              </w:rPr>
              <w:t xml:space="preserve">Увеличение диаметра магистрального трубопровода от ЦТП 3 до </w:t>
            </w:r>
            <w:proofErr w:type="gramStart"/>
            <w:r w:rsidRPr="000D3D0C">
              <w:rPr>
                <w:color w:val="000000"/>
                <w:sz w:val="13"/>
                <w:szCs w:val="13"/>
              </w:rPr>
              <w:t>ЦТП  —</w:t>
            </w:r>
            <w:proofErr w:type="gramEnd"/>
            <w:r w:rsidRPr="000D3D0C">
              <w:rPr>
                <w:color w:val="000000"/>
                <w:sz w:val="13"/>
                <w:szCs w:val="13"/>
              </w:rPr>
              <w:t xml:space="preserve"> 1300 м</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tcPr>
          <w:p w14:paraId="0DE6CEFB" w14:textId="77777777" w:rsidR="004A0123" w:rsidRPr="000D3D0C" w:rsidRDefault="004A0123" w:rsidP="008A5C11">
            <w:pPr>
              <w:jc w:val="center"/>
              <w:rPr>
                <w:color w:val="000000"/>
                <w:sz w:val="13"/>
                <w:szCs w:val="13"/>
              </w:rPr>
            </w:pPr>
            <w:r w:rsidRPr="000D3D0C">
              <w:rPr>
                <w:color w:val="000000"/>
                <w:sz w:val="13"/>
                <w:szCs w:val="13"/>
              </w:rPr>
              <w:t>Повышение надежности теплоснабжения</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14:paraId="6A9F26F5" w14:textId="77777777" w:rsidR="004A0123" w:rsidRPr="000D3D0C" w:rsidRDefault="004A0123" w:rsidP="008A5C11">
            <w:pPr>
              <w:jc w:val="center"/>
              <w:rPr>
                <w:color w:val="000000"/>
                <w:sz w:val="13"/>
                <w:szCs w:val="13"/>
              </w:rPr>
            </w:pPr>
            <w:r w:rsidRPr="000D3D0C">
              <w:rPr>
                <w:color w:val="000000"/>
                <w:sz w:val="13"/>
                <w:szCs w:val="13"/>
              </w:rPr>
              <w:t xml:space="preserve">г. </w:t>
            </w:r>
            <w:proofErr w:type="gramStart"/>
            <w:r w:rsidRPr="000D3D0C">
              <w:rPr>
                <w:color w:val="000000"/>
                <w:sz w:val="13"/>
                <w:szCs w:val="13"/>
              </w:rPr>
              <w:t xml:space="preserve">Тайга,   </w:t>
            </w:r>
            <w:proofErr w:type="gramEnd"/>
            <w:r w:rsidRPr="000D3D0C">
              <w:rPr>
                <w:color w:val="000000"/>
                <w:sz w:val="13"/>
                <w:szCs w:val="13"/>
              </w:rPr>
              <w:t xml:space="preserve">                        от ул.Лермонтова,20 до ул.40 лет Октября, 38а</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76A6728C" w14:textId="77777777" w:rsidR="004A0123" w:rsidRPr="000D3D0C" w:rsidRDefault="004A0123" w:rsidP="008A5C11">
            <w:pPr>
              <w:jc w:val="center"/>
              <w:rPr>
                <w:sz w:val="13"/>
                <w:szCs w:val="13"/>
              </w:rPr>
            </w:pPr>
            <w:r w:rsidRPr="000D3D0C">
              <w:rPr>
                <w:sz w:val="13"/>
                <w:szCs w:val="13"/>
              </w:rPr>
              <w:t>Диаметр</w:t>
            </w:r>
          </w:p>
        </w:tc>
        <w:tc>
          <w:tcPr>
            <w:tcW w:w="116" w:type="pct"/>
            <w:tcBorders>
              <w:top w:val="single" w:sz="4" w:space="0" w:color="auto"/>
              <w:left w:val="single" w:sz="4" w:space="0" w:color="auto"/>
              <w:bottom w:val="single" w:sz="4" w:space="0" w:color="auto"/>
              <w:right w:val="single" w:sz="4" w:space="0" w:color="auto"/>
            </w:tcBorders>
            <w:shd w:val="clear" w:color="auto" w:fill="auto"/>
            <w:vAlign w:val="center"/>
          </w:tcPr>
          <w:p w14:paraId="6A855420" w14:textId="77777777" w:rsidR="004A0123" w:rsidRPr="000D3D0C" w:rsidRDefault="004A0123" w:rsidP="008A5C11">
            <w:pPr>
              <w:jc w:val="center"/>
              <w:rPr>
                <w:sz w:val="13"/>
                <w:szCs w:val="13"/>
              </w:rPr>
            </w:pPr>
            <w:r w:rsidRPr="000D3D0C">
              <w:rPr>
                <w:sz w:val="13"/>
                <w:szCs w:val="13"/>
              </w:rPr>
              <w:t>мм</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17F945CA" w14:textId="77777777" w:rsidR="004A0123" w:rsidRPr="000D3D0C" w:rsidRDefault="004A0123" w:rsidP="008A5C11">
            <w:pPr>
              <w:jc w:val="center"/>
              <w:rPr>
                <w:sz w:val="13"/>
                <w:szCs w:val="13"/>
              </w:rPr>
            </w:pPr>
            <w:r w:rsidRPr="000D3D0C">
              <w:rPr>
                <w:sz w:val="13"/>
                <w:szCs w:val="13"/>
              </w:rPr>
              <w:t>219</w:t>
            </w: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14:paraId="50F71B04" w14:textId="77777777" w:rsidR="004A0123" w:rsidRPr="000D3D0C" w:rsidRDefault="004A0123" w:rsidP="008A5C11">
            <w:pPr>
              <w:jc w:val="center"/>
              <w:rPr>
                <w:sz w:val="13"/>
                <w:szCs w:val="13"/>
              </w:rPr>
            </w:pPr>
            <w:r w:rsidRPr="000D3D0C">
              <w:rPr>
                <w:sz w:val="13"/>
                <w:szCs w:val="13"/>
              </w:rPr>
              <w:t>273</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2D450FB" w14:textId="77777777" w:rsidR="004A0123" w:rsidRPr="000D3D0C" w:rsidRDefault="004A0123" w:rsidP="008A5C11">
            <w:pPr>
              <w:jc w:val="center"/>
              <w:rPr>
                <w:sz w:val="13"/>
                <w:szCs w:val="13"/>
              </w:rPr>
            </w:pPr>
            <w:r w:rsidRPr="000D3D0C">
              <w:rPr>
                <w:sz w:val="13"/>
                <w:szCs w:val="13"/>
              </w:rPr>
              <w:t>2028</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14:paraId="16336F93" w14:textId="77777777" w:rsidR="004A0123" w:rsidRPr="000D3D0C" w:rsidRDefault="004A0123" w:rsidP="008A5C11">
            <w:pPr>
              <w:jc w:val="center"/>
              <w:rPr>
                <w:sz w:val="13"/>
                <w:szCs w:val="13"/>
              </w:rPr>
            </w:pPr>
            <w:r w:rsidRPr="000D3D0C">
              <w:rPr>
                <w:sz w:val="13"/>
                <w:szCs w:val="13"/>
              </w:rPr>
              <w:t>2029</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14:paraId="4E4C0B54" w14:textId="77777777" w:rsidR="004A0123" w:rsidRPr="000D3D0C" w:rsidRDefault="004A0123" w:rsidP="008A5C11">
            <w:pPr>
              <w:jc w:val="center"/>
              <w:rPr>
                <w:sz w:val="13"/>
                <w:szCs w:val="13"/>
              </w:rPr>
            </w:pPr>
            <w:r w:rsidRPr="000D3D0C">
              <w:rPr>
                <w:sz w:val="13"/>
                <w:szCs w:val="13"/>
              </w:rPr>
              <w:t>69399</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14:paraId="565B86CE" w14:textId="77777777" w:rsidR="004A0123" w:rsidRPr="000D3D0C" w:rsidRDefault="004A0123" w:rsidP="008A5C11">
            <w:pPr>
              <w:jc w:val="center"/>
              <w:rPr>
                <w:sz w:val="13"/>
                <w:szCs w:val="13"/>
              </w:rPr>
            </w:pPr>
            <w:r w:rsidRPr="000D3D0C">
              <w:rPr>
                <w:sz w:val="13"/>
                <w:szCs w:val="13"/>
              </w:rPr>
              <w:t>0</w:t>
            </w:r>
          </w:p>
        </w:tc>
        <w:tc>
          <w:tcPr>
            <w:tcW w:w="146" w:type="pct"/>
            <w:tcBorders>
              <w:top w:val="single" w:sz="4" w:space="0" w:color="auto"/>
              <w:left w:val="single" w:sz="4" w:space="0" w:color="auto"/>
              <w:bottom w:val="single" w:sz="4" w:space="0" w:color="auto"/>
              <w:right w:val="single" w:sz="4" w:space="0" w:color="auto"/>
            </w:tcBorders>
            <w:shd w:val="clear" w:color="auto" w:fill="auto"/>
            <w:vAlign w:val="center"/>
          </w:tcPr>
          <w:p w14:paraId="104F7F41" w14:textId="77777777" w:rsidR="004A0123" w:rsidRPr="000D3D0C" w:rsidRDefault="004A0123" w:rsidP="008A5C11">
            <w:pPr>
              <w:jc w:val="center"/>
              <w:rPr>
                <w:sz w:val="13"/>
                <w:szCs w:val="13"/>
              </w:rPr>
            </w:pPr>
            <w:r w:rsidRPr="000D3D0C">
              <w:rPr>
                <w:sz w:val="13"/>
                <w:szCs w:val="13"/>
              </w:rPr>
              <w:t>0</w:t>
            </w:r>
          </w:p>
        </w:tc>
        <w:tc>
          <w:tcPr>
            <w:tcW w:w="149" w:type="pct"/>
            <w:tcBorders>
              <w:top w:val="single" w:sz="4" w:space="0" w:color="auto"/>
              <w:left w:val="single" w:sz="4" w:space="0" w:color="auto"/>
              <w:bottom w:val="single" w:sz="4" w:space="0" w:color="auto"/>
              <w:right w:val="single" w:sz="4" w:space="0" w:color="auto"/>
            </w:tcBorders>
            <w:shd w:val="clear" w:color="auto" w:fill="auto"/>
            <w:vAlign w:val="center"/>
          </w:tcPr>
          <w:p w14:paraId="54D1A21A" w14:textId="77777777" w:rsidR="004A0123" w:rsidRPr="000D3D0C" w:rsidRDefault="004A0123" w:rsidP="008A5C11">
            <w:pPr>
              <w:jc w:val="center"/>
              <w:rPr>
                <w:sz w:val="13"/>
                <w:szCs w:val="13"/>
              </w:rPr>
            </w:pPr>
            <w:r w:rsidRPr="000D3D0C">
              <w:rPr>
                <w:sz w:val="13"/>
                <w:szCs w:val="13"/>
              </w:rPr>
              <w:t>0</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09448FD9" w14:textId="77777777" w:rsidR="004A0123" w:rsidRPr="000D3D0C" w:rsidRDefault="004A0123" w:rsidP="008A5C11">
            <w:pPr>
              <w:jc w:val="center"/>
              <w:rPr>
                <w:sz w:val="13"/>
                <w:szCs w:val="13"/>
              </w:rPr>
            </w:pPr>
            <w:r w:rsidRPr="000D3D0C">
              <w:rPr>
                <w:sz w:val="13"/>
                <w:szCs w:val="13"/>
              </w:rPr>
              <w:t>0</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264F277D" w14:textId="77777777" w:rsidR="004A0123" w:rsidRPr="000D3D0C" w:rsidRDefault="004A0123" w:rsidP="008A5C11">
            <w:pPr>
              <w:jc w:val="center"/>
              <w:rPr>
                <w:sz w:val="13"/>
                <w:szCs w:val="13"/>
              </w:rPr>
            </w:pPr>
            <w:r w:rsidRPr="000D3D0C">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45AAADF7" w14:textId="77777777" w:rsidR="004A0123" w:rsidRPr="000D3D0C" w:rsidRDefault="004A0123" w:rsidP="008A5C11">
            <w:pPr>
              <w:jc w:val="center"/>
              <w:rPr>
                <w:sz w:val="13"/>
                <w:szCs w:val="13"/>
              </w:rPr>
            </w:pPr>
            <w:r w:rsidRPr="000D3D0C">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3FE0C87A" w14:textId="77777777" w:rsidR="004A0123" w:rsidRPr="000D3D0C" w:rsidRDefault="004A0123" w:rsidP="008A5C11">
            <w:pPr>
              <w:jc w:val="center"/>
              <w:rPr>
                <w:sz w:val="13"/>
                <w:szCs w:val="13"/>
              </w:rPr>
            </w:pPr>
            <w:r w:rsidRPr="000D3D0C">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2D77D1CE" w14:textId="77777777" w:rsidR="004A0123" w:rsidRPr="000D3D0C" w:rsidRDefault="004A0123" w:rsidP="008A5C11">
            <w:pPr>
              <w:jc w:val="center"/>
              <w:rPr>
                <w:sz w:val="13"/>
                <w:szCs w:val="13"/>
              </w:rPr>
            </w:pPr>
            <w:r w:rsidRPr="000D3D0C">
              <w:rPr>
                <w:sz w:val="13"/>
                <w:szCs w:val="13"/>
              </w:rPr>
              <w:t>0</w:t>
            </w:r>
          </w:p>
        </w:tc>
        <w:tc>
          <w:tcPr>
            <w:tcW w:w="173" w:type="pct"/>
            <w:tcBorders>
              <w:top w:val="single" w:sz="4" w:space="0" w:color="auto"/>
              <w:left w:val="single" w:sz="4" w:space="0" w:color="auto"/>
              <w:bottom w:val="single" w:sz="4" w:space="0" w:color="auto"/>
              <w:right w:val="single" w:sz="4" w:space="0" w:color="auto"/>
            </w:tcBorders>
            <w:vAlign w:val="center"/>
          </w:tcPr>
          <w:p w14:paraId="68B88B5F" w14:textId="77777777" w:rsidR="004A0123" w:rsidRPr="000D3D0C" w:rsidRDefault="004A0123" w:rsidP="008A5C11">
            <w:pPr>
              <w:jc w:val="center"/>
              <w:rPr>
                <w:sz w:val="13"/>
                <w:szCs w:val="13"/>
              </w:rPr>
            </w:pPr>
            <w:r w:rsidRPr="000D3D0C">
              <w:rPr>
                <w:sz w:val="13"/>
                <w:szCs w:val="13"/>
              </w:rPr>
              <w:t>58621</w:t>
            </w:r>
          </w:p>
        </w:tc>
        <w:tc>
          <w:tcPr>
            <w:tcW w:w="156" w:type="pct"/>
            <w:tcBorders>
              <w:top w:val="single" w:sz="4" w:space="0" w:color="auto"/>
              <w:left w:val="single" w:sz="4" w:space="0" w:color="auto"/>
              <w:bottom w:val="single" w:sz="4" w:space="0" w:color="auto"/>
              <w:right w:val="single" w:sz="4" w:space="0" w:color="auto"/>
            </w:tcBorders>
            <w:vAlign w:val="center"/>
          </w:tcPr>
          <w:p w14:paraId="0AC7BCEB" w14:textId="77777777" w:rsidR="004A0123" w:rsidRPr="000D3D0C" w:rsidRDefault="004A0123" w:rsidP="008A5C11">
            <w:pPr>
              <w:jc w:val="center"/>
              <w:rPr>
                <w:sz w:val="13"/>
                <w:szCs w:val="13"/>
              </w:rPr>
            </w:pPr>
            <w:r w:rsidRPr="000D3D0C">
              <w:rPr>
                <w:sz w:val="13"/>
                <w:szCs w:val="13"/>
              </w:rPr>
              <w:t>10778</w:t>
            </w:r>
          </w:p>
        </w:tc>
        <w:tc>
          <w:tcPr>
            <w:tcW w:w="146" w:type="pct"/>
            <w:tcBorders>
              <w:top w:val="single" w:sz="4" w:space="0" w:color="auto"/>
              <w:left w:val="single" w:sz="4" w:space="0" w:color="auto"/>
              <w:bottom w:val="single" w:sz="4" w:space="0" w:color="auto"/>
              <w:right w:val="single" w:sz="4" w:space="0" w:color="auto"/>
            </w:tcBorders>
            <w:vAlign w:val="center"/>
          </w:tcPr>
          <w:p w14:paraId="2BA72B16" w14:textId="77777777" w:rsidR="004A0123" w:rsidRPr="000D3D0C" w:rsidRDefault="004A0123" w:rsidP="008A5C11">
            <w:pPr>
              <w:jc w:val="center"/>
              <w:rPr>
                <w:sz w:val="13"/>
                <w:szCs w:val="13"/>
              </w:rPr>
            </w:pPr>
            <w:r w:rsidRPr="000D3D0C">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472CA8CF" w14:textId="77777777" w:rsidR="004A0123" w:rsidRPr="000D3D0C" w:rsidRDefault="004A0123" w:rsidP="008A5C11">
            <w:pPr>
              <w:jc w:val="center"/>
              <w:rPr>
                <w:sz w:val="13"/>
                <w:szCs w:val="13"/>
              </w:rPr>
            </w:pPr>
            <w:r w:rsidRPr="000D3D0C">
              <w:rPr>
                <w:sz w:val="13"/>
                <w:szCs w:val="13"/>
              </w:rPr>
              <w:t>0</w:t>
            </w:r>
          </w:p>
        </w:tc>
        <w:tc>
          <w:tcPr>
            <w:tcW w:w="178" w:type="pct"/>
            <w:tcBorders>
              <w:top w:val="single" w:sz="4" w:space="0" w:color="auto"/>
              <w:left w:val="single" w:sz="4" w:space="0" w:color="auto"/>
              <w:bottom w:val="single" w:sz="4" w:space="0" w:color="auto"/>
              <w:right w:val="single" w:sz="4" w:space="0" w:color="auto"/>
            </w:tcBorders>
            <w:vAlign w:val="center"/>
          </w:tcPr>
          <w:p w14:paraId="1754E16C" w14:textId="77777777" w:rsidR="004A0123" w:rsidRPr="000D3D0C" w:rsidRDefault="004A0123" w:rsidP="008A5C11">
            <w:pPr>
              <w:jc w:val="center"/>
              <w:rPr>
                <w:sz w:val="13"/>
                <w:szCs w:val="13"/>
              </w:rPr>
            </w:pPr>
            <w:r w:rsidRPr="000D3D0C">
              <w:rPr>
                <w:sz w:val="13"/>
                <w:szCs w:val="13"/>
              </w:rPr>
              <w:t>0</w:t>
            </w:r>
          </w:p>
        </w:tc>
      </w:tr>
      <w:tr w:rsidR="004A0123" w:rsidRPr="000D3D0C" w14:paraId="22A32EE1" w14:textId="77777777" w:rsidTr="008A5C11">
        <w:trPr>
          <w:trHeight w:val="70"/>
        </w:trPr>
        <w:tc>
          <w:tcPr>
            <w:tcW w:w="4165" w:type="pct"/>
            <w:gridSpan w:val="19"/>
            <w:tcBorders>
              <w:top w:val="single" w:sz="4" w:space="0" w:color="auto"/>
              <w:right w:val="single" w:sz="4" w:space="0" w:color="auto"/>
            </w:tcBorders>
            <w:shd w:val="clear" w:color="auto" w:fill="auto"/>
            <w:vAlign w:val="center"/>
          </w:tcPr>
          <w:p w14:paraId="19E54FEE" w14:textId="77777777" w:rsidR="004A0123" w:rsidRPr="000D3D0C" w:rsidRDefault="004A0123" w:rsidP="008A5C11">
            <w:pPr>
              <w:rPr>
                <w:sz w:val="13"/>
                <w:szCs w:val="13"/>
              </w:rPr>
            </w:pPr>
            <w:r w:rsidRPr="000D3D0C">
              <w:rPr>
                <w:sz w:val="13"/>
                <w:szCs w:val="13"/>
              </w:rPr>
              <w:t>3.2. Реконструкция или модернизация существующих объектов системы централизованного теплоснабжения, за исключением тепловых сетей</w:t>
            </w:r>
          </w:p>
        </w:tc>
        <w:tc>
          <w:tcPr>
            <w:tcW w:w="173" w:type="pct"/>
            <w:tcBorders>
              <w:top w:val="single" w:sz="4" w:space="0" w:color="auto"/>
              <w:right w:val="single" w:sz="4" w:space="0" w:color="auto"/>
            </w:tcBorders>
            <w:vAlign w:val="center"/>
          </w:tcPr>
          <w:p w14:paraId="0D380F97" w14:textId="77777777" w:rsidR="004A0123" w:rsidRPr="000D3D0C" w:rsidRDefault="004A0123" w:rsidP="008A5C11">
            <w:pPr>
              <w:jc w:val="center"/>
              <w:rPr>
                <w:sz w:val="13"/>
                <w:szCs w:val="13"/>
              </w:rPr>
            </w:pPr>
          </w:p>
        </w:tc>
        <w:tc>
          <w:tcPr>
            <w:tcW w:w="156" w:type="pct"/>
            <w:tcBorders>
              <w:top w:val="single" w:sz="4" w:space="0" w:color="auto"/>
              <w:right w:val="single" w:sz="4" w:space="0" w:color="auto"/>
            </w:tcBorders>
            <w:vAlign w:val="center"/>
          </w:tcPr>
          <w:p w14:paraId="3ABADB30" w14:textId="77777777" w:rsidR="004A0123" w:rsidRPr="000D3D0C" w:rsidRDefault="004A0123" w:rsidP="008A5C11">
            <w:pPr>
              <w:jc w:val="center"/>
              <w:rPr>
                <w:sz w:val="13"/>
                <w:szCs w:val="13"/>
              </w:rPr>
            </w:pPr>
          </w:p>
        </w:tc>
        <w:tc>
          <w:tcPr>
            <w:tcW w:w="146" w:type="pct"/>
            <w:tcBorders>
              <w:top w:val="single" w:sz="4" w:space="0" w:color="auto"/>
              <w:right w:val="single" w:sz="4" w:space="0" w:color="auto"/>
            </w:tcBorders>
            <w:vAlign w:val="center"/>
          </w:tcPr>
          <w:p w14:paraId="2D779748" w14:textId="77777777" w:rsidR="004A0123" w:rsidRPr="000D3D0C" w:rsidRDefault="004A0123" w:rsidP="008A5C11">
            <w:pPr>
              <w:jc w:val="center"/>
              <w:rPr>
                <w:sz w:val="13"/>
                <w:szCs w:val="13"/>
              </w:rPr>
            </w:pPr>
          </w:p>
        </w:tc>
        <w:tc>
          <w:tcPr>
            <w:tcW w:w="182" w:type="pct"/>
            <w:tcBorders>
              <w:top w:val="single" w:sz="4" w:space="0" w:color="auto"/>
              <w:right w:val="single" w:sz="4" w:space="0" w:color="auto"/>
            </w:tcBorders>
            <w:vAlign w:val="center"/>
          </w:tcPr>
          <w:p w14:paraId="5FF36CA3" w14:textId="77777777" w:rsidR="004A0123" w:rsidRPr="000D3D0C" w:rsidRDefault="004A0123" w:rsidP="008A5C11">
            <w:pPr>
              <w:jc w:val="center"/>
              <w:rPr>
                <w:sz w:val="13"/>
                <w:szCs w:val="13"/>
              </w:rPr>
            </w:pPr>
          </w:p>
        </w:tc>
        <w:tc>
          <w:tcPr>
            <w:tcW w:w="178" w:type="pct"/>
            <w:tcBorders>
              <w:top w:val="single" w:sz="4" w:space="0" w:color="auto"/>
              <w:right w:val="single" w:sz="4" w:space="0" w:color="auto"/>
            </w:tcBorders>
            <w:vAlign w:val="center"/>
          </w:tcPr>
          <w:p w14:paraId="189B8DFF" w14:textId="77777777" w:rsidR="004A0123" w:rsidRPr="000D3D0C" w:rsidRDefault="004A0123" w:rsidP="008A5C11">
            <w:pPr>
              <w:jc w:val="center"/>
              <w:rPr>
                <w:sz w:val="13"/>
                <w:szCs w:val="13"/>
              </w:rPr>
            </w:pPr>
          </w:p>
        </w:tc>
      </w:tr>
      <w:tr w:rsidR="004A0123" w:rsidRPr="000D3D0C" w14:paraId="2269AF35" w14:textId="77777777" w:rsidTr="008A5C11">
        <w:trPr>
          <w:trHeight w:val="489"/>
        </w:trPr>
        <w:tc>
          <w:tcPr>
            <w:tcW w:w="148" w:type="pct"/>
            <w:shd w:val="clear" w:color="auto" w:fill="auto"/>
            <w:vAlign w:val="center"/>
          </w:tcPr>
          <w:p w14:paraId="694A2CE7" w14:textId="77777777" w:rsidR="004A0123" w:rsidRPr="000D3D0C" w:rsidRDefault="004A0123" w:rsidP="008A5C11">
            <w:pPr>
              <w:jc w:val="center"/>
              <w:rPr>
                <w:sz w:val="13"/>
                <w:szCs w:val="13"/>
              </w:rPr>
            </w:pPr>
            <w:r w:rsidRPr="000D3D0C">
              <w:rPr>
                <w:sz w:val="13"/>
                <w:szCs w:val="13"/>
              </w:rPr>
              <w:t>3.2.1.</w:t>
            </w:r>
          </w:p>
        </w:tc>
        <w:tc>
          <w:tcPr>
            <w:tcW w:w="585" w:type="pct"/>
            <w:tcBorders>
              <w:top w:val="nil"/>
              <w:left w:val="single" w:sz="4" w:space="0" w:color="auto"/>
              <w:bottom w:val="single" w:sz="4" w:space="0" w:color="auto"/>
              <w:right w:val="single" w:sz="4" w:space="0" w:color="auto"/>
            </w:tcBorders>
            <w:shd w:val="clear" w:color="auto" w:fill="auto"/>
            <w:vAlign w:val="center"/>
          </w:tcPr>
          <w:p w14:paraId="5DA9787A" w14:textId="77777777" w:rsidR="004A0123" w:rsidRPr="000D3D0C" w:rsidRDefault="004A0123" w:rsidP="008A5C11">
            <w:pPr>
              <w:rPr>
                <w:color w:val="000000"/>
                <w:sz w:val="13"/>
                <w:szCs w:val="13"/>
              </w:rPr>
            </w:pPr>
            <w:r w:rsidRPr="000D3D0C">
              <w:rPr>
                <w:color w:val="000000"/>
                <w:sz w:val="13"/>
                <w:szCs w:val="13"/>
              </w:rPr>
              <w:t xml:space="preserve">Проектирование и </w:t>
            </w:r>
            <w:proofErr w:type="gramStart"/>
            <w:r w:rsidRPr="000D3D0C">
              <w:rPr>
                <w:color w:val="000000"/>
                <w:sz w:val="13"/>
                <w:szCs w:val="13"/>
              </w:rPr>
              <w:t>реконструкция</w:t>
            </w:r>
            <w:proofErr w:type="gramEnd"/>
            <w:r w:rsidRPr="000D3D0C">
              <w:rPr>
                <w:color w:val="000000"/>
                <w:sz w:val="13"/>
                <w:szCs w:val="13"/>
              </w:rPr>
              <w:t xml:space="preserve"> и замена оборудования газоочистки</w:t>
            </w:r>
          </w:p>
        </w:tc>
        <w:tc>
          <w:tcPr>
            <w:tcW w:w="359" w:type="pct"/>
            <w:tcBorders>
              <w:top w:val="nil"/>
              <w:left w:val="nil"/>
              <w:bottom w:val="single" w:sz="4" w:space="0" w:color="auto"/>
              <w:right w:val="single" w:sz="4" w:space="0" w:color="auto"/>
            </w:tcBorders>
            <w:shd w:val="clear" w:color="auto" w:fill="auto"/>
            <w:vAlign w:val="center"/>
          </w:tcPr>
          <w:p w14:paraId="497FC300" w14:textId="77777777" w:rsidR="004A0123" w:rsidRPr="000D3D0C" w:rsidRDefault="004A0123" w:rsidP="008A5C11">
            <w:pPr>
              <w:jc w:val="center"/>
              <w:rPr>
                <w:color w:val="000000"/>
                <w:sz w:val="13"/>
                <w:szCs w:val="13"/>
              </w:rPr>
            </w:pPr>
            <w:r w:rsidRPr="000D3D0C">
              <w:rPr>
                <w:color w:val="000000"/>
                <w:sz w:val="13"/>
                <w:szCs w:val="13"/>
              </w:rPr>
              <w:t>Повышение надежности теплоснабжения</w:t>
            </w:r>
          </w:p>
        </w:tc>
        <w:tc>
          <w:tcPr>
            <w:tcW w:w="390" w:type="pct"/>
            <w:tcBorders>
              <w:top w:val="nil"/>
              <w:left w:val="nil"/>
              <w:bottom w:val="single" w:sz="4" w:space="0" w:color="auto"/>
              <w:right w:val="single" w:sz="4" w:space="0" w:color="auto"/>
            </w:tcBorders>
            <w:shd w:val="clear" w:color="auto" w:fill="auto"/>
            <w:vAlign w:val="center"/>
          </w:tcPr>
          <w:p w14:paraId="4568B94E" w14:textId="77777777" w:rsidR="004A0123" w:rsidRPr="000D3D0C" w:rsidRDefault="004A0123" w:rsidP="008A5C11">
            <w:pPr>
              <w:jc w:val="center"/>
              <w:rPr>
                <w:color w:val="000000"/>
                <w:sz w:val="13"/>
                <w:szCs w:val="13"/>
              </w:rPr>
            </w:pPr>
            <w:r w:rsidRPr="000D3D0C">
              <w:rPr>
                <w:color w:val="000000"/>
                <w:sz w:val="13"/>
                <w:szCs w:val="13"/>
              </w:rPr>
              <w:t xml:space="preserve">г. </w:t>
            </w:r>
            <w:proofErr w:type="gramStart"/>
            <w:r w:rsidRPr="000D3D0C">
              <w:rPr>
                <w:color w:val="000000"/>
                <w:sz w:val="13"/>
                <w:szCs w:val="13"/>
              </w:rPr>
              <w:t xml:space="preserve">Тайга,   </w:t>
            </w:r>
            <w:proofErr w:type="gramEnd"/>
            <w:r w:rsidRPr="000D3D0C">
              <w:rPr>
                <w:color w:val="000000"/>
                <w:sz w:val="13"/>
                <w:szCs w:val="13"/>
              </w:rPr>
              <w:t xml:space="preserve">               ул.Таежная,д.11.             Котельная Центральная</w:t>
            </w:r>
          </w:p>
        </w:tc>
        <w:tc>
          <w:tcPr>
            <w:tcW w:w="337" w:type="pct"/>
            <w:tcBorders>
              <w:top w:val="nil"/>
              <w:left w:val="nil"/>
              <w:bottom w:val="single" w:sz="4" w:space="0" w:color="auto"/>
              <w:right w:val="single" w:sz="4" w:space="0" w:color="auto"/>
            </w:tcBorders>
            <w:shd w:val="clear" w:color="auto" w:fill="auto"/>
            <w:vAlign w:val="center"/>
          </w:tcPr>
          <w:p w14:paraId="5D99CB29" w14:textId="77777777" w:rsidR="004A0123" w:rsidRPr="000D3D0C" w:rsidRDefault="004A0123" w:rsidP="008A5C11">
            <w:pPr>
              <w:jc w:val="center"/>
              <w:rPr>
                <w:sz w:val="13"/>
                <w:szCs w:val="13"/>
              </w:rPr>
            </w:pPr>
            <w:r w:rsidRPr="000D3D0C">
              <w:rPr>
                <w:sz w:val="13"/>
                <w:szCs w:val="13"/>
              </w:rPr>
              <w:t>Износ</w:t>
            </w:r>
          </w:p>
        </w:tc>
        <w:tc>
          <w:tcPr>
            <w:tcW w:w="116" w:type="pct"/>
            <w:tcBorders>
              <w:top w:val="nil"/>
              <w:left w:val="nil"/>
              <w:bottom w:val="single" w:sz="4" w:space="0" w:color="auto"/>
              <w:right w:val="single" w:sz="4" w:space="0" w:color="auto"/>
            </w:tcBorders>
            <w:shd w:val="clear" w:color="auto" w:fill="auto"/>
            <w:vAlign w:val="center"/>
          </w:tcPr>
          <w:p w14:paraId="7013DE53" w14:textId="77777777" w:rsidR="004A0123" w:rsidRPr="000D3D0C" w:rsidRDefault="004A0123" w:rsidP="008A5C11">
            <w:pPr>
              <w:jc w:val="center"/>
              <w:rPr>
                <w:sz w:val="13"/>
                <w:szCs w:val="13"/>
              </w:rPr>
            </w:pPr>
            <w:r w:rsidRPr="000D3D0C">
              <w:rPr>
                <w:sz w:val="13"/>
                <w:szCs w:val="13"/>
              </w:rPr>
              <w:t>%</w:t>
            </w:r>
          </w:p>
        </w:tc>
        <w:tc>
          <w:tcPr>
            <w:tcW w:w="181" w:type="pct"/>
            <w:tcBorders>
              <w:top w:val="nil"/>
              <w:left w:val="single" w:sz="4" w:space="0" w:color="auto"/>
              <w:bottom w:val="single" w:sz="4" w:space="0" w:color="auto"/>
              <w:right w:val="single" w:sz="4" w:space="0" w:color="auto"/>
            </w:tcBorders>
            <w:shd w:val="clear" w:color="auto" w:fill="auto"/>
            <w:vAlign w:val="center"/>
          </w:tcPr>
          <w:p w14:paraId="45450EB6" w14:textId="77777777" w:rsidR="004A0123" w:rsidRPr="000D3D0C" w:rsidRDefault="004A0123" w:rsidP="008A5C11">
            <w:pPr>
              <w:jc w:val="center"/>
              <w:rPr>
                <w:sz w:val="13"/>
                <w:szCs w:val="13"/>
              </w:rPr>
            </w:pPr>
            <w:r w:rsidRPr="000D3D0C">
              <w:rPr>
                <w:sz w:val="13"/>
                <w:szCs w:val="13"/>
              </w:rPr>
              <w:t>100</w:t>
            </w:r>
          </w:p>
        </w:tc>
        <w:tc>
          <w:tcPr>
            <w:tcW w:w="177" w:type="pct"/>
            <w:tcBorders>
              <w:top w:val="nil"/>
              <w:left w:val="nil"/>
              <w:bottom w:val="single" w:sz="4" w:space="0" w:color="auto"/>
              <w:right w:val="single" w:sz="4" w:space="0" w:color="auto"/>
            </w:tcBorders>
            <w:shd w:val="clear" w:color="auto" w:fill="auto"/>
            <w:vAlign w:val="center"/>
          </w:tcPr>
          <w:p w14:paraId="05524000" w14:textId="77777777" w:rsidR="004A0123" w:rsidRPr="000D3D0C" w:rsidRDefault="004A0123" w:rsidP="008A5C11">
            <w:pPr>
              <w:jc w:val="center"/>
              <w:rPr>
                <w:sz w:val="13"/>
                <w:szCs w:val="13"/>
              </w:rPr>
            </w:pPr>
            <w:r w:rsidRPr="000D3D0C">
              <w:rPr>
                <w:sz w:val="13"/>
                <w:szCs w:val="13"/>
              </w:rPr>
              <w:t>0</w:t>
            </w:r>
          </w:p>
        </w:tc>
        <w:tc>
          <w:tcPr>
            <w:tcW w:w="188" w:type="pct"/>
            <w:tcBorders>
              <w:top w:val="nil"/>
              <w:left w:val="nil"/>
              <w:bottom w:val="single" w:sz="4" w:space="0" w:color="auto"/>
              <w:right w:val="single" w:sz="4" w:space="0" w:color="auto"/>
            </w:tcBorders>
            <w:shd w:val="clear" w:color="auto" w:fill="auto"/>
            <w:vAlign w:val="center"/>
          </w:tcPr>
          <w:p w14:paraId="3F6DF859" w14:textId="77777777" w:rsidR="004A0123" w:rsidRPr="000D3D0C" w:rsidRDefault="004A0123" w:rsidP="008A5C11">
            <w:pPr>
              <w:jc w:val="center"/>
              <w:rPr>
                <w:color w:val="000000"/>
                <w:sz w:val="13"/>
                <w:szCs w:val="13"/>
              </w:rPr>
            </w:pPr>
            <w:r w:rsidRPr="000D3D0C">
              <w:rPr>
                <w:color w:val="000000"/>
                <w:sz w:val="13"/>
                <w:szCs w:val="13"/>
              </w:rPr>
              <w:t>2029</w:t>
            </w:r>
          </w:p>
        </w:tc>
        <w:tc>
          <w:tcPr>
            <w:tcW w:w="187" w:type="pct"/>
            <w:tcBorders>
              <w:top w:val="nil"/>
              <w:left w:val="nil"/>
              <w:bottom w:val="single" w:sz="4" w:space="0" w:color="auto"/>
              <w:right w:val="single" w:sz="4" w:space="0" w:color="auto"/>
            </w:tcBorders>
            <w:shd w:val="clear" w:color="auto" w:fill="auto"/>
            <w:vAlign w:val="center"/>
          </w:tcPr>
          <w:p w14:paraId="78DD3895" w14:textId="77777777" w:rsidR="004A0123" w:rsidRPr="000D3D0C" w:rsidRDefault="004A0123" w:rsidP="008A5C11">
            <w:pPr>
              <w:jc w:val="center"/>
              <w:rPr>
                <w:color w:val="000000"/>
                <w:sz w:val="13"/>
                <w:szCs w:val="13"/>
              </w:rPr>
            </w:pPr>
            <w:r w:rsidRPr="000D3D0C">
              <w:rPr>
                <w:color w:val="000000"/>
                <w:sz w:val="13"/>
                <w:szCs w:val="13"/>
              </w:rPr>
              <w:t>2030</w:t>
            </w:r>
          </w:p>
        </w:tc>
        <w:tc>
          <w:tcPr>
            <w:tcW w:w="187" w:type="pct"/>
            <w:tcBorders>
              <w:top w:val="nil"/>
              <w:left w:val="nil"/>
              <w:bottom w:val="single" w:sz="4" w:space="0" w:color="auto"/>
              <w:right w:val="single" w:sz="4" w:space="0" w:color="auto"/>
            </w:tcBorders>
            <w:shd w:val="clear" w:color="auto" w:fill="auto"/>
            <w:vAlign w:val="center"/>
          </w:tcPr>
          <w:p w14:paraId="59D0AC8E" w14:textId="77777777" w:rsidR="004A0123" w:rsidRPr="000D3D0C" w:rsidRDefault="004A0123" w:rsidP="008A5C11">
            <w:pPr>
              <w:jc w:val="center"/>
              <w:rPr>
                <w:color w:val="000000"/>
                <w:sz w:val="13"/>
                <w:szCs w:val="13"/>
              </w:rPr>
            </w:pPr>
            <w:r w:rsidRPr="000D3D0C">
              <w:rPr>
                <w:color w:val="000000"/>
                <w:sz w:val="13"/>
                <w:szCs w:val="13"/>
              </w:rPr>
              <w:t>19886</w:t>
            </w:r>
          </w:p>
        </w:tc>
        <w:tc>
          <w:tcPr>
            <w:tcW w:w="187" w:type="pct"/>
            <w:tcBorders>
              <w:top w:val="nil"/>
              <w:left w:val="nil"/>
              <w:bottom w:val="single" w:sz="4" w:space="0" w:color="auto"/>
              <w:right w:val="single" w:sz="4" w:space="0" w:color="auto"/>
            </w:tcBorders>
            <w:shd w:val="clear" w:color="auto" w:fill="auto"/>
            <w:vAlign w:val="center"/>
          </w:tcPr>
          <w:p w14:paraId="3578AA50" w14:textId="77777777" w:rsidR="004A0123" w:rsidRPr="000D3D0C" w:rsidRDefault="004A0123" w:rsidP="008A5C11">
            <w:pPr>
              <w:jc w:val="center"/>
              <w:rPr>
                <w:sz w:val="13"/>
                <w:szCs w:val="13"/>
              </w:rPr>
            </w:pPr>
            <w:r w:rsidRPr="000D3D0C">
              <w:rPr>
                <w:sz w:val="13"/>
                <w:szCs w:val="13"/>
              </w:rPr>
              <w:t>0</w:t>
            </w:r>
          </w:p>
        </w:tc>
        <w:tc>
          <w:tcPr>
            <w:tcW w:w="146" w:type="pct"/>
            <w:tcBorders>
              <w:top w:val="nil"/>
              <w:left w:val="single" w:sz="4" w:space="0" w:color="auto"/>
              <w:bottom w:val="single" w:sz="4" w:space="0" w:color="auto"/>
              <w:right w:val="single" w:sz="4" w:space="0" w:color="auto"/>
            </w:tcBorders>
            <w:shd w:val="clear" w:color="auto" w:fill="auto"/>
            <w:vAlign w:val="center"/>
          </w:tcPr>
          <w:p w14:paraId="712A9A06" w14:textId="77777777" w:rsidR="004A0123" w:rsidRPr="000D3D0C" w:rsidRDefault="004A0123" w:rsidP="008A5C11">
            <w:pPr>
              <w:jc w:val="center"/>
              <w:rPr>
                <w:sz w:val="13"/>
                <w:szCs w:val="13"/>
              </w:rPr>
            </w:pPr>
            <w:r w:rsidRPr="000D3D0C">
              <w:rPr>
                <w:sz w:val="13"/>
                <w:szCs w:val="13"/>
              </w:rPr>
              <w:t>0</w:t>
            </w:r>
          </w:p>
        </w:tc>
        <w:tc>
          <w:tcPr>
            <w:tcW w:w="149" w:type="pct"/>
            <w:tcBorders>
              <w:top w:val="nil"/>
              <w:left w:val="nil"/>
              <w:bottom w:val="single" w:sz="4" w:space="0" w:color="auto"/>
              <w:right w:val="single" w:sz="4" w:space="0" w:color="auto"/>
            </w:tcBorders>
            <w:shd w:val="clear" w:color="auto" w:fill="auto"/>
            <w:vAlign w:val="center"/>
          </w:tcPr>
          <w:p w14:paraId="0A63C5A7" w14:textId="77777777" w:rsidR="004A0123" w:rsidRPr="000D3D0C" w:rsidRDefault="004A0123" w:rsidP="008A5C11">
            <w:pPr>
              <w:jc w:val="center"/>
              <w:rPr>
                <w:sz w:val="13"/>
                <w:szCs w:val="13"/>
              </w:rPr>
            </w:pPr>
            <w:r w:rsidRPr="000D3D0C">
              <w:rPr>
                <w:sz w:val="13"/>
                <w:szCs w:val="13"/>
              </w:rPr>
              <w:t>0</w:t>
            </w:r>
          </w:p>
        </w:tc>
        <w:tc>
          <w:tcPr>
            <w:tcW w:w="182" w:type="pct"/>
            <w:tcBorders>
              <w:top w:val="nil"/>
              <w:left w:val="nil"/>
              <w:bottom w:val="single" w:sz="4" w:space="0" w:color="auto"/>
              <w:right w:val="single" w:sz="4" w:space="0" w:color="auto"/>
            </w:tcBorders>
            <w:shd w:val="clear" w:color="auto" w:fill="auto"/>
            <w:vAlign w:val="center"/>
          </w:tcPr>
          <w:p w14:paraId="30A259AE" w14:textId="77777777" w:rsidR="004A0123" w:rsidRPr="000D3D0C" w:rsidRDefault="004A0123" w:rsidP="008A5C11">
            <w:pPr>
              <w:jc w:val="center"/>
              <w:rPr>
                <w:sz w:val="13"/>
                <w:szCs w:val="13"/>
              </w:rPr>
            </w:pPr>
            <w:r w:rsidRPr="000D3D0C">
              <w:rPr>
                <w:sz w:val="13"/>
                <w:szCs w:val="13"/>
              </w:rPr>
              <w:t>0</w:t>
            </w:r>
          </w:p>
        </w:tc>
        <w:tc>
          <w:tcPr>
            <w:tcW w:w="182" w:type="pct"/>
            <w:tcBorders>
              <w:top w:val="nil"/>
              <w:left w:val="nil"/>
              <w:bottom w:val="single" w:sz="4" w:space="0" w:color="auto"/>
              <w:right w:val="single" w:sz="4" w:space="0" w:color="auto"/>
            </w:tcBorders>
            <w:shd w:val="clear" w:color="auto" w:fill="auto"/>
            <w:vAlign w:val="center"/>
          </w:tcPr>
          <w:p w14:paraId="5F574306" w14:textId="77777777" w:rsidR="004A0123" w:rsidRPr="000D3D0C" w:rsidRDefault="004A0123" w:rsidP="008A5C11">
            <w:pPr>
              <w:jc w:val="center"/>
              <w:rPr>
                <w:sz w:val="13"/>
                <w:szCs w:val="13"/>
              </w:rPr>
            </w:pPr>
            <w:r w:rsidRPr="000D3D0C">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31B31CB7" w14:textId="77777777" w:rsidR="004A0123" w:rsidRPr="000D3D0C" w:rsidRDefault="004A0123" w:rsidP="008A5C11">
            <w:pPr>
              <w:jc w:val="center"/>
              <w:rPr>
                <w:sz w:val="13"/>
                <w:szCs w:val="13"/>
              </w:rPr>
            </w:pPr>
            <w:r w:rsidRPr="000D3D0C">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3F6162A9" w14:textId="77777777" w:rsidR="004A0123" w:rsidRPr="000D3D0C" w:rsidRDefault="004A0123" w:rsidP="008A5C11">
            <w:pPr>
              <w:jc w:val="center"/>
              <w:rPr>
                <w:sz w:val="13"/>
                <w:szCs w:val="13"/>
              </w:rPr>
            </w:pPr>
            <w:r w:rsidRPr="000D3D0C">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1612C07E" w14:textId="77777777" w:rsidR="004A0123" w:rsidRPr="000D3D0C" w:rsidRDefault="004A0123" w:rsidP="008A5C11">
            <w:pPr>
              <w:jc w:val="center"/>
              <w:rPr>
                <w:sz w:val="13"/>
                <w:szCs w:val="13"/>
              </w:rPr>
            </w:pPr>
            <w:r w:rsidRPr="000D3D0C">
              <w:rPr>
                <w:sz w:val="13"/>
                <w:szCs w:val="13"/>
              </w:rPr>
              <w:t>0</w:t>
            </w:r>
          </w:p>
        </w:tc>
        <w:tc>
          <w:tcPr>
            <w:tcW w:w="173" w:type="pct"/>
            <w:tcBorders>
              <w:top w:val="single" w:sz="4" w:space="0" w:color="auto"/>
              <w:left w:val="single" w:sz="4" w:space="0" w:color="auto"/>
              <w:bottom w:val="single" w:sz="4" w:space="0" w:color="auto"/>
              <w:right w:val="single" w:sz="4" w:space="0" w:color="auto"/>
            </w:tcBorders>
            <w:vAlign w:val="center"/>
          </w:tcPr>
          <w:p w14:paraId="686F661B" w14:textId="77777777" w:rsidR="004A0123" w:rsidRPr="000D3D0C" w:rsidRDefault="004A0123" w:rsidP="008A5C11">
            <w:pPr>
              <w:jc w:val="center"/>
              <w:rPr>
                <w:sz w:val="13"/>
                <w:szCs w:val="13"/>
              </w:rPr>
            </w:pPr>
            <w:r w:rsidRPr="000D3D0C">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14AD0CD4" w14:textId="77777777" w:rsidR="004A0123" w:rsidRPr="000D3D0C" w:rsidRDefault="004A0123" w:rsidP="008A5C11">
            <w:pPr>
              <w:jc w:val="center"/>
              <w:rPr>
                <w:sz w:val="13"/>
                <w:szCs w:val="13"/>
              </w:rPr>
            </w:pPr>
            <w:r w:rsidRPr="000D3D0C">
              <w:rPr>
                <w:sz w:val="13"/>
                <w:szCs w:val="13"/>
              </w:rPr>
              <w:t>15596</w:t>
            </w:r>
          </w:p>
        </w:tc>
        <w:tc>
          <w:tcPr>
            <w:tcW w:w="146" w:type="pct"/>
            <w:tcBorders>
              <w:top w:val="single" w:sz="4" w:space="0" w:color="auto"/>
              <w:left w:val="single" w:sz="4" w:space="0" w:color="auto"/>
              <w:bottom w:val="single" w:sz="4" w:space="0" w:color="auto"/>
              <w:right w:val="single" w:sz="4" w:space="0" w:color="auto"/>
            </w:tcBorders>
            <w:vAlign w:val="center"/>
          </w:tcPr>
          <w:p w14:paraId="4DD1CD86" w14:textId="77777777" w:rsidR="004A0123" w:rsidRPr="000D3D0C" w:rsidRDefault="004A0123" w:rsidP="008A5C11">
            <w:pPr>
              <w:jc w:val="center"/>
              <w:rPr>
                <w:sz w:val="13"/>
                <w:szCs w:val="13"/>
              </w:rPr>
            </w:pPr>
            <w:r w:rsidRPr="000D3D0C">
              <w:rPr>
                <w:sz w:val="13"/>
                <w:szCs w:val="13"/>
              </w:rPr>
              <w:t>4290</w:t>
            </w:r>
          </w:p>
        </w:tc>
        <w:tc>
          <w:tcPr>
            <w:tcW w:w="182" w:type="pct"/>
            <w:tcBorders>
              <w:top w:val="single" w:sz="4" w:space="0" w:color="auto"/>
              <w:left w:val="single" w:sz="4" w:space="0" w:color="auto"/>
              <w:bottom w:val="single" w:sz="4" w:space="0" w:color="auto"/>
              <w:right w:val="single" w:sz="4" w:space="0" w:color="auto"/>
            </w:tcBorders>
            <w:vAlign w:val="center"/>
          </w:tcPr>
          <w:p w14:paraId="04C6637A" w14:textId="77777777" w:rsidR="004A0123" w:rsidRPr="000D3D0C" w:rsidRDefault="004A0123" w:rsidP="008A5C11">
            <w:pPr>
              <w:jc w:val="center"/>
              <w:rPr>
                <w:sz w:val="13"/>
                <w:szCs w:val="13"/>
              </w:rPr>
            </w:pPr>
            <w:r w:rsidRPr="000D3D0C">
              <w:rPr>
                <w:sz w:val="13"/>
                <w:szCs w:val="13"/>
              </w:rPr>
              <w:t>0</w:t>
            </w:r>
          </w:p>
        </w:tc>
        <w:tc>
          <w:tcPr>
            <w:tcW w:w="178" w:type="pct"/>
            <w:tcBorders>
              <w:top w:val="single" w:sz="4" w:space="0" w:color="auto"/>
              <w:left w:val="single" w:sz="4" w:space="0" w:color="auto"/>
              <w:bottom w:val="single" w:sz="4" w:space="0" w:color="auto"/>
              <w:right w:val="single" w:sz="4" w:space="0" w:color="auto"/>
            </w:tcBorders>
            <w:vAlign w:val="center"/>
          </w:tcPr>
          <w:p w14:paraId="49E2F1F9" w14:textId="77777777" w:rsidR="004A0123" w:rsidRPr="000D3D0C" w:rsidRDefault="004A0123" w:rsidP="008A5C11">
            <w:pPr>
              <w:jc w:val="center"/>
              <w:rPr>
                <w:sz w:val="13"/>
                <w:szCs w:val="13"/>
              </w:rPr>
            </w:pPr>
            <w:r w:rsidRPr="000D3D0C">
              <w:rPr>
                <w:sz w:val="13"/>
                <w:szCs w:val="13"/>
              </w:rPr>
              <w:t>0</w:t>
            </w:r>
          </w:p>
        </w:tc>
      </w:tr>
      <w:tr w:rsidR="004A0123" w:rsidRPr="000D3D0C" w14:paraId="385B434C" w14:textId="77777777" w:rsidTr="008A5C11">
        <w:trPr>
          <w:trHeight w:val="110"/>
        </w:trPr>
        <w:tc>
          <w:tcPr>
            <w:tcW w:w="148" w:type="pct"/>
            <w:shd w:val="clear" w:color="auto" w:fill="auto"/>
            <w:vAlign w:val="center"/>
          </w:tcPr>
          <w:p w14:paraId="4B733E3F" w14:textId="77777777" w:rsidR="004A0123" w:rsidRPr="000D3D0C" w:rsidRDefault="004A0123" w:rsidP="008A5C11">
            <w:pPr>
              <w:jc w:val="center"/>
              <w:rPr>
                <w:sz w:val="13"/>
                <w:szCs w:val="13"/>
              </w:rPr>
            </w:pPr>
            <w:r w:rsidRPr="000D3D0C">
              <w:rPr>
                <w:sz w:val="13"/>
                <w:szCs w:val="13"/>
              </w:rPr>
              <w:t>3.2.2.</w:t>
            </w:r>
          </w:p>
        </w:tc>
        <w:tc>
          <w:tcPr>
            <w:tcW w:w="585" w:type="pct"/>
            <w:tcBorders>
              <w:top w:val="nil"/>
              <w:left w:val="single" w:sz="4" w:space="0" w:color="auto"/>
              <w:bottom w:val="single" w:sz="4" w:space="0" w:color="auto"/>
              <w:right w:val="single" w:sz="4" w:space="0" w:color="auto"/>
            </w:tcBorders>
            <w:shd w:val="clear" w:color="auto" w:fill="auto"/>
            <w:vAlign w:val="center"/>
          </w:tcPr>
          <w:p w14:paraId="1F27E75B" w14:textId="77777777" w:rsidR="004A0123" w:rsidRPr="000D3D0C" w:rsidRDefault="004A0123" w:rsidP="008A5C11">
            <w:pPr>
              <w:rPr>
                <w:color w:val="000000"/>
                <w:sz w:val="13"/>
                <w:szCs w:val="13"/>
              </w:rPr>
            </w:pPr>
            <w:r w:rsidRPr="000D3D0C">
              <w:rPr>
                <w:color w:val="000000"/>
                <w:sz w:val="13"/>
                <w:szCs w:val="13"/>
              </w:rPr>
              <w:t>Реконструкция системы ХВО с заменой баков запаса воды</w:t>
            </w:r>
          </w:p>
        </w:tc>
        <w:tc>
          <w:tcPr>
            <w:tcW w:w="359" w:type="pct"/>
            <w:tcBorders>
              <w:top w:val="nil"/>
              <w:left w:val="nil"/>
              <w:bottom w:val="single" w:sz="4" w:space="0" w:color="auto"/>
              <w:right w:val="single" w:sz="4" w:space="0" w:color="auto"/>
            </w:tcBorders>
            <w:shd w:val="clear" w:color="auto" w:fill="auto"/>
            <w:vAlign w:val="center"/>
          </w:tcPr>
          <w:p w14:paraId="58E35A2F" w14:textId="77777777" w:rsidR="004A0123" w:rsidRPr="000D3D0C" w:rsidRDefault="004A0123" w:rsidP="008A5C11">
            <w:pPr>
              <w:jc w:val="center"/>
              <w:rPr>
                <w:color w:val="000000"/>
                <w:sz w:val="13"/>
                <w:szCs w:val="13"/>
              </w:rPr>
            </w:pPr>
            <w:r w:rsidRPr="000D3D0C">
              <w:rPr>
                <w:color w:val="000000"/>
                <w:sz w:val="13"/>
                <w:szCs w:val="13"/>
              </w:rPr>
              <w:t>Повышение надежности теплоснабжения</w:t>
            </w:r>
          </w:p>
        </w:tc>
        <w:tc>
          <w:tcPr>
            <w:tcW w:w="390" w:type="pct"/>
            <w:tcBorders>
              <w:top w:val="nil"/>
              <w:left w:val="nil"/>
              <w:bottom w:val="single" w:sz="4" w:space="0" w:color="auto"/>
              <w:right w:val="single" w:sz="4" w:space="0" w:color="auto"/>
            </w:tcBorders>
            <w:shd w:val="clear" w:color="auto" w:fill="auto"/>
            <w:vAlign w:val="center"/>
          </w:tcPr>
          <w:p w14:paraId="2507ABE5" w14:textId="77777777" w:rsidR="004A0123" w:rsidRPr="000D3D0C" w:rsidRDefault="004A0123" w:rsidP="008A5C11">
            <w:pPr>
              <w:jc w:val="center"/>
              <w:rPr>
                <w:color w:val="000000"/>
                <w:sz w:val="13"/>
                <w:szCs w:val="13"/>
              </w:rPr>
            </w:pPr>
            <w:r w:rsidRPr="000D3D0C">
              <w:rPr>
                <w:color w:val="000000"/>
                <w:sz w:val="13"/>
                <w:szCs w:val="13"/>
              </w:rPr>
              <w:t xml:space="preserve">г. </w:t>
            </w:r>
            <w:proofErr w:type="gramStart"/>
            <w:r w:rsidRPr="000D3D0C">
              <w:rPr>
                <w:color w:val="000000"/>
                <w:sz w:val="13"/>
                <w:szCs w:val="13"/>
              </w:rPr>
              <w:t xml:space="preserve">Тайга,   </w:t>
            </w:r>
            <w:proofErr w:type="gramEnd"/>
            <w:r w:rsidRPr="000D3D0C">
              <w:rPr>
                <w:color w:val="000000"/>
                <w:sz w:val="13"/>
                <w:szCs w:val="13"/>
              </w:rPr>
              <w:t xml:space="preserve">               ул.Таежная,д.11.             Котельная Центральная</w:t>
            </w:r>
          </w:p>
        </w:tc>
        <w:tc>
          <w:tcPr>
            <w:tcW w:w="337" w:type="pct"/>
            <w:tcBorders>
              <w:top w:val="nil"/>
              <w:left w:val="nil"/>
              <w:bottom w:val="single" w:sz="4" w:space="0" w:color="auto"/>
              <w:right w:val="single" w:sz="4" w:space="0" w:color="auto"/>
            </w:tcBorders>
            <w:shd w:val="clear" w:color="auto" w:fill="auto"/>
            <w:vAlign w:val="center"/>
          </w:tcPr>
          <w:p w14:paraId="325A3C78" w14:textId="77777777" w:rsidR="004A0123" w:rsidRPr="000D3D0C" w:rsidRDefault="004A0123" w:rsidP="008A5C11">
            <w:pPr>
              <w:jc w:val="center"/>
              <w:rPr>
                <w:sz w:val="13"/>
                <w:szCs w:val="13"/>
              </w:rPr>
            </w:pPr>
            <w:r w:rsidRPr="000D3D0C">
              <w:rPr>
                <w:sz w:val="13"/>
                <w:szCs w:val="13"/>
              </w:rPr>
              <w:t>Износ</w:t>
            </w:r>
          </w:p>
        </w:tc>
        <w:tc>
          <w:tcPr>
            <w:tcW w:w="116" w:type="pct"/>
            <w:tcBorders>
              <w:top w:val="nil"/>
              <w:left w:val="nil"/>
              <w:bottom w:val="single" w:sz="4" w:space="0" w:color="auto"/>
              <w:right w:val="single" w:sz="4" w:space="0" w:color="auto"/>
            </w:tcBorders>
            <w:shd w:val="clear" w:color="auto" w:fill="auto"/>
            <w:vAlign w:val="center"/>
          </w:tcPr>
          <w:p w14:paraId="4ACE9DFC" w14:textId="77777777" w:rsidR="004A0123" w:rsidRPr="000D3D0C" w:rsidRDefault="004A0123" w:rsidP="008A5C11">
            <w:pPr>
              <w:jc w:val="center"/>
              <w:rPr>
                <w:sz w:val="13"/>
                <w:szCs w:val="13"/>
              </w:rPr>
            </w:pPr>
            <w:r w:rsidRPr="000D3D0C">
              <w:rPr>
                <w:sz w:val="13"/>
                <w:szCs w:val="13"/>
              </w:rPr>
              <w:t>%</w:t>
            </w:r>
          </w:p>
        </w:tc>
        <w:tc>
          <w:tcPr>
            <w:tcW w:w="181" w:type="pct"/>
            <w:tcBorders>
              <w:top w:val="nil"/>
              <w:left w:val="single" w:sz="4" w:space="0" w:color="auto"/>
              <w:bottom w:val="single" w:sz="4" w:space="0" w:color="auto"/>
              <w:right w:val="single" w:sz="4" w:space="0" w:color="auto"/>
            </w:tcBorders>
            <w:shd w:val="clear" w:color="auto" w:fill="auto"/>
            <w:vAlign w:val="center"/>
          </w:tcPr>
          <w:p w14:paraId="738FB6F1" w14:textId="77777777" w:rsidR="004A0123" w:rsidRPr="000D3D0C" w:rsidRDefault="004A0123" w:rsidP="008A5C11">
            <w:pPr>
              <w:jc w:val="center"/>
              <w:rPr>
                <w:sz w:val="13"/>
                <w:szCs w:val="13"/>
              </w:rPr>
            </w:pPr>
            <w:r w:rsidRPr="000D3D0C">
              <w:rPr>
                <w:sz w:val="13"/>
                <w:szCs w:val="13"/>
              </w:rPr>
              <w:t>100</w:t>
            </w:r>
          </w:p>
        </w:tc>
        <w:tc>
          <w:tcPr>
            <w:tcW w:w="177" w:type="pct"/>
            <w:tcBorders>
              <w:top w:val="nil"/>
              <w:left w:val="nil"/>
              <w:bottom w:val="single" w:sz="4" w:space="0" w:color="auto"/>
              <w:right w:val="single" w:sz="4" w:space="0" w:color="auto"/>
            </w:tcBorders>
            <w:shd w:val="clear" w:color="auto" w:fill="auto"/>
            <w:vAlign w:val="center"/>
          </w:tcPr>
          <w:p w14:paraId="6B6A390E" w14:textId="77777777" w:rsidR="004A0123" w:rsidRPr="000D3D0C" w:rsidRDefault="004A0123" w:rsidP="008A5C11">
            <w:pPr>
              <w:jc w:val="center"/>
              <w:rPr>
                <w:sz w:val="13"/>
                <w:szCs w:val="13"/>
              </w:rPr>
            </w:pPr>
            <w:r w:rsidRPr="000D3D0C">
              <w:rPr>
                <w:sz w:val="13"/>
                <w:szCs w:val="13"/>
              </w:rPr>
              <w:t>0</w:t>
            </w:r>
          </w:p>
        </w:tc>
        <w:tc>
          <w:tcPr>
            <w:tcW w:w="188" w:type="pct"/>
            <w:tcBorders>
              <w:top w:val="nil"/>
              <w:left w:val="nil"/>
              <w:bottom w:val="single" w:sz="4" w:space="0" w:color="auto"/>
              <w:right w:val="single" w:sz="4" w:space="0" w:color="auto"/>
            </w:tcBorders>
            <w:shd w:val="clear" w:color="auto" w:fill="auto"/>
            <w:vAlign w:val="center"/>
          </w:tcPr>
          <w:p w14:paraId="651BB184" w14:textId="77777777" w:rsidR="004A0123" w:rsidRPr="000D3D0C" w:rsidRDefault="004A0123" w:rsidP="008A5C11">
            <w:pPr>
              <w:jc w:val="center"/>
              <w:rPr>
                <w:color w:val="000000"/>
                <w:sz w:val="13"/>
                <w:szCs w:val="13"/>
              </w:rPr>
            </w:pPr>
            <w:r w:rsidRPr="000D3D0C">
              <w:rPr>
                <w:color w:val="000000"/>
                <w:sz w:val="13"/>
                <w:szCs w:val="13"/>
              </w:rPr>
              <w:t>2026</w:t>
            </w:r>
          </w:p>
        </w:tc>
        <w:tc>
          <w:tcPr>
            <w:tcW w:w="187" w:type="pct"/>
            <w:tcBorders>
              <w:top w:val="nil"/>
              <w:left w:val="nil"/>
              <w:bottom w:val="single" w:sz="4" w:space="0" w:color="auto"/>
              <w:right w:val="single" w:sz="4" w:space="0" w:color="auto"/>
            </w:tcBorders>
            <w:shd w:val="clear" w:color="auto" w:fill="auto"/>
            <w:vAlign w:val="center"/>
          </w:tcPr>
          <w:p w14:paraId="7275F04A" w14:textId="77777777" w:rsidR="004A0123" w:rsidRPr="000D3D0C" w:rsidRDefault="004A0123" w:rsidP="008A5C11">
            <w:pPr>
              <w:jc w:val="center"/>
              <w:rPr>
                <w:color w:val="000000"/>
                <w:sz w:val="13"/>
                <w:szCs w:val="13"/>
              </w:rPr>
            </w:pPr>
            <w:r w:rsidRPr="000D3D0C">
              <w:rPr>
                <w:color w:val="000000"/>
                <w:sz w:val="13"/>
                <w:szCs w:val="13"/>
              </w:rPr>
              <w:t>2028</w:t>
            </w:r>
          </w:p>
        </w:tc>
        <w:tc>
          <w:tcPr>
            <w:tcW w:w="187" w:type="pct"/>
            <w:tcBorders>
              <w:top w:val="nil"/>
              <w:left w:val="nil"/>
              <w:bottom w:val="single" w:sz="4" w:space="0" w:color="auto"/>
              <w:right w:val="single" w:sz="4" w:space="0" w:color="auto"/>
            </w:tcBorders>
            <w:shd w:val="clear" w:color="auto" w:fill="auto"/>
            <w:vAlign w:val="center"/>
          </w:tcPr>
          <w:p w14:paraId="319030D5" w14:textId="77777777" w:rsidR="004A0123" w:rsidRPr="000D3D0C" w:rsidRDefault="004A0123" w:rsidP="008A5C11">
            <w:pPr>
              <w:jc w:val="center"/>
              <w:rPr>
                <w:color w:val="000000"/>
                <w:sz w:val="13"/>
                <w:szCs w:val="13"/>
              </w:rPr>
            </w:pPr>
            <w:r w:rsidRPr="000D3D0C">
              <w:rPr>
                <w:color w:val="000000"/>
                <w:sz w:val="13"/>
                <w:szCs w:val="13"/>
              </w:rPr>
              <w:t>100411</w:t>
            </w:r>
          </w:p>
        </w:tc>
        <w:tc>
          <w:tcPr>
            <w:tcW w:w="187" w:type="pct"/>
            <w:tcBorders>
              <w:top w:val="nil"/>
              <w:left w:val="nil"/>
              <w:bottom w:val="single" w:sz="4" w:space="0" w:color="auto"/>
              <w:right w:val="single" w:sz="4" w:space="0" w:color="auto"/>
            </w:tcBorders>
            <w:shd w:val="clear" w:color="auto" w:fill="auto"/>
            <w:vAlign w:val="center"/>
          </w:tcPr>
          <w:p w14:paraId="03AE2F3A" w14:textId="77777777" w:rsidR="004A0123" w:rsidRPr="000D3D0C" w:rsidRDefault="004A0123" w:rsidP="008A5C11">
            <w:pPr>
              <w:jc w:val="center"/>
              <w:rPr>
                <w:sz w:val="13"/>
                <w:szCs w:val="13"/>
              </w:rPr>
            </w:pPr>
            <w:r w:rsidRPr="000D3D0C">
              <w:rPr>
                <w:sz w:val="13"/>
                <w:szCs w:val="13"/>
              </w:rPr>
              <w:t>0</w:t>
            </w:r>
          </w:p>
        </w:tc>
        <w:tc>
          <w:tcPr>
            <w:tcW w:w="146" w:type="pct"/>
            <w:tcBorders>
              <w:top w:val="nil"/>
              <w:left w:val="single" w:sz="4" w:space="0" w:color="auto"/>
              <w:bottom w:val="single" w:sz="4" w:space="0" w:color="auto"/>
              <w:right w:val="single" w:sz="4" w:space="0" w:color="auto"/>
            </w:tcBorders>
            <w:shd w:val="clear" w:color="auto" w:fill="auto"/>
            <w:vAlign w:val="center"/>
          </w:tcPr>
          <w:p w14:paraId="4C56815C" w14:textId="77777777" w:rsidR="004A0123" w:rsidRPr="000D3D0C" w:rsidRDefault="004A0123" w:rsidP="008A5C11">
            <w:pPr>
              <w:jc w:val="center"/>
              <w:rPr>
                <w:sz w:val="13"/>
                <w:szCs w:val="13"/>
              </w:rPr>
            </w:pPr>
            <w:r w:rsidRPr="000D3D0C">
              <w:rPr>
                <w:sz w:val="13"/>
                <w:szCs w:val="13"/>
              </w:rPr>
              <w:t>0</w:t>
            </w:r>
          </w:p>
        </w:tc>
        <w:tc>
          <w:tcPr>
            <w:tcW w:w="149" w:type="pct"/>
            <w:tcBorders>
              <w:top w:val="nil"/>
              <w:left w:val="nil"/>
              <w:bottom w:val="single" w:sz="4" w:space="0" w:color="auto"/>
              <w:right w:val="single" w:sz="4" w:space="0" w:color="auto"/>
            </w:tcBorders>
            <w:shd w:val="clear" w:color="auto" w:fill="auto"/>
            <w:vAlign w:val="center"/>
          </w:tcPr>
          <w:p w14:paraId="2DAD9697" w14:textId="77777777" w:rsidR="004A0123" w:rsidRPr="000D3D0C" w:rsidRDefault="004A0123" w:rsidP="008A5C11">
            <w:pPr>
              <w:jc w:val="center"/>
              <w:rPr>
                <w:sz w:val="13"/>
                <w:szCs w:val="13"/>
              </w:rPr>
            </w:pPr>
            <w:r w:rsidRPr="000D3D0C">
              <w:rPr>
                <w:sz w:val="13"/>
                <w:szCs w:val="13"/>
              </w:rPr>
              <w:t>0</w:t>
            </w:r>
          </w:p>
        </w:tc>
        <w:tc>
          <w:tcPr>
            <w:tcW w:w="182" w:type="pct"/>
            <w:tcBorders>
              <w:top w:val="nil"/>
              <w:left w:val="nil"/>
              <w:bottom w:val="single" w:sz="4" w:space="0" w:color="auto"/>
              <w:right w:val="single" w:sz="4" w:space="0" w:color="auto"/>
            </w:tcBorders>
            <w:shd w:val="clear" w:color="auto" w:fill="auto"/>
            <w:vAlign w:val="center"/>
          </w:tcPr>
          <w:p w14:paraId="7776F578" w14:textId="77777777" w:rsidR="004A0123" w:rsidRPr="000D3D0C" w:rsidRDefault="004A0123" w:rsidP="008A5C11">
            <w:pPr>
              <w:jc w:val="center"/>
              <w:rPr>
                <w:sz w:val="13"/>
                <w:szCs w:val="13"/>
              </w:rPr>
            </w:pPr>
            <w:r w:rsidRPr="000D3D0C">
              <w:rPr>
                <w:sz w:val="13"/>
                <w:szCs w:val="13"/>
              </w:rPr>
              <w:t>0</w:t>
            </w:r>
          </w:p>
        </w:tc>
        <w:tc>
          <w:tcPr>
            <w:tcW w:w="182" w:type="pct"/>
            <w:tcBorders>
              <w:top w:val="nil"/>
              <w:left w:val="nil"/>
              <w:bottom w:val="single" w:sz="4" w:space="0" w:color="auto"/>
              <w:right w:val="single" w:sz="4" w:space="0" w:color="auto"/>
            </w:tcBorders>
            <w:shd w:val="clear" w:color="auto" w:fill="auto"/>
            <w:vAlign w:val="center"/>
          </w:tcPr>
          <w:p w14:paraId="29B3FBE6" w14:textId="77777777" w:rsidR="004A0123" w:rsidRPr="000D3D0C" w:rsidRDefault="004A0123" w:rsidP="008A5C11">
            <w:pPr>
              <w:jc w:val="center"/>
              <w:rPr>
                <w:sz w:val="13"/>
                <w:szCs w:val="13"/>
              </w:rPr>
            </w:pPr>
            <w:r w:rsidRPr="000D3D0C">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78D37168" w14:textId="77777777" w:rsidR="004A0123" w:rsidRPr="000D3D0C" w:rsidRDefault="004A0123" w:rsidP="008A5C11">
            <w:pPr>
              <w:jc w:val="center"/>
              <w:rPr>
                <w:sz w:val="13"/>
                <w:szCs w:val="13"/>
              </w:rPr>
            </w:pPr>
            <w:r w:rsidRPr="000D3D0C">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62B28E3A" w14:textId="77777777" w:rsidR="004A0123" w:rsidRPr="000D3D0C" w:rsidRDefault="004A0123" w:rsidP="008A5C11">
            <w:pPr>
              <w:rPr>
                <w:sz w:val="13"/>
                <w:szCs w:val="13"/>
              </w:rPr>
            </w:pPr>
            <w:r w:rsidRPr="000D3D0C">
              <w:rPr>
                <w:sz w:val="13"/>
                <w:szCs w:val="13"/>
              </w:rPr>
              <w:t>16370</w:t>
            </w:r>
          </w:p>
        </w:tc>
        <w:tc>
          <w:tcPr>
            <w:tcW w:w="156" w:type="pct"/>
            <w:tcBorders>
              <w:top w:val="single" w:sz="4" w:space="0" w:color="auto"/>
              <w:left w:val="single" w:sz="4" w:space="0" w:color="auto"/>
              <w:bottom w:val="single" w:sz="4" w:space="0" w:color="auto"/>
              <w:right w:val="single" w:sz="4" w:space="0" w:color="auto"/>
            </w:tcBorders>
            <w:vAlign w:val="center"/>
          </w:tcPr>
          <w:p w14:paraId="77073330" w14:textId="77777777" w:rsidR="004A0123" w:rsidRPr="000D3D0C" w:rsidRDefault="004A0123" w:rsidP="008A5C11">
            <w:pPr>
              <w:jc w:val="center"/>
              <w:rPr>
                <w:sz w:val="13"/>
                <w:szCs w:val="13"/>
              </w:rPr>
            </w:pPr>
            <w:r w:rsidRPr="000D3D0C">
              <w:rPr>
                <w:sz w:val="13"/>
                <w:szCs w:val="13"/>
              </w:rPr>
              <w:t>41947</w:t>
            </w:r>
          </w:p>
        </w:tc>
        <w:tc>
          <w:tcPr>
            <w:tcW w:w="173" w:type="pct"/>
            <w:tcBorders>
              <w:top w:val="single" w:sz="4" w:space="0" w:color="auto"/>
              <w:left w:val="single" w:sz="4" w:space="0" w:color="auto"/>
              <w:bottom w:val="single" w:sz="4" w:space="0" w:color="auto"/>
              <w:right w:val="single" w:sz="4" w:space="0" w:color="auto"/>
            </w:tcBorders>
            <w:vAlign w:val="center"/>
          </w:tcPr>
          <w:p w14:paraId="6A43BCC2" w14:textId="77777777" w:rsidR="004A0123" w:rsidRPr="000D3D0C" w:rsidRDefault="004A0123" w:rsidP="008A5C11">
            <w:pPr>
              <w:jc w:val="center"/>
              <w:rPr>
                <w:sz w:val="13"/>
                <w:szCs w:val="13"/>
              </w:rPr>
            </w:pPr>
            <w:r w:rsidRPr="000D3D0C">
              <w:rPr>
                <w:sz w:val="13"/>
                <w:szCs w:val="13"/>
              </w:rPr>
              <w:t>42094</w:t>
            </w:r>
          </w:p>
        </w:tc>
        <w:tc>
          <w:tcPr>
            <w:tcW w:w="156" w:type="pct"/>
            <w:tcBorders>
              <w:top w:val="single" w:sz="4" w:space="0" w:color="auto"/>
              <w:left w:val="single" w:sz="4" w:space="0" w:color="auto"/>
              <w:bottom w:val="single" w:sz="4" w:space="0" w:color="auto"/>
              <w:right w:val="single" w:sz="4" w:space="0" w:color="auto"/>
            </w:tcBorders>
            <w:vAlign w:val="center"/>
          </w:tcPr>
          <w:p w14:paraId="43AD5649" w14:textId="77777777" w:rsidR="004A0123" w:rsidRPr="000D3D0C" w:rsidRDefault="004A0123" w:rsidP="008A5C11">
            <w:pPr>
              <w:jc w:val="center"/>
              <w:rPr>
                <w:sz w:val="13"/>
                <w:szCs w:val="13"/>
              </w:rPr>
            </w:pPr>
            <w:r w:rsidRPr="000D3D0C">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6BD4195D" w14:textId="77777777" w:rsidR="004A0123" w:rsidRPr="000D3D0C" w:rsidRDefault="004A0123" w:rsidP="008A5C11">
            <w:pPr>
              <w:jc w:val="center"/>
              <w:rPr>
                <w:sz w:val="13"/>
                <w:szCs w:val="13"/>
              </w:rPr>
            </w:pPr>
            <w:r w:rsidRPr="000D3D0C">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42DE05BD" w14:textId="77777777" w:rsidR="004A0123" w:rsidRPr="000D3D0C" w:rsidRDefault="004A0123" w:rsidP="008A5C11">
            <w:pPr>
              <w:jc w:val="center"/>
              <w:rPr>
                <w:sz w:val="13"/>
                <w:szCs w:val="13"/>
              </w:rPr>
            </w:pPr>
            <w:r w:rsidRPr="000D3D0C">
              <w:rPr>
                <w:sz w:val="13"/>
                <w:szCs w:val="13"/>
              </w:rPr>
              <w:t>0</w:t>
            </w:r>
          </w:p>
        </w:tc>
        <w:tc>
          <w:tcPr>
            <w:tcW w:w="178" w:type="pct"/>
            <w:tcBorders>
              <w:top w:val="single" w:sz="4" w:space="0" w:color="auto"/>
              <w:left w:val="single" w:sz="4" w:space="0" w:color="auto"/>
              <w:bottom w:val="single" w:sz="4" w:space="0" w:color="auto"/>
              <w:right w:val="single" w:sz="4" w:space="0" w:color="auto"/>
            </w:tcBorders>
            <w:vAlign w:val="center"/>
          </w:tcPr>
          <w:p w14:paraId="5A8EEE5D" w14:textId="77777777" w:rsidR="004A0123" w:rsidRPr="000D3D0C" w:rsidRDefault="004A0123" w:rsidP="008A5C11">
            <w:pPr>
              <w:jc w:val="center"/>
              <w:rPr>
                <w:sz w:val="13"/>
                <w:szCs w:val="13"/>
              </w:rPr>
            </w:pPr>
            <w:r w:rsidRPr="000D3D0C">
              <w:rPr>
                <w:sz w:val="13"/>
                <w:szCs w:val="13"/>
              </w:rPr>
              <w:t>0</w:t>
            </w:r>
          </w:p>
        </w:tc>
      </w:tr>
      <w:tr w:rsidR="004A0123" w:rsidRPr="000D3D0C" w14:paraId="60396370" w14:textId="77777777" w:rsidTr="008A5C11">
        <w:trPr>
          <w:trHeight w:val="489"/>
        </w:trPr>
        <w:tc>
          <w:tcPr>
            <w:tcW w:w="148" w:type="pct"/>
            <w:shd w:val="clear" w:color="auto" w:fill="auto"/>
            <w:vAlign w:val="center"/>
          </w:tcPr>
          <w:p w14:paraId="20318876" w14:textId="77777777" w:rsidR="004A0123" w:rsidRPr="000D3D0C" w:rsidRDefault="004A0123" w:rsidP="008A5C11">
            <w:pPr>
              <w:jc w:val="center"/>
              <w:rPr>
                <w:sz w:val="13"/>
                <w:szCs w:val="13"/>
              </w:rPr>
            </w:pPr>
            <w:r w:rsidRPr="000D3D0C">
              <w:rPr>
                <w:sz w:val="13"/>
                <w:szCs w:val="13"/>
              </w:rPr>
              <w:t>3.2.3.</w:t>
            </w:r>
          </w:p>
        </w:tc>
        <w:tc>
          <w:tcPr>
            <w:tcW w:w="585" w:type="pct"/>
            <w:tcBorders>
              <w:top w:val="nil"/>
              <w:left w:val="single" w:sz="4" w:space="0" w:color="auto"/>
              <w:bottom w:val="single" w:sz="4" w:space="0" w:color="auto"/>
              <w:right w:val="single" w:sz="4" w:space="0" w:color="auto"/>
            </w:tcBorders>
            <w:shd w:val="clear" w:color="auto" w:fill="auto"/>
            <w:vAlign w:val="center"/>
          </w:tcPr>
          <w:p w14:paraId="274CE625" w14:textId="77777777" w:rsidR="004A0123" w:rsidRPr="000D3D0C" w:rsidRDefault="004A0123" w:rsidP="008A5C11">
            <w:pPr>
              <w:rPr>
                <w:color w:val="000000"/>
                <w:sz w:val="13"/>
                <w:szCs w:val="13"/>
              </w:rPr>
            </w:pPr>
            <w:r w:rsidRPr="000D3D0C">
              <w:rPr>
                <w:color w:val="000000"/>
                <w:sz w:val="13"/>
                <w:szCs w:val="13"/>
              </w:rPr>
              <w:t>Реконструкция котлоагрегата КЕ-25-14 № 4 с автоматизацией</w:t>
            </w:r>
          </w:p>
        </w:tc>
        <w:tc>
          <w:tcPr>
            <w:tcW w:w="359" w:type="pct"/>
            <w:tcBorders>
              <w:top w:val="nil"/>
              <w:left w:val="nil"/>
              <w:bottom w:val="single" w:sz="4" w:space="0" w:color="auto"/>
              <w:right w:val="single" w:sz="4" w:space="0" w:color="auto"/>
            </w:tcBorders>
            <w:shd w:val="clear" w:color="auto" w:fill="auto"/>
            <w:vAlign w:val="center"/>
          </w:tcPr>
          <w:p w14:paraId="4C25D3A9" w14:textId="77777777" w:rsidR="004A0123" w:rsidRPr="000D3D0C" w:rsidRDefault="004A0123" w:rsidP="008A5C11">
            <w:pPr>
              <w:jc w:val="center"/>
              <w:rPr>
                <w:color w:val="000000"/>
                <w:sz w:val="13"/>
                <w:szCs w:val="13"/>
              </w:rPr>
            </w:pPr>
            <w:r w:rsidRPr="000D3D0C">
              <w:rPr>
                <w:color w:val="000000"/>
                <w:sz w:val="13"/>
                <w:szCs w:val="13"/>
              </w:rPr>
              <w:t>Повышение надежности теплоснабжения</w:t>
            </w:r>
          </w:p>
        </w:tc>
        <w:tc>
          <w:tcPr>
            <w:tcW w:w="390" w:type="pct"/>
            <w:tcBorders>
              <w:top w:val="nil"/>
              <w:left w:val="nil"/>
              <w:bottom w:val="single" w:sz="4" w:space="0" w:color="auto"/>
              <w:right w:val="single" w:sz="4" w:space="0" w:color="auto"/>
            </w:tcBorders>
            <w:shd w:val="clear" w:color="auto" w:fill="auto"/>
            <w:vAlign w:val="center"/>
          </w:tcPr>
          <w:p w14:paraId="6235D967" w14:textId="77777777" w:rsidR="004A0123" w:rsidRPr="000D3D0C" w:rsidRDefault="004A0123" w:rsidP="008A5C11">
            <w:pPr>
              <w:jc w:val="center"/>
              <w:rPr>
                <w:color w:val="000000"/>
                <w:sz w:val="13"/>
                <w:szCs w:val="13"/>
              </w:rPr>
            </w:pPr>
            <w:r w:rsidRPr="000D3D0C">
              <w:rPr>
                <w:color w:val="000000"/>
                <w:sz w:val="13"/>
                <w:szCs w:val="13"/>
              </w:rPr>
              <w:t xml:space="preserve">г. </w:t>
            </w:r>
            <w:proofErr w:type="gramStart"/>
            <w:r w:rsidRPr="000D3D0C">
              <w:rPr>
                <w:color w:val="000000"/>
                <w:sz w:val="13"/>
                <w:szCs w:val="13"/>
              </w:rPr>
              <w:t xml:space="preserve">Тайга,   </w:t>
            </w:r>
            <w:proofErr w:type="gramEnd"/>
            <w:r w:rsidRPr="000D3D0C">
              <w:rPr>
                <w:color w:val="000000"/>
                <w:sz w:val="13"/>
                <w:szCs w:val="13"/>
              </w:rPr>
              <w:t xml:space="preserve">               ул.Таежная,д.11.             Котельная Центральная</w:t>
            </w:r>
            <w:r w:rsidRPr="000D3D0C">
              <w:rPr>
                <w:color w:val="000000"/>
                <w:sz w:val="13"/>
                <w:szCs w:val="13"/>
              </w:rPr>
              <w:tab/>
            </w:r>
          </w:p>
        </w:tc>
        <w:tc>
          <w:tcPr>
            <w:tcW w:w="337" w:type="pct"/>
            <w:tcBorders>
              <w:top w:val="nil"/>
              <w:left w:val="nil"/>
              <w:bottom w:val="single" w:sz="4" w:space="0" w:color="auto"/>
              <w:right w:val="single" w:sz="4" w:space="0" w:color="auto"/>
            </w:tcBorders>
            <w:shd w:val="clear" w:color="auto" w:fill="auto"/>
            <w:vAlign w:val="center"/>
          </w:tcPr>
          <w:p w14:paraId="46E22A8C" w14:textId="77777777" w:rsidR="004A0123" w:rsidRPr="000D3D0C" w:rsidRDefault="004A0123" w:rsidP="008A5C11">
            <w:pPr>
              <w:jc w:val="center"/>
              <w:rPr>
                <w:sz w:val="13"/>
                <w:szCs w:val="13"/>
              </w:rPr>
            </w:pPr>
            <w:r w:rsidRPr="000D3D0C">
              <w:rPr>
                <w:sz w:val="13"/>
                <w:szCs w:val="13"/>
              </w:rPr>
              <w:t>Износ</w:t>
            </w:r>
          </w:p>
        </w:tc>
        <w:tc>
          <w:tcPr>
            <w:tcW w:w="116" w:type="pct"/>
            <w:tcBorders>
              <w:top w:val="nil"/>
              <w:left w:val="nil"/>
              <w:bottom w:val="single" w:sz="4" w:space="0" w:color="auto"/>
              <w:right w:val="single" w:sz="4" w:space="0" w:color="auto"/>
            </w:tcBorders>
            <w:shd w:val="clear" w:color="auto" w:fill="auto"/>
            <w:vAlign w:val="center"/>
          </w:tcPr>
          <w:p w14:paraId="6D870670" w14:textId="77777777" w:rsidR="004A0123" w:rsidRPr="000D3D0C" w:rsidRDefault="004A0123" w:rsidP="008A5C11">
            <w:pPr>
              <w:jc w:val="center"/>
              <w:rPr>
                <w:sz w:val="13"/>
                <w:szCs w:val="13"/>
              </w:rPr>
            </w:pPr>
            <w:r w:rsidRPr="000D3D0C">
              <w:rPr>
                <w:sz w:val="13"/>
                <w:szCs w:val="13"/>
              </w:rPr>
              <w:t>%</w:t>
            </w:r>
          </w:p>
        </w:tc>
        <w:tc>
          <w:tcPr>
            <w:tcW w:w="181" w:type="pct"/>
            <w:tcBorders>
              <w:top w:val="nil"/>
              <w:left w:val="single" w:sz="4" w:space="0" w:color="auto"/>
              <w:bottom w:val="single" w:sz="4" w:space="0" w:color="auto"/>
              <w:right w:val="single" w:sz="4" w:space="0" w:color="auto"/>
            </w:tcBorders>
            <w:shd w:val="clear" w:color="auto" w:fill="auto"/>
            <w:vAlign w:val="center"/>
          </w:tcPr>
          <w:p w14:paraId="700EDEC3" w14:textId="77777777" w:rsidR="004A0123" w:rsidRPr="000D3D0C" w:rsidRDefault="004A0123" w:rsidP="008A5C11">
            <w:pPr>
              <w:jc w:val="center"/>
              <w:rPr>
                <w:sz w:val="13"/>
                <w:szCs w:val="13"/>
              </w:rPr>
            </w:pPr>
            <w:r w:rsidRPr="000D3D0C">
              <w:rPr>
                <w:sz w:val="13"/>
                <w:szCs w:val="13"/>
              </w:rPr>
              <w:t>100</w:t>
            </w:r>
          </w:p>
        </w:tc>
        <w:tc>
          <w:tcPr>
            <w:tcW w:w="177" w:type="pct"/>
            <w:tcBorders>
              <w:top w:val="nil"/>
              <w:left w:val="nil"/>
              <w:bottom w:val="single" w:sz="4" w:space="0" w:color="auto"/>
              <w:right w:val="single" w:sz="4" w:space="0" w:color="auto"/>
            </w:tcBorders>
            <w:shd w:val="clear" w:color="auto" w:fill="auto"/>
            <w:vAlign w:val="center"/>
          </w:tcPr>
          <w:p w14:paraId="0584C439" w14:textId="77777777" w:rsidR="004A0123" w:rsidRPr="000D3D0C" w:rsidRDefault="004A0123" w:rsidP="008A5C11">
            <w:pPr>
              <w:jc w:val="center"/>
              <w:rPr>
                <w:sz w:val="13"/>
                <w:szCs w:val="13"/>
              </w:rPr>
            </w:pPr>
            <w:r w:rsidRPr="000D3D0C">
              <w:rPr>
                <w:sz w:val="13"/>
                <w:szCs w:val="13"/>
              </w:rPr>
              <w:t>0</w:t>
            </w:r>
          </w:p>
        </w:tc>
        <w:tc>
          <w:tcPr>
            <w:tcW w:w="188" w:type="pct"/>
            <w:tcBorders>
              <w:top w:val="nil"/>
              <w:left w:val="nil"/>
              <w:bottom w:val="single" w:sz="4" w:space="0" w:color="auto"/>
              <w:right w:val="single" w:sz="4" w:space="0" w:color="auto"/>
            </w:tcBorders>
            <w:shd w:val="clear" w:color="auto" w:fill="auto"/>
            <w:vAlign w:val="center"/>
          </w:tcPr>
          <w:p w14:paraId="5168690A" w14:textId="77777777" w:rsidR="004A0123" w:rsidRPr="000D3D0C" w:rsidRDefault="004A0123" w:rsidP="008A5C11">
            <w:pPr>
              <w:jc w:val="center"/>
              <w:rPr>
                <w:color w:val="000000"/>
                <w:sz w:val="13"/>
                <w:szCs w:val="13"/>
              </w:rPr>
            </w:pPr>
            <w:r w:rsidRPr="000D3D0C">
              <w:rPr>
                <w:color w:val="000000"/>
                <w:sz w:val="13"/>
                <w:szCs w:val="13"/>
              </w:rPr>
              <w:t>2025</w:t>
            </w:r>
          </w:p>
        </w:tc>
        <w:tc>
          <w:tcPr>
            <w:tcW w:w="187" w:type="pct"/>
            <w:tcBorders>
              <w:top w:val="nil"/>
              <w:left w:val="nil"/>
              <w:bottom w:val="single" w:sz="4" w:space="0" w:color="auto"/>
              <w:right w:val="single" w:sz="4" w:space="0" w:color="auto"/>
            </w:tcBorders>
            <w:shd w:val="clear" w:color="auto" w:fill="auto"/>
            <w:vAlign w:val="center"/>
          </w:tcPr>
          <w:p w14:paraId="2D929686" w14:textId="77777777" w:rsidR="004A0123" w:rsidRPr="000D3D0C" w:rsidRDefault="004A0123" w:rsidP="008A5C11">
            <w:pPr>
              <w:jc w:val="center"/>
              <w:rPr>
                <w:color w:val="000000"/>
                <w:sz w:val="13"/>
                <w:szCs w:val="13"/>
              </w:rPr>
            </w:pPr>
            <w:r w:rsidRPr="000D3D0C">
              <w:rPr>
                <w:color w:val="000000"/>
                <w:sz w:val="13"/>
                <w:szCs w:val="13"/>
              </w:rPr>
              <w:t>2026</w:t>
            </w:r>
          </w:p>
        </w:tc>
        <w:tc>
          <w:tcPr>
            <w:tcW w:w="187" w:type="pct"/>
            <w:tcBorders>
              <w:top w:val="nil"/>
              <w:left w:val="nil"/>
              <w:bottom w:val="single" w:sz="4" w:space="0" w:color="auto"/>
              <w:right w:val="single" w:sz="4" w:space="0" w:color="auto"/>
            </w:tcBorders>
            <w:shd w:val="clear" w:color="auto" w:fill="auto"/>
            <w:vAlign w:val="center"/>
          </w:tcPr>
          <w:p w14:paraId="6BA5701D" w14:textId="77777777" w:rsidR="004A0123" w:rsidRPr="000D3D0C" w:rsidRDefault="004A0123" w:rsidP="008A5C11">
            <w:pPr>
              <w:jc w:val="center"/>
              <w:rPr>
                <w:color w:val="000000"/>
                <w:sz w:val="13"/>
                <w:szCs w:val="13"/>
              </w:rPr>
            </w:pPr>
            <w:r w:rsidRPr="000D3D0C">
              <w:rPr>
                <w:color w:val="000000"/>
                <w:sz w:val="13"/>
                <w:szCs w:val="13"/>
              </w:rPr>
              <w:t>66255</w:t>
            </w:r>
          </w:p>
        </w:tc>
        <w:tc>
          <w:tcPr>
            <w:tcW w:w="187" w:type="pct"/>
            <w:tcBorders>
              <w:top w:val="nil"/>
              <w:left w:val="nil"/>
              <w:bottom w:val="single" w:sz="4" w:space="0" w:color="auto"/>
              <w:right w:val="single" w:sz="4" w:space="0" w:color="auto"/>
            </w:tcBorders>
            <w:shd w:val="clear" w:color="auto" w:fill="auto"/>
            <w:vAlign w:val="center"/>
          </w:tcPr>
          <w:p w14:paraId="44CAF5C8" w14:textId="77777777" w:rsidR="004A0123" w:rsidRPr="000D3D0C" w:rsidRDefault="004A0123" w:rsidP="008A5C11">
            <w:pPr>
              <w:jc w:val="center"/>
              <w:rPr>
                <w:sz w:val="13"/>
                <w:szCs w:val="13"/>
              </w:rPr>
            </w:pPr>
            <w:r w:rsidRPr="000D3D0C">
              <w:rPr>
                <w:sz w:val="13"/>
                <w:szCs w:val="13"/>
              </w:rPr>
              <w:t>0</w:t>
            </w:r>
          </w:p>
        </w:tc>
        <w:tc>
          <w:tcPr>
            <w:tcW w:w="146" w:type="pct"/>
            <w:tcBorders>
              <w:top w:val="nil"/>
              <w:left w:val="single" w:sz="4" w:space="0" w:color="auto"/>
              <w:bottom w:val="single" w:sz="4" w:space="0" w:color="auto"/>
              <w:right w:val="single" w:sz="4" w:space="0" w:color="auto"/>
            </w:tcBorders>
            <w:shd w:val="clear" w:color="auto" w:fill="auto"/>
            <w:vAlign w:val="center"/>
          </w:tcPr>
          <w:p w14:paraId="3943CD34" w14:textId="77777777" w:rsidR="004A0123" w:rsidRPr="000D3D0C" w:rsidRDefault="004A0123" w:rsidP="008A5C11">
            <w:pPr>
              <w:jc w:val="center"/>
              <w:rPr>
                <w:sz w:val="13"/>
                <w:szCs w:val="13"/>
              </w:rPr>
            </w:pPr>
            <w:r w:rsidRPr="000D3D0C">
              <w:rPr>
                <w:sz w:val="13"/>
                <w:szCs w:val="13"/>
              </w:rPr>
              <w:t>0</w:t>
            </w:r>
          </w:p>
        </w:tc>
        <w:tc>
          <w:tcPr>
            <w:tcW w:w="149" w:type="pct"/>
            <w:tcBorders>
              <w:top w:val="nil"/>
              <w:left w:val="nil"/>
              <w:bottom w:val="single" w:sz="4" w:space="0" w:color="auto"/>
              <w:right w:val="single" w:sz="4" w:space="0" w:color="auto"/>
            </w:tcBorders>
            <w:shd w:val="clear" w:color="auto" w:fill="auto"/>
            <w:vAlign w:val="center"/>
          </w:tcPr>
          <w:p w14:paraId="79240BAB" w14:textId="77777777" w:rsidR="004A0123" w:rsidRPr="000D3D0C" w:rsidRDefault="004A0123" w:rsidP="008A5C11">
            <w:pPr>
              <w:jc w:val="center"/>
              <w:rPr>
                <w:sz w:val="13"/>
                <w:szCs w:val="13"/>
              </w:rPr>
            </w:pPr>
            <w:r w:rsidRPr="000D3D0C">
              <w:rPr>
                <w:sz w:val="13"/>
                <w:szCs w:val="13"/>
              </w:rPr>
              <w:t>0</w:t>
            </w:r>
          </w:p>
        </w:tc>
        <w:tc>
          <w:tcPr>
            <w:tcW w:w="182" w:type="pct"/>
            <w:tcBorders>
              <w:top w:val="nil"/>
              <w:left w:val="nil"/>
              <w:bottom w:val="single" w:sz="4" w:space="0" w:color="auto"/>
              <w:right w:val="single" w:sz="4" w:space="0" w:color="auto"/>
            </w:tcBorders>
            <w:shd w:val="clear" w:color="auto" w:fill="auto"/>
            <w:vAlign w:val="center"/>
          </w:tcPr>
          <w:p w14:paraId="76E09FC5" w14:textId="77777777" w:rsidR="004A0123" w:rsidRPr="000D3D0C" w:rsidRDefault="004A0123" w:rsidP="008A5C11">
            <w:pPr>
              <w:jc w:val="center"/>
              <w:rPr>
                <w:sz w:val="13"/>
                <w:szCs w:val="13"/>
              </w:rPr>
            </w:pPr>
            <w:r w:rsidRPr="000D3D0C">
              <w:rPr>
                <w:sz w:val="13"/>
                <w:szCs w:val="13"/>
              </w:rPr>
              <w:t>0</w:t>
            </w:r>
          </w:p>
        </w:tc>
        <w:tc>
          <w:tcPr>
            <w:tcW w:w="182" w:type="pct"/>
            <w:tcBorders>
              <w:top w:val="nil"/>
              <w:left w:val="nil"/>
              <w:bottom w:val="single" w:sz="4" w:space="0" w:color="auto"/>
              <w:right w:val="single" w:sz="4" w:space="0" w:color="auto"/>
            </w:tcBorders>
            <w:shd w:val="clear" w:color="auto" w:fill="auto"/>
            <w:vAlign w:val="center"/>
          </w:tcPr>
          <w:p w14:paraId="225E4420" w14:textId="77777777" w:rsidR="004A0123" w:rsidRPr="000D3D0C" w:rsidRDefault="004A0123" w:rsidP="008A5C11">
            <w:pPr>
              <w:jc w:val="center"/>
              <w:rPr>
                <w:sz w:val="13"/>
                <w:szCs w:val="13"/>
              </w:rPr>
            </w:pPr>
            <w:r w:rsidRPr="000D3D0C">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15684756" w14:textId="77777777" w:rsidR="004A0123" w:rsidRPr="000D3D0C" w:rsidRDefault="004A0123" w:rsidP="008A5C11">
            <w:pPr>
              <w:jc w:val="center"/>
              <w:rPr>
                <w:sz w:val="13"/>
                <w:szCs w:val="13"/>
              </w:rPr>
            </w:pPr>
            <w:r w:rsidRPr="000D3D0C">
              <w:rPr>
                <w:sz w:val="13"/>
                <w:szCs w:val="13"/>
              </w:rPr>
              <w:t>22719</w:t>
            </w:r>
          </w:p>
        </w:tc>
        <w:tc>
          <w:tcPr>
            <w:tcW w:w="154" w:type="pct"/>
            <w:tcBorders>
              <w:top w:val="single" w:sz="4" w:space="0" w:color="auto"/>
              <w:left w:val="single" w:sz="4" w:space="0" w:color="auto"/>
              <w:bottom w:val="single" w:sz="4" w:space="0" w:color="auto"/>
              <w:right w:val="single" w:sz="4" w:space="0" w:color="auto"/>
            </w:tcBorders>
            <w:vAlign w:val="center"/>
          </w:tcPr>
          <w:p w14:paraId="5C855B33" w14:textId="77777777" w:rsidR="004A0123" w:rsidRPr="000D3D0C" w:rsidRDefault="004A0123" w:rsidP="008A5C11">
            <w:pPr>
              <w:jc w:val="center"/>
              <w:rPr>
                <w:sz w:val="13"/>
                <w:szCs w:val="13"/>
              </w:rPr>
            </w:pPr>
            <w:r w:rsidRPr="000D3D0C">
              <w:rPr>
                <w:sz w:val="13"/>
                <w:szCs w:val="13"/>
              </w:rPr>
              <w:t>43536</w:t>
            </w:r>
          </w:p>
        </w:tc>
        <w:tc>
          <w:tcPr>
            <w:tcW w:w="156" w:type="pct"/>
            <w:tcBorders>
              <w:top w:val="single" w:sz="4" w:space="0" w:color="auto"/>
              <w:left w:val="single" w:sz="4" w:space="0" w:color="auto"/>
              <w:bottom w:val="single" w:sz="4" w:space="0" w:color="auto"/>
              <w:right w:val="single" w:sz="4" w:space="0" w:color="auto"/>
            </w:tcBorders>
            <w:vAlign w:val="center"/>
          </w:tcPr>
          <w:p w14:paraId="03088CC5" w14:textId="77777777" w:rsidR="004A0123" w:rsidRPr="000D3D0C" w:rsidRDefault="004A0123" w:rsidP="008A5C11">
            <w:pPr>
              <w:jc w:val="center"/>
              <w:rPr>
                <w:sz w:val="13"/>
                <w:szCs w:val="13"/>
              </w:rPr>
            </w:pPr>
            <w:r w:rsidRPr="000D3D0C">
              <w:rPr>
                <w:sz w:val="13"/>
                <w:szCs w:val="13"/>
              </w:rPr>
              <w:t>0</w:t>
            </w:r>
          </w:p>
        </w:tc>
        <w:tc>
          <w:tcPr>
            <w:tcW w:w="173" w:type="pct"/>
            <w:tcBorders>
              <w:top w:val="single" w:sz="4" w:space="0" w:color="auto"/>
              <w:left w:val="single" w:sz="4" w:space="0" w:color="auto"/>
              <w:bottom w:val="single" w:sz="4" w:space="0" w:color="auto"/>
              <w:right w:val="single" w:sz="4" w:space="0" w:color="auto"/>
            </w:tcBorders>
            <w:vAlign w:val="center"/>
          </w:tcPr>
          <w:p w14:paraId="7A0D21DA" w14:textId="77777777" w:rsidR="004A0123" w:rsidRPr="000D3D0C" w:rsidRDefault="004A0123" w:rsidP="008A5C11">
            <w:pPr>
              <w:jc w:val="center"/>
              <w:rPr>
                <w:sz w:val="13"/>
                <w:szCs w:val="13"/>
              </w:rPr>
            </w:pPr>
            <w:r w:rsidRPr="000D3D0C">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64D8A28E" w14:textId="77777777" w:rsidR="004A0123" w:rsidRPr="000D3D0C" w:rsidRDefault="004A0123" w:rsidP="008A5C11">
            <w:pPr>
              <w:jc w:val="center"/>
              <w:rPr>
                <w:sz w:val="13"/>
                <w:szCs w:val="13"/>
              </w:rPr>
            </w:pPr>
            <w:r w:rsidRPr="000D3D0C">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65E103D1" w14:textId="77777777" w:rsidR="004A0123" w:rsidRPr="000D3D0C" w:rsidRDefault="004A0123" w:rsidP="008A5C11">
            <w:pPr>
              <w:jc w:val="center"/>
              <w:rPr>
                <w:sz w:val="13"/>
                <w:szCs w:val="13"/>
              </w:rPr>
            </w:pPr>
            <w:r w:rsidRPr="000D3D0C">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045C47CA" w14:textId="77777777" w:rsidR="004A0123" w:rsidRPr="000D3D0C" w:rsidRDefault="004A0123" w:rsidP="008A5C11">
            <w:pPr>
              <w:jc w:val="center"/>
              <w:rPr>
                <w:sz w:val="13"/>
                <w:szCs w:val="13"/>
              </w:rPr>
            </w:pPr>
            <w:r w:rsidRPr="000D3D0C">
              <w:rPr>
                <w:sz w:val="13"/>
                <w:szCs w:val="13"/>
              </w:rPr>
              <w:t>0</w:t>
            </w:r>
          </w:p>
        </w:tc>
        <w:tc>
          <w:tcPr>
            <w:tcW w:w="178" w:type="pct"/>
            <w:tcBorders>
              <w:top w:val="single" w:sz="4" w:space="0" w:color="auto"/>
              <w:left w:val="single" w:sz="4" w:space="0" w:color="auto"/>
              <w:bottom w:val="single" w:sz="4" w:space="0" w:color="auto"/>
              <w:right w:val="single" w:sz="4" w:space="0" w:color="auto"/>
            </w:tcBorders>
            <w:vAlign w:val="center"/>
          </w:tcPr>
          <w:p w14:paraId="633AC235" w14:textId="77777777" w:rsidR="004A0123" w:rsidRPr="000D3D0C" w:rsidRDefault="004A0123" w:rsidP="008A5C11">
            <w:pPr>
              <w:jc w:val="center"/>
              <w:rPr>
                <w:sz w:val="13"/>
                <w:szCs w:val="13"/>
              </w:rPr>
            </w:pPr>
            <w:r w:rsidRPr="000D3D0C">
              <w:rPr>
                <w:sz w:val="13"/>
                <w:szCs w:val="13"/>
              </w:rPr>
              <w:t>0</w:t>
            </w:r>
          </w:p>
        </w:tc>
      </w:tr>
      <w:tr w:rsidR="004A0123" w:rsidRPr="000D3D0C" w14:paraId="10690AD2" w14:textId="77777777" w:rsidTr="008A5C11">
        <w:trPr>
          <w:trHeight w:val="64"/>
        </w:trPr>
        <w:tc>
          <w:tcPr>
            <w:tcW w:w="148" w:type="pct"/>
            <w:shd w:val="clear" w:color="auto" w:fill="auto"/>
            <w:vAlign w:val="center"/>
          </w:tcPr>
          <w:p w14:paraId="14A8A704" w14:textId="77777777" w:rsidR="004A0123" w:rsidRPr="000D3D0C" w:rsidRDefault="004A0123" w:rsidP="008A5C11">
            <w:pPr>
              <w:jc w:val="center"/>
              <w:rPr>
                <w:sz w:val="13"/>
                <w:szCs w:val="13"/>
              </w:rPr>
            </w:pPr>
            <w:r w:rsidRPr="000D3D0C">
              <w:rPr>
                <w:sz w:val="13"/>
                <w:szCs w:val="13"/>
              </w:rPr>
              <w:t>3.2.4.</w:t>
            </w:r>
          </w:p>
        </w:tc>
        <w:tc>
          <w:tcPr>
            <w:tcW w:w="585" w:type="pct"/>
            <w:tcBorders>
              <w:top w:val="nil"/>
              <w:left w:val="single" w:sz="4" w:space="0" w:color="auto"/>
              <w:bottom w:val="single" w:sz="4" w:space="0" w:color="auto"/>
              <w:right w:val="single" w:sz="4" w:space="0" w:color="auto"/>
            </w:tcBorders>
            <w:shd w:val="clear" w:color="auto" w:fill="auto"/>
            <w:vAlign w:val="center"/>
          </w:tcPr>
          <w:p w14:paraId="251C0A70" w14:textId="77777777" w:rsidR="004A0123" w:rsidRPr="000D3D0C" w:rsidRDefault="004A0123" w:rsidP="008A5C11">
            <w:pPr>
              <w:rPr>
                <w:color w:val="000000"/>
                <w:sz w:val="13"/>
                <w:szCs w:val="13"/>
              </w:rPr>
            </w:pPr>
            <w:r w:rsidRPr="000D3D0C">
              <w:rPr>
                <w:color w:val="000000"/>
                <w:sz w:val="13"/>
                <w:szCs w:val="13"/>
              </w:rPr>
              <w:t>Реконструкция котлоагрегата КЕ-25-14 № 1 с автоматизацией</w:t>
            </w:r>
          </w:p>
        </w:tc>
        <w:tc>
          <w:tcPr>
            <w:tcW w:w="359" w:type="pct"/>
            <w:tcBorders>
              <w:top w:val="nil"/>
              <w:left w:val="nil"/>
              <w:bottom w:val="single" w:sz="4" w:space="0" w:color="auto"/>
              <w:right w:val="single" w:sz="4" w:space="0" w:color="auto"/>
            </w:tcBorders>
            <w:shd w:val="clear" w:color="auto" w:fill="auto"/>
            <w:vAlign w:val="center"/>
          </w:tcPr>
          <w:p w14:paraId="3FC93731" w14:textId="77777777" w:rsidR="004A0123" w:rsidRPr="000D3D0C" w:rsidRDefault="004A0123" w:rsidP="008A5C11">
            <w:pPr>
              <w:jc w:val="center"/>
              <w:rPr>
                <w:color w:val="000000"/>
                <w:sz w:val="13"/>
                <w:szCs w:val="13"/>
              </w:rPr>
            </w:pPr>
            <w:r w:rsidRPr="000D3D0C">
              <w:rPr>
                <w:color w:val="000000"/>
                <w:sz w:val="13"/>
                <w:szCs w:val="13"/>
              </w:rPr>
              <w:t>Повышение надежности теплоснабжения</w:t>
            </w:r>
          </w:p>
        </w:tc>
        <w:tc>
          <w:tcPr>
            <w:tcW w:w="390" w:type="pct"/>
            <w:tcBorders>
              <w:top w:val="nil"/>
              <w:left w:val="nil"/>
              <w:bottom w:val="single" w:sz="4" w:space="0" w:color="auto"/>
              <w:right w:val="single" w:sz="4" w:space="0" w:color="auto"/>
            </w:tcBorders>
            <w:shd w:val="clear" w:color="auto" w:fill="auto"/>
            <w:vAlign w:val="center"/>
          </w:tcPr>
          <w:p w14:paraId="255717BD" w14:textId="77777777" w:rsidR="004A0123" w:rsidRPr="000D3D0C" w:rsidRDefault="004A0123" w:rsidP="008A5C11">
            <w:pPr>
              <w:jc w:val="center"/>
              <w:rPr>
                <w:color w:val="000000"/>
                <w:sz w:val="13"/>
                <w:szCs w:val="13"/>
              </w:rPr>
            </w:pPr>
            <w:r w:rsidRPr="000D3D0C">
              <w:rPr>
                <w:color w:val="000000"/>
                <w:sz w:val="13"/>
                <w:szCs w:val="13"/>
              </w:rPr>
              <w:t xml:space="preserve">г. </w:t>
            </w:r>
            <w:proofErr w:type="gramStart"/>
            <w:r w:rsidRPr="000D3D0C">
              <w:rPr>
                <w:color w:val="000000"/>
                <w:sz w:val="13"/>
                <w:szCs w:val="13"/>
              </w:rPr>
              <w:t xml:space="preserve">Тайга,   </w:t>
            </w:r>
            <w:proofErr w:type="gramEnd"/>
            <w:r w:rsidRPr="000D3D0C">
              <w:rPr>
                <w:color w:val="000000"/>
                <w:sz w:val="13"/>
                <w:szCs w:val="13"/>
              </w:rPr>
              <w:t xml:space="preserve">               ул.Таежная,д.11.             Котельная Центральная</w:t>
            </w:r>
            <w:r w:rsidRPr="000D3D0C">
              <w:rPr>
                <w:color w:val="000000"/>
                <w:sz w:val="13"/>
                <w:szCs w:val="13"/>
              </w:rPr>
              <w:tab/>
            </w:r>
          </w:p>
        </w:tc>
        <w:tc>
          <w:tcPr>
            <w:tcW w:w="337" w:type="pct"/>
            <w:tcBorders>
              <w:top w:val="nil"/>
              <w:left w:val="nil"/>
              <w:bottom w:val="single" w:sz="4" w:space="0" w:color="auto"/>
              <w:right w:val="single" w:sz="4" w:space="0" w:color="auto"/>
            </w:tcBorders>
            <w:shd w:val="clear" w:color="auto" w:fill="auto"/>
            <w:vAlign w:val="center"/>
          </w:tcPr>
          <w:p w14:paraId="19366556" w14:textId="77777777" w:rsidR="004A0123" w:rsidRPr="000D3D0C" w:rsidRDefault="004A0123" w:rsidP="008A5C11">
            <w:pPr>
              <w:jc w:val="center"/>
              <w:rPr>
                <w:sz w:val="13"/>
                <w:szCs w:val="13"/>
              </w:rPr>
            </w:pPr>
            <w:r w:rsidRPr="000D3D0C">
              <w:rPr>
                <w:sz w:val="13"/>
                <w:szCs w:val="13"/>
              </w:rPr>
              <w:t>Износ</w:t>
            </w:r>
          </w:p>
        </w:tc>
        <w:tc>
          <w:tcPr>
            <w:tcW w:w="116" w:type="pct"/>
            <w:tcBorders>
              <w:top w:val="nil"/>
              <w:left w:val="nil"/>
              <w:bottom w:val="single" w:sz="4" w:space="0" w:color="auto"/>
              <w:right w:val="single" w:sz="4" w:space="0" w:color="auto"/>
            </w:tcBorders>
            <w:shd w:val="clear" w:color="auto" w:fill="auto"/>
            <w:vAlign w:val="center"/>
          </w:tcPr>
          <w:p w14:paraId="56DA4625" w14:textId="77777777" w:rsidR="004A0123" w:rsidRPr="000D3D0C" w:rsidRDefault="004A0123" w:rsidP="008A5C11">
            <w:pPr>
              <w:jc w:val="center"/>
              <w:rPr>
                <w:sz w:val="13"/>
                <w:szCs w:val="13"/>
              </w:rPr>
            </w:pPr>
            <w:r w:rsidRPr="000D3D0C">
              <w:rPr>
                <w:sz w:val="13"/>
                <w:szCs w:val="13"/>
              </w:rPr>
              <w:t>%</w:t>
            </w:r>
          </w:p>
        </w:tc>
        <w:tc>
          <w:tcPr>
            <w:tcW w:w="181" w:type="pct"/>
            <w:tcBorders>
              <w:top w:val="nil"/>
              <w:left w:val="single" w:sz="4" w:space="0" w:color="auto"/>
              <w:bottom w:val="single" w:sz="4" w:space="0" w:color="auto"/>
              <w:right w:val="single" w:sz="4" w:space="0" w:color="auto"/>
            </w:tcBorders>
            <w:shd w:val="clear" w:color="auto" w:fill="auto"/>
            <w:vAlign w:val="center"/>
          </w:tcPr>
          <w:p w14:paraId="0EC1D23C" w14:textId="77777777" w:rsidR="004A0123" w:rsidRPr="000D3D0C" w:rsidRDefault="004A0123" w:rsidP="008A5C11">
            <w:pPr>
              <w:jc w:val="center"/>
              <w:rPr>
                <w:sz w:val="13"/>
                <w:szCs w:val="13"/>
              </w:rPr>
            </w:pPr>
            <w:r w:rsidRPr="000D3D0C">
              <w:rPr>
                <w:sz w:val="13"/>
                <w:szCs w:val="13"/>
              </w:rPr>
              <w:t>100</w:t>
            </w:r>
          </w:p>
        </w:tc>
        <w:tc>
          <w:tcPr>
            <w:tcW w:w="177" w:type="pct"/>
            <w:tcBorders>
              <w:top w:val="nil"/>
              <w:left w:val="nil"/>
              <w:bottom w:val="single" w:sz="4" w:space="0" w:color="auto"/>
              <w:right w:val="single" w:sz="4" w:space="0" w:color="auto"/>
            </w:tcBorders>
            <w:shd w:val="clear" w:color="auto" w:fill="auto"/>
            <w:vAlign w:val="center"/>
          </w:tcPr>
          <w:p w14:paraId="3CAB04A4" w14:textId="77777777" w:rsidR="004A0123" w:rsidRPr="000D3D0C" w:rsidRDefault="004A0123" w:rsidP="008A5C11">
            <w:pPr>
              <w:jc w:val="center"/>
              <w:rPr>
                <w:sz w:val="13"/>
                <w:szCs w:val="13"/>
              </w:rPr>
            </w:pPr>
            <w:r w:rsidRPr="000D3D0C">
              <w:rPr>
                <w:sz w:val="13"/>
                <w:szCs w:val="13"/>
              </w:rPr>
              <w:t>0</w:t>
            </w:r>
          </w:p>
        </w:tc>
        <w:tc>
          <w:tcPr>
            <w:tcW w:w="188" w:type="pct"/>
            <w:tcBorders>
              <w:top w:val="nil"/>
              <w:left w:val="nil"/>
              <w:bottom w:val="single" w:sz="4" w:space="0" w:color="auto"/>
              <w:right w:val="single" w:sz="4" w:space="0" w:color="auto"/>
            </w:tcBorders>
            <w:shd w:val="clear" w:color="auto" w:fill="auto"/>
            <w:vAlign w:val="center"/>
          </w:tcPr>
          <w:p w14:paraId="07DDCDF1" w14:textId="77777777" w:rsidR="004A0123" w:rsidRPr="000D3D0C" w:rsidRDefault="004A0123" w:rsidP="008A5C11">
            <w:pPr>
              <w:jc w:val="center"/>
              <w:rPr>
                <w:color w:val="000000"/>
                <w:sz w:val="13"/>
                <w:szCs w:val="13"/>
              </w:rPr>
            </w:pPr>
            <w:r w:rsidRPr="000D3D0C">
              <w:rPr>
                <w:color w:val="000000"/>
                <w:sz w:val="13"/>
                <w:szCs w:val="13"/>
              </w:rPr>
              <w:t>2030</w:t>
            </w:r>
          </w:p>
        </w:tc>
        <w:tc>
          <w:tcPr>
            <w:tcW w:w="187" w:type="pct"/>
            <w:tcBorders>
              <w:top w:val="nil"/>
              <w:left w:val="nil"/>
              <w:bottom w:val="single" w:sz="4" w:space="0" w:color="auto"/>
              <w:right w:val="single" w:sz="4" w:space="0" w:color="auto"/>
            </w:tcBorders>
            <w:shd w:val="clear" w:color="auto" w:fill="auto"/>
            <w:vAlign w:val="center"/>
          </w:tcPr>
          <w:p w14:paraId="6332392A" w14:textId="77777777" w:rsidR="004A0123" w:rsidRPr="000D3D0C" w:rsidRDefault="004A0123" w:rsidP="008A5C11">
            <w:pPr>
              <w:jc w:val="center"/>
              <w:rPr>
                <w:color w:val="000000"/>
                <w:sz w:val="13"/>
                <w:szCs w:val="13"/>
              </w:rPr>
            </w:pPr>
            <w:r w:rsidRPr="000D3D0C">
              <w:rPr>
                <w:color w:val="000000"/>
                <w:sz w:val="13"/>
                <w:szCs w:val="13"/>
              </w:rPr>
              <w:t>2030</w:t>
            </w:r>
          </w:p>
        </w:tc>
        <w:tc>
          <w:tcPr>
            <w:tcW w:w="187" w:type="pct"/>
            <w:tcBorders>
              <w:top w:val="nil"/>
              <w:left w:val="nil"/>
              <w:bottom w:val="single" w:sz="4" w:space="0" w:color="auto"/>
              <w:right w:val="single" w:sz="4" w:space="0" w:color="auto"/>
            </w:tcBorders>
            <w:shd w:val="clear" w:color="auto" w:fill="auto"/>
            <w:vAlign w:val="center"/>
          </w:tcPr>
          <w:p w14:paraId="18C7FD51" w14:textId="77777777" w:rsidR="004A0123" w:rsidRPr="000D3D0C" w:rsidRDefault="004A0123" w:rsidP="008A5C11">
            <w:pPr>
              <w:jc w:val="center"/>
              <w:rPr>
                <w:color w:val="000000"/>
                <w:sz w:val="13"/>
                <w:szCs w:val="13"/>
              </w:rPr>
            </w:pPr>
            <w:r w:rsidRPr="000D3D0C">
              <w:rPr>
                <w:color w:val="000000"/>
                <w:sz w:val="13"/>
                <w:szCs w:val="13"/>
              </w:rPr>
              <w:t>78701</w:t>
            </w:r>
          </w:p>
        </w:tc>
        <w:tc>
          <w:tcPr>
            <w:tcW w:w="187" w:type="pct"/>
            <w:tcBorders>
              <w:top w:val="nil"/>
              <w:left w:val="nil"/>
              <w:bottom w:val="single" w:sz="4" w:space="0" w:color="auto"/>
              <w:right w:val="single" w:sz="4" w:space="0" w:color="auto"/>
            </w:tcBorders>
            <w:shd w:val="clear" w:color="auto" w:fill="auto"/>
            <w:vAlign w:val="center"/>
          </w:tcPr>
          <w:p w14:paraId="4B4DC5F8" w14:textId="77777777" w:rsidR="004A0123" w:rsidRPr="000D3D0C" w:rsidRDefault="004A0123" w:rsidP="008A5C11">
            <w:pPr>
              <w:jc w:val="center"/>
              <w:rPr>
                <w:sz w:val="13"/>
                <w:szCs w:val="13"/>
              </w:rPr>
            </w:pPr>
            <w:r w:rsidRPr="000D3D0C">
              <w:rPr>
                <w:sz w:val="13"/>
                <w:szCs w:val="13"/>
              </w:rPr>
              <w:t>0</w:t>
            </w:r>
          </w:p>
        </w:tc>
        <w:tc>
          <w:tcPr>
            <w:tcW w:w="146" w:type="pct"/>
            <w:tcBorders>
              <w:top w:val="nil"/>
              <w:left w:val="single" w:sz="4" w:space="0" w:color="auto"/>
              <w:bottom w:val="single" w:sz="4" w:space="0" w:color="auto"/>
              <w:right w:val="single" w:sz="4" w:space="0" w:color="auto"/>
            </w:tcBorders>
            <w:shd w:val="clear" w:color="auto" w:fill="auto"/>
            <w:vAlign w:val="center"/>
          </w:tcPr>
          <w:p w14:paraId="01B0A81E" w14:textId="77777777" w:rsidR="004A0123" w:rsidRPr="000D3D0C" w:rsidRDefault="004A0123" w:rsidP="008A5C11">
            <w:pPr>
              <w:jc w:val="center"/>
              <w:rPr>
                <w:sz w:val="13"/>
                <w:szCs w:val="13"/>
              </w:rPr>
            </w:pPr>
            <w:r w:rsidRPr="000D3D0C">
              <w:rPr>
                <w:sz w:val="13"/>
                <w:szCs w:val="13"/>
              </w:rPr>
              <w:t>0</w:t>
            </w:r>
          </w:p>
        </w:tc>
        <w:tc>
          <w:tcPr>
            <w:tcW w:w="149" w:type="pct"/>
            <w:tcBorders>
              <w:top w:val="nil"/>
              <w:left w:val="nil"/>
              <w:bottom w:val="single" w:sz="4" w:space="0" w:color="auto"/>
              <w:right w:val="single" w:sz="4" w:space="0" w:color="auto"/>
            </w:tcBorders>
            <w:shd w:val="clear" w:color="auto" w:fill="auto"/>
            <w:vAlign w:val="center"/>
          </w:tcPr>
          <w:p w14:paraId="712E4563" w14:textId="77777777" w:rsidR="004A0123" w:rsidRPr="000D3D0C" w:rsidRDefault="004A0123" w:rsidP="008A5C11">
            <w:pPr>
              <w:jc w:val="center"/>
              <w:rPr>
                <w:sz w:val="13"/>
                <w:szCs w:val="13"/>
              </w:rPr>
            </w:pPr>
            <w:r w:rsidRPr="000D3D0C">
              <w:rPr>
                <w:sz w:val="13"/>
                <w:szCs w:val="13"/>
              </w:rPr>
              <w:t>0</w:t>
            </w:r>
          </w:p>
        </w:tc>
        <w:tc>
          <w:tcPr>
            <w:tcW w:w="182" w:type="pct"/>
            <w:tcBorders>
              <w:top w:val="nil"/>
              <w:left w:val="nil"/>
              <w:bottom w:val="single" w:sz="4" w:space="0" w:color="auto"/>
              <w:right w:val="single" w:sz="4" w:space="0" w:color="auto"/>
            </w:tcBorders>
            <w:shd w:val="clear" w:color="auto" w:fill="auto"/>
            <w:vAlign w:val="center"/>
          </w:tcPr>
          <w:p w14:paraId="1728D38B" w14:textId="77777777" w:rsidR="004A0123" w:rsidRPr="000D3D0C" w:rsidRDefault="004A0123" w:rsidP="008A5C11">
            <w:pPr>
              <w:jc w:val="center"/>
              <w:rPr>
                <w:sz w:val="13"/>
                <w:szCs w:val="13"/>
              </w:rPr>
            </w:pPr>
            <w:r w:rsidRPr="000D3D0C">
              <w:rPr>
                <w:sz w:val="13"/>
                <w:szCs w:val="13"/>
              </w:rPr>
              <w:t>0</w:t>
            </w:r>
          </w:p>
        </w:tc>
        <w:tc>
          <w:tcPr>
            <w:tcW w:w="182" w:type="pct"/>
            <w:tcBorders>
              <w:top w:val="nil"/>
              <w:left w:val="nil"/>
              <w:bottom w:val="single" w:sz="4" w:space="0" w:color="auto"/>
              <w:right w:val="single" w:sz="4" w:space="0" w:color="auto"/>
            </w:tcBorders>
            <w:shd w:val="clear" w:color="auto" w:fill="auto"/>
            <w:vAlign w:val="center"/>
          </w:tcPr>
          <w:p w14:paraId="1448272F" w14:textId="77777777" w:rsidR="004A0123" w:rsidRPr="000D3D0C" w:rsidRDefault="004A0123" w:rsidP="008A5C11">
            <w:pPr>
              <w:jc w:val="center"/>
              <w:rPr>
                <w:sz w:val="13"/>
                <w:szCs w:val="13"/>
              </w:rPr>
            </w:pPr>
            <w:r w:rsidRPr="000D3D0C">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2F13E595" w14:textId="77777777" w:rsidR="004A0123" w:rsidRPr="000D3D0C" w:rsidRDefault="004A0123" w:rsidP="008A5C11">
            <w:pPr>
              <w:jc w:val="center"/>
              <w:rPr>
                <w:sz w:val="13"/>
                <w:szCs w:val="13"/>
              </w:rPr>
            </w:pPr>
            <w:r w:rsidRPr="000D3D0C">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295B3EC0" w14:textId="77777777" w:rsidR="004A0123" w:rsidRPr="000D3D0C" w:rsidRDefault="004A0123" w:rsidP="008A5C11">
            <w:pPr>
              <w:jc w:val="center"/>
              <w:rPr>
                <w:sz w:val="13"/>
                <w:szCs w:val="13"/>
              </w:rPr>
            </w:pPr>
            <w:r w:rsidRPr="000D3D0C">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2C831961" w14:textId="77777777" w:rsidR="004A0123" w:rsidRPr="000D3D0C" w:rsidRDefault="004A0123" w:rsidP="008A5C11">
            <w:pPr>
              <w:jc w:val="center"/>
              <w:rPr>
                <w:sz w:val="13"/>
                <w:szCs w:val="13"/>
              </w:rPr>
            </w:pPr>
            <w:r w:rsidRPr="000D3D0C">
              <w:rPr>
                <w:sz w:val="13"/>
                <w:szCs w:val="13"/>
              </w:rPr>
              <w:t>0</w:t>
            </w:r>
          </w:p>
        </w:tc>
        <w:tc>
          <w:tcPr>
            <w:tcW w:w="173" w:type="pct"/>
            <w:tcBorders>
              <w:top w:val="single" w:sz="4" w:space="0" w:color="auto"/>
              <w:left w:val="single" w:sz="4" w:space="0" w:color="auto"/>
              <w:bottom w:val="single" w:sz="4" w:space="0" w:color="auto"/>
              <w:right w:val="single" w:sz="4" w:space="0" w:color="auto"/>
            </w:tcBorders>
            <w:vAlign w:val="center"/>
          </w:tcPr>
          <w:p w14:paraId="3C71589C" w14:textId="77777777" w:rsidR="004A0123" w:rsidRPr="000D3D0C" w:rsidRDefault="004A0123" w:rsidP="008A5C11">
            <w:pPr>
              <w:jc w:val="center"/>
              <w:rPr>
                <w:sz w:val="13"/>
                <w:szCs w:val="13"/>
              </w:rPr>
            </w:pPr>
            <w:r w:rsidRPr="000D3D0C">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63611F41" w14:textId="77777777" w:rsidR="004A0123" w:rsidRPr="000D3D0C" w:rsidRDefault="004A0123" w:rsidP="008A5C11">
            <w:pPr>
              <w:jc w:val="center"/>
              <w:rPr>
                <w:sz w:val="13"/>
                <w:szCs w:val="13"/>
              </w:rPr>
            </w:pPr>
            <w:r w:rsidRPr="000D3D0C">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1FF8DE80" w14:textId="77777777" w:rsidR="004A0123" w:rsidRPr="000D3D0C" w:rsidRDefault="004A0123" w:rsidP="008A5C11">
            <w:pPr>
              <w:jc w:val="center"/>
              <w:rPr>
                <w:sz w:val="13"/>
                <w:szCs w:val="13"/>
              </w:rPr>
            </w:pPr>
            <w:r w:rsidRPr="000D3D0C">
              <w:rPr>
                <w:sz w:val="13"/>
                <w:szCs w:val="13"/>
              </w:rPr>
              <w:t>78701</w:t>
            </w:r>
          </w:p>
        </w:tc>
        <w:tc>
          <w:tcPr>
            <w:tcW w:w="182" w:type="pct"/>
            <w:tcBorders>
              <w:top w:val="single" w:sz="4" w:space="0" w:color="auto"/>
              <w:left w:val="single" w:sz="4" w:space="0" w:color="auto"/>
              <w:bottom w:val="single" w:sz="4" w:space="0" w:color="auto"/>
              <w:right w:val="single" w:sz="4" w:space="0" w:color="auto"/>
            </w:tcBorders>
            <w:vAlign w:val="center"/>
          </w:tcPr>
          <w:p w14:paraId="297C9ED5" w14:textId="77777777" w:rsidR="004A0123" w:rsidRPr="000D3D0C" w:rsidRDefault="004A0123" w:rsidP="008A5C11">
            <w:pPr>
              <w:jc w:val="center"/>
              <w:rPr>
                <w:sz w:val="13"/>
                <w:szCs w:val="13"/>
              </w:rPr>
            </w:pPr>
            <w:r w:rsidRPr="000D3D0C">
              <w:rPr>
                <w:sz w:val="13"/>
                <w:szCs w:val="13"/>
              </w:rPr>
              <w:t>0</w:t>
            </w:r>
          </w:p>
        </w:tc>
        <w:tc>
          <w:tcPr>
            <w:tcW w:w="178" w:type="pct"/>
            <w:tcBorders>
              <w:top w:val="single" w:sz="4" w:space="0" w:color="auto"/>
              <w:left w:val="single" w:sz="4" w:space="0" w:color="auto"/>
              <w:bottom w:val="single" w:sz="4" w:space="0" w:color="auto"/>
              <w:right w:val="single" w:sz="4" w:space="0" w:color="auto"/>
            </w:tcBorders>
            <w:vAlign w:val="center"/>
          </w:tcPr>
          <w:p w14:paraId="2CE60C0D" w14:textId="77777777" w:rsidR="004A0123" w:rsidRPr="000D3D0C" w:rsidRDefault="004A0123" w:rsidP="008A5C11">
            <w:pPr>
              <w:jc w:val="center"/>
              <w:rPr>
                <w:sz w:val="13"/>
                <w:szCs w:val="13"/>
              </w:rPr>
            </w:pPr>
            <w:r w:rsidRPr="000D3D0C">
              <w:rPr>
                <w:sz w:val="13"/>
                <w:szCs w:val="13"/>
              </w:rPr>
              <w:t>0</w:t>
            </w:r>
          </w:p>
        </w:tc>
      </w:tr>
      <w:tr w:rsidR="004A0123" w:rsidRPr="000D3D0C" w14:paraId="553B2A83" w14:textId="77777777" w:rsidTr="008A5C11">
        <w:trPr>
          <w:trHeight w:val="70"/>
        </w:trPr>
        <w:tc>
          <w:tcPr>
            <w:tcW w:w="148" w:type="pct"/>
            <w:shd w:val="clear" w:color="auto" w:fill="auto"/>
            <w:vAlign w:val="center"/>
          </w:tcPr>
          <w:p w14:paraId="28D0C154" w14:textId="77777777" w:rsidR="004A0123" w:rsidRPr="000D3D0C" w:rsidRDefault="004A0123" w:rsidP="008A5C11">
            <w:pPr>
              <w:jc w:val="center"/>
              <w:rPr>
                <w:sz w:val="13"/>
                <w:szCs w:val="13"/>
              </w:rPr>
            </w:pPr>
            <w:r w:rsidRPr="000D3D0C">
              <w:rPr>
                <w:sz w:val="13"/>
                <w:szCs w:val="13"/>
              </w:rPr>
              <w:t>3.2.5.</w:t>
            </w:r>
          </w:p>
        </w:tc>
        <w:tc>
          <w:tcPr>
            <w:tcW w:w="585" w:type="pct"/>
            <w:tcBorders>
              <w:top w:val="nil"/>
              <w:left w:val="single" w:sz="4" w:space="0" w:color="auto"/>
              <w:bottom w:val="single" w:sz="4" w:space="0" w:color="auto"/>
              <w:right w:val="single" w:sz="4" w:space="0" w:color="auto"/>
            </w:tcBorders>
            <w:shd w:val="clear" w:color="auto" w:fill="auto"/>
            <w:vAlign w:val="center"/>
          </w:tcPr>
          <w:p w14:paraId="6B957F57" w14:textId="77777777" w:rsidR="004A0123" w:rsidRPr="000D3D0C" w:rsidRDefault="004A0123" w:rsidP="008A5C11">
            <w:pPr>
              <w:rPr>
                <w:color w:val="000000"/>
                <w:sz w:val="13"/>
                <w:szCs w:val="13"/>
              </w:rPr>
            </w:pPr>
            <w:r w:rsidRPr="000D3D0C">
              <w:rPr>
                <w:color w:val="000000"/>
                <w:sz w:val="13"/>
                <w:szCs w:val="13"/>
              </w:rPr>
              <w:t>Проектирование и установка системы АСУ ТП и частотных преобразователей</w:t>
            </w:r>
          </w:p>
        </w:tc>
        <w:tc>
          <w:tcPr>
            <w:tcW w:w="359" w:type="pct"/>
            <w:tcBorders>
              <w:top w:val="nil"/>
              <w:left w:val="nil"/>
              <w:bottom w:val="single" w:sz="4" w:space="0" w:color="auto"/>
              <w:right w:val="single" w:sz="4" w:space="0" w:color="auto"/>
            </w:tcBorders>
            <w:shd w:val="clear" w:color="auto" w:fill="auto"/>
            <w:vAlign w:val="center"/>
          </w:tcPr>
          <w:p w14:paraId="614325EA" w14:textId="77777777" w:rsidR="004A0123" w:rsidRPr="000D3D0C" w:rsidRDefault="004A0123" w:rsidP="008A5C11">
            <w:pPr>
              <w:jc w:val="center"/>
              <w:rPr>
                <w:color w:val="000000"/>
                <w:sz w:val="13"/>
                <w:szCs w:val="13"/>
              </w:rPr>
            </w:pPr>
            <w:r w:rsidRPr="000D3D0C">
              <w:rPr>
                <w:color w:val="000000"/>
                <w:sz w:val="13"/>
                <w:szCs w:val="13"/>
              </w:rPr>
              <w:t>Повышение надежности теплоснабжения</w:t>
            </w:r>
          </w:p>
        </w:tc>
        <w:tc>
          <w:tcPr>
            <w:tcW w:w="390" w:type="pct"/>
            <w:tcBorders>
              <w:top w:val="nil"/>
              <w:left w:val="nil"/>
              <w:bottom w:val="single" w:sz="4" w:space="0" w:color="auto"/>
              <w:right w:val="single" w:sz="4" w:space="0" w:color="auto"/>
            </w:tcBorders>
            <w:shd w:val="clear" w:color="auto" w:fill="auto"/>
            <w:vAlign w:val="center"/>
          </w:tcPr>
          <w:p w14:paraId="68125ED8" w14:textId="77777777" w:rsidR="004A0123" w:rsidRPr="000D3D0C" w:rsidRDefault="004A0123" w:rsidP="008A5C11">
            <w:pPr>
              <w:jc w:val="center"/>
              <w:rPr>
                <w:color w:val="000000"/>
                <w:sz w:val="13"/>
                <w:szCs w:val="13"/>
              </w:rPr>
            </w:pPr>
            <w:r w:rsidRPr="000D3D0C">
              <w:rPr>
                <w:color w:val="000000"/>
                <w:sz w:val="13"/>
                <w:szCs w:val="13"/>
              </w:rPr>
              <w:t xml:space="preserve">г. </w:t>
            </w:r>
            <w:proofErr w:type="gramStart"/>
            <w:r w:rsidRPr="000D3D0C">
              <w:rPr>
                <w:color w:val="000000"/>
                <w:sz w:val="13"/>
                <w:szCs w:val="13"/>
              </w:rPr>
              <w:t xml:space="preserve">Тайга,   </w:t>
            </w:r>
            <w:proofErr w:type="gramEnd"/>
            <w:r w:rsidRPr="000D3D0C">
              <w:rPr>
                <w:color w:val="000000"/>
                <w:sz w:val="13"/>
                <w:szCs w:val="13"/>
              </w:rPr>
              <w:t xml:space="preserve">               ул.Таежная,д.11.             Котельная Центральная</w:t>
            </w:r>
            <w:r w:rsidRPr="000D3D0C">
              <w:rPr>
                <w:color w:val="000000"/>
                <w:sz w:val="13"/>
                <w:szCs w:val="13"/>
              </w:rPr>
              <w:tab/>
            </w:r>
          </w:p>
        </w:tc>
        <w:tc>
          <w:tcPr>
            <w:tcW w:w="337" w:type="pct"/>
            <w:tcBorders>
              <w:top w:val="nil"/>
              <w:left w:val="nil"/>
              <w:bottom w:val="single" w:sz="4" w:space="0" w:color="auto"/>
              <w:right w:val="single" w:sz="4" w:space="0" w:color="auto"/>
            </w:tcBorders>
            <w:shd w:val="clear" w:color="auto" w:fill="auto"/>
            <w:vAlign w:val="center"/>
          </w:tcPr>
          <w:p w14:paraId="23CD6055" w14:textId="77777777" w:rsidR="004A0123" w:rsidRPr="000D3D0C" w:rsidRDefault="004A0123" w:rsidP="008A5C11">
            <w:pPr>
              <w:jc w:val="center"/>
              <w:rPr>
                <w:color w:val="000000"/>
                <w:sz w:val="13"/>
                <w:szCs w:val="13"/>
              </w:rPr>
            </w:pPr>
            <w:r w:rsidRPr="000D3D0C">
              <w:rPr>
                <w:color w:val="000000"/>
                <w:sz w:val="13"/>
                <w:szCs w:val="13"/>
              </w:rPr>
              <w:t>Количество</w:t>
            </w:r>
          </w:p>
        </w:tc>
        <w:tc>
          <w:tcPr>
            <w:tcW w:w="116" w:type="pct"/>
            <w:tcBorders>
              <w:top w:val="nil"/>
              <w:left w:val="nil"/>
              <w:bottom w:val="single" w:sz="4" w:space="0" w:color="auto"/>
              <w:right w:val="single" w:sz="4" w:space="0" w:color="auto"/>
            </w:tcBorders>
            <w:shd w:val="clear" w:color="auto" w:fill="auto"/>
            <w:vAlign w:val="center"/>
          </w:tcPr>
          <w:p w14:paraId="18F56AE2" w14:textId="77777777" w:rsidR="004A0123" w:rsidRPr="000D3D0C" w:rsidRDefault="004A0123" w:rsidP="008A5C11">
            <w:pPr>
              <w:jc w:val="center"/>
              <w:rPr>
                <w:color w:val="000000"/>
                <w:sz w:val="13"/>
                <w:szCs w:val="13"/>
              </w:rPr>
            </w:pPr>
            <w:r w:rsidRPr="000D3D0C">
              <w:rPr>
                <w:color w:val="000000"/>
                <w:sz w:val="13"/>
                <w:szCs w:val="13"/>
              </w:rPr>
              <w:t>ед.</w:t>
            </w:r>
          </w:p>
        </w:tc>
        <w:tc>
          <w:tcPr>
            <w:tcW w:w="181" w:type="pct"/>
            <w:tcBorders>
              <w:top w:val="nil"/>
              <w:left w:val="single" w:sz="4" w:space="0" w:color="auto"/>
              <w:bottom w:val="single" w:sz="4" w:space="0" w:color="auto"/>
              <w:right w:val="single" w:sz="4" w:space="0" w:color="auto"/>
            </w:tcBorders>
            <w:shd w:val="clear" w:color="auto" w:fill="auto"/>
            <w:vAlign w:val="center"/>
          </w:tcPr>
          <w:p w14:paraId="1A1216F4" w14:textId="77777777" w:rsidR="004A0123" w:rsidRPr="000D3D0C" w:rsidRDefault="004A0123" w:rsidP="008A5C11">
            <w:pPr>
              <w:jc w:val="center"/>
              <w:rPr>
                <w:color w:val="000000"/>
                <w:sz w:val="13"/>
                <w:szCs w:val="13"/>
              </w:rPr>
            </w:pPr>
            <w:r w:rsidRPr="000D3D0C">
              <w:rPr>
                <w:color w:val="000000"/>
                <w:sz w:val="13"/>
                <w:szCs w:val="13"/>
              </w:rPr>
              <w:t>0</w:t>
            </w:r>
          </w:p>
        </w:tc>
        <w:tc>
          <w:tcPr>
            <w:tcW w:w="177" w:type="pct"/>
            <w:tcBorders>
              <w:top w:val="nil"/>
              <w:left w:val="nil"/>
              <w:bottom w:val="single" w:sz="4" w:space="0" w:color="auto"/>
              <w:right w:val="single" w:sz="4" w:space="0" w:color="auto"/>
            </w:tcBorders>
            <w:shd w:val="clear" w:color="auto" w:fill="auto"/>
            <w:vAlign w:val="center"/>
          </w:tcPr>
          <w:p w14:paraId="4307409E" w14:textId="77777777" w:rsidR="004A0123" w:rsidRPr="000D3D0C" w:rsidRDefault="004A0123" w:rsidP="008A5C11">
            <w:pPr>
              <w:jc w:val="center"/>
              <w:rPr>
                <w:color w:val="000000"/>
                <w:sz w:val="13"/>
                <w:szCs w:val="13"/>
              </w:rPr>
            </w:pPr>
            <w:r w:rsidRPr="000D3D0C">
              <w:rPr>
                <w:color w:val="000000"/>
                <w:sz w:val="13"/>
                <w:szCs w:val="13"/>
              </w:rPr>
              <w:t>4</w:t>
            </w:r>
          </w:p>
        </w:tc>
        <w:tc>
          <w:tcPr>
            <w:tcW w:w="188" w:type="pct"/>
            <w:tcBorders>
              <w:top w:val="nil"/>
              <w:left w:val="nil"/>
              <w:bottom w:val="single" w:sz="4" w:space="0" w:color="auto"/>
              <w:right w:val="single" w:sz="4" w:space="0" w:color="auto"/>
            </w:tcBorders>
            <w:shd w:val="clear" w:color="auto" w:fill="auto"/>
            <w:vAlign w:val="center"/>
          </w:tcPr>
          <w:p w14:paraId="0846CD29" w14:textId="77777777" w:rsidR="004A0123" w:rsidRPr="000D3D0C" w:rsidRDefault="004A0123" w:rsidP="008A5C11">
            <w:pPr>
              <w:jc w:val="center"/>
              <w:rPr>
                <w:color w:val="000000"/>
                <w:sz w:val="13"/>
                <w:szCs w:val="13"/>
              </w:rPr>
            </w:pPr>
            <w:r w:rsidRPr="000D3D0C">
              <w:rPr>
                <w:color w:val="000000"/>
                <w:sz w:val="13"/>
                <w:szCs w:val="13"/>
              </w:rPr>
              <w:t>2030</w:t>
            </w:r>
          </w:p>
        </w:tc>
        <w:tc>
          <w:tcPr>
            <w:tcW w:w="187" w:type="pct"/>
            <w:tcBorders>
              <w:top w:val="nil"/>
              <w:left w:val="nil"/>
              <w:bottom w:val="single" w:sz="4" w:space="0" w:color="auto"/>
              <w:right w:val="single" w:sz="4" w:space="0" w:color="auto"/>
            </w:tcBorders>
            <w:shd w:val="clear" w:color="auto" w:fill="auto"/>
            <w:vAlign w:val="center"/>
          </w:tcPr>
          <w:p w14:paraId="1F39569E" w14:textId="77777777" w:rsidR="004A0123" w:rsidRPr="000D3D0C" w:rsidRDefault="004A0123" w:rsidP="008A5C11">
            <w:pPr>
              <w:jc w:val="center"/>
              <w:rPr>
                <w:color w:val="000000"/>
                <w:sz w:val="13"/>
                <w:szCs w:val="13"/>
              </w:rPr>
            </w:pPr>
            <w:r w:rsidRPr="000D3D0C">
              <w:rPr>
                <w:color w:val="000000"/>
                <w:sz w:val="13"/>
                <w:szCs w:val="13"/>
              </w:rPr>
              <w:t>2030</w:t>
            </w:r>
          </w:p>
        </w:tc>
        <w:tc>
          <w:tcPr>
            <w:tcW w:w="187" w:type="pct"/>
            <w:tcBorders>
              <w:top w:val="nil"/>
              <w:left w:val="nil"/>
              <w:bottom w:val="single" w:sz="4" w:space="0" w:color="auto"/>
              <w:right w:val="single" w:sz="4" w:space="0" w:color="auto"/>
            </w:tcBorders>
            <w:shd w:val="clear" w:color="auto" w:fill="auto"/>
            <w:vAlign w:val="center"/>
          </w:tcPr>
          <w:p w14:paraId="75BCB221" w14:textId="77777777" w:rsidR="004A0123" w:rsidRPr="000D3D0C" w:rsidRDefault="004A0123" w:rsidP="008A5C11">
            <w:pPr>
              <w:jc w:val="center"/>
              <w:rPr>
                <w:color w:val="000000"/>
                <w:sz w:val="13"/>
                <w:szCs w:val="13"/>
              </w:rPr>
            </w:pPr>
            <w:r w:rsidRPr="000D3D0C">
              <w:rPr>
                <w:color w:val="000000"/>
                <w:sz w:val="13"/>
                <w:szCs w:val="13"/>
              </w:rPr>
              <w:t>29183</w:t>
            </w:r>
          </w:p>
        </w:tc>
        <w:tc>
          <w:tcPr>
            <w:tcW w:w="187" w:type="pct"/>
            <w:tcBorders>
              <w:top w:val="nil"/>
              <w:left w:val="nil"/>
              <w:bottom w:val="single" w:sz="4" w:space="0" w:color="auto"/>
              <w:right w:val="single" w:sz="4" w:space="0" w:color="auto"/>
            </w:tcBorders>
            <w:shd w:val="clear" w:color="auto" w:fill="auto"/>
            <w:vAlign w:val="center"/>
          </w:tcPr>
          <w:p w14:paraId="630A87CF" w14:textId="77777777" w:rsidR="004A0123" w:rsidRPr="000D3D0C" w:rsidRDefault="004A0123" w:rsidP="008A5C11">
            <w:pPr>
              <w:jc w:val="center"/>
              <w:rPr>
                <w:sz w:val="13"/>
                <w:szCs w:val="13"/>
              </w:rPr>
            </w:pPr>
            <w:r w:rsidRPr="000D3D0C">
              <w:rPr>
                <w:sz w:val="13"/>
                <w:szCs w:val="13"/>
              </w:rPr>
              <w:t>0</w:t>
            </w:r>
          </w:p>
        </w:tc>
        <w:tc>
          <w:tcPr>
            <w:tcW w:w="146" w:type="pct"/>
            <w:tcBorders>
              <w:top w:val="nil"/>
              <w:left w:val="single" w:sz="4" w:space="0" w:color="auto"/>
              <w:bottom w:val="single" w:sz="4" w:space="0" w:color="auto"/>
              <w:right w:val="single" w:sz="4" w:space="0" w:color="auto"/>
            </w:tcBorders>
            <w:shd w:val="clear" w:color="auto" w:fill="auto"/>
            <w:vAlign w:val="center"/>
          </w:tcPr>
          <w:p w14:paraId="2608F8BA" w14:textId="77777777" w:rsidR="004A0123" w:rsidRPr="000D3D0C" w:rsidRDefault="004A0123" w:rsidP="008A5C11">
            <w:pPr>
              <w:jc w:val="center"/>
              <w:rPr>
                <w:sz w:val="13"/>
                <w:szCs w:val="13"/>
              </w:rPr>
            </w:pPr>
            <w:r w:rsidRPr="000D3D0C">
              <w:rPr>
                <w:sz w:val="13"/>
                <w:szCs w:val="13"/>
              </w:rPr>
              <w:t>0</w:t>
            </w:r>
          </w:p>
        </w:tc>
        <w:tc>
          <w:tcPr>
            <w:tcW w:w="149" w:type="pct"/>
            <w:tcBorders>
              <w:top w:val="nil"/>
              <w:left w:val="nil"/>
              <w:bottom w:val="single" w:sz="4" w:space="0" w:color="auto"/>
              <w:right w:val="single" w:sz="4" w:space="0" w:color="auto"/>
            </w:tcBorders>
            <w:shd w:val="clear" w:color="auto" w:fill="auto"/>
            <w:vAlign w:val="center"/>
          </w:tcPr>
          <w:p w14:paraId="413AB9F5" w14:textId="77777777" w:rsidR="004A0123" w:rsidRPr="000D3D0C" w:rsidRDefault="004A0123" w:rsidP="008A5C11">
            <w:pPr>
              <w:jc w:val="center"/>
              <w:rPr>
                <w:sz w:val="13"/>
                <w:szCs w:val="13"/>
              </w:rPr>
            </w:pPr>
            <w:r w:rsidRPr="000D3D0C">
              <w:rPr>
                <w:sz w:val="13"/>
                <w:szCs w:val="13"/>
              </w:rPr>
              <w:t>0</w:t>
            </w:r>
          </w:p>
        </w:tc>
        <w:tc>
          <w:tcPr>
            <w:tcW w:w="182" w:type="pct"/>
            <w:tcBorders>
              <w:top w:val="nil"/>
              <w:left w:val="nil"/>
              <w:bottom w:val="single" w:sz="4" w:space="0" w:color="auto"/>
              <w:right w:val="single" w:sz="4" w:space="0" w:color="auto"/>
            </w:tcBorders>
            <w:shd w:val="clear" w:color="auto" w:fill="auto"/>
            <w:vAlign w:val="center"/>
          </w:tcPr>
          <w:p w14:paraId="04FCC34D" w14:textId="77777777" w:rsidR="004A0123" w:rsidRPr="000D3D0C" w:rsidRDefault="004A0123" w:rsidP="008A5C11">
            <w:pPr>
              <w:jc w:val="center"/>
              <w:rPr>
                <w:sz w:val="13"/>
                <w:szCs w:val="13"/>
              </w:rPr>
            </w:pPr>
            <w:r w:rsidRPr="000D3D0C">
              <w:rPr>
                <w:sz w:val="13"/>
                <w:szCs w:val="13"/>
              </w:rPr>
              <w:t>0</w:t>
            </w:r>
          </w:p>
        </w:tc>
        <w:tc>
          <w:tcPr>
            <w:tcW w:w="182" w:type="pct"/>
            <w:tcBorders>
              <w:top w:val="nil"/>
              <w:left w:val="nil"/>
              <w:bottom w:val="single" w:sz="4" w:space="0" w:color="auto"/>
              <w:right w:val="single" w:sz="4" w:space="0" w:color="auto"/>
            </w:tcBorders>
            <w:shd w:val="clear" w:color="auto" w:fill="auto"/>
            <w:vAlign w:val="center"/>
          </w:tcPr>
          <w:p w14:paraId="6FDD0589" w14:textId="77777777" w:rsidR="004A0123" w:rsidRPr="000D3D0C" w:rsidRDefault="004A0123" w:rsidP="008A5C11">
            <w:pPr>
              <w:jc w:val="center"/>
              <w:rPr>
                <w:sz w:val="13"/>
                <w:szCs w:val="13"/>
              </w:rPr>
            </w:pPr>
            <w:r w:rsidRPr="000D3D0C">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0D2A4B30" w14:textId="77777777" w:rsidR="004A0123" w:rsidRPr="000D3D0C" w:rsidRDefault="004A0123" w:rsidP="008A5C11">
            <w:pPr>
              <w:jc w:val="center"/>
              <w:rPr>
                <w:sz w:val="13"/>
                <w:szCs w:val="13"/>
              </w:rPr>
            </w:pPr>
            <w:r w:rsidRPr="000D3D0C">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2A933200" w14:textId="77777777" w:rsidR="004A0123" w:rsidRPr="000D3D0C" w:rsidRDefault="004A0123" w:rsidP="008A5C11">
            <w:pPr>
              <w:jc w:val="center"/>
              <w:rPr>
                <w:sz w:val="13"/>
                <w:szCs w:val="13"/>
              </w:rPr>
            </w:pPr>
            <w:r w:rsidRPr="000D3D0C">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6BF2015D" w14:textId="77777777" w:rsidR="004A0123" w:rsidRPr="000D3D0C" w:rsidRDefault="004A0123" w:rsidP="008A5C11">
            <w:pPr>
              <w:jc w:val="center"/>
              <w:rPr>
                <w:sz w:val="13"/>
                <w:szCs w:val="13"/>
              </w:rPr>
            </w:pPr>
            <w:r w:rsidRPr="000D3D0C">
              <w:rPr>
                <w:sz w:val="13"/>
                <w:szCs w:val="13"/>
              </w:rPr>
              <w:t>0</w:t>
            </w:r>
          </w:p>
        </w:tc>
        <w:tc>
          <w:tcPr>
            <w:tcW w:w="173" w:type="pct"/>
            <w:tcBorders>
              <w:top w:val="single" w:sz="4" w:space="0" w:color="auto"/>
              <w:left w:val="single" w:sz="4" w:space="0" w:color="auto"/>
              <w:bottom w:val="single" w:sz="4" w:space="0" w:color="auto"/>
              <w:right w:val="single" w:sz="4" w:space="0" w:color="auto"/>
            </w:tcBorders>
            <w:vAlign w:val="center"/>
          </w:tcPr>
          <w:p w14:paraId="3E2B450C" w14:textId="77777777" w:rsidR="004A0123" w:rsidRPr="000D3D0C" w:rsidRDefault="004A0123" w:rsidP="008A5C11">
            <w:pPr>
              <w:jc w:val="center"/>
              <w:rPr>
                <w:sz w:val="13"/>
                <w:szCs w:val="13"/>
              </w:rPr>
            </w:pPr>
            <w:r w:rsidRPr="000D3D0C">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1D04A55E" w14:textId="77777777" w:rsidR="004A0123" w:rsidRPr="000D3D0C" w:rsidRDefault="004A0123" w:rsidP="008A5C11">
            <w:pPr>
              <w:jc w:val="center"/>
              <w:rPr>
                <w:sz w:val="13"/>
                <w:szCs w:val="13"/>
              </w:rPr>
            </w:pPr>
            <w:r w:rsidRPr="000D3D0C">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5648CFFA" w14:textId="77777777" w:rsidR="004A0123" w:rsidRPr="000D3D0C" w:rsidRDefault="004A0123" w:rsidP="008A5C11">
            <w:pPr>
              <w:jc w:val="center"/>
              <w:rPr>
                <w:sz w:val="13"/>
                <w:szCs w:val="13"/>
              </w:rPr>
            </w:pPr>
            <w:r w:rsidRPr="000D3D0C">
              <w:rPr>
                <w:sz w:val="13"/>
                <w:szCs w:val="13"/>
              </w:rPr>
              <w:t>29183</w:t>
            </w:r>
          </w:p>
        </w:tc>
        <w:tc>
          <w:tcPr>
            <w:tcW w:w="182" w:type="pct"/>
            <w:tcBorders>
              <w:top w:val="single" w:sz="4" w:space="0" w:color="auto"/>
              <w:left w:val="single" w:sz="4" w:space="0" w:color="auto"/>
              <w:bottom w:val="single" w:sz="4" w:space="0" w:color="auto"/>
              <w:right w:val="single" w:sz="4" w:space="0" w:color="auto"/>
            </w:tcBorders>
            <w:vAlign w:val="center"/>
          </w:tcPr>
          <w:p w14:paraId="425F98F0" w14:textId="77777777" w:rsidR="004A0123" w:rsidRPr="000D3D0C" w:rsidRDefault="004A0123" w:rsidP="008A5C11">
            <w:pPr>
              <w:jc w:val="center"/>
              <w:rPr>
                <w:sz w:val="13"/>
                <w:szCs w:val="13"/>
              </w:rPr>
            </w:pPr>
            <w:r w:rsidRPr="000D3D0C">
              <w:rPr>
                <w:sz w:val="13"/>
                <w:szCs w:val="13"/>
              </w:rPr>
              <w:t>0</w:t>
            </w:r>
          </w:p>
        </w:tc>
        <w:tc>
          <w:tcPr>
            <w:tcW w:w="178" w:type="pct"/>
            <w:tcBorders>
              <w:top w:val="single" w:sz="4" w:space="0" w:color="auto"/>
              <w:left w:val="single" w:sz="4" w:space="0" w:color="auto"/>
              <w:bottom w:val="single" w:sz="4" w:space="0" w:color="auto"/>
              <w:right w:val="single" w:sz="4" w:space="0" w:color="auto"/>
            </w:tcBorders>
            <w:vAlign w:val="center"/>
          </w:tcPr>
          <w:p w14:paraId="687B1756" w14:textId="77777777" w:rsidR="004A0123" w:rsidRPr="000D3D0C" w:rsidRDefault="004A0123" w:rsidP="008A5C11">
            <w:pPr>
              <w:jc w:val="center"/>
              <w:rPr>
                <w:sz w:val="13"/>
                <w:szCs w:val="13"/>
              </w:rPr>
            </w:pPr>
            <w:r w:rsidRPr="000D3D0C">
              <w:rPr>
                <w:sz w:val="13"/>
                <w:szCs w:val="13"/>
              </w:rPr>
              <w:t>0</w:t>
            </w:r>
          </w:p>
        </w:tc>
      </w:tr>
      <w:tr w:rsidR="004A0123" w:rsidRPr="000D3D0C" w14:paraId="339F57B9" w14:textId="77777777" w:rsidTr="008A5C11">
        <w:trPr>
          <w:trHeight w:val="921"/>
        </w:trPr>
        <w:tc>
          <w:tcPr>
            <w:tcW w:w="148" w:type="pct"/>
            <w:shd w:val="clear" w:color="auto" w:fill="auto"/>
            <w:vAlign w:val="center"/>
          </w:tcPr>
          <w:p w14:paraId="59DACF7C" w14:textId="77777777" w:rsidR="004A0123" w:rsidRPr="000D3D0C" w:rsidRDefault="004A0123" w:rsidP="008A5C11">
            <w:pPr>
              <w:jc w:val="center"/>
              <w:rPr>
                <w:sz w:val="13"/>
                <w:szCs w:val="13"/>
              </w:rPr>
            </w:pPr>
            <w:r w:rsidRPr="000D3D0C">
              <w:rPr>
                <w:sz w:val="13"/>
                <w:szCs w:val="13"/>
              </w:rPr>
              <w:t>3.2.6.</w:t>
            </w:r>
          </w:p>
        </w:tc>
        <w:tc>
          <w:tcPr>
            <w:tcW w:w="585" w:type="pct"/>
            <w:tcBorders>
              <w:top w:val="nil"/>
              <w:left w:val="single" w:sz="4" w:space="0" w:color="auto"/>
              <w:bottom w:val="single" w:sz="4" w:space="0" w:color="auto"/>
              <w:right w:val="single" w:sz="4" w:space="0" w:color="auto"/>
            </w:tcBorders>
            <w:shd w:val="clear" w:color="auto" w:fill="auto"/>
            <w:vAlign w:val="center"/>
          </w:tcPr>
          <w:p w14:paraId="3A56B777" w14:textId="77777777" w:rsidR="004A0123" w:rsidRPr="000D3D0C" w:rsidRDefault="004A0123" w:rsidP="008A5C11">
            <w:pPr>
              <w:rPr>
                <w:color w:val="000000"/>
                <w:sz w:val="13"/>
                <w:szCs w:val="13"/>
              </w:rPr>
            </w:pPr>
            <w:r w:rsidRPr="000D3D0C">
              <w:rPr>
                <w:color w:val="000000"/>
                <w:sz w:val="13"/>
                <w:szCs w:val="13"/>
              </w:rPr>
              <w:t>Реконструкция угольного склада вместимостью 8000 тонн, с установкой грейферного и автомобильных весов</w:t>
            </w:r>
          </w:p>
        </w:tc>
        <w:tc>
          <w:tcPr>
            <w:tcW w:w="359" w:type="pct"/>
            <w:tcBorders>
              <w:top w:val="nil"/>
              <w:left w:val="nil"/>
              <w:bottom w:val="single" w:sz="4" w:space="0" w:color="auto"/>
              <w:right w:val="single" w:sz="4" w:space="0" w:color="auto"/>
            </w:tcBorders>
            <w:shd w:val="clear" w:color="auto" w:fill="auto"/>
            <w:vAlign w:val="center"/>
          </w:tcPr>
          <w:p w14:paraId="2BC92DE4" w14:textId="77777777" w:rsidR="004A0123" w:rsidRPr="000D3D0C" w:rsidRDefault="004A0123" w:rsidP="008A5C11">
            <w:pPr>
              <w:jc w:val="center"/>
              <w:rPr>
                <w:color w:val="000000"/>
                <w:sz w:val="13"/>
                <w:szCs w:val="13"/>
              </w:rPr>
            </w:pPr>
            <w:r w:rsidRPr="000D3D0C">
              <w:rPr>
                <w:color w:val="000000"/>
                <w:sz w:val="13"/>
                <w:szCs w:val="13"/>
              </w:rPr>
              <w:t>Повышение надежности теплоснабжения</w:t>
            </w:r>
          </w:p>
        </w:tc>
        <w:tc>
          <w:tcPr>
            <w:tcW w:w="390" w:type="pct"/>
            <w:tcBorders>
              <w:top w:val="nil"/>
              <w:left w:val="nil"/>
              <w:bottom w:val="single" w:sz="4" w:space="0" w:color="auto"/>
              <w:right w:val="single" w:sz="4" w:space="0" w:color="auto"/>
            </w:tcBorders>
            <w:shd w:val="clear" w:color="auto" w:fill="auto"/>
            <w:vAlign w:val="center"/>
          </w:tcPr>
          <w:p w14:paraId="5FF25F9D" w14:textId="77777777" w:rsidR="004A0123" w:rsidRPr="000D3D0C" w:rsidRDefault="004A0123" w:rsidP="008A5C11">
            <w:pPr>
              <w:jc w:val="center"/>
              <w:rPr>
                <w:color w:val="000000"/>
                <w:sz w:val="13"/>
                <w:szCs w:val="13"/>
              </w:rPr>
            </w:pPr>
            <w:r w:rsidRPr="000D3D0C">
              <w:rPr>
                <w:color w:val="000000"/>
                <w:sz w:val="13"/>
                <w:szCs w:val="13"/>
              </w:rPr>
              <w:t xml:space="preserve">г. </w:t>
            </w:r>
            <w:proofErr w:type="gramStart"/>
            <w:r w:rsidRPr="000D3D0C">
              <w:rPr>
                <w:color w:val="000000"/>
                <w:sz w:val="13"/>
                <w:szCs w:val="13"/>
              </w:rPr>
              <w:t xml:space="preserve">Тайга,   </w:t>
            </w:r>
            <w:proofErr w:type="gramEnd"/>
            <w:r w:rsidRPr="000D3D0C">
              <w:rPr>
                <w:color w:val="000000"/>
                <w:sz w:val="13"/>
                <w:szCs w:val="13"/>
              </w:rPr>
              <w:t xml:space="preserve">               ул.Таежная,д.11.             Котельная Центральная</w:t>
            </w:r>
            <w:r w:rsidRPr="000D3D0C">
              <w:rPr>
                <w:color w:val="000000"/>
                <w:sz w:val="13"/>
                <w:szCs w:val="13"/>
              </w:rPr>
              <w:tab/>
            </w:r>
          </w:p>
        </w:tc>
        <w:tc>
          <w:tcPr>
            <w:tcW w:w="337" w:type="pct"/>
            <w:tcBorders>
              <w:top w:val="nil"/>
              <w:left w:val="nil"/>
              <w:bottom w:val="single" w:sz="4" w:space="0" w:color="auto"/>
              <w:right w:val="single" w:sz="4" w:space="0" w:color="auto"/>
            </w:tcBorders>
            <w:shd w:val="clear" w:color="auto" w:fill="auto"/>
            <w:vAlign w:val="center"/>
          </w:tcPr>
          <w:p w14:paraId="704AF76E" w14:textId="77777777" w:rsidR="004A0123" w:rsidRPr="000D3D0C" w:rsidRDefault="004A0123" w:rsidP="008A5C11">
            <w:pPr>
              <w:jc w:val="center"/>
              <w:rPr>
                <w:color w:val="000000"/>
                <w:sz w:val="13"/>
                <w:szCs w:val="13"/>
              </w:rPr>
            </w:pPr>
            <w:r w:rsidRPr="000D3D0C">
              <w:rPr>
                <w:color w:val="000000"/>
                <w:sz w:val="13"/>
                <w:szCs w:val="13"/>
              </w:rPr>
              <w:t>Вместимость</w:t>
            </w:r>
          </w:p>
        </w:tc>
        <w:tc>
          <w:tcPr>
            <w:tcW w:w="116" w:type="pct"/>
            <w:tcBorders>
              <w:top w:val="nil"/>
              <w:left w:val="nil"/>
              <w:bottom w:val="single" w:sz="4" w:space="0" w:color="auto"/>
              <w:right w:val="single" w:sz="4" w:space="0" w:color="auto"/>
            </w:tcBorders>
            <w:shd w:val="clear" w:color="auto" w:fill="auto"/>
            <w:vAlign w:val="center"/>
          </w:tcPr>
          <w:p w14:paraId="0703184C" w14:textId="77777777" w:rsidR="004A0123" w:rsidRPr="000D3D0C" w:rsidRDefault="004A0123" w:rsidP="008A5C11">
            <w:pPr>
              <w:jc w:val="center"/>
              <w:rPr>
                <w:color w:val="000000"/>
                <w:sz w:val="13"/>
                <w:szCs w:val="13"/>
              </w:rPr>
            </w:pPr>
            <w:r w:rsidRPr="000D3D0C">
              <w:rPr>
                <w:color w:val="000000"/>
                <w:sz w:val="13"/>
                <w:szCs w:val="13"/>
              </w:rPr>
              <w:t>тн</w:t>
            </w:r>
          </w:p>
        </w:tc>
        <w:tc>
          <w:tcPr>
            <w:tcW w:w="181" w:type="pct"/>
            <w:tcBorders>
              <w:top w:val="nil"/>
              <w:left w:val="single" w:sz="4" w:space="0" w:color="auto"/>
              <w:bottom w:val="single" w:sz="4" w:space="0" w:color="auto"/>
              <w:right w:val="single" w:sz="4" w:space="0" w:color="auto"/>
            </w:tcBorders>
            <w:shd w:val="clear" w:color="auto" w:fill="auto"/>
            <w:vAlign w:val="center"/>
          </w:tcPr>
          <w:p w14:paraId="1CC7CD4A" w14:textId="77777777" w:rsidR="004A0123" w:rsidRPr="000D3D0C" w:rsidRDefault="004A0123" w:rsidP="008A5C11">
            <w:pPr>
              <w:jc w:val="center"/>
              <w:rPr>
                <w:color w:val="000000"/>
                <w:sz w:val="13"/>
                <w:szCs w:val="13"/>
              </w:rPr>
            </w:pPr>
            <w:r w:rsidRPr="000D3D0C">
              <w:rPr>
                <w:color w:val="000000"/>
                <w:sz w:val="13"/>
                <w:szCs w:val="13"/>
              </w:rPr>
              <w:t>6500</w:t>
            </w:r>
          </w:p>
        </w:tc>
        <w:tc>
          <w:tcPr>
            <w:tcW w:w="177" w:type="pct"/>
            <w:tcBorders>
              <w:top w:val="nil"/>
              <w:left w:val="nil"/>
              <w:bottom w:val="single" w:sz="4" w:space="0" w:color="auto"/>
              <w:right w:val="single" w:sz="4" w:space="0" w:color="auto"/>
            </w:tcBorders>
            <w:shd w:val="clear" w:color="auto" w:fill="auto"/>
            <w:vAlign w:val="center"/>
          </w:tcPr>
          <w:p w14:paraId="381B53C5" w14:textId="77777777" w:rsidR="004A0123" w:rsidRPr="000D3D0C" w:rsidRDefault="004A0123" w:rsidP="008A5C11">
            <w:pPr>
              <w:jc w:val="center"/>
              <w:rPr>
                <w:color w:val="000000"/>
                <w:sz w:val="13"/>
                <w:szCs w:val="13"/>
              </w:rPr>
            </w:pPr>
            <w:r w:rsidRPr="000D3D0C">
              <w:rPr>
                <w:color w:val="000000"/>
                <w:sz w:val="13"/>
                <w:szCs w:val="13"/>
              </w:rPr>
              <w:t>8000</w:t>
            </w:r>
          </w:p>
        </w:tc>
        <w:tc>
          <w:tcPr>
            <w:tcW w:w="188" w:type="pct"/>
            <w:tcBorders>
              <w:top w:val="nil"/>
              <w:left w:val="nil"/>
              <w:bottom w:val="single" w:sz="4" w:space="0" w:color="auto"/>
              <w:right w:val="single" w:sz="4" w:space="0" w:color="auto"/>
            </w:tcBorders>
            <w:shd w:val="clear" w:color="auto" w:fill="auto"/>
            <w:vAlign w:val="center"/>
          </w:tcPr>
          <w:p w14:paraId="0B6975C6" w14:textId="77777777" w:rsidR="004A0123" w:rsidRPr="000D3D0C" w:rsidRDefault="004A0123" w:rsidP="008A5C11">
            <w:pPr>
              <w:jc w:val="center"/>
              <w:rPr>
                <w:color w:val="000000"/>
                <w:sz w:val="13"/>
                <w:szCs w:val="13"/>
              </w:rPr>
            </w:pPr>
            <w:r w:rsidRPr="000D3D0C">
              <w:rPr>
                <w:color w:val="000000"/>
                <w:sz w:val="13"/>
                <w:szCs w:val="13"/>
              </w:rPr>
              <w:t>2029</w:t>
            </w:r>
          </w:p>
        </w:tc>
        <w:tc>
          <w:tcPr>
            <w:tcW w:w="187" w:type="pct"/>
            <w:tcBorders>
              <w:top w:val="nil"/>
              <w:left w:val="nil"/>
              <w:bottom w:val="single" w:sz="4" w:space="0" w:color="auto"/>
              <w:right w:val="single" w:sz="4" w:space="0" w:color="auto"/>
            </w:tcBorders>
            <w:shd w:val="clear" w:color="auto" w:fill="auto"/>
            <w:vAlign w:val="center"/>
          </w:tcPr>
          <w:p w14:paraId="67D7F229" w14:textId="77777777" w:rsidR="004A0123" w:rsidRPr="000D3D0C" w:rsidRDefault="004A0123" w:rsidP="008A5C11">
            <w:pPr>
              <w:jc w:val="center"/>
              <w:rPr>
                <w:color w:val="000000"/>
                <w:sz w:val="13"/>
                <w:szCs w:val="13"/>
              </w:rPr>
            </w:pPr>
            <w:r w:rsidRPr="000D3D0C">
              <w:rPr>
                <w:color w:val="000000"/>
                <w:sz w:val="13"/>
                <w:szCs w:val="13"/>
              </w:rPr>
              <w:t>2029</w:t>
            </w:r>
          </w:p>
        </w:tc>
        <w:tc>
          <w:tcPr>
            <w:tcW w:w="187" w:type="pct"/>
            <w:tcBorders>
              <w:top w:val="nil"/>
              <w:left w:val="nil"/>
              <w:bottom w:val="single" w:sz="4" w:space="0" w:color="auto"/>
              <w:right w:val="single" w:sz="4" w:space="0" w:color="auto"/>
            </w:tcBorders>
            <w:shd w:val="clear" w:color="auto" w:fill="auto"/>
            <w:vAlign w:val="center"/>
          </w:tcPr>
          <w:p w14:paraId="627208CD" w14:textId="77777777" w:rsidR="004A0123" w:rsidRPr="000D3D0C" w:rsidRDefault="004A0123" w:rsidP="008A5C11">
            <w:pPr>
              <w:jc w:val="center"/>
              <w:rPr>
                <w:color w:val="000000"/>
                <w:sz w:val="13"/>
                <w:szCs w:val="13"/>
              </w:rPr>
            </w:pPr>
            <w:r w:rsidRPr="000D3D0C">
              <w:rPr>
                <w:color w:val="000000"/>
                <w:sz w:val="13"/>
                <w:szCs w:val="13"/>
              </w:rPr>
              <w:t>60204</w:t>
            </w:r>
          </w:p>
        </w:tc>
        <w:tc>
          <w:tcPr>
            <w:tcW w:w="187" w:type="pct"/>
            <w:tcBorders>
              <w:top w:val="nil"/>
              <w:left w:val="nil"/>
              <w:bottom w:val="single" w:sz="4" w:space="0" w:color="auto"/>
              <w:right w:val="single" w:sz="4" w:space="0" w:color="auto"/>
            </w:tcBorders>
            <w:shd w:val="clear" w:color="auto" w:fill="auto"/>
            <w:vAlign w:val="center"/>
          </w:tcPr>
          <w:p w14:paraId="4BC88E9E" w14:textId="77777777" w:rsidR="004A0123" w:rsidRPr="000D3D0C" w:rsidRDefault="004A0123" w:rsidP="008A5C11">
            <w:pPr>
              <w:jc w:val="center"/>
              <w:rPr>
                <w:sz w:val="13"/>
                <w:szCs w:val="13"/>
              </w:rPr>
            </w:pPr>
            <w:r w:rsidRPr="000D3D0C">
              <w:rPr>
                <w:sz w:val="13"/>
                <w:szCs w:val="13"/>
              </w:rPr>
              <w:t>0</w:t>
            </w:r>
          </w:p>
        </w:tc>
        <w:tc>
          <w:tcPr>
            <w:tcW w:w="146" w:type="pct"/>
            <w:tcBorders>
              <w:top w:val="nil"/>
              <w:left w:val="single" w:sz="4" w:space="0" w:color="auto"/>
              <w:bottom w:val="single" w:sz="4" w:space="0" w:color="auto"/>
              <w:right w:val="single" w:sz="4" w:space="0" w:color="auto"/>
            </w:tcBorders>
            <w:shd w:val="clear" w:color="auto" w:fill="auto"/>
            <w:vAlign w:val="center"/>
          </w:tcPr>
          <w:p w14:paraId="68141DAF" w14:textId="77777777" w:rsidR="004A0123" w:rsidRPr="000D3D0C" w:rsidRDefault="004A0123" w:rsidP="008A5C11">
            <w:pPr>
              <w:jc w:val="center"/>
              <w:rPr>
                <w:sz w:val="13"/>
                <w:szCs w:val="13"/>
              </w:rPr>
            </w:pPr>
            <w:r w:rsidRPr="000D3D0C">
              <w:rPr>
                <w:sz w:val="13"/>
                <w:szCs w:val="13"/>
              </w:rPr>
              <w:t>0</w:t>
            </w:r>
          </w:p>
        </w:tc>
        <w:tc>
          <w:tcPr>
            <w:tcW w:w="149" w:type="pct"/>
            <w:tcBorders>
              <w:top w:val="nil"/>
              <w:left w:val="nil"/>
              <w:bottom w:val="single" w:sz="4" w:space="0" w:color="auto"/>
              <w:right w:val="single" w:sz="4" w:space="0" w:color="auto"/>
            </w:tcBorders>
            <w:shd w:val="clear" w:color="auto" w:fill="auto"/>
            <w:vAlign w:val="center"/>
          </w:tcPr>
          <w:p w14:paraId="66C3BE0E" w14:textId="77777777" w:rsidR="004A0123" w:rsidRPr="000D3D0C" w:rsidRDefault="004A0123" w:rsidP="008A5C11">
            <w:pPr>
              <w:jc w:val="center"/>
              <w:rPr>
                <w:sz w:val="13"/>
                <w:szCs w:val="13"/>
              </w:rPr>
            </w:pPr>
            <w:r w:rsidRPr="000D3D0C">
              <w:rPr>
                <w:sz w:val="13"/>
                <w:szCs w:val="13"/>
              </w:rPr>
              <w:t>0</w:t>
            </w:r>
          </w:p>
        </w:tc>
        <w:tc>
          <w:tcPr>
            <w:tcW w:w="182" w:type="pct"/>
            <w:tcBorders>
              <w:top w:val="nil"/>
              <w:left w:val="nil"/>
              <w:bottom w:val="single" w:sz="4" w:space="0" w:color="auto"/>
              <w:right w:val="single" w:sz="4" w:space="0" w:color="auto"/>
            </w:tcBorders>
            <w:shd w:val="clear" w:color="auto" w:fill="auto"/>
            <w:vAlign w:val="center"/>
          </w:tcPr>
          <w:p w14:paraId="7E5F061C" w14:textId="77777777" w:rsidR="004A0123" w:rsidRPr="000D3D0C" w:rsidRDefault="004A0123" w:rsidP="008A5C11">
            <w:pPr>
              <w:jc w:val="center"/>
              <w:rPr>
                <w:sz w:val="13"/>
                <w:szCs w:val="13"/>
              </w:rPr>
            </w:pPr>
            <w:r w:rsidRPr="000D3D0C">
              <w:rPr>
                <w:sz w:val="13"/>
                <w:szCs w:val="13"/>
              </w:rPr>
              <w:t>0</w:t>
            </w:r>
          </w:p>
        </w:tc>
        <w:tc>
          <w:tcPr>
            <w:tcW w:w="182" w:type="pct"/>
            <w:tcBorders>
              <w:top w:val="nil"/>
              <w:left w:val="nil"/>
              <w:bottom w:val="single" w:sz="4" w:space="0" w:color="auto"/>
              <w:right w:val="single" w:sz="4" w:space="0" w:color="auto"/>
            </w:tcBorders>
            <w:shd w:val="clear" w:color="auto" w:fill="auto"/>
            <w:vAlign w:val="center"/>
          </w:tcPr>
          <w:p w14:paraId="1E7A5703" w14:textId="77777777" w:rsidR="004A0123" w:rsidRPr="000D3D0C" w:rsidRDefault="004A0123" w:rsidP="008A5C11">
            <w:pPr>
              <w:jc w:val="center"/>
              <w:rPr>
                <w:sz w:val="13"/>
                <w:szCs w:val="13"/>
              </w:rPr>
            </w:pPr>
            <w:r w:rsidRPr="000D3D0C">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5668C4DD" w14:textId="77777777" w:rsidR="004A0123" w:rsidRPr="000D3D0C" w:rsidRDefault="004A0123" w:rsidP="008A5C11">
            <w:pPr>
              <w:jc w:val="center"/>
              <w:rPr>
                <w:sz w:val="13"/>
                <w:szCs w:val="13"/>
              </w:rPr>
            </w:pPr>
            <w:r w:rsidRPr="000D3D0C">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0C5523A9" w14:textId="77777777" w:rsidR="004A0123" w:rsidRPr="000D3D0C" w:rsidRDefault="004A0123" w:rsidP="008A5C11">
            <w:pPr>
              <w:jc w:val="center"/>
              <w:rPr>
                <w:sz w:val="13"/>
                <w:szCs w:val="13"/>
              </w:rPr>
            </w:pPr>
            <w:r w:rsidRPr="000D3D0C">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3945C7E9" w14:textId="77777777" w:rsidR="004A0123" w:rsidRPr="000D3D0C" w:rsidRDefault="004A0123" w:rsidP="008A5C11">
            <w:pPr>
              <w:jc w:val="center"/>
              <w:rPr>
                <w:sz w:val="13"/>
                <w:szCs w:val="13"/>
              </w:rPr>
            </w:pPr>
            <w:r w:rsidRPr="000D3D0C">
              <w:rPr>
                <w:sz w:val="13"/>
                <w:szCs w:val="13"/>
              </w:rPr>
              <w:t>0</w:t>
            </w:r>
          </w:p>
        </w:tc>
        <w:tc>
          <w:tcPr>
            <w:tcW w:w="173" w:type="pct"/>
            <w:tcBorders>
              <w:top w:val="single" w:sz="4" w:space="0" w:color="auto"/>
              <w:left w:val="single" w:sz="4" w:space="0" w:color="auto"/>
              <w:bottom w:val="single" w:sz="4" w:space="0" w:color="auto"/>
              <w:right w:val="single" w:sz="4" w:space="0" w:color="auto"/>
            </w:tcBorders>
            <w:vAlign w:val="center"/>
          </w:tcPr>
          <w:p w14:paraId="4513145B" w14:textId="77777777" w:rsidR="004A0123" w:rsidRPr="000D3D0C" w:rsidRDefault="004A0123" w:rsidP="008A5C11">
            <w:pPr>
              <w:jc w:val="center"/>
              <w:rPr>
                <w:sz w:val="13"/>
                <w:szCs w:val="13"/>
              </w:rPr>
            </w:pPr>
            <w:r w:rsidRPr="000D3D0C">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0800B151" w14:textId="77777777" w:rsidR="004A0123" w:rsidRPr="000D3D0C" w:rsidRDefault="004A0123" w:rsidP="008A5C11">
            <w:pPr>
              <w:jc w:val="center"/>
              <w:rPr>
                <w:sz w:val="13"/>
                <w:szCs w:val="13"/>
              </w:rPr>
            </w:pPr>
            <w:r w:rsidRPr="000D3D0C">
              <w:rPr>
                <w:sz w:val="13"/>
                <w:szCs w:val="13"/>
              </w:rPr>
              <w:t>60204</w:t>
            </w:r>
          </w:p>
        </w:tc>
        <w:tc>
          <w:tcPr>
            <w:tcW w:w="146" w:type="pct"/>
            <w:tcBorders>
              <w:top w:val="single" w:sz="4" w:space="0" w:color="auto"/>
              <w:left w:val="single" w:sz="4" w:space="0" w:color="auto"/>
              <w:bottom w:val="single" w:sz="4" w:space="0" w:color="auto"/>
              <w:right w:val="single" w:sz="4" w:space="0" w:color="auto"/>
            </w:tcBorders>
            <w:vAlign w:val="center"/>
          </w:tcPr>
          <w:p w14:paraId="1D9F2421" w14:textId="77777777" w:rsidR="004A0123" w:rsidRPr="000D3D0C" w:rsidRDefault="004A0123" w:rsidP="008A5C11">
            <w:pPr>
              <w:jc w:val="center"/>
              <w:rPr>
                <w:sz w:val="13"/>
                <w:szCs w:val="13"/>
              </w:rPr>
            </w:pPr>
            <w:r w:rsidRPr="000D3D0C">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7D39C633" w14:textId="77777777" w:rsidR="004A0123" w:rsidRPr="000D3D0C" w:rsidRDefault="004A0123" w:rsidP="008A5C11">
            <w:pPr>
              <w:jc w:val="center"/>
              <w:rPr>
                <w:sz w:val="13"/>
                <w:szCs w:val="13"/>
              </w:rPr>
            </w:pPr>
            <w:r w:rsidRPr="000D3D0C">
              <w:rPr>
                <w:sz w:val="13"/>
                <w:szCs w:val="13"/>
              </w:rPr>
              <w:t>0</w:t>
            </w:r>
          </w:p>
        </w:tc>
        <w:tc>
          <w:tcPr>
            <w:tcW w:w="178" w:type="pct"/>
            <w:tcBorders>
              <w:top w:val="single" w:sz="4" w:space="0" w:color="auto"/>
              <w:left w:val="single" w:sz="4" w:space="0" w:color="auto"/>
              <w:bottom w:val="single" w:sz="4" w:space="0" w:color="auto"/>
              <w:right w:val="single" w:sz="4" w:space="0" w:color="auto"/>
            </w:tcBorders>
            <w:vAlign w:val="center"/>
          </w:tcPr>
          <w:p w14:paraId="2C7585EB" w14:textId="77777777" w:rsidR="004A0123" w:rsidRPr="000D3D0C" w:rsidRDefault="004A0123" w:rsidP="008A5C11">
            <w:pPr>
              <w:jc w:val="center"/>
              <w:rPr>
                <w:sz w:val="13"/>
                <w:szCs w:val="13"/>
              </w:rPr>
            </w:pPr>
            <w:r w:rsidRPr="000D3D0C">
              <w:rPr>
                <w:sz w:val="13"/>
                <w:szCs w:val="13"/>
              </w:rPr>
              <w:t>0</w:t>
            </w:r>
          </w:p>
        </w:tc>
      </w:tr>
      <w:tr w:rsidR="004A0123" w:rsidRPr="000D3D0C" w14:paraId="7578335F" w14:textId="77777777" w:rsidTr="008A5C11">
        <w:trPr>
          <w:trHeight w:val="747"/>
        </w:trPr>
        <w:tc>
          <w:tcPr>
            <w:tcW w:w="148" w:type="pct"/>
            <w:tcBorders>
              <w:bottom w:val="single" w:sz="4" w:space="0" w:color="auto"/>
            </w:tcBorders>
            <w:shd w:val="clear" w:color="auto" w:fill="auto"/>
            <w:vAlign w:val="center"/>
          </w:tcPr>
          <w:p w14:paraId="02F51566" w14:textId="77777777" w:rsidR="004A0123" w:rsidRPr="000D3D0C" w:rsidRDefault="004A0123" w:rsidP="008A5C11">
            <w:pPr>
              <w:jc w:val="center"/>
              <w:rPr>
                <w:sz w:val="13"/>
                <w:szCs w:val="13"/>
              </w:rPr>
            </w:pPr>
            <w:r w:rsidRPr="000D3D0C">
              <w:rPr>
                <w:sz w:val="13"/>
                <w:szCs w:val="13"/>
              </w:rPr>
              <w:t>3.2.7.</w:t>
            </w:r>
          </w:p>
        </w:tc>
        <w:tc>
          <w:tcPr>
            <w:tcW w:w="585" w:type="pct"/>
            <w:tcBorders>
              <w:top w:val="nil"/>
              <w:left w:val="single" w:sz="4" w:space="0" w:color="auto"/>
              <w:bottom w:val="single" w:sz="4" w:space="0" w:color="auto"/>
              <w:right w:val="single" w:sz="4" w:space="0" w:color="auto"/>
            </w:tcBorders>
            <w:shd w:val="clear" w:color="auto" w:fill="auto"/>
            <w:vAlign w:val="center"/>
          </w:tcPr>
          <w:p w14:paraId="0F429E95" w14:textId="77777777" w:rsidR="004A0123" w:rsidRPr="000D3D0C" w:rsidRDefault="004A0123" w:rsidP="008A5C11">
            <w:pPr>
              <w:rPr>
                <w:color w:val="000000"/>
                <w:sz w:val="13"/>
                <w:szCs w:val="13"/>
              </w:rPr>
            </w:pPr>
            <w:r w:rsidRPr="000D3D0C">
              <w:rPr>
                <w:color w:val="000000"/>
                <w:sz w:val="13"/>
                <w:szCs w:val="13"/>
              </w:rPr>
              <w:t>Установка приборов учета</w:t>
            </w:r>
          </w:p>
        </w:tc>
        <w:tc>
          <w:tcPr>
            <w:tcW w:w="359" w:type="pct"/>
            <w:tcBorders>
              <w:top w:val="nil"/>
              <w:left w:val="nil"/>
              <w:bottom w:val="single" w:sz="4" w:space="0" w:color="auto"/>
              <w:right w:val="single" w:sz="4" w:space="0" w:color="auto"/>
            </w:tcBorders>
            <w:shd w:val="clear" w:color="auto" w:fill="auto"/>
            <w:vAlign w:val="center"/>
          </w:tcPr>
          <w:p w14:paraId="09CA7A46" w14:textId="77777777" w:rsidR="004A0123" w:rsidRPr="000D3D0C" w:rsidRDefault="004A0123" w:rsidP="008A5C11">
            <w:pPr>
              <w:jc w:val="center"/>
              <w:rPr>
                <w:color w:val="000000"/>
                <w:sz w:val="13"/>
                <w:szCs w:val="13"/>
              </w:rPr>
            </w:pPr>
            <w:r w:rsidRPr="000D3D0C">
              <w:rPr>
                <w:color w:val="000000"/>
                <w:sz w:val="13"/>
                <w:szCs w:val="13"/>
              </w:rPr>
              <w:t>Повышение надежности теплоснабжения</w:t>
            </w:r>
          </w:p>
        </w:tc>
        <w:tc>
          <w:tcPr>
            <w:tcW w:w="390" w:type="pct"/>
            <w:tcBorders>
              <w:top w:val="nil"/>
              <w:left w:val="nil"/>
              <w:bottom w:val="single" w:sz="4" w:space="0" w:color="auto"/>
              <w:right w:val="single" w:sz="4" w:space="0" w:color="auto"/>
            </w:tcBorders>
            <w:shd w:val="clear" w:color="auto" w:fill="auto"/>
            <w:vAlign w:val="center"/>
          </w:tcPr>
          <w:p w14:paraId="37C18621" w14:textId="77777777" w:rsidR="004A0123" w:rsidRPr="000D3D0C" w:rsidRDefault="004A0123" w:rsidP="008A5C11">
            <w:pPr>
              <w:jc w:val="center"/>
              <w:rPr>
                <w:color w:val="000000"/>
                <w:sz w:val="13"/>
                <w:szCs w:val="13"/>
              </w:rPr>
            </w:pPr>
            <w:r w:rsidRPr="000D3D0C">
              <w:rPr>
                <w:color w:val="000000"/>
                <w:sz w:val="13"/>
                <w:szCs w:val="13"/>
              </w:rPr>
              <w:t xml:space="preserve">г. </w:t>
            </w:r>
            <w:proofErr w:type="gramStart"/>
            <w:r w:rsidRPr="000D3D0C">
              <w:rPr>
                <w:color w:val="000000"/>
                <w:sz w:val="13"/>
                <w:szCs w:val="13"/>
              </w:rPr>
              <w:t xml:space="preserve">Тайга,   </w:t>
            </w:r>
            <w:proofErr w:type="gramEnd"/>
            <w:r w:rsidRPr="000D3D0C">
              <w:rPr>
                <w:color w:val="000000"/>
                <w:sz w:val="13"/>
                <w:szCs w:val="13"/>
              </w:rPr>
              <w:t xml:space="preserve">               ул.Таежная,д.11.             Котельная Центральная</w:t>
            </w:r>
            <w:r w:rsidRPr="000D3D0C">
              <w:rPr>
                <w:color w:val="000000"/>
                <w:sz w:val="13"/>
                <w:szCs w:val="13"/>
              </w:rPr>
              <w:tab/>
            </w:r>
          </w:p>
        </w:tc>
        <w:tc>
          <w:tcPr>
            <w:tcW w:w="337" w:type="pct"/>
            <w:tcBorders>
              <w:top w:val="nil"/>
              <w:left w:val="nil"/>
              <w:bottom w:val="single" w:sz="4" w:space="0" w:color="auto"/>
              <w:right w:val="single" w:sz="4" w:space="0" w:color="auto"/>
            </w:tcBorders>
            <w:shd w:val="clear" w:color="auto" w:fill="auto"/>
            <w:vAlign w:val="center"/>
          </w:tcPr>
          <w:p w14:paraId="16436A65" w14:textId="77777777" w:rsidR="004A0123" w:rsidRPr="000D3D0C" w:rsidRDefault="004A0123" w:rsidP="008A5C11">
            <w:pPr>
              <w:jc w:val="center"/>
              <w:rPr>
                <w:color w:val="000000"/>
                <w:sz w:val="13"/>
                <w:szCs w:val="13"/>
              </w:rPr>
            </w:pPr>
            <w:r w:rsidRPr="000D3D0C">
              <w:rPr>
                <w:color w:val="000000"/>
                <w:sz w:val="13"/>
                <w:szCs w:val="13"/>
              </w:rPr>
              <w:t>Количество</w:t>
            </w:r>
          </w:p>
        </w:tc>
        <w:tc>
          <w:tcPr>
            <w:tcW w:w="116" w:type="pct"/>
            <w:tcBorders>
              <w:top w:val="nil"/>
              <w:left w:val="nil"/>
              <w:bottom w:val="single" w:sz="4" w:space="0" w:color="auto"/>
              <w:right w:val="single" w:sz="4" w:space="0" w:color="auto"/>
            </w:tcBorders>
            <w:shd w:val="clear" w:color="auto" w:fill="auto"/>
            <w:vAlign w:val="center"/>
          </w:tcPr>
          <w:p w14:paraId="33556654" w14:textId="77777777" w:rsidR="004A0123" w:rsidRPr="000D3D0C" w:rsidRDefault="004A0123" w:rsidP="008A5C11">
            <w:pPr>
              <w:jc w:val="center"/>
              <w:rPr>
                <w:color w:val="000000"/>
                <w:sz w:val="13"/>
                <w:szCs w:val="13"/>
              </w:rPr>
            </w:pPr>
            <w:r w:rsidRPr="000D3D0C">
              <w:rPr>
                <w:color w:val="000000"/>
                <w:sz w:val="13"/>
                <w:szCs w:val="13"/>
              </w:rPr>
              <w:t>ед.</w:t>
            </w:r>
          </w:p>
        </w:tc>
        <w:tc>
          <w:tcPr>
            <w:tcW w:w="181" w:type="pct"/>
            <w:tcBorders>
              <w:top w:val="nil"/>
              <w:left w:val="single" w:sz="4" w:space="0" w:color="auto"/>
              <w:bottom w:val="single" w:sz="4" w:space="0" w:color="auto"/>
              <w:right w:val="single" w:sz="4" w:space="0" w:color="auto"/>
            </w:tcBorders>
            <w:shd w:val="clear" w:color="auto" w:fill="auto"/>
            <w:vAlign w:val="center"/>
          </w:tcPr>
          <w:p w14:paraId="6E4382D9" w14:textId="77777777" w:rsidR="004A0123" w:rsidRPr="000D3D0C" w:rsidRDefault="004A0123" w:rsidP="008A5C11">
            <w:pPr>
              <w:jc w:val="center"/>
              <w:rPr>
                <w:color w:val="000000"/>
                <w:sz w:val="13"/>
                <w:szCs w:val="13"/>
              </w:rPr>
            </w:pPr>
            <w:r w:rsidRPr="000D3D0C">
              <w:rPr>
                <w:color w:val="000000"/>
                <w:sz w:val="13"/>
                <w:szCs w:val="13"/>
              </w:rPr>
              <w:t>0</w:t>
            </w:r>
          </w:p>
        </w:tc>
        <w:tc>
          <w:tcPr>
            <w:tcW w:w="177" w:type="pct"/>
            <w:tcBorders>
              <w:top w:val="nil"/>
              <w:left w:val="nil"/>
              <w:bottom w:val="single" w:sz="4" w:space="0" w:color="auto"/>
              <w:right w:val="single" w:sz="4" w:space="0" w:color="auto"/>
            </w:tcBorders>
            <w:shd w:val="clear" w:color="auto" w:fill="auto"/>
            <w:vAlign w:val="center"/>
          </w:tcPr>
          <w:p w14:paraId="2EFFB2F9" w14:textId="77777777" w:rsidR="004A0123" w:rsidRPr="000D3D0C" w:rsidRDefault="004A0123" w:rsidP="008A5C11">
            <w:pPr>
              <w:jc w:val="center"/>
              <w:rPr>
                <w:color w:val="000000"/>
                <w:sz w:val="13"/>
                <w:szCs w:val="13"/>
              </w:rPr>
            </w:pPr>
            <w:r w:rsidRPr="000D3D0C">
              <w:rPr>
                <w:color w:val="000000"/>
                <w:sz w:val="13"/>
                <w:szCs w:val="13"/>
              </w:rPr>
              <w:t>1</w:t>
            </w:r>
          </w:p>
        </w:tc>
        <w:tc>
          <w:tcPr>
            <w:tcW w:w="188" w:type="pct"/>
            <w:tcBorders>
              <w:top w:val="nil"/>
              <w:left w:val="nil"/>
              <w:bottom w:val="single" w:sz="4" w:space="0" w:color="auto"/>
              <w:right w:val="single" w:sz="4" w:space="0" w:color="auto"/>
            </w:tcBorders>
            <w:shd w:val="clear" w:color="auto" w:fill="auto"/>
            <w:vAlign w:val="center"/>
          </w:tcPr>
          <w:p w14:paraId="2281C2EA" w14:textId="77777777" w:rsidR="004A0123" w:rsidRPr="000D3D0C" w:rsidRDefault="004A0123" w:rsidP="008A5C11">
            <w:pPr>
              <w:jc w:val="center"/>
              <w:rPr>
                <w:color w:val="000000"/>
                <w:sz w:val="13"/>
                <w:szCs w:val="13"/>
              </w:rPr>
            </w:pPr>
            <w:r w:rsidRPr="000D3D0C">
              <w:rPr>
                <w:color w:val="000000"/>
                <w:sz w:val="13"/>
                <w:szCs w:val="13"/>
              </w:rPr>
              <w:t>2021</w:t>
            </w:r>
          </w:p>
        </w:tc>
        <w:tc>
          <w:tcPr>
            <w:tcW w:w="187" w:type="pct"/>
            <w:tcBorders>
              <w:top w:val="nil"/>
              <w:left w:val="nil"/>
              <w:bottom w:val="single" w:sz="4" w:space="0" w:color="auto"/>
              <w:right w:val="single" w:sz="4" w:space="0" w:color="auto"/>
            </w:tcBorders>
            <w:shd w:val="clear" w:color="auto" w:fill="auto"/>
            <w:vAlign w:val="center"/>
          </w:tcPr>
          <w:p w14:paraId="671F5748" w14:textId="77777777" w:rsidR="004A0123" w:rsidRPr="000D3D0C" w:rsidRDefault="004A0123" w:rsidP="008A5C11">
            <w:pPr>
              <w:jc w:val="center"/>
              <w:rPr>
                <w:color w:val="000000"/>
                <w:sz w:val="13"/>
                <w:szCs w:val="13"/>
              </w:rPr>
            </w:pPr>
            <w:r w:rsidRPr="000D3D0C">
              <w:rPr>
                <w:color w:val="000000"/>
                <w:sz w:val="13"/>
                <w:szCs w:val="13"/>
              </w:rPr>
              <w:t>2021</w:t>
            </w:r>
          </w:p>
        </w:tc>
        <w:tc>
          <w:tcPr>
            <w:tcW w:w="187" w:type="pct"/>
            <w:tcBorders>
              <w:top w:val="nil"/>
              <w:left w:val="nil"/>
              <w:bottom w:val="single" w:sz="4" w:space="0" w:color="auto"/>
              <w:right w:val="single" w:sz="4" w:space="0" w:color="auto"/>
            </w:tcBorders>
            <w:shd w:val="clear" w:color="auto" w:fill="auto"/>
            <w:vAlign w:val="center"/>
          </w:tcPr>
          <w:p w14:paraId="386461EA" w14:textId="77777777" w:rsidR="004A0123" w:rsidRPr="000D3D0C" w:rsidRDefault="004A0123" w:rsidP="008A5C11">
            <w:pPr>
              <w:jc w:val="center"/>
              <w:rPr>
                <w:color w:val="000000"/>
                <w:sz w:val="13"/>
                <w:szCs w:val="13"/>
              </w:rPr>
            </w:pPr>
            <w:r w:rsidRPr="000D3D0C">
              <w:rPr>
                <w:color w:val="000000"/>
                <w:sz w:val="13"/>
                <w:szCs w:val="13"/>
              </w:rPr>
              <w:t>2149</w:t>
            </w:r>
          </w:p>
        </w:tc>
        <w:tc>
          <w:tcPr>
            <w:tcW w:w="187" w:type="pct"/>
            <w:tcBorders>
              <w:top w:val="nil"/>
              <w:left w:val="nil"/>
              <w:bottom w:val="single" w:sz="4" w:space="0" w:color="auto"/>
              <w:right w:val="single" w:sz="4" w:space="0" w:color="auto"/>
            </w:tcBorders>
            <w:shd w:val="clear" w:color="auto" w:fill="auto"/>
            <w:vAlign w:val="center"/>
          </w:tcPr>
          <w:p w14:paraId="7E0D120A" w14:textId="77777777" w:rsidR="004A0123" w:rsidRPr="000D3D0C" w:rsidRDefault="004A0123" w:rsidP="008A5C11">
            <w:pPr>
              <w:jc w:val="center"/>
              <w:rPr>
                <w:sz w:val="13"/>
                <w:szCs w:val="13"/>
              </w:rPr>
            </w:pPr>
          </w:p>
        </w:tc>
        <w:tc>
          <w:tcPr>
            <w:tcW w:w="146" w:type="pct"/>
            <w:tcBorders>
              <w:top w:val="nil"/>
              <w:left w:val="single" w:sz="4" w:space="0" w:color="auto"/>
              <w:bottom w:val="single" w:sz="4" w:space="0" w:color="auto"/>
              <w:right w:val="single" w:sz="4" w:space="0" w:color="auto"/>
            </w:tcBorders>
            <w:shd w:val="clear" w:color="auto" w:fill="auto"/>
            <w:vAlign w:val="center"/>
          </w:tcPr>
          <w:p w14:paraId="567A0723" w14:textId="77777777" w:rsidR="004A0123" w:rsidRPr="000D3D0C" w:rsidRDefault="004A0123" w:rsidP="008A5C11">
            <w:pPr>
              <w:jc w:val="center"/>
              <w:rPr>
                <w:sz w:val="13"/>
                <w:szCs w:val="13"/>
              </w:rPr>
            </w:pPr>
            <w:r w:rsidRPr="000D3D0C">
              <w:rPr>
                <w:sz w:val="13"/>
                <w:szCs w:val="13"/>
              </w:rPr>
              <w:t>2149</w:t>
            </w:r>
          </w:p>
        </w:tc>
        <w:tc>
          <w:tcPr>
            <w:tcW w:w="149" w:type="pct"/>
            <w:tcBorders>
              <w:top w:val="nil"/>
              <w:left w:val="nil"/>
              <w:bottom w:val="single" w:sz="4" w:space="0" w:color="auto"/>
              <w:right w:val="single" w:sz="4" w:space="0" w:color="auto"/>
            </w:tcBorders>
            <w:shd w:val="clear" w:color="auto" w:fill="auto"/>
            <w:vAlign w:val="center"/>
          </w:tcPr>
          <w:p w14:paraId="2270AD26" w14:textId="77777777" w:rsidR="004A0123" w:rsidRPr="000D3D0C" w:rsidRDefault="004A0123" w:rsidP="008A5C11">
            <w:pPr>
              <w:jc w:val="center"/>
              <w:rPr>
                <w:sz w:val="13"/>
                <w:szCs w:val="13"/>
              </w:rPr>
            </w:pPr>
            <w:r w:rsidRPr="000D3D0C">
              <w:rPr>
                <w:sz w:val="13"/>
                <w:szCs w:val="13"/>
              </w:rPr>
              <w:t>0</w:t>
            </w:r>
          </w:p>
        </w:tc>
        <w:tc>
          <w:tcPr>
            <w:tcW w:w="182" w:type="pct"/>
            <w:tcBorders>
              <w:top w:val="nil"/>
              <w:left w:val="nil"/>
              <w:bottom w:val="single" w:sz="4" w:space="0" w:color="auto"/>
              <w:right w:val="single" w:sz="4" w:space="0" w:color="auto"/>
            </w:tcBorders>
            <w:shd w:val="clear" w:color="auto" w:fill="auto"/>
            <w:vAlign w:val="center"/>
          </w:tcPr>
          <w:p w14:paraId="57AF3FB4" w14:textId="77777777" w:rsidR="004A0123" w:rsidRPr="000D3D0C" w:rsidRDefault="004A0123" w:rsidP="008A5C11">
            <w:pPr>
              <w:jc w:val="center"/>
              <w:rPr>
                <w:sz w:val="13"/>
                <w:szCs w:val="13"/>
              </w:rPr>
            </w:pPr>
            <w:r w:rsidRPr="000D3D0C">
              <w:rPr>
                <w:sz w:val="13"/>
                <w:szCs w:val="13"/>
              </w:rPr>
              <w:t>0</w:t>
            </w:r>
          </w:p>
        </w:tc>
        <w:tc>
          <w:tcPr>
            <w:tcW w:w="182" w:type="pct"/>
            <w:tcBorders>
              <w:top w:val="nil"/>
              <w:left w:val="nil"/>
              <w:bottom w:val="single" w:sz="4" w:space="0" w:color="auto"/>
              <w:right w:val="single" w:sz="4" w:space="0" w:color="auto"/>
            </w:tcBorders>
            <w:shd w:val="clear" w:color="auto" w:fill="auto"/>
            <w:vAlign w:val="center"/>
          </w:tcPr>
          <w:p w14:paraId="792BBF5E" w14:textId="77777777" w:rsidR="004A0123" w:rsidRPr="000D3D0C" w:rsidRDefault="004A0123" w:rsidP="008A5C11">
            <w:pPr>
              <w:jc w:val="center"/>
              <w:rPr>
                <w:sz w:val="13"/>
                <w:szCs w:val="13"/>
              </w:rPr>
            </w:pPr>
            <w:r w:rsidRPr="000D3D0C">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1E597754" w14:textId="77777777" w:rsidR="004A0123" w:rsidRPr="000D3D0C" w:rsidRDefault="004A0123" w:rsidP="008A5C11">
            <w:pPr>
              <w:jc w:val="center"/>
              <w:rPr>
                <w:sz w:val="13"/>
                <w:szCs w:val="13"/>
              </w:rPr>
            </w:pPr>
            <w:r w:rsidRPr="000D3D0C">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6943A6DB" w14:textId="77777777" w:rsidR="004A0123" w:rsidRPr="000D3D0C" w:rsidRDefault="004A0123" w:rsidP="008A5C11">
            <w:pPr>
              <w:jc w:val="center"/>
              <w:rPr>
                <w:sz w:val="13"/>
                <w:szCs w:val="13"/>
              </w:rPr>
            </w:pPr>
            <w:r w:rsidRPr="000D3D0C">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63651B7D" w14:textId="77777777" w:rsidR="004A0123" w:rsidRPr="000D3D0C" w:rsidRDefault="004A0123" w:rsidP="008A5C11">
            <w:pPr>
              <w:jc w:val="center"/>
              <w:rPr>
                <w:sz w:val="13"/>
                <w:szCs w:val="13"/>
              </w:rPr>
            </w:pPr>
            <w:r w:rsidRPr="000D3D0C">
              <w:rPr>
                <w:sz w:val="13"/>
                <w:szCs w:val="13"/>
              </w:rPr>
              <w:t>0</w:t>
            </w:r>
          </w:p>
        </w:tc>
        <w:tc>
          <w:tcPr>
            <w:tcW w:w="173" w:type="pct"/>
            <w:tcBorders>
              <w:top w:val="single" w:sz="4" w:space="0" w:color="auto"/>
              <w:left w:val="single" w:sz="4" w:space="0" w:color="auto"/>
              <w:bottom w:val="single" w:sz="4" w:space="0" w:color="auto"/>
              <w:right w:val="single" w:sz="4" w:space="0" w:color="auto"/>
            </w:tcBorders>
            <w:vAlign w:val="center"/>
          </w:tcPr>
          <w:p w14:paraId="38DC74E2" w14:textId="77777777" w:rsidR="004A0123" w:rsidRPr="000D3D0C" w:rsidRDefault="004A0123" w:rsidP="008A5C11">
            <w:pPr>
              <w:jc w:val="center"/>
              <w:rPr>
                <w:sz w:val="13"/>
                <w:szCs w:val="13"/>
              </w:rPr>
            </w:pPr>
            <w:r w:rsidRPr="000D3D0C">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7C7CE035" w14:textId="77777777" w:rsidR="004A0123" w:rsidRPr="000D3D0C" w:rsidRDefault="004A0123" w:rsidP="008A5C11">
            <w:pPr>
              <w:jc w:val="center"/>
              <w:rPr>
                <w:sz w:val="13"/>
                <w:szCs w:val="13"/>
              </w:rPr>
            </w:pPr>
            <w:r w:rsidRPr="000D3D0C">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5DB256D9" w14:textId="77777777" w:rsidR="004A0123" w:rsidRPr="000D3D0C" w:rsidRDefault="004A0123" w:rsidP="008A5C11">
            <w:pPr>
              <w:jc w:val="center"/>
              <w:rPr>
                <w:sz w:val="13"/>
                <w:szCs w:val="13"/>
              </w:rPr>
            </w:pPr>
            <w:r w:rsidRPr="000D3D0C">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1DBABDF1" w14:textId="77777777" w:rsidR="004A0123" w:rsidRPr="000D3D0C" w:rsidRDefault="004A0123" w:rsidP="008A5C11">
            <w:pPr>
              <w:jc w:val="center"/>
              <w:rPr>
                <w:sz w:val="13"/>
                <w:szCs w:val="13"/>
              </w:rPr>
            </w:pPr>
            <w:r w:rsidRPr="000D3D0C">
              <w:rPr>
                <w:sz w:val="13"/>
                <w:szCs w:val="13"/>
              </w:rPr>
              <w:t>0</w:t>
            </w:r>
          </w:p>
        </w:tc>
        <w:tc>
          <w:tcPr>
            <w:tcW w:w="178" w:type="pct"/>
            <w:tcBorders>
              <w:top w:val="single" w:sz="4" w:space="0" w:color="auto"/>
              <w:left w:val="single" w:sz="4" w:space="0" w:color="auto"/>
              <w:bottom w:val="single" w:sz="4" w:space="0" w:color="auto"/>
              <w:right w:val="single" w:sz="4" w:space="0" w:color="auto"/>
            </w:tcBorders>
            <w:vAlign w:val="center"/>
          </w:tcPr>
          <w:p w14:paraId="20158ABD" w14:textId="77777777" w:rsidR="004A0123" w:rsidRPr="000D3D0C" w:rsidRDefault="004A0123" w:rsidP="008A5C11">
            <w:pPr>
              <w:jc w:val="center"/>
              <w:rPr>
                <w:sz w:val="13"/>
                <w:szCs w:val="13"/>
              </w:rPr>
            </w:pPr>
            <w:r w:rsidRPr="000D3D0C">
              <w:rPr>
                <w:sz w:val="13"/>
                <w:szCs w:val="13"/>
              </w:rPr>
              <w:t>0</w:t>
            </w:r>
          </w:p>
        </w:tc>
      </w:tr>
      <w:tr w:rsidR="004A0123" w:rsidRPr="000D3D0C" w14:paraId="2034CF2B" w14:textId="77777777" w:rsidTr="008A5C11">
        <w:trPr>
          <w:trHeight w:val="141"/>
        </w:trPr>
        <w:tc>
          <w:tcPr>
            <w:tcW w:w="148" w:type="pct"/>
            <w:tcBorders>
              <w:top w:val="single" w:sz="4" w:space="0" w:color="auto"/>
              <w:left w:val="single" w:sz="4" w:space="0" w:color="auto"/>
              <w:bottom w:val="single" w:sz="4" w:space="0" w:color="auto"/>
              <w:right w:val="single" w:sz="4" w:space="0" w:color="auto"/>
            </w:tcBorders>
            <w:shd w:val="clear" w:color="auto" w:fill="auto"/>
            <w:vAlign w:val="center"/>
          </w:tcPr>
          <w:p w14:paraId="1F57C4FD" w14:textId="77777777" w:rsidR="004A0123" w:rsidRPr="000D3D0C" w:rsidRDefault="004A0123" w:rsidP="008A5C11">
            <w:pPr>
              <w:jc w:val="center"/>
              <w:rPr>
                <w:bCs/>
                <w:sz w:val="13"/>
                <w:szCs w:val="13"/>
              </w:rPr>
            </w:pPr>
            <w:r w:rsidRPr="000D3D0C">
              <w:rPr>
                <w:bCs/>
                <w:sz w:val="13"/>
                <w:szCs w:val="13"/>
              </w:rPr>
              <w:t>1</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14:paraId="052CF2F5" w14:textId="77777777" w:rsidR="004A0123" w:rsidRPr="000D3D0C" w:rsidRDefault="004A0123" w:rsidP="008A5C11">
            <w:pPr>
              <w:jc w:val="center"/>
              <w:rPr>
                <w:bCs/>
                <w:sz w:val="13"/>
                <w:szCs w:val="13"/>
              </w:rPr>
            </w:pPr>
            <w:r w:rsidRPr="000D3D0C">
              <w:rPr>
                <w:bCs/>
                <w:sz w:val="13"/>
                <w:szCs w:val="13"/>
              </w:rPr>
              <w:t>2</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tcPr>
          <w:p w14:paraId="28715AB3" w14:textId="77777777" w:rsidR="004A0123" w:rsidRPr="000D3D0C" w:rsidRDefault="004A0123" w:rsidP="008A5C11">
            <w:pPr>
              <w:jc w:val="center"/>
              <w:rPr>
                <w:bCs/>
                <w:sz w:val="13"/>
                <w:szCs w:val="13"/>
              </w:rPr>
            </w:pPr>
            <w:r w:rsidRPr="000D3D0C">
              <w:rPr>
                <w:bCs/>
                <w:sz w:val="13"/>
                <w:szCs w:val="13"/>
              </w:rPr>
              <w:t>3</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14:paraId="1FB159A0" w14:textId="77777777" w:rsidR="004A0123" w:rsidRPr="000D3D0C" w:rsidRDefault="004A0123" w:rsidP="008A5C11">
            <w:pPr>
              <w:jc w:val="center"/>
              <w:rPr>
                <w:bCs/>
                <w:sz w:val="13"/>
                <w:szCs w:val="13"/>
              </w:rPr>
            </w:pPr>
            <w:r w:rsidRPr="000D3D0C">
              <w:rPr>
                <w:bCs/>
                <w:sz w:val="13"/>
                <w:szCs w:val="13"/>
              </w:rPr>
              <w:t>4</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71C8055F" w14:textId="77777777" w:rsidR="004A0123" w:rsidRPr="000D3D0C" w:rsidRDefault="004A0123" w:rsidP="008A5C11">
            <w:pPr>
              <w:jc w:val="center"/>
              <w:rPr>
                <w:bCs/>
                <w:sz w:val="13"/>
                <w:szCs w:val="13"/>
              </w:rPr>
            </w:pPr>
            <w:r w:rsidRPr="000D3D0C">
              <w:rPr>
                <w:bCs/>
                <w:sz w:val="13"/>
                <w:szCs w:val="13"/>
              </w:rPr>
              <w:t>5</w:t>
            </w:r>
          </w:p>
        </w:tc>
        <w:tc>
          <w:tcPr>
            <w:tcW w:w="116" w:type="pct"/>
            <w:tcBorders>
              <w:top w:val="single" w:sz="4" w:space="0" w:color="auto"/>
              <w:left w:val="single" w:sz="4" w:space="0" w:color="auto"/>
              <w:bottom w:val="single" w:sz="4" w:space="0" w:color="auto"/>
              <w:right w:val="single" w:sz="4" w:space="0" w:color="auto"/>
            </w:tcBorders>
            <w:shd w:val="clear" w:color="auto" w:fill="auto"/>
            <w:vAlign w:val="center"/>
          </w:tcPr>
          <w:p w14:paraId="2182FAD6" w14:textId="77777777" w:rsidR="004A0123" w:rsidRPr="000D3D0C" w:rsidRDefault="004A0123" w:rsidP="008A5C11">
            <w:pPr>
              <w:jc w:val="center"/>
              <w:rPr>
                <w:bCs/>
                <w:sz w:val="13"/>
                <w:szCs w:val="13"/>
              </w:rPr>
            </w:pPr>
            <w:r w:rsidRPr="000D3D0C">
              <w:rPr>
                <w:bCs/>
                <w:sz w:val="13"/>
                <w:szCs w:val="13"/>
              </w:rPr>
              <w:t>6</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8DD97D1" w14:textId="77777777" w:rsidR="004A0123" w:rsidRPr="000D3D0C" w:rsidRDefault="004A0123" w:rsidP="008A5C11">
            <w:pPr>
              <w:jc w:val="center"/>
              <w:rPr>
                <w:bCs/>
                <w:sz w:val="13"/>
                <w:szCs w:val="13"/>
              </w:rPr>
            </w:pPr>
            <w:r w:rsidRPr="000D3D0C">
              <w:rPr>
                <w:bCs/>
                <w:sz w:val="13"/>
                <w:szCs w:val="13"/>
              </w:rPr>
              <w:t>7</w:t>
            </w: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14:paraId="28160FFC" w14:textId="77777777" w:rsidR="004A0123" w:rsidRPr="000D3D0C" w:rsidRDefault="004A0123" w:rsidP="008A5C11">
            <w:pPr>
              <w:jc w:val="center"/>
              <w:rPr>
                <w:bCs/>
                <w:sz w:val="13"/>
                <w:szCs w:val="13"/>
              </w:rPr>
            </w:pPr>
            <w:r w:rsidRPr="000D3D0C">
              <w:rPr>
                <w:bCs/>
                <w:sz w:val="13"/>
                <w:szCs w:val="13"/>
              </w:rPr>
              <w:t>8</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16FEEF7" w14:textId="77777777" w:rsidR="004A0123" w:rsidRPr="000D3D0C" w:rsidRDefault="004A0123" w:rsidP="008A5C11">
            <w:pPr>
              <w:jc w:val="center"/>
              <w:rPr>
                <w:bCs/>
                <w:sz w:val="13"/>
                <w:szCs w:val="13"/>
              </w:rPr>
            </w:pPr>
            <w:r w:rsidRPr="000D3D0C">
              <w:rPr>
                <w:bCs/>
                <w:sz w:val="13"/>
                <w:szCs w:val="13"/>
              </w:rPr>
              <w:t>9</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14:paraId="6E2F7150" w14:textId="77777777" w:rsidR="004A0123" w:rsidRPr="000D3D0C" w:rsidRDefault="004A0123" w:rsidP="008A5C11">
            <w:pPr>
              <w:jc w:val="center"/>
              <w:rPr>
                <w:bCs/>
                <w:sz w:val="13"/>
                <w:szCs w:val="13"/>
              </w:rPr>
            </w:pPr>
            <w:r w:rsidRPr="000D3D0C">
              <w:rPr>
                <w:bCs/>
                <w:sz w:val="13"/>
                <w:szCs w:val="13"/>
              </w:rPr>
              <w:t>10</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14:paraId="2D1B065F" w14:textId="77777777" w:rsidR="004A0123" w:rsidRPr="000D3D0C" w:rsidRDefault="004A0123" w:rsidP="008A5C11">
            <w:pPr>
              <w:jc w:val="center"/>
              <w:rPr>
                <w:bCs/>
                <w:sz w:val="13"/>
                <w:szCs w:val="13"/>
              </w:rPr>
            </w:pPr>
            <w:r w:rsidRPr="000D3D0C">
              <w:rPr>
                <w:bCs/>
                <w:sz w:val="13"/>
                <w:szCs w:val="13"/>
              </w:rPr>
              <w:t>11</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14:paraId="00D02B2E" w14:textId="77777777" w:rsidR="004A0123" w:rsidRPr="000D3D0C" w:rsidRDefault="004A0123" w:rsidP="008A5C11">
            <w:pPr>
              <w:jc w:val="center"/>
              <w:rPr>
                <w:bCs/>
                <w:sz w:val="13"/>
                <w:szCs w:val="13"/>
              </w:rPr>
            </w:pPr>
            <w:r w:rsidRPr="000D3D0C">
              <w:rPr>
                <w:bCs/>
                <w:sz w:val="13"/>
                <w:szCs w:val="13"/>
              </w:rPr>
              <w:t>12</w:t>
            </w:r>
          </w:p>
        </w:tc>
        <w:tc>
          <w:tcPr>
            <w:tcW w:w="146" w:type="pct"/>
            <w:tcBorders>
              <w:top w:val="single" w:sz="4" w:space="0" w:color="auto"/>
              <w:left w:val="single" w:sz="4" w:space="0" w:color="auto"/>
              <w:bottom w:val="single" w:sz="4" w:space="0" w:color="auto"/>
              <w:right w:val="single" w:sz="4" w:space="0" w:color="auto"/>
            </w:tcBorders>
            <w:shd w:val="clear" w:color="auto" w:fill="auto"/>
            <w:vAlign w:val="center"/>
          </w:tcPr>
          <w:p w14:paraId="4D152DD2" w14:textId="77777777" w:rsidR="004A0123" w:rsidRPr="000D3D0C" w:rsidRDefault="004A0123" w:rsidP="008A5C11">
            <w:pPr>
              <w:jc w:val="center"/>
              <w:rPr>
                <w:bCs/>
                <w:sz w:val="13"/>
                <w:szCs w:val="13"/>
              </w:rPr>
            </w:pPr>
            <w:r w:rsidRPr="000D3D0C">
              <w:rPr>
                <w:bCs/>
                <w:sz w:val="13"/>
                <w:szCs w:val="13"/>
              </w:rPr>
              <w:t>13</w:t>
            </w:r>
          </w:p>
        </w:tc>
        <w:tc>
          <w:tcPr>
            <w:tcW w:w="149" w:type="pct"/>
            <w:tcBorders>
              <w:top w:val="single" w:sz="4" w:space="0" w:color="auto"/>
              <w:left w:val="single" w:sz="4" w:space="0" w:color="auto"/>
              <w:bottom w:val="single" w:sz="4" w:space="0" w:color="auto"/>
              <w:right w:val="single" w:sz="4" w:space="0" w:color="auto"/>
            </w:tcBorders>
            <w:shd w:val="clear" w:color="auto" w:fill="auto"/>
            <w:vAlign w:val="center"/>
          </w:tcPr>
          <w:p w14:paraId="408BAE47" w14:textId="77777777" w:rsidR="004A0123" w:rsidRPr="000D3D0C" w:rsidRDefault="004A0123" w:rsidP="008A5C11">
            <w:pPr>
              <w:jc w:val="center"/>
              <w:rPr>
                <w:bCs/>
                <w:sz w:val="13"/>
                <w:szCs w:val="13"/>
              </w:rPr>
            </w:pPr>
            <w:r w:rsidRPr="000D3D0C">
              <w:rPr>
                <w:bCs/>
                <w:sz w:val="13"/>
                <w:szCs w:val="13"/>
              </w:rPr>
              <w:t>14</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49A9A8B1" w14:textId="77777777" w:rsidR="004A0123" w:rsidRPr="000D3D0C" w:rsidRDefault="004A0123" w:rsidP="008A5C11">
            <w:pPr>
              <w:jc w:val="center"/>
              <w:rPr>
                <w:bCs/>
                <w:sz w:val="13"/>
                <w:szCs w:val="13"/>
              </w:rPr>
            </w:pPr>
            <w:r w:rsidRPr="000D3D0C">
              <w:rPr>
                <w:bCs/>
                <w:sz w:val="13"/>
                <w:szCs w:val="13"/>
              </w:rPr>
              <w:t>15</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0CB97269" w14:textId="77777777" w:rsidR="004A0123" w:rsidRPr="000D3D0C" w:rsidRDefault="004A0123" w:rsidP="008A5C11">
            <w:pPr>
              <w:jc w:val="center"/>
              <w:rPr>
                <w:bCs/>
                <w:sz w:val="13"/>
                <w:szCs w:val="13"/>
              </w:rPr>
            </w:pPr>
            <w:r w:rsidRPr="000D3D0C">
              <w:rPr>
                <w:bCs/>
                <w:sz w:val="13"/>
                <w:szCs w:val="13"/>
              </w:rPr>
              <w:t>16</w:t>
            </w:r>
          </w:p>
        </w:tc>
        <w:tc>
          <w:tcPr>
            <w:tcW w:w="154" w:type="pct"/>
            <w:tcBorders>
              <w:top w:val="single" w:sz="4" w:space="0" w:color="auto"/>
              <w:left w:val="single" w:sz="4" w:space="0" w:color="auto"/>
              <w:bottom w:val="single" w:sz="4" w:space="0" w:color="auto"/>
              <w:right w:val="single" w:sz="4" w:space="0" w:color="auto"/>
            </w:tcBorders>
            <w:vAlign w:val="center"/>
          </w:tcPr>
          <w:p w14:paraId="4166CD08" w14:textId="77777777" w:rsidR="004A0123" w:rsidRPr="000D3D0C" w:rsidRDefault="004A0123" w:rsidP="008A5C11">
            <w:pPr>
              <w:jc w:val="center"/>
              <w:rPr>
                <w:bCs/>
                <w:sz w:val="13"/>
                <w:szCs w:val="13"/>
              </w:rPr>
            </w:pPr>
            <w:r w:rsidRPr="000D3D0C">
              <w:rPr>
                <w:bCs/>
                <w:sz w:val="13"/>
                <w:szCs w:val="13"/>
              </w:rPr>
              <w:t>17</w:t>
            </w:r>
          </w:p>
        </w:tc>
        <w:tc>
          <w:tcPr>
            <w:tcW w:w="154" w:type="pct"/>
            <w:tcBorders>
              <w:top w:val="single" w:sz="4" w:space="0" w:color="auto"/>
              <w:left w:val="single" w:sz="4" w:space="0" w:color="auto"/>
              <w:bottom w:val="single" w:sz="4" w:space="0" w:color="auto"/>
              <w:right w:val="single" w:sz="4" w:space="0" w:color="auto"/>
            </w:tcBorders>
            <w:vAlign w:val="center"/>
          </w:tcPr>
          <w:p w14:paraId="1FD4902A" w14:textId="77777777" w:rsidR="004A0123" w:rsidRPr="000D3D0C" w:rsidRDefault="004A0123" w:rsidP="008A5C11">
            <w:pPr>
              <w:jc w:val="center"/>
              <w:rPr>
                <w:bCs/>
                <w:sz w:val="13"/>
                <w:szCs w:val="13"/>
              </w:rPr>
            </w:pPr>
            <w:r w:rsidRPr="000D3D0C">
              <w:rPr>
                <w:bCs/>
                <w:sz w:val="13"/>
                <w:szCs w:val="13"/>
              </w:rPr>
              <w:t>18</w:t>
            </w:r>
          </w:p>
        </w:tc>
        <w:tc>
          <w:tcPr>
            <w:tcW w:w="156" w:type="pct"/>
            <w:tcBorders>
              <w:top w:val="single" w:sz="4" w:space="0" w:color="auto"/>
              <w:left w:val="single" w:sz="4" w:space="0" w:color="auto"/>
              <w:bottom w:val="single" w:sz="4" w:space="0" w:color="auto"/>
              <w:right w:val="single" w:sz="4" w:space="0" w:color="auto"/>
            </w:tcBorders>
            <w:vAlign w:val="center"/>
          </w:tcPr>
          <w:p w14:paraId="38AB5015" w14:textId="77777777" w:rsidR="004A0123" w:rsidRPr="000D3D0C" w:rsidRDefault="004A0123" w:rsidP="008A5C11">
            <w:pPr>
              <w:jc w:val="center"/>
              <w:rPr>
                <w:bCs/>
                <w:sz w:val="13"/>
                <w:szCs w:val="13"/>
              </w:rPr>
            </w:pPr>
            <w:r w:rsidRPr="000D3D0C">
              <w:rPr>
                <w:bCs/>
                <w:sz w:val="13"/>
                <w:szCs w:val="13"/>
              </w:rPr>
              <w:t>19</w:t>
            </w:r>
          </w:p>
        </w:tc>
        <w:tc>
          <w:tcPr>
            <w:tcW w:w="173" w:type="pct"/>
            <w:tcBorders>
              <w:top w:val="single" w:sz="4" w:space="0" w:color="auto"/>
              <w:left w:val="single" w:sz="4" w:space="0" w:color="auto"/>
              <w:bottom w:val="single" w:sz="4" w:space="0" w:color="auto"/>
              <w:right w:val="single" w:sz="4" w:space="0" w:color="auto"/>
            </w:tcBorders>
            <w:vAlign w:val="center"/>
          </w:tcPr>
          <w:p w14:paraId="1F2C11A5" w14:textId="77777777" w:rsidR="004A0123" w:rsidRPr="000D3D0C" w:rsidRDefault="004A0123" w:rsidP="008A5C11">
            <w:pPr>
              <w:jc w:val="center"/>
              <w:rPr>
                <w:bCs/>
                <w:sz w:val="13"/>
                <w:szCs w:val="13"/>
              </w:rPr>
            </w:pPr>
            <w:r w:rsidRPr="000D3D0C">
              <w:rPr>
                <w:bCs/>
                <w:sz w:val="13"/>
                <w:szCs w:val="13"/>
              </w:rPr>
              <w:t>20</w:t>
            </w:r>
          </w:p>
        </w:tc>
        <w:tc>
          <w:tcPr>
            <w:tcW w:w="156" w:type="pct"/>
            <w:tcBorders>
              <w:top w:val="single" w:sz="4" w:space="0" w:color="auto"/>
              <w:left w:val="single" w:sz="4" w:space="0" w:color="auto"/>
              <w:bottom w:val="single" w:sz="4" w:space="0" w:color="auto"/>
              <w:right w:val="single" w:sz="4" w:space="0" w:color="auto"/>
            </w:tcBorders>
            <w:vAlign w:val="center"/>
          </w:tcPr>
          <w:p w14:paraId="78AD9C83" w14:textId="77777777" w:rsidR="004A0123" w:rsidRPr="000D3D0C" w:rsidRDefault="004A0123" w:rsidP="008A5C11">
            <w:pPr>
              <w:jc w:val="center"/>
              <w:rPr>
                <w:bCs/>
                <w:sz w:val="13"/>
                <w:szCs w:val="13"/>
              </w:rPr>
            </w:pPr>
            <w:r w:rsidRPr="000D3D0C">
              <w:rPr>
                <w:bCs/>
                <w:sz w:val="13"/>
                <w:szCs w:val="13"/>
              </w:rPr>
              <w:t>21</w:t>
            </w:r>
          </w:p>
        </w:tc>
        <w:tc>
          <w:tcPr>
            <w:tcW w:w="146" w:type="pct"/>
            <w:tcBorders>
              <w:top w:val="single" w:sz="4" w:space="0" w:color="auto"/>
              <w:left w:val="single" w:sz="4" w:space="0" w:color="auto"/>
              <w:bottom w:val="single" w:sz="4" w:space="0" w:color="auto"/>
              <w:right w:val="single" w:sz="4" w:space="0" w:color="auto"/>
            </w:tcBorders>
            <w:vAlign w:val="center"/>
          </w:tcPr>
          <w:p w14:paraId="375A48EC" w14:textId="77777777" w:rsidR="004A0123" w:rsidRPr="000D3D0C" w:rsidRDefault="004A0123" w:rsidP="008A5C11">
            <w:pPr>
              <w:jc w:val="center"/>
              <w:rPr>
                <w:bCs/>
                <w:sz w:val="13"/>
                <w:szCs w:val="13"/>
              </w:rPr>
            </w:pPr>
            <w:r w:rsidRPr="000D3D0C">
              <w:rPr>
                <w:bCs/>
                <w:sz w:val="13"/>
                <w:szCs w:val="13"/>
              </w:rPr>
              <w:t>22</w:t>
            </w:r>
          </w:p>
        </w:tc>
        <w:tc>
          <w:tcPr>
            <w:tcW w:w="182" w:type="pct"/>
            <w:tcBorders>
              <w:top w:val="single" w:sz="4" w:space="0" w:color="auto"/>
              <w:left w:val="single" w:sz="4" w:space="0" w:color="auto"/>
              <w:bottom w:val="single" w:sz="4" w:space="0" w:color="auto"/>
              <w:right w:val="single" w:sz="4" w:space="0" w:color="auto"/>
            </w:tcBorders>
            <w:vAlign w:val="center"/>
          </w:tcPr>
          <w:p w14:paraId="1DAC5EFA" w14:textId="77777777" w:rsidR="004A0123" w:rsidRPr="000D3D0C" w:rsidRDefault="004A0123" w:rsidP="008A5C11">
            <w:pPr>
              <w:jc w:val="center"/>
              <w:rPr>
                <w:bCs/>
                <w:sz w:val="13"/>
                <w:szCs w:val="13"/>
              </w:rPr>
            </w:pPr>
            <w:r w:rsidRPr="000D3D0C">
              <w:rPr>
                <w:bCs/>
                <w:sz w:val="13"/>
                <w:szCs w:val="13"/>
              </w:rPr>
              <w:t>23</w:t>
            </w:r>
          </w:p>
        </w:tc>
        <w:tc>
          <w:tcPr>
            <w:tcW w:w="178" w:type="pct"/>
            <w:tcBorders>
              <w:top w:val="single" w:sz="4" w:space="0" w:color="auto"/>
              <w:left w:val="single" w:sz="4" w:space="0" w:color="auto"/>
              <w:bottom w:val="single" w:sz="4" w:space="0" w:color="auto"/>
              <w:right w:val="single" w:sz="4" w:space="0" w:color="auto"/>
            </w:tcBorders>
            <w:vAlign w:val="center"/>
          </w:tcPr>
          <w:p w14:paraId="78C45D1B" w14:textId="77777777" w:rsidR="004A0123" w:rsidRPr="000D3D0C" w:rsidRDefault="004A0123" w:rsidP="008A5C11">
            <w:pPr>
              <w:jc w:val="center"/>
              <w:rPr>
                <w:bCs/>
                <w:sz w:val="13"/>
                <w:szCs w:val="13"/>
              </w:rPr>
            </w:pPr>
            <w:r w:rsidRPr="000D3D0C">
              <w:rPr>
                <w:bCs/>
                <w:sz w:val="13"/>
                <w:szCs w:val="13"/>
              </w:rPr>
              <w:t>24</w:t>
            </w:r>
          </w:p>
        </w:tc>
      </w:tr>
      <w:tr w:rsidR="004A0123" w:rsidRPr="000D3D0C" w14:paraId="477ACB64" w14:textId="77777777" w:rsidTr="008A5C11">
        <w:trPr>
          <w:trHeight w:val="448"/>
        </w:trPr>
        <w:tc>
          <w:tcPr>
            <w:tcW w:w="148" w:type="pct"/>
            <w:tcBorders>
              <w:top w:val="single" w:sz="4" w:space="0" w:color="auto"/>
            </w:tcBorders>
            <w:shd w:val="clear" w:color="auto" w:fill="auto"/>
            <w:vAlign w:val="center"/>
          </w:tcPr>
          <w:p w14:paraId="24FC6FED" w14:textId="77777777" w:rsidR="004A0123" w:rsidRPr="000D3D0C" w:rsidRDefault="004A0123" w:rsidP="008A5C11">
            <w:pPr>
              <w:jc w:val="center"/>
              <w:rPr>
                <w:sz w:val="13"/>
                <w:szCs w:val="13"/>
              </w:rPr>
            </w:pPr>
            <w:r w:rsidRPr="000D3D0C">
              <w:rPr>
                <w:sz w:val="13"/>
                <w:szCs w:val="13"/>
              </w:rPr>
              <w:t>3.2.8.</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14:paraId="035E9FA2" w14:textId="77777777" w:rsidR="004A0123" w:rsidRPr="000D3D0C" w:rsidRDefault="004A0123" w:rsidP="008A5C11">
            <w:pPr>
              <w:rPr>
                <w:color w:val="000000"/>
                <w:sz w:val="13"/>
                <w:szCs w:val="13"/>
              </w:rPr>
            </w:pPr>
            <w:r w:rsidRPr="000D3D0C">
              <w:rPr>
                <w:color w:val="000000"/>
                <w:sz w:val="13"/>
                <w:szCs w:val="13"/>
              </w:rPr>
              <w:t>Реконструкция железнодорожных путей</w:t>
            </w:r>
          </w:p>
        </w:tc>
        <w:tc>
          <w:tcPr>
            <w:tcW w:w="359" w:type="pct"/>
            <w:tcBorders>
              <w:top w:val="single" w:sz="4" w:space="0" w:color="auto"/>
              <w:left w:val="nil"/>
              <w:bottom w:val="single" w:sz="4" w:space="0" w:color="auto"/>
              <w:right w:val="single" w:sz="4" w:space="0" w:color="auto"/>
            </w:tcBorders>
            <w:shd w:val="clear" w:color="auto" w:fill="auto"/>
            <w:vAlign w:val="center"/>
          </w:tcPr>
          <w:p w14:paraId="601EB6BB" w14:textId="77777777" w:rsidR="004A0123" w:rsidRPr="000D3D0C" w:rsidRDefault="004A0123" w:rsidP="008A5C11">
            <w:pPr>
              <w:jc w:val="center"/>
              <w:rPr>
                <w:color w:val="000000"/>
                <w:sz w:val="13"/>
                <w:szCs w:val="13"/>
              </w:rPr>
            </w:pPr>
            <w:r w:rsidRPr="000D3D0C">
              <w:rPr>
                <w:color w:val="000000"/>
                <w:sz w:val="13"/>
                <w:szCs w:val="13"/>
              </w:rPr>
              <w:t>Повышение надежности теплоснабжения</w:t>
            </w:r>
          </w:p>
        </w:tc>
        <w:tc>
          <w:tcPr>
            <w:tcW w:w="390" w:type="pct"/>
            <w:tcBorders>
              <w:top w:val="single" w:sz="4" w:space="0" w:color="auto"/>
              <w:left w:val="nil"/>
              <w:bottom w:val="single" w:sz="4" w:space="0" w:color="auto"/>
              <w:right w:val="single" w:sz="4" w:space="0" w:color="auto"/>
            </w:tcBorders>
            <w:shd w:val="clear" w:color="auto" w:fill="auto"/>
            <w:vAlign w:val="center"/>
          </w:tcPr>
          <w:p w14:paraId="15551C92" w14:textId="77777777" w:rsidR="004A0123" w:rsidRPr="000D3D0C" w:rsidRDefault="004A0123" w:rsidP="008A5C11">
            <w:pPr>
              <w:jc w:val="center"/>
              <w:rPr>
                <w:color w:val="000000"/>
                <w:sz w:val="13"/>
                <w:szCs w:val="13"/>
              </w:rPr>
            </w:pPr>
            <w:r w:rsidRPr="000D3D0C">
              <w:rPr>
                <w:color w:val="000000"/>
                <w:sz w:val="13"/>
                <w:szCs w:val="13"/>
              </w:rPr>
              <w:t xml:space="preserve">г. </w:t>
            </w:r>
            <w:proofErr w:type="gramStart"/>
            <w:r w:rsidRPr="000D3D0C">
              <w:rPr>
                <w:color w:val="000000"/>
                <w:sz w:val="13"/>
                <w:szCs w:val="13"/>
              </w:rPr>
              <w:t xml:space="preserve">Тайга,   </w:t>
            </w:r>
            <w:proofErr w:type="gramEnd"/>
            <w:r w:rsidRPr="000D3D0C">
              <w:rPr>
                <w:color w:val="000000"/>
                <w:sz w:val="13"/>
                <w:szCs w:val="13"/>
              </w:rPr>
              <w:t xml:space="preserve">               ул.Таежная,д.11.             Котельная Центральная</w:t>
            </w:r>
            <w:r w:rsidRPr="000D3D0C">
              <w:rPr>
                <w:color w:val="000000"/>
                <w:sz w:val="13"/>
                <w:szCs w:val="13"/>
              </w:rPr>
              <w:tab/>
            </w:r>
          </w:p>
        </w:tc>
        <w:tc>
          <w:tcPr>
            <w:tcW w:w="337" w:type="pct"/>
            <w:tcBorders>
              <w:top w:val="single" w:sz="4" w:space="0" w:color="auto"/>
              <w:left w:val="nil"/>
              <w:bottom w:val="single" w:sz="4" w:space="0" w:color="auto"/>
              <w:right w:val="single" w:sz="4" w:space="0" w:color="auto"/>
            </w:tcBorders>
            <w:shd w:val="clear" w:color="auto" w:fill="auto"/>
            <w:vAlign w:val="center"/>
          </w:tcPr>
          <w:p w14:paraId="7D35D172" w14:textId="77777777" w:rsidR="004A0123" w:rsidRPr="000D3D0C" w:rsidRDefault="004A0123" w:rsidP="008A5C11">
            <w:pPr>
              <w:jc w:val="center"/>
              <w:rPr>
                <w:sz w:val="13"/>
                <w:szCs w:val="13"/>
              </w:rPr>
            </w:pPr>
            <w:r w:rsidRPr="000D3D0C">
              <w:rPr>
                <w:sz w:val="13"/>
                <w:szCs w:val="13"/>
              </w:rPr>
              <w:t>Износ</w:t>
            </w:r>
          </w:p>
        </w:tc>
        <w:tc>
          <w:tcPr>
            <w:tcW w:w="116" w:type="pct"/>
            <w:tcBorders>
              <w:top w:val="single" w:sz="4" w:space="0" w:color="auto"/>
              <w:left w:val="nil"/>
              <w:bottom w:val="single" w:sz="4" w:space="0" w:color="auto"/>
              <w:right w:val="single" w:sz="4" w:space="0" w:color="auto"/>
            </w:tcBorders>
            <w:shd w:val="clear" w:color="auto" w:fill="auto"/>
            <w:vAlign w:val="center"/>
          </w:tcPr>
          <w:p w14:paraId="14B0FC66" w14:textId="77777777" w:rsidR="004A0123" w:rsidRPr="000D3D0C" w:rsidRDefault="004A0123" w:rsidP="008A5C11">
            <w:pPr>
              <w:jc w:val="center"/>
              <w:rPr>
                <w:sz w:val="13"/>
                <w:szCs w:val="13"/>
              </w:rPr>
            </w:pPr>
            <w:r w:rsidRPr="000D3D0C">
              <w:rPr>
                <w:sz w:val="13"/>
                <w:szCs w:val="13"/>
              </w:rPr>
              <w:t>%</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64CFA3CD" w14:textId="77777777" w:rsidR="004A0123" w:rsidRPr="000D3D0C" w:rsidRDefault="004A0123" w:rsidP="008A5C11">
            <w:pPr>
              <w:jc w:val="center"/>
              <w:rPr>
                <w:sz w:val="13"/>
                <w:szCs w:val="13"/>
              </w:rPr>
            </w:pPr>
            <w:r w:rsidRPr="000D3D0C">
              <w:rPr>
                <w:sz w:val="13"/>
                <w:szCs w:val="13"/>
              </w:rPr>
              <w:t>100</w:t>
            </w:r>
          </w:p>
        </w:tc>
        <w:tc>
          <w:tcPr>
            <w:tcW w:w="177" w:type="pct"/>
            <w:tcBorders>
              <w:top w:val="single" w:sz="4" w:space="0" w:color="auto"/>
              <w:left w:val="nil"/>
              <w:bottom w:val="single" w:sz="4" w:space="0" w:color="auto"/>
              <w:right w:val="single" w:sz="4" w:space="0" w:color="auto"/>
            </w:tcBorders>
            <w:shd w:val="clear" w:color="auto" w:fill="auto"/>
            <w:vAlign w:val="center"/>
          </w:tcPr>
          <w:p w14:paraId="0CCBEC02" w14:textId="77777777" w:rsidR="004A0123" w:rsidRPr="000D3D0C" w:rsidRDefault="004A0123" w:rsidP="008A5C11">
            <w:pPr>
              <w:jc w:val="center"/>
              <w:rPr>
                <w:sz w:val="13"/>
                <w:szCs w:val="13"/>
              </w:rPr>
            </w:pPr>
            <w:r w:rsidRPr="000D3D0C">
              <w:rPr>
                <w:sz w:val="13"/>
                <w:szCs w:val="13"/>
              </w:rPr>
              <w:t>0</w:t>
            </w:r>
          </w:p>
        </w:tc>
        <w:tc>
          <w:tcPr>
            <w:tcW w:w="188" w:type="pct"/>
            <w:tcBorders>
              <w:top w:val="single" w:sz="4" w:space="0" w:color="auto"/>
              <w:left w:val="nil"/>
              <w:bottom w:val="single" w:sz="4" w:space="0" w:color="auto"/>
              <w:right w:val="single" w:sz="4" w:space="0" w:color="auto"/>
            </w:tcBorders>
            <w:shd w:val="clear" w:color="auto" w:fill="auto"/>
            <w:vAlign w:val="center"/>
          </w:tcPr>
          <w:p w14:paraId="0629B7DC" w14:textId="77777777" w:rsidR="004A0123" w:rsidRPr="000D3D0C" w:rsidRDefault="004A0123" w:rsidP="008A5C11">
            <w:pPr>
              <w:jc w:val="center"/>
              <w:rPr>
                <w:color w:val="000000"/>
                <w:sz w:val="13"/>
                <w:szCs w:val="13"/>
              </w:rPr>
            </w:pPr>
            <w:r w:rsidRPr="000D3D0C">
              <w:rPr>
                <w:color w:val="000000"/>
                <w:sz w:val="13"/>
                <w:szCs w:val="13"/>
              </w:rPr>
              <w:t>2029</w:t>
            </w:r>
          </w:p>
        </w:tc>
        <w:tc>
          <w:tcPr>
            <w:tcW w:w="187" w:type="pct"/>
            <w:tcBorders>
              <w:top w:val="single" w:sz="4" w:space="0" w:color="auto"/>
              <w:left w:val="nil"/>
              <w:bottom w:val="single" w:sz="4" w:space="0" w:color="auto"/>
              <w:right w:val="single" w:sz="4" w:space="0" w:color="auto"/>
            </w:tcBorders>
            <w:shd w:val="clear" w:color="auto" w:fill="auto"/>
            <w:vAlign w:val="center"/>
          </w:tcPr>
          <w:p w14:paraId="097F3011" w14:textId="77777777" w:rsidR="004A0123" w:rsidRPr="000D3D0C" w:rsidRDefault="004A0123" w:rsidP="008A5C11">
            <w:pPr>
              <w:jc w:val="center"/>
              <w:rPr>
                <w:color w:val="000000"/>
                <w:sz w:val="13"/>
                <w:szCs w:val="13"/>
              </w:rPr>
            </w:pPr>
            <w:r w:rsidRPr="000D3D0C">
              <w:rPr>
                <w:color w:val="000000"/>
                <w:sz w:val="13"/>
                <w:szCs w:val="13"/>
              </w:rPr>
              <w:t>2029</w:t>
            </w:r>
          </w:p>
        </w:tc>
        <w:tc>
          <w:tcPr>
            <w:tcW w:w="187" w:type="pct"/>
            <w:tcBorders>
              <w:top w:val="single" w:sz="4" w:space="0" w:color="auto"/>
              <w:left w:val="nil"/>
              <w:bottom w:val="single" w:sz="4" w:space="0" w:color="auto"/>
              <w:right w:val="single" w:sz="4" w:space="0" w:color="auto"/>
            </w:tcBorders>
            <w:shd w:val="clear" w:color="auto" w:fill="auto"/>
            <w:vAlign w:val="center"/>
          </w:tcPr>
          <w:p w14:paraId="6F63B80A" w14:textId="77777777" w:rsidR="004A0123" w:rsidRPr="000D3D0C" w:rsidRDefault="004A0123" w:rsidP="008A5C11">
            <w:pPr>
              <w:jc w:val="center"/>
              <w:rPr>
                <w:color w:val="000000"/>
                <w:sz w:val="13"/>
                <w:szCs w:val="13"/>
              </w:rPr>
            </w:pPr>
            <w:r w:rsidRPr="000D3D0C">
              <w:rPr>
                <w:color w:val="000000"/>
                <w:sz w:val="13"/>
                <w:szCs w:val="13"/>
              </w:rPr>
              <w:t>22065</w:t>
            </w:r>
          </w:p>
        </w:tc>
        <w:tc>
          <w:tcPr>
            <w:tcW w:w="187" w:type="pct"/>
            <w:tcBorders>
              <w:top w:val="single" w:sz="4" w:space="0" w:color="auto"/>
              <w:left w:val="nil"/>
              <w:bottom w:val="single" w:sz="4" w:space="0" w:color="auto"/>
              <w:right w:val="single" w:sz="4" w:space="0" w:color="auto"/>
            </w:tcBorders>
            <w:shd w:val="clear" w:color="auto" w:fill="auto"/>
            <w:vAlign w:val="center"/>
          </w:tcPr>
          <w:p w14:paraId="5F985CDB" w14:textId="77777777" w:rsidR="004A0123" w:rsidRPr="000D3D0C" w:rsidRDefault="004A0123" w:rsidP="008A5C11">
            <w:pPr>
              <w:jc w:val="center"/>
              <w:rPr>
                <w:sz w:val="13"/>
                <w:szCs w:val="13"/>
              </w:rPr>
            </w:pPr>
            <w:r w:rsidRPr="000D3D0C">
              <w:rPr>
                <w:sz w:val="13"/>
                <w:szCs w:val="13"/>
              </w:rPr>
              <w:t>0</w:t>
            </w:r>
          </w:p>
        </w:tc>
        <w:tc>
          <w:tcPr>
            <w:tcW w:w="146" w:type="pct"/>
            <w:tcBorders>
              <w:top w:val="single" w:sz="4" w:space="0" w:color="auto"/>
              <w:left w:val="single" w:sz="4" w:space="0" w:color="auto"/>
              <w:bottom w:val="single" w:sz="4" w:space="0" w:color="auto"/>
              <w:right w:val="single" w:sz="4" w:space="0" w:color="auto"/>
            </w:tcBorders>
            <w:shd w:val="clear" w:color="auto" w:fill="auto"/>
            <w:vAlign w:val="center"/>
          </w:tcPr>
          <w:p w14:paraId="732F15E5" w14:textId="77777777" w:rsidR="004A0123" w:rsidRPr="000D3D0C" w:rsidRDefault="004A0123" w:rsidP="008A5C11">
            <w:pPr>
              <w:jc w:val="center"/>
              <w:rPr>
                <w:sz w:val="13"/>
                <w:szCs w:val="13"/>
              </w:rPr>
            </w:pPr>
            <w:r w:rsidRPr="000D3D0C">
              <w:rPr>
                <w:sz w:val="13"/>
                <w:szCs w:val="13"/>
              </w:rPr>
              <w:t>0</w:t>
            </w:r>
          </w:p>
        </w:tc>
        <w:tc>
          <w:tcPr>
            <w:tcW w:w="149" w:type="pct"/>
            <w:tcBorders>
              <w:top w:val="single" w:sz="4" w:space="0" w:color="auto"/>
              <w:left w:val="nil"/>
              <w:bottom w:val="single" w:sz="4" w:space="0" w:color="auto"/>
              <w:right w:val="single" w:sz="4" w:space="0" w:color="auto"/>
            </w:tcBorders>
            <w:shd w:val="clear" w:color="auto" w:fill="auto"/>
            <w:vAlign w:val="center"/>
          </w:tcPr>
          <w:p w14:paraId="7067F84F" w14:textId="77777777" w:rsidR="004A0123" w:rsidRPr="000D3D0C" w:rsidRDefault="004A0123" w:rsidP="008A5C11">
            <w:pPr>
              <w:jc w:val="center"/>
              <w:rPr>
                <w:sz w:val="13"/>
                <w:szCs w:val="13"/>
              </w:rPr>
            </w:pPr>
            <w:r w:rsidRPr="000D3D0C">
              <w:rPr>
                <w:sz w:val="13"/>
                <w:szCs w:val="13"/>
              </w:rPr>
              <w:t>0</w:t>
            </w:r>
          </w:p>
        </w:tc>
        <w:tc>
          <w:tcPr>
            <w:tcW w:w="182" w:type="pct"/>
            <w:tcBorders>
              <w:top w:val="single" w:sz="4" w:space="0" w:color="auto"/>
              <w:left w:val="nil"/>
              <w:bottom w:val="single" w:sz="4" w:space="0" w:color="auto"/>
              <w:right w:val="single" w:sz="4" w:space="0" w:color="auto"/>
            </w:tcBorders>
            <w:shd w:val="clear" w:color="auto" w:fill="auto"/>
            <w:vAlign w:val="center"/>
          </w:tcPr>
          <w:p w14:paraId="5FADF44B" w14:textId="77777777" w:rsidR="004A0123" w:rsidRPr="000D3D0C" w:rsidRDefault="004A0123" w:rsidP="008A5C11">
            <w:pPr>
              <w:jc w:val="center"/>
              <w:rPr>
                <w:sz w:val="13"/>
                <w:szCs w:val="13"/>
              </w:rPr>
            </w:pPr>
            <w:r w:rsidRPr="000D3D0C">
              <w:rPr>
                <w:sz w:val="13"/>
                <w:szCs w:val="13"/>
              </w:rPr>
              <w:t>0</w:t>
            </w:r>
          </w:p>
        </w:tc>
        <w:tc>
          <w:tcPr>
            <w:tcW w:w="182" w:type="pct"/>
            <w:tcBorders>
              <w:top w:val="single" w:sz="4" w:space="0" w:color="auto"/>
              <w:left w:val="nil"/>
              <w:bottom w:val="single" w:sz="4" w:space="0" w:color="auto"/>
              <w:right w:val="single" w:sz="4" w:space="0" w:color="auto"/>
            </w:tcBorders>
            <w:shd w:val="clear" w:color="auto" w:fill="auto"/>
            <w:vAlign w:val="center"/>
          </w:tcPr>
          <w:p w14:paraId="2F81DC5B" w14:textId="77777777" w:rsidR="004A0123" w:rsidRPr="000D3D0C" w:rsidRDefault="004A0123" w:rsidP="008A5C11">
            <w:pPr>
              <w:jc w:val="center"/>
              <w:rPr>
                <w:sz w:val="13"/>
                <w:szCs w:val="13"/>
              </w:rPr>
            </w:pPr>
            <w:r w:rsidRPr="000D3D0C">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23EF533F" w14:textId="77777777" w:rsidR="004A0123" w:rsidRPr="000D3D0C" w:rsidRDefault="004A0123" w:rsidP="008A5C11">
            <w:pPr>
              <w:jc w:val="center"/>
              <w:rPr>
                <w:sz w:val="13"/>
                <w:szCs w:val="13"/>
              </w:rPr>
            </w:pPr>
            <w:r w:rsidRPr="000D3D0C">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2F59569A" w14:textId="77777777" w:rsidR="004A0123" w:rsidRPr="000D3D0C" w:rsidRDefault="004A0123" w:rsidP="008A5C11">
            <w:pPr>
              <w:jc w:val="center"/>
              <w:rPr>
                <w:sz w:val="13"/>
                <w:szCs w:val="13"/>
              </w:rPr>
            </w:pPr>
            <w:r w:rsidRPr="000D3D0C">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115C2D10" w14:textId="77777777" w:rsidR="004A0123" w:rsidRPr="000D3D0C" w:rsidRDefault="004A0123" w:rsidP="008A5C11">
            <w:pPr>
              <w:jc w:val="center"/>
              <w:rPr>
                <w:sz w:val="13"/>
                <w:szCs w:val="13"/>
              </w:rPr>
            </w:pPr>
            <w:r w:rsidRPr="000D3D0C">
              <w:rPr>
                <w:sz w:val="13"/>
                <w:szCs w:val="13"/>
              </w:rPr>
              <w:t>0</w:t>
            </w:r>
          </w:p>
        </w:tc>
        <w:tc>
          <w:tcPr>
            <w:tcW w:w="173" w:type="pct"/>
            <w:tcBorders>
              <w:top w:val="single" w:sz="4" w:space="0" w:color="auto"/>
              <w:left w:val="single" w:sz="4" w:space="0" w:color="auto"/>
              <w:bottom w:val="single" w:sz="4" w:space="0" w:color="auto"/>
              <w:right w:val="single" w:sz="4" w:space="0" w:color="auto"/>
            </w:tcBorders>
            <w:vAlign w:val="center"/>
          </w:tcPr>
          <w:p w14:paraId="18396D7F" w14:textId="77777777" w:rsidR="004A0123" w:rsidRPr="000D3D0C" w:rsidRDefault="004A0123" w:rsidP="008A5C11">
            <w:pPr>
              <w:jc w:val="center"/>
              <w:rPr>
                <w:sz w:val="13"/>
                <w:szCs w:val="13"/>
              </w:rPr>
            </w:pPr>
            <w:r w:rsidRPr="000D3D0C">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6E2A5AD4" w14:textId="77777777" w:rsidR="004A0123" w:rsidRPr="000D3D0C" w:rsidRDefault="004A0123" w:rsidP="008A5C11">
            <w:pPr>
              <w:rPr>
                <w:sz w:val="13"/>
                <w:szCs w:val="13"/>
              </w:rPr>
            </w:pPr>
            <w:r w:rsidRPr="000D3D0C">
              <w:rPr>
                <w:sz w:val="13"/>
                <w:szCs w:val="13"/>
              </w:rPr>
              <w:t>22065</w:t>
            </w:r>
          </w:p>
        </w:tc>
        <w:tc>
          <w:tcPr>
            <w:tcW w:w="146" w:type="pct"/>
            <w:tcBorders>
              <w:top w:val="single" w:sz="4" w:space="0" w:color="auto"/>
              <w:left w:val="single" w:sz="4" w:space="0" w:color="auto"/>
              <w:bottom w:val="single" w:sz="4" w:space="0" w:color="auto"/>
              <w:right w:val="single" w:sz="4" w:space="0" w:color="auto"/>
            </w:tcBorders>
            <w:vAlign w:val="center"/>
          </w:tcPr>
          <w:p w14:paraId="69EB71F9" w14:textId="77777777" w:rsidR="004A0123" w:rsidRPr="000D3D0C" w:rsidRDefault="004A0123" w:rsidP="008A5C11">
            <w:pPr>
              <w:jc w:val="center"/>
              <w:rPr>
                <w:sz w:val="13"/>
                <w:szCs w:val="13"/>
              </w:rPr>
            </w:pPr>
            <w:r w:rsidRPr="000D3D0C">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08803A26" w14:textId="77777777" w:rsidR="004A0123" w:rsidRPr="000D3D0C" w:rsidRDefault="004A0123" w:rsidP="008A5C11">
            <w:pPr>
              <w:jc w:val="center"/>
              <w:rPr>
                <w:sz w:val="13"/>
                <w:szCs w:val="13"/>
              </w:rPr>
            </w:pPr>
            <w:r w:rsidRPr="000D3D0C">
              <w:rPr>
                <w:sz w:val="13"/>
                <w:szCs w:val="13"/>
              </w:rPr>
              <w:t>0</w:t>
            </w:r>
          </w:p>
        </w:tc>
        <w:tc>
          <w:tcPr>
            <w:tcW w:w="178" w:type="pct"/>
            <w:tcBorders>
              <w:top w:val="single" w:sz="4" w:space="0" w:color="auto"/>
              <w:left w:val="single" w:sz="4" w:space="0" w:color="auto"/>
              <w:bottom w:val="single" w:sz="4" w:space="0" w:color="auto"/>
              <w:right w:val="single" w:sz="4" w:space="0" w:color="auto"/>
            </w:tcBorders>
            <w:vAlign w:val="center"/>
          </w:tcPr>
          <w:p w14:paraId="3A436B5E" w14:textId="77777777" w:rsidR="004A0123" w:rsidRPr="000D3D0C" w:rsidRDefault="004A0123" w:rsidP="008A5C11">
            <w:pPr>
              <w:jc w:val="center"/>
              <w:rPr>
                <w:sz w:val="13"/>
                <w:szCs w:val="13"/>
              </w:rPr>
            </w:pPr>
            <w:r w:rsidRPr="000D3D0C">
              <w:rPr>
                <w:sz w:val="13"/>
                <w:szCs w:val="13"/>
              </w:rPr>
              <w:t>0</w:t>
            </w:r>
          </w:p>
        </w:tc>
      </w:tr>
      <w:tr w:rsidR="004A0123" w:rsidRPr="000D3D0C" w14:paraId="7791244A" w14:textId="77777777" w:rsidTr="008A5C11">
        <w:trPr>
          <w:trHeight w:val="579"/>
        </w:trPr>
        <w:tc>
          <w:tcPr>
            <w:tcW w:w="148" w:type="pct"/>
            <w:tcBorders>
              <w:bottom w:val="single" w:sz="4" w:space="0" w:color="auto"/>
            </w:tcBorders>
            <w:shd w:val="clear" w:color="auto" w:fill="auto"/>
            <w:vAlign w:val="center"/>
          </w:tcPr>
          <w:p w14:paraId="4CD997CA" w14:textId="77777777" w:rsidR="004A0123" w:rsidRPr="000D3D0C" w:rsidRDefault="004A0123" w:rsidP="008A5C11">
            <w:pPr>
              <w:jc w:val="center"/>
              <w:rPr>
                <w:sz w:val="13"/>
                <w:szCs w:val="13"/>
              </w:rPr>
            </w:pPr>
            <w:r w:rsidRPr="000D3D0C">
              <w:rPr>
                <w:sz w:val="13"/>
                <w:szCs w:val="13"/>
              </w:rPr>
              <w:t>3.2.9.</w:t>
            </w:r>
          </w:p>
        </w:tc>
        <w:tc>
          <w:tcPr>
            <w:tcW w:w="585" w:type="pct"/>
            <w:tcBorders>
              <w:top w:val="nil"/>
              <w:left w:val="single" w:sz="4" w:space="0" w:color="auto"/>
              <w:bottom w:val="single" w:sz="4" w:space="0" w:color="auto"/>
              <w:right w:val="single" w:sz="4" w:space="0" w:color="auto"/>
            </w:tcBorders>
            <w:shd w:val="clear" w:color="auto" w:fill="auto"/>
            <w:vAlign w:val="center"/>
          </w:tcPr>
          <w:p w14:paraId="52A0FFC4" w14:textId="77777777" w:rsidR="004A0123" w:rsidRPr="000D3D0C" w:rsidRDefault="004A0123" w:rsidP="008A5C11">
            <w:pPr>
              <w:rPr>
                <w:color w:val="000000"/>
                <w:sz w:val="13"/>
                <w:szCs w:val="13"/>
              </w:rPr>
            </w:pPr>
            <w:r w:rsidRPr="000D3D0C">
              <w:rPr>
                <w:color w:val="000000"/>
                <w:sz w:val="13"/>
                <w:szCs w:val="13"/>
              </w:rPr>
              <w:t>Реконструкция систем углеподачи и золошлакоудаления</w:t>
            </w:r>
          </w:p>
        </w:tc>
        <w:tc>
          <w:tcPr>
            <w:tcW w:w="359" w:type="pct"/>
            <w:tcBorders>
              <w:top w:val="nil"/>
              <w:left w:val="nil"/>
              <w:bottom w:val="single" w:sz="4" w:space="0" w:color="auto"/>
              <w:right w:val="single" w:sz="4" w:space="0" w:color="auto"/>
            </w:tcBorders>
            <w:shd w:val="clear" w:color="auto" w:fill="auto"/>
            <w:vAlign w:val="center"/>
          </w:tcPr>
          <w:p w14:paraId="0580E4D0" w14:textId="77777777" w:rsidR="004A0123" w:rsidRPr="000D3D0C" w:rsidRDefault="004A0123" w:rsidP="008A5C11">
            <w:pPr>
              <w:jc w:val="center"/>
              <w:rPr>
                <w:color w:val="000000"/>
                <w:sz w:val="13"/>
                <w:szCs w:val="13"/>
              </w:rPr>
            </w:pPr>
            <w:r w:rsidRPr="000D3D0C">
              <w:rPr>
                <w:color w:val="000000"/>
                <w:sz w:val="13"/>
                <w:szCs w:val="13"/>
              </w:rPr>
              <w:t>Повышение надежности теплоснабжения</w:t>
            </w:r>
          </w:p>
        </w:tc>
        <w:tc>
          <w:tcPr>
            <w:tcW w:w="390" w:type="pct"/>
            <w:tcBorders>
              <w:top w:val="nil"/>
              <w:left w:val="nil"/>
              <w:bottom w:val="single" w:sz="4" w:space="0" w:color="auto"/>
              <w:right w:val="single" w:sz="4" w:space="0" w:color="auto"/>
            </w:tcBorders>
            <w:shd w:val="clear" w:color="auto" w:fill="auto"/>
            <w:vAlign w:val="center"/>
          </w:tcPr>
          <w:p w14:paraId="3CD6B48A" w14:textId="77777777" w:rsidR="004A0123" w:rsidRPr="000D3D0C" w:rsidRDefault="004A0123" w:rsidP="008A5C11">
            <w:pPr>
              <w:jc w:val="center"/>
              <w:rPr>
                <w:color w:val="000000"/>
                <w:sz w:val="13"/>
                <w:szCs w:val="13"/>
              </w:rPr>
            </w:pPr>
            <w:r w:rsidRPr="000D3D0C">
              <w:rPr>
                <w:color w:val="000000"/>
                <w:sz w:val="13"/>
                <w:szCs w:val="13"/>
              </w:rPr>
              <w:t xml:space="preserve">г. </w:t>
            </w:r>
            <w:proofErr w:type="gramStart"/>
            <w:r w:rsidRPr="000D3D0C">
              <w:rPr>
                <w:color w:val="000000"/>
                <w:sz w:val="13"/>
                <w:szCs w:val="13"/>
              </w:rPr>
              <w:t xml:space="preserve">Тайга,   </w:t>
            </w:r>
            <w:proofErr w:type="gramEnd"/>
            <w:r w:rsidRPr="000D3D0C">
              <w:rPr>
                <w:color w:val="000000"/>
                <w:sz w:val="13"/>
                <w:szCs w:val="13"/>
              </w:rPr>
              <w:t xml:space="preserve">               ул.Таежная,д.11.             Котельная Центральная</w:t>
            </w:r>
            <w:r w:rsidRPr="000D3D0C">
              <w:rPr>
                <w:color w:val="000000"/>
                <w:sz w:val="13"/>
                <w:szCs w:val="13"/>
              </w:rPr>
              <w:tab/>
            </w:r>
          </w:p>
        </w:tc>
        <w:tc>
          <w:tcPr>
            <w:tcW w:w="337" w:type="pct"/>
            <w:tcBorders>
              <w:top w:val="nil"/>
              <w:left w:val="nil"/>
              <w:bottom w:val="single" w:sz="4" w:space="0" w:color="auto"/>
              <w:right w:val="single" w:sz="4" w:space="0" w:color="auto"/>
            </w:tcBorders>
            <w:shd w:val="clear" w:color="auto" w:fill="auto"/>
            <w:vAlign w:val="center"/>
          </w:tcPr>
          <w:p w14:paraId="13D8D5B9" w14:textId="77777777" w:rsidR="004A0123" w:rsidRPr="000D3D0C" w:rsidRDefault="004A0123" w:rsidP="008A5C11">
            <w:pPr>
              <w:jc w:val="center"/>
              <w:rPr>
                <w:sz w:val="13"/>
                <w:szCs w:val="13"/>
              </w:rPr>
            </w:pPr>
            <w:r w:rsidRPr="000D3D0C">
              <w:rPr>
                <w:sz w:val="13"/>
                <w:szCs w:val="13"/>
              </w:rPr>
              <w:t>Износ</w:t>
            </w:r>
          </w:p>
        </w:tc>
        <w:tc>
          <w:tcPr>
            <w:tcW w:w="116" w:type="pct"/>
            <w:tcBorders>
              <w:top w:val="nil"/>
              <w:left w:val="nil"/>
              <w:bottom w:val="single" w:sz="4" w:space="0" w:color="auto"/>
              <w:right w:val="single" w:sz="4" w:space="0" w:color="auto"/>
            </w:tcBorders>
            <w:shd w:val="clear" w:color="auto" w:fill="auto"/>
            <w:vAlign w:val="center"/>
          </w:tcPr>
          <w:p w14:paraId="008BC78B" w14:textId="77777777" w:rsidR="004A0123" w:rsidRPr="000D3D0C" w:rsidRDefault="004A0123" w:rsidP="008A5C11">
            <w:pPr>
              <w:jc w:val="center"/>
              <w:rPr>
                <w:sz w:val="13"/>
                <w:szCs w:val="13"/>
              </w:rPr>
            </w:pPr>
            <w:r w:rsidRPr="000D3D0C">
              <w:rPr>
                <w:sz w:val="13"/>
                <w:szCs w:val="13"/>
              </w:rPr>
              <w:t>%</w:t>
            </w:r>
          </w:p>
        </w:tc>
        <w:tc>
          <w:tcPr>
            <w:tcW w:w="181" w:type="pct"/>
            <w:tcBorders>
              <w:top w:val="nil"/>
              <w:left w:val="single" w:sz="4" w:space="0" w:color="auto"/>
              <w:bottom w:val="single" w:sz="4" w:space="0" w:color="auto"/>
              <w:right w:val="single" w:sz="4" w:space="0" w:color="auto"/>
            </w:tcBorders>
            <w:shd w:val="clear" w:color="auto" w:fill="auto"/>
            <w:vAlign w:val="center"/>
          </w:tcPr>
          <w:p w14:paraId="0D72CEDB" w14:textId="77777777" w:rsidR="004A0123" w:rsidRPr="000D3D0C" w:rsidRDefault="004A0123" w:rsidP="008A5C11">
            <w:pPr>
              <w:jc w:val="center"/>
              <w:rPr>
                <w:sz w:val="13"/>
                <w:szCs w:val="13"/>
              </w:rPr>
            </w:pPr>
            <w:r w:rsidRPr="000D3D0C">
              <w:rPr>
                <w:sz w:val="13"/>
                <w:szCs w:val="13"/>
              </w:rPr>
              <w:t>100</w:t>
            </w:r>
          </w:p>
        </w:tc>
        <w:tc>
          <w:tcPr>
            <w:tcW w:w="177" w:type="pct"/>
            <w:tcBorders>
              <w:top w:val="nil"/>
              <w:left w:val="nil"/>
              <w:bottom w:val="single" w:sz="4" w:space="0" w:color="auto"/>
              <w:right w:val="single" w:sz="4" w:space="0" w:color="auto"/>
            </w:tcBorders>
            <w:shd w:val="clear" w:color="auto" w:fill="auto"/>
            <w:vAlign w:val="center"/>
          </w:tcPr>
          <w:p w14:paraId="0876533F" w14:textId="77777777" w:rsidR="004A0123" w:rsidRPr="000D3D0C" w:rsidRDefault="004A0123" w:rsidP="008A5C11">
            <w:pPr>
              <w:jc w:val="center"/>
              <w:rPr>
                <w:sz w:val="13"/>
                <w:szCs w:val="13"/>
              </w:rPr>
            </w:pPr>
            <w:r w:rsidRPr="000D3D0C">
              <w:rPr>
                <w:sz w:val="13"/>
                <w:szCs w:val="13"/>
              </w:rPr>
              <w:t>0</w:t>
            </w:r>
          </w:p>
        </w:tc>
        <w:tc>
          <w:tcPr>
            <w:tcW w:w="188" w:type="pct"/>
            <w:tcBorders>
              <w:top w:val="nil"/>
              <w:left w:val="nil"/>
              <w:bottom w:val="single" w:sz="4" w:space="0" w:color="auto"/>
              <w:right w:val="single" w:sz="4" w:space="0" w:color="auto"/>
            </w:tcBorders>
            <w:shd w:val="clear" w:color="auto" w:fill="auto"/>
            <w:vAlign w:val="center"/>
          </w:tcPr>
          <w:p w14:paraId="3E6452E5" w14:textId="77777777" w:rsidR="004A0123" w:rsidRPr="000D3D0C" w:rsidRDefault="004A0123" w:rsidP="008A5C11">
            <w:pPr>
              <w:jc w:val="center"/>
              <w:rPr>
                <w:color w:val="000000"/>
                <w:sz w:val="13"/>
                <w:szCs w:val="13"/>
              </w:rPr>
            </w:pPr>
            <w:r w:rsidRPr="000D3D0C">
              <w:rPr>
                <w:color w:val="000000"/>
                <w:sz w:val="13"/>
                <w:szCs w:val="13"/>
              </w:rPr>
              <w:t>2023</w:t>
            </w:r>
          </w:p>
        </w:tc>
        <w:tc>
          <w:tcPr>
            <w:tcW w:w="187" w:type="pct"/>
            <w:tcBorders>
              <w:top w:val="nil"/>
              <w:left w:val="nil"/>
              <w:bottom w:val="single" w:sz="4" w:space="0" w:color="auto"/>
              <w:right w:val="single" w:sz="4" w:space="0" w:color="auto"/>
            </w:tcBorders>
            <w:shd w:val="clear" w:color="auto" w:fill="auto"/>
            <w:vAlign w:val="center"/>
          </w:tcPr>
          <w:p w14:paraId="29CCE376" w14:textId="77777777" w:rsidR="004A0123" w:rsidRPr="000D3D0C" w:rsidRDefault="004A0123" w:rsidP="008A5C11">
            <w:pPr>
              <w:jc w:val="center"/>
              <w:rPr>
                <w:color w:val="000000"/>
                <w:sz w:val="13"/>
                <w:szCs w:val="13"/>
              </w:rPr>
            </w:pPr>
            <w:r w:rsidRPr="000D3D0C">
              <w:rPr>
                <w:color w:val="000000"/>
                <w:sz w:val="13"/>
                <w:szCs w:val="13"/>
              </w:rPr>
              <w:t>2024</w:t>
            </w:r>
          </w:p>
        </w:tc>
        <w:tc>
          <w:tcPr>
            <w:tcW w:w="187" w:type="pct"/>
            <w:tcBorders>
              <w:top w:val="nil"/>
              <w:left w:val="nil"/>
              <w:bottom w:val="single" w:sz="4" w:space="0" w:color="auto"/>
              <w:right w:val="single" w:sz="4" w:space="0" w:color="auto"/>
            </w:tcBorders>
            <w:shd w:val="clear" w:color="auto" w:fill="auto"/>
            <w:vAlign w:val="center"/>
          </w:tcPr>
          <w:p w14:paraId="343EF3F2" w14:textId="77777777" w:rsidR="004A0123" w:rsidRPr="000D3D0C" w:rsidRDefault="004A0123" w:rsidP="008A5C11">
            <w:pPr>
              <w:jc w:val="center"/>
              <w:rPr>
                <w:color w:val="000000"/>
                <w:sz w:val="13"/>
                <w:szCs w:val="13"/>
              </w:rPr>
            </w:pPr>
            <w:r w:rsidRPr="000D3D0C">
              <w:rPr>
                <w:color w:val="000000"/>
                <w:sz w:val="13"/>
                <w:szCs w:val="13"/>
              </w:rPr>
              <w:t>17735</w:t>
            </w:r>
          </w:p>
        </w:tc>
        <w:tc>
          <w:tcPr>
            <w:tcW w:w="187" w:type="pct"/>
            <w:tcBorders>
              <w:top w:val="nil"/>
              <w:left w:val="nil"/>
              <w:bottom w:val="single" w:sz="4" w:space="0" w:color="auto"/>
              <w:right w:val="single" w:sz="4" w:space="0" w:color="auto"/>
            </w:tcBorders>
            <w:shd w:val="clear" w:color="auto" w:fill="auto"/>
            <w:vAlign w:val="center"/>
          </w:tcPr>
          <w:p w14:paraId="6E2148BA" w14:textId="77777777" w:rsidR="004A0123" w:rsidRPr="000D3D0C" w:rsidRDefault="004A0123" w:rsidP="008A5C11">
            <w:pPr>
              <w:jc w:val="center"/>
              <w:rPr>
                <w:sz w:val="13"/>
                <w:szCs w:val="13"/>
              </w:rPr>
            </w:pPr>
            <w:r w:rsidRPr="000D3D0C">
              <w:rPr>
                <w:sz w:val="13"/>
                <w:szCs w:val="13"/>
              </w:rPr>
              <w:t>0</w:t>
            </w:r>
          </w:p>
        </w:tc>
        <w:tc>
          <w:tcPr>
            <w:tcW w:w="146" w:type="pct"/>
            <w:tcBorders>
              <w:top w:val="nil"/>
              <w:left w:val="single" w:sz="4" w:space="0" w:color="auto"/>
              <w:bottom w:val="single" w:sz="4" w:space="0" w:color="auto"/>
              <w:right w:val="single" w:sz="4" w:space="0" w:color="auto"/>
            </w:tcBorders>
            <w:shd w:val="clear" w:color="auto" w:fill="auto"/>
            <w:vAlign w:val="center"/>
          </w:tcPr>
          <w:p w14:paraId="0DF00228" w14:textId="77777777" w:rsidR="004A0123" w:rsidRPr="000D3D0C" w:rsidRDefault="004A0123" w:rsidP="008A5C11">
            <w:pPr>
              <w:jc w:val="center"/>
              <w:rPr>
                <w:sz w:val="13"/>
                <w:szCs w:val="13"/>
              </w:rPr>
            </w:pPr>
            <w:r w:rsidRPr="000D3D0C">
              <w:rPr>
                <w:sz w:val="13"/>
                <w:szCs w:val="13"/>
              </w:rPr>
              <w:t>0</w:t>
            </w:r>
          </w:p>
        </w:tc>
        <w:tc>
          <w:tcPr>
            <w:tcW w:w="149" w:type="pct"/>
            <w:tcBorders>
              <w:top w:val="nil"/>
              <w:left w:val="nil"/>
              <w:bottom w:val="single" w:sz="4" w:space="0" w:color="auto"/>
              <w:right w:val="single" w:sz="4" w:space="0" w:color="auto"/>
            </w:tcBorders>
            <w:shd w:val="clear" w:color="auto" w:fill="auto"/>
            <w:vAlign w:val="center"/>
          </w:tcPr>
          <w:p w14:paraId="4B8F724D" w14:textId="77777777" w:rsidR="004A0123" w:rsidRPr="000D3D0C" w:rsidRDefault="004A0123" w:rsidP="008A5C11">
            <w:pPr>
              <w:jc w:val="center"/>
              <w:rPr>
                <w:sz w:val="13"/>
                <w:szCs w:val="13"/>
              </w:rPr>
            </w:pPr>
            <w:r w:rsidRPr="000D3D0C">
              <w:rPr>
                <w:sz w:val="13"/>
                <w:szCs w:val="13"/>
              </w:rPr>
              <w:t>0</w:t>
            </w:r>
          </w:p>
        </w:tc>
        <w:tc>
          <w:tcPr>
            <w:tcW w:w="182" w:type="pct"/>
            <w:tcBorders>
              <w:top w:val="nil"/>
              <w:left w:val="nil"/>
              <w:bottom w:val="single" w:sz="4" w:space="0" w:color="auto"/>
              <w:right w:val="single" w:sz="4" w:space="0" w:color="auto"/>
            </w:tcBorders>
            <w:shd w:val="clear" w:color="auto" w:fill="auto"/>
            <w:vAlign w:val="center"/>
          </w:tcPr>
          <w:p w14:paraId="5920CF89" w14:textId="77777777" w:rsidR="004A0123" w:rsidRPr="000D3D0C" w:rsidRDefault="004A0123" w:rsidP="008A5C11">
            <w:pPr>
              <w:jc w:val="center"/>
              <w:rPr>
                <w:sz w:val="13"/>
                <w:szCs w:val="13"/>
              </w:rPr>
            </w:pPr>
            <w:r w:rsidRPr="000D3D0C">
              <w:rPr>
                <w:sz w:val="13"/>
                <w:szCs w:val="13"/>
              </w:rPr>
              <w:t>7814</w:t>
            </w:r>
          </w:p>
        </w:tc>
        <w:tc>
          <w:tcPr>
            <w:tcW w:w="182" w:type="pct"/>
            <w:tcBorders>
              <w:top w:val="nil"/>
              <w:left w:val="nil"/>
              <w:bottom w:val="single" w:sz="4" w:space="0" w:color="auto"/>
              <w:right w:val="single" w:sz="4" w:space="0" w:color="auto"/>
            </w:tcBorders>
            <w:shd w:val="clear" w:color="auto" w:fill="auto"/>
            <w:vAlign w:val="center"/>
          </w:tcPr>
          <w:p w14:paraId="5AC69342" w14:textId="77777777" w:rsidR="004A0123" w:rsidRPr="000D3D0C" w:rsidRDefault="004A0123" w:rsidP="008A5C11">
            <w:pPr>
              <w:jc w:val="center"/>
              <w:rPr>
                <w:sz w:val="13"/>
                <w:szCs w:val="13"/>
              </w:rPr>
            </w:pPr>
            <w:r w:rsidRPr="000D3D0C">
              <w:rPr>
                <w:sz w:val="13"/>
                <w:szCs w:val="13"/>
              </w:rPr>
              <w:t>9921</w:t>
            </w:r>
          </w:p>
        </w:tc>
        <w:tc>
          <w:tcPr>
            <w:tcW w:w="154" w:type="pct"/>
            <w:tcBorders>
              <w:top w:val="single" w:sz="4" w:space="0" w:color="auto"/>
              <w:left w:val="single" w:sz="4" w:space="0" w:color="auto"/>
              <w:bottom w:val="single" w:sz="4" w:space="0" w:color="auto"/>
              <w:right w:val="single" w:sz="4" w:space="0" w:color="auto"/>
            </w:tcBorders>
            <w:vAlign w:val="center"/>
          </w:tcPr>
          <w:p w14:paraId="0F0C38AD" w14:textId="77777777" w:rsidR="004A0123" w:rsidRPr="000D3D0C" w:rsidRDefault="004A0123" w:rsidP="008A5C11">
            <w:pPr>
              <w:jc w:val="center"/>
              <w:rPr>
                <w:sz w:val="13"/>
                <w:szCs w:val="13"/>
              </w:rPr>
            </w:pPr>
            <w:r w:rsidRPr="000D3D0C">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62E6F553" w14:textId="77777777" w:rsidR="004A0123" w:rsidRPr="000D3D0C" w:rsidRDefault="004A0123" w:rsidP="008A5C11">
            <w:pPr>
              <w:jc w:val="center"/>
              <w:rPr>
                <w:sz w:val="13"/>
                <w:szCs w:val="13"/>
              </w:rPr>
            </w:pPr>
            <w:r w:rsidRPr="000D3D0C">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515E5EFF" w14:textId="77777777" w:rsidR="004A0123" w:rsidRPr="000D3D0C" w:rsidRDefault="004A0123" w:rsidP="008A5C11">
            <w:pPr>
              <w:jc w:val="center"/>
              <w:rPr>
                <w:sz w:val="13"/>
                <w:szCs w:val="13"/>
              </w:rPr>
            </w:pPr>
            <w:r w:rsidRPr="000D3D0C">
              <w:rPr>
                <w:sz w:val="13"/>
                <w:szCs w:val="13"/>
              </w:rPr>
              <w:t>0</w:t>
            </w:r>
          </w:p>
        </w:tc>
        <w:tc>
          <w:tcPr>
            <w:tcW w:w="173" w:type="pct"/>
            <w:tcBorders>
              <w:top w:val="single" w:sz="4" w:space="0" w:color="auto"/>
              <w:left w:val="single" w:sz="4" w:space="0" w:color="auto"/>
              <w:bottom w:val="single" w:sz="4" w:space="0" w:color="auto"/>
              <w:right w:val="single" w:sz="4" w:space="0" w:color="auto"/>
            </w:tcBorders>
            <w:vAlign w:val="center"/>
          </w:tcPr>
          <w:p w14:paraId="2C6F416B" w14:textId="77777777" w:rsidR="004A0123" w:rsidRPr="000D3D0C" w:rsidRDefault="004A0123" w:rsidP="008A5C11">
            <w:pPr>
              <w:jc w:val="center"/>
              <w:rPr>
                <w:sz w:val="13"/>
                <w:szCs w:val="13"/>
              </w:rPr>
            </w:pPr>
            <w:r w:rsidRPr="000D3D0C">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432D651C" w14:textId="77777777" w:rsidR="004A0123" w:rsidRPr="000D3D0C" w:rsidRDefault="004A0123" w:rsidP="008A5C11">
            <w:pPr>
              <w:jc w:val="center"/>
              <w:rPr>
                <w:sz w:val="13"/>
                <w:szCs w:val="13"/>
              </w:rPr>
            </w:pPr>
            <w:r w:rsidRPr="000D3D0C">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3F8CC8B3" w14:textId="77777777" w:rsidR="004A0123" w:rsidRPr="000D3D0C" w:rsidRDefault="004A0123" w:rsidP="008A5C11">
            <w:pPr>
              <w:jc w:val="center"/>
              <w:rPr>
                <w:sz w:val="13"/>
                <w:szCs w:val="13"/>
              </w:rPr>
            </w:pPr>
            <w:r w:rsidRPr="000D3D0C">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16FC5997" w14:textId="77777777" w:rsidR="004A0123" w:rsidRPr="000D3D0C" w:rsidRDefault="004A0123" w:rsidP="008A5C11">
            <w:pPr>
              <w:jc w:val="center"/>
              <w:rPr>
                <w:sz w:val="13"/>
                <w:szCs w:val="13"/>
              </w:rPr>
            </w:pPr>
            <w:r w:rsidRPr="000D3D0C">
              <w:rPr>
                <w:sz w:val="13"/>
                <w:szCs w:val="13"/>
              </w:rPr>
              <w:t>0</w:t>
            </w:r>
          </w:p>
        </w:tc>
        <w:tc>
          <w:tcPr>
            <w:tcW w:w="178" w:type="pct"/>
            <w:tcBorders>
              <w:top w:val="single" w:sz="4" w:space="0" w:color="auto"/>
              <w:left w:val="single" w:sz="4" w:space="0" w:color="auto"/>
              <w:bottom w:val="single" w:sz="4" w:space="0" w:color="auto"/>
              <w:right w:val="single" w:sz="4" w:space="0" w:color="auto"/>
            </w:tcBorders>
            <w:vAlign w:val="center"/>
          </w:tcPr>
          <w:p w14:paraId="6A05B22C" w14:textId="77777777" w:rsidR="004A0123" w:rsidRPr="000D3D0C" w:rsidRDefault="004A0123" w:rsidP="008A5C11">
            <w:pPr>
              <w:jc w:val="center"/>
              <w:rPr>
                <w:sz w:val="13"/>
                <w:szCs w:val="13"/>
              </w:rPr>
            </w:pPr>
            <w:r w:rsidRPr="000D3D0C">
              <w:rPr>
                <w:sz w:val="13"/>
                <w:szCs w:val="13"/>
              </w:rPr>
              <w:t>0</w:t>
            </w:r>
          </w:p>
        </w:tc>
      </w:tr>
      <w:tr w:rsidR="004A0123" w:rsidRPr="000D3D0C" w14:paraId="19A3D0F6" w14:textId="77777777" w:rsidTr="008A5C11">
        <w:trPr>
          <w:trHeight w:val="64"/>
        </w:trPr>
        <w:tc>
          <w:tcPr>
            <w:tcW w:w="148" w:type="pct"/>
            <w:tcBorders>
              <w:top w:val="single" w:sz="4" w:space="0" w:color="auto"/>
              <w:bottom w:val="single" w:sz="4" w:space="0" w:color="auto"/>
            </w:tcBorders>
            <w:shd w:val="clear" w:color="auto" w:fill="auto"/>
            <w:vAlign w:val="center"/>
          </w:tcPr>
          <w:p w14:paraId="162A10B7" w14:textId="77777777" w:rsidR="004A0123" w:rsidRPr="000D3D0C" w:rsidRDefault="004A0123" w:rsidP="008A5C11">
            <w:pPr>
              <w:jc w:val="center"/>
              <w:rPr>
                <w:sz w:val="13"/>
                <w:szCs w:val="13"/>
              </w:rPr>
            </w:pPr>
            <w:r w:rsidRPr="000D3D0C">
              <w:rPr>
                <w:sz w:val="13"/>
                <w:szCs w:val="13"/>
              </w:rPr>
              <w:t>3.2.10.</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14:paraId="66CFEA42" w14:textId="77777777" w:rsidR="004A0123" w:rsidRPr="000D3D0C" w:rsidRDefault="004A0123" w:rsidP="008A5C11">
            <w:pPr>
              <w:rPr>
                <w:color w:val="000000"/>
                <w:sz w:val="13"/>
                <w:szCs w:val="13"/>
              </w:rPr>
            </w:pPr>
            <w:r w:rsidRPr="000D3D0C">
              <w:rPr>
                <w:color w:val="000000"/>
                <w:sz w:val="13"/>
                <w:szCs w:val="13"/>
              </w:rPr>
              <w:t xml:space="preserve">Реконструкция ЦТП 1, ЦТП 3, ЦТП 4, ЦТП 5, ЦТП 6, ЦТП </w:t>
            </w:r>
            <w:proofErr w:type="gramStart"/>
            <w:r w:rsidRPr="000D3D0C">
              <w:rPr>
                <w:color w:val="000000"/>
                <w:sz w:val="13"/>
                <w:szCs w:val="13"/>
              </w:rPr>
              <w:t>7,  установка</w:t>
            </w:r>
            <w:proofErr w:type="gramEnd"/>
            <w:r w:rsidRPr="000D3D0C">
              <w:rPr>
                <w:color w:val="000000"/>
                <w:sz w:val="13"/>
                <w:szCs w:val="13"/>
              </w:rPr>
              <w:t xml:space="preserve"> системы ХВП, насосного оборудования, теплообменного оборудования, диспетчеризация и автоматизация (2022 - ЦТП 3)</w:t>
            </w:r>
          </w:p>
        </w:tc>
        <w:tc>
          <w:tcPr>
            <w:tcW w:w="359" w:type="pct"/>
            <w:tcBorders>
              <w:top w:val="single" w:sz="4" w:space="0" w:color="auto"/>
              <w:left w:val="nil"/>
              <w:bottom w:val="single" w:sz="4" w:space="0" w:color="auto"/>
              <w:right w:val="single" w:sz="4" w:space="0" w:color="auto"/>
            </w:tcBorders>
            <w:shd w:val="clear" w:color="auto" w:fill="auto"/>
            <w:vAlign w:val="center"/>
          </w:tcPr>
          <w:p w14:paraId="515AE581" w14:textId="77777777" w:rsidR="004A0123" w:rsidRPr="000D3D0C" w:rsidRDefault="004A0123" w:rsidP="008A5C11">
            <w:pPr>
              <w:jc w:val="center"/>
              <w:rPr>
                <w:color w:val="000000"/>
                <w:sz w:val="13"/>
                <w:szCs w:val="13"/>
              </w:rPr>
            </w:pPr>
            <w:r w:rsidRPr="000D3D0C">
              <w:rPr>
                <w:color w:val="000000"/>
                <w:sz w:val="13"/>
                <w:szCs w:val="13"/>
              </w:rPr>
              <w:t>Повышение надежности теплоснабжения</w:t>
            </w:r>
          </w:p>
        </w:tc>
        <w:tc>
          <w:tcPr>
            <w:tcW w:w="390" w:type="pct"/>
            <w:tcBorders>
              <w:top w:val="single" w:sz="4" w:space="0" w:color="auto"/>
              <w:left w:val="nil"/>
              <w:bottom w:val="single" w:sz="4" w:space="0" w:color="auto"/>
              <w:right w:val="single" w:sz="4" w:space="0" w:color="auto"/>
            </w:tcBorders>
            <w:shd w:val="clear" w:color="auto" w:fill="auto"/>
            <w:vAlign w:val="center"/>
          </w:tcPr>
          <w:p w14:paraId="2723658C" w14:textId="77777777" w:rsidR="004A0123" w:rsidRPr="000D3D0C" w:rsidRDefault="004A0123" w:rsidP="008A5C11">
            <w:pPr>
              <w:jc w:val="center"/>
              <w:rPr>
                <w:color w:val="000000"/>
                <w:sz w:val="13"/>
                <w:szCs w:val="13"/>
              </w:rPr>
            </w:pPr>
            <w:r w:rsidRPr="000D3D0C">
              <w:rPr>
                <w:color w:val="000000"/>
                <w:sz w:val="13"/>
                <w:szCs w:val="13"/>
              </w:rPr>
              <w:t xml:space="preserve">г. Тайга                     ул. Щетинкина, д.61, строение № </w:t>
            </w:r>
            <w:proofErr w:type="gramStart"/>
            <w:r w:rsidRPr="000D3D0C">
              <w:rPr>
                <w:color w:val="000000"/>
                <w:sz w:val="13"/>
                <w:szCs w:val="13"/>
              </w:rPr>
              <w:t xml:space="preserve">8;   </w:t>
            </w:r>
            <w:proofErr w:type="gramEnd"/>
            <w:r w:rsidRPr="000D3D0C">
              <w:rPr>
                <w:color w:val="000000"/>
                <w:sz w:val="13"/>
                <w:szCs w:val="13"/>
              </w:rPr>
              <w:t xml:space="preserve">                ул. Лермонтнова, д.20; </w:t>
            </w:r>
          </w:p>
          <w:p w14:paraId="13FB83FA" w14:textId="77777777" w:rsidR="004A0123" w:rsidRPr="000D3D0C" w:rsidRDefault="004A0123" w:rsidP="008A5C11">
            <w:pPr>
              <w:jc w:val="center"/>
              <w:rPr>
                <w:color w:val="000000"/>
                <w:sz w:val="13"/>
                <w:szCs w:val="13"/>
              </w:rPr>
            </w:pPr>
            <w:r w:rsidRPr="000D3D0C">
              <w:rPr>
                <w:color w:val="000000"/>
                <w:sz w:val="13"/>
                <w:szCs w:val="13"/>
              </w:rPr>
              <w:t>ул.40 лет Октября, д.38 а;</w:t>
            </w:r>
          </w:p>
          <w:p w14:paraId="3302D8AD" w14:textId="77777777" w:rsidR="004A0123" w:rsidRPr="000D3D0C" w:rsidRDefault="004A0123" w:rsidP="008A5C11">
            <w:pPr>
              <w:jc w:val="center"/>
              <w:rPr>
                <w:color w:val="000000"/>
                <w:sz w:val="13"/>
                <w:szCs w:val="13"/>
              </w:rPr>
            </w:pPr>
            <w:r w:rsidRPr="000D3D0C">
              <w:rPr>
                <w:color w:val="000000"/>
                <w:sz w:val="13"/>
                <w:szCs w:val="13"/>
              </w:rPr>
              <w:t xml:space="preserve">пр. Кирова, д. </w:t>
            </w:r>
            <w:proofErr w:type="gramStart"/>
            <w:r w:rsidRPr="000D3D0C">
              <w:rPr>
                <w:color w:val="000000"/>
                <w:sz w:val="13"/>
                <w:szCs w:val="13"/>
              </w:rPr>
              <w:t xml:space="preserve">9;   </w:t>
            </w:r>
            <w:proofErr w:type="gramEnd"/>
            <w:r w:rsidRPr="000D3D0C">
              <w:rPr>
                <w:color w:val="000000"/>
                <w:sz w:val="13"/>
                <w:szCs w:val="13"/>
              </w:rPr>
              <w:t xml:space="preserve">          ул. Октябрьская,д.2;                  ул. Мира, д. 2б</w:t>
            </w:r>
          </w:p>
        </w:tc>
        <w:tc>
          <w:tcPr>
            <w:tcW w:w="337" w:type="pct"/>
            <w:tcBorders>
              <w:top w:val="single" w:sz="4" w:space="0" w:color="auto"/>
              <w:left w:val="nil"/>
              <w:bottom w:val="single" w:sz="4" w:space="0" w:color="auto"/>
              <w:right w:val="single" w:sz="4" w:space="0" w:color="auto"/>
            </w:tcBorders>
            <w:shd w:val="clear" w:color="auto" w:fill="auto"/>
            <w:vAlign w:val="center"/>
          </w:tcPr>
          <w:p w14:paraId="0F3F29EF" w14:textId="77777777" w:rsidR="004A0123" w:rsidRPr="000D3D0C" w:rsidRDefault="004A0123" w:rsidP="008A5C11">
            <w:pPr>
              <w:jc w:val="center"/>
              <w:rPr>
                <w:color w:val="000000"/>
                <w:sz w:val="13"/>
                <w:szCs w:val="13"/>
              </w:rPr>
            </w:pPr>
            <w:r w:rsidRPr="000D3D0C">
              <w:rPr>
                <w:color w:val="000000"/>
                <w:sz w:val="13"/>
                <w:szCs w:val="13"/>
              </w:rPr>
              <w:t>Количество</w:t>
            </w:r>
          </w:p>
        </w:tc>
        <w:tc>
          <w:tcPr>
            <w:tcW w:w="116" w:type="pct"/>
            <w:tcBorders>
              <w:top w:val="single" w:sz="4" w:space="0" w:color="auto"/>
              <w:left w:val="nil"/>
              <w:bottom w:val="single" w:sz="4" w:space="0" w:color="auto"/>
              <w:right w:val="single" w:sz="4" w:space="0" w:color="auto"/>
            </w:tcBorders>
            <w:shd w:val="clear" w:color="auto" w:fill="auto"/>
            <w:vAlign w:val="center"/>
          </w:tcPr>
          <w:p w14:paraId="05387B70" w14:textId="77777777" w:rsidR="004A0123" w:rsidRPr="000D3D0C" w:rsidRDefault="004A0123" w:rsidP="008A5C11">
            <w:pPr>
              <w:jc w:val="center"/>
              <w:rPr>
                <w:color w:val="000000"/>
                <w:sz w:val="13"/>
                <w:szCs w:val="13"/>
              </w:rPr>
            </w:pPr>
            <w:r w:rsidRPr="000D3D0C">
              <w:rPr>
                <w:color w:val="000000"/>
                <w:sz w:val="13"/>
                <w:szCs w:val="13"/>
              </w:rPr>
              <w:t>ед.</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62E42159" w14:textId="77777777" w:rsidR="004A0123" w:rsidRPr="000D3D0C" w:rsidRDefault="004A0123" w:rsidP="008A5C11">
            <w:pPr>
              <w:jc w:val="center"/>
              <w:rPr>
                <w:color w:val="000000"/>
                <w:sz w:val="13"/>
                <w:szCs w:val="13"/>
              </w:rPr>
            </w:pPr>
            <w:r w:rsidRPr="000D3D0C">
              <w:rPr>
                <w:color w:val="000000"/>
                <w:sz w:val="13"/>
                <w:szCs w:val="13"/>
              </w:rPr>
              <w:t>0</w:t>
            </w:r>
          </w:p>
        </w:tc>
        <w:tc>
          <w:tcPr>
            <w:tcW w:w="177" w:type="pct"/>
            <w:tcBorders>
              <w:top w:val="single" w:sz="4" w:space="0" w:color="auto"/>
              <w:left w:val="nil"/>
              <w:bottom w:val="single" w:sz="4" w:space="0" w:color="auto"/>
              <w:right w:val="single" w:sz="4" w:space="0" w:color="auto"/>
            </w:tcBorders>
            <w:shd w:val="clear" w:color="auto" w:fill="auto"/>
            <w:vAlign w:val="center"/>
          </w:tcPr>
          <w:p w14:paraId="64E02CDF" w14:textId="77777777" w:rsidR="004A0123" w:rsidRPr="000D3D0C" w:rsidRDefault="004A0123" w:rsidP="008A5C11">
            <w:pPr>
              <w:jc w:val="center"/>
              <w:rPr>
                <w:color w:val="000000"/>
                <w:sz w:val="13"/>
                <w:szCs w:val="13"/>
              </w:rPr>
            </w:pPr>
            <w:r w:rsidRPr="000D3D0C">
              <w:rPr>
                <w:color w:val="000000"/>
                <w:sz w:val="13"/>
                <w:szCs w:val="13"/>
              </w:rPr>
              <w:t>6</w:t>
            </w:r>
          </w:p>
        </w:tc>
        <w:tc>
          <w:tcPr>
            <w:tcW w:w="188" w:type="pct"/>
            <w:tcBorders>
              <w:top w:val="single" w:sz="4" w:space="0" w:color="auto"/>
              <w:left w:val="nil"/>
              <w:bottom w:val="single" w:sz="4" w:space="0" w:color="auto"/>
              <w:right w:val="single" w:sz="4" w:space="0" w:color="auto"/>
            </w:tcBorders>
            <w:shd w:val="clear" w:color="auto" w:fill="auto"/>
            <w:vAlign w:val="center"/>
          </w:tcPr>
          <w:p w14:paraId="0726432D" w14:textId="77777777" w:rsidR="004A0123" w:rsidRPr="000D3D0C" w:rsidRDefault="004A0123" w:rsidP="008A5C11">
            <w:pPr>
              <w:jc w:val="center"/>
              <w:rPr>
                <w:color w:val="000000"/>
                <w:sz w:val="13"/>
                <w:szCs w:val="13"/>
              </w:rPr>
            </w:pPr>
            <w:r w:rsidRPr="000D3D0C">
              <w:rPr>
                <w:color w:val="000000"/>
                <w:sz w:val="13"/>
                <w:szCs w:val="13"/>
              </w:rPr>
              <w:t>2022</w:t>
            </w:r>
          </w:p>
        </w:tc>
        <w:tc>
          <w:tcPr>
            <w:tcW w:w="187" w:type="pct"/>
            <w:tcBorders>
              <w:top w:val="single" w:sz="4" w:space="0" w:color="auto"/>
              <w:left w:val="nil"/>
              <w:bottom w:val="single" w:sz="4" w:space="0" w:color="auto"/>
              <w:right w:val="single" w:sz="4" w:space="0" w:color="auto"/>
            </w:tcBorders>
            <w:shd w:val="clear" w:color="auto" w:fill="auto"/>
            <w:vAlign w:val="center"/>
          </w:tcPr>
          <w:p w14:paraId="61EBD8DB" w14:textId="77777777" w:rsidR="004A0123" w:rsidRPr="000D3D0C" w:rsidRDefault="004A0123" w:rsidP="008A5C11">
            <w:pPr>
              <w:jc w:val="center"/>
              <w:rPr>
                <w:color w:val="000000"/>
                <w:sz w:val="13"/>
                <w:szCs w:val="13"/>
              </w:rPr>
            </w:pPr>
            <w:r w:rsidRPr="000D3D0C">
              <w:rPr>
                <w:color w:val="000000"/>
                <w:sz w:val="13"/>
                <w:szCs w:val="13"/>
              </w:rPr>
              <w:t>2027</w:t>
            </w:r>
          </w:p>
        </w:tc>
        <w:tc>
          <w:tcPr>
            <w:tcW w:w="187" w:type="pct"/>
            <w:tcBorders>
              <w:top w:val="single" w:sz="4" w:space="0" w:color="auto"/>
              <w:left w:val="nil"/>
              <w:bottom w:val="single" w:sz="4" w:space="0" w:color="auto"/>
              <w:right w:val="single" w:sz="4" w:space="0" w:color="auto"/>
            </w:tcBorders>
            <w:shd w:val="clear" w:color="auto" w:fill="auto"/>
            <w:vAlign w:val="center"/>
          </w:tcPr>
          <w:p w14:paraId="2FEB3CA6" w14:textId="77777777" w:rsidR="004A0123" w:rsidRPr="000D3D0C" w:rsidRDefault="004A0123" w:rsidP="008A5C11">
            <w:pPr>
              <w:jc w:val="center"/>
              <w:rPr>
                <w:color w:val="000000"/>
                <w:sz w:val="13"/>
                <w:szCs w:val="13"/>
              </w:rPr>
            </w:pPr>
            <w:r w:rsidRPr="000D3D0C">
              <w:rPr>
                <w:color w:val="000000"/>
                <w:sz w:val="13"/>
                <w:szCs w:val="13"/>
              </w:rPr>
              <w:t>106900</w:t>
            </w:r>
          </w:p>
        </w:tc>
        <w:tc>
          <w:tcPr>
            <w:tcW w:w="187" w:type="pct"/>
            <w:tcBorders>
              <w:top w:val="single" w:sz="4" w:space="0" w:color="auto"/>
              <w:left w:val="nil"/>
              <w:bottom w:val="single" w:sz="4" w:space="0" w:color="auto"/>
              <w:right w:val="single" w:sz="4" w:space="0" w:color="auto"/>
            </w:tcBorders>
            <w:shd w:val="clear" w:color="auto" w:fill="auto"/>
            <w:vAlign w:val="center"/>
          </w:tcPr>
          <w:p w14:paraId="6E828624" w14:textId="77777777" w:rsidR="004A0123" w:rsidRPr="000D3D0C" w:rsidRDefault="004A0123" w:rsidP="008A5C11">
            <w:pPr>
              <w:jc w:val="center"/>
              <w:rPr>
                <w:sz w:val="13"/>
                <w:szCs w:val="13"/>
              </w:rPr>
            </w:pPr>
            <w:r w:rsidRPr="000D3D0C">
              <w:rPr>
                <w:sz w:val="13"/>
                <w:szCs w:val="13"/>
              </w:rPr>
              <w:t>0</w:t>
            </w:r>
          </w:p>
        </w:tc>
        <w:tc>
          <w:tcPr>
            <w:tcW w:w="146" w:type="pct"/>
            <w:tcBorders>
              <w:top w:val="single" w:sz="4" w:space="0" w:color="auto"/>
              <w:left w:val="single" w:sz="4" w:space="0" w:color="auto"/>
              <w:bottom w:val="single" w:sz="4" w:space="0" w:color="auto"/>
              <w:right w:val="single" w:sz="4" w:space="0" w:color="auto"/>
            </w:tcBorders>
            <w:shd w:val="clear" w:color="auto" w:fill="auto"/>
            <w:vAlign w:val="center"/>
          </w:tcPr>
          <w:p w14:paraId="20610B1E" w14:textId="77777777" w:rsidR="004A0123" w:rsidRPr="000D3D0C" w:rsidRDefault="004A0123" w:rsidP="008A5C11">
            <w:pPr>
              <w:jc w:val="center"/>
              <w:rPr>
                <w:sz w:val="13"/>
                <w:szCs w:val="13"/>
              </w:rPr>
            </w:pPr>
            <w:r w:rsidRPr="000D3D0C">
              <w:rPr>
                <w:sz w:val="13"/>
                <w:szCs w:val="13"/>
              </w:rPr>
              <w:t>0</w:t>
            </w:r>
          </w:p>
        </w:tc>
        <w:tc>
          <w:tcPr>
            <w:tcW w:w="149" w:type="pct"/>
            <w:tcBorders>
              <w:top w:val="single" w:sz="4" w:space="0" w:color="auto"/>
              <w:left w:val="nil"/>
              <w:bottom w:val="single" w:sz="4" w:space="0" w:color="auto"/>
              <w:right w:val="single" w:sz="4" w:space="0" w:color="auto"/>
            </w:tcBorders>
            <w:shd w:val="clear" w:color="auto" w:fill="auto"/>
            <w:vAlign w:val="center"/>
          </w:tcPr>
          <w:p w14:paraId="45F43113" w14:textId="77777777" w:rsidR="004A0123" w:rsidRPr="000D3D0C" w:rsidRDefault="004A0123" w:rsidP="008A5C11">
            <w:pPr>
              <w:jc w:val="center"/>
              <w:rPr>
                <w:sz w:val="13"/>
                <w:szCs w:val="13"/>
              </w:rPr>
            </w:pPr>
            <w:r w:rsidRPr="000D3D0C">
              <w:rPr>
                <w:sz w:val="13"/>
                <w:szCs w:val="13"/>
              </w:rPr>
              <w:t>15055</w:t>
            </w:r>
          </w:p>
        </w:tc>
        <w:tc>
          <w:tcPr>
            <w:tcW w:w="182" w:type="pct"/>
            <w:tcBorders>
              <w:top w:val="single" w:sz="4" w:space="0" w:color="auto"/>
              <w:left w:val="nil"/>
              <w:bottom w:val="single" w:sz="4" w:space="0" w:color="auto"/>
              <w:right w:val="single" w:sz="4" w:space="0" w:color="auto"/>
            </w:tcBorders>
            <w:shd w:val="clear" w:color="auto" w:fill="auto"/>
            <w:vAlign w:val="center"/>
          </w:tcPr>
          <w:p w14:paraId="440B8210" w14:textId="77777777" w:rsidR="004A0123" w:rsidRPr="000D3D0C" w:rsidRDefault="004A0123" w:rsidP="008A5C11">
            <w:pPr>
              <w:jc w:val="center"/>
              <w:rPr>
                <w:sz w:val="13"/>
                <w:szCs w:val="13"/>
              </w:rPr>
            </w:pPr>
            <w:r w:rsidRPr="000D3D0C">
              <w:rPr>
                <w:sz w:val="13"/>
                <w:szCs w:val="13"/>
              </w:rPr>
              <w:t>0</w:t>
            </w:r>
          </w:p>
        </w:tc>
        <w:tc>
          <w:tcPr>
            <w:tcW w:w="182" w:type="pct"/>
            <w:tcBorders>
              <w:top w:val="single" w:sz="4" w:space="0" w:color="auto"/>
              <w:left w:val="nil"/>
              <w:bottom w:val="single" w:sz="4" w:space="0" w:color="auto"/>
              <w:right w:val="single" w:sz="4" w:space="0" w:color="auto"/>
            </w:tcBorders>
            <w:shd w:val="clear" w:color="auto" w:fill="auto"/>
            <w:vAlign w:val="center"/>
          </w:tcPr>
          <w:p w14:paraId="088989B1" w14:textId="77777777" w:rsidR="004A0123" w:rsidRPr="000D3D0C" w:rsidRDefault="004A0123" w:rsidP="008A5C11">
            <w:pPr>
              <w:jc w:val="center"/>
              <w:rPr>
                <w:sz w:val="13"/>
                <w:szCs w:val="13"/>
              </w:rPr>
            </w:pPr>
            <w:r w:rsidRPr="000D3D0C">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1F73F1AB" w14:textId="77777777" w:rsidR="004A0123" w:rsidRPr="000D3D0C" w:rsidRDefault="004A0123" w:rsidP="008A5C11">
            <w:pPr>
              <w:jc w:val="center"/>
              <w:rPr>
                <w:sz w:val="13"/>
                <w:szCs w:val="13"/>
              </w:rPr>
            </w:pPr>
            <w:r w:rsidRPr="000D3D0C">
              <w:rPr>
                <w:sz w:val="13"/>
                <w:szCs w:val="13"/>
              </w:rPr>
              <w:t>17305</w:t>
            </w:r>
          </w:p>
        </w:tc>
        <w:tc>
          <w:tcPr>
            <w:tcW w:w="154" w:type="pct"/>
            <w:tcBorders>
              <w:top w:val="single" w:sz="4" w:space="0" w:color="auto"/>
              <w:left w:val="single" w:sz="4" w:space="0" w:color="auto"/>
              <w:bottom w:val="single" w:sz="4" w:space="0" w:color="auto"/>
              <w:right w:val="single" w:sz="4" w:space="0" w:color="auto"/>
            </w:tcBorders>
            <w:vAlign w:val="center"/>
          </w:tcPr>
          <w:p w14:paraId="3E0AE099" w14:textId="77777777" w:rsidR="004A0123" w:rsidRPr="000D3D0C" w:rsidRDefault="004A0123" w:rsidP="008A5C11">
            <w:pPr>
              <w:jc w:val="center"/>
              <w:rPr>
                <w:sz w:val="13"/>
                <w:szCs w:val="13"/>
              </w:rPr>
            </w:pPr>
            <w:r w:rsidRPr="000D3D0C">
              <w:rPr>
                <w:sz w:val="13"/>
                <w:szCs w:val="13"/>
              </w:rPr>
              <w:t>23471</w:t>
            </w:r>
          </w:p>
        </w:tc>
        <w:tc>
          <w:tcPr>
            <w:tcW w:w="156" w:type="pct"/>
            <w:tcBorders>
              <w:top w:val="single" w:sz="4" w:space="0" w:color="auto"/>
              <w:left w:val="single" w:sz="4" w:space="0" w:color="auto"/>
              <w:bottom w:val="single" w:sz="4" w:space="0" w:color="auto"/>
              <w:right w:val="single" w:sz="4" w:space="0" w:color="auto"/>
            </w:tcBorders>
            <w:vAlign w:val="center"/>
          </w:tcPr>
          <w:p w14:paraId="42571F41" w14:textId="77777777" w:rsidR="004A0123" w:rsidRPr="000D3D0C" w:rsidRDefault="004A0123" w:rsidP="008A5C11">
            <w:pPr>
              <w:jc w:val="center"/>
              <w:rPr>
                <w:sz w:val="13"/>
                <w:szCs w:val="13"/>
              </w:rPr>
            </w:pPr>
            <w:r w:rsidRPr="000D3D0C">
              <w:rPr>
                <w:sz w:val="13"/>
                <w:szCs w:val="13"/>
              </w:rPr>
              <w:t>51069</w:t>
            </w:r>
          </w:p>
        </w:tc>
        <w:tc>
          <w:tcPr>
            <w:tcW w:w="173" w:type="pct"/>
            <w:tcBorders>
              <w:top w:val="single" w:sz="4" w:space="0" w:color="auto"/>
              <w:left w:val="single" w:sz="4" w:space="0" w:color="auto"/>
              <w:bottom w:val="single" w:sz="4" w:space="0" w:color="auto"/>
              <w:right w:val="single" w:sz="4" w:space="0" w:color="auto"/>
            </w:tcBorders>
            <w:vAlign w:val="center"/>
          </w:tcPr>
          <w:p w14:paraId="2356DA01" w14:textId="77777777" w:rsidR="004A0123" w:rsidRPr="000D3D0C" w:rsidRDefault="004A0123" w:rsidP="008A5C11">
            <w:pPr>
              <w:jc w:val="center"/>
              <w:rPr>
                <w:sz w:val="13"/>
                <w:szCs w:val="13"/>
              </w:rPr>
            </w:pPr>
            <w:r w:rsidRPr="000D3D0C">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55F62696" w14:textId="77777777" w:rsidR="004A0123" w:rsidRPr="000D3D0C" w:rsidRDefault="004A0123" w:rsidP="008A5C11">
            <w:pPr>
              <w:jc w:val="center"/>
              <w:rPr>
                <w:sz w:val="13"/>
                <w:szCs w:val="13"/>
              </w:rPr>
            </w:pPr>
            <w:r w:rsidRPr="000D3D0C">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5F333A9B" w14:textId="77777777" w:rsidR="004A0123" w:rsidRPr="000D3D0C" w:rsidRDefault="004A0123" w:rsidP="008A5C11">
            <w:pPr>
              <w:jc w:val="center"/>
              <w:rPr>
                <w:sz w:val="13"/>
                <w:szCs w:val="13"/>
              </w:rPr>
            </w:pPr>
            <w:r w:rsidRPr="000D3D0C">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4B5C3EA6" w14:textId="77777777" w:rsidR="004A0123" w:rsidRPr="000D3D0C" w:rsidRDefault="004A0123" w:rsidP="008A5C11">
            <w:pPr>
              <w:jc w:val="center"/>
              <w:rPr>
                <w:sz w:val="13"/>
                <w:szCs w:val="13"/>
              </w:rPr>
            </w:pPr>
            <w:r w:rsidRPr="000D3D0C">
              <w:rPr>
                <w:sz w:val="13"/>
                <w:szCs w:val="13"/>
              </w:rPr>
              <w:t>0</w:t>
            </w:r>
          </w:p>
        </w:tc>
        <w:tc>
          <w:tcPr>
            <w:tcW w:w="178" w:type="pct"/>
            <w:tcBorders>
              <w:top w:val="single" w:sz="4" w:space="0" w:color="auto"/>
              <w:left w:val="single" w:sz="4" w:space="0" w:color="auto"/>
              <w:bottom w:val="single" w:sz="4" w:space="0" w:color="auto"/>
              <w:right w:val="single" w:sz="4" w:space="0" w:color="auto"/>
            </w:tcBorders>
            <w:vAlign w:val="center"/>
          </w:tcPr>
          <w:p w14:paraId="2CDC4730" w14:textId="77777777" w:rsidR="004A0123" w:rsidRPr="000D3D0C" w:rsidRDefault="004A0123" w:rsidP="008A5C11">
            <w:pPr>
              <w:jc w:val="center"/>
              <w:rPr>
                <w:sz w:val="13"/>
                <w:szCs w:val="13"/>
              </w:rPr>
            </w:pPr>
            <w:r w:rsidRPr="000D3D0C">
              <w:rPr>
                <w:sz w:val="13"/>
                <w:szCs w:val="13"/>
              </w:rPr>
              <w:t>0</w:t>
            </w:r>
          </w:p>
        </w:tc>
      </w:tr>
      <w:tr w:rsidR="004A0123" w:rsidRPr="000D3D0C" w14:paraId="0197B30B" w14:textId="77777777" w:rsidTr="008A5C11">
        <w:trPr>
          <w:trHeight w:val="489"/>
        </w:trPr>
        <w:tc>
          <w:tcPr>
            <w:tcW w:w="148" w:type="pct"/>
            <w:tcBorders>
              <w:top w:val="single" w:sz="4" w:space="0" w:color="auto"/>
              <w:left w:val="single" w:sz="4" w:space="0" w:color="auto"/>
              <w:bottom w:val="single" w:sz="4" w:space="0" w:color="auto"/>
              <w:right w:val="single" w:sz="4" w:space="0" w:color="auto"/>
            </w:tcBorders>
            <w:shd w:val="clear" w:color="auto" w:fill="auto"/>
            <w:vAlign w:val="center"/>
          </w:tcPr>
          <w:p w14:paraId="3C941CA6" w14:textId="77777777" w:rsidR="004A0123" w:rsidRPr="000D3D0C" w:rsidRDefault="004A0123" w:rsidP="008A5C11">
            <w:pPr>
              <w:jc w:val="center"/>
              <w:rPr>
                <w:sz w:val="13"/>
                <w:szCs w:val="13"/>
              </w:rPr>
            </w:pPr>
            <w:r w:rsidRPr="000D3D0C">
              <w:rPr>
                <w:sz w:val="13"/>
                <w:szCs w:val="13"/>
              </w:rPr>
              <w:t>3.2.11.</w:t>
            </w:r>
          </w:p>
        </w:tc>
        <w:tc>
          <w:tcPr>
            <w:tcW w:w="585" w:type="pct"/>
            <w:tcBorders>
              <w:top w:val="nil"/>
              <w:left w:val="single" w:sz="4" w:space="0" w:color="auto"/>
              <w:bottom w:val="single" w:sz="4" w:space="0" w:color="auto"/>
              <w:right w:val="single" w:sz="4" w:space="0" w:color="auto"/>
            </w:tcBorders>
            <w:shd w:val="clear" w:color="auto" w:fill="auto"/>
            <w:vAlign w:val="center"/>
          </w:tcPr>
          <w:p w14:paraId="191BD763" w14:textId="77777777" w:rsidR="004A0123" w:rsidRPr="000D3D0C" w:rsidRDefault="004A0123" w:rsidP="008A5C11">
            <w:pPr>
              <w:rPr>
                <w:color w:val="000000"/>
                <w:sz w:val="13"/>
                <w:szCs w:val="13"/>
              </w:rPr>
            </w:pPr>
            <w:r w:rsidRPr="000D3D0C">
              <w:rPr>
                <w:color w:val="000000"/>
                <w:sz w:val="13"/>
                <w:szCs w:val="13"/>
              </w:rPr>
              <w:t>Установка приборов учета на              ЦТП 1, ЦТП 3, ЦТП 4, ЦТП 5, ЦТП 6, ЦТП 7.</w:t>
            </w:r>
          </w:p>
        </w:tc>
        <w:tc>
          <w:tcPr>
            <w:tcW w:w="359" w:type="pct"/>
            <w:tcBorders>
              <w:top w:val="nil"/>
              <w:left w:val="nil"/>
              <w:bottom w:val="single" w:sz="4" w:space="0" w:color="auto"/>
              <w:right w:val="single" w:sz="4" w:space="0" w:color="auto"/>
            </w:tcBorders>
            <w:shd w:val="clear" w:color="auto" w:fill="auto"/>
            <w:vAlign w:val="center"/>
          </w:tcPr>
          <w:p w14:paraId="5C22A497" w14:textId="77777777" w:rsidR="004A0123" w:rsidRPr="000D3D0C" w:rsidRDefault="004A0123" w:rsidP="008A5C11">
            <w:pPr>
              <w:jc w:val="center"/>
              <w:rPr>
                <w:color w:val="000000"/>
                <w:sz w:val="13"/>
                <w:szCs w:val="13"/>
              </w:rPr>
            </w:pPr>
            <w:r w:rsidRPr="000D3D0C">
              <w:rPr>
                <w:color w:val="000000"/>
                <w:sz w:val="13"/>
                <w:szCs w:val="13"/>
              </w:rPr>
              <w:t>Повышение надежности теплоснабжения</w:t>
            </w:r>
          </w:p>
        </w:tc>
        <w:tc>
          <w:tcPr>
            <w:tcW w:w="390" w:type="pct"/>
            <w:tcBorders>
              <w:top w:val="nil"/>
              <w:left w:val="nil"/>
              <w:bottom w:val="single" w:sz="4" w:space="0" w:color="auto"/>
              <w:right w:val="single" w:sz="4" w:space="0" w:color="auto"/>
            </w:tcBorders>
            <w:shd w:val="clear" w:color="auto" w:fill="auto"/>
            <w:vAlign w:val="center"/>
          </w:tcPr>
          <w:p w14:paraId="38111477" w14:textId="77777777" w:rsidR="004A0123" w:rsidRPr="000D3D0C" w:rsidRDefault="004A0123" w:rsidP="008A5C11">
            <w:pPr>
              <w:jc w:val="center"/>
              <w:rPr>
                <w:color w:val="000000"/>
                <w:sz w:val="13"/>
                <w:szCs w:val="13"/>
              </w:rPr>
            </w:pPr>
            <w:r w:rsidRPr="000D3D0C">
              <w:rPr>
                <w:color w:val="000000"/>
                <w:sz w:val="13"/>
                <w:szCs w:val="13"/>
              </w:rPr>
              <w:t xml:space="preserve">г. Тайга                     ул. Щетинкина, д.61, строение № </w:t>
            </w:r>
            <w:proofErr w:type="gramStart"/>
            <w:r w:rsidRPr="000D3D0C">
              <w:rPr>
                <w:color w:val="000000"/>
                <w:sz w:val="13"/>
                <w:szCs w:val="13"/>
              </w:rPr>
              <w:t xml:space="preserve">8;   </w:t>
            </w:r>
            <w:proofErr w:type="gramEnd"/>
            <w:r w:rsidRPr="000D3D0C">
              <w:rPr>
                <w:color w:val="000000"/>
                <w:sz w:val="13"/>
                <w:szCs w:val="13"/>
              </w:rPr>
              <w:t xml:space="preserve">                ул. Лермонтнова, д.20; </w:t>
            </w:r>
          </w:p>
          <w:p w14:paraId="024AEA62" w14:textId="77777777" w:rsidR="004A0123" w:rsidRPr="000D3D0C" w:rsidRDefault="004A0123" w:rsidP="008A5C11">
            <w:pPr>
              <w:jc w:val="center"/>
              <w:rPr>
                <w:color w:val="000000"/>
                <w:sz w:val="13"/>
                <w:szCs w:val="13"/>
              </w:rPr>
            </w:pPr>
            <w:r w:rsidRPr="000D3D0C">
              <w:rPr>
                <w:color w:val="000000"/>
                <w:sz w:val="13"/>
                <w:szCs w:val="13"/>
              </w:rPr>
              <w:t>ул.40 лет Октября, д.38 а;</w:t>
            </w:r>
          </w:p>
          <w:p w14:paraId="0F0E5A37" w14:textId="77777777" w:rsidR="004A0123" w:rsidRPr="000D3D0C" w:rsidRDefault="004A0123" w:rsidP="008A5C11">
            <w:pPr>
              <w:jc w:val="center"/>
              <w:rPr>
                <w:color w:val="000000"/>
                <w:sz w:val="13"/>
                <w:szCs w:val="13"/>
              </w:rPr>
            </w:pPr>
            <w:r w:rsidRPr="000D3D0C">
              <w:rPr>
                <w:color w:val="000000"/>
                <w:sz w:val="13"/>
                <w:szCs w:val="13"/>
              </w:rPr>
              <w:t xml:space="preserve">пр. Кирова, д. </w:t>
            </w:r>
            <w:proofErr w:type="gramStart"/>
            <w:r w:rsidRPr="000D3D0C">
              <w:rPr>
                <w:color w:val="000000"/>
                <w:sz w:val="13"/>
                <w:szCs w:val="13"/>
              </w:rPr>
              <w:t xml:space="preserve">9;   </w:t>
            </w:r>
            <w:proofErr w:type="gramEnd"/>
            <w:r w:rsidRPr="000D3D0C">
              <w:rPr>
                <w:color w:val="000000"/>
                <w:sz w:val="13"/>
                <w:szCs w:val="13"/>
              </w:rPr>
              <w:t xml:space="preserve">          ул. Октябрьская,д.2;                  ул. Мира, д. 2б</w:t>
            </w:r>
          </w:p>
        </w:tc>
        <w:tc>
          <w:tcPr>
            <w:tcW w:w="337" w:type="pct"/>
            <w:tcBorders>
              <w:top w:val="nil"/>
              <w:left w:val="nil"/>
              <w:bottom w:val="single" w:sz="4" w:space="0" w:color="auto"/>
              <w:right w:val="single" w:sz="4" w:space="0" w:color="auto"/>
            </w:tcBorders>
            <w:shd w:val="clear" w:color="auto" w:fill="auto"/>
            <w:vAlign w:val="center"/>
          </w:tcPr>
          <w:p w14:paraId="34A7B4B1" w14:textId="77777777" w:rsidR="004A0123" w:rsidRPr="000D3D0C" w:rsidRDefault="004A0123" w:rsidP="008A5C11">
            <w:pPr>
              <w:jc w:val="center"/>
              <w:rPr>
                <w:color w:val="000000"/>
                <w:sz w:val="13"/>
                <w:szCs w:val="13"/>
              </w:rPr>
            </w:pPr>
            <w:r w:rsidRPr="000D3D0C">
              <w:rPr>
                <w:color w:val="000000"/>
                <w:sz w:val="13"/>
                <w:szCs w:val="13"/>
              </w:rPr>
              <w:t>Количество</w:t>
            </w:r>
          </w:p>
        </w:tc>
        <w:tc>
          <w:tcPr>
            <w:tcW w:w="116" w:type="pct"/>
            <w:tcBorders>
              <w:top w:val="nil"/>
              <w:left w:val="nil"/>
              <w:bottom w:val="single" w:sz="4" w:space="0" w:color="auto"/>
              <w:right w:val="single" w:sz="4" w:space="0" w:color="auto"/>
            </w:tcBorders>
            <w:shd w:val="clear" w:color="auto" w:fill="auto"/>
            <w:vAlign w:val="center"/>
          </w:tcPr>
          <w:p w14:paraId="20CBCA70" w14:textId="77777777" w:rsidR="004A0123" w:rsidRPr="000D3D0C" w:rsidRDefault="004A0123" w:rsidP="008A5C11">
            <w:pPr>
              <w:jc w:val="center"/>
              <w:rPr>
                <w:color w:val="000000"/>
                <w:sz w:val="13"/>
                <w:szCs w:val="13"/>
              </w:rPr>
            </w:pPr>
            <w:r w:rsidRPr="000D3D0C">
              <w:rPr>
                <w:color w:val="000000"/>
                <w:sz w:val="13"/>
                <w:szCs w:val="13"/>
              </w:rPr>
              <w:t>ед.</w:t>
            </w:r>
          </w:p>
        </w:tc>
        <w:tc>
          <w:tcPr>
            <w:tcW w:w="181" w:type="pct"/>
            <w:tcBorders>
              <w:top w:val="nil"/>
              <w:left w:val="single" w:sz="4" w:space="0" w:color="auto"/>
              <w:bottom w:val="single" w:sz="4" w:space="0" w:color="auto"/>
              <w:right w:val="single" w:sz="4" w:space="0" w:color="auto"/>
            </w:tcBorders>
            <w:shd w:val="clear" w:color="auto" w:fill="auto"/>
            <w:vAlign w:val="center"/>
          </w:tcPr>
          <w:p w14:paraId="4521DFE3" w14:textId="77777777" w:rsidR="004A0123" w:rsidRPr="000D3D0C" w:rsidRDefault="004A0123" w:rsidP="008A5C11">
            <w:pPr>
              <w:jc w:val="center"/>
              <w:rPr>
                <w:color w:val="000000"/>
                <w:sz w:val="13"/>
                <w:szCs w:val="13"/>
              </w:rPr>
            </w:pPr>
            <w:r w:rsidRPr="000D3D0C">
              <w:rPr>
                <w:color w:val="000000"/>
                <w:sz w:val="13"/>
                <w:szCs w:val="13"/>
              </w:rPr>
              <w:t>0</w:t>
            </w:r>
          </w:p>
        </w:tc>
        <w:tc>
          <w:tcPr>
            <w:tcW w:w="177" w:type="pct"/>
            <w:tcBorders>
              <w:top w:val="nil"/>
              <w:left w:val="nil"/>
              <w:bottom w:val="single" w:sz="4" w:space="0" w:color="auto"/>
              <w:right w:val="single" w:sz="4" w:space="0" w:color="auto"/>
            </w:tcBorders>
            <w:shd w:val="clear" w:color="auto" w:fill="auto"/>
            <w:vAlign w:val="center"/>
          </w:tcPr>
          <w:p w14:paraId="3F96DFF5" w14:textId="77777777" w:rsidR="004A0123" w:rsidRPr="000D3D0C" w:rsidRDefault="004A0123" w:rsidP="008A5C11">
            <w:pPr>
              <w:jc w:val="center"/>
              <w:rPr>
                <w:color w:val="000000"/>
                <w:sz w:val="13"/>
                <w:szCs w:val="13"/>
              </w:rPr>
            </w:pPr>
            <w:r w:rsidRPr="000D3D0C">
              <w:rPr>
                <w:color w:val="000000"/>
                <w:sz w:val="13"/>
                <w:szCs w:val="13"/>
              </w:rPr>
              <w:t>6</w:t>
            </w:r>
          </w:p>
        </w:tc>
        <w:tc>
          <w:tcPr>
            <w:tcW w:w="188" w:type="pct"/>
            <w:tcBorders>
              <w:top w:val="nil"/>
              <w:left w:val="nil"/>
              <w:bottom w:val="single" w:sz="4" w:space="0" w:color="auto"/>
              <w:right w:val="single" w:sz="4" w:space="0" w:color="auto"/>
            </w:tcBorders>
            <w:shd w:val="clear" w:color="auto" w:fill="auto"/>
            <w:vAlign w:val="center"/>
          </w:tcPr>
          <w:p w14:paraId="1A1A8157" w14:textId="77777777" w:rsidR="004A0123" w:rsidRPr="000D3D0C" w:rsidRDefault="004A0123" w:rsidP="008A5C11">
            <w:pPr>
              <w:jc w:val="center"/>
              <w:rPr>
                <w:color w:val="000000"/>
                <w:sz w:val="13"/>
                <w:szCs w:val="13"/>
              </w:rPr>
            </w:pPr>
            <w:r w:rsidRPr="000D3D0C">
              <w:rPr>
                <w:color w:val="000000"/>
                <w:sz w:val="13"/>
                <w:szCs w:val="13"/>
              </w:rPr>
              <w:t>2021</w:t>
            </w:r>
          </w:p>
        </w:tc>
        <w:tc>
          <w:tcPr>
            <w:tcW w:w="187" w:type="pct"/>
            <w:tcBorders>
              <w:top w:val="nil"/>
              <w:left w:val="nil"/>
              <w:bottom w:val="single" w:sz="4" w:space="0" w:color="auto"/>
              <w:right w:val="single" w:sz="4" w:space="0" w:color="auto"/>
            </w:tcBorders>
            <w:shd w:val="clear" w:color="auto" w:fill="auto"/>
            <w:vAlign w:val="center"/>
          </w:tcPr>
          <w:p w14:paraId="05E09717" w14:textId="77777777" w:rsidR="004A0123" w:rsidRPr="000D3D0C" w:rsidRDefault="004A0123" w:rsidP="008A5C11">
            <w:pPr>
              <w:jc w:val="center"/>
              <w:rPr>
                <w:color w:val="000000"/>
                <w:sz w:val="13"/>
                <w:szCs w:val="13"/>
              </w:rPr>
            </w:pPr>
            <w:r w:rsidRPr="000D3D0C">
              <w:rPr>
                <w:color w:val="000000"/>
                <w:sz w:val="13"/>
                <w:szCs w:val="13"/>
              </w:rPr>
              <w:t>2021</w:t>
            </w:r>
          </w:p>
        </w:tc>
        <w:tc>
          <w:tcPr>
            <w:tcW w:w="187" w:type="pct"/>
            <w:tcBorders>
              <w:top w:val="nil"/>
              <w:left w:val="nil"/>
              <w:bottom w:val="single" w:sz="4" w:space="0" w:color="auto"/>
              <w:right w:val="single" w:sz="4" w:space="0" w:color="auto"/>
            </w:tcBorders>
            <w:shd w:val="clear" w:color="auto" w:fill="auto"/>
            <w:vAlign w:val="center"/>
          </w:tcPr>
          <w:p w14:paraId="1410EE7A" w14:textId="77777777" w:rsidR="004A0123" w:rsidRPr="000D3D0C" w:rsidRDefault="004A0123" w:rsidP="008A5C11">
            <w:pPr>
              <w:jc w:val="center"/>
              <w:rPr>
                <w:color w:val="000000"/>
                <w:sz w:val="13"/>
                <w:szCs w:val="13"/>
              </w:rPr>
            </w:pPr>
            <w:r w:rsidRPr="000D3D0C">
              <w:rPr>
                <w:color w:val="000000"/>
                <w:sz w:val="13"/>
                <w:szCs w:val="13"/>
              </w:rPr>
              <w:t>3224</w:t>
            </w:r>
          </w:p>
        </w:tc>
        <w:tc>
          <w:tcPr>
            <w:tcW w:w="187" w:type="pct"/>
            <w:tcBorders>
              <w:top w:val="nil"/>
              <w:left w:val="nil"/>
              <w:bottom w:val="single" w:sz="4" w:space="0" w:color="auto"/>
              <w:right w:val="single" w:sz="4" w:space="0" w:color="auto"/>
            </w:tcBorders>
            <w:shd w:val="clear" w:color="auto" w:fill="auto"/>
            <w:vAlign w:val="center"/>
          </w:tcPr>
          <w:p w14:paraId="68997CBC" w14:textId="77777777" w:rsidR="004A0123" w:rsidRPr="000D3D0C" w:rsidRDefault="004A0123" w:rsidP="008A5C11">
            <w:pPr>
              <w:jc w:val="center"/>
              <w:rPr>
                <w:sz w:val="13"/>
                <w:szCs w:val="13"/>
              </w:rPr>
            </w:pPr>
            <w:r w:rsidRPr="000D3D0C">
              <w:rPr>
                <w:sz w:val="13"/>
                <w:szCs w:val="13"/>
              </w:rPr>
              <w:t>0</w:t>
            </w:r>
          </w:p>
        </w:tc>
        <w:tc>
          <w:tcPr>
            <w:tcW w:w="146" w:type="pct"/>
            <w:tcBorders>
              <w:top w:val="nil"/>
              <w:left w:val="single" w:sz="4" w:space="0" w:color="auto"/>
              <w:bottom w:val="single" w:sz="4" w:space="0" w:color="auto"/>
              <w:right w:val="single" w:sz="4" w:space="0" w:color="auto"/>
            </w:tcBorders>
            <w:shd w:val="clear" w:color="auto" w:fill="auto"/>
            <w:vAlign w:val="center"/>
          </w:tcPr>
          <w:p w14:paraId="63531DE6" w14:textId="77777777" w:rsidR="004A0123" w:rsidRPr="000D3D0C" w:rsidRDefault="004A0123" w:rsidP="008A5C11">
            <w:pPr>
              <w:jc w:val="center"/>
              <w:rPr>
                <w:sz w:val="13"/>
                <w:szCs w:val="13"/>
              </w:rPr>
            </w:pPr>
            <w:r w:rsidRPr="000D3D0C">
              <w:rPr>
                <w:sz w:val="13"/>
                <w:szCs w:val="13"/>
              </w:rPr>
              <w:t>3224</w:t>
            </w:r>
          </w:p>
        </w:tc>
        <w:tc>
          <w:tcPr>
            <w:tcW w:w="149" w:type="pct"/>
            <w:tcBorders>
              <w:top w:val="nil"/>
              <w:left w:val="nil"/>
              <w:bottom w:val="single" w:sz="4" w:space="0" w:color="auto"/>
              <w:right w:val="single" w:sz="4" w:space="0" w:color="auto"/>
            </w:tcBorders>
            <w:shd w:val="clear" w:color="auto" w:fill="auto"/>
            <w:vAlign w:val="center"/>
          </w:tcPr>
          <w:p w14:paraId="06AEE616" w14:textId="77777777" w:rsidR="004A0123" w:rsidRPr="000D3D0C" w:rsidRDefault="004A0123" w:rsidP="008A5C11">
            <w:pPr>
              <w:jc w:val="center"/>
              <w:rPr>
                <w:sz w:val="13"/>
                <w:szCs w:val="13"/>
              </w:rPr>
            </w:pPr>
            <w:r w:rsidRPr="000D3D0C">
              <w:rPr>
                <w:sz w:val="13"/>
                <w:szCs w:val="13"/>
              </w:rPr>
              <w:t>0</w:t>
            </w:r>
          </w:p>
        </w:tc>
        <w:tc>
          <w:tcPr>
            <w:tcW w:w="182" w:type="pct"/>
            <w:tcBorders>
              <w:top w:val="nil"/>
              <w:left w:val="nil"/>
              <w:bottom w:val="single" w:sz="4" w:space="0" w:color="auto"/>
              <w:right w:val="single" w:sz="4" w:space="0" w:color="auto"/>
            </w:tcBorders>
            <w:shd w:val="clear" w:color="auto" w:fill="auto"/>
            <w:vAlign w:val="center"/>
          </w:tcPr>
          <w:p w14:paraId="7EBD922F" w14:textId="77777777" w:rsidR="004A0123" w:rsidRPr="000D3D0C" w:rsidRDefault="004A0123" w:rsidP="008A5C11">
            <w:pPr>
              <w:jc w:val="center"/>
              <w:rPr>
                <w:sz w:val="13"/>
                <w:szCs w:val="13"/>
              </w:rPr>
            </w:pPr>
            <w:r w:rsidRPr="000D3D0C">
              <w:rPr>
                <w:sz w:val="13"/>
                <w:szCs w:val="13"/>
              </w:rPr>
              <w:t>0</w:t>
            </w:r>
          </w:p>
        </w:tc>
        <w:tc>
          <w:tcPr>
            <w:tcW w:w="182" w:type="pct"/>
            <w:tcBorders>
              <w:top w:val="nil"/>
              <w:left w:val="nil"/>
              <w:bottom w:val="single" w:sz="4" w:space="0" w:color="auto"/>
              <w:right w:val="single" w:sz="4" w:space="0" w:color="auto"/>
            </w:tcBorders>
            <w:shd w:val="clear" w:color="auto" w:fill="auto"/>
            <w:vAlign w:val="center"/>
          </w:tcPr>
          <w:p w14:paraId="499E1E1E" w14:textId="77777777" w:rsidR="004A0123" w:rsidRPr="000D3D0C" w:rsidRDefault="004A0123" w:rsidP="008A5C11">
            <w:pPr>
              <w:jc w:val="center"/>
              <w:rPr>
                <w:sz w:val="13"/>
                <w:szCs w:val="13"/>
              </w:rPr>
            </w:pPr>
            <w:r w:rsidRPr="000D3D0C">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51F64747" w14:textId="77777777" w:rsidR="004A0123" w:rsidRPr="000D3D0C" w:rsidRDefault="004A0123" w:rsidP="008A5C11">
            <w:pPr>
              <w:jc w:val="center"/>
              <w:rPr>
                <w:sz w:val="13"/>
                <w:szCs w:val="13"/>
              </w:rPr>
            </w:pPr>
            <w:r w:rsidRPr="000D3D0C">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70195B96" w14:textId="77777777" w:rsidR="004A0123" w:rsidRPr="000D3D0C" w:rsidRDefault="004A0123" w:rsidP="008A5C11">
            <w:pPr>
              <w:jc w:val="center"/>
              <w:rPr>
                <w:sz w:val="13"/>
                <w:szCs w:val="13"/>
              </w:rPr>
            </w:pPr>
            <w:r w:rsidRPr="000D3D0C">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17DB7FCF" w14:textId="77777777" w:rsidR="004A0123" w:rsidRPr="000D3D0C" w:rsidRDefault="004A0123" w:rsidP="008A5C11">
            <w:pPr>
              <w:jc w:val="center"/>
              <w:rPr>
                <w:sz w:val="13"/>
                <w:szCs w:val="13"/>
              </w:rPr>
            </w:pPr>
            <w:r w:rsidRPr="000D3D0C">
              <w:rPr>
                <w:sz w:val="13"/>
                <w:szCs w:val="13"/>
              </w:rPr>
              <w:t>0</w:t>
            </w:r>
          </w:p>
        </w:tc>
        <w:tc>
          <w:tcPr>
            <w:tcW w:w="173" w:type="pct"/>
            <w:tcBorders>
              <w:top w:val="single" w:sz="4" w:space="0" w:color="auto"/>
              <w:left w:val="single" w:sz="4" w:space="0" w:color="auto"/>
              <w:bottom w:val="single" w:sz="4" w:space="0" w:color="auto"/>
              <w:right w:val="single" w:sz="4" w:space="0" w:color="auto"/>
            </w:tcBorders>
            <w:vAlign w:val="center"/>
          </w:tcPr>
          <w:p w14:paraId="5AC2D47B" w14:textId="77777777" w:rsidR="004A0123" w:rsidRPr="000D3D0C" w:rsidRDefault="004A0123" w:rsidP="008A5C11">
            <w:pPr>
              <w:jc w:val="center"/>
              <w:rPr>
                <w:sz w:val="13"/>
                <w:szCs w:val="13"/>
              </w:rPr>
            </w:pPr>
            <w:r w:rsidRPr="000D3D0C">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7F5E59EE" w14:textId="77777777" w:rsidR="004A0123" w:rsidRPr="000D3D0C" w:rsidRDefault="004A0123" w:rsidP="008A5C11">
            <w:pPr>
              <w:jc w:val="center"/>
              <w:rPr>
                <w:sz w:val="13"/>
                <w:szCs w:val="13"/>
              </w:rPr>
            </w:pPr>
            <w:r w:rsidRPr="000D3D0C">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61AD0B33" w14:textId="77777777" w:rsidR="004A0123" w:rsidRPr="000D3D0C" w:rsidRDefault="004A0123" w:rsidP="008A5C11">
            <w:pPr>
              <w:jc w:val="center"/>
              <w:rPr>
                <w:sz w:val="13"/>
                <w:szCs w:val="13"/>
              </w:rPr>
            </w:pPr>
            <w:r w:rsidRPr="000D3D0C">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46939A97" w14:textId="77777777" w:rsidR="004A0123" w:rsidRPr="000D3D0C" w:rsidRDefault="004A0123" w:rsidP="008A5C11">
            <w:pPr>
              <w:jc w:val="center"/>
              <w:rPr>
                <w:sz w:val="13"/>
                <w:szCs w:val="13"/>
              </w:rPr>
            </w:pPr>
            <w:r w:rsidRPr="000D3D0C">
              <w:rPr>
                <w:sz w:val="13"/>
                <w:szCs w:val="13"/>
              </w:rPr>
              <w:t>0</w:t>
            </w:r>
          </w:p>
        </w:tc>
        <w:tc>
          <w:tcPr>
            <w:tcW w:w="178" w:type="pct"/>
            <w:tcBorders>
              <w:top w:val="single" w:sz="4" w:space="0" w:color="auto"/>
              <w:left w:val="single" w:sz="4" w:space="0" w:color="auto"/>
              <w:bottom w:val="single" w:sz="4" w:space="0" w:color="auto"/>
              <w:right w:val="single" w:sz="4" w:space="0" w:color="auto"/>
            </w:tcBorders>
            <w:vAlign w:val="center"/>
          </w:tcPr>
          <w:p w14:paraId="279E5E63" w14:textId="77777777" w:rsidR="004A0123" w:rsidRPr="000D3D0C" w:rsidRDefault="004A0123" w:rsidP="008A5C11">
            <w:pPr>
              <w:jc w:val="center"/>
              <w:rPr>
                <w:sz w:val="13"/>
                <w:szCs w:val="13"/>
              </w:rPr>
            </w:pPr>
            <w:r w:rsidRPr="000D3D0C">
              <w:rPr>
                <w:sz w:val="13"/>
                <w:szCs w:val="13"/>
              </w:rPr>
              <w:t>0</w:t>
            </w:r>
          </w:p>
        </w:tc>
      </w:tr>
      <w:tr w:rsidR="004A0123" w:rsidRPr="000D3D0C" w14:paraId="151EFA79" w14:textId="77777777" w:rsidTr="008A5C11">
        <w:trPr>
          <w:trHeight w:val="213"/>
        </w:trPr>
        <w:tc>
          <w:tcPr>
            <w:tcW w:w="2668" w:type="pct"/>
            <w:gridSpan w:val="10"/>
            <w:tcBorders>
              <w:bottom w:val="single" w:sz="4" w:space="0" w:color="auto"/>
              <w:right w:val="single" w:sz="4" w:space="0" w:color="auto"/>
            </w:tcBorders>
            <w:shd w:val="clear" w:color="auto" w:fill="auto"/>
            <w:vAlign w:val="center"/>
          </w:tcPr>
          <w:p w14:paraId="33BC4D84" w14:textId="77777777" w:rsidR="004A0123" w:rsidRPr="000D3D0C" w:rsidRDefault="004A0123" w:rsidP="008A5C11">
            <w:pPr>
              <w:rPr>
                <w:sz w:val="13"/>
                <w:szCs w:val="13"/>
              </w:rPr>
            </w:pPr>
            <w:r w:rsidRPr="000D3D0C">
              <w:rPr>
                <w:sz w:val="13"/>
                <w:szCs w:val="13"/>
              </w:rPr>
              <w:t>Всего по группе 3.</w:t>
            </w:r>
          </w:p>
        </w:tc>
        <w:tc>
          <w:tcPr>
            <w:tcW w:w="187" w:type="pct"/>
            <w:tcBorders>
              <w:top w:val="nil"/>
              <w:left w:val="nil"/>
              <w:bottom w:val="single" w:sz="4" w:space="0" w:color="auto"/>
              <w:right w:val="single" w:sz="4" w:space="0" w:color="auto"/>
            </w:tcBorders>
            <w:shd w:val="clear" w:color="auto" w:fill="auto"/>
            <w:vAlign w:val="center"/>
          </w:tcPr>
          <w:p w14:paraId="59F69459" w14:textId="77777777" w:rsidR="004A0123" w:rsidRPr="000D3D0C" w:rsidRDefault="004A0123" w:rsidP="008A5C11">
            <w:pPr>
              <w:jc w:val="center"/>
              <w:rPr>
                <w:sz w:val="13"/>
                <w:szCs w:val="13"/>
              </w:rPr>
            </w:pPr>
            <w:r w:rsidRPr="000D3D0C">
              <w:rPr>
                <w:sz w:val="13"/>
                <w:szCs w:val="13"/>
              </w:rPr>
              <w:t>611180</w:t>
            </w:r>
          </w:p>
        </w:tc>
        <w:tc>
          <w:tcPr>
            <w:tcW w:w="187" w:type="pct"/>
            <w:tcBorders>
              <w:top w:val="nil"/>
              <w:left w:val="nil"/>
              <w:bottom w:val="single" w:sz="4" w:space="0" w:color="auto"/>
              <w:right w:val="single" w:sz="4" w:space="0" w:color="auto"/>
            </w:tcBorders>
            <w:shd w:val="clear" w:color="auto" w:fill="auto"/>
            <w:vAlign w:val="center"/>
          </w:tcPr>
          <w:p w14:paraId="63A6060A" w14:textId="77777777" w:rsidR="004A0123" w:rsidRPr="000D3D0C" w:rsidRDefault="004A0123" w:rsidP="008A5C11">
            <w:pPr>
              <w:jc w:val="center"/>
              <w:rPr>
                <w:sz w:val="13"/>
                <w:szCs w:val="13"/>
              </w:rPr>
            </w:pPr>
            <w:r w:rsidRPr="000D3D0C">
              <w:rPr>
                <w:sz w:val="13"/>
                <w:szCs w:val="13"/>
              </w:rPr>
              <w:t>0</w:t>
            </w:r>
          </w:p>
        </w:tc>
        <w:tc>
          <w:tcPr>
            <w:tcW w:w="146" w:type="pct"/>
            <w:tcBorders>
              <w:top w:val="nil"/>
              <w:left w:val="single" w:sz="4" w:space="0" w:color="auto"/>
              <w:bottom w:val="single" w:sz="4" w:space="0" w:color="auto"/>
              <w:right w:val="single" w:sz="4" w:space="0" w:color="auto"/>
            </w:tcBorders>
            <w:shd w:val="clear" w:color="auto" w:fill="auto"/>
            <w:vAlign w:val="center"/>
          </w:tcPr>
          <w:p w14:paraId="73429EC6" w14:textId="77777777" w:rsidR="004A0123" w:rsidRPr="000D3D0C" w:rsidRDefault="004A0123" w:rsidP="008A5C11">
            <w:pPr>
              <w:jc w:val="center"/>
              <w:rPr>
                <w:sz w:val="13"/>
                <w:szCs w:val="13"/>
              </w:rPr>
            </w:pPr>
            <w:r w:rsidRPr="000D3D0C">
              <w:rPr>
                <w:sz w:val="13"/>
                <w:szCs w:val="13"/>
              </w:rPr>
              <w:t>5373</w:t>
            </w:r>
          </w:p>
        </w:tc>
        <w:tc>
          <w:tcPr>
            <w:tcW w:w="149" w:type="pct"/>
            <w:tcBorders>
              <w:top w:val="nil"/>
              <w:left w:val="nil"/>
              <w:bottom w:val="single" w:sz="4" w:space="0" w:color="auto"/>
              <w:right w:val="single" w:sz="4" w:space="0" w:color="auto"/>
            </w:tcBorders>
            <w:shd w:val="clear" w:color="auto" w:fill="auto"/>
            <w:vAlign w:val="center"/>
          </w:tcPr>
          <w:p w14:paraId="5DD1F668" w14:textId="77777777" w:rsidR="004A0123" w:rsidRPr="000D3D0C" w:rsidRDefault="004A0123" w:rsidP="008A5C11">
            <w:pPr>
              <w:jc w:val="center"/>
              <w:rPr>
                <w:sz w:val="13"/>
                <w:szCs w:val="13"/>
              </w:rPr>
            </w:pPr>
            <w:r w:rsidRPr="000D3D0C">
              <w:rPr>
                <w:sz w:val="13"/>
                <w:szCs w:val="13"/>
              </w:rPr>
              <w:t>15055</w:t>
            </w:r>
          </w:p>
        </w:tc>
        <w:tc>
          <w:tcPr>
            <w:tcW w:w="182" w:type="pct"/>
            <w:tcBorders>
              <w:top w:val="nil"/>
              <w:left w:val="nil"/>
              <w:bottom w:val="single" w:sz="4" w:space="0" w:color="auto"/>
              <w:right w:val="single" w:sz="4" w:space="0" w:color="auto"/>
            </w:tcBorders>
            <w:shd w:val="clear" w:color="auto" w:fill="auto"/>
            <w:vAlign w:val="center"/>
          </w:tcPr>
          <w:p w14:paraId="5AE6E3F3" w14:textId="77777777" w:rsidR="004A0123" w:rsidRPr="000D3D0C" w:rsidRDefault="004A0123" w:rsidP="008A5C11">
            <w:pPr>
              <w:jc w:val="center"/>
              <w:rPr>
                <w:sz w:val="13"/>
                <w:szCs w:val="13"/>
              </w:rPr>
            </w:pPr>
            <w:r w:rsidRPr="000D3D0C">
              <w:rPr>
                <w:sz w:val="13"/>
                <w:szCs w:val="13"/>
              </w:rPr>
              <w:t>7814</w:t>
            </w:r>
          </w:p>
        </w:tc>
        <w:tc>
          <w:tcPr>
            <w:tcW w:w="182" w:type="pct"/>
            <w:tcBorders>
              <w:top w:val="nil"/>
              <w:left w:val="nil"/>
              <w:bottom w:val="single" w:sz="4" w:space="0" w:color="auto"/>
              <w:right w:val="single" w:sz="4" w:space="0" w:color="auto"/>
            </w:tcBorders>
            <w:shd w:val="clear" w:color="auto" w:fill="auto"/>
            <w:vAlign w:val="center"/>
          </w:tcPr>
          <w:p w14:paraId="66C3B7E4" w14:textId="77777777" w:rsidR="004A0123" w:rsidRPr="000D3D0C" w:rsidRDefault="004A0123" w:rsidP="008A5C11">
            <w:pPr>
              <w:jc w:val="center"/>
              <w:rPr>
                <w:sz w:val="13"/>
                <w:szCs w:val="13"/>
              </w:rPr>
            </w:pPr>
            <w:r w:rsidRPr="000D3D0C">
              <w:rPr>
                <w:sz w:val="13"/>
                <w:szCs w:val="13"/>
              </w:rPr>
              <w:t>24983</w:t>
            </w:r>
          </w:p>
        </w:tc>
        <w:tc>
          <w:tcPr>
            <w:tcW w:w="154" w:type="pct"/>
            <w:tcBorders>
              <w:top w:val="single" w:sz="4" w:space="0" w:color="auto"/>
              <w:left w:val="single" w:sz="4" w:space="0" w:color="auto"/>
              <w:bottom w:val="single" w:sz="4" w:space="0" w:color="auto"/>
              <w:right w:val="single" w:sz="4" w:space="0" w:color="auto"/>
            </w:tcBorders>
            <w:vAlign w:val="center"/>
          </w:tcPr>
          <w:p w14:paraId="7D72A521" w14:textId="77777777" w:rsidR="004A0123" w:rsidRPr="000D3D0C" w:rsidRDefault="004A0123" w:rsidP="008A5C11">
            <w:pPr>
              <w:jc w:val="center"/>
              <w:rPr>
                <w:sz w:val="13"/>
                <w:szCs w:val="13"/>
              </w:rPr>
            </w:pPr>
            <w:r w:rsidRPr="000D3D0C">
              <w:rPr>
                <w:sz w:val="13"/>
                <w:szCs w:val="13"/>
              </w:rPr>
              <w:t>60030</w:t>
            </w:r>
          </w:p>
        </w:tc>
        <w:tc>
          <w:tcPr>
            <w:tcW w:w="154" w:type="pct"/>
            <w:tcBorders>
              <w:top w:val="single" w:sz="4" w:space="0" w:color="auto"/>
              <w:left w:val="single" w:sz="4" w:space="0" w:color="auto"/>
              <w:bottom w:val="single" w:sz="4" w:space="0" w:color="auto"/>
              <w:right w:val="single" w:sz="4" w:space="0" w:color="auto"/>
            </w:tcBorders>
            <w:vAlign w:val="center"/>
          </w:tcPr>
          <w:p w14:paraId="3235D422" w14:textId="77777777" w:rsidR="004A0123" w:rsidRPr="000D3D0C" w:rsidRDefault="004A0123" w:rsidP="008A5C11">
            <w:pPr>
              <w:jc w:val="center"/>
              <w:rPr>
                <w:sz w:val="13"/>
                <w:szCs w:val="13"/>
              </w:rPr>
            </w:pPr>
            <w:r w:rsidRPr="000D3D0C">
              <w:rPr>
                <w:sz w:val="13"/>
                <w:szCs w:val="13"/>
              </w:rPr>
              <w:t>83377</w:t>
            </w:r>
          </w:p>
        </w:tc>
        <w:tc>
          <w:tcPr>
            <w:tcW w:w="156" w:type="pct"/>
            <w:tcBorders>
              <w:top w:val="single" w:sz="4" w:space="0" w:color="auto"/>
              <w:left w:val="single" w:sz="4" w:space="0" w:color="auto"/>
              <w:bottom w:val="single" w:sz="4" w:space="0" w:color="auto"/>
              <w:right w:val="single" w:sz="4" w:space="0" w:color="auto"/>
            </w:tcBorders>
            <w:vAlign w:val="center"/>
          </w:tcPr>
          <w:p w14:paraId="5617DA9E" w14:textId="77777777" w:rsidR="004A0123" w:rsidRPr="000D3D0C" w:rsidRDefault="004A0123" w:rsidP="008A5C11">
            <w:pPr>
              <w:jc w:val="center"/>
              <w:rPr>
                <w:sz w:val="13"/>
                <w:szCs w:val="13"/>
              </w:rPr>
            </w:pPr>
            <w:r w:rsidRPr="000D3D0C">
              <w:rPr>
                <w:sz w:val="13"/>
                <w:szCs w:val="13"/>
              </w:rPr>
              <w:t>93016</w:t>
            </w:r>
          </w:p>
        </w:tc>
        <w:tc>
          <w:tcPr>
            <w:tcW w:w="173" w:type="pct"/>
            <w:tcBorders>
              <w:top w:val="single" w:sz="4" w:space="0" w:color="auto"/>
              <w:left w:val="single" w:sz="4" w:space="0" w:color="auto"/>
              <w:bottom w:val="single" w:sz="4" w:space="0" w:color="auto"/>
              <w:right w:val="single" w:sz="4" w:space="0" w:color="auto"/>
            </w:tcBorders>
            <w:vAlign w:val="center"/>
          </w:tcPr>
          <w:p w14:paraId="6C2AB710" w14:textId="77777777" w:rsidR="004A0123" w:rsidRPr="000D3D0C" w:rsidRDefault="004A0123" w:rsidP="008A5C11">
            <w:pPr>
              <w:jc w:val="center"/>
              <w:rPr>
                <w:sz w:val="13"/>
                <w:szCs w:val="13"/>
              </w:rPr>
            </w:pPr>
            <w:r w:rsidRPr="000D3D0C">
              <w:rPr>
                <w:sz w:val="13"/>
                <w:szCs w:val="13"/>
              </w:rPr>
              <w:t>100715</w:t>
            </w:r>
          </w:p>
        </w:tc>
        <w:tc>
          <w:tcPr>
            <w:tcW w:w="156" w:type="pct"/>
            <w:tcBorders>
              <w:top w:val="single" w:sz="4" w:space="0" w:color="auto"/>
              <w:left w:val="single" w:sz="4" w:space="0" w:color="auto"/>
              <w:bottom w:val="single" w:sz="4" w:space="0" w:color="auto"/>
              <w:right w:val="single" w:sz="4" w:space="0" w:color="auto"/>
            </w:tcBorders>
            <w:vAlign w:val="center"/>
          </w:tcPr>
          <w:p w14:paraId="3DBDCE95" w14:textId="77777777" w:rsidR="004A0123" w:rsidRPr="000D3D0C" w:rsidRDefault="004A0123" w:rsidP="008A5C11">
            <w:pPr>
              <w:jc w:val="center"/>
              <w:rPr>
                <w:sz w:val="13"/>
                <w:szCs w:val="13"/>
              </w:rPr>
            </w:pPr>
            <w:r w:rsidRPr="000D3D0C">
              <w:rPr>
                <w:sz w:val="13"/>
                <w:szCs w:val="13"/>
              </w:rPr>
              <w:t>108643</w:t>
            </w:r>
          </w:p>
        </w:tc>
        <w:tc>
          <w:tcPr>
            <w:tcW w:w="146" w:type="pct"/>
            <w:tcBorders>
              <w:top w:val="single" w:sz="4" w:space="0" w:color="auto"/>
              <w:left w:val="single" w:sz="4" w:space="0" w:color="auto"/>
              <w:bottom w:val="single" w:sz="4" w:space="0" w:color="auto"/>
              <w:right w:val="single" w:sz="4" w:space="0" w:color="auto"/>
            </w:tcBorders>
            <w:vAlign w:val="center"/>
          </w:tcPr>
          <w:p w14:paraId="35AB0804" w14:textId="77777777" w:rsidR="004A0123" w:rsidRPr="000D3D0C" w:rsidRDefault="004A0123" w:rsidP="008A5C11">
            <w:pPr>
              <w:jc w:val="center"/>
              <w:rPr>
                <w:sz w:val="13"/>
                <w:szCs w:val="13"/>
              </w:rPr>
            </w:pPr>
            <w:r w:rsidRPr="000D3D0C">
              <w:rPr>
                <w:sz w:val="13"/>
                <w:szCs w:val="13"/>
              </w:rPr>
              <w:t>112174</w:t>
            </w:r>
          </w:p>
        </w:tc>
        <w:tc>
          <w:tcPr>
            <w:tcW w:w="182" w:type="pct"/>
            <w:tcBorders>
              <w:top w:val="single" w:sz="4" w:space="0" w:color="auto"/>
              <w:left w:val="single" w:sz="4" w:space="0" w:color="auto"/>
              <w:bottom w:val="single" w:sz="4" w:space="0" w:color="auto"/>
              <w:right w:val="single" w:sz="4" w:space="0" w:color="auto"/>
            </w:tcBorders>
            <w:vAlign w:val="center"/>
          </w:tcPr>
          <w:p w14:paraId="7D5F4BC7" w14:textId="77777777" w:rsidR="004A0123" w:rsidRPr="000D3D0C" w:rsidRDefault="004A0123" w:rsidP="008A5C11">
            <w:pPr>
              <w:jc w:val="center"/>
              <w:rPr>
                <w:sz w:val="13"/>
                <w:szCs w:val="13"/>
              </w:rPr>
            </w:pPr>
            <w:r w:rsidRPr="000D3D0C">
              <w:rPr>
                <w:sz w:val="13"/>
                <w:szCs w:val="13"/>
              </w:rPr>
              <w:t>0</w:t>
            </w:r>
          </w:p>
        </w:tc>
        <w:tc>
          <w:tcPr>
            <w:tcW w:w="178" w:type="pct"/>
            <w:tcBorders>
              <w:top w:val="single" w:sz="4" w:space="0" w:color="auto"/>
              <w:left w:val="single" w:sz="4" w:space="0" w:color="auto"/>
              <w:bottom w:val="single" w:sz="4" w:space="0" w:color="auto"/>
              <w:right w:val="single" w:sz="4" w:space="0" w:color="auto"/>
            </w:tcBorders>
            <w:vAlign w:val="center"/>
          </w:tcPr>
          <w:p w14:paraId="4BEB18B0" w14:textId="77777777" w:rsidR="004A0123" w:rsidRPr="000D3D0C" w:rsidRDefault="004A0123" w:rsidP="008A5C11">
            <w:pPr>
              <w:jc w:val="center"/>
              <w:rPr>
                <w:sz w:val="13"/>
                <w:szCs w:val="13"/>
              </w:rPr>
            </w:pPr>
            <w:r w:rsidRPr="000D3D0C">
              <w:rPr>
                <w:sz w:val="13"/>
                <w:szCs w:val="13"/>
              </w:rPr>
              <w:t>0</w:t>
            </w:r>
          </w:p>
        </w:tc>
      </w:tr>
      <w:tr w:rsidR="004A0123" w:rsidRPr="000D3D0C" w14:paraId="02014871" w14:textId="77777777" w:rsidTr="008A5C11">
        <w:trPr>
          <w:trHeight w:val="64"/>
        </w:trPr>
        <w:tc>
          <w:tcPr>
            <w:tcW w:w="5000" w:type="pct"/>
            <w:gridSpan w:val="24"/>
            <w:tcBorders>
              <w:bottom w:val="single" w:sz="4" w:space="0" w:color="auto"/>
              <w:right w:val="single" w:sz="4" w:space="0" w:color="auto"/>
            </w:tcBorders>
            <w:shd w:val="clear" w:color="auto" w:fill="auto"/>
            <w:vAlign w:val="center"/>
          </w:tcPr>
          <w:p w14:paraId="607BA1F6" w14:textId="77777777" w:rsidR="004A0123" w:rsidRPr="000D3D0C" w:rsidRDefault="004A0123" w:rsidP="008A5C11">
            <w:pPr>
              <w:rPr>
                <w:sz w:val="13"/>
                <w:szCs w:val="13"/>
              </w:rPr>
            </w:pPr>
            <w:r w:rsidRPr="000D3D0C">
              <w:rPr>
                <w:bCs/>
                <w:sz w:val="13"/>
                <w:szCs w:val="13"/>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4A0123" w:rsidRPr="000D3D0C" w14:paraId="7D773431" w14:textId="77777777" w:rsidTr="008A5C11">
        <w:trPr>
          <w:trHeight w:val="890"/>
        </w:trPr>
        <w:tc>
          <w:tcPr>
            <w:tcW w:w="148" w:type="pct"/>
            <w:tcBorders>
              <w:bottom w:val="single" w:sz="4" w:space="0" w:color="auto"/>
            </w:tcBorders>
            <w:shd w:val="clear" w:color="auto" w:fill="auto"/>
            <w:vAlign w:val="center"/>
          </w:tcPr>
          <w:p w14:paraId="0644C403" w14:textId="77777777" w:rsidR="004A0123" w:rsidRPr="000D3D0C" w:rsidRDefault="004A0123" w:rsidP="008A5C11">
            <w:pPr>
              <w:jc w:val="center"/>
              <w:rPr>
                <w:sz w:val="13"/>
                <w:szCs w:val="13"/>
              </w:rPr>
            </w:pPr>
            <w:r w:rsidRPr="000D3D0C">
              <w:rPr>
                <w:sz w:val="13"/>
                <w:szCs w:val="13"/>
              </w:rPr>
              <w:t>4.1.</w:t>
            </w:r>
          </w:p>
        </w:tc>
        <w:tc>
          <w:tcPr>
            <w:tcW w:w="585" w:type="pct"/>
            <w:tcBorders>
              <w:top w:val="nil"/>
              <w:left w:val="single" w:sz="4" w:space="0" w:color="auto"/>
              <w:bottom w:val="single" w:sz="4" w:space="0" w:color="auto"/>
              <w:right w:val="single" w:sz="4" w:space="0" w:color="auto"/>
            </w:tcBorders>
            <w:shd w:val="clear" w:color="auto" w:fill="auto"/>
            <w:vAlign w:val="center"/>
          </w:tcPr>
          <w:p w14:paraId="172059F9" w14:textId="77777777" w:rsidR="004A0123" w:rsidRPr="000D3D0C" w:rsidRDefault="004A0123" w:rsidP="008A5C11">
            <w:pPr>
              <w:rPr>
                <w:color w:val="000000"/>
                <w:sz w:val="13"/>
                <w:szCs w:val="13"/>
              </w:rPr>
            </w:pPr>
            <w:r w:rsidRPr="000D3D0C">
              <w:rPr>
                <w:color w:val="000000"/>
                <w:sz w:val="13"/>
                <w:szCs w:val="13"/>
              </w:rPr>
              <w:t>Установка блочно-модульной котельной 80 кВт (2х40)</w:t>
            </w:r>
          </w:p>
        </w:tc>
        <w:tc>
          <w:tcPr>
            <w:tcW w:w="359" w:type="pct"/>
            <w:tcBorders>
              <w:top w:val="nil"/>
              <w:left w:val="nil"/>
              <w:bottom w:val="single" w:sz="4" w:space="0" w:color="auto"/>
              <w:right w:val="single" w:sz="4" w:space="0" w:color="auto"/>
            </w:tcBorders>
            <w:shd w:val="clear" w:color="auto" w:fill="auto"/>
            <w:vAlign w:val="center"/>
          </w:tcPr>
          <w:p w14:paraId="4F285660" w14:textId="77777777" w:rsidR="004A0123" w:rsidRPr="000D3D0C" w:rsidRDefault="004A0123" w:rsidP="008A5C11">
            <w:pPr>
              <w:jc w:val="center"/>
              <w:rPr>
                <w:color w:val="000000"/>
                <w:sz w:val="13"/>
                <w:szCs w:val="13"/>
              </w:rPr>
            </w:pPr>
            <w:r w:rsidRPr="000D3D0C">
              <w:rPr>
                <w:color w:val="000000"/>
                <w:sz w:val="13"/>
                <w:szCs w:val="13"/>
              </w:rPr>
              <w:t>Повышение эффективности работы систем</w:t>
            </w:r>
          </w:p>
        </w:tc>
        <w:tc>
          <w:tcPr>
            <w:tcW w:w="390" w:type="pct"/>
            <w:tcBorders>
              <w:top w:val="nil"/>
              <w:left w:val="nil"/>
              <w:bottom w:val="single" w:sz="4" w:space="0" w:color="auto"/>
              <w:right w:val="single" w:sz="4" w:space="0" w:color="auto"/>
            </w:tcBorders>
            <w:shd w:val="clear" w:color="auto" w:fill="auto"/>
            <w:vAlign w:val="center"/>
          </w:tcPr>
          <w:p w14:paraId="598682EB" w14:textId="77777777" w:rsidR="004A0123" w:rsidRPr="000D3D0C" w:rsidRDefault="004A0123" w:rsidP="008A5C11">
            <w:pPr>
              <w:jc w:val="center"/>
              <w:rPr>
                <w:color w:val="000000"/>
                <w:sz w:val="13"/>
                <w:szCs w:val="13"/>
              </w:rPr>
            </w:pPr>
            <w:r w:rsidRPr="000D3D0C">
              <w:rPr>
                <w:color w:val="000000"/>
                <w:sz w:val="13"/>
                <w:szCs w:val="13"/>
              </w:rPr>
              <w:t>Кемеровская обл.                  г. Тайга                         ул. Рабочая, 179.              Котельная Детского сада</w:t>
            </w:r>
          </w:p>
        </w:tc>
        <w:tc>
          <w:tcPr>
            <w:tcW w:w="337" w:type="pct"/>
            <w:tcBorders>
              <w:top w:val="nil"/>
              <w:left w:val="nil"/>
              <w:bottom w:val="single" w:sz="4" w:space="0" w:color="auto"/>
              <w:right w:val="single" w:sz="4" w:space="0" w:color="auto"/>
            </w:tcBorders>
            <w:shd w:val="clear" w:color="auto" w:fill="auto"/>
            <w:vAlign w:val="center"/>
          </w:tcPr>
          <w:p w14:paraId="18595208" w14:textId="77777777" w:rsidR="004A0123" w:rsidRPr="000D3D0C" w:rsidRDefault="004A0123" w:rsidP="008A5C11">
            <w:pPr>
              <w:jc w:val="center"/>
              <w:rPr>
                <w:color w:val="000000"/>
                <w:sz w:val="13"/>
                <w:szCs w:val="13"/>
              </w:rPr>
            </w:pPr>
            <w:r w:rsidRPr="000D3D0C">
              <w:rPr>
                <w:color w:val="000000"/>
                <w:sz w:val="13"/>
                <w:szCs w:val="13"/>
              </w:rPr>
              <w:t>Установленная тепловая мощность</w:t>
            </w:r>
          </w:p>
        </w:tc>
        <w:tc>
          <w:tcPr>
            <w:tcW w:w="116" w:type="pct"/>
            <w:tcBorders>
              <w:top w:val="nil"/>
              <w:left w:val="nil"/>
              <w:bottom w:val="single" w:sz="4" w:space="0" w:color="auto"/>
              <w:right w:val="single" w:sz="4" w:space="0" w:color="auto"/>
            </w:tcBorders>
            <w:shd w:val="clear" w:color="auto" w:fill="auto"/>
            <w:vAlign w:val="center"/>
          </w:tcPr>
          <w:p w14:paraId="35ACBC85" w14:textId="77777777" w:rsidR="004A0123" w:rsidRPr="000D3D0C" w:rsidRDefault="004A0123" w:rsidP="008A5C11">
            <w:pPr>
              <w:jc w:val="center"/>
              <w:rPr>
                <w:color w:val="000000"/>
                <w:sz w:val="13"/>
                <w:szCs w:val="13"/>
              </w:rPr>
            </w:pPr>
            <w:r w:rsidRPr="000D3D0C">
              <w:rPr>
                <w:color w:val="000000"/>
                <w:sz w:val="13"/>
                <w:szCs w:val="13"/>
              </w:rPr>
              <w:t>Гкал/ч</w:t>
            </w:r>
          </w:p>
        </w:tc>
        <w:tc>
          <w:tcPr>
            <w:tcW w:w="181" w:type="pct"/>
            <w:tcBorders>
              <w:top w:val="nil"/>
              <w:left w:val="single" w:sz="4" w:space="0" w:color="auto"/>
              <w:bottom w:val="single" w:sz="4" w:space="0" w:color="auto"/>
              <w:right w:val="single" w:sz="4" w:space="0" w:color="auto"/>
            </w:tcBorders>
            <w:shd w:val="clear" w:color="auto" w:fill="auto"/>
            <w:vAlign w:val="center"/>
          </w:tcPr>
          <w:p w14:paraId="3EC91C53" w14:textId="77777777" w:rsidR="004A0123" w:rsidRPr="000D3D0C" w:rsidRDefault="004A0123" w:rsidP="008A5C11">
            <w:pPr>
              <w:jc w:val="center"/>
              <w:rPr>
                <w:color w:val="000000"/>
                <w:sz w:val="13"/>
                <w:szCs w:val="13"/>
              </w:rPr>
            </w:pPr>
            <w:r w:rsidRPr="000D3D0C">
              <w:rPr>
                <w:color w:val="000000"/>
                <w:sz w:val="13"/>
                <w:szCs w:val="13"/>
              </w:rPr>
              <w:t>0,03</w:t>
            </w:r>
          </w:p>
        </w:tc>
        <w:tc>
          <w:tcPr>
            <w:tcW w:w="177" w:type="pct"/>
            <w:tcBorders>
              <w:top w:val="nil"/>
              <w:left w:val="nil"/>
              <w:bottom w:val="single" w:sz="4" w:space="0" w:color="auto"/>
              <w:right w:val="single" w:sz="4" w:space="0" w:color="auto"/>
            </w:tcBorders>
            <w:shd w:val="clear" w:color="auto" w:fill="auto"/>
            <w:vAlign w:val="center"/>
          </w:tcPr>
          <w:p w14:paraId="4450661B" w14:textId="77777777" w:rsidR="004A0123" w:rsidRPr="000D3D0C" w:rsidRDefault="004A0123" w:rsidP="008A5C11">
            <w:pPr>
              <w:jc w:val="center"/>
              <w:rPr>
                <w:color w:val="000000"/>
                <w:sz w:val="13"/>
                <w:szCs w:val="13"/>
              </w:rPr>
            </w:pPr>
            <w:r w:rsidRPr="000D3D0C">
              <w:rPr>
                <w:color w:val="000000"/>
                <w:sz w:val="13"/>
                <w:szCs w:val="13"/>
              </w:rPr>
              <w:t>0,07</w:t>
            </w:r>
          </w:p>
        </w:tc>
        <w:tc>
          <w:tcPr>
            <w:tcW w:w="188" w:type="pct"/>
            <w:tcBorders>
              <w:top w:val="nil"/>
              <w:left w:val="nil"/>
              <w:bottom w:val="single" w:sz="4" w:space="0" w:color="auto"/>
              <w:right w:val="single" w:sz="4" w:space="0" w:color="auto"/>
            </w:tcBorders>
            <w:shd w:val="clear" w:color="auto" w:fill="auto"/>
            <w:vAlign w:val="center"/>
          </w:tcPr>
          <w:p w14:paraId="5B69FE5C" w14:textId="77777777" w:rsidR="004A0123" w:rsidRPr="000D3D0C" w:rsidRDefault="004A0123" w:rsidP="008A5C11">
            <w:pPr>
              <w:jc w:val="center"/>
              <w:rPr>
                <w:color w:val="000000"/>
                <w:sz w:val="13"/>
                <w:szCs w:val="13"/>
              </w:rPr>
            </w:pPr>
            <w:r w:rsidRPr="000D3D0C">
              <w:rPr>
                <w:color w:val="000000"/>
                <w:sz w:val="13"/>
                <w:szCs w:val="13"/>
              </w:rPr>
              <w:t>2021</w:t>
            </w:r>
          </w:p>
        </w:tc>
        <w:tc>
          <w:tcPr>
            <w:tcW w:w="187" w:type="pct"/>
            <w:tcBorders>
              <w:top w:val="nil"/>
              <w:left w:val="nil"/>
              <w:bottom w:val="single" w:sz="4" w:space="0" w:color="auto"/>
              <w:right w:val="single" w:sz="4" w:space="0" w:color="auto"/>
            </w:tcBorders>
            <w:shd w:val="clear" w:color="auto" w:fill="auto"/>
            <w:vAlign w:val="center"/>
          </w:tcPr>
          <w:p w14:paraId="0C50067D" w14:textId="77777777" w:rsidR="004A0123" w:rsidRPr="000D3D0C" w:rsidRDefault="004A0123" w:rsidP="008A5C11">
            <w:pPr>
              <w:jc w:val="center"/>
              <w:rPr>
                <w:color w:val="000000"/>
                <w:sz w:val="13"/>
                <w:szCs w:val="13"/>
              </w:rPr>
            </w:pPr>
            <w:r w:rsidRPr="000D3D0C">
              <w:rPr>
                <w:color w:val="000000"/>
                <w:sz w:val="13"/>
                <w:szCs w:val="13"/>
              </w:rPr>
              <w:t>2021</w:t>
            </w:r>
          </w:p>
        </w:tc>
        <w:tc>
          <w:tcPr>
            <w:tcW w:w="187" w:type="pct"/>
            <w:tcBorders>
              <w:top w:val="nil"/>
              <w:left w:val="nil"/>
              <w:bottom w:val="single" w:sz="4" w:space="0" w:color="auto"/>
              <w:right w:val="single" w:sz="4" w:space="0" w:color="auto"/>
            </w:tcBorders>
            <w:shd w:val="clear" w:color="auto" w:fill="auto"/>
            <w:vAlign w:val="center"/>
          </w:tcPr>
          <w:p w14:paraId="75158E92" w14:textId="77777777" w:rsidR="004A0123" w:rsidRPr="000D3D0C" w:rsidRDefault="004A0123" w:rsidP="008A5C11">
            <w:pPr>
              <w:jc w:val="center"/>
              <w:rPr>
                <w:color w:val="000000"/>
                <w:sz w:val="13"/>
                <w:szCs w:val="13"/>
              </w:rPr>
            </w:pPr>
            <w:r w:rsidRPr="000D3D0C">
              <w:rPr>
                <w:color w:val="000000"/>
                <w:sz w:val="13"/>
                <w:szCs w:val="13"/>
              </w:rPr>
              <w:t>5824</w:t>
            </w:r>
          </w:p>
        </w:tc>
        <w:tc>
          <w:tcPr>
            <w:tcW w:w="187" w:type="pct"/>
            <w:tcBorders>
              <w:top w:val="nil"/>
              <w:left w:val="nil"/>
              <w:bottom w:val="single" w:sz="4" w:space="0" w:color="auto"/>
              <w:right w:val="single" w:sz="4" w:space="0" w:color="auto"/>
            </w:tcBorders>
            <w:shd w:val="clear" w:color="auto" w:fill="auto"/>
            <w:vAlign w:val="center"/>
          </w:tcPr>
          <w:p w14:paraId="570B7AD6" w14:textId="77777777" w:rsidR="004A0123" w:rsidRPr="000D3D0C" w:rsidRDefault="004A0123" w:rsidP="008A5C11">
            <w:pPr>
              <w:jc w:val="center"/>
              <w:rPr>
                <w:sz w:val="13"/>
                <w:szCs w:val="13"/>
              </w:rPr>
            </w:pPr>
            <w:r w:rsidRPr="000D3D0C">
              <w:rPr>
                <w:sz w:val="13"/>
                <w:szCs w:val="13"/>
              </w:rPr>
              <w:t>0</w:t>
            </w:r>
          </w:p>
        </w:tc>
        <w:tc>
          <w:tcPr>
            <w:tcW w:w="146" w:type="pct"/>
            <w:tcBorders>
              <w:top w:val="nil"/>
              <w:left w:val="single" w:sz="4" w:space="0" w:color="auto"/>
              <w:bottom w:val="single" w:sz="4" w:space="0" w:color="auto"/>
              <w:right w:val="single" w:sz="4" w:space="0" w:color="auto"/>
            </w:tcBorders>
            <w:shd w:val="clear" w:color="auto" w:fill="auto"/>
            <w:vAlign w:val="center"/>
          </w:tcPr>
          <w:p w14:paraId="6E74510F" w14:textId="77777777" w:rsidR="004A0123" w:rsidRPr="000D3D0C" w:rsidRDefault="004A0123" w:rsidP="008A5C11">
            <w:pPr>
              <w:jc w:val="center"/>
              <w:rPr>
                <w:sz w:val="13"/>
                <w:szCs w:val="13"/>
              </w:rPr>
            </w:pPr>
            <w:r w:rsidRPr="000D3D0C">
              <w:rPr>
                <w:sz w:val="13"/>
                <w:szCs w:val="13"/>
              </w:rPr>
              <w:t>5824</w:t>
            </w:r>
          </w:p>
        </w:tc>
        <w:tc>
          <w:tcPr>
            <w:tcW w:w="149" w:type="pct"/>
            <w:tcBorders>
              <w:top w:val="nil"/>
              <w:left w:val="nil"/>
              <w:bottom w:val="single" w:sz="4" w:space="0" w:color="auto"/>
              <w:right w:val="single" w:sz="4" w:space="0" w:color="auto"/>
            </w:tcBorders>
            <w:shd w:val="clear" w:color="auto" w:fill="auto"/>
            <w:vAlign w:val="center"/>
          </w:tcPr>
          <w:p w14:paraId="7F56AD2C" w14:textId="77777777" w:rsidR="004A0123" w:rsidRPr="000D3D0C" w:rsidRDefault="004A0123" w:rsidP="008A5C11">
            <w:pPr>
              <w:jc w:val="center"/>
              <w:rPr>
                <w:sz w:val="13"/>
                <w:szCs w:val="13"/>
              </w:rPr>
            </w:pPr>
            <w:r w:rsidRPr="000D3D0C">
              <w:rPr>
                <w:sz w:val="13"/>
                <w:szCs w:val="13"/>
              </w:rPr>
              <w:t>0</w:t>
            </w:r>
          </w:p>
        </w:tc>
        <w:tc>
          <w:tcPr>
            <w:tcW w:w="182" w:type="pct"/>
            <w:tcBorders>
              <w:top w:val="nil"/>
              <w:left w:val="nil"/>
              <w:bottom w:val="single" w:sz="4" w:space="0" w:color="auto"/>
              <w:right w:val="single" w:sz="4" w:space="0" w:color="auto"/>
            </w:tcBorders>
            <w:shd w:val="clear" w:color="auto" w:fill="auto"/>
            <w:vAlign w:val="center"/>
          </w:tcPr>
          <w:p w14:paraId="3B3E7396" w14:textId="77777777" w:rsidR="004A0123" w:rsidRPr="000D3D0C" w:rsidRDefault="004A0123" w:rsidP="008A5C11">
            <w:pPr>
              <w:jc w:val="center"/>
              <w:rPr>
                <w:sz w:val="13"/>
                <w:szCs w:val="13"/>
              </w:rPr>
            </w:pPr>
            <w:r w:rsidRPr="000D3D0C">
              <w:rPr>
                <w:sz w:val="13"/>
                <w:szCs w:val="13"/>
              </w:rPr>
              <w:t>0</w:t>
            </w:r>
          </w:p>
        </w:tc>
        <w:tc>
          <w:tcPr>
            <w:tcW w:w="182" w:type="pct"/>
            <w:tcBorders>
              <w:top w:val="nil"/>
              <w:left w:val="nil"/>
              <w:bottom w:val="single" w:sz="4" w:space="0" w:color="auto"/>
              <w:right w:val="single" w:sz="4" w:space="0" w:color="auto"/>
            </w:tcBorders>
            <w:shd w:val="clear" w:color="auto" w:fill="auto"/>
            <w:vAlign w:val="center"/>
          </w:tcPr>
          <w:p w14:paraId="65E50C0B" w14:textId="77777777" w:rsidR="004A0123" w:rsidRPr="000D3D0C" w:rsidRDefault="004A0123" w:rsidP="008A5C11">
            <w:pPr>
              <w:jc w:val="center"/>
              <w:rPr>
                <w:sz w:val="13"/>
                <w:szCs w:val="13"/>
              </w:rPr>
            </w:pPr>
            <w:r w:rsidRPr="000D3D0C">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1F0BF7F0" w14:textId="77777777" w:rsidR="004A0123" w:rsidRPr="000D3D0C" w:rsidRDefault="004A0123" w:rsidP="008A5C11">
            <w:pPr>
              <w:jc w:val="center"/>
              <w:rPr>
                <w:sz w:val="13"/>
                <w:szCs w:val="13"/>
              </w:rPr>
            </w:pPr>
            <w:r w:rsidRPr="000D3D0C">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293361EB" w14:textId="77777777" w:rsidR="004A0123" w:rsidRPr="000D3D0C" w:rsidRDefault="004A0123" w:rsidP="008A5C11">
            <w:pPr>
              <w:jc w:val="center"/>
              <w:rPr>
                <w:sz w:val="13"/>
                <w:szCs w:val="13"/>
              </w:rPr>
            </w:pPr>
            <w:r w:rsidRPr="000D3D0C">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334042E6" w14:textId="77777777" w:rsidR="004A0123" w:rsidRPr="000D3D0C" w:rsidRDefault="004A0123" w:rsidP="008A5C11">
            <w:pPr>
              <w:jc w:val="center"/>
              <w:rPr>
                <w:sz w:val="13"/>
                <w:szCs w:val="13"/>
              </w:rPr>
            </w:pPr>
            <w:r w:rsidRPr="000D3D0C">
              <w:rPr>
                <w:sz w:val="13"/>
                <w:szCs w:val="13"/>
              </w:rPr>
              <w:t>0</w:t>
            </w:r>
          </w:p>
        </w:tc>
        <w:tc>
          <w:tcPr>
            <w:tcW w:w="173" w:type="pct"/>
            <w:tcBorders>
              <w:top w:val="single" w:sz="4" w:space="0" w:color="auto"/>
              <w:left w:val="single" w:sz="4" w:space="0" w:color="auto"/>
              <w:bottom w:val="single" w:sz="4" w:space="0" w:color="auto"/>
              <w:right w:val="single" w:sz="4" w:space="0" w:color="auto"/>
            </w:tcBorders>
            <w:vAlign w:val="center"/>
          </w:tcPr>
          <w:p w14:paraId="435332D1" w14:textId="77777777" w:rsidR="004A0123" w:rsidRPr="000D3D0C" w:rsidRDefault="004A0123" w:rsidP="008A5C11">
            <w:pPr>
              <w:jc w:val="center"/>
              <w:rPr>
                <w:sz w:val="13"/>
                <w:szCs w:val="13"/>
              </w:rPr>
            </w:pPr>
            <w:r w:rsidRPr="000D3D0C">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69D15DC8" w14:textId="77777777" w:rsidR="004A0123" w:rsidRPr="000D3D0C" w:rsidRDefault="004A0123" w:rsidP="008A5C11">
            <w:pPr>
              <w:jc w:val="center"/>
              <w:rPr>
                <w:sz w:val="13"/>
                <w:szCs w:val="13"/>
              </w:rPr>
            </w:pPr>
            <w:r w:rsidRPr="000D3D0C">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2007A40A" w14:textId="77777777" w:rsidR="004A0123" w:rsidRPr="000D3D0C" w:rsidRDefault="004A0123" w:rsidP="008A5C11">
            <w:pPr>
              <w:jc w:val="center"/>
              <w:rPr>
                <w:sz w:val="13"/>
                <w:szCs w:val="13"/>
              </w:rPr>
            </w:pPr>
            <w:r w:rsidRPr="000D3D0C">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602CDA10" w14:textId="77777777" w:rsidR="004A0123" w:rsidRPr="000D3D0C" w:rsidRDefault="004A0123" w:rsidP="008A5C11">
            <w:pPr>
              <w:jc w:val="center"/>
              <w:rPr>
                <w:sz w:val="13"/>
                <w:szCs w:val="13"/>
              </w:rPr>
            </w:pPr>
            <w:r w:rsidRPr="000D3D0C">
              <w:rPr>
                <w:sz w:val="13"/>
                <w:szCs w:val="13"/>
              </w:rPr>
              <w:t>0</w:t>
            </w:r>
          </w:p>
        </w:tc>
        <w:tc>
          <w:tcPr>
            <w:tcW w:w="178" w:type="pct"/>
            <w:tcBorders>
              <w:top w:val="single" w:sz="4" w:space="0" w:color="auto"/>
              <w:left w:val="single" w:sz="4" w:space="0" w:color="auto"/>
              <w:bottom w:val="single" w:sz="4" w:space="0" w:color="auto"/>
              <w:right w:val="single" w:sz="4" w:space="0" w:color="auto"/>
            </w:tcBorders>
            <w:vAlign w:val="center"/>
          </w:tcPr>
          <w:p w14:paraId="33B68E20" w14:textId="77777777" w:rsidR="004A0123" w:rsidRPr="000D3D0C" w:rsidRDefault="004A0123" w:rsidP="008A5C11">
            <w:pPr>
              <w:jc w:val="center"/>
              <w:rPr>
                <w:sz w:val="13"/>
                <w:szCs w:val="13"/>
              </w:rPr>
            </w:pPr>
            <w:r w:rsidRPr="000D3D0C">
              <w:rPr>
                <w:sz w:val="13"/>
                <w:szCs w:val="13"/>
              </w:rPr>
              <w:t>0</w:t>
            </w:r>
          </w:p>
        </w:tc>
      </w:tr>
      <w:tr w:rsidR="004A0123" w:rsidRPr="000D3D0C" w14:paraId="37B8A7DC" w14:textId="77777777" w:rsidTr="008A5C11">
        <w:trPr>
          <w:trHeight w:val="845"/>
        </w:trPr>
        <w:tc>
          <w:tcPr>
            <w:tcW w:w="148" w:type="pct"/>
            <w:tcBorders>
              <w:bottom w:val="single" w:sz="4" w:space="0" w:color="auto"/>
            </w:tcBorders>
            <w:shd w:val="clear" w:color="auto" w:fill="auto"/>
            <w:vAlign w:val="center"/>
          </w:tcPr>
          <w:p w14:paraId="611A4272" w14:textId="77777777" w:rsidR="004A0123" w:rsidRPr="000D3D0C" w:rsidRDefault="004A0123" w:rsidP="008A5C11">
            <w:pPr>
              <w:jc w:val="center"/>
              <w:rPr>
                <w:sz w:val="13"/>
                <w:szCs w:val="13"/>
              </w:rPr>
            </w:pPr>
            <w:r w:rsidRPr="000D3D0C">
              <w:rPr>
                <w:sz w:val="13"/>
                <w:szCs w:val="13"/>
              </w:rPr>
              <w:t>4.2.</w:t>
            </w:r>
          </w:p>
        </w:tc>
        <w:tc>
          <w:tcPr>
            <w:tcW w:w="585" w:type="pct"/>
            <w:tcBorders>
              <w:top w:val="nil"/>
              <w:left w:val="single" w:sz="4" w:space="0" w:color="auto"/>
              <w:bottom w:val="single" w:sz="4" w:space="0" w:color="auto"/>
              <w:right w:val="single" w:sz="4" w:space="0" w:color="auto"/>
            </w:tcBorders>
            <w:shd w:val="clear" w:color="auto" w:fill="auto"/>
          </w:tcPr>
          <w:p w14:paraId="4773F8FD" w14:textId="77777777" w:rsidR="004A0123" w:rsidRPr="000D3D0C" w:rsidRDefault="004A0123" w:rsidP="008A5C11">
            <w:pPr>
              <w:rPr>
                <w:color w:val="000000"/>
                <w:sz w:val="13"/>
                <w:szCs w:val="13"/>
              </w:rPr>
            </w:pPr>
            <w:r w:rsidRPr="000D3D0C">
              <w:rPr>
                <w:color w:val="000000"/>
                <w:sz w:val="13"/>
                <w:szCs w:val="13"/>
              </w:rPr>
              <w:t>Установка блочно-модульной котельной 1800 кВт (3х600)</w:t>
            </w:r>
          </w:p>
        </w:tc>
        <w:tc>
          <w:tcPr>
            <w:tcW w:w="359" w:type="pct"/>
            <w:tcBorders>
              <w:top w:val="nil"/>
              <w:left w:val="nil"/>
              <w:bottom w:val="single" w:sz="4" w:space="0" w:color="auto"/>
              <w:right w:val="single" w:sz="4" w:space="0" w:color="auto"/>
            </w:tcBorders>
            <w:shd w:val="clear" w:color="auto" w:fill="auto"/>
            <w:vAlign w:val="center"/>
          </w:tcPr>
          <w:p w14:paraId="4723D920" w14:textId="77777777" w:rsidR="004A0123" w:rsidRPr="000D3D0C" w:rsidRDefault="004A0123" w:rsidP="008A5C11">
            <w:pPr>
              <w:jc w:val="center"/>
              <w:rPr>
                <w:color w:val="000000"/>
                <w:sz w:val="13"/>
                <w:szCs w:val="13"/>
              </w:rPr>
            </w:pPr>
            <w:r w:rsidRPr="000D3D0C">
              <w:rPr>
                <w:color w:val="000000"/>
                <w:sz w:val="13"/>
                <w:szCs w:val="13"/>
              </w:rPr>
              <w:t>Повышение эффективности работы систем</w:t>
            </w:r>
          </w:p>
        </w:tc>
        <w:tc>
          <w:tcPr>
            <w:tcW w:w="390" w:type="pct"/>
            <w:tcBorders>
              <w:top w:val="nil"/>
              <w:left w:val="nil"/>
              <w:bottom w:val="single" w:sz="4" w:space="0" w:color="auto"/>
              <w:right w:val="single" w:sz="4" w:space="0" w:color="auto"/>
            </w:tcBorders>
            <w:shd w:val="clear" w:color="auto" w:fill="auto"/>
            <w:vAlign w:val="center"/>
          </w:tcPr>
          <w:p w14:paraId="454D8AF3" w14:textId="77777777" w:rsidR="004A0123" w:rsidRPr="000D3D0C" w:rsidRDefault="004A0123" w:rsidP="008A5C11">
            <w:pPr>
              <w:jc w:val="center"/>
              <w:rPr>
                <w:color w:val="000000"/>
                <w:sz w:val="13"/>
                <w:szCs w:val="13"/>
              </w:rPr>
            </w:pPr>
            <w:r w:rsidRPr="000D3D0C">
              <w:rPr>
                <w:color w:val="000000"/>
                <w:sz w:val="13"/>
                <w:szCs w:val="13"/>
              </w:rPr>
              <w:t xml:space="preserve">Кемеровская обл.                  г. Тайга                         </w:t>
            </w:r>
            <w:proofErr w:type="gramStart"/>
            <w:r w:rsidRPr="000D3D0C">
              <w:rPr>
                <w:color w:val="000000"/>
                <w:sz w:val="13"/>
                <w:szCs w:val="13"/>
              </w:rPr>
              <w:t>ул.Почтовая,д.</w:t>
            </w:r>
            <w:proofErr w:type="gramEnd"/>
            <w:r w:rsidRPr="000D3D0C">
              <w:rPr>
                <w:color w:val="000000"/>
                <w:sz w:val="13"/>
                <w:szCs w:val="13"/>
              </w:rPr>
              <w:t>135Д.              Котельная №1</w:t>
            </w:r>
          </w:p>
        </w:tc>
        <w:tc>
          <w:tcPr>
            <w:tcW w:w="337" w:type="pct"/>
            <w:tcBorders>
              <w:top w:val="nil"/>
              <w:left w:val="nil"/>
              <w:bottom w:val="single" w:sz="4" w:space="0" w:color="auto"/>
              <w:right w:val="single" w:sz="4" w:space="0" w:color="auto"/>
            </w:tcBorders>
            <w:shd w:val="clear" w:color="auto" w:fill="auto"/>
            <w:vAlign w:val="center"/>
          </w:tcPr>
          <w:p w14:paraId="4AD85C73" w14:textId="77777777" w:rsidR="004A0123" w:rsidRPr="000D3D0C" w:rsidRDefault="004A0123" w:rsidP="008A5C11">
            <w:pPr>
              <w:jc w:val="center"/>
              <w:rPr>
                <w:color w:val="000000"/>
                <w:sz w:val="13"/>
                <w:szCs w:val="13"/>
              </w:rPr>
            </w:pPr>
            <w:r w:rsidRPr="000D3D0C">
              <w:rPr>
                <w:color w:val="000000"/>
                <w:sz w:val="13"/>
                <w:szCs w:val="13"/>
              </w:rPr>
              <w:t>Установленная тепловая мощность</w:t>
            </w:r>
          </w:p>
        </w:tc>
        <w:tc>
          <w:tcPr>
            <w:tcW w:w="116" w:type="pct"/>
            <w:tcBorders>
              <w:top w:val="nil"/>
              <w:left w:val="nil"/>
              <w:bottom w:val="single" w:sz="4" w:space="0" w:color="auto"/>
              <w:right w:val="single" w:sz="4" w:space="0" w:color="auto"/>
            </w:tcBorders>
            <w:shd w:val="clear" w:color="auto" w:fill="auto"/>
            <w:vAlign w:val="center"/>
          </w:tcPr>
          <w:p w14:paraId="695F8F40" w14:textId="77777777" w:rsidR="004A0123" w:rsidRPr="000D3D0C" w:rsidRDefault="004A0123" w:rsidP="008A5C11">
            <w:pPr>
              <w:jc w:val="center"/>
              <w:rPr>
                <w:color w:val="000000"/>
                <w:sz w:val="13"/>
                <w:szCs w:val="13"/>
              </w:rPr>
            </w:pPr>
            <w:r w:rsidRPr="000D3D0C">
              <w:rPr>
                <w:color w:val="000000"/>
                <w:sz w:val="13"/>
                <w:szCs w:val="13"/>
              </w:rPr>
              <w:t>Гкал/ч</w:t>
            </w:r>
          </w:p>
        </w:tc>
        <w:tc>
          <w:tcPr>
            <w:tcW w:w="181" w:type="pct"/>
            <w:tcBorders>
              <w:top w:val="nil"/>
              <w:left w:val="single" w:sz="4" w:space="0" w:color="auto"/>
              <w:bottom w:val="single" w:sz="4" w:space="0" w:color="auto"/>
              <w:right w:val="single" w:sz="4" w:space="0" w:color="auto"/>
            </w:tcBorders>
            <w:shd w:val="clear" w:color="auto" w:fill="auto"/>
            <w:vAlign w:val="center"/>
          </w:tcPr>
          <w:p w14:paraId="12078489" w14:textId="77777777" w:rsidR="004A0123" w:rsidRPr="000D3D0C" w:rsidRDefault="004A0123" w:rsidP="008A5C11">
            <w:pPr>
              <w:jc w:val="center"/>
              <w:rPr>
                <w:color w:val="000000"/>
                <w:sz w:val="13"/>
                <w:szCs w:val="13"/>
              </w:rPr>
            </w:pPr>
            <w:r w:rsidRPr="000D3D0C">
              <w:rPr>
                <w:color w:val="000000"/>
                <w:sz w:val="13"/>
                <w:szCs w:val="13"/>
              </w:rPr>
              <w:t>1,6</w:t>
            </w:r>
          </w:p>
        </w:tc>
        <w:tc>
          <w:tcPr>
            <w:tcW w:w="177" w:type="pct"/>
            <w:tcBorders>
              <w:top w:val="nil"/>
              <w:left w:val="nil"/>
              <w:bottom w:val="single" w:sz="4" w:space="0" w:color="auto"/>
              <w:right w:val="single" w:sz="4" w:space="0" w:color="auto"/>
            </w:tcBorders>
            <w:shd w:val="clear" w:color="auto" w:fill="auto"/>
            <w:vAlign w:val="center"/>
          </w:tcPr>
          <w:p w14:paraId="45744007" w14:textId="77777777" w:rsidR="004A0123" w:rsidRPr="000D3D0C" w:rsidRDefault="004A0123" w:rsidP="008A5C11">
            <w:pPr>
              <w:jc w:val="center"/>
              <w:rPr>
                <w:color w:val="000000"/>
                <w:sz w:val="13"/>
                <w:szCs w:val="13"/>
              </w:rPr>
            </w:pPr>
            <w:r w:rsidRPr="000D3D0C">
              <w:rPr>
                <w:color w:val="000000"/>
                <w:sz w:val="13"/>
                <w:szCs w:val="13"/>
              </w:rPr>
              <w:t>1,55</w:t>
            </w:r>
          </w:p>
        </w:tc>
        <w:tc>
          <w:tcPr>
            <w:tcW w:w="188" w:type="pct"/>
            <w:tcBorders>
              <w:top w:val="nil"/>
              <w:left w:val="nil"/>
              <w:bottom w:val="single" w:sz="4" w:space="0" w:color="auto"/>
              <w:right w:val="single" w:sz="4" w:space="0" w:color="auto"/>
            </w:tcBorders>
            <w:shd w:val="clear" w:color="auto" w:fill="auto"/>
            <w:vAlign w:val="center"/>
          </w:tcPr>
          <w:p w14:paraId="17C93898" w14:textId="77777777" w:rsidR="004A0123" w:rsidRPr="000D3D0C" w:rsidRDefault="004A0123" w:rsidP="008A5C11">
            <w:pPr>
              <w:jc w:val="center"/>
              <w:rPr>
                <w:color w:val="000000"/>
                <w:sz w:val="13"/>
                <w:szCs w:val="13"/>
              </w:rPr>
            </w:pPr>
            <w:r w:rsidRPr="000D3D0C">
              <w:rPr>
                <w:color w:val="000000"/>
                <w:sz w:val="13"/>
                <w:szCs w:val="13"/>
              </w:rPr>
              <w:t>2024</w:t>
            </w:r>
          </w:p>
        </w:tc>
        <w:tc>
          <w:tcPr>
            <w:tcW w:w="187" w:type="pct"/>
            <w:tcBorders>
              <w:top w:val="nil"/>
              <w:left w:val="nil"/>
              <w:bottom w:val="single" w:sz="4" w:space="0" w:color="auto"/>
              <w:right w:val="single" w:sz="4" w:space="0" w:color="auto"/>
            </w:tcBorders>
            <w:shd w:val="clear" w:color="auto" w:fill="auto"/>
            <w:vAlign w:val="center"/>
          </w:tcPr>
          <w:p w14:paraId="1D8CCFDA" w14:textId="77777777" w:rsidR="004A0123" w:rsidRPr="000D3D0C" w:rsidRDefault="004A0123" w:rsidP="008A5C11">
            <w:pPr>
              <w:jc w:val="center"/>
              <w:rPr>
                <w:color w:val="000000"/>
                <w:sz w:val="13"/>
                <w:szCs w:val="13"/>
              </w:rPr>
            </w:pPr>
            <w:r w:rsidRPr="000D3D0C">
              <w:rPr>
                <w:color w:val="000000"/>
                <w:sz w:val="13"/>
                <w:szCs w:val="13"/>
              </w:rPr>
              <w:t>2024</w:t>
            </w:r>
          </w:p>
        </w:tc>
        <w:tc>
          <w:tcPr>
            <w:tcW w:w="187" w:type="pct"/>
            <w:tcBorders>
              <w:top w:val="nil"/>
              <w:left w:val="nil"/>
              <w:bottom w:val="single" w:sz="4" w:space="0" w:color="auto"/>
              <w:right w:val="single" w:sz="4" w:space="0" w:color="auto"/>
            </w:tcBorders>
            <w:shd w:val="clear" w:color="auto" w:fill="auto"/>
            <w:vAlign w:val="center"/>
          </w:tcPr>
          <w:p w14:paraId="3E0E8D40" w14:textId="77777777" w:rsidR="004A0123" w:rsidRPr="000D3D0C" w:rsidRDefault="004A0123" w:rsidP="008A5C11">
            <w:pPr>
              <w:jc w:val="center"/>
              <w:rPr>
                <w:color w:val="000000"/>
                <w:sz w:val="13"/>
                <w:szCs w:val="13"/>
              </w:rPr>
            </w:pPr>
            <w:r w:rsidRPr="000D3D0C">
              <w:rPr>
                <w:color w:val="000000"/>
                <w:sz w:val="13"/>
                <w:szCs w:val="13"/>
              </w:rPr>
              <w:t>25985</w:t>
            </w:r>
          </w:p>
        </w:tc>
        <w:tc>
          <w:tcPr>
            <w:tcW w:w="187" w:type="pct"/>
            <w:tcBorders>
              <w:top w:val="nil"/>
              <w:left w:val="nil"/>
              <w:bottom w:val="single" w:sz="4" w:space="0" w:color="auto"/>
              <w:right w:val="single" w:sz="4" w:space="0" w:color="auto"/>
            </w:tcBorders>
            <w:shd w:val="clear" w:color="auto" w:fill="auto"/>
            <w:vAlign w:val="center"/>
          </w:tcPr>
          <w:p w14:paraId="4F4DACC9" w14:textId="77777777" w:rsidR="004A0123" w:rsidRPr="000D3D0C" w:rsidRDefault="004A0123" w:rsidP="008A5C11">
            <w:pPr>
              <w:jc w:val="center"/>
              <w:rPr>
                <w:sz w:val="13"/>
                <w:szCs w:val="13"/>
              </w:rPr>
            </w:pPr>
            <w:r w:rsidRPr="000D3D0C">
              <w:rPr>
                <w:sz w:val="13"/>
                <w:szCs w:val="13"/>
              </w:rPr>
              <w:t>0</w:t>
            </w:r>
          </w:p>
        </w:tc>
        <w:tc>
          <w:tcPr>
            <w:tcW w:w="146" w:type="pct"/>
            <w:tcBorders>
              <w:top w:val="nil"/>
              <w:left w:val="single" w:sz="4" w:space="0" w:color="auto"/>
              <w:bottom w:val="single" w:sz="4" w:space="0" w:color="auto"/>
              <w:right w:val="single" w:sz="4" w:space="0" w:color="auto"/>
            </w:tcBorders>
            <w:shd w:val="clear" w:color="auto" w:fill="auto"/>
            <w:vAlign w:val="center"/>
          </w:tcPr>
          <w:p w14:paraId="71EA815E" w14:textId="77777777" w:rsidR="004A0123" w:rsidRPr="000D3D0C" w:rsidRDefault="004A0123" w:rsidP="008A5C11">
            <w:pPr>
              <w:jc w:val="center"/>
              <w:rPr>
                <w:sz w:val="13"/>
                <w:szCs w:val="13"/>
              </w:rPr>
            </w:pPr>
            <w:r w:rsidRPr="000D3D0C">
              <w:rPr>
                <w:sz w:val="13"/>
                <w:szCs w:val="13"/>
              </w:rPr>
              <w:t>0</w:t>
            </w:r>
          </w:p>
        </w:tc>
        <w:tc>
          <w:tcPr>
            <w:tcW w:w="149" w:type="pct"/>
            <w:tcBorders>
              <w:top w:val="nil"/>
              <w:left w:val="nil"/>
              <w:bottom w:val="single" w:sz="4" w:space="0" w:color="auto"/>
              <w:right w:val="single" w:sz="4" w:space="0" w:color="auto"/>
            </w:tcBorders>
            <w:shd w:val="clear" w:color="auto" w:fill="auto"/>
            <w:vAlign w:val="center"/>
          </w:tcPr>
          <w:p w14:paraId="4C71F7FF" w14:textId="77777777" w:rsidR="004A0123" w:rsidRPr="000D3D0C" w:rsidRDefault="004A0123" w:rsidP="008A5C11">
            <w:pPr>
              <w:jc w:val="center"/>
              <w:rPr>
                <w:sz w:val="13"/>
                <w:szCs w:val="13"/>
              </w:rPr>
            </w:pPr>
            <w:r w:rsidRPr="000D3D0C">
              <w:rPr>
                <w:sz w:val="13"/>
                <w:szCs w:val="13"/>
              </w:rPr>
              <w:t>0</w:t>
            </w:r>
          </w:p>
        </w:tc>
        <w:tc>
          <w:tcPr>
            <w:tcW w:w="182" w:type="pct"/>
            <w:tcBorders>
              <w:top w:val="nil"/>
              <w:left w:val="nil"/>
              <w:bottom w:val="single" w:sz="4" w:space="0" w:color="auto"/>
              <w:right w:val="single" w:sz="4" w:space="0" w:color="auto"/>
            </w:tcBorders>
            <w:shd w:val="clear" w:color="auto" w:fill="auto"/>
            <w:vAlign w:val="center"/>
          </w:tcPr>
          <w:p w14:paraId="4B43CD6C" w14:textId="77777777" w:rsidR="004A0123" w:rsidRPr="000D3D0C" w:rsidRDefault="004A0123" w:rsidP="008A5C11">
            <w:pPr>
              <w:jc w:val="center"/>
              <w:rPr>
                <w:sz w:val="13"/>
                <w:szCs w:val="13"/>
              </w:rPr>
            </w:pPr>
            <w:r w:rsidRPr="000D3D0C">
              <w:rPr>
                <w:sz w:val="13"/>
                <w:szCs w:val="13"/>
              </w:rPr>
              <w:t>0</w:t>
            </w:r>
          </w:p>
        </w:tc>
        <w:tc>
          <w:tcPr>
            <w:tcW w:w="182" w:type="pct"/>
            <w:tcBorders>
              <w:top w:val="nil"/>
              <w:left w:val="nil"/>
              <w:bottom w:val="single" w:sz="4" w:space="0" w:color="auto"/>
              <w:right w:val="single" w:sz="4" w:space="0" w:color="auto"/>
            </w:tcBorders>
            <w:shd w:val="clear" w:color="auto" w:fill="auto"/>
            <w:vAlign w:val="center"/>
          </w:tcPr>
          <w:p w14:paraId="032C95A2" w14:textId="77777777" w:rsidR="004A0123" w:rsidRPr="000D3D0C" w:rsidRDefault="004A0123" w:rsidP="008A5C11">
            <w:pPr>
              <w:jc w:val="center"/>
              <w:rPr>
                <w:sz w:val="13"/>
                <w:szCs w:val="13"/>
              </w:rPr>
            </w:pPr>
            <w:r w:rsidRPr="000D3D0C">
              <w:rPr>
                <w:sz w:val="13"/>
                <w:szCs w:val="13"/>
              </w:rPr>
              <w:t>25985</w:t>
            </w:r>
          </w:p>
        </w:tc>
        <w:tc>
          <w:tcPr>
            <w:tcW w:w="154" w:type="pct"/>
            <w:tcBorders>
              <w:top w:val="single" w:sz="4" w:space="0" w:color="auto"/>
              <w:left w:val="single" w:sz="4" w:space="0" w:color="auto"/>
              <w:bottom w:val="single" w:sz="4" w:space="0" w:color="auto"/>
              <w:right w:val="single" w:sz="4" w:space="0" w:color="auto"/>
            </w:tcBorders>
            <w:vAlign w:val="center"/>
          </w:tcPr>
          <w:p w14:paraId="607522D2" w14:textId="77777777" w:rsidR="004A0123" w:rsidRPr="000D3D0C" w:rsidRDefault="004A0123" w:rsidP="008A5C11">
            <w:pPr>
              <w:jc w:val="center"/>
              <w:rPr>
                <w:sz w:val="13"/>
                <w:szCs w:val="13"/>
              </w:rPr>
            </w:pPr>
            <w:r w:rsidRPr="000D3D0C">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08C5AA43" w14:textId="77777777" w:rsidR="004A0123" w:rsidRPr="000D3D0C" w:rsidRDefault="004A0123" w:rsidP="008A5C11">
            <w:pPr>
              <w:jc w:val="center"/>
              <w:rPr>
                <w:sz w:val="13"/>
                <w:szCs w:val="13"/>
              </w:rPr>
            </w:pPr>
            <w:r w:rsidRPr="000D3D0C">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222179E6" w14:textId="77777777" w:rsidR="004A0123" w:rsidRPr="000D3D0C" w:rsidRDefault="004A0123" w:rsidP="008A5C11">
            <w:pPr>
              <w:jc w:val="center"/>
              <w:rPr>
                <w:sz w:val="13"/>
                <w:szCs w:val="13"/>
              </w:rPr>
            </w:pPr>
            <w:r w:rsidRPr="000D3D0C">
              <w:rPr>
                <w:sz w:val="13"/>
                <w:szCs w:val="13"/>
              </w:rPr>
              <w:t>0</w:t>
            </w:r>
          </w:p>
        </w:tc>
        <w:tc>
          <w:tcPr>
            <w:tcW w:w="173" w:type="pct"/>
            <w:tcBorders>
              <w:top w:val="single" w:sz="4" w:space="0" w:color="auto"/>
              <w:left w:val="single" w:sz="4" w:space="0" w:color="auto"/>
              <w:bottom w:val="single" w:sz="4" w:space="0" w:color="auto"/>
              <w:right w:val="single" w:sz="4" w:space="0" w:color="auto"/>
            </w:tcBorders>
            <w:vAlign w:val="center"/>
          </w:tcPr>
          <w:p w14:paraId="794E30D0" w14:textId="77777777" w:rsidR="004A0123" w:rsidRPr="000D3D0C" w:rsidRDefault="004A0123" w:rsidP="008A5C11">
            <w:pPr>
              <w:jc w:val="center"/>
              <w:rPr>
                <w:sz w:val="13"/>
                <w:szCs w:val="13"/>
              </w:rPr>
            </w:pPr>
            <w:r w:rsidRPr="000D3D0C">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47B3879C" w14:textId="77777777" w:rsidR="004A0123" w:rsidRPr="000D3D0C" w:rsidRDefault="004A0123" w:rsidP="008A5C11">
            <w:pPr>
              <w:jc w:val="center"/>
              <w:rPr>
                <w:sz w:val="13"/>
                <w:szCs w:val="13"/>
              </w:rPr>
            </w:pPr>
            <w:r w:rsidRPr="000D3D0C">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4D6642D0" w14:textId="77777777" w:rsidR="004A0123" w:rsidRPr="000D3D0C" w:rsidRDefault="004A0123" w:rsidP="008A5C11">
            <w:pPr>
              <w:jc w:val="center"/>
              <w:rPr>
                <w:sz w:val="13"/>
                <w:szCs w:val="13"/>
              </w:rPr>
            </w:pPr>
            <w:r w:rsidRPr="000D3D0C">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671E08EA" w14:textId="77777777" w:rsidR="004A0123" w:rsidRPr="000D3D0C" w:rsidRDefault="004A0123" w:rsidP="008A5C11">
            <w:pPr>
              <w:jc w:val="center"/>
              <w:rPr>
                <w:sz w:val="13"/>
                <w:szCs w:val="13"/>
              </w:rPr>
            </w:pPr>
            <w:r w:rsidRPr="000D3D0C">
              <w:rPr>
                <w:sz w:val="13"/>
                <w:szCs w:val="13"/>
              </w:rPr>
              <w:t>0</w:t>
            </w:r>
          </w:p>
        </w:tc>
        <w:tc>
          <w:tcPr>
            <w:tcW w:w="178" w:type="pct"/>
            <w:tcBorders>
              <w:top w:val="single" w:sz="4" w:space="0" w:color="auto"/>
              <w:left w:val="single" w:sz="4" w:space="0" w:color="auto"/>
              <w:bottom w:val="single" w:sz="4" w:space="0" w:color="auto"/>
              <w:right w:val="single" w:sz="4" w:space="0" w:color="auto"/>
            </w:tcBorders>
            <w:vAlign w:val="center"/>
          </w:tcPr>
          <w:p w14:paraId="0648F3AB" w14:textId="77777777" w:rsidR="004A0123" w:rsidRPr="000D3D0C" w:rsidRDefault="004A0123" w:rsidP="008A5C11">
            <w:pPr>
              <w:jc w:val="center"/>
              <w:rPr>
                <w:sz w:val="13"/>
                <w:szCs w:val="13"/>
              </w:rPr>
            </w:pPr>
            <w:r w:rsidRPr="000D3D0C">
              <w:rPr>
                <w:sz w:val="13"/>
                <w:szCs w:val="13"/>
              </w:rPr>
              <w:t>0</w:t>
            </w:r>
          </w:p>
        </w:tc>
      </w:tr>
      <w:tr w:rsidR="004A0123" w:rsidRPr="000D3D0C" w14:paraId="281C4413" w14:textId="77777777" w:rsidTr="008A5C11">
        <w:trPr>
          <w:trHeight w:val="1081"/>
        </w:trPr>
        <w:tc>
          <w:tcPr>
            <w:tcW w:w="148" w:type="pct"/>
            <w:tcBorders>
              <w:bottom w:val="single" w:sz="4" w:space="0" w:color="auto"/>
            </w:tcBorders>
            <w:shd w:val="clear" w:color="auto" w:fill="auto"/>
            <w:vAlign w:val="center"/>
          </w:tcPr>
          <w:p w14:paraId="420C7A5D" w14:textId="77777777" w:rsidR="004A0123" w:rsidRPr="000D3D0C" w:rsidRDefault="004A0123" w:rsidP="008A5C11">
            <w:pPr>
              <w:jc w:val="center"/>
              <w:rPr>
                <w:sz w:val="13"/>
                <w:szCs w:val="13"/>
              </w:rPr>
            </w:pPr>
            <w:r w:rsidRPr="000D3D0C">
              <w:rPr>
                <w:sz w:val="13"/>
                <w:szCs w:val="13"/>
              </w:rPr>
              <w:t>4.3.</w:t>
            </w:r>
          </w:p>
        </w:tc>
        <w:tc>
          <w:tcPr>
            <w:tcW w:w="585" w:type="pct"/>
            <w:tcBorders>
              <w:top w:val="nil"/>
              <w:left w:val="single" w:sz="4" w:space="0" w:color="auto"/>
              <w:bottom w:val="single" w:sz="4" w:space="0" w:color="auto"/>
              <w:right w:val="single" w:sz="4" w:space="0" w:color="auto"/>
            </w:tcBorders>
            <w:shd w:val="clear" w:color="auto" w:fill="auto"/>
          </w:tcPr>
          <w:p w14:paraId="73BF1AA6" w14:textId="77777777" w:rsidR="004A0123" w:rsidRPr="000D3D0C" w:rsidRDefault="004A0123" w:rsidP="008A5C11">
            <w:pPr>
              <w:rPr>
                <w:color w:val="000000"/>
                <w:sz w:val="13"/>
                <w:szCs w:val="13"/>
              </w:rPr>
            </w:pPr>
            <w:r w:rsidRPr="000D3D0C">
              <w:rPr>
                <w:color w:val="000000"/>
                <w:sz w:val="13"/>
                <w:szCs w:val="13"/>
              </w:rPr>
              <w:t>Установка блочно-модульной котельной 1200 кВт (3х400)</w:t>
            </w:r>
          </w:p>
        </w:tc>
        <w:tc>
          <w:tcPr>
            <w:tcW w:w="359" w:type="pct"/>
            <w:tcBorders>
              <w:top w:val="nil"/>
              <w:left w:val="nil"/>
              <w:bottom w:val="single" w:sz="4" w:space="0" w:color="auto"/>
              <w:right w:val="single" w:sz="4" w:space="0" w:color="auto"/>
            </w:tcBorders>
            <w:shd w:val="clear" w:color="auto" w:fill="auto"/>
            <w:vAlign w:val="center"/>
          </w:tcPr>
          <w:p w14:paraId="056E3C7B" w14:textId="77777777" w:rsidR="004A0123" w:rsidRPr="000D3D0C" w:rsidRDefault="004A0123" w:rsidP="008A5C11">
            <w:pPr>
              <w:jc w:val="center"/>
              <w:rPr>
                <w:color w:val="000000"/>
                <w:sz w:val="13"/>
                <w:szCs w:val="13"/>
              </w:rPr>
            </w:pPr>
            <w:r w:rsidRPr="000D3D0C">
              <w:rPr>
                <w:color w:val="000000"/>
                <w:sz w:val="13"/>
                <w:szCs w:val="13"/>
              </w:rPr>
              <w:t>Повышение эффективности работы систем</w:t>
            </w:r>
          </w:p>
        </w:tc>
        <w:tc>
          <w:tcPr>
            <w:tcW w:w="390" w:type="pct"/>
            <w:tcBorders>
              <w:top w:val="nil"/>
              <w:left w:val="nil"/>
              <w:bottom w:val="single" w:sz="4" w:space="0" w:color="auto"/>
              <w:right w:val="single" w:sz="4" w:space="0" w:color="auto"/>
            </w:tcBorders>
            <w:shd w:val="clear" w:color="auto" w:fill="auto"/>
            <w:vAlign w:val="center"/>
          </w:tcPr>
          <w:p w14:paraId="7112FCFE" w14:textId="77777777" w:rsidR="004A0123" w:rsidRPr="000D3D0C" w:rsidRDefault="004A0123" w:rsidP="008A5C11">
            <w:pPr>
              <w:jc w:val="center"/>
              <w:rPr>
                <w:color w:val="000000"/>
                <w:sz w:val="13"/>
                <w:szCs w:val="13"/>
              </w:rPr>
            </w:pPr>
            <w:r w:rsidRPr="000D3D0C">
              <w:rPr>
                <w:color w:val="000000"/>
                <w:sz w:val="13"/>
                <w:szCs w:val="13"/>
              </w:rPr>
              <w:t xml:space="preserve">Кемеровская обл.                  г. Тайга </w:t>
            </w:r>
          </w:p>
          <w:p w14:paraId="008092F7" w14:textId="77777777" w:rsidR="004A0123" w:rsidRPr="000D3D0C" w:rsidRDefault="004A0123" w:rsidP="008A5C11">
            <w:pPr>
              <w:jc w:val="center"/>
              <w:rPr>
                <w:color w:val="000000"/>
                <w:sz w:val="13"/>
                <w:szCs w:val="13"/>
              </w:rPr>
            </w:pPr>
            <w:r w:rsidRPr="000D3D0C">
              <w:rPr>
                <w:color w:val="000000"/>
                <w:sz w:val="13"/>
                <w:szCs w:val="13"/>
              </w:rPr>
              <w:t>п. Кедровый, д.1              Котельная Диспансер</w:t>
            </w:r>
          </w:p>
        </w:tc>
        <w:tc>
          <w:tcPr>
            <w:tcW w:w="337" w:type="pct"/>
            <w:tcBorders>
              <w:top w:val="nil"/>
              <w:left w:val="nil"/>
              <w:bottom w:val="single" w:sz="4" w:space="0" w:color="auto"/>
              <w:right w:val="single" w:sz="4" w:space="0" w:color="auto"/>
            </w:tcBorders>
            <w:shd w:val="clear" w:color="auto" w:fill="auto"/>
            <w:vAlign w:val="center"/>
          </w:tcPr>
          <w:p w14:paraId="5F92B66A" w14:textId="77777777" w:rsidR="004A0123" w:rsidRPr="000D3D0C" w:rsidRDefault="004A0123" w:rsidP="008A5C11">
            <w:pPr>
              <w:jc w:val="center"/>
              <w:rPr>
                <w:color w:val="000000"/>
                <w:sz w:val="13"/>
                <w:szCs w:val="13"/>
              </w:rPr>
            </w:pPr>
            <w:r w:rsidRPr="000D3D0C">
              <w:rPr>
                <w:color w:val="000000"/>
                <w:sz w:val="13"/>
                <w:szCs w:val="13"/>
              </w:rPr>
              <w:t>Установленная тепловая мощность</w:t>
            </w:r>
          </w:p>
        </w:tc>
        <w:tc>
          <w:tcPr>
            <w:tcW w:w="116" w:type="pct"/>
            <w:tcBorders>
              <w:top w:val="nil"/>
              <w:left w:val="nil"/>
              <w:bottom w:val="single" w:sz="4" w:space="0" w:color="auto"/>
              <w:right w:val="single" w:sz="4" w:space="0" w:color="auto"/>
            </w:tcBorders>
            <w:shd w:val="clear" w:color="auto" w:fill="auto"/>
            <w:vAlign w:val="center"/>
          </w:tcPr>
          <w:p w14:paraId="1A6CF28D" w14:textId="77777777" w:rsidR="004A0123" w:rsidRPr="000D3D0C" w:rsidRDefault="004A0123" w:rsidP="008A5C11">
            <w:pPr>
              <w:jc w:val="center"/>
              <w:rPr>
                <w:color w:val="000000"/>
                <w:sz w:val="13"/>
                <w:szCs w:val="13"/>
              </w:rPr>
            </w:pPr>
            <w:r w:rsidRPr="000D3D0C">
              <w:rPr>
                <w:color w:val="000000"/>
                <w:sz w:val="13"/>
                <w:szCs w:val="13"/>
              </w:rPr>
              <w:t>Гкал/ч</w:t>
            </w:r>
          </w:p>
        </w:tc>
        <w:tc>
          <w:tcPr>
            <w:tcW w:w="181" w:type="pct"/>
            <w:tcBorders>
              <w:top w:val="nil"/>
              <w:left w:val="single" w:sz="4" w:space="0" w:color="auto"/>
              <w:bottom w:val="single" w:sz="4" w:space="0" w:color="auto"/>
              <w:right w:val="single" w:sz="4" w:space="0" w:color="auto"/>
            </w:tcBorders>
            <w:shd w:val="clear" w:color="auto" w:fill="auto"/>
            <w:vAlign w:val="center"/>
          </w:tcPr>
          <w:p w14:paraId="60A1DBB2" w14:textId="77777777" w:rsidR="004A0123" w:rsidRPr="000D3D0C" w:rsidRDefault="004A0123" w:rsidP="008A5C11">
            <w:pPr>
              <w:jc w:val="center"/>
              <w:rPr>
                <w:color w:val="000000"/>
                <w:sz w:val="13"/>
                <w:szCs w:val="13"/>
              </w:rPr>
            </w:pPr>
            <w:r w:rsidRPr="000D3D0C">
              <w:rPr>
                <w:color w:val="000000"/>
                <w:sz w:val="13"/>
                <w:szCs w:val="13"/>
              </w:rPr>
              <w:t>2</w:t>
            </w:r>
          </w:p>
        </w:tc>
        <w:tc>
          <w:tcPr>
            <w:tcW w:w="177" w:type="pct"/>
            <w:tcBorders>
              <w:top w:val="nil"/>
              <w:left w:val="nil"/>
              <w:bottom w:val="single" w:sz="4" w:space="0" w:color="auto"/>
              <w:right w:val="single" w:sz="4" w:space="0" w:color="auto"/>
            </w:tcBorders>
            <w:shd w:val="clear" w:color="auto" w:fill="auto"/>
            <w:vAlign w:val="center"/>
          </w:tcPr>
          <w:p w14:paraId="3C7618A7" w14:textId="77777777" w:rsidR="004A0123" w:rsidRPr="000D3D0C" w:rsidRDefault="004A0123" w:rsidP="008A5C11">
            <w:pPr>
              <w:jc w:val="center"/>
              <w:rPr>
                <w:color w:val="000000"/>
                <w:sz w:val="13"/>
                <w:szCs w:val="13"/>
              </w:rPr>
            </w:pPr>
            <w:r w:rsidRPr="000D3D0C">
              <w:rPr>
                <w:color w:val="000000"/>
                <w:sz w:val="13"/>
                <w:szCs w:val="13"/>
              </w:rPr>
              <w:t>0,3</w:t>
            </w:r>
          </w:p>
        </w:tc>
        <w:tc>
          <w:tcPr>
            <w:tcW w:w="188" w:type="pct"/>
            <w:tcBorders>
              <w:top w:val="nil"/>
              <w:left w:val="nil"/>
              <w:bottom w:val="single" w:sz="4" w:space="0" w:color="auto"/>
              <w:right w:val="single" w:sz="4" w:space="0" w:color="auto"/>
            </w:tcBorders>
            <w:shd w:val="clear" w:color="auto" w:fill="auto"/>
            <w:vAlign w:val="center"/>
          </w:tcPr>
          <w:p w14:paraId="199C821B" w14:textId="77777777" w:rsidR="004A0123" w:rsidRPr="000D3D0C" w:rsidRDefault="004A0123" w:rsidP="008A5C11">
            <w:pPr>
              <w:jc w:val="center"/>
              <w:rPr>
                <w:color w:val="000000"/>
                <w:sz w:val="13"/>
                <w:szCs w:val="13"/>
              </w:rPr>
            </w:pPr>
            <w:r w:rsidRPr="000D3D0C">
              <w:rPr>
                <w:color w:val="000000"/>
                <w:sz w:val="13"/>
                <w:szCs w:val="13"/>
              </w:rPr>
              <w:t>2022</w:t>
            </w:r>
          </w:p>
        </w:tc>
        <w:tc>
          <w:tcPr>
            <w:tcW w:w="187" w:type="pct"/>
            <w:tcBorders>
              <w:top w:val="nil"/>
              <w:left w:val="nil"/>
              <w:bottom w:val="single" w:sz="4" w:space="0" w:color="auto"/>
              <w:right w:val="single" w:sz="4" w:space="0" w:color="auto"/>
            </w:tcBorders>
            <w:shd w:val="clear" w:color="auto" w:fill="auto"/>
            <w:vAlign w:val="center"/>
          </w:tcPr>
          <w:p w14:paraId="24380B92" w14:textId="77777777" w:rsidR="004A0123" w:rsidRPr="000D3D0C" w:rsidRDefault="004A0123" w:rsidP="008A5C11">
            <w:pPr>
              <w:jc w:val="center"/>
              <w:rPr>
                <w:color w:val="000000"/>
                <w:sz w:val="13"/>
                <w:szCs w:val="13"/>
              </w:rPr>
            </w:pPr>
            <w:r w:rsidRPr="000D3D0C">
              <w:rPr>
                <w:color w:val="000000"/>
                <w:sz w:val="13"/>
                <w:szCs w:val="13"/>
              </w:rPr>
              <w:t>2022</w:t>
            </w:r>
          </w:p>
        </w:tc>
        <w:tc>
          <w:tcPr>
            <w:tcW w:w="187" w:type="pct"/>
            <w:tcBorders>
              <w:top w:val="nil"/>
              <w:left w:val="nil"/>
              <w:bottom w:val="single" w:sz="4" w:space="0" w:color="auto"/>
              <w:right w:val="single" w:sz="4" w:space="0" w:color="auto"/>
            </w:tcBorders>
            <w:shd w:val="clear" w:color="auto" w:fill="auto"/>
            <w:vAlign w:val="center"/>
          </w:tcPr>
          <w:p w14:paraId="152097A4" w14:textId="77777777" w:rsidR="004A0123" w:rsidRPr="000D3D0C" w:rsidRDefault="004A0123" w:rsidP="008A5C11">
            <w:pPr>
              <w:jc w:val="center"/>
              <w:rPr>
                <w:color w:val="000000"/>
                <w:sz w:val="13"/>
                <w:szCs w:val="13"/>
              </w:rPr>
            </w:pPr>
            <w:r w:rsidRPr="000D3D0C">
              <w:rPr>
                <w:color w:val="000000"/>
                <w:sz w:val="13"/>
                <w:szCs w:val="13"/>
              </w:rPr>
              <w:t>14896</w:t>
            </w:r>
          </w:p>
        </w:tc>
        <w:tc>
          <w:tcPr>
            <w:tcW w:w="187" w:type="pct"/>
            <w:tcBorders>
              <w:top w:val="nil"/>
              <w:left w:val="nil"/>
              <w:bottom w:val="single" w:sz="4" w:space="0" w:color="auto"/>
              <w:right w:val="single" w:sz="4" w:space="0" w:color="auto"/>
            </w:tcBorders>
            <w:shd w:val="clear" w:color="auto" w:fill="auto"/>
            <w:vAlign w:val="center"/>
          </w:tcPr>
          <w:p w14:paraId="1E661984" w14:textId="77777777" w:rsidR="004A0123" w:rsidRPr="000D3D0C" w:rsidRDefault="004A0123" w:rsidP="008A5C11">
            <w:pPr>
              <w:jc w:val="center"/>
              <w:rPr>
                <w:sz w:val="13"/>
                <w:szCs w:val="13"/>
              </w:rPr>
            </w:pPr>
            <w:r w:rsidRPr="000D3D0C">
              <w:rPr>
                <w:sz w:val="13"/>
                <w:szCs w:val="13"/>
              </w:rPr>
              <w:t>0</w:t>
            </w:r>
          </w:p>
        </w:tc>
        <w:tc>
          <w:tcPr>
            <w:tcW w:w="146" w:type="pct"/>
            <w:tcBorders>
              <w:top w:val="nil"/>
              <w:left w:val="single" w:sz="4" w:space="0" w:color="auto"/>
              <w:bottom w:val="single" w:sz="4" w:space="0" w:color="auto"/>
              <w:right w:val="single" w:sz="4" w:space="0" w:color="auto"/>
            </w:tcBorders>
            <w:shd w:val="clear" w:color="auto" w:fill="auto"/>
            <w:vAlign w:val="center"/>
          </w:tcPr>
          <w:p w14:paraId="4DED9380" w14:textId="77777777" w:rsidR="004A0123" w:rsidRPr="000D3D0C" w:rsidRDefault="004A0123" w:rsidP="008A5C11">
            <w:pPr>
              <w:jc w:val="center"/>
              <w:rPr>
                <w:sz w:val="13"/>
                <w:szCs w:val="13"/>
              </w:rPr>
            </w:pPr>
            <w:r w:rsidRPr="000D3D0C">
              <w:rPr>
                <w:sz w:val="13"/>
                <w:szCs w:val="13"/>
              </w:rPr>
              <w:t>0</w:t>
            </w:r>
          </w:p>
        </w:tc>
        <w:tc>
          <w:tcPr>
            <w:tcW w:w="149" w:type="pct"/>
            <w:tcBorders>
              <w:top w:val="nil"/>
              <w:left w:val="nil"/>
              <w:bottom w:val="single" w:sz="4" w:space="0" w:color="auto"/>
              <w:right w:val="single" w:sz="4" w:space="0" w:color="auto"/>
            </w:tcBorders>
            <w:shd w:val="clear" w:color="auto" w:fill="auto"/>
            <w:vAlign w:val="center"/>
          </w:tcPr>
          <w:p w14:paraId="2E407855" w14:textId="77777777" w:rsidR="004A0123" w:rsidRPr="000D3D0C" w:rsidRDefault="004A0123" w:rsidP="008A5C11">
            <w:pPr>
              <w:jc w:val="center"/>
              <w:rPr>
                <w:sz w:val="13"/>
                <w:szCs w:val="13"/>
              </w:rPr>
            </w:pPr>
            <w:r w:rsidRPr="000D3D0C">
              <w:rPr>
                <w:sz w:val="13"/>
                <w:szCs w:val="13"/>
              </w:rPr>
              <w:t>14896</w:t>
            </w:r>
          </w:p>
        </w:tc>
        <w:tc>
          <w:tcPr>
            <w:tcW w:w="182" w:type="pct"/>
            <w:tcBorders>
              <w:top w:val="nil"/>
              <w:left w:val="nil"/>
              <w:bottom w:val="single" w:sz="4" w:space="0" w:color="auto"/>
              <w:right w:val="single" w:sz="4" w:space="0" w:color="auto"/>
            </w:tcBorders>
            <w:shd w:val="clear" w:color="auto" w:fill="auto"/>
            <w:vAlign w:val="center"/>
          </w:tcPr>
          <w:p w14:paraId="7A551EC1" w14:textId="77777777" w:rsidR="004A0123" w:rsidRPr="000D3D0C" w:rsidRDefault="004A0123" w:rsidP="008A5C11">
            <w:pPr>
              <w:jc w:val="center"/>
              <w:rPr>
                <w:sz w:val="13"/>
                <w:szCs w:val="13"/>
              </w:rPr>
            </w:pPr>
            <w:r w:rsidRPr="000D3D0C">
              <w:rPr>
                <w:sz w:val="13"/>
                <w:szCs w:val="13"/>
              </w:rPr>
              <w:t>0</w:t>
            </w:r>
          </w:p>
        </w:tc>
        <w:tc>
          <w:tcPr>
            <w:tcW w:w="182" w:type="pct"/>
            <w:tcBorders>
              <w:top w:val="nil"/>
              <w:left w:val="nil"/>
              <w:bottom w:val="single" w:sz="4" w:space="0" w:color="auto"/>
              <w:right w:val="single" w:sz="4" w:space="0" w:color="auto"/>
            </w:tcBorders>
            <w:shd w:val="clear" w:color="auto" w:fill="auto"/>
            <w:vAlign w:val="center"/>
          </w:tcPr>
          <w:p w14:paraId="2E89D610" w14:textId="77777777" w:rsidR="004A0123" w:rsidRPr="000D3D0C" w:rsidRDefault="004A0123" w:rsidP="008A5C11">
            <w:pPr>
              <w:jc w:val="center"/>
              <w:rPr>
                <w:sz w:val="13"/>
                <w:szCs w:val="13"/>
              </w:rPr>
            </w:pPr>
            <w:r w:rsidRPr="000D3D0C">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78E5F8B4" w14:textId="77777777" w:rsidR="004A0123" w:rsidRPr="000D3D0C" w:rsidRDefault="004A0123" w:rsidP="008A5C11">
            <w:pPr>
              <w:jc w:val="center"/>
              <w:rPr>
                <w:sz w:val="13"/>
                <w:szCs w:val="13"/>
              </w:rPr>
            </w:pPr>
            <w:r w:rsidRPr="000D3D0C">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298309E1" w14:textId="77777777" w:rsidR="004A0123" w:rsidRPr="000D3D0C" w:rsidRDefault="004A0123" w:rsidP="008A5C11">
            <w:pPr>
              <w:jc w:val="center"/>
              <w:rPr>
                <w:sz w:val="13"/>
                <w:szCs w:val="13"/>
              </w:rPr>
            </w:pPr>
            <w:r w:rsidRPr="000D3D0C">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231EB337" w14:textId="77777777" w:rsidR="004A0123" w:rsidRPr="000D3D0C" w:rsidRDefault="004A0123" w:rsidP="008A5C11">
            <w:pPr>
              <w:jc w:val="center"/>
              <w:rPr>
                <w:sz w:val="13"/>
                <w:szCs w:val="13"/>
              </w:rPr>
            </w:pPr>
            <w:r w:rsidRPr="000D3D0C">
              <w:rPr>
                <w:sz w:val="13"/>
                <w:szCs w:val="13"/>
              </w:rPr>
              <w:t>0</w:t>
            </w:r>
          </w:p>
        </w:tc>
        <w:tc>
          <w:tcPr>
            <w:tcW w:w="173" w:type="pct"/>
            <w:tcBorders>
              <w:top w:val="single" w:sz="4" w:space="0" w:color="auto"/>
              <w:left w:val="single" w:sz="4" w:space="0" w:color="auto"/>
              <w:bottom w:val="single" w:sz="4" w:space="0" w:color="auto"/>
              <w:right w:val="single" w:sz="4" w:space="0" w:color="auto"/>
            </w:tcBorders>
            <w:vAlign w:val="center"/>
          </w:tcPr>
          <w:p w14:paraId="6BCDFA7A" w14:textId="77777777" w:rsidR="004A0123" w:rsidRPr="000D3D0C" w:rsidRDefault="004A0123" w:rsidP="008A5C11">
            <w:pPr>
              <w:jc w:val="center"/>
              <w:rPr>
                <w:sz w:val="13"/>
                <w:szCs w:val="13"/>
              </w:rPr>
            </w:pPr>
            <w:r w:rsidRPr="000D3D0C">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580F0EAF" w14:textId="77777777" w:rsidR="004A0123" w:rsidRPr="000D3D0C" w:rsidRDefault="004A0123" w:rsidP="008A5C11">
            <w:pPr>
              <w:jc w:val="center"/>
              <w:rPr>
                <w:sz w:val="13"/>
                <w:szCs w:val="13"/>
              </w:rPr>
            </w:pPr>
            <w:r w:rsidRPr="000D3D0C">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54B32CDC" w14:textId="77777777" w:rsidR="004A0123" w:rsidRPr="000D3D0C" w:rsidRDefault="004A0123" w:rsidP="008A5C11">
            <w:pPr>
              <w:jc w:val="center"/>
              <w:rPr>
                <w:sz w:val="13"/>
                <w:szCs w:val="13"/>
              </w:rPr>
            </w:pPr>
            <w:r w:rsidRPr="000D3D0C">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78CCD33A" w14:textId="77777777" w:rsidR="004A0123" w:rsidRPr="000D3D0C" w:rsidRDefault="004A0123" w:rsidP="008A5C11">
            <w:pPr>
              <w:jc w:val="center"/>
              <w:rPr>
                <w:sz w:val="13"/>
                <w:szCs w:val="13"/>
              </w:rPr>
            </w:pPr>
            <w:r w:rsidRPr="000D3D0C">
              <w:rPr>
                <w:sz w:val="13"/>
                <w:szCs w:val="13"/>
              </w:rPr>
              <w:t>0</w:t>
            </w:r>
          </w:p>
        </w:tc>
        <w:tc>
          <w:tcPr>
            <w:tcW w:w="178" w:type="pct"/>
            <w:tcBorders>
              <w:top w:val="single" w:sz="4" w:space="0" w:color="auto"/>
              <w:left w:val="single" w:sz="4" w:space="0" w:color="auto"/>
              <w:bottom w:val="single" w:sz="4" w:space="0" w:color="auto"/>
              <w:right w:val="single" w:sz="4" w:space="0" w:color="auto"/>
            </w:tcBorders>
            <w:vAlign w:val="center"/>
          </w:tcPr>
          <w:p w14:paraId="64D05A12" w14:textId="77777777" w:rsidR="004A0123" w:rsidRPr="000D3D0C" w:rsidRDefault="004A0123" w:rsidP="008A5C11">
            <w:pPr>
              <w:jc w:val="center"/>
              <w:rPr>
                <w:sz w:val="13"/>
                <w:szCs w:val="13"/>
              </w:rPr>
            </w:pPr>
            <w:r w:rsidRPr="000D3D0C">
              <w:rPr>
                <w:sz w:val="13"/>
                <w:szCs w:val="13"/>
              </w:rPr>
              <w:t>0</w:t>
            </w:r>
          </w:p>
        </w:tc>
      </w:tr>
      <w:tr w:rsidR="004A0123" w:rsidRPr="000D3D0C" w14:paraId="2C8987B9" w14:textId="77777777" w:rsidTr="008A5C11">
        <w:trPr>
          <w:trHeight w:val="1034"/>
        </w:trPr>
        <w:tc>
          <w:tcPr>
            <w:tcW w:w="148" w:type="pct"/>
            <w:tcBorders>
              <w:bottom w:val="single" w:sz="4" w:space="0" w:color="auto"/>
            </w:tcBorders>
            <w:shd w:val="clear" w:color="auto" w:fill="auto"/>
            <w:vAlign w:val="center"/>
          </w:tcPr>
          <w:p w14:paraId="5F6C5714" w14:textId="77777777" w:rsidR="004A0123" w:rsidRPr="000D3D0C" w:rsidRDefault="004A0123" w:rsidP="008A5C11">
            <w:pPr>
              <w:jc w:val="center"/>
              <w:rPr>
                <w:sz w:val="13"/>
                <w:szCs w:val="13"/>
              </w:rPr>
            </w:pPr>
            <w:r w:rsidRPr="000D3D0C">
              <w:rPr>
                <w:sz w:val="13"/>
                <w:szCs w:val="13"/>
              </w:rPr>
              <w:t>4.4.</w:t>
            </w:r>
          </w:p>
        </w:tc>
        <w:tc>
          <w:tcPr>
            <w:tcW w:w="585" w:type="pct"/>
            <w:tcBorders>
              <w:top w:val="nil"/>
              <w:left w:val="single" w:sz="4" w:space="0" w:color="auto"/>
              <w:bottom w:val="single" w:sz="4" w:space="0" w:color="auto"/>
              <w:right w:val="single" w:sz="4" w:space="0" w:color="auto"/>
            </w:tcBorders>
            <w:shd w:val="clear" w:color="auto" w:fill="auto"/>
          </w:tcPr>
          <w:p w14:paraId="5A5593B9" w14:textId="77777777" w:rsidR="004A0123" w:rsidRPr="000D3D0C" w:rsidRDefault="004A0123" w:rsidP="008A5C11">
            <w:pPr>
              <w:rPr>
                <w:color w:val="000000"/>
                <w:sz w:val="13"/>
                <w:szCs w:val="13"/>
              </w:rPr>
            </w:pPr>
            <w:r w:rsidRPr="000D3D0C">
              <w:rPr>
                <w:color w:val="000000"/>
                <w:sz w:val="13"/>
                <w:szCs w:val="13"/>
              </w:rPr>
              <w:t>Установка блочно-модульной котельной 600 кВт (2х300)</w:t>
            </w:r>
          </w:p>
        </w:tc>
        <w:tc>
          <w:tcPr>
            <w:tcW w:w="359" w:type="pct"/>
            <w:tcBorders>
              <w:top w:val="nil"/>
              <w:left w:val="nil"/>
              <w:bottom w:val="single" w:sz="4" w:space="0" w:color="auto"/>
              <w:right w:val="single" w:sz="4" w:space="0" w:color="auto"/>
            </w:tcBorders>
            <w:shd w:val="clear" w:color="auto" w:fill="auto"/>
            <w:vAlign w:val="center"/>
          </w:tcPr>
          <w:p w14:paraId="20110AE8" w14:textId="77777777" w:rsidR="004A0123" w:rsidRPr="000D3D0C" w:rsidRDefault="004A0123" w:rsidP="008A5C11">
            <w:pPr>
              <w:jc w:val="center"/>
              <w:rPr>
                <w:color w:val="000000"/>
                <w:sz w:val="13"/>
                <w:szCs w:val="13"/>
              </w:rPr>
            </w:pPr>
            <w:r w:rsidRPr="000D3D0C">
              <w:rPr>
                <w:color w:val="000000"/>
                <w:sz w:val="13"/>
                <w:szCs w:val="13"/>
              </w:rPr>
              <w:t>Повышение эффективности работы систем</w:t>
            </w:r>
          </w:p>
        </w:tc>
        <w:tc>
          <w:tcPr>
            <w:tcW w:w="390" w:type="pct"/>
            <w:tcBorders>
              <w:top w:val="nil"/>
              <w:left w:val="nil"/>
              <w:bottom w:val="single" w:sz="4" w:space="0" w:color="auto"/>
              <w:right w:val="single" w:sz="4" w:space="0" w:color="auto"/>
            </w:tcBorders>
            <w:shd w:val="clear" w:color="auto" w:fill="auto"/>
            <w:vAlign w:val="center"/>
          </w:tcPr>
          <w:p w14:paraId="48DC32EF" w14:textId="77777777" w:rsidR="004A0123" w:rsidRPr="000D3D0C" w:rsidRDefault="004A0123" w:rsidP="008A5C11">
            <w:pPr>
              <w:jc w:val="center"/>
              <w:rPr>
                <w:color w:val="000000"/>
                <w:sz w:val="13"/>
                <w:szCs w:val="13"/>
              </w:rPr>
            </w:pPr>
            <w:r w:rsidRPr="000D3D0C">
              <w:rPr>
                <w:color w:val="000000"/>
                <w:sz w:val="13"/>
                <w:szCs w:val="13"/>
              </w:rPr>
              <w:t>Кемеровская обл.                  г. Тайга                         ул. Трудовые резервы, д.18.                                    Котельная Приют</w:t>
            </w:r>
          </w:p>
        </w:tc>
        <w:tc>
          <w:tcPr>
            <w:tcW w:w="337" w:type="pct"/>
            <w:tcBorders>
              <w:top w:val="nil"/>
              <w:left w:val="nil"/>
              <w:bottom w:val="single" w:sz="4" w:space="0" w:color="auto"/>
              <w:right w:val="single" w:sz="4" w:space="0" w:color="auto"/>
            </w:tcBorders>
            <w:shd w:val="clear" w:color="auto" w:fill="auto"/>
            <w:vAlign w:val="center"/>
          </w:tcPr>
          <w:p w14:paraId="429ACDB2" w14:textId="77777777" w:rsidR="004A0123" w:rsidRPr="000D3D0C" w:rsidRDefault="004A0123" w:rsidP="008A5C11">
            <w:pPr>
              <w:jc w:val="center"/>
              <w:rPr>
                <w:color w:val="000000"/>
                <w:sz w:val="13"/>
                <w:szCs w:val="13"/>
              </w:rPr>
            </w:pPr>
            <w:r w:rsidRPr="000D3D0C">
              <w:rPr>
                <w:color w:val="000000"/>
                <w:sz w:val="13"/>
                <w:szCs w:val="13"/>
              </w:rPr>
              <w:t>Установленная тепловая мощность</w:t>
            </w:r>
          </w:p>
        </w:tc>
        <w:tc>
          <w:tcPr>
            <w:tcW w:w="116" w:type="pct"/>
            <w:tcBorders>
              <w:top w:val="nil"/>
              <w:left w:val="nil"/>
              <w:bottom w:val="single" w:sz="4" w:space="0" w:color="auto"/>
              <w:right w:val="single" w:sz="4" w:space="0" w:color="auto"/>
            </w:tcBorders>
            <w:shd w:val="clear" w:color="auto" w:fill="auto"/>
            <w:vAlign w:val="center"/>
          </w:tcPr>
          <w:p w14:paraId="47D1FB75" w14:textId="77777777" w:rsidR="004A0123" w:rsidRPr="000D3D0C" w:rsidRDefault="004A0123" w:rsidP="008A5C11">
            <w:pPr>
              <w:jc w:val="center"/>
              <w:rPr>
                <w:color w:val="000000"/>
                <w:sz w:val="13"/>
                <w:szCs w:val="13"/>
              </w:rPr>
            </w:pPr>
            <w:r w:rsidRPr="000D3D0C">
              <w:rPr>
                <w:color w:val="000000"/>
                <w:sz w:val="13"/>
                <w:szCs w:val="13"/>
              </w:rPr>
              <w:t>Гкал/ч</w:t>
            </w:r>
          </w:p>
        </w:tc>
        <w:tc>
          <w:tcPr>
            <w:tcW w:w="181" w:type="pct"/>
            <w:tcBorders>
              <w:top w:val="nil"/>
              <w:left w:val="single" w:sz="4" w:space="0" w:color="auto"/>
              <w:bottom w:val="single" w:sz="4" w:space="0" w:color="auto"/>
              <w:right w:val="single" w:sz="4" w:space="0" w:color="auto"/>
            </w:tcBorders>
            <w:shd w:val="clear" w:color="auto" w:fill="auto"/>
            <w:vAlign w:val="center"/>
          </w:tcPr>
          <w:p w14:paraId="5DA89084" w14:textId="77777777" w:rsidR="004A0123" w:rsidRPr="000D3D0C" w:rsidRDefault="004A0123" w:rsidP="008A5C11">
            <w:pPr>
              <w:jc w:val="center"/>
              <w:rPr>
                <w:color w:val="000000"/>
                <w:sz w:val="13"/>
                <w:szCs w:val="13"/>
              </w:rPr>
            </w:pPr>
            <w:r w:rsidRPr="000D3D0C">
              <w:rPr>
                <w:color w:val="000000"/>
                <w:sz w:val="13"/>
                <w:szCs w:val="13"/>
              </w:rPr>
              <w:t>0,6</w:t>
            </w:r>
          </w:p>
        </w:tc>
        <w:tc>
          <w:tcPr>
            <w:tcW w:w="177" w:type="pct"/>
            <w:tcBorders>
              <w:top w:val="nil"/>
              <w:left w:val="nil"/>
              <w:bottom w:val="single" w:sz="4" w:space="0" w:color="auto"/>
              <w:right w:val="single" w:sz="4" w:space="0" w:color="auto"/>
            </w:tcBorders>
            <w:shd w:val="clear" w:color="auto" w:fill="auto"/>
            <w:vAlign w:val="center"/>
          </w:tcPr>
          <w:p w14:paraId="26BD1011" w14:textId="77777777" w:rsidR="004A0123" w:rsidRPr="000D3D0C" w:rsidRDefault="004A0123" w:rsidP="008A5C11">
            <w:pPr>
              <w:jc w:val="center"/>
              <w:rPr>
                <w:color w:val="000000"/>
                <w:sz w:val="13"/>
                <w:szCs w:val="13"/>
              </w:rPr>
            </w:pPr>
            <w:r w:rsidRPr="000D3D0C">
              <w:rPr>
                <w:color w:val="000000"/>
                <w:sz w:val="13"/>
                <w:szCs w:val="13"/>
              </w:rPr>
              <w:t>0,52</w:t>
            </w:r>
          </w:p>
        </w:tc>
        <w:tc>
          <w:tcPr>
            <w:tcW w:w="188" w:type="pct"/>
            <w:tcBorders>
              <w:top w:val="nil"/>
              <w:left w:val="nil"/>
              <w:bottom w:val="single" w:sz="4" w:space="0" w:color="auto"/>
              <w:right w:val="single" w:sz="4" w:space="0" w:color="auto"/>
            </w:tcBorders>
            <w:shd w:val="clear" w:color="auto" w:fill="auto"/>
            <w:vAlign w:val="center"/>
          </w:tcPr>
          <w:p w14:paraId="3E1E162C" w14:textId="77777777" w:rsidR="004A0123" w:rsidRPr="000D3D0C" w:rsidRDefault="004A0123" w:rsidP="008A5C11">
            <w:pPr>
              <w:jc w:val="center"/>
              <w:rPr>
                <w:color w:val="000000"/>
                <w:sz w:val="13"/>
                <w:szCs w:val="13"/>
              </w:rPr>
            </w:pPr>
            <w:r w:rsidRPr="000D3D0C">
              <w:rPr>
                <w:color w:val="000000"/>
                <w:sz w:val="13"/>
                <w:szCs w:val="13"/>
              </w:rPr>
              <w:t>2023</w:t>
            </w:r>
          </w:p>
        </w:tc>
        <w:tc>
          <w:tcPr>
            <w:tcW w:w="187" w:type="pct"/>
            <w:tcBorders>
              <w:top w:val="nil"/>
              <w:left w:val="nil"/>
              <w:bottom w:val="single" w:sz="4" w:space="0" w:color="auto"/>
              <w:right w:val="single" w:sz="4" w:space="0" w:color="auto"/>
            </w:tcBorders>
            <w:shd w:val="clear" w:color="auto" w:fill="auto"/>
            <w:vAlign w:val="center"/>
          </w:tcPr>
          <w:p w14:paraId="23456017" w14:textId="77777777" w:rsidR="004A0123" w:rsidRPr="000D3D0C" w:rsidRDefault="004A0123" w:rsidP="008A5C11">
            <w:pPr>
              <w:jc w:val="center"/>
              <w:rPr>
                <w:color w:val="000000"/>
                <w:sz w:val="13"/>
                <w:szCs w:val="13"/>
              </w:rPr>
            </w:pPr>
            <w:r w:rsidRPr="000D3D0C">
              <w:rPr>
                <w:color w:val="000000"/>
                <w:sz w:val="13"/>
                <w:szCs w:val="13"/>
              </w:rPr>
              <w:t>2023</w:t>
            </w:r>
          </w:p>
        </w:tc>
        <w:tc>
          <w:tcPr>
            <w:tcW w:w="187" w:type="pct"/>
            <w:tcBorders>
              <w:top w:val="nil"/>
              <w:left w:val="nil"/>
              <w:bottom w:val="single" w:sz="4" w:space="0" w:color="auto"/>
              <w:right w:val="single" w:sz="4" w:space="0" w:color="auto"/>
            </w:tcBorders>
            <w:shd w:val="clear" w:color="auto" w:fill="auto"/>
            <w:vAlign w:val="center"/>
          </w:tcPr>
          <w:p w14:paraId="37841E7C" w14:textId="77777777" w:rsidR="004A0123" w:rsidRPr="000D3D0C" w:rsidRDefault="004A0123" w:rsidP="008A5C11">
            <w:pPr>
              <w:jc w:val="center"/>
              <w:rPr>
                <w:color w:val="000000"/>
                <w:sz w:val="13"/>
                <w:szCs w:val="13"/>
              </w:rPr>
            </w:pPr>
            <w:r w:rsidRPr="000D3D0C">
              <w:rPr>
                <w:color w:val="000000"/>
                <w:sz w:val="13"/>
                <w:szCs w:val="13"/>
              </w:rPr>
              <w:t>13344</w:t>
            </w:r>
          </w:p>
        </w:tc>
        <w:tc>
          <w:tcPr>
            <w:tcW w:w="187" w:type="pct"/>
            <w:tcBorders>
              <w:top w:val="nil"/>
              <w:left w:val="nil"/>
              <w:bottom w:val="single" w:sz="4" w:space="0" w:color="auto"/>
              <w:right w:val="single" w:sz="4" w:space="0" w:color="auto"/>
            </w:tcBorders>
            <w:shd w:val="clear" w:color="auto" w:fill="auto"/>
            <w:vAlign w:val="center"/>
          </w:tcPr>
          <w:p w14:paraId="62924380" w14:textId="77777777" w:rsidR="004A0123" w:rsidRPr="000D3D0C" w:rsidRDefault="004A0123" w:rsidP="008A5C11">
            <w:pPr>
              <w:jc w:val="center"/>
              <w:rPr>
                <w:sz w:val="13"/>
                <w:szCs w:val="13"/>
              </w:rPr>
            </w:pPr>
            <w:r w:rsidRPr="000D3D0C">
              <w:rPr>
                <w:sz w:val="13"/>
                <w:szCs w:val="13"/>
              </w:rPr>
              <w:t>0</w:t>
            </w:r>
          </w:p>
        </w:tc>
        <w:tc>
          <w:tcPr>
            <w:tcW w:w="146" w:type="pct"/>
            <w:tcBorders>
              <w:top w:val="nil"/>
              <w:left w:val="single" w:sz="4" w:space="0" w:color="auto"/>
              <w:bottom w:val="single" w:sz="4" w:space="0" w:color="auto"/>
              <w:right w:val="single" w:sz="4" w:space="0" w:color="auto"/>
            </w:tcBorders>
            <w:shd w:val="clear" w:color="auto" w:fill="auto"/>
            <w:vAlign w:val="center"/>
          </w:tcPr>
          <w:p w14:paraId="20347824" w14:textId="77777777" w:rsidR="004A0123" w:rsidRPr="000D3D0C" w:rsidRDefault="004A0123" w:rsidP="008A5C11">
            <w:pPr>
              <w:jc w:val="center"/>
              <w:rPr>
                <w:sz w:val="13"/>
                <w:szCs w:val="13"/>
              </w:rPr>
            </w:pPr>
            <w:r w:rsidRPr="000D3D0C">
              <w:rPr>
                <w:sz w:val="13"/>
                <w:szCs w:val="13"/>
              </w:rPr>
              <w:t>0</w:t>
            </w:r>
          </w:p>
        </w:tc>
        <w:tc>
          <w:tcPr>
            <w:tcW w:w="149" w:type="pct"/>
            <w:tcBorders>
              <w:top w:val="nil"/>
              <w:left w:val="nil"/>
              <w:bottom w:val="single" w:sz="4" w:space="0" w:color="auto"/>
              <w:right w:val="single" w:sz="4" w:space="0" w:color="auto"/>
            </w:tcBorders>
            <w:shd w:val="clear" w:color="auto" w:fill="auto"/>
            <w:vAlign w:val="center"/>
          </w:tcPr>
          <w:p w14:paraId="17F1D379" w14:textId="77777777" w:rsidR="004A0123" w:rsidRPr="000D3D0C" w:rsidRDefault="004A0123" w:rsidP="008A5C11">
            <w:pPr>
              <w:jc w:val="center"/>
              <w:rPr>
                <w:sz w:val="13"/>
                <w:szCs w:val="13"/>
              </w:rPr>
            </w:pPr>
            <w:r w:rsidRPr="000D3D0C">
              <w:rPr>
                <w:sz w:val="13"/>
                <w:szCs w:val="13"/>
              </w:rPr>
              <w:t>0</w:t>
            </w:r>
          </w:p>
        </w:tc>
        <w:tc>
          <w:tcPr>
            <w:tcW w:w="182" w:type="pct"/>
            <w:tcBorders>
              <w:top w:val="nil"/>
              <w:left w:val="nil"/>
              <w:bottom w:val="single" w:sz="4" w:space="0" w:color="auto"/>
              <w:right w:val="single" w:sz="4" w:space="0" w:color="auto"/>
            </w:tcBorders>
            <w:shd w:val="clear" w:color="auto" w:fill="auto"/>
            <w:vAlign w:val="center"/>
          </w:tcPr>
          <w:p w14:paraId="334A8CFE" w14:textId="77777777" w:rsidR="004A0123" w:rsidRPr="000D3D0C" w:rsidRDefault="004A0123" w:rsidP="008A5C11">
            <w:pPr>
              <w:jc w:val="center"/>
              <w:rPr>
                <w:sz w:val="13"/>
                <w:szCs w:val="13"/>
              </w:rPr>
            </w:pPr>
            <w:r w:rsidRPr="000D3D0C">
              <w:rPr>
                <w:sz w:val="13"/>
                <w:szCs w:val="13"/>
              </w:rPr>
              <w:t>13344</w:t>
            </w:r>
          </w:p>
        </w:tc>
        <w:tc>
          <w:tcPr>
            <w:tcW w:w="182" w:type="pct"/>
            <w:tcBorders>
              <w:top w:val="nil"/>
              <w:left w:val="nil"/>
              <w:bottom w:val="single" w:sz="4" w:space="0" w:color="auto"/>
              <w:right w:val="single" w:sz="4" w:space="0" w:color="auto"/>
            </w:tcBorders>
            <w:shd w:val="clear" w:color="auto" w:fill="auto"/>
            <w:vAlign w:val="center"/>
          </w:tcPr>
          <w:p w14:paraId="4E0FC36A" w14:textId="77777777" w:rsidR="004A0123" w:rsidRPr="000D3D0C" w:rsidRDefault="004A0123" w:rsidP="008A5C11">
            <w:pPr>
              <w:jc w:val="center"/>
              <w:rPr>
                <w:sz w:val="13"/>
                <w:szCs w:val="13"/>
              </w:rPr>
            </w:pPr>
            <w:r w:rsidRPr="000D3D0C">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4DC89CDD" w14:textId="77777777" w:rsidR="004A0123" w:rsidRPr="000D3D0C" w:rsidRDefault="004A0123" w:rsidP="008A5C11">
            <w:pPr>
              <w:jc w:val="center"/>
              <w:rPr>
                <w:sz w:val="13"/>
                <w:szCs w:val="13"/>
              </w:rPr>
            </w:pPr>
            <w:r w:rsidRPr="000D3D0C">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24369E95" w14:textId="77777777" w:rsidR="004A0123" w:rsidRPr="000D3D0C" w:rsidRDefault="004A0123" w:rsidP="008A5C11">
            <w:pPr>
              <w:jc w:val="center"/>
              <w:rPr>
                <w:sz w:val="13"/>
                <w:szCs w:val="13"/>
              </w:rPr>
            </w:pPr>
            <w:r w:rsidRPr="000D3D0C">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5E6E7ADE" w14:textId="77777777" w:rsidR="004A0123" w:rsidRPr="000D3D0C" w:rsidRDefault="004A0123" w:rsidP="008A5C11">
            <w:pPr>
              <w:jc w:val="center"/>
              <w:rPr>
                <w:sz w:val="13"/>
                <w:szCs w:val="13"/>
              </w:rPr>
            </w:pPr>
            <w:r w:rsidRPr="000D3D0C">
              <w:rPr>
                <w:sz w:val="13"/>
                <w:szCs w:val="13"/>
              </w:rPr>
              <w:t>0</w:t>
            </w:r>
          </w:p>
        </w:tc>
        <w:tc>
          <w:tcPr>
            <w:tcW w:w="173" w:type="pct"/>
            <w:tcBorders>
              <w:top w:val="single" w:sz="4" w:space="0" w:color="auto"/>
              <w:left w:val="single" w:sz="4" w:space="0" w:color="auto"/>
              <w:bottom w:val="single" w:sz="4" w:space="0" w:color="auto"/>
              <w:right w:val="single" w:sz="4" w:space="0" w:color="auto"/>
            </w:tcBorders>
            <w:vAlign w:val="center"/>
          </w:tcPr>
          <w:p w14:paraId="4F6C6E17" w14:textId="77777777" w:rsidR="004A0123" w:rsidRPr="000D3D0C" w:rsidRDefault="004A0123" w:rsidP="008A5C11">
            <w:pPr>
              <w:jc w:val="center"/>
              <w:rPr>
                <w:sz w:val="13"/>
                <w:szCs w:val="13"/>
              </w:rPr>
            </w:pPr>
            <w:r w:rsidRPr="000D3D0C">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0DC84139" w14:textId="77777777" w:rsidR="004A0123" w:rsidRPr="000D3D0C" w:rsidRDefault="004A0123" w:rsidP="008A5C11">
            <w:pPr>
              <w:jc w:val="center"/>
              <w:rPr>
                <w:sz w:val="13"/>
                <w:szCs w:val="13"/>
              </w:rPr>
            </w:pPr>
            <w:r w:rsidRPr="000D3D0C">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567AEB84" w14:textId="77777777" w:rsidR="004A0123" w:rsidRPr="000D3D0C" w:rsidRDefault="004A0123" w:rsidP="008A5C11">
            <w:pPr>
              <w:jc w:val="center"/>
              <w:rPr>
                <w:sz w:val="13"/>
                <w:szCs w:val="13"/>
              </w:rPr>
            </w:pPr>
            <w:r w:rsidRPr="000D3D0C">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44AA0F8E" w14:textId="77777777" w:rsidR="004A0123" w:rsidRPr="000D3D0C" w:rsidRDefault="004A0123" w:rsidP="008A5C11">
            <w:pPr>
              <w:jc w:val="center"/>
              <w:rPr>
                <w:sz w:val="13"/>
                <w:szCs w:val="13"/>
              </w:rPr>
            </w:pPr>
            <w:r w:rsidRPr="000D3D0C">
              <w:rPr>
                <w:sz w:val="13"/>
                <w:szCs w:val="13"/>
              </w:rPr>
              <w:t>0</w:t>
            </w:r>
          </w:p>
        </w:tc>
        <w:tc>
          <w:tcPr>
            <w:tcW w:w="178" w:type="pct"/>
            <w:tcBorders>
              <w:top w:val="single" w:sz="4" w:space="0" w:color="auto"/>
              <w:left w:val="single" w:sz="4" w:space="0" w:color="auto"/>
              <w:bottom w:val="single" w:sz="4" w:space="0" w:color="auto"/>
              <w:right w:val="single" w:sz="4" w:space="0" w:color="auto"/>
            </w:tcBorders>
            <w:vAlign w:val="center"/>
          </w:tcPr>
          <w:p w14:paraId="4B2383F1" w14:textId="77777777" w:rsidR="004A0123" w:rsidRPr="000D3D0C" w:rsidRDefault="004A0123" w:rsidP="008A5C11">
            <w:pPr>
              <w:jc w:val="center"/>
              <w:rPr>
                <w:sz w:val="13"/>
                <w:szCs w:val="13"/>
              </w:rPr>
            </w:pPr>
            <w:r w:rsidRPr="000D3D0C">
              <w:rPr>
                <w:sz w:val="13"/>
                <w:szCs w:val="13"/>
              </w:rPr>
              <w:t>0</w:t>
            </w:r>
          </w:p>
        </w:tc>
      </w:tr>
      <w:tr w:rsidR="004A0123" w:rsidRPr="000D3D0C" w14:paraId="61ADAEFC" w14:textId="77777777" w:rsidTr="008A5C11">
        <w:trPr>
          <w:trHeight w:val="832"/>
        </w:trPr>
        <w:tc>
          <w:tcPr>
            <w:tcW w:w="148" w:type="pct"/>
            <w:tcBorders>
              <w:bottom w:val="single" w:sz="4" w:space="0" w:color="auto"/>
            </w:tcBorders>
            <w:shd w:val="clear" w:color="auto" w:fill="auto"/>
            <w:vAlign w:val="center"/>
          </w:tcPr>
          <w:p w14:paraId="33288F83" w14:textId="77777777" w:rsidR="004A0123" w:rsidRPr="000D3D0C" w:rsidRDefault="004A0123" w:rsidP="008A5C11">
            <w:pPr>
              <w:jc w:val="center"/>
              <w:rPr>
                <w:sz w:val="13"/>
                <w:szCs w:val="13"/>
              </w:rPr>
            </w:pPr>
            <w:r w:rsidRPr="000D3D0C">
              <w:rPr>
                <w:sz w:val="13"/>
                <w:szCs w:val="13"/>
              </w:rPr>
              <w:t>4.5.</w:t>
            </w:r>
          </w:p>
        </w:tc>
        <w:tc>
          <w:tcPr>
            <w:tcW w:w="585" w:type="pct"/>
            <w:tcBorders>
              <w:top w:val="nil"/>
              <w:left w:val="single" w:sz="4" w:space="0" w:color="auto"/>
              <w:bottom w:val="single" w:sz="4" w:space="0" w:color="auto"/>
              <w:right w:val="single" w:sz="4" w:space="0" w:color="auto"/>
            </w:tcBorders>
            <w:shd w:val="clear" w:color="auto" w:fill="auto"/>
          </w:tcPr>
          <w:p w14:paraId="36165D1F" w14:textId="77777777" w:rsidR="004A0123" w:rsidRPr="000D3D0C" w:rsidRDefault="004A0123" w:rsidP="008A5C11">
            <w:pPr>
              <w:rPr>
                <w:color w:val="000000"/>
                <w:sz w:val="13"/>
                <w:szCs w:val="13"/>
              </w:rPr>
            </w:pPr>
            <w:r w:rsidRPr="000D3D0C">
              <w:rPr>
                <w:color w:val="000000"/>
                <w:sz w:val="13"/>
                <w:szCs w:val="13"/>
              </w:rPr>
              <w:t>Установка блочно-модульной котельной 400 кВт (2х200)</w:t>
            </w:r>
          </w:p>
        </w:tc>
        <w:tc>
          <w:tcPr>
            <w:tcW w:w="359" w:type="pct"/>
            <w:tcBorders>
              <w:top w:val="nil"/>
              <w:left w:val="nil"/>
              <w:bottom w:val="single" w:sz="4" w:space="0" w:color="auto"/>
              <w:right w:val="single" w:sz="4" w:space="0" w:color="auto"/>
            </w:tcBorders>
            <w:shd w:val="clear" w:color="auto" w:fill="auto"/>
            <w:vAlign w:val="center"/>
          </w:tcPr>
          <w:p w14:paraId="12FF4183" w14:textId="77777777" w:rsidR="004A0123" w:rsidRPr="000D3D0C" w:rsidRDefault="004A0123" w:rsidP="008A5C11">
            <w:pPr>
              <w:jc w:val="center"/>
              <w:rPr>
                <w:color w:val="000000"/>
                <w:sz w:val="13"/>
                <w:szCs w:val="13"/>
              </w:rPr>
            </w:pPr>
            <w:r w:rsidRPr="000D3D0C">
              <w:rPr>
                <w:color w:val="000000"/>
                <w:sz w:val="13"/>
                <w:szCs w:val="13"/>
              </w:rPr>
              <w:t>Повышение эффективности работы систем</w:t>
            </w:r>
          </w:p>
        </w:tc>
        <w:tc>
          <w:tcPr>
            <w:tcW w:w="390" w:type="pct"/>
            <w:tcBorders>
              <w:top w:val="nil"/>
              <w:left w:val="nil"/>
              <w:bottom w:val="single" w:sz="4" w:space="0" w:color="auto"/>
              <w:right w:val="single" w:sz="4" w:space="0" w:color="auto"/>
            </w:tcBorders>
            <w:shd w:val="clear" w:color="auto" w:fill="auto"/>
            <w:vAlign w:val="center"/>
          </w:tcPr>
          <w:p w14:paraId="6580EA7F" w14:textId="77777777" w:rsidR="004A0123" w:rsidRPr="000D3D0C" w:rsidRDefault="004A0123" w:rsidP="008A5C11">
            <w:pPr>
              <w:jc w:val="center"/>
              <w:rPr>
                <w:color w:val="000000"/>
                <w:sz w:val="13"/>
                <w:szCs w:val="13"/>
              </w:rPr>
            </w:pPr>
            <w:r w:rsidRPr="000D3D0C">
              <w:rPr>
                <w:color w:val="000000"/>
                <w:sz w:val="13"/>
                <w:szCs w:val="13"/>
              </w:rPr>
              <w:t>Кемеровская обл.                  п. Кузель                         ул. Школьная, 14а.              Котельная Кузель</w:t>
            </w:r>
          </w:p>
        </w:tc>
        <w:tc>
          <w:tcPr>
            <w:tcW w:w="337" w:type="pct"/>
            <w:tcBorders>
              <w:top w:val="nil"/>
              <w:left w:val="nil"/>
              <w:bottom w:val="single" w:sz="4" w:space="0" w:color="auto"/>
              <w:right w:val="single" w:sz="4" w:space="0" w:color="auto"/>
            </w:tcBorders>
            <w:shd w:val="clear" w:color="auto" w:fill="auto"/>
            <w:vAlign w:val="center"/>
          </w:tcPr>
          <w:p w14:paraId="1DB0F4E9" w14:textId="77777777" w:rsidR="004A0123" w:rsidRPr="000D3D0C" w:rsidRDefault="004A0123" w:rsidP="008A5C11">
            <w:pPr>
              <w:jc w:val="center"/>
              <w:rPr>
                <w:color w:val="000000"/>
                <w:sz w:val="13"/>
                <w:szCs w:val="13"/>
              </w:rPr>
            </w:pPr>
            <w:r w:rsidRPr="000D3D0C">
              <w:rPr>
                <w:color w:val="000000"/>
                <w:sz w:val="13"/>
                <w:szCs w:val="13"/>
              </w:rPr>
              <w:t>Установленная тепловая мощность</w:t>
            </w:r>
          </w:p>
        </w:tc>
        <w:tc>
          <w:tcPr>
            <w:tcW w:w="116" w:type="pct"/>
            <w:tcBorders>
              <w:top w:val="nil"/>
              <w:left w:val="nil"/>
              <w:bottom w:val="single" w:sz="4" w:space="0" w:color="auto"/>
              <w:right w:val="single" w:sz="4" w:space="0" w:color="auto"/>
            </w:tcBorders>
            <w:shd w:val="clear" w:color="auto" w:fill="auto"/>
            <w:vAlign w:val="center"/>
          </w:tcPr>
          <w:p w14:paraId="28B06244" w14:textId="77777777" w:rsidR="004A0123" w:rsidRPr="000D3D0C" w:rsidRDefault="004A0123" w:rsidP="008A5C11">
            <w:pPr>
              <w:jc w:val="center"/>
              <w:rPr>
                <w:color w:val="000000"/>
                <w:sz w:val="13"/>
                <w:szCs w:val="13"/>
              </w:rPr>
            </w:pPr>
            <w:r w:rsidRPr="000D3D0C">
              <w:rPr>
                <w:color w:val="000000"/>
                <w:sz w:val="13"/>
                <w:szCs w:val="13"/>
              </w:rPr>
              <w:t>Гкал/ч</w:t>
            </w:r>
          </w:p>
        </w:tc>
        <w:tc>
          <w:tcPr>
            <w:tcW w:w="181" w:type="pct"/>
            <w:tcBorders>
              <w:top w:val="nil"/>
              <w:left w:val="single" w:sz="4" w:space="0" w:color="auto"/>
              <w:bottom w:val="single" w:sz="4" w:space="0" w:color="auto"/>
              <w:right w:val="single" w:sz="4" w:space="0" w:color="auto"/>
            </w:tcBorders>
            <w:shd w:val="clear" w:color="auto" w:fill="auto"/>
            <w:vAlign w:val="center"/>
          </w:tcPr>
          <w:p w14:paraId="11B69975" w14:textId="77777777" w:rsidR="004A0123" w:rsidRPr="000D3D0C" w:rsidRDefault="004A0123" w:rsidP="008A5C11">
            <w:pPr>
              <w:jc w:val="center"/>
              <w:rPr>
                <w:color w:val="000000"/>
                <w:sz w:val="13"/>
                <w:szCs w:val="13"/>
              </w:rPr>
            </w:pPr>
            <w:r w:rsidRPr="000D3D0C">
              <w:rPr>
                <w:color w:val="000000"/>
                <w:sz w:val="13"/>
                <w:szCs w:val="13"/>
              </w:rPr>
              <w:t>0,8</w:t>
            </w:r>
          </w:p>
        </w:tc>
        <w:tc>
          <w:tcPr>
            <w:tcW w:w="177" w:type="pct"/>
            <w:tcBorders>
              <w:top w:val="nil"/>
              <w:left w:val="nil"/>
              <w:bottom w:val="single" w:sz="4" w:space="0" w:color="auto"/>
              <w:right w:val="single" w:sz="4" w:space="0" w:color="auto"/>
            </w:tcBorders>
            <w:shd w:val="clear" w:color="auto" w:fill="auto"/>
            <w:vAlign w:val="center"/>
          </w:tcPr>
          <w:p w14:paraId="2529CD4F" w14:textId="77777777" w:rsidR="004A0123" w:rsidRPr="000D3D0C" w:rsidRDefault="004A0123" w:rsidP="008A5C11">
            <w:pPr>
              <w:jc w:val="center"/>
              <w:rPr>
                <w:color w:val="000000"/>
                <w:sz w:val="13"/>
                <w:szCs w:val="13"/>
              </w:rPr>
            </w:pPr>
            <w:r w:rsidRPr="000D3D0C">
              <w:rPr>
                <w:color w:val="000000"/>
                <w:sz w:val="13"/>
                <w:szCs w:val="13"/>
              </w:rPr>
              <w:t>0,34</w:t>
            </w:r>
          </w:p>
        </w:tc>
        <w:tc>
          <w:tcPr>
            <w:tcW w:w="188" w:type="pct"/>
            <w:tcBorders>
              <w:top w:val="nil"/>
              <w:left w:val="nil"/>
              <w:bottom w:val="single" w:sz="4" w:space="0" w:color="auto"/>
              <w:right w:val="single" w:sz="4" w:space="0" w:color="auto"/>
            </w:tcBorders>
            <w:shd w:val="clear" w:color="auto" w:fill="auto"/>
            <w:vAlign w:val="center"/>
          </w:tcPr>
          <w:p w14:paraId="4FB62531" w14:textId="77777777" w:rsidR="004A0123" w:rsidRPr="000D3D0C" w:rsidRDefault="004A0123" w:rsidP="008A5C11">
            <w:pPr>
              <w:jc w:val="center"/>
              <w:rPr>
                <w:color w:val="000000"/>
                <w:sz w:val="13"/>
                <w:szCs w:val="13"/>
              </w:rPr>
            </w:pPr>
            <w:r w:rsidRPr="000D3D0C">
              <w:rPr>
                <w:color w:val="000000"/>
                <w:sz w:val="13"/>
                <w:szCs w:val="13"/>
              </w:rPr>
              <w:t>2023</w:t>
            </w:r>
          </w:p>
        </w:tc>
        <w:tc>
          <w:tcPr>
            <w:tcW w:w="187" w:type="pct"/>
            <w:tcBorders>
              <w:top w:val="nil"/>
              <w:left w:val="nil"/>
              <w:bottom w:val="single" w:sz="4" w:space="0" w:color="auto"/>
              <w:right w:val="single" w:sz="4" w:space="0" w:color="auto"/>
            </w:tcBorders>
            <w:shd w:val="clear" w:color="auto" w:fill="auto"/>
            <w:vAlign w:val="center"/>
          </w:tcPr>
          <w:p w14:paraId="19BDAC4F" w14:textId="77777777" w:rsidR="004A0123" w:rsidRPr="000D3D0C" w:rsidRDefault="004A0123" w:rsidP="008A5C11">
            <w:pPr>
              <w:jc w:val="center"/>
              <w:rPr>
                <w:color w:val="000000"/>
                <w:sz w:val="13"/>
                <w:szCs w:val="13"/>
              </w:rPr>
            </w:pPr>
            <w:r w:rsidRPr="000D3D0C">
              <w:rPr>
                <w:color w:val="000000"/>
                <w:sz w:val="13"/>
                <w:szCs w:val="13"/>
              </w:rPr>
              <w:t>2023</w:t>
            </w:r>
          </w:p>
        </w:tc>
        <w:tc>
          <w:tcPr>
            <w:tcW w:w="187" w:type="pct"/>
            <w:tcBorders>
              <w:top w:val="nil"/>
              <w:left w:val="nil"/>
              <w:bottom w:val="single" w:sz="4" w:space="0" w:color="auto"/>
              <w:right w:val="single" w:sz="4" w:space="0" w:color="auto"/>
            </w:tcBorders>
            <w:shd w:val="clear" w:color="auto" w:fill="auto"/>
            <w:vAlign w:val="center"/>
          </w:tcPr>
          <w:p w14:paraId="1C880E92" w14:textId="77777777" w:rsidR="004A0123" w:rsidRPr="000D3D0C" w:rsidRDefault="004A0123" w:rsidP="008A5C11">
            <w:pPr>
              <w:jc w:val="center"/>
              <w:rPr>
                <w:color w:val="000000"/>
                <w:sz w:val="13"/>
                <w:szCs w:val="13"/>
              </w:rPr>
            </w:pPr>
            <w:r w:rsidRPr="000D3D0C">
              <w:rPr>
                <w:color w:val="000000"/>
                <w:sz w:val="13"/>
                <w:szCs w:val="13"/>
              </w:rPr>
              <w:t>12770</w:t>
            </w:r>
          </w:p>
        </w:tc>
        <w:tc>
          <w:tcPr>
            <w:tcW w:w="187" w:type="pct"/>
            <w:tcBorders>
              <w:top w:val="nil"/>
              <w:left w:val="nil"/>
              <w:bottom w:val="single" w:sz="4" w:space="0" w:color="auto"/>
              <w:right w:val="single" w:sz="4" w:space="0" w:color="auto"/>
            </w:tcBorders>
            <w:shd w:val="clear" w:color="auto" w:fill="auto"/>
            <w:vAlign w:val="center"/>
          </w:tcPr>
          <w:p w14:paraId="2AA3AF89" w14:textId="77777777" w:rsidR="004A0123" w:rsidRPr="000D3D0C" w:rsidRDefault="004A0123" w:rsidP="008A5C11">
            <w:pPr>
              <w:jc w:val="center"/>
              <w:rPr>
                <w:sz w:val="13"/>
                <w:szCs w:val="13"/>
              </w:rPr>
            </w:pPr>
            <w:r w:rsidRPr="000D3D0C">
              <w:rPr>
                <w:sz w:val="13"/>
                <w:szCs w:val="13"/>
              </w:rPr>
              <w:t>0</w:t>
            </w:r>
          </w:p>
        </w:tc>
        <w:tc>
          <w:tcPr>
            <w:tcW w:w="146" w:type="pct"/>
            <w:tcBorders>
              <w:top w:val="nil"/>
              <w:left w:val="single" w:sz="4" w:space="0" w:color="auto"/>
              <w:bottom w:val="single" w:sz="4" w:space="0" w:color="auto"/>
              <w:right w:val="single" w:sz="4" w:space="0" w:color="auto"/>
            </w:tcBorders>
            <w:shd w:val="clear" w:color="auto" w:fill="auto"/>
            <w:vAlign w:val="center"/>
          </w:tcPr>
          <w:p w14:paraId="6491F2F5" w14:textId="77777777" w:rsidR="004A0123" w:rsidRPr="000D3D0C" w:rsidRDefault="004A0123" w:rsidP="008A5C11">
            <w:pPr>
              <w:jc w:val="center"/>
              <w:rPr>
                <w:sz w:val="13"/>
                <w:szCs w:val="13"/>
              </w:rPr>
            </w:pPr>
            <w:r w:rsidRPr="000D3D0C">
              <w:rPr>
                <w:sz w:val="13"/>
                <w:szCs w:val="13"/>
              </w:rPr>
              <w:t>0</w:t>
            </w:r>
          </w:p>
        </w:tc>
        <w:tc>
          <w:tcPr>
            <w:tcW w:w="149" w:type="pct"/>
            <w:tcBorders>
              <w:top w:val="nil"/>
              <w:left w:val="nil"/>
              <w:bottom w:val="single" w:sz="4" w:space="0" w:color="auto"/>
              <w:right w:val="single" w:sz="4" w:space="0" w:color="auto"/>
            </w:tcBorders>
            <w:shd w:val="clear" w:color="auto" w:fill="auto"/>
            <w:vAlign w:val="center"/>
          </w:tcPr>
          <w:p w14:paraId="4E229930" w14:textId="77777777" w:rsidR="004A0123" w:rsidRPr="000D3D0C" w:rsidRDefault="004A0123" w:rsidP="008A5C11">
            <w:pPr>
              <w:jc w:val="center"/>
              <w:rPr>
                <w:sz w:val="13"/>
                <w:szCs w:val="13"/>
              </w:rPr>
            </w:pPr>
            <w:r w:rsidRPr="000D3D0C">
              <w:rPr>
                <w:sz w:val="13"/>
                <w:szCs w:val="13"/>
              </w:rPr>
              <w:t>0</w:t>
            </w:r>
          </w:p>
        </w:tc>
        <w:tc>
          <w:tcPr>
            <w:tcW w:w="182" w:type="pct"/>
            <w:tcBorders>
              <w:top w:val="nil"/>
              <w:left w:val="nil"/>
              <w:bottom w:val="single" w:sz="4" w:space="0" w:color="auto"/>
              <w:right w:val="single" w:sz="4" w:space="0" w:color="auto"/>
            </w:tcBorders>
            <w:shd w:val="clear" w:color="auto" w:fill="auto"/>
            <w:vAlign w:val="center"/>
          </w:tcPr>
          <w:p w14:paraId="205BADC4" w14:textId="77777777" w:rsidR="004A0123" w:rsidRPr="000D3D0C" w:rsidRDefault="004A0123" w:rsidP="008A5C11">
            <w:pPr>
              <w:jc w:val="center"/>
              <w:rPr>
                <w:sz w:val="13"/>
                <w:szCs w:val="13"/>
              </w:rPr>
            </w:pPr>
            <w:r w:rsidRPr="000D3D0C">
              <w:rPr>
                <w:sz w:val="13"/>
                <w:szCs w:val="13"/>
              </w:rPr>
              <w:t>12770</w:t>
            </w:r>
          </w:p>
        </w:tc>
        <w:tc>
          <w:tcPr>
            <w:tcW w:w="182" w:type="pct"/>
            <w:tcBorders>
              <w:top w:val="nil"/>
              <w:left w:val="nil"/>
              <w:bottom w:val="single" w:sz="4" w:space="0" w:color="auto"/>
              <w:right w:val="single" w:sz="4" w:space="0" w:color="auto"/>
            </w:tcBorders>
            <w:shd w:val="clear" w:color="auto" w:fill="auto"/>
            <w:vAlign w:val="center"/>
          </w:tcPr>
          <w:p w14:paraId="7825FE2F" w14:textId="77777777" w:rsidR="004A0123" w:rsidRPr="000D3D0C" w:rsidRDefault="004A0123" w:rsidP="008A5C11">
            <w:pPr>
              <w:jc w:val="center"/>
              <w:rPr>
                <w:sz w:val="13"/>
                <w:szCs w:val="13"/>
              </w:rPr>
            </w:pPr>
            <w:r w:rsidRPr="000D3D0C">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649543F0" w14:textId="77777777" w:rsidR="004A0123" w:rsidRPr="000D3D0C" w:rsidRDefault="004A0123" w:rsidP="008A5C11">
            <w:pPr>
              <w:jc w:val="center"/>
              <w:rPr>
                <w:sz w:val="13"/>
                <w:szCs w:val="13"/>
              </w:rPr>
            </w:pPr>
            <w:r w:rsidRPr="000D3D0C">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4D5C398F" w14:textId="77777777" w:rsidR="004A0123" w:rsidRPr="000D3D0C" w:rsidRDefault="004A0123" w:rsidP="008A5C11">
            <w:pPr>
              <w:jc w:val="center"/>
              <w:rPr>
                <w:sz w:val="13"/>
                <w:szCs w:val="13"/>
              </w:rPr>
            </w:pPr>
            <w:r w:rsidRPr="000D3D0C">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661907F3" w14:textId="77777777" w:rsidR="004A0123" w:rsidRPr="000D3D0C" w:rsidRDefault="004A0123" w:rsidP="008A5C11">
            <w:pPr>
              <w:jc w:val="center"/>
              <w:rPr>
                <w:sz w:val="13"/>
                <w:szCs w:val="13"/>
              </w:rPr>
            </w:pPr>
            <w:r w:rsidRPr="000D3D0C">
              <w:rPr>
                <w:sz w:val="13"/>
                <w:szCs w:val="13"/>
              </w:rPr>
              <w:t>0</w:t>
            </w:r>
          </w:p>
        </w:tc>
        <w:tc>
          <w:tcPr>
            <w:tcW w:w="173" w:type="pct"/>
            <w:tcBorders>
              <w:top w:val="single" w:sz="4" w:space="0" w:color="auto"/>
              <w:left w:val="single" w:sz="4" w:space="0" w:color="auto"/>
              <w:bottom w:val="single" w:sz="4" w:space="0" w:color="auto"/>
              <w:right w:val="single" w:sz="4" w:space="0" w:color="auto"/>
            </w:tcBorders>
            <w:vAlign w:val="center"/>
          </w:tcPr>
          <w:p w14:paraId="6952EFC8" w14:textId="77777777" w:rsidR="004A0123" w:rsidRPr="000D3D0C" w:rsidRDefault="004A0123" w:rsidP="008A5C11">
            <w:pPr>
              <w:jc w:val="center"/>
              <w:rPr>
                <w:sz w:val="13"/>
                <w:szCs w:val="13"/>
              </w:rPr>
            </w:pPr>
            <w:r w:rsidRPr="000D3D0C">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2DC5CB30" w14:textId="77777777" w:rsidR="004A0123" w:rsidRPr="000D3D0C" w:rsidRDefault="004A0123" w:rsidP="008A5C11">
            <w:pPr>
              <w:jc w:val="center"/>
              <w:rPr>
                <w:sz w:val="13"/>
                <w:szCs w:val="13"/>
              </w:rPr>
            </w:pPr>
            <w:r w:rsidRPr="000D3D0C">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1810A9C3" w14:textId="77777777" w:rsidR="004A0123" w:rsidRPr="000D3D0C" w:rsidRDefault="004A0123" w:rsidP="008A5C11">
            <w:pPr>
              <w:jc w:val="center"/>
              <w:rPr>
                <w:sz w:val="13"/>
                <w:szCs w:val="13"/>
              </w:rPr>
            </w:pPr>
            <w:r w:rsidRPr="000D3D0C">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524D4F97" w14:textId="77777777" w:rsidR="004A0123" w:rsidRPr="000D3D0C" w:rsidRDefault="004A0123" w:rsidP="008A5C11">
            <w:pPr>
              <w:jc w:val="center"/>
              <w:rPr>
                <w:sz w:val="13"/>
                <w:szCs w:val="13"/>
              </w:rPr>
            </w:pPr>
            <w:r w:rsidRPr="000D3D0C">
              <w:rPr>
                <w:sz w:val="13"/>
                <w:szCs w:val="13"/>
              </w:rPr>
              <w:t>0</w:t>
            </w:r>
          </w:p>
        </w:tc>
        <w:tc>
          <w:tcPr>
            <w:tcW w:w="178" w:type="pct"/>
            <w:tcBorders>
              <w:top w:val="single" w:sz="4" w:space="0" w:color="auto"/>
              <w:left w:val="single" w:sz="4" w:space="0" w:color="auto"/>
              <w:bottom w:val="single" w:sz="4" w:space="0" w:color="auto"/>
              <w:right w:val="single" w:sz="4" w:space="0" w:color="auto"/>
            </w:tcBorders>
            <w:vAlign w:val="center"/>
          </w:tcPr>
          <w:p w14:paraId="7AF34512" w14:textId="77777777" w:rsidR="004A0123" w:rsidRPr="000D3D0C" w:rsidRDefault="004A0123" w:rsidP="008A5C11">
            <w:pPr>
              <w:jc w:val="center"/>
              <w:rPr>
                <w:sz w:val="13"/>
                <w:szCs w:val="13"/>
              </w:rPr>
            </w:pPr>
            <w:r w:rsidRPr="000D3D0C">
              <w:rPr>
                <w:sz w:val="13"/>
                <w:szCs w:val="13"/>
              </w:rPr>
              <w:t>0</w:t>
            </w:r>
          </w:p>
        </w:tc>
      </w:tr>
      <w:tr w:rsidR="004A0123" w:rsidRPr="000D3D0C" w14:paraId="21C4D9F1" w14:textId="77777777" w:rsidTr="008A5C11">
        <w:trPr>
          <w:trHeight w:val="64"/>
        </w:trPr>
        <w:tc>
          <w:tcPr>
            <w:tcW w:w="148" w:type="pct"/>
            <w:tcBorders>
              <w:bottom w:val="single" w:sz="4" w:space="0" w:color="auto"/>
              <w:right w:val="single" w:sz="4" w:space="0" w:color="auto"/>
            </w:tcBorders>
            <w:shd w:val="clear" w:color="auto" w:fill="auto"/>
            <w:vAlign w:val="center"/>
          </w:tcPr>
          <w:p w14:paraId="5F1EE5AB" w14:textId="77777777" w:rsidR="004A0123" w:rsidRPr="000D3D0C" w:rsidRDefault="004A0123" w:rsidP="008A5C11">
            <w:pPr>
              <w:jc w:val="center"/>
              <w:rPr>
                <w:bCs/>
                <w:sz w:val="13"/>
                <w:szCs w:val="13"/>
              </w:rPr>
            </w:pPr>
            <w:r w:rsidRPr="000D3D0C">
              <w:rPr>
                <w:bCs/>
                <w:sz w:val="13"/>
                <w:szCs w:val="13"/>
              </w:rPr>
              <w:t>1</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14:paraId="3F5DAF15" w14:textId="77777777" w:rsidR="004A0123" w:rsidRPr="000D3D0C" w:rsidRDefault="004A0123" w:rsidP="008A5C11">
            <w:pPr>
              <w:jc w:val="center"/>
              <w:rPr>
                <w:bCs/>
                <w:sz w:val="13"/>
                <w:szCs w:val="13"/>
              </w:rPr>
            </w:pPr>
            <w:r w:rsidRPr="000D3D0C">
              <w:rPr>
                <w:bCs/>
                <w:sz w:val="13"/>
                <w:szCs w:val="13"/>
              </w:rPr>
              <w:t>2</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tcPr>
          <w:p w14:paraId="081289EE" w14:textId="77777777" w:rsidR="004A0123" w:rsidRPr="000D3D0C" w:rsidRDefault="004A0123" w:rsidP="008A5C11">
            <w:pPr>
              <w:jc w:val="center"/>
              <w:rPr>
                <w:bCs/>
                <w:sz w:val="13"/>
                <w:szCs w:val="13"/>
              </w:rPr>
            </w:pPr>
            <w:r w:rsidRPr="000D3D0C">
              <w:rPr>
                <w:bCs/>
                <w:sz w:val="13"/>
                <w:szCs w:val="13"/>
              </w:rPr>
              <w:t>3</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14:paraId="4A422602" w14:textId="77777777" w:rsidR="004A0123" w:rsidRPr="000D3D0C" w:rsidRDefault="004A0123" w:rsidP="008A5C11">
            <w:pPr>
              <w:jc w:val="center"/>
              <w:rPr>
                <w:bCs/>
                <w:sz w:val="13"/>
                <w:szCs w:val="13"/>
              </w:rPr>
            </w:pPr>
            <w:r w:rsidRPr="000D3D0C">
              <w:rPr>
                <w:bCs/>
                <w:sz w:val="13"/>
                <w:szCs w:val="13"/>
              </w:rPr>
              <w:t>4</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66B8FD8E" w14:textId="77777777" w:rsidR="004A0123" w:rsidRPr="000D3D0C" w:rsidRDefault="004A0123" w:rsidP="008A5C11">
            <w:pPr>
              <w:jc w:val="center"/>
              <w:rPr>
                <w:bCs/>
                <w:sz w:val="13"/>
                <w:szCs w:val="13"/>
              </w:rPr>
            </w:pPr>
            <w:r w:rsidRPr="000D3D0C">
              <w:rPr>
                <w:bCs/>
                <w:sz w:val="13"/>
                <w:szCs w:val="13"/>
              </w:rPr>
              <w:t>5</w:t>
            </w:r>
          </w:p>
        </w:tc>
        <w:tc>
          <w:tcPr>
            <w:tcW w:w="116" w:type="pct"/>
            <w:tcBorders>
              <w:top w:val="single" w:sz="4" w:space="0" w:color="auto"/>
              <w:left w:val="single" w:sz="4" w:space="0" w:color="auto"/>
              <w:bottom w:val="single" w:sz="4" w:space="0" w:color="auto"/>
              <w:right w:val="single" w:sz="4" w:space="0" w:color="auto"/>
            </w:tcBorders>
            <w:shd w:val="clear" w:color="auto" w:fill="auto"/>
            <w:vAlign w:val="center"/>
          </w:tcPr>
          <w:p w14:paraId="61E420D4" w14:textId="77777777" w:rsidR="004A0123" w:rsidRPr="000D3D0C" w:rsidRDefault="004A0123" w:rsidP="008A5C11">
            <w:pPr>
              <w:jc w:val="center"/>
              <w:rPr>
                <w:bCs/>
                <w:sz w:val="13"/>
                <w:szCs w:val="13"/>
              </w:rPr>
            </w:pPr>
            <w:r w:rsidRPr="000D3D0C">
              <w:rPr>
                <w:bCs/>
                <w:sz w:val="13"/>
                <w:szCs w:val="13"/>
              </w:rPr>
              <w:t>6</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07CC429B" w14:textId="77777777" w:rsidR="004A0123" w:rsidRPr="000D3D0C" w:rsidRDefault="004A0123" w:rsidP="008A5C11">
            <w:pPr>
              <w:jc w:val="center"/>
              <w:rPr>
                <w:bCs/>
                <w:sz w:val="13"/>
                <w:szCs w:val="13"/>
              </w:rPr>
            </w:pPr>
            <w:r w:rsidRPr="000D3D0C">
              <w:rPr>
                <w:bCs/>
                <w:sz w:val="13"/>
                <w:szCs w:val="13"/>
              </w:rPr>
              <w:t>7</w:t>
            </w: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tcPr>
          <w:p w14:paraId="4223E2C4" w14:textId="77777777" w:rsidR="004A0123" w:rsidRPr="000D3D0C" w:rsidRDefault="004A0123" w:rsidP="008A5C11">
            <w:pPr>
              <w:jc w:val="center"/>
              <w:rPr>
                <w:bCs/>
                <w:sz w:val="13"/>
                <w:szCs w:val="13"/>
              </w:rPr>
            </w:pPr>
            <w:r w:rsidRPr="000D3D0C">
              <w:rPr>
                <w:bCs/>
                <w:sz w:val="13"/>
                <w:szCs w:val="13"/>
              </w:rPr>
              <w:t>8</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5BF445A" w14:textId="77777777" w:rsidR="004A0123" w:rsidRPr="000D3D0C" w:rsidRDefault="004A0123" w:rsidP="008A5C11">
            <w:pPr>
              <w:jc w:val="center"/>
              <w:rPr>
                <w:bCs/>
                <w:sz w:val="13"/>
                <w:szCs w:val="13"/>
              </w:rPr>
            </w:pPr>
            <w:r w:rsidRPr="000D3D0C">
              <w:rPr>
                <w:bCs/>
                <w:sz w:val="13"/>
                <w:szCs w:val="13"/>
              </w:rPr>
              <w:t>9</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14:paraId="45AE3804" w14:textId="77777777" w:rsidR="004A0123" w:rsidRPr="000D3D0C" w:rsidRDefault="004A0123" w:rsidP="008A5C11">
            <w:pPr>
              <w:jc w:val="center"/>
              <w:rPr>
                <w:bCs/>
                <w:sz w:val="13"/>
                <w:szCs w:val="13"/>
              </w:rPr>
            </w:pPr>
            <w:r w:rsidRPr="000D3D0C">
              <w:rPr>
                <w:bCs/>
                <w:sz w:val="13"/>
                <w:szCs w:val="13"/>
              </w:rPr>
              <w:t>10</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14:paraId="47A7CD17" w14:textId="77777777" w:rsidR="004A0123" w:rsidRPr="000D3D0C" w:rsidRDefault="004A0123" w:rsidP="008A5C11">
            <w:pPr>
              <w:jc w:val="center"/>
              <w:rPr>
                <w:bCs/>
                <w:sz w:val="13"/>
                <w:szCs w:val="13"/>
              </w:rPr>
            </w:pPr>
            <w:r w:rsidRPr="000D3D0C">
              <w:rPr>
                <w:bCs/>
                <w:sz w:val="13"/>
                <w:szCs w:val="13"/>
              </w:rPr>
              <w:t>11</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14:paraId="0B73CAD1" w14:textId="77777777" w:rsidR="004A0123" w:rsidRPr="000D3D0C" w:rsidRDefault="004A0123" w:rsidP="008A5C11">
            <w:pPr>
              <w:jc w:val="center"/>
              <w:rPr>
                <w:bCs/>
                <w:sz w:val="13"/>
                <w:szCs w:val="13"/>
              </w:rPr>
            </w:pPr>
            <w:r w:rsidRPr="000D3D0C">
              <w:rPr>
                <w:bCs/>
                <w:sz w:val="13"/>
                <w:szCs w:val="13"/>
              </w:rPr>
              <w:t>12</w:t>
            </w:r>
          </w:p>
        </w:tc>
        <w:tc>
          <w:tcPr>
            <w:tcW w:w="146" w:type="pct"/>
            <w:tcBorders>
              <w:top w:val="single" w:sz="4" w:space="0" w:color="auto"/>
              <w:left w:val="single" w:sz="4" w:space="0" w:color="auto"/>
              <w:bottom w:val="single" w:sz="4" w:space="0" w:color="auto"/>
              <w:right w:val="single" w:sz="4" w:space="0" w:color="auto"/>
            </w:tcBorders>
            <w:shd w:val="clear" w:color="auto" w:fill="auto"/>
            <w:vAlign w:val="center"/>
          </w:tcPr>
          <w:p w14:paraId="74387722" w14:textId="77777777" w:rsidR="004A0123" w:rsidRPr="000D3D0C" w:rsidRDefault="004A0123" w:rsidP="008A5C11">
            <w:pPr>
              <w:jc w:val="center"/>
              <w:rPr>
                <w:bCs/>
                <w:sz w:val="13"/>
                <w:szCs w:val="13"/>
              </w:rPr>
            </w:pPr>
            <w:r w:rsidRPr="000D3D0C">
              <w:rPr>
                <w:bCs/>
                <w:sz w:val="13"/>
                <w:szCs w:val="13"/>
              </w:rPr>
              <w:t>13</w:t>
            </w:r>
          </w:p>
        </w:tc>
        <w:tc>
          <w:tcPr>
            <w:tcW w:w="149" w:type="pct"/>
            <w:tcBorders>
              <w:top w:val="single" w:sz="4" w:space="0" w:color="auto"/>
              <w:left w:val="single" w:sz="4" w:space="0" w:color="auto"/>
              <w:bottom w:val="single" w:sz="4" w:space="0" w:color="auto"/>
              <w:right w:val="single" w:sz="4" w:space="0" w:color="auto"/>
            </w:tcBorders>
            <w:shd w:val="clear" w:color="auto" w:fill="auto"/>
            <w:vAlign w:val="center"/>
          </w:tcPr>
          <w:p w14:paraId="353F50EF" w14:textId="77777777" w:rsidR="004A0123" w:rsidRPr="000D3D0C" w:rsidRDefault="004A0123" w:rsidP="008A5C11">
            <w:pPr>
              <w:jc w:val="center"/>
              <w:rPr>
                <w:bCs/>
                <w:sz w:val="13"/>
                <w:szCs w:val="13"/>
              </w:rPr>
            </w:pPr>
            <w:r w:rsidRPr="000D3D0C">
              <w:rPr>
                <w:bCs/>
                <w:sz w:val="13"/>
                <w:szCs w:val="13"/>
              </w:rPr>
              <w:t>14</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5910A4C8" w14:textId="77777777" w:rsidR="004A0123" w:rsidRPr="000D3D0C" w:rsidRDefault="004A0123" w:rsidP="008A5C11">
            <w:pPr>
              <w:jc w:val="center"/>
              <w:rPr>
                <w:bCs/>
                <w:sz w:val="13"/>
                <w:szCs w:val="13"/>
              </w:rPr>
            </w:pPr>
            <w:r w:rsidRPr="000D3D0C">
              <w:rPr>
                <w:bCs/>
                <w:sz w:val="13"/>
                <w:szCs w:val="13"/>
              </w:rPr>
              <w:t>15</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6E8E8331" w14:textId="77777777" w:rsidR="004A0123" w:rsidRPr="000D3D0C" w:rsidRDefault="004A0123" w:rsidP="008A5C11">
            <w:pPr>
              <w:jc w:val="center"/>
              <w:rPr>
                <w:bCs/>
                <w:sz w:val="13"/>
                <w:szCs w:val="13"/>
              </w:rPr>
            </w:pPr>
            <w:r w:rsidRPr="000D3D0C">
              <w:rPr>
                <w:bCs/>
                <w:sz w:val="13"/>
                <w:szCs w:val="13"/>
              </w:rPr>
              <w:t>16</w:t>
            </w:r>
          </w:p>
        </w:tc>
        <w:tc>
          <w:tcPr>
            <w:tcW w:w="154" w:type="pct"/>
            <w:tcBorders>
              <w:top w:val="single" w:sz="4" w:space="0" w:color="auto"/>
              <w:left w:val="single" w:sz="4" w:space="0" w:color="auto"/>
              <w:bottom w:val="single" w:sz="4" w:space="0" w:color="auto"/>
              <w:right w:val="single" w:sz="4" w:space="0" w:color="auto"/>
            </w:tcBorders>
            <w:vAlign w:val="center"/>
          </w:tcPr>
          <w:p w14:paraId="6C4BD646" w14:textId="77777777" w:rsidR="004A0123" w:rsidRPr="000D3D0C" w:rsidRDefault="004A0123" w:rsidP="008A5C11">
            <w:pPr>
              <w:jc w:val="center"/>
              <w:rPr>
                <w:bCs/>
                <w:sz w:val="13"/>
                <w:szCs w:val="13"/>
              </w:rPr>
            </w:pPr>
            <w:r w:rsidRPr="000D3D0C">
              <w:rPr>
                <w:bCs/>
                <w:sz w:val="13"/>
                <w:szCs w:val="13"/>
              </w:rPr>
              <w:t>17</w:t>
            </w:r>
          </w:p>
        </w:tc>
        <w:tc>
          <w:tcPr>
            <w:tcW w:w="154" w:type="pct"/>
            <w:tcBorders>
              <w:top w:val="single" w:sz="4" w:space="0" w:color="auto"/>
              <w:left w:val="single" w:sz="4" w:space="0" w:color="auto"/>
              <w:bottom w:val="single" w:sz="4" w:space="0" w:color="auto"/>
              <w:right w:val="single" w:sz="4" w:space="0" w:color="auto"/>
            </w:tcBorders>
            <w:vAlign w:val="center"/>
          </w:tcPr>
          <w:p w14:paraId="346835CA" w14:textId="77777777" w:rsidR="004A0123" w:rsidRPr="000D3D0C" w:rsidRDefault="004A0123" w:rsidP="008A5C11">
            <w:pPr>
              <w:jc w:val="center"/>
              <w:rPr>
                <w:bCs/>
                <w:sz w:val="13"/>
                <w:szCs w:val="13"/>
              </w:rPr>
            </w:pPr>
            <w:r w:rsidRPr="000D3D0C">
              <w:rPr>
                <w:bCs/>
                <w:sz w:val="13"/>
                <w:szCs w:val="13"/>
              </w:rPr>
              <w:t>18</w:t>
            </w:r>
          </w:p>
        </w:tc>
        <w:tc>
          <w:tcPr>
            <w:tcW w:w="156" w:type="pct"/>
            <w:tcBorders>
              <w:top w:val="single" w:sz="4" w:space="0" w:color="auto"/>
              <w:left w:val="single" w:sz="4" w:space="0" w:color="auto"/>
              <w:bottom w:val="single" w:sz="4" w:space="0" w:color="auto"/>
              <w:right w:val="single" w:sz="4" w:space="0" w:color="auto"/>
            </w:tcBorders>
            <w:vAlign w:val="center"/>
          </w:tcPr>
          <w:p w14:paraId="1CE451B0" w14:textId="77777777" w:rsidR="004A0123" w:rsidRPr="000D3D0C" w:rsidRDefault="004A0123" w:rsidP="008A5C11">
            <w:pPr>
              <w:jc w:val="center"/>
              <w:rPr>
                <w:bCs/>
                <w:sz w:val="13"/>
                <w:szCs w:val="13"/>
              </w:rPr>
            </w:pPr>
            <w:r w:rsidRPr="000D3D0C">
              <w:rPr>
                <w:bCs/>
                <w:sz w:val="13"/>
                <w:szCs w:val="13"/>
              </w:rPr>
              <w:t>19</w:t>
            </w:r>
          </w:p>
        </w:tc>
        <w:tc>
          <w:tcPr>
            <w:tcW w:w="173" w:type="pct"/>
            <w:tcBorders>
              <w:top w:val="single" w:sz="4" w:space="0" w:color="auto"/>
              <w:left w:val="single" w:sz="4" w:space="0" w:color="auto"/>
              <w:bottom w:val="single" w:sz="4" w:space="0" w:color="auto"/>
              <w:right w:val="single" w:sz="4" w:space="0" w:color="auto"/>
            </w:tcBorders>
            <w:vAlign w:val="center"/>
          </w:tcPr>
          <w:p w14:paraId="7E1E9577" w14:textId="77777777" w:rsidR="004A0123" w:rsidRPr="000D3D0C" w:rsidRDefault="004A0123" w:rsidP="008A5C11">
            <w:pPr>
              <w:jc w:val="center"/>
              <w:rPr>
                <w:bCs/>
                <w:sz w:val="13"/>
                <w:szCs w:val="13"/>
              </w:rPr>
            </w:pPr>
            <w:r w:rsidRPr="000D3D0C">
              <w:rPr>
                <w:bCs/>
                <w:sz w:val="13"/>
                <w:szCs w:val="13"/>
              </w:rPr>
              <w:t>20</w:t>
            </w:r>
          </w:p>
        </w:tc>
        <w:tc>
          <w:tcPr>
            <w:tcW w:w="156" w:type="pct"/>
            <w:tcBorders>
              <w:top w:val="single" w:sz="4" w:space="0" w:color="auto"/>
              <w:left w:val="single" w:sz="4" w:space="0" w:color="auto"/>
              <w:bottom w:val="single" w:sz="4" w:space="0" w:color="auto"/>
              <w:right w:val="single" w:sz="4" w:space="0" w:color="auto"/>
            </w:tcBorders>
            <w:vAlign w:val="center"/>
          </w:tcPr>
          <w:p w14:paraId="7658EFD6" w14:textId="77777777" w:rsidR="004A0123" w:rsidRPr="000D3D0C" w:rsidRDefault="004A0123" w:rsidP="008A5C11">
            <w:pPr>
              <w:jc w:val="center"/>
              <w:rPr>
                <w:bCs/>
                <w:sz w:val="13"/>
                <w:szCs w:val="13"/>
              </w:rPr>
            </w:pPr>
            <w:r w:rsidRPr="000D3D0C">
              <w:rPr>
                <w:bCs/>
                <w:sz w:val="13"/>
                <w:szCs w:val="13"/>
              </w:rPr>
              <w:t>21</w:t>
            </w:r>
          </w:p>
        </w:tc>
        <w:tc>
          <w:tcPr>
            <w:tcW w:w="146" w:type="pct"/>
            <w:tcBorders>
              <w:top w:val="single" w:sz="4" w:space="0" w:color="auto"/>
              <w:left w:val="single" w:sz="4" w:space="0" w:color="auto"/>
              <w:bottom w:val="single" w:sz="4" w:space="0" w:color="auto"/>
              <w:right w:val="single" w:sz="4" w:space="0" w:color="auto"/>
            </w:tcBorders>
            <w:vAlign w:val="center"/>
          </w:tcPr>
          <w:p w14:paraId="4CF5DD74" w14:textId="77777777" w:rsidR="004A0123" w:rsidRPr="000D3D0C" w:rsidRDefault="004A0123" w:rsidP="008A5C11">
            <w:pPr>
              <w:jc w:val="center"/>
              <w:rPr>
                <w:bCs/>
                <w:sz w:val="13"/>
                <w:szCs w:val="13"/>
              </w:rPr>
            </w:pPr>
            <w:r w:rsidRPr="000D3D0C">
              <w:rPr>
                <w:bCs/>
                <w:sz w:val="13"/>
                <w:szCs w:val="13"/>
              </w:rPr>
              <w:t>22</w:t>
            </w:r>
          </w:p>
        </w:tc>
        <w:tc>
          <w:tcPr>
            <w:tcW w:w="182" w:type="pct"/>
            <w:tcBorders>
              <w:top w:val="single" w:sz="4" w:space="0" w:color="auto"/>
              <w:left w:val="single" w:sz="4" w:space="0" w:color="auto"/>
              <w:bottom w:val="single" w:sz="4" w:space="0" w:color="auto"/>
              <w:right w:val="single" w:sz="4" w:space="0" w:color="auto"/>
            </w:tcBorders>
            <w:vAlign w:val="center"/>
          </w:tcPr>
          <w:p w14:paraId="0F3D7699" w14:textId="77777777" w:rsidR="004A0123" w:rsidRPr="000D3D0C" w:rsidRDefault="004A0123" w:rsidP="008A5C11">
            <w:pPr>
              <w:jc w:val="center"/>
              <w:rPr>
                <w:bCs/>
                <w:sz w:val="13"/>
                <w:szCs w:val="13"/>
              </w:rPr>
            </w:pPr>
            <w:r w:rsidRPr="000D3D0C">
              <w:rPr>
                <w:bCs/>
                <w:sz w:val="13"/>
                <w:szCs w:val="13"/>
              </w:rPr>
              <w:t>23</w:t>
            </w:r>
          </w:p>
        </w:tc>
        <w:tc>
          <w:tcPr>
            <w:tcW w:w="178" w:type="pct"/>
            <w:tcBorders>
              <w:top w:val="single" w:sz="4" w:space="0" w:color="auto"/>
              <w:left w:val="single" w:sz="4" w:space="0" w:color="auto"/>
              <w:bottom w:val="single" w:sz="4" w:space="0" w:color="auto"/>
              <w:right w:val="single" w:sz="4" w:space="0" w:color="auto"/>
            </w:tcBorders>
            <w:vAlign w:val="center"/>
          </w:tcPr>
          <w:p w14:paraId="43FB7BB0" w14:textId="77777777" w:rsidR="004A0123" w:rsidRPr="000D3D0C" w:rsidRDefault="004A0123" w:rsidP="008A5C11">
            <w:pPr>
              <w:jc w:val="center"/>
              <w:rPr>
                <w:bCs/>
                <w:sz w:val="13"/>
                <w:szCs w:val="13"/>
              </w:rPr>
            </w:pPr>
            <w:r w:rsidRPr="000D3D0C">
              <w:rPr>
                <w:bCs/>
                <w:sz w:val="13"/>
                <w:szCs w:val="13"/>
              </w:rPr>
              <w:t>24</w:t>
            </w:r>
          </w:p>
        </w:tc>
      </w:tr>
      <w:tr w:rsidR="004A0123" w:rsidRPr="000D3D0C" w14:paraId="01FD743B" w14:textId="77777777" w:rsidTr="008A5C11">
        <w:trPr>
          <w:trHeight w:val="64"/>
        </w:trPr>
        <w:tc>
          <w:tcPr>
            <w:tcW w:w="148" w:type="pct"/>
            <w:tcBorders>
              <w:bottom w:val="single" w:sz="4" w:space="0" w:color="auto"/>
            </w:tcBorders>
            <w:shd w:val="clear" w:color="auto" w:fill="auto"/>
            <w:vAlign w:val="center"/>
          </w:tcPr>
          <w:p w14:paraId="17E9C593" w14:textId="77777777" w:rsidR="004A0123" w:rsidRPr="000D3D0C" w:rsidRDefault="004A0123" w:rsidP="008A5C11">
            <w:pPr>
              <w:jc w:val="center"/>
              <w:rPr>
                <w:sz w:val="13"/>
                <w:szCs w:val="13"/>
              </w:rPr>
            </w:pPr>
            <w:r w:rsidRPr="000D3D0C">
              <w:rPr>
                <w:sz w:val="13"/>
                <w:szCs w:val="13"/>
              </w:rPr>
              <w:t>4.6.</w:t>
            </w:r>
          </w:p>
        </w:tc>
        <w:tc>
          <w:tcPr>
            <w:tcW w:w="585" w:type="pct"/>
            <w:tcBorders>
              <w:top w:val="single" w:sz="4" w:space="0" w:color="auto"/>
              <w:left w:val="single" w:sz="4" w:space="0" w:color="auto"/>
              <w:bottom w:val="single" w:sz="4" w:space="0" w:color="auto"/>
              <w:right w:val="single" w:sz="4" w:space="0" w:color="auto"/>
            </w:tcBorders>
            <w:shd w:val="clear" w:color="auto" w:fill="auto"/>
          </w:tcPr>
          <w:p w14:paraId="7E4D55C4" w14:textId="77777777" w:rsidR="004A0123" w:rsidRPr="000D3D0C" w:rsidRDefault="004A0123" w:rsidP="008A5C11">
            <w:pPr>
              <w:rPr>
                <w:color w:val="000000"/>
                <w:sz w:val="13"/>
                <w:szCs w:val="13"/>
              </w:rPr>
            </w:pPr>
            <w:r w:rsidRPr="000D3D0C">
              <w:rPr>
                <w:color w:val="000000"/>
                <w:sz w:val="13"/>
                <w:szCs w:val="13"/>
              </w:rPr>
              <w:t xml:space="preserve">Мероприятия, направленные на обеспечение требований промышленной безопасности </w:t>
            </w:r>
            <w:proofErr w:type="gramStart"/>
            <w:r w:rsidRPr="000D3D0C">
              <w:rPr>
                <w:color w:val="000000"/>
                <w:sz w:val="13"/>
                <w:szCs w:val="13"/>
              </w:rPr>
              <w:t>при  эксплуатации</w:t>
            </w:r>
            <w:proofErr w:type="gramEnd"/>
            <w:r w:rsidRPr="000D3D0C">
              <w:rPr>
                <w:color w:val="000000"/>
                <w:sz w:val="13"/>
                <w:szCs w:val="13"/>
              </w:rPr>
              <w:t xml:space="preserve"> опасных производственных объектов - ограждения котельных и система видеонаблюдения (все котельные)</w:t>
            </w:r>
          </w:p>
        </w:tc>
        <w:tc>
          <w:tcPr>
            <w:tcW w:w="359" w:type="pct"/>
            <w:tcBorders>
              <w:top w:val="single" w:sz="4" w:space="0" w:color="auto"/>
              <w:left w:val="nil"/>
              <w:bottom w:val="single" w:sz="4" w:space="0" w:color="auto"/>
              <w:right w:val="single" w:sz="4" w:space="0" w:color="auto"/>
            </w:tcBorders>
            <w:shd w:val="clear" w:color="auto" w:fill="auto"/>
            <w:vAlign w:val="center"/>
          </w:tcPr>
          <w:p w14:paraId="77E03756" w14:textId="77777777" w:rsidR="004A0123" w:rsidRPr="000D3D0C" w:rsidRDefault="004A0123" w:rsidP="008A5C11">
            <w:pPr>
              <w:jc w:val="center"/>
              <w:rPr>
                <w:color w:val="000000"/>
                <w:sz w:val="13"/>
                <w:szCs w:val="13"/>
              </w:rPr>
            </w:pPr>
            <w:r w:rsidRPr="000D3D0C">
              <w:rPr>
                <w:color w:val="000000"/>
                <w:sz w:val="13"/>
                <w:szCs w:val="13"/>
              </w:rPr>
              <w:t>Повышение эффективности работы систем</w:t>
            </w:r>
          </w:p>
        </w:tc>
        <w:tc>
          <w:tcPr>
            <w:tcW w:w="390" w:type="pct"/>
            <w:tcBorders>
              <w:top w:val="single" w:sz="4" w:space="0" w:color="auto"/>
              <w:left w:val="nil"/>
              <w:bottom w:val="single" w:sz="4" w:space="0" w:color="auto"/>
              <w:right w:val="single" w:sz="4" w:space="0" w:color="auto"/>
            </w:tcBorders>
            <w:shd w:val="clear" w:color="auto" w:fill="auto"/>
            <w:vAlign w:val="center"/>
          </w:tcPr>
          <w:p w14:paraId="6FB7D740" w14:textId="77777777" w:rsidR="004A0123" w:rsidRPr="000D3D0C" w:rsidRDefault="004A0123" w:rsidP="008A5C11">
            <w:pPr>
              <w:jc w:val="center"/>
              <w:rPr>
                <w:color w:val="000000"/>
                <w:sz w:val="13"/>
                <w:szCs w:val="13"/>
              </w:rPr>
            </w:pPr>
            <w:r w:rsidRPr="000D3D0C">
              <w:rPr>
                <w:color w:val="000000"/>
                <w:sz w:val="13"/>
                <w:szCs w:val="13"/>
              </w:rPr>
              <w:t>Тайгинский городской округ</w:t>
            </w:r>
          </w:p>
        </w:tc>
        <w:tc>
          <w:tcPr>
            <w:tcW w:w="337" w:type="pct"/>
            <w:tcBorders>
              <w:top w:val="single" w:sz="4" w:space="0" w:color="auto"/>
              <w:left w:val="nil"/>
              <w:bottom w:val="single" w:sz="4" w:space="0" w:color="auto"/>
              <w:right w:val="single" w:sz="4" w:space="0" w:color="auto"/>
            </w:tcBorders>
            <w:shd w:val="clear" w:color="auto" w:fill="auto"/>
            <w:vAlign w:val="center"/>
          </w:tcPr>
          <w:p w14:paraId="7AC99993" w14:textId="77777777" w:rsidR="004A0123" w:rsidRPr="000D3D0C" w:rsidRDefault="004A0123" w:rsidP="008A5C11">
            <w:pPr>
              <w:jc w:val="center"/>
              <w:rPr>
                <w:color w:val="000000"/>
                <w:sz w:val="13"/>
                <w:szCs w:val="13"/>
              </w:rPr>
            </w:pPr>
            <w:r w:rsidRPr="000D3D0C">
              <w:rPr>
                <w:color w:val="000000"/>
                <w:sz w:val="13"/>
                <w:szCs w:val="13"/>
              </w:rPr>
              <w:t>Количество</w:t>
            </w:r>
          </w:p>
        </w:tc>
        <w:tc>
          <w:tcPr>
            <w:tcW w:w="116" w:type="pct"/>
            <w:tcBorders>
              <w:top w:val="single" w:sz="4" w:space="0" w:color="auto"/>
              <w:left w:val="nil"/>
              <w:bottom w:val="single" w:sz="4" w:space="0" w:color="auto"/>
              <w:right w:val="single" w:sz="4" w:space="0" w:color="auto"/>
            </w:tcBorders>
            <w:shd w:val="clear" w:color="auto" w:fill="auto"/>
            <w:vAlign w:val="center"/>
          </w:tcPr>
          <w:p w14:paraId="231588D3" w14:textId="77777777" w:rsidR="004A0123" w:rsidRPr="000D3D0C" w:rsidRDefault="004A0123" w:rsidP="008A5C11">
            <w:pPr>
              <w:jc w:val="center"/>
              <w:rPr>
                <w:color w:val="000000"/>
                <w:sz w:val="13"/>
                <w:szCs w:val="13"/>
              </w:rPr>
            </w:pPr>
            <w:r w:rsidRPr="000D3D0C">
              <w:rPr>
                <w:color w:val="000000"/>
                <w:sz w:val="13"/>
                <w:szCs w:val="13"/>
              </w:rPr>
              <w:t>ед.</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0C2EDA33" w14:textId="77777777" w:rsidR="004A0123" w:rsidRPr="000D3D0C" w:rsidRDefault="004A0123" w:rsidP="008A5C11">
            <w:pPr>
              <w:jc w:val="center"/>
              <w:rPr>
                <w:color w:val="000000"/>
                <w:sz w:val="13"/>
                <w:szCs w:val="13"/>
              </w:rPr>
            </w:pPr>
            <w:r w:rsidRPr="000D3D0C">
              <w:rPr>
                <w:color w:val="000000"/>
                <w:sz w:val="13"/>
                <w:szCs w:val="13"/>
              </w:rPr>
              <w:t>0</w:t>
            </w:r>
          </w:p>
        </w:tc>
        <w:tc>
          <w:tcPr>
            <w:tcW w:w="177" w:type="pct"/>
            <w:tcBorders>
              <w:top w:val="single" w:sz="4" w:space="0" w:color="auto"/>
              <w:left w:val="nil"/>
              <w:bottom w:val="single" w:sz="4" w:space="0" w:color="auto"/>
              <w:right w:val="single" w:sz="4" w:space="0" w:color="auto"/>
            </w:tcBorders>
            <w:shd w:val="clear" w:color="auto" w:fill="auto"/>
            <w:vAlign w:val="center"/>
          </w:tcPr>
          <w:p w14:paraId="7C759E4E" w14:textId="77777777" w:rsidR="004A0123" w:rsidRPr="000D3D0C" w:rsidRDefault="004A0123" w:rsidP="008A5C11">
            <w:pPr>
              <w:jc w:val="center"/>
              <w:rPr>
                <w:color w:val="000000"/>
                <w:sz w:val="13"/>
                <w:szCs w:val="13"/>
              </w:rPr>
            </w:pPr>
            <w:r w:rsidRPr="000D3D0C">
              <w:rPr>
                <w:color w:val="000000"/>
                <w:sz w:val="13"/>
                <w:szCs w:val="13"/>
              </w:rPr>
              <w:t>6</w:t>
            </w:r>
          </w:p>
        </w:tc>
        <w:tc>
          <w:tcPr>
            <w:tcW w:w="188" w:type="pct"/>
            <w:tcBorders>
              <w:top w:val="single" w:sz="4" w:space="0" w:color="auto"/>
              <w:left w:val="nil"/>
              <w:bottom w:val="single" w:sz="4" w:space="0" w:color="auto"/>
              <w:right w:val="single" w:sz="4" w:space="0" w:color="auto"/>
            </w:tcBorders>
            <w:shd w:val="clear" w:color="auto" w:fill="auto"/>
            <w:vAlign w:val="center"/>
          </w:tcPr>
          <w:p w14:paraId="474716FD" w14:textId="77777777" w:rsidR="004A0123" w:rsidRPr="000D3D0C" w:rsidRDefault="004A0123" w:rsidP="008A5C11">
            <w:pPr>
              <w:jc w:val="center"/>
              <w:rPr>
                <w:color w:val="000000"/>
                <w:sz w:val="13"/>
                <w:szCs w:val="13"/>
              </w:rPr>
            </w:pPr>
            <w:r w:rsidRPr="000D3D0C">
              <w:rPr>
                <w:color w:val="000000"/>
                <w:sz w:val="13"/>
                <w:szCs w:val="13"/>
              </w:rPr>
              <w:t>2025</w:t>
            </w:r>
          </w:p>
        </w:tc>
        <w:tc>
          <w:tcPr>
            <w:tcW w:w="187" w:type="pct"/>
            <w:tcBorders>
              <w:top w:val="single" w:sz="4" w:space="0" w:color="auto"/>
              <w:left w:val="nil"/>
              <w:bottom w:val="single" w:sz="4" w:space="0" w:color="auto"/>
              <w:right w:val="single" w:sz="4" w:space="0" w:color="auto"/>
            </w:tcBorders>
            <w:shd w:val="clear" w:color="auto" w:fill="auto"/>
            <w:vAlign w:val="center"/>
          </w:tcPr>
          <w:p w14:paraId="0D49BD1B" w14:textId="77777777" w:rsidR="004A0123" w:rsidRPr="000D3D0C" w:rsidRDefault="004A0123" w:rsidP="008A5C11">
            <w:pPr>
              <w:jc w:val="center"/>
              <w:rPr>
                <w:color w:val="000000"/>
                <w:sz w:val="13"/>
                <w:szCs w:val="13"/>
              </w:rPr>
            </w:pPr>
            <w:r w:rsidRPr="000D3D0C">
              <w:rPr>
                <w:color w:val="000000"/>
                <w:sz w:val="13"/>
                <w:szCs w:val="13"/>
              </w:rPr>
              <w:t>2025</w:t>
            </w:r>
          </w:p>
        </w:tc>
        <w:tc>
          <w:tcPr>
            <w:tcW w:w="187" w:type="pct"/>
            <w:tcBorders>
              <w:top w:val="single" w:sz="4" w:space="0" w:color="auto"/>
              <w:left w:val="nil"/>
              <w:bottom w:val="single" w:sz="4" w:space="0" w:color="auto"/>
              <w:right w:val="single" w:sz="4" w:space="0" w:color="auto"/>
            </w:tcBorders>
            <w:shd w:val="clear" w:color="auto" w:fill="auto"/>
            <w:vAlign w:val="center"/>
          </w:tcPr>
          <w:p w14:paraId="60E87C70" w14:textId="77777777" w:rsidR="004A0123" w:rsidRPr="000D3D0C" w:rsidRDefault="004A0123" w:rsidP="008A5C11">
            <w:pPr>
              <w:jc w:val="center"/>
              <w:rPr>
                <w:color w:val="000000"/>
                <w:sz w:val="13"/>
                <w:szCs w:val="13"/>
              </w:rPr>
            </w:pPr>
            <w:r w:rsidRPr="000D3D0C">
              <w:rPr>
                <w:color w:val="000000"/>
                <w:sz w:val="13"/>
                <w:szCs w:val="13"/>
              </w:rPr>
              <w:t>5982</w:t>
            </w:r>
          </w:p>
        </w:tc>
        <w:tc>
          <w:tcPr>
            <w:tcW w:w="187" w:type="pct"/>
            <w:tcBorders>
              <w:top w:val="single" w:sz="4" w:space="0" w:color="auto"/>
              <w:left w:val="nil"/>
              <w:bottom w:val="single" w:sz="4" w:space="0" w:color="auto"/>
              <w:right w:val="single" w:sz="4" w:space="0" w:color="auto"/>
            </w:tcBorders>
            <w:shd w:val="clear" w:color="auto" w:fill="auto"/>
            <w:vAlign w:val="center"/>
          </w:tcPr>
          <w:p w14:paraId="51FAC767" w14:textId="77777777" w:rsidR="004A0123" w:rsidRPr="000D3D0C" w:rsidRDefault="004A0123" w:rsidP="008A5C11">
            <w:pPr>
              <w:jc w:val="center"/>
              <w:rPr>
                <w:sz w:val="13"/>
                <w:szCs w:val="13"/>
              </w:rPr>
            </w:pPr>
            <w:r w:rsidRPr="000D3D0C">
              <w:rPr>
                <w:sz w:val="13"/>
                <w:szCs w:val="13"/>
              </w:rPr>
              <w:t>0</w:t>
            </w:r>
          </w:p>
        </w:tc>
        <w:tc>
          <w:tcPr>
            <w:tcW w:w="146" w:type="pct"/>
            <w:tcBorders>
              <w:top w:val="single" w:sz="4" w:space="0" w:color="auto"/>
              <w:left w:val="single" w:sz="4" w:space="0" w:color="auto"/>
              <w:bottom w:val="single" w:sz="4" w:space="0" w:color="auto"/>
              <w:right w:val="single" w:sz="4" w:space="0" w:color="auto"/>
            </w:tcBorders>
            <w:shd w:val="clear" w:color="auto" w:fill="auto"/>
            <w:vAlign w:val="center"/>
          </w:tcPr>
          <w:p w14:paraId="1CC097C8" w14:textId="77777777" w:rsidR="004A0123" w:rsidRPr="000D3D0C" w:rsidRDefault="004A0123" w:rsidP="008A5C11">
            <w:pPr>
              <w:jc w:val="center"/>
              <w:rPr>
                <w:sz w:val="13"/>
                <w:szCs w:val="13"/>
              </w:rPr>
            </w:pPr>
            <w:r w:rsidRPr="000D3D0C">
              <w:rPr>
                <w:sz w:val="13"/>
                <w:szCs w:val="13"/>
              </w:rPr>
              <w:t>0</w:t>
            </w:r>
          </w:p>
        </w:tc>
        <w:tc>
          <w:tcPr>
            <w:tcW w:w="149" w:type="pct"/>
            <w:tcBorders>
              <w:top w:val="single" w:sz="4" w:space="0" w:color="auto"/>
              <w:left w:val="nil"/>
              <w:bottom w:val="single" w:sz="4" w:space="0" w:color="auto"/>
              <w:right w:val="single" w:sz="4" w:space="0" w:color="auto"/>
            </w:tcBorders>
            <w:shd w:val="clear" w:color="auto" w:fill="auto"/>
            <w:vAlign w:val="center"/>
          </w:tcPr>
          <w:p w14:paraId="238B9392" w14:textId="77777777" w:rsidR="004A0123" w:rsidRPr="000D3D0C" w:rsidRDefault="004A0123" w:rsidP="008A5C11">
            <w:pPr>
              <w:jc w:val="center"/>
              <w:rPr>
                <w:sz w:val="13"/>
                <w:szCs w:val="13"/>
              </w:rPr>
            </w:pPr>
            <w:r w:rsidRPr="000D3D0C">
              <w:rPr>
                <w:sz w:val="13"/>
                <w:szCs w:val="13"/>
              </w:rPr>
              <w:t>0</w:t>
            </w:r>
          </w:p>
        </w:tc>
        <w:tc>
          <w:tcPr>
            <w:tcW w:w="182" w:type="pct"/>
            <w:tcBorders>
              <w:top w:val="single" w:sz="4" w:space="0" w:color="auto"/>
              <w:left w:val="nil"/>
              <w:bottom w:val="single" w:sz="4" w:space="0" w:color="auto"/>
              <w:right w:val="single" w:sz="4" w:space="0" w:color="auto"/>
            </w:tcBorders>
            <w:shd w:val="clear" w:color="auto" w:fill="auto"/>
            <w:vAlign w:val="center"/>
          </w:tcPr>
          <w:p w14:paraId="3CA91F8E" w14:textId="77777777" w:rsidR="004A0123" w:rsidRPr="000D3D0C" w:rsidRDefault="004A0123" w:rsidP="008A5C11">
            <w:pPr>
              <w:jc w:val="center"/>
              <w:rPr>
                <w:sz w:val="13"/>
                <w:szCs w:val="13"/>
              </w:rPr>
            </w:pPr>
            <w:r w:rsidRPr="000D3D0C">
              <w:rPr>
                <w:sz w:val="13"/>
                <w:szCs w:val="13"/>
              </w:rPr>
              <w:t>0</w:t>
            </w:r>
          </w:p>
        </w:tc>
        <w:tc>
          <w:tcPr>
            <w:tcW w:w="182" w:type="pct"/>
            <w:tcBorders>
              <w:top w:val="single" w:sz="4" w:space="0" w:color="auto"/>
              <w:left w:val="nil"/>
              <w:bottom w:val="single" w:sz="4" w:space="0" w:color="auto"/>
              <w:right w:val="single" w:sz="4" w:space="0" w:color="auto"/>
            </w:tcBorders>
            <w:shd w:val="clear" w:color="auto" w:fill="auto"/>
            <w:vAlign w:val="center"/>
          </w:tcPr>
          <w:p w14:paraId="3F2C6A6B" w14:textId="77777777" w:rsidR="004A0123" w:rsidRPr="000D3D0C" w:rsidRDefault="004A0123" w:rsidP="008A5C11">
            <w:pPr>
              <w:jc w:val="center"/>
              <w:rPr>
                <w:sz w:val="13"/>
                <w:szCs w:val="13"/>
              </w:rPr>
            </w:pPr>
            <w:r w:rsidRPr="000D3D0C">
              <w:rPr>
                <w:sz w:val="13"/>
                <w:szCs w:val="13"/>
              </w:rPr>
              <w:t>0</w:t>
            </w:r>
          </w:p>
        </w:tc>
        <w:tc>
          <w:tcPr>
            <w:tcW w:w="154" w:type="pct"/>
            <w:tcBorders>
              <w:top w:val="single" w:sz="4" w:space="0" w:color="auto"/>
              <w:left w:val="single" w:sz="4" w:space="0" w:color="auto"/>
              <w:bottom w:val="single" w:sz="4" w:space="0" w:color="auto"/>
              <w:right w:val="single" w:sz="4" w:space="0" w:color="auto"/>
            </w:tcBorders>
            <w:vAlign w:val="center"/>
          </w:tcPr>
          <w:p w14:paraId="25FB70ED" w14:textId="77777777" w:rsidR="004A0123" w:rsidRPr="000D3D0C" w:rsidRDefault="004A0123" w:rsidP="008A5C11">
            <w:pPr>
              <w:jc w:val="center"/>
              <w:rPr>
                <w:sz w:val="13"/>
                <w:szCs w:val="13"/>
              </w:rPr>
            </w:pPr>
            <w:r w:rsidRPr="000D3D0C">
              <w:rPr>
                <w:sz w:val="13"/>
                <w:szCs w:val="13"/>
              </w:rPr>
              <w:t>5982</w:t>
            </w:r>
          </w:p>
        </w:tc>
        <w:tc>
          <w:tcPr>
            <w:tcW w:w="154" w:type="pct"/>
            <w:tcBorders>
              <w:top w:val="single" w:sz="4" w:space="0" w:color="auto"/>
              <w:left w:val="single" w:sz="4" w:space="0" w:color="auto"/>
              <w:bottom w:val="single" w:sz="4" w:space="0" w:color="auto"/>
              <w:right w:val="single" w:sz="4" w:space="0" w:color="auto"/>
            </w:tcBorders>
            <w:vAlign w:val="center"/>
          </w:tcPr>
          <w:p w14:paraId="3A27F6B6" w14:textId="77777777" w:rsidR="004A0123" w:rsidRPr="000D3D0C" w:rsidRDefault="004A0123" w:rsidP="008A5C11">
            <w:pPr>
              <w:jc w:val="center"/>
              <w:rPr>
                <w:sz w:val="13"/>
                <w:szCs w:val="13"/>
              </w:rPr>
            </w:pPr>
            <w:r w:rsidRPr="000D3D0C">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2A3069F4" w14:textId="77777777" w:rsidR="004A0123" w:rsidRPr="000D3D0C" w:rsidRDefault="004A0123" w:rsidP="008A5C11">
            <w:pPr>
              <w:jc w:val="center"/>
              <w:rPr>
                <w:sz w:val="13"/>
                <w:szCs w:val="13"/>
              </w:rPr>
            </w:pPr>
            <w:r w:rsidRPr="000D3D0C">
              <w:rPr>
                <w:sz w:val="13"/>
                <w:szCs w:val="13"/>
              </w:rPr>
              <w:t>0</w:t>
            </w:r>
          </w:p>
        </w:tc>
        <w:tc>
          <w:tcPr>
            <w:tcW w:w="173" w:type="pct"/>
            <w:tcBorders>
              <w:top w:val="single" w:sz="4" w:space="0" w:color="auto"/>
              <w:left w:val="single" w:sz="4" w:space="0" w:color="auto"/>
              <w:bottom w:val="single" w:sz="4" w:space="0" w:color="auto"/>
              <w:right w:val="single" w:sz="4" w:space="0" w:color="auto"/>
            </w:tcBorders>
            <w:vAlign w:val="center"/>
          </w:tcPr>
          <w:p w14:paraId="1E5D7435" w14:textId="77777777" w:rsidR="004A0123" w:rsidRPr="000D3D0C" w:rsidRDefault="004A0123" w:rsidP="008A5C11">
            <w:pPr>
              <w:jc w:val="center"/>
              <w:rPr>
                <w:sz w:val="13"/>
                <w:szCs w:val="13"/>
              </w:rPr>
            </w:pPr>
            <w:r w:rsidRPr="000D3D0C">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023FE26F" w14:textId="77777777" w:rsidR="004A0123" w:rsidRPr="000D3D0C" w:rsidRDefault="004A0123" w:rsidP="008A5C11">
            <w:pPr>
              <w:jc w:val="center"/>
              <w:rPr>
                <w:sz w:val="13"/>
                <w:szCs w:val="13"/>
              </w:rPr>
            </w:pPr>
            <w:r w:rsidRPr="000D3D0C">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67DE733F" w14:textId="77777777" w:rsidR="004A0123" w:rsidRPr="000D3D0C" w:rsidRDefault="004A0123" w:rsidP="008A5C11">
            <w:pPr>
              <w:jc w:val="center"/>
              <w:rPr>
                <w:sz w:val="13"/>
                <w:szCs w:val="13"/>
              </w:rPr>
            </w:pPr>
            <w:r w:rsidRPr="000D3D0C">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5BF81732" w14:textId="77777777" w:rsidR="004A0123" w:rsidRPr="000D3D0C" w:rsidRDefault="004A0123" w:rsidP="008A5C11">
            <w:pPr>
              <w:jc w:val="center"/>
              <w:rPr>
                <w:sz w:val="13"/>
                <w:szCs w:val="13"/>
              </w:rPr>
            </w:pPr>
            <w:r w:rsidRPr="000D3D0C">
              <w:rPr>
                <w:sz w:val="13"/>
                <w:szCs w:val="13"/>
              </w:rPr>
              <w:t>0</w:t>
            </w:r>
          </w:p>
        </w:tc>
        <w:tc>
          <w:tcPr>
            <w:tcW w:w="178" w:type="pct"/>
            <w:tcBorders>
              <w:top w:val="single" w:sz="4" w:space="0" w:color="auto"/>
              <w:left w:val="single" w:sz="4" w:space="0" w:color="auto"/>
              <w:bottom w:val="single" w:sz="4" w:space="0" w:color="auto"/>
              <w:right w:val="single" w:sz="4" w:space="0" w:color="auto"/>
            </w:tcBorders>
            <w:vAlign w:val="center"/>
          </w:tcPr>
          <w:p w14:paraId="579ECBCE" w14:textId="77777777" w:rsidR="004A0123" w:rsidRPr="000D3D0C" w:rsidRDefault="004A0123" w:rsidP="008A5C11">
            <w:pPr>
              <w:jc w:val="center"/>
              <w:rPr>
                <w:sz w:val="13"/>
                <w:szCs w:val="13"/>
              </w:rPr>
            </w:pPr>
            <w:r w:rsidRPr="000D3D0C">
              <w:rPr>
                <w:sz w:val="13"/>
                <w:szCs w:val="13"/>
              </w:rPr>
              <w:t>0</w:t>
            </w:r>
          </w:p>
        </w:tc>
      </w:tr>
      <w:tr w:rsidR="004A0123" w:rsidRPr="000D3D0C" w14:paraId="4450B1AB" w14:textId="77777777" w:rsidTr="008A5C11">
        <w:trPr>
          <w:trHeight w:val="203"/>
        </w:trPr>
        <w:tc>
          <w:tcPr>
            <w:tcW w:w="2668" w:type="pct"/>
            <w:gridSpan w:val="10"/>
            <w:tcBorders>
              <w:right w:val="single" w:sz="4" w:space="0" w:color="auto"/>
            </w:tcBorders>
            <w:shd w:val="clear" w:color="auto" w:fill="auto"/>
            <w:vAlign w:val="center"/>
          </w:tcPr>
          <w:p w14:paraId="7360BF77" w14:textId="77777777" w:rsidR="004A0123" w:rsidRPr="000D3D0C" w:rsidRDefault="004A0123" w:rsidP="008A5C11">
            <w:pPr>
              <w:rPr>
                <w:sz w:val="13"/>
                <w:szCs w:val="13"/>
              </w:rPr>
            </w:pPr>
            <w:r w:rsidRPr="000D3D0C">
              <w:rPr>
                <w:sz w:val="13"/>
                <w:szCs w:val="13"/>
              </w:rPr>
              <w:t>Всего по группе 4.</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14:paraId="619E35BC" w14:textId="77777777" w:rsidR="004A0123" w:rsidRPr="000D3D0C" w:rsidRDefault="004A0123" w:rsidP="008A5C11">
            <w:pPr>
              <w:jc w:val="center"/>
              <w:rPr>
                <w:sz w:val="13"/>
                <w:szCs w:val="13"/>
              </w:rPr>
            </w:pPr>
            <w:r w:rsidRPr="000D3D0C">
              <w:rPr>
                <w:sz w:val="13"/>
                <w:szCs w:val="13"/>
              </w:rPr>
              <w:t>78801</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14:paraId="0D8067A8" w14:textId="77777777" w:rsidR="004A0123" w:rsidRPr="000D3D0C" w:rsidRDefault="004A0123" w:rsidP="008A5C11">
            <w:pPr>
              <w:jc w:val="center"/>
              <w:rPr>
                <w:sz w:val="13"/>
                <w:szCs w:val="13"/>
              </w:rPr>
            </w:pPr>
            <w:r w:rsidRPr="000D3D0C">
              <w:rPr>
                <w:sz w:val="13"/>
                <w:szCs w:val="13"/>
              </w:rPr>
              <w:t>0</w:t>
            </w:r>
          </w:p>
        </w:tc>
        <w:tc>
          <w:tcPr>
            <w:tcW w:w="146" w:type="pct"/>
            <w:tcBorders>
              <w:top w:val="single" w:sz="4" w:space="0" w:color="auto"/>
              <w:left w:val="single" w:sz="4" w:space="0" w:color="auto"/>
              <w:bottom w:val="single" w:sz="4" w:space="0" w:color="auto"/>
              <w:right w:val="single" w:sz="4" w:space="0" w:color="auto"/>
            </w:tcBorders>
            <w:shd w:val="clear" w:color="auto" w:fill="auto"/>
            <w:vAlign w:val="center"/>
          </w:tcPr>
          <w:p w14:paraId="12156343" w14:textId="77777777" w:rsidR="004A0123" w:rsidRPr="000D3D0C" w:rsidRDefault="004A0123" w:rsidP="008A5C11">
            <w:pPr>
              <w:jc w:val="center"/>
              <w:rPr>
                <w:sz w:val="13"/>
                <w:szCs w:val="13"/>
              </w:rPr>
            </w:pPr>
            <w:r w:rsidRPr="000D3D0C">
              <w:rPr>
                <w:sz w:val="13"/>
                <w:szCs w:val="13"/>
              </w:rPr>
              <w:t>5824</w:t>
            </w:r>
          </w:p>
        </w:tc>
        <w:tc>
          <w:tcPr>
            <w:tcW w:w="149" w:type="pct"/>
            <w:tcBorders>
              <w:top w:val="single" w:sz="4" w:space="0" w:color="auto"/>
              <w:left w:val="single" w:sz="4" w:space="0" w:color="auto"/>
              <w:bottom w:val="single" w:sz="4" w:space="0" w:color="auto"/>
              <w:right w:val="single" w:sz="4" w:space="0" w:color="auto"/>
            </w:tcBorders>
            <w:shd w:val="clear" w:color="auto" w:fill="auto"/>
            <w:vAlign w:val="center"/>
          </w:tcPr>
          <w:p w14:paraId="598DC2E7" w14:textId="77777777" w:rsidR="004A0123" w:rsidRPr="000D3D0C" w:rsidRDefault="004A0123" w:rsidP="008A5C11">
            <w:pPr>
              <w:jc w:val="center"/>
              <w:rPr>
                <w:sz w:val="13"/>
                <w:szCs w:val="13"/>
              </w:rPr>
            </w:pPr>
            <w:r w:rsidRPr="000D3D0C">
              <w:rPr>
                <w:sz w:val="13"/>
                <w:szCs w:val="13"/>
              </w:rPr>
              <w:t>14896</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2E7AEF49" w14:textId="77777777" w:rsidR="004A0123" w:rsidRPr="000D3D0C" w:rsidRDefault="004A0123" w:rsidP="008A5C11">
            <w:pPr>
              <w:jc w:val="center"/>
              <w:rPr>
                <w:sz w:val="13"/>
                <w:szCs w:val="13"/>
              </w:rPr>
            </w:pPr>
            <w:r w:rsidRPr="000D3D0C">
              <w:rPr>
                <w:sz w:val="13"/>
                <w:szCs w:val="13"/>
              </w:rPr>
              <w:t>26114</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3D3A956B" w14:textId="77777777" w:rsidR="004A0123" w:rsidRPr="000D3D0C" w:rsidRDefault="004A0123" w:rsidP="008A5C11">
            <w:pPr>
              <w:jc w:val="center"/>
              <w:rPr>
                <w:sz w:val="13"/>
                <w:szCs w:val="13"/>
              </w:rPr>
            </w:pPr>
            <w:r w:rsidRPr="000D3D0C">
              <w:rPr>
                <w:sz w:val="13"/>
                <w:szCs w:val="13"/>
              </w:rPr>
              <w:t>25985</w:t>
            </w:r>
          </w:p>
        </w:tc>
        <w:tc>
          <w:tcPr>
            <w:tcW w:w="154" w:type="pct"/>
            <w:tcBorders>
              <w:top w:val="single" w:sz="4" w:space="0" w:color="auto"/>
              <w:left w:val="single" w:sz="4" w:space="0" w:color="auto"/>
              <w:bottom w:val="single" w:sz="4" w:space="0" w:color="auto"/>
              <w:right w:val="single" w:sz="4" w:space="0" w:color="auto"/>
            </w:tcBorders>
            <w:vAlign w:val="center"/>
          </w:tcPr>
          <w:p w14:paraId="0B82F1CE" w14:textId="77777777" w:rsidR="004A0123" w:rsidRPr="000D3D0C" w:rsidRDefault="004A0123" w:rsidP="008A5C11">
            <w:pPr>
              <w:jc w:val="center"/>
              <w:rPr>
                <w:sz w:val="13"/>
                <w:szCs w:val="13"/>
              </w:rPr>
            </w:pPr>
            <w:r w:rsidRPr="000D3D0C">
              <w:rPr>
                <w:sz w:val="13"/>
                <w:szCs w:val="13"/>
              </w:rPr>
              <w:t>5982</w:t>
            </w:r>
          </w:p>
        </w:tc>
        <w:tc>
          <w:tcPr>
            <w:tcW w:w="154" w:type="pct"/>
            <w:tcBorders>
              <w:top w:val="single" w:sz="4" w:space="0" w:color="auto"/>
              <w:left w:val="single" w:sz="4" w:space="0" w:color="auto"/>
              <w:bottom w:val="single" w:sz="4" w:space="0" w:color="auto"/>
              <w:right w:val="single" w:sz="4" w:space="0" w:color="auto"/>
            </w:tcBorders>
            <w:vAlign w:val="center"/>
          </w:tcPr>
          <w:p w14:paraId="39832DB3" w14:textId="77777777" w:rsidR="004A0123" w:rsidRPr="000D3D0C" w:rsidRDefault="004A0123" w:rsidP="008A5C11">
            <w:pPr>
              <w:jc w:val="center"/>
              <w:rPr>
                <w:sz w:val="13"/>
                <w:szCs w:val="13"/>
              </w:rPr>
            </w:pPr>
            <w:r w:rsidRPr="000D3D0C">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787CF8E7" w14:textId="77777777" w:rsidR="004A0123" w:rsidRPr="000D3D0C" w:rsidRDefault="004A0123" w:rsidP="008A5C11">
            <w:pPr>
              <w:jc w:val="center"/>
              <w:rPr>
                <w:sz w:val="13"/>
                <w:szCs w:val="13"/>
              </w:rPr>
            </w:pPr>
            <w:r w:rsidRPr="000D3D0C">
              <w:rPr>
                <w:sz w:val="13"/>
                <w:szCs w:val="13"/>
              </w:rPr>
              <w:t>0</w:t>
            </w:r>
          </w:p>
        </w:tc>
        <w:tc>
          <w:tcPr>
            <w:tcW w:w="173" w:type="pct"/>
            <w:tcBorders>
              <w:top w:val="single" w:sz="4" w:space="0" w:color="auto"/>
              <w:left w:val="single" w:sz="4" w:space="0" w:color="auto"/>
              <w:bottom w:val="single" w:sz="4" w:space="0" w:color="auto"/>
              <w:right w:val="single" w:sz="4" w:space="0" w:color="auto"/>
            </w:tcBorders>
            <w:vAlign w:val="center"/>
          </w:tcPr>
          <w:p w14:paraId="6D659DB1" w14:textId="77777777" w:rsidR="004A0123" w:rsidRPr="000D3D0C" w:rsidRDefault="004A0123" w:rsidP="008A5C11">
            <w:pPr>
              <w:jc w:val="center"/>
              <w:rPr>
                <w:sz w:val="13"/>
                <w:szCs w:val="13"/>
              </w:rPr>
            </w:pPr>
            <w:r w:rsidRPr="000D3D0C">
              <w:rPr>
                <w:sz w:val="13"/>
                <w:szCs w:val="13"/>
              </w:rPr>
              <w:t>0</w:t>
            </w:r>
          </w:p>
        </w:tc>
        <w:tc>
          <w:tcPr>
            <w:tcW w:w="156" w:type="pct"/>
            <w:tcBorders>
              <w:top w:val="single" w:sz="4" w:space="0" w:color="auto"/>
              <w:left w:val="single" w:sz="4" w:space="0" w:color="auto"/>
              <w:bottom w:val="single" w:sz="4" w:space="0" w:color="auto"/>
              <w:right w:val="single" w:sz="4" w:space="0" w:color="auto"/>
            </w:tcBorders>
            <w:vAlign w:val="center"/>
          </w:tcPr>
          <w:p w14:paraId="6E5F7F2B" w14:textId="77777777" w:rsidR="004A0123" w:rsidRPr="000D3D0C" w:rsidRDefault="004A0123" w:rsidP="008A5C11">
            <w:pPr>
              <w:jc w:val="center"/>
              <w:rPr>
                <w:sz w:val="13"/>
                <w:szCs w:val="13"/>
              </w:rPr>
            </w:pPr>
            <w:r w:rsidRPr="000D3D0C">
              <w:rPr>
                <w:sz w:val="13"/>
                <w:szCs w:val="13"/>
              </w:rPr>
              <w:t>0</w:t>
            </w:r>
          </w:p>
        </w:tc>
        <w:tc>
          <w:tcPr>
            <w:tcW w:w="146" w:type="pct"/>
            <w:tcBorders>
              <w:top w:val="single" w:sz="4" w:space="0" w:color="auto"/>
              <w:left w:val="single" w:sz="4" w:space="0" w:color="auto"/>
              <w:bottom w:val="single" w:sz="4" w:space="0" w:color="auto"/>
              <w:right w:val="single" w:sz="4" w:space="0" w:color="auto"/>
            </w:tcBorders>
            <w:vAlign w:val="center"/>
          </w:tcPr>
          <w:p w14:paraId="609E75CD" w14:textId="77777777" w:rsidR="004A0123" w:rsidRPr="000D3D0C" w:rsidRDefault="004A0123" w:rsidP="008A5C11">
            <w:pPr>
              <w:jc w:val="center"/>
              <w:rPr>
                <w:sz w:val="13"/>
                <w:szCs w:val="13"/>
              </w:rPr>
            </w:pPr>
            <w:r w:rsidRPr="000D3D0C">
              <w:rPr>
                <w:sz w:val="13"/>
                <w:szCs w:val="13"/>
              </w:rPr>
              <w:t>0</w:t>
            </w:r>
          </w:p>
        </w:tc>
        <w:tc>
          <w:tcPr>
            <w:tcW w:w="182" w:type="pct"/>
            <w:tcBorders>
              <w:top w:val="single" w:sz="4" w:space="0" w:color="auto"/>
              <w:left w:val="single" w:sz="4" w:space="0" w:color="auto"/>
              <w:bottom w:val="single" w:sz="4" w:space="0" w:color="auto"/>
              <w:right w:val="single" w:sz="4" w:space="0" w:color="auto"/>
            </w:tcBorders>
            <w:vAlign w:val="center"/>
          </w:tcPr>
          <w:p w14:paraId="3A1A29F1" w14:textId="77777777" w:rsidR="004A0123" w:rsidRPr="000D3D0C" w:rsidRDefault="004A0123" w:rsidP="008A5C11">
            <w:pPr>
              <w:jc w:val="center"/>
              <w:rPr>
                <w:sz w:val="13"/>
                <w:szCs w:val="13"/>
              </w:rPr>
            </w:pPr>
            <w:r w:rsidRPr="000D3D0C">
              <w:rPr>
                <w:sz w:val="13"/>
                <w:szCs w:val="13"/>
              </w:rPr>
              <w:t>0</w:t>
            </w:r>
          </w:p>
        </w:tc>
        <w:tc>
          <w:tcPr>
            <w:tcW w:w="178" w:type="pct"/>
            <w:tcBorders>
              <w:top w:val="single" w:sz="4" w:space="0" w:color="auto"/>
              <w:left w:val="single" w:sz="4" w:space="0" w:color="auto"/>
              <w:bottom w:val="single" w:sz="4" w:space="0" w:color="auto"/>
              <w:right w:val="single" w:sz="4" w:space="0" w:color="auto"/>
            </w:tcBorders>
            <w:vAlign w:val="center"/>
          </w:tcPr>
          <w:p w14:paraId="18C7CEAE" w14:textId="77777777" w:rsidR="004A0123" w:rsidRPr="000D3D0C" w:rsidRDefault="004A0123" w:rsidP="008A5C11">
            <w:pPr>
              <w:jc w:val="center"/>
              <w:rPr>
                <w:sz w:val="13"/>
                <w:szCs w:val="13"/>
              </w:rPr>
            </w:pPr>
            <w:r w:rsidRPr="000D3D0C">
              <w:rPr>
                <w:sz w:val="13"/>
                <w:szCs w:val="13"/>
              </w:rPr>
              <w:t>0</w:t>
            </w:r>
          </w:p>
        </w:tc>
      </w:tr>
      <w:tr w:rsidR="004A0123" w:rsidRPr="000D3D0C" w14:paraId="71215472" w14:textId="77777777" w:rsidTr="008A5C11">
        <w:trPr>
          <w:trHeight w:val="122"/>
        </w:trPr>
        <w:tc>
          <w:tcPr>
            <w:tcW w:w="5000" w:type="pct"/>
            <w:gridSpan w:val="24"/>
          </w:tcPr>
          <w:p w14:paraId="66BCB965" w14:textId="77777777" w:rsidR="004A0123" w:rsidRPr="000D3D0C" w:rsidRDefault="004A0123" w:rsidP="008A5C11">
            <w:pPr>
              <w:rPr>
                <w:bCs/>
                <w:sz w:val="13"/>
                <w:szCs w:val="13"/>
              </w:rPr>
            </w:pPr>
            <w:r w:rsidRPr="000D3D0C">
              <w:rPr>
                <w:bCs/>
                <w:sz w:val="13"/>
                <w:szCs w:val="13"/>
              </w:rPr>
              <w:t>Группа 5. Вывод из эксплуатации, консервация и демонтаж объектов системы централизованного теплоснабжения</w:t>
            </w:r>
          </w:p>
        </w:tc>
      </w:tr>
      <w:tr w:rsidR="004A0123" w:rsidRPr="000D3D0C" w14:paraId="031A99B5" w14:textId="77777777" w:rsidTr="008A5C11">
        <w:trPr>
          <w:trHeight w:val="96"/>
        </w:trPr>
        <w:tc>
          <w:tcPr>
            <w:tcW w:w="5000" w:type="pct"/>
            <w:gridSpan w:val="24"/>
          </w:tcPr>
          <w:p w14:paraId="26B183D0" w14:textId="77777777" w:rsidR="004A0123" w:rsidRPr="000D3D0C" w:rsidRDefault="004A0123" w:rsidP="008A5C11">
            <w:pPr>
              <w:rPr>
                <w:bCs/>
                <w:sz w:val="13"/>
                <w:szCs w:val="13"/>
              </w:rPr>
            </w:pPr>
            <w:r w:rsidRPr="000D3D0C">
              <w:rPr>
                <w:bCs/>
                <w:sz w:val="13"/>
                <w:szCs w:val="13"/>
              </w:rPr>
              <w:t>5.1. Вывод из эксплуатации, консервация и демонтаж тепловых сетей</w:t>
            </w:r>
          </w:p>
        </w:tc>
      </w:tr>
      <w:tr w:rsidR="004A0123" w:rsidRPr="000D3D0C" w14:paraId="1D2380B0" w14:textId="77777777" w:rsidTr="008A5C11">
        <w:trPr>
          <w:trHeight w:val="210"/>
        </w:trPr>
        <w:tc>
          <w:tcPr>
            <w:tcW w:w="5000" w:type="pct"/>
            <w:gridSpan w:val="24"/>
          </w:tcPr>
          <w:p w14:paraId="2E8771BF" w14:textId="77777777" w:rsidR="004A0123" w:rsidRPr="000D3D0C" w:rsidRDefault="004A0123" w:rsidP="008A5C11">
            <w:pPr>
              <w:rPr>
                <w:bCs/>
                <w:sz w:val="13"/>
                <w:szCs w:val="13"/>
              </w:rPr>
            </w:pPr>
            <w:r w:rsidRPr="000D3D0C">
              <w:rPr>
                <w:bCs/>
                <w:sz w:val="13"/>
                <w:szCs w:val="13"/>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4A0123" w:rsidRPr="000D3D0C" w14:paraId="0749B7E8" w14:textId="77777777" w:rsidTr="008A5C11">
        <w:trPr>
          <w:trHeight w:val="225"/>
        </w:trPr>
        <w:tc>
          <w:tcPr>
            <w:tcW w:w="2668" w:type="pct"/>
            <w:gridSpan w:val="10"/>
            <w:shd w:val="clear" w:color="auto" w:fill="auto"/>
            <w:vAlign w:val="center"/>
            <w:hideMark/>
          </w:tcPr>
          <w:p w14:paraId="760C9150" w14:textId="77777777" w:rsidR="004A0123" w:rsidRPr="000D3D0C" w:rsidRDefault="004A0123" w:rsidP="008A5C11">
            <w:pPr>
              <w:rPr>
                <w:sz w:val="13"/>
                <w:szCs w:val="13"/>
              </w:rPr>
            </w:pPr>
            <w:r w:rsidRPr="000D3D0C">
              <w:rPr>
                <w:sz w:val="13"/>
                <w:szCs w:val="13"/>
              </w:rPr>
              <w:t>Всего по группе 5.</w:t>
            </w:r>
          </w:p>
        </w:tc>
        <w:tc>
          <w:tcPr>
            <w:tcW w:w="187" w:type="pct"/>
            <w:shd w:val="clear" w:color="auto" w:fill="auto"/>
            <w:vAlign w:val="center"/>
          </w:tcPr>
          <w:p w14:paraId="5B2F9ECD" w14:textId="77777777" w:rsidR="004A0123" w:rsidRPr="000D3D0C" w:rsidRDefault="004A0123" w:rsidP="008A5C11">
            <w:pPr>
              <w:jc w:val="center"/>
              <w:rPr>
                <w:sz w:val="13"/>
                <w:szCs w:val="13"/>
              </w:rPr>
            </w:pPr>
            <w:r w:rsidRPr="000D3D0C">
              <w:rPr>
                <w:sz w:val="13"/>
                <w:szCs w:val="13"/>
              </w:rPr>
              <w:t>0</w:t>
            </w:r>
          </w:p>
        </w:tc>
        <w:tc>
          <w:tcPr>
            <w:tcW w:w="187" w:type="pct"/>
            <w:shd w:val="clear" w:color="auto" w:fill="auto"/>
            <w:vAlign w:val="center"/>
          </w:tcPr>
          <w:p w14:paraId="4CEBF850" w14:textId="77777777" w:rsidR="004A0123" w:rsidRPr="000D3D0C" w:rsidRDefault="004A0123" w:rsidP="008A5C11">
            <w:pPr>
              <w:jc w:val="center"/>
              <w:rPr>
                <w:sz w:val="13"/>
                <w:szCs w:val="13"/>
              </w:rPr>
            </w:pPr>
            <w:r w:rsidRPr="000D3D0C">
              <w:rPr>
                <w:sz w:val="13"/>
                <w:szCs w:val="13"/>
              </w:rPr>
              <w:t>0</w:t>
            </w:r>
          </w:p>
        </w:tc>
        <w:tc>
          <w:tcPr>
            <w:tcW w:w="146" w:type="pct"/>
            <w:shd w:val="clear" w:color="auto" w:fill="auto"/>
            <w:vAlign w:val="center"/>
          </w:tcPr>
          <w:p w14:paraId="13A1E6BD" w14:textId="77777777" w:rsidR="004A0123" w:rsidRPr="000D3D0C" w:rsidRDefault="004A0123" w:rsidP="008A5C11">
            <w:pPr>
              <w:jc w:val="center"/>
              <w:rPr>
                <w:sz w:val="13"/>
                <w:szCs w:val="13"/>
              </w:rPr>
            </w:pPr>
            <w:r w:rsidRPr="000D3D0C">
              <w:rPr>
                <w:sz w:val="13"/>
                <w:szCs w:val="13"/>
              </w:rPr>
              <w:t>0</w:t>
            </w:r>
          </w:p>
        </w:tc>
        <w:tc>
          <w:tcPr>
            <w:tcW w:w="149" w:type="pct"/>
            <w:shd w:val="clear" w:color="auto" w:fill="auto"/>
            <w:vAlign w:val="center"/>
          </w:tcPr>
          <w:p w14:paraId="451D93B0" w14:textId="77777777" w:rsidR="004A0123" w:rsidRPr="000D3D0C" w:rsidRDefault="004A0123" w:rsidP="008A5C11">
            <w:pPr>
              <w:jc w:val="center"/>
              <w:rPr>
                <w:sz w:val="13"/>
                <w:szCs w:val="13"/>
              </w:rPr>
            </w:pPr>
            <w:r w:rsidRPr="000D3D0C">
              <w:rPr>
                <w:sz w:val="13"/>
                <w:szCs w:val="13"/>
              </w:rPr>
              <w:t>0</w:t>
            </w:r>
          </w:p>
        </w:tc>
        <w:tc>
          <w:tcPr>
            <w:tcW w:w="182" w:type="pct"/>
            <w:shd w:val="clear" w:color="auto" w:fill="auto"/>
            <w:vAlign w:val="center"/>
          </w:tcPr>
          <w:p w14:paraId="1AB7952A" w14:textId="77777777" w:rsidR="004A0123" w:rsidRPr="000D3D0C" w:rsidRDefault="004A0123" w:rsidP="008A5C11">
            <w:pPr>
              <w:jc w:val="center"/>
              <w:rPr>
                <w:sz w:val="13"/>
                <w:szCs w:val="13"/>
              </w:rPr>
            </w:pPr>
            <w:r w:rsidRPr="000D3D0C">
              <w:rPr>
                <w:sz w:val="13"/>
                <w:szCs w:val="13"/>
              </w:rPr>
              <w:t>0</w:t>
            </w:r>
          </w:p>
        </w:tc>
        <w:tc>
          <w:tcPr>
            <w:tcW w:w="182" w:type="pct"/>
            <w:vAlign w:val="center"/>
          </w:tcPr>
          <w:p w14:paraId="0FE23803" w14:textId="77777777" w:rsidR="004A0123" w:rsidRPr="000D3D0C" w:rsidRDefault="004A0123" w:rsidP="008A5C11">
            <w:pPr>
              <w:jc w:val="center"/>
              <w:rPr>
                <w:sz w:val="13"/>
                <w:szCs w:val="13"/>
              </w:rPr>
            </w:pPr>
            <w:r w:rsidRPr="000D3D0C">
              <w:rPr>
                <w:sz w:val="13"/>
                <w:szCs w:val="13"/>
              </w:rPr>
              <w:t>0</w:t>
            </w:r>
          </w:p>
        </w:tc>
        <w:tc>
          <w:tcPr>
            <w:tcW w:w="154" w:type="pct"/>
            <w:vAlign w:val="center"/>
          </w:tcPr>
          <w:p w14:paraId="748B9710" w14:textId="77777777" w:rsidR="004A0123" w:rsidRPr="000D3D0C" w:rsidRDefault="004A0123" w:rsidP="008A5C11">
            <w:pPr>
              <w:jc w:val="center"/>
              <w:rPr>
                <w:sz w:val="13"/>
                <w:szCs w:val="13"/>
              </w:rPr>
            </w:pPr>
            <w:r w:rsidRPr="000D3D0C">
              <w:rPr>
                <w:sz w:val="13"/>
                <w:szCs w:val="13"/>
              </w:rPr>
              <w:t>0</w:t>
            </w:r>
          </w:p>
        </w:tc>
        <w:tc>
          <w:tcPr>
            <w:tcW w:w="154" w:type="pct"/>
            <w:vAlign w:val="center"/>
          </w:tcPr>
          <w:p w14:paraId="2A2F480F" w14:textId="77777777" w:rsidR="004A0123" w:rsidRPr="000D3D0C" w:rsidRDefault="004A0123" w:rsidP="008A5C11">
            <w:pPr>
              <w:jc w:val="center"/>
              <w:rPr>
                <w:sz w:val="13"/>
                <w:szCs w:val="13"/>
              </w:rPr>
            </w:pPr>
            <w:r w:rsidRPr="000D3D0C">
              <w:rPr>
                <w:sz w:val="13"/>
                <w:szCs w:val="13"/>
              </w:rPr>
              <w:t>0</w:t>
            </w:r>
          </w:p>
        </w:tc>
        <w:tc>
          <w:tcPr>
            <w:tcW w:w="156" w:type="pct"/>
            <w:vAlign w:val="center"/>
          </w:tcPr>
          <w:p w14:paraId="72EC3C0A" w14:textId="77777777" w:rsidR="004A0123" w:rsidRPr="000D3D0C" w:rsidRDefault="004A0123" w:rsidP="008A5C11">
            <w:pPr>
              <w:jc w:val="center"/>
              <w:rPr>
                <w:sz w:val="13"/>
                <w:szCs w:val="13"/>
              </w:rPr>
            </w:pPr>
            <w:r w:rsidRPr="000D3D0C">
              <w:rPr>
                <w:sz w:val="13"/>
                <w:szCs w:val="13"/>
              </w:rPr>
              <w:t>0</w:t>
            </w:r>
          </w:p>
        </w:tc>
        <w:tc>
          <w:tcPr>
            <w:tcW w:w="173" w:type="pct"/>
            <w:vAlign w:val="center"/>
          </w:tcPr>
          <w:p w14:paraId="6BC84E9B" w14:textId="77777777" w:rsidR="004A0123" w:rsidRPr="000D3D0C" w:rsidRDefault="004A0123" w:rsidP="008A5C11">
            <w:pPr>
              <w:jc w:val="center"/>
              <w:rPr>
                <w:sz w:val="13"/>
                <w:szCs w:val="13"/>
              </w:rPr>
            </w:pPr>
            <w:r w:rsidRPr="000D3D0C">
              <w:rPr>
                <w:sz w:val="13"/>
                <w:szCs w:val="13"/>
              </w:rPr>
              <w:t>0</w:t>
            </w:r>
          </w:p>
        </w:tc>
        <w:tc>
          <w:tcPr>
            <w:tcW w:w="156" w:type="pct"/>
            <w:vAlign w:val="center"/>
          </w:tcPr>
          <w:p w14:paraId="7E7C7DA0" w14:textId="77777777" w:rsidR="004A0123" w:rsidRPr="000D3D0C" w:rsidRDefault="004A0123" w:rsidP="008A5C11">
            <w:pPr>
              <w:jc w:val="center"/>
              <w:rPr>
                <w:sz w:val="13"/>
                <w:szCs w:val="13"/>
              </w:rPr>
            </w:pPr>
            <w:r w:rsidRPr="000D3D0C">
              <w:rPr>
                <w:sz w:val="13"/>
                <w:szCs w:val="13"/>
              </w:rPr>
              <w:t>0</w:t>
            </w:r>
          </w:p>
        </w:tc>
        <w:tc>
          <w:tcPr>
            <w:tcW w:w="146" w:type="pct"/>
            <w:vAlign w:val="center"/>
          </w:tcPr>
          <w:p w14:paraId="08EC63EE" w14:textId="77777777" w:rsidR="004A0123" w:rsidRPr="000D3D0C" w:rsidRDefault="004A0123" w:rsidP="008A5C11">
            <w:pPr>
              <w:jc w:val="center"/>
              <w:rPr>
                <w:sz w:val="13"/>
                <w:szCs w:val="13"/>
              </w:rPr>
            </w:pPr>
            <w:r w:rsidRPr="000D3D0C">
              <w:rPr>
                <w:sz w:val="13"/>
                <w:szCs w:val="13"/>
              </w:rPr>
              <w:t>0</w:t>
            </w:r>
          </w:p>
        </w:tc>
        <w:tc>
          <w:tcPr>
            <w:tcW w:w="182" w:type="pct"/>
            <w:vAlign w:val="center"/>
          </w:tcPr>
          <w:p w14:paraId="6FC25E3A" w14:textId="77777777" w:rsidR="004A0123" w:rsidRPr="000D3D0C" w:rsidRDefault="004A0123" w:rsidP="008A5C11">
            <w:pPr>
              <w:jc w:val="center"/>
              <w:rPr>
                <w:sz w:val="13"/>
                <w:szCs w:val="13"/>
              </w:rPr>
            </w:pPr>
            <w:r w:rsidRPr="000D3D0C">
              <w:rPr>
                <w:sz w:val="13"/>
                <w:szCs w:val="13"/>
              </w:rPr>
              <w:t>0</w:t>
            </w:r>
          </w:p>
        </w:tc>
        <w:tc>
          <w:tcPr>
            <w:tcW w:w="178" w:type="pct"/>
            <w:vAlign w:val="center"/>
          </w:tcPr>
          <w:p w14:paraId="0EA5BCD4" w14:textId="77777777" w:rsidR="004A0123" w:rsidRPr="000D3D0C" w:rsidRDefault="004A0123" w:rsidP="008A5C11">
            <w:pPr>
              <w:jc w:val="center"/>
              <w:rPr>
                <w:sz w:val="13"/>
                <w:szCs w:val="13"/>
              </w:rPr>
            </w:pPr>
            <w:r w:rsidRPr="000D3D0C">
              <w:rPr>
                <w:sz w:val="13"/>
                <w:szCs w:val="13"/>
              </w:rPr>
              <w:t>0</w:t>
            </w:r>
          </w:p>
        </w:tc>
      </w:tr>
      <w:tr w:rsidR="004A0123" w:rsidRPr="000D3D0C" w14:paraId="67B85A8F" w14:textId="77777777" w:rsidTr="008A5C11">
        <w:trPr>
          <w:trHeight w:val="225"/>
        </w:trPr>
        <w:tc>
          <w:tcPr>
            <w:tcW w:w="2668" w:type="pct"/>
            <w:gridSpan w:val="10"/>
            <w:shd w:val="clear" w:color="auto" w:fill="auto"/>
            <w:vAlign w:val="center"/>
            <w:hideMark/>
          </w:tcPr>
          <w:p w14:paraId="3220FD2C" w14:textId="77777777" w:rsidR="004A0123" w:rsidRPr="000D3D0C" w:rsidRDefault="004A0123" w:rsidP="008A5C11">
            <w:pPr>
              <w:rPr>
                <w:sz w:val="13"/>
                <w:szCs w:val="13"/>
              </w:rPr>
            </w:pPr>
            <w:r w:rsidRPr="000D3D0C">
              <w:rPr>
                <w:sz w:val="13"/>
                <w:szCs w:val="13"/>
              </w:rPr>
              <w:t>ИТОГО по программе</w:t>
            </w:r>
          </w:p>
        </w:tc>
        <w:tc>
          <w:tcPr>
            <w:tcW w:w="187" w:type="pct"/>
            <w:tcBorders>
              <w:top w:val="single" w:sz="4" w:space="0" w:color="auto"/>
              <w:left w:val="nil"/>
              <w:bottom w:val="single" w:sz="4" w:space="0" w:color="auto"/>
              <w:right w:val="single" w:sz="4" w:space="0" w:color="auto"/>
            </w:tcBorders>
            <w:shd w:val="clear" w:color="auto" w:fill="auto"/>
            <w:vAlign w:val="center"/>
          </w:tcPr>
          <w:p w14:paraId="369D5C2C" w14:textId="77777777" w:rsidR="004A0123" w:rsidRPr="000D3D0C" w:rsidRDefault="004A0123" w:rsidP="008A5C11">
            <w:pPr>
              <w:jc w:val="center"/>
              <w:rPr>
                <w:sz w:val="13"/>
                <w:szCs w:val="13"/>
              </w:rPr>
            </w:pPr>
            <w:r w:rsidRPr="000D3D0C">
              <w:rPr>
                <w:sz w:val="13"/>
                <w:szCs w:val="13"/>
              </w:rPr>
              <w:t>689981</w:t>
            </w:r>
          </w:p>
        </w:tc>
        <w:tc>
          <w:tcPr>
            <w:tcW w:w="187" w:type="pct"/>
            <w:tcBorders>
              <w:top w:val="single" w:sz="4" w:space="0" w:color="auto"/>
              <w:left w:val="single" w:sz="4" w:space="0" w:color="auto"/>
              <w:bottom w:val="single" w:sz="4" w:space="0" w:color="auto"/>
              <w:right w:val="single" w:sz="4" w:space="0" w:color="auto"/>
            </w:tcBorders>
            <w:shd w:val="clear" w:color="auto" w:fill="auto"/>
            <w:vAlign w:val="center"/>
          </w:tcPr>
          <w:p w14:paraId="4DE5DFFF" w14:textId="77777777" w:rsidR="004A0123" w:rsidRPr="000D3D0C" w:rsidRDefault="004A0123" w:rsidP="008A5C11">
            <w:pPr>
              <w:jc w:val="center"/>
              <w:rPr>
                <w:sz w:val="13"/>
                <w:szCs w:val="13"/>
              </w:rPr>
            </w:pPr>
            <w:r w:rsidRPr="000D3D0C">
              <w:rPr>
                <w:sz w:val="13"/>
                <w:szCs w:val="13"/>
              </w:rPr>
              <w:t>0</w:t>
            </w:r>
          </w:p>
        </w:tc>
        <w:tc>
          <w:tcPr>
            <w:tcW w:w="146" w:type="pct"/>
            <w:tcBorders>
              <w:top w:val="single" w:sz="4" w:space="0" w:color="auto"/>
              <w:left w:val="single" w:sz="4" w:space="0" w:color="auto"/>
              <w:bottom w:val="single" w:sz="4" w:space="0" w:color="auto"/>
              <w:right w:val="single" w:sz="4" w:space="0" w:color="auto"/>
            </w:tcBorders>
            <w:shd w:val="clear" w:color="auto" w:fill="auto"/>
            <w:vAlign w:val="center"/>
          </w:tcPr>
          <w:p w14:paraId="06CF1594" w14:textId="77777777" w:rsidR="004A0123" w:rsidRPr="000D3D0C" w:rsidRDefault="004A0123" w:rsidP="008A5C11">
            <w:pPr>
              <w:jc w:val="center"/>
              <w:rPr>
                <w:sz w:val="13"/>
                <w:szCs w:val="13"/>
              </w:rPr>
            </w:pPr>
            <w:r w:rsidRPr="000D3D0C">
              <w:rPr>
                <w:sz w:val="13"/>
                <w:szCs w:val="13"/>
              </w:rPr>
              <w:t>11197</w:t>
            </w:r>
          </w:p>
        </w:tc>
        <w:tc>
          <w:tcPr>
            <w:tcW w:w="149" w:type="pct"/>
            <w:tcBorders>
              <w:top w:val="single" w:sz="4" w:space="0" w:color="auto"/>
              <w:left w:val="single" w:sz="4" w:space="0" w:color="auto"/>
              <w:bottom w:val="single" w:sz="4" w:space="0" w:color="auto"/>
              <w:right w:val="single" w:sz="4" w:space="0" w:color="auto"/>
            </w:tcBorders>
            <w:shd w:val="clear" w:color="auto" w:fill="auto"/>
            <w:vAlign w:val="center"/>
          </w:tcPr>
          <w:p w14:paraId="517B7D5F" w14:textId="77777777" w:rsidR="004A0123" w:rsidRPr="000D3D0C" w:rsidRDefault="004A0123" w:rsidP="008A5C11">
            <w:pPr>
              <w:jc w:val="center"/>
              <w:rPr>
                <w:sz w:val="13"/>
                <w:szCs w:val="13"/>
              </w:rPr>
            </w:pPr>
            <w:r w:rsidRPr="000D3D0C">
              <w:rPr>
                <w:sz w:val="13"/>
                <w:szCs w:val="13"/>
              </w:rPr>
              <w:t>29951</w:t>
            </w:r>
          </w:p>
        </w:tc>
        <w:tc>
          <w:tcPr>
            <w:tcW w:w="182" w:type="pct"/>
            <w:tcBorders>
              <w:top w:val="single" w:sz="4" w:space="0" w:color="auto"/>
              <w:left w:val="single" w:sz="4" w:space="0" w:color="auto"/>
              <w:bottom w:val="single" w:sz="4" w:space="0" w:color="auto"/>
              <w:right w:val="nil"/>
            </w:tcBorders>
            <w:shd w:val="clear" w:color="auto" w:fill="auto"/>
            <w:vAlign w:val="center"/>
          </w:tcPr>
          <w:p w14:paraId="09857E9B" w14:textId="77777777" w:rsidR="004A0123" w:rsidRPr="000D3D0C" w:rsidRDefault="004A0123" w:rsidP="008A5C11">
            <w:pPr>
              <w:jc w:val="center"/>
              <w:rPr>
                <w:sz w:val="13"/>
                <w:szCs w:val="13"/>
              </w:rPr>
            </w:pPr>
            <w:r w:rsidRPr="000D3D0C">
              <w:rPr>
                <w:sz w:val="13"/>
                <w:szCs w:val="13"/>
              </w:rPr>
              <w:t>33928</w:t>
            </w:r>
          </w:p>
        </w:tc>
        <w:tc>
          <w:tcPr>
            <w:tcW w:w="182" w:type="pct"/>
            <w:vAlign w:val="center"/>
          </w:tcPr>
          <w:p w14:paraId="6156B2A9" w14:textId="77777777" w:rsidR="004A0123" w:rsidRPr="000D3D0C" w:rsidRDefault="004A0123" w:rsidP="008A5C11">
            <w:pPr>
              <w:jc w:val="center"/>
              <w:rPr>
                <w:sz w:val="13"/>
                <w:szCs w:val="13"/>
              </w:rPr>
            </w:pPr>
            <w:r w:rsidRPr="000D3D0C">
              <w:rPr>
                <w:sz w:val="13"/>
                <w:szCs w:val="13"/>
              </w:rPr>
              <w:t>50968</w:t>
            </w:r>
          </w:p>
        </w:tc>
        <w:tc>
          <w:tcPr>
            <w:tcW w:w="154" w:type="pct"/>
            <w:vAlign w:val="center"/>
          </w:tcPr>
          <w:p w14:paraId="5610D9A1" w14:textId="77777777" w:rsidR="004A0123" w:rsidRPr="000D3D0C" w:rsidRDefault="004A0123" w:rsidP="008A5C11">
            <w:pPr>
              <w:jc w:val="center"/>
              <w:rPr>
                <w:sz w:val="13"/>
                <w:szCs w:val="13"/>
              </w:rPr>
            </w:pPr>
            <w:r w:rsidRPr="000D3D0C">
              <w:rPr>
                <w:sz w:val="13"/>
                <w:szCs w:val="13"/>
              </w:rPr>
              <w:t>66012</w:t>
            </w:r>
          </w:p>
        </w:tc>
        <w:tc>
          <w:tcPr>
            <w:tcW w:w="154" w:type="pct"/>
            <w:vAlign w:val="center"/>
          </w:tcPr>
          <w:p w14:paraId="5F79E654" w14:textId="77777777" w:rsidR="004A0123" w:rsidRPr="000D3D0C" w:rsidRDefault="004A0123" w:rsidP="008A5C11">
            <w:pPr>
              <w:jc w:val="center"/>
              <w:rPr>
                <w:sz w:val="13"/>
                <w:szCs w:val="13"/>
              </w:rPr>
            </w:pPr>
            <w:r w:rsidRPr="000D3D0C">
              <w:rPr>
                <w:sz w:val="13"/>
                <w:szCs w:val="13"/>
              </w:rPr>
              <w:t>83377</w:t>
            </w:r>
          </w:p>
        </w:tc>
        <w:tc>
          <w:tcPr>
            <w:tcW w:w="156" w:type="pct"/>
            <w:vAlign w:val="center"/>
          </w:tcPr>
          <w:p w14:paraId="6286137C" w14:textId="77777777" w:rsidR="004A0123" w:rsidRPr="000D3D0C" w:rsidRDefault="004A0123" w:rsidP="008A5C11">
            <w:pPr>
              <w:jc w:val="center"/>
              <w:rPr>
                <w:sz w:val="13"/>
                <w:szCs w:val="13"/>
              </w:rPr>
            </w:pPr>
            <w:r w:rsidRPr="000D3D0C">
              <w:rPr>
                <w:sz w:val="13"/>
                <w:szCs w:val="13"/>
              </w:rPr>
              <w:t>93016</w:t>
            </w:r>
          </w:p>
        </w:tc>
        <w:tc>
          <w:tcPr>
            <w:tcW w:w="173" w:type="pct"/>
            <w:vAlign w:val="center"/>
          </w:tcPr>
          <w:p w14:paraId="4CA65643" w14:textId="77777777" w:rsidR="004A0123" w:rsidRPr="000D3D0C" w:rsidRDefault="004A0123" w:rsidP="008A5C11">
            <w:pPr>
              <w:jc w:val="center"/>
              <w:rPr>
                <w:sz w:val="13"/>
                <w:szCs w:val="13"/>
              </w:rPr>
            </w:pPr>
            <w:r w:rsidRPr="000D3D0C">
              <w:rPr>
                <w:sz w:val="13"/>
                <w:szCs w:val="13"/>
              </w:rPr>
              <w:t>100715</w:t>
            </w:r>
          </w:p>
        </w:tc>
        <w:tc>
          <w:tcPr>
            <w:tcW w:w="156" w:type="pct"/>
            <w:vAlign w:val="center"/>
          </w:tcPr>
          <w:p w14:paraId="2448167E" w14:textId="77777777" w:rsidR="004A0123" w:rsidRPr="000D3D0C" w:rsidRDefault="004A0123" w:rsidP="008A5C11">
            <w:pPr>
              <w:jc w:val="center"/>
              <w:rPr>
                <w:sz w:val="13"/>
                <w:szCs w:val="13"/>
              </w:rPr>
            </w:pPr>
            <w:r w:rsidRPr="000D3D0C">
              <w:rPr>
                <w:sz w:val="13"/>
                <w:szCs w:val="13"/>
              </w:rPr>
              <w:t>108643</w:t>
            </w:r>
          </w:p>
        </w:tc>
        <w:tc>
          <w:tcPr>
            <w:tcW w:w="146" w:type="pct"/>
            <w:vAlign w:val="center"/>
          </w:tcPr>
          <w:p w14:paraId="7C93A48E" w14:textId="77777777" w:rsidR="004A0123" w:rsidRPr="000D3D0C" w:rsidRDefault="004A0123" w:rsidP="008A5C11">
            <w:pPr>
              <w:jc w:val="center"/>
              <w:rPr>
                <w:sz w:val="13"/>
                <w:szCs w:val="13"/>
              </w:rPr>
            </w:pPr>
            <w:r w:rsidRPr="000D3D0C">
              <w:rPr>
                <w:sz w:val="13"/>
                <w:szCs w:val="13"/>
              </w:rPr>
              <w:t>112175</w:t>
            </w:r>
          </w:p>
        </w:tc>
        <w:tc>
          <w:tcPr>
            <w:tcW w:w="182" w:type="pct"/>
            <w:vAlign w:val="center"/>
          </w:tcPr>
          <w:p w14:paraId="471CD20C" w14:textId="77777777" w:rsidR="004A0123" w:rsidRPr="000D3D0C" w:rsidRDefault="004A0123" w:rsidP="008A5C11">
            <w:pPr>
              <w:jc w:val="center"/>
              <w:rPr>
                <w:sz w:val="13"/>
                <w:szCs w:val="13"/>
              </w:rPr>
            </w:pPr>
            <w:r w:rsidRPr="000D3D0C">
              <w:rPr>
                <w:sz w:val="13"/>
                <w:szCs w:val="13"/>
              </w:rPr>
              <w:t>0</w:t>
            </w:r>
          </w:p>
        </w:tc>
        <w:tc>
          <w:tcPr>
            <w:tcW w:w="178" w:type="pct"/>
            <w:vAlign w:val="center"/>
          </w:tcPr>
          <w:p w14:paraId="37B2F6F1" w14:textId="77777777" w:rsidR="004A0123" w:rsidRPr="000D3D0C" w:rsidRDefault="004A0123" w:rsidP="008A5C11">
            <w:pPr>
              <w:jc w:val="center"/>
              <w:rPr>
                <w:sz w:val="13"/>
                <w:szCs w:val="13"/>
              </w:rPr>
            </w:pPr>
            <w:r w:rsidRPr="000D3D0C">
              <w:rPr>
                <w:sz w:val="13"/>
                <w:szCs w:val="13"/>
              </w:rPr>
              <w:t>0</w:t>
            </w:r>
          </w:p>
        </w:tc>
      </w:tr>
    </w:tbl>
    <w:p w14:paraId="26770614" w14:textId="77777777" w:rsidR="004A0123" w:rsidRPr="000D3D0C" w:rsidRDefault="004A0123" w:rsidP="004A0123">
      <w:pPr>
        <w:ind w:left="10348" w:right="-31"/>
        <w:jc w:val="center"/>
        <w:rPr>
          <w:sz w:val="20"/>
          <w:szCs w:val="20"/>
        </w:rPr>
        <w:sectPr w:rsidR="004A0123" w:rsidRPr="000D3D0C" w:rsidSect="00DB4F2B">
          <w:pgSz w:w="16838" w:h="11906" w:orient="landscape"/>
          <w:pgMar w:top="1082" w:right="1134" w:bottom="142" w:left="1134" w:header="709" w:footer="256" w:gutter="0"/>
          <w:cols w:space="708"/>
          <w:docGrid w:linePitch="360"/>
        </w:sectPr>
      </w:pPr>
    </w:p>
    <w:p w14:paraId="3F30F6D8" w14:textId="77777777" w:rsidR="004A0123" w:rsidRPr="000D3D0C" w:rsidRDefault="004A0123" w:rsidP="004A0123">
      <w:pPr>
        <w:jc w:val="center"/>
        <w:rPr>
          <w:b/>
          <w:color w:val="000000"/>
          <w:sz w:val="28"/>
          <w:szCs w:val="28"/>
        </w:rPr>
      </w:pPr>
      <w:r w:rsidRPr="000D3D0C">
        <w:rPr>
          <w:b/>
          <w:bCs/>
          <w:sz w:val="28"/>
          <w:szCs w:val="28"/>
        </w:rPr>
        <w:t xml:space="preserve">Плановые значения показателей, достижение которых предусмотрено в результате реализации мероприятий инвестиционной программы в сфере теплоснабжения </w:t>
      </w:r>
      <w:r w:rsidRPr="000D3D0C">
        <w:rPr>
          <w:b/>
          <w:color w:val="000000"/>
          <w:sz w:val="28"/>
          <w:szCs w:val="28"/>
        </w:rPr>
        <w:t xml:space="preserve">ОАО «Северо-Кузбасская энергетическая компания» </w:t>
      </w:r>
    </w:p>
    <w:p w14:paraId="547AA48B" w14:textId="77777777" w:rsidR="004A0123" w:rsidRPr="000D3D0C" w:rsidRDefault="004A0123" w:rsidP="004A0123">
      <w:pPr>
        <w:autoSpaceDE w:val="0"/>
        <w:autoSpaceDN w:val="0"/>
        <w:adjustRightInd w:val="0"/>
        <w:jc w:val="center"/>
        <w:rPr>
          <w:b/>
          <w:bCs/>
          <w:sz w:val="28"/>
          <w:szCs w:val="28"/>
        </w:rPr>
      </w:pPr>
      <w:r w:rsidRPr="000D3D0C">
        <w:rPr>
          <w:b/>
          <w:color w:val="000000"/>
          <w:sz w:val="28"/>
          <w:szCs w:val="28"/>
        </w:rPr>
        <w:t>по узлу теплоснабжения Тайгинского городского округа на 2021 - 2030 годы</w:t>
      </w:r>
    </w:p>
    <w:p w14:paraId="00074DCE" w14:textId="77777777" w:rsidR="004A0123" w:rsidRPr="000D3D0C" w:rsidRDefault="004A0123" w:rsidP="004A0123">
      <w:pPr>
        <w:jc w:val="center"/>
        <w:rPr>
          <w:sz w:val="20"/>
          <w:szCs w:val="20"/>
        </w:rPr>
      </w:pPr>
    </w:p>
    <w:tbl>
      <w:tblPr>
        <w:tblW w:w="5105" w:type="pct"/>
        <w:tblInd w:w="-176" w:type="dxa"/>
        <w:tblLayout w:type="fixed"/>
        <w:tblLook w:val="04A0" w:firstRow="1" w:lastRow="0" w:firstColumn="1" w:lastColumn="0" w:noHBand="0" w:noVBand="1"/>
      </w:tblPr>
      <w:tblGrid>
        <w:gridCol w:w="542"/>
        <w:gridCol w:w="2971"/>
        <w:gridCol w:w="1237"/>
        <w:gridCol w:w="954"/>
        <w:gridCol w:w="1121"/>
        <w:gridCol w:w="705"/>
        <w:gridCol w:w="841"/>
        <w:gridCol w:w="702"/>
        <w:gridCol w:w="699"/>
        <w:gridCol w:w="853"/>
        <w:gridCol w:w="856"/>
        <w:gridCol w:w="859"/>
        <w:gridCol w:w="850"/>
        <w:gridCol w:w="838"/>
        <w:gridCol w:w="838"/>
      </w:tblGrid>
      <w:tr w:rsidR="004A0123" w:rsidRPr="000D3D0C" w14:paraId="78C43F2D" w14:textId="77777777" w:rsidTr="008A5C11">
        <w:trPr>
          <w:trHeight w:val="480"/>
        </w:trPr>
        <w:tc>
          <w:tcPr>
            <w:tcW w:w="182"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3407B21" w14:textId="77777777" w:rsidR="004A0123" w:rsidRPr="000D3D0C" w:rsidRDefault="004A0123" w:rsidP="008A5C11">
            <w:pPr>
              <w:jc w:val="center"/>
              <w:rPr>
                <w:sz w:val="16"/>
                <w:szCs w:val="16"/>
              </w:rPr>
            </w:pPr>
            <w:r w:rsidRPr="000D3D0C">
              <w:rPr>
                <w:sz w:val="16"/>
                <w:szCs w:val="16"/>
              </w:rPr>
              <w:t>№ п/п</w:t>
            </w:r>
          </w:p>
        </w:tc>
        <w:tc>
          <w:tcPr>
            <w:tcW w:w="999"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BC069AB" w14:textId="77777777" w:rsidR="004A0123" w:rsidRPr="000D3D0C" w:rsidRDefault="004A0123" w:rsidP="008A5C11">
            <w:pPr>
              <w:tabs>
                <w:tab w:val="left" w:pos="569"/>
              </w:tabs>
              <w:jc w:val="center"/>
              <w:rPr>
                <w:sz w:val="16"/>
                <w:szCs w:val="16"/>
              </w:rPr>
            </w:pPr>
            <w:r w:rsidRPr="000D3D0C">
              <w:rPr>
                <w:sz w:val="16"/>
                <w:szCs w:val="16"/>
              </w:rPr>
              <w:t>Наименование показателя</w:t>
            </w:r>
          </w:p>
        </w:tc>
        <w:tc>
          <w:tcPr>
            <w:tcW w:w="416"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FA2B3F1" w14:textId="77777777" w:rsidR="004A0123" w:rsidRPr="000D3D0C" w:rsidRDefault="004A0123" w:rsidP="008A5C11">
            <w:pPr>
              <w:jc w:val="center"/>
              <w:rPr>
                <w:sz w:val="16"/>
                <w:szCs w:val="16"/>
              </w:rPr>
            </w:pPr>
            <w:r w:rsidRPr="000D3D0C">
              <w:rPr>
                <w:sz w:val="16"/>
                <w:szCs w:val="16"/>
              </w:rPr>
              <w:t>Ед. изм.</w:t>
            </w:r>
          </w:p>
        </w:tc>
        <w:tc>
          <w:tcPr>
            <w:tcW w:w="321"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FDDF0D5" w14:textId="77777777" w:rsidR="004A0123" w:rsidRPr="000D3D0C" w:rsidRDefault="004A0123" w:rsidP="008A5C11">
            <w:pPr>
              <w:jc w:val="center"/>
              <w:rPr>
                <w:sz w:val="16"/>
                <w:szCs w:val="16"/>
              </w:rPr>
            </w:pPr>
            <w:r w:rsidRPr="000D3D0C">
              <w:rPr>
                <w:sz w:val="16"/>
                <w:szCs w:val="16"/>
              </w:rPr>
              <w:t>Фактические значения</w:t>
            </w:r>
          </w:p>
        </w:tc>
        <w:tc>
          <w:tcPr>
            <w:tcW w:w="3082" w:type="pct"/>
            <w:gridSpan w:val="11"/>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06CCB68" w14:textId="77777777" w:rsidR="004A0123" w:rsidRPr="000D3D0C" w:rsidRDefault="004A0123" w:rsidP="008A5C11">
            <w:pPr>
              <w:jc w:val="center"/>
              <w:rPr>
                <w:sz w:val="16"/>
                <w:szCs w:val="16"/>
              </w:rPr>
            </w:pPr>
            <w:r w:rsidRPr="000D3D0C">
              <w:rPr>
                <w:sz w:val="16"/>
                <w:szCs w:val="16"/>
              </w:rPr>
              <w:t>Плановые значения</w:t>
            </w:r>
          </w:p>
        </w:tc>
      </w:tr>
      <w:tr w:rsidR="004A0123" w:rsidRPr="000D3D0C" w14:paraId="27D99C5D" w14:textId="77777777" w:rsidTr="008A5C11">
        <w:trPr>
          <w:trHeight w:val="600"/>
        </w:trPr>
        <w:tc>
          <w:tcPr>
            <w:tcW w:w="182"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BB89EDB" w14:textId="77777777" w:rsidR="004A0123" w:rsidRPr="000D3D0C" w:rsidRDefault="004A0123" w:rsidP="008A5C11">
            <w:pPr>
              <w:jc w:val="center"/>
              <w:rPr>
                <w:sz w:val="16"/>
                <w:szCs w:val="16"/>
              </w:rPr>
            </w:pPr>
          </w:p>
        </w:tc>
        <w:tc>
          <w:tcPr>
            <w:tcW w:w="999"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4B2F4A1" w14:textId="77777777" w:rsidR="004A0123" w:rsidRPr="000D3D0C" w:rsidRDefault="004A0123" w:rsidP="008A5C11">
            <w:pPr>
              <w:jc w:val="center"/>
              <w:rPr>
                <w:sz w:val="16"/>
                <w:szCs w:val="16"/>
              </w:rPr>
            </w:pPr>
          </w:p>
        </w:tc>
        <w:tc>
          <w:tcPr>
            <w:tcW w:w="416"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05F7964" w14:textId="77777777" w:rsidR="004A0123" w:rsidRPr="000D3D0C" w:rsidRDefault="004A0123" w:rsidP="008A5C11">
            <w:pPr>
              <w:jc w:val="center"/>
              <w:rPr>
                <w:sz w:val="16"/>
                <w:szCs w:val="16"/>
              </w:rPr>
            </w:pPr>
          </w:p>
        </w:tc>
        <w:tc>
          <w:tcPr>
            <w:tcW w:w="321"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9C0ADF2" w14:textId="77777777" w:rsidR="004A0123" w:rsidRPr="000D3D0C" w:rsidRDefault="004A0123" w:rsidP="008A5C11">
            <w:pPr>
              <w:jc w:val="center"/>
              <w:rPr>
                <w:sz w:val="16"/>
                <w:szCs w:val="16"/>
              </w:rPr>
            </w:pPr>
          </w:p>
        </w:tc>
        <w:tc>
          <w:tcPr>
            <w:tcW w:w="377" w:type="pct"/>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FDDF4BB" w14:textId="77777777" w:rsidR="004A0123" w:rsidRPr="000D3D0C" w:rsidRDefault="004A0123" w:rsidP="008A5C11">
            <w:pPr>
              <w:jc w:val="center"/>
              <w:rPr>
                <w:sz w:val="16"/>
                <w:szCs w:val="16"/>
              </w:rPr>
            </w:pPr>
            <w:proofErr w:type="gramStart"/>
            <w:r w:rsidRPr="000D3D0C">
              <w:rPr>
                <w:sz w:val="16"/>
                <w:szCs w:val="16"/>
              </w:rPr>
              <w:t>Утвержден-ный</w:t>
            </w:r>
            <w:proofErr w:type="gramEnd"/>
            <w:r w:rsidRPr="000D3D0C">
              <w:rPr>
                <w:sz w:val="16"/>
                <w:szCs w:val="16"/>
              </w:rPr>
              <w:t xml:space="preserve"> период</w:t>
            </w:r>
          </w:p>
        </w:tc>
        <w:tc>
          <w:tcPr>
            <w:tcW w:w="2705" w:type="pct"/>
            <w:gridSpan w:val="10"/>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1027F48" w14:textId="77777777" w:rsidR="004A0123" w:rsidRPr="000D3D0C" w:rsidRDefault="004A0123" w:rsidP="008A5C11">
            <w:pPr>
              <w:jc w:val="center"/>
              <w:rPr>
                <w:sz w:val="16"/>
                <w:szCs w:val="16"/>
              </w:rPr>
            </w:pPr>
            <w:r w:rsidRPr="000D3D0C">
              <w:rPr>
                <w:sz w:val="16"/>
                <w:szCs w:val="16"/>
              </w:rPr>
              <w:t>в т.ч. по годам реализации</w:t>
            </w:r>
          </w:p>
        </w:tc>
      </w:tr>
      <w:tr w:rsidR="004A0123" w:rsidRPr="000D3D0C" w14:paraId="6DBEB5BB" w14:textId="77777777" w:rsidTr="008A5C11">
        <w:trPr>
          <w:trHeight w:val="255"/>
        </w:trPr>
        <w:tc>
          <w:tcPr>
            <w:tcW w:w="182"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2505FE5" w14:textId="77777777" w:rsidR="004A0123" w:rsidRPr="000D3D0C" w:rsidRDefault="004A0123" w:rsidP="008A5C11">
            <w:pPr>
              <w:jc w:val="center"/>
              <w:rPr>
                <w:sz w:val="16"/>
                <w:szCs w:val="16"/>
              </w:rPr>
            </w:pPr>
          </w:p>
        </w:tc>
        <w:tc>
          <w:tcPr>
            <w:tcW w:w="999"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07BB24D" w14:textId="77777777" w:rsidR="004A0123" w:rsidRPr="000D3D0C" w:rsidRDefault="004A0123" w:rsidP="008A5C11">
            <w:pPr>
              <w:jc w:val="center"/>
              <w:rPr>
                <w:sz w:val="16"/>
                <w:szCs w:val="16"/>
              </w:rPr>
            </w:pPr>
          </w:p>
        </w:tc>
        <w:tc>
          <w:tcPr>
            <w:tcW w:w="416"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4741334" w14:textId="77777777" w:rsidR="004A0123" w:rsidRPr="000D3D0C" w:rsidRDefault="004A0123" w:rsidP="008A5C11">
            <w:pPr>
              <w:jc w:val="center"/>
              <w:rPr>
                <w:sz w:val="16"/>
                <w:szCs w:val="16"/>
              </w:rPr>
            </w:pPr>
          </w:p>
        </w:tc>
        <w:tc>
          <w:tcPr>
            <w:tcW w:w="321"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411ACEC" w14:textId="77777777" w:rsidR="004A0123" w:rsidRPr="000D3D0C" w:rsidRDefault="004A0123" w:rsidP="008A5C11">
            <w:pPr>
              <w:jc w:val="center"/>
              <w:rPr>
                <w:sz w:val="16"/>
                <w:szCs w:val="16"/>
              </w:rPr>
            </w:pPr>
          </w:p>
        </w:tc>
        <w:tc>
          <w:tcPr>
            <w:tcW w:w="377"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4523BD50" w14:textId="77777777" w:rsidR="004A0123" w:rsidRPr="000D3D0C" w:rsidRDefault="004A0123" w:rsidP="008A5C11">
            <w:pPr>
              <w:jc w:val="center"/>
              <w:rPr>
                <w:sz w:val="16"/>
                <w:szCs w:val="16"/>
              </w:rPr>
            </w:pPr>
          </w:p>
        </w:tc>
        <w:tc>
          <w:tcPr>
            <w:tcW w:w="237" w:type="pct"/>
            <w:tcBorders>
              <w:top w:val="nil"/>
              <w:left w:val="nil"/>
              <w:bottom w:val="single" w:sz="4" w:space="0" w:color="auto"/>
              <w:right w:val="single" w:sz="4" w:space="0" w:color="auto"/>
            </w:tcBorders>
            <w:shd w:val="clear" w:color="auto" w:fill="auto"/>
            <w:tcMar>
              <w:left w:w="28" w:type="dxa"/>
              <w:right w:w="28" w:type="dxa"/>
            </w:tcMar>
            <w:vAlign w:val="center"/>
          </w:tcPr>
          <w:p w14:paraId="07228F44" w14:textId="77777777" w:rsidR="004A0123" w:rsidRPr="000D3D0C" w:rsidRDefault="004A0123" w:rsidP="008A5C11">
            <w:pPr>
              <w:jc w:val="center"/>
              <w:rPr>
                <w:sz w:val="16"/>
                <w:szCs w:val="16"/>
              </w:rPr>
            </w:pPr>
            <w:r w:rsidRPr="000D3D0C">
              <w:rPr>
                <w:sz w:val="16"/>
                <w:szCs w:val="16"/>
              </w:rPr>
              <w:t>2021</w:t>
            </w:r>
          </w:p>
        </w:tc>
        <w:tc>
          <w:tcPr>
            <w:tcW w:w="283" w:type="pct"/>
            <w:tcBorders>
              <w:top w:val="nil"/>
              <w:left w:val="nil"/>
              <w:bottom w:val="single" w:sz="4" w:space="0" w:color="auto"/>
              <w:right w:val="single" w:sz="4" w:space="0" w:color="auto"/>
            </w:tcBorders>
            <w:shd w:val="clear" w:color="auto" w:fill="auto"/>
            <w:tcMar>
              <w:left w:w="28" w:type="dxa"/>
              <w:right w:w="28" w:type="dxa"/>
            </w:tcMar>
            <w:vAlign w:val="center"/>
          </w:tcPr>
          <w:p w14:paraId="53DED814" w14:textId="77777777" w:rsidR="004A0123" w:rsidRPr="000D3D0C" w:rsidRDefault="004A0123" w:rsidP="008A5C11">
            <w:pPr>
              <w:jc w:val="center"/>
              <w:rPr>
                <w:sz w:val="16"/>
                <w:szCs w:val="16"/>
              </w:rPr>
            </w:pPr>
            <w:r w:rsidRPr="000D3D0C">
              <w:rPr>
                <w:sz w:val="16"/>
                <w:szCs w:val="16"/>
              </w:rPr>
              <w:t>2022</w:t>
            </w:r>
          </w:p>
        </w:tc>
        <w:tc>
          <w:tcPr>
            <w:tcW w:w="236" w:type="pct"/>
            <w:tcBorders>
              <w:top w:val="nil"/>
              <w:left w:val="nil"/>
              <w:bottom w:val="single" w:sz="4" w:space="0" w:color="auto"/>
              <w:right w:val="single" w:sz="4" w:space="0" w:color="auto"/>
            </w:tcBorders>
            <w:tcMar>
              <w:left w:w="28" w:type="dxa"/>
              <w:right w:w="28" w:type="dxa"/>
            </w:tcMar>
            <w:vAlign w:val="center"/>
          </w:tcPr>
          <w:p w14:paraId="27144FD5" w14:textId="77777777" w:rsidR="004A0123" w:rsidRPr="000D3D0C" w:rsidRDefault="004A0123" w:rsidP="008A5C11">
            <w:pPr>
              <w:jc w:val="center"/>
              <w:rPr>
                <w:sz w:val="16"/>
                <w:szCs w:val="16"/>
              </w:rPr>
            </w:pPr>
            <w:r w:rsidRPr="000D3D0C">
              <w:rPr>
                <w:sz w:val="16"/>
                <w:szCs w:val="16"/>
              </w:rPr>
              <w:t>2023</w:t>
            </w:r>
          </w:p>
        </w:tc>
        <w:tc>
          <w:tcPr>
            <w:tcW w:w="235" w:type="pct"/>
            <w:tcBorders>
              <w:top w:val="nil"/>
              <w:left w:val="nil"/>
              <w:bottom w:val="single" w:sz="4" w:space="0" w:color="auto"/>
              <w:right w:val="single" w:sz="4" w:space="0" w:color="auto"/>
            </w:tcBorders>
            <w:tcMar>
              <w:left w:w="28" w:type="dxa"/>
              <w:right w:w="28" w:type="dxa"/>
            </w:tcMar>
            <w:vAlign w:val="center"/>
          </w:tcPr>
          <w:p w14:paraId="51476CAE" w14:textId="77777777" w:rsidR="004A0123" w:rsidRPr="000D3D0C" w:rsidRDefault="004A0123" w:rsidP="008A5C11">
            <w:pPr>
              <w:jc w:val="center"/>
              <w:rPr>
                <w:sz w:val="16"/>
                <w:szCs w:val="16"/>
              </w:rPr>
            </w:pPr>
            <w:r w:rsidRPr="000D3D0C">
              <w:rPr>
                <w:sz w:val="16"/>
                <w:szCs w:val="16"/>
              </w:rPr>
              <w:t>2024</w:t>
            </w:r>
          </w:p>
        </w:tc>
        <w:tc>
          <w:tcPr>
            <w:tcW w:w="287" w:type="pct"/>
            <w:tcBorders>
              <w:top w:val="nil"/>
              <w:left w:val="nil"/>
              <w:bottom w:val="single" w:sz="4" w:space="0" w:color="auto"/>
              <w:right w:val="single" w:sz="4" w:space="0" w:color="auto"/>
            </w:tcBorders>
            <w:tcMar>
              <w:left w:w="28" w:type="dxa"/>
              <w:right w:w="28" w:type="dxa"/>
            </w:tcMar>
            <w:vAlign w:val="center"/>
          </w:tcPr>
          <w:p w14:paraId="3C2121EF" w14:textId="77777777" w:rsidR="004A0123" w:rsidRPr="000D3D0C" w:rsidRDefault="004A0123" w:rsidP="008A5C11">
            <w:pPr>
              <w:jc w:val="center"/>
              <w:rPr>
                <w:sz w:val="16"/>
                <w:szCs w:val="16"/>
              </w:rPr>
            </w:pPr>
            <w:r w:rsidRPr="000D3D0C">
              <w:rPr>
                <w:sz w:val="16"/>
                <w:szCs w:val="16"/>
              </w:rPr>
              <w:t>2025</w:t>
            </w:r>
          </w:p>
        </w:tc>
        <w:tc>
          <w:tcPr>
            <w:tcW w:w="288" w:type="pct"/>
            <w:tcBorders>
              <w:top w:val="single" w:sz="4" w:space="0" w:color="auto"/>
              <w:left w:val="nil"/>
              <w:bottom w:val="single" w:sz="4" w:space="0" w:color="auto"/>
              <w:right w:val="single" w:sz="4" w:space="0" w:color="auto"/>
            </w:tcBorders>
            <w:vAlign w:val="center"/>
          </w:tcPr>
          <w:p w14:paraId="5E1F95AE" w14:textId="77777777" w:rsidR="004A0123" w:rsidRPr="000D3D0C" w:rsidRDefault="004A0123" w:rsidP="008A5C11">
            <w:pPr>
              <w:jc w:val="center"/>
              <w:rPr>
                <w:sz w:val="16"/>
                <w:szCs w:val="16"/>
              </w:rPr>
            </w:pPr>
            <w:r w:rsidRPr="000D3D0C">
              <w:rPr>
                <w:sz w:val="16"/>
                <w:szCs w:val="16"/>
              </w:rPr>
              <w:t>2026</w:t>
            </w:r>
          </w:p>
        </w:tc>
        <w:tc>
          <w:tcPr>
            <w:tcW w:w="289" w:type="pct"/>
            <w:tcBorders>
              <w:top w:val="single" w:sz="4" w:space="0" w:color="auto"/>
              <w:left w:val="single" w:sz="4" w:space="0" w:color="auto"/>
              <w:bottom w:val="single" w:sz="4" w:space="0" w:color="auto"/>
              <w:right w:val="single" w:sz="4" w:space="0" w:color="auto"/>
            </w:tcBorders>
            <w:vAlign w:val="center"/>
          </w:tcPr>
          <w:p w14:paraId="7CBE1577" w14:textId="77777777" w:rsidR="004A0123" w:rsidRPr="000D3D0C" w:rsidRDefault="004A0123" w:rsidP="008A5C11">
            <w:pPr>
              <w:jc w:val="center"/>
              <w:rPr>
                <w:sz w:val="16"/>
                <w:szCs w:val="16"/>
              </w:rPr>
            </w:pPr>
            <w:r w:rsidRPr="000D3D0C">
              <w:rPr>
                <w:sz w:val="16"/>
                <w:szCs w:val="16"/>
              </w:rPr>
              <w:t>2027</w:t>
            </w:r>
          </w:p>
        </w:tc>
        <w:tc>
          <w:tcPr>
            <w:tcW w:w="286" w:type="pct"/>
            <w:tcBorders>
              <w:top w:val="single" w:sz="4" w:space="0" w:color="auto"/>
              <w:left w:val="single" w:sz="4" w:space="0" w:color="auto"/>
              <w:bottom w:val="single" w:sz="4" w:space="0" w:color="auto"/>
              <w:right w:val="single" w:sz="4" w:space="0" w:color="auto"/>
            </w:tcBorders>
            <w:vAlign w:val="center"/>
          </w:tcPr>
          <w:p w14:paraId="234A6D98" w14:textId="77777777" w:rsidR="004A0123" w:rsidRPr="000D3D0C" w:rsidRDefault="004A0123" w:rsidP="008A5C11">
            <w:pPr>
              <w:jc w:val="center"/>
              <w:rPr>
                <w:sz w:val="16"/>
                <w:szCs w:val="16"/>
              </w:rPr>
            </w:pPr>
            <w:r w:rsidRPr="000D3D0C">
              <w:rPr>
                <w:sz w:val="16"/>
                <w:szCs w:val="16"/>
              </w:rPr>
              <w:t>2028</w:t>
            </w:r>
          </w:p>
        </w:tc>
        <w:tc>
          <w:tcPr>
            <w:tcW w:w="282" w:type="pct"/>
            <w:tcBorders>
              <w:top w:val="single" w:sz="4" w:space="0" w:color="auto"/>
              <w:left w:val="single" w:sz="4" w:space="0" w:color="auto"/>
              <w:bottom w:val="single" w:sz="4" w:space="0" w:color="auto"/>
              <w:right w:val="single" w:sz="4" w:space="0" w:color="auto"/>
            </w:tcBorders>
            <w:vAlign w:val="center"/>
          </w:tcPr>
          <w:p w14:paraId="795B2154" w14:textId="77777777" w:rsidR="004A0123" w:rsidRPr="000D3D0C" w:rsidRDefault="004A0123" w:rsidP="008A5C11">
            <w:pPr>
              <w:jc w:val="center"/>
              <w:rPr>
                <w:sz w:val="16"/>
                <w:szCs w:val="16"/>
              </w:rPr>
            </w:pPr>
            <w:r w:rsidRPr="000D3D0C">
              <w:rPr>
                <w:sz w:val="16"/>
                <w:szCs w:val="16"/>
              </w:rPr>
              <w:t>2029</w:t>
            </w:r>
          </w:p>
        </w:tc>
        <w:tc>
          <w:tcPr>
            <w:tcW w:w="282" w:type="pct"/>
            <w:tcBorders>
              <w:top w:val="single" w:sz="4" w:space="0" w:color="auto"/>
              <w:left w:val="single" w:sz="4" w:space="0" w:color="auto"/>
              <w:bottom w:val="single" w:sz="4" w:space="0" w:color="auto"/>
              <w:right w:val="single" w:sz="4" w:space="0" w:color="auto"/>
            </w:tcBorders>
            <w:vAlign w:val="center"/>
          </w:tcPr>
          <w:p w14:paraId="381A8DCD" w14:textId="77777777" w:rsidR="004A0123" w:rsidRPr="000D3D0C" w:rsidRDefault="004A0123" w:rsidP="008A5C11">
            <w:pPr>
              <w:jc w:val="center"/>
              <w:rPr>
                <w:sz w:val="16"/>
                <w:szCs w:val="16"/>
              </w:rPr>
            </w:pPr>
            <w:r w:rsidRPr="000D3D0C">
              <w:rPr>
                <w:sz w:val="16"/>
                <w:szCs w:val="16"/>
              </w:rPr>
              <w:t>2030</w:t>
            </w:r>
          </w:p>
        </w:tc>
      </w:tr>
      <w:tr w:rsidR="004A0123" w:rsidRPr="000D3D0C" w14:paraId="069AB0FC" w14:textId="77777777" w:rsidTr="008A5C11">
        <w:trPr>
          <w:trHeight w:val="510"/>
        </w:trPr>
        <w:tc>
          <w:tcPr>
            <w:tcW w:w="18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84EB2FB" w14:textId="77777777" w:rsidR="004A0123" w:rsidRPr="000D3D0C" w:rsidRDefault="004A0123" w:rsidP="008A5C11">
            <w:pPr>
              <w:jc w:val="center"/>
              <w:rPr>
                <w:sz w:val="16"/>
                <w:szCs w:val="16"/>
              </w:rPr>
            </w:pPr>
            <w:r w:rsidRPr="000D3D0C">
              <w:rPr>
                <w:sz w:val="16"/>
                <w:szCs w:val="16"/>
              </w:rPr>
              <w:t>1.</w:t>
            </w:r>
          </w:p>
        </w:tc>
        <w:tc>
          <w:tcPr>
            <w:tcW w:w="99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E351E54" w14:textId="77777777" w:rsidR="004A0123" w:rsidRPr="000D3D0C" w:rsidRDefault="004A0123" w:rsidP="008A5C11">
            <w:pPr>
              <w:jc w:val="center"/>
              <w:rPr>
                <w:sz w:val="16"/>
                <w:szCs w:val="16"/>
              </w:rPr>
            </w:pPr>
            <w:r w:rsidRPr="000D3D0C">
              <w:rPr>
                <w:sz w:val="16"/>
                <w:szCs w:val="16"/>
              </w:rPr>
              <w:t>Удельный расход электрической энергии на транспортировку теплоносителя</w:t>
            </w:r>
          </w:p>
        </w:tc>
        <w:tc>
          <w:tcPr>
            <w:tcW w:w="41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6D93982" w14:textId="77777777" w:rsidR="004A0123" w:rsidRPr="000D3D0C" w:rsidRDefault="004A0123" w:rsidP="008A5C11">
            <w:pPr>
              <w:jc w:val="center"/>
              <w:rPr>
                <w:sz w:val="16"/>
                <w:szCs w:val="16"/>
              </w:rPr>
            </w:pPr>
            <w:r w:rsidRPr="000D3D0C">
              <w:rPr>
                <w:sz w:val="16"/>
                <w:szCs w:val="16"/>
              </w:rPr>
              <w:t>кВтч/м</w:t>
            </w:r>
            <w:r w:rsidRPr="000D3D0C">
              <w:rPr>
                <w:sz w:val="16"/>
                <w:szCs w:val="16"/>
                <w:vertAlign w:val="superscript"/>
              </w:rPr>
              <w:t>3</w:t>
            </w:r>
          </w:p>
        </w:tc>
        <w:tc>
          <w:tcPr>
            <w:tcW w:w="321" w:type="pct"/>
            <w:tcBorders>
              <w:top w:val="nil"/>
              <w:left w:val="nil"/>
              <w:bottom w:val="single" w:sz="4" w:space="0" w:color="auto"/>
              <w:right w:val="single" w:sz="4" w:space="0" w:color="auto"/>
            </w:tcBorders>
            <w:shd w:val="clear" w:color="auto" w:fill="auto"/>
            <w:tcMar>
              <w:left w:w="28" w:type="dxa"/>
              <w:right w:w="28" w:type="dxa"/>
            </w:tcMar>
            <w:vAlign w:val="center"/>
          </w:tcPr>
          <w:p w14:paraId="76800485" w14:textId="77777777" w:rsidR="004A0123" w:rsidRPr="000D3D0C" w:rsidRDefault="004A0123" w:rsidP="008A5C11">
            <w:pPr>
              <w:jc w:val="center"/>
              <w:rPr>
                <w:sz w:val="16"/>
                <w:szCs w:val="16"/>
              </w:rPr>
            </w:pPr>
            <w:r w:rsidRPr="000D3D0C">
              <w:rPr>
                <w:sz w:val="16"/>
                <w:szCs w:val="16"/>
              </w:rPr>
              <w:t>-</w:t>
            </w:r>
          </w:p>
        </w:tc>
        <w:tc>
          <w:tcPr>
            <w:tcW w:w="3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83A496B" w14:textId="77777777" w:rsidR="004A0123" w:rsidRPr="000D3D0C" w:rsidRDefault="004A0123" w:rsidP="008A5C11">
            <w:pPr>
              <w:jc w:val="center"/>
              <w:rPr>
                <w:sz w:val="16"/>
                <w:szCs w:val="16"/>
              </w:rPr>
            </w:pPr>
            <w:r w:rsidRPr="000D3D0C">
              <w:rPr>
                <w:sz w:val="16"/>
                <w:szCs w:val="16"/>
              </w:rPr>
              <w:t>-</w:t>
            </w:r>
          </w:p>
        </w:tc>
        <w:tc>
          <w:tcPr>
            <w:tcW w:w="23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F1F6550" w14:textId="77777777" w:rsidR="004A0123" w:rsidRPr="000D3D0C" w:rsidRDefault="004A0123" w:rsidP="008A5C11">
            <w:pPr>
              <w:jc w:val="center"/>
              <w:rPr>
                <w:sz w:val="16"/>
                <w:szCs w:val="16"/>
              </w:rPr>
            </w:pPr>
            <w:r w:rsidRPr="000D3D0C">
              <w:rPr>
                <w:sz w:val="16"/>
                <w:szCs w:val="16"/>
              </w:rPr>
              <w:t>-</w:t>
            </w:r>
          </w:p>
        </w:tc>
        <w:tc>
          <w:tcPr>
            <w:tcW w:w="28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27E86ED" w14:textId="77777777" w:rsidR="004A0123" w:rsidRPr="000D3D0C" w:rsidRDefault="004A0123" w:rsidP="008A5C11">
            <w:pPr>
              <w:jc w:val="center"/>
              <w:rPr>
                <w:sz w:val="16"/>
                <w:szCs w:val="16"/>
              </w:rPr>
            </w:pPr>
            <w:r w:rsidRPr="000D3D0C">
              <w:rPr>
                <w:sz w:val="16"/>
                <w:szCs w:val="16"/>
              </w:rPr>
              <w:t>-</w:t>
            </w:r>
          </w:p>
        </w:tc>
        <w:tc>
          <w:tcPr>
            <w:tcW w:w="23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B0B1C45" w14:textId="77777777" w:rsidR="004A0123" w:rsidRPr="000D3D0C" w:rsidRDefault="004A0123" w:rsidP="008A5C11">
            <w:pPr>
              <w:jc w:val="center"/>
              <w:rPr>
                <w:sz w:val="16"/>
                <w:szCs w:val="16"/>
              </w:rPr>
            </w:pPr>
            <w:r w:rsidRPr="000D3D0C">
              <w:rPr>
                <w:sz w:val="16"/>
                <w:szCs w:val="16"/>
              </w:rPr>
              <w:t>-</w:t>
            </w:r>
          </w:p>
        </w:tc>
        <w:tc>
          <w:tcPr>
            <w:tcW w:w="235" w:type="pct"/>
            <w:tcBorders>
              <w:top w:val="single" w:sz="4" w:space="0" w:color="auto"/>
              <w:left w:val="nil"/>
              <w:bottom w:val="single" w:sz="4" w:space="0" w:color="auto"/>
              <w:right w:val="single" w:sz="4" w:space="0" w:color="auto"/>
            </w:tcBorders>
            <w:tcMar>
              <w:left w:w="28" w:type="dxa"/>
              <w:right w:w="28" w:type="dxa"/>
            </w:tcMar>
            <w:vAlign w:val="center"/>
          </w:tcPr>
          <w:p w14:paraId="54486BAA" w14:textId="77777777" w:rsidR="004A0123" w:rsidRPr="000D3D0C" w:rsidRDefault="004A0123" w:rsidP="008A5C11">
            <w:pPr>
              <w:jc w:val="center"/>
              <w:rPr>
                <w:sz w:val="16"/>
                <w:szCs w:val="16"/>
              </w:rPr>
            </w:pPr>
            <w:r w:rsidRPr="000D3D0C">
              <w:rPr>
                <w:sz w:val="16"/>
                <w:szCs w:val="16"/>
              </w:rPr>
              <w:t>-</w:t>
            </w:r>
          </w:p>
        </w:tc>
        <w:tc>
          <w:tcPr>
            <w:tcW w:w="287" w:type="pct"/>
            <w:tcBorders>
              <w:top w:val="single" w:sz="4" w:space="0" w:color="auto"/>
              <w:left w:val="nil"/>
              <w:bottom w:val="single" w:sz="4" w:space="0" w:color="auto"/>
              <w:right w:val="single" w:sz="4" w:space="0" w:color="auto"/>
            </w:tcBorders>
            <w:tcMar>
              <w:left w:w="28" w:type="dxa"/>
              <w:right w:w="28" w:type="dxa"/>
            </w:tcMar>
            <w:vAlign w:val="center"/>
          </w:tcPr>
          <w:p w14:paraId="79574879" w14:textId="77777777" w:rsidR="004A0123" w:rsidRPr="000D3D0C" w:rsidRDefault="004A0123" w:rsidP="008A5C11">
            <w:pPr>
              <w:jc w:val="center"/>
              <w:rPr>
                <w:sz w:val="16"/>
                <w:szCs w:val="16"/>
              </w:rPr>
            </w:pPr>
            <w:r w:rsidRPr="000D3D0C">
              <w:rPr>
                <w:sz w:val="16"/>
                <w:szCs w:val="16"/>
              </w:rPr>
              <w:t>-</w:t>
            </w:r>
          </w:p>
        </w:tc>
        <w:tc>
          <w:tcPr>
            <w:tcW w:w="288" w:type="pct"/>
            <w:tcBorders>
              <w:top w:val="single" w:sz="4" w:space="0" w:color="auto"/>
              <w:left w:val="nil"/>
              <w:bottom w:val="single" w:sz="4" w:space="0" w:color="auto"/>
              <w:right w:val="single" w:sz="4" w:space="0" w:color="auto"/>
            </w:tcBorders>
            <w:vAlign w:val="center"/>
          </w:tcPr>
          <w:p w14:paraId="2484437E" w14:textId="77777777" w:rsidR="004A0123" w:rsidRPr="000D3D0C" w:rsidRDefault="004A0123" w:rsidP="008A5C11">
            <w:pPr>
              <w:jc w:val="center"/>
              <w:rPr>
                <w:sz w:val="16"/>
                <w:szCs w:val="16"/>
              </w:rPr>
            </w:pPr>
            <w:r w:rsidRPr="000D3D0C">
              <w:rPr>
                <w:sz w:val="16"/>
                <w:szCs w:val="16"/>
              </w:rPr>
              <w:t>-</w:t>
            </w:r>
          </w:p>
        </w:tc>
        <w:tc>
          <w:tcPr>
            <w:tcW w:w="289" w:type="pct"/>
            <w:tcBorders>
              <w:top w:val="single" w:sz="4" w:space="0" w:color="auto"/>
              <w:left w:val="single" w:sz="4" w:space="0" w:color="auto"/>
              <w:bottom w:val="single" w:sz="4" w:space="0" w:color="auto"/>
              <w:right w:val="single" w:sz="4" w:space="0" w:color="auto"/>
            </w:tcBorders>
            <w:vAlign w:val="center"/>
          </w:tcPr>
          <w:p w14:paraId="011E043B" w14:textId="77777777" w:rsidR="004A0123" w:rsidRPr="000D3D0C" w:rsidRDefault="004A0123" w:rsidP="008A5C11">
            <w:pPr>
              <w:jc w:val="center"/>
              <w:rPr>
                <w:sz w:val="16"/>
                <w:szCs w:val="16"/>
              </w:rPr>
            </w:pPr>
            <w:r w:rsidRPr="000D3D0C">
              <w:rPr>
                <w:sz w:val="16"/>
                <w:szCs w:val="16"/>
              </w:rPr>
              <w:t>-</w:t>
            </w:r>
          </w:p>
        </w:tc>
        <w:tc>
          <w:tcPr>
            <w:tcW w:w="286" w:type="pct"/>
            <w:tcBorders>
              <w:top w:val="single" w:sz="4" w:space="0" w:color="auto"/>
              <w:left w:val="single" w:sz="4" w:space="0" w:color="auto"/>
              <w:bottom w:val="single" w:sz="4" w:space="0" w:color="auto"/>
              <w:right w:val="single" w:sz="4" w:space="0" w:color="auto"/>
            </w:tcBorders>
            <w:vAlign w:val="center"/>
          </w:tcPr>
          <w:p w14:paraId="7794FB89" w14:textId="77777777" w:rsidR="004A0123" w:rsidRPr="000D3D0C" w:rsidRDefault="004A0123" w:rsidP="008A5C11">
            <w:pPr>
              <w:jc w:val="center"/>
              <w:rPr>
                <w:sz w:val="16"/>
                <w:szCs w:val="16"/>
              </w:rPr>
            </w:pPr>
            <w:r w:rsidRPr="000D3D0C">
              <w:rPr>
                <w:sz w:val="16"/>
                <w:szCs w:val="16"/>
              </w:rPr>
              <w:t>-</w:t>
            </w:r>
          </w:p>
        </w:tc>
        <w:tc>
          <w:tcPr>
            <w:tcW w:w="282" w:type="pct"/>
            <w:tcBorders>
              <w:top w:val="single" w:sz="4" w:space="0" w:color="auto"/>
              <w:left w:val="single" w:sz="4" w:space="0" w:color="auto"/>
              <w:bottom w:val="single" w:sz="4" w:space="0" w:color="auto"/>
              <w:right w:val="single" w:sz="4" w:space="0" w:color="auto"/>
            </w:tcBorders>
            <w:vAlign w:val="center"/>
          </w:tcPr>
          <w:p w14:paraId="2982A824" w14:textId="77777777" w:rsidR="004A0123" w:rsidRPr="000D3D0C" w:rsidRDefault="004A0123" w:rsidP="008A5C11">
            <w:pPr>
              <w:jc w:val="center"/>
              <w:rPr>
                <w:sz w:val="16"/>
                <w:szCs w:val="16"/>
              </w:rPr>
            </w:pPr>
            <w:r w:rsidRPr="000D3D0C">
              <w:rPr>
                <w:sz w:val="16"/>
                <w:szCs w:val="16"/>
              </w:rPr>
              <w:t>-</w:t>
            </w:r>
          </w:p>
        </w:tc>
        <w:tc>
          <w:tcPr>
            <w:tcW w:w="282" w:type="pct"/>
            <w:tcBorders>
              <w:top w:val="single" w:sz="4" w:space="0" w:color="auto"/>
              <w:left w:val="single" w:sz="4" w:space="0" w:color="auto"/>
              <w:bottom w:val="single" w:sz="4" w:space="0" w:color="auto"/>
              <w:right w:val="single" w:sz="4" w:space="0" w:color="auto"/>
            </w:tcBorders>
            <w:vAlign w:val="center"/>
          </w:tcPr>
          <w:p w14:paraId="1479255A" w14:textId="77777777" w:rsidR="004A0123" w:rsidRPr="000D3D0C" w:rsidRDefault="004A0123" w:rsidP="008A5C11">
            <w:pPr>
              <w:jc w:val="center"/>
              <w:rPr>
                <w:sz w:val="16"/>
                <w:szCs w:val="16"/>
              </w:rPr>
            </w:pPr>
            <w:r w:rsidRPr="000D3D0C">
              <w:rPr>
                <w:sz w:val="16"/>
                <w:szCs w:val="16"/>
              </w:rPr>
              <w:t>-</w:t>
            </w:r>
          </w:p>
        </w:tc>
      </w:tr>
      <w:tr w:rsidR="004A0123" w:rsidRPr="000D3D0C" w14:paraId="1AF32890" w14:textId="77777777" w:rsidTr="008A5C11">
        <w:trPr>
          <w:trHeight w:val="510"/>
        </w:trPr>
        <w:tc>
          <w:tcPr>
            <w:tcW w:w="18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7846B5E" w14:textId="77777777" w:rsidR="004A0123" w:rsidRPr="000D3D0C" w:rsidRDefault="004A0123" w:rsidP="008A5C11">
            <w:pPr>
              <w:jc w:val="center"/>
              <w:rPr>
                <w:sz w:val="16"/>
                <w:szCs w:val="16"/>
              </w:rPr>
            </w:pPr>
            <w:r w:rsidRPr="000D3D0C">
              <w:rPr>
                <w:sz w:val="16"/>
                <w:szCs w:val="16"/>
              </w:rPr>
              <w:t>2.</w:t>
            </w:r>
          </w:p>
        </w:tc>
        <w:tc>
          <w:tcPr>
            <w:tcW w:w="99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E17DB5A" w14:textId="77777777" w:rsidR="004A0123" w:rsidRPr="000D3D0C" w:rsidRDefault="004A0123" w:rsidP="008A5C11">
            <w:pPr>
              <w:jc w:val="center"/>
              <w:rPr>
                <w:sz w:val="16"/>
                <w:szCs w:val="16"/>
              </w:rPr>
            </w:pPr>
            <w:r w:rsidRPr="000D3D0C">
              <w:rPr>
                <w:sz w:val="16"/>
                <w:szCs w:val="16"/>
              </w:rPr>
              <w:t>Удельный расход условного топлива на выработку единицы тепловой энергии и (или) теплоносителя</w:t>
            </w:r>
          </w:p>
        </w:tc>
        <w:tc>
          <w:tcPr>
            <w:tcW w:w="41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446DC3E" w14:textId="77777777" w:rsidR="004A0123" w:rsidRPr="000D3D0C" w:rsidRDefault="004A0123" w:rsidP="008A5C11">
            <w:pPr>
              <w:jc w:val="center"/>
              <w:rPr>
                <w:sz w:val="16"/>
                <w:szCs w:val="16"/>
              </w:rPr>
            </w:pPr>
            <w:r w:rsidRPr="000D3D0C">
              <w:rPr>
                <w:sz w:val="16"/>
                <w:szCs w:val="16"/>
              </w:rPr>
              <w:t>кг.у.т./Гкал</w:t>
            </w:r>
          </w:p>
        </w:tc>
        <w:tc>
          <w:tcPr>
            <w:tcW w:w="321" w:type="pct"/>
            <w:tcBorders>
              <w:top w:val="nil"/>
              <w:left w:val="nil"/>
              <w:bottom w:val="single" w:sz="4" w:space="0" w:color="auto"/>
              <w:right w:val="single" w:sz="4" w:space="0" w:color="auto"/>
            </w:tcBorders>
            <w:shd w:val="clear" w:color="auto" w:fill="auto"/>
            <w:tcMar>
              <w:left w:w="28" w:type="dxa"/>
              <w:right w:w="28" w:type="dxa"/>
            </w:tcMar>
            <w:vAlign w:val="center"/>
          </w:tcPr>
          <w:p w14:paraId="0D7C1A7B" w14:textId="77777777" w:rsidR="004A0123" w:rsidRPr="000D3D0C" w:rsidRDefault="004A0123" w:rsidP="008A5C11">
            <w:pPr>
              <w:jc w:val="center"/>
              <w:rPr>
                <w:color w:val="000000"/>
                <w:sz w:val="16"/>
                <w:szCs w:val="16"/>
              </w:rPr>
            </w:pPr>
            <w:r w:rsidRPr="000D3D0C">
              <w:rPr>
                <w:color w:val="000000"/>
                <w:sz w:val="16"/>
                <w:szCs w:val="16"/>
              </w:rPr>
              <w:t>-</w:t>
            </w:r>
          </w:p>
        </w:tc>
        <w:tc>
          <w:tcPr>
            <w:tcW w:w="377" w:type="pct"/>
            <w:tcBorders>
              <w:top w:val="nil"/>
              <w:left w:val="single" w:sz="4" w:space="0" w:color="auto"/>
              <w:bottom w:val="single" w:sz="4" w:space="0" w:color="000000"/>
              <w:right w:val="single" w:sz="4" w:space="0" w:color="auto"/>
            </w:tcBorders>
            <w:shd w:val="clear" w:color="auto" w:fill="auto"/>
            <w:tcMar>
              <w:left w:w="28" w:type="dxa"/>
              <w:right w:w="28" w:type="dxa"/>
            </w:tcMar>
            <w:vAlign w:val="center"/>
          </w:tcPr>
          <w:p w14:paraId="6D109FFF" w14:textId="77777777" w:rsidR="004A0123" w:rsidRPr="000D3D0C" w:rsidRDefault="004A0123" w:rsidP="008A5C11">
            <w:pPr>
              <w:jc w:val="center"/>
              <w:rPr>
                <w:color w:val="000000"/>
                <w:sz w:val="16"/>
                <w:szCs w:val="16"/>
              </w:rPr>
            </w:pPr>
            <w:r w:rsidRPr="000D3D0C">
              <w:rPr>
                <w:color w:val="000000"/>
                <w:sz w:val="16"/>
                <w:szCs w:val="16"/>
              </w:rPr>
              <w:t>184,46</w:t>
            </w:r>
          </w:p>
        </w:tc>
        <w:tc>
          <w:tcPr>
            <w:tcW w:w="237" w:type="pct"/>
            <w:tcBorders>
              <w:top w:val="nil"/>
              <w:left w:val="single" w:sz="4" w:space="0" w:color="auto"/>
              <w:bottom w:val="single" w:sz="4" w:space="0" w:color="000000"/>
              <w:right w:val="single" w:sz="4" w:space="0" w:color="auto"/>
            </w:tcBorders>
            <w:shd w:val="clear" w:color="auto" w:fill="auto"/>
            <w:tcMar>
              <w:left w:w="28" w:type="dxa"/>
              <w:right w:w="28" w:type="dxa"/>
            </w:tcMar>
            <w:vAlign w:val="center"/>
          </w:tcPr>
          <w:p w14:paraId="31D6E622" w14:textId="77777777" w:rsidR="004A0123" w:rsidRPr="000D3D0C" w:rsidRDefault="004A0123" w:rsidP="008A5C11">
            <w:pPr>
              <w:jc w:val="center"/>
              <w:rPr>
                <w:color w:val="000000"/>
                <w:sz w:val="16"/>
                <w:szCs w:val="16"/>
              </w:rPr>
            </w:pPr>
            <w:r w:rsidRPr="000D3D0C">
              <w:rPr>
                <w:color w:val="000000"/>
                <w:sz w:val="16"/>
                <w:szCs w:val="16"/>
              </w:rPr>
              <w:t>185,10</w:t>
            </w:r>
          </w:p>
        </w:tc>
        <w:tc>
          <w:tcPr>
            <w:tcW w:w="283" w:type="pct"/>
            <w:tcBorders>
              <w:top w:val="nil"/>
              <w:left w:val="single" w:sz="4" w:space="0" w:color="auto"/>
              <w:bottom w:val="single" w:sz="4" w:space="0" w:color="000000"/>
              <w:right w:val="single" w:sz="4" w:space="0" w:color="auto"/>
            </w:tcBorders>
            <w:shd w:val="clear" w:color="auto" w:fill="auto"/>
            <w:tcMar>
              <w:left w:w="28" w:type="dxa"/>
              <w:right w:w="28" w:type="dxa"/>
            </w:tcMar>
            <w:vAlign w:val="center"/>
          </w:tcPr>
          <w:p w14:paraId="1C4780CB" w14:textId="77777777" w:rsidR="004A0123" w:rsidRPr="000D3D0C" w:rsidRDefault="004A0123" w:rsidP="008A5C11">
            <w:pPr>
              <w:jc w:val="center"/>
              <w:rPr>
                <w:color w:val="000000"/>
                <w:sz w:val="16"/>
                <w:szCs w:val="16"/>
              </w:rPr>
            </w:pPr>
            <w:r w:rsidRPr="000D3D0C">
              <w:rPr>
                <w:color w:val="000000"/>
                <w:sz w:val="16"/>
                <w:szCs w:val="16"/>
              </w:rPr>
              <w:t>185,10</w:t>
            </w:r>
          </w:p>
        </w:tc>
        <w:tc>
          <w:tcPr>
            <w:tcW w:w="236" w:type="pct"/>
            <w:tcBorders>
              <w:top w:val="nil"/>
              <w:left w:val="single" w:sz="4" w:space="0" w:color="auto"/>
              <w:bottom w:val="single" w:sz="4" w:space="0" w:color="000000"/>
              <w:right w:val="single" w:sz="4" w:space="0" w:color="auto"/>
            </w:tcBorders>
            <w:shd w:val="clear" w:color="auto" w:fill="auto"/>
            <w:tcMar>
              <w:left w:w="28" w:type="dxa"/>
              <w:right w:w="28" w:type="dxa"/>
            </w:tcMar>
            <w:vAlign w:val="center"/>
          </w:tcPr>
          <w:p w14:paraId="7E24A86F" w14:textId="77777777" w:rsidR="004A0123" w:rsidRPr="000D3D0C" w:rsidRDefault="004A0123" w:rsidP="008A5C11">
            <w:pPr>
              <w:jc w:val="center"/>
              <w:rPr>
                <w:color w:val="000000"/>
                <w:sz w:val="16"/>
                <w:szCs w:val="16"/>
              </w:rPr>
            </w:pPr>
            <w:r w:rsidRPr="000D3D0C">
              <w:rPr>
                <w:color w:val="000000"/>
                <w:sz w:val="16"/>
                <w:szCs w:val="16"/>
              </w:rPr>
              <w:t>185,00</w:t>
            </w:r>
          </w:p>
        </w:tc>
        <w:tc>
          <w:tcPr>
            <w:tcW w:w="235" w:type="pct"/>
            <w:tcBorders>
              <w:top w:val="nil"/>
              <w:left w:val="single" w:sz="4" w:space="0" w:color="auto"/>
              <w:bottom w:val="single" w:sz="4" w:space="0" w:color="000000"/>
              <w:right w:val="single" w:sz="4" w:space="0" w:color="auto"/>
            </w:tcBorders>
            <w:tcMar>
              <w:left w:w="28" w:type="dxa"/>
              <w:right w:w="28" w:type="dxa"/>
            </w:tcMar>
            <w:vAlign w:val="center"/>
          </w:tcPr>
          <w:p w14:paraId="5F5EAF78" w14:textId="77777777" w:rsidR="004A0123" w:rsidRPr="000D3D0C" w:rsidRDefault="004A0123" w:rsidP="008A5C11">
            <w:pPr>
              <w:jc w:val="center"/>
              <w:rPr>
                <w:color w:val="000000"/>
                <w:sz w:val="16"/>
                <w:szCs w:val="16"/>
              </w:rPr>
            </w:pPr>
            <w:r w:rsidRPr="000D3D0C">
              <w:rPr>
                <w:color w:val="000000"/>
                <w:sz w:val="16"/>
                <w:szCs w:val="16"/>
              </w:rPr>
              <w:t>184,81</w:t>
            </w:r>
          </w:p>
        </w:tc>
        <w:tc>
          <w:tcPr>
            <w:tcW w:w="287" w:type="pct"/>
            <w:tcBorders>
              <w:top w:val="nil"/>
              <w:left w:val="single" w:sz="4" w:space="0" w:color="auto"/>
              <w:bottom w:val="single" w:sz="4" w:space="0" w:color="000000"/>
              <w:right w:val="single" w:sz="4" w:space="0" w:color="auto"/>
            </w:tcBorders>
            <w:tcMar>
              <w:left w:w="28" w:type="dxa"/>
              <w:right w:w="28" w:type="dxa"/>
            </w:tcMar>
            <w:vAlign w:val="center"/>
          </w:tcPr>
          <w:p w14:paraId="4E7E8641" w14:textId="77777777" w:rsidR="004A0123" w:rsidRPr="000D3D0C" w:rsidRDefault="004A0123" w:rsidP="008A5C11">
            <w:pPr>
              <w:jc w:val="center"/>
              <w:rPr>
                <w:color w:val="000000"/>
                <w:sz w:val="16"/>
                <w:szCs w:val="16"/>
              </w:rPr>
            </w:pPr>
            <w:r w:rsidRPr="000D3D0C">
              <w:rPr>
                <w:color w:val="000000"/>
                <w:sz w:val="16"/>
                <w:szCs w:val="16"/>
              </w:rPr>
              <w:t>184,71</w:t>
            </w:r>
          </w:p>
        </w:tc>
        <w:tc>
          <w:tcPr>
            <w:tcW w:w="288" w:type="pct"/>
            <w:tcBorders>
              <w:top w:val="single" w:sz="4" w:space="0" w:color="auto"/>
              <w:left w:val="single" w:sz="4" w:space="0" w:color="auto"/>
              <w:bottom w:val="single" w:sz="4" w:space="0" w:color="auto"/>
              <w:right w:val="single" w:sz="4" w:space="0" w:color="auto"/>
            </w:tcBorders>
            <w:vAlign w:val="center"/>
          </w:tcPr>
          <w:p w14:paraId="66F14886" w14:textId="77777777" w:rsidR="004A0123" w:rsidRPr="000D3D0C" w:rsidRDefault="004A0123" w:rsidP="008A5C11">
            <w:pPr>
              <w:jc w:val="center"/>
              <w:rPr>
                <w:color w:val="000000"/>
                <w:sz w:val="16"/>
                <w:szCs w:val="16"/>
              </w:rPr>
            </w:pPr>
            <w:r w:rsidRPr="000D3D0C">
              <w:rPr>
                <w:color w:val="000000"/>
                <w:sz w:val="16"/>
                <w:szCs w:val="16"/>
              </w:rPr>
              <w:t>184,71</w:t>
            </w:r>
          </w:p>
        </w:tc>
        <w:tc>
          <w:tcPr>
            <w:tcW w:w="289" w:type="pct"/>
            <w:tcBorders>
              <w:top w:val="single" w:sz="4" w:space="0" w:color="auto"/>
              <w:left w:val="single" w:sz="4" w:space="0" w:color="auto"/>
              <w:bottom w:val="single" w:sz="4" w:space="0" w:color="auto"/>
              <w:right w:val="single" w:sz="4" w:space="0" w:color="auto"/>
            </w:tcBorders>
            <w:vAlign w:val="center"/>
          </w:tcPr>
          <w:p w14:paraId="51781F82" w14:textId="77777777" w:rsidR="004A0123" w:rsidRPr="000D3D0C" w:rsidRDefault="004A0123" w:rsidP="008A5C11">
            <w:pPr>
              <w:jc w:val="center"/>
              <w:rPr>
                <w:color w:val="000000"/>
                <w:sz w:val="16"/>
                <w:szCs w:val="16"/>
              </w:rPr>
            </w:pPr>
            <w:r w:rsidRPr="000D3D0C">
              <w:rPr>
                <w:color w:val="000000"/>
                <w:sz w:val="16"/>
                <w:szCs w:val="16"/>
              </w:rPr>
              <w:t>184,46</w:t>
            </w:r>
          </w:p>
        </w:tc>
        <w:tc>
          <w:tcPr>
            <w:tcW w:w="286" w:type="pct"/>
            <w:tcBorders>
              <w:top w:val="single" w:sz="4" w:space="0" w:color="auto"/>
              <w:left w:val="single" w:sz="4" w:space="0" w:color="auto"/>
              <w:bottom w:val="single" w:sz="4" w:space="0" w:color="auto"/>
              <w:right w:val="single" w:sz="4" w:space="0" w:color="auto"/>
            </w:tcBorders>
            <w:vAlign w:val="center"/>
          </w:tcPr>
          <w:p w14:paraId="085DAE79" w14:textId="77777777" w:rsidR="004A0123" w:rsidRPr="000D3D0C" w:rsidRDefault="004A0123" w:rsidP="008A5C11">
            <w:pPr>
              <w:jc w:val="center"/>
              <w:rPr>
                <w:color w:val="000000"/>
                <w:sz w:val="16"/>
                <w:szCs w:val="16"/>
              </w:rPr>
            </w:pPr>
            <w:r w:rsidRPr="000D3D0C">
              <w:rPr>
                <w:color w:val="000000"/>
                <w:sz w:val="16"/>
                <w:szCs w:val="16"/>
              </w:rPr>
              <w:t>184,46</w:t>
            </w:r>
          </w:p>
        </w:tc>
        <w:tc>
          <w:tcPr>
            <w:tcW w:w="282" w:type="pct"/>
            <w:tcBorders>
              <w:top w:val="single" w:sz="4" w:space="0" w:color="auto"/>
              <w:left w:val="single" w:sz="4" w:space="0" w:color="auto"/>
              <w:bottom w:val="single" w:sz="4" w:space="0" w:color="auto"/>
              <w:right w:val="single" w:sz="4" w:space="0" w:color="auto"/>
            </w:tcBorders>
            <w:vAlign w:val="center"/>
          </w:tcPr>
          <w:p w14:paraId="0CFB0F2F" w14:textId="77777777" w:rsidR="004A0123" w:rsidRPr="000D3D0C" w:rsidRDefault="004A0123" w:rsidP="008A5C11">
            <w:pPr>
              <w:jc w:val="center"/>
              <w:rPr>
                <w:color w:val="000000"/>
                <w:sz w:val="16"/>
                <w:szCs w:val="16"/>
              </w:rPr>
            </w:pPr>
            <w:r w:rsidRPr="000D3D0C">
              <w:rPr>
                <w:color w:val="000000"/>
                <w:sz w:val="16"/>
                <w:szCs w:val="16"/>
              </w:rPr>
              <w:t>184,46</w:t>
            </w:r>
          </w:p>
        </w:tc>
        <w:tc>
          <w:tcPr>
            <w:tcW w:w="282" w:type="pct"/>
            <w:tcBorders>
              <w:top w:val="single" w:sz="4" w:space="0" w:color="auto"/>
              <w:left w:val="single" w:sz="4" w:space="0" w:color="auto"/>
              <w:bottom w:val="single" w:sz="4" w:space="0" w:color="auto"/>
              <w:right w:val="single" w:sz="4" w:space="0" w:color="auto"/>
            </w:tcBorders>
            <w:vAlign w:val="center"/>
          </w:tcPr>
          <w:p w14:paraId="16822C88" w14:textId="77777777" w:rsidR="004A0123" w:rsidRPr="000D3D0C" w:rsidRDefault="004A0123" w:rsidP="008A5C11">
            <w:pPr>
              <w:jc w:val="center"/>
              <w:rPr>
                <w:color w:val="000000"/>
                <w:sz w:val="16"/>
                <w:szCs w:val="16"/>
              </w:rPr>
            </w:pPr>
            <w:r w:rsidRPr="000D3D0C">
              <w:rPr>
                <w:color w:val="000000"/>
                <w:sz w:val="16"/>
                <w:szCs w:val="16"/>
              </w:rPr>
              <w:t>184,46</w:t>
            </w:r>
          </w:p>
        </w:tc>
      </w:tr>
      <w:tr w:rsidR="004A0123" w:rsidRPr="000D3D0C" w14:paraId="10CE2AC2" w14:textId="77777777" w:rsidTr="008A5C11">
        <w:trPr>
          <w:trHeight w:val="510"/>
        </w:trPr>
        <w:tc>
          <w:tcPr>
            <w:tcW w:w="18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D67D6E7" w14:textId="77777777" w:rsidR="004A0123" w:rsidRPr="000D3D0C" w:rsidRDefault="004A0123" w:rsidP="008A5C11">
            <w:pPr>
              <w:jc w:val="center"/>
              <w:rPr>
                <w:sz w:val="16"/>
                <w:szCs w:val="16"/>
              </w:rPr>
            </w:pPr>
            <w:r w:rsidRPr="000D3D0C">
              <w:rPr>
                <w:sz w:val="16"/>
                <w:szCs w:val="16"/>
              </w:rPr>
              <w:t>3.</w:t>
            </w:r>
          </w:p>
        </w:tc>
        <w:tc>
          <w:tcPr>
            <w:tcW w:w="99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3AC5DC6" w14:textId="77777777" w:rsidR="004A0123" w:rsidRPr="000D3D0C" w:rsidRDefault="004A0123" w:rsidP="008A5C11">
            <w:pPr>
              <w:jc w:val="center"/>
              <w:rPr>
                <w:sz w:val="16"/>
                <w:szCs w:val="16"/>
              </w:rPr>
            </w:pPr>
            <w:r w:rsidRPr="000D3D0C">
              <w:rPr>
                <w:sz w:val="16"/>
                <w:szCs w:val="16"/>
              </w:rPr>
              <w:t>Объем присоединенной тепловой нагрузки новых потребителей</w:t>
            </w:r>
          </w:p>
        </w:tc>
        <w:tc>
          <w:tcPr>
            <w:tcW w:w="41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696202A" w14:textId="77777777" w:rsidR="004A0123" w:rsidRPr="000D3D0C" w:rsidRDefault="004A0123" w:rsidP="008A5C11">
            <w:pPr>
              <w:jc w:val="center"/>
              <w:rPr>
                <w:sz w:val="16"/>
                <w:szCs w:val="16"/>
              </w:rPr>
            </w:pPr>
            <w:r w:rsidRPr="000D3D0C">
              <w:rPr>
                <w:sz w:val="16"/>
                <w:szCs w:val="16"/>
              </w:rPr>
              <w:t>Гкал/ч</w:t>
            </w:r>
          </w:p>
        </w:tc>
        <w:tc>
          <w:tcPr>
            <w:tcW w:w="321" w:type="pct"/>
            <w:tcBorders>
              <w:top w:val="nil"/>
              <w:left w:val="nil"/>
              <w:bottom w:val="single" w:sz="4" w:space="0" w:color="auto"/>
              <w:right w:val="single" w:sz="4" w:space="0" w:color="auto"/>
            </w:tcBorders>
            <w:shd w:val="clear" w:color="auto" w:fill="auto"/>
            <w:tcMar>
              <w:left w:w="28" w:type="dxa"/>
              <w:right w:w="28" w:type="dxa"/>
            </w:tcMar>
            <w:vAlign w:val="center"/>
          </w:tcPr>
          <w:p w14:paraId="585CBDAE" w14:textId="77777777" w:rsidR="004A0123" w:rsidRPr="000D3D0C" w:rsidRDefault="004A0123" w:rsidP="008A5C11">
            <w:pPr>
              <w:jc w:val="center"/>
              <w:rPr>
                <w:sz w:val="16"/>
                <w:szCs w:val="16"/>
              </w:rPr>
            </w:pPr>
            <w:r w:rsidRPr="000D3D0C">
              <w:rPr>
                <w:sz w:val="16"/>
                <w:szCs w:val="16"/>
              </w:rPr>
              <w:t>-</w:t>
            </w:r>
          </w:p>
        </w:tc>
        <w:tc>
          <w:tcPr>
            <w:tcW w:w="377"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8E58E8E" w14:textId="77777777" w:rsidR="004A0123" w:rsidRPr="000D3D0C" w:rsidRDefault="004A0123" w:rsidP="008A5C11">
            <w:pPr>
              <w:jc w:val="center"/>
              <w:rPr>
                <w:sz w:val="16"/>
                <w:szCs w:val="16"/>
              </w:rPr>
            </w:pPr>
            <w:r w:rsidRPr="000D3D0C">
              <w:rPr>
                <w:sz w:val="16"/>
                <w:szCs w:val="16"/>
              </w:rPr>
              <w:t>-</w:t>
            </w:r>
          </w:p>
        </w:tc>
        <w:tc>
          <w:tcPr>
            <w:tcW w:w="237" w:type="pct"/>
            <w:tcBorders>
              <w:top w:val="nil"/>
              <w:left w:val="nil"/>
              <w:bottom w:val="single" w:sz="4" w:space="0" w:color="auto"/>
              <w:right w:val="single" w:sz="4" w:space="0" w:color="auto"/>
            </w:tcBorders>
            <w:shd w:val="clear" w:color="auto" w:fill="auto"/>
            <w:tcMar>
              <w:left w:w="28" w:type="dxa"/>
              <w:right w:w="28" w:type="dxa"/>
            </w:tcMar>
            <w:vAlign w:val="center"/>
          </w:tcPr>
          <w:p w14:paraId="199ACF54" w14:textId="77777777" w:rsidR="004A0123" w:rsidRPr="000D3D0C" w:rsidRDefault="004A0123" w:rsidP="008A5C11">
            <w:pPr>
              <w:jc w:val="center"/>
              <w:rPr>
                <w:sz w:val="16"/>
                <w:szCs w:val="16"/>
              </w:rPr>
            </w:pPr>
            <w:r w:rsidRPr="000D3D0C">
              <w:rPr>
                <w:sz w:val="16"/>
                <w:szCs w:val="16"/>
              </w:rPr>
              <w:t>-</w:t>
            </w:r>
          </w:p>
        </w:tc>
        <w:tc>
          <w:tcPr>
            <w:tcW w:w="283" w:type="pct"/>
            <w:tcBorders>
              <w:top w:val="nil"/>
              <w:left w:val="nil"/>
              <w:bottom w:val="single" w:sz="4" w:space="0" w:color="auto"/>
              <w:right w:val="single" w:sz="4" w:space="0" w:color="auto"/>
            </w:tcBorders>
            <w:shd w:val="clear" w:color="auto" w:fill="auto"/>
            <w:tcMar>
              <w:left w:w="28" w:type="dxa"/>
              <w:right w:w="28" w:type="dxa"/>
            </w:tcMar>
            <w:vAlign w:val="center"/>
          </w:tcPr>
          <w:p w14:paraId="6310992A" w14:textId="77777777" w:rsidR="004A0123" w:rsidRPr="000D3D0C" w:rsidRDefault="004A0123" w:rsidP="008A5C11">
            <w:pPr>
              <w:jc w:val="center"/>
              <w:rPr>
                <w:sz w:val="16"/>
                <w:szCs w:val="16"/>
              </w:rPr>
            </w:pPr>
            <w:r w:rsidRPr="000D3D0C">
              <w:rPr>
                <w:sz w:val="16"/>
                <w:szCs w:val="16"/>
              </w:rPr>
              <w:t>-</w:t>
            </w:r>
          </w:p>
        </w:tc>
        <w:tc>
          <w:tcPr>
            <w:tcW w:w="236" w:type="pct"/>
            <w:tcBorders>
              <w:top w:val="nil"/>
              <w:left w:val="nil"/>
              <w:bottom w:val="single" w:sz="4" w:space="0" w:color="auto"/>
              <w:right w:val="single" w:sz="4" w:space="0" w:color="auto"/>
            </w:tcBorders>
            <w:shd w:val="clear" w:color="auto" w:fill="auto"/>
            <w:tcMar>
              <w:left w:w="28" w:type="dxa"/>
              <w:right w:w="28" w:type="dxa"/>
            </w:tcMar>
            <w:vAlign w:val="center"/>
          </w:tcPr>
          <w:p w14:paraId="0ED0BD52" w14:textId="77777777" w:rsidR="004A0123" w:rsidRPr="000D3D0C" w:rsidRDefault="004A0123" w:rsidP="008A5C11">
            <w:pPr>
              <w:jc w:val="center"/>
              <w:rPr>
                <w:sz w:val="16"/>
                <w:szCs w:val="16"/>
              </w:rPr>
            </w:pPr>
            <w:r w:rsidRPr="000D3D0C">
              <w:rPr>
                <w:sz w:val="16"/>
                <w:szCs w:val="16"/>
              </w:rPr>
              <w:t>-</w:t>
            </w:r>
          </w:p>
        </w:tc>
        <w:tc>
          <w:tcPr>
            <w:tcW w:w="235" w:type="pct"/>
            <w:tcBorders>
              <w:top w:val="nil"/>
              <w:left w:val="nil"/>
              <w:bottom w:val="single" w:sz="4" w:space="0" w:color="auto"/>
              <w:right w:val="single" w:sz="4" w:space="0" w:color="auto"/>
            </w:tcBorders>
            <w:tcMar>
              <w:left w:w="28" w:type="dxa"/>
              <w:right w:w="28" w:type="dxa"/>
            </w:tcMar>
            <w:vAlign w:val="center"/>
          </w:tcPr>
          <w:p w14:paraId="78FBBD31" w14:textId="77777777" w:rsidR="004A0123" w:rsidRPr="000D3D0C" w:rsidRDefault="004A0123" w:rsidP="008A5C11">
            <w:pPr>
              <w:jc w:val="center"/>
              <w:rPr>
                <w:sz w:val="16"/>
                <w:szCs w:val="16"/>
              </w:rPr>
            </w:pPr>
            <w:r w:rsidRPr="000D3D0C">
              <w:rPr>
                <w:sz w:val="16"/>
                <w:szCs w:val="16"/>
              </w:rPr>
              <w:t>-</w:t>
            </w:r>
          </w:p>
        </w:tc>
        <w:tc>
          <w:tcPr>
            <w:tcW w:w="287" w:type="pct"/>
            <w:tcBorders>
              <w:top w:val="nil"/>
              <w:left w:val="nil"/>
              <w:bottom w:val="single" w:sz="4" w:space="0" w:color="auto"/>
              <w:right w:val="single" w:sz="4" w:space="0" w:color="auto"/>
            </w:tcBorders>
            <w:tcMar>
              <w:left w:w="28" w:type="dxa"/>
              <w:right w:w="28" w:type="dxa"/>
            </w:tcMar>
            <w:vAlign w:val="center"/>
          </w:tcPr>
          <w:p w14:paraId="6C95E8CD" w14:textId="77777777" w:rsidR="004A0123" w:rsidRPr="000D3D0C" w:rsidRDefault="004A0123" w:rsidP="008A5C11">
            <w:pPr>
              <w:jc w:val="center"/>
              <w:rPr>
                <w:sz w:val="16"/>
                <w:szCs w:val="16"/>
              </w:rPr>
            </w:pPr>
            <w:r w:rsidRPr="000D3D0C">
              <w:rPr>
                <w:sz w:val="16"/>
                <w:szCs w:val="16"/>
              </w:rPr>
              <w:t>-</w:t>
            </w:r>
          </w:p>
        </w:tc>
        <w:tc>
          <w:tcPr>
            <w:tcW w:w="288" w:type="pct"/>
            <w:tcBorders>
              <w:top w:val="single" w:sz="4" w:space="0" w:color="auto"/>
              <w:left w:val="nil"/>
              <w:bottom w:val="single" w:sz="4" w:space="0" w:color="auto"/>
              <w:right w:val="single" w:sz="4" w:space="0" w:color="auto"/>
            </w:tcBorders>
            <w:vAlign w:val="center"/>
          </w:tcPr>
          <w:p w14:paraId="4E10DECF" w14:textId="77777777" w:rsidR="004A0123" w:rsidRPr="000D3D0C" w:rsidRDefault="004A0123" w:rsidP="008A5C11">
            <w:pPr>
              <w:jc w:val="center"/>
              <w:rPr>
                <w:sz w:val="16"/>
                <w:szCs w:val="16"/>
              </w:rPr>
            </w:pPr>
            <w:r w:rsidRPr="000D3D0C">
              <w:rPr>
                <w:sz w:val="16"/>
                <w:szCs w:val="16"/>
              </w:rPr>
              <w:t>-</w:t>
            </w:r>
          </w:p>
        </w:tc>
        <w:tc>
          <w:tcPr>
            <w:tcW w:w="289" w:type="pct"/>
            <w:tcBorders>
              <w:top w:val="single" w:sz="4" w:space="0" w:color="auto"/>
              <w:left w:val="single" w:sz="4" w:space="0" w:color="auto"/>
              <w:bottom w:val="single" w:sz="4" w:space="0" w:color="auto"/>
              <w:right w:val="single" w:sz="4" w:space="0" w:color="auto"/>
            </w:tcBorders>
            <w:vAlign w:val="center"/>
          </w:tcPr>
          <w:p w14:paraId="7840790C" w14:textId="77777777" w:rsidR="004A0123" w:rsidRPr="000D3D0C" w:rsidRDefault="004A0123" w:rsidP="008A5C11">
            <w:pPr>
              <w:jc w:val="center"/>
              <w:rPr>
                <w:sz w:val="16"/>
                <w:szCs w:val="16"/>
              </w:rPr>
            </w:pPr>
            <w:r w:rsidRPr="000D3D0C">
              <w:rPr>
                <w:sz w:val="16"/>
                <w:szCs w:val="16"/>
              </w:rPr>
              <w:t>-</w:t>
            </w:r>
          </w:p>
        </w:tc>
        <w:tc>
          <w:tcPr>
            <w:tcW w:w="286" w:type="pct"/>
            <w:tcBorders>
              <w:top w:val="single" w:sz="4" w:space="0" w:color="auto"/>
              <w:left w:val="single" w:sz="4" w:space="0" w:color="auto"/>
              <w:bottom w:val="single" w:sz="4" w:space="0" w:color="auto"/>
              <w:right w:val="single" w:sz="4" w:space="0" w:color="auto"/>
            </w:tcBorders>
            <w:vAlign w:val="center"/>
          </w:tcPr>
          <w:p w14:paraId="5C70B6FF" w14:textId="77777777" w:rsidR="004A0123" w:rsidRPr="000D3D0C" w:rsidRDefault="004A0123" w:rsidP="008A5C11">
            <w:pPr>
              <w:jc w:val="center"/>
              <w:rPr>
                <w:sz w:val="16"/>
                <w:szCs w:val="16"/>
              </w:rPr>
            </w:pPr>
            <w:r w:rsidRPr="000D3D0C">
              <w:rPr>
                <w:sz w:val="16"/>
                <w:szCs w:val="16"/>
              </w:rPr>
              <w:t>-</w:t>
            </w:r>
          </w:p>
        </w:tc>
        <w:tc>
          <w:tcPr>
            <w:tcW w:w="282" w:type="pct"/>
            <w:tcBorders>
              <w:top w:val="single" w:sz="4" w:space="0" w:color="auto"/>
              <w:left w:val="single" w:sz="4" w:space="0" w:color="auto"/>
              <w:bottom w:val="single" w:sz="4" w:space="0" w:color="auto"/>
              <w:right w:val="single" w:sz="4" w:space="0" w:color="auto"/>
            </w:tcBorders>
            <w:vAlign w:val="center"/>
          </w:tcPr>
          <w:p w14:paraId="6B29355E" w14:textId="77777777" w:rsidR="004A0123" w:rsidRPr="000D3D0C" w:rsidRDefault="004A0123" w:rsidP="008A5C11">
            <w:pPr>
              <w:jc w:val="center"/>
              <w:rPr>
                <w:sz w:val="16"/>
                <w:szCs w:val="16"/>
              </w:rPr>
            </w:pPr>
            <w:r w:rsidRPr="000D3D0C">
              <w:rPr>
                <w:sz w:val="16"/>
                <w:szCs w:val="16"/>
              </w:rPr>
              <w:t>-</w:t>
            </w:r>
          </w:p>
        </w:tc>
        <w:tc>
          <w:tcPr>
            <w:tcW w:w="282" w:type="pct"/>
            <w:tcBorders>
              <w:top w:val="single" w:sz="4" w:space="0" w:color="auto"/>
              <w:left w:val="single" w:sz="4" w:space="0" w:color="auto"/>
              <w:bottom w:val="single" w:sz="4" w:space="0" w:color="auto"/>
              <w:right w:val="single" w:sz="4" w:space="0" w:color="auto"/>
            </w:tcBorders>
            <w:vAlign w:val="center"/>
          </w:tcPr>
          <w:p w14:paraId="26F14419" w14:textId="77777777" w:rsidR="004A0123" w:rsidRPr="000D3D0C" w:rsidRDefault="004A0123" w:rsidP="008A5C11">
            <w:pPr>
              <w:jc w:val="center"/>
              <w:rPr>
                <w:sz w:val="16"/>
                <w:szCs w:val="16"/>
              </w:rPr>
            </w:pPr>
            <w:r w:rsidRPr="000D3D0C">
              <w:rPr>
                <w:sz w:val="16"/>
                <w:szCs w:val="16"/>
              </w:rPr>
              <w:t>-</w:t>
            </w:r>
          </w:p>
        </w:tc>
      </w:tr>
      <w:tr w:rsidR="004A0123" w:rsidRPr="000D3D0C" w14:paraId="6CD6BA47" w14:textId="77777777" w:rsidTr="008A5C11">
        <w:trPr>
          <w:trHeight w:val="420"/>
        </w:trPr>
        <w:tc>
          <w:tcPr>
            <w:tcW w:w="182"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04B0661" w14:textId="77777777" w:rsidR="004A0123" w:rsidRPr="000D3D0C" w:rsidRDefault="004A0123" w:rsidP="008A5C11">
            <w:pPr>
              <w:jc w:val="center"/>
              <w:rPr>
                <w:sz w:val="16"/>
                <w:szCs w:val="16"/>
              </w:rPr>
            </w:pPr>
            <w:r w:rsidRPr="000D3D0C">
              <w:rPr>
                <w:sz w:val="16"/>
                <w:szCs w:val="16"/>
              </w:rPr>
              <w:t>4.</w:t>
            </w:r>
          </w:p>
        </w:tc>
        <w:tc>
          <w:tcPr>
            <w:tcW w:w="9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9409007" w14:textId="77777777" w:rsidR="004A0123" w:rsidRPr="000D3D0C" w:rsidRDefault="004A0123" w:rsidP="008A5C11">
            <w:pPr>
              <w:jc w:val="center"/>
              <w:rPr>
                <w:sz w:val="16"/>
                <w:szCs w:val="16"/>
              </w:rPr>
            </w:pPr>
            <w:r w:rsidRPr="000D3D0C">
              <w:rPr>
                <w:sz w:val="16"/>
                <w:szCs w:val="16"/>
              </w:rPr>
              <w:t>Износ объектов системы теплоснабжения, существующих на начало реализации Инвестиционной программы</w:t>
            </w:r>
          </w:p>
        </w:tc>
        <w:tc>
          <w:tcPr>
            <w:tcW w:w="41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CE23FBF" w14:textId="77777777" w:rsidR="004A0123" w:rsidRPr="000D3D0C" w:rsidRDefault="004A0123" w:rsidP="008A5C11">
            <w:pPr>
              <w:jc w:val="center"/>
              <w:rPr>
                <w:sz w:val="16"/>
                <w:szCs w:val="16"/>
              </w:rPr>
            </w:pPr>
            <w:r w:rsidRPr="000D3D0C">
              <w:rPr>
                <w:sz w:val="16"/>
                <w:szCs w:val="16"/>
              </w:rPr>
              <w:t>%</w:t>
            </w:r>
          </w:p>
        </w:tc>
        <w:tc>
          <w:tcPr>
            <w:tcW w:w="32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EB46F1C" w14:textId="77777777" w:rsidR="004A0123" w:rsidRPr="000D3D0C" w:rsidRDefault="004A0123" w:rsidP="008A5C11">
            <w:pPr>
              <w:jc w:val="center"/>
              <w:rPr>
                <w:color w:val="000000"/>
                <w:sz w:val="16"/>
                <w:szCs w:val="16"/>
              </w:rPr>
            </w:pPr>
            <w:r w:rsidRPr="000D3D0C">
              <w:rPr>
                <w:color w:val="000000"/>
                <w:sz w:val="16"/>
                <w:szCs w:val="16"/>
              </w:rPr>
              <w:t>-</w:t>
            </w:r>
          </w:p>
        </w:tc>
        <w:tc>
          <w:tcPr>
            <w:tcW w:w="377"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B174E3B" w14:textId="77777777" w:rsidR="004A0123" w:rsidRPr="000D3D0C" w:rsidRDefault="004A0123" w:rsidP="008A5C11">
            <w:pPr>
              <w:jc w:val="center"/>
              <w:rPr>
                <w:color w:val="000000"/>
                <w:sz w:val="16"/>
                <w:szCs w:val="16"/>
              </w:rPr>
            </w:pPr>
            <w:r w:rsidRPr="000D3D0C">
              <w:rPr>
                <w:color w:val="000000"/>
                <w:sz w:val="16"/>
                <w:szCs w:val="16"/>
              </w:rPr>
              <w:t>62</w:t>
            </w:r>
          </w:p>
        </w:tc>
        <w:tc>
          <w:tcPr>
            <w:tcW w:w="237" w:type="pct"/>
            <w:tcBorders>
              <w:top w:val="nil"/>
              <w:left w:val="nil"/>
              <w:bottom w:val="single" w:sz="4" w:space="0" w:color="auto"/>
              <w:right w:val="single" w:sz="4" w:space="0" w:color="auto"/>
            </w:tcBorders>
            <w:shd w:val="clear" w:color="auto" w:fill="auto"/>
            <w:tcMar>
              <w:left w:w="28" w:type="dxa"/>
              <w:right w:w="28" w:type="dxa"/>
            </w:tcMar>
            <w:vAlign w:val="center"/>
          </w:tcPr>
          <w:p w14:paraId="3820E4BB" w14:textId="77777777" w:rsidR="004A0123" w:rsidRPr="000D3D0C" w:rsidRDefault="004A0123" w:rsidP="008A5C11">
            <w:pPr>
              <w:jc w:val="center"/>
              <w:rPr>
                <w:color w:val="000000"/>
                <w:sz w:val="16"/>
                <w:szCs w:val="16"/>
              </w:rPr>
            </w:pPr>
            <w:r w:rsidRPr="000D3D0C">
              <w:rPr>
                <w:color w:val="000000"/>
                <w:sz w:val="16"/>
                <w:szCs w:val="16"/>
              </w:rPr>
              <w:t>64</w:t>
            </w:r>
          </w:p>
        </w:tc>
        <w:tc>
          <w:tcPr>
            <w:tcW w:w="283" w:type="pct"/>
            <w:tcBorders>
              <w:top w:val="nil"/>
              <w:left w:val="nil"/>
              <w:bottom w:val="single" w:sz="4" w:space="0" w:color="auto"/>
              <w:right w:val="single" w:sz="4" w:space="0" w:color="auto"/>
            </w:tcBorders>
            <w:shd w:val="clear" w:color="auto" w:fill="auto"/>
            <w:tcMar>
              <w:left w:w="28" w:type="dxa"/>
              <w:right w:w="28" w:type="dxa"/>
            </w:tcMar>
            <w:vAlign w:val="center"/>
          </w:tcPr>
          <w:p w14:paraId="60F3B5B8" w14:textId="77777777" w:rsidR="004A0123" w:rsidRPr="000D3D0C" w:rsidRDefault="004A0123" w:rsidP="008A5C11">
            <w:pPr>
              <w:jc w:val="center"/>
              <w:rPr>
                <w:color w:val="000000"/>
                <w:sz w:val="16"/>
                <w:szCs w:val="16"/>
              </w:rPr>
            </w:pPr>
            <w:r w:rsidRPr="000D3D0C">
              <w:rPr>
                <w:color w:val="000000"/>
                <w:sz w:val="16"/>
                <w:szCs w:val="16"/>
              </w:rPr>
              <w:t>64</w:t>
            </w:r>
          </w:p>
        </w:tc>
        <w:tc>
          <w:tcPr>
            <w:tcW w:w="236" w:type="pct"/>
            <w:tcBorders>
              <w:top w:val="nil"/>
              <w:left w:val="nil"/>
              <w:bottom w:val="single" w:sz="4" w:space="0" w:color="auto"/>
              <w:right w:val="single" w:sz="4" w:space="0" w:color="auto"/>
            </w:tcBorders>
            <w:shd w:val="clear" w:color="auto" w:fill="auto"/>
            <w:tcMar>
              <w:left w:w="28" w:type="dxa"/>
              <w:right w:w="28" w:type="dxa"/>
            </w:tcMar>
            <w:vAlign w:val="center"/>
          </w:tcPr>
          <w:p w14:paraId="008F413E" w14:textId="77777777" w:rsidR="004A0123" w:rsidRPr="000D3D0C" w:rsidRDefault="004A0123" w:rsidP="008A5C11">
            <w:pPr>
              <w:jc w:val="center"/>
              <w:rPr>
                <w:color w:val="000000"/>
                <w:sz w:val="16"/>
                <w:szCs w:val="16"/>
              </w:rPr>
            </w:pPr>
            <w:r w:rsidRPr="000D3D0C">
              <w:rPr>
                <w:color w:val="000000"/>
                <w:sz w:val="16"/>
                <w:szCs w:val="16"/>
              </w:rPr>
              <w:t>64</w:t>
            </w:r>
          </w:p>
        </w:tc>
        <w:tc>
          <w:tcPr>
            <w:tcW w:w="235" w:type="pct"/>
            <w:tcBorders>
              <w:top w:val="nil"/>
              <w:left w:val="nil"/>
              <w:bottom w:val="single" w:sz="4" w:space="0" w:color="auto"/>
              <w:right w:val="single" w:sz="4" w:space="0" w:color="auto"/>
            </w:tcBorders>
            <w:tcMar>
              <w:left w:w="28" w:type="dxa"/>
              <w:right w:w="28" w:type="dxa"/>
            </w:tcMar>
            <w:vAlign w:val="center"/>
          </w:tcPr>
          <w:p w14:paraId="12C6A27F" w14:textId="77777777" w:rsidR="004A0123" w:rsidRPr="000D3D0C" w:rsidRDefault="004A0123" w:rsidP="008A5C11">
            <w:pPr>
              <w:jc w:val="center"/>
              <w:rPr>
                <w:color w:val="000000"/>
                <w:sz w:val="16"/>
                <w:szCs w:val="16"/>
              </w:rPr>
            </w:pPr>
            <w:r w:rsidRPr="000D3D0C">
              <w:rPr>
                <w:color w:val="000000"/>
                <w:sz w:val="16"/>
                <w:szCs w:val="16"/>
              </w:rPr>
              <w:t>64</w:t>
            </w:r>
          </w:p>
        </w:tc>
        <w:tc>
          <w:tcPr>
            <w:tcW w:w="287" w:type="pct"/>
            <w:tcBorders>
              <w:top w:val="nil"/>
              <w:left w:val="nil"/>
              <w:bottom w:val="single" w:sz="4" w:space="0" w:color="auto"/>
              <w:right w:val="single" w:sz="4" w:space="0" w:color="auto"/>
            </w:tcBorders>
            <w:tcMar>
              <w:left w:w="28" w:type="dxa"/>
              <w:right w:w="28" w:type="dxa"/>
            </w:tcMar>
            <w:vAlign w:val="center"/>
          </w:tcPr>
          <w:p w14:paraId="695493BD" w14:textId="77777777" w:rsidR="004A0123" w:rsidRPr="000D3D0C" w:rsidRDefault="004A0123" w:rsidP="008A5C11">
            <w:pPr>
              <w:jc w:val="center"/>
              <w:rPr>
                <w:color w:val="000000"/>
                <w:sz w:val="16"/>
                <w:szCs w:val="16"/>
              </w:rPr>
            </w:pPr>
            <w:r w:rsidRPr="000D3D0C">
              <w:rPr>
                <w:color w:val="000000"/>
                <w:sz w:val="16"/>
                <w:szCs w:val="16"/>
              </w:rPr>
              <w:t>62</w:t>
            </w:r>
          </w:p>
        </w:tc>
        <w:tc>
          <w:tcPr>
            <w:tcW w:w="288" w:type="pct"/>
            <w:tcBorders>
              <w:top w:val="single" w:sz="4" w:space="0" w:color="auto"/>
              <w:left w:val="nil"/>
              <w:bottom w:val="single" w:sz="4" w:space="0" w:color="auto"/>
              <w:right w:val="single" w:sz="4" w:space="0" w:color="auto"/>
            </w:tcBorders>
            <w:vAlign w:val="center"/>
          </w:tcPr>
          <w:p w14:paraId="6CB4A870" w14:textId="77777777" w:rsidR="004A0123" w:rsidRPr="000D3D0C" w:rsidRDefault="004A0123" w:rsidP="008A5C11">
            <w:pPr>
              <w:jc w:val="center"/>
              <w:rPr>
                <w:color w:val="000000"/>
                <w:sz w:val="16"/>
                <w:szCs w:val="16"/>
              </w:rPr>
            </w:pPr>
            <w:r w:rsidRPr="000D3D0C">
              <w:rPr>
                <w:color w:val="000000"/>
                <w:sz w:val="16"/>
                <w:szCs w:val="16"/>
              </w:rPr>
              <w:t>62</w:t>
            </w:r>
          </w:p>
        </w:tc>
        <w:tc>
          <w:tcPr>
            <w:tcW w:w="289" w:type="pct"/>
            <w:tcBorders>
              <w:top w:val="single" w:sz="4" w:space="0" w:color="auto"/>
              <w:left w:val="single" w:sz="4" w:space="0" w:color="auto"/>
              <w:bottom w:val="single" w:sz="4" w:space="0" w:color="auto"/>
              <w:right w:val="single" w:sz="4" w:space="0" w:color="auto"/>
            </w:tcBorders>
            <w:vAlign w:val="center"/>
          </w:tcPr>
          <w:p w14:paraId="69AED30F" w14:textId="77777777" w:rsidR="004A0123" w:rsidRPr="000D3D0C" w:rsidRDefault="004A0123" w:rsidP="008A5C11">
            <w:pPr>
              <w:jc w:val="center"/>
              <w:rPr>
                <w:color w:val="000000"/>
                <w:sz w:val="16"/>
                <w:szCs w:val="16"/>
              </w:rPr>
            </w:pPr>
            <w:r w:rsidRPr="000D3D0C">
              <w:rPr>
                <w:color w:val="000000"/>
                <w:sz w:val="16"/>
                <w:szCs w:val="16"/>
              </w:rPr>
              <w:t>62</w:t>
            </w:r>
          </w:p>
        </w:tc>
        <w:tc>
          <w:tcPr>
            <w:tcW w:w="286" w:type="pct"/>
            <w:tcBorders>
              <w:top w:val="single" w:sz="4" w:space="0" w:color="auto"/>
              <w:left w:val="single" w:sz="4" w:space="0" w:color="auto"/>
              <w:bottom w:val="single" w:sz="4" w:space="0" w:color="auto"/>
              <w:right w:val="single" w:sz="4" w:space="0" w:color="auto"/>
            </w:tcBorders>
            <w:vAlign w:val="center"/>
          </w:tcPr>
          <w:p w14:paraId="72E3E8BF" w14:textId="77777777" w:rsidR="004A0123" w:rsidRPr="000D3D0C" w:rsidRDefault="004A0123" w:rsidP="008A5C11">
            <w:pPr>
              <w:jc w:val="center"/>
              <w:rPr>
                <w:color w:val="000000"/>
                <w:sz w:val="16"/>
                <w:szCs w:val="16"/>
              </w:rPr>
            </w:pPr>
            <w:r w:rsidRPr="000D3D0C">
              <w:rPr>
                <w:color w:val="000000"/>
                <w:sz w:val="16"/>
                <w:szCs w:val="16"/>
              </w:rPr>
              <w:t>62</w:t>
            </w:r>
          </w:p>
        </w:tc>
        <w:tc>
          <w:tcPr>
            <w:tcW w:w="282" w:type="pct"/>
            <w:tcBorders>
              <w:top w:val="single" w:sz="4" w:space="0" w:color="auto"/>
              <w:left w:val="single" w:sz="4" w:space="0" w:color="auto"/>
              <w:bottom w:val="single" w:sz="4" w:space="0" w:color="auto"/>
              <w:right w:val="single" w:sz="4" w:space="0" w:color="auto"/>
            </w:tcBorders>
            <w:vAlign w:val="center"/>
          </w:tcPr>
          <w:p w14:paraId="2C64E2B8" w14:textId="77777777" w:rsidR="004A0123" w:rsidRPr="000D3D0C" w:rsidRDefault="004A0123" w:rsidP="008A5C11">
            <w:pPr>
              <w:jc w:val="center"/>
              <w:rPr>
                <w:color w:val="000000"/>
                <w:sz w:val="16"/>
                <w:szCs w:val="16"/>
              </w:rPr>
            </w:pPr>
            <w:r w:rsidRPr="000D3D0C">
              <w:rPr>
                <w:color w:val="000000"/>
                <w:sz w:val="16"/>
                <w:szCs w:val="16"/>
              </w:rPr>
              <w:t>62</w:t>
            </w:r>
          </w:p>
        </w:tc>
        <w:tc>
          <w:tcPr>
            <w:tcW w:w="282" w:type="pct"/>
            <w:tcBorders>
              <w:top w:val="single" w:sz="4" w:space="0" w:color="auto"/>
              <w:left w:val="single" w:sz="4" w:space="0" w:color="auto"/>
              <w:bottom w:val="single" w:sz="4" w:space="0" w:color="auto"/>
              <w:right w:val="single" w:sz="4" w:space="0" w:color="auto"/>
            </w:tcBorders>
            <w:vAlign w:val="center"/>
          </w:tcPr>
          <w:p w14:paraId="355A8616" w14:textId="77777777" w:rsidR="004A0123" w:rsidRPr="000D3D0C" w:rsidRDefault="004A0123" w:rsidP="008A5C11">
            <w:pPr>
              <w:jc w:val="center"/>
              <w:rPr>
                <w:color w:val="000000"/>
                <w:sz w:val="16"/>
                <w:szCs w:val="16"/>
              </w:rPr>
            </w:pPr>
            <w:r w:rsidRPr="000D3D0C">
              <w:rPr>
                <w:color w:val="000000"/>
                <w:sz w:val="16"/>
                <w:szCs w:val="16"/>
              </w:rPr>
              <w:t>62</w:t>
            </w:r>
          </w:p>
        </w:tc>
      </w:tr>
      <w:tr w:rsidR="004A0123" w:rsidRPr="000D3D0C" w14:paraId="7BA4F5DA" w14:textId="77777777" w:rsidTr="008A5C11">
        <w:trPr>
          <w:trHeight w:val="775"/>
        </w:trPr>
        <w:tc>
          <w:tcPr>
            <w:tcW w:w="18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4B53028" w14:textId="77777777" w:rsidR="004A0123" w:rsidRPr="000D3D0C" w:rsidRDefault="004A0123" w:rsidP="008A5C11">
            <w:pPr>
              <w:jc w:val="center"/>
              <w:rPr>
                <w:sz w:val="16"/>
                <w:szCs w:val="16"/>
              </w:rPr>
            </w:pPr>
            <w:r w:rsidRPr="000D3D0C">
              <w:rPr>
                <w:sz w:val="16"/>
                <w:szCs w:val="16"/>
              </w:rPr>
              <w:t>5.</w:t>
            </w:r>
          </w:p>
        </w:tc>
        <w:tc>
          <w:tcPr>
            <w:tcW w:w="999"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6051379" w14:textId="77777777" w:rsidR="004A0123" w:rsidRPr="000D3D0C" w:rsidRDefault="004A0123" w:rsidP="008A5C11">
            <w:pPr>
              <w:jc w:val="center"/>
              <w:rPr>
                <w:sz w:val="16"/>
                <w:szCs w:val="16"/>
              </w:rPr>
            </w:pPr>
            <w:r w:rsidRPr="000D3D0C">
              <w:rPr>
                <w:sz w:val="16"/>
                <w:szCs w:val="16"/>
              </w:rPr>
              <w:t>Потери тепловой энергии при передаче тепловой энергии по тепловым сетям</w:t>
            </w:r>
          </w:p>
        </w:tc>
        <w:tc>
          <w:tcPr>
            <w:tcW w:w="41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BC8D17C" w14:textId="77777777" w:rsidR="004A0123" w:rsidRPr="000D3D0C" w:rsidRDefault="004A0123" w:rsidP="008A5C11">
            <w:pPr>
              <w:jc w:val="center"/>
              <w:rPr>
                <w:sz w:val="16"/>
                <w:szCs w:val="16"/>
              </w:rPr>
            </w:pPr>
            <w:r w:rsidRPr="000D3D0C">
              <w:rPr>
                <w:sz w:val="16"/>
                <w:szCs w:val="16"/>
              </w:rPr>
              <w:t>Гкал/год</w:t>
            </w:r>
          </w:p>
        </w:tc>
        <w:tc>
          <w:tcPr>
            <w:tcW w:w="32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2197BA7" w14:textId="77777777" w:rsidR="004A0123" w:rsidRPr="000D3D0C" w:rsidRDefault="004A0123" w:rsidP="008A5C11">
            <w:pPr>
              <w:jc w:val="center"/>
              <w:rPr>
                <w:color w:val="000000"/>
                <w:sz w:val="16"/>
                <w:szCs w:val="16"/>
              </w:rPr>
            </w:pPr>
            <w:r w:rsidRPr="000D3D0C">
              <w:rPr>
                <w:color w:val="000000"/>
                <w:sz w:val="16"/>
                <w:szCs w:val="16"/>
              </w:rPr>
              <w:t>-</w:t>
            </w:r>
          </w:p>
        </w:tc>
        <w:tc>
          <w:tcPr>
            <w:tcW w:w="3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6A9AE62" w14:textId="77777777" w:rsidR="004A0123" w:rsidRPr="000D3D0C" w:rsidRDefault="004A0123" w:rsidP="008A5C11">
            <w:pPr>
              <w:jc w:val="center"/>
              <w:rPr>
                <w:color w:val="000000"/>
                <w:sz w:val="16"/>
                <w:szCs w:val="16"/>
              </w:rPr>
            </w:pPr>
            <w:r w:rsidRPr="000D3D0C">
              <w:rPr>
                <w:color w:val="000000"/>
                <w:sz w:val="16"/>
                <w:szCs w:val="16"/>
              </w:rPr>
              <w:t>15 057,0</w:t>
            </w:r>
          </w:p>
        </w:tc>
        <w:tc>
          <w:tcPr>
            <w:tcW w:w="23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6938A9E" w14:textId="77777777" w:rsidR="004A0123" w:rsidRPr="000D3D0C" w:rsidRDefault="004A0123" w:rsidP="008A5C11">
            <w:pPr>
              <w:jc w:val="center"/>
              <w:rPr>
                <w:color w:val="000000"/>
                <w:sz w:val="16"/>
                <w:szCs w:val="16"/>
              </w:rPr>
            </w:pPr>
            <w:r w:rsidRPr="000D3D0C">
              <w:rPr>
                <w:color w:val="000000"/>
                <w:sz w:val="16"/>
                <w:szCs w:val="16"/>
              </w:rPr>
              <w:t>15 057,0</w:t>
            </w:r>
          </w:p>
        </w:tc>
        <w:tc>
          <w:tcPr>
            <w:tcW w:w="28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5399EE5" w14:textId="77777777" w:rsidR="004A0123" w:rsidRPr="000D3D0C" w:rsidRDefault="004A0123" w:rsidP="008A5C11">
            <w:pPr>
              <w:jc w:val="center"/>
              <w:rPr>
                <w:color w:val="000000"/>
                <w:sz w:val="16"/>
                <w:szCs w:val="16"/>
              </w:rPr>
            </w:pPr>
            <w:r w:rsidRPr="000D3D0C">
              <w:rPr>
                <w:color w:val="000000"/>
                <w:sz w:val="16"/>
                <w:szCs w:val="16"/>
              </w:rPr>
              <w:t>15 057,0</w:t>
            </w:r>
          </w:p>
        </w:tc>
        <w:tc>
          <w:tcPr>
            <w:tcW w:w="23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E91ACAE" w14:textId="77777777" w:rsidR="004A0123" w:rsidRPr="000D3D0C" w:rsidRDefault="004A0123" w:rsidP="008A5C11">
            <w:pPr>
              <w:jc w:val="center"/>
              <w:rPr>
                <w:color w:val="000000"/>
                <w:sz w:val="16"/>
                <w:szCs w:val="16"/>
              </w:rPr>
            </w:pPr>
            <w:r w:rsidRPr="000D3D0C">
              <w:rPr>
                <w:color w:val="000000"/>
                <w:sz w:val="16"/>
                <w:szCs w:val="16"/>
              </w:rPr>
              <w:t>15 057,0</w:t>
            </w:r>
          </w:p>
        </w:tc>
        <w:tc>
          <w:tcPr>
            <w:tcW w:w="235" w:type="pct"/>
            <w:tcBorders>
              <w:top w:val="single" w:sz="4" w:space="0" w:color="auto"/>
              <w:left w:val="nil"/>
              <w:bottom w:val="single" w:sz="4" w:space="0" w:color="auto"/>
              <w:right w:val="single" w:sz="4" w:space="0" w:color="auto"/>
            </w:tcBorders>
            <w:tcMar>
              <w:left w:w="28" w:type="dxa"/>
              <w:right w:w="28" w:type="dxa"/>
            </w:tcMar>
            <w:vAlign w:val="center"/>
          </w:tcPr>
          <w:p w14:paraId="559A61DB" w14:textId="77777777" w:rsidR="004A0123" w:rsidRPr="000D3D0C" w:rsidRDefault="004A0123" w:rsidP="008A5C11">
            <w:pPr>
              <w:jc w:val="center"/>
              <w:rPr>
                <w:color w:val="000000"/>
                <w:sz w:val="16"/>
                <w:szCs w:val="16"/>
              </w:rPr>
            </w:pPr>
            <w:r w:rsidRPr="000D3D0C">
              <w:rPr>
                <w:color w:val="000000"/>
                <w:sz w:val="16"/>
                <w:szCs w:val="16"/>
              </w:rPr>
              <w:t>15 057,0</w:t>
            </w:r>
          </w:p>
        </w:tc>
        <w:tc>
          <w:tcPr>
            <w:tcW w:w="287" w:type="pct"/>
            <w:tcBorders>
              <w:top w:val="single" w:sz="4" w:space="0" w:color="auto"/>
              <w:left w:val="nil"/>
              <w:bottom w:val="single" w:sz="4" w:space="0" w:color="auto"/>
              <w:right w:val="single" w:sz="4" w:space="0" w:color="auto"/>
            </w:tcBorders>
            <w:tcMar>
              <w:left w:w="28" w:type="dxa"/>
              <w:right w:w="28" w:type="dxa"/>
            </w:tcMar>
            <w:vAlign w:val="center"/>
          </w:tcPr>
          <w:p w14:paraId="1EA8F5D0" w14:textId="77777777" w:rsidR="004A0123" w:rsidRPr="000D3D0C" w:rsidRDefault="004A0123" w:rsidP="008A5C11">
            <w:pPr>
              <w:jc w:val="center"/>
              <w:rPr>
                <w:color w:val="000000"/>
                <w:sz w:val="16"/>
                <w:szCs w:val="16"/>
              </w:rPr>
            </w:pPr>
            <w:r w:rsidRPr="000D3D0C">
              <w:rPr>
                <w:color w:val="000000"/>
                <w:sz w:val="16"/>
                <w:szCs w:val="16"/>
              </w:rPr>
              <w:t>15 057,0</w:t>
            </w:r>
          </w:p>
        </w:tc>
        <w:tc>
          <w:tcPr>
            <w:tcW w:w="288" w:type="pct"/>
            <w:tcBorders>
              <w:top w:val="single" w:sz="4" w:space="0" w:color="auto"/>
              <w:left w:val="nil"/>
              <w:bottom w:val="single" w:sz="4" w:space="0" w:color="auto"/>
              <w:right w:val="single" w:sz="4" w:space="0" w:color="auto"/>
            </w:tcBorders>
            <w:vAlign w:val="center"/>
          </w:tcPr>
          <w:p w14:paraId="52EAEB94" w14:textId="77777777" w:rsidR="004A0123" w:rsidRPr="000D3D0C" w:rsidRDefault="004A0123" w:rsidP="008A5C11">
            <w:pPr>
              <w:jc w:val="center"/>
              <w:rPr>
                <w:color w:val="000000"/>
                <w:sz w:val="16"/>
                <w:szCs w:val="16"/>
              </w:rPr>
            </w:pPr>
            <w:r w:rsidRPr="000D3D0C">
              <w:rPr>
                <w:color w:val="000000"/>
                <w:sz w:val="16"/>
                <w:szCs w:val="16"/>
              </w:rPr>
              <w:t>15 057,0</w:t>
            </w:r>
          </w:p>
        </w:tc>
        <w:tc>
          <w:tcPr>
            <w:tcW w:w="289" w:type="pct"/>
            <w:tcBorders>
              <w:top w:val="single" w:sz="4" w:space="0" w:color="auto"/>
              <w:left w:val="single" w:sz="4" w:space="0" w:color="auto"/>
              <w:bottom w:val="single" w:sz="4" w:space="0" w:color="auto"/>
              <w:right w:val="single" w:sz="4" w:space="0" w:color="auto"/>
            </w:tcBorders>
            <w:vAlign w:val="center"/>
          </w:tcPr>
          <w:p w14:paraId="195C5D64" w14:textId="77777777" w:rsidR="004A0123" w:rsidRPr="000D3D0C" w:rsidRDefault="004A0123" w:rsidP="008A5C11">
            <w:pPr>
              <w:jc w:val="center"/>
              <w:rPr>
                <w:color w:val="000000"/>
                <w:sz w:val="16"/>
                <w:szCs w:val="16"/>
              </w:rPr>
            </w:pPr>
            <w:r w:rsidRPr="000D3D0C">
              <w:rPr>
                <w:color w:val="000000"/>
                <w:sz w:val="16"/>
                <w:szCs w:val="16"/>
              </w:rPr>
              <w:t>15 057,0</w:t>
            </w:r>
          </w:p>
        </w:tc>
        <w:tc>
          <w:tcPr>
            <w:tcW w:w="286" w:type="pct"/>
            <w:tcBorders>
              <w:top w:val="single" w:sz="4" w:space="0" w:color="auto"/>
              <w:left w:val="single" w:sz="4" w:space="0" w:color="auto"/>
              <w:bottom w:val="single" w:sz="4" w:space="0" w:color="auto"/>
              <w:right w:val="single" w:sz="4" w:space="0" w:color="auto"/>
            </w:tcBorders>
            <w:vAlign w:val="center"/>
          </w:tcPr>
          <w:p w14:paraId="077789E4" w14:textId="77777777" w:rsidR="004A0123" w:rsidRPr="000D3D0C" w:rsidRDefault="004A0123" w:rsidP="008A5C11">
            <w:pPr>
              <w:jc w:val="center"/>
              <w:rPr>
                <w:color w:val="000000"/>
                <w:sz w:val="16"/>
                <w:szCs w:val="16"/>
              </w:rPr>
            </w:pPr>
            <w:r w:rsidRPr="000D3D0C">
              <w:rPr>
                <w:color w:val="000000"/>
                <w:sz w:val="16"/>
                <w:szCs w:val="16"/>
              </w:rPr>
              <w:t>15 057,0</w:t>
            </w:r>
          </w:p>
        </w:tc>
        <w:tc>
          <w:tcPr>
            <w:tcW w:w="282" w:type="pct"/>
            <w:tcBorders>
              <w:top w:val="single" w:sz="4" w:space="0" w:color="auto"/>
              <w:left w:val="single" w:sz="4" w:space="0" w:color="auto"/>
              <w:bottom w:val="single" w:sz="4" w:space="0" w:color="auto"/>
              <w:right w:val="single" w:sz="4" w:space="0" w:color="auto"/>
            </w:tcBorders>
            <w:vAlign w:val="center"/>
          </w:tcPr>
          <w:p w14:paraId="0FF1AB06" w14:textId="77777777" w:rsidR="004A0123" w:rsidRPr="000D3D0C" w:rsidRDefault="004A0123" w:rsidP="008A5C11">
            <w:pPr>
              <w:jc w:val="center"/>
              <w:rPr>
                <w:color w:val="000000"/>
                <w:sz w:val="16"/>
                <w:szCs w:val="16"/>
              </w:rPr>
            </w:pPr>
            <w:r w:rsidRPr="000D3D0C">
              <w:rPr>
                <w:color w:val="000000"/>
                <w:sz w:val="16"/>
                <w:szCs w:val="16"/>
              </w:rPr>
              <w:t>15 057,0</w:t>
            </w:r>
          </w:p>
        </w:tc>
        <w:tc>
          <w:tcPr>
            <w:tcW w:w="282" w:type="pct"/>
            <w:tcBorders>
              <w:top w:val="single" w:sz="4" w:space="0" w:color="auto"/>
              <w:left w:val="single" w:sz="4" w:space="0" w:color="auto"/>
              <w:bottom w:val="single" w:sz="4" w:space="0" w:color="auto"/>
              <w:right w:val="single" w:sz="4" w:space="0" w:color="auto"/>
            </w:tcBorders>
            <w:vAlign w:val="center"/>
          </w:tcPr>
          <w:p w14:paraId="453ACBB0" w14:textId="77777777" w:rsidR="004A0123" w:rsidRPr="000D3D0C" w:rsidRDefault="004A0123" w:rsidP="008A5C11">
            <w:pPr>
              <w:jc w:val="center"/>
              <w:rPr>
                <w:color w:val="000000"/>
                <w:sz w:val="16"/>
                <w:szCs w:val="16"/>
              </w:rPr>
            </w:pPr>
            <w:r w:rsidRPr="000D3D0C">
              <w:rPr>
                <w:color w:val="000000"/>
                <w:sz w:val="16"/>
                <w:szCs w:val="16"/>
              </w:rPr>
              <w:t>15 057,0</w:t>
            </w:r>
          </w:p>
        </w:tc>
      </w:tr>
      <w:tr w:rsidR="004A0123" w:rsidRPr="000D3D0C" w14:paraId="5186E2BC" w14:textId="77777777" w:rsidTr="008A5C11">
        <w:trPr>
          <w:trHeight w:val="255"/>
        </w:trPr>
        <w:tc>
          <w:tcPr>
            <w:tcW w:w="182" w:type="pct"/>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278A103" w14:textId="77777777" w:rsidR="004A0123" w:rsidRPr="000D3D0C" w:rsidRDefault="004A0123" w:rsidP="008A5C11">
            <w:pPr>
              <w:jc w:val="center"/>
              <w:rPr>
                <w:sz w:val="16"/>
                <w:szCs w:val="16"/>
              </w:rPr>
            </w:pPr>
            <w:r w:rsidRPr="000D3D0C">
              <w:rPr>
                <w:sz w:val="16"/>
                <w:szCs w:val="16"/>
              </w:rPr>
              <w:t>6.</w:t>
            </w:r>
          </w:p>
        </w:tc>
        <w:tc>
          <w:tcPr>
            <w:tcW w:w="999" w:type="pct"/>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8C5AA75" w14:textId="77777777" w:rsidR="004A0123" w:rsidRPr="000D3D0C" w:rsidRDefault="004A0123" w:rsidP="008A5C11">
            <w:pPr>
              <w:jc w:val="center"/>
              <w:rPr>
                <w:sz w:val="16"/>
                <w:szCs w:val="16"/>
              </w:rPr>
            </w:pPr>
            <w:r w:rsidRPr="000D3D0C">
              <w:rPr>
                <w:sz w:val="16"/>
                <w:szCs w:val="16"/>
              </w:rPr>
              <w:t>Потери теплоносителя при передаче тепловой энергии по тепловым сетям</w:t>
            </w:r>
          </w:p>
        </w:tc>
        <w:tc>
          <w:tcPr>
            <w:tcW w:w="41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2293775" w14:textId="77777777" w:rsidR="004A0123" w:rsidRPr="000D3D0C" w:rsidRDefault="004A0123" w:rsidP="008A5C11">
            <w:pPr>
              <w:jc w:val="center"/>
              <w:rPr>
                <w:sz w:val="16"/>
                <w:szCs w:val="16"/>
              </w:rPr>
            </w:pPr>
            <w:r w:rsidRPr="000D3D0C">
              <w:rPr>
                <w:sz w:val="16"/>
                <w:szCs w:val="16"/>
              </w:rPr>
              <w:t>тонн в год для воды</w:t>
            </w:r>
          </w:p>
        </w:tc>
        <w:tc>
          <w:tcPr>
            <w:tcW w:w="32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2412BAB" w14:textId="77777777" w:rsidR="004A0123" w:rsidRPr="000D3D0C" w:rsidRDefault="004A0123" w:rsidP="008A5C11">
            <w:pPr>
              <w:jc w:val="center"/>
              <w:rPr>
                <w:color w:val="000000"/>
                <w:sz w:val="16"/>
                <w:szCs w:val="16"/>
              </w:rPr>
            </w:pPr>
            <w:r w:rsidRPr="000D3D0C">
              <w:rPr>
                <w:color w:val="000000"/>
                <w:sz w:val="16"/>
                <w:szCs w:val="16"/>
              </w:rPr>
              <w:t>-</w:t>
            </w:r>
          </w:p>
        </w:tc>
        <w:tc>
          <w:tcPr>
            <w:tcW w:w="3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9350064" w14:textId="77777777" w:rsidR="004A0123" w:rsidRPr="000D3D0C" w:rsidRDefault="004A0123" w:rsidP="008A5C11">
            <w:pPr>
              <w:jc w:val="center"/>
              <w:rPr>
                <w:color w:val="000000"/>
                <w:sz w:val="16"/>
                <w:szCs w:val="16"/>
              </w:rPr>
            </w:pPr>
            <w:r w:rsidRPr="000D3D0C">
              <w:rPr>
                <w:color w:val="000000"/>
                <w:sz w:val="16"/>
                <w:szCs w:val="16"/>
              </w:rPr>
              <w:t>35 941,40</w:t>
            </w:r>
          </w:p>
        </w:tc>
        <w:tc>
          <w:tcPr>
            <w:tcW w:w="23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15CA875" w14:textId="77777777" w:rsidR="004A0123" w:rsidRPr="000D3D0C" w:rsidRDefault="004A0123" w:rsidP="008A5C11">
            <w:pPr>
              <w:jc w:val="center"/>
              <w:rPr>
                <w:color w:val="000000"/>
                <w:sz w:val="16"/>
                <w:szCs w:val="16"/>
              </w:rPr>
            </w:pPr>
            <w:r w:rsidRPr="000D3D0C">
              <w:rPr>
                <w:color w:val="000000"/>
                <w:sz w:val="16"/>
                <w:szCs w:val="16"/>
              </w:rPr>
              <w:t>35 941,40</w:t>
            </w:r>
          </w:p>
        </w:tc>
        <w:tc>
          <w:tcPr>
            <w:tcW w:w="28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AB76231" w14:textId="77777777" w:rsidR="004A0123" w:rsidRPr="000D3D0C" w:rsidRDefault="004A0123" w:rsidP="008A5C11">
            <w:pPr>
              <w:jc w:val="center"/>
              <w:rPr>
                <w:color w:val="000000"/>
                <w:sz w:val="16"/>
                <w:szCs w:val="16"/>
              </w:rPr>
            </w:pPr>
            <w:r w:rsidRPr="000D3D0C">
              <w:rPr>
                <w:color w:val="000000"/>
                <w:sz w:val="16"/>
                <w:szCs w:val="16"/>
              </w:rPr>
              <w:t>35 941,40</w:t>
            </w:r>
          </w:p>
        </w:tc>
        <w:tc>
          <w:tcPr>
            <w:tcW w:w="23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83EE9AF" w14:textId="77777777" w:rsidR="004A0123" w:rsidRPr="000D3D0C" w:rsidRDefault="004A0123" w:rsidP="008A5C11">
            <w:pPr>
              <w:jc w:val="center"/>
              <w:rPr>
                <w:color w:val="000000"/>
                <w:sz w:val="16"/>
                <w:szCs w:val="16"/>
              </w:rPr>
            </w:pPr>
            <w:r w:rsidRPr="000D3D0C">
              <w:rPr>
                <w:color w:val="000000"/>
                <w:sz w:val="16"/>
                <w:szCs w:val="16"/>
              </w:rPr>
              <w:t>35 941,40</w:t>
            </w:r>
          </w:p>
        </w:tc>
        <w:tc>
          <w:tcPr>
            <w:tcW w:w="235" w:type="pct"/>
            <w:tcBorders>
              <w:top w:val="single" w:sz="4" w:space="0" w:color="auto"/>
              <w:left w:val="nil"/>
              <w:bottom w:val="single" w:sz="4" w:space="0" w:color="auto"/>
              <w:right w:val="single" w:sz="4" w:space="0" w:color="auto"/>
            </w:tcBorders>
            <w:tcMar>
              <w:left w:w="28" w:type="dxa"/>
              <w:right w:w="28" w:type="dxa"/>
            </w:tcMar>
            <w:vAlign w:val="center"/>
          </w:tcPr>
          <w:p w14:paraId="5097D064" w14:textId="77777777" w:rsidR="004A0123" w:rsidRPr="000D3D0C" w:rsidRDefault="004A0123" w:rsidP="008A5C11">
            <w:pPr>
              <w:jc w:val="center"/>
              <w:rPr>
                <w:color w:val="000000"/>
                <w:sz w:val="16"/>
                <w:szCs w:val="16"/>
              </w:rPr>
            </w:pPr>
            <w:r w:rsidRPr="000D3D0C">
              <w:rPr>
                <w:color w:val="000000"/>
                <w:sz w:val="16"/>
                <w:szCs w:val="16"/>
              </w:rPr>
              <w:t>35 941,40</w:t>
            </w:r>
          </w:p>
        </w:tc>
        <w:tc>
          <w:tcPr>
            <w:tcW w:w="287" w:type="pct"/>
            <w:tcBorders>
              <w:top w:val="single" w:sz="4" w:space="0" w:color="auto"/>
              <w:left w:val="nil"/>
              <w:bottom w:val="single" w:sz="4" w:space="0" w:color="auto"/>
              <w:right w:val="single" w:sz="4" w:space="0" w:color="auto"/>
            </w:tcBorders>
            <w:tcMar>
              <w:left w:w="28" w:type="dxa"/>
              <w:right w:w="28" w:type="dxa"/>
            </w:tcMar>
            <w:vAlign w:val="center"/>
          </w:tcPr>
          <w:p w14:paraId="6B2262CB" w14:textId="77777777" w:rsidR="004A0123" w:rsidRPr="000D3D0C" w:rsidRDefault="004A0123" w:rsidP="008A5C11">
            <w:pPr>
              <w:jc w:val="center"/>
              <w:rPr>
                <w:color w:val="000000"/>
                <w:sz w:val="16"/>
                <w:szCs w:val="16"/>
              </w:rPr>
            </w:pPr>
            <w:r w:rsidRPr="000D3D0C">
              <w:rPr>
                <w:color w:val="000000"/>
                <w:sz w:val="16"/>
                <w:szCs w:val="16"/>
              </w:rPr>
              <w:t>35 941,40</w:t>
            </w:r>
          </w:p>
        </w:tc>
        <w:tc>
          <w:tcPr>
            <w:tcW w:w="288" w:type="pct"/>
            <w:tcBorders>
              <w:top w:val="single" w:sz="4" w:space="0" w:color="auto"/>
              <w:left w:val="nil"/>
              <w:bottom w:val="single" w:sz="4" w:space="0" w:color="auto"/>
              <w:right w:val="single" w:sz="4" w:space="0" w:color="auto"/>
            </w:tcBorders>
            <w:vAlign w:val="center"/>
          </w:tcPr>
          <w:p w14:paraId="2134F71D" w14:textId="77777777" w:rsidR="004A0123" w:rsidRPr="000D3D0C" w:rsidRDefault="004A0123" w:rsidP="008A5C11">
            <w:pPr>
              <w:jc w:val="center"/>
              <w:rPr>
                <w:color w:val="000000"/>
                <w:sz w:val="16"/>
                <w:szCs w:val="16"/>
              </w:rPr>
            </w:pPr>
            <w:r w:rsidRPr="000D3D0C">
              <w:rPr>
                <w:color w:val="000000"/>
                <w:sz w:val="16"/>
                <w:szCs w:val="16"/>
              </w:rPr>
              <w:t>35 941,40</w:t>
            </w:r>
          </w:p>
        </w:tc>
        <w:tc>
          <w:tcPr>
            <w:tcW w:w="289" w:type="pct"/>
            <w:tcBorders>
              <w:top w:val="single" w:sz="4" w:space="0" w:color="auto"/>
              <w:left w:val="single" w:sz="4" w:space="0" w:color="auto"/>
              <w:bottom w:val="single" w:sz="4" w:space="0" w:color="auto"/>
              <w:right w:val="single" w:sz="4" w:space="0" w:color="auto"/>
            </w:tcBorders>
            <w:vAlign w:val="center"/>
          </w:tcPr>
          <w:p w14:paraId="07F8E6A2" w14:textId="77777777" w:rsidR="004A0123" w:rsidRPr="000D3D0C" w:rsidRDefault="004A0123" w:rsidP="008A5C11">
            <w:pPr>
              <w:jc w:val="center"/>
              <w:rPr>
                <w:color w:val="000000"/>
                <w:sz w:val="16"/>
                <w:szCs w:val="16"/>
              </w:rPr>
            </w:pPr>
            <w:r w:rsidRPr="000D3D0C">
              <w:rPr>
                <w:color w:val="000000"/>
                <w:sz w:val="16"/>
                <w:szCs w:val="16"/>
              </w:rPr>
              <w:t>35 941,40</w:t>
            </w:r>
          </w:p>
        </w:tc>
        <w:tc>
          <w:tcPr>
            <w:tcW w:w="286" w:type="pct"/>
            <w:tcBorders>
              <w:top w:val="single" w:sz="4" w:space="0" w:color="auto"/>
              <w:left w:val="single" w:sz="4" w:space="0" w:color="auto"/>
              <w:bottom w:val="single" w:sz="4" w:space="0" w:color="auto"/>
              <w:right w:val="single" w:sz="4" w:space="0" w:color="auto"/>
            </w:tcBorders>
            <w:vAlign w:val="center"/>
          </w:tcPr>
          <w:p w14:paraId="72B4992F" w14:textId="77777777" w:rsidR="004A0123" w:rsidRPr="000D3D0C" w:rsidRDefault="004A0123" w:rsidP="008A5C11">
            <w:pPr>
              <w:ind w:left="-108" w:right="-104"/>
              <w:jc w:val="center"/>
              <w:rPr>
                <w:color w:val="000000"/>
                <w:sz w:val="16"/>
                <w:szCs w:val="16"/>
              </w:rPr>
            </w:pPr>
            <w:r w:rsidRPr="000D3D0C">
              <w:rPr>
                <w:color w:val="000000"/>
                <w:sz w:val="16"/>
                <w:szCs w:val="16"/>
              </w:rPr>
              <w:t>35 941,40</w:t>
            </w:r>
          </w:p>
        </w:tc>
        <w:tc>
          <w:tcPr>
            <w:tcW w:w="282" w:type="pct"/>
            <w:tcBorders>
              <w:top w:val="single" w:sz="4" w:space="0" w:color="auto"/>
              <w:left w:val="single" w:sz="4" w:space="0" w:color="auto"/>
              <w:bottom w:val="single" w:sz="4" w:space="0" w:color="auto"/>
              <w:right w:val="single" w:sz="4" w:space="0" w:color="auto"/>
            </w:tcBorders>
            <w:vAlign w:val="center"/>
          </w:tcPr>
          <w:p w14:paraId="15659318" w14:textId="77777777" w:rsidR="004A0123" w:rsidRPr="000D3D0C" w:rsidRDefault="004A0123" w:rsidP="008A5C11">
            <w:pPr>
              <w:ind w:left="-112" w:right="-113"/>
              <w:jc w:val="center"/>
              <w:rPr>
                <w:color w:val="000000"/>
                <w:sz w:val="16"/>
                <w:szCs w:val="16"/>
              </w:rPr>
            </w:pPr>
            <w:r w:rsidRPr="000D3D0C">
              <w:rPr>
                <w:color w:val="000000"/>
                <w:sz w:val="16"/>
                <w:szCs w:val="16"/>
              </w:rPr>
              <w:t>35 941,40</w:t>
            </w:r>
          </w:p>
        </w:tc>
        <w:tc>
          <w:tcPr>
            <w:tcW w:w="282" w:type="pct"/>
            <w:tcBorders>
              <w:top w:val="single" w:sz="4" w:space="0" w:color="auto"/>
              <w:left w:val="single" w:sz="4" w:space="0" w:color="auto"/>
              <w:bottom w:val="single" w:sz="4" w:space="0" w:color="auto"/>
              <w:right w:val="single" w:sz="4" w:space="0" w:color="auto"/>
            </w:tcBorders>
            <w:vAlign w:val="center"/>
          </w:tcPr>
          <w:p w14:paraId="74C8AC4C" w14:textId="77777777" w:rsidR="004A0123" w:rsidRPr="000D3D0C" w:rsidRDefault="004A0123" w:rsidP="008A5C11">
            <w:pPr>
              <w:ind w:left="-103" w:right="-121"/>
              <w:jc w:val="center"/>
              <w:rPr>
                <w:color w:val="000000"/>
                <w:sz w:val="16"/>
                <w:szCs w:val="16"/>
              </w:rPr>
            </w:pPr>
            <w:r w:rsidRPr="000D3D0C">
              <w:rPr>
                <w:color w:val="000000"/>
                <w:sz w:val="16"/>
                <w:szCs w:val="16"/>
              </w:rPr>
              <w:t>35 941,40</w:t>
            </w:r>
          </w:p>
        </w:tc>
      </w:tr>
      <w:tr w:rsidR="004A0123" w:rsidRPr="000D3D0C" w14:paraId="0E3F66A1" w14:textId="77777777" w:rsidTr="008A5C11">
        <w:trPr>
          <w:trHeight w:val="255"/>
        </w:trPr>
        <w:tc>
          <w:tcPr>
            <w:tcW w:w="182"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3EB51B57" w14:textId="77777777" w:rsidR="004A0123" w:rsidRPr="000D3D0C" w:rsidRDefault="004A0123" w:rsidP="008A5C11">
            <w:pPr>
              <w:jc w:val="center"/>
              <w:rPr>
                <w:sz w:val="16"/>
                <w:szCs w:val="16"/>
              </w:rPr>
            </w:pPr>
          </w:p>
        </w:tc>
        <w:tc>
          <w:tcPr>
            <w:tcW w:w="999"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44E6B8AA" w14:textId="77777777" w:rsidR="004A0123" w:rsidRPr="000D3D0C" w:rsidRDefault="004A0123" w:rsidP="008A5C11">
            <w:pPr>
              <w:jc w:val="center"/>
              <w:rPr>
                <w:sz w:val="16"/>
                <w:szCs w:val="16"/>
              </w:rPr>
            </w:pPr>
          </w:p>
        </w:tc>
        <w:tc>
          <w:tcPr>
            <w:tcW w:w="41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247265A" w14:textId="77777777" w:rsidR="004A0123" w:rsidRPr="000D3D0C" w:rsidRDefault="004A0123" w:rsidP="008A5C11">
            <w:pPr>
              <w:jc w:val="center"/>
              <w:rPr>
                <w:sz w:val="16"/>
                <w:szCs w:val="16"/>
              </w:rPr>
            </w:pPr>
            <w:r w:rsidRPr="000D3D0C">
              <w:rPr>
                <w:sz w:val="16"/>
                <w:szCs w:val="16"/>
              </w:rPr>
              <w:t>м</w:t>
            </w:r>
            <w:r w:rsidRPr="000D3D0C">
              <w:rPr>
                <w:sz w:val="16"/>
                <w:szCs w:val="16"/>
                <w:vertAlign w:val="superscript"/>
              </w:rPr>
              <w:t>3</w:t>
            </w:r>
            <w:r w:rsidRPr="000D3D0C">
              <w:rPr>
                <w:sz w:val="16"/>
                <w:szCs w:val="16"/>
              </w:rPr>
              <w:t xml:space="preserve"> для пара</w:t>
            </w:r>
          </w:p>
        </w:tc>
        <w:tc>
          <w:tcPr>
            <w:tcW w:w="321" w:type="pct"/>
            <w:tcBorders>
              <w:top w:val="nil"/>
              <w:left w:val="nil"/>
              <w:bottom w:val="single" w:sz="4" w:space="0" w:color="auto"/>
              <w:right w:val="single" w:sz="4" w:space="0" w:color="auto"/>
            </w:tcBorders>
            <w:shd w:val="clear" w:color="auto" w:fill="auto"/>
            <w:tcMar>
              <w:left w:w="28" w:type="dxa"/>
              <w:right w:w="28" w:type="dxa"/>
            </w:tcMar>
            <w:vAlign w:val="center"/>
          </w:tcPr>
          <w:p w14:paraId="5E97274E" w14:textId="77777777" w:rsidR="004A0123" w:rsidRPr="000D3D0C" w:rsidRDefault="004A0123" w:rsidP="008A5C11">
            <w:pPr>
              <w:jc w:val="center"/>
              <w:rPr>
                <w:sz w:val="16"/>
                <w:szCs w:val="16"/>
              </w:rPr>
            </w:pPr>
            <w:r w:rsidRPr="000D3D0C">
              <w:rPr>
                <w:sz w:val="16"/>
                <w:szCs w:val="16"/>
              </w:rPr>
              <w:t>-</w:t>
            </w:r>
          </w:p>
        </w:tc>
        <w:tc>
          <w:tcPr>
            <w:tcW w:w="377"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7CBC8A7" w14:textId="77777777" w:rsidR="004A0123" w:rsidRPr="000D3D0C" w:rsidRDefault="004A0123" w:rsidP="008A5C11">
            <w:pPr>
              <w:jc w:val="center"/>
              <w:rPr>
                <w:sz w:val="16"/>
                <w:szCs w:val="16"/>
              </w:rPr>
            </w:pPr>
            <w:r w:rsidRPr="000D3D0C">
              <w:rPr>
                <w:sz w:val="16"/>
                <w:szCs w:val="16"/>
              </w:rPr>
              <w:t>-</w:t>
            </w:r>
          </w:p>
        </w:tc>
        <w:tc>
          <w:tcPr>
            <w:tcW w:w="237" w:type="pct"/>
            <w:tcBorders>
              <w:top w:val="nil"/>
              <w:left w:val="nil"/>
              <w:bottom w:val="single" w:sz="4" w:space="0" w:color="auto"/>
              <w:right w:val="single" w:sz="4" w:space="0" w:color="auto"/>
            </w:tcBorders>
            <w:shd w:val="clear" w:color="auto" w:fill="auto"/>
            <w:tcMar>
              <w:left w:w="28" w:type="dxa"/>
              <w:right w:w="28" w:type="dxa"/>
            </w:tcMar>
            <w:vAlign w:val="center"/>
          </w:tcPr>
          <w:p w14:paraId="0FDDAF66" w14:textId="77777777" w:rsidR="004A0123" w:rsidRPr="000D3D0C" w:rsidRDefault="004A0123" w:rsidP="008A5C11">
            <w:pPr>
              <w:jc w:val="center"/>
              <w:rPr>
                <w:sz w:val="16"/>
                <w:szCs w:val="16"/>
              </w:rPr>
            </w:pPr>
            <w:r w:rsidRPr="000D3D0C">
              <w:rPr>
                <w:sz w:val="16"/>
                <w:szCs w:val="16"/>
              </w:rPr>
              <w:t>-</w:t>
            </w:r>
          </w:p>
        </w:tc>
        <w:tc>
          <w:tcPr>
            <w:tcW w:w="283" w:type="pct"/>
            <w:tcBorders>
              <w:top w:val="nil"/>
              <w:left w:val="nil"/>
              <w:bottom w:val="single" w:sz="4" w:space="0" w:color="auto"/>
              <w:right w:val="single" w:sz="4" w:space="0" w:color="auto"/>
            </w:tcBorders>
            <w:shd w:val="clear" w:color="auto" w:fill="auto"/>
            <w:tcMar>
              <w:left w:w="28" w:type="dxa"/>
              <w:right w:w="28" w:type="dxa"/>
            </w:tcMar>
            <w:vAlign w:val="center"/>
          </w:tcPr>
          <w:p w14:paraId="469E91C7" w14:textId="77777777" w:rsidR="004A0123" w:rsidRPr="000D3D0C" w:rsidRDefault="004A0123" w:rsidP="008A5C11">
            <w:pPr>
              <w:jc w:val="center"/>
              <w:rPr>
                <w:sz w:val="16"/>
                <w:szCs w:val="16"/>
              </w:rPr>
            </w:pPr>
            <w:r w:rsidRPr="000D3D0C">
              <w:rPr>
                <w:sz w:val="16"/>
                <w:szCs w:val="16"/>
              </w:rPr>
              <w:t>-</w:t>
            </w:r>
          </w:p>
        </w:tc>
        <w:tc>
          <w:tcPr>
            <w:tcW w:w="236" w:type="pct"/>
            <w:tcBorders>
              <w:top w:val="nil"/>
              <w:left w:val="nil"/>
              <w:bottom w:val="single" w:sz="4" w:space="0" w:color="auto"/>
              <w:right w:val="single" w:sz="4" w:space="0" w:color="auto"/>
            </w:tcBorders>
            <w:shd w:val="clear" w:color="auto" w:fill="auto"/>
            <w:tcMar>
              <w:left w:w="28" w:type="dxa"/>
              <w:right w:w="28" w:type="dxa"/>
            </w:tcMar>
            <w:vAlign w:val="center"/>
          </w:tcPr>
          <w:p w14:paraId="4C4B6233" w14:textId="77777777" w:rsidR="004A0123" w:rsidRPr="000D3D0C" w:rsidRDefault="004A0123" w:rsidP="008A5C11">
            <w:pPr>
              <w:jc w:val="center"/>
              <w:rPr>
                <w:sz w:val="16"/>
                <w:szCs w:val="16"/>
              </w:rPr>
            </w:pPr>
            <w:r w:rsidRPr="000D3D0C">
              <w:rPr>
                <w:sz w:val="16"/>
                <w:szCs w:val="16"/>
              </w:rPr>
              <w:t>-</w:t>
            </w:r>
          </w:p>
        </w:tc>
        <w:tc>
          <w:tcPr>
            <w:tcW w:w="235" w:type="pct"/>
            <w:tcBorders>
              <w:top w:val="nil"/>
              <w:left w:val="nil"/>
              <w:bottom w:val="single" w:sz="4" w:space="0" w:color="auto"/>
              <w:right w:val="single" w:sz="4" w:space="0" w:color="auto"/>
            </w:tcBorders>
            <w:tcMar>
              <w:left w:w="28" w:type="dxa"/>
              <w:right w:w="28" w:type="dxa"/>
            </w:tcMar>
            <w:vAlign w:val="center"/>
          </w:tcPr>
          <w:p w14:paraId="03030F61" w14:textId="77777777" w:rsidR="004A0123" w:rsidRPr="000D3D0C" w:rsidRDefault="004A0123" w:rsidP="008A5C11">
            <w:pPr>
              <w:jc w:val="center"/>
              <w:rPr>
                <w:sz w:val="16"/>
                <w:szCs w:val="16"/>
              </w:rPr>
            </w:pPr>
            <w:r w:rsidRPr="000D3D0C">
              <w:rPr>
                <w:sz w:val="16"/>
                <w:szCs w:val="16"/>
              </w:rPr>
              <w:t>-</w:t>
            </w:r>
          </w:p>
        </w:tc>
        <w:tc>
          <w:tcPr>
            <w:tcW w:w="287" w:type="pct"/>
            <w:tcBorders>
              <w:top w:val="nil"/>
              <w:left w:val="nil"/>
              <w:bottom w:val="single" w:sz="4" w:space="0" w:color="auto"/>
              <w:right w:val="single" w:sz="4" w:space="0" w:color="auto"/>
            </w:tcBorders>
            <w:tcMar>
              <w:left w:w="28" w:type="dxa"/>
              <w:right w:w="28" w:type="dxa"/>
            </w:tcMar>
            <w:vAlign w:val="center"/>
          </w:tcPr>
          <w:p w14:paraId="2771AF57" w14:textId="77777777" w:rsidR="004A0123" w:rsidRPr="000D3D0C" w:rsidRDefault="004A0123" w:rsidP="008A5C11">
            <w:pPr>
              <w:jc w:val="center"/>
              <w:rPr>
                <w:sz w:val="16"/>
                <w:szCs w:val="16"/>
              </w:rPr>
            </w:pPr>
            <w:r w:rsidRPr="000D3D0C">
              <w:rPr>
                <w:sz w:val="16"/>
                <w:szCs w:val="16"/>
              </w:rPr>
              <w:t>-</w:t>
            </w:r>
          </w:p>
        </w:tc>
        <w:tc>
          <w:tcPr>
            <w:tcW w:w="288" w:type="pct"/>
            <w:tcBorders>
              <w:top w:val="single" w:sz="4" w:space="0" w:color="auto"/>
              <w:left w:val="nil"/>
              <w:bottom w:val="single" w:sz="4" w:space="0" w:color="auto"/>
              <w:right w:val="single" w:sz="4" w:space="0" w:color="auto"/>
            </w:tcBorders>
            <w:vAlign w:val="center"/>
          </w:tcPr>
          <w:p w14:paraId="4F6071CD" w14:textId="77777777" w:rsidR="004A0123" w:rsidRPr="000D3D0C" w:rsidRDefault="004A0123" w:rsidP="008A5C11">
            <w:pPr>
              <w:jc w:val="center"/>
              <w:rPr>
                <w:sz w:val="16"/>
                <w:szCs w:val="16"/>
              </w:rPr>
            </w:pPr>
            <w:r w:rsidRPr="000D3D0C">
              <w:rPr>
                <w:sz w:val="16"/>
                <w:szCs w:val="16"/>
              </w:rPr>
              <w:t>-</w:t>
            </w:r>
          </w:p>
        </w:tc>
        <w:tc>
          <w:tcPr>
            <w:tcW w:w="289" w:type="pct"/>
            <w:tcBorders>
              <w:top w:val="single" w:sz="4" w:space="0" w:color="auto"/>
              <w:left w:val="single" w:sz="4" w:space="0" w:color="auto"/>
              <w:bottom w:val="single" w:sz="4" w:space="0" w:color="auto"/>
              <w:right w:val="single" w:sz="4" w:space="0" w:color="auto"/>
            </w:tcBorders>
            <w:vAlign w:val="center"/>
          </w:tcPr>
          <w:p w14:paraId="41FAA41B" w14:textId="77777777" w:rsidR="004A0123" w:rsidRPr="000D3D0C" w:rsidRDefault="004A0123" w:rsidP="008A5C11">
            <w:pPr>
              <w:jc w:val="center"/>
              <w:rPr>
                <w:sz w:val="16"/>
                <w:szCs w:val="16"/>
              </w:rPr>
            </w:pPr>
            <w:r w:rsidRPr="000D3D0C">
              <w:rPr>
                <w:sz w:val="16"/>
                <w:szCs w:val="16"/>
              </w:rPr>
              <w:t>-</w:t>
            </w:r>
          </w:p>
        </w:tc>
        <w:tc>
          <w:tcPr>
            <w:tcW w:w="286" w:type="pct"/>
            <w:tcBorders>
              <w:top w:val="single" w:sz="4" w:space="0" w:color="auto"/>
              <w:left w:val="single" w:sz="4" w:space="0" w:color="auto"/>
              <w:bottom w:val="single" w:sz="4" w:space="0" w:color="auto"/>
              <w:right w:val="single" w:sz="4" w:space="0" w:color="auto"/>
            </w:tcBorders>
            <w:vAlign w:val="center"/>
          </w:tcPr>
          <w:p w14:paraId="47768975" w14:textId="77777777" w:rsidR="004A0123" w:rsidRPr="000D3D0C" w:rsidRDefault="004A0123" w:rsidP="008A5C11">
            <w:pPr>
              <w:jc w:val="center"/>
              <w:rPr>
                <w:sz w:val="16"/>
                <w:szCs w:val="16"/>
              </w:rPr>
            </w:pPr>
            <w:r w:rsidRPr="000D3D0C">
              <w:rPr>
                <w:sz w:val="16"/>
                <w:szCs w:val="16"/>
              </w:rPr>
              <w:t>-</w:t>
            </w:r>
          </w:p>
        </w:tc>
        <w:tc>
          <w:tcPr>
            <w:tcW w:w="282" w:type="pct"/>
            <w:tcBorders>
              <w:top w:val="single" w:sz="4" w:space="0" w:color="auto"/>
              <w:left w:val="single" w:sz="4" w:space="0" w:color="auto"/>
              <w:bottom w:val="single" w:sz="4" w:space="0" w:color="auto"/>
              <w:right w:val="single" w:sz="4" w:space="0" w:color="auto"/>
            </w:tcBorders>
            <w:vAlign w:val="center"/>
          </w:tcPr>
          <w:p w14:paraId="29842BB1" w14:textId="77777777" w:rsidR="004A0123" w:rsidRPr="000D3D0C" w:rsidRDefault="004A0123" w:rsidP="008A5C11">
            <w:pPr>
              <w:jc w:val="center"/>
              <w:rPr>
                <w:sz w:val="16"/>
                <w:szCs w:val="16"/>
              </w:rPr>
            </w:pPr>
            <w:r w:rsidRPr="000D3D0C">
              <w:rPr>
                <w:sz w:val="16"/>
                <w:szCs w:val="16"/>
              </w:rPr>
              <w:t>-</w:t>
            </w:r>
          </w:p>
        </w:tc>
        <w:tc>
          <w:tcPr>
            <w:tcW w:w="282" w:type="pct"/>
            <w:tcBorders>
              <w:top w:val="single" w:sz="4" w:space="0" w:color="auto"/>
              <w:left w:val="single" w:sz="4" w:space="0" w:color="auto"/>
              <w:bottom w:val="single" w:sz="4" w:space="0" w:color="auto"/>
              <w:right w:val="single" w:sz="4" w:space="0" w:color="auto"/>
            </w:tcBorders>
            <w:vAlign w:val="center"/>
          </w:tcPr>
          <w:p w14:paraId="4E8CE524" w14:textId="77777777" w:rsidR="004A0123" w:rsidRPr="000D3D0C" w:rsidRDefault="004A0123" w:rsidP="008A5C11">
            <w:pPr>
              <w:jc w:val="center"/>
              <w:rPr>
                <w:sz w:val="16"/>
                <w:szCs w:val="16"/>
              </w:rPr>
            </w:pPr>
            <w:r w:rsidRPr="000D3D0C">
              <w:rPr>
                <w:sz w:val="16"/>
                <w:szCs w:val="16"/>
              </w:rPr>
              <w:t>-</w:t>
            </w:r>
          </w:p>
        </w:tc>
      </w:tr>
      <w:tr w:rsidR="004A0123" w:rsidRPr="000D3D0C" w14:paraId="50070206" w14:textId="77777777" w:rsidTr="008A5C11">
        <w:trPr>
          <w:trHeight w:val="1020"/>
        </w:trPr>
        <w:tc>
          <w:tcPr>
            <w:tcW w:w="18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150EC15" w14:textId="77777777" w:rsidR="004A0123" w:rsidRPr="000D3D0C" w:rsidRDefault="004A0123" w:rsidP="008A5C11">
            <w:pPr>
              <w:jc w:val="center"/>
              <w:rPr>
                <w:sz w:val="16"/>
                <w:szCs w:val="16"/>
              </w:rPr>
            </w:pPr>
            <w:r w:rsidRPr="000D3D0C">
              <w:rPr>
                <w:sz w:val="16"/>
                <w:szCs w:val="16"/>
              </w:rPr>
              <w:t>7.</w:t>
            </w:r>
          </w:p>
        </w:tc>
        <w:tc>
          <w:tcPr>
            <w:tcW w:w="99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87DA0F2" w14:textId="77777777" w:rsidR="004A0123" w:rsidRPr="000D3D0C" w:rsidRDefault="004A0123" w:rsidP="008A5C11">
            <w:pPr>
              <w:jc w:val="center"/>
              <w:rPr>
                <w:sz w:val="16"/>
                <w:szCs w:val="16"/>
              </w:rPr>
            </w:pPr>
            <w:r w:rsidRPr="000D3D0C">
              <w:rPr>
                <w:sz w:val="16"/>
                <w:szCs w:val="16"/>
              </w:rPr>
              <w:t>Показатели, характеризующие снижение негативного воздействия на окружающую среду, определяемые в соответствии с законодательством РФ об охране окружающей среды</w:t>
            </w:r>
          </w:p>
        </w:tc>
        <w:tc>
          <w:tcPr>
            <w:tcW w:w="41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6942A0C" w14:textId="77777777" w:rsidR="004A0123" w:rsidRPr="000D3D0C" w:rsidRDefault="004A0123" w:rsidP="008A5C11">
            <w:pPr>
              <w:jc w:val="center"/>
              <w:rPr>
                <w:sz w:val="16"/>
                <w:szCs w:val="16"/>
              </w:rPr>
            </w:pPr>
            <w:r w:rsidRPr="000D3D0C">
              <w:rPr>
                <w:sz w:val="16"/>
                <w:szCs w:val="16"/>
              </w:rPr>
              <w:t>Эффективность очистки, %</w:t>
            </w:r>
          </w:p>
        </w:tc>
        <w:tc>
          <w:tcPr>
            <w:tcW w:w="321" w:type="pct"/>
            <w:tcBorders>
              <w:top w:val="nil"/>
              <w:left w:val="nil"/>
              <w:bottom w:val="single" w:sz="4" w:space="0" w:color="auto"/>
              <w:right w:val="single" w:sz="4" w:space="0" w:color="auto"/>
            </w:tcBorders>
            <w:shd w:val="clear" w:color="auto" w:fill="auto"/>
            <w:tcMar>
              <w:left w:w="28" w:type="dxa"/>
              <w:right w:w="28" w:type="dxa"/>
            </w:tcMar>
            <w:vAlign w:val="center"/>
          </w:tcPr>
          <w:p w14:paraId="0D1DE8CD" w14:textId="77777777" w:rsidR="004A0123" w:rsidRPr="000D3D0C" w:rsidRDefault="004A0123" w:rsidP="008A5C11">
            <w:pPr>
              <w:jc w:val="center"/>
              <w:rPr>
                <w:sz w:val="16"/>
                <w:szCs w:val="16"/>
              </w:rPr>
            </w:pPr>
            <w:r w:rsidRPr="000D3D0C">
              <w:rPr>
                <w:sz w:val="16"/>
                <w:szCs w:val="16"/>
              </w:rPr>
              <w:t>-</w:t>
            </w:r>
          </w:p>
        </w:tc>
        <w:tc>
          <w:tcPr>
            <w:tcW w:w="377"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F78BD2A" w14:textId="77777777" w:rsidR="004A0123" w:rsidRPr="000D3D0C" w:rsidRDefault="004A0123" w:rsidP="008A5C11">
            <w:pPr>
              <w:jc w:val="center"/>
              <w:rPr>
                <w:sz w:val="16"/>
                <w:szCs w:val="16"/>
              </w:rPr>
            </w:pPr>
            <w:r w:rsidRPr="000D3D0C">
              <w:rPr>
                <w:sz w:val="16"/>
                <w:szCs w:val="16"/>
              </w:rPr>
              <w:t>-</w:t>
            </w:r>
          </w:p>
        </w:tc>
        <w:tc>
          <w:tcPr>
            <w:tcW w:w="237" w:type="pct"/>
            <w:tcBorders>
              <w:top w:val="nil"/>
              <w:left w:val="nil"/>
              <w:bottom w:val="single" w:sz="4" w:space="0" w:color="auto"/>
              <w:right w:val="single" w:sz="4" w:space="0" w:color="auto"/>
            </w:tcBorders>
            <w:shd w:val="clear" w:color="auto" w:fill="auto"/>
            <w:tcMar>
              <w:left w:w="28" w:type="dxa"/>
              <w:right w:w="28" w:type="dxa"/>
            </w:tcMar>
            <w:vAlign w:val="center"/>
          </w:tcPr>
          <w:p w14:paraId="65FDD30A" w14:textId="77777777" w:rsidR="004A0123" w:rsidRPr="000D3D0C" w:rsidRDefault="004A0123" w:rsidP="008A5C11">
            <w:pPr>
              <w:jc w:val="center"/>
              <w:rPr>
                <w:sz w:val="16"/>
                <w:szCs w:val="16"/>
              </w:rPr>
            </w:pPr>
            <w:r w:rsidRPr="000D3D0C">
              <w:rPr>
                <w:sz w:val="16"/>
                <w:szCs w:val="16"/>
              </w:rPr>
              <w:t>-</w:t>
            </w:r>
          </w:p>
        </w:tc>
        <w:tc>
          <w:tcPr>
            <w:tcW w:w="283" w:type="pct"/>
            <w:tcBorders>
              <w:top w:val="nil"/>
              <w:left w:val="nil"/>
              <w:bottom w:val="single" w:sz="4" w:space="0" w:color="auto"/>
              <w:right w:val="single" w:sz="4" w:space="0" w:color="auto"/>
            </w:tcBorders>
            <w:shd w:val="clear" w:color="auto" w:fill="auto"/>
            <w:tcMar>
              <w:left w:w="28" w:type="dxa"/>
              <w:right w:w="28" w:type="dxa"/>
            </w:tcMar>
            <w:vAlign w:val="center"/>
          </w:tcPr>
          <w:p w14:paraId="55961E38" w14:textId="77777777" w:rsidR="004A0123" w:rsidRPr="000D3D0C" w:rsidRDefault="004A0123" w:rsidP="008A5C11">
            <w:pPr>
              <w:jc w:val="center"/>
              <w:rPr>
                <w:sz w:val="16"/>
                <w:szCs w:val="16"/>
              </w:rPr>
            </w:pPr>
            <w:r w:rsidRPr="000D3D0C">
              <w:rPr>
                <w:sz w:val="16"/>
                <w:szCs w:val="16"/>
              </w:rPr>
              <w:t>-</w:t>
            </w:r>
          </w:p>
        </w:tc>
        <w:tc>
          <w:tcPr>
            <w:tcW w:w="236" w:type="pct"/>
            <w:tcBorders>
              <w:top w:val="nil"/>
              <w:left w:val="nil"/>
              <w:bottom w:val="single" w:sz="4" w:space="0" w:color="auto"/>
              <w:right w:val="single" w:sz="4" w:space="0" w:color="auto"/>
            </w:tcBorders>
            <w:shd w:val="clear" w:color="auto" w:fill="auto"/>
            <w:tcMar>
              <w:left w:w="28" w:type="dxa"/>
              <w:right w:w="28" w:type="dxa"/>
            </w:tcMar>
            <w:vAlign w:val="center"/>
          </w:tcPr>
          <w:p w14:paraId="7B122049" w14:textId="77777777" w:rsidR="004A0123" w:rsidRPr="000D3D0C" w:rsidRDefault="004A0123" w:rsidP="008A5C11">
            <w:pPr>
              <w:jc w:val="center"/>
              <w:rPr>
                <w:sz w:val="16"/>
                <w:szCs w:val="16"/>
              </w:rPr>
            </w:pPr>
            <w:r w:rsidRPr="000D3D0C">
              <w:rPr>
                <w:sz w:val="16"/>
                <w:szCs w:val="16"/>
              </w:rPr>
              <w:t>-</w:t>
            </w:r>
          </w:p>
        </w:tc>
        <w:tc>
          <w:tcPr>
            <w:tcW w:w="235" w:type="pct"/>
            <w:tcBorders>
              <w:top w:val="nil"/>
              <w:left w:val="nil"/>
              <w:bottom w:val="single" w:sz="4" w:space="0" w:color="auto"/>
              <w:right w:val="single" w:sz="4" w:space="0" w:color="auto"/>
            </w:tcBorders>
            <w:tcMar>
              <w:left w:w="28" w:type="dxa"/>
              <w:right w:w="28" w:type="dxa"/>
            </w:tcMar>
            <w:vAlign w:val="center"/>
          </w:tcPr>
          <w:p w14:paraId="016D777A" w14:textId="77777777" w:rsidR="004A0123" w:rsidRPr="000D3D0C" w:rsidRDefault="004A0123" w:rsidP="008A5C11">
            <w:pPr>
              <w:jc w:val="center"/>
              <w:rPr>
                <w:sz w:val="16"/>
                <w:szCs w:val="16"/>
              </w:rPr>
            </w:pPr>
            <w:r w:rsidRPr="000D3D0C">
              <w:rPr>
                <w:sz w:val="16"/>
                <w:szCs w:val="16"/>
              </w:rPr>
              <w:t>-</w:t>
            </w:r>
          </w:p>
        </w:tc>
        <w:tc>
          <w:tcPr>
            <w:tcW w:w="287" w:type="pct"/>
            <w:tcBorders>
              <w:top w:val="nil"/>
              <w:left w:val="nil"/>
              <w:bottom w:val="single" w:sz="4" w:space="0" w:color="auto"/>
              <w:right w:val="single" w:sz="4" w:space="0" w:color="auto"/>
            </w:tcBorders>
            <w:tcMar>
              <w:left w:w="28" w:type="dxa"/>
              <w:right w:w="28" w:type="dxa"/>
            </w:tcMar>
            <w:vAlign w:val="center"/>
          </w:tcPr>
          <w:p w14:paraId="5F8D269C" w14:textId="77777777" w:rsidR="004A0123" w:rsidRPr="000D3D0C" w:rsidRDefault="004A0123" w:rsidP="008A5C11">
            <w:pPr>
              <w:jc w:val="center"/>
              <w:rPr>
                <w:sz w:val="16"/>
                <w:szCs w:val="16"/>
              </w:rPr>
            </w:pPr>
            <w:r w:rsidRPr="000D3D0C">
              <w:rPr>
                <w:sz w:val="16"/>
                <w:szCs w:val="16"/>
              </w:rPr>
              <w:t>-</w:t>
            </w:r>
          </w:p>
        </w:tc>
        <w:tc>
          <w:tcPr>
            <w:tcW w:w="288" w:type="pct"/>
            <w:tcBorders>
              <w:top w:val="single" w:sz="4" w:space="0" w:color="auto"/>
              <w:left w:val="nil"/>
              <w:bottom w:val="single" w:sz="4" w:space="0" w:color="auto"/>
              <w:right w:val="single" w:sz="4" w:space="0" w:color="auto"/>
            </w:tcBorders>
            <w:vAlign w:val="center"/>
          </w:tcPr>
          <w:p w14:paraId="450F1DB7" w14:textId="77777777" w:rsidR="004A0123" w:rsidRPr="000D3D0C" w:rsidRDefault="004A0123" w:rsidP="008A5C11">
            <w:pPr>
              <w:jc w:val="center"/>
              <w:rPr>
                <w:sz w:val="16"/>
                <w:szCs w:val="16"/>
              </w:rPr>
            </w:pPr>
            <w:r w:rsidRPr="000D3D0C">
              <w:rPr>
                <w:sz w:val="16"/>
                <w:szCs w:val="16"/>
              </w:rPr>
              <w:t>-</w:t>
            </w:r>
          </w:p>
        </w:tc>
        <w:tc>
          <w:tcPr>
            <w:tcW w:w="289" w:type="pct"/>
            <w:tcBorders>
              <w:top w:val="single" w:sz="4" w:space="0" w:color="auto"/>
              <w:left w:val="single" w:sz="4" w:space="0" w:color="auto"/>
              <w:bottom w:val="single" w:sz="4" w:space="0" w:color="auto"/>
              <w:right w:val="single" w:sz="4" w:space="0" w:color="auto"/>
            </w:tcBorders>
            <w:vAlign w:val="center"/>
          </w:tcPr>
          <w:p w14:paraId="6FF3E220" w14:textId="77777777" w:rsidR="004A0123" w:rsidRPr="000D3D0C" w:rsidRDefault="004A0123" w:rsidP="008A5C11">
            <w:pPr>
              <w:jc w:val="center"/>
              <w:rPr>
                <w:sz w:val="16"/>
                <w:szCs w:val="16"/>
              </w:rPr>
            </w:pPr>
            <w:r w:rsidRPr="000D3D0C">
              <w:rPr>
                <w:sz w:val="16"/>
                <w:szCs w:val="16"/>
              </w:rPr>
              <w:t>-</w:t>
            </w:r>
          </w:p>
        </w:tc>
        <w:tc>
          <w:tcPr>
            <w:tcW w:w="286" w:type="pct"/>
            <w:tcBorders>
              <w:top w:val="single" w:sz="4" w:space="0" w:color="auto"/>
              <w:left w:val="single" w:sz="4" w:space="0" w:color="auto"/>
              <w:bottom w:val="single" w:sz="4" w:space="0" w:color="auto"/>
              <w:right w:val="single" w:sz="4" w:space="0" w:color="auto"/>
            </w:tcBorders>
            <w:vAlign w:val="center"/>
          </w:tcPr>
          <w:p w14:paraId="7A36CDFF" w14:textId="77777777" w:rsidR="004A0123" w:rsidRPr="000D3D0C" w:rsidRDefault="004A0123" w:rsidP="008A5C11">
            <w:pPr>
              <w:jc w:val="center"/>
              <w:rPr>
                <w:sz w:val="16"/>
                <w:szCs w:val="16"/>
              </w:rPr>
            </w:pPr>
            <w:r w:rsidRPr="000D3D0C">
              <w:rPr>
                <w:sz w:val="16"/>
                <w:szCs w:val="16"/>
              </w:rPr>
              <w:t>-</w:t>
            </w:r>
          </w:p>
        </w:tc>
        <w:tc>
          <w:tcPr>
            <w:tcW w:w="282" w:type="pct"/>
            <w:tcBorders>
              <w:top w:val="single" w:sz="4" w:space="0" w:color="auto"/>
              <w:left w:val="single" w:sz="4" w:space="0" w:color="auto"/>
              <w:bottom w:val="single" w:sz="4" w:space="0" w:color="auto"/>
              <w:right w:val="single" w:sz="4" w:space="0" w:color="auto"/>
            </w:tcBorders>
            <w:vAlign w:val="center"/>
          </w:tcPr>
          <w:p w14:paraId="2389B0E4" w14:textId="77777777" w:rsidR="004A0123" w:rsidRPr="000D3D0C" w:rsidRDefault="004A0123" w:rsidP="008A5C11">
            <w:pPr>
              <w:jc w:val="center"/>
              <w:rPr>
                <w:sz w:val="16"/>
                <w:szCs w:val="16"/>
              </w:rPr>
            </w:pPr>
            <w:r w:rsidRPr="000D3D0C">
              <w:rPr>
                <w:sz w:val="16"/>
                <w:szCs w:val="16"/>
              </w:rPr>
              <w:t>-</w:t>
            </w:r>
          </w:p>
        </w:tc>
        <w:tc>
          <w:tcPr>
            <w:tcW w:w="282" w:type="pct"/>
            <w:tcBorders>
              <w:top w:val="single" w:sz="4" w:space="0" w:color="auto"/>
              <w:left w:val="single" w:sz="4" w:space="0" w:color="auto"/>
              <w:bottom w:val="single" w:sz="4" w:space="0" w:color="auto"/>
              <w:right w:val="single" w:sz="4" w:space="0" w:color="auto"/>
            </w:tcBorders>
            <w:vAlign w:val="center"/>
          </w:tcPr>
          <w:p w14:paraId="7453DB0A" w14:textId="77777777" w:rsidR="004A0123" w:rsidRPr="000D3D0C" w:rsidRDefault="004A0123" w:rsidP="008A5C11">
            <w:pPr>
              <w:jc w:val="center"/>
              <w:rPr>
                <w:sz w:val="16"/>
                <w:szCs w:val="16"/>
              </w:rPr>
            </w:pPr>
            <w:r w:rsidRPr="000D3D0C">
              <w:rPr>
                <w:sz w:val="16"/>
                <w:szCs w:val="16"/>
              </w:rPr>
              <w:t>-</w:t>
            </w:r>
          </w:p>
        </w:tc>
      </w:tr>
    </w:tbl>
    <w:p w14:paraId="37E56F88" w14:textId="77777777" w:rsidR="004A0123" w:rsidRPr="000D3D0C" w:rsidRDefault="004A0123" w:rsidP="004A0123">
      <w:pPr>
        <w:rPr>
          <w:sz w:val="20"/>
          <w:szCs w:val="20"/>
        </w:rPr>
      </w:pPr>
    </w:p>
    <w:p w14:paraId="77F47597" w14:textId="77777777" w:rsidR="004A0123" w:rsidRPr="000D3D0C" w:rsidRDefault="004A0123" w:rsidP="004A0123">
      <w:pPr>
        <w:rPr>
          <w:sz w:val="20"/>
          <w:szCs w:val="20"/>
        </w:rPr>
      </w:pPr>
    </w:p>
    <w:p w14:paraId="7850231B" w14:textId="77777777" w:rsidR="004A0123" w:rsidRPr="000D3D0C" w:rsidRDefault="004A0123" w:rsidP="004A0123">
      <w:pPr>
        <w:ind w:left="10348" w:right="-31"/>
        <w:jc w:val="center"/>
        <w:rPr>
          <w:sz w:val="20"/>
          <w:szCs w:val="20"/>
        </w:rPr>
      </w:pPr>
    </w:p>
    <w:p w14:paraId="355FA963" w14:textId="77777777" w:rsidR="004A0123" w:rsidRPr="000D3D0C" w:rsidRDefault="004A0123" w:rsidP="004A0123">
      <w:pPr>
        <w:ind w:left="10348" w:right="-31"/>
        <w:jc w:val="center"/>
        <w:rPr>
          <w:sz w:val="20"/>
          <w:szCs w:val="20"/>
        </w:rPr>
      </w:pPr>
    </w:p>
    <w:p w14:paraId="31F20811" w14:textId="77777777" w:rsidR="004A0123" w:rsidRPr="000D3D0C" w:rsidRDefault="004A0123" w:rsidP="004A0123">
      <w:pPr>
        <w:ind w:left="10348" w:right="-31"/>
        <w:jc w:val="center"/>
        <w:rPr>
          <w:sz w:val="20"/>
          <w:szCs w:val="20"/>
        </w:rPr>
      </w:pPr>
    </w:p>
    <w:p w14:paraId="2D2C4A7F" w14:textId="77777777" w:rsidR="004A0123" w:rsidRPr="000D3D0C" w:rsidRDefault="004A0123" w:rsidP="004A0123">
      <w:pPr>
        <w:rPr>
          <w:sz w:val="20"/>
          <w:szCs w:val="20"/>
        </w:rPr>
        <w:sectPr w:rsidR="004A0123" w:rsidRPr="000D3D0C" w:rsidSect="000F7661">
          <w:pgSz w:w="16838" w:h="11906" w:orient="landscape"/>
          <w:pgMar w:top="1701" w:right="1134" w:bottom="851" w:left="1134" w:header="709" w:footer="255" w:gutter="0"/>
          <w:cols w:space="708"/>
          <w:docGrid w:linePitch="360"/>
        </w:sectPr>
      </w:pPr>
    </w:p>
    <w:p w14:paraId="1732A735" w14:textId="77777777" w:rsidR="004A0123" w:rsidRPr="000D3D0C" w:rsidRDefault="004A0123" w:rsidP="004A0123">
      <w:pPr>
        <w:ind w:left="284" w:right="536"/>
        <w:jc w:val="center"/>
        <w:rPr>
          <w:b/>
          <w:bCs/>
          <w:sz w:val="28"/>
          <w:szCs w:val="28"/>
        </w:rPr>
      </w:pPr>
      <w:r w:rsidRPr="000D3D0C">
        <w:rPr>
          <w:b/>
          <w:bCs/>
          <w:sz w:val="28"/>
          <w:szCs w:val="28"/>
        </w:rPr>
        <w:t xml:space="preserve">Показатели надежности и энергетической эффективности объектов системы теплоснабжения </w:t>
      </w:r>
    </w:p>
    <w:p w14:paraId="0D455128" w14:textId="77777777" w:rsidR="004A0123" w:rsidRPr="000D3D0C" w:rsidRDefault="004A0123" w:rsidP="004A0123">
      <w:pPr>
        <w:autoSpaceDE w:val="0"/>
        <w:autoSpaceDN w:val="0"/>
        <w:adjustRightInd w:val="0"/>
        <w:jc w:val="center"/>
        <w:rPr>
          <w:b/>
          <w:color w:val="000000"/>
          <w:sz w:val="28"/>
          <w:szCs w:val="28"/>
        </w:rPr>
      </w:pPr>
      <w:r w:rsidRPr="000D3D0C">
        <w:rPr>
          <w:b/>
          <w:color w:val="000000"/>
          <w:sz w:val="28"/>
          <w:szCs w:val="28"/>
        </w:rPr>
        <w:t xml:space="preserve">ОАО «Северо-Кузбасская энергетическая компания» по узлу теплоснабжения Тайгинского городского округа </w:t>
      </w:r>
    </w:p>
    <w:p w14:paraId="37472826" w14:textId="77777777" w:rsidR="004A0123" w:rsidRPr="000D3D0C" w:rsidRDefault="004A0123" w:rsidP="004A0123">
      <w:pPr>
        <w:jc w:val="center"/>
        <w:rPr>
          <w:b/>
          <w:color w:val="000000"/>
          <w:sz w:val="28"/>
          <w:szCs w:val="28"/>
        </w:rPr>
      </w:pPr>
      <w:r w:rsidRPr="000D3D0C">
        <w:rPr>
          <w:b/>
          <w:color w:val="000000"/>
          <w:sz w:val="28"/>
          <w:szCs w:val="28"/>
        </w:rPr>
        <w:t>на 2021 - 2030 годы</w:t>
      </w:r>
    </w:p>
    <w:p w14:paraId="3FDC119F" w14:textId="77777777" w:rsidR="004A0123" w:rsidRPr="000D3D0C" w:rsidRDefault="004A0123" w:rsidP="004A0123">
      <w:pPr>
        <w:jc w:val="center"/>
        <w:rPr>
          <w:b/>
          <w:bCs/>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84"/>
        <w:gridCol w:w="2404"/>
        <w:gridCol w:w="1537"/>
        <w:gridCol w:w="408"/>
        <w:gridCol w:w="480"/>
        <w:gridCol w:w="408"/>
        <w:gridCol w:w="408"/>
        <w:gridCol w:w="408"/>
        <w:gridCol w:w="408"/>
        <w:gridCol w:w="408"/>
        <w:gridCol w:w="408"/>
        <w:gridCol w:w="408"/>
        <w:gridCol w:w="419"/>
        <w:gridCol w:w="1561"/>
        <w:gridCol w:w="483"/>
        <w:gridCol w:w="492"/>
        <w:gridCol w:w="408"/>
        <w:gridCol w:w="472"/>
        <w:gridCol w:w="408"/>
        <w:gridCol w:w="408"/>
        <w:gridCol w:w="408"/>
        <w:gridCol w:w="408"/>
        <w:gridCol w:w="408"/>
        <w:gridCol w:w="416"/>
      </w:tblGrid>
      <w:tr w:rsidR="004A0123" w:rsidRPr="000D3D0C" w14:paraId="5B16C42F" w14:textId="77777777" w:rsidTr="008A5C11">
        <w:trPr>
          <w:trHeight w:val="23"/>
          <w:jc w:val="center"/>
        </w:trPr>
        <w:tc>
          <w:tcPr>
            <w:tcW w:w="201" w:type="pct"/>
            <w:vMerge w:val="restart"/>
            <w:tcMar>
              <w:top w:w="62" w:type="dxa"/>
              <w:left w:w="28" w:type="dxa"/>
              <w:bottom w:w="102" w:type="dxa"/>
              <w:right w:w="28" w:type="dxa"/>
            </w:tcMar>
            <w:vAlign w:val="center"/>
          </w:tcPr>
          <w:p w14:paraId="789CD61A" w14:textId="77777777" w:rsidR="004A0123" w:rsidRPr="000D3D0C" w:rsidRDefault="004A0123" w:rsidP="008A5C11">
            <w:pPr>
              <w:widowControl w:val="0"/>
              <w:autoSpaceDE w:val="0"/>
              <w:autoSpaceDN w:val="0"/>
              <w:adjustRightInd w:val="0"/>
              <w:jc w:val="center"/>
              <w:rPr>
                <w:sz w:val="16"/>
                <w:szCs w:val="16"/>
              </w:rPr>
            </w:pPr>
            <w:r w:rsidRPr="000D3D0C">
              <w:rPr>
                <w:sz w:val="16"/>
                <w:szCs w:val="16"/>
              </w:rPr>
              <w:t>№ п/п</w:t>
            </w:r>
          </w:p>
        </w:tc>
        <w:tc>
          <w:tcPr>
            <w:tcW w:w="826" w:type="pct"/>
            <w:vMerge w:val="restart"/>
            <w:tcMar>
              <w:top w:w="62" w:type="dxa"/>
              <w:left w:w="28" w:type="dxa"/>
              <w:bottom w:w="102" w:type="dxa"/>
              <w:right w:w="28" w:type="dxa"/>
            </w:tcMar>
            <w:vAlign w:val="center"/>
          </w:tcPr>
          <w:p w14:paraId="33CE9F61" w14:textId="77777777" w:rsidR="004A0123" w:rsidRPr="000D3D0C" w:rsidRDefault="004A0123" w:rsidP="008A5C11">
            <w:pPr>
              <w:widowControl w:val="0"/>
              <w:autoSpaceDE w:val="0"/>
              <w:autoSpaceDN w:val="0"/>
              <w:adjustRightInd w:val="0"/>
              <w:jc w:val="center"/>
              <w:rPr>
                <w:sz w:val="16"/>
                <w:szCs w:val="16"/>
              </w:rPr>
            </w:pPr>
            <w:r w:rsidRPr="000D3D0C">
              <w:rPr>
                <w:sz w:val="16"/>
                <w:szCs w:val="16"/>
              </w:rPr>
              <w:t>Наименование объекта</w:t>
            </w:r>
          </w:p>
        </w:tc>
        <w:tc>
          <w:tcPr>
            <w:tcW w:w="3974" w:type="pct"/>
            <w:gridSpan w:val="22"/>
            <w:tcMar>
              <w:left w:w="28" w:type="dxa"/>
              <w:right w:w="28" w:type="dxa"/>
            </w:tcMar>
            <w:vAlign w:val="center"/>
          </w:tcPr>
          <w:p w14:paraId="18C51080" w14:textId="77777777" w:rsidR="004A0123" w:rsidRPr="000D3D0C" w:rsidRDefault="004A0123" w:rsidP="008A5C11">
            <w:pPr>
              <w:jc w:val="center"/>
              <w:rPr>
                <w:sz w:val="16"/>
                <w:szCs w:val="16"/>
              </w:rPr>
            </w:pPr>
            <w:r w:rsidRPr="000D3D0C">
              <w:rPr>
                <w:sz w:val="16"/>
                <w:szCs w:val="16"/>
              </w:rPr>
              <w:t>Показатели надежности</w:t>
            </w:r>
          </w:p>
        </w:tc>
      </w:tr>
      <w:tr w:rsidR="004A0123" w:rsidRPr="000D3D0C" w14:paraId="0712B397" w14:textId="77777777" w:rsidTr="008A5C11">
        <w:trPr>
          <w:trHeight w:val="108"/>
          <w:jc w:val="center"/>
        </w:trPr>
        <w:tc>
          <w:tcPr>
            <w:tcW w:w="201" w:type="pct"/>
            <w:vMerge/>
            <w:tcMar>
              <w:top w:w="62" w:type="dxa"/>
              <w:left w:w="28" w:type="dxa"/>
              <w:bottom w:w="102" w:type="dxa"/>
              <w:right w:w="28" w:type="dxa"/>
            </w:tcMar>
            <w:vAlign w:val="center"/>
          </w:tcPr>
          <w:p w14:paraId="13711612" w14:textId="77777777" w:rsidR="004A0123" w:rsidRPr="000D3D0C" w:rsidRDefault="004A0123" w:rsidP="008A5C11">
            <w:pPr>
              <w:widowControl w:val="0"/>
              <w:autoSpaceDE w:val="0"/>
              <w:autoSpaceDN w:val="0"/>
              <w:adjustRightInd w:val="0"/>
              <w:jc w:val="center"/>
              <w:rPr>
                <w:sz w:val="16"/>
                <w:szCs w:val="16"/>
              </w:rPr>
            </w:pPr>
          </w:p>
        </w:tc>
        <w:tc>
          <w:tcPr>
            <w:tcW w:w="826" w:type="pct"/>
            <w:vMerge/>
            <w:tcMar>
              <w:top w:w="62" w:type="dxa"/>
              <w:left w:w="28" w:type="dxa"/>
              <w:bottom w:w="102" w:type="dxa"/>
              <w:right w:w="28" w:type="dxa"/>
            </w:tcMar>
            <w:vAlign w:val="center"/>
          </w:tcPr>
          <w:p w14:paraId="74685F97" w14:textId="77777777" w:rsidR="004A0123" w:rsidRPr="000D3D0C" w:rsidRDefault="004A0123" w:rsidP="008A5C11">
            <w:pPr>
              <w:widowControl w:val="0"/>
              <w:autoSpaceDE w:val="0"/>
              <w:autoSpaceDN w:val="0"/>
              <w:adjustRightInd w:val="0"/>
              <w:jc w:val="center"/>
              <w:rPr>
                <w:sz w:val="16"/>
                <w:szCs w:val="16"/>
              </w:rPr>
            </w:pPr>
          </w:p>
        </w:tc>
        <w:tc>
          <w:tcPr>
            <w:tcW w:w="1957" w:type="pct"/>
            <w:gridSpan w:val="11"/>
            <w:tcMar>
              <w:left w:w="28" w:type="dxa"/>
              <w:right w:w="28" w:type="dxa"/>
            </w:tcMar>
            <w:vAlign w:val="center"/>
          </w:tcPr>
          <w:p w14:paraId="632826C1" w14:textId="77777777" w:rsidR="004A0123" w:rsidRPr="000D3D0C" w:rsidRDefault="004A0123" w:rsidP="008A5C11">
            <w:pPr>
              <w:widowControl w:val="0"/>
              <w:autoSpaceDE w:val="0"/>
              <w:autoSpaceDN w:val="0"/>
              <w:adjustRightInd w:val="0"/>
              <w:jc w:val="center"/>
              <w:rPr>
                <w:sz w:val="16"/>
                <w:szCs w:val="16"/>
              </w:rPr>
            </w:pPr>
            <w:r w:rsidRPr="000D3D0C">
              <w:rPr>
                <w:sz w:val="16"/>
                <w:szCs w:val="16"/>
              </w:rPr>
              <w:t>Количество прекращений подачи тепловой энергии, теплоносителя в результате технологических нарушений на тепловых сетях на 1 км тепловых сетей</w:t>
            </w:r>
          </w:p>
        </w:tc>
        <w:tc>
          <w:tcPr>
            <w:tcW w:w="2017" w:type="pct"/>
            <w:gridSpan w:val="11"/>
            <w:tcMar>
              <w:left w:w="28" w:type="dxa"/>
              <w:right w:w="28" w:type="dxa"/>
            </w:tcMar>
            <w:vAlign w:val="center"/>
          </w:tcPr>
          <w:p w14:paraId="1663A08B" w14:textId="77777777" w:rsidR="004A0123" w:rsidRPr="000D3D0C" w:rsidRDefault="004A0123" w:rsidP="008A5C11">
            <w:pPr>
              <w:widowControl w:val="0"/>
              <w:autoSpaceDE w:val="0"/>
              <w:autoSpaceDN w:val="0"/>
              <w:adjustRightInd w:val="0"/>
              <w:jc w:val="center"/>
              <w:rPr>
                <w:sz w:val="16"/>
                <w:szCs w:val="16"/>
              </w:rPr>
            </w:pPr>
            <w:r w:rsidRPr="000D3D0C">
              <w:rPr>
                <w:sz w:val="16"/>
                <w:szCs w:val="16"/>
              </w:rP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tc>
      </w:tr>
      <w:tr w:rsidR="004A0123" w:rsidRPr="000D3D0C" w14:paraId="004B7EEB" w14:textId="77777777" w:rsidTr="008A5C11">
        <w:trPr>
          <w:trHeight w:val="20"/>
          <w:jc w:val="center"/>
        </w:trPr>
        <w:tc>
          <w:tcPr>
            <w:tcW w:w="201" w:type="pct"/>
            <w:vMerge/>
            <w:tcMar>
              <w:top w:w="62" w:type="dxa"/>
              <w:left w:w="28" w:type="dxa"/>
              <w:bottom w:w="102" w:type="dxa"/>
              <w:right w:w="28" w:type="dxa"/>
            </w:tcMar>
            <w:vAlign w:val="center"/>
          </w:tcPr>
          <w:p w14:paraId="73805915" w14:textId="77777777" w:rsidR="004A0123" w:rsidRPr="000D3D0C" w:rsidRDefault="004A0123" w:rsidP="008A5C11">
            <w:pPr>
              <w:widowControl w:val="0"/>
              <w:autoSpaceDE w:val="0"/>
              <w:autoSpaceDN w:val="0"/>
              <w:adjustRightInd w:val="0"/>
              <w:jc w:val="center"/>
              <w:rPr>
                <w:sz w:val="16"/>
                <w:szCs w:val="16"/>
              </w:rPr>
            </w:pPr>
          </w:p>
        </w:tc>
        <w:tc>
          <w:tcPr>
            <w:tcW w:w="826" w:type="pct"/>
            <w:vMerge/>
            <w:tcMar>
              <w:top w:w="62" w:type="dxa"/>
              <w:left w:w="28" w:type="dxa"/>
              <w:bottom w:w="102" w:type="dxa"/>
              <w:right w:w="28" w:type="dxa"/>
            </w:tcMar>
            <w:vAlign w:val="center"/>
          </w:tcPr>
          <w:p w14:paraId="1DE6616F" w14:textId="77777777" w:rsidR="004A0123" w:rsidRPr="000D3D0C" w:rsidRDefault="004A0123" w:rsidP="008A5C11">
            <w:pPr>
              <w:widowControl w:val="0"/>
              <w:autoSpaceDE w:val="0"/>
              <w:autoSpaceDN w:val="0"/>
              <w:adjustRightInd w:val="0"/>
              <w:jc w:val="center"/>
              <w:rPr>
                <w:sz w:val="16"/>
                <w:szCs w:val="16"/>
              </w:rPr>
            </w:pPr>
          </w:p>
        </w:tc>
        <w:tc>
          <w:tcPr>
            <w:tcW w:w="528" w:type="pct"/>
            <w:vMerge w:val="restart"/>
            <w:tcMar>
              <w:left w:w="28" w:type="dxa"/>
              <w:right w:w="28" w:type="dxa"/>
            </w:tcMar>
            <w:vAlign w:val="center"/>
          </w:tcPr>
          <w:p w14:paraId="2A349AE5" w14:textId="77777777" w:rsidR="004A0123" w:rsidRPr="000D3D0C" w:rsidRDefault="004A0123" w:rsidP="008A5C11">
            <w:pPr>
              <w:widowControl w:val="0"/>
              <w:autoSpaceDE w:val="0"/>
              <w:autoSpaceDN w:val="0"/>
              <w:adjustRightInd w:val="0"/>
              <w:jc w:val="center"/>
              <w:rPr>
                <w:sz w:val="16"/>
                <w:szCs w:val="16"/>
              </w:rPr>
            </w:pPr>
            <w:r w:rsidRPr="000D3D0C">
              <w:rPr>
                <w:sz w:val="16"/>
                <w:szCs w:val="16"/>
              </w:rPr>
              <w:t>Текущее значение</w:t>
            </w:r>
          </w:p>
        </w:tc>
        <w:tc>
          <w:tcPr>
            <w:tcW w:w="1429" w:type="pct"/>
            <w:gridSpan w:val="10"/>
            <w:tcMar>
              <w:left w:w="28" w:type="dxa"/>
              <w:right w:w="28" w:type="dxa"/>
            </w:tcMar>
            <w:vAlign w:val="center"/>
          </w:tcPr>
          <w:p w14:paraId="3F27062D" w14:textId="77777777" w:rsidR="004A0123" w:rsidRPr="000D3D0C" w:rsidRDefault="004A0123" w:rsidP="008A5C11">
            <w:pPr>
              <w:widowControl w:val="0"/>
              <w:autoSpaceDE w:val="0"/>
              <w:autoSpaceDN w:val="0"/>
              <w:adjustRightInd w:val="0"/>
              <w:jc w:val="center"/>
              <w:rPr>
                <w:sz w:val="16"/>
                <w:szCs w:val="16"/>
              </w:rPr>
            </w:pPr>
            <w:r w:rsidRPr="000D3D0C">
              <w:rPr>
                <w:sz w:val="16"/>
                <w:szCs w:val="16"/>
              </w:rPr>
              <w:t>Плановое значение</w:t>
            </w:r>
          </w:p>
        </w:tc>
        <w:tc>
          <w:tcPr>
            <w:tcW w:w="536" w:type="pct"/>
            <w:vMerge w:val="restart"/>
            <w:tcMar>
              <w:left w:w="28" w:type="dxa"/>
              <w:right w:w="28" w:type="dxa"/>
            </w:tcMar>
            <w:vAlign w:val="center"/>
          </w:tcPr>
          <w:p w14:paraId="5724D505" w14:textId="77777777" w:rsidR="004A0123" w:rsidRPr="000D3D0C" w:rsidRDefault="004A0123" w:rsidP="008A5C11">
            <w:pPr>
              <w:widowControl w:val="0"/>
              <w:autoSpaceDE w:val="0"/>
              <w:autoSpaceDN w:val="0"/>
              <w:adjustRightInd w:val="0"/>
              <w:jc w:val="center"/>
              <w:rPr>
                <w:sz w:val="16"/>
                <w:szCs w:val="16"/>
              </w:rPr>
            </w:pPr>
            <w:r w:rsidRPr="000D3D0C">
              <w:rPr>
                <w:sz w:val="16"/>
                <w:szCs w:val="16"/>
              </w:rPr>
              <w:t>Текущее значение</w:t>
            </w:r>
          </w:p>
        </w:tc>
        <w:tc>
          <w:tcPr>
            <w:tcW w:w="1481" w:type="pct"/>
            <w:gridSpan w:val="10"/>
            <w:tcMar>
              <w:left w:w="28" w:type="dxa"/>
              <w:right w:w="28" w:type="dxa"/>
            </w:tcMar>
            <w:vAlign w:val="center"/>
          </w:tcPr>
          <w:p w14:paraId="3B0D1781" w14:textId="77777777" w:rsidR="004A0123" w:rsidRPr="000D3D0C" w:rsidRDefault="004A0123" w:rsidP="008A5C11">
            <w:pPr>
              <w:widowControl w:val="0"/>
              <w:autoSpaceDE w:val="0"/>
              <w:autoSpaceDN w:val="0"/>
              <w:adjustRightInd w:val="0"/>
              <w:jc w:val="center"/>
              <w:rPr>
                <w:sz w:val="16"/>
                <w:szCs w:val="16"/>
              </w:rPr>
            </w:pPr>
            <w:r w:rsidRPr="000D3D0C">
              <w:rPr>
                <w:sz w:val="16"/>
                <w:szCs w:val="16"/>
              </w:rPr>
              <w:t>Плановое значение</w:t>
            </w:r>
          </w:p>
        </w:tc>
      </w:tr>
      <w:tr w:rsidR="004A0123" w:rsidRPr="000D3D0C" w14:paraId="6D5F30C7" w14:textId="77777777" w:rsidTr="008A5C11">
        <w:trPr>
          <w:trHeight w:val="20"/>
          <w:jc w:val="center"/>
        </w:trPr>
        <w:tc>
          <w:tcPr>
            <w:tcW w:w="201" w:type="pct"/>
            <w:vMerge/>
            <w:tcMar>
              <w:top w:w="62" w:type="dxa"/>
              <w:left w:w="28" w:type="dxa"/>
              <w:bottom w:w="102" w:type="dxa"/>
              <w:right w:w="28" w:type="dxa"/>
            </w:tcMar>
            <w:vAlign w:val="center"/>
          </w:tcPr>
          <w:p w14:paraId="6B50A2AF" w14:textId="77777777" w:rsidR="004A0123" w:rsidRPr="000D3D0C" w:rsidRDefault="004A0123" w:rsidP="008A5C11">
            <w:pPr>
              <w:widowControl w:val="0"/>
              <w:autoSpaceDE w:val="0"/>
              <w:autoSpaceDN w:val="0"/>
              <w:adjustRightInd w:val="0"/>
              <w:jc w:val="center"/>
              <w:rPr>
                <w:sz w:val="16"/>
                <w:szCs w:val="16"/>
              </w:rPr>
            </w:pPr>
          </w:p>
        </w:tc>
        <w:tc>
          <w:tcPr>
            <w:tcW w:w="826" w:type="pct"/>
            <w:vMerge/>
            <w:tcMar>
              <w:top w:w="62" w:type="dxa"/>
              <w:left w:w="28" w:type="dxa"/>
              <w:bottom w:w="102" w:type="dxa"/>
              <w:right w:w="28" w:type="dxa"/>
            </w:tcMar>
            <w:vAlign w:val="center"/>
          </w:tcPr>
          <w:p w14:paraId="0F7DFEF4" w14:textId="77777777" w:rsidR="004A0123" w:rsidRPr="000D3D0C" w:rsidRDefault="004A0123" w:rsidP="008A5C11">
            <w:pPr>
              <w:widowControl w:val="0"/>
              <w:autoSpaceDE w:val="0"/>
              <w:autoSpaceDN w:val="0"/>
              <w:adjustRightInd w:val="0"/>
              <w:jc w:val="center"/>
              <w:rPr>
                <w:sz w:val="16"/>
                <w:szCs w:val="16"/>
              </w:rPr>
            </w:pPr>
          </w:p>
        </w:tc>
        <w:tc>
          <w:tcPr>
            <w:tcW w:w="528" w:type="pct"/>
            <w:vMerge/>
            <w:tcMar>
              <w:left w:w="28" w:type="dxa"/>
              <w:right w:w="28" w:type="dxa"/>
            </w:tcMar>
            <w:vAlign w:val="center"/>
          </w:tcPr>
          <w:p w14:paraId="6FAA7D60" w14:textId="77777777" w:rsidR="004A0123" w:rsidRPr="000D3D0C" w:rsidRDefault="004A0123" w:rsidP="008A5C11">
            <w:pPr>
              <w:widowControl w:val="0"/>
              <w:autoSpaceDE w:val="0"/>
              <w:autoSpaceDN w:val="0"/>
              <w:adjustRightInd w:val="0"/>
              <w:jc w:val="center"/>
              <w:rPr>
                <w:sz w:val="16"/>
                <w:szCs w:val="16"/>
              </w:rPr>
            </w:pPr>
          </w:p>
        </w:tc>
        <w:tc>
          <w:tcPr>
            <w:tcW w:w="140" w:type="pct"/>
            <w:tcMar>
              <w:left w:w="28" w:type="dxa"/>
              <w:right w:w="28" w:type="dxa"/>
            </w:tcMar>
            <w:vAlign w:val="center"/>
          </w:tcPr>
          <w:p w14:paraId="7A98C88D" w14:textId="77777777" w:rsidR="004A0123" w:rsidRPr="000D3D0C" w:rsidRDefault="004A0123" w:rsidP="008A5C11">
            <w:pPr>
              <w:widowControl w:val="0"/>
              <w:autoSpaceDE w:val="0"/>
              <w:autoSpaceDN w:val="0"/>
              <w:adjustRightInd w:val="0"/>
              <w:jc w:val="center"/>
              <w:rPr>
                <w:sz w:val="16"/>
                <w:szCs w:val="16"/>
              </w:rPr>
            </w:pPr>
            <w:r w:rsidRPr="000D3D0C">
              <w:rPr>
                <w:sz w:val="16"/>
                <w:szCs w:val="16"/>
              </w:rPr>
              <w:t>2021</w:t>
            </w:r>
          </w:p>
        </w:tc>
        <w:tc>
          <w:tcPr>
            <w:tcW w:w="165" w:type="pct"/>
            <w:tcMar>
              <w:left w:w="28" w:type="dxa"/>
              <w:right w:w="28" w:type="dxa"/>
            </w:tcMar>
            <w:vAlign w:val="center"/>
          </w:tcPr>
          <w:p w14:paraId="5252D304" w14:textId="77777777" w:rsidR="004A0123" w:rsidRPr="000D3D0C" w:rsidRDefault="004A0123" w:rsidP="008A5C11">
            <w:pPr>
              <w:widowControl w:val="0"/>
              <w:autoSpaceDE w:val="0"/>
              <w:autoSpaceDN w:val="0"/>
              <w:adjustRightInd w:val="0"/>
              <w:jc w:val="center"/>
              <w:rPr>
                <w:sz w:val="16"/>
                <w:szCs w:val="16"/>
              </w:rPr>
            </w:pPr>
            <w:r w:rsidRPr="000D3D0C">
              <w:rPr>
                <w:sz w:val="16"/>
                <w:szCs w:val="16"/>
              </w:rPr>
              <w:t>2022</w:t>
            </w:r>
          </w:p>
        </w:tc>
        <w:tc>
          <w:tcPr>
            <w:tcW w:w="140" w:type="pct"/>
            <w:tcMar>
              <w:left w:w="28" w:type="dxa"/>
              <w:right w:w="28" w:type="dxa"/>
            </w:tcMar>
            <w:vAlign w:val="center"/>
          </w:tcPr>
          <w:p w14:paraId="4E761BCA" w14:textId="77777777" w:rsidR="004A0123" w:rsidRPr="000D3D0C" w:rsidRDefault="004A0123" w:rsidP="008A5C11">
            <w:pPr>
              <w:widowControl w:val="0"/>
              <w:autoSpaceDE w:val="0"/>
              <w:autoSpaceDN w:val="0"/>
              <w:adjustRightInd w:val="0"/>
              <w:jc w:val="center"/>
              <w:rPr>
                <w:sz w:val="16"/>
                <w:szCs w:val="16"/>
              </w:rPr>
            </w:pPr>
            <w:r w:rsidRPr="000D3D0C">
              <w:rPr>
                <w:sz w:val="16"/>
                <w:szCs w:val="16"/>
              </w:rPr>
              <w:t>2023</w:t>
            </w:r>
          </w:p>
        </w:tc>
        <w:tc>
          <w:tcPr>
            <w:tcW w:w="140" w:type="pct"/>
            <w:vAlign w:val="center"/>
          </w:tcPr>
          <w:p w14:paraId="2414FE55" w14:textId="77777777" w:rsidR="004A0123" w:rsidRPr="000D3D0C" w:rsidRDefault="004A0123" w:rsidP="008A5C11">
            <w:pPr>
              <w:widowControl w:val="0"/>
              <w:autoSpaceDE w:val="0"/>
              <w:autoSpaceDN w:val="0"/>
              <w:adjustRightInd w:val="0"/>
              <w:jc w:val="center"/>
              <w:rPr>
                <w:sz w:val="16"/>
                <w:szCs w:val="16"/>
              </w:rPr>
            </w:pPr>
            <w:r w:rsidRPr="000D3D0C">
              <w:rPr>
                <w:sz w:val="16"/>
                <w:szCs w:val="16"/>
              </w:rPr>
              <w:t>2024</w:t>
            </w:r>
          </w:p>
        </w:tc>
        <w:tc>
          <w:tcPr>
            <w:tcW w:w="140" w:type="pct"/>
            <w:vAlign w:val="center"/>
          </w:tcPr>
          <w:p w14:paraId="546DD693" w14:textId="77777777" w:rsidR="004A0123" w:rsidRPr="000D3D0C" w:rsidRDefault="004A0123" w:rsidP="008A5C11">
            <w:pPr>
              <w:widowControl w:val="0"/>
              <w:autoSpaceDE w:val="0"/>
              <w:autoSpaceDN w:val="0"/>
              <w:adjustRightInd w:val="0"/>
              <w:jc w:val="center"/>
              <w:rPr>
                <w:sz w:val="16"/>
                <w:szCs w:val="16"/>
              </w:rPr>
            </w:pPr>
            <w:r w:rsidRPr="000D3D0C">
              <w:rPr>
                <w:sz w:val="16"/>
                <w:szCs w:val="16"/>
              </w:rPr>
              <w:t>2025</w:t>
            </w:r>
          </w:p>
        </w:tc>
        <w:tc>
          <w:tcPr>
            <w:tcW w:w="140" w:type="pct"/>
            <w:vAlign w:val="center"/>
          </w:tcPr>
          <w:p w14:paraId="14CD9B20" w14:textId="77777777" w:rsidR="004A0123" w:rsidRPr="000D3D0C" w:rsidRDefault="004A0123" w:rsidP="008A5C11">
            <w:pPr>
              <w:widowControl w:val="0"/>
              <w:autoSpaceDE w:val="0"/>
              <w:autoSpaceDN w:val="0"/>
              <w:adjustRightInd w:val="0"/>
              <w:jc w:val="center"/>
              <w:rPr>
                <w:sz w:val="16"/>
                <w:szCs w:val="16"/>
              </w:rPr>
            </w:pPr>
            <w:r w:rsidRPr="000D3D0C">
              <w:rPr>
                <w:sz w:val="16"/>
                <w:szCs w:val="16"/>
              </w:rPr>
              <w:t>2026</w:t>
            </w:r>
          </w:p>
        </w:tc>
        <w:tc>
          <w:tcPr>
            <w:tcW w:w="140" w:type="pct"/>
            <w:vAlign w:val="center"/>
          </w:tcPr>
          <w:p w14:paraId="2EC4C64F" w14:textId="77777777" w:rsidR="004A0123" w:rsidRPr="000D3D0C" w:rsidRDefault="004A0123" w:rsidP="008A5C11">
            <w:pPr>
              <w:widowControl w:val="0"/>
              <w:autoSpaceDE w:val="0"/>
              <w:autoSpaceDN w:val="0"/>
              <w:adjustRightInd w:val="0"/>
              <w:jc w:val="center"/>
              <w:rPr>
                <w:sz w:val="16"/>
                <w:szCs w:val="16"/>
              </w:rPr>
            </w:pPr>
            <w:r w:rsidRPr="000D3D0C">
              <w:rPr>
                <w:sz w:val="16"/>
                <w:szCs w:val="16"/>
              </w:rPr>
              <w:t>2027</w:t>
            </w:r>
          </w:p>
        </w:tc>
        <w:tc>
          <w:tcPr>
            <w:tcW w:w="140" w:type="pct"/>
            <w:vAlign w:val="center"/>
          </w:tcPr>
          <w:p w14:paraId="4DF89A91" w14:textId="77777777" w:rsidR="004A0123" w:rsidRPr="000D3D0C" w:rsidRDefault="004A0123" w:rsidP="008A5C11">
            <w:pPr>
              <w:widowControl w:val="0"/>
              <w:autoSpaceDE w:val="0"/>
              <w:autoSpaceDN w:val="0"/>
              <w:adjustRightInd w:val="0"/>
              <w:jc w:val="center"/>
              <w:rPr>
                <w:sz w:val="16"/>
                <w:szCs w:val="16"/>
              </w:rPr>
            </w:pPr>
            <w:r w:rsidRPr="000D3D0C">
              <w:rPr>
                <w:sz w:val="16"/>
                <w:szCs w:val="16"/>
              </w:rPr>
              <w:t>2028</w:t>
            </w:r>
          </w:p>
        </w:tc>
        <w:tc>
          <w:tcPr>
            <w:tcW w:w="140" w:type="pct"/>
            <w:vAlign w:val="center"/>
          </w:tcPr>
          <w:p w14:paraId="554E8CA8" w14:textId="77777777" w:rsidR="004A0123" w:rsidRPr="000D3D0C" w:rsidRDefault="004A0123" w:rsidP="008A5C11">
            <w:pPr>
              <w:widowControl w:val="0"/>
              <w:autoSpaceDE w:val="0"/>
              <w:autoSpaceDN w:val="0"/>
              <w:adjustRightInd w:val="0"/>
              <w:jc w:val="center"/>
              <w:rPr>
                <w:sz w:val="16"/>
                <w:szCs w:val="16"/>
              </w:rPr>
            </w:pPr>
            <w:r w:rsidRPr="000D3D0C">
              <w:rPr>
                <w:sz w:val="16"/>
                <w:szCs w:val="16"/>
              </w:rPr>
              <w:t>2029</w:t>
            </w:r>
          </w:p>
        </w:tc>
        <w:tc>
          <w:tcPr>
            <w:tcW w:w="144" w:type="pct"/>
            <w:vAlign w:val="center"/>
          </w:tcPr>
          <w:p w14:paraId="4176FD05" w14:textId="77777777" w:rsidR="004A0123" w:rsidRPr="000D3D0C" w:rsidRDefault="004A0123" w:rsidP="008A5C11">
            <w:pPr>
              <w:widowControl w:val="0"/>
              <w:autoSpaceDE w:val="0"/>
              <w:autoSpaceDN w:val="0"/>
              <w:adjustRightInd w:val="0"/>
              <w:jc w:val="center"/>
              <w:rPr>
                <w:sz w:val="16"/>
                <w:szCs w:val="16"/>
              </w:rPr>
            </w:pPr>
            <w:r w:rsidRPr="000D3D0C">
              <w:rPr>
                <w:sz w:val="16"/>
                <w:szCs w:val="16"/>
              </w:rPr>
              <w:t>2030</w:t>
            </w:r>
          </w:p>
        </w:tc>
        <w:tc>
          <w:tcPr>
            <w:tcW w:w="536" w:type="pct"/>
            <w:vMerge/>
            <w:tcMar>
              <w:left w:w="28" w:type="dxa"/>
              <w:right w:w="28" w:type="dxa"/>
            </w:tcMar>
            <w:vAlign w:val="center"/>
          </w:tcPr>
          <w:p w14:paraId="0CD5898D" w14:textId="77777777" w:rsidR="004A0123" w:rsidRPr="000D3D0C" w:rsidRDefault="004A0123" w:rsidP="008A5C11">
            <w:pPr>
              <w:widowControl w:val="0"/>
              <w:autoSpaceDE w:val="0"/>
              <w:autoSpaceDN w:val="0"/>
              <w:adjustRightInd w:val="0"/>
              <w:jc w:val="center"/>
              <w:rPr>
                <w:sz w:val="16"/>
                <w:szCs w:val="16"/>
              </w:rPr>
            </w:pPr>
          </w:p>
        </w:tc>
        <w:tc>
          <w:tcPr>
            <w:tcW w:w="166" w:type="pct"/>
            <w:tcMar>
              <w:left w:w="28" w:type="dxa"/>
              <w:right w:w="28" w:type="dxa"/>
            </w:tcMar>
            <w:vAlign w:val="center"/>
          </w:tcPr>
          <w:p w14:paraId="770AACCD" w14:textId="77777777" w:rsidR="004A0123" w:rsidRPr="000D3D0C" w:rsidRDefault="004A0123" w:rsidP="008A5C11">
            <w:pPr>
              <w:widowControl w:val="0"/>
              <w:autoSpaceDE w:val="0"/>
              <w:autoSpaceDN w:val="0"/>
              <w:adjustRightInd w:val="0"/>
              <w:jc w:val="center"/>
              <w:rPr>
                <w:sz w:val="16"/>
                <w:szCs w:val="16"/>
              </w:rPr>
            </w:pPr>
            <w:r w:rsidRPr="000D3D0C">
              <w:rPr>
                <w:sz w:val="16"/>
                <w:szCs w:val="16"/>
              </w:rPr>
              <w:t>2021</w:t>
            </w:r>
          </w:p>
        </w:tc>
        <w:tc>
          <w:tcPr>
            <w:tcW w:w="169" w:type="pct"/>
            <w:tcMar>
              <w:left w:w="28" w:type="dxa"/>
              <w:right w:w="28" w:type="dxa"/>
            </w:tcMar>
            <w:vAlign w:val="center"/>
          </w:tcPr>
          <w:p w14:paraId="6F9438B8" w14:textId="77777777" w:rsidR="004A0123" w:rsidRPr="000D3D0C" w:rsidRDefault="004A0123" w:rsidP="008A5C11">
            <w:pPr>
              <w:widowControl w:val="0"/>
              <w:autoSpaceDE w:val="0"/>
              <w:autoSpaceDN w:val="0"/>
              <w:adjustRightInd w:val="0"/>
              <w:jc w:val="center"/>
              <w:rPr>
                <w:sz w:val="16"/>
                <w:szCs w:val="16"/>
              </w:rPr>
            </w:pPr>
            <w:r w:rsidRPr="000D3D0C">
              <w:rPr>
                <w:sz w:val="16"/>
                <w:szCs w:val="16"/>
              </w:rPr>
              <w:t>2022</w:t>
            </w:r>
          </w:p>
        </w:tc>
        <w:tc>
          <w:tcPr>
            <w:tcW w:w="140" w:type="pct"/>
            <w:tcMar>
              <w:left w:w="28" w:type="dxa"/>
              <w:right w:w="28" w:type="dxa"/>
            </w:tcMar>
            <w:vAlign w:val="center"/>
          </w:tcPr>
          <w:p w14:paraId="2450DB9D" w14:textId="77777777" w:rsidR="004A0123" w:rsidRPr="000D3D0C" w:rsidRDefault="004A0123" w:rsidP="008A5C11">
            <w:pPr>
              <w:widowControl w:val="0"/>
              <w:autoSpaceDE w:val="0"/>
              <w:autoSpaceDN w:val="0"/>
              <w:adjustRightInd w:val="0"/>
              <w:jc w:val="center"/>
              <w:rPr>
                <w:sz w:val="16"/>
                <w:szCs w:val="16"/>
              </w:rPr>
            </w:pPr>
            <w:r w:rsidRPr="000D3D0C">
              <w:rPr>
                <w:sz w:val="16"/>
                <w:szCs w:val="16"/>
              </w:rPr>
              <w:t>2023</w:t>
            </w:r>
          </w:p>
        </w:tc>
        <w:tc>
          <w:tcPr>
            <w:tcW w:w="162" w:type="pct"/>
            <w:vAlign w:val="center"/>
          </w:tcPr>
          <w:p w14:paraId="4D05D7BF" w14:textId="77777777" w:rsidR="004A0123" w:rsidRPr="000D3D0C" w:rsidRDefault="004A0123" w:rsidP="008A5C11">
            <w:pPr>
              <w:widowControl w:val="0"/>
              <w:autoSpaceDE w:val="0"/>
              <w:autoSpaceDN w:val="0"/>
              <w:adjustRightInd w:val="0"/>
              <w:jc w:val="center"/>
              <w:rPr>
                <w:sz w:val="16"/>
                <w:szCs w:val="16"/>
              </w:rPr>
            </w:pPr>
            <w:r w:rsidRPr="000D3D0C">
              <w:rPr>
                <w:sz w:val="16"/>
                <w:szCs w:val="16"/>
              </w:rPr>
              <w:t>2024</w:t>
            </w:r>
          </w:p>
        </w:tc>
        <w:tc>
          <w:tcPr>
            <w:tcW w:w="140" w:type="pct"/>
            <w:vAlign w:val="center"/>
          </w:tcPr>
          <w:p w14:paraId="74329FB0" w14:textId="77777777" w:rsidR="004A0123" w:rsidRPr="000D3D0C" w:rsidRDefault="004A0123" w:rsidP="008A5C11">
            <w:pPr>
              <w:widowControl w:val="0"/>
              <w:autoSpaceDE w:val="0"/>
              <w:autoSpaceDN w:val="0"/>
              <w:adjustRightInd w:val="0"/>
              <w:jc w:val="center"/>
              <w:rPr>
                <w:sz w:val="16"/>
                <w:szCs w:val="16"/>
              </w:rPr>
            </w:pPr>
            <w:r w:rsidRPr="000D3D0C">
              <w:rPr>
                <w:sz w:val="16"/>
                <w:szCs w:val="16"/>
              </w:rPr>
              <w:t>2025</w:t>
            </w:r>
          </w:p>
        </w:tc>
        <w:tc>
          <w:tcPr>
            <w:tcW w:w="140" w:type="pct"/>
            <w:vAlign w:val="center"/>
          </w:tcPr>
          <w:p w14:paraId="552512F4" w14:textId="77777777" w:rsidR="004A0123" w:rsidRPr="000D3D0C" w:rsidRDefault="004A0123" w:rsidP="008A5C11">
            <w:pPr>
              <w:widowControl w:val="0"/>
              <w:autoSpaceDE w:val="0"/>
              <w:autoSpaceDN w:val="0"/>
              <w:adjustRightInd w:val="0"/>
              <w:jc w:val="center"/>
              <w:rPr>
                <w:sz w:val="16"/>
                <w:szCs w:val="16"/>
              </w:rPr>
            </w:pPr>
            <w:r w:rsidRPr="000D3D0C">
              <w:rPr>
                <w:sz w:val="16"/>
                <w:szCs w:val="16"/>
              </w:rPr>
              <w:t>2026</w:t>
            </w:r>
          </w:p>
        </w:tc>
        <w:tc>
          <w:tcPr>
            <w:tcW w:w="140" w:type="pct"/>
            <w:vAlign w:val="center"/>
          </w:tcPr>
          <w:p w14:paraId="0A5509C3" w14:textId="77777777" w:rsidR="004A0123" w:rsidRPr="000D3D0C" w:rsidRDefault="004A0123" w:rsidP="008A5C11">
            <w:pPr>
              <w:widowControl w:val="0"/>
              <w:autoSpaceDE w:val="0"/>
              <w:autoSpaceDN w:val="0"/>
              <w:adjustRightInd w:val="0"/>
              <w:jc w:val="center"/>
              <w:rPr>
                <w:sz w:val="16"/>
                <w:szCs w:val="16"/>
              </w:rPr>
            </w:pPr>
            <w:r w:rsidRPr="000D3D0C">
              <w:rPr>
                <w:sz w:val="16"/>
                <w:szCs w:val="16"/>
              </w:rPr>
              <w:t>2027</w:t>
            </w:r>
          </w:p>
        </w:tc>
        <w:tc>
          <w:tcPr>
            <w:tcW w:w="140" w:type="pct"/>
            <w:vAlign w:val="center"/>
          </w:tcPr>
          <w:p w14:paraId="7B643FA0" w14:textId="77777777" w:rsidR="004A0123" w:rsidRPr="000D3D0C" w:rsidRDefault="004A0123" w:rsidP="008A5C11">
            <w:pPr>
              <w:widowControl w:val="0"/>
              <w:autoSpaceDE w:val="0"/>
              <w:autoSpaceDN w:val="0"/>
              <w:adjustRightInd w:val="0"/>
              <w:jc w:val="center"/>
              <w:rPr>
                <w:sz w:val="16"/>
                <w:szCs w:val="16"/>
              </w:rPr>
            </w:pPr>
            <w:r w:rsidRPr="000D3D0C">
              <w:rPr>
                <w:sz w:val="16"/>
                <w:szCs w:val="16"/>
              </w:rPr>
              <w:t>2028</w:t>
            </w:r>
          </w:p>
        </w:tc>
        <w:tc>
          <w:tcPr>
            <w:tcW w:w="140" w:type="pct"/>
            <w:vAlign w:val="center"/>
          </w:tcPr>
          <w:p w14:paraId="4FE9C965" w14:textId="77777777" w:rsidR="004A0123" w:rsidRPr="000D3D0C" w:rsidRDefault="004A0123" w:rsidP="008A5C11">
            <w:pPr>
              <w:widowControl w:val="0"/>
              <w:autoSpaceDE w:val="0"/>
              <w:autoSpaceDN w:val="0"/>
              <w:adjustRightInd w:val="0"/>
              <w:jc w:val="center"/>
              <w:rPr>
                <w:sz w:val="16"/>
                <w:szCs w:val="16"/>
              </w:rPr>
            </w:pPr>
            <w:r w:rsidRPr="000D3D0C">
              <w:rPr>
                <w:sz w:val="16"/>
                <w:szCs w:val="16"/>
              </w:rPr>
              <w:t>2029</w:t>
            </w:r>
          </w:p>
        </w:tc>
        <w:tc>
          <w:tcPr>
            <w:tcW w:w="143" w:type="pct"/>
            <w:vAlign w:val="center"/>
          </w:tcPr>
          <w:p w14:paraId="56E013A9" w14:textId="77777777" w:rsidR="004A0123" w:rsidRPr="000D3D0C" w:rsidRDefault="004A0123" w:rsidP="008A5C11">
            <w:pPr>
              <w:widowControl w:val="0"/>
              <w:autoSpaceDE w:val="0"/>
              <w:autoSpaceDN w:val="0"/>
              <w:adjustRightInd w:val="0"/>
              <w:jc w:val="center"/>
              <w:rPr>
                <w:sz w:val="16"/>
                <w:szCs w:val="16"/>
              </w:rPr>
            </w:pPr>
            <w:r w:rsidRPr="000D3D0C">
              <w:rPr>
                <w:sz w:val="16"/>
                <w:szCs w:val="16"/>
              </w:rPr>
              <w:t>2030</w:t>
            </w:r>
          </w:p>
        </w:tc>
      </w:tr>
      <w:tr w:rsidR="004A0123" w:rsidRPr="000D3D0C" w14:paraId="5E64F273" w14:textId="77777777" w:rsidTr="008A5C11">
        <w:trPr>
          <w:trHeight w:val="23"/>
          <w:jc w:val="center"/>
        </w:trPr>
        <w:tc>
          <w:tcPr>
            <w:tcW w:w="201" w:type="pct"/>
            <w:tcMar>
              <w:top w:w="62" w:type="dxa"/>
              <w:left w:w="28" w:type="dxa"/>
              <w:bottom w:w="102" w:type="dxa"/>
              <w:right w:w="28" w:type="dxa"/>
            </w:tcMar>
            <w:vAlign w:val="center"/>
          </w:tcPr>
          <w:p w14:paraId="77DF4231" w14:textId="77777777" w:rsidR="004A0123" w:rsidRPr="000D3D0C" w:rsidRDefault="004A0123" w:rsidP="008A5C11">
            <w:pPr>
              <w:jc w:val="center"/>
              <w:rPr>
                <w:sz w:val="16"/>
                <w:szCs w:val="16"/>
              </w:rPr>
            </w:pPr>
            <w:r w:rsidRPr="000D3D0C">
              <w:rPr>
                <w:sz w:val="16"/>
                <w:szCs w:val="16"/>
              </w:rPr>
              <w:t>1</w:t>
            </w:r>
          </w:p>
        </w:tc>
        <w:tc>
          <w:tcPr>
            <w:tcW w:w="826" w:type="pct"/>
            <w:tcMar>
              <w:top w:w="62" w:type="dxa"/>
              <w:left w:w="28" w:type="dxa"/>
              <w:bottom w:w="102" w:type="dxa"/>
              <w:right w:w="28" w:type="dxa"/>
            </w:tcMar>
            <w:vAlign w:val="center"/>
          </w:tcPr>
          <w:p w14:paraId="4AFB5467" w14:textId="77777777" w:rsidR="004A0123" w:rsidRPr="000D3D0C" w:rsidRDefault="004A0123" w:rsidP="008A5C11">
            <w:pPr>
              <w:jc w:val="center"/>
              <w:rPr>
                <w:color w:val="000000"/>
                <w:sz w:val="16"/>
                <w:szCs w:val="16"/>
              </w:rPr>
            </w:pPr>
            <w:r w:rsidRPr="000D3D0C">
              <w:rPr>
                <w:color w:val="000000"/>
                <w:sz w:val="16"/>
                <w:szCs w:val="16"/>
              </w:rPr>
              <w:t>Котельная Центральна</w:t>
            </w:r>
          </w:p>
        </w:tc>
        <w:tc>
          <w:tcPr>
            <w:tcW w:w="528" w:type="pct"/>
            <w:shd w:val="clear" w:color="auto" w:fill="auto"/>
            <w:tcMar>
              <w:left w:w="28" w:type="dxa"/>
              <w:right w:w="28" w:type="dxa"/>
            </w:tcMar>
            <w:vAlign w:val="center"/>
          </w:tcPr>
          <w:p w14:paraId="26E1BDF9" w14:textId="77777777" w:rsidR="004A0123" w:rsidRPr="000D3D0C" w:rsidRDefault="004A0123" w:rsidP="008A5C11">
            <w:pPr>
              <w:jc w:val="center"/>
              <w:rPr>
                <w:sz w:val="16"/>
                <w:szCs w:val="16"/>
              </w:rPr>
            </w:pPr>
            <w:r w:rsidRPr="000D3D0C">
              <w:rPr>
                <w:sz w:val="16"/>
                <w:szCs w:val="16"/>
              </w:rPr>
              <w:t>0</w:t>
            </w:r>
          </w:p>
        </w:tc>
        <w:tc>
          <w:tcPr>
            <w:tcW w:w="140" w:type="pct"/>
            <w:shd w:val="clear" w:color="auto" w:fill="auto"/>
            <w:tcMar>
              <w:left w:w="28" w:type="dxa"/>
              <w:right w:w="28" w:type="dxa"/>
            </w:tcMar>
            <w:vAlign w:val="center"/>
          </w:tcPr>
          <w:p w14:paraId="3D41C908" w14:textId="77777777" w:rsidR="004A0123" w:rsidRPr="000D3D0C" w:rsidRDefault="004A0123" w:rsidP="008A5C11">
            <w:pPr>
              <w:jc w:val="center"/>
              <w:rPr>
                <w:sz w:val="16"/>
                <w:szCs w:val="16"/>
              </w:rPr>
            </w:pPr>
            <w:r w:rsidRPr="000D3D0C">
              <w:rPr>
                <w:sz w:val="16"/>
                <w:szCs w:val="16"/>
              </w:rPr>
              <w:t>0</w:t>
            </w:r>
          </w:p>
        </w:tc>
        <w:tc>
          <w:tcPr>
            <w:tcW w:w="165" w:type="pct"/>
            <w:shd w:val="clear" w:color="auto" w:fill="auto"/>
            <w:tcMar>
              <w:left w:w="28" w:type="dxa"/>
              <w:right w:w="28" w:type="dxa"/>
            </w:tcMar>
            <w:vAlign w:val="center"/>
          </w:tcPr>
          <w:p w14:paraId="1FCA0E00" w14:textId="77777777" w:rsidR="004A0123" w:rsidRPr="000D3D0C" w:rsidRDefault="004A0123" w:rsidP="008A5C11">
            <w:pPr>
              <w:jc w:val="center"/>
              <w:rPr>
                <w:sz w:val="16"/>
                <w:szCs w:val="16"/>
              </w:rPr>
            </w:pPr>
            <w:r w:rsidRPr="000D3D0C">
              <w:rPr>
                <w:sz w:val="16"/>
                <w:szCs w:val="16"/>
              </w:rPr>
              <w:t>0</w:t>
            </w:r>
          </w:p>
        </w:tc>
        <w:tc>
          <w:tcPr>
            <w:tcW w:w="140" w:type="pct"/>
            <w:shd w:val="clear" w:color="auto" w:fill="auto"/>
            <w:tcMar>
              <w:left w:w="28" w:type="dxa"/>
              <w:right w:w="28" w:type="dxa"/>
            </w:tcMar>
            <w:vAlign w:val="center"/>
          </w:tcPr>
          <w:p w14:paraId="2587E487" w14:textId="77777777" w:rsidR="004A0123" w:rsidRPr="000D3D0C" w:rsidRDefault="004A0123" w:rsidP="008A5C11">
            <w:pPr>
              <w:jc w:val="center"/>
              <w:rPr>
                <w:sz w:val="16"/>
                <w:szCs w:val="16"/>
              </w:rPr>
            </w:pPr>
            <w:r w:rsidRPr="000D3D0C">
              <w:rPr>
                <w:sz w:val="16"/>
                <w:szCs w:val="16"/>
              </w:rPr>
              <w:t>0</w:t>
            </w:r>
          </w:p>
        </w:tc>
        <w:tc>
          <w:tcPr>
            <w:tcW w:w="140" w:type="pct"/>
            <w:shd w:val="clear" w:color="auto" w:fill="auto"/>
            <w:vAlign w:val="center"/>
          </w:tcPr>
          <w:p w14:paraId="6956D04E" w14:textId="77777777" w:rsidR="004A0123" w:rsidRPr="000D3D0C" w:rsidRDefault="004A0123" w:rsidP="008A5C11">
            <w:pPr>
              <w:jc w:val="center"/>
              <w:rPr>
                <w:sz w:val="16"/>
                <w:szCs w:val="16"/>
              </w:rPr>
            </w:pPr>
            <w:r w:rsidRPr="000D3D0C">
              <w:rPr>
                <w:sz w:val="16"/>
                <w:szCs w:val="16"/>
              </w:rPr>
              <w:t>0</w:t>
            </w:r>
          </w:p>
        </w:tc>
        <w:tc>
          <w:tcPr>
            <w:tcW w:w="140" w:type="pct"/>
            <w:vAlign w:val="center"/>
          </w:tcPr>
          <w:p w14:paraId="42822231" w14:textId="77777777" w:rsidR="004A0123" w:rsidRPr="000D3D0C" w:rsidRDefault="004A0123" w:rsidP="008A5C11">
            <w:pPr>
              <w:jc w:val="center"/>
              <w:rPr>
                <w:sz w:val="16"/>
                <w:szCs w:val="16"/>
              </w:rPr>
            </w:pPr>
            <w:r w:rsidRPr="000D3D0C">
              <w:rPr>
                <w:sz w:val="16"/>
                <w:szCs w:val="16"/>
              </w:rPr>
              <w:t>0</w:t>
            </w:r>
          </w:p>
        </w:tc>
        <w:tc>
          <w:tcPr>
            <w:tcW w:w="140" w:type="pct"/>
            <w:vAlign w:val="center"/>
          </w:tcPr>
          <w:p w14:paraId="1566942F" w14:textId="77777777" w:rsidR="004A0123" w:rsidRPr="000D3D0C" w:rsidRDefault="004A0123" w:rsidP="008A5C11">
            <w:pPr>
              <w:jc w:val="center"/>
              <w:rPr>
                <w:sz w:val="16"/>
                <w:szCs w:val="16"/>
              </w:rPr>
            </w:pPr>
            <w:r w:rsidRPr="000D3D0C">
              <w:rPr>
                <w:sz w:val="16"/>
                <w:szCs w:val="16"/>
              </w:rPr>
              <w:t>0</w:t>
            </w:r>
          </w:p>
        </w:tc>
        <w:tc>
          <w:tcPr>
            <w:tcW w:w="140" w:type="pct"/>
            <w:vAlign w:val="center"/>
          </w:tcPr>
          <w:p w14:paraId="1B4F9582" w14:textId="77777777" w:rsidR="004A0123" w:rsidRPr="000D3D0C" w:rsidRDefault="004A0123" w:rsidP="008A5C11">
            <w:pPr>
              <w:jc w:val="center"/>
              <w:rPr>
                <w:sz w:val="16"/>
                <w:szCs w:val="16"/>
              </w:rPr>
            </w:pPr>
            <w:r w:rsidRPr="000D3D0C">
              <w:rPr>
                <w:sz w:val="16"/>
                <w:szCs w:val="16"/>
              </w:rPr>
              <w:t>0</w:t>
            </w:r>
          </w:p>
        </w:tc>
        <w:tc>
          <w:tcPr>
            <w:tcW w:w="140" w:type="pct"/>
            <w:vAlign w:val="center"/>
          </w:tcPr>
          <w:p w14:paraId="57276C2D" w14:textId="77777777" w:rsidR="004A0123" w:rsidRPr="000D3D0C" w:rsidRDefault="004A0123" w:rsidP="008A5C11">
            <w:pPr>
              <w:jc w:val="center"/>
              <w:rPr>
                <w:sz w:val="16"/>
                <w:szCs w:val="16"/>
              </w:rPr>
            </w:pPr>
            <w:r w:rsidRPr="000D3D0C">
              <w:rPr>
                <w:sz w:val="16"/>
                <w:szCs w:val="16"/>
              </w:rPr>
              <w:t>0</w:t>
            </w:r>
          </w:p>
        </w:tc>
        <w:tc>
          <w:tcPr>
            <w:tcW w:w="140" w:type="pct"/>
            <w:vAlign w:val="center"/>
          </w:tcPr>
          <w:p w14:paraId="1E6DCCEC" w14:textId="77777777" w:rsidR="004A0123" w:rsidRPr="000D3D0C" w:rsidRDefault="004A0123" w:rsidP="008A5C11">
            <w:pPr>
              <w:jc w:val="center"/>
              <w:rPr>
                <w:sz w:val="16"/>
                <w:szCs w:val="16"/>
              </w:rPr>
            </w:pPr>
            <w:r w:rsidRPr="000D3D0C">
              <w:rPr>
                <w:sz w:val="16"/>
                <w:szCs w:val="16"/>
              </w:rPr>
              <w:t>0</w:t>
            </w:r>
          </w:p>
        </w:tc>
        <w:tc>
          <w:tcPr>
            <w:tcW w:w="144" w:type="pct"/>
            <w:vAlign w:val="center"/>
          </w:tcPr>
          <w:p w14:paraId="755B33A7" w14:textId="77777777" w:rsidR="004A0123" w:rsidRPr="000D3D0C" w:rsidRDefault="004A0123" w:rsidP="008A5C11">
            <w:pPr>
              <w:jc w:val="center"/>
              <w:rPr>
                <w:sz w:val="16"/>
                <w:szCs w:val="16"/>
              </w:rPr>
            </w:pPr>
            <w:r w:rsidRPr="000D3D0C">
              <w:rPr>
                <w:sz w:val="16"/>
                <w:szCs w:val="16"/>
              </w:rPr>
              <w:t>0</w:t>
            </w:r>
          </w:p>
        </w:tc>
        <w:tc>
          <w:tcPr>
            <w:tcW w:w="536" w:type="pct"/>
            <w:shd w:val="clear" w:color="auto" w:fill="auto"/>
            <w:tcMar>
              <w:left w:w="28" w:type="dxa"/>
              <w:right w:w="28" w:type="dxa"/>
            </w:tcMar>
            <w:vAlign w:val="center"/>
          </w:tcPr>
          <w:p w14:paraId="46D9772B" w14:textId="77777777" w:rsidR="004A0123" w:rsidRPr="000D3D0C" w:rsidRDefault="004A0123" w:rsidP="008A5C11">
            <w:pPr>
              <w:jc w:val="center"/>
              <w:rPr>
                <w:sz w:val="16"/>
                <w:szCs w:val="16"/>
              </w:rPr>
            </w:pPr>
            <w:r w:rsidRPr="000D3D0C">
              <w:rPr>
                <w:sz w:val="16"/>
                <w:szCs w:val="16"/>
              </w:rPr>
              <w:t>0</w:t>
            </w:r>
          </w:p>
        </w:tc>
        <w:tc>
          <w:tcPr>
            <w:tcW w:w="166" w:type="pct"/>
            <w:shd w:val="clear" w:color="auto" w:fill="auto"/>
            <w:tcMar>
              <w:left w:w="28" w:type="dxa"/>
              <w:right w:w="28" w:type="dxa"/>
            </w:tcMar>
            <w:vAlign w:val="center"/>
          </w:tcPr>
          <w:p w14:paraId="1FBD7CDF" w14:textId="77777777" w:rsidR="004A0123" w:rsidRPr="000D3D0C" w:rsidRDefault="004A0123" w:rsidP="008A5C11">
            <w:pPr>
              <w:jc w:val="center"/>
              <w:rPr>
                <w:sz w:val="16"/>
                <w:szCs w:val="16"/>
              </w:rPr>
            </w:pPr>
            <w:r w:rsidRPr="000D3D0C">
              <w:rPr>
                <w:sz w:val="16"/>
                <w:szCs w:val="16"/>
              </w:rPr>
              <w:t>0</w:t>
            </w:r>
          </w:p>
        </w:tc>
        <w:tc>
          <w:tcPr>
            <w:tcW w:w="169" w:type="pct"/>
            <w:shd w:val="clear" w:color="auto" w:fill="auto"/>
            <w:tcMar>
              <w:left w:w="28" w:type="dxa"/>
              <w:right w:w="28" w:type="dxa"/>
            </w:tcMar>
            <w:vAlign w:val="center"/>
          </w:tcPr>
          <w:p w14:paraId="436C3F18" w14:textId="77777777" w:rsidR="004A0123" w:rsidRPr="000D3D0C" w:rsidRDefault="004A0123" w:rsidP="008A5C11">
            <w:pPr>
              <w:jc w:val="center"/>
              <w:rPr>
                <w:sz w:val="16"/>
                <w:szCs w:val="16"/>
              </w:rPr>
            </w:pPr>
            <w:r w:rsidRPr="000D3D0C">
              <w:rPr>
                <w:sz w:val="16"/>
                <w:szCs w:val="16"/>
              </w:rPr>
              <w:t>0</w:t>
            </w:r>
          </w:p>
        </w:tc>
        <w:tc>
          <w:tcPr>
            <w:tcW w:w="140" w:type="pct"/>
            <w:shd w:val="clear" w:color="auto" w:fill="auto"/>
            <w:tcMar>
              <w:left w:w="28" w:type="dxa"/>
              <w:right w:w="28" w:type="dxa"/>
            </w:tcMar>
            <w:vAlign w:val="center"/>
          </w:tcPr>
          <w:p w14:paraId="2ABD4B85" w14:textId="77777777" w:rsidR="004A0123" w:rsidRPr="000D3D0C" w:rsidRDefault="004A0123" w:rsidP="008A5C11">
            <w:pPr>
              <w:jc w:val="center"/>
              <w:rPr>
                <w:sz w:val="16"/>
                <w:szCs w:val="16"/>
              </w:rPr>
            </w:pPr>
            <w:r w:rsidRPr="000D3D0C">
              <w:rPr>
                <w:sz w:val="16"/>
                <w:szCs w:val="16"/>
              </w:rPr>
              <w:t>0</w:t>
            </w:r>
          </w:p>
        </w:tc>
        <w:tc>
          <w:tcPr>
            <w:tcW w:w="162" w:type="pct"/>
            <w:shd w:val="clear" w:color="auto" w:fill="auto"/>
            <w:vAlign w:val="center"/>
          </w:tcPr>
          <w:p w14:paraId="3B06F1F4" w14:textId="77777777" w:rsidR="004A0123" w:rsidRPr="000D3D0C" w:rsidRDefault="004A0123" w:rsidP="008A5C11">
            <w:pPr>
              <w:jc w:val="center"/>
              <w:rPr>
                <w:sz w:val="16"/>
                <w:szCs w:val="16"/>
              </w:rPr>
            </w:pPr>
            <w:r w:rsidRPr="000D3D0C">
              <w:rPr>
                <w:sz w:val="16"/>
                <w:szCs w:val="16"/>
              </w:rPr>
              <w:t>0</w:t>
            </w:r>
          </w:p>
        </w:tc>
        <w:tc>
          <w:tcPr>
            <w:tcW w:w="140" w:type="pct"/>
            <w:vAlign w:val="center"/>
          </w:tcPr>
          <w:p w14:paraId="147CDFCE" w14:textId="77777777" w:rsidR="004A0123" w:rsidRPr="000D3D0C" w:rsidRDefault="004A0123" w:rsidP="008A5C11">
            <w:pPr>
              <w:jc w:val="center"/>
              <w:rPr>
                <w:sz w:val="16"/>
                <w:szCs w:val="16"/>
              </w:rPr>
            </w:pPr>
            <w:r w:rsidRPr="000D3D0C">
              <w:rPr>
                <w:sz w:val="16"/>
                <w:szCs w:val="16"/>
              </w:rPr>
              <w:t>0</w:t>
            </w:r>
          </w:p>
        </w:tc>
        <w:tc>
          <w:tcPr>
            <w:tcW w:w="140" w:type="pct"/>
            <w:vAlign w:val="center"/>
          </w:tcPr>
          <w:p w14:paraId="15A2A43A" w14:textId="77777777" w:rsidR="004A0123" w:rsidRPr="000D3D0C" w:rsidRDefault="004A0123" w:rsidP="008A5C11">
            <w:pPr>
              <w:jc w:val="center"/>
              <w:rPr>
                <w:sz w:val="16"/>
                <w:szCs w:val="16"/>
              </w:rPr>
            </w:pPr>
            <w:r w:rsidRPr="000D3D0C">
              <w:rPr>
                <w:sz w:val="16"/>
                <w:szCs w:val="16"/>
              </w:rPr>
              <w:t>0</w:t>
            </w:r>
          </w:p>
        </w:tc>
        <w:tc>
          <w:tcPr>
            <w:tcW w:w="140" w:type="pct"/>
            <w:vAlign w:val="center"/>
          </w:tcPr>
          <w:p w14:paraId="1B82F600" w14:textId="77777777" w:rsidR="004A0123" w:rsidRPr="000D3D0C" w:rsidRDefault="004A0123" w:rsidP="008A5C11">
            <w:pPr>
              <w:jc w:val="center"/>
              <w:rPr>
                <w:sz w:val="16"/>
                <w:szCs w:val="16"/>
              </w:rPr>
            </w:pPr>
            <w:r w:rsidRPr="000D3D0C">
              <w:rPr>
                <w:sz w:val="16"/>
                <w:szCs w:val="16"/>
              </w:rPr>
              <w:t>0</w:t>
            </w:r>
          </w:p>
        </w:tc>
        <w:tc>
          <w:tcPr>
            <w:tcW w:w="140" w:type="pct"/>
            <w:vAlign w:val="center"/>
          </w:tcPr>
          <w:p w14:paraId="0A2428EF" w14:textId="77777777" w:rsidR="004A0123" w:rsidRPr="000D3D0C" w:rsidRDefault="004A0123" w:rsidP="008A5C11">
            <w:pPr>
              <w:jc w:val="center"/>
              <w:rPr>
                <w:sz w:val="16"/>
                <w:szCs w:val="16"/>
              </w:rPr>
            </w:pPr>
            <w:r w:rsidRPr="000D3D0C">
              <w:rPr>
                <w:sz w:val="16"/>
                <w:szCs w:val="16"/>
              </w:rPr>
              <w:t>0</w:t>
            </w:r>
          </w:p>
        </w:tc>
        <w:tc>
          <w:tcPr>
            <w:tcW w:w="140" w:type="pct"/>
            <w:vAlign w:val="center"/>
          </w:tcPr>
          <w:p w14:paraId="2842FE84" w14:textId="77777777" w:rsidR="004A0123" w:rsidRPr="000D3D0C" w:rsidRDefault="004A0123" w:rsidP="008A5C11">
            <w:pPr>
              <w:jc w:val="center"/>
              <w:rPr>
                <w:sz w:val="16"/>
                <w:szCs w:val="16"/>
              </w:rPr>
            </w:pPr>
            <w:r w:rsidRPr="000D3D0C">
              <w:rPr>
                <w:sz w:val="16"/>
                <w:szCs w:val="16"/>
              </w:rPr>
              <w:t>0</w:t>
            </w:r>
          </w:p>
        </w:tc>
        <w:tc>
          <w:tcPr>
            <w:tcW w:w="143" w:type="pct"/>
            <w:vAlign w:val="center"/>
          </w:tcPr>
          <w:p w14:paraId="2D2ACF71" w14:textId="77777777" w:rsidR="004A0123" w:rsidRPr="000D3D0C" w:rsidRDefault="004A0123" w:rsidP="008A5C11">
            <w:pPr>
              <w:jc w:val="center"/>
              <w:rPr>
                <w:sz w:val="16"/>
                <w:szCs w:val="16"/>
              </w:rPr>
            </w:pPr>
            <w:r w:rsidRPr="000D3D0C">
              <w:rPr>
                <w:sz w:val="16"/>
                <w:szCs w:val="16"/>
              </w:rPr>
              <w:t>0</w:t>
            </w:r>
          </w:p>
        </w:tc>
      </w:tr>
      <w:tr w:rsidR="004A0123" w:rsidRPr="000D3D0C" w14:paraId="19353C1A" w14:textId="77777777" w:rsidTr="008A5C11">
        <w:trPr>
          <w:trHeight w:val="23"/>
          <w:jc w:val="center"/>
        </w:trPr>
        <w:tc>
          <w:tcPr>
            <w:tcW w:w="201" w:type="pct"/>
            <w:tcMar>
              <w:top w:w="62" w:type="dxa"/>
              <w:left w:w="28" w:type="dxa"/>
              <w:bottom w:w="102" w:type="dxa"/>
              <w:right w:w="28" w:type="dxa"/>
            </w:tcMar>
            <w:vAlign w:val="center"/>
          </w:tcPr>
          <w:p w14:paraId="61B5FBCB" w14:textId="77777777" w:rsidR="004A0123" w:rsidRPr="000D3D0C" w:rsidRDefault="004A0123" w:rsidP="008A5C11">
            <w:pPr>
              <w:jc w:val="center"/>
              <w:rPr>
                <w:sz w:val="16"/>
                <w:szCs w:val="16"/>
              </w:rPr>
            </w:pPr>
            <w:r w:rsidRPr="000D3D0C">
              <w:rPr>
                <w:sz w:val="16"/>
                <w:szCs w:val="16"/>
              </w:rPr>
              <w:t>2</w:t>
            </w:r>
          </w:p>
        </w:tc>
        <w:tc>
          <w:tcPr>
            <w:tcW w:w="826" w:type="pct"/>
            <w:tcMar>
              <w:top w:w="62" w:type="dxa"/>
              <w:left w:w="28" w:type="dxa"/>
              <w:bottom w:w="102" w:type="dxa"/>
              <w:right w:w="28" w:type="dxa"/>
            </w:tcMar>
            <w:vAlign w:val="center"/>
          </w:tcPr>
          <w:p w14:paraId="1D8988AB" w14:textId="77777777" w:rsidR="004A0123" w:rsidRPr="000D3D0C" w:rsidRDefault="004A0123" w:rsidP="008A5C11">
            <w:pPr>
              <w:jc w:val="center"/>
              <w:rPr>
                <w:color w:val="000000"/>
                <w:sz w:val="16"/>
                <w:szCs w:val="16"/>
              </w:rPr>
            </w:pPr>
            <w:r w:rsidRPr="000D3D0C">
              <w:rPr>
                <w:color w:val="000000"/>
                <w:sz w:val="16"/>
                <w:szCs w:val="16"/>
              </w:rPr>
              <w:t>Котельная №1</w:t>
            </w:r>
          </w:p>
        </w:tc>
        <w:tc>
          <w:tcPr>
            <w:tcW w:w="528" w:type="pct"/>
            <w:shd w:val="clear" w:color="auto" w:fill="auto"/>
            <w:tcMar>
              <w:left w:w="28" w:type="dxa"/>
              <w:right w:w="28" w:type="dxa"/>
            </w:tcMar>
            <w:vAlign w:val="center"/>
          </w:tcPr>
          <w:p w14:paraId="404CCD81" w14:textId="77777777" w:rsidR="004A0123" w:rsidRPr="000D3D0C" w:rsidRDefault="004A0123" w:rsidP="008A5C11">
            <w:pPr>
              <w:jc w:val="center"/>
              <w:rPr>
                <w:sz w:val="16"/>
                <w:szCs w:val="16"/>
              </w:rPr>
            </w:pPr>
            <w:r w:rsidRPr="000D3D0C">
              <w:rPr>
                <w:sz w:val="16"/>
                <w:szCs w:val="16"/>
              </w:rPr>
              <w:t>0</w:t>
            </w:r>
          </w:p>
        </w:tc>
        <w:tc>
          <w:tcPr>
            <w:tcW w:w="140" w:type="pct"/>
            <w:shd w:val="clear" w:color="auto" w:fill="auto"/>
            <w:tcMar>
              <w:left w:w="28" w:type="dxa"/>
              <w:right w:w="28" w:type="dxa"/>
            </w:tcMar>
            <w:vAlign w:val="center"/>
          </w:tcPr>
          <w:p w14:paraId="5D74AF58" w14:textId="77777777" w:rsidR="004A0123" w:rsidRPr="000D3D0C" w:rsidRDefault="004A0123" w:rsidP="008A5C11">
            <w:pPr>
              <w:jc w:val="center"/>
              <w:rPr>
                <w:sz w:val="16"/>
                <w:szCs w:val="16"/>
              </w:rPr>
            </w:pPr>
            <w:r w:rsidRPr="000D3D0C">
              <w:rPr>
                <w:sz w:val="16"/>
                <w:szCs w:val="16"/>
              </w:rPr>
              <w:t>0</w:t>
            </w:r>
          </w:p>
        </w:tc>
        <w:tc>
          <w:tcPr>
            <w:tcW w:w="165" w:type="pct"/>
            <w:shd w:val="clear" w:color="auto" w:fill="auto"/>
            <w:tcMar>
              <w:left w:w="28" w:type="dxa"/>
              <w:right w:w="28" w:type="dxa"/>
            </w:tcMar>
            <w:vAlign w:val="center"/>
          </w:tcPr>
          <w:p w14:paraId="6077A8DF" w14:textId="77777777" w:rsidR="004A0123" w:rsidRPr="000D3D0C" w:rsidRDefault="004A0123" w:rsidP="008A5C11">
            <w:pPr>
              <w:jc w:val="center"/>
              <w:rPr>
                <w:sz w:val="16"/>
                <w:szCs w:val="16"/>
              </w:rPr>
            </w:pPr>
            <w:r w:rsidRPr="000D3D0C">
              <w:rPr>
                <w:sz w:val="16"/>
                <w:szCs w:val="16"/>
              </w:rPr>
              <w:t>0</w:t>
            </w:r>
          </w:p>
        </w:tc>
        <w:tc>
          <w:tcPr>
            <w:tcW w:w="140" w:type="pct"/>
            <w:shd w:val="clear" w:color="auto" w:fill="auto"/>
            <w:tcMar>
              <w:left w:w="28" w:type="dxa"/>
              <w:right w:w="28" w:type="dxa"/>
            </w:tcMar>
            <w:vAlign w:val="center"/>
          </w:tcPr>
          <w:p w14:paraId="69964E0C" w14:textId="77777777" w:rsidR="004A0123" w:rsidRPr="000D3D0C" w:rsidRDefault="004A0123" w:rsidP="008A5C11">
            <w:pPr>
              <w:jc w:val="center"/>
              <w:rPr>
                <w:sz w:val="16"/>
                <w:szCs w:val="16"/>
              </w:rPr>
            </w:pPr>
            <w:r w:rsidRPr="000D3D0C">
              <w:rPr>
                <w:sz w:val="16"/>
                <w:szCs w:val="16"/>
              </w:rPr>
              <w:t>0</w:t>
            </w:r>
          </w:p>
        </w:tc>
        <w:tc>
          <w:tcPr>
            <w:tcW w:w="140" w:type="pct"/>
            <w:shd w:val="clear" w:color="auto" w:fill="auto"/>
            <w:vAlign w:val="center"/>
          </w:tcPr>
          <w:p w14:paraId="463D16CC" w14:textId="77777777" w:rsidR="004A0123" w:rsidRPr="000D3D0C" w:rsidRDefault="004A0123" w:rsidP="008A5C11">
            <w:pPr>
              <w:jc w:val="center"/>
              <w:rPr>
                <w:sz w:val="16"/>
                <w:szCs w:val="16"/>
              </w:rPr>
            </w:pPr>
            <w:r w:rsidRPr="000D3D0C">
              <w:rPr>
                <w:sz w:val="16"/>
                <w:szCs w:val="16"/>
              </w:rPr>
              <w:t>0</w:t>
            </w:r>
          </w:p>
        </w:tc>
        <w:tc>
          <w:tcPr>
            <w:tcW w:w="140" w:type="pct"/>
            <w:vAlign w:val="center"/>
          </w:tcPr>
          <w:p w14:paraId="30A0744A" w14:textId="77777777" w:rsidR="004A0123" w:rsidRPr="000D3D0C" w:rsidRDefault="004A0123" w:rsidP="008A5C11">
            <w:pPr>
              <w:jc w:val="center"/>
              <w:rPr>
                <w:sz w:val="16"/>
                <w:szCs w:val="16"/>
              </w:rPr>
            </w:pPr>
            <w:r w:rsidRPr="000D3D0C">
              <w:rPr>
                <w:sz w:val="16"/>
                <w:szCs w:val="16"/>
              </w:rPr>
              <w:t>0</w:t>
            </w:r>
          </w:p>
        </w:tc>
        <w:tc>
          <w:tcPr>
            <w:tcW w:w="140" w:type="pct"/>
            <w:vAlign w:val="center"/>
          </w:tcPr>
          <w:p w14:paraId="169A0F1B" w14:textId="77777777" w:rsidR="004A0123" w:rsidRPr="000D3D0C" w:rsidRDefault="004A0123" w:rsidP="008A5C11">
            <w:pPr>
              <w:jc w:val="center"/>
              <w:rPr>
                <w:sz w:val="16"/>
                <w:szCs w:val="16"/>
              </w:rPr>
            </w:pPr>
            <w:r w:rsidRPr="000D3D0C">
              <w:rPr>
                <w:sz w:val="16"/>
                <w:szCs w:val="16"/>
              </w:rPr>
              <w:t>0</w:t>
            </w:r>
          </w:p>
        </w:tc>
        <w:tc>
          <w:tcPr>
            <w:tcW w:w="140" w:type="pct"/>
            <w:vAlign w:val="center"/>
          </w:tcPr>
          <w:p w14:paraId="2F423894" w14:textId="77777777" w:rsidR="004A0123" w:rsidRPr="000D3D0C" w:rsidRDefault="004A0123" w:rsidP="008A5C11">
            <w:pPr>
              <w:jc w:val="center"/>
              <w:rPr>
                <w:sz w:val="16"/>
                <w:szCs w:val="16"/>
              </w:rPr>
            </w:pPr>
            <w:r w:rsidRPr="000D3D0C">
              <w:rPr>
                <w:sz w:val="16"/>
                <w:szCs w:val="16"/>
              </w:rPr>
              <w:t>0</w:t>
            </w:r>
          </w:p>
        </w:tc>
        <w:tc>
          <w:tcPr>
            <w:tcW w:w="140" w:type="pct"/>
            <w:vAlign w:val="center"/>
          </w:tcPr>
          <w:p w14:paraId="1A816155" w14:textId="77777777" w:rsidR="004A0123" w:rsidRPr="000D3D0C" w:rsidRDefault="004A0123" w:rsidP="008A5C11">
            <w:pPr>
              <w:jc w:val="center"/>
              <w:rPr>
                <w:sz w:val="16"/>
                <w:szCs w:val="16"/>
              </w:rPr>
            </w:pPr>
            <w:r w:rsidRPr="000D3D0C">
              <w:rPr>
                <w:sz w:val="16"/>
                <w:szCs w:val="16"/>
              </w:rPr>
              <w:t>0</w:t>
            </w:r>
          </w:p>
        </w:tc>
        <w:tc>
          <w:tcPr>
            <w:tcW w:w="140" w:type="pct"/>
            <w:vAlign w:val="center"/>
          </w:tcPr>
          <w:p w14:paraId="707FAC01" w14:textId="77777777" w:rsidR="004A0123" w:rsidRPr="000D3D0C" w:rsidRDefault="004A0123" w:rsidP="008A5C11">
            <w:pPr>
              <w:jc w:val="center"/>
              <w:rPr>
                <w:sz w:val="16"/>
                <w:szCs w:val="16"/>
              </w:rPr>
            </w:pPr>
            <w:r w:rsidRPr="000D3D0C">
              <w:rPr>
                <w:sz w:val="16"/>
                <w:szCs w:val="16"/>
              </w:rPr>
              <w:t>0</w:t>
            </w:r>
          </w:p>
        </w:tc>
        <w:tc>
          <w:tcPr>
            <w:tcW w:w="144" w:type="pct"/>
            <w:vAlign w:val="center"/>
          </w:tcPr>
          <w:p w14:paraId="6CF6900E" w14:textId="77777777" w:rsidR="004A0123" w:rsidRPr="000D3D0C" w:rsidRDefault="004A0123" w:rsidP="008A5C11">
            <w:pPr>
              <w:jc w:val="center"/>
              <w:rPr>
                <w:sz w:val="16"/>
                <w:szCs w:val="16"/>
              </w:rPr>
            </w:pPr>
            <w:r w:rsidRPr="000D3D0C">
              <w:rPr>
                <w:sz w:val="16"/>
                <w:szCs w:val="16"/>
              </w:rPr>
              <w:t>0</w:t>
            </w:r>
          </w:p>
        </w:tc>
        <w:tc>
          <w:tcPr>
            <w:tcW w:w="536" w:type="pct"/>
            <w:shd w:val="clear" w:color="auto" w:fill="auto"/>
            <w:tcMar>
              <w:left w:w="28" w:type="dxa"/>
              <w:right w:w="28" w:type="dxa"/>
            </w:tcMar>
            <w:vAlign w:val="center"/>
          </w:tcPr>
          <w:p w14:paraId="4A01664A" w14:textId="77777777" w:rsidR="004A0123" w:rsidRPr="000D3D0C" w:rsidRDefault="004A0123" w:rsidP="008A5C11">
            <w:pPr>
              <w:jc w:val="center"/>
              <w:rPr>
                <w:sz w:val="16"/>
                <w:szCs w:val="16"/>
              </w:rPr>
            </w:pPr>
            <w:r w:rsidRPr="000D3D0C">
              <w:rPr>
                <w:sz w:val="16"/>
                <w:szCs w:val="16"/>
              </w:rPr>
              <w:t>0</w:t>
            </w:r>
          </w:p>
        </w:tc>
        <w:tc>
          <w:tcPr>
            <w:tcW w:w="166" w:type="pct"/>
            <w:shd w:val="clear" w:color="auto" w:fill="auto"/>
            <w:tcMar>
              <w:left w:w="28" w:type="dxa"/>
              <w:right w:w="28" w:type="dxa"/>
            </w:tcMar>
            <w:vAlign w:val="center"/>
          </w:tcPr>
          <w:p w14:paraId="32BE12CE" w14:textId="77777777" w:rsidR="004A0123" w:rsidRPr="000D3D0C" w:rsidRDefault="004A0123" w:rsidP="008A5C11">
            <w:pPr>
              <w:jc w:val="center"/>
              <w:rPr>
                <w:sz w:val="16"/>
                <w:szCs w:val="16"/>
              </w:rPr>
            </w:pPr>
            <w:r w:rsidRPr="000D3D0C">
              <w:rPr>
                <w:sz w:val="16"/>
                <w:szCs w:val="16"/>
              </w:rPr>
              <w:t>0</w:t>
            </w:r>
          </w:p>
        </w:tc>
        <w:tc>
          <w:tcPr>
            <w:tcW w:w="169" w:type="pct"/>
            <w:shd w:val="clear" w:color="auto" w:fill="auto"/>
            <w:tcMar>
              <w:left w:w="28" w:type="dxa"/>
              <w:right w:w="28" w:type="dxa"/>
            </w:tcMar>
            <w:vAlign w:val="center"/>
          </w:tcPr>
          <w:p w14:paraId="40E42E38" w14:textId="77777777" w:rsidR="004A0123" w:rsidRPr="000D3D0C" w:rsidRDefault="004A0123" w:rsidP="008A5C11">
            <w:pPr>
              <w:jc w:val="center"/>
              <w:rPr>
                <w:sz w:val="16"/>
                <w:szCs w:val="16"/>
              </w:rPr>
            </w:pPr>
            <w:r w:rsidRPr="000D3D0C">
              <w:rPr>
                <w:sz w:val="16"/>
                <w:szCs w:val="16"/>
              </w:rPr>
              <w:t>0</w:t>
            </w:r>
          </w:p>
        </w:tc>
        <w:tc>
          <w:tcPr>
            <w:tcW w:w="140" w:type="pct"/>
            <w:shd w:val="clear" w:color="auto" w:fill="auto"/>
            <w:tcMar>
              <w:left w:w="28" w:type="dxa"/>
              <w:right w:w="28" w:type="dxa"/>
            </w:tcMar>
            <w:vAlign w:val="center"/>
          </w:tcPr>
          <w:p w14:paraId="0CCDFBD4" w14:textId="77777777" w:rsidR="004A0123" w:rsidRPr="000D3D0C" w:rsidRDefault="004A0123" w:rsidP="008A5C11">
            <w:pPr>
              <w:jc w:val="center"/>
              <w:rPr>
                <w:sz w:val="16"/>
                <w:szCs w:val="16"/>
              </w:rPr>
            </w:pPr>
            <w:r w:rsidRPr="000D3D0C">
              <w:rPr>
                <w:sz w:val="16"/>
                <w:szCs w:val="16"/>
              </w:rPr>
              <w:t>0</w:t>
            </w:r>
          </w:p>
        </w:tc>
        <w:tc>
          <w:tcPr>
            <w:tcW w:w="162" w:type="pct"/>
            <w:shd w:val="clear" w:color="auto" w:fill="auto"/>
            <w:vAlign w:val="center"/>
          </w:tcPr>
          <w:p w14:paraId="5542B38E" w14:textId="77777777" w:rsidR="004A0123" w:rsidRPr="000D3D0C" w:rsidRDefault="004A0123" w:rsidP="008A5C11">
            <w:pPr>
              <w:jc w:val="center"/>
              <w:rPr>
                <w:sz w:val="16"/>
                <w:szCs w:val="16"/>
              </w:rPr>
            </w:pPr>
            <w:r w:rsidRPr="000D3D0C">
              <w:rPr>
                <w:sz w:val="16"/>
                <w:szCs w:val="16"/>
              </w:rPr>
              <w:t>0</w:t>
            </w:r>
          </w:p>
        </w:tc>
        <w:tc>
          <w:tcPr>
            <w:tcW w:w="140" w:type="pct"/>
            <w:vAlign w:val="center"/>
          </w:tcPr>
          <w:p w14:paraId="7AEF299F" w14:textId="77777777" w:rsidR="004A0123" w:rsidRPr="000D3D0C" w:rsidRDefault="004A0123" w:rsidP="008A5C11">
            <w:pPr>
              <w:jc w:val="center"/>
              <w:rPr>
                <w:sz w:val="16"/>
                <w:szCs w:val="16"/>
              </w:rPr>
            </w:pPr>
            <w:r w:rsidRPr="000D3D0C">
              <w:rPr>
                <w:sz w:val="16"/>
                <w:szCs w:val="16"/>
              </w:rPr>
              <w:t>0</w:t>
            </w:r>
          </w:p>
        </w:tc>
        <w:tc>
          <w:tcPr>
            <w:tcW w:w="140" w:type="pct"/>
            <w:vAlign w:val="center"/>
          </w:tcPr>
          <w:p w14:paraId="441CAD33" w14:textId="77777777" w:rsidR="004A0123" w:rsidRPr="000D3D0C" w:rsidRDefault="004A0123" w:rsidP="008A5C11">
            <w:pPr>
              <w:jc w:val="center"/>
              <w:rPr>
                <w:sz w:val="16"/>
                <w:szCs w:val="16"/>
              </w:rPr>
            </w:pPr>
            <w:r w:rsidRPr="000D3D0C">
              <w:rPr>
                <w:sz w:val="16"/>
                <w:szCs w:val="16"/>
              </w:rPr>
              <w:t>0</w:t>
            </w:r>
          </w:p>
        </w:tc>
        <w:tc>
          <w:tcPr>
            <w:tcW w:w="140" w:type="pct"/>
            <w:vAlign w:val="center"/>
          </w:tcPr>
          <w:p w14:paraId="1B2D61DC" w14:textId="77777777" w:rsidR="004A0123" w:rsidRPr="000D3D0C" w:rsidRDefault="004A0123" w:rsidP="008A5C11">
            <w:pPr>
              <w:jc w:val="center"/>
              <w:rPr>
                <w:sz w:val="16"/>
                <w:szCs w:val="16"/>
              </w:rPr>
            </w:pPr>
            <w:r w:rsidRPr="000D3D0C">
              <w:rPr>
                <w:sz w:val="16"/>
                <w:szCs w:val="16"/>
              </w:rPr>
              <w:t>0</w:t>
            </w:r>
          </w:p>
        </w:tc>
        <w:tc>
          <w:tcPr>
            <w:tcW w:w="140" w:type="pct"/>
            <w:vAlign w:val="center"/>
          </w:tcPr>
          <w:p w14:paraId="370FF0B7" w14:textId="77777777" w:rsidR="004A0123" w:rsidRPr="000D3D0C" w:rsidRDefault="004A0123" w:rsidP="008A5C11">
            <w:pPr>
              <w:jc w:val="center"/>
              <w:rPr>
                <w:sz w:val="16"/>
                <w:szCs w:val="16"/>
              </w:rPr>
            </w:pPr>
            <w:r w:rsidRPr="000D3D0C">
              <w:rPr>
                <w:sz w:val="16"/>
                <w:szCs w:val="16"/>
              </w:rPr>
              <w:t>0</w:t>
            </w:r>
          </w:p>
        </w:tc>
        <w:tc>
          <w:tcPr>
            <w:tcW w:w="140" w:type="pct"/>
            <w:vAlign w:val="center"/>
          </w:tcPr>
          <w:p w14:paraId="7992745E" w14:textId="77777777" w:rsidR="004A0123" w:rsidRPr="000D3D0C" w:rsidRDefault="004A0123" w:rsidP="008A5C11">
            <w:pPr>
              <w:jc w:val="center"/>
              <w:rPr>
                <w:sz w:val="16"/>
                <w:szCs w:val="16"/>
              </w:rPr>
            </w:pPr>
            <w:r w:rsidRPr="000D3D0C">
              <w:rPr>
                <w:sz w:val="16"/>
                <w:szCs w:val="16"/>
              </w:rPr>
              <w:t>0</w:t>
            </w:r>
          </w:p>
        </w:tc>
        <w:tc>
          <w:tcPr>
            <w:tcW w:w="143" w:type="pct"/>
            <w:vAlign w:val="center"/>
          </w:tcPr>
          <w:p w14:paraId="02873CD4" w14:textId="77777777" w:rsidR="004A0123" w:rsidRPr="000D3D0C" w:rsidRDefault="004A0123" w:rsidP="008A5C11">
            <w:pPr>
              <w:jc w:val="center"/>
              <w:rPr>
                <w:sz w:val="16"/>
                <w:szCs w:val="16"/>
              </w:rPr>
            </w:pPr>
            <w:r w:rsidRPr="000D3D0C">
              <w:rPr>
                <w:sz w:val="16"/>
                <w:szCs w:val="16"/>
              </w:rPr>
              <w:t>0</w:t>
            </w:r>
          </w:p>
        </w:tc>
      </w:tr>
      <w:tr w:rsidR="004A0123" w:rsidRPr="000D3D0C" w14:paraId="3D454B70" w14:textId="77777777" w:rsidTr="008A5C11">
        <w:trPr>
          <w:trHeight w:val="23"/>
          <w:jc w:val="center"/>
        </w:trPr>
        <w:tc>
          <w:tcPr>
            <w:tcW w:w="201" w:type="pct"/>
            <w:tcMar>
              <w:top w:w="62" w:type="dxa"/>
              <w:left w:w="28" w:type="dxa"/>
              <w:bottom w:w="102" w:type="dxa"/>
              <w:right w:w="28" w:type="dxa"/>
            </w:tcMar>
            <w:vAlign w:val="center"/>
          </w:tcPr>
          <w:p w14:paraId="2A4F75EF" w14:textId="77777777" w:rsidR="004A0123" w:rsidRPr="000D3D0C" w:rsidRDefault="004A0123" w:rsidP="008A5C11">
            <w:pPr>
              <w:jc w:val="center"/>
              <w:rPr>
                <w:sz w:val="16"/>
                <w:szCs w:val="16"/>
              </w:rPr>
            </w:pPr>
            <w:r w:rsidRPr="000D3D0C">
              <w:rPr>
                <w:sz w:val="16"/>
                <w:szCs w:val="16"/>
              </w:rPr>
              <w:t>3</w:t>
            </w:r>
          </w:p>
        </w:tc>
        <w:tc>
          <w:tcPr>
            <w:tcW w:w="826" w:type="pct"/>
            <w:tcMar>
              <w:top w:w="62" w:type="dxa"/>
              <w:left w:w="28" w:type="dxa"/>
              <w:bottom w:w="102" w:type="dxa"/>
              <w:right w:w="28" w:type="dxa"/>
            </w:tcMar>
            <w:vAlign w:val="center"/>
          </w:tcPr>
          <w:p w14:paraId="456C1D0D" w14:textId="77777777" w:rsidR="004A0123" w:rsidRPr="000D3D0C" w:rsidRDefault="004A0123" w:rsidP="008A5C11">
            <w:pPr>
              <w:jc w:val="center"/>
              <w:rPr>
                <w:color w:val="000000"/>
                <w:sz w:val="16"/>
                <w:szCs w:val="16"/>
              </w:rPr>
            </w:pPr>
            <w:r w:rsidRPr="000D3D0C">
              <w:rPr>
                <w:color w:val="000000"/>
                <w:sz w:val="16"/>
                <w:szCs w:val="16"/>
              </w:rPr>
              <w:t>Котельная Кузель</w:t>
            </w:r>
          </w:p>
        </w:tc>
        <w:tc>
          <w:tcPr>
            <w:tcW w:w="528" w:type="pct"/>
            <w:shd w:val="clear" w:color="auto" w:fill="auto"/>
            <w:tcMar>
              <w:left w:w="28" w:type="dxa"/>
              <w:right w:w="28" w:type="dxa"/>
            </w:tcMar>
            <w:vAlign w:val="center"/>
          </w:tcPr>
          <w:p w14:paraId="5FA363A6" w14:textId="77777777" w:rsidR="004A0123" w:rsidRPr="000D3D0C" w:rsidRDefault="004A0123" w:rsidP="008A5C11">
            <w:pPr>
              <w:jc w:val="center"/>
              <w:rPr>
                <w:sz w:val="16"/>
                <w:szCs w:val="16"/>
              </w:rPr>
            </w:pPr>
            <w:r w:rsidRPr="000D3D0C">
              <w:rPr>
                <w:sz w:val="16"/>
                <w:szCs w:val="16"/>
              </w:rPr>
              <w:t>0</w:t>
            </w:r>
          </w:p>
        </w:tc>
        <w:tc>
          <w:tcPr>
            <w:tcW w:w="140" w:type="pct"/>
            <w:shd w:val="clear" w:color="auto" w:fill="auto"/>
            <w:tcMar>
              <w:left w:w="28" w:type="dxa"/>
              <w:right w:w="28" w:type="dxa"/>
            </w:tcMar>
            <w:vAlign w:val="center"/>
          </w:tcPr>
          <w:p w14:paraId="1A32AEAC" w14:textId="77777777" w:rsidR="004A0123" w:rsidRPr="000D3D0C" w:rsidRDefault="004A0123" w:rsidP="008A5C11">
            <w:pPr>
              <w:jc w:val="center"/>
              <w:rPr>
                <w:sz w:val="16"/>
                <w:szCs w:val="16"/>
              </w:rPr>
            </w:pPr>
            <w:r w:rsidRPr="000D3D0C">
              <w:rPr>
                <w:sz w:val="16"/>
                <w:szCs w:val="16"/>
              </w:rPr>
              <w:t>0</w:t>
            </w:r>
          </w:p>
        </w:tc>
        <w:tc>
          <w:tcPr>
            <w:tcW w:w="165" w:type="pct"/>
            <w:shd w:val="clear" w:color="auto" w:fill="auto"/>
            <w:tcMar>
              <w:left w:w="28" w:type="dxa"/>
              <w:right w:w="28" w:type="dxa"/>
            </w:tcMar>
            <w:vAlign w:val="center"/>
          </w:tcPr>
          <w:p w14:paraId="2563CE62" w14:textId="77777777" w:rsidR="004A0123" w:rsidRPr="000D3D0C" w:rsidRDefault="004A0123" w:rsidP="008A5C11">
            <w:pPr>
              <w:jc w:val="center"/>
              <w:rPr>
                <w:sz w:val="16"/>
                <w:szCs w:val="16"/>
              </w:rPr>
            </w:pPr>
            <w:r w:rsidRPr="000D3D0C">
              <w:rPr>
                <w:sz w:val="16"/>
                <w:szCs w:val="16"/>
              </w:rPr>
              <w:t>0</w:t>
            </w:r>
          </w:p>
        </w:tc>
        <w:tc>
          <w:tcPr>
            <w:tcW w:w="140" w:type="pct"/>
            <w:shd w:val="clear" w:color="auto" w:fill="auto"/>
            <w:tcMar>
              <w:left w:w="28" w:type="dxa"/>
              <w:right w:w="28" w:type="dxa"/>
            </w:tcMar>
            <w:vAlign w:val="center"/>
          </w:tcPr>
          <w:p w14:paraId="00F14D89" w14:textId="77777777" w:rsidR="004A0123" w:rsidRPr="000D3D0C" w:rsidRDefault="004A0123" w:rsidP="008A5C11">
            <w:pPr>
              <w:jc w:val="center"/>
              <w:rPr>
                <w:sz w:val="16"/>
                <w:szCs w:val="16"/>
              </w:rPr>
            </w:pPr>
            <w:r w:rsidRPr="000D3D0C">
              <w:rPr>
                <w:sz w:val="16"/>
                <w:szCs w:val="16"/>
              </w:rPr>
              <w:t>0</w:t>
            </w:r>
          </w:p>
        </w:tc>
        <w:tc>
          <w:tcPr>
            <w:tcW w:w="140" w:type="pct"/>
            <w:shd w:val="clear" w:color="auto" w:fill="auto"/>
            <w:vAlign w:val="center"/>
          </w:tcPr>
          <w:p w14:paraId="443842A2" w14:textId="77777777" w:rsidR="004A0123" w:rsidRPr="000D3D0C" w:rsidRDefault="004A0123" w:rsidP="008A5C11">
            <w:pPr>
              <w:jc w:val="center"/>
              <w:rPr>
                <w:sz w:val="16"/>
                <w:szCs w:val="16"/>
              </w:rPr>
            </w:pPr>
            <w:r w:rsidRPr="000D3D0C">
              <w:rPr>
                <w:sz w:val="16"/>
                <w:szCs w:val="16"/>
              </w:rPr>
              <w:t>0</w:t>
            </w:r>
          </w:p>
        </w:tc>
        <w:tc>
          <w:tcPr>
            <w:tcW w:w="140" w:type="pct"/>
            <w:vAlign w:val="center"/>
          </w:tcPr>
          <w:p w14:paraId="3D610DBB" w14:textId="77777777" w:rsidR="004A0123" w:rsidRPr="000D3D0C" w:rsidRDefault="004A0123" w:rsidP="008A5C11">
            <w:pPr>
              <w:jc w:val="center"/>
              <w:rPr>
                <w:sz w:val="16"/>
                <w:szCs w:val="16"/>
              </w:rPr>
            </w:pPr>
            <w:r w:rsidRPr="000D3D0C">
              <w:rPr>
                <w:sz w:val="16"/>
                <w:szCs w:val="16"/>
              </w:rPr>
              <w:t>0</w:t>
            </w:r>
          </w:p>
        </w:tc>
        <w:tc>
          <w:tcPr>
            <w:tcW w:w="140" w:type="pct"/>
            <w:vAlign w:val="center"/>
          </w:tcPr>
          <w:p w14:paraId="4F588BCF" w14:textId="77777777" w:rsidR="004A0123" w:rsidRPr="000D3D0C" w:rsidRDefault="004A0123" w:rsidP="008A5C11">
            <w:pPr>
              <w:jc w:val="center"/>
              <w:rPr>
                <w:sz w:val="16"/>
                <w:szCs w:val="16"/>
              </w:rPr>
            </w:pPr>
            <w:r w:rsidRPr="000D3D0C">
              <w:rPr>
                <w:sz w:val="16"/>
                <w:szCs w:val="16"/>
              </w:rPr>
              <w:t>0</w:t>
            </w:r>
          </w:p>
        </w:tc>
        <w:tc>
          <w:tcPr>
            <w:tcW w:w="140" w:type="pct"/>
            <w:vAlign w:val="center"/>
          </w:tcPr>
          <w:p w14:paraId="12F86BFA" w14:textId="77777777" w:rsidR="004A0123" w:rsidRPr="000D3D0C" w:rsidRDefault="004A0123" w:rsidP="008A5C11">
            <w:pPr>
              <w:jc w:val="center"/>
              <w:rPr>
                <w:sz w:val="16"/>
                <w:szCs w:val="16"/>
              </w:rPr>
            </w:pPr>
            <w:r w:rsidRPr="000D3D0C">
              <w:rPr>
                <w:sz w:val="16"/>
                <w:szCs w:val="16"/>
              </w:rPr>
              <w:t>0</w:t>
            </w:r>
          </w:p>
        </w:tc>
        <w:tc>
          <w:tcPr>
            <w:tcW w:w="140" w:type="pct"/>
            <w:vAlign w:val="center"/>
          </w:tcPr>
          <w:p w14:paraId="5F531F40" w14:textId="77777777" w:rsidR="004A0123" w:rsidRPr="000D3D0C" w:rsidRDefault="004A0123" w:rsidP="008A5C11">
            <w:pPr>
              <w:jc w:val="center"/>
              <w:rPr>
                <w:sz w:val="16"/>
                <w:szCs w:val="16"/>
              </w:rPr>
            </w:pPr>
            <w:r w:rsidRPr="000D3D0C">
              <w:rPr>
                <w:sz w:val="16"/>
                <w:szCs w:val="16"/>
              </w:rPr>
              <w:t>0</w:t>
            </w:r>
          </w:p>
        </w:tc>
        <w:tc>
          <w:tcPr>
            <w:tcW w:w="140" w:type="pct"/>
            <w:vAlign w:val="center"/>
          </w:tcPr>
          <w:p w14:paraId="12E2B464" w14:textId="77777777" w:rsidR="004A0123" w:rsidRPr="000D3D0C" w:rsidRDefault="004A0123" w:rsidP="008A5C11">
            <w:pPr>
              <w:jc w:val="center"/>
              <w:rPr>
                <w:sz w:val="16"/>
                <w:szCs w:val="16"/>
              </w:rPr>
            </w:pPr>
            <w:r w:rsidRPr="000D3D0C">
              <w:rPr>
                <w:sz w:val="16"/>
                <w:szCs w:val="16"/>
              </w:rPr>
              <w:t>0</w:t>
            </w:r>
          </w:p>
        </w:tc>
        <w:tc>
          <w:tcPr>
            <w:tcW w:w="144" w:type="pct"/>
            <w:vAlign w:val="center"/>
          </w:tcPr>
          <w:p w14:paraId="1E2F2783" w14:textId="77777777" w:rsidR="004A0123" w:rsidRPr="000D3D0C" w:rsidRDefault="004A0123" w:rsidP="008A5C11">
            <w:pPr>
              <w:jc w:val="center"/>
              <w:rPr>
                <w:sz w:val="16"/>
                <w:szCs w:val="16"/>
              </w:rPr>
            </w:pPr>
            <w:r w:rsidRPr="000D3D0C">
              <w:rPr>
                <w:sz w:val="16"/>
                <w:szCs w:val="16"/>
              </w:rPr>
              <w:t>0</w:t>
            </w:r>
          </w:p>
        </w:tc>
        <w:tc>
          <w:tcPr>
            <w:tcW w:w="536" w:type="pct"/>
            <w:shd w:val="clear" w:color="auto" w:fill="auto"/>
            <w:tcMar>
              <w:left w:w="28" w:type="dxa"/>
              <w:right w:w="28" w:type="dxa"/>
            </w:tcMar>
            <w:vAlign w:val="center"/>
          </w:tcPr>
          <w:p w14:paraId="120B9580" w14:textId="77777777" w:rsidR="004A0123" w:rsidRPr="000D3D0C" w:rsidRDefault="004A0123" w:rsidP="008A5C11">
            <w:pPr>
              <w:jc w:val="center"/>
              <w:rPr>
                <w:sz w:val="16"/>
                <w:szCs w:val="16"/>
              </w:rPr>
            </w:pPr>
            <w:r w:rsidRPr="000D3D0C">
              <w:rPr>
                <w:sz w:val="16"/>
                <w:szCs w:val="16"/>
              </w:rPr>
              <w:t>0</w:t>
            </w:r>
          </w:p>
        </w:tc>
        <w:tc>
          <w:tcPr>
            <w:tcW w:w="166" w:type="pct"/>
            <w:shd w:val="clear" w:color="auto" w:fill="auto"/>
            <w:tcMar>
              <w:left w:w="28" w:type="dxa"/>
              <w:right w:w="28" w:type="dxa"/>
            </w:tcMar>
            <w:vAlign w:val="center"/>
          </w:tcPr>
          <w:p w14:paraId="6172F8DC" w14:textId="77777777" w:rsidR="004A0123" w:rsidRPr="000D3D0C" w:rsidRDefault="004A0123" w:rsidP="008A5C11">
            <w:pPr>
              <w:jc w:val="center"/>
              <w:rPr>
                <w:sz w:val="16"/>
                <w:szCs w:val="16"/>
              </w:rPr>
            </w:pPr>
            <w:r w:rsidRPr="000D3D0C">
              <w:rPr>
                <w:sz w:val="16"/>
                <w:szCs w:val="16"/>
              </w:rPr>
              <w:t>0</w:t>
            </w:r>
          </w:p>
        </w:tc>
        <w:tc>
          <w:tcPr>
            <w:tcW w:w="169" w:type="pct"/>
            <w:shd w:val="clear" w:color="auto" w:fill="auto"/>
            <w:tcMar>
              <w:left w:w="28" w:type="dxa"/>
              <w:right w:w="28" w:type="dxa"/>
            </w:tcMar>
            <w:vAlign w:val="center"/>
          </w:tcPr>
          <w:p w14:paraId="12C1F3F4" w14:textId="77777777" w:rsidR="004A0123" w:rsidRPr="000D3D0C" w:rsidRDefault="004A0123" w:rsidP="008A5C11">
            <w:pPr>
              <w:jc w:val="center"/>
              <w:rPr>
                <w:sz w:val="16"/>
                <w:szCs w:val="16"/>
              </w:rPr>
            </w:pPr>
            <w:r w:rsidRPr="000D3D0C">
              <w:rPr>
                <w:sz w:val="16"/>
                <w:szCs w:val="16"/>
              </w:rPr>
              <w:t>0</w:t>
            </w:r>
          </w:p>
        </w:tc>
        <w:tc>
          <w:tcPr>
            <w:tcW w:w="140" w:type="pct"/>
            <w:shd w:val="clear" w:color="auto" w:fill="auto"/>
            <w:tcMar>
              <w:left w:w="28" w:type="dxa"/>
              <w:right w:w="28" w:type="dxa"/>
            </w:tcMar>
            <w:vAlign w:val="center"/>
          </w:tcPr>
          <w:p w14:paraId="35B89DED" w14:textId="77777777" w:rsidR="004A0123" w:rsidRPr="000D3D0C" w:rsidRDefault="004A0123" w:rsidP="008A5C11">
            <w:pPr>
              <w:jc w:val="center"/>
              <w:rPr>
                <w:sz w:val="16"/>
                <w:szCs w:val="16"/>
              </w:rPr>
            </w:pPr>
            <w:r w:rsidRPr="000D3D0C">
              <w:rPr>
                <w:sz w:val="16"/>
                <w:szCs w:val="16"/>
              </w:rPr>
              <w:t>0</w:t>
            </w:r>
          </w:p>
        </w:tc>
        <w:tc>
          <w:tcPr>
            <w:tcW w:w="162" w:type="pct"/>
            <w:shd w:val="clear" w:color="auto" w:fill="auto"/>
            <w:vAlign w:val="center"/>
          </w:tcPr>
          <w:p w14:paraId="068F4F1D" w14:textId="77777777" w:rsidR="004A0123" w:rsidRPr="000D3D0C" w:rsidRDefault="004A0123" w:rsidP="008A5C11">
            <w:pPr>
              <w:jc w:val="center"/>
              <w:rPr>
                <w:sz w:val="16"/>
                <w:szCs w:val="16"/>
              </w:rPr>
            </w:pPr>
            <w:r w:rsidRPr="000D3D0C">
              <w:rPr>
                <w:sz w:val="16"/>
                <w:szCs w:val="16"/>
              </w:rPr>
              <w:t>0</w:t>
            </w:r>
          </w:p>
        </w:tc>
        <w:tc>
          <w:tcPr>
            <w:tcW w:w="140" w:type="pct"/>
            <w:vAlign w:val="center"/>
          </w:tcPr>
          <w:p w14:paraId="42DABFFC" w14:textId="77777777" w:rsidR="004A0123" w:rsidRPr="000D3D0C" w:rsidRDefault="004A0123" w:rsidP="008A5C11">
            <w:pPr>
              <w:jc w:val="center"/>
              <w:rPr>
                <w:sz w:val="16"/>
                <w:szCs w:val="16"/>
              </w:rPr>
            </w:pPr>
            <w:r w:rsidRPr="000D3D0C">
              <w:rPr>
                <w:sz w:val="16"/>
                <w:szCs w:val="16"/>
              </w:rPr>
              <w:t>0</w:t>
            </w:r>
          </w:p>
        </w:tc>
        <w:tc>
          <w:tcPr>
            <w:tcW w:w="140" w:type="pct"/>
            <w:vAlign w:val="center"/>
          </w:tcPr>
          <w:p w14:paraId="5D040614" w14:textId="77777777" w:rsidR="004A0123" w:rsidRPr="000D3D0C" w:rsidRDefault="004A0123" w:rsidP="008A5C11">
            <w:pPr>
              <w:jc w:val="center"/>
              <w:rPr>
                <w:sz w:val="16"/>
                <w:szCs w:val="16"/>
              </w:rPr>
            </w:pPr>
            <w:r w:rsidRPr="000D3D0C">
              <w:rPr>
                <w:sz w:val="16"/>
                <w:szCs w:val="16"/>
              </w:rPr>
              <w:t>0</w:t>
            </w:r>
          </w:p>
        </w:tc>
        <w:tc>
          <w:tcPr>
            <w:tcW w:w="140" w:type="pct"/>
            <w:vAlign w:val="center"/>
          </w:tcPr>
          <w:p w14:paraId="7E6A1DCE" w14:textId="77777777" w:rsidR="004A0123" w:rsidRPr="000D3D0C" w:rsidRDefault="004A0123" w:rsidP="008A5C11">
            <w:pPr>
              <w:jc w:val="center"/>
              <w:rPr>
                <w:sz w:val="16"/>
                <w:szCs w:val="16"/>
              </w:rPr>
            </w:pPr>
            <w:r w:rsidRPr="000D3D0C">
              <w:rPr>
                <w:sz w:val="16"/>
                <w:szCs w:val="16"/>
              </w:rPr>
              <w:t>0</w:t>
            </w:r>
          </w:p>
        </w:tc>
        <w:tc>
          <w:tcPr>
            <w:tcW w:w="140" w:type="pct"/>
            <w:vAlign w:val="center"/>
          </w:tcPr>
          <w:p w14:paraId="4806614B" w14:textId="77777777" w:rsidR="004A0123" w:rsidRPr="000D3D0C" w:rsidRDefault="004A0123" w:rsidP="008A5C11">
            <w:pPr>
              <w:jc w:val="center"/>
              <w:rPr>
                <w:sz w:val="16"/>
                <w:szCs w:val="16"/>
              </w:rPr>
            </w:pPr>
            <w:r w:rsidRPr="000D3D0C">
              <w:rPr>
                <w:sz w:val="16"/>
                <w:szCs w:val="16"/>
              </w:rPr>
              <w:t>0</w:t>
            </w:r>
          </w:p>
        </w:tc>
        <w:tc>
          <w:tcPr>
            <w:tcW w:w="140" w:type="pct"/>
            <w:vAlign w:val="center"/>
          </w:tcPr>
          <w:p w14:paraId="37CF6505" w14:textId="77777777" w:rsidR="004A0123" w:rsidRPr="000D3D0C" w:rsidRDefault="004A0123" w:rsidP="008A5C11">
            <w:pPr>
              <w:jc w:val="center"/>
              <w:rPr>
                <w:sz w:val="16"/>
                <w:szCs w:val="16"/>
              </w:rPr>
            </w:pPr>
            <w:r w:rsidRPr="000D3D0C">
              <w:rPr>
                <w:sz w:val="16"/>
                <w:szCs w:val="16"/>
              </w:rPr>
              <w:t>0</w:t>
            </w:r>
          </w:p>
        </w:tc>
        <w:tc>
          <w:tcPr>
            <w:tcW w:w="143" w:type="pct"/>
            <w:vAlign w:val="center"/>
          </w:tcPr>
          <w:p w14:paraId="2A634470" w14:textId="77777777" w:rsidR="004A0123" w:rsidRPr="000D3D0C" w:rsidRDefault="004A0123" w:rsidP="008A5C11">
            <w:pPr>
              <w:jc w:val="center"/>
              <w:rPr>
                <w:sz w:val="16"/>
                <w:szCs w:val="16"/>
              </w:rPr>
            </w:pPr>
            <w:r w:rsidRPr="000D3D0C">
              <w:rPr>
                <w:sz w:val="16"/>
                <w:szCs w:val="16"/>
              </w:rPr>
              <w:t>0</w:t>
            </w:r>
          </w:p>
        </w:tc>
      </w:tr>
      <w:tr w:rsidR="004A0123" w:rsidRPr="000D3D0C" w14:paraId="08D3B93A" w14:textId="77777777" w:rsidTr="008A5C11">
        <w:trPr>
          <w:trHeight w:val="23"/>
          <w:jc w:val="center"/>
        </w:trPr>
        <w:tc>
          <w:tcPr>
            <w:tcW w:w="201" w:type="pct"/>
            <w:tcMar>
              <w:top w:w="62" w:type="dxa"/>
              <w:left w:w="28" w:type="dxa"/>
              <w:bottom w:w="102" w:type="dxa"/>
              <w:right w:w="28" w:type="dxa"/>
            </w:tcMar>
            <w:vAlign w:val="center"/>
          </w:tcPr>
          <w:p w14:paraId="266BDDDB" w14:textId="77777777" w:rsidR="004A0123" w:rsidRPr="000D3D0C" w:rsidRDefault="004A0123" w:rsidP="008A5C11">
            <w:pPr>
              <w:jc w:val="center"/>
              <w:rPr>
                <w:sz w:val="16"/>
                <w:szCs w:val="16"/>
              </w:rPr>
            </w:pPr>
            <w:r w:rsidRPr="000D3D0C">
              <w:rPr>
                <w:sz w:val="16"/>
                <w:szCs w:val="16"/>
              </w:rPr>
              <w:t>4</w:t>
            </w:r>
          </w:p>
        </w:tc>
        <w:tc>
          <w:tcPr>
            <w:tcW w:w="826" w:type="pct"/>
            <w:tcMar>
              <w:top w:w="62" w:type="dxa"/>
              <w:left w:w="28" w:type="dxa"/>
              <w:bottom w:w="102" w:type="dxa"/>
              <w:right w:w="28" w:type="dxa"/>
            </w:tcMar>
            <w:vAlign w:val="center"/>
          </w:tcPr>
          <w:p w14:paraId="132AF00E" w14:textId="77777777" w:rsidR="004A0123" w:rsidRPr="000D3D0C" w:rsidRDefault="004A0123" w:rsidP="008A5C11">
            <w:pPr>
              <w:jc w:val="center"/>
              <w:rPr>
                <w:color w:val="000000"/>
                <w:sz w:val="16"/>
                <w:szCs w:val="16"/>
              </w:rPr>
            </w:pPr>
            <w:r w:rsidRPr="000D3D0C">
              <w:rPr>
                <w:color w:val="000000"/>
                <w:sz w:val="16"/>
                <w:szCs w:val="16"/>
              </w:rPr>
              <w:t>Котельная Приют</w:t>
            </w:r>
          </w:p>
        </w:tc>
        <w:tc>
          <w:tcPr>
            <w:tcW w:w="528" w:type="pct"/>
            <w:shd w:val="clear" w:color="auto" w:fill="auto"/>
            <w:tcMar>
              <w:left w:w="28" w:type="dxa"/>
              <w:right w:w="28" w:type="dxa"/>
            </w:tcMar>
            <w:vAlign w:val="center"/>
          </w:tcPr>
          <w:p w14:paraId="7148063A" w14:textId="77777777" w:rsidR="004A0123" w:rsidRPr="000D3D0C" w:rsidRDefault="004A0123" w:rsidP="008A5C11">
            <w:pPr>
              <w:jc w:val="center"/>
              <w:rPr>
                <w:sz w:val="16"/>
                <w:szCs w:val="16"/>
              </w:rPr>
            </w:pPr>
            <w:r w:rsidRPr="000D3D0C">
              <w:rPr>
                <w:sz w:val="16"/>
                <w:szCs w:val="16"/>
              </w:rPr>
              <w:t>0</w:t>
            </w:r>
          </w:p>
        </w:tc>
        <w:tc>
          <w:tcPr>
            <w:tcW w:w="140" w:type="pct"/>
            <w:shd w:val="clear" w:color="auto" w:fill="auto"/>
            <w:tcMar>
              <w:left w:w="28" w:type="dxa"/>
              <w:right w:w="28" w:type="dxa"/>
            </w:tcMar>
            <w:vAlign w:val="center"/>
          </w:tcPr>
          <w:p w14:paraId="7323C14C" w14:textId="77777777" w:rsidR="004A0123" w:rsidRPr="000D3D0C" w:rsidRDefault="004A0123" w:rsidP="008A5C11">
            <w:pPr>
              <w:jc w:val="center"/>
              <w:rPr>
                <w:sz w:val="16"/>
                <w:szCs w:val="16"/>
              </w:rPr>
            </w:pPr>
            <w:r w:rsidRPr="000D3D0C">
              <w:rPr>
                <w:sz w:val="16"/>
                <w:szCs w:val="16"/>
              </w:rPr>
              <w:t>0</w:t>
            </w:r>
          </w:p>
        </w:tc>
        <w:tc>
          <w:tcPr>
            <w:tcW w:w="165" w:type="pct"/>
            <w:shd w:val="clear" w:color="auto" w:fill="auto"/>
            <w:tcMar>
              <w:left w:w="28" w:type="dxa"/>
              <w:right w:w="28" w:type="dxa"/>
            </w:tcMar>
            <w:vAlign w:val="center"/>
          </w:tcPr>
          <w:p w14:paraId="3DBB85E8" w14:textId="77777777" w:rsidR="004A0123" w:rsidRPr="000D3D0C" w:rsidRDefault="004A0123" w:rsidP="008A5C11">
            <w:pPr>
              <w:jc w:val="center"/>
              <w:rPr>
                <w:sz w:val="16"/>
                <w:szCs w:val="16"/>
              </w:rPr>
            </w:pPr>
            <w:r w:rsidRPr="000D3D0C">
              <w:rPr>
                <w:sz w:val="16"/>
                <w:szCs w:val="16"/>
              </w:rPr>
              <w:t>0</w:t>
            </w:r>
          </w:p>
        </w:tc>
        <w:tc>
          <w:tcPr>
            <w:tcW w:w="140" w:type="pct"/>
            <w:shd w:val="clear" w:color="auto" w:fill="auto"/>
            <w:tcMar>
              <w:left w:w="28" w:type="dxa"/>
              <w:right w:w="28" w:type="dxa"/>
            </w:tcMar>
            <w:vAlign w:val="center"/>
          </w:tcPr>
          <w:p w14:paraId="5E0CF483" w14:textId="77777777" w:rsidR="004A0123" w:rsidRPr="000D3D0C" w:rsidRDefault="004A0123" w:rsidP="008A5C11">
            <w:pPr>
              <w:jc w:val="center"/>
              <w:rPr>
                <w:sz w:val="16"/>
                <w:szCs w:val="16"/>
              </w:rPr>
            </w:pPr>
            <w:r w:rsidRPr="000D3D0C">
              <w:rPr>
                <w:sz w:val="16"/>
                <w:szCs w:val="16"/>
              </w:rPr>
              <w:t>0</w:t>
            </w:r>
          </w:p>
        </w:tc>
        <w:tc>
          <w:tcPr>
            <w:tcW w:w="140" w:type="pct"/>
            <w:shd w:val="clear" w:color="auto" w:fill="auto"/>
            <w:vAlign w:val="center"/>
          </w:tcPr>
          <w:p w14:paraId="320D40A0" w14:textId="77777777" w:rsidR="004A0123" w:rsidRPr="000D3D0C" w:rsidRDefault="004A0123" w:rsidP="008A5C11">
            <w:pPr>
              <w:jc w:val="center"/>
              <w:rPr>
                <w:sz w:val="16"/>
                <w:szCs w:val="16"/>
              </w:rPr>
            </w:pPr>
            <w:r w:rsidRPr="000D3D0C">
              <w:rPr>
                <w:sz w:val="16"/>
                <w:szCs w:val="16"/>
              </w:rPr>
              <w:t>0</w:t>
            </w:r>
          </w:p>
        </w:tc>
        <w:tc>
          <w:tcPr>
            <w:tcW w:w="140" w:type="pct"/>
            <w:vAlign w:val="center"/>
          </w:tcPr>
          <w:p w14:paraId="4174F757" w14:textId="77777777" w:rsidR="004A0123" w:rsidRPr="000D3D0C" w:rsidRDefault="004A0123" w:rsidP="008A5C11">
            <w:pPr>
              <w:jc w:val="center"/>
              <w:rPr>
                <w:sz w:val="16"/>
                <w:szCs w:val="16"/>
              </w:rPr>
            </w:pPr>
            <w:r w:rsidRPr="000D3D0C">
              <w:rPr>
                <w:sz w:val="16"/>
                <w:szCs w:val="16"/>
              </w:rPr>
              <w:t>0</w:t>
            </w:r>
          </w:p>
        </w:tc>
        <w:tc>
          <w:tcPr>
            <w:tcW w:w="140" w:type="pct"/>
            <w:vAlign w:val="center"/>
          </w:tcPr>
          <w:p w14:paraId="3F41ADCE" w14:textId="77777777" w:rsidR="004A0123" w:rsidRPr="000D3D0C" w:rsidRDefault="004A0123" w:rsidP="008A5C11">
            <w:pPr>
              <w:jc w:val="center"/>
              <w:rPr>
                <w:sz w:val="16"/>
                <w:szCs w:val="16"/>
              </w:rPr>
            </w:pPr>
            <w:r w:rsidRPr="000D3D0C">
              <w:rPr>
                <w:sz w:val="16"/>
                <w:szCs w:val="16"/>
              </w:rPr>
              <w:t>0</w:t>
            </w:r>
          </w:p>
        </w:tc>
        <w:tc>
          <w:tcPr>
            <w:tcW w:w="140" w:type="pct"/>
            <w:vAlign w:val="center"/>
          </w:tcPr>
          <w:p w14:paraId="55B59293" w14:textId="77777777" w:rsidR="004A0123" w:rsidRPr="000D3D0C" w:rsidRDefault="004A0123" w:rsidP="008A5C11">
            <w:pPr>
              <w:jc w:val="center"/>
              <w:rPr>
                <w:sz w:val="16"/>
                <w:szCs w:val="16"/>
              </w:rPr>
            </w:pPr>
            <w:r w:rsidRPr="000D3D0C">
              <w:rPr>
                <w:sz w:val="16"/>
                <w:szCs w:val="16"/>
              </w:rPr>
              <w:t>0</w:t>
            </w:r>
          </w:p>
        </w:tc>
        <w:tc>
          <w:tcPr>
            <w:tcW w:w="140" w:type="pct"/>
            <w:vAlign w:val="center"/>
          </w:tcPr>
          <w:p w14:paraId="31C4E9F8" w14:textId="77777777" w:rsidR="004A0123" w:rsidRPr="000D3D0C" w:rsidRDefault="004A0123" w:rsidP="008A5C11">
            <w:pPr>
              <w:jc w:val="center"/>
              <w:rPr>
                <w:sz w:val="16"/>
                <w:szCs w:val="16"/>
              </w:rPr>
            </w:pPr>
            <w:r w:rsidRPr="000D3D0C">
              <w:rPr>
                <w:sz w:val="16"/>
                <w:szCs w:val="16"/>
              </w:rPr>
              <w:t>0</w:t>
            </w:r>
          </w:p>
        </w:tc>
        <w:tc>
          <w:tcPr>
            <w:tcW w:w="140" w:type="pct"/>
            <w:vAlign w:val="center"/>
          </w:tcPr>
          <w:p w14:paraId="6A509D64" w14:textId="77777777" w:rsidR="004A0123" w:rsidRPr="000D3D0C" w:rsidRDefault="004A0123" w:rsidP="008A5C11">
            <w:pPr>
              <w:jc w:val="center"/>
              <w:rPr>
                <w:sz w:val="16"/>
                <w:szCs w:val="16"/>
              </w:rPr>
            </w:pPr>
            <w:r w:rsidRPr="000D3D0C">
              <w:rPr>
                <w:sz w:val="16"/>
                <w:szCs w:val="16"/>
              </w:rPr>
              <w:t>0</w:t>
            </w:r>
          </w:p>
        </w:tc>
        <w:tc>
          <w:tcPr>
            <w:tcW w:w="144" w:type="pct"/>
            <w:vAlign w:val="center"/>
          </w:tcPr>
          <w:p w14:paraId="31B2FE6A" w14:textId="77777777" w:rsidR="004A0123" w:rsidRPr="000D3D0C" w:rsidRDefault="004A0123" w:rsidP="008A5C11">
            <w:pPr>
              <w:jc w:val="center"/>
              <w:rPr>
                <w:sz w:val="16"/>
                <w:szCs w:val="16"/>
              </w:rPr>
            </w:pPr>
            <w:r w:rsidRPr="000D3D0C">
              <w:rPr>
                <w:sz w:val="16"/>
                <w:szCs w:val="16"/>
              </w:rPr>
              <w:t>0</w:t>
            </w:r>
          </w:p>
        </w:tc>
        <w:tc>
          <w:tcPr>
            <w:tcW w:w="536" w:type="pct"/>
            <w:shd w:val="clear" w:color="auto" w:fill="auto"/>
            <w:tcMar>
              <w:left w:w="28" w:type="dxa"/>
              <w:right w:w="28" w:type="dxa"/>
            </w:tcMar>
            <w:vAlign w:val="center"/>
          </w:tcPr>
          <w:p w14:paraId="3AD6F05D" w14:textId="77777777" w:rsidR="004A0123" w:rsidRPr="000D3D0C" w:rsidRDefault="004A0123" w:rsidP="008A5C11">
            <w:pPr>
              <w:jc w:val="center"/>
              <w:rPr>
                <w:sz w:val="16"/>
                <w:szCs w:val="16"/>
              </w:rPr>
            </w:pPr>
            <w:r w:rsidRPr="000D3D0C">
              <w:rPr>
                <w:sz w:val="16"/>
                <w:szCs w:val="16"/>
              </w:rPr>
              <w:t>0</w:t>
            </w:r>
          </w:p>
        </w:tc>
        <w:tc>
          <w:tcPr>
            <w:tcW w:w="166" w:type="pct"/>
            <w:shd w:val="clear" w:color="auto" w:fill="auto"/>
            <w:tcMar>
              <w:left w:w="28" w:type="dxa"/>
              <w:right w:w="28" w:type="dxa"/>
            </w:tcMar>
            <w:vAlign w:val="center"/>
          </w:tcPr>
          <w:p w14:paraId="62D0010A" w14:textId="77777777" w:rsidR="004A0123" w:rsidRPr="000D3D0C" w:rsidRDefault="004A0123" w:rsidP="008A5C11">
            <w:pPr>
              <w:jc w:val="center"/>
              <w:rPr>
                <w:sz w:val="16"/>
                <w:szCs w:val="16"/>
              </w:rPr>
            </w:pPr>
            <w:r w:rsidRPr="000D3D0C">
              <w:rPr>
                <w:sz w:val="16"/>
                <w:szCs w:val="16"/>
              </w:rPr>
              <w:t>0</w:t>
            </w:r>
          </w:p>
        </w:tc>
        <w:tc>
          <w:tcPr>
            <w:tcW w:w="169" w:type="pct"/>
            <w:shd w:val="clear" w:color="auto" w:fill="auto"/>
            <w:tcMar>
              <w:left w:w="28" w:type="dxa"/>
              <w:right w:w="28" w:type="dxa"/>
            </w:tcMar>
            <w:vAlign w:val="center"/>
          </w:tcPr>
          <w:p w14:paraId="60C4D3FE" w14:textId="77777777" w:rsidR="004A0123" w:rsidRPr="000D3D0C" w:rsidRDefault="004A0123" w:rsidP="008A5C11">
            <w:pPr>
              <w:jc w:val="center"/>
              <w:rPr>
                <w:sz w:val="16"/>
                <w:szCs w:val="16"/>
              </w:rPr>
            </w:pPr>
            <w:r w:rsidRPr="000D3D0C">
              <w:rPr>
                <w:sz w:val="16"/>
                <w:szCs w:val="16"/>
              </w:rPr>
              <w:t>0</w:t>
            </w:r>
          </w:p>
        </w:tc>
        <w:tc>
          <w:tcPr>
            <w:tcW w:w="140" w:type="pct"/>
            <w:shd w:val="clear" w:color="auto" w:fill="auto"/>
            <w:tcMar>
              <w:left w:w="28" w:type="dxa"/>
              <w:right w:w="28" w:type="dxa"/>
            </w:tcMar>
            <w:vAlign w:val="center"/>
          </w:tcPr>
          <w:p w14:paraId="7A059EAC" w14:textId="77777777" w:rsidR="004A0123" w:rsidRPr="000D3D0C" w:rsidRDefault="004A0123" w:rsidP="008A5C11">
            <w:pPr>
              <w:jc w:val="center"/>
              <w:rPr>
                <w:sz w:val="16"/>
                <w:szCs w:val="16"/>
              </w:rPr>
            </w:pPr>
            <w:r w:rsidRPr="000D3D0C">
              <w:rPr>
                <w:sz w:val="16"/>
                <w:szCs w:val="16"/>
              </w:rPr>
              <w:t>0</w:t>
            </w:r>
          </w:p>
        </w:tc>
        <w:tc>
          <w:tcPr>
            <w:tcW w:w="162" w:type="pct"/>
            <w:shd w:val="clear" w:color="auto" w:fill="auto"/>
            <w:vAlign w:val="center"/>
          </w:tcPr>
          <w:p w14:paraId="44A51FCD" w14:textId="77777777" w:rsidR="004A0123" w:rsidRPr="000D3D0C" w:rsidRDefault="004A0123" w:rsidP="008A5C11">
            <w:pPr>
              <w:jc w:val="center"/>
              <w:rPr>
                <w:sz w:val="16"/>
                <w:szCs w:val="16"/>
              </w:rPr>
            </w:pPr>
            <w:r w:rsidRPr="000D3D0C">
              <w:rPr>
                <w:sz w:val="16"/>
                <w:szCs w:val="16"/>
              </w:rPr>
              <w:t>0</w:t>
            </w:r>
          </w:p>
        </w:tc>
        <w:tc>
          <w:tcPr>
            <w:tcW w:w="140" w:type="pct"/>
            <w:vAlign w:val="center"/>
          </w:tcPr>
          <w:p w14:paraId="0DC1C3EF" w14:textId="77777777" w:rsidR="004A0123" w:rsidRPr="000D3D0C" w:rsidRDefault="004A0123" w:rsidP="008A5C11">
            <w:pPr>
              <w:jc w:val="center"/>
              <w:rPr>
                <w:sz w:val="16"/>
                <w:szCs w:val="16"/>
              </w:rPr>
            </w:pPr>
            <w:r w:rsidRPr="000D3D0C">
              <w:rPr>
                <w:sz w:val="16"/>
                <w:szCs w:val="16"/>
              </w:rPr>
              <w:t>0</w:t>
            </w:r>
          </w:p>
        </w:tc>
        <w:tc>
          <w:tcPr>
            <w:tcW w:w="140" w:type="pct"/>
            <w:vAlign w:val="center"/>
          </w:tcPr>
          <w:p w14:paraId="5D864DBD" w14:textId="77777777" w:rsidR="004A0123" w:rsidRPr="000D3D0C" w:rsidRDefault="004A0123" w:rsidP="008A5C11">
            <w:pPr>
              <w:jc w:val="center"/>
              <w:rPr>
                <w:sz w:val="16"/>
                <w:szCs w:val="16"/>
              </w:rPr>
            </w:pPr>
            <w:r w:rsidRPr="000D3D0C">
              <w:rPr>
                <w:sz w:val="16"/>
                <w:szCs w:val="16"/>
              </w:rPr>
              <w:t>0</w:t>
            </w:r>
          </w:p>
        </w:tc>
        <w:tc>
          <w:tcPr>
            <w:tcW w:w="140" w:type="pct"/>
            <w:vAlign w:val="center"/>
          </w:tcPr>
          <w:p w14:paraId="0461220E" w14:textId="77777777" w:rsidR="004A0123" w:rsidRPr="000D3D0C" w:rsidRDefault="004A0123" w:rsidP="008A5C11">
            <w:pPr>
              <w:jc w:val="center"/>
              <w:rPr>
                <w:sz w:val="16"/>
                <w:szCs w:val="16"/>
              </w:rPr>
            </w:pPr>
            <w:r w:rsidRPr="000D3D0C">
              <w:rPr>
                <w:sz w:val="16"/>
                <w:szCs w:val="16"/>
              </w:rPr>
              <w:t>0</w:t>
            </w:r>
          </w:p>
        </w:tc>
        <w:tc>
          <w:tcPr>
            <w:tcW w:w="140" w:type="pct"/>
            <w:vAlign w:val="center"/>
          </w:tcPr>
          <w:p w14:paraId="1D643720" w14:textId="77777777" w:rsidR="004A0123" w:rsidRPr="000D3D0C" w:rsidRDefault="004A0123" w:rsidP="008A5C11">
            <w:pPr>
              <w:jc w:val="center"/>
              <w:rPr>
                <w:sz w:val="16"/>
                <w:szCs w:val="16"/>
              </w:rPr>
            </w:pPr>
            <w:r w:rsidRPr="000D3D0C">
              <w:rPr>
                <w:sz w:val="16"/>
                <w:szCs w:val="16"/>
              </w:rPr>
              <w:t>0</w:t>
            </w:r>
          </w:p>
        </w:tc>
        <w:tc>
          <w:tcPr>
            <w:tcW w:w="140" w:type="pct"/>
            <w:vAlign w:val="center"/>
          </w:tcPr>
          <w:p w14:paraId="28A37768" w14:textId="77777777" w:rsidR="004A0123" w:rsidRPr="000D3D0C" w:rsidRDefault="004A0123" w:rsidP="008A5C11">
            <w:pPr>
              <w:jc w:val="center"/>
              <w:rPr>
                <w:sz w:val="16"/>
                <w:szCs w:val="16"/>
              </w:rPr>
            </w:pPr>
            <w:r w:rsidRPr="000D3D0C">
              <w:rPr>
                <w:sz w:val="16"/>
                <w:szCs w:val="16"/>
              </w:rPr>
              <w:t>0</w:t>
            </w:r>
          </w:p>
        </w:tc>
        <w:tc>
          <w:tcPr>
            <w:tcW w:w="143" w:type="pct"/>
            <w:vAlign w:val="center"/>
          </w:tcPr>
          <w:p w14:paraId="22288DC6" w14:textId="77777777" w:rsidR="004A0123" w:rsidRPr="000D3D0C" w:rsidRDefault="004A0123" w:rsidP="008A5C11">
            <w:pPr>
              <w:jc w:val="center"/>
              <w:rPr>
                <w:sz w:val="16"/>
                <w:szCs w:val="16"/>
              </w:rPr>
            </w:pPr>
            <w:r w:rsidRPr="000D3D0C">
              <w:rPr>
                <w:sz w:val="16"/>
                <w:szCs w:val="16"/>
              </w:rPr>
              <w:t>0</w:t>
            </w:r>
          </w:p>
        </w:tc>
      </w:tr>
      <w:tr w:rsidR="004A0123" w:rsidRPr="000D3D0C" w14:paraId="79DBC815" w14:textId="77777777" w:rsidTr="008A5C11">
        <w:trPr>
          <w:trHeight w:val="23"/>
          <w:jc w:val="center"/>
        </w:trPr>
        <w:tc>
          <w:tcPr>
            <w:tcW w:w="201" w:type="pct"/>
            <w:tcMar>
              <w:top w:w="62" w:type="dxa"/>
              <w:left w:w="28" w:type="dxa"/>
              <w:bottom w:w="102" w:type="dxa"/>
              <w:right w:w="28" w:type="dxa"/>
            </w:tcMar>
            <w:vAlign w:val="center"/>
          </w:tcPr>
          <w:p w14:paraId="3D75A6CF" w14:textId="77777777" w:rsidR="004A0123" w:rsidRPr="000D3D0C" w:rsidRDefault="004A0123" w:rsidP="008A5C11">
            <w:pPr>
              <w:jc w:val="center"/>
              <w:rPr>
                <w:sz w:val="16"/>
                <w:szCs w:val="16"/>
              </w:rPr>
            </w:pPr>
            <w:r w:rsidRPr="000D3D0C">
              <w:rPr>
                <w:sz w:val="16"/>
                <w:szCs w:val="16"/>
              </w:rPr>
              <w:t>5</w:t>
            </w:r>
          </w:p>
        </w:tc>
        <w:tc>
          <w:tcPr>
            <w:tcW w:w="826" w:type="pct"/>
            <w:tcMar>
              <w:top w:w="62" w:type="dxa"/>
              <w:left w:w="28" w:type="dxa"/>
              <w:bottom w:w="102" w:type="dxa"/>
              <w:right w:w="28" w:type="dxa"/>
            </w:tcMar>
            <w:vAlign w:val="center"/>
          </w:tcPr>
          <w:p w14:paraId="658D2AA3" w14:textId="77777777" w:rsidR="004A0123" w:rsidRPr="000D3D0C" w:rsidRDefault="004A0123" w:rsidP="008A5C11">
            <w:pPr>
              <w:jc w:val="center"/>
              <w:rPr>
                <w:color w:val="000000"/>
                <w:sz w:val="16"/>
                <w:szCs w:val="16"/>
              </w:rPr>
            </w:pPr>
            <w:r w:rsidRPr="000D3D0C">
              <w:rPr>
                <w:color w:val="000000"/>
                <w:sz w:val="16"/>
                <w:szCs w:val="16"/>
              </w:rPr>
              <w:t>Котельная Детского сада</w:t>
            </w:r>
          </w:p>
        </w:tc>
        <w:tc>
          <w:tcPr>
            <w:tcW w:w="528" w:type="pct"/>
            <w:shd w:val="clear" w:color="auto" w:fill="auto"/>
            <w:tcMar>
              <w:left w:w="28" w:type="dxa"/>
              <w:right w:w="28" w:type="dxa"/>
            </w:tcMar>
            <w:vAlign w:val="center"/>
          </w:tcPr>
          <w:p w14:paraId="73A9AE71" w14:textId="77777777" w:rsidR="004A0123" w:rsidRPr="000D3D0C" w:rsidRDefault="004A0123" w:rsidP="008A5C11">
            <w:pPr>
              <w:jc w:val="center"/>
              <w:rPr>
                <w:sz w:val="16"/>
                <w:szCs w:val="16"/>
              </w:rPr>
            </w:pPr>
            <w:r w:rsidRPr="000D3D0C">
              <w:rPr>
                <w:sz w:val="16"/>
                <w:szCs w:val="16"/>
              </w:rPr>
              <w:t>0</w:t>
            </w:r>
          </w:p>
        </w:tc>
        <w:tc>
          <w:tcPr>
            <w:tcW w:w="140" w:type="pct"/>
            <w:shd w:val="clear" w:color="auto" w:fill="auto"/>
            <w:tcMar>
              <w:left w:w="28" w:type="dxa"/>
              <w:right w:w="28" w:type="dxa"/>
            </w:tcMar>
            <w:vAlign w:val="center"/>
          </w:tcPr>
          <w:p w14:paraId="4F960F39" w14:textId="77777777" w:rsidR="004A0123" w:rsidRPr="000D3D0C" w:rsidRDefault="004A0123" w:rsidP="008A5C11">
            <w:pPr>
              <w:jc w:val="center"/>
              <w:rPr>
                <w:sz w:val="16"/>
                <w:szCs w:val="16"/>
              </w:rPr>
            </w:pPr>
            <w:r w:rsidRPr="000D3D0C">
              <w:rPr>
                <w:sz w:val="16"/>
                <w:szCs w:val="16"/>
              </w:rPr>
              <w:t>0</w:t>
            </w:r>
          </w:p>
        </w:tc>
        <w:tc>
          <w:tcPr>
            <w:tcW w:w="165" w:type="pct"/>
            <w:shd w:val="clear" w:color="auto" w:fill="auto"/>
            <w:tcMar>
              <w:left w:w="28" w:type="dxa"/>
              <w:right w:w="28" w:type="dxa"/>
            </w:tcMar>
            <w:vAlign w:val="center"/>
          </w:tcPr>
          <w:p w14:paraId="4AD2E662" w14:textId="77777777" w:rsidR="004A0123" w:rsidRPr="000D3D0C" w:rsidRDefault="004A0123" w:rsidP="008A5C11">
            <w:pPr>
              <w:jc w:val="center"/>
              <w:rPr>
                <w:sz w:val="16"/>
                <w:szCs w:val="16"/>
              </w:rPr>
            </w:pPr>
            <w:r w:rsidRPr="000D3D0C">
              <w:rPr>
                <w:sz w:val="16"/>
                <w:szCs w:val="16"/>
              </w:rPr>
              <w:t>0</w:t>
            </w:r>
          </w:p>
        </w:tc>
        <w:tc>
          <w:tcPr>
            <w:tcW w:w="140" w:type="pct"/>
            <w:shd w:val="clear" w:color="auto" w:fill="auto"/>
            <w:tcMar>
              <w:left w:w="28" w:type="dxa"/>
              <w:right w:w="28" w:type="dxa"/>
            </w:tcMar>
            <w:vAlign w:val="center"/>
          </w:tcPr>
          <w:p w14:paraId="17DD0DED" w14:textId="77777777" w:rsidR="004A0123" w:rsidRPr="000D3D0C" w:rsidRDefault="004A0123" w:rsidP="008A5C11">
            <w:pPr>
              <w:jc w:val="center"/>
              <w:rPr>
                <w:sz w:val="16"/>
                <w:szCs w:val="16"/>
              </w:rPr>
            </w:pPr>
            <w:r w:rsidRPr="000D3D0C">
              <w:rPr>
                <w:sz w:val="16"/>
                <w:szCs w:val="16"/>
              </w:rPr>
              <w:t>0</w:t>
            </w:r>
          </w:p>
        </w:tc>
        <w:tc>
          <w:tcPr>
            <w:tcW w:w="140" w:type="pct"/>
            <w:shd w:val="clear" w:color="auto" w:fill="auto"/>
            <w:vAlign w:val="center"/>
          </w:tcPr>
          <w:p w14:paraId="166C0C26" w14:textId="77777777" w:rsidR="004A0123" w:rsidRPr="000D3D0C" w:rsidRDefault="004A0123" w:rsidP="008A5C11">
            <w:pPr>
              <w:jc w:val="center"/>
              <w:rPr>
                <w:sz w:val="16"/>
                <w:szCs w:val="16"/>
              </w:rPr>
            </w:pPr>
            <w:r w:rsidRPr="000D3D0C">
              <w:rPr>
                <w:sz w:val="16"/>
                <w:szCs w:val="16"/>
              </w:rPr>
              <w:t>0</w:t>
            </w:r>
          </w:p>
        </w:tc>
        <w:tc>
          <w:tcPr>
            <w:tcW w:w="140" w:type="pct"/>
            <w:vAlign w:val="center"/>
          </w:tcPr>
          <w:p w14:paraId="4A1AD97B" w14:textId="77777777" w:rsidR="004A0123" w:rsidRPr="000D3D0C" w:rsidRDefault="004A0123" w:rsidP="008A5C11">
            <w:pPr>
              <w:jc w:val="center"/>
              <w:rPr>
                <w:sz w:val="16"/>
                <w:szCs w:val="16"/>
              </w:rPr>
            </w:pPr>
            <w:r w:rsidRPr="000D3D0C">
              <w:rPr>
                <w:sz w:val="16"/>
                <w:szCs w:val="16"/>
              </w:rPr>
              <w:t>0</w:t>
            </w:r>
          </w:p>
        </w:tc>
        <w:tc>
          <w:tcPr>
            <w:tcW w:w="140" w:type="pct"/>
            <w:vAlign w:val="center"/>
          </w:tcPr>
          <w:p w14:paraId="03162F0F" w14:textId="77777777" w:rsidR="004A0123" w:rsidRPr="000D3D0C" w:rsidRDefault="004A0123" w:rsidP="008A5C11">
            <w:pPr>
              <w:jc w:val="center"/>
              <w:rPr>
                <w:sz w:val="16"/>
                <w:szCs w:val="16"/>
              </w:rPr>
            </w:pPr>
            <w:r w:rsidRPr="000D3D0C">
              <w:rPr>
                <w:sz w:val="16"/>
                <w:szCs w:val="16"/>
              </w:rPr>
              <w:t>0</w:t>
            </w:r>
          </w:p>
        </w:tc>
        <w:tc>
          <w:tcPr>
            <w:tcW w:w="140" w:type="pct"/>
            <w:vAlign w:val="center"/>
          </w:tcPr>
          <w:p w14:paraId="05181118" w14:textId="77777777" w:rsidR="004A0123" w:rsidRPr="000D3D0C" w:rsidRDefault="004A0123" w:rsidP="008A5C11">
            <w:pPr>
              <w:jc w:val="center"/>
              <w:rPr>
                <w:sz w:val="16"/>
                <w:szCs w:val="16"/>
              </w:rPr>
            </w:pPr>
            <w:r w:rsidRPr="000D3D0C">
              <w:rPr>
                <w:sz w:val="16"/>
                <w:szCs w:val="16"/>
              </w:rPr>
              <w:t>0</w:t>
            </w:r>
          </w:p>
        </w:tc>
        <w:tc>
          <w:tcPr>
            <w:tcW w:w="140" w:type="pct"/>
            <w:vAlign w:val="center"/>
          </w:tcPr>
          <w:p w14:paraId="07547382" w14:textId="77777777" w:rsidR="004A0123" w:rsidRPr="000D3D0C" w:rsidRDefault="004A0123" w:rsidP="008A5C11">
            <w:pPr>
              <w:jc w:val="center"/>
              <w:rPr>
                <w:sz w:val="16"/>
                <w:szCs w:val="16"/>
              </w:rPr>
            </w:pPr>
            <w:r w:rsidRPr="000D3D0C">
              <w:rPr>
                <w:sz w:val="16"/>
                <w:szCs w:val="16"/>
              </w:rPr>
              <w:t>0</w:t>
            </w:r>
          </w:p>
        </w:tc>
        <w:tc>
          <w:tcPr>
            <w:tcW w:w="140" w:type="pct"/>
            <w:vAlign w:val="center"/>
          </w:tcPr>
          <w:p w14:paraId="4DDFE5A8" w14:textId="77777777" w:rsidR="004A0123" w:rsidRPr="000D3D0C" w:rsidRDefault="004A0123" w:rsidP="008A5C11">
            <w:pPr>
              <w:jc w:val="center"/>
              <w:rPr>
                <w:sz w:val="16"/>
                <w:szCs w:val="16"/>
              </w:rPr>
            </w:pPr>
            <w:r w:rsidRPr="000D3D0C">
              <w:rPr>
                <w:sz w:val="16"/>
                <w:szCs w:val="16"/>
              </w:rPr>
              <w:t>0</w:t>
            </w:r>
          </w:p>
        </w:tc>
        <w:tc>
          <w:tcPr>
            <w:tcW w:w="144" w:type="pct"/>
            <w:vAlign w:val="center"/>
          </w:tcPr>
          <w:p w14:paraId="217A4BC2" w14:textId="77777777" w:rsidR="004A0123" w:rsidRPr="000D3D0C" w:rsidRDefault="004A0123" w:rsidP="008A5C11">
            <w:pPr>
              <w:jc w:val="center"/>
              <w:rPr>
                <w:sz w:val="16"/>
                <w:szCs w:val="16"/>
              </w:rPr>
            </w:pPr>
            <w:r w:rsidRPr="000D3D0C">
              <w:rPr>
                <w:sz w:val="16"/>
                <w:szCs w:val="16"/>
              </w:rPr>
              <w:t>0</w:t>
            </w:r>
          </w:p>
        </w:tc>
        <w:tc>
          <w:tcPr>
            <w:tcW w:w="536" w:type="pct"/>
            <w:shd w:val="clear" w:color="auto" w:fill="auto"/>
            <w:tcMar>
              <w:left w:w="28" w:type="dxa"/>
              <w:right w:w="28" w:type="dxa"/>
            </w:tcMar>
            <w:vAlign w:val="center"/>
          </w:tcPr>
          <w:p w14:paraId="6BB9095F" w14:textId="77777777" w:rsidR="004A0123" w:rsidRPr="000D3D0C" w:rsidRDefault="004A0123" w:rsidP="008A5C11">
            <w:pPr>
              <w:jc w:val="center"/>
              <w:rPr>
                <w:sz w:val="16"/>
                <w:szCs w:val="16"/>
              </w:rPr>
            </w:pPr>
            <w:r w:rsidRPr="000D3D0C">
              <w:rPr>
                <w:sz w:val="16"/>
                <w:szCs w:val="16"/>
              </w:rPr>
              <w:t>0</w:t>
            </w:r>
          </w:p>
        </w:tc>
        <w:tc>
          <w:tcPr>
            <w:tcW w:w="166" w:type="pct"/>
            <w:shd w:val="clear" w:color="auto" w:fill="auto"/>
            <w:tcMar>
              <w:left w:w="28" w:type="dxa"/>
              <w:right w:w="28" w:type="dxa"/>
            </w:tcMar>
            <w:vAlign w:val="center"/>
          </w:tcPr>
          <w:p w14:paraId="34A96EAF" w14:textId="77777777" w:rsidR="004A0123" w:rsidRPr="000D3D0C" w:rsidRDefault="004A0123" w:rsidP="008A5C11">
            <w:pPr>
              <w:jc w:val="center"/>
              <w:rPr>
                <w:sz w:val="16"/>
                <w:szCs w:val="16"/>
              </w:rPr>
            </w:pPr>
            <w:r w:rsidRPr="000D3D0C">
              <w:rPr>
                <w:sz w:val="16"/>
                <w:szCs w:val="16"/>
              </w:rPr>
              <w:t>0</w:t>
            </w:r>
          </w:p>
        </w:tc>
        <w:tc>
          <w:tcPr>
            <w:tcW w:w="169" w:type="pct"/>
            <w:shd w:val="clear" w:color="auto" w:fill="auto"/>
            <w:tcMar>
              <w:left w:w="28" w:type="dxa"/>
              <w:right w:w="28" w:type="dxa"/>
            </w:tcMar>
            <w:vAlign w:val="center"/>
          </w:tcPr>
          <w:p w14:paraId="6307FC13" w14:textId="77777777" w:rsidR="004A0123" w:rsidRPr="000D3D0C" w:rsidRDefault="004A0123" w:rsidP="008A5C11">
            <w:pPr>
              <w:jc w:val="center"/>
              <w:rPr>
                <w:sz w:val="16"/>
                <w:szCs w:val="16"/>
              </w:rPr>
            </w:pPr>
            <w:r w:rsidRPr="000D3D0C">
              <w:rPr>
                <w:sz w:val="16"/>
                <w:szCs w:val="16"/>
              </w:rPr>
              <w:t>0</w:t>
            </w:r>
          </w:p>
        </w:tc>
        <w:tc>
          <w:tcPr>
            <w:tcW w:w="140" w:type="pct"/>
            <w:shd w:val="clear" w:color="auto" w:fill="auto"/>
            <w:tcMar>
              <w:left w:w="28" w:type="dxa"/>
              <w:right w:w="28" w:type="dxa"/>
            </w:tcMar>
            <w:vAlign w:val="center"/>
          </w:tcPr>
          <w:p w14:paraId="445E5033" w14:textId="77777777" w:rsidR="004A0123" w:rsidRPr="000D3D0C" w:rsidRDefault="004A0123" w:rsidP="008A5C11">
            <w:pPr>
              <w:jc w:val="center"/>
              <w:rPr>
                <w:sz w:val="16"/>
                <w:szCs w:val="16"/>
              </w:rPr>
            </w:pPr>
            <w:r w:rsidRPr="000D3D0C">
              <w:rPr>
                <w:sz w:val="16"/>
                <w:szCs w:val="16"/>
              </w:rPr>
              <w:t>0</w:t>
            </w:r>
          </w:p>
        </w:tc>
        <w:tc>
          <w:tcPr>
            <w:tcW w:w="162" w:type="pct"/>
            <w:shd w:val="clear" w:color="auto" w:fill="auto"/>
            <w:vAlign w:val="center"/>
          </w:tcPr>
          <w:p w14:paraId="7137928F" w14:textId="77777777" w:rsidR="004A0123" w:rsidRPr="000D3D0C" w:rsidRDefault="004A0123" w:rsidP="008A5C11">
            <w:pPr>
              <w:jc w:val="center"/>
              <w:rPr>
                <w:sz w:val="16"/>
                <w:szCs w:val="16"/>
              </w:rPr>
            </w:pPr>
            <w:r w:rsidRPr="000D3D0C">
              <w:rPr>
                <w:sz w:val="16"/>
                <w:szCs w:val="16"/>
              </w:rPr>
              <w:t>0</w:t>
            </w:r>
          </w:p>
        </w:tc>
        <w:tc>
          <w:tcPr>
            <w:tcW w:w="140" w:type="pct"/>
            <w:vAlign w:val="center"/>
          </w:tcPr>
          <w:p w14:paraId="7BFE7693" w14:textId="77777777" w:rsidR="004A0123" w:rsidRPr="000D3D0C" w:rsidRDefault="004A0123" w:rsidP="008A5C11">
            <w:pPr>
              <w:jc w:val="center"/>
              <w:rPr>
                <w:sz w:val="16"/>
                <w:szCs w:val="16"/>
              </w:rPr>
            </w:pPr>
            <w:r w:rsidRPr="000D3D0C">
              <w:rPr>
                <w:sz w:val="16"/>
                <w:szCs w:val="16"/>
              </w:rPr>
              <w:t>0</w:t>
            </w:r>
          </w:p>
        </w:tc>
        <w:tc>
          <w:tcPr>
            <w:tcW w:w="140" w:type="pct"/>
            <w:vAlign w:val="center"/>
          </w:tcPr>
          <w:p w14:paraId="6C17E4B4" w14:textId="77777777" w:rsidR="004A0123" w:rsidRPr="000D3D0C" w:rsidRDefault="004A0123" w:rsidP="008A5C11">
            <w:pPr>
              <w:jc w:val="center"/>
              <w:rPr>
                <w:sz w:val="16"/>
                <w:szCs w:val="16"/>
              </w:rPr>
            </w:pPr>
            <w:r w:rsidRPr="000D3D0C">
              <w:rPr>
                <w:sz w:val="16"/>
                <w:szCs w:val="16"/>
              </w:rPr>
              <w:t>0</w:t>
            </w:r>
          </w:p>
        </w:tc>
        <w:tc>
          <w:tcPr>
            <w:tcW w:w="140" w:type="pct"/>
            <w:vAlign w:val="center"/>
          </w:tcPr>
          <w:p w14:paraId="6BADBE9B" w14:textId="77777777" w:rsidR="004A0123" w:rsidRPr="000D3D0C" w:rsidRDefault="004A0123" w:rsidP="008A5C11">
            <w:pPr>
              <w:jc w:val="center"/>
              <w:rPr>
                <w:sz w:val="16"/>
                <w:szCs w:val="16"/>
              </w:rPr>
            </w:pPr>
            <w:r w:rsidRPr="000D3D0C">
              <w:rPr>
                <w:sz w:val="16"/>
                <w:szCs w:val="16"/>
              </w:rPr>
              <w:t>0</w:t>
            </w:r>
          </w:p>
        </w:tc>
        <w:tc>
          <w:tcPr>
            <w:tcW w:w="140" w:type="pct"/>
            <w:vAlign w:val="center"/>
          </w:tcPr>
          <w:p w14:paraId="03762BD6" w14:textId="77777777" w:rsidR="004A0123" w:rsidRPr="000D3D0C" w:rsidRDefault="004A0123" w:rsidP="008A5C11">
            <w:pPr>
              <w:jc w:val="center"/>
              <w:rPr>
                <w:sz w:val="16"/>
                <w:szCs w:val="16"/>
              </w:rPr>
            </w:pPr>
            <w:r w:rsidRPr="000D3D0C">
              <w:rPr>
                <w:sz w:val="16"/>
                <w:szCs w:val="16"/>
              </w:rPr>
              <w:t>0</w:t>
            </w:r>
          </w:p>
        </w:tc>
        <w:tc>
          <w:tcPr>
            <w:tcW w:w="140" w:type="pct"/>
            <w:vAlign w:val="center"/>
          </w:tcPr>
          <w:p w14:paraId="677C5707" w14:textId="77777777" w:rsidR="004A0123" w:rsidRPr="000D3D0C" w:rsidRDefault="004A0123" w:rsidP="008A5C11">
            <w:pPr>
              <w:jc w:val="center"/>
              <w:rPr>
                <w:sz w:val="16"/>
                <w:szCs w:val="16"/>
              </w:rPr>
            </w:pPr>
            <w:r w:rsidRPr="000D3D0C">
              <w:rPr>
                <w:sz w:val="16"/>
                <w:szCs w:val="16"/>
              </w:rPr>
              <w:t>0</w:t>
            </w:r>
          </w:p>
        </w:tc>
        <w:tc>
          <w:tcPr>
            <w:tcW w:w="143" w:type="pct"/>
            <w:vAlign w:val="center"/>
          </w:tcPr>
          <w:p w14:paraId="2823A0C7" w14:textId="77777777" w:rsidR="004A0123" w:rsidRPr="000D3D0C" w:rsidRDefault="004A0123" w:rsidP="008A5C11">
            <w:pPr>
              <w:jc w:val="center"/>
              <w:rPr>
                <w:sz w:val="16"/>
                <w:szCs w:val="16"/>
              </w:rPr>
            </w:pPr>
            <w:r w:rsidRPr="000D3D0C">
              <w:rPr>
                <w:sz w:val="16"/>
                <w:szCs w:val="16"/>
              </w:rPr>
              <w:t>0</w:t>
            </w:r>
          </w:p>
        </w:tc>
      </w:tr>
      <w:tr w:rsidR="004A0123" w:rsidRPr="000D3D0C" w14:paraId="2B821890" w14:textId="77777777" w:rsidTr="008A5C11">
        <w:trPr>
          <w:trHeight w:val="23"/>
          <w:jc w:val="center"/>
        </w:trPr>
        <w:tc>
          <w:tcPr>
            <w:tcW w:w="201" w:type="pct"/>
            <w:tcMar>
              <w:top w:w="62" w:type="dxa"/>
              <w:left w:w="28" w:type="dxa"/>
              <w:bottom w:w="102" w:type="dxa"/>
              <w:right w:w="28" w:type="dxa"/>
            </w:tcMar>
            <w:vAlign w:val="center"/>
          </w:tcPr>
          <w:p w14:paraId="7F97CD01" w14:textId="77777777" w:rsidR="004A0123" w:rsidRPr="000D3D0C" w:rsidRDefault="004A0123" w:rsidP="008A5C11">
            <w:pPr>
              <w:jc w:val="center"/>
              <w:rPr>
                <w:sz w:val="16"/>
                <w:szCs w:val="16"/>
              </w:rPr>
            </w:pPr>
            <w:r w:rsidRPr="000D3D0C">
              <w:rPr>
                <w:sz w:val="16"/>
                <w:szCs w:val="16"/>
              </w:rPr>
              <w:t>6</w:t>
            </w:r>
          </w:p>
        </w:tc>
        <w:tc>
          <w:tcPr>
            <w:tcW w:w="826" w:type="pct"/>
            <w:tcMar>
              <w:top w:w="62" w:type="dxa"/>
              <w:left w:w="28" w:type="dxa"/>
              <w:bottom w:w="102" w:type="dxa"/>
              <w:right w:w="28" w:type="dxa"/>
            </w:tcMar>
            <w:vAlign w:val="center"/>
          </w:tcPr>
          <w:p w14:paraId="7DA09778" w14:textId="77777777" w:rsidR="004A0123" w:rsidRPr="000D3D0C" w:rsidRDefault="004A0123" w:rsidP="008A5C11">
            <w:pPr>
              <w:jc w:val="center"/>
              <w:rPr>
                <w:color w:val="000000"/>
                <w:sz w:val="16"/>
                <w:szCs w:val="16"/>
              </w:rPr>
            </w:pPr>
            <w:r w:rsidRPr="000D3D0C">
              <w:rPr>
                <w:color w:val="000000"/>
                <w:sz w:val="16"/>
                <w:szCs w:val="16"/>
              </w:rPr>
              <w:t>Котельная Диспансер</w:t>
            </w:r>
          </w:p>
        </w:tc>
        <w:tc>
          <w:tcPr>
            <w:tcW w:w="528" w:type="pct"/>
            <w:shd w:val="clear" w:color="auto" w:fill="auto"/>
            <w:tcMar>
              <w:left w:w="28" w:type="dxa"/>
              <w:right w:w="28" w:type="dxa"/>
            </w:tcMar>
            <w:vAlign w:val="center"/>
          </w:tcPr>
          <w:p w14:paraId="14DFDD65" w14:textId="77777777" w:rsidR="004A0123" w:rsidRPr="000D3D0C" w:rsidRDefault="004A0123" w:rsidP="008A5C11">
            <w:pPr>
              <w:jc w:val="center"/>
              <w:rPr>
                <w:sz w:val="16"/>
                <w:szCs w:val="16"/>
              </w:rPr>
            </w:pPr>
            <w:r w:rsidRPr="000D3D0C">
              <w:rPr>
                <w:sz w:val="16"/>
                <w:szCs w:val="16"/>
              </w:rPr>
              <w:t>0</w:t>
            </w:r>
          </w:p>
        </w:tc>
        <w:tc>
          <w:tcPr>
            <w:tcW w:w="140" w:type="pct"/>
            <w:shd w:val="clear" w:color="auto" w:fill="auto"/>
            <w:tcMar>
              <w:left w:w="28" w:type="dxa"/>
              <w:right w:w="28" w:type="dxa"/>
            </w:tcMar>
            <w:vAlign w:val="center"/>
          </w:tcPr>
          <w:p w14:paraId="6B3D1679" w14:textId="77777777" w:rsidR="004A0123" w:rsidRPr="000D3D0C" w:rsidRDefault="004A0123" w:rsidP="008A5C11">
            <w:pPr>
              <w:jc w:val="center"/>
              <w:rPr>
                <w:sz w:val="16"/>
                <w:szCs w:val="16"/>
              </w:rPr>
            </w:pPr>
            <w:r w:rsidRPr="000D3D0C">
              <w:rPr>
                <w:sz w:val="16"/>
                <w:szCs w:val="16"/>
              </w:rPr>
              <w:t>0</w:t>
            </w:r>
          </w:p>
        </w:tc>
        <w:tc>
          <w:tcPr>
            <w:tcW w:w="165" w:type="pct"/>
            <w:shd w:val="clear" w:color="auto" w:fill="auto"/>
            <w:tcMar>
              <w:left w:w="28" w:type="dxa"/>
              <w:right w:w="28" w:type="dxa"/>
            </w:tcMar>
            <w:vAlign w:val="center"/>
          </w:tcPr>
          <w:p w14:paraId="2194154C" w14:textId="77777777" w:rsidR="004A0123" w:rsidRPr="000D3D0C" w:rsidRDefault="004A0123" w:rsidP="008A5C11">
            <w:pPr>
              <w:jc w:val="center"/>
              <w:rPr>
                <w:sz w:val="16"/>
                <w:szCs w:val="16"/>
              </w:rPr>
            </w:pPr>
            <w:r w:rsidRPr="000D3D0C">
              <w:rPr>
                <w:sz w:val="16"/>
                <w:szCs w:val="16"/>
              </w:rPr>
              <w:t>0</w:t>
            </w:r>
          </w:p>
        </w:tc>
        <w:tc>
          <w:tcPr>
            <w:tcW w:w="140" w:type="pct"/>
            <w:shd w:val="clear" w:color="auto" w:fill="auto"/>
            <w:tcMar>
              <w:left w:w="28" w:type="dxa"/>
              <w:right w:w="28" w:type="dxa"/>
            </w:tcMar>
            <w:vAlign w:val="center"/>
          </w:tcPr>
          <w:p w14:paraId="4901C978" w14:textId="77777777" w:rsidR="004A0123" w:rsidRPr="000D3D0C" w:rsidRDefault="004A0123" w:rsidP="008A5C11">
            <w:pPr>
              <w:jc w:val="center"/>
              <w:rPr>
                <w:sz w:val="16"/>
                <w:szCs w:val="16"/>
              </w:rPr>
            </w:pPr>
            <w:r w:rsidRPr="000D3D0C">
              <w:rPr>
                <w:sz w:val="16"/>
                <w:szCs w:val="16"/>
              </w:rPr>
              <w:t>0</w:t>
            </w:r>
          </w:p>
        </w:tc>
        <w:tc>
          <w:tcPr>
            <w:tcW w:w="140" w:type="pct"/>
            <w:shd w:val="clear" w:color="auto" w:fill="auto"/>
            <w:vAlign w:val="center"/>
          </w:tcPr>
          <w:p w14:paraId="649AD7A9" w14:textId="77777777" w:rsidR="004A0123" w:rsidRPr="000D3D0C" w:rsidRDefault="004A0123" w:rsidP="008A5C11">
            <w:pPr>
              <w:jc w:val="center"/>
              <w:rPr>
                <w:sz w:val="16"/>
                <w:szCs w:val="16"/>
              </w:rPr>
            </w:pPr>
            <w:r w:rsidRPr="000D3D0C">
              <w:rPr>
                <w:sz w:val="16"/>
                <w:szCs w:val="16"/>
              </w:rPr>
              <w:t>0</w:t>
            </w:r>
          </w:p>
        </w:tc>
        <w:tc>
          <w:tcPr>
            <w:tcW w:w="140" w:type="pct"/>
            <w:vAlign w:val="center"/>
          </w:tcPr>
          <w:p w14:paraId="23504AC8" w14:textId="77777777" w:rsidR="004A0123" w:rsidRPr="000D3D0C" w:rsidRDefault="004A0123" w:rsidP="008A5C11">
            <w:pPr>
              <w:jc w:val="center"/>
              <w:rPr>
                <w:sz w:val="16"/>
                <w:szCs w:val="16"/>
              </w:rPr>
            </w:pPr>
            <w:r w:rsidRPr="000D3D0C">
              <w:rPr>
                <w:sz w:val="16"/>
                <w:szCs w:val="16"/>
              </w:rPr>
              <w:t>0</w:t>
            </w:r>
          </w:p>
        </w:tc>
        <w:tc>
          <w:tcPr>
            <w:tcW w:w="140" w:type="pct"/>
            <w:vAlign w:val="center"/>
          </w:tcPr>
          <w:p w14:paraId="5A51B312" w14:textId="77777777" w:rsidR="004A0123" w:rsidRPr="000D3D0C" w:rsidRDefault="004A0123" w:rsidP="008A5C11">
            <w:pPr>
              <w:jc w:val="center"/>
              <w:rPr>
                <w:sz w:val="16"/>
                <w:szCs w:val="16"/>
              </w:rPr>
            </w:pPr>
            <w:r w:rsidRPr="000D3D0C">
              <w:rPr>
                <w:sz w:val="16"/>
                <w:szCs w:val="16"/>
              </w:rPr>
              <w:t>0</w:t>
            </w:r>
          </w:p>
        </w:tc>
        <w:tc>
          <w:tcPr>
            <w:tcW w:w="140" w:type="pct"/>
            <w:vAlign w:val="center"/>
          </w:tcPr>
          <w:p w14:paraId="0B4FA045" w14:textId="77777777" w:rsidR="004A0123" w:rsidRPr="000D3D0C" w:rsidRDefault="004A0123" w:rsidP="008A5C11">
            <w:pPr>
              <w:jc w:val="center"/>
              <w:rPr>
                <w:sz w:val="16"/>
                <w:szCs w:val="16"/>
              </w:rPr>
            </w:pPr>
            <w:r w:rsidRPr="000D3D0C">
              <w:rPr>
                <w:sz w:val="16"/>
                <w:szCs w:val="16"/>
              </w:rPr>
              <w:t>0</w:t>
            </w:r>
          </w:p>
        </w:tc>
        <w:tc>
          <w:tcPr>
            <w:tcW w:w="140" w:type="pct"/>
            <w:vAlign w:val="center"/>
          </w:tcPr>
          <w:p w14:paraId="08C42BAB" w14:textId="77777777" w:rsidR="004A0123" w:rsidRPr="000D3D0C" w:rsidRDefault="004A0123" w:rsidP="008A5C11">
            <w:pPr>
              <w:jc w:val="center"/>
              <w:rPr>
                <w:sz w:val="16"/>
                <w:szCs w:val="16"/>
              </w:rPr>
            </w:pPr>
            <w:r w:rsidRPr="000D3D0C">
              <w:rPr>
                <w:sz w:val="16"/>
                <w:szCs w:val="16"/>
              </w:rPr>
              <w:t>0</w:t>
            </w:r>
          </w:p>
        </w:tc>
        <w:tc>
          <w:tcPr>
            <w:tcW w:w="140" w:type="pct"/>
            <w:vAlign w:val="center"/>
          </w:tcPr>
          <w:p w14:paraId="68CC063A" w14:textId="77777777" w:rsidR="004A0123" w:rsidRPr="000D3D0C" w:rsidRDefault="004A0123" w:rsidP="008A5C11">
            <w:pPr>
              <w:jc w:val="center"/>
              <w:rPr>
                <w:sz w:val="16"/>
                <w:szCs w:val="16"/>
              </w:rPr>
            </w:pPr>
            <w:r w:rsidRPr="000D3D0C">
              <w:rPr>
                <w:sz w:val="16"/>
                <w:szCs w:val="16"/>
              </w:rPr>
              <w:t>0</w:t>
            </w:r>
          </w:p>
        </w:tc>
        <w:tc>
          <w:tcPr>
            <w:tcW w:w="144" w:type="pct"/>
            <w:vAlign w:val="center"/>
          </w:tcPr>
          <w:p w14:paraId="7617C75E" w14:textId="77777777" w:rsidR="004A0123" w:rsidRPr="000D3D0C" w:rsidRDefault="004A0123" w:rsidP="008A5C11">
            <w:pPr>
              <w:jc w:val="center"/>
              <w:rPr>
                <w:sz w:val="16"/>
                <w:szCs w:val="16"/>
              </w:rPr>
            </w:pPr>
            <w:r w:rsidRPr="000D3D0C">
              <w:rPr>
                <w:sz w:val="16"/>
                <w:szCs w:val="16"/>
              </w:rPr>
              <w:t>0</w:t>
            </w:r>
          </w:p>
        </w:tc>
        <w:tc>
          <w:tcPr>
            <w:tcW w:w="536" w:type="pct"/>
            <w:shd w:val="clear" w:color="auto" w:fill="auto"/>
            <w:tcMar>
              <w:left w:w="28" w:type="dxa"/>
              <w:right w:w="28" w:type="dxa"/>
            </w:tcMar>
            <w:vAlign w:val="center"/>
          </w:tcPr>
          <w:p w14:paraId="09485B5C" w14:textId="77777777" w:rsidR="004A0123" w:rsidRPr="000D3D0C" w:rsidRDefault="004A0123" w:rsidP="008A5C11">
            <w:pPr>
              <w:jc w:val="center"/>
              <w:rPr>
                <w:sz w:val="16"/>
                <w:szCs w:val="16"/>
              </w:rPr>
            </w:pPr>
            <w:r w:rsidRPr="000D3D0C">
              <w:rPr>
                <w:sz w:val="16"/>
                <w:szCs w:val="16"/>
              </w:rPr>
              <w:t>0</w:t>
            </w:r>
          </w:p>
        </w:tc>
        <w:tc>
          <w:tcPr>
            <w:tcW w:w="166" w:type="pct"/>
            <w:shd w:val="clear" w:color="auto" w:fill="auto"/>
            <w:tcMar>
              <w:left w:w="28" w:type="dxa"/>
              <w:right w:w="28" w:type="dxa"/>
            </w:tcMar>
            <w:vAlign w:val="center"/>
          </w:tcPr>
          <w:p w14:paraId="37E595CA" w14:textId="77777777" w:rsidR="004A0123" w:rsidRPr="000D3D0C" w:rsidRDefault="004A0123" w:rsidP="008A5C11">
            <w:pPr>
              <w:jc w:val="center"/>
              <w:rPr>
                <w:sz w:val="16"/>
                <w:szCs w:val="16"/>
              </w:rPr>
            </w:pPr>
            <w:r w:rsidRPr="000D3D0C">
              <w:rPr>
                <w:sz w:val="16"/>
                <w:szCs w:val="16"/>
              </w:rPr>
              <w:t>0</w:t>
            </w:r>
          </w:p>
        </w:tc>
        <w:tc>
          <w:tcPr>
            <w:tcW w:w="169" w:type="pct"/>
            <w:shd w:val="clear" w:color="auto" w:fill="auto"/>
            <w:tcMar>
              <w:left w:w="28" w:type="dxa"/>
              <w:right w:w="28" w:type="dxa"/>
            </w:tcMar>
            <w:vAlign w:val="center"/>
          </w:tcPr>
          <w:p w14:paraId="7DB03727" w14:textId="77777777" w:rsidR="004A0123" w:rsidRPr="000D3D0C" w:rsidRDefault="004A0123" w:rsidP="008A5C11">
            <w:pPr>
              <w:jc w:val="center"/>
              <w:rPr>
                <w:sz w:val="16"/>
                <w:szCs w:val="16"/>
              </w:rPr>
            </w:pPr>
            <w:r w:rsidRPr="000D3D0C">
              <w:rPr>
                <w:sz w:val="16"/>
                <w:szCs w:val="16"/>
              </w:rPr>
              <w:t>0</w:t>
            </w:r>
          </w:p>
        </w:tc>
        <w:tc>
          <w:tcPr>
            <w:tcW w:w="140" w:type="pct"/>
            <w:shd w:val="clear" w:color="auto" w:fill="auto"/>
            <w:tcMar>
              <w:left w:w="28" w:type="dxa"/>
              <w:right w:w="28" w:type="dxa"/>
            </w:tcMar>
            <w:vAlign w:val="center"/>
          </w:tcPr>
          <w:p w14:paraId="6C40CC06" w14:textId="77777777" w:rsidR="004A0123" w:rsidRPr="000D3D0C" w:rsidRDefault="004A0123" w:rsidP="008A5C11">
            <w:pPr>
              <w:jc w:val="center"/>
              <w:rPr>
                <w:sz w:val="16"/>
                <w:szCs w:val="16"/>
              </w:rPr>
            </w:pPr>
            <w:r w:rsidRPr="000D3D0C">
              <w:rPr>
                <w:sz w:val="16"/>
                <w:szCs w:val="16"/>
              </w:rPr>
              <w:t>0</w:t>
            </w:r>
          </w:p>
        </w:tc>
        <w:tc>
          <w:tcPr>
            <w:tcW w:w="162" w:type="pct"/>
            <w:shd w:val="clear" w:color="auto" w:fill="auto"/>
            <w:vAlign w:val="center"/>
          </w:tcPr>
          <w:p w14:paraId="0CE001F0" w14:textId="77777777" w:rsidR="004A0123" w:rsidRPr="000D3D0C" w:rsidRDefault="004A0123" w:rsidP="008A5C11">
            <w:pPr>
              <w:jc w:val="center"/>
              <w:rPr>
                <w:sz w:val="16"/>
                <w:szCs w:val="16"/>
              </w:rPr>
            </w:pPr>
            <w:r w:rsidRPr="000D3D0C">
              <w:rPr>
                <w:sz w:val="16"/>
                <w:szCs w:val="16"/>
              </w:rPr>
              <w:t>0</w:t>
            </w:r>
          </w:p>
        </w:tc>
        <w:tc>
          <w:tcPr>
            <w:tcW w:w="140" w:type="pct"/>
            <w:vAlign w:val="center"/>
          </w:tcPr>
          <w:p w14:paraId="08B6FC21" w14:textId="77777777" w:rsidR="004A0123" w:rsidRPr="000D3D0C" w:rsidRDefault="004A0123" w:rsidP="008A5C11">
            <w:pPr>
              <w:jc w:val="center"/>
              <w:rPr>
                <w:sz w:val="16"/>
                <w:szCs w:val="16"/>
              </w:rPr>
            </w:pPr>
            <w:r w:rsidRPr="000D3D0C">
              <w:rPr>
                <w:sz w:val="16"/>
                <w:szCs w:val="16"/>
              </w:rPr>
              <w:t>0</w:t>
            </w:r>
          </w:p>
        </w:tc>
        <w:tc>
          <w:tcPr>
            <w:tcW w:w="140" w:type="pct"/>
            <w:vAlign w:val="center"/>
          </w:tcPr>
          <w:p w14:paraId="6EF32A58" w14:textId="77777777" w:rsidR="004A0123" w:rsidRPr="000D3D0C" w:rsidRDefault="004A0123" w:rsidP="008A5C11">
            <w:pPr>
              <w:jc w:val="center"/>
              <w:rPr>
                <w:sz w:val="16"/>
                <w:szCs w:val="16"/>
              </w:rPr>
            </w:pPr>
            <w:r w:rsidRPr="000D3D0C">
              <w:rPr>
                <w:sz w:val="16"/>
                <w:szCs w:val="16"/>
              </w:rPr>
              <w:t>0</w:t>
            </w:r>
          </w:p>
        </w:tc>
        <w:tc>
          <w:tcPr>
            <w:tcW w:w="140" w:type="pct"/>
            <w:vAlign w:val="center"/>
          </w:tcPr>
          <w:p w14:paraId="01AC6031" w14:textId="77777777" w:rsidR="004A0123" w:rsidRPr="000D3D0C" w:rsidRDefault="004A0123" w:rsidP="008A5C11">
            <w:pPr>
              <w:jc w:val="center"/>
              <w:rPr>
                <w:sz w:val="16"/>
                <w:szCs w:val="16"/>
              </w:rPr>
            </w:pPr>
            <w:r w:rsidRPr="000D3D0C">
              <w:rPr>
                <w:sz w:val="16"/>
                <w:szCs w:val="16"/>
              </w:rPr>
              <w:t>0</w:t>
            </w:r>
          </w:p>
        </w:tc>
        <w:tc>
          <w:tcPr>
            <w:tcW w:w="140" w:type="pct"/>
            <w:vAlign w:val="center"/>
          </w:tcPr>
          <w:p w14:paraId="4CF2F2C5" w14:textId="77777777" w:rsidR="004A0123" w:rsidRPr="000D3D0C" w:rsidRDefault="004A0123" w:rsidP="008A5C11">
            <w:pPr>
              <w:jc w:val="center"/>
              <w:rPr>
                <w:sz w:val="16"/>
                <w:szCs w:val="16"/>
              </w:rPr>
            </w:pPr>
            <w:r w:rsidRPr="000D3D0C">
              <w:rPr>
                <w:sz w:val="16"/>
                <w:szCs w:val="16"/>
              </w:rPr>
              <w:t>0</w:t>
            </w:r>
          </w:p>
        </w:tc>
        <w:tc>
          <w:tcPr>
            <w:tcW w:w="140" w:type="pct"/>
            <w:vAlign w:val="center"/>
          </w:tcPr>
          <w:p w14:paraId="1F584789" w14:textId="77777777" w:rsidR="004A0123" w:rsidRPr="000D3D0C" w:rsidRDefault="004A0123" w:rsidP="008A5C11">
            <w:pPr>
              <w:jc w:val="center"/>
              <w:rPr>
                <w:sz w:val="16"/>
                <w:szCs w:val="16"/>
              </w:rPr>
            </w:pPr>
            <w:r w:rsidRPr="000D3D0C">
              <w:rPr>
                <w:sz w:val="16"/>
                <w:szCs w:val="16"/>
              </w:rPr>
              <w:t>0</w:t>
            </w:r>
          </w:p>
        </w:tc>
        <w:tc>
          <w:tcPr>
            <w:tcW w:w="143" w:type="pct"/>
            <w:vAlign w:val="center"/>
          </w:tcPr>
          <w:p w14:paraId="18BD26B1" w14:textId="77777777" w:rsidR="004A0123" w:rsidRPr="000D3D0C" w:rsidRDefault="004A0123" w:rsidP="008A5C11">
            <w:pPr>
              <w:jc w:val="center"/>
              <w:rPr>
                <w:sz w:val="16"/>
                <w:szCs w:val="16"/>
              </w:rPr>
            </w:pPr>
            <w:r w:rsidRPr="000D3D0C">
              <w:rPr>
                <w:sz w:val="16"/>
                <w:szCs w:val="16"/>
              </w:rPr>
              <w:t>0</w:t>
            </w:r>
          </w:p>
        </w:tc>
      </w:tr>
      <w:tr w:rsidR="004A0123" w:rsidRPr="000D3D0C" w14:paraId="37EA1DE8" w14:textId="77777777" w:rsidTr="008A5C11">
        <w:trPr>
          <w:trHeight w:val="23"/>
          <w:jc w:val="center"/>
        </w:trPr>
        <w:tc>
          <w:tcPr>
            <w:tcW w:w="1026" w:type="pct"/>
            <w:gridSpan w:val="2"/>
            <w:tcMar>
              <w:top w:w="62" w:type="dxa"/>
              <w:left w:w="28" w:type="dxa"/>
              <w:bottom w:w="102" w:type="dxa"/>
              <w:right w:w="28" w:type="dxa"/>
            </w:tcMar>
            <w:vAlign w:val="center"/>
          </w:tcPr>
          <w:p w14:paraId="38F511FF" w14:textId="77777777" w:rsidR="004A0123" w:rsidRPr="000D3D0C" w:rsidRDefault="004A0123" w:rsidP="008A5C11">
            <w:pPr>
              <w:jc w:val="center"/>
              <w:rPr>
                <w:sz w:val="16"/>
                <w:szCs w:val="16"/>
              </w:rPr>
            </w:pPr>
            <w:r w:rsidRPr="000D3D0C">
              <w:rPr>
                <w:sz w:val="16"/>
                <w:szCs w:val="16"/>
              </w:rPr>
              <w:t>Итого:</w:t>
            </w:r>
          </w:p>
        </w:tc>
        <w:tc>
          <w:tcPr>
            <w:tcW w:w="528" w:type="pct"/>
            <w:shd w:val="clear" w:color="auto" w:fill="auto"/>
            <w:tcMar>
              <w:left w:w="28" w:type="dxa"/>
              <w:right w:w="28" w:type="dxa"/>
            </w:tcMar>
            <w:vAlign w:val="center"/>
          </w:tcPr>
          <w:p w14:paraId="2CC03AA1" w14:textId="77777777" w:rsidR="004A0123" w:rsidRPr="000D3D0C" w:rsidRDefault="004A0123" w:rsidP="008A5C11">
            <w:pPr>
              <w:jc w:val="center"/>
              <w:rPr>
                <w:sz w:val="16"/>
                <w:szCs w:val="16"/>
              </w:rPr>
            </w:pPr>
            <w:r w:rsidRPr="000D3D0C">
              <w:rPr>
                <w:sz w:val="16"/>
                <w:szCs w:val="16"/>
              </w:rPr>
              <w:t>0</w:t>
            </w:r>
          </w:p>
        </w:tc>
        <w:tc>
          <w:tcPr>
            <w:tcW w:w="140" w:type="pct"/>
            <w:shd w:val="clear" w:color="auto" w:fill="auto"/>
            <w:tcMar>
              <w:left w:w="28" w:type="dxa"/>
              <w:right w:w="28" w:type="dxa"/>
            </w:tcMar>
            <w:vAlign w:val="center"/>
          </w:tcPr>
          <w:p w14:paraId="659607E8" w14:textId="77777777" w:rsidR="004A0123" w:rsidRPr="000D3D0C" w:rsidRDefault="004A0123" w:rsidP="008A5C11">
            <w:pPr>
              <w:jc w:val="center"/>
              <w:rPr>
                <w:sz w:val="16"/>
                <w:szCs w:val="16"/>
              </w:rPr>
            </w:pPr>
            <w:r w:rsidRPr="000D3D0C">
              <w:rPr>
                <w:sz w:val="16"/>
                <w:szCs w:val="16"/>
              </w:rPr>
              <w:t>0</w:t>
            </w:r>
          </w:p>
        </w:tc>
        <w:tc>
          <w:tcPr>
            <w:tcW w:w="165" w:type="pct"/>
            <w:shd w:val="clear" w:color="auto" w:fill="auto"/>
            <w:tcMar>
              <w:left w:w="28" w:type="dxa"/>
              <w:right w:w="28" w:type="dxa"/>
            </w:tcMar>
            <w:vAlign w:val="center"/>
          </w:tcPr>
          <w:p w14:paraId="47BA2BD1" w14:textId="77777777" w:rsidR="004A0123" w:rsidRPr="000D3D0C" w:rsidRDefault="004A0123" w:rsidP="008A5C11">
            <w:pPr>
              <w:jc w:val="center"/>
              <w:rPr>
                <w:sz w:val="16"/>
                <w:szCs w:val="16"/>
              </w:rPr>
            </w:pPr>
            <w:r w:rsidRPr="000D3D0C">
              <w:rPr>
                <w:sz w:val="16"/>
                <w:szCs w:val="16"/>
              </w:rPr>
              <w:t>0</w:t>
            </w:r>
          </w:p>
        </w:tc>
        <w:tc>
          <w:tcPr>
            <w:tcW w:w="140" w:type="pct"/>
            <w:shd w:val="clear" w:color="auto" w:fill="auto"/>
            <w:tcMar>
              <w:left w:w="28" w:type="dxa"/>
              <w:right w:w="28" w:type="dxa"/>
            </w:tcMar>
            <w:vAlign w:val="center"/>
          </w:tcPr>
          <w:p w14:paraId="4C2FD747" w14:textId="77777777" w:rsidR="004A0123" w:rsidRPr="000D3D0C" w:rsidRDefault="004A0123" w:rsidP="008A5C11">
            <w:pPr>
              <w:jc w:val="center"/>
              <w:rPr>
                <w:sz w:val="16"/>
                <w:szCs w:val="16"/>
              </w:rPr>
            </w:pPr>
            <w:r w:rsidRPr="000D3D0C">
              <w:rPr>
                <w:sz w:val="16"/>
                <w:szCs w:val="16"/>
              </w:rPr>
              <w:t>0</w:t>
            </w:r>
          </w:p>
        </w:tc>
        <w:tc>
          <w:tcPr>
            <w:tcW w:w="140" w:type="pct"/>
            <w:shd w:val="clear" w:color="auto" w:fill="auto"/>
            <w:vAlign w:val="center"/>
          </w:tcPr>
          <w:p w14:paraId="62629D47" w14:textId="77777777" w:rsidR="004A0123" w:rsidRPr="000D3D0C" w:rsidRDefault="004A0123" w:rsidP="008A5C11">
            <w:pPr>
              <w:jc w:val="center"/>
              <w:rPr>
                <w:sz w:val="16"/>
                <w:szCs w:val="16"/>
              </w:rPr>
            </w:pPr>
            <w:r w:rsidRPr="000D3D0C">
              <w:rPr>
                <w:sz w:val="16"/>
                <w:szCs w:val="16"/>
              </w:rPr>
              <w:t>0</w:t>
            </w:r>
          </w:p>
        </w:tc>
        <w:tc>
          <w:tcPr>
            <w:tcW w:w="140" w:type="pct"/>
            <w:vAlign w:val="center"/>
          </w:tcPr>
          <w:p w14:paraId="7C388880" w14:textId="77777777" w:rsidR="004A0123" w:rsidRPr="000D3D0C" w:rsidRDefault="004A0123" w:rsidP="008A5C11">
            <w:pPr>
              <w:jc w:val="center"/>
              <w:rPr>
                <w:sz w:val="16"/>
                <w:szCs w:val="16"/>
              </w:rPr>
            </w:pPr>
            <w:r w:rsidRPr="000D3D0C">
              <w:rPr>
                <w:sz w:val="16"/>
                <w:szCs w:val="16"/>
              </w:rPr>
              <w:t>0</w:t>
            </w:r>
          </w:p>
        </w:tc>
        <w:tc>
          <w:tcPr>
            <w:tcW w:w="140" w:type="pct"/>
            <w:vAlign w:val="center"/>
          </w:tcPr>
          <w:p w14:paraId="1FD9A34B" w14:textId="77777777" w:rsidR="004A0123" w:rsidRPr="000D3D0C" w:rsidRDefault="004A0123" w:rsidP="008A5C11">
            <w:pPr>
              <w:jc w:val="center"/>
              <w:rPr>
                <w:sz w:val="16"/>
                <w:szCs w:val="16"/>
              </w:rPr>
            </w:pPr>
            <w:r w:rsidRPr="000D3D0C">
              <w:rPr>
                <w:sz w:val="16"/>
                <w:szCs w:val="16"/>
              </w:rPr>
              <w:t>0</w:t>
            </w:r>
          </w:p>
        </w:tc>
        <w:tc>
          <w:tcPr>
            <w:tcW w:w="140" w:type="pct"/>
            <w:vAlign w:val="center"/>
          </w:tcPr>
          <w:p w14:paraId="7B5A3368" w14:textId="77777777" w:rsidR="004A0123" w:rsidRPr="000D3D0C" w:rsidRDefault="004A0123" w:rsidP="008A5C11">
            <w:pPr>
              <w:jc w:val="center"/>
              <w:rPr>
                <w:sz w:val="16"/>
                <w:szCs w:val="16"/>
              </w:rPr>
            </w:pPr>
            <w:r w:rsidRPr="000D3D0C">
              <w:rPr>
                <w:sz w:val="16"/>
                <w:szCs w:val="16"/>
              </w:rPr>
              <w:t>0</w:t>
            </w:r>
          </w:p>
        </w:tc>
        <w:tc>
          <w:tcPr>
            <w:tcW w:w="140" w:type="pct"/>
            <w:vAlign w:val="center"/>
          </w:tcPr>
          <w:p w14:paraId="4E7321B4" w14:textId="77777777" w:rsidR="004A0123" w:rsidRPr="000D3D0C" w:rsidRDefault="004A0123" w:rsidP="008A5C11">
            <w:pPr>
              <w:jc w:val="center"/>
              <w:rPr>
                <w:sz w:val="16"/>
                <w:szCs w:val="16"/>
              </w:rPr>
            </w:pPr>
            <w:r w:rsidRPr="000D3D0C">
              <w:rPr>
                <w:sz w:val="16"/>
                <w:szCs w:val="16"/>
              </w:rPr>
              <w:t>0</w:t>
            </w:r>
          </w:p>
        </w:tc>
        <w:tc>
          <w:tcPr>
            <w:tcW w:w="140" w:type="pct"/>
            <w:vAlign w:val="center"/>
          </w:tcPr>
          <w:p w14:paraId="31E0D939" w14:textId="77777777" w:rsidR="004A0123" w:rsidRPr="000D3D0C" w:rsidRDefault="004A0123" w:rsidP="008A5C11">
            <w:pPr>
              <w:jc w:val="center"/>
              <w:rPr>
                <w:sz w:val="16"/>
                <w:szCs w:val="16"/>
              </w:rPr>
            </w:pPr>
            <w:r w:rsidRPr="000D3D0C">
              <w:rPr>
                <w:sz w:val="16"/>
                <w:szCs w:val="16"/>
              </w:rPr>
              <w:t>0</w:t>
            </w:r>
          </w:p>
        </w:tc>
        <w:tc>
          <w:tcPr>
            <w:tcW w:w="144" w:type="pct"/>
            <w:vAlign w:val="center"/>
          </w:tcPr>
          <w:p w14:paraId="19FA2997" w14:textId="77777777" w:rsidR="004A0123" w:rsidRPr="000D3D0C" w:rsidRDefault="004A0123" w:rsidP="008A5C11">
            <w:pPr>
              <w:jc w:val="center"/>
              <w:rPr>
                <w:sz w:val="16"/>
                <w:szCs w:val="16"/>
              </w:rPr>
            </w:pPr>
            <w:r w:rsidRPr="000D3D0C">
              <w:rPr>
                <w:sz w:val="16"/>
                <w:szCs w:val="16"/>
              </w:rPr>
              <w:t>0</w:t>
            </w:r>
          </w:p>
        </w:tc>
        <w:tc>
          <w:tcPr>
            <w:tcW w:w="536" w:type="pct"/>
            <w:shd w:val="clear" w:color="auto" w:fill="auto"/>
            <w:tcMar>
              <w:left w:w="28" w:type="dxa"/>
              <w:right w:w="28" w:type="dxa"/>
            </w:tcMar>
            <w:vAlign w:val="center"/>
          </w:tcPr>
          <w:p w14:paraId="2D1A3D14" w14:textId="77777777" w:rsidR="004A0123" w:rsidRPr="000D3D0C" w:rsidRDefault="004A0123" w:rsidP="008A5C11">
            <w:pPr>
              <w:jc w:val="center"/>
              <w:rPr>
                <w:sz w:val="16"/>
                <w:szCs w:val="16"/>
              </w:rPr>
            </w:pPr>
            <w:r w:rsidRPr="000D3D0C">
              <w:rPr>
                <w:sz w:val="16"/>
                <w:szCs w:val="16"/>
              </w:rPr>
              <w:t>0</w:t>
            </w:r>
          </w:p>
        </w:tc>
        <w:tc>
          <w:tcPr>
            <w:tcW w:w="166" w:type="pct"/>
            <w:shd w:val="clear" w:color="auto" w:fill="auto"/>
            <w:tcMar>
              <w:left w:w="28" w:type="dxa"/>
              <w:right w:w="28" w:type="dxa"/>
            </w:tcMar>
            <w:vAlign w:val="center"/>
          </w:tcPr>
          <w:p w14:paraId="62A5FD15" w14:textId="77777777" w:rsidR="004A0123" w:rsidRPr="000D3D0C" w:rsidRDefault="004A0123" w:rsidP="008A5C11">
            <w:pPr>
              <w:jc w:val="center"/>
              <w:rPr>
                <w:sz w:val="16"/>
                <w:szCs w:val="16"/>
              </w:rPr>
            </w:pPr>
            <w:r w:rsidRPr="000D3D0C">
              <w:rPr>
                <w:sz w:val="16"/>
                <w:szCs w:val="16"/>
              </w:rPr>
              <w:t>0</w:t>
            </w:r>
          </w:p>
        </w:tc>
        <w:tc>
          <w:tcPr>
            <w:tcW w:w="169" w:type="pct"/>
            <w:shd w:val="clear" w:color="auto" w:fill="auto"/>
            <w:tcMar>
              <w:left w:w="28" w:type="dxa"/>
              <w:right w:w="28" w:type="dxa"/>
            </w:tcMar>
            <w:vAlign w:val="center"/>
          </w:tcPr>
          <w:p w14:paraId="14EB0026" w14:textId="77777777" w:rsidR="004A0123" w:rsidRPr="000D3D0C" w:rsidRDefault="004A0123" w:rsidP="008A5C11">
            <w:pPr>
              <w:jc w:val="center"/>
              <w:rPr>
                <w:sz w:val="16"/>
                <w:szCs w:val="16"/>
              </w:rPr>
            </w:pPr>
            <w:r w:rsidRPr="000D3D0C">
              <w:rPr>
                <w:sz w:val="16"/>
                <w:szCs w:val="16"/>
              </w:rPr>
              <w:t>0</w:t>
            </w:r>
          </w:p>
        </w:tc>
        <w:tc>
          <w:tcPr>
            <w:tcW w:w="140" w:type="pct"/>
            <w:shd w:val="clear" w:color="auto" w:fill="auto"/>
            <w:tcMar>
              <w:left w:w="28" w:type="dxa"/>
              <w:right w:w="28" w:type="dxa"/>
            </w:tcMar>
            <w:vAlign w:val="center"/>
          </w:tcPr>
          <w:p w14:paraId="16716C67" w14:textId="77777777" w:rsidR="004A0123" w:rsidRPr="000D3D0C" w:rsidRDefault="004A0123" w:rsidP="008A5C11">
            <w:pPr>
              <w:jc w:val="center"/>
              <w:rPr>
                <w:sz w:val="16"/>
                <w:szCs w:val="16"/>
              </w:rPr>
            </w:pPr>
            <w:r w:rsidRPr="000D3D0C">
              <w:rPr>
                <w:sz w:val="16"/>
                <w:szCs w:val="16"/>
              </w:rPr>
              <w:t>0</w:t>
            </w:r>
          </w:p>
        </w:tc>
        <w:tc>
          <w:tcPr>
            <w:tcW w:w="162" w:type="pct"/>
            <w:shd w:val="clear" w:color="auto" w:fill="auto"/>
            <w:vAlign w:val="center"/>
          </w:tcPr>
          <w:p w14:paraId="1858608B" w14:textId="77777777" w:rsidR="004A0123" w:rsidRPr="000D3D0C" w:rsidRDefault="004A0123" w:rsidP="008A5C11">
            <w:pPr>
              <w:jc w:val="center"/>
              <w:rPr>
                <w:sz w:val="16"/>
                <w:szCs w:val="16"/>
              </w:rPr>
            </w:pPr>
            <w:r w:rsidRPr="000D3D0C">
              <w:rPr>
                <w:sz w:val="16"/>
                <w:szCs w:val="16"/>
              </w:rPr>
              <w:t>0</w:t>
            </w:r>
          </w:p>
        </w:tc>
        <w:tc>
          <w:tcPr>
            <w:tcW w:w="140" w:type="pct"/>
            <w:vAlign w:val="center"/>
          </w:tcPr>
          <w:p w14:paraId="117C8605" w14:textId="77777777" w:rsidR="004A0123" w:rsidRPr="000D3D0C" w:rsidRDefault="004A0123" w:rsidP="008A5C11">
            <w:pPr>
              <w:jc w:val="center"/>
              <w:rPr>
                <w:sz w:val="16"/>
                <w:szCs w:val="16"/>
              </w:rPr>
            </w:pPr>
            <w:r w:rsidRPr="000D3D0C">
              <w:rPr>
                <w:sz w:val="16"/>
                <w:szCs w:val="16"/>
              </w:rPr>
              <w:t>0</w:t>
            </w:r>
          </w:p>
        </w:tc>
        <w:tc>
          <w:tcPr>
            <w:tcW w:w="140" w:type="pct"/>
            <w:vAlign w:val="center"/>
          </w:tcPr>
          <w:p w14:paraId="712E3944" w14:textId="77777777" w:rsidR="004A0123" w:rsidRPr="000D3D0C" w:rsidRDefault="004A0123" w:rsidP="008A5C11">
            <w:pPr>
              <w:jc w:val="center"/>
              <w:rPr>
                <w:sz w:val="16"/>
                <w:szCs w:val="16"/>
              </w:rPr>
            </w:pPr>
            <w:r w:rsidRPr="000D3D0C">
              <w:rPr>
                <w:sz w:val="16"/>
                <w:szCs w:val="16"/>
              </w:rPr>
              <w:t>0</w:t>
            </w:r>
          </w:p>
        </w:tc>
        <w:tc>
          <w:tcPr>
            <w:tcW w:w="140" w:type="pct"/>
            <w:vAlign w:val="center"/>
          </w:tcPr>
          <w:p w14:paraId="1557E289" w14:textId="77777777" w:rsidR="004A0123" w:rsidRPr="000D3D0C" w:rsidRDefault="004A0123" w:rsidP="008A5C11">
            <w:pPr>
              <w:jc w:val="center"/>
              <w:rPr>
                <w:sz w:val="16"/>
                <w:szCs w:val="16"/>
              </w:rPr>
            </w:pPr>
            <w:r w:rsidRPr="000D3D0C">
              <w:rPr>
                <w:sz w:val="16"/>
                <w:szCs w:val="16"/>
              </w:rPr>
              <w:t>0</w:t>
            </w:r>
          </w:p>
        </w:tc>
        <w:tc>
          <w:tcPr>
            <w:tcW w:w="140" w:type="pct"/>
            <w:vAlign w:val="center"/>
          </w:tcPr>
          <w:p w14:paraId="679A6CEC" w14:textId="77777777" w:rsidR="004A0123" w:rsidRPr="000D3D0C" w:rsidRDefault="004A0123" w:rsidP="008A5C11">
            <w:pPr>
              <w:jc w:val="center"/>
              <w:rPr>
                <w:sz w:val="16"/>
                <w:szCs w:val="16"/>
              </w:rPr>
            </w:pPr>
            <w:r w:rsidRPr="000D3D0C">
              <w:rPr>
                <w:sz w:val="16"/>
                <w:szCs w:val="16"/>
              </w:rPr>
              <w:t>0</w:t>
            </w:r>
          </w:p>
        </w:tc>
        <w:tc>
          <w:tcPr>
            <w:tcW w:w="140" w:type="pct"/>
            <w:vAlign w:val="center"/>
          </w:tcPr>
          <w:p w14:paraId="2A517AB1" w14:textId="77777777" w:rsidR="004A0123" w:rsidRPr="000D3D0C" w:rsidRDefault="004A0123" w:rsidP="008A5C11">
            <w:pPr>
              <w:jc w:val="center"/>
              <w:rPr>
                <w:sz w:val="16"/>
                <w:szCs w:val="16"/>
              </w:rPr>
            </w:pPr>
            <w:r w:rsidRPr="000D3D0C">
              <w:rPr>
                <w:sz w:val="16"/>
                <w:szCs w:val="16"/>
              </w:rPr>
              <w:t>0</w:t>
            </w:r>
          </w:p>
        </w:tc>
        <w:tc>
          <w:tcPr>
            <w:tcW w:w="143" w:type="pct"/>
            <w:vAlign w:val="center"/>
          </w:tcPr>
          <w:p w14:paraId="12DCB3CB" w14:textId="77777777" w:rsidR="004A0123" w:rsidRPr="000D3D0C" w:rsidRDefault="004A0123" w:rsidP="008A5C11">
            <w:pPr>
              <w:jc w:val="center"/>
              <w:rPr>
                <w:sz w:val="16"/>
                <w:szCs w:val="16"/>
              </w:rPr>
            </w:pPr>
            <w:r w:rsidRPr="000D3D0C">
              <w:rPr>
                <w:sz w:val="16"/>
                <w:szCs w:val="16"/>
              </w:rPr>
              <w:t>0</w:t>
            </w:r>
          </w:p>
        </w:tc>
      </w:tr>
    </w:tbl>
    <w:p w14:paraId="2B8A18BC" w14:textId="77777777" w:rsidR="004A0123" w:rsidRPr="000D3D0C" w:rsidRDefault="004A0123" w:rsidP="004A0123">
      <w:pPr>
        <w:rPr>
          <w:sz w:val="20"/>
          <w:szCs w:val="20"/>
        </w:rPr>
      </w:pPr>
    </w:p>
    <w:p w14:paraId="6BE3BAC3" w14:textId="77777777" w:rsidR="004A0123" w:rsidRPr="000D3D0C" w:rsidRDefault="004A0123" w:rsidP="004A0123">
      <w:pPr>
        <w:ind w:left="284" w:right="536"/>
        <w:jc w:val="center"/>
        <w:rPr>
          <w:b/>
          <w:bCs/>
          <w:sz w:val="28"/>
          <w:szCs w:val="28"/>
        </w:rPr>
      </w:pPr>
    </w:p>
    <w:p w14:paraId="1A80BC35" w14:textId="77777777" w:rsidR="004A0123" w:rsidRPr="000D3D0C" w:rsidRDefault="004A0123" w:rsidP="004A0123">
      <w:pPr>
        <w:ind w:left="284" w:right="536"/>
        <w:jc w:val="center"/>
        <w:rPr>
          <w:b/>
          <w:bCs/>
          <w:sz w:val="28"/>
          <w:szCs w:val="28"/>
        </w:rPr>
      </w:pPr>
    </w:p>
    <w:p w14:paraId="57C11059" w14:textId="77777777" w:rsidR="004A0123" w:rsidRPr="000D3D0C" w:rsidRDefault="004A0123" w:rsidP="004A0123">
      <w:pPr>
        <w:ind w:left="284" w:right="536"/>
        <w:jc w:val="center"/>
        <w:rPr>
          <w:b/>
          <w:bCs/>
          <w:sz w:val="28"/>
          <w:szCs w:val="28"/>
        </w:rPr>
      </w:pPr>
    </w:p>
    <w:p w14:paraId="249D1108" w14:textId="77777777" w:rsidR="004A0123" w:rsidRPr="000D3D0C" w:rsidRDefault="004A0123" w:rsidP="004A0123">
      <w:pPr>
        <w:ind w:left="284" w:right="536"/>
        <w:jc w:val="center"/>
        <w:rPr>
          <w:b/>
          <w:bCs/>
          <w:sz w:val="28"/>
          <w:szCs w:val="28"/>
        </w:rPr>
      </w:pPr>
    </w:p>
    <w:p w14:paraId="38A32C8F" w14:textId="77777777" w:rsidR="004A0123" w:rsidRPr="000D3D0C" w:rsidRDefault="004A0123" w:rsidP="004A0123">
      <w:pPr>
        <w:ind w:left="284" w:right="536"/>
        <w:jc w:val="center"/>
        <w:rPr>
          <w:b/>
          <w:bCs/>
          <w:sz w:val="28"/>
          <w:szCs w:val="28"/>
        </w:rPr>
      </w:pPr>
    </w:p>
    <w:p w14:paraId="66F13CD1" w14:textId="77777777" w:rsidR="004A0123" w:rsidRPr="000D3D0C" w:rsidRDefault="004A0123" w:rsidP="004A0123">
      <w:pPr>
        <w:ind w:left="284" w:right="536"/>
        <w:jc w:val="center"/>
        <w:rPr>
          <w:b/>
          <w:bCs/>
          <w:sz w:val="28"/>
          <w:szCs w:val="28"/>
        </w:rPr>
      </w:pPr>
    </w:p>
    <w:p w14:paraId="4FB71A15" w14:textId="77777777" w:rsidR="004A0123" w:rsidRPr="000D3D0C" w:rsidRDefault="004A0123" w:rsidP="004A0123">
      <w:pPr>
        <w:ind w:left="284" w:right="536"/>
        <w:jc w:val="center"/>
        <w:rPr>
          <w:b/>
          <w:bCs/>
          <w:sz w:val="28"/>
          <w:szCs w:val="28"/>
        </w:rPr>
      </w:pPr>
    </w:p>
    <w:p w14:paraId="3E7070A5" w14:textId="77777777" w:rsidR="004A0123" w:rsidRPr="000D3D0C" w:rsidRDefault="004A0123" w:rsidP="004A0123">
      <w:pPr>
        <w:ind w:left="284" w:right="536"/>
        <w:jc w:val="center"/>
        <w:rPr>
          <w:b/>
          <w:bCs/>
          <w:sz w:val="28"/>
          <w:szCs w:val="28"/>
        </w:rPr>
      </w:pPr>
    </w:p>
    <w:p w14:paraId="7A9E3BAF" w14:textId="77777777" w:rsidR="004A0123" w:rsidRDefault="004A0123" w:rsidP="004A0123">
      <w:pPr>
        <w:ind w:left="284" w:right="536"/>
        <w:jc w:val="center"/>
        <w:rPr>
          <w:b/>
          <w:bCs/>
          <w:sz w:val="28"/>
          <w:szCs w:val="28"/>
        </w:rPr>
        <w:sectPr w:rsidR="004A0123" w:rsidSect="00095E17">
          <w:headerReference w:type="default" r:id="rId73"/>
          <w:pgSz w:w="16838" w:h="11906" w:orient="landscape" w:code="9"/>
          <w:pgMar w:top="1701" w:right="1134" w:bottom="850" w:left="1134" w:header="720" w:footer="284" w:gutter="0"/>
          <w:cols w:space="720"/>
          <w:docGrid w:linePitch="272"/>
        </w:sectPr>
      </w:pPr>
    </w:p>
    <w:p w14:paraId="2364AF4C" w14:textId="77777777" w:rsidR="004A0123" w:rsidRPr="000D3D0C" w:rsidRDefault="004A0123" w:rsidP="004A0123">
      <w:pPr>
        <w:ind w:left="284" w:right="536"/>
        <w:jc w:val="center"/>
        <w:rPr>
          <w:b/>
          <w:bCs/>
          <w:sz w:val="28"/>
          <w:szCs w:val="28"/>
        </w:rPr>
      </w:pPr>
    </w:p>
    <w:p w14:paraId="68A5C0DC" w14:textId="77777777" w:rsidR="004A0123" w:rsidRPr="000D3D0C" w:rsidRDefault="004A0123" w:rsidP="004A0123">
      <w:pPr>
        <w:ind w:left="284" w:right="536"/>
        <w:jc w:val="center"/>
        <w:rPr>
          <w:b/>
          <w:bCs/>
          <w:sz w:val="28"/>
          <w:szCs w:val="28"/>
        </w:rPr>
      </w:pPr>
      <w:r w:rsidRPr="000D3D0C">
        <w:rPr>
          <w:b/>
          <w:bCs/>
          <w:sz w:val="28"/>
          <w:szCs w:val="28"/>
        </w:rPr>
        <w:t>Показатели надежности и энергетической эффективности объектов системы теплоснабжения</w:t>
      </w:r>
    </w:p>
    <w:p w14:paraId="39E4B85A" w14:textId="77777777" w:rsidR="004A0123" w:rsidRPr="000D3D0C" w:rsidRDefault="004A0123" w:rsidP="004A0123">
      <w:pPr>
        <w:autoSpaceDE w:val="0"/>
        <w:autoSpaceDN w:val="0"/>
        <w:adjustRightInd w:val="0"/>
        <w:jc w:val="center"/>
        <w:rPr>
          <w:b/>
          <w:color w:val="000000"/>
          <w:sz w:val="28"/>
          <w:szCs w:val="28"/>
        </w:rPr>
      </w:pPr>
      <w:r w:rsidRPr="000D3D0C">
        <w:rPr>
          <w:b/>
          <w:color w:val="000000"/>
          <w:sz w:val="28"/>
          <w:szCs w:val="28"/>
        </w:rPr>
        <w:t xml:space="preserve">ОАО «Северо-Кузбасская энергетическая компания» по узлу теплоснабжения Тайгинского городского округа </w:t>
      </w:r>
    </w:p>
    <w:p w14:paraId="168114E9" w14:textId="77777777" w:rsidR="004A0123" w:rsidRPr="000D3D0C" w:rsidRDefault="004A0123" w:rsidP="004A0123">
      <w:pPr>
        <w:jc w:val="center"/>
        <w:rPr>
          <w:b/>
          <w:color w:val="000000"/>
          <w:sz w:val="28"/>
          <w:szCs w:val="28"/>
        </w:rPr>
      </w:pPr>
      <w:r w:rsidRPr="000D3D0C">
        <w:rPr>
          <w:b/>
          <w:color w:val="000000"/>
          <w:sz w:val="28"/>
          <w:szCs w:val="28"/>
        </w:rPr>
        <w:t>на 2021 - 2030 годы</w:t>
      </w:r>
    </w:p>
    <w:p w14:paraId="710BFBAB" w14:textId="77777777" w:rsidR="004A0123" w:rsidRPr="000D3D0C" w:rsidRDefault="004A0123" w:rsidP="004A0123">
      <w:pPr>
        <w:jc w:val="center"/>
        <w:rPr>
          <w:sz w:val="20"/>
          <w:szCs w:val="20"/>
        </w:rPr>
      </w:pPr>
    </w:p>
    <w:tbl>
      <w:tblPr>
        <w:tblW w:w="48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2"/>
        <w:gridCol w:w="2538"/>
        <w:gridCol w:w="1586"/>
        <w:gridCol w:w="1012"/>
        <w:gridCol w:w="1026"/>
        <w:gridCol w:w="1020"/>
        <w:gridCol w:w="1023"/>
        <w:gridCol w:w="898"/>
        <w:gridCol w:w="1020"/>
        <w:gridCol w:w="861"/>
        <w:gridCol w:w="861"/>
        <w:gridCol w:w="861"/>
        <w:gridCol w:w="873"/>
      </w:tblGrid>
      <w:tr w:rsidR="004A0123" w:rsidRPr="000D3D0C" w14:paraId="30EA8D99" w14:textId="77777777" w:rsidTr="008A5C11">
        <w:trPr>
          <w:trHeight w:val="23"/>
          <w:jc w:val="center"/>
        </w:trPr>
        <w:tc>
          <w:tcPr>
            <w:tcW w:w="222" w:type="pct"/>
            <w:vMerge w:val="restart"/>
            <w:tcMar>
              <w:top w:w="62" w:type="dxa"/>
              <w:left w:w="28" w:type="dxa"/>
              <w:bottom w:w="102" w:type="dxa"/>
              <w:right w:w="28" w:type="dxa"/>
            </w:tcMar>
            <w:vAlign w:val="center"/>
          </w:tcPr>
          <w:p w14:paraId="73C2C4D5" w14:textId="77777777" w:rsidR="004A0123" w:rsidRPr="000D3D0C" w:rsidRDefault="004A0123" w:rsidP="008A5C11">
            <w:pPr>
              <w:widowControl w:val="0"/>
              <w:autoSpaceDE w:val="0"/>
              <w:autoSpaceDN w:val="0"/>
              <w:adjustRightInd w:val="0"/>
              <w:jc w:val="center"/>
              <w:rPr>
                <w:sz w:val="16"/>
                <w:szCs w:val="16"/>
              </w:rPr>
            </w:pPr>
            <w:r w:rsidRPr="000D3D0C">
              <w:rPr>
                <w:sz w:val="16"/>
                <w:szCs w:val="16"/>
              </w:rPr>
              <w:t>№ п/п</w:t>
            </w:r>
          </w:p>
        </w:tc>
        <w:tc>
          <w:tcPr>
            <w:tcW w:w="893" w:type="pct"/>
            <w:vMerge w:val="restart"/>
            <w:tcMar>
              <w:top w:w="62" w:type="dxa"/>
              <w:left w:w="28" w:type="dxa"/>
              <w:bottom w:w="102" w:type="dxa"/>
              <w:right w:w="28" w:type="dxa"/>
            </w:tcMar>
            <w:vAlign w:val="center"/>
          </w:tcPr>
          <w:p w14:paraId="12060702" w14:textId="77777777" w:rsidR="004A0123" w:rsidRPr="000D3D0C" w:rsidRDefault="004A0123" w:rsidP="008A5C11">
            <w:pPr>
              <w:widowControl w:val="0"/>
              <w:autoSpaceDE w:val="0"/>
              <w:autoSpaceDN w:val="0"/>
              <w:adjustRightInd w:val="0"/>
              <w:jc w:val="center"/>
              <w:rPr>
                <w:sz w:val="16"/>
                <w:szCs w:val="16"/>
              </w:rPr>
            </w:pPr>
            <w:r w:rsidRPr="000D3D0C">
              <w:rPr>
                <w:sz w:val="16"/>
                <w:szCs w:val="16"/>
              </w:rPr>
              <w:t>Наименование объекта</w:t>
            </w:r>
          </w:p>
        </w:tc>
        <w:tc>
          <w:tcPr>
            <w:tcW w:w="3885" w:type="pct"/>
            <w:gridSpan w:val="11"/>
            <w:tcMar>
              <w:left w:w="28" w:type="dxa"/>
              <w:right w:w="28" w:type="dxa"/>
            </w:tcMar>
            <w:vAlign w:val="center"/>
          </w:tcPr>
          <w:p w14:paraId="0C47934C" w14:textId="77777777" w:rsidR="004A0123" w:rsidRPr="000D3D0C" w:rsidRDefault="004A0123" w:rsidP="008A5C11">
            <w:pPr>
              <w:jc w:val="center"/>
              <w:rPr>
                <w:sz w:val="16"/>
                <w:szCs w:val="16"/>
              </w:rPr>
            </w:pPr>
            <w:r w:rsidRPr="000D3D0C">
              <w:rPr>
                <w:sz w:val="16"/>
                <w:szCs w:val="16"/>
              </w:rPr>
              <w:t>Показатели энергетической эффективности</w:t>
            </w:r>
          </w:p>
        </w:tc>
      </w:tr>
      <w:tr w:rsidR="004A0123" w:rsidRPr="000D3D0C" w14:paraId="224E3E0B" w14:textId="77777777" w:rsidTr="008A5C11">
        <w:trPr>
          <w:trHeight w:val="687"/>
          <w:jc w:val="center"/>
        </w:trPr>
        <w:tc>
          <w:tcPr>
            <w:tcW w:w="222" w:type="pct"/>
            <w:vMerge/>
            <w:tcMar>
              <w:top w:w="62" w:type="dxa"/>
              <w:left w:w="28" w:type="dxa"/>
              <w:bottom w:w="102" w:type="dxa"/>
              <w:right w:w="28" w:type="dxa"/>
            </w:tcMar>
            <w:vAlign w:val="center"/>
          </w:tcPr>
          <w:p w14:paraId="3146E8E5" w14:textId="77777777" w:rsidR="004A0123" w:rsidRPr="000D3D0C" w:rsidRDefault="004A0123" w:rsidP="008A5C11">
            <w:pPr>
              <w:widowControl w:val="0"/>
              <w:autoSpaceDE w:val="0"/>
              <w:autoSpaceDN w:val="0"/>
              <w:adjustRightInd w:val="0"/>
              <w:jc w:val="center"/>
              <w:rPr>
                <w:sz w:val="16"/>
                <w:szCs w:val="16"/>
              </w:rPr>
            </w:pPr>
          </w:p>
        </w:tc>
        <w:tc>
          <w:tcPr>
            <w:tcW w:w="893" w:type="pct"/>
            <w:vMerge/>
            <w:tcMar>
              <w:top w:w="62" w:type="dxa"/>
              <w:left w:w="28" w:type="dxa"/>
              <w:bottom w:w="102" w:type="dxa"/>
              <w:right w:w="28" w:type="dxa"/>
            </w:tcMar>
            <w:vAlign w:val="center"/>
          </w:tcPr>
          <w:p w14:paraId="08616985" w14:textId="77777777" w:rsidR="004A0123" w:rsidRPr="000D3D0C" w:rsidRDefault="004A0123" w:rsidP="008A5C11">
            <w:pPr>
              <w:widowControl w:val="0"/>
              <w:autoSpaceDE w:val="0"/>
              <w:autoSpaceDN w:val="0"/>
              <w:adjustRightInd w:val="0"/>
              <w:jc w:val="center"/>
              <w:rPr>
                <w:sz w:val="16"/>
                <w:szCs w:val="16"/>
              </w:rPr>
            </w:pPr>
          </w:p>
        </w:tc>
        <w:tc>
          <w:tcPr>
            <w:tcW w:w="3885" w:type="pct"/>
            <w:gridSpan w:val="11"/>
            <w:tcMar>
              <w:left w:w="28" w:type="dxa"/>
              <w:right w:w="28" w:type="dxa"/>
            </w:tcMar>
            <w:vAlign w:val="center"/>
          </w:tcPr>
          <w:p w14:paraId="1C19BC01" w14:textId="77777777" w:rsidR="004A0123" w:rsidRPr="000D3D0C" w:rsidRDefault="004A0123" w:rsidP="008A5C11">
            <w:pPr>
              <w:widowControl w:val="0"/>
              <w:autoSpaceDE w:val="0"/>
              <w:autoSpaceDN w:val="0"/>
              <w:adjustRightInd w:val="0"/>
              <w:jc w:val="center"/>
              <w:rPr>
                <w:sz w:val="16"/>
                <w:szCs w:val="16"/>
              </w:rPr>
            </w:pPr>
            <w:r w:rsidRPr="000D3D0C">
              <w:rPr>
                <w:sz w:val="16"/>
                <w:szCs w:val="16"/>
              </w:rPr>
              <w:t>Удельный расход топлива на производство единицы тепловой энергии, отпускаемой с коллекторов источников тепловой энергии, кг у.т./Гкал</w:t>
            </w:r>
          </w:p>
        </w:tc>
      </w:tr>
      <w:tr w:rsidR="004A0123" w:rsidRPr="000D3D0C" w14:paraId="2BA74BFB" w14:textId="77777777" w:rsidTr="008A5C11">
        <w:trPr>
          <w:trHeight w:val="20"/>
          <w:jc w:val="center"/>
        </w:trPr>
        <w:tc>
          <w:tcPr>
            <w:tcW w:w="222" w:type="pct"/>
            <w:vMerge/>
            <w:tcMar>
              <w:top w:w="62" w:type="dxa"/>
              <w:left w:w="28" w:type="dxa"/>
              <w:bottom w:w="102" w:type="dxa"/>
              <w:right w:w="28" w:type="dxa"/>
            </w:tcMar>
            <w:vAlign w:val="center"/>
          </w:tcPr>
          <w:p w14:paraId="2EAEF102" w14:textId="77777777" w:rsidR="004A0123" w:rsidRPr="000D3D0C" w:rsidRDefault="004A0123" w:rsidP="008A5C11">
            <w:pPr>
              <w:widowControl w:val="0"/>
              <w:autoSpaceDE w:val="0"/>
              <w:autoSpaceDN w:val="0"/>
              <w:adjustRightInd w:val="0"/>
              <w:jc w:val="center"/>
              <w:rPr>
                <w:sz w:val="16"/>
                <w:szCs w:val="16"/>
              </w:rPr>
            </w:pPr>
          </w:p>
        </w:tc>
        <w:tc>
          <w:tcPr>
            <w:tcW w:w="893" w:type="pct"/>
            <w:vMerge/>
            <w:tcMar>
              <w:top w:w="62" w:type="dxa"/>
              <w:left w:w="28" w:type="dxa"/>
              <w:bottom w:w="102" w:type="dxa"/>
              <w:right w:w="28" w:type="dxa"/>
            </w:tcMar>
            <w:vAlign w:val="center"/>
          </w:tcPr>
          <w:p w14:paraId="0860985F" w14:textId="77777777" w:rsidR="004A0123" w:rsidRPr="000D3D0C" w:rsidRDefault="004A0123" w:rsidP="008A5C11">
            <w:pPr>
              <w:widowControl w:val="0"/>
              <w:autoSpaceDE w:val="0"/>
              <w:autoSpaceDN w:val="0"/>
              <w:adjustRightInd w:val="0"/>
              <w:jc w:val="center"/>
              <w:rPr>
                <w:sz w:val="16"/>
                <w:szCs w:val="16"/>
              </w:rPr>
            </w:pPr>
          </w:p>
        </w:tc>
        <w:tc>
          <w:tcPr>
            <w:tcW w:w="558" w:type="pct"/>
            <w:vMerge w:val="restart"/>
            <w:tcMar>
              <w:left w:w="28" w:type="dxa"/>
              <w:right w:w="28" w:type="dxa"/>
            </w:tcMar>
            <w:vAlign w:val="center"/>
          </w:tcPr>
          <w:p w14:paraId="7CC2224A" w14:textId="77777777" w:rsidR="004A0123" w:rsidRPr="000D3D0C" w:rsidRDefault="004A0123" w:rsidP="008A5C11">
            <w:pPr>
              <w:widowControl w:val="0"/>
              <w:autoSpaceDE w:val="0"/>
              <w:autoSpaceDN w:val="0"/>
              <w:adjustRightInd w:val="0"/>
              <w:jc w:val="center"/>
              <w:rPr>
                <w:sz w:val="16"/>
                <w:szCs w:val="16"/>
              </w:rPr>
            </w:pPr>
            <w:r w:rsidRPr="000D3D0C">
              <w:rPr>
                <w:sz w:val="16"/>
                <w:szCs w:val="16"/>
              </w:rPr>
              <w:t>Текущее значение</w:t>
            </w:r>
          </w:p>
        </w:tc>
        <w:tc>
          <w:tcPr>
            <w:tcW w:w="3327" w:type="pct"/>
            <w:gridSpan w:val="10"/>
            <w:tcMar>
              <w:left w:w="28" w:type="dxa"/>
              <w:right w:w="28" w:type="dxa"/>
            </w:tcMar>
            <w:vAlign w:val="center"/>
          </w:tcPr>
          <w:p w14:paraId="3EAA7069" w14:textId="77777777" w:rsidR="004A0123" w:rsidRPr="000D3D0C" w:rsidRDefault="004A0123" w:rsidP="008A5C11">
            <w:pPr>
              <w:widowControl w:val="0"/>
              <w:autoSpaceDE w:val="0"/>
              <w:autoSpaceDN w:val="0"/>
              <w:adjustRightInd w:val="0"/>
              <w:jc w:val="center"/>
              <w:rPr>
                <w:sz w:val="16"/>
                <w:szCs w:val="16"/>
              </w:rPr>
            </w:pPr>
            <w:r w:rsidRPr="000D3D0C">
              <w:rPr>
                <w:sz w:val="16"/>
                <w:szCs w:val="16"/>
              </w:rPr>
              <w:t>Плановое значение</w:t>
            </w:r>
          </w:p>
        </w:tc>
      </w:tr>
      <w:tr w:rsidR="004A0123" w:rsidRPr="000D3D0C" w14:paraId="5FFE69C7" w14:textId="77777777" w:rsidTr="008A5C11">
        <w:trPr>
          <w:trHeight w:val="20"/>
          <w:jc w:val="center"/>
        </w:trPr>
        <w:tc>
          <w:tcPr>
            <w:tcW w:w="222" w:type="pct"/>
            <w:vMerge/>
            <w:tcMar>
              <w:top w:w="62" w:type="dxa"/>
              <w:left w:w="28" w:type="dxa"/>
              <w:bottom w:w="102" w:type="dxa"/>
              <w:right w:w="28" w:type="dxa"/>
            </w:tcMar>
            <w:vAlign w:val="center"/>
          </w:tcPr>
          <w:p w14:paraId="4C1A9BDF" w14:textId="77777777" w:rsidR="004A0123" w:rsidRPr="000D3D0C" w:rsidRDefault="004A0123" w:rsidP="008A5C11">
            <w:pPr>
              <w:widowControl w:val="0"/>
              <w:autoSpaceDE w:val="0"/>
              <w:autoSpaceDN w:val="0"/>
              <w:adjustRightInd w:val="0"/>
              <w:jc w:val="center"/>
              <w:rPr>
                <w:sz w:val="16"/>
                <w:szCs w:val="16"/>
              </w:rPr>
            </w:pPr>
          </w:p>
        </w:tc>
        <w:tc>
          <w:tcPr>
            <w:tcW w:w="893" w:type="pct"/>
            <w:vMerge/>
            <w:tcMar>
              <w:top w:w="62" w:type="dxa"/>
              <w:left w:w="28" w:type="dxa"/>
              <w:bottom w:w="102" w:type="dxa"/>
              <w:right w:w="28" w:type="dxa"/>
            </w:tcMar>
            <w:vAlign w:val="center"/>
          </w:tcPr>
          <w:p w14:paraId="33DAA2FD" w14:textId="77777777" w:rsidR="004A0123" w:rsidRPr="000D3D0C" w:rsidRDefault="004A0123" w:rsidP="008A5C11">
            <w:pPr>
              <w:widowControl w:val="0"/>
              <w:autoSpaceDE w:val="0"/>
              <w:autoSpaceDN w:val="0"/>
              <w:adjustRightInd w:val="0"/>
              <w:jc w:val="center"/>
              <w:rPr>
                <w:sz w:val="16"/>
                <w:szCs w:val="16"/>
              </w:rPr>
            </w:pPr>
          </w:p>
        </w:tc>
        <w:tc>
          <w:tcPr>
            <w:tcW w:w="558" w:type="pct"/>
            <w:vMerge/>
            <w:tcMar>
              <w:left w:w="28" w:type="dxa"/>
              <w:right w:w="28" w:type="dxa"/>
            </w:tcMar>
            <w:vAlign w:val="center"/>
          </w:tcPr>
          <w:p w14:paraId="65AB89BE" w14:textId="77777777" w:rsidR="004A0123" w:rsidRPr="000D3D0C" w:rsidRDefault="004A0123" w:rsidP="008A5C11">
            <w:pPr>
              <w:widowControl w:val="0"/>
              <w:autoSpaceDE w:val="0"/>
              <w:autoSpaceDN w:val="0"/>
              <w:adjustRightInd w:val="0"/>
              <w:jc w:val="center"/>
              <w:rPr>
                <w:sz w:val="16"/>
                <w:szCs w:val="16"/>
              </w:rPr>
            </w:pPr>
          </w:p>
        </w:tc>
        <w:tc>
          <w:tcPr>
            <w:tcW w:w="356" w:type="pct"/>
            <w:tcMar>
              <w:left w:w="28" w:type="dxa"/>
              <w:right w:w="28" w:type="dxa"/>
            </w:tcMar>
            <w:vAlign w:val="center"/>
          </w:tcPr>
          <w:p w14:paraId="00D022F5" w14:textId="77777777" w:rsidR="004A0123" w:rsidRPr="000D3D0C" w:rsidRDefault="004A0123" w:rsidP="008A5C11">
            <w:pPr>
              <w:widowControl w:val="0"/>
              <w:autoSpaceDE w:val="0"/>
              <w:autoSpaceDN w:val="0"/>
              <w:adjustRightInd w:val="0"/>
              <w:jc w:val="center"/>
              <w:rPr>
                <w:sz w:val="16"/>
                <w:szCs w:val="16"/>
              </w:rPr>
            </w:pPr>
            <w:r w:rsidRPr="000D3D0C">
              <w:rPr>
                <w:sz w:val="16"/>
                <w:szCs w:val="16"/>
              </w:rPr>
              <w:t>2021</w:t>
            </w:r>
          </w:p>
        </w:tc>
        <w:tc>
          <w:tcPr>
            <w:tcW w:w="361" w:type="pct"/>
            <w:tcMar>
              <w:left w:w="28" w:type="dxa"/>
              <w:right w:w="28" w:type="dxa"/>
            </w:tcMar>
            <w:vAlign w:val="center"/>
          </w:tcPr>
          <w:p w14:paraId="4BD9B7D1" w14:textId="77777777" w:rsidR="004A0123" w:rsidRPr="000D3D0C" w:rsidRDefault="004A0123" w:rsidP="008A5C11">
            <w:pPr>
              <w:widowControl w:val="0"/>
              <w:autoSpaceDE w:val="0"/>
              <w:autoSpaceDN w:val="0"/>
              <w:adjustRightInd w:val="0"/>
              <w:jc w:val="center"/>
              <w:rPr>
                <w:sz w:val="16"/>
                <w:szCs w:val="16"/>
              </w:rPr>
            </w:pPr>
            <w:r w:rsidRPr="000D3D0C">
              <w:rPr>
                <w:sz w:val="16"/>
                <w:szCs w:val="16"/>
              </w:rPr>
              <w:t>2022</w:t>
            </w:r>
          </w:p>
        </w:tc>
        <w:tc>
          <w:tcPr>
            <w:tcW w:w="359" w:type="pct"/>
            <w:tcMar>
              <w:left w:w="28" w:type="dxa"/>
              <w:right w:w="28" w:type="dxa"/>
            </w:tcMar>
            <w:vAlign w:val="center"/>
          </w:tcPr>
          <w:p w14:paraId="7A6DAA36" w14:textId="77777777" w:rsidR="004A0123" w:rsidRPr="000D3D0C" w:rsidRDefault="004A0123" w:rsidP="008A5C11">
            <w:pPr>
              <w:widowControl w:val="0"/>
              <w:autoSpaceDE w:val="0"/>
              <w:autoSpaceDN w:val="0"/>
              <w:adjustRightInd w:val="0"/>
              <w:jc w:val="center"/>
              <w:rPr>
                <w:sz w:val="16"/>
                <w:szCs w:val="16"/>
              </w:rPr>
            </w:pPr>
            <w:r w:rsidRPr="000D3D0C">
              <w:rPr>
                <w:sz w:val="16"/>
                <w:szCs w:val="16"/>
              </w:rPr>
              <w:t>2023</w:t>
            </w:r>
          </w:p>
        </w:tc>
        <w:tc>
          <w:tcPr>
            <w:tcW w:w="360" w:type="pct"/>
            <w:vAlign w:val="center"/>
          </w:tcPr>
          <w:p w14:paraId="5C27C463" w14:textId="77777777" w:rsidR="004A0123" w:rsidRPr="000D3D0C" w:rsidRDefault="004A0123" w:rsidP="008A5C11">
            <w:pPr>
              <w:widowControl w:val="0"/>
              <w:autoSpaceDE w:val="0"/>
              <w:autoSpaceDN w:val="0"/>
              <w:adjustRightInd w:val="0"/>
              <w:jc w:val="center"/>
              <w:rPr>
                <w:sz w:val="16"/>
                <w:szCs w:val="16"/>
              </w:rPr>
            </w:pPr>
            <w:r w:rsidRPr="000D3D0C">
              <w:rPr>
                <w:sz w:val="16"/>
                <w:szCs w:val="16"/>
              </w:rPr>
              <w:t>2024</w:t>
            </w:r>
          </w:p>
        </w:tc>
        <w:tc>
          <w:tcPr>
            <w:tcW w:w="316" w:type="pct"/>
            <w:vAlign w:val="center"/>
          </w:tcPr>
          <w:p w14:paraId="7CA60405" w14:textId="77777777" w:rsidR="004A0123" w:rsidRPr="000D3D0C" w:rsidRDefault="004A0123" w:rsidP="008A5C11">
            <w:pPr>
              <w:widowControl w:val="0"/>
              <w:autoSpaceDE w:val="0"/>
              <w:autoSpaceDN w:val="0"/>
              <w:adjustRightInd w:val="0"/>
              <w:jc w:val="center"/>
              <w:rPr>
                <w:sz w:val="16"/>
                <w:szCs w:val="16"/>
              </w:rPr>
            </w:pPr>
            <w:r w:rsidRPr="000D3D0C">
              <w:rPr>
                <w:sz w:val="16"/>
                <w:szCs w:val="16"/>
              </w:rPr>
              <w:t>2025</w:t>
            </w:r>
          </w:p>
        </w:tc>
        <w:tc>
          <w:tcPr>
            <w:tcW w:w="359" w:type="pct"/>
            <w:tcMar>
              <w:left w:w="28" w:type="dxa"/>
              <w:right w:w="28" w:type="dxa"/>
            </w:tcMar>
            <w:vAlign w:val="center"/>
          </w:tcPr>
          <w:p w14:paraId="07F52FE7" w14:textId="77777777" w:rsidR="004A0123" w:rsidRPr="000D3D0C" w:rsidRDefault="004A0123" w:rsidP="008A5C11">
            <w:pPr>
              <w:widowControl w:val="0"/>
              <w:autoSpaceDE w:val="0"/>
              <w:autoSpaceDN w:val="0"/>
              <w:adjustRightInd w:val="0"/>
              <w:jc w:val="center"/>
              <w:rPr>
                <w:sz w:val="16"/>
                <w:szCs w:val="16"/>
              </w:rPr>
            </w:pPr>
            <w:r w:rsidRPr="000D3D0C">
              <w:rPr>
                <w:sz w:val="16"/>
                <w:szCs w:val="16"/>
              </w:rPr>
              <w:t>2026</w:t>
            </w:r>
          </w:p>
        </w:tc>
        <w:tc>
          <w:tcPr>
            <w:tcW w:w="303" w:type="pct"/>
            <w:tcMar>
              <w:left w:w="28" w:type="dxa"/>
              <w:right w:w="28" w:type="dxa"/>
            </w:tcMar>
            <w:vAlign w:val="center"/>
          </w:tcPr>
          <w:p w14:paraId="643B5C99" w14:textId="77777777" w:rsidR="004A0123" w:rsidRPr="000D3D0C" w:rsidRDefault="004A0123" w:rsidP="008A5C11">
            <w:pPr>
              <w:widowControl w:val="0"/>
              <w:autoSpaceDE w:val="0"/>
              <w:autoSpaceDN w:val="0"/>
              <w:adjustRightInd w:val="0"/>
              <w:jc w:val="center"/>
              <w:rPr>
                <w:sz w:val="16"/>
                <w:szCs w:val="16"/>
              </w:rPr>
            </w:pPr>
            <w:r w:rsidRPr="000D3D0C">
              <w:rPr>
                <w:sz w:val="16"/>
                <w:szCs w:val="16"/>
              </w:rPr>
              <w:t>2027</w:t>
            </w:r>
          </w:p>
        </w:tc>
        <w:tc>
          <w:tcPr>
            <w:tcW w:w="303" w:type="pct"/>
            <w:tcMar>
              <w:left w:w="28" w:type="dxa"/>
              <w:right w:w="28" w:type="dxa"/>
            </w:tcMar>
            <w:vAlign w:val="center"/>
          </w:tcPr>
          <w:p w14:paraId="545C55D0" w14:textId="77777777" w:rsidR="004A0123" w:rsidRPr="000D3D0C" w:rsidRDefault="004A0123" w:rsidP="008A5C11">
            <w:pPr>
              <w:widowControl w:val="0"/>
              <w:autoSpaceDE w:val="0"/>
              <w:autoSpaceDN w:val="0"/>
              <w:adjustRightInd w:val="0"/>
              <w:jc w:val="center"/>
              <w:rPr>
                <w:sz w:val="16"/>
                <w:szCs w:val="16"/>
              </w:rPr>
            </w:pPr>
            <w:r w:rsidRPr="000D3D0C">
              <w:rPr>
                <w:sz w:val="16"/>
                <w:szCs w:val="16"/>
              </w:rPr>
              <w:t>2028</w:t>
            </w:r>
          </w:p>
        </w:tc>
        <w:tc>
          <w:tcPr>
            <w:tcW w:w="303" w:type="pct"/>
            <w:tcMar>
              <w:left w:w="28" w:type="dxa"/>
              <w:right w:w="28" w:type="dxa"/>
            </w:tcMar>
            <w:vAlign w:val="center"/>
          </w:tcPr>
          <w:p w14:paraId="7554EC8B" w14:textId="77777777" w:rsidR="004A0123" w:rsidRPr="000D3D0C" w:rsidRDefault="004A0123" w:rsidP="008A5C11">
            <w:pPr>
              <w:widowControl w:val="0"/>
              <w:autoSpaceDE w:val="0"/>
              <w:autoSpaceDN w:val="0"/>
              <w:adjustRightInd w:val="0"/>
              <w:jc w:val="center"/>
              <w:rPr>
                <w:sz w:val="16"/>
                <w:szCs w:val="16"/>
              </w:rPr>
            </w:pPr>
            <w:r w:rsidRPr="000D3D0C">
              <w:rPr>
                <w:sz w:val="16"/>
                <w:szCs w:val="16"/>
              </w:rPr>
              <w:t>2029</w:t>
            </w:r>
          </w:p>
        </w:tc>
        <w:tc>
          <w:tcPr>
            <w:tcW w:w="307" w:type="pct"/>
            <w:vAlign w:val="center"/>
          </w:tcPr>
          <w:p w14:paraId="5603847C" w14:textId="77777777" w:rsidR="004A0123" w:rsidRPr="000D3D0C" w:rsidRDefault="004A0123" w:rsidP="008A5C11">
            <w:pPr>
              <w:widowControl w:val="0"/>
              <w:autoSpaceDE w:val="0"/>
              <w:autoSpaceDN w:val="0"/>
              <w:adjustRightInd w:val="0"/>
              <w:jc w:val="center"/>
              <w:rPr>
                <w:sz w:val="16"/>
                <w:szCs w:val="16"/>
              </w:rPr>
            </w:pPr>
            <w:r w:rsidRPr="000D3D0C">
              <w:rPr>
                <w:sz w:val="16"/>
                <w:szCs w:val="16"/>
              </w:rPr>
              <w:t>2030</w:t>
            </w:r>
          </w:p>
        </w:tc>
      </w:tr>
      <w:tr w:rsidR="004A0123" w:rsidRPr="000D3D0C" w14:paraId="4E83027E" w14:textId="77777777" w:rsidTr="008A5C11">
        <w:trPr>
          <w:trHeight w:val="148"/>
          <w:jc w:val="center"/>
        </w:trPr>
        <w:tc>
          <w:tcPr>
            <w:tcW w:w="222" w:type="pct"/>
            <w:tcMar>
              <w:top w:w="62" w:type="dxa"/>
              <w:left w:w="28" w:type="dxa"/>
              <w:bottom w:w="102" w:type="dxa"/>
              <w:right w:w="28" w:type="dxa"/>
            </w:tcMar>
            <w:vAlign w:val="center"/>
          </w:tcPr>
          <w:p w14:paraId="3E2CE43D" w14:textId="77777777" w:rsidR="004A0123" w:rsidRPr="000D3D0C" w:rsidRDefault="004A0123" w:rsidP="008A5C11">
            <w:pPr>
              <w:jc w:val="center"/>
              <w:rPr>
                <w:color w:val="000000"/>
                <w:sz w:val="16"/>
                <w:szCs w:val="16"/>
              </w:rPr>
            </w:pPr>
            <w:r w:rsidRPr="000D3D0C">
              <w:rPr>
                <w:color w:val="000000"/>
                <w:sz w:val="16"/>
                <w:szCs w:val="16"/>
              </w:rPr>
              <w:t>1</w:t>
            </w:r>
          </w:p>
        </w:tc>
        <w:tc>
          <w:tcPr>
            <w:tcW w:w="893" w:type="pct"/>
            <w:tcMar>
              <w:top w:w="62" w:type="dxa"/>
              <w:left w:w="28" w:type="dxa"/>
              <w:bottom w:w="102" w:type="dxa"/>
              <w:right w:w="28" w:type="dxa"/>
            </w:tcMar>
            <w:vAlign w:val="center"/>
          </w:tcPr>
          <w:p w14:paraId="5B3CD60B" w14:textId="77777777" w:rsidR="004A0123" w:rsidRPr="000D3D0C" w:rsidRDefault="004A0123" w:rsidP="008A5C11">
            <w:pPr>
              <w:jc w:val="center"/>
              <w:rPr>
                <w:color w:val="000000"/>
                <w:sz w:val="16"/>
                <w:szCs w:val="16"/>
              </w:rPr>
            </w:pPr>
            <w:r w:rsidRPr="000D3D0C">
              <w:rPr>
                <w:color w:val="000000"/>
                <w:sz w:val="16"/>
                <w:szCs w:val="16"/>
              </w:rPr>
              <w:t>Котельная Центральна</w:t>
            </w:r>
          </w:p>
        </w:tc>
        <w:tc>
          <w:tcPr>
            <w:tcW w:w="558" w:type="pct"/>
            <w:shd w:val="clear" w:color="auto" w:fill="auto"/>
            <w:tcMar>
              <w:left w:w="28" w:type="dxa"/>
              <w:right w:w="28" w:type="dxa"/>
            </w:tcMar>
            <w:vAlign w:val="center"/>
          </w:tcPr>
          <w:p w14:paraId="47EC54B0" w14:textId="77777777" w:rsidR="004A0123" w:rsidRPr="000D3D0C" w:rsidRDefault="004A0123" w:rsidP="008A5C11">
            <w:pPr>
              <w:jc w:val="center"/>
              <w:rPr>
                <w:color w:val="000000"/>
                <w:sz w:val="16"/>
                <w:szCs w:val="16"/>
              </w:rPr>
            </w:pPr>
            <w:r w:rsidRPr="000D3D0C">
              <w:rPr>
                <w:color w:val="000000"/>
                <w:sz w:val="16"/>
                <w:szCs w:val="16"/>
              </w:rPr>
              <w:t>183,93</w:t>
            </w:r>
          </w:p>
        </w:tc>
        <w:tc>
          <w:tcPr>
            <w:tcW w:w="356" w:type="pct"/>
            <w:shd w:val="clear" w:color="auto" w:fill="auto"/>
            <w:tcMar>
              <w:left w:w="28" w:type="dxa"/>
              <w:right w:w="28" w:type="dxa"/>
            </w:tcMar>
            <w:vAlign w:val="center"/>
          </w:tcPr>
          <w:p w14:paraId="5079C4F8" w14:textId="77777777" w:rsidR="004A0123" w:rsidRPr="000D3D0C" w:rsidRDefault="004A0123" w:rsidP="008A5C11">
            <w:pPr>
              <w:jc w:val="center"/>
              <w:rPr>
                <w:color w:val="000000"/>
                <w:sz w:val="16"/>
                <w:szCs w:val="16"/>
              </w:rPr>
            </w:pPr>
            <w:r w:rsidRPr="000D3D0C">
              <w:rPr>
                <w:color w:val="000000"/>
                <w:sz w:val="16"/>
                <w:szCs w:val="16"/>
              </w:rPr>
              <w:t>183,93</w:t>
            </w:r>
          </w:p>
        </w:tc>
        <w:tc>
          <w:tcPr>
            <w:tcW w:w="361" w:type="pct"/>
            <w:shd w:val="clear" w:color="auto" w:fill="auto"/>
            <w:tcMar>
              <w:left w:w="28" w:type="dxa"/>
              <w:right w:w="28" w:type="dxa"/>
            </w:tcMar>
            <w:vAlign w:val="center"/>
          </w:tcPr>
          <w:p w14:paraId="6A86408C" w14:textId="77777777" w:rsidR="004A0123" w:rsidRPr="000D3D0C" w:rsidRDefault="004A0123" w:rsidP="008A5C11">
            <w:pPr>
              <w:jc w:val="center"/>
              <w:rPr>
                <w:color w:val="000000"/>
                <w:sz w:val="16"/>
                <w:szCs w:val="16"/>
              </w:rPr>
            </w:pPr>
            <w:r w:rsidRPr="000D3D0C">
              <w:rPr>
                <w:color w:val="000000"/>
                <w:sz w:val="16"/>
                <w:szCs w:val="16"/>
              </w:rPr>
              <w:t>183,93</w:t>
            </w:r>
          </w:p>
        </w:tc>
        <w:tc>
          <w:tcPr>
            <w:tcW w:w="359" w:type="pct"/>
            <w:shd w:val="clear" w:color="auto" w:fill="auto"/>
            <w:tcMar>
              <w:left w:w="28" w:type="dxa"/>
              <w:right w:w="28" w:type="dxa"/>
            </w:tcMar>
            <w:vAlign w:val="center"/>
          </w:tcPr>
          <w:p w14:paraId="3B672EA0" w14:textId="77777777" w:rsidR="004A0123" w:rsidRPr="000D3D0C" w:rsidRDefault="004A0123" w:rsidP="008A5C11">
            <w:pPr>
              <w:jc w:val="center"/>
              <w:rPr>
                <w:color w:val="000000"/>
                <w:sz w:val="16"/>
                <w:szCs w:val="16"/>
              </w:rPr>
            </w:pPr>
            <w:r w:rsidRPr="000D3D0C">
              <w:rPr>
                <w:color w:val="000000"/>
                <w:sz w:val="16"/>
                <w:szCs w:val="16"/>
              </w:rPr>
              <w:t>183,93</w:t>
            </w:r>
          </w:p>
        </w:tc>
        <w:tc>
          <w:tcPr>
            <w:tcW w:w="360" w:type="pct"/>
            <w:shd w:val="clear" w:color="auto" w:fill="auto"/>
            <w:vAlign w:val="center"/>
          </w:tcPr>
          <w:p w14:paraId="00747BF5" w14:textId="77777777" w:rsidR="004A0123" w:rsidRPr="000D3D0C" w:rsidRDefault="004A0123" w:rsidP="008A5C11">
            <w:pPr>
              <w:jc w:val="center"/>
              <w:rPr>
                <w:color w:val="000000"/>
                <w:sz w:val="16"/>
                <w:szCs w:val="16"/>
              </w:rPr>
            </w:pPr>
            <w:r w:rsidRPr="000D3D0C">
              <w:rPr>
                <w:color w:val="000000"/>
                <w:sz w:val="16"/>
                <w:szCs w:val="16"/>
              </w:rPr>
              <w:t>183,93</w:t>
            </w:r>
          </w:p>
        </w:tc>
        <w:tc>
          <w:tcPr>
            <w:tcW w:w="316" w:type="pct"/>
            <w:shd w:val="clear" w:color="auto" w:fill="auto"/>
            <w:vAlign w:val="center"/>
          </w:tcPr>
          <w:p w14:paraId="0FC41297" w14:textId="77777777" w:rsidR="004A0123" w:rsidRPr="000D3D0C" w:rsidRDefault="004A0123" w:rsidP="008A5C11">
            <w:pPr>
              <w:jc w:val="center"/>
              <w:rPr>
                <w:color w:val="000000"/>
                <w:sz w:val="16"/>
                <w:szCs w:val="16"/>
              </w:rPr>
            </w:pPr>
            <w:r w:rsidRPr="000D3D0C">
              <w:rPr>
                <w:color w:val="000000"/>
                <w:sz w:val="16"/>
                <w:szCs w:val="16"/>
              </w:rPr>
              <w:t>183,93</w:t>
            </w:r>
          </w:p>
        </w:tc>
        <w:tc>
          <w:tcPr>
            <w:tcW w:w="359" w:type="pct"/>
            <w:shd w:val="clear" w:color="auto" w:fill="auto"/>
            <w:tcMar>
              <w:left w:w="28" w:type="dxa"/>
              <w:right w:w="28" w:type="dxa"/>
            </w:tcMar>
            <w:vAlign w:val="center"/>
          </w:tcPr>
          <w:p w14:paraId="7009E141" w14:textId="77777777" w:rsidR="004A0123" w:rsidRPr="000D3D0C" w:rsidRDefault="004A0123" w:rsidP="008A5C11">
            <w:pPr>
              <w:jc w:val="center"/>
              <w:rPr>
                <w:color w:val="000000"/>
                <w:sz w:val="16"/>
                <w:szCs w:val="16"/>
              </w:rPr>
            </w:pPr>
            <w:r w:rsidRPr="000D3D0C">
              <w:rPr>
                <w:color w:val="000000"/>
                <w:sz w:val="16"/>
                <w:szCs w:val="16"/>
              </w:rPr>
              <w:t>183,93</w:t>
            </w:r>
          </w:p>
        </w:tc>
        <w:tc>
          <w:tcPr>
            <w:tcW w:w="303" w:type="pct"/>
            <w:shd w:val="clear" w:color="auto" w:fill="auto"/>
            <w:tcMar>
              <w:left w:w="28" w:type="dxa"/>
              <w:right w:w="28" w:type="dxa"/>
            </w:tcMar>
            <w:vAlign w:val="center"/>
          </w:tcPr>
          <w:p w14:paraId="46135B02" w14:textId="77777777" w:rsidR="004A0123" w:rsidRPr="000D3D0C" w:rsidRDefault="004A0123" w:rsidP="008A5C11">
            <w:pPr>
              <w:jc w:val="center"/>
              <w:rPr>
                <w:color w:val="000000"/>
                <w:sz w:val="16"/>
                <w:szCs w:val="16"/>
              </w:rPr>
            </w:pPr>
            <w:r w:rsidRPr="000D3D0C">
              <w:rPr>
                <w:color w:val="000000"/>
                <w:sz w:val="16"/>
                <w:szCs w:val="16"/>
              </w:rPr>
              <w:t>183,68</w:t>
            </w:r>
          </w:p>
        </w:tc>
        <w:tc>
          <w:tcPr>
            <w:tcW w:w="303" w:type="pct"/>
            <w:shd w:val="clear" w:color="auto" w:fill="auto"/>
            <w:tcMar>
              <w:left w:w="28" w:type="dxa"/>
              <w:right w:w="28" w:type="dxa"/>
            </w:tcMar>
            <w:vAlign w:val="center"/>
          </w:tcPr>
          <w:p w14:paraId="6F973C9B" w14:textId="77777777" w:rsidR="004A0123" w:rsidRPr="000D3D0C" w:rsidRDefault="004A0123" w:rsidP="008A5C11">
            <w:pPr>
              <w:jc w:val="center"/>
              <w:rPr>
                <w:color w:val="000000"/>
                <w:sz w:val="16"/>
                <w:szCs w:val="16"/>
              </w:rPr>
            </w:pPr>
            <w:r w:rsidRPr="000D3D0C">
              <w:rPr>
                <w:color w:val="000000"/>
                <w:sz w:val="16"/>
                <w:szCs w:val="16"/>
              </w:rPr>
              <w:t>183,68</w:t>
            </w:r>
          </w:p>
        </w:tc>
        <w:tc>
          <w:tcPr>
            <w:tcW w:w="303" w:type="pct"/>
            <w:shd w:val="clear" w:color="auto" w:fill="auto"/>
            <w:tcMar>
              <w:left w:w="28" w:type="dxa"/>
              <w:right w:w="28" w:type="dxa"/>
            </w:tcMar>
            <w:vAlign w:val="center"/>
          </w:tcPr>
          <w:p w14:paraId="17FD0132" w14:textId="77777777" w:rsidR="004A0123" w:rsidRPr="000D3D0C" w:rsidRDefault="004A0123" w:rsidP="008A5C11">
            <w:pPr>
              <w:jc w:val="center"/>
              <w:rPr>
                <w:color w:val="000000"/>
                <w:sz w:val="16"/>
                <w:szCs w:val="16"/>
              </w:rPr>
            </w:pPr>
            <w:r w:rsidRPr="000D3D0C">
              <w:rPr>
                <w:color w:val="000000"/>
                <w:sz w:val="16"/>
                <w:szCs w:val="16"/>
              </w:rPr>
              <w:t>183,68</w:t>
            </w:r>
          </w:p>
        </w:tc>
        <w:tc>
          <w:tcPr>
            <w:tcW w:w="307" w:type="pct"/>
            <w:shd w:val="clear" w:color="auto" w:fill="auto"/>
            <w:vAlign w:val="center"/>
          </w:tcPr>
          <w:p w14:paraId="60238A71" w14:textId="77777777" w:rsidR="004A0123" w:rsidRPr="000D3D0C" w:rsidRDefault="004A0123" w:rsidP="008A5C11">
            <w:pPr>
              <w:jc w:val="center"/>
              <w:rPr>
                <w:color w:val="000000"/>
                <w:sz w:val="16"/>
                <w:szCs w:val="16"/>
              </w:rPr>
            </w:pPr>
            <w:r w:rsidRPr="000D3D0C">
              <w:rPr>
                <w:color w:val="000000"/>
                <w:sz w:val="16"/>
                <w:szCs w:val="16"/>
              </w:rPr>
              <w:t>183,68</w:t>
            </w:r>
          </w:p>
        </w:tc>
      </w:tr>
      <w:tr w:rsidR="004A0123" w:rsidRPr="000D3D0C" w14:paraId="5EA9B6D0" w14:textId="77777777" w:rsidTr="008A5C11">
        <w:trPr>
          <w:trHeight w:val="148"/>
          <w:jc w:val="center"/>
        </w:trPr>
        <w:tc>
          <w:tcPr>
            <w:tcW w:w="222" w:type="pct"/>
            <w:tcMar>
              <w:top w:w="62" w:type="dxa"/>
              <w:left w:w="28" w:type="dxa"/>
              <w:bottom w:w="102" w:type="dxa"/>
              <w:right w:w="28" w:type="dxa"/>
            </w:tcMar>
            <w:vAlign w:val="center"/>
          </w:tcPr>
          <w:p w14:paraId="130375C4" w14:textId="77777777" w:rsidR="004A0123" w:rsidRPr="000D3D0C" w:rsidRDefault="004A0123" w:rsidP="008A5C11">
            <w:pPr>
              <w:jc w:val="center"/>
              <w:rPr>
                <w:color w:val="000000"/>
                <w:sz w:val="16"/>
                <w:szCs w:val="16"/>
              </w:rPr>
            </w:pPr>
            <w:r w:rsidRPr="000D3D0C">
              <w:rPr>
                <w:color w:val="000000"/>
                <w:sz w:val="16"/>
                <w:szCs w:val="16"/>
              </w:rPr>
              <w:t>2</w:t>
            </w:r>
          </w:p>
        </w:tc>
        <w:tc>
          <w:tcPr>
            <w:tcW w:w="893" w:type="pct"/>
            <w:tcMar>
              <w:top w:w="62" w:type="dxa"/>
              <w:left w:w="28" w:type="dxa"/>
              <w:bottom w:w="102" w:type="dxa"/>
              <w:right w:w="28" w:type="dxa"/>
            </w:tcMar>
            <w:vAlign w:val="center"/>
          </w:tcPr>
          <w:p w14:paraId="06C99974" w14:textId="77777777" w:rsidR="004A0123" w:rsidRPr="000D3D0C" w:rsidRDefault="004A0123" w:rsidP="008A5C11">
            <w:pPr>
              <w:jc w:val="center"/>
              <w:rPr>
                <w:color w:val="000000"/>
                <w:sz w:val="16"/>
                <w:szCs w:val="16"/>
              </w:rPr>
            </w:pPr>
            <w:r w:rsidRPr="000D3D0C">
              <w:rPr>
                <w:color w:val="000000"/>
                <w:sz w:val="16"/>
                <w:szCs w:val="16"/>
              </w:rPr>
              <w:t>Котельная №1</w:t>
            </w:r>
          </w:p>
        </w:tc>
        <w:tc>
          <w:tcPr>
            <w:tcW w:w="558" w:type="pct"/>
            <w:shd w:val="clear" w:color="auto" w:fill="auto"/>
            <w:tcMar>
              <w:left w:w="28" w:type="dxa"/>
              <w:right w:w="28" w:type="dxa"/>
            </w:tcMar>
            <w:vAlign w:val="center"/>
          </w:tcPr>
          <w:p w14:paraId="7F10A1EC" w14:textId="77777777" w:rsidR="004A0123" w:rsidRPr="000D3D0C" w:rsidRDefault="004A0123" w:rsidP="008A5C11">
            <w:pPr>
              <w:jc w:val="center"/>
              <w:rPr>
                <w:color w:val="000000"/>
                <w:sz w:val="16"/>
                <w:szCs w:val="16"/>
              </w:rPr>
            </w:pPr>
            <w:r w:rsidRPr="000D3D0C">
              <w:rPr>
                <w:color w:val="000000"/>
                <w:sz w:val="16"/>
                <w:szCs w:val="16"/>
              </w:rPr>
              <w:t>249,16</w:t>
            </w:r>
          </w:p>
        </w:tc>
        <w:tc>
          <w:tcPr>
            <w:tcW w:w="356" w:type="pct"/>
            <w:shd w:val="clear" w:color="auto" w:fill="auto"/>
            <w:tcMar>
              <w:left w:w="28" w:type="dxa"/>
              <w:right w:w="28" w:type="dxa"/>
            </w:tcMar>
            <w:vAlign w:val="center"/>
          </w:tcPr>
          <w:p w14:paraId="3C20D013" w14:textId="77777777" w:rsidR="004A0123" w:rsidRPr="000D3D0C" w:rsidRDefault="004A0123" w:rsidP="008A5C11">
            <w:pPr>
              <w:jc w:val="center"/>
              <w:rPr>
                <w:color w:val="000000"/>
                <w:sz w:val="16"/>
                <w:szCs w:val="16"/>
              </w:rPr>
            </w:pPr>
            <w:r w:rsidRPr="000D3D0C">
              <w:rPr>
                <w:color w:val="000000"/>
                <w:sz w:val="16"/>
                <w:szCs w:val="16"/>
              </w:rPr>
              <w:t>249,16</w:t>
            </w:r>
          </w:p>
        </w:tc>
        <w:tc>
          <w:tcPr>
            <w:tcW w:w="361" w:type="pct"/>
            <w:shd w:val="clear" w:color="auto" w:fill="auto"/>
            <w:tcMar>
              <w:left w:w="28" w:type="dxa"/>
              <w:right w:w="28" w:type="dxa"/>
            </w:tcMar>
            <w:vAlign w:val="center"/>
          </w:tcPr>
          <w:p w14:paraId="51DB2DC3" w14:textId="77777777" w:rsidR="004A0123" w:rsidRPr="000D3D0C" w:rsidRDefault="004A0123" w:rsidP="008A5C11">
            <w:pPr>
              <w:jc w:val="center"/>
              <w:rPr>
                <w:color w:val="000000"/>
                <w:sz w:val="16"/>
                <w:szCs w:val="16"/>
              </w:rPr>
            </w:pPr>
            <w:r w:rsidRPr="000D3D0C">
              <w:rPr>
                <w:color w:val="000000"/>
                <w:sz w:val="16"/>
                <w:szCs w:val="16"/>
              </w:rPr>
              <w:t>249,16</w:t>
            </w:r>
          </w:p>
        </w:tc>
        <w:tc>
          <w:tcPr>
            <w:tcW w:w="359" w:type="pct"/>
            <w:shd w:val="clear" w:color="auto" w:fill="auto"/>
            <w:tcMar>
              <w:left w:w="28" w:type="dxa"/>
              <w:right w:w="28" w:type="dxa"/>
            </w:tcMar>
            <w:vAlign w:val="center"/>
          </w:tcPr>
          <w:p w14:paraId="607768E8" w14:textId="77777777" w:rsidR="004A0123" w:rsidRPr="000D3D0C" w:rsidRDefault="004A0123" w:rsidP="008A5C11">
            <w:pPr>
              <w:jc w:val="center"/>
              <w:rPr>
                <w:color w:val="000000"/>
                <w:sz w:val="16"/>
                <w:szCs w:val="16"/>
              </w:rPr>
            </w:pPr>
            <w:r w:rsidRPr="000D3D0C">
              <w:rPr>
                <w:color w:val="000000"/>
                <w:sz w:val="16"/>
                <w:szCs w:val="16"/>
              </w:rPr>
              <w:t>249,16</w:t>
            </w:r>
          </w:p>
        </w:tc>
        <w:tc>
          <w:tcPr>
            <w:tcW w:w="360" w:type="pct"/>
            <w:shd w:val="clear" w:color="auto" w:fill="auto"/>
            <w:vAlign w:val="center"/>
          </w:tcPr>
          <w:p w14:paraId="600068AB" w14:textId="77777777" w:rsidR="004A0123" w:rsidRPr="000D3D0C" w:rsidRDefault="004A0123" w:rsidP="008A5C11">
            <w:pPr>
              <w:jc w:val="center"/>
              <w:rPr>
                <w:color w:val="000000"/>
                <w:sz w:val="16"/>
                <w:szCs w:val="16"/>
              </w:rPr>
            </w:pPr>
            <w:r w:rsidRPr="000D3D0C">
              <w:rPr>
                <w:color w:val="000000"/>
                <w:sz w:val="16"/>
                <w:szCs w:val="16"/>
              </w:rPr>
              <w:t>249,16</w:t>
            </w:r>
          </w:p>
        </w:tc>
        <w:tc>
          <w:tcPr>
            <w:tcW w:w="316" w:type="pct"/>
            <w:shd w:val="clear" w:color="auto" w:fill="auto"/>
            <w:vAlign w:val="center"/>
          </w:tcPr>
          <w:p w14:paraId="0ABC408A" w14:textId="77777777" w:rsidR="004A0123" w:rsidRPr="000D3D0C" w:rsidRDefault="004A0123" w:rsidP="008A5C11">
            <w:pPr>
              <w:jc w:val="center"/>
              <w:rPr>
                <w:color w:val="000000"/>
                <w:sz w:val="16"/>
                <w:szCs w:val="16"/>
              </w:rPr>
            </w:pPr>
            <w:r w:rsidRPr="000D3D0C">
              <w:rPr>
                <w:color w:val="000000"/>
                <w:sz w:val="16"/>
                <w:szCs w:val="16"/>
              </w:rPr>
              <w:t>217,00</w:t>
            </w:r>
          </w:p>
        </w:tc>
        <w:tc>
          <w:tcPr>
            <w:tcW w:w="359" w:type="pct"/>
            <w:shd w:val="clear" w:color="auto" w:fill="auto"/>
            <w:tcMar>
              <w:left w:w="28" w:type="dxa"/>
              <w:right w:w="28" w:type="dxa"/>
            </w:tcMar>
            <w:vAlign w:val="center"/>
          </w:tcPr>
          <w:p w14:paraId="7304AE7E" w14:textId="77777777" w:rsidR="004A0123" w:rsidRPr="000D3D0C" w:rsidRDefault="004A0123" w:rsidP="008A5C11">
            <w:pPr>
              <w:jc w:val="center"/>
              <w:rPr>
                <w:color w:val="000000"/>
                <w:sz w:val="16"/>
                <w:szCs w:val="16"/>
              </w:rPr>
            </w:pPr>
            <w:r w:rsidRPr="000D3D0C">
              <w:rPr>
                <w:color w:val="000000"/>
                <w:sz w:val="16"/>
                <w:szCs w:val="16"/>
              </w:rPr>
              <w:t>217,00</w:t>
            </w:r>
          </w:p>
        </w:tc>
        <w:tc>
          <w:tcPr>
            <w:tcW w:w="303" w:type="pct"/>
            <w:shd w:val="clear" w:color="auto" w:fill="auto"/>
            <w:tcMar>
              <w:left w:w="28" w:type="dxa"/>
              <w:right w:w="28" w:type="dxa"/>
            </w:tcMar>
            <w:vAlign w:val="center"/>
          </w:tcPr>
          <w:p w14:paraId="15A7191A" w14:textId="77777777" w:rsidR="004A0123" w:rsidRPr="000D3D0C" w:rsidRDefault="004A0123" w:rsidP="008A5C11">
            <w:pPr>
              <w:jc w:val="center"/>
              <w:rPr>
                <w:color w:val="000000"/>
                <w:sz w:val="16"/>
                <w:szCs w:val="16"/>
              </w:rPr>
            </w:pPr>
            <w:r w:rsidRPr="000D3D0C">
              <w:rPr>
                <w:color w:val="000000"/>
                <w:sz w:val="16"/>
                <w:szCs w:val="16"/>
              </w:rPr>
              <w:t>217,00</w:t>
            </w:r>
          </w:p>
        </w:tc>
        <w:tc>
          <w:tcPr>
            <w:tcW w:w="303" w:type="pct"/>
            <w:shd w:val="clear" w:color="auto" w:fill="auto"/>
            <w:tcMar>
              <w:left w:w="28" w:type="dxa"/>
              <w:right w:w="28" w:type="dxa"/>
            </w:tcMar>
            <w:vAlign w:val="center"/>
          </w:tcPr>
          <w:p w14:paraId="467AC1B4" w14:textId="77777777" w:rsidR="004A0123" w:rsidRPr="000D3D0C" w:rsidRDefault="004A0123" w:rsidP="008A5C11">
            <w:pPr>
              <w:jc w:val="center"/>
              <w:rPr>
                <w:color w:val="000000"/>
                <w:sz w:val="16"/>
                <w:szCs w:val="16"/>
              </w:rPr>
            </w:pPr>
            <w:r w:rsidRPr="000D3D0C">
              <w:rPr>
                <w:color w:val="000000"/>
                <w:sz w:val="16"/>
                <w:szCs w:val="16"/>
              </w:rPr>
              <w:t>217,00</w:t>
            </w:r>
          </w:p>
        </w:tc>
        <w:tc>
          <w:tcPr>
            <w:tcW w:w="303" w:type="pct"/>
            <w:shd w:val="clear" w:color="auto" w:fill="auto"/>
            <w:tcMar>
              <w:left w:w="28" w:type="dxa"/>
              <w:right w:w="28" w:type="dxa"/>
            </w:tcMar>
            <w:vAlign w:val="center"/>
          </w:tcPr>
          <w:p w14:paraId="6E65E643" w14:textId="77777777" w:rsidR="004A0123" w:rsidRPr="000D3D0C" w:rsidRDefault="004A0123" w:rsidP="008A5C11">
            <w:pPr>
              <w:jc w:val="center"/>
              <w:rPr>
                <w:color w:val="000000"/>
                <w:sz w:val="16"/>
                <w:szCs w:val="16"/>
              </w:rPr>
            </w:pPr>
            <w:r w:rsidRPr="000D3D0C">
              <w:rPr>
                <w:color w:val="000000"/>
                <w:sz w:val="16"/>
                <w:szCs w:val="16"/>
              </w:rPr>
              <w:t>217,00</w:t>
            </w:r>
          </w:p>
        </w:tc>
        <w:tc>
          <w:tcPr>
            <w:tcW w:w="307" w:type="pct"/>
            <w:shd w:val="clear" w:color="auto" w:fill="auto"/>
            <w:vAlign w:val="center"/>
          </w:tcPr>
          <w:p w14:paraId="563F8A4E" w14:textId="77777777" w:rsidR="004A0123" w:rsidRPr="000D3D0C" w:rsidRDefault="004A0123" w:rsidP="008A5C11">
            <w:pPr>
              <w:jc w:val="center"/>
              <w:rPr>
                <w:color w:val="000000"/>
                <w:sz w:val="16"/>
                <w:szCs w:val="16"/>
              </w:rPr>
            </w:pPr>
            <w:r w:rsidRPr="000D3D0C">
              <w:rPr>
                <w:color w:val="000000"/>
                <w:sz w:val="16"/>
                <w:szCs w:val="16"/>
              </w:rPr>
              <w:t>217,00</w:t>
            </w:r>
          </w:p>
        </w:tc>
      </w:tr>
      <w:tr w:rsidR="004A0123" w:rsidRPr="000D3D0C" w14:paraId="687C9328" w14:textId="77777777" w:rsidTr="008A5C11">
        <w:trPr>
          <w:trHeight w:val="148"/>
          <w:jc w:val="center"/>
        </w:trPr>
        <w:tc>
          <w:tcPr>
            <w:tcW w:w="222" w:type="pct"/>
            <w:tcMar>
              <w:top w:w="62" w:type="dxa"/>
              <w:left w:w="28" w:type="dxa"/>
              <w:bottom w:w="102" w:type="dxa"/>
              <w:right w:w="28" w:type="dxa"/>
            </w:tcMar>
            <w:vAlign w:val="center"/>
          </w:tcPr>
          <w:p w14:paraId="2FD739A8" w14:textId="77777777" w:rsidR="004A0123" w:rsidRPr="000D3D0C" w:rsidRDefault="004A0123" w:rsidP="008A5C11">
            <w:pPr>
              <w:jc w:val="center"/>
              <w:rPr>
                <w:color w:val="000000"/>
                <w:sz w:val="16"/>
                <w:szCs w:val="16"/>
              </w:rPr>
            </w:pPr>
            <w:r w:rsidRPr="000D3D0C">
              <w:rPr>
                <w:color w:val="000000"/>
                <w:sz w:val="16"/>
                <w:szCs w:val="16"/>
              </w:rPr>
              <w:t>3</w:t>
            </w:r>
          </w:p>
        </w:tc>
        <w:tc>
          <w:tcPr>
            <w:tcW w:w="893" w:type="pct"/>
            <w:tcMar>
              <w:top w:w="62" w:type="dxa"/>
              <w:left w:w="28" w:type="dxa"/>
              <w:bottom w:w="102" w:type="dxa"/>
              <w:right w:w="28" w:type="dxa"/>
            </w:tcMar>
            <w:vAlign w:val="center"/>
          </w:tcPr>
          <w:p w14:paraId="6ECBB1AD" w14:textId="77777777" w:rsidR="004A0123" w:rsidRPr="000D3D0C" w:rsidRDefault="004A0123" w:rsidP="008A5C11">
            <w:pPr>
              <w:jc w:val="center"/>
              <w:rPr>
                <w:color w:val="000000"/>
                <w:sz w:val="16"/>
                <w:szCs w:val="16"/>
              </w:rPr>
            </w:pPr>
            <w:r w:rsidRPr="000D3D0C">
              <w:rPr>
                <w:color w:val="000000"/>
                <w:sz w:val="16"/>
                <w:szCs w:val="16"/>
              </w:rPr>
              <w:t>Котельная Кузель</w:t>
            </w:r>
          </w:p>
        </w:tc>
        <w:tc>
          <w:tcPr>
            <w:tcW w:w="558" w:type="pct"/>
            <w:shd w:val="clear" w:color="auto" w:fill="auto"/>
            <w:tcMar>
              <w:left w:w="28" w:type="dxa"/>
              <w:right w:w="28" w:type="dxa"/>
            </w:tcMar>
            <w:vAlign w:val="center"/>
          </w:tcPr>
          <w:p w14:paraId="176C3D46" w14:textId="77777777" w:rsidR="004A0123" w:rsidRPr="000D3D0C" w:rsidRDefault="004A0123" w:rsidP="008A5C11">
            <w:pPr>
              <w:jc w:val="center"/>
              <w:rPr>
                <w:color w:val="000000"/>
                <w:sz w:val="16"/>
                <w:szCs w:val="16"/>
              </w:rPr>
            </w:pPr>
            <w:r w:rsidRPr="000D3D0C">
              <w:rPr>
                <w:color w:val="000000"/>
                <w:sz w:val="16"/>
                <w:szCs w:val="16"/>
              </w:rPr>
              <w:t>295,04</w:t>
            </w:r>
          </w:p>
        </w:tc>
        <w:tc>
          <w:tcPr>
            <w:tcW w:w="356" w:type="pct"/>
            <w:shd w:val="clear" w:color="auto" w:fill="auto"/>
            <w:tcMar>
              <w:left w:w="28" w:type="dxa"/>
              <w:right w:w="28" w:type="dxa"/>
            </w:tcMar>
            <w:vAlign w:val="center"/>
          </w:tcPr>
          <w:p w14:paraId="2E7770FC" w14:textId="77777777" w:rsidR="004A0123" w:rsidRPr="000D3D0C" w:rsidRDefault="004A0123" w:rsidP="008A5C11">
            <w:pPr>
              <w:jc w:val="center"/>
              <w:rPr>
                <w:color w:val="000000"/>
                <w:sz w:val="16"/>
                <w:szCs w:val="16"/>
              </w:rPr>
            </w:pPr>
            <w:r w:rsidRPr="000D3D0C">
              <w:rPr>
                <w:color w:val="000000"/>
                <w:sz w:val="16"/>
                <w:szCs w:val="16"/>
              </w:rPr>
              <w:t>295,04</w:t>
            </w:r>
          </w:p>
        </w:tc>
        <w:tc>
          <w:tcPr>
            <w:tcW w:w="361" w:type="pct"/>
            <w:shd w:val="clear" w:color="auto" w:fill="auto"/>
            <w:tcMar>
              <w:left w:w="28" w:type="dxa"/>
              <w:right w:w="28" w:type="dxa"/>
            </w:tcMar>
            <w:vAlign w:val="center"/>
          </w:tcPr>
          <w:p w14:paraId="3736431F" w14:textId="77777777" w:rsidR="004A0123" w:rsidRPr="000D3D0C" w:rsidRDefault="004A0123" w:rsidP="008A5C11">
            <w:pPr>
              <w:jc w:val="center"/>
              <w:rPr>
                <w:color w:val="000000"/>
                <w:sz w:val="16"/>
                <w:szCs w:val="16"/>
              </w:rPr>
            </w:pPr>
            <w:r w:rsidRPr="000D3D0C">
              <w:rPr>
                <w:color w:val="000000"/>
                <w:sz w:val="16"/>
                <w:szCs w:val="16"/>
              </w:rPr>
              <w:t>295,04</w:t>
            </w:r>
          </w:p>
        </w:tc>
        <w:tc>
          <w:tcPr>
            <w:tcW w:w="359" w:type="pct"/>
            <w:shd w:val="clear" w:color="auto" w:fill="auto"/>
            <w:tcMar>
              <w:left w:w="28" w:type="dxa"/>
              <w:right w:w="28" w:type="dxa"/>
            </w:tcMar>
            <w:vAlign w:val="center"/>
          </w:tcPr>
          <w:p w14:paraId="37B9D25B" w14:textId="77777777" w:rsidR="004A0123" w:rsidRPr="000D3D0C" w:rsidRDefault="004A0123" w:rsidP="008A5C11">
            <w:pPr>
              <w:jc w:val="center"/>
              <w:rPr>
                <w:color w:val="000000"/>
                <w:sz w:val="16"/>
                <w:szCs w:val="16"/>
              </w:rPr>
            </w:pPr>
            <w:r w:rsidRPr="000D3D0C">
              <w:rPr>
                <w:color w:val="000000"/>
                <w:sz w:val="16"/>
                <w:szCs w:val="16"/>
              </w:rPr>
              <w:t>295,04</w:t>
            </w:r>
          </w:p>
        </w:tc>
        <w:tc>
          <w:tcPr>
            <w:tcW w:w="360" w:type="pct"/>
            <w:shd w:val="clear" w:color="auto" w:fill="auto"/>
            <w:vAlign w:val="center"/>
          </w:tcPr>
          <w:p w14:paraId="6EC7BB95" w14:textId="77777777" w:rsidR="004A0123" w:rsidRPr="000D3D0C" w:rsidRDefault="004A0123" w:rsidP="008A5C11">
            <w:pPr>
              <w:jc w:val="center"/>
              <w:rPr>
                <w:color w:val="000000"/>
                <w:sz w:val="16"/>
                <w:szCs w:val="16"/>
              </w:rPr>
            </w:pPr>
            <w:r w:rsidRPr="000D3D0C">
              <w:rPr>
                <w:color w:val="000000"/>
                <w:sz w:val="16"/>
                <w:szCs w:val="16"/>
              </w:rPr>
              <w:t>217,00</w:t>
            </w:r>
          </w:p>
        </w:tc>
        <w:tc>
          <w:tcPr>
            <w:tcW w:w="316" w:type="pct"/>
            <w:shd w:val="clear" w:color="auto" w:fill="auto"/>
            <w:vAlign w:val="center"/>
          </w:tcPr>
          <w:p w14:paraId="7F742AC0" w14:textId="77777777" w:rsidR="004A0123" w:rsidRPr="000D3D0C" w:rsidRDefault="004A0123" w:rsidP="008A5C11">
            <w:pPr>
              <w:jc w:val="center"/>
              <w:rPr>
                <w:color w:val="000000"/>
                <w:sz w:val="16"/>
                <w:szCs w:val="16"/>
              </w:rPr>
            </w:pPr>
            <w:r w:rsidRPr="000D3D0C">
              <w:rPr>
                <w:color w:val="000000"/>
                <w:sz w:val="16"/>
                <w:szCs w:val="16"/>
              </w:rPr>
              <w:t>217,00</w:t>
            </w:r>
          </w:p>
        </w:tc>
        <w:tc>
          <w:tcPr>
            <w:tcW w:w="359" w:type="pct"/>
            <w:shd w:val="clear" w:color="auto" w:fill="auto"/>
            <w:tcMar>
              <w:left w:w="28" w:type="dxa"/>
              <w:right w:w="28" w:type="dxa"/>
            </w:tcMar>
            <w:vAlign w:val="center"/>
          </w:tcPr>
          <w:p w14:paraId="2699100C" w14:textId="77777777" w:rsidR="004A0123" w:rsidRPr="000D3D0C" w:rsidRDefault="004A0123" w:rsidP="008A5C11">
            <w:pPr>
              <w:jc w:val="center"/>
              <w:rPr>
                <w:color w:val="000000"/>
                <w:sz w:val="16"/>
                <w:szCs w:val="16"/>
              </w:rPr>
            </w:pPr>
            <w:r w:rsidRPr="000D3D0C">
              <w:rPr>
                <w:color w:val="000000"/>
                <w:sz w:val="16"/>
                <w:szCs w:val="16"/>
              </w:rPr>
              <w:t>217,00</w:t>
            </w:r>
          </w:p>
        </w:tc>
        <w:tc>
          <w:tcPr>
            <w:tcW w:w="303" w:type="pct"/>
            <w:shd w:val="clear" w:color="auto" w:fill="auto"/>
            <w:tcMar>
              <w:left w:w="28" w:type="dxa"/>
              <w:right w:w="28" w:type="dxa"/>
            </w:tcMar>
            <w:vAlign w:val="center"/>
          </w:tcPr>
          <w:p w14:paraId="59095F6B" w14:textId="77777777" w:rsidR="004A0123" w:rsidRPr="000D3D0C" w:rsidRDefault="004A0123" w:rsidP="008A5C11">
            <w:pPr>
              <w:jc w:val="center"/>
              <w:rPr>
                <w:color w:val="000000"/>
                <w:sz w:val="16"/>
                <w:szCs w:val="16"/>
              </w:rPr>
            </w:pPr>
            <w:r w:rsidRPr="000D3D0C">
              <w:rPr>
                <w:color w:val="000000"/>
                <w:sz w:val="16"/>
                <w:szCs w:val="16"/>
              </w:rPr>
              <w:t>217,00</w:t>
            </w:r>
          </w:p>
        </w:tc>
        <w:tc>
          <w:tcPr>
            <w:tcW w:w="303" w:type="pct"/>
            <w:shd w:val="clear" w:color="auto" w:fill="auto"/>
            <w:tcMar>
              <w:left w:w="28" w:type="dxa"/>
              <w:right w:w="28" w:type="dxa"/>
            </w:tcMar>
            <w:vAlign w:val="center"/>
          </w:tcPr>
          <w:p w14:paraId="579E7B83" w14:textId="77777777" w:rsidR="004A0123" w:rsidRPr="000D3D0C" w:rsidRDefault="004A0123" w:rsidP="008A5C11">
            <w:pPr>
              <w:jc w:val="center"/>
              <w:rPr>
                <w:color w:val="000000"/>
                <w:sz w:val="16"/>
                <w:szCs w:val="16"/>
              </w:rPr>
            </w:pPr>
            <w:r w:rsidRPr="000D3D0C">
              <w:rPr>
                <w:color w:val="000000"/>
                <w:sz w:val="16"/>
                <w:szCs w:val="16"/>
              </w:rPr>
              <w:t>217,00</w:t>
            </w:r>
          </w:p>
        </w:tc>
        <w:tc>
          <w:tcPr>
            <w:tcW w:w="303" w:type="pct"/>
            <w:shd w:val="clear" w:color="auto" w:fill="auto"/>
            <w:tcMar>
              <w:left w:w="28" w:type="dxa"/>
              <w:right w:w="28" w:type="dxa"/>
            </w:tcMar>
            <w:vAlign w:val="center"/>
          </w:tcPr>
          <w:p w14:paraId="75F54327" w14:textId="77777777" w:rsidR="004A0123" w:rsidRPr="000D3D0C" w:rsidRDefault="004A0123" w:rsidP="008A5C11">
            <w:pPr>
              <w:jc w:val="center"/>
              <w:rPr>
                <w:color w:val="000000"/>
                <w:sz w:val="16"/>
                <w:szCs w:val="16"/>
              </w:rPr>
            </w:pPr>
            <w:r w:rsidRPr="000D3D0C">
              <w:rPr>
                <w:color w:val="000000"/>
                <w:sz w:val="16"/>
                <w:szCs w:val="16"/>
              </w:rPr>
              <w:t>217,00</w:t>
            </w:r>
          </w:p>
        </w:tc>
        <w:tc>
          <w:tcPr>
            <w:tcW w:w="307" w:type="pct"/>
            <w:shd w:val="clear" w:color="auto" w:fill="auto"/>
            <w:vAlign w:val="center"/>
          </w:tcPr>
          <w:p w14:paraId="5D1E24F4" w14:textId="77777777" w:rsidR="004A0123" w:rsidRPr="000D3D0C" w:rsidRDefault="004A0123" w:rsidP="008A5C11">
            <w:pPr>
              <w:jc w:val="center"/>
              <w:rPr>
                <w:color w:val="000000"/>
                <w:sz w:val="16"/>
                <w:szCs w:val="16"/>
              </w:rPr>
            </w:pPr>
            <w:r w:rsidRPr="000D3D0C">
              <w:rPr>
                <w:color w:val="000000"/>
                <w:sz w:val="16"/>
                <w:szCs w:val="16"/>
              </w:rPr>
              <w:t>217,00</w:t>
            </w:r>
          </w:p>
        </w:tc>
      </w:tr>
      <w:tr w:rsidR="004A0123" w:rsidRPr="000D3D0C" w14:paraId="0B7399DC" w14:textId="77777777" w:rsidTr="008A5C11">
        <w:trPr>
          <w:trHeight w:val="148"/>
          <w:jc w:val="center"/>
        </w:trPr>
        <w:tc>
          <w:tcPr>
            <w:tcW w:w="222" w:type="pct"/>
            <w:tcMar>
              <w:top w:w="62" w:type="dxa"/>
              <w:left w:w="28" w:type="dxa"/>
              <w:bottom w:w="102" w:type="dxa"/>
              <w:right w:w="28" w:type="dxa"/>
            </w:tcMar>
            <w:vAlign w:val="center"/>
          </w:tcPr>
          <w:p w14:paraId="0E2662AA" w14:textId="77777777" w:rsidR="004A0123" w:rsidRPr="000D3D0C" w:rsidRDefault="004A0123" w:rsidP="008A5C11">
            <w:pPr>
              <w:jc w:val="center"/>
              <w:rPr>
                <w:color w:val="000000"/>
                <w:sz w:val="16"/>
                <w:szCs w:val="16"/>
              </w:rPr>
            </w:pPr>
            <w:r w:rsidRPr="000D3D0C">
              <w:rPr>
                <w:color w:val="000000"/>
                <w:sz w:val="16"/>
                <w:szCs w:val="16"/>
              </w:rPr>
              <w:t>4</w:t>
            </w:r>
          </w:p>
        </w:tc>
        <w:tc>
          <w:tcPr>
            <w:tcW w:w="893" w:type="pct"/>
            <w:tcMar>
              <w:top w:w="62" w:type="dxa"/>
              <w:left w:w="28" w:type="dxa"/>
              <w:bottom w:w="102" w:type="dxa"/>
              <w:right w:w="28" w:type="dxa"/>
            </w:tcMar>
            <w:vAlign w:val="center"/>
          </w:tcPr>
          <w:p w14:paraId="71A3D445" w14:textId="77777777" w:rsidR="004A0123" w:rsidRPr="000D3D0C" w:rsidRDefault="004A0123" w:rsidP="008A5C11">
            <w:pPr>
              <w:jc w:val="center"/>
              <w:rPr>
                <w:color w:val="000000"/>
                <w:sz w:val="16"/>
                <w:szCs w:val="16"/>
              </w:rPr>
            </w:pPr>
            <w:r w:rsidRPr="000D3D0C">
              <w:rPr>
                <w:color w:val="000000"/>
                <w:sz w:val="16"/>
                <w:szCs w:val="16"/>
              </w:rPr>
              <w:t>Котельная Приют</w:t>
            </w:r>
          </w:p>
        </w:tc>
        <w:tc>
          <w:tcPr>
            <w:tcW w:w="558" w:type="pct"/>
            <w:shd w:val="clear" w:color="auto" w:fill="auto"/>
            <w:tcMar>
              <w:left w:w="28" w:type="dxa"/>
              <w:right w:w="28" w:type="dxa"/>
            </w:tcMar>
            <w:vAlign w:val="center"/>
          </w:tcPr>
          <w:p w14:paraId="351343F8" w14:textId="77777777" w:rsidR="004A0123" w:rsidRPr="000D3D0C" w:rsidRDefault="004A0123" w:rsidP="008A5C11">
            <w:pPr>
              <w:jc w:val="center"/>
              <w:rPr>
                <w:color w:val="000000"/>
                <w:sz w:val="16"/>
                <w:szCs w:val="16"/>
              </w:rPr>
            </w:pPr>
            <w:r w:rsidRPr="000D3D0C">
              <w:rPr>
                <w:color w:val="000000"/>
                <w:sz w:val="16"/>
                <w:szCs w:val="16"/>
              </w:rPr>
              <w:t>241,15</w:t>
            </w:r>
          </w:p>
        </w:tc>
        <w:tc>
          <w:tcPr>
            <w:tcW w:w="356" w:type="pct"/>
            <w:shd w:val="clear" w:color="auto" w:fill="auto"/>
            <w:tcMar>
              <w:left w:w="28" w:type="dxa"/>
              <w:right w:w="28" w:type="dxa"/>
            </w:tcMar>
            <w:vAlign w:val="center"/>
          </w:tcPr>
          <w:p w14:paraId="3F233FF5" w14:textId="77777777" w:rsidR="004A0123" w:rsidRPr="000D3D0C" w:rsidRDefault="004A0123" w:rsidP="008A5C11">
            <w:pPr>
              <w:jc w:val="center"/>
              <w:rPr>
                <w:color w:val="000000"/>
                <w:sz w:val="16"/>
                <w:szCs w:val="16"/>
              </w:rPr>
            </w:pPr>
            <w:r w:rsidRPr="000D3D0C">
              <w:rPr>
                <w:color w:val="000000"/>
                <w:sz w:val="16"/>
                <w:szCs w:val="16"/>
              </w:rPr>
              <w:t>241,15</w:t>
            </w:r>
          </w:p>
        </w:tc>
        <w:tc>
          <w:tcPr>
            <w:tcW w:w="361" w:type="pct"/>
            <w:shd w:val="clear" w:color="auto" w:fill="auto"/>
            <w:tcMar>
              <w:left w:w="28" w:type="dxa"/>
              <w:right w:w="28" w:type="dxa"/>
            </w:tcMar>
            <w:vAlign w:val="center"/>
          </w:tcPr>
          <w:p w14:paraId="4659830E" w14:textId="77777777" w:rsidR="004A0123" w:rsidRPr="000D3D0C" w:rsidRDefault="004A0123" w:rsidP="008A5C11">
            <w:pPr>
              <w:jc w:val="center"/>
              <w:rPr>
                <w:color w:val="000000"/>
                <w:sz w:val="16"/>
                <w:szCs w:val="16"/>
              </w:rPr>
            </w:pPr>
            <w:r w:rsidRPr="000D3D0C">
              <w:rPr>
                <w:color w:val="000000"/>
                <w:sz w:val="16"/>
                <w:szCs w:val="16"/>
              </w:rPr>
              <w:t>241,15</w:t>
            </w:r>
          </w:p>
        </w:tc>
        <w:tc>
          <w:tcPr>
            <w:tcW w:w="359" w:type="pct"/>
            <w:shd w:val="clear" w:color="auto" w:fill="auto"/>
            <w:tcMar>
              <w:left w:w="28" w:type="dxa"/>
              <w:right w:w="28" w:type="dxa"/>
            </w:tcMar>
            <w:vAlign w:val="center"/>
          </w:tcPr>
          <w:p w14:paraId="73057CE2" w14:textId="77777777" w:rsidR="004A0123" w:rsidRPr="000D3D0C" w:rsidRDefault="004A0123" w:rsidP="008A5C11">
            <w:pPr>
              <w:jc w:val="center"/>
              <w:rPr>
                <w:color w:val="000000"/>
                <w:sz w:val="16"/>
                <w:szCs w:val="16"/>
              </w:rPr>
            </w:pPr>
            <w:r w:rsidRPr="000D3D0C">
              <w:rPr>
                <w:color w:val="000000"/>
                <w:sz w:val="16"/>
                <w:szCs w:val="16"/>
              </w:rPr>
              <w:t>241,15</w:t>
            </w:r>
          </w:p>
        </w:tc>
        <w:tc>
          <w:tcPr>
            <w:tcW w:w="360" w:type="pct"/>
            <w:shd w:val="clear" w:color="auto" w:fill="auto"/>
            <w:vAlign w:val="center"/>
          </w:tcPr>
          <w:p w14:paraId="3494F146" w14:textId="77777777" w:rsidR="004A0123" w:rsidRPr="000D3D0C" w:rsidRDefault="004A0123" w:rsidP="008A5C11">
            <w:pPr>
              <w:jc w:val="center"/>
              <w:rPr>
                <w:color w:val="000000"/>
                <w:sz w:val="16"/>
                <w:szCs w:val="16"/>
              </w:rPr>
            </w:pPr>
            <w:r w:rsidRPr="000D3D0C">
              <w:rPr>
                <w:color w:val="000000"/>
                <w:sz w:val="16"/>
                <w:szCs w:val="16"/>
              </w:rPr>
              <w:t>217,00</w:t>
            </w:r>
          </w:p>
        </w:tc>
        <w:tc>
          <w:tcPr>
            <w:tcW w:w="316" w:type="pct"/>
            <w:shd w:val="clear" w:color="auto" w:fill="auto"/>
            <w:vAlign w:val="center"/>
          </w:tcPr>
          <w:p w14:paraId="50F8D7FB" w14:textId="77777777" w:rsidR="004A0123" w:rsidRPr="000D3D0C" w:rsidRDefault="004A0123" w:rsidP="008A5C11">
            <w:pPr>
              <w:jc w:val="center"/>
              <w:rPr>
                <w:color w:val="000000"/>
                <w:sz w:val="16"/>
                <w:szCs w:val="16"/>
              </w:rPr>
            </w:pPr>
            <w:r w:rsidRPr="000D3D0C">
              <w:rPr>
                <w:color w:val="000000"/>
                <w:sz w:val="16"/>
                <w:szCs w:val="16"/>
              </w:rPr>
              <w:t>217,00</w:t>
            </w:r>
          </w:p>
        </w:tc>
        <w:tc>
          <w:tcPr>
            <w:tcW w:w="359" w:type="pct"/>
            <w:shd w:val="clear" w:color="auto" w:fill="auto"/>
            <w:tcMar>
              <w:left w:w="28" w:type="dxa"/>
              <w:right w:w="28" w:type="dxa"/>
            </w:tcMar>
            <w:vAlign w:val="center"/>
          </w:tcPr>
          <w:p w14:paraId="758291F2" w14:textId="77777777" w:rsidR="004A0123" w:rsidRPr="000D3D0C" w:rsidRDefault="004A0123" w:rsidP="008A5C11">
            <w:pPr>
              <w:jc w:val="center"/>
              <w:rPr>
                <w:color w:val="000000"/>
                <w:sz w:val="16"/>
                <w:szCs w:val="16"/>
              </w:rPr>
            </w:pPr>
            <w:r w:rsidRPr="000D3D0C">
              <w:rPr>
                <w:color w:val="000000"/>
                <w:sz w:val="16"/>
                <w:szCs w:val="16"/>
              </w:rPr>
              <w:t>217,00</w:t>
            </w:r>
          </w:p>
        </w:tc>
        <w:tc>
          <w:tcPr>
            <w:tcW w:w="303" w:type="pct"/>
            <w:shd w:val="clear" w:color="auto" w:fill="auto"/>
            <w:tcMar>
              <w:left w:w="28" w:type="dxa"/>
              <w:right w:w="28" w:type="dxa"/>
            </w:tcMar>
            <w:vAlign w:val="center"/>
          </w:tcPr>
          <w:p w14:paraId="2D25E1FB" w14:textId="77777777" w:rsidR="004A0123" w:rsidRPr="000D3D0C" w:rsidRDefault="004A0123" w:rsidP="008A5C11">
            <w:pPr>
              <w:jc w:val="center"/>
              <w:rPr>
                <w:color w:val="000000"/>
                <w:sz w:val="16"/>
                <w:szCs w:val="16"/>
              </w:rPr>
            </w:pPr>
            <w:r w:rsidRPr="000D3D0C">
              <w:rPr>
                <w:color w:val="000000"/>
                <w:sz w:val="16"/>
                <w:szCs w:val="16"/>
              </w:rPr>
              <w:t>217,00</w:t>
            </w:r>
          </w:p>
        </w:tc>
        <w:tc>
          <w:tcPr>
            <w:tcW w:w="303" w:type="pct"/>
            <w:shd w:val="clear" w:color="auto" w:fill="auto"/>
            <w:tcMar>
              <w:left w:w="28" w:type="dxa"/>
              <w:right w:w="28" w:type="dxa"/>
            </w:tcMar>
            <w:vAlign w:val="center"/>
          </w:tcPr>
          <w:p w14:paraId="215B37C5" w14:textId="77777777" w:rsidR="004A0123" w:rsidRPr="000D3D0C" w:rsidRDefault="004A0123" w:rsidP="008A5C11">
            <w:pPr>
              <w:jc w:val="center"/>
              <w:rPr>
                <w:color w:val="000000"/>
                <w:sz w:val="16"/>
                <w:szCs w:val="16"/>
              </w:rPr>
            </w:pPr>
            <w:r w:rsidRPr="000D3D0C">
              <w:rPr>
                <w:color w:val="000000"/>
                <w:sz w:val="16"/>
                <w:szCs w:val="16"/>
              </w:rPr>
              <w:t>217,00</w:t>
            </w:r>
          </w:p>
        </w:tc>
        <w:tc>
          <w:tcPr>
            <w:tcW w:w="303" w:type="pct"/>
            <w:shd w:val="clear" w:color="auto" w:fill="auto"/>
            <w:tcMar>
              <w:left w:w="28" w:type="dxa"/>
              <w:right w:w="28" w:type="dxa"/>
            </w:tcMar>
            <w:vAlign w:val="center"/>
          </w:tcPr>
          <w:p w14:paraId="43775563" w14:textId="77777777" w:rsidR="004A0123" w:rsidRPr="000D3D0C" w:rsidRDefault="004A0123" w:rsidP="008A5C11">
            <w:pPr>
              <w:jc w:val="center"/>
              <w:rPr>
                <w:color w:val="000000"/>
                <w:sz w:val="16"/>
                <w:szCs w:val="16"/>
              </w:rPr>
            </w:pPr>
            <w:r w:rsidRPr="000D3D0C">
              <w:rPr>
                <w:color w:val="000000"/>
                <w:sz w:val="16"/>
                <w:szCs w:val="16"/>
              </w:rPr>
              <w:t>217,00</w:t>
            </w:r>
          </w:p>
        </w:tc>
        <w:tc>
          <w:tcPr>
            <w:tcW w:w="307" w:type="pct"/>
            <w:shd w:val="clear" w:color="auto" w:fill="auto"/>
            <w:vAlign w:val="center"/>
          </w:tcPr>
          <w:p w14:paraId="5413821E" w14:textId="77777777" w:rsidR="004A0123" w:rsidRPr="000D3D0C" w:rsidRDefault="004A0123" w:rsidP="008A5C11">
            <w:pPr>
              <w:jc w:val="center"/>
              <w:rPr>
                <w:color w:val="000000"/>
                <w:sz w:val="16"/>
                <w:szCs w:val="16"/>
              </w:rPr>
            </w:pPr>
            <w:r w:rsidRPr="000D3D0C">
              <w:rPr>
                <w:color w:val="000000"/>
                <w:sz w:val="16"/>
                <w:szCs w:val="16"/>
              </w:rPr>
              <w:t>217,00</w:t>
            </w:r>
          </w:p>
        </w:tc>
      </w:tr>
      <w:tr w:rsidR="004A0123" w:rsidRPr="000D3D0C" w14:paraId="29B16C15" w14:textId="77777777" w:rsidTr="008A5C11">
        <w:trPr>
          <w:trHeight w:val="148"/>
          <w:jc w:val="center"/>
        </w:trPr>
        <w:tc>
          <w:tcPr>
            <w:tcW w:w="222" w:type="pct"/>
            <w:tcMar>
              <w:top w:w="62" w:type="dxa"/>
              <w:left w:w="28" w:type="dxa"/>
              <w:bottom w:w="102" w:type="dxa"/>
              <w:right w:w="28" w:type="dxa"/>
            </w:tcMar>
            <w:vAlign w:val="center"/>
          </w:tcPr>
          <w:p w14:paraId="6CE2420B" w14:textId="77777777" w:rsidR="004A0123" w:rsidRPr="000D3D0C" w:rsidRDefault="004A0123" w:rsidP="008A5C11">
            <w:pPr>
              <w:jc w:val="center"/>
              <w:rPr>
                <w:color w:val="000000"/>
                <w:sz w:val="16"/>
                <w:szCs w:val="16"/>
              </w:rPr>
            </w:pPr>
            <w:r w:rsidRPr="000D3D0C">
              <w:rPr>
                <w:color w:val="000000"/>
                <w:sz w:val="16"/>
                <w:szCs w:val="16"/>
              </w:rPr>
              <w:t>5</w:t>
            </w:r>
          </w:p>
        </w:tc>
        <w:tc>
          <w:tcPr>
            <w:tcW w:w="893" w:type="pct"/>
            <w:tcMar>
              <w:top w:w="62" w:type="dxa"/>
              <w:left w:w="28" w:type="dxa"/>
              <w:bottom w:w="102" w:type="dxa"/>
              <w:right w:w="28" w:type="dxa"/>
            </w:tcMar>
            <w:vAlign w:val="center"/>
          </w:tcPr>
          <w:p w14:paraId="3F0C97E2" w14:textId="77777777" w:rsidR="004A0123" w:rsidRPr="000D3D0C" w:rsidRDefault="004A0123" w:rsidP="008A5C11">
            <w:pPr>
              <w:jc w:val="center"/>
              <w:rPr>
                <w:color w:val="000000"/>
                <w:sz w:val="16"/>
                <w:szCs w:val="16"/>
              </w:rPr>
            </w:pPr>
            <w:r w:rsidRPr="000D3D0C">
              <w:rPr>
                <w:color w:val="000000"/>
                <w:sz w:val="16"/>
                <w:szCs w:val="16"/>
              </w:rPr>
              <w:t>Котельная Детского сада</w:t>
            </w:r>
          </w:p>
        </w:tc>
        <w:tc>
          <w:tcPr>
            <w:tcW w:w="558" w:type="pct"/>
            <w:shd w:val="clear" w:color="auto" w:fill="auto"/>
            <w:tcMar>
              <w:left w:w="28" w:type="dxa"/>
              <w:right w:w="28" w:type="dxa"/>
            </w:tcMar>
            <w:vAlign w:val="center"/>
          </w:tcPr>
          <w:p w14:paraId="612B848D" w14:textId="77777777" w:rsidR="004A0123" w:rsidRPr="000D3D0C" w:rsidRDefault="004A0123" w:rsidP="008A5C11">
            <w:pPr>
              <w:jc w:val="center"/>
              <w:rPr>
                <w:color w:val="000000"/>
                <w:sz w:val="16"/>
                <w:szCs w:val="16"/>
              </w:rPr>
            </w:pPr>
            <w:r w:rsidRPr="000D3D0C">
              <w:rPr>
                <w:color w:val="000000"/>
                <w:sz w:val="16"/>
                <w:szCs w:val="16"/>
              </w:rPr>
              <w:t>220,28</w:t>
            </w:r>
          </w:p>
        </w:tc>
        <w:tc>
          <w:tcPr>
            <w:tcW w:w="356" w:type="pct"/>
            <w:shd w:val="clear" w:color="auto" w:fill="auto"/>
            <w:tcMar>
              <w:left w:w="28" w:type="dxa"/>
              <w:right w:w="28" w:type="dxa"/>
            </w:tcMar>
            <w:vAlign w:val="center"/>
          </w:tcPr>
          <w:p w14:paraId="5D89120D" w14:textId="77777777" w:rsidR="004A0123" w:rsidRPr="000D3D0C" w:rsidRDefault="004A0123" w:rsidP="008A5C11">
            <w:pPr>
              <w:jc w:val="center"/>
              <w:rPr>
                <w:color w:val="000000"/>
                <w:sz w:val="16"/>
                <w:szCs w:val="16"/>
              </w:rPr>
            </w:pPr>
            <w:r w:rsidRPr="000D3D0C">
              <w:rPr>
                <w:color w:val="000000"/>
                <w:sz w:val="16"/>
                <w:szCs w:val="16"/>
              </w:rPr>
              <w:t>220,28</w:t>
            </w:r>
          </w:p>
        </w:tc>
        <w:tc>
          <w:tcPr>
            <w:tcW w:w="361" w:type="pct"/>
            <w:shd w:val="clear" w:color="auto" w:fill="auto"/>
            <w:tcMar>
              <w:left w:w="28" w:type="dxa"/>
              <w:right w:w="28" w:type="dxa"/>
            </w:tcMar>
            <w:vAlign w:val="center"/>
          </w:tcPr>
          <w:p w14:paraId="6E866E16" w14:textId="77777777" w:rsidR="004A0123" w:rsidRPr="000D3D0C" w:rsidRDefault="004A0123" w:rsidP="008A5C11">
            <w:pPr>
              <w:jc w:val="center"/>
              <w:rPr>
                <w:color w:val="000000"/>
                <w:sz w:val="16"/>
                <w:szCs w:val="16"/>
              </w:rPr>
            </w:pPr>
            <w:r w:rsidRPr="000D3D0C">
              <w:rPr>
                <w:color w:val="000000"/>
                <w:sz w:val="16"/>
                <w:szCs w:val="16"/>
              </w:rPr>
              <w:t>217,00</w:t>
            </w:r>
          </w:p>
        </w:tc>
        <w:tc>
          <w:tcPr>
            <w:tcW w:w="359" w:type="pct"/>
            <w:shd w:val="clear" w:color="auto" w:fill="auto"/>
            <w:tcMar>
              <w:left w:w="28" w:type="dxa"/>
              <w:right w:w="28" w:type="dxa"/>
            </w:tcMar>
            <w:vAlign w:val="center"/>
          </w:tcPr>
          <w:p w14:paraId="363A3B60" w14:textId="77777777" w:rsidR="004A0123" w:rsidRPr="000D3D0C" w:rsidRDefault="004A0123" w:rsidP="008A5C11">
            <w:pPr>
              <w:jc w:val="center"/>
              <w:rPr>
                <w:color w:val="000000"/>
                <w:sz w:val="16"/>
                <w:szCs w:val="16"/>
              </w:rPr>
            </w:pPr>
            <w:r w:rsidRPr="000D3D0C">
              <w:rPr>
                <w:color w:val="000000"/>
                <w:sz w:val="16"/>
                <w:szCs w:val="16"/>
              </w:rPr>
              <w:t>217,00</w:t>
            </w:r>
          </w:p>
        </w:tc>
        <w:tc>
          <w:tcPr>
            <w:tcW w:w="360" w:type="pct"/>
            <w:shd w:val="clear" w:color="auto" w:fill="auto"/>
            <w:vAlign w:val="center"/>
          </w:tcPr>
          <w:p w14:paraId="7304B59A" w14:textId="77777777" w:rsidR="004A0123" w:rsidRPr="000D3D0C" w:rsidRDefault="004A0123" w:rsidP="008A5C11">
            <w:pPr>
              <w:jc w:val="center"/>
              <w:rPr>
                <w:color w:val="000000"/>
                <w:sz w:val="16"/>
                <w:szCs w:val="16"/>
              </w:rPr>
            </w:pPr>
            <w:r w:rsidRPr="000D3D0C">
              <w:rPr>
                <w:color w:val="000000"/>
                <w:sz w:val="16"/>
                <w:szCs w:val="16"/>
              </w:rPr>
              <w:t>217,00</w:t>
            </w:r>
          </w:p>
        </w:tc>
        <w:tc>
          <w:tcPr>
            <w:tcW w:w="316" w:type="pct"/>
            <w:shd w:val="clear" w:color="auto" w:fill="auto"/>
            <w:vAlign w:val="center"/>
          </w:tcPr>
          <w:p w14:paraId="16B7CC16" w14:textId="77777777" w:rsidR="004A0123" w:rsidRPr="000D3D0C" w:rsidRDefault="004A0123" w:rsidP="008A5C11">
            <w:pPr>
              <w:jc w:val="center"/>
              <w:rPr>
                <w:color w:val="000000"/>
                <w:sz w:val="16"/>
                <w:szCs w:val="16"/>
              </w:rPr>
            </w:pPr>
            <w:r w:rsidRPr="000D3D0C">
              <w:rPr>
                <w:color w:val="000000"/>
                <w:sz w:val="16"/>
                <w:szCs w:val="16"/>
              </w:rPr>
              <w:t>217,00</w:t>
            </w:r>
          </w:p>
        </w:tc>
        <w:tc>
          <w:tcPr>
            <w:tcW w:w="359" w:type="pct"/>
            <w:shd w:val="clear" w:color="auto" w:fill="auto"/>
            <w:tcMar>
              <w:left w:w="28" w:type="dxa"/>
              <w:right w:w="28" w:type="dxa"/>
            </w:tcMar>
            <w:vAlign w:val="center"/>
          </w:tcPr>
          <w:p w14:paraId="241D1447" w14:textId="77777777" w:rsidR="004A0123" w:rsidRPr="000D3D0C" w:rsidRDefault="004A0123" w:rsidP="008A5C11">
            <w:pPr>
              <w:jc w:val="center"/>
              <w:rPr>
                <w:color w:val="000000"/>
                <w:sz w:val="16"/>
                <w:szCs w:val="16"/>
              </w:rPr>
            </w:pPr>
            <w:r w:rsidRPr="000D3D0C">
              <w:rPr>
                <w:color w:val="000000"/>
                <w:sz w:val="16"/>
                <w:szCs w:val="16"/>
              </w:rPr>
              <w:t>217,00</w:t>
            </w:r>
          </w:p>
        </w:tc>
        <w:tc>
          <w:tcPr>
            <w:tcW w:w="303" w:type="pct"/>
            <w:shd w:val="clear" w:color="auto" w:fill="auto"/>
            <w:tcMar>
              <w:left w:w="28" w:type="dxa"/>
              <w:right w:w="28" w:type="dxa"/>
            </w:tcMar>
            <w:vAlign w:val="center"/>
          </w:tcPr>
          <w:p w14:paraId="0A9FA8AF" w14:textId="77777777" w:rsidR="004A0123" w:rsidRPr="000D3D0C" w:rsidRDefault="004A0123" w:rsidP="008A5C11">
            <w:pPr>
              <w:jc w:val="center"/>
              <w:rPr>
                <w:color w:val="000000"/>
                <w:sz w:val="16"/>
                <w:szCs w:val="16"/>
              </w:rPr>
            </w:pPr>
            <w:r w:rsidRPr="000D3D0C">
              <w:rPr>
                <w:color w:val="000000"/>
                <w:sz w:val="16"/>
                <w:szCs w:val="16"/>
              </w:rPr>
              <w:t>217,00</w:t>
            </w:r>
          </w:p>
        </w:tc>
        <w:tc>
          <w:tcPr>
            <w:tcW w:w="303" w:type="pct"/>
            <w:shd w:val="clear" w:color="auto" w:fill="auto"/>
            <w:tcMar>
              <w:left w:w="28" w:type="dxa"/>
              <w:right w:w="28" w:type="dxa"/>
            </w:tcMar>
            <w:vAlign w:val="center"/>
          </w:tcPr>
          <w:p w14:paraId="2A170097" w14:textId="77777777" w:rsidR="004A0123" w:rsidRPr="000D3D0C" w:rsidRDefault="004A0123" w:rsidP="008A5C11">
            <w:pPr>
              <w:jc w:val="center"/>
              <w:rPr>
                <w:color w:val="000000"/>
                <w:sz w:val="16"/>
                <w:szCs w:val="16"/>
              </w:rPr>
            </w:pPr>
            <w:r w:rsidRPr="000D3D0C">
              <w:rPr>
                <w:color w:val="000000"/>
                <w:sz w:val="16"/>
                <w:szCs w:val="16"/>
              </w:rPr>
              <w:t>217,00</w:t>
            </w:r>
          </w:p>
        </w:tc>
        <w:tc>
          <w:tcPr>
            <w:tcW w:w="303" w:type="pct"/>
            <w:shd w:val="clear" w:color="auto" w:fill="auto"/>
            <w:tcMar>
              <w:left w:w="28" w:type="dxa"/>
              <w:right w:w="28" w:type="dxa"/>
            </w:tcMar>
            <w:vAlign w:val="center"/>
          </w:tcPr>
          <w:p w14:paraId="4F7E717A" w14:textId="77777777" w:rsidR="004A0123" w:rsidRPr="000D3D0C" w:rsidRDefault="004A0123" w:rsidP="008A5C11">
            <w:pPr>
              <w:jc w:val="center"/>
              <w:rPr>
                <w:color w:val="000000"/>
                <w:sz w:val="16"/>
                <w:szCs w:val="16"/>
              </w:rPr>
            </w:pPr>
            <w:r w:rsidRPr="000D3D0C">
              <w:rPr>
                <w:color w:val="000000"/>
                <w:sz w:val="16"/>
                <w:szCs w:val="16"/>
              </w:rPr>
              <w:t>217,00</w:t>
            </w:r>
          </w:p>
        </w:tc>
        <w:tc>
          <w:tcPr>
            <w:tcW w:w="307" w:type="pct"/>
            <w:shd w:val="clear" w:color="auto" w:fill="auto"/>
            <w:vAlign w:val="center"/>
          </w:tcPr>
          <w:p w14:paraId="40D4403E" w14:textId="77777777" w:rsidR="004A0123" w:rsidRPr="000D3D0C" w:rsidRDefault="004A0123" w:rsidP="008A5C11">
            <w:pPr>
              <w:jc w:val="center"/>
              <w:rPr>
                <w:color w:val="000000"/>
                <w:sz w:val="16"/>
                <w:szCs w:val="16"/>
              </w:rPr>
            </w:pPr>
            <w:r w:rsidRPr="000D3D0C">
              <w:rPr>
                <w:color w:val="000000"/>
                <w:sz w:val="16"/>
                <w:szCs w:val="16"/>
              </w:rPr>
              <w:t>217,00</w:t>
            </w:r>
          </w:p>
        </w:tc>
      </w:tr>
      <w:tr w:rsidR="004A0123" w:rsidRPr="000D3D0C" w14:paraId="7F89A4C8" w14:textId="77777777" w:rsidTr="008A5C11">
        <w:trPr>
          <w:trHeight w:val="148"/>
          <w:jc w:val="center"/>
        </w:trPr>
        <w:tc>
          <w:tcPr>
            <w:tcW w:w="222" w:type="pct"/>
            <w:tcMar>
              <w:top w:w="62" w:type="dxa"/>
              <w:left w:w="28" w:type="dxa"/>
              <w:bottom w:w="102" w:type="dxa"/>
              <w:right w:w="28" w:type="dxa"/>
            </w:tcMar>
            <w:vAlign w:val="center"/>
          </w:tcPr>
          <w:p w14:paraId="168C2824" w14:textId="77777777" w:rsidR="004A0123" w:rsidRPr="000D3D0C" w:rsidRDefault="004A0123" w:rsidP="008A5C11">
            <w:pPr>
              <w:jc w:val="center"/>
              <w:rPr>
                <w:color w:val="000000"/>
                <w:sz w:val="16"/>
                <w:szCs w:val="16"/>
              </w:rPr>
            </w:pPr>
            <w:r w:rsidRPr="000D3D0C">
              <w:rPr>
                <w:color w:val="000000"/>
                <w:sz w:val="16"/>
                <w:szCs w:val="16"/>
              </w:rPr>
              <w:t>6</w:t>
            </w:r>
          </w:p>
        </w:tc>
        <w:tc>
          <w:tcPr>
            <w:tcW w:w="893" w:type="pct"/>
            <w:tcMar>
              <w:top w:w="62" w:type="dxa"/>
              <w:left w:w="28" w:type="dxa"/>
              <w:bottom w:w="102" w:type="dxa"/>
              <w:right w:w="28" w:type="dxa"/>
            </w:tcMar>
            <w:vAlign w:val="center"/>
          </w:tcPr>
          <w:p w14:paraId="19EC9DA2" w14:textId="77777777" w:rsidR="004A0123" w:rsidRPr="000D3D0C" w:rsidRDefault="004A0123" w:rsidP="008A5C11">
            <w:pPr>
              <w:jc w:val="center"/>
              <w:rPr>
                <w:color w:val="000000"/>
                <w:sz w:val="16"/>
                <w:szCs w:val="16"/>
              </w:rPr>
            </w:pPr>
            <w:r w:rsidRPr="000D3D0C">
              <w:rPr>
                <w:color w:val="000000"/>
                <w:sz w:val="16"/>
                <w:szCs w:val="16"/>
              </w:rPr>
              <w:t>Котельная Диспансер</w:t>
            </w:r>
          </w:p>
        </w:tc>
        <w:tc>
          <w:tcPr>
            <w:tcW w:w="558" w:type="pct"/>
            <w:shd w:val="clear" w:color="auto" w:fill="auto"/>
            <w:tcMar>
              <w:left w:w="28" w:type="dxa"/>
              <w:right w:w="28" w:type="dxa"/>
            </w:tcMar>
            <w:vAlign w:val="center"/>
          </w:tcPr>
          <w:p w14:paraId="25681E4E" w14:textId="77777777" w:rsidR="004A0123" w:rsidRPr="000D3D0C" w:rsidRDefault="004A0123" w:rsidP="008A5C11">
            <w:pPr>
              <w:jc w:val="center"/>
              <w:rPr>
                <w:color w:val="000000"/>
                <w:sz w:val="16"/>
                <w:szCs w:val="16"/>
              </w:rPr>
            </w:pPr>
            <w:r w:rsidRPr="000D3D0C">
              <w:rPr>
                <w:color w:val="000000"/>
                <w:sz w:val="16"/>
                <w:szCs w:val="16"/>
              </w:rPr>
              <w:t>231,77</w:t>
            </w:r>
          </w:p>
        </w:tc>
        <w:tc>
          <w:tcPr>
            <w:tcW w:w="356" w:type="pct"/>
            <w:shd w:val="clear" w:color="auto" w:fill="auto"/>
            <w:tcMar>
              <w:left w:w="28" w:type="dxa"/>
              <w:right w:w="28" w:type="dxa"/>
            </w:tcMar>
            <w:vAlign w:val="center"/>
          </w:tcPr>
          <w:p w14:paraId="265F50A2" w14:textId="77777777" w:rsidR="004A0123" w:rsidRPr="000D3D0C" w:rsidRDefault="004A0123" w:rsidP="008A5C11">
            <w:pPr>
              <w:jc w:val="center"/>
              <w:rPr>
                <w:color w:val="000000"/>
                <w:sz w:val="16"/>
                <w:szCs w:val="16"/>
              </w:rPr>
            </w:pPr>
            <w:r w:rsidRPr="000D3D0C">
              <w:rPr>
                <w:color w:val="000000"/>
                <w:sz w:val="16"/>
                <w:szCs w:val="16"/>
              </w:rPr>
              <w:t>231,77</w:t>
            </w:r>
          </w:p>
        </w:tc>
        <w:tc>
          <w:tcPr>
            <w:tcW w:w="361" w:type="pct"/>
            <w:shd w:val="clear" w:color="auto" w:fill="auto"/>
            <w:tcMar>
              <w:left w:w="28" w:type="dxa"/>
              <w:right w:w="28" w:type="dxa"/>
            </w:tcMar>
            <w:vAlign w:val="center"/>
          </w:tcPr>
          <w:p w14:paraId="31A51678" w14:textId="77777777" w:rsidR="004A0123" w:rsidRPr="000D3D0C" w:rsidRDefault="004A0123" w:rsidP="008A5C11">
            <w:pPr>
              <w:jc w:val="center"/>
              <w:rPr>
                <w:color w:val="000000"/>
                <w:sz w:val="16"/>
                <w:szCs w:val="16"/>
              </w:rPr>
            </w:pPr>
            <w:r w:rsidRPr="000D3D0C">
              <w:rPr>
                <w:color w:val="000000"/>
                <w:sz w:val="16"/>
                <w:szCs w:val="16"/>
              </w:rPr>
              <w:t>231,77</w:t>
            </w:r>
          </w:p>
        </w:tc>
        <w:tc>
          <w:tcPr>
            <w:tcW w:w="359" w:type="pct"/>
            <w:shd w:val="clear" w:color="auto" w:fill="auto"/>
            <w:tcMar>
              <w:left w:w="28" w:type="dxa"/>
              <w:right w:w="28" w:type="dxa"/>
            </w:tcMar>
            <w:vAlign w:val="center"/>
          </w:tcPr>
          <w:p w14:paraId="255BB53D" w14:textId="77777777" w:rsidR="004A0123" w:rsidRPr="000D3D0C" w:rsidRDefault="004A0123" w:rsidP="008A5C11">
            <w:pPr>
              <w:jc w:val="center"/>
              <w:rPr>
                <w:color w:val="000000"/>
                <w:sz w:val="16"/>
                <w:szCs w:val="16"/>
              </w:rPr>
            </w:pPr>
            <w:r w:rsidRPr="000D3D0C">
              <w:rPr>
                <w:color w:val="000000"/>
                <w:sz w:val="16"/>
                <w:szCs w:val="16"/>
              </w:rPr>
              <w:t>217,00</w:t>
            </w:r>
          </w:p>
        </w:tc>
        <w:tc>
          <w:tcPr>
            <w:tcW w:w="360" w:type="pct"/>
            <w:shd w:val="clear" w:color="auto" w:fill="auto"/>
            <w:vAlign w:val="center"/>
          </w:tcPr>
          <w:p w14:paraId="4A44AF1D" w14:textId="77777777" w:rsidR="004A0123" w:rsidRPr="000D3D0C" w:rsidRDefault="004A0123" w:rsidP="008A5C11">
            <w:pPr>
              <w:jc w:val="center"/>
              <w:rPr>
                <w:color w:val="000000"/>
                <w:sz w:val="16"/>
                <w:szCs w:val="16"/>
              </w:rPr>
            </w:pPr>
            <w:r w:rsidRPr="000D3D0C">
              <w:rPr>
                <w:color w:val="000000"/>
                <w:sz w:val="16"/>
                <w:szCs w:val="16"/>
              </w:rPr>
              <w:t>217,00</w:t>
            </w:r>
          </w:p>
        </w:tc>
        <w:tc>
          <w:tcPr>
            <w:tcW w:w="316" w:type="pct"/>
            <w:shd w:val="clear" w:color="auto" w:fill="auto"/>
            <w:vAlign w:val="center"/>
          </w:tcPr>
          <w:p w14:paraId="47FED017" w14:textId="77777777" w:rsidR="004A0123" w:rsidRPr="000D3D0C" w:rsidRDefault="004A0123" w:rsidP="008A5C11">
            <w:pPr>
              <w:jc w:val="center"/>
              <w:rPr>
                <w:color w:val="000000"/>
                <w:sz w:val="16"/>
                <w:szCs w:val="16"/>
              </w:rPr>
            </w:pPr>
            <w:r w:rsidRPr="000D3D0C">
              <w:rPr>
                <w:color w:val="000000"/>
                <w:sz w:val="16"/>
                <w:szCs w:val="16"/>
              </w:rPr>
              <w:t>217,00</w:t>
            </w:r>
          </w:p>
        </w:tc>
        <w:tc>
          <w:tcPr>
            <w:tcW w:w="359" w:type="pct"/>
            <w:shd w:val="clear" w:color="auto" w:fill="auto"/>
            <w:tcMar>
              <w:left w:w="28" w:type="dxa"/>
              <w:right w:w="28" w:type="dxa"/>
            </w:tcMar>
            <w:vAlign w:val="center"/>
          </w:tcPr>
          <w:p w14:paraId="1581D30E" w14:textId="77777777" w:rsidR="004A0123" w:rsidRPr="000D3D0C" w:rsidRDefault="004A0123" w:rsidP="008A5C11">
            <w:pPr>
              <w:jc w:val="center"/>
              <w:rPr>
                <w:color w:val="000000"/>
                <w:sz w:val="16"/>
                <w:szCs w:val="16"/>
              </w:rPr>
            </w:pPr>
            <w:r w:rsidRPr="000D3D0C">
              <w:rPr>
                <w:color w:val="000000"/>
                <w:sz w:val="16"/>
                <w:szCs w:val="16"/>
              </w:rPr>
              <w:t>217,00</w:t>
            </w:r>
          </w:p>
        </w:tc>
        <w:tc>
          <w:tcPr>
            <w:tcW w:w="303" w:type="pct"/>
            <w:shd w:val="clear" w:color="auto" w:fill="auto"/>
            <w:tcMar>
              <w:left w:w="28" w:type="dxa"/>
              <w:right w:w="28" w:type="dxa"/>
            </w:tcMar>
            <w:vAlign w:val="center"/>
          </w:tcPr>
          <w:p w14:paraId="308A8B9D" w14:textId="77777777" w:rsidR="004A0123" w:rsidRPr="000D3D0C" w:rsidRDefault="004A0123" w:rsidP="008A5C11">
            <w:pPr>
              <w:jc w:val="center"/>
              <w:rPr>
                <w:color w:val="000000"/>
                <w:sz w:val="16"/>
                <w:szCs w:val="16"/>
              </w:rPr>
            </w:pPr>
            <w:r w:rsidRPr="000D3D0C">
              <w:rPr>
                <w:color w:val="000000"/>
                <w:sz w:val="16"/>
                <w:szCs w:val="16"/>
              </w:rPr>
              <w:t>217,00</w:t>
            </w:r>
          </w:p>
        </w:tc>
        <w:tc>
          <w:tcPr>
            <w:tcW w:w="303" w:type="pct"/>
            <w:shd w:val="clear" w:color="auto" w:fill="auto"/>
            <w:tcMar>
              <w:left w:w="28" w:type="dxa"/>
              <w:right w:w="28" w:type="dxa"/>
            </w:tcMar>
            <w:vAlign w:val="center"/>
          </w:tcPr>
          <w:p w14:paraId="4E1AE378" w14:textId="77777777" w:rsidR="004A0123" w:rsidRPr="000D3D0C" w:rsidRDefault="004A0123" w:rsidP="008A5C11">
            <w:pPr>
              <w:jc w:val="center"/>
              <w:rPr>
                <w:color w:val="000000"/>
                <w:sz w:val="16"/>
                <w:szCs w:val="16"/>
              </w:rPr>
            </w:pPr>
            <w:r w:rsidRPr="000D3D0C">
              <w:rPr>
                <w:color w:val="000000"/>
                <w:sz w:val="16"/>
                <w:szCs w:val="16"/>
              </w:rPr>
              <w:t>217,00</w:t>
            </w:r>
          </w:p>
        </w:tc>
        <w:tc>
          <w:tcPr>
            <w:tcW w:w="303" w:type="pct"/>
            <w:shd w:val="clear" w:color="auto" w:fill="auto"/>
            <w:tcMar>
              <w:left w:w="28" w:type="dxa"/>
              <w:right w:w="28" w:type="dxa"/>
            </w:tcMar>
            <w:vAlign w:val="center"/>
          </w:tcPr>
          <w:p w14:paraId="78955FD6" w14:textId="77777777" w:rsidR="004A0123" w:rsidRPr="000D3D0C" w:rsidRDefault="004A0123" w:rsidP="008A5C11">
            <w:pPr>
              <w:jc w:val="center"/>
              <w:rPr>
                <w:color w:val="000000"/>
                <w:sz w:val="16"/>
                <w:szCs w:val="16"/>
              </w:rPr>
            </w:pPr>
            <w:r w:rsidRPr="000D3D0C">
              <w:rPr>
                <w:color w:val="000000"/>
                <w:sz w:val="16"/>
                <w:szCs w:val="16"/>
              </w:rPr>
              <w:t>217,00</w:t>
            </w:r>
          </w:p>
        </w:tc>
        <w:tc>
          <w:tcPr>
            <w:tcW w:w="307" w:type="pct"/>
            <w:shd w:val="clear" w:color="auto" w:fill="auto"/>
            <w:vAlign w:val="center"/>
          </w:tcPr>
          <w:p w14:paraId="158A8E81" w14:textId="77777777" w:rsidR="004A0123" w:rsidRPr="000D3D0C" w:rsidRDefault="004A0123" w:rsidP="008A5C11">
            <w:pPr>
              <w:jc w:val="center"/>
              <w:rPr>
                <w:color w:val="000000"/>
                <w:sz w:val="16"/>
                <w:szCs w:val="16"/>
              </w:rPr>
            </w:pPr>
            <w:r w:rsidRPr="000D3D0C">
              <w:rPr>
                <w:color w:val="000000"/>
                <w:sz w:val="16"/>
                <w:szCs w:val="16"/>
              </w:rPr>
              <w:t>217,00</w:t>
            </w:r>
          </w:p>
        </w:tc>
      </w:tr>
      <w:tr w:rsidR="004A0123" w:rsidRPr="000D3D0C" w14:paraId="718C9644" w14:textId="77777777" w:rsidTr="008A5C11">
        <w:trPr>
          <w:trHeight w:val="148"/>
          <w:jc w:val="center"/>
        </w:trPr>
        <w:tc>
          <w:tcPr>
            <w:tcW w:w="1115" w:type="pct"/>
            <w:gridSpan w:val="2"/>
            <w:tcMar>
              <w:top w:w="62" w:type="dxa"/>
              <w:left w:w="28" w:type="dxa"/>
              <w:bottom w:w="102" w:type="dxa"/>
              <w:right w:w="28" w:type="dxa"/>
            </w:tcMar>
            <w:vAlign w:val="center"/>
          </w:tcPr>
          <w:p w14:paraId="5E837627" w14:textId="77777777" w:rsidR="004A0123" w:rsidRPr="000D3D0C" w:rsidRDefault="004A0123" w:rsidP="008A5C11">
            <w:pPr>
              <w:jc w:val="center"/>
              <w:rPr>
                <w:color w:val="000000"/>
                <w:sz w:val="16"/>
                <w:szCs w:val="16"/>
              </w:rPr>
            </w:pPr>
            <w:r w:rsidRPr="000D3D0C">
              <w:rPr>
                <w:color w:val="000000"/>
                <w:sz w:val="16"/>
                <w:szCs w:val="16"/>
              </w:rPr>
              <w:t>Итого:</w:t>
            </w:r>
          </w:p>
        </w:tc>
        <w:tc>
          <w:tcPr>
            <w:tcW w:w="558" w:type="pct"/>
            <w:shd w:val="clear" w:color="auto" w:fill="auto"/>
            <w:tcMar>
              <w:left w:w="28" w:type="dxa"/>
              <w:right w:w="28" w:type="dxa"/>
            </w:tcMar>
            <w:vAlign w:val="center"/>
          </w:tcPr>
          <w:p w14:paraId="7458ACC7" w14:textId="77777777" w:rsidR="004A0123" w:rsidRPr="000D3D0C" w:rsidRDefault="004A0123" w:rsidP="008A5C11">
            <w:pPr>
              <w:jc w:val="center"/>
              <w:rPr>
                <w:color w:val="000000"/>
                <w:sz w:val="16"/>
                <w:szCs w:val="16"/>
              </w:rPr>
            </w:pPr>
            <w:r w:rsidRPr="000D3D0C">
              <w:rPr>
                <w:color w:val="000000"/>
                <w:sz w:val="16"/>
                <w:szCs w:val="16"/>
              </w:rPr>
              <w:t>185,10</w:t>
            </w:r>
          </w:p>
        </w:tc>
        <w:tc>
          <w:tcPr>
            <w:tcW w:w="356" w:type="pct"/>
            <w:shd w:val="clear" w:color="auto" w:fill="auto"/>
            <w:tcMar>
              <w:left w:w="28" w:type="dxa"/>
              <w:right w:w="28" w:type="dxa"/>
            </w:tcMar>
            <w:vAlign w:val="center"/>
          </w:tcPr>
          <w:p w14:paraId="08E93CBE" w14:textId="77777777" w:rsidR="004A0123" w:rsidRPr="000D3D0C" w:rsidRDefault="004A0123" w:rsidP="008A5C11">
            <w:pPr>
              <w:jc w:val="center"/>
              <w:rPr>
                <w:color w:val="000000"/>
                <w:sz w:val="16"/>
                <w:szCs w:val="16"/>
              </w:rPr>
            </w:pPr>
            <w:r w:rsidRPr="000D3D0C">
              <w:rPr>
                <w:color w:val="000000"/>
                <w:sz w:val="16"/>
                <w:szCs w:val="16"/>
              </w:rPr>
              <w:t>185,10</w:t>
            </w:r>
          </w:p>
        </w:tc>
        <w:tc>
          <w:tcPr>
            <w:tcW w:w="361" w:type="pct"/>
            <w:shd w:val="clear" w:color="auto" w:fill="auto"/>
            <w:tcMar>
              <w:left w:w="28" w:type="dxa"/>
              <w:right w:w="28" w:type="dxa"/>
            </w:tcMar>
            <w:vAlign w:val="center"/>
          </w:tcPr>
          <w:p w14:paraId="76CBEE9B" w14:textId="77777777" w:rsidR="004A0123" w:rsidRPr="000D3D0C" w:rsidRDefault="004A0123" w:rsidP="008A5C11">
            <w:pPr>
              <w:jc w:val="center"/>
              <w:rPr>
                <w:color w:val="000000"/>
                <w:sz w:val="16"/>
                <w:szCs w:val="16"/>
              </w:rPr>
            </w:pPr>
            <w:r w:rsidRPr="000D3D0C">
              <w:rPr>
                <w:color w:val="000000"/>
                <w:sz w:val="16"/>
                <w:szCs w:val="16"/>
              </w:rPr>
              <w:t>185,10</w:t>
            </w:r>
          </w:p>
        </w:tc>
        <w:tc>
          <w:tcPr>
            <w:tcW w:w="359" w:type="pct"/>
            <w:shd w:val="clear" w:color="auto" w:fill="auto"/>
            <w:tcMar>
              <w:left w:w="28" w:type="dxa"/>
              <w:right w:w="28" w:type="dxa"/>
            </w:tcMar>
            <w:vAlign w:val="center"/>
          </w:tcPr>
          <w:p w14:paraId="088DA93F" w14:textId="77777777" w:rsidR="004A0123" w:rsidRPr="000D3D0C" w:rsidRDefault="004A0123" w:rsidP="008A5C11">
            <w:pPr>
              <w:jc w:val="center"/>
              <w:rPr>
                <w:color w:val="000000"/>
                <w:sz w:val="16"/>
                <w:szCs w:val="16"/>
              </w:rPr>
            </w:pPr>
            <w:r w:rsidRPr="000D3D0C">
              <w:rPr>
                <w:color w:val="000000"/>
                <w:sz w:val="16"/>
                <w:szCs w:val="16"/>
              </w:rPr>
              <w:t>185,00</w:t>
            </w:r>
          </w:p>
        </w:tc>
        <w:tc>
          <w:tcPr>
            <w:tcW w:w="360" w:type="pct"/>
            <w:shd w:val="clear" w:color="auto" w:fill="auto"/>
            <w:vAlign w:val="center"/>
          </w:tcPr>
          <w:p w14:paraId="3DA28FF5" w14:textId="77777777" w:rsidR="004A0123" w:rsidRPr="000D3D0C" w:rsidRDefault="004A0123" w:rsidP="008A5C11">
            <w:pPr>
              <w:jc w:val="center"/>
              <w:rPr>
                <w:color w:val="000000"/>
                <w:sz w:val="16"/>
                <w:szCs w:val="16"/>
              </w:rPr>
            </w:pPr>
            <w:r w:rsidRPr="000D3D0C">
              <w:rPr>
                <w:color w:val="000000"/>
                <w:sz w:val="16"/>
                <w:szCs w:val="16"/>
              </w:rPr>
              <w:t>184,81</w:t>
            </w:r>
          </w:p>
        </w:tc>
        <w:tc>
          <w:tcPr>
            <w:tcW w:w="316" w:type="pct"/>
            <w:shd w:val="clear" w:color="auto" w:fill="auto"/>
            <w:vAlign w:val="center"/>
          </w:tcPr>
          <w:p w14:paraId="20797B14" w14:textId="77777777" w:rsidR="004A0123" w:rsidRPr="000D3D0C" w:rsidRDefault="004A0123" w:rsidP="008A5C11">
            <w:pPr>
              <w:jc w:val="center"/>
              <w:rPr>
                <w:color w:val="000000"/>
                <w:sz w:val="16"/>
                <w:szCs w:val="16"/>
              </w:rPr>
            </w:pPr>
            <w:r w:rsidRPr="000D3D0C">
              <w:rPr>
                <w:color w:val="000000"/>
                <w:sz w:val="16"/>
                <w:szCs w:val="16"/>
              </w:rPr>
              <w:t>184,71</w:t>
            </w:r>
          </w:p>
        </w:tc>
        <w:tc>
          <w:tcPr>
            <w:tcW w:w="359" w:type="pct"/>
            <w:shd w:val="clear" w:color="auto" w:fill="auto"/>
            <w:tcMar>
              <w:left w:w="28" w:type="dxa"/>
              <w:right w:w="28" w:type="dxa"/>
            </w:tcMar>
            <w:vAlign w:val="center"/>
          </w:tcPr>
          <w:p w14:paraId="6F737645" w14:textId="77777777" w:rsidR="004A0123" w:rsidRPr="000D3D0C" w:rsidRDefault="004A0123" w:rsidP="008A5C11">
            <w:pPr>
              <w:jc w:val="center"/>
              <w:rPr>
                <w:color w:val="000000"/>
                <w:sz w:val="16"/>
                <w:szCs w:val="16"/>
              </w:rPr>
            </w:pPr>
            <w:r w:rsidRPr="000D3D0C">
              <w:rPr>
                <w:color w:val="000000"/>
                <w:sz w:val="16"/>
                <w:szCs w:val="16"/>
              </w:rPr>
              <w:t>184,71</w:t>
            </w:r>
          </w:p>
        </w:tc>
        <w:tc>
          <w:tcPr>
            <w:tcW w:w="303" w:type="pct"/>
            <w:shd w:val="clear" w:color="auto" w:fill="auto"/>
            <w:tcMar>
              <w:left w:w="28" w:type="dxa"/>
              <w:right w:w="28" w:type="dxa"/>
            </w:tcMar>
            <w:vAlign w:val="center"/>
          </w:tcPr>
          <w:p w14:paraId="3B8D2443" w14:textId="77777777" w:rsidR="004A0123" w:rsidRPr="000D3D0C" w:rsidRDefault="004A0123" w:rsidP="008A5C11">
            <w:pPr>
              <w:jc w:val="center"/>
              <w:rPr>
                <w:color w:val="000000"/>
                <w:sz w:val="16"/>
                <w:szCs w:val="16"/>
              </w:rPr>
            </w:pPr>
            <w:r w:rsidRPr="000D3D0C">
              <w:rPr>
                <w:color w:val="000000"/>
                <w:sz w:val="16"/>
                <w:szCs w:val="16"/>
              </w:rPr>
              <w:t>184,46</w:t>
            </w:r>
          </w:p>
        </w:tc>
        <w:tc>
          <w:tcPr>
            <w:tcW w:w="303" w:type="pct"/>
            <w:shd w:val="clear" w:color="auto" w:fill="auto"/>
            <w:tcMar>
              <w:left w:w="28" w:type="dxa"/>
              <w:right w:w="28" w:type="dxa"/>
            </w:tcMar>
            <w:vAlign w:val="center"/>
          </w:tcPr>
          <w:p w14:paraId="30B4E719" w14:textId="77777777" w:rsidR="004A0123" w:rsidRPr="000D3D0C" w:rsidRDefault="004A0123" w:rsidP="008A5C11">
            <w:pPr>
              <w:jc w:val="center"/>
              <w:rPr>
                <w:color w:val="000000"/>
                <w:sz w:val="16"/>
                <w:szCs w:val="16"/>
              </w:rPr>
            </w:pPr>
            <w:r w:rsidRPr="000D3D0C">
              <w:rPr>
                <w:color w:val="000000"/>
                <w:sz w:val="16"/>
                <w:szCs w:val="16"/>
              </w:rPr>
              <w:t>184,46</w:t>
            </w:r>
          </w:p>
        </w:tc>
        <w:tc>
          <w:tcPr>
            <w:tcW w:w="303" w:type="pct"/>
            <w:shd w:val="clear" w:color="auto" w:fill="auto"/>
            <w:tcMar>
              <w:left w:w="28" w:type="dxa"/>
              <w:right w:w="28" w:type="dxa"/>
            </w:tcMar>
            <w:vAlign w:val="center"/>
          </w:tcPr>
          <w:p w14:paraId="27126BDF" w14:textId="77777777" w:rsidR="004A0123" w:rsidRPr="000D3D0C" w:rsidRDefault="004A0123" w:rsidP="008A5C11">
            <w:pPr>
              <w:jc w:val="center"/>
              <w:rPr>
                <w:color w:val="000000"/>
                <w:sz w:val="16"/>
                <w:szCs w:val="16"/>
              </w:rPr>
            </w:pPr>
            <w:r w:rsidRPr="000D3D0C">
              <w:rPr>
                <w:color w:val="000000"/>
                <w:sz w:val="16"/>
                <w:szCs w:val="16"/>
              </w:rPr>
              <w:t>184,46</w:t>
            </w:r>
          </w:p>
        </w:tc>
        <w:tc>
          <w:tcPr>
            <w:tcW w:w="307" w:type="pct"/>
            <w:shd w:val="clear" w:color="auto" w:fill="auto"/>
            <w:vAlign w:val="center"/>
          </w:tcPr>
          <w:p w14:paraId="08C10FEC" w14:textId="77777777" w:rsidR="004A0123" w:rsidRPr="000D3D0C" w:rsidRDefault="004A0123" w:rsidP="008A5C11">
            <w:pPr>
              <w:jc w:val="center"/>
              <w:rPr>
                <w:color w:val="000000"/>
                <w:sz w:val="16"/>
                <w:szCs w:val="16"/>
              </w:rPr>
            </w:pPr>
            <w:r w:rsidRPr="000D3D0C">
              <w:rPr>
                <w:color w:val="000000"/>
                <w:sz w:val="16"/>
                <w:szCs w:val="16"/>
              </w:rPr>
              <w:t>184,46</w:t>
            </w:r>
          </w:p>
        </w:tc>
      </w:tr>
    </w:tbl>
    <w:p w14:paraId="396D9E1F" w14:textId="77777777" w:rsidR="004A0123" w:rsidRPr="000D3D0C" w:rsidRDefault="004A0123" w:rsidP="004A0123">
      <w:pPr>
        <w:jc w:val="center"/>
        <w:rPr>
          <w:b/>
          <w:bCs/>
          <w:sz w:val="28"/>
          <w:szCs w:val="28"/>
        </w:rPr>
      </w:pPr>
    </w:p>
    <w:p w14:paraId="3D57E8FF" w14:textId="77777777" w:rsidR="004A0123" w:rsidRPr="000D3D0C" w:rsidRDefault="004A0123" w:rsidP="004A0123">
      <w:pPr>
        <w:ind w:left="284" w:right="536"/>
        <w:jc w:val="center"/>
        <w:rPr>
          <w:b/>
          <w:bCs/>
          <w:sz w:val="28"/>
          <w:szCs w:val="28"/>
        </w:rPr>
      </w:pPr>
    </w:p>
    <w:p w14:paraId="70926164" w14:textId="77777777" w:rsidR="004A0123" w:rsidRPr="000D3D0C" w:rsidRDefault="004A0123" w:rsidP="004A0123">
      <w:pPr>
        <w:ind w:left="284" w:right="536"/>
        <w:jc w:val="center"/>
        <w:rPr>
          <w:b/>
          <w:bCs/>
          <w:sz w:val="28"/>
          <w:szCs w:val="28"/>
        </w:rPr>
      </w:pPr>
    </w:p>
    <w:p w14:paraId="3AAF229A" w14:textId="77777777" w:rsidR="004A0123" w:rsidRPr="000D3D0C" w:rsidRDefault="004A0123" w:rsidP="004A0123">
      <w:pPr>
        <w:ind w:left="284" w:right="536"/>
        <w:jc w:val="center"/>
        <w:rPr>
          <w:b/>
          <w:bCs/>
          <w:sz w:val="28"/>
          <w:szCs w:val="28"/>
        </w:rPr>
      </w:pPr>
    </w:p>
    <w:p w14:paraId="6BCF4FB9" w14:textId="77777777" w:rsidR="004A0123" w:rsidRPr="000D3D0C" w:rsidRDefault="004A0123" w:rsidP="004A0123">
      <w:pPr>
        <w:ind w:left="284" w:right="536"/>
        <w:jc w:val="center"/>
        <w:rPr>
          <w:b/>
          <w:bCs/>
          <w:sz w:val="28"/>
          <w:szCs w:val="28"/>
        </w:rPr>
      </w:pPr>
    </w:p>
    <w:p w14:paraId="0B326DFD" w14:textId="77777777" w:rsidR="004A0123" w:rsidRPr="000D3D0C" w:rsidRDefault="004A0123" w:rsidP="004A0123">
      <w:pPr>
        <w:ind w:left="284" w:right="536"/>
        <w:jc w:val="center"/>
        <w:rPr>
          <w:b/>
          <w:bCs/>
          <w:sz w:val="28"/>
          <w:szCs w:val="28"/>
        </w:rPr>
      </w:pPr>
    </w:p>
    <w:p w14:paraId="28B2271A" w14:textId="77777777" w:rsidR="004A0123" w:rsidRPr="000D3D0C" w:rsidRDefault="004A0123" w:rsidP="004A0123">
      <w:pPr>
        <w:ind w:left="284" w:right="536"/>
        <w:jc w:val="center"/>
        <w:rPr>
          <w:b/>
          <w:bCs/>
          <w:sz w:val="28"/>
          <w:szCs w:val="28"/>
        </w:rPr>
      </w:pPr>
    </w:p>
    <w:p w14:paraId="5592E005" w14:textId="77777777" w:rsidR="004A0123" w:rsidRPr="000D3D0C" w:rsidRDefault="004A0123" w:rsidP="004A0123">
      <w:pPr>
        <w:ind w:left="284" w:right="536"/>
        <w:jc w:val="center"/>
        <w:rPr>
          <w:b/>
          <w:bCs/>
          <w:sz w:val="28"/>
          <w:szCs w:val="28"/>
        </w:rPr>
      </w:pPr>
    </w:p>
    <w:p w14:paraId="7EA8F5E8" w14:textId="77777777" w:rsidR="004A0123" w:rsidRPr="000D3D0C" w:rsidRDefault="004A0123" w:rsidP="004A0123">
      <w:pPr>
        <w:ind w:left="284" w:right="536"/>
        <w:jc w:val="center"/>
        <w:rPr>
          <w:b/>
          <w:bCs/>
          <w:sz w:val="28"/>
          <w:szCs w:val="28"/>
        </w:rPr>
      </w:pPr>
    </w:p>
    <w:p w14:paraId="32EEBA2C" w14:textId="77777777" w:rsidR="004A0123" w:rsidRPr="000D3D0C" w:rsidRDefault="004A0123" w:rsidP="004A0123">
      <w:pPr>
        <w:ind w:left="284" w:right="536"/>
        <w:jc w:val="center"/>
        <w:rPr>
          <w:b/>
          <w:bCs/>
          <w:sz w:val="28"/>
          <w:szCs w:val="28"/>
        </w:rPr>
      </w:pPr>
    </w:p>
    <w:p w14:paraId="0B68EB40" w14:textId="77777777" w:rsidR="004A0123" w:rsidRPr="000D3D0C" w:rsidRDefault="004A0123" w:rsidP="004A0123">
      <w:pPr>
        <w:ind w:left="284" w:right="536"/>
        <w:jc w:val="center"/>
        <w:rPr>
          <w:b/>
          <w:bCs/>
          <w:sz w:val="28"/>
          <w:szCs w:val="28"/>
        </w:rPr>
      </w:pPr>
      <w:r w:rsidRPr="000D3D0C">
        <w:rPr>
          <w:b/>
          <w:bCs/>
          <w:sz w:val="28"/>
          <w:szCs w:val="28"/>
        </w:rPr>
        <w:t xml:space="preserve">Показатели надежности и энергетической эффективности объектов системы теплоснабжения </w:t>
      </w:r>
    </w:p>
    <w:p w14:paraId="5315B1BE" w14:textId="77777777" w:rsidR="004A0123" w:rsidRPr="000D3D0C" w:rsidRDefault="004A0123" w:rsidP="004A0123">
      <w:pPr>
        <w:autoSpaceDE w:val="0"/>
        <w:autoSpaceDN w:val="0"/>
        <w:adjustRightInd w:val="0"/>
        <w:jc w:val="center"/>
        <w:rPr>
          <w:b/>
          <w:color w:val="000000"/>
          <w:sz w:val="28"/>
          <w:szCs w:val="28"/>
        </w:rPr>
      </w:pPr>
      <w:r w:rsidRPr="000D3D0C">
        <w:rPr>
          <w:b/>
          <w:color w:val="000000"/>
          <w:sz w:val="28"/>
          <w:szCs w:val="28"/>
        </w:rPr>
        <w:t xml:space="preserve">ОАО «Северо-Кузбасская энергетическая компания» по узлу теплоснабжения Тайгинского городского округа </w:t>
      </w:r>
    </w:p>
    <w:p w14:paraId="0250A869" w14:textId="77777777" w:rsidR="004A0123" w:rsidRPr="000D3D0C" w:rsidRDefault="004A0123" w:rsidP="004A0123">
      <w:pPr>
        <w:jc w:val="center"/>
        <w:rPr>
          <w:b/>
          <w:color w:val="000000"/>
          <w:sz w:val="28"/>
          <w:szCs w:val="28"/>
        </w:rPr>
      </w:pPr>
      <w:r w:rsidRPr="000D3D0C">
        <w:rPr>
          <w:b/>
          <w:color w:val="000000"/>
          <w:sz w:val="28"/>
          <w:szCs w:val="28"/>
        </w:rPr>
        <w:t>на 2021 - 2030 годы</w:t>
      </w:r>
    </w:p>
    <w:p w14:paraId="6B596436" w14:textId="77777777" w:rsidR="004A0123" w:rsidRPr="000D3D0C" w:rsidRDefault="004A0123" w:rsidP="004A0123">
      <w:pPr>
        <w:jc w:val="center"/>
        <w:rPr>
          <w:b/>
          <w:bCs/>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88"/>
        <w:gridCol w:w="1553"/>
        <w:gridCol w:w="930"/>
        <w:gridCol w:w="543"/>
        <w:gridCol w:w="560"/>
        <w:gridCol w:w="560"/>
        <w:gridCol w:w="560"/>
        <w:gridCol w:w="528"/>
        <w:gridCol w:w="528"/>
        <w:gridCol w:w="528"/>
        <w:gridCol w:w="528"/>
        <w:gridCol w:w="528"/>
        <w:gridCol w:w="624"/>
        <w:gridCol w:w="1070"/>
        <w:gridCol w:w="528"/>
        <w:gridCol w:w="528"/>
        <w:gridCol w:w="528"/>
        <w:gridCol w:w="528"/>
        <w:gridCol w:w="528"/>
        <w:gridCol w:w="529"/>
        <w:gridCol w:w="529"/>
        <w:gridCol w:w="529"/>
        <w:gridCol w:w="529"/>
        <w:gridCol w:w="376"/>
      </w:tblGrid>
      <w:tr w:rsidR="004A0123" w:rsidRPr="000D3D0C" w14:paraId="7897085E" w14:textId="77777777" w:rsidTr="008A5C11">
        <w:trPr>
          <w:trHeight w:val="23"/>
          <w:jc w:val="center"/>
        </w:trPr>
        <w:tc>
          <w:tcPr>
            <w:tcW w:w="134" w:type="pct"/>
            <w:vMerge w:val="restart"/>
            <w:tcMar>
              <w:top w:w="62" w:type="dxa"/>
              <w:left w:w="28" w:type="dxa"/>
              <w:bottom w:w="102" w:type="dxa"/>
              <w:right w:w="28" w:type="dxa"/>
            </w:tcMar>
            <w:vAlign w:val="center"/>
          </w:tcPr>
          <w:p w14:paraId="5F6661EE" w14:textId="77777777" w:rsidR="004A0123" w:rsidRPr="000D3D0C" w:rsidRDefault="004A0123" w:rsidP="008A5C11">
            <w:pPr>
              <w:widowControl w:val="0"/>
              <w:autoSpaceDE w:val="0"/>
              <w:autoSpaceDN w:val="0"/>
              <w:adjustRightInd w:val="0"/>
              <w:jc w:val="center"/>
              <w:rPr>
                <w:sz w:val="16"/>
                <w:szCs w:val="16"/>
              </w:rPr>
            </w:pPr>
            <w:r w:rsidRPr="000D3D0C">
              <w:rPr>
                <w:sz w:val="16"/>
                <w:szCs w:val="16"/>
              </w:rPr>
              <w:t>№ п/п</w:t>
            </w:r>
          </w:p>
        </w:tc>
        <w:tc>
          <w:tcPr>
            <w:tcW w:w="533" w:type="pct"/>
            <w:vMerge w:val="restart"/>
            <w:tcMar>
              <w:top w:w="62" w:type="dxa"/>
              <w:left w:w="28" w:type="dxa"/>
              <w:bottom w:w="102" w:type="dxa"/>
              <w:right w:w="28" w:type="dxa"/>
            </w:tcMar>
            <w:vAlign w:val="center"/>
          </w:tcPr>
          <w:p w14:paraId="75C7D108" w14:textId="77777777" w:rsidR="004A0123" w:rsidRPr="000D3D0C" w:rsidRDefault="004A0123" w:rsidP="008A5C11">
            <w:pPr>
              <w:widowControl w:val="0"/>
              <w:autoSpaceDE w:val="0"/>
              <w:autoSpaceDN w:val="0"/>
              <w:adjustRightInd w:val="0"/>
              <w:jc w:val="center"/>
              <w:rPr>
                <w:sz w:val="16"/>
                <w:szCs w:val="16"/>
              </w:rPr>
            </w:pPr>
            <w:r w:rsidRPr="000D3D0C">
              <w:rPr>
                <w:sz w:val="16"/>
                <w:szCs w:val="16"/>
              </w:rPr>
              <w:t>Наименование объекта</w:t>
            </w:r>
          </w:p>
        </w:tc>
        <w:tc>
          <w:tcPr>
            <w:tcW w:w="4332" w:type="pct"/>
            <w:gridSpan w:val="22"/>
            <w:tcMar>
              <w:left w:w="28" w:type="dxa"/>
              <w:right w:w="28" w:type="dxa"/>
            </w:tcMar>
            <w:vAlign w:val="center"/>
          </w:tcPr>
          <w:p w14:paraId="0DAB1D7D" w14:textId="77777777" w:rsidR="004A0123" w:rsidRPr="000D3D0C" w:rsidRDefault="004A0123" w:rsidP="008A5C11">
            <w:pPr>
              <w:jc w:val="center"/>
              <w:rPr>
                <w:sz w:val="16"/>
                <w:szCs w:val="16"/>
              </w:rPr>
            </w:pPr>
            <w:r w:rsidRPr="000D3D0C">
              <w:rPr>
                <w:sz w:val="16"/>
                <w:szCs w:val="16"/>
              </w:rPr>
              <w:t>Показатели энергетической эффективности</w:t>
            </w:r>
          </w:p>
        </w:tc>
      </w:tr>
      <w:tr w:rsidR="004A0123" w:rsidRPr="000D3D0C" w14:paraId="3CEE460E" w14:textId="77777777" w:rsidTr="008A5C11">
        <w:trPr>
          <w:trHeight w:val="349"/>
          <w:jc w:val="center"/>
        </w:trPr>
        <w:tc>
          <w:tcPr>
            <w:tcW w:w="134" w:type="pct"/>
            <w:vMerge/>
            <w:tcMar>
              <w:top w:w="62" w:type="dxa"/>
              <w:left w:w="28" w:type="dxa"/>
              <w:bottom w:w="102" w:type="dxa"/>
              <w:right w:w="28" w:type="dxa"/>
            </w:tcMar>
            <w:vAlign w:val="center"/>
          </w:tcPr>
          <w:p w14:paraId="5528F4AF" w14:textId="77777777" w:rsidR="004A0123" w:rsidRPr="000D3D0C" w:rsidRDefault="004A0123" w:rsidP="008A5C11">
            <w:pPr>
              <w:widowControl w:val="0"/>
              <w:autoSpaceDE w:val="0"/>
              <w:autoSpaceDN w:val="0"/>
              <w:adjustRightInd w:val="0"/>
              <w:jc w:val="center"/>
              <w:rPr>
                <w:sz w:val="16"/>
                <w:szCs w:val="16"/>
              </w:rPr>
            </w:pPr>
          </w:p>
        </w:tc>
        <w:tc>
          <w:tcPr>
            <w:tcW w:w="533" w:type="pct"/>
            <w:vMerge/>
            <w:tcMar>
              <w:top w:w="62" w:type="dxa"/>
              <w:left w:w="28" w:type="dxa"/>
              <w:bottom w:w="102" w:type="dxa"/>
              <w:right w:w="28" w:type="dxa"/>
            </w:tcMar>
            <w:vAlign w:val="center"/>
          </w:tcPr>
          <w:p w14:paraId="1F3FC534" w14:textId="77777777" w:rsidR="004A0123" w:rsidRPr="000D3D0C" w:rsidRDefault="004A0123" w:rsidP="008A5C11">
            <w:pPr>
              <w:widowControl w:val="0"/>
              <w:autoSpaceDE w:val="0"/>
              <w:autoSpaceDN w:val="0"/>
              <w:adjustRightInd w:val="0"/>
              <w:jc w:val="center"/>
              <w:rPr>
                <w:sz w:val="16"/>
                <w:szCs w:val="16"/>
              </w:rPr>
            </w:pPr>
          </w:p>
        </w:tc>
        <w:tc>
          <w:tcPr>
            <w:tcW w:w="2211" w:type="pct"/>
            <w:gridSpan w:val="11"/>
            <w:tcMar>
              <w:left w:w="28" w:type="dxa"/>
              <w:right w:w="28" w:type="dxa"/>
            </w:tcMar>
            <w:vAlign w:val="center"/>
          </w:tcPr>
          <w:p w14:paraId="6C7D1762" w14:textId="77777777" w:rsidR="004A0123" w:rsidRPr="000D3D0C" w:rsidRDefault="004A0123" w:rsidP="008A5C11">
            <w:pPr>
              <w:widowControl w:val="0"/>
              <w:autoSpaceDE w:val="0"/>
              <w:autoSpaceDN w:val="0"/>
              <w:adjustRightInd w:val="0"/>
              <w:jc w:val="center"/>
              <w:rPr>
                <w:sz w:val="16"/>
                <w:szCs w:val="16"/>
              </w:rPr>
            </w:pPr>
            <w:r w:rsidRPr="000D3D0C">
              <w:rPr>
                <w:sz w:val="16"/>
                <w:szCs w:val="16"/>
              </w:rPr>
              <w:t>Отношение величины технологических потерь тепловой энергии, теплоносителя к материальной характеристике тепловой сети, Гкал/м</w:t>
            </w:r>
            <w:r w:rsidRPr="000D3D0C">
              <w:rPr>
                <w:sz w:val="16"/>
                <w:szCs w:val="16"/>
                <w:vertAlign w:val="superscript"/>
              </w:rPr>
              <w:t>2</w:t>
            </w:r>
          </w:p>
        </w:tc>
        <w:tc>
          <w:tcPr>
            <w:tcW w:w="2122" w:type="pct"/>
            <w:gridSpan w:val="11"/>
            <w:tcMar>
              <w:left w:w="28" w:type="dxa"/>
              <w:right w:w="28" w:type="dxa"/>
            </w:tcMar>
            <w:vAlign w:val="center"/>
          </w:tcPr>
          <w:p w14:paraId="15F6ECFC" w14:textId="77777777" w:rsidR="004A0123" w:rsidRPr="000D3D0C" w:rsidRDefault="004A0123" w:rsidP="008A5C11">
            <w:pPr>
              <w:widowControl w:val="0"/>
              <w:autoSpaceDE w:val="0"/>
              <w:autoSpaceDN w:val="0"/>
              <w:adjustRightInd w:val="0"/>
              <w:jc w:val="center"/>
              <w:rPr>
                <w:sz w:val="16"/>
                <w:szCs w:val="16"/>
              </w:rPr>
            </w:pPr>
            <w:r w:rsidRPr="000D3D0C">
              <w:rPr>
                <w:sz w:val="16"/>
                <w:szCs w:val="16"/>
              </w:rPr>
              <w:t>Отношение величины технологических потерь тепловой энергии, теплоносителя к материальной характеристике тепловой сети, м</w:t>
            </w:r>
            <w:r w:rsidRPr="000D3D0C">
              <w:rPr>
                <w:sz w:val="16"/>
                <w:szCs w:val="16"/>
                <w:vertAlign w:val="superscript"/>
              </w:rPr>
              <w:t>3</w:t>
            </w:r>
            <w:r w:rsidRPr="000D3D0C">
              <w:rPr>
                <w:sz w:val="16"/>
                <w:szCs w:val="16"/>
              </w:rPr>
              <w:t>/м</w:t>
            </w:r>
            <w:r w:rsidRPr="000D3D0C">
              <w:rPr>
                <w:sz w:val="16"/>
                <w:szCs w:val="16"/>
                <w:vertAlign w:val="superscript"/>
              </w:rPr>
              <w:t>2</w:t>
            </w:r>
          </w:p>
        </w:tc>
      </w:tr>
      <w:tr w:rsidR="004A0123" w:rsidRPr="000D3D0C" w14:paraId="4DC6C95E" w14:textId="77777777" w:rsidTr="008A5C11">
        <w:trPr>
          <w:trHeight w:val="20"/>
          <w:jc w:val="center"/>
        </w:trPr>
        <w:tc>
          <w:tcPr>
            <w:tcW w:w="134" w:type="pct"/>
            <w:vMerge/>
            <w:tcMar>
              <w:top w:w="62" w:type="dxa"/>
              <w:left w:w="28" w:type="dxa"/>
              <w:bottom w:w="102" w:type="dxa"/>
              <w:right w:w="28" w:type="dxa"/>
            </w:tcMar>
            <w:vAlign w:val="center"/>
          </w:tcPr>
          <w:p w14:paraId="1C025E01" w14:textId="77777777" w:rsidR="004A0123" w:rsidRPr="000D3D0C" w:rsidRDefault="004A0123" w:rsidP="008A5C11">
            <w:pPr>
              <w:widowControl w:val="0"/>
              <w:autoSpaceDE w:val="0"/>
              <w:autoSpaceDN w:val="0"/>
              <w:adjustRightInd w:val="0"/>
              <w:jc w:val="center"/>
              <w:rPr>
                <w:sz w:val="16"/>
                <w:szCs w:val="16"/>
              </w:rPr>
            </w:pPr>
          </w:p>
        </w:tc>
        <w:tc>
          <w:tcPr>
            <w:tcW w:w="533" w:type="pct"/>
            <w:vMerge/>
            <w:tcMar>
              <w:top w:w="62" w:type="dxa"/>
              <w:left w:w="28" w:type="dxa"/>
              <w:bottom w:w="102" w:type="dxa"/>
              <w:right w:w="28" w:type="dxa"/>
            </w:tcMar>
            <w:vAlign w:val="center"/>
          </w:tcPr>
          <w:p w14:paraId="21DD1AD1" w14:textId="77777777" w:rsidR="004A0123" w:rsidRPr="000D3D0C" w:rsidRDefault="004A0123" w:rsidP="008A5C11">
            <w:pPr>
              <w:widowControl w:val="0"/>
              <w:autoSpaceDE w:val="0"/>
              <w:autoSpaceDN w:val="0"/>
              <w:adjustRightInd w:val="0"/>
              <w:jc w:val="center"/>
              <w:rPr>
                <w:sz w:val="16"/>
                <w:szCs w:val="16"/>
              </w:rPr>
            </w:pPr>
          </w:p>
        </w:tc>
        <w:tc>
          <w:tcPr>
            <w:tcW w:w="320" w:type="pct"/>
            <w:vMerge w:val="restart"/>
            <w:tcMar>
              <w:left w:w="28" w:type="dxa"/>
              <w:right w:w="28" w:type="dxa"/>
            </w:tcMar>
            <w:vAlign w:val="center"/>
          </w:tcPr>
          <w:p w14:paraId="3A5A7E38" w14:textId="77777777" w:rsidR="004A0123" w:rsidRPr="000D3D0C" w:rsidRDefault="004A0123" w:rsidP="008A5C11">
            <w:pPr>
              <w:widowControl w:val="0"/>
              <w:autoSpaceDE w:val="0"/>
              <w:autoSpaceDN w:val="0"/>
              <w:adjustRightInd w:val="0"/>
              <w:jc w:val="center"/>
              <w:rPr>
                <w:sz w:val="16"/>
                <w:szCs w:val="16"/>
              </w:rPr>
            </w:pPr>
            <w:r w:rsidRPr="000D3D0C">
              <w:rPr>
                <w:sz w:val="16"/>
                <w:szCs w:val="16"/>
              </w:rPr>
              <w:t>Текущее значение</w:t>
            </w:r>
          </w:p>
        </w:tc>
        <w:tc>
          <w:tcPr>
            <w:tcW w:w="1890" w:type="pct"/>
            <w:gridSpan w:val="10"/>
            <w:tcMar>
              <w:left w:w="28" w:type="dxa"/>
              <w:right w:w="28" w:type="dxa"/>
            </w:tcMar>
            <w:vAlign w:val="center"/>
          </w:tcPr>
          <w:p w14:paraId="3CA91052" w14:textId="77777777" w:rsidR="004A0123" w:rsidRPr="000D3D0C" w:rsidRDefault="004A0123" w:rsidP="008A5C11">
            <w:pPr>
              <w:widowControl w:val="0"/>
              <w:autoSpaceDE w:val="0"/>
              <w:autoSpaceDN w:val="0"/>
              <w:adjustRightInd w:val="0"/>
              <w:jc w:val="center"/>
              <w:rPr>
                <w:sz w:val="16"/>
                <w:szCs w:val="16"/>
              </w:rPr>
            </w:pPr>
            <w:r w:rsidRPr="000D3D0C">
              <w:rPr>
                <w:sz w:val="16"/>
                <w:szCs w:val="16"/>
              </w:rPr>
              <w:t>Плановое значение</w:t>
            </w:r>
          </w:p>
        </w:tc>
        <w:tc>
          <w:tcPr>
            <w:tcW w:w="368" w:type="pct"/>
            <w:vMerge w:val="restart"/>
            <w:tcMar>
              <w:left w:w="28" w:type="dxa"/>
              <w:right w:w="28" w:type="dxa"/>
            </w:tcMar>
            <w:vAlign w:val="center"/>
          </w:tcPr>
          <w:p w14:paraId="3CE3FBCC" w14:textId="77777777" w:rsidR="004A0123" w:rsidRPr="000D3D0C" w:rsidRDefault="004A0123" w:rsidP="008A5C11">
            <w:pPr>
              <w:widowControl w:val="0"/>
              <w:autoSpaceDE w:val="0"/>
              <w:autoSpaceDN w:val="0"/>
              <w:adjustRightInd w:val="0"/>
              <w:jc w:val="center"/>
              <w:rPr>
                <w:sz w:val="16"/>
                <w:szCs w:val="16"/>
              </w:rPr>
            </w:pPr>
            <w:r w:rsidRPr="000D3D0C">
              <w:rPr>
                <w:sz w:val="16"/>
                <w:szCs w:val="16"/>
              </w:rPr>
              <w:t>Текущее значение</w:t>
            </w:r>
          </w:p>
        </w:tc>
        <w:tc>
          <w:tcPr>
            <w:tcW w:w="1754" w:type="pct"/>
            <w:gridSpan w:val="10"/>
            <w:tcMar>
              <w:left w:w="28" w:type="dxa"/>
              <w:right w:w="28" w:type="dxa"/>
            </w:tcMar>
            <w:vAlign w:val="center"/>
          </w:tcPr>
          <w:p w14:paraId="113F8B11" w14:textId="77777777" w:rsidR="004A0123" w:rsidRPr="000D3D0C" w:rsidRDefault="004A0123" w:rsidP="008A5C11">
            <w:pPr>
              <w:widowControl w:val="0"/>
              <w:autoSpaceDE w:val="0"/>
              <w:autoSpaceDN w:val="0"/>
              <w:adjustRightInd w:val="0"/>
              <w:jc w:val="center"/>
              <w:rPr>
                <w:sz w:val="16"/>
                <w:szCs w:val="16"/>
              </w:rPr>
            </w:pPr>
            <w:r w:rsidRPr="000D3D0C">
              <w:rPr>
                <w:sz w:val="16"/>
                <w:szCs w:val="16"/>
              </w:rPr>
              <w:t>Плановое значение</w:t>
            </w:r>
          </w:p>
        </w:tc>
      </w:tr>
      <w:tr w:rsidR="004A0123" w:rsidRPr="000D3D0C" w14:paraId="26AD20C9" w14:textId="77777777" w:rsidTr="008A5C11">
        <w:trPr>
          <w:trHeight w:val="20"/>
          <w:jc w:val="center"/>
        </w:trPr>
        <w:tc>
          <w:tcPr>
            <w:tcW w:w="134" w:type="pct"/>
            <w:vMerge/>
            <w:tcMar>
              <w:top w:w="62" w:type="dxa"/>
              <w:left w:w="28" w:type="dxa"/>
              <w:bottom w:w="102" w:type="dxa"/>
              <w:right w:w="28" w:type="dxa"/>
            </w:tcMar>
            <w:vAlign w:val="center"/>
          </w:tcPr>
          <w:p w14:paraId="5E27EBD8" w14:textId="77777777" w:rsidR="004A0123" w:rsidRPr="000D3D0C" w:rsidRDefault="004A0123" w:rsidP="008A5C11">
            <w:pPr>
              <w:widowControl w:val="0"/>
              <w:autoSpaceDE w:val="0"/>
              <w:autoSpaceDN w:val="0"/>
              <w:adjustRightInd w:val="0"/>
              <w:jc w:val="center"/>
              <w:rPr>
                <w:sz w:val="16"/>
                <w:szCs w:val="16"/>
              </w:rPr>
            </w:pPr>
          </w:p>
        </w:tc>
        <w:tc>
          <w:tcPr>
            <w:tcW w:w="533" w:type="pct"/>
            <w:vMerge/>
            <w:tcMar>
              <w:top w:w="62" w:type="dxa"/>
              <w:left w:w="28" w:type="dxa"/>
              <w:bottom w:w="102" w:type="dxa"/>
              <w:right w:w="28" w:type="dxa"/>
            </w:tcMar>
            <w:vAlign w:val="center"/>
          </w:tcPr>
          <w:p w14:paraId="3C8FAF5C" w14:textId="77777777" w:rsidR="004A0123" w:rsidRPr="000D3D0C" w:rsidRDefault="004A0123" w:rsidP="008A5C11">
            <w:pPr>
              <w:widowControl w:val="0"/>
              <w:autoSpaceDE w:val="0"/>
              <w:autoSpaceDN w:val="0"/>
              <w:adjustRightInd w:val="0"/>
              <w:jc w:val="center"/>
              <w:rPr>
                <w:sz w:val="16"/>
                <w:szCs w:val="16"/>
              </w:rPr>
            </w:pPr>
          </w:p>
        </w:tc>
        <w:tc>
          <w:tcPr>
            <w:tcW w:w="320" w:type="pct"/>
            <w:vMerge/>
            <w:tcMar>
              <w:left w:w="28" w:type="dxa"/>
              <w:right w:w="28" w:type="dxa"/>
            </w:tcMar>
            <w:vAlign w:val="center"/>
          </w:tcPr>
          <w:p w14:paraId="6F4739DB" w14:textId="77777777" w:rsidR="004A0123" w:rsidRPr="000D3D0C" w:rsidRDefault="004A0123" w:rsidP="008A5C11">
            <w:pPr>
              <w:widowControl w:val="0"/>
              <w:autoSpaceDE w:val="0"/>
              <w:autoSpaceDN w:val="0"/>
              <w:adjustRightInd w:val="0"/>
              <w:jc w:val="center"/>
              <w:rPr>
                <w:sz w:val="16"/>
                <w:szCs w:val="16"/>
              </w:rPr>
            </w:pPr>
          </w:p>
        </w:tc>
        <w:tc>
          <w:tcPr>
            <w:tcW w:w="187" w:type="pct"/>
            <w:tcMar>
              <w:left w:w="28" w:type="dxa"/>
              <w:right w:w="28" w:type="dxa"/>
            </w:tcMar>
            <w:vAlign w:val="center"/>
          </w:tcPr>
          <w:p w14:paraId="1A8373CF" w14:textId="77777777" w:rsidR="004A0123" w:rsidRPr="000D3D0C" w:rsidRDefault="004A0123" w:rsidP="008A5C11">
            <w:pPr>
              <w:widowControl w:val="0"/>
              <w:autoSpaceDE w:val="0"/>
              <w:autoSpaceDN w:val="0"/>
              <w:adjustRightInd w:val="0"/>
              <w:jc w:val="center"/>
              <w:rPr>
                <w:sz w:val="16"/>
                <w:szCs w:val="16"/>
              </w:rPr>
            </w:pPr>
            <w:r w:rsidRPr="000D3D0C">
              <w:rPr>
                <w:sz w:val="16"/>
                <w:szCs w:val="16"/>
              </w:rPr>
              <w:t>2021</w:t>
            </w:r>
          </w:p>
        </w:tc>
        <w:tc>
          <w:tcPr>
            <w:tcW w:w="193" w:type="pct"/>
            <w:tcMar>
              <w:left w:w="28" w:type="dxa"/>
              <w:right w:w="28" w:type="dxa"/>
            </w:tcMar>
            <w:vAlign w:val="center"/>
          </w:tcPr>
          <w:p w14:paraId="3FFE7962" w14:textId="77777777" w:rsidR="004A0123" w:rsidRPr="000D3D0C" w:rsidRDefault="004A0123" w:rsidP="008A5C11">
            <w:pPr>
              <w:widowControl w:val="0"/>
              <w:autoSpaceDE w:val="0"/>
              <w:autoSpaceDN w:val="0"/>
              <w:adjustRightInd w:val="0"/>
              <w:jc w:val="center"/>
              <w:rPr>
                <w:sz w:val="16"/>
                <w:szCs w:val="16"/>
              </w:rPr>
            </w:pPr>
            <w:r w:rsidRPr="000D3D0C">
              <w:rPr>
                <w:sz w:val="16"/>
                <w:szCs w:val="16"/>
              </w:rPr>
              <w:t>2022</w:t>
            </w:r>
          </w:p>
        </w:tc>
        <w:tc>
          <w:tcPr>
            <w:tcW w:w="193" w:type="pct"/>
            <w:tcMar>
              <w:left w:w="28" w:type="dxa"/>
              <w:right w:w="28" w:type="dxa"/>
            </w:tcMar>
            <w:vAlign w:val="center"/>
          </w:tcPr>
          <w:p w14:paraId="20836C63" w14:textId="77777777" w:rsidR="004A0123" w:rsidRPr="000D3D0C" w:rsidRDefault="004A0123" w:rsidP="008A5C11">
            <w:pPr>
              <w:widowControl w:val="0"/>
              <w:autoSpaceDE w:val="0"/>
              <w:autoSpaceDN w:val="0"/>
              <w:adjustRightInd w:val="0"/>
              <w:jc w:val="center"/>
              <w:rPr>
                <w:sz w:val="16"/>
                <w:szCs w:val="16"/>
              </w:rPr>
            </w:pPr>
            <w:r w:rsidRPr="000D3D0C">
              <w:rPr>
                <w:sz w:val="16"/>
                <w:szCs w:val="16"/>
              </w:rPr>
              <w:t>2023</w:t>
            </w:r>
          </w:p>
        </w:tc>
        <w:tc>
          <w:tcPr>
            <w:tcW w:w="193" w:type="pct"/>
            <w:vAlign w:val="center"/>
          </w:tcPr>
          <w:p w14:paraId="6CE1C5E3" w14:textId="77777777" w:rsidR="004A0123" w:rsidRPr="000D3D0C" w:rsidRDefault="004A0123" w:rsidP="008A5C11">
            <w:pPr>
              <w:widowControl w:val="0"/>
              <w:autoSpaceDE w:val="0"/>
              <w:autoSpaceDN w:val="0"/>
              <w:adjustRightInd w:val="0"/>
              <w:jc w:val="center"/>
              <w:rPr>
                <w:sz w:val="16"/>
                <w:szCs w:val="16"/>
              </w:rPr>
            </w:pPr>
            <w:r w:rsidRPr="000D3D0C">
              <w:rPr>
                <w:sz w:val="16"/>
                <w:szCs w:val="16"/>
              </w:rPr>
              <w:t>2024</w:t>
            </w:r>
          </w:p>
        </w:tc>
        <w:tc>
          <w:tcPr>
            <w:tcW w:w="182" w:type="pct"/>
            <w:vAlign w:val="center"/>
          </w:tcPr>
          <w:p w14:paraId="2C7190F3" w14:textId="77777777" w:rsidR="004A0123" w:rsidRPr="000D3D0C" w:rsidRDefault="004A0123" w:rsidP="008A5C11">
            <w:pPr>
              <w:widowControl w:val="0"/>
              <w:autoSpaceDE w:val="0"/>
              <w:autoSpaceDN w:val="0"/>
              <w:adjustRightInd w:val="0"/>
              <w:jc w:val="center"/>
              <w:rPr>
                <w:sz w:val="16"/>
                <w:szCs w:val="16"/>
              </w:rPr>
            </w:pPr>
            <w:r w:rsidRPr="000D3D0C">
              <w:rPr>
                <w:sz w:val="16"/>
                <w:szCs w:val="16"/>
              </w:rPr>
              <w:t>2025</w:t>
            </w:r>
          </w:p>
        </w:tc>
        <w:tc>
          <w:tcPr>
            <w:tcW w:w="182" w:type="pct"/>
            <w:tcMar>
              <w:left w:w="28" w:type="dxa"/>
              <w:right w:w="28" w:type="dxa"/>
            </w:tcMar>
            <w:vAlign w:val="center"/>
          </w:tcPr>
          <w:p w14:paraId="1BD27AF1" w14:textId="77777777" w:rsidR="004A0123" w:rsidRPr="000D3D0C" w:rsidRDefault="004A0123" w:rsidP="008A5C11">
            <w:pPr>
              <w:widowControl w:val="0"/>
              <w:autoSpaceDE w:val="0"/>
              <w:autoSpaceDN w:val="0"/>
              <w:adjustRightInd w:val="0"/>
              <w:jc w:val="center"/>
              <w:rPr>
                <w:sz w:val="16"/>
                <w:szCs w:val="16"/>
              </w:rPr>
            </w:pPr>
            <w:r w:rsidRPr="000D3D0C">
              <w:rPr>
                <w:sz w:val="16"/>
                <w:szCs w:val="16"/>
              </w:rPr>
              <w:t>2026</w:t>
            </w:r>
          </w:p>
        </w:tc>
        <w:tc>
          <w:tcPr>
            <w:tcW w:w="182" w:type="pct"/>
            <w:tcMar>
              <w:left w:w="28" w:type="dxa"/>
              <w:right w:w="28" w:type="dxa"/>
            </w:tcMar>
            <w:vAlign w:val="center"/>
          </w:tcPr>
          <w:p w14:paraId="74C34005" w14:textId="77777777" w:rsidR="004A0123" w:rsidRPr="000D3D0C" w:rsidRDefault="004A0123" w:rsidP="008A5C11">
            <w:pPr>
              <w:widowControl w:val="0"/>
              <w:autoSpaceDE w:val="0"/>
              <w:autoSpaceDN w:val="0"/>
              <w:adjustRightInd w:val="0"/>
              <w:jc w:val="center"/>
              <w:rPr>
                <w:sz w:val="16"/>
                <w:szCs w:val="16"/>
              </w:rPr>
            </w:pPr>
            <w:r w:rsidRPr="000D3D0C">
              <w:rPr>
                <w:sz w:val="16"/>
                <w:szCs w:val="16"/>
              </w:rPr>
              <w:t>2027</w:t>
            </w:r>
          </w:p>
        </w:tc>
        <w:tc>
          <w:tcPr>
            <w:tcW w:w="182" w:type="pct"/>
            <w:tcMar>
              <w:left w:w="28" w:type="dxa"/>
              <w:right w:w="28" w:type="dxa"/>
            </w:tcMar>
            <w:vAlign w:val="center"/>
          </w:tcPr>
          <w:p w14:paraId="017C032B" w14:textId="77777777" w:rsidR="004A0123" w:rsidRPr="000D3D0C" w:rsidRDefault="004A0123" w:rsidP="008A5C11">
            <w:pPr>
              <w:widowControl w:val="0"/>
              <w:autoSpaceDE w:val="0"/>
              <w:autoSpaceDN w:val="0"/>
              <w:adjustRightInd w:val="0"/>
              <w:jc w:val="center"/>
              <w:rPr>
                <w:sz w:val="16"/>
                <w:szCs w:val="16"/>
              </w:rPr>
            </w:pPr>
            <w:r w:rsidRPr="000D3D0C">
              <w:rPr>
                <w:sz w:val="16"/>
                <w:szCs w:val="16"/>
              </w:rPr>
              <w:t>2028</w:t>
            </w:r>
          </w:p>
        </w:tc>
        <w:tc>
          <w:tcPr>
            <w:tcW w:w="182" w:type="pct"/>
            <w:tcMar>
              <w:left w:w="28" w:type="dxa"/>
              <w:right w:w="28" w:type="dxa"/>
            </w:tcMar>
            <w:vAlign w:val="center"/>
          </w:tcPr>
          <w:p w14:paraId="0D924C23" w14:textId="77777777" w:rsidR="004A0123" w:rsidRPr="000D3D0C" w:rsidRDefault="004A0123" w:rsidP="008A5C11">
            <w:pPr>
              <w:widowControl w:val="0"/>
              <w:autoSpaceDE w:val="0"/>
              <w:autoSpaceDN w:val="0"/>
              <w:adjustRightInd w:val="0"/>
              <w:jc w:val="center"/>
              <w:rPr>
                <w:sz w:val="16"/>
                <w:szCs w:val="16"/>
              </w:rPr>
            </w:pPr>
            <w:r w:rsidRPr="000D3D0C">
              <w:rPr>
                <w:sz w:val="16"/>
                <w:szCs w:val="16"/>
              </w:rPr>
              <w:t>2029</w:t>
            </w:r>
          </w:p>
        </w:tc>
        <w:tc>
          <w:tcPr>
            <w:tcW w:w="214" w:type="pct"/>
            <w:vAlign w:val="center"/>
          </w:tcPr>
          <w:p w14:paraId="407F8114" w14:textId="77777777" w:rsidR="004A0123" w:rsidRPr="000D3D0C" w:rsidRDefault="004A0123" w:rsidP="008A5C11">
            <w:pPr>
              <w:widowControl w:val="0"/>
              <w:autoSpaceDE w:val="0"/>
              <w:autoSpaceDN w:val="0"/>
              <w:adjustRightInd w:val="0"/>
              <w:jc w:val="center"/>
              <w:rPr>
                <w:sz w:val="16"/>
                <w:szCs w:val="16"/>
              </w:rPr>
            </w:pPr>
            <w:r w:rsidRPr="000D3D0C">
              <w:rPr>
                <w:sz w:val="16"/>
                <w:szCs w:val="16"/>
              </w:rPr>
              <w:t>2030</w:t>
            </w:r>
          </w:p>
        </w:tc>
        <w:tc>
          <w:tcPr>
            <w:tcW w:w="368" w:type="pct"/>
            <w:vMerge/>
            <w:tcMar>
              <w:left w:w="28" w:type="dxa"/>
              <w:right w:w="28" w:type="dxa"/>
            </w:tcMar>
            <w:vAlign w:val="center"/>
          </w:tcPr>
          <w:p w14:paraId="7687C19A" w14:textId="77777777" w:rsidR="004A0123" w:rsidRPr="000D3D0C" w:rsidRDefault="004A0123" w:rsidP="008A5C11">
            <w:pPr>
              <w:widowControl w:val="0"/>
              <w:autoSpaceDE w:val="0"/>
              <w:autoSpaceDN w:val="0"/>
              <w:adjustRightInd w:val="0"/>
              <w:jc w:val="center"/>
              <w:rPr>
                <w:sz w:val="16"/>
                <w:szCs w:val="16"/>
              </w:rPr>
            </w:pPr>
          </w:p>
        </w:tc>
        <w:tc>
          <w:tcPr>
            <w:tcW w:w="182" w:type="pct"/>
            <w:tcMar>
              <w:left w:w="28" w:type="dxa"/>
              <w:right w:w="28" w:type="dxa"/>
            </w:tcMar>
            <w:vAlign w:val="center"/>
          </w:tcPr>
          <w:p w14:paraId="511B37AA" w14:textId="77777777" w:rsidR="004A0123" w:rsidRPr="000D3D0C" w:rsidRDefault="004A0123" w:rsidP="008A5C11">
            <w:pPr>
              <w:widowControl w:val="0"/>
              <w:autoSpaceDE w:val="0"/>
              <w:autoSpaceDN w:val="0"/>
              <w:adjustRightInd w:val="0"/>
              <w:jc w:val="center"/>
              <w:rPr>
                <w:sz w:val="16"/>
                <w:szCs w:val="16"/>
              </w:rPr>
            </w:pPr>
            <w:r w:rsidRPr="000D3D0C">
              <w:rPr>
                <w:sz w:val="16"/>
                <w:szCs w:val="16"/>
              </w:rPr>
              <w:t>2021</w:t>
            </w:r>
          </w:p>
        </w:tc>
        <w:tc>
          <w:tcPr>
            <w:tcW w:w="182" w:type="pct"/>
            <w:tcMar>
              <w:left w:w="28" w:type="dxa"/>
              <w:right w:w="28" w:type="dxa"/>
            </w:tcMar>
            <w:vAlign w:val="center"/>
          </w:tcPr>
          <w:p w14:paraId="1C336561" w14:textId="77777777" w:rsidR="004A0123" w:rsidRPr="000D3D0C" w:rsidRDefault="004A0123" w:rsidP="008A5C11">
            <w:pPr>
              <w:widowControl w:val="0"/>
              <w:autoSpaceDE w:val="0"/>
              <w:autoSpaceDN w:val="0"/>
              <w:adjustRightInd w:val="0"/>
              <w:jc w:val="center"/>
              <w:rPr>
                <w:sz w:val="16"/>
                <w:szCs w:val="16"/>
              </w:rPr>
            </w:pPr>
            <w:r w:rsidRPr="000D3D0C">
              <w:rPr>
                <w:sz w:val="16"/>
                <w:szCs w:val="16"/>
              </w:rPr>
              <w:t>2022</w:t>
            </w:r>
          </w:p>
        </w:tc>
        <w:tc>
          <w:tcPr>
            <w:tcW w:w="182" w:type="pct"/>
            <w:tcMar>
              <w:left w:w="28" w:type="dxa"/>
              <w:right w:w="28" w:type="dxa"/>
            </w:tcMar>
            <w:vAlign w:val="center"/>
          </w:tcPr>
          <w:p w14:paraId="7AC4EDEF" w14:textId="77777777" w:rsidR="004A0123" w:rsidRPr="000D3D0C" w:rsidRDefault="004A0123" w:rsidP="008A5C11">
            <w:pPr>
              <w:widowControl w:val="0"/>
              <w:autoSpaceDE w:val="0"/>
              <w:autoSpaceDN w:val="0"/>
              <w:adjustRightInd w:val="0"/>
              <w:jc w:val="center"/>
              <w:rPr>
                <w:sz w:val="16"/>
                <w:szCs w:val="16"/>
              </w:rPr>
            </w:pPr>
            <w:r w:rsidRPr="000D3D0C">
              <w:rPr>
                <w:sz w:val="16"/>
                <w:szCs w:val="16"/>
              </w:rPr>
              <w:t>2023</w:t>
            </w:r>
          </w:p>
        </w:tc>
        <w:tc>
          <w:tcPr>
            <w:tcW w:w="182" w:type="pct"/>
            <w:vAlign w:val="center"/>
          </w:tcPr>
          <w:p w14:paraId="6FE8F6C3" w14:textId="77777777" w:rsidR="004A0123" w:rsidRPr="000D3D0C" w:rsidRDefault="004A0123" w:rsidP="008A5C11">
            <w:pPr>
              <w:widowControl w:val="0"/>
              <w:autoSpaceDE w:val="0"/>
              <w:autoSpaceDN w:val="0"/>
              <w:adjustRightInd w:val="0"/>
              <w:jc w:val="center"/>
              <w:rPr>
                <w:sz w:val="16"/>
                <w:szCs w:val="16"/>
              </w:rPr>
            </w:pPr>
            <w:r w:rsidRPr="000D3D0C">
              <w:rPr>
                <w:sz w:val="16"/>
                <w:szCs w:val="16"/>
              </w:rPr>
              <w:t>2024</w:t>
            </w:r>
          </w:p>
        </w:tc>
        <w:tc>
          <w:tcPr>
            <w:tcW w:w="182" w:type="pct"/>
            <w:vAlign w:val="center"/>
          </w:tcPr>
          <w:p w14:paraId="574F8A4E" w14:textId="77777777" w:rsidR="004A0123" w:rsidRPr="000D3D0C" w:rsidRDefault="004A0123" w:rsidP="008A5C11">
            <w:pPr>
              <w:widowControl w:val="0"/>
              <w:autoSpaceDE w:val="0"/>
              <w:autoSpaceDN w:val="0"/>
              <w:adjustRightInd w:val="0"/>
              <w:jc w:val="center"/>
              <w:rPr>
                <w:sz w:val="16"/>
                <w:szCs w:val="16"/>
              </w:rPr>
            </w:pPr>
            <w:r w:rsidRPr="000D3D0C">
              <w:rPr>
                <w:sz w:val="16"/>
                <w:szCs w:val="16"/>
              </w:rPr>
              <w:t>2025</w:t>
            </w:r>
          </w:p>
        </w:tc>
        <w:tc>
          <w:tcPr>
            <w:tcW w:w="182" w:type="pct"/>
            <w:tcMar>
              <w:left w:w="28" w:type="dxa"/>
              <w:right w:w="28" w:type="dxa"/>
            </w:tcMar>
            <w:vAlign w:val="center"/>
          </w:tcPr>
          <w:p w14:paraId="2179A8BB" w14:textId="77777777" w:rsidR="004A0123" w:rsidRPr="000D3D0C" w:rsidRDefault="004A0123" w:rsidP="008A5C11">
            <w:pPr>
              <w:widowControl w:val="0"/>
              <w:autoSpaceDE w:val="0"/>
              <w:autoSpaceDN w:val="0"/>
              <w:adjustRightInd w:val="0"/>
              <w:jc w:val="center"/>
              <w:rPr>
                <w:sz w:val="16"/>
                <w:szCs w:val="16"/>
              </w:rPr>
            </w:pPr>
            <w:r w:rsidRPr="000D3D0C">
              <w:rPr>
                <w:sz w:val="16"/>
                <w:szCs w:val="16"/>
              </w:rPr>
              <w:t>2026</w:t>
            </w:r>
          </w:p>
        </w:tc>
        <w:tc>
          <w:tcPr>
            <w:tcW w:w="182" w:type="pct"/>
            <w:tcMar>
              <w:left w:w="28" w:type="dxa"/>
              <w:right w:w="28" w:type="dxa"/>
            </w:tcMar>
            <w:vAlign w:val="center"/>
          </w:tcPr>
          <w:p w14:paraId="534AD1F8" w14:textId="77777777" w:rsidR="004A0123" w:rsidRPr="000D3D0C" w:rsidRDefault="004A0123" w:rsidP="008A5C11">
            <w:pPr>
              <w:widowControl w:val="0"/>
              <w:autoSpaceDE w:val="0"/>
              <w:autoSpaceDN w:val="0"/>
              <w:adjustRightInd w:val="0"/>
              <w:jc w:val="center"/>
              <w:rPr>
                <w:sz w:val="16"/>
                <w:szCs w:val="16"/>
              </w:rPr>
            </w:pPr>
            <w:r w:rsidRPr="000D3D0C">
              <w:rPr>
                <w:sz w:val="16"/>
                <w:szCs w:val="16"/>
              </w:rPr>
              <w:t>2027</w:t>
            </w:r>
          </w:p>
        </w:tc>
        <w:tc>
          <w:tcPr>
            <w:tcW w:w="182" w:type="pct"/>
            <w:tcMar>
              <w:left w:w="28" w:type="dxa"/>
              <w:right w:w="28" w:type="dxa"/>
            </w:tcMar>
            <w:vAlign w:val="center"/>
          </w:tcPr>
          <w:p w14:paraId="7865EE3B" w14:textId="77777777" w:rsidR="004A0123" w:rsidRPr="000D3D0C" w:rsidRDefault="004A0123" w:rsidP="008A5C11">
            <w:pPr>
              <w:widowControl w:val="0"/>
              <w:autoSpaceDE w:val="0"/>
              <w:autoSpaceDN w:val="0"/>
              <w:adjustRightInd w:val="0"/>
              <w:jc w:val="center"/>
              <w:rPr>
                <w:sz w:val="16"/>
                <w:szCs w:val="16"/>
              </w:rPr>
            </w:pPr>
            <w:r w:rsidRPr="000D3D0C">
              <w:rPr>
                <w:sz w:val="16"/>
                <w:szCs w:val="16"/>
              </w:rPr>
              <w:t>2028</w:t>
            </w:r>
          </w:p>
        </w:tc>
        <w:tc>
          <w:tcPr>
            <w:tcW w:w="182" w:type="pct"/>
            <w:tcMar>
              <w:left w:w="28" w:type="dxa"/>
              <w:right w:w="28" w:type="dxa"/>
            </w:tcMar>
            <w:vAlign w:val="center"/>
          </w:tcPr>
          <w:p w14:paraId="79715726" w14:textId="77777777" w:rsidR="004A0123" w:rsidRPr="000D3D0C" w:rsidRDefault="004A0123" w:rsidP="008A5C11">
            <w:pPr>
              <w:widowControl w:val="0"/>
              <w:autoSpaceDE w:val="0"/>
              <w:autoSpaceDN w:val="0"/>
              <w:adjustRightInd w:val="0"/>
              <w:jc w:val="center"/>
              <w:rPr>
                <w:sz w:val="16"/>
                <w:szCs w:val="16"/>
              </w:rPr>
            </w:pPr>
            <w:r w:rsidRPr="000D3D0C">
              <w:rPr>
                <w:sz w:val="16"/>
                <w:szCs w:val="16"/>
              </w:rPr>
              <w:t>2029</w:t>
            </w:r>
          </w:p>
        </w:tc>
        <w:tc>
          <w:tcPr>
            <w:tcW w:w="117" w:type="pct"/>
            <w:vAlign w:val="center"/>
          </w:tcPr>
          <w:p w14:paraId="0C29479E" w14:textId="77777777" w:rsidR="004A0123" w:rsidRPr="000D3D0C" w:rsidRDefault="004A0123" w:rsidP="008A5C11">
            <w:pPr>
              <w:widowControl w:val="0"/>
              <w:autoSpaceDE w:val="0"/>
              <w:autoSpaceDN w:val="0"/>
              <w:adjustRightInd w:val="0"/>
              <w:jc w:val="center"/>
              <w:rPr>
                <w:sz w:val="16"/>
                <w:szCs w:val="16"/>
              </w:rPr>
            </w:pPr>
            <w:r w:rsidRPr="000D3D0C">
              <w:rPr>
                <w:sz w:val="16"/>
                <w:szCs w:val="16"/>
              </w:rPr>
              <w:t>2030</w:t>
            </w:r>
          </w:p>
        </w:tc>
      </w:tr>
      <w:tr w:rsidR="004A0123" w:rsidRPr="000D3D0C" w14:paraId="665F6E85" w14:textId="77777777" w:rsidTr="008A5C11">
        <w:trPr>
          <w:trHeight w:val="23"/>
          <w:jc w:val="center"/>
        </w:trPr>
        <w:tc>
          <w:tcPr>
            <w:tcW w:w="134" w:type="pct"/>
            <w:tcMar>
              <w:top w:w="62" w:type="dxa"/>
              <w:left w:w="28" w:type="dxa"/>
              <w:bottom w:w="102" w:type="dxa"/>
              <w:right w:w="28" w:type="dxa"/>
            </w:tcMar>
            <w:vAlign w:val="center"/>
          </w:tcPr>
          <w:p w14:paraId="5ACF9530" w14:textId="77777777" w:rsidR="004A0123" w:rsidRPr="000D3D0C" w:rsidRDefault="004A0123" w:rsidP="008A5C11">
            <w:pPr>
              <w:jc w:val="center"/>
              <w:rPr>
                <w:sz w:val="16"/>
                <w:szCs w:val="16"/>
              </w:rPr>
            </w:pPr>
            <w:r w:rsidRPr="000D3D0C">
              <w:rPr>
                <w:sz w:val="16"/>
                <w:szCs w:val="16"/>
              </w:rPr>
              <w:t>1</w:t>
            </w:r>
          </w:p>
        </w:tc>
        <w:tc>
          <w:tcPr>
            <w:tcW w:w="533" w:type="pct"/>
            <w:tcMar>
              <w:top w:w="62" w:type="dxa"/>
              <w:left w:w="28" w:type="dxa"/>
              <w:bottom w:w="102" w:type="dxa"/>
              <w:right w:w="28" w:type="dxa"/>
            </w:tcMar>
            <w:vAlign w:val="center"/>
          </w:tcPr>
          <w:p w14:paraId="689B27EE" w14:textId="77777777" w:rsidR="004A0123" w:rsidRPr="000D3D0C" w:rsidRDefault="004A0123" w:rsidP="008A5C11">
            <w:pPr>
              <w:jc w:val="center"/>
              <w:rPr>
                <w:color w:val="000000"/>
                <w:sz w:val="16"/>
                <w:szCs w:val="16"/>
              </w:rPr>
            </w:pPr>
            <w:r w:rsidRPr="000D3D0C">
              <w:rPr>
                <w:color w:val="000000"/>
                <w:sz w:val="16"/>
                <w:szCs w:val="16"/>
              </w:rPr>
              <w:t>Котельная Центральна</w:t>
            </w:r>
          </w:p>
        </w:tc>
        <w:tc>
          <w:tcPr>
            <w:tcW w:w="320" w:type="pct"/>
            <w:shd w:val="clear" w:color="auto" w:fill="auto"/>
            <w:tcMar>
              <w:left w:w="28" w:type="dxa"/>
              <w:right w:w="28" w:type="dxa"/>
            </w:tcMar>
            <w:vAlign w:val="center"/>
          </w:tcPr>
          <w:p w14:paraId="2357B8F8" w14:textId="77777777" w:rsidR="004A0123" w:rsidRPr="000D3D0C" w:rsidRDefault="004A0123" w:rsidP="008A5C11">
            <w:pPr>
              <w:jc w:val="center"/>
              <w:rPr>
                <w:sz w:val="16"/>
                <w:szCs w:val="16"/>
              </w:rPr>
            </w:pPr>
            <w:r w:rsidRPr="000D3D0C">
              <w:rPr>
                <w:sz w:val="16"/>
                <w:szCs w:val="16"/>
              </w:rPr>
              <w:t>16</w:t>
            </w:r>
          </w:p>
        </w:tc>
        <w:tc>
          <w:tcPr>
            <w:tcW w:w="187" w:type="pct"/>
            <w:shd w:val="clear" w:color="auto" w:fill="auto"/>
            <w:tcMar>
              <w:left w:w="28" w:type="dxa"/>
              <w:right w:w="28" w:type="dxa"/>
            </w:tcMar>
            <w:vAlign w:val="center"/>
          </w:tcPr>
          <w:p w14:paraId="775FBDF5" w14:textId="77777777" w:rsidR="004A0123" w:rsidRPr="000D3D0C" w:rsidRDefault="004A0123" w:rsidP="008A5C11">
            <w:pPr>
              <w:jc w:val="center"/>
              <w:rPr>
                <w:sz w:val="16"/>
                <w:szCs w:val="16"/>
              </w:rPr>
            </w:pPr>
            <w:r w:rsidRPr="000D3D0C">
              <w:rPr>
                <w:sz w:val="16"/>
                <w:szCs w:val="16"/>
              </w:rPr>
              <w:t>17</w:t>
            </w:r>
          </w:p>
        </w:tc>
        <w:tc>
          <w:tcPr>
            <w:tcW w:w="193" w:type="pct"/>
            <w:shd w:val="clear" w:color="auto" w:fill="auto"/>
            <w:tcMar>
              <w:left w:w="28" w:type="dxa"/>
              <w:right w:w="28" w:type="dxa"/>
            </w:tcMar>
            <w:vAlign w:val="center"/>
          </w:tcPr>
          <w:p w14:paraId="2F07653A" w14:textId="77777777" w:rsidR="004A0123" w:rsidRPr="000D3D0C" w:rsidRDefault="004A0123" w:rsidP="008A5C11">
            <w:pPr>
              <w:jc w:val="center"/>
              <w:rPr>
                <w:sz w:val="16"/>
                <w:szCs w:val="16"/>
              </w:rPr>
            </w:pPr>
            <w:r w:rsidRPr="000D3D0C">
              <w:rPr>
                <w:sz w:val="16"/>
                <w:szCs w:val="16"/>
              </w:rPr>
              <w:t>18</w:t>
            </w:r>
          </w:p>
        </w:tc>
        <w:tc>
          <w:tcPr>
            <w:tcW w:w="193" w:type="pct"/>
            <w:shd w:val="clear" w:color="auto" w:fill="auto"/>
            <w:tcMar>
              <w:left w:w="28" w:type="dxa"/>
              <w:right w:w="28" w:type="dxa"/>
            </w:tcMar>
            <w:vAlign w:val="center"/>
          </w:tcPr>
          <w:p w14:paraId="49C33A69" w14:textId="77777777" w:rsidR="004A0123" w:rsidRPr="000D3D0C" w:rsidRDefault="004A0123" w:rsidP="008A5C11">
            <w:pPr>
              <w:jc w:val="center"/>
              <w:rPr>
                <w:sz w:val="16"/>
                <w:szCs w:val="16"/>
              </w:rPr>
            </w:pPr>
            <w:r w:rsidRPr="000D3D0C">
              <w:rPr>
                <w:sz w:val="16"/>
                <w:szCs w:val="16"/>
              </w:rPr>
              <w:t>19</w:t>
            </w:r>
          </w:p>
        </w:tc>
        <w:tc>
          <w:tcPr>
            <w:tcW w:w="193" w:type="pct"/>
            <w:shd w:val="clear" w:color="auto" w:fill="auto"/>
            <w:vAlign w:val="center"/>
          </w:tcPr>
          <w:p w14:paraId="61A4ADE7" w14:textId="77777777" w:rsidR="004A0123" w:rsidRPr="000D3D0C" w:rsidRDefault="004A0123" w:rsidP="008A5C11">
            <w:pPr>
              <w:jc w:val="center"/>
              <w:rPr>
                <w:sz w:val="16"/>
                <w:szCs w:val="16"/>
              </w:rPr>
            </w:pPr>
            <w:r w:rsidRPr="000D3D0C">
              <w:rPr>
                <w:sz w:val="16"/>
                <w:szCs w:val="16"/>
              </w:rPr>
              <w:t>20</w:t>
            </w:r>
          </w:p>
        </w:tc>
        <w:tc>
          <w:tcPr>
            <w:tcW w:w="182" w:type="pct"/>
            <w:shd w:val="clear" w:color="auto" w:fill="auto"/>
            <w:vAlign w:val="center"/>
          </w:tcPr>
          <w:p w14:paraId="05B05601" w14:textId="77777777" w:rsidR="004A0123" w:rsidRPr="000D3D0C" w:rsidRDefault="004A0123" w:rsidP="008A5C11">
            <w:pPr>
              <w:jc w:val="center"/>
              <w:rPr>
                <w:sz w:val="16"/>
                <w:szCs w:val="16"/>
              </w:rPr>
            </w:pPr>
            <w:r w:rsidRPr="000D3D0C">
              <w:rPr>
                <w:sz w:val="16"/>
                <w:szCs w:val="16"/>
              </w:rPr>
              <w:t>21</w:t>
            </w:r>
          </w:p>
        </w:tc>
        <w:tc>
          <w:tcPr>
            <w:tcW w:w="182" w:type="pct"/>
            <w:shd w:val="clear" w:color="auto" w:fill="auto"/>
            <w:tcMar>
              <w:left w:w="28" w:type="dxa"/>
              <w:right w:w="28" w:type="dxa"/>
            </w:tcMar>
            <w:vAlign w:val="center"/>
          </w:tcPr>
          <w:p w14:paraId="58E02B18" w14:textId="77777777" w:rsidR="004A0123" w:rsidRPr="000D3D0C" w:rsidRDefault="004A0123" w:rsidP="008A5C11">
            <w:pPr>
              <w:jc w:val="center"/>
              <w:rPr>
                <w:sz w:val="16"/>
                <w:szCs w:val="16"/>
              </w:rPr>
            </w:pPr>
            <w:r w:rsidRPr="000D3D0C">
              <w:rPr>
                <w:sz w:val="16"/>
                <w:szCs w:val="16"/>
              </w:rPr>
              <w:t>22</w:t>
            </w:r>
          </w:p>
        </w:tc>
        <w:tc>
          <w:tcPr>
            <w:tcW w:w="182" w:type="pct"/>
            <w:shd w:val="clear" w:color="auto" w:fill="auto"/>
            <w:tcMar>
              <w:left w:w="28" w:type="dxa"/>
              <w:right w:w="28" w:type="dxa"/>
            </w:tcMar>
            <w:vAlign w:val="center"/>
          </w:tcPr>
          <w:p w14:paraId="2AE2238B" w14:textId="77777777" w:rsidR="004A0123" w:rsidRPr="000D3D0C" w:rsidRDefault="004A0123" w:rsidP="008A5C11">
            <w:pPr>
              <w:jc w:val="center"/>
              <w:rPr>
                <w:sz w:val="16"/>
                <w:szCs w:val="16"/>
              </w:rPr>
            </w:pPr>
            <w:r w:rsidRPr="000D3D0C">
              <w:rPr>
                <w:sz w:val="16"/>
                <w:szCs w:val="16"/>
              </w:rPr>
              <w:t>23</w:t>
            </w:r>
          </w:p>
        </w:tc>
        <w:tc>
          <w:tcPr>
            <w:tcW w:w="182" w:type="pct"/>
            <w:shd w:val="clear" w:color="auto" w:fill="auto"/>
            <w:tcMar>
              <w:left w:w="28" w:type="dxa"/>
              <w:right w:w="28" w:type="dxa"/>
            </w:tcMar>
            <w:vAlign w:val="center"/>
          </w:tcPr>
          <w:p w14:paraId="407A4D95" w14:textId="77777777" w:rsidR="004A0123" w:rsidRPr="000D3D0C" w:rsidRDefault="004A0123" w:rsidP="008A5C11">
            <w:pPr>
              <w:jc w:val="center"/>
              <w:rPr>
                <w:sz w:val="16"/>
                <w:szCs w:val="16"/>
              </w:rPr>
            </w:pPr>
            <w:r w:rsidRPr="000D3D0C">
              <w:rPr>
                <w:sz w:val="16"/>
                <w:szCs w:val="16"/>
              </w:rPr>
              <w:t>24</w:t>
            </w:r>
          </w:p>
        </w:tc>
        <w:tc>
          <w:tcPr>
            <w:tcW w:w="182" w:type="pct"/>
            <w:shd w:val="clear" w:color="auto" w:fill="auto"/>
            <w:tcMar>
              <w:left w:w="28" w:type="dxa"/>
              <w:right w:w="28" w:type="dxa"/>
            </w:tcMar>
            <w:vAlign w:val="center"/>
          </w:tcPr>
          <w:p w14:paraId="2EFF2EE9" w14:textId="77777777" w:rsidR="004A0123" w:rsidRPr="000D3D0C" w:rsidRDefault="004A0123" w:rsidP="008A5C11">
            <w:pPr>
              <w:jc w:val="center"/>
              <w:rPr>
                <w:sz w:val="16"/>
                <w:szCs w:val="16"/>
              </w:rPr>
            </w:pPr>
            <w:r w:rsidRPr="000D3D0C">
              <w:rPr>
                <w:sz w:val="16"/>
                <w:szCs w:val="16"/>
              </w:rPr>
              <w:t>25</w:t>
            </w:r>
          </w:p>
        </w:tc>
        <w:tc>
          <w:tcPr>
            <w:tcW w:w="214" w:type="pct"/>
            <w:shd w:val="clear" w:color="auto" w:fill="auto"/>
            <w:vAlign w:val="center"/>
          </w:tcPr>
          <w:p w14:paraId="0EB77C0F" w14:textId="77777777" w:rsidR="004A0123" w:rsidRPr="000D3D0C" w:rsidRDefault="004A0123" w:rsidP="008A5C11">
            <w:pPr>
              <w:jc w:val="center"/>
              <w:rPr>
                <w:sz w:val="16"/>
                <w:szCs w:val="16"/>
              </w:rPr>
            </w:pPr>
            <w:r w:rsidRPr="000D3D0C">
              <w:rPr>
                <w:sz w:val="16"/>
                <w:szCs w:val="16"/>
              </w:rPr>
              <w:t>26</w:t>
            </w:r>
          </w:p>
        </w:tc>
        <w:tc>
          <w:tcPr>
            <w:tcW w:w="368" w:type="pct"/>
            <w:shd w:val="clear" w:color="auto" w:fill="auto"/>
            <w:tcMar>
              <w:left w:w="28" w:type="dxa"/>
              <w:right w:w="28" w:type="dxa"/>
            </w:tcMar>
            <w:vAlign w:val="center"/>
          </w:tcPr>
          <w:p w14:paraId="301F1601" w14:textId="77777777" w:rsidR="004A0123" w:rsidRPr="000D3D0C" w:rsidRDefault="004A0123" w:rsidP="008A5C11">
            <w:pPr>
              <w:jc w:val="center"/>
              <w:rPr>
                <w:sz w:val="16"/>
                <w:szCs w:val="16"/>
              </w:rPr>
            </w:pPr>
            <w:r w:rsidRPr="000D3D0C">
              <w:rPr>
                <w:sz w:val="16"/>
                <w:szCs w:val="16"/>
              </w:rPr>
              <w:t>4,49</w:t>
            </w:r>
          </w:p>
        </w:tc>
        <w:tc>
          <w:tcPr>
            <w:tcW w:w="182" w:type="pct"/>
            <w:shd w:val="clear" w:color="auto" w:fill="auto"/>
            <w:tcMar>
              <w:left w:w="28" w:type="dxa"/>
              <w:right w:w="28" w:type="dxa"/>
            </w:tcMar>
            <w:vAlign w:val="center"/>
          </w:tcPr>
          <w:p w14:paraId="339BF3F0" w14:textId="77777777" w:rsidR="004A0123" w:rsidRPr="000D3D0C" w:rsidRDefault="004A0123" w:rsidP="008A5C11">
            <w:pPr>
              <w:jc w:val="center"/>
              <w:rPr>
                <w:sz w:val="16"/>
                <w:szCs w:val="16"/>
              </w:rPr>
            </w:pPr>
            <w:r w:rsidRPr="000D3D0C">
              <w:rPr>
                <w:sz w:val="16"/>
                <w:szCs w:val="16"/>
              </w:rPr>
              <w:t>4,49</w:t>
            </w:r>
          </w:p>
        </w:tc>
        <w:tc>
          <w:tcPr>
            <w:tcW w:w="182" w:type="pct"/>
            <w:shd w:val="clear" w:color="auto" w:fill="auto"/>
            <w:tcMar>
              <w:left w:w="28" w:type="dxa"/>
              <w:right w:w="28" w:type="dxa"/>
            </w:tcMar>
            <w:vAlign w:val="center"/>
          </w:tcPr>
          <w:p w14:paraId="00EA1449" w14:textId="77777777" w:rsidR="004A0123" w:rsidRPr="000D3D0C" w:rsidRDefault="004A0123" w:rsidP="008A5C11">
            <w:pPr>
              <w:jc w:val="center"/>
              <w:rPr>
                <w:sz w:val="16"/>
                <w:szCs w:val="16"/>
              </w:rPr>
            </w:pPr>
            <w:r w:rsidRPr="000D3D0C">
              <w:rPr>
                <w:sz w:val="16"/>
                <w:szCs w:val="16"/>
              </w:rPr>
              <w:t>4,49</w:t>
            </w:r>
          </w:p>
        </w:tc>
        <w:tc>
          <w:tcPr>
            <w:tcW w:w="182" w:type="pct"/>
            <w:shd w:val="clear" w:color="auto" w:fill="auto"/>
            <w:tcMar>
              <w:left w:w="28" w:type="dxa"/>
              <w:right w:w="28" w:type="dxa"/>
            </w:tcMar>
            <w:vAlign w:val="center"/>
          </w:tcPr>
          <w:p w14:paraId="2F18DCAF" w14:textId="77777777" w:rsidR="004A0123" w:rsidRPr="000D3D0C" w:rsidRDefault="004A0123" w:rsidP="008A5C11">
            <w:pPr>
              <w:jc w:val="center"/>
              <w:rPr>
                <w:sz w:val="16"/>
                <w:szCs w:val="16"/>
              </w:rPr>
            </w:pPr>
            <w:r w:rsidRPr="000D3D0C">
              <w:rPr>
                <w:sz w:val="16"/>
                <w:szCs w:val="16"/>
              </w:rPr>
              <w:t>4,49</w:t>
            </w:r>
          </w:p>
        </w:tc>
        <w:tc>
          <w:tcPr>
            <w:tcW w:w="182" w:type="pct"/>
            <w:shd w:val="clear" w:color="auto" w:fill="auto"/>
            <w:vAlign w:val="center"/>
          </w:tcPr>
          <w:p w14:paraId="67D6E6D6" w14:textId="77777777" w:rsidR="004A0123" w:rsidRPr="000D3D0C" w:rsidRDefault="004A0123" w:rsidP="008A5C11">
            <w:pPr>
              <w:jc w:val="center"/>
              <w:rPr>
                <w:sz w:val="16"/>
                <w:szCs w:val="16"/>
              </w:rPr>
            </w:pPr>
            <w:r w:rsidRPr="000D3D0C">
              <w:rPr>
                <w:sz w:val="16"/>
                <w:szCs w:val="16"/>
              </w:rPr>
              <w:t>4,49</w:t>
            </w:r>
          </w:p>
        </w:tc>
        <w:tc>
          <w:tcPr>
            <w:tcW w:w="182" w:type="pct"/>
            <w:shd w:val="clear" w:color="auto" w:fill="auto"/>
            <w:vAlign w:val="center"/>
          </w:tcPr>
          <w:p w14:paraId="3A628D1A" w14:textId="77777777" w:rsidR="004A0123" w:rsidRPr="000D3D0C" w:rsidRDefault="004A0123" w:rsidP="008A5C11">
            <w:pPr>
              <w:jc w:val="center"/>
              <w:rPr>
                <w:sz w:val="16"/>
                <w:szCs w:val="16"/>
              </w:rPr>
            </w:pPr>
            <w:r w:rsidRPr="000D3D0C">
              <w:rPr>
                <w:sz w:val="16"/>
                <w:szCs w:val="16"/>
              </w:rPr>
              <w:t>4,49</w:t>
            </w:r>
          </w:p>
        </w:tc>
        <w:tc>
          <w:tcPr>
            <w:tcW w:w="182" w:type="pct"/>
            <w:shd w:val="clear" w:color="auto" w:fill="auto"/>
            <w:tcMar>
              <w:left w:w="28" w:type="dxa"/>
              <w:right w:w="28" w:type="dxa"/>
            </w:tcMar>
            <w:vAlign w:val="center"/>
          </w:tcPr>
          <w:p w14:paraId="71CBE912" w14:textId="77777777" w:rsidR="004A0123" w:rsidRPr="000D3D0C" w:rsidRDefault="004A0123" w:rsidP="008A5C11">
            <w:pPr>
              <w:jc w:val="center"/>
              <w:rPr>
                <w:sz w:val="16"/>
                <w:szCs w:val="16"/>
              </w:rPr>
            </w:pPr>
            <w:r w:rsidRPr="000D3D0C">
              <w:rPr>
                <w:sz w:val="16"/>
                <w:szCs w:val="16"/>
              </w:rPr>
              <w:t>4,49</w:t>
            </w:r>
          </w:p>
        </w:tc>
        <w:tc>
          <w:tcPr>
            <w:tcW w:w="182" w:type="pct"/>
            <w:shd w:val="clear" w:color="auto" w:fill="auto"/>
            <w:tcMar>
              <w:left w:w="28" w:type="dxa"/>
              <w:right w:w="28" w:type="dxa"/>
            </w:tcMar>
            <w:vAlign w:val="center"/>
          </w:tcPr>
          <w:p w14:paraId="36B95472" w14:textId="77777777" w:rsidR="004A0123" w:rsidRPr="000D3D0C" w:rsidRDefault="004A0123" w:rsidP="008A5C11">
            <w:pPr>
              <w:jc w:val="center"/>
              <w:rPr>
                <w:sz w:val="16"/>
                <w:szCs w:val="16"/>
              </w:rPr>
            </w:pPr>
            <w:r w:rsidRPr="000D3D0C">
              <w:rPr>
                <w:sz w:val="16"/>
                <w:szCs w:val="16"/>
              </w:rPr>
              <w:t>4,49</w:t>
            </w:r>
          </w:p>
        </w:tc>
        <w:tc>
          <w:tcPr>
            <w:tcW w:w="182" w:type="pct"/>
            <w:shd w:val="clear" w:color="auto" w:fill="auto"/>
            <w:tcMar>
              <w:left w:w="28" w:type="dxa"/>
              <w:right w:w="28" w:type="dxa"/>
            </w:tcMar>
            <w:vAlign w:val="center"/>
          </w:tcPr>
          <w:p w14:paraId="7EE96B75" w14:textId="77777777" w:rsidR="004A0123" w:rsidRPr="000D3D0C" w:rsidRDefault="004A0123" w:rsidP="008A5C11">
            <w:pPr>
              <w:jc w:val="center"/>
              <w:rPr>
                <w:sz w:val="16"/>
                <w:szCs w:val="16"/>
              </w:rPr>
            </w:pPr>
            <w:r w:rsidRPr="000D3D0C">
              <w:rPr>
                <w:sz w:val="16"/>
                <w:szCs w:val="16"/>
              </w:rPr>
              <w:t>4,49</w:t>
            </w:r>
          </w:p>
        </w:tc>
        <w:tc>
          <w:tcPr>
            <w:tcW w:w="182" w:type="pct"/>
            <w:shd w:val="clear" w:color="auto" w:fill="auto"/>
            <w:tcMar>
              <w:left w:w="28" w:type="dxa"/>
              <w:right w:w="28" w:type="dxa"/>
            </w:tcMar>
            <w:vAlign w:val="center"/>
          </w:tcPr>
          <w:p w14:paraId="5BCC63BC" w14:textId="77777777" w:rsidR="004A0123" w:rsidRPr="000D3D0C" w:rsidRDefault="004A0123" w:rsidP="008A5C11">
            <w:pPr>
              <w:jc w:val="center"/>
              <w:rPr>
                <w:sz w:val="16"/>
                <w:szCs w:val="16"/>
              </w:rPr>
            </w:pPr>
            <w:r w:rsidRPr="000D3D0C">
              <w:rPr>
                <w:sz w:val="16"/>
                <w:szCs w:val="16"/>
              </w:rPr>
              <w:t>4,49</w:t>
            </w:r>
          </w:p>
        </w:tc>
        <w:tc>
          <w:tcPr>
            <w:tcW w:w="117" w:type="pct"/>
            <w:shd w:val="clear" w:color="auto" w:fill="auto"/>
            <w:vAlign w:val="center"/>
          </w:tcPr>
          <w:p w14:paraId="4B1B036E" w14:textId="77777777" w:rsidR="004A0123" w:rsidRPr="000D3D0C" w:rsidRDefault="004A0123" w:rsidP="008A5C11">
            <w:pPr>
              <w:jc w:val="center"/>
              <w:rPr>
                <w:sz w:val="16"/>
                <w:szCs w:val="16"/>
              </w:rPr>
            </w:pPr>
            <w:r w:rsidRPr="000D3D0C">
              <w:rPr>
                <w:sz w:val="16"/>
                <w:szCs w:val="16"/>
              </w:rPr>
              <w:t>4,49</w:t>
            </w:r>
          </w:p>
        </w:tc>
      </w:tr>
      <w:tr w:rsidR="004A0123" w:rsidRPr="000D3D0C" w14:paraId="2BAB90CD" w14:textId="77777777" w:rsidTr="008A5C11">
        <w:trPr>
          <w:trHeight w:val="148"/>
          <w:jc w:val="center"/>
        </w:trPr>
        <w:tc>
          <w:tcPr>
            <w:tcW w:w="134" w:type="pct"/>
            <w:tcMar>
              <w:top w:w="62" w:type="dxa"/>
              <w:left w:w="28" w:type="dxa"/>
              <w:bottom w:w="102" w:type="dxa"/>
              <w:right w:w="28" w:type="dxa"/>
            </w:tcMar>
            <w:vAlign w:val="center"/>
          </w:tcPr>
          <w:p w14:paraId="761FE32B" w14:textId="77777777" w:rsidR="004A0123" w:rsidRPr="000D3D0C" w:rsidRDefault="004A0123" w:rsidP="008A5C11">
            <w:pPr>
              <w:jc w:val="center"/>
              <w:rPr>
                <w:sz w:val="16"/>
                <w:szCs w:val="16"/>
              </w:rPr>
            </w:pPr>
            <w:r w:rsidRPr="000D3D0C">
              <w:rPr>
                <w:sz w:val="16"/>
                <w:szCs w:val="16"/>
              </w:rPr>
              <w:t>2</w:t>
            </w:r>
          </w:p>
        </w:tc>
        <w:tc>
          <w:tcPr>
            <w:tcW w:w="533" w:type="pct"/>
            <w:tcMar>
              <w:top w:w="62" w:type="dxa"/>
              <w:left w:w="28" w:type="dxa"/>
              <w:bottom w:w="102" w:type="dxa"/>
              <w:right w:w="28" w:type="dxa"/>
            </w:tcMar>
            <w:vAlign w:val="center"/>
          </w:tcPr>
          <w:p w14:paraId="405AD651" w14:textId="77777777" w:rsidR="004A0123" w:rsidRPr="000D3D0C" w:rsidRDefault="004A0123" w:rsidP="008A5C11">
            <w:pPr>
              <w:jc w:val="center"/>
              <w:rPr>
                <w:color w:val="000000"/>
                <w:sz w:val="16"/>
                <w:szCs w:val="16"/>
              </w:rPr>
            </w:pPr>
            <w:r w:rsidRPr="000D3D0C">
              <w:rPr>
                <w:color w:val="000000"/>
                <w:sz w:val="16"/>
                <w:szCs w:val="16"/>
              </w:rPr>
              <w:t>Котельная №1</w:t>
            </w:r>
          </w:p>
        </w:tc>
        <w:tc>
          <w:tcPr>
            <w:tcW w:w="320" w:type="pct"/>
            <w:shd w:val="clear" w:color="auto" w:fill="auto"/>
            <w:tcMar>
              <w:left w:w="28" w:type="dxa"/>
              <w:right w:w="28" w:type="dxa"/>
            </w:tcMar>
            <w:vAlign w:val="center"/>
          </w:tcPr>
          <w:p w14:paraId="77DCB844" w14:textId="77777777" w:rsidR="004A0123" w:rsidRPr="000D3D0C" w:rsidRDefault="004A0123" w:rsidP="008A5C11">
            <w:pPr>
              <w:jc w:val="center"/>
              <w:rPr>
                <w:color w:val="000000"/>
                <w:sz w:val="16"/>
                <w:szCs w:val="16"/>
              </w:rPr>
            </w:pPr>
            <w:r w:rsidRPr="000D3D0C">
              <w:rPr>
                <w:color w:val="000000"/>
                <w:sz w:val="16"/>
                <w:szCs w:val="16"/>
              </w:rPr>
              <w:t>1,87</w:t>
            </w:r>
          </w:p>
        </w:tc>
        <w:tc>
          <w:tcPr>
            <w:tcW w:w="187" w:type="pct"/>
            <w:shd w:val="clear" w:color="auto" w:fill="auto"/>
            <w:tcMar>
              <w:left w:w="28" w:type="dxa"/>
              <w:right w:w="28" w:type="dxa"/>
            </w:tcMar>
            <w:vAlign w:val="center"/>
          </w:tcPr>
          <w:p w14:paraId="6995F68C" w14:textId="77777777" w:rsidR="004A0123" w:rsidRPr="000D3D0C" w:rsidRDefault="004A0123" w:rsidP="008A5C11">
            <w:pPr>
              <w:jc w:val="center"/>
              <w:rPr>
                <w:color w:val="000000"/>
                <w:sz w:val="16"/>
                <w:szCs w:val="16"/>
              </w:rPr>
            </w:pPr>
            <w:r w:rsidRPr="000D3D0C">
              <w:rPr>
                <w:color w:val="000000"/>
                <w:sz w:val="16"/>
                <w:szCs w:val="16"/>
              </w:rPr>
              <w:t>1,87</w:t>
            </w:r>
          </w:p>
        </w:tc>
        <w:tc>
          <w:tcPr>
            <w:tcW w:w="193" w:type="pct"/>
            <w:shd w:val="clear" w:color="auto" w:fill="auto"/>
            <w:tcMar>
              <w:left w:w="28" w:type="dxa"/>
              <w:right w:w="28" w:type="dxa"/>
            </w:tcMar>
            <w:vAlign w:val="center"/>
          </w:tcPr>
          <w:p w14:paraId="39203DCA" w14:textId="77777777" w:rsidR="004A0123" w:rsidRPr="000D3D0C" w:rsidRDefault="004A0123" w:rsidP="008A5C11">
            <w:pPr>
              <w:jc w:val="center"/>
              <w:rPr>
                <w:color w:val="000000"/>
                <w:sz w:val="16"/>
                <w:szCs w:val="16"/>
              </w:rPr>
            </w:pPr>
            <w:r w:rsidRPr="000D3D0C">
              <w:rPr>
                <w:color w:val="000000"/>
                <w:sz w:val="16"/>
                <w:szCs w:val="16"/>
              </w:rPr>
              <w:t>1,87</w:t>
            </w:r>
          </w:p>
        </w:tc>
        <w:tc>
          <w:tcPr>
            <w:tcW w:w="193" w:type="pct"/>
            <w:shd w:val="clear" w:color="auto" w:fill="auto"/>
            <w:tcMar>
              <w:left w:w="28" w:type="dxa"/>
              <w:right w:w="28" w:type="dxa"/>
            </w:tcMar>
            <w:vAlign w:val="center"/>
          </w:tcPr>
          <w:p w14:paraId="24EF3B90" w14:textId="77777777" w:rsidR="004A0123" w:rsidRPr="000D3D0C" w:rsidRDefault="004A0123" w:rsidP="008A5C11">
            <w:pPr>
              <w:jc w:val="center"/>
              <w:rPr>
                <w:color w:val="000000"/>
                <w:sz w:val="16"/>
                <w:szCs w:val="16"/>
              </w:rPr>
            </w:pPr>
            <w:r w:rsidRPr="000D3D0C">
              <w:rPr>
                <w:color w:val="000000"/>
                <w:sz w:val="16"/>
                <w:szCs w:val="16"/>
              </w:rPr>
              <w:t>1,87</w:t>
            </w:r>
          </w:p>
        </w:tc>
        <w:tc>
          <w:tcPr>
            <w:tcW w:w="193" w:type="pct"/>
            <w:shd w:val="clear" w:color="auto" w:fill="auto"/>
            <w:vAlign w:val="center"/>
          </w:tcPr>
          <w:p w14:paraId="08CCBA3D" w14:textId="77777777" w:rsidR="004A0123" w:rsidRPr="000D3D0C" w:rsidRDefault="004A0123" w:rsidP="008A5C11">
            <w:pPr>
              <w:jc w:val="center"/>
              <w:rPr>
                <w:color w:val="000000"/>
                <w:sz w:val="16"/>
                <w:szCs w:val="16"/>
              </w:rPr>
            </w:pPr>
            <w:r w:rsidRPr="000D3D0C">
              <w:rPr>
                <w:color w:val="000000"/>
                <w:sz w:val="16"/>
                <w:szCs w:val="16"/>
              </w:rPr>
              <w:t>1,87</w:t>
            </w:r>
          </w:p>
        </w:tc>
        <w:tc>
          <w:tcPr>
            <w:tcW w:w="182" w:type="pct"/>
            <w:shd w:val="clear" w:color="auto" w:fill="auto"/>
            <w:vAlign w:val="center"/>
          </w:tcPr>
          <w:p w14:paraId="31116F1B" w14:textId="77777777" w:rsidR="004A0123" w:rsidRPr="000D3D0C" w:rsidRDefault="004A0123" w:rsidP="008A5C11">
            <w:pPr>
              <w:jc w:val="center"/>
              <w:rPr>
                <w:color w:val="000000"/>
                <w:sz w:val="16"/>
                <w:szCs w:val="16"/>
              </w:rPr>
            </w:pPr>
            <w:r w:rsidRPr="000D3D0C">
              <w:rPr>
                <w:color w:val="000000"/>
                <w:sz w:val="16"/>
                <w:szCs w:val="16"/>
              </w:rPr>
              <w:t>1,87</w:t>
            </w:r>
          </w:p>
        </w:tc>
        <w:tc>
          <w:tcPr>
            <w:tcW w:w="182" w:type="pct"/>
            <w:shd w:val="clear" w:color="auto" w:fill="auto"/>
            <w:tcMar>
              <w:left w:w="28" w:type="dxa"/>
              <w:right w:w="28" w:type="dxa"/>
            </w:tcMar>
            <w:vAlign w:val="center"/>
          </w:tcPr>
          <w:p w14:paraId="04E03A73" w14:textId="77777777" w:rsidR="004A0123" w:rsidRPr="000D3D0C" w:rsidRDefault="004A0123" w:rsidP="008A5C11">
            <w:pPr>
              <w:jc w:val="center"/>
              <w:rPr>
                <w:color w:val="000000"/>
                <w:sz w:val="16"/>
                <w:szCs w:val="16"/>
              </w:rPr>
            </w:pPr>
            <w:r w:rsidRPr="000D3D0C">
              <w:rPr>
                <w:color w:val="000000"/>
                <w:sz w:val="16"/>
                <w:szCs w:val="16"/>
              </w:rPr>
              <w:t>1,87</w:t>
            </w:r>
          </w:p>
        </w:tc>
        <w:tc>
          <w:tcPr>
            <w:tcW w:w="182" w:type="pct"/>
            <w:shd w:val="clear" w:color="auto" w:fill="auto"/>
            <w:tcMar>
              <w:left w:w="28" w:type="dxa"/>
              <w:right w:w="28" w:type="dxa"/>
            </w:tcMar>
            <w:vAlign w:val="center"/>
          </w:tcPr>
          <w:p w14:paraId="292F06E0" w14:textId="77777777" w:rsidR="004A0123" w:rsidRPr="000D3D0C" w:rsidRDefault="004A0123" w:rsidP="008A5C11">
            <w:pPr>
              <w:jc w:val="center"/>
              <w:rPr>
                <w:color w:val="000000"/>
                <w:sz w:val="16"/>
                <w:szCs w:val="16"/>
              </w:rPr>
            </w:pPr>
            <w:r w:rsidRPr="000D3D0C">
              <w:rPr>
                <w:color w:val="000000"/>
                <w:sz w:val="16"/>
                <w:szCs w:val="16"/>
              </w:rPr>
              <w:t>1,87</w:t>
            </w:r>
          </w:p>
        </w:tc>
        <w:tc>
          <w:tcPr>
            <w:tcW w:w="182" w:type="pct"/>
            <w:shd w:val="clear" w:color="auto" w:fill="auto"/>
            <w:tcMar>
              <w:left w:w="28" w:type="dxa"/>
              <w:right w:w="28" w:type="dxa"/>
            </w:tcMar>
            <w:vAlign w:val="center"/>
          </w:tcPr>
          <w:p w14:paraId="0C278297" w14:textId="77777777" w:rsidR="004A0123" w:rsidRPr="000D3D0C" w:rsidRDefault="004A0123" w:rsidP="008A5C11">
            <w:pPr>
              <w:jc w:val="center"/>
              <w:rPr>
                <w:color w:val="000000"/>
                <w:sz w:val="16"/>
                <w:szCs w:val="16"/>
              </w:rPr>
            </w:pPr>
            <w:r w:rsidRPr="000D3D0C">
              <w:rPr>
                <w:color w:val="000000"/>
                <w:sz w:val="16"/>
                <w:szCs w:val="16"/>
              </w:rPr>
              <w:t>1,87</w:t>
            </w:r>
          </w:p>
        </w:tc>
        <w:tc>
          <w:tcPr>
            <w:tcW w:w="182" w:type="pct"/>
            <w:shd w:val="clear" w:color="auto" w:fill="auto"/>
            <w:tcMar>
              <w:left w:w="28" w:type="dxa"/>
              <w:right w:w="28" w:type="dxa"/>
            </w:tcMar>
            <w:vAlign w:val="center"/>
          </w:tcPr>
          <w:p w14:paraId="62C98BB5" w14:textId="77777777" w:rsidR="004A0123" w:rsidRPr="000D3D0C" w:rsidRDefault="004A0123" w:rsidP="008A5C11">
            <w:pPr>
              <w:jc w:val="center"/>
              <w:rPr>
                <w:color w:val="000000"/>
                <w:sz w:val="16"/>
                <w:szCs w:val="16"/>
              </w:rPr>
            </w:pPr>
            <w:r w:rsidRPr="000D3D0C">
              <w:rPr>
                <w:color w:val="000000"/>
                <w:sz w:val="16"/>
                <w:szCs w:val="16"/>
              </w:rPr>
              <w:t>1,87</w:t>
            </w:r>
          </w:p>
        </w:tc>
        <w:tc>
          <w:tcPr>
            <w:tcW w:w="214" w:type="pct"/>
            <w:shd w:val="clear" w:color="auto" w:fill="auto"/>
            <w:vAlign w:val="center"/>
          </w:tcPr>
          <w:p w14:paraId="69018913" w14:textId="77777777" w:rsidR="004A0123" w:rsidRPr="000D3D0C" w:rsidRDefault="004A0123" w:rsidP="008A5C11">
            <w:pPr>
              <w:jc w:val="center"/>
              <w:rPr>
                <w:color w:val="000000"/>
                <w:sz w:val="16"/>
                <w:szCs w:val="16"/>
              </w:rPr>
            </w:pPr>
            <w:r w:rsidRPr="000D3D0C">
              <w:rPr>
                <w:color w:val="000000"/>
                <w:sz w:val="16"/>
                <w:szCs w:val="16"/>
              </w:rPr>
              <w:t>1,87</w:t>
            </w:r>
          </w:p>
        </w:tc>
        <w:tc>
          <w:tcPr>
            <w:tcW w:w="368" w:type="pct"/>
            <w:shd w:val="clear" w:color="auto" w:fill="auto"/>
            <w:tcMar>
              <w:left w:w="28" w:type="dxa"/>
              <w:right w:w="28" w:type="dxa"/>
            </w:tcMar>
            <w:vAlign w:val="center"/>
          </w:tcPr>
          <w:p w14:paraId="7AF49470" w14:textId="77777777" w:rsidR="004A0123" w:rsidRPr="000D3D0C" w:rsidRDefault="004A0123" w:rsidP="008A5C11">
            <w:pPr>
              <w:jc w:val="center"/>
              <w:rPr>
                <w:sz w:val="16"/>
                <w:szCs w:val="16"/>
              </w:rPr>
            </w:pPr>
            <w:r w:rsidRPr="000D3D0C">
              <w:rPr>
                <w:sz w:val="16"/>
                <w:szCs w:val="16"/>
              </w:rPr>
              <w:t>1,41</w:t>
            </w:r>
          </w:p>
        </w:tc>
        <w:tc>
          <w:tcPr>
            <w:tcW w:w="182" w:type="pct"/>
            <w:shd w:val="clear" w:color="auto" w:fill="auto"/>
            <w:tcMar>
              <w:left w:w="28" w:type="dxa"/>
              <w:right w:w="28" w:type="dxa"/>
            </w:tcMar>
            <w:vAlign w:val="center"/>
          </w:tcPr>
          <w:p w14:paraId="13EF742B" w14:textId="77777777" w:rsidR="004A0123" w:rsidRPr="000D3D0C" w:rsidRDefault="004A0123" w:rsidP="008A5C11">
            <w:pPr>
              <w:jc w:val="center"/>
              <w:rPr>
                <w:sz w:val="16"/>
                <w:szCs w:val="16"/>
              </w:rPr>
            </w:pPr>
            <w:r w:rsidRPr="000D3D0C">
              <w:rPr>
                <w:sz w:val="16"/>
                <w:szCs w:val="16"/>
              </w:rPr>
              <w:t>1,41</w:t>
            </w:r>
          </w:p>
        </w:tc>
        <w:tc>
          <w:tcPr>
            <w:tcW w:w="182" w:type="pct"/>
            <w:shd w:val="clear" w:color="auto" w:fill="auto"/>
            <w:tcMar>
              <w:left w:w="28" w:type="dxa"/>
              <w:right w:w="28" w:type="dxa"/>
            </w:tcMar>
            <w:vAlign w:val="center"/>
          </w:tcPr>
          <w:p w14:paraId="64484340" w14:textId="77777777" w:rsidR="004A0123" w:rsidRPr="000D3D0C" w:rsidRDefault="004A0123" w:rsidP="008A5C11">
            <w:pPr>
              <w:jc w:val="center"/>
              <w:rPr>
                <w:sz w:val="16"/>
                <w:szCs w:val="16"/>
              </w:rPr>
            </w:pPr>
            <w:r w:rsidRPr="000D3D0C">
              <w:rPr>
                <w:sz w:val="16"/>
                <w:szCs w:val="16"/>
              </w:rPr>
              <w:t>1,41</w:t>
            </w:r>
          </w:p>
        </w:tc>
        <w:tc>
          <w:tcPr>
            <w:tcW w:w="182" w:type="pct"/>
            <w:shd w:val="clear" w:color="auto" w:fill="auto"/>
            <w:tcMar>
              <w:left w:w="28" w:type="dxa"/>
              <w:right w:w="28" w:type="dxa"/>
            </w:tcMar>
            <w:vAlign w:val="center"/>
          </w:tcPr>
          <w:p w14:paraId="4348DFD7" w14:textId="77777777" w:rsidR="004A0123" w:rsidRPr="000D3D0C" w:rsidRDefault="004A0123" w:rsidP="008A5C11">
            <w:pPr>
              <w:jc w:val="center"/>
              <w:rPr>
                <w:sz w:val="16"/>
                <w:szCs w:val="16"/>
              </w:rPr>
            </w:pPr>
            <w:r w:rsidRPr="000D3D0C">
              <w:rPr>
                <w:sz w:val="16"/>
                <w:szCs w:val="16"/>
              </w:rPr>
              <w:t>1,41</w:t>
            </w:r>
          </w:p>
        </w:tc>
        <w:tc>
          <w:tcPr>
            <w:tcW w:w="182" w:type="pct"/>
            <w:shd w:val="clear" w:color="auto" w:fill="auto"/>
            <w:vAlign w:val="center"/>
          </w:tcPr>
          <w:p w14:paraId="5DC02308" w14:textId="77777777" w:rsidR="004A0123" w:rsidRPr="000D3D0C" w:rsidRDefault="004A0123" w:rsidP="008A5C11">
            <w:pPr>
              <w:jc w:val="center"/>
              <w:rPr>
                <w:sz w:val="16"/>
                <w:szCs w:val="16"/>
              </w:rPr>
            </w:pPr>
            <w:r w:rsidRPr="000D3D0C">
              <w:rPr>
                <w:sz w:val="16"/>
                <w:szCs w:val="16"/>
              </w:rPr>
              <w:t>1,41</w:t>
            </w:r>
          </w:p>
        </w:tc>
        <w:tc>
          <w:tcPr>
            <w:tcW w:w="182" w:type="pct"/>
            <w:shd w:val="clear" w:color="auto" w:fill="auto"/>
            <w:vAlign w:val="center"/>
          </w:tcPr>
          <w:p w14:paraId="2F0CC146" w14:textId="77777777" w:rsidR="004A0123" w:rsidRPr="000D3D0C" w:rsidRDefault="004A0123" w:rsidP="008A5C11">
            <w:pPr>
              <w:jc w:val="center"/>
              <w:rPr>
                <w:sz w:val="16"/>
                <w:szCs w:val="16"/>
              </w:rPr>
            </w:pPr>
            <w:r w:rsidRPr="000D3D0C">
              <w:rPr>
                <w:sz w:val="16"/>
                <w:szCs w:val="16"/>
              </w:rPr>
              <w:t>1,41</w:t>
            </w:r>
          </w:p>
        </w:tc>
        <w:tc>
          <w:tcPr>
            <w:tcW w:w="182" w:type="pct"/>
            <w:shd w:val="clear" w:color="auto" w:fill="auto"/>
            <w:tcMar>
              <w:left w:w="28" w:type="dxa"/>
              <w:right w:w="28" w:type="dxa"/>
            </w:tcMar>
            <w:vAlign w:val="center"/>
          </w:tcPr>
          <w:p w14:paraId="175F6C54" w14:textId="77777777" w:rsidR="004A0123" w:rsidRPr="000D3D0C" w:rsidRDefault="004A0123" w:rsidP="008A5C11">
            <w:pPr>
              <w:jc w:val="center"/>
              <w:rPr>
                <w:sz w:val="16"/>
                <w:szCs w:val="16"/>
              </w:rPr>
            </w:pPr>
            <w:r w:rsidRPr="000D3D0C">
              <w:rPr>
                <w:sz w:val="16"/>
                <w:szCs w:val="16"/>
              </w:rPr>
              <w:t>1,41</w:t>
            </w:r>
          </w:p>
        </w:tc>
        <w:tc>
          <w:tcPr>
            <w:tcW w:w="182" w:type="pct"/>
            <w:shd w:val="clear" w:color="auto" w:fill="auto"/>
            <w:tcMar>
              <w:left w:w="28" w:type="dxa"/>
              <w:right w:w="28" w:type="dxa"/>
            </w:tcMar>
            <w:vAlign w:val="center"/>
          </w:tcPr>
          <w:p w14:paraId="42CB9A72" w14:textId="77777777" w:rsidR="004A0123" w:rsidRPr="000D3D0C" w:rsidRDefault="004A0123" w:rsidP="008A5C11">
            <w:pPr>
              <w:jc w:val="center"/>
              <w:rPr>
                <w:sz w:val="16"/>
                <w:szCs w:val="16"/>
              </w:rPr>
            </w:pPr>
            <w:r w:rsidRPr="000D3D0C">
              <w:rPr>
                <w:sz w:val="16"/>
                <w:szCs w:val="16"/>
              </w:rPr>
              <w:t>1,41</w:t>
            </w:r>
          </w:p>
        </w:tc>
        <w:tc>
          <w:tcPr>
            <w:tcW w:w="182" w:type="pct"/>
            <w:shd w:val="clear" w:color="auto" w:fill="auto"/>
            <w:tcMar>
              <w:left w:w="28" w:type="dxa"/>
              <w:right w:w="28" w:type="dxa"/>
            </w:tcMar>
            <w:vAlign w:val="center"/>
          </w:tcPr>
          <w:p w14:paraId="17F0EFA4" w14:textId="77777777" w:rsidR="004A0123" w:rsidRPr="000D3D0C" w:rsidRDefault="004A0123" w:rsidP="008A5C11">
            <w:pPr>
              <w:jc w:val="center"/>
              <w:rPr>
                <w:sz w:val="16"/>
                <w:szCs w:val="16"/>
              </w:rPr>
            </w:pPr>
            <w:r w:rsidRPr="000D3D0C">
              <w:rPr>
                <w:sz w:val="16"/>
                <w:szCs w:val="16"/>
              </w:rPr>
              <w:t>1,41</w:t>
            </w:r>
          </w:p>
        </w:tc>
        <w:tc>
          <w:tcPr>
            <w:tcW w:w="182" w:type="pct"/>
            <w:shd w:val="clear" w:color="auto" w:fill="auto"/>
            <w:tcMar>
              <w:left w:w="28" w:type="dxa"/>
              <w:right w:w="28" w:type="dxa"/>
            </w:tcMar>
            <w:vAlign w:val="center"/>
          </w:tcPr>
          <w:p w14:paraId="11263375" w14:textId="77777777" w:rsidR="004A0123" w:rsidRPr="000D3D0C" w:rsidRDefault="004A0123" w:rsidP="008A5C11">
            <w:pPr>
              <w:jc w:val="center"/>
              <w:rPr>
                <w:sz w:val="16"/>
                <w:szCs w:val="16"/>
              </w:rPr>
            </w:pPr>
            <w:r w:rsidRPr="000D3D0C">
              <w:rPr>
                <w:sz w:val="16"/>
                <w:szCs w:val="16"/>
              </w:rPr>
              <w:t>1,41</w:t>
            </w:r>
          </w:p>
        </w:tc>
        <w:tc>
          <w:tcPr>
            <w:tcW w:w="117" w:type="pct"/>
            <w:shd w:val="clear" w:color="auto" w:fill="auto"/>
            <w:vAlign w:val="center"/>
          </w:tcPr>
          <w:p w14:paraId="0190D0EC" w14:textId="77777777" w:rsidR="004A0123" w:rsidRPr="000D3D0C" w:rsidRDefault="004A0123" w:rsidP="008A5C11">
            <w:pPr>
              <w:jc w:val="center"/>
              <w:rPr>
                <w:sz w:val="16"/>
                <w:szCs w:val="16"/>
              </w:rPr>
            </w:pPr>
            <w:r w:rsidRPr="000D3D0C">
              <w:rPr>
                <w:sz w:val="16"/>
                <w:szCs w:val="16"/>
              </w:rPr>
              <w:t>1,41</w:t>
            </w:r>
          </w:p>
        </w:tc>
      </w:tr>
      <w:tr w:rsidR="004A0123" w:rsidRPr="000D3D0C" w14:paraId="2F17410F" w14:textId="77777777" w:rsidTr="008A5C11">
        <w:trPr>
          <w:trHeight w:val="148"/>
          <w:jc w:val="center"/>
        </w:trPr>
        <w:tc>
          <w:tcPr>
            <w:tcW w:w="134" w:type="pct"/>
            <w:tcMar>
              <w:top w:w="62" w:type="dxa"/>
              <w:left w:w="28" w:type="dxa"/>
              <w:bottom w:w="102" w:type="dxa"/>
              <w:right w:w="28" w:type="dxa"/>
            </w:tcMar>
            <w:vAlign w:val="center"/>
          </w:tcPr>
          <w:p w14:paraId="6FDEE29C" w14:textId="77777777" w:rsidR="004A0123" w:rsidRPr="000D3D0C" w:rsidRDefault="004A0123" w:rsidP="008A5C11">
            <w:pPr>
              <w:jc w:val="center"/>
              <w:rPr>
                <w:sz w:val="16"/>
                <w:szCs w:val="16"/>
              </w:rPr>
            </w:pPr>
            <w:r w:rsidRPr="000D3D0C">
              <w:rPr>
                <w:sz w:val="16"/>
                <w:szCs w:val="16"/>
              </w:rPr>
              <w:t>3</w:t>
            </w:r>
          </w:p>
        </w:tc>
        <w:tc>
          <w:tcPr>
            <w:tcW w:w="533" w:type="pct"/>
            <w:tcMar>
              <w:top w:w="62" w:type="dxa"/>
              <w:left w:w="28" w:type="dxa"/>
              <w:bottom w:w="102" w:type="dxa"/>
              <w:right w:w="28" w:type="dxa"/>
            </w:tcMar>
            <w:vAlign w:val="center"/>
          </w:tcPr>
          <w:p w14:paraId="54A873B8" w14:textId="77777777" w:rsidR="004A0123" w:rsidRPr="000D3D0C" w:rsidRDefault="004A0123" w:rsidP="008A5C11">
            <w:pPr>
              <w:jc w:val="center"/>
              <w:rPr>
                <w:color w:val="000000"/>
                <w:sz w:val="16"/>
                <w:szCs w:val="16"/>
              </w:rPr>
            </w:pPr>
            <w:r w:rsidRPr="000D3D0C">
              <w:rPr>
                <w:color w:val="000000"/>
                <w:sz w:val="16"/>
                <w:szCs w:val="16"/>
              </w:rPr>
              <w:t>Котельная Кузель</w:t>
            </w:r>
          </w:p>
        </w:tc>
        <w:tc>
          <w:tcPr>
            <w:tcW w:w="320" w:type="pct"/>
            <w:shd w:val="clear" w:color="auto" w:fill="auto"/>
            <w:tcMar>
              <w:left w:w="28" w:type="dxa"/>
              <w:right w:w="28" w:type="dxa"/>
            </w:tcMar>
            <w:vAlign w:val="center"/>
          </w:tcPr>
          <w:p w14:paraId="5D6C316F" w14:textId="77777777" w:rsidR="004A0123" w:rsidRPr="000D3D0C" w:rsidRDefault="004A0123" w:rsidP="008A5C11">
            <w:pPr>
              <w:jc w:val="center"/>
              <w:rPr>
                <w:color w:val="000000"/>
                <w:sz w:val="16"/>
                <w:szCs w:val="16"/>
              </w:rPr>
            </w:pPr>
            <w:r w:rsidRPr="000D3D0C">
              <w:rPr>
                <w:color w:val="000000"/>
                <w:sz w:val="16"/>
                <w:szCs w:val="16"/>
              </w:rPr>
              <w:t>0,99</w:t>
            </w:r>
          </w:p>
        </w:tc>
        <w:tc>
          <w:tcPr>
            <w:tcW w:w="187" w:type="pct"/>
            <w:shd w:val="clear" w:color="auto" w:fill="auto"/>
            <w:tcMar>
              <w:left w:w="28" w:type="dxa"/>
              <w:right w:w="28" w:type="dxa"/>
            </w:tcMar>
            <w:vAlign w:val="center"/>
          </w:tcPr>
          <w:p w14:paraId="1AB15621" w14:textId="77777777" w:rsidR="004A0123" w:rsidRPr="000D3D0C" w:rsidRDefault="004A0123" w:rsidP="008A5C11">
            <w:pPr>
              <w:jc w:val="center"/>
              <w:rPr>
                <w:color w:val="000000"/>
                <w:sz w:val="16"/>
                <w:szCs w:val="16"/>
              </w:rPr>
            </w:pPr>
            <w:r w:rsidRPr="000D3D0C">
              <w:rPr>
                <w:color w:val="000000"/>
                <w:sz w:val="16"/>
                <w:szCs w:val="16"/>
              </w:rPr>
              <w:t>0,99</w:t>
            </w:r>
          </w:p>
        </w:tc>
        <w:tc>
          <w:tcPr>
            <w:tcW w:w="193" w:type="pct"/>
            <w:shd w:val="clear" w:color="auto" w:fill="auto"/>
            <w:tcMar>
              <w:left w:w="28" w:type="dxa"/>
              <w:right w:w="28" w:type="dxa"/>
            </w:tcMar>
            <w:vAlign w:val="center"/>
          </w:tcPr>
          <w:p w14:paraId="2041EB8F" w14:textId="77777777" w:rsidR="004A0123" w:rsidRPr="000D3D0C" w:rsidRDefault="004A0123" w:rsidP="008A5C11">
            <w:pPr>
              <w:jc w:val="center"/>
              <w:rPr>
                <w:color w:val="000000"/>
                <w:sz w:val="16"/>
                <w:szCs w:val="16"/>
              </w:rPr>
            </w:pPr>
            <w:r w:rsidRPr="000D3D0C">
              <w:rPr>
                <w:color w:val="000000"/>
                <w:sz w:val="16"/>
                <w:szCs w:val="16"/>
              </w:rPr>
              <w:t>0,99</w:t>
            </w:r>
          </w:p>
        </w:tc>
        <w:tc>
          <w:tcPr>
            <w:tcW w:w="193" w:type="pct"/>
            <w:shd w:val="clear" w:color="auto" w:fill="auto"/>
            <w:tcMar>
              <w:left w:w="28" w:type="dxa"/>
              <w:right w:w="28" w:type="dxa"/>
            </w:tcMar>
            <w:vAlign w:val="center"/>
          </w:tcPr>
          <w:p w14:paraId="1BF68FF0" w14:textId="77777777" w:rsidR="004A0123" w:rsidRPr="000D3D0C" w:rsidRDefault="004A0123" w:rsidP="008A5C11">
            <w:pPr>
              <w:jc w:val="center"/>
              <w:rPr>
                <w:color w:val="000000"/>
                <w:sz w:val="16"/>
                <w:szCs w:val="16"/>
              </w:rPr>
            </w:pPr>
            <w:r w:rsidRPr="000D3D0C">
              <w:rPr>
                <w:color w:val="000000"/>
                <w:sz w:val="16"/>
                <w:szCs w:val="16"/>
              </w:rPr>
              <w:t>0,99</w:t>
            </w:r>
          </w:p>
        </w:tc>
        <w:tc>
          <w:tcPr>
            <w:tcW w:w="193" w:type="pct"/>
            <w:shd w:val="clear" w:color="auto" w:fill="auto"/>
            <w:vAlign w:val="center"/>
          </w:tcPr>
          <w:p w14:paraId="5CFCAC7F" w14:textId="77777777" w:rsidR="004A0123" w:rsidRPr="000D3D0C" w:rsidRDefault="004A0123" w:rsidP="008A5C11">
            <w:pPr>
              <w:jc w:val="center"/>
              <w:rPr>
                <w:color w:val="000000"/>
                <w:sz w:val="16"/>
                <w:szCs w:val="16"/>
              </w:rPr>
            </w:pPr>
            <w:r w:rsidRPr="000D3D0C">
              <w:rPr>
                <w:color w:val="000000"/>
                <w:sz w:val="16"/>
                <w:szCs w:val="16"/>
              </w:rPr>
              <w:t>0,99</w:t>
            </w:r>
          </w:p>
        </w:tc>
        <w:tc>
          <w:tcPr>
            <w:tcW w:w="182" w:type="pct"/>
            <w:shd w:val="clear" w:color="auto" w:fill="auto"/>
            <w:vAlign w:val="center"/>
          </w:tcPr>
          <w:p w14:paraId="64727AD2" w14:textId="77777777" w:rsidR="004A0123" w:rsidRPr="000D3D0C" w:rsidRDefault="004A0123" w:rsidP="008A5C11">
            <w:pPr>
              <w:jc w:val="center"/>
              <w:rPr>
                <w:color w:val="000000"/>
                <w:sz w:val="16"/>
                <w:szCs w:val="16"/>
              </w:rPr>
            </w:pPr>
            <w:r w:rsidRPr="000D3D0C">
              <w:rPr>
                <w:color w:val="000000"/>
                <w:sz w:val="16"/>
                <w:szCs w:val="16"/>
              </w:rPr>
              <w:t>0,99</w:t>
            </w:r>
          </w:p>
        </w:tc>
        <w:tc>
          <w:tcPr>
            <w:tcW w:w="182" w:type="pct"/>
            <w:shd w:val="clear" w:color="auto" w:fill="auto"/>
            <w:tcMar>
              <w:left w:w="28" w:type="dxa"/>
              <w:right w:w="28" w:type="dxa"/>
            </w:tcMar>
            <w:vAlign w:val="center"/>
          </w:tcPr>
          <w:p w14:paraId="16DEBFB4" w14:textId="77777777" w:rsidR="004A0123" w:rsidRPr="000D3D0C" w:rsidRDefault="004A0123" w:rsidP="008A5C11">
            <w:pPr>
              <w:jc w:val="center"/>
              <w:rPr>
                <w:color w:val="000000"/>
                <w:sz w:val="16"/>
                <w:szCs w:val="16"/>
              </w:rPr>
            </w:pPr>
            <w:r w:rsidRPr="000D3D0C">
              <w:rPr>
                <w:color w:val="000000"/>
                <w:sz w:val="16"/>
                <w:szCs w:val="16"/>
              </w:rPr>
              <w:t>0,99</w:t>
            </w:r>
          </w:p>
        </w:tc>
        <w:tc>
          <w:tcPr>
            <w:tcW w:w="182" w:type="pct"/>
            <w:shd w:val="clear" w:color="auto" w:fill="auto"/>
            <w:tcMar>
              <w:left w:w="28" w:type="dxa"/>
              <w:right w:w="28" w:type="dxa"/>
            </w:tcMar>
            <w:vAlign w:val="center"/>
          </w:tcPr>
          <w:p w14:paraId="7A6D2811" w14:textId="77777777" w:rsidR="004A0123" w:rsidRPr="000D3D0C" w:rsidRDefault="004A0123" w:rsidP="008A5C11">
            <w:pPr>
              <w:jc w:val="center"/>
              <w:rPr>
                <w:color w:val="000000"/>
                <w:sz w:val="16"/>
                <w:szCs w:val="16"/>
              </w:rPr>
            </w:pPr>
            <w:r w:rsidRPr="000D3D0C">
              <w:rPr>
                <w:color w:val="000000"/>
                <w:sz w:val="16"/>
                <w:szCs w:val="16"/>
              </w:rPr>
              <w:t>0,99</w:t>
            </w:r>
          </w:p>
        </w:tc>
        <w:tc>
          <w:tcPr>
            <w:tcW w:w="182" w:type="pct"/>
            <w:shd w:val="clear" w:color="auto" w:fill="auto"/>
            <w:tcMar>
              <w:left w:w="28" w:type="dxa"/>
              <w:right w:w="28" w:type="dxa"/>
            </w:tcMar>
            <w:vAlign w:val="center"/>
          </w:tcPr>
          <w:p w14:paraId="48A6FF8C" w14:textId="77777777" w:rsidR="004A0123" w:rsidRPr="000D3D0C" w:rsidRDefault="004A0123" w:rsidP="008A5C11">
            <w:pPr>
              <w:jc w:val="center"/>
              <w:rPr>
                <w:color w:val="000000"/>
                <w:sz w:val="16"/>
                <w:szCs w:val="16"/>
              </w:rPr>
            </w:pPr>
            <w:r w:rsidRPr="000D3D0C">
              <w:rPr>
                <w:color w:val="000000"/>
                <w:sz w:val="16"/>
                <w:szCs w:val="16"/>
              </w:rPr>
              <w:t>0,99</w:t>
            </w:r>
          </w:p>
        </w:tc>
        <w:tc>
          <w:tcPr>
            <w:tcW w:w="182" w:type="pct"/>
            <w:shd w:val="clear" w:color="auto" w:fill="auto"/>
            <w:tcMar>
              <w:left w:w="28" w:type="dxa"/>
              <w:right w:w="28" w:type="dxa"/>
            </w:tcMar>
            <w:vAlign w:val="center"/>
          </w:tcPr>
          <w:p w14:paraId="49A682F0" w14:textId="77777777" w:rsidR="004A0123" w:rsidRPr="000D3D0C" w:rsidRDefault="004A0123" w:rsidP="008A5C11">
            <w:pPr>
              <w:jc w:val="center"/>
              <w:rPr>
                <w:color w:val="000000"/>
                <w:sz w:val="16"/>
                <w:szCs w:val="16"/>
              </w:rPr>
            </w:pPr>
            <w:r w:rsidRPr="000D3D0C">
              <w:rPr>
                <w:color w:val="000000"/>
                <w:sz w:val="16"/>
                <w:szCs w:val="16"/>
              </w:rPr>
              <w:t>0,99</w:t>
            </w:r>
          </w:p>
        </w:tc>
        <w:tc>
          <w:tcPr>
            <w:tcW w:w="214" w:type="pct"/>
            <w:shd w:val="clear" w:color="auto" w:fill="auto"/>
            <w:vAlign w:val="center"/>
          </w:tcPr>
          <w:p w14:paraId="13FA0C4E" w14:textId="77777777" w:rsidR="004A0123" w:rsidRPr="000D3D0C" w:rsidRDefault="004A0123" w:rsidP="008A5C11">
            <w:pPr>
              <w:jc w:val="center"/>
              <w:rPr>
                <w:color w:val="000000"/>
                <w:sz w:val="16"/>
                <w:szCs w:val="16"/>
              </w:rPr>
            </w:pPr>
            <w:r w:rsidRPr="000D3D0C">
              <w:rPr>
                <w:color w:val="000000"/>
                <w:sz w:val="16"/>
                <w:szCs w:val="16"/>
              </w:rPr>
              <w:t>0,99</w:t>
            </w:r>
          </w:p>
        </w:tc>
        <w:tc>
          <w:tcPr>
            <w:tcW w:w="368" w:type="pct"/>
            <w:shd w:val="clear" w:color="auto" w:fill="auto"/>
            <w:tcMar>
              <w:left w:w="28" w:type="dxa"/>
              <w:right w:w="28" w:type="dxa"/>
            </w:tcMar>
            <w:vAlign w:val="center"/>
          </w:tcPr>
          <w:p w14:paraId="7AB6BB03" w14:textId="77777777" w:rsidR="004A0123" w:rsidRPr="000D3D0C" w:rsidRDefault="004A0123" w:rsidP="008A5C11">
            <w:pPr>
              <w:jc w:val="center"/>
              <w:rPr>
                <w:sz w:val="16"/>
                <w:szCs w:val="16"/>
              </w:rPr>
            </w:pPr>
            <w:r w:rsidRPr="000D3D0C">
              <w:rPr>
                <w:sz w:val="16"/>
                <w:szCs w:val="16"/>
              </w:rPr>
              <w:t>0,88</w:t>
            </w:r>
          </w:p>
        </w:tc>
        <w:tc>
          <w:tcPr>
            <w:tcW w:w="182" w:type="pct"/>
            <w:shd w:val="clear" w:color="auto" w:fill="auto"/>
            <w:tcMar>
              <w:left w:w="28" w:type="dxa"/>
              <w:right w:w="28" w:type="dxa"/>
            </w:tcMar>
            <w:vAlign w:val="center"/>
          </w:tcPr>
          <w:p w14:paraId="4F316883" w14:textId="77777777" w:rsidR="004A0123" w:rsidRPr="000D3D0C" w:rsidRDefault="004A0123" w:rsidP="008A5C11">
            <w:pPr>
              <w:jc w:val="center"/>
              <w:rPr>
                <w:sz w:val="16"/>
                <w:szCs w:val="16"/>
              </w:rPr>
            </w:pPr>
            <w:r w:rsidRPr="000D3D0C">
              <w:rPr>
                <w:sz w:val="16"/>
                <w:szCs w:val="16"/>
              </w:rPr>
              <w:t>0,88</w:t>
            </w:r>
          </w:p>
        </w:tc>
        <w:tc>
          <w:tcPr>
            <w:tcW w:w="182" w:type="pct"/>
            <w:shd w:val="clear" w:color="auto" w:fill="auto"/>
            <w:tcMar>
              <w:left w:w="28" w:type="dxa"/>
              <w:right w:w="28" w:type="dxa"/>
            </w:tcMar>
            <w:vAlign w:val="center"/>
          </w:tcPr>
          <w:p w14:paraId="35833E56" w14:textId="77777777" w:rsidR="004A0123" w:rsidRPr="000D3D0C" w:rsidRDefault="004A0123" w:rsidP="008A5C11">
            <w:pPr>
              <w:jc w:val="center"/>
              <w:rPr>
                <w:sz w:val="16"/>
                <w:szCs w:val="16"/>
              </w:rPr>
            </w:pPr>
            <w:r w:rsidRPr="000D3D0C">
              <w:rPr>
                <w:sz w:val="16"/>
                <w:szCs w:val="16"/>
              </w:rPr>
              <w:t>0,88</w:t>
            </w:r>
          </w:p>
        </w:tc>
        <w:tc>
          <w:tcPr>
            <w:tcW w:w="182" w:type="pct"/>
            <w:shd w:val="clear" w:color="auto" w:fill="auto"/>
            <w:tcMar>
              <w:left w:w="28" w:type="dxa"/>
              <w:right w:w="28" w:type="dxa"/>
            </w:tcMar>
            <w:vAlign w:val="center"/>
          </w:tcPr>
          <w:p w14:paraId="06FB2D6E" w14:textId="77777777" w:rsidR="004A0123" w:rsidRPr="000D3D0C" w:rsidRDefault="004A0123" w:rsidP="008A5C11">
            <w:pPr>
              <w:jc w:val="center"/>
              <w:rPr>
                <w:sz w:val="16"/>
                <w:szCs w:val="16"/>
              </w:rPr>
            </w:pPr>
            <w:r w:rsidRPr="000D3D0C">
              <w:rPr>
                <w:sz w:val="16"/>
                <w:szCs w:val="16"/>
              </w:rPr>
              <w:t>0,88</w:t>
            </w:r>
          </w:p>
        </w:tc>
        <w:tc>
          <w:tcPr>
            <w:tcW w:w="182" w:type="pct"/>
            <w:shd w:val="clear" w:color="auto" w:fill="auto"/>
            <w:vAlign w:val="center"/>
          </w:tcPr>
          <w:p w14:paraId="6D0A93AC" w14:textId="77777777" w:rsidR="004A0123" w:rsidRPr="000D3D0C" w:rsidRDefault="004A0123" w:rsidP="008A5C11">
            <w:pPr>
              <w:jc w:val="center"/>
              <w:rPr>
                <w:sz w:val="16"/>
                <w:szCs w:val="16"/>
              </w:rPr>
            </w:pPr>
            <w:r w:rsidRPr="000D3D0C">
              <w:rPr>
                <w:sz w:val="16"/>
                <w:szCs w:val="16"/>
              </w:rPr>
              <w:t>0,88</w:t>
            </w:r>
          </w:p>
        </w:tc>
        <w:tc>
          <w:tcPr>
            <w:tcW w:w="182" w:type="pct"/>
            <w:shd w:val="clear" w:color="auto" w:fill="auto"/>
            <w:vAlign w:val="center"/>
          </w:tcPr>
          <w:p w14:paraId="49D02EF6" w14:textId="77777777" w:rsidR="004A0123" w:rsidRPr="000D3D0C" w:rsidRDefault="004A0123" w:rsidP="008A5C11">
            <w:pPr>
              <w:jc w:val="center"/>
              <w:rPr>
                <w:sz w:val="16"/>
                <w:szCs w:val="16"/>
              </w:rPr>
            </w:pPr>
            <w:r w:rsidRPr="000D3D0C">
              <w:rPr>
                <w:sz w:val="16"/>
                <w:szCs w:val="16"/>
              </w:rPr>
              <w:t>0,88</w:t>
            </w:r>
          </w:p>
        </w:tc>
        <w:tc>
          <w:tcPr>
            <w:tcW w:w="182" w:type="pct"/>
            <w:shd w:val="clear" w:color="auto" w:fill="auto"/>
            <w:tcMar>
              <w:left w:w="28" w:type="dxa"/>
              <w:right w:w="28" w:type="dxa"/>
            </w:tcMar>
            <w:vAlign w:val="center"/>
          </w:tcPr>
          <w:p w14:paraId="52A66869" w14:textId="77777777" w:rsidR="004A0123" w:rsidRPr="000D3D0C" w:rsidRDefault="004A0123" w:rsidP="008A5C11">
            <w:pPr>
              <w:jc w:val="center"/>
              <w:rPr>
                <w:sz w:val="16"/>
                <w:szCs w:val="16"/>
              </w:rPr>
            </w:pPr>
            <w:r w:rsidRPr="000D3D0C">
              <w:rPr>
                <w:sz w:val="16"/>
                <w:szCs w:val="16"/>
              </w:rPr>
              <w:t>0,88</w:t>
            </w:r>
          </w:p>
        </w:tc>
        <w:tc>
          <w:tcPr>
            <w:tcW w:w="182" w:type="pct"/>
            <w:shd w:val="clear" w:color="auto" w:fill="auto"/>
            <w:tcMar>
              <w:left w:w="28" w:type="dxa"/>
              <w:right w:w="28" w:type="dxa"/>
            </w:tcMar>
            <w:vAlign w:val="center"/>
          </w:tcPr>
          <w:p w14:paraId="55006434" w14:textId="77777777" w:rsidR="004A0123" w:rsidRPr="000D3D0C" w:rsidRDefault="004A0123" w:rsidP="008A5C11">
            <w:pPr>
              <w:jc w:val="center"/>
              <w:rPr>
                <w:sz w:val="16"/>
                <w:szCs w:val="16"/>
              </w:rPr>
            </w:pPr>
            <w:r w:rsidRPr="000D3D0C">
              <w:rPr>
                <w:sz w:val="16"/>
                <w:szCs w:val="16"/>
              </w:rPr>
              <w:t>0,88</w:t>
            </w:r>
          </w:p>
        </w:tc>
        <w:tc>
          <w:tcPr>
            <w:tcW w:w="182" w:type="pct"/>
            <w:shd w:val="clear" w:color="auto" w:fill="auto"/>
            <w:tcMar>
              <w:left w:w="28" w:type="dxa"/>
              <w:right w:w="28" w:type="dxa"/>
            </w:tcMar>
            <w:vAlign w:val="center"/>
          </w:tcPr>
          <w:p w14:paraId="0B10F37D" w14:textId="77777777" w:rsidR="004A0123" w:rsidRPr="000D3D0C" w:rsidRDefault="004A0123" w:rsidP="008A5C11">
            <w:pPr>
              <w:jc w:val="center"/>
              <w:rPr>
                <w:sz w:val="16"/>
                <w:szCs w:val="16"/>
              </w:rPr>
            </w:pPr>
            <w:r w:rsidRPr="000D3D0C">
              <w:rPr>
                <w:sz w:val="16"/>
                <w:szCs w:val="16"/>
              </w:rPr>
              <w:t>0,88</w:t>
            </w:r>
          </w:p>
        </w:tc>
        <w:tc>
          <w:tcPr>
            <w:tcW w:w="182" w:type="pct"/>
            <w:shd w:val="clear" w:color="auto" w:fill="auto"/>
            <w:tcMar>
              <w:left w:w="28" w:type="dxa"/>
              <w:right w:w="28" w:type="dxa"/>
            </w:tcMar>
            <w:vAlign w:val="center"/>
          </w:tcPr>
          <w:p w14:paraId="2459B8A9" w14:textId="77777777" w:rsidR="004A0123" w:rsidRPr="000D3D0C" w:rsidRDefault="004A0123" w:rsidP="008A5C11">
            <w:pPr>
              <w:jc w:val="center"/>
              <w:rPr>
                <w:sz w:val="16"/>
                <w:szCs w:val="16"/>
              </w:rPr>
            </w:pPr>
            <w:r w:rsidRPr="000D3D0C">
              <w:rPr>
                <w:sz w:val="16"/>
                <w:szCs w:val="16"/>
              </w:rPr>
              <w:t>0,88</w:t>
            </w:r>
          </w:p>
        </w:tc>
        <w:tc>
          <w:tcPr>
            <w:tcW w:w="117" w:type="pct"/>
            <w:shd w:val="clear" w:color="auto" w:fill="auto"/>
            <w:vAlign w:val="center"/>
          </w:tcPr>
          <w:p w14:paraId="210DF25B" w14:textId="77777777" w:rsidR="004A0123" w:rsidRPr="000D3D0C" w:rsidRDefault="004A0123" w:rsidP="008A5C11">
            <w:pPr>
              <w:jc w:val="center"/>
              <w:rPr>
                <w:sz w:val="16"/>
                <w:szCs w:val="16"/>
              </w:rPr>
            </w:pPr>
            <w:r w:rsidRPr="000D3D0C">
              <w:rPr>
                <w:sz w:val="16"/>
                <w:szCs w:val="16"/>
              </w:rPr>
              <w:t>0,88</w:t>
            </w:r>
          </w:p>
        </w:tc>
      </w:tr>
      <w:tr w:rsidR="004A0123" w:rsidRPr="000D3D0C" w14:paraId="5F4AF21D" w14:textId="77777777" w:rsidTr="008A5C11">
        <w:trPr>
          <w:trHeight w:val="148"/>
          <w:jc w:val="center"/>
        </w:trPr>
        <w:tc>
          <w:tcPr>
            <w:tcW w:w="134" w:type="pct"/>
            <w:tcMar>
              <w:top w:w="62" w:type="dxa"/>
              <w:left w:w="28" w:type="dxa"/>
              <w:bottom w:w="102" w:type="dxa"/>
              <w:right w:w="28" w:type="dxa"/>
            </w:tcMar>
            <w:vAlign w:val="center"/>
          </w:tcPr>
          <w:p w14:paraId="2A27B88A" w14:textId="77777777" w:rsidR="004A0123" w:rsidRPr="000D3D0C" w:rsidRDefault="004A0123" w:rsidP="008A5C11">
            <w:pPr>
              <w:jc w:val="center"/>
              <w:rPr>
                <w:sz w:val="16"/>
                <w:szCs w:val="16"/>
              </w:rPr>
            </w:pPr>
            <w:r w:rsidRPr="000D3D0C">
              <w:rPr>
                <w:sz w:val="16"/>
                <w:szCs w:val="16"/>
              </w:rPr>
              <w:t>4</w:t>
            </w:r>
          </w:p>
        </w:tc>
        <w:tc>
          <w:tcPr>
            <w:tcW w:w="533" w:type="pct"/>
            <w:tcMar>
              <w:top w:w="62" w:type="dxa"/>
              <w:left w:w="28" w:type="dxa"/>
              <w:bottom w:w="102" w:type="dxa"/>
              <w:right w:w="28" w:type="dxa"/>
            </w:tcMar>
            <w:vAlign w:val="center"/>
          </w:tcPr>
          <w:p w14:paraId="50DF42AD" w14:textId="77777777" w:rsidR="004A0123" w:rsidRPr="000D3D0C" w:rsidRDefault="004A0123" w:rsidP="008A5C11">
            <w:pPr>
              <w:jc w:val="center"/>
              <w:rPr>
                <w:color w:val="000000"/>
                <w:sz w:val="16"/>
                <w:szCs w:val="16"/>
              </w:rPr>
            </w:pPr>
            <w:r w:rsidRPr="000D3D0C">
              <w:rPr>
                <w:color w:val="000000"/>
                <w:sz w:val="16"/>
                <w:szCs w:val="16"/>
              </w:rPr>
              <w:t>Котельная Приют</w:t>
            </w:r>
          </w:p>
        </w:tc>
        <w:tc>
          <w:tcPr>
            <w:tcW w:w="320" w:type="pct"/>
            <w:shd w:val="clear" w:color="auto" w:fill="auto"/>
            <w:tcMar>
              <w:left w:w="28" w:type="dxa"/>
              <w:right w:w="28" w:type="dxa"/>
            </w:tcMar>
            <w:vAlign w:val="center"/>
          </w:tcPr>
          <w:p w14:paraId="200DB7B3" w14:textId="77777777" w:rsidR="004A0123" w:rsidRPr="000D3D0C" w:rsidRDefault="004A0123" w:rsidP="008A5C11">
            <w:pPr>
              <w:jc w:val="center"/>
              <w:rPr>
                <w:color w:val="000000"/>
                <w:sz w:val="16"/>
                <w:szCs w:val="16"/>
              </w:rPr>
            </w:pPr>
            <w:r w:rsidRPr="000D3D0C">
              <w:rPr>
                <w:color w:val="000000"/>
                <w:sz w:val="16"/>
                <w:szCs w:val="16"/>
              </w:rPr>
              <w:t>1,85</w:t>
            </w:r>
          </w:p>
        </w:tc>
        <w:tc>
          <w:tcPr>
            <w:tcW w:w="187" w:type="pct"/>
            <w:shd w:val="clear" w:color="auto" w:fill="auto"/>
            <w:tcMar>
              <w:left w:w="28" w:type="dxa"/>
              <w:right w:w="28" w:type="dxa"/>
            </w:tcMar>
            <w:vAlign w:val="center"/>
          </w:tcPr>
          <w:p w14:paraId="494D0121" w14:textId="77777777" w:rsidR="004A0123" w:rsidRPr="000D3D0C" w:rsidRDefault="004A0123" w:rsidP="008A5C11">
            <w:pPr>
              <w:jc w:val="center"/>
              <w:rPr>
                <w:color w:val="000000"/>
                <w:sz w:val="16"/>
                <w:szCs w:val="16"/>
              </w:rPr>
            </w:pPr>
            <w:r w:rsidRPr="000D3D0C">
              <w:rPr>
                <w:color w:val="000000"/>
                <w:sz w:val="16"/>
                <w:szCs w:val="16"/>
              </w:rPr>
              <w:t>1,85</w:t>
            </w:r>
          </w:p>
        </w:tc>
        <w:tc>
          <w:tcPr>
            <w:tcW w:w="193" w:type="pct"/>
            <w:shd w:val="clear" w:color="auto" w:fill="auto"/>
            <w:tcMar>
              <w:left w:w="28" w:type="dxa"/>
              <w:right w:w="28" w:type="dxa"/>
            </w:tcMar>
            <w:vAlign w:val="center"/>
          </w:tcPr>
          <w:p w14:paraId="2A31242F" w14:textId="77777777" w:rsidR="004A0123" w:rsidRPr="000D3D0C" w:rsidRDefault="004A0123" w:rsidP="008A5C11">
            <w:pPr>
              <w:jc w:val="center"/>
              <w:rPr>
                <w:color w:val="000000"/>
                <w:sz w:val="16"/>
                <w:szCs w:val="16"/>
              </w:rPr>
            </w:pPr>
            <w:r w:rsidRPr="000D3D0C">
              <w:rPr>
                <w:color w:val="000000"/>
                <w:sz w:val="16"/>
                <w:szCs w:val="16"/>
              </w:rPr>
              <w:t>1,85</w:t>
            </w:r>
          </w:p>
        </w:tc>
        <w:tc>
          <w:tcPr>
            <w:tcW w:w="193" w:type="pct"/>
            <w:shd w:val="clear" w:color="auto" w:fill="auto"/>
            <w:tcMar>
              <w:left w:w="28" w:type="dxa"/>
              <w:right w:w="28" w:type="dxa"/>
            </w:tcMar>
            <w:vAlign w:val="center"/>
          </w:tcPr>
          <w:p w14:paraId="3A45E6B5" w14:textId="77777777" w:rsidR="004A0123" w:rsidRPr="000D3D0C" w:rsidRDefault="004A0123" w:rsidP="008A5C11">
            <w:pPr>
              <w:jc w:val="center"/>
              <w:rPr>
                <w:color w:val="000000"/>
                <w:sz w:val="16"/>
                <w:szCs w:val="16"/>
              </w:rPr>
            </w:pPr>
            <w:r w:rsidRPr="000D3D0C">
              <w:rPr>
                <w:color w:val="000000"/>
                <w:sz w:val="16"/>
                <w:szCs w:val="16"/>
              </w:rPr>
              <w:t>1,85</w:t>
            </w:r>
          </w:p>
        </w:tc>
        <w:tc>
          <w:tcPr>
            <w:tcW w:w="193" w:type="pct"/>
            <w:shd w:val="clear" w:color="auto" w:fill="auto"/>
            <w:vAlign w:val="center"/>
          </w:tcPr>
          <w:p w14:paraId="26B07A1C" w14:textId="77777777" w:rsidR="004A0123" w:rsidRPr="000D3D0C" w:rsidRDefault="004A0123" w:rsidP="008A5C11">
            <w:pPr>
              <w:jc w:val="center"/>
              <w:rPr>
                <w:color w:val="000000"/>
                <w:sz w:val="16"/>
                <w:szCs w:val="16"/>
              </w:rPr>
            </w:pPr>
            <w:r w:rsidRPr="000D3D0C">
              <w:rPr>
                <w:color w:val="000000"/>
                <w:sz w:val="16"/>
                <w:szCs w:val="16"/>
              </w:rPr>
              <w:t>1,85</w:t>
            </w:r>
          </w:p>
        </w:tc>
        <w:tc>
          <w:tcPr>
            <w:tcW w:w="182" w:type="pct"/>
            <w:shd w:val="clear" w:color="auto" w:fill="auto"/>
            <w:vAlign w:val="center"/>
          </w:tcPr>
          <w:p w14:paraId="5B493B2B" w14:textId="77777777" w:rsidR="004A0123" w:rsidRPr="000D3D0C" w:rsidRDefault="004A0123" w:rsidP="008A5C11">
            <w:pPr>
              <w:jc w:val="center"/>
              <w:rPr>
                <w:color w:val="000000"/>
                <w:sz w:val="16"/>
                <w:szCs w:val="16"/>
              </w:rPr>
            </w:pPr>
            <w:r w:rsidRPr="000D3D0C">
              <w:rPr>
                <w:color w:val="000000"/>
                <w:sz w:val="16"/>
                <w:szCs w:val="16"/>
              </w:rPr>
              <w:t>1,85</w:t>
            </w:r>
          </w:p>
        </w:tc>
        <w:tc>
          <w:tcPr>
            <w:tcW w:w="182" w:type="pct"/>
            <w:shd w:val="clear" w:color="auto" w:fill="auto"/>
            <w:tcMar>
              <w:left w:w="28" w:type="dxa"/>
              <w:right w:w="28" w:type="dxa"/>
            </w:tcMar>
            <w:vAlign w:val="center"/>
          </w:tcPr>
          <w:p w14:paraId="236FC6E6" w14:textId="77777777" w:rsidR="004A0123" w:rsidRPr="000D3D0C" w:rsidRDefault="004A0123" w:rsidP="008A5C11">
            <w:pPr>
              <w:jc w:val="center"/>
              <w:rPr>
                <w:color w:val="000000"/>
                <w:sz w:val="16"/>
                <w:szCs w:val="16"/>
              </w:rPr>
            </w:pPr>
            <w:r w:rsidRPr="000D3D0C">
              <w:rPr>
                <w:color w:val="000000"/>
                <w:sz w:val="16"/>
                <w:szCs w:val="16"/>
              </w:rPr>
              <w:t>1,85</w:t>
            </w:r>
          </w:p>
        </w:tc>
        <w:tc>
          <w:tcPr>
            <w:tcW w:w="182" w:type="pct"/>
            <w:shd w:val="clear" w:color="auto" w:fill="auto"/>
            <w:tcMar>
              <w:left w:w="28" w:type="dxa"/>
              <w:right w:w="28" w:type="dxa"/>
            </w:tcMar>
            <w:vAlign w:val="center"/>
          </w:tcPr>
          <w:p w14:paraId="122E3D13" w14:textId="77777777" w:rsidR="004A0123" w:rsidRPr="000D3D0C" w:rsidRDefault="004A0123" w:rsidP="008A5C11">
            <w:pPr>
              <w:jc w:val="center"/>
              <w:rPr>
                <w:color w:val="000000"/>
                <w:sz w:val="16"/>
                <w:szCs w:val="16"/>
              </w:rPr>
            </w:pPr>
            <w:r w:rsidRPr="000D3D0C">
              <w:rPr>
                <w:color w:val="000000"/>
                <w:sz w:val="16"/>
                <w:szCs w:val="16"/>
              </w:rPr>
              <w:t>1,85</w:t>
            </w:r>
          </w:p>
        </w:tc>
        <w:tc>
          <w:tcPr>
            <w:tcW w:w="182" w:type="pct"/>
            <w:shd w:val="clear" w:color="auto" w:fill="auto"/>
            <w:tcMar>
              <w:left w:w="28" w:type="dxa"/>
              <w:right w:w="28" w:type="dxa"/>
            </w:tcMar>
            <w:vAlign w:val="center"/>
          </w:tcPr>
          <w:p w14:paraId="12E9BB60" w14:textId="77777777" w:rsidR="004A0123" w:rsidRPr="000D3D0C" w:rsidRDefault="004A0123" w:rsidP="008A5C11">
            <w:pPr>
              <w:jc w:val="center"/>
              <w:rPr>
                <w:color w:val="000000"/>
                <w:sz w:val="16"/>
                <w:szCs w:val="16"/>
              </w:rPr>
            </w:pPr>
            <w:r w:rsidRPr="000D3D0C">
              <w:rPr>
                <w:color w:val="000000"/>
                <w:sz w:val="16"/>
                <w:szCs w:val="16"/>
              </w:rPr>
              <w:t>1,85</w:t>
            </w:r>
          </w:p>
        </w:tc>
        <w:tc>
          <w:tcPr>
            <w:tcW w:w="182" w:type="pct"/>
            <w:shd w:val="clear" w:color="auto" w:fill="auto"/>
            <w:tcMar>
              <w:left w:w="28" w:type="dxa"/>
              <w:right w:w="28" w:type="dxa"/>
            </w:tcMar>
            <w:vAlign w:val="center"/>
          </w:tcPr>
          <w:p w14:paraId="2BC61191" w14:textId="77777777" w:rsidR="004A0123" w:rsidRPr="000D3D0C" w:rsidRDefault="004A0123" w:rsidP="008A5C11">
            <w:pPr>
              <w:jc w:val="center"/>
              <w:rPr>
                <w:color w:val="000000"/>
                <w:sz w:val="16"/>
                <w:szCs w:val="16"/>
              </w:rPr>
            </w:pPr>
            <w:r w:rsidRPr="000D3D0C">
              <w:rPr>
                <w:color w:val="000000"/>
                <w:sz w:val="16"/>
                <w:szCs w:val="16"/>
              </w:rPr>
              <w:t>1,85</w:t>
            </w:r>
          </w:p>
        </w:tc>
        <w:tc>
          <w:tcPr>
            <w:tcW w:w="214" w:type="pct"/>
            <w:shd w:val="clear" w:color="auto" w:fill="auto"/>
            <w:vAlign w:val="center"/>
          </w:tcPr>
          <w:p w14:paraId="689CAA49" w14:textId="77777777" w:rsidR="004A0123" w:rsidRPr="000D3D0C" w:rsidRDefault="004A0123" w:rsidP="008A5C11">
            <w:pPr>
              <w:jc w:val="center"/>
              <w:rPr>
                <w:color w:val="000000"/>
                <w:sz w:val="16"/>
                <w:szCs w:val="16"/>
              </w:rPr>
            </w:pPr>
            <w:r w:rsidRPr="000D3D0C">
              <w:rPr>
                <w:color w:val="000000"/>
                <w:sz w:val="16"/>
                <w:szCs w:val="16"/>
              </w:rPr>
              <w:t>1,85</w:t>
            </w:r>
          </w:p>
        </w:tc>
        <w:tc>
          <w:tcPr>
            <w:tcW w:w="368" w:type="pct"/>
            <w:shd w:val="clear" w:color="auto" w:fill="auto"/>
            <w:tcMar>
              <w:left w:w="28" w:type="dxa"/>
              <w:right w:w="28" w:type="dxa"/>
            </w:tcMar>
            <w:vAlign w:val="center"/>
          </w:tcPr>
          <w:p w14:paraId="5D3D9EB7" w14:textId="77777777" w:rsidR="004A0123" w:rsidRPr="000D3D0C" w:rsidRDefault="004A0123" w:rsidP="008A5C11">
            <w:pPr>
              <w:jc w:val="center"/>
              <w:rPr>
                <w:sz w:val="16"/>
                <w:szCs w:val="16"/>
              </w:rPr>
            </w:pPr>
            <w:r w:rsidRPr="000D3D0C">
              <w:rPr>
                <w:sz w:val="16"/>
                <w:szCs w:val="16"/>
              </w:rPr>
              <w:t>0,89</w:t>
            </w:r>
          </w:p>
        </w:tc>
        <w:tc>
          <w:tcPr>
            <w:tcW w:w="182" w:type="pct"/>
            <w:shd w:val="clear" w:color="auto" w:fill="auto"/>
            <w:tcMar>
              <w:left w:w="28" w:type="dxa"/>
              <w:right w:w="28" w:type="dxa"/>
            </w:tcMar>
            <w:vAlign w:val="center"/>
          </w:tcPr>
          <w:p w14:paraId="1FFEB769" w14:textId="77777777" w:rsidR="004A0123" w:rsidRPr="000D3D0C" w:rsidRDefault="004A0123" w:rsidP="008A5C11">
            <w:pPr>
              <w:jc w:val="center"/>
              <w:rPr>
                <w:sz w:val="16"/>
                <w:szCs w:val="16"/>
              </w:rPr>
            </w:pPr>
            <w:r w:rsidRPr="000D3D0C">
              <w:rPr>
                <w:sz w:val="16"/>
                <w:szCs w:val="16"/>
              </w:rPr>
              <w:t>0,89</w:t>
            </w:r>
          </w:p>
        </w:tc>
        <w:tc>
          <w:tcPr>
            <w:tcW w:w="182" w:type="pct"/>
            <w:shd w:val="clear" w:color="auto" w:fill="auto"/>
            <w:tcMar>
              <w:left w:w="28" w:type="dxa"/>
              <w:right w:w="28" w:type="dxa"/>
            </w:tcMar>
            <w:vAlign w:val="center"/>
          </w:tcPr>
          <w:p w14:paraId="09CF0453" w14:textId="77777777" w:rsidR="004A0123" w:rsidRPr="000D3D0C" w:rsidRDefault="004A0123" w:rsidP="008A5C11">
            <w:pPr>
              <w:jc w:val="center"/>
              <w:rPr>
                <w:sz w:val="16"/>
                <w:szCs w:val="16"/>
              </w:rPr>
            </w:pPr>
            <w:r w:rsidRPr="000D3D0C">
              <w:rPr>
                <w:sz w:val="16"/>
                <w:szCs w:val="16"/>
              </w:rPr>
              <w:t>0,89</w:t>
            </w:r>
          </w:p>
        </w:tc>
        <w:tc>
          <w:tcPr>
            <w:tcW w:w="182" w:type="pct"/>
            <w:shd w:val="clear" w:color="auto" w:fill="auto"/>
            <w:tcMar>
              <w:left w:w="28" w:type="dxa"/>
              <w:right w:w="28" w:type="dxa"/>
            </w:tcMar>
            <w:vAlign w:val="center"/>
          </w:tcPr>
          <w:p w14:paraId="65E59B13" w14:textId="77777777" w:rsidR="004A0123" w:rsidRPr="000D3D0C" w:rsidRDefault="004A0123" w:rsidP="008A5C11">
            <w:pPr>
              <w:jc w:val="center"/>
              <w:rPr>
                <w:sz w:val="16"/>
                <w:szCs w:val="16"/>
              </w:rPr>
            </w:pPr>
            <w:r w:rsidRPr="000D3D0C">
              <w:rPr>
                <w:sz w:val="16"/>
                <w:szCs w:val="16"/>
              </w:rPr>
              <w:t>0,89</w:t>
            </w:r>
          </w:p>
        </w:tc>
        <w:tc>
          <w:tcPr>
            <w:tcW w:w="182" w:type="pct"/>
            <w:shd w:val="clear" w:color="auto" w:fill="auto"/>
            <w:vAlign w:val="center"/>
          </w:tcPr>
          <w:p w14:paraId="347B0736" w14:textId="77777777" w:rsidR="004A0123" w:rsidRPr="000D3D0C" w:rsidRDefault="004A0123" w:rsidP="008A5C11">
            <w:pPr>
              <w:jc w:val="center"/>
              <w:rPr>
                <w:sz w:val="16"/>
                <w:szCs w:val="16"/>
              </w:rPr>
            </w:pPr>
            <w:r w:rsidRPr="000D3D0C">
              <w:rPr>
                <w:sz w:val="16"/>
                <w:szCs w:val="16"/>
              </w:rPr>
              <w:t>0,89</w:t>
            </w:r>
          </w:p>
        </w:tc>
        <w:tc>
          <w:tcPr>
            <w:tcW w:w="182" w:type="pct"/>
            <w:shd w:val="clear" w:color="auto" w:fill="auto"/>
            <w:vAlign w:val="center"/>
          </w:tcPr>
          <w:p w14:paraId="6ED07E41" w14:textId="77777777" w:rsidR="004A0123" w:rsidRPr="000D3D0C" w:rsidRDefault="004A0123" w:rsidP="008A5C11">
            <w:pPr>
              <w:jc w:val="center"/>
              <w:rPr>
                <w:sz w:val="16"/>
                <w:szCs w:val="16"/>
              </w:rPr>
            </w:pPr>
            <w:r w:rsidRPr="000D3D0C">
              <w:rPr>
                <w:sz w:val="16"/>
                <w:szCs w:val="16"/>
              </w:rPr>
              <w:t>0,89</w:t>
            </w:r>
          </w:p>
        </w:tc>
        <w:tc>
          <w:tcPr>
            <w:tcW w:w="182" w:type="pct"/>
            <w:shd w:val="clear" w:color="auto" w:fill="auto"/>
            <w:tcMar>
              <w:left w:w="28" w:type="dxa"/>
              <w:right w:w="28" w:type="dxa"/>
            </w:tcMar>
            <w:vAlign w:val="center"/>
          </w:tcPr>
          <w:p w14:paraId="4F886312" w14:textId="77777777" w:rsidR="004A0123" w:rsidRPr="000D3D0C" w:rsidRDefault="004A0123" w:rsidP="008A5C11">
            <w:pPr>
              <w:jc w:val="center"/>
              <w:rPr>
                <w:sz w:val="16"/>
                <w:szCs w:val="16"/>
              </w:rPr>
            </w:pPr>
            <w:r w:rsidRPr="000D3D0C">
              <w:rPr>
                <w:sz w:val="16"/>
                <w:szCs w:val="16"/>
              </w:rPr>
              <w:t>0,89</w:t>
            </w:r>
          </w:p>
        </w:tc>
        <w:tc>
          <w:tcPr>
            <w:tcW w:w="182" w:type="pct"/>
            <w:shd w:val="clear" w:color="auto" w:fill="auto"/>
            <w:tcMar>
              <w:left w:w="28" w:type="dxa"/>
              <w:right w:w="28" w:type="dxa"/>
            </w:tcMar>
            <w:vAlign w:val="center"/>
          </w:tcPr>
          <w:p w14:paraId="3E4D9343" w14:textId="77777777" w:rsidR="004A0123" w:rsidRPr="000D3D0C" w:rsidRDefault="004A0123" w:rsidP="008A5C11">
            <w:pPr>
              <w:jc w:val="center"/>
              <w:rPr>
                <w:sz w:val="16"/>
                <w:szCs w:val="16"/>
              </w:rPr>
            </w:pPr>
            <w:r w:rsidRPr="000D3D0C">
              <w:rPr>
                <w:sz w:val="16"/>
                <w:szCs w:val="16"/>
              </w:rPr>
              <w:t>0,89</w:t>
            </w:r>
          </w:p>
        </w:tc>
        <w:tc>
          <w:tcPr>
            <w:tcW w:w="182" w:type="pct"/>
            <w:shd w:val="clear" w:color="auto" w:fill="auto"/>
            <w:tcMar>
              <w:left w:w="28" w:type="dxa"/>
              <w:right w:w="28" w:type="dxa"/>
            </w:tcMar>
            <w:vAlign w:val="center"/>
          </w:tcPr>
          <w:p w14:paraId="4117567E" w14:textId="77777777" w:rsidR="004A0123" w:rsidRPr="000D3D0C" w:rsidRDefault="004A0123" w:rsidP="008A5C11">
            <w:pPr>
              <w:jc w:val="center"/>
              <w:rPr>
                <w:sz w:val="16"/>
                <w:szCs w:val="16"/>
              </w:rPr>
            </w:pPr>
            <w:r w:rsidRPr="000D3D0C">
              <w:rPr>
                <w:sz w:val="16"/>
                <w:szCs w:val="16"/>
              </w:rPr>
              <w:t>0,89</w:t>
            </w:r>
          </w:p>
        </w:tc>
        <w:tc>
          <w:tcPr>
            <w:tcW w:w="182" w:type="pct"/>
            <w:shd w:val="clear" w:color="auto" w:fill="auto"/>
            <w:tcMar>
              <w:left w:w="28" w:type="dxa"/>
              <w:right w:w="28" w:type="dxa"/>
            </w:tcMar>
            <w:vAlign w:val="center"/>
          </w:tcPr>
          <w:p w14:paraId="375E01DB" w14:textId="77777777" w:rsidR="004A0123" w:rsidRPr="000D3D0C" w:rsidRDefault="004A0123" w:rsidP="008A5C11">
            <w:pPr>
              <w:jc w:val="center"/>
              <w:rPr>
                <w:sz w:val="16"/>
                <w:szCs w:val="16"/>
              </w:rPr>
            </w:pPr>
            <w:r w:rsidRPr="000D3D0C">
              <w:rPr>
                <w:sz w:val="16"/>
                <w:szCs w:val="16"/>
              </w:rPr>
              <w:t>0,89</w:t>
            </w:r>
          </w:p>
        </w:tc>
        <w:tc>
          <w:tcPr>
            <w:tcW w:w="117" w:type="pct"/>
            <w:shd w:val="clear" w:color="auto" w:fill="auto"/>
            <w:vAlign w:val="center"/>
          </w:tcPr>
          <w:p w14:paraId="2C79FF7C" w14:textId="77777777" w:rsidR="004A0123" w:rsidRPr="000D3D0C" w:rsidRDefault="004A0123" w:rsidP="008A5C11">
            <w:pPr>
              <w:jc w:val="center"/>
              <w:rPr>
                <w:sz w:val="16"/>
                <w:szCs w:val="16"/>
              </w:rPr>
            </w:pPr>
            <w:r w:rsidRPr="000D3D0C">
              <w:rPr>
                <w:sz w:val="16"/>
                <w:szCs w:val="16"/>
              </w:rPr>
              <w:t>0,89</w:t>
            </w:r>
          </w:p>
        </w:tc>
      </w:tr>
      <w:tr w:rsidR="004A0123" w:rsidRPr="000D3D0C" w14:paraId="00EBA1C2" w14:textId="77777777" w:rsidTr="008A5C11">
        <w:trPr>
          <w:trHeight w:val="148"/>
          <w:jc w:val="center"/>
        </w:trPr>
        <w:tc>
          <w:tcPr>
            <w:tcW w:w="134" w:type="pct"/>
            <w:tcMar>
              <w:top w:w="62" w:type="dxa"/>
              <w:left w:w="28" w:type="dxa"/>
              <w:bottom w:w="102" w:type="dxa"/>
              <w:right w:w="28" w:type="dxa"/>
            </w:tcMar>
            <w:vAlign w:val="center"/>
          </w:tcPr>
          <w:p w14:paraId="593739F8" w14:textId="77777777" w:rsidR="004A0123" w:rsidRPr="000D3D0C" w:rsidRDefault="004A0123" w:rsidP="008A5C11">
            <w:pPr>
              <w:jc w:val="center"/>
              <w:rPr>
                <w:sz w:val="16"/>
                <w:szCs w:val="16"/>
              </w:rPr>
            </w:pPr>
            <w:r w:rsidRPr="000D3D0C">
              <w:rPr>
                <w:sz w:val="16"/>
                <w:szCs w:val="16"/>
              </w:rPr>
              <w:t>5</w:t>
            </w:r>
          </w:p>
        </w:tc>
        <w:tc>
          <w:tcPr>
            <w:tcW w:w="533" w:type="pct"/>
            <w:tcMar>
              <w:top w:w="62" w:type="dxa"/>
              <w:left w:w="28" w:type="dxa"/>
              <w:bottom w:w="102" w:type="dxa"/>
              <w:right w:w="28" w:type="dxa"/>
            </w:tcMar>
            <w:vAlign w:val="center"/>
          </w:tcPr>
          <w:p w14:paraId="36B7CD77" w14:textId="77777777" w:rsidR="004A0123" w:rsidRPr="000D3D0C" w:rsidRDefault="004A0123" w:rsidP="008A5C11">
            <w:pPr>
              <w:jc w:val="center"/>
              <w:rPr>
                <w:color w:val="000000"/>
                <w:sz w:val="16"/>
                <w:szCs w:val="16"/>
              </w:rPr>
            </w:pPr>
            <w:r w:rsidRPr="000D3D0C">
              <w:rPr>
                <w:color w:val="000000"/>
                <w:sz w:val="16"/>
                <w:szCs w:val="16"/>
              </w:rPr>
              <w:t>Котельная Детского сада</w:t>
            </w:r>
          </w:p>
        </w:tc>
        <w:tc>
          <w:tcPr>
            <w:tcW w:w="320" w:type="pct"/>
            <w:shd w:val="clear" w:color="auto" w:fill="auto"/>
            <w:tcMar>
              <w:left w:w="28" w:type="dxa"/>
              <w:right w:w="28" w:type="dxa"/>
            </w:tcMar>
            <w:vAlign w:val="center"/>
          </w:tcPr>
          <w:p w14:paraId="44521710" w14:textId="77777777" w:rsidR="004A0123" w:rsidRPr="000D3D0C" w:rsidRDefault="004A0123" w:rsidP="008A5C11">
            <w:pPr>
              <w:jc w:val="center"/>
              <w:rPr>
                <w:color w:val="000000"/>
                <w:sz w:val="16"/>
                <w:szCs w:val="16"/>
              </w:rPr>
            </w:pPr>
            <w:r w:rsidRPr="000D3D0C">
              <w:rPr>
                <w:color w:val="000000"/>
                <w:sz w:val="16"/>
                <w:szCs w:val="16"/>
              </w:rPr>
              <w:t>3,70</w:t>
            </w:r>
          </w:p>
        </w:tc>
        <w:tc>
          <w:tcPr>
            <w:tcW w:w="187" w:type="pct"/>
            <w:shd w:val="clear" w:color="auto" w:fill="auto"/>
            <w:tcMar>
              <w:left w:w="28" w:type="dxa"/>
              <w:right w:w="28" w:type="dxa"/>
            </w:tcMar>
            <w:vAlign w:val="center"/>
          </w:tcPr>
          <w:p w14:paraId="1C4B8992" w14:textId="77777777" w:rsidR="004A0123" w:rsidRPr="000D3D0C" w:rsidRDefault="004A0123" w:rsidP="008A5C11">
            <w:pPr>
              <w:jc w:val="center"/>
              <w:rPr>
                <w:color w:val="000000"/>
                <w:sz w:val="16"/>
                <w:szCs w:val="16"/>
              </w:rPr>
            </w:pPr>
            <w:r w:rsidRPr="000D3D0C">
              <w:rPr>
                <w:color w:val="000000"/>
                <w:sz w:val="16"/>
                <w:szCs w:val="16"/>
              </w:rPr>
              <w:t>3,70</w:t>
            </w:r>
          </w:p>
        </w:tc>
        <w:tc>
          <w:tcPr>
            <w:tcW w:w="193" w:type="pct"/>
            <w:shd w:val="clear" w:color="auto" w:fill="auto"/>
            <w:tcMar>
              <w:left w:w="28" w:type="dxa"/>
              <w:right w:w="28" w:type="dxa"/>
            </w:tcMar>
            <w:vAlign w:val="center"/>
          </w:tcPr>
          <w:p w14:paraId="18E967D4" w14:textId="77777777" w:rsidR="004A0123" w:rsidRPr="000D3D0C" w:rsidRDefault="004A0123" w:rsidP="008A5C11">
            <w:pPr>
              <w:jc w:val="center"/>
              <w:rPr>
                <w:color w:val="000000"/>
                <w:sz w:val="16"/>
                <w:szCs w:val="16"/>
              </w:rPr>
            </w:pPr>
            <w:r w:rsidRPr="000D3D0C">
              <w:rPr>
                <w:color w:val="000000"/>
                <w:sz w:val="16"/>
                <w:szCs w:val="16"/>
              </w:rPr>
              <w:t>3,70</w:t>
            </w:r>
          </w:p>
        </w:tc>
        <w:tc>
          <w:tcPr>
            <w:tcW w:w="193" w:type="pct"/>
            <w:shd w:val="clear" w:color="auto" w:fill="auto"/>
            <w:tcMar>
              <w:left w:w="28" w:type="dxa"/>
              <w:right w:w="28" w:type="dxa"/>
            </w:tcMar>
            <w:vAlign w:val="center"/>
          </w:tcPr>
          <w:p w14:paraId="4D40F5EC" w14:textId="77777777" w:rsidR="004A0123" w:rsidRPr="000D3D0C" w:rsidRDefault="004A0123" w:rsidP="008A5C11">
            <w:pPr>
              <w:jc w:val="center"/>
              <w:rPr>
                <w:color w:val="000000"/>
                <w:sz w:val="16"/>
                <w:szCs w:val="16"/>
              </w:rPr>
            </w:pPr>
            <w:r w:rsidRPr="000D3D0C">
              <w:rPr>
                <w:color w:val="000000"/>
                <w:sz w:val="16"/>
                <w:szCs w:val="16"/>
              </w:rPr>
              <w:t>3,70</w:t>
            </w:r>
          </w:p>
        </w:tc>
        <w:tc>
          <w:tcPr>
            <w:tcW w:w="193" w:type="pct"/>
            <w:shd w:val="clear" w:color="auto" w:fill="auto"/>
            <w:vAlign w:val="center"/>
          </w:tcPr>
          <w:p w14:paraId="50274AA1" w14:textId="77777777" w:rsidR="004A0123" w:rsidRPr="000D3D0C" w:rsidRDefault="004A0123" w:rsidP="008A5C11">
            <w:pPr>
              <w:jc w:val="center"/>
              <w:rPr>
                <w:color w:val="000000"/>
                <w:sz w:val="16"/>
                <w:szCs w:val="16"/>
              </w:rPr>
            </w:pPr>
            <w:r w:rsidRPr="000D3D0C">
              <w:rPr>
                <w:color w:val="000000"/>
                <w:sz w:val="16"/>
                <w:szCs w:val="16"/>
              </w:rPr>
              <w:t>3,70</w:t>
            </w:r>
          </w:p>
        </w:tc>
        <w:tc>
          <w:tcPr>
            <w:tcW w:w="182" w:type="pct"/>
            <w:shd w:val="clear" w:color="auto" w:fill="auto"/>
            <w:vAlign w:val="center"/>
          </w:tcPr>
          <w:p w14:paraId="0E66F1E9" w14:textId="77777777" w:rsidR="004A0123" w:rsidRPr="000D3D0C" w:rsidRDefault="004A0123" w:rsidP="008A5C11">
            <w:pPr>
              <w:jc w:val="center"/>
              <w:rPr>
                <w:color w:val="000000"/>
                <w:sz w:val="16"/>
                <w:szCs w:val="16"/>
              </w:rPr>
            </w:pPr>
            <w:r w:rsidRPr="000D3D0C">
              <w:rPr>
                <w:color w:val="000000"/>
                <w:sz w:val="16"/>
                <w:szCs w:val="16"/>
              </w:rPr>
              <w:t>3,70</w:t>
            </w:r>
          </w:p>
        </w:tc>
        <w:tc>
          <w:tcPr>
            <w:tcW w:w="182" w:type="pct"/>
            <w:shd w:val="clear" w:color="auto" w:fill="auto"/>
            <w:tcMar>
              <w:left w:w="28" w:type="dxa"/>
              <w:right w:w="28" w:type="dxa"/>
            </w:tcMar>
            <w:vAlign w:val="center"/>
          </w:tcPr>
          <w:p w14:paraId="1E5B2EF2" w14:textId="77777777" w:rsidR="004A0123" w:rsidRPr="000D3D0C" w:rsidRDefault="004A0123" w:rsidP="008A5C11">
            <w:pPr>
              <w:jc w:val="center"/>
              <w:rPr>
                <w:color w:val="000000"/>
                <w:sz w:val="16"/>
                <w:szCs w:val="16"/>
              </w:rPr>
            </w:pPr>
            <w:r w:rsidRPr="000D3D0C">
              <w:rPr>
                <w:color w:val="000000"/>
                <w:sz w:val="16"/>
                <w:szCs w:val="16"/>
              </w:rPr>
              <w:t>3,70</w:t>
            </w:r>
          </w:p>
        </w:tc>
        <w:tc>
          <w:tcPr>
            <w:tcW w:w="182" w:type="pct"/>
            <w:shd w:val="clear" w:color="auto" w:fill="auto"/>
            <w:tcMar>
              <w:left w:w="28" w:type="dxa"/>
              <w:right w:w="28" w:type="dxa"/>
            </w:tcMar>
            <w:vAlign w:val="center"/>
          </w:tcPr>
          <w:p w14:paraId="2B24AF57" w14:textId="77777777" w:rsidR="004A0123" w:rsidRPr="000D3D0C" w:rsidRDefault="004A0123" w:rsidP="008A5C11">
            <w:pPr>
              <w:jc w:val="center"/>
              <w:rPr>
                <w:color w:val="000000"/>
                <w:sz w:val="16"/>
                <w:szCs w:val="16"/>
              </w:rPr>
            </w:pPr>
            <w:r w:rsidRPr="000D3D0C">
              <w:rPr>
                <w:color w:val="000000"/>
                <w:sz w:val="16"/>
                <w:szCs w:val="16"/>
              </w:rPr>
              <w:t>3,70</w:t>
            </w:r>
          </w:p>
        </w:tc>
        <w:tc>
          <w:tcPr>
            <w:tcW w:w="182" w:type="pct"/>
            <w:shd w:val="clear" w:color="auto" w:fill="auto"/>
            <w:tcMar>
              <w:left w:w="28" w:type="dxa"/>
              <w:right w:w="28" w:type="dxa"/>
            </w:tcMar>
            <w:vAlign w:val="center"/>
          </w:tcPr>
          <w:p w14:paraId="396763A3" w14:textId="77777777" w:rsidR="004A0123" w:rsidRPr="000D3D0C" w:rsidRDefault="004A0123" w:rsidP="008A5C11">
            <w:pPr>
              <w:jc w:val="center"/>
              <w:rPr>
                <w:color w:val="000000"/>
                <w:sz w:val="16"/>
                <w:szCs w:val="16"/>
              </w:rPr>
            </w:pPr>
            <w:r w:rsidRPr="000D3D0C">
              <w:rPr>
                <w:color w:val="000000"/>
                <w:sz w:val="16"/>
                <w:szCs w:val="16"/>
              </w:rPr>
              <w:t>3,70</w:t>
            </w:r>
          </w:p>
        </w:tc>
        <w:tc>
          <w:tcPr>
            <w:tcW w:w="182" w:type="pct"/>
            <w:shd w:val="clear" w:color="auto" w:fill="auto"/>
            <w:tcMar>
              <w:left w:w="28" w:type="dxa"/>
              <w:right w:w="28" w:type="dxa"/>
            </w:tcMar>
            <w:vAlign w:val="center"/>
          </w:tcPr>
          <w:p w14:paraId="4E66458C" w14:textId="77777777" w:rsidR="004A0123" w:rsidRPr="000D3D0C" w:rsidRDefault="004A0123" w:rsidP="008A5C11">
            <w:pPr>
              <w:jc w:val="center"/>
              <w:rPr>
                <w:color w:val="000000"/>
                <w:sz w:val="16"/>
                <w:szCs w:val="16"/>
              </w:rPr>
            </w:pPr>
            <w:r w:rsidRPr="000D3D0C">
              <w:rPr>
                <w:color w:val="000000"/>
                <w:sz w:val="16"/>
                <w:szCs w:val="16"/>
              </w:rPr>
              <w:t>3,70</w:t>
            </w:r>
          </w:p>
        </w:tc>
        <w:tc>
          <w:tcPr>
            <w:tcW w:w="214" w:type="pct"/>
            <w:shd w:val="clear" w:color="auto" w:fill="auto"/>
            <w:vAlign w:val="center"/>
          </w:tcPr>
          <w:p w14:paraId="4486E3D3" w14:textId="77777777" w:rsidR="004A0123" w:rsidRPr="000D3D0C" w:rsidRDefault="004A0123" w:rsidP="008A5C11">
            <w:pPr>
              <w:jc w:val="center"/>
              <w:rPr>
                <w:color w:val="000000"/>
                <w:sz w:val="16"/>
                <w:szCs w:val="16"/>
              </w:rPr>
            </w:pPr>
            <w:r w:rsidRPr="000D3D0C">
              <w:rPr>
                <w:color w:val="000000"/>
                <w:sz w:val="16"/>
                <w:szCs w:val="16"/>
              </w:rPr>
              <w:t>3,70</w:t>
            </w:r>
          </w:p>
        </w:tc>
        <w:tc>
          <w:tcPr>
            <w:tcW w:w="368" w:type="pct"/>
            <w:shd w:val="clear" w:color="auto" w:fill="auto"/>
            <w:tcMar>
              <w:left w:w="28" w:type="dxa"/>
              <w:right w:w="28" w:type="dxa"/>
            </w:tcMar>
            <w:vAlign w:val="center"/>
          </w:tcPr>
          <w:p w14:paraId="05DEF8F0" w14:textId="77777777" w:rsidR="004A0123" w:rsidRPr="000D3D0C" w:rsidRDefault="004A0123" w:rsidP="008A5C11">
            <w:pPr>
              <w:jc w:val="center"/>
              <w:rPr>
                <w:sz w:val="16"/>
                <w:szCs w:val="16"/>
              </w:rPr>
            </w:pPr>
            <w:r w:rsidRPr="000D3D0C">
              <w:rPr>
                <w:sz w:val="16"/>
                <w:szCs w:val="16"/>
              </w:rPr>
              <w:t>0,00</w:t>
            </w:r>
          </w:p>
        </w:tc>
        <w:tc>
          <w:tcPr>
            <w:tcW w:w="182" w:type="pct"/>
            <w:shd w:val="clear" w:color="auto" w:fill="auto"/>
            <w:tcMar>
              <w:left w:w="28" w:type="dxa"/>
              <w:right w:w="28" w:type="dxa"/>
            </w:tcMar>
            <w:vAlign w:val="center"/>
          </w:tcPr>
          <w:p w14:paraId="5600B626" w14:textId="77777777" w:rsidR="004A0123" w:rsidRPr="000D3D0C" w:rsidRDefault="004A0123" w:rsidP="008A5C11">
            <w:pPr>
              <w:jc w:val="center"/>
              <w:rPr>
                <w:sz w:val="16"/>
                <w:szCs w:val="16"/>
              </w:rPr>
            </w:pPr>
            <w:r w:rsidRPr="000D3D0C">
              <w:rPr>
                <w:sz w:val="16"/>
                <w:szCs w:val="16"/>
              </w:rPr>
              <w:t>0,00</w:t>
            </w:r>
          </w:p>
        </w:tc>
        <w:tc>
          <w:tcPr>
            <w:tcW w:w="182" w:type="pct"/>
            <w:shd w:val="clear" w:color="auto" w:fill="auto"/>
            <w:tcMar>
              <w:left w:w="28" w:type="dxa"/>
              <w:right w:w="28" w:type="dxa"/>
            </w:tcMar>
            <w:vAlign w:val="center"/>
          </w:tcPr>
          <w:p w14:paraId="7458BB06" w14:textId="77777777" w:rsidR="004A0123" w:rsidRPr="000D3D0C" w:rsidRDefault="004A0123" w:rsidP="008A5C11">
            <w:pPr>
              <w:jc w:val="center"/>
              <w:rPr>
                <w:sz w:val="16"/>
                <w:szCs w:val="16"/>
              </w:rPr>
            </w:pPr>
            <w:r w:rsidRPr="000D3D0C">
              <w:rPr>
                <w:sz w:val="16"/>
                <w:szCs w:val="16"/>
              </w:rPr>
              <w:t>0,00</w:t>
            </w:r>
          </w:p>
        </w:tc>
        <w:tc>
          <w:tcPr>
            <w:tcW w:w="182" w:type="pct"/>
            <w:shd w:val="clear" w:color="auto" w:fill="auto"/>
            <w:tcMar>
              <w:left w:w="28" w:type="dxa"/>
              <w:right w:w="28" w:type="dxa"/>
            </w:tcMar>
            <w:vAlign w:val="center"/>
          </w:tcPr>
          <w:p w14:paraId="0B0BD29D" w14:textId="77777777" w:rsidR="004A0123" w:rsidRPr="000D3D0C" w:rsidRDefault="004A0123" w:rsidP="008A5C11">
            <w:pPr>
              <w:jc w:val="center"/>
              <w:rPr>
                <w:sz w:val="16"/>
                <w:szCs w:val="16"/>
              </w:rPr>
            </w:pPr>
            <w:r w:rsidRPr="000D3D0C">
              <w:rPr>
                <w:sz w:val="16"/>
                <w:szCs w:val="16"/>
              </w:rPr>
              <w:t>0,00</w:t>
            </w:r>
          </w:p>
        </w:tc>
        <w:tc>
          <w:tcPr>
            <w:tcW w:w="182" w:type="pct"/>
            <w:shd w:val="clear" w:color="auto" w:fill="auto"/>
            <w:vAlign w:val="center"/>
          </w:tcPr>
          <w:p w14:paraId="5F9B8735" w14:textId="77777777" w:rsidR="004A0123" w:rsidRPr="000D3D0C" w:rsidRDefault="004A0123" w:rsidP="008A5C11">
            <w:pPr>
              <w:jc w:val="center"/>
              <w:rPr>
                <w:sz w:val="16"/>
                <w:szCs w:val="16"/>
              </w:rPr>
            </w:pPr>
            <w:r w:rsidRPr="000D3D0C">
              <w:rPr>
                <w:sz w:val="16"/>
                <w:szCs w:val="16"/>
              </w:rPr>
              <w:t>0,00</w:t>
            </w:r>
          </w:p>
        </w:tc>
        <w:tc>
          <w:tcPr>
            <w:tcW w:w="182" w:type="pct"/>
            <w:shd w:val="clear" w:color="auto" w:fill="auto"/>
            <w:vAlign w:val="center"/>
          </w:tcPr>
          <w:p w14:paraId="6C9EE29B" w14:textId="77777777" w:rsidR="004A0123" w:rsidRPr="000D3D0C" w:rsidRDefault="004A0123" w:rsidP="008A5C11">
            <w:pPr>
              <w:jc w:val="center"/>
              <w:rPr>
                <w:sz w:val="16"/>
                <w:szCs w:val="16"/>
              </w:rPr>
            </w:pPr>
            <w:r w:rsidRPr="000D3D0C">
              <w:rPr>
                <w:sz w:val="16"/>
                <w:szCs w:val="16"/>
              </w:rPr>
              <w:t>0,00</w:t>
            </w:r>
          </w:p>
        </w:tc>
        <w:tc>
          <w:tcPr>
            <w:tcW w:w="182" w:type="pct"/>
            <w:shd w:val="clear" w:color="auto" w:fill="auto"/>
            <w:tcMar>
              <w:left w:w="28" w:type="dxa"/>
              <w:right w:w="28" w:type="dxa"/>
            </w:tcMar>
            <w:vAlign w:val="center"/>
          </w:tcPr>
          <w:p w14:paraId="266832CC" w14:textId="77777777" w:rsidR="004A0123" w:rsidRPr="000D3D0C" w:rsidRDefault="004A0123" w:rsidP="008A5C11">
            <w:pPr>
              <w:jc w:val="center"/>
              <w:rPr>
                <w:sz w:val="16"/>
                <w:szCs w:val="16"/>
              </w:rPr>
            </w:pPr>
            <w:r w:rsidRPr="000D3D0C">
              <w:rPr>
                <w:sz w:val="16"/>
                <w:szCs w:val="16"/>
              </w:rPr>
              <w:t>0,00</w:t>
            </w:r>
          </w:p>
        </w:tc>
        <w:tc>
          <w:tcPr>
            <w:tcW w:w="182" w:type="pct"/>
            <w:shd w:val="clear" w:color="auto" w:fill="auto"/>
            <w:tcMar>
              <w:left w:w="28" w:type="dxa"/>
              <w:right w:w="28" w:type="dxa"/>
            </w:tcMar>
            <w:vAlign w:val="center"/>
          </w:tcPr>
          <w:p w14:paraId="06717189" w14:textId="77777777" w:rsidR="004A0123" w:rsidRPr="000D3D0C" w:rsidRDefault="004A0123" w:rsidP="008A5C11">
            <w:pPr>
              <w:jc w:val="center"/>
              <w:rPr>
                <w:sz w:val="16"/>
                <w:szCs w:val="16"/>
              </w:rPr>
            </w:pPr>
            <w:r w:rsidRPr="000D3D0C">
              <w:rPr>
                <w:sz w:val="16"/>
                <w:szCs w:val="16"/>
              </w:rPr>
              <w:t>0,00</w:t>
            </w:r>
          </w:p>
        </w:tc>
        <w:tc>
          <w:tcPr>
            <w:tcW w:w="182" w:type="pct"/>
            <w:shd w:val="clear" w:color="auto" w:fill="auto"/>
            <w:tcMar>
              <w:left w:w="28" w:type="dxa"/>
              <w:right w:w="28" w:type="dxa"/>
            </w:tcMar>
            <w:vAlign w:val="center"/>
          </w:tcPr>
          <w:p w14:paraId="491D5BCD" w14:textId="77777777" w:rsidR="004A0123" w:rsidRPr="000D3D0C" w:rsidRDefault="004A0123" w:rsidP="008A5C11">
            <w:pPr>
              <w:jc w:val="center"/>
              <w:rPr>
                <w:sz w:val="16"/>
                <w:szCs w:val="16"/>
              </w:rPr>
            </w:pPr>
            <w:r w:rsidRPr="000D3D0C">
              <w:rPr>
                <w:sz w:val="16"/>
                <w:szCs w:val="16"/>
              </w:rPr>
              <w:t>0,00</w:t>
            </w:r>
          </w:p>
        </w:tc>
        <w:tc>
          <w:tcPr>
            <w:tcW w:w="182" w:type="pct"/>
            <w:shd w:val="clear" w:color="auto" w:fill="auto"/>
            <w:tcMar>
              <w:left w:w="28" w:type="dxa"/>
              <w:right w:w="28" w:type="dxa"/>
            </w:tcMar>
            <w:vAlign w:val="center"/>
          </w:tcPr>
          <w:p w14:paraId="0657A8CF" w14:textId="77777777" w:rsidR="004A0123" w:rsidRPr="000D3D0C" w:rsidRDefault="004A0123" w:rsidP="008A5C11">
            <w:pPr>
              <w:jc w:val="center"/>
              <w:rPr>
                <w:sz w:val="16"/>
                <w:szCs w:val="16"/>
              </w:rPr>
            </w:pPr>
            <w:r w:rsidRPr="000D3D0C">
              <w:rPr>
                <w:sz w:val="16"/>
                <w:szCs w:val="16"/>
              </w:rPr>
              <w:t>0,00</w:t>
            </w:r>
          </w:p>
        </w:tc>
        <w:tc>
          <w:tcPr>
            <w:tcW w:w="117" w:type="pct"/>
            <w:shd w:val="clear" w:color="auto" w:fill="auto"/>
            <w:vAlign w:val="center"/>
          </w:tcPr>
          <w:p w14:paraId="6BF3BECD" w14:textId="77777777" w:rsidR="004A0123" w:rsidRPr="000D3D0C" w:rsidRDefault="004A0123" w:rsidP="008A5C11">
            <w:pPr>
              <w:jc w:val="center"/>
              <w:rPr>
                <w:sz w:val="16"/>
                <w:szCs w:val="16"/>
              </w:rPr>
            </w:pPr>
            <w:r w:rsidRPr="000D3D0C">
              <w:rPr>
                <w:sz w:val="16"/>
                <w:szCs w:val="16"/>
              </w:rPr>
              <w:t>0,00</w:t>
            </w:r>
          </w:p>
        </w:tc>
      </w:tr>
      <w:tr w:rsidR="004A0123" w:rsidRPr="000D3D0C" w14:paraId="4F32792D" w14:textId="77777777" w:rsidTr="008A5C11">
        <w:trPr>
          <w:trHeight w:val="148"/>
          <w:jc w:val="center"/>
        </w:trPr>
        <w:tc>
          <w:tcPr>
            <w:tcW w:w="134" w:type="pct"/>
            <w:tcMar>
              <w:top w:w="62" w:type="dxa"/>
              <w:left w:w="28" w:type="dxa"/>
              <w:bottom w:w="102" w:type="dxa"/>
              <w:right w:w="28" w:type="dxa"/>
            </w:tcMar>
            <w:vAlign w:val="center"/>
          </w:tcPr>
          <w:p w14:paraId="6AA93683" w14:textId="77777777" w:rsidR="004A0123" w:rsidRPr="000D3D0C" w:rsidRDefault="004A0123" w:rsidP="008A5C11">
            <w:pPr>
              <w:jc w:val="center"/>
              <w:rPr>
                <w:sz w:val="16"/>
                <w:szCs w:val="16"/>
              </w:rPr>
            </w:pPr>
            <w:r w:rsidRPr="000D3D0C">
              <w:rPr>
                <w:sz w:val="16"/>
                <w:szCs w:val="16"/>
              </w:rPr>
              <w:t>6</w:t>
            </w:r>
          </w:p>
        </w:tc>
        <w:tc>
          <w:tcPr>
            <w:tcW w:w="533" w:type="pct"/>
            <w:tcMar>
              <w:top w:w="62" w:type="dxa"/>
              <w:left w:w="28" w:type="dxa"/>
              <w:bottom w:w="102" w:type="dxa"/>
              <w:right w:w="28" w:type="dxa"/>
            </w:tcMar>
            <w:vAlign w:val="center"/>
          </w:tcPr>
          <w:p w14:paraId="789D31C7" w14:textId="77777777" w:rsidR="004A0123" w:rsidRPr="000D3D0C" w:rsidRDefault="004A0123" w:rsidP="008A5C11">
            <w:pPr>
              <w:jc w:val="center"/>
              <w:rPr>
                <w:color w:val="000000"/>
                <w:sz w:val="16"/>
                <w:szCs w:val="16"/>
              </w:rPr>
            </w:pPr>
            <w:r w:rsidRPr="000D3D0C">
              <w:rPr>
                <w:color w:val="000000"/>
                <w:sz w:val="16"/>
                <w:szCs w:val="16"/>
              </w:rPr>
              <w:t>Котельная Диспансер</w:t>
            </w:r>
          </w:p>
        </w:tc>
        <w:tc>
          <w:tcPr>
            <w:tcW w:w="320" w:type="pct"/>
            <w:shd w:val="clear" w:color="auto" w:fill="auto"/>
            <w:tcMar>
              <w:left w:w="28" w:type="dxa"/>
              <w:right w:w="28" w:type="dxa"/>
            </w:tcMar>
            <w:vAlign w:val="center"/>
          </w:tcPr>
          <w:p w14:paraId="418BA411" w14:textId="77777777" w:rsidR="004A0123" w:rsidRPr="000D3D0C" w:rsidRDefault="004A0123" w:rsidP="008A5C11">
            <w:pPr>
              <w:jc w:val="center"/>
              <w:rPr>
                <w:color w:val="000000"/>
                <w:sz w:val="16"/>
                <w:szCs w:val="16"/>
              </w:rPr>
            </w:pPr>
            <w:r w:rsidRPr="000D3D0C">
              <w:rPr>
                <w:color w:val="000000"/>
                <w:sz w:val="16"/>
                <w:szCs w:val="16"/>
              </w:rPr>
              <w:t>0,00</w:t>
            </w:r>
          </w:p>
        </w:tc>
        <w:tc>
          <w:tcPr>
            <w:tcW w:w="187" w:type="pct"/>
            <w:shd w:val="clear" w:color="auto" w:fill="auto"/>
            <w:tcMar>
              <w:left w:w="28" w:type="dxa"/>
              <w:right w:w="28" w:type="dxa"/>
            </w:tcMar>
            <w:vAlign w:val="center"/>
          </w:tcPr>
          <w:p w14:paraId="2521F4EC" w14:textId="77777777" w:rsidR="004A0123" w:rsidRPr="000D3D0C" w:rsidRDefault="004A0123" w:rsidP="008A5C11">
            <w:pPr>
              <w:jc w:val="center"/>
              <w:rPr>
                <w:color w:val="000000"/>
                <w:sz w:val="16"/>
                <w:szCs w:val="16"/>
              </w:rPr>
            </w:pPr>
            <w:r w:rsidRPr="000D3D0C">
              <w:rPr>
                <w:color w:val="000000"/>
                <w:sz w:val="16"/>
                <w:szCs w:val="16"/>
              </w:rPr>
              <w:t>0,00</w:t>
            </w:r>
          </w:p>
        </w:tc>
        <w:tc>
          <w:tcPr>
            <w:tcW w:w="193" w:type="pct"/>
            <w:shd w:val="clear" w:color="auto" w:fill="auto"/>
            <w:tcMar>
              <w:left w:w="28" w:type="dxa"/>
              <w:right w:w="28" w:type="dxa"/>
            </w:tcMar>
            <w:vAlign w:val="center"/>
          </w:tcPr>
          <w:p w14:paraId="22BDC5EC" w14:textId="77777777" w:rsidR="004A0123" w:rsidRPr="000D3D0C" w:rsidRDefault="004A0123" w:rsidP="008A5C11">
            <w:pPr>
              <w:jc w:val="center"/>
              <w:rPr>
                <w:color w:val="000000"/>
                <w:sz w:val="16"/>
                <w:szCs w:val="16"/>
              </w:rPr>
            </w:pPr>
            <w:r w:rsidRPr="000D3D0C">
              <w:rPr>
                <w:color w:val="000000"/>
                <w:sz w:val="16"/>
                <w:szCs w:val="16"/>
              </w:rPr>
              <w:t>0,00</w:t>
            </w:r>
          </w:p>
        </w:tc>
        <w:tc>
          <w:tcPr>
            <w:tcW w:w="193" w:type="pct"/>
            <w:shd w:val="clear" w:color="auto" w:fill="auto"/>
            <w:tcMar>
              <w:left w:w="28" w:type="dxa"/>
              <w:right w:w="28" w:type="dxa"/>
            </w:tcMar>
            <w:vAlign w:val="center"/>
          </w:tcPr>
          <w:p w14:paraId="655EAD73" w14:textId="77777777" w:rsidR="004A0123" w:rsidRPr="000D3D0C" w:rsidRDefault="004A0123" w:rsidP="008A5C11">
            <w:pPr>
              <w:jc w:val="center"/>
              <w:rPr>
                <w:color w:val="000000"/>
                <w:sz w:val="16"/>
                <w:szCs w:val="16"/>
              </w:rPr>
            </w:pPr>
            <w:r w:rsidRPr="000D3D0C">
              <w:rPr>
                <w:color w:val="000000"/>
                <w:sz w:val="16"/>
                <w:szCs w:val="16"/>
              </w:rPr>
              <w:t>0,00</w:t>
            </w:r>
          </w:p>
        </w:tc>
        <w:tc>
          <w:tcPr>
            <w:tcW w:w="193" w:type="pct"/>
            <w:shd w:val="clear" w:color="auto" w:fill="auto"/>
            <w:vAlign w:val="center"/>
          </w:tcPr>
          <w:p w14:paraId="7C30EFE3" w14:textId="77777777" w:rsidR="004A0123" w:rsidRPr="000D3D0C" w:rsidRDefault="004A0123" w:rsidP="008A5C11">
            <w:pPr>
              <w:jc w:val="center"/>
              <w:rPr>
                <w:color w:val="000000"/>
                <w:sz w:val="16"/>
                <w:szCs w:val="16"/>
              </w:rPr>
            </w:pPr>
            <w:r w:rsidRPr="000D3D0C">
              <w:rPr>
                <w:color w:val="000000"/>
                <w:sz w:val="16"/>
                <w:szCs w:val="16"/>
              </w:rPr>
              <w:t>0,00</w:t>
            </w:r>
          </w:p>
        </w:tc>
        <w:tc>
          <w:tcPr>
            <w:tcW w:w="182" w:type="pct"/>
            <w:shd w:val="clear" w:color="auto" w:fill="auto"/>
            <w:vAlign w:val="center"/>
          </w:tcPr>
          <w:p w14:paraId="7C6FD2DE" w14:textId="77777777" w:rsidR="004A0123" w:rsidRPr="000D3D0C" w:rsidRDefault="004A0123" w:rsidP="008A5C11">
            <w:pPr>
              <w:jc w:val="center"/>
              <w:rPr>
                <w:color w:val="000000"/>
                <w:sz w:val="16"/>
                <w:szCs w:val="16"/>
              </w:rPr>
            </w:pPr>
            <w:r w:rsidRPr="000D3D0C">
              <w:rPr>
                <w:color w:val="000000"/>
                <w:sz w:val="16"/>
                <w:szCs w:val="16"/>
              </w:rPr>
              <w:t>0,00</w:t>
            </w:r>
          </w:p>
        </w:tc>
        <w:tc>
          <w:tcPr>
            <w:tcW w:w="182" w:type="pct"/>
            <w:shd w:val="clear" w:color="auto" w:fill="auto"/>
            <w:tcMar>
              <w:left w:w="28" w:type="dxa"/>
              <w:right w:w="28" w:type="dxa"/>
            </w:tcMar>
            <w:vAlign w:val="center"/>
          </w:tcPr>
          <w:p w14:paraId="68F99524" w14:textId="77777777" w:rsidR="004A0123" w:rsidRPr="000D3D0C" w:rsidRDefault="004A0123" w:rsidP="008A5C11">
            <w:pPr>
              <w:jc w:val="center"/>
              <w:rPr>
                <w:color w:val="000000"/>
                <w:sz w:val="16"/>
                <w:szCs w:val="16"/>
              </w:rPr>
            </w:pPr>
            <w:r w:rsidRPr="000D3D0C">
              <w:rPr>
                <w:color w:val="000000"/>
                <w:sz w:val="16"/>
                <w:szCs w:val="16"/>
              </w:rPr>
              <w:t>0,00</w:t>
            </w:r>
          </w:p>
        </w:tc>
        <w:tc>
          <w:tcPr>
            <w:tcW w:w="182" w:type="pct"/>
            <w:shd w:val="clear" w:color="auto" w:fill="auto"/>
            <w:tcMar>
              <w:left w:w="28" w:type="dxa"/>
              <w:right w:w="28" w:type="dxa"/>
            </w:tcMar>
            <w:vAlign w:val="center"/>
          </w:tcPr>
          <w:p w14:paraId="49DB8814" w14:textId="77777777" w:rsidR="004A0123" w:rsidRPr="000D3D0C" w:rsidRDefault="004A0123" w:rsidP="008A5C11">
            <w:pPr>
              <w:jc w:val="center"/>
              <w:rPr>
                <w:color w:val="000000"/>
                <w:sz w:val="16"/>
                <w:szCs w:val="16"/>
              </w:rPr>
            </w:pPr>
            <w:r w:rsidRPr="000D3D0C">
              <w:rPr>
                <w:color w:val="000000"/>
                <w:sz w:val="16"/>
                <w:szCs w:val="16"/>
              </w:rPr>
              <w:t>0,00</w:t>
            </w:r>
          </w:p>
        </w:tc>
        <w:tc>
          <w:tcPr>
            <w:tcW w:w="182" w:type="pct"/>
            <w:shd w:val="clear" w:color="auto" w:fill="auto"/>
            <w:tcMar>
              <w:left w:w="28" w:type="dxa"/>
              <w:right w:w="28" w:type="dxa"/>
            </w:tcMar>
            <w:vAlign w:val="center"/>
          </w:tcPr>
          <w:p w14:paraId="060046BA" w14:textId="77777777" w:rsidR="004A0123" w:rsidRPr="000D3D0C" w:rsidRDefault="004A0123" w:rsidP="008A5C11">
            <w:pPr>
              <w:jc w:val="center"/>
              <w:rPr>
                <w:color w:val="000000"/>
                <w:sz w:val="16"/>
                <w:szCs w:val="16"/>
              </w:rPr>
            </w:pPr>
            <w:r w:rsidRPr="000D3D0C">
              <w:rPr>
                <w:color w:val="000000"/>
                <w:sz w:val="16"/>
                <w:szCs w:val="16"/>
              </w:rPr>
              <w:t>0,00</w:t>
            </w:r>
          </w:p>
        </w:tc>
        <w:tc>
          <w:tcPr>
            <w:tcW w:w="182" w:type="pct"/>
            <w:shd w:val="clear" w:color="auto" w:fill="auto"/>
            <w:tcMar>
              <w:left w:w="28" w:type="dxa"/>
              <w:right w:w="28" w:type="dxa"/>
            </w:tcMar>
            <w:vAlign w:val="center"/>
          </w:tcPr>
          <w:p w14:paraId="53A610C8" w14:textId="77777777" w:rsidR="004A0123" w:rsidRPr="000D3D0C" w:rsidRDefault="004A0123" w:rsidP="008A5C11">
            <w:pPr>
              <w:jc w:val="center"/>
              <w:rPr>
                <w:color w:val="000000"/>
                <w:sz w:val="16"/>
                <w:szCs w:val="16"/>
              </w:rPr>
            </w:pPr>
            <w:r w:rsidRPr="000D3D0C">
              <w:rPr>
                <w:color w:val="000000"/>
                <w:sz w:val="16"/>
                <w:szCs w:val="16"/>
              </w:rPr>
              <w:t>0,00</w:t>
            </w:r>
          </w:p>
        </w:tc>
        <w:tc>
          <w:tcPr>
            <w:tcW w:w="214" w:type="pct"/>
            <w:shd w:val="clear" w:color="auto" w:fill="auto"/>
            <w:vAlign w:val="center"/>
          </w:tcPr>
          <w:p w14:paraId="24DE9FE0" w14:textId="77777777" w:rsidR="004A0123" w:rsidRPr="000D3D0C" w:rsidRDefault="004A0123" w:rsidP="008A5C11">
            <w:pPr>
              <w:jc w:val="center"/>
              <w:rPr>
                <w:color w:val="000000"/>
                <w:sz w:val="16"/>
                <w:szCs w:val="16"/>
              </w:rPr>
            </w:pPr>
            <w:r w:rsidRPr="000D3D0C">
              <w:rPr>
                <w:color w:val="000000"/>
                <w:sz w:val="16"/>
                <w:szCs w:val="16"/>
              </w:rPr>
              <w:t>0,00</w:t>
            </w:r>
          </w:p>
        </w:tc>
        <w:tc>
          <w:tcPr>
            <w:tcW w:w="368" w:type="pct"/>
            <w:shd w:val="clear" w:color="auto" w:fill="auto"/>
            <w:tcMar>
              <w:left w:w="28" w:type="dxa"/>
              <w:right w:w="28" w:type="dxa"/>
            </w:tcMar>
            <w:vAlign w:val="center"/>
          </w:tcPr>
          <w:p w14:paraId="0BA81857" w14:textId="77777777" w:rsidR="004A0123" w:rsidRPr="000D3D0C" w:rsidRDefault="004A0123" w:rsidP="008A5C11">
            <w:pPr>
              <w:jc w:val="center"/>
              <w:rPr>
                <w:sz w:val="16"/>
                <w:szCs w:val="16"/>
              </w:rPr>
            </w:pPr>
            <w:r w:rsidRPr="000D3D0C">
              <w:rPr>
                <w:sz w:val="16"/>
                <w:szCs w:val="16"/>
              </w:rPr>
              <w:t>1,01</w:t>
            </w:r>
          </w:p>
        </w:tc>
        <w:tc>
          <w:tcPr>
            <w:tcW w:w="182" w:type="pct"/>
            <w:shd w:val="clear" w:color="auto" w:fill="auto"/>
            <w:tcMar>
              <w:left w:w="28" w:type="dxa"/>
              <w:right w:w="28" w:type="dxa"/>
            </w:tcMar>
            <w:vAlign w:val="center"/>
          </w:tcPr>
          <w:p w14:paraId="4ABA6B6A" w14:textId="77777777" w:rsidR="004A0123" w:rsidRPr="000D3D0C" w:rsidRDefault="004A0123" w:rsidP="008A5C11">
            <w:pPr>
              <w:jc w:val="center"/>
              <w:rPr>
                <w:sz w:val="16"/>
                <w:szCs w:val="16"/>
              </w:rPr>
            </w:pPr>
            <w:r w:rsidRPr="000D3D0C">
              <w:rPr>
                <w:sz w:val="16"/>
                <w:szCs w:val="16"/>
              </w:rPr>
              <w:t>1,01</w:t>
            </w:r>
          </w:p>
        </w:tc>
        <w:tc>
          <w:tcPr>
            <w:tcW w:w="182" w:type="pct"/>
            <w:shd w:val="clear" w:color="auto" w:fill="auto"/>
            <w:tcMar>
              <w:left w:w="28" w:type="dxa"/>
              <w:right w:w="28" w:type="dxa"/>
            </w:tcMar>
            <w:vAlign w:val="center"/>
          </w:tcPr>
          <w:p w14:paraId="6CB7A8FB" w14:textId="77777777" w:rsidR="004A0123" w:rsidRPr="000D3D0C" w:rsidRDefault="004A0123" w:rsidP="008A5C11">
            <w:pPr>
              <w:jc w:val="center"/>
              <w:rPr>
                <w:sz w:val="16"/>
                <w:szCs w:val="16"/>
              </w:rPr>
            </w:pPr>
            <w:r w:rsidRPr="000D3D0C">
              <w:rPr>
                <w:sz w:val="16"/>
                <w:szCs w:val="16"/>
              </w:rPr>
              <w:t>1,01</w:t>
            </w:r>
          </w:p>
        </w:tc>
        <w:tc>
          <w:tcPr>
            <w:tcW w:w="182" w:type="pct"/>
            <w:shd w:val="clear" w:color="auto" w:fill="auto"/>
            <w:tcMar>
              <w:left w:w="28" w:type="dxa"/>
              <w:right w:w="28" w:type="dxa"/>
            </w:tcMar>
            <w:vAlign w:val="center"/>
          </w:tcPr>
          <w:p w14:paraId="5CDA9F77" w14:textId="77777777" w:rsidR="004A0123" w:rsidRPr="000D3D0C" w:rsidRDefault="004A0123" w:rsidP="008A5C11">
            <w:pPr>
              <w:jc w:val="center"/>
              <w:rPr>
                <w:sz w:val="16"/>
                <w:szCs w:val="16"/>
              </w:rPr>
            </w:pPr>
            <w:r w:rsidRPr="000D3D0C">
              <w:rPr>
                <w:sz w:val="16"/>
                <w:szCs w:val="16"/>
              </w:rPr>
              <w:t>1,01</w:t>
            </w:r>
          </w:p>
        </w:tc>
        <w:tc>
          <w:tcPr>
            <w:tcW w:w="182" w:type="pct"/>
            <w:shd w:val="clear" w:color="auto" w:fill="auto"/>
            <w:vAlign w:val="center"/>
          </w:tcPr>
          <w:p w14:paraId="4A2482DA" w14:textId="77777777" w:rsidR="004A0123" w:rsidRPr="000D3D0C" w:rsidRDefault="004A0123" w:rsidP="008A5C11">
            <w:pPr>
              <w:jc w:val="center"/>
              <w:rPr>
                <w:sz w:val="16"/>
                <w:szCs w:val="16"/>
              </w:rPr>
            </w:pPr>
            <w:r w:rsidRPr="000D3D0C">
              <w:rPr>
                <w:sz w:val="16"/>
                <w:szCs w:val="16"/>
              </w:rPr>
              <w:t>1,01</w:t>
            </w:r>
          </w:p>
        </w:tc>
        <w:tc>
          <w:tcPr>
            <w:tcW w:w="182" w:type="pct"/>
            <w:shd w:val="clear" w:color="auto" w:fill="auto"/>
            <w:vAlign w:val="center"/>
          </w:tcPr>
          <w:p w14:paraId="75BCD13D" w14:textId="77777777" w:rsidR="004A0123" w:rsidRPr="000D3D0C" w:rsidRDefault="004A0123" w:rsidP="008A5C11">
            <w:pPr>
              <w:jc w:val="center"/>
              <w:rPr>
                <w:sz w:val="16"/>
                <w:szCs w:val="16"/>
              </w:rPr>
            </w:pPr>
            <w:r w:rsidRPr="000D3D0C">
              <w:rPr>
                <w:sz w:val="16"/>
                <w:szCs w:val="16"/>
              </w:rPr>
              <w:t>1,01</w:t>
            </w:r>
          </w:p>
        </w:tc>
        <w:tc>
          <w:tcPr>
            <w:tcW w:w="182" w:type="pct"/>
            <w:shd w:val="clear" w:color="auto" w:fill="auto"/>
            <w:tcMar>
              <w:left w:w="28" w:type="dxa"/>
              <w:right w:w="28" w:type="dxa"/>
            </w:tcMar>
            <w:vAlign w:val="center"/>
          </w:tcPr>
          <w:p w14:paraId="67B40E83" w14:textId="77777777" w:rsidR="004A0123" w:rsidRPr="000D3D0C" w:rsidRDefault="004A0123" w:rsidP="008A5C11">
            <w:pPr>
              <w:jc w:val="center"/>
              <w:rPr>
                <w:sz w:val="16"/>
                <w:szCs w:val="16"/>
              </w:rPr>
            </w:pPr>
            <w:r w:rsidRPr="000D3D0C">
              <w:rPr>
                <w:sz w:val="16"/>
                <w:szCs w:val="16"/>
              </w:rPr>
              <w:t>1,01</w:t>
            </w:r>
          </w:p>
        </w:tc>
        <w:tc>
          <w:tcPr>
            <w:tcW w:w="182" w:type="pct"/>
            <w:shd w:val="clear" w:color="auto" w:fill="auto"/>
            <w:tcMar>
              <w:left w:w="28" w:type="dxa"/>
              <w:right w:w="28" w:type="dxa"/>
            </w:tcMar>
            <w:vAlign w:val="center"/>
          </w:tcPr>
          <w:p w14:paraId="019DB373" w14:textId="77777777" w:rsidR="004A0123" w:rsidRPr="000D3D0C" w:rsidRDefault="004A0123" w:rsidP="008A5C11">
            <w:pPr>
              <w:jc w:val="center"/>
              <w:rPr>
                <w:sz w:val="16"/>
                <w:szCs w:val="16"/>
              </w:rPr>
            </w:pPr>
            <w:r w:rsidRPr="000D3D0C">
              <w:rPr>
                <w:sz w:val="16"/>
                <w:szCs w:val="16"/>
              </w:rPr>
              <w:t>1,01</w:t>
            </w:r>
          </w:p>
        </w:tc>
        <w:tc>
          <w:tcPr>
            <w:tcW w:w="182" w:type="pct"/>
            <w:shd w:val="clear" w:color="auto" w:fill="auto"/>
            <w:tcMar>
              <w:left w:w="28" w:type="dxa"/>
              <w:right w:w="28" w:type="dxa"/>
            </w:tcMar>
            <w:vAlign w:val="center"/>
          </w:tcPr>
          <w:p w14:paraId="19F9FFEC" w14:textId="77777777" w:rsidR="004A0123" w:rsidRPr="000D3D0C" w:rsidRDefault="004A0123" w:rsidP="008A5C11">
            <w:pPr>
              <w:jc w:val="center"/>
              <w:rPr>
                <w:sz w:val="16"/>
                <w:szCs w:val="16"/>
              </w:rPr>
            </w:pPr>
            <w:r w:rsidRPr="000D3D0C">
              <w:rPr>
                <w:sz w:val="16"/>
                <w:szCs w:val="16"/>
              </w:rPr>
              <w:t>1,01</w:t>
            </w:r>
          </w:p>
        </w:tc>
        <w:tc>
          <w:tcPr>
            <w:tcW w:w="182" w:type="pct"/>
            <w:shd w:val="clear" w:color="auto" w:fill="auto"/>
            <w:tcMar>
              <w:left w:w="28" w:type="dxa"/>
              <w:right w:w="28" w:type="dxa"/>
            </w:tcMar>
            <w:vAlign w:val="center"/>
          </w:tcPr>
          <w:p w14:paraId="26DBBC9B" w14:textId="77777777" w:rsidR="004A0123" w:rsidRPr="000D3D0C" w:rsidRDefault="004A0123" w:rsidP="008A5C11">
            <w:pPr>
              <w:jc w:val="center"/>
              <w:rPr>
                <w:sz w:val="16"/>
                <w:szCs w:val="16"/>
              </w:rPr>
            </w:pPr>
            <w:r w:rsidRPr="000D3D0C">
              <w:rPr>
                <w:sz w:val="16"/>
                <w:szCs w:val="16"/>
              </w:rPr>
              <w:t>1,01</w:t>
            </w:r>
          </w:p>
        </w:tc>
        <w:tc>
          <w:tcPr>
            <w:tcW w:w="117" w:type="pct"/>
            <w:shd w:val="clear" w:color="auto" w:fill="auto"/>
            <w:vAlign w:val="center"/>
          </w:tcPr>
          <w:p w14:paraId="56DF4A4E" w14:textId="77777777" w:rsidR="004A0123" w:rsidRPr="000D3D0C" w:rsidRDefault="004A0123" w:rsidP="008A5C11">
            <w:pPr>
              <w:jc w:val="center"/>
              <w:rPr>
                <w:sz w:val="16"/>
                <w:szCs w:val="16"/>
              </w:rPr>
            </w:pPr>
            <w:r w:rsidRPr="000D3D0C">
              <w:rPr>
                <w:sz w:val="16"/>
                <w:szCs w:val="16"/>
              </w:rPr>
              <w:t>1,01</w:t>
            </w:r>
          </w:p>
        </w:tc>
      </w:tr>
      <w:tr w:rsidR="004A0123" w:rsidRPr="000D3D0C" w14:paraId="24F8A16D" w14:textId="77777777" w:rsidTr="008A5C11">
        <w:trPr>
          <w:trHeight w:val="148"/>
          <w:jc w:val="center"/>
        </w:trPr>
        <w:tc>
          <w:tcPr>
            <w:tcW w:w="668" w:type="pct"/>
            <w:gridSpan w:val="2"/>
            <w:tcMar>
              <w:top w:w="62" w:type="dxa"/>
              <w:left w:w="28" w:type="dxa"/>
              <w:bottom w:w="102" w:type="dxa"/>
              <w:right w:w="28" w:type="dxa"/>
            </w:tcMar>
            <w:vAlign w:val="center"/>
          </w:tcPr>
          <w:p w14:paraId="5E5F859E" w14:textId="77777777" w:rsidR="004A0123" w:rsidRPr="000D3D0C" w:rsidRDefault="004A0123" w:rsidP="008A5C11">
            <w:pPr>
              <w:jc w:val="center"/>
              <w:rPr>
                <w:sz w:val="16"/>
                <w:szCs w:val="16"/>
              </w:rPr>
            </w:pPr>
            <w:r w:rsidRPr="000D3D0C">
              <w:rPr>
                <w:sz w:val="16"/>
                <w:szCs w:val="16"/>
              </w:rPr>
              <w:t>Итого:</w:t>
            </w:r>
          </w:p>
        </w:tc>
        <w:tc>
          <w:tcPr>
            <w:tcW w:w="320" w:type="pct"/>
            <w:shd w:val="clear" w:color="auto" w:fill="auto"/>
            <w:tcMar>
              <w:left w:w="28" w:type="dxa"/>
              <w:right w:w="28" w:type="dxa"/>
            </w:tcMar>
            <w:vAlign w:val="center"/>
          </w:tcPr>
          <w:p w14:paraId="1195E92D" w14:textId="77777777" w:rsidR="004A0123" w:rsidRPr="000D3D0C" w:rsidRDefault="004A0123" w:rsidP="008A5C11">
            <w:pPr>
              <w:jc w:val="center"/>
              <w:rPr>
                <w:color w:val="000000"/>
                <w:sz w:val="16"/>
                <w:szCs w:val="16"/>
              </w:rPr>
            </w:pPr>
            <w:r w:rsidRPr="000D3D0C">
              <w:rPr>
                <w:color w:val="000000"/>
                <w:sz w:val="16"/>
                <w:szCs w:val="16"/>
              </w:rPr>
              <w:t>1,86</w:t>
            </w:r>
          </w:p>
        </w:tc>
        <w:tc>
          <w:tcPr>
            <w:tcW w:w="187" w:type="pct"/>
            <w:shd w:val="clear" w:color="auto" w:fill="auto"/>
            <w:tcMar>
              <w:left w:w="28" w:type="dxa"/>
              <w:right w:w="28" w:type="dxa"/>
            </w:tcMar>
            <w:vAlign w:val="center"/>
          </w:tcPr>
          <w:p w14:paraId="3F1F109B" w14:textId="77777777" w:rsidR="004A0123" w:rsidRPr="000D3D0C" w:rsidRDefault="004A0123" w:rsidP="008A5C11">
            <w:pPr>
              <w:jc w:val="center"/>
              <w:rPr>
                <w:color w:val="000000"/>
                <w:sz w:val="16"/>
                <w:szCs w:val="16"/>
              </w:rPr>
            </w:pPr>
            <w:r w:rsidRPr="000D3D0C">
              <w:rPr>
                <w:color w:val="000000"/>
                <w:sz w:val="16"/>
                <w:szCs w:val="16"/>
              </w:rPr>
              <w:t>1,86</w:t>
            </w:r>
          </w:p>
        </w:tc>
        <w:tc>
          <w:tcPr>
            <w:tcW w:w="193" w:type="pct"/>
            <w:shd w:val="clear" w:color="auto" w:fill="auto"/>
            <w:tcMar>
              <w:left w:w="28" w:type="dxa"/>
              <w:right w:w="28" w:type="dxa"/>
            </w:tcMar>
            <w:vAlign w:val="center"/>
          </w:tcPr>
          <w:p w14:paraId="25CCD90F" w14:textId="77777777" w:rsidR="004A0123" w:rsidRPr="000D3D0C" w:rsidRDefault="004A0123" w:rsidP="008A5C11">
            <w:pPr>
              <w:jc w:val="center"/>
              <w:rPr>
                <w:color w:val="000000"/>
                <w:sz w:val="16"/>
                <w:szCs w:val="16"/>
              </w:rPr>
            </w:pPr>
            <w:r w:rsidRPr="000D3D0C">
              <w:rPr>
                <w:color w:val="000000"/>
                <w:sz w:val="16"/>
                <w:szCs w:val="16"/>
              </w:rPr>
              <w:t>1,86</w:t>
            </w:r>
          </w:p>
        </w:tc>
        <w:tc>
          <w:tcPr>
            <w:tcW w:w="193" w:type="pct"/>
            <w:shd w:val="clear" w:color="auto" w:fill="auto"/>
            <w:tcMar>
              <w:left w:w="28" w:type="dxa"/>
              <w:right w:w="28" w:type="dxa"/>
            </w:tcMar>
            <w:vAlign w:val="center"/>
          </w:tcPr>
          <w:p w14:paraId="3EAFEA9E" w14:textId="77777777" w:rsidR="004A0123" w:rsidRPr="000D3D0C" w:rsidRDefault="004A0123" w:rsidP="008A5C11">
            <w:pPr>
              <w:jc w:val="center"/>
              <w:rPr>
                <w:color w:val="000000"/>
                <w:sz w:val="16"/>
                <w:szCs w:val="16"/>
              </w:rPr>
            </w:pPr>
            <w:r w:rsidRPr="000D3D0C">
              <w:rPr>
                <w:color w:val="000000"/>
                <w:sz w:val="16"/>
                <w:szCs w:val="16"/>
              </w:rPr>
              <w:t>1,86</w:t>
            </w:r>
          </w:p>
        </w:tc>
        <w:tc>
          <w:tcPr>
            <w:tcW w:w="193" w:type="pct"/>
            <w:shd w:val="clear" w:color="auto" w:fill="auto"/>
            <w:vAlign w:val="center"/>
          </w:tcPr>
          <w:p w14:paraId="7DC884E3" w14:textId="77777777" w:rsidR="004A0123" w:rsidRPr="000D3D0C" w:rsidRDefault="004A0123" w:rsidP="008A5C11">
            <w:pPr>
              <w:jc w:val="center"/>
              <w:rPr>
                <w:color w:val="000000"/>
                <w:sz w:val="16"/>
                <w:szCs w:val="16"/>
              </w:rPr>
            </w:pPr>
            <w:r w:rsidRPr="000D3D0C">
              <w:rPr>
                <w:color w:val="000000"/>
                <w:sz w:val="16"/>
                <w:szCs w:val="16"/>
              </w:rPr>
              <w:t>1,86</w:t>
            </w:r>
          </w:p>
        </w:tc>
        <w:tc>
          <w:tcPr>
            <w:tcW w:w="182" w:type="pct"/>
            <w:shd w:val="clear" w:color="auto" w:fill="auto"/>
            <w:vAlign w:val="center"/>
          </w:tcPr>
          <w:p w14:paraId="109F0256" w14:textId="77777777" w:rsidR="004A0123" w:rsidRPr="000D3D0C" w:rsidRDefault="004A0123" w:rsidP="008A5C11">
            <w:pPr>
              <w:jc w:val="center"/>
              <w:rPr>
                <w:color w:val="000000"/>
                <w:sz w:val="16"/>
                <w:szCs w:val="16"/>
              </w:rPr>
            </w:pPr>
            <w:r w:rsidRPr="000D3D0C">
              <w:rPr>
                <w:color w:val="000000"/>
                <w:sz w:val="16"/>
                <w:szCs w:val="16"/>
              </w:rPr>
              <w:t>1,86</w:t>
            </w:r>
          </w:p>
        </w:tc>
        <w:tc>
          <w:tcPr>
            <w:tcW w:w="182" w:type="pct"/>
            <w:shd w:val="clear" w:color="auto" w:fill="auto"/>
            <w:tcMar>
              <w:left w:w="28" w:type="dxa"/>
              <w:right w:w="28" w:type="dxa"/>
            </w:tcMar>
            <w:vAlign w:val="center"/>
          </w:tcPr>
          <w:p w14:paraId="3F29591C" w14:textId="77777777" w:rsidR="004A0123" w:rsidRPr="000D3D0C" w:rsidRDefault="004A0123" w:rsidP="008A5C11">
            <w:pPr>
              <w:jc w:val="center"/>
              <w:rPr>
                <w:color w:val="000000"/>
                <w:sz w:val="16"/>
                <w:szCs w:val="16"/>
              </w:rPr>
            </w:pPr>
            <w:r w:rsidRPr="000D3D0C">
              <w:rPr>
                <w:color w:val="000000"/>
                <w:sz w:val="16"/>
                <w:szCs w:val="16"/>
              </w:rPr>
              <w:t>1,86</w:t>
            </w:r>
          </w:p>
        </w:tc>
        <w:tc>
          <w:tcPr>
            <w:tcW w:w="182" w:type="pct"/>
            <w:shd w:val="clear" w:color="auto" w:fill="auto"/>
            <w:tcMar>
              <w:left w:w="28" w:type="dxa"/>
              <w:right w:w="28" w:type="dxa"/>
            </w:tcMar>
            <w:vAlign w:val="center"/>
          </w:tcPr>
          <w:p w14:paraId="304C6608" w14:textId="77777777" w:rsidR="004A0123" w:rsidRPr="000D3D0C" w:rsidRDefault="004A0123" w:rsidP="008A5C11">
            <w:pPr>
              <w:jc w:val="center"/>
              <w:rPr>
                <w:color w:val="000000"/>
                <w:sz w:val="16"/>
                <w:szCs w:val="16"/>
              </w:rPr>
            </w:pPr>
            <w:r w:rsidRPr="000D3D0C">
              <w:rPr>
                <w:color w:val="000000"/>
                <w:sz w:val="16"/>
                <w:szCs w:val="16"/>
              </w:rPr>
              <w:t>1,86</w:t>
            </w:r>
          </w:p>
        </w:tc>
        <w:tc>
          <w:tcPr>
            <w:tcW w:w="182" w:type="pct"/>
            <w:shd w:val="clear" w:color="auto" w:fill="auto"/>
            <w:tcMar>
              <w:left w:w="28" w:type="dxa"/>
              <w:right w:w="28" w:type="dxa"/>
            </w:tcMar>
            <w:vAlign w:val="center"/>
          </w:tcPr>
          <w:p w14:paraId="7DF31918" w14:textId="77777777" w:rsidR="004A0123" w:rsidRPr="000D3D0C" w:rsidRDefault="004A0123" w:rsidP="008A5C11">
            <w:pPr>
              <w:jc w:val="center"/>
              <w:rPr>
                <w:color w:val="000000"/>
                <w:sz w:val="16"/>
                <w:szCs w:val="16"/>
              </w:rPr>
            </w:pPr>
            <w:r w:rsidRPr="000D3D0C">
              <w:rPr>
                <w:color w:val="000000"/>
                <w:sz w:val="16"/>
                <w:szCs w:val="16"/>
              </w:rPr>
              <w:t>1,86</w:t>
            </w:r>
          </w:p>
        </w:tc>
        <w:tc>
          <w:tcPr>
            <w:tcW w:w="182" w:type="pct"/>
            <w:shd w:val="clear" w:color="auto" w:fill="auto"/>
            <w:tcMar>
              <w:left w:w="28" w:type="dxa"/>
              <w:right w:w="28" w:type="dxa"/>
            </w:tcMar>
            <w:vAlign w:val="center"/>
          </w:tcPr>
          <w:p w14:paraId="7216A5E7" w14:textId="77777777" w:rsidR="004A0123" w:rsidRPr="000D3D0C" w:rsidRDefault="004A0123" w:rsidP="008A5C11">
            <w:pPr>
              <w:jc w:val="center"/>
              <w:rPr>
                <w:color w:val="000000"/>
                <w:sz w:val="16"/>
                <w:szCs w:val="16"/>
              </w:rPr>
            </w:pPr>
            <w:r w:rsidRPr="000D3D0C">
              <w:rPr>
                <w:color w:val="000000"/>
                <w:sz w:val="16"/>
                <w:szCs w:val="16"/>
              </w:rPr>
              <w:t>1,86</w:t>
            </w:r>
          </w:p>
        </w:tc>
        <w:tc>
          <w:tcPr>
            <w:tcW w:w="214" w:type="pct"/>
            <w:shd w:val="clear" w:color="auto" w:fill="auto"/>
            <w:vAlign w:val="center"/>
          </w:tcPr>
          <w:p w14:paraId="69E7763E" w14:textId="77777777" w:rsidR="004A0123" w:rsidRPr="000D3D0C" w:rsidRDefault="004A0123" w:rsidP="008A5C11">
            <w:pPr>
              <w:jc w:val="center"/>
              <w:rPr>
                <w:color w:val="000000"/>
                <w:sz w:val="16"/>
                <w:szCs w:val="16"/>
              </w:rPr>
            </w:pPr>
            <w:r w:rsidRPr="000D3D0C">
              <w:rPr>
                <w:color w:val="000000"/>
                <w:sz w:val="16"/>
                <w:szCs w:val="16"/>
              </w:rPr>
              <w:t>1,86</w:t>
            </w:r>
          </w:p>
        </w:tc>
        <w:tc>
          <w:tcPr>
            <w:tcW w:w="368" w:type="pct"/>
            <w:shd w:val="clear" w:color="auto" w:fill="auto"/>
            <w:tcMar>
              <w:left w:w="28" w:type="dxa"/>
              <w:right w:w="28" w:type="dxa"/>
            </w:tcMar>
            <w:vAlign w:val="center"/>
          </w:tcPr>
          <w:p w14:paraId="6FB014F1" w14:textId="77777777" w:rsidR="004A0123" w:rsidRPr="000D3D0C" w:rsidRDefault="004A0123" w:rsidP="008A5C11">
            <w:pPr>
              <w:jc w:val="center"/>
              <w:rPr>
                <w:sz w:val="16"/>
                <w:szCs w:val="16"/>
              </w:rPr>
            </w:pPr>
            <w:r w:rsidRPr="000D3D0C">
              <w:rPr>
                <w:sz w:val="16"/>
                <w:szCs w:val="16"/>
              </w:rPr>
              <w:t>4,44</w:t>
            </w:r>
          </w:p>
        </w:tc>
        <w:tc>
          <w:tcPr>
            <w:tcW w:w="182" w:type="pct"/>
            <w:shd w:val="clear" w:color="auto" w:fill="auto"/>
            <w:tcMar>
              <w:left w:w="28" w:type="dxa"/>
              <w:right w:w="28" w:type="dxa"/>
            </w:tcMar>
            <w:vAlign w:val="center"/>
          </w:tcPr>
          <w:p w14:paraId="51205B62" w14:textId="77777777" w:rsidR="004A0123" w:rsidRPr="000D3D0C" w:rsidRDefault="004A0123" w:rsidP="008A5C11">
            <w:pPr>
              <w:jc w:val="center"/>
              <w:rPr>
                <w:sz w:val="16"/>
                <w:szCs w:val="16"/>
              </w:rPr>
            </w:pPr>
            <w:r w:rsidRPr="000D3D0C">
              <w:rPr>
                <w:sz w:val="16"/>
                <w:szCs w:val="16"/>
              </w:rPr>
              <w:t>4,44</w:t>
            </w:r>
          </w:p>
        </w:tc>
        <w:tc>
          <w:tcPr>
            <w:tcW w:w="182" w:type="pct"/>
            <w:shd w:val="clear" w:color="auto" w:fill="auto"/>
            <w:tcMar>
              <w:left w:w="28" w:type="dxa"/>
              <w:right w:w="28" w:type="dxa"/>
            </w:tcMar>
            <w:vAlign w:val="center"/>
          </w:tcPr>
          <w:p w14:paraId="615EA5ED" w14:textId="77777777" w:rsidR="004A0123" w:rsidRPr="000D3D0C" w:rsidRDefault="004A0123" w:rsidP="008A5C11">
            <w:pPr>
              <w:jc w:val="center"/>
              <w:rPr>
                <w:sz w:val="16"/>
                <w:szCs w:val="16"/>
              </w:rPr>
            </w:pPr>
            <w:r w:rsidRPr="000D3D0C">
              <w:rPr>
                <w:sz w:val="16"/>
                <w:szCs w:val="16"/>
              </w:rPr>
              <w:t>4,44</w:t>
            </w:r>
          </w:p>
        </w:tc>
        <w:tc>
          <w:tcPr>
            <w:tcW w:w="182" w:type="pct"/>
            <w:shd w:val="clear" w:color="auto" w:fill="auto"/>
            <w:tcMar>
              <w:left w:w="28" w:type="dxa"/>
              <w:right w:w="28" w:type="dxa"/>
            </w:tcMar>
            <w:vAlign w:val="center"/>
          </w:tcPr>
          <w:p w14:paraId="07106173" w14:textId="77777777" w:rsidR="004A0123" w:rsidRPr="000D3D0C" w:rsidRDefault="004A0123" w:rsidP="008A5C11">
            <w:pPr>
              <w:jc w:val="center"/>
              <w:rPr>
                <w:sz w:val="16"/>
                <w:szCs w:val="16"/>
              </w:rPr>
            </w:pPr>
            <w:r w:rsidRPr="000D3D0C">
              <w:rPr>
                <w:sz w:val="16"/>
                <w:szCs w:val="16"/>
              </w:rPr>
              <w:t>4,44</w:t>
            </w:r>
          </w:p>
        </w:tc>
        <w:tc>
          <w:tcPr>
            <w:tcW w:w="182" w:type="pct"/>
            <w:shd w:val="clear" w:color="auto" w:fill="auto"/>
            <w:vAlign w:val="center"/>
          </w:tcPr>
          <w:p w14:paraId="1A771EEB" w14:textId="77777777" w:rsidR="004A0123" w:rsidRPr="000D3D0C" w:rsidRDefault="004A0123" w:rsidP="008A5C11">
            <w:pPr>
              <w:jc w:val="center"/>
              <w:rPr>
                <w:sz w:val="16"/>
                <w:szCs w:val="16"/>
              </w:rPr>
            </w:pPr>
            <w:r w:rsidRPr="000D3D0C">
              <w:rPr>
                <w:sz w:val="16"/>
                <w:szCs w:val="16"/>
              </w:rPr>
              <w:t>4,44</w:t>
            </w:r>
          </w:p>
        </w:tc>
        <w:tc>
          <w:tcPr>
            <w:tcW w:w="182" w:type="pct"/>
            <w:shd w:val="clear" w:color="auto" w:fill="auto"/>
            <w:vAlign w:val="center"/>
          </w:tcPr>
          <w:p w14:paraId="66E9E24E" w14:textId="77777777" w:rsidR="004A0123" w:rsidRPr="000D3D0C" w:rsidRDefault="004A0123" w:rsidP="008A5C11">
            <w:pPr>
              <w:jc w:val="center"/>
              <w:rPr>
                <w:sz w:val="16"/>
                <w:szCs w:val="16"/>
              </w:rPr>
            </w:pPr>
            <w:r w:rsidRPr="000D3D0C">
              <w:rPr>
                <w:sz w:val="16"/>
                <w:szCs w:val="16"/>
              </w:rPr>
              <w:t>4,44</w:t>
            </w:r>
          </w:p>
        </w:tc>
        <w:tc>
          <w:tcPr>
            <w:tcW w:w="182" w:type="pct"/>
            <w:shd w:val="clear" w:color="auto" w:fill="auto"/>
            <w:tcMar>
              <w:left w:w="28" w:type="dxa"/>
              <w:right w:w="28" w:type="dxa"/>
            </w:tcMar>
            <w:vAlign w:val="center"/>
          </w:tcPr>
          <w:p w14:paraId="359BA85F" w14:textId="77777777" w:rsidR="004A0123" w:rsidRPr="000D3D0C" w:rsidRDefault="004A0123" w:rsidP="008A5C11">
            <w:pPr>
              <w:jc w:val="center"/>
              <w:rPr>
                <w:sz w:val="16"/>
                <w:szCs w:val="16"/>
              </w:rPr>
            </w:pPr>
            <w:r w:rsidRPr="000D3D0C">
              <w:rPr>
                <w:sz w:val="16"/>
                <w:szCs w:val="16"/>
              </w:rPr>
              <w:t>4,44</w:t>
            </w:r>
          </w:p>
        </w:tc>
        <w:tc>
          <w:tcPr>
            <w:tcW w:w="182" w:type="pct"/>
            <w:shd w:val="clear" w:color="auto" w:fill="auto"/>
            <w:tcMar>
              <w:left w:w="28" w:type="dxa"/>
              <w:right w:w="28" w:type="dxa"/>
            </w:tcMar>
            <w:vAlign w:val="center"/>
          </w:tcPr>
          <w:p w14:paraId="2F971CC7" w14:textId="77777777" w:rsidR="004A0123" w:rsidRPr="000D3D0C" w:rsidRDefault="004A0123" w:rsidP="008A5C11">
            <w:pPr>
              <w:jc w:val="center"/>
              <w:rPr>
                <w:sz w:val="16"/>
                <w:szCs w:val="16"/>
              </w:rPr>
            </w:pPr>
            <w:r w:rsidRPr="000D3D0C">
              <w:rPr>
                <w:sz w:val="16"/>
                <w:szCs w:val="16"/>
              </w:rPr>
              <w:t>4,44</w:t>
            </w:r>
          </w:p>
        </w:tc>
        <w:tc>
          <w:tcPr>
            <w:tcW w:w="182" w:type="pct"/>
            <w:shd w:val="clear" w:color="auto" w:fill="auto"/>
            <w:tcMar>
              <w:left w:w="28" w:type="dxa"/>
              <w:right w:w="28" w:type="dxa"/>
            </w:tcMar>
            <w:vAlign w:val="center"/>
          </w:tcPr>
          <w:p w14:paraId="5337D715" w14:textId="77777777" w:rsidR="004A0123" w:rsidRPr="000D3D0C" w:rsidRDefault="004A0123" w:rsidP="008A5C11">
            <w:pPr>
              <w:jc w:val="center"/>
              <w:rPr>
                <w:sz w:val="16"/>
                <w:szCs w:val="16"/>
              </w:rPr>
            </w:pPr>
            <w:r w:rsidRPr="000D3D0C">
              <w:rPr>
                <w:sz w:val="16"/>
                <w:szCs w:val="16"/>
              </w:rPr>
              <w:t>4,44</w:t>
            </w:r>
          </w:p>
        </w:tc>
        <w:tc>
          <w:tcPr>
            <w:tcW w:w="182" w:type="pct"/>
            <w:shd w:val="clear" w:color="auto" w:fill="auto"/>
            <w:tcMar>
              <w:left w:w="28" w:type="dxa"/>
              <w:right w:w="28" w:type="dxa"/>
            </w:tcMar>
            <w:vAlign w:val="center"/>
          </w:tcPr>
          <w:p w14:paraId="204323D6" w14:textId="77777777" w:rsidR="004A0123" w:rsidRPr="000D3D0C" w:rsidRDefault="004A0123" w:rsidP="008A5C11">
            <w:pPr>
              <w:jc w:val="center"/>
              <w:rPr>
                <w:sz w:val="16"/>
                <w:szCs w:val="16"/>
              </w:rPr>
            </w:pPr>
            <w:r w:rsidRPr="000D3D0C">
              <w:rPr>
                <w:sz w:val="16"/>
                <w:szCs w:val="16"/>
              </w:rPr>
              <w:t>4,44</w:t>
            </w:r>
          </w:p>
        </w:tc>
        <w:tc>
          <w:tcPr>
            <w:tcW w:w="117" w:type="pct"/>
            <w:shd w:val="clear" w:color="auto" w:fill="auto"/>
            <w:vAlign w:val="center"/>
          </w:tcPr>
          <w:p w14:paraId="4AC28F19" w14:textId="77777777" w:rsidR="004A0123" w:rsidRPr="000D3D0C" w:rsidRDefault="004A0123" w:rsidP="008A5C11">
            <w:pPr>
              <w:jc w:val="center"/>
              <w:rPr>
                <w:sz w:val="16"/>
                <w:szCs w:val="16"/>
              </w:rPr>
            </w:pPr>
            <w:r w:rsidRPr="000D3D0C">
              <w:rPr>
                <w:sz w:val="16"/>
                <w:szCs w:val="16"/>
              </w:rPr>
              <w:t>4,44</w:t>
            </w:r>
          </w:p>
        </w:tc>
      </w:tr>
    </w:tbl>
    <w:p w14:paraId="7155A949" w14:textId="77777777" w:rsidR="004A0123" w:rsidRPr="000D3D0C" w:rsidRDefault="004A0123" w:rsidP="004A0123">
      <w:pPr>
        <w:rPr>
          <w:sz w:val="28"/>
          <w:szCs w:val="28"/>
        </w:rPr>
      </w:pPr>
    </w:p>
    <w:p w14:paraId="7E4C5BCA" w14:textId="77777777" w:rsidR="004A0123" w:rsidRPr="000D3D0C" w:rsidRDefault="004A0123" w:rsidP="004A0123">
      <w:pPr>
        <w:ind w:left="284" w:right="536"/>
        <w:jc w:val="center"/>
        <w:rPr>
          <w:b/>
          <w:bCs/>
          <w:sz w:val="28"/>
          <w:szCs w:val="28"/>
        </w:rPr>
      </w:pPr>
    </w:p>
    <w:p w14:paraId="526A4167" w14:textId="77777777" w:rsidR="004A0123" w:rsidRPr="000D3D0C" w:rsidRDefault="004A0123" w:rsidP="004A0123">
      <w:pPr>
        <w:ind w:left="284" w:right="536"/>
        <w:jc w:val="center"/>
        <w:rPr>
          <w:b/>
          <w:bCs/>
          <w:sz w:val="28"/>
          <w:szCs w:val="28"/>
        </w:rPr>
      </w:pPr>
    </w:p>
    <w:p w14:paraId="515BF158" w14:textId="77777777" w:rsidR="004A0123" w:rsidRPr="000D3D0C" w:rsidRDefault="004A0123" w:rsidP="004A0123">
      <w:pPr>
        <w:ind w:left="284" w:right="536"/>
        <w:jc w:val="center"/>
        <w:rPr>
          <w:b/>
          <w:bCs/>
          <w:sz w:val="28"/>
          <w:szCs w:val="28"/>
        </w:rPr>
      </w:pPr>
    </w:p>
    <w:p w14:paraId="4F46B082" w14:textId="77777777" w:rsidR="004A0123" w:rsidRPr="000D3D0C" w:rsidRDefault="004A0123" w:rsidP="004A0123">
      <w:pPr>
        <w:ind w:left="284" w:right="536"/>
        <w:jc w:val="center"/>
        <w:rPr>
          <w:b/>
          <w:bCs/>
          <w:sz w:val="28"/>
          <w:szCs w:val="28"/>
        </w:rPr>
      </w:pPr>
    </w:p>
    <w:p w14:paraId="65EE4883" w14:textId="77777777" w:rsidR="004A0123" w:rsidRPr="000D3D0C" w:rsidRDefault="004A0123" w:rsidP="004A0123">
      <w:pPr>
        <w:ind w:left="284" w:right="536"/>
        <w:jc w:val="center"/>
        <w:rPr>
          <w:b/>
          <w:bCs/>
          <w:sz w:val="28"/>
          <w:szCs w:val="28"/>
        </w:rPr>
      </w:pPr>
    </w:p>
    <w:p w14:paraId="0160A8E7" w14:textId="77777777" w:rsidR="004A0123" w:rsidRPr="000D3D0C" w:rsidRDefault="004A0123" w:rsidP="004A0123">
      <w:pPr>
        <w:ind w:left="284" w:right="536"/>
        <w:jc w:val="center"/>
        <w:rPr>
          <w:b/>
          <w:bCs/>
          <w:sz w:val="28"/>
          <w:szCs w:val="28"/>
        </w:rPr>
      </w:pPr>
    </w:p>
    <w:p w14:paraId="743C5B30" w14:textId="77777777" w:rsidR="004A0123" w:rsidRPr="000D3D0C" w:rsidRDefault="004A0123" w:rsidP="004A0123">
      <w:pPr>
        <w:ind w:left="284" w:right="536"/>
        <w:jc w:val="center"/>
        <w:rPr>
          <w:b/>
          <w:bCs/>
          <w:sz w:val="28"/>
          <w:szCs w:val="28"/>
        </w:rPr>
      </w:pPr>
    </w:p>
    <w:p w14:paraId="4A834643" w14:textId="77777777" w:rsidR="004A0123" w:rsidRPr="000D3D0C" w:rsidRDefault="004A0123" w:rsidP="004A0123">
      <w:pPr>
        <w:ind w:left="284" w:right="536"/>
        <w:jc w:val="center"/>
        <w:rPr>
          <w:b/>
          <w:bCs/>
          <w:sz w:val="28"/>
          <w:szCs w:val="28"/>
        </w:rPr>
      </w:pPr>
    </w:p>
    <w:p w14:paraId="292B4717" w14:textId="77777777" w:rsidR="004A0123" w:rsidRDefault="004A0123" w:rsidP="004A0123">
      <w:pPr>
        <w:ind w:left="284" w:right="536"/>
        <w:jc w:val="center"/>
        <w:rPr>
          <w:b/>
          <w:bCs/>
          <w:sz w:val="28"/>
          <w:szCs w:val="28"/>
        </w:rPr>
        <w:sectPr w:rsidR="004A0123" w:rsidSect="00095E17">
          <w:pgSz w:w="16838" w:h="11906" w:orient="landscape" w:code="9"/>
          <w:pgMar w:top="1701" w:right="1134" w:bottom="850" w:left="1134" w:header="720" w:footer="284" w:gutter="0"/>
          <w:cols w:space="720"/>
          <w:docGrid w:linePitch="272"/>
        </w:sectPr>
      </w:pPr>
    </w:p>
    <w:p w14:paraId="7C531385" w14:textId="77777777" w:rsidR="004A0123" w:rsidRPr="000D3D0C" w:rsidRDefault="004A0123" w:rsidP="004A0123">
      <w:pPr>
        <w:ind w:left="284" w:right="536"/>
        <w:jc w:val="center"/>
        <w:rPr>
          <w:b/>
          <w:bCs/>
          <w:sz w:val="28"/>
          <w:szCs w:val="28"/>
        </w:rPr>
      </w:pPr>
    </w:p>
    <w:p w14:paraId="1A20D12D" w14:textId="77777777" w:rsidR="004A0123" w:rsidRPr="000D3D0C" w:rsidRDefault="004A0123" w:rsidP="004A0123">
      <w:pPr>
        <w:ind w:left="284" w:right="536"/>
        <w:jc w:val="center"/>
        <w:rPr>
          <w:b/>
          <w:bCs/>
          <w:sz w:val="28"/>
          <w:szCs w:val="28"/>
        </w:rPr>
      </w:pPr>
      <w:r w:rsidRPr="000D3D0C">
        <w:rPr>
          <w:b/>
          <w:bCs/>
          <w:sz w:val="28"/>
          <w:szCs w:val="28"/>
        </w:rPr>
        <w:t xml:space="preserve">Показатели надежности и энергетической эффективности объектов системы теплоснабжения </w:t>
      </w:r>
    </w:p>
    <w:p w14:paraId="78056890" w14:textId="77777777" w:rsidR="004A0123" w:rsidRPr="000D3D0C" w:rsidRDefault="004A0123" w:rsidP="004A0123">
      <w:pPr>
        <w:autoSpaceDE w:val="0"/>
        <w:autoSpaceDN w:val="0"/>
        <w:adjustRightInd w:val="0"/>
        <w:jc w:val="center"/>
        <w:rPr>
          <w:b/>
          <w:color w:val="000000"/>
          <w:sz w:val="28"/>
          <w:szCs w:val="28"/>
        </w:rPr>
      </w:pPr>
      <w:r w:rsidRPr="000D3D0C">
        <w:rPr>
          <w:b/>
          <w:color w:val="000000"/>
          <w:sz w:val="28"/>
          <w:szCs w:val="28"/>
        </w:rPr>
        <w:t xml:space="preserve">ОАО «Северо-Кузбасская энергетическая компания» по узлу теплоснабжения Тайгинского городского округа </w:t>
      </w:r>
    </w:p>
    <w:p w14:paraId="02894584" w14:textId="77777777" w:rsidR="004A0123" w:rsidRPr="000D3D0C" w:rsidRDefault="004A0123" w:rsidP="004A0123">
      <w:pPr>
        <w:jc w:val="center"/>
        <w:rPr>
          <w:b/>
          <w:color w:val="000000"/>
          <w:sz w:val="28"/>
          <w:szCs w:val="28"/>
        </w:rPr>
      </w:pPr>
      <w:r w:rsidRPr="000D3D0C">
        <w:rPr>
          <w:b/>
          <w:color w:val="000000"/>
          <w:sz w:val="28"/>
          <w:szCs w:val="28"/>
        </w:rPr>
        <w:t>на 2021 - 2030 годы</w:t>
      </w:r>
    </w:p>
    <w:p w14:paraId="673C8D53" w14:textId="77777777" w:rsidR="004A0123" w:rsidRPr="000D3D0C" w:rsidRDefault="004A0123" w:rsidP="004A0123">
      <w:pPr>
        <w:jc w:val="center"/>
        <w:rPr>
          <w:sz w:val="28"/>
          <w:szCs w:val="28"/>
        </w:rPr>
      </w:pPr>
    </w:p>
    <w:tbl>
      <w:tblPr>
        <w:tblW w:w="48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4"/>
        <w:gridCol w:w="1291"/>
        <w:gridCol w:w="555"/>
        <w:gridCol w:w="627"/>
        <w:gridCol w:w="506"/>
        <w:gridCol w:w="494"/>
        <w:gridCol w:w="576"/>
        <w:gridCol w:w="528"/>
        <w:gridCol w:w="647"/>
        <w:gridCol w:w="534"/>
        <w:gridCol w:w="624"/>
        <w:gridCol w:w="525"/>
        <w:gridCol w:w="681"/>
        <w:gridCol w:w="590"/>
        <w:gridCol w:w="506"/>
        <w:gridCol w:w="557"/>
        <w:gridCol w:w="559"/>
        <w:gridCol w:w="559"/>
        <w:gridCol w:w="624"/>
        <w:gridCol w:w="571"/>
        <w:gridCol w:w="554"/>
        <w:gridCol w:w="565"/>
        <w:gridCol w:w="537"/>
        <w:gridCol w:w="602"/>
      </w:tblGrid>
      <w:tr w:rsidR="004A0123" w:rsidRPr="000D3D0C" w14:paraId="67FE4B5D" w14:textId="77777777" w:rsidTr="008A5C11">
        <w:trPr>
          <w:trHeight w:val="23"/>
          <w:jc w:val="center"/>
        </w:trPr>
        <w:tc>
          <w:tcPr>
            <w:tcW w:w="111" w:type="pct"/>
            <w:vMerge w:val="restart"/>
            <w:tcMar>
              <w:top w:w="62" w:type="dxa"/>
              <w:left w:w="28" w:type="dxa"/>
              <w:bottom w:w="102" w:type="dxa"/>
              <w:right w:w="28" w:type="dxa"/>
            </w:tcMar>
            <w:vAlign w:val="center"/>
          </w:tcPr>
          <w:p w14:paraId="1906A816" w14:textId="77777777" w:rsidR="004A0123" w:rsidRPr="000D3D0C" w:rsidRDefault="004A0123" w:rsidP="008A5C11">
            <w:pPr>
              <w:widowControl w:val="0"/>
              <w:autoSpaceDE w:val="0"/>
              <w:autoSpaceDN w:val="0"/>
              <w:adjustRightInd w:val="0"/>
              <w:jc w:val="center"/>
              <w:rPr>
                <w:sz w:val="13"/>
                <w:szCs w:val="13"/>
              </w:rPr>
            </w:pPr>
            <w:r w:rsidRPr="000D3D0C">
              <w:rPr>
                <w:sz w:val="13"/>
                <w:szCs w:val="13"/>
              </w:rPr>
              <w:t>№ п/п</w:t>
            </w:r>
          </w:p>
        </w:tc>
        <w:tc>
          <w:tcPr>
            <w:tcW w:w="457" w:type="pct"/>
            <w:vMerge w:val="restart"/>
            <w:tcMar>
              <w:top w:w="62" w:type="dxa"/>
              <w:left w:w="28" w:type="dxa"/>
              <w:bottom w:w="102" w:type="dxa"/>
              <w:right w:w="28" w:type="dxa"/>
            </w:tcMar>
            <w:vAlign w:val="center"/>
          </w:tcPr>
          <w:p w14:paraId="2F6B12EF" w14:textId="77777777" w:rsidR="004A0123" w:rsidRPr="000D3D0C" w:rsidRDefault="004A0123" w:rsidP="008A5C11">
            <w:pPr>
              <w:widowControl w:val="0"/>
              <w:autoSpaceDE w:val="0"/>
              <w:autoSpaceDN w:val="0"/>
              <w:adjustRightInd w:val="0"/>
              <w:jc w:val="center"/>
              <w:rPr>
                <w:sz w:val="13"/>
                <w:szCs w:val="13"/>
              </w:rPr>
            </w:pPr>
            <w:r w:rsidRPr="000D3D0C">
              <w:rPr>
                <w:sz w:val="13"/>
                <w:szCs w:val="13"/>
              </w:rPr>
              <w:t>Наименование объекта</w:t>
            </w:r>
          </w:p>
        </w:tc>
        <w:tc>
          <w:tcPr>
            <w:tcW w:w="4432" w:type="pct"/>
            <w:gridSpan w:val="22"/>
            <w:tcMar>
              <w:left w:w="28" w:type="dxa"/>
              <w:right w:w="28" w:type="dxa"/>
            </w:tcMar>
            <w:vAlign w:val="center"/>
          </w:tcPr>
          <w:p w14:paraId="39C2247B" w14:textId="77777777" w:rsidR="004A0123" w:rsidRPr="000D3D0C" w:rsidRDefault="004A0123" w:rsidP="008A5C11">
            <w:pPr>
              <w:jc w:val="center"/>
              <w:rPr>
                <w:sz w:val="13"/>
                <w:szCs w:val="13"/>
              </w:rPr>
            </w:pPr>
            <w:r w:rsidRPr="000D3D0C">
              <w:rPr>
                <w:sz w:val="13"/>
                <w:szCs w:val="13"/>
              </w:rPr>
              <w:t>Показатели энергетической эффективности</w:t>
            </w:r>
          </w:p>
        </w:tc>
      </w:tr>
      <w:tr w:rsidR="004A0123" w:rsidRPr="000D3D0C" w14:paraId="15642B7D" w14:textId="77777777" w:rsidTr="008A5C11">
        <w:trPr>
          <w:trHeight w:val="285"/>
          <w:jc w:val="center"/>
        </w:trPr>
        <w:tc>
          <w:tcPr>
            <w:tcW w:w="111" w:type="pct"/>
            <w:vMerge/>
            <w:tcMar>
              <w:top w:w="62" w:type="dxa"/>
              <w:left w:w="28" w:type="dxa"/>
              <w:bottom w:w="102" w:type="dxa"/>
              <w:right w:w="28" w:type="dxa"/>
            </w:tcMar>
            <w:vAlign w:val="center"/>
          </w:tcPr>
          <w:p w14:paraId="219E0FF8" w14:textId="77777777" w:rsidR="004A0123" w:rsidRPr="000D3D0C" w:rsidRDefault="004A0123" w:rsidP="008A5C11">
            <w:pPr>
              <w:widowControl w:val="0"/>
              <w:autoSpaceDE w:val="0"/>
              <w:autoSpaceDN w:val="0"/>
              <w:adjustRightInd w:val="0"/>
              <w:jc w:val="center"/>
              <w:rPr>
                <w:sz w:val="13"/>
                <w:szCs w:val="13"/>
              </w:rPr>
            </w:pPr>
          </w:p>
        </w:tc>
        <w:tc>
          <w:tcPr>
            <w:tcW w:w="457" w:type="pct"/>
            <w:vMerge/>
            <w:tcMar>
              <w:top w:w="62" w:type="dxa"/>
              <w:left w:w="28" w:type="dxa"/>
              <w:bottom w:w="102" w:type="dxa"/>
              <w:right w:w="28" w:type="dxa"/>
            </w:tcMar>
            <w:vAlign w:val="center"/>
          </w:tcPr>
          <w:p w14:paraId="47D7671F" w14:textId="77777777" w:rsidR="004A0123" w:rsidRPr="000D3D0C" w:rsidRDefault="004A0123" w:rsidP="008A5C11">
            <w:pPr>
              <w:widowControl w:val="0"/>
              <w:autoSpaceDE w:val="0"/>
              <w:autoSpaceDN w:val="0"/>
              <w:adjustRightInd w:val="0"/>
              <w:jc w:val="center"/>
              <w:rPr>
                <w:sz w:val="13"/>
                <w:szCs w:val="13"/>
              </w:rPr>
            </w:pPr>
          </w:p>
        </w:tc>
        <w:tc>
          <w:tcPr>
            <w:tcW w:w="2229" w:type="pct"/>
            <w:gridSpan w:val="11"/>
            <w:tcMar>
              <w:left w:w="28" w:type="dxa"/>
              <w:right w:w="28" w:type="dxa"/>
            </w:tcMar>
            <w:vAlign w:val="center"/>
          </w:tcPr>
          <w:p w14:paraId="2D9BFBC9" w14:textId="77777777" w:rsidR="004A0123" w:rsidRPr="000D3D0C" w:rsidRDefault="004A0123" w:rsidP="008A5C11">
            <w:pPr>
              <w:widowControl w:val="0"/>
              <w:autoSpaceDE w:val="0"/>
              <w:autoSpaceDN w:val="0"/>
              <w:adjustRightInd w:val="0"/>
              <w:jc w:val="center"/>
              <w:rPr>
                <w:sz w:val="13"/>
                <w:szCs w:val="13"/>
              </w:rPr>
            </w:pPr>
            <w:r w:rsidRPr="000D3D0C">
              <w:rPr>
                <w:sz w:val="13"/>
                <w:szCs w:val="13"/>
              </w:rPr>
              <w:t>Величина технологических потерь при передаче тепловой энергии, Гкал</w:t>
            </w:r>
          </w:p>
        </w:tc>
        <w:tc>
          <w:tcPr>
            <w:tcW w:w="2203" w:type="pct"/>
            <w:gridSpan w:val="11"/>
            <w:tcMar>
              <w:left w:w="28" w:type="dxa"/>
              <w:right w:w="28" w:type="dxa"/>
            </w:tcMar>
            <w:vAlign w:val="center"/>
          </w:tcPr>
          <w:p w14:paraId="54171A98" w14:textId="77777777" w:rsidR="004A0123" w:rsidRPr="000D3D0C" w:rsidRDefault="004A0123" w:rsidP="008A5C11">
            <w:pPr>
              <w:widowControl w:val="0"/>
              <w:autoSpaceDE w:val="0"/>
              <w:autoSpaceDN w:val="0"/>
              <w:adjustRightInd w:val="0"/>
              <w:jc w:val="center"/>
              <w:rPr>
                <w:sz w:val="13"/>
                <w:szCs w:val="13"/>
              </w:rPr>
            </w:pPr>
            <w:r w:rsidRPr="000D3D0C">
              <w:rPr>
                <w:sz w:val="13"/>
                <w:szCs w:val="13"/>
              </w:rPr>
              <w:t>Величины технологических потерь при передаче теплоносителя по тепловым сетям, м</w:t>
            </w:r>
            <w:r w:rsidRPr="000D3D0C">
              <w:rPr>
                <w:sz w:val="13"/>
                <w:szCs w:val="13"/>
                <w:vertAlign w:val="superscript"/>
              </w:rPr>
              <w:t>3</w:t>
            </w:r>
          </w:p>
        </w:tc>
      </w:tr>
      <w:tr w:rsidR="004A0123" w:rsidRPr="000D3D0C" w14:paraId="081633FA" w14:textId="77777777" w:rsidTr="008A5C11">
        <w:trPr>
          <w:trHeight w:val="20"/>
          <w:jc w:val="center"/>
        </w:trPr>
        <w:tc>
          <w:tcPr>
            <w:tcW w:w="111" w:type="pct"/>
            <w:vMerge/>
            <w:tcMar>
              <w:top w:w="62" w:type="dxa"/>
              <w:left w:w="28" w:type="dxa"/>
              <w:bottom w:w="102" w:type="dxa"/>
              <w:right w:w="28" w:type="dxa"/>
            </w:tcMar>
            <w:vAlign w:val="center"/>
          </w:tcPr>
          <w:p w14:paraId="3EE50DF6" w14:textId="77777777" w:rsidR="004A0123" w:rsidRPr="000D3D0C" w:rsidRDefault="004A0123" w:rsidP="008A5C11">
            <w:pPr>
              <w:widowControl w:val="0"/>
              <w:autoSpaceDE w:val="0"/>
              <w:autoSpaceDN w:val="0"/>
              <w:adjustRightInd w:val="0"/>
              <w:jc w:val="center"/>
              <w:rPr>
                <w:sz w:val="13"/>
                <w:szCs w:val="13"/>
              </w:rPr>
            </w:pPr>
          </w:p>
        </w:tc>
        <w:tc>
          <w:tcPr>
            <w:tcW w:w="457" w:type="pct"/>
            <w:vMerge/>
            <w:tcMar>
              <w:top w:w="62" w:type="dxa"/>
              <w:left w:w="28" w:type="dxa"/>
              <w:bottom w:w="102" w:type="dxa"/>
              <w:right w:w="28" w:type="dxa"/>
            </w:tcMar>
            <w:vAlign w:val="center"/>
          </w:tcPr>
          <w:p w14:paraId="74556F01" w14:textId="77777777" w:rsidR="004A0123" w:rsidRPr="000D3D0C" w:rsidRDefault="004A0123" w:rsidP="008A5C11">
            <w:pPr>
              <w:widowControl w:val="0"/>
              <w:autoSpaceDE w:val="0"/>
              <w:autoSpaceDN w:val="0"/>
              <w:adjustRightInd w:val="0"/>
              <w:jc w:val="center"/>
              <w:rPr>
                <w:sz w:val="13"/>
                <w:szCs w:val="13"/>
              </w:rPr>
            </w:pPr>
          </w:p>
        </w:tc>
        <w:tc>
          <w:tcPr>
            <w:tcW w:w="196" w:type="pct"/>
            <w:vMerge w:val="restart"/>
            <w:tcMar>
              <w:left w:w="28" w:type="dxa"/>
              <w:right w:w="28" w:type="dxa"/>
            </w:tcMar>
            <w:vAlign w:val="center"/>
          </w:tcPr>
          <w:p w14:paraId="0C907500" w14:textId="77777777" w:rsidR="004A0123" w:rsidRPr="000D3D0C" w:rsidRDefault="004A0123" w:rsidP="008A5C11">
            <w:pPr>
              <w:widowControl w:val="0"/>
              <w:autoSpaceDE w:val="0"/>
              <w:autoSpaceDN w:val="0"/>
              <w:adjustRightInd w:val="0"/>
              <w:jc w:val="center"/>
              <w:rPr>
                <w:sz w:val="13"/>
                <w:szCs w:val="13"/>
              </w:rPr>
            </w:pPr>
            <w:r w:rsidRPr="000D3D0C">
              <w:rPr>
                <w:sz w:val="13"/>
                <w:szCs w:val="13"/>
              </w:rPr>
              <w:t>Текущее значение</w:t>
            </w:r>
          </w:p>
        </w:tc>
        <w:tc>
          <w:tcPr>
            <w:tcW w:w="2033" w:type="pct"/>
            <w:gridSpan w:val="10"/>
            <w:tcMar>
              <w:left w:w="28" w:type="dxa"/>
              <w:right w:w="28" w:type="dxa"/>
            </w:tcMar>
            <w:vAlign w:val="center"/>
          </w:tcPr>
          <w:p w14:paraId="1CE52964" w14:textId="77777777" w:rsidR="004A0123" w:rsidRPr="000D3D0C" w:rsidRDefault="004A0123" w:rsidP="008A5C11">
            <w:pPr>
              <w:widowControl w:val="0"/>
              <w:autoSpaceDE w:val="0"/>
              <w:autoSpaceDN w:val="0"/>
              <w:adjustRightInd w:val="0"/>
              <w:jc w:val="center"/>
              <w:rPr>
                <w:sz w:val="13"/>
                <w:szCs w:val="13"/>
              </w:rPr>
            </w:pPr>
            <w:r w:rsidRPr="000D3D0C">
              <w:rPr>
                <w:sz w:val="13"/>
                <w:szCs w:val="13"/>
              </w:rPr>
              <w:t>Плановое значение</w:t>
            </w:r>
          </w:p>
        </w:tc>
        <w:tc>
          <w:tcPr>
            <w:tcW w:w="209" w:type="pct"/>
            <w:vMerge w:val="restart"/>
            <w:tcMar>
              <w:left w:w="28" w:type="dxa"/>
              <w:right w:w="28" w:type="dxa"/>
            </w:tcMar>
            <w:vAlign w:val="center"/>
          </w:tcPr>
          <w:p w14:paraId="1E719122" w14:textId="77777777" w:rsidR="004A0123" w:rsidRPr="000D3D0C" w:rsidRDefault="004A0123" w:rsidP="008A5C11">
            <w:pPr>
              <w:widowControl w:val="0"/>
              <w:autoSpaceDE w:val="0"/>
              <w:autoSpaceDN w:val="0"/>
              <w:adjustRightInd w:val="0"/>
              <w:jc w:val="center"/>
              <w:rPr>
                <w:sz w:val="13"/>
                <w:szCs w:val="13"/>
              </w:rPr>
            </w:pPr>
            <w:r w:rsidRPr="000D3D0C">
              <w:rPr>
                <w:sz w:val="13"/>
                <w:szCs w:val="13"/>
              </w:rPr>
              <w:t>Текущее значение</w:t>
            </w:r>
          </w:p>
        </w:tc>
        <w:tc>
          <w:tcPr>
            <w:tcW w:w="1994" w:type="pct"/>
            <w:gridSpan w:val="10"/>
            <w:tcMar>
              <w:left w:w="28" w:type="dxa"/>
              <w:right w:w="28" w:type="dxa"/>
            </w:tcMar>
            <w:vAlign w:val="center"/>
          </w:tcPr>
          <w:p w14:paraId="05D99AD9" w14:textId="77777777" w:rsidR="004A0123" w:rsidRPr="000D3D0C" w:rsidRDefault="004A0123" w:rsidP="008A5C11">
            <w:pPr>
              <w:widowControl w:val="0"/>
              <w:autoSpaceDE w:val="0"/>
              <w:autoSpaceDN w:val="0"/>
              <w:adjustRightInd w:val="0"/>
              <w:jc w:val="center"/>
              <w:rPr>
                <w:sz w:val="13"/>
                <w:szCs w:val="13"/>
              </w:rPr>
            </w:pPr>
            <w:r w:rsidRPr="000D3D0C">
              <w:rPr>
                <w:sz w:val="13"/>
                <w:szCs w:val="13"/>
              </w:rPr>
              <w:t>Плановое значение</w:t>
            </w:r>
          </w:p>
        </w:tc>
      </w:tr>
      <w:tr w:rsidR="004A0123" w:rsidRPr="000D3D0C" w14:paraId="2EA16401" w14:textId="77777777" w:rsidTr="008A5C11">
        <w:trPr>
          <w:trHeight w:val="20"/>
          <w:jc w:val="center"/>
        </w:trPr>
        <w:tc>
          <w:tcPr>
            <w:tcW w:w="111" w:type="pct"/>
            <w:vMerge/>
            <w:tcMar>
              <w:top w:w="62" w:type="dxa"/>
              <w:left w:w="28" w:type="dxa"/>
              <w:bottom w:w="102" w:type="dxa"/>
              <w:right w:w="28" w:type="dxa"/>
            </w:tcMar>
            <w:vAlign w:val="center"/>
          </w:tcPr>
          <w:p w14:paraId="56D4B9B0" w14:textId="77777777" w:rsidR="004A0123" w:rsidRPr="000D3D0C" w:rsidRDefault="004A0123" w:rsidP="008A5C11">
            <w:pPr>
              <w:widowControl w:val="0"/>
              <w:autoSpaceDE w:val="0"/>
              <w:autoSpaceDN w:val="0"/>
              <w:adjustRightInd w:val="0"/>
              <w:jc w:val="center"/>
              <w:rPr>
                <w:sz w:val="13"/>
                <w:szCs w:val="13"/>
              </w:rPr>
            </w:pPr>
          </w:p>
        </w:tc>
        <w:tc>
          <w:tcPr>
            <w:tcW w:w="457" w:type="pct"/>
            <w:vMerge/>
            <w:tcMar>
              <w:top w:w="62" w:type="dxa"/>
              <w:left w:w="28" w:type="dxa"/>
              <w:bottom w:w="102" w:type="dxa"/>
              <w:right w:w="28" w:type="dxa"/>
            </w:tcMar>
            <w:vAlign w:val="center"/>
          </w:tcPr>
          <w:p w14:paraId="39E473CC" w14:textId="77777777" w:rsidR="004A0123" w:rsidRPr="000D3D0C" w:rsidRDefault="004A0123" w:rsidP="008A5C11">
            <w:pPr>
              <w:widowControl w:val="0"/>
              <w:autoSpaceDE w:val="0"/>
              <w:autoSpaceDN w:val="0"/>
              <w:adjustRightInd w:val="0"/>
              <w:jc w:val="center"/>
              <w:rPr>
                <w:sz w:val="13"/>
                <w:szCs w:val="13"/>
              </w:rPr>
            </w:pPr>
          </w:p>
        </w:tc>
        <w:tc>
          <w:tcPr>
            <w:tcW w:w="196" w:type="pct"/>
            <w:vMerge/>
            <w:tcMar>
              <w:left w:w="28" w:type="dxa"/>
              <w:right w:w="28" w:type="dxa"/>
            </w:tcMar>
            <w:vAlign w:val="center"/>
          </w:tcPr>
          <w:p w14:paraId="0C3B314E" w14:textId="77777777" w:rsidR="004A0123" w:rsidRPr="000D3D0C" w:rsidRDefault="004A0123" w:rsidP="008A5C11">
            <w:pPr>
              <w:widowControl w:val="0"/>
              <w:autoSpaceDE w:val="0"/>
              <w:autoSpaceDN w:val="0"/>
              <w:adjustRightInd w:val="0"/>
              <w:jc w:val="center"/>
              <w:rPr>
                <w:sz w:val="13"/>
                <w:szCs w:val="13"/>
              </w:rPr>
            </w:pPr>
          </w:p>
        </w:tc>
        <w:tc>
          <w:tcPr>
            <w:tcW w:w="222" w:type="pct"/>
            <w:tcMar>
              <w:left w:w="28" w:type="dxa"/>
              <w:right w:w="28" w:type="dxa"/>
            </w:tcMar>
            <w:vAlign w:val="center"/>
          </w:tcPr>
          <w:p w14:paraId="55DF28CB" w14:textId="77777777" w:rsidR="004A0123" w:rsidRPr="000D3D0C" w:rsidRDefault="004A0123" w:rsidP="008A5C11">
            <w:pPr>
              <w:widowControl w:val="0"/>
              <w:autoSpaceDE w:val="0"/>
              <w:autoSpaceDN w:val="0"/>
              <w:adjustRightInd w:val="0"/>
              <w:jc w:val="center"/>
              <w:rPr>
                <w:sz w:val="13"/>
                <w:szCs w:val="13"/>
              </w:rPr>
            </w:pPr>
            <w:r w:rsidRPr="000D3D0C">
              <w:rPr>
                <w:sz w:val="13"/>
                <w:szCs w:val="13"/>
              </w:rPr>
              <w:t>2021</w:t>
            </w:r>
          </w:p>
        </w:tc>
        <w:tc>
          <w:tcPr>
            <w:tcW w:w="179" w:type="pct"/>
            <w:tcMar>
              <w:left w:w="28" w:type="dxa"/>
              <w:right w:w="28" w:type="dxa"/>
            </w:tcMar>
            <w:vAlign w:val="center"/>
          </w:tcPr>
          <w:p w14:paraId="6D2CDB12" w14:textId="77777777" w:rsidR="004A0123" w:rsidRPr="000D3D0C" w:rsidRDefault="004A0123" w:rsidP="008A5C11">
            <w:pPr>
              <w:widowControl w:val="0"/>
              <w:autoSpaceDE w:val="0"/>
              <w:autoSpaceDN w:val="0"/>
              <w:adjustRightInd w:val="0"/>
              <w:jc w:val="center"/>
              <w:rPr>
                <w:sz w:val="13"/>
                <w:szCs w:val="13"/>
              </w:rPr>
            </w:pPr>
            <w:r w:rsidRPr="000D3D0C">
              <w:rPr>
                <w:sz w:val="13"/>
                <w:szCs w:val="13"/>
              </w:rPr>
              <w:t>2022</w:t>
            </w:r>
          </w:p>
        </w:tc>
        <w:tc>
          <w:tcPr>
            <w:tcW w:w="175" w:type="pct"/>
            <w:tcMar>
              <w:left w:w="28" w:type="dxa"/>
              <w:right w:w="28" w:type="dxa"/>
            </w:tcMar>
            <w:vAlign w:val="center"/>
          </w:tcPr>
          <w:p w14:paraId="6CDD2DE2" w14:textId="77777777" w:rsidR="004A0123" w:rsidRPr="000D3D0C" w:rsidRDefault="004A0123" w:rsidP="008A5C11">
            <w:pPr>
              <w:widowControl w:val="0"/>
              <w:autoSpaceDE w:val="0"/>
              <w:autoSpaceDN w:val="0"/>
              <w:adjustRightInd w:val="0"/>
              <w:jc w:val="center"/>
              <w:rPr>
                <w:sz w:val="13"/>
                <w:szCs w:val="13"/>
              </w:rPr>
            </w:pPr>
            <w:r w:rsidRPr="000D3D0C">
              <w:rPr>
                <w:sz w:val="13"/>
                <w:szCs w:val="13"/>
              </w:rPr>
              <w:t>2023</w:t>
            </w:r>
          </w:p>
        </w:tc>
        <w:tc>
          <w:tcPr>
            <w:tcW w:w="204" w:type="pct"/>
            <w:vAlign w:val="center"/>
          </w:tcPr>
          <w:p w14:paraId="7C362A1D" w14:textId="77777777" w:rsidR="004A0123" w:rsidRPr="000D3D0C" w:rsidRDefault="004A0123" w:rsidP="008A5C11">
            <w:pPr>
              <w:widowControl w:val="0"/>
              <w:autoSpaceDE w:val="0"/>
              <w:autoSpaceDN w:val="0"/>
              <w:adjustRightInd w:val="0"/>
              <w:jc w:val="center"/>
              <w:rPr>
                <w:sz w:val="13"/>
                <w:szCs w:val="13"/>
              </w:rPr>
            </w:pPr>
            <w:r w:rsidRPr="000D3D0C">
              <w:rPr>
                <w:sz w:val="13"/>
                <w:szCs w:val="13"/>
              </w:rPr>
              <w:t>2024</w:t>
            </w:r>
          </w:p>
        </w:tc>
        <w:tc>
          <w:tcPr>
            <w:tcW w:w="187" w:type="pct"/>
            <w:vAlign w:val="center"/>
          </w:tcPr>
          <w:p w14:paraId="44FA93D8" w14:textId="77777777" w:rsidR="004A0123" w:rsidRPr="000D3D0C" w:rsidRDefault="004A0123" w:rsidP="008A5C11">
            <w:pPr>
              <w:widowControl w:val="0"/>
              <w:autoSpaceDE w:val="0"/>
              <w:autoSpaceDN w:val="0"/>
              <w:adjustRightInd w:val="0"/>
              <w:jc w:val="center"/>
              <w:rPr>
                <w:sz w:val="13"/>
                <w:szCs w:val="13"/>
              </w:rPr>
            </w:pPr>
            <w:r w:rsidRPr="000D3D0C">
              <w:rPr>
                <w:sz w:val="13"/>
                <w:szCs w:val="13"/>
              </w:rPr>
              <w:t>2025</w:t>
            </w:r>
          </w:p>
        </w:tc>
        <w:tc>
          <w:tcPr>
            <w:tcW w:w="229" w:type="pct"/>
            <w:tcMar>
              <w:left w:w="28" w:type="dxa"/>
              <w:right w:w="28" w:type="dxa"/>
            </w:tcMar>
            <w:vAlign w:val="center"/>
          </w:tcPr>
          <w:p w14:paraId="5C06A24E" w14:textId="77777777" w:rsidR="004A0123" w:rsidRPr="000D3D0C" w:rsidRDefault="004A0123" w:rsidP="008A5C11">
            <w:pPr>
              <w:widowControl w:val="0"/>
              <w:autoSpaceDE w:val="0"/>
              <w:autoSpaceDN w:val="0"/>
              <w:adjustRightInd w:val="0"/>
              <w:jc w:val="center"/>
              <w:rPr>
                <w:sz w:val="13"/>
                <w:szCs w:val="13"/>
              </w:rPr>
            </w:pPr>
            <w:r w:rsidRPr="000D3D0C">
              <w:rPr>
                <w:sz w:val="13"/>
                <w:szCs w:val="13"/>
              </w:rPr>
              <w:t>2026</w:t>
            </w:r>
          </w:p>
        </w:tc>
        <w:tc>
          <w:tcPr>
            <w:tcW w:w="189" w:type="pct"/>
            <w:tcMar>
              <w:left w:w="28" w:type="dxa"/>
              <w:right w:w="28" w:type="dxa"/>
            </w:tcMar>
            <w:vAlign w:val="center"/>
          </w:tcPr>
          <w:p w14:paraId="058D6634" w14:textId="77777777" w:rsidR="004A0123" w:rsidRPr="000D3D0C" w:rsidRDefault="004A0123" w:rsidP="008A5C11">
            <w:pPr>
              <w:widowControl w:val="0"/>
              <w:autoSpaceDE w:val="0"/>
              <w:autoSpaceDN w:val="0"/>
              <w:adjustRightInd w:val="0"/>
              <w:jc w:val="center"/>
              <w:rPr>
                <w:sz w:val="13"/>
                <w:szCs w:val="13"/>
              </w:rPr>
            </w:pPr>
            <w:r w:rsidRPr="000D3D0C">
              <w:rPr>
                <w:sz w:val="13"/>
                <w:szCs w:val="13"/>
              </w:rPr>
              <w:t>2027</w:t>
            </w:r>
          </w:p>
        </w:tc>
        <w:tc>
          <w:tcPr>
            <w:tcW w:w="221" w:type="pct"/>
            <w:tcMar>
              <w:left w:w="28" w:type="dxa"/>
              <w:right w:w="28" w:type="dxa"/>
            </w:tcMar>
            <w:vAlign w:val="center"/>
          </w:tcPr>
          <w:p w14:paraId="1C968088" w14:textId="77777777" w:rsidR="004A0123" w:rsidRPr="000D3D0C" w:rsidRDefault="004A0123" w:rsidP="008A5C11">
            <w:pPr>
              <w:widowControl w:val="0"/>
              <w:autoSpaceDE w:val="0"/>
              <w:autoSpaceDN w:val="0"/>
              <w:adjustRightInd w:val="0"/>
              <w:jc w:val="center"/>
              <w:rPr>
                <w:sz w:val="13"/>
                <w:szCs w:val="13"/>
              </w:rPr>
            </w:pPr>
            <w:r w:rsidRPr="000D3D0C">
              <w:rPr>
                <w:sz w:val="13"/>
                <w:szCs w:val="13"/>
              </w:rPr>
              <w:t>2028</w:t>
            </w:r>
          </w:p>
        </w:tc>
        <w:tc>
          <w:tcPr>
            <w:tcW w:w="186" w:type="pct"/>
            <w:tcMar>
              <w:left w:w="28" w:type="dxa"/>
              <w:right w:w="28" w:type="dxa"/>
            </w:tcMar>
            <w:vAlign w:val="center"/>
          </w:tcPr>
          <w:p w14:paraId="54CD9841" w14:textId="77777777" w:rsidR="004A0123" w:rsidRPr="000D3D0C" w:rsidRDefault="004A0123" w:rsidP="008A5C11">
            <w:pPr>
              <w:widowControl w:val="0"/>
              <w:autoSpaceDE w:val="0"/>
              <w:autoSpaceDN w:val="0"/>
              <w:adjustRightInd w:val="0"/>
              <w:jc w:val="center"/>
              <w:rPr>
                <w:sz w:val="13"/>
                <w:szCs w:val="13"/>
              </w:rPr>
            </w:pPr>
            <w:r w:rsidRPr="000D3D0C">
              <w:rPr>
                <w:sz w:val="13"/>
                <w:szCs w:val="13"/>
              </w:rPr>
              <w:t>2029</w:t>
            </w:r>
          </w:p>
        </w:tc>
        <w:tc>
          <w:tcPr>
            <w:tcW w:w="241" w:type="pct"/>
            <w:vAlign w:val="center"/>
          </w:tcPr>
          <w:p w14:paraId="6E56CDF4" w14:textId="77777777" w:rsidR="004A0123" w:rsidRPr="000D3D0C" w:rsidRDefault="004A0123" w:rsidP="008A5C11">
            <w:pPr>
              <w:widowControl w:val="0"/>
              <w:autoSpaceDE w:val="0"/>
              <w:autoSpaceDN w:val="0"/>
              <w:adjustRightInd w:val="0"/>
              <w:jc w:val="center"/>
              <w:rPr>
                <w:sz w:val="13"/>
                <w:szCs w:val="13"/>
              </w:rPr>
            </w:pPr>
            <w:r w:rsidRPr="000D3D0C">
              <w:rPr>
                <w:sz w:val="13"/>
                <w:szCs w:val="13"/>
              </w:rPr>
              <w:t>2030</w:t>
            </w:r>
          </w:p>
        </w:tc>
        <w:tc>
          <w:tcPr>
            <w:tcW w:w="209" w:type="pct"/>
            <w:vMerge/>
            <w:tcMar>
              <w:left w:w="28" w:type="dxa"/>
              <w:right w:w="28" w:type="dxa"/>
            </w:tcMar>
            <w:vAlign w:val="center"/>
          </w:tcPr>
          <w:p w14:paraId="1327E967" w14:textId="77777777" w:rsidR="004A0123" w:rsidRPr="000D3D0C" w:rsidRDefault="004A0123" w:rsidP="008A5C11">
            <w:pPr>
              <w:widowControl w:val="0"/>
              <w:autoSpaceDE w:val="0"/>
              <w:autoSpaceDN w:val="0"/>
              <w:adjustRightInd w:val="0"/>
              <w:jc w:val="center"/>
              <w:rPr>
                <w:sz w:val="13"/>
                <w:szCs w:val="13"/>
              </w:rPr>
            </w:pPr>
          </w:p>
        </w:tc>
        <w:tc>
          <w:tcPr>
            <w:tcW w:w="179" w:type="pct"/>
            <w:tcMar>
              <w:left w:w="28" w:type="dxa"/>
              <w:right w:w="28" w:type="dxa"/>
            </w:tcMar>
            <w:vAlign w:val="center"/>
          </w:tcPr>
          <w:p w14:paraId="7D31CD49" w14:textId="77777777" w:rsidR="004A0123" w:rsidRPr="000D3D0C" w:rsidRDefault="004A0123" w:rsidP="008A5C11">
            <w:pPr>
              <w:widowControl w:val="0"/>
              <w:autoSpaceDE w:val="0"/>
              <w:autoSpaceDN w:val="0"/>
              <w:adjustRightInd w:val="0"/>
              <w:jc w:val="center"/>
              <w:rPr>
                <w:sz w:val="13"/>
                <w:szCs w:val="13"/>
              </w:rPr>
            </w:pPr>
            <w:r w:rsidRPr="000D3D0C">
              <w:rPr>
                <w:sz w:val="13"/>
                <w:szCs w:val="13"/>
              </w:rPr>
              <w:t>2021</w:t>
            </w:r>
          </w:p>
        </w:tc>
        <w:tc>
          <w:tcPr>
            <w:tcW w:w="197" w:type="pct"/>
            <w:tcMar>
              <w:left w:w="28" w:type="dxa"/>
              <w:right w:w="28" w:type="dxa"/>
            </w:tcMar>
            <w:vAlign w:val="center"/>
          </w:tcPr>
          <w:p w14:paraId="7A9D648C" w14:textId="77777777" w:rsidR="004A0123" w:rsidRPr="000D3D0C" w:rsidRDefault="004A0123" w:rsidP="008A5C11">
            <w:pPr>
              <w:widowControl w:val="0"/>
              <w:autoSpaceDE w:val="0"/>
              <w:autoSpaceDN w:val="0"/>
              <w:adjustRightInd w:val="0"/>
              <w:jc w:val="center"/>
              <w:rPr>
                <w:sz w:val="13"/>
                <w:szCs w:val="13"/>
              </w:rPr>
            </w:pPr>
            <w:r w:rsidRPr="000D3D0C">
              <w:rPr>
                <w:sz w:val="13"/>
                <w:szCs w:val="13"/>
              </w:rPr>
              <w:t>2022</w:t>
            </w:r>
          </w:p>
        </w:tc>
        <w:tc>
          <w:tcPr>
            <w:tcW w:w="198" w:type="pct"/>
            <w:tcMar>
              <w:left w:w="28" w:type="dxa"/>
              <w:right w:w="28" w:type="dxa"/>
            </w:tcMar>
            <w:vAlign w:val="center"/>
          </w:tcPr>
          <w:p w14:paraId="032758F5" w14:textId="77777777" w:rsidR="004A0123" w:rsidRPr="000D3D0C" w:rsidRDefault="004A0123" w:rsidP="008A5C11">
            <w:pPr>
              <w:widowControl w:val="0"/>
              <w:autoSpaceDE w:val="0"/>
              <w:autoSpaceDN w:val="0"/>
              <w:adjustRightInd w:val="0"/>
              <w:jc w:val="center"/>
              <w:rPr>
                <w:sz w:val="13"/>
                <w:szCs w:val="13"/>
              </w:rPr>
            </w:pPr>
            <w:r w:rsidRPr="000D3D0C">
              <w:rPr>
                <w:sz w:val="13"/>
                <w:szCs w:val="13"/>
              </w:rPr>
              <w:t>2023</w:t>
            </w:r>
          </w:p>
        </w:tc>
        <w:tc>
          <w:tcPr>
            <w:tcW w:w="198" w:type="pct"/>
            <w:vAlign w:val="center"/>
          </w:tcPr>
          <w:p w14:paraId="178C597E" w14:textId="77777777" w:rsidR="004A0123" w:rsidRPr="000D3D0C" w:rsidRDefault="004A0123" w:rsidP="008A5C11">
            <w:pPr>
              <w:widowControl w:val="0"/>
              <w:autoSpaceDE w:val="0"/>
              <w:autoSpaceDN w:val="0"/>
              <w:adjustRightInd w:val="0"/>
              <w:jc w:val="center"/>
              <w:rPr>
                <w:sz w:val="13"/>
                <w:szCs w:val="13"/>
              </w:rPr>
            </w:pPr>
            <w:r w:rsidRPr="000D3D0C">
              <w:rPr>
                <w:sz w:val="13"/>
                <w:szCs w:val="13"/>
              </w:rPr>
              <w:t>2024</w:t>
            </w:r>
          </w:p>
        </w:tc>
        <w:tc>
          <w:tcPr>
            <w:tcW w:w="221" w:type="pct"/>
            <w:vAlign w:val="center"/>
          </w:tcPr>
          <w:p w14:paraId="7E51E9E0" w14:textId="77777777" w:rsidR="004A0123" w:rsidRPr="000D3D0C" w:rsidRDefault="004A0123" w:rsidP="008A5C11">
            <w:pPr>
              <w:widowControl w:val="0"/>
              <w:autoSpaceDE w:val="0"/>
              <w:autoSpaceDN w:val="0"/>
              <w:adjustRightInd w:val="0"/>
              <w:jc w:val="center"/>
              <w:rPr>
                <w:sz w:val="13"/>
                <w:szCs w:val="13"/>
              </w:rPr>
            </w:pPr>
            <w:r w:rsidRPr="000D3D0C">
              <w:rPr>
                <w:sz w:val="13"/>
                <w:szCs w:val="13"/>
              </w:rPr>
              <w:t>2025</w:t>
            </w:r>
          </w:p>
        </w:tc>
        <w:tc>
          <w:tcPr>
            <w:tcW w:w="202" w:type="pct"/>
            <w:tcMar>
              <w:left w:w="28" w:type="dxa"/>
              <w:right w:w="28" w:type="dxa"/>
            </w:tcMar>
            <w:vAlign w:val="center"/>
          </w:tcPr>
          <w:p w14:paraId="27862293" w14:textId="77777777" w:rsidR="004A0123" w:rsidRPr="000D3D0C" w:rsidRDefault="004A0123" w:rsidP="008A5C11">
            <w:pPr>
              <w:widowControl w:val="0"/>
              <w:autoSpaceDE w:val="0"/>
              <w:autoSpaceDN w:val="0"/>
              <w:adjustRightInd w:val="0"/>
              <w:jc w:val="center"/>
              <w:rPr>
                <w:sz w:val="13"/>
                <w:szCs w:val="13"/>
              </w:rPr>
            </w:pPr>
            <w:r w:rsidRPr="000D3D0C">
              <w:rPr>
                <w:sz w:val="13"/>
                <w:szCs w:val="13"/>
              </w:rPr>
              <w:t>2026</w:t>
            </w:r>
          </w:p>
        </w:tc>
        <w:tc>
          <w:tcPr>
            <w:tcW w:w="196" w:type="pct"/>
            <w:tcMar>
              <w:left w:w="28" w:type="dxa"/>
              <w:right w:w="28" w:type="dxa"/>
            </w:tcMar>
            <w:vAlign w:val="center"/>
          </w:tcPr>
          <w:p w14:paraId="5FE91FF7" w14:textId="77777777" w:rsidR="004A0123" w:rsidRPr="000D3D0C" w:rsidRDefault="004A0123" w:rsidP="008A5C11">
            <w:pPr>
              <w:widowControl w:val="0"/>
              <w:autoSpaceDE w:val="0"/>
              <w:autoSpaceDN w:val="0"/>
              <w:adjustRightInd w:val="0"/>
              <w:jc w:val="center"/>
              <w:rPr>
                <w:sz w:val="13"/>
                <w:szCs w:val="13"/>
              </w:rPr>
            </w:pPr>
            <w:r w:rsidRPr="000D3D0C">
              <w:rPr>
                <w:sz w:val="13"/>
                <w:szCs w:val="13"/>
              </w:rPr>
              <w:t>2027</w:t>
            </w:r>
          </w:p>
        </w:tc>
        <w:tc>
          <w:tcPr>
            <w:tcW w:w="200" w:type="pct"/>
            <w:tcMar>
              <w:left w:w="28" w:type="dxa"/>
              <w:right w:w="28" w:type="dxa"/>
            </w:tcMar>
            <w:vAlign w:val="center"/>
          </w:tcPr>
          <w:p w14:paraId="0D7C3A46" w14:textId="77777777" w:rsidR="004A0123" w:rsidRPr="000D3D0C" w:rsidRDefault="004A0123" w:rsidP="008A5C11">
            <w:pPr>
              <w:widowControl w:val="0"/>
              <w:autoSpaceDE w:val="0"/>
              <w:autoSpaceDN w:val="0"/>
              <w:adjustRightInd w:val="0"/>
              <w:jc w:val="center"/>
              <w:rPr>
                <w:sz w:val="13"/>
                <w:szCs w:val="13"/>
              </w:rPr>
            </w:pPr>
            <w:r w:rsidRPr="000D3D0C">
              <w:rPr>
                <w:sz w:val="13"/>
                <w:szCs w:val="13"/>
              </w:rPr>
              <w:t>2028</w:t>
            </w:r>
          </w:p>
        </w:tc>
        <w:tc>
          <w:tcPr>
            <w:tcW w:w="190" w:type="pct"/>
            <w:tcMar>
              <w:left w:w="28" w:type="dxa"/>
              <w:right w:w="28" w:type="dxa"/>
            </w:tcMar>
            <w:vAlign w:val="center"/>
          </w:tcPr>
          <w:p w14:paraId="71D44659" w14:textId="77777777" w:rsidR="004A0123" w:rsidRPr="000D3D0C" w:rsidRDefault="004A0123" w:rsidP="008A5C11">
            <w:pPr>
              <w:widowControl w:val="0"/>
              <w:autoSpaceDE w:val="0"/>
              <w:autoSpaceDN w:val="0"/>
              <w:adjustRightInd w:val="0"/>
              <w:jc w:val="center"/>
              <w:rPr>
                <w:sz w:val="13"/>
                <w:szCs w:val="13"/>
              </w:rPr>
            </w:pPr>
            <w:r w:rsidRPr="000D3D0C">
              <w:rPr>
                <w:sz w:val="13"/>
                <w:szCs w:val="13"/>
              </w:rPr>
              <w:t>2029</w:t>
            </w:r>
          </w:p>
        </w:tc>
        <w:tc>
          <w:tcPr>
            <w:tcW w:w="213" w:type="pct"/>
            <w:vAlign w:val="center"/>
          </w:tcPr>
          <w:p w14:paraId="779BCA00" w14:textId="77777777" w:rsidR="004A0123" w:rsidRPr="000D3D0C" w:rsidRDefault="004A0123" w:rsidP="008A5C11">
            <w:pPr>
              <w:widowControl w:val="0"/>
              <w:autoSpaceDE w:val="0"/>
              <w:autoSpaceDN w:val="0"/>
              <w:adjustRightInd w:val="0"/>
              <w:jc w:val="center"/>
              <w:rPr>
                <w:sz w:val="13"/>
                <w:szCs w:val="13"/>
              </w:rPr>
            </w:pPr>
            <w:r w:rsidRPr="000D3D0C">
              <w:rPr>
                <w:sz w:val="13"/>
                <w:szCs w:val="13"/>
              </w:rPr>
              <w:t>2030</w:t>
            </w:r>
          </w:p>
        </w:tc>
      </w:tr>
      <w:tr w:rsidR="004A0123" w:rsidRPr="000D3D0C" w14:paraId="7579B188" w14:textId="77777777" w:rsidTr="008A5C11">
        <w:trPr>
          <w:trHeight w:val="148"/>
          <w:jc w:val="center"/>
        </w:trPr>
        <w:tc>
          <w:tcPr>
            <w:tcW w:w="111" w:type="pct"/>
            <w:tcMar>
              <w:top w:w="62" w:type="dxa"/>
              <w:left w:w="28" w:type="dxa"/>
              <w:bottom w:w="102" w:type="dxa"/>
              <w:right w:w="28" w:type="dxa"/>
            </w:tcMar>
            <w:vAlign w:val="center"/>
          </w:tcPr>
          <w:p w14:paraId="0086338A" w14:textId="77777777" w:rsidR="004A0123" w:rsidRPr="000D3D0C" w:rsidRDefault="004A0123" w:rsidP="008A5C11">
            <w:pPr>
              <w:jc w:val="center"/>
              <w:rPr>
                <w:sz w:val="16"/>
                <w:szCs w:val="16"/>
              </w:rPr>
            </w:pPr>
            <w:r w:rsidRPr="000D3D0C">
              <w:rPr>
                <w:sz w:val="16"/>
                <w:szCs w:val="16"/>
              </w:rPr>
              <w:t>1</w:t>
            </w:r>
          </w:p>
        </w:tc>
        <w:tc>
          <w:tcPr>
            <w:tcW w:w="457" w:type="pct"/>
            <w:tcMar>
              <w:top w:w="62" w:type="dxa"/>
              <w:left w:w="28" w:type="dxa"/>
              <w:bottom w:w="102" w:type="dxa"/>
              <w:right w:w="28" w:type="dxa"/>
            </w:tcMar>
            <w:vAlign w:val="center"/>
          </w:tcPr>
          <w:p w14:paraId="3773D8F3" w14:textId="77777777" w:rsidR="004A0123" w:rsidRPr="000D3D0C" w:rsidRDefault="004A0123" w:rsidP="008A5C11">
            <w:pPr>
              <w:jc w:val="center"/>
              <w:rPr>
                <w:color w:val="000000"/>
                <w:sz w:val="16"/>
                <w:szCs w:val="16"/>
              </w:rPr>
            </w:pPr>
            <w:r w:rsidRPr="000D3D0C">
              <w:rPr>
                <w:color w:val="000000"/>
                <w:sz w:val="16"/>
                <w:szCs w:val="16"/>
              </w:rPr>
              <w:t>Котельная Центральна</w:t>
            </w:r>
          </w:p>
        </w:tc>
        <w:tc>
          <w:tcPr>
            <w:tcW w:w="196" w:type="pct"/>
            <w:shd w:val="clear" w:color="auto" w:fill="auto"/>
            <w:tcMar>
              <w:left w:w="28" w:type="dxa"/>
              <w:right w:w="28" w:type="dxa"/>
            </w:tcMar>
            <w:vAlign w:val="center"/>
          </w:tcPr>
          <w:p w14:paraId="7256B55F" w14:textId="77777777" w:rsidR="004A0123" w:rsidRPr="000D3D0C" w:rsidRDefault="004A0123" w:rsidP="008A5C11">
            <w:pPr>
              <w:jc w:val="center"/>
              <w:rPr>
                <w:color w:val="000000"/>
                <w:sz w:val="16"/>
                <w:szCs w:val="16"/>
              </w:rPr>
            </w:pPr>
            <w:r w:rsidRPr="000D3D0C">
              <w:rPr>
                <w:color w:val="000000"/>
                <w:sz w:val="16"/>
                <w:szCs w:val="16"/>
              </w:rPr>
              <w:t>14 882</w:t>
            </w:r>
          </w:p>
        </w:tc>
        <w:tc>
          <w:tcPr>
            <w:tcW w:w="222" w:type="pct"/>
            <w:shd w:val="clear" w:color="auto" w:fill="auto"/>
            <w:tcMar>
              <w:left w:w="28" w:type="dxa"/>
              <w:right w:w="28" w:type="dxa"/>
            </w:tcMar>
            <w:vAlign w:val="center"/>
          </w:tcPr>
          <w:p w14:paraId="0378F3AD" w14:textId="77777777" w:rsidR="004A0123" w:rsidRPr="000D3D0C" w:rsidRDefault="004A0123" w:rsidP="008A5C11">
            <w:pPr>
              <w:jc w:val="center"/>
              <w:rPr>
                <w:color w:val="000000"/>
                <w:sz w:val="16"/>
                <w:szCs w:val="16"/>
              </w:rPr>
            </w:pPr>
            <w:r w:rsidRPr="000D3D0C">
              <w:rPr>
                <w:color w:val="000000"/>
                <w:sz w:val="16"/>
                <w:szCs w:val="16"/>
              </w:rPr>
              <w:t>14 882</w:t>
            </w:r>
          </w:p>
        </w:tc>
        <w:tc>
          <w:tcPr>
            <w:tcW w:w="179" w:type="pct"/>
            <w:shd w:val="clear" w:color="auto" w:fill="auto"/>
            <w:tcMar>
              <w:left w:w="28" w:type="dxa"/>
              <w:right w:w="28" w:type="dxa"/>
            </w:tcMar>
            <w:vAlign w:val="center"/>
          </w:tcPr>
          <w:p w14:paraId="5228F88E" w14:textId="77777777" w:rsidR="004A0123" w:rsidRPr="000D3D0C" w:rsidRDefault="004A0123" w:rsidP="008A5C11">
            <w:pPr>
              <w:jc w:val="center"/>
              <w:rPr>
                <w:color w:val="000000"/>
                <w:sz w:val="16"/>
                <w:szCs w:val="16"/>
              </w:rPr>
            </w:pPr>
            <w:r w:rsidRPr="000D3D0C">
              <w:rPr>
                <w:color w:val="000000"/>
                <w:sz w:val="16"/>
                <w:szCs w:val="16"/>
              </w:rPr>
              <w:t>14 882</w:t>
            </w:r>
          </w:p>
        </w:tc>
        <w:tc>
          <w:tcPr>
            <w:tcW w:w="175" w:type="pct"/>
            <w:shd w:val="clear" w:color="auto" w:fill="auto"/>
            <w:tcMar>
              <w:left w:w="28" w:type="dxa"/>
              <w:right w:w="28" w:type="dxa"/>
            </w:tcMar>
            <w:vAlign w:val="center"/>
          </w:tcPr>
          <w:p w14:paraId="08D44F15" w14:textId="77777777" w:rsidR="004A0123" w:rsidRPr="000D3D0C" w:rsidRDefault="004A0123" w:rsidP="008A5C11">
            <w:pPr>
              <w:jc w:val="center"/>
              <w:rPr>
                <w:color w:val="000000"/>
                <w:sz w:val="16"/>
                <w:szCs w:val="16"/>
              </w:rPr>
            </w:pPr>
            <w:r w:rsidRPr="000D3D0C">
              <w:rPr>
                <w:color w:val="000000"/>
                <w:sz w:val="16"/>
                <w:szCs w:val="16"/>
              </w:rPr>
              <w:t>14 882</w:t>
            </w:r>
          </w:p>
        </w:tc>
        <w:tc>
          <w:tcPr>
            <w:tcW w:w="204" w:type="pct"/>
            <w:shd w:val="clear" w:color="auto" w:fill="auto"/>
            <w:vAlign w:val="center"/>
          </w:tcPr>
          <w:p w14:paraId="53EA96E5" w14:textId="77777777" w:rsidR="004A0123" w:rsidRPr="000D3D0C" w:rsidRDefault="004A0123" w:rsidP="008A5C11">
            <w:pPr>
              <w:jc w:val="center"/>
              <w:rPr>
                <w:color w:val="000000"/>
                <w:sz w:val="16"/>
                <w:szCs w:val="16"/>
              </w:rPr>
            </w:pPr>
            <w:r w:rsidRPr="000D3D0C">
              <w:rPr>
                <w:color w:val="000000"/>
                <w:sz w:val="16"/>
                <w:szCs w:val="16"/>
              </w:rPr>
              <w:t>14 882</w:t>
            </w:r>
          </w:p>
        </w:tc>
        <w:tc>
          <w:tcPr>
            <w:tcW w:w="187" w:type="pct"/>
            <w:shd w:val="clear" w:color="auto" w:fill="auto"/>
            <w:vAlign w:val="center"/>
          </w:tcPr>
          <w:p w14:paraId="69ABA6DB" w14:textId="77777777" w:rsidR="004A0123" w:rsidRPr="000D3D0C" w:rsidRDefault="004A0123" w:rsidP="008A5C11">
            <w:pPr>
              <w:jc w:val="center"/>
              <w:rPr>
                <w:color w:val="000000"/>
                <w:sz w:val="16"/>
                <w:szCs w:val="16"/>
              </w:rPr>
            </w:pPr>
            <w:r w:rsidRPr="000D3D0C">
              <w:rPr>
                <w:color w:val="000000"/>
                <w:sz w:val="16"/>
                <w:szCs w:val="16"/>
              </w:rPr>
              <w:t>14 882</w:t>
            </w:r>
          </w:p>
        </w:tc>
        <w:tc>
          <w:tcPr>
            <w:tcW w:w="229" w:type="pct"/>
            <w:shd w:val="clear" w:color="auto" w:fill="auto"/>
            <w:tcMar>
              <w:left w:w="28" w:type="dxa"/>
              <w:right w:w="28" w:type="dxa"/>
            </w:tcMar>
            <w:vAlign w:val="center"/>
          </w:tcPr>
          <w:p w14:paraId="792D0D53" w14:textId="77777777" w:rsidR="004A0123" w:rsidRPr="000D3D0C" w:rsidRDefault="004A0123" w:rsidP="008A5C11">
            <w:pPr>
              <w:jc w:val="center"/>
              <w:rPr>
                <w:color w:val="000000"/>
                <w:sz w:val="16"/>
                <w:szCs w:val="16"/>
              </w:rPr>
            </w:pPr>
            <w:r w:rsidRPr="000D3D0C">
              <w:rPr>
                <w:color w:val="000000"/>
                <w:sz w:val="16"/>
                <w:szCs w:val="16"/>
              </w:rPr>
              <w:t>14 882</w:t>
            </w:r>
          </w:p>
        </w:tc>
        <w:tc>
          <w:tcPr>
            <w:tcW w:w="189" w:type="pct"/>
            <w:shd w:val="clear" w:color="auto" w:fill="auto"/>
            <w:tcMar>
              <w:left w:w="28" w:type="dxa"/>
              <w:right w:w="28" w:type="dxa"/>
            </w:tcMar>
            <w:vAlign w:val="center"/>
          </w:tcPr>
          <w:p w14:paraId="50652D53" w14:textId="77777777" w:rsidR="004A0123" w:rsidRPr="000D3D0C" w:rsidRDefault="004A0123" w:rsidP="008A5C11">
            <w:pPr>
              <w:jc w:val="center"/>
              <w:rPr>
                <w:color w:val="000000"/>
                <w:sz w:val="16"/>
                <w:szCs w:val="16"/>
              </w:rPr>
            </w:pPr>
            <w:r w:rsidRPr="000D3D0C">
              <w:rPr>
                <w:color w:val="000000"/>
                <w:sz w:val="16"/>
                <w:szCs w:val="16"/>
              </w:rPr>
              <w:t>14 882</w:t>
            </w:r>
          </w:p>
        </w:tc>
        <w:tc>
          <w:tcPr>
            <w:tcW w:w="221" w:type="pct"/>
            <w:shd w:val="clear" w:color="auto" w:fill="auto"/>
            <w:tcMar>
              <w:left w:w="28" w:type="dxa"/>
              <w:right w:w="28" w:type="dxa"/>
            </w:tcMar>
            <w:vAlign w:val="center"/>
          </w:tcPr>
          <w:p w14:paraId="5488B2E0" w14:textId="77777777" w:rsidR="004A0123" w:rsidRPr="000D3D0C" w:rsidRDefault="004A0123" w:rsidP="008A5C11">
            <w:pPr>
              <w:jc w:val="center"/>
              <w:rPr>
                <w:color w:val="000000"/>
                <w:sz w:val="16"/>
                <w:szCs w:val="16"/>
              </w:rPr>
            </w:pPr>
            <w:r w:rsidRPr="000D3D0C">
              <w:rPr>
                <w:color w:val="000000"/>
                <w:sz w:val="16"/>
                <w:szCs w:val="16"/>
              </w:rPr>
              <w:t>14 882</w:t>
            </w:r>
          </w:p>
        </w:tc>
        <w:tc>
          <w:tcPr>
            <w:tcW w:w="186" w:type="pct"/>
            <w:shd w:val="clear" w:color="auto" w:fill="auto"/>
            <w:tcMar>
              <w:left w:w="28" w:type="dxa"/>
              <w:right w:w="28" w:type="dxa"/>
            </w:tcMar>
            <w:vAlign w:val="center"/>
          </w:tcPr>
          <w:p w14:paraId="1B432088" w14:textId="77777777" w:rsidR="004A0123" w:rsidRPr="000D3D0C" w:rsidRDefault="004A0123" w:rsidP="008A5C11">
            <w:pPr>
              <w:jc w:val="center"/>
              <w:rPr>
                <w:color w:val="000000"/>
                <w:sz w:val="16"/>
                <w:szCs w:val="16"/>
              </w:rPr>
            </w:pPr>
            <w:r w:rsidRPr="000D3D0C">
              <w:rPr>
                <w:color w:val="000000"/>
                <w:sz w:val="16"/>
                <w:szCs w:val="16"/>
              </w:rPr>
              <w:t>14 882</w:t>
            </w:r>
          </w:p>
        </w:tc>
        <w:tc>
          <w:tcPr>
            <w:tcW w:w="241" w:type="pct"/>
            <w:shd w:val="clear" w:color="auto" w:fill="auto"/>
            <w:vAlign w:val="center"/>
          </w:tcPr>
          <w:p w14:paraId="7943BD1F" w14:textId="77777777" w:rsidR="004A0123" w:rsidRPr="000D3D0C" w:rsidRDefault="004A0123" w:rsidP="008A5C11">
            <w:pPr>
              <w:jc w:val="center"/>
              <w:rPr>
                <w:color w:val="000000"/>
                <w:sz w:val="16"/>
                <w:szCs w:val="16"/>
              </w:rPr>
            </w:pPr>
            <w:r w:rsidRPr="000D3D0C">
              <w:rPr>
                <w:color w:val="000000"/>
                <w:sz w:val="16"/>
                <w:szCs w:val="16"/>
              </w:rPr>
              <w:t>14 882</w:t>
            </w:r>
          </w:p>
        </w:tc>
        <w:tc>
          <w:tcPr>
            <w:tcW w:w="209" w:type="pct"/>
            <w:shd w:val="clear" w:color="auto" w:fill="auto"/>
            <w:tcMar>
              <w:left w:w="28" w:type="dxa"/>
              <w:right w:w="28" w:type="dxa"/>
            </w:tcMar>
            <w:vAlign w:val="center"/>
          </w:tcPr>
          <w:p w14:paraId="36BB458C" w14:textId="77777777" w:rsidR="004A0123" w:rsidRPr="000D3D0C" w:rsidRDefault="004A0123" w:rsidP="008A5C11">
            <w:pPr>
              <w:jc w:val="center"/>
              <w:rPr>
                <w:sz w:val="16"/>
                <w:szCs w:val="16"/>
              </w:rPr>
            </w:pPr>
            <w:r w:rsidRPr="000D3D0C">
              <w:rPr>
                <w:sz w:val="16"/>
                <w:szCs w:val="16"/>
              </w:rPr>
              <w:t>35 778</w:t>
            </w:r>
          </w:p>
        </w:tc>
        <w:tc>
          <w:tcPr>
            <w:tcW w:w="179" w:type="pct"/>
            <w:shd w:val="clear" w:color="auto" w:fill="auto"/>
            <w:tcMar>
              <w:left w:w="28" w:type="dxa"/>
              <w:right w:w="28" w:type="dxa"/>
            </w:tcMar>
            <w:vAlign w:val="center"/>
          </w:tcPr>
          <w:p w14:paraId="4967EC4B" w14:textId="77777777" w:rsidR="004A0123" w:rsidRPr="000D3D0C" w:rsidRDefault="004A0123" w:rsidP="008A5C11">
            <w:pPr>
              <w:jc w:val="center"/>
              <w:rPr>
                <w:sz w:val="16"/>
                <w:szCs w:val="16"/>
              </w:rPr>
            </w:pPr>
            <w:r w:rsidRPr="000D3D0C">
              <w:rPr>
                <w:sz w:val="16"/>
                <w:szCs w:val="16"/>
              </w:rPr>
              <w:t>35 778</w:t>
            </w:r>
          </w:p>
        </w:tc>
        <w:tc>
          <w:tcPr>
            <w:tcW w:w="197" w:type="pct"/>
            <w:shd w:val="clear" w:color="auto" w:fill="auto"/>
            <w:tcMar>
              <w:left w:w="28" w:type="dxa"/>
              <w:right w:w="28" w:type="dxa"/>
            </w:tcMar>
            <w:vAlign w:val="center"/>
          </w:tcPr>
          <w:p w14:paraId="32E0CA52" w14:textId="77777777" w:rsidR="004A0123" w:rsidRPr="000D3D0C" w:rsidRDefault="004A0123" w:rsidP="008A5C11">
            <w:pPr>
              <w:jc w:val="center"/>
              <w:rPr>
                <w:sz w:val="16"/>
                <w:szCs w:val="16"/>
              </w:rPr>
            </w:pPr>
            <w:r w:rsidRPr="000D3D0C">
              <w:rPr>
                <w:sz w:val="16"/>
                <w:szCs w:val="16"/>
              </w:rPr>
              <w:t>35 778</w:t>
            </w:r>
          </w:p>
        </w:tc>
        <w:tc>
          <w:tcPr>
            <w:tcW w:w="198" w:type="pct"/>
            <w:shd w:val="clear" w:color="auto" w:fill="auto"/>
            <w:tcMar>
              <w:left w:w="28" w:type="dxa"/>
              <w:right w:w="28" w:type="dxa"/>
            </w:tcMar>
            <w:vAlign w:val="center"/>
          </w:tcPr>
          <w:p w14:paraId="74BE73CB" w14:textId="77777777" w:rsidR="004A0123" w:rsidRPr="000D3D0C" w:rsidRDefault="004A0123" w:rsidP="008A5C11">
            <w:pPr>
              <w:jc w:val="center"/>
              <w:rPr>
                <w:sz w:val="16"/>
                <w:szCs w:val="16"/>
              </w:rPr>
            </w:pPr>
            <w:r w:rsidRPr="000D3D0C">
              <w:rPr>
                <w:sz w:val="16"/>
                <w:szCs w:val="16"/>
              </w:rPr>
              <w:t>35 778</w:t>
            </w:r>
          </w:p>
        </w:tc>
        <w:tc>
          <w:tcPr>
            <w:tcW w:w="198" w:type="pct"/>
            <w:shd w:val="clear" w:color="auto" w:fill="auto"/>
            <w:vAlign w:val="center"/>
          </w:tcPr>
          <w:p w14:paraId="496D21F0" w14:textId="77777777" w:rsidR="004A0123" w:rsidRPr="000D3D0C" w:rsidRDefault="004A0123" w:rsidP="008A5C11">
            <w:pPr>
              <w:jc w:val="center"/>
              <w:rPr>
                <w:sz w:val="16"/>
                <w:szCs w:val="16"/>
              </w:rPr>
            </w:pPr>
            <w:r w:rsidRPr="000D3D0C">
              <w:rPr>
                <w:sz w:val="16"/>
                <w:szCs w:val="16"/>
              </w:rPr>
              <w:t>35 778</w:t>
            </w:r>
          </w:p>
        </w:tc>
        <w:tc>
          <w:tcPr>
            <w:tcW w:w="221" w:type="pct"/>
            <w:shd w:val="clear" w:color="auto" w:fill="auto"/>
            <w:vAlign w:val="center"/>
          </w:tcPr>
          <w:p w14:paraId="7ABBE34E" w14:textId="77777777" w:rsidR="004A0123" w:rsidRPr="000D3D0C" w:rsidRDefault="004A0123" w:rsidP="008A5C11">
            <w:pPr>
              <w:jc w:val="center"/>
              <w:rPr>
                <w:sz w:val="16"/>
                <w:szCs w:val="16"/>
              </w:rPr>
            </w:pPr>
            <w:r w:rsidRPr="000D3D0C">
              <w:rPr>
                <w:sz w:val="16"/>
                <w:szCs w:val="16"/>
              </w:rPr>
              <w:t>35 778</w:t>
            </w:r>
          </w:p>
        </w:tc>
        <w:tc>
          <w:tcPr>
            <w:tcW w:w="202" w:type="pct"/>
            <w:shd w:val="clear" w:color="auto" w:fill="auto"/>
            <w:tcMar>
              <w:left w:w="28" w:type="dxa"/>
              <w:right w:w="28" w:type="dxa"/>
            </w:tcMar>
            <w:vAlign w:val="center"/>
          </w:tcPr>
          <w:p w14:paraId="150C0F7D" w14:textId="77777777" w:rsidR="004A0123" w:rsidRPr="000D3D0C" w:rsidRDefault="004A0123" w:rsidP="008A5C11">
            <w:pPr>
              <w:jc w:val="center"/>
              <w:rPr>
                <w:sz w:val="16"/>
                <w:szCs w:val="16"/>
              </w:rPr>
            </w:pPr>
            <w:r w:rsidRPr="000D3D0C">
              <w:rPr>
                <w:sz w:val="16"/>
                <w:szCs w:val="16"/>
              </w:rPr>
              <w:t>35 778</w:t>
            </w:r>
          </w:p>
        </w:tc>
        <w:tc>
          <w:tcPr>
            <w:tcW w:w="196" w:type="pct"/>
            <w:shd w:val="clear" w:color="auto" w:fill="auto"/>
            <w:tcMar>
              <w:left w:w="28" w:type="dxa"/>
              <w:right w:w="28" w:type="dxa"/>
            </w:tcMar>
            <w:vAlign w:val="center"/>
          </w:tcPr>
          <w:p w14:paraId="0ABAF479" w14:textId="77777777" w:rsidR="004A0123" w:rsidRPr="000D3D0C" w:rsidRDefault="004A0123" w:rsidP="008A5C11">
            <w:pPr>
              <w:jc w:val="center"/>
              <w:rPr>
                <w:sz w:val="16"/>
                <w:szCs w:val="16"/>
              </w:rPr>
            </w:pPr>
            <w:r w:rsidRPr="000D3D0C">
              <w:rPr>
                <w:sz w:val="16"/>
                <w:szCs w:val="16"/>
              </w:rPr>
              <w:t>35 778</w:t>
            </w:r>
          </w:p>
        </w:tc>
        <w:tc>
          <w:tcPr>
            <w:tcW w:w="200" w:type="pct"/>
            <w:shd w:val="clear" w:color="auto" w:fill="auto"/>
            <w:tcMar>
              <w:left w:w="28" w:type="dxa"/>
              <w:right w:w="28" w:type="dxa"/>
            </w:tcMar>
            <w:vAlign w:val="center"/>
          </w:tcPr>
          <w:p w14:paraId="41417310" w14:textId="77777777" w:rsidR="004A0123" w:rsidRPr="000D3D0C" w:rsidRDefault="004A0123" w:rsidP="008A5C11">
            <w:pPr>
              <w:jc w:val="center"/>
              <w:rPr>
                <w:sz w:val="16"/>
                <w:szCs w:val="16"/>
              </w:rPr>
            </w:pPr>
            <w:r w:rsidRPr="000D3D0C">
              <w:rPr>
                <w:sz w:val="16"/>
                <w:szCs w:val="16"/>
              </w:rPr>
              <w:t>35 778</w:t>
            </w:r>
          </w:p>
        </w:tc>
        <w:tc>
          <w:tcPr>
            <w:tcW w:w="190" w:type="pct"/>
            <w:shd w:val="clear" w:color="auto" w:fill="auto"/>
            <w:tcMar>
              <w:left w:w="28" w:type="dxa"/>
              <w:right w:w="28" w:type="dxa"/>
            </w:tcMar>
            <w:vAlign w:val="center"/>
          </w:tcPr>
          <w:p w14:paraId="06E813FE" w14:textId="77777777" w:rsidR="004A0123" w:rsidRPr="000D3D0C" w:rsidRDefault="004A0123" w:rsidP="008A5C11">
            <w:pPr>
              <w:jc w:val="center"/>
              <w:rPr>
                <w:sz w:val="16"/>
                <w:szCs w:val="16"/>
              </w:rPr>
            </w:pPr>
            <w:r w:rsidRPr="000D3D0C">
              <w:rPr>
                <w:sz w:val="16"/>
                <w:szCs w:val="16"/>
              </w:rPr>
              <w:t>35 778</w:t>
            </w:r>
          </w:p>
        </w:tc>
        <w:tc>
          <w:tcPr>
            <w:tcW w:w="213" w:type="pct"/>
            <w:shd w:val="clear" w:color="auto" w:fill="auto"/>
            <w:vAlign w:val="center"/>
          </w:tcPr>
          <w:p w14:paraId="1053AF53" w14:textId="77777777" w:rsidR="004A0123" w:rsidRPr="000D3D0C" w:rsidRDefault="004A0123" w:rsidP="008A5C11">
            <w:pPr>
              <w:jc w:val="center"/>
              <w:rPr>
                <w:sz w:val="16"/>
                <w:szCs w:val="16"/>
              </w:rPr>
            </w:pPr>
            <w:r w:rsidRPr="000D3D0C">
              <w:rPr>
                <w:sz w:val="16"/>
                <w:szCs w:val="16"/>
              </w:rPr>
              <w:t>35 778</w:t>
            </w:r>
          </w:p>
        </w:tc>
      </w:tr>
      <w:tr w:rsidR="004A0123" w:rsidRPr="000D3D0C" w14:paraId="7305C989" w14:textId="77777777" w:rsidTr="008A5C11">
        <w:trPr>
          <w:trHeight w:val="148"/>
          <w:jc w:val="center"/>
        </w:trPr>
        <w:tc>
          <w:tcPr>
            <w:tcW w:w="111" w:type="pct"/>
            <w:tcMar>
              <w:top w:w="62" w:type="dxa"/>
              <w:left w:w="28" w:type="dxa"/>
              <w:bottom w:w="102" w:type="dxa"/>
              <w:right w:w="28" w:type="dxa"/>
            </w:tcMar>
            <w:vAlign w:val="center"/>
          </w:tcPr>
          <w:p w14:paraId="589C98F4" w14:textId="77777777" w:rsidR="004A0123" w:rsidRPr="000D3D0C" w:rsidRDefault="004A0123" w:rsidP="008A5C11">
            <w:pPr>
              <w:jc w:val="center"/>
              <w:rPr>
                <w:sz w:val="16"/>
                <w:szCs w:val="16"/>
              </w:rPr>
            </w:pPr>
            <w:r w:rsidRPr="000D3D0C">
              <w:rPr>
                <w:sz w:val="16"/>
                <w:szCs w:val="16"/>
              </w:rPr>
              <w:t>2</w:t>
            </w:r>
          </w:p>
        </w:tc>
        <w:tc>
          <w:tcPr>
            <w:tcW w:w="457" w:type="pct"/>
            <w:tcMar>
              <w:top w:w="62" w:type="dxa"/>
              <w:left w:w="28" w:type="dxa"/>
              <w:bottom w:w="102" w:type="dxa"/>
              <w:right w:w="28" w:type="dxa"/>
            </w:tcMar>
            <w:vAlign w:val="center"/>
          </w:tcPr>
          <w:p w14:paraId="0AA4ADDF" w14:textId="77777777" w:rsidR="004A0123" w:rsidRPr="000D3D0C" w:rsidRDefault="004A0123" w:rsidP="008A5C11">
            <w:pPr>
              <w:jc w:val="center"/>
              <w:rPr>
                <w:color w:val="000000"/>
                <w:sz w:val="16"/>
                <w:szCs w:val="16"/>
              </w:rPr>
            </w:pPr>
            <w:r w:rsidRPr="000D3D0C">
              <w:rPr>
                <w:color w:val="000000"/>
                <w:sz w:val="16"/>
                <w:szCs w:val="16"/>
              </w:rPr>
              <w:t>Котельная №1</w:t>
            </w:r>
          </w:p>
        </w:tc>
        <w:tc>
          <w:tcPr>
            <w:tcW w:w="196" w:type="pct"/>
            <w:shd w:val="clear" w:color="auto" w:fill="auto"/>
            <w:tcMar>
              <w:left w:w="28" w:type="dxa"/>
              <w:right w:w="28" w:type="dxa"/>
            </w:tcMar>
            <w:vAlign w:val="center"/>
          </w:tcPr>
          <w:p w14:paraId="6AAF06B2" w14:textId="77777777" w:rsidR="004A0123" w:rsidRPr="000D3D0C" w:rsidRDefault="004A0123" w:rsidP="008A5C11">
            <w:pPr>
              <w:jc w:val="center"/>
              <w:rPr>
                <w:color w:val="000000"/>
                <w:sz w:val="16"/>
                <w:szCs w:val="16"/>
              </w:rPr>
            </w:pPr>
            <w:r w:rsidRPr="000D3D0C">
              <w:rPr>
                <w:color w:val="000000"/>
                <w:sz w:val="16"/>
                <w:szCs w:val="16"/>
              </w:rPr>
              <w:t>75</w:t>
            </w:r>
          </w:p>
        </w:tc>
        <w:tc>
          <w:tcPr>
            <w:tcW w:w="222" w:type="pct"/>
            <w:shd w:val="clear" w:color="auto" w:fill="auto"/>
            <w:tcMar>
              <w:left w:w="28" w:type="dxa"/>
              <w:right w:w="28" w:type="dxa"/>
            </w:tcMar>
            <w:vAlign w:val="center"/>
          </w:tcPr>
          <w:p w14:paraId="57A0CDD4" w14:textId="77777777" w:rsidR="004A0123" w:rsidRPr="000D3D0C" w:rsidRDefault="004A0123" w:rsidP="008A5C11">
            <w:pPr>
              <w:jc w:val="center"/>
              <w:rPr>
                <w:color w:val="000000"/>
                <w:sz w:val="16"/>
                <w:szCs w:val="16"/>
              </w:rPr>
            </w:pPr>
            <w:r w:rsidRPr="000D3D0C">
              <w:rPr>
                <w:color w:val="000000"/>
                <w:sz w:val="16"/>
                <w:szCs w:val="16"/>
              </w:rPr>
              <w:t>75</w:t>
            </w:r>
          </w:p>
        </w:tc>
        <w:tc>
          <w:tcPr>
            <w:tcW w:w="179" w:type="pct"/>
            <w:shd w:val="clear" w:color="auto" w:fill="auto"/>
            <w:tcMar>
              <w:left w:w="28" w:type="dxa"/>
              <w:right w:w="28" w:type="dxa"/>
            </w:tcMar>
            <w:vAlign w:val="center"/>
          </w:tcPr>
          <w:p w14:paraId="4F051ED3" w14:textId="77777777" w:rsidR="004A0123" w:rsidRPr="000D3D0C" w:rsidRDefault="004A0123" w:rsidP="008A5C11">
            <w:pPr>
              <w:jc w:val="center"/>
              <w:rPr>
                <w:color w:val="000000"/>
                <w:sz w:val="16"/>
                <w:szCs w:val="16"/>
              </w:rPr>
            </w:pPr>
            <w:r w:rsidRPr="000D3D0C">
              <w:rPr>
                <w:color w:val="000000"/>
                <w:sz w:val="16"/>
                <w:szCs w:val="16"/>
              </w:rPr>
              <w:t>75</w:t>
            </w:r>
          </w:p>
        </w:tc>
        <w:tc>
          <w:tcPr>
            <w:tcW w:w="175" w:type="pct"/>
            <w:shd w:val="clear" w:color="auto" w:fill="auto"/>
            <w:tcMar>
              <w:left w:w="28" w:type="dxa"/>
              <w:right w:w="28" w:type="dxa"/>
            </w:tcMar>
            <w:vAlign w:val="center"/>
          </w:tcPr>
          <w:p w14:paraId="127C5235" w14:textId="77777777" w:rsidR="004A0123" w:rsidRPr="000D3D0C" w:rsidRDefault="004A0123" w:rsidP="008A5C11">
            <w:pPr>
              <w:jc w:val="center"/>
              <w:rPr>
                <w:color w:val="000000"/>
                <w:sz w:val="16"/>
                <w:szCs w:val="16"/>
              </w:rPr>
            </w:pPr>
            <w:r w:rsidRPr="000D3D0C">
              <w:rPr>
                <w:color w:val="000000"/>
                <w:sz w:val="16"/>
                <w:szCs w:val="16"/>
              </w:rPr>
              <w:t>75</w:t>
            </w:r>
          </w:p>
        </w:tc>
        <w:tc>
          <w:tcPr>
            <w:tcW w:w="204" w:type="pct"/>
            <w:shd w:val="clear" w:color="auto" w:fill="auto"/>
            <w:vAlign w:val="center"/>
          </w:tcPr>
          <w:p w14:paraId="466A6EA8" w14:textId="77777777" w:rsidR="004A0123" w:rsidRPr="000D3D0C" w:rsidRDefault="004A0123" w:rsidP="008A5C11">
            <w:pPr>
              <w:jc w:val="center"/>
              <w:rPr>
                <w:color w:val="000000"/>
                <w:sz w:val="16"/>
                <w:szCs w:val="16"/>
              </w:rPr>
            </w:pPr>
            <w:r w:rsidRPr="000D3D0C">
              <w:rPr>
                <w:color w:val="000000"/>
                <w:sz w:val="16"/>
                <w:szCs w:val="16"/>
              </w:rPr>
              <w:t>75</w:t>
            </w:r>
          </w:p>
        </w:tc>
        <w:tc>
          <w:tcPr>
            <w:tcW w:w="187" w:type="pct"/>
            <w:shd w:val="clear" w:color="auto" w:fill="auto"/>
            <w:vAlign w:val="center"/>
          </w:tcPr>
          <w:p w14:paraId="7C23EDBB" w14:textId="77777777" w:rsidR="004A0123" w:rsidRPr="000D3D0C" w:rsidRDefault="004A0123" w:rsidP="008A5C11">
            <w:pPr>
              <w:jc w:val="center"/>
              <w:rPr>
                <w:color w:val="000000"/>
                <w:sz w:val="16"/>
                <w:szCs w:val="16"/>
              </w:rPr>
            </w:pPr>
            <w:r w:rsidRPr="000D3D0C">
              <w:rPr>
                <w:color w:val="000000"/>
                <w:sz w:val="16"/>
                <w:szCs w:val="16"/>
              </w:rPr>
              <w:t>75</w:t>
            </w:r>
          </w:p>
        </w:tc>
        <w:tc>
          <w:tcPr>
            <w:tcW w:w="229" w:type="pct"/>
            <w:shd w:val="clear" w:color="auto" w:fill="auto"/>
            <w:tcMar>
              <w:left w:w="28" w:type="dxa"/>
              <w:right w:w="28" w:type="dxa"/>
            </w:tcMar>
            <w:vAlign w:val="center"/>
          </w:tcPr>
          <w:p w14:paraId="096422D0" w14:textId="77777777" w:rsidR="004A0123" w:rsidRPr="000D3D0C" w:rsidRDefault="004A0123" w:rsidP="008A5C11">
            <w:pPr>
              <w:jc w:val="center"/>
              <w:rPr>
                <w:color w:val="000000"/>
                <w:sz w:val="16"/>
                <w:szCs w:val="16"/>
              </w:rPr>
            </w:pPr>
            <w:r w:rsidRPr="000D3D0C">
              <w:rPr>
                <w:color w:val="000000"/>
                <w:sz w:val="16"/>
                <w:szCs w:val="16"/>
              </w:rPr>
              <w:t>75</w:t>
            </w:r>
          </w:p>
        </w:tc>
        <w:tc>
          <w:tcPr>
            <w:tcW w:w="189" w:type="pct"/>
            <w:shd w:val="clear" w:color="auto" w:fill="auto"/>
            <w:tcMar>
              <w:left w:w="28" w:type="dxa"/>
              <w:right w:w="28" w:type="dxa"/>
            </w:tcMar>
            <w:vAlign w:val="center"/>
          </w:tcPr>
          <w:p w14:paraId="61982D0C" w14:textId="77777777" w:rsidR="004A0123" w:rsidRPr="000D3D0C" w:rsidRDefault="004A0123" w:rsidP="008A5C11">
            <w:pPr>
              <w:jc w:val="center"/>
              <w:rPr>
                <w:color w:val="000000"/>
                <w:sz w:val="16"/>
                <w:szCs w:val="16"/>
              </w:rPr>
            </w:pPr>
            <w:r w:rsidRPr="000D3D0C">
              <w:rPr>
                <w:color w:val="000000"/>
                <w:sz w:val="16"/>
                <w:szCs w:val="16"/>
              </w:rPr>
              <w:t>75</w:t>
            </w:r>
          </w:p>
        </w:tc>
        <w:tc>
          <w:tcPr>
            <w:tcW w:w="221" w:type="pct"/>
            <w:shd w:val="clear" w:color="auto" w:fill="auto"/>
            <w:tcMar>
              <w:left w:w="28" w:type="dxa"/>
              <w:right w:w="28" w:type="dxa"/>
            </w:tcMar>
            <w:vAlign w:val="center"/>
          </w:tcPr>
          <w:p w14:paraId="26051B00" w14:textId="77777777" w:rsidR="004A0123" w:rsidRPr="000D3D0C" w:rsidRDefault="004A0123" w:rsidP="008A5C11">
            <w:pPr>
              <w:jc w:val="center"/>
              <w:rPr>
                <w:color w:val="000000"/>
                <w:sz w:val="16"/>
                <w:szCs w:val="16"/>
              </w:rPr>
            </w:pPr>
            <w:r w:rsidRPr="000D3D0C">
              <w:rPr>
                <w:color w:val="000000"/>
                <w:sz w:val="16"/>
                <w:szCs w:val="16"/>
              </w:rPr>
              <w:t>75</w:t>
            </w:r>
          </w:p>
        </w:tc>
        <w:tc>
          <w:tcPr>
            <w:tcW w:w="186" w:type="pct"/>
            <w:shd w:val="clear" w:color="auto" w:fill="auto"/>
            <w:tcMar>
              <w:left w:w="28" w:type="dxa"/>
              <w:right w:w="28" w:type="dxa"/>
            </w:tcMar>
            <w:vAlign w:val="center"/>
          </w:tcPr>
          <w:p w14:paraId="2CE98939" w14:textId="77777777" w:rsidR="004A0123" w:rsidRPr="000D3D0C" w:rsidRDefault="004A0123" w:rsidP="008A5C11">
            <w:pPr>
              <w:jc w:val="center"/>
              <w:rPr>
                <w:color w:val="000000"/>
                <w:sz w:val="16"/>
                <w:szCs w:val="16"/>
              </w:rPr>
            </w:pPr>
            <w:r w:rsidRPr="000D3D0C">
              <w:rPr>
                <w:color w:val="000000"/>
                <w:sz w:val="16"/>
                <w:szCs w:val="16"/>
              </w:rPr>
              <w:t>75</w:t>
            </w:r>
          </w:p>
        </w:tc>
        <w:tc>
          <w:tcPr>
            <w:tcW w:w="241" w:type="pct"/>
            <w:shd w:val="clear" w:color="auto" w:fill="auto"/>
            <w:vAlign w:val="center"/>
          </w:tcPr>
          <w:p w14:paraId="1642085B" w14:textId="77777777" w:rsidR="004A0123" w:rsidRPr="000D3D0C" w:rsidRDefault="004A0123" w:rsidP="008A5C11">
            <w:pPr>
              <w:jc w:val="center"/>
              <w:rPr>
                <w:color w:val="000000"/>
                <w:sz w:val="16"/>
                <w:szCs w:val="16"/>
              </w:rPr>
            </w:pPr>
            <w:r w:rsidRPr="000D3D0C">
              <w:rPr>
                <w:color w:val="000000"/>
                <w:sz w:val="16"/>
                <w:szCs w:val="16"/>
              </w:rPr>
              <w:t>75</w:t>
            </w:r>
          </w:p>
        </w:tc>
        <w:tc>
          <w:tcPr>
            <w:tcW w:w="209" w:type="pct"/>
            <w:shd w:val="clear" w:color="auto" w:fill="auto"/>
            <w:tcMar>
              <w:left w:w="28" w:type="dxa"/>
              <w:right w:w="28" w:type="dxa"/>
            </w:tcMar>
            <w:vAlign w:val="center"/>
          </w:tcPr>
          <w:p w14:paraId="7E474AD2" w14:textId="77777777" w:rsidR="004A0123" w:rsidRPr="000D3D0C" w:rsidRDefault="004A0123" w:rsidP="008A5C11">
            <w:pPr>
              <w:jc w:val="center"/>
              <w:rPr>
                <w:sz w:val="16"/>
                <w:szCs w:val="16"/>
              </w:rPr>
            </w:pPr>
            <w:r w:rsidRPr="000D3D0C">
              <w:rPr>
                <w:sz w:val="16"/>
                <w:szCs w:val="16"/>
              </w:rPr>
              <w:t>107</w:t>
            </w:r>
          </w:p>
        </w:tc>
        <w:tc>
          <w:tcPr>
            <w:tcW w:w="179" w:type="pct"/>
            <w:shd w:val="clear" w:color="auto" w:fill="auto"/>
            <w:tcMar>
              <w:left w:w="28" w:type="dxa"/>
              <w:right w:w="28" w:type="dxa"/>
            </w:tcMar>
            <w:vAlign w:val="center"/>
          </w:tcPr>
          <w:p w14:paraId="100E4A3C" w14:textId="77777777" w:rsidR="004A0123" w:rsidRPr="000D3D0C" w:rsidRDefault="004A0123" w:rsidP="008A5C11">
            <w:pPr>
              <w:jc w:val="center"/>
              <w:rPr>
                <w:sz w:val="16"/>
                <w:szCs w:val="16"/>
              </w:rPr>
            </w:pPr>
            <w:r w:rsidRPr="000D3D0C">
              <w:rPr>
                <w:sz w:val="16"/>
                <w:szCs w:val="16"/>
              </w:rPr>
              <w:t>107</w:t>
            </w:r>
          </w:p>
        </w:tc>
        <w:tc>
          <w:tcPr>
            <w:tcW w:w="197" w:type="pct"/>
            <w:shd w:val="clear" w:color="auto" w:fill="auto"/>
            <w:tcMar>
              <w:left w:w="28" w:type="dxa"/>
              <w:right w:w="28" w:type="dxa"/>
            </w:tcMar>
            <w:vAlign w:val="center"/>
          </w:tcPr>
          <w:p w14:paraId="0F42A1AA" w14:textId="77777777" w:rsidR="004A0123" w:rsidRPr="000D3D0C" w:rsidRDefault="004A0123" w:rsidP="008A5C11">
            <w:pPr>
              <w:jc w:val="center"/>
              <w:rPr>
                <w:sz w:val="16"/>
                <w:szCs w:val="16"/>
              </w:rPr>
            </w:pPr>
            <w:r w:rsidRPr="000D3D0C">
              <w:rPr>
                <w:sz w:val="16"/>
                <w:szCs w:val="16"/>
              </w:rPr>
              <w:t>107</w:t>
            </w:r>
          </w:p>
        </w:tc>
        <w:tc>
          <w:tcPr>
            <w:tcW w:w="198" w:type="pct"/>
            <w:shd w:val="clear" w:color="auto" w:fill="auto"/>
            <w:tcMar>
              <w:left w:w="28" w:type="dxa"/>
              <w:right w:w="28" w:type="dxa"/>
            </w:tcMar>
            <w:vAlign w:val="center"/>
          </w:tcPr>
          <w:p w14:paraId="0A409D46" w14:textId="77777777" w:rsidR="004A0123" w:rsidRPr="000D3D0C" w:rsidRDefault="004A0123" w:rsidP="008A5C11">
            <w:pPr>
              <w:jc w:val="center"/>
              <w:rPr>
                <w:sz w:val="16"/>
                <w:szCs w:val="16"/>
              </w:rPr>
            </w:pPr>
            <w:r w:rsidRPr="000D3D0C">
              <w:rPr>
                <w:sz w:val="16"/>
                <w:szCs w:val="16"/>
              </w:rPr>
              <w:t>107</w:t>
            </w:r>
          </w:p>
        </w:tc>
        <w:tc>
          <w:tcPr>
            <w:tcW w:w="198" w:type="pct"/>
            <w:shd w:val="clear" w:color="auto" w:fill="auto"/>
            <w:vAlign w:val="center"/>
          </w:tcPr>
          <w:p w14:paraId="6BDE47D7" w14:textId="77777777" w:rsidR="004A0123" w:rsidRPr="000D3D0C" w:rsidRDefault="004A0123" w:rsidP="008A5C11">
            <w:pPr>
              <w:jc w:val="center"/>
              <w:rPr>
                <w:sz w:val="16"/>
                <w:szCs w:val="16"/>
              </w:rPr>
            </w:pPr>
            <w:r w:rsidRPr="000D3D0C">
              <w:rPr>
                <w:sz w:val="16"/>
                <w:szCs w:val="16"/>
              </w:rPr>
              <w:t>107</w:t>
            </w:r>
          </w:p>
        </w:tc>
        <w:tc>
          <w:tcPr>
            <w:tcW w:w="221" w:type="pct"/>
            <w:shd w:val="clear" w:color="auto" w:fill="auto"/>
            <w:vAlign w:val="center"/>
          </w:tcPr>
          <w:p w14:paraId="4976F2E6" w14:textId="77777777" w:rsidR="004A0123" w:rsidRPr="000D3D0C" w:rsidRDefault="004A0123" w:rsidP="008A5C11">
            <w:pPr>
              <w:jc w:val="center"/>
              <w:rPr>
                <w:sz w:val="16"/>
                <w:szCs w:val="16"/>
              </w:rPr>
            </w:pPr>
            <w:r w:rsidRPr="000D3D0C">
              <w:rPr>
                <w:sz w:val="16"/>
                <w:szCs w:val="16"/>
              </w:rPr>
              <w:t>107</w:t>
            </w:r>
          </w:p>
        </w:tc>
        <w:tc>
          <w:tcPr>
            <w:tcW w:w="202" w:type="pct"/>
            <w:shd w:val="clear" w:color="auto" w:fill="auto"/>
            <w:tcMar>
              <w:left w:w="28" w:type="dxa"/>
              <w:right w:w="28" w:type="dxa"/>
            </w:tcMar>
            <w:vAlign w:val="center"/>
          </w:tcPr>
          <w:p w14:paraId="73513BB1" w14:textId="77777777" w:rsidR="004A0123" w:rsidRPr="000D3D0C" w:rsidRDefault="004A0123" w:rsidP="008A5C11">
            <w:pPr>
              <w:jc w:val="center"/>
              <w:rPr>
                <w:sz w:val="16"/>
                <w:szCs w:val="16"/>
              </w:rPr>
            </w:pPr>
            <w:r w:rsidRPr="000D3D0C">
              <w:rPr>
                <w:sz w:val="16"/>
                <w:szCs w:val="16"/>
              </w:rPr>
              <w:t>107</w:t>
            </w:r>
          </w:p>
        </w:tc>
        <w:tc>
          <w:tcPr>
            <w:tcW w:w="196" w:type="pct"/>
            <w:shd w:val="clear" w:color="auto" w:fill="auto"/>
            <w:tcMar>
              <w:left w:w="28" w:type="dxa"/>
              <w:right w:w="28" w:type="dxa"/>
            </w:tcMar>
            <w:vAlign w:val="center"/>
          </w:tcPr>
          <w:p w14:paraId="0E6BE2D9" w14:textId="77777777" w:rsidR="004A0123" w:rsidRPr="000D3D0C" w:rsidRDefault="004A0123" w:rsidP="008A5C11">
            <w:pPr>
              <w:jc w:val="center"/>
              <w:rPr>
                <w:sz w:val="16"/>
                <w:szCs w:val="16"/>
              </w:rPr>
            </w:pPr>
            <w:r w:rsidRPr="000D3D0C">
              <w:rPr>
                <w:sz w:val="16"/>
                <w:szCs w:val="16"/>
              </w:rPr>
              <w:t>107</w:t>
            </w:r>
          </w:p>
        </w:tc>
        <w:tc>
          <w:tcPr>
            <w:tcW w:w="200" w:type="pct"/>
            <w:shd w:val="clear" w:color="auto" w:fill="auto"/>
            <w:tcMar>
              <w:left w:w="28" w:type="dxa"/>
              <w:right w:w="28" w:type="dxa"/>
            </w:tcMar>
            <w:vAlign w:val="center"/>
          </w:tcPr>
          <w:p w14:paraId="5BEA67E3" w14:textId="77777777" w:rsidR="004A0123" w:rsidRPr="000D3D0C" w:rsidRDefault="004A0123" w:rsidP="008A5C11">
            <w:pPr>
              <w:jc w:val="center"/>
              <w:rPr>
                <w:sz w:val="16"/>
                <w:szCs w:val="16"/>
              </w:rPr>
            </w:pPr>
            <w:r w:rsidRPr="000D3D0C">
              <w:rPr>
                <w:sz w:val="16"/>
                <w:szCs w:val="16"/>
              </w:rPr>
              <w:t>107</w:t>
            </w:r>
          </w:p>
        </w:tc>
        <w:tc>
          <w:tcPr>
            <w:tcW w:w="190" w:type="pct"/>
            <w:shd w:val="clear" w:color="auto" w:fill="auto"/>
            <w:tcMar>
              <w:left w:w="28" w:type="dxa"/>
              <w:right w:w="28" w:type="dxa"/>
            </w:tcMar>
            <w:vAlign w:val="center"/>
          </w:tcPr>
          <w:p w14:paraId="4AA04D20" w14:textId="77777777" w:rsidR="004A0123" w:rsidRPr="000D3D0C" w:rsidRDefault="004A0123" w:rsidP="008A5C11">
            <w:pPr>
              <w:jc w:val="center"/>
              <w:rPr>
                <w:sz w:val="16"/>
                <w:szCs w:val="16"/>
              </w:rPr>
            </w:pPr>
            <w:r w:rsidRPr="000D3D0C">
              <w:rPr>
                <w:sz w:val="16"/>
                <w:szCs w:val="16"/>
              </w:rPr>
              <w:t>107</w:t>
            </w:r>
          </w:p>
        </w:tc>
        <w:tc>
          <w:tcPr>
            <w:tcW w:w="213" w:type="pct"/>
            <w:shd w:val="clear" w:color="auto" w:fill="auto"/>
            <w:vAlign w:val="center"/>
          </w:tcPr>
          <w:p w14:paraId="02BBA06B" w14:textId="77777777" w:rsidR="004A0123" w:rsidRPr="000D3D0C" w:rsidRDefault="004A0123" w:rsidP="008A5C11">
            <w:pPr>
              <w:jc w:val="center"/>
              <w:rPr>
                <w:sz w:val="16"/>
                <w:szCs w:val="16"/>
              </w:rPr>
            </w:pPr>
            <w:r w:rsidRPr="000D3D0C">
              <w:rPr>
                <w:sz w:val="16"/>
                <w:szCs w:val="16"/>
              </w:rPr>
              <w:t>107</w:t>
            </w:r>
          </w:p>
        </w:tc>
      </w:tr>
      <w:tr w:rsidR="004A0123" w:rsidRPr="000D3D0C" w14:paraId="65F3E1D0" w14:textId="77777777" w:rsidTr="008A5C11">
        <w:trPr>
          <w:trHeight w:val="148"/>
          <w:jc w:val="center"/>
        </w:trPr>
        <w:tc>
          <w:tcPr>
            <w:tcW w:w="111" w:type="pct"/>
            <w:tcMar>
              <w:top w:w="62" w:type="dxa"/>
              <w:left w:w="28" w:type="dxa"/>
              <w:bottom w:w="102" w:type="dxa"/>
              <w:right w:w="28" w:type="dxa"/>
            </w:tcMar>
            <w:vAlign w:val="center"/>
          </w:tcPr>
          <w:p w14:paraId="40119478" w14:textId="77777777" w:rsidR="004A0123" w:rsidRPr="000D3D0C" w:rsidRDefault="004A0123" w:rsidP="008A5C11">
            <w:pPr>
              <w:jc w:val="center"/>
              <w:rPr>
                <w:sz w:val="16"/>
                <w:szCs w:val="16"/>
              </w:rPr>
            </w:pPr>
            <w:r w:rsidRPr="000D3D0C">
              <w:rPr>
                <w:sz w:val="16"/>
                <w:szCs w:val="16"/>
              </w:rPr>
              <w:t>3</w:t>
            </w:r>
          </w:p>
        </w:tc>
        <w:tc>
          <w:tcPr>
            <w:tcW w:w="457" w:type="pct"/>
            <w:tcMar>
              <w:top w:w="62" w:type="dxa"/>
              <w:left w:w="28" w:type="dxa"/>
              <w:bottom w:w="102" w:type="dxa"/>
              <w:right w:w="28" w:type="dxa"/>
            </w:tcMar>
            <w:vAlign w:val="center"/>
          </w:tcPr>
          <w:p w14:paraId="7D798832" w14:textId="77777777" w:rsidR="004A0123" w:rsidRPr="000D3D0C" w:rsidRDefault="004A0123" w:rsidP="008A5C11">
            <w:pPr>
              <w:jc w:val="center"/>
              <w:rPr>
                <w:color w:val="000000"/>
                <w:sz w:val="16"/>
                <w:szCs w:val="16"/>
              </w:rPr>
            </w:pPr>
            <w:r w:rsidRPr="000D3D0C">
              <w:rPr>
                <w:color w:val="000000"/>
                <w:sz w:val="16"/>
                <w:szCs w:val="16"/>
              </w:rPr>
              <w:t>Котельная Кузель</w:t>
            </w:r>
          </w:p>
        </w:tc>
        <w:tc>
          <w:tcPr>
            <w:tcW w:w="196" w:type="pct"/>
            <w:shd w:val="clear" w:color="auto" w:fill="auto"/>
            <w:tcMar>
              <w:left w:w="28" w:type="dxa"/>
              <w:right w:w="28" w:type="dxa"/>
            </w:tcMar>
            <w:vAlign w:val="center"/>
          </w:tcPr>
          <w:p w14:paraId="3A6AE6BE" w14:textId="77777777" w:rsidR="004A0123" w:rsidRPr="000D3D0C" w:rsidRDefault="004A0123" w:rsidP="008A5C11">
            <w:pPr>
              <w:jc w:val="center"/>
              <w:rPr>
                <w:color w:val="000000"/>
                <w:sz w:val="16"/>
                <w:szCs w:val="16"/>
              </w:rPr>
            </w:pPr>
            <w:r w:rsidRPr="000D3D0C">
              <w:rPr>
                <w:color w:val="000000"/>
                <w:sz w:val="16"/>
                <w:szCs w:val="16"/>
              </w:rPr>
              <w:t>17</w:t>
            </w:r>
          </w:p>
        </w:tc>
        <w:tc>
          <w:tcPr>
            <w:tcW w:w="222" w:type="pct"/>
            <w:shd w:val="clear" w:color="auto" w:fill="auto"/>
            <w:tcMar>
              <w:left w:w="28" w:type="dxa"/>
              <w:right w:w="28" w:type="dxa"/>
            </w:tcMar>
            <w:vAlign w:val="center"/>
          </w:tcPr>
          <w:p w14:paraId="3222D52D" w14:textId="77777777" w:rsidR="004A0123" w:rsidRPr="000D3D0C" w:rsidRDefault="004A0123" w:rsidP="008A5C11">
            <w:pPr>
              <w:jc w:val="center"/>
              <w:rPr>
                <w:color w:val="000000"/>
                <w:sz w:val="16"/>
                <w:szCs w:val="16"/>
              </w:rPr>
            </w:pPr>
            <w:r w:rsidRPr="000D3D0C">
              <w:rPr>
                <w:color w:val="000000"/>
                <w:sz w:val="16"/>
                <w:szCs w:val="16"/>
              </w:rPr>
              <w:t>17</w:t>
            </w:r>
          </w:p>
        </w:tc>
        <w:tc>
          <w:tcPr>
            <w:tcW w:w="179" w:type="pct"/>
            <w:shd w:val="clear" w:color="auto" w:fill="auto"/>
            <w:tcMar>
              <w:left w:w="28" w:type="dxa"/>
              <w:right w:w="28" w:type="dxa"/>
            </w:tcMar>
            <w:vAlign w:val="center"/>
          </w:tcPr>
          <w:p w14:paraId="7D58E421" w14:textId="77777777" w:rsidR="004A0123" w:rsidRPr="000D3D0C" w:rsidRDefault="004A0123" w:rsidP="008A5C11">
            <w:pPr>
              <w:jc w:val="center"/>
              <w:rPr>
                <w:color w:val="000000"/>
                <w:sz w:val="16"/>
                <w:szCs w:val="16"/>
              </w:rPr>
            </w:pPr>
            <w:r w:rsidRPr="000D3D0C">
              <w:rPr>
                <w:color w:val="000000"/>
                <w:sz w:val="16"/>
                <w:szCs w:val="16"/>
              </w:rPr>
              <w:t>17</w:t>
            </w:r>
          </w:p>
        </w:tc>
        <w:tc>
          <w:tcPr>
            <w:tcW w:w="175" w:type="pct"/>
            <w:shd w:val="clear" w:color="auto" w:fill="auto"/>
            <w:tcMar>
              <w:left w:w="28" w:type="dxa"/>
              <w:right w:w="28" w:type="dxa"/>
            </w:tcMar>
            <w:vAlign w:val="center"/>
          </w:tcPr>
          <w:p w14:paraId="5634BC73" w14:textId="77777777" w:rsidR="004A0123" w:rsidRPr="000D3D0C" w:rsidRDefault="004A0123" w:rsidP="008A5C11">
            <w:pPr>
              <w:jc w:val="center"/>
              <w:rPr>
                <w:color w:val="000000"/>
                <w:sz w:val="16"/>
                <w:szCs w:val="16"/>
              </w:rPr>
            </w:pPr>
            <w:r w:rsidRPr="000D3D0C">
              <w:rPr>
                <w:color w:val="000000"/>
                <w:sz w:val="16"/>
                <w:szCs w:val="16"/>
              </w:rPr>
              <w:t>17</w:t>
            </w:r>
          </w:p>
        </w:tc>
        <w:tc>
          <w:tcPr>
            <w:tcW w:w="204" w:type="pct"/>
            <w:shd w:val="clear" w:color="auto" w:fill="auto"/>
            <w:vAlign w:val="center"/>
          </w:tcPr>
          <w:p w14:paraId="402E685C" w14:textId="77777777" w:rsidR="004A0123" w:rsidRPr="000D3D0C" w:rsidRDefault="004A0123" w:rsidP="008A5C11">
            <w:pPr>
              <w:jc w:val="center"/>
              <w:rPr>
                <w:color w:val="000000"/>
                <w:sz w:val="16"/>
                <w:szCs w:val="16"/>
              </w:rPr>
            </w:pPr>
            <w:r w:rsidRPr="000D3D0C">
              <w:rPr>
                <w:color w:val="000000"/>
                <w:sz w:val="16"/>
                <w:szCs w:val="16"/>
              </w:rPr>
              <w:t>17</w:t>
            </w:r>
          </w:p>
        </w:tc>
        <w:tc>
          <w:tcPr>
            <w:tcW w:w="187" w:type="pct"/>
            <w:shd w:val="clear" w:color="auto" w:fill="auto"/>
            <w:vAlign w:val="center"/>
          </w:tcPr>
          <w:p w14:paraId="4F66706E" w14:textId="77777777" w:rsidR="004A0123" w:rsidRPr="000D3D0C" w:rsidRDefault="004A0123" w:rsidP="008A5C11">
            <w:pPr>
              <w:jc w:val="center"/>
              <w:rPr>
                <w:color w:val="000000"/>
                <w:sz w:val="16"/>
                <w:szCs w:val="16"/>
              </w:rPr>
            </w:pPr>
            <w:r w:rsidRPr="000D3D0C">
              <w:rPr>
                <w:color w:val="000000"/>
                <w:sz w:val="16"/>
                <w:szCs w:val="16"/>
              </w:rPr>
              <w:t>17</w:t>
            </w:r>
          </w:p>
        </w:tc>
        <w:tc>
          <w:tcPr>
            <w:tcW w:w="229" w:type="pct"/>
            <w:shd w:val="clear" w:color="auto" w:fill="auto"/>
            <w:tcMar>
              <w:left w:w="28" w:type="dxa"/>
              <w:right w:w="28" w:type="dxa"/>
            </w:tcMar>
            <w:vAlign w:val="center"/>
          </w:tcPr>
          <w:p w14:paraId="27F41217" w14:textId="77777777" w:rsidR="004A0123" w:rsidRPr="000D3D0C" w:rsidRDefault="004A0123" w:rsidP="008A5C11">
            <w:pPr>
              <w:jc w:val="center"/>
              <w:rPr>
                <w:color w:val="000000"/>
                <w:sz w:val="16"/>
                <w:szCs w:val="16"/>
              </w:rPr>
            </w:pPr>
            <w:r w:rsidRPr="000D3D0C">
              <w:rPr>
                <w:color w:val="000000"/>
                <w:sz w:val="16"/>
                <w:szCs w:val="16"/>
              </w:rPr>
              <w:t>17</w:t>
            </w:r>
          </w:p>
        </w:tc>
        <w:tc>
          <w:tcPr>
            <w:tcW w:w="189" w:type="pct"/>
            <w:shd w:val="clear" w:color="auto" w:fill="auto"/>
            <w:tcMar>
              <w:left w:w="28" w:type="dxa"/>
              <w:right w:w="28" w:type="dxa"/>
            </w:tcMar>
            <w:vAlign w:val="center"/>
          </w:tcPr>
          <w:p w14:paraId="5966C5EF" w14:textId="77777777" w:rsidR="004A0123" w:rsidRPr="000D3D0C" w:rsidRDefault="004A0123" w:rsidP="008A5C11">
            <w:pPr>
              <w:jc w:val="center"/>
              <w:rPr>
                <w:color w:val="000000"/>
                <w:sz w:val="16"/>
                <w:szCs w:val="16"/>
              </w:rPr>
            </w:pPr>
            <w:r w:rsidRPr="000D3D0C">
              <w:rPr>
                <w:color w:val="000000"/>
                <w:sz w:val="16"/>
                <w:szCs w:val="16"/>
              </w:rPr>
              <w:t>17</w:t>
            </w:r>
          </w:p>
        </w:tc>
        <w:tc>
          <w:tcPr>
            <w:tcW w:w="221" w:type="pct"/>
            <w:shd w:val="clear" w:color="auto" w:fill="auto"/>
            <w:tcMar>
              <w:left w:w="28" w:type="dxa"/>
              <w:right w:w="28" w:type="dxa"/>
            </w:tcMar>
            <w:vAlign w:val="center"/>
          </w:tcPr>
          <w:p w14:paraId="56C449E6" w14:textId="77777777" w:rsidR="004A0123" w:rsidRPr="000D3D0C" w:rsidRDefault="004A0123" w:rsidP="008A5C11">
            <w:pPr>
              <w:jc w:val="center"/>
              <w:rPr>
                <w:color w:val="000000"/>
                <w:sz w:val="16"/>
                <w:szCs w:val="16"/>
              </w:rPr>
            </w:pPr>
            <w:r w:rsidRPr="000D3D0C">
              <w:rPr>
                <w:color w:val="000000"/>
                <w:sz w:val="16"/>
                <w:szCs w:val="16"/>
              </w:rPr>
              <w:t>17</w:t>
            </w:r>
          </w:p>
        </w:tc>
        <w:tc>
          <w:tcPr>
            <w:tcW w:w="186" w:type="pct"/>
            <w:shd w:val="clear" w:color="auto" w:fill="auto"/>
            <w:tcMar>
              <w:left w:w="28" w:type="dxa"/>
              <w:right w:w="28" w:type="dxa"/>
            </w:tcMar>
            <w:vAlign w:val="center"/>
          </w:tcPr>
          <w:p w14:paraId="4353E1DC" w14:textId="77777777" w:rsidR="004A0123" w:rsidRPr="000D3D0C" w:rsidRDefault="004A0123" w:rsidP="008A5C11">
            <w:pPr>
              <w:jc w:val="center"/>
              <w:rPr>
                <w:color w:val="000000"/>
                <w:sz w:val="16"/>
                <w:szCs w:val="16"/>
              </w:rPr>
            </w:pPr>
            <w:r w:rsidRPr="000D3D0C">
              <w:rPr>
                <w:color w:val="000000"/>
                <w:sz w:val="16"/>
                <w:szCs w:val="16"/>
              </w:rPr>
              <w:t>17</w:t>
            </w:r>
          </w:p>
        </w:tc>
        <w:tc>
          <w:tcPr>
            <w:tcW w:w="241" w:type="pct"/>
            <w:shd w:val="clear" w:color="auto" w:fill="auto"/>
            <w:vAlign w:val="center"/>
          </w:tcPr>
          <w:p w14:paraId="040C7E95" w14:textId="77777777" w:rsidR="004A0123" w:rsidRPr="000D3D0C" w:rsidRDefault="004A0123" w:rsidP="008A5C11">
            <w:pPr>
              <w:jc w:val="center"/>
              <w:rPr>
                <w:color w:val="000000"/>
                <w:sz w:val="16"/>
                <w:szCs w:val="16"/>
              </w:rPr>
            </w:pPr>
            <w:r w:rsidRPr="000D3D0C">
              <w:rPr>
                <w:color w:val="000000"/>
                <w:sz w:val="16"/>
                <w:szCs w:val="16"/>
              </w:rPr>
              <w:t>17</w:t>
            </w:r>
          </w:p>
        </w:tc>
        <w:tc>
          <w:tcPr>
            <w:tcW w:w="209" w:type="pct"/>
            <w:shd w:val="clear" w:color="auto" w:fill="auto"/>
            <w:tcMar>
              <w:left w:w="28" w:type="dxa"/>
              <w:right w:w="28" w:type="dxa"/>
            </w:tcMar>
            <w:vAlign w:val="center"/>
          </w:tcPr>
          <w:p w14:paraId="6E60BC72" w14:textId="77777777" w:rsidR="004A0123" w:rsidRPr="000D3D0C" w:rsidRDefault="004A0123" w:rsidP="008A5C11">
            <w:pPr>
              <w:jc w:val="center"/>
              <w:rPr>
                <w:sz w:val="16"/>
                <w:szCs w:val="16"/>
              </w:rPr>
            </w:pPr>
            <w:r w:rsidRPr="000D3D0C">
              <w:rPr>
                <w:sz w:val="16"/>
                <w:szCs w:val="16"/>
              </w:rPr>
              <w:t>8</w:t>
            </w:r>
          </w:p>
        </w:tc>
        <w:tc>
          <w:tcPr>
            <w:tcW w:w="179" w:type="pct"/>
            <w:shd w:val="clear" w:color="auto" w:fill="auto"/>
            <w:tcMar>
              <w:left w:w="28" w:type="dxa"/>
              <w:right w:w="28" w:type="dxa"/>
            </w:tcMar>
            <w:vAlign w:val="center"/>
          </w:tcPr>
          <w:p w14:paraId="102A4299" w14:textId="77777777" w:rsidR="004A0123" w:rsidRPr="000D3D0C" w:rsidRDefault="004A0123" w:rsidP="008A5C11">
            <w:pPr>
              <w:jc w:val="center"/>
              <w:rPr>
                <w:sz w:val="16"/>
                <w:szCs w:val="16"/>
              </w:rPr>
            </w:pPr>
            <w:r w:rsidRPr="000D3D0C">
              <w:rPr>
                <w:sz w:val="16"/>
                <w:szCs w:val="16"/>
              </w:rPr>
              <w:t>8</w:t>
            </w:r>
          </w:p>
        </w:tc>
        <w:tc>
          <w:tcPr>
            <w:tcW w:w="197" w:type="pct"/>
            <w:shd w:val="clear" w:color="auto" w:fill="auto"/>
            <w:tcMar>
              <w:left w:w="28" w:type="dxa"/>
              <w:right w:w="28" w:type="dxa"/>
            </w:tcMar>
            <w:vAlign w:val="center"/>
          </w:tcPr>
          <w:p w14:paraId="4049B1B0" w14:textId="77777777" w:rsidR="004A0123" w:rsidRPr="000D3D0C" w:rsidRDefault="004A0123" w:rsidP="008A5C11">
            <w:pPr>
              <w:jc w:val="center"/>
              <w:rPr>
                <w:sz w:val="16"/>
                <w:szCs w:val="16"/>
              </w:rPr>
            </w:pPr>
            <w:r w:rsidRPr="000D3D0C">
              <w:rPr>
                <w:sz w:val="16"/>
                <w:szCs w:val="16"/>
              </w:rPr>
              <w:t>8</w:t>
            </w:r>
          </w:p>
        </w:tc>
        <w:tc>
          <w:tcPr>
            <w:tcW w:w="198" w:type="pct"/>
            <w:shd w:val="clear" w:color="auto" w:fill="auto"/>
            <w:tcMar>
              <w:left w:w="28" w:type="dxa"/>
              <w:right w:w="28" w:type="dxa"/>
            </w:tcMar>
            <w:vAlign w:val="center"/>
          </w:tcPr>
          <w:p w14:paraId="66327910" w14:textId="77777777" w:rsidR="004A0123" w:rsidRPr="000D3D0C" w:rsidRDefault="004A0123" w:rsidP="008A5C11">
            <w:pPr>
              <w:jc w:val="center"/>
              <w:rPr>
                <w:sz w:val="16"/>
                <w:szCs w:val="16"/>
              </w:rPr>
            </w:pPr>
            <w:r w:rsidRPr="000D3D0C">
              <w:rPr>
                <w:sz w:val="16"/>
                <w:szCs w:val="16"/>
              </w:rPr>
              <w:t>8</w:t>
            </w:r>
          </w:p>
        </w:tc>
        <w:tc>
          <w:tcPr>
            <w:tcW w:w="198" w:type="pct"/>
            <w:shd w:val="clear" w:color="auto" w:fill="auto"/>
            <w:vAlign w:val="center"/>
          </w:tcPr>
          <w:p w14:paraId="395B49A2" w14:textId="77777777" w:rsidR="004A0123" w:rsidRPr="000D3D0C" w:rsidRDefault="004A0123" w:rsidP="008A5C11">
            <w:pPr>
              <w:jc w:val="center"/>
              <w:rPr>
                <w:sz w:val="16"/>
                <w:szCs w:val="16"/>
              </w:rPr>
            </w:pPr>
            <w:r w:rsidRPr="000D3D0C">
              <w:rPr>
                <w:sz w:val="16"/>
                <w:szCs w:val="16"/>
              </w:rPr>
              <w:t>8</w:t>
            </w:r>
          </w:p>
        </w:tc>
        <w:tc>
          <w:tcPr>
            <w:tcW w:w="221" w:type="pct"/>
            <w:shd w:val="clear" w:color="auto" w:fill="auto"/>
            <w:vAlign w:val="center"/>
          </w:tcPr>
          <w:p w14:paraId="7E249820" w14:textId="77777777" w:rsidR="004A0123" w:rsidRPr="000D3D0C" w:rsidRDefault="004A0123" w:rsidP="008A5C11">
            <w:pPr>
              <w:jc w:val="center"/>
              <w:rPr>
                <w:sz w:val="16"/>
                <w:szCs w:val="16"/>
              </w:rPr>
            </w:pPr>
            <w:r w:rsidRPr="000D3D0C">
              <w:rPr>
                <w:sz w:val="16"/>
                <w:szCs w:val="16"/>
              </w:rPr>
              <w:t>8</w:t>
            </w:r>
          </w:p>
        </w:tc>
        <w:tc>
          <w:tcPr>
            <w:tcW w:w="202" w:type="pct"/>
            <w:shd w:val="clear" w:color="auto" w:fill="auto"/>
            <w:tcMar>
              <w:left w:w="28" w:type="dxa"/>
              <w:right w:w="28" w:type="dxa"/>
            </w:tcMar>
            <w:vAlign w:val="center"/>
          </w:tcPr>
          <w:p w14:paraId="5CED0061" w14:textId="77777777" w:rsidR="004A0123" w:rsidRPr="000D3D0C" w:rsidRDefault="004A0123" w:rsidP="008A5C11">
            <w:pPr>
              <w:jc w:val="center"/>
              <w:rPr>
                <w:sz w:val="16"/>
                <w:szCs w:val="16"/>
              </w:rPr>
            </w:pPr>
            <w:r w:rsidRPr="000D3D0C">
              <w:rPr>
                <w:sz w:val="16"/>
                <w:szCs w:val="16"/>
              </w:rPr>
              <w:t>8</w:t>
            </w:r>
          </w:p>
        </w:tc>
        <w:tc>
          <w:tcPr>
            <w:tcW w:w="196" w:type="pct"/>
            <w:shd w:val="clear" w:color="auto" w:fill="auto"/>
            <w:tcMar>
              <w:left w:w="28" w:type="dxa"/>
              <w:right w:w="28" w:type="dxa"/>
            </w:tcMar>
            <w:vAlign w:val="center"/>
          </w:tcPr>
          <w:p w14:paraId="0B3473B7" w14:textId="77777777" w:rsidR="004A0123" w:rsidRPr="000D3D0C" w:rsidRDefault="004A0123" w:rsidP="008A5C11">
            <w:pPr>
              <w:jc w:val="center"/>
              <w:rPr>
                <w:sz w:val="16"/>
                <w:szCs w:val="16"/>
              </w:rPr>
            </w:pPr>
            <w:r w:rsidRPr="000D3D0C">
              <w:rPr>
                <w:sz w:val="16"/>
                <w:szCs w:val="16"/>
              </w:rPr>
              <w:t>8</w:t>
            </w:r>
          </w:p>
        </w:tc>
        <w:tc>
          <w:tcPr>
            <w:tcW w:w="200" w:type="pct"/>
            <w:shd w:val="clear" w:color="auto" w:fill="auto"/>
            <w:tcMar>
              <w:left w:w="28" w:type="dxa"/>
              <w:right w:w="28" w:type="dxa"/>
            </w:tcMar>
            <w:vAlign w:val="center"/>
          </w:tcPr>
          <w:p w14:paraId="7647EB39" w14:textId="77777777" w:rsidR="004A0123" w:rsidRPr="000D3D0C" w:rsidRDefault="004A0123" w:rsidP="008A5C11">
            <w:pPr>
              <w:jc w:val="center"/>
              <w:rPr>
                <w:sz w:val="16"/>
                <w:szCs w:val="16"/>
              </w:rPr>
            </w:pPr>
            <w:r w:rsidRPr="000D3D0C">
              <w:rPr>
                <w:sz w:val="16"/>
                <w:szCs w:val="16"/>
              </w:rPr>
              <w:t>8</w:t>
            </w:r>
          </w:p>
        </w:tc>
        <w:tc>
          <w:tcPr>
            <w:tcW w:w="190" w:type="pct"/>
            <w:shd w:val="clear" w:color="auto" w:fill="auto"/>
            <w:tcMar>
              <w:left w:w="28" w:type="dxa"/>
              <w:right w:w="28" w:type="dxa"/>
            </w:tcMar>
            <w:vAlign w:val="center"/>
          </w:tcPr>
          <w:p w14:paraId="4017EF4E" w14:textId="77777777" w:rsidR="004A0123" w:rsidRPr="000D3D0C" w:rsidRDefault="004A0123" w:rsidP="008A5C11">
            <w:pPr>
              <w:jc w:val="center"/>
              <w:rPr>
                <w:sz w:val="16"/>
                <w:szCs w:val="16"/>
              </w:rPr>
            </w:pPr>
            <w:r w:rsidRPr="000D3D0C">
              <w:rPr>
                <w:sz w:val="16"/>
                <w:szCs w:val="16"/>
              </w:rPr>
              <w:t>8</w:t>
            </w:r>
          </w:p>
        </w:tc>
        <w:tc>
          <w:tcPr>
            <w:tcW w:w="213" w:type="pct"/>
            <w:shd w:val="clear" w:color="auto" w:fill="auto"/>
            <w:vAlign w:val="center"/>
          </w:tcPr>
          <w:p w14:paraId="71445814" w14:textId="77777777" w:rsidR="004A0123" w:rsidRPr="000D3D0C" w:rsidRDefault="004A0123" w:rsidP="008A5C11">
            <w:pPr>
              <w:jc w:val="center"/>
              <w:rPr>
                <w:sz w:val="16"/>
                <w:szCs w:val="16"/>
              </w:rPr>
            </w:pPr>
            <w:r w:rsidRPr="000D3D0C">
              <w:rPr>
                <w:sz w:val="16"/>
                <w:szCs w:val="16"/>
              </w:rPr>
              <w:t>8</w:t>
            </w:r>
          </w:p>
        </w:tc>
      </w:tr>
      <w:tr w:rsidR="004A0123" w:rsidRPr="000D3D0C" w14:paraId="714D30D8" w14:textId="77777777" w:rsidTr="008A5C11">
        <w:trPr>
          <w:trHeight w:val="99"/>
          <w:jc w:val="center"/>
        </w:trPr>
        <w:tc>
          <w:tcPr>
            <w:tcW w:w="111" w:type="pct"/>
            <w:tcMar>
              <w:top w:w="62" w:type="dxa"/>
              <w:left w:w="28" w:type="dxa"/>
              <w:bottom w:w="102" w:type="dxa"/>
              <w:right w:w="28" w:type="dxa"/>
            </w:tcMar>
            <w:vAlign w:val="center"/>
          </w:tcPr>
          <w:p w14:paraId="582ACDCA" w14:textId="77777777" w:rsidR="004A0123" w:rsidRPr="000D3D0C" w:rsidRDefault="004A0123" w:rsidP="008A5C11">
            <w:pPr>
              <w:jc w:val="center"/>
              <w:rPr>
                <w:sz w:val="16"/>
                <w:szCs w:val="16"/>
              </w:rPr>
            </w:pPr>
            <w:r w:rsidRPr="000D3D0C">
              <w:rPr>
                <w:sz w:val="16"/>
                <w:szCs w:val="16"/>
              </w:rPr>
              <w:t>4</w:t>
            </w:r>
          </w:p>
        </w:tc>
        <w:tc>
          <w:tcPr>
            <w:tcW w:w="457" w:type="pct"/>
            <w:tcMar>
              <w:top w:w="62" w:type="dxa"/>
              <w:left w:w="28" w:type="dxa"/>
              <w:bottom w:w="102" w:type="dxa"/>
              <w:right w:w="28" w:type="dxa"/>
            </w:tcMar>
            <w:vAlign w:val="center"/>
          </w:tcPr>
          <w:p w14:paraId="7D25A76E" w14:textId="77777777" w:rsidR="004A0123" w:rsidRPr="000D3D0C" w:rsidRDefault="004A0123" w:rsidP="008A5C11">
            <w:pPr>
              <w:jc w:val="center"/>
              <w:rPr>
                <w:color w:val="000000"/>
                <w:sz w:val="16"/>
                <w:szCs w:val="16"/>
              </w:rPr>
            </w:pPr>
            <w:r w:rsidRPr="000D3D0C">
              <w:rPr>
                <w:color w:val="000000"/>
                <w:sz w:val="16"/>
                <w:szCs w:val="16"/>
              </w:rPr>
              <w:t>Котельная Приют</w:t>
            </w:r>
          </w:p>
        </w:tc>
        <w:tc>
          <w:tcPr>
            <w:tcW w:w="196" w:type="pct"/>
            <w:shd w:val="clear" w:color="auto" w:fill="auto"/>
            <w:tcMar>
              <w:left w:w="28" w:type="dxa"/>
              <w:right w:w="28" w:type="dxa"/>
            </w:tcMar>
            <w:vAlign w:val="center"/>
          </w:tcPr>
          <w:p w14:paraId="28951A21" w14:textId="77777777" w:rsidR="004A0123" w:rsidRPr="000D3D0C" w:rsidRDefault="004A0123" w:rsidP="008A5C11">
            <w:pPr>
              <w:jc w:val="center"/>
              <w:rPr>
                <w:color w:val="000000"/>
                <w:sz w:val="16"/>
                <w:szCs w:val="16"/>
              </w:rPr>
            </w:pPr>
            <w:r w:rsidRPr="000D3D0C">
              <w:rPr>
                <w:color w:val="000000"/>
                <w:sz w:val="16"/>
                <w:szCs w:val="16"/>
              </w:rPr>
              <w:t>27</w:t>
            </w:r>
          </w:p>
        </w:tc>
        <w:tc>
          <w:tcPr>
            <w:tcW w:w="222" w:type="pct"/>
            <w:shd w:val="clear" w:color="auto" w:fill="auto"/>
            <w:tcMar>
              <w:left w:w="28" w:type="dxa"/>
              <w:right w:w="28" w:type="dxa"/>
            </w:tcMar>
            <w:vAlign w:val="center"/>
          </w:tcPr>
          <w:p w14:paraId="7B181E81" w14:textId="77777777" w:rsidR="004A0123" w:rsidRPr="000D3D0C" w:rsidRDefault="004A0123" w:rsidP="008A5C11">
            <w:pPr>
              <w:jc w:val="center"/>
              <w:rPr>
                <w:color w:val="000000"/>
                <w:sz w:val="16"/>
                <w:szCs w:val="16"/>
              </w:rPr>
            </w:pPr>
            <w:r w:rsidRPr="000D3D0C">
              <w:rPr>
                <w:color w:val="000000"/>
                <w:sz w:val="16"/>
                <w:szCs w:val="16"/>
              </w:rPr>
              <w:t>27</w:t>
            </w:r>
          </w:p>
        </w:tc>
        <w:tc>
          <w:tcPr>
            <w:tcW w:w="179" w:type="pct"/>
            <w:shd w:val="clear" w:color="auto" w:fill="auto"/>
            <w:tcMar>
              <w:left w:w="28" w:type="dxa"/>
              <w:right w:w="28" w:type="dxa"/>
            </w:tcMar>
            <w:vAlign w:val="center"/>
          </w:tcPr>
          <w:p w14:paraId="675735BE" w14:textId="77777777" w:rsidR="004A0123" w:rsidRPr="000D3D0C" w:rsidRDefault="004A0123" w:rsidP="008A5C11">
            <w:pPr>
              <w:jc w:val="center"/>
              <w:rPr>
                <w:color w:val="000000"/>
                <w:sz w:val="16"/>
                <w:szCs w:val="16"/>
              </w:rPr>
            </w:pPr>
            <w:r w:rsidRPr="000D3D0C">
              <w:rPr>
                <w:color w:val="000000"/>
                <w:sz w:val="16"/>
                <w:szCs w:val="16"/>
              </w:rPr>
              <w:t>27</w:t>
            </w:r>
          </w:p>
        </w:tc>
        <w:tc>
          <w:tcPr>
            <w:tcW w:w="175" w:type="pct"/>
            <w:shd w:val="clear" w:color="auto" w:fill="auto"/>
            <w:tcMar>
              <w:left w:w="28" w:type="dxa"/>
              <w:right w:w="28" w:type="dxa"/>
            </w:tcMar>
            <w:vAlign w:val="center"/>
          </w:tcPr>
          <w:p w14:paraId="17B5B608" w14:textId="77777777" w:rsidR="004A0123" w:rsidRPr="000D3D0C" w:rsidRDefault="004A0123" w:rsidP="008A5C11">
            <w:pPr>
              <w:jc w:val="center"/>
              <w:rPr>
                <w:color w:val="000000"/>
                <w:sz w:val="16"/>
                <w:szCs w:val="16"/>
              </w:rPr>
            </w:pPr>
            <w:r w:rsidRPr="000D3D0C">
              <w:rPr>
                <w:color w:val="000000"/>
                <w:sz w:val="16"/>
                <w:szCs w:val="16"/>
              </w:rPr>
              <w:t>27</w:t>
            </w:r>
          </w:p>
        </w:tc>
        <w:tc>
          <w:tcPr>
            <w:tcW w:w="204" w:type="pct"/>
            <w:shd w:val="clear" w:color="auto" w:fill="auto"/>
            <w:vAlign w:val="center"/>
          </w:tcPr>
          <w:p w14:paraId="31151BFC" w14:textId="77777777" w:rsidR="004A0123" w:rsidRPr="000D3D0C" w:rsidRDefault="004A0123" w:rsidP="008A5C11">
            <w:pPr>
              <w:jc w:val="center"/>
              <w:rPr>
                <w:color w:val="000000"/>
                <w:sz w:val="16"/>
                <w:szCs w:val="16"/>
              </w:rPr>
            </w:pPr>
            <w:r w:rsidRPr="000D3D0C">
              <w:rPr>
                <w:color w:val="000000"/>
                <w:sz w:val="16"/>
                <w:szCs w:val="16"/>
              </w:rPr>
              <w:t>27</w:t>
            </w:r>
          </w:p>
        </w:tc>
        <w:tc>
          <w:tcPr>
            <w:tcW w:w="187" w:type="pct"/>
            <w:shd w:val="clear" w:color="auto" w:fill="auto"/>
            <w:vAlign w:val="center"/>
          </w:tcPr>
          <w:p w14:paraId="11DF6C8A" w14:textId="77777777" w:rsidR="004A0123" w:rsidRPr="000D3D0C" w:rsidRDefault="004A0123" w:rsidP="008A5C11">
            <w:pPr>
              <w:jc w:val="center"/>
              <w:rPr>
                <w:color w:val="000000"/>
                <w:sz w:val="16"/>
                <w:szCs w:val="16"/>
              </w:rPr>
            </w:pPr>
            <w:r w:rsidRPr="000D3D0C">
              <w:rPr>
                <w:color w:val="000000"/>
                <w:sz w:val="16"/>
                <w:szCs w:val="16"/>
              </w:rPr>
              <w:t>27</w:t>
            </w:r>
          </w:p>
        </w:tc>
        <w:tc>
          <w:tcPr>
            <w:tcW w:w="229" w:type="pct"/>
            <w:shd w:val="clear" w:color="auto" w:fill="auto"/>
            <w:tcMar>
              <w:left w:w="28" w:type="dxa"/>
              <w:right w:w="28" w:type="dxa"/>
            </w:tcMar>
            <w:vAlign w:val="center"/>
          </w:tcPr>
          <w:p w14:paraId="4353A361" w14:textId="77777777" w:rsidR="004A0123" w:rsidRPr="000D3D0C" w:rsidRDefault="004A0123" w:rsidP="008A5C11">
            <w:pPr>
              <w:jc w:val="center"/>
              <w:rPr>
                <w:color w:val="000000"/>
                <w:sz w:val="16"/>
                <w:szCs w:val="16"/>
              </w:rPr>
            </w:pPr>
            <w:r w:rsidRPr="000D3D0C">
              <w:rPr>
                <w:color w:val="000000"/>
                <w:sz w:val="16"/>
                <w:szCs w:val="16"/>
              </w:rPr>
              <w:t>27</w:t>
            </w:r>
          </w:p>
        </w:tc>
        <w:tc>
          <w:tcPr>
            <w:tcW w:w="189" w:type="pct"/>
            <w:shd w:val="clear" w:color="auto" w:fill="auto"/>
            <w:tcMar>
              <w:left w:w="28" w:type="dxa"/>
              <w:right w:w="28" w:type="dxa"/>
            </w:tcMar>
            <w:vAlign w:val="center"/>
          </w:tcPr>
          <w:p w14:paraId="7AAF9162" w14:textId="77777777" w:rsidR="004A0123" w:rsidRPr="000D3D0C" w:rsidRDefault="004A0123" w:rsidP="008A5C11">
            <w:pPr>
              <w:jc w:val="center"/>
              <w:rPr>
                <w:color w:val="000000"/>
                <w:sz w:val="16"/>
                <w:szCs w:val="16"/>
              </w:rPr>
            </w:pPr>
            <w:r w:rsidRPr="000D3D0C">
              <w:rPr>
                <w:color w:val="000000"/>
                <w:sz w:val="16"/>
                <w:szCs w:val="16"/>
              </w:rPr>
              <w:t>27</w:t>
            </w:r>
          </w:p>
        </w:tc>
        <w:tc>
          <w:tcPr>
            <w:tcW w:w="221" w:type="pct"/>
            <w:shd w:val="clear" w:color="auto" w:fill="auto"/>
            <w:tcMar>
              <w:left w:w="28" w:type="dxa"/>
              <w:right w:w="28" w:type="dxa"/>
            </w:tcMar>
            <w:vAlign w:val="center"/>
          </w:tcPr>
          <w:p w14:paraId="3C6951F1" w14:textId="77777777" w:rsidR="004A0123" w:rsidRPr="000D3D0C" w:rsidRDefault="004A0123" w:rsidP="008A5C11">
            <w:pPr>
              <w:jc w:val="center"/>
              <w:rPr>
                <w:color w:val="000000"/>
                <w:sz w:val="16"/>
                <w:szCs w:val="16"/>
              </w:rPr>
            </w:pPr>
            <w:r w:rsidRPr="000D3D0C">
              <w:rPr>
                <w:color w:val="000000"/>
                <w:sz w:val="16"/>
                <w:szCs w:val="16"/>
              </w:rPr>
              <w:t>27</w:t>
            </w:r>
          </w:p>
        </w:tc>
        <w:tc>
          <w:tcPr>
            <w:tcW w:w="186" w:type="pct"/>
            <w:shd w:val="clear" w:color="auto" w:fill="auto"/>
            <w:tcMar>
              <w:left w:w="28" w:type="dxa"/>
              <w:right w:w="28" w:type="dxa"/>
            </w:tcMar>
            <w:vAlign w:val="center"/>
          </w:tcPr>
          <w:p w14:paraId="2F794F69" w14:textId="77777777" w:rsidR="004A0123" w:rsidRPr="000D3D0C" w:rsidRDefault="004A0123" w:rsidP="008A5C11">
            <w:pPr>
              <w:jc w:val="center"/>
              <w:rPr>
                <w:color w:val="000000"/>
                <w:sz w:val="16"/>
                <w:szCs w:val="16"/>
              </w:rPr>
            </w:pPr>
            <w:r w:rsidRPr="000D3D0C">
              <w:rPr>
                <w:color w:val="000000"/>
                <w:sz w:val="16"/>
                <w:szCs w:val="16"/>
              </w:rPr>
              <w:t>27</w:t>
            </w:r>
          </w:p>
        </w:tc>
        <w:tc>
          <w:tcPr>
            <w:tcW w:w="241" w:type="pct"/>
            <w:shd w:val="clear" w:color="auto" w:fill="auto"/>
            <w:vAlign w:val="center"/>
          </w:tcPr>
          <w:p w14:paraId="5BE84636" w14:textId="77777777" w:rsidR="004A0123" w:rsidRPr="000D3D0C" w:rsidRDefault="004A0123" w:rsidP="008A5C11">
            <w:pPr>
              <w:jc w:val="center"/>
              <w:rPr>
                <w:color w:val="000000"/>
                <w:sz w:val="16"/>
                <w:szCs w:val="16"/>
              </w:rPr>
            </w:pPr>
            <w:r w:rsidRPr="000D3D0C">
              <w:rPr>
                <w:color w:val="000000"/>
                <w:sz w:val="16"/>
                <w:szCs w:val="16"/>
              </w:rPr>
              <w:t>27</w:t>
            </w:r>
          </w:p>
        </w:tc>
        <w:tc>
          <w:tcPr>
            <w:tcW w:w="209" w:type="pct"/>
            <w:shd w:val="clear" w:color="auto" w:fill="auto"/>
            <w:tcMar>
              <w:left w:w="28" w:type="dxa"/>
              <w:right w:w="28" w:type="dxa"/>
            </w:tcMar>
            <w:vAlign w:val="center"/>
          </w:tcPr>
          <w:p w14:paraId="78DA6200" w14:textId="77777777" w:rsidR="004A0123" w:rsidRPr="000D3D0C" w:rsidRDefault="004A0123" w:rsidP="008A5C11">
            <w:pPr>
              <w:jc w:val="center"/>
              <w:rPr>
                <w:sz w:val="16"/>
                <w:szCs w:val="16"/>
              </w:rPr>
            </w:pPr>
            <w:r w:rsidRPr="000D3D0C">
              <w:rPr>
                <w:sz w:val="16"/>
                <w:szCs w:val="16"/>
              </w:rPr>
              <w:t>14</w:t>
            </w:r>
          </w:p>
        </w:tc>
        <w:tc>
          <w:tcPr>
            <w:tcW w:w="179" w:type="pct"/>
            <w:shd w:val="clear" w:color="auto" w:fill="auto"/>
            <w:tcMar>
              <w:left w:w="28" w:type="dxa"/>
              <w:right w:w="28" w:type="dxa"/>
            </w:tcMar>
            <w:vAlign w:val="center"/>
          </w:tcPr>
          <w:p w14:paraId="6CEE98C7" w14:textId="77777777" w:rsidR="004A0123" w:rsidRPr="000D3D0C" w:rsidRDefault="004A0123" w:rsidP="008A5C11">
            <w:pPr>
              <w:jc w:val="center"/>
              <w:rPr>
                <w:sz w:val="16"/>
                <w:szCs w:val="16"/>
              </w:rPr>
            </w:pPr>
            <w:r w:rsidRPr="000D3D0C">
              <w:rPr>
                <w:sz w:val="16"/>
                <w:szCs w:val="16"/>
              </w:rPr>
              <w:t>14</w:t>
            </w:r>
          </w:p>
        </w:tc>
        <w:tc>
          <w:tcPr>
            <w:tcW w:w="197" w:type="pct"/>
            <w:shd w:val="clear" w:color="auto" w:fill="auto"/>
            <w:tcMar>
              <w:left w:w="28" w:type="dxa"/>
              <w:right w:w="28" w:type="dxa"/>
            </w:tcMar>
            <w:vAlign w:val="center"/>
          </w:tcPr>
          <w:p w14:paraId="1867F106" w14:textId="77777777" w:rsidR="004A0123" w:rsidRPr="000D3D0C" w:rsidRDefault="004A0123" w:rsidP="008A5C11">
            <w:pPr>
              <w:jc w:val="center"/>
              <w:rPr>
                <w:sz w:val="16"/>
                <w:szCs w:val="16"/>
              </w:rPr>
            </w:pPr>
            <w:r w:rsidRPr="000D3D0C">
              <w:rPr>
                <w:sz w:val="16"/>
                <w:szCs w:val="16"/>
              </w:rPr>
              <w:t>14</w:t>
            </w:r>
          </w:p>
        </w:tc>
        <w:tc>
          <w:tcPr>
            <w:tcW w:w="198" w:type="pct"/>
            <w:shd w:val="clear" w:color="auto" w:fill="auto"/>
            <w:tcMar>
              <w:left w:w="28" w:type="dxa"/>
              <w:right w:w="28" w:type="dxa"/>
            </w:tcMar>
            <w:vAlign w:val="center"/>
          </w:tcPr>
          <w:p w14:paraId="669627DA" w14:textId="77777777" w:rsidR="004A0123" w:rsidRPr="000D3D0C" w:rsidRDefault="004A0123" w:rsidP="008A5C11">
            <w:pPr>
              <w:jc w:val="center"/>
              <w:rPr>
                <w:sz w:val="16"/>
                <w:szCs w:val="16"/>
              </w:rPr>
            </w:pPr>
            <w:r w:rsidRPr="000D3D0C">
              <w:rPr>
                <w:sz w:val="16"/>
                <w:szCs w:val="16"/>
              </w:rPr>
              <w:t>14</w:t>
            </w:r>
          </w:p>
        </w:tc>
        <w:tc>
          <w:tcPr>
            <w:tcW w:w="198" w:type="pct"/>
            <w:shd w:val="clear" w:color="auto" w:fill="auto"/>
            <w:vAlign w:val="center"/>
          </w:tcPr>
          <w:p w14:paraId="2983CAA3" w14:textId="77777777" w:rsidR="004A0123" w:rsidRPr="000D3D0C" w:rsidRDefault="004A0123" w:rsidP="008A5C11">
            <w:pPr>
              <w:jc w:val="center"/>
              <w:rPr>
                <w:sz w:val="16"/>
                <w:szCs w:val="16"/>
              </w:rPr>
            </w:pPr>
            <w:r w:rsidRPr="000D3D0C">
              <w:rPr>
                <w:sz w:val="16"/>
                <w:szCs w:val="16"/>
              </w:rPr>
              <w:t>14</w:t>
            </w:r>
          </w:p>
        </w:tc>
        <w:tc>
          <w:tcPr>
            <w:tcW w:w="221" w:type="pct"/>
            <w:shd w:val="clear" w:color="auto" w:fill="auto"/>
            <w:vAlign w:val="center"/>
          </w:tcPr>
          <w:p w14:paraId="40018D08" w14:textId="77777777" w:rsidR="004A0123" w:rsidRPr="000D3D0C" w:rsidRDefault="004A0123" w:rsidP="008A5C11">
            <w:pPr>
              <w:jc w:val="center"/>
              <w:rPr>
                <w:sz w:val="16"/>
                <w:szCs w:val="16"/>
              </w:rPr>
            </w:pPr>
            <w:r w:rsidRPr="000D3D0C">
              <w:rPr>
                <w:sz w:val="16"/>
                <w:szCs w:val="16"/>
              </w:rPr>
              <w:t>14</w:t>
            </w:r>
          </w:p>
        </w:tc>
        <w:tc>
          <w:tcPr>
            <w:tcW w:w="202" w:type="pct"/>
            <w:shd w:val="clear" w:color="auto" w:fill="auto"/>
            <w:tcMar>
              <w:left w:w="28" w:type="dxa"/>
              <w:right w:w="28" w:type="dxa"/>
            </w:tcMar>
            <w:vAlign w:val="center"/>
          </w:tcPr>
          <w:p w14:paraId="168C4021" w14:textId="77777777" w:rsidR="004A0123" w:rsidRPr="000D3D0C" w:rsidRDefault="004A0123" w:rsidP="008A5C11">
            <w:pPr>
              <w:jc w:val="center"/>
              <w:rPr>
                <w:sz w:val="16"/>
                <w:szCs w:val="16"/>
              </w:rPr>
            </w:pPr>
            <w:r w:rsidRPr="000D3D0C">
              <w:rPr>
                <w:sz w:val="16"/>
                <w:szCs w:val="16"/>
              </w:rPr>
              <w:t>14</w:t>
            </w:r>
          </w:p>
        </w:tc>
        <w:tc>
          <w:tcPr>
            <w:tcW w:w="196" w:type="pct"/>
            <w:shd w:val="clear" w:color="auto" w:fill="auto"/>
            <w:tcMar>
              <w:left w:w="28" w:type="dxa"/>
              <w:right w:w="28" w:type="dxa"/>
            </w:tcMar>
            <w:vAlign w:val="center"/>
          </w:tcPr>
          <w:p w14:paraId="1D84EBC3" w14:textId="77777777" w:rsidR="004A0123" w:rsidRPr="000D3D0C" w:rsidRDefault="004A0123" w:rsidP="008A5C11">
            <w:pPr>
              <w:jc w:val="center"/>
              <w:rPr>
                <w:sz w:val="16"/>
                <w:szCs w:val="16"/>
              </w:rPr>
            </w:pPr>
            <w:r w:rsidRPr="000D3D0C">
              <w:rPr>
                <w:sz w:val="16"/>
                <w:szCs w:val="16"/>
              </w:rPr>
              <w:t>14</w:t>
            </w:r>
          </w:p>
        </w:tc>
        <w:tc>
          <w:tcPr>
            <w:tcW w:w="200" w:type="pct"/>
            <w:shd w:val="clear" w:color="auto" w:fill="auto"/>
            <w:tcMar>
              <w:left w:w="28" w:type="dxa"/>
              <w:right w:w="28" w:type="dxa"/>
            </w:tcMar>
            <w:vAlign w:val="center"/>
          </w:tcPr>
          <w:p w14:paraId="0F554D0B" w14:textId="77777777" w:rsidR="004A0123" w:rsidRPr="000D3D0C" w:rsidRDefault="004A0123" w:rsidP="008A5C11">
            <w:pPr>
              <w:jc w:val="center"/>
              <w:rPr>
                <w:sz w:val="16"/>
                <w:szCs w:val="16"/>
              </w:rPr>
            </w:pPr>
            <w:r w:rsidRPr="000D3D0C">
              <w:rPr>
                <w:sz w:val="16"/>
                <w:szCs w:val="16"/>
              </w:rPr>
              <w:t>14</w:t>
            </w:r>
          </w:p>
        </w:tc>
        <w:tc>
          <w:tcPr>
            <w:tcW w:w="190" w:type="pct"/>
            <w:shd w:val="clear" w:color="auto" w:fill="auto"/>
            <w:tcMar>
              <w:left w:w="28" w:type="dxa"/>
              <w:right w:w="28" w:type="dxa"/>
            </w:tcMar>
            <w:vAlign w:val="center"/>
          </w:tcPr>
          <w:p w14:paraId="5679511F" w14:textId="77777777" w:rsidR="004A0123" w:rsidRPr="000D3D0C" w:rsidRDefault="004A0123" w:rsidP="008A5C11">
            <w:pPr>
              <w:jc w:val="center"/>
              <w:rPr>
                <w:sz w:val="16"/>
                <w:szCs w:val="16"/>
              </w:rPr>
            </w:pPr>
            <w:r w:rsidRPr="000D3D0C">
              <w:rPr>
                <w:sz w:val="16"/>
                <w:szCs w:val="16"/>
              </w:rPr>
              <w:t>14</w:t>
            </w:r>
          </w:p>
        </w:tc>
        <w:tc>
          <w:tcPr>
            <w:tcW w:w="213" w:type="pct"/>
            <w:shd w:val="clear" w:color="auto" w:fill="auto"/>
            <w:vAlign w:val="center"/>
          </w:tcPr>
          <w:p w14:paraId="0729FFF6" w14:textId="77777777" w:rsidR="004A0123" w:rsidRPr="000D3D0C" w:rsidRDefault="004A0123" w:rsidP="008A5C11">
            <w:pPr>
              <w:jc w:val="center"/>
              <w:rPr>
                <w:sz w:val="16"/>
                <w:szCs w:val="16"/>
              </w:rPr>
            </w:pPr>
            <w:r w:rsidRPr="000D3D0C">
              <w:rPr>
                <w:sz w:val="16"/>
                <w:szCs w:val="16"/>
              </w:rPr>
              <w:t>14</w:t>
            </w:r>
          </w:p>
        </w:tc>
      </w:tr>
      <w:tr w:rsidR="004A0123" w:rsidRPr="000D3D0C" w14:paraId="008E5885" w14:textId="77777777" w:rsidTr="008A5C11">
        <w:trPr>
          <w:trHeight w:val="99"/>
          <w:jc w:val="center"/>
        </w:trPr>
        <w:tc>
          <w:tcPr>
            <w:tcW w:w="111" w:type="pct"/>
            <w:tcMar>
              <w:top w:w="62" w:type="dxa"/>
              <w:left w:w="28" w:type="dxa"/>
              <w:bottom w:w="102" w:type="dxa"/>
              <w:right w:w="28" w:type="dxa"/>
            </w:tcMar>
            <w:vAlign w:val="center"/>
          </w:tcPr>
          <w:p w14:paraId="3957BC50" w14:textId="77777777" w:rsidR="004A0123" w:rsidRPr="000D3D0C" w:rsidRDefault="004A0123" w:rsidP="008A5C11">
            <w:pPr>
              <w:jc w:val="center"/>
              <w:rPr>
                <w:sz w:val="16"/>
                <w:szCs w:val="16"/>
              </w:rPr>
            </w:pPr>
            <w:r w:rsidRPr="000D3D0C">
              <w:rPr>
                <w:sz w:val="16"/>
                <w:szCs w:val="16"/>
              </w:rPr>
              <w:t>5</w:t>
            </w:r>
          </w:p>
        </w:tc>
        <w:tc>
          <w:tcPr>
            <w:tcW w:w="457" w:type="pct"/>
            <w:tcMar>
              <w:top w:w="62" w:type="dxa"/>
              <w:left w:w="28" w:type="dxa"/>
              <w:bottom w:w="102" w:type="dxa"/>
              <w:right w:w="28" w:type="dxa"/>
            </w:tcMar>
            <w:vAlign w:val="center"/>
          </w:tcPr>
          <w:p w14:paraId="75E02DFD" w14:textId="77777777" w:rsidR="004A0123" w:rsidRPr="000D3D0C" w:rsidRDefault="004A0123" w:rsidP="008A5C11">
            <w:pPr>
              <w:jc w:val="center"/>
              <w:rPr>
                <w:color w:val="000000"/>
                <w:sz w:val="16"/>
                <w:szCs w:val="16"/>
              </w:rPr>
            </w:pPr>
            <w:r w:rsidRPr="000D3D0C">
              <w:rPr>
                <w:color w:val="000000"/>
                <w:sz w:val="16"/>
                <w:szCs w:val="16"/>
              </w:rPr>
              <w:t>Котельная Детского сада</w:t>
            </w:r>
          </w:p>
        </w:tc>
        <w:tc>
          <w:tcPr>
            <w:tcW w:w="196" w:type="pct"/>
            <w:shd w:val="clear" w:color="auto" w:fill="auto"/>
            <w:tcMar>
              <w:left w:w="28" w:type="dxa"/>
              <w:right w:w="28" w:type="dxa"/>
            </w:tcMar>
            <w:vAlign w:val="center"/>
          </w:tcPr>
          <w:p w14:paraId="34513673" w14:textId="77777777" w:rsidR="004A0123" w:rsidRPr="000D3D0C" w:rsidRDefault="004A0123" w:rsidP="008A5C11">
            <w:pPr>
              <w:jc w:val="center"/>
              <w:rPr>
                <w:color w:val="000000"/>
                <w:sz w:val="16"/>
                <w:szCs w:val="16"/>
              </w:rPr>
            </w:pPr>
            <w:r w:rsidRPr="000D3D0C">
              <w:rPr>
                <w:color w:val="000000"/>
                <w:sz w:val="16"/>
                <w:szCs w:val="16"/>
              </w:rPr>
              <w:t>0</w:t>
            </w:r>
          </w:p>
        </w:tc>
        <w:tc>
          <w:tcPr>
            <w:tcW w:w="222" w:type="pct"/>
            <w:shd w:val="clear" w:color="auto" w:fill="auto"/>
            <w:tcMar>
              <w:left w:w="28" w:type="dxa"/>
              <w:right w:w="28" w:type="dxa"/>
            </w:tcMar>
            <w:vAlign w:val="center"/>
          </w:tcPr>
          <w:p w14:paraId="2AA2B737" w14:textId="77777777" w:rsidR="004A0123" w:rsidRPr="000D3D0C" w:rsidRDefault="004A0123" w:rsidP="008A5C11">
            <w:pPr>
              <w:jc w:val="center"/>
              <w:rPr>
                <w:color w:val="000000"/>
                <w:sz w:val="16"/>
                <w:szCs w:val="16"/>
              </w:rPr>
            </w:pPr>
            <w:r w:rsidRPr="000D3D0C">
              <w:rPr>
                <w:color w:val="000000"/>
                <w:sz w:val="16"/>
                <w:szCs w:val="16"/>
              </w:rPr>
              <w:t>0</w:t>
            </w:r>
          </w:p>
        </w:tc>
        <w:tc>
          <w:tcPr>
            <w:tcW w:w="179" w:type="pct"/>
            <w:shd w:val="clear" w:color="auto" w:fill="auto"/>
            <w:tcMar>
              <w:left w:w="28" w:type="dxa"/>
              <w:right w:w="28" w:type="dxa"/>
            </w:tcMar>
            <w:vAlign w:val="center"/>
          </w:tcPr>
          <w:p w14:paraId="3F5B7FDD" w14:textId="77777777" w:rsidR="004A0123" w:rsidRPr="000D3D0C" w:rsidRDefault="004A0123" w:rsidP="008A5C11">
            <w:pPr>
              <w:jc w:val="center"/>
              <w:rPr>
                <w:color w:val="000000"/>
                <w:sz w:val="16"/>
                <w:szCs w:val="16"/>
              </w:rPr>
            </w:pPr>
            <w:r w:rsidRPr="000D3D0C">
              <w:rPr>
                <w:color w:val="000000"/>
                <w:sz w:val="16"/>
                <w:szCs w:val="16"/>
              </w:rPr>
              <w:t>0</w:t>
            </w:r>
          </w:p>
        </w:tc>
        <w:tc>
          <w:tcPr>
            <w:tcW w:w="175" w:type="pct"/>
            <w:shd w:val="clear" w:color="auto" w:fill="auto"/>
            <w:tcMar>
              <w:left w:w="28" w:type="dxa"/>
              <w:right w:w="28" w:type="dxa"/>
            </w:tcMar>
            <w:vAlign w:val="center"/>
          </w:tcPr>
          <w:p w14:paraId="344514AE" w14:textId="77777777" w:rsidR="004A0123" w:rsidRPr="000D3D0C" w:rsidRDefault="004A0123" w:rsidP="008A5C11">
            <w:pPr>
              <w:jc w:val="center"/>
              <w:rPr>
                <w:color w:val="000000"/>
                <w:sz w:val="16"/>
                <w:szCs w:val="16"/>
              </w:rPr>
            </w:pPr>
            <w:r w:rsidRPr="000D3D0C">
              <w:rPr>
                <w:color w:val="000000"/>
                <w:sz w:val="16"/>
                <w:szCs w:val="16"/>
              </w:rPr>
              <w:t>0</w:t>
            </w:r>
          </w:p>
        </w:tc>
        <w:tc>
          <w:tcPr>
            <w:tcW w:w="204" w:type="pct"/>
            <w:shd w:val="clear" w:color="auto" w:fill="auto"/>
            <w:vAlign w:val="center"/>
          </w:tcPr>
          <w:p w14:paraId="5937376B" w14:textId="77777777" w:rsidR="004A0123" w:rsidRPr="000D3D0C" w:rsidRDefault="004A0123" w:rsidP="008A5C11">
            <w:pPr>
              <w:jc w:val="center"/>
              <w:rPr>
                <w:color w:val="000000"/>
                <w:sz w:val="16"/>
                <w:szCs w:val="16"/>
              </w:rPr>
            </w:pPr>
            <w:r w:rsidRPr="000D3D0C">
              <w:rPr>
                <w:color w:val="000000"/>
                <w:sz w:val="16"/>
                <w:szCs w:val="16"/>
              </w:rPr>
              <w:t>0</w:t>
            </w:r>
          </w:p>
        </w:tc>
        <w:tc>
          <w:tcPr>
            <w:tcW w:w="187" w:type="pct"/>
            <w:shd w:val="clear" w:color="auto" w:fill="auto"/>
            <w:vAlign w:val="center"/>
          </w:tcPr>
          <w:p w14:paraId="3655E667" w14:textId="77777777" w:rsidR="004A0123" w:rsidRPr="000D3D0C" w:rsidRDefault="004A0123" w:rsidP="008A5C11">
            <w:pPr>
              <w:jc w:val="center"/>
              <w:rPr>
                <w:color w:val="000000"/>
                <w:sz w:val="16"/>
                <w:szCs w:val="16"/>
              </w:rPr>
            </w:pPr>
            <w:r w:rsidRPr="000D3D0C">
              <w:rPr>
                <w:color w:val="000000"/>
                <w:sz w:val="16"/>
                <w:szCs w:val="16"/>
              </w:rPr>
              <w:t>0</w:t>
            </w:r>
          </w:p>
        </w:tc>
        <w:tc>
          <w:tcPr>
            <w:tcW w:w="229" w:type="pct"/>
            <w:shd w:val="clear" w:color="auto" w:fill="auto"/>
            <w:tcMar>
              <w:left w:w="28" w:type="dxa"/>
              <w:right w:w="28" w:type="dxa"/>
            </w:tcMar>
            <w:vAlign w:val="center"/>
          </w:tcPr>
          <w:p w14:paraId="1874D1CA" w14:textId="77777777" w:rsidR="004A0123" w:rsidRPr="000D3D0C" w:rsidRDefault="004A0123" w:rsidP="008A5C11">
            <w:pPr>
              <w:jc w:val="center"/>
              <w:rPr>
                <w:color w:val="000000"/>
                <w:sz w:val="16"/>
                <w:szCs w:val="16"/>
              </w:rPr>
            </w:pPr>
            <w:r w:rsidRPr="000D3D0C">
              <w:rPr>
                <w:color w:val="000000"/>
                <w:sz w:val="16"/>
                <w:szCs w:val="16"/>
              </w:rPr>
              <w:t>0</w:t>
            </w:r>
          </w:p>
        </w:tc>
        <w:tc>
          <w:tcPr>
            <w:tcW w:w="189" w:type="pct"/>
            <w:shd w:val="clear" w:color="auto" w:fill="auto"/>
            <w:tcMar>
              <w:left w:w="28" w:type="dxa"/>
              <w:right w:w="28" w:type="dxa"/>
            </w:tcMar>
            <w:vAlign w:val="center"/>
          </w:tcPr>
          <w:p w14:paraId="54A0FA17" w14:textId="77777777" w:rsidR="004A0123" w:rsidRPr="000D3D0C" w:rsidRDefault="004A0123" w:rsidP="008A5C11">
            <w:pPr>
              <w:jc w:val="center"/>
              <w:rPr>
                <w:color w:val="000000"/>
                <w:sz w:val="16"/>
                <w:szCs w:val="16"/>
              </w:rPr>
            </w:pPr>
            <w:r w:rsidRPr="000D3D0C">
              <w:rPr>
                <w:color w:val="000000"/>
                <w:sz w:val="16"/>
                <w:szCs w:val="16"/>
              </w:rPr>
              <w:t>0</w:t>
            </w:r>
          </w:p>
        </w:tc>
        <w:tc>
          <w:tcPr>
            <w:tcW w:w="221" w:type="pct"/>
            <w:shd w:val="clear" w:color="auto" w:fill="auto"/>
            <w:tcMar>
              <w:left w:w="28" w:type="dxa"/>
              <w:right w:w="28" w:type="dxa"/>
            </w:tcMar>
            <w:vAlign w:val="center"/>
          </w:tcPr>
          <w:p w14:paraId="3EA717AD" w14:textId="77777777" w:rsidR="004A0123" w:rsidRPr="000D3D0C" w:rsidRDefault="004A0123" w:rsidP="008A5C11">
            <w:pPr>
              <w:jc w:val="center"/>
              <w:rPr>
                <w:color w:val="000000"/>
                <w:sz w:val="16"/>
                <w:szCs w:val="16"/>
              </w:rPr>
            </w:pPr>
            <w:r w:rsidRPr="000D3D0C">
              <w:rPr>
                <w:color w:val="000000"/>
                <w:sz w:val="16"/>
                <w:szCs w:val="16"/>
              </w:rPr>
              <w:t>0</w:t>
            </w:r>
          </w:p>
        </w:tc>
        <w:tc>
          <w:tcPr>
            <w:tcW w:w="186" w:type="pct"/>
            <w:shd w:val="clear" w:color="auto" w:fill="auto"/>
            <w:tcMar>
              <w:left w:w="28" w:type="dxa"/>
              <w:right w:w="28" w:type="dxa"/>
            </w:tcMar>
            <w:vAlign w:val="center"/>
          </w:tcPr>
          <w:p w14:paraId="2B442117" w14:textId="77777777" w:rsidR="004A0123" w:rsidRPr="000D3D0C" w:rsidRDefault="004A0123" w:rsidP="008A5C11">
            <w:pPr>
              <w:jc w:val="center"/>
              <w:rPr>
                <w:color w:val="000000"/>
                <w:sz w:val="16"/>
                <w:szCs w:val="16"/>
              </w:rPr>
            </w:pPr>
            <w:r w:rsidRPr="000D3D0C">
              <w:rPr>
                <w:color w:val="000000"/>
                <w:sz w:val="16"/>
                <w:szCs w:val="16"/>
              </w:rPr>
              <w:t>0</w:t>
            </w:r>
          </w:p>
        </w:tc>
        <w:tc>
          <w:tcPr>
            <w:tcW w:w="241" w:type="pct"/>
            <w:shd w:val="clear" w:color="auto" w:fill="auto"/>
            <w:vAlign w:val="center"/>
          </w:tcPr>
          <w:p w14:paraId="6FB62FA4" w14:textId="77777777" w:rsidR="004A0123" w:rsidRPr="000D3D0C" w:rsidRDefault="004A0123" w:rsidP="008A5C11">
            <w:pPr>
              <w:jc w:val="center"/>
              <w:rPr>
                <w:color w:val="000000"/>
                <w:sz w:val="16"/>
                <w:szCs w:val="16"/>
              </w:rPr>
            </w:pPr>
            <w:r w:rsidRPr="000D3D0C">
              <w:rPr>
                <w:color w:val="000000"/>
                <w:sz w:val="16"/>
                <w:szCs w:val="16"/>
              </w:rPr>
              <w:t>0</w:t>
            </w:r>
          </w:p>
        </w:tc>
        <w:tc>
          <w:tcPr>
            <w:tcW w:w="209" w:type="pct"/>
            <w:shd w:val="clear" w:color="auto" w:fill="auto"/>
            <w:tcMar>
              <w:left w:w="28" w:type="dxa"/>
              <w:right w:w="28" w:type="dxa"/>
            </w:tcMar>
            <w:vAlign w:val="center"/>
          </w:tcPr>
          <w:p w14:paraId="3B4EA0F0" w14:textId="77777777" w:rsidR="004A0123" w:rsidRPr="000D3D0C" w:rsidRDefault="004A0123" w:rsidP="008A5C11">
            <w:pPr>
              <w:jc w:val="center"/>
              <w:rPr>
                <w:sz w:val="16"/>
                <w:szCs w:val="16"/>
              </w:rPr>
            </w:pPr>
            <w:r w:rsidRPr="000D3D0C">
              <w:rPr>
                <w:sz w:val="16"/>
                <w:szCs w:val="16"/>
              </w:rPr>
              <w:t>0</w:t>
            </w:r>
          </w:p>
        </w:tc>
        <w:tc>
          <w:tcPr>
            <w:tcW w:w="179" w:type="pct"/>
            <w:shd w:val="clear" w:color="auto" w:fill="auto"/>
            <w:tcMar>
              <w:left w:w="28" w:type="dxa"/>
              <w:right w:w="28" w:type="dxa"/>
            </w:tcMar>
            <w:vAlign w:val="center"/>
          </w:tcPr>
          <w:p w14:paraId="5280E27D" w14:textId="77777777" w:rsidR="004A0123" w:rsidRPr="000D3D0C" w:rsidRDefault="004A0123" w:rsidP="008A5C11">
            <w:pPr>
              <w:jc w:val="center"/>
              <w:rPr>
                <w:sz w:val="16"/>
                <w:szCs w:val="16"/>
              </w:rPr>
            </w:pPr>
            <w:r w:rsidRPr="000D3D0C">
              <w:rPr>
                <w:sz w:val="16"/>
                <w:szCs w:val="16"/>
              </w:rPr>
              <w:t>0</w:t>
            </w:r>
          </w:p>
        </w:tc>
        <w:tc>
          <w:tcPr>
            <w:tcW w:w="197" w:type="pct"/>
            <w:shd w:val="clear" w:color="auto" w:fill="auto"/>
            <w:tcMar>
              <w:left w:w="28" w:type="dxa"/>
              <w:right w:w="28" w:type="dxa"/>
            </w:tcMar>
            <w:vAlign w:val="center"/>
          </w:tcPr>
          <w:p w14:paraId="357DC44E" w14:textId="77777777" w:rsidR="004A0123" w:rsidRPr="000D3D0C" w:rsidRDefault="004A0123" w:rsidP="008A5C11">
            <w:pPr>
              <w:jc w:val="center"/>
              <w:rPr>
                <w:sz w:val="16"/>
                <w:szCs w:val="16"/>
              </w:rPr>
            </w:pPr>
            <w:r w:rsidRPr="000D3D0C">
              <w:rPr>
                <w:sz w:val="16"/>
                <w:szCs w:val="16"/>
              </w:rPr>
              <w:t>0</w:t>
            </w:r>
          </w:p>
        </w:tc>
        <w:tc>
          <w:tcPr>
            <w:tcW w:w="198" w:type="pct"/>
            <w:shd w:val="clear" w:color="auto" w:fill="auto"/>
            <w:tcMar>
              <w:left w:w="28" w:type="dxa"/>
              <w:right w:w="28" w:type="dxa"/>
            </w:tcMar>
            <w:vAlign w:val="center"/>
          </w:tcPr>
          <w:p w14:paraId="34E0B795" w14:textId="77777777" w:rsidR="004A0123" w:rsidRPr="000D3D0C" w:rsidRDefault="004A0123" w:rsidP="008A5C11">
            <w:pPr>
              <w:jc w:val="center"/>
              <w:rPr>
                <w:sz w:val="16"/>
                <w:szCs w:val="16"/>
              </w:rPr>
            </w:pPr>
            <w:r w:rsidRPr="000D3D0C">
              <w:rPr>
                <w:sz w:val="16"/>
                <w:szCs w:val="16"/>
              </w:rPr>
              <w:t>0</w:t>
            </w:r>
          </w:p>
        </w:tc>
        <w:tc>
          <w:tcPr>
            <w:tcW w:w="198" w:type="pct"/>
            <w:shd w:val="clear" w:color="auto" w:fill="auto"/>
            <w:vAlign w:val="center"/>
          </w:tcPr>
          <w:p w14:paraId="2BEFA167" w14:textId="77777777" w:rsidR="004A0123" w:rsidRPr="000D3D0C" w:rsidRDefault="004A0123" w:rsidP="008A5C11">
            <w:pPr>
              <w:jc w:val="center"/>
              <w:rPr>
                <w:sz w:val="16"/>
                <w:szCs w:val="16"/>
              </w:rPr>
            </w:pPr>
            <w:r w:rsidRPr="000D3D0C">
              <w:rPr>
                <w:sz w:val="16"/>
                <w:szCs w:val="16"/>
              </w:rPr>
              <w:t>0</w:t>
            </w:r>
          </w:p>
        </w:tc>
        <w:tc>
          <w:tcPr>
            <w:tcW w:w="221" w:type="pct"/>
            <w:shd w:val="clear" w:color="auto" w:fill="auto"/>
            <w:vAlign w:val="center"/>
          </w:tcPr>
          <w:p w14:paraId="230FB0D4" w14:textId="77777777" w:rsidR="004A0123" w:rsidRPr="000D3D0C" w:rsidRDefault="004A0123" w:rsidP="008A5C11">
            <w:pPr>
              <w:jc w:val="center"/>
              <w:rPr>
                <w:sz w:val="16"/>
                <w:szCs w:val="16"/>
              </w:rPr>
            </w:pPr>
            <w:r w:rsidRPr="000D3D0C">
              <w:rPr>
                <w:sz w:val="16"/>
                <w:szCs w:val="16"/>
              </w:rPr>
              <w:t>0</w:t>
            </w:r>
          </w:p>
        </w:tc>
        <w:tc>
          <w:tcPr>
            <w:tcW w:w="202" w:type="pct"/>
            <w:shd w:val="clear" w:color="auto" w:fill="auto"/>
            <w:tcMar>
              <w:left w:w="28" w:type="dxa"/>
              <w:right w:w="28" w:type="dxa"/>
            </w:tcMar>
            <w:vAlign w:val="center"/>
          </w:tcPr>
          <w:p w14:paraId="2BFF88A3" w14:textId="77777777" w:rsidR="004A0123" w:rsidRPr="000D3D0C" w:rsidRDefault="004A0123" w:rsidP="008A5C11">
            <w:pPr>
              <w:jc w:val="center"/>
              <w:rPr>
                <w:sz w:val="16"/>
                <w:szCs w:val="16"/>
              </w:rPr>
            </w:pPr>
            <w:r w:rsidRPr="000D3D0C">
              <w:rPr>
                <w:sz w:val="16"/>
                <w:szCs w:val="16"/>
              </w:rPr>
              <w:t>0</w:t>
            </w:r>
          </w:p>
        </w:tc>
        <w:tc>
          <w:tcPr>
            <w:tcW w:w="196" w:type="pct"/>
            <w:shd w:val="clear" w:color="auto" w:fill="auto"/>
            <w:tcMar>
              <w:left w:w="28" w:type="dxa"/>
              <w:right w:w="28" w:type="dxa"/>
            </w:tcMar>
            <w:vAlign w:val="center"/>
          </w:tcPr>
          <w:p w14:paraId="0529A3F8" w14:textId="77777777" w:rsidR="004A0123" w:rsidRPr="000D3D0C" w:rsidRDefault="004A0123" w:rsidP="008A5C11">
            <w:pPr>
              <w:jc w:val="center"/>
              <w:rPr>
                <w:sz w:val="16"/>
                <w:szCs w:val="16"/>
              </w:rPr>
            </w:pPr>
            <w:r w:rsidRPr="000D3D0C">
              <w:rPr>
                <w:sz w:val="16"/>
                <w:szCs w:val="16"/>
              </w:rPr>
              <w:t>0</w:t>
            </w:r>
          </w:p>
        </w:tc>
        <w:tc>
          <w:tcPr>
            <w:tcW w:w="200" w:type="pct"/>
            <w:shd w:val="clear" w:color="auto" w:fill="auto"/>
            <w:tcMar>
              <w:left w:w="28" w:type="dxa"/>
              <w:right w:w="28" w:type="dxa"/>
            </w:tcMar>
            <w:vAlign w:val="center"/>
          </w:tcPr>
          <w:p w14:paraId="298410E6" w14:textId="77777777" w:rsidR="004A0123" w:rsidRPr="000D3D0C" w:rsidRDefault="004A0123" w:rsidP="008A5C11">
            <w:pPr>
              <w:jc w:val="center"/>
              <w:rPr>
                <w:sz w:val="16"/>
                <w:szCs w:val="16"/>
              </w:rPr>
            </w:pPr>
            <w:r w:rsidRPr="000D3D0C">
              <w:rPr>
                <w:sz w:val="16"/>
                <w:szCs w:val="16"/>
              </w:rPr>
              <w:t>0</w:t>
            </w:r>
          </w:p>
        </w:tc>
        <w:tc>
          <w:tcPr>
            <w:tcW w:w="190" w:type="pct"/>
            <w:shd w:val="clear" w:color="auto" w:fill="auto"/>
            <w:tcMar>
              <w:left w:w="28" w:type="dxa"/>
              <w:right w:w="28" w:type="dxa"/>
            </w:tcMar>
            <w:vAlign w:val="center"/>
          </w:tcPr>
          <w:p w14:paraId="4A891D0C" w14:textId="77777777" w:rsidR="004A0123" w:rsidRPr="000D3D0C" w:rsidRDefault="004A0123" w:rsidP="008A5C11">
            <w:pPr>
              <w:jc w:val="center"/>
              <w:rPr>
                <w:sz w:val="16"/>
                <w:szCs w:val="16"/>
              </w:rPr>
            </w:pPr>
            <w:r w:rsidRPr="000D3D0C">
              <w:rPr>
                <w:sz w:val="16"/>
                <w:szCs w:val="16"/>
              </w:rPr>
              <w:t>0</w:t>
            </w:r>
          </w:p>
        </w:tc>
        <w:tc>
          <w:tcPr>
            <w:tcW w:w="213" w:type="pct"/>
            <w:shd w:val="clear" w:color="auto" w:fill="auto"/>
            <w:vAlign w:val="center"/>
          </w:tcPr>
          <w:p w14:paraId="092C38DE" w14:textId="77777777" w:rsidR="004A0123" w:rsidRPr="000D3D0C" w:rsidRDefault="004A0123" w:rsidP="008A5C11">
            <w:pPr>
              <w:jc w:val="center"/>
              <w:rPr>
                <w:sz w:val="16"/>
                <w:szCs w:val="16"/>
              </w:rPr>
            </w:pPr>
            <w:r w:rsidRPr="000D3D0C">
              <w:rPr>
                <w:sz w:val="16"/>
                <w:szCs w:val="16"/>
              </w:rPr>
              <w:t>0</w:t>
            </w:r>
          </w:p>
        </w:tc>
      </w:tr>
      <w:tr w:rsidR="004A0123" w:rsidRPr="000D3D0C" w14:paraId="612D94F0" w14:textId="77777777" w:rsidTr="008A5C11">
        <w:trPr>
          <w:trHeight w:val="99"/>
          <w:jc w:val="center"/>
        </w:trPr>
        <w:tc>
          <w:tcPr>
            <w:tcW w:w="111" w:type="pct"/>
            <w:tcMar>
              <w:top w:w="62" w:type="dxa"/>
              <w:left w:w="28" w:type="dxa"/>
              <w:bottom w:w="102" w:type="dxa"/>
              <w:right w:w="28" w:type="dxa"/>
            </w:tcMar>
            <w:vAlign w:val="center"/>
          </w:tcPr>
          <w:p w14:paraId="6FE69ECF" w14:textId="77777777" w:rsidR="004A0123" w:rsidRPr="000D3D0C" w:rsidRDefault="004A0123" w:rsidP="008A5C11">
            <w:pPr>
              <w:jc w:val="center"/>
              <w:rPr>
                <w:sz w:val="16"/>
                <w:szCs w:val="16"/>
              </w:rPr>
            </w:pPr>
            <w:r w:rsidRPr="000D3D0C">
              <w:rPr>
                <w:sz w:val="16"/>
                <w:szCs w:val="16"/>
              </w:rPr>
              <w:t>6</w:t>
            </w:r>
          </w:p>
        </w:tc>
        <w:tc>
          <w:tcPr>
            <w:tcW w:w="457" w:type="pct"/>
            <w:tcMar>
              <w:top w:w="62" w:type="dxa"/>
              <w:left w:w="28" w:type="dxa"/>
              <w:bottom w:w="102" w:type="dxa"/>
              <w:right w:w="28" w:type="dxa"/>
            </w:tcMar>
            <w:vAlign w:val="center"/>
          </w:tcPr>
          <w:p w14:paraId="7D6769C0" w14:textId="77777777" w:rsidR="004A0123" w:rsidRPr="000D3D0C" w:rsidRDefault="004A0123" w:rsidP="008A5C11">
            <w:pPr>
              <w:jc w:val="center"/>
              <w:rPr>
                <w:color w:val="000000"/>
                <w:sz w:val="16"/>
                <w:szCs w:val="16"/>
              </w:rPr>
            </w:pPr>
            <w:r w:rsidRPr="000D3D0C">
              <w:rPr>
                <w:color w:val="000000"/>
                <w:sz w:val="16"/>
                <w:szCs w:val="16"/>
              </w:rPr>
              <w:t>Котельная Диспансер</w:t>
            </w:r>
          </w:p>
        </w:tc>
        <w:tc>
          <w:tcPr>
            <w:tcW w:w="196" w:type="pct"/>
            <w:shd w:val="clear" w:color="auto" w:fill="auto"/>
            <w:tcMar>
              <w:left w:w="28" w:type="dxa"/>
              <w:right w:w="28" w:type="dxa"/>
            </w:tcMar>
            <w:vAlign w:val="center"/>
          </w:tcPr>
          <w:p w14:paraId="0350EE8E" w14:textId="77777777" w:rsidR="004A0123" w:rsidRPr="000D3D0C" w:rsidRDefault="004A0123" w:rsidP="008A5C11">
            <w:pPr>
              <w:jc w:val="center"/>
              <w:rPr>
                <w:color w:val="000000"/>
                <w:sz w:val="16"/>
                <w:szCs w:val="16"/>
              </w:rPr>
            </w:pPr>
            <w:r w:rsidRPr="000D3D0C">
              <w:rPr>
                <w:color w:val="000000"/>
                <w:sz w:val="16"/>
                <w:szCs w:val="16"/>
              </w:rPr>
              <w:t>56</w:t>
            </w:r>
          </w:p>
        </w:tc>
        <w:tc>
          <w:tcPr>
            <w:tcW w:w="222" w:type="pct"/>
            <w:shd w:val="clear" w:color="auto" w:fill="auto"/>
            <w:tcMar>
              <w:left w:w="28" w:type="dxa"/>
              <w:right w:w="28" w:type="dxa"/>
            </w:tcMar>
            <w:vAlign w:val="center"/>
          </w:tcPr>
          <w:p w14:paraId="52DC5E2E" w14:textId="77777777" w:rsidR="004A0123" w:rsidRPr="000D3D0C" w:rsidRDefault="004A0123" w:rsidP="008A5C11">
            <w:pPr>
              <w:jc w:val="center"/>
              <w:rPr>
                <w:color w:val="000000"/>
                <w:sz w:val="16"/>
                <w:szCs w:val="16"/>
              </w:rPr>
            </w:pPr>
            <w:r w:rsidRPr="000D3D0C">
              <w:rPr>
                <w:color w:val="000000"/>
                <w:sz w:val="16"/>
                <w:szCs w:val="16"/>
              </w:rPr>
              <w:t>56</w:t>
            </w:r>
          </w:p>
        </w:tc>
        <w:tc>
          <w:tcPr>
            <w:tcW w:w="179" w:type="pct"/>
            <w:shd w:val="clear" w:color="auto" w:fill="auto"/>
            <w:tcMar>
              <w:left w:w="28" w:type="dxa"/>
              <w:right w:w="28" w:type="dxa"/>
            </w:tcMar>
            <w:vAlign w:val="center"/>
          </w:tcPr>
          <w:p w14:paraId="6B15E513" w14:textId="77777777" w:rsidR="004A0123" w:rsidRPr="000D3D0C" w:rsidRDefault="004A0123" w:rsidP="008A5C11">
            <w:pPr>
              <w:jc w:val="center"/>
              <w:rPr>
                <w:color w:val="000000"/>
                <w:sz w:val="16"/>
                <w:szCs w:val="16"/>
              </w:rPr>
            </w:pPr>
            <w:r w:rsidRPr="000D3D0C">
              <w:rPr>
                <w:color w:val="000000"/>
                <w:sz w:val="16"/>
                <w:szCs w:val="16"/>
              </w:rPr>
              <w:t>56</w:t>
            </w:r>
          </w:p>
        </w:tc>
        <w:tc>
          <w:tcPr>
            <w:tcW w:w="175" w:type="pct"/>
            <w:shd w:val="clear" w:color="auto" w:fill="auto"/>
            <w:tcMar>
              <w:left w:w="28" w:type="dxa"/>
              <w:right w:w="28" w:type="dxa"/>
            </w:tcMar>
            <w:vAlign w:val="center"/>
          </w:tcPr>
          <w:p w14:paraId="4201FCFE" w14:textId="77777777" w:rsidR="004A0123" w:rsidRPr="000D3D0C" w:rsidRDefault="004A0123" w:rsidP="008A5C11">
            <w:pPr>
              <w:jc w:val="center"/>
              <w:rPr>
                <w:color w:val="000000"/>
                <w:sz w:val="16"/>
                <w:szCs w:val="16"/>
              </w:rPr>
            </w:pPr>
            <w:r w:rsidRPr="000D3D0C">
              <w:rPr>
                <w:color w:val="000000"/>
                <w:sz w:val="16"/>
                <w:szCs w:val="16"/>
              </w:rPr>
              <w:t>56</w:t>
            </w:r>
          </w:p>
        </w:tc>
        <w:tc>
          <w:tcPr>
            <w:tcW w:w="204" w:type="pct"/>
            <w:shd w:val="clear" w:color="auto" w:fill="auto"/>
            <w:vAlign w:val="center"/>
          </w:tcPr>
          <w:p w14:paraId="6153761C" w14:textId="77777777" w:rsidR="004A0123" w:rsidRPr="000D3D0C" w:rsidRDefault="004A0123" w:rsidP="008A5C11">
            <w:pPr>
              <w:jc w:val="center"/>
              <w:rPr>
                <w:color w:val="000000"/>
                <w:sz w:val="16"/>
                <w:szCs w:val="16"/>
              </w:rPr>
            </w:pPr>
            <w:r w:rsidRPr="000D3D0C">
              <w:rPr>
                <w:color w:val="000000"/>
                <w:sz w:val="16"/>
                <w:szCs w:val="16"/>
              </w:rPr>
              <w:t>56</w:t>
            </w:r>
          </w:p>
        </w:tc>
        <w:tc>
          <w:tcPr>
            <w:tcW w:w="187" w:type="pct"/>
            <w:shd w:val="clear" w:color="auto" w:fill="auto"/>
            <w:vAlign w:val="center"/>
          </w:tcPr>
          <w:p w14:paraId="59E70835" w14:textId="77777777" w:rsidR="004A0123" w:rsidRPr="000D3D0C" w:rsidRDefault="004A0123" w:rsidP="008A5C11">
            <w:pPr>
              <w:jc w:val="center"/>
              <w:rPr>
                <w:color w:val="000000"/>
                <w:sz w:val="16"/>
                <w:szCs w:val="16"/>
              </w:rPr>
            </w:pPr>
            <w:r w:rsidRPr="000D3D0C">
              <w:rPr>
                <w:color w:val="000000"/>
                <w:sz w:val="16"/>
                <w:szCs w:val="16"/>
              </w:rPr>
              <w:t>56</w:t>
            </w:r>
          </w:p>
        </w:tc>
        <w:tc>
          <w:tcPr>
            <w:tcW w:w="229" w:type="pct"/>
            <w:shd w:val="clear" w:color="auto" w:fill="auto"/>
            <w:tcMar>
              <w:left w:w="28" w:type="dxa"/>
              <w:right w:w="28" w:type="dxa"/>
            </w:tcMar>
            <w:vAlign w:val="center"/>
          </w:tcPr>
          <w:p w14:paraId="0F32B2A6" w14:textId="77777777" w:rsidR="004A0123" w:rsidRPr="000D3D0C" w:rsidRDefault="004A0123" w:rsidP="008A5C11">
            <w:pPr>
              <w:jc w:val="center"/>
              <w:rPr>
                <w:color w:val="000000"/>
                <w:sz w:val="16"/>
                <w:szCs w:val="16"/>
              </w:rPr>
            </w:pPr>
            <w:r w:rsidRPr="000D3D0C">
              <w:rPr>
                <w:color w:val="000000"/>
                <w:sz w:val="16"/>
                <w:szCs w:val="16"/>
              </w:rPr>
              <w:t>56</w:t>
            </w:r>
          </w:p>
        </w:tc>
        <w:tc>
          <w:tcPr>
            <w:tcW w:w="189" w:type="pct"/>
            <w:shd w:val="clear" w:color="auto" w:fill="auto"/>
            <w:tcMar>
              <w:left w:w="28" w:type="dxa"/>
              <w:right w:w="28" w:type="dxa"/>
            </w:tcMar>
            <w:vAlign w:val="center"/>
          </w:tcPr>
          <w:p w14:paraId="26FC322B" w14:textId="77777777" w:rsidR="004A0123" w:rsidRPr="000D3D0C" w:rsidRDefault="004A0123" w:rsidP="008A5C11">
            <w:pPr>
              <w:jc w:val="center"/>
              <w:rPr>
                <w:color w:val="000000"/>
                <w:sz w:val="16"/>
                <w:szCs w:val="16"/>
              </w:rPr>
            </w:pPr>
            <w:r w:rsidRPr="000D3D0C">
              <w:rPr>
                <w:color w:val="000000"/>
                <w:sz w:val="16"/>
                <w:szCs w:val="16"/>
              </w:rPr>
              <w:t>56</w:t>
            </w:r>
          </w:p>
        </w:tc>
        <w:tc>
          <w:tcPr>
            <w:tcW w:w="221" w:type="pct"/>
            <w:shd w:val="clear" w:color="auto" w:fill="auto"/>
            <w:tcMar>
              <w:left w:w="28" w:type="dxa"/>
              <w:right w:w="28" w:type="dxa"/>
            </w:tcMar>
            <w:vAlign w:val="center"/>
          </w:tcPr>
          <w:p w14:paraId="341D6760" w14:textId="77777777" w:rsidR="004A0123" w:rsidRPr="000D3D0C" w:rsidRDefault="004A0123" w:rsidP="008A5C11">
            <w:pPr>
              <w:jc w:val="center"/>
              <w:rPr>
                <w:color w:val="000000"/>
                <w:sz w:val="16"/>
                <w:szCs w:val="16"/>
              </w:rPr>
            </w:pPr>
            <w:r w:rsidRPr="000D3D0C">
              <w:rPr>
                <w:color w:val="000000"/>
                <w:sz w:val="16"/>
                <w:szCs w:val="16"/>
              </w:rPr>
              <w:t>56</w:t>
            </w:r>
          </w:p>
        </w:tc>
        <w:tc>
          <w:tcPr>
            <w:tcW w:w="186" w:type="pct"/>
            <w:shd w:val="clear" w:color="auto" w:fill="auto"/>
            <w:tcMar>
              <w:left w:w="28" w:type="dxa"/>
              <w:right w:w="28" w:type="dxa"/>
            </w:tcMar>
            <w:vAlign w:val="center"/>
          </w:tcPr>
          <w:p w14:paraId="671399DA" w14:textId="77777777" w:rsidR="004A0123" w:rsidRPr="000D3D0C" w:rsidRDefault="004A0123" w:rsidP="008A5C11">
            <w:pPr>
              <w:jc w:val="center"/>
              <w:rPr>
                <w:color w:val="000000"/>
                <w:sz w:val="16"/>
                <w:szCs w:val="16"/>
              </w:rPr>
            </w:pPr>
            <w:r w:rsidRPr="000D3D0C">
              <w:rPr>
                <w:color w:val="000000"/>
                <w:sz w:val="16"/>
                <w:szCs w:val="16"/>
              </w:rPr>
              <w:t>56</w:t>
            </w:r>
          </w:p>
        </w:tc>
        <w:tc>
          <w:tcPr>
            <w:tcW w:w="241" w:type="pct"/>
            <w:shd w:val="clear" w:color="auto" w:fill="auto"/>
            <w:vAlign w:val="center"/>
          </w:tcPr>
          <w:p w14:paraId="76022113" w14:textId="77777777" w:rsidR="004A0123" w:rsidRPr="000D3D0C" w:rsidRDefault="004A0123" w:rsidP="008A5C11">
            <w:pPr>
              <w:jc w:val="center"/>
              <w:rPr>
                <w:color w:val="000000"/>
                <w:sz w:val="16"/>
                <w:szCs w:val="16"/>
              </w:rPr>
            </w:pPr>
            <w:r w:rsidRPr="000D3D0C">
              <w:rPr>
                <w:color w:val="000000"/>
                <w:sz w:val="16"/>
                <w:szCs w:val="16"/>
              </w:rPr>
              <w:t>56</w:t>
            </w:r>
          </w:p>
        </w:tc>
        <w:tc>
          <w:tcPr>
            <w:tcW w:w="209" w:type="pct"/>
            <w:shd w:val="clear" w:color="auto" w:fill="auto"/>
            <w:tcMar>
              <w:left w:w="28" w:type="dxa"/>
              <w:right w:w="28" w:type="dxa"/>
            </w:tcMar>
            <w:vAlign w:val="center"/>
          </w:tcPr>
          <w:p w14:paraId="4ABBD0C9" w14:textId="77777777" w:rsidR="004A0123" w:rsidRPr="000D3D0C" w:rsidRDefault="004A0123" w:rsidP="008A5C11">
            <w:pPr>
              <w:jc w:val="center"/>
              <w:rPr>
                <w:sz w:val="16"/>
                <w:szCs w:val="16"/>
              </w:rPr>
            </w:pPr>
            <w:r w:rsidRPr="000D3D0C">
              <w:rPr>
                <w:sz w:val="16"/>
                <w:szCs w:val="16"/>
              </w:rPr>
              <w:t>34</w:t>
            </w:r>
          </w:p>
        </w:tc>
        <w:tc>
          <w:tcPr>
            <w:tcW w:w="179" w:type="pct"/>
            <w:shd w:val="clear" w:color="auto" w:fill="auto"/>
            <w:tcMar>
              <w:left w:w="28" w:type="dxa"/>
              <w:right w:w="28" w:type="dxa"/>
            </w:tcMar>
            <w:vAlign w:val="center"/>
          </w:tcPr>
          <w:p w14:paraId="224584AA" w14:textId="77777777" w:rsidR="004A0123" w:rsidRPr="000D3D0C" w:rsidRDefault="004A0123" w:rsidP="008A5C11">
            <w:pPr>
              <w:jc w:val="center"/>
              <w:rPr>
                <w:sz w:val="16"/>
                <w:szCs w:val="16"/>
              </w:rPr>
            </w:pPr>
            <w:r w:rsidRPr="000D3D0C">
              <w:rPr>
                <w:sz w:val="16"/>
                <w:szCs w:val="16"/>
              </w:rPr>
              <w:t>34</w:t>
            </w:r>
          </w:p>
        </w:tc>
        <w:tc>
          <w:tcPr>
            <w:tcW w:w="197" w:type="pct"/>
            <w:shd w:val="clear" w:color="auto" w:fill="auto"/>
            <w:tcMar>
              <w:left w:w="28" w:type="dxa"/>
              <w:right w:w="28" w:type="dxa"/>
            </w:tcMar>
            <w:vAlign w:val="center"/>
          </w:tcPr>
          <w:p w14:paraId="5FFF38D6" w14:textId="77777777" w:rsidR="004A0123" w:rsidRPr="000D3D0C" w:rsidRDefault="004A0123" w:rsidP="008A5C11">
            <w:pPr>
              <w:jc w:val="center"/>
              <w:rPr>
                <w:sz w:val="16"/>
                <w:szCs w:val="16"/>
              </w:rPr>
            </w:pPr>
            <w:r w:rsidRPr="000D3D0C">
              <w:rPr>
                <w:sz w:val="16"/>
                <w:szCs w:val="16"/>
              </w:rPr>
              <w:t>34</w:t>
            </w:r>
          </w:p>
        </w:tc>
        <w:tc>
          <w:tcPr>
            <w:tcW w:w="198" w:type="pct"/>
            <w:shd w:val="clear" w:color="auto" w:fill="auto"/>
            <w:tcMar>
              <w:left w:w="28" w:type="dxa"/>
              <w:right w:w="28" w:type="dxa"/>
            </w:tcMar>
            <w:vAlign w:val="center"/>
          </w:tcPr>
          <w:p w14:paraId="5D3443BB" w14:textId="77777777" w:rsidR="004A0123" w:rsidRPr="000D3D0C" w:rsidRDefault="004A0123" w:rsidP="008A5C11">
            <w:pPr>
              <w:jc w:val="center"/>
              <w:rPr>
                <w:sz w:val="16"/>
                <w:szCs w:val="16"/>
              </w:rPr>
            </w:pPr>
            <w:r w:rsidRPr="000D3D0C">
              <w:rPr>
                <w:sz w:val="16"/>
                <w:szCs w:val="16"/>
              </w:rPr>
              <w:t>34</w:t>
            </w:r>
          </w:p>
        </w:tc>
        <w:tc>
          <w:tcPr>
            <w:tcW w:w="198" w:type="pct"/>
            <w:shd w:val="clear" w:color="auto" w:fill="auto"/>
            <w:vAlign w:val="center"/>
          </w:tcPr>
          <w:p w14:paraId="39173C8B" w14:textId="77777777" w:rsidR="004A0123" w:rsidRPr="000D3D0C" w:rsidRDefault="004A0123" w:rsidP="008A5C11">
            <w:pPr>
              <w:jc w:val="center"/>
              <w:rPr>
                <w:sz w:val="16"/>
                <w:szCs w:val="16"/>
              </w:rPr>
            </w:pPr>
            <w:r w:rsidRPr="000D3D0C">
              <w:rPr>
                <w:sz w:val="16"/>
                <w:szCs w:val="16"/>
              </w:rPr>
              <w:t>34</w:t>
            </w:r>
          </w:p>
        </w:tc>
        <w:tc>
          <w:tcPr>
            <w:tcW w:w="221" w:type="pct"/>
            <w:shd w:val="clear" w:color="auto" w:fill="auto"/>
            <w:vAlign w:val="center"/>
          </w:tcPr>
          <w:p w14:paraId="4B7A71A5" w14:textId="77777777" w:rsidR="004A0123" w:rsidRPr="000D3D0C" w:rsidRDefault="004A0123" w:rsidP="008A5C11">
            <w:pPr>
              <w:jc w:val="center"/>
              <w:rPr>
                <w:sz w:val="16"/>
                <w:szCs w:val="16"/>
              </w:rPr>
            </w:pPr>
            <w:r w:rsidRPr="000D3D0C">
              <w:rPr>
                <w:sz w:val="16"/>
                <w:szCs w:val="16"/>
              </w:rPr>
              <w:t>34</w:t>
            </w:r>
          </w:p>
        </w:tc>
        <w:tc>
          <w:tcPr>
            <w:tcW w:w="202" w:type="pct"/>
            <w:shd w:val="clear" w:color="auto" w:fill="auto"/>
            <w:tcMar>
              <w:left w:w="28" w:type="dxa"/>
              <w:right w:w="28" w:type="dxa"/>
            </w:tcMar>
            <w:vAlign w:val="center"/>
          </w:tcPr>
          <w:p w14:paraId="336695EB" w14:textId="77777777" w:rsidR="004A0123" w:rsidRPr="000D3D0C" w:rsidRDefault="004A0123" w:rsidP="008A5C11">
            <w:pPr>
              <w:jc w:val="center"/>
              <w:rPr>
                <w:sz w:val="16"/>
                <w:szCs w:val="16"/>
              </w:rPr>
            </w:pPr>
            <w:r w:rsidRPr="000D3D0C">
              <w:rPr>
                <w:sz w:val="16"/>
                <w:szCs w:val="16"/>
              </w:rPr>
              <w:t>34</w:t>
            </w:r>
          </w:p>
        </w:tc>
        <w:tc>
          <w:tcPr>
            <w:tcW w:w="196" w:type="pct"/>
            <w:shd w:val="clear" w:color="auto" w:fill="auto"/>
            <w:tcMar>
              <w:left w:w="28" w:type="dxa"/>
              <w:right w:w="28" w:type="dxa"/>
            </w:tcMar>
            <w:vAlign w:val="center"/>
          </w:tcPr>
          <w:p w14:paraId="01921D16" w14:textId="77777777" w:rsidR="004A0123" w:rsidRPr="000D3D0C" w:rsidRDefault="004A0123" w:rsidP="008A5C11">
            <w:pPr>
              <w:jc w:val="center"/>
              <w:rPr>
                <w:sz w:val="16"/>
                <w:szCs w:val="16"/>
              </w:rPr>
            </w:pPr>
            <w:r w:rsidRPr="000D3D0C">
              <w:rPr>
                <w:sz w:val="16"/>
                <w:szCs w:val="16"/>
              </w:rPr>
              <w:t>34</w:t>
            </w:r>
          </w:p>
        </w:tc>
        <w:tc>
          <w:tcPr>
            <w:tcW w:w="200" w:type="pct"/>
            <w:shd w:val="clear" w:color="auto" w:fill="auto"/>
            <w:tcMar>
              <w:left w:w="28" w:type="dxa"/>
              <w:right w:w="28" w:type="dxa"/>
            </w:tcMar>
            <w:vAlign w:val="center"/>
          </w:tcPr>
          <w:p w14:paraId="5D7277C2" w14:textId="77777777" w:rsidR="004A0123" w:rsidRPr="000D3D0C" w:rsidRDefault="004A0123" w:rsidP="008A5C11">
            <w:pPr>
              <w:jc w:val="center"/>
              <w:rPr>
                <w:sz w:val="16"/>
                <w:szCs w:val="16"/>
              </w:rPr>
            </w:pPr>
            <w:r w:rsidRPr="000D3D0C">
              <w:rPr>
                <w:sz w:val="16"/>
                <w:szCs w:val="16"/>
              </w:rPr>
              <w:t>34</w:t>
            </w:r>
          </w:p>
        </w:tc>
        <w:tc>
          <w:tcPr>
            <w:tcW w:w="190" w:type="pct"/>
            <w:shd w:val="clear" w:color="auto" w:fill="auto"/>
            <w:tcMar>
              <w:left w:w="28" w:type="dxa"/>
              <w:right w:w="28" w:type="dxa"/>
            </w:tcMar>
            <w:vAlign w:val="center"/>
          </w:tcPr>
          <w:p w14:paraId="0B69321C" w14:textId="77777777" w:rsidR="004A0123" w:rsidRPr="000D3D0C" w:rsidRDefault="004A0123" w:rsidP="008A5C11">
            <w:pPr>
              <w:jc w:val="center"/>
              <w:rPr>
                <w:sz w:val="16"/>
                <w:szCs w:val="16"/>
              </w:rPr>
            </w:pPr>
            <w:r w:rsidRPr="000D3D0C">
              <w:rPr>
                <w:sz w:val="16"/>
                <w:szCs w:val="16"/>
              </w:rPr>
              <w:t>34</w:t>
            </w:r>
          </w:p>
        </w:tc>
        <w:tc>
          <w:tcPr>
            <w:tcW w:w="213" w:type="pct"/>
            <w:shd w:val="clear" w:color="auto" w:fill="auto"/>
            <w:vAlign w:val="center"/>
          </w:tcPr>
          <w:p w14:paraId="5DB418F0" w14:textId="77777777" w:rsidR="004A0123" w:rsidRPr="000D3D0C" w:rsidRDefault="004A0123" w:rsidP="008A5C11">
            <w:pPr>
              <w:jc w:val="center"/>
              <w:rPr>
                <w:sz w:val="16"/>
                <w:szCs w:val="16"/>
              </w:rPr>
            </w:pPr>
            <w:r w:rsidRPr="000D3D0C">
              <w:rPr>
                <w:sz w:val="16"/>
                <w:szCs w:val="16"/>
              </w:rPr>
              <w:t>34</w:t>
            </w:r>
          </w:p>
        </w:tc>
      </w:tr>
      <w:tr w:rsidR="004A0123" w:rsidRPr="000D3D0C" w14:paraId="7277D1A9" w14:textId="77777777" w:rsidTr="008A5C11">
        <w:trPr>
          <w:trHeight w:val="24"/>
          <w:jc w:val="center"/>
        </w:trPr>
        <w:tc>
          <w:tcPr>
            <w:tcW w:w="568" w:type="pct"/>
            <w:gridSpan w:val="2"/>
            <w:tcMar>
              <w:top w:w="62" w:type="dxa"/>
              <w:left w:w="28" w:type="dxa"/>
              <w:bottom w:w="102" w:type="dxa"/>
              <w:right w:w="28" w:type="dxa"/>
            </w:tcMar>
            <w:vAlign w:val="center"/>
          </w:tcPr>
          <w:p w14:paraId="2CB7AEA7" w14:textId="77777777" w:rsidR="004A0123" w:rsidRPr="000D3D0C" w:rsidRDefault="004A0123" w:rsidP="008A5C11">
            <w:pPr>
              <w:jc w:val="center"/>
              <w:rPr>
                <w:sz w:val="13"/>
                <w:szCs w:val="13"/>
              </w:rPr>
            </w:pPr>
            <w:r w:rsidRPr="000D3D0C">
              <w:rPr>
                <w:sz w:val="13"/>
                <w:szCs w:val="13"/>
              </w:rPr>
              <w:t>Итого:</w:t>
            </w:r>
          </w:p>
        </w:tc>
        <w:tc>
          <w:tcPr>
            <w:tcW w:w="196" w:type="pct"/>
            <w:shd w:val="clear" w:color="auto" w:fill="auto"/>
            <w:tcMar>
              <w:left w:w="28" w:type="dxa"/>
              <w:right w:w="28" w:type="dxa"/>
            </w:tcMar>
            <w:vAlign w:val="center"/>
          </w:tcPr>
          <w:p w14:paraId="1DB412FD" w14:textId="77777777" w:rsidR="004A0123" w:rsidRPr="000D3D0C" w:rsidRDefault="004A0123" w:rsidP="008A5C11">
            <w:pPr>
              <w:jc w:val="center"/>
              <w:rPr>
                <w:color w:val="000000"/>
                <w:sz w:val="16"/>
                <w:szCs w:val="16"/>
              </w:rPr>
            </w:pPr>
            <w:r w:rsidRPr="000D3D0C">
              <w:rPr>
                <w:color w:val="000000"/>
                <w:sz w:val="16"/>
                <w:szCs w:val="16"/>
              </w:rPr>
              <w:t>15 057</w:t>
            </w:r>
          </w:p>
        </w:tc>
        <w:tc>
          <w:tcPr>
            <w:tcW w:w="222" w:type="pct"/>
            <w:shd w:val="clear" w:color="auto" w:fill="auto"/>
            <w:tcMar>
              <w:left w:w="28" w:type="dxa"/>
              <w:right w:w="28" w:type="dxa"/>
            </w:tcMar>
            <w:vAlign w:val="center"/>
          </w:tcPr>
          <w:p w14:paraId="204930FB" w14:textId="77777777" w:rsidR="004A0123" w:rsidRPr="000D3D0C" w:rsidRDefault="004A0123" w:rsidP="008A5C11">
            <w:pPr>
              <w:jc w:val="center"/>
              <w:rPr>
                <w:color w:val="000000"/>
                <w:sz w:val="16"/>
                <w:szCs w:val="16"/>
              </w:rPr>
            </w:pPr>
            <w:r w:rsidRPr="000D3D0C">
              <w:rPr>
                <w:color w:val="000000"/>
                <w:sz w:val="16"/>
                <w:szCs w:val="16"/>
              </w:rPr>
              <w:t>15 057</w:t>
            </w:r>
          </w:p>
        </w:tc>
        <w:tc>
          <w:tcPr>
            <w:tcW w:w="179" w:type="pct"/>
            <w:shd w:val="clear" w:color="auto" w:fill="auto"/>
            <w:tcMar>
              <w:left w:w="28" w:type="dxa"/>
              <w:right w:w="28" w:type="dxa"/>
            </w:tcMar>
            <w:vAlign w:val="center"/>
          </w:tcPr>
          <w:p w14:paraId="32E8C216" w14:textId="77777777" w:rsidR="004A0123" w:rsidRPr="000D3D0C" w:rsidRDefault="004A0123" w:rsidP="008A5C11">
            <w:pPr>
              <w:jc w:val="center"/>
              <w:rPr>
                <w:color w:val="000000"/>
                <w:sz w:val="16"/>
                <w:szCs w:val="16"/>
              </w:rPr>
            </w:pPr>
            <w:r w:rsidRPr="000D3D0C">
              <w:rPr>
                <w:color w:val="000000"/>
                <w:sz w:val="16"/>
                <w:szCs w:val="16"/>
              </w:rPr>
              <w:t>15 057</w:t>
            </w:r>
          </w:p>
        </w:tc>
        <w:tc>
          <w:tcPr>
            <w:tcW w:w="175" w:type="pct"/>
            <w:shd w:val="clear" w:color="auto" w:fill="auto"/>
            <w:tcMar>
              <w:left w:w="28" w:type="dxa"/>
              <w:right w:w="28" w:type="dxa"/>
            </w:tcMar>
            <w:vAlign w:val="center"/>
          </w:tcPr>
          <w:p w14:paraId="266A829C" w14:textId="77777777" w:rsidR="004A0123" w:rsidRPr="000D3D0C" w:rsidRDefault="004A0123" w:rsidP="008A5C11">
            <w:pPr>
              <w:jc w:val="center"/>
              <w:rPr>
                <w:color w:val="000000"/>
                <w:sz w:val="16"/>
                <w:szCs w:val="16"/>
              </w:rPr>
            </w:pPr>
            <w:r w:rsidRPr="000D3D0C">
              <w:rPr>
                <w:color w:val="000000"/>
                <w:sz w:val="16"/>
                <w:szCs w:val="16"/>
              </w:rPr>
              <w:t>15 057</w:t>
            </w:r>
          </w:p>
        </w:tc>
        <w:tc>
          <w:tcPr>
            <w:tcW w:w="204" w:type="pct"/>
            <w:shd w:val="clear" w:color="auto" w:fill="auto"/>
            <w:vAlign w:val="center"/>
          </w:tcPr>
          <w:p w14:paraId="5F21727C" w14:textId="77777777" w:rsidR="004A0123" w:rsidRPr="000D3D0C" w:rsidRDefault="004A0123" w:rsidP="008A5C11">
            <w:pPr>
              <w:jc w:val="center"/>
              <w:rPr>
                <w:color w:val="000000"/>
                <w:sz w:val="16"/>
                <w:szCs w:val="16"/>
              </w:rPr>
            </w:pPr>
            <w:r w:rsidRPr="000D3D0C">
              <w:rPr>
                <w:color w:val="000000"/>
                <w:sz w:val="16"/>
                <w:szCs w:val="16"/>
              </w:rPr>
              <w:t>15 057</w:t>
            </w:r>
          </w:p>
        </w:tc>
        <w:tc>
          <w:tcPr>
            <w:tcW w:w="187" w:type="pct"/>
            <w:shd w:val="clear" w:color="auto" w:fill="auto"/>
            <w:vAlign w:val="center"/>
          </w:tcPr>
          <w:p w14:paraId="2131FAC1" w14:textId="77777777" w:rsidR="004A0123" w:rsidRPr="000D3D0C" w:rsidRDefault="004A0123" w:rsidP="008A5C11">
            <w:pPr>
              <w:jc w:val="center"/>
              <w:rPr>
                <w:color w:val="000000"/>
                <w:sz w:val="16"/>
                <w:szCs w:val="16"/>
              </w:rPr>
            </w:pPr>
            <w:r w:rsidRPr="000D3D0C">
              <w:rPr>
                <w:color w:val="000000"/>
                <w:sz w:val="16"/>
                <w:szCs w:val="16"/>
              </w:rPr>
              <w:t>15 057</w:t>
            </w:r>
          </w:p>
        </w:tc>
        <w:tc>
          <w:tcPr>
            <w:tcW w:w="229" w:type="pct"/>
            <w:shd w:val="clear" w:color="auto" w:fill="auto"/>
            <w:tcMar>
              <w:left w:w="28" w:type="dxa"/>
              <w:right w:w="28" w:type="dxa"/>
            </w:tcMar>
            <w:vAlign w:val="center"/>
          </w:tcPr>
          <w:p w14:paraId="156D93AF" w14:textId="77777777" w:rsidR="004A0123" w:rsidRPr="000D3D0C" w:rsidRDefault="004A0123" w:rsidP="008A5C11">
            <w:pPr>
              <w:jc w:val="center"/>
              <w:rPr>
                <w:color w:val="000000"/>
                <w:sz w:val="16"/>
                <w:szCs w:val="16"/>
              </w:rPr>
            </w:pPr>
            <w:r w:rsidRPr="000D3D0C">
              <w:rPr>
                <w:color w:val="000000"/>
                <w:sz w:val="16"/>
                <w:szCs w:val="16"/>
              </w:rPr>
              <w:t>15 057</w:t>
            </w:r>
          </w:p>
        </w:tc>
        <w:tc>
          <w:tcPr>
            <w:tcW w:w="189" w:type="pct"/>
            <w:shd w:val="clear" w:color="auto" w:fill="auto"/>
            <w:tcMar>
              <w:left w:w="28" w:type="dxa"/>
              <w:right w:w="28" w:type="dxa"/>
            </w:tcMar>
            <w:vAlign w:val="center"/>
          </w:tcPr>
          <w:p w14:paraId="27C764B0" w14:textId="77777777" w:rsidR="004A0123" w:rsidRPr="000D3D0C" w:rsidRDefault="004A0123" w:rsidP="008A5C11">
            <w:pPr>
              <w:jc w:val="center"/>
              <w:rPr>
                <w:color w:val="000000"/>
                <w:sz w:val="16"/>
                <w:szCs w:val="16"/>
              </w:rPr>
            </w:pPr>
            <w:r w:rsidRPr="000D3D0C">
              <w:rPr>
                <w:color w:val="000000"/>
                <w:sz w:val="16"/>
                <w:szCs w:val="16"/>
              </w:rPr>
              <w:t>15 057</w:t>
            </w:r>
          </w:p>
        </w:tc>
        <w:tc>
          <w:tcPr>
            <w:tcW w:w="221" w:type="pct"/>
            <w:shd w:val="clear" w:color="auto" w:fill="auto"/>
            <w:tcMar>
              <w:left w:w="28" w:type="dxa"/>
              <w:right w:w="28" w:type="dxa"/>
            </w:tcMar>
            <w:vAlign w:val="center"/>
          </w:tcPr>
          <w:p w14:paraId="276E6BB0" w14:textId="77777777" w:rsidR="004A0123" w:rsidRPr="000D3D0C" w:rsidRDefault="004A0123" w:rsidP="008A5C11">
            <w:pPr>
              <w:jc w:val="center"/>
              <w:rPr>
                <w:color w:val="000000"/>
                <w:sz w:val="16"/>
                <w:szCs w:val="16"/>
              </w:rPr>
            </w:pPr>
            <w:r w:rsidRPr="000D3D0C">
              <w:rPr>
                <w:color w:val="000000"/>
                <w:sz w:val="16"/>
                <w:szCs w:val="16"/>
              </w:rPr>
              <w:t>15 057</w:t>
            </w:r>
          </w:p>
        </w:tc>
        <w:tc>
          <w:tcPr>
            <w:tcW w:w="186" w:type="pct"/>
            <w:shd w:val="clear" w:color="auto" w:fill="auto"/>
            <w:tcMar>
              <w:left w:w="28" w:type="dxa"/>
              <w:right w:w="28" w:type="dxa"/>
            </w:tcMar>
            <w:vAlign w:val="center"/>
          </w:tcPr>
          <w:p w14:paraId="5225F7CF" w14:textId="77777777" w:rsidR="004A0123" w:rsidRPr="000D3D0C" w:rsidRDefault="004A0123" w:rsidP="008A5C11">
            <w:pPr>
              <w:jc w:val="center"/>
              <w:rPr>
                <w:color w:val="000000"/>
                <w:sz w:val="16"/>
                <w:szCs w:val="16"/>
              </w:rPr>
            </w:pPr>
            <w:r w:rsidRPr="000D3D0C">
              <w:rPr>
                <w:color w:val="000000"/>
                <w:sz w:val="16"/>
                <w:szCs w:val="16"/>
              </w:rPr>
              <w:t>15 057</w:t>
            </w:r>
          </w:p>
        </w:tc>
        <w:tc>
          <w:tcPr>
            <w:tcW w:w="241" w:type="pct"/>
            <w:shd w:val="clear" w:color="auto" w:fill="auto"/>
            <w:vAlign w:val="center"/>
          </w:tcPr>
          <w:p w14:paraId="15A094DF" w14:textId="77777777" w:rsidR="004A0123" w:rsidRPr="000D3D0C" w:rsidRDefault="004A0123" w:rsidP="008A5C11">
            <w:pPr>
              <w:jc w:val="center"/>
              <w:rPr>
                <w:color w:val="000000"/>
                <w:sz w:val="16"/>
                <w:szCs w:val="16"/>
              </w:rPr>
            </w:pPr>
            <w:r w:rsidRPr="000D3D0C">
              <w:rPr>
                <w:color w:val="000000"/>
                <w:sz w:val="16"/>
                <w:szCs w:val="16"/>
              </w:rPr>
              <w:t>15 057</w:t>
            </w:r>
          </w:p>
        </w:tc>
        <w:tc>
          <w:tcPr>
            <w:tcW w:w="209" w:type="pct"/>
            <w:shd w:val="clear" w:color="auto" w:fill="auto"/>
            <w:tcMar>
              <w:left w:w="28" w:type="dxa"/>
              <w:right w:w="28" w:type="dxa"/>
            </w:tcMar>
            <w:vAlign w:val="center"/>
          </w:tcPr>
          <w:p w14:paraId="4C7BEC3A" w14:textId="77777777" w:rsidR="004A0123" w:rsidRPr="000D3D0C" w:rsidRDefault="004A0123" w:rsidP="008A5C11">
            <w:pPr>
              <w:jc w:val="center"/>
              <w:rPr>
                <w:color w:val="000000"/>
                <w:sz w:val="13"/>
                <w:szCs w:val="13"/>
              </w:rPr>
            </w:pPr>
            <w:r w:rsidRPr="000D3D0C">
              <w:rPr>
                <w:sz w:val="16"/>
                <w:szCs w:val="16"/>
              </w:rPr>
              <w:t>35 941</w:t>
            </w:r>
          </w:p>
        </w:tc>
        <w:tc>
          <w:tcPr>
            <w:tcW w:w="179" w:type="pct"/>
            <w:shd w:val="clear" w:color="auto" w:fill="auto"/>
            <w:tcMar>
              <w:left w:w="28" w:type="dxa"/>
              <w:right w:w="28" w:type="dxa"/>
            </w:tcMar>
            <w:vAlign w:val="center"/>
          </w:tcPr>
          <w:p w14:paraId="49225645" w14:textId="77777777" w:rsidR="004A0123" w:rsidRPr="000D3D0C" w:rsidRDefault="004A0123" w:rsidP="008A5C11">
            <w:pPr>
              <w:jc w:val="center"/>
              <w:rPr>
                <w:sz w:val="16"/>
                <w:szCs w:val="16"/>
              </w:rPr>
            </w:pPr>
            <w:r w:rsidRPr="000D3D0C">
              <w:rPr>
                <w:sz w:val="16"/>
                <w:szCs w:val="16"/>
              </w:rPr>
              <w:t>35 941</w:t>
            </w:r>
          </w:p>
        </w:tc>
        <w:tc>
          <w:tcPr>
            <w:tcW w:w="197" w:type="pct"/>
            <w:shd w:val="clear" w:color="auto" w:fill="auto"/>
            <w:tcMar>
              <w:left w:w="28" w:type="dxa"/>
              <w:right w:w="28" w:type="dxa"/>
            </w:tcMar>
            <w:vAlign w:val="center"/>
          </w:tcPr>
          <w:p w14:paraId="45546FCE" w14:textId="77777777" w:rsidR="004A0123" w:rsidRPr="000D3D0C" w:rsidRDefault="004A0123" w:rsidP="008A5C11">
            <w:pPr>
              <w:jc w:val="center"/>
              <w:rPr>
                <w:sz w:val="16"/>
                <w:szCs w:val="16"/>
              </w:rPr>
            </w:pPr>
            <w:r w:rsidRPr="000D3D0C">
              <w:rPr>
                <w:sz w:val="16"/>
                <w:szCs w:val="16"/>
              </w:rPr>
              <w:t>35 941</w:t>
            </w:r>
          </w:p>
        </w:tc>
        <w:tc>
          <w:tcPr>
            <w:tcW w:w="198" w:type="pct"/>
            <w:shd w:val="clear" w:color="auto" w:fill="auto"/>
            <w:tcMar>
              <w:left w:w="28" w:type="dxa"/>
              <w:right w:w="28" w:type="dxa"/>
            </w:tcMar>
            <w:vAlign w:val="center"/>
          </w:tcPr>
          <w:p w14:paraId="53520A66" w14:textId="77777777" w:rsidR="004A0123" w:rsidRPr="000D3D0C" w:rsidRDefault="004A0123" w:rsidP="008A5C11">
            <w:pPr>
              <w:jc w:val="center"/>
              <w:rPr>
                <w:sz w:val="16"/>
                <w:szCs w:val="16"/>
              </w:rPr>
            </w:pPr>
            <w:r w:rsidRPr="000D3D0C">
              <w:rPr>
                <w:sz w:val="16"/>
                <w:szCs w:val="16"/>
              </w:rPr>
              <w:t>35 941</w:t>
            </w:r>
          </w:p>
        </w:tc>
        <w:tc>
          <w:tcPr>
            <w:tcW w:w="198" w:type="pct"/>
            <w:shd w:val="clear" w:color="auto" w:fill="auto"/>
            <w:vAlign w:val="center"/>
          </w:tcPr>
          <w:p w14:paraId="0D65DFB9" w14:textId="77777777" w:rsidR="004A0123" w:rsidRPr="000D3D0C" w:rsidRDefault="004A0123" w:rsidP="008A5C11">
            <w:pPr>
              <w:jc w:val="center"/>
              <w:rPr>
                <w:sz w:val="16"/>
                <w:szCs w:val="16"/>
              </w:rPr>
            </w:pPr>
            <w:r w:rsidRPr="000D3D0C">
              <w:rPr>
                <w:sz w:val="16"/>
                <w:szCs w:val="16"/>
              </w:rPr>
              <w:t>35 941</w:t>
            </w:r>
          </w:p>
        </w:tc>
        <w:tc>
          <w:tcPr>
            <w:tcW w:w="221" w:type="pct"/>
            <w:shd w:val="clear" w:color="auto" w:fill="auto"/>
            <w:vAlign w:val="center"/>
          </w:tcPr>
          <w:p w14:paraId="18446891" w14:textId="77777777" w:rsidR="004A0123" w:rsidRPr="000D3D0C" w:rsidRDefault="004A0123" w:rsidP="008A5C11">
            <w:pPr>
              <w:jc w:val="center"/>
              <w:rPr>
                <w:sz w:val="16"/>
                <w:szCs w:val="16"/>
              </w:rPr>
            </w:pPr>
            <w:r w:rsidRPr="000D3D0C">
              <w:rPr>
                <w:sz w:val="16"/>
                <w:szCs w:val="16"/>
              </w:rPr>
              <w:t>35 941</w:t>
            </w:r>
          </w:p>
        </w:tc>
        <w:tc>
          <w:tcPr>
            <w:tcW w:w="202" w:type="pct"/>
            <w:shd w:val="clear" w:color="auto" w:fill="auto"/>
            <w:tcMar>
              <w:left w:w="28" w:type="dxa"/>
              <w:right w:w="28" w:type="dxa"/>
            </w:tcMar>
            <w:vAlign w:val="center"/>
          </w:tcPr>
          <w:p w14:paraId="136C4A89" w14:textId="77777777" w:rsidR="004A0123" w:rsidRPr="000D3D0C" w:rsidRDefault="004A0123" w:rsidP="008A5C11">
            <w:pPr>
              <w:jc w:val="center"/>
              <w:rPr>
                <w:sz w:val="16"/>
                <w:szCs w:val="16"/>
              </w:rPr>
            </w:pPr>
            <w:r w:rsidRPr="000D3D0C">
              <w:rPr>
                <w:sz w:val="16"/>
                <w:szCs w:val="16"/>
              </w:rPr>
              <w:t>35 941</w:t>
            </w:r>
          </w:p>
        </w:tc>
        <w:tc>
          <w:tcPr>
            <w:tcW w:w="196" w:type="pct"/>
            <w:shd w:val="clear" w:color="auto" w:fill="auto"/>
            <w:tcMar>
              <w:left w:w="28" w:type="dxa"/>
              <w:right w:w="28" w:type="dxa"/>
            </w:tcMar>
            <w:vAlign w:val="center"/>
          </w:tcPr>
          <w:p w14:paraId="3C7424AA" w14:textId="77777777" w:rsidR="004A0123" w:rsidRPr="000D3D0C" w:rsidRDefault="004A0123" w:rsidP="008A5C11">
            <w:pPr>
              <w:jc w:val="center"/>
              <w:rPr>
                <w:sz w:val="16"/>
                <w:szCs w:val="16"/>
              </w:rPr>
            </w:pPr>
            <w:r w:rsidRPr="000D3D0C">
              <w:rPr>
                <w:sz w:val="16"/>
                <w:szCs w:val="16"/>
              </w:rPr>
              <w:t>35 941</w:t>
            </w:r>
          </w:p>
        </w:tc>
        <w:tc>
          <w:tcPr>
            <w:tcW w:w="200" w:type="pct"/>
            <w:shd w:val="clear" w:color="auto" w:fill="auto"/>
            <w:tcMar>
              <w:left w:w="28" w:type="dxa"/>
              <w:right w:w="28" w:type="dxa"/>
            </w:tcMar>
            <w:vAlign w:val="center"/>
          </w:tcPr>
          <w:p w14:paraId="4EAF5EC1" w14:textId="77777777" w:rsidR="004A0123" w:rsidRPr="000D3D0C" w:rsidRDefault="004A0123" w:rsidP="008A5C11">
            <w:pPr>
              <w:jc w:val="center"/>
              <w:rPr>
                <w:sz w:val="16"/>
                <w:szCs w:val="16"/>
              </w:rPr>
            </w:pPr>
            <w:r w:rsidRPr="000D3D0C">
              <w:rPr>
                <w:sz w:val="16"/>
                <w:szCs w:val="16"/>
              </w:rPr>
              <w:t>35 941</w:t>
            </w:r>
          </w:p>
        </w:tc>
        <w:tc>
          <w:tcPr>
            <w:tcW w:w="190" w:type="pct"/>
            <w:shd w:val="clear" w:color="auto" w:fill="auto"/>
            <w:tcMar>
              <w:left w:w="28" w:type="dxa"/>
              <w:right w:w="28" w:type="dxa"/>
            </w:tcMar>
            <w:vAlign w:val="center"/>
          </w:tcPr>
          <w:p w14:paraId="38D2F984" w14:textId="77777777" w:rsidR="004A0123" w:rsidRPr="000D3D0C" w:rsidRDefault="004A0123" w:rsidP="008A5C11">
            <w:pPr>
              <w:jc w:val="center"/>
              <w:rPr>
                <w:sz w:val="16"/>
                <w:szCs w:val="16"/>
              </w:rPr>
            </w:pPr>
            <w:r w:rsidRPr="000D3D0C">
              <w:rPr>
                <w:sz w:val="16"/>
                <w:szCs w:val="16"/>
              </w:rPr>
              <w:t>35 941</w:t>
            </w:r>
          </w:p>
        </w:tc>
        <w:tc>
          <w:tcPr>
            <w:tcW w:w="213" w:type="pct"/>
            <w:shd w:val="clear" w:color="auto" w:fill="auto"/>
            <w:vAlign w:val="center"/>
          </w:tcPr>
          <w:p w14:paraId="10BB09E8" w14:textId="77777777" w:rsidR="004A0123" w:rsidRPr="000D3D0C" w:rsidRDefault="004A0123" w:rsidP="008A5C11">
            <w:pPr>
              <w:jc w:val="center"/>
              <w:rPr>
                <w:sz w:val="16"/>
                <w:szCs w:val="16"/>
              </w:rPr>
            </w:pPr>
            <w:r w:rsidRPr="000D3D0C">
              <w:rPr>
                <w:sz w:val="16"/>
                <w:szCs w:val="16"/>
              </w:rPr>
              <w:t>35 941</w:t>
            </w:r>
          </w:p>
        </w:tc>
      </w:tr>
    </w:tbl>
    <w:p w14:paraId="79B32C10" w14:textId="77777777" w:rsidR="004A0123" w:rsidRPr="000D3D0C" w:rsidRDefault="004A0123" w:rsidP="004A0123">
      <w:pPr>
        <w:rPr>
          <w:sz w:val="28"/>
          <w:szCs w:val="28"/>
        </w:rPr>
      </w:pPr>
    </w:p>
    <w:p w14:paraId="69AE62C3" w14:textId="77777777" w:rsidR="004A0123" w:rsidRPr="000D3D0C" w:rsidRDefault="004A0123" w:rsidP="004A0123">
      <w:pPr>
        <w:rPr>
          <w:sz w:val="28"/>
          <w:szCs w:val="28"/>
        </w:rPr>
        <w:sectPr w:rsidR="004A0123" w:rsidRPr="000D3D0C" w:rsidSect="00095E17">
          <w:pgSz w:w="16838" w:h="11906" w:orient="landscape" w:code="9"/>
          <w:pgMar w:top="1701" w:right="1134" w:bottom="850" w:left="1134" w:header="720" w:footer="284" w:gutter="0"/>
          <w:cols w:space="720"/>
          <w:docGrid w:linePitch="272"/>
        </w:sectPr>
      </w:pPr>
    </w:p>
    <w:p w14:paraId="620FC3E8" w14:textId="77777777" w:rsidR="004A0123" w:rsidRPr="000D3D0C" w:rsidRDefault="004A0123" w:rsidP="004A0123">
      <w:pPr>
        <w:autoSpaceDE w:val="0"/>
        <w:autoSpaceDN w:val="0"/>
        <w:adjustRightInd w:val="0"/>
        <w:jc w:val="center"/>
        <w:rPr>
          <w:b/>
          <w:bCs/>
          <w:sz w:val="28"/>
          <w:szCs w:val="28"/>
        </w:rPr>
      </w:pPr>
      <w:r w:rsidRPr="000D3D0C">
        <w:rPr>
          <w:b/>
          <w:bCs/>
          <w:sz w:val="28"/>
          <w:szCs w:val="28"/>
        </w:rPr>
        <w:t xml:space="preserve">Финансовый план в сфере теплоснабжения </w:t>
      </w:r>
      <w:r w:rsidRPr="000D3D0C">
        <w:rPr>
          <w:b/>
          <w:color w:val="000000"/>
          <w:sz w:val="28"/>
          <w:szCs w:val="28"/>
        </w:rPr>
        <w:t>ОАО «Северо-Кузбасская энергетическая компания» по узлу теплоснабжения Тайгинского городского округа на 2021 - 2030 годы</w:t>
      </w:r>
    </w:p>
    <w:p w14:paraId="11DB78CB" w14:textId="77777777" w:rsidR="004A0123" w:rsidRPr="000D3D0C" w:rsidRDefault="004A0123" w:rsidP="004A0123">
      <w:pPr>
        <w:jc w:val="center"/>
        <w:rPr>
          <w:bCs/>
          <w:color w:val="0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
        <w:gridCol w:w="2105"/>
        <w:gridCol w:w="1551"/>
        <w:gridCol w:w="1198"/>
        <w:gridCol w:w="854"/>
        <w:gridCol w:w="883"/>
        <w:gridCol w:w="895"/>
        <w:gridCol w:w="895"/>
        <w:gridCol w:w="895"/>
        <w:gridCol w:w="962"/>
        <w:gridCol w:w="962"/>
        <w:gridCol w:w="962"/>
        <w:gridCol w:w="963"/>
        <w:gridCol w:w="962"/>
      </w:tblGrid>
      <w:tr w:rsidR="004A0123" w:rsidRPr="000D3D0C" w14:paraId="6531D4FD" w14:textId="77777777" w:rsidTr="008A5C11">
        <w:trPr>
          <w:trHeight w:val="480"/>
          <w:jc w:val="center"/>
        </w:trPr>
        <w:tc>
          <w:tcPr>
            <w:tcW w:w="475" w:type="dxa"/>
            <w:vMerge w:val="restart"/>
            <w:shd w:val="clear" w:color="auto" w:fill="auto"/>
            <w:tcMar>
              <w:left w:w="28" w:type="dxa"/>
              <w:right w:w="28" w:type="dxa"/>
            </w:tcMar>
            <w:vAlign w:val="center"/>
            <w:hideMark/>
          </w:tcPr>
          <w:p w14:paraId="2BB5D199" w14:textId="77777777" w:rsidR="004A0123" w:rsidRPr="000D3D0C" w:rsidRDefault="004A0123" w:rsidP="008A5C11">
            <w:pPr>
              <w:jc w:val="center"/>
              <w:rPr>
                <w:bCs/>
                <w:sz w:val="20"/>
                <w:szCs w:val="20"/>
              </w:rPr>
            </w:pPr>
            <w:r w:rsidRPr="000D3D0C">
              <w:rPr>
                <w:bCs/>
                <w:sz w:val="20"/>
                <w:szCs w:val="20"/>
              </w:rPr>
              <w:t>№ п/п</w:t>
            </w:r>
          </w:p>
        </w:tc>
        <w:tc>
          <w:tcPr>
            <w:tcW w:w="2112" w:type="dxa"/>
            <w:vMerge w:val="restart"/>
            <w:shd w:val="clear" w:color="auto" w:fill="auto"/>
            <w:tcMar>
              <w:left w:w="28" w:type="dxa"/>
              <w:right w:w="28" w:type="dxa"/>
            </w:tcMar>
            <w:vAlign w:val="center"/>
            <w:hideMark/>
          </w:tcPr>
          <w:p w14:paraId="7936A9DA" w14:textId="77777777" w:rsidR="004A0123" w:rsidRPr="000D3D0C" w:rsidRDefault="004A0123" w:rsidP="008A5C11">
            <w:pPr>
              <w:jc w:val="center"/>
              <w:rPr>
                <w:bCs/>
                <w:sz w:val="20"/>
                <w:szCs w:val="20"/>
              </w:rPr>
            </w:pPr>
            <w:r w:rsidRPr="000D3D0C">
              <w:rPr>
                <w:bCs/>
                <w:sz w:val="20"/>
                <w:szCs w:val="20"/>
              </w:rPr>
              <w:t>Источники финансирования</w:t>
            </w:r>
          </w:p>
        </w:tc>
        <w:tc>
          <w:tcPr>
            <w:tcW w:w="12039" w:type="dxa"/>
            <w:gridSpan w:val="12"/>
            <w:tcMar>
              <w:left w:w="28" w:type="dxa"/>
              <w:right w:w="28" w:type="dxa"/>
            </w:tcMar>
          </w:tcPr>
          <w:p w14:paraId="411F1724" w14:textId="77777777" w:rsidR="004A0123" w:rsidRPr="000D3D0C" w:rsidRDefault="004A0123" w:rsidP="008A5C11">
            <w:pPr>
              <w:jc w:val="center"/>
              <w:rPr>
                <w:bCs/>
                <w:sz w:val="20"/>
                <w:szCs w:val="20"/>
              </w:rPr>
            </w:pPr>
            <w:r w:rsidRPr="000D3D0C">
              <w:rPr>
                <w:bCs/>
                <w:sz w:val="20"/>
                <w:szCs w:val="20"/>
              </w:rPr>
              <w:t>Расходы на реализацию инвестиционной программы (тыс. руб.)</w:t>
            </w:r>
          </w:p>
          <w:p w14:paraId="60C79F29" w14:textId="77777777" w:rsidR="004A0123" w:rsidRPr="000D3D0C" w:rsidRDefault="004A0123" w:rsidP="008A5C11">
            <w:pPr>
              <w:jc w:val="center"/>
              <w:rPr>
                <w:bCs/>
                <w:sz w:val="20"/>
                <w:szCs w:val="20"/>
              </w:rPr>
            </w:pPr>
            <w:r w:rsidRPr="000D3D0C">
              <w:rPr>
                <w:bCs/>
                <w:sz w:val="20"/>
                <w:szCs w:val="20"/>
              </w:rPr>
              <w:t>(без НДС)</w:t>
            </w:r>
          </w:p>
        </w:tc>
      </w:tr>
      <w:tr w:rsidR="004A0123" w:rsidRPr="000D3D0C" w14:paraId="6FE1E50F" w14:textId="77777777" w:rsidTr="008A5C11">
        <w:trPr>
          <w:trHeight w:val="379"/>
          <w:jc w:val="center"/>
        </w:trPr>
        <w:tc>
          <w:tcPr>
            <w:tcW w:w="475" w:type="dxa"/>
            <w:vMerge/>
            <w:tcMar>
              <w:left w:w="28" w:type="dxa"/>
              <w:right w:w="28" w:type="dxa"/>
            </w:tcMar>
            <w:vAlign w:val="center"/>
            <w:hideMark/>
          </w:tcPr>
          <w:p w14:paraId="43C4D9BB" w14:textId="77777777" w:rsidR="004A0123" w:rsidRPr="000D3D0C" w:rsidRDefault="004A0123" w:rsidP="008A5C11">
            <w:pPr>
              <w:rPr>
                <w:bCs/>
                <w:sz w:val="20"/>
                <w:szCs w:val="20"/>
              </w:rPr>
            </w:pPr>
          </w:p>
        </w:tc>
        <w:tc>
          <w:tcPr>
            <w:tcW w:w="2112" w:type="dxa"/>
            <w:vMerge/>
            <w:tcMar>
              <w:left w:w="28" w:type="dxa"/>
              <w:right w:w="28" w:type="dxa"/>
            </w:tcMar>
            <w:vAlign w:val="center"/>
            <w:hideMark/>
          </w:tcPr>
          <w:p w14:paraId="71E1C362" w14:textId="77777777" w:rsidR="004A0123" w:rsidRPr="000D3D0C" w:rsidRDefault="004A0123" w:rsidP="008A5C11">
            <w:pPr>
              <w:rPr>
                <w:bCs/>
                <w:sz w:val="20"/>
                <w:szCs w:val="20"/>
              </w:rPr>
            </w:pPr>
          </w:p>
        </w:tc>
        <w:tc>
          <w:tcPr>
            <w:tcW w:w="1552" w:type="dxa"/>
            <w:shd w:val="clear" w:color="auto" w:fill="auto"/>
            <w:tcMar>
              <w:left w:w="28" w:type="dxa"/>
              <w:right w:w="28" w:type="dxa"/>
            </w:tcMar>
            <w:vAlign w:val="center"/>
            <w:hideMark/>
          </w:tcPr>
          <w:p w14:paraId="7D116861" w14:textId="77777777" w:rsidR="004A0123" w:rsidRPr="000D3D0C" w:rsidRDefault="004A0123" w:rsidP="008A5C11">
            <w:pPr>
              <w:jc w:val="center"/>
              <w:rPr>
                <w:bCs/>
                <w:sz w:val="20"/>
                <w:szCs w:val="20"/>
              </w:rPr>
            </w:pPr>
            <w:r w:rsidRPr="000D3D0C">
              <w:rPr>
                <w:bCs/>
                <w:sz w:val="20"/>
                <w:szCs w:val="20"/>
              </w:rPr>
              <w:t>по видам деятельности</w:t>
            </w:r>
          </w:p>
        </w:tc>
        <w:tc>
          <w:tcPr>
            <w:tcW w:w="1206" w:type="dxa"/>
            <w:vMerge w:val="restart"/>
            <w:shd w:val="clear" w:color="auto" w:fill="auto"/>
            <w:tcMar>
              <w:left w:w="28" w:type="dxa"/>
              <w:right w:w="28" w:type="dxa"/>
            </w:tcMar>
            <w:vAlign w:val="center"/>
            <w:hideMark/>
          </w:tcPr>
          <w:p w14:paraId="1FDE5317" w14:textId="77777777" w:rsidR="004A0123" w:rsidRPr="000D3D0C" w:rsidRDefault="004A0123" w:rsidP="008A5C11">
            <w:pPr>
              <w:jc w:val="center"/>
              <w:rPr>
                <w:bCs/>
                <w:sz w:val="20"/>
                <w:szCs w:val="20"/>
              </w:rPr>
            </w:pPr>
            <w:r w:rsidRPr="000D3D0C">
              <w:rPr>
                <w:bCs/>
                <w:sz w:val="20"/>
                <w:szCs w:val="20"/>
              </w:rPr>
              <w:t>Всего</w:t>
            </w:r>
          </w:p>
        </w:tc>
        <w:tc>
          <w:tcPr>
            <w:tcW w:w="9281" w:type="dxa"/>
            <w:gridSpan w:val="10"/>
            <w:tcMar>
              <w:left w:w="28" w:type="dxa"/>
              <w:right w:w="28" w:type="dxa"/>
            </w:tcMar>
          </w:tcPr>
          <w:p w14:paraId="2F266AF4" w14:textId="77777777" w:rsidR="004A0123" w:rsidRPr="000D3D0C" w:rsidRDefault="004A0123" w:rsidP="008A5C11">
            <w:pPr>
              <w:jc w:val="center"/>
              <w:rPr>
                <w:bCs/>
                <w:sz w:val="20"/>
                <w:szCs w:val="20"/>
              </w:rPr>
            </w:pPr>
            <w:r w:rsidRPr="000D3D0C">
              <w:rPr>
                <w:bCs/>
                <w:sz w:val="20"/>
                <w:szCs w:val="20"/>
              </w:rPr>
              <w:t>в т.ч. по годам реализации</w:t>
            </w:r>
          </w:p>
        </w:tc>
      </w:tr>
      <w:tr w:rsidR="004A0123" w:rsidRPr="000D3D0C" w14:paraId="57A470EA" w14:textId="77777777" w:rsidTr="008A5C11">
        <w:trPr>
          <w:trHeight w:val="810"/>
          <w:jc w:val="center"/>
        </w:trPr>
        <w:tc>
          <w:tcPr>
            <w:tcW w:w="475" w:type="dxa"/>
            <w:vMerge/>
            <w:tcMar>
              <w:left w:w="28" w:type="dxa"/>
              <w:right w:w="28" w:type="dxa"/>
            </w:tcMar>
            <w:vAlign w:val="center"/>
            <w:hideMark/>
          </w:tcPr>
          <w:p w14:paraId="481D6929" w14:textId="77777777" w:rsidR="004A0123" w:rsidRPr="000D3D0C" w:rsidRDefault="004A0123" w:rsidP="008A5C11">
            <w:pPr>
              <w:rPr>
                <w:bCs/>
                <w:sz w:val="20"/>
                <w:szCs w:val="20"/>
              </w:rPr>
            </w:pPr>
          </w:p>
        </w:tc>
        <w:tc>
          <w:tcPr>
            <w:tcW w:w="2112" w:type="dxa"/>
            <w:vMerge/>
            <w:tcMar>
              <w:left w:w="28" w:type="dxa"/>
              <w:right w:w="28" w:type="dxa"/>
            </w:tcMar>
            <w:vAlign w:val="center"/>
            <w:hideMark/>
          </w:tcPr>
          <w:p w14:paraId="2B581559" w14:textId="77777777" w:rsidR="004A0123" w:rsidRPr="000D3D0C" w:rsidRDefault="004A0123" w:rsidP="008A5C11">
            <w:pPr>
              <w:rPr>
                <w:bCs/>
                <w:sz w:val="20"/>
                <w:szCs w:val="20"/>
              </w:rPr>
            </w:pPr>
          </w:p>
        </w:tc>
        <w:tc>
          <w:tcPr>
            <w:tcW w:w="1552" w:type="dxa"/>
            <w:shd w:val="clear" w:color="auto" w:fill="auto"/>
            <w:tcMar>
              <w:left w:w="28" w:type="dxa"/>
              <w:right w:w="28" w:type="dxa"/>
            </w:tcMar>
            <w:vAlign w:val="center"/>
            <w:hideMark/>
          </w:tcPr>
          <w:p w14:paraId="6D37CDCC" w14:textId="77777777" w:rsidR="004A0123" w:rsidRPr="000D3D0C" w:rsidRDefault="004A0123" w:rsidP="008A5C11">
            <w:pPr>
              <w:jc w:val="center"/>
              <w:rPr>
                <w:bCs/>
                <w:iCs/>
                <w:sz w:val="20"/>
                <w:szCs w:val="20"/>
              </w:rPr>
            </w:pPr>
            <w:r w:rsidRPr="000D3D0C">
              <w:rPr>
                <w:bCs/>
                <w:iCs/>
                <w:sz w:val="20"/>
                <w:szCs w:val="20"/>
              </w:rPr>
              <w:t>теплоснабжение</w:t>
            </w:r>
          </w:p>
        </w:tc>
        <w:tc>
          <w:tcPr>
            <w:tcW w:w="1206" w:type="dxa"/>
            <w:vMerge/>
            <w:tcMar>
              <w:left w:w="28" w:type="dxa"/>
              <w:right w:w="28" w:type="dxa"/>
            </w:tcMar>
            <w:vAlign w:val="center"/>
            <w:hideMark/>
          </w:tcPr>
          <w:p w14:paraId="10DEFC7B" w14:textId="77777777" w:rsidR="004A0123" w:rsidRPr="000D3D0C" w:rsidRDefault="004A0123" w:rsidP="008A5C11">
            <w:pPr>
              <w:rPr>
                <w:bCs/>
                <w:sz w:val="20"/>
                <w:szCs w:val="20"/>
              </w:rPr>
            </w:pPr>
          </w:p>
        </w:tc>
        <w:tc>
          <w:tcPr>
            <w:tcW w:w="859" w:type="dxa"/>
            <w:tcMar>
              <w:left w:w="28" w:type="dxa"/>
              <w:right w:w="28" w:type="dxa"/>
            </w:tcMar>
            <w:vAlign w:val="center"/>
          </w:tcPr>
          <w:p w14:paraId="5588A76A" w14:textId="77777777" w:rsidR="004A0123" w:rsidRPr="000D3D0C" w:rsidRDefault="004A0123" w:rsidP="008A5C11">
            <w:pPr>
              <w:jc w:val="center"/>
              <w:rPr>
                <w:bCs/>
                <w:color w:val="000000"/>
                <w:sz w:val="20"/>
                <w:szCs w:val="20"/>
                <w:lang w:val="en-US"/>
              </w:rPr>
            </w:pPr>
            <w:r w:rsidRPr="000D3D0C">
              <w:rPr>
                <w:bCs/>
                <w:color w:val="000000"/>
                <w:sz w:val="20"/>
                <w:szCs w:val="20"/>
                <w:lang w:val="en-US"/>
              </w:rPr>
              <w:t>2021</w:t>
            </w:r>
          </w:p>
        </w:tc>
        <w:tc>
          <w:tcPr>
            <w:tcW w:w="889" w:type="dxa"/>
            <w:tcMar>
              <w:left w:w="28" w:type="dxa"/>
              <w:right w:w="28" w:type="dxa"/>
            </w:tcMar>
            <w:vAlign w:val="center"/>
          </w:tcPr>
          <w:p w14:paraId="768B7834" w14:textId="77777777" w:rsidR="004A0123" w:rsidRPr="000D3D0C" w:rsidRDefault="004A0123" w:rsidP="008A5C11">
            <w:pPr>
              <w:jc w:val="center"/>
              <w:rPr>
                <w:bCs/>
                <w:color w:val="000000"/>
                <w:sz w:val="20"/>
                <w:szCs w:val="20"/>
                <w:lang w:val="en-US"/>
              </w:rPr>
            </w:pPr>
            <w:r w:rsidRPr="000D3D0C">
              <w:rPr>
                <w:bCs/>
                <w:color w:val="000000"/>
                <w:sz w:val="20"/>
                <w:szCs w:val="20"/>
                <w:lang w:val="en-US"/>
              </w:rPr>
              <w:t>2022</w:t>
            </w:r>
          </w:p>
        </w:tc>
        <w:tc>
          <w:tcPr>
            <w:tcW w:w="901" w:type="dxa"/>
            <w:tcMar>
              <w:left w:w="28" w:type="dxa"/>
              <w:right w:w="28" w:type="dxa"/>
            </w:tcMar>
            <w:vAlign w:val="center"/>
          </w:tcPr>
          <w:p w14:paraId="5F8F55E7" w14:textId="77777777" w:rsidR="004A0123" w:rsidRPr="000D3D0C" w:rsidRDefault="004A0123" w:rsidP="008A5C11">
            <w:pPr>
              <w:jc w:val="center"/>
              <w:rPr>
                <w:bCs/>
                <w:color w:val="000000"/>
                <w:sz w:val="20"/>
                <w:szCs w:val="20"/>
                <w:lang w:val="en-US"/>
              </w:rPr>
            </w:pPr>
            <w:r w:rsidRPr="000D3D0C">
              <w:rPr>
                <w:bCs/>
                <w:color w:val="000000"/>
                <w:sz w:val="20"/>
                <w:szCs w:val="20"/>
                <w:lang w:val="en-US"/>
              </w:rPr>
              <w:t>2023</w:t>
            </w:r>
          </w:p>
        </w:tc>
        <w:tc>
          <w:tcPr>
            <w:tcW w:w="901" w:type="dxa"/>
            <w:tcMar>
              <w:left w:w="28" w:type="dxa"/>
              <w:right w:w="28" w:type="dxa"/>
            </w:tcMar>
            <w:vAlign w:val="center"/>
          </w:tcPr>
          <w:p w14:paraId="18DF783B" w14:textId="77777777" w:rsidR="004A0123" w:rsidRPr="000D3D0C" w:rsidRDefault="004A0123" w:rsidP="008A5C11">
            <w:pPr>
              <w:jc w:val="center"/>
              <w:rPr>
                <w:bCs/>
                <w:color w:val="000000"/>
                <w:sz w:val="20"/>
                <w:szCs w:val="20"/>
                <w:lang w:val="en-US"/>
              </w:rPr>
            </w:pPr>
            <w:r w:rsidRPr="000D3D0C">
              <w:rPr>
                <w:bCs/>
                <w:color w:val="000000"/>
                <w:sz w:val="20"/>
                <w:szCs w:val="20"/>
                <w:lang w:val="en-US"/>
              </w:rPr>
              <w:t>2024</w:t>
            </w:r>
          </w:p>
        </w:tc>
        <w:tc>
          <w:tcPr>
            <w:tcW w:w="901" w:type="dxa"/>
            <w:tcMar>
              <w:left w:w="28" w:type="dxa"/>
              <w:right w:w="28" w:type="dxa"/>
            </w:tcMar>
            <w:vAlign w:val="center"/>
          </w:tcPr>
          <w:p w14:paraId="501425D5" w14:textId="77777777" w:rsidR="004A0123" w:rsidRPr="000D3D0C" w:rsidRDefault="004A0123" w:rsidP="008A5C11">
            <w:pPr>
              <w:jc w:val="center"/>
              <w:rPr>
                <w:bCs/>
                <w:color w:val="000000"/>
                <w:sz w:val="20"/>
                <w:szCs w:val="20"/>
                <w:lang w:val="en-US"/>
              </w:rPr>
            </w:pPr>
            <w:r w:rsidRPr="000D3D0C">
              <w:rPr>
                <w:bCs/>
                <w:color w:val="000000"/>
                <w:sz w:val="20"/>
                <w:szCs w:val="20"/>
                <w:lang w:val="en-US"/>
              </w:rPr>
              <w:t>2025</w:t>
            </w:r>
          </w:p>
        </w:tc>
        <w:tc>
          <w:tcPr>
            <w:tcW w:w="966" w:type="dxa"/>
            <w:vAlign w:val="center"/>
          </w:tcPr>
          <w:p w14:paraId="2FFC3146" w14:textId="77777777" w:rsidR="004A0123" w:rsidRPr="000D3D0C" w:rsidRDefault="004A0123" w:rsidP="008A5C11">
            <w:pPr>
              <w:jc w:val="center"/>
              <w:rPr>
                <w:bCs/>
                <w:color w:val="000000"/>
                <w:sz w:val="20"/>
                <w:szCs w:val="20"/>
                <w:lang w:val="en-US"/>
              </w:rPr>
            </w:pPr>
            <w:r w:rsidRPr="000D3D0C">
              <w:rPr>
                <w:bCs/>
                <w:color w:val="000000"/>
                <w:sz w:val="20"/>
                <w:szCs w:val="20"/>
                <w:lang w:val="en-US"/>
              </w:rPr>
              <w:t>2026</w:t>
            </w:r>
          </w:p>
        </w:tc>
        <w:tc>
          <w:tcPr>
            <w:tcW w:w="966" w:type="dxa"/>
            <w:vAlign w:val="center"/>
          </w:tcPr>
          <w:p w14:paraId="78FB1C8C" w14:textId="77777777" w:rsidR="004A0123" w:rsidRPr="000D3D0C" w:rsidRDefault="004A0123" w:rsidP="008A5C11">
            <w:pPr>
              <w:jc w:val="center"/>
              <w:rPr>
                <w:bCs/>
                <w:color w:val="000000"/>
                <w:sz w:val="20"/>
                <w:szCs w:val="20"/>
                <w:lang w:val="en-US"/>
              </w:rPr>
            </w:pPr>
            <w:r w:rsidRPr="000D3D0C">
              <w:rPr>
                <w:bCs/>
                <w:color w:val="000000"/>
                <w:sz w:val="20"/>
                <w:szCs w:val="20"/>
                <w:lang w:val="en-US"/>
              </w:rPr>
              <w:t>2027</w:t>
            </w:r>
          </w:p>
        </w:tc>
        <w:tc>
          <w:tcPr>
            <w:tcW w:w="966" w:type="dxa"/>
            <w:vAlign w:val="center"/>
          </w:tcPr>
          <w:p w14:paraId="54832A0F" w14:textId="77777777" w:rsidR="004A0123" w:rsidRPr="000D3D0C" w:rsidRDefault="004A0123" w:rsidP="008A5C11">
            <w:pPr>
              <w:jc w:val="center"/>
              <w:rPr>
                <w:bCs/>
                <w:color w:val="000000"/>
                <w:sz w:val="20"/>
                <w:szCs w:val="20"/>
                <w:lang w:val="en-US"/>
              </w:rPr>
            </w:pPr>
            <w:r w:rsidRPr="000D3D0C">
              <w:rPr>
                <w:bCs/>
                <w:color w:val="000000"/>
                <w:sz w:val="20"/>
                <w:szCs w:val="20"/>
                <w:lang w:val="en-US"/>
              </w:rPr>
              <w:t>2028</w:t>
            </w:r>
          </w:p>
        </w:tc>
        <w:tc>
          <w:tcPr>
            <w:tcW w:w="966" w:type="dxa"/>
            <w:vAlign w:val="center"/>
          </w:tcPr>
          <w:p w14:paraId="46F15D63" w14:textId="77777777" w:rsidR="004A0123" w:rsidRPr="000D3D0C" w:rsidRDefault="004A0123" w:rsidP="008A5C11">
            <w:pPr>
              <w:jc w:val="center"/>
              <w:rPr>
                <w:bCs/>
                <w:color w:val="000000"/>
                <w:sz w:val="20"/>
                <w:szCs w:val="20"/>
                <w:lang w:val="en-US"/>
              </w:rPr>
            </w:pPr>
            <w:r w:rsidRPr="000D3D0C">
              <w:rPr>
                <w:bCs/>
                <w:color w:val="000000"/>
                <w:sz w:val="20"/>
                <w:szCs w:val="20"/>
                <w:lang w:val="en-US"/>
              </w:rPr>
              <w:t>2029</w:t>
            </w:r>
          </w:p>
        </w:tc>
        <w:tc>
          <w:tcPr>
            <w:tcW w:w="966" w:type="dxa"/>
            <w:vAlign w:val="center"/>
          </w:tcPr>
          <w:p w14:paraId="349873EF" w14:textId="77777777" w:rsidR="004A0123" w:rsidRPr="000D3D0C" w:rsidRDefault="004A0123" w:rsidP="008A5C11">
            <w:pPr>
              <w:jc w:val="center"/>
              <w:rPr>
                <w:bCs/>
                <w:color w:val="000000"/>
                <w:sz w:val="20"/>
                <w:szCs w:val="20"/>
                <w:lang w:val="en-US"/>
              </w:rPr>
            </w:pPr>
            <w:r w:rsidRPr="000D3D0C">
              <w:rPr>
                <w:bCs/>
                <w:color w:val="000000"/>
                <w:sz w:val="20"/>
                <w:szCs w:val="20"/>
                <w:lang w:val="en-US"/>
              </w:rPr>
              <w:t>2030</w:t>
            </w:r>
          </w:p>
        </w:tc>
      </w:tr>
      <w:tr w:rsidR="004A0123" w:rsidRPr="000D3D0C" w14:paraId="23E0258A" w14:textId="77777777" w:rsidTr="008A5C11">
        <w:trPr>
          <w:trHeight w:val="255"/>
          <w:jc w:val="center"/>
        </w:trPr>
        <w:tc>
          <w:tcPr>
            <w:tcW w:w="475" w:type="dxa"/>
            <w:shd w:val="clear" w:color="auto" w:fill="auto"/>
            <w:tcMar>
              <w:left w:w="28" w:type="dxa"/>
              <w:right w:w="28" w:type="dxa"/>
            </w:tcMar>
            <w:vAlign w:val="center"/>
            <w:hideMark/>
          </w:tcPr>
          <w:p w14:paraId="5A8C99B9" w14:textId="77777777" w:rsidR="004A0123" w:rsidRPr="000D3D0C" w:rsidRDefault="004A0123" w:rsidP="008A5C11">
            <w:pPr>
              <w:jc w:val="center"/>
              <w:rPr>
                <w:bCs/>
                <w:sz w:val="20"/>
                <w:szCs w:val="20"/>
              </w:rPr>
            </w:pPr>
            <w:r w:rsidRPr="000D3D0C">
              <w:rPr>
                <w:bCs/>
                <w:sz w:val="20"/>
                <w:szCs w:val="20"/>
              </w:rPr>
              <w:t>1.</w:t>
            </w:r>
          </w:p>
        </w:tc>
        <w:tc>
          <w:tcPr>
            <w:tcW w:w="2112" w:type="dxa"/>
            <w:shd w:val="clear" w:color="auto" w:fill="auto"/>
            <w:tcMar>
              <w:left w:w="28" w:type="dxa"/>
              <w:right w:w="28" w:type="dxa"/>
            </w:tcMar>
            <w:vAlign w:val="center"/>
            <w:hideMark/>
          </w:tcPr>
          <w:p w14:paraId="5EF22A71" w14:textId="77777777" w:rsidR="004A0123" w:rsidRPr="000D3D0C" w:rsidRDefault="004A0123" w:rsidP="008A5C11">
            <w:pPr>
              <w:rPr>
                <w:bCs/>
                <w:sz w:val="20"/>
                <w:szCs w:val="20"/>
              </w:rPr>
            </w:pPr>
            <w:r w:rsidRPr="000D3D0C">
              <w:rPr>
                <w:bCs/>
                <w:sz w:val="20"/>
                <w:szCs w:val="20"/>
              </w:rPr>
              <w:t>Собственные средства</w:t>
            </w:r>
          </w:p>
        </w:tc>
        <w:tc>
          <w:tcPr>
            <w:tcW w:w="1552" w:type="dxa"/>
            <w:shd w:val="clear" w:color="auto" w:fill="auto"/>
            <w:tcMar>
              <w:left w:w="28" w:type="dxa"/>
              <w:right w:w="28" w:type="dxa"/>
            </w:tcMar>
            <w:vAlign w:val="center"/>
          </w:tcPr>
          <w:p w14:paraId="0B5321E5" w14:textId="77777777" w:rsidR="004A0123" w:rsidRPr="000D3D0C" w:rsidRDefault="004A0123" w:rsidP="008A5C11">
            <w:pPr>
              <w:jc w:val="center"/>
              <w:rPr>
                <w:color w:val="000000"/>
                <w:sz w:val="20"/>
                <w:szCs w:val="20"/>
              </w:rPr>
            </w:pPr>
            <w:r w:rsidRPr="000D3D0C">
              <w:rPr>
                <w:color w:val="000000"/>
                <w:sz w:val="20"/>
                <w:szCs w:val="20"/>
              </w:rPr>
              <w:t>574 985</w:t>
            </w:r>
          </w:p>
        </w:tc>
        <w:tc>
          <w:tcPr>
            <w:tcW w:w="1206" w:type="dxa"/>
            <w:shd w:val="clear" w:color="auto" w:fill="auto"/>
            <w:tcMar>
              <w:left w:w="28" w:type="dxa"/>
              <w:right w:w="28" w:type="dxa"/>
            </w:tcMar>
            <w:vAlign w:val="center"/>
          </w:tcPr>
          <w:p w14:paraId="0F4816CD" w14:textId="77777777" w:rsidR="004A0123" w:rsidRPr="000D3D0C" w:rsidRDefault="004A0123" w:rsidP="008A5C11">
            <w:pPr>
              <w:jc w:val="center"/>
              <w:rPr>
                <w:color w:val="000000"/>
                <w:sz w:val="20"/>
                <w:szCs w:val="20"/>
              </w:rPr>
            </w:pPr>
            <w:r w:rsidRPr="000D3D0C">
              <w:rPr>
                <w:color w:val="000000"/>
                <w:sz w:val="20"/>
                <w:szCs w:val="20"/>
              </w:rPr>
              <w:t>574 985</w:t>
            </w:r>
          </w:p>
        </w:tc>
        <w:tc>
          <w:tcPr>
            <w:tcW w:w="859" w:type="dxa"/>
            <w:shd w:val="clear" w:color="auto" w:fill="auto"/>
            <w:tcMar>
              <w:left w:w="28" w:type="dxa"/>
              <w:right w:w="28" w:type="dxa"/>
            </w:tcMar>
            <w:vAlign w:val="center"/>
          </w:tcPr>
          <w:p w14:paraId="5B9F6A52" w14:textId="77777777" w:rsidR="004A0123" w:rsidRPr="000D3D0C" w:rsidRDefault="004A0123" w:rsidP="008A5C11">
            <w:pPr>
              <w:jc w:val="center"/>
              <w:rPr>
                <w:color w:val="000000"/>
                <w:sz w:val="20"/>
                <w:szCs w:val="20"/>
              </w:rPr>
            </w:pPr>
            <w:r w:rsidRPr="000D3D0C">
              <w:rPr>
                <w:color w:val="000000"/>
                <w:sz w:val="20"/>
                <w:szCs w:val="20"/>
              </w:rPr>
              <w:t>9 330</w:t>
            </w:r>
          </w:p>
        </w:tc>
        <w:tc>
          <w:tcPr>
            <w:tcW w:w="889" w:type="dxa"/>
            <w:shd w:val="clear" w:color="auto" w:fill="auto"/>
            <w:tcMar>
              <w:left w:w="28" w:type="dxa"/>
              <w:right w:w="28" w:type="dxa"/>
            </w:tcMar>
            <w:vAlign w:val="center"/>
          </w:tcPr>
          <w:p w14:paraId="0DBEC04E" w14:textId="77777777" w:rsidR="004A0123" w:rsidRPr="000D3D0C" w:rsidRDefault="004A0123" w:rsidP="008A5C11">
            <w:pPr>
              <w:jc w:val="center"/>
              <w:rPr>
                <w:color w:val="000000"/>
                <w:sz w:val="20"/>
                <w:szCs w:val="20"/>
              </w:rPr>
            </w:pPr>
            <w:r w:rsidRPr="000D3D0C">
              <w:rPr>
                <w:color w:val="000000"/>
                <w:sz w:val="20"/>
                <w:szCs w:val="20"/>
              </w:rPr>
              <w:t>24 960</w:t>
            </w:r>
          </w:p>
        </w:tc>
        <w:tc>
          <w:tcPr>
            <w:tcW w:w="901" w:type="dxa"/>
            <w:shd w:val="clear" w:color="auto" w:fill="auto"/>
            <w:tcMar>
              <w:left w:w="28" w:type="dxa"/>
              <w:right w:w="28" w:type="dxa"/>
            </w:tcMar>
            <w:vAlign w:val="center"/>
          </w:tcPr>
          <w:p w14:paraId="69E4351E" w14:textId="77777777" w:rsidR="004A0123" w:rsidRPr="000D3D0C" w:rsidRDefault="004A0123" w:rsidP="008A5C11">
            <w:pPr>
              <w:jc w:val="center"/>
              <w:rPr>
                <w:color w:val="000000"/>
                <w:sz w:val="20"/>
                <w:szCs w:val="20"/>
              </w:rPr>
            </w:pPr>
            <w:r w:rsidRPr="000D3D0C">
              <w:rPr>
                <w:color w:val="000000"/>
                <w:sz w:val="20"/>
                <w:szCs w:val="20"/>
              </w:rPr>
              <w:t>28 273</w:t>
            </w:r>
          </w:p>
        </w:tc>
        <w:tc>
          <w:tcPr>
            <w:tcW w:w="901" w:type="dxa"/>
            <w:tcMar>
              <w:left w:w="28" w:type="dxa"/>
              <w:right w:w="28" w:type="dxa"/>
            </w:tcMar>
            <w:vAlign w:val="center"/>
          </w:tcPr>
          <w:p w14:paraId="72D6B65B" w14:textId="77777777" w:rsidR="004A0123" w:rsidRPr="000D3D0C" w:rsidRDefault="004A0123" w:rsidP="008A5C11">
            <w:pPr>
              <w:jc w:val="center"/>
              <w:rPr>
                <w:color w:val="000000"/>
                <w:sz w:val="20"/>
                <w:szCs w:val="20"/>
              </w:rPr>
            </w:pPr>
            <w:r w:rsidRPr="000D3D0C">
              <w:rPr>
                <w:color w:val="000000"/>
                <w:sz w:val="20"/>
                <w:szCs w:val="20"/>
              </w:rPr>
              <w:t>42 473</w:t>
            </w:r>
          </w:p>
        </w:tc>
        <w:tc>
          <w:tcPr>
            <w:tcW w:w="901" w:type="dxa"/>
            <w:tcMar>
              <w:left w:w="28" w:type="dxa"/>
              <w:right w:w="28" w:type="dxa"/>
            </w:tcMar>
            <w:vAlign w:val="center"/>
          </w:tcPr>
          <w:p w14:paraId="321EC7EE" w14:textId="77777777" w:rsidR="004A0123" w:rsidRPr="000D3D0C" w:rsidRDefault="004A0123" w:rsidP="008A5C11">
            <w:pPr>
              <w:jc w:val="center"/>
              <w:rPr>
                <w:color w:val="000000"/>
                <w:sz w:val="20"/>
                <w:szCs w:val="20"/>
              </w:rPr>
            </w:pPr>
            <w:r w:rsidRPr="000D3D0C">
              <w:rPr>
                <w:color w:val="000000"/>
                <w:sz w:val="20"/>
                <w:szCs w:val="20"/>
              </w:rPr>
              <w:t>55 009</w:t>
            </w:r>
          </w:p>
        </w:tc>
        <w:tc>
          <w:tcPr>
            <w:tcW w:w="966" w:type="dxa"/>
            <w:vAlign w:val="center"/>
          </w:tcPr>
          <w:p w14:paraId="61E8CD80" w14:textId="77777777" w:rsidR="004A0123" w:rsidRPr="000D3D0C" w:rsidRDefault="004A0123" w:rsidP="008A5C11">
            <w:pPr>
              <w:jc w:val="center"/>
              <w:rPr>
                <w:color w:val="000000"/>
                <w:sz w:val="20"/>
                <w:szCs w:val="20"/>
              </w:rPr>
            </w:pPr>
            <w:r w:rsidRPr="000D3D0C">
              <w:rPr>
                <w:color w:val="000000"/>
                <w:sz w:val="20"/>
                <w:szCs w:val="20"/>
              </w:rPr>
              <w:t>69 481</w:t>
            </w:r>
          </w:p>
        </w:tc>
        <w:tc>
          <w:tcPr>
            <w:tcW w:w="966" w:type="dxa"/>
            <w:vAlign w:val="center"/>
          </w:tcPr>
          <w:p w14:paraId="3B2091C0" w14:textId="77777777" w:rsidR="004A0123" w:rsidRPr="000D3D0C" w:rsidRDefault="004A0123" w:rsidP="008A5C11">
            <w:pPr>
              <w:jc w:val="center"/>
              <w:rPr>
                <w:color w:val="000000"/>
                <w:sz w:val="20"/>
                <w:szCs w:val="20"/>
              </w:rPr>
            </w:pPr>
            <w:r w:rsidRPr="000D3D0C">
              <w:rPr>
                <w:color w:val="000000"/>
                <w:sz w:val="20"/>
                <w:szCs w:val="20"/>
              </w:rPr>
              <w:t>77 514</w:t>
            </w:r>
          </w:p>
        </w:tc>
        <w:tc>
          <w:tcPr>
            <w:tcW w:w="966" w:type="dxa"/>
            <w:vAlign w:val="center"/>
          </w:tcPr>
          <w:p w14:paraId="6B843BF4" w14:textId="77777777" w:rsidR="004A0123" w:rsidRPr="000D3D0C" w:rsidRDefault="004A0123" w:rsidP="008A5C11">
            <w:pPr>
              <w:jc w:val="center"/>
              <w:rPr>
                <w:color w:val="000000"/>
                <w:sz w:val="20"/>
                <w:szCs w:val="20"/>
              </w:rPr>
            </w:pPr>
            <w:r w:rsidRPr="000D3D0C">
              <w:rPr>
                <w:color w:val="000000"/>
                <w:sz w:val="20"/>
                <w:szCs w:val="20"/>
              </w:rPr>
              <w:t>83 930</w:t>
            </w:r>
          </w:p>
        </w:tc>
        <w:tc>
          <w:tcPr>
            <w:tcW w:w="966" w:type="dxa"/>
            <w:vAlign w:val="center"/>
          </w:tcPr>
          <w:p w14:paraId="4AFCEB3D" w14:textId="77777777" w:rsidR="004A0123" w:rsidRPr="000D3D0C" w:rsidRDefault="004A0123" w:rsidP="008A5C11">
            <w:pPr>
              <w:jc w:val="center"/>
              <w:rPr>
                <w:color w:val="000000"/>
                <w:sz w:val="20"/>
                <w:szCs w:val="20"/>
              </w:rPr>
            </w:pPr>
            <w:r w:rsidRPr="000D3D0C">
              <w:rPr>
                <w:color w:val="000000"/>
                <w:sz w:val="20"/>
                <w:szCs w:val="20"/>
              </w:rPr>
              <w:t>90 536</w:t>
            </w:r>
          </w:p>
        </w:tc>
        <w:tc>
          <w:tcPr>
            <w:tcW w:w="966" w:type="dxa"/>
            <w:vAlign w:val="center"/>
          </w:tcPr>
          <w:p w14:paraId="63D956B4" w14:textId="77777777" w:rsidR="004A0123" w:rsidRPr="000D3D0C" w:rsidRDefault="004A0123" w:rsidP="008A5C11">
            <w:pPr>
              <w:jc w:val="center"/>
              <w:rPr>
                <w:color w:val="000000"/>
                <w:sz w:val="20"/>
                <w:szCs w:val="20"/>
              </w:rPr>
            </w:pPr>
            <w:r w:rsidRPr="000D3D0C">
              <w:rPr>
                <w:color w:val="000000"/>
                <w:sz w:val="20"/>
                <w:szCs w:val="20"/>
              </w:rPr>
              <w:t>93 479</w:t>
            </w:r>
          </w:p>
        </w:tc>
      </w:tr>
      <w:tr w:rsidR="004A0123" w:rsidRPr="000D3D0C" w14:paraId="73342E92" w14:textId="77777777" w:rsidTr="008A5C11">
        <w:trPr>
          <w:trHeight w:val="255"/>
          <w:jc w:val="center"/>
        </w:trPr>
        <w:tc>
          <w:tcPr>
            <w:tcW w:w="475" w:type="dxa"/>
            <w:shd w:val="clear" w:color="auto" w:fill="auto"/>
            <w:tcMar>
              <w:left w:w="28" w:type="dxa"/>
              <w:right w:w="28" w:type="dxa"/>
            </w:tcMar>
            <w:vAlign w:val="center"/>
            <w:hideMark/>
          </w:tcPr>
          <w:p w14:paraId="690CD30E" w14:textId="77777777" w:rsidR="004A0123" w:rsidRPr="000D3D0C" w:rsidRDefault="004A0123" w:rsidP="008A5C11">
            <w:pPr>
              <w:jc w:val="center"/>
              <w:rPr>
                <w:sz w:val="20"/>
                <w:szCs w:val="20"/>
              </w:rPr>
            </w:pPr>
            <w:r w:rsidRPr="000D3D0C">
              <w:rPr>
                <w:sz w:val="20"/>
                <w:szCs w:val="20"/>
              </w:rPr>
              <w:t>1.1.</w:t>
            </w:r>
          </w:p>
        </w:tc>
        <w:tc>
          <w:tcPr>
            <w:tcW w:w="2112" w:type="dxa"/>
            <w:shd w:val="clear" w:color="auto" w:fill="auto"/>
            <w:tcMar>
              <w:left w:w="28" w:type="dxa"/>
              <w:right w:w="28" w:type="dxa"/>
            </w:tcMar>
            <w:vAlign w:val="center"/>
            <w:hideMark/>
          </w:tcPr>
          <w:p w14:paraId="2C09BB92" w14:textId="77777777" w:rsidR="004A0123" w:rsidRPr="000D3D0C" w:rsidRDefault="004A0123" w:rsidP="008A5C11">
            <w:pPr>
              <w:rPr>
                <w:sz w:val="20"/>
                <w:szCs w:val="20"/>
              </w:rPr>
            </w:pPr>
            <w:r w:rsidRPr="000D3D0C">
              <w:rPr>
                <w:sz w:val="20"/>
                <w:szCs w:val="20"/>
              </w:rPr>
              <w:t>амортизационные отчисления</w:t>
            </w:r>
          </w:p>
        </w:tc>
        <w:tc>
          <w:tcPr>
            <w:tcW w:w="1552" w:type="dxa"/>
            <w:shd w:val="clear" w:color="auto" w:fill="auto"/>
            <w:tcMar>
              <w:left w:w="28" w:type="dxa"/>
              <w:right w:w="28" w:type="dxa"/>
            </w:tcMar>
            <w:vAlign w:val="center"/>
          </w:tcPr>
          <w:p w14:paraId="0C6D90B5" w14:textId="77777777" w:rsidR="004A0123" w:rsidRPr="000D3D0C" w:rsidRDefault="004A0123" w:rsidP="008A5C11">
            <w:pPr>
              <w:jc w:val="center"/>
              <w:rPr>
                <w:color w:val="000000"/>
                <w:sz w:val="20"/>
                <w:szCs w:val="20"/>
              </w:rPr>
            </w:pPr>
            <w:r w:rsidRPr="000D3D0C">
              <w:rPr>
                <w:color w:val="000000"/>
                <w:sz w:val="20"/>
                <w:szCs w:val="20"/>
              </w:rPr>
              <w:t>318 240</w:t>
            </w:r>
          </w:p>
        </w:tc>
        <w:tc>
          <w:tcPr>
            <w:tcW w:w="1206" w:type="dxa"/>
            <w:shd w:val="clear" w:color="auto" w:fill="auto"/>
            <w:tcMar>
              <w:left w:w="28" w:type="dxa"/>
              <w:right w:w="28" w:type="dxa"/>
            </w:tcMar>
            <w:vAlign w:val="center"/>
          </w:tcPr>
          <w:p w14:paraId="625519DD" w14:textId="77777777" w:rsidR="004A0123" w:rsidRPr="000D3D0C" w:rsidRDefault="004A0123" w:rsidP="008A5C11">
            <w:pPr>
              <w:jc w:val="center"/>
              <w:rPr>
                <w:color w:val="000000"/>
                <w:sz w:val="20"/>
                <w:szCs w:val="20"/>
              </w:rPr>
            </w:pPr>
            <w:r w:rsidRPr="000D3D0C">
              <w:rPr>
                <w:color w:val="000000"/>
                <w:sz w:val="20"/>
                <w:szCs w:val="20"/>
              </w:rPr>
              <w:t>318 240</w:t>
            </w:r>
          </w:p>
        </w:tc>
        <w:tc>
          <w:tcPr>
            <w:tcW w:w="859" w:type="dxa"/>
            <w:shd w:val="clear" w:color="auto" w:fill="auto"/>
            <w:tcMar>
              <w:left w:w="28" w:type="dxa"/>
              <w:right w:w="28" w:type="dxa"/>
            </w:tcMar>
            <w:vAlign w:val="center"/>
          </w:tcPr>
          <w:p w14:paraId="75CE1045" w14:textId="77777777" w:rsidR="004A0123" w:rsidRPr="000D3D0C" w:rsidRDefault="004A0123" w:rsidP="008A5C11">
            <w:pPr>
              <w:jc w:val="center"/>
              <w:rPr>
                <w:color w:val="000000"/>
                <w:sz w:val="20"/>
                <w:szCs w:val="20"/>
              </w:rPr>
            </w:pPr>
            <w:r w:rsidRPr="000D3D0C">
              <w:rPr>
                <w:color w:val="000000"/>
                <w:sz w:val="20"/>
                <w:szCs w:val="20"/>
              </w:rPr>
              <w:t>0</w:t>
            </w:r>
          </w:p>
        </w:tc>
        <w:tc>
          <w:tcPr>
            <w:tcW w:w="889" w:type="dxa"/>
            <w:shd w:val="clear" w:color="auto" w:fill="auto"/>
            <w:tcMar>
              <w:left w:w="28" w:type="dxa"/>
              <w:right w:w="28" w:type="dxa"/>
            </w:tcMar>
            <w:vAlign w:val="center"/>
          </w:tcPr>
          <w:p w14:paraId="7D5310DD" w14:textId="77777777" w:rsidR="004A0123" w:rsidRPr="000D3D0C" w:rsidRDefault="004A0123" w:rsidP="008A5C11">
            <w:pPr>
              <w:jc w:val="center"/>
              <w:rPr>
                <w:color w:val="000000"/>
                <w:sz w:val="20"/>
                <w:szCs w:val="20"/>
              </w:rPr>
            </w:pPr>
            <w:r w:rsidRPr="000D3D0C">
              <w:rPr>
                <w:color w:val="000000"/>
                <w:sz w:val="20"/>
                <w:szCs w:val="20"/>
              </w:rPr>
              <w:t>1037</w:t>
            </w:r>
          </w:p>
        </w:tc>
        <w:tc>
          <w:tcPr>
            <w:tcW w:w="901" w:type="dxa"/>
            <w:shd w:val="clear" w:color="auto" w:fill="auto"/>
            <w:tcMar>
              <w:left w:w="28" w:type="dxa"/>
              <w:right w:w="28" w:type="dxa"/>
            </w:tcMar>
            <w:vAlign w:val="center"/>
          </w:tcPr>
          <w:p w14:paraId="76BADA67" w14:textId="77777777" w:rsidR="004A0123" w:rsidRPr="000D3D0C" w:rsidRDefault="004A0123" w:rsidP="008A5C11">
            <w:pPr>
              <w:jc w:val="center"/>
              <w:rPr>
                <w:color w:val="000000"/>
                <w:sz w:val="20"/>
                <w:szCs w:val="20"/>
              </w:rPr>
            </w:pPr>
            <w:r w:rsidRPr="000D3D0C">
              <w:rPr>
                <w:color w:val="000000"/>
                <w:sz w:val="20"/>
                <w:szCs w:val="20"/>
              </w:rPr>
              <w:t>2 588</w:t>
            </w:r>
          </w:p>
        </w:tc>
        <w:tc>
          <w:tcPr>
            <w:tcW w:w="901" w:type="dxa"/>
            <w:tcMar>
              <w:left w:w="28" w:type="dxa"/>
              <w:right w:w="28" w:type="dxa"/>
            </w:tcMar>
            <w:vAlign w:val="center"/>
          </w:tcPr>
          <w:p w14:paraId="7959A5D0" w14:textId="77777777" w:rsidR="004A0123" w:rsidRPr="000D3D0C" w:rsidRDefault="004A0123" w:rsidP="008A5C11">
            <w:pPr>
              <w:jc w:val="center"/>
              <w:rPr>
                <w:color w:val="000000"/>
                <w:sz w:val="20"/>
                <w:szCs w:val="20"/>
              </w:rPr>
            </w:pPr>
            <w:r w:rsidRPr="000D3D0C">
              <w:rPr>
                <w:color w:val="000000"/>
                <w:sz w:val="20"/>
                <w:szCs w:val="20"/>
              </w:rPr>
              <w:t>5 697</w:t>
            </w:r>
          </w:p>
        </w:tc>
        <w:tc>
          <w:tcPr>
            <w:tcW w:w="901" w:type="dxa"/>
            <w:tcMar>
              <w:left w:w="28" w:type="dxa"/>
              <w:right w:w="28" w:type="dxa"/>
            </w:tcMar>
            <w:vAlign w:val="center"/>
          </w:tcPr>
          <w:p w14:paraId="7F3B1B43" w14:textId="77777777" w:rsidR="004A0123" w:rsidRPr="000D3D0C" w:rsidRDefault="004A0123" w:rsidP="008A5C11">
            <w:pPr>
              <w:jc w:val="center"/>
              <w:rPr>
                <w:color w:val="000000"/>
                <w:sz w:val="20"/>
                <w:szCs w:val="20"/>
              </w:rPr>
            </w:pPr>
            <w:r w:rsidRPr="000D3D0C">
              <w:rPr>
                <w:color w:val="000000"/>
                <w:sz w:val="20"/>
                <w:szCs w:val="20"/>
              </w:rPr>
              <w:t>11 769</w:t>
            </w:r>
          </w:p>
        </w:tc>
        <w:tc>
          <w:tcPr>
            <w:tcW w:w="966" w:type="dxa"/>
            <w:vAlign w:val="center"/>
          </w:tcPr>
          <w:p w14:paraId="1991DF8A" w14:textId="77777777" w:rsidR="004A0123" w:rsidRPr="000D3D0C" w:rsidRDefault="004A0123" w:rsidP="008A5C11">
            <w:pPr>
              <w:jc w:val="center"/>
              <w:rPr>
                <w:color w:val="000000"/>
                <w:sz w:val="20"/>
                <w:szCs w:val="20"/>
              </w:rPr>
            </w:pPr>
            <w:r w:rsidRPr="000D3D0C">
              <w:rPr>
                <w:color w:val="000000"/>
                <w:sz w:val="20"/>
                <w:szCs w:val="20"/>
              </w:rPr>
              <w:t>18 611</w:t>
            </w:r>
          </w:p>
        </w:tc>
        <w:tc>
          <w:tcPr>
            <w:tcW w:w="966" w:type="dxa"/>
            <w:vAlign w:val="center"/>
          </w:tcPr>
          <w:p w14:paraId="0C3970E6" w14:textId="77777777" w:rsidR="004A0123" w:rsidRPr="000D3D0C" w:rsidRDefault="004A0123" w:rsidP="008A5C11">
            <w:pPr>
              <w:jc w:val="center"/>
              <w:rPr>
                <w:color w:val="000000"/>
                <w:sz w:val="20"/>
                <w:szCs w:val="20"/>
              </w:rPr>
            </w:pPr>
            <w:r w:rsidRPr="000D3D0C">
              <w:rPr>
                <w:color w:val="000000"/>
                <w:sz w:val="20"/>
                <w:szCs w:val="20"/>
              </w:rPr>
              <w:t>32 414</w:t>
            </w:r>
          </w:p>
        </w:tc>
        <w:tc>
          <w:tcPr>
            <w:tcW w:w="966" w:type="dxa"/>
            <w:vAlign w:val="center"/>
          </w:tcPr>
          <w:p w14:paraId="12ACF123" w14:textId="77777777" w:rsidR="004A0123" w:rsidRPr="000D3D0C" w:rsidRDefault="004A0123" w:rsidP="008A5C11">
            <w:pPr>
              <w:jc w:val="center"/>
              <w:rPr>
                <w:color w:val="000000"/>
                <w:sz w:val="20"/>
                <w:szCs w:val="20"/>
              </w:rPr>
            </w:pPr>
            <w:r w:rsidRPr="000D3D0C">
              <w:rPr>
                <w:color w:val="000000"/>
                <w:sz w:val="20"/>
                <w:szCs w:val="20"/>
              </w:rPr>
              <w:t xml:space="preserve">62 109 </w:t>
            </w:r>
          </w:p>
        </w:tc>
        <w:tc>
          <w:tcPr>
            <w:tcW w:w="966" w:type="dxa"/>
            <w:vAlign w:val="center"/>
          </w:tcPr>
          <w:p w14:paraId="0FAB8D6E" w14:textId="77777777" w:rsidR="004A0123" w:rsidRPr="000D3D0C" w:rsidRDefault="004A0123" w:rsidP="008A5C11">
            <w:pPr>
              <w:jc w:val="center"/>
              <w:rPr>
                <w:color w:val="000000"/>
                <w:sz w:val="20"/>
                <w:szCs w:val="20"/>
              </w:rPr>
            </w:pPr>
            <w:r w:rsidRPr="000D3D0C">
              <w:rPr>
                <w:color w:val="000000"/>
                <w:sz w:val="20"/>
                <w:szCs w:val="20"/>
              </w:rPr>
              <w:t>90 536</w:t>
            </w:r>
          </w:p>
        </w:tc>
        <w:tc>
          <w:tcPr>
            <w:tcW w:w="966" w:type="dxa"/>
            <w:vAlign w:val="center"/>
          </w:tcPr>
          <w:p w14:paraId="435D73E7" w14:textId="77777777" w:rsidR="004A0123" w:rsidRPr="000D3D0C" w:rsidRDefault="004A0123" w:rsidP="008A5C11">
            <w:pPr>
              <w:jc w:val="center"/>
              <w:rPr>
                <w:color w:val="000000"/>
                <w:sz w:val="20"/>
                <w:szCs w:val="20"/>
              </w:rPr>
            </w:pPr>
            <w:r w:rsidRPr="000D3D0C">
              <w:rPr>
                <w:color w:val="000000"/>
                <w:sz w:val="20"/>
                <w:szCs w:val="20"/>
              </w:rPr>
              <w:t>93 479</w:t>
            </w:r>
          </w:p>
        </w:tc>
      </w:tr>
      <w:tr w:rsidR="004A0123" w:rsidRPr="000D3D0C" w14:paraId="12CDCB13" w14:textId="77777777" w:rsidTr="008A5C11">
        <w:trPr>
          <w:trHeight w:val="510"/>
          <w:jc w:val="center"/>
        </w:trPr>
        <w:tc>
          <w:tcPr>
            <w:tcW w:w="475" w:type="dxa"/>
            <w:shd w:val="clear" w:color="auto" w:fill="auto"/>
            <w:tcMar>
              <w:left w:w="28" w:type="dxa"/>
              <w:right w:w="28" w:type="dxa"/>
            </w:tcMar>
            <w:vAlign w:val="center"/>
            <w:hideMark/>
          </w:tcPr>
          <w:p w14:paraId="33EB8615" w14:textId="77777777" w:rsidR="004A0123" w:rsidRPr="000D3D0C" w:rsidRDefault="004A0123" w:rsidP="008A5C11">
            <w:pPr>
              <w:jc w:val="center"/>
              <w:rPr>
                <w:sz w:val="20"/>
                <w:szCs w:val="20"/>
              </w:rPr>
            </w:pPr>
            <w:r w:rsidRPr="000D3D0C">
              <w:rPr>
                <w:sz w:val="20"/>
                <w:szCs w:val="20"/>
              </w:rPr>
              <w:t>1.2.</w:t>
            </w:r>
          </w:p>
        </w:tc>
        <w:tc>
          <w:tcPr>
            <w:tcW w:w="2112" w:type="dxa"/>
            <w:shd w:val="clear" w:color="auto" w:fill="auto"/>
            <w:tcMar>
              <w:left w:w="28" w:type="dxa"/>
              <w:right w:w="28" w:type="dxa"/>
            </w:tcMar>
            <w:vAlign w:val="center"/>
            <w:hideMark/>
          </w:tcPr>
          <w:p w14:paraId="6D83B4F5" w14:textId="77777777" w:rsidR="004A0123" w:rsidRPr="000D3D0C" w:rsidRDefault="004A0123" w:rsidP="008A5C11">
            <w:pPr>
              <w:rPr>
                <w:sz w:val="20"/>
                <w:szCs w:val="20"/>
              </w:rPr>
            </w:pPr>
            <w:r w:rsidRPr="000D3D0C">
              <w:rPr>
                <w:sz w:val="20"/>
                <w:szCs w:val="20"/>
              </w:rPr>
              <w:t>прибыль, направленная на инвестиции</w:t>
            </w:r>
          </w:p>
        </w:tc>
        <w:tc>
          <w:tcPr>
            <w:tcW w:w="1552" w:type="dxa"/>
            <w:shd w:val="clear" w:color="auto" w:fill="auto"/>
            <w:tcMar>
              <w:left w:w="28" w:type="dxa"/>
              <w:right w:w="28" w:type="dxa"/>
            </w:tcMar>
            <w:vAlign w:val="center"/>
          </w:tcPr>
          <w:p w14:paraId="70C21955" w14:textId="77777777" w:rsidR="004A0123" w:rsidRPr="000D3D0C" w:rsidRDefault="004A0123" w:rsidP="008A5C11">
            <w:pPr>
              <w:jc w:val="center"/>
              <w:rPr>
                <w:color w:val="000000"/>
                <w:sz w:val="20"/>
                <w:szCs w:val="20"/>
              </w:rPr>
            </w:pPr>
            <w:r w:rsidRPr="000D3D0C">
              <w:rPr>
                <w:color w:val="000000"/>
                <w:sz w:val="20"/>
                <w:szCs w:val="20"/>
              </w:rPr>
              <w:t>256 745</w:t>
            </w:r>
          </w:p>
        </w:tc>
        <w:tc>
          <w:tcPr>
            <w:tcW w:w="1206" w:type="dxa"/>
            <w:shd w:val="clear" w:color="auto" w:fill="auto"/>
            <w:tcMar>
              <w:left w:w="28" w:type="dxa"/>
              <w:right w:w="28" w:type="dxa"/>
            </w:tcMar>
            <w:vAlign w:val="center"/>
          </w:tcPr>
          <w:p w14:paraId="6152B54F" w14:textId="77777777" w:rsidR="004A0123" w:rsidRPr="000D3D0C" w:rsidRDefault="004A0123" w:rsidP="008A5C11">
            <w:pPr>
              <w:jc w:val="center"/>
              <w:rPr>
                <w:color w:val="000000"/>
                <w:sz w:val="20"/>
                <w:szCs w:val="20"/>
              </w:rPr>
            </w:pPr>
            <w:r w:rsidRPr="000D3D0C">
              <w:rPr>
                <w:color w:val="000000"/>
                <w:sz w:val="20"/>
                <w:szCs w:val="20"/>
              </w:rPr>
              <w:t>256 745</w:t>
            </w:r>
          </w:p>
        </w:tc>
        <w:tc>
          <w:tcPr>
            <w:tcW w:w="859" w:type="dxa"/>
            <w:shd w:val="clear" w:color="auto" w:fill="auto"/>
            <w:tcMar>
              <w:left w:w="28" w:type="dxa"/>
              <w:right w:w="28" w:type="dxa"/>
            </w:tcMar>
            <w:vAlign w:val="center"/>
          </w:tcPr>
          <w:p w14:paraId="3D02730A" w14:textId="77777777" w:rsidR="004A0123" w:rsidRPr="000D3D0C" w:rsidRDefault="004A0123" w:rsidP="008A5C11">
            <w:pPr>
              <w:jc w:val="center"/>
              <w:rPr>
                <w:color w:val="000000"/>
                <w:sz w:val="20"/>
                <w:szCs w:val="20"/>
              </w:rPr>
            </w:pPr>
            <w:r w:rsidRPr="000D3D0C">
              <w:rPr>
                <w:color w:val="000000"/>
                <w:sz w:val="20"/>
                <w:szCs w:val="20"/>
              </w:rPr>
              <w:t>9 330</w:t>
            </w:r>
          </w:p>
        </w:tc>
        <w:tc>
          <w:tcPr>
            <w:tcW w:w="889" w:type="dxa"/>
            <w:shd w:val="clear" w:color="auto" w:fill="auto"/>
            <w:tcMar>
              <w:left w:w="28" w:type="dxa"/>
              <w:right w:w="28" w:type="dxa"/>
            </w:tcMar>
            <w:vAlign w:val="center"/>
          </w:tcPr>
          <w:p w14:paraId="22040A38" w14:textId="77777777" w:rsidR="004A0123" w:rsidRPr="000D3D0C" w:rsidRDefault="004A0123" w:rsidP="008A5C11">
            <w:pPr>
              <w:jc w:val="center"/>
              <w:rPr>
                <w:color w:val="000000"/>
                <w:sz w:val="20"/>
                <w:szCs w:val="20"/>
              </w:rPr>
            </w:pPr>
            <w:r w:rsidRPr="000D3D0C">
              <w:rPr>
                <w:color w:val="000000"/>
                <w:sz w:val="20"/>
                <w:szCs w:val="20"/>
              </w:rPr>
              <w:t>23 923</w:t>
            </w:r>
          </w:p>
        </w:tc>
        <w:tc>
          <w:tcPr>
            <w:tcW w:w="901" w:type="dxa"/>
            <w:shd w:val="clear" w:color="auto" w:fill="auto"/>
            <w:tcMar>
              <w:left w:w="28" w:type="dxa"/>
              <w:right w:w="28" w:type="dxa"/>
            </w:tcMar>
            <w:vAlign w:val="center"/>
          </w:tcPr>
          <w:p w14:paraId="1008DA0B" w14:textId="77777777" w:rsidR="004A0123" w:rsidRPr="000D3D0C" w:rsidRDefault="004A0123" w:rsidP="008A5C11">
            <w:pPr>
              <w:jc w:val="center"/>
              <w:rPr>
                <w:color w:val="000000"/>
                <w:sz w:val="20"/>
                <w:szCs w:val="20"/>
              </w:rPr>
            </w:pPr>
            <w:r w:rsidRPr="000D3D0C">
              <w:rPr>
                <w:color w:val="000000"/>
                <w:sz w:val="20"/>
                <w:szCs w:val="20"/>
              </w:rPr>
              <w:t>25 685</w:t>
            </w:r>
          </w:p>
        </w:tc>
        <w:tc>
          <w:tcPr>
            <w:tcW w:w="901" w:type="dxa"/>
            <w:tcMar>
              <w:left w:w="28" w:type="dxa"/>
              <w:right w:w="28" w:type="dxa"/>
            </w:tcMar>
            <w:vAlign w:val="center"/>
          </w:tcPr>
          <w:p w14:paraId="3EA1875A" w14:textId="77777777" w:rsidR="004A0123" w:rsidRPr="000D3D0C" w:rsidRDefault="004A0123" w:rsidP="008A5C11">
            <w:pPr>
              <w:jc w:val="center"/>
              <w:rPr>
                <w:color w:val="000000"/>
                <w:sz w:val="20"/>
                <w:szCs w:val="20"/>
              </w:rPr>
            </w:pPr>
            <w:r w:rsidRPr="000D3D0C">
              <w:rPr>
                <w:color w:val="000000"/>
                <w:sz w:val="20"/>
                <w:szCs w:val="20"/>
              </w:rPr>
              <w:t>36 776</w:t>
            </w:r>
          </w:p>
        </w:tc>
        <w:tc>
          <w:tcPr>
            <w:tcW w:w="901" w:type="dxa"/>
            <w:tcMar>
              <w:left w:w="28" w:type="dxa"/>
              <w:right w:w="28" w:type="dxa"/>
            </w:tcMar>
            <w:vAlign w:val="center"/>
          </w:tcPr>
          <w:p w14:paraId="55D259BE" w14:textId="77777777" w:rsidR="004A0123" w:rsidRPr="000D3D0C" w:rsidRDefault="004A0123" w:rsidP="008A5C11">
            <w:pPr>
              <w:jc w:val="center"/>
              <w:rPr>
                <w:color w:val="000000"/>
                <w:sz w:val="20"/>
                <w:szCs w:val="20"/>
              </w:rPr>
            </w:pPr>
            <w:r w:rsidRPr="000D3D0C">
              <w:rPr>
                <w:color w:val="000000"/>
                <w:sz w:val="20"/>
                <w:szCs w:val="20"/>
              </w:rPr>
              <w:t>43 240</w:t>
            </w:r>
          </w:p>
        </w:tc>
        <w:tc>
          <w:tcPr>
            <w:tcW w:w="966" w:type="dxa"/>
            <w:vAlign w:val="center"/>
          </w:tcPr>
          <w:p w14:paraId="01C9A3E5" w14:textId="77777777" w:rsidR="004A0123" w:rsidRPr="000D3D0C" w:rsidRDefault="004A0123" w:rsidP="008A5C11">
            <w:pPr>
              <w:jc w:val="center"/>
              <w:rPr>
                <w:color w:val="000000"/>
                <w:sz w:val="20"/>
                <w:szCs w:val="20"/>
              </w:rPr>
            </w:pPr>
            <w:r w:rsidRPr="000D3D0C">
              <w:rPr>
                <w:color w:val="000000"/>
                <w:sz w:val="20"/>
                <w:szCs w:val="20"/>
              </w:rPr>
              <w:t xml:space="preserve">50 870 </w:t>
            </w:r>
          </w:p>
        </w:tc>
        <w:tc>
          <w:tcPr>
            <w:tcW w:w="966" w:type="dxa"/>
            <w:vAlign w:val="center"/>
          </w:tcPr>
          <w:p w14:paraId="2FA141D0" w14:textId="77777777" w:rsidR="004A0123" w:rsidRPr="000D3D0C" w:rsidRDefault="004A0123" w:rsidP="008A5C11">
            <w:pPr>
              <w:jc w:val="center"/>
              <w:rPr>
                <w:color w:val="000000"/>
                <w:sz w:val="20"/>
                <w:szCs w:val="20"/>
              </w:rPr>
            </w:pPr>
            <w:r w:rsidRPr="000D3D0C">
              <w:rPr>
                <w:color w:val="000000"/>
                <w:sz w:val="20"/>
                <w:szCs w:val="20"/>
              </w:rPr>
              <w:t>45 100</w:t>
            </w:r>
          </w:p>
        </w:tc>
        <w:tc>
          <w:tcPr>
            <w:tcW w:w="966" w:type="dxa"/>
            <w:vAlign w:val="center"/>
          </w:tcPr>
          <w:p w14:paraId="58669630" w14:textId="77777777" w:rsidR="004A0123" w:rsidRPr="000D3D0C" w:rsidRDefault="004A0123" w:rsidP="008A5C11">
            <w:pPr>
              <w:jc w:val="center"/>
              <w:rPr>
                <w:color w:val="000000"/>
                <w:sz w:val="20"/>
                <w:szCs w:val="20"/>
              </w:rPr>
            </w:pPr>
            <w:r w:rsidRPr="000D3D0C">
              <w:rPr>
                <w:color w:val="000000"/>
                <w:sz w:val="20"/>
                <w:szCs w:val="20"/>
              </w:rPr>
              <w:t>21 821</w:t>
            </w:r>
          </w:p>
        </w:tc>
        <w:tc>
          <w:tcPr>
            <w:tcW w:w="966" w:type="dxa"/>
            <w:vAlign w:val="center"/>
          </w:tcPr>
          <w:p w14:paraId="729CA72C" w14:textId="77777777" w:rsidR="004A0123" w:rsidRPr="000D3D0C" w:rsidRDefault="004A0123" w:rsidP="008A5C11">
            <w:pPr>
              <w:jc w:val="center"/>
              <w:rPr>
                <w:color w:val="000000"/>
                <w:sz w:val="20"/>
                <w:szCs w:val="20"/>
              </w:rPr>
            </w:pPr>
            <w:r w:rsidRPr="000D3D0C">
              <w:rPr>
                <w:color w:val="000000"/>
                <w:sz w:val="20"/>
                <w:szCs w:val="20"/>
              </w:rPr>
              <w:t>0</w:t>
            </w:r>
          </w:p>
        </w:tc>
        <w:tc>
          <w:tcPr>
            <w:tcW w:w="966" w:type="dxa"/>
            <w:vAlign w:val="center"/>
          </w:tcPr>
          <w:p w14:paraId="7EC626DC" w14:textId="77777777" w:rsidR="004A0123" w:rsidRPr="000D3D0C" w:rsidRDefault="004A0123" w:rsidP="008A5C11">
            <w:pPr>
              <w:jc w:val="center"/>
              <w:rPr>
                <w:color w:val="000000"/>
                <w:sz w:val="20"/>
                <w:szCs w:val="20"/>
              </w:rPr>
            </w:pPr>
            <w:r w:rsidRPr="000D3D0C">
              <w:rPr>
                <w:color w:val="000000"/>
                <w:sz w:val="20"/>
                <w:szCs w:val="20"/>
              </w:rPr>
              <w:t>0</w:t>
            </w:r>
          </w:p>
        </w:tc>
      </w:tr>
      <w:tr w:rsidR="004A0123" w:rsidRPr="000D3D0C" w14:paraId="268C21FF" w14:textId="77777777" w:rsidTr="008A5C11">
        <w:trPr>
          <w:trHeight w:val="510"/>
          <w:jc w:val="center"/>
        </w:trPr>
        <w:tc>
          <w:tcPr>
            <w:tcW w:w="475" w:type="dxa"/>
            <w:shd w:val="clear" w:color="auto" w:fill="auto"/>
            <w:tcMar>
              <w:left w:w="28" w:type="dxa"/>
              <w:right w:w="28" w:type="dxa"/>
            </w:tcMar>
            <w:vAlign w:val="center"/>
            <w:hideMark/>
          </w:tcPr>
          <w:p w14:paraId="7BF442D5" w14:textId="77777777" w:rsidR="004A0123" w:rsidRPr="000D3D0C" w:rsidRDefault="004A0123" w:rsidP="008A5C11">
            <w:pPr>
              <w:jc w:val="center"/>
              <w:rPr>
                <w:sz w:val="20"/>
                <w:szCs w:val="20"/>
              </w:rPr>
            </w:pPr>
            <w:r w:rsidRPr="000D3D0C">
              <w:rPr>
                <w:sz w:val="20"/>
                <w:szCs w:val="20"/>
              </w:rPr>
              <w:t>1.3.</w:t>
            </w:r>
          </w:p>
        </w:tc>
        <w:tc>
          <w:tcPr>
            <w:tcW w:w="2112" w:type="dxa"/>
            <w:shd w:val="clear" w:color="auto" w:fill="auto"/>
            <w:tcMar>
              <w:left w:w="28" w:type="dxa"/>
              <w:right w:w="28" w:type="dxa"/>
            </w:tcMar>
            <w:vAlign w:val="center"/>
            <w:hideMark/>
          </w:tcPr>
          <w:p w14:paraId="64B4E8A7" w14:textId="77777777" w:rsidR="004A0123" w:rsidRPr="000D3D0C" w:rsidRDefault="004A0123" w:rsidP="008A5C11">
            <w:pPr>
              <w:ind w:right="-52"/>
              <w:rPr>
                <w:sz w:val="20"/>
                <w:szCs w:val="20"/>
              </w:rPr>
            </w:pPr>
            <w:r w:rsidRPr="000D3D0C">
              <w:rPr>
                <w:sz w:val="20"/>
                <w:szCs w:val="20"/>
              </w:rPr>
              <w:t>средства,</w:t>
            </w:r>
          </w:p>
          <w:p w14:paraId="0B4E3180" w14:textId="77777777" w:rsidR="004A0123" w:rsidRPr="000D3D0C" w:rsidRDefault="004A0123" w:rsidP="008A5C11">
            <w:pPr>
              <w:ind w:right="-52"/>
              <w:rPr>
                <w:sz w:val="20"/>
                <w:szCs w:val="20"/>
              </w:rPr>
            </w:pPr>
            <w:r w:rsidRPr="000D3D0C">
              <w:rPr>
                <w:sz w:val="20"/>
                <w:szCs w:val="20"/>
              </w:rPr>
              <w:t>полученные за счет платы за подключение</w:t>
            </w:r>
          </w:p>
        </w:tc>
        <w:tc>
          <w:tcPr>
            <w:tcW w:w="1552" w:type="dxa"/>
            <w:shd w:val="clear" w:color="auto" w:fill="auto"/>
            <w:tcMar>
              <w:left w:w="28" w:type="dxa"/>
              <w:right w:w="28" w:type="dxa"/>
            </w:tcMar>
            <w:vAlign w:val="center"/>
          </w:tcPr>
          <w:p w14:paraId="51CDC561" w14:textId="77777777" w:rsidR="004A0123" w:rsidRPr="000D3D0C" w:rsidRDefault="004A0123" w:rsidP="008A5C11">
            <w:pPr>
              <w:jc w:val="center"/>
              <w:rPr>
                <w:sz w:val="20"/>
                <w:szCs w:val="20"/>
                <w:lang w:val="en-US"/>
              </w:rPr>
            </w:pPr>
            <w:r w:rsidRPr="000D3D0C">
              <w:rPr>
                <w:sz w:val="20"/>
                <w:szCs w:val="20"/>
                <w:lang w:val="en-US"/>
              </w:rPr>
              <w:t>0</w:t>
            </w:r>
          </w:p>
        </w:tc>
        <w:tc>
          <w:tcPr>
            <w:tcW w:w="1206" w:type="dxa"/>
            <w:shd w:val="clear" w:color="auto" w:fill="auto"/>
            <w:tcMar>
              <w:left w:w="28" w:type="dxa"/>
              <w:right w:w="28" w:type="dxa"/>
            </w:tcMar>
            <w:vAlign w:val="center"/>
          </w:tcPr>
          <w:p w14:paraId="5E19F7D2" w14:textId="77777777" w:rsidR="004A0123" w:rsidRPr="000D3D0C" w:rsidRDefault="004A0123" w:rsidP="008A5C11">
            <w:pPr>
              <w:jc w:val="center"/>
              <w:rPr>
                <w:sz w:val="20"/>
                <w:szCs w:val="20"/>
                <w:lang w:val="en-US"/>
              </w:rPr>
            </w:pPr>
            <w:r w:rsidRPr="000D3D0C">
              <w:rPr>
                <w:sz w:val="20"/>
                <w:szCs w:val="20"/>
                <w:lang w:val="en-US"/>
              </w:rPr>
              <w:t>0</w:t>
            </w:r>
          </w:p>
        </w:tc>
        <w:tc>
          <w:tcPr>
            <w:tcW w:w="859" w:type="dxa"/>
            <w:shd w:val="clear" w:color="auto" w:fill="auto"/>
            <w:tcMar>
              <w:left w:w="28" w:type="dxa"/>
              <w:right w:w="28" w:type="dxa"/>
            </w:tcMar>
            <w:vAlign w:val="center"/>
          </w:tcPr>
          <w:p w14:paraId="25452E79" w14:textId="77777777" w:rsidR="004A0123" w:rsidRPr="000D3D0C" w:rsidRDefault="004A0123" w:rsidP="008A5C11">
            <w:pPr>
              <w:jc w:val="center"/>
              <w:rPr>
                <w:bCs/>
                <w:sz w:val="20"/>
                <w:szCs w:val="20"/>
                <w:lang w:val="en-US"/>
              </w:rPr>
            </w:pPr>
            <w:r w:rsidRPr="000D3D0C">
              <w:rPr>
                <w:bCs/>
                <w:sz w:val="20"/>
                <w:szCs w:val="20"/>
                <w:lang w:val="en-US"/>
              </w:rPr>
              <w:t>0</w:t>
            </w:r>
          </w:p>
        </w:tc>
        <w:tc>
          <w:tcPr>
            <w:tcW w:w="889" w:type="dxa"/>
            <w:shd w:val="clear" w:color="auto" w:fill="auto"/>
            <w:tcMar>
              <w:left w:w="28" w:type="dxa"/>
              <w:right w:w="28" w:type="dxa"/>
            </w:tcMar>
            <w:vAlign w:val="center"/>
          </w:tcPr>
          <w:p w14:paraId="6A14A31C" w14:textId="77777777" w:rsidR="004A0123" w:rsidRPr="000D3D0C" w:rsidRDefault="004A0123" w:rsidP="008A5C11">
            <w:pPr>
              <w:jc w:val="center"/>
              <w:rPr>
                <w:bCs/>
                <w:sz w:val="20"/>
                <w:szCs w:val="20"/>
                <w:lang w:val="en-US"/>
              </w:rPr>
            </w:pPr>
            <w:r w:rsidRPr="000D3D0C">
              <w:rPr>
                <w:bCs/>
                <w:sz w:val="20"/>
                <w:szCs w:val="20"/>
                <w:lang w:val="en-US"/>
              </w:rPr>
              <w:t>0</w:t>
            </w:r>
          </w:p>
        </w:tc>
        <w:tc>
          <w:tcPr>
            <w:tcW w:w="901" w:type="dxa"/>
            <w:shd w:val="clear" w:color="auto" w:fill="auto"/>
            <w:tcMar>
              <w:left w:w="28" w:type="dxa"/>
              <w:right w:w="28" w:type="dxa"/>
            </w:tcMar>
            <w:vAlign w:val="center"/>
          </w:tcPr>
          <w:p w14:paraId="34C24A21" w14:textId="77777777" w:rsidR="004A0123" w:rsidRPr="000D3D0C" w:rsidRDefault="004A0123" w:rsidP="008A5C11">
            <w:pPr>
              <w:jc w:val="center"/>
              <w:rPr>
                <w:bCs/>
                <w:sz w:val="20"/>
                <w:szCs w:val="20"/>
                <w:lang w:val="en-US"/>
              </w:rPr>
            </w:pPr>
            <w:r w:rsidRPr="000D3D0C">
              <w:rPr>
                <w:bCs/>
                <w:sz w:val="20"/>
                <w:szCs w:val="20"/>
                <w:lang w:val="en-US"/>
              </w:rPr>
              <w:t>0</w:t>
            </w:r>
          </w:p>
        </w:tc>
        <w:tc>
          <w:tcPr>
            <w:tcW w:w="901" w:type="dxa"/>
            <w:tcMar>
              <w:left w:w="28" w:type="dxa"/>
              <w:right w:w="28" w:type="dxa"/>
            </w:tcMar>
            <w:vAlign w:val="center"/>
          </w:tcPr>
          <w:p w14:paraId="1CA2AF7A" w14:textId="77777777" w:rsidR="004A0123" w:rsidRPr="000D3D0C" w:rsidRDefault="004A0123" w:rsidP="008A5C11">
            <w:pPr>
              <w:jc w:val="center"/>
              <w:rPr>
                <w:bCs/>
                <w:sz w:val="20"/>
                <w:szCs w:val="20"/>
                <w:lang w:val="en-US"/>
              </w:rPr>
            </w:pPr>
            <w:r w:rsidRPr="000D3D0C">
              <w:rPr>
                <w:bCs/>
                <w:sz w:val="20"/>
                <w:szCs w:val="20"/>
                <w:lang w:val="en-US"/>
              </w:rPr>
              <w:t>0</w:t>
            </w:r>
          </w:p>
        </w:tc>
        <w:tc>
          <w:tcPr>
            <w:tcW w:w="901" w:type="dxa"/>
            <w:tcMar>
              <w:left w:w="28" w:type="dxa"/>
              <w:right w:w="28" w:type="dxa"/>
            </w:tcMar>
            <w:vAlign w:val="center"/>
          </w:tcPr>
          <w:p w14:paraId="2832ACD8" w14:textId="77777777" w:rsidR="004A0123" w:rsidRPr="000D3D0C" w:rsidRDefault="004A0123" w:rsidP="008A5C11">
            <w:pPr>
              <w:jc w:val="center"/>
              <w:rPr>
                <w:bCs/>
                <w:sz w:val="20"/>
                <w:szCs w:val="20"/>
                <w:lang w:val="en-US"/>
              </w:rPr>
            </w:pPr>
            <w:r w:rsidRPr="000D3D0C">
              <w:rPr>
                <w:bCs/>
                <w:sz w:val="20"/>
                <w:szCs w:val="20"/>
                <w:lang w:val="en-US"/>
              </w:rPr>
              <w:t>0</w:t>
            </w:r>
          </w:p>
        </w:tc>
        <w:tc>
          <w:tcPr>
            <w:tcW w:w="966" w:type="dxa"/>
            <w:vAlign w:val="center"/>
          </w:tcPr>
          <w:p w14:paraId="3B1DA5EC" w14:textId="77777777" w:rsidR="004A0123" w:rsidRPr="000D3D0C" w:rsidRDefault="004A0123" w:rsidP="008A5C11">
            <w:pPr>
              <w:jc w:val="center"/>
              <w:rPr>
                <w:bCs/>
                <w:sz w:val="20"/>
                <w:szCs w:val="20"/>
                <w:lang w:val="en-US"/>
              </w:rPr>
            </w:pPr>
            <w:r w:rsidRPr="000D3D0C">
              <w:rPr>
                <w:bCs/>
                <w:sz w:val="20"/>
                <w:szCs w:val="20"/>
                <w:lang w:val="en-US"/>
              </w:rPr>
              <w:t>0</w:t>
            </w:r>
          </w:p>
        </w:tc>
        <w:tc>
          <w:tcPr>
            <w:tcW w:w="966" w:type="dxa"/>
            <w:vAlign w:val="center"/>
          </w:tcPr>
          <w:p w14:paraId="7B732533" w14:textId="77777777" w:rsidR="004A0123" w:rsidRPr="000D3D0C" w:rsidRDefault="004A0123" w:rsidP="008A5C11">
            <w:pPr>
              <w:jc w:val="center"/>
              <w:rPr>
                <w:bCs/>
                <w:sz w:val="20"/>
                <w:szCs w:val="20"/>
                <w:lang w:val="en-US"/>
              </w:rPr>
            </w:pPr>
            <w:r w:rsidRPr="000D3D0C">
              <w:rPr>
                <w:bCs/>
                <w:sz w:val="20"/>
                <w:szCs w:val="20"/>
                <w:lang w:val="en-US"/>
              </w:rPr>
              <w:t>0</w:t>
            </w:r>
          </w:p>
        </w:tc>
        <w:tc>
          <w:tcPr>
            <w:tcW w:w="966" w:type="dxa"/>
            <w:vAlign w:val="center"/>
          </w:tcPr>
          <w:p w14:paraId="0B6706E6" w14:textId="77777777" w:rsidR="004A0123" w:rsidRPr="000D3D0C" w:rsidRDefault="004A0123" w:rsidP="008A5C11">
            <w:pPr>
              <w:jc w:val="center"/>
              <w:rPr>
                <w:bCs/>
                <w:sz w:val="20"/>
                <w:szCs w:val="20"/>
                <w:lang w:val="en-US"/>
              </w:rPr>
            </w:pPr>
            <w:r w:rsidRPr="000D3D0C">
              <w:rPr>
                <w:bCs/>
                <w:sz w:val="20"/>
                <w:szCs w:val="20"/>
                <w:lang w:val="en-US"/>
              </w:rPr>
              <w:t>0</w:t>
            </w:r>
          </w:p>
        </w:tc>
        <w:tc>
          <w:tcPr>
            <w:tcW w:w="966" w:type="dxa"/>
            <w:vAlign w:val="center"/>
          </w:tcPr>
          <w:p w14:paraId="0A80524A" w14:textId="77777777" w:rsidR="004A0123" w:rsidRPr="000D3D0C" w:rsidRDefault="004A0123" w:rsidP="008A5C11">
            <w:pPr>
              <w:jc w:val="center"/>
              <w:rPr>
                <w:bCs/>
                <w:sz w:val="20"/>
                <w:szCs w:val="20"/>
                <w:lang w:val="en-US"/>
              </w:rPr>
            </w:pPr>
            <w:r w:rsidRPr="000D3D0C">
              <w:rPr>
                <w:bCs/>
                <w:sz w:val="20"/>
                <w:szCs w:val="20"/>
                <w:lang w:val="en-US"/>
              </w:rPr>
              <w:t>0</w:t>
            </w:r>
          </w:p>
        </w:tc>
        <w:tc>
          <w:tcPr>
            <w:tcW w:w="966" w:type="dxa"/>
            <w:vAlign w:val="center"/>
          </w:tcPr>
          <w:p w14:paraId="77E1A537" w14:textId="77777777" w:rsidR="004A0123" w:rsidRPr="000D3D0C" w:rsidRDefault="004A0123" w:rsidP="008A5C11">
            <w:pPr>
              <w:jc w:val="center"/>
              <w:rPr>
                <w:bCs/>
                <w:sz w:val="20"/>
                <w:szCs w:val="20"/>
                <w:lang w:val="en-US"/>
              </w:rPr>
            </w:pPr>
            <w:r w:rsidRPr="000D3D0C">
              <w:rPr>
                <w:bCs/>
                <w:sz w:val="20"/>
                <w:szCs w:val="20"/>
                <w:lang w:val="en-US"/>
              </w:rPr>
              <w:t>0</w:t>
            </w:r>
          </w:p>
        </w:tc>
      </w:tr>
      <w:tr w:rsidR="004A0123" w:rsidRPr="000D3D0C" w14:paraId="1A0962BD" w14:textId="77777777" w:rsidTr="008A5C11">
        <w:trPr>
          <w:trHeight w:val="510"/>
          <w:jc w:val="center"/>
        </w:trPr>
        <w:tc>
          <w:tcPr>
            <w:tcW w:w="475" w:type="dxa"/>
            <w:shd w:val="clear" w:color="auto" w:fill="auto"/>
            <w:tcMar>
              <w:left w:w="28" w:type="dxa"/>
              <w:right w:w="28" w:type="dxa"/>
            </w:tcMar>
            <w:vAlign w:val="center"/>
            <w:hideMark/>
          </w:tcPr>
          <w:p w14:paraId="69010695" w14:textId="77777777" w:rsidR="004A0123" w:rsidRPr="000D3D0C" w:rsidRDefault="004A0123" w:rsidP="008A5C11">
            <w:pPr>
              <w:jc w:val="center"/>
              <w:rPr>
                <w:sz w:val="20"/>
                <w:szCs w:val="20"/>
              </w:rPr>
            </w:pPr>
            <w:r w:rsidRPr="000D3D0C">
              <w:rPr>
                <w:sz w:val="20"/>
                <w:szCs w:val="20"/>
              </w:rPr>
              <w:t>1.4.</w:t>
            </w:r>
          </w:p>
        </w:tc>
        <w:tc>
          <w:tcPr>
            <w:tcW w:w="2112" w:type="dxa"/>
            <w:shd w:val="clear" w:color="auto" w:fill="auto"/>
            <w:tcMar>
              <w:left w:w="28" w:type="dxa"/>
              <w:right w:w="28" w:type="dxa"/>
            </w:tcMar>
            <w:vAlign w:val="center"/>
            <w:hideMark/>
          </w:tcPr>
          <w:p w14:paraId="67665EE3" w14:textId="77777777" w:rsidR="004A0123" w:rsidRPr="000D3D0C" w:rsidRDefault="004A0123" w:rsidP="008A5C11">
            <w:pPr>
              <w:rPr>
                <w:sz w:val="20"/>
                <w:szCs w:val="20"/>
              </w:rPr>
            </w:pPr>
            <w:r w:rsidRPr="000D3D0C">
              <w:rPr>
                <w:sz w:val="20"/>
                <w:szCs w:val="20"/>
              </w:rPr>
              <w:t>прочие средства, в т.ч. аренда имущества</w:t>
            </w:r>
          </w:p>
        </w:tc>
        <w:tc>
          <w:tcPr>
            <w:tcW w:w="1552" w:type="dxa"/>
            <w:shd w:val="clear" w:color="auto" w:fill="auto"/>
            <w:tcMar>
              <w:left w:w="28" w:type="dxa"/>
              <w:right w:w="28" w:type="dxa"/>
            </w:tcMar>
            <w:vAlign w:val="center"/>
          </w:tcPr>
          <w:p w14:paraId="5D5325B8" w14:textId="77777777" w:rsidR="004A0123" w:rsidRPr="000D3D0C" w:rsidRDefault="004A0123" w:rsidP="008A5C11">
            <w:pPr>
              <w:jc w:val="center"/>
              <w:rPr>
                <w:sz w:val="20"/>
                <w:szCs w:val="20"/>
                <w:lang w:val="en-US"/>
              </w:rPr>
            </w:pPr>
            <w:r w:rsidRPr="000D3D0C">
              <w:rPr>
                <w:sz w:val="20"/>
                <w:szCs w:val="20"/>
                <w:lang w:val="en-US"/>
              </w:rPr>
              <w:t>0</w:t>
            </w:r>
          </w:p>
        </w:tc>
        <w:tc>
          <w:tcPr>
            <w:tcW w:w="1206" w:type="dxa"/>
            <w:shd w:val="clear" w:color="auto" w:fill="auto"/>
            <w:tcMar>
              <w:left w:w="28" w:type="dxa"/>
              <w:right w:w="28" w:type="dxa"/>
            </w:tcMar>
            <w:vAlign w:val="center"/>
          </w:tcPr>
          <w:p w14:paraId="59DAFC54" w14:textId="77777777" w:rsidR="004A0123" w:rsidRPr="000D3D0C" w:rsidRDefault="004A0123" w:rsidP="008A5C11">
            <w:pPr>
              <w:jc w:val="center"/>
              <w:rPr>
                <w:sz w:val="20"/>
                <w:szCs w:val="20"/>
                <w:lang w:val="en-US"/>
              </w:rPr>
            </w:pPr>
            <w:r w:rsidRPr="000D3D0C">
              <w:rPr>
                <w:sz w:val="20"/>
                <w:szCs w:val="20"/>
                <w:lang w:val="en-US"/>
              </w:rPr>
              <w:t>0</w:t>
            </w:r>
          </w:p>
        </w:tc>
        <w:tc>
          <w:tcPr>
            <w:tcW w:w="859" w:type="dxa"/>
            <w:shd w:val="clear" w:color="auto" w:fill="auto"/>
            <w:tcMar>
              <w:left w:w="28" w:type="dxa"/>
              <w:right w:w="28" w:type="dxa"/>
            </w:tcMar>
            <w:vAlign w:val="center"/>
          </w:tcPr>
          <w:p w14:paraId="410EFF5A" w14:textId="77777777" w:rsidR="004A0123" w:rsidRPr="000D3D0C" w:rsidRDefault="004A0123" w:rsidP="008A5C11">
            <w:pPr>
              <w:jc w:val="center"/>
              <w:rPr>
                <w:bCs/>
                <w:sz w:val="20"/>
                <w:szCs w:val="20"/>
                <w:lang w:val="en-US"/>
              </w:rPr>
            </w:pPr>
            <w:r w:rsidRPr="000D3D0C">
              <w:rPr>
                <w:bCs/>
                <w:sz w:val="20"/>
                <w:szCs w:val="20"/>
                <w:lang w:val="en-US"/>
              </w:rPr>
              <w:t>0</w:t>
            </w:r>
          </w:p>
        </w:tc>
        <w:tc>
          <w:tcPr>
            <w:tcW w:w="889" w:type="dxa"/>
            <w:shd w:val="clear" w:color="auto" w:fill="auto"/>
            <w:tcMar>
              <w:left w:w="28" w:type="dxa"/>
              <w:right w:w="28" w:type="dxa"/>
            </w:tcMar>
            <w:vAlign w:val="center"/>
          </w:tcPr>
          <w:p w14:paraId="7766FB8E" w14:textId="77777777" w:rsidR="004A0123" w:rsidRPr="000D3D0C" w:rsidRDefault="004A0123" w:rsidP="008A5C11">
            <w:pPr>
              <w:jc w:val="center"/>
              <w:rPr>
                <w:bCs/>
                <w:sz w:val="20"/>
                <w:szCs w:val="20"/>
                <w:lang w:val="en-US"/>
              </w:rPr>
            </w:pPr>
            <w:r w:rsidRPr="000D3D0C">
              <w:rPr>
                <w:bCs/>
                <w:sz w:val="20"/>
                <w:szCs w:val="20"/>
                <w:lang w:val="en-US"/>
              </w:rPr>
              <w:t>0</w:t>
            </w:r>
          </w:p>
        </w:tc>
        <w:tc>
          <w:tcPr>
            <w:tcW w:w="901" w:type="dxa"/>
            <w:shd w:val="clear" w:color="auto" w:fill="auto"/>
            <w:tcMar>
              <w:left w:w="28" w:type="dxa"/>
              <w:right w:w="28" w:type="dxa"/>
            </w:tcMar>
            <w:vAlign w:val="center"/>
          </w:tcPr>
          <w:p w14:paraId="44CD6AF3" w14:textId="77777777" w:rsidR="004A0123" w:rsidRPr="000D3D0C" w:rsidRDefault="004A0123" w:rsidP="008A5C11">
            <w:pPr>
              <w:jc w:val="center"/>
              <w:rPr>
                <w:bCs/>
                <w:sz w:val="20"/>
                <w:szCs w:val="20"/>
                <w:lang w:val="en-US"/>
              </w:rPr>
            </w:pPr>
            <w:r w:rsidRPr="000D3D0C">
              <w:rPr>
                <w:bCs/>
                <w:sz w:val="20"/>
                <w:szCs w:val="20"/>
                <w:lang w:val="en-US"/>
              </w:rPr>
              <w:t>0</w:t>
            </w:r>
          </w:p>
        </w:tc>
        <w:tc>
          <w:tcPr>
            <w:tcW w:w="901" w:type="dxa"/>
            <w:tcMar>
              <w:left w:w="28" w:type="dxa"/>
              <w:right w:w="28" w:type="dxa"/>
            </w:tcMar>
            <w:vAlign w:val="center"/>
          </w:tcPr>
          <w:p w14:paraId="178CC991" w14:textId="77777777" w:rsidR="004A0123" w:rsidRPr="000D3D0C" w:rsidRDefault="004A0123" w:rsidP="008A5C11">
            <w:pPr>
              <w:jc w:val="center"/>
              <w:rPr>
                <w:bCs/>
                <w:sz w:val="20"/>
                <w:szCs w:val="20"/>
                <w:lang w:val="en-US"/>
              </w:rPr>
            </w:pPr>
            <w:r w:rsidRPr="000D3D0C">
              <w:rPr>
                <w:bCs/>
                <w:sz w:val="20"/>
                <w:szCs w:val="20"/>
                <w:lang w:val="en-US"/>
              </w:rPr>
              <w:t>0</w:t>
            </w:r>
          </w:p>
        </w:tc>
        <w:tc>
          <w:tcPr>
            <w:tcW w:w="901" w:type="dxa"/>
            <w:tcMar>
              <w:left w:w="28" w:type="dxa"/>
              <w:right w:w="28" w:type="dxa"/>
            </w:tcMar>
            <w:vAlign w:val="center"/>
          </w:tcPr>
          <w:p w14:paraId="0F1D78A0" w14:textId="77777777" w:rsidR="004A0123" w:rsidRPr="000D3D0C" w:rsidRDefault="004A0123" w:rsidP="008A5C11">
            <w:pPr>
              <w:jc w:val="center"/>
              <w:rPr>
                <w:bCs/>
                <w:sz w:val="20"/>
                <w:szCs w:val="20"/>
                <w:lang w:val="en-US"/>
              </w:rPr>
            </w:pPr>
            <w:r w:rsidRPr="000D3D0C">
              <w:rPr>
                <w:bCs/>
                <w:sz w:val="20"/>
                <w:szCs w:val="20"/>
                <w:lang w:val="en-US"/>
              </w:rPr>
              <w:t>0</w:t>
            </w:r>
          </w:p>
        </w:tc>
        <w:tc>
          <w:tcPr>
            <w:tcW w:w="966" w:type="dxa"/>
            <w:vAlign w:val="center"/>
          </w:tcPr>
          <w:p w14:paraId="78A94765" w14:textId="77777777" w:rsidR="004A0123" w:rsidRPr="000D3D0C" w:rsidRDefault="004A0123" w:rsidP="008A5C11">
            <w:pPr>
              <w:jc w:val="center"/>
              <w:rPr>
                <w:bCs/>
                <w:sz w:val="20"/>
                <w:szCs w:val="20"/>
                <w:lang w:val="en-US"/>
              </w:rPr>
            </w:pPr>
            <w:r w:rsidRPr="000D3D0C">
              <w:rPr>
                <w:bCs/>
                <w:sz w:val="20"/>
                <w:szCs w:val="20"/>
                <w:lang w:val="en-US"/>
              </w:rPr>
              <w:t>0</w:t>
            </w:r>
          </w:p>
        </w:tc>
        <w:tc>
          <w:tcPr>
            <w:tcW w:w="966" w:type="dxa"/>
            <w:vAlign w:val="center"/>
          </w:tcPr>
          <w:p w14:paraId="1124F384" w14:textId="77777777" w:rsidR="004A0123" w:rsidRPr="000D3D0C" w:rsidRDefault="004A0123" w:rsidP="008A5C11">
            <w:pPr>
              <w:jc w:val="center"/>
              <w:rPr>
                <w:bCs/>
                <w:sz w:val="20"/>
                <w:szCs w:val="20"/>
                <w:lang w:val="en-US"/>
              </w:rPr>
            </w:pPr>
            <w:r w:rsidRPr="000D3D0C">
              <w:rPr>
                <w:bCs/>
                <w:sz w:val="20"/>
                <w:szCs w:val="20"/>
                <w:lang w:val="en-US"/>
              </w:rPr>
              <w:t>0</w:t>
            </w:r>
          </w:p>
        </w:tc>
        <w:tc>
          <w:tcPr>
            <w:tcW w:w="966" w:type="dxa"/>
            <w:vAlign w:val="center"/>
          </w:tcPr>
          <w:p w14:paraId="519ED250" w14:textId="77777777" w:rsidR="004A0123" w:rsidRPr="000D3D0C" w:rsidRDefault="004A0123" w:rsidP="008A5C11">
            <w:pPr>
              <w:jc w:val="center"/>
              <w:rPr>
                <w:bCs/>
                <w:sz w:val="20"/>
                <w:szCs w:val="20"/>
                <w:lang w:val="en-US"/>
              </w:rPr>
            </w:pPr>
            <w:r w:rsidRPr="000D3D0C">
              <w:rPr>
                <w:bCs/>
                <w:sz w:val="20"/>
                <w:szCs w:val="20"/>
                <w:lang w:val="en-US"/>
              </w:rPr>
              <w:t>0</w:t>
            </w:r>
          </w:p>
        </w:tc>
        <w:tc>
          <w:tcPr>
            <w:tcW w:w="966" w:type="dxa"/>
            <w:vAlign w:val="center"/>
          </w:tcPr>
          <w:p w14:paraId="54F72C37" w14:textId="77777777" w:rsidR="004A0123" w:rsidRPr="000D3D0C" w:rsidRDefault="004A0123" w:rsidP="008A5C11">
            <w:pPr>
              <w:jc w:val="center"/>
              <w:rPr>
                <w:bCs/>
                <w:sz w:val="20"/>
                <w:szCs w:val="20"/>
                <w:lang w:val="en-US"/>
              </w:rPr>
            </w:pPr>
            <w:r w:rsidRPr="000D3D0C">
              <w:rPr>
                <w:bCs/>
                <w:sz w:val="20"/>
                <w:szCs w:val="20"/>
                <w:lang w:val="en-US"/>
              </w:rPr>
              <w:t>0</w:t>
            </w:r>
          </w:p>
        </w:tc>
        <w:tc>
          <w:tcPr>
            <w:tcW w:w="966" w:type="dxa"/>
            <w:vAlign w:val="center"/>
          </w:tcPr>
          <w:p w14:paraId="29681C10" w14:textId="77777777" w:rsidR="004A0123" w:rsidRPr="000D3D0C" w:rsidRDefault="004A0123" w:rsidP="008A5C11">
            <w:pPr>
              <w:jc w:val="center"/>
              <w:rPr>
                <w:bCs/>
                <w:sz w:val="20"/>
                <w:szCs w:val="20"/>
                <w:lang w:val="en-US"/>
              </w:rPr>
            </w:pPr>
            <w:r w:rsidRPr="000D3D0C">
              <w:rPr>
                <w:bCs/>
                <w:sz w:val="20"/>
                <w:szCs w:val="20"/>
                <w:lang w:val="en-US"/>
              </w:rPr>
              <w:t>0</w:t>
            </w:r>
          </w:p>
        </w:tc>
      </w:tr>
      <w:tr w:rsidR="004A0123" w:rsidRPr="000D3D0C" w14:paraId="695FAB2C" w14:textId="77777777" w:rsidTr="008A5C11">
        <w:trPr>
          <w:trHeight w:val="255"/>
          <w:jc w:val="center"/>
        </w:trPr>
        <w:tc>
          <w:tcPr>
            <w:tcW w:w="475" w:type="dxa"/>
            <w:shd w:val="clear" w:color="auto" w:fill="auto"/>
            <w:tcMar>
              <w:left w:w="28" w:type="dxa"/>
              <w:right w:w="28" w:type="dxa"/>
            </w:tcMar>
            <w:vAlign w:val="center"/>
            <w:hideMark/>
          </w:tcPr>
          <w:p w14:paraId="751DA6BA" w14:textId="77777777" w:rsidR="004A0123" w:rsidRPr="000D3D0C" w:rsidRDefault="004A0123" w:rsidP="008A5C11">
            <w:pPr>
              <w:jc w:val="center"/>
              <w:rPr>
                <w:bCs/>
                <w:sz w:val="20"/>
                <w:szCs w:val="20"/>
              </w:rPr>
            </w:pPr>
            <w:r w:rsidRPr="000D3D0C">
              <w:rPr>
                <w:bCs/>
                <w:sz w:val="20"/>
                <w:szCs w:val="20"/>
              </w:rPr>
              <w:t>2.</w:t>
            </w:r>
          </w:p>
        </w:tc>
        <w:tc>
          <w:tcPr>
            <w:tcW w:w="2112" w:type="dxa"/>
            <w:shd w:val="clear" w:color="auto" w:fill="auto"/>
            <w:tcMar>
              <w:left w:w="28" w:type="dxa"/>
              <w:right w:w="28" w:type="dxa"/>
            </w:tcMar>
            <w:vAlign w:val="center"/>
            <w:hideMark/>
          </w:tcPr>
          <w:p w14:paraId="0D922502" w14:textId="77777777" w:rsidR="004A0123" w:rsidRPr="000D3D0C" w:rsidRDefault="004A0123" w:rsidP="008A5C11">
            <w:pPr>
              <w:rPr>
                <w:bCs/>
                <w:sz w:val="20"/>
                <w:szCs w:val="20"/>
              </w:rPr>
            </w:pPr>
            <w:r w:rsidRPr="000D3D0C">
              <w:rPr>
                <w:bCs/>
                <w:sz w:val="20"/>
                <w:szCs w:val="20"/>
              </w:rPr>
              <w:t>Привлеченные средства</w:t>
            </w:r>
          </w:p>
        </w:tc>
        <w:tc>
          <w:tcPr>
            <w:tcW w:w="1552" w:type="dxa"/>
            <w:shd w:val="clear" w:color="auto" w:fill="auto"/>
            <w:tcMar>
              <w:left w:w="28" w:type="dxa"/>
              <w:right w:w="28" w:type="dxa"/>
            </w:tcMar>
            <w:vAlign w:val="center"/>
          </w:tcPr>
          <w:p w14:paraId="3AA285E2" w14:textId="77777777" w:rsidR="004A0123" w:rsidRPr="000D3D0C" w:rsidRDefault="004A0123" w:rsidP="008A5C11">
            <w:pPr>
              <w:jc w:val="center"/>
              <w:rPr>
                <w:sz w:val="20"/>
                <w:szCs w:val="20"/>
                <w:lang w:val="en-US"/>
              </w:rPr>
            </w:pPr>
            <w:r w:rsidRPr="000D3D0C">
              <w:rPr>
                <w:sz w:val="20"/>
                <w:szCs w:val="20"/>
                <w:lang w:val="en-US"/>
              </w:rPr>
              <w:t>0</w:t>
            </w:r>
          </w:p>
        </w:tc>
        <w:tc>
          <w:tcPr>
            <w:tcW w:w="1206" w:type="dxa"/>
            <w:shd w:val="clear" w:color="auto" w:fill="auto"/>
            <w:tcMar>
              <w:left w:w="28" w:type="dxa"/>
              <w:right w:w="28" w:type="dxa"/>
            </w:tcMar>
            <w:vAlign w:val="center"/>
          </w:tcPr>
          <w:p w14:paraId="07F705DF" w14:textId="77777777" w:rsidR="004A0123" w:rsidRPr="000D3D0C" w:rsidRDefault="004A0123" w:rsidP="008A5C11">
            <w:pPr>
              <w:jc w:val="center"/>
              <w:rPr>
                <w:sz w:val="20"/>
                <w:szCs w:val="20"/>
                <w:lang w:val="en-US"/>
              </w:rPr>
            </w:pPr>
            <w:r w:rsidRPr="000D3D0C">
              <w:rPr>
                <w:sz w:val="20"/>
                <w:szCs w:val="20"/>
                <w:lang w:val="en-US"/>
              </w:rPr>
              <w:t>0</w:t>
            </w:r>
          </w:p>
        </w:tc>
        <w:tc>
          <w:tcPr>
            <w:tcW w:w="859" w:type="dxa"/>
            <w:shd w:val="clear" w:color="auto" w:fill="auto"/>
            <w:tcMar>
              <w:left w:w="28" w:type="dxa"/>
              <w:right w:w="28" w:type="dxa"/>
            </w:tcMar>
            <w:vAlign w:val="center"/>
          </w:tcPr>
          <w:p w14:paraId="2AA8FC87" w14:textId="77777777" w:rsidR="004A0123" w:rsidRPr="000D3D0C" w:rsidRDefault="004A0123" w:rsidP="008A5C11">
            <w:pPr>
              <w:jc w:val="center"/>
              <w:rPr>
                <w:bCs/>
                <w:sz w:val="20"/>
                <w:szCs w:val="20"/>
                <w:lang w:val="en-US"/>
              </w:rPr>
            </w:pPr>
            <w:r w:rsidRPr="000D3D0C">
              <w:rPr>
                <w:bCs/>
                <w:sz w:val="20"/>
                <w:szCs w:val="20"/>
                <w:lang w:val="en-US"/>
              </w:rPr>
              <w:t>0</w:t>
            </w:r>
          </w:p>
        </w:tc>
        <w:tc>
          <w:tcPr>
            <w:tcW w:w="889" w:type="dxa"/>
            <w:shd w:val="clear" w:color="auto" w:fill="auto"/>
            <w:tcMar>
              <w:left w:w="28" w:type="dxa"/>
              <w:right w:w="28" w:type="dxa"/>
            </w:tcMar>
            <w:vAlign w:val="center"/>
          </w:tcPr>
          <w:p w14:paraId="2FEC8995" w14:textId="77777777" w:rsidR="004A0123" w:rsidRPr="000D3D0C" w:rsidRDefault="004A0123" w:rsidP="008A5C11">
            <w:pPr>
              <w:jc w:val="center"/>
              <w:rPr>
                <w:bCs/>
                <w:sz w:val="20"/>
                <w:szCs w:val="20"/>
                <w:lang w:val="en-US"/>
              </w:rPr>
            </w:pPr>
            <w:r w:rsidRPr="000D3D0C">
              <w:rPr>
                <w:bCs/>
                <w:sz w:val="20"/>
                <w:szCs w:val="20"/>
                <w:lang w:val="en-US"/>
              </w:rPr>
              <w:t>0</w:t>
            </w:r>
          </w:p>
        </w:tc>
        <w:tc>
          <w:tcPr>
            <w:tcW w:w="901" w:type="dxa"/>
            <w:shd w:val="clear" w:color="auto" w:fill="auto"/>
            <w:tcMar>
              <w:left w:w="28" w:type="dxa"/>
              <w:right w:w="28" w:type="dxa"/>
            </w:tcMar>
            <w:vAlign w:val="center"/>
          </w:tcPr>
          <w:p w14:paraId="2066D7FF" w14:textId="77777777" w:rsidR="004A0123" w:rsidRPr="000D3D0C" w:rsidRDefault="004A0123" w:rsidP="008A5C11">
            <w:pPr>
              <w:jc w:val="center"/>
              <w:rPr>
                <w:bCs/>
                <w:sz w:val="20"/>
                <w:szCs w:val="20"/>
                <w:lang w:val="en-US"/>
              </w:rPr>
            </w:pPr>
            <w:r w:rsidRPr="000D3D0C">
              <w:rPr>
                <w:bCs/>
                <w:sz w:val="20"/>
                <w:szCs w:val="20"/>
                <w:lang w:val="en-US"/>
              </w:rPr>
              <w:t>0</w:t>
            </w:r>
          </w:p>
        </w:tc>
        <w:tc>
          <w:tcPr>
            <w:tcW w:w="901" w:type="dxa"/>
            <w:tcMar>
              <w:left w:w="28" w:type="dxa"/>
              <w:right w:w="28" w:type="dxa"/>
            </w:tcMar>
            <w:vAlign w:val="center"/>
          </w:tcPr>
          <w:p w14:paraId="24791453" w14:textId="77777777" w:rsidR="004A0123" w:rsidRPr="000D3D0C" w:rsidRDefault="004A0123" w:rsidP="008A5C11">
            <w:pPr>
              <w:jc w:val="center"/>
              <w:rPr>
                <w:bCs/>
                <w:sz w:val="20"/>
                <w:szCs w:val="20"/>
                <w:lang w:val="en-US"/>
              </w:rPr>
            </w:pPr>
            <w:r w:rsidRPr="000D3D0C">
              <w:rPr>
                <w:bCs/>
                <w:sz w:val="20"/>
                <w:szCs w:val="20"/>
                <w:lang w:val="en-US"/>
              </w:rPr>
              <w:t>0</w:t>
            </w:r>
          </w:p>
        </w:tc>
        <w:tc>
          <w:tcPr>
            <w:tcW w:w="901" w:type="dxa"/>
            <w:tcMar>
              <w:left w:w="28" w:type="dxa"/>
              <w:right w:w="28" w:type="dxa"/>
            </w:tcMar>
            <w:vAlign w:val="center"/>
          </w:tcPr>
          <w:p w14:paraId="540D80F4" w14:textId="77777777" w:rsidR="004A0123" w:rsidRPr="000D3D0C" w:rsidRDefault="004A0123" w:rsidP="008A5C11">
            <w:pPr>
              <w:jc w:val="center"/>
              <w:rPr>
                <w:bCs/>
                <w:sz w:val="20"/>
                <w:szCs w:val="20"/>
                <w:lang w:val="en-US"/>
              </w:rPr>
            </w:pPr>
            <w:r w:rsidRPr="000D3D0C">
              <w:rPr>
                <w:bCs/>
                <w:sz w:val="20"/>
                <w:szCs w:val="20"/>
                <w:lang w:val="en-US"/>
              </w:rPr>
              <w:t>0</w:t>
            </w:r>
          </w:p>
        </w:tc>
        <w:tc>
          <w:tcPr>
            <w:tcW w:w="966" w:type="dxa"/>
            <w:vAlign w:val="center"/>
          </w:tcPr>
          <w:p w14:paraId="2518F173" w14:textId="77777777" w:rsidR="004A0123" w:rsidRPr="000D3D0C" w:rsidRDefault="004A0123" w:rsidP="008A5C11">
            <w:pPr>
              <w:jc w:val="center"/>
              <w:rPr>
                <w:bCs/>
                <w:sz w:val="20"/>
                <w:szCs w:val="20"/>
                <w:lang w:val="en-US"/>
              </w:rPr>
            </w:pPr>
            <w:r w:rsidRPr="000D3D0C">
              <w:rPr>
                <w:bCs/>
                <w:sz w:val="20"/>
                <w:szCs w:val="20"/>
                <w:lang w:val="en-US"/>
              </w:rPr>
              <w:t>0</w:t>
            </w:r>
          </w:p>
        </w:tc>
        <w:tc>
          <w:tcPr>
            <w:tcW w:w="966" w:type="dxa"/>
            <w:vAlign w:val="center"/>
          </w:tcPr>
          <w:p w14:paraId="48F39654" w14:textId="77777777" w:rsidR="004A0123" w:rsidRPr="000D3D0C" w:rsidRDefault="004A0123" w:rsidP="008A5C11">
            <w:pPr>
              <w:jc w:val="center"/>
              <w:rPr>
                <w:bCs/>
                <w:sz w:val="20"/>
                <w:szCs w:val="20"/>
                <w:lang w:val="en-US"/>
              </w:rPr>
            </w:pPr>
            <w:r w:rsidRPr="000D3D0C">
              <w:rPr>
                <w:bCs/>
                <w:sz w:val="20"/>
                <w:szCs w:val="20"/>
                <w:lang w:val="en-US"/>
              </w:rPr>
              <w:t>0</w:t>
            </w:r>
          </w:p>
        </w:tc>
        <w:tc>
          <w:tcPr>
            <w:tcW w:w="966" w:type="dxa"/>
            <w:vAlign w:val="center"/>
          </w:tcPr>
          <w:p w14:paraId="43DAEE48" w14:textId="77777777" w:rsidR="004A0123" w:rsidRPr="000D3D0C" w:rsidRDefault="004A0123" w:rsidP="008A5C11">
            <w:pPr>
              <w:jc w:val="center"/>
              <w:rPr>
                <w:bCs/>
                <w:sz w:val="20"/>
                <w:szCs w:val="20"/>
                <w:lang w:val="en-US"/>
              </w:rPr>
            </w:pPr>
            <w:r w:rsidRPr="000D3D0C">
              <w:rPr>
                <w:bCs/>
                <w:sz w:val="20"/>
                <w:szCs w:val="20"/>
                <w:lang w:val="en-US"/>
              </w:rPr>
              <w:t>0</w:t>
            </w:r>
          </w:p>
        </w:tc>
        <w:tc>
          <w:tcPr>
            <w:tcW w:w="966" w:type="dxa"/>
            <w:vAlign w:val="center"/>
          </w:tcPr>
          <w:p w14:paraId="40F40ADC" w14:textId="77777777" w:rsidR="004A0123" w:rsidRPr="000D3D0C" w:rsidRDefault="004A0123" w:rsidP="008A5C11">
            <w:pPr>
              <w:jc w:val="center"/>
              <w:rPr>
                <w:bCs/>
                <w:sz w:val="20"/>
                <w:szCs w:val="20"/>
                <w:lang w:val="en-US"/>
              </w:rPr>
            </w:pPr>
            <w:r w:rsidRPr="000D3D0C">
              <w:rPr>
                <w:bCs/>
                <w:sz w:val="20"/>
                <w:szCs w:val="20"/>
                <w:lang w:val="en-US"/>
              </w:rPr>
              <w:t>0</w:t>
            </w:r>
          </w:p>
        </w:tc>
        <w:tc>
          <w:tcPr>
            <w:tcW w:w="966" w:type="dxa"/>
            <w:vAlign w:val="center"/>
          </w:tcPr>
          <w:p w14:paraId="6D51776E" w14:textId="77777777" w:rsidR="004A0123" w:rsidRPr="000D3D0C" w:rsidRDefault="004A0123" w:rsidP="008A5C11">
            <w:pPr>
              <w:jc w:val="center"/>
              <w:rPr>
                <w:bCs/>
                <w:sz w:val="20"/>
                <w:szCs w:val="20"/>
                <w:lang w:val="en-US"/>
              </w:rPr>
            </w:pPr>
            <w:r w:rsidRPr="000D3D0C">
              <w:rPr>
                <w:bCs/>
                <w:sz w:val="20"/>
                <w:szCs w:val="20"/>
                <w:lang w:val="en-US"/>
              </w:rPr>
              <w:t>0</w:t>
            </w:r>
          </w:p>
        </w:tc>
      </w:tr>
      <w:tr w:rsidR="004A0123" w:rsidRPr="000D3D0C" w14:paraId="39B7D583" w14:textId="77777777" w:rsidTr="008A5C11">
        <w:trPr>
          <w:trHeight w:val="255"/>
          <w:jc w:val="center"/>
        </w:trPr>
        <w:tc>
          <w:tcPr>
            <w:tcW w:w="475" w:type="dxa"/>
            <w:shd w:val="clear" w:color="auto" w:fill="auto"/>
            <w:tcMar>
              <w:left w:w="28" w:type="dxa"/>
              <w:right w:w="28" w:type="dxa"/>
            </w:tcMar>
            <w:vAlign w:val="center"/>
            <w:hideMark/>
          </w:tcPr>
          <w:p w14:paraId="1636ACB3" w14:textId="77777777" w:rsidR="004A0123" w:rsidRPr="000D3D0C" w:rsidRDefault="004A0123" w:rsidP="008A5C11">
            <w:pPr>
              <w:jc w:val="center"/>
              <w:rPr>
                <w:sz w:val="20"/>
                <w:szCs w:val="20"/>
              </w:rPr>
            </w:pPr>
            <w:r w:rsidRPr="000D3D0C">
              <w:rPr>
                <w:sz w:val="20"/>
                <w:szCs w:val="20"/>
              </w:rPr>
              <w:t>2.1.</w:t>
            </w:r>
          </w:p>
        </w:tc>
        <w:tc>
          <w:tcPr>
            <w:tcW w:w="2112" w:type="dxa"/>
            <w:shd w:val="clear" w:color="auto" w:fill="auto"/>
            <w:tcMar>
              <w:left w:w="28" w:type="dxa"/>
              <w:right w:w="28" w:type="dxa"/>
            </w:tcMar>
            <w:vAlign w:val="center"/>
            <w:hideMark/>
          </w:tcPr>
          <w:p w14:paraId="4A8C1037" w14:textId="77777777" w:rsidR="004A0123" w:rsidRPr="000D3D0C" w:rsidRDefault="004A0123" w:rsidP="008A5C11">
            <w:pPr>
              <w:rPr>
                <w:sz w:val="20"/>
                <w:szCs w:val="20"/>
              </w:rPr>
            </w:pPr>
            <w:r w:rsidRPr="000D3D0C">
              <w:rPr>
                <w:sz w:val="20"/>
                <w:szCs w:val="20"/>
              </w:rPr>
              <w:t>кредиты</w:t>
            </w:r>
          </w:p>
        </w:tc>
        <w:tc>
          <w:tcPr>
            <w:tcW w:w="1552" w:type="dxa"/>
            <w:shd w:val="clear" w:color="auto" w:fill="auto"/>
            <w:tcMar>
              <w:left w:w="28" w:type="dxa"/>
              <w:right w:w="28" w:type="dxa"/>
            </w:tcMar>
            <w:vAlign w:val="center"/>
          </w:tcPr>
          <w:p w14:paraId="7A56E8DE" w14:textId="77777777" w:rsidR="004A0123" w:rsidRPr="000D3D0C" w:rsidRDefault="004A0123" w:rsidP="008A5C11">
            <w:pPr>
              <w:jc w:val="center"/>
              <w:rPr>
                <w:sz w:val="20"/>
                <w:szCs w:val="20"/>
                <w:lang w:val="en-US"/>
              </w:rPr>
            </w:pPr>
            <w:r w:rsidRPr="000D3D0C">
              <w:rPr>
                <w:sz w:val="20"/>
                <w:szCs w:val="20"/>
                <w:lang w:val="en-US"/>
              </w:rPr>
              <w:t>0</w:t>
            </w:r>
          </w:p>
        </w:tc>
        <w:tc>
          <w:tcPr>
            <w:tcW w:w="1206" w:type="dxa"/>
            <w:shd w:val="clear" w:color="auto" w:fill="auto"/>
            <w:tcMar>
              <w:left w:w="28" w:type="dxa"/>
              <w:right w:w="28" w:type="dxa"/>
            </w:tcMar>
            <w:vAlign w:val="center"/>
          </w:tcPr>
          <w:p w14:paraId="73307326" w14:textId="77777777" w:rsidR="004A0123" w:rsidRPr="000D3D0C" w:rsidRDefault="004A0123" w:rsidP="008A5C11">
            <w:pPr>
              <w:jc w:val="center"/>
              <w:rPr>
                <w:sz w:val="20"/>
                <w:szCs w:val="20"/>
                <w:lang w:val="en-US"/>
              </w:rPr>
            </w:pPr>
            <w:r w:rsidRPr="000D3D0C">
              <w:rPr>
                <w:sz w:val="20"/>
                <w:szCs w:val="20"/>
                <w:lang w:val="en-US"/>
              </w:rPr>
              <w:t>0</w:t>
            </w:r>
          </w:p>
        </w:tc>
        <w:tc>
          <w:tcPr>
            <w:tcW w:w="859" w:type="dxa"/>
            <w:shd w:val="clear" w:color="auto" w:fill="auto"/>
            <w:tcMar>
              <w:left w:w="28" w:type="dxa"/>
              <w:right w:w="28" w:type="dxa"/>
            </w:tcMar>
            <w:vAlign w:val="center"/>
          </w:tcPr>
          <w:p w14:paraId="24BE653A" w14:textId="77777777" w:rsidR="004A0123" w:rsidRPr="000D3D0C" w:rsidRDefault="004A0123" w:rsidP="008A5C11">
            <w:pPr>
              <w:jc w:val="center"/>
              <w:rPr>
                <w:bCs/>
                <w:sz w:val="20"/>
                <w:szCs w:val="20"/>
                <w:lang w:val="en-US"/>
              </w:rPr>
            </w:pPr>
            <w:r w:rsidRPr="000D3D0C">
              <w:rPr>
                <w:bCs/>
                <w:sz w:val="20"/>
                <w:szCs w:val="20"/>
                <w:lang w:val="en-US"/>
              </w:rPr>
              <w:t>0</w:t>
            </w:r>
          </w:p>
        </w:tc>
        <w:tc>
          <w:tcPr>
            <w:tcW w:w="889" w:type="dxa"/>
            <w:shd w:val="clear" w:color="auto" w:fill="auto"/>
            <w:tcMar>
              <w:left w:w="28" w:type="dxa"/>
              <w:right w:w="28" w:type="dxa"/>
            </w:tcMar>
            <w:vAlign w:val="center"/>
          </w:tcPr>
          <w:p w14:paraId="373E359E" w14:textId="77777777" w:rsidR="004A0123" w:rsidRPr="000D3D0C" w:rsidRDefault="004A0123" w:rsidP="008A5C11">
            <w:pPr>
              <w:jc w:val="center"/>
              <w:rPr>
                <w:bCs/>
                <w:sz w:val="20"/>
                <w:szCs w:val="20"/>
                <w:lang w:val="en-US"/>
              </w:rPr>
            </w:pPr>
            <w:r w:rsidRPr="000D3D0C">
              <w:rPr>
                <w:bCs/>
                <w:sz w:val="20"/>
                <w:szCs w:val="20"/>
                <w:lang w:val="en-US"/>
              </w:rPr>
              <w:t>0</w:t>
            </w:r>
          </w:p>
        </w:tc>
        <w:tc>
          <w:tcPr>
            <w:tcW w:w="901" w:type="dxa"/>
            <w:shd w:val="clear" w:color="auto" w:fill="auto"/>
            <w:tcMar>
              <w:left w:w="28" w:type="dxa"/>
              <w:right w:w="28" w:type="dxa"/>
            </w:tcMar>
            <w:vAlign w:val="center"/>
          </w:tcPr>
          <w:p w14:paraId="689BB62D" w14:textId="77777777" w:rsidR="004A0123" w:rsidRPr="000D3D0C" w:rsidRDefault="004A0123" w:rsidP="008A5C11">
            <w:pPr>
              <w:jc w:val="center"/>
              <w:rPr>
                <w:bCs/>
                <w:sz w:val="20"/>
                <w:szCs w:val="20"/>
                <w:lang w:val="en-US"/>
              </w:rPr>
            </w:pPr>
            <w:r w:rsidRPr="000D3D0C">
              <w:rPr>
                <w:bCs/>
                <w:sz w:val="20"/>
                <w:szCs w:val="20"/>
                <w:lang w:val="en-US"/>
              </w:rPr>
              <w:t>0</w:t>
            </w:r>
          </w:p>
        </w:tc>
        <w:tc>
          <w:tcPr>
            <w:tcW w:w="901" w:type="dxa"/>
            <w:tcMar>
              <w:left w:w="28" w:type="dxa"/>
              <w:right w:w="28" w:type="dxa"/>
            </w:tcMar>
            <w:vAlign w:val="center"/>
          </w:tcPr>
          <w:p w14:paraId="38A8DD00" w14:textId="77777777" w:rsidR="004A0123" w:rsidRPr="000D3D0C" w:rsidRDefault="004A0123" w:rsidP="008A5C11">
            <w:pPr>
              <w:jc w:val="center"/>
              <w:rPr>
                <w:bCs/>
                <w:sz w:val="20"/>
                <w:szCs w:val="20"/>
                <w:lang w:val="en-US"/>
              </w:rPr>
            </w:pPr>
            <w:r w:rsidRPr="000D3D0C">
              <w:rPr>
                <w:bCs/>
                <w:sz w:val="20"/>
                <w:szCs w:val="20"/>
                <w:lang w:val="en-US"/>
              </w:rPr>
              <w:t>0</w:t>
            </w:r>
          </w:p>
        </w:tc>
        <w:tc>
          <w:tcPr>
            <w:tcW w:w="901" w:type="dxa"/>
            <w:tcMar>
              <w:left w:w="28" w:type="dxa"/>
              <w:right w:w="28" w:type="dxa"/>
            </w:tcMar>
            <w:vAlign w:val="center"/>
          </w:tcPr>
          <w:p w14:paraId="41331E1E" w14:textId="77777777" w:rsidR="004A0123" w:rsidRPr="000D3D0C" w:rsidRDefault="004A0123" w:rsidP="008A5C11">
            <w:pPr>
              <w:jc w:val="center"/>
              <w:rPr>
                <w:bCs/>
                <w:sz w:val="20"/>
                <w:szCs w:val="20"/>
                <w:lang w:val="en-US"/>
              </w:rPr>
            </w:pPr>
            <w:r w:rsidRPr="000D3D0C">
              <w:rPr>
                <w:bCs/>
                <w:sz w:val="20"/>
                <w:szCs w:val="20"/>
                <w:lang w:val="en-US"/>
              </w:rPr>
              <w:t>0</w:t>
            </w:r>
          </w:p>
        </w:tc>
        <w:tc>
          <w:tcPr>
            <w:tcW w:w="966" w:type="dxa"/>
            <w:vAlign w:val="center"/>
          </w:tcPr>
          <w:p w14:paraId="61174BEC" w14:textId="77777777" w:rsidR="004A0123" w:rsidRPr="000D3D0C" w:rsidRDefault="004A0123" w:rsidP="008A5C11">
            <w:pPr>
              <w:jc w:val="center"/>
              <w:rPr>
                <w:bCs/>
                <w:sz w:val="20"/>
                <w:szCs w:val="20"/>
                <w:lang w:val="en-US"/>
              </w:rPr>
            </w:pPr>
            <w:r w:rsidRPr="000D3D0C">
              <w:rPr>
                <w:bCs/>
                <w:sz w:val="20"/>
                <w:szCs w:val="20"/>
                <w:lang w:val="en-US"/>
              </w:rPr>
              <w:t>0</w:t>
            </w:r>
          </w:p>
        </w:tc>
        <w:tc>
          <w:tcPr>
            <w:tcW w:w="966" w:type="dxa"/>
            <w:vAlign w:val="center"/>
          </w:tcPr>
          <w:p w14:paraId="55C89392" w14:textId="77777777" w:rsidR="004A0123" w:rsidRPr="000D3D0C" w:rsidRDefault="004A0123" w:rsidP="008A5C11">
            <w:pPr>
              <w:jc w:val="center"/>
              <w:rPr>
                <w:bCs/>
                <w:sz w:val="20"/>
                <w:szCs w:val="20"/>
                <w:lang w:val="en-US"/>
              </w:rPr>
            </w:pPr>
            <w:r w:rsidRPr="000D3D0C">
              <w:rPr>
                <w:bCs/>
                <w:sz w:val="20"/>
                <w:szCs w:val="20"/>
                <w:lang w:val="en-US"/>
              </w:rPr>
              <w:t>0</w:t>
            </w:r>
          </w:p>
        </w:tc>
        <w:tc>
          <w:tcPr>
            <w:tcW w:w="966" w:type="dxa"/>
            <w:vAlign w:val="center"/>
          </w:tcPr>
          <w:p w14:paraId="0AD22507" w14:textId="77777777" w:rsidR="004A0123" w:rsidRPr="000D3D0C" w:rsidRDefault="004A0123" w:rsidP="008A5C11">
            <w:pPr>
              <w:jc w:val="center"/>
              <w:rPr>
                <w:bCs/>
                <w:sz w:val="20"/>
                <w:szCs w:val="20"/>
                <w:lang w:val="en-US"/>
              </w:rPr>
            </w:pPr>
            <w:r w:rsidRPr="000D3D0C">
              <w:rPr>
                <w:bCs/>
                <w:sz w:val="20"/>
                <w:szCs w:val="20"/>
                <w:lang w:val="en-US"/>
              </w:rPr>
              <w:t>0</w:t>
            </w:r>
          </w:p>
        </w:tc>
        <w:tc>
          <w:tcPr>
            <w:tcW w:w="966" w:type="dxa"/>
            <w:vAlign w:val="center"/>
          </w:tcPr>
          <w:p w14:paraId="3AE340FB" w14:textId="77777777" w:rsidR="004A0123" w:rsidRPr="000D3D0C" w:rsidRDefault="004A0123" w:rsidP="008A5C11">
            <w:pPr>
              <w:jc w:val="center"/>
              <w:rPr>
                <w:bCs/>
                <w:sz w:val="20"/>
                <w:szCs w:val="20"/>
                <w:lang w:val="en-US"/>
              </w:rPr>
            </w:pPr>
            <w:r w:rsidRPr="000D3D0C">
              <w:rPr>
                <w:bCs/>
                <w:sz w:val="20"/>
                <w:szCs w:val="20"/>
                <w:lang w:val="en-US"/>
              </w:rPr>
              <w:t>0</w:t>
            </w:r>
          </w:p>
        </w:tc>
        <w:tc>
          <w:tcPr>
            <w:tcW w:w="966" w:type="dxa"/>
            <w:vAlign w:val="center"/>
          </w:tcPr>
          <w:p w14:paraId="3B40A2F1" w14:textId="77777777" w:rsidR="004A0123" w:rsidRPr="000D3D0C" w:rsidRDefault="004A0123" w:rsidP="008A5C11">
            <w:pPr>
              <w:jc w:val="center"/>
              <w:rPr>
                <w:bCs/>
                <w:sz w:val="20"/>
                <w:szCs w:val="20"/>
                <w:lang w:val="en-US"/>
              </w:rPr>
            </w:pPr>
            <w:r w:rsidRPr="000D3D0C">
              <w:rPr>
                <w:bCs/>
                <w:sz w:val="20"/>
                <w:szCs w:val="20"/>
                <w:lang w:val="en-US"/>
              </w:rPr>
              <w:t>0</w:t>
            </w:r>
          </w:p>
        </w:tc>
      </w:tr>
      <w:tr w:rsidR="004A0123" w:rsidRPr="000D3D0C" w14:paraId="71AC65A5" w14:textId="77777777" w:rsidTr="008A5C11">
        <w:trPr>
          <w:trHeight w:val="255"/>
          <w:jc w:val="center"/>
        </w:trPr>
        <w:tc>
          <w:tcPr>
            <w:tcW w:w="475" w:type="dxa"/>
            <w:shd w:val="clear" w:color="auto" w:fill="auto"/>
            <w:tcMar>
              <w:left w:w="28" w:type="dxa"/>
              <w:right w:w="28" w:type="dxa"/>
            </w:tcMar>
            <w:vAlign w:val="center"/>
            <w:hideMark/>
          </w:tcPr>
          <w:p w14:paraId="5C86D3E3" w14:textId="77777777" w:rsidR="004A0123" w:rsidRPr="000D3D0C" w:rsidRDefault="004A0123" w:rsidP="008A5C11">
            <w:pPr>
              <w:jc w:val="center"/>
              <w:rPr>
                <w:sz w:val="20"/>
                <w:szCs w:val="20"/>
              </w:rPr>
            </w:pPr>
            <w:r w:rsidRPr="000D3D0C">
              <w:rPr>
                <w:sz w:val="20"/>
                <w:szCs w:val="20"/>
              </w:rPr>
              <w:t>2.2.</w:t>
            </w:r>
          </w:p>
        </w:tc>
        <w:tc>
          <w:tcPr>
            <w:tcW w:w="2112" w:type="dxa"/>
            <w:shd w:val="clear" w:color="auto" w:fill="auto"/>
            <w:tcMar>
              <w:left w:w="28" w:type="dxa"/>
              <w:right w:w="28" w:type="dxa"/>
            </w:tcMar>
            <w:vAlign w:val="center"/>
            <w:hideMark/>
          </w:tcPr>
          <w:p w14:paraId="3B7B8860" w14:textId="77777777" w:rsidR="004A0123" w:rsidRPr="000D3D0C" w:rsidRDefault="004A0123" w:rsidP="008A5C11">
            <w:pPr>
              <w:rPr>
                <w:sz w:val="20"/>
                <w:szCs w:val="20"/>
              </w:rPr>
            </w:pPr>
            <w:r w:rsidRPr="000D3D0C">
              <w:rPr>
                <w:sz w:val="20"/>
                <w:szCs w:val="20"/>
              </w:rPr>
              <w:t>займы организаций</w:t>
            </w:r>
          </w:p>
        </w:tc>
        <w:tc>
          <w:tcPr>
            <w:tcW w:w="1552" w:type="dxa"/>
            <w:shd w:val="clear" w:color="auto" w:fill="auto"/>
            <w:tcMar>
              <w:left w:w="28" w:type="dxa"/>
              <w:right w:w="28" w:type="dxa"/>
            </w:tcMar>
            <w:vAlign w:val="center"/>
          </w:tcPr>
          <w:p w14:paraId="0D2BADB5" w14:textId="77777777" w:rsidR="004A0123" w:rsidRPr="000D3D0C" w:rsidRDefault="004A0123" w:rsidP="008A5C11">
            <w:pPr>
              <w:jc w:val="center"/>
              <w:rPr>
                <w:sz w:val="20"/>
                <w:szCs w:val="20"/>
                <w:lang w:val="en-US"/>
              </w:rPr>
            </w:pPr>
            <w:r w:rsidRPr="000D3D0C">
              <w:rPr>
                <w:sz w:val="20"/>
                <w:szCs w:val="20"/>
                <w:lang w:val="en-US"/>
              </w:rPr>
              <w:t>0</w:t>
            </w:r>
          </w:p>
        </w:tc>
        <w:tc>
          <w:tcPr>
            <w:tcW w:w="1206" w:type="dxa"/>
            <w:shd w:val="clear" w:color="auto" w:fill="auto"/>
            <w:tcMar>
              <w:left w:w="28" w:type="dxa"/>
              <w:right w:w="28" w:type="dxa"/>
            </w:tcMar>
            <w:vAlign w:val="center"/>
          </w:tcPr>
          <w:p w14:paraId="5FB3C2A2" w14:textId="77777777" w:rsidR="004A0123" w:rsidRPr="000D3D0C" w:rsidRDefault="004A0123" w:rsidP="008A5C11">
            <w:pPr>
              <w:jc w:val="center"/>
              <w:rPr>
                <w:sz w:val="20"/>
                <w:szCs w:val="20"/>
                <w:lang w:val="en-US"/>
              </w:rPr>
            </w:pPr>
            <w:r w:rsidRPr="000D3D0C">
              <w:rPr>
                <w:sz w:val="20"/>
                <w:szCs w:val="20"/>
                <w:lang w:val="en-US"/>
              </w:rPr>
              <w:t>0</w:t>
            </w:r>
          </w:p>
        </w:tc>
        <w:tc>
          <w:tcPr>
            <w:tcW w:w="859" w:type="dxa"/>
            <w:shd w:val="clear" w:color="auto" w:fill="auto"/>
            <w:tcMar>
              <w:left w:w="28" w:type="dxa"/>
              <w:right w:w="28" w:type="dxa"/>
            </w:tcMar>
            <w:vAlign w:val="center"/>
          </w:tcPr>
          <w:p w14:paraId="0E3E9E71" w14:textId="77777777" w:rsidR="004A0123" w:rsidRPr="000D3D0C" w:rsidRDefault="004A0123" w:rsidP="008A5C11">
            <w:pPr>
              <w:jc w:val="center"/>
              <w:rPr>
                <w:bCs/>
                <w:sz w:val="20"/>
                <w:szCs w:val="20"/>
                <w:lang w:val="en-US"/>
              </w:rPr>
            </w:pPr>
            <w:r w:rsidRPr="000D3D0C">
              <w:rPr>
                <w:bCs/>
                <w:sz w:val="20"/>
                <w:szCs w:val="20"/>
                <w:lang w:val="en-US"/>
              </w:rPr>
              <w:t>0</w:t>
            </w:r>
          </w:p>
        </w:tc>
        <w:tc>
          <w:tcPr>
            <w:tcW w:w="889" w:type="dxa"/>
            <w:shd w:val="clear" w:color="auto" w:fill="auto"/>
            <w:tcMar>
              <w:left w:w="28" w:type="dxa"/>
              <w:right w:w="28" w:type="dxa"/>
            </w:tcMar>
            <w:vAlign w:val="center"/>
          </w:tcPr>
          <w:p w14:paraId="13510382" w14:textId="77777777" w:rsidR="004A0123" w:rsidRPr="000D3D0C" w:rsidRDefault="004A0123" w:rsidP="008A5C11">
            <w:pPr>
              <w:jc w:val="center"/>
              <w:rPr>
                <w:bCs/>
                <w:sz w:val="20"/>
                <w:szCs w:val="20"/>
                <w:lang w:val="en-US"/>
              </w:rPr>
            </w:pPr>
            <w:r w:rsidRPr="000D3D0C">
              <w:rPr>
                <w:bCs/>
                <w:sz w:val="20"/>
                <w:szCs w:val="20"/>
                <w:lang w:val="en-US"/>
              </w:rPr>
              <w:t>0</w:t>
            </w:r>
          </w:p>
        </w:tc>
        <w:tc>
          <w:tcPr>
            <w:tcW w:w="901" w:type="dxa"/>
            <w:shd w:val="clear" w:color="auto" w:fill="auto"/>
            <w:tcMar>
              <w:left w:w="28" w:type="dxa"/>
              <w:right w:w="28" w:type="dxa"/>
            </w:tcMar>
            <w:vAlign w:val="center"/>
          </w:tcPr>
          <w:p w14:paraId="26005D62" w14:textId="77777777" w:rsidR="004A0123" w:rsidRPr="000D3D0C" w:rsidRDefault="004A0123" w:rsidP="008A5C11">
            <w:pPr>
              <w:jc w:val="center"/>
              <w:rPr>
                <w:bCs/>
                <w:sz w:val="20"/>
                <w:szCs w:val="20"/>
                <w:lang w:val="en-US"/>
              </w:rPr>
            </w:pPr>
            <w:r w:rsidRPr="000D3D0C">
              <w:rPr>
                <w:bCs/>
                <w:sz w:val="20"/>
                <w:szCs w:val="20"/>
                <w:lang w:val="en-US"/>
              </w:rPr>
              <w:t>0</w:t>
            </w:r>
          </w:p>
        </w:tc>
        <w:tc>
          <w:tcPr>
            <w:tcW w:w="901" w:type="dxa"/>
            <w:tcMar>
              <w:left w:w="28" w:type="dxa"/>
              <w:right w:w="28" w:type="dxa"/>
            </w:tcMar>
            <w:vAlign w:val="center"/>
          </w:tcPr>
          <w:p w14:paraId="770B3331" w14:textId="77777777" w:rsidR="004A0123" w:rsidRPr="000D3D0C" w:rsidRDefault="004A0123" w:rsidP="008A5C11">
            <w:pPr>
              <w:jc w:val="center"/>
              <w:rPr>
                <w:bCs/>
                <w:sz w:val="20"/>
                <w:szCs w:val="20"/>
                <w:lang w:val="en-US"/>
              </w:rPr>
            </w:pPr>
            <w:r w:rsidRPr="000D3D0C">
              <w:rPr>
                <w:bCs/>
                <w:sz w:val="20"/>
                <w:szCs w:val="20"/>
                <w:lang w:val="en-US"/>
              </w:rPr>
              <w:t>0</w:t>
            </w:r>
          </w:p>
        </w:tc>
        <w:tc>
          <w:tcPr>
            <w:tcW w:w="901" w:type="dxa"/>
            <w:tcMar>
              <w:left w:w="28" w:type="dxa"/>
              <w:right w:w="28" w:type="dxa"/>
            </w:tcMar>
            <w:vAlign w:val="center"/>
          </w:tcPr>
          <w:p w14:paraId="03B7E0A8" w14:textId="77777777" w:rsidR="004A0123" w:rsidRPr="000D3D0C" w:rsidRDefault="004A0123" w:rsidP="008A5C11">
            <w:pPr>
              <w:jc w:val="center"/>
              <w:rPr>
                <w:bCs/>
                <w:sz w:val="20"/>
                <w:szCs w:val="20"/>
                <w:lang w:val="en-US"/>
              </w:rPr>
            </w:pPr>
            <w:r w:rsidRPr="000D3D0C">
              <w:rPr>
                <w:bCs/>
                <w:sz w:val="20"/>
                <w:szCs w:val="20"/>
                <w:lang w:val="en-US"/>
              </w:rPr>
              <w:t>0</w:t>
            </w:r>
          </w:p>
        </w:tc>
        <w:tc>
          <w:tcPr>
            <w:tcW w:w="966" w:type="dxa"/>
            <w:vAlign w:val="center"/>
          </w:tcPr>
          <w:p w14:paraId="40323844" w14:textId="77777777" w:rsidR="004A0123" w:rsidRPr="000D3D0C" w:rsidRDefault="004A0123" w:rsidP="008A5C11">
            <w:pPr>
              <w:jc w:val="center"/>
              <w:rPr>
                <w:bCs/>
                <w:sz w:val="20"/>
                <w:szCs w:val="20"/>
                <w:lang w:val="en-US"/>
              </w:rPr>
            </w:pPr>
            <w:r w:rsidRPr="000D3D0C">
              <w:rPr>
                <w:bCs/>
                <w:sz w:val="20"/>
                <w:szCs w:val="20"/>
                <w:lang w:val="en-US"/>
              </w:rPr>
              <w:t>0</w:t>
            </w:r>
          </w:p>
        </w:tc>
        <w:tc>
          <w:tcPr>
            <w:tcW w:w="966" w:type="dxa"/>
            <w:vAlign w:val="center"/>
          </w:tcPr>
          <w:p w14:paraId="61A55B1F" w14:textId="77777777" w:rsidR="004A0123" w:rsidRPr="000D3D0C" w:rsidRDefault="004A0123" w:rsidP="008A5C11">
            <w:pPr>
              <w:jc w:val="center"/>
              <w:rPr>
                <w:bCs/>
                <w:sz w:val="20"/>
                <w:szCs w:val="20"/>
                <w:lang w:val="en-US"/>
              </w:rPr>
            </w:pPr>
            <w:r w:rsidRPr="000D3D0C">
              <w:rPr>
                <w:bCs/>
                <w:sz w:val="20"/>
                <w:szCs w:val="20"/>
                <w:lang w:val="en-US"/>
              </w:rPr>
              <w:t>0</w:t>
            </w:r>
          </w:p>
        </w:tc>
        <w:tc>
          <w:tcPr>
            <w:tcW w:w="966" w:type="dxa"/>
            <w:vAlign w:val="center"/>
          </w:tcPr>
          <w:p w14:paraId="1FA5ACF9" w14:textId="77777777" w:rsidR="004A0123" w:rsidRPr="000D3D0C" w:rsidRDefault="004A0123" w:rsidP="008A5C11">
            <w:pPr>
              <w:jc w:val="center"/>
              <w:rPr>
                <w:bCs/>
                <w:sz w:val="20"/>
                <w:szCs w:val="20"/>
                <w:lang w:val="en-US"/>
              </w:rPr>
            </w:pPr>
            <w:r w:rsidRPr="000D3D0C">
              <w:rPr>
                <w:bCs/>
                <w:sz w:val="20"/>
                <w:szCs w:val="20"/>
                <w:lang w:val="en-US"/>
              </w:rPr>
              <w:t>0</w:t>
            </w:r>
          </w:p>
        </w:tc>
        <w:tc>
          <w:tcPr>
            <w:tcW w:w="966" w:type="dxa"/>
            <w:vAlign w:val="center"/>
          </w:tcPr>
          <w:p w14:paraId="31E997D6" w14:textId="77777777" w:rsidR="004A0123" w:rsidRPr="000D3D0C" w:rsidRDefault="004A0123" w:rsidP="008A5C11">
            <w:pPr>
              <w:jc w:val="center"/>
              <w:rPr>
                <w:bCs/>
                <w:sz w:val="20"/>
                <w:szCs w:val="20"/>
                <w:lang w:val="en-US"/>
              </w:rPr>
            </w:pPr>
            <w:r w:rsidRPr="000D3D0C">
              <w:rPr>
                <w:bCs/>
                <w:sz w:val="20"/>
                <w:szCs w:val="20"/>
                <w:lang w:val="en-US"/>
              </w:rPr>
              <w:t>0</w:t>
            </w:r>
          </w:p>
        </w:tc>
        <w:tc>
          <w:tcPr>
            <w:tcW w:w="966" w:type="dxa"/>
            <w:vAlign w:val="center"/>
          </w:tcPr>
          <w:p w14:paraId="6972BC3D" w14:textId="77777777" w:rsidR="004A0123" w:rsidRPr="000D3D0C" w:rsidRDefault="004A0123" w:rsidP="008A5C11">
            <w:pPr>
              <w:jc w:val="center"/>
              <w:rPr>
                <w:bCs/>
                <w:sz w:val="20"/>
                <w:szCs w:val="20"/>
                <w:lang w:val="en-US"/>
              </w:rPr>
            </w:pPr>
            <w:r w:rsidRPr="000D3D0C">
              <w:rPr>
                <w:bCs/>
                <w:sz w:val="20"/>
                <w:szCs w:val="20"/>
                <w:lang w:val="en-US"/>
              </w:rPr>
              <w:t>0</w:t>
            </w:r>
          </w:p>
        </w:tc>
      </w:tr>
      <w:tr w:rsidR="004A0123" w:rsidRPr="000D3D0C" w14:paraId="202CE397" w14:textId="77777777" w:rsidTr="008A5C11">
        <w:trPr>
          <w:trHeight w:val="255"/>
          <w:jc w:val="center"/>
        </w:trPr>
        <w:tc>
          <w:tcPr>
            <w:tcW w:w="475" w:type="dxa"/>
            <w:shd w:val="clear" w:color="auto" w:fill="auto"/>
            <w:tcMar>
              <w:left w:w="28" w:type="dxa"/>
              <w:right w:w="28" w:type="dxa"/>
            </w:tcMar>
            <w:vAlign w:val="center"/>
            <w:hideMark/>
          </w:tcPr>
          <w:p w14:paraId="7DC463F2" w14:textId="77777777" w:rsidR="004A0123" w:rsidRPr="000D3D0C" w:rsidRDefault="004A0123" w:rsidP="008A5C11">
            <w:pPr>
              <w:jc w:val="center"/>
              <w:rPr>
                <w:sz w:val="20"/>
                <w:szCs w:val="20"/>
              </w:rPr>
            </w:pPr>
            <w:r w:rsidRPr="000D3D0C">
              <w:rPr>
                <w:sz w:val="20"/>
                <w:szCs w:val="20"/>
              </w:rPr>
              <w:t>2.3.</w:t>
            </w:r>
          </w:p>
        </w:tc>
        <w:tc>
          <w:tcPr>
            <w:tcW w:w="2112" w:type="dxa"/>
            <w:shd w:val="clear" w:color="auto" w:fill="auto"/>
            <w:tcMar>
              <w:left w:w="28" w:type="dxa"/>
              <w:right w:w="28" w:type="dxa"/>
            </w:tcMar>
            <w:vAlign w:val="center"/>
            <w:hideMark/>
          </w:tcPr>
          <w:p w14:paraId="723B489A" w14:textId="77777777" w:rsidR="004A0123" w:rsidRPr="000D3D0C" w:rsidRDefault="004A0123" w:rsidP="008A5C11">
            <w:pPr>
              <w:rPr>
                <w:sz w:val="20"/>
                <w:szCs w:val="20"/>
              </w:rPr>
            </w:pPr>
            <w:r w:rsidRPr="000D3D0C">
              <w:rPr>
                <w:sz w:val="20"/>
                <w:szCs w:val="20"/>
              </w:rPr>
              <w:t>прочие средства</w:t>
            </w:r>
          </w:p>
        </w:tc>
        <w:tc>
          <w:tcPr>
            <w:tcW w:w="1552" w:type="dxa"/>
            <w:shd w:val="clear" w:color="auto" w:fill="auto"/>
            <w:tcMar>
              <w:left w:w="28" w:type="dxa"/>
              <w:right w:w="28" w:type="dxa"/>
            </w:tcMar>
            <w:vAlign w:val="center"/>
          </w:tcPr>
          <w:p w14:paraId="675D285D" w14:textId="77777777" w:rsidR="004A0123" w:rsidRPr="000D3D0C" w:rsidRDefault="004A0123" w:rsidP="008A5C11">
            <w:pPr>
              <w:jc w:val="center"/>
              <w:rPr>
                <w:sz w:val="20"/>
                <w:szCs w:val="20"/>
                <w:lang w:val="en-US"/>
              </w:rPr>
            </w:pPr>
            <w:r w:rsidRPr="000D3D0C">
              <w:rPr>
                <w:sz w:val="20"/>
                <w:szCs w:val="20"/>
                <w:lang w:val="en-US"/>
              </w:rPr>
              <w:t>0</w:t>
            </w:r>
          </w:p>
        </w:tc>
        <w:tc>
          <w:tcPr>
            <w:tcW w:w="1206" w:type="dxa"/>
            <w:shd w:val="clear" w:color="auto" w:fill="auto"/>
            <w:tcMar>
              <w:left w:w="28" w:type="dxa"/>
              <w:right w:w="28" w:type="dxa"/>
            </w:tcMar>
            <w:vAlign w:val="center"/>
          </w:tcPr>
          <w:p w14:paraId="7BE271B1" w14:textId="77777777" w:rsidR="004A0123" w:rsidRPr="000D3D0C" w:rsidRDefault="004A0123" w:rsidP="008A5C11">
            <w:pPr>
              <w:jc w:val="center"/>
              <w:rPr>
                <w:sz w:val="20"/>
                <w:szCs w:val="20"/>
                <w:lang w:val="en-US"/>
              </w:rPr>
            </w:pPr>
            <w:r w:rsidRPr="000D3D0C">
              <w:rPr>
                <w:sz w:val="20"/>
                <w:szCs w:val="20"/>
                <w:lang w:val="en-US"/>
              </w:rPr>
              <w:t>0</w:t>
            </w:r>
          </w:p>
        </w:tc>
        <w:tc>
          <w:tcPr>
            <w:tcW w:w="859" w:type="dxa"/>
            <w:shd w:val="clear" w:color="auto" w:fill="auto"/>
            <w:tcMar>
              <w:left w:w="28" w:type="dxa"/>
              <w:right w:w="28" w:type="dxa"/>
            </w:tcMar>
            <w:vAlign w:val="center"/>
          </w:tcPr>
          <w:p w14:paraId="39308172" w14:textId="77777777" w:rsidR="004A0123" w:rsidRPr="000D3D0C" w:rsidRDefault="004A0123" w:rsidP="008A5C11">
            <w:pPr>
              <w:jc w:val="center"/>
              <w:rPr>
                <w:bCs/>
                <w:sz w:val="20"/>
                <w:szCs w:val="20"/>
                <w:lang w:val="en-US"/>
              </w:rPr>
            </w:pPr>
            <w:r w:rsidRPr="000D3D0C">
              <w:rPr>
                <w:bCs/>
                <w:sz w:val="20"/>
                <w:szCs w:val="20"/>
                <w:lang w:val="en-US"/>
              </w:rPr>
              <w:t>0</w:t>
            </w:r>
          </w:p>
        </w:tc>
        <w:tc>
          <w:tcPr>
            <w:tcW w:w="889" w:type="dxa"/>
            <w:shd w:val="clear" w:color="auto" w:fill="auto"/>
            <w:tcMar>
              <w:left w:w="28" w:type="dxa"/>
              <w:right w:w="28" w:type="dxa"/>
            </w:tcMar>
            <w:vAlign w:val="center"/>
          </w:tcPr>
          <w:p w14:paraId="14E2CCDB" w14:textId="77777777" w:rsidR="004A0123" w:rsidRPr="000D3D0C" w:rsidRDefault="004A0123" w:rsidP="008A5C11">
            <w:pPr>
              <w:jc w:val="center"/>
              <w:rPr>
                <w:bCs/>
                <w:sz w:val="20"/>
                <w:szCs w:val="20"/>
                <w:lang w:val="en-US"/>
              </w:rPr>
            </w:pPr>
            <w:r w:rsidRPr="000D3D0C">
              <w:rPr>
                <w:bCs/>
                <w:sz w:val="20"/>
                <w:szCs w:val="20"/>
                <w:lang w:val="en-US"/>
              </w:rPr>
              <w:t>0</w:t>
            </w:r>
          </w:p>
        </w:tc>
        <w:tc>
          <w:tcPr>
            <w:tcW w:w="901" w:type="dxa"/>
            <w:shd w:val="clear" w:color="auto" w:fill="auto"/>
            <w:tcMar>
              <w:left w:w="28" w:type="dxa"/>
              <w:right w:w="28" w:type="dxa"/>
            </w:tcMar>
            <w:vAlign w:val="center"/>
          </w:tcPr>
          <w:p w14:paraId="5BD9AA40" w14:textId="77777777" w:rsidR="004A0123" w:rsidRPr="000D3D0C" w:rsidRDefault="004A0123" w:rsidP="008A5C11">
            <w:pPr>
              <w:jc w:val="center"/>
              <w:rPr>
                <w:bCs/>
                <w:sz w:val="20"/>
                <w:szCs w:val="20"/>
                <w:lang w:val="en-US"/>
              </w:rPr>
            </w:pPr>
            <w:r w:rsidRPr="000D3D0C">
              <w:rPr>
                <w:bCs/>
                <w:sz w:val="20"/>
                <w:szCs w:val="20"/>
                <w:lang w:val="en-US"/>
              </w:rPr>
              <w:t>0</w:t>
            </w:r>
          </w:p>
        </w:tc>
        <w:tc>
          <w:tcPr>
            <w:tcW w:w="901" w:type="dxa"/>
            <w:tcMar>
              <w:left w:w="28" w:type="dxa"/>
              <w:right w:w="28" w:type="dxa"/>
            </w:tcMar>
            <w:vAlign w:val="center"/>
          </w:tcPr>
          <w:p w14:paraId="48653809" w14:textId="77777777" w:rsidR="004A0123" w:rsidRPr="000D3D0C" w:rsidRDefault="004A0123" w:rsidP="008A5C11">
            <w:pPr>
              <w:jc w:val="center"/>
              <w:rPr>
                <w:bCs/>
                <w:sz w:val="20"/>
                <w:szCs w:val="20"/>
                <w:lang w:val="en-US"/>
              </w:rPr>
            </w:pPr>
            <w:r w:rsidRPr="000D3D0C">
              <w:rPr>
                <w:bCs/>
                <w:sz w:val="20"/>
                <w:szCs w:val="20"/>
                <w:lang w:val="en-US"/>
              </w:rPr>
              <w:t>0</w:t>
            </w:r>
          </w:p>
        </w:tc>
        <w:tc>
          <w:tcPr>
            <w:tcW w:w="901" w:type="dxa"/>
            <w:tcMar>
              <w:left w:w="28" w:type="dxa"/>
              <w:right w:w="28" w:type="dxa"/>
            </w:tcMar>
            <w:vAlign w:val="center"/>
          </w:tcPr>
          <w:p w14:paraId="6E23827D" w14:textId="77777777" w:rsidR="004A0123" w:rsidRPr="000D3D0C" w:rsidRDefault="004A0123" w:rsidP="008A5C11">
            <w:pPr>
              <w:jc w:val="center"/>
              <w:rPr>
                <w:bCs/>
                <w:sz w:val="20"/>
                <w:szCs w:val="20"/>
                <w:lang w:val="en-US"/>
              </w:rPr>
            </w:pPr>
            <w:r w:rsidRPr="000D3D0C">
              <w:rPr>
                <w:bCs/>
                <w:sz w:val="20"/>
                <w:szCs w:val="20"/>
                <w:lang w:val="en-US"/>
              </w:rPr>
              <w:t>0</w:t>
            </w:r>
          </w:p>
        </w:tc>
        <w:tc>
          <w:tcPr>
            <w:tcW w:w="966" w:type="dxa"/>
            <w:vAlign w:val="center"/>
          </w:tcPr>
          <w:p w14:paraId="6351F1B7" w14:textId="77777777" w:rsidR="004A0123" w:rsidRPr="000D3D0C" w:rsidRDefault="004A0123" w:rsidP="008A5C11">
            <w:pPr>
              <w:jc w:val="center"/>
              <w:rPr>
                <w:bCs/>
                <w:sz w:val="20"/>
                <w:szCs w:val="20"/>
                <w:lang w:val="en-US"/>
              </w:rPr>
            </w:pPr>
            <w:r w:rsidRPr="000D3D0C">
              <w:rPr>
                <w:bCs/>
                <w:sz w:val="20"/>
                <w:szCs w:val="20"/>
                <w:lang w:val="en-US"/>
              </w:rPr>
              <w:t>0</w:t>
            </w:r>
          </w:p>
        </w:tc>
        <w:tc>
          <w:tcPr>
            <w:tcW w:w="966" w:type="dxa"/>
            <w:vAlign w:val="center"/>
          </w:tcPr>
          <w:p w14:paraId="59B2E081" w14:textId="77777777" w:rsidR="004A0123" w:rsidRPr="000D3D0C" w:rsidRDefault="004A0123" w:rsidP="008A5C11">
            <w:pPr>
              <w:jc w:val="center"/>
              <w:rPr>
                <w:bCs/>
                <w:sz w:val="20"/>
                <w:szCs w:val="20"/>
                <w:lang w:val="en-US"/>
              </w:rPr>
            </w:pPr>
            <w:r w:rsidRPr="000D3D0C">
              <w:rPr>
                <w:bCs/>
                <w:sz w:val="20"/>
                <w:szCs w:val="20"/>
                <w:lang w:val="en-US"/>
              </w:rPr>
              <w:t>0</w:t>
            </w:r>
          </w:p>
        </w:tc>
        <w:tc>
          <w:tcPr>
            <w:tcW w:w="966" w:type="dxa"/>
            <w:vAlign w:val="center"/>
          </w:tcPr>
          <w:p w14:paraId="3E5BABB3" w14:textId="77777777" w:rsidR="004A0123" w:rsidRPr="000D3D0C" w:rsidRDefault="004A0123" w:rsidP="008A5C11">
            <w:pPr>
              <w:jc w:val="center"/>
              <w:rPr>
                <w:bCs/>
                <w:sz w:val="20"/>
                <w:szCs w:val="20"/>
                <w:lang w:val="en-US"/>
              </w:rPr>
            </w:pPr>
            <w:r w:rsidRPr="000D3D0C">
              <w:rPr>
                <w:bCs/>
                <w:sz w:val="20"/>
                <w:szCs w:val="20"/>
                <w:lang w:val="en-US"/>
              </w:rPr>
              <w:t>0</w:t>
            </w:r>
          </w:p>
        </w:tc>
        <w:tc>
          <w:tcPr>
            <w:tcW w:w="966" w:type="dxa"/>
            <w:vAlign w:val="center"/>
          </w:tcPr>
          <w:p w14:paraId="5DD6CF03" w14:textId="77777777" w:rsidR="004A0123" w:rsidRPr="000D3D0C" w:rsidRDefault="004A0123" w:rsidP="008A5C11">
            <w:pPr>
              <w:jc w:val="center"/>
              <w:rPr>
                <w:bCs/>
                <w:sz w:val="20"/>
                <w:szCs w:val="20"/>
                <w:lang w:val="en-US"/>
              </w:rPr>
            </w:pPr>
            <w:r w:rsidRPr="000D3D0C">
              <w:rPr>
                <w:bCs/>
                <w:sz w:val="20"/>
                <w:szCs w:val="20"/>
                <w:lang w:val="en-US"/>
              </w:rPr>
              <w:t>0</w:t>
            </w:r>
          </w:p>
        </w:tc>
        <w:tc>
          <w:tcPr>
            <w:tcW w:w="966" w:type="dxa"/>
            <w:vAlign w:val="center"/>
          </w:tcPr>
          <w:p w14:paraId="14D08FE4" w14:textId="77777777" w:rsidR="004A0123" w:rsidRPr="000D3D0C" w:rsidRDefault="004A0123" w:rsidP="008A5C11">
            <w:pPr>
              <w:jc w:val="center"/>
              <w:rPr>
                <w:bCs/>
                <w:sz w:val="20"/>
                <w:szCs w:val="20"/>
                <w:lang w:val="en-US"/>
              </w:rPr>
            </w:pPr>
            <w:r w:rsidRPr="000D3D0C">
              <w:rPr>
                <w:bCs/>
                <w:sz w:val="20"/>
                <w:szCs w:val="20"/>
                <w:lang w:val="en-US"/>
              </w:rPr>
              <w:t>0</w:t>
            </w:r>
          </w:p>
        </w:tc>
      </w:tr>
      <w:tr w:rsidR="004A0123" w:rsidRPr="000D3D0C" w14:paraId="618B753E" w14:textId="77777777" w:rsidTr="008A5C11">
        <w:trPr>
          <w:trHeight w:val="510"/>
          <w:jc w:val="center"/>
        </w:trPr>
        <w:tc>
          <w:tcPr>
            <w:tcW w:w="475" w:type="dxa"/>
            <w:shd w:val="clear" w:color="auto" w:fill="auto"/>
            <w:tcMar>
              <w:left w:w="28" w:type="dxa"/>
              <w:right w:w="28" w:type="dxa"/>
            </w:tcMar>
            <w:vAlign w:val="center"/>
            <w:hideMark/>
          </w:tcPr>
          <w:p w14:paraId="7523CF73" w14:textId="77777777" w:rsidR="004A0123" w:rsidRPr="000D3D0C" w:rsidRDefault="004A0123" w:rsidP="008A5C11">
            <w:pPr>
              <w:jc w:val="center"/>
              <w:rPr>
                <w:bCs/>
                <w:sz w:val="20"/>
                <w:szCs w:val="20"/>
              </w:rPr>
            </w:pPr>
            <w:r w:rsidRPr="000D3D0C">
              <w:rPr>
                <w:bCs/>
                <w:sz w:val="20"/>
                <w:szCs w:val="20"/>
              </w:rPr>
              <w:t>3.</w:t>
            </w:r>
          </w:p>
        </w:tc>
        <w:tc>
          <w:tcPr>
            <w:tcW w:w="2112" w:type="dxa"/>
            <w:shd w:val="clear" w:color="auto" w:fill="auto"/>
            <w:tcMar>
              <w:left w:w="28" w:type="dxa"/>
              <w:right w:w="28" w:type="dxa"/>
            </w:tcMar>
            <w:vAlign w:val="center"/>
            <w:hideMark/>
          </w:tcPr>
          <w:p w14:paraId="79DA666F" w14:textId="77777777" w:rsidR="004A0123" w:rsidRPr="000D3D0C" w:rsidRDefault="004A0123" w:rsidP="008A5C11">
            <w:pPr>
              <w:rPr>
                <w:bCs/>
                <w:sz w:val="20"/>
                <w:szCs w:val="20"/>
              </w:rPr>
            </w:pPr>
            <w:r w:rsidRPr="000D3D0C">
              <w:rPr>
                <w:bCs/>
                <w:sz w:val="20"/>
                <w:szCs w:val="20"/>
              </w:rPr>
              <w:t xml:space="preserve">Бюджетное финансирование </w:t>
            </w:r>
          </w:p>
        </w:tc>
        <w:tc>
          <w:tcPr>
            <w:tcW w:w="1552" w:type="dxa"/>
            <w:shd w:val="clear" w:color="auto" w:fill="auto"/>
            <w:tcMar>
              <w:left w:w="28" w:type="dxa"/>
              <w:right w:w="28" w:type="dxa"/>
            </w:tcMar>
            <w:vAlign w:val="center"/>
          </w:tcPr>
          <w:p w14:paraId="4A98B3AC" w14:textId="77777777" w:rsidR="004A0123" w:rsidRPr="000D3D0C" w:rsidRDefault="004A0123" w:rsidP="008A5C11">
            <w:pPr>
              <w:jc w:val="center"/>
              <w:rPr>
                <w:sz w:val="20"/>
                <w:szCs w:val="20"/>
                <w:lang w:val="en-US"/>
              </w:rPr>
            </w:pPr>
            <w:r w:rsidRPr="000D3D0C">
              <w:rPr>
                <w:sz w:val="20"/>
                <w:szCs w:val="20"/>
                <w:lang w:val="en-US"/>
              </w:rPr>
              <w:t>0</w:t>
            </w:r>
          </w:p>
        </w:tc>
        <w:tc>
          <w:tcPr>
            <w:tcW w:w="1206" w:type="dxa"/>
            <w:shd w:val="clear" w:color="auto" w:fill="auto"/>
            <w:tcMar>
              <w:left w:w="28" w:type="dxa"/>
              <w:right w:w="28" w:type="dxa"/>
            </w:tcMar>
            <w:vAlign w:val="center"/>
          </w:tcPr>
          <w:p w14:paraId="5F31B75B" w14:textId="77777777" w:rsidR="004A0123" w:rsidRPr="000D3D0C" w:rsidRDefault="004A0123" w:rsidP="008A5C11">
            <w:pPr>
              <w:jc w:val="center"/>
              <w:rPr>
                <w:sz w:val="20"/>
                <w:szCs w:val="20"/>
                <w:lang w:val="en-US"/>
              </w:rPr>
            </w:pPr>
            <w:r w:rsidRPr="000D3D0C">
              <w:rPr>
                <w:sz w:val="20"/>
                <w:szCs w:val="20"/>
                <w:lang w:val="en-US"/>
              </w:rPr>
              <w:t>0</w:t>
            </w:r>
          </w:p>
        </w:tc>
        <w:tc>
          <w:tcPr>
            <w:tcW w:w="859" w:type="dxa"/>
            <w:shd w:val="clear" w:color="auto" w:fill="auto"/>
            <w:tcMar>
              <w:left w:w="28" w:type="dxa"/>
              <w:right w:w="28" w:type="dxa"/>
            </w:tcMar>
            <w:vAlign w:val="center"/>
          </w:tcPr>
          <w:p w14:paraId="11541127" w14:textId="77777777" w:rsidR="004A0123" w:rsidRPr="000D3D0C" w:rsidRDefault="004A0123" w:rsidP="008A5C11">
            <w:pPr>
              <w:jc w:val="center"/>
              <w:rPr>
                <w:bCs/>
                <w:sz w:val="20"/>
                <w:szCs w:val="20"/>
                <w:lang w:val="en-US"/>
              </w:rPr>
            </w:pPr>
            <w:r w:rsidRPr="000D3D0C">
              <w:rPr>
                <w:bCs/>
                <w:sz w:val="20"/>
                <w:szCs w:val="20"/>
                <w:lang w:val="en-US"/>
              </w:rPr>
              <w:t>0</w:t>
            </w:r>
          </w:p>
        </w:tc>
        <w:tc>
          <w:tcPr>
            <w:tcW w:w="889" w:type="dxa"/>
            <w:shd w:val="clear" w:color="auto" w:fill="auto"/>
            <w:tcMar>
              <w:left w:w="28" w:type="dxa"/>
              <w:right w:w="28" w:type="dxa"/>
            </w:tcMar>
            <w:vAlign w:val="center"/>
          </w:tcPr>
          <w:p w14:paraId="6122B8A4" w14:textId="77777777" w:rsidR="004A0123" w:rsidRPr="000D3D0C" w:rsidRDefault="004A0123" w:rsidP="008A5C11">
            <w:pPr>
              <w:jc w:val="center"/>
              <w:rPr>
                <w:bCs/>
                <w:sz w:val="20"/>
                <w:szCs w:val="20"/>
                <w:lang w:val="en-US"/>
              </w:rPr>
            </w:pPr>
            <w:r w:rsidRPr="000D3D0C">
              <w:rPr>
                <w:bCs/>
                <w:sz w:val="20"/>
                <w:szCs w:val="20"/>
                <w:lang w:val="en-US"/>
              </w:rPr>
              <w:t>0</w:t>
            </w:r>
          </w:p>
        </w:tc>
        <w:tc>
          <w:tcPr>
            <w:tcW w:w="901" w:type="dxa"/>
            <w:shd w:val="clear" w:color="auto" w:fill="auto"/>
            <w:tcMar>
              <w:left w:w="28" w:type="dxa"/>
              <w:right w:w="28" w:type="dxa"/>
            </w:tcMar>
            <w:vAlign w:val="center"/>
          </w:tcPr>
          <w:p w14:paraId="0C12639E" w14:textId="77777777" w:rsidR="004A0123" w:rsidRPr="000D3D0C" w:rsidRDefault="004A0123" w:rsidP="008A5C11">
            <w:pPr>
              <w:jc w:val="center"/>
              <w:rPr>
                <w:bCs/>
                <w:sz w:val="20"/>
                <w:szCs w:val="20"/>
                <w:lang w:val="en-US"/>
              </w:rPr>
            </w:pPr>
            <w:r w:rsidRPr="000D3D0C">
              <w:rPr>
                <w:bCs/>
                <w:sz w:val="20"/>
                <w:szCs w:val="20"/>
                <w:lang w:val="en-US"/>
              </w:rPr>
              <w:t>0</w:t>
            </w:r>
          </w:p>
        </w:tc>
        <w:tc>
          <w:tcPr>
            <w:tcW w:w="901" w:type="dxa"/>
            <w:tcMar>
              <w:left w:w="28" w:type="dxa"/>
              <w:right w:w="28" w:type="dxa"/>
            </w:tcMar>
            <w:vAlign w:val="center"/>
          </w:tcPr>
          <w:p w14:paraId="3884576D" w14:textId="77777777" w:rsidR="004A0123" w:rsidRPr="000D3D0C" w:rsidRDefault="004A0123" w:rsidP="008A5C11">
            <w:pPr>
              <w:jc w:val="center"/>
              <w:rPr>
                <w:bCs/>
                <w:sz w:val="20"/>
                <w:szCs w:val="20"/>
                <w:lang w:val="en-US"/>
              </w:rPr>
            </w:pPr>
            <w:r w:rsidRPr="000D3D0C">
              <w:rPr>
                <w:bCs/>
                <w:sz w:val="20"/>
                <w:szCs w:val="20"/>
                <w:lang w:val="en-US"/>
              </w:rPr>
              <w:t>0</w:t>
            </w:r>
          </w:p>
        </w:tc>
        <w:tc>
          <w:tcPr>
            <w:tcW w:w="901" w:type="dxa"/>
            <w:tcMar>
              <w:left w:w="28" w:type="dxa"/>
              <w:right w:w="28" w:type="dxa"/>
            </w:tcMar>
            <w:vAlign w:val="center"/>
          </w:tcPr>
          <w:p w14:paraId="481ABED3" w14:textId="77777777" w:rsidR="004A0123" w:rsidRPr="000D3D0C" w:rsidRDefault="004A0123" w:rsidP="008A5C11">
            <w:pPr>
              <w:jc w:val="center"/>
              <w:rPr>
                <w:bCs/>
                <w:sz w:val="20"/>
                <w:szCs w:val="20"/>
                <w:lang w:val="en-US"/>
              </w:rPr>
            </w:pPr>
            <w:r w:rsidRPr="000D3D0C">
              <w:rPr>
                <w:bCs/>
                <w:sz w:val="20"/>
                <w:szCs w:val="20"/>
                <w:lang w:val="en-US"/>
              </w:rPr>
              <w:t>0</w:t>
            </w:r>
          </w:p>
        </w:tc>
        <w:tc>
          <w:tcPr>
            <w:tcW w:w="966" w:type="dxa"/>
            <w:vAlign w:val="center"/>
          </w:tcPr>
          <w:p w14:paraId="45177068" w14:textId="77777777" w:rsidR="004A0123" w:rsidRPr="000D3D0C" w:rsidRDefault="004A0123" w:rsidP="008A5C11">
            <w:pPr>
              <w:jc w:val="center"/>
              <w:rPr>
                <w:bCs/>
                <w:sz w:val="20"/>
                <w:szCs w:val="20"/>
                <w:lang w:val="en-US"/>
              </w:rPr>
            </w:pPr>
            <w:r w:rsidRPr="000D3D0C">
              <w:rPr>
                <w:bCs/>
                <w:sz w:val="20"/>
                <w:szCs w:val="20"/>
                <w:lang w:val="en-US"/>
              </w:rPr>
              <w:t>0</w:t>
            </w:r>
          </w:p>
        </w:tc>
        <w:tc>
          <w:tcPr>
            <w:tcW w:w="966" w:type="dxa"/>
            <w:vAlign w:val="center"/>
          </w:tcPr>
          <w:p w14:paraId="2F4011C3" w14:textId="77777777" w:rsidR="004A0123" w:rsidRPr="000D3D0C" w:rsidRDefault="004A0123" w:rsidP="008A5C11">
            <w:pPr>
              <w:jc w:val="center"/>
              <w:rPr>
                <w:bCs/>
                <w:sz w:val="20"/>
                <w:szCs w:val="20"/>
                <w:lang w:val="en-US"/>
              </w:rPr>
            </w:pPr>
            <w:r w:rsidRPr="000D3D0C">
              <w:rPr>
                <w:bCs/>
                <w:sz w:val="20"/>
                <w:szCs w:val="20"/>
                <w:lang w:val="en-US"/>
              </w:rPr>
              <w:t>0</w:t>
            </w:r>
          </w:p>
        </w:tc>
        <w:tc>
          <w:tcPr>
            <w:tcW w:w="966" w:type="dxa"/>
            <w:vAlign w:val="center"/>
          </w:tcPr>
          <w:p w14:paraId="47F6205C" w14:textId="77777777" w:rsidR="004A0123" w:rsidRPr="000D3D0C" w:rsidRDefault="004A0123" w:rsidP="008A5C11">
            <w:pPr>
              <w:jc w:val="center"/>
              <w:rPr>
                <w:bCs/>
                <w:sz w:val="20"/>
                <w:szCs w:val="20"/>
                <w:lang w:val="en-US"/>
              </w:rPr>
            </w:pPr>
            <w:r w:rsidRPr="000D3D0C">
              <w:rPr>
                <w:bCs/>
                <w:sz w:val="20"/>
                <w:szCs w:val="20"/>
                <w:lang w:val="en-US"/>
              </w:rPr>
              <w:t>0</w:t>
            </w:r>
          </w:p>
        </w:tc>
        <w:tc>
          <w:tcPr>
            <w:tcW w:w="966" w:type="dxa"/>
            <w:vAlign w:val="center"/>
          </w:tcPr>
          <w:p w14:paraId="48443DF1" w14:textId="77777777" w:rsidR="004A0123" w:rsidRPr="000D3D0C" w:rsidRDefault="004A0123" w:rsidP="008A5C11">
            <w:pPr>
              <w:jc w:val="center"/>
              <w:rPr>
                <w:bCs/>
                <w:sz w:val="20"/>
                <w:szCs w:val="20"/>
                <w:lang w:val="en-US"/>
              </w:rPr>
            </w:pPr>
            <w:r w:rsidRPr="000D3D0C">
              <w:rPr>
                <w:bCs/>
                <w:sz w:val="20"/>
                <w:szCs w:val="20"/>
                <w:lang w:val="en-US"/>
              </w:rPr>
              <w:t>0</w:t>
            </w:r>
          </w:p>
        </w:tc>
        <w:tc>
          <w:tcPr>
            <w:tcW w:w="966" w:type="dxa"/>
            <w:vAlign w:val="center"/>
          </w:tcPr>
          <w:p w14:paraId="7D091C31" w14:textId="77777777" w:rsidR="004A0123" w:rsidRPr="000D3D0C" w:rsidRDefault="004A0123" w:rsidP="008A5C11">
            <w:pPr>
              <w:jc w:val="center"/>
              <w:rPr>
                <w:bCs/>
                <w:sz w:val="20"/>
                <w:szCs w:val="20"/>
                <w:lang w:val="en-US"/>
              </w:rPr>
            </w:pPr>
            <w:r w:rsidRPr="000D3D0C">
              <w:rPr>
                <w:bCs/>
                <w:sz w:val="20"/>
                <w:szCs w:val="20"/>
                <w:lang w:val="en-US"/>
              </w:rPr>
              <w:t>0</w:t>
            </w:r>
          </w:p>
        </w:tc>
      </w:tr>
      <w:tr w:rsidR="004A0123" w:rsidRPr="000D3D0C" w14:paraId="60892583" w14:textId="77777777" w:rsidTr="008A5C11">
        <w:trPr>
          <w:trHeight w:val="645"/>
          <w:jc w:val="center"/>
        </w:trPr>
        <w:tc>
          <w:tcPr>
            <w:tcW w:w="475" w:type="dxa"/>
            <w:shd w:val="clear" w:color="auto" w:fill="auto"/>
            <w:tcMar>
              <w:left w:w="28" w:type="dxa"/>
              <w:right w:w="28" w:type="dxa"/>
            </w:tcMar>
            <w:vAlign w:val="center"/>
            <w:hideMark/>
          </w:tcPr>
          <w:p w14:paraId="3E1DA5AA" w14:textId="77777777" w:rsidR="004A0123" w:rsidRPr="000D3D0C" w:rsidRDefault="004A0123" w:rsidP="008A5C11">
            <w:pPr>
              <w:jc w:val="center"/>
              <w:rPr>
                <w:bCs/>
                <w:sz w:val="20"/>
                <w:szCs w:val="20"/>
              </w:rPr>
            </w:pPr>
            <w:r w:rsidRPr="000D3D0C">
              <w:rPr>
                <w:bCs/>
                <w:sz w:val="20"/>
                <w:szCs w:val="20"/>
              </w:rPr>
              <w:t>4.</w:t>
            </w:r>
          </w:p>
        </w:tc>
        <w:tc>
          <w:tcPr>
            <w:tcW w:w="2112" w:type="dxa"/>
            <w:shd w:val="clear" w:color="auto" w:fill="auto"/>
            <w:tcMar>
              <w:left w:w="28" w:type="dxa"/>
              <w:right w:w="28" w:type="dxa"/>
            </w:tcMar>
            <w:vAlign w:val="center"/>
            <w:hideMark/>
          </w:tcPr>
          <w:p w14:paraId="126931F1" w14:textId="77777777" w:rsidR="004A0123" w:rsidRPr="000D3D0C" w:rsidRDefault="004A0123" w:rsidP="008A5C11">
            <w:pPr>
              <w:rPr>
                <w:bCs/>
                <w:sz w:val="20"/>
                <w:szCs w:val="20"/>
              </w:rPr>
            </w:pPr>
            <w:r w:rsidRPr="000D3D0C">
              <w:rPr>
                <w:bCs/>
                <w:sz w:val="20"/>
                <w:szCs w:val="20"/>
              </w:rPr>
              <w:t>Прочие источники финансирования, в т.ч. лизинг</w:t>
            </w:r>
          </w:p>
        </w:tc>
        <w:tc>
          <w:tcPr>
            <w:tcW w:w="1552" w:type="dxa"/>
            <w:shd w:val="clear" w:color="auto" w:fill="auto"/>
            <w:tcMar>
              <w:left w:w="28" w:type="dxa"/>
              <w:right w:w="28" w:type="dxa"/>
            </w:tcMar>
            <w:vAlign w:val="center"/>
          </w:tcPr>
          <w:p w14:paraId="68ADB374" w14:textId="77777777" w:rsidR="004A0123" w:rsidRPr="000D3D0C" w:rsidRDefault="004A0123" w:rsidP="008A5C11">
            <w:pPr>
              <w:jc w:val="center"/>
              <w:rPr>
                <w:sz w:val="20"/>
                <w:szCs w:val="20"/>
                <w:lang w:val="en-US"/>
              </w:rPr>
            </w:pPr>
            <w:r w:rsidRPr="000D3D0C">
              <w:rPr>
                <w:sz w:val="20"/>
                <w:szCs w:val="20"/>
                <w:lang w:val="en-US"/>
              </w:rPr>
              <w:t>0</w:t>
            </w:r>
          </w:p>
        </w:tc>
        <w:tc>
          <w:tcPr>
            <w:tcW w:w="1206" w:type="dxa"/>
            <w:shd w:val="clear" w:color="auto" w:fill="auto"/>
            <w:tcMar>
              <w:left w:w="28" w:type="dxa"/>
              <w:right w:w="28" w:type="dxa"/>
            </w:tcMar>
            <w:vAlign w:val="center"/>
          </w:tcPr>
          <w:p w14:paraId="6ACA5F3A" w14:textId="77777777" w:rsidR="004A0123" w:rsidRPr="000D3D0C" w:rsidRDefault="004A0123" w:rsidP="008A5C11">
            <w:pPr>
              <w:jc w:val="center"/>
              <w:rPr>
                <w:sz w:val="20"/>
                <w:szCs w:val="20"/>
                <w:lang w:val="en-US"/>
              </w:rPr>
            </w:pPr>
            <w:r w:rsidRPr="000D3D0C">
              <w:rPr>
                <w:sz w:val="20"/>
                <w:szCs w:val="20"/>
                <w:lang w:val="en-US"/>
              </w:rPr>
              <w:t>0</w:t>
            </w:r>
          </w:p>
        </w:tc>
        <w:tc>
          <w:tcPr>
            <w:tcW w:w="859" w:type="dxa"/>
            <w:shd w:val="clear" w:color="auto" w:fill="auto"/>
            <w:tcMar>
              <w:left w:w="28" w:type="dxa"/>
              <w:right w:w="28" w:type="dxa"/>
            </w:tcMar>
            <w:vAlign w:val="center"/>
          </w:tcPr>
          <w:p w14:paraId="70B41819" w14:textId="77777777" w:rsidR="004A0123" w:rsidRPr="000D3D0C" w:rsidRDefault="004A0123" w:rsidP="008A5C11">
            <w:pPr>
              <w:jc w:val="center"/>
              <w:rPr>
                <w:bCs/>
                <w:sz w:val="20"/>
                <w:szCs w:val="20"/>
                <w:lang w:val="en-US"/>
              </w:rPr>
            </w:pPr>
            <w:r w:rsidRPr="000D3D0C">
              <w:rPr>
                <w:bCs/>
                <w:sz w:val="20"/>
                <w:szCs w:val="20"/>
                <w:lang w:val="en-US"/>
              </w:rPr>
              <w:t>0</w:t>
            </w:r>
          </w:p>
        </w:tc>
        <w:tc>
          <w:tcPr>
            <w:tcW w:w="889" w:type="dxa"/>
            <w:shd w:val="clear" w:color="auto" w:fill="auto"/>
            <w:tcMar>
              <w:left w:w="28" w:type="dxa"/>
              <w:right w:w="28" w:type="dxa"/>
            </w:tcMar>
            <w:vAlign w:val="center"/>
          </w:tcPr>
          <w:p w14:paraId="480D63CE" w14:textId="77777777" w:rsidR="004A0123" w:rsidRPr="000D3D0C" w:rsidRDefault="004A0123" w:rsidP="008A5C11">
            <w:pPr>
              <w:jc w:val="center"/>
              <w:rPr>
                <w:bCs/>
                <w:sz w:val="20"/>
                <w:szCs w:val="20"/>
                <w:lang w:val="en-US"/>
              </w:rPr>
            </w:pPr>
            <w:r w:rsidRPr="000D3D0C">
              <w:rPr>
                <w:bCs/>
                <w:sz w:val="20"/>
                <w:szCs w:val="20"/>
                <w:lang w:val="en-US"/>
              </w:rPr>
              <w:t>0</w:t>
            </w:r>
          </w:p>
        </w:tc>
        <w:tc>
          <w:tcPr>
            <w:tcW w:w="901" w:type="dxa"/>
            <w:shd w:val="clear" w:color="auto" w:fill="auto"/>
            <w:tcMar>
              <w:left w:w="28" w:type="dxa"/>
              <w:right w:w="28" w:type="dxa"/>
            </w:tcMar>
            <w:vAlign w:val="center"/>
          </w:tcPr>
          <w:p w14:paraId="44BA9EE4" w14:textId="77777777" w:rsidR="004A0123" w:rsidRPr="000D3D0C" w:rsidRDefault="004A0123" w:rsidP="008A5C11">
            <w:pPr>
              <w:jc w:val="center"/>
              <w:rPr>
                <w:bCs/>
                <w:sz w:val="20"/>
                <w:szCs w:val="20"/>
                <w:lang w:val="en-US"/>
              </w:rPr>
            </w:pPr>
            <w:r w:rsidRPr="000D3D0C">
              <w:rPr>
                <w:bCs/>
                <w:sz w:val="20"/>
                <w:szCs w:val="20"/>
                <w:lang w:val="en-US"/>
              </w:rPr>
              <w:t>0</w:t>
            </w:r>
          </w:p>
        </w:tc>
        <w:tc>
          <w:tcPr>
            <w:tcW w:w="901" w:type="dxa"/>
            <w:tcMar>
              <w:left w:w="28" w:type="dxa"/>
              <w:right w:w="28" w:type="dxa"/>
            </w:tcMar>
            <w:vAlign w:val="center"/>
          </w:tcPr>
          <w:p w14:paraId="466E6E7D" w14:textId="77777777" w:rsidR="004A0123" w:rsidRPr="000D3D0C" w:rsidRDefault="004A0123" w:rsidP="008A5C11">
            <w:pPr>
              <w:jc w:val="center"/>
              <w:rPr>
                <w:bCs/>
                <w:sz w:val="20"/>
                <w:szCs w:val="20"/>
                <w:lang w:val="en-US"/>
              </w:rPr>
            </w:pPr>
            <w:r w:rsidRPr="000D3D0C">
              <w:rPr>
                <w:bCs/>
                <w:sz w:val="20"/>
                <w:szCs w:val="20"/>
                <w:lang w:val="en-US"/>
              </w:rPr>
              <w:t>0</w:t>
            </w:r>
          </w:p>
        </w:tc>
        <w:tc>
          <w:tcPr>
            <w:tcW w:w="901" w:type="dxa"/>
            <w:tcMar>
              <w:left w:w="28" w:type="dxa"/>
              <w:right w:w="28" w:type="dxa"/>
            </w:tcMar>
            <w:vAlign w:val="center"/>
          </w:tcPr>
          <w:p w14:paraId="15918D33" w14:textId="77777777" w:rsidR="004A0123" w:rsidRPr="000D3D0C" w:rsidRDefault="004A0123" w:rsidP="008A5C11">
            <w:pPr>
              <w:jc w:val="center"/>
              <w:rPr>
                <w:bCs/>
                <w:sz w:val="20"/>
                <w:szCs w:val="20"/>
                <w:lang w:val="en-US"/>
              </w:rPr>
            </w:pPr>
            <w:r w:rsidRPr="000D3D0C">
              <w:rPr>
                <w:bCs/>
                <w:sz w:val="20"/>
                <w:szCs w:val="20"/>
                <w:lang w:val="en-US"/>
              </w:rPr>
              <w:t>0</w:t>
            </w:r>
          </w:p>
        </w:tc>
        <w:tc>
          <w:tcPr>
            <w:tcW w:w="966" w:type="dxa"/>
            <w:vAlign w:val="center"/>
          </w:tcPr>
          <w:p w14:paraId="0BE2A490" w14:textId="77777777" w:rsidR="004A0123" w:rsidRPr="000D3D0C" w:rsidRDefault="004A0123" w:rsidP="008A5C11">
            <w:pPr>
              <w:jc w:val="center"/>
              <w:rPr>
                <w:bCs/>
                <w:sz w:val="20"/>
                <w:szCs w:val="20"/>
                <w:lang w:val="en-US"/>
              </w:rPr>
            </w:pPr>
            <w:r w:rsidRPr="000D3D0C">
              <w:rPr>
                <w:bCs/>
                <w:sz w:val="20"/>
                <w:szCs w:val="20"/>
                <w:lang w:val="en-US"/>
              </w:rPr>
              <w:t>0</w:t>
            </w:r>
          </w:p>
        </w:tc>
        <w:tc>
          <w:tcPr>
            <w:tcW w:w="966" w:type="dxa"/>
            <w:vAlign w:val="center"/>
          </w:tcPr>
          <w:p w14:paraId="10CFE349" w14:textId="77777777" w:rsidR="004A0123" w:rsidRPr="000D3D0C" w:rsidRDefault="004A0123" w:rsidP="008A5C11">
            <w:pPr>
              <w:jc w:val="center"/>
              <w:rPr>
                <w:bCs/>
                <w:sz w:val="20"/>
                <w:szCs w:val="20"/>
                <w:lang w:val="en-US"/>
              </w:rPr>
            </w:pPr>
            <w:r w:rsidRPr="000D3D0C">
              <w:rPr>
                <w:bCs/>
                <w:sz w:val="20"/>
                <w:szCs w:val="20"/>
                <w:lang w:val="en-US"/>
              </w:rPr>
              <w:t>0</w:t>
            </w:r>
          </w:p>
        </w:tc>
        <w:tc>
          <w:tcPr>
            <w:tcW w:w="966" w:type="dxa"/>
            <w:vAlign w:val="center"/>
          </w:tcPr>
          <w:p w14:paraId="124F1920" w14:textId="77777777" w:rsidR="004A0123" w:rsidRPr="000D3D0C" w:rsidRDefault="004A0123" w:rsidP="008A5C11">
            <w:pPr>
              <w:jc w:val="center"/>
              <w:rPr>
                <w:bCs/>
                <w:sz w:val="20"/>
                <w:szCs w:val="20"/>
                <w:lang w:val="en-US"/>
              </w:rPr>
            </w:pPr>
            <w:r w:rsidRPr="000D3D0C">
              <w:rPr>
                <w:bCs/>
                <w:sz w:val="20"/>
                <w:szCs w:val="20"/>
                <w:lang w:val="en-US"/>
              </w:rPr>
              <w:t>0</w:t>
            </w:r>
          </w:p>
        </w:tc>
        <w:tc>
          <w:tcPr>
            <w:tcW w:w="966" w:type="dxa"/>
            <w:vAlign w:val="center"/>
          </w:tcPr>
          <w:p w14:paraId="7F839D8A" w14:textId="77777777" w:rsidR="004A0123" w:rsidRPr="000D3D0C" w:rsidRDefault="004A0123" w:rsidP="008A5C11">
            <w:pPr>
              <w:jc w:val="center"/>
              <w:rPr>
                <w:bCs/>
                <w:sz w:val="20"/>
                <w:szCs w:val="20"/>
                <w:lang w:val="en-US"/>
              </w:rPr>
            </w:pPr>
            <w:r w:rsidRPr="000D3D0C">
              <w:rPr>
                <w:bCs/>
                <w:sz w:val="20"/>
                <w:szCs w:val="20"/>
                <w:lang w:val="en-US"/>
              </w:rPr>
              <w:t>0</w:t>
            </w:r>
          </w:p>
        </w:tc>
        <w:tc>
          <w:tcPr>
            <w:tcW w:w="966" w:type="dxa"/>
            <w:vAlign w:val="center"/>
          </w:tcPr>
          <w:p w14:paraId="773FAAD2" w14:textId="77777777" w:rsidR="004A0123" w:rsidRPr="000D3D0C" w:rsidRDefault="004A0123" w:rsidP="008A5C11">
            <w:pPr>
              <w:jc w:val="center"/>
              <w:rPr>
                <w:bCs/>
                <w:sz w:val="20"/>
                <w:szCs w:val="20"/>
                <w:lang w:val="en-US"/>
              </w:rPr>
            </w:pPr>
            <w:r w:rsidRPr="000D3D0C">
              <w:rPr>
                <w:bCs/>
                <w:sz w:val="20"/>
                <w:szCs w:val="20"/>
                <w:lang w:val="en-US"/>
              </w:rPr>
              <w:t>0</w:t>
            </w:r>
          </w:p>
        </w:tc>
      </w:tr>
      <w:tr w:rsidR="004A0123" w:rsidRPr="000D3D0C" w14:paraId="5F6C77C3" w14:textId="77777777" w:rsidTr="008A5C11">
        <w:trPr>
          <w:trHeight w:val="255"/>
          <w:jc w:val="center"/>
        </w:trPr>
        <w:tc>
          <w:tcPr>
            <w:tcW w:w="475" w:type="dxa"/>
            <w:shd w:val="clear" w:color="auto" w:fill="auto"/>
            <w:tcMar>
              <w:left w:w="28" w:type="dxa"/>
              <w:right w:w="28" w:type="dxa"/>
            </w:tcMar>
            <w:vAlign w:val="center"/>
            <w:hideMark/>
          </w:tcPr>
          <w:p w14:paraId="0870E9BC" w14:textId="77777777" w:rsidR="004A0123" w:rsidRPr="000D3D0C" w:rsidRDefault="004A0123" w:rsidP="008A5C11">
            <w:pPr>
              <w:jc w:val="center"/>
              <w:rPr>
                <w:bCs/>
                <w:sz w:val="20"/>
                <w:szCs w:val="20"/>
              </w:rPr>
            </w:pPr>
            <w:r w:rsidRPr="000D3D0C">
              <w:rPr>
                <w:bCs/>
                <w:sz w:val="20"/>
                <w:szCs w:val="20"/>
              </w:rPr>
              <w:t>5.</w:t>
            </w:r>
          </w:p>
        </w:tc>
        <w:tc>
          <w:tcPr>
            <w:tcW w:w="2112" w:type="dxa"/>
            <w:shd w:val="clear" w:color="auto" w:fill="auto"/>
            <w:tcMar>
              <w:left w:w="28" w:type="dxa"/>
              <w:right w:w="28" w:type="dxa"/>
            </w:tcMar>
            <w:vAlign w:val="center"/>
            <w:hideMark/>
          </w:tcPr>
          <w:p w14:paraId="6EC38E49" w14:textId="77777777" w:rsidR="004A0123" w:rsidRPr="000D3D0C" w:rsidRDefault="004A0123" w:rsidP="008A5C11">
            <w:pPr>
              <w:rPr>
                <w:bCs/>
                <w:sz w:val="20"/>
                <w:szCs w:val="20"/>
              </w:rPr>
            </w:pPr>
            <w:r w:rsidRPr="000D3D0C">
              <w:rPr>
                <w:bCs/>
                <w:sz w:val="20"/>
                <w:szCs w:val="20"/>
              </w:rPr>
              <w:t>Итого по программе</w:t>
            </w:r>
          </w:p>
        </w:tc>
        <w:tc>
          <w:tcPr>
            <w:tcW w:w="1552" w:type="dxa"/>
            <w:shd w:val="clear" w:color="auto" w:fill="auto"/>
            <w:tcMar>
              <w:left w:w="28" w:type="dxa"/>
              <w:right w:w="28" w:type="dxa"/>
            </w:tcMar>
            <w:vAlign w:val="center"/>
          </w:tcPr>
          <w:p w14:paraId="5F36812D" w14:textId="77777777" w:rsidR="004A0123" w:rsidRPr="000D3D0C" w:rsidRDefault="004A0123" w:rsidP="008A5C11">
            <w:pPr>
              <w:jc w:val="center"/>
              <w:rPr>
                <w:color w:val="000000"/>
                <w:sz w:val="20"/>
                <w:szCs w:val="20"/>
              </w:rPr>
            </w:pPr>
            <w:r w:rsidRPr="000D3D0C">
              <w:rPr>
                <w:color w:val="000000"/>
                <w:sz w:val="20"/>
                <w:szCs w:val="20"/>
              </w:rPr>
              <w:t>574 985</w:t>
            </w:r>
          </w:p>
        </w:tc>
        <w:tc>
          <w:tcPr>
            <w:tcW w:w="1206" w:type="dxa"/>
            <w:shd w:val="clear" w:color="auto" w:fill="auto"/>
            <w:tcMar>
              <w:left w:w="28" w:type="dxa"/>
              <w:right w:w="28" w:type="dxa"/>
            </w:tcMar>
            <w:vAlign w:val="center"/>
          </w:tcPr>
          <w:p w14:paraId="49068286" w14:textId="77777777" w:rsidR="004A0123" w:rsidRPr="000D3D0C" w:rsidRDefault="004A0123" w:rsidP="008A5C11">
            <w:pPr>
              <w:jc w:val="center"/>
              <w:rPr>
                <w:color w:val="000000"/>
                <w:sz w:val="20"/>
                <w:szCs w:val="20"/>
              </w:rPr>
            </w:pPr>
            <w:r w:rsidRPr="000D3D0C">
              <w:rPr>
                <w:color w:val="000000"/>
                <w:sz w:val="20"/>
                <w:szCs w:val="20"/>
              </w:rPr>
              <w:t>574 985</w:t>
            </w:r>
          </w:p>
        </w:tc>
        <w:tc>
          <w:tcPr>
            <w:tcW w:w="859" w:type="dxa"/>
            <w:shd w:val="clear" w:color="auto" w:fill="auto"/>
            <w:tcMar>
              <w:left w:w="28" w:type="dxa"/>
              <w:right w:w="28" w:type="dxa"/>
            </w:tcMar>
            <w:vAlign w:val="center"/>
          </w:tcPr>
          <w:p w14:paraId="19CA2D18" w14:textId="77777777" w:rsidR="004A0123" w:rsidRPr="000D3D0C" w:rsidRDefault="004A0123" w:rsidP="008A5C11">
            <w:pPr>
              <w:jc w:val="center"/>
              <w:rPr>
                <w:color w:val="000000"/>
                <w:sz w:val="20"/>
                <w:szCs w:val="20"/>
              </w:rPr>
            </w:pPr>
            <w:r w:rsidRPr="000D3D0C">
              <w:rPr>
                <w:color w:val="000000"/>
                <w:sz w:val="20"/>
                <w:szCs w:val="20"/>
              </w:rPr>
              <w:t>9 330</w:t>
            </w:r>
          </w:p>
        </w:tc>
        <w:tc>
          <w:tcPr>
            <w:tcW w:w="889" w:type="dxa"/>
            <w:shd w:val="clear" w:color="auto" w:fill="auto"/>
            <w:tcMar>
              <w:left w:w="28" w:type="dxa"/>
              <w:right w:w="28" w:type="dxa"/>
            </w:tcMar>
            <w:vAlign w:val="center"/>
          </w:tcPr>
          <w:p w14:paraId="7C30A019" w14:textId="77777777" w:rsidR="004A0123" w:rsidRPr="000D3D0C" w:rsidRDefault="004A0123" w:rsidP="008A5C11">
            <w:pPr>
              <w:jc w:val="center"/>
              <w:rPr>
                <w:color w:val="000000"/>
                <w:sz w:val="20"/>
                <w:szCs w:val="20"/>
              </w:rPr>
            </w:pPr>
            <w:r w:rsidRPr="000D3D0C">
              <w:rPr>
                <w:color w:val="000000"/>
                <w:sz w:val="20"/>
                <w:szCs w:val="20"/>
              </w:rPr>
              <w:t>24 960</w:t>
            </w:r>
          </w:p>
        </w:tc>
        <w:tc>
          <w:tcPr>
            <w:tcW w:w="901" w:type="dxa"/>
            <w:shd w:val="clear" w:color="auto" w:fill="auto"/>
            <w:tcMar>
              <w:left w:w="28" w:type="dxa"/>
              <w:right w:w="28" w:type="dxa"/>
            </w:tcMar>
            <w:vAlign w:val="center"/>
          </w:tcPr>
          <w:p w14:paraId="707AC9A1" w14:textId="77777777" w:rsidR="004A0123" w:rsidRPr="000D3D0C" w:rsidRDefault="004A0123" w:rsidP="008A5C11">
            <w:pPr>
              <w:jc w:val="center"/>
              <w:rPr>
                <w:color w:val="000000"/>
                <w:sz w:val="20"/>
                <w:szCs w:val="20"/>
              </w:rPr>
            </w:pPr>
            <w:r w:rsidRPr="000D3D0C">
              <w:rPr>
                <w:color w:val="000000"/>
                <w:sz w:val="20"/>
                <w:szCs w:val="20"/>
              </w:rPr>
              <w:t>28 273</w:t>
            </w:r>
          </w:p>
        </w:tc>
        <w:tc>
          <w:tcPr>
            <w:tcW w:w="901" w:type="dxa"/>
            <w:tcMar>
              <w:left w:w="28" w:type="dxa"/>
              <w:right w:w="28" w:type="dxa"/>
            </w:tcMar>
            <w:vAlign w:val="center"/>
          </w:tcPr>
          <w:p w14:paraId="31960AB8" w14:textId="77777777" w:rsidR="004A0123" w:rsidRPr="000D3D0C" w:rsidRDefault="004A0123" w:rsidP="008A5C11">
            <w:pPr>
              <w:jc w:val="center"/>
              <w:rPr>
                <w:color w:val="000000"/>
                <w:sz w:val="20"/>
                <w:szCs w:val="20"/>
              </w:rPr>
            </w:pPr>
            <w:r w:rsidRPr="000D3D0C">
              <w:rPr>
                <w:color w:val="000000"/>
                <w:sz w:val="20"/>
                <w:szCs w:val="20"/>
              </w:rPr>
              <w:t>42 473</w:t>
            </w:r>
          </w:p>
        </w:tc>
        <w:tc>
          <w:tcPr>
            <w:tcW w:w="901" w:type="dxa"/>
            <w:tcMar>
              <w:left w:w="28" w:type="dxa"/>
              <w:right w:w="28" w:type="dxa"/>
            </w:tcMar>
            <w:vAlign w:val="center"/>
          </w:tcPr>
          <w:p w14:paraId="6425F79A" w14:textId="77777777" w:rsidR="004A0123" w:rsidRPr="000D3D0C" w:rsidRDefault="004A0123" w:rsidP="008A5C11">
            <w:pPr>
              <w:jc w:val="center"/>
              <w:rPr>
                <w:color w:val="000000"/>
                <w:sz w:val="20"/>
                <w:szCs w:val="20"/>
              </w:rPr>
            </w:pPr>
            <w:r w:rsidRPr="000D3D0C">
              <w:rPr>
                <w:color w:val="000000"/>
                <w:sz w:val="20"/>
                <w:szCs w:val="20"/>
              </w:rPr>
              <w:t>55 009</w:t>
            </w:r>
          </w:p>
        </w:tc>
        <w:tc>
          <w:tcPr>
            <w:tcW w:w="966" w:type="dxa"/>
            <w:vAlign w:val="center"/>
          </w:tcPr>
          <w:p w14:paraId="1F98C915" w14:textId="77777777" w:rsidR="004A0123" w:rsidRPr="000D3D0C" w:rsidRDefault="004A0123" w:rsidP="008A5C11">
            <w:pPr>
              <w:jc w:val="center"/>
              <w:rPr>
                <w:color w:val="000000"/>
                <w:sz w:val="20"/>
                <w:szCs w:val="20"/>
              </w:rPr>
            </w:pPr>
            <w:r w:rsidRPr="000D3D0C">
              <w:rPr>
                <w:color w:val="000000"/>
                <w:sz w:val="20"/>
                <w:szCs w:val="20"/>
              </w:rPr>
              <w:t>69 481</w:t>
            </w:r>
          </w:p>
        </w:tc>
        <w:tc>
          <w:tcPr>
            <w:tcW w:w="966" w:type="dxa"/>
            <w:vAlign w:val="center"/>
          </w:tcPr>
          <w:p w14:paraId="4366E0F4" w14:textId="77777777" w:rsidR="004A0123" w:rsidRPr="000D3D0C" w:rsidRDefault="004A0123" w:rsidP="008A5C11">
            <w:pPr>
              <w:jc w:val="center"/>
              <w:rPr>
                <w:color w:val="000000"/>
                <w:sz w:val="20"/>
                <w:szCs w:val="20"/>
              </w:rPr>
            </w:pPr>
            <w:r w:rsidRPr="000D3D0C">
              <w:rPr>
                <w:color w:val="000000"/>
                <w:sz w:val="20"/>
                <w:szCs w:val="20"/>
              </w:rPr>
              <w:t>77 514</w:t>
            </w:r>
          </w:p>
        </w:tc>
        <w:tc>
          <w:tcPr>
            <w:tcW w:w="966" w:type="dxa"/>
            <w:vAlign w:val="center"/>
          </w:tcPr>
          <w:p w14:paraId="5CD0BE91" w14:textId="77777777" w:rsidR="004A0123" w:rsidRPr="000D3D0C" w:rsidRDefault="004A0123" w:rsidP="008A5C11">
            <w:pPr>
              <w:jc w:val="center"/>
              <w:rPr>
                <w:color w:val="000000"/>
                <w:sz w:val="20"/>
                <w:szCs w:val="20"/>
              </w:rPr>
            </w:pPr>
            <w:r w:rsidRPr="000D3D0C">
              <w:rPr>
                <w:color w:val="000000"/>
                <w:sz w:val="20"/>
                <w:szCs w:val="20"/>
              </w:rPr>
              <w:t>83 930</w:t>
            </w:r>
          </w:p>
        </w:tc>
        <w:tc>
          <w:tcPr>
            <w:tcW w:w="966" w:type="dxa"/>
            <w:vAlign w:val="center"/>
          </w:tcPr>
          <w:p w14:paraId="4F2B96EB" w14:textId="77777777" w:rsidR="004A0123" w:rsidRPr="000D3D0C" w:rsidRDefault="004A0123" w:rsidP="008A5C11">
            <w:pPr>
              <w:jc w:val="center"/>
              <w:rPr>
                <w:color w:val="000000"/>
                <w:sz w:val="20"/>
                <w:szCs w:val="20"/>
              </w:rPr>
            </w:pPr>
            <w:r w:rsidRPr="000D3D0C">
              <w:rPr>
                <w:color w:val="000000"/>
                <w:sz w:val="20"/>
                <w:szCs w:val="20"/>
              </w:rPr>
              <w:t>90 536</w:t>
            </w:r>
          </w:p>
        </w:tc>
        <w:tc>
          <w:tcPr>
            <w:tcW w:w="966" w:type="dxa"/>
            <w:vAlign w:val="center"/>
          </w:tcPr>
          <w:p w14:paraId="564991D5" w14:textId="77777777" w:rsidR="004A0123" w:rsidRPr="000D3D0C" w:rsidRDefault="004A0123" w:rsidP="008A5C11">
            <w:pPr>
              <w:jc w:val="center"/>
              <w:rPr>
                <w:color w:val="000000"/>
                <w:sz w:val="20"/>
                <w:szCs w:val="20"/>
              </w:rPr>
            </w:pPr>
            <w:r w:rsidRPr="000D3D0C">
              <w:rPr>
                <w:color w:val="000000"/>
                <w:sz w:val="20"/>
                <w:szCs w:val="20"/>
              </w:rPr>
              <w:t>93 479</w:t>
            </w:r>
          </w:p>
        </w:tc>
      </w:tr>
    </w:tbl>
    <w:p w14:paraId="5F3B5672" w14:textId="77777777" w:rsidR="004A0123" w:rsidRPr="000D3D0C" w:rsidRDefault="004A0123" w:rsidP="004A0123">
      <w:pPr>
        <w:jc w:val="center"/>
        <w:rPr>
          <w:bCs/>
          <w:color w:val="000000"/>
        </w:rPr>
      </w:pPr>
    </w:p>
    <w:p w14:paraId="02702EC1" w14:textId="77777777" w:rsidR="004A0123" w:rsidRPr="000D3D0C" w:rsidRDefault="004A0123" w:rsidP="004A0123"/>
    <w:p w14:paraId="24BE65B3" w14:textId="77777777" w:rsidR="004A0123" w:rsidRPr="000D3D0C" w:rsidRDefault="004A0123" w:rsidP="004A0123">
      <w:pPr>
        <w:jc w:val="center"/>
        <w:rPr>
          <w:bCs/>
          <w:color w:val="000000"/>
        </w:rPr>
      </w:pPr>
    </w:p>
    <w:p w14:paraId="375057BA" w14:textId="77777777" w:rsidR="004A0123" w:rsidRDefault="004A0123" w:rsidP="004A0123">
      <w:pPr>
        <w:tabs>
          <w:tab w:val="left" w:pos="5580"/>
          <w:tab w:val="left" w:pos="9498"/>
        </w:tabs>
        <w:ind w:right="-569" w:firstLine="142"/>
        <w:rPr>
          <w:color w:val="000000" w:themeColor="text1"/>
        </w:rPr>
        <w:sectPr w:rsidR="004A0123" w:rsidSect="000D3D0C">
          <w:pgSz w:w="16838" w:h="11906" w:orient="landscape"/>
          <w:pgMar w:top="709" w:right="1134" w:bottom="850" w:left="1134" w:header="708" w:footer="708" w:gutter="0"/>
          <w:cols w:space="708"/>
          <w:docGrid w:linePitch="360"/>
        </w:sectPr>
      </w:pPr>
    </w:p>
    <w:p w14:paraId="059E4FA8" w14:textId="6B2E056C" w:rsidR="004A0123" w:rsidRPr="00081AD4" w:rsidRDefault="004A0123" w:rsidP="004A0123">
      <w:pPr>
        <w:tabs>
          <w:tab w:val="left" w:pos="3686"/>
          <w:tab w:val="left" w:pos="9498"/>
        </w:tabs>
        <w:ind w:left="-3734" w:right="-1" w:firstLine="9121"/>
        <w:rPr>
          <w:color w:val="000000" w:themeColor="text1"/>
        </w:rPr>
      </w:pPr>
      <w:r w:rsidRPr="00081AD4">
        <w:rPr>
          <w:color w:val="000000" w:themeColor="text1"/>
        </w:rPr>
        <w:t xml:space="preserve">Приложение № </w:t>
      </w:r>
      <w:r>
        <w:rPr>
          <w:color w:val="000000" w:themeColor="text1"/>
        </w:rPr>
        <w:t>2</w:t>
      </w:r>
      <w:r>
        <w:rPr>
          <w:color w:val="000000" w:themeColor="text1"/>
        </w:rPr>
        <w:t>7</w:t>
      </w:r>
      <w:r>
        <w:rPr>
          <w:color w:val="000000" w:themeColor="text1"/>
        </w:rPr>
        <w:t xml:space="preserve"> к протоколу</w:t>
      </w:r>
      <w:r w:rsidRPr="00081AD4">
        <w:rPr>
          <w:color w:val="000000" w:themeColor="text1"/>
        </w:rPr>
        <w:t xml:space="preserve"> № </w:t>
      </w:r>
      <w:r>
        <w:rPr>
          <w:color w:val="000000" w:themeColor="text1"/>
        </w:rPr>
        <w:t>88</w:t>
      </w:r>
    </w:p>
    <w:p w14:paraId="25628B7E" w14:textId="77777777" w:rsidR="004A0123" w:rsidRPr="00081AD4" w:rsidRDefault="004A0123" w:rsidP="004A0123">
      <w:pPr>
        <w:tabs>
          <w:tab w:val="left" w:pos="3686"/>
          <w:tab w:val="left" w:pos="9498"/>
        </w:tabs>
        <w:ind w:left="-3734" w:right="-1" w:firstLine="912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508E21BC" w14:textId="77777777" w:rsidR="004A0123" w:rsidRPr="00081AD4" w:rsidRDefault="004A0123" w:rsidP="004A0123">
      <w:pPr>
        <w:tabs>
          <w:tab w:val="left" w:pos="3686"/>
          <w:tab w:val="left" w:pos="9498"/>
        </w:tabs>
        <w:ind w:left="-3734" w:right="-1" w:firstLine="9121"/>
        <w:rPr>
          <w:color w:val="000000" w:themeColor="text1"/>
        </w:rPr>
      </w:pPr>
      <w:r w:rsidRPr="00081AD4">
        <w:rPr>
          <w:color w:val="000000" w:themeColor="text1"/>
        </w:rPr>
        <w:t>энергетической комиссии</w:t>
      </w:r>
    </w:p>
    <w:p w14:paraId="77B115A4" w14:textId="77777777" w:rsidR="004A0123" w:rsidRDefault="004A0123" w:rsidP="004A0123">
      <w:pPr>
        <w:autoSpaceDE w:val="0"/>
        <w:autoSpaceDN w:val="0"/>
        <w:adjustRightInd w:val="0"/>
        <w:ind w:firstLine="5387"/>
        <w:rPr>
          <w:color w:val="000000" w:themeColor="text1"/>
        </w:rPr>
      </w:pPr>
      <w:r w:rsidRPr="00081AD4">
        <w:rPr>
          <w:color w:val="000000" w:themeColor="text1"/>
        </w:rPr>
        <w:t xml:space="preserve">Кузбасса от </w:t>
      </w:r>
      <w:r>
        <w:rPr>
          <w:color w:val="000000" w:themeColor="text1"/>
        </w:rPr>
        <w:t>23</w:t>
      </w:r>
      <w:r w:rsidRPr="00081AD4">
        <w:rPr>
          <w:color w:val="000000" w:themeColor="text1"/>
        </w:rPr>
        <w:t>.</w:t>
      </w:r>
      <w:r>
        <w:rPr>
          <w:color w:val="000000" w:themeColor="text1"/>
        </w:rPr>
        <w:t>12</w:t>
      </w:r>
      <w:r w:rsidRPr="00081AD4">
        <w:rPr>
          <w:color w:val="000000" w:themeColor="text1"/>
        </w:rPr>
        <w:t>.202</w:t>
      </w:r>
      <w:r>
        <w:rPr>
          <w:color w:val="000000" w:themeColor="text1"/>
        </w:rPr>
        <w:t>1</w:t>
      </w:r>
    </w:p>
    <w:p w14:paraId="04B6BB7C" w14:textId="77777777" w:rsidR="004A0123" w:rsidRPr="000D3D0C" w:rsidRDefault="004A0123" w:rsidP="004A0123">
      <w:pPr>
        <w:autoSpaceDE w:val="0"/>
        <w:autoSpaceDN w:val="0"/>
        <w:adjustRightInd w:val="0"/>
        <w:ind w:left="4962" w:firstLine="8017"/>
        <w:jc w:val="both"/>
        <w:rPr>
          <w:sz w:val="28"/>
          <w:szCs w:val="28"/>
        </w:rPr>
      </w:pPr>
    </w:p>
    <w:p w14:paraId="7143429C" w14:textId="77777777" w:rsidR="004A0123" w:rsidRPr="00B74691" w:rsidRDefault="004A0123" w:rsidP="004A0123">
      <w:pPr>
        <w:jc w:val="center"/>
        <w:rPr>
          <w:sz w:val="28"/>
          <w:szCs w:val="28"/>
          <w:lang w:eastAsia="en-US"/>
        </w:rPr>
      </w:pPr>
      <w:r w:rsidRPr="00B74691">
        <w:rPr>
          <w:sz w:val="28"/>
          <w:szCs w:val="28"/>
          <w:lang w:eastAsia="en-US"/>
        </w:rPr>
        <w:t>Экспертное заключение</w:t>
      </w:r>
    </w:p>
    <w:p w14:paraId="3C5F4E36" w14:textId="77777777" w:rsidR="004A0123" w:rsidRPr="00B74691" w:rsidRDefault="004A0123" w:rsidP="004A0123">
      <w:pPr>
        <w:jc w:val="center"/>
        <w:rPr>
          <w:sz w:val="28"/>
          <w:szCs w:val="28"/>
          <w:lang w:eastAsia="en-US"/>
        </w:rPr>
      </w:pPr>
      <w:r w:rsidRPr="00B74691">
        <w:rPr>
          <w:sz w:val="28"/>
          <w:szCs w:val="28"/>
          <w:lang w:eastAsia="en-US"/>
        </w:rPr>
        <w:t>Региональной энергетической комиссии Кузбасса</w:t>
      </w:r>
    </w:p>
    <w:p w14:paraId="2F484B0E" w14:textId="77777777" w:rsidR="004A0123" w:rsidRPr="00B74691" w:rsidRDefault="004A0123" w:rsidP="004A0123">
      <w:pPr>
        <w:jc w:val="center"/>
        <w:rPr>
          <w:sz w:val="28"/>
          <w:szCs w:val="28"/>
          <w:lang w:eastAsia="en-US"/>
        </w:rPr>
      </w:pPr>
      <w:r w:rsidRPr="00B74691">
        <w:rPr>
          <w:sz w:val="28"/>
          <w:szCs w:val="28"/>
          <w:lang w:eastAsia="en-US"/>
        </w:rPr>
        <w:t xml:space="preserve">по материалам, представленным ОАО «СКЭК» (Яшкинский муниципальный округ) по внесению изменений в производственную программу в сфере холодного водоснабжения, водоотведения ОАО «СКЭК» (Яшкинский муниципальный округ) </w:t>
      </w:r>
    </w:p>
    <w:p w14:paraId="03741EF9" w14:textId="77777777" w:rsidR="004A0123" w:rsidRPr="00B74691" w:rsidRDefault="004A0123" w:rsidP="004A0123">
      <w:pPr>
        <w:jc w:val="center"/>
        <w:rPr>
          <w:b/>
          <w:bCs/>
          <w:kern w:val="32"/>
          <w:sz w:val="28"/>
          <w:szCs w:val="28"/>
          <w:lang w:eastAsia="en-US"/>
        </w:rPr>
      </w:pPr>
    </w:p>
    <w:p w14:paraId="18D4E37E" w14:textId="77777777" w:rsidR="004A0123" w:rsidRPr="00B74691" w:rsidRDefault="004A0123" w:rsidP="004A0123">
      <w:pPr>
        <w:tabs>
          <w:tab w:val="left" w:pos="1418"/>
          <w:tab w:val="center" w:pos="4858"/>
        </w:tabs>
        <w:ind w:left="360"/>
        <w:jc w:val="center"/>
        <w:rPr>
          <w:b/>
          <w:sz w:val="28"/>
          <w:szCs w:val="28"/>
          <w:lang w:eastAsia="en-US"/>
        </w:rPr>
      </w:pPr>
    </w:p>
    <w:p w14:paraId="3A28129E" w14:textId="77777777" w:rsidR="004A0123" w:rsidRPr="00B74691" w:rsidRDefault="004A0123" w:rsidP="004A0123">
      <w:pPr>
        <w:ind w:firstLine="709"/>
        <w:jc w:val="both"/>
        <w:rPr>
          <w:sz w:val="28"/>
          <w:szCs w:val="28"/>
          <w:lang w:eastAsia="en-US"/>
        </w:rPr>
      </w:pPr>
      <w:r w:rsidRPr="00B74691">
        <w:rPr>
          <w:sz w:val="28"/>
          <w:szCs w:val="28"/>
        </w:rPr>
        <w:t xml:space="preserve">В адрес Региональной энергетической комиссии Кузбасса (далее – РЭК Кузбасса) поступило заявление от ОАО «СКЭК» (Яшкинский муниципальный округ) о возможности внесения изменений в раздел 2 «Перечень плановых мероприятий по ремонту объектов централизованных систем холодного водоснабжения и (или) водоотведения» производственной программы утвержденной постановлением РЭК Кузбасса от 16.11.2021 № 540 «Об утверждении производственной программы в сфере холодного водоснабжения, водоотведения и об установлении тарифов на питьевую воду, водоотведение ОАО «Северо – Кузбасская энергетическая компания» (Яшкинский муниципальный округ)  </w:t>
      </w:r>
      <w:r w:rsidRPr="00B74691">
        <w:rPr>
          <w:sz w:val="28"/>
          <w:szCs w:val="28"/>
          <w:lang w:eastAsia="en-US"/>
        </w:rPr>
        <w:t xml:space="preserve">(вх. от 19.11.2021 № 6246, исх. от 19.11.2021 № 2021/000513). </w:t>
      </w:r>
    </w:p>
    <w:p w14:paraId="2E5F19EE" w14:textId="77777777" w:rsidR="004A0123" w:rsidRPr="00B74691" w:rsidRDefault="004A0123" w:rsidP="004A0123">
      <w:pPr>
        <w:spacing w:line="276" w:lineRule="auto"/>
        <w:ind w:firstLine="709"/>
        <w:jc w:val="both"/>
        <w:rPr>
          <w:sz w:val="27"/>
          <w:szCs w:val="27"/>
          <w:lang w:eastAsia="en-US"/>
        </w:rPr>
      </w:pPr>
      <w:r w:rsidRPr="00B74691">
        <w:rPr>
          <w:sz w:val="27"/>
          <w:szCs w:val="27"/>
          <w:lang w:eastAsia="en-US"/>
        </w:rPr>
        <w:t>Экспертиза проводилась специалистом ОАО «АЭЭ» в соответствии со следующей нормативно-методической базой:</w:t>
      </w:r>
    </w:p>
    <w:p w14:paraId="117293D5" w14:textId="77777777" w:rsidR="004A0123" w:rsidRPr="00B74691" w:rsidRDefault="004A0123" w:rsidP="004A0123">
      <w:pPr>
        <w:numPr>
          <w:ilvl w:val="0"/>
          <w:numId w:val="37"/>
        </w:numPr>
        <w:spacing w:line="276" w:lineRule="auto"/>
        <w:ind w:left="0" w:firstLine="709"/>
        <w:jc w:val="both"/>
        <w:rPr>
          <w:sz w:val="27"/>
          <w:szCs w:val="27"/>
          <w:lang w:eastAsia="en-US"/>
        </w:rPr>
      </w:pPr>
      <w:r w:rsidRPr="00B74691">
        <w:rPr>
          <w:sz w:val="27"/>
          <w:szCs w:val="27"/>
          <w:lang w:eastAsia="en-US"/>
        </w:rPr>
        <w:t>Гражданский кодекс Российской Федерации.</w:t>
      </w:r>
    </w:p>
    <w:p w14:paraId="739E1A15" w14:textId="77777777" w:rsidR="004A0123" w:rsidRPr="00B74691" w:rsidRDefault="004A0123" w:rsidP="004A0123">
      <w:pPr>
        <w:numPr>
          <w:ilvl w:val="0"/>
          <w:numId w:val="37"/>
        </w:numPr>
        <w:spacing w:line="276" w:lineRule="auto"/>
        <w:ind w:left="0" w:firstLine="709"/>
        <w:jc w:val="both"/>
        <w:rPr>
          <w:sz w:val="27"/>
          <w:szCs w:val="27"/>
          <w:lang w:eastAsia="en-US"/>
        </w:rPr>
      </w:pPr>
      <w:r w:rsidRPr="00B74691">
        <w:rPr>
          <w:sz w:val="27"/>
          <w:szCs w:val="27"/>
          <w:lang w:eastAsia="en-US"/>
        </w:rPr>
        <w:t>Налоговый кодекс Российской Федерации.</w:t>
      </w:r>
    </w:p>
    <w:p w14:paraId="135B9151" w14:textId="77777777" w:rsidR="004A0123" w:rsidRPr="00B74691" w:rsidRDefault="004A0123" w:rsidP="004A0123">
      <w:pPr>
        <w:numPr>
          <w:ilvl w:val="0"/>
          <w:numId w:val="37"/>
        </w:numPr>
        <w:spacing w:line="276" w:lineRule="auto"/>
        <w:ind w:left="0" w:firstLine="709"/>
        <w:jc w:val="both"/>
        <w:rPr>
          <w:sz w:val="27"/>
          <w:szCs w:val="27"/>
          <w:lang w:eastAsia="en-US"/>
        </w:rPr>
      </w:pPr>
      <w:r w:rsidRPr="00B74691">
        <w:rPr>
          <w:sz w:val="27"/>
          <w:szCs w:val="27"/>
          <w:lang w:eastAsia="en-US"/>
        </w:rPr>
        <w:t>Трудовой Кодекс Российской Федерации.</w:t>
      </w:r>
    </w:p>
    <w:p w14:paraId="3AE2834D" w14:textId="77777777" w:rsidR="004A0123" w:rsidRPr="00B74691" w:rsidRDefault="004A0123" w:rsidP="004A0123">
      <w:pPr>
        <w:numPr>
          <w:ilvl w:val="0"/>
          <w:numId w:val="37"/>
        </w:numPr>
        <w:spacing w:line="276" w:lineRule="auto"/>
        <w:ind w:left="0" w:firstLine="709"/>
        <w:jc w:val="both"/>
        <w:rPr>
          <w:sz w:val="27"/>
          <w:szCs w:val="27"/>
          <w:lang w:eastAsia="en-US"/>
        </w:rPr>
      </w:pPr>
      <w:r w:rsidRPr="00B74691">
        <w:rPr>
          <w:sz w:val="27"/>
          <w:szCs w:val="27"/>
          <w:lang w:eastAsia="en-US"/>
        </w:rPr>
        <w:t>Федеральный закон от 07.12.2011 № 416-ФЗ (ред. от 29.07.2018) «О водоснабжении и водоотведении».</w:t>
      </w:r>
    </w:p>
    <w:p w14:paraId="1ED407A0" w14:textId="77777777" w:rsidR="004A0123" w:rsidRPr="00B74691" w:rsidRDefault="004A0123" w:rsidP="004A0123">
      <w:pPr>
        <w:numPr>
          <w:ilvl w:val="0"/>
          <w:numId w:val="37"/>
        </w:numPr>
        <w:spacing w:line="276" w:lineRule="auto"/>
        <w:ind w:left="0" w:firstLine="709"/>
        <w:jc w:val="both"/>
        <w:rPr>
          <w:sz w:val="27"/>
          <w:szCs w:val="27"/>
          <w:lang w:eastAsia="en-US"/>
        </w:rPr>
      </w:pPr>
      <w:r w:rsidRPr="00B74691">
        <w:rPr>
          <w:sz w:val="27"/>
          <w:szCs w:val="27"/>
          <w:lang w:eastAsia="en-US"/>
        </w:rPr>
        <w:t>Постановление Правительства РФ от 13.05.2013 № 406 (ред. от 19.10.2018) «О государственном регулировании тарифов в сфере водоснабжения и водоотведения».</w:t>
      </w:r>
    </w:p>
    <w:p w14:paraId="4735591F" w14:textId="77777777" w:rsidR="004A0123" w:rsidRPr="00B74691" w:rsidRDefault="004A0123" w:rsidP="004A0123">
      <w:pPr>
        <w:numPr>
          <w:ilvl w:val="0"/>
          <w:numId w:val="37"/>
        </w:numPr>
        <w:spacing w:line="276" w:lineRule="auto"/>
        <w:ind w:left="0" w:firstLine="709"/>
        <w:jc w:val="both"/>
        <w:rPr>
          <w:sz w:val="27"/>
          <w:szCs w:val="27"/>
          <w:lang w:eastAsia="en-US"/>
        </w:rPr>
      </w:pPr>
      <w:r w:rsidRPr="00B74691">
        <w:rPr>
          <w:sz w:val="27"/>
          <w:szCs w:val="27"/>
          <w:lang w:eastAsia="en-US"/>
        </w:rPr>
        <w:t>Постановление Правительства РФ от 29.07.2013 № 641 (ред. от 22.05.2020) «Об инвестиционных и производственных программах организаций, осуществляющих деятельность в сфере водоснабжения и водоотведения».</w:t>
      </w:r>
    </w:p>
    <w:p w14:paraId="64A8C57D" w14:textId="77777777" w:rsidR="004A0123" w:rsidRPr="00B74691" w:rsidRDefault="004A0123" w:rsidP="004A0123">
      <w:pPr>
        <w:numPr>
          <w:ilvl w:val="0"/>
          <w:numId w:val="37"/>
        </w:numPr>
        <w:spacing w:line="276" w:lineRule="auto"/>
        <w:ind w:left="0" w:firstLine="709"/>
        <w:jc w:val="both"/>
        <w:rPr>
          <w:sz w:val="27"/>
          <w:szCs w:val="27"/>
          <w:lang w:eastAsia="en-US"/>
        </w:rPr>
      </w:pPr>
      <w:r w:rsidRPr="00B74691">
        <w:rPr>
          <w:sz w:val="27"/>
          <w:szCs w:val="27"/>
          <w:lang w:eastAsia="en-US"/>
        </w:rPr>
        <w:t>Приказ ФСТ России от 27.12.2013 № 1746-э (ред. от 29.08.2018) «Об утверждении Методических указаний по расчету регулируемых тарифов в сфере водоснабжения и водоотведения».</w:t>
      </w:r>
    </w:p>
    <w:p w14:paraId="39AD3456" w14:textId="77777777" w:rsidR="004A0123" w:rsidRPr="00B74691" w:rsidRDefault="004A0123" w:rsidP="004A0123">
      <w:pPr>
        <w:numPr>
          <w:ilvl w:val="0"/>
          <w:numId w:val="37"/>
        </w:numPr>
        <w:tabs>
          <w:tab w:val="left" w:pos="0"/>
        </w:tabs>
        <w:spacing w:line="276" w:lineRule="auto"/>
        <w:ind w:left="0" w:firstLine="709"/>
        <w:jc w:val="both"/>
        <w:rPr>
          <w:snapToGrid w:val="0"/>
          <w:sz w:val="28"/>
          <w:szCs w:val="28"/>
          <w:lang w:eastAsia="en-US"/>
        </w:rPr>
      </w:pPr>
      <w:r w:rsidRPr="00B74691">
        <w:rPr>
          <w:snapToGrid w:val="0"/>
          <w:sz w:val="28"/>
          <w:szCs w:val="28"/>
          <w:lang w:eastAsia="en-US"/>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отрасли водоснабжения и водоотведения.</w:t>
      </w:r>
    </w:p>
    <w:p w14:paraId="44BD9E9C" w14:textId="77777777" w:rsidR="004A0123" w:rsidRPr="00B74691" w:rsidRDefault="004A0123" w:rsidP="004A0123">
      <w:pPr>
        <w:tabs>
          <w:tab w:val="left" w:pos="0"/>
        </w:tabs>
        <w:spacing w:line="360" w:lineRule="auto"/>
        <w:ind w:left="709"/>
        <w:jc w:val="both"/>
        <w:rPr>
          <w:snapToGrid w:val="0"/>
          <w:sz w:val="28"/>
          <w:szCs w:val="28"/>
          <w:lang w:eastAsia="en-US"/>
        </w:rPr>
      </w:pPr>
      <w:r w:rsidRPr="00B74691">
        <w:rPr>
          <w:snapToGrid w:val="0"/>
          <w:sz w:val="28"/>
          <w:szCs w:val="28"/>
          <w:lang w:eastAsia="en-US"/>
        </w:rPr>
        <w:br w:type="page"/>
      </w:r>
    </w:p>
    <w:p w14:paraId="397A9892" w14:textId="77777777" w:rsidR="004A0123" w:rsidRPr="00B74691" w:rsidRDefault="004A0123" w:rsidP="004A0123">
      <w:pPr>
        <w:spacing w:line="276" w:lineRule="auto"/>
        <w:ind w:firstLine="708"/>
        <w:jc w:val="both"/>
        <w:rPr>
          <w:sz w:val="28"/>
          <w:szCs w:val="28"/>
          <w:lang w:eastAsia="en-US"/>
        </w:rPr>
      </w:pPr>
      <w:r w:rsidRPr="00B74691">
        <w:rPr>
          <w:sz w:val="28"/>
          <w:szCs w:val="28"/>
          <w:lang w:eastAsia="en-US"/>
        </w:rPr>
        <w:t xml:space="preserve">РЭК Кузбасса в рамках утверждения долгосрочных тарифов в сфере холодного водоснабжения и водоотведения на территории Яшкинского муниципального округа принята к расчету программу капитальных ремонтов </w:t>
      </w:r>
      <w:r w:rsidRPr="00B74691">
        <w:rPr>
          <w:sz w:val="28"/>
          <w:szCs w:val="28"/>
          <w:lang w:eastAsia="en-US"/>
        </w:rPr>
        <w:br/>
        <w:t xml:space="preserve">на 2021-2025 годы на сумму 67 479,64 тыс. руб. в том числе: </w:t>
      </w:r>
    </w:p>
    <w:p w14:paraId="2F3BE0F9" w14:textId="77777777" w:rsidR="004A0123" w:rsidRPr="00B74691" w:rsidRDefault="004A0123" w:rsidP="004A0123">
      <w:pPr>
        <w:numPr>
          <w:ilvl w:val="0"/>
          <w:numId w:val="38"/>
        </w:numPr>
        <w:spacing w:line="276" w:lineRule="auto"/>
        <w:ind w:left="0" w:firstLine="709"/>
        <w:jc w:val="both"/>
        <w:rPr>
          <w:sz w:val="28"/>
          <w:szCs w:val="28"/>
          <w:lang w:eastAsia="en-US"/>
        </w:rPr>
      </w:pPr>
      <w:r w:rsidRPr="00B74691">
        <w:rPr>
          <w:sz w:val="28"/>
          <w:szCs w:val="28"/>
          <w:lang w:eastAsia="en-US"/>
        </w:rPr>
        <w:t>в сфере холодного водоснабжения 49 987,15 тыс. руб.</w:t>
      </w:r>
    </w:p>
    <w:p w14:paraId="27327252" w14:textId="77777777" w:rsidR="004A0123" w:rsidRPr="00B74691" w:rsidRDefault="004A0123" w:rsidP="004A0123">
      <w:pPr>
        <w:numPr>
          <w:ilvl w:val="0"/>
          <w:numId w:val="38"/>
        </w:numPr>
        <w:spacing w:line="276" w:lineRule="auto"/>
        <w:ind w:left="0" w:firstLine="709"/>
        <w:jc w:val="both"/>
        <w:rPr>
          <w:sz w:val="28"/>
          <w:szCs w:val="28"/>
          <w:lang w:eastAsia="en-US"/>
        </w:rPr>
      </w:pPr>
      <w:r w:rsidRPr="00B74691">
        <w:rPr>
          <w:sz w:val="28"/>
          <w:szCs w:val="28"/>
          <w:lang w:eastAsia="en-US"/>
        </w:rPr>
        <w:t>в сфере водоотведения 17 492,49 тыс. руб.</w:t>
      </w:r>
    </w:p>
    <w:p w14:paraId="555880AA" w14:textId="77777777" w:rsidR="004A0123" w:rsidRPr="00B74691" w:rsidRDefault="004A0123" w:rsidP="004A0123">
      <w:pPr>
        <w:spacing w:line="276" w:lineRule="auto"/>
        <w:ind w:firstLine="708"/>
        <w:jc w:val="both"/>
        <w:rPr>
          <w:sz w:val="28"/>
          <w:szCs w:val="28"/>
          <w:lang w:eastAsia="en-US"/>
        </w:rPr>
      </w:pPr>
      <w:r w:rsidRPr="00B74691">
        <w:rPr>
          <w:bCs/>
          <w:sz w:val="28"/>
          <w:szCs w:val="28"/>
          <w:lang w:eastAsia="en-US"/>
        </w:rPr>
        <w:t xml:space="preserve">Расходы в размере 46 646,64 тыс. руб. (в том числе в сфере холодного водоснабжения 29 154,15 тыс. руб., </w:t>
      </w:r>
      <w:r w:rsidRPr="00B74691">
        <w:rPr>
          <w:sz w:val="28"/>
          <w:szCs w:val="28"/>
          <w:lang w:eastAsia="en-US"/>
        </w:rPr>
        <w:t>в сфере водоотведения 17 492,49 тыс. руб.) приняты согласно концессионному соглашению №7/ЯМО от 28.09.2021, заключенному между администрацией Яшкинского муниципального округа с одной стороны, ОАО «СКЭК» с другой стороны и Кемеровской областью -Кузбассом с третьей стороны.</w:t>
      </w:r>
    </w:p>
    <w:p w14:paraId="3F4CE189" w14:textId="77777777" w:rsidR="004A0123" w:rsidRPr="00B74691" w:rsidRDefault="004A0123" w:rsidP="004A0123">
      <w:pPr>
        <w:spacing w:line="276" w:lineRule="auto"/>
        <w:ind w:firstLine="708"/>
        <w:jc w:val="both"/>
        <w:rPr>
          <w:sz w:val="28"/>
          <w:szCs w:val="28"/>
          <w:lang w:eastAsia="en-US"/>
        </w:rPr>
      </w:pPr>
      <w:r w:rsidRPr="00B74691">
        <w:rPr>
          <w:bCs/>
          <w:sz w:val="28"/>
          <w:szCs w:val="28"/>
          <w:lang w:eastAsia="en-US"/>
        </w:rPr>
        <w:t xml:space="preserve">В рамках корректировки вышеуказанных долгосрочных тарифов в сфере холодного водоснабжения и водоотведения </w:t>
      </w:r>
      <w:r w:rsidRPr="00B74691">
        <w:rPr>
          <w:sz w:val="28"/>
          <w:szCs w:val="28"/>
          <w:lang w:eastAsia="en-US"/>
        </w:rPr>
        <w:t>на территории Яшкинского муниципального округа предприятие предоставило программу капитальных ремонтов на 2021-2025 годы на сумму 112 298,50 тыс. руб. в том числе:</w:t>
      </w:r>
    </w:p>
    <w:p w14:paraId="03750E34" w14:textId="77777777" w:rsidR="004A0123" w:rsidRPr="00B74691" w:rsidRDefault="004A0123" w:rsidP="004A0123">
      <w:pPr>
        <w:numPr>
          <w:ilvl w:val="0"/>
          <w:numId w:val="38"/>
        </w:numPr>
        <w:spacing w:line="276" w:lineRule="auto"/>
        <w:ind w:left="0" w:firstLine="709"/>
        <w:jc w:val="both"/>
        <w:rPr>
          <w:sz w:val="28"/>
          <w:szCs w:val="28"/>
          <w:lang w:eastAsia="en-US"/>
        </w:rPr>
      </w:pPr>
      <w:r w:rsidRPr="00B74691">
        <w:rPr>
          <w:sz w:val="28"/>
          <w:szCs w:val="28"/>
          <w:lang w:eastAsia="en-US"/>
        </w:rPr>
        <w:t>в сфере холодного водоснабжения 63 662,56 тыс. руб.</w:t>
      </w:r>
    </w:p>
    <w:p w14:paraId="3CAE94AB" w14:textId="77777777" w:rsidR="004A0123" w:rsidRPr="00B74691" w:rsidRDefault="004A0123" w:rsidP="004A0123">
      <w:pPr>
        <w:numPr>
          <w:ilvl w:val="0"/>
          <w:numId w:val="38"/>
        </w:numPr>
        <w:spacing w:line="276" w:lineRule="auto"/>
        <w:ind w:left="0" w:firstLine="709"/>
        <w:jc w:val="both"/>
        <w:rPr>
          <w:sz w:val="28"/>
          <w:szCs w:val="28"/>
          <w:lang w:eastAsia="en-US"/>
        </w:rPr>
      </w:pPr>
      <w:r w:rsidRPr="00B74691">
        <w:rPr>
          <w:sz w:val="28"/>
          <w:szCs w:val="28"/>
          <w:lang w:eastAsia="en-US"/>
        </w:rPr>
        <w:t>в сфере водоотведения 48 635,94 тыс. руб.</w:t>
      </w:r>
    </w:p>
    <w:p w14:paraId="108A2B4E" w14:textId="77777777" w:rsidR="004A0123" w:rsidRPr="00B74691" w:rsidRDefault="004A0123" w:rsidP="004A0123">
      <w:pPr>
        <w:spacing w:line="276" w:lineRule="auto"/>
        <w:ind w:firstLine="708"/>
        <w:jc w:val="both"/>
        <w:rPr>
          <w:bCs/>
          <w:sz w:val="28"/>
          <w:szCs w:val="28"/>
          <w:lang w:eastAsia="en-US"/>
        </w:rPr>
      </w:pPr>
      <w:r w:rsidRPr="00B74691">
        <w:rPr>
          <w:bCs/>
          <w:sz w:val="28"/>
          <w:szCs w:val="28"/>
          <w:lang w:eastAsia="en-US"/>
        </w:rPr>
        <w:t>Согласно предложению предприятия, предлагается скорректировать объем средств на выполнение капитальных ремонтов за счет средств платы за превышение ПДК в сфере холодного водоснабжения и в сфере водоотведения, и принять их в размере 65 651,86 тыс. руб. в том числе:</w:t>
      </w:r>
    </w:p>
    <w:p w14:paraId="1FAC183E" w14:textId="77777777" w:rsidR="004A0123" w:rsidRPr="00B74691" w:rsidRDefault="004A0123" w:rsidP="004A0123">
      <w:pPr>
        <w:numPr>
          <w:ilvl w:val="0"/>
          <w:numId w:val="38"/>
        </w:numPr>
        <w:spacing w:line="276" w:lineRule="auto"/>
        <w:ind w:left="0" w:firstLine="709"/>
        <w:jc w:val="both"/>
        <w:rPr>
          <w:sz w:val="28"/>
          <w:szCs w:val="28"/>
          <w:lang w:eastAsia="en-US"/>
        </w:rPr>
      </w:pPr>
      <w:r w:rsidRPr="00B74691">
        <w:rPr>
          <w:sz w:val="28"/>
          <w:szCs w:val="28"/>
          <w:lang w:eastAsia="en-US"/>
        </w:rPr>
        <w:t>в сфере холодного водоснабжения 34 508,41 тыс. руб.</w:t>
      </w:r>
    </w:p>
    <w:p w14:paraId="282AD240" w14:textId="77777777" w:rsidR="004A0123" w:rsidRPr="00B74691" w:rsidRDefault="004A0123" w:rsidP="004A0123">
      <w:pPr>
        <w:numPr>
          <w:ilvl w:val="0"/>
          <w:numId w:val="38"/>
        </w:numPr>
        <w:spacing w:line="276" w:lineRule="auto"/>
        <w:ind w:left="0" w:firstLine="709"/>
        <w:jc w:val="both"/>
        <w:rPr>
          <w:sz w:val="28"/>
          <w:szCs w:val="28"/>
          <w:lang w:eastAsia="en-US"/>
        </w:rPr>
      </w:pPr>
      <w:r w:rsidRPr="00B74691">
        <w:rPr>
          <w:sz w:val="28"/>
          <w:szCs w:val="28"/>
          <w:lang w:eastAsia="en-US"/>
        </w:rPr>
        <w:t>в сфере водоотведения 31 143,45 тыс. руб.</w:t>
      </w:r>
    </w:p>
    <w:p w14:paraId="0DD09EEB" w14:textId="77777777" w:rsidR="004A0123" w:rsidRPr="00B74691" w:rsidRDefault="004A0123" w:rsidP="004A0123">
      <w:pPr>
        <w:spacing w:line="276" w:lineRule="auto"/>
        <w:ind w:firstLine="708"/>
        <w:jc w:val="both"/>
        <w:rPr>
          <w:bCs/>
          <w:sz w:val="28"/>
          <w:szCs w:val="28"/>
          <w:lang w:eastAsia="en-US"/>
        </w:rPr>
      </w:pPr>
      <w:r w:rsidRPr="00B74691">
        <w:rPr>
          <w:bCs/>
          <w:sz w:val="28"/>
          <w:szCs w:val="28"/>
          <w:lang w:eastAsia="en-US"/>
        </w:rPr>
        <w:t xml:space="preserve">Предприятие предлагает включить в производственную программу </w:t>
      </w:r>
      <w:r w:rsidRPr="00B74691">
        <w:rPr>
          <w:bCs/>
          <w:sz w:val="28"/>
          <w:szCs w:val="28"/>
          <w:lang w:eastAsia="en-US"/>
        </w:rPr>
        <w:br/>
        <w:t>на 2021 год следующие мероприятия в сфере холодного водоснабжения:</w:t>
      </w:r>
    </w:p>
    <w:p w14:paraId="176D63A8" w14:textId="77777777" w:rsidR="004A0123" w:rsidRPr="00B74691" w:rsidRDefault="004A0123" w:rsidP="004A0123">
      <w:pPr>
        <w:numPr>
          <w:ilvl w:val="0"/>
          <w:numId w:val="39"/>
        </w:numPr>
        <w:spacing w:line="276" w:lineRule="auto"/>
        <w:ind w:left="0" w:firstLine="709"/>
        <w:jc w:val="both"/>
        <w:rPr>
          <w:bCs/>
          <w:sz w:val="28"/>
          <w:szCs w:val="28"/>
          <w:lang w:eastAsia="en-US"/>
        </w:rPr>
      </w:pPr>
      <w:r w:rsidRPr="00B74691">
        <w:rPr>
          <w:bCs/>
          <w:sz w:val="28"/>
          <w:szCs w:val="28"/>
          <w:lang w:eastAsia="en-US"/>
        </w:rPr>
        <w:t>Капитальный ремонт оборудования на скважинах.</w:t>
      </w:r>
    </w:p>
    <w:p w14:paraId="5A94E60B" w14:textId="77777777" w:rsidR="004A0123" w:rsidRPr="00B74691" w:rsidRDefault="004A0123" w:rsidP="004A0123">
      <w:pPr>
        <w:numPr>
          <w:ilvl w:val="0"/>
          <w:numId w:val="39"/>
        </w:numPr>
        <w:spacing w:line="276" w:lineRule="auto"/>
        <w:ind w:left="0" w:firstLine="709"/>
        <w:jc w:val="both"/>
        <w:rPr>
          <w:bCs/>
          <w:sz w:val="28"/>
          <w:szCs w:val="28"/>
          <w:lang w:eastAsia="en-US"/>
        </w:rPr>
      </w:pPr>
      <w:r w:rsidRPr="00B74691">
        <w:rPr>
          <w:bCs/>
          <w:sz w:val="28"/>
          <w:szCs w:val="28"/>
          <w:lang w:eastAsia="en-US"/>
        </w:rPr>
        <w:t>Капитальный ремонт водонапорной башни д. Ботьево ул. Строительная, 24.</w:t>
      </w:r>
    </w:p>
    <w:p w14:paraId="1D4A0ED0" w14:textId="77777777" w:rsidR="004A0123" w:rsidRPr="00B74691" w:rsidRDefault="004A0123" w:rsidP="004A0123">
      <w:pPr>
        <w:numPr>
          <w:ilvl w:val="0"/>
          <w:numId w:val="39"/>
        </w:numPr>
        <w:spacing w:line="276" w:lineRule="auto"/>
        <w:ind w:left="0" w:firstLine="709"/>
        <w:jc w:val="both"/>
        <w:rPr>
          <w:bCs/>
          <w:sz w:val="28"/>
          <w:szCs w:val="28"/>
          <w:lang w:eastAsia="en-US"/>
        </w:rPr>
      </w:pPr>
      <w:r w:rsidRPr="00B74691">
        <w:rPr>
          <w:bCs/>
          <w:sz w:val="28"/>
          <w:szCs w:val="28"/>
          <w:lang w:eastAsia="en-US"/>
        </w:rPr>
        <w:t>Капитальный ремонт водонапорной башни п. Красноселка ул. Новая, 2б.</w:t>
      </w:r>
    </w:p>
    <w:p w14:paraId="3D26FABC" w14:textId="77777777" w:rsidR="004A0123" w:rsidRPr="00B74691" w:rsidRDefault="004A0123" w:rsidP="004A0123">
      <w:pPr>
        <w:numPr>
          <w:ilvl w:val="0"/>
          <w:numId w:val="39"/>
        </w:numPr>
        <w:spacing w:line="276" w:lineRule="auto"/>
        <w:ind w:left="0" w:firstLine="709"/>
        <w:jc w:val="both"/>
        <w:rPr>
          <w:bCs/>
          <w:sz w:val="28"/>
          <w:szCs w:val="28"/>
          <w:lang w:eastAsia="en-US"/>
        </w:rPr>
      </w:pPr>
      <w:r w:rsidRPr="00B74691">
        <w:rPr>
          <w:bCs/>
          <w:sz w:val="28"/>
          <w:szCs w:val="28"/>
          <w:lang w:eastAsia="en-US"/>
        </w:rPr>
        <w:t>Капитальный ремонт скважины и водонапорной башни п. Таловка ул. Новая.</w:t>
      </w:r>
    </w:p>
    <w:p w14:paraId="1B6DC87A" w14:textId="77777777" w:rsidR="004A0123" w:rsidRPr="00B74691" w:rsidRDefault="004A0123" w:rsidP="004A0123">
      <w:pPr>
        <w:numPr>
          <w:ilvl w:val="0"/>
          <w:numId w:val="39"/>
        </w:numPr>
        <w:spacing w:line="276" w:lineRule="auto"/>
        <w:ind w:left="0" w:firstLine="709"/>
        <w:jc w:val="both"/>
        <w:rPr>
          <w:bCs/>
          <w:sz w:val="28"/>
          <w:szCs w:val="28"/>
          <w:lang w:eastAsia="en-US"/>
        </w:rPr>
      </w:pPr>
      <w:r w:rsidRPr="00B74691">
        <w:rPr>
          <w:bCs/>
          <w:sz w:val="28"/>
          <w:szCs w:val="28"/>
          <w:lang w:eastAsia="en-US"/>
        </w:rPr>
        <w:t>Капитальный ремонт скважины и водонапорной башни с. Поломошное ул. Бениваленского, 41а.</w:t>
      </w:r>
    </w:p>
    <w:p w14:paraId="5DB0C36A" w14:textId="77777777" w:rsidR="004A0123" w:rsidRPr="00B74691" w:rsidRDefault="004A0123" w:rsidP="004A0123">
      <w:pPr>
        <w:numPr>
          <w:ilvl w:val="0"/>
          <w:numId w:val="39"/>
        </w:numPr>
        <w:spacing w:line="276" w:lineRule="auto"/>
        <w:ind w:left="0" w:firstLine="709"/>
        <w:jc w:val="both"/>
        <w:rPr>
          <w:bCs/>
          <w:sz w:val="28"/>
          <w:szCs w:val="28"/>
          <w:lang w:eastAsia="en-US"/>
        </w:rPr>
      </w:pPr>
      <w:r w:rsidRPr="00B74691">
        <w:rPr>
          <w:bCs/>
          <w:sz w:val="28"/>
          <w:szCs w:val="28"/>
          <w:lang w:eastAsia="en-US"/>
        </w:rPr>
        <w:t>Капитальный ремонт участка водопровода д. Ботьево ул. Строительная.</w:t>
      </w:r>
    </w:p>
    <w:p w14:paraId="6145A434" w14:textId="77777777" w:rsidR="004A0123" w:rsidRPr="00B74691" w:rsidRDefault="004A0123" w:rsidP="004A0123">
      <w:pPr>
        <w:numPr>
          <w:ilvl w:val="0"/>
          <w:numId w:val="39"/>
        </w:numPr>
        <w:spacing w:line="276" w:lineRule="auto"/>
        <w:ind w:left="0" w:firstLine="709"/>
        <w:jc w:val="both"/>
        <w:rPr>
          <w:bCs/>
          <w:sz w:val="28"/>
          <w:szCs w:val="28"/>
          <w:lang w:eastAsia="en-US"/>
        </w:rPr>
      </w:pPr>
      <w:r w:rsidRPr="00B74691">
        <w:rPr>
          <w:bCs/>
          <w:sz w:val="28"/>
          <w:szCs w:val="28"/>
          <w:lang w:eastAsia="en-US"/>
        </w:rPr>
        <w:t>Капитальный ремонт участка водопровода д. Поломошное ул. Набережная, ул. Советская, ул. Южная, ул. Новая. Ду63 мм L=1220 м.</w:t>
      </w:r>
    </w:p>
    <w:p w14:paraId="47B951E8" w14:textId="77777777" w:rsidR="004A0123" w:rsidRPr="00B74691" w:rsidRDefault="004A0123" w:rsidP="004A0123">
      <w:pPr>
        <w:numPr>
          <w:ilvl w:val="0"/>
          <w:numId w:val="39"/>
        </w:numPr>
        <w:spacing w:line="276" w:lineRule="auto"/>
        <w:ind w:left="0" w:firstLine="709"/>
        <w:jc w:val="both"/>
        <w:rPr>
          <w:bCs/>
          <w:sz w:val="28"/>
          <w:szCs w:val="28"/>
          <w:lang w:eastAsia="en-US"/>
        </w:rPr>
      </w:pPr>
      <w:r w:rsidRPr="00B74691">
        <w:rPr>
          <w:bCs/>
          <w:sz w:val="28"/>
          <w:szCs w:val="28"/>
          <w:lang w:eastAsia="en-US"/>
        </w:rPr>
        <w:t>Капитальный ремонт участка водопровода п.г.т. Яшкино, ул. Осиновка-2. Ду63 мм L=200 м.</w:t>
      </w:r>
    </w:p>
    <w:p w14:paraId="2B880427" w14:textId="77777777" w:rsidR="004A0123" w:rsidRPr="00B74691" w:rsidRDefault="004A0123" w:rsidP="004A0123">
      <w:pPr>
        <w:numPr>
          <w:ilvl w:val="0"/>
          <w:numId w:val="39"/>
        </w:numPr>
        <w:spacing w:line="276" w:lineRule="auto"/>
        <w:ind w:left="0" w:firstLine="709"/>
        <w:jc w:val="both"/>
        <w:rPr>
          <w:bCs/>
          <w:sz w:val="28"/>
          <w:szCs w:val="28"/>
          <w:lang w:eastAsia="en-US"/>
        </w:rPr>
      </w:pPr>
      <w:r w:rsidRPr="00B74691">
        <w:rPr>
          <w:bCs/>
          <w:sz w:val="28"/>
          <w:szCs w:val="28"/>
          <w:lang w:eastAsia="en-US"/>
        </w:rPr>
        <w:t>Капитальный ремонт участка водопровода п.г.т. Яшкино, пер. Чапаевский. Ду63 мм L=200 м.</w:t>
      </w:r>
    </w:p>
    <w:p w14:paraId="1C1421F7" w14:textId="77777777" w:rsidR="004A0123" w:rsidRPr="00B74691" w:rsidRDefault="004A0123" w:rsidP="004A0123">
      <w:pPr>
        <w:numPr>
          <w:ilvl w:val="0"/>
          <w:numId w:val="39"/>
        </w:numPr>
        <w:spacing w:line="276" w:lineRule="auto"/>
        <w:ind w:left="0" w:firstLine="709"/>
        <w:jc w:val="both"/>
        <w:rPr>
          <w:bCs/>
          <w:sz w:val="28"/>
          <w:szCs w:val="28"/>
          <w:lang w:eastAsia="en-US"/>
        </w:rPr>
      </w:pPr>
      <w:r w:rsidRPr="00B74691">
        <w:rPr>
          <w:bCs/>
          <w:sz w:val="28"/>
          <w:szCs w:val="28"/>
          <w:lang w:eastAsia="en-US"/>
        </w:rPr>
        <w:t>Капитальный ремонт участка водопровода п.г.т. Яшкино, ул. Вольская. Ду63 мм L=200 м.</w:t>
      </w:r>
    </w:p>
    <w:p w14:paraId="4B67B362" w14:textId="77777777" w:rsidR="004A0123" w:rsidRPr="00B74691" w:rsidRDefault="004A0123" w:rsidP="004A0123">
      <w:pPr>
        <w:numPr>
          <w:ilvl w:val="0"/>
          <w:numId w:val="39"/>
        </w:numPr>
        <w:spacing w:line="276" w:lineRule="auto"/>
        <w:ind w:left="0" w:firstLine="709"/>
        <w:jc w:val="both"/>
        <w:rPr>
          <w:bCs/>
          <w:sz w:val="28"/>
          <w:szCs w:val="28"/>
          <w:lang w:eastAsia="en-US"/>
        </w:rPr>
      </w:pPr>
      <w:r w:rsidRPr="00B74691">
        <w:rPr>
          <w:bCs/>
          <w:sz w:val="28"/>
          <w:szCs w:val="28"/>
          <w:lang w:eastAsia="en-US"/>
        </w:rPr>
        <w:t>Капитальный ремонт запорной арматуры фильтров НФС Яшкино.</w:t>
      </w:r>
    </w:p>
    <w:p w14:paraId="64598859" w14:textId="77777777" w:rsidR="004A0123" w:rsidRPr="00B74691" w:rsidRDefault="004A0123" w:rsidP="004A0123">
      <w:pPr>
        <w:numPr>
          <w:ilvl w:val="0"/>
          <w:numId w:val="39"/>
        </w:numPr>
        <w:spacing w:line="276" w:lineRule="auto"/>
        <w:ind w:left="0" w:firstLine="709"/>
        <w:jc w:val="both"/>
        <w:rPr>
          <w:bCs/>
          <w:sz w:val="28"/>
          <w:szCs w:val="28"/>
          <w:lang w:eastAsia="en-US"/>
        </w:rPr>
      </w:pPr>
      <w:r w:rsidRPr="00B74691">
        <w:rPr>
          <w:bCs/>
          <w:sz w:val="28"/>
          <w:szCs w:val="28"/>
          <w:lang w:eastAsia="en-US"/>
        </w:rPr>
        <w:t>Капитальный ремонт производственных помещений и гаража по адресу: п.г.т. Яшкино, ул. Гагарина, 33Т.</w:t>
      </w:r>
    </w:p>
    <w:p w14:paraId="59D09EB0" w14:textId="77777777" w:rsidR="004A0123" w:rsidRPr="00B74691" w:rsidRDefault="004A0123" w:rsidP="004A0123">
      <w:pPr>
        <w:numPr>
          <w:ilvl w:val="0"/>
          <w:numId w:val="39"/>
        </w:numPr>
        <w:spacing w:line="276" w:lineRule="auto"/>
        <w:ind w:left="0" w:firstLine="709"/>
        <w:jc w:val="both"/>
        <w:rPr>
          <w:bCs/>
          <w:sz w:val="28"/>
          <w:szCs w:val="28"/>
          <w:lang w:eastAsia="en-US"/>
        </w:rPr>
      </w:pPr>
      <w:r w:rsidRPr="00B74691">
        <w:rPr>
          <w:bCs/>
          <w:sz w:val="28"/>
          <w:szCs w:val="28"/>
          <w:lang w:eastAsia="en-US"/>
        </w:rPr>
        <w:t>Капитальный ремонт ограждений на скважинах.</w:t>
      </w:r>
    </w:p>
    <w:p w14:paraId="3364B668" w14:textId="77777777" w:rsidR="004A0123" w:rsidRPr="00B74691" w:rsidRDefault="004A0123" w:rsidP="004A0123">
      <w:pPr>
        <w:numPr>
          <w:ilvl w:val="0"/>
          <w:numId w:val="39"/>
        </w:numPr>
        <w:spacing w:line="276" w:lineRule="auto"/>
        <w:ind w:left="0" w:firstLine="709"/>
        <w:jc w:val="both"/>
        <w:rPr>
          <w:bCs/>
          <w:sz w:val="28"/>
          <w:szCs w:val="28"/>
          <w:lang w:eastAsia="en-US"/>
        </w:rPr>
      </w:pPr>
      <w:r w:rsidRPr="00B74691">
        <w:rPr>
          <w:bCs/>
          <w:sz w:val="28"/>
          <w:szCs w:val="28"/>
          <w:lang w:eastAsia="en-US"/>
        </w:rPr>
        <w:t>Капитальный ремонт павильонов на скважинах.</w:t>
      </w:r>
    </w:p>
    <w:p w14:paraId="39B67FE9" w14:textId="77777777" w:rsidR="004A0123" w:rsidRPr="00B74691" w:rsidRDefault="004A0123" w:rsidP="004A0123">
      <w:pPr>
        <w:numPr>
          <w:ilvl w:val="0"/>
          <w:numId w:val="39"/>
        </w:numPr>
        <w:spacing w:line="276" w:lineRule="auto"/>
        <w:ind w:left="0" w:firstLine="709"/>
        <w:jc w:val="both"/>
        <w:rPr>
          <w:bCs/>
          <w:sz w:val="28"/>
          <w:szCs w:val="28"/>
          <w:lang w:eastAsia="en-US"/>
        </w:rPr>
      </w:pPr>
      <w:r w:rsidRPr="00B74691">
        <w:rPr>
          <w:bCs/>
          <w:sz w:val="28"/>
          <w:szCs w:val="28"/>
          <w:lang w:eastAsia="en-US"/>
        </w:rPr>
        <w:t xml:space="preserve">Капитальный ремонт водозаборных сооружений </w:t>
      </w:r>
      <w:r w:rsidRPr="00B74691">
        <w:rPr>
          <w:bCs/>
          <w:sz w:val="28"/>
          <w:szCs w:val="28"/>
          <w:lang w:eastAsia="en-US"/>
        </w:rPr>
        <w:br/>
        <w:t>по ул. Юбилейная, 2а в составе: артезианские скважины, водонапорная башня п. Ленинский.</w:t>
      </w:r>
    </w:p>
    <w:p w14:paraId="2955D61A" w14:textId="77777777" w:rsidR="004A0123" w:rsidRPr="00B74691" w:rsidRDefault="004A0123" w:rsidP="004A0123">
      <w:pPr>
        <w:spacing w:line="276" w:lineRule="auto"/>
        <w:ind w:firstLine="709"/>
        <w:jc w:val="both"/>
        <w:rPr>
          <w:bCs/>
          <w:sz w:val="28"/>
          <w:szCs w:val="28"/>
          <w:lang w:eastAsia="en-US"/>
        </w:rPr>
      </w:pPr>
      <w:r w:rsidRPr="00B74691">
        <w:rPr>
          <w:bCs/>
          <w:sz w:val="28"/>
          <w:szCs w:val="28"/>
          <w:lang w:eastAsia="en-US"/>
        </w:rPr>
        <w:t xml:space="preserve">Так же предприятие предлагает включить в производственную программу на 2021 год мероприятие в сфере водоотведения «Капитальный ремонт напорного канализационного коллектора </w:t>
      </w:r>
      <w:r w:rsidRPr="00B74691">
        <w:rPr>
          <w:bCs/>
          <w:sz w:val="28"/>
          <w:szCs w:val="28"/>
          <w:lang w:eastAsia="en-US"/>
        </w:rPr>
        <w:br/>
        <w:t>п.г.т. Яшкино от КНС-1 до КНС-2. Ремонт участка коллектора Ду315 мм L=1800 мм».</w:t>
      </w:r>
    </w:p>
    <w:p w14:paraId="5D036FB9" w14:textId="77777777" w:rsidR="004A0123" w:rsidRPr="00B74691" w:rsidRDefault="004A0123" w:rsidP="004A0123">
      <w:pPr>
        <w:autoSpaceDE w:val="0"/>
        <w:autoSpaceDN w:val="0"/>
        <w:adjustRightInd w:val="0"/>
        <w:spacing w:line="276" w:lineRule="auto"/>
        <w:ind w:firstLine="709"/>
        <w:jc w:val="both"/>
        <w:rPr>
          <w:sz w:val="28"/>
          <w:szCs w:val="28"/>
        </w:rPr>
      </w:pPr>
      <w:r w:rsidRPr="00B74691">
        <w:rPr>
          <w:sz w:val="28"/>
          <w:szCs w:val="28"/>
        </w:rPr>
        <w:t>Техническими специалистами РЭК Кузбасса был проведён анализ необходимости выполнения заявленных мероприятий. Также был проведен анализ сметной стоимости вышеуказанных мероприятия с помощью программного комплекса ГРАНД-Смета.</w:t>
      </w:r>
    </w:p>
    <w:p w14:paraId="67E1E299" w14:textId="77777777" w:rsidR="004A0123" w:rsidRPr="00B74691" w:rsidRDefault="004A0123" w:rsidP="004A0123">
      <w:pPr>
        <w:autoSpaceDE w:val="0"/>
        <w:autoSpaceDN w:val="0"/>
        <w:adjustRightInd w:val="0"/>
        <w:spacing w:line="276" w:lineRule="auto"/>
        <w:ind w:firstLine="708"/>
        <w:jc w:val="both"/>
        <w:rPr>
          <w:sz w:val="28"/>
          <w:szCs w:val="28"/>
        </w:rPr>
      </w:pPr>
      <w:r w:rsidRPr="00B74691">
        <w:rPr>
          <w:sz w:val="28"/>
          <w:szCs w:val="28"/>
        </w:rPr>
        <w:t>В качестве обосновывающих материалов представлены локальные сметные расчеты, дефектные ведомости.</w:t>
      </w:r>
    </w:p>
    <w:p w14:paraId="5FBEF1FB" w14:textId="77777777" w:rsidR="004A0123" w:rsidRPr="00B74691" w:rsidRDefault="004A0123" w:rsidP="004A0123">
      <w:pPr>
        <w:spacing w:line="276" w:lineRule="auto"/>
        <w:ind w:firstLine="708"/>
        <w:jc w:val="both"/>
        <w:rPr>
          <w:sz w:val="28"/>
          <w:szCs w:val="28"/>
          <w:lang w:eastAsia="en-US"/>
        </w:rPr>
      </w:pPr>
      <w:r w:rsidRPr="00B74691">
        <w:rPr>
          <w:sz w:val="28"/>
          <w:szCs w:val="28"/>
          <w:lang w:eastAsia="en-US"/>
        </w:rPr>
        <w:t>По результатам анализа необходимости и стоимости заявленных мероприятий, специалисты считают заявленные мероприятия обоснованными в полном объеме.</w:t>
      </w:r>
    </w:p>
    <w:p w14:paraId="3B560153" w14:textId="77777777" w:rsidR="004A0123" w:rsidRPr="00B74691" w:rsidRDefault="004A0123" w:rsidP="004A0123">
      <w:pPr>
        <w:spacing w:line="276" w:lineRule="auto"/>
        <w:ind w:firstLine="708"/>
        <w:jc w:val="both"/>
        <w:rPr>
          <w:sz w:val="28"/>
          <w:szCs w:val="28"/>
          <w:lang w:eastAsia="en-US"/>
        </w:rPr>
      </w:pPr>
      <w:r w:rsidRPr="00B74691">
        <w:rPr>
          <w:sz w:val="28"/>
          <w:szCs w:val="28"/>
          <w:lang w:eastAsia="en-US"/>
        </w:rPr>
        <w:t>Таким образом, предлагаем утвердить заявленную производственную программу ОАО «СКЭК» на 2021-2025 годы по территории Яшкинского муниципального округа, согласно Таблице №1 на сумму 112 298,50 тыс. руб. в том числе:</w:t>
      </w:r>
    </w:p>
    <w:p w14:paraId="6D7DB081" w14:textId="77777777" w:rsidR="004A0123" w:rsidRPr="00B74691" w:rsidRDefault="004A0123" w:rsidP="004A0123">
      <w:pPr>
        <w:numPr>
          <w:ilvl w:val="0"/>
          <w:numId w:val="38"/>
        </w:numPr>
        <w:spacing w:line="276" w:lineRule="auto"/>
        <w:ind w:firstLine="709"/>
        <w:jc w:val="both"/>
        <w:rPr>
          <w:sz w:val="28"/>
          <w:szCs w:val="28"/>
          <w:lang w:eastAsia="en-US"/>
        </w:rPr>
      </w:pPr>
      <w:r w:rsidRPr="00B74691">
        <w:rPr>
          <w:sz w:val="28"/>
          <w:szCs w:val="28"/>
          <w:lang w:eastAsia="en-US"/>
        </w:rPr>
        <w:t>в сфере холодного водоснабжения 63 662,56 тыс. руб.</w:t>
      </w:r>
    </w:p>
    <w:p w14:paraId="09E93F86" w14:textId="77777777" w:rsidR="004A0123" w:rsidRPr="00B74691" w:rsidRDefault="004A0123" w:rsidP="004A0123">
      <w:pPr>
        <w:numPr>
          <w:ilvl w:val="0"/>
          <w:numId w:val="38"/>
        </w:numPr>
        <w:spacing w:line="276" w:lineRule="auto"/>
        <w:ind w:firstLine="709"/>
        <w:jc w:val="both"/>
        <w:rPr>
          <w:sz w:val="28"/>
          <w:szCs w:val="28"/>
          <w:lang w:eastAsia="en-US"/>
        </w:rPr>
      </w:pPr>
      <w:r w:rsidRPr="00B74691">
        <w:rPr>
          <w:sz w:val="28"/>
          <w:szCs w:val="28"/>
          <w:lang w:eastAsia="en-US"/>
        </w:rPr>
        <w:t>в сфере водоотведения 48 635,94 тыс. руб.</w:t>
      </w:r>
    </w:p>
    <w:p w14:paraId="5436B87E" w14:textId="77777777" w:rsidR="004A0123" w:rsidRPr="00B74691" w:rsidRDefault="004A0123" w:rsidP="004A0123">
      <w:pPr>
        <w:spacing w:line="276" w:lineRule="auto"/>
        <w:ind w:firstLine="708"/>
        <w:jc w:val="both"/>
        <w:rPr>
          <w:sz w:val="28"/>
          <w:szCs w:val="28"/>
          <w:lang w:eastAsia="en-US"/>
        </w:rPr>
      </w:pPr>
    </w:p>
    <w:p w14:paraId="5250982F" w14:textId="77777777" w:rsidR="004A0123" w:rsidRPr="00B74691" w:rsidRDefault="004A0123" w:rsidP="004A0123">
      <w:pPr>
        <w:spacing w:line="276" w:lineRule="auto"/>
        <w:ind w:firstLine="708"/>
        <w:jc w:val="right"/>
        <w:rPr>
          <w:bCs/>
          <w:sz w:val="28"/>
          <w:szCs w:val="28"/>
          <w:lang w:eastAsia="en-US"/>
        </w:rPr>
      </w:pPr>
      <w:r w:rsidRPr="00B74691">
        <w:rPr>
          <w:sz w:val="27"/>
          <w:szCs w:val="27"/>
          <w:lang w:eastAsia="en-US"/>
        </w:rPr>
        <w:br w:type="page"/>
      </w:r>
      <w:r w:rsidRPr="00B74691">
        <w:rPr>
          <w:sz w:val="28"/>
          <w:szCs w:val="28"/>
          <w:lang w:eastAsia="en-US"/>
        </w:rPr>
        <w:t>Таблица №1</w:t>
      </w:r>
    </w:p>
    <w:p w14:paraId="78EB17D1" w14:textId="77777777" w:rsidR="004A0123" w:rsidRPr="00B74691" w:rsidRDefault="004A0123" w:rsidP="004A0123">
      <w:pPr>
        <w:spacing w:line="276" w:lineRule="auto"/>
        <w:jc w:val="center"/>
        <w:rPr>
          <w:bCs/>
          <w:sz w:val="28"/>
          <w:szCs w:val="28"/>
          <w:lang w:eastAsia="en-US"/>
        </w:rPr>
      </w:pPr>
      <w:r w:rsidRPr="00B74691">
        <w:rPr>
          <w:bCs/>
          <w:sz w:val="28"/>
          <w:szCs w:val="28"/>
          <w:lang w:eastAsia="en-US"/>
        </w:rPr>
        <w:t>Перечень плановых мероприятий по ремонту объектов централизованных систем холодного водоснабжения и (или) водоотведения</w:t>
      </w:r>
    </w:p>
    <w:p w14:paraId="6DFD9779" w14:textId="77777777" w:rsidR="004A0123" w:rsidRPr="00B74691" w:rsidRDefault="004A0123" w:rsidP="004A0123">
      <w:pPr>
        <w:spacing w:line="276" w:lineRule="auto"/>
        <w:ind w:firstLine="708"/>
        <w:jc w:val="both"/>
        <w:rPr>
          <w:bCs/>
          <w:sz w:val="28"/>
          <w:szCs w:val="28"/>
          <w:lang w:eastAsia="en-US"/>
        </w:rPr>
      </w:pPr>
    </w:p>
    <w:tbl>
      <w:tblPr>
        <w:tblW w:w="55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2852"/>
        <w:gridCol w:w="1470"/>
        <w:gridCol w:w="7"/>
        <w:gridCol w:w="2044"/>
        <w:gridCol w:w="2136"/>
        <w:gridCol w:w="1075"/>
        <w:gridCol w:w="976"/>
      </w:tblGrid>
      <w:tr w:rsidR="004A0123" w:rsidRPr="00B74691" w14:paraId="69693103" w14:textId="77777777" w:rsidTr="00711052">
        <w:trPr>
          <w:jc w:val="center"/>
        </w:trPr>
        <w:tc>
          <w:tcPr>
            <w:tcW w:w="402" w:type="pct"/>
            <w:vMerge w:val="restart"/>
            <w:vAlign w:val="center"/>
          </w:tcPr>
          <w:p w14:paraId="34A8E230" w14:textId="77777777" w:rsidR="004A0123" w:rsidRPr="00B74691" w:rsidRDefault="004A0123" w:rsidP="008A5C11">
            <w:pPr>
              <w:jc w:val="center"/>
              <w:rPr>
                <w:bCs/>
                <w:sz w:val="22"/>
                <w:szCs w:val="22"/>
                <w:lang w:eastAsia="en-US"/>
              </w:rPr>
            </w:pPr>
            <w:r w:rsidRPr="00B74691">
              <w:rPr>
                <w:bCs/>
                <w:sz w:val="22"/>
                <w:szCs w:val="22"/>
                <w:lang w:eastAsia="en-US"/>
              </w:rPr>
              <w:t xml:space="preserve">№ </w:t>
            </w:r>
            <w:bookmarkStart w:id="90" w:name="_GoBack"/>
            <w:bookmarkEnd w:id="90"/>
            <w:r w:rsidRPr="00B74691">
              <w:rPr>
                <w:bCs/>
                <w:sz w:val="22"/>
                <w:szCs w:val="22"/>
                <w:lang w:eastAsia="en-US"/>
              </w:rPr>
              <w:t>п/п</w:t>
            </w:r>
          </w:p>
        </w:tc>
        <w:tc>
          <w:tcPr>
            <w:tcW w:w="1242" w:type="pct"/>
            <w:vMerge w:val="restart"/>
            <w:shd w:val="clear" w:color="auto" w:fill="auto"/>
            <w:vAlign w:val="center"/>
          </w:tcPr>
          <w:p w14:paraId="4DFA0E33" w14:textId="77777777" w:rsidR="004A0123" w:rsidRPr="00B74691" w:rsidRDefault="004A0123" w:rsidP="008A5C11">
            <w:pPr>
              <w:jc w:val="center"/>
              <w:rPr>
                <w:bCs/>
                <w:sz w:val="22"/>
                <w:szCs w:val="22"/>
                <w:lang w:eastAsia="en-US"/>
              </w:rPr>
            </w:pPr>
            <w:r w:rsidRPr="00B74691">
              <w:rPr>
                <w:bCs/>
                <w:sz w:val="22"/>
                <w:szCs w:val="22"/>
                <w:lang w:eastAsia="en-US"/>
              </w:rPr>
              <w:t>Наименование мероприятия</w:t>
            </w:r>
          </w:p>
        </w:tc>
        <w:tc>
          <w:tcPr>
            <w:tcW w:w="640" w:type="pct"/>
            <w:vMerge w:val="restart"/>
            <w:shd w:val="clear" w:color="auto" w:fill="auto"/>
            <w:vAlign w:val="center"/>
          </w:tcPr>
          <w:p w14:paraId="0CFF8E4D" w14:textId="77777777" w:rsidR="004A0123" w:rsidRPr="00B74691" w:rsidRDefault="004A0123" w:rsidP="008A5C11">
            <w:pPr>
              <w:jc w:val="center"/>
              <w:rPr>
                <w:bCs/>
                <w:sz w:val="22"/>
                <w:szCs w:val="22"/>
                <w:lang w:eastAsia="en-US"/>
              </w:rPr>
            </w:pPr>
            <w:r w:rsidRPr="00B74691">
              <w:rPr>
                <w:bCs/>
                <w:sz w:val="22"/>
                <w:szCs w:val="22"/>
                <w:lang w:eastAsia="en-US"/>
              </w:rPr>
              <w:t>Срок реализации</w:t>
            </w:r>
          </w:p>
        </w:tc>
        <w:tc>
          <w:tcPr>
            <w:tcW w:w="893" w:type="pct"/>
            <w:gridSpan w:val="2"/>
            <w:vMerge w:val="restart"/>
            <w:shd w:val="clear" w:color="auto" w:fill="auto"/>
            <w:vAlign w:val="center"/>
          </w:tcPr>
          <w:p w14:paraId="4302D64C" w14:textId="77777777" w:rsidR="004A0123" w:rsidRPr="00B74691" w:rsidRDefault="004A0123" w:rsidP="008A5C11">
            <w:pPr>
              <w:jc w:val="center"/>
              <w:rPr>
                <w:bCs/>
                <w:sz w:val="22"/>
                <w:szCs w:val="22"/>
                <w:lang w:eastAsia="en-US"/>
              </w:rPr>
            </w:pPr>
            <w:r w:rsidRPr="00B74691">
              <w:rPr>
                <w:bCs/>
                <w:sz w:val="22"/>
                <w:szCs w:val="22"/>
                <w:lang w:eastAsia="en-US"/>
              </w:rPr>
              <w:t>Финансовые потребности, тыс. руб. (без НДС)</w:t>
            </w:r>
          </w:p>
        </w:tc>
        <w:tc>
          <w:tcPr>
            <w:tcW w:w="1823" w:type="pct"/>
            <w:gridSpan w:val="3"/>
            <w:shd w:val="clear" w:color="auto" w:fill="auto"/>
            <w:vAlign w:val="center"/>
          </w:tcPr>
          <w:p w14:paraId="5EE3EF89" w14:textId="77777777" w:rsidR="004A0123" w:rsidRPr="00B74691" w:rsidRDefault="004A0123" w:rsidP="008A5C11">
            <w:pPr>
              <w:jc w:val="center"/>
              <w:rPr>
                <w:bCs/>
                <w:sz w:val="22"/>
                <w:szCs w:val="22"/>
                <w:lang w:eastAsia="en-US"/>
              </w:rPr>
            </w:pPr>
            <w:r w:rsidRPr="00B74691">
              <w:rPr>
                <w:bCs/>
                <w:sz w:val="22"/>
                <w:szCs w:val="22"/>
                <w:lang w:eastAsia="en-US"/>
              </w:rPr>
              <w:t>Ожидаемый эффект</w:t>
            </w:r>
          </w:p>
        </w:tc>
      </w:tr>
      <w:tr w:rsidR="004A0123" w:rsidRPr="00B74691" w14:paraId="1A696FBD" w14:textId="77777777" w:rsidTr="00711052">
        <w:trPr>
          <w:jc w:val="center"/>
        </w:trPr>
        <w:tc>
          <w:tcPr>
            <w:tcW w:w="402" w:type="pct"/>
            <w:vMerge/>
            <w:vAlign w:val="center"/>
          </w:tcPr>
          <w:p w14:paraId="038A1C8E" w14:textId="77777777" w:rsidR="004A0123" w:rsidRPr="00B74691" w:rsidRDefault="004A0123" w:rsidP="008A5C11">
            <w:pPr>
              <w:jc w:val="center"/>
              <w:rPr>
                <w:bCs/>
                <w:sz w:val="22"/>
                <w:szCs w:val="22"/>
                <w:lang w:eastAsia="en-US"/>
              </w:rPr>
            </w:pPr>
          </w:p>
        </w:tc>
        <w:tc>
          <w:tcPr>
            <w:tcW w:w="1242" w:type="pct"/>
            <w:vMerge/>
            <w:shd w:val="clear" w:color="auto" w:fill="auto"/>
            <w:vAlign w:val="center"/>
          </w:tcPr>
          <w:p w14:paraId="64762C9B" w14:textId="77777777" w:rsidR="004A0123" w:rsidRPr="00B74691" w:rsidRDefault="004A0123" w:rsidP="008A5C11">
            <w:pPr>
              <w:jc w:val="center"/>
              <w:rPr>
                <w:bCs/>
                <w:sz w:val="22"/>
                <w:szCs w:val="22"/>
                <w:lang w:eastAsia="en-US"/>
              </w:rPr>
            </w:pPr>
          </w:p>
        </w:tc>
        <w:tc>
          <w:tcPr>
            <w:tcW w:w="640" w:type="pct"/>
            <w:vMerge/>
            <w:shd w:val="clear" w:color="auto" w:fill="auto"/>
            <w:vAlign w:val="center"/>
          </w:tcPr>
          <w:p w14:paraId="249A18EB" w14:textId="77777777" w:rsidR="004A0123" w:rsidRPr="00B74691" w:rsidRDefault="004A0123" w:rsidP="008A5C11">
            <w:pPr>
              <w:jc w:val="center"/>
              <w:rPr>
                <w:bCs/>
                <w:sz w:val="22"/>
                <w:szCs w:val="22"/>
                <w:lang w:eastAsia="en-US"/>
              </w:rPr>
            </w:pPr>
          </w:p>
        </w:tc>
        <w:tc>
          <w:tcPr>
            <w:tcW w:w="893" w:type="pct"/>
            <w:gridSpan w:val="2"/>
            <w:vMerge/>
            <w:shd w:val="clear" w:color="auto" w:fill="auto"/>
            <w:vAlign w:val="center"/>
          </w:tcPr>
          <w:p w14:paraId="46BAA458" w14:textId="77777777" w:rsidR="004A0123" w:rsidRPr="00B74691" w:rsidRDefault="004A0123" w:rsidP="008A5C11">
            <w:pPr>
              <w:jc w:val="center"/>
              <w:rPr>
                <w:bCs/>
                <w:sz w:val="22"/>
                <w:szCs w:val="22"/>
                <w:lang w:eastAsia="en-US"/>
              </w:rPr>
            </w:pPr>
          </w:p>
        </w:tc>
        <w:tc>
          <w:tcPr>
            <w:tcW w:w="930" w:type="pct"/>
            <w:shd w:val="clear" w:color="auto" w:fill="auto"/>
            <w:vAlign w:val="center"/>
          </w:tcPr>
          <w:p w14:paraId="013FADEC" w14:textId="77777777" w:rsidR="004A0123" w:rsidRPr="00B74691" w:rsidRDefault="004A0123" w:rsidP="008A5C11">
            <w:pPr>
              <w:jc w:val="center"/>
              <w:rPr>
                <w:bCs/>
                <w:sz w:val="22"/>
                <w:szCs w:val="22"/>
                <w:lang w:eastAsia="en-US"/>
              </w:rPr>
            </w:pPr>
            <w:r w:rsidRPr="00B74691">
              <w:rPr>
                <w:bCs/>
                <w:sz w:val="22"/>
                <w:szCs w:val="22"/>
                <w:lang w:eastAsia="en-US"/>
              </w:rPr>
              <w:t>Наименование показателей</w:t>
            </w:r>
          </w:p>
        </w:tc>
        <w:tc>
          <w:tcPr>
            <w:tcW w:w="468" w:type="pct"/>
            <w:shd w:val="clear" w:color="auto" w:fill="auto"/>
            <w:vAlign w:val="center"/>
          </w:tcPr>
          <w:p w14:paraId="02FFE412" w14:textId="77777777" w:rsidR="004A0123" w:rsidRPr="00B74691" w:rsidRDefault="004A0123" w:rsidP="008A5C11">
            <w:pPr>
              <w:jc w:val="center"/>
              <w:rPr>
                <w:bCs/>
                <w:sz w:val="22"/>
                <w:szCs w:val="22"/>
                <w:lang w:eastAsia="en-US"/>
              </w:rPr>
            </w:pPr>
            <w:r w:rsidRPr="00B74691">
              <w:rPr>
                <w:bCs/>
                <w:sz w:val="22"/>
                <w:szCs w:val="22"/>
                <w:lang w:eastAsia="en-US"/>
              </w:rPr>
              <w:t>тыс. руб.</w:t>
            </w:r>
          </w:p>
        </w:tc>
        <w:tc>
          <w:tcPr>
            <w:tcW w:w="425" w:type="pct"/>
            <w:shd w:val="clear" w:color="auto" w:fill="auto"/>
            <w:vAlign w:val="center"/>
          </w:tcPr>
          <w:p w14:paraId="2DDD35E5" w14:textId="77777777" w:rsidR="004A0123" w:rsidRPr="00B74691" w:rsidRDefault="004A0123" w:rsidP="008A5C11">
            <w:pPr>
              <w:jc w:val="center"/>
              <w:rPr>
                <w:bCs/>
                <w:sz w:val="22"/>
                <w:szCs w:val="22"/>
                <w:lang w:eastAsia="en-US"/>
              </w:rPr>
            </w:pPr>
            <w:r w:rsidRPr="00B74691">
              <w:rPr>
                <w:bCs/>
                <w:sz w:val="22"/>
                <w:szCs w:val="22"/>
                <w:lang w:eastAsia="en-US"/>
              </w:rPr>
              <w:t>%</w:t>
            </w:r>
          </w:p>
        </w:tc>
      </w:tr>
      <w:tr w:rsidR="004A0123" w:rsidRPr="00B74691" w14:paraId="787F4871" w14:textId="77777777" w:rsidTr="00711052">
        <w:trPr>
          <w:jc w:val="center"/>
        </w:trPr>
        <w:tc>
          <w:tcPr>
            <w:tcW w:w="5000" w:type="pct"/>
            <w:gridSpan w:val="8"/>
            <w:vAlign w:val="center"/>
          </w:tcPr>
          <w:p w14:paraId="59F0732C" w14:textId="77777777" w:rsidR="004A0123" w:rsidRPr="00B74691" w:rsidRDefault="004A0123" w:rsidP="004A0123">
            <w:pPr>
              <w:numPr>
                <w:ilvl w:val="0"/>
                <w:numId w:val="40"/>
              </w:numPr>
              <w:contextualSpacing/>
              <w:jc w:val="center"/>
              <w:rPr>
                <w:bCs/>
                <w:sz w:val="22"/>
                <w:szCs w:val="22"/>
                <w:lang w:eastAsia="en-US"/>
              </w:rPr>
            </w:pPr>
            <w:r w:rsidRPr="00B74691">
              <w:rPr>
                <w:bCs/>
                <w:sz w:val="22"/>
                <w:szCs w:val="22"/>
                <w:lang w:eastAsia="en-US"/>
              </w:rPr>
              <w:t>Холодное водоснабжение питьевой водой</w:t>
            </w:r>
          </w:p>
        </w:tc>
      </w:tr>
      <w:tr w:rsidR="004A0123" w:rsidRPr="00B74691" w14:paraId="6EE75BD1" w14:textId="77777777" w:rsidTr="00711052">
        <w:trPr>
          <w:trHeight w:val="491"/>
          <w:jc w:val="center"/>
        </w:trPr>
        <w:tc>
          <w:tcPr>
            <w:tcW w:w="402" w:type="pct"/>
            <w:vAlign w:val="center"/>
          </w:tcPr>
          <w:p w14:paraId="460B1D52" w14:textId="77777777" w:rsidR="004A0123" w:rsidRPr="00B74691" w:rsidRDefault="004A0123" w:rsidP="008A5C11">
            <w:pPr>
              <w:jc w:val="center"/>
              <w:rPr>
                <w:bCs/>
                <w:sz w:val="22"/>
                <w:szCs w:val="22"/>
                <w:lang w:eastAsia="en-US"/>
              </w:rPr>
            </w:pPr>
            <w:r w:rsidRPr="00B74691">
              <w:rPr>
                <w:bCs/>
                <w:sz w:val="22"/>
                <w:szCs w:val="22"/>
                <w:lang w:eastAsia="en-US"/>
              </w:rPr>
              <w:t>1.1</w:t>
            </w:r>
          </w:p>
        </w:tc>
        <w:tc>
          <w:tcPr>
            <w:tcW w:w="1242" w:type="pct"/>
            <w:shd w:val="clear" w:color="auto" w:fill="auto"/>
            <w:vAlign w:val="center"/>
          </w:tcPr>
          <w:p w14:paraId="3370BFD0" w14:textId="77777777" w:rsidR="004A0123" w:rsidRPr="00B74691" w:rsidRDefault="004A0123" w:rsidP="008A5C11">
            <w:pPr>
              <w:jc w:val="center"/>
              <w:rPr>
                <w:color w:val="000000"/>
                <w:sz w:val="22"/>
                <w:szCs w:val="22"/>
                <w:lang w:eastAsia="en-US"/>
              </w:rPr>
            </w:pPr>
            <w:r w:rsidRPr="00B74691">
              <w:rPr>
                <w:color w:val="000000"/>
                <w:sz w:val="22"/>
                <w:szCs w:val="22"/>
                <w:lang w:eastAsia="en-US"/>
              </w:rPr>
              <w:t xml:space="preserve">Капитальный ремонт </w:t>
            </w:r>
          </w:p>
        </w:tc>
        <w:tc>
          <w:tcPr>
            <w:tcW w:w="640" w:type="pct"/>
            <w:shd w:val="clear" w:color="auto" w:fill="auto"/>
            <w:vAlign w:val="center"/>
          </w:tcPr>
          <w:p w14:paraId="077B4D0E" w14:textId="77777777" w:rsidR="004A0123" w:rsidRPr="00B74691" w:rsidRDefault="004A0123" w:rsidP="008A5C11">
            <w:pPr>
              <w:jc w:val="center"/>
              <w:rPr>
                <w:bCs/>
                <w:sz w:val="22"/>
                <w:szCs w:val="22"/>
                <w:lang w:eastAsia="en-US"/>
              </w:rPr>
            </w:pPr>
            <w:r w:rsidRPr="00B74691">
              <w:rPr>
                <w:bCs/>
                <w:sz w:val="22"/>
                <w:szCs w:val="22"/>
                <w:lang w:eastAsia="en-US"/>
              </w:rPr>
              <w:t>2021</w:t>
            </w:r>
          </w:p>
        </w:tc>
        <w:tc>
          <w:tcPr>
            <w:tcW w:w="893" w:type="pct"/>
            <w:gridSpan w:val="2"/>
            <w:shd w:val="clear" w:color="auto" w:fill="auto"/>
            <w:vAlign w:val="center"/>
          </w:tcPr>
          <w:p w14:paraId="2047D84C" w14:textId="77777777" w:rsidR="004A0123" w:rsidRPr="00B74691" w:rsidRDefault="004A0123" w:rsidP="008A5C11">
            <w:pPr>
              <w:jc w:val="center"/>
              <w:rPr>
                <w:sz w:val="22"/>
                <w:szCs w:val="22"/>
                <w:lang w:eastAsia="en-US"/>
              </w:rPr>
            </w:pPr>
            <w:r w:rsidRPr="00B74691">
              <w:rPr>
                <w:sz w:val="22"/>
                <w:szCs w:val="22"/>
                <w:lang w:eastAsia="en-US"/>
              </w:rPr>
              <w:t>40 008,41</w:t>
            </w:r>
          </w:p>
        </w:tc>
        <w:tc>
          <w:tcPr>
            <w:tcW w:w="930" w:type="pct"/>
            <w:vMerge w:val="restart"/>
            <w:shd w:val="clear" w:color="auto" w:fill="auto"/>
            <w:vAlign w:val="center"/>
          </w:tcPr>
          <w:p w14:paraId="7F4196A6" w14:textId="77777777" w:rsidR="004A0123" w:rsidRPr="00B74691" w:rsidRDefault="004A0123" w:rsidP="008A5C11">
            <w:pPr>
              <w:jc w:val="center"/>
              <w:rPr>
                <w:bCs/>
                <w:sz w:val="22"/>
                <w:szCs w:val="22"/>
                <w:lang w:eastAsia="en-US"/>
              </w:rPr>
            </w:pPr>
            <w:r w:rsidRPr="00B74691">
              <w:rPr>
                <w:sz w:val="18"/>
                <w:szCs w:val="18"/>
                <w:lang w:eastAsia="en-US"/>
              </w:rPr>
              <w:t>Восстановление эксплуатационных качеств трубопроводов в соответствии с правилами эксплуатации сетей, в целях снижения аварийности на сетях. Улучшение качества поставляемой воды за счет применения некорродирующих материалов.</w:t>
            </w:r>
          </w:p>
          <w:p w14:paraId="123D639B" w14:textId="77777777" w:rsidR="004A0123" w:rsidRPr="00B74691" w:rsidRDefault="004A0123" w:rsidP="008A5C11">
            <w:pPr>
              <w:jc w:val="center"/>
              <w:rPr>
                <w:bCs/>
                <w:sz w:val="22"/>
                <w:szCs w:val="22"/>
                <w:lang w:eastAsia="en-US"/>
              </w:rPr>
            </w:pPr>
          </w:p>
        </w:tc>
        <w:tc>
          <w:tcPr>
            <w:tcW w:w="468" w:type="pct"/>
            <w:shd w:val="clear" w:color="auto" w:fill="auto"/>
            <w:vAlign w:val="center"/>
          </w:tcPr>
          <w:p w14:paraId="5822EA2E" w14:textId="77777777" w:rsidR="004A0123" w:rsidRPr="00B74691" w:rsidRDefault="004A0123" w:rsidP="008A5C11">
            <w:pPr>
              <w:jc w:val="center"/>
              <w:rPr>
                <w:bCs/>
                <w:sz w:val="22"/>
                <w:szCs w:val="22"/>
                <w:lang w:eastAsia="en-US"/>
              </w:rPr>
            </w:pPr>
            <w:r w:rsidRPr="00B74691">
              <w:rPr>
                <w:bCs/>
                <w:sz w:val="22"/>
                <w:szCs w:val="22"/>
                <w:lang w:eastAsia="en-US"/>
              </w:rPr>
              <w:t>-</w:t>
            </w:r>
          </w:p>
        </w:tc>
        <w:tc>
          <w:tcPr>
            <w:tcW w:w="425" w:type="pct"/>
            <w:shd w:val="clear" w:color="auto" w:fill="auto"/>
            <w:vAlign w:val="center"/>
          </w:tcPr>
          <w:p w14:paraId="4E7EBB61" w14:textId="77777777" w:rsidR="004A0123" w:rsidRPr="00B74691" w:rsidRDefault="004A0123" w:rsidP="008A5C11">
            <w:pPr>
              <w:jc w:val="center"/>
              <w:rPr>
                <w:bCs/>
                <w:sz w:val="22"/>
                <w:szCs w:val="22"/>
                <w:lang w:eastAsia="en-US"/>
              </w:rPr>
            </w:pPr>
            <w:r w:rsidRPr="00B74691">
              <w:rPr>
                <w:bCs/>
                <w:sz w:val="22"/>
                <w:szCs w:val="22"/>
                <w:lang w:eastAsia="en-US"/>
              </w:rPr>
              <w:t>-</w:t>
            </w:r>
          </w:p>
        </w:tc>
      </w:tr>
      <w:tr w:rsidR="004A0123" w:rsidRPr="00B74691" w14:paraId="323344ED" w14:textId="77777777" w:rsidTr="00711052">
        <w:trPr>
          <w:jc w:val="center"/>
        </w:trPr>
        <w:tc>
          <w:tcPr>
            <w:tcW w:w="402" w:type="pct"/>
            <w:vAlign w:val="center"/>
          </w:tcPr>
          <w:p w14:paraId="3CBA4A20" w14:textId="77777777" w:rsidR="004A0123" w:rsidRPr="00B74691" w:rsidRDefault="004A0123" w:rsidP="008A5C11">
            <w:pPr>
              <w:jc w:val="center"/>
              <w:rPr>
                <w:bCs/>
                <w:sz w:val="22"/>
                <w:szCs w:val="22"/>
                <w:lang w:eastAsia="en-US"/>
              </w:rPr>
            </w:pPr>
            <w:r w:rsidRPr="00B74691">
              <w:rPr>
                <w:bCs/>
                <w:sz w:val="22"/>
                <w:szCs w:val="22"/>
                <w:lang w:eastAsia="en-US"/>
              </w:rPr>
              <w:t>1.1.1</w:t>
            </w:r>
          </w:p>
        </w:tc>
        <w:tc>
          <w:tcPr>
            <w:tcW w:w="1242" w:type="pct"/>
            <w:shd w:val="clear" w:color="auto" w:fill="auto"/>
            <w:vAlign w:val="center"/>
          </w:tcPr>
          <w:p w14:paraId="51BA885D" w14:textId="77777777" w:rsidR="004A0123" w:rsidRPr="00B74691" w:rsidRDefault="004A0123" w:rsidP="008A5C11">
            <w:pPr>
              <w:jc w:val="center"/>
              <w:rPr>
                <w:color w:val="000000"/>
                <w:sz w:val="22"/>
                <w:szCs w:val="22"/>
                <w:lang w:eastAsia="en-US"/>
              </w:rPr>
            </w:pPr>
            <w:r w:rsidRPr="00B74691">
              <w:rPr>
                <w:color w:val="000000"/>
                <w:sz w:val="22"/>
                <w:szCs w:val="22"/>
                <w:lang w:eastAsia="en-US"/>
              </w:rPr>
              <w:t>Капитальный ремонт объектов холодного водоснабжения</w:t>
            </w:r>
          </w:p>
        </w:tc>
        <w:tc>
          <w:tcPr>
            <w:tcW w:w="640" w:type="pct"/>
            <w:shd w:val="clear" w:color="auto" w:fill="auto"/>
            <w:vAlign w:val="center"/>
          </w:tcPr>
          <w:p w14:paraId="7C0E3059" w14:textId="77777777" w:rsidR="004A0123" w:rsidRPr="00B74691" w:rsidRDefault="004A0123" w:rsidP="008A5C11">
            <w:pPr>
              <w:jc w:val="center"/>
              <w:rPr>
                <w:color w:val="000000"/>
                <w:sz w:val="22"/>
                <w:szCs w:val="22"/>
                <w:lang w:eastAsia="en-US"/>
              </w:rPr>
            </w:pPr>
            <w:r w:rsidRPr="00B74691">
              <w:rPr>
                <w:color w:val="000000"/>
                <w:sz w:val="22"/>
                <w:szCs w:val="22"/>
                <w:lang w:eastAsia="en-US"/>
              </w:rPr>
              <w:t>2021</w:t>
            </w:r>
          </w:p>
        </w:tc>
        <w:tc>
          <w:tcPr>
            <w:tcW w:w="893" w:type="pct"/>
            <w:gridSpan w:val="2"/>
            <w:shd w:val="clear" w:color="auto" w:fill="auto"/>
            <w:vAlign w:val="center"/>
          </w:tcPr>
          <w:p w14:paraId="4761BAFF" w14:textId="77777777" w:rsidR="004A0123" w:rsidRPr="00B74691" w:rsidRDefault="004A0123" w:rsidP="008A5C11">
            <w:pPr>
              <w:jc w:val="center"/>
              <w:rPr>
                <w:color w:val="000000"/>
                <w:sz w:val="22"/>
                <w:szCs w:val="22"/>
                <w:lang w:eastAsia="en-US"/>
              </w:rPr>
            </w:pPr>
            <w:r w:rsidRPr="00B74691">
              <w:rPr>
                <w:color w:val="000000"/>
                <w:sz w:val="22"/>
                <w:szCs w:val="22"/>
                <w:lang w:eastAsia="en-US"/>
              </w:rPr>
              <w:t>5 500,00</w:t>
            </w:r>
          </w:p>
        </w:tc>
        <w:tc>
          <w:tcPr>
            <w:tcW w:w="930" w:type="pct"/>
            <w:vMerge/>
            <w:shd w:val="clear" w:color="auto" w:fill="auto"/>
            <w:vAlign w:val="center"/>
          </w:tcPr>
          <w:p w14:paraId="0B4F9B70" w14:textId="77777777" w:rsidR="004A0123" w:rsidRPr="00B74691" w:rsidRDefault="004A0123" w:rsidP="008A5C11">
            <w:pPr>
              <w:jc w:val="center"/>
              <w:rPr>
                <w:bCs/>
                <w:sz w:val="22"/>
                <w:szCs w:val="22"/>
                <w:lang w:eastAsia="en-US"/>
              </w:rPr>
            </w:pPr>
          </w:p>
        </w:tc>
        <w:tc>
          <w:tcPr>
            <w:tcW w:w="468" w:type="pct"/>
            <w:shd w:val="clear" w:color="auto" w:fill="auto"/>
            <w:vAlign w:val="center"/>
          </w:tcPr>
          <w:p w14:paraId="080AC027" w14:textId="77777777" w:rsidR="004A0123" w:rsidRPr="00B74691" w:rsidRDefault="004A0123" w:rsidP="008A5C11">
            <w:pPr>
              <w:jc w:val="center"/>
              <w:rPr>
                <w:bCs/>
                <w:sz w:val="22"/>
                <w:szCs w:val="22"/>
                <w:lang w:eastAsia="en-US"/>
              </w:rPr>
            </w:pPr>
            <w:r w:rsidRPr="00B74691">
              <w:rPr>
                <w:bCs/>
                <w:sz w:val="22"/>
                <w:szCs w:val="22"/>
                <w:lang w:eastAsia="en-US"/>
              </w:rPr>
              <w:t>-</w:t>
            </w:r>
          </w:p>
        </w:tc>
        <w:tc>
          <w:tcPr>
            <w:tcW w:w="425" w:type="pct"/>
            <w:shd w:val="clear" w:color="auto" w:fill="auto"/>
            <w:vAlign w:val="center"/>
          </w:tcPr>
          <w:p w14:paraId="1F7A4EF1" w14:textId="77777777" w:rsidR="004A0123" w:rsidRPr="00B74691" w:rsidRDefault="004A0123" w:rsidP="008A5C11">
            <w:pPr>
              <w:jc w:val="center"/>
              <w:rPr>
                <w:bCs/>
                <w:sz w:val="22"/>
                <w:szCs w:val="22"/>
                <w:lang w:eastAsia="en-US"/>
              </w:rPr>
            </w:pPr>
            <w:r w:rsidRPr="00B74691">
              <w:rPr>
                <w:bCs/>
                <w:sz w:val="22"/>
                <w:szCs w:val="22"/>
                <w:lang w:eastAsia="en-US"/>
              </w:rPr>
              <w:t>-</w:t>
            </w:r>
          </w:p>
        </w:tc>
      </w:tr>
      <w:tr w:rsidR="004A0123" w:rsidRPr="00B74691" w14:paraId="0C5D612A" w14:textId="77777777" w:rsidTr="00711052">
        <w:trPr>
          <w:jc w:val="center"/>
        </w:trPr>
        <w:tc>
          <w:tcPr>
            <w:tcW w:w="402" w:type="pct"/>
            <w:vAlign w:val="center"/>
          </w:tcPr>
          <w:p w14:paraId="73E7F59C" w14:textId="77777777" w:rsidR="004A0123" w:rsidRPr="00B74691" w:rsidRDefault="004A0123" w:rsidP="008A5C11">
            <w:pPr>
              <w:jc w:val="center"/>
              <w:rPr>
                <w:bCs/>
                <w:sz w:val="22"/>
                <w:szCs w:val="22"/>
                <w:lang w:eastAsia="en-US"/>
              </w:rPr>
            </w:pPr>
            <w:r w:rsidRPr="00B74691">
              <w:rPr>
                <w:bCs/>
                <w:sz w:val="22"/>
                <w:szCs w:val="22"/>
                <w:lang w:eastAsia="en-US"/>
              </w:rPr>
              <w:t>1.1.2</w:t>
            </w:r>
          </w:p>
        </w:tc>
        <w:tc>
          <w:tcPr>
            <w:tcW w:w="1242" w:type="pct"/>
            <w:shd w:val="clear" w:color="auto" w:fill="auto"/>
            <w:vAlign w:val="center"/>
          </w:tcPr>
          <w:p w14:paraId="24C666BF" w14:textId="77777777" w:rsidR="004A0123" w:rsidRPr="00B74691" w:rsidRDefault="004A0123" w:rsidP="008A5C11">
            <w:pPr>
              <w:jc w:val="center"/>
              <w:rPr>
                <w:color w:val="000000"/>
                <w:sz w:val="22"/>
                <w:szCs w:val="22"/>
                <w:lang w:eastAsia="en-US"/>
              </w:rPr>
            </w:pPr>
            <w:r w:rsidRPr="00B74691">
              <w:rPr>
                <w:color w:val="000000"/>
                <w:sz w:val="22"/>
                <w:szCs w:val="22"/>
                <w:lang w:eastAsia="en-US"/>
              </w:rPr>
              <w:t>Капитальный ремонт за счет платы за превышение ПДК</w:t>
            </w:r>
          </w:p>
        </w:tc>
        <w:tc>
          <w:tcPr>
            <w:tcW w:w="640" w:type="pct"/>
            <w:shd w:val="clear" w:color="auto" w:fill="auto"/>
            <w:vAlign w:val="center"/>
          </w:tcPr>
          <w:p w14:paraId="6A6077A3" w14:textId="77777777" w:rsidR="004A0123" w:rsidRPr="00B74691" w:rsidRDefault="004A0123" w:rsidP="008A5C11">
            <w:pPr>
              <w:jc w:val="center"/>
              <w:rPr>
                <w:color w:val="000000"/>
                <w:sz w:val="22"/>
                <w:szCs w:val="22"/>
                <w:lang w:eastAsia="en-US"/>
              </w:rPr>
            </w:pPr>
            <w:r w:rsidRPr="00B74691">
              <w:rPr>
                <w:color w:val="000000"/>
                <w:sz w:val="22"/>
                <w:szCs w:val="22"/>
                <w:lang w:eastAsia="en-US"/>
              </w:rPr>
              <w:t>2021</w:t>
            </w:r>
          </w:p>
        </w:tc>
        <w:tc>
          <w:tcPr>
            <w:tcW w:w="893" w:type="pct"/>
            <w:gridSpan w:val="2"/>
            <w:shd w:val="clear" w:color="auto" w:fill="auto"/>
            <w:vAlign w:val="center"/>
          </w:tcPr>
          <w:p w14:paraId="11DAA8A5" w14:textId="77777777" w:rsidR="004A0123" w:rsidRPr="00B74691" w:rsidRDefault="004A0123" w:rsidP="008A5C11">
            <w:pPr>
              <w:jc w:val="center"/>
              <w:rPr>
                <w:color w:val="000000"/>
                <w:sz w:val="22"/>
                <w:szCs w:val="22"/>
                <w:lang w:eastAsia="en-US"/>
              </w:rPr>
            </w:pPr>
            <w:r w:rsidRPr="00B74691">
              <w:rPr>
                <w:color w:val="000000"/>
                <w:sz w:val="22"/>
                <w:szCs w:val="22"/>
                <w:lang w:eastAsia="en-US"/>
              </w:rPr>
              <w:t>34 508,41</w:t>
            </w:r>
          </w:p>
        </w:tc>
        <w:tc>
          <w:tcPr>
            <w:tcW w:w="930" w:type="pct"/>
            <w:vMerge/>
            <w:shd w:val="clear" w:color="auto" w:fill="auto"/>
            <w:vAlign w:val="center"/>
          </w:tcPr>
          <w:p w14:paraId="0C848229" w14:textId="77777777" w:rsidR="004A0123" w:rsidRPr="00B74691" w:rsidRDefault="004A0123" w:rsidP="008A5C11">
            <w:pPr>
              <w:jc w:val="center"/>
              <w:rPr>
                <w:bCs/>
                <w:sz w:val="22"/>
                <w:szCs w:val="22"/>
                <w:lang w:eastAsia="en-US"/>
              </w:rPr>
            </w:pPr>
          </w:p>
        </w:tc>
        <w:tc>
          <w:tcPr>
            <w:tcW w:w="468" w:type="pct"/>
            <w:shd w:val="clear" w:color="auto" w:fill="auto"/>
            <w:vAlign w:val="center"/>
          </w:tcPr>
          <w:p w14:paraId="5282058F" w14:textId="77777777" w:rsidR="004A0123" w:rsidRPr="00B74691" w:rsidRDefault="004A0123" w:rsidP="008A5C11">
            <w:pPr>
              <w:jc w:val="center"/>
              <w:rPr>
                <w:bCs/>
                <w:sz w:val="22"/>
                <w:szCs w:val="22"/>
                <w:lang w:eastAsia="en-US"/>
              </w:rPr>
            </w:pPr>
            <w:r w:rsidRPr="00B74691">
              <w:rPr>
                <w:bCs/>
                <w:sz w:val="22"/>
                <w:szCs w:val="22"/>
                <w:lang w:eastAsia="en-US"/>
              </w:rPr>
              <w:t>-</w:t>
            </w:r>
          </w:p>
        </w:tc>
        <w:tc>
          <w:tcPr>
            <w:tcW w:w="425" w:type="pct"/>
            <w:shd w:val="clear" w:color="auto" w:fill="auto"/>
            <w:vAlign w:val="center"/>
          </w:tcPr>
          <w:p w14:paraId="611C0E4C" w14:textId="77777777" w:rsidR="004A0123" w:rsidRPr="00B74691" w:rsidRDefault="004A0123" w:rsidP="008A5C11">
            <w:pPr>
              <w:jc w:val="center"/>
              <w:rPr>
                <w:bCs/>
                <w:sz w:val="22"/>
                <w:szCs w:val="22"/>
                <w:lang w:eastAsia="en-US"/>
              </w:rPr>
            </w:pPr>
            <w:r w:rsidRPr="00B74691">
              <w:rPr>
                <w:bCs/>
                <w:sz w:val="22"/>
                <w:szCs w:val="22"/>
                <w:lang w:eastAsia="en-US"/>
              </w:rPr>
              <w:t>-</w:t>
            </w:r>
          </w:p>
        </w:tc>
      </w:tr>
      <w:tr w:rsidR="004A0123" w:rsidRPr="00B74691" w14:paraId="3BCEF6A4" w14:textId="77777777" w:rsidTr="00711052">
        <w:trPr>
          <w:jc w:val="center"/>
        </w:trPr>
        <w:tc>
          <w:tcPr>
            <w:tcW w:w="402" w:type="pct"/>
            <w:vAlign w:val="center"/>
          </w:tcPr>
          <w:p w14:paraId="75653CC8" w14:textId="77777777" w:rsidR="004A0123" w:rsidRPr="00B74691" w:rsidRDefault="004A0123" w:rsidP="008A5C11">
            <w:pPr>
              <w:jc w:val="center"/>
              <w:rPr>
                <w:bCs/>
                <w:sz w:val="22"/>
                <w:szCs w:val="22"/>
                <w:lang w:eastAsia="en-US"/>
              </w:rPr>
            </w:pPr>
            <w:r w:rsidRPr="00B74691">
              <w:rPr>
                <w:bCs/>
                <w:sz w:val="22"/>
                <w:szCs w:val="22"/>
                <w:lang w:eastAsia="en-US"/>
              </w:rPr>
              <w:t>1.2</w:t>
            </w:r>
          </w:p>
        </w:tc>
        <w:tc>
          <w:tcPr>
            <w:tcW w:w="1242" w:type="pct"/>
            <w:shd w:val="clear" w:color="auto" w:fill="auto"/>
            <w:vAlign w:val="center"/>
          </w:tcPr>
          <w:p w14:paraId="47D9AB28" w14:textId="77777777" w:rsidR="004A0123" w:rsidRPr="00B74691" w:rsidRDefault="004A0123" w:rsidP="008A5C11">
            <w:pPr>
              <w:jc w:val="center"/>
              <w:rPr>
                <w:color w:val="000000"/>
                <w:sz w:val="22"/>
                <w:szCs w:val="22"/>
                <w:lang w:eastAsia="en-US"/>
              </w:rPr>
            </w:pPr>
            <w:r w:rsidRPr="00B74691">
              <w:rPr>
                <w:color w:val="000000"/>
                <w:sz w:val="22"/>
                <w:szCs w:val="22"/>
                <w:lang w:eastAsia="en-US"/>
              </w:rPr>
              <w:t>Капитальный ремонт</w:t>
            </w:r>
          </w:p>
        </w:tc>
        <w:tc>
          <w:tcPr>
            <w:tcW w:w="640" w:type="pct"/>
            <w:shd w:val="clear" w:color="auto" w:fill="auto"/>
            <w:vAlign w:val="center"/>
          </w:tcPr>
          <w:p w14:paraId="048809F5" w14:textId="77777777" w:rsidR="004A0123" w:rsidRPr="00B74691" w:rsidRDefault="004A0123" w:rsidP="008A5C11">
            <w:pPr>
              <w:jc w:val="center"/>
              <w:rPr>
                <w:color w:val="000000"/>
                <w:sz w:val="22"/>
                <w:szCs w:val="22"/>
                <w:lang w:eastAsia="en-US"/>
              </w:rPr>
            </w:pPr>
            <w:r w:rsidRPr="00B74691">
              <w:rPr>
                <w:color w:val="000000"/>
                <w:sz w:val="22"/>
                <w:szCs w:val="22"/>
                <w:lang w:eastAsia="en-US"/>
              </w:rPr>
              <w:t>2022</w:t>
            </w:r>
          </w:p>
        </w:tc>
        <w:tc>
          <w:tcPr>
            <w:tcW w:w="893" w:type="pct"/>
            <w:gridSpan w:val="2"/>
            <w:shd w:val="clear" w:color="auto" w:fill="auto"/>
            <w:vAlign w:val="center"/>
          </w:tcPr>
          <w:p w14:paraId="71F2A91C" w14:textId="77777777" w:rsidR="004A0123" w:rsidRPr="00B74691" w:rsidRDefault="004A0123" w:rsidP="008A5C11">
            <w:pPr>
              <w:jc w:val="center"/>
              <w:rPr>
                <w:color w:val="000000"/>
                <w:sz w:val="22"/>
                <w:szCs w:val="22"/>
                <w:lang w:eastAsia="en-US"/>
              </w:rPr>
            </w:pPr>
            <w:r w:rsidRPr="00B74691">
              <w:rPr>
                <w:color w:val="000000"/>
                <w:sz w:val="22"/>
                <w:szCs w:val="22"/>
                <w:lang w:eastAsia="en-US"/>
              </w:rPr>
              <w:t>5 657,36</w:t>
            </w:r>
          </w:p>
        </w:tc>
        <w:tc>
          <w:tcPr>
            <w:tcW w:w="930" w:type="pct"/>
            <w:vMerge/>
            <w:shd w:val="clear" w:color="auto" w:fill="auto"/>
            <w:vAlign w:val="center"/>
          </w:tcPr>
          <w:p w14:paraId="054E7E5A" w14:textId="77777777" w:rsidR="004A0123" w:rsidRPr="00B74691" w:rsidRDefault="004A0123" w:rsidP="008A5C11">
            <w:pPr>
              <w:jc w:val="center"/>
              <w:rPr>
                <w:bCs/>
                <w:sz w:val="22"/>
                <w:szCs w:val="22"/>
                <w:lang w:eastAsia="en-US"/>
              </w:rPr>
            </w:pPr>
          </w:p>
        </w:tc>
        <w:tc>
          <w:tcPr>
            <w:tcW w:w="468" w:type="pct"/>
            <w:shd w:val="clear" w:color="auto" w:fill="auto"/>
            <w:vAlign w:val="center"/>
          </w:tcPr>
          <w:p w14:paraId="2F51FAD1" w14:textId="77777777" w:rsidR="004A0123" w:rsidRPr="00B74691" w:rsidRDefault="004A0123" w:rsidP="008A5C11">
            <w:pPr>
              <w:jc w:val="center"/>
              <w:rPr>
                <w:bCs/>
                <w:sz w:val="22"/>
                <w:szCs w:val="22"/>
                <w:lang w:eastAsia="en-US"/>
              </w:rPr>
            </w:pPr>
            <w:r w:rsidRPr="00B74691">
              <w:rPr>
                <w:bCs/>
                <w:sz w:val="22"/>
                <w:szCs w:val="22"/>
                <w:lang w:eastAsia="en-US"/>
              </w:rPr>
              <w:t>-</w:t>
            </w:r>
          </w:p>
        </w:tc>
        <w:tc>
          <w:tcPr>
            <w:tcW w:w="425" w:type="pct"/>
            <w:shd w:val="clear" w:color="auto" w:fill="auto"/>
            <w:vAlign w:val="center"/>
          </w:tcPr>
          <w:p w14:paraId="770FFFA3" w14:textId="77777777" w:rsidR="004A0123" w:rsidRPr="00B74691" w:rsidRDefault="004A0123" w:rsidP="008A5C11">
            <w:pPr>
              <w:jc w:val="center"/>
              <w:rPr>
                <w:bCs/>
                <w:sz w:val="22"/>
                <w:szCs w:val="22"/>
                <w:lang w:eastAsia="en-US"/>
              </w:rPr>
            </w:pPr>
            <w:r w:rsidRPr="00B74691">
              <w:rPr>
                <w:bCs/>
                <w:sz w:val="22"/>
                <w:szCs w:val="22"/>
                <w:lang w:eastAsia="en-US"/>
              </w:rPr>
              <w:t>-</w:t>
            </w:r>
          </w:p>
        </w:tc>
      </w:tr>
      <w:tr w:rsidR="004A0123" w:rsidRPr="00B74691" w14:paraId="798C4242" w14:textId="77777777" w:rsidTr="00711052">
        <w:trPr>
          <w:jc w:val="center"/>
        </w:trPr>
        <w:tc>
          <w:tcPr>
            <w:tcW w:w="402" w:type="pct"/>
            <w:vAlign w:val="center"/>
          </w:tcPr>
          <w:p w14:paraId="0DD8D71C" w14:textId="77777777" w:rsidR="004A0123" w:rsidRPr="00B74691" w:rsidRDefault="004A0123" w:rsidP="008A5C11">
            <w:pPr>
              <w:jc w:val="center"/>
              <w:rPr>
                <w:bCs/>
                <w:sz w:val="22"/>
                <w:szCs w:val="22"/>
                <w:lang w:eastAsia="en-US"/>
              </w:rPr>
            </w:pPr>
            <w:r w:rsidRPr="00B74691">
              <w:rPr>
                <w:bCs/>
                <w:sz w:val="22"/>
                <w:szCs w:val="22"/>
                <w:lang w:eastAsia="en-US"/>
              </w:rPr>
              <w:t>1.3</w:t>
            </w:r>
          </w:p>
        </w:tc>
        <w:tc>
          <w:tcPr>
            <w:tcW w:w="1242" w:type="pct"/>
            <w:shd w:val="clear" w:color="auto" w:fill="auto"/>
            <w:vAlign w:val="center"/>
          </w:tcPr>
          <w:p w14:paraId="52C1055E" w14:textId="77777777" w:rsidR="004A0123" w:rsidRPr="00B74691" w:rsidRDefault="004A0123" w:rsidP="008A5C11">
            <w:pPr>
              <w:jc w:val="center"/>
              <w:rPr>
                <w:color w:val="000000"/>
                <w:sz w:val="22"/>
                <w:szCs w:val="22"/>
                <w:lang w:eastAsia="en-US"/>
              </w:rPr>
            </w:pPr>
            <w:r w:rsidRPr="00B74691">
              <w:rPr>
                <w:color w:val="000000"/>
                <w:sz w:val="22"/>
                <w:szCs w:val="22"/>
                <w:lang w:eastAsia="en-US"/>
              </w:rPr>
              <w:t>Капитальный ремонт</w:t>
            </w:r>
          </w:p>
        </w:tc>
        <w:tc>
          <w:tcPr>
            <w:tcW w:w="640" w:type="pct"/>
            <w:shd w:val="clear" w:color="auto" w:fill="auto"/>
            <w:vAlign w:val="center"/>
          </w:tcPr>
          <w:p w14:paraId="51F7C9D4" w14:textId="77777777" w:rsidR="004A0123" w:rsidRPr="00B74691" w:rsidRDefault="004A0123" w:rsidP="008A5C11">
            <w:pPr>
              <w:jc w:val="center"/>
              <w:rPr>
                <w:color w:val="000000"/>
                <w:sz w:val="22"/>
                <w:szCs w:val="22"/>
                <w:lang w:eastAsia="en-US"/>
              </w:rPr>
            </w:pPr>
            <w:r w:rsidRPr="00B74691">
              <w:rPr>
                <w:color w:val="000000"/>
                <w:sz w:val="22"/>
                <w:szCs w:val="22"/>
                <w:lang w:eastAsia="en-US"/>
              </w:rPr>
              <w:t>2023</w:t>
            </w:r>
          </w:p>
        </w:tc>
        <w:tc>
          <w:tcPr>
            <w:tcW w:w="893" w:type="pct"/>
            <w:gridSpan w:val="2"/>
            <w:shd w:val="clear" w:color="auto" w:fill="auto"/>
            <w:vAlign w:val="center"/>
          </w:tcPr>
          <w:p w14:paraId="2A06AC53" w14:textId="77777777" w:rsidR="004A0123" w:rsidRPr="00B74691" w:rsidRDefault="004A0123" w:rsidP="008A5C11">
            <w:pPr>
              <w:jc w:val="center"/>
              <w:rPr>
                <w:color w:val="000000"/>
                <w:sz w:val="22"/>
                <w:szCs w:val="22"/>
                <w:lang w:eastAsia="en-US"/>
              </w:rPr>
            </w:pPr>
            <w:r w:rsidRPr="00B74691">
              <w:rPr>
                <w:color w:val="000000"/>
                <w:sz w:val="22"/>
                <w:szCs w:val="22"/>
                <w:lang w:eastAsia="en-US"/>
              </w:rPr>
              <w:t>5 824,81</w:t>
            </w:r>
          </w:p>
        </w:tc>
        <w:tc>
          <w:tcPr>
            <w:tcW w:w="930" w:type="pct"/>
            <w:vMerge/>
            <w:shd w:val="clear" w:color="auto" w:fill="auto"/>
            <w:vAlign w:val="center"/>
          </w:tcPr>
          <w:p w14:paraId="5D0DAB9D" w14:textId="77777777" w:rsidR="004A0123" w:rsidRPr="00B74691" w:rsidRDefault="004A0123" w:rsidP="008A5C11">
            <w:pPr>
              <w:jc w:val="center"/>
              <w:rPr>
                <w:bCs/>
                <w:sz w:val="22"/>
                <w:szCs w:val="22"/>
                <w:lang w:eastAsia="en-US"/>
              </w:rPr>
            </w:pPr>
          </w:p>
        </w:tc>
        <w:tc>
          <w:tcPr>
            <w:tcW w:w="468" w:type="pct"/>
            <w:shd w:val="clear" w:color="auto" w:fill="auto"/>
            <w:vAlign w:val="center"/>
          </w:tcPr>
          <w:p w14:paraId="707DA077" w14:textId="77777777" w:rsidR="004A0123" w:rsidRPr="00B74691" w:rsidRDefault="004A0123" w:rsidP="008A5C11">
            <w:pPr>
              <w:jc w:val="center"/>
              <w:rPr>
                <w:bCs/>
                <w:sz w:val="22"/>
                <w:szCs w:val="22"/>
                <w:lang w:eastAsia="en-US"/>
              </w:rPr>
            </w:pPr>
            <w:r w:rsidRPr="00B74691">
              <w:rPr>
                <w:bCs/>
                <w:sz w:val="22"/>
                <w:szCs w:val="22"/>
                <w:lang w:eastAsia="en-US"/>
              </w:rPr>
              <w:t>-</w:t>
            </w:r>
          </w:p>
        </w:tc>
        <w:tc>
          <w:tcPr>
            <w:tcW w:w="425" w:type="pct"/>
            <w:shd w:val="clear" w:color="auto" w:fill="auto"/>
            <w:vAlign w:val="center"/>
          </w:tcPr>
          <w:p w14:paraId="1E81EDCB" w14:textId="77777777" w:rsidR="004A0123" w:rsidRPr="00B74691" w:rsidRDefault="004A0123" w:rsidP="008A5C11">
            <w:pPr>
              <w:jc w:val="center"/>
              <w:rPr>
                <w:bCs/>
                <w:sz w:val="22"/>
                <w:szCs w:val="22"/>
                <w:lang w:eastAsia="en-US"/>
              </w:rPr>
            </w:pPr>
            <w:r w:rsidRPr="00B74691">
              <w:rPr>
                <w:bCs/>
                <w:sz w:val="22"/>
                <w:szCs w:val="22"/>
                <w:lang w:eastAsia="en-US"/>
              </w:rPr>
              <w:t>-</w:t>
            </w:r>
          </w:p>
        </w:tc>
      </w:tr>
      <w:tr w:rsidR="004A0123" w:rsidRPr="00B74691" w14:paraId="6567D162" w14:textId="77777777" w:rsidTr="00711052">
        <w:trPr>
          <w:jc w:val="center"/>
        </w:trPr>
        <w:tc>
          <w:tcPr>
            <w:tcW w:w="402" w:type="pct"/>
            <w:vAlign w:val="center"/>
          </w:tcPr>
          <w:p w14:paraId="14D6E30D" w14:textId="77777777" w:rsidR="004A0123" w:rsidRPr="00B74691" w:rsidRDefault="004A0123" w:rsidP="008A5C11">
            <w:pPr>
              <w:jc w:val="center"/>
              <w:rPr>
                <w:bCs/>
                <w:sz w:val="22"/>
                <w:szCs w:val="22"/>
                <w:lang w:eastAsia="en-US"/>
              </w:rPr>
            </w:pPr>
            <w:r w:rsidRPr="00B74691">
              <w:rPr>
                <w:bCs/>
                <w:sz w:val="22"/>
                <w:szCs w:val="22"/>
                <w:lang w:eastAsia="en-US"/>
              </w:rPr>
              <w:t>1.4</w:t>
            </w:r>
          </w:p>
        </w:tc>
        <w:tc>
          <w:tcPr>
            <w:tcW w:w="1242" w:type="pct"/>
            <w:shd w:val="clear" w:color="auto" w:fill="auto"/>
            <w:vAlign w:val="center"/>
          </w:tcPr>
          <w:p w14:paraId="12D133FB" w14:textId="77777777" w:rsidR="004A0123" w:rsidRPr="00B74691" w:rsidRDefault="004A0123" w:rsidP="008A5C11">
            <w:pPr>
              <w:jc w:val="center"/>
              <w:rPr>
                <w:color w:val="000000"/>
                <w:sz w:val="22"/>
                <w:szCs w:val="22"/>
                <w:lang w:eastAsia="en-US"/>
              </w:rPr>
            </w:pPr>
            <w:r w:rsidRPr="00B74691">
              <w:rPr>
                <w:color w:val="000000"/>
                <w:sz w:val="22"/>
                <w:szCs w:val="22"/>
                <w:lang w:eastAsia="en-US"/>
              </w:rPr>
              <w:t>Капитальный ремонт</w:t>
            </w:r>
          </w:p>
        </w:tc>
        <w:tc>
          <w:tcPr>
            <w:tcW w:w="640" w:type="pct"/>
            <w:shd w:val="clear" w:color="auto" w:fill="auto"/>
            <w:vAlign w:val="center"/>
          </w:tcPr>
          <w:p w14:paraId="7EC3D7E1" w14:textId="77777777" w:rsidR="004A0123" w:rsidRPr="00B74691" w:rsidRDefault="004A0123" w:rsidP="008A5C11">
            <w:pPr>
              <w:jc w:val="center"/>
              <w:rPr>
                <w:color w:val="000000"/>
                <w:sz w:val="22"/>
                <w:szCs w:val="22"/>
                <w:lang w:eastAsia="en-US"/>
              </w:rPr>
            </w:pPr>
            <w:r w:rsidRPr="00B74691">
              <w:rPr>
                <w:color w:val="000000"/>
                <w:sz w:val="22"/>
                <w:szCs w:val="22"/>
                <w:lang w:eastAsia="en-US"/>
              </w:rPr>
              <w:t>2024</w:t>
            </w:r>
          </w:p>
        </w:tc>
        <w:tc>
          <w:tcPr>
            <w:tcW w:w="893" w:type="pct"/>
            <w:gridSpan w:val="2"/>
            <w:shd w:val="clear" w:color="auto" w:fill="auto"/>
            <w:vAlign w:val="center"/>
          </w:tcPr>
          <w:p w14:paraId="3A3DDFAE" w14:textId="77777777" w:rsidR="004A0123" w:rsidRPr="00B74691" w:rsidRDefault="004A0123" w:rsidP="008A5C11">
            <w:pPr>
              <w:jc w:val="center"/>
              <w:rPr>
                <w:color w:val="000000"/>
                <w:sz w:val="22"/>
                <w:szCs w:val="22"/>
                <w:lang w:eastAsia="en-US"/>
              </w:rPr>
            </w:pPr>
            <w:r w:rsidRPr="00B74691">
              <w:rPr>
                <w:color w:val="000000"/>
                <w:sz w:val="22"/>
                <w:szCs w:val="22"/>
                <w:lang w:eastAsia="en-US"/>
              </w:rPr>
              <w:t>5 997,23</w:t>
            </w:r>
          </w:p>
        </w:tc>
        <w:tc>
          <w:tcPr>
            <w:tcW w:w="930" w:type="pct"/>
            <w:vMerge/>
            <w:shd w:val="clear" w:color="auto" w:fill="auto"/>
            <w:vAlign w:val="center"/>
          </w:tcPr>
          <w:p w14:paraId="72BAE34F" w14:textId="77777777" w:rsidR="004A0123" w:rsidRPr="00B74691" w:rsidRDefault="004A0123" w:rsidP="008A5C11">
            <w:pPr>
              <w:jc w:val="center"/>
              <w:rPr>
                <w:bCs/>
                <w:sz w:val="22"/>
                <w:szCs w:val="22"/>
                <w:lang w:eastAsia="en-US"/>
              </w:rPr>
            </w:pPr>
          </w:p>
        </w:tc>
        <w:tc>
          <w:tcPr>
            <w:tcW w:w="468" w:type="pct"/>
            <w:shd w:val="clear" w:color="auto" w:fill="auto"/>
            <w:vAlign w:val="center"/>
          </w:tcPr>
          <w:p w14:paraId="06AF4A62" w14:textId="77777777" w:rsidR="004A0123" w:rsidRPr="00B74691" w:rsidRDefault="004A0123" w:rsidP="008A5C11">
            <w:pPr>
              <w:jc w:val="center"/>
              <w:rPr>
                <w:bCs/>
                <w:sz w:val="22"/>
                <w:szCs w:val="22"/>
                <w:lang w:eastAsia="en-US"/>
              </w:rPr>
            </w:pPr>
          </w:p>
        </w:tc>
        <w:tc>
          <w:tcPr>
            <w:tcW w:w="425" w:type="pct"/>
            <w:shd w:val="clear" w:color="auto" w:fill="auto"/>
            <w:vAlign w:val="center"/>
          </w:tcPr>
          <w:p w14:paraId="0DC54EAC" w14:textId="77777777" w:rsidR="004A0123" w:rsidRPr="00B74691" w:rsidRDefault="004A0123" w:rsidP="008A5C11">
            <w:pPr>
              <w:jc w:val="center"/>
              <w:rPr>
                <w:bCs/>
                <w:sz w:val="22"/>
                <w:szCs w:val="22"/>
                <w:lang w:eastAsia="en-US"/>
              </w:rPr>
            </w:pPr>
          </w:p>
        </w:tc>
      </w:tr>
      <w:tr w:rsidR="004A0123" w:rsidRPr="00B74691" w14:paraId="31372C4C" w14:textId="77777777" w:rsidTr="00711052">
        <w:trPr>
          <w:jc w:val="center"/>
        </w:trPr>
        <w:tc>
          <w:tcPr>
            <w:tcW w:w="402" w:type="pct"/>
            <w:vAlign w:val="center"/>
          </w:tcPr>
          <w:p w14:paraId="5AD87F95" w14:textId="77777777" w:rsidR="004A0123" w:rsidRPr="00B74691" w:rsidRDefault="004A0123" w:rsidP="008A5C11">
            <w:pPr>
              <w:jc w:val="center"/>
              <w:rPr>
                <w:bCs/>
                <w:sz w:val="22"/>
                <w:szCs w:val="22"/>
                <w:lang w:eastAsia="en-US"/>
              </w:rPr>
            </w:pPr>
            <w:r w:rsidRPr="00B74691">
              <w:rPr>
                <w:bCs/>
                <w:sz w:val="22"/>
                <w:szCs w:val="22"/>
                <w:lang w:eastAsia="en-US"/>
              </w:rPr>
              <w:t>1.5</w:t>
            </w:r>
          </w:p>
        </w:tc>
        <w:tc>
          <w:tcPr>
            <w:tcW w:w="1242" w:type="pct"/>
            <w:shd w:val="clear" w:color="auto" w:fill="auto"/>
            <w:vAlign w:val="center"/>
          </w:tcPr>
          <w:p w14:paraId="3EA34EF2" w14:textId="77777777" w:rsidR="004A0123" w:rsidRPr="00B74691" w:rsidRDefault="004A0123" w:rsidP="008A5C11">
            <w:pPr>
              <w:jc w:val="center"/>
              <w:rPr>
                <w:color w:val="000000"/>
                <w:sz w:val="22"/>
                <w:szCs w:val="22"/>
                <w:lang w:eastAsia="en-US"/>
              </w:rPr>
            </w:pPr>
            <w:r w:rsidRPr="00B74691">
              <w:rPr>
                <w:color w:val="000000"/>
                <w:sz w:val="22"/>
                <w:szCs w:val="22"/>
                <w:lang w:eastAsia="en-US"/>
              </w:rPr>
              <w:t>Капитальный ремонт</w:t>
            </w:r>
          </w:p>
        </w:tc>
        <w:tc>
          <w:tcPr>
            <w:tcW w:w="640" w:type="pct"/>
            <w:shd w:val="clear" w:color="auto" w:fill="auto"/>
            <w:vAlign w:val="center"/>
          </w:tcPr>
          <w:p w14:paraId="1A186F43" w14:textId="77777777" w:rsidR="004A0123" w:rsidRPr="00B74691" w:rsidRDefault="004A0123" w:rsidP="008A5C11">
            <w:pPr>
              <w:jc w:val="center"/>
              <w:rPr>
                <w:color w:val="000000"/>
                <w:sz w:val="22"/>
                <w:szCs w:val="22"/>
                <w:lang w:eastAsia="en-US"/>
              </w:rPr>
            </w:pPr>
            <w:r w:rsidRPr="00B74691">
              <w:rPr>
                <w:color w:val="000000"/>
                <w:sz w:val="22"/>
                <w:szCs w:val="22"/>
                <w:lang w:eastAsia="en-US"/>
              </w:rPr>
              <w:t>2025</w:t>
            </w:r>
          </w:p>
        </w:tc>
        <w:tc>
          <w:tcPr>
            <w:tcW w:w="893" w:type="pct"/>
            <w:gridSpan w:val="2"/>
            <w:shd w:val="clear" w:color="auto" w:fill="auto"/>
            <w:vAlign w:val="center"/>
          </w:tcPr>
          <w:p w14:paraId="36710C8C" w14:textId="77777777" w:rsidR="004A0123" w:rsidRPr="00B74691" w:rsidRDefault="004A0123" w:rsidP="008A5C11">
            <w:pPr>
              <w:jc w:val="center"/>
              <w:rPr>
                <w:color w:val="000000"/>
                <w:sz w:val="22"/>
                <w:szCs w:val="22"/>
                <w:lang w:eastAsia="en-US"/>
              </w:rPr>
            </w:pPr>
            <w:r w:rsidRPr="00B74691">
              <w:rPr>
                <w:color w:val="000000"/>
                <w:sz w:val="22"/>
                <w:szCs w:val="22"/>
                <w:lang w:eastAsia="en-US"/>
              </w:rPr>
              <w:t>6 174,75</w:t>
            </w:r>
          </w:p>
        </w:tc>
        <w:tc>
          <w:tcPr>
            <w:tcW w:w="930" w:type="pct"/>
            <w:vMerge/>
            <w:shd w:val="clear" w:color="auto" w:fill="auto"/>
            <w:vAlign w:val="center"/>
          </w:tcPr>
          <w:p w14:paraId="29FB1AF9" w14:textId="77777777" w:rsidR="004A0123" w:rsidRPr="00B74691" w:rsidRDefault="004A0123" w:rsidP="008A5C11">
            <w:pPr>
              <w:jc w:val="center"/>
              <w:rPr>
                <w:bCs/>
                <w:sz w:val="22"/>
                <w:szCs w:val="22"/>
                <w:lang w:eastAsia="en-US"/>
              </w:rPr>
            </w:pPr>
          </w:p>
        </w:tc>
        <w:tc>
          <w:tcPr>
            <w:tcW w:w="468" w:type="pct"/>
            <w:shd w:val="clear" w:color="auto" w:fill="auto"/>
            <w:vAlign w:val="center"/>
          </w:tcPr>
          <w:p w14:paraId="21467A35" w14:textId="77777777" w:rsidR="004A0123" w:rsidRPr="00B74691" w:rsidRDefault="004A0123" w:rsidP="008A5C11">
            <w:pPr>
              <w:jc w:val="center"/>
              <w:rPr>
                <w:bCs/>
                <w:sz w:val="22"/>
                <w:szCs w:val="22"/>
                <w:lang w:eastAsia="en-US"/>
              </w:rPr>
            </w:pPr>
          </w:p>
        </w:tc>
        <w:tc>
          <w:tcPr>
            <w:tcW w:w="425" w:type="pct"/>
            <w:shd w:val="clear" w:color="auto" w:fill="auto"/>
            <w:vAlign w:val="center"/>
          </w:tcPr>
          <w:p w14:paraId="27CAFC20" w14:textId="77777777" w:rsidR="004A0123" w:rsidRPr="00B74691" w:rsidRDefault="004A0123" w:rsidP="008A5C11">
            <w:pPr>
              <w:jc w:val="center"/>
              <w:rPr>
                <w:bCs/>
                <w:sz w:val="22"/>
                <w:szCs w:val="22"/>
                <w:lang w:eastAsia="en-US"/>
              </w:rPr>
            </w:pPr>
          </w:p>
        </w:tc>
      </w:tr>
      <w:tr w:rsidR="004A0123" w:rsidRPr="00B74691" w14:paraId="4C508564" w14:textId="77777777" w:rsidTr="00711052">
        <w:trPr>
          <w:jc w:val="center"/>
        </w:trPr>
        <w:tc>
          <w:tcPr>
            <w:tcW w:w="2287" w:type="pct"/>
            <w:gridSpan w:val="4"/>
            <w:vAlign w:val="center"/>
          </w:tcPr>
          <w:p w14:paraId="2CAB1CD4" w14:textId="77777777" w:rsidR="004A0123" w:rsidRPr="00B74691" w:rsidRDefault="004A0123" w:rsidP="008A5C11">
            <w:pPr>
              <w:jc w:val="center"/>
              <w:rPr>
                <w:bCs/>
                <w:sz w:val="22"/>
                <w:szCs w:val="22"/>
                <w:lang w:eastAsia="en-US"/>
              </w:rPr>
            </w:pPr>
            <w:r w:rsidRPr="00B74691">
              <w:rPr>
                <w:bCs/>
                <w:sz w:val="22"/>
                <w:szCs w:val="22"/>
                <w:lang w:eastAsia="en-US"/>
              </w:rPr>
              <w:t>Итого</w:t>
            </w:r>
          </w:p>
        </w:tc>
        <w:tc>
          <w:tcPr>
            <w:tcW w:w="890" w:type="pct"/>
            <w:shd w:val="clear" w:color="auto" w:fill="auto"/>
            <w:vAlign w:val="center"/>
          </w:tcPr>
          <w:p w14:paraId="3B7DB3DA" w14:textId="77777777" w:rsidR="004A0123" w:rsidRPr="00B74691" w:rsidRDefault="004A0123" w:rsidP="008A5C11">
            <w:pPr>
              <w:jc w:val="center"/>
              <w:rPr>
                <w:color w:val="000000"/>
                <w:sz w:val="22"/>
                <w:szCs w:val="22"/>
                <w:lang w:eastAsia="en-US"/>
              </w:rPr>
            </w:pPr>
            <w:r w:rsidRPr="00B74691">
              <w:rPr>
                <w:color w:val="000000"/>
                <w:sz w:val="22"/>
                <w:szCs w:val="22"/>
                <w:lang w:eastAsia="en-US"/>
              </w:rPr>
              <w:t>63 662,56</w:t>
            </w:r>
          </w:p>
        </w:tc>
        <w:tc>
          <w:tcPr>
            <w:tcW w:w="1823" w:type="pct"/>
            <w:gridSpan w:val="3"/>
            <w:shd w:val="clear" w:color="auto" w:fill="auto"/>
            <w:vAlign w:val="center"/>
          </w:tcPr>
          <w:p w14:paraId="60698CEF" w14:textId="77777777" w:rsidR="004A0123" w:rsidRPr="00B74691" w:rsidRDefault="004A0123" w:rsidP="008A5C11">
            <w:pPr>
              <w:jc w:val="center"/>
              <w:rPr>
                <w:bCs/>
                <w:sz w:val="22"/>
                <w:szCs w:val="22"/>
                <w:lang w:eastAsia="en-US"/>
              </w:rPr>
            </w:pPr>
            <w:r w:rsidRPr="00B74691">
              <w:rPr>
                <w:bCs/>
                <w:sz w:val="22"/>
                <w:szCs w:val="22"/>
                <w:lang w:eastAsia="en-US"/>
              </w:rPr>
              <w:t>-</w:t>
            </w:r>
          </w:p>
        </w:tc>
      </w:tr>
      <w:tr w:rsidR="004A0123" w:rsidRPr="00B74691" w14:paraId="2CA2C236" w14:textId="77777777" w:rsidTr="00711052">
        <w:trPr>
          <w:jc w:val="center"/>
        </w:trPr>
        <w:tc>
          <w:tcPr>
            <w:tcW w:w="5000" w:type="pct"/>
            <w:gridSpan w:val="8"/>
            <w:vAlign w:val="center"/>
          </w:tcPr>
          <w:p w14:paraId="481A1BA1" w14:textId="77777777" w:rsidR="004A0123" w:rsidRPr="00B74691" w:rsidRDefault="004A0123" w:rsidP="004A0123">
            <w:pPr>
              <w:numPr>
                <w:ilvl w:val="0"/>
                <w:numId w:val="40"/>
              </w:numPr>
              <w:contextualSpacing/>
              <w:jc w:val="center"/>
              <w:rPr>
                <w:bCs/>
                <w:sz w:val="22"/>
                <w:szCs w:val="22"/>
                <w:lang w:eastAsia="en-US"/>
              </w:rPr>
            </w:pPr>
            <w:r w:rsidRPr="00B74691">
              <w:rPr>
                <w:sz w:val="22"/>
                <w:szCs w:val="22"/>
                <w:lang w:eastAsia="en-US"/>
              </w:rPr>
              <w:t xml:space="preserve">Водоотведение </w:t>
            </w:r>
          </w:p>
        </w:tc>
      </w:tr>
      <w:tr w:rsidR="004A0123" w:rsidRPr="00B74691" w14:paraId="117258A5" w14:textId="77777777" w:rsidTr="00711052">
        <w:trPr>
          <w:trHeight w:val="645"/>
          <w:jc w:val="center"/>
        </w:trPr>
        <w:tc>
          <w:tcPr>
            <w:tcW w:w="402" w:type="pct"/>
            <w:vAlign w:val="center"/>
          </w:tcPr>
          <w:p w14:paraId="7B015978" w14:textId="77777777" w:rsidR="004A0123" w:rsidRPr="00B74691" w:rsidRDefault="004A0123" w:rsidP="008A5C11">
            <w:pPr>
              <w:jc w:val="center"/>
              <w:rPr>
                <w:bCs/>
                <w:sz w:val="22"/>
                <w:szCs w:val="22"/>
                <w:lang w:eastAsia="en-US"/>
              </w:rPr>
            </w:pPr>
            <w:r w:rsidRPr="00B74691">
              <w:rPr>
                <w:bCs/>
                <w:sz w:val="22"/>
                <w:szCs w:val="22"/>
                <w:lang w:eastAsia="en-US"/>
              </w:rPr>
              <w:t>2.1</w:t>
            </w:r>
          </w:p>
        </w:tc>
        <w:tc>
          <w:tcPr>
            <w:tcW w:w="1242" w:type="pct"/>
            <w:shd w:val="clear" w:color="auto" w:fill="auto"/>
            <w:vAlign w:val="center"/>
          </w:tcPr>
          <w:p w14:paraId="7DD25836" w14:textId="77777777" w:rsidR="004A0123" w:rsidRPr="00B74691" w:rsidRDefault="004A0123" w:rsidP="008A5C11">
            <w:pPr>
              <w:jc w:val="center"/>
              <w:rPr>
                <w:bCs/>
                <w:sz w:val="22"/>
                <w:szCs w:val="22"/>
                <w:lang w:eastAsia="en-US"/>
              </w:rPr>
            </w:pPr>
            <w:r w:rsidRPr="00B74691">
              <w:rPr>
                <w:bCs/>
                <w:sz w:val="22"/>
                <w:szCs w:val="22"/>
                <w:lang w:eastAsia="en-US"/>
              </w:rPr>
              <w:t xml:space="preserve">Капитальный ремонт </w:t>
            </w:r>
          </w:p>
        </w:tc>
        <w:tc>
          <w:tcPr>
            <w:tcW w:w="640" w:type="pct"/>
            <w:shd w:val="clear" w:color="auto" w:fill="auto"/>
            <w:vAlign w:val="center"/>
          </w:tcPr>
          <w:p w14:paraId="098F0722" w14:textId="77777777" w:rsidR="004A0123" w:rsidRPr="00B74691" w:rsidRDefault="004A0123" w:rsidP="008A5C11">
            <w:pPr>
              <w:jc w:val="center"/>
              <w:rPr>
                <w:bCs/>
                <w:sz w:val="22"/>
                <w:szCs w:val="22"/>
                <w:lang w:eastAsia="en-US"/>
              </w:rPr>
            </w:pPr>
            <w:r w:rsidRPr="00B74691">
              <w:rPr>
                <w:bCs/>
                <w:sz w:val="22"/>
                <w:szCs w:val="22"/>
                <w:lang w:eastAsia="en-US"/>
              </w:rPr>
              <w:t>2021</w:t>
            </w:r>
          </w:p>
        </w:tc>
        <w:tc>
          <w:tcPr>
            <w:tcW w:w="893" w:type="pct"/>
            <w:gridSpan w:val="2"/>
            <w:shd w:val="clear" w:color="auto" w:fill="auto"/>
          </w:tcPr>
          <w:p w14:paraId="4F114C09" w14:textId="77777777" w:rsidR="004A0123" w:rsidRPr="00B74691" w:rsidRDefault="004A0123" w:rsidP="008A5C11">
            <w:pPr>
              <w:jc w:val="center"/>
              <w:rPr>
                <w:lang w:eastAsia="en-US"/>
              </w:rPr>
            </w:pPr>
            <w:r w:rsidRPr="00B74691">
              <w:rPr>
                <w:lang w:eastAsia="en-US"/>
              </w:rPr>
              <w:t>34 443,45</w:t>
            </w:r>
          </w:p>
        </w:tc>
        <w:tc>
          <w:tcPr>
            <w:tcW w:w="930" w:type="pct"/>
            <w:vMerge w:val="restart"/>
            <w:shd w:val="clear" w:color="auto" w:fill="auto"/>
            <w:vAlign w:val="center"/>
          </w:tcPr>
          <w:p w14:paraId="659EE74F" w14:textId="77777777" w:rsidR="004A0123" w:rsidRPr="00B74691" w:rsidRDefault="004A0123" w:rsidP="008A5C11">
            <w:pPr>
              <w:jc w:val="center"/>
              <w:rPr>
                <w:bCs/>
                <w:sz w:val="22"/>
                <w:szCs w:val="22"/>
                <w:lang w:eastAsia="en-US"/>
              </w:rPr>
            </w:pPr>
            <w:r w:rsidRPr="00B74691">
              <w:rPr>
                <w:sz w:val="18"/>
                <w:szCs w:val="18"/>
                <w:lang w:eastAsia="en-US"/>
              </w:rPr>
              <w:t>Восстановление технических характеристик трубопроводов в соответствии с правилами эксплуатации, в целях снижения аварийности на сетях.</w:t>
            </w:r>
          </w:p>
        </w:tc>
        <w:tc>
          <w:tcPr>
            <w:tcW w:w="468" w:type="pct"/>
            <w:shd w:val="clear" w:color="auto" w:fill="auto"/>
            <w:vAlign w:val="center"/>
          </w:tcPr>
          <w:p w14:paraId="1C1CAD13" w14:textId="77777777" w:rsidR="004A0123" w:rsidRPr="00B74691" w:rsidRDefault="004A0123" w:rsidP="008A5C11">
            <w:pPr>
              <w:jc w:val="center"/>
              <w:rPr>
                <w:sz w:val="22"/>
                <w:szCs w:val="22"/>
                <w:lang w:eastAsia="en-US"/>
              </w:rPr>
            </w:pPr>
            <w:r w:rsidRPr="00B74691">
              <w:rPr>
                <w:bCs/>
                <w:sz w:val="22"/>
                <w:szCs w:val="22"/>
                <w:lang w:eastAsia="en-US"/>
              </w:rPr>
              <w:t>-</w:t>
            </w:r>
          </w:p>
        </w:tc>
        <w:tc>
          <w:tcPr>
            <w:tcW w:w="425" w:type="pct"/>
            <w:shd w:val="clear" w:color="auto" w:fill="auto"/>
            <w:vAlign w:val="center"/>
          </w:tcPr>
          <w:p w14:paraId="1328708C" w14:textId="77777777" w:rsidR="004A0123" w:rsidRPr="00B74691" w:rsidRDefault="004A0123" w:rsidP="008A5C11">
            <w:pPr>
              <w:jc w:val="center"/>
              <w:rPr>
                <w:sz w:val="22"/>
                <w:szCs w:val="22"/>
                <w:lang w:eastAsia="en-US"/>
              </w:rPr>
            </w:pPr>
            <w:r w:rsidRPr="00B74691">
              <w:rPr>
                <w:bCs/>
                <w:sz w:val="22"/>
                <w:szCs w:val="22"/>
                <w:lang w:eastAsia="en-US"/>
              </w:rPr>
              <w:t>-</w:t>
            </w:r>
          </w:p>
        </w:tc>
      </w:tr>
      <w:tr w:rsidR="004A0123" w:rsidRPr="00B74691" w14:paraId="3D722387" w14:textId="77777777" w:rsidTr="00711052">
        <w:trPr>
          <w:trHeight w:val="645"/>
          <w:jc w:val="center"/>
        </w:trPr>
        <w:tc>
          <w:tcPr>
            <w:tcW w:w="402" w:type="pct"/>
            <w:vAlign w:val="center"/>
          </w:tcPr>
          <w:p w14:paraId="6ABF64BE" w14:textId="77777777" w:rsidR="004A0123" w:rsidRPr="00B74691" w:rsidRDefault="004A0123" w:rsidP="008A5C11">
            <w:pPr>
              <w:jc w:val="center"/>
              <w:rPr>
                <w:bCs/>
                <w:sz w:val="22"/>
                <w:szCs w:val="22"/>
                <w:lang w:eastAsia="en-US"/>
              </w:rPr>
            </w:pPr>
            <w:r w:rsidRPr="00B74691">
              <w:rPr>
                <w:bCs/>
                <w:sz w:val="22"/>
                <w:szCs w:val="22"/>
                <w:lang w:eastAsia="en-US"/>
              </w:rPr>
              <w:t>2.1.1</w:t>
            </w:r>
          </w:p>
        </w:tc>
        <w:tc>
          <w:tcPr>
            <w:tcW w:w="1242" w:type="pct"/>
            <w:shd w:val="clear" w:color="auto" w:fill="auto"/>
            <w:vAlign w:val="center"/>
          </w:tcPr>
          <w:p w14:paraId="4B88ACB5" w14:textId="77777777" w:rsidR="004A0123" w:rsidRPr="00B74691" w:rsidRDefault="004A0123" w:rsidP="008A5C11">
            <w:pPr>
              <w:jc w:val="center"/>
              <w:rPr>
                <w:bCs/>
                <w:sz w:val="22"/>
                <w:szCs w:val="22"/>
                <w:lang w:eastAsia="en-US"/>
              </w:rPr>
            </w:pPr>
            <w:r w:rsidRPr="00B74691">
              <w:rPr>
                <w:bCs/>
                <w:sz w:val="22"/>
                <w:szCs w:val="22"/>
                <w:lang w:eastAsia="en-US"/>
              </w:rPr>
              <w:t>Капитальный ремонт объектов водоотведения</w:t>
            </w:r>
          </w:p>
        </w:tc>
        <w:tc>
          <w:tcPr>
            <w:tcW w:w="640" w:type="pct"/>
            <w:shd w:val="clear" w:color="auto" w:fill="auto"/>
            <w:vAlign w:val="center"/>
          </w:tcPr>
          <w:p w14:paraId="555673DE" w14:textId="77777777" w:rsidR="004A0123" w:rsidRPr="00B74691" w:rsidRDefault="004A0123" w:rsidP="008A5C11">
            <w:pPr>
              <w:jc w:val="center"/>
              <w:rPr>
                <w:bCs/>
                <w:sz w:val="22"/>
                <w:szCs w:val="22"/>
                <w:lang w:eastAsia="en-US"/>
              </w:rPr>
            </w:pPr>
            <w:r w:rsidRPr="00B74691">
              <w:rPr>
                <w:bCs/>
                <w:sz w:val="22"/>
                <w:szCs w:val="22"/>
                <w:lang w:eastAsia="en-US"/>
              </w:rPr>
              <w:t>2021</w:t>
            </w:r>
          </w:p>
        </w:tc>
        <w:tc>
          <w:tcPr>
            <w:tcW w:w="893" w:type="pct"/>
            <w:gridSpan w:val="2"/>
            <w:shd w:val="clear" w:color="auto" w:fill="auto"/>
          </w:tcPr>
          <w:p w14:paraId="70A7FCDD" w14:textId="77777777" w:rsidR="004A0123" w:rsidRPr="00B74691" w:rsidRDefault="004A0123" w:rsidP="008A5C11">
            <w:pPr>
              <w:jc w:val="center"/>
              <w:rPr>
                <w:lang w:eastAsia="en-US"/>
              </w:rPr>
            </w:pPr>
            <w:r w:rsidRPr="00B74691">
              <w:rPr>
                <w:lang w:eastAsia="en-US"/>
              </w:rPr>
              <w:t>3 300,00</w:t>
            </w:r>
          </w:p>
        </w:tc>
        <w:tc>
          <w:tcPr>
            <w:tcW w:w="930" w:type="pct"/>
            <w:vMerge/>
            <w:shd w:val="clear" w:color="auto" w:fill="auto"/>
            <w:vAlign w:val="center"/>
          </w:tcPr>
          <w:p w14:paraId="779C95BB" w14:textId="77777777" w:rsidR="004A0123" w:rsidRPr="00B74691" w:rsidRDefault="004A0123" w:rsidP="008A5C11">
            <w:pPr>
              <w:jc w:val="center"/>
              <w:rPr>
                <w:bCs/>
                <w:sz w:val="22"/>
                <w:szCs w:val="22"/>
                <w:lang w:eastAsia="en-US"/>
              </w:rPr>
            </w:pPr>
          </w:p>
        </w:tc>
        <w:tc>
          <w:tcPr>
            <w:tcW w:w="468" w:type="pct"/>
            <w:shd w:val="clear" w:color="auto" w:fill="auto"/>
            <w:vAlign w:val="center"/>
          </w:tcPr>
          <w:p w14:paraId="4D29130E" w14:textId="77777777" w:rsidR="004A0123" w:rsidRPr="00B74691" w:rsidRDefault="004A0123" w:rsidP="008A5C11">
            <w:pPr>
              <w:jc w:val="center"/>
              <w:rPr>
                <w:bCs/>
                <w:sz w:val="22"/>
                <w:szCs w:val="22"/>
                <w:lang w:eastAsia="en-US"/>
              </w:rPr>
            </w:pPr>
          </w:p>
        </w:tc>
        <w:tc>
          <w:tcPr>
            <w:tcW w:w="425" w:type="pct"/>
            <w:shd w:val="clear" w:color="auto" w:fill="auto"/>
            <w:vAlign w:val="center"/>
          </w:tcPr>
          <w:p w14:paraId="3BCCDE1F" w14:textId="77777777" w:rsidR="004A0123" w:rsidRPr="00B74691" w:rsidRDefault="004A0123" w:rsidP="008A5C11">
            <w:pPr>
              <w:jc w:val="center"/>
              <w:rPr>
                <w:bCs/>
                <w:sz w:val="22"/>
                <w:szCs w:val="22"/>
                <w:lang w:eastAsia="en-US"/>
              </w:rPr>
            </w:pPr>
          </w:p>
        </w:tc>
      </w:tr>
      <w:tr w:rsidR="004A0123" w:rsidRPr="00B74691" w14:paraId="7530E742" w14:textId="77777777" w:rsidTr="00711052">
        <w:trPr>
          <w:trHeight w:val="413"/>
          <w:jc w:val="center"/>
        </w:trPr>
        <w:tc>
          <w:tcPr>
            <w:tcW w:w="402" w:type="pct"/>
            <w:vAlign w:val="center"/>
          </w:tcPr>
          <w:p w14:paraId="5EC9CAD5" w14:textId="77777777" w:rsidR="004A0123" w:rsidRPr="00B74691" w:rsidRDefault="004A0123" w:rsidP="008A5C11">
            <w:pPr>
              <w:jc w:val="center"/>
              <w:rPr>
                <w:bCs/>
                <w:sz w:val="22"/>
                <w:szCs w:val="22"/>
                <w:lang w:eastAsia="en-US"/>
              </w:rPr>
            </w:pPr>
            <w:r w:rsidRPr="00B74691">
              <w:rPr>
                <w:bCs/>
                <w:sz w:val="22"/>
                <w:szCs w:val="22"/>
                <w:lang w:eastAsia="en-US"/>
              </w:rPr>
              <w:t>2.1.2</w:t>
            </w:r>
          </w:p>
        </w:tc>
        <w:tc>
          <w:tcPr>
            <w:tcW w:w="1242" w:type="pct"/>
            <w:shd w:val="clear" w:color="auto" w:fill="auto"/>
            <w:vAlign w:val="center"/>
          </w:tcPr>
          <w:p w14:paraId="7E773095" w14:textId="77777777" w:rsidR="004A0123" w:rsidRPr="00B74691" w:rsidRDefault="004A0123" w:rsidP="008A5C11">
            <w:pPr>
              <w:jc w:val="center"/>
              <w:rPr>
                <w:bCs/>
                <w:sz w:val="22"/>
                <w:szCs w:val="22"/>
                <w:lang w:eastAsia="en-US"/>
              </w:rPr>
            </w:pPr>
            <w:r w:rsidRPr="00B74691">
              <w:rPr>
                <w:bCs/>
                <w:sz w:val="22"/>
                <w:szCs w:val="22"/>
                <w:lang w:eastAsia="en-US"/>
              </w:rPr>
              <w:t xml:space="preserve">Капитальный ремонт объектов водоотведения </w:t>
            </w:r>
            <w:r w:rsidRPr="00B74691">
              <w:rPr>
                <w:color w:val="000000"/>
                <w:sz w:val="22"/>
                <w:szCs w:val="22"/>
                <w:lang w:eastAsia="en-US"/>
              </w:rPr>
              <w:t>за счет платы за превышение ПДК</w:t>
            </w:r>
          </w:p>
        </w:tc>
        <w:tc>
          <w:tcPr>
            <w:tcW w:w="640" w:type="pct"/>
            <w:shd w:val="clear" w:color="auto" w:fill="auto"/>
            <w:vAlign w:val="center"/>
          </w:tcPr>
          <w:p w14:paraId="3D8FB0DA" w14:textId="77777777" w:rsidR="004A0123" w:rsidRPr="00B74691" w:rsidRDefault="004A0123" w:rsidP="008A5C11">
            <w:pPr>
              <w:jc w:val="center"/>
              <w:rPr>
                <w:bCs/>
                <w:sz w:val="22"/>
                <w:szCs w:val="22"/>
                <w:lang w:eastAsia="en-US"/>
              </w:rPr>
            </w:pPr>
            <w:r w:rsidRPr="00B74691">
              <w:rPr>
                <w:bCs/>
                <w:sz w:val="22"/>
                <w:szCs w:val="22"/>
                <w:lang w:eastAsia="en-US"/>
              </w:rPr>
              <w:t>2021</w:t>
            </w:r>
          </w:p>
        </w:tc>
        <w:tc>
          <w:tcPr>
            <w:tcW w:w="893" w:type="pct"/>
            <w:gridSpan w:val="2"/>
            <w:shd w:val="clear" w:color="auto" w:fill="auto"/>
          </w:tcPr>
          <w:p w14:paraId="4C806440" w14:textId="77777777" w:rsidR="004A0123" w:rsidRPr="00B74691" w:rsidRDefault="004A0123" w:rsidP="008A5C11">
            <w:pPr>
              <w:jc w:val="center"/>
              <w:rPr>
                <w:lang w:eastAsia="en-US"/>
              </w:rPr>
            </w:pPr>
            <w:r w:rsidRPr="00B74691">
              <w:rPr>
                <w:lang w:eastAsia="en-US"/>
              </w:rPr>
              <w:t>31 143,45</w:t>
            </w:r>
          </w:p>
        </w:tc>
        <w:tc>
          <w:tcPr>
            <w:tcW w:w="930" w:type="pct"/>
            <w:vMerge/>
            <w:shd w:val="clear" w:color="auto" w:fill="auto"/>
            <w:vAlign w:val="center"/>
          </w:tcPr>
          <w:p w14:paraId="7492C8E8" w14:textId="77777777" w:rsidR="004A0123" w:rsidRPr="00B74691" w:rsidRDefault="004A0123" w:rsidP="008A5C11">
            <w:pPr>
              <w:jc w:val="center"/>
              <w:rPr>
                <w:bCs/>
                <w:sz w:val="22"/>
                <w:szCs w:val="22"/>
                <w:lang w:eastAsia="en-US"/>
              </w:rPr>
            </w:pPr>
          </w:p>
        </w:tc>
        <w:tc>
          <w:tcPr>
            <w:tcW w:w="468" w:type="pct"/>
            <w:shd w:val="clear" w:color="auto" w:fill="auto"/>
            <w:vAlign w:val="center"/>
          </w:tcPr>
          <w:p w14:paraId="3E326E6F" w14:textId="77777777" w:rsidR="004A0123" w:rsidRPr="00B74691" w:rsidRDefault="004A0123" w:rsidP="008A5C11">
            <w:pPr>
              <w:jc w:val="center"/>
              <w:rPr>
                <w:bCs/>
                <w:sz w:val="22"/>
                <w:szCs w:val="22"/>
                <w:lang w:eastAsia="en-US"/>
              </w:rPr>
            </w:pPr>
          </w:p>
        </w:tc>
        <w:tc>
          <w:tcPr>
            <w:tcW w:w="425" w:type="pct"/>
            <w:shd w:val="clear" w:color="auto" w:fill="auto"/>
            <w:vAlign w:val="center"/>
          </w:tcPr>
          <w:p w14:paraId="2FC35F6F" w14:textId="77777777" w:rsidR="004A0123" w:rsidRPr="00B74691" w:rsidRDefault="004A0123" w:rsidP="008A5C11">
            <w:pPr>
              <w:jc w:val="center"/>
              <w:rPr>
                <w:bCs/>
                <w:sz w:val="22"/>
                <w:szCs w:val="22"/>
                <w:lang w:eastAsia="en-US"/>
              </w:rPr>
            </w:pPr>
          </w:p>
        </w:tc>
      </w:tr>
      <w:tr w:rsidR="004A0123" w:rsidRPr="00B74691" w14:paraId="2C795765" w14:textId="77777777" w:rsidTr="00711052">
        <w:trPr>
          <w:jc w:val="center"/>
        </w:trPr>
        <w:tc>
          <w:tcPr>
            <w:tcW w:w="402" w:type="pct"/>
            <w:vAlign w:val="center"/>
          </w:tcPr>
          <w:p w14:paraId="7024C92F" w14:textId="77777777" w:rsidR="004A0123" w:rsidRPr="00B74691" w:rsidRDefault="004A0123" w:rsidP="008A5C11">
            <w:pPr>
              <w:jc w:val="center"/>
              <w:rPr>
                <w:bCs/>
                <w:sz w:val="22"/>
                <w:szCs w:val="22"/>
                <w:lang w:eastAsia="en-US"/>
              </w:rPr>
            </w:pPr>
            <w:r w:rsidRPr="00B74691">
              <w:rPr>
                <w:bCs/>
                <w:sz w:val="22"/>
                <w:szCs w:val="22"/>
                <w:lang w:eastAsia="en-US"/>
              </w:rPr>
              <w:t>2.2</w:t>
            </w:r>
          </w:p>
        </w:tc>
        <w:tc>
          <w:tcPr>
            <w:tcW w:w="1242" w:type="pct"/>
            <w:shd w:val="clear" w:color="auto" w:fill="auto"/>
            <w:vAlign w:val="center"/>
          </w:tcPr>
          <w:p w14:paraId="4E46F3CE" w14:textId="77777777" w:rsidR="004A0123" w:rsidRPr="00B74691" w:rsidRDefault="004A0123" w:rsidP="008A5C11">
            <w:pPr>
              <w:jc w:val="center"/>
              <w:rPr>
                <w:bCs/>
                <w:sz w:val="22"/>
                <w:szCs w:val="22"/>
                <w:lang w:eastAsia="en-US"/>
              </w:rPr>
            </w:pPr>
            <w:r w:rsidRPr="00B74691">
              <w:rPr>
                <w:bCs/>
                <w:sz w:val="22"/>
                <w:szCs w:val="22"/>
                <w:lang w:eastAsia="en-US"/>
              </w:rPr>
              <w:t xml:space="preserve">Капитальный ремонт </w:t>
            </w:r>
          </w:p>
        </w:tc>
        <w:tc>
          <w:tcPr>
            <w:tcW w:w="640" w:type="pct"/>
            <w:shd w:val="clear" w:color="auto" w:fill="auto"/>
            <w:vAlign w:val="center"/>
          </w:tcPr>
          <w:p w14:paraId="1303F6B0" w14:textId="77777777" w:rsidR="004A0123" w:rsidRPr="00B74691" w:rsidRDefault="004A0123" w:rsidP="008A5C11">
            <w:pPr>
              <w:jc w:val="center"/>
              <w:rPr>
                <w:bCs/>
                <w:sz w:val="22"/>
                <w:szCs w:val="22"/>
                <w:lang w:eastAsia="en-US"/>
              </w:rPr>
            </w:pPr>
            <w:r w:rsidRPr="00B74691">
              <w:rPr>
                <w:bCs/>
                <w:sz w:val="22"/>
                <w:szCs w:val="22"/>
                <w:lang w:eastAsia="en-US"/>
              </w:rPr>
              <w:t>2022</w:t>
            </w:r>
          </w:p>
        </w:tc>
        <w:tc>
          <w:tcPr>
            <w:tcW w:w="893" w:type="pct"/>
            <w:gridSpan w:val="2"/>
            <w:shd w:val="clear" w:color="auto" w:fill="auto"/>
          </w:tcPr>
          <w:p w14:paraId="1A1B710B" w14:textId="77777777" w:rsidR="004A0123" w:rsidRPr="00B74691" w:rsidRDefault="004A0123" w:rsidP="008A5C11">
            <w:pPr>
              <w:jc w:val="center"/>
              <w:rPr>
                <w:lang w:eastAsia="en-US"/>
              </w:rPr>
            </w:pPr>
            <w:r w:rsidRPr="00B74691">
              <w:rPr>
                <w:lang w:eastAsia="en-US"/>
              </w:rPr>
              <w:t>3 394,41</w:t>
            </w:r>
          </w:p>
        </w:tc>
        <w:tc>
          <w:tcPr>
            <w:tcW w:w="930" w:type="pct"/>
            <w:vMerge/>
            <w:shd w:val="clear" w:color="auto" w:fill="auto"/>
            <w:vAlign w:val="center"/>
          </w:tcPr>
          <w:p w14:paraId="29CC61D4" w14:textId="77777777" w:rsidR="004A0123" w:rsidRPr="00B74691" w:rsidRDefault="004A0123" w:rsidP="008A5C11">
            <w:pPr>
              <w:jc w:val="center"/>
              <w:rPr>
                <w:bCs/>
                <w:sz w:val="22"/>
                <w:szCs w:val="22"/>
                <w:lang w:eastAsia="en-US"/>
              </w:rPr>
            </w:pPr>
          </w:p>
        </w:tc>
        <w:tc>
          <w:tcPr>
            <w:tcW w:w="468" w:type="pct"/>
            <w:shd w:val="clear" w:color="auto" w:fill="auto"/>
            <w:vAlign w:val="center"/>
          </w:tcPr>
          <w:p w14:paraId="20D1C9A6" w14:textId="77777777" w:rsidR="004A0123" w:rsidRPr="00B74691" w:rsidRDefault="004A0123" w:rsidP="008A5C11">
            <w:pPr>
              <w:jc w:val="center"/>
              <w:rPr>
                <w:sz w:val="22"/>
                <w:szCs w:val="22"/>
                <w:lang w:eastAsia="en-US"/>
              </w:rPr>
            </w:pPr>
            <w:r w:rsidRPr="00B74691">
              <w:rPr>
                <w:bCs/>
                <w:sz w:val="22"/>
                <w:szCs w:val="22"/>
                <w:lang w:eastAsia="en-US"/>
              </w:rPr>
              <w:t>-</w:t>
            </w:r>
          </w:p>
        </w:tc>
        <w:tc>
          <w:tcPr>
            <w:tcW w:w="425" w:type="pct"/>
            <w:shd w:val="clear" w:color="auto" w:fill="auto"/>
            <w:vAlign w:val="center"/>
          </w:tcPr>
          <w:p w14:paraId="2B31B1A9" w14:textId="77777777" w:rsidR="004A0123" w:rsidRPr="00B74691" w:rsidRDefault="004A0123" w:rsidP="008A5C11">
            <w:pPr>
              <w:jc w:val="center"/>
              <w:rPr>
                <w:sz w:val="22"/>
                <w:szCs w:val="22"/>
                <w:lang w:eastAsia="en-US"/>
              </w:rPr>
            </w:pPr>
            <w:r w:rsidRPr="00B74691">
              <w:rPr>
                <w:bCs/>
                <w:sz w:val="22"/>
                <w:szCs w:val="22"/>
                <w:lang w:eastAsia="en-US"/>
              </w:rPr>
              <w:t>-</w:t>
            </w:r>
          </w:p>
        </w:tc>
      </w:tr>
      <w:tr w:rsidR="004A0123" w:rsidRPr="00B74691" w14:paraId="59172850" w14:textId="77777777" w:rsidTr="00711052">
        <w:trPr>
          <w:jc w:val="center"/>
        </w:trPr>
        <w:tc>
          <w:tcPr>
            <w:tcW w:w="402" w:type="pct"/>
            <w:vAlign w:val="center"/>
          </w:tcPr>
          <w:p w14:paraId="461A7D9B" w14:textId="77777777" w:rsidR="004A0123" w:rsidRPr="00B74691" w:rsidRDefault="004A0123" w:rsidP="008A5C11">
            <w:pPr>
              <w:jc w:val="center"/>
              <w:rPr>
                <w:bCs/>
                <w:sz w:val="22"/>
                <w:szCs w:val="22"/>
                <w:lang w:eastAsia="en-US"/>
              </w:rPr>
            </w:pPr>
            <w:r w:rsidRPr="00B74691">
              <w:rPr>
                <w:bCs/>
                <w:sz w:val="22"/>
                <w:szCs w:val="22"/>
                <w:lang w:eastAsia="en-US"/>
              </w:rPr>
              <w:t>2.3</w:t>
            </w:r>
          </w:p>
        </w:tc>
        <w:tc>
          <w:tcPr>
            <w:tcW w:w="1242" w:type="pct"/>
            <w:shd w:val="clear" w:color="auto" w:fill="auto"/>
            <w:vAlign w:val="center"/>
          </w:tcPr>
          <w:p w14:paraId="01517AD4" w14:textId="77777777" w:rsidR="004A0123" w:rsidRPr="00B74691" w:rsidRDefault="004A0123" w:rsidP="008A5C11">
            <w:pPr>
              <w:jc w:val="center"/>
              <w:rPr>
                <w:bCs/>
                <w:sz w:val="22"/>
                <w:szCs w:val="22"/>
                <w:lang w:eastAsia="en-US"/>
              </w:rPr>
            </w:pPr>
            <w:r w:rsidRPr="00B74691">
              <w:rPr>
                <w:bCs/>
                <w:sz w:val="22"/>
                <w:szCs w:val="22"/>
                <w:lang w:eastAsia="en-US"/>
              </w:rPr>
              <w:t xml:space="preserve">Капитальный ремонт </w:t>
            </w:r>
          </w:p>
        </w:tc>
        <w:tc>
          <w:tcPr>
            <w:tcW w:w="640" w:type="pct"/>
            <w:shd w:val="clear" w:color="auto" w:fill="auto"/>
            <w:vAlign w:val="center"/>
          </w:tcPr>
          <w:p w14:paraId="2DE1D07D" w14:textId="77777777" w:rsidR="004A0123" w:rsidRPr="00B74691" w:rsidRDefault="004A0123" w:rsidP="008A5C11">
            <w:pPr>
              <w:jc w:val="center"/>
              <w:rPr>
                <w:bCs/>
                <w:sz w:val="22"/>
                <w:szCs w:val="22"/>
                <w:lang w:eastAsia="en-US"/>
              </w:rPr>
            </w:pPr>
            <w:r w:rsidRPr="00B74691">
              <w:rPr>
                <w:bCs/>
                <w:sz w:val="22"/>
                <w:szCs w:val="22"/>
                <w:lang w:eastAsia="en-US"/>
              </w:rPr>
              <w:t>2023</w:t>
            </w:r>
          </w:p>
        </w:tc>
        <w:tc>
          <w:tcPr>
            <w:tcW w:w="893" w:type="pct"/>
            <w:gridSpan w:val="2"/>
            <w:shd w:val="clear" w:color="auto" w:fill="auto"/>
          </w:tcPr>
          <w:p w14:paraId="4B080B1A" w14:textId="77777777" w:rsidR="004A0123" w:rsidRPr="00B74691" w:rsidRDefault="004A0123" w:rsidP="008A5C11">
            <w:pPr>
              <w:jc w:val="center"/>
              <w:rPr>
                <w:lang w:eastAsia="en-US"/>
              </w:rPr>
            </w:pPr>
            <w:r w:rsidRPr="00B74691">
              <w:rPr>
                <w:lang w:eastAsia="en-US"/>
              </w:rPr>
              <w:t>3 494,89</w:t>
            </w:r>
          </w:p>
        </w:tc>
        <w:tc>
          <w:tcPr>
            <w:tcW w:w="930" w:type="pct"/>
            <w:vMerge/>
            <w:shd w:val="clear" w:color="auto" w:fill="auto"/>
            <w:vAlign w:val="center"/>
          </w:tcPr>
          <w:p w14:paraId="0E9EB290" w14:textId="77777777" w:rsidR="004A0123" w:rsidRPr="00B74691" w:rsidRDefault="004A0123" w:rsidP="008A5C11">
            <w:pPr>
              <w:jc w:val="center"/>
              <w:rPr>
                <w:bCs/>
                <w:sz w:val="22"/>
                <w:szCs w:val="22"/>
                <w:lang w:eastAsia="en-US"/>
              </w:rPr>
            </w:pPr>
          </w:p>
        </w:tc>
        <w:tc>
          <w:tcPr>
            <w:tcW w:w="468" w:type="pct"/>
            <w:shd w:val="clear" w:color="auto" w:fill="auto"/>
            <w:vAlign w:val="center"/>
          </w:tcPr>
          <w:p w14:paraId="7934EC77" w14:textId="77777777" w:rsidR="004A0123" w:rsidRPr="00B74691" w:rsidRDefault="004A0123" w:rsidP="008A5C11">
            <w:pPr>
              <w:jc w:val="center"/>
              <w:rPr>
                <w:sz w:val="22"/>
                <w:szCs w:val="22"/>
                <w:lang w:eastAsia="en-US"/>
              </w:rPr>
            </w:pPr>
            <w:r w:rsidRPr="00B74691">
              <w:rPr>
                <w:bCs/>
                <w:sz w:val="22"/>
                <w:szCs w:val="22"/>
                <w:lang w:eastAsia="en-US"/>
              </w:rPr>
              <w:t>-</w:t>
            </w:r>
          </w:p>
        </w:tc>
        <w:tc>
          <w:tcPr>
            <w:tcW w:w="425" w:type="pct"/>
            <w:shd w:val="clear" w:color="auto" w:fill="auto"/>
            <w:vAlign w:val="center"/>
          </w:tcPr>
          <w:p w14:paraId="7E608D3C" w14:textId="77777777" w:rsidR="004A0123" w:rsidRPr="00B74691" w:rsidRDefault="004A0123" w:rsidP="008A5C11">
            <w:pPr>
              <w:jc w:val="center"/>
              <w:rPr>
                <w:sz w:val="22"/>
                <w:szCs w:val="22"/>
                <w:lang w:eastAsia="en-US"/>
              </w:rPr>
            </w:pPr>
            <w:r w:rsidRPr="00B74691">
              <w:rPr>
                <w:bCs/>
                <w:sz w:val="22"/>
                <w:szCs w:val="22"/>
                <w:lang w:eastAsia="en-US"/>
              </w:rPr>
              <w:t>-</w:t>
            </w:r>
          </w:p>
        </w:tc>
      </w:tr>
      <w:tr w:rsidR="004A0123" w:rsidRPr="00B74691" w14:paraId="4EFC17F9" w14:textId="77777777" w:rsidTr="00711052">
        <w:trPr>
          <w:jc w:val="center"/>
        </w:trPr>
        <w:tc>
          <w:tcPr>
            <w:tcW w:w="402" w:type="pct"/>
            <w:vAlign w:val="center"/>
          </w:tcPr>
          <w:p w14:paraId="68726618" w14:textId="77777777" w:rsidR="004A0123" w:rsidRPr="00B74691" w:rsidRDefault="004A0123" w:rsidP="008A5C11">
            <w:pPr>
              <w:jc w:val="center"/>
              <w:rPr>
                <w:bCs/>
                <w:sz w:val="22"/>
                <w:szCs w:val="22"/>
                <w:lang w:eastAsia="en-US"/>
              </w:rPr>
            </w:pPr>
            <w:r w:rsidRPr="00B74691">
              <w:rPr>
                <w:bCs/>
                <w:sz w:val="22"/>
                <w:szCs w:val="22"/>
                <w:lang w:eastAsia="en-US"/>
              </w:rPr>
              <w:t>2.4</w:t>
            </w:r>
          </w:p>
        </w:tc>
        <w:tc>
          <w:tcPr>
            <w:tcW w:w="1242" w:type="pct"/>
            <w:shd w:val="clear" w:color="auto" w:fill="auto"/>
            <w:vAlign w:val="center"/>
          </w:tcPr>
          <w:p w14:paraId="07C3892E" w14:textId="77777777" w:rsidR="004A0123" w:rsidRPr="00B74691" w:rsidRDefault="004A0123" w:rsidP="008A5C11">
            <w:pPr>
              <w:jc w:val="center"/>
              <w:rPr>
                <w:bCs/>
                <w:sz w:val="22"/>
                <w:szCs w:val="22"/>
                <w:lang w:eastAsia="en-US"/>
              </w:rPr>
            </w:pPr>
            <w:r w:rsidRPr="00B74691">
              <w:rPr>
                <w:bCs/>
                <w:sz w:val="22"/>
                <w:szCs w:val="22"/>
                <w:lang w:eastAsia="en-US"/>
              </w:rPr>
              <w:t xml:space="preserve">Капитальный ремонт </w:t>
            </w:r>
          </w:p>
        </w:tc>
        <w:tc>
          <w:tcPr>
            <w:tcW w:w="640" w:type="pct"/>
            <w:shd w:val="clear" w:color="auto" w:fill="auto"/>
            <w:vAlign w:val="center"/>
          </w:tcPr>
          <w:p w14:paraId="737250BF" w14:textId="77777777" w:rsidR="004A0123" w:rsidRPr="00B74691" w:rsidRDefault="004A0123" w:rsidP="008A5C11">
            <w:pPr>
              <w:jc w:val="center"/>
              <w:rPr>
                <w:bCs/>
                <w:sz w:val="22"/>
                <w:szCs w:val="22"/>
                <w:lang w:eastAsia="en-US"/>
              </w:rPr>
            </w:pPr>
            <w:r w:rsidRPr="00B74691">
              <w:rPr>
                <w:bCs/>
                <w:sz w:val="22"/>
                <w:szCs w:val="22"/>
                <w:lang w:eastAsia="en-US"/>
              </w:rPr>
              <w:t>2024</w:t>
            </w:r>
          </w:p>
        </w:tc>
        <w:tc>
          <w:tcPr>
            <w:tcW w:w="893" w:type="pct"/>
            <w:gridSpan w:val="2"/>
            <w:shd w:val="clear" w:color="auto" w:fill="auto"/>
          </w:tcPr>
          <w:p w14:paraId="0390A195" w14:textId="77777777" w:rsidR="004A0123" w:rsidRPr="00B74691" w:rsidRDefault="004A0123" w:rsidP="008A5C11">
            <w:pPr>
              <w:jc w:val="center"/>
              <w:rPr>
                <w:lang w:eastAsia="en-US"/>
              </w:rPr>
            </w:pPr>
            <w:r w:rsidRPr="00B74691">
              <w:rPr>
                <w:lang w:eastAsia="en-US"/>
              </w:rPr>
              <w:t>3 598,34</w:t>
            </w:r>
          </w:p>
        </w:tc>
        <w:tc>
          <w:tcPr>
            <w:tcW w:w="930" w:type="pct"/>
            <w:vMerge/>
            <w:shd w:val="clear" w:color="auto" w:fill="auto"/>
            <w:vAlign w:val="center"/>
          </w:tcPr>
          <w:p w14:paraId="5E937DB6" w14:textId="77777777" w:rsidR="004A0123" w:rsidRPr="00B74691" w:rsidRDefault="004A0123" w:rsidP="008A5C11">
            <w:pPr>
              <w:jc w:val="center"/>
              <w:rPr>
                <w:bCs/>
                <w:sz w:val="22"/>
                <w:szCs w:val="22"/>
                <w:lang w:eastAsia="en-US"/>
              </w:rPr>
            </w:pPr>
          </w:p>
        </w:tc>
        <w:tc>
          <w:tcPr>
            <w:tcW w:w="468" w:type="pct"/>
            <w:shd w:val="clear" w:color="auto" w:fill="auto"/>
            <w:vAlign w:val="center"/>
          </w:tcPr>
          <w:p w14:paraId="5B4A8BE1" w14:textId="77777777" w:rsidR="004A0123" w:rsidRPr="00B74691" w:rsidRDefault="004A0123" w:rsidP="008A5C11">
            <w:pPr>
              <w:jc w:val="center"/>
              <w:rPr>
                <w:bCs/>
                <w:sz w:val="22"/>
                <w:szCs w:val="22"/>
                <w:lang w:eastAsia="en-US"/>
              </w:rPr>
            </w:pPr>
          </w:p>
        </w:tc>
        <w:tc>
          <w:tcPr>
            <w:tcW w:w="425" w:type="pct"/>
            <w:shd w:val="clear" w:color="auto" w:fill="auto"/>
            <w:vAlign w:val="center"/>
          </w:tcPr>
          <w:p w14:paraId="55E50BA2" w14:textId="77777777" w:rsidR="004A0123" w:rsidRPr="00B74691" w:rsidRDefault="004A0123" w:rsidP="008A5C11">
            <w:pPr>
              <w:jc w:val="center"/>
              <w:rPr>
                <w:bCs/>
                <w:sz w:val="22"/>
                <w:szCs w:val="22"/>
                <w:lang w:eastAsia="en-US"/>
              </w:rPr>
            </w:pPr>
          </w:p>
        </w:tc>
      </w:tr>
      <w:tr w:rsidR="004A0123" w:rsidRPr="00B74691" w14:paraId="7B86554D" w14:textId="77777777" w:rsidTr="00711052">
        <w:trPr>
          <w:jc w:val="center"/>
        </w:trPr>
        <w:tc>
          <w:tcPr>
            <w:tcW w:w="402" w:type="pct"/>
            <w:vAlign w:val="center"/>
          </w:tcPr>
          <w:p w14:paraId="3830884B" w14:textId="77777777" w:rsidR="004A0123" w:rsidRPr="00B74691" w:rsidRDefault="004A0123" w:rsidP="008A5C11">
            <w:pPr>
              <w:jc w:val="center"/>
              <w:rPr>
                <w:bCs/>
                <w:sz w:val="22"/>
                <w:szCs w:val="22"/>
                <w:lang w:eastAsia="en-US"/>
              </w:rPr>
            </w:pPr>
            <w:r w:rsidRPr="00B74691">
              <w:rPr>
                <w:bCs/>
                <w:sz w:val="22"/>
                <w:szCs w:val="22"/>
                <w:lang w:eastAsia="en-US"/>
              </w:rPr>
              <w:t>2.5</w:t>
            </w:r>
          </w:p>
        </w:tc>
        <w:tc>
          <w:tcPr>
            <w:tcW w:w="1242" w:type="pct"/>
            <w:shd w:val="clear" w:color="auto" w:fill="auto"/>
            <w:vAlign w:val="center"/>
          </w:tcPr>
          <w:p w14:paraId="38E9811C" w14:textId="77777777" w:rsidR="004A0123" w:rsidRPr="00B74691" w:rsidRDefault="004A0123" w:rsidP="008A5C11">
            <w:pPr>
              <w:jc w:val="center"/>
              <w:rPr>
                <w:bCs/>
                <w:sz w:val="22"/>
                <w:szCs w:val="22"/>
                <w:lang w:eastAsia="en-US"/>
              </w:rPr>
            </w:pPr>
            <w:r w:rsidRPr="00B74691">
              <w:rPr>
                <w:bCs/>
                <w:sz w:val="22"/>
                <w:szCs w:val="22"/>
                <w:lang w:eastAsia="en-US"/>
              </w:rPr>
              <w:t xml:space="preserve">Капитальный ремонт </w:t>
            </w:r>
          </w:p>
        </w:tc>
        <w:tc>
          <w:tcPr>
            <w:tcW w:w="640" w:type="pct"/>
            <w:shd w:val="clear" w:color="auto" w:fill="auto"/>
            <w:vAlign w:val="center"/>
          </w:tcPr>
          <w:p w14:paraId="710ADD2B" w14:textId="77777777" w:rsidR="004A0123" w:rsidRPr="00B74691" w:rsidRDefault="004A0123" w:rsidP="008A5C11">
            <w:pPr>
              <w:jc w:val="center"/>
              <w:rPr>
                <w:bCs/>
                <w:sz w:val="22"/>
                <w:szCs w:val="22"/>
                <w:lang w:eastAsia="en-US"/>
              </w:rPr>
            </w:pPr>
            <w:r w:rsidRPr="00B74691">
              <w:rPr>
                <w:bCs/>
                <w:sz w:val="22"/>
                <w:szCs w:val="22"/>
                <w:lang w:eastAsia="en-US"/>
              </w:rPr>
              <w:t>2025</w:t>
            </w:r>
          </w:p>
        </w:tc>
        <w:tc>
          <w:tcPr>
            <w:tcW w:w="893" w:type="pct"/>
            <w:gridSpan w:val="2"/>
            <w:shd w:val="clear" w:color="auto" w:fill="auto"/>
          </w:tcPr>
          <w:p w14:paraId="48D3BE32" w14:textId="77777777" w:rsidR="004A0123" w:rsidRPr="00B74691" w:rsidRDefault="004A0123" w:rsidP="008A5C11">
            <w:pPr>
              <w:jc w:val="center"/>
              <w:rPr>
                <w:lang w:eastAsia="en-US"/>
              </w:rPr>
            </w:pPr>
            <w:r w:rsidRPr="00B74691">
              <w:rPr>
                <w:lang w:eastAsia="en-US"/>
              </w:rPr>
              <w:t>3 704,85</w:t>
            </w:r>
          </w:p>
        </w:tc>
        <w:tc>
          <w:tcPr>
            <w:tcW w:w="930" w:type="pct"/>
            <w:vMerge/>
            <w:shd w:val="clear" w:color="auto" w:fill="auto"/>
            <w:vAlign w:val="center"/>
          </w:tcPr>
          <w:p w14:paraId="7E345C80" w14:textId="77777777" w:rsidR="004A0123" w:rsidRPr="00B74691" w:rsidRDefault="004A0123" w:rsidP="008A5C11">
            <w:pPr>
              <w:jc w:val="center"/>
              <w:rPr>
                <w:bCs/>
                <w:sz w:val="22"/>
                <w:szCs w:val="22"/>
                <w:lang w:eastAsia="en-US"/>
              </w:rPr>
            </w:pPr>
          </w:p>
        </w:tc>
        <w:tc>
          <w:tcPr>
            <w:tcW w:w="468" w:type="pct"/>
            <w:shd w:val="clear" w:color="auto" w:fill="auto"/>
            <w:vAlign w:val="center"/>
          </w:tcPr>
          <w:p w14:paraId="39CDA09F" w14:textId="77777777" w:rsidR="004A0123" w:rsidRPr="00B74691" w:rsidRDefault="004A0123" w:rsidP="008A5C11">
            <w:pPr>
              <w:jc w:val="center"/>
              <w:rPr>
                <w:bCs/>
                <w:sz w:val="22"/>
                <w:szCs w:val="22"/>
                <w:lang w:eastAsia="en-US"/>
              </w:rPr>
            </w:pPr>
          </w:p>
        </w:tc>
        <w:tc>
          <w:tcPr>
            <w:tcW w:w="425" w:type="pct"/>
            <w:shd w:val="clear" w:color="auto" w:fill="auto"/>
            <w:vAlign w:val="center"/>
          </w:tcPr>
          <w:p w14:paraId="2097D2FF" w14:textId="77777777" w:rsidR="004A0123" w:rsidRPr="00B74691" w:rsidRDefault="004A0123" w:rsidP="008A5C11">
            <w:pPr>
              <w:jc w:val="center"/>
              <w:rPr>
                <w:bCs/>
                <w:sz w:val="22"/>
                <w:szCs w:val="22"/>
                <w:lang w:eastAsia="en-US"/>
              </w:rPr>
            </w:pPr>
          </w:p>
        </w:tc>
      </w:tr>
      <w:tr w:rsidR="004A0123" w:rsidRPr="00B74691" w14:paraId="7C2C5B12" w14:textId="77777777" w:rsidTr="00711052">
        <w:trPr>
          <w:jc w:val="center"/>
        </w:trPr>
        <w:tc>
          <w:tcPr>
            <w:tcW w:w="2284" w:type="pct"/>
            <w:gridSpan w:val="3"/>
            <w:vAlign w:val="center"/>
          </w:tcPr>
          <w:p w14:paraId="6B8374EA" w14:textId="77777777" w:rsidR="004A0123" w:rsidRPr="00B74691" w:rsidRDefault="004A0123" w:rsidP="008A5C11">
            <w:pPr>
              <w:jc w:val="center"/>
              <w:rPr>
                <w:bCs/>
                <w:sz w:val="22"/>
                <w:szCs w:val="22"/>
                <w:lang w:eastAsia="en-US"/>
              </w:rPr>
            </w:pPr>
            <w:r w:rsidRPr="00B74691">
              <w:rPr>
                <w:bCs/>
                <w:sz w:val="22"/>
                <w:szCs w:val="22"/>
                <w:lang w:eastAsia="en-US"/>
              </w:rPr>
              <w:t>Итого</w:t>
            </w:r>
          </w:p>
        </w:tc>
        <w:tc>
          <w:tcPr>
            <w:tcW w:w="893" w:type="pct"/>
            <w:gridSpan w:val="2"/>
            <w:shd w:val="clear" w:color="auto" w:fill="auto"/>
            <w:vAlign w:val="center"/>
          </w:tcPr>
          <w:p w14:paraId="2D291E49" w14:textId="77777777" w:rsidR="004A0123" w:rsidRPr="00B74691" w:rsidRDefault="004A0123" w:rsidP="008A5C11">
            <w:pPr>
              <w:jc w:val="center"/>
              <w:rPr>
                <w:color w:val="000000"/>
                <w:sz w:val="22"/>
                <w:szCs w:val="22"/>
                <w:lang w:eastAsia="en-US"/>
              </w:rPr>
            </w:pPr>
            <w:r w:rsidRPr="00B74691">
              <w:rPr>
                <w:color w:val="000000"/>
                <w:sz w:val="22"/>
                <w:szCs w:val="22"/>
                <w:lang w:eastAsia="en-US"/>
              </w:rPr>
              <w:t>48 635,94</w:t>
            </w:r>
          </w:p>
        </w:tc>
        <w:tc>
          <w:tcPr>
            <w:tcW w:w="930" w:type="pct"/>
            <w:vMerge/>
            <w:shd w:val="clear" w:color="auto" w:fill="auto"/>
            <w:vAlign w:val="center"/>
          </w:tcPr>
          <w:p w14:paraId="1D7B91F1" w14:textId="77777777" w:rsidR="004A0123" w:rsidRPr="00B74691" w:rsidRDefault="004A0123" w:rsidP="008A5C11">
            <w:pPr>
              <w:jc w:val="center"/>
              <w:rPr>
                <w:bCs/>
                <w:sz w:val="22"/>
                <w:szCs w:val="22"/>
                <w:lang w:eastAsia="en-US"/>
              </w:rPr>
            </w:pPr>
          </w:p>
        </w:tc>
        <w:tc>
          <w:tcPr>
            <w:tcW w:w="468" w:type="pct"/>
            <w:shd w:val="clear" w:color="auto" w:fill="auto"/>
            <w:vAlign w:val="center"/>
          </w:tcPr>
          <w:p w14:paraId="289A7F9A" w14:textId="77777777" w:rsidR="004A0123" w:rsidRPr="00B74691" w:rsidRDefault="004A0123" w:rsidP="008A5C11">
            <w:pPr>
              <w:jc w:val="center"/>
              <w:rPr>
                <w:sz w:val="22"/>
                <w:szCs w:val="22"/>
                <w:lang w:eastAsia="en-US"/>
              </w:rPr>
            </w:pPr>
            <w:r w:rsidRPr="00B74691">
              <w:rPr>
                <w:bCs/>
                <w:sz w:val="22"/>
                <w:szCs w:val="22"/>
                <w:lang w:eastAsia="en-US"/>
              </w:rPr>
              <w:t>-</w:t>
            </w:r>
          </w:p>
        </w:tc>
        <w:tc>
          <w:tcPr>
            <w:tcW w:w="425" w:type="pct"/>
            <w:shd w:val="clear" w:color="auto" w:fill="auto"/>
            <w:vAlign w:val="center"/>
          </w:tcPr>
          <w:p w14:paraId="4A1E0180" w14:textId="77777777" w:rsidR="004A0123" w:rsidRPr="00B74691" w:rsidRDefault="004A0123" w:rsidP="008A5C11">
            <w:pPr>
              <w:jc w:val="center"/>
              <w:rPr>
                <w:sz w:val="22"/>
                <w:szCs w:val="22"/>
                <w:lang w:eastAsia="en-US"/>
              </w:rPr>
            </w:pPr>
            <w:r w:rsidRPr="00B74691">
              <w:rPr>
                <w:bCs/>
                <w:sz w:val="22"/>
                <w:szCs w:val="22"/>
                <w:lang w:eastAsia="en-US"/>
              </w:rPr>
              <w:t>-</w:t>
            </w:r>
          </w:p>
        </w:tc>
      </w:tr>
      <w:tr w:rsidR="004A0123" w:rsidRPr="00B74691" w14:paraId="01389FF4" w14:textId="77777777" w:rsidTr="00711052">
        <w:trPr>
          <w:jc w:val="center"/>
        </w:trPr>
        <w:tc>
          <w:tcPr>
            <w:tcW w:w="2284" w:type="pct"/>
            <w:gridSpan w:val="3"/>
            <w:tcBorders>
              <w:bottom w:val="single" w:sz="4" w:space="0" w:color="auto"/>
            </w:tcBorders>
            <w:vAlign w:val="center"/>
          </w:tcPr>
          <w:p w14:paraId="4CAEBDFF" w14:textId="77777777" w:rsidR="004A0123" w:rsidRPr="00B74691" w:rsidRDefault="004A0123" w:rsidP="008A5C11">
            <w:pPr>
              <w:rPr>
                <w:bCs/>
                <w:sz w:val="22"/>
                <w:szCs w:val="22"/>
                <w:lang w:eastAsia="en-US"/>
              </w:rPr>
            </w:pPr>
            <w:r w:rsidRPr="00B74691">
              <w:rPr>
                <w:bCs/>
                <w:sz w:val="22"/>
                <w:szCs w:val="22"/>
                <w:lang w:eastAsia="en-US"/>
              </w:rPr>
              <w:t>Всего по предприятию</w:t>
            </w:r>
          </w:p>
        </w:tc>
        <w:tc>
          <w:tcPr>
            <w:tcW w:w="893" w:type="pct"/>
            <w:gridSpan w:val="2"/>
            <w:tcBorders>
              <w:bottom w:val="single" w:sz="4" w:space="0" w:color="auto"/>
            </w:tcBorders>
            <w:shd w:val="clear" w:color="auto" w:fill="auto"/>
            <w:vAlign w:val="center"/>
          </w:tcPr>
          <w:p w14:paraId="66BBAE3C" w14:textId="77777777" w:rsidR="004A0123" w:rsidRPr="00B74691" w:rsidRDefault="004A0123" w:rsidP="008A5C11">
            <w:pPr>
              <w:jc w:val="center"/>
              <w:rPr>
                <w:color w:val="000000"/>
                <w:sz w:val="22"/>
                <w:szCs w:val="22"/>
                <w:lang w:eastAsia="en-US"/>
              </w:rPr>
            </w:pPr>
            <w:r w:rsidRPr="00B74691">
              <w:rPr>
                <w:color w:val="000000"/>
                <w:sz w:val="22"/>
                <w:szCs w:val="22"/>
                <w:lang w:eastAsia="en-US"/>
              </w:rPr>
              <w:t>112 298,50</w:t>
            </w:r>
          </w:p>
        </w:tc>
        <w:tc>
          <w:tcPr>
            <w:tcW w:w="930" w:type="pct"/>
            <w:tcBorders>
              <w:bottom w:val="single" w:sz="4" w:space="0" w:color="auto"/>
            </w:tcBorders>
            <w:shd w:val="clear" w:color="auto" w:fill="auto"/>
            <w:vAlign w:val="center"/>
          </w:tcPr>
          <w:p w14:paraId="49182264" w14:textId="77777777" w:rsidR="004A0123" w:rsidRPr="00B74691" w:rsidRDefault="004A0123" w:rsidP="008A5C11">
            <w:pPr>
              <w:jc w:val="center"/>
              <w:rPr>
                <w:bCs/>
                <w:sz w:val="22"/>
                <w:szCs w:val="22"/>
                <w:lang w:eastAsia="en-US"/>
              </w:rPr>
            </w:pPr>
          </w:p>
        </w:tc>
        <w:tc>
          <w:tcPr>
            <w:tcW w:w="468" w:type="pct"/>
            <w:tcBorders>
              <w:bottom w:val="single" w:sz="4" w:space="0" w:color="auto"/>
            </w:tcBorders>
            <w:shd w:val="clear" w:color="auto" w:fill="auto"/>
            <w:vAlign w:val="center"/>
          </w:tcPr>
          <w:p w14:paraId="3DEC3410" w14:textId="77777777" w:rsidR="004A0123" w:rsidRPr="00B74691" w:rsidRDefault="004A0123" w:rsidP="008A5C11">
            <w:pPr>
              <w:jc w:val="center"/>
              <w:rPr>
                <w:bCs/>
                <w:sz w:val="22"/>
                <w:szCs w:val="22"/>
                <w:lang w:eastAsia="en-US"/>
              </w:rPr>
            </w:pPr>
          </w:p>
        </w:tc>
        <w:tc>
          <w:tcPr>
            <w:tcW w:w="425" w:type="pct"/>
            <w:tcBorders>
              <w:bottom w:val="single" w:sz="4" w:space="0" w:color="auto"/>
            </w:tcBorders>
            <w:shd w:val="clear" w:color="auto" w:fill="auto"/>
            <w:vAlign w:val="center"/>
          </w:tcPr>
          <w:p w14:paraId="29962C92" w14:textId="77777777" w:rsidR="004A0123" w:rsidRPr="00B74691" w:rsidRDefault="004A0123" w:rsidP="008A5C11">
            <w:pPr>
              <w:jc w:val="center"/>
              <w:rPr>
                <w:bCs/>
                <w:sz w:val="22"/>
                <w:szCs w:val="22"/>
                <w:lang w:eastAsia="en-US"/>
              </w:rPr>
            </w:pPr>
          </w:p>
        </w:tc>
      </w:tr>
    </w:tbl>
    <w:p w14:paraId="745D0EFB" w14:textId="77777777" w:rsidR="004A0123" w:rsidRPr="00B74691" w:rsidRDefault="004A0123" w:rsidP="004A0123">
      <w:pPr>
        <w:ind w:firstLine="709"/>
        <w:jc w:val="both"/>
        <w:rPr>
          <w:color w:val="FF0000"/>
          <w:sz w:val="28"/>
          <w:szCs w:val="28"/>
        </w:rPr>
      </w:pPr>
    </w:p>
    <w:p w14:paraId="3114ADFE" w14:textId="77777777" w:rsidR="004A0123" w:rsidRPr="00B74691" w:rsidRDefault="004A0123" w:rsidP="004A0123">
      <w:pPr>
        <w:ind w:firstLine="709"/>
        <w:jc w:val="both"/>
        <w:rPr>
          <w:color w:val="FF0000"/>
          <w:sz w:val="28"/>
          <w:szCs w:val="28"/>
        </w:rPr>
      </w:pPr>
    </w:p>
    <w:p w14:paraId="0163C391" w14:textId="77777777" w:rsidR="004A0123" w:rsidRDefault="004A0123" w:rsidP="004A0123">
      <w:pPr>
        <w:tabs>
          <w:tab w:val="left" w:pos="5580"/>
          <w:tab w:val="left" w:pos="9498"/>
        </w:tabs>
        <w:ind w:right="-569" w:firstLine="142"/>
        <w:rPr>
          <w:color w:val="000000" w:themeColor="text1"/>
        </w:rPr>
      </w:pPr>
    </w:p>
    <w:p w14:paraId="6295EC6D" w14:textId="2C9BF9E6" w:rsidR="00F22587" w:rsidRDefault="00F22587" w:rsidP="00F22587">
      <w:pPr>
        <w:autoSpaceDE w:val="0"/>
        <w:autoSpaceDN w:val="0"/>
        <w:adjustRightInd w:val="0"/>
        <w:ind w:firstLine="5387"/>
        <w:rPr>
          <w:color w:val="000000" w:themeColor="text1"/>
        </w:rPr>
      </w:pPr>
    </w:p>
    <w:p w14:paraId="76CEC065" w14:textId="77777777" w:rsidR="00F22587" w:rsidRDefault="00F22587" w:rsidP="00F22587">
      <w:pPr>
        <w:autoSpaceDE w:val="0"/>
        <w:autoSpaceDN w:val="0"/>
        <w:adjustRightInd w:val="0"/>
        <w:ind w:firstLine="5387"/>
        <w:rPr>
          <w:color w:val="000000" w:themeColor="text1"/>
        </w:rPr>
      </w:pPr>
    </w:p>
    <w:p w14:paraId="2AB30DAA" w14:textId="77777777" w:rsidR="00F22587" w:rsidRDefault="00F22587" w:rsidP="00F22587">
      <w:pPr>
        <w:autoSpaceDE w:val="0"/>
        <w:autoSpaceDN w:val="0"/>
        <w:adjustRightInd w:val="0"/>
        <w:ind w:firstLine="5387"/>
        <w:rPr>
          <w:color w:val="000000" w:themeColor="text1"/>
        </w:rPr>
      </w:pPr>
    </w:p>
    <w:p w14:paraId="313078DB" w14:textId="2C735731" w:rsidR="00F22587" w:rsidRDefault="00F22587" w:rsidP="001E6CA3">
      <w:pPr>
        <w:tabs>
          <w:tab w:val="left" w:pos="5580"/>
          <w:tab w:val="left" w:pos="9498"/>
        </w:tabs>
        <w:ind w:right="-569"/>
        <w:rPr>
          <w:sz w:val="28"/>
          <w:szCs w:val="28"/>
        </w:rPr>
      </w:pPr>
    </w:p>
    <w:p w14:paraId="5FE4BDA7" w14:textId="654C9B1D" w:rsidR="004A7B7D" w:rsidRDefault="004A7B7D" w:rsidP="001E6CA3">
      <w:pPr>
        <w:tabs>
          <w:tab w:val="left" w:pos="5580"/>
          <w:tab w:val="left" w:pos="9498"/>
        </w:tabs>
        <w:ind w:right="-569"/>
        <w:rPr>
          <w:sz w:val="28"/>
          <w:szCs w:val="28"/>
        </w:rPr>
      </w:pPr>
    </w:p>
    <w:p w14:paraId="46E79382" w14:textId="3D12B240" w:rsidR="004A7B7D" w:rsidRDefault="004A7B7D" w:rsidP="001E6CA3">
      <w:pPr>
        <w:tabs>
          <w:tab w:val="left" w:pos="5580"/>
          <w:tab w:val="left" w:pos="9498"/>
        </w:tabs>
        <w:ind w:right="-569"/>
        <w:rPr>
          <w:sz w:val="28"/>
          <w:szCs w:val="28"/>
        </w:rPr>
      </w:pPr>
    </w:p>
    <w:p w14:paraId="114D1ACB" w14:textId="5609938B" w:rsidR="004A7B7D" w:rsidRDefault="004A7B7D" w:rsidP="001E6CA3">
      <w:pPr>
        <w:tabs>
          <w:tab w:val="left" w:pos="5580"/>
          <w:tab w:val="left" w:pos="9498"/>
        </w:tabs>
        <w:ind w:right="-569"/>
        <w:rPr>
          <w:sz w:val="28"/>
          <w:szCs w:val="28"/>
        </w:rPr>
      </w:pPr>
    </w:p>
    <w:p w14:paraId="486E255F" w14:textId="449C7A3D" w:rsidR="004A7B7D" w:rsidRDefault="004A7B7D" w:rsidP="001E6CA3">
      <w:pPr>
        <w:tabs>
          <w:tab w:val="left" w:pos="5580"/>
          <w:tab w:val="left" w:pos="9498"/>
        </w:tabs>
        <w:ind w:right="-569"/>
        <w:rPr>
          <w:sz w:val="28"/>
          <w:szCs w:val="28"/>
        </w:rPr>
      </w:pPr>
    </w:p>
    <w:p w14:paraId="420A5000" w14:textId="20ABE1AD" w:rsidR="004A7B7D" w:rsidRDefault="004A7B7D" w:rsidP="001E6CA3">
      <w:pPr>
        <w:tabs>
          <w:tab w:val="left" w:pos="5580"/>
          <w:tab w:val="left" w:pos="9498"/>
        </w:tabs>
        <w:ind w:right="-569"/>
        <w:rPr>
          <w:sz w:val="28"/>
          <w:szCs w:val="28"/>
        </w:rPr>
      </w:pPr>
    </w:p>
    <w:p w14:paraId="7CFD5CDF" w14:textId="1EE0CB9A" w:rsidR="004A7B7D" w:rsidRDefault="004A7B7D" w:rsidP="001E6CA3">
      <w:pPr>
        <w:tabs>
          <w:tab w:val="left" w:pos="5580"/>
          <w:tab w:val="left" w:pos="9498"/>
        </w:tabs>
        <w:ind w:right="-569"/>
        <w:rPr>
          <w:sz w:val="28"/>
          <w:szCs w:val="28"/>
        </w:rPr>
      </w:pPr>
    </w:p>
    <w:p w14:paraId="30EF9EB3" w14:textId="73A80500" w:rsidR="004A7B7D" w:rsidRDefault="004A7B7D" w:rsidP="001E6CA3">
      <w:pPr>
        <w:tabs>
          <w:tab w:val="left" w:pos="5580"/>
          <w:tab w:val="left" w:pos="9498"/>
        </w:tabs>
        <w:ind w:right="-569"/>
        <w:rPr>
          <w:sz w:val="28"/>
          <w:szCs w:val="28"/>
        </w:rPr>
      </w:pPr>
    </w:p>
    <w:p w14:paraId="0FD4D840" w14:textId="7378BD7A" w:rsidR="004A7B7D" w:rsidRDefault="004A7B7D" w:rsidP="001E6CA3">
      <w:pPr>
        <w:tabs>
          <w:tab w:val="left" w:pos="5580"/>
          <w:tab w:val="left" w:pos="9498"/>
        </w:tabs>
        <w:ind w:right="-569"/>
        <w:rPr>
          <w:sz w:val="28"/>
          <w:szCs w:val="28"/>
        </w:rPr>
      </w:pPr>
    </w:p>
    <w:p w14:paraId="7A09F44B" w14:textId="6AEDCE90" w:rsidR="004A7B7D" w:rsidRDefault="004A7B7D" w:rsidP="001E6CA3">
      <w:pPr>
        <w:tabs>
          <w:tab w:val="left" w:pos="5580"/>
          <w:tab w:val="left" w:pos="9498"/>
        </w:tabs>
        <w:ind w:right="-569"/>
        <w:rPr>
          <w:sz w:val="28"/>
          <w:szCs w:val="28"/>
        </w:rPr>
      </w:pPr>
    </w:p>
    <w:p w14:paraId="1A61FCC0" w14:textId="3C2A00BB" w:rsidR="004A7B7D" w:rsidRDefault="004A7B7D" w:rsidP="004A7B7D">
      <w:pPr>
        <w:autoSpaceDE w:val="0"/>
        <w:autoSpaceDN w:val="0"/>
        <w:adjustRightInd w:val="0"/>
        <w:ind w:firstLine="5387"/>
        <w:rPr>
          <w:color w:val="000000" w:themeColor="text1"/>
        </w:rPr>
      </w:pPr>
    </w:p>
    <w:p w14:paraId="326ADB81" w14:textId="4873A7F9" w:rsidR="004A7B7D" w:rsidRDefault="004A7B7D" w:rsidP="004A7B7D">
      <w:pPr>
        <w:autoSpaceDE w:val="0"/>
        <w:autoSpaceDN w:val="0"/>
        <w:adjustRightInd w:val="0"/>
        <w:ind w:firstLine="5387"/>
        <w:rPr>
          <w:color w:val="000000" w:themeColor="text1"/>
        </w:rPr>
      </w:pPr>
    </w:p>
    <w:p w14:paraId="17FFD992" w14:textId="77777777" w:rsidR="004A7B7D" w:rsidRDefault="004A7B7D" w:rsidP="004A7B7D">
      <w:pPr>
        <w:autoSpaceDE w:val="0"/>
        <w:autoSpaceDN w:val="0"/>
        <w:adjustRightInd w:val="0"/>
        <w:ind w:firstLine="5387"/>
        <w:rPr>
          <w:color w:val="000000" w:themeColor="text1"/>
        </w:rPr>
      </w:pPr>
    </w:p>
    <w:p w14:paraId="401A6B1D" w14:textId="77777777" w:rsidR="004A7B7D" w:rsidRPr="00D76927" w:rsidRDefault="004A7B7D" w:rsidP="001E6CA3">
      <w:pPr>
        <w:tabs>
          <w:tab w:val="left" w:pos="5580"/>
          <w:tab w:val="left" w:pos="9498"/>
        </w:tabs>
        <w:ind w:right="-569"/>
        <w:rPr>
          <w:sz w:val="28"/>
          <w:szCs w:val="28"/>
        </w:rPr>
      </w:pPr>
    </w:p>
    <w:sectPr w:rsidR="004A7B7D" w:rsidRPr="00D76927" w:rsidSect="00F22587">
      <w:pgSz w:w="11906" w:h="16838"/>
      <w:pgMar w:top="709" w:right="851" w:bottom="851" w:left="709" w:header="425"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05F9D" w14:textId="77777777" w:rsidR="0099088D" w:rsidRDefault="0099088D" w:rsidP="00EC619F">
      <w:r>
        <w:separator/>
      </w:r>
    </w:p>
  </w:endnote>
  <w:endnote w:type="continuationSeparator" w:id="0">
    <w:p w14:paraId="1BAAB6D1" w14:textId="77777777" w:rsidR="0099088D" w:rsidRDefault="0099088D" w:rsidP="00EC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TimesDL">
    <w:altName w:val="Times New Roman"/>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43812"/>
      <w:docPartObj>
        <w:docPartGallery w:val="Page Numbers (Bottom of Page)"/>
        <w:docPartUnique/>
      </w:docPartObj>
    </w:sdtPr>
    <w:sdtContent>
      <w:p w14:paraId="6E07428C" w14:textId="09BE3371" w:rsidR="0099088D" w:rsidRDefault="0099088D" w:rsidP="00581E79">
        <w:pPr>
          <w:pStyle w:val="a9"/>
          <w:tabs>
            <w:tab w:val="left" w:pos="7409"/>
            <w:tab w:val="right" w:pos="8929"/>
          </w:tabs>
        </w:pPr>
        <w:r>
          <w:tab/>
        </w:r>
        <w:r>
          <w:tab/>
        </w:r>
        <w:r>
          <w:tab/>
        </w: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E355F" w14:textId="77777777" w:rsidR="00F22587" w:rsidRDefault="00F22587">
    <w:pPr>
      <w:pStyle w:val="a9"/>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A7099" w14:textId="77777777" w:rsidR="00F22587" w:rsidRDefault="00F22587">
    <w:pPr>
      <w:pStyle w:val="a9"/>
      <w:jc w:val="center"/>
    </w:pPr>
  </w:p>
  <w:p w14:paraId="385E77A6" w14:textId="77777777" w:rsidR="00F22587" w:rsidRDefault="00F22587">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9DC8B" w14:textId="77777777" w:rsidR="004A0123" w:rsidRDefault="004A0123">
    <w:pPr>
      <w:pStyle w:val="a9"/>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EDC138" w14:textId="77777777" w:rsidR="0099088D" w:rsidRDefault="0099088D" w:rsidP="00EC619F">
      <w:r>
        <w:separator/>
      </w:r>
    </w:p>
  </w:footnote>
  <w:footnote w:type="continuationSeparator" w:id="0">
    <w:p w14:paraId="627E4E77" w14:textId="77777777" w:rsidR="0099088D" w:rsidRDefault="0099088D" w:rsidP="00EC6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4531712"/>
      <w:docPartObj>
        <w:docPartGallery w:val="Page Numbers (Top of Page)"/>
        <w:docPartUnique/>
      </w:docPartObj>
    </w:sdtPr>
    <w:sdtContent>
      <w:p w14:paraId="03624EFE" w14:textId="77777777" w:rsidR="0099088D" w:rsidRDefault="0099088D">
        <w:pPr>
          <w:pStyle w:val="a7"/>
          <w:jc w:val="center"/>
        </w:pPr>
        <w:r>
          <w:fldChar w:fldCharType="begin"/>
        </w:r>
        <w:r>
          <w:instrText xml:space="preserve"> PAGE   \* MERGEFORMAT </w:instrText>
        </w:r>
        <w:r>
          <w:fldChar w:fldCharType="separate"/>
        </w:r>
        <w:r>
          <w:rPr>
            <w:noProof/>
          </w:rPr>
          <w:t>18</w:t>
        </w:r>
        <w:r>
          <w:rPr>
            <w:noProof/>
          </w:rPr>
          <w:fldChar w:fldCharType="end"/>
        </w:r>
      </w:p>
    </w:sdtContent>
  </w:sdt>
  <w:p w14:paraId="6D7D0FEE" w14:textId="77777777" w:rsidR="0099088D" w:rsidRDefault="0099088D">
    <w:pPr>
      <w:pStyle w:val="a7"/>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AB66F" w14:textId="77777777" w:rsidR="004A0123" w:rsidRPr="008645EE" w:rsidRDefault="004A0123">
    <w:pPr>
      <w:pStyle w:val="a7"/>
      <w:jc w:val="center"/>
      <w:rPr>
        <w:sz w:val="28"/>
        <w:szCs w:val="28"/>
      </w:rPr>
    </w:pPr>
    <w:r w:rsidRPr="008645EE">
      <w:rPr>
        <w:sz w:val="28"/>
        <w:szCs w:val="28"/>
      </w:rPr>
      <w:fldChar w:fldCharType="begin"/>
    </w:r>
    <w:r w:rsidRPr="008645EE">
      <w:rPr>
        <w:sz w:val="28"/>
        <w:szCs w:val="28"/>
      </w:rPr>
      <w:instrText>PAGE   \* MERGEFORMAT</w:instrText>
    </w:r>
    <w:r w:rsidRPr="008645EE">
      <w:rPr>
        <w:sz w:val="28"/>
        <w:szCs w:val="28"/>
      </w:rPr>
      <w:fldChar w:fldCharType="separate"/>
    </w:r>
    <w:r>
      <w:rPr>
        <w:noProof/>
        <w:sz w:val="28"/>
        <w:szCs w:val="28"/>
      </w:rPr>
      <w:t>6</w:t>
    </w:r>
    <w:r w:rsidRPr="008645EE">
      <w:rPr>
        <w:sz w:val="28"/>
        <w:szCs w:val="28"/>
      </w:rPr>
      <w:fldChar w:fldCharType="end"/>
    </w:r>
  </w:p>
  <w:p w14:paraId="39959585" w14:textId="77777777" w:rsidR="004A0123" w:rsidRDefault="004A0123">
    <w:pPr>
      <w:pStyle w:val="a7"/>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3F4A2" w14:textId="77777777" w:rsidR="004A0123" w:rsidRPr="009E423B" w:rsidRDefault="004A0123" w:rsidP="009E423B">
    <w:pPr>
      <w:pStyle w:val="a7"/>
      <w:jc w:val="center"/>
      <w:rPr>
        <w:sz w:val="2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9E81D" w14:textId="77777777" w:rsidR="004A0123" w:rsidRPr="00831B24" w:rsidRDefault="004A0123" w:rsidP="00831B24">
    <w:pPr>
      <w:pStyle w:val="a7"/>
      <w:jc w:val="center"/>
      <w:rPr>
        <w:sz w:val="28"/>
        <w:szCs w:val="28"/>
      </w:rPr>
    </w:pPr>
    <w:r w:rsidRPr="001A30CF">
      <w:rPr>
        <w:sz w:val="28"/>
        <w:szCs w:val="28"/>
      </w:rPr>
      <w:fldChar w:fldCharType="begin"/>
    </w:r>
    <w:r w:rsidRPr="001A30CF">
      <w:rPr>
        <w:sz w:val="28"/>
        <w:szCs w:val="28"/>
      </w:rPr>
      <w:instrText>PAGE   \* MERGEFORMAT</w:instrText>
    </w:r>
    <w:r w:rsidRPr="001A30CF">
      <w:rPr>
        <w:sz w:val="28"/>
        <w:szCs w:val="28"/>
      </w:rPr>
      <w:fldChar w:fldCharType="separate"/>
    </w:r>
    <w:r>
      <w:rPr>
        <w:noProof/>
        <w:sz w:val="28"/>
        <w:szCs w:val="28"/>
      </w:rPr>
      <w:t>10</w:t>
    </w:r>
    <w:r w:rsidRPr="001A30CF">
      <w:rPr>
        <w:sz w:val="28"/>
        <w:szCs w:val="28"/>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CACC6" w14:textId="77777777" w:rsidR="004A0123" w:rsidRDefault="004A0123">
    <w:pPr>
      <w:pStyle w:val="a7"/>
      <w:jc w:val="center"/>
    </w:pPr>
    <w:r>
      <w:fldChar w:fldCharType="begin"/>
    </w:r>
    <w:r>
      <w:instrText>PAGE   \* MERGEFORMAT</w:instrText>
    </w:r>
    <w:r>
      <w:fldChar w:fldCharType="separate"/>
    </w:r>
    <w:r>
      <w:rPr>
        <w:noProof/>
      </w:rPr>
      <w:t>6</w:t>
    </w:r>
    <w:r>
      <w:fldChar w:fldCharType="end"/>
    </w:r>
  </w:p>
  <w:p w14:paraId="5EFCE7B1" w14:textId="77777777" w:rsidR="004A0123" w:rsidRDefault="004A0123">
    <w:pPr>
      <w:pStyle w:val="a7"/>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C6F99" w14:textId="77777777" w:rsidR="004A0123" w:rsidRPr="009E423B" w:rsidRDefault="004A0123" w:rsidP="009E423B">
    <w:pPr>
      <w:pStyle w:val="a7"/>
      <w:jc w:val="center"/>
      <w:rPr>
        <w:sz w:val="28"/>
      </w:rPr>
    </w:pPr>
    <w:r w:rsidRPr="009E423B">
      <w:rPr>
        <w:sz w:val="28"/>
      </w:rPr>
      <w:t>4</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43F1F" w14:textId="77777777" w:rsidR="004A0123" w:rsidRPr="00831B24" w:rsidRDefault="004A0123" w:rsidP="00831B24">
    <w:pPr>
      <w:pStyle w:val="a7"/>
      <w:jc w:val="center"/>
      <w:rPr>
        <w:sz w:val="28"/>
        <w:szCs w:val="28"/>
      </w:rPr>
    </w:pPr>
    <w:r w:rsidRPr="001A30CF">
      <w:rPr>
        <w:sz w:val="28"/>
        <w:szCs w:val="28"/>
      </w:rPr>
      <w:fldChar w:fldCharType="begin"/>
    </w:r>
    <w:r w:rsidRPr="001A30CF">
      <w:rPr>
        <w:sz w:val="28"/>
        <w:szCs w:val="28"/>
      </w:rPr>
      <w:instrText>PAGE   \* MERGEFORMAT</w:instrText>
    </w:r>
    <w:r w:rsidRPr="001A30CF">
      <w:rPr>
        <w:sz w:val="28"/>
        <w:szCs w:val="28"/>
      </w:rPr>
      <w:fldChar w:fldCharType="separate"/>
    </w:r>
    <w:r>
      <w:rPr>
        <w:noProof/>
        <w:sz w:val="28"/>
        <w:szCs w:val="28"/>
      </w:rPr>
      <w:t>11</w:t>
    </w:r>
    <w:r w:rsidRPr="001A30CF">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2722069"/>
      <w:docPartObj>
        <w:docPartGallery w:val="Page Numbers (Top of Page)"/>
        <w:docPartUnique/>
      </w:docPartObj>
    </w:sdtPr>
    <w:sdtContent>
      <w:p w14:paraId="31485506" w14:textId="77777777" w:rsidR="0099088D" w:rsidRDefault="0099088D">
        <w:pPr>
          <w:pStyle w:val="a7"/>
          <w:jc w:val="center"/>
        </w:pPr>
        <w:r>
          <w:fldChar w:fldCharType="begin"/>
        </w:r>
        <w:r>
          <w:instrText>PAGE   \* MERGEFORMAT</w:instrText>
        </w:r>
        <w:r>
          <w:fldChar w:fldCharType="separate"/>
        </w:r>
        <w:r>
          <w:rPr>
            <w:noProof/>
          </w:rPr>
          <w:t>14</w:t>
        </w:r>
        <w:r>
          <w:fldChar w:fldCharType="end"/>
        </w:r>
      </w:p>
    </w:sdtContent>
  </w:sdt>
  <w:p w14:paraId="3EF291BC" w14:textId="77777777" w:rsidR="0099088D" w:rsidRDefault="0099088D">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A3EBF" w14:textId="77777777" w:rsidR="001C56BD" w:rsidRDefault="001C56BD">
    <w:pPr>
      <w:pStyle w:val="a7"/>
      <w:jc w:val="center"/>
    </w:pPr>
    <w:r>
      <w:fldChar w:fldCharType="begin"/>
    </w:r>
    <w:r>
      <w:instrText>PAGE   \* MERGEFORMAT</w:instrText>
    </w:r>
    <w:r>
      <w:fldChar w:fldCharType="separate"/>
    </w:r>
    <w:r>
      <w:rPr>
        <w:noProof/>
      </w:rPr>
      <w:t>5</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0CE9D" w14:textId="77777777" w:rsidR="001C56BD" w:rsidRPr="009E423B" w:rsidRDefault="001C56BD" w:rsidP="009E423B">
    <w:pPr>
      <w:pStyle w:val="a7"/>
      <w:jc w:val="center"/>
      <w:rPr>
        <w:sz w:val="28"/>
      </w:rPr>
    </w:pPr>
    <w:r w:rsidRPr="009E423B">
      <w:rPr>
        <w:sz w:val="28"/>
      </w:rPr>
      <w:t>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FBDC0" w14:textId="77777777" w:rsidR="00F22587" w:rsidRDefault="00F22587">
    <w:pPr>
      <w:pStyle w:val="a7"/>
      <w:jc w:val="center"/>
    </w:pPr>
    <w:r>
      <w:fldChar w:fldCharType="begin"/>
    </w:r>
    <w:r>
      <w:instrText>PAGE   \* MERGEFORMAT</w:instrText>
    </w:r>
    <w:r>
      <w:fldChar w:fldCharType="separate"/>
    </w:r>
    <w:r>
      <w:rPr>
        <w:noProof/>
      </w:rPr>
      <w:t>3</w:t>
    </w:r>
    <w:r>
      <w:fldChar w:fldCharType="end"/>
    </w:r>
  </w:p>
  <w:p w14:paraId="06DF59AD" w14:textId="77777777" w:rsidR="00F22587" w:rsidRDefault="00F22587">
    <w:pPr>
      <w:pStyle w:val="a7"/>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F7350" w14:textId="77777777" w:rsidR="00F22587" w:rsidRPr="005A5CF0" w:rsidRDefault="00F22587">
    <w:pPr>
      <w:pStyle w:val="a7"/>
      <w:jc w:val="center"/>
      <w:rPr>
        <w:noProof/>
        <w:sz w:val="28"/>
        <w:szCs w:val="28"/>
      </w:rPr>
    </w:pPr>
    <w:r w:rsidRPr="005A5CF0">
      <w:rPr>
        <w:noProof/>
        <w:sz w:val="28"/>
        <w:szCs w:val="28"/>
      </w:rPr>
      <w:fldChar w:fldCharType="begin"/>
    </w:r>
    <w:r w:rsidRPr="005A5CF0">
      <w:rPr>
        <w:noProof/>
        <w:sz w:val="28"/>
        <w:szCs w:val="28"/>
      </w:rPr>
      <w:instrText>PAGE   \* MERGEFORMAT</w:instrText>
    </w:r>
    <w:r w:rsidRPr="005A5CF0">
      <w:rPr>
        <w:noProof/>
        <w:sz w:val="28"/>
        <w:szCs w:val="28"/>
      </w:rPr>
      <w:fldChar w:fldCharType="separate"/>
    </w:r>
    <w:r>
      <w:rPr>
        <w:noProof/>
        <w:sz w:val="28"/>
        <w:szCs w:val="28"/>
      </w:rPr>
      <w:t>4</w:t>
    </w:r>
    <w:r w:rsidRPr="005A5CF0">
      <w:rPr>
        <w:noProof/>
        <w:sz w:val="28"/>
        <w:szCs w:val="28"/>
      </w:rPr>
      <w:fldChar w:fldCharType="end"/>
    </w:r>
  </w:p>
  <w:p w14:paraId="62B77AD5" w14:textId="77777777" w:rsidR="00F22587" w:rsidRDefault="00F22587">
    <w:pPr>
      <w:pStyle w:val="a7"/>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27D6B" w14:textId="77777777" w:rsidR="00F22587" w:rsidRPr="006B7E9E" w:rsidRDefault="00F22587" w:rsidP="006B7E9E">
    <w:pPr>
      <w:pStyle w:val="a7"/>
      <w:jc w:val="center"/>
      <w:rPr>
        <w:sz w:val="28"/>
        <w:szCs w:val="28"/>
      </w:rPr>
    </w:pPr>
    <w:r w:rsidRPr="000936DC">
      <w:rPr>
        <w:sz w:val="28"/>
        <w:szCs w:val="28"/>
      </w:rPr>
      <w:fldChar w:fldCharType="begin"/>
    </w:r>
    <w:r w:rsidRPr="000936DC">
      <w:rPr>
        <w:sz w:val="28"/>
        <w:szCs w:val="28"/>
      </w:rPr>
      <w:instrText>PAGE   \* MERGEFORMAT</w:instrText>
    </w:r>
    <w:r w:rsidRPr="000936DC">
      <w:rPr>
        <w:sz w:val="28"/>
        <w:szCs w:val="28"/>
      </w:rPr>
      <w:fldChar w:fldCharType="separate"/>
    </w:r>
    <w:r>
      <w:rPr>
        <w:noProof/>
        <w:sz w:val="28"/>
        <w:szCs w:val="28"/>
      </w:rPr>
      <w:t>7</w:t>
    </w:r>
    <w:r w:rsidRPr="000936DC">
      <w:rPr>
        <w:sz w:val="28"/>
        <w:szCs w:val="28"/>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24A57" w14:textId="77777777" w:rsidR="00F22587" w:rsidRPr="006B7E9E" w:rsidRDefault="00F22587" w:rsidP="001A101C">
    <w:pPr>
      <w:pStyle w:val="a7"/>
      <w:jc w:val="center"/>
      <w:rPr>
        <w:sz w:val="28"/>
        <w:szCs w:val="28"/>
      </w:rPr>
    </w:pPr>
    <w:r w:rsidRPr="000936DC">
      <w:rPr>
        <w:sz w:val="28"/>
        <w:szCs w:val="28"/>
      </w:rPr>
      <w:fldChar w:fldCharType="begin"/>
    </w:r>
    <w:r w:rsidRPr="000936DC">
      <w:rPr>
        <w:sz w:val="28"/>
        <w:szCs w:val="28"/>
      </w:rPr>
      <w:instrText>PAGE   \* MERGEFORMAT</w:instrText>
    </w:r>
    <w:r w:rsidRPr="000936DC">
      <w:rPr>
        <w:sz w:val="28"/>
        <w:szCs w:val="28"/>
      </w:rPr>
      <w:fldChar w:fldCharType="separate"/>
    </w:r>
    <w:r>
      <w:rPr>
        <w:noProof/>
        <w:sz w:val="28"/>
        <w:szCs w:val="28"/>
      </w:rPr>
      <w:t>6</w:t>
    </w:r>
    <w:r w:rsidRPr="000936DC">
      <w:rPr>
        <w:sz w:val="28"/>
        <w:szCs w:val="28"/>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2406E" w14:textId="77777777" w:rsidR="004A0123" w:rsidRDefault="004A0123">
    <w:pPr>
      <w:pStyle w:val="a7"/>
      <w:jc w:val="center"/>
    </w:pPr>
    <w:r>
      <w:fldChar w:fldCharType="begin"/>
    </w:r>
    <w:r>
      <w:instrText>PAGE   \* MERGEFORMAT</w:instrText>
    </w:r>
    <w:r>
      <w:fldChar w:fldCharType="separate"/>
    </w:r>
    <w:r>
      <w:rPr>
        <w:noProof/>
      </w:rPr>
      <w:t>6</w:t>
    </w:r>
    <w:r>
      <w:fldChar w:fldCharType="end"/>
    </w:r>
  </w:p>
  <w:p w14:paraId="4D7EA2FD" w14:textId="77777777" w:rsidR="004A0123" w:rsidRDefault="004A012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02496B2"/>
    <w:lvl w:ilvl="0">
      <w:start w:val="1"/>
      <w:numFmt w:val="decimal"/>
      <w:pStyle w:val="a"/>
      <w:lvlText w:val="%1."/>
      <w:lvlJc w:val="left"/>
      <w:pPr>
        <w:tabs>
          <w:tab w:val="num" w:pos="785"/>
        </w:tabs>
        <w:ind w:left="785"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0310213"/>
    <w:multiLevelType w:val="hybridMultilevel"/>
    <w:tmpl w:val="6BD2F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31E5557"/>
    <w:multiLevelType w:val="hybridMultilevel"/>
    <w:tmpl w:val="51488D3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05345C23"/>
    <w:multiLevelType w:val="hybridMultilevel"/>
    <w:tmpl w:val="F3300334"/>
    <w:lvl w:ilvl="0" w:tplc="8A9E799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0FFF4D3D"/>
    <w:multiLevelType w:val="hybridMultilevel"/>
    <w:tmpl w:val="5212CE26"/>
    <w:lvl w:ilvl="0" w:tplc="42E46F64">
      <w:start w:val="1"/>
      <w:numFmt w:val="decimal"/>
      <w:lvlText w:val="%1."/>
      <w:lvlJc w:val="left"/>
      <w:pPr>
        <w:tabs>
          <w:tab w:val="num" w:pos="720"/>
        </w:tabs>
        <w:ind w:left="0" w:firstLine="360"/>
      </w:pPr>
      <w:rPr>
        <w:rFonts w:ascii="Times New Roman" w:hAnsi="Times New Roman" w:cs="Times New Roman" w:hint="default"/>
        <w:b w:val="0"/>
        <w:i w:val="0"/>
        <w:sz w:val="28"/>
      </w:rPr>
    </w:lvl>
    <w:lvl w:ilvl="1" w:tplc="A1CC90D6">
      <w:start w:val="3"/>
      <w:numFmt w:val="decimal"/>
      <w:lvlText w:val="%2."/>
      <w:lvlJc w:val="left"/>
      <w:pPr>
        <w:tabs>
          <w:tab w:val="num" w:pos="717"/>
        </w:tabs>
        <w:ind w:left="0" w:firstLine="357"/>
      </w:pPr>
      <w:rPr>
        <w:rFonts w:ascii="Times New Roman" w:hAnsi="Times New Roman" w:cs="Times New Roman" w:hint="default"/>
        <w:b w:val="0"/>
        <w:i w:val="0"/>
        <w:sz w:val="28"/>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13B07F65"/>
    <w:multiLevelType w:val="multilevel"/>
    <w:tmpl w:val="02EC9AC8"/>
    <w:styleLink w:val="1"/>
    <w:lvl w:ilvl="0">
      <w:start w:val="1"/>
      <w:numFmt w:val="decimal"/>
      <w:lvlText w:val="%1."/>
      <w:lvlJc w:val="left"/>
      <w:pPr>
        <w:ind w:left="1084" w:hanging="375"/>
      </w:pPr>
      <w:rPr>
        <w:rFonts w:hint="default"/>
        <w:color w:val="auto"/>
      </w:rPr>
    </w:lvl>
    <w:lvl w:ilvl="1">
      <w:start w:val="1"/>
      <w:numFmt w:val="decimal"/>
      <w:lvlText w:val="%2)"/>
      <w:lvlJc w:val="left"/>
      <w:pPr>
        <w:ind w:left="107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0" w15:restartNumberingAfterBreak="0">
    <w:nsid w:val="1A142A4C"/>
    <w:multiLevelType w:val="hybridMultilevel"/>
    <w:tmpl w:val="AC7A34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A991246"/>
    <w:multiLevelType w:val="hybridMultilevel"/>
    <w:tmpl w:val="DB1200EC"/>
    <w:lvl w:ilvl="0" w:tplc="64243140">
      <w:start w:val="6"/>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2" w15:restartNumberingAfterBreak="0">
    <w:nsid w:val="1B3E620E"/>
    <w:multiLevelType w:val="hybridMultilevel"/>
    <w:tmpl w:val="221609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1EE85E4F"/>
    <w:multiLevelType w:val="singleLevel"/>
    <w:tmpl w:val="6CD25184"/>
    <w:lvl w:ilvl="0">
      <w:start w:val="1"/>
      <w:numFmt w:val="decimal"/>
      <w:lvlText w:val="%1."/>
      <w:lvlJc w:val="left"/>
      <w:pPr>
        <w:tabs>
          <w:tab w:val="num" w:pos="1211"/>
        </w:tabs>
        <w:ind w:left="1211" w:hanging="360"/>
      </w:pPr>
      <w:rPr>
        <w:rFonts w:hint="default"/>
      </w:rPr>
    </w:lvl>
  </w:abstractNum>
  <w:abstractNum w:abstractNumId="24" w15:restartNumberingAfterBreak="0">
    <w:nsid w:val="22887EE0"/>
    <w:multiLevelType w:val="hybridMultilevel"/>
    <w:tmpl w:val="64E400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29374D32"/>
    <w:multiLevelType w:val="hybridMultilevel"/>
    <w:tmpl w:val="805CF122"/>
    <w:lvl w:ilvl="0" w:tplc="0980EF8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2D944CCA"/>
    <w:multiLevelType w:val="singleLevel"/>
    <w:tmpl w:val="2DCC6428"/>
    <w:lvl w:ilvl="0">
      <w:start w:val="2"/>
      <w:numFmt w:val="bullet"/>
      <w:lvlText w:val="-"/>
      <w:lvlJc w:val="left"/>
      <w:pPr>
        <w:tabs>
          <w:tab w:val="num" w:pos="1080"/>
        </w:tabs>
        <w:ind w:left="1080" w:hanging="360"/>
      </w:pPr>
      <w:rPr>
        <w:rFonts w:hint="default"/>
      </w:rPr>
    </w:lvl>
  </w:abstractNum>
  <w:abstractNum w:abstractNumId="28"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7EE54A6"/>
    <w:multiLevelType w:val="hybridMultilevel"/>
    <w:tmpl w:val="F5382F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94728AC"/>
    <w:multiLevelType w:val="singleLevel"/>
    <w:tmpl w:val="239C7926"/>
    <w:lvl w:ilvl="0">
      <w:start w:val="1"/>
      <w:numFmt w:val="decimal"/>
      <w:lvlText w:val="%1."/>
      <w:lvlJc w:val="left"/>
      <w:pPr>
        <w:tabs>
          <w:tab w:val="num" w:pos="1271"/>
        </w:tabs>
        <w:ind w:left="1271" w:hanging="420"/>
      </w:pPr>
      <w:rPr>
        <w:rFonts w:hint="default"/>
        <w:b w:val="0"/>
      </w:rPr>
    </w:lvl>
  </w:abstractNum>
  <w:abstractNum w:abstractNumId="31" w15:restartNumberingAfterBreak="0">
    <w:nsid w:val="43FA0BAA"/>
    <w:multiLevelType w:val="hybridMultilevel"/>
    <w:tmpl w:val="77FEC3B0"/>
    <w:lvl w:ilvl="0" w:tplc="EB467B5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15:restartNumberingAfterBreak="0">
    <w:nsid w:val="45116730"/>
    <w:multiLevelType w:val="hybridMultilevel"/>
    <w:tmpl w:val="2752CF90"/>
    <w:lvl w:ilvl="0" w:tplc="575A6B3A">
      <w:start w:val="1"/>
      <w:numFmt w:val="decimal"/>
      <w:lvlText w:val="%1."/>
      <w:lvlJc w:val="left"/>
      <w:pPr>
        <w:ind w:left="2425" w:hanging="129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3" w15:restartNumberingAfterBreak="0">
    <w:nsid w:val="4BD031A0"/>
    <w:multiLevelType w:val="hybridMultilevel"/>
    <w:tmpl w:val="EF8438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E892921"/>
    <w:multiLevelType w:val="hybridMultilevel"/>
    <w:tmpl w:val="1C043C68"/>
    <w:lvl w:ilvl="0" w:tplc="8A9E799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17E0E44"/>
    <w:multiLevelType w:val="hybridMultilevel"/>
    <w:tmpl w:val="0212C0F4"/>
    <w:lvl w:ilvl="0" w:tplc="19BE0D1A">
      <w:start w:val="1"/>
      <w:numFmt w:val="decimal"/>
      <w:lvlText w:val="%1."/>
      <w:lvlJc w:val="left"/>
      <w:pPr>
        <w:tabs>
          <w:tab w:val="num" w:pos="1429"/>
        </w:tabs>
        <w:ind w:left="1429" w:hanging="360"/>
      </w:pPr>
      <w:rPr>
        <w:rFonts w:ascii="Times New Roman" w:hAnsi="Times New Roman" w:hint="default"/>
        <w:b w:val="0"/>
        <w:i w:val="0"/>
        <w:sz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6" w15:restartNumberingAfterBreak="0">
    <w:nsid w:val="54F511E7"/>
    <w:multiLevelType w:val="hybridMultilevel"/>
    <w:tmpl w:val="F68CDFE4"/>
    <w:lvl w:ilvl="0" w:tplc="4524F1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C9C1614"/>
    <w:multiLevelType w:val="hybridMultilevel"/>
    <w:tmpl w:val="508C71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62552897"/>
    <w:multiLevelType w:val="hybridMultilevel"/>
    <w:tmpl w:val="68AE5628"/>
    <w:lvl w:ilvl="0" w:tplc="4CFCAFC6">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666B6D8A"/>
    <w:multiLevelType w:val="hybridMultilevel"/>
    <w:tmpl w:val="163A226A"/>
    <w:lvl w:ilvl="0" w:tplc="6CFA4C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6A422F12"/>
    <w:multiLevelType w:val="hybridMultilevel"/>
    <w:tmpl w:val="06A683C6"/>
    <w:styleLink w:val="1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6BB4248F"/>
    <w:multiLevelType w:val="multilevel"/>
    <w:tmpl w:val="9634AD2E"/>
    <w:lvl w:ilvl="0">
      <w:start w:val="1"/>
      <w:numFmt w:val="decimal"/>
      <w:lvlText w:val="%1."/>
      <w:lvlJc w:val="left"/>
      <w:pPr>
        <w:ind w:left="1069"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2" w15:restartNumberingAfterBreak="0">
    <w:nsid w:val="6E724BD1"/>
    <w:multiLevelType w:val="hybridMultilevel"/>
    <w:tmpl w:val="C610F1E4"/>
    <w:lvl w:ilvl="0" w:tplc="04190001">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F8F20B3"/>
    <w:multiLevelType w:val="hybridMultilevel"/>
    <w:tmpl w:val="3744ABB6"/>
    <w:lvl w:ilvl="0" w:tplc="13DA02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4" w15:restartNumberingAfterBreak="0">
    <w:nsid w:val="6FCE7FE0"/>
    <w:multiLevelType w:val="hybridMultilevel"/>
    <w:tmpl w:val="C46CFD8C"/>
    <w:lvl w:ilvl="0" w:tplc="94C82F66">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76F5577B"/>
    <w:multiLevelType w:val="hybridMultilevel"/>
    <w:tmpl w:val="3A0E7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EB71434"/>
    <w:multiLevelType w:val="hybridMultilevel"/>
    <w:tmpl w:val="64EC4974"/>
    <w:lvl w:ilvl="0" w:tplc="EB467B5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
  </w:num>
  <w:num w:numId="2">
    <w:abstractNumId w:val="0"/>
  </w:num>
  <w:num w:numId="3">
    <w:abstractNumId w:val="19"/>
  </w:num>
  <w:num w:numId="4">
    <w:abstractNumId w:val="40"/>
  </w:num>
  <w:num w:numId="5">
    <w:abstractNumId w:val="2"/>
  </w:num>
  <w:num w:numId="6">
    <w:abstractNumId w:val="33"/>
  </w:num>
  <w:num w:numId="7">
    <w:abstractNumId w:val="25"/>
  </w:num>
  <w:num w:numId="8">
    <w:abstractNumId w:val="26"/>
  </w:num>
  <w:num w:numId="9">
    <w:abstractNumId w:val="39"/>
  </w:num>
  <w:num w:numId="10">
    <w:abstractNumId w:val="38"/>
  </w:num>
  <w:num w:numId="11">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3"/>
  </w:num>
  <w:num w:numId="13">
    <w:abstractNumId w:val="18"/>
  </w:num>
  <w:num w:numId="14">
    <w:abstractNumId w:val="37"/>
  </w:num>
  <w:num w:numId="15">
    <w:abstractNumId w:val="24"/>
  </w:num>
  <w:num w:numId="16">
    <w:abstractNumId w:val="45"/>
  </w:num>
  <w:num w:numId="17">
    <w:abstractNumId w:val="27"/>
  </w:num>
  <w:num w:numId="18">
    <w:abstractNumId w:val="23"/>
  </w:num>
  <w:num w:numId="19">
    <w:abstractNumId w:val="30"/>
  </w:num>
  <w:num w:numId="20">
    <w:abstractNumId w:val="35"/>
  </w:num>
  <w:num w:numId="21">
    <w:abstractNumId w:val="42"/>
  </w:num>
  <w:num w:numId="22">
    <w:abstractNumId w:val="21"/>
  </w:num>
  <w:num w:numId="23">
    <w:abstractNumId w:val="16"/>
  </w:num>
  <w:num w:numId="24">
    <w:abstractNumId w:val="32"/>
  </w:num>
  <w:num w:numId="25">
    <w:abstractNumId w:val="44"/>
  </w:num>
  <w:num w:numId="26">
    <w:abstractNumId w:val="2"/>
    <w:lvlOverride w:ilvl="0"/>
  </w:num>
  <w:num w:numId="27">
    <w:abstractNumId w:val="0"/>
    <w:lvlOverride w:ilvl="0">
      <w:startOverride w:val="1"/>
    </w:lvlOverride>
  </w:num>
  <w:num w:numId="28">
    <w:abstractNumId w:val="1"/>
    <w:lvlOverride w:ilvl="0">
      <w:startOverride w:val="1"/>
    </w:lvlOverride>
  </w:num>
  <w:num w:numId="29">
    <w:abstractNumId w:val="27"/>
    <w:lvlOverride w:ilvl="0"/>
  </w:num>
  <w:num w:numId="30">
    <w:abstractNumId w:val="41"/>
  </w:num>
  <w:num w:numId="31">
    <w:abstractNumId w:val="15"/>
  </w:num>
  <w:num w:numId="32">
    <w:abstractNumId w:val="20"/>
  </w:num>
  <w:num w:numId="33">
    <w:abstractNumId w:val="34"/>
  </w:num>
  <w:num w:numId="34">
    <w:abstractNumId w:val="22"/>
  </w:num>
  <w:num w:numId="35">
    <w:abstractNumId w:val="17"/>
  </w:num>
  <w:num w:numId="36">
    <w:abstractNumId w:val="28"/>
  </w:num>
  <w:num w:numId="37">
    <w:abstractNumId w:val="36"/>
  </w:num>
  <w:num w:numId="38">
    <w:abstractNumId w:val="31"/>
  </w:num>
  <w:num w:numId="39">
    <w:abstractNumId w:val="46"/>
  </w:num>
  <w:num w:numId="40">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68"/>
    <w:rsid w:val="00000158"/>
    <w:rsid w:val="000016C4"/>
    <w:rsid w:val="00001E2D"/>
    <w:rsid w:val="00002998"/>
    <w:rsid w:val="00002C95"/>
    <w:rsid w:val="00003960"/>
    <w:rsid w:val="00003AB8"/>
    <w:rsid w:val="00004E89"/>
    <w:rsid w:val="00005FC0"/>
    <w:rsid w:val="000063C4"/>
    <w:rsid w:val="00006433"/>
    <w:rsid w:val="00006697"/>
    <w:rsid w:val="00006891"/>
    <w:rsid w:val="000069AB"/>
    <w:rsid w:val="00007E94"/>
    <w:rsid w:val="00011041"/>
    <w:rsid w:val="0001399F"/>
    <w:rsid w:val="000140A5"/>
    <w:rsid w:val="00014671"/>
    <w:rsid w:val="000146A4"/>
    <w:rsid w:val="000146E4"/>
    <w:rsid w:val="000147DE"/>
    <w:rsid w:val="00014A7A"/>
    <w:rsid w:val="0001528A"/>
    <w:rsid w:val="0001529C"/>
    <w:rsid w:val="00016DF0"/>
    <w:rsid w:val="00017FE5"/>
    <w:rsid w:val="00021653"/>
    <w:rsid w:val="00021ED1"/>
    <w:rsid w:val="00022091"/>
    <w:rsid w:val="0002294C"/>
    <w:rsid w:val="00022ACB"/>
    <w:rsid w:val="00024517"/>
    <w:rsid w:val="000254B6"/>
    <w:rsid w:val="00025845"/>
    <w:rsid w:val="00025A87"/>
    <w:rsid w:val="00027A33"/>
    <w:rsid w:val="00027E48"/>
    <w:rsid w:val="00030878"/>
    <w:rsid w:val="0003101C"/>
    <w:rsid w:val="000320CC"/>
    <w:rsid w:val="00033709"/>
    <w:rsid w:val="000338E7"/>
    <w:rsid w:val="00033B03"/>
    <w:rsid w:val="00033E20"/>
    <w:rsid w:val="0003519E"/>
    <w:rsid w:val="00035AB3"/>
    <w:rsid w:val="00035F1C"/>
    <w:rsid w:val="00036490"/>
    <w:rsid w:val="000368AC"/>
    <w:rsid w:val="000373B3"/>
    <w:rsid w:val="0003753D"/>
    <w:rsid w:val="000401AD"/>
    <w:rsid w:val="00042EC9"/>
    <w:rsid w:val="00043232"/>
    <w:rsid w:val="00044110"/>
    <w:rsid w:val="000459D8"/>
    <w:rsid w:val="00045B40"/>
    <w:rsid w:val="00047538"/>
    <w:rsid w:val="00047C31"/>
    <w:rsid w:val="00047D10"/>
    <w:rsid w:val="00051DC9"/>
    <w:rsid w:val="000520EA"/>
    <w:rsid w:val="000520F8"/>
    <w:rsid w:val="00053640"/>
    <w:rsid w:val="00053783"/>
    <w:rsid w:val="00053C27"/>
    <w:rsid w:val="0005567C"/>
    <w:rsid w:val="00057087"/>
    <w:rsid w:val="00060A48"/>
    <w:rsid w:val="00060C91"/>
    <w:rsid w:val="00061337"/>
    <w:rsid w:val="0006141F"/>
    <w:rsid w:val="00061895"/>
    <w:rsid w:val="00061F52"/>
    <w:rsid w:val="00063B8B"/>
    <w:rsid w:val="00067B37"/>
    <w:rsid w:val="0007031A"/>
    <w:rsid w:val="000705EC"/>
    <w:rsid w:val="00070FB9"/>
    <w:rsid w:val="0007290C"/>
    <w:rsid w:val="00073764"/>
    <w:rsid w:val="000738DE"/>
    <w:rsid w:val="00076097"/>
    <w:rsid w:val="0007694B"/>
    <w:rsid w:val="00076B2C"/>
    <w:rsid w:val="00076DFD"/>
    <w:rsid w:val="00080AF7"/>
    <w:rsid w:val="00082886"/>
    <w:rsid w:val="00082B84"/>
    <w:rsid w:val="0008335E"/>
    <w:rsid w:val="0008369B"/>
    <w:rsid w:val="00084D37"/>
    <w:rsid w:val="00086632"/>
    <w:rsid w:val="00086DF3"/>
    <w:rsid w:val="000879D0"/>
    <w:rsid w:val="00091409"/>
    <w:rsid w:val="00091620"/>
    <w:rsid w:val="000926B0"/>
    <w:rsid w:val="0009283C"/>
    <w:rsid w:val="00095775"/>
    <w:rsid w:val="000958AB"/>
    <w:rsid w:val="00095E7F"/>
    <w:rsid w:val="00096BAD"/>
    <w:rsid w:val="00097D19"/>
    <w:rsid w:val="00097D2F"/>
    <w:rsid w:val="000A042A"/>
    <w:rsid w:val="000A0993"/>
    <w:rsid w:val="000A0D8E"/>
    <w:rsid w:val="000A2FBC"/>
    <w:rsid w:val="000A4A7A"/>
    <w:rsid w:val="000A4F46"/>
    <w:rsid w:val="000A5628"/>
    <w:rsid w:val="000A6AA8"/>
    <w:rsid w:val="000A784C"/>
    <w:rsid w:val="000B0B41"/>
    <w:rsid w:val="000B22F3"/>
    <w:rsid w:val="000B243D"/>
    <w:rsid w:val="000B2D71"/>
    <w:rsid w:val="000B2F7C"/>
    <w:rsid w:val="000B31B7"/>
    <w:rsid w:val="000B3F92"/>
    <w:rsid w:val="000B60B5"/>
    <w:rsid w:val="000C039E"/>
    <w:rsid w:val="000C08A7"/>
    <w:rsid w:val="000C1D3A"/>
    <w:rsid w:val="000C1EB9"/>
    <w:rsid w:val="000C310A"/>
    <w:rsid w:val="000C3749"/>
    <w:rsid w:val="000C39EC"/>
    <w:rsid w:val="000C40A3"/>
    <w:rsid w:val="000C47AB"/>
    <w:rsid w:val="000C5C74"/>
    <w:rsid w:val="000C6731"/>
    <w:rsid w:val="000C7358"/>
    <w:rsid w:val="000D129E"/>
    <w:rsid w:val="000D2BE2"/>
    <w:rsid w:val="000D2E0B"/>
    <w:rsid w:val="000D4DDC"/>
    <w:rsid w:val="000D539C"/>
    <w:rsid w:val="000D58AC"/>
    <w:rsid w:val="000D7369"/>
    <w:rsid w:val="000D7570"/>
    <w:rsid w:val="000D7654"/>
    <w:rsid w:val="000D7EA9"/>
    <w:rsid w:val="000E0922"/>
    <w:rsid w:val="000E0B4E"/>
    <w:rsid w:val="000E1D7B"/>
    <w:rsid w:val="000F1972"/>
    <w:rsid w:val="000F2576"/>
    <w:rsid w:val="000F278E"/>
    <w:rsid w:val="000F4190"/>
    <w:rsid w:val="000F4EB6"/>
    <w:rsid w:val="000F70E6"/>
    <w:rsid w:val="0010176F"/>
    <w:rsid w:val="00101F2D"/>
    <w:rsid w:val="001022F8"/>
    <w:rsid w:val="00102496"/>
    <w:rsid w:val="001032ED"/>
    <w:rsid w:val="00103490"/>
    <w:rsid w:val="001036EB"/>
    <w:rsid w:val="00104F8E"/>
    <w:rsid w:val="001070A9"/>
    <w:rsid w:val="0010712E"/>
    <w:rsid w:val="00107138"/>
    <w:rsid w:val="001072FC"/>
    <w:rsid w:val="001079C1"/>
    <w:rsid w:val="00110457"/>
    <w:rsid w:val="00110502"/>
    <w:rsid w:val="00111241"/>
    <w:rsid w:val="00111D8E"/>
    <w:rsid w:val="00112A62"/>
    <w:rsid w:val="00113ACF"/>
    <w:rsid w:val="00113D6B"/>
    <w:rsid w:val="00114184"/>
    <w:rsid w:val="00114AF3"/>
    <w:rsid w:val="00114C14"/>
    <w:rsid w:val="00115EFC"/>
    <w:rsid w:val="00117CD2"/>
    <w:rsid w:val="00117D13"/>
    <w:rsid w:val="001206AB"/>
    <w:rsid w:val="00120E71"/>
    <w:rsid w:val="0012235A"/>
    <w:rsid w:val="00123276"/>
    <w:rsid w:val="00125EDB"/>
    <w:rsid w:val="0012691E"/>
    <w:rsid w:val="001271E1"/>
    <w:rsid w:val="00127CDB"/>
    <w:rsid w:val="0013079E"/>
    <w:rsid w:val="00130962"/>
    <w:rsid w:val="00130CBE"/>
    <w:rsid w:val="00132E3B"/>
    <w:rsid w:val="00132E90"/>
    <w:rsid w:val="001332C6"/>
    <w:rsid w:val="001336B0"/>
    <w:rsid w:val="00133740"/>
    <w:rsid w:val="00134916"/>
    <w:rsid w:val="00136711"/>
    <w:rsid w:val="00137354"/>
    <w:rsid w:val="00140310"/>
    <w:rsid w:val="001403B0"/>
    <w:rsid w:val="00140D7D"/>
    <w:rsid w:val="00141A70"/>
    <w:rsid w:val="001420D8"/>
    <w:rsid w:val="00142703"/>
    <w:rsid w:val="00142B1E"/>
    <w:rsid w:val="00143C78"/>
    <w:rsid w:val="001450EF"/>
    <w:rsid w:val="0015036B"/>
    <w:rsid w:val="00150EE7"/>
    <w:rsid w:val="001519E8"/>
    <w:rsid w:val="00155061"/>
    <w:rsid w:val="0015588E"/>
    <w:rsid w:val="00155C26"/>
    <w:rsid w:val="00156338"/>
    <w:rsid w:val="001565FC"/>
    <w:rsid w:val="00156BC5"/>
    <w:rsid w:val="00161EB1"/>
    <w:rsid w:val="00162E11"/>
    <w:rsid w:val="00163E29"/>
    <w:rsid w:val="00164FF4"/>
    <w:rsid w:val="0016670A"/>
    <w:rsid w:val="001673C1"/>
    <w:rsid w:val="001724A8"/>
    <w:rsid w:val="00172924"/>
    <w:rsid w:val="00173033"/>
    <w:rsid w:val="00174967"/>
    <w:rsid w:val="00175C16"/>
    <w:rsid w:val="00175EF8"/>
    <w:rsid w:val="00175F94"/>
    <w:rsid w:val="00176B32"/>
    <w:rsid w:val="00176D97"/>
    <w:rsid w:val="001773B9"/>
    <w:rsid w:val="0018048A"/>
    <w:rsid w:val="0018075F"/>
    <w:rsid w:val="001815EA"/>
    <w:rsid w:val="00182E90"/>
    <w:rsid w:val="00184E77"/>
    <w:rsid w:val="001852EE"/>
    <w:rsid w:val="001855A4"/>
    <w:rsid w:val="001856EB"/>
    <w:rsid w:val="001871BE"/>
    <w:rsid w:val="0018768E"/>
    <w:rsid w:val="00190CAF"/>
    <w:rsid w:val="00191C06"/>
    <w:rsid w:val="00192C40"/>
    <w:rsid w:val="00194848"/>
    <w:rsid w:val="001948C6"/>
    <w:rsid w:val="00195299"/>
    <w:rsid w:val="00196BB5"/>
    <w:rsid w:val="001A334C"/>
    <w:rsid w:val="001A405D"/>
    <w:rsid w:val="001B019D"/>
    <w:rsid w:val="001B0875"/>
    <w:rsid w:val="001B11DE"/>
    <w:rsid w:val="001B144B"/>
    <w:rsid w:val="001B15E1"/>
    <w:rsid w:val="001B1F5F"/>
    <w:rsid w:val="001B2947"/>
    <w:rsid w:val="001B2DCE"/>
    <w:rsid w:val="001B4046"/>
    <w:rsid w:val="001B564F"/>
    <w:rsid w:val="001B60A8"/>
    <w:rsid w:val="001C0468"/>
    <w:rsid w:val="001C09D1"/>
    <w:rsid w:val="001C1AF3"/>
    <w:rsid w:val="001C2092"/>
    <w:rsid w:val="001C2897"/>
    <w:rsid w:val="001C32F6"/>
    <w:rsid w:val="001C3385"/>
    <w:rsid w:val="001C56BD"/>
    <w:rsid w:val="001C57A9"/>
    <w:rsid w:val="001C5BCA"/>
    <w:rsid w:val="001C6145"/>
    <w:rsid w:val="001C67A1"/>
    <w:rsid w:val="001C706C"/>
    <w:rsid w:val="001D0122"/>
    <w:rsid w:val="001D0C9E"/>
    <w:rsid w:val="001D1A59"/>
    <w:rsid w:val="001D2370"/>
    <w:rsid w:val="001D33E7"/>
    <w:rsid w:val="001D347A"/>
    <w:rsid w:val="001D3757"/>
    <w:rsid w:val="001D39FE"/>
    <w:rsid w:val="001D5265"/>
    <w:rsid w:val="001D7921"/>
    <w:rsid w:val="001E0EAA"/>
    <w:rsid w:val="001E13C6"/>
    <w:rsid w:val="001E2186"/>
    <w:rsid w:val="001E2948"/>
    <w:rsid w:val="001E351B"/>
    <w:rsid w:val="001E37C1"/>
    <w:rsid w:val="001E3ABF"/>
    <w:rsid w:val="001E3F55"/>
    <w:rsid w:val="001E5091"/>
    <w:rsid w:val="001E5627"/>
    <w:rsid w:val="001E6418"/>
    <w:rsid w:val="001E6CA3"/>
    <w:rsid w:val="001E702E"/>
    <w:rsid w:val="001E70EA"/>
    <w:rsid w:val="001F0659"/>
    <w:rsid w:val="001F1EA7"/>
    <w:rsid w:val="001F1EFA"/>
    <w:rsid w:val="001F4AB4"/>
    <w:rsid w:val="001F55E0"/>
    <w:rsid w:val="001F62DD"/>
    <w:rsid w:val="001F72B7"/>
    <w:rsid w:val="001F7659"/>
    <w:rsid w:val="001F7702"/>
    <w:rsid w:val="001F7AE4"/>
    <w:rsid w:val="001F7BFC"/>
    <w:rsid w:val="001F7C1C"/>
    <w:rsid w:val="00200EC6"/>
    <w:rsid w:val="002013C2"/>
    <w:rsid w:val="00201A71"/>
    <w:rsid w:val="00202463"/>
    <w:rsid w:val="002029DA"/>
    <w:rsid w:val="00203DB3"/>
    <w:rsid w:val="00204E37"/>
    <w:rsid w:val="00207010"/>
    <w:rsid w:val="00207026"/>
    <w:rsid w:val="00210134"/>
    <w:rsid w:val="00210857"/>
    <w:rsid w:val="0021088B"/>
    <w:rsid w:val="002109AB"/>
    <w:rsid w:val="00211A66"/>
    <w:rsid w:val="0021268B"/>
    <w:rsid w:val="00213094"/>
    <w:rsid w:val="00213712"/>
    <w:rsid w:val="00214773"/>
    <w:rsid w:val="0021491F"/>
    <w:rsid w:val="002154F5"/>
    <w:rsid w:val="002166A0"/>
    <w:rsid w:val="00217BD1"/>
    <w:rsid w:val="002208BC"/>
    <w:rsid w:val="00222ADD"/>
    <w:rsid w:val="00222EE3"/>
    <w:rsid w:val="00224C68"/>
    <w:rsid w:val="00224E24"/>
    <w:rsid w:val="002251D2"/>
    <w:rsid w:val="00225D96"/>
    <w:rsid w:val="00226C65"/>
    <w:rsid w:val="00227A02"/>
    <w:rsid w:val="002311D7"/>
    <w:rsid w:val="00232902"/>
    <w:rsid w:val="0023331B"/>
    <w:rsid w:val="00233C78"/>
    <w:rsid w:val="0023419D"/>
    <w:rsid w:val="0023495B"/>
    <w:rsid w:val="002350F6"/>
    <w:rsid w:val="002351D4"/>
    <w:rsid w:val="00235CF9"/>
    <w:rsid w:val="002363AD"/>
    <w:rsid w:val="002372B6"/>
    <w:rsid w:val="00237972"/>
    <w:rsid w:val="00237BBA"/>
    <w:rsid w:val="0024103D"/>
    <w:rsid w:val="002419E6"/>
    <w:rsid w:val="00241AF2"/>
    <w:rsid w:val="00241D96"/>
    <w:rsid w:val="00244037"/>
    <w:rsid w:val="00245753"/>
    <w:rsid w:val="00246973"/>
    <w:rsid w:val="0025084E"/>
    <w:rsid w:val="00251DD9"/>
    <w:rsid w:val="00252351"/>
    <w:rsid w:val="002530E1"/>
    <w:rsid w:val="00253B52"/>
    <w:rsid w:val="00253D86"/>
    <w:rsid w:val="0025446A"/>
    <w:rsid w:val="00254901"/>
    <w:rsid w:val="0025717B"/>
    <w:rsid w:val="00257CB6"/>
    <w:rsid w:val="002605EF"/>
    <w:rsid w:val="00262953"/>
    <w:rsid w:val="00263582"/>
    <w:rsid w:val="002645A6"/>
    <w:rsid w:val="00264EBD"/>
    <w:rsid w:val="00265802"/>
    <w:rsid w:val="00265FAE"/>
    <w:rsid w:val="0026719E"/>
    <w:rsid w:val="002671EF"/>
    <w:rsid w:val="002740FC"/>
    <w:rsid w:val="00274F0D"/>
    <w:rsid w:val="002762F4"/>
    <w:rsid w:val="0027730F"/>
    <w:rsid w:val="00280842"/>
    <w:rsid w:val="00281827"/>
    <w:rsid w:val="00281D0A"/>
    <w:rsid w:val="00282A5D"/>
    <w:rsid w:val="00283A63"/>
    <w:rsid w:val="002857F7"/>
    <w:rsid w:val="00285F4C"/>
    <w:rsid w:val="002905AA"/>
    <w:rsid w:val="0029103A"/>
    <w:rsid w:val="0029112F"/>
    <w:rsid w:val="002915F8"/>
    <w:rsid w:val="002919F4"/>
    <w:rsid w:val="00291F2C"/>
    <w:rsid w:val="00295640"/>
    <w:rsid w:val="002956C4"/>
    <w:rsid w:val="00295D30"/>
    <w:rsid w:val="002965A4"/>
    <w:rsid w:val="002970D9"/>
    <w:rsid w:val="00297DB5"/>
    <w:rsid w:val="002A1107"/>
    <w:rsid w:val="002A1697"/>
    <w:rsid w:val="002A178C"/>
    <w:rsid w:val="002A18D6"/>
    <w:rsid w:val="002A5E62"/>
    <w:rsid w:val="002A676B"/>
    <w:rsid w:val="002A6806"/>
    <w:rsid w:val="002A73DA"/>
    <w:rsid w:val="002A787B"/>
    <w:rsid w:val="002A7BFC"/>
    <w:rsid w:val="002B006C"/>
    <w:rsid w:val="002B072A"/>
    <w:rsid w:val="002B16C5"/>
    <w:rsid w:val="002B1AA1"/>
    <w:rsid w:val="002B1B6E"/>
    <w:rsid w:val="002B1D54"/>
    <w:rsid w:val="002B29A1"/>
    <w:rsid w:val="002B381E"/>
    <w:rsid w:val="002B3AD9"/>
    <w:rsid w:val="002B466B"/>
    <w:rsid w:val="002C109D"/>
    <w:rsid w:val="002C23A8"/>
    <w:rsid w:val="002C496E"/>
    <w:rsid w:val="002C4EED"/>
    <w:rsid w:val="002D0085"/>
    <w:rsid w:val="002D0E70"/>
    <w:rsid w:val="002D2F20"/>
    <w:rsid w:val="002D52CE"/>
    <w:rsid w:val="002D6547"/>
    <w:rsid w:val="002D6F16"/>
    <w:rsid w:val="002D6FA0"/>
    <w:rsid w:val="002D7390"/>
    <w:rsid w:val="002E0498"/>
    <w:rsid w:val="002E07C5"/>
    <w:rsid w:val="002E08A9"/>
    <w:rsid w:val="002E0ABF"/>
    <w:rsid w:val="002E1842"/>
    <w:rsid w:val="002E1D40"/>
    <w:rsid w:val="002E25DA"/>
    <w:rsid w:val="002E308C"/>
    <w:rsid w:val="002E3665"/>
    <w:rsid w:val="002E3EF0"/>
    <w:rsid w:val="002E4B86"/>
    <w:rsid w:val="002E6A71"/>
    <w:rsid w:val="002E6BF9"/>
    <w:rsid w:val="002E716D"/>
    <w:rsid w:val="002E7BAA"/>
    <w:rsid w:val="002E7BB4"/>
    <w:rsid w:val="002F22FC"/>
    <w:rsid w:val="002F33BE"/>
    <w:rsid w:val="002F34FD"/>
    <w:rsid w:val="002F3675"/>
    <w:rsid w:val="002F3B91"/>
    <w:rsid w:val="002F3E98"/>
    <w:rsid w:val="002F590A"/>
    <w:rsid w:val="002F68D3"/>
    <w:rsid w:val="002F6EA4"/>
    <w:rsid w:val="002F71F3"/>
    <w:rsid w:val="002F7360"/>
    <w:rsid w:val="002F7D90"/>
    <w:rsid w:val="00300AE2"/>
    <w:rsid w:val="00300DEA"/>
    <w:rsid w:val="00301931"/>
    <w:rsid w:val="00302298"/>
    <w:rsid w:val="00302950"/>
    <w:rsid w:val="0030596F"/>
    <w:rsid w:val="00306857"/>
    <w:rsid w:val="00306E5E"/>
    <w:rsid w:val="00307532"/>
    <w:rsid w:val="00307623"/>
    <w:rsid w:val="00310F82"/>
    <w:rsid w:val="003123A2"/>
    <w:rsid w:val="003140CA"/>
    <w:rsid w:val="003149E7"/>
    <w:rsid w:val="00314A4A"/>
    <w:rsid w:val="003152F6"/>
    <w:rsid w:val="00315C60"/>
    <w:rsid w:val="0031610D"/>
    <w:rsid w:val="0031679E"/>
    <w:rsid w:val="00316EA9"/>
    <w:rsid w:val="00316F82"/>
    <w:rsid w:val="00320694"/>
    <w:rsid w:val="00321070"/>
    <w:rsid w:val="0032289C"/>
    <w:rsid w:val="00322EDD"/>
    <w:rsid w:val="0032482C"/>
    <w:rsid w:val="00324BE8"/>
    <w:rsid w:val="00330D95"/>
    <w:rsid w:val="0033117F"/>
    <w:rsid w:val="00332F71"/>
    <w:rsid w:val="0033669A"/>
    <w:rsid w:val="0033795B"/>
    <w:rsid w:val="0034059D"/>
    <w:rsid w:val="00340634"/>
    <w:rsid w:val="00343D12"/>
    <w:rsid w:val="003448AE"/>
    <w:rsid w:val="00345886"/>
    <w:rsid w:val="003465C9"/>
    <w:rsid w:val="00346FCB"/>
    <w:rsid w:val="00347119"/>
    <w:rsid w:val="00350E29"/>
    <w:rsid w:val="003516E9"/>
    <w:rsid w:val="003517AE"/>
    <w:rsid w:val="00351D9F"/>
    <w:rsid w:val="00352219"/>
    <w:rsid w:val="0035363E"/>
    <w:rsid w:val="003552E5"/>
    <w:rsid w:val="00356315"/>
    <w:rsid w:val="00357CCA"/>
    <w:rsid w:val="00361D91"/>
    <w:rsid w:val="00361F4F"/>
    <w:rsid w:val="00363242"/>
    <w:rsid w:val="00363687"/>
    <w:rsid w:val="00363A6C"/>
    <w:rsid w:val="00364474"/>
    <w:rsid w:val="00365819"/>
    <w:rsid w:val="00365DC3"/>
    <w:rsid w:val="00365E81"/>
    <w:rsid w:val="0036673F"/>
    <w:rsid w:val="0036719C"/>
    <w:rsid w:val="003701BC"/>
    <w:rsid w:val="00371166"/>
    <w:rsid w:val="00371337"/>
    <w:rsid w:val="0037183A"/>
    <w:rsid w:val="00372896"/>
    <w:rsid w:val="00374047"/>
    <w:rsid w:val="003743FC"/>
    <w:rsid w:val="0037533A"/>
    <w:rsid w:val="003755FC"/>
    <w:rsid w:val="0037638D"/>
    <w:rsid w:val="00376C6F"/>
    <w:rsid w:val="00376D64"/>
    <w:rsid w:val="00377191"/>
    <w:rsid w:val="003779BC"/>
    <w:rsid w:val="00380438"/>
    <w:rsid w:val="00381E84"/>
    <w:rsid w:val="003827CD"/>
    <w:rsid w:val="0038368A"/>
    <w:rsid w:val="00383E4F"/>
    <w:rsid w:val="00384E41"/>
    <w:rsid w:val="00385B2E"/>
    <w:rsid w:val="00387859"/>
    <w:rsid w:val="00387CAE"/>
    <w:rsid w:val="003903B2"/>
    <w:rsid w:val="00391985"/>
    <w:rsid w:val="003948A2"/>
    <w:rsid w:val="00394EF8"/>
    <w:rsid w:val="003A03EF"/>
    <w:rsid w:val="003A2FA3"/>
    <w:rsid w:val="003A4F39"/>
    <w:rsid w:val="003A537B"/>
    <w:rsid w:val="003A6C4F"/>
    <w:rsid w:val="003A7491"/>
    <w:rsid w:val="003A7EF0"/>
    <w:rsid w:val="003B02FA"/>
    <w:rsid w:val="003B12C2"/>
    <w:rsid w:val="003B4F91"/>
    <w:rsid w:val="003B6337"/>
    <w:rsid w:val="003B66DD"/>
    <w:rsid w:val="003C0535"/>
    <w:rsid w:val="003C0A1C"/>
    <w:rsid w:val="003C1694"/>
    <w:rsid w:val="003C1C0C"/>
    <w:rsid w:val="003C287A"/>
    <w:rsid w:val="003C4172"/>
    <w:rsid w:val="003C4231"/>
    <w:rsid w:val="003C4DDE"/>
    <w:rsid w:val="003C6450"/>
    <w:rsid w:val="003C68D6"/>
    <w:rsid w:val="003C70AD"/>
    <w:rsid w:val="003C754B"/>
    <w:rsid w:val="003D123A"/>
    <w:rsid w:val="003D3E3F"/>
    <w:rsid w:val="003D3E9C"/>
    <w:rsid w:val="003D4D6D"/>
    <w:rsid w:val="003D7BDB"/>
    <w:rsid w:val="003E0535"/>
    <w:rsid w:val="003E2040"/>
    <w:rsid w:val="003E2141"/>
    <w:rsid w:val="003E2142"/>
    <w:rsid w:val="003E2986"/>
    <w:rsid w:val="003E2C8B"/>
    <w:rsid w:val="003E3D61"/>
    <w:rsid w:val="003E3F63"/>
    <w:rsid w:val="003E477D"/>
    <w:rsid w:val="003E4D93"/>
    <w:rsid w:val="003E59C8"/>
    <w:rsid w:val="003E693B"/>
    <w:rsid w:val="003F0354"/>
    <w:rsid w:val="003F0579"/>
    <w:rsid w:val="003F0CC5"/>
    <w:rsid w:val="003F44C7"/>
    <w:rsid w:val="003F4907"/>
    <w:rsid w:val="003F49D5"/>
    <w:rsid w:val="003F5276"/>
    <w:rsid w:val="003F5C99"/>
    <w:rsid w:val="003F6AFA"/>
    <w:rsid w:val="003F6E79"/>
    <w:rsid w:val="003F6F66"/>
    <w:rsid w:val="00400AA6"/>
    <w:rsid w:val="0040137F"/>
    <w:rsid w:val="0040154D"/>
    <w:rsid w:val="00401EB0"/>
    <w:rsid w:val="004022ED"/>
    <w:rsid w:val="00402AF5"/>
    <w:rsid w:val="0040480E"/>
    <w:rsid w:val="004052E3"/>
    <w:rsid w:val="00405394"/>
    <w:rsid w:val="00405689"/>
    <w:rsid w:val="004071D1"/>
    <w:rsid w:val="004102A5"/>
    <w:rsid w:val="004107B7"/>
    <w:rsid w:val="00411742"/>
    <w:rsid w:val="00412535"/>
    <w:rsid w:val="00412CAF"/>
    <w:rsid w:val="004135DB"/>
    <w:rsid w:val="004156C4"/>
    <w:rsid w:val="00415A31"/>
    <w:rsid w:val="0041786B"/>
    <w:rsid w:val="00420553"/>
    <w:rsid w:val="00420766"/>
    <w:rsid w:val="00423D5A"/>
    <w:rsid w:val="00424857"/>
    <w:rsid w:val="00424DED"/>
    <w:rsid w:val="00425F1B"/>
    <w:rsid w:val="0042748C"/>
    <w:rsid w:val="004277D4"/>
    <w:rsid w:val="00430663"/>
    <w:rsid w:val="00430911"/>
    <w:rsid w:val="0043093F"/>
    <w:rsid w:val="0043196B"/>
    <w:rsid w:val="0043325A"/>
    <w:rsid w:val="00435876"/>
    <w:rsid w:val="004361A7"/>
    <w:rsid w:val="00436F47"/>
    <w:rsid w:val="004377AF"/>
    <w:rsid w:val="00437999"/>
    <w:rsid w:val="004379BB"/>
    <w:rsid w:val="00437A3F"/>
    <w:rsid w:val="00440FCE"/>
    <w:rsid w:val="0044217A"/>
    <w:rsid w:val="0044217B"/>
    <w:rsid w:val="00442798"/>
    <w:rsid w:val="00442B64"/>
    <w:rsid w:val="004447D3"/>
    <w:rsid w:val="00444BA5"/>
    <w:rsid w:val="00445104"/>
    <w:rsid w:val="004470CB"/>
    <w:rsid w:val="0045029F"/>
    <w:rsid w:val="00450BF6"/>
    <w:rsid w:val="00452218"/>
    <w:rsid w:val="00452838"/>
    <w:rsid w:val="00454286"/>
    <w:rsid w:val="00455004"/>
    <w:rsid w:val="00455427"/>
    <w:rsid w:val="00455BA7"/>
    <w:rsid w:val="00456899"/>
    <w:rsid w:val="00457D55"/>
    <w:rsid w:val="00460B0B"/>
    <w:rsid w:val="00460EE4"/>
    <w:rsid w:val="00462306"/>
    <w:rsid w:val="00462317"/>
    <w:rsid w:val="00462BD3"/>
    <w:rsid w:val="00463E05"/>
    <w:rsid w:val="00464493"/>
    <w:rsid w:val="00464B23"/>
    <w:rsid w:val="004676AE"/>
    <w:rsid w:val="0047171B"/>
    <w:rsid w:val="00471F9A"/>
    <w:rsid w:val="004753B5"/>
    <w:rsid w:val="00475F5A"/>
    <w:rsid w:val="00476BA3"/>
    <w:rsid w:val="00477820"/>
    <w:rsid w:val="004778D2"/>
    <w:rsid w:val="00477E6A"/>
    <w:rsid w:val="00480490"/>
    <w:rsid w:val="004806B1"/>
    <w:rsid w:val="004806BA"/>
    <w:rsid w:val="00480866"/>
    <w:rsid w:val="00480CFE"/>
    <w:rsid w:val="00480DC2"/>
    <w:rsid w:val="00481A77"/>
    <w:rsid w:val="00482796"/>
    <w:rsid w:val="00490938"/>
    <w:rsid w:val="00490E3F"/>
    <w:rsid w:val="00492429"/>
    <w:rsid w:val="00492EF7"/>
    <w:rsid w:val="0049415B"/>
    <w:rsid w:val="004953DD"/>
    <w:rsid w:val="004964A6"/>
    <w:rsid w:val="0049744B"/>
    <w:rsid w:val="004977E0"/>
    <w:rsid w:val="004A0123"/>
    <w:rsid w:val="004A0D54"/>
    <w:rsid w:val="004A1268"/>
    <w:rsid w:val="004A2A1D"/>
    <w:rsid w:val="004A34BF"/>
    <w:rsid w:val="004A4A8A"/>
    <w:rsid w:val="004A56A5"/>
    <w:rsid w:val="004A6D12"/>
    <w:rsid w:val="004A7803"/>
    <w:rsid w:val="004A7A4D"/>
    <w:rsid w:val="004A7B7D"/>
    <w:rsid w:val="004B02A8"/>
    <w:rsid w:val="004B1114"/>
    <w:rsid w:val="004B36B5"/>
    <w:rsid w:val="004B3F1A"/>
    <w:rsid w:val="004B4CB1"/>
    <w:rsid w:val="004B6F6F"/>
    <w:rsid w:val="004B7FB3"/>
    <w:rsid w:val="004C07AF"/>
    <w:rsid w:val="004C1CC6"/>
    <w:rsid w:val="004C22AF"/>
    <w:rsid w:val="004C496F"/>
    <w:rsid w:val="004C4BDB"/>
    <w:rsid w:val="004C61AB"/>
    <w:rsid w:val="004C6E9A"/>
    <w:rsid w:val="004C7062"/>
    <w:rsid w:val="004C7AC7"/>
    <w:rsid w:val="004C7FF7"/>
    <w:rsid w:val="004D150A"/>
    <w:rsid w:val="004D1B54"/>
    <w:rsid w:val="004D2FFF"/>
    <w:rsid w:val="004D3523"/>
    <w:rsid w:val="004D3EBE"/>
    <w:rsid w:val="004D41E1"/>
    <w:rsid w:val="004D455E"/>
    <w:rsid w:val="004D5785"/>
    <w:rsid w:val="004D59C1"/>
    <w:rsid w:val="004D5B9B"/>
    <w:rsid w:val="004D6A35"/>
    <w:rsid w:val="004D76F3"/>
    <w:rsid w:val="004E0752"/>
    <w:rsid w:val="004E2AE2"/>
    <w:rsid w:val="004E3790"/>
    <w:rsid w:val="004E3FF6"/>
    <w:rsid w:val="004E5B03"/>
    <w:rsid w:val="004E5EDD"/>
    <w:rsid w:val="004E758A"/>
    <w:rsid w:val="004E7709"/>
    <w:rsid w:val="004E7A39"/>
    <w:rsid w:val="004E7DF1"/>
    <w:rsid w:val="004E7E52"/>
    <w:rsid w:val="004F02B8"/>
    <w:rsid w:val="004F0328"/>
    <w:rsid w:val="004F1235"/>
    <w:rsid w:val="004F35FF"/>
    <w:rsid w:val="004F3DFB"/>
    <w:rsid w:val="004F6FFA"/>
    <w:rsid w:val="004F7BA5"/>
    <w:rsid w:val="004F7E9A"/>
    <w:rsid w:val="00500276"/>
    <w:rsid w:val="00500992"/>
    <w:rsid w:val="00500AF3"/>
    <w:rsid w:val="005012B8"/>
    <w:rsid w:val="00501685"/>
    <w:rsid w:val="00502468"/>
    <w:rsid w:val="00503E83"/>
    <w:rsid w:val="00504648"/>
    <w:rsid w:val="00507346"/>
    <w:rsid w:val="005074AB"/>
    <w:rsid w:val="00507618"/>
    <w:rsid w:val="0051030F"/>
    <w:rsid w:val="00510AD0"/>
    <w:rsid w:val="005111AF"/>
    <w:rsid w:val="00511632"/>
    <w:rsid w:val="00511D07"/>
    <w:rsid w:val="00512250"/>
    <w:rsid w:val="005123D0"/>
    <w:rsid w:val="005129F7"/>
    <w:rsid w:val="00512F21"/>
    <w:rsid w:val="00513231"/>
    <w:rsid w:val="00513560"/>
    <w:rsid w:val="005135E2"/>
    <w:rsid w:val="00513A19"/>
    <w:rsid w:val="00514A80"/>
    <w:rsid w:val="00514C64"/>
    <w:rsid w:val="005164A4"/>
    <w:rsid w:val="005201AD"/>
    <w:rsid w:val="00520B78"/>
    <w:rsid w:val="0052259C"/>
    <w:rsid w:val="00522674"/>
    <w:rsid w:val="00523CD5"/>
    <w:rsid w:val="00524271"/>
    <w:rsid w:val="00524404"/>
    <w:rsid w:val="00524DCD"/>
    <w:rsid w:val="00524F20"/>
    <w:rsid w:val="00525CA2"/>
    <w:rsid w:val="005267E6"/>
    <w:rsid w:val="00526DB3"/>
    <w:rsid w:val="0052710B"/>
    <w:rsid w:val="00527E70"/>
    <w:rsid w:val="005316D5"/>
    <w:rsid w:val="00531827"/>
    <w:rsid w:val="005324BB"/>
    <w:rsid w:val="005358C0"/>
    <w:rsid w:val="00535EA0"/>
    <w:rsid w:val="0053722A"/>
    <w:rsid w:val="0053738E"/>
    <w:rsid w:val="005379E8"/>
    <w:rsid w:val="005404FA"/>
    <w:rsid w:val="005406F7"/>
    <w:rsid w:val="00541ED6"/>
    <w:rsid w:val="005436B1"/>
    <w:rsid w:val="00543E14"/>
    <w:rsid w:val="0054411B"/>
    <w:rsid w:val="00546C9B"/>
    <w:rsid w:val="00546CA2"/>
    <w:rsid w:val="00546CE9"/>
    <w:rsid w:val="00547A75"/>
    <w:rsid w:val="00550031"/>
    <w:rsid w:val="005509C8"/>
    <w:rsid w:val="0055140C"/>
    <w:rsid w:val="005528B2"/>
    <w:rsid w:val="005537B7"/>
    <w:rsid w:val="00553B02"/>
    <w:rsid w:val="00555130"/>
    <w:rsid w:val="0055570E"/>
    <w:rsid w:val="00555A39"/>
    <w:rsid w:val="00555ABA"/>
    <w:rsid w:val="00560899"/>
    <w:rsid w:val="00561166"/>
    <w:rsid w:val="00561D25"/>
    <w:rsid w:val="00563073"/>
    <w:rsid w:val="0056316A"/>
    <w:rsid w:val="0056327E"/>
    <w:rsid w:val="00564927"/>
    <w:rsid w:val="0056566D"/>
    <w:rsid w:val="00565723"/>
    <w:rsid w:val="00570660"/>
    <w:rsid w:val="00572128"/>
    <w:rsid w:val="00572513"/>
    <w:rsid w:val="00572DDE"/>
    <w:rsid w:val="005736EB"/>
    <w:rsid w:val="00573771"/>
    <w:rsid w:val="00576053"/>
    <w:rsid w:val="00576421"/>
    <w:rsid w:val="00577178"/>
    <w:rsid w:val="0057786C"/>
    <w:rsid w:val="00581E79"/>
    <w:rsid w:val="0058333C"/>
    <w:rsid w:val="00583570"/>
    <w:rsid w:val="00584157"/>
    <w:rsid w:val="0058469A"/>
    <w:rsid w:val="00584CC9"/>
    <w:rsid w:val="00585993"/>
    <w:rsid w:val="0058780F"/>
    <w:rsid w:val="00590356"/>
    <w:rsid w:val="005921B4"/>
    <w:rsid w:val="00592C87"/>
    <w:rsid w:val="00593DEE"/>
    <w:rsid w:val="00593E46"/>
    <w:rsid w:val="00594687"/>
    <w:rsid w:val="0059540D"/>
    <w:rsid w:val="00595F49"/>
    <w:rsid w:val="00595F9E"/>
    <w:rsid w:val="005A0084"/>
    <w:rsid w:val="005A042C"/>
    <w:rsid w:val="005A100C"/>
    <w:rsid w:val="005A279C"/>
    <w:rsid w:val="005A27B7"/>
    <w:rsid w:val="005A2909"/>
    <w:rsid w:val="005A3156"/>
    <w:rsid w:val="005A4B0F"/>
    <w:rsid w:val="005A5947"/>
    <w:rsid w:val="005A5D8C"/>
    <w:rsid w:val="005A6082"/>
    <w:rsid w:val="005A6EAA"/>
    <w:rsid w:val="005A7E97"/>
    <w:rsid w:val="005B00BD"/>
    <w:rsid w:val="005B0CEA"/>
    <w:rsid w:val="005B1144"/>
    <w:rsid w:val="005B1864"/>
    <w:rsid w:val="005B38E5"/>
    <w:rsid w:val="005B3B99"/>
    <w:rsid w:val="005B68F7"/>
    <w:rsid w:val="005B77D2"/>
    <w:rsid w:val="005C0604"/>
    <w:rsid w:val="005C0FF0"/>
    <w:rsid w:val="005C37E5"/>
    <w:rsid w:val="005C63E7"/>
    <w:rsid w:val="005C68D9"/>
    <w:rsid w:val="005D0143"/>
    <w:rsid w:val="005D2A40"/>
    <w:rsid w:val="005D2BE3"/>
    <w:rsid w:val="005D47BD"/>
    <w:rsid w:val="005D5394"/>
    <w:rsid w:val="005D54F3"/>
    <w:rsid w:val="005D5C0B"/>
    <w:rsid w:val="005D7664"/>
    <w:rsid w:val="005D7E5A"/>
    <w:rsid w:val="005D7FAC"/>
    <w:rsid w:val="005E0002"/>
    <w:rsid w:val="005E17F5"/>
    <w:rsid w:val="005E1BF9"/>
    <w:rsid w:val="005E275B"/>
    <w:rsid w:val="005E2B89"/>
    <w:rsid w:val="005E4E24"/>
    <w:rsid w:val="005E4ECB"/>
    <w:rsid w:val="005E600D"/>
    <w:rsid w:val="005E6C4C"/>
    <w:rsid w:val="005E79ED"/>
    <w:rsid w:val="005F01EA"/>
    <w:rsid w:val="005F09A5"/>
    <w:rsid w:val="005F403B"/>
    <w:rsid w:val="005F5C0B"/>
    <w:rsid w:val="005F7025"/>
    <w:rsid w:val="005F73D2"/>
    <w:rsid w:val="006022DF"/>
    <w:rsid w:val="0060579A"/>
    <w:rsid w:val="00605FB7"/>
    <w:rsid w:val="00607859"/>
    <w:rsid w:val="00610AC1"/>
    <w:rsid w:val="00610D06"/>
    <w:rsid w:val="00611C0C"/>
    <w:rsid w:val="00615445"/>
    <w:rsid w:val="00615655"/>
    <w:rsid w:val="00615DC7"/>
    <w:rsid w:val="006177A4"/>
    <w:rsid w:val="00617F5D"/>
    <w:rsid w:val="0062002A"/>
    <w:rsid w:val="006209D4"/>
    <w:rsid w:val="00621658"/>
    <w:rsid w:val="00622EC4"/>
    <w:rsid w:val="006246CE"/>
    <w:rsid w:val="00624B19"/>
    <w:rsid w:val="00625C8B"/>
    <w:rsid w:val="00626B9F"/>
    <w:rsid w:val="0062715B"/>
    <w:rsid w:val="00630111"/>
    <w:rsid w:val="00631B66"/>
    <w:rsid w:val="00631C37"/>
    <w:rsid w:val="0063249F"/>
    <w:rsid w:val="00632C83"/>
    <w:rsid w:val="006331CB"/>
    <w:rsid w:val="006351FC"/>
    <w:rsid w:val="00636D01"/>
    <w:rsid w:val="00637F0E"/>
    <w:rsid w:val="00642C17"/>
    <w:rsid w:val="00642E67"/>
    <w:rsid w:val="00643FC5"/>
    <w:rsid w:val="00644360"/>
    <w:rsid w:val="00644EB0"/>
    <w:rsid w:val="006451A6"/>
    <w:rsid w:val="006506E3"/>
    <w:rsid w:val="00650837"/>
    <w:rsid w:val="00650883"/>
    <w:rsid w:val="00650F4D"/>
    <w:rsid w:val="00651108"/>
    <w:rsid w:val="006534E7"/>
    <w:rsid w:val="00657D7C"/>
    <w:rsid w:val="00661DA7"/>
    <w:rsid w:val="00662AB3"/>
    <w:rsid w:val="00664901"/>
    <w:rsid w:val="00665494"/>
    <w:rsid w:val="00665A0D"/>
    <w:rsid w:val="00665D1B"/>
    <w:rsid w:val="0066663F"/>
    <w:rsid w:val="00667886"/>
    <w:rsid w:val="00671484"/>
    <w:rsid w:val="00671FC2"/>
    <w:rsid w:val="00672460"/>
    <w:rsid w:val="00673B24"/>
    <w:rsid w:val="0067451D"/>
    <w:rsid w:val="00674B5E"/>
    <w:rsid w:val="00674E24"/>
    <w:rsid w:val="00676C91"/>
    <w:rsid w:val="006771BB"/>
    <w:rsid w:val="00677F47"/>
    <w:rsid w:val="00680828"/>
    <w:rsid w:val="00680872"/>
    <w:rsid w:val="00680EA8"/>
    <w:rsid w:val="00680FD6"/>
    <w:rsid w:val="006827F4"/>
    <w:rsid w:val="00682BFE"/>
    <w:rsid w:val="006836B8"/>
    <w:rsid w:val="006839EC"/>
    <w:rsid w:val="0068481F"/>
    <w:rsid w:val="00684E8B"/>
    <w:rsid w:val="00685F34"/>
    <w:rsid w:val="00686C59"/>
    <w:rsid w:val="00687ACA"/>
    <w:rsid w:val="006901B2"/>
    <w:rsid w:val="00690313"/>
    <w:rsid w:val="00691FD3"/>
    <w:rsid w:val="00692791"/>
    <w:rsid w:val="00692ED6"/>
    <w:rsid w:val="0069503E"/>
    <w:rsid w:val="006963C3"/>
    <w:rsid w:val="00696E44"/>
    <w:rsid w:val="00697BB4"/>
    <w:rsid w:val="006A0205"/>
    <w:rsid w:val="006A3DD8"/>
    <w:rsid w:val="006A5863"/>
    <w:rsid w:val="006B08E4"/>
    <w:rsid w:val="006B09B5"/>
    <w:rsid w:val="006B1096"/>
    <w:rsid w:val="006B12DF"/>
    <w:rsid w:val="006B268D"/>
    <w:rsid w:val="006B410E"/>
    <w:rsid w:val="006B441B"/>
    <w:rsid w:val="006B5689"/>
    <w:rsid w:val="006B5DBA"/>
    <w:rsid w:val="006B6313"/>
    <w:rsid w:val="006B6386"/>
    <w:rsid w:val="006B75EF"/>
    <w:rsid w:val="006C03D7"/>
    <w:rsid w:val="006C042B"/>
    <w:rsid w:val="006C15DA"/>
    <w:rsid w:val="006C235F"/>
    <w:rsid w:val="006C38A8"/>
    <w:rsid w:val="006C3F7B"/>
    <w:rsid w:val="006C5F90"/>
    <w:rsid w:val="006C7A08"/>
    <w:rsid w:val="006C7A78"/>
    <w:rsid w:val="006D0CB1"/>
    <w:rsid w:val="006D2017"/>
    <w:rsid w:val="006D3C4C"/>
    <w:rsid w:val="006D4876"/>
    <w:rsid w:val="006D4F13"/>
    <w:rsid w:val="006D58A1"/>
    <w:rsid w:val="006D700C"/>
    <w:rsid w:val="006E0F49"/>
    <w:rsid w:val="006E2027"/>
    <w:rsid w:val="006E2460"/>
    <w:rsid w:val="006E290B"/>
    <w:rsid w:val="006E2B94"/>
    <w:rsid w:val="006E35E2"/>
    <w:rsid w:val="006E416C"/>
    <w:rsid w:val="006E6E6D"/>
    <w:rsid w:val="006F5836"/>
    <w:rsid w:val="006F5B77"/>
    <w:rsid w:val="006F67F8"/>
    <w:rsid w:val="006F6B4A"/>
    <w:rsid w:val="006F722D"/>
    <w:rsid w:val="006F7725"/>
    <w:rsid w:val="006F7B63"/>
    <w:rsid w:val="00701695"/>
    <w:rsid w:val="00701AE2"/>
    <w:rsid w:val="00701C15"/>
    <w:rsid w:val="00703EEB"/>
    <w:rsid w:val="00704804"/>
    <w:rsid w:val="007051FC"/>
    <w:rsid w:val="00706715"/>
    <w:rsid w:val="00706CDE"/>
    <w:rsid w:val="00707127"/>
    <w:rsid w:val="0070765B"/>
    <w:rsid w:val="00710D46"/>
    <w:rsid w:val="00710D59"/>
    <w:rsid w:val="00710D97"/>
    <w:rsid w:val="00711052"/>
    <w:rsid w:val="0071107A"/>
    <w:rsid w:val="00712EA1"/>
    <w:rsid w:val="007131BE"/>
    <w:rsid w:val="0071381C"/>
    <w:rsid w:val="0071428E"/>
    <w:rsid w:val="007145AA"/>
    <w:rsid w:val="007147D0"/>
    <w:rsid w:val="00714D07"/>
    <w:rsid w:val="00716B47"/>
    <w:rsid w:val="00716E0B"/>
    <w:rsid w:val="00717EB8"/>
    <w:rsid w:val="007212E7"/>
    <w:rsid w:val="0072185B"/>
    <w:rsid w:val="00722472"/>
    <w:rsid w:val="00722989"/>
    <w:rsid w:val="00723044"/>
    <w:rsid w:val="007243CE"/>
    <w:rsid w:val="007255BD"/>
    <w:rsid w:val="00727C90"/>
    <w:rsid w:val="00732255"/>
    <w:rsid w:val="007339E3"/>
    <w:rsid w:val="00736027"/>
    <w:rsid w:val="007414CD"/>
    <w:rsid w:val="0074160F"/>
    <w:rsid w:val="007421FF"/>
    <w:rsid w:val="007422A1"/>
    <w:rsid w:val="00742EC5"/>
    <w:rsid w:val="00742FF7"/>
    <w:rsid w:val="00744FED"/>
    <w:rsid w:val="0074546E"/>
    <w:rsid w:val="00745A08"/>
    <w:rsid w:val="0074633B"/>
    <w:rsid w:val="0074674D"/>
    <w:rsid w:val="00746D22"/>
    <w:rsid w:val="00747408"/>
    <w:rsid w:val="00747AE7"/>
    <w:rsid w:val="00750AAA"/>
    <w:rsid w:val="00751EBC"/>
    <w:rsid w:val="00752416"/>
    <w:rsid w:val="00752510"/>
    <w:rsid w:val="007530A3"/>
    <w:rsid w:val="007533E5"/>
    <w:rsid w:val="0075349F"/>
    <w:rsid w:val="00754618"/>
    <w:rsid w:val="007556E7"/>
    <w:rsid w:val="00755CBA"/>
    <w:rsid w:val="00755DFF"/>
    <w:rsid w:val="00760330"/>
    <w:rsid w:val="0076168E"/>
    <w:rsid w:val="007618DD"/>
    <w:rsid w:val="00761AA6"/>
    <w:rsid w:val="007628AB"/>
    <w:rsid w:val="00762970"/>
    <w:rsid w:val="00762BB9"/>
    <w:rsid w:val="00763448"/>
    <w:rsid w:val="007651E8"/>
    <w:rsid w:val="00765286"/>
    <w:rsid w:val="007653D0"/>
    <w:rsid w:val="00765876"/>
    <w:rsid w:val="00765BFC"/>
    <w:rsid w:val="00766591"/>
    <w:rsid w:val="0076791D"/>
    <w:rsid w:val="0077074C"/>
    <w:rsid w:val="007716CB"/>
    <w:rsid w:val="00771E8A"/>
    <w:rsid w:val="00771F83"/>
    <w:rsid w:val="0077278F"/>
    <w:rsid w:val="00774885"/>
    <w:rsid w:val="00774A10"/>
    <w:rsid w:val="00774B43"/>
    <w:rsid w:val="00776BE8"/>
    <w:rsid w:val="00777CDA"/>
    <w:rsid w:val="007802AB"/>
    <w:rsid w:val="00780C2E"/>
    <w:rsid w:val="007821CF"/>
    <w:rsid w:val="0078259B"/>
    <w:rsid w:val="00782A9E"/>
    <w:rsid w:val="00782DC6"/>
    <w:rsid w:val="00783A8C"/>
    <w:rsid w:val="00785B88"/>
    <w:rsid w:val="00785CED"/>
    <w:rsid w:val="00786201"/>
    <w:rsid w:val="00791290"/>
    <w:rsid w:val="00792467"/>
    <w:rsid w:val="007926D2"/>
    <w:rsid w:val="00792E8E"/>
    <w:rsid w:val="00794280"/>
    <w:rsid w:val="007A02B6"/>
    <w:rsid w:val="007A0CB9"/>
    <w:rsid w:val="007A1EB3"/>
    <w:rsid w:val="007A1FCA"/>
    <w:rsid w:val="007A20D9"/>
    <w:rsid w:val="007A300D"/>
    <w:rsid w:val="007A3070"/>
    <w:rsid w:val="007A4128"/>
    <w:rsid w:val="007A474B"/>
    <w:rsid w:val="007A4AF2"/>
    <w:rsid w:val="007A5238"/>
    <w:rsid w:val="007B10B0"/>
    <w:rsid w:val="007B14D9"/>
    <w:rsid w:val="007B2096"/>
    <w:rsid w:val="007B2120"/>
    <w:rsid w:val="007B3B7F"/>
    <w:rsid w:val="007B3BB5"/>
    <w:rsid w:val="007B4D53"/>
    <w:rsid w:val="007B5140"/>
    <w:rsid w:val="007B58F8"/>
    <w:rsid w:val="007B5974"/>
    <w:rsid w:val="007B5BD9"/>
    <w:rsid w:val="007B63A3"/>
    <w:rsid w:val="007C1861"/>
    <w:rsid w:val="007C3895"/>
    <w:rsid w:val="007C64E3"/>
    <w:rsid w:val="007C68D4"/>
    <w:rsid w:val="007C6A45"/>
    <w:rsid w:val="007D174E"/>
    <w:rsid w:val="007D2B38"/>
    <w:rsid w:val="007D3F35"/>
    <w:rsid w:val="007D4E43"/>
    <w:rsid w:val="007D51B2"/>
    <w:rsid w:val="007D593D"/>
    <w:rsid w:val="007D60D6"/>
    <w:rsid w:val="007D6A5A"/>
    <w:rsid w:val="007D6D90"/>
    <w:rsid w:val="007D7875"/>
    <w:rsid w:val="007E0F5F"/>
    <w:rsid w:val="007E1217"/>
    <w:rsid w:val="007E1504"/>
    <w:rsid w:val="007E65CE"/>
    <w:rsid w:val="007F2090"/>
    <w:rsid w:val="007F4ED4"/>
    <w:rsid w:val="007F630C"/>
    <w:rsid w:val="007F65C1"/>
    <w:rsid w:val="007F6F14"/>
    <w:rsid w:val="007F7314"/>
    <w:rsid w:val="007F7915"/>
    <w:rsid w:val="00800C79"/>
    <w:rsid w:val="00801F63"/>
    <w:rsid w:val="00802CF9"/>
    <w:rsid w:val="00803563"/>
    <w:rsid w:val="00803D9B"/>
    <w:rsid w:val="008041E1"/>
    <w:rsid w:val="00806581"/>
    <w:rsid w:val="00810327"/>
    <w:rsid w:val="00814D4E"/>
    <w:rsid w:val="008164E5"/>
    <w:rsid w:val="0081663E"/>
    <w:rsid w:val="00816862"/>
    <w:rsid w:val="00820FD2"/>
    <w:rsid w:val="008228A1"/>
    <w:rsid w:val="00822F73"/>
    <w:rsid w:val="00823ABF"/>
    <w:rsid w:val="008254E8"/>
    <w:rsid w:val="00825B72"/>
    <w:rsid w:val="00826CA4"/>
    <w:rsid w:val="00827B10"/>
    <w:rsid w:val="00830D05"/>
    <w:rsid w:val="008314BD"/>
    <w:rsid w:val="0083186A"/>
    <w:rsid w:val="008328E5"/>
    <w:rsid w:val="00832C51"/>
    <w:rsid w:val="00832D52"/>
    <w:rsid w:val="00834A4E"/>
    <w:rsid w:val="008350DE"/>
    <w:rsid w:val="008358C3"/>
    <w:rsid w:val="00836E39"/>
    <w:rsid w:val="00837CE9"/>
    <w:rsid w:val="00840F08"/>
    <w:rsid w:val="00842DB8"/>
    <w:rsid w:val="00843086"/>
    <w:rsid w:val="00843C1E"/>
    <w:rsid w:val="00844040"/>
    <w:rsid w:val="008447B7"/>
    <w:rsid w:val="00845662"/>
    <w:rsid w:val="00845B58"/>
    <w:rsid w:val="00845DDD"/>
    <w:rsid w:val="00846F7D"/>
    <w:rsid w:val="0084770C"/>
    <w:rsid w:val="00847C6F"/>
    <w:rsid w:val="00851B87"/>
    <w:rsid w:val="00851C35"/>
    <w:rsid w:val="00852EA4"/>
    <w:rsid w:val="0085354A"/>
    <w:rsid w:val="008539B2"/>
    <w:rsid w:val="0085404B"/>
    <w:rsid w:val="00855F95"/>
    <w:rsid w:val="008567AB"/>
    <w:rsid w:val="00856B57"/>
    <w:rsid w:val="00856D4C"/>
    <w:rsid w:val="00856F54"/>
    <w:rsid w:val="00860D6D"/>
    <w:rsid w:val="0086449C"/>
    <w:rsid w:val="008646E3"/>
    <w:rsid w:val="008653E0"/>
    <w:rsid w:val="008657A8"/>
    <w:rsid w:val="008659F9"/>
    <w:rsid w:val="00866C77"/>
    <w:rsid w:val="008712D3"/>
    <w:rsid w:val="00871EF4"/>
    <w:rsid w:val="00872E88"/>
    <w:rsid w:val="00874A0C"/>
    <w:rsid w:val="00875609"/>
    <w:rsid w:val="00877706"/>
    <w:rsid w:val="00877A1F"/>
    <w:rsid w:val="00877D83"/>
    <w:rsid w:val="00877FD4"/>
    <w:rsid w:val="008806A9"/>
    <w:rsid w:val="00881419"/>
    <w:rsid w:val="00881D6B"/>
    <w:rsid w:val="00881E52"/>
    <w:rsid w:val="00883452"/>
    <w:rsid w:val="00884503"/>
    <w:rsid w:val="00884DF2"/>
    <w:rsid w:val="00885704"/>
    <w:rsid w:val="00885934"/>
    <w:rsid w:val="0088712C"/>
    <w:rsid w:val="00887277"/>
    <w:rsid w:val="00887F09"/>
    <w:rsid w:val="00890C3D"/>
    <w:rsid w:val="00892B4A"/>
    <w:rsid w:val="00894163"/>
    <w:rsid w:val="00895FB7"/>
    <w:rsid w:val="0089789A"/>
    <w:rsid w:val="008A1978"/>
    <w:rsid w:val="008A1A0B"/>
    <w:rsid w:val="008A22CA"/>
    <w:rsid w:val="008A4FBE"/>
    <w:rsid w:val="008A5B64"/>
    <w:rsid w:val="008A7DFC"/>
    <w:rsid w:val="008B07EF"/>
    <w:rsid w:val="008B1EEE"/>
    <w:rsid w:val="008B2266"/>
    <w:rsid w:val="008B2B9E"/>
    <w:rsid w:val="008B45B8"/>
    <w:rsid w:val="008B5165"/>
    <w:rsid w:val="008B55A5"/>
    <w:rsid w:val="008B6EEF"/>
    <w:rsid w:val="008B7884"/>
    <w:rsid w:val="008B7FD5"/>
    <w:rsid w:val="008C051B"/>
    <w:rsid w:val="008C0B7A"/>
    <w:rsid w:val="008C1813"/>
    <w:rsid w:val="008C2811"/>
    <w:rsid w:val="008C2950"/>
    <w:rsid w:val="008C68F6"/>
    <w:rsid w:val="008C712F"/>
    <w:rsid w:val="008C7235"/>
    <w:rsid w:val="008C78D9"/>
    <w:rsid w:val="008C7AF5"/>
    <w:rsid w:val="008D1301"/>
    <w:rsid w:val="008D34F1"/>
    <w:rsid w:val="008D3684"/>
    <w:rsid w:val="008D39F2"/>
    <w:rsid w:val="008D4728"/>
    <w:rsid w:val="008D4786"/>
    <w:rsid w:val="008D495E"/>
    <w:rsid w:val="008D4988"/>
    <w:rsid w:val="008D4C58"/>
    <w:rsid w:val="008D5163"/>
    <w:rsid w:val="008D53F8"/>
    <w:rsid w:val="008D5FE3"/>
    <w:rsid w:val="008E07F9"/>
    <w:rsid w:val="008E0911"/>
    <w:rsid w:val="008E1903"/>
    <w:rsid w:val="008E3552"/>
    <w:rsid w:val="008E3839"/>
    <w:rsid w:val="008E3ACB"/>
    <w:rsid w:val="008E6A5B"/>
    <w:rsid w:val="008E79D9"/>
    <w:rsid w:val="008E7CEA"/>
    <w:rsid w:val="008F0300"/>
    <w:rsid w:val="008F3544"/>
    <w:rsid w:val="008F383F"/>
    <w:rsid w:val="008F38EF"/>
    <w:rsid w:val="008F4160"/>
    <w:rsid w:val="008F4688"/>
    <w:rsid w:val="008F48B1"/>
    <w:rsid w:val="008F4B01"/>
    <w:rsid w:val="008F5E94"/>
    <w:rsid w:val="008F6D27"/>
    <w:rsid w:val="008F7002"/>
    <w:rsid w:val="008F74A2"/>
    <w:rsid w:val="008F7554"/>
    <w:rsid w:val="00900471"/>
    <w:rsid w:val="00901457"/>
    <w:rsid w:val="00901C13"/>
    <w:rsid w:val="00902436"/>
    <w:rsid w:val="00904954"/>
    <w:rsid w:val="00904AA0"/>
    <w:rsid w:val="00905257"/>
    <w:rsid w:val="00906DEF"/>
    <w:rsid w:val="0091019E"/>
    <w:rsid w:val="00910784"/>
    <w:rsid w:val="009114E4"/>
    <w:rsid w:val="00911763"/>
    <w:rsid w:val="00912894"/>
    <w:rsid w:val="00912A67"/>
    <w:rsid w:val="00913182"/>
    <w:rsid w:val="00913207"/>
    <w:rsid w:val="0091413C"/>
    <w:rsid w:val="0091443A"/>
    <w:rsid w:val="00915882"/>
    <w:rsid w:val="00915BA2"/>
    <w:rsid w:val="00916901"/>
    <w:rsid w:val="00916A65"/>
    <w:rsid w:val="00916B18"/>
    <w:rsid w:val="0091748E"/>
    <w:rsid w:val="00917D17"/>
    <w:rsid w:val="0092006D"/>
    <w:rsid w:val="00922255"/>
    <w:rsid w:val="009230B7"/>
    <w:rsid w:val="0092483B"/>
    <w:rsid w:val="009253EE"/>
    <w:rsid w:val="0092658E"/>
    <w:rsid w:val="00926E39"/>
    <w:rsid w:val="009276F1"/>
    <w:rsid w:val="00927B77"/>
    <w:rsid w:val="00930031"/>
    <w:rsid w:val="00930CBF"/>
    <w:rsid w:val="009320F4"/>
    <w:rsid w:val="00932A35"/>
    <w:rsid w:val="009334BF"/>
    <w:rsid w:val="009349C8"/>
    <w:rsid w:val="00935417"/>
    <w:rsid w:val="00936E36"/>
    <w:rsid w:val="0093705E"/>
    <w:rsid w:val="00937D37"/>
    <w:rsid w:val="00940909"/>
    <w:rsid w:val="00940B43"/>
    <w:rsid w:val="0094182E"/>
    <w:rsid w:val="00942082"/>
    <w:rsid w:val="0094209E"/>
    <w:rsid w:val="00942D8D"/>
    <w:rsid w:val="00943BEA"/>
    <w:rsid w:val="009440F1"/>
    <w:rsid w:val="009443F9"/>
    <w:rsid w:val="00944C97"/>
    <w:rsid w:val="009455D4"/>
    <w:rsid w:val="0094768C"/>
    <w:rsid w:val="00950465"/>
    <w:rsid w:val="00950998"/>
    <w:rsid w:val="00951E93"/>
    <w:rsid w:val="009531E2"/>
    <w:rsid w:val="00955475"/>
    <w:rsid w:val="00955912"/>
    <w:rsid w:val="00957126"/>
    <w:rsid w:val="009573A4"/>
    <w:rsid w:val="0096027F"/>
    <w:rsid w:val="00960492"/>
    <w:rsid w:val="009606DE"/>
    <w:rsid w:val="00960D3A"/>
    <w:rsid w:val="00961C21"/>
    <w:rsid w:val="00962766"/>
    <w:rsid w:val="00965747"/>
    <w:rsid w:val="00967AC5"/>
    <w:rsid w:val="0097102E"/>
    <w:rsid w:val="0097375B"/>
    <w:rsid w:val="009748D7"/>
    <w:rsid w:val="00976BCC"/>
    <w:rsid w:val="00982854"/>
    <w:rsid w:val="009829CF"/>
    <w:rsid w:val="00982CB3"/>
    <w:rsid w:val="00982D0F"/>
    <w:rsid w:val="009839D1"/>
    <w:rsid w:val="009840D9"/>
    <w:rsid w:val="00984559"/>
    <w:rsid w:val="009862B8"/>
    <w:rsid w:val="0099025F"/>
    <w:rsid w:val="0099088D"/>
    <w:rsid w:val="00990CF1"/>
    <w:rsid w:val="00993801"/>
    <w:rsid w:val="00994740"/>
    <w:rsid w:val="00994F3F"/>
    <w:rsid w:val="009970F7"/>
    <w:rsid w:val="00997347"/>
    <w:rsid w:val="009A1A97"/>
    <w:rsid w:val="009A2F5A"/>
    <w:rsid w:val="009A3358"/>
    <w:rsid w:val="009A3E30"/>
    <w:rsid w:val="009A598D"/>
    <w:rsid w:val="009A66CB"/>
    <w:rsid w:val="009A6797"/>
    <w:rsid w:val="009A6B27"/>
    <w:rsid w:val="009B015F"/>
    <w:rsid w:val="009B06FB"/>
    <w:rsid w:val="009B0B54"/>
    <w:rsid w:val="009B17F7"/>
    <w:rsid w:val="009B26DF"/>
    <w:rsid w:val="009B28FB"/>
    <w:rsid w:val="009B3375"/>
    <w:rsid w:val="009B3857"/>
    <w:rsid w:val="009B469E"/>
    <w:rsid w:val="009B49A5"/>
    <w:rsid w:val="009B588E"/>
    <w:rsid w:val="009B6EB8"/>
    <w:rsid w:val="009B7641"/>
    <w:rsid w:val="009B7F96"/>
    <w:rsid w:val="009C0AED"/>
    <w:rsid w:val="009C1EF3"/>
    <w:rsid w:val="009C4EFF"/>
    <w:rsid w:val="009D07D6"/>
    <w:rsid w:val="009D1020"/>
    <w:rsid w:val="009D187F"/>
    <w:rsid w:val="009D5D7B"/>
    <w:rsid w:val="009D70BF"/>
    <w:rsid w:val="009D732A"/>
    <w:rsid w:val="009D7516"/>
    <w:rsid w:val="009E03F1"/>
    <w:rsid w:val="009E0D65"/>
    <w:rsid w:val="009E1565"/>
    <w:rsid w:val="009E1C2B"/>
    <w:rsid w:val="009E1ECF"/>
    <w:rsid w:val="009E22F2"/>
    <w:rsid w:val="009E36BB"/>
    <w:rsid w:val="009E3883"/>
    <w:rsid w:val="009E425D"/>
    <w:rsid w:val="009E46BD"/>
    <w:rsid w:val="009E4A12"/>
    <w:rsid w:val="009E4E2E"/>
    <w:rsid w:val="009F044D"/>
    <w:rsid w:val="009F11F7"/>
    <w:rsid w:val="009F174F"/>
    <w:rsid w:val="009F2824"/>
    <w:rsid w:val="009F396D"/>
    <w:rsid w:val="009F4A01"/>
    <w:rsid w:val="009F4DBB"/>
    <w:rsid w:val="009F6A56"/>
    <w:rsid w:val="00A00E34"/>
    <w:rsid w:val="00A01263"/>
    <w:rsid w:val="00A01765"/>
    <w:rsid w:val="00A01BC6"/>
    <w:rsid w:val="00A01BCB"/>
    <w:rsid w:val="00A02832"/>
    <w:rsid w:val="00A0293B"/>
    <w:rsid w:val="00A02BDE"/>
    <w:rsid w:val="00A0481A"/>
    <w:rsid w:val="00A058ED"/>
    <w:rsid w:val="00A05B34"/>
    <w:rsid w:val="00A070DF"/>
    <w:rsid w:val="00A07FE8"/>
    <w:rsid w:val="00A12B1B"/>
    <w:rsid w:val="00A12E97"/>
    <w:rsid w:val="00A12FBF"/>
    <w:rsid w:val="00A13828"/>
    <w:rsid w:val="00A140E8"/>
    <w:rsid w:val="00A14585"/>
    <w:rsid w:val="00A14CE3"/>
    <w:rsid w:val="00A14FA0"/>
    <w:rsid w:val="00A1512F"/>
    <w:rsid w:val="00A15920"/>
    <w:rsid w:val="00A159A8"/>
    <w:rsid w:val="00A15F36"/>
    <w:rsid w:val="00A16867"/>
    <w:rsid w:val="00A20C4C"/>
    <w:rsid w:val="00A2124B"/>
    <w:rsid w:val="00A217AE"/>
    <w:rsid w:val="00A23BB1"/>
    <w:rsid w:val="00A23BFF"/>
    <w:rsid w:val="00A244DD"/>
    <w:rsid w:val="00A24BDC"/>
    <w:rsid w:val="00A26BF7"/>
    <w:rsid w:val="00A277DC"/>
    <w:rsid w:val="00A27D9F"/>
    <w:rsid w:val="00A30ADD"/>
    <w:rsid w:val="00A31794"/>
    <w:rsid w:val="00A3235D"/>
    <w:rsid w:val="00A32BA3"/>
    <w:rsid w:val="00A32EE6"/>
    <w:rsid w:val="00A3359A"/>
    <w:rsid w:val="00A337FB"/>
    <w:rsid w:val="00A33E9A"/>
    <w:rsid w:val="00A34359"/>
    <w:rsid w:val="00A34643"/>
    <w:rsid w:val="00A34692"/>
    <w:rsid w:val="00A35A50"/>
    <w:rsid w:val="00A35C9E"/>
    <w:rsid w:val="00A35E3E"/>
    <w:rsid w:val="00A3652E"/>
    <w:rsid w:val="00A36811"/>
    <w:rsid w:val="00A37AF3"/>
    <w:rsid w:val="00A37E98"/>
    <w:rsid w:val="00A4065E"/>
    <w:rsid w:val="00A41422"/>
    <w:rsid w:val="00A41CCC"/>
    <w:rsid w:val="00A43168"/>
    <w:rsid w:val="00A43350"/>
    <w:rsid w:val="00A4557F"/>
    <w:rsid w:val="00A45665"/>
    <w:rsid w:val="00A45C51"/>
    <w:rsid w:val="00A50649"/>
    <w:rsid w:val="00A5098D"/>
    <w:rsid w:val="00A51975"/>
    <w:rsid w:val="00A51A4A"/>
    <w:rsid w:val="00A52562"/>
    <w:rsid w:val="00A5283E"/>
    <w:rsid w:val="00A53BC1"/>
    <w:rsid w:val="00A54AEA"/>
    <w:rsid w:val="00A55BD7"/>
    <w:rsid w:val="00A57679"/>
    <w:rsid w:val="00A57EC3"/>
    <w:rsid w:val="00A60713"/>
    <w:rsid w:val="00A608F6"/>
    <w:rsid w:val="00A60B86"/>
    <w:rsid w:val="00A61BF0"/>
    <w:rsid w:val="00A62A4A"/>
    <w:rsid w:val="00A62B72"/>
    <w:rsid w:val="00A659CF"/>
    <w:rsid w:val="00A668B3"/>
    <w:rsid w:val="00A66A7E"/>
    <w:rsid w:val="00A67B4F"/>
    <w:rsid w:val="00A70A1B"/>
    <w:rsid w:val="00A70CD7"/>
    <w:rsid w:val="00A71310"/>
    <w:rsid w:val="00A73816"/>
    <w:rsid w:val="00A7450E"/>
    <w:rsid w:val="00A75015"/>
    <w:rsid w:val="00A75527"/>
    <w:rsid w:val="00A75596"/>
    <w:rsid w:val="00A75771"/>
    <w:rsid w:val="00A75B27"/>
    <w:rsid w:val="00A7663F"/>
    <w:rsid w:val="00A80C87"/>
    <w:rsid w:val="00A827D5"/>
    <w:rsid w:val="00A831CF"/>
    <w:rsid w:val="00A849F7"/>
    <w:rsid w:val="00A85A42"/>
    <w:rsid w:val="00A865B9"/>
    <w:rsid w:val="00A865E5"/>
    <w:rsid w:val="00A908AE"/>
    <w:rsid w:val="00A91CC7"/>
    <w:rsid w:val="00A91E1D"/>
    <w:rsid w:val="00A92EE9"/>
    <w:rsid w:val="00A93B02"/>
    <w:rsid w:val="00A94AD9"/>
    <w:rsid w:val="00A94FE2"/>
    <w:rsid w:val="00A95428"/>
    <w:rsid w:val="00A960DB"/>
    <w:rsid w:val="00A97B7F"/>
    <w:rsid w:val="00A97E81"/>
    <w:rsid w:val="00AA0B0E"/>
    <w:rsid w:val="00AA0E49"/>
    <w:rsid w:val="00AA1D88"/>
    <w:rsid w:val="00AA20A5"/>
    <w:rsid w:val="00AA2A89"/>
    <w:rsid w:val="00AA2C55"/>
    <w:rsid w:val="00AA3F89"/>
    <w:rsid w:val="00AA4730"/>
    <w:rsid w:val="00AA5D33"/>
    <w:rsid w:val="00AA6A63"/>
    <w:rsid w:val="00AA7E86"/>
    <w:rsid w:val="00AB04CF"/>
    <w:rsid w:val="00AB0D82"/>
    <w:rsid w:val="00AB0FC8"/>
    <w:rsid w:val="00AB1DEE"/>
    <w:rsid w:val="00AB211F"/>
    <w:rsid w:val="00AB319F"/>
    <w:rsid w:val="00AB435B"/>
    <w:rsid w:val="00AB543C"/>
    <w:rsid w:val="00AC1915"/>
    <w:rsid w:val="00AC2324"/>
    <w:rsid w:val="00AC2393"/>
    <w:rsid w:val="00AC2463"/>
    <w:rsid w:val="00AC2854"/>
    <w:rsid w:val="00AC2C53"/>
    <w:rsid w:val="00AC38AE"/>
    <w:rsid w:val="00AC3E66"/>
    <w:rsid w:val="00AC3FC2"/>
    <w:rsid w:val="00AC4C2E"/>
    <w:rsid w:val="00AC5986"/>
    <w:rsid w:val="00AC5B32"/>
    <w:rsid w:val="00AC63DD"/>
    <w:rsid w:val="00AC648D"/>
    <w:rsid w:val="00AC7B99"/>
    <w:rsid w:val="00AD0351"/>
    <w:rsid w:val="00AD1525"/>
    <w:rsid w:val="00AD1548"/>
    <w:rsid w:val="00AD3124"/>
    <w:rsid w:val="00AD3C8F"/>
    <w:rsid w:val="00AD469C"/>
    <w:rsid w:val="00AD6D25"/>
    <w:rsid w:val="00AD6DF7"/>
    <w:rsid w:val="00AD75B9"/>
    <w:rsid w:val="00AE1B45"/>
    <w:rsid w:val="00AE1DB3"/>
    <w:rsid w:val="00AE2A77"/>
    <w:rsid w:val="00AE36DF"/>
    <w:rsid w:val="00AE3EC1"/>
    <w:rsid w:val="00AE4303"/>
    <w:rsid w:val="00AE6345"/>
    <w:rsid w:val="00AE75C1"/>
    <w:rsid w:val="00AF0EC8"/>
    <w:rsid w:val="00AF146B"/>
    <w:rsid w:val="00AF1C5E"/>
    <w:rsid w:val="00AF342B"/>
    <w:rsid w:val="00AF40A2"/>
    <w:rsid w:val="00AF40CA"/>
    <w:rsid w:val="00AF571B"/>
    <w:rsid w:val="00AF5C0F"/>
    <w:rsid w:val="00AF5F39"/>
    <w:rsid w:val="00AF6A75"/>
    <w:rsid w:val="00AF6AEC"/>
    <w:rsid w:val="00AF75DB"/>
    <w:rsid w:val="00B000F1"/>
    <w:rsid w:val="00B005A9"/>
    <w:rsid w:val="00B00DFA"/>
    <w:rsid w:val="00B011DD"/>
    <w:rsid w:val="00B0165D"/>
    <w:rsid w:val="00B016B5"/>
    <w:rsid w:val="00B01AE8"/>
    <w:rsid w:val="00B021BD"/>
    <w:rsid w:val="00B04B81"/>
    <w:rsid w:val="00B0565C"/>
    <w:rsid w:val="00B07866"/>
    <w:rsid w:val="00B118B5"/>
    <w:rsid w:val="00B16500"/>
    <w:rsid w:val="00B17EF4"/>
    <w:rsid w:val="00B21700"/>
    <w:rsid w:val="00B21A41"/>
    <w:rsid w:val="00B21EBE"/>
    <w:rsid w:val="00B2324C"/>
    <w:rsid w:val="00B23A10"/>
    <w:rsid w:val="00B23A6A"/>
    <w:rsid w:val="00B24FD9"/>
    <w:rsid w:val="00B268A1"/>
    <w:rsid w:val="00B26D97"/>
    <w:rsid w:val="00B30FF0"/>
    <w:rsid w:val="00B32844"/>
    <w:rsid w:val="00B33379"/>
    <w:rsid w:val="00B34D2B"/>
    <w:rsid w:val="00B35B3E"/>
    <w:rsid w:val="00B35E76"/>
    <w:rsid w:val="00B35FAA"/>
    <w:rsid w:val="00B36233"/>
    <w:rsid w:val="00B36999"/>
    <w:rsid w:val="00B37603"/>
    <w:rsid w:val="00B40BEB"/>
    <w:rsid w:val="00B40C3A"/>
    <w:rsid w:val="00B410A6"/>
    <w:rsid w:val="00B416EC"/>
    <w:rsid w:val="00B41A15"/>
    <w:rsid w:val="00B42246"/>
    <w:rsid w:val="00B429B7"/>
    <w:rsid w:val="00B42AA6"/>
    <w:rsid w:val="00B44FA3"/>
    <w:rsid w:val="00B45035"/>
    <w:rsid w:val="00B4525C"/>
    <w:rsid w:val="00B4570C"/>
    <w:rsid w:val="00B46286"/>
    <w:rsid w:val="00B47488"/>
    <w:rsid w:val="00B5011F"/>
    <w:rsid w:val="00B5203F"/>
    <w:rsid w:val="00B522E1"/>
    <w:rsid w:val="00B52F26"/>
    <w:rsid w:val="00B54030"/>
    <w:rsid w:val="00B54179"/>
    <w:rsid w:val="00B558E1"/>
    <w:rsid w:val="00B56DB9"/>
    <w:rsid w:val="00B60B08"/>
    <w:rsid w:val="00B63F48"/>
    <w:rsid w:val="00B666CD"/>
    <w:rsid w:val="00B66847"/>
    <w:rsid w:val="00B7057A"/>
    <w:rsid w:val="00B70D38"/>
    <w:rsid w:val="00B71F7C"/>
    <w:rsid w:val="00B72676"/>
    <w:rsid w:val="00B7443A"/>
    <w:rsid w:val="00B74816"/>
    <w:rsid w:val="00B74BCD"/>
    <w:rsid w:val="00B76381"/>
    <w:rsid w:val="00B7665B"/>
    <w:rsid w:val="00B80460"/>
    <w:rsid w:val="00B8381C"/>
    <w:rsid w:val="00B84A10"/>
    <w:rsid w:val="00B86200"/>
    <w:rsid w:val="00B868A2"/>
    <w:rsid w:val="00B86BA4"/>
    <w:rsid w:val="00B8796D"/>
    <w:rsid w:val="00B9212E"/>
    <w:rsid w:val="00B92507"/>
    <w:rsid w:val="00B92D52"/>
    <w:rsid w:val="00B93B2B"/>
    <w:rsid w:val="00B94D37"/>
    <w:rsid w:val="00B965E0"/>
    <w:rsid w:val="00B97546"/>
    <w:rsid w:val="00B9760F"/>
    <w:rsid w:val="00B97CD3"/>
    <w:rsid w:val="00BA00AF"/>
    <w:rsid w:val="00BA15B5"/>
    <w:rsid w:val="00BA18B7"/>
    <w:rsid w:val="00BA2573"/>
    <w:rsid w:val="00BA3336"/>
    <w:rsid w:val="00BA3B00"/>
    <w:rsid w:val="00BA4B72"/>
    <w:rsid w:val="00BA6382"/>
    <w:rsid w:val="00BA6654"/>
    <w:rsid w:val="00BA6FC5"/>
    <w:rsid w:val="00BA7227"/>
    <w:rsid w:val="00BB01FD"/>
    <w:rsid w:val="00BB0828"/>
    <w:rsid w:val="00BB1A35"/>
    <w:rsid w:val="00BB2C88"/>
    <w:rsid w:val="00BB3104"/>
    <w:rsid w:val="00BB52E5"/>
    <w:rsid w:val="00BB5562"/>
    <w:rsid w:val="00BB6F59"/>
    <w:rsid w:val="00BB7559"/>
    <w:rsid w:val="00BC10D8"/>
    <w:rsid w:val="00BC1915"/>
    <w:rsid w:val="00BC20E7"/>
    <w:rsid w:val="00BC2232"/>
    <w:rsid w:val="00BC25A1"/>
    <w:rsid w:val="00BC5372"/>
    <w:rsid w:val="00BD00D7"/>
    <w:rsid w:val="00BD13F2"/>
    <w:rsid w:val="00BD174E"/>
    <w:rsid w:val="00BD218D"/>
    <w:rsid w:val="00BD235A"/>
    <w:rsid w:val="00BD44D8"/>
    <w:rsid w:val="00BD4ADA"/>
    <w:rsid w:val="00BD4BBE"/>
    <w:rsid w:val="00BD515D"/>
    <w:rsid w:val="00BD519E"/>
    <w:rsid w:val="00BD583A"/>
    <w:rsid w:val="00BD71E0"/>
    <w:rsid w:val="00BD78CB"/>
    <w:rsid w:val="00BD7B73"/>
    <w:rsid w:val="00BE1C50"/>
    <w:rsid w:val="00BE327E"/>
    <w:rsid w:val="00BE3E04"/>
    <w:rsid w:val="00BE5038"/>
    <w:rsid w:val="00BE58B1"/>
    <w:rsid w:val="00BE5AFA"/>
    <w:rsid w:val="00BE7413"/>
    <w:rsid w:val="00BF20A4"/>
    <w:rsid w:val="00BF3209"/>
    <w:rsid w:val="00BF3D43"/>
    <w:rsid w:val="00BF582F"/>
    <w:rsid w:val="00BF7238"/>
    <w:rsid w:val="00C0116E"/>
    <w:rsid w:val="00C02796"/>
    <w:rsid w:val="00C037CA"/>
    <w:rsid w:val="00C0566A"/>
    <w:rsid w:val="00C0583A"/>
    <w:rsid w:val="00C05900"/>
    <w:rsid w:val="00C06E07"/>
    <w:rsid w:val="00C07804"/>
    <w:rsid w:val="00C10912"/>
    <w:rsid w:val="00C10CC9"/>
    <w:rsid w:val="00C10D7A"/>
    <w:rsid w:val="00C11096"/>
    <w:rsid w:val="00C111B5"/>
    <w:rsid w:val="00C15315"/>
    <w:rsid w:val="00C15E94"/>
    <w:rsid w:val="00C16302"/>
    <w:rsid w:val="00C165A1"/>
    <w:rsid w:val="00C177EC"/>
    <w:rsid w:val="00C17C84"/>
    <w:rsid w:val="00C2003B"/>
    <w:rsid w:val="00C21551"/>
    <w:rsid w:val="00C22F61"/>
    <w:rsid w:val="00C2327D"/>
    <w:rsid w:val="00C2386B"/>
    <w:rsid w:val="00C23BA3"/>
    <w:rsid w:val="00C23F99"/>
    <w:rsid w:val="00C24445"/>
    <w:rsid w:val="00C25DFE"/>
    <w:rsid w:val="00C31F8E"/>
    <w:rsid w:val="00C329A1"/>
    <w:rsid w:val="00C32B30"/>
    <w:rsid w:val="00C33852"/>
    <w:rsid w:val="00C347FD"/>
    <w:rsid w:val="00C348EB"/>
    <w:rsid w:val="00C34DBE"/>
    <w:rsid w:val="00C356D4"/>
    <w:rsid w:val="00C37681"/>
    <w:rsid w:val="00C37B4C"/>
    <w:rsid w:val="00C4022E"/>
    <w:rsid w:val="00C405CE"/>
    <w:rsid w:val="00C406B2"/>
    <w:rsid w:val="00C40880"/>
    <w:rsid w:val="00C40F7C"/>
    <w:rsid w:val="00C41CE2"/>
    <w:rsid w:val="00C42045"/>
    <w:rsid w:val="00C45322"/>
    <w:rsid w:val="00C4541E"/>
    <w:rsid w:val="00C4566F"/>
    <w:rsid w:val="00C4736C"/>
    <w:rsid w:val="00C477FE"/>
    <w:rsid w:val="00C50E3D"/>
    <w:rsid w:val="00C51037"/>
    <w:rsid w:val="00C5138E"/>
    <w:rsid w:val="00C51E12"/>
    <w:rsid w:val="00C5502B"/>
    <w:rsid w:val="00C569BA"/>
    <w:rsid w:val="00C5776C"/>
    <w:rsid w:val="00C603BF"/>
    <w:rsid w:val="00C60A89"/>
    <w:rsid w:val="00C622B0"/>
    <w:rsid w:val="00C638F9"/>
    <w:rsid w:val="00C63FBF"/>
    <w:rsid w:val="00C646D5"/>
    <w:rsid w:val="00C660C1"/>
    <w:rsid w:val="00C70392"/>
    <w:rsid w:val="00C70854"/>
    <w:rsid w:val="00C7262D"/>
    <w:rsid w:val="00C73ECC"/>
    <w:rsid w:val="00C76105"/>
    <w:rsid w:val="00C7634E"/>
    <w:rsid w:val="00C77052"/>
    <w:rsid w:val="00C80D44"/>
    <w:rsid w:val="00C841DB"/>
    <w:rsid w:val="00C87CF1"/>
    <w:rsid w:val="00C90803"/>
    <w:rsid w:val="00C90911"/>
    <w:rsid w:val="00C91A5F"/>
    <w:rsid w:val="00C91B0B"/>
    <w:rsid w:val="00C91E5E"/>
    <w:rsid w:val="00C93FDD"/>
    <w:rsid w:val="00C951D9"/>
    <w:rsid w:val="00C959CE"/>
    <w:rsid w:val="00C95D74"/>
    <w:rsid w:val="00C96EA9"/>
    <w:rsid w:val="00CA0435"/>
    <w:rsid w:val="00CA2466"/>
    <w:rsid w:val="00CA2B25"/>
    <w:rsid w:val="00CA30DF"/>
    <w:rsid w:val="00CA4139"/>
    <w:rsid w:val="00CA5588"/>
    <w:rsid w:val="00CA57F3"/>
    <w:rsid w:val="00CA5B7C"/>
    <w:rsid w:val="00CA632C"/>
    <w:rsid w:val="00CA644E"/>
    <w:rsid w:val="00CA6729"/>
    <w:rsid w:val="00CA6A27"/>
    <w:rsid w:val="00CA72A3"/>
    <w:rsid w:val="00CA75F3"/>
    <w:rsid w:val="00CA7FE6"/>
    <w:rsid w:val="00CB083A"/>
    <w:rsid w:val="00CB09FB"/>
    <w:rsid w:val="00CB0A81"/>
    <w:rsid w:val="00CB3564"/>
    <w:rsid w:val="00CB383E"/>
    <w:rsid w:val="00CB5323"/>
    <w:rsid w:val="00CB647F"/>
    <w:rsid w:val="00CB6F71"/>
    <w:rsid w:val="00CB7687"/>
    <w:rsid w:val="00CC0E3F"/>
    <w:rsid w:val="00CC2518"/>
    <w:rsid w:val="00CC2BD2"/>
    <w:rsid w:val="00CC2DEE"/>
    <w:rsid w:val="00CC3182"/>
    <w:rsid w:val="00CC36E2"/>
    <w:rsid w:val="00CC40D4"/>
    <w:rsid w:val="00CC48E3"/>
    <w:rsid w:val="00CC52C1"/>
    <w:rsid w:val="00CC5BAC"/>
    <w:rsid w:val="00CC5BE8"/>
    <w:rsid w:val="00CC6402"/>
    <w:rsid w:val="00CC6548"/>
    <w:rsid w:val="00CC673C"/>
    <w:rsid w:val="00CC699B"/>
    <w:rsid w:val="00CC6B26"/>
    <w:rsid w:val="00CD067D"/>
    <w:rsid w:val="00CD1157"/>
    <w:rsid w:val="00CD2F05"/>
    <w:rsid w:val="00CD445C"/>
    <w:rsid w:val="00CD4888"/>
    <w:rsid w:val="00CD48F8"/>
    <w:rsid w:val="00CD6538"/>
    <w:rsid w:val="00CD667F"/>
    <w:rsid w:val="00CD6C1E"/>
    <w:rsid w:val="00CD6D3E"/>
    <w:rsid w:val="00CE0230"/>
    <w:rsid w:val="00CE0DCD"/>
    <w:rsid w:val="00CE0E02"/>
    <w:rsid w:val="00CE1A7E"/>
    <w:rsid w:val="00CE20B1"/>
    <w:rsid w:val="00CE2EEA"/>
    <w:rsid w:val="00CE47D3"/>
    <w:rsid w:val="00CE47E0"/>
    <w:rsid w:val="00CE4A06"/>
    <w:rsid w:val="00CE4CC3"/>
    <w:rsid w:val="00CE5395"/>
    <w:rsid w:val="00CE5AD9"/>
    <w:rsid w:val="00CE5CEF"/>
    <w:rsid w:val="00CE62A5"/>
    <w:rsid w:val="00CE77BE"/>
    <w:rsid w:val="00CF07B0"/>
    <w:rsid w:val="00CF1B49"/>
    <w:rsid w:val="00CF2B46"/>
    <w:rsid w:val="00CF33E0"/>
    <w:rsid w:val="00CF3AAE"/>
    <w:rsid w:val="00CF4C31"/>
    <w:rsid w:val="00CF583A"/>
    <w:rsid w:val="00CF5E41"/>
    <w:rsid w:val="00CF5E8F"/>
    <w:rsid w:val="00CF61CD"/>
    <w:rsid w:val="00CF6EBF"/>
    <w:rsid w:val="00CF6FFA"/>
    <w:rsid w:val="00CF7939"/>
    <w:rsid w:val="00D0186F"/>
    <w:rsid w:val="00D03FB3"/>
    <w:rsid w:val="00D04464"/>
    <w:rsid w:val="00D0562F"/>
    <w:rsid w:val="00D05F87"/>
    <w:rsid w:val="00D067FC"/>
    <w:rsid w:val="00D06EBE"/>
    <w:rsid w:val="00D071EC"/>
    <w:rsid w:val="00D07FD4"/>
    <w:rsid w:val="00D10E38"/>
    <w:rsid w:val="00D118DC"/>
    <w:rsid w:val="00D11BC3"/>
    <w:rsid w:val="00D13066"/>
    <w:rsid w:val="00D13198"/>
    <w:rsid w:val="00D13A4E"/>
    <w:rsid w:val="00D14FA4"/>
    <w:rsid w:val="00D1529D"/>
    <w:rsid w:val="00D15599"/>
    <w:rsid w:val="00D15A07"/>
    <w:rsid w:val="00D17CE2"/>
    <w:rsid w:val="00D2183A"/>
    <w:rsid w:val="00D22767"/>
    <w:rsid w:val="00D22915"/>
    <w:rsid w:val="00D22FE9"/>
    <w:rsid w:val="00D23553"/>
    <w:rsid w:val="00D2445C"/>
    <w:rsid w:val="00D250A0"/>
    <w:rsid w:val="00D25416"/>
    <w:rsid w:val="00D32C0F"/>
    <w:rsid w:val="00D33A96"/>
    <w:rsid w:val="00D34654"/>
    <w:rsid w:val="00D36417"/>
    <w:rsid w:val="00D37BE4"/>
    <w:rsid w:val="00D4007B"/>
    <w:rsid w:val="00D412D8"/>
    <w:rsid w:val="00D4135C"/>
    <w:rsid w:val="00D413C4"/>
    <w:rsid w:val="00D426C0"/>
    <w:rsid w:val="00D45587"/>
    <w:rsid w:val="00D45632"/>
    <w:rsid w:val="00D45EB6"/>
    <w:rsid w:val="00D45F9B"/>
    <w:rsid w:val="00D46837"/>
    <w:rsid w:val="00D476E8"/>
    <w:rsid w:val="00D53B22"/>
    <w:rsid w:val="00D53DD6"/>
    <w:rsid w:val="00D5530A"/>
    <w:rsid w:val="00D5641F"/>
    <w:rsid w:val="00D565FE"/>
    <w:rsid w:val="00D603C6"/>
    <w:rsid w:val="00D607A1"/>
    <w:rsid w:val="00D61E22"/>
    <w:rsid w:val="00D64B3C"/>
    <w:rsid w:val="00D67B6C"/>
    <w:rsid w:val="00D7091D"/>
    <w:rsid w:val="00D72FE1"/>
    <w:rsid w:val="00D747A3"/>
    <w:rsid w:val="00D7605B"/>
    <w:rsid w:val="00D76668"/>
    <w:rsid w:val="00D76927"/>
    <w:rsid w:val="00D76B6C"/>
    <w:rsid w:val="00D80A8B"/>
    <w:rsid w:val="00D8116C"/>
    <w:rsid w:val="00D824BF"/>
    <w:rsid w:val="00D82D4C"/>
    <w:rsid w:val="00D831D5"/>
    <w:rsid w:val="00D8369E"/>
    <w:rsid w:val="00D836F1"/>
    <w:rsid w:val="00D83C0F"/>
    <w:rsid w:val="00D852FA"/>
    <w:rsid w:val="00D85F37"/>
    <w:rsid w:val="00D863B8"/>
    <w:rsid w:val="00D866A5"/>
    <w:rsid w:val="00D872ED"/>
    <w:rsid w:val="00D907EA"/>
    <w:rsid w:val="00D90D41"/>
    <w:rsid w:val="00D91472"/>
    <w:rsid w:val="00D928FA"/>
    <w:rsid w:val="00D94652"/>
    <w:rsid w:val="00D95615"/>
    <w:rsid w:val="00D97CF5"/>
    <w:rsid w:val="00DA4CF2"/>
    <w:rsid w:val="00DA7505"/>
    <w:rsid w:val="00DA781B"/>
    <w:rsid w:val="00DA7F82"/>
    <w:rsid w:val="00DB16AF"/>
    <w:rsid w:val="00DB1955"/>
    <w:rsid w:val="00DB1C15"/>
    <w:rsid w:val="00DB42D0"/>
    <w:rsid w:val="00DB4AB0"/>
    <w:rsid w:val="00DB4F5D"/>
    <w:rsid w:val="00DB5D9A"/>
    <w:rsid w:val="00DB7305"/>
    <w:rsid w:val="00DB770E"/>
    <w:rsid w:val="00DC0744"/>
    <w:rsid w:val="00DC0766"/>
    <w:rsid w:val="00DC1AE4"/>
    <w:rsid w:val="00DC27A1"/>
    <w:rsid w:val="00DC37C1"/>
    <w:rsid w:val="00DC4BE2"/>
    <w:rsid w:val="00DC5BCC"/>
    <w:rsid w:val="00DC6D2F"/>
    <w:rsid w:val="00DC7550"/>
    <w:rsid w:val="00DC778B"/>
    <w:rsid w:val="00DD02C9"/>
    <w:rsid w:val="00DD181E"/>
    <w:rsid w:val="00DD1F11"/>
    <w:rsid w:val="00DD261C"/>
    <w:rsid w:val="00DD393C"/>
    <w:rsid w:val="00DD418B"/>
    <w:rsid w:val="00DD5B10"/>
    <w:rsid w:val="00DD64ED"/>
    <w:rsid w:val="00DD6914"/>
    <w:rsid w:val="00DD7349"/>
    <w:rsid w:val="00DD7B40"/>
    <w:rsid w:val="00DE18ED"/>
    <w:rsid w:val="00DE3485"/>
    <w:rsid w:val="00DE47B8"/>
    <w:rsid w:val="00DE6165"/>
    <w:rsid w:val="00DF036E"/>
    <w:rsid w:val="00DF11E1"/>
    <w:rsid w:val="00DF2411"/>
    <w:rsid w:val="00DF3B53"/>
    <w:rsid w:val="00DF54D8"/>
    <w:rsid w:val="00E00C7E"/>
    <w:rsid w:val="00E01B36"/>
    <w:rsid w:val="00E01E70"/>
    <w:rsid w:val="00E036CB"/>
    <w:rsid w:val="00E05232"/>
    <w:rsid w:val="00E073E2"/>
    <w:rsid w:val="00E07A3C"/>
    <w:rsid w:val="00E1187F"/>
    <w:rsid w:val="00E11A19"/>
    <w:rsid w:val="00E11A70"/>
    <w:rsid w:val="00E122AA"/>
    <w:rsid w:val="00E128F6"/>
    <w:rsid w:val="00E132F6"/>
    <w:rsid w:val="00E136FD"/>
    <w:rsid w:val="00E14CA3"/>
    <w:rsid w:val="00E15B15"/>
    <w:rsid w:val="00E15E0F"/>
    <w:rsid w:val="00E1621E"/>
    <w:rsid w:val="00E16722"/>
    <w:rsid w:val="00E200E3"/>
    <w:rsid w:val="00E20C09"/>
    <w:rsid w:val="00E21BB0"/>
    <w:rsid w:val="00E22934"/>
    <w:rsid w:val="00E23477"/>
    <w:rsid w:val="00E23753"/>
    <w:rsid w:val="00E265D1"/>
    <w:rsid w:val="00E26FCD"/>
    <w:rsid w:val="00E272B2"/>
    <w:rsid w:val="00E27EA0"/>
    <w:rsid w:val="00E27EB0"/>
    <w:rsid w:val="00E3062E"/>
    <w:rsid w:val="00E30B49"/>
    <w:rsid w:val="00E3119C"/>
    <w:rsid w:val="00E347CB"/>
    <w:rsid w:val="00E347D7"/>
    <w:rsid w:val="00E35CC5"/>
    <w:rsid w:val="00E367C1"/>
    <w:rsid w:val="00E3680B"/>
    <w:rsid w:val="00E37504"/>
    <w:rsid w:val="00E40AA3"/>
    <w:rsid w:val="00E41D30"/>
    <w:rsid w:val="00E42400"/>
    <w:rsid w:val="00E440BB"/>
    <w:rsid w:val="00E44369"/>
    <w:rsid w:val="00E468E3"/>
    <w:rsid w:val="00E46E99"/>
    <w:rsid w:val="00E4712F"/>
    <w:rsid w:val="00E47850"/>
    <w:rsid w:val="00E5006C"/>
    <w:rsid w:val="00E52178"/>
    <w:rsid w:val="00E521EF"/>
    <w:rsid w:val="00E53104"/>
    <w:rsid w:val="00E535F9"/>
    <w:rsid w:val="00E5603A"/>
    <w:rsid w:val="00E56764"/>
    <w:rsid w:val="00E5744D"/>
    <w:rsid w:val="00E600CD"/>
    <w:rsid w:val="00E6018F"/>
    <w:rsid w:val="00E608BB"/>
    <w:rsid w:val="00E615D3"/>
    <w:rsid w:val="00E630D3"/>
    <w:rsid w:val="00E631FF"/>
    <w:rsid w:val="00E637BD"/>
    <w:rsid w:val="00E63AED"/>
    <w:rsid w:val="00E63C54"/>
    <w:rsid w:val="00E648E1"/>
    <w:rsid w:val="00E64EE6"/>
    <w:rsid w:val="00E656F8"/>
    <w:rsid w:val="00E65BB3"/>
    <w:rsid w:val="00E66088"/>
    <w:rsid w:val="00E66E45"/>
    <w:rsid w:val="00E7487A"/>
    <w:rsid w:val="00E75F50"/>
    <w:rsid w:val="00E80FDF"/>
    <w:rsid w:val="00E82EB2"/>
    <w:rsid w:val="00E84023"/>
    <w:rsid w:val="00E86C95"/>
    <w:rsid w:val="00E8789F"/>
    <w:rsid w:val="00E87B79"/>
    <w:rsid w:val="00E91A36"/>
    <w:rsid w:val="00E91BAB"/>
    <w:rsid w:val="00E9278F"/>
    <w:rsid w:val="00E937B0"/>
    <w:rsid w:val="00E979E3"/>
    <w:rsid w:val="00E97E6F"/>
    <w:rsid w:val="00EA0208"/>
    <w:rsid w:val="00EA0289"/>
    <w:rsid w:val="00EA326D"/>
    <w:rsid w:val="00EA32D3"/>
    <w:rsid w:val="00EA4186"/>
    <w:rsid w:val="00EA4BAC"/>
    <w:rsid w:val="00EA4CCA"/>
    <w:rsid w:val="00EA607E"/>
    <w:rsid w:val="00EA62BF"/>
    <w:rsid w:val="00EA6DE8"/>
    <w:rsid w:val="00EA6ED2"/>
    <w:rsid w:val="00EA72FF"/>
    <w:rsid w:val="00EA7613"/>
    <w:rsid w:val="00EB0067"/>
    <w:rsid w:val="00EB0401"/>
    <w:rsid w:val="00EB07B7"/>
    <w:rsid w:val="00EB18BE"/>
    <w:rsid w:val="00EB2900"/>
    <w:rsid w:val="00EB2D5E"/>
    <w:rsid w:val="00EB4D7E"/>
    <w:rsid w:val="00EB7632"/>
    <w:rsid w:val="00EB77C5"/>
    <w:rsid w:val="00EB7E86"/>
    <w:rsid w:val="00EB7EFD"/>
    <w:rsid w:val="00EC09A7"/>
    <w:rsid w:val="00EC1F47"/>
    <w:rsid w:val="00EC5B12"/>
    <w:rsid w:val="00EC619F"/>
    <w:rsid w:val="00EC71FA"/>
    <w:rsid w:val="00EC793A"/>
    <w:rsid w:val="00EC7ABB"/>
    <w:rsid w:val="00ED080A"/>
    <w:rsid w:val="00ED0FA9"/>
    <w:rsid w:val="00ED19F9"/>
    <w:rsid w:val="00ED2104"/>
    <w:rsid w:val="00ED26BE"/>
    <w:rsid w:val="00ED28AF"/>
    <w:rsid w:val="00ED507B"/>
    <w:rsid w:val="00ED5144"/>
    <w:rsid w:val="00ED535E"/>
    <w:rsid w:val="00EE01C6"/>
    <w:rsid w:val="00EE1331"/>
    <w:rsid w:val="00EE175E"/>
    <w:rsid w:val="00EE3289"/>
    <w:rsid w:val="00EE48CB"/>
    <w:rsid w:val="00EE4C18"/>
    <w:rsid w:val="00EE5E42"/>
    <w:rsid w:val="00EF181C"/>
    <w:rsid w:val="00EF2247"/>
    <w:rsid w:val="00EF5938"/>
    <w:rsid w:val="00F0164D"/>
    <w:rsid w:val="00F036CE"/>
    <w:rsid w:val="00F03AEC"/>
    <w:rsid w:val="00F03B57"/>
    <w:rsid w:val="00F03C64"/>
    <w:rsid w:val="00F04875"/>
    <w:rsid w:val="00F05EA6"/>
    <w:rsid w:val="00F06557"/>
    <w:rsid w:val="00F074A6"/>
    <w:rsid w:val="00F112C5"/>
    <w:rsid w:val="00F128D7"/>
    <w:rsid w:val="00F13142"/>
    <w:rsid w:val="00F13635"/>
    <w:rsid w:val="00F13733"/>
    <w:rsid w:val="00F14B8E"/>
    <w:rsid w:val="00F150BB"/>
    <w:rsid w:val="00F15BB7"/>
    <w:rsid w:val="00F15E22"/>
    <w:rsid w:val="00F21DBC"/>
    <w:rsid w:val="00F22587"/>
    <w:rsid w:val="00F231DB"/>
    <w:rsid w:val="00F2450C"/>
    <w:rsid w:val="00F2486D"/>
    <w:rsid w:val="00F253E6"/>
    <w:rsid w:val="00F2629B"/>
    <w:rsid w:val="00F26A21"/>
    <w:rsid w:val="00F26D4A"/>
    <w:rsid w:val="00F27C9F"/>
    <w:rsid w:val="00F27EEB"/>
    <w:rsid w:val="00F31B57"/>
    <w:rsid w:val="00F31D0C"/>
    <w:rsid w:val="00F33326"/>
    <w:rsid w:val="00F345CF"/>
    <w:rsid w:val="00F379C2"/>
    <w:rsid w:val="00F4130A"/>
    <w:rsid w:val="00F4151B"/>
    <w:rsid w:val="00F41544"/>
    <w:rsid w:val="00F42A87"/>
    <w:rsid w:val="00F42C78"/>
    <w:rsid w:val="00F45ECD"/>
    <w:rsid w:val="00F45FE1"/>
    <w:rsid w:val="00F50132"/>
    <w:rsid w:val="00F52B74"/>
    <w:rsid w:val="00F53251"/>
    <w:rsid w:val="00F54AE0"/>
    <w:rsid w:val="00F55277"/>
    <w:rsid w:val="00F553F4"/>
    <w:rsid w:val="00F5550D"/>
    <w:rsid w:val="00F55DCB"/>
    <w:rsid w:val="00F60ABB"/>
    <w:rsid w:val="00F61AE4"/>
    <w:rsid w:val="00F62750"/>
    <w:rsid w:val="00F63035"/>
    <w:rsid w:val="00F63FAA"/>
    <w:rsid w:val="00F64FAF"/>
    <w:rsid w:val="00F66CB9"/>
    <w:rsid w:val="00F7132A"/>
    <w:rsid w:val="00F71446"/>
    <w:rsid w:val="00F72EEA"/>
    <w:rsid w:val="00F73CCF"/>
    <w:rsid w:val="00F75264"/>
    <w:rsid w:val="00F75834"/>
    <w:rsid w:val="00F82B8B"/>
    <w:rsid w:val="00F83801"/>
    <w:rsid w:val="00F83BEB"/>
    <w:rsid w:val="00F8621A"/>
    <w:rsid w:val="00F8668F"/>
    <w:rsid w:val="00F873C9"/>
    <w:rsid w:val="00F90E01"/>
    <w:rsid w:val="00F932E0"/>
    <w:rsid w:val="00F95501"/>
    <w:rsid w:val="00F95545"/>
    <w:rsid w:val="00F95D0A"/>
    <w:rsid w:val="00F97150"/>
    <w:rsid w:val="00FA50B3"/>
    <w:rsid w:val="00FB0249"/>
    <w:rsid w:val="00FB0439"/>
    <w:rsid w:val="00FB124C"/>
    <w:rsid w:val="00FB1ABB"/>
    <w:rsid w:val="00FB1EFE"/>
    <w:rsid w:val="00FB3105"/>
    <w:rsid w:val="00FB4C3E"/>
    <w:rsid w:val="00FB6BD6"/>
    <w:rsid w:val="00FC0D5A"/>
    <w:rsid w:val="00FC1EA1"/>
    <w:rsid w:val="00FC231F"/>
    <w:rsid w:val="00FC456E"/>
    <w:rsid w:val="00FC47AB"/>
    <w:rsid w:val="00FC633A"/>
    <w:rsid w:val="00FC7F82"/>
    <w:rsid w:val="00FD0CD0"/>
    <w:rsid w:val="00FD38DA"/>
    <w:rsid w:val="00FD3CF1"/>
    <w:rsid w:val="00FD415C"/>
    <w:rsid w:val="00FD5643"/>
    <w:rsid w:val="00FD5D08"/>
    <w:rsid w:val="00FD6E4E"/>
    <w:rsid w:val="00FE11CA"/>
    <w:rsid w:val="00FE11F4"/>
    <w:rsid w:val="00FE1EA8"/>
    <w:rsid w:val="00FE23D4"/>
    <w:rsid w:val="00FE24D4"/>
    <w:rsid w:val="00FE332B"/>
    <w:rsid w:val="00FE59EA"/>
    <w:rsid w:val="00FE60C0"/>
    <w:rsid w:val="00FE6B89"/>
    <w:rsid w:val="00FE6F60"/>
    <w:rsid w:val="00FE7624"/>
    <w:rsid w:val="00FF2C53"/>
    <w:rsid w:val="00FF2F76"/>
    <w:rsid w:val="00FF315E"/>
    <w:rsid w:val="00FF3D40"/>
    <w:rsid w:val="00FF4798"/>
    <w:rsid w:val="00FF5765"/>
    <w:rsid w:val="00FF6527"/>
    <w:rsid w:val="00FF6EC1"/>
    <w:rsid w:val="00FF7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18E06"/>
  <w15:docId w15:val="{E2BBD9E6-3F67-4A57-B934-8DE3E81A9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1B60A8"/>
    <w:pPr>
      <w:spacing w:after="0" w:line="240" w:lineRule="auto"/>
    </w:pPr>
    <w:rPr>
      <w:rFonts w:ascii="Times New Roman" w:eastAsia="Times New Roman" w:hAnsi="Times New Roman" w:cs="Times New Roman"/>
      <w:sz w:val="24"/>
      <w:szCs w:val="24"/>
      <w:lang w:eastAsia="ru-RU"/>
    </w:rPr>
  </w:style>
  <w:style w:type="paragraph" w:styleId="10">
    <w:name w:val="heading 1"/>
    <w:basedOn w:val="a2"/>
    <w:next w:val="a2"/>
    <w:link w:val="11"/>
    <w:qFormat/>
    <w:rsid w:val="002F6EA4"/>
    <w:pPr>
      <w:keepNext/>
      <w:outlineLvl w:val="0"/>
    </w:pPr>
    <w:rPr>
      <w:b/>
      <w:szCs w:val="20"/>
    </w:rPr>
  </w:style>
  <w:style w:type="paragraph" w:styleId="2">
    <w:name w:val="heading 2"/>
    <w:basedOn w:val="a2"/>
    <w:next w:val="a2"/>
    <w:link w:val="20"/>
    <w:qFormat/>
    <w:rsid w:val="002F6EA4"/>
    <w:pPr>
      <w:keepNext/>
      <w:ind w:left="360"/>
      <w:outlineLvl w:val="1"/>
    </w:pPr>
    <w:rPr>
      <w:b/>
      <w:szCs w:val="20"/>
    </w:rPr>
  </w:style>
  <w:style w:type="paragraph" w:styleId="3">
    <w:name w:val="heading 3"/>
    <w:basedOn w:val="a2"/>
    <w:next w:val="a2"/>
    <w:link w:val="30"/>
    <w:qFormat/>
    <w:rsid w:val="002F6EA4"/>
    <w:pPr>
      <w:keepNext/>
      <w:outlineLvl w:val="2"/>
    </w:pPr>
    <w:rPr>
      <w:b/>
      <w:sz w:val="20"/>
      <w:szCs w:val="20"/>
    </w:rPr>
  </w:style>
  <w:style w:type="paragraph" w:styleId="4">
    <w:name w:val="heading 4"/>
    <w:basedOn w:val="a2"/>
    <w:next w:val="a2"/>
    <w:link w:val="40"/>
    <w:qFormat/>
    <w:rsid w:val="002F6EA4"/>
    <w:pPr>
      <w:keepNext/>
      <w:ind w:firstLine="567"/>
      <w:jc w:val="right"/>
      <w:outlineLvl w:val="3"/>
    </w:pPr>
    <w:rPr>
      <w:b/>
      <w:bCs/>
      <w:szCs w:val="20"/>
    </w:rPr>
  </w:style>
  <w:style w:type="paragraph" w:styleId="5">
    <w:name w:val="heading 5"/>
    <w:basedOn w:val="a2"/>
    <w:next w:val="a2"/>
    <w:link w:val="50"/>
    <w:unhideWhenUsed/>
    <w:qFormat/>
    <w:rsid w:val="002F6EA4"/>
    <w:pPr>
      <w:spacing w:before="240" w:after="60"/>
      <w:outlineLvl w:val="4"/>
    </w:pPr>
    <w:rPr>
      <w:rFonts w:ascii="Calibri" w:hAnsi="Calibri"/>
      <w:b/>
      <w:bCs/>
      <w:i/>
      <w:iCs/>
      <w:sz w:val="26"/>
      <w:szCs w:val="26"/>
    </w:rPr>
  </w:style>
  <w:style w:type="paragraph" w:styleId="6">
    <w:name w:val="heading 6"/>
    <w:basedOn w:val="a2"/>
    <w:next w:val="a2"/>
    <w:link w:val="60"/>
    <w:unhideWhenUsed/>
    <w:qFormat/>
    <w:rsid w:val="009573A4"/>
    <w:pPr>
      <w:spacing w:before="240" w:after="60" w:line="312" w:lineRule="auto"/>
      <w:ind w:left="3600"/>
      <w:jc w:val="both"/>
      <w:outlineLvl w:val="5"/>
    </w:pPr>
    <w:rPr>
      <w:rFonts w:ascii="Calibri" w:hAnsi="Calibri"/>
      <w:b/>
      <w:bCs/>
      <w:sz w:val="22"/>
      <w:szCs w:val="22"/>
    </w:rPr>
  </w:style>
  <w:style w:type="paragraph" w:styleId="7">
    <w:name w:val="heading 7"/>
    <w:basedOn w:val="a2"/>
    <w:next w:val="a2"/>
    <w:link w:val="70"/>
    <w:unhideWhenUsed/>
    <w:qFormat/>
    <w:rsid w:val="009573A4"/>
    <w:pPr>
      <w:spacing w:before="240" w:after="60" w:line="312" w:lineRule="auto"/>
      <w:ind w:left="4320"/>
      <w:jc w:val="both"/>
      <w:outlineLvl w:val="6"/>
    </w:pPr>
    <w:rPr>
      <w:rFonts w:ascii="Calibri" w:hAnsi="Calibri"/>
    </w:rPr>
  </w:style>
  <w:style w:type="paragraph" w:styleId="8">
    <w:name w:val="heading 8"/>
    <w:basedOn w:val="a2"/>
    <w:next w:val="a2"/>
    <w:link w:val="80"/>
    <w:unhideWhenUsed/>
    <w:qFormat/>
    <w:rsid w:val="009573A4"/>
    <w:pPr>
      <w:spacing w:before="240" w:after="60" w:line="312" w:lineRule="auto"/>
      <w:ind w:left="5040"/>
      <w:jc w:val="both"/>
      <w:outlineLvl w:val="7"/>
    </w:pPr>
    <w:rPr>
      <w:rFonts w:ascii="Calibri" w:hAnsi="Calibri"/>
      <w:i/>
      <w:iCs/>
    </w:rPr>
  </w:style>
  <w:style w:type="paragraph" w:styleId="9">
    <w:name w:val="heading 9"/>
    <w:basedOn w:val="a2"/>
    <w:next w:val="a2"/>
    <w:link w:val="90"/>
    <w:unhideWhenUsed/>
    <w:qFormat/>
    <w:rsid w:val="002F6EA4"/>
    <w:pPr>
      <w:spacing w:before="240" w:after="60"/>
      <w:outlineLvl w:val="8"/>
    </w:pPr>
    <w:rPr>
      <w:rFonts w:ascii="Cambria" w:hAnsi="Cambria"/>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Знак Знак Знак Знак Знак Знак Знак Знак Знак Знак Знак Знак"/>
    <w:basedOn w:val="a2"/>
    <w:rsid w:val="00AB0D82"/>
    <w:pPr>
      <w:tabs>
        <w:tab w:val="num" w:pos="360"/>
      </w:tabs>
      <w:spacing w:after="160" w:line="240" w:lineRule="exact"/>
    </w:pPr>
    <w:rPr>
      <w:rFonts w:ascii="Verdana" w:hAnsi="Verdana" w:cs="Verdana"/>
      <w:sz w:val="20"/>
      <w:szCs w:val="20"/>
      <w:lang w:val="en-US" w:eastAsia="en-US"/>
    </w:rPr>
  </w:style>
  <w:style w:type="paragraph" w:styleId="a7">
    <w:name w:val="header"/>
    <w:basedOn w:val="a2"/>
    <w:link w:val="a8"/>
    <w:uiPriority w:val="99"/>
    <w:unhideWhenUsed/>
    <w:rsid w:val="00EC619F"/>
    <w:pPr>
      <w:tabs>
        <w:tab w:val="center" w:pos="4677"/>
        <w:tab w:val="right" w:pos="9355"/>
      </w:tabs>
    </w:pPr>
  </w:style>
  <w:style w:type="character" w:customStyle="1" w:styleId="a8">
    <w:name w:val="Верхний колонтитул Знак"/>
    <w:basedOn w:val="a3"/>
    <w:link w:val="a7"/>
    <w:uiPriority w:val="99"/>
    <w:rsid w:val="00EC619F"/>
    <w:rPr>
      <w:rFonts w:ascii="Times New Roman" w:eastAsia="Times New Roman" w:hAnsi="Times New Roman" w:cs="Times New Roman"/>
      <w:sz w:val="24"/>
      <w:szCs w:val="24"/>
      <w:lang w:eastAsia="ru-RU"/>
    </w:rPr>
  </w:style>
  <w:style w:type="paragraph" w:styleId="a9">
    <w:name w:val="footer"/>
    <w:basedOn w:val="a2"/>
    <w:link w:val="aa"/>
    <w:uiPriority w:val="99"/>
    <w:unhideWhenUsed/>
    <w:rsid w:val="00EC619F"/>
    <w:pPr>
      <w:tabs>
        <w:tab w:val="center" w:pos="4677"/>
        <w:tab w:val="right" w:pos="9355"/>
      </w:tabs>
    </w:pPr>
  </w:style>
  <w:style w:type="character" w:customStyle="1" w:styleId="aa">
    <w:name w:val="Нижний колонтитул Знак"/>
    <w:basedOn w:val="a3"/>
    <w:link w:val="a9"/>
    <w:uiPriority w:val="99"/>
    <w:rsid w:val="00EC619F"/>
    <w:rPr>
      <w:rFonts w:ascii="Times New Roman" w:eastAsia="Times New Roman" w:hAnsi="Times New Roman" w:cs="Times New Roman"/>
      <w:sz w:val="24"/>
      <w:szCs w:val="24"/>
      <w:lang w:eastAsia="ru-RU"/>
    </w:rPr>
  </w:style>
  <w:style w:type="character" w:customStyle="1" w:styleId="11">
    <w:name w:val="Заголовок 1 Знак"/>
    <w:basedOn w:val="a3"/>
    <w:link w:val="10"/>
    <w:rsid w:val="002F6EA4"/>
    <w:rPr>
      <w:rFonts w:ascii="Times New Roman" w:eastAsia="Times New Roman" w:hAnsi="Times New Roman" w:cs="Times New Roman"/>
      <w:b/>
      <w:sz w:val="24"/>
      <w:szCs w:val="20"/>
      <w:lang w:eastAsia="ru-RU"/>
    </w:rPr>
  </w:style>
  <w:style w:type="character" w:customStyle="1" w:styleId="20">
    <w:name w:val="Заголовок 2 Знак"/>
    <w:basedOn w:val="a3"/>
    <w:link w:val="2"/>
    <w:rsid w:val="002F6EA4"/>
    <w:rPr>
      <w:rFonts w:ascii="Times New Roman" w:eastAsia="Times New Roman" w:hAnsi="Times New Roman" w:cs="Times New Roman"/>
      <w:b/>
      <w:sz w:val="24"/>
      <w:szCs w:val="20"/>
      <w:lang w:eastAsia="ru-RU"/>
    </w:rPr>
  </w:style>
  <w:style w:type="character" w:customStyle="1" w:styleId="30">
    <w:name w:val="Заголовок 3 Знак"/>
    <w:basedOn w:val="a3"/>
    <w:link w:val="3"/>
    <w:rsid w:val="002F6EA4"/>
    <w:rPr>
      <w:rFonts w:ascii="Times New Roman" w:eastAsia="Times New Roman" w:hAnsi="Times New Roman" w:cs="Times New Roman"/>
      <w:b/>
      <w:sz w:val="20"/>
      <w:szCs w:val="20"/>
      <w:lang w:eastAsia="ru-RU"/>
    </w:rPr>
  </w:style>
  <w:style w:type="character" w:customStyle="1" w:styleId="40">
    <w:name w:val="Заголовок 4 Знак"/>
    <w:basedOn w:val="a3"/>
    <w:link w:val="4"/>
    <w:rsid w:val="002F6EA4"/>
    <w:rPr>
      <w:rFonts w:ascii="Times New Roman" w:eastAsia="Times New Roman" w:hAnsi="Times New Roman" w:cs="Times New Roman"/>
      <w:b/>
      <w:bCs/>
      <w:sz w:val="24"/>
      <w:szCs w:val="20"/>
      <w:lang w:eastAsia="ru-RU"/>
    </w:rPr>
  </w:style>
  <w:style w:type="character" w:customStyle="1" w:styleId="50">
    <w:name w:val="Заголовок 5 Знак"/>
    <w:basedOn w:val="a3"/>
    <w:link w:val="5"/>
    <w:rsid w:val="002F6EA4"/>
    <w:rPr>
      <w:rFonts w:ascii="Calibri" w:eastAsia="Times New Roman" w:hAnsi="Calibri" w:cs="Times New Roman"/>
      <w:b/>
      <w:bCs/>
      <w:i/>
      <w:iCs/>
      <w:sz w:val="26"/>
      <w:szCs w:val="26"/>
      <w:lang w:eastAsia="ru-RU"/>
    </w:rPr>
  </w:style>
  <w:style w:type="character" w:customStyle="1" w:styleId="90">
    <w:name w:val="Заголовок 9 Знак"/>
    <w:basedOn w:val="a3"/>
    <w:link w:val="9"/>
    <w:rsid w:val="002F6EA4"/>
    <w:rPr>
      <w:rFonts w:ascii="Cambria" w:eastAsia="Times New Roman" w:hAnsi="Cambria" w:cs="Times New Roman"/>
      <w:lang w:eastAsia="ru-RU"/>
    </w:rPr>
  </w:style>
  <w:style w:type="paragraph" w:styleId="31">
    <w:name w:val="Body Text 3"/>
    <w:basedOn w:val="a2"/>
    <w:link w:val="32"/>
    <w:rsid w:val="002F6EA4"/>
    <w:pPr>
      <w:jc w:val="both"/>
    </w:pPr>
    <w:rPr>
      <w:sz w:val="18"/>
      <w:szCs w:val="20"/>
    </w:rPr>
  </w:style>
  <w:style w:type="character" w:customStyle="1" w:styleId="32">
    <w:name w:val="Основной текст 3 Знак"/>
    <w:basedOn w:val="a3"/>
    <w:link w:val="31"/>
    <w:rsid w:val="002F6EA4"/>
    <w:rPr>
      <w:rFonts w:ascii="Times New Roman" w:eastAsia="Times New Roman" w:hAnsi="Times New Roman" w:cs="Times New Roman"/>
      <w:sz w:val="18"/>
      <w:szCs w:val="20"/>
      <w:lang w:eastAsia="ru-RU"/>
    </w:rPr>
  </w:style>
  <w:style w:type="paragraph" w:styleId="ab">
    <w:name w:val="Body Text Indent"/>
    <w:basedOn w:val="a2"/>
    <w:link w:val="ac"/>
    <w:rsid w:val="002F6EA4"/>
    <w:pPr>
      <w:ind w:left="720"/>
      <w:jc w:val="both"/>
    </w:pPr>
    <w:rPr>
      <w:szCs w:val="20"/>
    </w:rPr>
  </w:style>
  <w:style w:type="character" w:customStyle="1" w:styleId="ac">
    <w:name w:val="Основной текст с отступом Знак"/>
    <w:basedOn w:val="a3"/>
    <w:link w:val="ab"/>
    <w:rsid w:val="002F6EA4"/>
    <w:rPr>
      <w:rFonts w:ascii="Times New Roman" w:eastAsia="Times New Roman" w:hAnsi="Times New Roman" w:cs="Times New Roman"/>
      <w:sz w:val="24"/>
      <w:szCs w:val="20"/>
      <w:lang w:eastAsia="ru-RU"/>
    </w:rPr>
  </w:style>
  <w:style w:type="paragraph" w:styleId="21">
    <w:name w:val="Body Text Indent 2"/>
    <w:basedOn w:val="a2"/>
    <w:link w:val="22"/>
    <w:rsid w:val="002F6EA4"/>
    <w:pPr>
      <w:ind w:firstLine="720"/>
      <w:jc w:val="both"/>
    </w:pPr>
    <w:rPr>
      <w:szCs w:val="20"/>
    </w:rPr>
  </w:style>
  <w:style w:type="character" w:customStyle="1" w:styleId="22">
    <w:name w:val="Основной текст с отступом 2 Знак"/>
    <w:basedOn w:val="a3"/>
    <w:link w:val="21"/>
    <w:rsid w:val="002F6EA4"/>
    <w:rPr>
      <w:rFonts w:ascii="Times New Roman" w:eastAsia="Times New Roman" w:hAnsi="Times New Roman" w:cs="Times New Roman"/>
      <w:sz w:val="24"/>
      <w:szCs w:val="20"/>
      <w:lang w:eastAsia="ru-RU"/>
    </w:rPr>
  </w:style>
  <w:style w:type="paragraph" w:styleId="33">
    <w:name w:val="Body Text Indent 3"/>
    <w:basedOn w:val="a2"/>
    <w:link w:val="34"/>
    <w:rsid w:val="002F6EA4"/>
    <w:pPr>
      <w:ind w:firstLine="720"/>
    </w:pPr>
    <w:rPr>
      <w:szCs w:val="20"/>
    </w:rPr>
  </w:style>
  <w:style w:type="character" w:customStyle="1" w:styleId="34">
    <w:name w:val="Основной текст с отступом 3 Знак"/>
    <w:basedOn w:val="a3"/>
    <w:link w:val="33"/>
    <w:rsid w:val="002F6EA4"/>
    <w:rPr>
      <w:rFonts w:ascii="Times New Roman" w:eastAsia="Times New Roman" w:hAnsi="Times New Roman" w:cs="Times New Roman"/>
      <w:sz w:val="24"/>
      <w:szCs w:val="20"/>
      <w:lang w:eastAsia="ru-RU"/>
    </w:rPr>
  </w:style>
  <w:style w:type="paragraph" w:styleId="a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2"/>
    <w:link w:val="ae"/>
    <w:rsid w:val="002F6EA4"/>
    <w:rPr>
      <w:sz w:val="22"/>
      <w:szCs w:val="20"/>
    </w:rPr>
  </w:style>
  <w:style w:type="character" w:customStyle="1" w:styleId="a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3"/>
    <w:link w:val="ad"/>
    <w:rsid w:val="002F6EA4"/>
    <w:rPr>
      <w:rFonts w:ascii="Times New Roman" w:eastAsia="Times New Roman" w:hAnsi="Times New Roman" w:cs="Times New Roman"/>
      <w:szCs w:val="20"/>
      <w:lang w:eastAsia="ru-RU"/>
    </w:rPr>
  </w:style>
  <w:style w:type="paragraph" w:styleId="23">
    <w:name w:val="Body Text 2"/>
    <w:basedOn w:val="a2"/>
    <w:link w:val="24"/>
    <w:rsid w:val="002F6EA4"/>
    <w:pPr>
      <w:ind w:right="-108"/>
    </w:pPr>
    <w:rPr>
      <w:sz w:val="20"/>
      <w:szCs w:val="20"/>
    </w:rPr>
  </w:style>
  <w:style w:type="character" w:customStyle="1" w:styleId="24">
    <w:name w:val="Основной текст 2 Знак"/>
    <w:basedOn w:val="a3"/>
    <w:link w:val="23"/>
    <w:rsid w:val="002F6EA4"/>
    <w:rPr>
      <w:rFonts w:ascii="Times New Roman" w:eastAsia="Times New Roman" w:hAnsi="Times New Roman" w:cs="Times New Roman"/>
      <w:sz w:val="20"/>
      <w:szCs w:val="20"/>
      <w:lang w:eastAsia="ru-RU"/>
    </w:rPr>
  </w:style>
  <w:style w:type="paragraph" w:customStyle="1" w:styleId="13">
    <w:name w:val="Знак Знак Знак1"/>
    <w:basedOn w:val="a2"/>
    <w:rsid w:val="002F6EA4"/>
    <w:pPr>
      <w:tabs>
        <w:tab w:val="num" w:pos="360"/>
      </w:tabs>
      <w:spacing w:after="160" w:line="240" w:lineRule="exact"/>
    </w:pPr>
    <w:rPr>
      <w:rFonts w:ascii="Verdana" w:hAnsi="Verdana" w:cs="Verdana"/>
      <w:sz w:val="20"/>
      <w:szCs w:val="20"/>
      <w:lang w:val="en-US" w:eastAsia="en-US"/>
    </w:rPr>
  </w:style>
  <w:style w:type="paragraph" w:customStyle="1" w:styleId="114">
    <w:name w:val="Знак Знак Знак114"/>
    <w:basedOn w:val="a2"/>
    <w:rsid w:val="002F6EA4"/>
    <w:pPr>
      <w:tabs>
        <w:tab w:val="num" w:pos="360"/>
      </w:tabs>
      <w:spacing w:after="160" w:line="240" w:lineRule="exact"/>
    </w:pPr>
    <w:rPr>
      <w:rFonts w:ascii="Verdana" w:hAnsi="Verdana" w:cs="Verdana"/>
      <w:sz w:val="20"/>
      <w:szCs w:val="20"/>
      <w:lang w:val="en-US" w:eastAsia="en-US"/>
    </w:rPr>
  </w:style>
  <w:style w:type="paragraph" w:styleId="af">
    <w:name w:val="Balloon Text"/>
    <w:basedOn w:val="a2"/>
    <w:link w:val="af0"/>
    <w:rsid w:val="002F6EA4"/>
    <w:rPr>
      <w:rFonts w:ascii="Tahoma" w:hAnsi="Tahoma" w:cs="Tahoma"/>
      <w:sz w:val="16"/>
      <w:szCs w:val="16"/>
    </w:rPr>
  </w:style>
  <w:style w:type="character" w:customStyle="1" w:styleId="af0">
    <w:name w:val="Текст выноски Знак"/>
    <w:basedOn w:val="a3"/>
    <w:link w:val="af"/>
    <w:rsid w:val="002F6EA4"/>
    <w:rPr>
      <w:rFonts w:ascii="Tahoma" w:eastAsia="Times New Roman" w:hAnsi="Tahoma" w:cs="Tahoma"/>
      <w:sz w:val="16"/>
      <w:szCs w:val="16"/>
      <w:lang w:eastAsia="ru-RU"/>
    </w:rPr>
  </w:style>
  <w:style w:type="paragraph" w:customStyle="1" w:styleId="14">
    <w:name w:val="14"/>
    <w:basedOn w:val="a2"/>
    <w:next w:val="af1"/>
    <w:qFormat/>
    <w:rsid w:val="00C2386B"/>
    <w:pPr>
      <w:tabs>
        <w:tab w:val="left" w:pos="1665"/>
      </w:tabs>
      <w:jc w:val="center"/>
    </w:pPr>
    <w:rPr>
      <w:b/>
      <w:bCs/>
    </w:rPr>
  </w:style>
  <w:style w:type="paragraph" w:customStyle="1" w:styleId="ConsPlusNormal">
    <w:name w:val="ConsPlusNormal"/>
    <w:link w:val="ConsPlusNormal0"/>
    <w:rsid w:val="002F6EA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f2">
    <w:name w:val="page number"/>
    <w:rsid w:val="002F6EA4"/>
  </w:style>
  <w:style w:type="character" w:styleId="af3">
    <w:name w:val="annotation reference"/>
    <w:rsid w:val="002F6EA4"/>
    <w:rPr>
      <w:sz w:val="16"/>
      <w:szCs w:val="16"/>
    </w:rPr>
  </w:style>
  <w:style w:type="paragraph" w:styleId="af4">
    <w:name w:val="annotation text"/>
    <w:basedOn w:val="a2"/>
    <w:link w:val="af5"/>
    <w:rsid w:val="002F6EA4"/>
    <w:rPr>
      <w:sz w:val="20"/>
      <w:szCs w:val="20"/>
    </w:rPr>
  </w:style>
  <w:style w:type="character" w:customStyle="1" w:styleId="af5">
    <w:name w:val="Текст примечания Знак"/>
    <w:basedOn w:val="a3"/>
    <w:link w:val="af4"/>
    <w:rsid w:val="002F6EA4"/>
    <w:rPr>
      <w:rFonts w:ascii="Times New Roman" w:eastAsia="Times New Roman" w:hAnsi="Times New Roman" w:cs="Times New Roman"/>
      <w:sz w:val="20"/>
      <w:szCs w:val="20"/>
      <w:lang w:eastAsia="ru-RU"/>
    </w:rPr>
  </w:style>
  <w:style w:type="paragraph" w:styleId="af6">
    <w:name w:val="annotation subject"/>
    <w:basedOn w:val="af4"/>
    <w:next w:val="af4"/>
    <w:link w:val="af7"/>
    <w:rsid w:val="002F6EA4"/>
    <w:rPr>
      <w:b/>
      <w:bCs/>
    </w:rPr>
  </w:style>
  <w:style w:type="character" w:customStyle="1" w:styleId="af7">
    <w:name w:val="Тема примечания Знак"/>
    <w:basedOn w:val="af5"/>
    <w:link w:val="af6"/>
    <w:rsid w:val="002F6EA4"/>
    <w:rPr>
      <w:rFonts w:ascii="Times New Roman" w:eastAsia="Times New Roman" w:hAnsi="Times New Roman" w:cs="Times New Roman"/>
      <w:b/>
      <w:bCs/>
      <w:sz w:val="20"/>
      <w:szCs w:val="20"/>
      <w:lang w:eastAsia="ru-RU"/>
    </w:rPr>
  </w:style>
  <w:style w:type="character" w:styleId="af8">
    <w:name w:val="Hyperlink"/>
    <w:uiPriority w:val="99"/>
    <w:unhideWhenUsed/>
    <w:rsid w:val="002F6EA4"/>
    <w:rPr>
      <w:color w:val="0000FF"/>
      <w:u w:val="single"/>
    </w:rPr>
  </w:style>
  <w:style w:type="paragraph" w:styleId="af1">
    <w:name w:val="Title"/>
    <w:aliases w:val="Название"/>
    <w:basedOn w:val="a2"/>
    <w:next w:val="a2"/>
    <w:link w:val="af9"/>
    <w:qFormat/>
    <w:rsid w:val="002F6EA4"/>
    <w:pPr>
      <w:contextualSpacing/>
    </w:pPr>
    <w:rPr>
      <w:rFonts w:asciiTheme="majorHAnsi" w:eastAsiaTheme="majorEastAsia" w:hAnsiTheme="majorHAnsi" w:cstheme="majorBidi"/>
      <w:spacing w:val="-10"/>
      <w:kern w:val="28"/>
      <w:sz w:val="56"/>
      <w:szCs w:val="56"/>
    </w:rPr>
  </w:style>
  <w:style w:type="character" w:customStyle="1" w:styleId="af9">
    <w:name w:val="Заголовок Знак"/>
    <w:aliases w:val="Название Знак1"/>
    <w:basedOn w:val="a3"/>
    <w:link w:val="af1"/>
    <w:uiPriority w:val="10"/>
    <w:rsid w:val="002F6EA4"/>
    <w:rPr>
      <w:rFonts w:asciiTheme="majorHAnsi" w:eastAsiaTheme="majorEastAsia" w:hAnsiTheme="majorHAnsi" w:cstheme="majorBidi"/>
      <w:spacing w:val="-10"/>
      <w:kern w:val="28"/>
      <w:sz w:val="56"/>
      <w:szCs w:val="56"/>
      <w:lang w:eastAsia="ru-RU"/>
    </w:rPr>
  </w:style>
  <w:style w:type="paragraph" w:styleId="afa">
    <w:name w:val="List Paragraph"/>
    <w:basedOn w:val="a2"/>
    <w:uiPriority w:val="34"/>
    <w:qFormat/>
    <w:rsid w:val="00376C6F"/>
    <w:pPr>
      <w:ind w:left="720"/>
      <w:contextualSpacing/>
    </w:pPr>
  </w:style>
  <w:style w:type="table" w:styleId="afb">
    <w:name w:val="Table Grid"/>
    <w:basedOn w:val="a4"/>
    <w:rsid w:val="00716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3">
    <w:name w:val="Знак Знак Знак Знак Знак Знак Знак Знак Знак Знак Знак Знак73"/>
    <w:basedOn w:val="a2"/>
    <w:rsid w:val="00E84023"/>
    <w:pPr>
      <w:tabs>
        <w:tab w:val="num" w:pos="360"/>
      </w:tabs>
      <w:spacing w:after="160" w:line="240" w:lineRule="exact"/>
    </w:pPr>
    <w:rPr>
      <w:rFonts w:ascii="Verdana" w:hAnsi="Verdana" w:cs="Verdana"/>
      <w:sz w:val="20"/>
      <w:szCs w:val="20"/>
      <w:lang w:val="en-US" w:eastAsia="en-US"/>
    </w:rPr>
  </w:style>
  <w:style w:type="paragraph" w:customStyle="1" w:styleId="113">
    <w:name w:val="Знак Знак Знак113"/>
    <w:basedOn w:val="a2"/>
    <w:rsid w:val="0023495B"/>
    <w:pPr>
      <w:tabs>
        <w:tab w:val="num" w:pos="360"/>
      </w:tabs>
      <w:spacing w:after="160" w:line="240" w:lineRule="exact"/>
    </w:pPr>
    <w:rPr>
      <w:rFonts w:ascii="Verdana" w:hAnsi="Verdana" w:cs="Verdana"/>
      <w:sz w:val="20"/>
      <w:szCs w:val="20"/>
      <w:lang w:val="en-US" w:eastAsia="en-US"/>
    </w:rPr>
  </w:style>
  <w:style w:type="numbering" w:customStyle="1" w:styleId="15">
    <w:name w:val="Нет списка1"/>
    <w:next w:val="a5"/>
    <w:uiPriority w:val="99"/>
    <w:semiHidden/>
    <w:unhideWhenUsed/>
    <w:rsid w:val="008F7554"/>
  </w:style>
  <w:style w:type="numbering" w:customStyle="1" w:styleId="110">
    <w:name w:val="Нет списка11"/>
    <w:next w:val="a5"/>
    <w:uiPriority w:val="99"/>
    <w:semiHidden/>
    <w:rsid w:val="008F7554"/>
  </w:style>
  <w:style w:type="paragraph" w:customStyle="1" w:styleId="16">
    <w:name w:val="1"/>
    <w:basedOn w:val="a2"/>
    <w:rsid w:val="008F7554"/>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8F7554"/>
    <w:pPr>
      <w:widowControl w:val="0"/>
      <w:numPr>
        <w:numId w:val="1"/>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8F7554"/>
    <w:pPr>
      <w:numPr>
        <w:numId w:val="2"/>
      </w:numPr>
      <w:tabs>
        <w:tab w:val="num" w:pos="360"/>
      </w:tabs>
      <w:ind w:left="360"/>
    </w:pPr>
    <w:rPr>
      <w:snapToGrid w:val="0"/>
      <w:sz w:val="28"/>
      <w:szCs w:val="28"/>
    </w:rPr>
  </w:style>
  <w:style w:type="paragraph" w:styleId="25">
    <w:name w:val="List Number 2"/>
    <w:basedOn w:val="a2"/>
    <w:rsid w:val="008F7554"/>
    <w:pPr>
      <w:tabs>
        <w:tab w:val="num" w:pos="360"/>
      </w:tabs>
      <w:ind w:left="360" w:hanging="360"/>
    </w:pPr>
    <w:rPr>
      <w:snapToGrid w:val="0"/>
      <w:sz w:val="28"/>
      <w:szCs w:val="28"/>
    </w:rPr>
  </w:style>
  <w:style w:type="paragraph" w:customStyle="1" w:styleId="17">
    <w:name w:val="Абзац списка1"/>
    <w:basedOn w:val="a2"/>
    <w:autoRedefine/>
    <w:rsid w:val="008F7554"/>
    <w:pPr>
      <w:jc w:val="center"/>
    </w:pPr>
    <w:rPr>
      <w:snapToGrid w:val="0"/>
      <w:sz w:val="28"/>
      <w:szCs w:val="28"/>
    </w:rPr>
  </w:style>
  <w:style w:type="paragraph" w:styleId="18">
    <w:name w:val="toc 1"/>
    <w:basedOn w:val="a2"/>
    <w:next w:val="a2"/>
    <w:autoRedefine/>
    <w:uiPriority w:val="39"/>
    <w:qFormat/>
    <w:rsid w:val="008F7554"/>
    <w:pPr>
      <w:tabs>
        <w:tab w:val="left" w:pos="880"/>
        <w:tab w:val="right" w:leader="dot" w:pos="9356"/>
      </w:tabs>
      <w:spacing w:line="312" w:lineRule="auto"/>
      <w:ind w:left="284" w:right="283"/>
      <w:jc w:val="both"/>
    </w:pPr>
    <w:rPr>
      <w:rFonts w:ascii="Arial" w:hAnsi="Arial" w:cs="Arial"/>
      <w:b/>
      <w:bCs/>
      <w:caps/>
      <w:snapToGrid w:val="0"/>
    </w:rPr>
  </w:style>
  <w:style w:type="paragraph" w:customStyle="1" w:styleId="120">
    <w:name w:val="Осн. текст 12"/>
    <w:basedOn w:val="21"/>
    <w:rsid w:val="008F7554"/>
    <w:pPr>
      <w:autoSpaceDE w:val="0"/>
      <w:autoSpaceDN w:val="0"/>
      <w:adjustRightInd w:val="0"/>
      <w:spacing w:line="360" w:lineRule="auto"/>
      <w:ind w:firstLine="709"/>
    </w:pPr>
    <w:rPr>
      <w:szCs w:val="24"/>
    </w:rPr>
  </w:style>
  <w:style w:type="paragraph" w:customStyle="1" w:styleId="ConsTitle">
    <w:name w:val="ConsTitle"/>
    <w:rsid w:val="008F7554"/>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Знак1 Знак Знак Знак Знак Знак Знак"/>
    <w:basedOn w:val="a2"/>
    <w:rsid w:val="008F7554"/>
    <w:pPr>
      <w:spacing w:after="160" w:line="240" w:lineRule="exact"/>
      <w:ind w:left="1"/>
    </w:pPr>
    <w:rPr>
      <w:rFonts w:ascii="Verdana" w:hAnsi="Verdana"/>
      <w:b/>
      <w:lang w:val="en-US" w:eastAsia="en-US"/>
    </w:rPr>
  </w:style>
  <w:style w:type="table" w:customStyle="1" w:styleId="1a">
    <w:name w:val="Сетка таблицы1"/>
    <w:basedOn w:val="a4"/>
    <w:next w:val="afb"/>
    <w:rsid w:val="008F75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toc 2"/>
    <w:basedOn w:val="a2"/>
    <w:next w:val="a2"/>
    <w:autoRedefine/>
    <w:uiPriority w:val="39"/>
    <w:qFormat/>
    <w:rsid w:val="008F7554"/>
    <w:pPr>
      <w:tabs>
        <w:tab w:val="right" w:leader="dot" w:pos="9355"/>
      </w:tabs>
      <w:spacing w:line="288" w:lineRule="auto"/>
      <w:ind w:left="278"/>
    </w:pPr>
    <w:rPr>
      <w:snapToGrid w:val="0"/>
      <w:sz w:val="28"/>
      <w:szCs w:val="28"/>
    </w:rPr>
  </w:style>
  <w:style w:type="paragraph" w:styleId="35">
    <w:name w:val="toc 3"/>
    <w:basedOn w:val="a2"/>
    <w:next w:val="a2"/>
    <w:autoRedefine/>
    <w:uiPriority w:val="39"/>
    <w:qFormat/>
    <w:rsid w:val="008F7554"/>
    <w:pPr>
      <w:ind w:left="560"/>
    </w:pPr>
    <w:rPr>
      <w:snapToGrid w:val="0"/>
      <w:sz w:val="28"/>
      <w:szCs w:val="28"/>
    </w:rPr>
  </w:style>
  <w:style w:type="paragraph" w:styleId="91">
    <w:name w:val="toc 9"/>
    <w:basedOn w:val="a2"/>
    <w:next w:val="a2"/>
    <w:autoRedefine/>
    <w:uiPriority w:val="39"/>
    <w:rsid w:val="008F7554"/>
    <w:pPr>
      <w:ind w:left="1920"/>
    </w:pPr>
  </w:style>
  <w:style w:type="paragraph" w:styleId="41">
    <w:name w:val="toc 4"/>
    <w:basedOn w:val="a2"/>
    <w:next w:val="a2"/>
    <w:autoRedefine/>
    <w:uiPriority w:val="39"/>
    <w:unhideWhenUsed/>
    <w:rsid w:val="008F7554"/>
    <w:pPr>
      <w:spacing w:after="100" w:line="276" w:lineRule="auto"/>
      <w:ind w:left="660"/>
    </w:pPr>
    <w:rPr>
      <w:rFonts w:ascii="Calibri" w:hAnsi="Calibri"/>
      <w:sz w:val="22"/>
      <w:szCs w:val="22"/>
    </w:rPr>
  </w:style>
  <w:style w:type="paragraph" w:styleId="51">
    <w:name w:val="toc 5"/>
    <w:basedOn w:val="a2"/>
    <w:next w:val="a2"/>
    <w:autoRedefine/>
    <w:uiPriority w:val="39"/>
    <w:unhideWhenUsed/>
    <w:rsid w:val="008F7554"/>
    <w:pPr>
      <w:spacing w:after="100" w:line="276" w:lineRule="auto"/>
      <w:ind w:left="880"/>
    </w:pPr>
    <w:rPr>
      <w:rFonts w:ascii="Calibri" w:hAnsi="Calibri"/>
      <w:sz w:val="22"/>
      <w:szCs w:val="22"/>
    </w:rPr>
  </w:style>
  <w:style w:type="paragraph" w:styleId="61">
    <w:name w:val="toc 6"/>
    <w:basedOn w:val="a2"/>
    <w:next w:val="a2"/>
    <w:autoRedefine/>
    <w:uiPriority w:val="39"/>
    <w:unhideWhenUsed/>
    <w:rsid w:val="008F7554"/>
    <w:pPr>
      <w:spacing w:after="100" w:line="276" w:lineRule="auto"/>
      <w:ind w:left="1100"/>
    </w:pPr>
    <w:rPr>
      <w:rFonts w:ascii="Calibri" w:hAnsi="Calibri"/>
      <w:sz w:val="22"/>
      <w:szCs w:val="22"/>
    </w:rPr>
  </w:style>
  <w:style w:type="paragraph" w:styleId="71">
    <w:name w:val="toc 7"/>
    <w:basedOn w:val="a2"/>
    <w:next w:val="a2"/>
    <w:autoRedefine/>
    <w:uiPriority w:val="39"/>
    <w:unhideWhenUsed/>
    <w:rsid w:val="008F7554"/>
    <w:pPr>
      <w:spacing w:after="100" w:line="276" w:lineRule="auto"/>
      <w:ind w:left="1320"/>
    </w:pPr>
    <w:rPr>
      <w:rFonts w:ascii="Calibri" w:hAnsi="Calibri"/>
      <w:sz w:val="22"/>
      <w:szCs w:val="22"/>
    </w:rPr>
  </w:style>
  <w:style w:type="paragraph" w:styleId="81">
    <w:name w:val="toc 8"/>
    <w:basedOn w:val="a2"/>
    <w:next w:val="a2"/>
    <w:autoRedefine/>
    <w:uiPriority w:val="39"/>
    <w:unhideWhenUsed/>
    <w:rsid w:val="008F7554"/>
    <w:pPr>
      <w:spacing w:after="100" w:line="276" w:lineRule="auto"/>
      <w:ind w:left="1540"/>
    </w:pPr>
    <w:rPr>
      <w:rFonts w:ascii="Calibri" w:hAnsi="Calibri"/>
      <w:sz w:val="22"/>
      <w:szCs w:val="22"/>
    </w:rPr>
  </w:style>
  <w:style w:type="paragraph" w:customStyle="1" w:styleId="ConsPlusTitle">
    <w:name w:val="ConsPlusTitle"/>
    <w:rsid w:val="008F7554"/>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Nonformat">
    <w:name w:val="ConsPlusNonforma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8F755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c">
    <w:name w:val="FollowedHyperlink"/>
    <w:uiPriority w:val="99"/>
    <w:rsid w:val="008F7554"/>
    <w:rPr>
      <w:color w:val="800080"/>
      <w:u w:val="single"/>
    </w:rPr>
  </w:style>
  <w:style w:type="character" w:customStyle="1" w:styleId="1b">
    <w:name w:val="Текст примечания Знак1"/>
    <w:rsid w:val="008F7554"/>
    <w:rPr>
      <w:rFonts w:ascii="Times New Roman" w:eastAsia="Times New Roman" w:hAnsi="Times New Roman" w:cs="Times New Roman"/>
      <w:sz w:val="20"/>
      <w:szCs w:val="20"/>
      <w:lang w:eastAsia="ru-RU"/>
    </w:rPr>
  </w:style>
  <w:style w:type="paragraph" w:styleId="afd">
    <w:name w:val="Document Map"/>
    <w:basedOn w:val="a2"/>
    <w:link w:val="afe"/>
    <w:rsid w:val="008F7554"/>
    <w:rPr>
      <w:rFonts w:ascii="Tahoma" w:hAnsi="Tahoma"/>
      <w:sz w:val="16"/>
      <w:szCs w:val="16"/>
      <w:lang w:val="x-none" w:eastAsia="x-none"/>
    </w:rPr>
  </w:style>
  <w:style w:type="character" w:customStyle="1" w:styleId="afe">
    <w:name w:val="Схема документа Знак"/>
    <w:basedOn w:val="a3"/>
    <w:link w:val="afd"/>
    <w:rsid w:val="008F7554"/>
    <w:rPr>
      <w:rFonts w:ascii="Tahoma" w:eastAsia="Times New Roman" w:hAnsi="Tahoma" w:cs="Times New Roman"/>
      <w:sz w:val="16"/>
      <w:szCs w:val="16"/>
      <w:lang w:val="x-none" w:eastAsia="x-none"/>
    </w:rPr>
  </w:style>
  <w:style w:type="paragraph" w:styleId="aff">
    <w:name w:val="caption"/>
    <w:basedOn w:val="a2"/>
    <w:next w:val="a2"/>
    <w:uiPriority w:val="99"/>
    <w:qFormat/>
    <w:rsid w:val="008F7554"/>
    <w:pPr>
      <w:jc w:val="center"/>
    </w:pPr>
    <w:rPr>
      <w:b/>
      <w:sz w:val="28"/>
      <w:szCs w:val="20"/>
      <w:u w:val="single"/>
    </w:rPr>
  </w:style>
  <w:style w:type="character" w:customStyle="1" w:styleId="36">
    <w:name w:val="Знак Знак3"/>
    <w:uiPriority w:val="99"/>
    <w:rsid w:val="008F7554"/>
    <w:rPr>
      <w:rFonts w:cs="Times New Roman"/>
      <w:lang w:val="ru-RU" w:eastAsia="ru-RU" w:bidi="ar-SA"/>
    </w:rPr>
  </w:style>
  <w:style w:type="paragraph" w:customStyle="1" w:styleId="msolistparagraph0">
    <w:name w:val="msolistparagraph"/>
    <w:basedOn w:val="a2"/>
    <w:rsid w:val="008F7554"/>
    <w:pPr>
      <w:ind w:left="720"/>
      <w:contextualSpacing/>
    </w:pPr>
    <w:rPr>
      <w:rFonts w:ascii="Arial" w:eastAsia="MS Mincho" w:hAnsi="Arial" w:cs="Arial"/>
      <w:color w:val="000000"/>
    </w:rPr>
  </w:style>
  <w:style w:type="paragraph" w:customStyle="1" w:styleId="textjus">
    <w:name w:val="textjus"/>
    <w:basedOn w:val="a2"/>
    <w:rsid w:val="008F7554"/>
    <w:pPr>
      <w:spacing w:before="100" w:beforeAutospacing="1" w:after="100" w:afterAutospacing="1"/>
    </w:pPr>
  </w:style>
  <w:style w:type="paragraph" w:styleId="HTML">
    <w:name w:val="HTML Preformatted"/>
    <w:basedOn w:val="a2"/>
    <w:link w:val="HTML0"/>
    <w:rsid w:val="008F7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8F7554"/>
    <w:rPr>
      <w:rFonts w:ascii="Courier New" w:eastAsia="Times New Roman" w:hAnsi="Courier New" w:cs="Courier New"/>
      <w:sz w:val="20"/>
      <w:szCs w:val="20"/>
      <w:lang w:eastAsia="ru-RU"/>
    </w:rPr>
  </w:style>
  <w:style w:type="paragraph" w:customStyle="1" w:styleId="consplusnonformat0">
    <w:name w:val="consplusnonformat"/>
    <w:basedOn w:val="a2"/>
    <w:rsid w:val="008F7554"/>
    <w:pPr>
      <w:spacing w:before="100" w:beforeAutospacing="1" w:after="100" w:afterAutospacing="1"/>
    </w:pPr>
  </w:style>
  <w:style w:type="character" w:styleId="aff0">
    <w:name w:val="Strong"/>
    <w:uiPriority w:val="22"/>
    <w:qFormat/>
    <w:rsid w:val="008F7554"/>
    <w:rPr>
      <w:b/>
      <w:bCs/>
    </w:rPr>
  </w:style>
  <w:style w:type="character" w:styleId="aff1">
    <w:name w:val="Emphasis"/>
    <w:uiPriority w:val="20"/>
    <w:qFormat/>
    <w:rsid w:val="008F7554"/>
    <w:rPr>
      <w:i/>
      <w:iCs/>
    </w:rPr>
  </w:style>
  <w:style w:type="character" w:customStyle="1" w:styleId="msoins0">
    <w:name w:val="msoins"/>
    <w:rsid w:val="008F7554"/>
  </w:style>
  <w:style w:type="paragraph" w:customStyle="1" w:styleId="xl2118">
    <w:name w:val="xl211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8F7554"/>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8F755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8F7554"/>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8F7554"/>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8F7554"/>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8F7554"/>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8F7554"/>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8F7554"/>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8F7554"/>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8F7554"/>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8F7554"/>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8F7554"/>
    <w:pPr>
      <w:spacing w:before="100" w:beforeAutospacing="1" w:after="100" w:afterAutospacing="1"/>
    </w:pPr>
  </w:style>
  <w:style w:type="paragraph" w:customStyle="1" w:styleId="xl2170">
    <w:name w:val="xl2170"/>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2">
    <w:name w:val="Знак"/>
    <w:basedOn w:val="a2"/>
    <w:rsid w:val="008F7554"/>
    <w:pPr>
      <w:spacing w:after="160" w:line="240" w:lineRule="exact"/>
    </w:pPr>
    <w:rPr>
      <w:rFonts w:ascii="Verdana" w:hAnsi="Verdana" w:cs="Verdana"/>
      <w:sz w:val="20"/>
      <w:szCs w:val="20"/>
      <w:lang w:val="en-US" w:eastAsia="en-US"/>
    </w:rPr>
  </w:style>
  <w:style w:type="numbering" w:customStyle="1" w:styleId="111">
    <w:name w:val="Нет списка111"/>
    <w:next w:val="a5"/>
    <w:uiPriority w:val="99"/>
    <w:semiHidden/>
    <w:unhideWhenUsed/>
    <w:rsid w:val="008F7554"/>
  </w:style>
  <w:style w:type="character" w:customStyle="1" w:styleId="apple-style-span">
    <w:name w:val="apple-style-span"/>
    <w:rsid w:val="008F7554"/>
  </w:style>
  <w:style w:type="table" w:customStyle="1" w:styleId="112">
    <w:name w:val="Сетка таблицы11"/>
    <w:basedOn w:val="a4"/>
    <w:next w:val="afb"/>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2"/>
    <w:rsid w:val="008F7554"/>
    <w:pPr>
      <w:spacing w:before="100" w:beforeAutospacing="1" w:after="100" w:afterAutospacing="1"/>
    </w:pPr>
    <w:rPr>
      <w:sz w:val="22"/>
      <w:szCs w:val="22"/>
    </w:rPr>
  </w:style>
  <w:style w:type="paragraph" w:customStyle="1" w:styleId="xl84">
    <w:name w:val="xl84"/>
    <w:basedOn w:val="a2"/>
    <w:rsid w:val="008F7554"/>
    <w:pPr>
      <w:spacing w:before="100" w:beforeAutospacing="1" w:after="100" w:afterAutospacing="1"/>
      <w:jc w:val="center"/>
      <w:textAlignment w:val="top"/>
    </w:pPr>
    <w:rPr>
      <w:sz w:val="22"/>
      <w:szCs w:val="22"/>
    </w:rPr>
  </w:style>
  <w:style w:type="paragraph" w:customStyle="1" w:styleId="xl85">
    <w:name w:val="xl85"/>
    <w:basedOn w:val="a2"/>
    <w:rsid w:val="008F7554"/>
    <w:pPr>
      <w:spacing w:before="100" w:beforeAutospacing="1" w:after="100" w:afterAutospacing="1"/>
      <w:jc w:val="center"/>
      <w:textAlignment w:val="center"/>
    </w:pPr>
    <w:rPr>
      <w:sz w:val="22"/>
      <w:szCs w:val="22"/>
    </w:rPr>
  </w:style>
  <w:style w:type="paragraph" w:customStyle="1" w:styleId="xl86">
    <w:name w:val="xl86"/>
    <w:basedOn w:val="a2"/>
    <w:rsid w:val="008F7554"/>
    <w:pPr>
      <w:spacing w:before="100" w:beforeAutospacing="1" w:after="100" w:afterAutospacing="1"/>
      <w:textAlignment w:val="top"/>
    </w:pPr>
    <w:rPr>
      <w:sz w:val="22"/>
      <w:szCs w:val="22"/>
    </w:rPr>
  </w:style>
  <w:style w:type="paragraph" w:customStyle="1" w:styleId="xl87">
    <w:name w:val="xl87"/>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8">
    <w:name w:val="xl8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9">
    <w:name w:val="xl89"/>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0">
    <w:name w:val="xl90"/>
    <w:basedOn w:val="a2"/>
    <w:rsid w:val="008F7554"/>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1">
    <w:name w:val="xl91"/>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92">
    <w:name w:val="xl92"/>
    <w:basedOn w:val="a2"/>
    <w:rsid w:val="008F7554"/>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93">
    <w:name w:val="xl93"/>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4">
    <w:name w:val="xl94"/>
    <w:basedOn w:val="a2"/>
    <w:rsid w:val="008F7554"/>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95">
    <w:name w:val="xl95"/>
    <w:basedOn w:val="a2"/>
    <w:rsid w:val="008F7554"/>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96">
    <w:name w:val="xl96"/>
    <w:basedOn w:val="a2"/>
    <w:rsid w:val="008F7554"/>
    <w:pPr>
      <w:spacing w:before="100" w:beforeAutospacing="1" w:after="100" w:afterAutospacing="1"/>
      <w:jc w:val="center"/>
    </w:pPr>
    <w:rPr>
      <w:sz w:val="22"/>
      <w:szCs w:val="22"/>
    </w:rPr>
  </w:style>
  <w:style w:type="numbering" w:customStyle="1" w:styleId="27">
    <w:name w:val="Нет списка2"/>
    <w:next w:val="a5"/>
    <w:uiPriority w:val="99"/>
    <w:semiHidden/>
    <w:unhideWhenUsed/>
    <w:rsid w:val="008F7554"/>
  </w:style>
  <w:style w:type="table" w:customStyle="1" w:styleId="28">
    <w:name w:val="Сетка таблицы2"/>
    <w:basedOn w:val="a4"/>
    <w:next w:val="afb"/>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3">
    <w:name w:val="Название Знак"/>
    <w:link w:val="1c"/>
    <w:rsid w:val="008F7554"/>
    <w:rPr>
      <w:b/>
      <w:sz w:val="24"/>
    </w:rPr>
  </w:style>
  <w:style w:type="paragraph" w:styleId="aff4">
    <w:name w:val="TOC Heading"/>
    <w:basedOn w:val="10"/>
    <w:next w:val="a2"/>
    <w:uiPriority w:val="39"/>
    <w:unhideWhenUsed/>
    <w:qFormat/>
    <w:rsid w:val="008F7554"/>
    <w:pPr>
      <w:keepLines/>
      <w:tabs>
        <w:tab w:val="left" w:pos="284"/>
      </w:tabs>
      <w:spacing w:before="240" w:line="259" w:lineRule="auto"/>
      <w:outlineLvl w:val="9"/>
    </w:pPr>
    <w:rPr>
      <w:rFonts w:ascii="Calibri Light" w:hAnsi="Calibri Light"/>
      <w:b w:val="0"/>
      <w:color w:val="2E74B5"/>
      <w:sz w:val="32"/>
      <w:szCs w:val="32"/>
    </w:rPr>
  </w:style>
  <w:style w:type="paragraph" w:styleId="aff5">
    <w:name w:val="Normal (Web)"/>
    <w:basedOn w:val="a2"/>
    <w:uiPriority w:val="99"/>
    <w:unhideWhenUsed/>
    <w:rsid w:val="008F7554"/>
    <w:pPr>
      <w:spacing w:after="160" w:line="259" w:lineRule="auto"/>
    </w:pPr>
    <w:rPr>
      <w:rFonts w:eastAsia="Calibri"/>
      <w:lang w:eastAsia="en-US"/>
    </w:rPr>
  </w:style>
  <w:style w:type="paragraph" w:styleId="aff6">
    <w:name w:val="No Spacing"/>
    <w:uiPriority w:val="1"/>
    <w:qFormat/>
    <w:rsid w:val="008F7554"/>
    <w:pPr>
      <w:spacing w:after="0" w:line="240" w:lineRule="auto"/>
    </w:pPr>
    <w:rPr>
      <w:rFonts w:ascii="Times New Roman" w:eastAsia="Times New Roman" w:hAnsi="Times New Roman" w:cs="Times New Roman"/>
      <w:snapToGrid w:val="0"/>
      <w:sz w:val="28"/>
      <w:szCs w:val="28"/>
      <w:lang w:eastAsia="ru-RU"/>
    </w:rPr>
  </w:style>
  <w:style w:type="paragraph" w:customStyle="1" w:styleId="72">
    <w:name w:val="Знак Знак Знак Знак Знак Знак Знак Знак Знак Знак Знак Знак72"/>
    <w:basedOn w:val="a2"/>
    <w:rsid w:val="001072FC"/>
    <w:pPr>
      <w:tabs>
        <w:tab w:val="num" w:pos="360"/>
      </w:tabs>
      <w:spacing w:after="160" w:line="240" w:lineRule="exact"/>
    </w:pPr>
    <w:rPr>
      <w:rFonts w:ascii="Verdana" w:hAnsi="Verdana" w:cs="Verdana"/>
      <w:sz w:val="20"/>
      <w:szCs w:val="20"/>
      <w:lang w:val="en-US" w:eastAsia="en-US"/>
    </w:rPr>
  </w:style>
  <w:style w:type="character" w:customStyle="1" w:styleId="1d">
    <w:name w:val="Заголовок Знак1"/>
    <w:rsid w:val="00D2445C"/>
    <w:rPr>
      <w:rFonts w:ascii="Times New Roman" w:eastAsia="Times New Roman" w:hAnsi="Times New Roman" w:cs="Times New Roman"/>
      <w:b/>
      <w:sz w:val="24"/>
      <w:szCs w:val="20"/>
      <w:lang w:val="ru-RU" w:eastAsia="ru-RU"/>
    </w:rPr>
  </w:style>
  <w:style w:type="table" w:customStyle="1" w:styleId="37">
    <w:name w:val="Сетка таблицы3"/>
    <w:basedOn w:val="a4"/>
    <w:next w:val="afb"/>
    <w:rsid w:val="00D244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5"/>
    <w:uiPriority w:val="99"/>
    <w:semiHidden/>
    <w:rsid w:val="006C235F"/>
  </w:style>
  <w:style w:type="paragraph" w:customStyle="1" w:styleId="aff7">
    <w:name w:val="Стиль"/>
    <w:rsid w:val="006C235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both">
    <w:name w:val="pboth"/>
    <w:basedOn w:val="a2"/>
    <w:rsid w:val="006C235F"/>
    <w:pPr>
      <w:spacing w:before="100" w:beforeAutospacing="1" w:after="100" w:afterAutospacing="1"/>
    </w:pPr>
  </w:style>
  <w:style w:type="character" w:styleId="aff8">
    <w:name w:val="Unresolved Mention"/>
    <w:uiPriority w:val="99"/>
    <w:semiHidden/>
    <w:unhideWhenUsed/>
    <w:rsid w:val="006C235F"/>
    <w:rPr>
      <w:color w:val="605E5C"/>
      <w:shd w:val="clear" w:color="auto" w:fill="E1DFDD"/>
    </w:rPr>
  </w:style>
  <w:style w:type="numbering" w:customStyle="1" w:styleId="1">
    <w:name w:val="Стиль1"/>
    <w:uiPriority w:val="99"/>
    <w:rsid w:val="00CA7FE6"/>
    <w:pPr>
      <w:numPr>
        <w:numId w:val="3"/>
      </w:numPr>
    </w:pPr>
  </w:style>
  <w:style w:type="table" w:customStyle="1" w:styleId="42">
    <w:name w:val="Сетка таблицы4"/>
    <w:basedOn w:val="a4"/>
    <w:next w:val="afb"/>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6C3F7B"/>
  </w:style>
  <w:style w:type="paragraph" w:customStyle="1" w:styleId="Style9">
    <w:name w:val="Style9"/>
    <w:basedOn w:val="a2"/>
    <w:uiPriority w:val="99"/>
    <w:rsid w:val="006C3F7B"/>
    <w:pPr>
      <w:widowControl w:val="0"/>
      <w:autoSpaceDE w:val="0"/>
      <w:autoSpaceDN w:val="0"/>
      <w:adjustRightInd w:val="0"/>
      <w:spacing w:line="274" w:lineRule="exact"/>
    </w:pPr>
  </w:style>
  <w:style w:type="paragraph" w:customStyle="1" w:styleId="Style26">
    <w:name w:val="Style26"/>
    <w:basedOn w:val="a2"/>
    <w:uiPriority w:val="99"/>
    <w:rsid w:val="006C3F7B"/>
    <w:pPr>
      <w:widowControl w:val="0"/>
      <w:autoSpaceDE w:val="0"/>
      <w:autoSpaceDN w:val="0"/>
      <w:adjustRightInd w:val="0"/>
      <w:spacing w:line="276" w:lineRule="exact"/>
      <w:ind w:firstLine="595"/>
      <w:jc w:val="both"/>
    </w:pPr>
  </w:style>
  <w:style w:type="character" w:customStyle="1" w:styleId="FontStyle190">
    <w:name w:val="Font Style190"/>
    <w:basedOn w:val="a3"/>
    <w:uiPriority w:val="99"/>
    <w:rsid w:val="006C3F7B"/>
    <w:rPr>
      <w:rFonts w:ascii="Times New Roman" w:hAnsi="Times New Roman" w:cs="Times New Roman"/>
      <w:sz w:val="22"/>
      <w:szCs w:val="22"/>
    </w:rPr>
  </w:style>
  <w:style w:type="table" w:customStyle="1" w:styleId="52">
    <w:name w:val="Сетка таблицы5"/>
    <w:basedOn w:val="a4"/>
    <w:next w:val="afb"/>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a2"/>
    <w:uiPriority w:val="99"/>
    <w:rsid w:val="006C3F7B"/>
    <w:pPr>
      <w:widowControl w:val="0"/>
      <w:autoSpaceDE w:val="0"/>
      <w:autoSpaceDN w:val="0"/>
      <w:adjustRightInd w:val="0"/>
      <w:spacing w:line="276" w:lineRule="exact"/>
      <w:ind w:firstLine="576"/>
      <w:jc w:val="both"/>
    </w:pPr>
  </w:style>
  <w:style w:type="paragraph" w:customStyle="1" w:styleId="Style3">
    <w:name w:val="Style3"/>
    <w:basedOn w:val="a2"/>
    <w:uiPriority w:val="99"/>
    <w:rsid w:val="006C3F7B"/>
    <w:pPr>
      <w:widowControl w:val="0"/>
      <w:autoSpaceDE w:val="0"/>
      <w:autoSpaceDN w:val="0"/>
      <w:adjustRightInd w:val="0"/>
    </w:pPr>
  </w:style>
  <w:style w:type="paragraph" w:customStyle="1" w:styleId="Style5">
    <w:name w:val="Style5"/>
    <w:basedOn w:val="a2"/>
    <w:uiPriority w:val="99"/>
    <w:rsid w:val="006C3F7B"/>
    <w:pPr>
      <w:widowControl w:val="0"/>
      <w:autoSpaceDE w:val="0"/>
      <w:autoSpaceDN w:val="0"/>
      <w:adjustRightInd w:val="0"/>
      <w:spacing w:line="274" w:lineRule="exact"/>
      <w:jc w:val="both"/>
    </w:pPr>
  </w:style>
  <w:style w:type="paragraph" w:customStyle="1" w:styleId="Style10">
    <w:name w:val="Style10"/>
    <w:basedOn w:val="a2"/>
    <w:uiPriority w:val="99"/>
    <w:rsid w:val="006C3F7B"/>
    <w:pPr>
      <w:widowControl w:val="0"/>
      <w:autoSpaceDE w:val="0"/>
      <w:autoSpaceDN w:val="0"/>
      <w:adjustRightInd w:val="0"/>
      <w:jc w:val="center"/>
    </w:pPr>
  </w:style>
  <w:style w:type="paragraph" w:customStyle="1" w:styleId="Style20">
    <w:name w:val="Style20"/>
    <w:basedOn w:val="a2"/>
    <w:uiPriority w:val="99"/>
    <w:rsid w:val="006C3F7B"/>
    <w:pPr>
      <w:widowControl w:val="0"/>
      <w:autoSpaceDE w:val="0"/>
      <w:autoSpaceDN w:val="0"/>
      <w:adjustRightInd w:val="0"/>
    </w:pPr>
  </w:style>
  <w:style w:type="paragraph" w:customStyle="1" w:styleId="Style47">
    <w:name w:val="Style47"/>
    <w:basedOn w:val="a2"/>
    <w:uiPriority w:val="99"/>
    <w:rsid w:val="006C3F7B"/>
    <w:pPr>
      <w:widowControl w:val="0"/>
      <w:autoSpaceDE w:val="0"/>
      <w:autoSpaceDN w:val="0"/>
      <w:adjustRightInd w:val="0"/>
      <w:spacing w:line="230" w:lineRule="exact"/>
      <w:jc w:val="center"/>
    </w:pPr>
  </w:style>
  <w:style w:type="paragraph" w:customStyle="1" w:styleId="Style51">
    <w:name w:val="Style51"/>
    <w:basedOn w:val="a2"/>
    <w:uiPriority w:val="99"/>
    <w:rsid w:val="006C3F7B"/>
    <w:pPr>
      <w:widowControl w:val="0"/>
      <w:autoSpaceDE w:val="0"/>
      <w:autoSpaceDN w:val="0"/>
      <w:adjustRightInd w:val="0"/>
    </w:pPr>
  </w:style>
  <w:style w:type="paragraph" w:customStyle="1" w:styleId="Style52">
    <w:name w:val="Style52"/>
    <w:basedOn w:val="a2"/>
    <w:uiPriority w:val="99"/>
    <w:rsid w:val="006C3F7B"/>
    <w:pPr>
      <w:widowControl w:val="0"/>
      <w:autoSpaceDE w:val="0"/>
      <w:autoSpaceDN w:val="0"/>
      <w:adjustRightInd w:val="0"/>
    </w:pPr>
  </w:style>
  <w:style w:type="paragraph" w:customStyle="1" w:styleId="Style54">
    <w:name w:val="Style54"/>
    <w:basedOn w:val="a2"/>
    <w:uiPriority w:val="99"/>
    <w:rsid w:val="006C3F7B"/>
    <w:pPr>
      <w:widowControl w:val="0"/>
      <w:autoSpaceDE w:val="0"/>
      <w:autoSpaceDN w:val="0"/>
      <w:adjustRightInd w:val="0"/>
    </w:pPr>
  </w:style>
  <w:style w:type="paragraph" w:customStyle="1" w:styleId="Style59">
    <w:name w:val="Style59"/>
    <w:basedOn w:val="a2"/>
    <w:uiPriority w:val="99"/>
    <w:rsid w:val="006C3F7B"/>
    <w:pPr>
      <w:widowControl w:val="0"/>
      <w:autoSpaceDE w:val="0"/>
      <w:autoSpaceDN w:val="0"/>
      <w:adjustRightInd w:val="0"/>
      <w:spacing w:line="485" w:lineRule="exact"/>
      <w:ind w:firstLine="1234"/>
    </w:pPr>
  </w:style>
  <w:style w:type="paragraph" w:customStyle="1" w:styleId="Style60">
    <w:name w:val="Style60"/>
    <w:basedOn w:val="a2"/>
    <w:uiPriority w:val="99"/>
    <w:rsid w:val="006C3F7B"/>
    <w:pPr>
      <w:widowControl w:val="0"/>
      <w:autoSpaceDE w:val="0"/>
      <w:autoSpaceDN w:val="0"/>
      <w:adjustRightInd w:val="0"/>
    </w:pPr>
  </w:style>
  <w:style w:type="paragraph" w:customStyle="1" w:styleId="Style62">
    <w:name w:val="Style62"/>
    <w:basedOn w:val="a2"/>
    <w:uiPriority w:val="99"/>
    <w:rsid w:val="006C3F7B"/>
    <w:pPr>
      <w:widowControl w:val="0"/>
      <w:autoSpaceDE w:val="0"/>
      <w:autoSpaceDN w:val="0"/>
      <w:adjustRightInd w:val="0"/>
      <w:spacing w:line="274" w:lineRule="exact"/>
      <w:ind w:firstLine="960"/>
    </w:pPr>
  </w:style>
  <w:style w:type="paragraph" w:customStyle="1" w:styleId="Style63">
    <w:name w:val="Style63"/>
    <w:basedOn w:val="a2"/>
    <w:uiPriority w:val="99"/>
    <w:rsid w:val="006C3F7B"/>
    <w:pPr>
      <w:widowControl w:val="0"/>
      <w:autoSpaceDE w:val="0"/>
      <w:autoSpaceDN w:val="0"/>
      <w:adjustRightInd w:val="0"/>
      <w:spacing w:line="276" w:lineRule="exact"/>
      <w:ind w:firstLine="1157"/>
    </w:pPr>
  </w:style>
  <w:style w:type="paragraph" w:customStyle="1" w:styleId="Style64">
    <w:name w:val="Style64"/>
    <w:basedOn w:val="a2"/>
    <w:uiPriority w:val="99"/>
    <w:rsid w:val="006C3F7B"/>
    <w:pPr>
      <w:widowControl w:val="0"/>
      <w:autoSpaceDE w:val="0"/>
      <w:autoSpaceDN w:val="0"/>
      <w:adjustRightInd w:val="0"/>
      <w:spacing w:line="355" w:lineRule="exact"/>
      <w:ind w:firstLine="2554"/>
    </w:pPr>
  </w:style>
  <w:style w:type="paragraph" w:customStyle="1" w:styleId="Style66">
    <w:name w:val="Style66"/>
    <w:basedOn w:val="a2"/>
    <w:uiPriority w:val="99"/>
    <w:rsid w:val="006C3F7B"/>
    <w:pPr>
      <w:widowControl w:val="0"/>
      <w:autoSpaceDE w:val="0"/>
      <w:autoSpaceDN w:val="0"/>
      <w:adjustRightInd w:val="0"/>
    </w:pPr>
  </w:style>
  <w:style w:type="paragraph" w:customStyle="1" w:styleId="Style67">
    <w:name w:val="Style67"/>
    <w:basedOn w:val="a2"/>
    <w:uiPriority w:val="99"/>
    <w:rsid w:val="006C3F7B"/>
    <w:pPr>
      <w:widowControl w:val="0"/>
      <w:autoSpaceDE w:val="0"/>
      <w:autoSpaceDN w:val="0"/>
      <w:adjustRightInd w:val="0"/>
      <w:spacing w:line="274" w:lineRule="exact"/>
      <w:ind w:hanging="557"/>
    </w:pPr>
  </w:style>
  <w:style w:type="paragraph" w:customStyle="1" w:styleId="Style68">
    <w:name w:val="Style68"/>
    <w:basedOn w:val="a2"/>
    <w:uiPriority w:val="99"/>
    <w:rsid w:val="006C3F7B"/>
    <w:pPr>
      <w:widowControl w:val="0"/>
      <w:autoSpaceDE w:val="0"/>
      <w:autoSpaceDN w:val="0"/>
      <w:adjustRightInd w:val="0"/>
      <w:spacing w:line="274" w:lineRule="exact"/>
      <w:ind w:firstLine="562"/>
    </w:pPr>
  </w:style>
  <w:style w:type="paragraph" w:customStyle="1" w:styleId="Style69">
    <w:name w:val="Style69"/>
    <w:basedOn w:val="a2"/>
    <w:uiPriority w:val="99"/>
    <w:rsid w:val="006C3F7B"/>
    <w:pPr>
      <w:widowControl w:val="0"/>
      <w:autoSpaceDE w:val="0"/>
      <w:autoSpaceDN w:val="0"/>
      <w:adjustRightInd w:val="0"/>
    </w:pPr>
  </w:style>
  <w:style w:type="character" w:customStyle="1" w:styleId="FontStyle165">
    <w:name w:val="Font Style165"/>
    <w:basedOn w:val="a3"/>
    <w:uiPriority w:val="99"/>
    <w:rsid w:val="006C3F7B"/>
    <w:rPr>
      <w:rFonts w:ascii="Times New Roman" w:hAnsi="Times New Roman" w:cs="Times New Roman"/>
      <w:b/>
      <w:bCs/>
      <w:sz w:val="26"/>
      <w:szCs w:val="26"/>
    </w:rPr>
  </w:style>
  <w:style w:type="character" w:customStyle="1" w:styleId="FontStyle166">
    <w:name w:val="Font Style166"/>
    <w:basedOn w:val="a3"/>
    <w:uiPriority w:val="99"/>
    <w:rsid w:val="006C3F7B"/>
    <w:rPr>
      <w:rFonts w:ascii="Sylfaen" w:hAnsi="Sylfaen" w:cs="Sylfaen"/>
      <w:b/>
      <w:bCs/>
      <w:i/>
      <w:iCs/>
      <w:sz w:val="8"/>
      <w:szCs w:val="8"/>
    </w:rPr>
  </w:style>
  <w:style w:type="character" w:customStyle="1" w:styleId="FontStyle169">
    <w:name w:val="Font Style169"/>
    <w:basedOn w:val="a3"/>
    <w:uiPriority w:val="99"/>
    <w:rsid w:val="006C3F7B"/>
    <w:rPr>
      <w:rFonts w:ascii="Times New Roman" w:hAnsi="Times New Roman" w:cs="Times New Roman"/>
      <w:b/>
      <w:bCs/>
      <w:i/>
      <w:iCs/>
      <w:sz w:val="28"/>
      <w:szCs w:val="28"/>
    </w:rPr>
  </w:style>
  <w:style w:type="character" w:customStyle="1" w:styleId="FontStyle173">
    <w:name w:val="Font Style173"/>
    <w:basedOn w:val="a3"/>
    <w:uiPriority w:val="99"/>
    <w:rsid w:val="006C3F7B"/>
    <w:rPr>
      <w:rFonts w:ascii="Times New Roman" w:hAnsi="Times New Roman" w:cs="Times New Roman"/>
      <w:smallCaps/>
      <w:sz w:val="30"/>
      <w:szCs w:val="30"/>
    </w:rPr>
  </w:style>
  <w:style w:type="character" w:customStyle="1" w:styleId="FontStyle175">
    <w:name w:val="Font Style175"/>
    <w:basedOn w:val="a3"/>
    <w:uiPriority w:val="99"/>
    <w:rsid w:val="006C3F7B"/>
    <w:rPr>
      <w:rFonts w:ascii="Times New Roman" w:hAnsi="Times New Roman" w:cs="Times New Roman"/>
      <w:b/>
      <w:bCs/>
      <w:i/>
      <w:iCs/>
      <w:spacing w:val="40"/>
      <w:sz w:val="42"/>
      <w:szCs w:val="42"/>
    </w:rPr>
  </w:style>
  <w:style w:type="character" w:customStyle="1" w:styleId="FontStyle182">
    <w:name w:val="Font Style182"/>
    <w:basedOn w:val="a3"/>
    <w:uiPriority w:val="99"/>
    <w:rsid w:val="006C3F7B"/>
    <w:rPr>
      <w:rFonts w:ascii="Times New Roman" w:hAnsi="Times New Roman" w:cs="Times New Roman"/>
      <w:sz w:val="14"/>
      <w:szCs w:val="14"/>
    </w:rPr>
  </w:style>
  <w:style w:type="character" w:customStyle="1" w:styleId="FontStyle184">
    <w:name w:val="Font Style184"/>
    <w:basedOn w:val="a3"/>
    <w:uiPriority w:val="99"/>
    <w:rsid w:val="006C3F7B"/>
    <w:rPr>
      <w:rFonts w:ascii="Times New Roman" w:hAnsi="Times New Roman" w:cs="Times New Roman"/>
      <w:b/>
      <w:bCs/>
      <w:sz w:val="16"/>
      <w:szCs w:val="16"/>
    </w:rPr>
  </w:style>
  <w:style w:type="character" w:customStyle="1" w:styleId="FontStyle189">
    <w:name w:val="Font Style189"/>
    <w:basedOn w:val="a3"/>
    <w:uiPriority w:val="99"/>
    <w:rsid w:val="006C3F7B"/>
    <w:rPr>
      <w:rFonts w:ascii="Times New Roman" w:hAnsi="Times New Roman" w:cs="Times New Roman"/>
      <w:sz w:val="18"/>
      <w:szCs w:val="18"/>
    </w:rPr>
  </w:style>
  <w:style w:type="character" w:customStyle="1" w:styleId="FontStyle191">
    <w:name w:val="Font Style191"/>
    <w:basedOn w:val="a3"/>
    <w:uiPriority w:val="99"/>
    <w:rsid w:val="006C3F7B"/>
    <w:rPr>
      <w:rFonts w:ascii="Times New Roman" w:hAnsi="Times New Roman" w:cs="Times New Roman"/>
      <w:sz w:val="26"/>
      <w:szCs w:val="26"/>
    </w:rPr>
  </w:style>
  <w:style w:type="character" w:customStyle="1" w:styleId="FontStyle192">
    <w:name w:val="Font Style192"/>
    <w:basedOn w:val="a3"/>
    <w:uiPriority w:val="99"/>
    <w:rsid w:val="006C3F7B"/>
    <w:rPr>
      <w:rFonts w:ascii="Times New Roman" w:hAnsi="Times New Roman" w:cs="Times New Roman"/>
      <w:w w:val="70"/>
      <w:sz w:val="20"/>
      <w:szCs w:val="20"/>
    </w:rPr>
  </w:style>
  <w:style w:type="character" w:customStyle="1" w:styleId="FontStyle193">
    <w:name w:val="Font Style193"/>
    <w:basedOn w:val="a3"/>
    <w:uiPriority w:val="99"/>
    <w:rsid w:val="006C3F7B"/>
    <w:rPr>
      <w:rFonts w:ascii="Times New Roman" w:hAnsi="Times New Roman" w:cs="Times New Roman"/>
      <w:b/>
      <w:bCs/>
      <w:sz w:val="22"/>
      <w:szCs w:val="22"/>
    </w:rPr>
  </w:style>
  <w:style w:type="character" w:customStyle="1" w:styleId="FontStyle194">
    <w:name w:val="Font Style194"/>
    <w:basedOn w:val="a3"/>
    <w:uiPriority w:val="99"/>
    <w:rsid w:val="006C3F7B"/>
    <w:rPr>
      <w:rFonts w:ascii="Times New Roman" w:hAnsi="Times New Roman" w:cs="Times New Roman"/>
      <w:spacing w:val="80"/>
      <w:sz w:val="46"/>
      <w:szCs w:val="46"/>
    </w:rPr>
  </w:style>
  <w:style w:type="character" w:customStyle="1" w:styleId="FontStyle195">
    <w:name w:val="Font Style195"/>
    <w:basedOn w:val="a3"/>
    <w:uiPriority w:val="99"/>
    <w:rsid w:val="006C3F7B"/>
    <w:rPr>
      <w:rFonts w:ascii="Times New Roman" w:hAnsi="Times New Roman" w:cs="Times New Roman"/>
      <w:sz w:val="16"/>
      <w:szCs w:val="16"/>
    </w:rPr>
  </w:style>
  <w:style w:type="character" w:customStyle="1" w:styleId="FontStyle197">
    <w:name w:val="Font Style197"/>
    <w:basedOn w:val="a3"/>
    <w:uiPriority w:val="99"/>
    <w:rsid w:val="006C3F7B"/>
    <w:rPr>
      <w:rFonts w:ascii="Times New Roman" w:hAnsi="Times New Roman" w:cs="Times New Roman"/>
      <w:sz w:val="28"/>
      <w:szCs w:val="28"/>
    </w:rPr>
  </w:style>
  <w:style w:type="paragraph" w:customStyle="1" w:styleId="Default">
    <w:name w:val="Default"/>
    <w:rsid w:val="006C3F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3"/>
    <w:rsid w:val="006C3F7B"/>
  </w:style>
  <w:style w:type="paragraph" w:customStyle="1" w:styleId="1e">
    <w:name w:val="Обычный1"/>
    <w:rsid w:val="009276F1"/>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2"/>
    <w:rsid w:val="009276F1"/>
    <w:pPr>
      <w:spacing w:before="120"/>
      <w:ind w:firstLine="567"/>
      <w:jc w:val="both"/>
    </w:pPr>
    <w:rPr>
      <w:rFonts w:ascii="TimesDL" w:hAnsi="TimesDL"/>
      <w:szCs w:val="20"/>
    </w:rPr>
  </w:style>
  <w:style w:type="table" w:customStyle="1" w:styleId="121">
    <w:name w:val="Сетка таблицы12"/>
    <w:basedOn w:val="a4"/>
    <w:next w:val="afb"/>
    <w:uiPriority w:val="39"/>
    <w:rsid w:val="009276F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4"/>
    <w:next w:val="afb"/>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line number"/>
    <w:basedOn w:val="a3"/>
    <w:uiPriority w:val="99"/>
    <w:semiHidden/>
    <w:unhideWhenUsed/>
    <w:rsid w:val="009276F1"/>
  </w:style>
  <w:style w:type="table" w:customStyle="1" w:styleId="211">
    <w:name w:val="Сетка таблицы21"/>
    <w:basedOn w:val="a4"/>
    <w:next w:val="afb"/>
    <w:uiPriority w:val="39"/>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9276F1"/>
    <w:pPr>
      <w:spacing w:before="100" w:beforeAutospacing="1" w:after="100" w:afterAutospacing="1"/>
    </w:pPr>
  </w:style>
  <w:style w:type="paragraph" w:customStyle="1" w:styleId="font5">
    <w:name w:val="font5"/>
    <w:basedOn w:val="a2"/>
    <w:rsid w:val="009276F1"/>
    <w:pPr>
      <w:spacing w:before="100" w:beforeAutospacing="1" w:after="100" w:afterAutospacing="1"/>
    </w:pPr>
    <w:rPr>
      <w:rFonts w:ascii="Tahoma" w:hAnsi="Tahoma" w:cs="Tahoma"/>
      <w:color w:val="000000"/>
      <w:sz w:val="18"/>
      <w:szCs w:val="18"/>
    </w:rPr>
  </w:style>
  <w:style w:type="paragraph" w:customStyle="1" w:styleId="font6">
    <w:name w:val="font6"/>
    <w:basedOn w:val="a2"/>
    <w:rsid w:val="009276F1"/>
    <w:pPr>
      <w:spacing w:before="100" w:beforeAutospacing="1" w:after="100" w:afterAutospacing="1"/>
    </w:pPr>
    <w:rPr>
      <w:rFonts w:ascii="Tahoma" w:hAnsi="Tahoma" w:cs="Tahoma"/>
      <w:b/>
      <w:bCs/>
      <w:color w:val="000000"/>
      <w:sz w:val="18"/>
      <w:szCs w:val="18"/>
    </w:rPr>
  </w:style>
  <w:style w:type="paragraph" w:customStyle="1" w:styleId="xl97">
    <w:name w:val="xl97"/>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8">
    <w:name w:val="xl98"/>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9">
    <w:name w:val="xl9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0">
    <w:name w:val="xl1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1">
    <w:name w:val="xl10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2">
    <w:name w:val="xl102"/>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3">
    <w:name w:val="xl10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4">
    <w:name w:val="xl104"/>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5">
    <w:name w:val="xl105"/>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7">
    <w:name w:val="xl10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8">
    <w:name w:val="xl108"/>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9">
    <w:name w:val="xl10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10">
    <w:name w:val="xl11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2">
    <w:name w:val="xl11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3">
    <w:name w:val="xl11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4">
    <w:name w:val="xl114"/>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5">
    <w:name w:val="xl11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6">
    <w:name w:val="xl116"/>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8">
    <w:name w:val="xl118"/>
    <w:basedOn w:val="a2"/>
    <w:rsid w:val="009276F1"/>
    <w:pPr>
      <w:spacing w:before="100" w:beforeAutospacing="1" w:after="100" w:afterAutospacing="1"/>
      <w:textAlignment w:val="center"/>
    </w:pPr>
    <w:rPr>
      <w:b/>
      <w:bCs/>
    </w:rPr>
  </w:style>
  <w:style w:type="paragraph" w:customStyle="1" w:styleId="xl119">
    <w:name w:val="xl119"/>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1">
    <w:name w:val="xl12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2">
    <w:name w:val="xl122"/>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3">
    <w:name w:val="xl123"/>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5">
    <w:name w:val="xl125"/>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7">
    <w:name w:val="xl12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8">
    <w:name w:val="xl12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9">
    <w:name w:val="xl129"/>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2">
    <w:name w:val="xl13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3">
    <w:name w:val="xl133"/>
    <w:basedOn w:val="a2"/>
    <w:rsid w:val="009276F1"/>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4">
    <w:name w:val="xl134"/>
    <w:basedOn w:val="a2"/>
    <w:rsid w:val="009276F1"/>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5">
    <w:name w:val="xl135"/>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6">
    <w:name w:val="xl136"/>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8">
    <w:name w:val="xl138"/>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9">
    <w:name w:val="xl139"/>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40">
    <w:name w:val="xl140"/>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1">
    <w:name w:val="xl141"/>
    <w:basedOn w:val="a2"/>
    <w:rsid w:val="009276F1"/>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2">
    <w:name w:val="xl142"/>
    <w:basedOn w:val="a2"/>
    <w:rsid w:val="009276F1"/>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3">
    <w:name w:val="xl143"/>
    <w:basedOn w:val="a2"/>
    <w:rsid w:val="009276F1"/>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4">
    <w:name w:val="xl144"/>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5">
    <w:name w:val="xl14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6">
    <w:name w:val="xl146"/>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7">
    <w:name w:val="xl147"/>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8">
    <w:name w:val="xl14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0">
    <w:name w:val="xl15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1">
    <w:name w:val="xl151"/>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52">
    <w:name w:val="xl152"/>
    <w:basedOn w:val="a2"/>
    <w:rsid w:val="009276F1"/>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3">
    <w:name w:val="xl153"/>
    <w:basedOn w:val="a2"/>
    <w:rsid w:val="009276F1"/>
    <w:pPr>
      <w:pBdr>
        <w:top w:val="single" w:sz="4" w:space="0" w:color="C0C0C0"/>
      </w:pBdr>
      <w:shd w:val="thinReverseDiagStripe" w:color="C0C0C0" w:fill="auto"/>
      <w:spacing w:before="100" w:beforeAutospacing="1" w:after="100" w:afterAutospacing="1"/>
    </w:pPr>
  </w:style>
  <w:style w:type="paragraph" w:customStyle="1" w:styleId="xl154">
    <w:name w:val="xl154"/>
    <w:basedOn w:val="a2"/>
    <w:rsid w:val="009276F1"/>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5">
    <w:name w:val="xl155"/>
    <w:basedOn w:val="a2"/>
    <w:rsid w:val="009276F1"/>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6">
    <w:name w:val="xl156"/>
    <w:basedOn w:val="a2"/>
    <w:rsid w:val="009276F1"/>
    <w:pPr>
      <w:pBdr>
        <w:bottom w:val="single" w:sz="4" w:space="0" w:color="C0C0C0"/>
      </w:pBdr>
      <w:shd w:val="thinReverseDiagStripe" w:color="C0C0C0" w:fill="auto"/>
      <w:spacing w:before="100" w:beforeAutospacing="1" w:after="100" w:afterAutospacing="1"/>
    </w:pPr>
    <w:rPr>
      <w:b/>
      <w:bCs/>
    </w:rPr>
  </w:style>
  <w:style w:type="paragraph" w:customStyle="1" w:styleId="xl157">
    <w:name w:val="xl157"/>
    <w:basedOn w:val="a2"/>
    <w:rsid w:val="009276F1"/>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8">
    <w:name w:val="xl158"/>
    <w:basedOn w:val="a2"/>
    <w:rsid w:val="009276F1"/>
    <w:pPr>
      <w:shd w:val="thinReverseDiagStripe" w:color="C0C0C0" w:fill="auto"/>
      <w:spacing w:before="100" w:beforeAutospacing="1" w:after="100" w:afterAutospacing="1"/>
    </w:pPr>
    <w:rPr>
      <w:b/>
      <w:bCs/>
    </w:rPr>
  </w:style>
  <w:style w:type="paragraph" w:customStyle="1" w:styleId="xl159">
    <w:name w:val="xl159"/>
    <w:basedOn w:val="a2"/>
    <w:rsid w:val="009276F1"/>
    <w:pPr>
      <w:pBdr>
        <w:right w:val="single" w:sz="4" w:space="0" w:color="C0C0C0"/>
      </w:pBdr>
      <w:shd w:val="thinReverseDiagStripe" w:color="C0C0C0" w:fill="auto"/>
      <w:spacing w:before="100" w:beforeAutospacing="1" w:after="100" w:afterAutospacing="1"/>
    </w:pPr>
    <w:rPr>
      <w:b/>
      <w:bCs/>
    </w:rPr>
  </w:style>
  <w:style w:type="paragraph" w:customStyle="1" w:styleId="xl160">
    <w:name w:val="xl160"/>
    <w:basedOn w:val="a2"/>
    <w:rsid w:val="009276F1"/>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61">
    <w:name w:val="xl161"/>
    <w:basedOn w:val="a2"/>
    <w:rsid w:val="009276F1"/>
    <w:pPr>
      <w:shd w:val="thinReverseDiagStripe" w:color="C0C0C0" w:fill="auto"/>
      <w:spacing w:before="100" w:beforeAutospacing="1" w:after="100" w:afterAutospacing="1"/>
    </w:pPr>
  </w:style>
  <w:style w:type="paragraph" w:customStyle="1" w:styleId="xl162">
    <w:name w:val="xl162"/>
    <w:basedOn w:val="a2"/>
    <w:rsid w:val="009276F1"/>
    <w:pPr>
      <w:pBdr>
        <w:right w:val="single" w:sz="4" w:space="0" w:color="C0C0C0"/>
      </w:pBdr>
      <w:shd w:val="thinReverseDiagStripe" w:color="C0C0C0" w:fill="auto"/>
      <w:spacing w:before="100" w:beforeAutospacing="1" w:after="100" w:afterAutospacing="1"/>
    </w:pPr>
  </w:style>
  <w:style w:type="paragraph" w:customStyle="1" w:styleId="xl163">
    <w:name w:val="xl163"/>
    <w:basedOn w:val="a2"/>
    <w:rsid w:val="009276F1"/>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4">
    <w:name w:val="xl164"/>
    <w:basedOn w:val="a2"/>
    <w:rsid w:val="009276F1"/>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5">
    <w:name w:val="xl165"/>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66">
    <w:name w:val="xl16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7">
    <w:name w:val="xl167"/>
    <w:basedOn w:val="a2"/>
    <w:rsid w:val="009276F1"/>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8">
    <w:name w:val="xl168"/>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9">
    <w:name w:val="xl16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70">
    <w:name w:val="xl170"/>
    <w:basedOn w:val="a2"/>
    <w:rsid w:val="009276F1"/>
    <w:pPr>
      <w:spacing w:before="100" w:beforeAutospacing="1" w:after="100" w:afterAutospacing="1"/>
      <w:textAlignment w:val="center"/>
    </w:pPr>
  </w:style>
  <w:style w:type="paragraph" w:customStyle="1" w:styleId="xl171">
    <w:name w:val="xl171"/>
    <w:basedOn w:val="a2"/>
    <w:rsid w:val="009276F1"/>
    <w:pPr>
      <w:shd w:val="clear" w:color="000000" w:fill="00B050"/>
      <w:spacing w:before="100" w:beforeAutospacing="1" w:after="100" w:afterAutospacing="1"/>
      <w:textAlignment w:val="center"/>
    </w:pPr>
    <w:rPr>
      <w:b/>
      <w:bCs/>
      <w:color w:val="000000"/>
    </w:rPr>
  </w:style>
  <w:style w:type="paragraph" w:customStyle="1" w:styleId="xl172">
    <w:name w:val="xl172"/>
    <w:basedOn w:val="a2"/>
    <w:rsid w:val="009276F1"/>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73">
    <w:name w:val="xl173"/>
    <w:basedOn w:val="a2"/>
    <w:rsid w:val="009276F1"/>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4">
    <w:name w:val="xl174"/>
    <w:basedOn w:val="a2"/>
    <w:rsid w:val="009276F1"/>
    <w:pPr>
      <w:spacing w:before="100" w:beforeAutospacing="1" w:after="100" w:afterAutospacing="1"/>
      <w:textAlignment w:val="center"/>
    </w:pPr>
  </w:style>
  <w:style w:type="paragraph" w:customStyle="1" w:styleId="xl175">
    <w:name w:val="xl175"/>
    <w:basedOn w:val="a2"/>
    <w:rsid w:val="009276F1"/>
    <w:pPr>
      <w:spacing w:before="100" w:beforeAutospacing="1" w:after="100" w:afterAutospacing="1"/>
      <w:jc w:val="center"/>
      <w:textAlignment w:val="center"/>
    </w:pPr>
    <w:rPr>
      <w:b/>
      <w:bCs/>
    </w:rPr>
  </w:style>
  <w:style w:type="paragraph" w:customStyle="1" w:styleId="xl176">
    <w:name w:val="xl176"/>
    <w:basedOn w:val="a2"/>
    <w:rsid w:val="009276F1"/>
    <w:pPr>
      <w:spacing w:before="100" w:beforeAutospacing="1" w:after="100" w:afterAutospacing="1"/>
      <w:jc w:val="center"/>
      <w:textAlignment w:val="center"/>
    </w:pPr>
    <w:rPr>
      <w:b/>
      <w:bCs/>
    </w:rPr>
  </w:style>
  <w:style w:type="paragraph" w:customStyle="1" w:styleId="xl177">
    <w:name w:val="xl177"/>
    <w:basedOn w:val="a2"/>
    <w:rsid w:val="009276F1"/>
    <w:pPr>
      <w:spacing w:before="100" w:beforeAutospacing="1" w:after="100" w:afterAutospacing="1"/>
      <w:jc w:val="center"/>
      <w:textAlignment w:val="center"/>
    </w:pPr>
    <w:rPr>
      <w:b/>
      <w:bCs/>
    </w:rPr>
  </w:style>
  <w:style w:type="paragraph" w:customStyle="1" w:styleId="xl178">
    <w:name w:val="xl178"/>
    <w:basedOn w:val="a2"/>
    <w:rsid w:val="009276F1"/>
    <w:pPr>
      <w:spacing w:before="100" w:beforeAutospacing="1" w:after="100" w:afterAutospacing="1"/>
      <w:textAlignment w:val="bottom"/>
    </w:pPr>
    <w:rPr>
      <w:color w:val="000000"/>
    </w:rPr>
  </w:style>
  <w:style w:type="paragraph" w:customStyle="1" w:styleId="xl179">
    <w:name w:val="xl179"/>
    <w:basedOn w:val="a2"/>
    <w:rsid w:val="009276F1"/>
    <w:pPr>
      <w:shd w:val="clear" w:color="000000" w:fill="FFFF00"/>
      <w:spacing w:before="100" w:beforeAutospacing="1" w:after="100" w:afterAutospacing="1"/>
      <w:textAlignment w:val="center"/>
    </w:pPr>
    <w:rPr>
      <w:b/>
      <w:bCs/>
      <w:color w:val="000000"/>
    </w:rPr>
  </w:style>
  <w:style w:type="paragraph" w:customStyle="1" w:styleId="xl180">
    <w:name w:val="xl180"/>
    <w:basedOn w:val="a2"/>
    <w:rsid w:val="009276F1"/>
    <w:pPr>
      <w:shd w:val="clear" w:color="000000" w:fill="FABF8F"/>
      <w:spacing w:before="100" w:beforeAutospacing="1" w:after="100" w:afterAutospacing="1"/>
      <w:textAlignment w:val="center"/>
    </w:pPr>
    <w:rPr>
      <w:b/>
      <w:bCs/>
      <w:color w:val="000000"/>
    </w:rPr>
  </w:style>
  <w:style w:type="paragraph" w:customStyle="1" w:styleId="xl181">
    <w:name w:val="xl181"/>
    <w:basedOn w:val="a2"/>
    <w:rsid w:val="009276F1"/>
    <w:pPr>
      <w:shd w:val="clear" w:color="000000" w:fill="00B0F0"/>
      <w:spacing w:before="100" w:beforeAutospacing="1" w:after="100" w:afterAutospacing="1"/>
      <w:textAlignment w:val="center"/>
    </w:pPr>
    <w:rPr>
      <w:b/>
      <w:bCs/>
      <w:color w:val="000000"/>
    </w:rPr>
  </w:style>
  <w:style w:type="paragraph" w:customStyle="1" w:styleId="xl182">
    <w:name w:val="xl182"/>
    <w:basedOn w:val="a2"/>
    <w:rsid w:val="009276F1"/>
    <w:pPr>
      <w:shd w:val="clear" w:color="000000" w:fill="B7DEE8"/>
      <w:spacing w:before="100" w:beforeAutospacing="1" w:after="100" w:afterAutospacing="1"/>
      <w:textAlignment w:val="center"/>
    </w:pPr>
    <w:rPr>
      <w:b/>
      <w:bCs/>
      <w:color w:val="000000"/>
    </w:rPr>
  </w:style>
  <w:style w:type="paragraph" w:customStyle="1" w:styleId="xl183">
    <w:name w:val="xl183"/>
    <w:basedOn w:val="a2"/>
    <w:rsid w:val="009276F1"/>
    <w:pPr>
      <w:shd w:val="clear" w:color="000000" w:fill="B1A0C7"/>
      <w:spacing w:before="100" w:beforeAutospacing="1" w:after="100" w:afterAutospacing="1"/>
      <w:textAlignment w:val="center"/>
    </w:pPr>
    <w:rPr>
      <w:b/>
      <w:bCs/>
      <w:color w:val="000000"/>
    </w:rPr>
  </w:style>
  <w:style w:type="paragraph" w:customStyle="1" w:styleId="xl184">
    <w:name w:val="xl184"/>
    <w:basedOn w:val="a2"/>
    <w:rsid w:val="009276F1"/>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5">
    <w:name w:val="xl185"/>
    <w:basedOn w:val="a2"/>
    <w:rsid w:val="009276F1"/>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6">
    <w:name w:val="xl186"/>
    <w:basedOn w:val="a2"/>
    <w:rsid w:val="009276F1"/>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7">
    <w:name w:val="xl187"/>
    <w:basedOn w:val="a2"/>
    <w:rsid w:val="009276F1"/>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8">
    <w:name w:val="xl188"/>
    <w:basedOn w:val="a2"/>
    <w:rsid w:val="009276F1"/>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9">
    <w:name w:val="xl189"/>
    <w:basedOn w:val="a2"/>
    <w:rsid w:val="009276F1"/>
    <w:pPr>
      <w:spacing w:before="100" w:beforeAutospacing="1" w:after="100" w:afterAutospacing="1"/>
      <w:jc w:val="center"/>
      <w:textAlignment w:val="center"/>
    </w:pPr>
    <w:rPr>
      <w:rFonts w:ascii="Wingdings 2" w:hAnsi="Wingdings 2"/>
      <w:color w:val="5A5A5A"/>
      <w:sz w:val="22"/>
      <w:szCs w:val="22"/>
    </w:rPr>
  </w:style>
  <w:style w:type="paragraph" w:customStyle="1" w:styleId="xl190">
    <w:name w:val="xl19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1">
    <w:name w:val="xl191"/>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2">
    <w:name w:val="xl19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3">
    <w:name w:val="xl193"/>
    <w:basedOn w:val="a2"/>
    <w:rsid w:val="009276F1"/>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94">
    <w:name w:val="xl194"/>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272727"/>
    </w:rPr>
  </w:style>
  <w:style w:type="paragraph" w:customStyle="1" w:styleId="xl195">
    <w:name w:val="xl195"/>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6">
    <w:name w:val="xl19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7">
    <w:name w:val="xl197"/>
    <w:basedOn w:val="a2"/>
    <w:rsid w:val="009276F1"/>
    <w:pPr>
      <w:spacing w:before="100" w:beforeAutospacing="1" w:after="100" w:afterAutospacing="1"/>
      <w:textAlignment w:val="bottom"/>
    </w:pPr>
    <w:rPr>
      <w:b/>
      <w:bCs/>
    </w:rPr>
  </w:style>
  <w:style w:type="paragraph" w:customStyle="1" w:styleId="xl198">
    <w:name w:val="xl198"/>
    <w:basedOn w:val="a2"/>
    <w:rsid w:val="009276F1"/>
    <w:pPr>
      <w:spacing w:before="100" w:beforeAutospacing="1" w:after="100" w:afterAutospacing="1"/>
      <w:textAlignment w:val="bottom"/>
    </w:pPr>
    <w:rPr>
      <w:b/>
      <w:bCs/>
    </w:rPr>
  </w:style>
  <w:style w:type="paragraph" w:customStyle="1" w:styleId="xl199">
    <w:name w:val="xl199"/>
    <w:basedOn w:val="a2"/>
    <w:rsid w:val="009276F1"/>
    <w:pPr>
      <w:spacing w:before="100" w:beforeAutospacing="1" w:after="100" w:afterAutospacing="1"/>
      <w:textAlignment w:val="bottom"/>
    </w:pPr>
    <w:rPr>
      <w:b/>
      <w:bCs/>
      <w:color w:val="000000"/>
    </w:rPr>
  </w:style>
  <w:style w:type="paragraph" w:customStyle="1" w:styleId="xl200">
    <w:name w:val="xl2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201">
    <w:name w:val="xl201"/>
    <w:basedOn w:val="a2"/>
    <w:rsid w:val="009276F1"/>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202">
    <w:name w:val="xl20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203">
    <w:name w:val="xl203"/>
    <w:basedOn w:val="a2"/>
    <w:rsid w:val="009276F1"/>
    <w:pPr>
      <w:shd w:val="clear" w:color="000000" w:fill="C4BD97"/>
      <w:spacing w:before="100" w:beforeAutospacing="1" w:after="100" w:afterAutospacing="1"/>
      <w:textAlignment w:val="center"/>
    </w:pPr>
    <w:rPr>
      <w:b/>
      <w:bCs/>
      <w:color w:val="000000"/>
    </w:rPr>
  </w:style>
  <w:style w:type="paragraph" w:customStyle="1" w:styleId="xl204">
    <w:name w:val="xl204"/>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b/>
      <w:bCs/>
    </w:rPr>
  </w:style>
  <w:style w:type="paragraph" w:customStyle="1" w:styleId="xl205">
    <w:name w:val="xl205"/>
    <w:basedOn w:val="a2"/>
    <w:rsid w:val="009276F1"/>
    <w:pPr>
      <w:spacing w:before="100" w:beforeAutospacing="1" w:after="100" w:afterAutospacing="1"/>
      <w:textAlignment w:val="center"/>
    </w:pPr>
  </w:style>
  <w:style w:type="paragraph" w:customStyle="1" w:styleId="xl206">
    <w:name w:val="xl206"/>
    <w:basedOn w:val="a2"/>
    <w:rsid w:val="009276F1"/>
    <w:pPr>
      <w:spacing w:before="100" w:beforeAutospacing="1" w:after="100" w:afterAutospacing="1"/>
      <w:textAlignment w:val="center"/>
    </w:pPr>
  </w:style>
  <w:style w:type="paragraph" w:customStyle="1" w:styleId="xl207">
    <w:name w:val="xl20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208">
    <w:name w:val="xl20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9">
    <w:name w:val="xl20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0">
    <w:name w:val="xl210"/>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1">
    <w:name w:val="xl211"/>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2">
    <w:name w:val="xl212"/>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3">
    <w:name w:val="xl213"/>
    <w:basedOn w:val="a2"/>
    <w:rsid w:val="009276F1"/>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4">
    <w:name w:val="xl214"/>
    <w:basedOn w:val="a2"/>
    <w:rsid w:val="009276F1"/>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5">
    <w:name w:val="xl215"/>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6">
    <w:name w:val="xl216"/>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7">
    <w:name w:val="xl21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8">
    <w:name w:val="xl21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9">
    <w:name w:val="xl219"/>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0">
    <w:name w:val="xl220"/>
    <w:basedOn w:val="a2"/>
    <w:rsid w:val="009276F1"/>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1">
    <w:name w:val="xl221"/>
    <w:basedOn w:val="a2"/>
    <w:rsid w:val="009276F1"/>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2">
    <w:name w:val="xl22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2"/>
    <w:rsid w:val="009276F1"/>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24">
    <w:name w:val="xl224"/>
    <w:basedOn w:val="a2"/>
    <w:rsid w:val="009276F1"/>
    <w:pPr>
      <w:pBdr>
        <w:right w:val="single" w:sz="4" w:space="0" w:color="C0C0C0"/>
      </w:pBdr>
      <w:spacing w:before="100" w:beforeAutospacing="1" w:after="100" w:afterAutospacing="1"/>
      <w:jc w:val="center"/>
      <w:textAlignment w:val="center"/>
    </w:pPr>
  </w:style>
  <w:style w:type="paragraph" w:customStyle="1" w:styleId="xl225">
    <w:name w:val="xl225"/>
    <w:basedOn w:val="a2"/>
    <w:rsid w:val="009276F1"/>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6">
    <w:name w:val="xl226"/>
    <w:basedOn w:val="a2"/>
    <w:rsid w:val="009276F1"/>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7">
    <w:name w:val="xl227"/>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28">
    <w:name w:val="xl228"/>
    <w:basedOn w:val="a2"/>
    <w:rsid w:val="001D33E7"/>
    <w:pPr>
      <w:pBdr>
        <w:top w:val="single" w:sz="4" w:space="0" w:color="C0C0C0"/>
        <w:bottom w:val="single" w:sz="4" w:space="0" w:color="C0C0C0"/>
      </w:pBdr>
      <w:spacing w:before="100" w:beforeAutospacing="1" w:after="100" w:afterAutospacing="1"/>
      <w:textAlignment w:val="bottom"/>
    </w:pPr>
    <w:rPr>
      <w:sz w:val="20"/>
      <w:szCs w:val="20"/>
    </w:rPr>
  </w:style>
  <w:style w:type="table" w:customStyle="1" w:styleId="130">
    <w:name w:val="Сетка таблицы13"/>
    <w:basedOn w:val="a4"/>
    <w:next w:val="afb"/>
    <w:uiPriority w:val="39"/>
    <w:rsid w:val="0043196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
    <w:name w:val="Сетка таблицы7"/>
    <w:basedOn w:val="a4"/>
    <w:next w:val="afb"/>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fb"/>
    <w:uiPriority w:val="39"/>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9">
    <w:name w:val="xl229"/>
    <w:basedOn w:val="a2"/>
    <w:rsid w:val="0043196B"/>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0">
    <w:name w:val="xl230"/>
    <w:basedOn w:val="a2"/>
    <w:rsid w:val="0043196B"/>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1">
    <w:name w:val="xl231"/>
    <w:basedOn w:val="a2"/>
    <w:rsid w:val="0043196B"/>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2">
    <w:name w:val="xl232"/>
    <w:basedOn w:val="a2"/>
    <w:rsid w:val="0043196B"/>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710">
    <w:name w:val="Знак Знак Знак Знак Знак Знак Знак Знак Знак Знак Знак Знак71"/>
    <w:basedOn w:val="a2"/>
    <w:rsid w:val="00A53BC1"/>
    <w:pPr>
      <w:tabs>
        <w:tab w:val="num" w:pos="360"/>
      </w:tabs>
      <w:spacing w:after="160" w:line="240" w:lineRule="exact"/>
    </w:pPr>
    <w:rPr>
      <w:rFonts w:ascii="Verdana" w:hAnsi="Verdana" w:cs="Verdana"/>
      <w:sz w:val="20"/>
      <w:szCs w:val="20"/>
      <w:lang w:val="en-US" w:eastAsia="en-US"/>
    </w:rPr>
  </w:style>
  <w:style w:type="paragraph" w:customStyle="1" w:styleId="700">
    <w:name w:val="Знак Знак Знак Знак Знак Знак Знак Знак Знак Знак Знак Знак70"/>
    <w:basedOn w:val="a2"/>
    <w:rsid w:val="00C348EB"/>
    <w:pPr>
      <w:tabs>
        <w:tab w:val="num" w:pos="360"/>
      </w:tabs>
      <w:spacing w:after="160" w:line="240" w:lineRule="exact"/>
    </w:pPr>
    <w:rPr>
      <w:rFonts w:ascii="Verdana" w:hAnsi="Verdana" w:cs="Verdana"/>
      <w:sz w:val="20"/>
      <w:szCs w:val="20"/>
      <w:lang w:val="en-US" w:eastAsia="en-US"/>
    </w:rPr>
  </w:style>
  <w:style w:type="paragraph" w:customStyle="1" w:styleId="69">
    <w:name w:val="Знак Знак Знак Знак Знак Знак Знак Знак Знак Знак Знак Знак69"/>
    <w:basedOn w:val="a2"/>
    <w:rsid w:val="003701BC"/>
    <w:pPr>
      <w:tabs>
        <w:tab w:val="num" w:pos="360"/>
      </w:tabs>
      <w:spacing w:after="160" w:line="240" w:lineRule="exact"/>
    </w:pPr>
    <w:rPr>
      <w:rFonts w:ascii="Verdana" w:hAnsi="Verdana" w:cs="Verdana"/>
      <w:sz w:val="20"/>
      <w:szCs w:val="20"/>
      <w:lang w:val="en-US" w:eastAsia="en-US"/>
    </w:rPr>
  </w:style>
  <w:style w:type="paragraph" w:customStyle="1" w:styleId="68">
    <w:name w:val="Знак Знак Знак Знак Знак Знак Знак Знак Знак Знак Знак Знак68"/>
    <w:basedOn w:val="a2"/>
    <w:rsid w:val="00017FE5"/>
    <w:pPr>
      <w:tabs>
        <w:tab w:val="num" w:pos="360"/>
      </w:tabs>
      <w:spacing w:after="160" w:line="240" w:lineRule="exact"/>
    </w:pPr>
    <w:rPr>
      <w:rFonts w:ascii="Verdana" w:hAnsi="Verdana" w:cs="Verdana"/>
      <w:sz w:val="20"/>
      <w:szCs w:val="20"/>
      <w:lang w:val="en-US" w:eastAsia="en-US"/>
    </w:rPr>
  </w:style>
  <w:style w:type="numbering" w:customStyle="1" w:styleId="53">
    <w:name w:val="Нет списка5"/>
    <w:next w:val="a5"/>
    <w:uiPriority w:val="99"/>
    <w:semiHidden/>
    <w:rsid w:val="00044110"/>
  </w:style>
  <w:style w:type="paragraph" w:customStyle="1" w:styleId="67">
    <w:name w:val="Знак Знак Знак Знак Знак Знак Знак Знак Знак Знак Знак Знак67"/>
    <w:basedOn w:val="a2"/>
    <w:rsid w:val="00B9212E"/>
    <w:pPr>
      <w:tabs>
        <w:tab w:val="num" w:pos="360"/>
      </w:tabs>
      <w:spacing w:after="160" w:line="240" w:lineRule="exact"/>
    </w:pPr>
    <w:rPr>
      <w:rFonts w:ascii="Verdana" w:hAnsi="Verdana" w:cs="Verdana"/>
      <w:sz w:val="20"/>
      <w:szCs w:val="20"/>
      <w:lang w:val="en-US" w:eastAsia="en-US"/>
    </w:rPr>
  </w:style>
  <w:style w:type="numbering" w:customStyle="1" w:styleId="63">
    <w:name w:val="Нет списка6"/>
    <w:next w:val="a5"/>
    <w:uiPriority w:val="99"/>
    <w:semiHidden/>
    <w:unhideWhenUsed/>
    <w:rsid w:val="004F02B8"/>
  </w:style>
  <w:style w:type="table" w:customStyle="1" w:styleId="82">
    <w:name w:val="Сетка таблицы8"/>
    <w:basedOn w:val="a4"/>
    <w:next w:val="afb"/>
    <w:uiPriority w:val="39"/>
    <w:rsid w:val="004F0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Стиль11"/>
    <w:uiPriority w:val="99"/>
    <w:rsid w:val="004F02B8"/>
  </w:style>
  <w:style w:type="paragraph" w:customStyle="1" w:styleId="66">
    <w:name w:val="Знак Знак Знак Знак Знак Знак Знак Знак Знак Знак Знак Знак66"/>
    <w:basedOn w:val="a2"/>
    <w:rsid w:val="00BF3D43"/>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5"/>
    <w:basedOn w:val="a2"/>
    <w:rsid w:val="009349C8"/>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 Знак112"/>
    <w:basedOn w:val="a2"/>
    <w:rsid w:val="00527E70"/>
    <w:pPr>
      <w:tabs>
        <w:tab w:val="num" w:pos="360"/>
      </w:tabs>
      <w:spacing w:after="160" w:line="240" w:lineRule="exact"/>
    </w:pPr>
    <w:rPr>
      <w:rFonts w:ascii="Verdana" w:hAnsi="Verdana" w:cs="Verdana"/>
      <w:sz w:val="20"/>
      <w:szCs w:val="20"/>
      <w:lang w:val="en-US" w:eastAsia="en-US"/>
    </w:rPr>
  </w:style>
  <w:style w:type="numbering" w:customStyle="1" w:styleId="75">
    <w:name w:val="Нет списка7"/>
    <w:next w:val="a5"/>
    <w:uiPriority w:val="99"/>
    <w:semiHidden/>
    <w:unhideWhenUsed/>
    <w:rsid w:val="00527E70"/>
  </w:style>
  <w:style w:type="numbering" w:customStyle="1" w:styleId="122">
    <w:name w:val="Нет списка12"/>
    <w:next w:val="a5"/>
    <w:uiPriority w:val="99"/>
    <w:semiHidden/>
    <w:rsid w:val="00527E70"/>
  </w:style>
  <w:style w:type="table" w:customStyle="1" w:styleId="92">
    <w:name w:val="Сетка таблицы9"/>
    <w:basedOn w:val="a4"/>
    <w:next w:val="afb"/>
    <w:rsid w:val="00527E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5"/>
    <w:uiPriority w:val="99"/>
    <w:semiHidden/>
    <w:unhideWhenUsed/>
    <w:rsid w:val="00527E70"/>
  </w:style>
  <w:style w:type="table" w:customStyle="1" w:styleId="140">
    <w:name w:val="Сетка таблицы14"/>
    <w:basedOn w:val="a4"/>
    <w:next w:val="afb"/>
    <w:uiPriority w:val="39"/>
    <w:rsid w:val="00527E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5"/>
    <w:uiPriority w:val="99"/>
    <w:semiHidden/>
    <w:unhideWhenUsed/>
    <w:rsid w:val="00527E70"/>
  </w:style>
  <w:style w:type="table" w:customStyle="1" w:styleId="310">
    <w:name w:val="Сетка таблицы31"/>
    <w:basedOn w:val="a4"/>
    <w:next w:val="afb"/>
    <w:rsid w:val="00383E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4"/>
    <w:next w:val="afb"/>
    <w:rsid w:val="00383E4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
    <w:name w:val="Знак Знак Знак Знак Знак Знак Знак Знак Знак Знак Знак Знак64"/>
    <w:basedOn w:val="a2"/>
    <w:rsid w:val="00E35CC5"/>
    <w:pPr>
      <w:tabs>
        <w:tab w:val="num" w:pos="360"/>
      </w:tabs>
      <w:spacing w:after="160" w:line="240" w:lineRule="exact"/>
    </w:pPr>
    <w:rPr>
      <w:rFonts w:ascii="Verdana" w:hAnsi="Verdana" w:cs="Verdana"/>
      <w:sz w:val="20"/>
      <w:szCs w:val="20"/>
      <w:lang w:val="en-US" w:eastAsia="en-US"/>
    </w:rPr>
  </w:style>
  <w:style w:type="paragraph" w:customStyle="1" w:styleId="131">
    <w:name w:val="13"/>
    <w:basedOn w:val="a2"/>
    <w:next w:val="af1"/>
    <w:qFormat/>
    <w:rsid w:val="00B94D37"/>
    <w:pPr>
      <w:tabs>
        <w:tab w:val="left" w:pos="1665"/>
      </w:tabs>
      <w:jc w:val="center"/>
    </w:pPr>
    <w:rPr>
      <w:b/>
      <w:bCs/>
    </w:rPr>
  </w:style>
  <w:style w:type="character" w:customStyle="1" w:styleId="60">
    <w:name w:val="Заголовок 6 Знак"/>
    <w:basedOn w:val="a3"/>
    <w:link w:val="6"/>
    <w:rsid w:val="009573A4"/>
    <w:rPr>
      <w:rFonts w:ascii="Calibri" w:eastAsia="Times New Roman" w:hAnsi="Calibri" w:cs="Times New Roman"/>
      <w:b/>
      <w:bCs/>
      <w:lang w:eastAsia="ru-RU"/>
    </w:rPr>
  </w:style>
  <w:style w:type="character" w:customStyle="1" w:styleId="70">
    <w:name w:val="Заголовок 7 Знак"/>
    <w:basedOn w:val="a3"/>
    <w:link w:val="7"/>
    <w:rsid w:val="009573A4"/>
    <w:rPr>
      <w:rFonts w:ascii="Calibri" w:eastAsia="Times New Roman" w:hAnsi="Calibri" w:cs="Times New Roman"/>
      <w:sz w:val="24"/>
      <w:szCs w:val="24"/>
      <w:lang w:eastAsia="ru-RU"/>
    </w:rPr>
  </w:style>
  <w:style w:type="character" w:customStyle="1" w:styleId="80">
    <w:name w:val="Заголовок 8 Знак"/>
    <w:basedOn w:val="a3"/>
    <w:link w:val="8"/>
    <w:rsid w:val="009573A4"/>
    <w:rPr>
      <w:rFonts w:ascii="Calibri" w:eastAsia="Times New Roman" w:hAnsi="Calibri" w:cs="Times New Roman"/>
      <w:i/>
      <w:iCs/>
      <w:sz w:val="24"/>
      <w:szCs w:val="24"/>
      <w:lang w:eastAsia="ru-RU"/>
    </w:rPr>
  </w:style>
  <w:style w:type="numbering" w:customStyle="1" w:styleId="83">
    <w:name w:val="Нет списка8"/>
    <w:next w:val="a5"/>
    <w:uiPriority w:val="99"/>
    <w:semiHidden/>
    <w:rsid w:val="009573A4"/>
  </w:style>
  <w:style w:type="paragraph" w:customStyle="1" w:styleId="29">
    <w:name w:val="Абзац списка2"/>
    <w:basedOn w:val="a2"/>
    <w:autoRedefine/>
    <w:rsid w:val="009573A4"/>
    <w:pPr>
      <w:jc w:val="center"/>
    </w:pPr>
    <w:rPr>
      <w:snapToGrid w:val="0"/>
      <w:sz w:val="28"/>
      <w:szCs w:val="28"/>
    </w:rPr>
  </w:style>
  <w:style w:type="paragraph" w:customStyle="1" w:styleId="1110">
    <w:name w:val="Знак Знак Знак111"/>
    <w:basedOn w:val="a2"/>
    <w:rsid w:val="009573A4"/>
    <w:pPr>
      <w:tabs>
        <w:tab w:val="num" w:pos="360"/>
      </w:tabs>
      <w:spacing w:after="160" w:line="240" w:lineRule="exact"/>
    </w:pPr>
    <w:rPr>
      <w:rFonts w:ascii="Verdana" w:hAnsi="Verdana" w:cs="Verdana"/>
      <w:sz w:val="20"/>
      <w:szCs w:val="20"/>
      <w:lang w:val="en-US" w:eastAsia="en-US"/>
    </w:rPr>
  </w:style>
  <w:style w:type="table" w:customStyle="1" w:styleId="150">
    <w:name w:val="Сетка таблицы15"/>
    <w:basedOn w:val="a4"/>
    <w:next w:val="afb"/>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0">
    <w:name w:val="Знак20"/>
    <w:basedOn w:val="a2"/>
    <w:rsid w:val="009573A4"/>
    <w:pPr>
      <w:spacing w:after="160" w:line="240" w:lineRule="exact"/>
    </w:pPr>
    <w:rPr>
      <w:rFonts w:ascii="Verdana" w:hAnsi="Verdana" w:cs="Verdana"/>
      <w:sz w:val="20"/>
      <w:szCs w:val="20"/>
      <w:lang w:val="en-US" w:eastAsia="en-US"/>
    </w:rPr>
  </w:style>
  <w:style w:type="numbering" w:customStyle="1" w:styleId="132">
    <w:name w:val="Нет списка13"/>
    <w:next w:val="a5"/>
    <w:uiPriority w:val="99"/>
    <w:semiHidden/>
    <w:unhideWhenUsed/>
    <w:rsid w:val="009573A4"/>
  </w:style>
  <w:style w:type="table" w:customStyle="1" w:styleId="160">
    <w:name w:val="Сетка таблицы16"/>
    <w:basedOn w:val="a4"/>
    <w:next w:val="afb"/>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5"/>
    <w:uiPriority w:val="99"/>
    <w:semiHidden/>
    <w:unhideWhenUsed/>
    <w:rsid w:val="009573A4"/>
  </w:style>
  <w:style w:type="table" w:customStyle="1" w:styleId="230">
    <w:name w:val="Сетка таблицы23"/>
    <w:basedOn w:val="a4"/>
    <w:next w:val="afb"/>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573A4"/>
    <w:rPr>
      <w:rFonts w:ascii="Times New Roman" w:eastAsia="Times New Roman" w:hAnsi="Times New Roman" w:cs="Times New Roman"/>
      <w:sz w:val="28"/>
      <w:szCs w:val="28"/>
      <w:lang w:eastAsia="ru-RU"/>
    </w:rPr>
  </w:style>
  <w:style w:type="numbering" w:customStyle="1" w:styleId="1130">
    <w:name w:val="Нет списка113"/>
    <w:next w:val="a5"/>
    <w:uiPriority w:val="99"/>
    <w:semiHidden/>
    <w:unhideWhenUsed/>
    <w:rsid w:val="009573A4"/>
  </w:style>
  <w:style w:type="paragraph" w:customStyle="1" w:styleId="font7">
    <w:name w:val="font7"/>
    <w:basedOn w:val="a2"/>
    <w:rsid w:val="009573A4"/>
    <w:pPr>
      <w:spacing w:before="100" w:beforeAutospacing="1" w:after="100" w:afterAutospacing="1"/>
    </w:pPr>
    <w:rPr>
      <w:rFonts w:ascii="Calibri" w:hAnsi="Calibri" w:cs="Calibri"/>
    </w:rPr>
  </w:style>
  <w:style w:type="paragraph" w:customStyle="1" w:styleId="font8">
    <w:name w:val="font8"/>
    <w:basedOn w:val="a2"/>
    <w:rsid w:val="009573A4"/>
    <w:pPr>
      <w:spacing w:before="100" w:beforeAutospacing="1" w:after="100" w:afterAutospacing="1"/>
    </w:pPr>
    <w:rPr>
      <w:sz w:val="28"/>
      <w:szCs w:val="28"/>
    </w:rPr>
  </w:style>
  <w:style w:type="paragraph" w:customStyle="1" w:styleId="font9">
    <w:name w:val="font9"/>
    <w:basedOn w:val="a2"/>
    <w:rsid w:val="009573A4"/>
    <w:pPr>
      <w:spacing w:before="100" w:beforeAutospacing="1" w:after="100" w:afterAutospacing="1"/>
    </w:pPr>
    <w:rPr>
      <w:rFonts w:ascii="Calibri" w:hAnsi="Calibri" w:cs="Calibri"/>
      <w:color w:val="000000"/>
    </w:rPr>
  </w:style>
  <w:style w:type="paragraph" w:customStyle="1" w:styleId="xl70">
    <w:name w:val="xl70"/>
    <w:basedOn w:val="a2"/>
    <w:rsid w:val="009573A4"/>
    <w:pPr>
      <w:spacing w:before="100" w:beforeAutospacing="1" w:after="100" w:afterAutospacing="1"/>
      <w:jc w:val="center"/>
    </w:pPr>
    <w:rPr>
      <w:b/>
      <w:bCs/>
      <w:sz w:val="32"/>
      <w:szCs w:val="32"/>
    </w:rPr>
  </w:style>
  <w:style w:type="paragraph" w:customStyle="1" w:styleId="xl71">
    <w:name w:val="xl71"/>
    <w:basedOn w:val="a2"/>
    <w:rsid w:val="009573A4"/>
    <w:pPr>
      <w:spacing w:before="100" w:beforeAutospacing="1" w:after="100" w:afterAutospacing="1"/>
    </w:pPr>
    <w:rPr>
      <w:b/>
      <w:bCs/>
      <w:sz w:val="16"/>
      <w:szCs w:val="16"/>
    </w:rPr>
  </w:style>
  <w:style w:type="paragraph" w:customStyle="1" w:styleId="xl72">
    <w:name w:val="xl72"/>
    <w:basedOn w:val="a2"/>
    <w:rsid w:val="009573A4"/>
    <w:pPr>
      <w:shd w:val="clear" w:color="000000" w:fill="FFFFFF"/>
      <w:spacing w:before="100" w:beforeAutospacing="1" w:after="100" w:afterAutospacing="1"/>
    </w:pPr>
    <w:rPr>
      <w:b/>
      <w:bCs/>
      <w:sz w:val="16"/>
      <w:szCs w:val="16"/>
    </w:rPr>
  </w:style>
  <w:style w:type="paragraph" w:customStyle="1" w:styleId="xl73">
    <w:name w:val="xl73"/>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2"/>
    <w:rsid w:val="009573A4"/>
    <w:pPr>
      <w:spacing w:before="100" w:beforeAutospacing="1" w:after="100" w:afterAutospacing="1"/>
      <w:jc w:val="center"/>
    </w:pPr>
    <w:rPr>
      <w:b/>
      <w:bCs/>
    </w:rPr>
  </w:style>
  <w:style w:type="paragraph" w:customStyle="1" w:styleId="xl76">
    <w:name w:val="xl76"/>
    <w:basedOn w:val="a2"/>
    <w:rsid w:val="009573A4"/>
    <w:pPr>
      <w:spacing w:before="100" w:beforeAutospacing="1" w:after="100" w:afterAutospacing="1"/>
    </w:pPr>
    <w:rPr>
      <w:b/>
      <w:bCs/>
    </w:rPr>
  </w:style>
  <w:style w:type="paragraph" w:customStyle="1" w:styleId="xl77">
    <w:name w:val="xl7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2"/>
    <w:rsid w:val="009573A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p15">
    <w:name w:val="p15"/>
    <w:basedOn w:val="a2"/>
    <w:rsid w:val="009573A4"/>
    <w:pPr>
      <w:spacing w:before="100" w:beforeAutospacing="1" w:after="100" w:afterAutospacing="1"/>
    </w:pPr>
  </w:style>
  <w:style w:type="paragraph" w:styleId="affa">
    <w:name w:val="Block Text"/>
    <w:basedOn w:val="a2"/>
    <w:rsid w:val="009573A4"/>
    <w:pPr>
      <w:widowControl w:val="0"/>
      <w:snapToGrid w:val="0"/>
      <w:spacing w:before="280"/>
      <w:ind w:left="1440" w:right="2000"/>
      <w:jc w:val="center"/>
    </w:pPr>
    <w:rPr>
      <w:sz w:val="20"/>
      <w:szCs w:val="20"/>
    </w:rPr>
  </w:style>
  <w:style w:type="paragraph" w:customStyle="1" w:styleId="affb">
    <w:name w:val="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FR1">
    <w:name w:val="FR1"/>
    <w:rsid w:val="009573A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f">
    <w:name w:val="Знак Знак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c">
    <w:name w:val="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d">
    <w:name w:val="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 Знак1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e">
    <w:name w:val="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
    <w:name w:val="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9573A4"/>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9573A4"/>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9573A4"/>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3">
    <w:name w:val="Знак Знак1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0">
    <w:name w:val="текст примечания"/>
    <w:basedOn w:val="a2"/>
    <w:rsid w:val="009573A4"/>
  </w:style>
  <w:style w:type="paragraph" w:customStyle="1" w:styleId="afff1">
    <w:name w:val="Примечание"/>
    <w:basedOn w:val="a2"/>
    <w:rsid w:val="009573A4"/>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2">
    <w:name w:val="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380">
    <w:name w:val="Знак Знак38"/>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afff3">
    <w:name w:val="Основной текст_"/>
    <w:link w:val="2a"/>
    <w:rsid w:val="009573A4"/>
    <w:rPr>
      <w:sz w:val="28"/>
      <w:szCs w:val="28"/>
      <w:shd w:val="clear" w:color="auto" w:fill="FFFFFF"/>
    </w:rPr>
  </w:style>
  <w:style w:type="paragraph" w:customStyle="1" w:styleId="2a">
    <w:name w:val="Основной текст2"/>
    <w:basedOn w:val="a2"/>
    <w:link w:val="afff3"/>
    <w:rsid w:val="009573A4"/>
    <w:pPr>
      <w:widowControl w:val="0"/>
      <w:shd w:val="clear" w:color="auto" w:fill="FFFFFF"/>
      <w:spacing w:line="320" w:lineRule="exact"/>
    </w:pPr>
    <w:rPr>
      <w:rFonts w:asciiTheme="minorHAnsi" w:eastAsiaTheme="minorHAnsi" w:hAnsiTheme="minorHAnsi" w:cstheme="minorBidi"/>
      <w:sz w:val="28"/>
      <w:szCs w:val="28"/>
      <w:lang w:eastAsia="en-US"/>
    </w:rPr>
  </w:style>
  <w:style w:type="character" w:customStyle="1" w:styleId="10pt">
    <w:name w:val="Основной текст + 10 pt"/>
    <w:rsid w:val="009573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b">
    <w:name w:val="Знак Знак Знак Знак Знак Знак2"/>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80">
    <w:name w:val="Знак Знак Знак Знак18"/>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01">
    <w:name w:val="Знак Знак Знак Знак10"/>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84">
    <w:name w:val="Знак Знак Знак Знак Знак Знак Знак Знак8"/>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1 Знак Знак Знак Знак8"/>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8"/>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7"/>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86">
    <w:name w:val="Знак Знак Знак Знак Знак Знак Знак Знак Знак Знак Знак Знак Знак Знак8"/>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1 Знак Знак Знак Знак Знак Знак Знак Знак Знак Знак Знак Знак Знак Знак Знак Знак Знак Знак Знак Знак Знак Знак Знак Знак7"/>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8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8"/>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71">
    <w:name w:val="Знак Знак1 Знак Знак Знак Знак Знак Знак Знак Знак Знак Знак Знак Знак Знак Знак Знак Знак7"/>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8"/>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87">
    <w:name w:val="Знак Знак Знак Знак Знак Знак Знак Знак Знак Знак Знак Знак Знак Знак Знак Знак8"/>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8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8"/>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xl65">
    <w:name w:val="xl65"/>
    <w:basedOn w:val="a2"/>
    <w:rsid w:val="009573A4"/>
    <w:pPr>
      <w:spacing w:before="100" w:beforeAutospacing="1" w:after="100" w:afterAutospacing="1"/>
      <w:jc w:val="center"/>
      <w:textAlignment w:val="center"/>
    </w:pPr>
  </w:style>
  <w:style w:type="paragraph" w:customStyle="1" w:styleId="xl66">
    <w:name w:val="xl66"/>
    <w:basedOn w:val="a2"/>
    <w:rsid w:val="009573A4"/>
    <w:pPr>
      <w:spacing w:before="100" w:beforeAutospacing="1" w:after="100" w:afterAutospacing="1"/>
      <w:jc w:val="center"/>
      <w:textAlignment w:val="center"/>
    </w:pPr>
    <w:rPr>
      <w:b/>
      <w:bCs/>
    </w:rPr>
  </w:style>
  <w:style w:type="paragraph" w:customStyle="1" w:styleId="xl67">
    <w:name w:val="xl6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9">
    <w:name w:val="xl69"/>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character" w:customStyle="1" w:styleId="normaltextrun">
    <w:name w:val="normaltextrun"/>
    <w:rsid w:val="009573A4"/>
  </w:style>
  <w:style w:type="character" w:customStyle="1" w:styleId="spellingerror">
    <w:name w:val="spellingerror"/>
    <w:rsid w:val="009573A4"/>
  </w:style>
  <w:style w:type="character" w:customStyle="1" w:styleId="contextualspellingandgrammarerror">
    <w:name w:val="contextualspellingandgrammarerror"/>
    <w:rsid w:val="009573A4"/>
  </w:style>
  <w:style w:type="paragraph" w:customStyle="1" w:styleId="paragraph">
    <w:name w:val="paragraph"/>
    <w:basedOn w:val="a2"/>
    <w:rsid w:val="009573A4"/>
    <w:pPr>
      <w:spacing w:before="100" w:beforeAutospacing="1" w:after="100" w:afterAutospacing="1"/>
    </w:pPr>
  </w:style>
  <w:style w:type="table" w:customStyle="1" w:styleId="320">
    <w:name w:val="Сетка таблицы32"/>
    <w:basedOn w:val="a4"/>
    <w:next w:val="afb"/>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5"/>
    <w:uiPriority w:val="99"/>
    <w:semiHidden/>
    <w:rsid w:val="009573A4"/>
  </w:style>
  <w:style w:type="paragraph" w:styleId="afff4">
    <w:name w:val="Subtitle"/>
    <w:basedOn w:val="a2"/>
    <w:next w:val="a2"/>
    <w:link w:val="afff5"/>
    <w:qFormat/>
    <w:rsid w:val="009573A4"/>
    <w:pPr>
      <w:spacing w:after="60"/>
      <w:jc w:val="center"/>
      <w:outlineLvl w:val="1"/>
    </w:pPr>
    <w:rPr>
      <w:rFonts w:ascii="Calibri Light" w:hAnsi="Calibri Light"/>
      <w:snapToGrid w:val="0"/>
    </w:rPr>
  </w:style>
  <w:style w:type="character" w:customStyle="1" w:styleId="afff5">
    <w:name w:val="Подзаголовок Знак"/>
    <w:basedOn w:val="a3"/>
    <w:link w:val="afff4"/>
    <w:rsid w:val="009573A4"/>
    <w:rPr>
      <w:rFonts w:ascii="Calibri Light" w:eastAsia="Times New Roman" w:hAnsi="Calibri Light" w:cs="Times New Roman"/>
      <w:snapToGrid w:val="0"/>
      <w:sz w:val="24"/>
      <w:szCs w:val="24"/>
      <w:lang w:eastAsia="ru-RU"/>
    </w:rPr>
  </w:style>
  <w:style w:type="table" w:customStyle="1" w:styleId="172">
    <w:name w:val="Сетка таблицы17"/>
    <w:basedOn w:val="a4"/>
    <w:next w:val="afb"/>
    <w:rsid w:val="009B17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30">
    <w:name w:val="Знак Знак Знак Знак Знак Знак Знак Знак Знак Знак Знак Знак63"/>
    <w:basedOn w:val="a2"/>
    <w:rsid w:val="00F036CE"/>
    <w:pPr>
      <w:tabs>
        <w:tab w:val="num" w:pos="360"/>
      </w:tabs>
      <w:spacing w:after="160" w:line="240" w:lineRule="exact"/>
    </w:pPr>
    <w:rPr>
      <w:rFonts w:ascii="Verdana" w:hAnsi="Verdana" w:cs="Verdana"/>
      <w:sz w:val="20"/>
      <w:szCs w:val="20"/>
      <w:lang w:val="en-US" w:eastAsia="en-US"/>
    </w:rPr>
  </w:style>
  <w:style w:type="table" w:customStyle="1" w:styleId="185">
    <w:name w:val="Сетка таблицы18"/>
    <w:basedOn w:val="a4"/>
    <w:next w:val="afb"/>
    <w:rsid w:val="00AB04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20">
    <w:name w:val="Знак Знак Знак Знак Знак Знак Знак Знак Знак Знак Знак Знак62"/>
    <w:basedOn w:val="a2"/>
    <w:rsid w:val="004C7FF7"/>
    <w:pPr>
      <w:tabs>
        <w:tab w:val="num" w:pos="360"/>
      </w:tabs>
      <w:spacing w:after="160" w:line="240" w:lineRule="exact"/>
    </w:pPr>
    <w:rPr>
      <w:rFonts w:ascii="Verdana" w:hAnsi="Verdana" w:cs="Verdana"/>
      <w:sz w:val="20"/>
      <w:szCs w:val="20"/>
      <w:lang w:val="en-US" w:eastAsia="en-US"/>
    </w:rPr>
  </w:style>
  <w:style w:type="paragraph" w:customStyle="1" w:styleId="610">
    <w:name w:val="Знак Знак Знак Знак Знак Знак Знак Знак Знак Знак Знак Знак61"/>
    <w:basedOn w:val="a2"/>
    <w:rsid w:val="0025717B"/>
    <w:pPr>
      <w:tabs>
        <w:tab w:val="num" w:pos="360"/>
      </w:tabs>
      <w:spacing w:after="160" w:line="240" w:lineRule="exact"/>
    </w:pPr>
    <w:rPr>
      <w:rFonts w:ascii="Verdana" w:hAnsi="Verdana" w:cs="Verdana"/>
      <w:sz w:val="20"/>
      <w:szCs w:val="20"/>
      <w:lang w:val="en-US" w:eastAsia="en-US"/>
    </w:rPr>
  </w:style>
  <w:style w:type="paragraph" w:customStyle="1" w:styleId="600">
    <w:name w:val="Знак Знак Знак Знак Знак Знак Знак Знак Знак Знак Знак Знак60"/>
    <w:basedOn w:val="a2"/>
    <w:rsid w:val="00D72FE1"/>
    <w:pPr>
      <w:tabs>
        <w:tab w:val="num" w:pos="360"/>
      </w:tabs>
      <w:spacing w:after="160" w:line="240" w:lineRule="exact"/>
    </w:pPr>
    <w:rPr>
      <w:rFonts w:ascii="Verdana" w:hAnsi="Verdana" w:cs="Verdana"/>
      <w:sz w:val="20"/>
      <w:szCs w:val="20"/>
      <w:lang w:val="en-US" w:eastAsia="en-US"/>
    </w:rPr>
  </w:style>
  <w:style w:type="paragraph" w:customStyle="1" w:styleId="font10">
    <w:name w:val="font10"/>
    <w:basedOn w:val="a2"/>
    <w:rsid w:val="00EA4CCA"/>
    <w:pPr>
      <w:spacing w:before="100" w:beforeAutospacing="1" w:after="100" w:afterAutospacing="1"/>
    </w:pPr>
    <w:rPr>
      <w:rFonts w:ascii="Tahoma" w:hAnsi="Tahoma" w:cs="Tahoma"/>
      <w:b/>
      <w:bCs/>
      <w:color w:val="000000"/>
    </w:rPr>
  </w:style>
  <w:style w:type="paragraph" w:customStyle="1" w:styleId="font11">
    <w:name w:val="font11"/>
    <w:basedOn w:val="a2"/>
    <w:rsid w:val="00EA4CCA"/>
    <w:pPr>
      <w:spacing w:before="100" w:beforeAutospacing="1" w:after="100" w:afterAutospacing="1"/>
    </w:pPr>
    <w:rPr>
      <w:rFonts w:ascii="Tahoma" w:hAnsi="Tahoma" w:cs="Tahoma"/>
      <w:color w:val="000000"/>
    </w:rPr>
  </w:style>
  <w:style w:type="paragraph" w:customStyle="1" w:styleId="font12">
    <w:name w:val="font12"/>
    <w:basedOn w:val="a2"/>
    <w:rsid w:val="00EA4CCA"/>
    <w:pPr>
      <w:spacing w:before="100" w:beforeAutospacing="1" w:after="100" w:afterAutospacing="1"/>
    </w:pPr>
    <w:rPr>
      <w:rFonts w:ascii="Tahoma" w:hAnsi="Tahoma" w:cs="Tahoma"/>
      <w:color w:val="000000"/>
      <w:sz w:val="18"/>
      <w:szCs w:val="18"/>
    </w:rPr>
  </w:style>
  <w:style w:type="paragraph" w:customStyle="1" w:styleId="font13">
    <w:name w:val="font13"/>
    <w:basedOn w:val="a2"/>
    <w:rsid w:val="00EA4CCA"/>
    <w:pPr>
      <w:spacing w:before="100" w:beforeAutospacing="1" w:after="100" w:afterAutospacing="1"/>
    </w:pPr>
    <w:rPr>
      <w:rFonts w:ascii="Tahoma" w:hAnsi="Tahoma" w:cs="Tahoma"/>
      <w:b/>
      <w:bCs/>
      <w:color w:val="000000"/>
      <w:sz w:val="18"/>
      <w:szCs w:val="18"/>
    </w:rPr>
  </w:style>
  <w:style w:type="numbering" w:customStyle="1" w:styleId="93">
    <w:name w:val="Нет списка9"/>
    <w:next w:val="a5"/>
    <w:uiPriority w:val="99"/>
    <w:semiHidden/>
    <w:rsid w:val="00EA4CCA"/>
  </w:style>
  <w:style w:type="paragraph" w:customStyle="1" w:styleId="39">
    <w:name w:val="Абзац списка3"/>
    <w:basedOn w:val="a2"/>
    <w:autoRedefine/>
    <w:rsid w:val="00EA4CCA"/>
    <w:pPr>
      <w:jc w:val="center"/>
    </w:pPr>
    <w:rPr>
      <w:snapToGrid w:val="0"/>
      <w:sz w:val="28"/>
      <w:szCs w:val="28"/>
    </w:rPr>
  </w:style>
  <w:style w:type="paragraph" w:customStyle="1" w:styleId="1100">
    <w:name w:val="Знак Знак Знак110"/>
    <w:basedOn w:val="a2"/>
    <w:rsid w:val="00EA4CCA"/>
    <w:pPr>
      <w:tabs>
        <w:tab w:val="num" w:pos="360"/>
      </w:tabs>
      <w:spacing w:after="160" w:line="240" w:lineRule="exact"/>
    </w:pPr>
    <w:rPr>
      <w:rFonts w:ascii="Verdana" w:hAnsi="Verdana" w:cs="Verdana"/>
      <w:sz w:val="20"/>
      <w:szCs w:val="20"/>
      <w:lang w:val="en-US" w:eastAsia="en-US"/>
    </w:rPr>
  </w:style>
  <w:style w:type="table" w:customStyle="1" w:styleId="190">
    <w:name w:val="Сетка таблицы19"/>
    <w:basedOn w:val="a4"/>
    <w:next w:val="afb"/>
    <w:uiPriority w:val="39"/>
    <w:rsid w:val="00EA4C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1">
    <w:name w:val="Знак19"/>
    <w:basedOn w:val="a2"/>
    <w:rsid w:val="00EA4CCA"/>
    <w:pPr>
      <w:spacing w:after="160" w:line="240" w:lineRule="exact"/>
    </w:pPr>
    <w:rPr>
      <w:rFonts w:ascii="Verdana" w:hAnsi="Verdana" w:cs="Verdana"/>
      <w:sz w:val="20"/>
      <w:szCs w:val="20"/>
      <w:lang w:val="en-US" w:eastAsia="en-US"/>
    </w:rPr>
  </w:style>
  <w:style w:type="numbering" w:customStyle="1" w:styleId="141">
    <w:name w:val="Нет списка14"/>
    <w:next w:val="a5"/>
    <w:uiPriority w:val="99"/>
    <w:semiHidden/>
    <w:unhideWhenUsed/>
    <w:rsid w:val="00EA4CCA"/>
  </w:style>
  <w:style w:type="table" w:customStyle="1" w:styleId="1101">
    <w:name w:val="Сетка таблицы110"/>
    <w:basedOn w:val="a4"/>
    <w:next w:val="afb"/>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5"/>
    <w:uiPriority w:val="99"/>
    <w:semiHidden/>
    <w:unhideWhenUsed/>
    <w:rsid w:val="00EA4CCA"/>
  </w:style>
  <w:style w:type="table" w:customStyle="1" w:styleId="240">
    <w:name w:val="Сетка таблицы24"/>
    <w:basedOn w:val="a4"/>
    <w:next w:val="afb"/>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5"/>
    <w:uiPriority w:val="99"/>
    <w:semiHidden/>
    <w:rsid w:val="00114C14"/>
  </w:style>
  <w:style w:type="table" w:customStyle="1" w:styleId="201">
    <w:name w:val="Сетка таблицы20"/>
    <w:basedOn w:val="a4"/>
    <w:next w:val="afb"/>
    <w:uiPriority w:val="39"/>
    <w:rsid w:val="00114C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5"/>
    <w:uiPriority w:val="99"/>
    <w:semiHidden/>
    <w:unhideWhenUsed/>
    <w:rsid w:val="00114C14"/>
  </w:style>
  <w:style w:type="table" w:customStyle="1" w:styleId="1111">
    <w:name w:val="Сетка таблицы111"/>
    <w:basedOn w:val="a4"/>
    <w:next w:val="afb"/>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114C14"/>
  </w:style>
  <w:style w:type="table" w:customStyle="1" w:styleId="250">
    <w:name w:val="Сетка таблицы25"/>
    <w:basedOn w:val="a4"/>
    <w:next w:val="afb"/>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9">
    <w:name w:val="Знак Знак Знак Знак Знак Знак Знак Знак Знак Знак Знак Знак59"/>
    <w:basedOn w:val="a2"/>
    <w:rsid w:val="001D0C9E"/>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5"/>
    <w:uiPriority w:val="99"/>
    <w:semiHidden/>
    <w:rsid w:val="00132E3B"/>
  </w:style>
  <w:style w:type="paragraph" w:customStyle="1" w:styleId="44">
    <w:name w:val="Абзац списка4"/>
    <w:basedOn w:val="a2"/>
    <w:autoRedefine/>
    <w:rsid w:val="00132E3B"/>
    <w:pPr>
      <w:jc w:val="center"/>
    </w:pPr>
    <w:rPr>
      <w:snapToGrid w:val="0"/>
      <w:sz w:val="28"/>
      <w:szCs w:val="28"/>
    </w:rPr>
  </w:style>
  <w:style w:type="paragraph" w:customStyle="1" w:styleId="192">
    <w:name w:val="Знак Знак Знак19"/>
    <w:basedOn w:val="a2"/>
    <w:rsid w:val="00132E3B"/>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fb"/>
    <w:uiPriority w:val="39"/>
    <w:rsid w:val="00132E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6">
    <w:name w:val="Знак18"/>
    <w:basedOn w:val="a2"/>
    <w:rsid w:val="00132E3B"/>
    <w:pPr>
      <w:spacing w:after="160" w:line="240" w:lineRule="exact"/>
    </w:pPr>
    <w:rPr>
      <w:rFonts w:ascii="Verdana" w:hAnsi="Verdana" w:cs="Verdana"/>
      <w:sz w:val="20"/>
      <w:szCs w:val="20"/>
      <w:lang w:val="en-US" w:eastAsia="en-US"/>
    </w:rPr>
  </w:style>
  <w:style w:type="numbering" w:customStyle="1" w:styleId="173">
    <w:name w:val="Нет списка17"/>
    <w:next w:val="a5"/>
    <w:uiPriority w:val="99"/>
    <w:semiHidden/>
    <w:unhideWhenUsed/>
    <w:rsid w:val="00132E3B"/>
  </w:style>
  <w:style w:type="table" w:customStyle="1" w:styleId="1122">
    <w:name w:val="Сетка таблицы112"/>
    <w:basedOn w:val="a4"/>
    <w:next w:val="afb"/>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132E3B"/>
  </w:style>
  <w:style w:type="table" w:customStyle="1" w:styleId="270">
    <w:name w:val="Сетка таблицы27"/>
    <w:basedOn w:val="a4"/>
    <w:next w:val="afb"/>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7">
    <w:name w:val="Нет списка18"/>
    <w:next w:val="a5"/>
    <w:semiHidden/>
    <w:rsid w:val="001F1EA7"/>
  </w:style>
  <w:style w:type="table" w:customStyle="1" w:styleId="280">
    <w:name w:val="Сетка таблицы28"/>
    <w:basedOn w:val="a4"/>
    <w:next w:val="afb"/>
    <w:rsid w:val="001F1E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4"/>
    <w:next w:val="afb"/>
    <w:rsid w:val="00D067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8">
    <w:name w:val="Знак Знак Знак Знак Знак Знак Знак Знак Знак Знак Знак Знак58"/>
    <w:basedOn w:val="a2"/>
    <w:rsid w:val="009B06FB"/>
    <w:pPr>
      <w:tabs>
        <w:tab w:val="num" w:pos="360"/>
      </w:tabs>
      <w:spacing w:after="160" w:line="240" w:lineRule="exact"/>
    </w:pPr>
    <w:rPr>
      <w:rFonts w:ascii="Verdana" w:hAnsi="Verdana" w:cs="Verdana"/>
      <w:sz w:val="20"/>
      <w:szCs w:val="20"/>
      <w:lang w:val="en-US" w:eastAsia="en-US"/>
    </w:rPr>
  </w:style>
  <w:style w:type="numbering" w:customStyle="1" w:styleId="193">
    <w:name w:val="Нет списка19"/>
    <w:next w:val="a5"/>
    <w:uiPriority w:val="99"/>
    <w:semiHidden/>
    <w:unhideWhenUsed/>
    <w:rsid w:val="00F90E01"/>
  </w:style>
  <w:style w:type="table" w:customStyle="1" w:styleId="300">
    <w:name w:val="Сетка таблицы30"/>
    <w:basedOn w:val="a4"/>
    <w:next w:val="afb"/>
    <w:rsid w:val="00F90E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33">
    <w:name w:val="xl233"/>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C0504D"/>
    </w:rPr>
  </w:style>
  <w:style w:type="paragraph" w:customStyle="1" w:styleId="xl234">
    <w:name w:val="xl234"/>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5">
    <w:name w:val="xl235"/>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6">
    <w:name w:val="xl23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7">
    <w:name w:val="xl23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8">
    <w:name w:val="xl23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39">
    <w:name w:val="xl239"/>
    <w:basedOn w:val="a2"/>
    <w:rsid w:val="00D76668"/>
    <w:pPr>
      <w:pBdr>
        <w:top w:val="single" w:sz="4" w:space="0" w:color="C0C0C0"/>
      </w:pBdr>
      <w:shd w:val="thinReverseDiagStripe" w:color="C0C0C0" w:fill="auto"/>
      <w:spacing w:before="100" w:beforeAutospacing="1" w:after="100" w:afterAutospacing="1"/>
    </w:pPr>
    <w:rPr>
      <w:color w:val="C0504D"/>
    </w:rPr>
  </w:style>
  <w:style w:type="paragraph" w:customStyle="1" w:styleId="xl240">
    <w:name w:val="xl24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41">
    <w:name w:val="xl241"/>
    <w:basedOn w:val="a2"/>
    <w:rsid w:val="00D76668"/>
    <w:pPr>
      <w:pBdr>
        <w:bottom w:val="single" w:sz="4" w:space="0" w:color="C0C0C0"/>
      </w:pBdr>
      <w:shd w:val="thinReverseDiagStripe" w:color="C0C0C0" w:fill="auto"/>
      <w:spacing w:before="100" w:beforeAutospacing="1" w:after="100" w:afterAutospacing="1"/>
    </w:pPr>
    <w:rPr>
      <w:color w:val="C0504D"/>
    </w:rPr>
  </w:style>
  <w:style w:type="paragraph" w:customStyle="1" w:styleId="xl242">
    <w:name w:val="xl242"/>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color w:val="C0504D"/>
    </w:rPr>
  </w:style>
  <w:style w:type="paragraph" w:customStyle="1" w:styleId="xl243">
    <w:name w:val="xl243"/>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C0504D"/>
    </w:rPr>
  </w:style>
  <w:style w:type="paragraph" w:customStyle="1" w:styleId="xl244">
    <w:name w:val="xl24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5">
    <w:name w:val="xl245"/>
    <w:basedOn w:val="a2"/>
    <w:rsid w:val="00D76668"/>
    <w:pPr>
      <w:pBdr>
        <w:top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6">
    <w:name w:val="xl246"/>
    <w:basedOn w:val="a2"/>
    <w:rsid w:val="00D76668"/>
    <w:pPr>
      <w:pBdr>
        <w:bottom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7">
    <w:name w:val="xl247"/>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8">
    <w:name w:val="xl248"/>
    <w:basedOn w:val="a2"/>
    <w:rsid w:val="00D76668"/>
    <w:pPr>
      <w:spacing w:before="100" w:beforeAutospacing="1" w:after="100" w:afterAutospacing="1"/>
      <w:textAlignment w:val="center"/>
    </w:pPr>
    <w:rPr>
      <w:color w:val="C0504D"/>
    </w:rPr>
  </w:style>
  <w:style w:type="paragraph" w:customStyle="1" w:styleId="xl249">
    <w:name w:val="xl249"/>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0">
    <w:name w:val="xl25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1">
    <w:name w:val="xl251"/>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2">
    <w:name w:val="xl252"/>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3">
    <w:name w:val="xl253"/>
    <w:basedOn w:val="a2"/>
    <w:rsid w:val="00D76668"/>
    <w:pPr>
      <w:spacing w:before="100" w:beforeAutospacing="1" w:after="100" w:afterAutospacing="1"/>
      <w:jc w:val="center"/>
      <w:textAlignment w:val="center"/>
    </w:pPr>
    <w:rPr>
      <w:b/>
      <w:bCs/>
      <w:color w:val="C0504D"/>
    </w:rPr>
  </w:style>
  <w:style w:type="paragraph" w:customStyle="1" w:styleId="xl254">
    <w:name w:val="xl25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1F497D"/>
    </w:rPr>
  </w:style>
  <w:style w:type="paragraph" w:customStyle="1" w:styleId="xl255">
    <w:name w:val="xl255"/>
    <w:basedOn w:val="a2"/>
    <w:rsid w:val="00D76668"/>
    <w:pPr>
      <w:spacing w:before="100" w:beforeAutospacing="1" w:after="100" w:afterAutospacing="1"/>
      <w:textAlignment w:val="center"/>
    </w:pPr>
    <w:rPr>
      <w:color w:val="1F497D"/>
    </w:rPr>
  </w:style>
  <w:style w:type="paragraph" w:customStyle="1" w:styleId="xl256">
    <w:name w:val="xl256"/>
    <w:basedOn w:val="a2"/>
    <w:rsid w:val="00D76668"/>
    <w:pPr>
      <w:spacing w:before="100" w:beforeAutospacing="1" w:after="100" w:afterAutospacing="1"/>
      <w:textAlignment w:val="bottom"/>
    </w:pPr>
    <w:rPr>
      <w:color w:val="538DD5"/>
    </w:rPr>
  </w:style>
  <w:style w:type="paragraph" w:customStyle="1" w:styleId="xl257">
    <w:name w:val="xl257"/>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58">
    <w:name w:val="xl258"/>
    <w:basedOn w:val="a2"/>
    <w:rsid w:val="00D76668"/>
    <w:pPr>
      <w:pBdr>
        <w:top w:val="single" w:sz="4" w:space="0" w:color="C0C0C0"/>
        <w:bottom w:val="single" w:sz="4" w:space="0" w:color="C0C0C0"/>
      </w:pBdr>
      <w:spacing w:before="100" w:beforeAutospacing="1" w:after="100" w:afterAutospacing="1"/>
      <w:jc w:val="center"/>
      <w:textAlignment w:val="center"/>
    </w:pPr>
    <w:rPr>
      <w:color w:val="538DD5"/>
    </w:rPr>
  </w:style>
  <w:style w:type="paragraph" w:customStyle="1" w:styleId="xl259">
    <w:name w:val="xl259"/>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538DD5"/>
    </w:rPr>
  </w:style>
  <w:style w:type="paragraph" w:customStyle="1" w:styleId="xl260">
    <w:name w:val="xl26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1">
    <w:name w:val="xl261"/>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2">
    <w:name w:val="xl262"/>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3">
    <w:name w:val="xl263"/>
    <w:basedOn w:val="a2"/>
    <w:rsid w:val="00D76668"/>
    <w:pPr>
      <w:pBdr>
        <w:top w:val="single" w:sz="4" w:space="0" w:color="C0C0C0"/>
      </w:pBdr>
      <w:shd w:val="thinReverseDiagStripe" w:color="C0C0C0" w:fill="auto"/>
      <w:spacing w:before="100" w:beforeAutospacing="1" w:after="100" w:afterAutospacing="1"/>
    </w:pPr>
    <w:rPr>
      <w:color w:val="538DD5"/>
    </w:rPr>
  </w:style>
  <w:style w:type="paragraph" w:customStyle="1" w:styleId="xl264">
    <w:name w:val="xl26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5">
    <w:name w:val="xl265"/>
    <w:basedOn w:val="a2"/>
    <w:rsid w:val="00D76668"/>
    <w:pPr>
      <w:pBdr>
        <w:bottom w:val="single" w:sz="4" w:space="0" w:color="C0C0C0"/>
      </w:pBdr>
      <w:shd w:val="thinReverseDiagStripe" w:color="C0C0C0" w:fill="auto"/>
      <w:spacing w:before="100" w:beforeAutospacing="1" w:after="100" w:afterAutospacing="1"/>
    </w:pPr>
    <w:rPr>
      <w:color w:val="538DD5"/>
    </w:rPr>
  </w:style>
  <w:style w:type="paragraph" w:customStyle="1" w:styleId="xl266">
    <w:name w:val="xl26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7">
    <w:name w:val="xl26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538DD5"/>
    </w:rPr>
  </w:style>
  <w:style w:type="paragraph" w:customStyle="1" w:styleId="xl268">
    <w:name w:val="xl268"/>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538DD5"/>
    </w:rPr>
  </w:style>
  <w:style w:type="paragraph" w:customStyle="1" w:styleId="xl269">
    <w:name w:val="xl269"/>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0">
    <w:name w:val="xl27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1">
    <w:name w:val="xl271"/>
    <w:basedOn w:val="a2"/>
    <w:rsid w:val="00D76668"/>
    <w:pPr>
      <w:spacing w:before="100" w:beforeAutospacing="1" w:after="100" w:afterAutospacing="1"/>
      <w:textAlignment w:val="center"/>
    </w:pPr>
    <w:rPr>
      <w:color w:val="538DD5"/>
    </w:rPr>
  </w:style>
  <w:style w:type="paragraph" w:customStyle="1" w:styleId="xl272">
    <w:name w:val="xl272"/>
    <w:basedOn w:val="a2"/>
    <w:rsid w:val="00D76668"/>
    <w:pPr>
      <w:spacing w:before="100" w:beforeAutospacing="1" w:after="100" w:afterAutospacing="1"/>
      <w:textAlignment w:val="center"/>
    </w:pPr>
    <w:rPr>
      <w:color w:val="538DD5"/>
    </w:rPr>
  </w:style>
  <w:style w:type="paragraph" w:customStyle="1" w:styleId="xl273">
    <w:name w:val="xl27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74">
    <w:name w:val="xl27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FF0000"/>
    </w:rPr>
  </w:style>
  <w:style w:type="paragraph" w:customStyle="1" w:styleId="xl275">
    <w:name w:val="xl275"/>
    <w:basedOn w:val="a2"/>
    <w:rsid w:val="00D76668"/>
    <w:pPr>
      <w:spacing w:before="100" w:beforeAutospacing="1" w:after="100" w:afterAutospacing="1"/>
      <w:textAlignment w:val="center"/>
    </w:pPr>
    <w:rPr>
      <w:color w:val="FFFFFF"/>
    </w:rPr>
  </w:style>
  <w:style w:type="paragraph" w:customStyle="1" w:styleId="xl276">
    <w:name w:val="xl276"/>
    <w:basedOn w:val="a2"/>
    <w:rsid w:val="00D76668"/>
    <w:pPr>
      <w:spacing w:before="100" w:beforeAutospacing="1" w:after="100" w:afterAutospacing="1"/>
      <w:textAlignment w:val="center"/>
    </w:pPr>
    <w:rPr>
      <w:color w:val="FFFFFF"/>
    </w:rPr>
  </w:style>
  <w:style w:type="paragraph" w:customStyle="1" w:styleId="xl277">
    <w:name w:val="xl277"/>
    <w:basedOn w:val="a2"/>
    <w:rsid w:val="00D76668"/>
    <w:pPr>
      <w:spacing w:before="100" w:beforeAutospacing="1" w:after="100" w:afterAutospacing="1"/>
      <w:textAlignment w:val="center"/>
    </w:pPr>
    <w:rPr>
      <w:color w:val="FFFFFF"/>
    </w:rPr>
  </w:style>
  <w:style w:type="paragraph" w:customStyle="1" w:styleId="xl278">
    <w:name w:val="xl27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FFFFFF"/>
    </w:rPr>
  </w:style>
  <w:style w:type="paragraph" w:customStyle="1" w:styleId="xl279">
    <w:name w:val="xl279"/>
    <w:basedOn w:val="a2"/>
    <w:rsid w:val="00D76668"/>
    <w:pPr>
      <w:spacing w:before="100" w:beforeAutospacing="1" w:after="100" w:afterAutospacing="1"/>
      <w:textAlignment w:val="bottom"/>
    </w:pPr>
    <w:rPr>
      <w:color w:val="FFFFFF"/>
    </w:rPr>
  </w:style>
  <w:style w:type="paragraph" w:customStyle="1" w:styleId="xl280">
    <w:name w:val="xl28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1">
    <w:name w:val="xl28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2">
    <w:name w:val="xl28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FF0000"/>
    </w:rPr>
  </w:style>
  <w:style w:type="paragraph" w:customStyle="1" w:styleId="xl283">
    <w:name w:val="xl28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4">
    <w:name w:val="xl284"/>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5">
    <w:name w:val="xl28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6">
    <w:name w:val="xl286"/>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7">
    <w:name w:val="xl287"/>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8">
    <w:name w:val="xl288"/>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9">
    <w:name w:val="xl289"/>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90">
    <w:name w:val="xl29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1">
    <w:name w:val="xl29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2">
    <w:name w:val="xl29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93">
    <w:name w:val="xl293"/>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4">
    <w:name w:val="xl294"/>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5">
    <w:name w:val="xl295"/>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6">
    <w:name w:val="xl296"/>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7">
    <w:name w:val="xl297"/>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8">
    <w:name w:val="xl298"/>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9">
    <w:name w:val="xl299"/>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0">
    <w:name w:val="xl300"/>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1">
    <w:name w:val="xl301"/>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2">
    <w:name w:val="xl302"/>
    <w:basedOn w:val="a2"/>
    <w:rsid w:val="00D76668"/>
    <w:pPr>
      <w:pBdr>
        <w:top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3">
    <w:name w:val="xl303"/>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4">
    <w:name w:val="xl304"/>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5">
    <w:name w:val="xl305"/>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6">
    <w:name w:val="xl306"/>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07">
    <w:name w:val="xl307"/>
    <w:basedOn w:val="a2"/>
    <w:rsid w:val="00D76668"/>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308">
    <w:name w:val="xl308"/>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09">
    <w:name w:val="xl309"/>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0">
    <w:name w:val="xl31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1">
    <w:name w:val="xl31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2">
    <w:name w:val="xl31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3">
    <w:name w:val="xl313"/>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4">
    <w:name w:val="xl314"/>
    <w:basedOn w:val="a2"/>
    <w:rsid w:val="00D76668"/>
    <w:pPr>
      <w:pBdr>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5">
    <w:name w:val="xl31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6">
    <w:name w:val="xl316"/>
    <w:basedOn w:val="a2"/>
    <w:rsid w:val="00D76668"/>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317">
    <w:name w:val="xl317"/>
    <w:basedOn w:val="a2"/>
    <w:rsid w:val="00D76668"/>
    <w:pPr>
      <w:pBdr>
        <w:right w:val="single" w:sz="4" w:space="0" w:color="C0C0C0"/>
      </w:pBdr>
      <w:spacing w:before="100" w:beforeAutospacing="1" w:after="100" w:afterAutospacing="1"/>
      <w:jc w:val="center"/>
      <w:textAlignment w:val="center"/>
    </w:pPr>
  </w:style>
  <w:style w:type="paragraph" w:customStyle="1" w:styleId="xl318">
    <w:name w:val="xl318"/>
    <w:basedOn w:val="a2"/>
    <w:rsid w:val="00D7666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19">
    <w:name w:val="xl319"/>
    <w:basedOn w:val="a2"/>
    <w:rsid w:val="00D7666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0">
    <w:name w:val="xl32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21">
    <w:name w:val="xl321"/>
    <w:basedOn w:val="a2"/>
    <w:rsid w:val="00D7666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2">
    <w:name w:val="xl322"/>
    <w:basedOn w:val="a2"/>
    <w:rsid w:val="00D7666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numbering" w:customStyle="1" w:styleId="202">
    <w:name w:val="Нет списка20"/>
    <w:next w:val="a5"/>
    <w:semiHidden/>
    <w:rsid w:val="001F0659"/>
  </w:style>
  <w:style w:type="paragraph" w:customStyle="1" w:styleId="188">
    <w:name w:val="Знак Знак Знак18"/>
    <w:basedOn w:val="a2"/>
    <w:rsid w:val="001F0659"/>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4"/>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4"/>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4"/>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4"/>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4">
    <w:name w:val="Абзац списка5"/>
    <w:basedOn w:val="a2"/>
    <w:rsid w:val="001F0659"/>
    <w:pPr>
      <w:suppressAutoHyphens/>
      <w:spacing w:after="200" w:line="276" w:lineRule="auto"/>
      <w:ind w:left="720"/>
      <w:contextualSpacing/>
    </w:pPr>
    <w:rPr>
      <w:rFonts w:ascii="Calibri" w:hAnsi="Calibri"/>
      <w:sz w:val="22"/>
      <w:szCs w:val="22"/>
      <w:lang w:eastAsia="zh-CN"/>
    </w:rPr>
  </w:style>
  <w:style w:type="table" w:customStyle="1" w:styleId="611">
    <w:name w:val="Сетка таблицы61"/>
    <w:basedOn w:val="a4"/>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4"/>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4"/>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4"/>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4"/>
    <w:next w:val="afb"/>
    <w:rsid w:val="00F27C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renderblock">
    <w:name w:val="article-render__block"/>
    <w:basedOn w:val="a2"/>
    <w:rsid w:val="005A100C"/>
    <w:pPr>
      <w:spacing w:before="100" w:beforeAutospacing="1" w:after="100" w:afterAutospacing="1"/>
    </w:pPr>
  </w:style>
  <w:style w:type="paragraph" w:customStyle="1" w:styleId="xl323">
    <w:name w:val="xl323"/>
    <w:basedOn w:val="a2"/>
    <w:rsid w:val="00FB124C"/>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4">
    <w:name w:val="xl324"/>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5">
    <w:name w:val="xl325"/>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6">
    <w:name w:val="xl326"/>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27">
    <w:name w:val="xl327"/>
    <w:basedOn w:val="a2"/>
    <w:rsid w:val="00FB124C"/>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8">
    <w:name w:val="xl328"/>
    <w:basedOn w:val="a2"/>
    <w:rsid w:val="00FB124C"/>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9">
    <w:name w:val="xl329"/>
    <w:basedOn w:val="a2"/>
    <w:rsid w:val="00FB124C"/>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30">
    <w:name w:val="xl330"/>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1">
    <w:name w:val="xl331"/>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2">
    <w:name w:val="xl332"/>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3">
    <w:name w:val="xl333"/>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4">
    <w:name w:val="xl334"/>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5">
    <w:name w:val="xl335"/>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6">
    <w:name w:val="xl336"/>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37">
    <w:name w:val="xl337"/>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57">
    <w:name w:val="Знак Знак Знак Знак Знак Знак Знак Знак Знак Знак Знак Знак57"/>
    <w:basedOn w:val="a2"/>
    <w:rsid w:val="00B30FF0"/>
    <w:pPr>
      <w:tabs>
        <w:tab w:val="num" w:pos="360"/>
      </w:tabs>
      <w:spacing w:after="160" w:line="240" w:lineRule="exact"/>
    </w:pPr>
    <w:rPr>
      <w:rFonts w:ascii="Verdana" w:hAnsi="Verdana" w:cs="Verdana"/>
      <w:sz w:val="20"/>
      <w:szCs w:val="20"/>
      <w:lang w:val="en-US" w:eastAsia="en-US"/>
    </w:rPr>
  </w:style>
  <w:style w:type="numbering" w:customStyle="1" w:styleId="261">
    <w:name w:val="Нет списка26"/>
    <w:next w:val="a5"/>
    <w:uiPriority w:val="99"/>
    <w:semiHidden/>
    <w:unhideWhenUsed/>
    <w:rsid w:val="000C5C74"/>
  </w:style>
  <w:style w:type="table" w:customStyle="1" w:styleId="360">
    <w:name w:val="Сетка таблицы36"/>
    <w:basedOn w:val="a4"/>
    <w:next w:val="afb"/>
    <w:uiPriority w:val="39"/>
    <w:rsid w:val="000C5C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5"/>
    <w:uiPriority w:val="99"/>
    <w:semiHidden/>
    <w:rsid w:val="00CD6538"/>
  </w:style>
  <w:style w:type="paragraph" w:customStyle="1" w:styleId="174">
    <w:name w:val="Знак Знак Знак17"/>
    <w:basedOn w:val="a2"/>
    <w:rsid w:val="00CD6538"/>
    <w:pPr>
      <w:tabs>
        <w:tab w:val="num" w:pos="360"/>
      </w:tabs>
      <w:spacing w:after="160" w:line="240" w:lineRule="exact"/>
      <w:jc w:val="both"/>
    </w:pPr>
    <w:rPr>
      <w:rFonts w:ascii="Verdana" w:hAnsi="Verdana" w:cs="Verdana"/>
      <w:sz w:val="20"/>
      <w:szCs w:val="20"/>
      <w:lang w:val="en-US" w:eastAsia="en-US"/>
    </w:rPr>
  </w:style>
  <w:style w:type="table" w:customStyle="1" w:styleId="370">
    <w:name w:val="Сетка таблицы37"/>
    <w:basedOn w:val="a4"/>
    <w:next w:val="afb"/>
    <w:rsid w:val="00CD65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5"/>
    <w:uiPriority w:val="99"/>
    <w:semiHidden/>
    <w:unhideWhenUsed/>
    <w:rsid w:val="00CD6538"/>
  </w:style>
  <w:style w:type="paragraph" w:customStyle="1" w:styleId="1f6">
    <w:name w:val="Знак Знак Знак Знак Знак Знак1"/>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75">
    <w:name w:val="Знак Знак Знак Знак17"/>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9"/>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76">
    <w:name w:val="Знак Знак Знак Знак Знак Знак Знак Знак7"/>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76">
    <w:name w:val="Знак Знак Знак Знак1 Знак Знак Знак Знак7"/>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77">
    <w:name w:val="Знак Знак Знак Знак Знак Знак Знак Знак Знак Знак7"/>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160">
    <w:name w:val="Знак Знак1 Знак Знак16"/>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78">
    <w:name w:val="Знак Знак Знак Знак Знак Знак Знак Знак Знак Знак Знак Знак Знак Знак7"/>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62">
    <w:name w:val="Знак Знак Знак Знак1 Знак Знак Знак Знак Знак Знак Знак Знак Знак Знак Знак Знак Знак Знак Знак Знак Знак Знак Знак Знак Знак Знак Знак Знак6"/>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7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7"/>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63">
    <w:name w:val="Знак Знак1 Знак Знак Знак Знак Знак Знак Знак Знак Знак Знак Знак Знак Знак Знак Знак Знак6"/>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7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7"/>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79">
    <w:name w:val="Знак Знак Знак Знак Знак Знак Знак Знак Знак Знак Знак Знак Знак Знак Знак Знак7"/>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371">
    <w:name w:val="Знак Знак37"/>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7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7"/>
    <w:basedOn w:val="a2"/>
    <w:rsid w:val="00CD6538"/>
    <w:pPr>
      <w:tabs>
        <w:tab w:val="num" w:pos="360"/>
      </w:tabs>
      <w:spacing w:after="160" w:line="240" w:lineRule="exact"/>
    </w:pPr>
    <w:rPr>
      <w:rFonts w:ascii="Verdana" w:hAnsi="Verdana" w:cs="Verdana"/>
      <w:sz w:val="20"/>
      <w:szCs w:val="20"/>
      <w:lang w:val="en-US" w:eastAsia="en-US"/>
    </w:rPr>
  </w:style>
  <w:style w:type="character" w:styleId="afff6">
    <w:name w:val="Placeholder Text"/>
    <w:uiPriority w:val="99"/>
    <w:semiHidden/>
    <w:rsid w:val="00CD6538"/>
    <w:rPr>
      <w:color w:val="808080"/>
    </w:rPr>
  </w:style>
  <w:style w:type="paragraph" w:customStyle="1" w:styleId="56">
    <w:name w:val="Знак Знак Знак Знак Знак Знак Знак Знак Знак Знак Знак Знак56"/>
    <w:basedOn w:val="a2"/>
    <w:rsid w:val="00546C9B"/>
    <w:pPr>
      <w:tabs>
        <w:tab w:val="num" w:pos="360"/>
      </w:tabs>
      <w:spacing w:after="160" w:line="240" w:lineRule="exact"/>
    </w:pPr>
    <w:rPr>
      <w:rFonts w:ascii="Verdana" w:hAnsi="Verdana" w:cs="Verdana"/>
      <w:sz w:val="20"/>
      <w:szCs w:val="20"/>
      <w:lang w:val="en-US" w:eastAsia="en-US"/>
    </w:rPr>
  </w:style>
  <w:style w:type="paragraph" w:customStyle="1" w:styleId="55">
    <w:name w:val="Знак Знак Знак Знак Знак Знак Знак Знак Знак Знак Знак Знак55"/>
    <w:basedOn w:val="a2"/>
    <w:rsid w:val="00E86C95"/>
    <w:pPr>
      <w:tabs>
        <w:tab w:val="num" w:pos="360"/>
      </w:tabs>
      <w:spacing w:after="160" w:line="240" w:lineRule="exact"/>
    </w:pPr>
    <w:rPr>
      <w:rFonts w:ascii="Verdana" w:hAnsi="Verdana" w:cs="Verdana"/>
      <w:sz w:val="20"/>
      <w:szCs w:val="20"/>
      <w:lang w:val="en-US" w:eastAsia="en-US"/>
    </w:rPr>
  </w:style>
  <w:style w:type="paragraph" w:customStyle="1" w:styleId="540">
    <w:name w:val="Знак Знак Знак Знак Знак Знак Знак Знак Знак Знак Знак Знак54"/>
    <w:basedOn w:val="a2"/>
    <w:rsid w:val="005E6C4C"/>
    <w:pPr>
      <w:tabs>
        <w:tab w:val="num" w:pos="360"/>
      </w:tabs>
      <w:spacing w:after="160" w:line="240" w:lineRule="exact"/>
    </w:pPr>
    <w:rPr>
      <w:rFonts w:ascii="Verdana" w:hAnsi="Verdana" w:cs="Verdana"/>
      <w:sz w:val="20"/>
      <w:szCs w:val="20"/>
      <w:lang w:val="en-US" w:eastAsia="en-US"/>
    </w:rPr>
  </w:style>
  <w:style w:type="paragraph" w:customStyle="1" w:styleId="530">
    <w:name w:val="Знак Знак Знак Знак Знак Знак Знак Знак Знак Знак Знак Знак53"/>
    <w:basedOn w:val="a2"/>
    <w:rsid w:val="00990CF1"/>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5"/>
    <w:uiPriority w:val="99"/>
    <w:semiHidden/>
    <w:rsid w:val="00990CF1"/>
  </w:style>
  <w:style w:type="paragraph" w:customStyle="1" w:styleId="6a">
    <w:name w:val="Абзац списка6"/>
    <w:basedOn w:val="a2"/>
    <w:autoRedefine/>
    <w:rsid w:val="00990CF1"/>
    <w:pPr>
      <w:jc w:val="center"/>
    </w:pPr>
    <w:rPr>
      <w:snapToGrid w:val="0"/>
      <w:sz w:val="28"/>
      <w:szCs w:val="28"/>
    </w:rPr>
  </w:style>
  <w:style w:type="paragraph" w:customStyle="1" w:styleId="164">
    <w:name w:val="Знак Знак Знак16"/>
    <w:basedOn w:val="a2"/>
    <w:rsid w:val="00990CF1"/>
    <w:pPr>
      <w:tabs>
        <w:tab w:val="num" w:pos="360"/>
      </w:tabs>
      <w:spacing w:after="160" w:line="240" w:lineRule="exact"/>
    </w:pPr>
    <w:rPr>
      <w:rFonts w:ascii="Verdana" w:hAnsi="Verdana" w:cs="Verdana"/>
      <w:sz w:val="20"/>
      <w:szCs w:val="20"/>
      <w:lang w:val="en-US" w:eastAsia="en-US"/>
    </w:rPr>
  </w:style>
  <w:style w:type="table" w:customStyle="1" w:styleId="381">
    <w:name w:val="Сетка таблицы38"/>
    <w:basedOn w:val="a4"/>
    <w:next w:val="afb"/>
    <w:uiPriority w:val="39"/>
    <w:rsid w:val="00990C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a">
    <w:name w:val="Знак17"/>
    <w:basedOn w:val="a2"/>
    <w:rsid w:val="00990CF1"/>
    <w:pPr>
      <w:spacing w:after="160" w:line="240" w:lineRule="exact"/>
    </w:pPr>
    <w:rPr>
      <w:rFonts w:ascii="Verdana" w:hAnsi="Verdana" w:cs="Verdana"/>
      <w:sz w:val="20"/>
      <w:szCs w:val="20"/>
      <w:lang w:val="en-US" w:eastAsia="en-US"/>
    </w:rPr>
  </w:style>
  <w:style w:type="numbering" w:customStyle="1" w:styleId="1140">
    <w:name w:val="Нет списка114"/>
    <w:next w:val="a5"/>
    <w:uiPriority w:val="99"/>
    <w:semiHidden/>
    <w:unhideWhenUsed/>
    <w:rsid w:val="00990CF1"/>
  </w:style>
  <w:style w:type="table" w:customStyle="1" w:styleId="1141">
    <w:name w:val="Сетка таблицы114"/>
    <w:basedOn w:val="a4"/>
    <w:next w:val="afb"/>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5"/>
    <w:uiPriority w:val="99"/>
    <w:semiHidden/>
    <w:unhideWhenUsed/>
    <w:rsid w:val="00990CF1"/>
  </w:style>
  <w:style w:type="table" w:customStyle="1" w:styleId="2110">
    <w:name w:val="Сетка таблицы211"/>
    <w:basedOn w:val="a4"/>
    <w:next w:val="afb"/>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rsid w:val="0001528A"/>
  </w:style>
  <w:style w:type="paragraph" w:customStyle="1" w:styleId="7a">
    <w:name w:val="Абзац списка7"/>
    <w:basedOn w:val="a2"/>
    <w:autoRedefine/>
    <w:rsid w:val="0001528A"/>
    <w:pPr>
      <w:jc w:val="center"/>
    </w:pPr>
    <w:rPr>
      <w:snapToGrid w:val="0"/>
      <w:sz w:val="28"/>
      <w:szCs w:val="28"/>
    </w:rPr>
  </w:style>
  <w:style w:type="paragraph" w:customStyle="1" w:styleId="152">
    <w:name w:val="Знак Знак Знак15"/>
    <w:basedOn w:val="a2"/>
    <w:rsid w:val="0001528A"/>
    <w:pPr>
      <w:tabs>
        <w:tab w:val="num" w:pos="360"/>
      </w:tabs>
      <w:spacing w:after="160" w:line="240" w:lineRule="exact"/>
    </w:pPr>
    <w:rPr>
      <w:rFonts w:ascii="Verdana" w:hAnsi="Verdana" w:cs="Verdana"/>
      <w:sz w:val="20"/>
      <w:szCs w:val="20"/>
      <w:lang w:val="en-US" w:eastAsia="en-US"/>
    </w:rPr>
  </w:style>
  <w:style w:type="table" w:customStyle="1" w:styleId="390">
    <w:name w:val="Сетка таблицы39"/>
    <w:basedOn w:val="a4"/>
    <w:next w:val="afb"/>
    <w:uiPriority w:val="39"/>
    <w:rsid w:val="000152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5">
    <w:name w:val="Знак16"/>
    <w:basedOn w:val="a2"/>
    <w:rsid w:val="0001528A"/>
    <w:pPr>
      <w:spacing w:after="160" w:line="240" w:lineRule="exact"/>
    </w:pPr>
    <w:rPr>
      <w:rFonts w:ascii="Verdana" w:hAnsi="Verdana" w:cs="Verdana"/>
      <w:sz w:val="20"/>
      <w:szCs w:val="20"/>
      <w:lang w:val="en-US" w:eastAsia="en-US"/>
    </w:rPr>
  </w:style>
  <w:style w:type="numbering" w:customStyle="1" w:styleId="1150">
    <w:name w:val="Нет списка115"/>
    <w:next w:val="a5"/>
    <w:uiPriority w:val="99"/>
    <w:semiHidden/>
    <w:unhideWhenUsed/>
    <w:rsid w:val="0001528A"/>
  </w:style>
  <w:style w:type="table" w:customStyle="1" w:styleId="1151">
    <w:name w:val="Сетка таблицы115"/>
    <w:basedOn w:val="a4"/>
    <w:next w:val="afb"/>
    <w:uiPriority w:val="39"/>
    <w:rsid w:val="0001528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5"/>
    <w:uiPriority w:val="99"/>
    <w:semiHidden/>
    <w:unhideWhenUsed/>
    <w:rsid w:val="0001528A"/>
  </w:style>
  <w:style w:type="paragraph" w:customStyle="1" w:styleId="520">
    <w:name w:val="Знак Знак Знак Знак Знак Знак Знак Знак Знак Знак Знак Знак52"/>
    <w:basedOn w:val="a2"/>
    <w:rsid w:val="0047171B"/>
    <w:pPr>
      <w:tabs>
        <w:tab w:val="num" w:pos="360"/>
      </w:tabs>
      <w:spacing w:after="160" w:line="240" w:lineRule="exact"/>
    </w:pPr>
    <w:rPr>
      <w:rFonts w:ascii="Verdana" w:hAnsi="Verdana" w:cs="Verdana"/>
      <w:sz w:val="20"/>
      <w:szCs w:val="20"/>
      <w:lang w:val="en-US" w:eastAsia="en-US"/>
    </w:rPr>
  </w:style>
  <w:style w:type="numbering" w:customStyle="1" w:styleId="311">
    <w:name w:val="Нет списка31"/>
    <w:next w:val="a5"/>
    <w:uiPriority w:val="99"/>
    <w:semiHidden/>
    <w:rsid w:val="00DE18ED"/>
  </w:style>
  <w:style w:type="paragraph" w:customStyle="1" w:styleId="88">
    <w:name w:val="Абзац списка8"/>
    <w:basedOn w:val="a2"/>
    <w:autoRedefine/>
    <w:rsid w:val="00DE18ED"/>
    <w:pPr>
      <w:jc w:val="center"/>
    </w:pPr>
    <w:rPr>
      <w:snapToGrid w:val="0"/>
      <w:sz w:val="28"/>
      <w:szCs w:val="28"/>
    </w:rPr>
  </w:style>
  <w:style w:type="paragraph" w:customStyle="1" w:styleId="142">
    <w:name w:val="Знак Знак Знак14"/>
    <w:basedOn w:val="a2"/>
    <w:rsid w:val="00DE18ED"/>
    <w:pPr>
      <w:tabs>
        <w:tab w:val="num" w:pos="360"/>
      </w:tabs>
      <w:spacing w:after="160" w:line="240" w:lineRule="exact"/>
    </w:pPr>
    <w:rPr>
      <w:rFonts w:ascii="Verdana" w:hAnsi="Verdana" w:cs="Verdana"/>
      <w:sz w:val="20"/>
      <w:szCs w:val="20"/>
      <w:lang w:val="en-US" w:eastAsia="en-US"/>
    </w:rPr>
  </w:style>
  <w:style w:type="table" w:customStyle="1" w:styleId="400">
    <w:name w:val="Сетка таблицы40"/>
    <w:basedOn w:val="a4"/>
    <w:next w:val="afb"/>
    <w:uiPriority w:val="39"/>
    <w:rsid w:val="00DE18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15"/>
    <w:basedOn w:val="a2"/>
    <w:rsid w:val="00DE18ED"/>
    <w:pPr>
      <w:spacing w:after="160" w:line="240" w:lineRule="exact"/>
    </w:pPr>
    <w:rPr>
      <w:rFonts w:ascii="Verdana" w:hAnsi="Verdana" w:cs="Verdana"/>
      <w:sz w:val="20"/>
      <w:szCs w:val="20"/>
      <w:lang w:val="en-US" w:eastAsia="en-US"/>
    </w:rPr>
  </w:style>
  <w:style w:type="numbering" w:customStyle="1" w:styleId="1161">
    <w:name w:val="Нет списка116"/>
    <w:next w:val="a5"/>
    <w:uiPriority w:val="99"/>
    <w:semiHidden/>
    <w:unhideWhenUsed/>
    <w:rsid w:val="00DE18ED"/>
  </w:style>
  <w:style w:type="table" w:customStyle="1" w:styleId="1162">
    <w:name w:val="Сетка таблицы116"/>
    <w:basedOn w:val="a4"/>
    <w:next w:val="afb"/>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5"/>
    <w:uiPriority w:val="99"/>
    <w:semiHidden/>
    <w:unhideWhenUsed/>
    <w:rsid w:val="00DE18ED"/>
  </w:style>
  <w:style w:type="table" w:customStyle="1" w:styleId="2120">
    <w:name w:val="Сетка таблицы212"/>
    <w:basedOn w:val="a4"/>
    <w:next w:val="afb"/>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5"/>
    <w:uiPriority w:val="99"/>
    <w:semiHidden/>
    <w:rsid w:val="00C05900"/>
  </w:style>
  <w:style w:type="table" w:customStyle="1" w:styleId="420">
    <w:name w:val="Сетка таблицы42"/>
    <w:basedOn w:val="a4"/>
    <w:next w:val="afb"/>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4"/>
    <w:next w:val="afb"/>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4"/>
    <w:next w:val="afb"/>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4"/>
    <w:next w:val="afb"/>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4"/>
    <w:next w:val="afb"/>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4"/>
    <w:next w:val="afb"/>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7">
    <w:name w:val="Подпись к таблице"/>
    <w:rsid w:val="00C05900"/>
    <w:rPr>
      <w:sz w:val="22"/>
      <w:szCs w:val="22"/>
      <w:lang w:bidi="ar-SA"/>
    </w:rPr>
  </w:style>
  <w:style w:type="paragraph" w:customStyle="1" w:styleId="formattext">
    <w:name w:val="formattext"/>
    <w:basedOn w:val="a2"/>
    <w:rsid w:val="00C05900"/>
    <w:pPr>
      <w:spacing w:before="100" w:beforeAutospacing="1" w:after="100" w:afterAutospacing="1"/>
    </w:pPr>
  </w:style>
  <w:style w:type="table" w:customStyle="1" w:styleId="440">
    <w:name w:val="Сетка таблицы44"/>
    <w:basedOn w:val="a4"/>
    <w:next w:val="afb"/>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4"/>
    <w:next w:val="afb"/>
    <w:uiPriority w:val="59"/>
    <w:rsid w:val="005B186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Сетка таблицы45"/>
    <w:basedOn w:val="a4"/>
    <w:next w:val="afb"/>
    <w:rsid w:val="005B18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1">
    <w:name w:val="Знак Знак Знак Знак Знак Знак Знак Знак Знак Знак Знак Знак51"/>
    <w:basedOn w:val="a2"/>
    <w:rsid w:val="00C33852"/>
    <w:pPr>
      <w:tabs>
        <w:tab w:val="num" w:pos="360"/>
      </w:tabs>
      <w:spacing w:after="160" w:line="240" w:lineRule="exact"/>
    </w:pPr>
    <w:rPr>
      <w:rFonts w:ascii="Verdana" w:hAnsi="Verdana" w:cs="Verdana"/>
      <w:sz w:val="20"/>
      <w:szCs w:val="20"/>
      <w:lang w:val="en-US" w:eastAsia="en-US"/>
    </w:rPr>
  </w:style>
  <w:style w:type="paragraph" w:customStyle="1" w:styleId="500">
    <w:name w:val="Знак Знак Знак Знак Знак Знак Знак Знак Знак Знак Знак Знак50"/>
    <w:basedOn w:val="a2"/>
    <w:rsid w:val="000D539C"/>
    <w:pPr>
      <w:tabs>
        <w:tab w:val="num" w:pos="360"/>
      </w:tabs>
      <w:spacing w:after="160" w:line="240" w:lineRule="exact"/>
    </w:pPr>
    <w:rPr>
      <w:rFonts w:ascii="Verdana" w:hAnsi="Verdana" w:cs="Verdana"/>
      <w:sz w:val="20"/>
      <w:szCs w:val="20"/>
      <w:lang w:val="en-US" w:eastAsia="en-US"/>
    </w:rPr>
  </w:style>
  <w:style w:type="numbering" w:customStyle="1" w:styleId="331">
    <w:name w:val="Нет списка33"/>
    <w:next w:val="a5"/>
    <w:uiPriority w:val="99"/>
    <w:semiHidden/>
    <w:rsid w:val="003B4F91"/>
  </w:style>
  <w:style w:type="table" w:customStyle="1" w:styleId="46">
    <w:name w:val="Сетка таблицы46"/>
    <w:basedOn w:val="a4"/>
    <w:next w:val="afb"/>
    <w:rsid w:val="003B4F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9">
    <w:name w:val="Знак Знак Знак Знак Знак Знак Знак Знак Знак Знак Знак Знак49"/>
    <w:basedOn w:val="a2"/>
    <w:rsid w:val="00E41D30"/>
    <w:pPr>
      <w:tabs>
        <w:tab w:val="num" w:pos="360"/>
      </w:tabs>
      <w:spacing w:after="160" w:line="240" w:lineRule="exact"/>
    </w:pPr>
    <w:rPr>
      <w:rFonts w:ascii="Verdana" w:hAnsi="Verdana" w:cs="Verdana"/>
      <w:sz w:val="20"/>
      <w:szCs w:val="20"/>
      <w:lang w:val="en-US" w:eastAsia="en-US"/>
    </w:rPr>
  </w:style>
  <w:style w:type="numbering" w:customStyle="1" w:styleId="341">
    <w:name w:val="Нет списка34"/>
    <w:next w:val="a5"/>
    <w:semiHidden/>
    <w:rsid w:val="00E41D30"/>
  </w:style>
  <w:style w:type="paragraph" w:customStyle="1" w:styleId="133">
    <w:name w:val="Знак Знак Знак13"/>
    <w:basedOn w:val="a2"/>
    <w:rsid w:val="00E41D30"/>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E41D30"/>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E41D30"/>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E41D30"/>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1f7">
    <w:name w:val="Основной текст1"/>
    <w:basedOn w:val="a2"/>
    <w:rsid w:val="00E41D30"/>
    <w:pPr>
      <w:widowControl w:val="0"/>
      <w:shd w:val="clear" w:color="auto" w:fill="FFFFFF"/>
      <w:spacing w:line="205" w:lineRule="exact"/>
      <w:jc w:val="right"/>
    </w:pPr>
    <w:rPr>
      <w:b/>
      <w:bCs/>
      <w:sz w:val="15"/>
      <w:szCs w:val="15"/>
    </w:rPr>
  </w:style>
  <w:style w:type="table" w:customStyle="1" w:styleId="47">
    <w:name w:val="Сетка таблицы47"/>
    <w:basedOn w:val="a4"/>
    <w:next w:val="afb"/>
    <w:rsid w:val="00E41D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3">
    <w:name w:val="Знак Знак Знак12"/>
    <w:basedOn w:val="a2"/>
    <w:rsid w:val="006963C3"/>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 Знак Знак Знак Знак48"/>
    <w:basedOn w:val="a2"/>
    <w:rsid w:val="00A3652E"/>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2"/>
    <w:rsid w:val="001D1A59"/>
    <w:pPr>
      <w:tabs>
        <w:tab w:val="num" w:pos="360"/>
      </w:tabs>
      <w:spacing w:after="160" w:line="240" w:lineRule="exact"/>
    </w:pPr>
    <w:rPr>
      <w:rFonts w:ascii="Verdana" w:hAnsi="Verdana" w:cs="Verdana"/>
      <w:sz w:val="20"/>
      <w:szCs w:val="20"/>
      <w:lang w:val="en-US" w:eastAsia="en-US"/>
    </w:rPr>
  </w:style>
  <w:style w:type="paragraph" w:customStyle="1" w:styleId="1c">
    <w:name w:val="Название1"/>
    <w:basedOn w:val="a2"/>
    <w:link w:val="aff3"/>
    <w:qFormat/>
    <w:rsid w:val="0042748C"/>
    <w:pPr>
      <w:jc w:val="center"/>
    </w:pPr>
    <w:rPr>
      <w:rFonts w:asciiTheme="minorHAnsi" w:eastAsiaTheme="minorHAnsi" w:hAnsiTheme="minorHAnsi" w:cstheme="minorBidi"/>
      <w:b/>
      <w:szCs w:val="22"/>
      <w:lang w:eastAsia="en-US"/>
    </w:rPr>
  </w:style>
  <w:style w:type="paragraph" w:customStyle="1" w:styleId="1f8">
    <w:name w:val="Знак Знак1 Знак Знак"/>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119">
    <w:name w:val="Знак Знак Знак11"/>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xl338">
    <w:name w:val="xl338"/>
    <w:basedOn w:val="a2"/>
    <w:rsid w:val="0042748C"/>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2748C"/>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2748C"/>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2748C"/>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2748C"/>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2748C"/>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2748C"/>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2748C"/>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8">
    <w:name w:val="Intense Emphasis"/>
    <w:uiPriority w:val="21"/>
    <w:qFormat/>
    <w:rsid w:val="0042748C"/>
    <w:rPr>
      <w:i/>
      <w:iCs/>
      <w:color w:val="5B9BD5"/>
    </w:rPr>
  </w:style>
  <w:style w:type="paragraph" w:customStyle="1" w:styleId="xl468">
    <w:name w:val="xl4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2748C"/>
    <w:pPr>
      <w:spacing w:before="100" w:beforeAutospacing="1" w:after="100" w:afterAutospacing="1"/>
    </w:pPr>
  </w:style>
  <w:style w:type="paragraph" w:customStyle="1" w:styleId="xl471">
    <w:name w:val="xl4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2748C"/>
    <w:pPr>
      <w:spacing w:before="100" w:beforeAutospacing="1" w:after="100" w:afterAutospacing="1"/>
    </w:pPr>
    <w:rPr>
      <w:b/>
      <w:bCs/>
    </w:rPr>
  </w:style>
  <w:style w:type="paragraph" w:customStyle="1" w:styleId="xl476">
    <w:name w:val="xl476"/>
    <w:basedOn w:val="a2"/>
    <w:rsid w:val="0042748C"/>
    <w:pPr>
      <w:shd w:val="clear" w:color="000000" w:fill="A0A7EE"/>
      <w:spacing w:before="100" w:beforeAutospacing="1" w:after="100" w:afterAutospacing="1"/>
    </w:pPr>
  </w:style>
  <w:style w:type="paragraph" w:customStyle="1" w:styleId="xl477">
    <w:name w:val="xl47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2748C"/>
    <w:pPr>
      <w:shd w:val="clear" w:color="000000" w:fill="FFFF00"/>
      <w:spacing w:before="100" w:beforeAutospacing="1" w:after="100" w:afterAutospacing="1"/>
    </w:pPr>
  </w:style>
  <w:style w:type="paragraph" w:customStyle="1" w:styleId="xl479">
    <w:name w:val="xl479"/>
    <w:basedOn w:val="a2"/>
    <w:rsid w:val="0042748C"/>
    <w:pPr>
      <w:shd w:val="clear" w:color="000000" w:fill="FFFF00"/>
      <w:spacing w:before="100" w:beforeAutospacing="1" w:after="100" w:afterAutospacing="1"/>
    </w:pPr>
    <w:rPr>
      <w:b/>
      <w:bCs/>
    </w:rPr>
  </w:style>
  <w:style w:type="paragraph" w:customStyle="1" w:styleId="xl480">
    <w:name w:val="xl4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2748C"/>
    <w:pPr>
      <w:spacing w:before="100" w:beforeAutospacing="1" w:after="100" w:afterAutospacing="1"/>
    </w:pPr>
    <w:rPr>
      <w:i/>
      <w:iCs/>
    </w:rPr>
  </w:style>
  <w:style w:type="paragraph" w:customStyle="1" w:styleId="xl483">
    <w:name w:val="xl48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2748C"/>
    <w:pPr>
      <w:spacing w:before="100" w:beforeAutospacing="1" w:after="100" w:afterAutospacing="1"/>
      <w:jc w:val="right"/>
    </w:pPr>
  </w:style>
  <w:style w:type="paragraph" w:customStyle="1" w:styleId="xl485">
    <w:name w:val="xl48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2748C"/>
    <w:pPr>
      <w:spacing w:before="100" w:beforeAutospacing="1" w:after="100" w:afterAutospacing="1"/>
    </w:pPr>
    <w:rPr>
      <w:b/>
      <w:bCs/>
    </w:rPr>
  </w:style>
  <w:style w:type="paragraph" w:customStyle="1" w:styleId="xl488">
    <w:name w:val="xl488"/>
    <w:basedOn w:val="a2"/>
    <w:rsid w:val="0042748C"/>
    <w:pPr>
      <w:spacing w:before="100" w:beforeAutospacing="1" w:after="100" w:afterAutospacing="1"/>
    </w:pPr>
    <w:rPr>
      <w:color w:val="FF0000"/>
    </w:rPr>
  </w:style>
  <w:style w:type="paragraph" w:customStyle="1" w:styleId="xl489">
    <w:name w:val="xl48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2748C"/>
    <w:pPr>
      <w:spacing w:before="100" w:beforeAutospacing="1" w:after="100" w:afterAutospacing="1"/>
      <w:jc w:val="center"/>
      <w:textAlignment w:val="center"/>
    </w:pPr>
  </w:style>
  <w:style w:type="paragraph" w:customStyle="1" w:styleId="xl511">
    <w:name w:val="xl511"/>
    <w:basedOn w:val="a2"/>
    <w:rsid w:val="0042748C"/>
    <w:pPr>
      <w:spacing w:before="100" w:beforeAutospacing="1" w:after="100" w:afterAutospacing="1"/>
    </w:pPr>
  </w:style>
  <w:style w:type="paragraph" w:customStyle="1" w:styleId="xl512">
    <w:name w:val="xl51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2748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2748C"/>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2748C"/>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2748C"/>
    <w:pPr>
      <w:spacing w:before="100" w:beforeAutospacing="1" w:after="100" w:afterAutospacing="1"/>
      <w:jc w:val="center"/>
      <w:textAlignment w:val="center"/>
    </w:pPr>
  </w:style>
  <w:style w:type="paragraph" w:customStyle="1" w:styleId="xl533">
    <w:name w:val="xl533"/>
    <w:basedOn w:val="a2"/>
    <w:rsid w:val="0042748C"/>
    <w:pPr>
      <w:spacing w:before="100" w:beforeAutospacing="1" w:after="100" w:afterAutospacing="1"/>
      <w:jc w:val="center"/>
      <w:textAlignment w:val="center"/>
    </w:pPr>
    <w:rPr>
      <w:b/>
      <w:bCs/>
    </w:rPr>
  </w:style>
  <w:style w:type="paragraph" w:customStyle="1" w:styleId="xl534">
    <w:name w:val="xl534"/>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2748C"/>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2748C"/>
    <w:pPr>
      <w:spacing w:before="100" w:beforeAutospacing="1" w:after="100" w:afterAutospacing="1"/>
      <w:jc w:val="center"/>
    </w:pPr>
  </w:style>
  <w:style w:type="paragraph" w:customStyle="1" w:styleId="xl540">
    <w:name w:val="xl54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2748C"/>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2748C"/>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274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2748C"/>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2748C"/>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2748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2748C"/>
    <w:pPr>
      <w:spacing w:before="100" w:beforeAutospacing="1" w:after="100" w:afterAutospacing="1"/>
      <w:jc w:val="center"/>
      <w:textAlignment w:val="center"/>
    </w:pPr>
    <w:rPr>
      <w:color w:val="FF0000"/>
    </w:rPr>
  </w:style>
  <w:style w:type="paragraph" w:customStyle="1" w:styleId="xl590">
    <w:name w:val="xl590"/>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2748C"/>
    <w:pPr>
      <w:spacing w:before="100" w:beforeAutospacing="1" w:after="100" w:afterAutospacing="1"/>
      <w:textAlignment w:val="center"/>
    </w:pPr>
    <w:rPr>
      <w:b/>
      <w:bCs/>
    </w:rPr>
  </w:style>
  <w:style w:type="paragraph" w:customStyle="1" w:styleId="xl596">
    <w:name w:val="xl59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2748C"/>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2748C"/>
    <w:pPr>
      <w:spacing w:before="100" w:beforeAutospacing="1" w:after="100" w:afterAutospacing="1"/>
      <w:jc w:val="center"/>
      <w:textAlignment w:val="center"/>
    </w:pPr>
  </w:style>
  <w:style w:type="paragraph" w:customStyle="1" w:styleId="xl602">
    <w:name w:val="xl602"/>
    <w:basedOn w:val="a2"/>
    <w:rsid w:val="0042748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2748C"/>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2748C"/>
    <w:pPr>
      <w:shd w:val="clear" w:color="000000" w:fill="FFF2CC"/>
      <w:spacing w:before="100" w:beforeAutospacing="1" w:after="100" w:afterAutospacing="1"/>
      <w:jc w:val="center"/>
      <w:textAlignment w:val="center"/>
    </w:pPr>
  </w:style>
  <w:style w:type="paragraph" w:customStyle="1" w:styleId="xl630">
    <w:name w:val="xl630"/>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2748C"/>
    <w:pPr>
      <w:shd w:val="clear" w:color="000000" w:fill="FFF2CC"/>
      <w:spacing w:before="100" w:beforeAutospacing="1" w:after="100" w:afterAutospacing="1"/>
    </w:pPr>
  </w:style>
  <w:style w:type="paragraph" w:customStyle="1" w:styleId="xl637">
    <w:name w:val="xl63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2748C"/>
    <w:pPr>
      <w:shd w:val="clear" w:color="000000" w:fill="FFF2CC"/>
      <w:spacing w:before="100" w:beforeAutospacing="1" w:after="100" w:afterAutospacing="1"/>
      <w:jc w:val="center"/>
    </w:pPr>
  </w:style>
  <w:style w:type="paragraph" w:customStyle="1" w:styleId="xl641">
    <w:name w:val="xl64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2748C"/>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2748C"/>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9">
    <w:name w:val="Неразрешенное упоминание1"/>
    <w:basedOn w:val="a3"/>
    <w:uiPriority w:val="99"/>
    <w:semiHidden/>
    <w:unhideWhenUsed/>
    <w:rsid w:val="0042748C"/>
    <w:rPr>
      <w:color w:val="605E5C"/>
      <w:shd w:val="clear" w:color="auto" w:fill="E1DFDD"/>
    </w:rPr>
  </w:style>
  <w:style w:type="character" w:styleId="afff9">
    <w:name w:val="Subtle Emphasis"/>
    <w:basedOn w:val="a3"/>
    <w:uiPriority w:val="19"/>
    <w:qFormat/>
    <w:rsid w:val="0042748C"/>
    <w:rPr>
      <w:i/>
      <w:iCs/>
      <w:color w:val="404040" w:themeColor="text1" w:themeTint="BF"/>
    </w:rPr>
  </w:style>
  <w:style w:type="paragraph" w:customStyle="1" w:styleId="xl665">
    <w:name w:val="xl665"/>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66">
    <w:name w:val="xl666"/>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7">
    <w:name w:val="xl667"/>
    <w:basedOn w:val="a2"/>
    <w:rsid w:val="00E15B15"/>
    <w:pPr>
      <w:pBdr>
        <w:left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8">
    <w:name w:val="xl668"/>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9">
    <w:name w:val="xl669"/>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70">
    <w:name w:val="xl670"/>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1">
    <w:name w:val="xl671"/>
    <w:basedOn w:val="a2"/>
    <w:rsid w:val="00E15B15"/>
    <w:pPr>
      <w:shd w:val="clear" w:color="000000" w:fill="FFFFFF"/>
      <w:spacing w:before="100" w:beforeAutospacing="1" w:after="100" w:afterAutospacing="1"/>
    </w:pPr>
    <w:rPr>
      <w:color w:val="FFFFFF"/>
    </w:rPr>
  </w:style>
  <w:style w:type="paragraph" w:customStyle="1" w:styleId="xl672">
    <w:name w:val="xl67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8"/>
      <w:szCs w:val="18"/>
    </w:rPr>
  </w:style>
  <w:style w:type="paragraph" w:customStyle="1" w:styleId="xl673">
    <w:name w:val="xl673"/>
    <w:basedOn w:val="a2"/>
    <w:rsid w:val="00E15B15"/>
    <w:pPr>
      <w:pBdr>
        <w:top w:val="single" w:sz="4" w:space="0" w:color="auto"/>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4">
    <w:name w:val="xl674"/>
    <w:basedOn w:val="a2"/>
    <w:rsid w:val="00E15B15"/>
    <w:pPr>
      <w:pBdr>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5">
    <w:name w:val="xl67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76">
    <w:name w:val="xl676"/>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677">
    <w:name w:val="xl677"/>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color w:val="FF0000"/>
      <w:sz w:val="20"/>
      <w:szCs w:val="20"/>
    </w:rPr>
  </w:style>
  <w:style w:type="paragraph" w:customStyle="1" w:styleId="xl678">
    <w:name w:val="xl678"/>
    <w:basedOn w:val="a2"/>
    <w:rsid w:val="00E15B15"/>
    <w:pPr>
      <w:pBdr>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0000FF"/>
      <w:sz w:val="20"/>
      <w:szCs w:val="20"/>
    </w:rPr>
  </w:style>
  <w:style w:type="paragraph" w:customStyle="1" w:styleId="xl679">
    <w:name w:val="xl67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80">
    <w:name w:val="xl68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1">
    <w:name w:val="xl68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2">
    <w:name w:val="xl682"/>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3">
    <w:name w:val="xl683"/>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4">
    <w:name w:val="xl684"/>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5">
    <w:name w:val="xl685"/>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6">
    <w:name w:val="xl686"/>
    <w:basedOn w:val="a2"/>
    <w:rsid w:val="00E15B15"/>
    <w:pPr>
      <w:pBdr>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7">
    <w:name w:val="xl68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88">
    <w:name w:val="xl68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89">
    <w:name w:val="xl68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0">
    <w:name w:val="xl69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91">
    <w:name w:val="xl69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92">
    <w:name w:val="xl69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3">
    <w:name w:val="xl693"/>
    <w:basedOn w:val="a2"/>
    <w:rsid w:val="00E15B15"/>
    <w:pPr>
      <w:spacing w:before="100" w:beforeAutospacing="1" w:after="100" w:afterAutospacing="1"/>
      <w:jc w:val="center"/>
    </w:pPr>
  </w:style>
  <w:style w:type="paragraph" w:customStyle="1" w:styleId="xl694">
    <w:name w:val="xl694"/>
    <w:basedOn w:val="a2"/>
    <w:rsid w:val="00E15B15"/>
    <w:pPr>
      <w:spacing w:before="100" w:beforeAutospacing="1" w:after="100" w:afterAutospacing="1"/>
      <w:jc w:val="center"/>
    </w:pPr>
  </w:style>
  <w:style w:type="paragraph" w:customStyle="1" w:styleId="xl695">
    <w:name w:val="xl695"/>
    <w:basedOn w:val="a2"/>
    <w:rsid w:val="00E15B15"/>
    <w:pPr>
      <w:spacing w:before="100" w:beforeAutospacing="1" w:after="100" w:afterAutospacing="1"/>
      <w:jc w:val="center"/>
    </w:pPr>
    <w:rPr>
      <w:b/>
      <w:bCs/>
      <w:sz w:val="28"/>
      <w:szCs w:val="28"/>
    </w:rPr>
  </w:style>
  <w:style w:type="paragraph" w:customStyle="1" w:styleId="xl696">
    <w:name w:val="xl696"/>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7">
    <w:name w:val="xl697"/>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8">
    <w:name w:val="xl69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9">
    <w:name w:val="xl699"/>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0">
    <w:name w:val="xl70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1">
    <w:name w:val="xl70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2">
    <w:name w:val="xl70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3">
    <w:name w:val="xl703"/>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4">
    <w:name w:val="xl704"/>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5">
    <w:name w:val="xl70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6">
    <w:name w:val="xl706"/>
    <w:basedOn w:val="a2"/>
    <w:rsid w:val="00E15B15"/>
    <w:pPr>
      <w:pBdr>
        <w:top w:val="single" w:sz="4" w:space="0" w:color="auto"/>
        <w:left w:val="single" w:sz="4" w:space="0" w:color="auto"/>
        <w:right w:val="single" w:sz="4" w:space="0" w:color="auto"/>
      </w:pBdr>
      <w:spacing w:before="100" w:beforeAutospacing="1" w:after="100" w:afterAutospacing="1"/>
    </w:pPr>
  </w:style>
  <w:style w:type="paragraph" w:customStyle="1" w:styleId="xl707">
    <w:name w:val="xl70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8">
    <w:name w:val="xl708"/>
    <w:basedOn w:val="a2"/>
    <w:rsid w:val="00E15B15"/>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09">
    <w:name w:val="xl709"/>
    <w:basedOn w:val="a2"/>
    <w:rsid w:val="00E15B15"/>
    <w:pPr>
      <w:pBdr>
        <w:top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0">
    <w:name w:val="xl710"/>
    <w:basedOn w:val="a2"/>
    <w:rsid w:val="00E15B15"/>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1">
    <w:name w:val="xl71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2">
    <w:name w:val="xl712"/>
    <w:basedOn w:val="a2"/>
    <w:rsid w:val="00E15B15"/>
    <w:pPr>
      <w:spacing w:before="100" w:beforeAutospacing="1" w:after="100" w:afterAutospacing="1"/>
      <w:jc w:val="center"/>
      <w:textAlignment w:val="center"/>
    </w:pPr>
    <w:rPr>
      <w:rFonts w:ascii="Arial CYR" w:hAnsi="Arial CYR" w:cs="Arial CYR"/>
      <w:sz w:val="20"/>
      <w:szCs w:val="20"/>
    </w:rPr>
  </w:style>
  <w:style w:type="paragraph" w:customStyle="1" w:styleId="xl713">
    <w:name w:val="xl713"/>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714">
    <w:name w:val="xl714"/>
    <w:basedOn w:val="a2"/>
    <w:rsid w:val="00E15B1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CYR" w:hAnsi="Arial CYR" w:cs="Arial CYR"/>
      <w:b/>
      <w:bCs/>
      <w:sz w:val="20"/>
      <w:szCs w:val="20"/>
    </w:rPr>
  </w:style>
  <w:style w:type="table" w:customStyle="1" w:styleId="480">
    <w:name w:val="Сетка таблицы48"/>
    <w:basedOn w:val="a4"/>
    <w:next w:val="afb"/>
    <w:rsid w:val="008C18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0">
    <w:name w:val="Знак Знак Знак Знак Знак Знак Знак Знак Знак Знак Знак Знак46"/>
    <w:basedOn w:val="a2"/>
    <w:rsid w:val="00976BCC"/>
    <w:pPr>
      <w:tabs>
        <w:tab w:val="num" w:pos="360"/>
      </w:tabs>
      <w:spacing w:after="160" w:line="240" w:lineRule="exact"/>
    </w:pPr>
    <w:rPr>
      <w:rFonts w:ascii="Verdana" w:hAnsi="Verdana" w:cs="Verdana"/>
      <w:sz w:val="20"/>
      <w:szCs w:val="20"/>
      <w:lang w:val="en-US" w:eastAsia="en-US"/>
    </w:rPr>
  </w:style>
  <w:style w:type="numbering" w:customStyle="1" w:styleId="351">
    <w:name w:val="Нет списка35"/>
    <w:next w:val="a5"/>
    <w:uiPriority w:val="99"/>
    <w:semiHidden/>
    <w:unhideWhenUsed/>
    <w:rsid w:val="00C34DBE"/>
  </w:style>
  <w:style w:type="table" w:customStyle="1" w:styleId="490">
    <w:name w:val="Сетка таблицы49"/>
    <w:basedOn w:val="a4"/>
    <w:next w:val="afb"/>
    <w:uiPriority w:val="39"/>
    <w:rsid w:val="00C34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иль12"/>
    <w:uiPriority w:val="99"/>
    <w:rsid w:val="00C34DBE"/>
    <w:pPr>
      <w:numPr>
        <w:numId w:val="4"/>
      </w:numPr>
    </w:pPr>
  </w:style>
  <w:style w:type="paragraph" w:customStyle="1" w:styleId="450">
    <w:name w:val="Знак Знак Знак Знак Знак Знак Знак Знак Знак Знак Знак Знак45"/>
    <w:basedOn w:val="a2"/>
    <w:rsid w:val="002A787B"/>
    <w:pPr>
      <w:tabs>
        <w:tab w:val="num" w:pos="360"/>
      </w:tabs>
      <w:spacing w:after="160" w:line="240" w:lineRule="exact"/>
    </w:pPr>
    <w:rPr>
      <w:rFonts w:ascii="Verdana" w:hAnsi="Verdana" w:cs="Verdana"/>
      <w:sz w:val="20"/>
      <w:szCs w:val="20"/>
      <w:lang w:val="en-US" w:eastAsia="en-US"/>
    </w:rPr>
  </w:style>
  <w:style w:type="numbering" w:customStyle="1" w:styleId="361">
    <w:name w:val="Нет списка36"/>
    <w:next w:val="a5"/>
    <w:uiPriority w:val="99"/>
    <w:semiHidden/>
    <w:unhideWhenUsed/>
    <w:rsid w:val="00A12B1B"/>
  </w:style>
  <w:style w:type="paragraph" w:styleId="afffa">
    <w:name w:val="List"/>
    <w:basedOn w:val="a2"/>
    <w:rsid w:val="00A12B1B"/>
    <w:pPr>
      <w:ind w:left="283" w:hanging="283"/>
    </w:pPr>
  </w:style>
  <w:style w:type="table" w:customStyle="1" w:styleId="501">
    <w:name w:val="Сетка таблицы50"/>
    <w:basedOn w:val="a4"/>
    <w:next w:val="afb"/>
    <w:rsid w:val="00A12B1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a">
    <w:name w:val="Знак1 Знак Знак Знак"/>
    <w:basedOn w:val="a2"/>
    <w:rsid w:val="00A12B1B"/>
    <w:rPr>
      <w:rFonts w:ascii="Verdana" w:hAnsi="Verdana" w:cs="Verdana"/>
      <w:sz w:val="20"/>
      <w:szCs w:val="20"/>
      <w:lang w:val="en-US" w:eastAsia="en-US"/>
    </w:rPr>
  </w:style>
  <w:style w:type="paragraph" w:customStyle="1" w:styleId="214">
    <w:name w:val="Знак2 Знак Знак1 Знак"/>
    <w:basedOn w:val="a2"/>
    <w:rsid w:val="00A12B1B"/>
    <w:pPr>
      <w:widowControl w:val="0"/>
      <w:adjustRightInd w:val="0"/>
      <w:spacing w:line="360" w:lineRule="atLeast"/>
      <w:jc w:val="both"/>
      <w:textAlignment w:val="baseline"/>
    </w:pPr>
    <w:rPr>
      <w:rFonts w:ascii="Verdana" w:hAnsi="Verdana" w:cs="Verdana"/>
      <w:sz w:val="20"/>
      <w:szCs w:val="20"/>
      <w:lang w:val="en-US" w:eastAsia="en-US"/>
    </w:rPr>
  </w:style>
  <w:style w:type="character" w:styleId="afffb">
    <w:name w:val="footnote reference"/>
    <w:uiPriority w:val="99"/>
    <w:rsid w:val="00A12B1B"/>
    <w:rPr>
      <w:vertAlign w:val="superscript"/>
    </w:rPr>
  </w:style>
  <w:style w:type="paragraph" w:customStyle="1" w:styleId="11a">
    <w:name w:val="Заголовок 11"/>
    <w:basedOn w:val="1e"/>
    <w:next w:val="1e"/>
    <w:rsid w:val="00A12B1B"/>
    <w:pPr>
      <w:keepNext/>
      <w:ind w:firstLine="851"/>
      <w:jc w:val="both"/>
      <w:outlineLvl w:val="0"/>
    </w:pPr>
    <w:rPr>
      <w:b/>
      <w:snapToGrid/>
      <w:sz w:val="28"/>
    </w:rPr>
  </w:style>
  <w:style w:type="character" w:customStyle="1" w:styleId="1fb">
    <w:name w:val="Основной шрифт абзаца1"/>
    <w:rsid w:val="00A12B1B"/>
  </w:style>
  <w:style w:type="paragraph" w:customStyle="1" w:styleId="215">
    <w:name w:val="Основной текст с отступом 21"/>
    <w:basedOn w:val="1e"/>
    <w:rsid w:val="00A12B1B"/>
    <w:pPr>
      <w:ind w:firstLine="567"/>
      <w:jc w:val="both"/>
    </w:pPr>
    <w:rPr>
      <w:snapToGrid/>
      <w:sz w:val="28"/>
    </w:rPr>
  </w:style>
  <w:style w:type="paragraph" w:customStyle="1" w:styleId="1fc">
    <w:name w:val="Верхний колонтитул1"/>
    <w:basedOn w:val="1e"/>
    <w:rsid w:val="00A12B1B"/>
    <w:pPr>
      <w:tabs>
        <w:tab w:val="center" w:pos="4153"/>
        <w:tab w:val="right" w:pos="8306"/>
      </w:tabs>
      <w:ind w:firstLine="720"/>
      <w:jc w:val="both"/>
    </w:pPr>
    <w:rPr>
      <w:snapToGrid/>
      <w:sz w:val="20"/>
    </w:rPr>
  </w:style>
  <w:style w:type="paragraph" w:customStyle="1" w:styleId="1fd">
    <w:name w:val="Нижний колонтитул1"/>
    <w:basedOn w:val="1e"/>
    <w:rsid w:val="00A12B1B"/>
    <w:pPr>
      <w:tabs>
        <w:tab w:val="center" w:pos="4153"/>
        <w:tab w:val="right" w:pos="8306"/>
      </w:tabs>
      <w:ind w:firstLine="720"/>
      <w:jc w:val="both"/>
    </w:pPr>
    <w:rPr>
      <w:snapToGrid/>
      <w:sz w:val="20"/>
    </w:rPr>
  </w:style>
  <w:style w:type="paragraph" w:customStyle="1" w:styleId="312">
    <w:name w:val="Основной текст с отступом 31"/>
    <w:basedOn w:val="1e"/>
    <w:rsid w:val="00A12B1B"/>
    <w:pPr>
      <w:ind w:left="5387"/>
      <w:jc w:val="both"/>
    </w:pPr>
    <w:rPr>
      <w:snapToGrid/>
      <w:sz w:val="28"/>
    </w:rPr>
  </w:style>
  <w:style w:type="character" w:customStyle="1" w:styleId="Normal">
    <w:name w:val="Normal Знак"/>
    <w:rsid w:val="00A12B1B"/>
    <w:rPr>
      <w:noProof w:val="0"/>
      <w:lang w:val="ru-RU" w:eastAsia="ru-RU" w:bidi="ar-SA"/>
    </w:rPr>
  </w:style>
  <w:style w:type="paragraph" w:customStyle="1" w:styleId="ConsNonformat">
    <w:name w:val="ConsNonformat"/>
    <w:rsid w:val="00A12B1B"/>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paragraph" w:customStyle="1" w:styleId="11b">
    <w:name w:val="Основной текст11"/>
    <w:basedOn w:val="a2"/>
    <w:rsid w:val="00A12B1B"/>
    <w:pPr>
      <w:shd w:val="clear" w:color="auto" w:fill="FFFFFF"/>
      <w:spacing w:line="240" w:lineRule="atLeast"/>
    </w:pPr>
    <w:rPr>
      <w:rFonts w:ascii="Calibri" w:eastAsia="Calibri" w:hAnsi="Calibri"/>
      <w:sz w:val="28"/>
      <w:szCs w:val="20"/>
      <w:lang w:val="x-none" w:eastAsia="x-none"/>
    </w:rPr>
  </w:style>
  <w:style w:type="paragraph" w:customStyle="1" w:styleId="2c">
    <w:name w:val="Обычный2"/>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2"/>
    <w:rsid w:val="00A12B1B"/>
    <w:rPr>
      <w:rFonts w:ascii="Verdana" w:hAnsi="Verdana" w:cs="Verdana"/>
      <w:sz w:val="20"/>
      <w:szCs w:val="20"/>
      <w:lang w:val="en-US" w:eastAsia="en-US"/>
    </w:rPr>
  </w:style>
  <w:style w:type="paragraph" w:styleId="afffc">
    <w:name w:val="footnote text"/>
    <w:basedOn w:val="a2"/>
    <w:link w:val="afffd"/>
    <w:uiPriority w:val="99"/>
    <w:rsid w:val="00A12B1B"/>
    <w:rPr>
      <w:sz w:val="20"/>
      <w:szCs w:val="20"/>
      <w:lang w:val="x-none"/>
    </w:rPr>
  </w:style>
  <w:style w:type="character" w:customStyle="1" w:styleId="afffd">
    <w:name w:val="Текст сноски Знак"/>
    <w:basedOn w:val="a3"/>
    <w:link w:val="afffc"/>
    <w:uiPriority w:val="99"/>
    <w:rsid w:val="00A12B1B"/>
    <w:rPr>
      <w:rFonts w:ascii="Times New Roman" w:eastAsia="Times New Roman" w:hAnsi="Times New Roman" w:cs="Times New Roman"/>
      <w:sz w:val="20"/>
      <w:szCs w:val="20"/>
      <w:lang w:val="x-none" w:eastAsia="ru-RU"/>
    </w:rPr>
  </w:style>
  <w:style w:type="paragraph" w:customStyle="1" w:styleId="216">
    <w:name w:val="Обычный21"/>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3a">
    <w:name w:val="Обычный3"/>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a">
    <w:name w:val="Обычный4"/>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a">
    <w:name w:val="Обычный5"/>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b">
    <w:name w:val="Обычный6"/>
    <w:rsid w:val="00A12B1B"/>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3"/>
    <w:rsid w:val="00A12B1B"/>
  </w:style>
  <w:style w:type="paragraph" w:styleId="afffe">
    <w:name w:val="Plain Text"/>
    <w:basedOn w:val="a2"/>
    <w:link w:val="affff"/>
    <w:rsid w:val="00A12B1B"/>
    <w:rPr>
      <w:rFonts w:ascii="Courier New" w:hAnsi="Courier New"/>
      <w:sz w:val="20"/>
      <w:szCs w:val="20"/>
      <w:lang w:val="x-none" w:eastAsia="x-none"/>
    </w:rPr>
  </w:style>
  <w:style w:type="character" w:customStyle="1" w:styleId="affff">
    <w:name w:val="Текст Знак"/>
    <w:basedOn w:val="a3"/>
    <w:link w:val="afffe"/>
    <w:rsid w:val="00A12B1B"/>
    <w:rPr>
      <w:rFonts w:ascii="Courier New" w:eastAsia="Times New Roman" w:hAnsi="Courier New" w:cs="Times New Roman"/>
      <w:sz w:val="20"/>
      <w:szCs w:val="20"/>
      <w:lang w:val="x-none" w:eastAsia="x-none"/>
    </w:rPr>
  </w:style>
  <w:style w:type="paragraph" w:customStyle="1" w:styleId="7b">
    <w:name w:val="Обычный7"/>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2"/>
    <w:rsid w:val="00A12B1B"/>
    <w:pPr>
      <w:spacing w:before="100" w:beforeAutospacing="1" w:after="100" w:afterAutospacing="1"/>
    </w:pPr>
  </w:style>
  <w:style w:type="paragraph" w:styleId="a1">
    <w:name w:val="List Bullet"/>
    <w:basedOn w:val="a2"/>
    <w:uiPriority w:val="99"/>
    <w:unhideWhenUsed/>
    <w:rsid w:val="00A12B1B"/>
    <w:pPr>
      <w:numPr>
        <w:numId w:val="5"/>
      </w:numPr>
      <w:spacing w:after="200" w:line="276" w:lineRule="auto"/>
      <w:contextualSpacing/>
    </w:pPr>
    <w:rPr>
      <w:rFonts w:ascii="Calibri" w:hAnsi="Calibri"/>
      <w:sz w:val="22"/>
      <w:szCs w:val="22"/>
    </w:rPr>
  </w:style>
  <w:style w:type="paragraph" w:customStyle="1" w:styleId="95">
    <w:name w:val="Абзац списка9"/>
    <w:basedOn w:val="a2"/>
    <w:rsid w:val="00A12B1B"/>
    <w:pPr>
      <w:spacing w:after="200" w:line="276" w:lineRule="auto"/>
      <w:ind w:left="720"/>
      <w:contextualSpacing/>
    </w:pPr>
    <w:rPr>
      <w:rFonts w:ascii="Calibri" w:eastAsia="Calibri" w:hAnsi="Calibri"/>
      <w:sz w:val="22"/>
      <w:szCs w:val="22"/>
    </w:rPr>
  </w:style>
  <w:style w:type="paragraph" w:customStyle="1" w:styleId="441">
    <w:name w:val="Знак Знак Знак Знак Знак Знак Знак Знак Знак Знак Знак Знак44"/>
    <w:basedOn w:val="a2"/>
    <w:rsid w:val="002E4B86"/>
    <w:pPr>
      <w:tabs>
        <w:tab w:val="num" w:pos="360"/>
      </w:tabs>
      <w:spacing w:after="160" w:line="240" w:lineRule="exact"/>
    </w:pPr>
    <w:rPr>
      <w:rFonts w:ascii="Verdana" w:hAnsi="Verdana" w:cs="Verdana"/>
      <w:sz w:val="20"/>
      <w:szCs w:val="20"/>
      <w:lang w:val="en-US" w:eastAsia="en-US"/>
    </w:rPr>
  </w:style>
  <w:style w:type="numbering" w:customStyle="1" w:styleId="372">
    <w:name w:val="Нет списка37"/>
    <w:next w:val="a5"/>
    <w:uiPriority w:val="99"/>
    <w:semiHidden/>
    <w:unhideWhenUsed/>
    <w:rsid w:val="00CF33E0"/>
  </w:style>
  <w:style w:type="table" w:customStyle="1" w:styleId="531">
    <w:name w:val="Сетка таблицы53"/>
    <w:basedOn w:val="a4"/>
    <w:next w:val="afb"/>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3">
    <w:name w:val="Знак Знак1 Знак Знак10"/>
    <w:basedOn w:val="a2"/>
    <w:rsid w:val="00CF33E0"/>
    <w:pPr>
      <w:tabs>
        <w:tab w:val="num" w:pos="360"/>
      </w:tabs>
      <w:spacing w:after="160" w:line="240" w:lineRule="exact"/>
    </w:pPr>
    <w:rPr>
      <w:rFonts w:ascii="Verdana" w:hAnsi="Verdana" w:cs="Verdana"/>
      <w:sz w:val="20"/>
      <w:szCs w:val="20"/>
      <w:lang w:val="en-US" w:eastAsia="en-US"/>
    </w:rPr>
  </w:style>
  <w:style w:type="table" w:customStyle="1" w:styleId="1190">
    <w:name w:val="Сетка таблицы119"/>
    <w:basedOn w:val="a4"/>
    <w:next w:val="afb"/>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4"/>
    <w:next w:val="afb"/>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Нет списка117"/>
    <w:next w:val="a5"/>
    <w:uiPriority w:val="99"/>
    <w:semiHidden/>
    <w:rsid w:val="00CF33E0"/>
  </w:style>
  <w:style w:type="table" w:customStyle="1" w:styleId="3110">
    <w:name w:val="Сетка таблицы311"/>
    <w:basedOn w:val="a4"/>
    <w:next w:val="afb"/>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5"/>
    <w:uiPriority w:val="99"/>
    <w:semiHidden/>
    <w:unhideWhenUsed/>
    <w:rsid w:val="00CF33E0"/>
  </w:style>
  <w:style w:type="numbering" w:customStyle="1" w:styleId="11110">
    <w:name w:val="Нет списка1111"/>
    <w:next w:val="a5"/>
    <w:uiPriority w:val="99"/>
    <w:semiHidden/>
    <w:unhideWhenUsed/>
    <w:rsid w:val="00CF33E0"/>
  </w:style>
  <w:style w:type="table" w:customStyle="1" w:styleId="11100">
    <w:name w:val="Сетка таблицы1110"/>
    <w:basedOn w:val="a4"/>
    <w:next w:val="afb"/>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4"/>
    <w:next w:val="afb"/>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4"/>
    <w:next w:val="afb"/>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Нет списка11111"/>
    <w:next w:val="a5"/>
    <w:uiPriority w:val="99"/>
    <w:semiHidden/>
    <w:unhideWhenUsed/>
    <w:rsid w:val="00CF33E0"/>
  </w:style>
  <w:style w:type="paragraph" w:customStyle="1" w:styleId="313">
    <w:name w:val="Заголовок 31"/>
    <w:basedOn w:val="a2"/>
    <w:next w:val="a2"/>
    <w:unhideWhenUsed/>
    <w:qFormat/>
    <w:rsid w:val="00CF33E0"/>
    <w:pPr>
      <w:keepNext/>
      <w:keepLines/>
      <w:spacing w:before="40"/>
      <w:outlineLvl w:val="2"/>
    </w:pPr>
    <w:rPr>
      <w:b/>
      <w:snapToGrid w:val="0"/>
      <w:sz w:val="28"/>
    </w:rPr>
  </w:style>
  <w:style w:type="numbering" w:customStyle="1" w:styleId="111111">
    <w:name w:val="Нет списка111111"/>
    <w:next w:val="a5"/>
    <w:uiPriority w:val="99"/>
    <w:semiHidden/>
    <w:unhideWhenUsed/>
    <w:rsid w:val="00CF33E0"/>
  </w:style>
  <w:style w:type="numbering" w:customStyle="1" w:styleId="1111111">
    <w:name w:val="Нет списка1111111"/>
    <w:next w:val="a5"/>
    <w:uiPriority w:val="99"/>
    <w:semiHidden/>
    <w:unhideWhenUsed/>
    <w:rsid w:val="00CF33E0"/>
  </w:style>
  <w:style w:type="numbering" w:customStyle="1" w:styleId="2121">
    <w:name w:val="Нет списка212"/>
    <w:next w:val="a5"/>
    <w:uiPriority w:val="99"/>
    <w:semiHidden/>
    <w:unhideWhenUsed/>
    <w:rsid w:val="00CF33E0"/>
  </w:style>
  <w:style w:type="numbering" w:customStyle="1" w:styleId="382">
    <w:name w:val="Нет списка38"/>
    <w:next w:val="a5"/>
    <w:uiPriority w:val="99"/>
    <w:semiHidden/>
    <w:unhideWhenUsed/>
    <w:rsid w:val="00CF33E0"/>
  </w:style>
  <w:style w:type="table" w:customStyle="1" w:styleId="3120">
    <w:name w:val="Сетка таблицы312"/>
    <w:basedOn w:val="a4"/>
    <w:next w:val="afb"/>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5"/>
    <w:uiPriority w:val="99"/>
    <w:semiHidden/>
    <w:unhideWhenUsed/>
    <w:rsid w:val="00CF33E0"/>
  </w:style>
  <w:style w:type="table" w:customStyle="1" w:styleId="4100">
    <w:name w:val="Сетка таблицы410"/>
    <w:basedOn w:val="a4"/>
    <w:next w:val="afb"/>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
    <w:next w:val="a5"/>
    <w:uiPriority w:val="99"/>
    <w:semiHidden/>
    <w:unhideWhenUsed/>
    <w:rsid w:val="00CF33E0"/>
  </w:style>
  <w:style w:type="table" w:customStyle="1" w:styleId="541">
    <w:name w:val="Сетка таблицы54"/>
    <w:basedOn w:val="a4"/>
    <w:next w:val="afb"/>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
    <w:next w:val="a5"/>
    <w:uiPriority w:val="99"/>
    <w:semiHidden/>
    <w:unhideWhenUsed/>
    <w:rsid w:val="00CF33E0"/>
  </w:style>
  <w:style w:type="table" w:customStyle="1" w:styleId="621">
    <w:name w:val="Сетка таблицы62"/>
    <w:basedOn w:val="a4"/>
    <w:next w:val="afb"/>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CF33E0"/>
    <w:rPr>
      <w:rFonts w:ascii="Cambria" w:eastAsia="Times New Roman" w:hAnsi="Cambria" w:cs="Times New Roman"/>
      <w:b/>
      <w:bCs/>
      <w:color w:val="4F81BD"/>
    </w:rPr>
  </w:style>
  <w:style w:type="numbering" w:customStyle="1" w:styleId="712">
    <w:name w:val="Нет списка71"/>
    <w:next w:val="a5"/>
    <w:uiPriority w:val="99"/>
    <w:semiHidden/>
    <w:unhideWhenUsed/>
    <w:rsid w:val="00CF33E0"/>
  </w:style>
  <w:style w:type="paragraph" w:customStyle="1" w:styleId="1fe">
    <w:name w:val="Заголовок оглавления1"/>
    <w:basedOn w:val="10"/>
    <w:next w:val="a2"/>
    <w:uiPriority w:val="39"/>
    <w:unhideWhenUsed/>
    <w:qFormat/>
    <w:rsid w:val="00CF33E0"/>
    <w:pPr>
      <w:keepLines/>
      <w:spacing w:before="240" w:line="259" w:lineRule="auto"/>
      <w:ind w:left="432" w:hanging="432"/>
      <w:outlineLvl w:val="9"/>
    </w:pPr>
    <w:rPr>
      <w:rFonts w:ascii="Calibri Light" w:hAnsi="Calibri Light"/>
      <w:b w:val="0"/>
      <w:color w:val="2F5496"/>
      <w:sz w:val="32"/>
      <w:szCs w:val="32"/>
    </w:rPr>
  </w:style>
  <w:style w:type="numbering" w:customStyle="1" w:styleId="1220">
    <w:name w:val="Нет списка122"/>
    <w:next w:val="a5"/>
    <w:uiPriority w:val="99"/>
    <w:semiHidden/>
    <w:unhideWhenUsed/>
    <w:rsid w:val="00CF33E0"/>
  </w:style>
  <w:style w:type="numbering" w:customStyle="1" w:styleId="11111111">
    <w:name w:val="Нет списка11111111"/>
    <w:next w:val="a5"/>
    <w:uiPriority w:val="99"/>
    <w:semiHidden/>
    <w:unhideWhenUsed/>
    <w:rsid w:val="00CF33E0"/>
  </w:style>
  <w:style w:type="table" w:customStyle="1" w:styleId="720">
    <w:name w:val="Сетка таблицы72"/>
    <w:basedOn w:val="a4"/>
    <w:next w:val="afb"/>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5"/>
    <w:uiPriority w:val="99"/>
    <w:semiHidden/>
    <w:unhideWhenUsed/>
    <w:rsid w:val="00CF33E0"/>
  </w:style>
  <w:style w:type="numbering" w:customStyle="1" w:styleId="2130">
    <w:name w:val="Нет списка213"/>
    <w:next w:val="a5"/>
    <w:uiPriority w:val="99"/>
    <w:semiHidden/>
    <w:unhideWhenUsed/>
    <w:rsid w:val="00CF33E0"/>
  </w:style>
  <w:style w:type="numbering" w:customStyle="1" w:styleId="3111">
    <w:name w:val="Нет списка311"/>
    <w:next w:val="a5"/>
    <w:uiPriority w:val="99"/>
    <w:semiHidden/>
    <w:unhideWhenUsed/>
    <w:rsid w:val="00CF33E0"/>
  </w:style>
  <w:style w:type="numbering" w:customStyle="1" w:styleId="4110">
    <w:name w:val="Нет списка411"/>
    <w:next w:val="a5"/>
    <w:uiPriority w:val="99"/>
    <w:semiHidden/>
    <w:unhideWhenUsed/>
    <w:rsid w:val="00CF33E0"/>
  </w:style>
  <w:style w:type="table" w:customStyle="1" w:styleId="4111">
    <w:name w:val="Сетка таблицы411"/>
    <w:basedOn w:val="a4"/>
    <w:next w:val="afb"/>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CF33E0"/>
  </w:style>
  <w:style w:type="table" w:customStyle="1" w:styleId="5111">
    <w:name w:val="Сетка таблицы511"/>
    <w:basedOn w:val="a4"/>
    <w:next w:val="afb"/>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CF33E0"/>
  </w:style>
  <w:style w:type="table" w:customStyle="1" w:styleId="6111">
    <w:name w:val="Сетка таблицы611"/>
    <w:basedOn w:val="a4"/>
    <w:next w:val="afb"/>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5"/>
    <w:uiPriority w:val="99"/>
    <w:semiHidden/>
    <w:unhideWhenUsed/>
    <w:rsid w:val="00CF33E0"/>
  </w:style>
  <w:style w:type="numbering" w:customStyle="1" w:styleId="1211">
    <w:name w:val="Нет списка1211"/>
    <w:next w:val="a5"/>
    <w:uiPriority w:val="99"/>
    <w:semiHidden/>
    <w:unhideWhenUsed/>
    <w:rsid w:val="00CF33E0"/>
  </w:style>
  <w:style w:type="numbering" w:customStyle="1" w:styleId="11210">
    <w:name w:val="Нет списка1121"/>
    <w:next w:val="a5"/>
    <w:uiPriority w:val="99"/>
    <w:semiHidden/>
    <w:unhideWhenUsed/>
    <w:rsid w:val="00CF33E0"/>
  </w:style>
  <w:style w:type="numbering" w:customStyle="1" w:styleId="21110">
    <w:name w:val="Нет списка2111"/>
    <w:next w:val="a5"/>
    <w:uiPriority w:val="99"/>
    <w:semiHidden/>
    <w:unhideWhenUsed/>
    <w:rsid w:val="00CF33E0"/>
  </w:style>
  <w:style w:type="numbering" w:customStyle="1" w:styleId="31110">
    <w:name w:val="Нет списка3111"/>
    <w:next w:val="a5"/>
    <w:uiPriority w:val="99"/>
    <w:semiHidden/>
    <w:unhideWhenUsed/>
    <w:rsid w:val="00CF33E0"/>
  </w:style>
  <w:style w:type="numbering" w:customStyle="1" w:styleId="41110">
    <w:name w:val="Нет списка4111"/>
    <w:next w:val="a5"/>
    <w:uiPriority w:val="99"/>
    <w:semiHidden/>
    <w:unhideWhenUsed/>
    <w:rsid w:val="00CF33E0"/>
  </w:style>
  <w:style w:type="numbering" w:customStyle="1" w:styleId="51110">
    <w:name w:val="Нет списка5111"/>
    <w:next w:val="a5"/>
    <w:uiPriority w:val="99"/>
    <w:semiHidden/>
    <w:unhideWhenUsed/>
    <w:rsid w:val="00CF33E0"/>
  </w:style>
  <w:style w:type="numbering" w:customStyle="1" w:styleId="61110">
    <w:name w:val="Нет списка6111"/>
    <w:next w:val="a5"/>
    <w:uiPriority w:val="99"/>
    <w:semiHidden/>
    <w:unhideWhenUsed/>
    <w:rsid w:val="00CF33E0"/>
  </w:style>
  <w:style w:type="character" w:customStyle="1" w:styleId="1ff">
    <w:name w:val="Основной текст Знак Знак Знак Знак1"/>
    <w:aliases w:val="Основной текст Знак Знак Знак2,Основной текст Знак2,Основной текст Знак1 Знак1,Основной текст Знак Знак1 Знак1,Знак Знак Знак1 Знак1,Основной текст Знак1 Знак Знак Знак Знак1,Знак Знак Знак Знак Знак Знак Знак"/>
    <w:semiHidden/>
    <w:rsid w:val="00CF33E0"/>
    <w:rPr>
      <w:sz w:val="24"/>
    </w:rPr>
  </w:style>
  <w:style w:type="character" w:customStyle="1" w:styleId="2e">
    <w:name w:val="Неразрешенное упоминание2"/>
    <w:uiPriority w:val="99"/>
    <w:semiHidden/>
    <w:unhideWhenUsed/>
    <w:rsid w:val="00CF33E0"/>
    <w:rPr>
      <w:color w:val="605E5C"/>
      <w:shd w:val="clear" w:color="auto" w:fill="E1DFDD"/>
    </w:rPr>
  </w:style>
  <w:style w:type="paragraph" w:styleId="2f">
    <w:name w:val="List Bullet 2"/>
    <w:basedOn w:val="a2"/>
    <w:uiPriority w:val="99"/>
    <w:unhideWhenUsed/>
    <w:rsid w:val="00CF33E0"/>
    <w:pPr>
      <w:keepNext/>
      <w:tabs>
        <w:tab w:val="num" w:pos="720"/>
      </w:tabs>
      <w:ind w:left="720" w:hanging="360"/>
      <w:jc w:val="both"/>
    </w:pPr>
    <w:rPr>
      <w:rFonts w:ascii="Arial" w:hAnsi="Arial"/>
    </w:rPr>
  </w:style>
  <w:style w:type="paragraph" w:customStyle="1" w:styleId="431">
    <w:name w:val="Знак Знак Знак Знак Знак Знак Знак Знак Знак Знак Знак Знак43"/>
    <w:basedOn w:val="a2"/>
    <w:rsid w:val="000C039E"/>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2"/>
    <w:rsid w:val="00CE62A5"/>
    <w:pPr>
      <w:tabs>
        <w:tab w:val="num" w:pos="360"/>
      </w:tabs>
      <w:spacing w:after="160" w:line="240" w:lineRule="exact"/>
    </w:pPr>
    <w:rPr>
      <w:rFonts w:ascii="Verdana" w:hAnsi="Verdana" w:cs="Verdana"/>
      <w:sz w:val="20"/>
      <w:szCs w:val="20"/>
      <w:lang w:val="en-US" w:eastAsia="en-US"/>
    </w:rPr>
  </w:style>
  <w:style w:type="paragraph" w:customStyle="1" w:styleId="412">
    <w:name w:val="Знак Знак Знак Знак Знак Знак Знак Знак Знак Знак Знак Знак41"/>
    <w:basedOn w:val="a2"/>
    <w:rsid w:val="000A2FBC"/>
    <w:pPr>
      <w:tabs>
        <w:tab w:val="num" w:pos="360"/>
      </w:tabs>
      <w:spacing w:after="160" w:line="240" w:lineRule="exact"/>
    </w:pPr>
    <w:rPr>
      <w:rFonts w:ascii="Verdana" w:hAnsi="Verdana" w:cs="Verdana"/>
      <w:sz w:val="20"/>
      <w:szCs w:val="20"/>
      <w:lang w:val="en-US" w:eastAsia="en-US"/>
    </w:rPr>
  </w:style>
  <w:style w:type="paragraph" w:customStyle="1" w:styleId="401">
    <w:name w:val="Знак Знак Знак Знак Знак Знак Знак Знак Знак Знак Знак Знак40"/>
    <w:basedOn w:val="a2"/>
    <w:rsid w:val="00D2183A"/>
    <w:pPr>
      <w:tabs>
        <w:tab w:val="num" w:pos="360"/>
      </w:tabs>
      <w:spacing w:after="160" w:line="240" w:lineRule="exact"/>
    </w:pPr>
    <w:rPr>
      <w:rFonts w:ascii="Verdana" w:hAnsi="Verdana" w:cs="Verdana"/>
      <w:sz w:val="20"/>
      <w:szCs w:val="20"/>
      <w:lang w:val="en-US" w:eastAsia="en-US"/>
    </w:rPr>
  </w:style>
  <w:style w:type="paragraph" w:customStyle="1" w:styleId="391">
    <w:name w:val="Знак Знак Знак Знак Знак Знак Знак Знак Знак Знак Знак Знак39"/>
    <w:basedOn w:val="a2"/>
    <w:rsid w:val="0086449C"/>
    <w:pPr>
      <w:tabs>
        <w:tab w:val="num" w:pos="360"/>
      </w:tabs>
      <w:spacing w:after="160" w:line="240" w:lineRule="exact"/>
    </w:pPr>
    <w:rPr>
      <w:rFonts w:ascii="Verdana" w:hAnsi="Verdana" w:cs="Verdana"/>
      <w:sz w:val="20"/>
      <w:szCs w:val="20"/>
      <w:lang w:val="en-US" w:eastAsia="en-US"/>
    </w:rPr>
  </w:style>
  <w:style w:type="numbering" w:customStyle="1" w:styleId="392">
    <w:name w:val="Нет списка39"/>
    <w:next w:val="a5"/>
    <w:uiPriority w:val="99"/>
    <w:semiHidden/>
    <w:unhideWhenUsed/>
    <w:rsid w:val="004E3FF6"/>
  </w:style>
  <w:style w:type="table" w:customStyle="1" w:styleId="1200">
    <w:name w:val="Сетка таблицы120"/>
    <w:basedOn w:val="a4"/>
    <w:next w:val="afb"/>
    <w:uiPriority w:val="59"/>
    <w:rsid w:val="004E3FF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fb"/>
    <w:uiPriority w:val="39"/>
    <w:rsid w:val="004E3F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1">
    <w:name w:val="Нет списка119"/>
    <w:next w:val="a5"/>
    <w:uiPriority w:val="99"/>
    <w:semiHidden/>
    <w:unhideWhenUsed/>
    <w:rsid w:val="004E3FF6"/>
  </w:style>
  <w:style w:type="table" w:customStyle="1" w:styleId="2160">
    <w:name w:val="Сетка таблицы216"/>
    <w:basedOn w:val="a4"/>
    <w:next w:val="afb"/>
    <w:uiPriority w:val="39"/>
    <w:rsid w:val="004E3FF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
    <w:name w:val="Нет списка1110"/>
    <w:next w:val="a5"/>
    <w:uiPriority w:val="99"/>
    <w:semiHidden/>
    <w:unhideWhenUsed/>
    <w:rsid w:val="004E3FF6"/>
  </w:style>
  <w:style w:type="table" w:customStyle="1" w:styleId="217">
    <w:name w:val="Сетка таблицы217"/>
    <w:basedOn w:val="a4"/>
    <w:next w:val="afb"/>
    <w:uiPriority w:val="59"/>
    <w:rsid w:val="004E3F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
    <w:name w:val="Нет списка40"/>
    <w:next w:val="a5"/>
    <w:uiPriority w:val="99"/>
    <w:semiHidden/>
    <w:unhideWhenUsed/>
    <w:rsid w:val="00033E20"/>
  </w:style>
  <w:style w:type="numbering" w:customStyle="1" w:styleId="422">
    <w:name w:val="Нет списка42"/>
    <w:next w:val="a5"/>
    <w:uiPriority w:val="99"/>
    <w:semiHidden/>
    <w:unhideWhenUsed/>
    <w:rsid w:val="00033E20"/>
  </w:style>
  <w:style w:type="numbering" w:customStyle="1" w:styleId="432">
    <w:name w:val="Нет списка43"/>
    <w:next w:val="a5"/>
    <w:uiPriority w:val="99"/>
    <w:semiHidden/>
    <w:unhideWhenUsed/>
    <w:rsid w:val="002A178C"/>
  </w:style>
  <w:style w:type="numbering" w:customStyle="1" w:styleId="442">
    <w:name w:val="Нет списка44"/>
    <w:next w:val="a5"/>
    <w:uiPriority w:val="99"/>
    <w:semiHidden/>
    <w:unhideWhenUsed/>
    <w:rsid w:val="002A178C"/>
  </w:style>
  <w:style w:type="paragraph" w:customStyle="1" w:styleId="383">
    <w:name w:val="Знак Знак Знак Знак Знак Знак Знак Знак Знак Знак Знак Знак38"/>
    <w:basedOn w:val="a2"/>
    <w:rsid w:val="00ED080A"/>
    <w:pPr>
      <w:tabs>
        <w:tab w:val="num" w:pos="360"/>
      </w:tabs>
      <w:spacing w:after="160" w:line="240" w:lineRule="exact"/>
    </w:pPr>
    <w:rPr>
      <w:rFonts w:ascii="Verdana" w:hAnsi="Verdana" w:cs="Verdana"/>
      <w:sz w:val="20"/>
      <w:szCs w:val="20"/>
      <w:lang w:val="en-US" w:eastAsia="en-US"/>
    </w:rPr>
  </w:style>
  <w:style w:type="numbering" w:customStyle="1" w:styleId="451">
    <w:name w:val="Нет списка45"/>
    <w:next w:val="a5"/>
    <w:uiPriority w:val="99"/>
    <w:semiHidden/>
    <w:unhideWhenUsed/>
    <w:rsid w:val="002B16C5"/>
  </w:style>
  <w:style w:type="table" w:customStyle="1" w:styleId="560">
    <w:name w:val="Сетка таблицы56"/>
    <w:basedOn w:val="a4"/>
    <w:next w:val="afb"/>
    <w:rsid w:val="002B1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0">
    <w:name w:val="Сетка таблицы57"/>
    <w:basedOn w:val="a4"/>
    <w:next w:val="afb"/>
    <w:rsid w:val="002B1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3">
    <w:name w:val="Знак Знак Знак Знак Знак Знак Знак Знак Знак Знак Знак Знак37"/>
    <w:basedOn w:val="a2"/>
    <w:rsid w:val="007147D0"/>
    <w:pPr>
      <w:tabs>
        <w:tab w:val="num" w:pos="360"/>
      </w:tabs>
      <w:spacing w:after="160" w:line="240" w:lineRule="exact"/>
    </w:pPr>
    <w:rPr>
      <w:rFonts w:ascii="Verdana" w:hAnsi="Verdana" w:cs="Verdana"/>
      <w:sz w:val="20"/>
      <w:szCs w:val="20"/>
      <w:lang w:val="en-US" w:eastAsia="en-US"/>
    </w:rPr>
  </w:style>
  <w:style w:type="numbering" w:customStyle="1" w:styleId="461">
    <w:name w:val="Нет списка46"/>
    <w:next w:val="a5"/>
    <w:semiHidden/>
    <w:rsid w:val="00DF036E"/>
  </w:style>
  <w:style w:type="table" w:customStyle="1" w:styleId="580">
    <w:name w:val="Сетка таблицы58"/>
    <w:basedOn w:val="a4"/>
    <w:next w:val="afb"/>
    <w:rsid w:val="00DF03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
    <w:basedOn w:val="a4"/>
    <w:next w:val="afb"/>
    <w:uiPriority w:val="59"/>
    <w:rsid w:val="00CC40D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90">
    <w:name w:val="Сетка таблицы59"/>
    <w:basedOn w:val="a4"/>
    <w:next w:val="afb"/>
    <w:rsid w:val="00CC4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
    <w:name w:val="Нет списка47"/>
    <w:next w:val="a5"/>
    <w:uiPriority w:val="99"/>
    <w:semiHidden/>
    <w:unhideWhenUsed/>
    <w:rsid w:val="006F6B4A"/>
  </w:style>
  <w:style w:type="table" w:customStyle="1" w:styleId="601">
    <w:name w:val="Сетка таблицы60"/>
    <w:basedOn w:val="a4"/>
    <w:next w:val="afb"/>
    <w:rsid w:val="006F6B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4"/>
    <w:next w:val="afb"/>
    <w:uiPriority w:val="59"/>
    <w:rsid w:val="006F6B4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
    <w:name w:val="Сетка таблицы63"/>
    <w:basedOn w:val="a4"/>
    <w:next w:val="afb"/>
    <w:rsid w:val="006F6B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1">
    <w:name w:val="Нет списка48"/>
    <w:next w:val="a5"/>
    <w:uiPriority w:val="99"/>
    <w:semiHidden/>
    <w:unhideWhenUsed/>
    <w:rsid w:val="007E0F5F"/>
  </w:style>
  <w:style w:type="paragraph" w:customStyle="1" w:styleId="194">
    <w:name w:val="Знак Знак1 Знак Знак9"/>
    <w:basedOn w:val="a2"/>
    <w:rsid w:val="007E0F5F"/>
    <w:pPr>
      <w:tabs>
        <w:tab w:val="left" w:pos="360"/>
      </w:tabs>
      <w:spacing w:after="160" w:line="240" w:lineRule="exact"/>
    </w:pPr>
    <w:rPr>
      <w:rFonts w:ascii="Verdana" w:hAnsi="Verdana" w:cs="Verdana"/>
      <w:sz w:val="20"/>
      <w:szCs w:val="20"/>
      <w:lang w:val="en-US" w:eastAsia="en-US"/>
    </w:rPr>
  </w:style>
  <w:style w:type="table" w:customStyle="1" w:styleId="640">
    <w:name w:val="Сетка таблицы64"/>
    <w:basedOn w:val="a4"/>
    <w:next w:val="afb"/>
    <w:uiPriority w:val="39"/>
    <w:rsid w:val="007E0F5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uiPriority w:val="99"/>
    <w:semiHidden/>
    <w:unhideWhenUsed/>
    <w:rsid w:val="007E0F5F"/>
  </w:style>
  <w:style w:type="paragraph" w:customStyle="1" w:styleId="1ff0">
    <w:name w:val="Знак Знак1"/>
    <w:basedOn w:val="a2"/>
    <w:uiPriority w:val="99"/>
    <w:rsid w:val="007E0F5F"/>
    <w:pPr>
      <w:tabs>
        <w:tab w:val="num" w:pos="360"/>
      </w:tabs>
      <w:spacing w:after="160" w:line="240" w:lineRule="exact"/>
    </w:pPr>
    <w:rPr>
      <w:rFonts w:ascii="Verdana" w:eastAsia="Calibri" w:hAnsi="Verdana" w:cs="Verdana"/>
      <w:sz w:val="20"/>
      <w:szCs w:val="20"/>
      <w:lang w:val="en-US" w:eastAsia="en-US"/>
    </w:rPr>
  </w:style>
  <w:style w:type="character" w:customStyle="1" w:styleId="BodyTextChar">
    <w:name w:val="Body Text Char"/>
    <w:uiPriority w:val="99"/>
    <w:semiHidden/>
    <w:locked/>
    <w:rsid w:val="007E0F5F"/>
    <w:rPr>
      <w:rFonts w:ascii="Times New Roman" w:hAnsi="Times New Roman" w:cs="Times New Roman"/>
      <w:sz w:val="24"/>
      <w:szCs w:val="24"/>
    </w:rPr>
  </w:style>
  <w:style w:type="character" w:customStyle="1" w:styleId="TitleChar">
    <w:name w:val="Title Char"/>
    <w:uiPriority w:val="99"/>
    <w:locked/>
    <w:rsid w:val="007E0F5F"/>
    <w:rPr>
      <w:rFonts w:ascii="Cambria" w:hAnsi="Cambria" w:cs="Cambria"/>
      <w:b/>
      <w:bCs/>
      <w:kern w:val="28"/>
      <w:sz w:val="32"/>
      <w:szCs w:val="32"/>
    </w:rPr>
  </w:style>
  <w:style w:type="paragraph" w:customStyle="1" w:styleId="xl715">
    <w:name w:val="xl715"/>
    <w:basedOn w:val="a2"/>
    <w:rsid w:val="003A7EF0"/>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7">
    <w:name w:val="xl717"/>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9">
    <w:name w:val="xl719"/>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0">
    <w:name w:val="xl720"/>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3">
    <w:name w:val="xl723"/>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4">
    <w:name w:val="xl724"/>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5">
    <w:name w:val="xl725"/>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6">
    <w:name w:val="xl72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27">
    <w:name w:val="xl727"/>
    <w:basedOn w:val="a2"/>
    <w:rsid w:val="003A7EF0"/>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8">
    <w:name w:val="xl728"/>
    <w:basedOn w:val="a2"/>
    <w:rsid w:val="003A7EF0"/>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9">
    <w:name w:val="xl729"/>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1">
    <w:name w:val="xl731"/>
    <w:basedOn w:val="a2"/>
    <w:rsid w:val="003A7EF0"/>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2">
    <w:name w:val="xl732"/>
    <w:basedOn w:val="a2"/>
    <w:rsid w:val="003A7EF0"/>
    <w:pPr>
      <w:spacing w:before="100" w:beforeAutospacing="1" w:after="100" w:afterAutospacing="1"/>
      <w:jc w:val="center"/>
      <w:textAlignment w:val="center"/>
    </w:pPr>
  </w:style>
  <w:style w:type="paragraph" w:customStyle="1" w:styleId="xl733">
    <w:name w:val="xl733"/>
    <w:basedOn w:val="a2"/>
    <w:rsid w:val="003A7EF0"/>
    <w:pPr>
      <w:spacing w:before="100" w:beforeAutospacing="1" w:after="100" w:afterAutospacing="1"/>
      <w:jc w:val="center"/>
    </w:pPr>
    <w:rPr>
      <w:rFonts w:ascii="Bookman Old Style" w:hAnsi="Bookman Old Style"/>
      <w:b/>
      <w:bCs/>
      <w:sz w:val="20"/>
      <w:szCs w:val="20"/>
    </w:rPr>
  </w:style>
  <w:style w:type="paragraph" w:customStyle="1" w:styleId="xl734">
    <w:name w:val="xl734"/>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5">
    <w:name w:val="xl735"/>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36">
    <w:name w:val="xl736"/>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7">
    <w:name w:val="xl737"/>
    <w:basedOn w:val="a2"/>
    <w:rsid w:val="003A7EF0"/>
    <w:pPr>
      <w:pBdr>
        <w:left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38">
    <w:name w:val="xl738"/>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39">
    <w:name w:val="xl739"/>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40">
    <w:name w:val="xl740"/>
    <w:basedOn w:val="a2"/>
    <w:rsid w:val="003A7EF0"/>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41">
    <w:name w:val="xl741"/>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2">
    <w:name w:val="xl742"/>
    <w:basedOn w:val="a2"/>
    <w:rsid w:val="003A7EF0"/>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4">
    <w:name w:val="xl744"/>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5">
    <w:name w:val="xl745"/>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6">
    <w:name w:val="xl746"/>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8">
    <w:name w:val="xl748"/>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50">
    <w:name w:val="xl750"/>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1">
    <w:name w:val="xl751"/>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2">
    <w:name w:val="xl752"/>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53">
    <w:name w:val="xl753"/>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4">
    <w:name w:val="xl754"/>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755">
    <w:name w:val="xl755"/>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6">
    <w:name w:val="xl756"/>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7">
    <w:name w:val="xl757"/>
    <w:basedOn w:val="a2"/>
    <w:rsid w:val="003A7EF0"/>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2"/>
    <w:rsid w:val="003A7EF0"/>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9">
    <w:name w:val="xl759"/>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0">
    <w:name w:val="xl760"/>
    <w:basedOn w:val="a2"/>
    <w:rsid w:val="003A7EF0"/>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2">
    <w:name w:val="xl762"/>
    <w:basedOn w:val="a2"/>
    <w:rsid w:val="003A7EF0"/>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3">
    <w:name w:val="xl763"/>
    <w:basedOn w:val="a2"/>
    <w:rsid w:val="003A7EF0"/>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64">
    <w:name w:val="xl764"/>
    <w:basedOn w:val="a2"/>
    <w:rsid w:val="003A7EF0"/>
    <w:pPr>
      <w:spacing w:before="100" w:beforeAutospacing="1" w:after="100" w:afterAutospacing="1"/>
    </w:pPr>
    <w:rPr>
      <w:rFonts w:ascii="Bookman Old Style" w:hAnsi="Bookman Old Style"/>
      <w:b/>
      <w:bCs/>
      <w:sz w:val="20"/>
      <w:szCs w:val="20"/>
    </w:rPr>
  </w:style>
  <w:style w:type="paragraph" w:customStyle="1" w:styleId="xl765">
    <w:name w:val="xl765"/>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66">
    <w:name w:val="xl766"/>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7">
    <w:name w:val="xl767"/>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8">
    <w:name w:val="xl768"/>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69">
    <w:name w:val="xl769"/>
    <w:basedOn w:val="a2"/>
    <w:rsid w:val="003A7EF0"/>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0">
    <w:name w:val="xl770"/>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71">
    <w:name w:val="xl771"/>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2"/>
    <w:rsid w:val="003A7EF0"/>
    <w:pPr>
      <w:spacing w:before="100" w:beforeAutospacing="1" w:after="100" w:afterAutospacing="1"/>
      <w:jc w:val="center"/>
      <w:textAlignment w:val="center"/>
    </w:pPr>
    <w:rPr>
      <w:rFonts w:ascii="Bookman Old Style" w:hAnsi="Bookman Old Style"/>
      <w:sz w:val="20"/>
      <w:szCs w:val="20"/>
    </w:rPr>
  </w:style>
  <w:style w:type="paragraph" w:customStyle="1" w:styleId="xl773">
    <w:name w:val="xl773"/>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4">
    <w:name w:val="xl774"/>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75">
    <w:name w:val="xl775"/>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6">
    <w:name w:val="xl776"/>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7">
    <w:name w:val="xl777"/>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8">
    <w:name w:val="xl778"/>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79">
    <w:name w:val="xl779"/>
    <w:basedOn w:val="a2"/>
    <w:rsid w:val="003A7EF0"/>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0">
    <w:name w:val="xl780"/>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81">
    <w:name w:val="xl781"/>
    <w:basedOn w:val="a2"/>
    <w:rsid w:val="003A7EF0"/>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82">
    <w:name w:val="xl782"/>
    <w:basedOn w:val="a2"/>
    <w:rsid w:val="003A7E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3">
    <w:name w:val="xl783"/>
    <w:basedOn w:val="a2"/>
    <w:rsid w:val="003A7EF0"/>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4">
    <w:name w:val="xl784"/>
    <w:basedOn w:val="a2"/>
    <w:rsid w:val="003A7EF0"/>
    <w:pPr>
      <w:pBdr>
        <w:top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785">
    <w:name w:val="xl785"/>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6">
    <w:name w:val="xl78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7">
    <w:name w:val="xl787"/>
    <w:basedOn w:val="a2"/>
    <w:rsid w:val="003A7EF0"/>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88">
    <w:name w:val="xl788"/>
    <w:basedOn w:val="a2"/>
    <w:rsid w:val="003A7EF0"/>
    <w:pPr>
      <w:pBdr>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89">
    <w:name w:val="xl789"/>
    <w:basedOn w:val="a2"/>
    <w:rsid w:val="003A7EF0"/>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0">
    <w:name w:val="xl790"/>
    <w:basedOn w:val="a2"/>
    <w:rsid w:val="003A7EF0"/>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1">
    <w:name w:val="xl791"/>
    <w:basedOn w:val="a2"/>
    <w:rsid w:val="003A7EF0"/>
    <w:pPr>
      <w:pBdr>
        <w:top w:val="single" w:sz="8"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2">
    <w:name w:val="xl792"/>
    <w:basedOn w:val="a2"/>
    <w:rsid w:val="003A7EF0"/>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3">
    <w:name w:val="xl793"/>
    <w:basedOn w:val="a2"/>
    <w:rsid w:val="003A7EF0"/>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4">
    <w:name w:val="xl794"/>
    <w:basedOn w:val="a2"/>
    <w:rsid w:val="003A7EF0"/>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5">
    <w:name w:val="xl795"/>
    <w:basedOn w:val="a2"/>
    <w:rsid w:val="003A7EF0"/>
    <w:pPr>
      <w:pBdr>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6">
    <w:name w:val="xl796"/>
    <w:basedOn w:val="a2"/>
    <w:rsid w:val="003A7EF0"/>
    <w:pPr>
      <w:pBdr>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7">
    <w:name w:val="xl797"/>
    <w:basedOn w:val="a2"/>
    <w:rsid w:val="003A7EF0"/>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8">
    <w:name w:val="xl798"/>
    <w:basedOn w:val="a2"/>
    <w:rsid w:val="003A7EF0"/>
    <w:pPr>
      <w:pBdr>
        <w:top w:val="single" w:sz="8"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9">
    <w:name w:val="xl799"/>
    <w:basedOn w:val="a2"/>
    <w:rsid w:val="003A7EF0"/>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00">
    <w:name w:val="xl800"/>
    <w:basedOn w:val="a2"/>
    <w:rsid w:val="003A7EF0"/>
    <w:pPr>
      <w:pBdr>
        <w:top w:val="single" w:sz="4"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01">
    <w:name w:val="xl801"/>
    <w:basedOn w:val="a2"/>
    <w:rsid w:val="003A7EF0"/>
    <w:pPr>
      <w:spacing w:before="100" w:beforeAutospacing="1" w:after="100" w:afterAutospacing="1"/>
      <w:jc w:val="center"/>
    </w:pPr>
    <w:rPr>
      <w:rFonts w:ascii="Bookman Old Style" w:hAnsi="Bookman Old Style"/>
      <w:sz w:val="20"/>
      <w:szCs w:val="20"/>
    </w:rPr>
  </w:style>
  <w:style w:type="paragraph" w:customStyle="1" w:styleId="xl802">
    <w:name w:val="xl802"/>
    <w:basedOn w:val="a2"/>
    <w:rsid w:val="003A7EF0"/>
    <w:pPr>
      <w:spacing w:before="100" w:beforeAutospacing="1" w:after="100" w:afterAutospacing="1"/>
      <w:jc w:val="center"/>
    </w:pPr>
    <w:rPr>
      <w:rFonts w:ascii="Bookman Old Style" w:hAnsi="Bookman Old Style"/>
      <w:sz w:val="20"/>
      <w:szCs w:val="20"/>
    </w:rPr>
  </w:style>
  <w:style w:type="paragraph" w:customStyle="1" w:styleId="xl803">
    <w:name w:val="xl803"/>
    <w:basedOn w:val="a2"/>
    <w:rsid w:val="003A7EF0"/>
    <w:pPr>
      <w:spacing w:before="100" w:beforeAutospacing="1" w:after="100" w:afterAutospacing="1"/>
      <w:jc w:val="center"/>
    </w:pPr>
    <w:rPr>
      <w:rFonts w:ascii="Bookman Old Style" w:hAnsi="Bookman Old Style"/>
      <w:sz w:val="20"/>
      <w:szCs w:val="20"/>
    </w:rPr>
  </w:style>
  <w:style w:type="paragraph" w:customStyle="1" w:styleId="xl804">
    <w:name w:val="xl804"/>
    <w:basedOn w:val="a2"/>
    <w:rsid w:val="003A7EF0"/>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05">
    <w:name w:val="xl805"/>
    <w:basedOn w:val="a2"/>
    <w:rsid w:val="003A7EF0"/>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06">
    <w:name w:val="xl806"/>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7">
    <w:name w:val="xl807"/>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0">
    <w:name w:val="xl810"/>
    <w:basedOn w:val="a2"/>
    <w:rsid w:val="003A7EF0"/>
    <w:pPr>
      <w:spacing w:before="100" w:beforeAutospacing="1" w:after="100" w:afterAutospacing="1"/>
    </w:pPr>
    <w:rPr>
      <w:rFonts w:ascii="Arial CYR" w:hAnsi="Arial CYR" w:cs="Arial CYR"/>
      <w:b/>
      <w:bCs/>
      <w:i/>
      <w:iCs/>
      <w:sz w:val="20"/>
      <w:szCs w:val="20"/>
    </w:rPr>
  </w:style>
  <w:style w:type="paragraph" w:customStyle="1" w:styleId="xl811">
    <w:name w:val="xl811"/>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2">
    <w:name w:val="xl812"/>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3">
    <w:name w:val="xl813"/>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4">
    <w:name w:val="xl814"/>
    <w:basedOn w:val="a2"/>
    <w:rsid w:val="003A7EF0"/>
    <w:pPr>
      <w:pBdr>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15">
    <w:name w:val="xl815"/>
    <w:basedOn w:val="a2"/>
    <w:rsid w:val="003A7EF0"/>
    <w:pPr>
      <w:pBdr>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6">
    <w:name w:val="xl816"/>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8">
    <w:name w:val="xl818"/>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9">
    <w:name w:val="xl819"/>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20">
    <w:name w:val="xl820"/>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21">
    <w:name w:val="xl821"/>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2">
    <w:name w:val="xl822"/>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3">
    <w:name w:val="xl823"/>
    <w:basedOn w:val="a2"/>
    <w:rsid w:val="003A7EF0"/>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4">
    <w:name w:val="xl824"/>
    <w:basedOn w:val="a2"/>
    <w:rsid w:val="003A7EF0"/>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5">
    <w:name w:val="xl825"/>
    <w:basedOn w:val="a2"/>
    <w:rsid w:val="003A7EF0"/>
    <w:pPr>
      <w:shd w:val="clear" w:color="000000" w:fill="DAEEF3"/>
      <w:spacing w:before="100" w:beforeAutospacing="1" w:after="100" w:afterAutospacing="1"/>
    </w:pPr>
  </w:style>
  <w:style w:type="paragraph" w:customStyle="1" w:styleId="xl826">
    <w:name w:val="xl826"/>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7">
    <w:name w:val="xl827"/>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8">
    <w:name w:val="xl828"/>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9">
    <w:name w:val="xl829"/>
    <w:basedOn w:val="a2"/>
    <w:rsid w:val="003A7EF0"/>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30">
    <w:name w:val="xl830"/>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31">
    <w:name w:val="xl831"/>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32">
    <w:name w:val="xl832"/>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33">
    <w:name w:val="xl833"/>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34">
    <w:name w:val="xl834"/>
    <w:basedOn w:val="a2"/>
    <w:rsid w:val="003A7EF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35">
    <w:name w:val="xl835"/>
    <w:basedOn w:val="a2"/>
    <w:rsid w:val="003A7EF0"/>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836">
    <w:name w:val="xl836"/>
    <w:basedOn w:val="a2"/>
    <w:rsid w:val="003A7EF0"/>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837">
    <w:name w:val="xl837"/>
    <w:basedOn w:val="a2"/>
    <w:rsid w:val="003A7EF0"/>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838">
    <w:name w:val="xl838"/>
    <w:basedOn w:val="a2"/>
    <w:rsid w:val="003A7EF0"/>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39">
    <w:name w:val="xl839"/>
    <w:basedOn w:val="a2"/>
    <w:rsid w:val="003A7EF0"/>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40">
    <w:name w:val="xl840"/>
    <w:basedOn w:val="a2"/>
    <w:rsid w:val="003A7EF0"/>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41">
    <w:name w:val="xl841"/>
    <w:basedOn w:val="a2"/>
    <w:rsid w:val="003A7EF0"/>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42">
    <w:name w:val="xl842"/>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3">
    <w:name w:val="xl843"/>
    <w:basedOn w:val="a2"/>
    <w:rsid w:val="003A7EF0"/>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4">
    <w:name w:val="xl844"/>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5">
    <w:name w:val="xl845"/>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6">
    <w:name w:val="xl846"/>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7">
    <w:name w:val="xl847"/>
    <w:basedOn w:val="a2"/>
    <w:rsid w:val="003A7EF0"/>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8">
    <w:name w:val="xl848"/>
    <w:basedOn w:val="a2"/>
    <w:rsid w:val="003A7EF0"/>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9">
    <w:name w:val="xl849"/>
    <w:basedOn w:val="a2"/>
    <w:rsid w:val="003A7EF0"/>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50">
    <w:name w:val="xl850"/>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51">
    <w:name w:val="xl851"/>
    <w:basedOn w:val="a2"/>
    <w:rsid w:val="003A7EF0"/>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52">
    <w:name w:val="xl852"/>
    <w:basedOn w:val="a2"/>
    <w:rsid w:val="003A7EF0"/>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853">
    <w:name w:val="xl853"/>
    <w:basedOn w:val="a2"/>
    <w:rsid w:val="003A7EF0"/>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54">
    <w:name w:val="xl854"/>
    <w:basedOn w:val="a2"/>
    <w:rsid w:val="003A7EF0"/>
    <w:pPr>
      <w:pBdr>
        <w:left w:val="single" w:sz="4" w:space="0" w:color="auto"/>
      </w:pBdr>
      <w:spacing w:before="100" w:beforeAutospacing="1" w:after="100" w:afterAutospacing="1"/>
    </w:pPr>
    <w:rPr>
      <w:rFonts w:ascii="Bookman Old Style" w:hAnsi="Bookman Old Style"/>
      <w:sz w:val="20"/>
      <w:szCs w:val="20"/>
    </w:rPr>
  </w:style>
  <w:style w:type="paragraph" w:customStyle="1" w:styleId="xl855">
    <w:name w:val="xl855"/>
    <w:basedOn w:val="a2"/>
    <w:rsid w:val="003A7EF0"/>
    <w:pPr>
      <w:spacing w:before="100" w:beforeAutospacing="1" w:after="100" w:afterAutospacing="1"/>
    </w:pPr>
    <w:rPr>
      <w:rFonts w:ascii="Bookman Old Style" w:hAnsi="Bookman Old Style"/>
      <w:sz w:val="20"/>
      <w:szCs w:val="20"/>
    </w:rPr>
  </w:style>
  <w:style w:type="paragraph" w:customStyle="1" w:styleId="xl856">
    <w:name w:val="xl856"/>
    <w:basedOn w:val="a2"/>
    <w:rsid w:val="003A7EF0"/>
    <w:pPr>
      <w:pBdr>
        <w:right w:val="single" w:sz="4" w:space="0" w:color="auto"/>
      </w:pBdr>
      <w:spacing w:before="100" w:beforeAutospacing="1" w:after="100" w:afterAutospacing="1"/>
    </w:pPr>
    <w:rPr>
      <w:rFonts w:ascii="Bookman Old Style" w:hAnsi="Bookman Old Style"/>
      <w:sz w:val="20"/>
      <w:szCs w:val="20"/>
    </w:rPr>
  </w:style>
  <w:style w:type="paragraph" w:customStyle="1" w:styleId="xl857">
    <w:name w:val="xl857"/>
    <w:basedOn w:val="a2"/>
    <w:rsid w:val="003A7EF0"/>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8">
    <w:name w:val="xl858"/>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9">
    <w:name w:val="xl859"/>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0">
    <w:name w:val="xl860"/>
    <w:basedOn w:val="a2"/>
    <w:rsid w:val="003A7EF0"/>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1">
    <w:name w:val="xl861"/>
    <w:basedOn w:val="a2"/>
    <w:rsid w:val="003A7EF0"/>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2">
    <w:name w:val="xl862"/>
    <w:basedOn w:val="a2"/>
    <w:rsid w:val="003A7EF0"/>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63">
    <w:name w:val="xl863"/>
    <w:basedOn w:val="a2"/>
    <w:rsid w:val="003A7EF0"/>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64">
    <w:name w:val="xl864"/>
    <w:basedOn w:val="a2"/>
    <w:rsid w:val="003A7EF0"/>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65">
    <w:name w:val="xl865"/>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6">
    <w:name w:val="xl866"/>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7">
    <w:name w:val="xl867"/>
    <w:basedOn w:val="a2"/>
    <w:rsid w:val="003A7EF0"/>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68">
    <w:name w:val="xl868"/>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9">
    <w:name w:val="xl869"/>
    <w:basedOn w:val="a2"/>
    <w:rsid w:val="003A7EF0"/>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0">
    <w:name w:val="xl870"/>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1">
    <w:name w:val="xl871"/>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2">
    <w:name w:val="xl87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3">
    <w:name w:val="xl873"/>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4">
    <w:name w:val="xl874"/>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5">
    <w:name w:val="xl875"/>
    <w:basedOn w:val="a2"/>
    <w:rsid w:val="003A7EF0"/>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876">
    <w:name w:val="xl876"/>
    <w:basedOn w:val="a2"/>
    <w:rsid w:val="003A7EF0"/>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877">
    <w:name w:val="xl877"/>
    <w:basedOn w:val="a2"/>
    <w:rsid w:val="003A7EF0"/>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78">
    <w:name w:val="xl878"/>
    <w:basedOn w:val="a2"/>
    <w:rsid w:val="003A7EF0"/>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79">
    <w:name w:val="xl879"/>
    <w:basedOn w:val="a2"/>
    <w:rsid w:val="003A7EF0"/>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80">
    <w:name w:val="xl880"/>
    <w:basedOn w:val="a2"/>
    <w:rsid w:val="003A7EF0"/>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81">
    <w:name w:val="xl88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2">
    <w:name w:val="xl882"/>
    <w:basedOn w:val="a2"/>
    <w:rsid w:val="003A7EF0"/>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3">
    <w:name w:val="xl883"/>
    <w:basedOn w:val="a2"/>
    <w:rsid w:val="003A7EF0"/>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4">
    <w:name w:val="xl884"/>
    <w:basedOn w:val="a2"/>
    <w:rsid w:val="003A7E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5">
    <w:name w:val="xl885"/>
    <w:basedOn w:val="a2"/>
    <w:rsid w:val="003A7EF0"/>
    <w:pPr>
      <w:spacing w:before="100" w:beforeAutospacing="1" w:after="100" w:afterAutospacing="1"/>
      <w:jc w:val="center"/>
    </w:pPr>
  </w:style>
  <w:style w:type="paragraph" w:customStyle="1" w:styleId="xl886">
    <w:name w:val="xl886"/>
    <w:basedOn w:val="a2"/>
    <w:rsid w:val="003A7EF0"/>
    <w:pPr>
      <w:spacing w:before="100" w:beforeAutospacing="1" w:after="100" w:afterAutospacing="1"/>
      <w:jc w:val="center"/>
    </w:pPr>
  </w:style>
  <w:style w:type="paragraph" w:customStyle="1" w:styleId="xl887">
    <w:name w:val="xl887"/>
    <w:basedOn w:val="a2"/>
    <w:rsid w:val="003A7EF0"/>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8">
    <w:name w:val="xl888"/>
    <w:basedOn w:val="a2"/>
    <w:rsid w:val="003A7EF0"/>
    <w:pPr>
      <w:pBdr>
        <w:left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9">
    <w:name w:val="xl889"/>
    <w:basedOn w:val="a2"/>
    <w:rsid w:val="003A7EF0"/>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0">
    <w:name w:val="xl890"/>
    <w:basedOn w:val="a2"/>
    <w:rsid w:val="003A7EF0"/>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1">
    <w:name w:val="xl891"/>
    <w:basedOn w:val="a2"/>
    <w:rsid w:val="003A7EF0"/>
    <w:pPr>
      <w:pBdr>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2">
    <w:name w:val="xl892"/>
    <w:basedOn w:val="a2"/>
    <w:rsid w:val="003A7EF0"/>
    <w:pPr>
      <w:pBdr>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3">
    <w:name w:val="xl893"/>
    <w:basedOn w:val="a2"/>
    <w:rsid w:val="003A7EF0"/>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4">
    <w:name w:val="xl894"/>
    <w:basedOn w:val="a2"/>
    <w:rsid w:val="003A7EF0"/>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5">
    <w:name w:val="xl895"/>
    <w:basedOn w:val="a2"/>
    <w:rsid w:val="003A7EF0"/>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6">
    <w:name w:val="xl896"/>
    <w:basedOn w:val="a2"/>
    <w:rsid w:val="003A7EF0"/>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7">
    <w:name w:val="xl897"/>
    <w:basedOn w:val="a2"/>
    <w:rsid w:val="003A7EF0"/>
    <w:pPr>
      <w:spacing w:before="100" w:beforeAutospacing="1" w:after="100" w:afterAutospacing="1"/>
      <w:jc w:val="center"/>
      <w:textAlignment w:val="center"/>
    </w:pPr>
    <w:rPr>
      <w:rFonts w:ascii="Bookman Old Style" w:hAnsi="Bookman Old Style"/>
      <w:sz w:val="20"/>
      <w:szCs w:val="20"/>
    </w:rPr>
  </w:style>
  <w:style w:type="paragraph" w:customStyle="1" w:styleId="xl898">
    <w:name w:val="xl898"/>
    <w:basedOn w:val="a2"/>
    <w:rsid w:val="003A7EF0"/>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9">
    <w:name w:val="xl899"/>
    <w:basedOn w:val="a2"/>
    <w:rsid w:val="003A7EF0"/>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0">
    <w:name w:val="xl900"/>
    <w:basedOn w:val="a2"/>
    <w:rsid w:val="003A7EF0"/>
    <w:pPr>
      <w:pBdr>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1">
    <w:name w:val="xl901"/>
    <w:basedOn w:val="a2"/>
    <w:rsid w:val="003A7EF0"/>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4">
    <w:name w:val="xl904"/>
    <w:basedOn w:val="a2"/>
    <w:rsid w:val="003A7EF0"/>
    <w:pPr>
      <w:spacing w:before="100" w:beforeAutospacing="1" w:after="100" w:afterAutospacing="1"/>
      <w:jc w:val="center"/>
    </w:pPr>
    <w:rPr>
      <w:b/>
      <w:bCs/>
      <w:sz w:val="28"/>
      <w:szCs w:val="28"/>
    </w:rPr>
  </w:style>
  <w:style w:type="paragraph" w:customStyle="1" w:styleId="xl905">
    <w:name w:val="xl905"/>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6">
    <w:name w:val="xl90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7">
    <w:name w:val="xl907"/>
    <w:basedOn w:val="a2"/>
    <w:rsid w:val="003A7EF0"/>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8">
    <w:name w:val="xl908"/>
    <w:basedOn w:val="a2"/>
    <w:rsid w:val="003A7EF0"/>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9">
    <w:name w:val="xl909"/>
    <w:basedOn w:val="a2"/>
    <w:rsid w:val="003A7EF0"/>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10">
    <w:name w:val="xl910"/>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1">
    <w:name w:val="xl911"/>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2">
    <w:name w:val="xl912"/>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2"/>
    <w:rsid w:val="003A7EF0"/>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5">
    <w:name w:val="xl915"/>
    <w:basedOn w:val="a2"/>
    <w:rsid w:val="003A7EF0"/>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6">
    <w:name w:val="xl916"/>
    <w:basedOn w:val="a2"/>
    <w:rsid w:val="003A7EF0"/>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7">
    <w:name w:val="xl917"/>
    <w:basedOn w:val="a2"/>
    <w:rsid w:val="003A7EF0"/>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8">
    <w:name w:val="xl918"/>
    <w:basedOn w:val="a2"/>
    <w:rsid w:val="003A7EF0"/>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9">
    <w:name w:val="xl919"/>
    <w:basedOn w:val="a2"/>
    <w:rsid w:val="003A7EF0"/>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20">
    <w:name w:val="xl920"/>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2"/>
    <w:rsid w:val="003A7EF0"/>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926">
    <w:name w:val="xl926"/>
    <w:basedOn w:val="a2"/>
    <w:rsid w:val="003A7EF0"/>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927">
    <w:name w:val="xl927"/>
    <w:basedOn w:val="a2"/>
    <w:rsid w:val="003A7EF0"/>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928">
    <w:name w:val="xl928"/>
    <w:basedOn w:val="a2"/>
    <w:rsid w:val="003A7EF0"/>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929">
    <w:name w:val="xl929"/>
    <w:basedOn w:val="a2"/>
    <w:rsid w:val="003A7EF0"/>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930">
    <w:name w:val="xl930"/>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1">
    <w:name w:val="xl93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2"/>
    <w:rsid w:val="003A7EF0"/>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2"/>
    <w:rsid w:val="003A7EF0"/>
    <w:pPr>
      <w:shd w:val="clear" w:color="000000" w:fill="DAEEF3"/>
      <w:spacing w:before="100" w:beforeAutospacing="1" w:after="100" w:afterAutospacing="1"/>
      <w:jc w:val="center"/>
    </w:pPr>
    <w:rPr>
      <w:rFonts w:ascii="Bookman Old Style" w:hAnsi="Bookman Old Style"/>
    </w:rPr>
  </w:style>
  <w:style w:type="paragraph" w:customStyle="1" w:styleId="xl937">
    <w:name w:val="xl937"/>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2"/>
    <w:rsid w:val="003A7EF0"/>
    <w:pPr>
      <w:pBdr>
        <w:top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2"/>
    <w:rsid w:val="003A7EF0"/>
    <w:pPr>
      <w:pBdr>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2"/>
    <w:rsid w:val="003A7EF0"/>
    <w:pPr>
      <w:pBdr>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2"/>
    <w:rsid w:val="003A7EF0"/>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2">
    <w:name w:val="xl942"/>
    <w:basedOn w:val="a2"/>
    <w:rsid w:val="003A7EF0"/>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3">
    <w:name w:val="xl943"/>
    <w:basedOn w:val="a2"/>
    <w:rsid w:val="003A7EF0"/>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44">
    <w:name w:val="xl944"/>
    <w:basedOn w:val="a2"/>
    <w:rsid w:val="003A7EF0"/>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45">
    <w:name w:val="xl945"/>
    <w:basedOn w:val="a2"/>
    <w:rsid w:val="003A7EF0"/>
    <w:pPr>
      <w:pBdr>
        <w:top w:val="single" w:sz="4" w:space="0" w:color="auto"/>
      </w:pBdr>
      <w:spacing w:before="100" w:beforeAutospacing="1" w:after="100" w:afterAutospacing="1"/>
    </w:pPr>
    <w:rPr>
      <w:rFonts w:ascii="Bookman Old Style" w:hAnsi="Bookman Old Style"/>
      <w:sz w:val="20"/>
      <w:szCs w:val="20"/>
    </w:rPr>
  </w:style>
  <w:style w:type="paragraph" w:customStyle="1" w:styleId="xl946">
    <w:name w:val="xl946"/>
    <w:basedOn w:val="a2"/>
    <w:rsid w:val="003A7EF0"/>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3">
    <w:name w:val="xl63"/>
    <w:basedOn w:val="a2"/>
    <w:rsid w:val="00D15A07"/>
    <w:pPr>
      <w:pBdr>
        <w:left w:val="single" w:sz="4" w:space="0" w:color="auto"/>
      </w:pBdr>
      <w:spacing w:before="100" w:beforeAutospacing="1" w:after="100" w:afterAutospacing="1"/>
    </w:pPr>
  </w:style>
  <w:style w:type="paragraph" w:customStyle="1" w:styleId="xl64">
    <w:name w:val="xl64"/>
    <w:basedOn w:val="a2"/>
    <w:rsid w:val="00D15A07"/>
    <w:pPr>
      <w:pBdr>
        <w:right w:val="single" w:sz="4" w:space="0" w:color="auto"/>
      </w:pBdr>
      <w:spacing w:before="100" w:beforeAutospacing="1" w:after="100" w:afterAutospacing="1"/>
    </w:pPr>
  </w:style>
  <w:style w:type="paragraph" w:customStyle="1" w:styleId="362">
    <w:name w:val="Знак Знак Знак Знак Знак Знак Знак Знак Знак Знак Знак Знак36"/>
    <w:basedOn w:val="a2"/>
    <w:rsid w:val="00BB2C88"/>
    <w:pPr>
      <w:tabs>
        <w:tab w:val="num" w:pos="360"/>
      </w:tabs>
      <w:spacing w:after="160" w:line="240" w:lineRule="exact"/>
    </w:pPr>
    <w:rPr>
      <w:rFonts w:ascii="Verdana" w:hAnsi="Verdana" w:cs="Verdana"/>
      <w:sz w:val="20"/>
      <w:szCs w:val="20"/>
      <w:lang w:val="en-US" w:eastAsia="en-US"/>
    </w:rPr>
  </w:style>
  <w:style w:type="paragraph" w:customStyle="1" w:styleId="affff0">
    <w:name w:val="Содержимое таблицы"/>
    <w:basedOn w:val="a2"/>
    <w:rsid w:val="007653D0"/>
    <w:pPr>
      <w:widowControl w:val="0"/>
      <w:suppressLineNumbers/>
      <w:suppressAutoHyphens/>
    </w:pPr>
    <w:rPr>
      <w:rFonts w:ascii="Arial" w:eastAsia="Lucida Sans Unicode" w:hAnsi="Arial"/>
      <w:kern w:val="1"/>
      <w:sz w:val="20"/>
    </w:rPr>
  </w:style>
  <w:style w:type="paragraph" w:customStyle="1" w:styleId="222">
    <w:name w:val="Основной текст 22"/>
    <w:basedOn w:val="a2"/>
    <w:rsid w:val="007653D0"/>
    <w:pPr>
      <w:widowControl w:val="0"/>
      <w:suppressAutoHyphens/>
    </w:pPr>
    <w:rPr>
      <w:rFonts w:ascii="Arial" w:eastAsia="Lucida Sans Unicode" w:hAnsi="Arial"/>
      <w:b/>
      <w:kern w:val="1"/>
      <w:sz w:val="28"/>
    </w:rPr>
  </w:style>
  <w:style w:type="paragraph" w:customStyle="1" w:styleId="322">
    <w:name w:val="Основной текст с отступом 32"/>
    <w:basedOn w:val="a2"/>
    <w:rsid w:val="007653D0"/>
    <w:pPr>
      <w:widowControl w:val="0"/>
      <w:suppressAutoHyphens/>
      <w:ind w:left="360"/>
      <w:jc w:val="both"/>
    </w:pPr>
    <w:rPr>
      <w:rFonts w:ascii="Arial" w:eastAsia="Lucida Sans Unicode" w:hAnsi="Arial"/>
      <w:kern w:val="1"/>
      <w:sz w:val="20"/>
    </w:rPr>
  </w:style>
  <w:style w:type="paragraph" w:customStyle="1" w:styleId="223">
    <w:name w:val="Основной текст с отступом 22"/>
    <w:basedOn w:val="a2"/>
    <w:rsid w:val="007653D0"/>
    <w:pPr>
      <w:widowControl w:val="0"/>
      <w:suppressAutoHyphens/>
      <w:ind w:left="360"/>
      <w:jc w:val="center"/>
    </w:pPr>
    <w:rPr>
      <w:rFonts w:ascii="Arial" w:eastAsia="Lucida Sans Unicode" w:hAnsi="Arial"/>
      <w:b/>
      <w:bCs/>
      <w:kern w:val="1"/>
      <w:sz w:val="20"/>
    </w:rPr>
  </w:style>
  <w:style w:type="paragraph" w:customStyle="1" w:styleId="352">
    <w:name w:val="Знак Знак Знак Знак Знак Знак Знак Знак Знак Знак Знак Знак35"/>
    <w:basedOn w:val="a2"/>
    <w:rsid w:val="00110502"/>
    <w:pPr>
      <w:tabs>
        <w:tab w:val="num" w:pos="360"/>
      </w:tabs>
      <w:spacing w:after="160" w:line="240" w:lineRule="exact"/>
    </w:pPr>
    <w:rPr>
      <w:rFonts w:ascii="Verdana" w:hAnsi="Verdana" w:cs="Verdana"/>
      <w:sz w:val="20"/>
      <w:szCs w:val="20"/>
      <w:lang w:val="en-US" w:eastAsia="en-US"/>
    </w:rPr>
  </w:style>
  <w:style w:type="paragraph" w:customStyle="1" w:styleId="103">
    <w:name w:val="Абзац списка10"/>
    <w:basedOn w:val="a2"/>
    <w:autoRedefine/>
    <w:rsid w:val="00224E24"/>
    <w:pPr>
      <w:jc w:val="center"/>
    </w:pPr>
    <w:rPr>
      <w:snapToGrid w:val="0"/>
      <w:sz w:val="28"/>
      <w:szCs w:val="28"/>
    </w:rPr>
  </w:style>
  <w:style w:type="paragraph" w:customStyle="1" w:styleId="143">
    <w:name w:val="Знак14"/>
    <w:basedOn w:val="a2"/>
    <w:rsid w:val="00224E24"/>
    <w:pPr>
      <w:spacing w:after="160" w:line="240" w:lineRule="exact"/>
    </w:pPr>
    <w:rPr>
      <w:rFonts w:ascii="Verdana" w:hAnsi="Verdana" w:cs="Verdana"/>
      <w:sz w:val="20"/>
      <w:szCs w:val="20"/>
      <w:lang w:val="en-US" w:eastAsia="en-US"/>
    </w:rPr>
  </w:style>
  <w:style w:type="numbering" w:customStyle="1" w:styleId="1112">
    <w:name w:val="Нет списка1112"/>
    <w:next w:val="a5"/>
    <w:uiPriority w:val="99"/>
    <w:semiHidden/>
    <w:unhideWhenUsed/>
    <w:rsid w:val="00224E24"/>
  </w:style>
  <w:style w:type="numbering" w:customStyle="1" w:styleId="522">
    <w:name w:val="Нет списка52"/>
    <w:next w:val="a5"/>
    <w:uiPriority w:val="99"/>
    <w:semiHidden/>
    <w:unhideWhenUsed/>
    <w:rsid w:val="00224E24"/>
  </w:style>
  <w:style w:type="numbering" w:customStyle="1" w:styleId="622">
    <w:name w:val="Нет списка62"/>
    <w:next w:val="a5"/>
    <w:uiPriority w:val="99"/>
    <w:semiHidden/>
    <w:unhideWhenUsed/>
    <w:rsid w:val="00224E24"/>
  </w:style>
  <w:style w:type="numbering" w:customStyle="1" w:styleId="721">
    <w:name w:val="Нет списка72"/>
    <w:next w:val="a5"/>
    <w:uiPriority w:val="99"/>
    <w:semiHidden/>
    <w:unhideWhenUsed/>
    <w:rsid w:val="00224E24"/>
  </w:style>
  <w:style w:type="numbering" w:customStyle="1" w:styleId="3121">
    <w:name w:val="Нет списка312"/>
    <w:next w:val="a5"/>
    <w:uiPriority w:val="99"/>
    <w:semiHidden/>
    <w:unhideWhenUsed/>
    <w:rsid w:val="00224E24"/>
  </w:style>
  <w:style w:type="numbering" w:customStyle="1" w:styleId="4120">
    <w:name w:val="Нет списка412"/>
    <w:next w:val="a5"/>
    <w:uiPriority w:val="99"/>
    <w:semiHidden/>
    <w:unhideWhenUsed/>
    <w:rsid w:val="00224E24"/>
  </w:style>
  <w:style w:type="numbering" w:customStyle="1" w:styleId="5120">
    <w:name w:val="Нет списка512"/>
    <w:next w:val="a5"/>
    <w:uiPriority w:val="99"/>
    <w:semiHidden/>
    <w:unhideWhenUsed/>
    <w:rsid w:val="00224E24"/>
  </w:style>
  <w:style w:type="numbering" w:customStyle="1" w:styleId="6120">
    <w:name w:val="Нет списка612"/>
    <w:next w:val="a5"/>
    <w:uiPriority w:val="99"/>
    <w:semiHidden/>
    <w:unhideWhenUsed/>
    <w:rsid w:val="00224E24"/>
  </w:style>
  <w:style w:type="paragraph" w:customStyle="1" w:styleId="11c">
    <w:name w:val="Абзац списка11"/>
    <w:basedOn w:val="a2"/>
    <w:autoRedefine/>
    <w:rsid w:val="00B4525C"/>
    <w:pPr>
      <w:jc w:val="center"/>
    </w:pPr>
    <w:rPr>
      <w:snapToGrid w:val="0"/>
      <w:sz w:val="28"/>
      <w:szCs w:val="28"/>
    </w:rPr>
  </w:style>
  <w:style w:type="paragraph" w:customStyle="1" w:styleId="134">
    <w:name w:val="Знак13"/>
    <w:basedOn w:val="a2"/>
    <w:rsid w:val="00B4525C"/>
    <w:pPr>
      <w:spacing w:after="160" w:line="240" w:lineRule="exact"/>
    </w:pPr>
    <w:rPr>
      <w:rFonts w:ascii="Verdana" w:hAnsi="Verdana" w:cs="Verdana"/>
      <w:sz w:val="20"/>
      <w:szCs w:val="20"/>
      <w:lang w:val="en-US" w:eastAsia="en-US"/>
    </w:rPr>
  </w:style>
  <w:style w:type="paragraph" w:customStyle="1" w:styleId="166">
    <w:name w:val="Знак Знак Знак Знак16"/>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6c">
    <w:name w:val="Знак Знак Знак Знак Знак Знак Знак Знак6"/>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67">
    <w:name w:val="Знак Знак Знак Знак1 Знак Знак Знак Знак6"/>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89">
    <w:name w:val="Знак Знак Знак Знак8"/>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1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1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6d">
    <w:name w:val="Знак Знак Знак Знак Знак Знак Знак Знак Знак Знак Знак Знак Знак Знак6"/>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6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6"/>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6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6"/>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6e">
    <w:name w:val="Знак Знак Знак Знак Знак Знак Знак Знак Знак Знак6"/>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6f">
    <w:name w:val="Знак Знак Знак Знак Знак Знак Знак Знак Знак Знак Знак Знак Знак Знак Знак Знак6"/>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6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6"/>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363">
    <w:name w:val="Знак Знак36"/>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xl351">
    <w:name w:val="xl351"/>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057087"/>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057087"/>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057087"/>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057087"/>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057087"/>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057087"/>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057087"/>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057087"/>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057087"/>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057087"/>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057087"/>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057087"/>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05708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0570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057087"/>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05708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05708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057087"/>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057087"/>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57087"/>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57087"/>
    <w:pPr>
      <w:autoSpaceDE w:val="0"/>
      <w:autoSpaceDN w:val="0"/>
      <w:adjustRightInd w:val="0"/>
      <w:spacing w:after="0" w:line="240" w:lineRule="auto"/>
    </w:pPr>
    <w:rPr>
      <w:rFonts w:ascii="Tahoma" w:eastAsia="Times New Roman" w:hAnsi="Tahoma" w:cs="Tahoma"/>
      <w:sz w:val="26"/>
      <w:szCs w:val="26"/>
      <w:lang w:eastAsia="ru-RU"/>
    </w:rPr>
  </w:style>
  <w:style w:type="character" w:customStyle="1" w:styleId="1ff5">
    <w:name w:val="Заголовок №1_"/>
    <w:basedOn w:val="a3"/>
    <w:link w:val="1ff6"/>
    <w:rsid w:val="0010712E"/>
    <w:rPr>
      <w:rFonts w:ascii="Times New Roman" w:eastAsia="Times New Roman" w:hAnsi="Times New Roman" w:cs="Times New Roman"/>
      <w:b/>
      <w:bCs/>
      <w:spacing w:val="4"/>
      <w:sz w:val="35"/>
      <w:szCs w:val="35"/>
      <w:shd w:val="clear" w:color="auto" w:fill="FFFFFF"/>
    </w:rPr>
  </w:style>
  <w:style w:type="paragraph" w:customStyle="1" w:styleId="1ff6">
    <w:name w:val="Заголовок №1"/>
    <w:basedOn w:val="a2"/>
    <w:link w:val="1ff5"/>
    <w:rsid w:val="0010712E"/>
    <w:pPr>
      <w:widowControl w:val="0"/>
      <w:shd w:val="clear" w:color="auto" w:fill="FFFFFF"/>
      <w:spacing w:after="2520" w:line="648" w:lineRule="exact"/>
      <w:jc w:val="center"/>
      <w:outlineLvl w:val="0"/>
    </w:pPr>
    <w:rPr>
      <w:b/>
      <w:bCs/>
      <w:spacing w:val="4"/>
      <w:sz w:val="35"/>
      <w:szCs w:val="35"/>
      <w:lang w:eastAsia="en-US"/>
    </w:rPr>
  </w:style>
  <w:style w:type="character" w:customStyle="1" w:styleId="2f0">
    <w:name w:val="Основной текст (2)_"/>
    <w:basedOn w:val="a3"/>
    <w:link w:val="2f1"/>
    <w:rsid w:val="0010712E"/>
    <w:rPr>
      <w:rFonts w:ascii="Times New Roman" w:eastAsia="Times New Roman" w:hAnsi="Times New Roman" w:cs="Times New Roman"/>
      <w:b/>
      <w:bCs/>
      <w:spacing w:val="3"/>
      <w:sz w:val="28"/>
      <w:szCs w:val="28"/>
      <w:shd w:val="clear" w:color="auto" w:fill="FFFFFF"/>
    </w:rPr>
  </w:style>
  <w:style w:type="paragraph" w:customStyle="1" w:styleId="2f1">
    <w:name w:val="Основной текст (2)"/>
    <w:basedOn w:val="a2"/>
    <w:link w:val="2f0"/>
    <w:rsid w:val="0010712E"/>
    <w:pPr>
      <w:widowControl w:val="0"/>
      <w:shd w:val="clear" w:color="auto" w:fill="FFFFFF"/>
      <w:spacing w:before="900" w:after="4620" w:line="384" w:lineRule="exact"/>
      <w:jc w:val="both"/>
    </w:pPr>
    <w:rPr>
      <w:b/>
      <w:bCs/>
      <w:spacing w:val="3"/>
      <w:sz w:val="28"/>
      <w:szCs w:val="28"/>
      <w:lang w:eastAsia="en-US"/>
    </w:rPr>
  </w:style>
  <w:style w:type="character" w:customStyle="1" w:styleId="3b">
    <w:name w:val="Основной текст (3)_"/>
    <w:basedOn w:val="a3"/>
    <w:link w:val="3c"/>
    <w:rsid w:val="0010712E"/>
    <w:rPr>
      <w:rFonts w:ascii="Times New Roman" w:eastAsia="Times New Roman" w:hAnsi="Times New Roman" w:cs="Times New Roman"/>
      <w:b/>
      <w:bCs/>
      <w:spacing w:val="1"/>
      <w:sz w:val="25"/>
      <w:szCs w:val="25"/>
      <w:shd w:val="clear" w:color="auto" w:fill="FFFFFF"/>
    </w:rPr>
  </w:style>
  <w:style w:type="paragraph" w:customStyle="1" w:styleId="3c">
    <w:name w:val="Основной текст (3)"/>
    <w:basedOn w:val="a2"/>
    <w:link w:val="3b"/>
    <w:rsid w:val="0010712E"/>
    <w:pPr>
      <w:widowControl w:val="0"/>
      <w:shd w:val="clear" w:color="auto" w:fill="FFFFFF"/>
      <w:spacing w:after="240" w:line="0" w:lineRule="atLeast"/>
      <w:jc w:val="center"/>
    </w:pPr>
    <w:rPr>
      <w:b/>
      <w:bCs/>
      <w:spacing w:val="1"/>
      <w:sz w:val="25"/>
      <w:szCs w:val="25"/>
      <w:lang w:eastAsia="en-US"/>
    </w:rPr>
  </w:style>
  <w:style w:type="character" w:customStyle="1" w:styleId="0pt">
    <w:name w:val="Основной текст + Полужирный;Интервал 0 pt"/>
    <w:basedOn w:val="afff3"/>
    <w:rsid w:val="001B11DE"/>
    <w:rPr>
      <w:rFonts w:ascii="Times New Roman" w:eastAsia="Times New Roman" w:hAnsi="Times New Roman" w:cs="Times New Roman"/>
      <w:b/>
      <w:bCs/>
      <w:i w:val="0"/>
      <w:iCs w:val="0"/>
      <w:smallCaps w:val="0"/>
      <w:strike w:val="0"/>
      <w:color w:val="000000"/>
      <w:spacing w:val="1"/>
      <w:w w:val="100"/>
      <w:position w:val="0"/>
      <w:sz w:val="25"/>
      <w:szCs w:val="25"/>
      <w:u w:val="none"/>
      <w:shd w:val="clear" w:color="auto" w:fill="FFFFFF"/>
      <w:lang w:val="ru-RU"/>
    </w:rPr>
  </w:style>
  <w:style w:type="character" w:customStyle="1" w:styleId="affff1">
    <w:name w:val="Колонтитул_"/>
    <w:basedOn w:val="a3"/>
    <w:link w:val="affff2"/>
    <w:rsid w:val="00771F83"/>
    <w:rPr>
      <w:rFonts w:ascii="Times New Roman" w:eastAsia="Times New Roman" w:hAnsi="Times New Roman" w:cs="Times New Roman"/>
      <w:sz w:val="25"/>
      <w:szCs w:val="25"/>
      <w:shd w:val="clear" w:color="auto" w:fill="FFFFFF"/>
    </w:rPr>
  </w:style>
  <w:style w:type="paragraph" w:customStyle="1" w:styleId="affff2">
    <w:name w:val="Колонтитул"/>
    <w:basedOn w:val="a2"/>
    <w:link w:val="affff1"/>
    <w:rsid w:val="00771F83"/>
    <w:pPr>
      <w:widowControl w:val="0"/>
      <w:shd w:val="clear" w:color="auto" w:fill="FFFFFF"/>
      <w:spacing w:line="0" w:lineRule="atLeast"/>
    </w:pPr>
    <w:rPr>
      <w:sz w:val="25"/>
      <w:szCs w:val="25"/>
      <w:lang w:eastAsia="en-US"/>
    </w:rPr>
  </w:style>
  <w:style w:type="character" w:customStyle="1" w:styleId="95pt0pt">
    <w:name w:val="Основной текст + 9;5 pt;Полужирный;Интервал 0 pt"/>
    <w:basedOn w:val="afff3"/>
    <w:rsid w:val="00771F83"/>
    <w:rPr>
      <w:rFonts w:ascii="Times New Roman" w:eastAsia="Times New Roman" w:hAnsi="Times New Roman" w:cs="Times New Roman"/>
      <w:b/>
      <w:bCs/>
      <w:i w:val="0"/>
      <w:iCs w:val="0"/>
      <w:smallCaps w:val="0"/>
      <w:strike w:val="0"/>
      <w:color w:val="000000"/>
      <w:spacing w:val="2"/>
      <w:w w:val="100"/>
      <w:position w:val="0"/>
      <w:sz w:val="19"/>
      <w:szCs w:val="19"/>
      <w:u w:val="none"/>
      <w:shd w:val="clear" w:color="auto" w:fill="FFFFFF"/>
      <w:lang w:val="ru-RU"/>
    </w:rPr>
  </w:style>
  <w:style w:type="character" w:customStyle="1" w:styleId="95pt0pt0">
    <w:name w:val="Основной текст + 9;5 pt;Интервал 0 pt"/>
    <w:basedOn w:val="afff3"/>
    <w:rsid w:val="00771F83"/>
    <w:rPr>
      <w:rFonts w:ascii="Times New Roman" w:eastAsia="Times New Roman" w:hAnsi="Times New Roman" w:cs="Times New Roman"/>
      <w:b w:val="0"/>
      <w:bCs w:val="0"/>
      <w:i w:val="0"/>
      <w:iCs w:val="0"/>
      <w:smallCaps w:val="0"/>
      <w:strike w:val="0"/>
      <w:color w:val="000000"/>
      <w:spacing w:val="3"/>
      <w:w w:val="100"/>
      <w:position w:val="0"/>
      <w:sz w:val="19"/>
      <w:szCs w:val="19"/>
      <w:u w:val="none"/>
      <w:shd w:val="clear" w:color="auto" w:fill="FFFFFF"/>
      <w:lang w:val="ru-RU"/>
    </w:rPr>
  </w:style>
  <w:style w:type="character" w:customStyle="1" w:styleId="135pt0pt">
    <w:name w:val="Основной текст + 13;5 pt;Интервал 0 pt"/>
    <w:basedOn w:val="afff3"/>
    <w:rsid w:val="00771F83"/>
    <w:rPr>
      <w:rFonts w:ascii="Times New Roman" w:eastAsia="Times New Roman" w:hAnsi="Times New Roman" w:cs="Times New Roman"/>
      <w:b w:val="0"/>
      <w:bCs w:val="0"/>
      <w:i w:val="0"/>
      <w:iCs w:val="0"/>
      <w:smallCaps w:val="0"/>
      <w:strike w:val="0"/>
      <w:color w:val="000000"/>
      <w:spacing w:val="-2"/>
      <w:w w:val="100"/>
      <w:position w:val="0"/>
      <w:sz w:val="27"/>
      <w:szCs w:val="27"/>
      <w:u w:val="none"/>
      <w:shd w:val="clear" w:color="auto" w:fill="FFFFFF"/>
      <w:lang w:val="ru-RU"/>
    </w:rPr>
  </w:style>
  <w:style w:type="character" w:customStyle="1" w:styleId="75pt0pt">
    <w:name w:val="Основной текст + 7;5 pt;Интервал 0 pt"/>
    <w:basedOn w:val="afff3"/>
    <w:rsid w:val="00080AF7"/>
    <w:rPr>
      <w:rFonts w:ascii="Times New Roman" w:eastAsia="Times New Roman" w:hAnsi="Times New Roman" w:cs="Times New Roman"/>
      <w:b w:val="0"/>
      <w:bCs w:val="0"/>
      <w:i w:val="0"/>
      <w:iCs w:val="0"/>
      <w:smallCaps w:val="0"/>
      <w:strike w:val="0"/>
      <w:color w:val="000000"/>
      <w:spacing w:val="3"/>
      <w:w w:val="100"/>
      <w:position w:val="0"/>
      <w:sz w:val="15"/>
      <w:szCs w:val="15"/>
      <w:u w:val="none"/>
      <w:shd w:val="clear" w:color="auto" w:fill="FFFFFF"/>
      <w:lang w:val="ru-RU"/>
    </w:rPr>
  </w:style>
  <w:style w:type="character" w:customStyle="1" w:styleId="75pt0pt0">
    <w:name w:val="Основной текст + 7;5 pt;Полужирный;Интервал 0 pt"/>
    <w:basedOn w:val="afff3"/>
    <w:rsid w:val="00080AF7"/>
    <w:rPr>
      <w:rFonts w:ascii="Times New Roman" w:eastAsia="Times New Roman" w:hAnsi="Times New Roman" w:cs="Times New Roman"/>
      <w:b/>
      <w:bCs/>
      <w:i w:val="0"/>
      <w:iCs w:val="0"/>
      <w:smallCaps w:val="0"/>
      <w:strike w:val="0"/>
      <w:color w:val="000000"/>
      <w:spacing w:val="5"/>
      <w:w w:val="100"/>
      <w:position w:val="0"/>
      <w:sz w:val="15"/>
      <w:szCs w:val="15"/>
      <w:u w:val="none"/>
      <w:shd w:val="clear" w:color="auto" w:fill="FFFFFF"/>
      <w:lang w:val="ru-RU"/>
    </w:rPr>
  </w:style>
  <w:style w:type="character" w:customStyle="1" w:styleId="affff3">
    <w:name w:val="Подпись к таблице_"/>
    <w:basedOn w:val="a3"/>
    <w:rsid w:val="00080AF7"/>
    <w:rPr>
      <w:rFonts w:ascii="Times New Roman" w:eastAsia="Times New Roman" w:hAnsi="Times New Roman" w:cs="Times New Roman"/>
      <w:b w:val="0"/>
      <w:bCs w:val="0"/>
      <w:i w:val="0"/>
      <w:iCs w:val="0"/>
      <w:smallCaps w:val="0"/>
      <w:strike w:val="0"/>
      <w:sz w:val="25"/>
      <w:szCs w:val="25"/>
      <w:u w:val="none"/>
    </w:rPr>
  </w:style>
  <w:style w:type="paragraph" w:customStyle="1" w:styleId="332">
    <w:name w:val="Знак Знак Знак Знак Знак Знак Знак Знак Знак Знак Знак Знак33"/>
    <w:basedOn w:val="a2"/>
    <w:rsid w:val="00307532"/>
    <w:pPr>
      <w:tabs>
        <w:tab w:val="num" w:pos="360"/>
      </w:tabs>
      <w:spacing w:after="160" w:line="240" w:lineRule="exact"/>
    </w:pPr>
    <w:rPr>
      <w:rFonts w:ascii="Verdana" w:hAnsi="Verdana" w:cs="Verdana"/>
      <w:sz w:val="20"/>
      <w:szCs w:val="20"/>
      <w:lang w:val="en-US" w:eastAsia="en-US"/>
    </w:rPr>
  </w:style>
  <w:style w:type="numbering" w:customStyle="1" w:styleId="491">
    <w:name w:val="Нет списка49"/>
    <w:next w:val="a5"/>
    <w:uiPriority w:val="99"/>
    <w:semiHidden/>
    <w:unhideWhenUsed/>
    <w:rsid w:val="001B4046"/>
  </w:style>
  <w:style w:type="table" w:customStyle="1" w:styleId="TableGrid">
    <w:name w:val="TableGrid"/>
    <w:rsid w:val="001B4046"/>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650">
    <w:name w:val="Сетка таблицы65"/>
    <w:basedOn w:val="a4"/>
    <w:next w:val="afb"/>
    <w:uiPriority w:val="39"/>
    <w:rsid w:val="001B40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2">
    <w:name w:val="Нет списка50"/>
    <w:next w:val="a5"/>
    <w:uiPriority w:val="99"/>
    <w:semiHidden/>
    <w:unhideWhenUsed/>
    <w:rsid w:val="001B4046"/>
  </w:style>
  <w:style w:type="paragraph" w:customStyle="1" w:styleId="xl40328">
    <w:name w:val="xl40328"/>
    <w:basedOn w:val="a2"/>
    <w:rsid w:val="001B4046"/>
    <w:pPr>
      <w:spacing w:before="100" w:beforeAutospacing="1" w:after="100" w:afterAutospacing="1"/>
      <w:textAlignment w:val="center"/>
    </w:pPr>
    <w:rPr>
      <w:b/>
      <w:bCs/>
      <w:sz w:val="28"/>
      <w:szCs w:val="28"/>
    </w:rPr>
  </w:style>
  <w:style w:type="paragraph" w:customStyle="1" w:styleId="xl40329">
    <w:name w:val="xl40329"/>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330">
    <w:name w:val="xl40330"/>
    <w:basedOn w:val="a2"/>
    <w:rsid w:val="001B4046"/>
    <w:pPr>
      <w:spacing w:before="100" w:beforeAutospacing="1" w:after="100" w:afterAutospacing="1"/>
    </w:pPr>
    <w:rPr>
      <w:sz w:val="28"/>
      <w:szCs w:val="28"/>
    </w:rPr>
  </w:style>
  <w:style w:type="paragraph" w:customStyle="1" w:styleId="xl40331">
    <w:name w:val="xl40331"/>
    <w:basedOn w:val="a2"/>
    <w:rsid w:val="001B4046"/>
    <w:pPr>
      <w:spacing w:before="100" w:beforeAutospacing="1" w:after="100" w:afterAutospacing="1"/>
    </w:pPr>
    <w:rPr>
      <w:b/>
      <w:bCs/>
      <w:sz w:val="28"/>
      <w:szCs w:val="28"/>
    </w:rPr>
  </w:style>
  <w:style w:type="paragraph" w:customStyle="1" w:styleId="xl40332">
    <w:name w:val="xl40332"/>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3">
    <w:name w:val="xl40333"/>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34">
    <w:name w:val="xl40334"/>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35">
    <w:name w:val="xl40335"/>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6">
    <w:name w:val="xl40336"/>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7">
    <w:name w:val="xl40337"/>
    <w:basedOn w:val="a2"/>
    <w:rsid w:val="001B404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38">
    <w:name w:val="xl40338"/>
    <w:basedOn w:val="a2"/>
    <w:rsid w:val="001B4046"/>
    <w:pPr>
      <w:pBdr>
        <w:top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39">
    <w:name w:val="xl40339"/>
    <w:basedOn w:val="a2"/>
    <w:rsid w:val="001B404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0">
    <w:name w:val="xl40340"/>
    <w:basedOn w:val="a2"/>
    <w:rsid w:val="001B404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41">
    <w:name w:val="xl40341"/>
    <w:basedOn w:val="a2"/>
    <w:rsid w:val="001B4046"/>
    <w:pPr>
      <w:pBdr>
        <w:top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42">
    <w:name w:val="xl40342"/>
    <w:basedOn w:val="a2"/>
    <w:rsid w:val="001B404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3">
    <w:name w:val="xl40343"/>
    <w:basedOn w:val="a2"/>
    <w:rsid w:val="001B4046"/>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4">
    <w:name w:val="xl40344"/>
    <w:basedOn w:val="a2"/>
    <w:rsid w:val="001B4046"/>
    <w:pPr>
      <w:pBdr>
        <w:left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5">
    <w:name w:val="xl40345"/>
    <w:basedOn w:val="a2"/>
    <w:rsid w:val="001B4046"/>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6">
    <w:name w:val="xl40346"/>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7">
    <w:name w:val="xl40347"/>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48">
    <w:name w:val="xl40348"/>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49">
    <w:name w:val="xl40349"/>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50">
    <w:name w:val="xl40350"/>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51">
    <w:name w:val="xl40351"/>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52">
    <w:name w:val="xl40352"/>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numbering" w:customStyle="1" w:styleId="532">
    <w:name w:val="Нет списка53"/>
    <w:next w:val="a5"/>
    <w:semiHidden/>
    <w:rsid w:val="00AA1D88"/>
  </w:style>
  <w:style w:type="table" w:customStyle="1" w:styleId="660">
    <w:name w:val="Сетка таблицы66"/>
    <w:basedOn w:val="a4"/>
    <w:next w:val="afb"/>
    <w:rsid w:val="00AA1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4"/>
    <w:next w:val="afb"/>
    <w:uiPriority w:val="59"/>
    <w:rsid w:val="00AA1D8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0">
    <w:name w:val="Сетка таблицы67"/>
    <w:basedOn w:val="a4"/>
    <w:next w:val="afb"/>
    <w:rsid w:val="00AA1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2"/>
    <w:rsid w:val="00315C60"/>
    <w:pPr>
      <w:tabs>
        <w:tab w:val="num" w:pos="360"/>
      </w:tabs>
      <w:spacing w:after="160" w:line="240" w:lineRule="exact"/>
    </w:pPr>
    <w:rPr>
      <w:rFonts w:ascii="Verdana" w:hAnsi="Verdana" w:cs="Verdana"/>
      <w:sz w:val="20"/>
      <w:szCs w:val="20"/>
      <w:lang w:val="en-US" w:eastAsia="en-US"/>
    </w:rPr>
  </w:style>
  <w:style w:type="paragraph" w:customStyle="1" w:styleId="315">
    <w:name w:val="Знак Знак Знак Знак Знак Знак Знак Знак Знак Знак Знак Знак31"/>
    <w:basedOn w:val="a2"/>
    <w:rsid w:val="00F0164D"/>
    <w:pPr>
      <w:tabs>
        <w:tab w:val="num" w:pos="360"/>
      </w:tabs>
      <w:spacing w:after="160" w:line="240" w:lineRule="exact"/>
    </w:pPr>
    <w:rPr>
      <w:rFonts w:ascii="Verdana" w:hAnsi="Verdana" w:cs="Verdana"/>
      <w:sz w:val="20"/>
      <w:szCs w:val="20"/>
      <w:lang w:val="en-US" w:eastAsia="en-US"/>
    </w:rPr>
  </w:style>
  <w:style w:type="numbering" w:customStyle="1" w:styleId="542">
    <w:name w:val="Нет списка54"/>
    <w:next w:val="a5"/>
    <w:uiPriority w:val="99"/>
    <w:semiHidden/>
    <w:unhideWhenUsed/>
    <w:rsid w:val="008E79D9"/>
  </w:style>
  <w:style w:type="numbering" w:customStyle="1" w:styleId="1231">
    <w:name w:val="Нет списка123"/>
    <w:next w:val="a5"/>
    <w:uiPriority w:val="99"/>
    <w:semiHidden/>
    <w:rsid w:val="008E79D9"/>
  </w:style>
  <w:style w:type="table" w:customStyle="1" w:styleId="680">
    <w:name w:val="Сетка таблицы68"/>
    <w:basedOn w:val="a4"/>
    <w:next w:val="afb"/>
    <w:uiPriority w:val="39"/>
    <w:rsid w:val="008E79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5"/>
    <w:uiPriority w:val="99"/>
    <w:semiHidden/>
    <w:unhideWhenUsed/>
    <w:rsid w:val="008E79D9"/>
  </w:style>
  <w:style w:type="table" w:customStyle="1" w:styleId="124">
    <w:name w:val="Сетка таблицы124"/>
    <w:basedOn w:val="a4"/>
    <w:next w:val="afb"/>
    <w:uiPriority w:val="39"/>
    <w:rsid w:val="008E79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5"/>
    <w:uiPriority w:val="99"/>
    <w:semiHidden/>
    <w:unhideWhenUsed/>
    <w:rsid w:val="008E79D9"/>
  </w:style>
  <w:style w:type="numbering" w:customStyle="1" w:styleId="551">
    <w:name w:val="Нет списка55"/>
    <w:next w:val="a5"/>
    <w:uiPriority w:val="99"/>
    <w:semiHidden/>
    <w:unhideWhenUsed/>
    <w:rsid w:val="00890C3D"/>
  </w:style>
  <w:style w:type="paragraph" w:customStyle="1" w:styleId="gmail-msobodytextindentmrcssattr">
    <w:name w:val="gmail-msobodytextindent_mr_css_attr"/>
    <w:basedOn w:val="a2"/>
    <w:rsid w:val="00890C3D"/>
    <w:pPr>
      <w:spacing w:before="100" w:beforeAutospacing="1" w:after="100" w:afterAutospacing="1"/>
    </w:pPr>
  </w:style>
  <w:style w:type="paragraph" w:customStyle="1" w:styleId="msonormalmrcssattr">
    <w:name w:val="msonormal_mr_css_attr"/>
    <w:basedOn w:val="a2"/>
    <w:rsid w:val="00890C3D"/>
    <w:pPr>
      <w:spacing w:before="100" w:beforeAutospacing="1" w:after="100" w:afterAutospacing="1"/>
    </w:pPr>
  </w:style>
  <w:style w:type="numbering" w:customStyle="1" w:styleId="561">
    <w:name w:val="Нет списка56"/>
    <w:next w:val="a5"/>
    <w:uiPriority w:val="99"/>
    <w:semiHidden/>
    <w:unhideWhenUsed/>
    <w:rsid w:val="008D5163"/>
  </w:style>
  <w:style w:type="table" w:customStyle="1" w:styleId="690">
    <w:name w:val="Сетка таблицы69"/>
    <w:basedOn w:val="a4"/>
    <w:next w:val="afb"/>
    <w:uiPriority w:val="39"/>
    <w:rsid w:val="008D51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Нет списка57"/>
    <w:next w:val="a5"/>
    <w:uiPriority w:val="99"/>
    <w:semiHidden/>
    <w:rsid w:val="008D5163"/>
  </w:style>
  <w:style w:type="table" w:customStyle="1" w:styleId="701">
    <w:name w:val="Сетка таблицы70"/>
    <w:basedOn w:val="a4"/>
    <w:next w:val="afb"/>
    <w:rsid w:val="008D51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5"/>
    <w:uiPriority w:val="99"/>
    <w:semiHidden/>
    <w:unhideWhenUsed/>
    <w:rsid w:val="008D5163"/>
  </w:style>
  <w:style w:type="paragraph" w:customStyle="1" w:styleId="154">
    <w:name w:val="Знак Знак Знак Знак15"/>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7c">
    <w:name w:val="Знак Знак Знак Знак7"/>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5b">
    <w:name w:val="Знак Знак Знак Знак Знак Знак Знак Знак5"/>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55">
    <w:name w:val="Знак Знак Знак Знак1 Знак Знак Знак Знак5"/>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5c">
    <w:name w:val="Знак Знак Знак Знак Знак Знак Знак Знак Знак Знак5"/>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152">
    <w:name w:val="Знак Знак1 Знак Знак15"/>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5d">
    <w:name w:val="Знак Знак Знак Знак Знак Знак Знак Знак Знак Знак Знак Знак Знак Знак5"/>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56">
    <w:name w:val="Знак Знак Знак Знак1 Знак Знак Знак Знак Знак Знак Знак Знак Знак Знак Знак Знак Знак Знак Знак Знак Знак Знак Знак Знак Знак Знак Знак Знак5"/>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5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5"/>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58">
    <w:name w:val="Знак Знак1 Знак Знак Знак Знак Знак Знак Знак Знак Знак Знак Знак Знак Знак Знак Знак Знак5"/>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5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5"/>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5e">
    <w:name w:val="Знак Знак Знак Знак Знак Знак Знак Знак Знак Знак Знак Знак Знак Знак Знак Знак5"/>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353">
    <w:name w:val="Знак Знак35"/>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5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2"/>
    <w:rsid w:val="008D5163"/>
    <w:pPr>
      <w:tabs>
        <w:tab w:val="num" w:pos="360"/>
      </w:tabs>
      <w:spacing w:after="160" w:line="240" w:lineRule="exact"/>
    </w:pPr>
    <w:rPr>
      <w:rFonts w:ascii="Verdana" w:hAnsi="Verdana" w:cs="Verdana"/>
      <w:sz w:val="20"/>
      <w:szCs w:val="20"/>
      <w:lang w:val="en-US" w:eastAsia="en-US"/>
    </w:rPr>
  </w:style>
  <w:style w:type="numbering" w:customStyle="1" w:styleId="581">
    <w:name w:val="Нет списка58"/>
    <w:next w:val="a5"/>
    <w:uiPriority w:val="99"/>
    <w:semiHidden/>
    <w:unhideWhenUsed/>
    <w:rsid w:val="006B12DF"/>
  </w:style>
  <w:style w:type="table" w:customStyle="1" w:styleId="3130">
    <w:name w:val="Сетка таблицы313"/>
    <w:basedOn w:val="a4"/>
    <w:next w:val="afb"/>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4"/>
    <w:next w:val="afb"/>
    <w:uiPriority w:val="39"/>
    <w:rsid w:val="006B12D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5"/>
    <w:uiPriority w:val="99"/>
    <w:semiHidden/>
    <w:unhideWhenUsed/>
    <w:rsid w:val="006B12DF"/>
  </w:style>
  <w:style w:type="table" w:customStyle="1" w:styleId="1250">
    <w:name w:val="Сетка таблицы125"/>
    <w:basedOn w:val="a4"/>
    <w:next w:val="afb"/>
    <w:uiPriority w:val="59"/>
    <w:rsid w:val="006B12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
    <w:name w:val="Сетка таблицы218"/>
    <w:basedOn w:val="a4"/>
    <w:next w:val="afb"/>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
    <w:basedOn w:val="a4"/>
    <w:next w:val="afb"/>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4"/>
    <w:next w:val="afb"/>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Нет списка215"/>
    <w:next w:val="a5"/>
    <w:uiPriority w:val="99"/>
    <w:semiHidden/>
    <w:unhideWhenUsed/>
    <w:rsid w:val="006B12DF"/>
  </w:style>
  <w:style w:type="table" w:customStyle="1" w:styleId="6100">
    <w:name w:val="Сетка таблицы610"/>
    <w:basedOn w:val="a4"/>
    <w:next w:val="afb"/>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
    <w:name w:val="Нет списка59"/>
    <w:next w:val="a5"/>
    <w:uiPriority w:val="99"/>
    <w:semiHidden/>
    <w:unhideWhenUsed/>
    <w:rsid w:val="006B12DF"/>
  </w:style>
  <w:style w:type="table" w:customStyle="1" w:styleId="126">
    <w:name w:val="Сетка таблицы126"/>
    <w:basedOn w:val="a4"/>
    <w:next w:val="afb"/>
    <w:uiPriority w:val="59"/>
    <w:rsid w:val="006B12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0">
    <w:name w:val="Сетка таблицы74"/>
    <w:basedOn w:val="a4"/>
    <w:next w:val="afb"/>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2">
    <w:name w:val="Нет списка60"/>
    <w:next w:val="a5"/>
    <w:uiPriority w:val="99"/>
    <w:semiHidden/>
    <w:unhideWhenUsed/>
    <w:rsid w:val="00CE0DCD"/>
  </w:style>
  <w:style w:type="table" w:customStyle="1" w:styleId="3140">
    <w:name w:val="Сетка таблицы314"/>
    <w:basedOn w:val="a4"/>
    <w:next w:val="afb"/>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4"/>
    <w:next w:val="afb"/>
    <w:uiPriority w:val="39"/>
    <w:rsid w:val="00CE0DCD"/>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0">
    <w:name w:val="Нет списка126"/>
    <w:next w:val="a5"/>
    <w:uiPriority w:val="99"/>
    <w:semiHidden/>
    <w:unhideWhenUsed/>
    <w:rsid w:val="00CE0DCD"/>
  </w:style>
  <w:style w:type="table" w:customStyle="1" w:styleId="127">
    <w:name w:val="Сетка таблицы127"/>
    <w:basedOn w:val="a4"/>
    <w:next w:val="afb"/>
    <w:uiPriority w:val="59"/>
    <w:rsid w:val="00CE0D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Сетка таблицы219"/>
    <w:basedOn w:val="a4"/>
    <w:next w:val="afb"/>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4"/>
    <w:next w:val="afb"/>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
    <w:name w:val="Сетка таблицы512"/>
    <w:basedOn w:val="a4"/>
    <w:next w:val="afb"/>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2">
    <w:name w:val="Нет списка63"/>
    <w:next w:val="a5"/>
    <w:uiPriority w:val="99"/>
    <w:semiHidden/>
    <w:unhideWhenUsed/>
    <w:rsid w:val="00CE0DCD"/>
  </w:style>
  <w:style w:type="table" w:customStyle="1" w:styleId="128">
    <w:name w:val="Сетка таблицы128"/>
    <w:basedOn w:val="a4"/>
    <w:next w:val="afb"/>
    <w:uiPriority w:val="59"/>
    <w:rsid w:val="00CE0D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60">
    <w:name w:val="Сетка таблицы76"/>
    <w:basedOn w:val="a4"/>
    <w:next w:val="afb"/>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2">
    <w:name w:val="Знак Знак Знак Знак Знак Знак Знак Знак Знак Знак Знак Знак30"/>
    <w:basedOn w:val="a2"/>
    <w:rsid w:val="002D52CE"/>
    <w:pPr>
      <w:tabs>
        <w:tab w:val="num" w:pos="360"/>
      </w:tabs>
      <w:spacing w:after="160" w:line="240" w:lineRule="exact"/>
    </w:pPr>
    <w:rPr>
      <w:rFonts w:ascii="Verdana" w:hAnsi="Verdana" w:cs="Verdana"/>
      <w:sz w:val="20"/>
      <w:szCs w:val="20"/>
      <w:lang w:val="en-US" w:eastAsia="en-US"/>
    </w:rPr>
  </w:style>
  <w:style w:type="paragraph" w:customStyle="1" w:styleId="292">
    <w:name w:val="Знак Знак Знак Знак Знак Знак Знак Знак Знак Знак Знак Знак29"/>
    <w:basedOn w:val="a2"/>
    <w:rsid w:val="00B21EBE"/>
    <w:pPr>
      <w:tabs>
        <w:tab w:val="num" w:pos="360"/>
      </w:tabs>
      <w:spacing w:after="160" w:line="240" w:lineRule="exact"/>
    </w:pPr>
    <w:rPr>
      <w:rFonts w:ascii="Verdana" w:hAnsi="Verdana" w:cs="Verdana"/>
      <w:sz w:val="20"/>
      <w:szCs w:val="20"/>
      <w:lang w:val="en-US" w:eastAsia="en-US"/>
    </w:rPr>
  </w:style>
  <w:style w:type="numbering" w:customStyle="1" w:styleId="641">
    <w:name w:val="Нет списка64"/>
    <w:next w:val="a5"/>
    <w:uiPriority w:val="99"/>
    <w:semiHidden/>
    <w:unhideWhenUsed/>
    <w:rsid w:val="00B40BEB"/>
  </w:style>
  <w:style w:type="table" w:customStyle="1" w:styleId="770">
    <w:name w:val="Сетка таблицы77"/>
    <w:basedOn w:val="a4"/>
    <w:next w:val="afb"/>
    <w:rsid w:val="00B40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4"/>
    <w:next w:val="afb"/>
    <w:uiPriority w:val="59"/>
    <w:rsid w:val="00B40BE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80">
    <w:name w:val="Сетка таблицы78"/>
    <w:basedOn w:val="a4"/>
    <w:next w:val="afb"/>
    <w:rsid w:val="00B40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5"/>
    <w:uiPriority w:val="99"/>
    <w:semiHidden/>
    <w:unhideWhenUsed/>
    <w:rsid w:val="00B40BEB"/>
  </w:style>
  <w:style w:type="table" w:customStyle="1" w:styleId="790">
    <w:name w:val="Сетка таблицы79"/>
    <w:basedOn w:val="a4"/>
    <w:next w:val="afb"/>
    <w:rsid w:val="00B40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4"/>
    <w:next w:val="afb"/>
    <w:uiPriority w:val="59"/>
    <w:rsid w:val="0017292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00">
    <w:name w:val="Сетка таблицы80"/>
    <w:basedOn w:val="a4"/>
    <w:next w:val="afb"/>
    <w:rsid w:val="001729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2"/>
    <w:rsid w:val="00C10D7A"/>
    <w:pPr>
      <w:spacing w:before="100" w:beforeAutospacing="1" w:after="100" w:afterAutospacing="1"/>
    </w:pPr>
    <w:rPr>
      <w:rFonts w:ascii="Tahoma" w:hAnsi="Tahoma" w:cs="Tahoma"/>
      <w:sz w:val="18"/>
      <w:szCs w:val="18"/>
    </w:rPr>
  </w:style>
  <w:style w:type="numbering" w:customStyle="1" w:styleId="661">
    <w:name w:val="Нет списка66"/>
    <w:next w:val="a5"/>
    <w:uiPriority w:val="99"/>
    <w:semiHidden/>
    <w:unhideWhenUsed/>
    <w:rsid w:val="00C10D7A"/>
  </w:style>
  <w:style w:type="character" w:styleId="affff4">
    <w:name w:val="Book Title"/>
    <w:basedOn w:val="a3"/>
    <w:uiPriority w:val="33"/>
    <w:qFormat/>
    <w:rsid w:val="00C10D7A"/>
    <w:rPr>
      <w:b/>
      <w:bCs/>
      <w:i/>
      <w:iCs/>
      <w:spacing w:val="5"/>
    </w:rPr>
  </w:style>
  <w:style w:type="paragraph" w:customStyle="1" w:styleId="font14">
    <w:name w:val="font14"/>
    <w:basedOn w:val="a2"/>
    <w:rsid w:val="008B5165"/>
    <w:pPr>
      <w:spacing w:before="100" w:beforeAutospacing="1" w:after="100" w:afterAutospacing="1"/>
    </w:pPr>
    <w:rPr>
      <w:rFonts w:ascii="Tahoma" w:hAnsi="Tahoma" w:cs="Tahoma"/>
      <w:color w:val="000000"/>
      <w:sz w:val="18"/>
      <w:szCs w:val="18"/>
    </w:rPr>
  </w:style>
  <w:style w:type="paragraph" w:customStyle="1" w:styleId="font15">
    <w:name w:val="font15"/>
    <w:basedOn w:val="a2"/>
    <w:rsid w:val="008B5165"/>
    <w:pPr>
      <w:spacing w:before="100" w:beforeAutospacing="1" w:after="100" w:afterAutospacing="1"/>
    </w:pPr>
    <w:rPr>
      <w:rFonts w:ascii="Tahoma" w:hAnsi="Tahoma" w:cs="Tahoma"/>
      <w:b/>
      <w:bCs/>
      <w:color w:val="000000"/>
      <w:sz w:val="18"/>
      <w:szCs w:val="18"/>
    </w:rPr>
  </w:style>
  <w:style w:type="paragraph" w:customStyle="1" w:styleId="xl373">
    <w:name w:val="xl373"/>
    <w:basedOn w:val="a2"/>
    <w:rsid w:val="008B5165"/>
    <w:pPr>
      <w:pBdr>
        <w:top w:val="single" w:sz="4" w:space="0" w:color="auto"/>
        <w:left w:val="single" w:sz="8" w:space="0" w:color="auto"/>
        <w:bottom w:val="single" w:sz="4" w:space="0" w:color="auto"/>
      </w:pBdr>
      <w:spacing w:before="100" w:beforeAutospacing="1" w:after="100" w:afterAutospacing="1"/>
      <w:textAlignment w:val="top"/>
    </w:pPr>
    <w:rPr>
      <w:sz w:val="22"/>
      <w:szCs w:val="22"/>
    </w:rPr>
  </w:style>
  <w:style w:type="paragraph" w:customStyle="1" w:styleId="xl374">
    <w:name w:val="xl374"/>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pPr>
    <w:rPr>
      <w:b/>
      <w:bCs/>
      <w:sz w:val="22"/>
      <w:szCs w:val="22"/>
    </w:rPr>
  </w:style>
  <w:style w:type="paragraph" w:customStyle="1" w:styleId="xl375">
    <w:name w:val="xl375"/>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sz w:val="22"/>
      <w:szCs w:val="22"/>
    </w:rPr>
  </w:style>
  <w:style w:type="paragraph" w:customStyle="1" w:styleId="xl376">
    <w:name w:val="xl376"/>
    <w:basedOn w:val="a2"/>
    <w:rsid w:val="008B5165"/>
    <w:pPr>
      <w:spacing w:before="100" w:beforeAutospacing="1" w:after="100" w:afterAutospacing="1"/>
      <w:jc w:val="right"/>
    </w:pPr>
    <w:rPr>
      <w:b/>
      <w:bCs/>
      <w:sz w:val="28"/>
      <w:szCs w:val="28"/>
    </w:rPr>
  </w:style>
  <w:style w:type="paragraph" w:customStyle="1" w:styleId="xl377">
    <w:name w:val="xl377"/>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2"/>
      <w:szCs w:val="22"/>
    </w:rPr>
  </w:style>
  <w:style w:type="paragraph" w:customStyle="1" w:styleId="xl378">
    <w:name w:val="xl378"/>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379">
    <w:name w:val="xl379"/>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sz w:val="22"/>
      <w:szCs w:val="22"/>
    </w:rPr>
  </w:style>
  <w:style w:type="paragraph" w:customStyle="1" w:styleId="xl380">
    <w:name w:val="xl380"/>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381">
    <w:name w:val="xl381"/>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382">
    <w:name w:val="xl382"/>
    <w:basedOn w:val="a2"/>
    <w:rsid w:val="008B5165"/>
    <w:pPr>
      <w:pBdr>
        <w:top w:val="single" w:sz="4" w:space="0" w:color="auto"/>
        <w:left w:val="single" w:sz="8" w:space="0" w:color="auto"/>
        <w:right w:val="single" w:sz="8" w:space="0" w:color="auto"/>
      </w:pBdr>
      <w:spacing w:before="100" w:beforeAutospacing="1" w:after="100" w:afterAutospacing="1"/>
    </w:pPr>
  </w:style>
  <w:style w:type="paragraph" w:customStyle="1" w:styleId="xl383">
    <w:name w:val="xl383"/>
    <w:basedOn w:val="a2"/>
    <w:rsid w:val="008B5165"/>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384">
    <w:name w:val="xl384"/>
    <w:basedOn w:val="a2"/>
    <w:rsid w:val="008B5165"/>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385">
    <w:name w:val="xl385"/>
    <w:basedOn w:val="a2"/>
    <w:rsid w:val="008B5165"/>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86">
    <w:name w:val="xl386"/>
    <w:basedOn w:val="a2"/>
    <w:rsid w:val="008B5165"/>
    <w:pPr>
      <w:pBdr>
        <w:top w:val="single" w:sz="4" w:space="0" w:color="auto"/>
        <w:left w:val="single" w:sz="8" w:space="0" w:color="auto"/>
      </w:pBdr>
      <w:spacing w:before="100" w:beforeAutospacing="1" w:after="100" w:afterAutospacing="1"/>
      <w:jc w:val="center"/>
      <w:textAlignment w:val="center"/>
    </w:pPr>
  </w:style>
  <w:style w:type="paragraph" w:customStyle="1" w:styleId="xl387">
    <w:name w:val="xl387"/>
    <w:basedOn w:val="a2"/>
    <w:rsid w:val="008B5165"/>
    <w:pPr>
      <w:pBdr>
        <w:left w:val="single" w:sz="8" w:space="0" w:color="auto"/>
        <w:right w:val="single" w:sz="8" w:space="0" w:color="auto"/>
      </w:pBdr>
      <w:spacing w:before="100" w:beforeAutospacing="1" w:after="100" w:afterAutospacing="1"/>
      <w:jc w:val="center"/>
      <w:textAlignment w:val="center"/>
    </w:pPr>
  </w:style>
  <w:style w:type="paragraph" w:customStyle="1" w:styleId="xl388">
    <w:name w:val="xl388"/>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pPr>
    <w:rPr>
      <w:b/>
      <w:bCs/>
      <w:sz w:val="22"/>
      <w:szCs w:val="22"/>
    </w:rPr>
  </w:style>
  <w:style w:type="paragraph" w:customStyle="1" w:styleId="xl389">
    <w:name w:val="xl389"/>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b/>
      <w:bCs/>
      <w:sz w:val="22"/>
      <w:szCs w:val="22"/>
    </w:rPr>
  </w:style>
  <w:style w:type="paragraph" w:customStyle="1" w:styleId="xl390">
    <w:name w:val="xl390"/>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22"/>
      <w:szCs w:val="22"/>
    </w:rPr>
  </w:style>
  <w:style w:type="paragraph" w:customStyle="1" w:styleId="xl391">
    <w:name w:val="xl391"/>
    <w:basedOn w:val="a2"/>
    <w:rsid w:val="008B5165"/>
    <w:pPr>
      <w:pBdr>
        <w:top w:val="single" w:sz="4" w:space="0" w:color="auto"/>
        <w:left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392">
    <w:name w:val="xl392"/>
    <w:basedOn w:val="a2"/>
    <w:rsid w:val="008B5165"/>
    <w:pPr>
      <w:pBdr>
        <w:top w:val="single" w:sz="4" w:space="0" w:color="auto"/>
        <w:left w:val="single" w:sz="8" w:space="0" w:color="auto"/>
        <w:right w:val="single" w:sz="8" w:space="0" w:color="auto"/>
      </w:pBdr>
      <w:spacing w:before="100" w:beforeAutospacing="1" w:after="100" w:afterAutospacing="1"/>
      <w:jc w:val="right"/>
    </w:pPr>
    <w:rPr>
      <w:sz w:val="22"/>
      <w:szCs w:val="22"/>
    </w:rPr>
  </w:style>
  <w:style w:type="paragraph" w:customStyle="1" w:styleId="xl393">
    <w:name w:val="xl393"/>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2"/>
      <w:szCs w:val="22"/>
    </w:rPr>
  </w:style>
  <w:style w:type="paragraph" w:customStyle="1" w:styleId="xl394">
    <w:name w:val="xl394"/>
    <w:basedOn w:val="a2"/>
    <w:rsid w:val="008B5165"/>
    <w:pPr>
      <w:pBdr>
        <w:left w:val="single" w:sz="8" w:space="0" w:color="auto"/>
        <w:bottom w:val="single" w:sz="4" w:space="0" w:color="auto"/>
        <w:right w:val="single" w:sz="8" w:space="0" w:color="auto"/>
      </w:pBdr>
      <w:spacing w:before="100" w:beforeAutospacing="1" w:after="100" w:afterAutospacing="1"/>
      <w:textAlignment w:val="center"/>
    </w:pPr>
    <w:rPr>
      <w:b/>
      <w:bCs/>
      <w:sz w:val="22"/>
      <w:szCs w:val="22"/>
    </w:rPr>
  </w:style>
  <w:style w:type="paragraph" w:customStyle="1" w:styleId="xl395">
    <w:name w:val="xl395"/>
    <w:basedOn w:val="a2"/>
    <w:rsid w:val="008B5165"/>
    <w:pPr>
      <w:pBdr>
        <w:top w:val="single" w:sz="4" w:space="0" w:color="auto"/>
        <w:left w:val="single" w:sz="8" w:space="0" w:color="auto"/>
        <w:right w:val="single" w:sz="8" w:space="0" w:color="auto"/>
      </w:pBdr>
      <w:spacing w:before="100" w:beforeAutospacing="1" w:after="100" w:afterAutospacing="1"/>
    </w:pPr>
    <w:rPr>
      <w:sz w:val="22"/>
      <w:szCs w:val="22"/>
    </w:rPr>
  </w:style>
  <w:style w:type="paragraph" w:customStyle="1" w:styleId="xl396">
    <w:name w:val="xl396"/>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sz w:val="22"/>
      <w:szCs w:val="22"/>
    </w:rPr>
  </w:style>
  <w:style w:type="paragraph" w:customStyle="1" w:styleId="xl397">
    <w:name w:val="xl397"/>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22"/>
      <w:szCs w:val="22"/>
    </w:rPr>
  </w:style>
  <w:style w:type="paragraph" w:customStyle="1" w:styleId="xl398">
    <w:name w:val="xl398"/>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sz w:val="22"/>
      <w:szCs w:val="22"/>
    </w:rPr>
  </w:style>
  <w:style w:type="paragraph" w:customStyle="1" w:styleId="xl399">
    <w:name w:val="xl399"/>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22"/>
      <w:szCs w:val="22"/>
    </w:rPr>
  </w:style>
  <w:style w:type="paragraph" w:customStyle="1" w:styleId="xl400">
    <w:name w:val="xl400"/>
    <w:basedOn w:val="a2"/>
    <w:rsid w:val="008B5165"/>
    <w:pPr>
      <w:pBdr>
        <w:left w:val="single" w:sz="8" w:space="0" w:color="auto"/>
        <w:bottom w:val="single" w:sz="8" w:space="0" w:color="auto"/>
        <w:right w:val="single" w:sz="8" w:space="0" w:color="auto"/>
      </w:pBdr>
      <w:spacing w:before="100" w:beforeAutospacing="1" w:after="100" w:afterAutospacing="1"/>
      <w:jc w:val="right"/>
      <w:textAlignment w:val="top"/>
    </w:pPr>
    <w:rPr>
      <w:b/>
      <w:bCs/>
      <w:sz w:val="22"/>
      <w:szCs w:val="22"/>
    </w:rPr>
  </w:style>
  <w:style w:type="paragraph" w:customStyle="1" w:styleId="xl401">
    <w:name w:val="xl401"/>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pPr>
    <w:rPr>
      <w:b/>
      <w:bCs/>
      <w:sz w:val="22"/>
      <w:szCs w:val="22"/>
    </w:rPr>
  </w:style>
  <w:style w:type="paragraph" w:customStyle="1" w:styleId="xl402">
    <w:name w:val="xl402"/>
    <w:basedOn w:val="a2"/>
    <w:rsid w:val="008B5165"/>
    <w:pPr>
      <w:pBdr>
        <w:top w:val="single" w:sz="4" w:space="0" w:color="auto"/>
        <w:left w:val="single" w:sz="8" w:space="0" w:color="auto"/>
        <w:bottom w:val="single" w:sz="8" w:space="0" w:color="auto"/>
      </w:pBdr>
      <w:spacing w:before="100" w:beforeAutospacing="1" w:after="100" w:afterAutospacing="1"/>
    </w:pPr>
    <w:rPr>
      <w:b/>
      <w:bCs/>
      <w:sz w:val="22"/>
      <w:szCs w:val="22"/>
    </w:rPr>
  </w:style>
  <w:style w:type="paragraph" w:customStyle="1" w:styleId="xl403">
    <w:name w:val="xl403"/>
    <w:basedOn w:val="a2"/>
    <w:rsid w:val="008B5165"/>
    <w:pPr>
      <w:pBdr>
        <w:top w:val="single" w:sz="4" w:space="0" w:color="auto"/>
        <w:left w:val="single" w:sz="8" w:space="0" w:color="auto"/>
        <w:bottom w:val="single" w:sz="8" w:space="0" w:color="auto"/>
      </w:pBdr>
      <w:spacing w:before="100" w:beforeAutospacing="1" w:after="100" w:afterAutospacing="1"/>
      <w:jc w:val="right"/>
    </w:pPr>
    <w:rPr>
      <w:b/>
      <w:bCs/>
      <w:sz w:val="22"/>
      <w:szCs w:val="22"/>
    </w:rPr>
  </w:style>
  <w:style w:type="paragraph" w:customStyle="1" w:styleId="xl404">
    <w:name w:val="xl404"/>
    <w:basedOn w:val="a2"/>
    <w:rsid w:val="008B5165"/>
    <w:pPr>
      <w:pBdr>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405">
    <w:name w:val="xl405"/>
    <w:basedOn w:val="a2"/>
    <w:rsid w:val="008B5165"/>
    <w:pPr>
      <w:pBdr>
        <w:left w:val="single" w:sz="8" w:space="0" w:color="auto"/>
        <w:bottom w:val="single" w:sz="4" w:space="0" w:color="auto"/>
      </w:pBdr>
      <w:spacing w:before="100" w:beforeAutospacing="1" w:after="100" w:afterAutospacing="1"/>
    </w:pPr>
    <w:rPr>
      <w:sz w:val="22"/>
      <w:szCs w:val="22"/>
    </w:rPr>
  </w:style>
  <w:style w:type="paragraph" w:customStyle="1" w:styleId="xl406">
    <w:name w:val="xl406"/>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pPr>
    <w:rPr>
      <w:sz w:val="22"/>
      <w:szCs w:val="22"/>
    </w:rPr>
  </w:style>
  <w:style w:type="paragraph" w:customStyle="1" w:styleId="xl407">
    <w:name w:val="xl407"/>
    <w:basedOn w:val="a2"/>
    <w:rsid w:val="008B5165"/>
    <w:pPr>
      <w:pBdr>
        <w:top w:val="single" w:sz="4" w:space="0" w:color="auto"/>
        <w:left w:val="single" w:sz="8" w:space="0" w:color="auto"/>
        <w:bottom w:val="single" w:sz="8" w:space="0" w:color="auto"/>
      </w:pBdr>
      <w:spacing w:before="100" w:beforeAutospacing="1" w:after="100" w:afterAutospacing="1"/>
    </w:pPr>
    <w:rPr>
      <w:sz w:val="22"/>
      <w:szCs w:val="22"/>
    </w:rPr>
  </w:style>
  <w:style w:type="paragraph" w:customStyle="1" w:styleId="xl408">
    <w:name w:val="xl408"/>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2"/>
      <w:szCs w:val="22"/>
    </w:rPr>
  </w:style>
  <w:style w:type="paragraph" w:customStyle="1" w:styleId="xl409">
    <w:name w:val="xl409"/>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 w:val="22"/>
      <w:szCs w:val="22"/>
    </w:rPr>
  </w:style>
  <w:style w:type="paragraph" w:customStyle="1" w:styleId="xl410">
    <w:name w:val="xl410"/>
    <w:basedOn w:val="a2"/>
    <w:rsid w:val="008B5165"/>
    <w:pPr>
      <w:pBdr>
        <w:top w:val="single" w:sz="8" w:space="0" w:color="auto"/>
        <w:left w:val="single" w:sz="8" w:space="0" w:color="auto"/>
        <w:right w:val="single" w:sz="8" w:space="0" w:color="auto"/>
      </w:pBdr>
      <w:spacing w:before="100" w:beforeAutospacing="1" w:after="100" w:afterAutospacing="1"/>
      <w:textAlignment w:val="top"/>
    </w:pPr>
    <w:rPr>
      <w:sz w:val="22"/>
      <w:szCs w:val="22"/>
    </w:rPr>
  </w:style>
  <w:style w:type="paragraph" w:customStyle="1" w:styleId="xl411">
    <w:name w:val="xl411"/>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22"/>
      <w:szCs w:val="22"/>
    </w:rPr>
  </w:style>
  <w:style w:type="paragraph" w:customStyle="1" w:styleId="xl412">
    <w:name w:val="xl412"/>
    <w:basedOn w:val="a2"/>
    <w:rsid w:val="008B5165"/>
    <w:pPr>
      <w:pBdr>
        <w:left w:val="single" w:sz="8" w:space="0" w:color="auto"/>
        <w:right w:val="single" w:sz="8" w:space="0" w:color="auto"/>
      </w:pBdr>
      <w:spacing w:before="100" w:beforeAutospacing="1" w:after="100" w:afterAutospacing="1"/>
      <w:textAlignment w:val="center"/>
    </w:pPr>
    <w:rPr>
      <w:sz w:val="22"/>
      <w:szCs w:val="22"/>
    </w:rPr>
  </w:style>
  <w:style w:type="paragraph" w:customStyle="1" w:styleId="xl413">
    <w:name w:val="xl413"/>
    <w:basedOn w:val="a2"/>
    <w:rsid w:val="008B5165"/>
    <w:pPr>
      <w:pBdr>
        <w:top w:val="single" w:sz="8" w:space="0" w:color="auto"/>
        <w:left w:val="single" w:sz="8" w:space="0" w:color="auto"/>
        <w:right w:val="single" w:sz="8" w:space="0" w:color="auto"/>
      </w:pBdr>
      <w:spacing w:before="100" w:beforeAutospacing="1" w:after="100" w:afterAutospacing="1"/>
      <w:jc w:val="right"/>
      <w:textAlignment w:val="top"/>
    </w:pPr>
    <w:rPr>
      <w:sz w:val="22"/>
      <w:szCs w:val="22"/>
    </w:rPr>
  </w:style>
  <w:style w:type="paragraph" w:customStyle="1" w:styleId="xl414">
    <w:name w:val="xl414"/>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415">
    <w:name w:val="xl415"/>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color w:val="FF0000"/>
      <w:sz w:val="22"/>
      <w:szCs w:val="22"/>
    </w:rPr>
  </w:style>
  <w:style w:type="paragraph" w:customStyle="1" w:styleId="xl416">
    <w:name w:val="xl416"/>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sz w:val="22"/>
      <w:szCs w:val="22"/>
    </w:rPr>
  </w:style>
  <w:style w:type="paragraph" w:customStyle="1" w:styleId="xl417">
    <w:name w:val="xl417"/>
    <w:basedOn w:val="a2"/>
    <w:rsid w:val="008B5165"/>
    <w:pPr>
      <w:pBdr>
        <w:top w:val="single" w:sz="4" w:space="0" w:color="auto"/>
        <w:left w:val="single" w:sz="8" w:space="0" w:color="auto"/>
        <w:right w:val="single" w:sz="8" w:space="0" w:color="auto"/>
      </w:pBdr>
      <w:spacing w:before="100" w:beforeAutospacing="1" w:after="100" w:afterAutospacing="1"/>
    </w:pPr>
    <w:rPr>
      <w:color w:val="FF0000"/>
      <w:sz w:val="22"/>
      <w:szCs w:val="22"/>
    </w:rPr>
  </w:style>
  <w:style w:type="paragraph" w:customStyle="1" w:styleId="xl418">
    <w:name w:val="xl418"/>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19">
    <w:name w:val="xl419"/>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pPr>
    <w:rPr>
      <w:color w:val="FF0000"/>
      <w:sz w:val="22"/>
      <w:szCs w:val="22"/>
    </w:rPr>
  </w:style>
  <w:style w:type="paragraph" w:customStyle="1" w:styleId="xl420">
    <w:name w:val="xl420"/>
    <w:basedOn w:val="a2"/>
    <w:rsid w:val="008B5165"/>
    <w:pPr>
      <w:pBdr>
        <w:left w:val="single" w:sz="8" w:space="0" w:color="auto"/>
        <w:bottom w:val="single" w:sz="8" w:space="0" w:color="auto"/>
        <w:right w:val="single" w:sz="8" w:space="0" w:color="auto"/>
      </w:pBdr>
      <w:spacing w:before="100" w:beforeAutospacing="1" w:after="100" w:afterAutospacing="1"/>
    </w:pPr>
    <w:rPr>
      <w:color w:val="FF0000"/>
      <w:sz w:val="22"/>
      <w:szCs w:val="22"/>
    </w:rPr>
  </w:style>
  <w:style w:type="paragraph" w:customStyle="1" w:styleId="xl421">
    <w:name w:val="xl421"/>
    <w:basedOn w:val="a2"/>
    <w:rsid w:val="008B5165"/>
    <w:pPr>
      <w:pBdr>
        <w:left w:val="single" w:sz="8" w:space="0" w:color="auto"/>
        <w:right w:val="single" w:sz="8" w:space="0" w:color="auto"/>
      </w:pBdr>
      <w:spacing w:before="100" w:beforeAutospacing="1" w:after="100" w:afterAutospacing="1"/>
    </w:pPr>
    <w:rPr>
      <w:color w:val="FF0000"/>
      <w:sz w:val="22"/>
      <w:szCs w:val="22"/>
    </w:rPr>
  </w:style>
  <w:style w:type="paragraph" w:customStyle="1" w:styleId="xl422">
    <w:name w:val="xl422"/>
    <w:basedOn w:val="a2"/>
    <w:rsid w:val="008B5165"/>
    <w:pPr>
      <w:pBdr>
        <w:left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423">
    <w:name w:val="xl423"/>
    <w:basedOn w:val="a2"/>
    <w:rsid w:val="008B5165"/>
    <w:pPr>
      <w:pBdr>
        <w:top w:val="single" w:sz="8" w:space="0" w:color="auto"/>
        <w:left w:val="single" w:sz="8" w:space="0" w:color="auto"/>
        <w:bottom w:val="single" w:sz="8" w:space="0" w:color="auto"/>
      </w:pBdr>
      <w:spacing w:before="100" w:beforeAutospacing="1" w:after="100" w:afterAutospacing="1"/>
      <w:jc w:val="right"/>
    </w:pPr>
    <w:rPr>
      <w:b/>
      <w:bCs/>
      <w:sz w:val="22"/>
      <w:szCs w:val="22"/>
    </w:rPr>
  </w:style>
  <w:style w:type="paragraph" w:customStyle="1" w:styleId="xl424">
    <w:name w:val="xl424"/>
    <w:basedOn w:val="a2"/>
    <w:rsid w:val="008B5165"/>
    <w:pPr>
      <w:pBdr>
        <w:top w:val="single" w:sz="8" w:space="0" w:color="auto"/>
        <w:left w:val="single" w:sz="8" w:space="0" w:color="auto"/>
        <w:bottom w:val="single" w:sz="8" w:space="0" w:color="auto"/>
      </w:pBdr>
      <w:spacing w:before="100" w:beforeAutospacing="1" w:after="100" w:afterAutospacing="1"/>
      <w:jc w:val="right"/>
      <w:textAlignment w:val="center"/>
    </w:pPr>
    <w:rPr>
      <w:b/>
      <w:bCs/>
    </w:rPr>
  </w:style>
  <w:style w:type="paragraph" w:customStyle="1" w:styleId="xl425">
    <w:name w:val="xl425"/>
    <w:basedOn w:val="a2"/>
    <w:rsid w:val="008B5165"/>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426">
    <w:name w:val="xl426"/>
    <w:basedOn w:val="a2"/>
    <w:rsid w:val="008B5165"/>
    <w:pPr>
      <w:pBdr>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427">
    <w:name w:val="xl427"/>
    <w:basedOn w:val="a2"/>
    <w:rsid w:val="008B5165"/>
    <w:pPr>
      <w:pBdr>
        <w:top w:val="single" w:sz="8" w:space="0" w:color="auto"/>
        <w:left w:val="single" w:sz="8" w:space="0" w:color="auto"/>
        <w:bottom w:val="single" w:sz="8" w:space="0" w:color="auto"/>
      </w:pBdr>
      <w:spacing w:before="100" w:beforeAutospacing="1" w:after="100" w:afterAutospacing="1"/>
      <w:jc w:val="right"/>
      <w:textAlignment w:val="center"/>
    </w:pPr>
    <w:rPr>
      <w:b/>
      <w:bCs/>
      <w:sz w:val="28"/>
      <w:szCs w:val="28"/>
    </w:rPr>
  </w:style>
  <w:style w:type="paragraph" w:customStyle="1" w:styleId="xl428">
    <w:name w:val="xl428"/>
    <w:basedOn w:val="a2"/>
    <w:rsid w:val="008B5165"/>
    <w:pPr>
      <w:pBdr>
        <w:left w:val="single" w:sz="8" w:space="0" w:color="auto"/>
        <w:bottom w:val="single" w:sz="4" w:space="0" w:color="auto"/>
      </w:pBdr>
      <w:spacing w:before="100" w:beforeAutospacing="1" w:after="100" w:afterAutospacing="1"/>
    </w:pPr>
    <w:rPr>
      <w:sz w:val="22"/>
      <w:szCs w:val="22"/>
    </w:rPr>
  </w:style>
  <w:style w:type="paragraph" w:customStyle="1" w:styleId="xl429">
    <w:name w:val="xl429"/>
    <w:basedOn w:val="a2"/>
    <w:rsid w:val="008B5165"/>
    <w:pPr>
      <w:pBdr>
        <w:top w:val="single" w:sz="4" w:space="0" w:color="auto"/>
        <w:left w:val="single" w:sz="8" w:space="0" w:color="auto"/>
        <w:bottom w:val="single" w:sz="4" w:space="0" w:color="auto"/>
      </w:pBdr>
      <w:spacing w:before="100" w:beforeAutospacing="1" w:after="100" w:afterAutospacing="1"/>
    </w:pPr>
    <w:rPr>
      <w:sz w:val="22"/>
      <w:szCs w:val="22"/>
    </w:rPr>
  </w:style>
  <w:style w:type="paragraph" w:customStyle="1" w:styleId="xl430">
    <w:name w:val="xl430"/>
    <w:basedOn w:val="a2"/>
    <w:rsid w:val="008B5165"/>
    <w:pPr>
      <w:pBdr>
        <w:top w:val="single" w:sz="4" w:space="0" w:color="auto"/>
        <w:left w:val="single" w:sz="8" w:space="0" w:color="auto"/>
      </w:pBdr>
      <w:spacing w:before="100" w:beforeAutospacing="1" w:after="100" w:afterAutospacing="1"/>
      <w:jc w:val="right"/>
      <w:textAlignment w:val="center"/>
    </w:pPr>
    <w:rPr>
      <w:b/>
      <w:bCs/>
      <w:sz w:val="22"/>
      <w:szCs w:val="22"/>
    </w:rPr>
  </w:style>
  <w:style w:type="paragraph" w:customStyle="1" w:styleId="xl431">
    <w:name w:val="xl431"/>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pPr>
    <w:rPr>
      <w:sz w:val="22"/>
      <w:szCs w:val="22"/>
    </w:rPr>
  </w:style>
  <w:style w:type="paragraph" w:customStyle="1" w:styleId="xl432">
    <w:name w:val="xl432"/>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433">
    <w:name w:val="xl433"/>
    <w:basedOn w:val="a2"/>
    <w:rsid w:val="008B5165"/>
    <w:pPr>
      <w:pBdr>
        <w:top w:val="single" w:sz="8" w:space="0" w:color="auto"/>
        <w:left w:val="single" w:sz="8" w:space="0" w:color="auto"/>
        <w:bottom w:val="single" w:sz="8" w:space="0" w:color="auto"/>
      </w:pBdr>
      <w:spacing w:before="100" w:beforeAutospacing="1" w:after="100" w:afterAutospacing="1"/>
      <w:jc w:val="right"/>
      <w:textAlignment w:val="center"/>
    </w:pPr>
    <w:rPr>
      <w:b/>
      <w:bCs/>
      <w:sz w:val="28"/>
      <w:szCs w:val="28"/>
    </w:rPr>
  </w:style>
  <w:style w:type="paragraph" w:customStyle="1" w:styleId="xl434">
    <w:name w:val="xl434"/>
    <w:basedOn w:val="a2"/>
    <w:rsid w:val="008B5165"/>
    <w:pPr>
      <w:pBdr>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435">
    <w:name w:val="xl435"/>
    <w:basedOn w:val="a2"/>
    <w:rsid w:val="008B5165"/>
    <w:pPr>
      <w:pBdr>
        <w:bottom w:val="single" w:sz="4" w:space="0" w:color="auto"/>
        <w:right w:val="single" w:sz="8" w:space="0" w:color="auto"/>
      </w:pBdr>
      <w:spacing w:before="100" w:beforeAutospacing="1" w:after="100" w:afterAutospacing="1"/>
    </w:pPr>
    <w:rPr>
      <w:sz w:val="22"/>
      <w:szCs w:val="22"/>
    </w:rPr>
  </w:style>
  <w:style w:type="paragraph" w:customStyle="1" w:styleId="xl436">
    <w:name w:val="xl436"/>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sz w:val="28"/>
      <w:szCs w:val="28"/>
    </w:rPr>
  </w:style>
  <w:style w:type="paragraph" w:customStyle="1" w:styleId="xl437">
    <w:name w:val="xl437"/>
    <w:basedOn w:val="a2"/>
    <w:rsid w:val="008B5165"/>
    <w:pPr>
      <w:pBdr>
        <w:top w:val="single" w:sz="8" w:space="0" w:color="auto"/>
        <w:left w:val="single" w:sz="8" w:space="0" w:color="auto"/>
        <w:bottom w:val="single" w:sz="4" w:space="0" w:color="auto"/>
      </w:pBdr>
      <w:spacing w:before="100" w:beforeAutospacing="1" w:after="100" w:afterAutospacing="1"/>
      <w:jc w:val="right"/>
    </w:pPr>
    <w:rPr>
      <w:b/>
      <w:bCs/>
      <w:sz w:val="28"/>
      <w:szCs w:val="28"/>
    </w:rPr>
  </w:style>
  <w:style w:type="paragraph" w:customStyle="1" w:styleId="xl438">
    <w:name w:val="xl438"/>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jc w:val="right"/>
    </w:pPr>
    <w:rPr>
      <w:b/>
      <w:bCs/>
      <w:sz w:val="28"/>
      <w:szCs w:val="28"/>
    </w:rPr>
  </w:style>
  <w:style w:type="paragraph" w:customStyle="1" w:styleId="xl439">
    <w:name w:val="xl439"/>
    <w:basedOn w:val="a2"/>
    <w:rsid w:val="008B5165"/>
    <w:pPr>
      <w:pBdr>
        <w:top w:val="single" w:sz="4" w:space="0" w:color="auto"/>
        <w:left w:val="single" w:sz="8" w:space="0" w:color="auto"/>
        <w:bottom w:val="single" w:sz="8" w:space="0" w:color="auto"/>
      </w:pBdr>
      <w:spacing w:before="100" w:beforeAutospacing="1" w:after="100" w:afterAutospacing="1"/>
      <w:jc w:val="right"/>
    </w:pPr>
    <w:rPr>
      <w:b/>
      <w:bCs/>
      <w:sz w:val="28"/>
      <w:szCs w:val="28"/>
    </w:rPr>
  </w:style>
  <w:style w:type="paragraph" w:customStyle="1" w:styleId="xl440">
    <w:name w:val="xl440"/>
    <w:basedOn w:val="a2"/>
    <w:rsid w:val="008B5165"/>
    <w:pPr>
      <w:pBdr>
        <w:top w:val="single" w:sz="8" w:space="0" w:color="auto"/>
        <w:left w:val="single" w:sz="8" w:space="0" w:color="auto"/>
        <w:bottom w:val="single" w:sz="4" w:space="0" w:color="auto"/>
      </w:pBdr>
      <w:spacing w:before="100" w:beforeAutospacing="1" w:after="100" w:afterAutospacing="1"/>
      <w:jc w:val="right"/>
    </w:pPr>
    <w:rPr>
      <w:b/>
      <w:bCs/>
      <w:sz w:val="22"/>
      <w:szCs w:val="22"/>
    </w:rPr>
  </w:style>
  <w:style w:type="paragraph" w:customStyle="1" w:styleId="xl441">
    <w:name w:val="xl441"/>
    <w:basedOn w:val="a2"/>
    <w:rsid w:val="008B5165"/>
    <w:pPr>
      <w:pBdr>
        <w:top w:val="single" w:sz="4" w:space="0" w:color="auto"/>
        <w:left w:val="single" w:sz="8" w:space="0" w:color="auto"/>
        <w:bottom w:val="single" w:sz="4" w:space="0" w:color="auto"/>
      </w:pBdr>
      <w:spacing w:before="100" w:beforeAutospacing="1" w:after="100" w:afterAutospacing="1"/>
      <w:jc w:val="right"/>
    </w:pPr>
    <w:rPr>
      <w:b/>
      <w:bCs/>
      <w:sz w:val="22"/>
      <w:szCs w:val="22"/>
    </w:rPr>
  </w:style>
  <w:style w:type="paragraph" w:customStyle="1" w:styleId="xl442">
    <w:name w:val="xl442"/>
    <w:basedOn w:val="a2"/>
    <w:rsid w:val="008B5165"/>
    <w:pPr>
      <w:pBdr>
        <w:top w:val="single" w:sz="4" w:space="0" w:color="auto"/>
        <w:left w:val="single" w:sz="8" w:space="0" w:color="auto"/>
        <w:bottom w:val="single" w:sz="4" w:space="0" w:color="auto"/>
      </w:pBdr>
      <w:spacing w:before="100" w:beforeAutospacing="1" w:after="100" w:afterAutospacing="1"/>
      <w:jc w:val="right"/>
    </w:pPr>
    <w:rPr>
      <w:rFonts w:ascii="Calibri" w:hAnsi="Calibri" w:cs="Calibri"/>
      <w:color w:val="FF0000"/>
      <w:sz w:val="22"/>
      <w:szCs w:val="22"/>
    </w:rPr>
  </w:style>
  <w:style w:type="paragraph" w:customStyle="1" w:styleId="xl443">
    <w:name w:val="xl443"/>
    <w:basedOn w:val="a2"/>
    <w:rsid w:val="008B5165"/>
    <w:pPr>
      <w:pBdr>
        <w:top w:val="single" w:sz="4" w:space="0" w:color="auto"/>
        <w:left w:val="single" w:sz="8" w:space="0" w:color="auto"/>
        <w:bottom w:val="single" w:sz="8" w:space="0" w:color="auto"/>
      </w:pBdr>
      <w:spacing w:before="100" w:beforeAutospacing="1" w:after="100" w:afterAutospacing="1"/>
      <w:jc w:val="right"/>
    </w:pPr>
    <w:rPr>
      <w:rFonts w:ascii="Calibri" w:hAnsi="Calibri" w:cs="Calibri"/>
      <w:color w:val="FF0000"/>
      <w:sz w:val="22"/>
      <w:szCs w:val="22"/>
    </w:rPr>
  </w:style>
  <w:style w:type="paragraph" w:customStyle="1" w:styleId="xl444">
    <w:name w:val="xl444"/>
    <w:basedOn w:val="a2"/>
    <w:rsid w:val="008B5165"/>
    <w:pPr>
      <w:pBdr>
        <w:top w:val="single" w:sz="8" w:space="0" w:color="auto"/>
        <w:left w:val="single" w:sz="8" w:space="0" w:color="auto"/>
        <w:bottom w:val="single" w:sz="4" w:space="0" w:color="auto"/>
      </w:pBdr>
      <w:spacing w:before="100" w:beforeAutospacing="1" w:after="100" w:afterAutospacing="1"/>
    </w:pPr>
    <w:rPr>
      <w:rFonts w:ascii="Calibri" w:hAnsi="Calibri" w:cs="Calibri"/>
      <w:sz w:val="22"/>
      <w:szCs w:val="22"/>
    </w:rPr>
  </w:style>
  <w:style w:type="paragraph" w:customStyle="1" w:styleId="xl445">
    <w:name w:val="xl445"/>
    <w:basedOn w:val="a2"/>
    <w:rsid w:val="008B5165"/>
    <w:pPr>
      <w:pBdr>
        <w:top w:val="single" w:sz="4" w:space="0" w:color="auto"/>
        <w:left w:val="single" w:sz="8" w:space="0" w:color="auto"/>
        <w:bottom w:val="single" w:sz="4" w:space="0" w:color="auto"/>
      </w:pBdr>
      <w:spacing w:before="100" w:beforeAutospacing="1" w:after="100" w:afterAutospacing="1"/>
      <w:jc w:val="right"/>
      <w:textAlignment w:val="top"/>
    </w:pPr>
    <w:rPr>
      <w:b/>
      <w:bCs/>
      <w:sz w:val="22"/>
      <w:szCs w:val="22"/>
    </w:rPr>
  </w:style>
  <w:style w:type="paragraph" w:customStyle="1" w:styleId="xl446">
    <w:name w:val="xl446"/>
    <w:basedOn w:val="a2"/>
    <w:rsid w:val="008B5165"/>
    <w:pPr>
      <w:pBdr>
        <w:top w:val="single" w:sz="4" w:space="0" w:color="auto"/>
        <w:left w:val="single" w:sz="8" w:space="0" w:color="auto"/>
        <w:bottom w:val="single" w:sz="8" w:space="0" w:color="auto"/>
      </w:pBdr>
      <w:spacing w:before="100" w:beforeAutospacing="1" w:after="100" w:afterAutospacing="1"/>
      <w:jc w:val="right"/>
      <w:textAlignment w:val="top"/>
    </w:pPr>
    <w:rPr>
      <w:b/>
      <w:bCs/>
      <w:sz w:val="22"/>
      <w:szCs w:val="22"/>
    </w:rPr>
  </w:style>
  <w:style w:type="paragraph" w:customStyle="1" w:styleId="xl447">
    <w:name w:val="xl447"/>
    <w:basedOn w:val="a2"/>
    <w:rsid w:val="008B5165"/>
    <w:pPr>
      <w:pBdr>
        <w:top w:val="single" w:sz="4" w:space="0" w:color="auto"/>
        <w:left w:val="single" w:sz="8" w:space="0" w:color="auto"/>
        <w:bottom w:val="single" w:sz="4" w:space="0" w:color="auto"/>
      </w:pBdr>
      <w:spacing w:before="100" w:beforeAutospacing="1" w:after="100" w:afterAutospacing="1"/>
      <w:jc w:val="right"/>
    </w:pPr>
    <w:rPr>
      <w:rFonts w:ascii="Calibri" w:hAnsi="Calibri" w:cs="Calibri"/>
      <w:sz w:val="22"/>
      <w:szCs w:val="22"/>
    </w:rPr>
  </w:style>
  <w:style w:type="paragraph" w:customStyle="1" w:styleId="xl448">
    <w:name w:val="xl448"/>
    <w:basedOn w:val="a2"/>
    <w:rsid w:val="008B5165"/>
    <w:pPr>
      <w:pBdr>
        <w:top w:val="single" w:sz="4" w:space="0" w:color="auto"/>
        <w:left w:val="single" w:sz="8" w:space="0" w:color="auto"/>
        <w:bottom w:val="single" w:sz="8" w:space="0" w:color="auto"/>
      </w:pBdr>
      <w:spacing w:before="100" w:beforeAutospacing="1" w:after="100" w:afterAutospacing="1"/>
      <w:jc w:val="right"/>
    </w:pPr>
    <w:rPr>
      <w:rFonts w:ascii="Calibri" w:hAnsi="Calibri" w:cs="Calibri"/>
      <w:sz w:val="22"/>
      <w:szCs w:val="22"/>
    </w:rPr>
  </w:style>
  <w:style w:type="paragraph" w:customStyle="1" w:styleId="xl449">
    <w:name w:val="xl449"/>
    <w:basedOn w:val="a2"/>
    <w:rsid w:val="008B5165"/>
    <w:pPr>
      <w:pBdr>
        <w:top w:val="single" w:sz="8" w:space="0" w:color="auto"/>
        <w:left w:val="single" w:sz="8" w:space="0" w:color="auto"/>
      </w:pBdr>
      <w:shd w:val="clear" w:color="000000" w:fill="92D050"/>
      <w:spacing w:before="100" w:beforeAutospacing="1" w:after="100" w:afterAutospacing="1"/>
      <w:jc w:val="right"/>
    </w:pPr>
    <w:rPr>
      <w:rFonts w:ascii="Calibri" w:hAnsi="Calibri" w:cs="Calibri"/>
      <w:sz w:val="22"/>
      <w:szCs w:val="22"/>
    </w:rPr>
  </w:style>
  <w:style w:type="paragraph" w:customStyle="1" w:styleId="xl450">
    <w:name w:val="xl450"/>
    <w:basedOn w:val="a2"/>
    <w:rsid w:val="008B5165"/>
    <w:pPr>
      <w:pBdr>
        <w:left w:val="single" w:sz="8" w:space="0" w:color="auto"/>
        <w:bottom w:val="single" w:sz="8" w:space="0" w:color="auto"/>
      </w:pBdr>
      <w:shd w:val="clear" w:color="000000" w:fill="92D050"/>
      <w:spacing w:before="100" w:beforeAutospacing="1" w:after="100" w:afterAutospacing="1"/>
      <w:jc w:val="right"/>
    </w:pPr>
    <w:rPr>
      <w:rFonts w:ascii="Calibri" w:hAnsi="Calibri" w:cs="Calibri"/>
      <w:sz w:val="22"/>
      <w:szCs w:val="22"/>
    </w:rPr>
  </w:style>
  <w:style w:type="paragraph" w:customStyle="1" w:styleId="xl451">
    <w:name w:val="xl451"/>
    <w:basedOn w:val="a2"/>
    <w:rsid w:val="008B5165"/>
    <w:pPr>
      <w:pBdr>
        <w:top w:val="single" w:sz="8" w:space="0" w:color="auto"/>
        <w:left w:val="single" w:sz="8" w:space="0" w:color="auto"/>
        <w:bottom w:val="single" w:sz="4" w:space="0" w:color="auto"/>
      </w:pBdr>
      <w:spacing w:before="100" w:beforeAutospacing="1" w:after="100" w:afterAutospacing="1"/>
      <w:jc w:val="right"/>
    </w:pPr>
    <w:rPr>
      <w:rFonts w:ascii="Calibri" w:hAnsi="Calibri" w:cs="Calibri"/>
      <w:sz w:val="22"/>
      <w:szCs w:val="22"/>
    </w:rPr>
  </w:style>
  <w:style w:type="paragraph" w:customStyle="1" w:styleId="xl452">
    <w:name w:val="xl452"/>
    <w:basedOn w:val="a2"/>
    <w:rsid w:val="008B5165"/>
    <w:pPr>
      <w:pBdr>
        <w:top w:val="single" w:sz="4" w:space="0" w:color="auto"/>
        <w:left w:val="single" w:sz="8" w:space="0" w:color="auto"/>
        <w:bottom w:val="single" w:sz="4" w:space="0" w:color="auto"/>
      </w:pBdr>
      <w:spacing w:before="100" w:beforeAutospacing="1" w:after="100" w:afterAutospacing="1"/>
    </w:pPr>
    <w:rPr>
      <w:rFonts w:ascii="Calibri" w:hAnsi="Calibri" w:cs="Calibri"/>
      <w:sz w:val="22"/>
      <w:szCs w:val="22"/>
    </w:rPr>
  </w:style>
  <w:style w:type="paragraph" w:customStyle="1" w:styleId="xl453">
    <w:name w:val="xl453"/>
    <w:basedOn w:val="a2"/>
    <w:rsid w:val="008B5165"/>
    <w:pPr>
      <w:pBdr>
        <w:top w:val="single" w:sz="4" w:space="0" w:color="auto"/>
        <w:left w:val="single" w:sz="8" w:space="0" w:color="auto"/>
      </w:pBdr>
      <w:spacing w:before="100" w:beforeAutospacing="1" w:after="100" w:afterAutospacing="1"/>
    </w:pPr>
    <w:rPr>
      <w:rFonts w:ascii="Calibri" w:hAnsi="Calibri" w:cs="Calibri"/>
      <w:sz w:val="22"/>
      <w:szCs w:val="22"/>
    </w:rPr>
  </w:style>
  <w:style w:type="paragraph" w:customStyle="1" w:styleId="xl454">
    <w:name w:val="xl454"/>
    <w:basedOn w:val="a2"/>
    <w:rsid w:val="008B5165"/>
    <w:pPr>
      <w:spacing w:before="100" w:beforeAutospacing="1" w:after="100" w:afterAutospacing="1"/>
    </w:pPr>
    <w:rPr>
      <w:rFonts w:ascii="Calibri" w:hAnsi="Calibri" w:cs="Calibri"/>
      <w:sz w:val="22"/>
      <w:szCs w:val="22"/>
    </w:rPr>
  </w:style>
  <w:style w:type="paragraph" w:customStyle="1" w:styleId="xl455">
    <w:name w:val="xl455"/>
    <w:basedOn w:val="a2"/>
    <w:rsid w:val="008B5165"/>
    <w:pPr>
      <w:pBdr>
        <w:left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456">
    <w:name w:val="xl456"/>
    <w:basedOn w:val="a2"/>
    <w:rsid w:val="008B5165"/>
    <w:pPr>
      <w:pBdr>
        <w:left w:val="single" w:sz="8" w:space="0" w:color="auto"/>
        <w:bottom w:val="single" w:sz="4" w:space="0" w:color="auto"/>
        <w:right w:val="single" w:sz="8" w:space="0" w:color="auto"/>
      </w:pBdr>
      <w:spacing w:before="100" w:beforeAutospacing="1" w:after="100" w:afterAutospacing="1"/>
      <w:jc w:val="right"/>
      <w:textAlignment w:val="center"/>
    </w:pPr>
    <w:rPr>
      <w:b/>
      <w:bCs/>
      <w:sz w:val="22"/>
      <w:szCs w:val="22"/>
    </w:rPr>
  </w:style>
  <w:style w:type="paragraph" w:customStyle="1" w:styleId="xl457">
    <w:name w:val="xl457"/>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22"/>
      <w:szCs w:val="22"/>
    </w:rPr>
  </w:style>
  <w:style w:type="paragraph" w:customStyle="1" w:styleId="xl458">
    <w:name w:val="xl458"/>
    <w:basedOn w:val="a2"/>
    <w:rsid w:val="008B5165"/>
    <w:pPr>
      <w:spacing w:before="100" w:beforeAutospacing="1" w:after="100" w:afterAutospacing="1"/>
      <w:jc w:val="right"/>
    </w:pPr>
    <w:rPr>
      <w:rFonts w:ascii="Calibri" w:hAnsi="Calibri" w:cs="Calibri"/>
      <w:sz w:val="22"/>
      <w:szCs w:val="22"/>
    </w:rPr>
  </w:style>
  <w:style w:type="paragraph" w:customStyle="1" w:styleId="xl459">
    <w:name w:val="xl459"/>
    <w:basedOn w:val="a2"/>
    <w:rsid w:val="008B5165"/>
    <w:pPr>
      <w:spacing w:before="100" w:beforeAutospacing="1" w:after="100" w:afterAutospacing="1"/>
      <w:jc w:val="both"/>
      <w:textAlignment w:val="center"/>
    </w:pPr>
    <w:rPr>
      <w:rFonts w:ascii="Arial" w:hAnsi="Arial" w:cs="Arial"/>
      <w:i/>
      <w:iCs/>
    </w:rPr>
  </w:style>
  <w:style w:type="paragraph" w:customStyle="1" w:styleId="xl460">
    <w:name w:val="xl460"/>
    <w:basedOn w:val="a2"/>
    <w:rsid w:val="008B5165"/>
    <w:pPr>
      <w:spacing w:before="100" w:beforeAutospacing="1" w:after="100" w:afterAutospacing="1"/>
    </w:pPr>
    <w:rPr>
      <w:rFonts w:ascii="Calibri" w:hAnsi="Calibri" w:cs="Calibri"/>
      <w:sz w:val="22"/>
      <w:szCs w:val="22"/>
    </w:rPr>
  </w:style>
  <w:style w:type="paragraph" w:customStyle="1" w:styleId="xl461">
    <w:name w:val="xl461"/>
    <w:basedOn w:val="a2"/>
    <w:rsid w:val="008B5165"/>
    <w:pPr>
      <w:spacing w:before="100" w:beforeAutospacing="1" w:after="100" w:afterAutospacing="1"/>
    </w:pPr>
    <w:rPr>
      <w:rFonts w:ascii="Calibri" w:hAnsi="Calibri" w:cs="Calibri"/>
      <w:sz w:val="22"/>
      <w:szCs w:val="22"/>
    </w:rPr>
  </w:style>
  <w:style w:type="paragraph" w:customStyle="1" w:styleId="xl462">
    <w:name w:val="xl462"/>
    <w:basedOn w:val="a2"/>
    <w:rsid w:val="008B5165"/>
    <w:pPr>
      <w:pBdr>
        <w:top w:val="single" w:sz="8" w:space="0" w:color="auto"/>
        <w:left w:val="single" w:sz="8" w:space="0" w:color="auto"/>
        <w:bottom w:val="single" w:sz="8" w:space="0" w:color="auto"/>
      </w:pBdr>
      <w:spacing w:before="100" w:beforeAutospacing="1" w:after="100" w:afterAutospacing="1"/>
      <w:textAlignment w:val="center"/>
    </w:pPr>
    <w:rPr>
      <w:b/>
      <w:bCs/>
      <w:sz w:val="22"/>
      <w:szCs w:val="22"/>
    </w:rPr>
  </w:style>
  <w:style w:type="paragraph" w:customStyle="1" w:styleId="xl463">
    <w:name w:val="xl463"/>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 w:val="22"/>
      <w:szCs w:val="22"/>
    </w:rPr>
  </w:style>
  <w:style w:type="paragraph" w:customStyle="1" w:styleId="xl464">
    <w:name w:val="xl464"/>
    <w:basedOn w:val="a2"/>
    <w:rsid w:val="008B5165"/>
    <w:pPr>
      <w:pBdr>
        <w:top w:val="single" w:sz="8" w:space="0" w:color="auto"/>
        <w:left w:val="single" w:sz="8" w:space="0" w:color="auto"/>
        <w:bottom w:val="single" w:sz="4" w:space="0" w:color="auto"/>
      </w:pBdr>
      <w:spacing w:before="100" w:beforeAutospacing="1" w:after="100" w:afterAutospacing="1"/>
      <w:textAlignment w:val="top"/>
    </w:pPr>
  </w:style>
  <w:style w:type="paragraph" w:customStyle="1" w:styleId="xl465">
    <w:name w:val="xl465"/>
    <w:basedOn w:val="a2"/>
    <w:rsid w:val="008B5165"/>
    <w:pPr>
      <w:pBdr>
        <w:top w:val="single" w:sz="8" w:space="0" w:color="auto"/>
        <w:left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466">
    <w:name w:val="xl466"/>
    <w:basedOn w:val="a2"/>
    <w:rsid w:val="008B5165"/>
    <w:pPr>
      <w:pBdr>
        <w:top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467">
    <w:name w:val="xl467"/>
    <w:basedOn w:val="a2"/>
    <w:rsid w:val="008B5165"/>
    <w:pPr>
      <w:pBdr>
        <w:top w:val="single" w:sz="8" w:space="0" w:color="auto"/>
        <w:bottom w:val="single" w:sz="8" w:space="0" w:color="auto"/>
      </w:pBdr>
      <w:spacing w:before="100" w:beforeAutospacing="1" w:after="100" w:afterAutospacing="1"/>
    </w:pPr>
    <w:rPr>
      <w:rFonts w:ascii="Calibri" w:hAnsi="Calibri" w:cs="Calibri"/>
      <w:color w:val="FF0000"/>
      <w:sz w:val="22"/>
      <w:szCs w:val="22"/>
    </w:rPr>
  </w:style>
  <w:style w:type="paragraph" w:customStyle="1" w:styleId="282">
    <w:name w:val="Знак Знак Знак Знак Знак Знак Знак Знак Знак Знак Знак Знак28"/>
    <w:basedOn w:val="a2"/>
    <w:rsid w:val="00027A33"/>
    <w:pPr>
      <w:tabs>
        <w:tab w:val="num" w:pos="360"/>
      </w:tabs>
      <w:spacing w:after="160" w:line="240" w:lineRule="exact"/>
    </w:pPr>
    <w:rPr>
      <w:rFonts w:ascii="Verdana" w:hAnsi="Verdana" w:cs="Verdana"/>
      <w:sz w:val="20"/>
      <w:szCs w:val="20"/>
      <w:lang w:val="en-US" w:eastAsia="en-US"/>
    </w:rPr>
  </w:style>
  <w:style w:type="numbering" w:customStyle="1" w:styleId="671">
    <w:name w:val="Нет списка67"/>
    <w:next w:val="a5"/>
    <w:uiPriority w:val="99"/>
    <w:semiHidden/>
    <w:unhideWhenUsed/>
    <w:rsid w:val="001E70EA"/>
  </w:style>
  <w:style w:type="table" w:customStyle="1" w:styleId="820">
    <w:name w:val="Сетка таблицы82"/>
    <w:basedOn w:val="a4"/>
    <w:next w:val="afb"/>
    <w:rsid w:val="001E70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4"/>
    <w:next w:val="afb"/>
    <w:rsid w:val="00AA2A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4"/>
    <w:next w:val="afb"/>
    <w:uiPriority w:val="59"/>
    <w:rsid w:val="007A02B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0">
    <w:name w:val="Сетка таблицы84"/>
    <w:basedOn w:val="a4"/>
    <w:next w:val="afb"/>
    <w:rsid w:val="007A02B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1">
    <w:name w:val="Нет списка68"/>
    <w:next w:val="a5"/>
    <w:semiHidden/>
    <w:rsid w:val="001724A8"/>
  </w:style>
  <w:style w:type="table" w:customStyle="1" w:styleId="850">
    <w:name w:val="Сетка таблицы85"/>
    <w:basedOn w:val="a4"/>
    <w:next w:val="afb"/>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4"/>
    <w:next w:val="afb"/>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4"/>
    <w:next w:val="afb"/>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basedOn w:val="a4"/>
    <w:next w:val="afb"/>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4"/>
    <w:next w:val="afb"/>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513"/>
    <w:basedOn w:val="a4"/>
    <w:next w:val="afb"/>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Сетка таблицы612"/>
    <w:basedOn w:val="a4"/>
    <w:next w:val="afb"/>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0">
    <w:name w:val="Сетка таблицы710"/>
    <w:basedOn w:val="a4"/>
    <w:next w:val="afb"/>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4"/>
    <w:next w:val="afb"/>
    <w:uiPriority w:val="59"/>
    <w:rsid w:val="001724A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60">
    <w:name w:val="Сетка таблицы86"/>
    <w:basedOn w:val="a4"/>
    <w:next w:val="afb"/>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4"/>
    <w:next w:val="afb"/>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1">
    <w:name w:val="Нет списка69"/>
    <w:next w:val="a5"/>
    <w:semiHidden/>
    <w:rsid w:val="00F45ECD"/>
  </w:style>
  <w:style w:type="table" w:customStyle="1" w:styleId="870">
    <w:name w:val="Сетка таблицы87"/>
    <w:basedOn w:val="a4"/>
    <w:next w:val="afb"/>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Сетка таблицы134"/>
    <w:basedOn w:val="a4"/>
    <w:next w:val="afb"/>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4"/>
    <w:next w:val="afb"/>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4"/>
    <w:next w:val="afb"/>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4"/>
    <w:next w:val="afb"/>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514"/>
    <w:basedOn w:val="a4"/>
    <w:next w:val="afb"/>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4"/>
    <w:next w:val="afb"/>
    <w:uiPriority w:val="59"/>
    <w:rsid w:val="00D250A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80">
    <w:name w:val="Сетка таблицы88"/>
    <w:basedOn w:val="a4"/>
    <w:next w:val="afb"/>
    <w:rsid w:val="00D2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72">
    <w:name w:val="Знак Знак Знак Знак Знак Знак Знак Знак Знак Знак Знак Знак27"/>
    <w:basedOn w:val="a2"/>
    <w:rsid w:val="00800C79"/>
    <w:pPr>
      <w:tabs>
        <w:tab w:val="num" w:pos="360"/>
      </w:tabs>
      <w:spacing w:after="160" w:line="240" w:lineRule="exact"/>
    </w:pPr>
    <w:rPr>
      <w:rFonts w:ascii="Verdana" w:hAnsi="Verdana" w:cs="Verdana"/>
      <w:sz w:val="20"/>
      <w:szCs w:val="20"/>
      <w:lang w:val="en-US" w:eastAsia="en-US"/>
    </w:rPr>
  </w:style>
  <w:style w:type="table" w:customStyle="1" w:styleId="136">
    <w:name w:val="Сетка таблицы136"/>
    <w:basedOn w:val="a4"/>
    <w:next w:val="afb"/>
    <w:uiPriority w:val="59"/>
    <w:rsid w:val="003149E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90">
    <w:name w:val="Сетка таблицы89"/>
    <w:basedOn w:val="a4"/>
    <w:next w:val="afb"/>
    <w:rsid w:val="003149E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2">
    <w:name w:val="Нет списка70"/>
    <w:next w:val="a5"/>
    <w:uiPriority w:val="99"/>
    <w:semiHidden/>
    <w:unhideWhenUsed/>
    <w:rsid w:val="00CE4CC3"/>
  </w:style>
  <w:style w:type="table" w:customStyle="1" w:styleId="900">
    <w:name w:val="Сетка таблицы90"/>
    <w:basedOn w:val="a4"/>
    <w:next w:val="afb"/>
    <w:rsid w:val="00CE4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5"/>
    <w:uiPriority w:val="99"/>
    <w:semiHidden/>
    <w:unhideWhenUsed/>
    <w:rsid w:val="00E64EE6"/>
  </w:style>
  <w:style w:type="table" w:customStyle="1" w:styleId="920">
    <w:name w:val="Сетка таблицы92"/>
    <w:basedOn w:val="a4"/>
    <w:next w:val="afb"/>
    <w:rsid w:val="00E64E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4"/>
    <w:next w:val="afb"/>
    <w:rsid w:val="00E64E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5"/>
    <w:uiPriority w:val="99"/>
    <w:semiHidden/>
    <w:rsid w:val="006B5689"/>
  </w:style>
  <w:style w:type="paragraph" w:customStyle="1" w:styleId="12a">
    <w:name w:val="Абзац списка12"/>
    <w:basedOn w:val="a2"/>
    <w:autoRedefine/>
    <w:rsid w:val="006B5689"/>
    <w:pPr>
      <w:jc w:val="center"/>
    </w:pPr>
    <w:rPr>
      <w:snapToGrid w:val="0"/>
      <w:sz w:val="28"/>
      <w:szCs w:val="28"/>
    </w:rPr>
  </w:style>
  <w:style w:type="table" w:customStyle="1" w:styleId="940">
    <w:name w:val="Сетка таблицы94"/>
    <w:basedOn w:val="a4"/>
    <w:next w:val="afb"/>
    <w:uiPriority w:val="39"/>
    <w:rsid w:val="006B56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b">
    <w:name w:val="Знак12"/>
    <w:basedOn w:val="a2"/>
    <w:rsid w:val="006B5689"/>
    <w:pPr>
      <w:spacing w:after="160" w:line="240" w:lineRule="exact"/>
    </w:pPr>
    <w:rPr>
      <w:rFonts w:ascii="Verdana" w:hAnsi="Verdana" w:cs="Verdana"/>
      <w:sz w:val="20"/>
      <w:szCs w:val="20"/>
      <w:lang w:val="en-US" w:eastAsia="en-US"/>
    </w:rPr>
  </w:style>
  <w:style w:type="numbering" w:customStyle="1" w:styleId="1270">
    <w:name w:val="Нет списка127"/>
    <w:next w:val="a5"/>
    <w:uiPriority w:val="99"/>
    <w:semiHidden/>
    <w:unhideWhenUsed/>
    <w:rsid w:val="006B5689"/>
  </w:style>
  <w:style w:type="table" w:customStyle="1" w:styleId="137">
    <w:name w:val="Сетка таблицы137"/>
    <w:basedOn w:val="a4"/>
    <w:next w:val="afb"/>
    <w:uiPriority w:val="39"/>
    <w:rsid w:val="006B56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5"/>
    <w:uiPriority w:val="99"/>
    <w:semiHidden/>
    <w:unhideWhenUsed/>
    <w:rsid w:val="006B5689"/>
  </w:style>
  <w:style w:type="paragraph" w:customStyle="1" w:styleId="262">
    <w:name w:val="Знак Знак Знак Знак Знак Знак Знак Знак Знак Знак Знак Знак26"/>
    <w:basedOn w:val="a2"/>
    <w:rsid w:val="00A54AEA"/>
    <w:pPr>
      <w:tabs>
        <w:tab w:val="num" w:pos="360"/>
      </w:tabs>
      <w:spacing w:after="160" w:line="240" w:lineRule="exact"/>
    </w:pPr>
    <w:rPr>
      <w:rFonts w:ascii="Verdana" w:hAnsi="Verdana" w:cs="Verdana"/>
      <w:sz w:val="20"/>
      <w:szCs w:val="20"/>
      <w:lang w:val="en-US" w:eastAsia="en-US"/>
    </w:rPr>
  </w:style>
  <w:style w:type="numbering" w:customStyle="1" w:styleId="751">
    <w:name w:val="Нет списка75"/>
    <w:next w:val="a5"/>
    <w:uiPriority w:val="99"/>
    <w:semiHidden/>
    <w:unhideWhenUsed/>
    <w:rsid w:val="00DB1C15"/>
  </w:style>
  <w:style w:type="numbering" w:customStyle="1" w:styleId="761">
    <w:name w:val="Нет списка76"/>
    <w:next w:val="a5"/>
    <w:uiPriority w:val="99"/>
    <w:semiHidden/>
    <w:unhideWhenUsed/>
    <w:rsid w:val="004D6A35"/>
  </w:style>
  <w:style w:type="table" w:customStyle="1" w:styleId="950">
    <w:name w:val="Сетка таблицы95"/>
    <w:basedOn w:val="a4"/>
    <w:next w:val="afb"/>
    <w:rsid w:val="004D6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1">
    <w:name w:val="Нет списка77"/>
    <w:next w:val="a5"/>
    <w:uiPriority w:val="99"/>
    <w:semiHidden/>
    <w:unhideWhenUsed/>
    <w:rsid w:val="004D6A35"/>
  </w:style>
  <w:style w:type="table" w:customStyle="1" w:styleId="138">
    <w:name w:val="Сетка таблицы138"/>
    <w:basedOn w:val="a4"/>
    <w:next w:val="afb"/>
    <w:uiPriority w:val="59"/>
    <w:rsid w:val="004D6A3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6">
    <w:name w:val="Сетка таблицы96"/>
    <w:basedOn w:val="a4"/>
    <w:next w:val="afb"/>
    <w:rsid w:val="004D6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2">
    <w:name w:val="Знак Знак Знак Знак Знак Знак Знак Знак Знак Знак Знак Знак25"/>
    <w:basedOn w:val="a2"/>
    <w:rsid w:val="00A14CE3"/>
    <w:pPr>
      <w:tabs>
        <w:tab w:val="num" w:pos="360"/>
      </w:tabs>
      <w:spacing w:after="160" w:line="240" w:lineRule="exact"/>
    </w:pPr>
    <w:rPr>
      <w:rFonts w:ascii="Verdana" w:hAnsi="Verdana" w:cs="Verdana"/>
      <w:sz w:val="20"/>
      <w:szCs w:val="20"/>
      <w:lang w:val="en-US" w:eastAsia="en-US"/>
    </w:rPr>
  </w:style>
  <w:style w:type="numbering" w:customStyle="1" w:styleId="781">
    <w:name w:val="Нет списка78"/>
    <w:next w:val="a5"/>
    <w:semiHidden/>
    <w:rsid w:val="00834A4E"/>
  </w:style>
  <w:style w:type="table" w:customStyle="1" w:styleId="97">
    <w:name w:val="Сетка таблицы97"/>
    <w:basedOn w:val="a4"/>
    <w:next w:val="afb"/>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9"/>
    <w:basedOn w:val="a4"/>
    <w:next w:val="afb"/>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4"/>
    <w:next w:val="afb"/>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4"/>
    <w:next w:val="afb"/>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0">
    <w:name w:val="Сетка таблицы140"/>
    <w:basedOn w:val="a4"/>
    <w:next w:val="afb"/>
    <w:uiPriority w:val="59"/>
    <w:rsid w:val="00014A7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8">
    <w:name w:val="Сетка таблицы98"/>
    <w:basedOn w:val="a4"/>
    <w:next w:val="afb"/>
    <w:rsid w:val="00014A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4"/>
    <w:next w:val="afb"/>
    <w:rsid w:val="00014A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2">
    <w:name w:val="Знак Знак Знак Знак Знак Знак Знак Знак Знак Знак Знак Знак24"/>
    <w:basedOn w:val="a2"/>
    <w:rsid w:val="008C78D9"/>
    <w:pPr>
      <w:tabs>
        <w:tab w:val="num" w:pos="360"/>
      </w:tabs>
      <w:spacing w:after="160" w:line="240" w:lineRule="exact"/>
    </w:pPr>
    <w:rPr>
      <w:rFonts w:ascii="Verdana" w:hAnsi="Verdana" w:cs="Verdana"/>
      <w:sz w:val="20"/>
      <w:szCs w:val="20"/>
      <w:lang w:val="en-US" w:eastAsia="en-US"/>
    </w:rPr>
  </w:style>
  <w:style w:type="numbering" w:customStyle="1" w:styleId="791">
    <w:name w:val="Нет списка79"/>
    <w:next w:val="a5"/>
    <w:semiHidden/>
    <w:rsid w:val="003F6F66"/>
  </w:style>
  <w:style w:type="table" w:customStyle="1" w:styleId="99">
    <w:name w:val="Сетка таблицы99"/>
    <w:basedOn w:val="a4"/>
    <w:next w:val="afb"/>
    <w:rsid w:val="003F6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4"/>
    <w:next w:val="afb"/>
    <w:rsid w:val="003F6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1">
    <w:name w:val="Нет списка80"/>
    <w:next w:val="a5"/>
    <w:uiPriority w:val="99"/>
    <w:semiHidden/>
    <w:unhideWhenUsed/>
    <w:rsid w:val="003F6F66"/>
  </w:style>
  <w:style w:type="table" w:customStyle="1" w:styleId="1410">
    <w:name w:val="Сетка таблицы141"/>
    <w:basedOn w:val="a4"/>
    <w:next w:val="afb"/>
    <w:uiPriority w:val="59"/>
    <w:rsid w:val="003F6F6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0">
    <w:name w:val="Сетка таблицы100"/>
    <w:basedOn w:val="a4"/>
    <w:next w:val="afb"/>
    <w:rsid w:val="003F6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Нет списка81"/>
    <w:next w:val="a5"/>
    <w:semiHidden/>
    <w:rsid w:val="00900471"/>
  </w:style>
  <w:style w:type="table" w:customStyle="1" w:styleId="1010">
    <w:name w:val="Сетка таблицы101"/>
    <w:basedOn w:val="a4"/>
    <w:next w:val="afb"/>
    <w:rsid w:val="009004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
    <w:name w:val="Нет списка82"/>
    <w:next w:val="a5"/>
    <w:uiPriority w:val="99"/>
    <w:semiHidden/>
    <w:unhideWhenUsed/>
    <w:rsid w:val="00900471"/>
  </w:style>
  <w:style w:type="table" w:customStyle="1" w:styleId="1420">
    <w:name w:val="Сетка таблицы142"/>
    <w:basedOn w:val="a4"/>
    <w:next w:val="afb"/>
    <w:uiPriority w:val="59"/>
    <w:rsid w:val="0090047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0">
    <w:name w:val="Сетка таблицы102"/>
    <w:basedOn w:val="a4"/>
    <w:next w:val="afb"/>
    <w:rsid w:val="009004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2">
    <w:name w:val="Знак Знак Знак Знак Знак Знак Знак Знак Знак Знак Знак Знак23"/>
    <w:basedOn w:val="a2"/>
    <w:rsid w:val="009230B7"/>
    <w:pPr>
      <w:tabs>
        <w:tab w:val="num" w:pos="360"/>
      </w:tabs>
      <w:spacing w:after="160" w:line="240" w:lineRule="exact"/>
    </w:pPr>
    <w:rPr>
      <w:rFonts w:ascii="Verdana" w:hAnsi="Verdana" w:cs="Verdana"/>
      <w:sz w:val="20"/>
      <w:szCs w:val="20"/>
      <w:lang w:val="en-US" w:eastAsia="en-US"/>
    </w:rPr>
  </w:style>
  <w:style w:type="numbering" w:customStyle="1" w:styleId="831">
    <w:name w:val="Нет списка83"/>
    <w:next w:val="a5"/>
    <w:uiPriority w:val="99"/>
    <w:semiHidden/>
    <w:rsid w:val="00CE4A06"/>
  </w:style>
  <w:style w:type="paragraph" w:customStyle="1" w:styleId="13a">
    <w:name w:val="Абзац списка13"/>
    <w:basedOn w:val="a2"/>
    <w:autoRedefine/>
    <w:rsid w:val="00CE4A06"/>
    <w:pPr>
      <w:jc w:val="center"/>
    </w:pPr>
    <w:rPr>
      <w:snapToGrid w:val="0"/>
      <w:sz w:val="28"/>
      <w:szCs w:val="28"/>
    </w:rPr>
  </w:style>
  <w:style w:type="table" w:customStyle="1" w:styleId="1030">
    <w:name w:val="Сетка таблицы103"/>
    <w:basedOn w:val="a4"/>
    <w:next w:val="afb"/>
    <w:uiPriority w:val="39"/>
    <w:rsid w:val="00CE4A0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d">
    <w:name w:val="Знак11"/>
    <w:basedOn w:val="a2"/>
    <w:rsid w:val="00CE4A06"/>
    <w:pPr>
      <w:spacing w:after="160" w:line="240" w:lineRule="exact"/>
    </w:pPr>
    <w:rPr>
      <w:rFonts w:ascii="Verdana" w:hAnsi="Verdana" w:cs="Verdana"/>
      <w:sz w:val="20"/>
      <w:szCs w:val="20"/>
      <w:lang w:val="en-US" w:eastAsia="en-US"/>
    </w:rPr>
  </w:style>
  <w:style w:type="numbering" w:customStyle="1" w:styleId="1280">
    <w:name w:val="Нет списка128"/>
    <w:next w:val="a5"/>
    <w:uiPriority w:val="99"/>
    <w:semiHidden/>
    <w:unhideWhenUsed/>
    <w:rsid w:val="00CE4A06"/>
  </w:style>
  <w:style w:type="table" w:customStyle="1" w:styleId="1430">
    <w:name w:val="Сетка таблицы143"/>
    <w:basedOn w:val="a4"/>
    <w:next w:val="afb"/>
    <w:uiPriority w:val="39"/>
    <w:rsid w:val="00CE4A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5"/>
    <w:uiPriority w:val="99"/>
    <w:semiHidden/>
    <w:unhideWhenUsed/>
    <w:rsid w:val="00CE4A06"/>
  </w:style>
  <w:style w:type="table" w:customStyle="1" w:styleId="226">
    <w:name w:val="Сетка таблицы226"/>
    <w:basedOn w:val="a4"/>
    <w:next w:val="afb"/>
    <w:uiPriority w:val="39"/>
    <w:rsid w:val="00CE4A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5"/>
    <w:uiPriority w:val="99"/>
    <w:semiHidden/>
    <w:rsid w:val="004E7DF1"/>
  </w:style>
  <w:style w:type="table" w:customStyle="1" w:styleId="104">
    <w:name w:val="Сетка таблицы104"/>
    <w:basedOn w:val="a4"/>
    <w:next w:val="afb"/>
    <w:uiPriority w:val="39"/>
    <w:rsid w:val="004E7D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0">
    <w:name w:val="Нет списка129"/>
    <w:next w:val="a5"/>
    <w:uiPriority w:val="99"/>
    <w:semiHidden/>
    <w:unhideWhenUsed/>
    <w:rsid w:val="004E7DF1"/>
  </w:style>
  <w:style w:type="table" w:customStyle="1" w:styleId="1441">
    <w:name w:val="Сетка таблицы144"/>
    <w:basedOn w:val="a4"/>
    <w:next w:val="afb"/>
    <w:uiPriority w:val="39"/>
    <w:rsid w:val="004E7D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5"/>
    <w:uiPriority w:val="99"/>
    <w:semiHidden/>
    <w:unhideWhenUsed/>
    <w:rsid w:val="004E7DF1"/>
  </w:style>
  <w:style w:type="table" w:customStyle="1" w:styleId="227">
    <w:name w:val="Сетка таблицы227"/>
    <w:basedOn w:val="a4"/>
    <w:next w:val="afb"/>
    <w:uiPriority w:val="39"/>
    <w:rsid w:val="004E7D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1">
    <w:name w:val="Нет списка85"/>
    <w:next w:val="a5"/>
    <w:uiPriority w:val="99"/>
    <w:semiHidden/>
    <w:rsid w:val="00033B03"/>
  </w:style>
  <w:style w:type="table" w:customStyle="1" w:styleId="105">
    <w:name w:val="Сетка таблицы105"/>
    <w:basedOn w:val="a4"/>
    <w:next w:val="afb"/>
    <w:uiPriority w:val="39"/>
    <w:rsid w:val="00033B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5"/>
    <w:uiPriority w:val="99"/>
    <w:semiHidden/>
    <w:unhideWhenUsed/>
    <w:rsid w:val="00033B03"/>
  </w:style>
  <w:style w:type="table" w:customStyle="1" w:styleId="145">
    <w:name w:val="Сетка таблицы145"/>
    <w:basedOn w:val="a4"/>
    <w:next w:val="afb"/>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5"/>
    <w:uiPriority w:val="99"/>
    <w:semiHidden/>
    <w:unhideWhenUsed/>
    <w:rsid w:val="00033B03"/>
  </w:style>
  <w:style w:type="table" w:customStyle="1" w:styleId="228">
    <w:name w:val="Сетка таблицы228"/>
    <w:basedOn w:val="a4"/>
    <w:next w:val="afb"/>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1">
    <w:name w:val="Нет списка86"/>
    <w:next w:val="a5"/>
    <w:uiPriority w:val="99"/>
    <w:semiHidden/>
    <w:rsid w:val="00033B03"/>
  </w:style>
  <w:style w:type="table" w:customStyle="1" w:styleId="106">
    <w:name w:val="Сетка таблицы106"/>
    <w:basedOn w:val="a4"/>
    <w:next w:val="afb"/>
    <w:uiPriority w:val="39"/>
    <w:rsid w:val="00033B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5"/>
    <w:uiPriority w:val="99"/>
    <w:semiHidden/>
    <w:unhideWhenUsed/>
    <w:rsid w:val="00033B03"/>
  </w:style>
  <w:style w:type="table" w:customStyle="1" w:styleId="146">
    <w:name w:val="Сетка таблицы146"/>
    <w:basedOn w:val="a4"/>
    <w:next w:val="afb"/>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5"/>
    <w:uiPriority w:val="99"/>
    <w:semiHidden/>
    <w:unhideWhenUsed/>
    <w:rsid w:val="00033B03"/>
  </w:style>
  <w:style w:type="table" w:customStyle="1" w:styleId="229">
    <w:name w:val="Сетка таблицы229"/>
    <w:basedOn w:val="a4"/>
    <w:next w:val="afb"/>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1">
    <w:name w:val="Нет списка87"/>
    <w:next w:val="a5"/>
    <w:uiPriority w:val="99"/>
    <w:semiHidden/>
    <w:rsid w:val="00033B03"/>
  </w:style>
  <w:style w:type="table" w:customStyle="1" w:styleId="107">
    <w:name w:val="Сетка таблицы107"/>
    <w:basedOn w:val="a4"/>
    <w:next w:val="afb"/>
    <w:uiPriority w:val="39"/>
    <w:rsid w:val="00033B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Нет списка132"/>
    <w:next w:val="a5"/>
    <w:uiPriority w:val="99"/>
    <w:semiHidden/>
    <w:unhideWhenUsed/>
    <w:rsid w:val="00033B03"/>
  </w:style>
  <w:style w:type="table" w:customStyle="1" w:styleId="147">
    <w:name w:val="Сетка таблицы147"/>
    <w:basedOn w:val="a4"/>
    <w:next w:val="afb"/>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5"/>
    <w:uiPriority w:val="99"/>
    <w:semiHidden/>
    <w:unhideWhenUsed/>
    <w:rsid w:val="00033B03"/>
  </w:style>
  <w:style w:type="table" w:customStyle="1" w:styleId="2300">
    <w:name w:val="Сетка таблицы230"/>
    <w:basedOn w:val="a4"/>
    <w:next w:val="afb"/>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1">
    <w:name w:val="Нет списка88"/>
    <w:next w:val="a5"/>
    <w:uiPriority w:val="99"/>
    <w:semiHidden/>
    <w:unhideWhenUsed/>
    <w:rsid w:val="00D928FA"/>
  </w:style>
  <w:style w:type="table" w:customStyle="1" w:styleId="108">
    <w:name w:val="Сетка таблицы108"/>
    <w:basedOn w:val="a4"/>
    <w:next w:val="afb"/>
    <w:uiPriority w:val="39"/>
    <w:rsid w:val="00D928F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9">
    <w:name w:val="Знак Знак1 Знак Знак8"/>
    <w:basedOn w:val="a2"/>
    <w:rsid w:val="00D928FA"/>
    <w:pPr>
      <w:tabs>
        <w:tab w:val="num" w:pos="360"/>
      </w:tabs>
      <w:spacing w:after="160" w:line="240" w:lineRule="exact"/>
    </w:pPr>
    <w:rPr>
      <w:rFonts w:ascii="Verdana" w:hAnsi="Verdana" w:cs="Verdana"/>
      <w:sz w:val="20"/>
      <w:szCs w:val="20"/>
      <w:lang w:val="en-US" w:eastAsia="en-US"/>
    </w:rPr>
  </w:style>
  <w:style w:type="numbering" w:customStyle="1" w:styleId="1331">
    <w:name w:val="Нет списка133"/>
    <w:next w:val="a5"/>
    <w:uiPriority w:val="99"/>
    <w:semiHidden/>
    <w:rsid w:val="00D928FA"/>
  </w:style>
  <w:style w:type="numbering" w:customStyle="1" w:styleId="1114">
    <w:name w:val="Нет списка1114"/>
    <w:next w:val="a5"/>
    <w:semiHidden/>
    <w:unhideWhenUsed/>
    <w:rsid w:val="00D928FA"/>
  </w:style>
  <w:style w:type="table" w:customStyle="1" w:styleId="148">
    <w:name w:val="Сетка таблицы148"/>
    <w:basedOn w:val="a4"/>
    <w:next w:val="afb"/>
    <w:uiPriority w:val="39"/>
    <w:rsid w:val="00D928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5"/>
    <w:uiPriority w:val="99"/>
    <w:semiHidden/>
    <w:unhideWhenUsed/>
    <w:rsid w:val="00D928FA"/>
  </w:style>
  <w:style w:type="table" w:customStyle="1" w:styleId="2310">
    <w:name w:val="Сетка таблицы231"/>
    <w:basedOn w:val="a4"/>
    <w:next w:val="afb"/>
    <w:uiPriority w:val="39"/>
    <w:rsid w:val="00D928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
    <w:name w:val="Нет списка310"/>
    <w:next w:val="a5"/>
    <w:uiPriority w:val="99"/>
    <w:semiHidden/>
    <w:rsid w:val="00D928FA"/>
  </w:style>
  <w:style w:type="numbering" w:customStyle="1" w:styleId="12100">
    <w:name w:val="Нет списка1210"/>
    <w:next w:val="a5"/>
    <w:uiPriority w:val="99"/>
    <w:semiHidden/>
    <w:unhideWhenUsed/>
    <w:rsid w:val="00D928FA"/>
  </w:style>
  <w:style w:type="numbering" w:customStyle="1" w:styleId="21100">
    <w:name w:val="Нет списка2110"/>
    <w:next w:val="a5"/>
    <w:uiPriority w:val="99"/>
    <w:semiHidden/>
    <w:unhideWhenUsed/>
    <w:rsid w:val="00D928FA"/>
  </w:style>
  <w:style w:type="numbering" w:customStyle="1" w:styleId="891">
    <w:name w:val="Нет списка89"/>
    <w:next w:val="a5"/>
    <w:uiPriority w:val="99"/>
    <w:semiHidden/>
    <w:unhideWhenUsed/>
    <w:rsid w:val="0058469A"/>
  </w:style>
  <w:style w:type="table" w:customStyle="1" w:styleId="109">
    <w:name w:val="Сетка таблицы109"/>
    <w:basedOn w:val="a4"/>
    <w:next w:val="afb"/>
    <w:rsid w:val="005846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a">
    <w:name w:val="Обычный8"/>
    <w:rsid w:val="005846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49">
    <w:name w:val="Абзац списка14"/>
    <w:basedOn w:val="a2"/>
    <w:rsid w:val="0058469A"/>
    <w:pPr>
      <w:spacing w:after="200" w:line="276" w:lineRule="auto"/>
      <w:ind w:left="720"/>
      <w:contextualSpacing/>
    </w:pPr>
    <w:rPr>
      <w:rFonts w:ascii="Calibri" w:eastAsia="Calibri" w:hAnsi="Calibri"/>
      <w:sz w:val="22"/>
      <w:szCs w:val="22"/>
    </w:rPr>
  </w:style>
  <w:style w:type="paragraph" w:customStyle="1" w:styleId="22a">
    <w:name w:val="Знак Знак Знак Знак Знак Знак Знак Знак Знак Знак Знак Знак22"/>
    <w:basedOn w:val="a2"/>
    <w:rsid w:val="00184E77"/>
    <w:pPr>
      <w:tabs>
        <w:tab w:val="num" w:pos="360"/>
      </w:tabs>
      <w:spacing w:after="160" w:line="240" w:lineRule="exact"/>
    </w:pPr>
    <w:rPr>
      <w:rFonts w:ascii="Verdana" w:hAnsi="Verdana" w:cs="Verdana"/>
      <w:sz w:val="20"/>
      <w:szCs w:val="20"/>
      <w:lang w:val="en-US" w:eastAsia="en-US"/>
    </w:rPr>
  </w:style>
  <w:style w:type="numbering" w:customStyle="1" w:styleId="901">
    <w:name w:val="Нет списка90"/>
    <w:next w:val="a5"/>
    <w:uiPriority w:val="99"/>
    <w:semiHidden/>
    <w:unhideWhenUsed/>
    <w:rsid w:val="008539B2"/>
  </w:style>
  <w:style w:type="table" w:customStyle="1" w:styleId="1490">
    <w:name w:val="Сетка таблицы149"/>
    <w:basedOn w:val="a4"/>
    <w:next w:val="afb"/>
    <w:rsid w:val="008539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a">
    <w:name w:val="Обычный9"/>
    <w:rsid w:val="008539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5b">
    <w:name w:val="Абзац списка15"/>
    <w:basedOn w:val="a2"/>
    <w:rsid w:val="008539B2"/>
    <w:pPr>
      <w:spacing w:after="200" w:line="276" w:lineRule="auto"/>
      <w:ind w:left="720"/>
      <w:contextualSpacing/>
    </w:pPr>
    <w:rPr>
      <w:rFonts w:ascii="Calibri" w:eastAsia="Calibri" w:hAnsi="Calibri"/>
      <w:sz w:val="22"/>
      <w:szCs w:val="22"/>
    </w:rPr>
  </w:style>
  <w:style w:type="numbering" w:customStyle="1" w:styleId="911">
    <w:name w:val="Нет списка91"/>
    <w:next w:val="a5"/>
    <w:uiPriority w:val="99"/>
    <w:semiHidden/>
    <w:unhideWhenUsed/>
    <w:rsid w:val="008B45B8"/>
  </w:style>
  <w:style w:type="table" w:customStyle="1" w:styleId="1500">
    <w:name w:val="Сетка таблицы150"/>
    <w:basedOn w:val="a4"/>
    <w:next w:val="afb"/>
    <w:rsid w:val="008B45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4"/>
    <w:next w:val="afb"/>
    <w:uiPriority w:val="59"/>
    <w:rsid w:val="00A37AF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0">
    <w:name w:val="Сетка таблицы152"/>
    <w:basedOn w:val="a4"/>
    <w:next w:val="afb"/>
    <w:rsid w:val="00A37AF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5"/>
    <w:semiHidden/>
    <w:rsid w:val="00004E89"/>
  </w:style>
  <w:style w:type="table" w:customStyle="1" w:styleId="1530">
    <w:name w:val="Сетка таблицы153"/>
    <w:basedOn w:val="a4"/>
    <w:next w:val="afb"/>
    <w:rsid w:val="00004E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2"/>
    <w:rsid w:val="00004E89"/>
    <w:pPr>
      <w:spacing w:before="100" w:beforeAutospacing="1" w:after="100" w:afterAutospacing="1"/>
    </w:pPr>
  </w:style>
  <w:style w:type="table" w:customStyle="1" w:styleId="1540">
    <w:name w:val="Сетка таблицы154"/>
    <w:basedOn w:val="a4"/>
    <w:next w:val="afb"/>
    <w:uiPriority w:val="59"/>
    <w:rsid w:val="00004E8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50">
    <w:name w:val="Сетка таблицы155"/>
    <w:basedOn w:val="a4"/>
    <w:next w:val="afb"/>
    <w:rsid w:val="00004E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a">
    <w:name w:val="Знак Знак Знак Знак Знак Знак Знак Знак Знак Знак Знак Знак21"/>
    <w:basedOn w:val="a2"/>
    <w:rsid w:val="00016DF0"/>
    <w:pPr>
      <w:tabs>
        <w:tab w:val="num" w:pos="360"/>
      </w:tabs>
      <w:spacing w:after="160" w:line="240" w:lineRule="exact"/>
    </w:pPr>
    <w:rPr>
      <w:rFonts w:ascii="Verdana" w:hAnsi="Verdana" w:cs="Verdana"/>
      <w:sz w:val="20"/>
      <w:szCs w:val="20"/>
      <w:lang w:val="en-US" w:eastAsia="en-US"/>
    </w:rPr>
  </w:style>
  <w:style w:type="numbering" w:customStyle="1" w:styleId="931">
    <w:name w:val="Нет списка93"/>
    <w:next w:val="a5"/>
    <w:uiPriority w:val="99"/>
    <w:semiHidden/>
    <w:rsid w:val="00321070"/>
  </w:style>
  <w:style w:type="paragraph" w:customStyle="1" w:styleId="16b">
    <w:name w:val="Абзац списка16"/>
    <w:basedOn w:val="a2"/>
    <w:autoRedefine/>
    <w:rsid w:val="00321070"/>
    <w:pPr>
      <w:jc w:val="center"/>
    </w:pPr>
    <w:rPr>
      <w:snapToGrid w:val="0"/>
      <w:sz w:val="28"/>
      <w:szCs w:val="28"/>
    </w:rPr>
  </w:style>
  <w:style w:type="table" w:customStyle="1" w:styleId="1560">
    <w:name w:val="Сетка таблицы156"/>
    <w:basedOn w:val="a4"/>
    <w:next w:val="afb"/>
    <w:uiPriority w:val="39"/>
    <w:rsid w:val="003210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a">
    <w:name w:val="Знак10"/>
    <w:basedOn w:val="a2"/>
    <w:rsid w:val="00321070"/>
    <w:pPr>
      <w:spacing w:after="160" w:line="240" w:lineRule="exact"/>
    </w:pPr>
    <w:rPr>
      <w:rFonts w:ascii="Verdana" w:hAnsi="Verdana" w:cs="Verdana"/>
      <w:sz w:val="20"/>
      <w:szCs w:val="20"/>
      <w:lang w:val="en-US" w:eastAsia="en-US"/>
    </w:rPr>
  </w:style>
  <w:style w:type="numbering" w:customStyle="1" w:styleId="1341">
    <w:name w:val="Нет списка134"/>
    <w:next w:val="a5"/>
    <w:uiPriority w:val="99"/>
    <w:semiHidden/>
    <w:unhideWhenUsed/>
    <w:rsid w:val="00321070"/>
  </w:style>
  <w:style w:type="table" w:customStyle="1" w:styleId="1570">
    <w:name w:val="Сетка таблицы157"/>
    <w:basedOn w:val="a4"/>
    <w:next w:val="afb"/>
    <w:uiPriority w:val="39"/>
    <w:rsid w:val="003210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
    <w:next w:val="a5"/>
    <w:semiHidden/>
    <w:unhideWhenUsed/>
    <w:rsid w:val="00321070"/>
  </w:style>
  <w:style w:type="table" w:customStyle="1" w:styleId="2320">
    <w:name w:val="Сетка таблицы232"/>
    <w:basedOn w:val="a4"/>
    <w:next w:val="afb"/>
    <w:uiPriority w:val="39"/>
    <w:rsid w:val="003210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5"/>
    <w:uiPriority w:val="99"/>
    <w:semiHidden/>
    <w:unhideWhenUsed/>
    <w:rsid w:val="00321070"/>
  </w:style>
  <w:style w:type="paragraph" w:customStyle="1" w:styleId="14a">
    <w:name w:val="Знак Знак Знак Знак14"/>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6f0">
    <w:name w:val="Знак Знак Знак Знак6"/>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4"/>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4b">
    <w:name w:val="Знак Знак Знак Знак1 Знак Знак Знак Знак4"/>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4c">
    <w:name w:val="Знак Знак Знак Знак Знак Знак Знак Знак Знак Знак4"/>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142">
    <w:name w:val="Знак Знак1 Знак Знак14"/>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 Знак Знак Знак Знак Знак Знак Знак Знак Знак Знак4"/>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4c">
    <w:name w:val="Знак Знак Знак Знак1 Знак Знак Знак Знак Знак Знак Знак Знак Знак Знак Знак Знак Знак Знак Знак Знак Знак Знак Знак Знак Знак Знак Знак Знак4"/>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4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4e">
    <w:name w:val="Знак Знак1 Знак Знак Знак Знак Знак Знак Знак Знак Знак Знак Знак Знак Знак Знак Знак Знак4"/>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4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4e">
    <w:name w:val="Знак Знак Знак Знак Знак Знак Знак Знак Знак Знак Знак Знак Знак Знак Знак Знак4"/>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343">
    <w:name w:val="Знак Знак34"/>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4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2"/>
    <w:rsid w:val="00321070"/>
    <w:pPr>
      <w:tabs>
        <w:tab w:val="num" w:pos="360"/>
      </w:tabs>
      <w:spacing w:after="160" w:line="240" w:lineRule="exact"/>
    </w:pPr>
    <w:rPr>
      <w:rFonts w:ascii="Verdana" w:hAnsi="Verdana" w:cs="Verdana"/>
      <w:sz w:val="20"/>
      <w:szCs w:val="20"/>
      <w:lang w:val="en-US" w:eastAsia="en-US"/>
    </w:rPr>
  </w:style>
  <w:style w:type="table" w:customStyle="1" w:styleId="318">
    <w:name w:val="Сетка таблицы318"/>
    <w:basedOn w:val="a4"/>
    <w:next w:val="afb"/>
    <w:uiPriority w:val="39"/>
    <w:rsid w:val="003210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5"/>
    <w:uiPriority w:val="99"/>
    <w:semiHidden/>
    <w:rsid w:val="00321070"/>
  </w:style>
  <w:style w:type="numbering" w:customStyle="1" w:styleId="941">
    <w:name w:val="Нет списка94"/>
    <w:next w:val="a5"/>
    <w:uiPriority w:val="99"/>
    <w:semiHidden/>
    <w:unhideWhenUsed/>
    <w:rsid w:val="00840F08"/>
  </w:style>
  <w:style w:type="table" w:customStyle="1" w:styleId="1580">
    <w:name w:val="Сетка таблицы158"/>
    <w:basedOn w:val="a4"/>
    <w:next w:val="afb"/>
    <w:uiPriority w:val="59"/>
    <w:rsid w:val="00840F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90">
    <w:name w:val="Сетка таблицы159"/>
    <w:basedOn w:val="a4"/>
    <w:next w:val="afb"/>
    <w:rsid w:val="00840F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1">
    <w:name w:val="Нет списка95"/>
    <w:next w:val="a5"/>
    <w:semiHidden/>
    <w:rsid w:val="00665D1B"/>
  </w:style>
  <w:style w:type="table" w:customStyle="1" w:styleId="1600">
    <w:name w:val="Сетка таблицы160"/>
    <w:basedOn w:val="a4"/>
    <w:next w:val="afb"/>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4"/>
    <w:next w:val="afb"/>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4"/>
    <w:next w:val="afb"/>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Сетка таблицы319"/>
    <w:basedOn w:val="a4"/>
    <w:next w:val="afb"/>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4"/>
    <w:next w:val="afb"/>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Сетка таблицы515"/>
    <w:basedOn w:val="a4"/>
    <w:next w:val="afb"/>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4"/>
    <w:next w:val="afb"/>
    <w:uiPriority w:val="59"/>
    <w:rsid w:val="003E053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0">
    <w:name w:val="Сетка таблицы163"/>
    <w:basedOn w:val="a4"/>
    <w:next w:val="afb"/>
    <w:rsid w:val="003E05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3">
    <w:name w:val="Знак Знак Знак Знак Знак Знак Знак Знак Знак Знак Знак Знак20"/>
    <w:basedOn w:val="a2"/>
    <w:rsid w:val="0085404B"/>
    <w:pPr>
      <w:tabs>
        <w:tab w:val="num" w:pos="360"/>
      </w:tabs>
      <w:spacing w:after="160" w:line="240" w:lineRule="exact"/>
    </w:pPr>
    <w:rPr>
      <w:rFonts w:ascii="Verdana" w:hAnsi="Verdana" w:cs="Verdana"/>
      <w:sz w:val="20"/>
      <w:szCs w:val="20"/>
      <w:lang w:val="en-US" w:eastAsia="en-US"/>
    </w:rPr>
  </w:style>
  <w:style w:type="numbering" w:customStyle="1" w:styleId="960">
    <w:name w:val="Нет списка96"/>
    <w:next w:val="a5"/>
    <w:uiPriority w:val="99"/>
    <w:semiHidden/>
    <w:unhideWhenUsed/>
    <w:rsid w:val="009D732A"/>
  </w:style>
  <w:style w:type="table" w:customStyle="1" w:styleId="1640">
    <w:name w:val="Сетка таблицы164"/>
    <w:basedOn w:val="a4"/>
    <w:next w:val="afb"/>
    <w:uiPriority w:val="39"/>
    <w:rsid w:val="009D73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5"/>
    <w:uiPriority w:val="99"/>
    <w:semiHidden/>
    <w:rsid w:val="009D732A"/>
  </w:style>
  <w:style w:type="numbering" w:customStyle="1" w:styleId="1116">
    <w:name w:val="Нет списка1116"/>
    <w:next w:val="a5"/>
    <w:uiPriority w:val="99"/>
    <w:semiHidden/>
    <w:unhideWhenUsed/>
    <w:rsid w:val="009D732A"/>
  </w:style>
  <w:style w:type="numbering" w:customStyle="1" w:styleId="2240">
    <w:name w:val="Нет списка224"/>
    <w:next w:val="a5"/>
    <w:uiPriority w:val="99"/>
    <w:semiHidden/>
    <w:unhideWhenUsed/>
    <w:rsid w:val="009D732A"/>
  </w:style>
  <w:style w:type="numbering" w:customStyle="1" w:styleId="970">
    <w:name w:val="Нет списка97"/>
    <w:next w:val="a5"/>
    <w:uiPriority w:val="99"/>
    <w:semiHidden/>
    <w:unhideWhenUsed/>
    <w:rsid w:val="00F13635"/>
  </w:style>
  <w:style w:type="table" w:customStyle="1" w:styleId="1650">
    <w:name w:val="Сетка таблицы165"/>
    <w:basedOn w:val="a4"/>
    <w:next w:val="afb"/>
    <w:uiPriority w:val="39"/>
    <w:rsid w:val="00F136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80">
    <w:name w:val="Нет списка98"/>
    <w:next w:val="a5"/>
    <w:semiHidden/>
    <w:rsid w:val="004806BA"/>
  </w:style>
  <w:style w:type="table" w:customStyle="1" w:styleId="1660">
    <w:name w:val="Сетка таблицы166"/>
    <w:basedOn w:val="a4"/>
    <w:next w:val="afb"/>
    <w:rsid w:val="004806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4"/>
    <w:next w:val="afb"/>
    <w:rsid w:val="004806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70">
    <w:name w:val="Сетка таблицы167"/>
    <w:basedOn w:val="a4"/>
    <w:next w:val="afb"/>
    <w:rsid w:val="004806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5">
    <w:name w:val="Знак Знак Знак Знак Знак Знак Знак Знак Знак Знак Знак Знак19"/>
    <w:basedOn w:val="a2"/>
    <w:rsid w:val="008328E5"/>
    <w:pPr>
      <w:tabs>
        <w:tab w:val="num" w:pos="360"/>
      </w:tabs>
      <w:spacing w:after="160" w:line="240" w:lineRule="exact"/>
    </w:pPr>
    <w:rPr>
      <w:rFonts w:ascii="Verdana" w:hAnsi="Verdana" w:cs="Verdana"/>
      <w:sz w:val="20"/>
      <w:szCs w:val="20"/>
      <w:lang w:val="en-US" w:eastAsia="en-US"/>
    </w:rPr>
  </w:style>
  <w:style w:type="numbering" w:customStyle="1" w:styleId="990">
    <w:name w:val="Нет списка99"/>
    <w:next w:val="a5"/>
    <w:uiPriority w:val="99"/>
    <w:semiHidden/>
    <w:rsid w:val="00B8381C"/>
  </w:style>
  <w:style w:type="paragraph" w:customStyle="1" w:styleId="17b">
    <w:name w:val="Абзац списка17"/>
    <w:basedOn w:val="a2"/>
    <w:autoRedefine/>
    <w:rsid w:val="00B8381C"/>
    <w:pPr>
      <w:jc w:val="center"/>
    </w:pPr>
    <w:rPr>
      <w:snapToGrid w:val="0"/>
      <w:sz w:val="28"/>
      <w:szCs w:val="28"/>
    </w:rPr>
  </w:style>
  <w:style w:type="table" w:customStyle="1" w:styleId="1680">
    <w:name w:val="Сетка таблицы168"/>
    <w:basedOn w:val="a4"/>
    <w:next w:val="afb"/>
    <w:uiPriority w:val="39"/>
    <w:rsid w:val="00B838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b">
    <w:name w:val="Знак9"/>
    <w:basedOn w:val="a2"/>
    <w:rsid w:val="00B8381C"/>
    <w:pPr>
      <w:spacing w:after="160" w:line="240" w:lineRule="exact"/>
    </w:pPr>
    <w:rPr>
      <w:rFonts w:ascii="Verdana" w:hAnsi="Verdana" w:cs="Verdana"/>
      <w:sz w:val="20"/>
      <w:szCs w:val="20"/>
      <w:lang w:val="en-US" w:eastAsia="en-US"/>
    </w:rPr>
  </w:style>
  <w:style w:type="numbering" w:customStyle="1" w:styleId="1360">
    <w:name w:val="Нет списка136"/>
    <w:next w:val="a5"/>
    <w:uiPriority w:val="99"/>
    <w:semiHidden/>
    <w:unhideWhenUsed/>
    <w:rsid w:val="00B8381C"/>
  </w:style>
  <w:style w:type="table" w:customStyle="1" w:styleId="1690">
    <w:name w:val="Сетка таблицы169"/>
    <w:basedOn w:val="a4"/>
    <w:next w:val="afb"/>
    <w:uiPriority w:val="39"/>
    <w:rsid w:val="00B838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5"/>
    <w:uiPriority w:val="99"/>
    <w:semiHidden/>
    <w:unhideWhenUsed/>
    <w:rsid w:val="00B8381C"/>
  </w:style>
  <w:style w:type="table" w:customStyle="1" w:styleId="235">
    <w:name w:val="Сетка таблицы235"/>
    <w:basedOn w:val="a4"/>
    <w:next w:val="afb"/>
    <w:uiPriority w:val="39"/>
    <w:rsid w:val="00B838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1">
    <w:name w:val="Нет списка100"/>
    <w:next w:val="a5"/>
    <w:uiPriority w:val="99"/>
    <w:semiHidden/>
    <w:rsid w:val="006F67F8"/>
  </w:style>
  <w:style w:type="table" w:customStyle="1" w:styleId="1700">
    <w:name w:val="Сетка таблицы170"/>
    <w:basedOn w:val="a4"/>
    <w:next w:val="afb"/>
    <w:rsid w:val="006F67F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Нет списка101"/>
    <w:next w:val="a5"/>
    <w:semiHidden/>
    <w:rsid w:val="0021088B"/>
  </w:style>
  <w:style w:type="table" w:customStyle="1" w:styleId="1710">
    <w:name w:val="Сетка таблицы171"/>
    <w:basedOn w:val="a4"/>
    <w:next w:val="afb"/>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4"/>
    <w:next w:val="afb"/>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4"/>
    <w:next w:val="afb"/>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0">
    <w:name w:val="Нет списка137"/>
    <w:next w:val="a5"/>
    <w:uiPriority w:val="99"/>
    <w:semiHidden/>
    <w:unhideWhenUsed/>
    <w:rsid w:val="0021088B"/>
  </w:style>
  <w:style w:type="table" w:customStyle="1" w:styleId="3200">
    <w:name w:val="Сетка таблицы320"/>
    <w:basedOn w:val="a4"/>
    <w:next w:val="afb"/>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4"/>
    <w:next w:val="afb"/>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
    <w:name w:val="Сетка таблицы516"/>
    <w:basedOn w:val="a4"/>
    <w:next w:val="afb"/>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Сетка таблицы613"/>
    <w:basedOn w:val="a4"/>
    <w:next w:val="afb"/>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0">
    <w:name w:val="Сетка таблицы173"/>
    <w:basedOn w:val="a4"/>
    <w:next w:val="afb"/>
    <w:uiPriority w:val="59"/>
    <w:rsid w:val="00EB77C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40">
    <w:name w:val="Сетка таблицы174"/>
    <w:basedOn w:val="a4"/>
    <w:next w:val="afb"/>
    <w:rsid w:val="00EB77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4"/>
    <w:next w:val="afb"/>
    <w:rsid w:val="00EB77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
    <w:next w:val="a5"/>
    <w:semiHidden/>
    <w:rsid w:val="0074546E"/>
  </w:style>
  <w:style w:type="table" w:customStyle="1" w:styleId="1750">
    <w:name w:val="Сетка таблицы175"/>
    <w:basedOn w:val="a4"/>
    <w:next w:val="afb"/>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60">
    <w:name w:val="Сетка таблицы176"/>
    <w:basedOn w:val="a4"/>
    <w:next w:val="afb"/>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4"/>
    <w:next w:val="afb"/>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5"/>
    <w:uiPriority w:val="99"/>
    <w:semiHidden/>
    <w:unhideWhenUsed/>
    <w:rsid w:val="0074546E"/>
  </w:style>
  <w:style w:type="table" w:customStyle="1" w:styleId="3210">
    <w:name w:val="Сетка таблицы321"/>
    <w:basedOn w:val="a4"/>
    <w:next w:val="afb"/>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4"/>
    <w:next w:val="afb"/>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Сетка таблицы517"/>
    <w:basedOn w:val="a4"/>
    <w:next w:val="afb"/>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Сетка таблицы614"/>
    <w:basedOn w:val="a4"/>
    <w:next w:val="afb"/>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70">
    <w:name w:val="Сетка таблицы177"/>
    <w:basedOn w:val="a4"/>
    <w:next w:val="afb"/>
    <w:uiPriority w:val="59"/>
    <w:rsid w:val="00C91B0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80">
    <w:name w:val="Сетка таблицы178"/>
    <w:basedOn w:val="a4"/>
    <w:next w:val="afb"/>
    <w:rsid w:val="00C91B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4"/>
    <w:next w:val="afb"/>
    <w:rsid w:val="00C91B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1">
    <w:name w:val="Нет списка103"/>
    <w:next w:val="a5"/>
    <w:uiPriority w:val="99"/>
    <w:semiHidden/>
    <w:rsid w:val="000069AB"/>
  </w:style>
  <w:style w:type="table" w:customStyle="1" w:styleId="1790">
    <w:name w:val="Сетка таблицы179"/>
    <w:basedOn w:val="a4"/>
    <w:next w:val="afb"/>
    <w:rsid w:val="000069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0">
    <w:name w:val="Сетка таблицы180"/>
    <w:basedOn w:val="a4"/>
    <w:next w:val="afb"/>
    <w:uiPriority w:val="59"/>
    <w:rsid w:val="000069A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0">
    <w:name w:val="Сетка таблицы181"/>
    <w:basedOn w:val="a4"/>
    <w:next w:val="afb"/>
    <w:rsid w:val="000069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5"/>
    <w:semiHidden/>
    <w:rsid w:val="00C23BA3"/>
  </w:style>
  <w:style w:type="table" w:customStyle="1" w:styleId="1820">
    <w:name w:val="Сетка таблицы182"/>
    <w:basedOn w:val="a4"/>
    <w:next w:val="afb"/>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Сетка таблицы183"/>
    <w:basedOn w:val="a4"/>
    <w:next w:val="afb"/>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0">
    <w:name w:val="Сетка таблицы240"/>
    <w:basedOn w:val="a4"/>
    <w:next w:val="afb"/>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Сетка таблицы322"/>
    <w:basedOn w:val="a4"/>
    <w:next w:val="afb"/>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4"/>
    <w:next w:val="afb"/>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Сетка таблицы518"/>
    <w:basedOn w:val="a4"/>
    <w:next w:val="afb"/>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4"/>
    <w:next w:val="afb"/>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0">
    <w:name w:val="Нет списка105"/>
    <w:next w:val="a5"/>
    <w:semiHidden/>
    <w:rsid w:val="00CB09FB"/>
  </w:style>
  <w:style w:type="table" w:customStyle="1" w:styleId="1840">
    <w:name w:val="Сетка таблицы184"/>
    <w:basedOn w:val="a4"/>
    <w:next w:val="afb"/>
    <w:rsid w:val="00CB09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4"/>
    <w:next w:val="afb"/>
    <w:rsid w:val="00CB09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0">
    <w:name w:val="Нет списка106"/>
    <w:next w:val="a5"/>
    <w:uiPriority w:val="99"/>
    <w:semiHidden/>
    <w:unhideWhenUsed/>
    <w:rsid w:val="00CB09FB"/>
  </w:style>
  <w:style w:type="table" w:customStyle="1" w:styleId="1850">
    <w:name w:val="Сетка таблицы185"/>
    <w:basedOn w:val="a4"/>
    <w:next w:val="afb"/>
    <w:uiPriority w:val="59"/>
    <w:rsid w:val="00CB09F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60">
    <w:name w:val="Сетка таблицы186"/>
    <w:basedOn w:val="a4"/>
    <w:next w:val="afb"/>
    <w:rsid w:val="00CB09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0">
    <w:name w:val="Нет списка107"/>
    <w:next w:val="a5"/>
    <w:semiHidden/>
    <w:rsid w:val="00346FCB"/>
  </w:style>
  <w:style w:type="table" w:customStyle="1" w:styleId="1870">
    <w:name w:val="Сетка таблицы187"/>
    <w:basedOn w:val="a4"/>
    <w:next w:val="afb"/>
    <w:rsid w:val="00346F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4"/>
    <w:next w:val="afb"/>
    <w:rsid w:val="00346F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a">
    <w:name w:val="Знак Знак Знак Знак Знак Знак Знак Знак Знак Знак Знак Знак18"/>
    <w:basedOn w:val="a2"/>
    <w:rsid w:val="00875609"/>
    <w:pPr>
      <w:tabs>
        <w:tab w:val="num" w:pos="360"/>
      </w:tabs>
      <w:spacing w:after="160" w:line="240" w:lineRule="exact"/>
    </w:pPr>
    <w:rPr>
      <w:rFonts w:ascii="Verdana" w:hAnsi="Verdana" w:cs="Verdana"/>
      <w:sz w:val="20"/>
      <w:szCs w:val="20"/>
      <w:lang w:val="en-US" w:eastAsia="en-US"/>
    </w:rPr>
  </w:style>
  <w:style w:type="numbering" w:customStyle="1" w:styleId="1080">
    <w:name w:val="Нет списка108"/>
    <w:next w:val="a5"/>
    <w:uiPriority w:val="99"/>
    <w:semiHidden/>
    <w:rsid w:val="00881419"/>
  </w:style>
  <w:style w:type="paragraph" w:customStyle="1" w:styleId="13b">
    <w:name w:val="Знак Знак Знак Знак13"/>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5f">
    <w:name w:val="Знак Знак Знак Знак5"/>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3d">
    <w:name w:val="Знак Знак Знак Знак Знак Знак Знак Знак3"/>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3c">
    <w:name w:val="Знак Знак Знак Знак1 Знак Знак Знак Знак3"/>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3e">
    <w:name w:val="Знак Знак Знак Знак Знак Знак Знак Знак Знак Знак3"/>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132">
    <w:name w:val="Знак Знак1 Знак Знак13"/>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3f">
    <w:name w:val="Знак Знак Знак Знак Знак Знак Знак Знак Знак Знак Знак Знак Знак Знак3"/>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3d">
    <w:name w:val="Знак Знак Знак Знак1 Знак Знак Знак Знак Знак Знак Знак Знак Знак Знак Знак Знак Знак Знак Знак Знак Знак Знак Знак Знак Знак Знак Знак Знак3"/>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3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3f">
    <w:name w:val="Знак Знак1 Знак Знак Знак Знак Знак Знак Знак Знак Знак Знак Знак Знак Знак Знак Знак Знак3"/>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3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 Знак Знак Знак Знак Знак Знак Знак Знак Знак Знак Знак Знак3"/>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333">
    <w:name w:val="Знак Знак33"/>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3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2"/>
    <w:rsid w:val="00881419"/>
    <w:pPr>
      <w:tabs>
        <w:tab w:val="num" w:pos="360"/>
      </w:tabs>
      <w:spacing w:after="160" w:line="240" w:lineRule="exact"/>
    </w:pPr>
    <w:rPr>
      <w:rFonts w:ascii="Verdana" w:hAnsi="Verdana" w:cs="Verdana"/>
      <w:sz w:val="20"/>
      <w:szCs w:val="20"/>
      <w:lang w:val="en-US" w:eastAsia="en-US"/>
    </w:rPr>
  </w:style>
  <w:style w:type="numbering" w:customStyle="1" w:styleId="1090">
    <w:name w:val="Нет списка109"/>
    <w:next w:val="a5"/>
    <w:semiHidden/>
    <w:rsid w:val="000373B3"/>
  </w:style>
  <w:style w:type="numbering" w:customStyle="1" w:styleId="1390">
    <w:name w:val="Нет списка139"/>
    <w:next w:val="a5"/>
    <w:semiHidden/>
    <w:rsid w:val="00CA632C"/>
  </w:style>
  <w:style w:type="numbering" w:customStyle="1" w:styleId="1401">
    <w:name w:val="Нет списка140"/>
    <w:next w:val="a5"/>
    <w:uiPriority w:val="99"/>
    <w:semiHidden/>
    <w:rsid w:val="00CA632C"/>
  </w:style>
  <w:style w:type="paragraph" w:customStyle="1" w:styleId="Standard">
    <w:name w:val="Standard"/>
    <w:rsid w:val="00CA632C"/>
    <w:pPr>
      <w:suppressAutoHyphens/>
      <w:autoSpaceDN w:val="0"/>
      <w:spacing w:after="200" w:line="276" w:lineRule="auto"/>
      <w:textAlignment w:val="baseline"/>
    </w:pPr>
    <w:rPr>
      <w:rFonts w:ascii="Calibri" w:eastAsia="SimSun" w:hAnsi="Calibri" w:cs="Times New Roman"/>
      <w:kern w:val="3"/>
      <w:lang w:eastAsia="zh-CN"/>
    </w:rPr>
  </w:style>
  <w:style w:type="table" w:customStyle="1" w:styleId="1880">
    <w:name w:val="Сетка таблицы188"/>
    <w:basedOn w:val="a4"/>
    <w:next w:val="afb"/>
    <w:rsid w:val="00CA63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5"/>
    <w:uiPriority w:val="99"/>
    <w:semiHidden/>
    <w:rsid w:val="00036490"/>
  </w:style>
  <w:style w:type="numbering" w:customStyle="1" w:styleId="1421">
    <w:name w:val="Нет списка142"/>
    <w:next w:val="a5"/>
    <w:uiPriority w:val="99"/>
    <w:semiHidden/>
    <w:unhideWhenUsed/>
    <w:rsid w:val="004277D4"/>
  </w:style>
  <w:style w:type="character" w:styleId="affff5">
    <w:name w:val="Intense Reference"/>
    <w:basedOn w:val="a3"/>
    <w:uiPriority w:val="32"/>
    <w:qFormat/>
    <w:rsid w:val="004277D4"/>
    <w:rPr>
      <w:b/>
      <w:bCs/>
      <w:smallCaps/>
      <w:color w:val="4472C4" w:themeColor="accent1"/>
      <w:spacing w:val="5"/>
    </w:rPr>
  </w:style>
  <w:style w:type="character" w:styleId="affff6">
    <w:name w:val="Subtle Reference"/>
    <w:basedOn w:val="a3"/>
    <w:uiPriority w:val="31"/>
    <w:qFormat/>
    <w:rsid w:val="004277D4"/>
    <w:rPr>
      <w:smallCaps/>
      <w:color w:val="5A5A5A" w:themeColor="text1" w:themeTint="A5"/>
    </w:rPr>
  </w:style>
  <w:style w:type="paragraph" w:styleId="affff7">
    <w:name w:val="Intense Quote"/>
    <w:basedOn w:val="a2"/>
    <w:next w:val="a2"/>
    <w:link w:val="affff8"/>
    <w:uiPriority w:val="30"/>
    <w:qFormat/>
    <w:rsid w:val="004277D4"/>
    <w:pPr>
      <w:pBdr>
        <w:top w:val="single" w:sz="4" w:space="10" w:color="4472C4" w:themeColor="accent1"/>
        <w:bottom w:val="single" w:sz="4" w:space="10" w:color="4472C4" w:themeColor="accent1"/>
      </w:pBdr>
      <w:spacing w:before="360" w:after="360"/>
      <w:ind w:left="864" w:right="864"/>
      <w:jc w:val="center"/>
    </w:pPr>
    <w:rPr>
      <w:i/>
      <w:iCs/>
      <w:snapToGrid w:val="0"/>
      <w:color w:val="4472C4" w:themeColor="accent1"/>
      <w:sz w:val="28"/>
      <w:szCs w:val="28"/>
    </w:rPr>
  </w:style>
  <w:style w:type="character" w:customStyle="1" w:styleId="affff8">
    <w:name w:val="Выделенная цитата Знак"/>
    <w:basedOn w:val="a3"/>
    <w:link w:val="affff7"/>
    <w:uiPriority w:val="30"/>
    <w:rsid w:val="004277D4"/>
    <w:rPr>
      <w:rFonts w:ascii="Times New Roman" w:eastAsia="Times New Roman" w:hAnsi="Times New Roman" w:cs="Times New Roman"/>
      <w:i/>
      <w:iCs/>
      <w:snapToGrid w:val="0"/>
      <w:color w:val="4472C4" w:themeColor="accent1"/>
      <w:sz w:val="28"/>
      <w:szCs w:val="28"/>
      <w:lang w:eastAsia="ru-RU"/>
    </w:rPr>
  </w:style>
  <w:style w:type="paragraph" w:styleId="2f2">
    <w:name w:val="Quote"/>
    <w:basedOn w:val="a2"/>
    <w:next w:val="a2"/>
    <w:link w:val="2f3"/>
    <w:uiPriority w:val="29"/>
    <w:qFormat/>
    <w:rsid w:val="004277D4"/>
    <w:pPr>
      <w:spacing w:before="200" w:after="160"/>
      <w:ind w:left="864" w:right="864"/>
      <w:jc w:val="center"/>
    </w:pPr>
    <w:rPr>
      <w:i/>
      <w:iCs/>
      <w:snapToGrid w:val="0"/>
      <w:color w:val="404040" w:themeColor="text1" w:themeTint="BF"/>
      <w:sz w:val="28"/>
      <w:szCs w:val="28"/>
    </w:rPr>
  </w:style>
  <w:style w:type="character" w:customStyle="1" w:styleId="2f3">
    <w:name w:val="Цитата 2 Знак"/>
    <w:basedOn w:val="a3"/>
    <w:link w:val="2f2"/>
    <w:uiPriority w:val="29"/>
    <w:rsid w:val="004277D4"/>
    <w:rPr>
      <w:rFonts w:ascii="Times New Roman" w:eastAsia="Times New Roman" w:hAnsi="Times New Roman" w:cs="Times New Roman"/>
      <w:i/>
      <w:iCs/>
      <w:snapToGrid w:val="0"/>
      <w:color w:val="404040" w:themeColor="text1" w:themeTint="BF"/>
      <w:sz w:val="28"/>
      <w:szCs w:val="28"/>
      <w:lang w:eastAsia="ru-RU"/>
    </w:rPr>
  </w:style>
  <w:style w:type="table" w:customStyle="1" w:styleId="1890">
    <w:name w:val="Сетка таблицы189"/>
    <w:basedOn w:val="a4"/>
    <w:next w:val="afb"/>
    <w:rsid w:val="00D80A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5"/>
    <w:uiPriority w:val="99"/>
    <w:semiHidden/>
    <w:unhideWhenUsed/>
    <w:rsid w:val="00FE332B"/>
  </w:style>
  <w:style w:type="table" w:customStyle="1" w:styleId="1900">
    <w:name w:val="Сетка таблицы190"/>
    <w:basedOn w:val="a4"/>
    <w:next w:val="afb"/>
    <w:uiPriority w:val="39"/>
    <w:rsid w:val="00FE33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c">
    <w:name w:val="Знак Знак1 Знак Знак7"/>
    <w:basedOn w:val="a2"/>
    <w:rsid w:val="00FE332B"/>
    <w:pPr>
      <w:tabs>
        <w:tab w:val="num" w:pos="360"/>
      </w:tabs>
      <w:spacing w:after="160" w:line="240" w:lineRule="exact"/>
    </w:pPr>
    <w:rPr>
      <w:rFonts w:ascii="Verdana" w:hAnsi="Verdana" w:cs="Verdana"/>
      <w:sz w:val="20"/>
      <w:szCs w:val="20"/>
      <w:lang w:val="en-US" w:eastAsia="en-US"/>
    </w:rPr>
  </w:style>
  <w:style w:type="numbering" w:customStyle="1" w:styleId="1442">
    <w:name w:val="Нет списка144"/>
    <w:next w:val="a5"/>
    <w:uiPriority w:val="99"/>
    <w:semiHidden/>
    <w:rsid w:val="00FE332B"/>
  </w:style>
  <w:style w:type="numbering" w:customStyle="1" w:styleId="1117">
    <w:name w:val="Нет списка1117"/>
    <w:next w:val="a5"/>
    <w:uiPriority w:val="99"/>
    <w:semiHidden/>
    <w:unhideWhenUsed/>
    <w:rsid w:val="00FE332B"/>
  </w:style>
  <w:style w:type="table" w:customStyle="1" w:styleId="1910">
    <w:name w:val="Сетка таблицы191"/>
    <w:basedOn w:val="a4"/>
    <w:next w:val="afb"/>
    <w:uiPriority w:val="39"/>
    <w:rsid w:val="00FE33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5"/>
    <w:uiPriority w:val="99"/>
    <w:semiHidden/>
    <w:unhideWhenUsed/>
    <w:rsid w:val="00FE332B"/>
  </w:style>
  <w:style w:type="numbering" w:customStyle="1" w:styleId="3131">
    <w:name w:val="Нет списка313"/>
    <w:next w:val="a5"/>
    <w:uiPriority w:val="99"/>
    <w:semiHidden/>
    <w:rsid w:val="00FE332B"/>
  </w:style>
  <w:style w:type="numbering" w:customStyle="1" w:styleId="1213">
    <w:name w:val="Нет списка1213"/>
    <w:next w:val="a5"/>
    <w:uiPriority w:val="99"/>
    <w:semiHidden/>
    <w:unhideWhenUsed/>
    <w:rsid w:val="00FE332B"/>
  </w:style>
  <w:style w:type="numbering" w:customStyle="1" w:styleId="2112">
    <w:name w:val="Нет списка2112"/>
    <w:next w:val="a5"/>
    <w:uiPriority w:val="99"/>
    <w:semiHidden/>
    <w:unhideWhenUsed/>
    <w:rsid w:val="00FE332B"/>
  </w:style>
  <w:style w:type="paragraph" w:styleId="affff9">
    <w:name w:val="Revision"/>
    <w:hidden/>
    <w:uiPriority w:val="99"/>
    <w:semiHidden/>
    <w:rsid w:val="00FE332B"/>
    <w:pPr>
      <w:spacing w:after="0" w:line="240" w:lineRule="auto"/>
    </w:pPr>
    <w:rPr>
      <w:rFonts w:ascii="Times New Roman" w:eastAsia="Times New Roman" w:hAnsi="Times New Roman" w:cs="Times New Roman"/>
      <w:sz w:val="24"/>
      <w:szCs w:val="20"/>
      <w:lang w:eastAsia="ru-RU"/>
    </w:rPr>
  </w:style>
  <w:style w:type="paragraph" w:customStyle="1" w:styleId="8b">
    <w:name w:val="Знак Знак8"/>
    <w:basedOn w:val="a2"/>
    <w:rsid w:val="00FE332B"/>
    <w:pPr>
      <w:tabs>
        <w:tab w:val="num" w:pos="360"/>
      </w:tabs>
      <w:spacing w:after="160" w:line="240" w:lineRule="exact"/>
    </w:pPr>
    <w:rPr>
      <w:rFonts w:ascii="Verdana" w:hAnsi="Verdana" w:cs="Verdana"/>
      <w:sz w:val="20"/>
      <w:szCs w:val="20"/>
      <w:lang w:val="en-US" w:eastAsia="en-US"/>
    </w:rPr>
  </w:style>
  <w:style w:type="numbering" w:customStyle="1" w:styleId="1450">
    <w:name w:val="Нет списка145"/>
    <w:next w:val="a5"/>
    <w:semiHidden/>
    <w:rsid w:val="006E2460"/>
  </w:style>
  <w:style w:type="paragraph" w:customStyle="1" w:styleId="12c">
    <w:name w:val="Знак Знак Знак Знак1 Знак Знак Знак Знак Знак Знак2"/>
    <w:basedOn w:val="a2"/>
    <w:rsid w:val="006E2460"/>
    <w:pPr>
      <w:tabs>
        <w:tab w:val="num" w:pos="360"/>
      </w:tabs>
      <w:spacing w:after="160" w:line="240" w:lineRule="exact"/>
    </w:pPr>
    <w:rPr>
      <w:rFonts w:ascii="Verdana" w:hAnsi="Verdana" w:cs="Verdana"/>
      <w:sz w:val="20"/>
      <w:szCs w:val="20"/>
      <w:lang w:val="en-US" w:eastAsia="en-US"/>
    </w:rPr>
  </w:style>
  <w:style w:type="paragraph" w:customStyle="1" w:styleId="12d">
    <w:name w:val="Знак Знак Знак Знак1 Знак Знак Знак Знак Знак Знак Знак Знак Знак Знак Знак Знак Знак Знак Знак Знак Знак Знак Знак Знак Знак Знак2"/>
    <w:basedOn w:val="a2"/>
    <w:rsid w:val="006E2460"/>
    <w:pPr>
      <w:tabs>
        <w:tab w:val="num" w:pos="360"/>
      </w:tabs>
      <w:spacing w:after="160" w:line="240" w:lineRule="exact"/>
    </w:pPr>
    <w:rPr>
      <w:rFonts w:ascii="Verdana" w:hAnsi="Verdana" w:cs="Verdana"/>
      <w:sz w:val="20"/>
      <w:szCs w:val="20"/>
      <w:lang w:val="en-US" w:eastAsia="en-US"/>
    </w:rPr>
  </w:style>
  <w:style w:type="paragraph" w:customStyle="1" w:styleId="12e">
    <w:name w:val="Знак Знак1 Знак Знак Знак Знак Знак Знак Знак Знак Знак Знак Знак Знак2"/>
    <w:basedOn w:val="a2"/>
    <w:rsid w:val="006E2460"/>
    <w:pPr>
      <w:tabs>
        <w:tab w:val="num" w:pos="360"/>
      </w:tabs>
      <w:spacing w:after="160" w:line="240" w:lineRule="exact"/>
    </w:pPr>
    <w:rPr>
      <w:rFonts w:ascii="Verdana" w:hAnsi="Verdana" w:cs="Verdana"/>
      <w:sz w:val="20"/>
      <w:szCs w:val="20"/>
      <w:lang w:val="en-US" w:eastAsia="en-US"/>
    </w:rPr>
  </w:style>
  <w:style w:type="paragraph" w:customStyle="1" w:styleId="12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rsid w:val="006E2460"/>
    <w:pPr>
      <w:tabs>
        <w:tab w:val="num" w:pos="360"/>
      </w:tabs>
      <w:spacing w:after="160" w:line="240" w:lineRule="exact"/>
    </w:pPr>
    <w:rPr>
      <w:rFonts w:ascii="Verdana" w:hAnsi="Verdana" w:cs="Verdana"/>
      <w:sz w:val="20"/>
      <w:szCs w:val="20"/>
      <w:lang w:val="en-US" w:eastAsia="en-US"/>
    </w:rPr>
  </w:style>
  <w:style w:type="numbering" w:customStyle="1" w:styleId="1460">
    <w:name w:val="Нет списка146"/>
    <w:next w:val="a5"/>
    <w:uiPriority w:val="99"/>
    <w:semiHidden/>
    <w:rsid w:val="00D05F87"/>
  </w:style>
  <w:style w:type="paragraph" w:customStyle="1" w:styleId="18b">
    <w:name w:val="Абзац списка18"/>
    <w:basedOn w:val="a2"/>
    <w:autoRedefine/>
    <w:rsid w:val="00D05F87"/>
    <w:pPr>
      <w:jc w:val="center"/>
    </w:pPr>
    <w:rPr>
      <w:snapToGrid w:val="0"/>
      <w:sz w:val="28"/>
      <w:szCs w:val="28"/>
    </w:rPr>
  </w:style>
  <w:style w:type="table" w:customStyle="1" w:styleId="1920">
    <w:name w:val="Сетка таблицы192"/>
    <w:basedOn w:val="a4"/>
    <w:next w:val="afb"/>
    <w:uiPriority w:val="39"/>
    <w:rsid w:val="00D05F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c">
    <w:name w:val="Знак8"/>
    <w:basedOn w:val="a2"/>
    <w:rsid w:val="00D05F87"/>
    <w:pPr>
      <w:spacing w:after="160" w:line="240" w:lineRule="exact"/>
    </w:pPr>
    <w:rPr>
      <w:rFonts w:ascii="Verdana" w:hAnsi="Verdana" w:cs="Verdana"/>
      <w:sz w:val="20"/>
      <w:szCs w:val="20"/>
      <w:lang w:val="en-US" w:eastAsia="en-US"/>
    </w:rPr>
  </w:style>
  <w:style w:type="numbering" w:customStyle="1" w:styleId="1470">
    <w:name w:val="Нет списка147"/>
    <w:next w:val="a5"/>
    <w:uiPriority w:val="99"/>
    <w:semiHidden/>
    <w:unhideWhenUsed/>
    <w:rsid w:val="00D05F87"/>
  </w:style>
  <w:style w:type="numbering" w:customStyle="1" w:styleId="1118">
    <w:name w:val="Нет списка1118"/>
    <w:next w:val="a5"/>
    <w:uiPriority w:val="99"/>
    <w:semiHidden/>
    <w:unhideWhenUsed/>
    <w:rsid w:val="00D05F87"/>
  </w:style>
  <w:style w:type="numbering" w:customStyle="1" w:styleId="1119">
    <w:name w:val="Нет списка1119"/>
    <w:next w:val="a5"/>
    <w:uiPriority w:val="99"/>
    <w:semiHidden/>
    <w:unhideWhenUsed/>
    <w:rsid w:val="00D05F87"/>
  </w:style>
  <w:style w:type="table" w:customStyle="1" w:styleId="1930">
    <w:name w:val="Сетка таблицы193"/>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0">
    <w:name w:val="Нет списка227"/>
    <w:next w:val="a5"/>
    <w:uiPriority w:val="99"/>
    <w:semiHidden/>
    <w:unhideWhenUsed/>
    <w:rsid w:val="00D05F87"/>
  </w:style>
  <w:style w:type="table" w:customStyle="1" w:styleId="243">
    <w:name w:val="Сетка таблицы243"/>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
    <w:name w:val="Нет списка314"/>
    <w:next w:val="a5"/>
    <w:uiPriority w:val="99"/>
    <w:semiHidden/>
    <w:unhideWhenUsed/>
    <w:rsid w:val="00D05F87"/>
  </w:style>
  <w:style w:type="table" w:customStyle="1" w:styleId="3230">
    <w:name w:val="Сетка таблицы323"/>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5"/>
    <w:uiPriority w:val="99"/>
    <w:semiHidden/>
    <w:unhideWhenUsed/>
    <w:rsid w:val="00D05F87"/>
  </w:style>
  <w:style w:type="table" w:customStyle="1" w:styleId="4200">
    <w:name w:val="Сетка таблицы420"/>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
    <w:name w:val="Нет списка510"/>
    <w:next w:val="a5"/>
    <w:uiPriority w:val="99"/>
    <w:semiHidden/>
    <w:unhideWhenUsed/>
    <w:rsid w:val="00D05F87"/>
  </w:style>
  <w:style w:type="table" w:customStyle="1" w:styleId="519">
    <w:name w:val="Сетка таблицы519"/>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1">
    <w:name w:val="Нет списка610"/>
    <w:next w:val="a5"/>
    <w:uiPriority w:val="99"/>
    <w:semiHidden/>
    <w:unhideWhenUsed/>
    <w:rsid w:val="00D05F87"/>
  </w:style>
  <w:style w:type="table" w:customStyle="1" w:styleId="616">
    <w:name w:val="Сетка таблицы616"/>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1">
    <w:name w:val="Нет списка710"/>
    <w:next w:val="a5"/>
    <w:uiPriority w:val="99"/>
    <w:semiHidden/>
    <w:unhideWhenUsed/>
    <w:rsid w:val="00D05F87"/>
  </w:style>
  <w:style w:type="numbering" w:customStyle="1" w:styleId="1214">
    <w:name w:val="Нет списка1214"/>
    <w:next w:val="a5"/>
    <w:uiPriority w:val="99"/>
    <w:semiHidden/>
    <w:unhideWhenUsed/>
    <w:rsid w:val="00D05F87"/>
  </w:style>
  <w:style w:type="table" w:customStyle="1" w:styleId="7111">
    <w:name w:val="Сетка таблицы711"/>
    <w:basedOn w:val="a4"/>
    <w:next w:val="afb"/>
    <w:rsid w:val="00D05F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5"/>
    <w:uiPriority w:val="99"/>
    <w:semiHidden/>
    <w:unhideWhenUsed/>
    <w:rsid w:val="00D05F87"/>
  </w:style>
  <w:style w:type="table" w:customStyle="1" w:styleId="11120">
    <w:name w:val="Сетка таблицы1112"/>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Нет списка2113"/>
    <w:next w:val="a5"/>
    <w:uiPriority w:val="99"/>
    <w:semiHidden/>
    <w:unhideWhenUsed/>
    <w:rsid w:val="00D05F87"/>
  </w:style>
  <w:style w:type="table" w:customStyle="1" w:styleId="21101">
    <w:name w:val="Сетка таблицы2110"/>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1">
    <w:name w:val="Нет списка315"/>
    <w:next w:val="a5"/>
    <w:uiPriority w:val="99"/>
    <w:semiHidden/>
    <w:unhideWhenUsed/>
    <w:rsid w:val="00D05F87"/>
  </w:style>
  <w:style w:type="table" w:customStyle="1" w:styleId="31100">
    <w:name w:val="Сетка таблицы3110"/>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5"/>
    <w:uiPriority w:val="99"/>
    <w:semiHidden/>
    <w:unhideWhenUsed/>
    <w:rsid w:val="00D05F87"/>
  </w:style>
  <w:style w:type="table" w:customStyle="1" w:styleId="41100">
    <w:name w:val="Сетка таблицы4110"/>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Нет списка513"/>
    <w:next w:val="a5"/>
    <w:uiPriority w:val="99"/>
    <w:semiHidden/>
    <w:unhideWhenUsed/>
    <w:rsid w:val="00D05F87"/>
  </w:style>
  <w:style w:type="table" w:customStyle="1" w:styleId="51100">
    <w:name w:val="Сетка таблицы5110"/>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5"/>
    <w:uiPriority w:val="99"/>
    <w:semiHidden/>
    <w:unhideWhenUsed/>
    <w:rsid w:val="00D05F87"/>
  </w:style>
  <w:style w:type="table" w:customStyle="1" w:styleId="617">
    <w:name w:val="Сетка таблицы617"/>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5"/>
    <w:uiPriority w:val="99"/>
    <w:semiHidden/>
    <w:unhideWhenUsed/>
    <w:rsid w:val="00D05F87"/>
  </w:style>
  <w:style w:type="numbering" w:customStyle="1" w:styleId="1215">
    <w:name w:val="Нет списка1215"/>
    <w:next w:val="a5"/>
    <w:uiPriority w:val="99"/>
    <w:semiHidden/>
    <w:unhideWhenUsed/>
    <w:rsid w:val="00D05F87"/>
  </w:style>
  <w:style w:type="numbering" w:customStyle="1" w:styleId="11220">
    <w:name w:val="Нет списка1122"/>
    <w:next w:val="a5"/>
    <w:uiPriority w:val="99"/>
    <w:semiHidden/>
    <w:unhideWhenUsed/>
    <w:rsid w:val="00D05F87"/>
  </w:style>
  <w:style w:type="numbering" w:customStyle="1" w:styleId="2114">
    <w:name w:val="Нет списка2114"/>
    <w:next w:val="a5"/>
    <w:uiPriority w:val="99"/>
    <w:semiHidden/>
    <w:unhideWhenUsed/>
    <w:rsid w:val="00D05F87"/>
  </w:style>
  <w:style w:type="numbering" w:customStyle="1" w:styleId="3112">
    <w:name w:val="Нет списка3112"/>
    <w:next w:val="a5"/>
    <w:uiPriority w:val="99"/>
    <w:semiHidden/>
    <w:unhideWhenUsed/>
    <w:rsid w:val="00D05F87"/>
  </w:style>
  <w:style w:type="numbering" w:customStyle="1" w:styleId="4112">
    <w:name w:val="Нет списка4112"/>
    <w:next w:val="a5"/>
    <w:uiPriority w:val="99"/>
    <w:semiHidden/>
    <w:unhideWhenUsed/>
    <w:rsid w:val="00D05F87"/>
  </w:style>
  <w:style w:type="numbering" w:customStyle="1" w:styleId="5112">
    <w:name w:val="Нет списка5112"/>
    <w:next w:val="a5"/>
    <w:uiPriority w:val="99"/>
    <w:semiHidden/>
    <w:unhideWhenUsed/>
    <w:rsid w:val="00D05F87"/>
  </w:style>
  <w:style w:type="numbering" w:customStyle="1" w:styleId="6112">
    <w:name w:val="Нет списка6112"/>
    <w:next w:val="a5"/>
    <w:uiPriority w:val="99"/>
    <w:semiHidden/>
    <w:unhideWhenUsed/>
    <w:rsid w:val="00D05F87"/>
  </w:style>
  <w:style w:type="numbering" w:customStyle="1" w:styleId="8100">
    <w:name w:val="Нет списка810"/>
    <w:next w:val="a5"/>
    <w:uiPriority w:val="99"/>
    <w:semiHidden/>
    <w:unhideWhenUsed/>
    <w:rsid w:val="00D05F87"/>
  </w:style>
  <w:style w:type="numbering" w:customStyle="1" w:styleId="13100">
    <w:name w:val="Нет списка1310"/>
    <w:next w:val="a5"/>
    <w:uiPriority w:val="99"/>
    <w:semiHidden/>
    <w:unhideWhenUsed/>
    <w:rsid w:val="00D05F87"/>
  </w:style>
  <w:style w:type="table" w:customStyle="1" w:styleId="8101">
    <w:name w:val="Сетка таблицы810"/>
    <w:basedOn w:val="a4"/>
    <w:next w:val="afb"/>
    <w:uiPriority w:val="39"/>
    <w:rsid w:val="00D05F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5"/>
    <w:uiPriority w:val="99"/>
    <w:semiHidden/>
    <w:unhideWhenUsed/>
    <w:rsid w:val="00D05F87"/>
  </w:style>
  <w:style w:type="numbering" w:customStyle="1" w:styleId="11121">
    <w:name w:val="Нет списка11121"/>
    <w:next w:val="a5"/>
    <w:uiPriority w:val="99"/>
    <w:semiHidden/>
    <w:unhideWhenUsed/>
    <w:rsid w:val="00D05F87"/>
  </w:style>
  <w:style w:type="table" w:customStyle="1" w:styleId="12101">
    <w:name w:val="Сетка таблицы1210"/>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5"/>
    <w:uiPriority w:val="99"/>
    <w:semiHidden/>
    <w:unhideWhenUsed/>
    <w:rsid w:val="00D05F87"/>
  </w:style>
  <w:style w:type="table" w:customStyle="1" w:styleId="22100">
    <w:name w:val="Сетка таблицы2210"/>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5"/>
    <w:uiPriority w:val="99"/>
    <w:semiHidden/>
    <w:unhideWhenUsed/>
    <w:rsid w:val="00D05F87"/>
  </w:style>
  <w:style w:type="table" w:customStyle="1" w:styleId="324">
    <w:name w:val="Сетка таблицы324"/>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D05F87"/>
  </w:style>
  <w:style w:type="table" w:customStyle="1" w:styleId="4211">
    <w:name w:val="Сетка таблицы421"/>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5"/>
    <w:uiPriority w:val="99"/>
    <w:semiHidden/>
    <w:unhideWhenUsed/>
    <w:rsid w:val="00D05F87"/>
  </w:style>
  <w:style w:type="table" w:customStyle="1" w:styleId="5211">
    <w:name w:val="Сетка таблицы521"/>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5"/>
    <w:uiPriority w:val="99"/>
    <w:semiHidden/>
    <w:unhideWhenUsed/>
    <w:rsid w:val="00D05F87"/>
  </w:style>
  <w:style w:type="table" w:customStyle="1" w:styleId="6211">
    <w:name w:val="Сетка таблицы621"/>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5"/>
    <w:uiPriority w:val="99"/>
    <w:semiHidden/>
    <w:unhideWhenUsed/>
    <w:rsid w:val="00D05F87"/>
  </w:style>
  <w:style w:type="numbering" w:customStyle="1" w:styleId="12210">
    <w:name w:val="Нет списка1221"/>
    <w:next w:val="a5"/>
    <w:uiPriority w:val="99"/>
    <w:semiHidden/>
    <w:unhideWhenUsed/>
    <w:rsid w:val="00D05F87"/>
  </w:style>
  <w:style w:type="table" w:customStyle="1" w:styleId="7121">
    <w:name w:val="Сетка таблицы712"/>
    <w:basedOn w:val="a4"/>
    <w:next w:val="afb"/>
    <w:uiPriority w:val="39"/>
    <w:rsid w:val="00D05F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
    <w:name w:val="Нет списка111112"/>
    <w:next w:val="a5"/>
    <w:uiPriority w:val="99"/>
    <w:semiHidden/>
    <w:unhideWhenUsed/>
    <w:rsid w:val="00D05F87"/>
  </w:style>
  <w:style w:type="table" w:customStyle="1" w:styleId="11130">
    <w:name w:val="Сетка таблицы1113"/>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5"/>
    <w:uiPriority w:val="99"/>
    <w:semiHidden/>
    <w:unhideWhenUsed/>
    <w:rsid w:val="00D05F87"/>
  </w:style>
  <w:style w:type="table" w:customStyle="1" w:styleId="21111">
    <w:name w:val="Сетка таблицы2111"/>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5"/>
    <w:uiPriority w:val="99"/>
    <w:semiHidden/>
    <w:unhideWhenUsed/>
    <w:rsid w:val="00D05F87"/>
  </w:style>
  <w:style w:type="table" w:customStyle="1" w:styleId="31111">
    <w:name w:val="Сетка таблицы3111"/>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0">
    <w:name w:val="Нет списка4121"/>
    <w:next w:val="a5"/>
    <w:uiPriority w:val="99"/>
    <w:semiHidden/>
    <w:unhideWhenUsed/>
    <w:rsid w:val="00D05F87"/>
  </w:style>
  <w:style w:type="table" w:customStyle="1" w:styleId="41111">
    <w:name w:val="Сетка таблицы4111"/>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5"/>
    <w:uiPriority w:val="99"/>
    <w:semiHidden/>
    <w:unhideWhenUsed/>
    <w:rsid w:val="00D05F87"/>
  </w:style>
  <w:style w:type="table" w:customStyle="1" w:styleId="51111">
    <w:name w:val="Сетка таблицы5111"/>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0">
    <w:name w:val="Нет списка6121"/>
    <w:next w:val="a5"/>
    <w:uiPriority w:val="99"/>
    <w:semiHidden/>
    <w:unhideWhenUsed/>
    <w:rsid w:val="00D05F87"/>
  </w:style>
  <w:style w:type="table" w:customStyle="1" w:styleId="61111">
    <w:name w:val="Сетка таблицы6111"/>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5"/>
    <w:uiPriority w:val="99"/>
    <w:semiHidden/>
    <w:unhideWhenUsed/>
    <w:rsid w:val="00D05F87"/>
  </w:style>
  <w:style w:type="numbering" w:customStyle="1" w:styleId="12111">
    <w:name w:val="Нет списка12111"/>
    <w:next w:val="a5"/>
    <w:uiPriority w:val="99"/>
    <w:semiHidden/>
    <w:unhideWhenUsed/>
    <w:rsid w:val="00D05F87"/>
  </w:style>
  <w:style w:type="numbering" w:customStyle="1" w:styleId="11211">
    <w:name w:val="Нет списка11211"/>
    <w:next w:val="a5"/>
    <w:uiPriority w:val="99"/>
    <w:semiHidden/>
    <w:unhideWhenUsed/>
    <w:rsid w:val="00D05F87"/>
  </w:style>
  <w:style w:type="numbering" w:customStyle="1" w:styleId="211110">
    <w:name w:val="Нет списка21111"/>
    <w:next w:val="a5"/>
    <w:uiPriority w:val="99"/>
    <w:semiHidden/>
    <w:unhideWhenUsed/>
    <w:rsid w:val="00D05F87"/>
  </w:style>
  <w:style w:type="numbering" w:customStyle="1" w:styleId="311110">
    <w:name w:val="Нет списка31111"/>
    <w:next w:val="a5"/>
    <w:uiPriority w:val="99"/>
    <w:semiHidden/>
    <w:unhideWhenUsed/>
    <w:rsid w:val="00D05F87"/>
  </w:style>
  <w:style w:type="numbering" w:customStyle="1" w:styleId="411110">
    <w:name w:val="Нет списка41111"/>
    <w:next w:val="a5"/>
    <w:uiPriority w:val="99"/>
    <w:semiHidden/>
    <w:unhideWhenUsed/>
    <w:rsid w:val="00D05F87"/>
  </w:style>
  <w:style w:type="numbering" w:customStyle="1" w:styleId="511110">
    <w:name w:val="Нет списка51111"/>
    <w:next w:val="a5"/>
    <w:uiPriority w:val="99"/>
    <w:semiHidden/>
    <w:unhideWhenUsed/>
    <w:rsid w:val="00D05F87"/>
  </w:style>
  <w:style w:type="numbering" w:customStyle="1" w:styleId="611110">
    <w:name w:val="Нет списка61111"/>
    <w:next w:val="a5"/>
    <w:uiPriority w:val="99"/>
    <w:semiHidden/>
    <w:unhideWhenUsed/>
    <w:rsid w:val="00D05F87"/>
  </w:style>
  <w:style w:type="numbering" w:customStyle="1" w:styleId="1480">
    <w:name w:val="Нет списка148"/>
    <w:next w:val="a5"/>
    <w:uiPriority w:val="99"/>
    <w:semiHidden/>
    <w:rsid w:val="00E11A19"/>
  </w:style>
  <w:style w:type="table" w:customStyle="1" w:styleId="1940">
    <w:name w:val="Сетка таблицы194"/>
    <w:basedOn w:val="a4"/>
    <w:next w:val="afb"/>
    <w:uiPriority w:val="39"/>
    <w:rsid w:val="00E11A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1">
    <w:name w:val="Нет списка149"/>
    <w:next w:val="a5"/>
    <w:uiPriority w:val="99"/>
    <w:semiHidden/>
    <w:unhideWhenUsed/>
    <w:rsid w:val="00E11A19"/>
  </w:style>
  <w:style w:type="table" w:customStyle="1" w:styleId="1950">
    <w:name w:val="Сетка таблицы195"/>
    <w:basedOn w:val="a4"/>
    <w:next w:val="afb"/>
    <w:uiPriority w:val="39"/>
    <w:rsid w:val="00E11A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5"/>
    <w:uiPriority w:val="99"/>
    <w:semiHidden/>
    <w:unhideWhenUsed/>
    <w:rsid w:val="00E11A19"/>
  </w:style>
  <w:style w:type="table" w:customStyle="1" w:styleId="244">
    <w:name w:val="Сетка таблицы244"/>
    <w:basedOn w:val="a4"/>
    <w:next w:val="afb"/>
    <w:uiPriority w:val="39"/>
    <w:rsid w:val="00E11A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1">
    <w:name w:val="Нет списка150"/>
    <w:next w:val="a5"/>
    <w:uiPriority w:val="99"/>
    <w:semiHidden/>
    <w:unhideWhenUsed/>
    <w:rsid w:val="00A75527"/>
  </w:style>
  <w:style w:type="table" w:customStyle="1" w:styleId="196">
    <w:name w:val="Сетка таблицы196"/>
    <w:basedOn w:val="a4"/>
    <w:next w:val="afb"/>
    <w:uiPriority w:val="39"/>
    <w:rsid w:val="00A755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5"/>
    <w:uiPriority w:val="99"/>
    <w:semiHidden/>
    <w:rsid w:val="00A75527"/>
  </w:style>
  <w:style w:type="numbering" w:customStyle="1" w:styleId="11200">
    <w:name w:val="Нет списка1120"/>
    <w:next w:val="a5"/>
    <w:semiHidden/>
    <w:unhideWhenUsed/>
    <w:rsid w:val="00A75527"/>
  </w:style>
  <w:style w:type="table" w:customStyle="1" w:styleId="197">
    <w:name w:val="Сетка таблицы197"/>
    <w:basedOn w:val="a4"/>
    <w:next w:val="afb"/>
    <w:uiPriority w:val="39"/>
    <w:rsid w:val="00A7552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Нет списка230"/>
    <w:next w:val="a5"/>
    <w:uiPriority w:val="99"/>
    <w:semiHidden/>
    <w:unhideWhenUsed/>
    <w:rsid w:val="00A75527"/>
  </w:style>
  <w:style w:type="numbering" w:customStyle="1" w:styleId="3160">
    <w:name w:val="Нет списка316"/>
    <w:next w:val="a5"/>
    <w:uiPriority w:val="99"/>
    <w:semiHidden/>
    <w:rsid w:val="00A75527"/>
  </w:style>
  <w:style w:type="numbering" w:customStyle="1" w:styleId="1216">
    <w:name w:val="Нет списка1216"/>
    <w:next w:val="a5"/>
    <w:uiPriority w:val="99"/>
    <w:semiHidden/>
    <w:unhideWhenUsed/>
    <w:rsid w:val="00A75527"/>
  </w:style>
  <w:style w:type="numbering" w:customStyle="1" w:styleId="2115">
    <w:name w:val="Нет списка2115"/>
    <w:next w:val="a5"/>
    <w:uiPriority w:val="99"/>
    <w:semiHidden/>
    <w:unhideWhenUsed/>
    <w:rsid w:val="00A75527"/>
  </w:style>
  <w:style w:type="table" w:customStyle="1" w:styleId="198">
    <w:name w:val="Сетка таблицы198"/>
    <w:basedOn w:val="a4"/>
    <w:next w:val="afb"/>
    <w:rsid w:val="00A755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
    <w:name w:val="Нет списка152"/>
    <w:next w:val="a5"/>
    <w:uiPriority w:val="99"/>
    <w:semiHidden/>
    <w:rsid w:val="007B3BB5"/>
  </w:style>
  <w:style w:type="table" w:customStyle="1" w:styleId="199">
    <w:name w:val="Сетка таблицы199"/>
    <w:basedOn w:val="a4"/>
    <w:next w:val="afb"/>
    <w:uiPriority w:val="39"/>
    <w:rsid w:val="007B3B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1">
    <w:name w:val="Нет списка153"/>
    <w:next w:val="a5"/>
    <w:uiPriority w:val="99"/>
    <w:semiHidden/>
    <w:unhideWhenUsed/>
    <w:rsid w:val="007B3BB5"/>
  </w:style>
  <w:style w:type="table" w:customStyle="1" w:styleId="11000">
    <w:name w:val="Сетка таблицы1100"/>
    <w:basedOn w:val="a4"/>
    <w:next w:val="afb"/>
    <w:uiPriority w:val="39"/>
    <w:rsid w:val="007B3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5"/>
    <w:uiPriority w:val="99"/>
    <w:semiHidden/>
    <w:unhideWhenUsed/>
    <w:rsid w:val="007B3BB5"/>
  </w:style>
  <w:style w:type="table" w:customStyle="1" w:styleId="245">
    <w:name w:val="Сетка таблицы245"/>
    <w:basedOn w:val="a4"/>
    <w:next w:val="afb"/>
    <w:uiPriority w:val="39"/>
    <w:rsid w:val="007B3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d">
    <w:name w:val="Знак Знак Знак Знак Знак Знак Знак Знак Знак Знак Знак Знак17"/>
    <w:basedOn w:val="a2"/>
    <w:rsid w:val="00777CDA"/>
    <w:pPr>
      <w:tabs>
        <w:tab w:val="num" w:pos="360"/>
      </w:tabs>
      <w:spacing w:after="160" w:line="240" w:lineRule="exact"/>
    </w:pPr>
    <w:rPr>
      <w:rFonts w:ascii="Verdana" w:hAnsi="Verdana" w:cs="Verdana"/>
      <w:sz w:val="20"/>
      <w:szCs w:val="20"/>
      <w:lang w:val="en-US" w:eastAsia="en-US"/>
    </w:rPr>
  </w:style>
  <w:style w:type="numbering" w:customStyle="1" w:styleId="1541">
    <w:name w:val="Нет списка154"/>
    <w:next w:val="a5"/>
    <w:uiPriority w:val="99"/>
    <w:semiHidden/>
    <w:rsid w:val="00E600CD"/>
  </w:style>
  <w:style w:type="paragraph" w:customStyle="1" w:styleId="19a">
    <w:name w:val="Абзац списка19"/>
    <w:basedOn w:val="a2"/>
    <w:autoRedefine/>
    <w:rsid w:val="00E600CD"/>
    <w:pPr>
      <w:jc w:val="center"/>
    </w:pPr>
    <w:rPr>
      <w:snapToGrid w:val="0"/>
      <w:sz w:val="28"/>
      <w:szCs w:val="28"/>
    </w:rPr>
  </w:style>
  <w:style w:type="table" w:customStyle="1" w:styleId="2000">
    <w:name w:val="Сетка таблицы200"/>
    <w:basedOn w:val="a4"/>
    <w:next w:val="afb"/>
    <w:uiPriority w:val="39"/>
    <w:rsid w:val="00E600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d">
    <w:name w:val="Знак7"/>
    <w:basedOn w:val="a2"/>
    <w:rsid w:val="00E600CD"/>
    <w:pPr>
      <w:spacing w:after="160" w:line="240" w:lineRule="exact"/>
    </w:pPr>
    <w:rPr>
      <w:rFonts w:ascii="Verdana" w:hAnsi="Verdana" w:cs="Verdana"/>
      <w:sz w:val="20"/>
      <w:szCs w:val="20"/>
      <w:lang w:val="en-US" w:eastAsia="en-US"/>
    </w:rPr>
  </w:style>
  <w:style w:type="numbering" w:customStyle="1" w:styleId="1551">
    <w:name w:val="Нет списка155"/>
    <w:next w:val="a5"/>
    <w:uiPriority w:val="99"/>
    <w:semiHidden/>
    <w:unhideWhenUsed/>
    <w:rsid w:val="00E600CD"/>
  </w:style>
  <w:style w:type="table" w:customStyle="1" w:styleId="11010">
    <w:name w:val="Сетка таблицы1101"/>
    <w:basedOn w:val="a4"/>
    <w:next w:val="afb"/>
    <w:uiPriority w:val="39"/>
    <w:rsid w:val="00E600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
    <w:name w:val="Нет списка232"/>
    <w:next w:val="a5"/>
    <w:uiPriority w:val="99"/>
    <w:semiHidden/>
    <w:unhideWhenUsed/>
    <w:rsid w:val="00E600CD"/>
  </w:style>
  <w:style w:type="table" w:customStyle="1" w:styleId="246">
    <w:name w:val="Сетка таблицы246"/>
    <w:basedOn w:val="a4"/>
    <w:next w:val="afb"/>
    <w:uiPriority w:val="39"/>
    <w:rsid w:val="00E600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47">
    <w:name w:val="xl947"/>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948">
    <w:name w:val="xl948"/>
    <w:basedOn w:val="a2"/>
    <w:rsid w:val="00BD174E"/>
    <w:pPr>
      <w:pBdr>
        <w:right w:val="single" w:sz="4" w:space="0" w:color="auto"/>
      </w:pBdr>
      <w:shd w:val="clear" w:color="000000" w:fill="FFFFFF"/>
      <w:spacing w:before="100" w:beforeAutospacing="1" w:after="100" w:afterAutospacing="1"/>
      <w:jc w:val="center"/>
    </w:pPr>
    <w:rPr>
      <w:b/>
      <w:bCs/>
      <w:sz w:val="28"/>
      <w:szCs w:val="28"/>
    </w:rPr>
  </w:style>
  <w:style w:type="paragraph" w:customStyle="1" w:styleId="xl949">
    <w:name w:val="xl949"/>
    <w:basedOn w:val="a2"/>
    <w:rsid w:val="00BD174E"/>
    <w:pPr>
      <w:pBdr>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950">
    <w:name w:val="xl950"/>
    <w:basedOn w:val="a2"/>
    <w:rsid w:val="00BD174E"/>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951">
    <w:name w:val="xl951"/>
    <w:basedOn w:val="a2"/>
    <w:rsid w:val="00BD174E"/>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952">
    <w:name w:val="xl952"/>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953">
    <w:name w:val="xl953"/>
    <w:basedOn w:val="a2"/>
    <w:rsid w:val="00BD174E"/>
    <w:pPr>
      <w:pBdr>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954">
    <w:name w:val="xl954"/>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955">
    <w:name w:val="xl955"/>
    <w:basedOn w:val="a2"/>
    <w:rsid w:val="00BD174E"/>
    <w:pPr>
      <w:pBdr>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956">
    <w:name w:val="xl956"/>
    <w:basedOn w:val="a2"/>
    <w:rsid w:val="00BD174E"/>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957">
    <w:name w:val="xl957"/>
    <w:basedOn w:val="a2"/>
    <w:rsid w:val="00BD174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958">
    <w:name w:val="xl958"/>
    <w:basedOn w:val="a2"/>
    <w:rsid w:val="00BD174E"/>
    <w:pPr>
      <w:shd w:val="clear" w:color="000000" w:fill="FFFFFF"/>
      <w:spacing w:before="100" w:beforeAutospacing="1" w:after="100" w:afterAutospacing="1"/>
      <w:jc w:val="center"/>
    </w:pPr>
    <w:rPr>
      <w:color w:val="000000"/>
      <w:sz w:val="28"/>
      <w:szCs w:val="28"/>
    </w:rPr>
  </w:style>
  <w:style w:type="paragraph" w:customStyle="1" w:styleId="xl959">
    <w:name w:val="xl959"/>
    <w:basedOn w:val="a2"/>
    <w:rsid w:val="00BD174E"/>
    <w:pPr>
      <w:pBdr>
        <w:top w:val="single" w:sz="4" w:space="0" w:color="auto"/>
        <w:left w:val="single" w:sz="8" w:space="0" w:color="auto"/>
        <w:bottom w:val="single" w:sz="4" w:space="0" w:color="auto"/>
      </w:pBdr>
      <w:spacing w:before="100" w:beforeAutospacing="1" w:after="100" w:afterAutospacing="1"/>
      <w:jc w:val="center"/>
    </w:pPr>
    <w:rPr>
      <w:i/>
      <w:iCs/>
      <w:color w:val="000000"/>
    </w:rPr>
  </w:style>
  <w:style w:type="paragraph" w:customStyle="1" w:styleId="xl960">
    <w:name w:val="xl960"/>
    <w:basedOn w:val="a2"/>
    <w:rsid w:val="00BD17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2"/>
      <w:szCs w:val="22"/>
    </w:rPr>
  </w:style>
  <w:style w:type="paragraph" w:customStyle="1" w:styleId="xl961">
    <w:name w:val="xl961"/>
    <w:basedOn w:val="a2"/>
    <w:rsid w:val="00BD174E"/>
    <w:pPr>
      <w:spacing w:before="100" w:beforeAutospacing="1" w:after="100" w:afterAutospacing="1"/>
    </w:pPr>
    <w:rPr>
      <w:i/>
      <w:iCs/>
      <w:color w:val="000000"/>
      <w:sz w:val="28"/>
      <w:szCs w:val="28"/>
    </w:rPr>
  </w:style>
  <w:style w:type="paragraph" w:customStyle="1" w:styleId="xl962">
    <w:name w:val="xl962"/>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pPr>
    <w:rPr>
      <w:i/>
      <w:iCs/>
      <w:color w:val="000000"/>
      <w:sz w:val="28"/>
      <w:szCs w:val="28"/>
    </w:rPr>
  </w:style>
  <w:style w:type="paragraph" w:customStyle="1" w:styleId="xl963">
    <w:name w:val="xl963"/>
    <w:basedOn w:val="a2"/>
    <w:rsid w:val="00BD174E"/>
    <w:pPr>
      <w:pBdr>
        <w:top w:val="single" w:sz="4" w:space="0" w:color="auto"/>
        <w:left w:val="single" w:sz="4" w:space="0" w:color="auto"/>
        <w:right w:val="single" w:sz="4" w:space="0" w:color="auto"/>
      </w:pBdr>
      <w:shd w:val="clear" w:color="000000" w:fill="E6EFE5"/>
      <w:spacing w:before="100" w:beforeAutospacing="1" w:after="100" w:afterAutospacing="1"/>
      <w:jc w:val="center"/>
    </w:pPr>
    <w:rPr>
      <w:i/>
      <w:iCs/>
      <w:sz w:val="28"/>
      <w:szCs w:val="28"/>
    </w:rPr>
  </w:style>
  <w:style w:type="paragraph" w:customStyle="1" w:styleId="xl964">
    <w:name w:val="xl964"/>
    <w:basedOn w:val="a2"/>
    <w:rsid w:val="00BD174E"/>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965">
    <w:name w:val="xl965"/>
    <w:basedOn w:val="a2"/>
    <w:rsid w:val="00BD174E"/>
    <w:pPr>
      <w:shd w:val="clear" w:color="000000" w:fill="FFFFFF"/>
      <w:spacing w:before="100" w:beforeAutospacing="1" w:after="100" w:afterAutospacing="1"/>
      <w:jc w:val="center"/>
    </w:pPr>
    <w:rPr>
      <w:b/>
      <w:bCs/>
      <w:i/>
      <w:iCs/>
      <w:color w:val="000000"/>
      <w:sz w:val="28"/>
      <w:szCs w:val="28"/>
    </w:rPr>
  </w:style>
  <w:style w:type="paragraph" w:customStyle="1" w:styleId="xl966">
    <w:name w:val="xl966"/>
    <w:basedOn w:val="a2"/>
    <w:rsid w:val="00BD174E"/>
    <w:pPr>
      <w:shd w:val="clear" w:color="000000" w:fill="FFFFFF"/>
      <w:spacing w:before="100" w:beforeAutospacing="1" w:after="100" w:afterAutospacing="1"/>
      <w:jc w:val="center"/>
    </w:pPr>
    <w:rPr>
      <w:i/>
      <w:iCs/>
      <w:sz w:val="28"/>
      <w:szCs w:val="28"/>
    </w:rPr>
  </w:style>
  <w:style w:type="paragraph" w:customStyle="1" w:styleId="xl967">
    <w:name w:val="xl967"/>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968">
    <w:name w:val="xl968"/>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b/>
      <w:bCs/>
      <w:color w:val="000000"/>
      <w:sz w:val="28"/>
      <w:szCs w:val="28"/>
    </w:rPr>
  </w:style>
  <w:style w:type="paragraph" w:customStyle="1" w:styleId="xl969">
    <w:name w:val="xl969"/>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color w:val="000000"/>
      <w:sz w:val="28"/>
      <w:szCs w:val="28"/>
    </w:rPr>
  </w:style>
  <w:style w:type="paragraph" w:customStyle="1" w:styleId="xl970">
    <w:name w:val="xl970"/>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color w:val="000000"/>
      <w:sz w:val="28"/>
      <w:szCs w:val="28"/>
    </w:rPr>
  </w:style>
  <w:style w:type="paragraph" w:customStyle="1" w:styleId="xl971">
    <w:name w:val="xl971"/>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i/>
      <w:iCs/>
      <w:color w:val="000000"/>
      <w:sz w:val="28"/>
      <w:szCs w:val="28"/>
    </w:rPr>
  </w:style>
  <w:style w:type="paragraph" w:customStyle="1" w:styleId="xl972">
    <w:name w:val="xl972"/>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i/>
      <w:iCs/>
      <w:color w:val="000000"/>
      <w:sz w:val="28"/>
      <w:szCs w:val="28"/>
    </w:rPr>
  </w:style>
  <w:style w:type="paragraph" w:customStyle="1" w:styleId="xl973">
    <w:name w:val="xl973"/>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974">
    <w:name w:val="xl974"/>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975">
    <w:name w:val="xl975"/>
    <w:basedOn w:val="a2"/>
    <w:rsid w:val="00BD174E"/>
    <w:pPr>
      <w:pBdr>
        <w:top w:val="single" w:sz="4" w:space="0" w:color="auto"/>
        <w:left w:val="single" w:sz="8" w:space="0" w:color="auto"/>
        <w:right w:val="single" w:sz="4" w:space="0" w:color="auto"/>
      </w:pBdr>
      <w:shd w:val="clear" w:color="000000" w:fill="E6EFE5"/>
      <w:spacing w:before="100" w:beforeAutospacing="1" w:after="100" w:afterAutospacing="1"/>
      <w:jc w:val="center"/>
    </w:pPr>
    <w:rPr>
      <w:i/>
      <w:iCs/>
      <w:sz w:val="28"/>
      <w:szCs w:val="28"/>
    </w:rPr>
  </w:style>
  <w:style w:type="paragraph" w:customStyle="1" w:styleId="xl976">
    <w:name w:val="xl976"/>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pPr>
    <w:rPr>
      <w:i/>
      <w:iCs/>
      <w:sz w:val="28"/>
      <w:szCs w:val="28"/>
    </w:rPr>
  </w:style>
  <w:style w:type="paragraph" w:customStyle="1" w:styleId="xl977">
    <w:name w:val="xl977"/>
    <w:basedOn w:val="a2"/>
    <w:rsid w:val="00BD174E"/>
    <w:pPr>
      <w:pBdr>
        <w:top w:val="single" w:sz="8"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978">
    <w:name w:val="xl978"/>
    <w:basedOn w:val="a2"/>
    <w:rsid w:val="00BD174E"/>
    <w:pPr>
      <w:pBdr>
        <w:top w:val="single" w:sz="8" w:space="0" w:color="auto"/>
      </w:pBdr>
      <w:shd w:val="clear" w:color="000000" w:fill="FFFFFF"/>
      <w:spacing w:before="100" w:beforeAutospacing="1" w:after="100" w:afterAutospacing="1"/>
      <w:jc w:val="center"/>
    </w:pPr>
    <w:rPr>
      <w:sz w:val="28"/>
      <w:szCs w:val="28"/>
    </w:rPr>
  </w:style>
  <w:style w:type="paragraph" w:customStyle="1" w:styleId="xl979">
    <w:name w:val="xl979"/>
    <w:basedOn w:val="a2"/>
    <w:rsid w:val="00BD174E"/>
    <w:pPr>
      <w:pBdr>
        <w:bottom w:val="single" w:sz="8" w:space="0" w:color="auto"/>
      </w:pBdr>
      <w:shd w:val="clear" w:color="000000" w:fill="FFFFFF"/>
      <w:spacing w:before="100" w:beforeAutospacing="1" w:after="100" w:afterAutospacing="1"/>
      <w:jc w:val="center"/>
    </w:pPr>
    <w:rPr>
      <w:sz w:val="28"/>
      <w:szCs w:val="28"/>
    </w:rPr>
  </w:style>
  <w:style w:type="paragraph" w:customStyle="1" w:styleId="xl980">
    <w:name w:val="xl980"/>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981">
    <w:name w:val="xl981"/>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982">
    <w:name w:val="xl982"/>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983">
    <w:name w:val="xl983"/>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984">
    <w:name w:val="xl984"/>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985">
    <w:name w:val="xl985"/>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style>
  <w:style w:type="paragraph" w:customStyle="1" w:styleId="xl986">
    <w:name w:val="xl986"/>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style>
  <w:style w:type="paragraph" w:customStyle="1" w:styleId="xl987">
    <w:name w:val="xl987"/>
    <w:basedOn w:val="a2"/>
    <w:rsid w:val="00BD174E"/>
    <w:pPr>
      <w:pBdr>
        <w:left w:val="single" w:sz="8"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988">
    <w:name w:val="xl988"/>
    <w:basedOn w:val="a2"/>
    <w:rsid w:val="00BD174E"/>
    <w:pPr>
      <w:pBdr>
        <w:left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989">
    <w:name w:val="xl989"/>
    <w:basedOn w:val="a2"/>
    <w:rsid w:val="00BD174E"/>
    <w:pPr>
      <w:pBdr>
        <w:top w:val="single" w:sz="4" w:space="0" w:color="auto"/>
        <w:left w:val="single" w:sz="8"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990">
    <w:name w:val="xl990"/>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991">
    <w:name w:val="xl991"/>
    <w:basedOn w:val="a2"/>
    <w:rsid w:val="00BD174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sz w:val="28"/>
      <w:szCs w:val="28"/>
    </w:rPr>
  </w:style>
  <w:style w:type="paragraph" w:customStyle="1" w:styleId="xl992">
    <w:name w:val="xl992"/>
    <w:basedOn w:val="a2"/>
    <w:rsid w:val="00BD174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sz w:val="28"/>
      <w:szCs w:val="28"/>
    </w:rPr>
  </w:style>
  <w:style w:type="paragraph" w:customStyle="1" w:styleId="xl993">
    <w:name w:val="xl993"/>
    <w:basedOn w:val="a2"/>
    <w:rsid w:val="00BD174E"/>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i/>
      <w:iCs/>
    </w:rPr>
  </w:style>
  <w:style w:type="paragraph" w:customStyle="1" w:styleId="xl994">
    <w:name w:val="xl994"/>
    <w:basedOn w:val="a2"/>
    <w:rsid w:val="00BD174E"/>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i/>
      <w:iCs/>
    </w:rPr>
  </w:style>
  <w:style w:type="paragraph" w:customStyle="1" w:styleId="xl995">
    <w:name w:val="xl995"/>
    <w:basedOn w:val="a2"/>
    <w:rsid w:val="00BD174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pPr>
    <w:rPr>
      <w:i/>
      <w:iCs/>
    </w:rPr>
  </w:style>
  <w:style w:type="paragraph" w:customStyle="1" w:styleId="xl996">
    <w:name w:val="xl996"/>
    <w:basedOn w:val="a2"/>
    <w:rsid w:val="00BD174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pPr>
    <w:rPr>
      <w:i/>
      <w:iCs/>
    </w:rPr>
  </w:style>
  <w:style w:type="paragraph" w:customStyle="1" w:styleId="xl997">
    <w:name w:val="xl997"/>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998">
    <w:name w:val="xl998"/>
    <w:basedOn w:val="a2"/>
    <w:rsid w:val="00BD174E"/>
    <w:pPr>
      <w:pBdr>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999">
    <w:name w:val="xl999"/>
    <w:basedOn w:val="a2"/>
    <w:rsid w:val="00BD174E"/>
    <w:pPr>
      <w:pBdr>
        <w:top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00">
    <w:name w:val="xl1000"/>
    <w:basedOn w:val="a2"/>
    <w:rsid w:val="00BD174E"/>
    <w:pPr>
      <w:pBdr>
        <w:top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01">
    <w:name w:val="xl1001"/>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002">
    <w:name w:val="xl1002"/>
    <w:basedOn w:val="a2"/>
    <w:rsid w:val="00BD174E"/>
    <w:pPr>
      <w:pBdr>
        <w:top w:val="single" w:sz="4" w:space="0" w:color="auto"/>
        <w:bottom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003">
    <w:name w:val="xl1003"/>
    <w:basedOn w:val="a2"/>
    <w:rsid w:val="00BD174E"/>
    <w:pPr>
      <w:pBdr>
        <w:left w:val="single" w:sz="8"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1004">
    <w:name w:val="xl1004"/>
    <w:basedOn w:val="a2"/>
    <w:rsid w:val="00BD174E"/>
    <w:pPr>
      <w:pBdr>
        <w:right w:val="single" w:sz="8" w:space="0" w:color="auto"/>
      </w:pBdr>
      <w:shd w:val="clear" w:color="000000" w:fill="E6EFE5"/>
      <w:spacing w:before="100" w:beforeAutospacing="1" w:after="100" w:afterAutospacing="1"/>
      <w:jc w:val="center"/>
    </w:pPr>
    <w:rPr>
      <w:sz w:val="28"/>
      <w:szCs w:val="28"/>
    </w:rPr>
  </w:style>
  <w:style w:type="paragraph" w:customStyle="1" w:styleId="xl1005">
    <w:name w:val="xl1005"/>
    <w:basedOn w:val="a2"/>
    <w:rsid w:val="00BD174E"/>
    <w:pPr>
      <w:pBdr>
        <w:left w:val="single" w:sz="8"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1006">
    <w:name w:val="xl1006"/>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1007">
    <w:name w:val="xl1007"/>
    <w:basedOn w:val="a2"/>
    <w:rsid w:val="00BD174E"/>
    <w:pPr>
      <w:pBdr>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08">
    <w:name w:val="xl1008"/>
    <w:basedOn w:val="a2"/>
    <w:rsid w:val="00BD174E"/>
    <w:pPr>
      <w:pBdr>
        <w:left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09">
    <w:name w:val="xl1009"/>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10">
    <w:name w:val="xl1010"/>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011">
    <w:name w:val="xl1011"/>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b/>
      <w:bCs/>
      <w:sz w:val="28"/>
      <w:szCs w:val="28"/>
    </w:rPr>
  </w:style>
  <w:style w:type="paragraph" w:customStyle="1" w:styleId="xl1012">
    <w:name w:val="xl1012"/>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pPr>
    <w:rPr>
      <w:b/>
      <w:bCs/>
      <w:sz w:val="28"/>
      <w:szCs w:val="28"/>
    </w:rPr>
  </w:style>
  <w:style w:type="paragraph" w:customStyle="1" w:styleId="xl1013">
    <w:name w:val="xl1013"/>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textAlignment w:val="center"/>
    </w:pPr>
    <w:rPr>
      <w:b/>
      <w:bCs/>
      <w:sz w:val="28"/>
      <w:szCs w:val="28"/>
    </w:rPr>
  </w:style>
  <w:style w:type="paragraph" w:customStyle="1" w:styleId="xl1014">
    <w:name w:val="xl1014"/>
    <w:basedOn w:val="a2"/>
    <w:rsid w:val="00BD174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b/>
      <w:bCs/>
      <w:color w:val="000000"/>
      <w:sz w:val="28"/>
      <w:szCs w:val="28"/>
    </w:rPr>
  </w:style>
  <w:style w:type="paragraph" w:customStyle="1" w:styleId="xl1015">
    <w:name w:val="xl1015"/>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center"/>
    </w:pPr>
    <w:rPr>
      <w:i/>
      <w:iCs/>
      <w:color w:val="FF0000"/>
      <w:sz w:val="28"/>
      <w:szCs w:val="28"/>
    </w:rPr>
  </w:style>
  <w:style w:type="paragraph" w:customStyle="1" w:styleId="xl1016">
    <w:name w:val="xl1016"/>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i/>
      <w:iCs/>
      <w:color w:val="FF0000"/>
      <w:sz w:val="28"/>
      <w:szCs w:val="28"/>
    </w:rPr>
  </w:style>
  <w:style w:type="paragraph" w:customStyle="1" w:styleId="xl1017">
    <w:name w:val="xl1017"/>
    <w:basedOn w:val="a2"/>
    <w:rsid w:val="00BD174E"/>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1018">
    <w:name w:val="xl1018"/>
    <w:basedOn w:val="a2"/>
    <w:rsid w:val="00BD174E"/>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i/>
      <w:iCs/>
    </w:rPr>
  </w:style>
  <w:style w:type="paragraph" w:customStyle="1" w:styleId="xl1019">
    <w:name w:val="xl1019"/>
    <w:basedOn w:val="a2"/>
    <w:rsid w:val="00BD174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1020">
    <w:name w:val="xl1020"/>
    <w:basedOn w:val="a2"/>
    <w:rsid w:val="00BD174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i/>
      <w:iCs/>
    </w:rPr>
  </w:style>
  <w:style w:type="paragraph" w:customStyle="1" w:styleId="xl1021">
    <w:name w:val="xl1021"/>
    <w:basedOn w:val="a2"/>
    <w:rsid w:val="00BD174E"/>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022">
    <w:name w:val="xl1022"/>
    <w:basedOn w:val="a2"/>
    <w:rsid w:val="00BD174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023">
    <w:name w:val="xl1023"/>
    <w:basedOn w:val="a2"/>
    <w:rsid w:val="00BD174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024">
    <w:name w:val="xl1024"/>
    <w:basedOn w:val="a2"/>
    <w:rsid w:val="00BD174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025">
    <w:name w:val="xl1025"/>
    <w:basedOn w:val="a2"/>
    <w:rsid w:val="00BD174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026">
    <w:name w:val="xl1026"/>
    <w:basedOn w:val="a2"/>
    <w:rsid w:val="00BD174E"/>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8"/>
      <w:szCs w:val="28"/>
    </w:rPr>
  </w:style>
  <w:style w:type="paragraph" w:customStyle="1" w:styleId="xl1027">
    <w:name w:val="xl1027"/>
    <w:basedOn w:val="a2"/>
    <w:rsid w:val="00BD174E"/>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8"/>
      <w:szCs w:val="28"/>
    </w:rPr>
  </w:style>
  <w:style w:type="paragraph" w:customStyle="1" w:styleId="xl1028">
    <w:name w:val="xl1028"/>
    <w:basedOn w:val="a2"/>
    <w:rsid w:val="00BD174E"/>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029">
    <w:name w:val="xl1029"/>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rPr>
      <w:b/>
      <w:bCs/>
      <w:sz w:val="28"/>
      <w:szCs w:val="28"/>
    </w:rPr>
  </w:style>
  <w:style w:type="paragraph" w:customStyle="1" w:styleId="xl1030">
    <w:name w:val="xl1030"/>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b/>
      <w:bCs/>
      <w:sz w:val="28"/>
      <w:szCs w:val="28"/>
    </w:rPr>
  </w:style>
  <w:style w:type="paragraph" w:customStyle="1" w:styleId="xl1031">
    <w:name w:val="xl1031"/>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rPr>
      <w:sz w:val="28"/>
      <w:szCs w:val="28"/>
    </w:rPr>
  </w:style>
  <w:style w:type="paragraph" w:customStyle="1" w:styleId="xl1032">
    <w:name w:val="xl1032"/>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sz w:val="28"/>
      <w:szCs w:val="28"/>
    </w:rPr>
  </w:style>
  <w:style w:type="paragraph" w:customStyle="1" w:styleId="xl1033">
    <w:name w:val="xl1033"/>
    <w:basedOn w:val="a2"/>
    <w:rsid w:val="00BD174E"/>
    <w:pPr>
      <w:pBdr>
        <w:top w:val="single" w:sz="4" w:space="0" w:color="auto"/>
        <w:left w:val="single" w:sz="8" w:space="0" w:color="auto"/>
        <w:bottom w:val="single" w:sz="4" w:space="0" w:color="auto"/>
        <w:right w:val="single" w:sz="4" w:space="0" w:color="auto"/>
      </w:pBdr>
      <w:shd w:val="clear" w:color="000000" w:fill="FF99FF"/>
      <w:spacing w:before="100" w:beforeAutospacing="1" w:after="100" w:afterAutospacing="1"/>
      <w:jc w:val="center"/>
      <w:textAlignment w:val="center"/>
    </w:pPr>
    <w:rPr>
      <w:b/>
      <w:bCs/>
      <w:sz w:val="28"/>
      <w:szCs w:val="28"/>
    </w:rPr>
  </w:style>
  <w:style w:type="paragraph" w:customStyle="1" w:styleId="xl1034">
    <w:name w:val="xl1034"/>
    <w:basedOn w:val="a2"/>
    <w:rsid w:val="00BD174E"/>
    <w:pPr>
      <w:pBdr>
        <w:top w:val="single" w:sz="4" w:space="0" w:color="auto"/>
        <w:left w:val="single" w:sz="4" w:space="0" w:color="auto"/>
        <w:bottom w:val="single" w:sz="4" w:space="0" w:color="auto"/>
        <w:right w:val="single" w:sz="8" w:space="0" w:color="auto"/>
      </w:pBdr>
      <w:shd w:val="clear" w:color="000000" w:fill="FF99FF"/>
      <w:spacing w:before="100" w:beforeAutospacing="1" w:after="100" w:afterAutospacing="1"/>
      <w:jc w:val="center"/>
      <w:textAlignment w:val="center"/>
    </w:pPr>
    <w:rPr>
      <w:b/>
      <w:bCs/>
      <w:sz w:val="28"/>
      <w:szCs w:val="28"/>
    </w:rPr>
  </w:style>
  <w:style w:type="paragraph" w:customStyle="1" w:styleId="xl1035">
    <w:name w:val="xl1035"/>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rPr>
      <w:b/>
      <w:bCs/>
      <w:sz w:val="28"/>
      <w:szCs w:val="28"/>
    </w:rPr>
  </w:style>
  <w:style w:type="paragraph" w:customStyle="1" w:styleId="xl1036">
    <w:name w:val="xl1036"/>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b/>
      <w:bCs/>
      <w:sz w:val="28"/>
      <w:szCs w:val="28"/>
    </w:rPr>
  </w:style>
  <w:style w:type="paragraph" w:customStyle="1" w:styleId="xl1037">
    <w:name w:val="xl1037"/>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style>
  <w:style w:type="paragraph" w:customStyle="1" w:styleId="xl1038">
    <w:name w:val="xl1038"/>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style>
  <w:style w:type="paragraph" w:customStyle="1" w:styleId="xl1039">
    <w:name w:val="xl1039"/>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textAlignment w:val="center"/>
    </w:pPr>
  </w:style>
  <w:style w:type="paragraph" w:customStyle="1" w:styleId="xl1040">
    <w:name w:val="xl1040"/>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textAlignment w:val="center"/>
    </w:pPr>
  </w:style>
  <w:style w:type="paragraph" w:customStyle="1" w:styleId="xl1041">
    <w:name w:val="xl1041"/>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right"/>
      <w:textAlignment w:val="center"/>
    </w:pPr>
  </w:style>
  <w:style w:type="paragraph" w:customStyle="1" w:styleId="xl1042">
    <w:name w:val="xl1042"/>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right"/>
      <w:textAlignment w:val="center"/>
    </w:pPr>
  </w:style>
  <w:style w:type="paragraph" w:customStyle="1" w:styleId="xl1043">
    <w:name w:val="xl1043"/>
    <w:basedOn w:val="a2"/>
    <w:rsid w:val="00BD174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8"/>
      <w:szCs w:val="28"/>
    </w:rPr>
  </w:style>
  <w:style w:type="paragraph" w:customStyle="1" w:styleId="xl1044">
    <w:name w:val="xl1044"/>
    <w:basedOn w:val="a2"/>
    <w:rsid w:val="00BD174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b/>
      <w:bCs/>
      <w:sz w:val="28"/>
      <w:szCs w:val="28"/>
    </w:rPr>
  </w:style>
  <w:style w:type="paragraph" w:customStyle="1" w:styleId="xl1045">
    <w:name w:val="xl1045"/>
    <w:basedOn w:val="a2"/>
    <w:rsid w:val="00BD174E"/>
    <w:pPr>
      <w:pBdr>
        <w:top w:val="single" w:sz="4" w:space="0" w:color="auto"/>
        <w:left w:val="single" w:sz="8" w:space="0" w:color="auto"/>
        <w:bottom w:val="single" w:sz="4" w:space="0" w:color="auto"/>
      </w:pBdr>
      <w:shd w:val="clear" w:color="000000" w:fill="E6EFE5"/>
      <w:spacing w:before="100" w:beforeAutospacing="1" w:after="100" w:afterAutospacing="1"/>
      <w:jc w:val="center"/>
    </w:pPr>
  </w:style>
  <w:style w:type="paragraph" w:customStyle="1" w:styleId="xl1046">
    <w:name w:val="xl1046"/>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style>
  <w:style w:type="paragraph" w:customStyle="1" w:styleId="xl1047">
    <w:name w:val="xl1047"/>
    <w:basedOn w:val="a2"/>
    <w:rsid w:val="00BD174E"/>
    <w:pPr>
      <w:pBdr>
        <w:left w:val="single" w:sz="8" w:space="0" w:color="auto"/>
      </w:pBdr>
      <w:shd w:val="clear" w:color="000000" w:fill="E6EFE5"/>
      <w:spacing w:before="100" w:beforeAutospacing="1" w:after="100" w:afterAutospacing="1"/>
      <w:jc w:val="center"/>
    </w:pPr>
    <w:rPr>
      <w:sz w:val="28"/>
      <w:szCs w:val="28"/>
    </w:rPr>
  </w:style>
  <w:style w:type="paragraph" w:customStyle="1" w:styleId="xl1048">
    <w:name w:val="xl1048"/>
    <w:basedOn w:val="a2"/>
    <w:rsid w:val="00BD174E"/>
    <w:pPr>
      <w:pBdr>
        <w:left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49">
    <w:name w:val="xl1049"/>
    <w:basedOn w:val="a2"/>
    <w:rsid w:val="00BD174E"/>
    <w:pPr>
      <w:pBdr>
        <w:left w:val="single" w:sz="8" w:space="0" w:color="auto"/>
        <w:bottom w:val="single" w:sz="4" w:space="0" w:color="auto"/>
      </w:pBdr>
      <w:shd w:val="clear" w:color="000000" w:fill="E6EFE5"/>
      <w:spacing w:before="100" w:beforeAutospacing="1" w:after="100" w:afterAutospacing="1"/>
      <w:jc w:val="center"/>
    </w:pPr>
    <w:rPr>
      <w:sz w:val="28"/>
      <w:szCs w:val="28"/>
    </w:rPr>
  </w:style>
  <w:style w:type="paragraph" w:customStyle="1" w:styleId="xl1050">
    <w:name w:val="xl1050"/>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51">
    <w:name w:val="xl1051"/>
    <w:basedOn w:val="a2"/>
    <w:rsid w:val="00BD174E"/>
    <w:pPr>
      <w:pBdr>
        <w:top w:val="single" w:sz="4" w:space="0" w:color="auto"/>
        <w:left w:val="single" w:sz="8" w:space="0" w:color="auto"/>
        <w:right w:val="single" w:sz="4" w:space="0" w:color="auto"/>
      </w:pBdr>
      <w:shd w:val="clear" w:color="000000" w:fill="E6EFE5"/>
      <w:spacing w:before="100" w:beforeAutospacing="1" w:after="100" w:afterAutospacing="1"/>
      <w:jc w:val="center"/>
      <w:textAlignment w:val="center"/>
    </w:pPr>
    <w:rPr>
      <w:b/>
      <w:bCs/>
      <w:sz w:val="28"/>
      <w:szCs w:val="28"/>
    </w:rPr>
  </w:style>
  <w:style w:type="paragraph" w:customStyle="1" w:styleId="xl1052">
    <w:name w:val="xl1052"/>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textAlignment w:val="center"/>
    </w:pPr>
    <w:rPr>
      <w:b/>
      <w:bCs/>
      <w:sz w:val="28"/>
      <w:szCs w:val="28"/>
    </w:rPr>
  </w:style>
  <w:style w:type="paragraph" w:customStyle="1" w:styleId="xl1053">
    <w:name w:val="xl1053"/>
    <w:basedOn w:val="a2"/>
    <w:rsid w:val="00BD174E"/>
    <w:pPr>
      <w:pBdr>
        <w:left w:val="single" w:sz="8"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054">
    <w:name w:val="xl1054"/>
    <w:basedOn w:val="a2"/>
    <w:rsid w:val="00BD174E"/>
    <w:pPr>
      <w:pBdr>
        <w:left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055">
    <w:name w:val="xl1055"/>
    <w:basedOn w:val="a2"/>
    <w:rsid w:val="00BD174E"/>
    <w:pPr>
      <w:pBdr>
        <w:left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56">
    <w:name w:val="xl1056"/>
    <w:basedOn w:val="a2"/>
    <w:rsid w:val="00BD174E"/>
    <w:pPr>
      <w:pBdr>
        <w:left w:val="single" w:sz="8" w:space="0" w:color="auto"/>
        <w:right w:val="single" w:sz="4" w:space="0" w:color="auto"/>
      </w:pBdr>
      <w:shd w:val="clear" w:color="000000" w:fill="E6EFE5"/>
      <w:spacing w:before="100" w:beforeAutospacing="1" w:after="100" w:afterAutospacing="1"/>
      <w:jc w:val="center"/>
      <w:textAlignment w:val="center"/>
    </w:pPr>
    <w:rPr>
      <w:i/>
      <w:iCs/>
    </w:rPr>
  </w:style>
  <w:style w:type="paragraph" w:customStyle="1" w:styleId="xl1057">
    <w:name w:val="xl1057"/>
    <w:basedOn w:val="a2"/>
    <w:rsid w:val="00BD174E"/>
    <w:pPr>
      <w:pBdr>
        <w:left w:val="single" w:sz="4" w:space="0" w:color="auto"/>
        <w:right w:val="single" w:sz="8" w:space="0" w:color="auto"/>
      </w:pBdr>
      <w:shd w:val="clear" w:color="000000" w:fill="E6EFE5"/>
      <w:spacing w:before="100" w:beforeAutospacing="1" w:after="100" w:afterAutospacing="1"/>
      <w:jc w:val="center"/>
      <w:textAlignment w:val="center"/>
    </w:pPr>
    <w:rPr>
      <w:i/>
      <w:iCs/>
    </w:rPr>
  </w:style>
  <w:style w:type="paragraph" w:customStyle="1" w:styleId="xl1058">
    <w:name w:val="xl1058"/>
    <w:basedOn w:val="a2"/>
    <w:rsid w:val="00BD174E"/>
    <w:pPr>
      <w:pBdr>
        <w:left w:val="single" w:sz="8" w:space="0" w:color="auto"/>
        <w:bottom w:val="single" w:sz="8"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1059">
    <w:name w:val="xl1059"/>
    <w:basedOn w:val="a2"/>
    <w:rsid w:val="00BD174E"/>
    <w:pPr>
      <w:pBdr>
        <w:left w:val="single" w:sz="4" w:space="0" w:color="auto"/>
        <w:bottom w:val="single" w:sz="8"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60">
    <w:name w:val="xl1060"/>
    <w:basedOn w:val="a2"/>
    <w:rsid w:val="00BD174E"/>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061">
    <w:name w:val="xl1061"/>
    <w:basedOn w:val="a2"/>
    <w:rsid w:val="00BD174E"/>
    <w:pPr>
      <w:pBdr>
        <w:right w:val="single" w:sz="8" w:space="0" w:color="auto"/>
      </w:pBdr>
      <w:shd w:val="clear" w:color="000000" w:fill="FFFFFF"/>
      <w:spacing w:before="100" w:beforeAutospacing="1" w:after="100" w:afterAutospacing="1"/>
      <w:jc w:val="center"/>
    </w:pPr>
    <w:rPr>
      <w:b/>
      <w:bCs/>
      <w:sz w:val="28"/>
      <w:szCs w:val="28"/>
    </w:rPr>
  </w:style>
  <w:style w:type="paragraph" w:customStyle="1" w:styleId="xl1062">
    <w:name w:val="xl1062"/>
    <w:basedOn w:val="a2"/>
    <w:rsid w:val="00BD174E"/>
    <w:pPr>
      <w:pBdr>
        <w:top w:val="single" w:sz="8" w:space="0" w:color="auto"/>
        <w:left w:val="single" w:sz="8"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063">
    <w:name w:val="xl1063"/>
    <w:basedOn w:val="a2"/>
    <w:rsid w:val="00BD174E"/>
    <w:pPr>
      <w:pBdr>
        <w:top w:val="single" w:sz="8" w:space="0" w:color="auto"/>
        <w:left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064">
    <w:name w:val="xl1064"/>
    <w:basedOn w:val="a2"/>
    <w:rsid w:val="00BD174E"/>
    <w:pPr>
      <w:pBdr>
        <w:left w:val="single" w:sz="8" w:space="0" w:color="auto"/>
        <w:right w:val="single" w:sz="4" w:space="0" w:color="auto"/>
      </w:pBdr>
      <w:shd w:val="clear" w:color="000000" w:fill="E6EFE5"/>
      <w:spacing w:before="100" w:beforeAutospacing="1" w:after="100" w:afterAutospacing="1"/>
      <w:jc w:val="right"/>
    </w:pPr>
  </w:style>
  <w:style w:type="paragraph" w:customStyle="1" w:styleId="xl1065">
    <w:name w:val="xl1065"/>
    <w:basedOn w:val="a2"/>
    <w:rsid w:val="00BD174E"/>
    <w:pPr>
      <w:pBdr>
        <w:left w:val="single" w:sz="4" w:space="0" w:color="auto"/>
        <w:right w:val="single" w:sz="8" w:space="0" w:color="auto"/>
      </w:pBdr>
      <w:shd w:val="clear" w:color="000000" w:fill="E6EFE5"/>
      <w:spacing w:before="100" w:beforeAutospacing="1" w:after="100" w:afterAutospacing="1"/>
      <w:jc w:val="right"/>
    </w:pPr>
  </w:style>
  <w:style w:type="paragraph" w:customStyle="1" w:styleId="xl1066">
    <w:name w:val="xl1066"/>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right"/>
    </w:pPr>
  </w:style>
  <w:style w:type="paragraph" w:customStyle="1" w:styleId="xl1067">
    <w:name w:val="xl1067"/>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right"/>
    </w:pPr>
  </w:style>
  <w:style w:type="paragraph" w:customStyle="1" w:styleId="xl1068">
    <w:name w:val="xl1068"/>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right"/>
    </w:pPr>
  </w:style>
  <w:style w:type="paragraph" w:customStyle="1" w:styleId="xl1069">
    <w:name w:val="xl1069"/>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right"/>
    </w:pPr>
  </w:style>
  <w:style w:type="paragraph" w:customStyle="1" w:styleId="xl1070">
    <w:name w:val="xl1070"/>
    <w:basedOn w:val="a2"/>
    <w:rsid w:val="00BD174E"/>
    <w:pPr>
      <w:pBdr>
        <w:left w:val="single" w:sz="8" w:space="0" w:color="auto"/>
      </w:pBdr>
      <w:shd w:val="clear" w:color="000000" w:fill="E6EFE5"/>
      <w:spacing w:before="100" w:beforeAutospacing="1" w:after="100" w:afterAutospacing="1"/>
      <w:jc w:val="center"/>
    </w:pPr>
    <w:rPr>
      <w:b/>
      <w:bCs/>
      <w:sz w:val="28"/>
      <w:szCs w:val="28"/>
    </w:rPr>
  </w:style>
  <w:style w:type="paragraph" w:customStyle="1" w:styleId="xl1071">
    <w:name w:val="xl1071"/>
    <w:basedOn w:val="a2"/>
    <w:rsid w:val="00BD174E"/>
    <w:pPr>
      <w:pBdr>
        <w:right w:val="single" w:sz="8" w:space="0" w:color="auto"/>
      </w:pBdr>
      <w:shd w:val="clear" w:color="000000" w:fill="E6EFE5"/>
      <w:spacing w:before="100" w:beforeAutospacing="1" w:after="100" w:afterAutospacing="1"/>
      <w:jc w:val="center"/>
    </w:pPr>
    <w:rPr>
      <w:b/>
      <w:bCs/>
      <w:sz w:val="28"/>
      <w:szCs w:val="28"/>
    </w:rPr>
  </w:style>
  <w:style w:type="paragraph" w:customStyle="1" w:styleId="xl1072">
    <w:name w:val="xl1072"/>
    <w:basedOn w:val="a2"/>
    <w:rsid w:val="00BD174E"/>
    <w:pPr>
      <w:pBdr>
        <w:left w:val="single" w:sz="8" w:space="0" w:color="auto"/>
      </w:pBdr>
      <w:shd w:val="clear" w:color="000000" w:fill="E6EFE5"/>
      <w:spacing w:before="100" w:beforeAutospacing="1" w:after="100" w:afterAutospacing="1"/>
      <w:jc w:val="center"/>
    </w:pPr>
    <w:rPr>
      <w:sz w:val="28"/>
      <w:szCs w:val="28"/>
    </w:rPr>
  </w:style>
  <w:style w:type="paragraph" w:customStyle="1" w:styleId="xl1073">
    <w:name w:val="xl1073"/>
    <w:basedOn w:val="a2"/>
    <w:rsid w:val="00BD174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b/>
      <w:bCs/>
      <w:sz w:val="28"/>
      <w:szCs w:val="28"/>
    </w:rPr>
  </w:style>
  <w:style w:type="paragraph" w:customStyle="1" w:styleId="xl1074">
    <w:name w:val="xl1074"/>
    <w:basedOn w:val="a2"/>
    <w:rsid w:val="00BD174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b/>
      <w:bCs/>
      <w:sz w:val="28"/>
      <w:szCs w:val="28"/>
    </w:rPr>
  </w:style>
  <w:style w:type="paragraph" w:customStyle="1" w:styleId="xl1075">
    <w:name w:val="xl1075"/>
    <w:basedOn w:val="a2"/>
    <w:rsid w:val="00BD174E"/>
    <w:pPr>
      <w:pBdr>
        <w:top w:val="single" w:sz="4" w:space="0" w:color="auto"/>
        <w:bottom w:val="single" w:sz="4" w:space="0" w:color="auto"/>
      </w:pBdr>
      <w:shd w:val="clear" w:color="000000" w:fill="EBF1DE"/>
      <w:spacing w:before="100" w:beforeAutospacing="1" w:after="100" w:afterAutospacing="1"/>
      <w:jc w:val="center"/>
    </w:pPr>
    <w:rPr>
      <w:b/>
      <w:bCs/>
      <w:color w:val="000000"/>
      <w:sz w:val="28"/>
      <w:szCs w:val="28"/>
    </w:rPr>
  </w:style>
  <w:style w:type="paragraph" w:customStyle="1" w:styleId="xl1076">
    <w:name w:val="xl1076"/>
    <w:basedOn w:val="a2"/>
    <w:rsid w:val="00BD174E"/>
    <w:pPr>
      <w:pBdr>
        <w:top w:val="single" w:sz="4" w:space="0" w:color="auto"/>
        <w:bottom w:val="single" w:sz="4" w:space="0" w:color="auto"/>
      </w:pBdr>
      <w:shd w:val="clear" w:color="000000" w:fill="FDE9D9"/>
      <w:spacing w:before="100" w:beforeAutospacing="1" w:after="100" w:afterAutospacing="1"/>
      <w:jc w:val="center"/>
    </w:pPr>
    <w:rPr>
      <w:b/>
      <w:bCs/>
      <w:color w:val="000000"/>
      <w:sz w:val="28"/>
      <w:szCs w:val="28"/>
    </w:rPr>
  </w:style>
  <w:style w:type="paragraph" w:customStyle="1" w:styleId="xl1077">
    <w:name w:val="xl1077"/>
    <w:basedOn w:val="a2"/>
    <w:rsid w:val="00BD174E"/>
    <w:pPr>
      <w:pBdr>
        <w:top w:val="single" w:sz="4" w:space="0" w:color="auto"/>
        <w:left w:val="single" w:sz="4" w:space="0" w:color="auto"/>
        <w:bottom w:val="single" w:sz="4" w:space="0" w:color="auto"/>
      </w:pBdr>
      <w:shd w:val="clear" w:color="000000" w:fill="EBF1DE"/>
      <w:spacing w:before="100" w:beforeAutospacing="1" w:after="100" w:afterAutospacing="1"/>
      <w:jc w:val="center"/>
    </w:pPr>
    <w:rPr>
      <w:b/>
      <w:bCs/>
      <w:color w:val="000000"/>
      <w:sz w:val="28"/>
      <w:szCs w:val="28"/>
    </w:rPr>
  </w:style>
  <w:style w:type="paragraph" w:customStyle="1" w:styleId="xl1078">
    <w:name w:val="xl1078"/>
    <w:basedOn w:val="a2"/>
    <w:rsid w:val="00BD174E"/>
    <w:pPr>
      <w:pBdr>
        <w:top w:val="single" w:sz="4" w:space="0" w:color="auto"/>
        <w:left w:val="single" w:sz="4" w:space="0" w:color="auto"/>
        <w:bottom w:val="single" w:sz="4" w:space="0" w:color="auto"/>
      </w:pBdr>
      <w:shd w:val="clear" w:color="000000" w:fill="FDE9D9"/>
      <w:spacing w:before="100" w:beforeAutospacing="1" w:after="100" w:afterAutospacing="1"/>
      <w:jc w:val="center"/>
    </w:pPr>
    <w:rPr>
      <w:b/>
      <w:bCs/>
      <w:color w:val="000000"/>
      <w:sz w:val="28"/>
      <w:szCs w:val="28"/>
    </w:rPr>
  </w:style>
  <w:style w:type="paragraph" w:customStyle="1" w:styleId="xl1079">
    <w:name w:val="xl1079"/>
    <w:basedOn w:val="a2"/>
    <w:rsid w:val="00BD174E"/>
    <w:pPr>
      <w:pBdr>
        <w:top w:val="single" w:sz="4" w:space="0" w:color="auto"/>
        <w:left w:val="single" w:sz="4" w:space="0" w:color="auto"/>
      </w:pBdr>
      <w:shd w:val="clear" w:color="000000" w:fill="EBF1DE"/>
      <w:spacing w:before="100" w:beforeAutospacing="1" w:after="100" w:afterAutospacing="1"/>
      <w:jc w:val="center"/>
    </w:pPr>
    <w:rPr>
      <w:b/>
      <w:bCs/>
      <w:color w:val="000000"/>
      <w:sz w:val="28"/>
      <w:szCs w:val="28"/>
    </w:rPr>
  </w:style>
  <w:style w:type="paragraph" w:customStyle="1" w:styleId="xl1080">
    <w:name w:val="xl1080"/>
    <w:basedOn w:val="a2"/>
    <w:rsid w:val="00BD174E"/>
    <w:pPr>
      <w:pBdr>
        <w:top w:val="single" w:sz="4" w:space="0" w:color="auto"/>
        <w:left w:val="single" w:sz="4" w:space="0" w:color="auto"/>
      </w:pBdr>
      <w:shd w:val="clear" w:color="000000" w:fill="FDE9D9"/>
      <w:spacing w:before="100" w:beforeAutospacing="1" w:after="100" w:afterAutospacing="1"/>
      <w:jc w:val="center"/>
    </w:pPr>
    <w:rPr>
      <w:b/>
      <w:bCs/>
      <w:color w:val="000000"/>
      <w:sz w:val="28"/>
      <w:szCs w:val="28"/>
    </w:rPr>
  </w:style>
  <w:style w:type="paragraph" w:customStyle="1" w:styleId="xl1081">
    <w:name w:val="xl1081"/>
    <w:basedOn w:val="a2"/>
    <w:rsid w:val="00BD174E"/>
    <w:pPr>
      <w:pBdr>
        <w:top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082">
    <w:name w:val="xl1082"/>
    <w:basedOn w:val="a2"/>
    <w:rsid w:val="00BD174E"/>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b/>
      <w:bCs/>
      <w:sz w:val="28"/>
      <w:szCs w:val="28"/>
    </w:rPr>
  </w:style>
  <w:style w:type="paragraph" w:customStyle="1" w:styleId="xl1083">
    <w:name w:val="xl1083"/>
    <w:basedOn w:val="a2"/>
    <w:rsid w:val="00BD174E"/>
    <w:pPr>
      <w:pBdr>
        <w:top w:val="single" w:sz="4" w:space="0" w:color="auto"/>
        <w:left w:val="single" w:sz="4" w:space="0" w:color="auto"/>
        <w:right w:val="single" w:sz="4" w:space="0" w:color="auto"/>
      </w:pBdr>
      <w:shd w:val="clear" w:color="000000" w:fill="EBF1DE"/>
      <w:spacing w:before="100" w:beforeAutospacing="1" w:after="100" w:afterAutospacing="1"/>
      <w:jc w:val="center"/>
    </w:pPr>
    <w:rPr>
      <w:i/>
      <w:iCs/>
    </w:rPr>
  </w:style>
  <w:style w:type="paragraph" w:customStyle="1" w:styleId="xl1084">
    <w:name w:val="xl1084"/>
    <w:basedOn w:val="a2"/>
    <w:rsid w:val="00BD174E"/>
    <w:pPr>
      <w:pBdr>
        <w:top w:val="single" w:sz="4" w:space="0" w:color="auto"/>
        <w:left w:val="single" w:sz="4" w:space="0" w:color="auto"/>
        <w:right w:val="single" w:sz="4" w:space="0" w:color="auto"/>
      </w:pBdr>
      <w:shd w:val="clear" w:color="000000" w:fill="FDE9D9"/>
      <w:spacing w:before="100" w:beforeAutospacing="1" w:after="100" w:afterAutospacing="1"/>
      <w:jc w:val="center"/>
    </w:pPr>
    <w:rPr>
      <w:i/>
      <w:iCs/>
    </w:rPr>
  </w:style>
  <w:style w:type="paragraph" w:customStyle="1" w:styleId="xl1085">
    <w:name w:val="xl1085"/>
    <w:basedOn w:val="a2"/>
    <w:rsid w:val="00BD174E"/>
    <w:pPr>
      <w:pBdr>
        <w:top w:val="single" w:sz="4" w:space="0" w:color="auto"/>
        <w:left w:val="single" w:sz="4" w:space="0" w:color="auto"/>
      </w:pBdr>
      <w:shd w:val="clear" w:color="000000" w:fill="FDE9D9"/>
      <w:spacing w:before="100" w:beforeAutospacing="1" w:after="100" w:afterAutospacing="1"/>
      <w:jc w:val="center"/>
    </w:pPr>
    <w:rPr>
      <w:i/>
      <w:iCs/>
    </w:rPr>
  </w:style>
  <w:style w:type="paragraph" w:customStyle="1" w:styleId="xl1086">
    <w:name w:val="xl1086"/>
    <w:basedOn w:val="a2"/>
    <w:rsid w:val="00BD174E"/>
    <w:pPr>
      <w:pBdr>
        <w:top w:val="single" w:sz="4" w:space="0" w:color="auto"/>
        <w:left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087">
    <w:name w:val="xl1087"/>
    <w:basedOn w:val="a2"/>
    <w:rsid w:val="00BD174E"/>
    <w:pPr>
      <w:pBdr>
        <w:top w:val="single" w:sz="4" w:space="0" w:color="auto"/>
      </w:pBdr>
      <w:shd w:val="clear" w:color="000000" w:fill="FFFFFF"/>
      <w:spacing w:before="100" w:beforeAutospacing="1" w:after="100" w:afterAutospacing="1"/>
      <w:jc w:val="center"/>
    </w:pPr>
    <w:rPr>
      <w:i/>
      <w:iCs/>
    </w:rPr>
  </w:style>
  <w:style w:type="paragraph" w:customStyle="1" w:styleId="xl1088">
    <w:name w:val="xl1088"/>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089">
    <w:name w:val="xl1089"/>
    <w:basedOn w:val="a2"/>
    <w:rsid w:val="00BD174E"/>
    <w:pPr>
      <w:pBdr>
        <w:top w:val="single" w:sz="4" w:space="0" w:color="auto"/>
        <w:left w:val="single" w:sz="4" w:space="0" w:color="auto"/>
        <w:right w:val="single" w:sz="4" w:space="0" w:color="auto"/>
      </w:pBdr>
      <w:shd w:val="clear" w:color="000000" w:fill="E6EFE5"/>
      <w:spacing w:before="100" w:beforeAutospacing="1" w:after="100" w:afterAutospacing="1"/>
      <w:jc w:val="center"/>
    </w:pPr>
    <w:rPr>
      <w:i/>
      <w:iCs/>
    </w:rPr>
  </w:style>
  <w:style w:type="paragraph" w:customStyle="1" w:styleId="xl1090">
    <w:name w:val="xl1090"/>
    <w:basedOn w:val="a2"/>
    <w:rsid w:val="00BD174E"/>
    <w:pPr>
      <w:pBdr>
        <w:top w:val="single" w:sz="4" w:space="0" w:color="auto"/>
        <w:left w:val="single" w:sz="4" w:space="0" w:color="auto"/>
        <w:bottom w:val="single" w:sz="4" w:space="0" w:color="auto"/>
      </w:pBdr>
      <w:shd w:val="clear" w:color="000000" w:fill="EBF1DE"/>
      <w:spacing w:before="100" w:beforeAutospacing="1" w:after="100" w:afterAutospacing="1"/>
      <w:jc w:val="center"/>
    </w:pPr>
    <w:rPr>
      <w:i/>
      <w:iCs/>
      <w:color w:val="000000"/>
    </w:rPr>
  </w:style>
  <w:style w:type="paragraph" w:customStyle="1" w:styleId="xl1091">
    <w:name w:val="xl1091"/>
    <w:basedOn w:val="a2"/>
    <w:rsid w:val="00BD174E"/>
    <w:pPr>
      <w:pBdr>
        <w:top w:val="single" w:sz="4" w:space="0" w:color="auto"/>
        <w:left w:val="single" w:sz="4" w:space="0" w:color="auto"/>
        <w:bottom w:val="single" w:sz="4" w:space="0" w:color="auto"/>
      </w:pBdr>
      <w:shd w:val="clear" w:color="000000" w:fill="FDE9D9"/>
      <w:spacing w:before="100" w:beforeAutospacing="1" w:after="100" w:afterAutospacing="1"/>
      <w:jc w:val="center"/>
    </w:pPr>
    <w:rPr>
      <w:i/>
      <w:iCs/>
      <w:color w:val="000000"/>
    </w:rPr>
  </w:style>
  <w:style w:type="paragraph" w:customStyle="1" w:styleId="xl1092">
    <w:name w:val="xl1092"/>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000000"/>
    </w:rPr>
  </w:style>
  <w:style w:type="paragraph" w:customStyle="1" w:styleId="xl1093">
    <w:name w:val="xl1093"/>
    <w:basedOn w:val="a2"/>
    <w:rsid w:val="00BD174E"/>
    <w:pPr>
      <w:pBdr>
        <w:top w:val="single" w:sz="4" w:space="0" w:color="auto"/>
        <w:bottom w:val="single" w:sz="4" w:space="0" w:color="auto"/>
      </w:pBdr>
      <w:shd w:val="clear" w:color="000000" w:fill="FFFFFF"/>
      <w:spacing w:before="100" w:beforeAutospacing="1" w:after="100" w:afterAutospacing="1"/>
      <w:jc w:val="center"/>
    </w:pPr>
    <w:rPr>
      <w:i/>
      <w:iCs/>
      <w:color w:val="000000"/>
    </w:rPr>
  </w:style>
  <w:style w:type="paragraph" w:customStyle="1" w:styleId="xl1094">
    <w:name w:val="xl1094"/>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095">
    <w:name w:val="xl1095"/>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pPr>
    <w:rPr>
      <w:i/>
      <w:iCs/>
      <w:color w:val="000000"/>
    </w:rPr>
  </w:style>
  <w:style w:type="paragraph" w:customStyle="1" w:styleId="xl1096">
    <w:name w:val="xl1096"/>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pPr>
    <w:rPr>
      <w:i/>
      <w:iCs/>
      <w:color w:val="000000"/>
    </w:rPr>
  </w:style>
  <w:style w:type="paragraph" w:customStyle="1" w:styleId="xl1097">
    <w:name w:val="xl1097"/>
    <w:basedOn w:val="a2"/>
    <w:rsid w:val="00BD17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1098">
    <w:name w:val="xl1098"/>
    <w:basedOn w:val="a2"/>
    <w:rsid w:val="00BD17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099">
    <w:name w:val="xl1099"/>
    <w:basedOn w:val="a2"/>
    <w:rsid w:val="00BD174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1100">
    <w:name w:val="xl1100"/>
    <w:basedOn w:val="a2"/>
    <w:rsid w:val="00BD174E"/>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sz w:val="28"/>
      <w:szCs w:val="28"/>
    </w:rPr>
  </w:style>
  <w:style w:type="paragraph" w:customStyle="1" w:styleId="xl1101">
    <w:name w:val="xl1101"/>
    <w:basedOn w:val="a2"/>
    <w:rsid w:val="00BD17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8"/>
      <w:szCs w:val="28"/>
    </w:rPr>
  </w:style>
  <w:style w:type="paragraph" w:customStyle="1" w:styleId="xl1102">
    <w:name w:val="xl1102"/>
    <w:basedOn w:val="a2"/>
    <w:rsid w:val="00BD174E"/>
    <w:pPr>
      <w:pBdr>
        <w:top w:val="single" w:sz="4" w:space="0" w:color="auto"/>
        <w:left w:val="single" w:sz="8" w:space="0" w:color="auto"/>
        <w:bottom w:val="single" w:sz="8" w:space="0" w:color="auto"/>
        <w:right w:val="single" w:sz="4" w:space="0" w:color="auto"/>
      </w:pBdr>
      <w:shd w:val="clear" w:color="000000" w:fill="E6EFE5"/>
      <w:spacing w:before="100" w:beforeAutospacing="1" w:after="100" w:afterAutospacing="1"/>
    </w:pPr>
    <w:rPr>
      <w:sz w:val="28"/>
      <w:szCs w:val="28"/>
    </w:rPr>
  </w:style>
  <w:style w:type="paragraph" w:customStyle="1" w:styleId="xl1103">
    <w:name w:val="xl1103"/>
    <w:basedOn w:val="a2"/>
    <w:rsid w:val="00BD174E"/>
    <w:pPr>
      <w:pBdr>
        <w:top w:val="single" w:sz="4" w:space="0" w:color="auto"/>
        <w:left w:val="single" w:sz="4" w:space="0" w:color="auto"/>
        <w:bottom w:val="single" w:sz="8" w:space="0" w:color="auto"/>
        <w:right w:val="single" w:sz="4" w:space="0" w:color="auto"/>
      </w:pBdr>
      <w:shd w:val="clear" w:color="000000" w:fill="E6EFE5"/>
      <w:spacing w:before="100" w:beforeAutospacing="1" w:after="100" w:afterAutospacing="1"/>
    </w:pPr>
    <w:rPr>
      <w:sz w:val="28"/>
      <w:szCs w:val="28"/>
    </w:rPr>
  </w:style>
  <w:style w:type="paragraph" w:customStyle="1" w:styleId="xl1104">
    <w:name w:val="xl1104"/>
    <w:basedOn w:val="a2"/>
    <w:rsid w:val="00BD174E"/>
    <w:pPr>
      <w:pBdr>
        <w:top w:val="single" w:sz="4" w:space="0" w:color="auto"/>
        <w:left w:val="single" w:sz="4" w:space="0" w:color="auto"/>
        <w:bottom w:val="single" w:sz="8" w:space="0" w:color="auto"/>
        <w:right w:val="single" w:sz="8" w:space="0" w:color="auto"/>
      </w:pBdr>
      <w:shd w:val="clear" w:color="000000" w:fill="E6EFE5"/>
      <w:spacing w:before="100" w:beforeAutospacing="1" w:after="100" w:afterAutospacing="1"/>
    </w:pPr>
    <w:rPr>
      <w:sz w:val="28"/>
      <w:szCs w:val="28"/>
    </w:rPr>
  </w:style>
  <w:style w:type="paragraph" w:customStyle="1" w:styleId="xl1105">
    <w:name w:val="xl1105"/>
    <w:basedOn w:val="a2"/>
    <w:rsid w:val="00BD174E"/>
    <w:pPr>
      <w:pBdr>
        <w:left w:val="single" w:sz="4" w:space="0" w:color="auto"/>
      </w:pBdr>
      <w:spacing w:before="100" w:beforeAutospacing="1" w:after="100" w:afterAutospacing="1"/>
    </w:pPr>
    <w:rPr>
      <w:sz w:val="22"/>
      <w:szCs w:val="22"/>
    </w:rPr>
  </w:style>
  <w:style w:type="paragraph" w:customStyle="1" w:styleId="xl1106">
    <w:name w:val="xl1106"/>
    <w:basedOn w:val="a2"/>
    <w:rsid w:val="00BD174E"/>
    <w:pPr>
      <w:pBdr>
        <w:left w:val="single" w:sz="4" w:space="0" w:color="auto"/>
        <w:bottom w:val="single" w:sz="4" w:space="0" w:color="auto"/>
      </w:pBdr>
      <w:spacing w:before="100" w:beforeAutospacing="1" w:after="100" w:afterAutospacing="1"/>
    </w:pPr>
    <w:rPr>
      <w:sz w:val="22"/>
      <w:szCs w:val="22"/>
    </w:rPr>
  </w:style>
  <w:style w:type="paragraph" w:customStyle="1" w:styleId="xl1107">
    <w:name w:val="xl1107"/>
    <w:basedOn w:val="a2"/>
    <w:rsid w:val="00BD174E"/>
    <w:pPr>
      <w:pBdr>
        <w:bottom w:val="single" w:sz="4" w:space="0" w:color="auto"/>
      </w:pBdr>
      <w:spacing w:before="100" w:beforeAutospacing="1" w:after="100" w:afterAutospacing="1"/>
      <w:jc w:val="center"/>
    </w:pPr>
    <w:rPr>
      <w:i/>
      <w:iCs/>
      <w:color w:val="FF0000"/>
      <w:sz w:val="22"/>
      <w:szCs w:val="22"/>
    </w:rPr>
  </w:style>
  <w:style w:type="paragraph" w:customStyle="1" w:styleId="xl1108">
    <w:name w:val="xl1108"/>
    <w:basedOn w:val="a2"/>
    <w:rsid w:val="00BD174E"/>
    <w:pPr>
      <w:pBdr>
        <w:left w:val="single" w:sz="4" w:space="0" w:color="auto"/>
      </w:pBdr>
      <w:spacing w:before="100" w:beforeAutospacing="1" w:after="100" w:afterAutospacing="1"/>
      <w:jc w:val="center"/>
    </w:pPr>
    <w:rPr>
      <w:sz w:val="22"/>
      <w:szCs w:val="22"/>
    </w:rPr>
  </w:style>
  <w:style w:type="paragraph" w:customStyle="1" w:styleId="xl1109">
    <w:name w:val="xl1109"/>
    <w:basedOn w:val="a2"/>
    <w:rsid w:val="00BD174E"/>
    <w:pPr>
      <w:pBdr>
        <w:left w:val="single" w:sz="4" w:space="0" w:color="auto"/>
        <w:bottom w:val="single" w:sz="4" w:space="0" w:color="auto"/>
      </w:pBdr>
      <w:spacing w:before="100" w:beforeAutospacing="1" w:after="100" w:afterAutospacing="1"/>
      <w:jc w:val="center"/>
    </w:pPr>
    <w:rPr>
      <w:sz w:val="22"/>
      <w:szCs w:val="22"/>
    </w:rPr>
  </w:style>
  <w:style w:type="paragraph" w:customStyle="1" w:styleId="xl1110">
    <w:name w:val="xl1110"/>
    <w:basedOn w:val="a2"/>
    <w:rsid w:val="00BD174E"/>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11">
    <w:name w:val="xl1111"/>
    <w:basedOn w:val="a2"/>
    <w:rsid w:val="00BD174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112">
    <w:name w:val="xl1112"/>
    <w:basedOn w:val="a2"/>
    <w:rsid w:val="00BD174E"/>
    <w:pPr>
      <w:pBdr>
        <w:left w:val="single" w:sz="4" w:space="0" w:color="auto"/>
        <w:bottom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113">
    <w:name w:val="xl1113"/>
    <w:basedOn w:val="a2"/>
    <w:rsid w:val="00BD174E"/>
    <w:pPr>
      <w:pBdr>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114">
    <w:name w:val="xl1114"/>
    <w:basedOn w:val="a2"/>
    <w:rsid w:val="00BD174E"/>
    <w:pPr>
      <w:pBdr>
        <w:top w:val="single" w:sz="4" w:space="0" w:color="auto"/>
        <w:left w:val="single" w:sz="4" w:space="0" w:color="auto"/>
        <w:bottom w:val="single" w:sz="4" w:space="0" w:color="auto"/>
      </w:pBdr>
      <w:spacing w:before="100" w:beforeAutospacing="1" w:after="100" w:afterAutospacing="1"/>
      <w:jc w:val="center"/>
      <w:textAlignment w:val="center"/>
    </w:pPr>
    <w:rPr>
      <w:i/>
      <w:iCs/>
      <w:color w:val="000000"/>
      <w:sz w:val="22"/>
      <w:szCs w:val="22"/>
    </w:rPr>
  </w:style>
  <w:style w:type="paragraph" w:customStyle="1" w:styleId="xl1115">
    <w:name w:val="xl1115"/>
    <w:basedOn w:val="a2"/>
    <w:rsid w:val="00BD174E"/>
    <w:pPr>
      <w:pBdr>
        <w:top w:val="single" w:sz="8" w:space="0" w:color="auto"/>
      </w:pBdr>
      <w:spacing w:before="100" w:beforeAutospacing="1" w:after="100" w:afterAutospacing="1"/>
      <w:jc w:val="center"/>
    </w:pPr>
    <w:rPr>
      <w:b/>
      <w:bCs/>
      <w:sz w:val="28"/>
      <w:szCs w:val="28"/>
    </w:rPr>
  </w:style>
  <w:style w:type="paragraph" w:customStyle="1" w:styleId="xl1116">
    <w:name w:val="xl1116"/>
    <w:basedOn w:val="a2"/>
    <w:rsid w:val="00BD174E"/>
    <w:pPr>
      <w:pBdr>
        <w:bottom w:val="single" w:sz="4" w:space="0" w:color="auto"/>
      </w:pBdr>
      <w:spacing w:before="100" w:beforeAutospacing="1" w:after="100" w:afterAutospacing="1"/>
      <w:jc w:val="center"/>
    </w:pPr>
    <w:rPr>
      <w:b/>
      <w:bCs/>
      <w:i/>
      <w:iCs/>
      <w:color w:val="FF0000"/>
      <w:sz w:val="28"/>
      <w:szCs w:val="28"/>
    </w:rPr>
  </w:style>
  <w:style w:type="paragraph" w:customStyle="1" w:styleId="xl1117">
    <w:name w:val="xl1117"/>
    <w:basedOn w:val="a2"/>
    <w:rsid w:val="00BD174E"/>
    <w:pPr>
      <w:spacing w:before="100" w:beforeAutospacing="1" w:after="100" w:afterAutospacing="1"/>
      <w:jc w:val="center"/>
    </w:pPr>
    <w:rPr>
      <w:b/>
      <w:bCs/>
      <w:sz w:val="28"/>
      <w:szCs w:val="28"/>
    </w:rPr>
  </w:style>
  <w:style w:type="paragraph" w:customStyle="1" w:styleId="xl1118">
    <w:name w:val="xl1118"/>
    <w:basedOn w:val="a2"/>
    <w:rsid w:val="00BD174E"/>
    <w:pPr>
      <w:pBdr>
        <w:left w:val="single" w:sz="4" w:space="0" w:color="auto"/>
      </w:pBdr>
      <w:spacing w:before="100" w:beforeAutospacing="1" w:after="100" w:afterAutospacing="1"/>
      <w:jc w:val="center"/>
    </w:pPr>
    <w:rPr>
      <w:b/>
      <w:bCs/>
      <w:sz w:val="28"/>
      <w:szCs w:val="28"/>
    </w:rPr>
  </w:style>
  <w:style w:type="paragraph" w:customStyle="1" w:styleId="xl1119">
    <w:name w:val="xl1119"/>
    <w:basedOn w:val="a2"/>
    <w:rsid w:val="00BD174E"/>
    <w:pPr>
      <w:pBdr>
        <w:left w:val="single" w:sz="4" w:space="0" w:color="auto"/>
        <w:bottom w:val="single" w:sz="4" w:space="0" w:color="auto"/>
      </w:pBdr>
      <w:spacing w:before="100" w:beforeAutospacing="1" w:after="100" w:afterAutospacing="1"/>
      <w:jc w:val="center"/>
    </w:pPr>
    <w:rPr>
      <w:b/>
      <w:bCs/>
      <w:sz w:val="28"/>
      <w:szCs w:val="28"/>
    </w:rPr>
  </w:style>
  <w:style w:type="paragraph" w:customStyle="1" w:styleId="xl1120">
    <w:name w:val="xl1120"/>
    <w:basedOn w:val="a2"/>
    <w:rsid w:val="00BD174E"/>
    <w:pPr>
      <w:pBdr>
        <w:top w:val="single" w:sz="4"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1121">
    <w:name w:val="xl1121"/>
    <w:basedOn w:val="a2"/>
    <w:rsid w:val="00BD174E"/>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122">
    <w:name w:val="xl1122"/>
    <w:basedOn w:val="a2"/>
    <w:rsid w:val="00BD174E"/>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23">
    <w:name w:val="xl1123"/>
    <w:basedOn w:val="a2"/>
    <w:rsid w:val="00BD174E"/>
    <w:pPr>
      <w:pBdr>
        <w:top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24">
    <w:name w:val="xl1124"/>
    <w:basedOn w:val="a2"/>
    <w:rsid w:val="00BD174E"/>
    <w:pPr>
      <w:pBdr>
        <w:top w:val="single" w:sz="4" w:space="0" w:color="auto"/>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25">
    <w:name w:val="xl1125"/>
    <w:basedOn w:val="a2"/>
    <w:rsid w:val="00BD174E"/>
    <w:pPr>
      <w:pBdr>
        <w:top w:val="single" w:sz="8" w:space="0" w:color="auto"/>
        <w:left w:val="single" w:sz="4" w:space="0" w:color="auto"/>
        <w:right w:val="single" w:sz="4" w:space="0" w:color="auto"/>
      </w:pBdr>
      <w:shd w:val="clear" w:color="000000" w:fill="FFC000"/>
      <w:spacing w:before="100" w:beforeAutospacing="1" w:after="100" w:afterAutospacing="1"/>
      <w:jc w:val="center"/>
    </w:pPr>
    <w:rPr>
      <w:b/>
      <w:bCs/>
      <w:sz w:val="28"/>
      <w:szCs w:val="28"/>
    </w:rPr>
  </w:style>
  <w:style w:type="paragraph" w:customStyle="1" w:styleId="xl1126">
    <w:name w:val="xl1126"/>
    <w:basedOn w:val="a2"/>
    <w:rsid w:val="00BD174E"/>
    <w:pPr>
      <w:pBdr>
        <w:top w:val="single" w:sz="8" w:space="0" w:color="auto"/>
      </w:pBdr>
      <w:shd w:val="clear" w:color="000000" w:fill="FDF2DB"/>
      <w:spacing w:before="100" w:beforeAutospacing="1" w:after="100" w:afterAutospacing="1"/>
      <w:jc w:val="center"/>
      <w:textAlignment w:val="center"/>
    </w:pPr>
  </w:style>
  <w:style w:type="paragraph" w:customStyle="1" w:styleId="xl1127">
    <w:name w:val="xl1127"/>
    <w:basedOn w:val="a2"/>
    <w:rsid w:val="00BD174E"/>
    <w:pPr>
      <w:pBdr>
        <w:left w:val="single" w:sz="4" w:space="0" w:color="auto"/>
      </w:pBdr>
      <w:shd w:val="clear" w:color="000000" w:fill="FDF2DB"/>
      <w:spacing w:before="100" w:beforeAutospacing="1" w:after="100" w:afterAutospacing="1"/>
      <w:jc w:val="center"/>
      <w:textAlignment w:val="center"/>
    </w:pPr>
  </w:style>
  <w:style w:type="paragraph" w:customStyle="1" w:styleId="xl1128">
    <w:name w:val="xl1128"/>
    <w:basedOn w:val="a2"/>
    <w:rsid w:val="00BD174E"/>
    <w:pPr>
      <w:shd w:val="clear" w:color="000000" w:fill="FDF2DB"/>
      <w:spacing w:before="100" w:beforeAutospacing="1" w:after="100" w:afterAutospacing="1"/>
      <w:jc w:val="center"/>
      <w:textAlignment w:val="center"/>
    </w:pPr>
  </w:style>
  <w:style w:type="paragraph" w:customStyle="1" w:styleId="xl1129">
    <w:name w:val="xl1129"/>
    <w:basedOn w:val="a2"/>
    <w:rsid w:val="00BD174E"/>
    <w:pPr>
      <w:pBdr>
        <w:left w:val="single" w:sz="4" w:space="0" w:color="auto"/>
        <w:right w:val="single" w:sz="4" w:space="0" w:color="auto"/>
      </w:pBdr>
      <w:shd w:val="clear" w:color="000000" w:fill="E6EFE5"/>
      <w:spacing w:before="100" w:beforeAutospacing="1" w:after="100" w:afterAutospacing="1"/>
      <w:jc w:val="right"/>
    </w:pPr>
  </w:style>
  <w:style w:type="paragraph" w:customStyle="1" w:styleId="xl1130">
    <w:name w:val="xl1130"/>
    <w:basedOn w:val="a2"/>
    <w:rsid w:val="00BD174E"/>
    <w:pPr>
      <w:pBdr>
        <w:left w:val="single" w:sz="4" w:space="0" w:color="auto"/>
      </w:pBdr>
      <w:shd w:val="clear" w:color="000000" w:fill="FFFFFF"/>
      <w:spacing w:before="100" w:beforeAutospacing="1" w:after="100" w:afterAutospacing="1"/>
      <w:jc w:val="right"/>
    </w:pPr>
  </w:style>
  <w:style w:type="paragraph" w:customStyle="1" w:styleId="xl1131">
    <w:name w:val="xl1131"/>
    <w:basedOn w:val="a2"/>
    <w:rsid w:val="00BD174E"/>
    <w:pPr>
      <w:pBdr>
        <w:left w:val="single" w:sz="8" w:space="0" w:color="auto"/>
        <w:right w:val="single" w:sz="4" w:space="0" w:color="auto"/>
      </w:pBdr>
      <w:shd w:val="clear" w:color="000000" w:fill="E6EFE5"/>
      <w:spacing w:before="100" w:beforeAutospacing="1" w:after="100" w:afterAutospacing="1"/>
      <w:jc w:val="right"/>
    </w:pPr>
  </w:style>
  <w:style w:type="paragraph" w:customStyle="1" w:styleId="xl1132">
    <w:name w:val="xl1132"/>
    <w:basedOn w:val="a2"/>
    <w:rsid w:val="00BD174E"/>
    <w:pPr>
      <w:pBdr>
        <w:left w:val="single" w:sz="4" w:space="0" w:color="auto"/>
        <w:right w:val="single" w:sz="8" w:space="0" w:color="auto"/>
      </w:pBdr>
      <w:shd w:val="clear" w:color="000000" w:fill="E6EFE5"/>
      <w:spacing w:before="100" w:beforeAutospacing="1" w:after="100" w:afterAutospacing="1"/>
      <w:jc w:val="right"/>
    </w:pPr>
  </w:style>
  <w:style w:type="paragraph" w:customStyle="1" w:styleId="xl1133">
    <w:name w:val="xl1133"/>
    <w:basedOn w:val="a2"/>
    <w:rsid w:val="00BD174E"/>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34">
    <w:name w:val="xl1134"/>
    <w:basedOn w:val="a2"/>
    <w:rsid w:val="00BD174E"/>
    <w:pPr>
      <w:pBdr>
        <w:top w:val="single" w:sz="4" w:space="0" w:color="auto"/>
        <w:left w:val="single" w:sz="4" w:space="0" w:color="auto"/>
      </w:pBdr>
      <w:shd w:val="clear" w:color="000000" w:fill="EBF1DE"/>
      <w:spacing w:before="100" w:beforeAutospacing="1" w:after="100" w:afterAutospacing="1"/>
      <w:jc w:val="center"/>
      <w:textAlignment w:val="center"/>
    </w:pPr>
    <w:rPr>
      <w:b/>
      <w:bCs/>
      <w:sz w:val="28"/>
      <w:szCs w:val="28"/>
    </w:rPr>
  </w:style>
  <w:style w:type="paragraph" w:customStyle="1" w:styleId="xl1135">
    <w:name w:val="xl1135"/>
    <w:basedOn w:val="a2"/>
    <w:rsid w:val="00BD174E"/>
    <w:pPr>
      <w:pBdr>
        <w:left w:val="single" w:sz="4" w:space="0" w:color="auto"/>
      </w:pBdr>
      <w:shd w:val="clear" w:color="000000" w:fill="EBF1DE"/>
      <w:spacing w:before="100" w:beforeAutospacing="1" w:after="100" w:afterAutospacing="1"/>
      <w:jc w:val="center"/>
      <w:textAlignment w:val="center"/>
    </w:pPr>
    <w:rPr>
      <w:i/>
      <w:iCs/>
      <w:sz w:val="28"/>
      <w:szCs w:val="28"/>
    </w:rPr>
  </w:style>
  <w:style w:type="paragraph" w:customStyle="1" w:styleId="xl1136">
    <w:name w:val="xl1136"/>
    <w:basedOn w:val="a2"/>
    <w:rsid w:val="00BD174E"/>
    <w:pPr>
      <w:pBdr>
        <w:left w:val="single" w:sz="4" w:space="0" w:color="auto"/>
        <w:bottom w:val="single" w:sz="8" w:space="0" w:color="auto"/>
      </w:pBdr>
      <w:shd w:val="clear" w:color="000000" w:fill="EBF1DE"/>
      <w:spacing w:before="100" w:beforeAutospacing="1" w:after="100" w:afterAutospacing="1"/>
      <w:jc w:val="center"/>
    </w:pPr>
    <w:rPr>
      <w:sz w:val="28"/>
      <w:szCs w:val="28"/>
    </w:rPr>
  </w:style>
  <w:style w:type="paragraph" w:customStyle="1" w:styleId="xl1137">
    <w:name w:val="xl1137"/>
    <w:basedOn w:val="a2"/>
    <w:rsid w:val="00BD174E"/>
    <w:pPr>
      <w:pBdr>
        <w:top w:val="single" w:sz="4" w:space="0" w:color="auto"/>
        <w:left w:val="single" w:sz="4" w:space="0" w:color="auto"/>
      </w:pBdr>
      <w:shd w:val="clear" w:color="000000" w:fill="EBF1DE"/>
      <w:spacing w:before="100" w:beforeAutospacing="1" w:after="100" w:afterAutospacing="1"/>
      <w:jc w:val="center"/>
    </w:pPr>
    <w:rPr>
      <w:i/>
      <w:iCs/>
    </w:rPr>
  </w:style>
  <w:style w:type="paragraph" w:customStyle="1" w:styleId="xl1138">
    <w:name w:val="xl1138"/>
    <w:basedOn w:val="a2"/>
    <w:rsid w:val="00BD174E"/>
    <w:pPr>
      <w:pBdr>
        <w:left w:val="single" w:sz="4" w:space="0" w:color="auto"/>
        <w:bottom w:val="single" w:sz="4" w:space="0" w:color="auto"/>
      </w:pBdr>
      <w:shd w:val="clear" w:color="000000" w:fill="FDE9D9"/>
      <w:spacing w:before="100" w:beforeAutospacing="1" w:after="100" w:afterAutospacing="1"/>
      <w:jc w:val="center"/>
      <w:textAlignment w:val="center"/>
    </w:pPr>
  </w:style>
  <w:style w:type="paragraph" w:customStyle="1" w:styleId="xl1139">
    <w:name w:val="xl1139"/>
    <w:basedOn w:val="a2"/>
    <w:rsid w:val="00BD174E"/>
    <w:pPr>
      <w:pBdr>
        <w:top w:val="single" w:sz="4" w:space="0" w:color="auto"/>
        <w:bottom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40">
    <w:name w:val="xl1140"/>
    <w:basedOn w:val="a2"/>
    <w:rsid w:val="00BD174E"/>
    <w:pPr>
      <w:pBdr>
        <w:top w:val="single" w:sz="4" w:space="0" w:color="auto"/>
        <w:bottom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41">
    <w:name w:val="xl1141"/>
    <w:basedOn w:val="a2"/>
    <w:rsid w:val="00BD174E"/>
    <w:pPr>
      <w:pBdr>
        <w:top w:val="single" w:sz="4" w:space="0" w:color="auto"/>
        <w:bottom w:val="single" w:sz="4" w:space="0" w:color="auto"/>
        <w:right w:val="single" w:sz="4" w:space="0" w:color="auto"/>
      </w:pBdr>
      <w:shd w:val="clear" w:color="000000" w:fill="FDE9D9"/>
      <w:spacing w:before="100" w:beforeAutospacing="1" w:after="100" w:afterAutospacing="1"/>
      <w:jc w:val="center"/>
    </w:pPr>
    <w:rPr>
      <w:b/>
      <w:bCs/>
      <w:sz w:val="28"/>
      <w:szCs w:val="28"/>
    </w:rPr>
  </w:style>
  <w:style w:type="paragraph" w:customStyle="1" w:styleId="xl1142">
    <w:name w:val="xl1142"/>
    <w:basedOn w:val="a2"/>
    <w:rsid w:val="00BD174E"/>
    <w:pPr>
      <w:pBdr>
        <w:top w:val="single" w:sz="4" w:space="0" w:color="auto"/>
        <w:bottom w:val="single" w:sz="4" w:space="0" w:color="auto"/>
        <w:right w:val="single" w:sz="4" w:space="0" w:color="auto"/>
      </w:pBdr>
      <w:shd w:val="clear" w:color="000000" w:fill="EBF1DE"/>
      <w:spacing w:before="100" w:beforeAutospacing="1" w:after="100" w:afterAutospacing="1"/>
      <w:jc w:val="center"/>
    </w:pPr>
    <w:rPr>
      <w:b/>
      <w:bCs/>
      <w:sz w:val="28"/>
      <w:szCs w:val="28"/>
    </w:rPr>
  </w:style>
  <w:style w:type="paragraph" w:customStyle="1" w:styleId="xl1143">
    <w:name w:val="xl1143"/>
    <w:basedOn w:val="a2"/>
    <w:rsid w:val="00BD174E"/>
    <w:pPr>
      <w:pBdr>
        <w:right w:val="single" w:sz="4" w:space="0" w:color="auto"/>
      </w:pBdr>
      <w:shd w:val="clear" w:color="000000" w:fill="FDE9D9"/>
      <w:spacing w:before="100" w:beforeAutospacing="1" w:after="100" w:afterAutospacing="1"/>
      <w:jc w:val="center"/>
    </w:pPr>
    <w:rPr>
      <w:b/>
      <w:bCs/>
      <w:sz w:val="28"/>
      <w:szCs w:val="28"/>
    </w:rPr>
  </w:style>
  <w:style w:type="paragraph" w:customStyle="1" w:styleId="xl1144">
    <w:name w:val="xl1144"/>
    <w:basedOn w:val="a2"/>
    <w:rsid w:val="00BD174E"/>
    <w:pPr>
      <w:pBdr>
        <w:right w:val="single" w:sz="4" w:space="0" w:color="auto"/>
      </w:pBdr>
      <w:shd w:val="clear" w:color="000000" w:fill="EBF1DE"/>
      <w:spacing w:before="100" w:beforeAutospacing="1" w:after="100" w:afterAutospacing="1"/>
      <w:jc w:val="center"/>
    </w:pPr>
    <w:rPr>
      <w:b/>
      <w:bCs/>
      <w:sz w:val="28"/>
      <w:szCs w:val="28"/>
    </w:rPr>
  </w:style>
  <w:style w:type="paragraph" w:customStyle="1" w:styleId="xl1145">
    <w:name w:val="xl1145"/>
    <w:basedOn w:val="a2"/>
    <w:rsid w:val="00BD174E"/>
    <w:pPr>
      <w:pBdr>
        <w:bottom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46">
    <w:name w:val="xl1146"/>
    <w:basedOn w:val="a2"/>
    <w:rsid w:val="00BD174E"/>
    <w:pPr>
      <w:pBdr>
        <w:bottom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47">
    <w:name w:val="xl1147"/>
    <w:basedOn w:val="a2"/>
    <w:rsid w:val="00BD174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b/>
      <w:bCs/>
      <w:sz w:val="28"/>
      <w:szCs w:val="28"/>
    </w:rPr>
  </w:style>
  <w:style w:type="paragraph" w:customStyle="1" w:styleId="xl1148">
    <w:name w:val="xl1148"/>
    <w:basedOn w:val="a2"/>
    <w:rsid w:val="00BD174E"/>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b/>
      <w:bCs/>
      <w:sz w:val="28"/>
      <w:szCs w:val="28"/>
    </w:rPr>
  </w:style>
  <w:style w:type="paragraph" w:customStyle="1" w:styleId="xl1149">
    <w:name w:val="xl1149"/>
    <w:basedOn w:val="a2"/>
    <w:rsid w:val="00BD174E"/>
    <w:pPr>
      <w:pBdr>
        <w:top w:val="single" w:sz="4" w:space="0" w:color="auto"/>
        <w:left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50">
    <w:name w:val="xl1150"/>
    <w:basedOn w:val="a2"/>
    <w:rsid w:val="00BD174E"/>
    <w:pPr>
      <w:pBdr>
        <w:top w:val="single" w:sz="4" w:space="0" w:color="auto"/>
        <w:left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51">
    <w:name w:val="xl1151"/>
    <w:basedOn w:val="a2"/>
    <w:rsid w:val="00BD174E"/>
    <w:pPr>
      <w:pBdr>
        <w:left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52">
    <w:name w:val="xl1152"/>
    <w:basedOn w:val="a2"/>
    <w:rsid w:val="00BD174E"/>
    <w:pPr>
      <w:pBdr>
        <w:left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53">
    <w:name w:val="xl1153"/>
    <w:basedOn w:val="a2"/>
    <w:rsid w:val="00BD174E"/>
    <w:pPr>
      <w:pBdr>
        <w:left w:val="single" w:sz="4" w:space="0" w:color="auto"/>
        <w:bottom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54">
    <w:name w:val="xl1154"/>
    <w:basedOn w:val="a2"/>
    <w:rsid w:val="00BD174E"/>
    <w:pPr>
      <w:pBdr>
        <w:left w:val="single" w:sz="4" w:space="0" w:color="auto"/>
        <w:bottom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55">
    <w:name w:val="xl1155"/>
    <w:basedOn w:val="a2"/>
    <w:rsid w:val="00BD174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56">
    <w:name w:val="xl1156"/>
    <w:basedOn w:val="a2"/>
    <w:rsid w:val="00BD174E"/>
    <w:pPr>
      <w:pBdr>
        <w:left w:val="single" w:sz="4" w:space="0" w:color="auto"/>
        <w:bottom w:val="single" w:sz="4" w:space="0" w:color="auto"/>
        <w:right w:val="single" w:sz="4" w:space="0" w:color="auto"/>
      </w:pBdr>
      <w:shd w:val="clear" w:color="000000" w:fill="EBF1DE"/>
      <w:spacing w:before="100" w:beforeAutospacing="1" w:after="100" w:afterAutospacing="1"/>
    </w:pPr>
    <w:rPr>
      <w:b/>
      <w:bCs/>
      <w:sz w:val="28"/>
      <w:szCs w:val="28"/>
    </w:rPr>
  </w:style>
  <w:style w:type="paragraph" w:customStyle="1" w:styleId="xl1157">
    <w:name w:val="xl1157"/>
    <w:basedOn w:val="a2"/>
    <w:rsid w:val="00BD174E"/>
    <w:pPr>
      <w:pBdr>
        <w:left w:val="single" w:sz="4" w:space="0" w:color="auto"/>
        <w:bottom w:val="single" w:sz="4" w:space="0" w:color="auto"/>
        <w:right w:val="single" w:sz="4" w:space="0" w:color="auto"/>
      </w:pBdr>
      <w:shd w:val="clear" w:color="000000" w:fill="FDE9D9"/>
      <w:spacing w:before="100" w:beforeAutospacing="1" w:after="100" w:afterAutospacing="1"/>
    </w:pPr>
    <w:rPr>
      <w:b/>
      <w:bCs/>
      <w:sz w:val="28"/>
      <w:szCs w:val="28"/>
    </w:rPr>
  </w:style>
  <w:style w:type="paragraph" w:customStyle="1" w:styleId="xl1158">
    <w:name w:val="xl1158"/>
    <w:basedOn w:val="a2"/>
    <w:rsid w:val="00BD174E"/>
    <w:pPr>
      <w:pBdr>
        <w:bottom w:val="single" w:sz="4" w:space="0" w:color="auto"/>
        <w:right w:val="single" w:sz="4" w:space="0" w:color="auto"/>
      </w:pBdr>
      <w:shd w:val="clear" w:color="000000" w:fill="E6EFE5"/>
      <w:spacing w:before="100" w:beforeAutospacing="1" w:after="100" w:afterAutospacing="1"/>
      <w:jc w:val="center"/>
      <w:textAlignment w:val="center"/>
    </w:pPr>
    <w:rPr>
      <w:sz w:val="28"/>
      <w:szCs w:val="28"/>
    </w:rPr>
  </w:style>
  <w:style w:type="paragraph" w:customStyle="1" w:styleId="xl1159">
    <w:name w:val="xl1159"/>
    <w:basedOn w:val="a2"/>
    <w:rsid w:val="00BD174E"/>
    <w:pPr>
      <w:pBdr>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160">
    <w:name w:val="xl1160"/>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1161">
    <w:name w:val="xl1161"/>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b/>
      <w:bCs/>
      <w:color w:val="000000"/>
      <w:sz w:val="28"/>
      <w:szCs w:val="28"/>
    </w:rPr>
  </w:style>
  <w:style w:type="paragraph" w:customStyle="1" w:styleId="xl1162">
    <w:name w:val="xl1162"/>
    <w:basedOn w:val="a2"/>
    <w:rsid w:val="00BD174E"/>
    <w:pPr>
      <w:pBdr>
        <w:top w:val="single" w:sz="4" w:space="0" w:color="auto"/>
        <w:left w:val="single" w:sz="8"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1163">
    <w:name w:val="xl1163"/>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pPr>
    <w:rPr>
      <w:b/>
      <w:bCs/>
      <w:color w:val="000000"/>
      <w:sz w:val="28"/>
      <w:szCs w:val="28"/>
    </w:rPr>
  </w:style>
  <w:style w:type="paragraph" w:customStyle="1" w:styleId="xl1164">
    <w:name w:val="xl1164"/>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165">
    <w:name w:val="xl1165"/>
    <w:basedOn w:val="a2"/>
    <w:rsid w:val="00BD174E"/>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166">
    <w:name w:val="xl1166"/>
    <w:basedOn w:val="a2"/>
    <w:rsid w:val="00BD174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167">
    <w:name w:val="xl1167"/>
    <w:basedOn w:val="a2"/>
    <w:rsid w:val="00BD174E"/>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168">
    <w:name w:val="xl1168"/>
    <w:basedOn w:val="a2"/>
    <w:rsid w:val="00BD174E"/>
    <w:pPr>
      <w:pBdr>
        <w:left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169">
    <w:name w:val="xl1169"/>
    <w:basedOn w:val="a2"/>
    <w:rsid w:val="00BD174E"/>
    <w:pPr>
      <w:pBdr>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170">
    <w:name w:val="xl1170"/>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171">
    <w:name w:val="xl1171"/>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172">
    <w:name w:val="xl1172"/>
    <w:basedOn w:val="a2"/>
    <w:rsid w:val="00BD174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173">
    <w:name w:val="xl1173"/>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174">
    <w:name w:val="xl1174"/>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175">
    <w:name w:val="xl1175"/>
    <w:basedOn w:val="a2"/>
    <w:rsid w:val="00BD174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176">
    <w:name w:val="xl1176"/>
    <w:basedOn w:val="a2"/>
    <w:rsid w:val="00BD174E"/>
    <w:pPr>
      <w:pBdr>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177">
    <w:name w:val="xl1177"/>
    <w:basedOn w:val="a2"/>
    <w:rsid w:val="00BD174E"/>
    <w:pPr>
      <w:pBdr>
        <w:top w:val="single" w:sz="4" w:space="0" w:color="auto"/>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178">
    <w:name w:val="xl1178"/>
    <w:basedOn w:val="a2"/>
    <w:rsid w:val="00BD174E"/>
    <w:pPr>
      <w:pBdr>
        <w:top w:val="single" w:sz="4"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1179">
    <w:name w:val="xl1179"/>
    <w:basedOn w:val="a2"/>
    <w:rsid w:val="00BD174E"/>
    <w:pPr>
      <w:pBdr>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180">
    <w:name w:val="xl1180"/>
    <w:basedOn w:val="a2"/>
    <w:rsid w:val="00BD174E"/>
    <w:pPr>
      <w:pBdr>
        <w:bottom w:val="single" w:sz="4" w:space="0" w:color="auto"/>
        <w:right w:val="single" w:sz="4" w:space="0" w:color="auto"/>
      </w:pBdr>
      <w:shd w:val="clear" w:color="000000" w:fill="E6EFE5"/>
      <w:spacing w:before="100" w:beforeAutospacing="1" w:after="100" w:afterAutospacing="1"/>
      <w:jc w:val="center"/>
      <w:textAlignment w:val="center"/>
    </w:pPr>
    <w:rPr>
      <w:b/>
      <w:bCs/>
      <w:sz w:val="28"/>
      <w:szCs w:val="28"/>
    </w:rPr>
  </w:style>
  <w:style w:type="paragraph" w:customStyle="1" w:styleId="xl1181">
    <w:name w:val="xl1181"/>
    <w:basedOn w:val="a2"/>
    <w:rsid w:val="00BD174E"/>
    <w:pPr>
      <w:pBdr>
        <w:top w:val="single" w:sz="4" w:space="0" w:color="auto"/>
        <w:bottom w:val="single" w:sz="4" w:space="0" w:color="auto"/>
        <w:right w:val="single" w:sz="4" w:space="0" w:color="auto"/>
      </w:pBdr>
      <w:shd w:val="clear" w:color="000000" w:fill="E6EFE5"/>
      <w:spacing w:before="100" w:beforeAutospacing="1" w:after="100" w:afterAutospacing="1"/>
    </w:pPr>
    <w:rPr>
      <w:b/>
      <w:bCs/>
      <w:sz w:val="28"/>
      <w:szCs w:val="28"/>
    </w:rPr>
  </w:style>
  <w:style w:type="paragraph" w:customStyle="1" w:styleId="xl1182">
    <w:name w:val="xl1182"/>
    <w:basedOn w:val="a2"/>
    <w:rsid w:val="00BD174E"/>
    <w:pPr>
      <w:pBdr>
        <w:top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183">
    <w:name w:val="xl1183"/>
    <w:basedOn w:val="a2"/>
    <w:rsid w:val="00BD174E"/>
    <w:pPr>
      <w:pBdr>
        <w:top w:val="single" w:sz="4" w:space="0" w:color="auto"/>
        <w:right w:val="single" w:sz="4" w:space="0" w:color="auto"/>
      </w:pBdr>
      <w:shd w:val="clear" w:color="000000" w:fill="E6EFE5"/>
      <w:spacing w:before="100" w:beforeAutospacing="1" w:after="100" w:afterAutospacing="1"/>
      <w:jc w:val="center"/>
      <w:textAlignment w:val="center"/>
    </w:pPr>
    <w:rPr>
      <w:b/>
      <w:bCs/>
      <w:sz w:val="28"/>
      <w:szCs w:val="28"/>
    </w:rPr>
  </w:style>
  <w:style w:type="paragraph" w:customStyle="1" w:styleId="xl1184">
    <w:name w:val="xl1184"/>
    <w:basedOn w:val="a2"/>
    <w:rsid w:val="00BD174E"/>
    <w:pPr>
      <w:pBdr>
        <w:top w:val="single" w:sz="8" w:space="0" w:color="auto"/>
        <w:bottom w:val="single" w:sz="4" w:space="0" w:color="auto"/>
        <w:right w:val="single" w:sz="4" w:space="0" w:color="auto"/>
      </w:pBdr>
      <w:shd w:val="clear" w:color="000000" w:fill="D9D9D9"/>
      <w:spacing w:before="100" w:beforeAutospacing="1" w:after="100" w:afterAutospacing="1"/>
      <w:jc w:val="center"/>
    </w:pPr>
    <w:rPr>
      <w:b/>
      <w:bCs/>
      <w:color w:val="000000"/>
      <w:sz w:val="28"/>
      <w:szCs w:val="28"/>
    </w:rPr>
  </w:style>
  <w:style w:type="paragraph" w:customStyle="1" w:styleId="xl1185">
    <w:name w:val="xl1185"/>
    <w:basedOn w:val="a2"/>
    <w:rsid w:val="00BD174E"/>
    <w:pPr>
      <w:pBdr>
        <w:bottom w:val="single" w:sz="4" w:space="0" w:color="auto"/>
        <w:right w:val="single" w:sz="4" w:space="0" w:color="auto"/>
      </w:pBdr>
      <w:shd w:val="clear" w:color="000000" w:fill="E6EFE5"/>
      <w:spacing w:before="100" w:beforeAutospacing="1" w:after="100" w:afterAutospacing="1"/>
      <w:jc w:val="center"/>
    </w:pPr>
    <w:rPr>
      <w:i/>
      <w:iCs/>
      <w:color w:val="FF0000"/>
      <w:sz w:val="28"/>
      <w:szCs w:val="28"/>
    </w:rPr>
  </w:style>
  <w:style w:type="paragraph" w:customStyle="1" w:styleId="xl1186">
    <w:name w:val="xl1186"/>
    <w:basedOn w:val="a2"/>
    <w:rsid w:val="00BD174E"/>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1187">
    <w:name w:val="xl1187"/>
    <w:basedOn w:val="a2"/>
    <w:rsid w:val="00BD174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1188">
    <w:name w:val="xl1188"/>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89">
    <w:name w:val="xl1189"/>
    <w:basedOn w:val="a2"/>
    <w:rsid w:val="00BD174E"/>
    <w:pPr>
      <w:pBdr>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1190">
    <w:name w:val="xl1190"/>
    <w:basedOn w:val="a2"/>
    <w:rsid w:val="00BD174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191">
    <w:name w:val="xl1191"/>
    <w:basedOn w:val="a2"/>
    <w:rsid w:val="00BD174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92">
    <w:name w:val="xl1192"/>
    <w:basedOn w:val="a2"/>
    <w:rsid w:val="00BD174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93">
    <w:name w:val="xl1193"/>
    <w:basedOn w:val="a2"/>
    <w:rsid w:val="00BD174E"/>
    <w:pPr>
      <w:pBdr>
        <w:top w:val="single" w:sz="8" w:space="0" w:color="auto"/>
        <w:left w:val="single" w:sz="8" w:space="0" w:color="auto"/>
        <w:bottom w:val="single" w:sz="8" w:space="0" w:color="auto"/>
      </w:pBdr>
      <w:spacing w:before="100" w:beforeAutospacing="1" w:after="100" w:afterAutospacing="1"/>
      <w:jc w:val="center"/>
    </w:pPr>
  </w:style>
  <w:style w:type="paragraph" w:customStyle="1" w:styleId="xl1194">
    <w:name w:val="xl1194"/>
    <w:basedOn w:val="a2"/>
    <w:rsid w:val="00BD174E"/>
    <w:pPr>
      <w:pBdr>
        <w:top w:val="single" w:sz="8" w:space="0" w:color="auto"/>
        <w:left w:val="single" w:sz="4" w:space="0" w:color="auto"/>
        <w:bottom w:val="single" w:sz="8" w:space="0" w:color="auto"/>
      </w:pBdr>
      <w:spacing w:before="100" w:beforeAutospacing="1" w:after="100" w:afterAutospacing="1"/>
    </w:pPr>
    <w:rPr>
      <w:b/>
      <w:bCs/>
    </w:rPr>
  </w:style>
  <w:style w:type="paragraph" w:customStyle="1" w:styleId="xl1195">
    <w:name w:val="xl1195"/>
    <w:basedOn w:val="a2"/>
    <w:rsid w:val="00BD174E"/>
    <w:pPr>
      <w:pBdr>
        <w:top w:val="single" w:sz="8" w:space="0" w:color="auto"/>
        <w:bottom w:val="single" w:sz="8" w:space="0" w:color="auto"/>
      </w:pBdr>
      <w:spacing w:before="100" w:beforeAutospacing="1" w:after="100" w:afterAutospacing="1"/>
    </w:pPr>
    <w:rPr>
      <w:b/>
      <w:bCs/>
    </w:rPr>
  </w:style>
  <w:style w:type="paragraph" w:customStyle="1" w:styleId="xl1196">
    <w:name w:val="xl1196"/>
    <w:basedOn w:val="a2"/>
    <w:rsid w:val="00BD174E"/>
    <w:pPr>
      <w:pBdr>
        <w:top w:val="single" w:sz="8" w:space="0" w:color="auto"/>
        <w:bottom w:val="single" w:sz="8" w:space="0" w:color="auto"/>
        <w:right w:val="single" w:sz="4" w:space="0" w:color="auto"/>
      </w:pBdr>
      <w:spacing w:before="100" w:beforeAutospacing="1" w:after="100" w:afterAutospacing="1"/>
    </w:pPr>
    <w:rPr>
      <w:b/>
      <w:bCs/>
    </w:rPr>
  </w:style>
  <w:style w:type="paragraph" w:customStyle="1" w:styleId="xl1197">
    <w:name w:val="xl1197"/>
    <w:basedOn w:val="a2"/>
    <w:rsid w:val="00BD174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1198">
    <w:name w:val="xl1198"/>
    <w:basedOn w:val="a2"/>
    <w:rsid w:val="00BD174E"/>
    <w:pPr>
      <w:pBdr>
        <w:top w:val="single" w:sz="8" w:space="0" w:color="auto"/>
        <w:left w:val="single" w:sz="4" w:space="0" w:color="auto"/>
        <w:bottom w:val="single" w:sz="8" w:space="0" w:color="auto"/>
      </w:pBdr>
      <w:spacing w:before="100" w:beforeAutospacing="1" w:after="100" w:afterAutospacing="1"/>
      <w:jc w:val="center"/>
      <w:textAlignment w:val="center"/>
    </w:pPr>
    <w:rPr>
      <w:sz w:val="22"/>
      <w:szCs w:val="22"/>
    </w:rPr>
  </w:style>
  <w:style w:type="paragraph" w:customStyle="1" w:styleId="xl1199">
    <w:name w:val="xl1199"/>
    <w:basedOn w:val="a2"/>
    <w:rsid w:val="00BD174E"/>
    <w:pPr>
      <w:pBdr>
        <w:top w:val="single" w:sz="8" w:space="0" w:color="auto"/>
        <w:left w:val="single" w:sz="4" w:space="0" w:color="auto"/>
        <w:bottom w:val="single" w:sz="8" w:space="0" w:color="auto"/>
      </w:pBdr>
      <w:shd w:val="clear" w:color="000000" w:fill="EBF1DE"/>
      <w:spacing w:before="100" w:beforeAutospacing="1" w:after="100" w:afterAutospacing="1"/>
      <w:jc w:val="center"/>
    </w:pPr>
    <w:rPr>
      <w:b/>
      <w:bCs/>
      <w:sz w:val="28"/>
      <w:szCs w:val="28"/>
    </w:rPr>
  </w:style>
  <w:style w:type="paragraph" w:customStyle="1" w:styleId="xl1200">
    <w:name w:val="xl1200"/>
    <w:basedOn w:val="a2"/>
    <w:rsid w:val="00BD174E"/>
    <w:pPr>
      <w:pBdr>
        <w:top w:val="single" w:sz="8" w:space="0" w:color="auto"/>
        <w:left w:val="single" w:sz="4" w:space="0" w:color="auto"/>
        <w:bottom w:val="single" w:sz="8" w:space="0" w:color="auto"/>
      </w:pBdr>
      <w:shd w:val="clear" w:color="000000" w:fill="FDE9D9"/>
      <w:spacing w:before="100" w:beforeAutospacing="1" w:after="100" w:afterAutospacing="1"/>
      <w:jc w:val="center"/>
    </w:pPr>
    <w:rPr>
      <w:b/>
      <w:bCs/>
      <w:sz w:val="28"/>
      <w:szCs w:val="28"/>
    </w:rPr>
  </w:style>
  <w:style w:type="paragraph" w:customStyle="1" w:styleId="xl1201">
    <w:name w:val="xl1201"/>
    <w:basedOn w:val="a2"/>
    <w:rsid w:val="00BD174E"/>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202">
    <w:name w:val="xl1202"/>
    <w:basedOn w:val="a2"/>
    <w:rsid w:val="00BD174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203">
    <w:name w:val="xl1203"/>
    <w:basedOn w:val="a2"/>
    <w:rsid w:val="00BD174E"/>
    <w:pPr>
      <w:pBdr>
        <w:top w:val="single" w:sz="8" w:space="0" w:color="auto"/>
        <w:left w:val="single" w:sz="4" w:space="0" w:color="auto"/>
        <w:bottom w:val="single" w:sz="8"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204">
    <w:name w:val="xl1204"/>
    <w:basedOn w:val="a2"/>
    <w:rsid w:val="00BD174E"/>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205">
    <w:name w:val="xl1205"/>
    <w:basedOn w:val="a2"/>
    <w:rsid w:val="00BD174E"/>
    <w:pPr>
      <w:pBdr>
        <w:top w:val="single" w:sz="8" w:space="0" w:color="auto"/>
        <w:left w:val="single" w:sz="8" w:space="0" w:color="auto"/>
        <w:bottom w:val="single" w:sz="8"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206">
    <w:name w:val="xl1206"/>
    <w:basedOn w:val="a2"/>
    <w:rsid w:val="00BD174E"/>
    <w:pPr>
      <w:pBdr>
        <w:top w:val="single" w:sz="8" w:space="0" w:color="auto"/>
        <w:left w:val="single" w:sz="4" w:space="0" w:color="auto"/>
        <w:bottom w:val="single" w:sz="8"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207">
    <w:name w:val="xl1207"/>
    <w:basedOn w:val="a2"/>
    <w:rsid w:val="00BD174E"/>
    <w:pPr>
      <w:pBdr>
        <w:bottom w:val="single" w:sz="8" w:space="0" w:color="auto"/>
        <w:right w:val="single" w:sz="4" w:space="0" w:color="auto"/>
      </w:pBdr>
      <w:spacing w:before="100" w:beforeAutospacing="1" w:after="100" w:afterAutospacing="1"/>
      <w:jc w:val="center"/>
    </w:pPr>
    <w:rPr>
      <w:i/>
      <w:iCs/>
      <w:color w:val="FF0000"/>
      <w:sz w:val="22"/>
      <w:szCs w:val="22"/>
    </w:rPr>
  </w:style>
  <w:style w:type="paragraph" w:customStyle="1" w:styleId="xl1208">
    <w:name w:val="xl1208"/>
    <w:basedOn w:val="a2"/>
    <w:rsid w:val="00BD174E"/>
    <w:pPr>
      <w:pBdr>
        <w:bottom w:val="single" w:sz="8" w:space="0" w:color="auto"/>
      </w:pBdr>
      <w:spacing w:before="100" w:beforeAutospacing="1" w:after="100" w:afterAutospacing="1"/>
      <w:jc w:val="center"/>
    </w:pPr>
    <w:rPr>
      <w:i/>
      <w:iCs/>
      <w:color w:val="FF0000"/>
      <w:sz w:val="22"/>
      <w:szCs w:val="22"/>
    </w:rPr>
  </w:style>
  <w:style w:type="paragraph" w:customStyle="1" w:styleId="xl1209">
    <w:name w:val="xl1209"/>
    <w:basedOn w:val="a2"/>
    <w:rsid w:val="00BD174E"/>
    <w:pPr>
      <w:pBdr>
        <w:left w:val="single" w:sz="4" w:space="0" w:color="auto"/>
        <w:bottom w:val="single" w:sz="8" w:space="0" w:color="auto"/>
      </w:pBdr>
      <w:shd w:val="clear" w:color="000000" w:fill="EBF1DE"/>
      <w:spacing w:before="100" w:beforeAutospacing="1" w:after="100" w:afterAutospacing="1"/>
      <w:jc w:val="center"/>
    </w:pPr>
    <w:rPr>
      <w:b/>
      <w:bCs/>
      <w:color w:val="FF0000"/>
      <w:sz w:val="28"/>
      <w:szCs w:val="28"/>
    </w:rPr>
  </w:style>
  <w:style w:type="paragraph" w:customStyle="1" w:styleId="xl1210">
    <w:name w:val="xl1210"/>
    <w:basedOn w:val="a2"/>
    <w:rsid w:val="00BD174E"/>
    <w:pPr>
      <w:pBdr>
        <w:left w:val="single" w:sz="4" w:space="0" w:color="auto"/>
        <w:bottom w:val="single" w:sz="8" w:space="0" w:color="auto"/>
      </w:pBdr>
      <w:shd w:val="clear" w:color="000000" w:fill="FDE9D9"/>
      <w:spacing w:before="100" w:beforeAutospacing="1" w:after="100" w:afterAutospacing="1"/>
      <w:jc w:val="center"/>
    </w:pPr>
    <w:rPr>
      <w:b/>
      <w:bCs/>
      <w:color w:val="FF0000"/>
      <w:sz w:val="28"/>
      <w:szCs w:val="28"/>
    </w:rPr>
  </w:style>
  <w:style w:type="paragraph" w:customStyle="1" w:styleId="xl1211">
    <w:name w:val="xl1211"/>
    <w:basedOn w:val="a2"/>
    <w:rsid w:val="00BD174E"/>
    <w:pPr>
      <w:pBdr>
        <w:left w:val="single" w:sz="4" w:space="0" w:color="auto"/>
        <w:bottom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212">
    <w:name w:val="xl1212"/>
    <w:basedOn w:val="a2"/>
    <w:rsid w:val="00BD174E"/>
    <w:pPr>
      <w:pBdr>
        <w:left w:val="single" w:sz="4" w:space="0" w:color="auto"/>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213">
    <w:name w:val="xl1213"/>
    <w:basedOn w:val="a2"/>
    <w:rsid w:val="00BD174E"/>
    <w:pPr>
      <w:pBdr>
        <w:left w:val="single" w:sz="4" w:space="0" w:color="auto"/>
        <w:bottom w:val="single" w:sz="8" w:space="0" w:color="auto"/>
      </w:pBdr>
      <w:shd w:val="clear" w:color="000000" w:fill="E6EFE5"/>
      <w:spacing w:before="100" w:beforeAutospacing="1" w:after="100" w:afterAutospacing="1"/>
      <w:jc w:val="center"/>
    </w:pPr>
    <w:rPr>
      <w:i/>
      <w:iCs/>
      <w:color w:val="FF0000"/>
      <w:sz w:val="28"/>
      <w:szCs w:val="28"/>
    </w:rPr>
  </w:style>
  <w:style w:type="paragraph" w:customStyle="1" w:styleId="xl1214">
    <w:name w:val="xl1214"/>
    <w:basedOn w:val="a2"/>
    <w:rsid w:val="00BD174E"/>
    <w:pPr>
      <w:pBdr>
        <w:left w:val="single" w:sz="4" w:space="0" w:color="auto"/>
        <w:bottom w:val="single" w:sz="8" w:space="0" w:color="auto"/>
        <w:right w:val="single" w:sz="4" w:space="0" w:color="auto"/>
      </w:pBdr>
      <w:shd w:val="clear" w:color="000000" w:fill="E6EFE5"/>
      <w:spacing w:before="100" w:beforeAutospacing="1" w:after="100" w:afterAutospacing="1"/>
      <w:jc w:val="center"/>
    </w:pPr>
    <w:rPr>
      <w:i/>
      <w:iCs/>
      <w:color w:val="FF0000"/>
      <w:sz w:val="28"/>
      <w:szCs w:val="28"/>
    </w:rPr>
  </w:style>
  <w:style w:type="paragraph" w:customStyle="1" w:styleId="xl1215">
    <w:name w:val="xl1215"/>
    <w:basedOn w:val="a2"/>
    <w:rsid w:val="00BD174E"/>
    <w:pPr>
      <w:pBdr>
        <w:left w:val="single" w:sz="8" w:space="0" w:color="auto"/>
        <w:bottom w:val="single" w:sz="8" w:space="0" w:color="auto"/>
        <w:right w:val="single" w:sz="4" w:space="0" w:color="auto"/>
      </w:pBdr>
      <w:shd w:val="clear" w:color="000000" w:fill="E6EFE5"/>
      <w:spacing w:before="100" w:beforeAutospacing="1" w:after="100" w:afterAutospacing="1"/>
      <w:jc w:val="center"/>
    </w:pPr>
    <w:rPr>
      <w:i/>
      <w:iCs/>
      <w:color w:val="FF0000"/>
      <w:sz w:val="28"/>
      <w:szCs w:val="28"/>
    </w:rPr>
  </w:style>
  <w:style w:type="paragraph" w:customStyle="1" w:styleId="xl1216">
    <w:name w:val="xl1216"/>
    <w:basedOn w:val="a2"/>
    <w:rsid w:val="00BD174E"/>
    <w:pPr>
      <w:pBdr>
        <w:left w:val="single" w:sz="4" w:space="0" w:color="auto"/>
        <w:bottom w:val="single" w:sz="8" w:space="0" w:color="auto"/>
        <w:right w:val="single" w:sz="8" w:space="0" w:color="auto"/>
      </w:pBdr>
      <w:shd w:val="clear" w:color="000000" w:fill="E6EFE5"/>
      <w:spacing w:before="100" w:beforeAutospacing="1" w:after="100" w:afterAutospacing="1"/>
      <w:jc w:val="center"/>
    </w:pPr>
    <w:rPr>
      <w:i/>
      <w:iCs/>
      <w:color w:val="FF0000"/>
      <w:sz w:val="28"/>
      <w:szCs w:val="28"/>
    </w:rPr>
  </w:style>
  <w:style w:type="paragraph" w:customStyle="1" w:styleId="xl1217">
    <w:name w:val="xl1217"/>
    <w:basedOn w:val="a2"/>
    <w:rsid w:val="00BD174E"/>
    <w:pPr>
      <w:pBdr>
        <w:top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218">
    <w:name w:val="xl1218"/>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rPr>
      <w:sz w:val="28"/>
      <w:szCs w:val="28"/>
    </w:rPr>
  </w:style>
  <w:style w:type="paragraph" w:customStyle="1" w:styleId="xl1219">
    <w:name w:val="xl1219"/>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sz w:val="28"/>
      <w:szCs w:val="28"/>
    </w:rPr>
  </w:style>
  <w:style w:type="paragraph" w:customStyle="1" w:styleId="xl1220">
    <w:name w:val="xl1220"/>
    <w:basedOn w:val="a2"/>
    <w:rsid w:val="00BD174E"/>
    <w:pPr>
      <w:pBdr>
        <w:left w:val="single" w:sz="8" w:space="0" w:color="auto"/>
        <w:right w:val="single" w:sz="4" w:space="0" w:color="auto"/>
      </w:pBdr>
      <w:shd w:val="clear" w:color="000000" w:fill="E6EFE5"/>
      <w:spacing w:before="100" w:beforeAutospacing="1" w:after="100" w:afterAutospacing="1"/>
      <w:jc w:val="center"/>
      <w:textAlignment w:val="center"/>
    </w:pPr>
    <w:rPr>
      <w:color w:val="000000"/>
      <w:sz w:val="28"/>
      <w:szCs w:val="28"/>
    </w:rPr>
  </w:style>
  <w:style w:type="paragraph" w:customStyle="1" w:styleId="xl1221">
    <w:name w:val="xl1221"/>
    <w:basedOn w:val="a2"/>
    <w:rsid w:val="00BD174E"/>
    <w:pPr>
      <w:pBdr>
        <w:left w:val="single" w:sz="4" w:space="0" w:color="auto"/>
        <w:right w:val="single" w:sz="4" w:space="0" w:color="auto"/>
      </w:pBdr>
      <w:shd w:val="clear" w:color="000000" w:fill="E6EFE5"/>
      <w:spacing w:before="100" w:beforeAutospacing="1" w:after="100" w:afterAutospacing="1"/>
      <w:jc w:val="center"/>
      <w:textAlignment w:val="center"/>
    </w:pPr>
    <w:rPr>
      <w:color w:val="000000"/>
      <w:sz w:val="28"/>
      <w:szCs w:val="28"/>
    </w:rPr>
  </w:style>
  <w:style w:type="paragraph" w:customStyle="1" w:styleId="xl1222">
    <w:name w:val="xl1222"/>
    <w:basedOn w:val="a2"/>
    <w:rsid w:val="00BD174E"/>
    <w:pPr>
      <w:pBdr>
        <w:left w:val="single" w:sz="4" w:space="0" w:color="auto"/>
        <w:right w:val="single" w:sz="8" w:space="0" w:color="auto"/>
      </w:pBdr>
      <w:shd w:val="clear" w:color="000000" w:fill="E6EFE5"/>
      <w:spacing w:before="100" w:beforeAutospacing="1" w:after="100" w:afterAutospacing="1"/>
      <w:jc w:val="center"/>
      <w:textAlignment w:val="center"/>
    </w:pPr>
    <w:rPr>
      <w:color w:val="000000"/>
      <w:sz w:val="28"/>
      <w:szCs w:val="28"/>
    </w:rPr>
  </w:style>
  <w:style w:type="paragraph" w:customStyle="1" w:styleId="xl1223">
    <w:name w:val="xl1223"/>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1224">
    <w:name w:val="xl1224"/>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b/>
      <w:bCs/>
      <w:color w:val="000000"/>
      <w:sz w:val="28"/>
      <w:szCs w:val="28"/>
    </w:rPr>
  </w:style>
  <w:style w:type="paragraph" w:customStyle="1" w:styleId="xl1225">
    <w:name w:val="xl1225"/>
    <w:basedOn w:val="a2"/>
    <w:rsid w:val="00BD174E"/>
    <w:pPr>
      <w:pBdr>
        <w:top w:val="single" w:sz="8" w:space="0" w:color="auto"/>
        <w:lef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226">
    <w:name w:val="xl1226"/>
    <w:basedOn w:val="a2"/>
    <w:rsid w:val="00BD174E"/>
    <w:pPr>
      <w:pBdr>
        <w:top w:val="single" w:sz="4" w:space="0" w:color="auto"/>
        <w:left w:val="single" w:sz="4" w:space="0" w:color="auto"/>
      </w:pBdr>
      <w:spacing w:before="100" w:beforeAutospacing="1" w:after="100" w:afterAutospacing="1"/>
    </w:pPr>
  </w:style>
  <w:style w:type="paragraph" w:customStyle="1" w:styleId="xl1227">
    <w:name w:val="xl1227"/>
    <w:basedOn w:val="a2"/>
    <w:rsid w:val="00BD174E"/>
    <w:pPr>
      <w:pBdr>
        <w:top w:val="single" w:sz="4" w:space="0" w:color="auto"/>
        <w:left w:val="single" w:sz="4" w:space="0" w:color="auto"/>
        <w:bottom w:val="single" w:sz="4" w:space="0" w:color="auto"/>
      </w:pBdr>
      <w:spacing w:before="100" w:beforeAutospacing="1" w:after="100" w:afterAutospacing="1"/>
    </w:pPr>
  </w:style>
  <w:style w:type="paragraph" w:customStyle="1" w:styleId="xl1228">
    <w:name w:val="xl1228"/>
    <w:basedOn w:val="a2"/>
    <w:rsid w:val="00BD174E"/>
    <w:pPr>
      <w:pBdr>
        <w:top w:val="single" w:sz="4" w:space="0" w:color="auto"/>
        <w:bottom w:val="single" w:sz="4" w:space="0" w:color="auto"/>
      </w:pBdr>
      <w:spacing w:before="100" w:beforeAutospacing="1" w:after="100" w:afterAutospacing="1"/>
    </w:pPr>
  </w:style>
  <w:style w:type="paragraph" w:customStyle="1" w:styleId="xl1229">
    <w:name w:val="xl1229"/>
    <w:basedOn w:val="a2"/>
    <w:rsid w:val="00BD174E"/>
    <w:pPr>
      <w:pBdr>
        <w:top w:val="single" w:sz="4" w:space="0" w:color="auto"/>
        <w:bottom w:val="single" w:sz="4" w:space="0" w:color="auto"/>
        <w:right w:val="single" w:sz="4" w:space="0" w:color="auto"/>
      </w:pBdr>
      <w:spacing w:before="100" w:beforeAutospacing="1" w:after="100" w:afterAutospacing="1"/>
    </w:pPr>
  </w:style>
  <w:style w:type="paragraph" w:customStyle="1" w:styleId="xl1230">
    <w:name w:val="xl1230"/>
    <w:basedOn w:val="a2"/>
    <w:rsid w:val="00BD174E"/>
    <w:pPr>
      <w:pBdr>
        <w:top w:val="single" w:sz="4" w:space="0" w:color="auto"/>
        <w:left w:val="single" w:sz="4" w:space="0" w:color="auto"/>
        <w:bottom w:val="single" w:sz="4" w:space="0" w:color="auto"/>
      </w:pBdr>
      <w:spacing w:before="100" w:beforeAutospacing="1" w:after="100" w:afterAutospacing="1"/>
    </w:pPr>
  </w:style>
  <w:style w:type="paragraph" w:customStyle="1" w:styleId="xl1231">
    <w:name w:val="xl1231"/>
    <w:basedOn w:val="a2"/>
    <w:rsid w:val="00BD174E"/>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32">
    <w:name w:val="xl1232"/>
    <w:basedOn w:val="a2"/>
    <w:rsid w:val="00BD174E"/>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3">
    <w:name w:val="xl1233"/>
    <w:basedOn w:val="a2"/>
    <w:rsid w:val="00BD174E"/>
    <w:pPr>
      <w:pBdr>
        <w:top w:val="single" w:sz="4" w:space="0" w:color="auto"/>
        <w:bottom w:val="single" w:sz="4" w:space="0" w:color="auto"/>
      </w:pBdr>
      <w:spacing w:before="100" w:beforeAutospacing="1" w:after="100" w:afterAutospacing="1"/>
      <w:textAlignment w:val="center"/>
    </w:pPr>
    <w:rPr>
      <w:b/>
      <w:bCs/>
    </w:rPr>
  </w:style>
  <w:style w:type="paragraph" w:customStyle="1" w:styleId="xl1234">
    <w:name w:val="xl1234"/>
    <w:basedOn w:val="a2"/>
    <w:rsid w:val="00BD174E"/>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235">
    <w:name w:val="xl1235"/>
    <w:basedOn w:val="a2"/>
    <w:rsid w:val="00BD174E"/>
    <w:pPr>
      <w:pBdr>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236">
    <w:name w:val="xl1236"/>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237">
    <w:name w:val="xl1237"/>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238">
    <w:name w:val="xl1238"/>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239">
    <w:name w:val="xl1239"/>
    <w:basedOn w:val="a2"/>
    <w:rsid w:val="00BD174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240">
    <w:name w:val="xl1240"/>
    <w:basedOn w:val="a2"/>
    <w:rsid w:val="00BD174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241">
    <w:name w:val="xl1241"/>
    <w:basedOn w:val="a2"/>
    <w:rsid w:val="00BD174E"/>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242">
    <w:name w:val="xl1242"/>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243">
    <w:name w:val="xl1243"/>
    <w:basedOn w:val="a2"/>
    <w:rsid w:val="00BD174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244">
    <w:name w:val="xl1244"/>
    <w:basedOn w:val="a2"/>
    <w:rsid w:val="00BD174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245">
    <w:name w:val="xl1245"/>
    <w:basedOn w:val="a2"/>
    <w:rsid w:val="00BD174E"/>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246">
    <w:name w:val="xl1246"/>
    <w:basedOn w:val="a2"/>
    <w:rsid w:val="00BD174E"/>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1247">
    <w:name w:val="xl1247"/>
    <w:basedOn w:val="a2"/>
    <w:rsid w:val="00BD174E"/>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8"/>
      <w:szCs w:val="28"/>
    </w:rPr>
  </w:style>
  <w:style w:type="paragraph" w:customStyle="1" w:styleId="xl1248">
    <w:name w:val="xl1248"/>
    <w:basedOn w:val="a2"/>
    <w:rsid w:val="00BD174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249">
    <w:name w:val="xl1249"/>
    <w:basedOn w:val="a2"/>
    <w:rsid w:val="00BD174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250">
    <w:name w:val="xl1250"/>
    <w:basedOn w:val="a2"/>
    <w:rsid w:val="00BD174E"/>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251">
    <w:name w:val="xl1251"/>
    <w:basedOn w:val="a2"/>
    <w:rsid w:val="00BD174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252">
    <w:name w:val="xl1252"/>
    <w:basedOn w:val="a2"/>
    <w:rsid w:val="00BD174E"/>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253">
    <w:name w:val="xl1253"/>
    <w:basedOn w:val="a2"/>
    <w:rsid w:val="00BD174E"/>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b/>
      <w:bCs/>
      <w:sz w:val="28"/>
      <w:szCs w:val="28"/>
    </w:rPr>
  </w:style>
  <w:style w:type="paragraph" w:customStyle="1" w:styleId="xl1254">
    <w:name w:val="xl1254"/>
    <w:basedOn w:val="a2"/>
    <w:rsid w:val="00BD174E"/>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b/>
      <w:bCs/>
      <w:sz w:val="28"/>
      <w:szCs w:val="28"/>
    </w:rPr>
  </w:style>
  <w:style w:type="paragraph" w:customStyle="1" w:styleId="xl1255">
    <w:name w:val="xl1255"/>
    <w:basedOn w:val="a2"/>
    <w:rsid w:val="00BD174E"/>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b/>
      <w:bCs/>
      <w:sz w:val="28"/>
      <w:szCs w:val="28"/>
    </w:rPr>
  </w:style>
  <w:style w:type="paragraph" w:customStyle="1" w:styleId="xl1256">
    <w:name w:val="xl1256"/>
    <w:basedOn w:val="a2"/>
    <w:rsid w:val="00BD174E"/>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b/>
      <w:bCs/>
      <w:sz w:val="28"/>
      <w:szCs w:val="28"/>
    </w:rPr>
  </w:style>
  <w:style w:type="paragraph" w:customStyle="1" w:styleId="xl1257">
    <w:name w:val="xl1257"/>
    <w:basedOn w:val="a2"/>
    <w:rsid w:val="00BD174E"/>
    <w:pPr>
      <w:pBdr>
        <w:top w:val="single" w:sz="8" w:space="0" w:color="auto"/>
        <w:left w:val="single" w:sz="4" w:space="0" w:color="auto"/>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258">
    <w:name w:val="xl1258"/>
    <w:basedOn w:val="a2"/>
    <w:rsid w:val="00BD174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59">
    <w:name w:val="xl1259"/>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260">
    <w:name w:val="xl1260"/>
    <w:basedOn w:val="a2"/>
    <w:rsid w:val="00BD174E"/>
    <w:pPr>
      <w:pBdr>
        <w:top w:val="single" w:sz="4" w:space="0" w:color="auto"/>
        <w:left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261">
    <w:name w:val="xl1261"/>
    <w:basedOn w:val="a2"/>
    <w:rsid w:val="00BD174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262">
    <w:name w:val="xl1262"/>
    <w:basedOn w:val="a2"/>
    <w:rsid w:val="00BD174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263">
    <w:name w:val="xl1263"/>
    <w:basedOn w:val="a2"/>
    <w:rsid w:val="00BD174E"/>
    <w:pPr>
      <w:pBdr>
        <w:top w:val="single" w:sz="8" w:space="0" w:color="auto"/>
        <w:left w:val="single" w:sz="8" w:space="0" w:color="auto"/>
      </w:pBdr>
      <w:spacing w:before="100" w:beforeAutospacing="1" w:after="100" w:afterAutospacing="1"/>
      <w:jc w:val="center"/>
      <w:textAlignment w:val="center"/>
    </w:pPr>
    <w:rPr>
      <w:color w:val="000000"/>
    </w:rPr>
  </w:style>
  <w:style w:type="paragraph" w:customStyle="1" w:styleId="xl1264">
    <w:name w:val="xl1264"/>
    <w:basedOn w:val="a2"/>
    <w:rsid w:val="00BD174E"/>
    <w:pPr>
      <w:pBdr>
        <w:top w:val="single" w:sz="8" w:space="0" w:color="auto"/>
        <w:left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265">
    <w:name w:val="xl1265"/>
    <w:basedOn w:val="a2"/>
    <w:rsid w:val="00BD174E"/>
    <w:pPr>
      <w:pBdr>
        <w:top w:val="single" w:sz="8" w:space="0" w:color="auto"/>
        <w:lef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66">
    <w:name w:val="xl1266"/>
    <w:basedOn w:val="a2"/>
    <w:rsid w:val="00BD174E"/>
    <w:pPr>
      <w:pBdr>
        <w:top w:val="single" w:sz="8" w:space="0" w:color="auto"/>
        <w:left w:val="single" w:sz="4" w:space="0" w:color="auto"/>
      </w:pBdr>
      <w:shd w:val="clear" w:color="000000" w:fill="EBF1DE"/>
      <w:spacing w:before="100" w:beforeAutospacing="1" w:after="100" w:afterAutospacing="1"/>
      <w:jc w:val="center"/>
      <w:textAlignment w:val="center"/>
    </w:pPr>
    <w:rPr>
      <w:b/>
      <w:bCs/>
      <w:color w:val="000000"/>
      <w:sz w:val="28"/>
      <w:szCs w:val="28"/>
    </w:rPr>
  </w:style>
  <w:style w:type="paragraph" w:customStyle="1" w:styleId="xl1267">
    <w:name w:val="xl1267"/>
    <w:basedOn w:val="a2"/>
    <w:rsid w:val="00BD174E"/>
    <w:pPr>
      <w:pBdr>
        <w:top w:val="single" w:sz="8" w:space="0" w:color="auto"/>
        <w:left w:val="single" w:sz="4" w:space="0" w:color="auto"/>
      </w:pBdr>
      <w:shd w:val="clear" w:color="000000" w:fill="FDE9D9"/>
      <w:spacing w:before="100" w:beforeAutospacing="1" w:after="100" w:afterAutospacing="1"/>
      <w:jc w:val="center"/>
      <w:textAlignment w:val="center"/>
    </w:pPr>
    <w:rPr>
      <w:b/>
      <w:bCs/>
      <w:color w:val="000000"/>
      <w:sz w:val="28"/>
      <w:szCs w:val="28"/>
    </w:rPr>
  </w:style>
  <w:style w:type="paragraph" w:customStyle="1" w:styleId="xl1268">
    <w:name w:val="xl1268"/>
    <w:basedOn w:val="a2"/>
    <w:rsid w:val="00BD174E"/>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69">
    <w:name w:val="xl1269"/>
    <w:basedOn w:val="a2"/>
    <w:rsid w:val="00BD174E"/>
    <w:pPr>
      <w:pBdr>
        <w:top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70">
    <w:name w:val="xl1270"/>
    <w:basedOn w:val="a2"/>
    <w:rsid w:val="00BD174E"/>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71">
    <w:name w:val="xl1271"/>
    <w:basedOn w:val="a2"/>
    <w:rsid w:val="00BD174E"/>
    <w:pPr>
      <w:pBdr>
        <w:top w:val="single" w:sz="8" w:space="0" w:color="auto"/>
        <w:left w:val="single" w:sz="4" w:space="0" w:color="auto"/>
        <w:right w:val="single" w:sz="4" w:space="0" w:color="auto"/>
      </w:pBdr>
      <w:shd w:val="clear" w:color="000000" w:fill="E6EFE5"/>
      <w:spacing w:before="100" w:beforeAutospacing="1" w:after="100" w:afterAutospacing="1"/>
      <w:jc w:val="center"/>
      <w:textAlignment w:val="center"/>
    </w:pPr>
    <w:rPr>
      <w:b/>
      <w:bCs/>
      <w:color w:val="000000"/>
      <w:sz w:val="28"/>
      <w:szCs w:val="28"/>
    </w:rPr>
  </w:style>
  <w:style w:type="paragraph" w:customStyle="1" w:styleId="xl1272">
    <w:name w:val="xl1272"/>
    <w:basedOn w:val="a2"/>
    <w:rsid w:val="00BD174E"/>
    <w:pPr>
      <w:pBdr>
        <w:top w:val="single" w:sz="8" w:space="0" w:color="auto"/>
        <w:left w:val="single" w:sz="8" w:space="0" w:color="auto"/>
        <w:right w:val="single" w:sz="4" w:space="0" w:color="auto"/>
      </w:pBdr>
      <w:shd w:val="clear" w:color="000000" w:fill="E6EFE5"/>
      <w:spacing w:before="100" w:beforeAutospacing="1" w:after="100" w:afterAutospacing="1"/>
      <w:jc w:val="center"/>
      <w:textAlignment w:val="center"/>
    </w:pPr>
    <w:rPr>
      <w:b/>
      <w:bCs/>
      <w:color w:val="000000"/>
      <w:sz w:val="28"/>
      <w:szCs w:val="28"/>
    </w:rPr>
  </w:style>
  <w:style w:type="paragraph" w:customStyle="1" w:styleId="xl1273">
    <w:name w:val="xl1273"/>
    <w:basedOn w:val="a2"/>
    <w:rsid w:val="00BD174E"/>
    <w:pPr>
      <w:pBdr>
        <w:top w:val="single" w:sz="8" w:space="0" w:color="auto"/>
        <w:left w:val="single" w:sz="4" w:space="0" w:color="auto"/>
        <w:right w:val="single" w:sz="8" w:space="0" w:color="auto"/>
      </w:pBdr>
      <w:shd w:val="clear" w:color="000000" w:fill="E6EFE5"/>
      <w:spacing w:before="100" w:beforeAutospacing="1" w:after="100" w:afterAutospacing="1"/>
      <w:jc w:val="center"/>
      <w:textAlignment w:val="center"/>
    </w:pPr>
    <w:rPr>
      <w:b/>
      <w:bCs/>
      <w:color w:val="000000"/>
      <w:sz w:val="28"/>
      <w:szCs w:val="28"/>
    </w:rPr>
  </w:style>
  <w:style w:type="paragraph" w:customStyle="1" w:styleId="xl1274">
    <w:name w:val="xl1274"/>
    <w:basedOn w:val="a2"/>
    <w:rsid w:val="00BD174E"/>
    <w:pPr>
      <w:pBdr>
        <w:left w:val="single" w:sz="8" w:space="0" w:color="auto"/>
        <w:bottom w:val="single" w:sz="4" w:space="0" w:color="auto"/>
      </w:pBdr>
      <w:spacing w:before="100" w:beforeAutospacing="1" w:after="100" w:afterAutospacing="1"/>
      <w:jc w:val="center"/>
    </w:pPr>
    <w:rPr>
      <w:b/>
      <w:bCs/>
      <w:color w:val="000000"/>
    </w:rPr>
  </w:style>
  <w:style w:type="paragraph" w:customStyle="1" w:styleId="xl1275">
    <w:name w:val="xl1275"/>
    <w:basedOn w:val="a2"/>
    <w:rsid w:val="00BD174E"/>
    <w:pPr>
      <w:pBdr>
        <w:left w:val="single" w:sz="4" w:space="0" w:color="auto"/>
        <w:bottom w:val="single" w:sz="4" w:space="0" w:color="auto"/>
      </w:pBdr>
      <w:shd w:val="clear" w:color="000000" w:fill="EBF1DE"/>
      <w:spacing w:before="100" w:beforeAutospacing="1" w:after="100" w:afterAutospacing="1"/>
      <w:jc w:val="center"/>
    </w:pPr>
    <w:rPr>
      <w:b/>
      <w:bCs/>
      <w:color w:val="000000"/>
      <w:sz w:val="28"/>
      <w:szCs w:val="28"/>
    </w:rPr>
  </w:style>
  <w:style w:type="paragraph" w:customStyle="1" w:styleId="xl1276">
    <w:name w:val="xl1276"/>
    <w:basedOn w:val="a2"/>
    <w:rsid w:val="00BD174E"/>
    <w:pPr>
      <w:pBdr>
        <w:left w:val="single" w:sz="4" w:space="0" w:color="auto"/>
        <w:bottom w:val="single" w:sz="4" w:space="0" w:color="auto"/>
      </w:pBdr>
      <w:shd w:val="clear" w:color="000000" w:fill="FDE9D9"/>
      <w:spacing w:before="100" w:beforeAutospacing="1" w:after="100" w:afterAutospacing="1"/>
      <w:jc w:val="center"/>
    </w:pPr>
    <w:rPr>
      <w:b/>
      <w:bCs/>
      <w:color w:val="000000"/>
      <w:sz w:val="28"/>
      <w:szCs w:val="28"/>
    </w:rPr>
  </w:style>
  <w:style w:type="paragraph" w:customStyle="1" w:styleId="xl1277">
    <w:name w:val="xl1277"/>
    <w:basedOn w:val="a2"/>
    <w:rsid w:val="00BD174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278">
    <w:name w:val="xl1278"/>
    <w:basedOn w:val="a2"/>
    <w:rsid w:val="00BD174E"/>
    <w:pPr>
      <w:pBdr>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279">
    <w:name w:val="xl1279"/>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80">
    <w:name w:val="xl1280"/>
    <w:basedOn w:val="a2"/>
    <w:rsid w:val="00BD174E"/>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b/>
      <w:bCs/>
      <w:color w:val="000000"/>
      <w:sz w:val="28"/>
      <w:szCs w:val="28"/>
    </w:rPr>
  </w:style>
  <w:style w:type="paragraph" w:customStyle="1" w:styleId="xl1281">
    <w:name w:val="xl1281"/>
    <w:basedOn w:val="a2"/>
    <w:rsid w:val="00BD174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color w:val="000000"/>
      <w:sz w:val="28"/>
      <w:szCs w:val="28"/>
    </w:rPr>
  </w:style>
  <w:style w:type="paragraph" w:customStyle="1" w:styleId="xl1282">
    <w:name w:val="xl1282"/>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83">
    <w:name w:val="xl1283"/>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textAlignment w:val="center"/>
    </w:pPr>
    <w:rPr>
      <w:b/>
      <w:bCs/>
      <w:color w:val="000000"/>
      <w:sz w:val="28"/>
      <w:szCs w:val="28"/>
    </w:rPr>
  </w:style>
  <w:style w:type="paragraph" w:customStyle="1" w:styleId="xl1284">
    <w:name w:val="xl1284"/>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285">
    <w:name w:val="xl1285"/>
    <w:basedOn w:val="a2"/>
    <w:rsid w:val="00BD174E"/>
    <w:pPr>
      <w:pBdr>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286">
    <w:name w:val="xl1286"/>
    <w:basedOn w:val="a2"/>
    <w:rsid w:val="00BD174E"/>
    <w:pPr>
      <w:pBdr>
        <w:left w:val="single" w:sz="4" w:space="0" w:color="auto"/>
      </w:pBdr>
      <w:shd w:val="clear" w:color="000000" w:fill="FFFFFF"/>
      <w:spacing w:before="100" w:beforeAutospacing="1" w:after="100" w:afterAutospacing="1"/>
      <w:jc w:val="center"/>
    </w:pPr>
    <w:rPr>
      <w:color w:val="000000"/>
      <w:sz w:val="28"/>
      <w:szCs w:val="28"/>
    </w:rPr>
  </w:style>
  <w:style w:type="paragraph" w:customStyle="1" w:styleId="xl1287">
    <w:name w:val="xl1287"/>
    <w:basedOn w:val="a2"/>
    <w:rsid w:val="00BD174E"/>
    <w:pPr>
      <w:pBdr>
        <w:left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288">
    <w:name w:val="xl1288"/>
    <w:basedOn w:val="a2"/>
    <w:rsid w:val="00BD174E"/>
    <w:pPr>
      <w:pBdr>
        <w:left w:val="single" w:sz="4" w:space="0" w:color="auto"/>
      </w:pBdr>
      <w:shd w:val="clear" w:color="000000" w:fill="FFFFFF"/>
      <w:spacing w:before="100" w:beforeAutospacing="1" w:after="100" w:afterAutospacing="1"/>
      <w:jc w:val="center"/>
    </w:pPr>
    <w:rPr>
      <w:i/>
      <w:iCs/>
      <w:sz w:val="28"/>
      <w:szCs w:val="28"/>
    </w:rPr>
  </w:style>
  <w:style w:type="paragraph" w:customStyle="1" w:styleId="xl1289">
    <w:name w:val="xl1289"/>
    <w:basedOn w:val="a2"/>
    <w:rsid w:val="00BD174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290">
    <w:name w:val="xl1290"/>
    <w:basedOn w:val="a2"/>
    <w:rsid w:val="00BD174E"/>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291">
    <w:name w:val="xl1291"/>
    <w:basedOn w:val="a2"/>
    <w:rsid w:val="00BD174E"/>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292">
    <w:name w:val="xl1292"/>
    <w:basedOn w:val="a2"/>
    <w:rsid w:val="00BD174E"/>
    <w:pPr>
      <w:pBdr>
        <w:top w:val="single" w:sz="4" w:space="0" w:color="auto"/>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293">
    <w:name w:val="xl1293"/>
    <w:basedOn w:val="a2"/>
    <w:rsid w:val="00BD174E"/>
    <w:pPr>
      <w:pBdr>
        <w:top w:val="single" w:sz="8" w:space="0" w:color="auto"/>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294">
    <w:name w:val="xl1294"/>
    <w:basedOn w:val="a2"/>
    <w:rsid w:val="00BD174E"/>
    <w:pPr>
      <w:pBdr>
        <w:top w:val="single" w:sz="8"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295">
    <w:name w:val="xl1295"/>
    <w:basedOn w:val="a2"/>
    <w:rsid w:val="00BD174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b/>
      <w:bCs/>
      <w:color w:val="000000"/>
      <w:sz w:val="28"/>
      <w:szCs w:val="28"/>
    </w:rPr>
  </w:style>
  <w:style w:type="paragraph" w:customStyle="1" w:styleId="xl1296">
    <w:name w:val="xl1296"/>
    <w:basedOn w:val="a2"/>
    <w:rsid w:val="00BD174E"/>
    <w:pPr>
      <w:pBdr>
        <w:top w:val="single" w:sz="8" w:space="0" w:color="auto"/>
        <w:left w:val="single" w:sz="8" w:space="0" w:color="auto"/>
        <w:bottom w:val="single" w:sz="4" w:space="0" w:color="auto"/>
      </w:pBdr>
      <w:spacing w:before="100" w:beforeAutospacing="1" w:after="100" w:afterAutospacing="1"/>
      <w:jc w:val="center"/>
    </w:pPr>
    <w:rPr>
      <w:color w:val="000000"/>
    </w:rPr>
  </w:style>
  <w:style w:type="paragraph" w:customStyle="1" w:styleId="xl1297">
    <w:name w:val="xl1297"/>
    <w:basedOn w:val="a2"/>
    <w:rsid w:val="00BD174E"/>
    <w:pPr>
      <w:pBdr>
        <w:top w:val="single" w:sz="8" w:space="0" w:color="auto"/>
        <w:left w:val="single" w:sz="4" w:space="0" w:color="auto"/>
        <w:bottom w:val="single" w:sz="4" w:space="0" w:color="auto"/>
      </w:pBdr>
      <w:spacing w:before="100" w:beforeAutospacing="1" w:after="100" w:afterAutospacing="1"/>
    </w:pPr>
    <w:rPr>
      <w:b/>
      <w:bCs/>
      <w:color w:val="000000"/>
    </w:rPr>
  </w:style>
  <w:style w:type="paragraph" w:customStyle="1" w:styleId="xl1298">
    <w:name w:val="xl1298"/>
    <w:basedOn w:val="a2"/>
    <w:rsid w:val="00BD174E"/>
    <w:pPr>
      <w:pBdr>
        <w:top w:val="single" w:sz="8" w:space="0" w:color="auto"/>
        <w:bottom w:val="single" w:sz="4" w:space="0" w:color="auto"/>
      </w:pBdr>
      <w:spacing w:before="100" w:beforeAutospacing="1" w:after="100" w:afterAutospacing="1"/>
    </w:pPr>
    <w:rPr>
      <w:b/>
      <w:bCs/>
      <w:color w:val="000000"/>
    </w:rPr>
  </w:style>
  <w:style w:type="paragraph" w:customStyle="1" w:styleId="xl1299">
    <w:name w:val="xl1299"/>
    <w:basedOn w:val="a2"/>
    <w:rsid w:val="00BD174E"/>
    <w:pPr>
      <w:pBdr>
        <w:top w:val="single" w:sz="8" w:space="0" w:color="auto"/>
        <w:bottom w:val="single" w:sz="4" w:space="0" w:color="auto"/>
        <w:right w:val="single" w:sz="4" w:space="0" w:color="auto"/>
      </w:pBdr>
      <w:spacing w:before="100" w:beforeAutospacing="1" w:after="100" w:afterAutospacing="1"/>
    </w:pPr>
    <w:rPr>
      <w:b/>
      <w:bCs/>
      <w:color w:val="000000"/>
    </w:rPr>
  </w:style>
  <w:style w:type="paragraph" w:customStyle="1" w:styleId="xl1300">
    <w:name w:val="xl1300"/>
    <w:basedOn w:val="a2"/>
    <w:rsid w:val="00BD174E"/>
    <w:pPr>
      <w:pBdr>
        <w:top w:val="single" w:sz="8"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1301">
    <w:name w:val="xl1301"/>
    <w:basedOn w:val="a2"/>
    <w:rsid w:val="00BD174E"/>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b/>
      <w:bCs/>
      <w:color w:val="000000"/>
      <w:sz w:val="28"/>
      <w:szCs w:val="28"/>
    </w:rPr>
  </w:style>
  <w:style w:type="paragraph" w:customStyle="1" w:styleId="xl1302">
    <w:name w:val="xl1302"/>
    <w:basedOn w:val="a2"/>
    <w:rsid w:val="00BD174E"/>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b/>
      <w:bCs/>
      <w:color w:val="000000"/>
      <w:sz w:val="28"/>
      <w:szCs w:val="28"/>
    </w:rPr>
  </w:style>
  <w:style w:type="paragraph" w:customStyle="1" w:styleId="xl1303">
    <w:name w:val="xl1303"/>
    <w:basedOn w:val="a2"/>
    <w:rsid w:val="00BD174E"/>
    <w:pPr>
      <w:pBdr>
        <w:top w:val="single" w:sz="8" w:space="0" w:color="auto"/>
        <w:left w:val="single" w:sz="4" w:space="0" w:color="auto"/>
        <w:bottom w:val="single" w:sz="4"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1304">
    <w:name w:val="xl1304"/>
    <w:basedOn w:val="a2"/>
    <w:rsid w:val="00BD174E"/>
    <w:pPr>
      <w:pBdr>
        <w:top w:val="single" w:sz="8"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1305">
    <w:name w:val="xl1305"/>
    <w:basedOn w:val="a2"/>
    <w:rsid w:val="00BD174E"/>
    <w:pPr>
      <w:pBdr>
        <w:top w:val="single" w:sz="8"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b/>
      <w:bCs/>
      <w:color w:val="000000"/>
      <w:sz w:val="28"/>
      <w:szCs w:val="28"/>
    </w:rPr>
  </w:style>
  <w:style w:type="paragraph" w:customStyle="1" w:styleId="xl1306">
    <w:name w:val="xl1306"/>
    <w:basedOn w:val="a2"/>
    <w:rsid w:val="00BD174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307">
    <w:name w:val="xl1307"/>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b/>
      <w:bCs/>
      <w:color w:val="000000"/>
      <w:sz w:val="28"/>
      <w:szCs w:val="28"/>
    </w:rPr>
  </w:style>
  <w:style w:type="paragraph" w:customStyle="1" w:styleId="xl1308">
    <w:name w:val="xl1308"/>
    <w:basedOn w:val="a2"/>
    <w:rsid w:val="00BD174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309">
    <w:name w:val="xl1309"/>
    <w:basedOn w:val="a2"/>
    <w:rsid w:val="00BD174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1310">
    <w:name w:val="xl1310"/>
    <w:basedOn w:val="a2"/>
    <w:rsid w:val="00BD174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1311">
    <w:name w:val="xl1311"/>
    <w:basedOn w:val="a2"/>
    <w:rsid w:val="00BD174E"/>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pPr>
    <w:rPr>
      <w:sz w:val="28"/>
      <w:szCs w:val="28"/>
    </w:rPr>
  </w:style>
  <w:style w:type="paragraph" w:customStyle="1" w:styleId="xl1312">
    <w:name w:val="xl1312"/>
    <w:basedOn w:val="a2"/>
    <w:rsid w:val="00BD174E"/>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pPr>
    <w:rPr>
      <w:sz w:val="28"/>
      <w:szCs w:val="28"/>
    </w:rPr>
  </w:style>
  <w:style w:type="paragraph" w:customStyle="1" w:styleId="xl1313">
    <w:name w:val="xl1313"/>
    <w:basedOn w:val="a2"/>
    <w:rsid w:val="00BD174E"/>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pPr>
    <w:rPr>
      <w:sz w:val="28"/>
      <w:szCs w:val="28"/>
    </w:rPr>
  </w:style>
  <w:style w:type="paragraph" w:customStyle="1" w:styleId="xl1314">
    <w:name w:val="xl1314"/>
    <w:basedOn w:val="a2"/>
    <w:rsid w:val="00BD174E"/>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pPr>
    <w:rPr>
      <w:sz w:val="28"/>
      <w:szCs w:val="28"/>
    </w:rPr>
  </w:style>
  <w:style w:type="paragraph" w:customStyle="1" w:styleId="xl1315">
    <w:name w:val="xl1315"/>
    <w:basedOn w:val="a2"/>
    <w:rsid w:val="00BD174E"/>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pPr>
    <w:rPr>
      <w:sz w:val="28"/>
      <w:szCs w:val="28"/>
    </w:rPr>
  </w:style>
  <w:style w:type="paragraph" w:customStyle="1" w:styleId="xl1316">
    <w:name w:val="xl1316"/>
    <w:basedOn w:val="a2"/>
    <w:rsid w:val="00BD174E"/>
    <w:pPr>
      <w:pBdr>
        <w:top w:val="single" w:sz="4" w:space="0" w:color="auto"/>
        <w:left w:val="single" w:sz="4" w:space="0" w:color="auto"/>
        <w:bottom w:val="single" w:sz="8" w:space="0" w:color="auto"/>
        <w:right w:val="single" w:sz="4" w:space="0" w:color="auto"/>
      </w:pBdr>
      <w:spacing w:before="100" w:beforeAutospacing="1" w:after="100" w:afterAutospacing="1"/>
    </w:pPr>
    <w:rPr>
      <w:sz w:val="28"/>
      <w:szCs w:val="28"/>
    </w:rPr>
  </w:style>
  <w:style w:type="paragraph" w:customStyle="1" w:styleId="xl1317">
    <w:name w:val="xl1317"/>
    <w:basedOn w:val="a2"/>
    <w:rsid w:val="00BD174E"/>
    <w:pPr>
      <w:pBdr>
        <w:top w:val="single" w:sz="4" w:space="0" w:color="auto"/>
        <w:left w:val="single" w:sz="4" w:space="0" w:color="auto"/>
        <w:bottom w:val="single" w:sz="8" w:space="0" w:color="auto"/>
        <w:right w:val="single" w:sz="4" w:space="0" w:color="auto"/>
      </w:pBdr>
      <w:shd w:val="clear" w:color="000000" w:fill="E6EFE5"/>
      <w:spacing w:before="100" w:beforeAutospacing="1" w:after="100" w:afterAutospacing="1"/>
    </w:pPr>
    <w:rPr>
      <w:sz w:val="28"/>
      <w:szCs w:val="28"/>
    </w:rPr>
  </w:style>
  <w:style w:type="paragraph" w:customStyle="1" w:styleId="xl1318">
    <w:name w:val="xl1318"/>
    <w:basedOn w:val="a2"/>
    <w:rsid w:val="00BD174E"/>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319">
    <w:name w:val="xl1319"/>
    <w:basedOn w:val="a2"/>
    <w:rsid w:val="00BD174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20">
    <w:name w:val="xl1320"/>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21">
    <w:name w:val="xl1321"/>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2">
    <w:name w:val="xl1322"/>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style>
  <w:style w:type="paragraph" w:customStyle="1" w:styleId="xl1323">
    <w:name w:val="xl1323"/>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textAlignment w:val="center"/>
    </w:pPr>
  </w:style>
  <w:style w:type="paragraph" w:customStyle="1" w:styleId="xl1324">
    <w:name w:val="xl1324"/>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style>
  <w:style w:type="paragraph" w:customStyle="1" w:styleId="xl1325">
    <w:name w:val="xl1325"/>
    <w:basedOn w:val="a2"/>
    <w:rsid w:val="00BD174E"/>
    <w:pPr>
      <w:pBdr>
        <w:left w:val="single" w:sz="4"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1326">
    <w:name w:val="xl1326"/>
    <w:basedOn w:val="a2"/>
    <w:rsid w:val="00BD174E"/>
    <w:pPr>
      <w:pBdr>
        <w:bottom w:val="single" w:sz="4" w:space="0" w:color="auto"/>
      </w:pBdr>
      <w:shd w:val="clear" w:color="000000" w:fill="FFFFFF"/>
      <w:spacing w:before="100" w:beforeAutospacing="1" w:after="100" w:afterAutospacing="1"/>
      <w:textAlignment w:val="center"/>
    </w:pPr>
    <w:rPr>
      <w:b/>
      <w:bCs/>
      <w:color w:val="000000"/>
    </w:rPr>
  </w:style>
  <w:style w:type="paragraph" w:customStyle="1" w:styleId="xl1327">
    <w:name w:val="xl1327"/>
    <w:basedOn w:val="a2"/>
    <w:rsid w:val="00BD174E"/>
    <w:pPr>
      <w:pBdr>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328">
    <w:name w:val="xl1328"/>
    <w:basedOn w:val="a2"/>
    <w:rsid w:val="00BD174E"/>
    <w:pPr>
      <w:pBdr>
        <w:top w:val="single" w:sz="8" w:space="0" w:color="auto"/>
        <w:left w:val="single" w:sz="4" w:space="0" w:color="auto"/>
        <w:bottom w:val="single" w:sz="4" w:space="0" w:color="auto"/>
      </w:pBdr>
      <w:shd w:val="clear" w:color="000000" w:fill="D9D9D9"/>
      <w:spacing w:before="100" w:beforeAutospacing="1" w:after="100" w:afterAutospacing="1"/>
      <w:jc w:val="center"/>
      <w:textAlignment w:val="center"/>
    </w:pPr>
    <w:rPr>
      <w:b/>
      <w:bCs/>
      <w:color w:val="000000"/>
    </w:rPr>
  </w:style>
  <w:style w:type="paragraph" w:customStyle="1" w:styleId="xl1329">
    <w:name w:val="xl1329"/>
    <w:basedOn w:val="a2"/>
    <w:rsid w:val="00BD174E"/>
    <w:pPr>
      <w:pBdr>
        <w:top w:val="single" w:sz="8" w:space="0" w:color="auto"/>
        <w:bottom w:val="single" w:sz="4" w:space="0" w:color="auto"/>
      </w:pBdr>
      <w:shd w:val="clear" w:color="000000" w:fill="D9D9D9"/>
      <w:spacing w:before="100" w:beforeAutospacing="1" w:after="100" w:afterAutospacing="1"/>
      <w:jc w:val="center"/>
      <w:textAlignment w:val="center"/>
    </w:pPr>
    <w:rPr>
      <w:b/>
      <w:bCs/>
      <w:color w:val="000000"/>
    </w:rPr>
  </w:style>
  <w:style w:type="paragraph" w:customStyle="1" w:styleId="xl1330">
    <w:name w:val="xl1330"/>
    <w:basedOn w:val="a2"/>
    <w:rsid w:val="00BD174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rPr>
  </w:style>
  <w:style w:type="paragraph" w:customStyle="1" w:styleId="xl1331">
    <w:name w:val="xl1331"/>
    <w:basedOn w:val="a2"/>
    <w:rsid w:val="00BD174E"/>
    <w:pPr>
      <w:pBdr>
        <w:top w:val="single" w:sz="4" w:space="0" w:color="auto"/>
        <w:left w:val="single" w:sz="4" w:space="0" w:color="auto"/>
      </w:pBdr>
      <w:shd w:val="clear" w:color="000000" w:fill="FFFFFF"/>
      <w:spacing w:before="100" w:beforeAutospacing="1" w:after="100" w:afterAutospacing="1"/>
    </w:pPr>
  </w:style>
  <w:style w:type="paragraph" w:customStyle="1" w:styleId="xl1332">
    <w:name w:val="xl1332"/>
    <w:basedOn w:val="a2"/>
    <w:rsid w:val="00BD174E"/>
    <w:pPr>
      <w:pBdr>
        <w:top w:val="single" w:sz="4" w:space="0" w:color="auto"/>
      </w:pBdr>
      <w:shd w:val="clear" w:color="000000" w:fill="FFFFFF"/>
      <w:spacing w:before="100" w:beforeAutospacing="1" w:after="100" w:afterAutospacing="1"/>
    </w:pPr>
  </w:style>
  <w:style w:type="paragraph" w:customStyle="1" w:styleId="xl1333">
    <w:name w:val="xl1333"/>
    <w:basedOn w:val="a2"/>
    <w:rsid w:val="00BD174E"/>
    <w:pPr>
      <w:pBdr>
        <w:top w:val="single" w:sz="4" w:space="0" w:color="auto"/>
        <w:right w:val="single" w:sz="4" w:space="0" w:color="auto"/>
      </w:pBdr>
      <w:shd w:val="clear" w:color="000000" w:fill="FFFFFF"/>
      <w:spacing w:before="100" w:beforeAutospacing="1" w:after="100" w:afterAutospacing="1"/>
    </w:pPr>
  </w:style>
  <w:style w:type="paragraph" w:customStyle="1" w:styleId="xl1334">
    <w:name w:val="xl1334"/>
    <w:basedOn w:val="a2"/>
    <w:rsid w:val="00BD174E"/>
    <w:pPr>
      <w:pBdr>
        <w:left w:val="single" w:sz="4" w:space="0" w:color="auto"/>
      </w:pBdr>
      <w:shd w:val="clear" w:color="000000" w:fill="FFFFFF"/>
      <w:spacing w:before="100" w:beforeAutospacing="1" w:after="100" w:afterAutospacing="1"/>
      <w:textAlignment w:val="center"/>
    </w:pPr>
    <w:rPr>
      <w:b/>
      <w:bCs/>
      <w:color w:val="000000"/>
    </w:rPr>
  </w:style>
  <w:style w:type="paragraph" w:customStyle="1" w:styleId="xl1335">
    <w:name w:val="xl1335"/>
    <w:basedOn w:val="a2"/>
    <w:rsid w:val="00BD174E"/>
    <w:pPr>
      <w:shd w:val="clear" w:color="000000" w:fill="FFFFFF"/>
      <w:spacing w:before="100" w:beforeAutospacing="1" w:after="100" w:afterAutospacing="1"/>
      <w:textAlignment w:val="center"/>
    </w:pPr>
    <w:rPr>
      <w:b/>
      <w:bCs/>
      <w:color w:val="000000"/>
    </w:rPr>
  </w:style>
  <w:style w:type="paragraph" w:customStyle="1" w:styleId="xl1336">
    <w:name w:val="xl1336"/>
    <w:basedOn w:val="a2"/>
    <w:rsid w:val="00BD174E"/>
    <w:pPr>
      <w:pBdr>
        <w:right w:val="single" w:sz="4" w:space="0" w:color="auto"/>
      </w:pBdr>
      <w:shd w:val="clear" w:color="000000" w:fill="FFFFFF"/>
      <w:spacing w:before="100" w:beforeAutospacing="1" w:after="100" w:afterAutospacing="1"/>
      <w:textAlignment w:val="center"/>
    </w:pPr>
    <w:rPr>
      <w:b/>
      <w:bCs/>
      <w:color w:val="000000"/>
    </w:rPr>
  </w:style>
  <w:style w:type="paragraph" w:customStyle="1" w:styleId="xl1337">
    <w:name w:val="xl1337"/>
    <w:basedOn w:val="a2"/>
    <w:rsid w:val="00BD174E"/>
    <w:pPr>
      <w:pBdr>
        <w:left w:val="single" w:sz="4" w:space="0" w:color="auto"/>
      </w:pBdr>
      <w:spacing w:before="100" w:beforeAutospacing="1" w:after="100" w:afterAutospacing="1"/>
      <w:textAlignment w:val="center"/>
    </w:pPr>
  </w:style>
  <w:style w:type="paragraph" w:customStyle="1" w:styleId="xl1338">
    <w:name w:val="xl1338"/>
    <w:basedOn w:val="a2"/>
    <w:rsid w:val="00BD174E"/>
    <w:pPr>
      <w:spacing w:before="100" w:beforeAutospacing="1" w:after="100" w:afterAutospacing="1"/>
      <w:textAlignment w:val="center"/>
    </w:pPr>
  </w:style>
  <w:style w:type="paragraph" w:customStyle="1" w:styleId="xl1339">
    <w:name w:val="xl1339"/>
    <w:basedOn w:val="a2"/>
    <w:rsid w:val="00BD174E"/>
    <w:pPr>
      <w:pBdr>
        <w:right w:val="single" w:sz="4" w:space="0" w:color="auto"/>
      </w:pBdr>
      <w:spacing w:before="100" w:beforeAutospacing="1" w:after="100" w:afterAutospacing="1"/>
      <w:textAlignment w:val="center"/>
    </w:pPr>
  </w:style>
  <w:style w:type="paragraph" w:customStyle="1" w:styleId="xl1340">
    <w:name w:val="xl1340"/>
    <w:basedOn w:val="a2"/>
    <w:rsid w:val="00BD174E"/>
    <w:pPr>
      <w:pBdr>
        <w:left w:val="single" w:sz="4" w:space="0" w:color="auto"/>
        <w:bottom w:val="single" w:sz="4" w:space="0" w:color="auto"/>
      </w:pBdr>
      <w:spacing w:before="100" w:beforeAutospacing="1" w:after="100" w:afterAutospacing="1"/>
      <w:textAlignment w:val="center"/>
    </w:pPr>
  </w:style>
  <w:style w:type="paragraph" w:customStyle="1" w:styleId="xl1341">
    <w:name w:val="xl1341"/>
    <w:basedOn w:val="a2"/>
    <w:rsid w:val="00BD174E"/>
    <w:pPr>
      <w:pBdr>
        <w:bottom w:val="single" w:sz="4" w:space="0" w:color="auto"/>
      </w:pBdr>
      <w:spacing w:before="100" w:beforeAutospacing="1" w:after="100" w:afterAutospacing="1"/>
      <w:textAlignment w:val="center"/>
    </w:pPr>
  </w:style>
  <w:style w:type="paragraph" w:customStyle="1" w:styleId="xl1342">
    <w:name w:val="xl1342"/>
    <w:basedOn w:val="a2"/>
    <w:rsid w:val="00BD174E"/>
    <w:pPr>
      <w:pBdr>
        <w:bottom w:val="single" w:sz="4" w:space="0" w:color="auto"/>
        <w:right w:val="single" w:sz="4" w:space="0" w:color="auto"/>
      </w:pBdr>
      <w:spacing w:before="100" w:beforeAutospacing="1" w:after="100" w:afterAutospacing="1"/>
      <w:textAlignment w:val="center"/>
    </w:pPr>
  </w:style>
  <w:style w:type="paragraph" w:customStyle="1" w:styleId="xl1343">
    <w:name w:val="xl1343"/>
    <w:basedOn w:val="a2"/>
    <w:rsid w:val="00BD174E"/>
    <w:pPr>
      <w:pBdr>
        <w:left w:val="single" w:sz="4" w:space="0" w:color="auto"/>
        <w:bottom w:val="single" w:sz="8" w:space="0" w:color="auto"/>
      </w:pBdr>
      <w:spacing w:before="100" w:beforeAutospacing="1" w:after="100" w:afterAutospacing="1"/>
    </w:pPr>
  </w:style>
  <w:style w:type="paragraph" w:customStyle="1" w:styleId="xl1344">
    <w:name w:val="xl1344"/>
    <w:basedOn w:val="a2"/>
    <w:rsid w:val="00BD174E"/>
    <w:pPr>
      <w:pBdr>
        <w:top w:val="single" w:sz="8" w:space="0" w:color="auto"/>
        <w:left w:val="single" w:sz="4" w:space="0" w:color="auto"/>
        <w:bottom w:val="single" w:sz="4" w:space="0" w:color="auto"/>
      </w:pBdr>
      <w:spacing w:before="100" w:beforeAutospacing="1" w:after="100" w:afterAutospacing="1"/>
    </w:pPr>
    <w:rPr>
      <w:b/>
      <w:bCs/>
    </w:rPr>
  </w:style>
  <w:style w:type="paragraph" w:customStyle="1" w:styleId="xl1345">
    <w:name w:val="xl1345"/>
    <w:basedOn w:val="a2"/>
    <w:rsid w:val="00BD174E"/>
    <w:pPr>
      <w:pBdr>
        <w:top w:val="single" w:sz="8" w:space="0" w:color="auto"/>
        <w:bottom w:val="single" w:sz="4" w:space="0" w:color="auto"/>
      </w:pBdr>
      <w:spacing w:before="100" w:beforeAutospacing="1" w:after="100" w:afterAutospacing="1"/>
    </w:pPr>
    <w:rPr>
      <w:b/>
      <w:bCs/>
    </w:rPr>
  </w:style>
  <w:style w:type="paragraph" w:customStyle="1" w:styleId="xl1346">
    <w:name w:val="xl1346"/>
    <w:basedOn w:val="a2"/>
    <w:rsid w:val="00BD174E"/>
    <w:pPr>
      <w:pBdr>
        <w:top w:val="single" w:sz="8" w:space="0" w:color="auto"/>
        <w:bottom w:val="single" w:sz="4" w:space="0" w:color="auto"/>
        <w:right w:val="single" w:sz="4" w:space="0" w:color="auto"/>
      </w:pBdr>
      <w:spacing w:before="100" w:beforeAutospacing="1" w:after="100" w:afterAutospacing="1"/>
    </w:pPr>
    <w:rPr>
      <w:b/>
      <w:bCs/>
    </w:rPr>
  </w:style>
  <w:style w:type="paragraph" w:customStyle="1" w:styleId="xl1347">
    <w:name w:val="xl1347"/>
    <w:basedOn w:val="a2"/>
    <w:rsid w:val="00BD174E"/>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348">
    <w:name w:val="xl1348"/>
    <w:basedOn w:val="a2"/>
    <w:rsid w:val="00BD174E"/>
    <w:pPr>
      <w:pBdr>
        <w:left w:val="single" w:sz="8" w:space="0" w:color="auto"/>
        <w:right w:val="single" w:sz="4" w:space="0" w:color="auto"/>
      </w:pBdr>
      <w:spacing w:before="100" w:beforeAutospacing="1" w:after="100" w:afterAutospacing="1"/>
      <w:jc w:val="center"/>
      <w:textAlignment w:val="center"/>
    </w:pPr>
  </w:style>
  <w:style w:type="paragraph" w:customStyle="1" w:styleId="xl1349">
    <w:name w:val="xl1349"/>
    <w:basedOn w:val="a2"/>
    <w:rsid w:val="00BD174E"/>
    <w:pPr>
      <w:pBdr>
        <w:top w:val="single" w:sz="8" w:space="0" w:color="auto"/>
        <w:left w:val="single" w:sz="8" w:space="0" w:color="auto"/>
      </w:pBdr>
      <w:shd w:val="clear" w:color="000000" w:fill="D9D9D9"/>
      <w:spacing w:before="100" w:beforeAutospacing="1" w:after="100" w:afterAutospacing="1"/>
      <w:jc w:val="center"/>
      <w:textAlignment w:val="center"/>
    </w:pPr>
  </w:style>
  <w:style w:type="paragraph" w:customStyle="1" w:styleId="xl1350">
    <w:name w:val="xl1350"/>
    <w:basedOn w:val="a2"/>
    <w:rsid w:val="00BD174E"/>
    <w:pPr>
      <w:pBdr>
        <w:left w:val="single" w:sz="8" w:space="0" w:color="auto"/>
      </w:pBdr>
      <w:shd w:val="clear" w:color="000000" w:fill="D9D9D9"/>
      <w:spacing w:before="100" w:beforeAutospacing="1" w:after="100" w:afterAutospacing="1"/>
      <w:jc w:val="center"/>
      <w:textAlignment w:val="center"/>
    </w:pPr>
  </w:style>
  <w:style w:type="paragraph" w:customStyle="1" w:styleId="xl1351">
    <w:name w:val="xl1351"/>
    <w:basedOn w:val="a2"/>
    <w:rsid w:val="00BD174E"/>
    <w:pPr>
      <w:pBdr>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1352">
    <w:name w:val="xl1352"/>
    <w:basedOn w:val="a2"/>
    <w:rsid w:val="00BD174E"/>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rPr>
  </w:style>
  <w:style w:type="paragraph" w:customStyle="1" w:styleId="xl1353">
    <w:name w:val="xl1353"/>
    <w:basedOn w:val="a2"/>
    <w:rsid w:val="00BD174E"/>
    <w:pPr>
      <w:pBdr>
        <w:left w:val="single" w:sz="8" w:space="0" w:color="auto"/>
        <w:right w:val="single" w:sz="4" w:space="0" w:color="auto"/>
      </w:pBdr>
      <w:shd w:val="clear" w:color="000000" w:fill="D9D9D9"/>
      <w:spacing w:before="100" w:beforeAutospacing="1" w:after="100" w:afterAutospacing="1"/>
      <w:jc w:val="center"/>
      <w:textAlignment w:val="center"/>
    </w:pPr>
    <w:rPr>
      <w:color w:val="000000"/>
    </w:rPr>
  </w:style>
  <w:style w:type="paragraph" w:customStyle="1" w:styleId="xl1354">
    <w:name w:val="xl1354"/>
    <w:basedOn w:val="a2"/>
    <w:rsid w:val="00BD174E"/>
    <w:pPr>
      <w:pBdr>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color w:val="000000"/>
    </w:rPr>
  </w:style>
  <w:style w:type="paragraph" w:customStyle="1" w:styleId="xl1355">
    <w:name w:val="xl1355"/>
    <w:basedOn w:val="a2"/>
    <w:rsid w:val="00BD174E"/>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356">
    <w:name w:val="xl1356"/>
    <w:basedOn w:val="a2"/>
    <w:rsid w:val="00BD174E"/>
    <w:pPr>
      <w:pBdr>
        <w:top w:val="single" w:sz="8" w:space="0" w:color="auto"/>
      </w:pBdr>
      <w:shd w:val="clear" w:color="000000" w:fill="FFFFFF"/>
      <w:spacing w:before="100" w:beforeAutospacing="1" w:after="100" w:afterAutospacing="1"/>
      <w:jc w:val="center"/>
      <w:textAlignment w:val="center"/>
    </w:pPr>
  </w:style>
  <w:style w:type="paragraph" w:customStyle="1" w:styleId="xl1357">
    <w:name w:val="xl1357"/>
    <w:basedOn w:val="a2"/>
    <w:rsid w:val="00BD174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58">
    <w:name w:val="xl1358"/>
    <w:basedOn w:val="a2"/>
    <w:rsid w:val="00BD174E"/>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9">
    <w:name w:val="xl1359"/>
    <w:basedOn w:val="a2"/>
    <w:rsid w:val="00BD174E"/>
    <w:pPr>
      <w:pBdr>
        <w:bottom w:val="single" w:sz="4" w:space="0" w:color="auto"/>
      </w:pBdr>
      <w:shd w:val="clear" w:color="000000" w:fill="FFFFFF"/>
      <w:spacing w:before="100" w:beforeAutospacing="1" w:after="100" w:afterAutospacing="1"/>
      <w:jc w:val="center"/>
      <w:textAlignment w:val="center"/>
    </w:pPr>
  </w:style>
  <w:style w:type="paragraph" w:customStyle="1" w:styleId="xl1360">
    <w:name w:val="xl1360"/>
    <w:basedOn w:val="a2"/>
    <w:rsid w:val="00BD174E"/>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1">
    <w:name w:val="xl1361"/>
    <w:basedOn w:val="a2"/>
    <w:rsid w:val="00BD174E"/>
    <w:pPr>
      <w:pBdr>
        <w:top w:val="single" w:sz="8" w:space="0" w:color="auto"/>
        <w:left w:val="single" w:sz="4" w:space="0" w:color="auto"/>
      </w:pBdr>
      <w:spacing w:before="100" w:beforeAutospacing="1" w:after="100" w:afterAutospacing="1"/>
      <w:jc w:val="center"/>
      <w:textAlignment w:val="center"/>
    </w:pPr>
  </w:style>
  <w:style w:type="paragraph" w:customStyle="1" w:styleId="xl1362">
    <w:name w:val="xl1362"/>
    <w:basedOn w:val="a2"/>
    <w:rsid w:val="00BD174E"/>
    <w:pPr>
      <w:pBdr>
        <w:left w:val="single" w:sz="4" w:space="0" w:color="auto"/>
      </w:pBdr>
      <w:spacing w:before="100" w:beforeAutospacing="1" w:after="100" w:afterAutospacing="1"/>
      <w:jc w:val="center"/>
      <w:textAlignment w:val="center"/>
    </w:pPr>
  </w:style>
  <w:style w:type="paragraph" w:customStyle="1" w:styleId="xl1363">
    <w:name w:val="xl1363"/>
    <w:basedOn w:val="a2"/>
    <w:rsid w:val="00BD174E"/>
    <w:pPr>
      <w:pBdr>
        <w:left w:val="single" w:sz="4" w:space="0" w:color="auto"/>
        <w:bottom w:val="single" w:sz="4" w:space="0" w:color="auto"/>
      </w:pBdr>
      <w:spacing w:before="100" w:beforeAutospacing="1" w:after="100" w:afterAutospacing="1"/>
      <w:jc w:val="center"/>
      <w:textAlignment w:val="center"/>
    </w:pPr>
  </w:style>
  <w:style w:type="paragraph" w:customStyle="1" w:styleId="xl1364">
    <w:name w:val="xl1364"/>
    <w:basedOn w:val="a2"/>
    <w:rsid w:val="00BD174E"/>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5">
    <w:name w:val="xl1365"/>
    <w:basedOn w:val="a2"/>
    <w:rsid w:val="00BD174E"/>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6">
    <w:name w:val="xl1366"/>
    <w:basedOn w:val="a2"/>
    <w:rsid w:val="00BD174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7">
    <w:name w:val="xl1367"/>
    <w:basedOn w:val="a2"/>
    <w:rsid w:val="00BD174E"/>
    <w:pPr>
      <w:pBdr>
        <w:top w:val="single" w:sz="8" w:space="0" w:color="auto"/>
        <w:left w:val="single" w:sz="8" w:space="0" w:color="auto"/>
        <w:right w:val="single" w:sz="4" w:space="0" w:color="auto"/>
      </w:pBdr>
      <w:spacing w:before="100" w:beforeAutospacing="1" w:after="100" w:afterAutospacing="1"/>
      <w:jc w:val="center"/>
      <w:textAlignment w:val="center"/>
    </w:pPr>
  </w:style>
  <w:style w:type="paragraph" w:customStyle="1" w:styleId="xl1368">
    <w:name w:val="xl1368"/>
    <w:basedOn w:val="a2"/>
    <w:rsid w:val="00BD174E"/>
    <w:pPr>
      <w:pBdr>
        <w:top w:val="single" w:sz="4" w:space="0" w:color="auto"/>
        <w:left w:val="single" w:sz="4" w:space="0" w:color="auto"/>
        <w:bottom w:val="single" w:sz="4" w:space="0" w:color="auto"/>
      </w:pBdr>
      <w:spacing w:before="100" w:beforeAutospacing="1" w:after="100" w:afterAutospacing="1"/>
      <w:textAlignment w:val="center"/>
    </w:pPr>
    <w:rPr>
      <w:i/>
      <w:iCs/>
    </w:rPr>
  </w:style>
  <w:style w:type="paragraph" w:customStyle="1" w:styleId="xl1369">
    <w:name w:val="xl1369"/>
    <w:basedOn w:val="a2"/>
    <w:rsid w:val="00BD174E"/>
    <w:pPr>
      <w:pBdr>
        <w:top w:val="single" w:sz="4" w:space="0" w:color="auto"/>
        <w:bottom w:val="single" w:sz="4" w:space="0" w:color="auto"/>
      </w:pBdr>
      <w:spacing w:before="100" w:beforeAutospacing="1" w:after="100" w:afterAutospacing="1"/>
      <w:textAlignment w:val="center"/>
    </w:pPr>
    <w:rPr>
      <w:i/>
      <w:iCs/>
    </w:rPr>
  </w:style>
  <w:style w:type="paragraph" w:customStyle="1" w:styleId="xl1370">
    <w:name w:val="xl1370"/>
    <w:basedOn w:val="a2"/>
    <w:rsid w:val="00BD174E"/>
    <w:pPr>
      <w:pBdr>
        <w:top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1371">
    <w:name w:val="xl1371"/>
    <w:basedOn w:val="a2"/>
    <w:rsid w:val="00BD174E"/>
    <w:pPr>
      <w:pBdr>
        <w:top w:val="single" w:sz="8" w:space="0" w:color="auto"/>
        <w:left w:val="single" w:sz="8" w:space="0" w:color="auto"/>
      </w:pBdr>
      <w:shd w:val="clear" w:color="000000" w:fill="D9D9D9"/>
      <w:spacing w:before="100" w:beforeAutospacing="1" w:after="100" w:afterAutospacing="1"/>
      <w:jc w:val="center"/>
      <w:textAlignment w:val="center"/>
    </w:pPr>
    <w:rPr>
      <w:color w:val="000000"/>
    </w:rPr>
  </w:style>
  <w:style w:type="paragraph" w:customStyle="1" w:styleId="xl1372">
    <w:name w:val="xl1372"/>
    <w:basedOn w:val="a2"/>
    <w:rsid w:val="00BD174E"/>
    <w:pPr>
      <w:pBdr>
        <w:left w:val="single" w:sz="8" w:space="0" w:color="auto"/>
        <w:bottom w:val="single" w:sz="8" w:space="0" w:color="auto"/>
      </w:pBdr>
      <w:shd w:val="clear" w:color="000000" w:fill="D9D9D9"/>
      <w:spacing w:before="100" w:beforeAutospacing="1" w:after="100" w:afterAutospacing="1"/>
      <w:jc w:val="center"/>
      <w:textAlignment w:val="center"/>
    </w:pPr>
    <w:rPr>
      <w:color w:val="000000"/>
    </w:rPr>
  </w:style>
  <w:style w:type="paragraph" w:customStyle="1" w:styleId="xl1373">
    <w:name w:val="xl1373"/>
    <w:basedOn w:val="a2"/>
    <w:rsid w:val="00BD174E"/>
    <w:pPr>
      <w:pBdr>
        <w:left w:val="single" w:sz="4" w:space="0" w:color="auto"/>
        <w:bottom w:val="single" w:sz="8" w:space="0" w:color="auto"/>
      </w:pBdr>
      <w:spacing w:before="100" w:beforeAutospacing="1" w:after="100" w:afterAutospacing="1"/>
    </w:pPr>
    <w:rPr>
      <w:i/>
      <w:iCs/>
      <w:color w:val="FF0000"/>
    </w:rPr>
  </w:style>
  <w:style w:type="paragraph" w:customStyle="1" w:styleId="xl1374">
    <w:name w:val="xl1374"/>
    <w:basedOn w:val="a2"/>
    <w:rsid w:val="00BD174E"/>
    <w:pPr>
      <w:pBdr>
        <w:bottom w:val="single" w:sz="8" w:space="0" w:color="auto"/>
      </w:pBdr>
      <w:spacing w:before="100" w:beforeAutospacing="1" w:after="100" w:afterAutospacing="1"/>
    </w:pPr>
    <w:rPr>
      <w:i/>
      <w:iCs/>
      <w:color w:val="FF0000"/>
    </w:rPr>
  </w:style>
  <w:style w:type="paragraph" w:customStyle="1" w:styleId="xl1375">
    <w:name w:val="xl1375"/>
    <w:basedOn w:val="a2"/>
    <w:rsid w:val="00BD174E"/>
    <w:pPr>
      <w:pBdr>
        <w:bottom w:val="single" w:sz="8" w:space="0" w:color="auto"/>
        <w:right w:val="single" w:sz="4" w:space="0" w:color="auto"/>
      </w:pBdr>
      <w:spacing w:before="100" w:beforeAutospacing="1" w:after="100" w:afterAutospacing="1"/>
    </w:pPr>
    <w:rPr>
      <w:i/>
      <w:iCs/>
      <w:color w:val="FF0000"/>
    </w:rPr>
  </w:style>
  <w:style w:type="paragraph" w:customStyle="1" w:styleId="xl1376">
    <w:name w:val="xl1376"/>
    <w:basedOn w:val="a2"/>
    <w:rsid w:val="00BD174E"/>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377">
    <w:name w:val="xl1377"/>
    <w:basedOn w:val="a2"/>
    <w:rsid w:val="00BD174E"/>
    <w:pPr>
      <w:pBdr>
        <w:left w:val="single" w:sz="4" w:space="0" w:color="auto"/>
        <w:bottom w:val="single" w:sz="4" w:space="0" w:color="auto"/>
      </w:pBdr>
      <w:spacing w:before="100" w:beforeAutospacing="1" w:after="100" w:afterAutospacing="1"/>
    </w:pPr>
    <w:rPr>
      <w:i/>
      <w:iCs/>
      <w:color w:val="FF0000"/>
    </w:rPr>
  </w:style>
  <w:style w:type="paragraph" w:customStyle="1" w:styleId="xl1378">
    <w:name w:val="xl1378"/>
    <w:basedOn w:val="a2"/>
    <w:rsid w:val="00BD174E"/>
    <w:pPr>
      <w:pBdr>
        <w:bottom w:val="single" w:sz="4" w:space="0" w:color="auto"/>
      </w:pBdr>
      <w:spacing w:before="100" w:beforeAutospacing="1" w:after="100" w:afterAutospacing="1"/>
    </w:pPr>
    <w:rPr>
      <w:i/>
      <w:iCs/>
      <w:color w:val="FF0000"/>
    </w:rPr>
  </w:style>
  <w:style w:type="paragraph" w:customStyle="1" w:styleId="xl1379">
    <w:name w:val="xl1379"/>
    <w:basedOn w:val="a2"/>
    <w:rsid w:val="00BD174E"/>
    <w:pPr>
      <w:pBdr>
        <w:bottom w:val="single" w:sz="4" w:space="0" w:color="auto"/>
        <w:right w:val="single" w:sz="4" w:space="0" w:color="auto"/>
      </w:pBdr>
      <w:spacing w:before="100" w:beforeAutospacing="1" w:after="100" w:afterAutospacing="1"/>
    </w:pPr>
    <w:rPr>
      <w:i/>
      <w:iCs/>
      <w:color w:val="FF0000"/>
    </w:rPr>
  </w:style>
  <w:style w:type="paragraph" w:customStyle="1" w:styleId="xl1380">
    <w:name w:val="xl1380"/>
    <w:basedOn w:val="a2"/>
    <w:rsid w:val="00BD174E"/>
    <w:pPr>
      <w:pBdr>
        <w:top w:val="single" w:sz="4" w:space="0" w:color="auto"/>
        <w:bottom w:val="single" w:sz="4" w:space="0" w:color="auto"/>
      </w:pBdr>
      <w:spacing w:before="100" w:beforeAutospacing="1" w:after="100" w:afterAutospacing="1"/>
      <w:textAlignment w:val="center"/>
    </w:pPr>
  </w:style>
  <w:style w:type="paragraph" w:customStyle="1" w:styleId="xl1381">
    <w:name w:val="xl1381"/>
    <w:basedOn w:val="a2"/>
    <w:rsid w:val="00BD174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82">
    <w:name w:val="xl1382"/>
    <w:basedOn w:val="a2"/>
    <w:rsid w:val="00BD174E"/>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383">
    <w:name w:val="xl1383"/>
    <w:basedOn w:val="a2"/>
    <w:rsid w:val="00BD174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84">
    <w:name w:val="xl1384"/>
    <w:basedOn w:val="a2"/>
    <w:rsid w:val="00BD174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85">
    <w:name w:val="xl1385"/>
    <w:basedOn w:val="a2"/>
    <w:rsid w:val="00BD174E"/>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386">
    <w:name w:val="xl1386"/>
    <w:basedOn w:val="a2"/>
    <w:rsid w:val="00BD174E"/>
    <w:pPr>
      <w:pBdr>
        <w:top w:val="single" w:sz="4" w:space="0" w:color="auto"/>
        <w:bottom w:val="single" w:sz="4" w:space="0" w:color="auto"/>
      </w:pBdr>
      <w:spacing w:before="100" w:beforeAutospacing="1" w:after="100" w:afterAutospacing="1"/>
      <w:textAlignment w:val="center"/>
    </w:pPr>
    <w:rPr>
      <w:b/>
      <w:bCs/>
    </w:rPr>
  </w:style>
  <w:style w:type="paragraph" w:customStyle="1" w:styleId="xl1387">
    <w:name w:val="xl1387"/>
    <w:basedOn w:val="a2"/>
    <w:rsid w:val="00BD174E"/>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88">
    <w:name w:val="xl1388"/>
    <w:basedOn w:val="a2"/>
    <w:rsid w:val="00BD174E"/>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389">
    <w:name w:val="xl1389"/>
    <w:basedOn w:val="a2"/>
    <w:rsid w:val="00BD174E"/>
    <w:pPr>
      <w:pBdr>
        <w:top w:val="single" w:sz="4" w:space="0" w:color="auto"/>
        <w:bottom w:val="single" w:sz="4" w:space="0" w:color="auto"/>
      </w:pBdr>
      <w:spacing w:before="100" w:beforeAutospacing="1" w:after="100" w:afterAutospacing="1"/>
      <w:textAlignment w:val="center"/>
    </w:pPr>
  </w:style>
  <w:style w:type="paragraph" w:customStyle="1" w:styleId="xl1390">
    <w:name w:val="xl1390"/>
    <w:basedOn w:val="a2"/>
    <w:rsid w:val="00BD174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91">
    <w:name w:val="xl1391"/>
    <w:basedOn w:val="a2"/>
    <w:rsid w:val="00BD174E"/>
    <w:pPr>
      <w:pBdr>
        <w:top w:val="single" w:sz="8" w:space="0" w:color="auto"/>
        <w:left w:val="single" w:sz="4" w:space="0" w:color="auto"/>
        <w:bottom w:val="single" w:sz="8" w:space="0" w:color="auto"/>
      </w:pBdr>
      <w:spacing w:before="100" w:beforeAutospacing="1" w:after="100" w:afterAutospacing="1"/>
    </w:pPr>
    <w:rPr>
      <w:b/>
      <w:bCs/>
    </w:rPr>
  </w:style>
  <w:style w:type="paragraph" w:customStyle="1" w:styleId="xl1392">
    <w:name w:val="xl1392"/>
    <w:basedOn w:val="a2"/>
    <w:rsid w:val="00BD174E"/>
    <w:pPr>
      <w:pBdr>
        <w:top w:val="single" w:sz="8" w:space="0" w:color="auto"/>
        <w:bottom w:val="single" w:sz="8" w:space="0" w:color="auto"/>
      </w:pBdr>
      <w:spacing w:before="100" w:beforeAutospacing="1" w:after="100" w:afterAutospacing="1"/>
    </w:pPr>
    <w:rPr>
      <w:b/>
      <w:bCs/>
    </w:rPr>
  </w:style>
  <w:style w:type="paragraph" w:customStyle="1" w:styleId="xl1393">
    <w:name w:val="xl1393"/>
    <w:basedOn w:val="a2"/>
    <w:rsid w:val="00BD174E"/>
    <w:pPr>
      <w:pBdr>
        <w:top w:val="single" w:sz="8" w:space="0" w:color="auto"/>
        <w:bottom w:val="single" w:sz="8" w:space="0" w:color="auto"/>
        <w:right w:val="single" w:sz="4" w:space="0" w:color="auto"/>
      </w:pBdr>
      <w:spacing w:before="100" w:beforeAutospacing="1" w:after="100" w:afterAutospacing="1"/>
    </w:pPr>
    <w:rPr>
      <w:b/>
      <w:bCs/>
    </w:rPr>
  </w:style>
  <w:style w:type="paragraph" w:customStyle="1" w:styleId="xl1394">
    <w:name w:val="xl1394"/>
    <w:basedOn w:val="a2"/>
    <w:rsid w:val="00BD174E"/>
    <w:pPr>
      <w:pBdr>
        <w:top w:val="single" w:sz="4" w:space="0" w:color="auto"/>
        <w:left w:val="single" w:sz="4" w:space="0" w:color="auto"/>
        <w:bottom w:val="single" w:sz="4" w:space="0" w:color="auto"/>
      </w:pBdr>
      <w:spacing w:before="100" w:beforeAutospacing="1" w:after="100" w:afterAutospacing="1"/>
    </w:pPr>
  </w:style>
  <w:style w:type="paragraph" w:customStyle="1" w:styleId="xl1395">
    <w:name w:val="xl1395"/>
    <w:basedOn w:val="a2"/>
    <w:rsid w:val="00BD174E"/>
    <w:pPr>
      <w:pBdr>
        <w:top w:val="single" w:sz="4" w:space="0" w:color="auto"/>
        <w:bottom w:val="single" w:sz="4" w:space="0" w:color="auto"/>
      </w:pBdr>
      <w:spacing w:before="100" w:beforeAutospacing="1" w:after="100" w:afterAutospacing="1"/>
    </w:pPr>
  </w:style>
  <w:style w:type="paragraph" w:customStyle="1" w:styleId="xl1396">
    <w:name w:val="xl1396"/>
    <w:basedOn w:val="a2"/>
    <w:rsid w:val="00BD174E"/>
    <w:pPr>
      <w:pBdr>
        <w:top w:val="single" w:sz="4" w:space="0" w:color="auto"/>
        <w:bottom w:val="single" w:sz="4" w:space="0" w:color="auto"/>
        <w:right w:val="single" w:sz="4" w:space="0" w:color="auto"/>
      </w:pBdr>
      <w:spacing w:before="100" w:beforeAutospacing="1" w:after="100" w:afterAutospacing="1"/>
    </w:pPr>
  </w:style>
  <w:style w:type="paragraph" w:customStyle="1" w:styleId="xl1397">
    <w:name w:val="xl1397"/>
    <w:basedOn w:val="a2"/>
    <w:rsid w:val="00BD174E"/>
    <w:pPr>
      <w:pBdr>
        <w:top w:val="single" w:sz="4" w:space="0" w:color="auto"/>
        <w:left w:val="single" w:sz="4" w:space="0" w:color="auto"/>
        <w:bottom w:val="single" w:sz="4" w:space="0" w:color="auto"/>
      </w:pBdr>
      <w:spacing w:before="100" w:beforeAutospacing="1" w:after="100" w:afterAutospacing="1"/>
    </w:pPr>
  </w:style>
  <w:style w:type="paragraph" w:customStyle="1" w:styleId="xl1398">
    <w:name w:val="xl1398"/>
    <w:basedOn w:val="a2"/>
    <w:rsid w:val="00BD174E"/>
    <w:pPr>
      <w:pBdr>
        <w:top w:val="single" w:sz="4" w:space="0" w:color="auto"/>
        <w:bottom w:val="single" w:sz="4" w:space="0" w:color="auto"/>
      </w:pBdr>
      <w:spacing w:before="100" w:beforeAutospacing="1" w:after="100" w:afterAutospacing="1"/>
    </w:pPr>
  </w:style>
  <w:style w:type="paragraph" w:customStyle="1" w:styleId="xl1399">
    <w:name w:val="xl1399"/>
    <w:basedOn w:val="a2"/>
    <w:rsid w:val="00BD174E"/>
    <w:pPr>
      <w:pBdr>
        <w:top w:val="single" w:sz="4" w:space="0" w:color="auto"/>
        <w:bottom w:val="single" w:sz="4" w:space="0" w:color="auto"/>
        <w:right w:val="single" w:sz="4" w:space="0" w:color="auto"/>
      </w:pBdr>
      <w:spacing w:before="100" w:beforeAutospacing="1" w:after="100" w:afterAutospacing="1"/>
    </w:pPr>
  </w:style>
  <w:style w:type="paragraph" w:customStyle="1" w:styleId="xl1400">
    <w:name w:val="xl1400"/>
    <w:basedOn w:val="a2"/>
    <w:rsid w:val="00BD174E"/>
    <w:pPr>
      <w:pBdr>
        <w:top w:val="single" w:sz="4" w:space="0" w:color="auto"/>
      </w:pBdr>
      <w:spacing w:before="100" w:beforeAutospacing="1" w:after="100" w:afterAutospacing="1"/>
    </w:pPr>
  </w:style>
  <w:style w:type="paragraph" w:customStyle="1" w:styleId="xl1401">
    <w:name w:val="xl1401"/>
    <w:basedOn w:val="a2"/>
    <w:rsid w:val="00BD174E"/>
    <w:pPr>
      <w:pBdr>
        <w:top w:val="single" w:sz="4" w:space="0" w:color="auto"/>
        <w:right w:val="single" w:sz="4" w:space="0" w:color="auto"/>
      </w:pBdr>
      <w:spacing w:before="100" w:beforeAutospacing="1" w:after="100" w:afterAutospacing="1"/>
    </w:pPr>
  </w:style>
  <w:style w:type="paragraph" w:customStyle="1" w:styleId="xl1402">
    <w:name w:val="xl1402"/>
    <w:basedOn w:val="a2"/>
    <w:rsid w:val="00BD174E"/>
    <w:pPr>
      <w:pBdr>
        <w:top w:val="single" w:sz="4" w:space="0" w:color="auto"/>
        <w:bottom w:val="single" w:sz="4" w:space="0" w:color="auto"/>
      </w:pBdr>
      <w:spacing w:before="100" w:beforeAutospacing="1" w:after="100" w:afterAutospacing="1"/>
    </w:pPr>
  </w:style>
  <w:style w:type="paragraph" w:customStyle="1" w:styleId="xl1403">
    <w:name w:val="xl1403"/>
    <w:basedOn w:val="a2"/>
    <w:rsid w:val="00BD174E"/>
    <w:pPr>
      <w:pBdr>
        <w:top w:val="single" w:sz="4" w:space="0" w:color="auto"/>
        <w:bottom w:val="single" w:sz="4" w:space="0" w:color="auto"/>
        <w:right w:val="single" w:sz="4" w:space="0" w:color="auto"/>
      </w:pBdr>
      <w:spacing w:before="100" w:beforeAutospacing="1" w:after="100" w:afterAutospacing="1"/>
    </w:pPr>
  </w:style>
  <w:style w:type="paragraph" w:customStyle="1" w:styleId="xl1404">
    <w:name w:val="xl1404"/>
    <w:basedOn w:val="a2"/>
    <w:rsid w:val="00BD174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05">
    <w:name w:val="xl1405"/>
    <w:basedOn w:val="a2"/>
    <w:rsid w:val="00BD174E"/>
    <w:pPr>
      <w:pBdr>
        <w:left w:val="single" w:sz="4" w:space="0" w:color="auto"/>
      </w:pBdr>
      <w:shd w:val="clear" w:color="000000" w:fill="FFFFFF"/>
      <w:spacing w:before="100" w:beforeAutospacing="1" w:after="100" w:afterAutospacing="1"/>
      <w:jc w:val="center"/>
      <w:textAlignment w:val="center"/>
    </w:pPr>
  </w:style>
  <w:style w:type="paragraph" w:customStyle="1" w:styleId="xl1406">
    <w:name w:val="xl1406"/>
    <w:basedOn w:val="a2"/>
    <w:rsid w:val="00BD174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07">
    <w:name w:val="xl1407"/>
    <w:basedOn w:val="a2"/>
    <w:rsid w:val="00BD174E"/>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408">
    <w:name w:val="xl1408"/>
    <w:basedOn w:val="a2"/>
    <w:rsid w:val="00BD174E"/>
    <w:pPr>
      <w:pBdr>
        <w:top w:val="single" w:sz="4" w:space="0" w:color="auto"/>
        <w:bottom w:val="single" w:sz="4" w:space="0" w:color="auto"/>
      </w:pBdr>
      <w:spacing w:before="100" w:beforeAutospacing="1" w:after="100" w:afterAutospacing="1"/>
      <w:textAlignment w:val="center"/>
    </w:pPr>
  </w:style>
  <w:style w:type="paragraph" w:customStyle="1" w:styleId="xl1409">
    <w:name w:val="xl1409"/>
    <w:basedOn w:val="a2"/>
    <w:rsid w:val="00BD174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10">
    <w:name w:val="xl1410"/>
    <w:basedOn w:val="a2"/>
    <w:rsid w:val="00BD174E"/>
    <w:pPr>
      <w:pBdr>
        <w:top w:val="single" w:sz="8" w:space="0" w:color="auto"/>
        <w:left w:val="single" w:sz="4" w:space="0" w:color="auto"/>
        <w:bottom w:val="single" w:sz="4" w:space="0" w:color="auto"/>
      </w:pBdr>
      <w:shd w:val="clear" w:color="000000" w:fill="F2F2F2"/>
      <w:spacing w:before="100" w:beforeAutospacing="1" w:after="100" w:afterAutospacing="1"/>
      <w:textAlignment w:val="center"/>
    </w:pPr>
    <w:rPr>
      <w:sz w:val="28"/>
      <w:szCs w:val="28"/>
    </w:rPr>
  </w:style>
  <w:style w:type="paragraph" w:customStyle="1" w:styleId="xl1411">
    <w:name w:val="xl1411"/>
    <w:basedOn w:val="a2"/>
    <w:rsid w:val="00BD174E"/>
    <w:pPr>
      <w:pBdr>
        <w:top w:val="single" w:sz="8" w:space="0" w:color="auto"/>
        <w:bottom w:val="single" w:sz="4" w:space="0" w:color="auto"/>
      </w:pBdr>
      <w:shd w:val="clear" w:color="000000" w:fill="F2F2F2"/>
      <w:spacing w:before="100" w:beforeAutospacing="1" w:after="100" w:afterAutospacing="1"/>
      <w:textAlignment w:val="center"/>
    </w:pPr>
    <w:rPr>
      <w:sz w:val="28"/>
      <w:szCs w:val="28"/>
    </w:rPr>
  </w:style>
  <w:style w:type="paragraph" w:customStyle="1" w:styleId="xl1412">
    <w:name w:val="xl1412"/>
    <w:basedOn w:val="a2"/>
    <w:rsid w:val="00BD174E"/>
    <w:pPr>
      <w:pBdr>
        <w:top w:val="single" w:sz="8" w:space="0" w:color="auto"/>
        <w:bottom w:val="single" w:sz="4" w:space="0" w:color="auto"/>
        <w:right w:val="single" w:sz="4" w:space="0" w:color="auto"/>
      </w:pBdr>
      <w:shd w:val="clear" w:color="000000" w:fill="F2F2F2"/>
      <w:spacing w:before="100" w:beforeAutospacing="1" w:after="100" w:afterAutospacing="1"/>
      <w:textAlignment w:val="center"/>
    </w:pPr>
    <w:rPr>
      <w:sz w:val="28"/>
      <w:szCs w:val="28"/>
    </w:rPr>
  </w:style>
  <w:style w:type="paragraph" w:customStyle="1" w:styleId="xl1413">
    <w:name w:val="xl1413"/>
    <w:basedOn w:val="a2"/>
    <w:rsid w:val="00BD174E"/>
    <w:pPr>
      <w:pBdr>
        <w:top w:val="single" w:sz="4" w:space="0" w:color="auto"/>
        <w:left w:val="single" w:sz="4" w:space="0" w:color="auto"/>
        <w:bottom w:val="single" w:sz="4" w:space="0" w:color="auto"/>
        <w:right w:val="single" w:sz="4" w:space="0" w:color="auto"/>
      </w:pBdr>
      <w:shd w:val="clear" w:color="000000" w:fill="FDF2DB"/>
      <w:spacing w:before="100" w:beforeAutospacing="1" w:after="100" w:afterAutospacing="1"/>
      <w:jc w:val="center"/>
      <w:textAlignment w:val="center"/>
    </w:pPr>
  </w:style>
  <w:style w:type="paragraph" w:customStyle="1" w:styleId="xl1414">
    <w:name w:val="xl1414"/>
    <w:basedOn w:val="a2"/>
    <w:rsid w:val="00BD174E"/>
    <w:pPr>
      <w:pBdr>
        <w:left w:val="single" w:sz="4" w:space="0" w:color="auto"/>
      </w:pBdr>
      <w:spacing w:before="100" w:beforeAutospacing="1" w:after="100" w:afterAutospacing="1"/>
    </w:pPr>
    <w:rPr>
      <w:i/>
      <w:iCs/>
    </w:rPr>
  </w:style>
  <w:style w:type="paragraph" w:customStyle="1" w:styleId="xl1415">
    <w:name w:val="xl1415"/>
    <w:basedOn w:val="a2"/>
    <w:rsid w:val="00BD174E"/>
    <w:pPr>
      <w:spacing w:before="100" w:beforeAutospacing="1" w:after="100" w:afterAutospacing="1"/>
    </w:pPr>
    <w:rPr>
      <w:i/>
      <w:iCs/>
    </w:rPr>
  </w:style>
  <w:style w:type="paragraph" w:customStyle="1" w:styleId="xl1416">
    <w:name w:val="xl1416"/>
    <w:basedOn w:val="a2"/>
    <w:rsid w:val="00BD174E"/>
    <w:pPr>
      <w:pBdr>
        <w:right w:val="single" w:sz="4" w:space="0" w:color="auto"/>
      </w:pBdr>
      <w:spacing w:before="100" w:beforeAutospacing="1" w:after="100" w:afterAutospacing="1"/>
    </w:pPr>
    <w:rPr>
      <w:i/>
      <w:iCs/>
    </w:rPr>
  </w:style>
  <w:style w:type="paragraph" w:customStyle="1" w:styleId="xl1417">
    <w:name w:val="xl1417"/>
    <w:basedOn w:val="a2"/>
    <w:rsid w:val="00BD174E"/>
    <w:pPr>
      <w:pBdr>
        <w:left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418">
    <w:name w:val="xl1418"/>
    <w:basedOn w:val="a2"/>
    <w:rsid w:val="00BD174E"/>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419">
    <w:name w:val="xl1419"/>
    <w:basedOn w:val="a2"/>
    <w:rsid w:val="00BD174E"/>
    <w:pPr>
      <w:pBdr>
        <w:left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1420">
    <w:name w:val="xl1420"/>
    <w:basedOn w:val="a2"/>
    <w:rsid w:val="00BD174E"/>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1421">
    <w:name w:val="xl1421"/>
    <w:basedOn w:val="a2"/>
    <w:rsid w:val="00BD174E"/>
    <w:pPr>
      <w:pBdr>
        <w:top w:val="single" w:sz="4" w:space="0" w:color="auto"/>
        <w:left w:val="single" w:sz="4" w:space="0" w:color="auto"/>
        <w:bottom w:val="single" w:sz="4" w:space="0" w:color="auto"/>
      </w:pBdr>
      <w:shd w:val="clear" w:color="000000" w:fill="FDF2DB"/>
      <w:spacing w:before="100" w:beforeAutospacing="1" w:after="100" w:afterAutospacing="1"/>
      <w:jc w:val="center"/>
      <w:textAlignment w:val="center"/>
    </w:pPr>
  </w:style>
  <w:style w:type="paragraph" w:customStyle="1" w:styleId="xl1422">
    <w:name w:val="xl1422"/>
    <w:basedOn w:val="a2"/>
    <w:rsid w:val="00BD174E"/>
    <w:pPr>
      <w:pBdr>
        <w:top w:val="single" w:sz="4" w:space="0" w:color="auto"/>
        <w:bottom w:val="single" w:sz="4" w:space="0" w:color="auto"/>
        <w:right w:val="single" w:sz="4" w:space="0" w:color="auto"/>
      </w:pBdr>
      <w:shd w:val="clear" w:color="000000" w:fill="FDF2DB"/>
      <w:spacing w:before="100" w:beforeAutospacing="1" w:after="100" w:afterAutospacing="1"/>
      <w:jc w:val="center"/>
      <w:textAlignment w:val="center"/>
    </w:pPr>
  </w:style>
  <w:style w:type="paragraph" w:customStyle="1" w:styleId="xl1423">
    <w:name w:val="xl1423"/>
    <w:basedOn w:val="a2"/>
    <w:rsid w:val="00BD174E"/>
    <w:pPr>
      <w:pBdr>
        <w:top w:val="single" w:sz="8" w:space="0" w:color="auto"/>
        <w:bottom w:val="single" w:sz="4" w:space="0" w:color="auto"/>
        <w:right w:val="single" w:sz="4" w:space="0" w:color="auto"/>
      </w:pBdr>
      <w:shd w:val="clear" w:color="000000" w:fill="D9D9D9"/>
      <w:spacing w:before="100" w:beforeAutospacing="1" w:after="100" w:afterAutospacing="1"/>
    </w:pPr>
    <w:rPr>
      <w:b/>
      <w:bCs/>
    </w:rPr>
  </w:style>
  <w:style w:type="paragraph" w:customStyle="1" w:styleId="xl1424">
    <w:name w:val="xl1424"/>
    <w:basedOn w:val="a2"/>
    <w:rsid w:val="00BD174E"/>
    <w:pPr>
      <w:pBdr>
        <w:top w:val="single" w:sz="4" w:space="0" w:color="auto"/>
        <w:bottom w:val="single" w:sz="4" w:space="0" w:color="auto"/>
      </w:pBdr>
      <w:spacing w:before="100" w:beforeAutospacing="1" w:after="100" w:afterAutospacing="1"/>
      <w:jc w:val="center"/>
    </w:pPr>
  </w:style>
  <w:style w:type="paragraph" w:customStyle="1" w:styleId="xl1425">
    <w:name w:val="xl1425"/>
    <w:basedOn w:val="a2"/>
    <w:rsid w:val="00BD174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426">
    <w:name w:val="xl1426"/>
    <w:basedOn w:val="a2"/>
    <w:rsid w:val="00BD174E"/>
    <w:pPr>
      <w:pBdr>
        <w:top w:val="single" w:sz="8" w:space="0" w:color="auto"/>
        <w:left w:val="single" w:sz="8" w:space="0" w:color="auto"/>
        <w:right w:val="single" w:sz="4" w:space="0" w:color="auto"/>
      </w:pBdr>
      <w:spacing w:before="100" w:beforeAutospacing="1" w:after="100" w:afterAutospacing="1"/>
      <w:jc w:val="center"/>
      <w:textAlignment w:val="center"/>
    </w:pPr>
  </w:style>
  <w:style w:type="paragraph" w:customStyle="1" w:styleId="xl1427">
    <w:name w:val="xl1427"/>
    <w:basedOn w:val="a2"/>
    <w:rsid w:val="00BD174E"/>
    <w:pPr>
      <w:pBdr>
        <w:left w:val="single" w:sz="8" w:space="0" w:color="auto"/>
        <w:right w:val="single" w:sz="4" w:space="0" w:color="auto"/>
      </w:pBdr>
      <w:spacing w:before="100" w:beforeAutospacing="1" w:after="100" w:afterAutospacing="1"/>
      <w:jc w:val="center"/>
      <w:textAlignment w:val="center"/>
    </w:pPr>
  </w:style>
  <w:style w:type="paragraph" w:customStyle="1" w:styleId="xl1428">
    <w:name w:val="xl1428"/>
    <w:basedOn w:val="a2"/>
    <w:rsid w:val="00BD174E"/>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29">
    <w:name w:val="xl1429"/>
    <w:basedOn w:val="a2"/>
    <w:rsid w:val="00BD174E"/>
    <w:pPr>
      <w:pBdr>
        <w:top w:val="single" w:sz="8" w:space="0" w:color="auto"/>
        <w:left w:val="single" w:sz="4" w:space="0" w:color="auto"/>
      </w:pBdr>
      <w:shd w:val="clear" w:color="000000" w:fill="E6EFE5"/>
      <w:spacing w:before="100" w:beforeAutospacing="1" w:after="100" w:afterAutospacing="1"/>
      <w:jc w:val="center"/>
      <w:textAlignment w:val="center"/>
    </w:pPr>
  </w:style>
  <w:style w:type="paragraph" w:customStyle="1" w:styleId="xl1430">
    <w:name w:val="xl1430"/>
    <w:basedOn w:val="a2"/>
    <w:rsid w:val="00BD174E"/>
    <w:pPr>
      <w:pBdr>
        <w:top w:val="single" w:sz="8" w:space="0" w:color="auto"/>
      </w:pBdr>
      <w:shd w:val="clear" w:color="000000" w:fill="E6EFE5"/>
      <w:spacing w:before="100" w:beforeAutospacing="1" w:after="100" w:afterAutospacing="1"/>
      <w:jc w:val="center"/>
      <w:textAlignment w:val="center"/>
    </w:pPr>
  </w:style>
  <w:style w:type="paragraph" w:customStyle="1" w:styleId="xl1431">
    <w:name w:val="xl1431"/>
    <w:basedOn w:val="a2"/>
    <w:rsid w:val="00BD174E"/>
    <w:pPr>
      <w:pBdr>
        <w:left w:val="single" w:sz="4" w:space="0" w:color="auto"/>
      </w:pBdr>
      <w:shd w:val="clear" w:color="000000" w:fill="E6EFE5"/>
      <w:spacing w:before="100" w:beforeAutospacing="1" w:after="100" w:afterAutospacing="1"/>
      <w:jc w:val="center"/>
      <w:textAlignment w:val="center"/>
    </w:pPr>
  </w:style>
  <w:style w:type="paragraph" w:customStyle="1" w:styleId="xl1432">
    <w:name w:val="xl1432"/>
    <w:basedOn w:val="a2"/>
    <w:rsid w:val="00BD174E"/>
    <w:pPr>
      <w:shd w:val="clear" w:color="000000" w:fill="E6EFE5"/>
      <w:spacing w:before="100" w:beforeAutospacing="1" w:after="100" w:afterAutospacing="1"/>
      <w:jc w:val="center"/>
      <w:textAlignment w:val="center"/>
    </w:pPr>
  </w:style>
  <w:style w:type="paragraph" w:customStyle="1" w:styleId="xl1433">
    <w:name w:val="xl1433"/>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textAlignment w:val="center"/>
    </w:pPr>
  </w:style>
  <w:style w:type="paragraph" w:customStyle="1" w:styleId="xl1434">
    <w:name w:val="xl1434"/>
    <w:basedOn w:val="a2"/>
    <w:rsid w:val="00BD174E"/>
    <w:pPr>
      <w:pBdr>
        <w:top w:val="single" w:sz="8" w:space="0" w:color="auto"/>
        <w:left w:val="single" w:sz="4" w:space="0" w:color="auto"/>
      </w:pBdr>
      <w:shd w:val="clear" w:color="000000" w:fill="FDF2DB"/>
      <w:spacing w:before="100" w:beforeAutospacing="1" w:after="100" w:afterAutospacing="1"/>
      <w:jc w:val="center"/>
      <w:textAlignment w:val="center"/>
    </w:pPr>
  </w:style>
  <w:style w:type="paragraph" w:customStyle="1" w:styleId="xl1435">
    <w:name w:val="xl1435"/>
    <w:basedOn w:val="a2"/>
    <w:rsid w:val="00BD174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b/>
      <w:bCs/>
      <w:color w:val="000000"/>
    </w:rPr>
  </w:style>
  <w:style w:type="paragraph" w:customStyle="1" w:styleId="xl1436">
    <w:name w:val="xl1436"/>
    <w:basedOn w:val="a2"/>
    <w:rsid w:val="00BD174E"/>
    <w:pPr>
      <w:pBdr>
        <w:top w:val="single" w:sz="8" w:space="0" w:color="auto"/>
        <w:left w:val="single" w:sz="4" w:space="0" w:color="auto"/>
      </w:pBdr>
      <w:spacing w:before="100" w:beforeAutospacing="1" w:after="100" w:afterAutospacing="1"/>
    </w:pPr>
    <w:rPr>
      <w:color w:val="000000"/>
    </w:rPr>
  </w:style>
  <w:style w:type="paragraph" w:customStyle="1" w:styleId="xl1437">
    <w:name w:val="xl1437"/>
    <w:basedOn w:val="a2"/>
    <w:rsid w:val="00BD174E"/>
    <w:pPr>
      <w:pBdr>
        <w:top w:val="single" w:sz="8" w:space="0" w:color="auto"/>
      </w:pBdr>
      <w:spacing w:before="100" w:beforeAutospacing="1" w:after="100" w:afterAutospacing="1"/>
    </w:pPr>
    <w:rPr>
      <w:color w:val="000000"/>
    </w:rPr>
  </w:style>
  <w:style w:type="paragraph" w:customStyle="1" w:styleId="xl1438">
    <w:name w:val="xl1438"/>
    <w:basedOn w:val="a2"/>
    <w:rsid w:val="00BD174E"/>
    <w:pPr>
      <w:pBdr>
        <w:top w:val="single" w:sz="8" w:space="0" w:color="auto"/>
        <w:right w:val="single" w:sz="4" w:space="0" w:color="auto"/>
      </w:pBdr>
      <w:spacing w:before="100" w:beforeAutospacing="1" w:after="100" w:afterAutospacing="1"/>
    </w:pPr>
    <w:rPr>
      <w:color w:val="000000"/>
    </w:rPr>
  </w:style>
  <w:style w:type="paragraph" w:customStyle="1" w:styleId="xl1439">
    <w:name w:val="xl1439"/>
    <w:basedOn w:val="a2"/>
    <w:rsid w:val="00BD17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440">
    <w:name w:val="xl1440"/>
    <w:basedOn w:val="a2"/>
    <w:rsid w:val="00BD174E"/>
    <w:pPr>
      <w:pBdr>
        <w:top w:val="single" w:sz="4" w:space="0" w:color="auto"/>
        <w:left w:val="single" w:sz="4" w:space="0" w:color="auto"/>
      </w:pBdr>
      <w:spacing w:before="100" w:beforeAutospacing="1" w:after="100" w:afterAutospacing="1"/>
    </w:pPr>
  </w:style>
  <w:style w:type="paragraph" w:customStyle="1" w:styleId="xl1441">
    <w:name w:val="xl1441"/>
    <w:basedOn w:val="a2"/>
    <w:rsid w:val="00BD174E"/>
    <w:pPr>
      <w:pBdr>
        <w:top w:val="single" w:sz="4" w:space="0" w:color="auto"/>
      </w:pBdr>
      <w:spacing w:before="100" w:beforeAutospacing="1" w:after="100" w:afterAutospacing="1"/>
    </w:pPr>
  </w:style>
  <w:style w:type="paragraph" w:customStyle="1" w:styleId="xl1442">
    <w:name w:val="xl1442"/>
    <w:basedOn w:val="a2"/>
    <w:rsid w:val="00BD174E"/>
    <w:pPr>
      <w:pBdr>
        <w:top w:val="single" w:sz="4" w:space="0" w:color="auto"/>
        <w:right w:val="single" w:sz="4" w:space="0" w:color="auto"/>
      </w:pBdr>
      <w:spacing w:before="100" w:beforeAutospacing="1" w:after="100" w:afterAutospacing="1"/>
    </w:pPr>
  </w:style>
  <w:style w:type="paragraph" w:customStyle="1" w:styleId="xl1443">
    <w:name w:val="xl1443"/>
    <w:basedOn w:val="a2"/>
    <w:rsid w:val="00BD174E"/>
    <w:pPr>
      <w:pBdr>
        <w:left w:val="single" w:sz="4" w:space="0" w:color="auto"/>
      </w:pBdr>
      <w:spacing w:before="100" w:beforeAutospacing="1" w:after="100" w:afterAutospacing="1"/>
    </w:pPr>
  </w:style>
  <w:style w:type="paragraph" w:customStyle="1" w:styleId="xl1444">
    <w:name w:val="xl1444"/>
    <w:basedOn w:val="a2"/>
    <w:rsid w:val="00BD174E"/>
    <w:pPr>
      <w:spacing w:before="100" w:beforeAutospacing="1" w:after="100" w:afterAutospacing="1"/>
    </w:pPr>
  </w:style>
  <w:style w:type="paragraph" w:customStyle="1" w:styleId="xl1445">
    <w:name w:val="xl1445"/>
    <w:basedOn w:val="a2"/>
    <w:rsid w:val="00BD174E"/>
    <w:pPr>
      <w:pBdr>
        <w:right w:val="single" w:sz="4" w:space="0" w:color="auto"/>
      </w:pBdr>
      <w:spacing w:before="100" w:beforeAutospacing="1" w:after="100" w:afterAutospacing="1"/>
    </w:pPr>
  </w:style>
  <w:style w:type="paragraph" w:customStyle="1" w:styleId="xl1446">
    <w:name w:val="xl1446"/>
    <w:basedOn w:val="a2"/>
    <w:rsid w:val="00BD174E"/>
    <w:pPr>
      <w:pBdr>
        <w:top w:val="single" w:sz="8" w:space="0" w:color="auto"/>
        <w:left w:val="single" w:sz="8" w:space="0" w:color="auto"/>
        <w:right w:val="single" w:sz="4" w:space="0" w:color="auto"/>
      </w:pBdr>
      <w:spacing w:before="100" w:beforeAutospacing="1" w:after="100" w:afterAutospacing="1"/>
      <w:jc w:val="center"/>
      <w:textAlignment w:val="center"/>
    </w:pPr>
  </w:style>
  <w:style w:type="paragraph" w:customStyle="1" w:styleId="xl1447">
    <w:name w:val="xl1447"/>
    <w:basedOn w:val="a2"/>
    <w:rsid w:val="00BD174E"/>
    <w:pPr>
      <w:pBdr>
        <w:left w:val="single" w:sz="8" w:space="0" w:color="auto"/>
        <w:right w:val="single" w:sz="4" w:space="0" w:color="auto"/>
      </w:pBdr>
      <w:spacing w:before="100" w:beforeAutospacing="1" w:after="100" w:afterAutospacing="1"/>
      <w:jc w:val="center"/>
      <w:textAlignment w:val="center"/>
    </w:pPr>
  </w:style>
  <w:style w:type="paragraph" w:customStyle="1" w:styleId="xl1448">
    <w:name w:val="xl1448"/>
    <w:basedOn w:val="a2"/>
    <w:rsid w:val="00BD174E"/>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49">
    <w:name w:val="xl1449"/>
    <w:basedOn w:val="a2"/>
    <w:rsid w:val="00BD174E"/>
    <w:pPr>
      <w:pBdr>
        <w:top w:val="single" w:sz="8" w:space="0" w:color="auto"/>
        <w:left w:val="single" w:sz="4" w:space="0" w:color="auto"/>
      </w:pBdr>
      <w:spacing w:before="100" w:beforeAutospacing="1" w:after="100" w:afterAutospacing="1"/>
      <w:jc w:val="center"/>
      <w:textAlignment w:val="center"/>
    </w:pPr>
  </w:style>
  <w:style w:type="paragraph" w:customStyle="1" w:styleId="xl1450">
    <w:name w:val="xl1450"/>
    <w:basedOn w:val="a2"/>
    <w:rsid w:val="00BD174E"/>
    <w:pPr>
      <w:pBdr>
        <w:top w:val="single" w:sz="8" w:space="0" w:color="auto"/>
      </w:pBdr>
      <w:spacing w:before="100" w:beforeAutospacing="1" w:after="100" w:afterAutospacing="1"/>
      <w:jc w:val="center"/>
      <w:textAlignment w:val="center"/>
    </w:pPr>
  </w:style>
  <w:style w:type="paragraph" w:customStyle="1" w:styleId="xl1451">
    <w:name w:val="xl1451"/>
    <w:basedOn w:val="a2"/>
    <w:rsid w:val="00BD174E"/>
    <w:pPr>
      <w:pBdr>
        <w:top w:val="single" w:sz="8" w:space="0" w:color="auto"/>
        <w:right w:val="single" w:sz="4" w:space="0" w:color="auto"/>
      </w:pBdr>
      <w:spacing w:before="100" w:beforeAutospacing="1" w:after="100" w:afterAutospacing="1"/>
      <w:jc w:val="center"/>
      <w:textAlignment w:val="center"/>
    </w:pPr>
  </w:style>
  <w:style w:type="paragraph" w:customStyle="1" w:styleId="xl1452">
    <w:name w:val="xl1452"/>
    <w:basedOn w:val="a2"/>
    <w:rsid w:val="00BD174E"/>
    <w:pPr>
      <w:pBdr>
        <w:left w:val="single" w:sz="4" w:space="0" w:color="auto"/>
      </w:pBdr>
      <w:spacing w:before="100" w:beforeAutospacing="1" w:after="100" w:afterAutospacing="1"/>
      <w:jc w:val="center"/>
      <w:textAlignment w:val="center"/>
    </w:pPr>
  </w:style>
  <w:style w:type="paragraph" w:customStyle="1" w:styleId="xl1453">
    <w:name w:val="xl1453"/>
    <w:basedOn w:val="a2"/>
    <w:rsid w:val="00BD174E"/>
    <w:pPr>
      <w:spacing w:before="100" w:beforeAutospacing="1" w:after="100" w:afterAutospacing="1"/>
      <w:jc w:val="center"/>
      <w:textAlignment w:val="center"/>
    </w:pPr>
  </w:style>
  <w:style w:type="paragraph" w:customStyle="1" w:styleId="xl1454">
    <w:name w:val="xl1454"/>
    <w:basedOn w:val="a2"/>
    <w:rsid w:val="00BD174E"/>
    <w:pPr>
      <w:pBdr>
        <w:right w:val="single" w:sz="4" w:space="0" w:color="auto"/>
      </w:pBdr>
      <w:spacing w:before="100" w:beforeAutospacing="1" w:after="100" w:afterAutospacing="1"/>
      <w:jc w:val="center"/>
      <w:textAlignment w:val="center"/>
    </w:pPr>
  </w:style>
  <w:style w:type="paragraph" w:customStyle="1" w:styleId="xl1455">
    <w:name w:val="xl1455"/>
    <w:basedOn w:val="a2"/>
    <w:rsid w:val="00BD174E"/>
    <w:pPr>
      <w:pBdr>
        <w:left w:val="single" w:sz="4" w:space="0" w:color="auto"/>
        <w:bottom w:val="single" w:sz="4" w:space="0" w:color="auto"/>
      </w:pBdr>
      <w:spacing w:before="100" w:beforeAutospacing="1" w:after="100" w:afterAutospacing="1"/>
      <w:jc w:val="center"/>
      <w:textAlignment w:val="center"/>
    </w:pPr>
  </w:style>
  <w:style w:type="paragraph" w:customStyle="1" w:styleId="xl1456">
    <w:name w:val="xl1456"/>
    <w:basedOn w:val="a2"/>
    <w:rsid w:val="00BD174E"/>
    <w:pPr>
      <w:pBdr>
        <w:bottom w:val="single" w:sz="4" w:space="0" w:color="auto"/>
      </w:pBdr>
      <w:spacing w:before="100" w:beforeAutospacing="1" w:after="100" w:afterAutospacing="1"/>
      <w:jc w:val="center"/>
      <w:textAlignment w:val="center"/>
    </w:pPr>
  </w:style>
  <w:style w:type="paragraph" w:customStyle="1" w:styleId="xl1457">
    <w:name w:val="xl1457"/>
    <w:basedOn w:val="a2"/>
    <w:rsid w:val="00BD174E"/>
    <w:pPr>
      <w:pBdr>
        <w:bottom w:val="single" w:sz="4" w:space="0" w:color="auto"/>
        <w:right w:val="single" w:sz="4" w:space="0" w:color="auto"/>
      </w:pBdr>
      <w:spacing w:before="100" w:beforeAutospacing="1" w:after="100" w:afterAutospacing="1"/>
      <w:jc w:val="center"/>
      <w:textAlignment w:val="center"/>
    </w:pPr>
  </w:style>
  <w:style w:type="paragraph" w:customStyle="1" w:styleId="xl1458">
    <w:name w:val="xl1458"/>
    <w:basedOn w:val="a2"/>
    <w:rsid w:val="00BD174E"/>
    <w:pPr>
      <w:pBdr>
        <w:top w:val="single" w:sz="8" w:space="0" w:color="auto"/>
        <w:left w:val="single" w:sz="4" w:space="0" w:color="auto"/>
        <w:right w:val="single" w:sz="4" w:space="0" w:color="auto"/>
      </w:pBdr>
      <w:spacing w:before="100" w:beforeAutospacing="1" w:after="100" w:afterAutospacing="1"/>
      <w:jc w:val="center"/>
      <w:textAlignment w:val="center"/>
    </w:pPr>
  </w:style>
  <w:style w:type="paragraph" w:customStyle="1" w:styleId="xl1459">
    <w:name w:val="xl1459"/>
    <w:basedOn w:val="a2"/>
    <w:rsid w:val="00BD174E"/>
    <w:pPr>
      <w:pBdr>
        <w:left w:val="single" w:sz="4" w:space="0" w:color="auto"/>
        <w:right w:val="single" w:sz="4" w:space="0" w:color="auto"/>
      </w:pBdr>
      <w:spacing w:before="100" w:beforeAutospacing="1" w:after="100" w:afterAutospacing="1"/>
      <w:jc w:val="center"/>
      <w:textAlignment w:val="center"/>
    </w:pPr>
  </w:style>
  <w:style w:type="paragraph" w:customStyle="1" w:styleId="xl1460">
    <w:name w:val="xl1460"/>
    <w:basedOn w:val="a2"/>
    <w:rsid w:val="00BD174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61">
    <w:name w:val="xl1461"/>
    <w:basedOn w:val="a2"/>
    <w:rsid w:val="00BD174E"/>
    <w:pPr>
      <w:pBdr>
        <w:top w:val="single" w:sz="4" w:space="0" w:color="auto"/>
        <w:left w:val="single" w:sz="4" w:space="0" w:color="auto"/>
        <w:right w:val="single" w:sz="4" w:space="0" w:color="auto"/>
      </w:pBdr>
      <w:spacing w:before="100" w:beforeAutospacing="1" w:after="100" w:afterAutospacing="1"/>
    </w:pPr>
  </w:style>
  <w:style w:type="paragraph" w:customStyle="1" w:styleId="xl1462">
    <w:name w:val="xl1462"/>
    <w:basedOn w:val="a2"/>
    <w:rsid w:val="00BD174E"/>
    <w:pPr>
      <w:pBdr>
        <w:left w:val="single" w:sz="8" w:space="0" w:color="auto"/>
      </w:pBdr>
      <w:shd w:val="clear" w:color="000000" w:fill="FFFF00"/>
      <w:spacing w:before="100" w:beforeAutospacing="1" w:after="100" w:afterAutospacing="1"/>
      <w:jc w:val="center"/>
    </w:pPr>
    <w:rPr>
      <w:b/>
      <w:bCs/>
      <w:sz w:val="28"/>
      <w:szCs w:val="28"/>
    </w:rPr>
  </w:style>
  <w:style w:type="paragraph" w:customStyle="1" w:styleId="xl1463">
    <w:name w:val="xl1463"/>
    <w:basedOn w:val="a2"/>
    <w:rsid w:val="00BD174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464">
    <w:name w:val="xl1464"/>
    <w:basedOn w:val="a2"/>
    <w:rsid w:val="00BD17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465">
    <w:name w:val="xl1465"/>
    <w:basedOn w:val="a2"/>
    <w:rsid w:val="00BD174E"/>
    <w:pPr>
      <w:pBdr>
        <w:top w:val="single" w:sz="4" w:space="0" w:color="auto"/>
        <w:left w:val="single" w:sz="4" w:space="0" w:color="auto"/>
      </w:pBdr>
      <w:spacing w:before="100" w:beforeAutospacing="1" w:after="100" w:afterAutospacing="1"/>
    </w:pPr>
    <w:rPr>
      <w:b/>
      <w:bCs/>
    </w:rPr>
  </w:style>
  <w:style w:type="paragraph" w:customStyle="1" w:styleId="xl1466">
    <w:name w:val="xl1466"/>
    <w:basedOn w:val="a2"/>
    <w:rsid w:val="00BD174E"/>
    <w:pPr>
      <w:pBdr>
        <w:top w:val="single" w:sz="4" w:space="0" w:color="auto"/>
      </w:pBdr>
      <w:spacing w:before="100" w:beforeAutospacing="1" w:after="100" w:afterAutospacing="1"/>
    </w:pPr>
    <w:rPr>
      <w:b/>
      <w:bCs/>
    </w:rPr>
  </w:style>
  <w:style w:type="paragraph" w:customStyle="1" w:styleId="xl1467">
    <w:name w:val="xl1467"/>
    <w:basedOn w:val="a2"/>
    <w:rsid w:val="00BD174E"/>
    <w:pPr>
      <w:pBdr>
        <w:top w:val="single" w:sz="4" w:space="0" w:color="auto"/>
        <w:right w:val="single" w:sz="4" w:space="0" w:color="auto"/>
      </w:pBdr>
      <w:spacing w:before="100" w:beforeAutospacing="1" w:after="100" w:afterAutospacing="1"/>
    </w:pPr>
    <w:rPr>
      <w:b/>
      <w:bCs/>
    </w:rPr>
  </w:style>
  <w:style w:type="paragraph" w:customStyle="1" w:styleId="xl1468">
    <w:name w:val="xl1468"/>
    <w:basedOn w:val="a2"/>
    <w:rsid w:val="00BD174E"/>
    <w:pPr>
      <w:pBdr>
        <w:left w:val="single" w:sz="4" w:space="0" w:color="auto"/>
        <w:bottom w:val="single" w:sz="4" w:space="0" w:color="auto"/>
      </w:pBdr>
      <w:spacing w:before="100" w:beforeAutospacing="1" w:after="100" w:afterAutospacing="1"/>
    </w:pPr>
  </w:style>
  <w:style w:type="paragraph" w:customStyle="1" w:styleId="xl1469">
    <w:name w:val="xl1469"/>
    <w:basedOn w:val="a2"/>
    <w:rsid w:val="00BD174E"/>
    <w:pPr>
      <w:pBdr>
        <w:bottom w:val="single" w:sz="4" w:space="0" w:color="auto"/>
      </w:pBdr>
      <w:spacing w:before="100" w:beforeAutospacing="1" w:after="100" w:afterAutospacing="1"/>
    </w:pPr>
  </w:style>
  <w:style w:type="paragraph" w:customStyle="1" w:styleId="xl1470">
    <w:name w:val="xl1470"/>
    <w:basedOn w:val="a2"/>
    <w:rsid w:val="00BD174E"/>
    <w:pPr>
      <w:pBdr>
        <w:bottom w:val="single" w:sz="4" w:space="0" w:color="auto"/>
        <w:right w:val="single" w:sz="4" w:space="0" w:color="auto"/>
      </w:pBdr>
      <w:spacing w:before="100" w:beforeAutospacing="1" w:after="100" w:afterAutospacing="1"/>
    </w:pPr>
  </w:style>
  <w:style w:type="paragraph" w:customStyle="1" w:styleId="xl1471">
    <w:name w:val="xl1471"/>
    <w:basedOn w:val="a2"/>
    <w:rsid w:val="00BD174E"/>
    <w:pPr>
      <w:spacing w:before="100" w:beforeAutospacing="1" w:after="100" w:afterAutospacing="1"/>
      <w:jc w:val="center"/>
    </w:pPr>
    <w:rPr>
      <w:b/>
      <w:bCs/>
      <w:i/>
      <w:iCs/>
    </w:rPr>
  </w:style>
  <w:style w:type="paragraph" w:customStyle="1" w:styleId="xl1472">
    <w:name w:val="xl1472"/>
    <w:basedOn w:val="a2"/>
    <w:rsid w:val="00BD174E"/>
    <w:pPr>
      <w:pBdr>
        <w:right w:val="single" w:sz="4" w:space="0" w:color="auto"/>
      </w:pBdr>
      <w:spacing w:before="100" w:beforeAutospacing="1" w:after="100" w:afterAutospacing="1"/>
      <w:jc w:val="center"/>
    </w:pPr>
    <w:rPr>
      <w:b/>
      <w:bCs/>
      <w:i/>
      <w:iCs/>
    </w:rPr>
  </w:style>
  <w:style w:type="paragraph" w:customStyle="1" w:styleId="xl1473">
    <w:name w:val="xl1473"/>
    <w:basedOn w:val="a2"/>
    <w:rsid w:val="00BD174E"/>
    <w:pPr>
      <w:spacing w:before="100" w:beforeAutospacing="1" w:after="100" w:afterAutospacing="1"/>
      <w:jc w:val="center"/>
    </w:pPr>
  </w:style>
  <w:style w:type="paragraph" w:customStyle="1" w:styleId="xl1474">
    <w:name w:val="xl1474"/>
    <w:basedOn w:val="a2"/>
    <w:rsid w:val="00BD174E"/>
    <w:pPr>
      <w:pBdr>
        <w:right w:val="single" w:sz="4" w:space="0" w:color="auto"/>
      </w:pBdr>
      <w:spacing w:before="100" w:beforeAutospacing="1" w:after="100" w:afterAutospacing="1"/>
      <w:jc w:val="center"/>
    </w:pPr>
  </w:style>
  <w:style w:type="paragraph" w:customStyle="1" w:styleId="xl1475">
    <w:name w:val="xl1475"/>
    <w:basedOn w:val="a2"/>
    <w:rsid w:val="00BD174E"/>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476">
    <w:name w:val="xl1476"/>
    <w:basedOn w:val="a2"/>
    <w:rsid w:val="00BD174E"/>
    <w:pPr>
      <w:pBdr>
        <w:top w:val="single" w:sz="4" w:space="0" w:color="auto"/>
        <w:bottom w:val="single" w:sz="4" w:space="0" w:color="auto"/>
      </w:pBdr>
      <w:spacing w:before="100" w:beforeAutospacing="1" w:after="100" w:afterAutospacing="1"/>
      <w:textAlignment w:val="center"/>
    </w:pPr>
    <w:rPr>
      <w:b/>
      <w:bCs/>
    </w:rPr>
  </w:style>
  <w:style w:type="paragraph" w:customStyle="1" w:styleId="xl1477">
    <w:name w:val="xl1477"/>
    <w:basedOn w:val="a2"/>
    <w:rsid w:val="00BD174E"/>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478">
    <w:name w:val="xl1478"/>
    <w:basedOn w:val="a2"/>
    <w:rsid w:val="00BD174E"/>
    <w:pPr>
      <w:pBdr>
        <w:top w:val="single" w:sz="4" w:space="0" w:color="auto"/>
        <w:left w:val="single" w:sz="4" w:space="0" w:color="auto"/>
        <w:bottom w:val="single" w:sz="4" w:space="0" w:color="auto"/>
      </w:pBdr>
      <w:spacing w:before="100" w:beforeAutospacing="1" w:after="100" w:afterAutospacing="1"/>
    </w:pPr>
  </w:style>
  <w:style w:type="paragraph" w:customStyle="1" w:styleId="xl1479">
    <w:name w:val="xl1479"/>
    <w:basedOn w:val="a2"/>
    <w:rsid w:val="00BD174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80">
    <w:name w:val="xl1480"/>
    <w:basedOn w:val="a2"/>
    <w:rsid w:val="00BD174E"/>
    <w:pPr>
      <w:pBdr>
        <w:top w:val="single" w:sz="4" w:space="0" w:color="auto"/>
        <w:bottom w:val="single" w:sz="4" w:space="0" w:color="auto"/>
      </w:pBdr>
      <w:spacing w:before="100" w:beforeAutospacing="1" w:after="100" w:afterAutospacing="1"/>
    </w:pPr>
    <w:rPr>
      <w:b/>
      <w:bCs/>
    </w:rPr>
  </w:style>
  <w:style w:type="paragraph" w:customStyle="1" w:styleId="xl1481">
    <w:name w:val="xl1481"/>
    <w:basedOn w:val="a2"/>
    <w:rsid w:val="00BD174E"/>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82">
    <w:name w:val="xl1482"/>
    <w:basedOn w:val="a2"/>
    <w:rsid w:val="00BD174E"/>
    <w:pPr>
      <w:pBdr>
        <w:top w:val="single" w:sz="4" w:space="0" w:color="auto"/>
        <w:left w:val="single" w:sz="4" w:space="0" w:color="auto"/>
      </w:pBdr>
      <w:spacing w:before="100" w:beforeAutospacing="1" w:after="100" w:afterAutospacing="1"/>
      <w:textAlignment w:val="center"/>
    </w:pPr>
  </w:style>
  <w:style w:type="paragraph" w:customStyle="1" w:styleId="xl1483">
    <w:name w:val="xl1483"/>
    <w:basedOn w:val="a2"/>
    <w:rsid w:val="00BD174E"/>
    <w:pPr>
      <w:pBdr>
        <w:top w:val="single" w:sz="4" w:space="0" w:color="auto"/>
      </w:pBdr>
      <w:spacing w:before="100" w:beforeAutospacing="1" w:after="100" w:afterAutospacing="1"/>
      <w:textAlignment w:val="center"/>
    </w:pPr>
  </w:style>
  <w:style w:type="paragraph" w:customStyle="1" w:styleId="xl1484">
    <w:name w:val="xl1484"/>
    <w:basedOn w:val="a2"/>
    <w:rsid w:val="00BD174E"/>
    <w:pPr>
      <w:pBdr>
        <w:top w:val="single" w:sz="4" w:space="0" w:color="auto"/>
        <w:right w:val="single" w:sz="4" w:space="0" w:color="auto"/>
      </w:pBdr>
      <w:spacing w:before="100" w:beforeAutospacing="1" w:after="100" w:afterAutospacing="1"/>
      <w:textAlignment w:val="center"/>
    </w:pPr>
  </w:style>
  <w:style w:type="paragraph" w:customStyle="1" w:styleId="xl1485">
    <w:name w:val="xl1485"/>
    <w:basedOn w:val="a2"/>
    <w:rsid w:val="00BD174E"/>
    <w:pPr>
      <w:spacing w:before="100" w:beforeAutospacing="1" w:after="100" w:afterAutospacing="1"/>
      <w:textAlignment w:val="center"/>
    </w:pPr>
  </w:style>
  <w:style w:type="paragraph" w:customStyle="1" w:styleId="xl1486">
    <w:name w:val="xl1486"/>
    <w:basedOn w:val="a2"/>
    <w:rsid w:val="00BD174E"/>
    <w:pPr>
      <w:pBdr>
        <w:right w:val="single" w:sz="4" w:space="0" w:color="auto"/>
      </w:pBdr>
      <w:spacing w:before="100" w:beforeAutospacing="1" w:after="100" w:afterAutospacing="1"/>
      <w:textAlignment w:val="center"/>
    </w:pPr>
  </w:style>
  <w:style w:type="paragraph" w:customStyle="1" w:styleId="xl1487">
    <w:name w:val="xl1487"/>
    <w:basedOn w:val="a2"/>
    <w:rsid w:val="00BD174E"/>
    <w:pPr>
      <w:pBdr>
        <w:top w:val="single" w:sz="4" w:space="0" w:color="auto"/>
        <w:left w:val="single" w:sz="4" w:space="0" w:color="auto"/>
      </w:pBdr>
      <w:spacing w:before="100" w:beforeAutospacing="1" w:after="100" w:afterAutospacing="1"/>
    </w:pPr>
  </w:style>
  <w:style w:type="paragraph" w:customStyle="1" w:styleId="xl1488">
    <w:name w:val="xl1488"/>
    <w:basedOn w:val="a2"/>
    <w:rsid w:val="00BD174E"/>
    <w:pPr>
      <w:pBdr>
        <w:top w:val="single" w:sz="4" w:space="0" w:color="auto"/>
        <w:right w:val="single" w:sz="4" w:space="0" w:color="auto"/>
      </w:pBdr>
      <w:spacing w:before="100" w:beforeAutospacing="1" w:after="100" w:afterAutospacing="1"/>
    </w:pPr>
  </w:style>
  <w:style w:type="paragraph" w:customStyle="1" w:styleId="xl1489">
    <w:name w:val="xl1489"/>
    <w:basedOn w:val="a2"/>
    <w:rsid w:val="00BD174E"/>
    <w:pPr>
      <w:pBdr>
        <w:top w:val="single" w:sz="4" w:space="0" w:color="auto"/>
        <w:left w:val="single" w:sz="4" w:space="0" w:color="auto"/>
        <w:right w:val="single" w:sz="4" w:space="0" w:color="auto"/>
      </w:pBdr>
      <w:shd w:val="clear" w:color="000000" w:fill="FFFFFF"/>
      <w:spacing w:before="100" w:beforeAutospacing="1" w:after="100" w:afterAutospacing="1"/>
    </w:pPr>
    <w:rPr>
      <w:b/>
      <w:bCs/>
    </w:rPr>
  </w:style>
  <w:style w:type="paragraph" w:customStyle="1" w:styleId="xl1490">
    <w:name w:val="xl1490"/>
    <w:basedOn w:val="a2"/>
    <w:rsid w:val="00BD174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491">
    <w:name w:val="xl1491"/>
    <w:basedOn w:val="a2"/>
    <w:rsid w:val="00BD174E"/>
    <w:pPr>
      <w:pBdr>
        <w:top w:val="single" w:sz="4" w:space="0" w:color="auto"/>
        <w:bottom w:val="single" w:sz="4" w:space="0" w:color="auto"/>
      </w:pBdr>
      <w:shd w:val="clear" w:color="000000" w:fill="FFFFFF"/>
      <w:spacing w:before="100" w:beforeAutospacing="1" w:after="100" w:afterAutospacing="1"/>
    </w:pPr>
  </w:style>
  <w:style w:type="paragraph" w:customStyle="1" w:styleId="xl1492">
    <w:name w:val="xl1492"/>
    <w:basedOn w:val="a2"/>
    <w:rsid w:val="00BD174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493">
    <w:name w:val="xl1493"/>
    <w:basedOn w:val="a2"/>
    <w:rsid w:val="00BD174E"/>
    <w:pPr>
      <w:pBdr>
        <w:top w:val="single" w:sz="8" w:space="0" w:color="auto"/>
        <w:left w:val="single" w:sz="4" w:space="0" w:color="auto"/>
        <w:bottom w:val="single" w:sz="4" w:space="0" w:color="auto"/>
      </w:pBdr>
      <w:shd w:val="clear" w:color="000000" w:fill="D9D9D9"/>
      <w:spacing w:before="100" w:beforeAutospacing="1" w:after="100" w:afterAutospacing="1"/>
    </w:pPr>
    <w:rPr>
      <w:b/>
      <w:bCs/>
    </w:rPr>
  </w:style>
  <w:style w:type="paragraph" w:customStyle="1" w:styleId="xl1494">
    <w:name w:val="xl1494"/>
    <w:basedOn w:val="a2"/>
    <w:rsid w:val="00BD174E"/>
    <w:pPr>
      <w:pBdr>
        <w:top w:val="single" w:sz="8" w:space="0" w:color="auto"/>
        <w:bottom w:val="single" w:sz="4" w:space="0" w:color="auto"/>
      </w:pBdr>
      <w:shd w:val="clear" w:color="000000" w:fill="D9D9D9"/>
      <w:spacing w:before="100" w:beforeAutospacing="1" w:after="100" w:afterAutospacing="1"/>
    </w:pPr>
    <w:rPr>
      <w:b/>
      <w:bCs/>
    </w:rPr>
  </w:style>
  <w:style w:type="paragraph" w:customStyle="1" w:styleId="xl1495">
    <w:name w:val="xl1495"/>
    <w:basedOn w:val="a2"/>
    <w:rsid w:val="00BD174E"/>
    <w:pPr>
      <w:pBdr>
        <w:top w:val="single" w:sz="8" w:space="0" w:color="auto"/>
        <w:bottom w:val="single" w:sz="4" w:space="0" w:color="auto"/>
        <w:right w:val="single" w:sz="4" w:space="0" w:color="auto"/>
      </w:pBdr>
      <w:shd w:val="clear" w:color="000000" w:fill="D9D9D9"/>
      <w:spacing w:before="100" w:beforeAutospacing="1" w:after="100" w:afterAutospacing="1"/>
    </w:pPr>
    <w:rPr>
      <w:b/>
      <w:bCs/>
    </w:rPr>
  </w:style>
  <w:style w:type="paragraph" w:customStyle="1" w:styleId="xl1496">
    <w:name w:val="xl1496"/>
    <w:basedOn w:val="a2"/>
    <w:rsid w:val="00BD174E"/>
    <w:pPr>
      <w:pBdr>
        <w:top w:val="single" w:sz="4" w:space="0" w:color="auto"/>
        <w:left w:val="single" w:sz="4" w:space="0" w:color="auto"/>
      </w:pBdr>
      <w:spacing w:before="100" w:beforeAutospacing="1" w:after="100" w:afterAutospacing="1"/>
      <w:textAlignment w:val="center"/>
    </w:pPr>
  </w:style>
  <w:style w:type="paragraph" w:customStyle="1" w:styleId="xl1497">
    <w:name w:val="xl1497"/>
    <w:basedOn w:val="a2"/>
    <w:rsid w:val="00BD174E"/>
    <w:pPr>
      <w:pBdr>
        <w:top w:val="single" w:sz="4" w:space="0" w:color="auto"/>
      </w:pBdr>
      <w:spacing w:before="100" w:beforeAutospacing="1" w:after="100" w:afterAutospacing="1"/>
      <w:textAlignment w:val="center"/>
    </w:pPr>
  </w:style>
  <w:style w:type="paragraph" w:customStyle="1" w:styleId="xl1498">
    <w:name w:val="xl1498"/>
    <w:basedOn w:val="a2"/>
    <w:rsid w:val="00BD174E"/>
    <w:pPr>
      <w:pBdr>
        <w:top w:val="single" w:sz="4" w:space="0" w:color="auto"/>
        <w:right w:val="single" w:sz="4" w:space="0" w:color="auto"/>
      </w:pBdr>
      <w:spacing w:before="100" w:beforeAutospacing="1" w:after="100" w:afterAutospacing="1"/>
      <w:textAlignment w:val="center"/>
    </w:pPr>
  </w:style>
  <w:style w:type="paragraph" w:customStyle="1" w:styleId="xl1499">
    <w:name w:val="xl1499"/>
    <w:basedOn w:val="a2"/>
    <w:rsid w:val="00BD174E"/>
    <w:pPr>
      <w:spacing w:before="100" w:beforeAutospacing="1" w:after="100" w:afterAutospacing="1"/>
      <w:jc w:val="center"/>
      <w:textAlignment w:val="center"/>
    </w:pPr>
    <w:rPr>
      <w:b/>
      <w:bCs/>
      <w:sz w:val="28"/>
      <w:szCs w:val="28"/>
    </w:rPr>
  </w:style>
  <w:style w:type="paragraph" w:customStyle="1" w:styleId="xl1500">
    <w:name w:val="xl1500"/>
    <w:basedOn w:val="a2"/>
    <w:rsid w:val="00BD174E"/>
    <w:pPr>
      <w:pBdr>
        <w:left w:val="single" w:sz="8" w:space="0" w:color="auto"/>
        <w:bottom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1">
    <w:name w:val="xl1501"/>
    <w:basedOn w:val="a2"/>
    <w:rsid w:val="00BD174E"/>
    <w:pPr>
      <w:pBdr>
        <w:bottom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2">
    <w:name w:val="xl1502"/>
    <w:basedOn w:val="a2"/>
    <w:rsid w:val="00BD174E"/>
    <w:pPr>
      <w:pBdr>
        <w:bottom w:val="single" w:sz="8" w:space="0" w:color="auto"/>
        <w:righ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3">
    <w:name w:val="xl1503"/>
    <w:basedOn w:val="a2"/>
    <w:rsid w:val="00BD174E"/>
    <w:pPr>
      <w:pBdr>
        <w:top w:val="single" w:sz="8" w:space="0" w:color="auto"/>
        <w:left w:val="single" w:sz="8" w:space="0" w:color="auto"/>
        <w:bottom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4">
    <w:name w:val="xl1504"/>
    <w:basedOn w:val="a2"/>
    <w:rsid w:val="00BD174E"/>
    <w:pPr>
      <w:pBdr>
        <w:top w:val="single" w:sz="8" w:space="0" w:color="auto"/>
        <w:bottom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5">
    <w:name w:val="xl1505"/>
    <w:basedOn w:val="a2"/>
    <w:rsid w:val="00BD174E"/>
    <w:pPr>
      <w:pBdr>
        <w:top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6">
    <w:name w:val="xl1506"/>
    <w:basedOn w:val="a2"/>
    <w:rsid w:val="00BD174E"/>
    <w:pPr>
      <w:pBdr>
        <w:top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7">
    <w:name w:val="xl1507"/>
    <w:basedOn w:val="a2"/>
    <w:rsid w:val="00BD174E"/>
    <w:pPr>
      <w:pBdr>
        <w:top w:val="single" w:sz="8" w:space="0" w:color="auto"/>
        <w:righ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8">
    <w:name w:val="xl1508"/>
    <w:basedOn w:val="a2"/>
    <w:rsid w:val="00BD174E"/>
    <w:pPr>
      <w:pBdr>
        <w:top w:val="single" w:sz="8" w:space="0" w:color="auto"/>
        <w:left w:val="single" w:sz="8" w:space="0" w:color="auto"/>
        <w:bottom w:val="single" w:sz="8" w:space="0" w:color="auto"/>
      </w:pBdr>
      <w:shd w:val="clear" w:color="000000" w:fill="F2F2F2"/>
      <w:spacing w:before="100" w:beforeAutospacing="1" w:after="100" w:afterAutospacing="1"/>
      <w:jc w:val="center"/>
      <w:textAlignment w:val="center"/>
    </w:pPr>
    <w:rPr>
      <w:b/>
      <w:bCs/>
      <w:color w:val="000000"/>
      <w:sz w:val="28"/>
      <w:szCs w:val="28"/>
    </w:rPr>
  </w:style>
  <w:style w:type="paragraph" w:customStyle="1" w:styleId="xl1509">
    <w:name w:val="xl1509"/>
    <w:basedOn w:val="a2"/>
    <w:rsid w:val="00BD174E"/>
    <w:pPr>
      <w:pBdr>
        <w:top w:val="single" w:sz="8" w:space="0" w:color="auto"/>
        <w:bottom w:val="single" w:sz="8" w:space="0" w:color="auto"/>
      </w:pBdr>
      <w:shd w:val="clear" w:color="000000" w:fill="F2F2F2"/>
      <w:spacing w:before="100" w:beforeAutospacing="1" w:after="100" w:afterAutospacing="1"/>
      <w:jc w:val="center"/>
      <w:textAlignment w:val="center"/>
    </w:pPr>
    <w:rPr>
      <w:b/>
      <w:bCs/>
      <w:color w:val="000000"/>
      <w:sz w:val="28"/>
      <w:szCs w:val="28"/>
    </w:rPr>
  </w:style>
  <w:style w:type="paragraph" w:customStyle="1" w:styleId="xl1510">
    <w:name w:val="xl1510"/>
    <w:basedOn w:val="a2"/>
    <w:rsid w:val="00BD174E"/>
    <w:pPr>
      <w:pBdr>
        <w:top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color w:val="000000"/>
      <w:sz w:val="28"/>
      <w:szCs w:val="28"/>
    </w:rPr>
  </w:style>
  <w:style w:type="paragraph" w:customStyle="1" w:styleId="xl1511">
    <w:name w:val="xl1511"/>
    <w:basedOn w:val="a2"/>
    <w:rsid w:val="00BD174E"/>
    <w:pPr>
      <w:pBdr>
        <w:lef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12">
    <w:name w:val="xl1512"/>
    <w:basedOn w:val="a2"/>
    <w:rsid w:val="00BD174E"/>
    <w:pPr>
      <w:shd w:val="clear" w:color="000000" w:fill="F2F2F2"/>
      <w:spacing w:before="100" w:beforeAutospacing="1" w:after="100" w:afterAutospacing="1"/>
      <w:jc w:val="center"/>
      <w:textAlignment w:val="center"/>
    </w:pPr>
    <w:rPr>
      <w:b/>
      <w:bCs/>
      <w:sz w:val="28"/>
      <w:szCs w:val="28"/>
    </w:rPr>
  </w:style>
  <w:style w:type="paragraph" w:customStyle="1" w:styleId="xl1513">
    <w:name w:val="xl1513"/>
    <w:basedOn w:val="a2"/>
    <w:rsid w:val="00BD174E"/>
    <w:pPr>
      <w:pBdr>
        <w:right w:val="single" w:sz="8" w:space="0" w:color="auto"/>
      </w:pBdr>
      <w:shd w:val="clear" w:color="000000" w:fill="F2F2F2"/>
      <w:spacing w:before="100" w:beforeAutospacing="1" w:after="100" w:afterAutospacing="1"/>
      <w:jc w:val="center"/>
      <w:textAlignment w:val="center"/>
    </w:pPr>
    <w:rPr>
      <w:b/>
      <w:bCs/>
      <w:sz w:val="28"/>
      <w:szCs w:val="28"/>
    </w:rPr>
  </w:style>
  <w:style w:type="numbering" w:customStyle="1" w:styleId="1561">
    <w:name w:val="Нет списка156"/>
    <w:next w:val="a5"/>
    <w:uiPriority w:val="99"/>
    <w:semiHidden/>
    <w:unhideWhenUsed/>
    <w:rsid w:val="00D1529D"/>
  </w:style>
  <w:style w:type="table" w:customStyle="1" w:styleId="2010">
    <w:name w:val="Сетка таблицы201"/>
    <w:basedOn w:val="a4"/>
    <w:next w:val="afb"/>
    <w:uiPriority w:val="39"/>
    <w:rsid w:val="00D1529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c">
    <w:name w:val="Знак Знак1 Знак Знак6"/>
    <w:basedOn w:val="a2"/>
    <w:rsid w:val="00D1529D"/>
    <w:pPr>
      <w:tabs>
        <w:tab w:val="num" w:pos="360"/>
      </w:tabs>
      <w:spacing w:after="160" w:line="240" w:lineRule="exact"/>
    </w:pPr>
    <w:rPr>
      <w:rFonts w:ascii="Verdana" w:hAnsi="Verdana" w:cs="Verdana"/>
      <w:sz w:val="20"/>
      <w:szCs w:val="20"/>
      <w:lang w:val="en-US" w:eastAsia="en-US"/>
    </w:rPr>
  </w:style>
  <w:style w:type="table" w:customStyle="1" w:styleId="11020">
    <w:name w:val="Сетка таблицы1102"/>
    <w:basedOn w:val="a4"/>
    <w:next w:val="afb"/>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71">
    <w:name w:val="Нет списка157"/>
    <w:next w:val="a5"/>
    <w:uiPriority w:val="99"/>
    <w:semiHidden/>
    <w:rsid w:val="00D1529D"/>
  </w:style>
  <w:style w:type="numbering" w:customStyle="1" w:styleId="1123">
    <w:name w:val="Нет списка1123"/>
    <w:next w:val="a5"/>
    <w:uiPriority w:val="99"/>
    <w:semiHidden/>
    <w:unhideWhenUsed/>
    <w:rsid w:val="00D1529D"/>
  </w:style>
  <w:style w:type="numbering" w:customStyle="1" w:styleId="111100">
    <w:name w:val="Нет списка11110"/>
    <w:next w:val="a5"/>
    <w:uiPriority w:val="99"/>
    <w:semiHidden/>
    <w:unhideWhenUsed/>
    <w:rsid w:val="00D1529D"/>
  </w:style>
  <w:style w:type="table" w:customStyle="1" w:styleId="11140">
    <w:name w:val="Сетка таблицы1114"/>
    <w:basedOn w:val="a4"/>
    <w:next w:val="afb"/>
    <w:uiPriority w:val="39"/>
    <w:rsid w:val="00D1529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Сетка таблицы2112"/>
    <w:basedOn w:val="a4"/>
    <w:next w:val="afb"/>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
    <w:name w:val="Нет списка11113"/>
    <w:next w:val="a5"/>
    <w:uiPriority w:val="99"/>
    <w:semiHidden/>
    <w:unhideWhenUsed/>
    <w:rsid w:val="00D1529D"/>
  </w:style>
  <w:style w:type="numbering" w:customStyle="1" w:styleId="111113">
    <w:name w:val="Нет списка111113"/>
    <w:next w:val="a5"/>
    <w:uiPriority w:val="99"/>
    <w:semiHidden/>
    <w:unhideWhenUsed/>
    <w:rsid w:val="00D1529D"/>
  </w:style>
  <w:style w:type="numbering" w:customStyle="1" w:styleId="1111112">
    <w:name w:val="Нет списка1111112"/>
    <w:next w:val="a5"/>
    <w:uiPriority w:val="99"/>
    <w:semiHidden/>
    <w:unhideWhenUsed/>
    <w:rsid w:val="00D1529D"/>
  </w:style>
  <w:style w:type="numbering" w:customStyle="1" w:styleId="2330">
    <w:name w:val="Нет списка233"/>
    <w:next w:val="a5"/>
    <w:uiPriority w:val="99"/>
    <w:semiHidden/>
    <w:unhideWhenUsed/>
    <w:rsid w:val="00D1529D"/>
  </w:style>
  <w:style w:type="numbering" w:customStyle="1" w:styleId="3170">
    <w:name w:val="Нет списка317"/>
    <w:next w:val="a5"/>
    <w:uiPriority w:val="99"/>
    <w:semiHidden/>
    <w:unhideWhenUsed/>
    <w:rsid w:val="00D1529D"/>
  </w:style>
  <w:style w:type="table" w:customStyle="1" w:styleId="31120">
    <w:name w:val="Сетка таблицы3112"/>
    <w:basedOn w:val="a4"/>
    <w:next w:val="afb"/>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0">
    <w:name w:val="Нет списка414"/>
    <w:next w:val="a5"/>
    <w:uiPriority w:val="99"/>
    <w:semiHidden/>
    <w:unhideWhenUsed/>
    <w:rsid w:val="00D1529D"/>
  </w:style>
  <w:style w:type="table" w:customStyle="1" w:styleId="4220">
    <w:name w:val="Сетка таблицы422"/>
    <w:basedOn w:val="a4"/>
    <w:next w:val="afb"/>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5"/>
    <w:uiPriority w:val="99"/>
    <w:semiHidden/>
    <w:unhideWhenUsed/>
    <w:rsid w:val="00D1529D"/>
  </w:style>
  <w:style w:type="table" w:customStyle="1" w:styleId="5200">
    <w:name w:val="Сетка таблицы520"/>
    <w:basedOn w:val="a4"/>
    <w:next w:val="afb"/>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0">
    <w:name w:val="Нет списка614"/>
    <w:next w:val="a5"/>
    <w:uiPriority w:val="99"/>
    <w:semiHidden/>
    <w:unhideWhenUsed/>
    <w:rsid w:val="00D1529D"/>
  </w:style>
  <w:style w:type="table" w:customStyle="1" w:styleId="618">
    <w:name w:val="Сетка таблицы618"/>
    <w:basedOn w:val="a4"/>
    <w:next w:val="afb"/>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5"/>
    <w:uiPriority w:val="99"/>
    <w:semiHidden/>
    <w:unhideWhenUsed/>
    <w:rsid w:val="00D1529D"/>
  </w:style>
  <w:style w:type="numbering" w:customStyle="1" w:styleId="1217">
    <w:name w:val="Нет списка1217"/>
    <w:next w:val="a5"/>
    <w:uiPriority w:val="99"/>
    <w:semiHidden/>
    <w:unhideWhenUsed/>
    <w:rsid w:val="00D1529D"/>
  </w:style>
  <w:style w:type="numbering" w:customStyle="1" w:styleId="11111112">
    <w:name w:val="Нет списка11111112"/>
    <w:next w:val="a5"/>
    <w:uiPriority w:val="99"/>
    <w:semiHidden/>
    <w:unhideWhenUsed/>
    <w:rsid w:val="00D1529D"/>
  </w:style>
  <w:style w:type="numbering" w:customStyle="1" w:styleId="111111112">
    <w:name w:val="Нет списка111111112"/>
    <w:next w:val="a5"/>
    <w:uiPriority w:val="99"/>
    <w:semiHidden/>
    <w:unhideWhenUsed/>
    <w:rsid w:val="00D1529D"/>
  </w:style>
  <w:style w:type="numbering" w:customStyle="1" w:styleId="2116">
    <w:name w:val="Нет списка2116"/>
    <w:next w:val="a5"/>
    <w:uiPriority w:val="99"/>
    <w:semiHidden/>
    <w:unhideWhenUsed/>
    <w:rsid w:val="00D1529D"/>
  </w:style>
  <w:style w:type="numbering" w:customStyle="1" w:styleId="3180">
    <w:name w:val="Нет списка318"/>
    <w:next w:val="a5"/>
    <w:uiPriority w:val="99"/>
    <w:semiHidden/>
    <w:unhideWhenUsed/>
    <w:rsid w:val="00D1529D"/>
  </w:style>
  <w:style w:type="numbering" w:customStyle="1" w:styleId="4150">
    <w:name w:val="Нет списка415"/>
    <w:next w:val="a5"/>
    <w:uiPriority w:val="99"/>
    <w:semiHidden/>
    <w:unhideWhenUsed/>
    <w:rsid w:val="00D1529D"/>
  </w:style>
  <w:style w:type="table" w:customStyle="1" w:styleId="41120">
    <w:name w:val="Сетка таблицы4112"/>
    <w:basedOn w:val="a4"/>
    <w:next w:val="afb"/>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Нет списка515"/>
    <w:next w:val="a5"/>
    <w:uiPriority w:val="99"/>
    <w:semiHidden/>
    <w:unhideWhenUsed/>
    <w:rsid w:val="00D1529D"/>
  </w:style>
  <w:style w:type="table" w:customStyle="1" w:styleId="51120">
    <w:name w:val="Сетка таблицы5112"/>
    <w:basedOn w:val="a4"/>
    <w:next w:val="afb"/>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0">
    <w:name w:val="Нет списка615"/>
    <w:next w:val="a5"/>
    <w:uiPriority w:val="99"/>
    <w:semiHidden/>
    <w:unhideWhenUsed/>
    <w:rsid w:val="00D1529D"/>
  </w:style>
  <w:style w:type="table" w:customStyle="1" w:styleId="619">
    <w:name w:val="Сетка таблицы619"/>
    <w:basedOn w:val="a4"/>
    <w:next w:val="afb"/>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5"/>
    <w:uiPriority w:val="99"/>
    <w:semiHidden/>
    <w:unhideWhenUsed/>
    <w:rsid w:val="00D1529D"/>
  </w:style>
  <w:style w:type="numbering" w:customStyle="1" w:styleId="1218">
    <w:name w:val="Нет списка1218"/>
    <w:next w:val="a5"/>
    <w:uiPriority w:val="99"/>
    <w:semiHidden/>
    <w:unhideWhenUsed/>
    <w:rsid w:val="00D1529D"/>
  </w:style>
  <w:style w:type="numbering" w:customStyle="1" w:styleId="1124">
    <w:name w:val="Нет списка1124"/>
    <w:next w:val="a5"/>
    <w:uiPriority w:val="99"/>
    <w:semiHidden/>
    <w:unhideWhenUsed/>
    <w:rsid w:val="00D1529D"/>
  </w:style>
  <w:style w:type="numbering" w:customStyle="1" w:styleId="2117">
    <w:name w:val="Нет списка2117"/>
    <w:next w:val="a5"/>
    <w:uiPriority w:val="99"/>
    <w:semiHidden/>
    <w:unhideWhenUsed/>
    <w:rsid w:val="00D1529D"/>
  </w:style>
  <w:style w:type="numbering" w:customStyle="1" w:styleId="3113">
    <w:name w:val="Нет списка3113"/>
    <w:next w:val="a5"/>
    <w:uiPriority w:val="99"/>
    <w:semiHidden/>
    <w:unhideWhenUsed/>
    <w:rsid w:val="00D1529D"/>
  </w:style>
  <w:style w:type="numbering" w:customStyle="1" w:styleId="4113">
    <w:name w:val="Нет списка4113"/>
    <w:next w:val="a5"/>
    <w:uiPriority w:val="99"/>
    <w:semiHidden/>
    <w:unhideWhenUsed/>
    <w:rsid w:val="00D1529D"/>
  </w:style>
  <w:style w:type="numbering" w:customStyle="1" w:styleId="5113">
    <w:name w:val="Нет списка5113"/>
    <w:next w:val="a5"/>
    <w:uiPriority w:val="99"/>
    <w:semiHidden/>
    <w:unhideWhenUsed/>
    <w:rsid w:val="00D1529D"/>
  </w:style>
  <w:style w:type="numbering" w:customStyle="1" w:styleId="6113">
    <w:name w:val="Нет списка6113"/>
    <w:next w:val="a5"/>
    <w:uiPriority w:val="99"/>
    <w:semiHidden/>
    <w:unhideWhenUsed/>
    <w:rsid w:val="00D1529D"/>
  </w:style>
  <w:style w:type="character" w:customStyle="1" w:styleId="3f1">
    <w:name w:val="Неразрешенное упоминание3"/>
    <w:uiPriority w:val="99"/>
    <w:semiHidden/>
    <w:unhideWhenUsed/>
    <w:rsid w:val="00D1529D"/>
    <w:rPr>
      <w:color w:val="605E5C"/>
      <w:shd w:val="clear" w:color="auto" w:fill="E1DFDD"/>
    </w:rPr>
  </w:style>
  <w:style w:type="numbering" w:customStyle="1" w:styleId="1581">
    <w:name w:val="Нет списка158"/>
    <w:next w:val="a5"/>
    <w:semiHidden/>
    <w:rsid w:val="00D118DC"/>
  </w:style>
  <w:style w:type="paragraph" w:customStyle="1" w:styleId="1ff7">
    <w:name w:val="çàãîëîâîê 1"/>
    <w:basedOn w:val="a2"/>
    <w:next w:val="a2"/>
    <w:rsid w:val="00D118DC"/>
    <w:pPr>
      <w:keepNext/>
      <w:spacing w:before="240" w:after="60" w:line="360" w:lineRule="auto"/>
      <w:ind w:firstLine="680"/>
      <w:jc w:val="both"/>
    </w:pPr>
    <w:rPr>
      <w:rFonts w:ascii="Helvetica" w:hAnsi="Helvetica"/>
      <w:b/>
      <w:kern w:val="28"/>
      <w:sz w:val="28"/>
      <w:szCs w:val="20"/>
    </w:rPr>
  </w:style>
  <w:style w:type="character" w:customStyle="1" w:styleId="affffa">
    <w:name w:val="Îñíîâíîé øðèôò"/>
    <w:rsid w:val="00D118DC"/>
  </w:style>
  <w:style w:type="paragraph" w:customStyle="1" w:styleId="23a">
    <w:name w:val="Основной текст 23"/>
    <w:basedOn w:val="a2"/>
    <w:rsid w:val="00D118DC"/>
    <w:pPr>
      <w:spacing w:before="120"/>
      <w:ind w:firstLine="567"/>
      <w:jc w:val="both"/>
    </w:pPr>
    <w:rPr>
      <w:rFonts w:ascii="TimesDL" w:hAnsi="TimesDL"/>
      <w:szCs w:val="20"/>
    </w:rPr>
  </w:style>
  <w:style w:type="table" w:customStyle="1" w:styleId="2020">
    <w:name w:val="Сетка таблицы202"/>
    <w:basedOn w:val="a4"/>
    <w:next w:val="afb"/>
    <w:uiPriority w:val="59"/>
    <w:rsid w:val="00D118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0">
    <w:name w:val="Сетка таблицы203"/>
    <w:basedOn w:val="a4"/>
    <w:next w:val="afb"/>
    <w:rsid w:val="00D118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1">
    <w:name w:val="Нет списка159"/>
    <w:next w:val="a5"/>
    <w:uiPriority w:val="99"/>
    <w:semiHidden/>
    <w:unhideWhenUsed/>
    <w:rsid w:val="007B58F8"/>
  </w:style>
  <w:style w:type="table" w:customStyle="1" w:styleId="204">
    <w:name w:val="Сетка таблицы204"/>
    <w:basedOn w:val="a4"/>
    <w:next w:val="afb"/>
    <w:rsid w:val="007B58F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b">
    <w:name w:val="Обычный10"/>
    <w:rsid w:val="007B58F8"/>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3f2">
    <w:name w:val="Основной текст3"/>
    <w:basedOn w:val="a2"/>
    <w:rsid w:val="007B58F8"/>
    <w:pPr>
      <w:widowControl w:val="0"/>
      <w:shd w:val="clear" w:color="auto" w:fill="FFFFFF"/>
      <w:spacing w:after="300" w:line="322" w:lineRule="exact"/>
      <w:jc w:val="center"/>
    </w:pPr>
    <w:rPr>
      <w:color w:val="000000"/>
      <w:spacing w:val="1"/>
      <w:sz w:val="25"/>
      <w:szCs w:val="25"/>
    </w:rPr>
  </w:style>
  <w:style w:type="numbering" w:customStyle="1" w:styleId="1601">
    <w:name w:val="Нет списка160"/>
    <w:next w:val="a5"/>
    <w:semiHidden/>
    <w:rsid w:val="007B58F8"/>
  </w:style>
  <w:style w:type="table" w:customStyle="1" w:styleId="11030">
    <w:name w:val="Сетка таблицы1103"/>
    <w:basedOn w:val="a4"/>
    <w:next w:val="afb"/>
    <w:uiPriority w:val="59"/>
    <w:rsid w:val="007B58F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
    <w:name w:val="Сетка таблицы247"/>
    <w:basedOn w:val="a4"/>
    <w:next w:val="afb"/>
    <w:rsid w:val="007B58F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5"/>
    <w:semiHidden/>
    <w:rsid w:val="008358C3"/>
  </w:style>
  <w:style w:type="table" w:customStyle="1" w:styleId="1104">
    <w:name w:val="Сетка таблицы1104"/>
    <w:basedOn w:val="a4"/>
    <w:next w:val="afb"/>
    <w:uiPriority w:val="59"/>
    <w:rsid w:val="008358C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5">
    <w:name w:val="Сетка таблицы205"/>
    <w:basedOn w:val="a4"/>
    <w:next w:val="afb"/>
    <w:rsid w:val="008358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6">
    <w:name w:val="Сетка таблицы206"/>
    <w:basedOn w:val="a4"/>
    <w:next w:val="afb"/>
    <w:rsid w:val="009F17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5"/>
    <w:uiPriority w:val="99"/>
    <w:semiHidden/>
    <w:unhideWhenUsed/>
    <w:rsid w:val="00A07FE8"/>
  </w:style>
  <w:style w:type="table" w:customStyle="1" w:styleId="207">
    <w:name w:val="Сетка таблицы207"/>
    <w:basedOn w:val="a4"/>
    <w:next w:val="afb"/>
    <w:rsid w:val="00A07F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8">
    <w:name w:val="Сетка таблицы208"/>
    <w:basedOn w:val="a4"/>
    <w:next w:val="afb"/>
    <w:rsid w:val="00FE24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1">
    <w:name w:val="Нет списка163"/>
    <w:next w:val="a5"/>
    <w:uiPriority w:val="99"/>
    <w:semiHidden/>
    <w:unhideWhenUsed/>
    <w:rsid w:val="002605EF"/>
  </w:style>
  <w:style w:type="table" w:customStyle="1" w:styleId="209">
    <w:name w:val="Сетка таблицы209"/>
    <w:basedOn w:val="a4"/>
    <w:next w:val="afb"/>
    <w:rsid w:val="002605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8">
    <w:name w:val="Сетка таблицы248"/>
    <w:basedOn w:val="a4"/>
    <w:next w:val="afb"/>
    <w:rsid w:val="00B93B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d">
    <w:name w:val="Знак Знак Знак Знак Знак Знак Знак Знак Знак Знак Знак Знак16"/>
    <w:basedOn w:val="a2"/>
    <w:rsid w:val="005E600D"/>
    <w:pPr>
      <w:tabs>
        <w:tab w:val="num" w:pos="360"/>
      </w:tabs>
      <w:spacing w:after="160" w:line="240" w:lineRule="exact"/>
    </w:pPr>
    <w:rPr>
      <w:rFonts w:ascii="Verdana" w:hAnsi="Verdana" w:cs="Verdana"/>
      <w:sz w:val="20"/>
      <w:szCs w:val="20"/>
      <w:lang w:val="en-US" w:eastAsia="en-US"/>
    </w:rPr>
  </w:style>
  <w:style w:type="numbering" w:customStyle="1" w:styleId="1641">
    <w:name w:val="Нет списка164"/>
    <w:next w:val="a5"/>
    <w:uiPriority w:val="99"/>
    <w:semiHidden/>
    <w:unhideWhenUsed/>
    <w:rsid w:val="001420D8"/>
  </w:style>
  <w:style w:type="table" w:customStyle="1" w:styleId="249">
    <w:name w:val="Сетка таблицы249"/>
    <w:basedOn w:val="a4"/>
    <w:next w:val="afb"/>
    <w:rsid w:val="001420D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5">
    <w:name w:val="Сетка таблицы1105"/>
    <w:basedOn w:val="a4"/>
    <w:next w:val="afb"/>
    <w:uiPriority w:val="59"/>
    <w:rsid w:val="00175C1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0">
    <w:name w:val="Сетка таблицы250"/>
    <w:basedOn w:val="a4"/>
    <w:next w:val="afb"/>
    <w:rsid w:val="00175C1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1">
    <w:name w:val="Нет списка165"/>
    <w:next w:val="a5"/>
    <w:semiHidden/>
    <w:rsid w:val="00F4151B"/>
  </w:style>
  <w:style w:type="table" w:customStyle="1" w:styleId="2510">
    <w:name w:val="Сетка таблицы251"/>
    <w:basedOn w:val="a4"/>
    <w:next w:val="afb"/>
    <w:rsid w:val="00F415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4"/>
    <w:next w:val="afb"/>
    <w:rsid w:val="00F415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61">
    <w:name w:val="Нет списка166"/>
    <w:next w:val="a5"/>
    <w:uiPriority w:val="99"/>
    <w:semiHidden/>
    <w:unhideWhenUsed/>
    <w:rsid w:val="009F11F7"/>
  </w:style>
  <w:style w:type="table" w:customStyle="1" w:styleId="253">
    <w:name w:val="Сетка таблицы253"/>
    <w:basedOn w:val="a4"/>
    <w:next w:val="afb"/>
    <w:uiPriority w:val="39"/>
    <w:rsid w:val="009F11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c">
    <w:name w:val="Знак Знак1 Знак Знак5"/>
    <w:basedOn w:val="a2"/>
    <w:rsid w:val="009F11F7"/>
    <w:pPr>
      <w:tabs>
        <w:tab w:val="num" w:pos="360"/>
      </w:tabs>
      <w:spacing w:after="160" w:line="240" w:lineRule="exact"/>
    </w:pPr>
    <w:rPr>
      <w:rFonts w:ascii="Verdana" w:hAnsi="Verdana" w:cs="Verdana"/>
      <w:sz w:val="20"/>
      <w:szCs w:val="20"/>
      <w:lang w:val="en-US" w:eastAsia="en-US"/>
    </w:rPr>
  </w:style>
  <w:style w:type="numbering" w:customStyle="1" w:styleId="1671">
    <w:name w:val="Нет списка167"/>
    <w:next w:val="a5"/>
    <w:uiPriority w:val="99"/>
    <w:semiHidden/>
    <w:rsid w:val="009F11F7"/>
  </w:style>
  <w:style w:type="numbering" w:customStyle="1" w:styleId="1125">
    <w:name w:val="Нет списка1125"/>
    <w:next w:val="a5"/>
    <w:uiPriority w:val="99"/>
    <w:semiHidden/>
    <w:unhideWhenUsed/>
    <w:rsid w:val="009F11F7"/>
  </w:style>
  <w:style w:type="table" w:customStyle="1" w:styleId="1106">
    <w:name w:val="Сетка таблицы1106"/>
    <w:basedOn w:val="a4"/>
    <w:next w:val="afb"/>
    <w:uiPriority w:val="39"/>
    <w:rsid w:val="009F11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5"/>
    <w:uiPriority w:val="99"/>
    <w:semiHidden/>
    <w:unhideWhenUsed/>
    <w:rsid w:val="009F11F7"/>
  </w:style>
  <w:style w:type="numbering" w:customStyle="1" w:styleId="3190">
    <w:name w:val="Нет списка319"/>
    <w:next w:val="a5"/>
    <w:uiPriority w:val="99"/>
    <w:semiHidden/>
    <w:rsid w:val="009F11F7"/>
  </w:style>
  <w:style w:type="numbering" w:customStyle="1" w:styleId="1219">
    <w:name w:val="Нет списка1219"/>
    <w:next w:val="a5"/>
    <w:uiPriority w:val="99"/>
    <w:semiHidden/>
    <w:unhideWhenUsed/>
    <w:rsid w:val="009F11F7"/>
  </w:style>
  <w:style w:type="numbering" w:customStyle="1" w:styleId="2118">
    <w:name w:val="Нет списка2118"/>
    <w:next w:val="a5"/>
    <w:uiPriority w:val="99"/>
    <w:semiHidden/>
    <w:unhideWhenUsed/>
    <w:rsid w:val="009F11F7"/>
  </w:style>
  <w:style w:type="paragraph" w:customStyle="1" w:styleId="822">
    <w:name w:val="Знак Знак82"/>
    <w:basedOn w:val="a2"/>
    <w:rsid w:val="009F11F7"/>
    <w:pPr>
      <w:tabs>
        <w:tab w:val="num" w:pos="360"/>
      </w:tabs>
      <w:spacing w:after="160" w:line="240" w:lineRule="exact"/>
    </w:pPr>
    <w:rPr>
      <w:rFonts w:ascii="Verdana" w:hAnsi="Verdana" w:cs="Verdana"/>
      <w:sz w:val="20"/>
      <w:szCs w:val="20"/>
      <w:lang w:val="en-US" w:eastAsia="en-US"/>
    </w:rPr>
  </w:style>
  <w:style w:type="numbering" w:customStyle="1" w:styleId="4160">
    <w:name w:val="Нет списка416"/>
    <w:next w:val="a5"/>
    <w:uiPriority w:val="99"/>
    <w:semiHidden/>
    <w:unhideWhenUsed/>
    <w:rsid w:val="009F11F7"/>
  </w:style>
  <w:style w:type="numbering" w:customStyle="1" w:styleId="5160">
    <w:name w:val="Нет списка516"/>
    <w:next w:val="a5"/>
    <w:uiPriority w:val="99"/>
    <w:semiHidden/>
    <w:unhideWhenUsed/>
    <w:rsid w:val="009F11F7"/>
  </w:style>
  <w:style w:type="table" w:customStyle="1" w:styleId="325">
    <w:name w:val="Сетка таблицы325"/>
    <w:basedOn w:val="a4"/>
    <w:next w:val="afb"/>
    <w:uiPriority w:val="39"/>
    <w:rsid w:val="009F11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81">
    <w:name w:val="Нет списка168"/>
    <w:next w:val="a5"/>
    <w:uiPriority w:val="99"/>
    <w:semiHidden/>
    <w:unhideWhenUsed/>
    <w:rsid w:val="00E27EB0"/>
  </w:style>
  <w:style w:type="table" w:customStyle="1" w:styleId="254">
    <w:name w:val="Сетка таблицы254"/>
    <w:basedOn w:val="a4"/>
    <w:next w:val="afb"/>
    <w:rsid w:val="00E27E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7">
    <w:name w:val="Сетка таблицы1107"/>
    <w:basedOn w:val="a4"/>
    <w:next w:val="afb"/>
    <w:uiPriority w:val="59"/>
    <w:rsid w:val="002919F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5">
    <w:name w:val="Сетка таблицы255"/>
    <w:basedOn w:val="a4"/>
    <w:next w:val="afb"/>
    <w:rsid w:val="002919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d">
    <w:name w:val="Знак Знак Знак Знак Знак Знак Знак Знак Знак Знак Знак Знак15"/>
    <w:basedOn w:val="a2"/>
    <w:rsid w:val="00022ACB"/>
    <w:pPr>
      <w:tabs>
        <w:tab w:val="num" w:pos="360"/>
      </w:tabs>
      <w:spacing w:after="160" w:line="240" w:lineRule="exact"/>
    </w:pPr>
    <w:rPr>
      <w:rFonts w:ascii="Verdana" w:hAnsi="Verdana" w:cs="Verdana"/>
      <w:sz w:val="20"/>
      <w:szCs w:val="20"/>
      <w:lang w:val="en-US" w:eastAsia="en-US"/>
    </w:rPr>
  </w:style>
  <w:style w:type="numbering" w:customStyle="1" w:styleId="1691">
    <w:name w:val="Нет списка169"/>
    <w:next w:val="a5"/>
    <w:uiPriority w:val="99"/>
    <w:semiHidden/>
    <w:rsid w:val="00DC778B"/>
  </w:style>
  <w:style w:type="table" w:customStyle="1" w:styleId="256">
    <w:name w:val="Сетка таблицы256"/>
    <w:basedOn w:val="a4"/>
    <w:next w:val="afb"/>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8">
    <w:name w:val="Сетка таблицы1108"/>
    <w:basedOn w:val="a4"/>
    <w:next w:val="afb"/>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7">
    <w:name w:val="Сетка таблицы257"/>
    <w:basedOn w:val="a4"/>
    <w:next w:val="afb"/>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Сетка таблицы326"/>
    <w:basedOn w:val="a4"/>
    <w:next w:val="afb"/>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Сетка таблицы423"/>
    <w:basedOn w:val="a4"/>
    <w:next w:val="afb"/>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4"/>
    <w:next w:val="afb"/>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9">
    <w:name w:val="Сетка таблицы1109"/>
    <w:basedOn w:val="a4"/>
    <w:next w:val="afb"/>
    <w:uiPriority w:val="59"/>
    <w:rsid w:val="00DC778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8">
    <w:name w:val="Сетка таблицы258"/>
    <w:basedOn w:val="a4"/>
    <w:next w:val="afb"/>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1">
    <w:name w:val="Нет списка170"/>
    <w:next w:val="a5"/>
    <w:semiHidden/>
    <w:rsid w:val="00C80D44"/>
  </w:style>
  <w:style w:type="table" w:customStyle="1" w:styleId="259">
    <w:name w:val="Сетка таблицы259"/>
    <w:basedOn w:val="a4"/>
    <w:next w:val="afb"/>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0">
    <w:name w:val="Сетка таблицы260"/>
    <w:basedOn w:val="a4"/>
    <w:next w:val="afb"/>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4"/>
    <w:next w:val="afb"/>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
    <w:name w:val="Нет списка171"/>
    <w:next w:val="a5"/>
    <w:uiPriority w:val="99"/>
    <w:semiHidden/>
    <w:unhideWhenUsed/>
    <w:rsid w:val="00C80D44"/>
  </w:style>
  <w:style w:type="numbering" w:customStyle="1" w:styleId="1126">
    <w:name w:val="Нет списка1126"/>
    <w:next w:val="a5"/>
    <w:semiHidden/>
    <w:rsid w:val="00C80D44"/>
  </w:style>
  <w:style w:type="table" w:customStyle="1" w:styleId="11150">
    <w:name w:val="Сетка таблицы1115"/>
    <w:basedOn w:val="a4"/>
    <w:next w:val="afb"/>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0">
    <w:name w:val="Нет списка235"/>
    <w:next w:val="a5"/>
    <w:uiPriority w:val="99"/>
    <w:semiHidden/>
    <w:unhideWhenUsed/>
    <w:rsid w:val="00C80D44"/>
  </w:style>
  <w:style w:type="numbering" w:customStyle="1" w:styleId="12200">
    <w:name w:val="Нет списка1220"/>
    <w:next w:val="a5"/>
    <w:semiHidden/>
    <w:rsid w:val="00C80D44"/>
  </w:style>
  <w:style w:type="table" w:customStyle="1" w:styleId="10100">
    <w:name w:val="Сетка таблицы1010"/>
    <w:basedOn w:val="a4"/>
    <w:next w:val="afb"/>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4"/>
    <w:next w:val="afb"/>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0">
    <w:name w:val="Сетка таблицы622"/>
    <w:basedOn w:val="a4"/>
    <w:next w:val="afb"/>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Нет списка11114"/>
    <w:next w:val="a5"/>
    <w:uiPriority w:val="99"/>
    <w:semiHidden/>
    <w:unhideWhenUsed/>
    <w:rsid w:val="00C80D44"/>
  </w:style>
  <w:style w:type="numbering" w:customStyle="1" w:styleId="11115">
    <w:name w:val="Нет списка11115"/>
    <w:next w:val="a5"/>
    <w:semiHidden/>
    <w:rsid w:val="00C80D44"/>
  </w:style>
  <w:style w:type="table" w:customStyle="1" w:styleId="11160">
    <w:name w:val="Сетка таблицы1116"/>
    <w:basedOn w:val="a4"/>
    <w:next w:val="afb"/>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4"/>
    <w:next w:val="afb"/>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4"/>
    <w:next w:val="afb"/>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4"/>
    <w:next w:val="afb"/>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0">
    <w:name w:val="Сетка таблицы6112"/>
    <w:basedOn w:val="a4"/>
    <w:next w:val="afb"/>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
    <w:name w:val="Нет списка172"/>
    <w:next w:val="a5"/>
    <w:uiPriority w:val="99"/>
    <w:semiHidden/>
    <w:unhideWhenUsed/>
    <w:rsid w:val="005E1BF9"/>
  </w:style>
  <w:style w:type="table" w:customStyle="1" w:styleId="11170">
    <w:name w:val="Сетка таблицы1117"/>
    <w:basedOn w:val="a4"/>
    <w:next w:val="afb"/>
    <w:uiPriority w:val="59"/>
    <w:rsid w:val="005E1BF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0">
    <w:name w:val="Сетка таблицы261"/>
    <w:basedOn w:val="a4"/>
    <w:next w:val="afb"/>
    <w:rsid w:val="005E1BF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1">
    <w:name w:val="Нет списка173"/>
    <w:next w:val="a5"/>
    <w:semiHidden/>
    <w:rsid w:val="00455BA7"/>
  </w:style>
  <w:style w:type="table" w:customStyle="1" w:styleId="2620">
    <w:name w:val="Сетка таблицы262"/>
    <w:basedOn w:val="a4"/>
    <w:next w:val="afb"/>
    <w:rsid w:val="00455B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4"/>
    <w:next w:val="afb"/>
    <w:rsid w:val="00455B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1">
    <w:name w:val="Нет списка174"/>
    <w:next w:val="a5"/>
    <w:uiPriority w:val="99"/>
    <w:semiHidden/>
    <w:unhideWhenUsed/>
    <w:rsid w:val="00774885"/>
  </w:style>
  <w:style w:type="table" w:customStyle="1" w:styleId="11180">
    <w:name w:val="Сетка таблицы1118"/>
    <w:basedOn w:val="a4"/>
    <w:next w:val="afb"/>
    <w:uiPriority w:val="59"/>
    <w:rsid w:val="0077488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4">
    <w:name w:val="Сетка таблицы264"/>
    <w:basedOn w:val="a4"/>
    <w:next w:val="afb"/>
    <w:rsid w:val="007748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f1">
    <w:name w:val="Знак Знак Знак Знак Знак Знак Знак Знак Знак Знак Знак Знак14"/>
    <w:basedOn w:val="a2"/>
    <w:rsid w:val="00F553F4"/>
    <w:pPr>
      <w:tabs>
        <w:tab w:val="num" w:pos="360"/>
      </w:tabs>
      <w:spacing w:after="160" w:line="240" w:lineRule="exact"/>
    </w:pPr>
    <w:rPr>
      <w:rFonts w:ascii="Verdana" w:hAnsi="Verdana" w:cs="Verdana"/>
      <w:sz w:val="20"/>
      <w:szCs w:val="20"/>
      <w:lang w:val="en-US" w:eastAsia="en-US"/>
    </w:rPr>
  </w:style>
  <w:style w:type="numbering" w:customStyle="1" w:styleId="1751">
    <w:name w:val="Нет списка175"/>
    <w:next w:val="a5"/>
    <w:semiHidden/>
    <w:rsid w:val="00D61E22"/>
  </w:style>
  <w:style w:type="table" w:customStyle="1" w:styleId="265">
    <w:name w:val="Сетка таблицы265"/>
    <w:basedOn w:val="a4"/>
    <w:next w:val="afb"/>
    <w:rsid w:val="00D6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0">
    <w:name w:val="Сетка таблицы1119"/>
    <w:basedOn w:val="a4"/>
    <w:next w:val="afb"/>
    <w:rsid w:val="00D6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6">
    <w:name w:val="Сетка таблицы266"/>
    <w:basedOn w:val="a4"/>
    <w:next w:val="afb"/>
    <w:rsid w:val="00D6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Сетка таблицы327"/>
    <w:basedOn w:val="a4"/>
    <w:next w:val="afb"/>
    <w:rsid w:val="00D6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Сетка таблицы424"/>
    <w:basedOn w:val="a4"/>
    <w:next w:val="afb"/>
    <w:rsid w:val="00D6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3"/>
    <w:basedOn w:val="a4"/>
    <w:next w:val="afb"/>
    <w:rsid w:val="00D6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7">
    <w:name w:val="Сетка таблицы267"/>
    <w:basedOn w:val="a4"/>
    <w:next w:val="afb"/>
    <w:rsid w:val="003B02F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1">
    <w:name w:val="Сетка таблицы1120"/>
    <w:basedOn w:val="a4"/>
    <w:next w:val="afb"/>
    <w:uiPriority w:val="59"/>
    <w:rsid w:val="0018768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8">
    <w:name w:val="Сетка таблицы268"/>
    <w:basedOn w:val="a4"/>
    <w:next w:val="afb"/>
    <w:rsid w:val="00187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61">
    <w:name w:val="Нет списка176"/>
    <w:next w:val="a5"/>
    <w:semiHidden/>
    <w:rsid w:val="009440F1"/>
  </w:style>
  <w:style w:type="table" w:customStyle="1" w:styleId="269">
    <w:name w:val="Сетка таблицы269"/>
    <w:basedOn w:val="a4"/>
    <w:next w:val="afb"/>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1121"/>
    <w:basedOn w:val="a4"/>
    <w:next w:val="afb"/>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0">
    <w:name w:val="Сетка таблицы270"/>
    <w:basedOn w:val="a4"/>
    <w:next w:val="afb"/>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Сетка таблицы328"/>
    <w:basedOn w:val="a4"/>
    <w:next w:val="afb"/>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Сетка таблицы425"/>
    <w:basedOn w:val="a4"/>
    <w:next w:val="afb"/>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524"/>
    <w:basedOn w:val="a4"/>
    <w:next w:val="afb"/>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0">
    <w:name w:val="Сетка таблицы620"/>
    <w:basedOn w:val="a4"/>
    <w:next w:val="afb"/>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4"/>
    <w:next w:val="afb"/>
    <w:rsid w:val="004125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f2">
    <w:name w:val="Знак Знак Знак Знак Знак Знак Знак Знак Знак Знак Знак Знак13"/>
    <w:basedOn w:val="a2"/>
    <w:rsid w:val="00E52178"/>
    <w:pPr>
      <w:tabs>
        <w:tab w:val="num" w:pos="360"/>
      </w:tabs>
      <w:spacing w:after="160" w:line="240" w:lineRule="exact"/>
    </w:pPr>
    <w:rPr>
      <w:rFonts w:ascii="Verdana" w:hAnsi="Verdana" w:cs="Verdana"/>
      <w:sz w:val="20"/>
      <w:szCs w:val="20"/>
      <w:lang w:val="en-US" w:eastAsia="en-US"/>
    </w:rPr>
  </w:style>
  <w:style w:type="numbering" w:customStyle="1" w:styleId="1771">
    <w:name w:val="Нет списка177"/>
    <w:next w:val="a5"/>
    <w:uiPriority w:val="99"/>
    <w:semiHidden/>
    <w:unhideWhenUsed/>
    <w:rsid w:val="000140A5"/>
  </w:style>
  <w:style w:type="table" w:customStyle="1" w:styleId="329">
    <w:name w:val="Сетка таблицы329"/>
    <w:basedOn w:val="a4"/>
    <w:next w:val="afb"/>
    <w:rsid w:val="000140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4"/>
    <w:next w:val="afb"/>
    <w:uiPriority w:val="39"/>
    <w:rsid w:val="000140A5"/>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81">
    <w:name w:val="Нет списка178"/>
    <w:next w:val="a5"/>
    <w:uiPriority w:val="99"/>
    <w:semiHidden/>
    <w:unhideWhenUsed/>
    <w:rsid w:val="000140A5"/>
  </w:style>
  <w:style w:type="table" w:customStyle="1" w:styleId="11221">
    <w:name w:val="Сетка таблицы1122"/>
    <w:basedOn w:val="a4"/>
    <w:next w:val="afb"/>
    <w:uiPriority w:val="59"/>
    <w:rsid w:val="000140A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
    <w:name w:val="Сетка таблицы273"/>
    <w:basedOn w:val="a4"/>
    <w:next w:val="afb"/>
    <w:rsid w:val="000140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Сетка таблицы426"/>
    <w:basedOn w:val="a4"/>
    <w:next w:val="afb"/>
    <w:rsid w:val="000140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
    <w:name w:val="Сетка таблицы525"/>
    <w:basedOn w:val="a4"/>
    <w:next w:val="afb"/>
    <w:rsid w:val="000140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91">
    <w:name w:val="Нет списка179"/>
    <w:next w:val="a5"/>
    <w:uiPriority w:val="99"/>
    <w:semiHidden/>
    <w:unhideWhenUsed/>
    <w:rsid w:val="000140A5"/>
  </w:style>
  <w:style w:type="table" w:customStyle="1" w:styleId="11230">
    <w:name w:val="Сетка таблицы1123"/>
    <w:basedOn w:val="a4"/>
    <w:next w:val="afb"/>
    <w:uiPriority w:val="59"/>
    <w:rsid w:val="000140A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4">
    <w:name w:val="Сетка таблицы274"/>
    <w:basedOn w:val="a4"/>
    <w:next w:val="afb"/>
    <w:rsid w:val="000140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f0">
    <w:name w:val="Знак Знак Знак Знак Знак Знак Знак Знак Знак Знак Знак Знак12"/>
    <w:basedOn w:val="a2"/>
    <w:rsid w:val="00630111"/>
    <w:pPr>
      <w:tabs>
        <w:tab w:val="num" w:pos="360"/>
      </w:tabs>
      <w:spacing w:after="160" w:line="240" w:lineRule="exact"/>
    </w:pPr>
    <w:rPr>
      <w:rFonts w:ascii="Verdana" w:hAnsi="Verdana" w:cs="Verdana"/>
      <w:sz w:val="20"/>
      <w:szCs w:val="20"/>
      <w:lang w:val="en-US" w:eastAsia="en-US"/>
    </w:rPr>
  </w:style>
  <w:style w:type="character" w:customStyle="1" w:styleId="1ff8">
    <w:name w:val="Гиперссылка1"/>
    <w:basedOn w:val="a3"/>
    <w:uiPriority w:val="99"/>
    <w:unhideWhenUsed/>
    <w:rsid w:val="00FB0249"/>
    <w:rPr>
      <w:color w:val="0563C1"/>
      <w:u w:val="single"/>
    </w:rPr>
  </w:style>
  <w:style w:type="paragraph" w:customStyle="1" w:styleId="11e">
    <w:name w:val="Знак Знак Знак Знак Знак Знак Знак Знак Знак Знак Знак Знак11"/>
    <w:basedOn w:val="a2"/>
    <w:rsid w:val="00524404"/>
    <w:pPr>
      <w:tabs>
        <w:tab w:val="num" w:pos="360"/>
      </w:tabs>
      <w:spacing w:after="160" w:line="240" w:lineRule="exact"/>
    </w:pPr>
    <w:rPr>
      <w:rFonts w:ascii="Verdana" w:hAnsi="Verdana" w:cs="Verdana"/>
      <w:sz w:val="20"/>
      <w:szCs w:val="20"/>
      <w:lang w:val="en-US" w:eastAsia="en-US"/>
    </w:rPr>
  </w:style>
  <w:style w:type="numbering" w:customStyle="1" w:styleId="1801">
    <w:name w:val="Нет списка180"/>
    <w:next w:val="a5"/>
    <w:uiPriority w:val="99"/>
    <w:semiHidden/>
    <w:rsid w:val="002F22FC"/>
  </w:style>
  <w:style w:type="paragraph" w:customStyle="1" w:styleId="12f1">
    <w:name w:val="Знак Знак Знак Знак12"/>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4f">
    <w:name w:val="Знак Знак Знак Знак4"/>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2f4">
    <w:name w:val="Знак Знак Знак Знак Знак Знак Знак Знак2"/>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2f2">
    <w:name w:val="Знак Знак Знак Знак1 Знак Знак Знак Знак2"/>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2f5">
    <w:name w:val="Знак Знак Знак Знак Знак Знак Знак Знак Знак Знак2"/>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127">
    <w:name w:val="Знак Знак1 Знак Знак12"/>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2f6">
    <w:name w:val="Знак Знак Знак Знак Знак Знак Знак Знак Знак Знак Знак Знак Знак Знак2"/>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2f3">
    <w:name w:val="Знак Знак Знак Знак1 Знак Знак Знак Знак Знак Знак Знак Знак Знак Знак Знак Знак Знак Знак Знак Знак Знак Знак Знак Знак Знак Знак Знак Знак2"/>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2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2f5">
    <w:name w:val="Знак Знак1 Знак Знак Знак Знак Знак Знак Знак Знак Знак Знак Знак Знак Знак Знак Знак Знак2"/>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2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 Знак Знак Знак Знак Знак Знак Знак Знак2"/>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32a">
    <w:name w:val="Знак Знак32"/>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2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rsid w:val="002F22FC"/>
    <w:pPr>
      <w:tabs>
        <w:tab w:val="num" w:pos="360"/>
      </w:tabs>
      <w:spacing w:after="160" w:line="240" w:lineRule="exact"/>
    </w:pPr>
    <w:rPr>
      <w:rFonts w:ascii="Verdana" w:hAnsi="Verdana" w:cs="Verdana"/>
      <w:sz w:val="20"/>
      <w:szCs w:val="20"/>
      <w:lang w:val="en-US" w:eastAsia="en-US"/>
    </w:rPr>
  </w:style>
  <w:style w:type="numbering" w:customStyle="1" w:styleId="1811">
    <w:name w:val="Нет списка181"/>
    <w:next w:val="a5"/>
    <w:semiHidden/>
    <w:rsid w:val="00F83BEB"/>
  </w:style>
  <w:style w:type="numbering" w:customStyle="1" w:styleId="1821">
    <w:name w:val="Нет списка182"/>
    <w:next w:val="a5"/>
    <w:uiPriority w:val="99"/>
    <w:semiHidden/>
    <w:rsid w:val="00B47488"/>
  </w:style>
  <w:style w:type="numbering" w:customStyle="1" w:styleId="1831">
    <w:name w:val="Нет списка183"/>
    <w:next w:val="a5"/>
    <w:uiPriority w:val="99"/>
    <w:semiHidden/>
    <w:rsid w:val="00E44369"/>
  </w:style>
  <w:style w:type="table" w:customStyle="1" w:styleId="11240">
    <w:name w:val="Сетка таблицы1124"/>
    <w:basedOn w:val="a4"/>
    <w:next w:val="afb"/>
    <w:uiPriority w:val="59"/>
    <w:rsid w:val="00E4436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5">
    <w:name w:val="Сетка таблицы275"/>
    <w:basedOn w:val="a4"/>
    <w:next w:val="afb"/>
    <w:rsid w:val="00E443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1">
    <w:name w:val="Нет списка184"/>
    <w:next w:val="a5"/>
    <w:uiPriority w:val="99"/>
    <w:semiHidden/>
    <w:unhideWhenUsed/>
    <w:rsid w:val="00E44369"/>
  </w:style>
  <w:style w:type="numbering" w:customStyle="1" w:styleId="1851">
    <w:name w:val="Нет списка185"/>
    <w:next w:val="a5"/>
    <w:uiPriority w:val="99"/>
    <w:semiHidden/>
    <w:unhideWhenUsed/>
    <w:rsid w:val="004A7A4D"/>
  </w:style>
  <w:style w:type="table" w:customStyle="1" w:styleId="11250">
    <w:name w:val="Сетка таблицы1125"/>
    <w:basedOn w:val="a4"/>
    <w:next w:val="afb"/>
    <w:uiPriority w:val="59"/>
    <w:rsid w:val="004A7A4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6">
    <w:name w:val="Сетка таблицы276"/>
    <w:basedOn w:val="a4"/>
    <w:next w:val="afb"/>
    <w:rsid w:val="004A7A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61">
    <w:name w:val="Нет списка186"/>
    <w:next w:val="a5"/>
    <w:uiPriority w:val="99"/>
    <w:semiHidden/>
    <w:unhideWhenUsed/>
    <w:rsid w:val="004A7A4D"/>
  </w:style>
  <w:style w:type="numbering" w:customStyle="1" w:styleId="1871">
    <w:name w:val="Нет списка187"/>
    <w:next w:val="a5"/>
    <w:semiHidden/>
    <w:rsid w:val="006E416C"/>
  </w:style>
  <w:style w:type="numbering" w:customStyle="1" w:styleId="1881">
    <w:name w:val="Нет списка188"/>
    <w:next w:val="a5"/>
    <w:uiPriority w:val="99"/>
    <w:semiHidden/>
    <w:unhideWhenUsed/>
    <w:rsid w:val="00DD418B"/>
  </w:style>
  <w:style w:type="table" w:customStyle="1" w:styleId="277">
    <w:name w:val="Сетка таблицы277"/>
    <w:basedOn w:val="a4"/>
    <w:next w:val="afb"/>
    <w:uiPriority w:val="39"/>
    <w:rsid w:val="00DD41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91">
    <w:name w:val="Нет списка189"/>
    <w:next w:val="a5"/>
    <w:uiPriority w:val="99"/>
    <w:semiHidden/>
    <w:unhideWhenUsed/>
    <w:rsid w:val="00845DDD"/>
  </w:style>
  <w:style w:type="table" w:customStyle="1" w:styleId="278">
    <w:name w:val="Сетка таблицы278"/>
    <w:basedOn w:val="a4"/>
    <w:next w:val="afb"/>
    <w:uiPriority w:val="39"/>
    <w:rsid w:val="00845D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1">
    <w:name w:val="Нет списка190"/>
    <w:next w:val="a5"/>
    <w:uiPriority w:val="99"/>
    <w:semiHidden/>
    <w:unhideWhenUsed/>
    <w:rsid w:val="004F7BA5"/>
  </w:style>
  <w:style w:type="table" w:customStyle="1" w:styleId="279">
    <w:name w:val="Сетка таблицы279"/>
    <w:basedOn w:val="a4"/>
    <w:next w:val="afb"/>
    <w:uiPriority w:val="39"/>
    <w:rsid w:val="004F7B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5"/>
    <w:uiPriority w:val="99"/>
    <w:semiHidden/>
    <w:rsid w:val="004F7BA5"/>
  </w:style>
  <w:style w:type="table" w:customStyle="1" w:styleId="11260">
    <w:name w:val="Сетка таблицы1126"/>
    <w:basedOn w:val="a4"/>
    <w:next w:val="afb"/>
    <w:uiPriority w:val="39"/>
    <w:rsid w:val="004F7B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0">
    <w:name w:val="Нет списка1127"/>
    <w:next w:val="a5"/>
    <w:uiPriority w:val="99"/>
    <w:semiHidden/>
    <w:unhideWhenUsed/>
    <w:rsid w:val="004F7BA5"/>
  </w:style>
  <w:style w:type="table" w:customStyle="1" w:styleId="11271">
    <w:name w:val="Сетка таблицы1127"/>
    <w:basedOn w:val="a4"/>
    <w:next w:val="afb"/>
    <w:uiPriority w:val="39"/>
    <w:rsid w:val="004F7B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0">
    <w:name w:val="Нет списка236"/>
    <w:next w:val="a5"/>
    <w:uiPriority w:val="99"/>
    <w:semiHidden/>
    <w:unhideWhenUsed/>
    <w:rsid w:val="004F7BA5"/>
  </w:style>
  <w:style w:type="table" w:customStyle="1" w:styleId="2800">
    <w:name w:val="Сетка таблицы280"/>
    <w:basedOn w:val="a4"/>
    <w:next w:val="afb"/>
    <w:uiPriority w:val="39"/>
    <w:rsid w:val="004F7B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1">
    <w:name w:val="Нет списка192"/>
    <w:next w:val="a5"/>
    <w:uiPriority w:val="99"/>
    <w:semiHidden/>
    <w:rsid w:val="00213094"/>
  </w:style>
  <w:style w:type="paragraph" w:customStyle="1" w:styleId="20a">
    <w:name w:val="Абзац списка20"/>
    <w:basedOn w:val="a2"/>
    <w:autoRedefine/>
    <w:rsid w:val="00213094"/>
    <w:pPr>
      <w:jc w:val="center"/>
    </w:pPr>
    <w:rPr>
      <w:snapToGrid w:val="0"/>
      <w:sz w:val="28"/>
      <w:szCs w:val="28"/>
    </w:rPr>
  </w:style>
  <w:style w:type="table" w:customStyle="1" w:styleId="2810">
    <w:name w:val="Сетка таблицы281"/>
    <w:basedOn w:val="a4"/>
    <w:next w:val="afb"/>
    <w:uiPriority w:val="39"/>
    <w:rsid w:val="0021309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f8">
    <w:name w:val="12"/>
    <w:basedOn w:val="a2"/>
    <w:next w:val="aff5"/>
    <w:rsid w:val="004D3EBE"/>
    <w:pPr>
      <w:spacing w:before="100" w:beforeAutospacing="1" w:after="100" w:afterAutospacing="1"/>
    </w:pPr>
  </w:style>
  <w:style w:type="paragraph" w:customStyle="1" w:styleId="6f1">
    <w:name w:val="Знак6"/>
    <w:basedOn w:val="a2"/>
    <w:rsid w:val="00213094"/>
    <w:pPr>
      <w:spacing w:after="160" w:line="240" w:lineRule="exact"/>
    </w:pPr>
    <w:rPr>
      <w:rFonts w:ascii="Verdana" w:hAnsi="Verdana" w:cs="Verdana"/>
      <w:sz w:val="20"/>
      <w:szCs w:val="20"/>
      <w:lang w:val="en-US" w:eastAsia="en-US"/>
    </w:rPr>
  </w:style>
  <w:style w:type="numbering" w:customStyle="1" w:styleId="1931">
    <w:name w:val="Нет списка193"/>
    <w:next w:val="a5"/>
    <w:uiPriority w:val="99"/>
    <w:semiHidden/>
    <w:unhideWhenUsed/>
    <w:rsid w:val="00213094"/>
  </w:style>
  <w:style w:type="table" w:customStyle="1" w:styleId="1128">
    <w:name w:val="Сетка таблицы1128"/>
    <w:basedOn w:val="a4"/>
    <w:next w:val="afb"/>
    <w:uiPriority w:val="39"/>
    <w:rsid w:val="0021309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70">
    <w:name w:val="Нет списка237"/>
    <w:next w:val="a5"/>
    <w:semiHidden/>
    <w:unhideWhenUsed/>
    <w:rsid w:val="00213094"/>
  </w:style>
  <w:style w:type="numbering" w:customStyle="1" w:styleId="11280">
    <w:name w:val="Нет списка1128"/>
    <w:next w:val="a5"/>
    <w:uiPriority w:val="99"/>
    <w:semiHidden/>
    <w:unhideWhenUsed/>
    <w:rsid w:val="00213094"/>
  </w:style>
  <w:style w:type="numbering" w:customStyle="1" w:styleId="1222">
    <w:name w:val="Нет списка1222"/>
    <w:next w:val="a5"/>
    <w:uiPriority w:val="99"/>
    <w:semiHidden/>
    <w:rsid w:val="00213094"/>
  </w:style>
  <w:style w:type="numbering" w:customStyle="1" w:styleId="1941">
    <w:name w:val="Нет списка194"/>
    <w:next w:val="a5"/>
    <w:uiPriority w:val="99"/>
    <w:semiHidden/>
    <w:unhideWhenUsed/>
    <w:rsid w:val="00DC27A1"/>
  </w:style>
  <w:style w:type="numbering" w:customStyle="1" w:styleId="1951">
    <w:name w:val="Нет списка195"/>
    <w:next w:val="a5"/>
    <w:uiPriority w:val="99"/>
    <w:semiHidden/>
    <w:unhideWhenUsed/>
    <w:rsid w:val="00955912"/>
  </w:style>
  <w:style w:type="table" w:customStyle="1" w:styleId="1129">
    <w:name w:val="Сетка таблицы1129"/>
    <w:basedOn w:val="a4"/>
    <w:next w:val="afb"/>
    <w:uiPriority w:val="59"/>
    <w:rsid w:val="0095591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20">
    <w:name w:val="Сетка таблицы282"/>
    <w:basedOn w:val="a4"/>
    <w:next w:val="afb"/>
    <w:rsid w:val="009559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60">
    <w:name w:val="Нет списка196"/>
    <w:next w:val="a5"/>
    <w:uiPriority w:val="99"/>
    <w:semiHidden/>
    <w:unhideWhenUsed/>
    <w:rsid w:val="00CC2518"/>
  </w:style>
  <w:style w:type="numbering" w:customStyle="1" w:styleId="1970">
    <w:name w:val="Нет списка197"/>
    <w:next w:val="a5"/>
    <w:uiPriority w:val="99"/>
    <w:semiHidden/>
    <w:rsid w:val="004D3EBE"/>
  </w:style>
  <w:style w:type="table" w:customStyle="1" w:styleId="283">
    <w:name w:val="Сетка таблицы283"/>
    <w:basedOn w:val="a4"/>
    <w:next w:val="afb"/>
    <w:uiPriority w:val="39"/>
    <w:rsid w:val="004D3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80">
    <w:name w:val="Нет списка198"/>
    <w:next w:val="a5"/>
    <w:uiPriority w:val="99"/>
    <w:semiHidden/>
    <w:unhideWhenUsed/>
    <w:rsid w:val="004D3EBE"/>
  </w:style>
  <w:style w:type="table" w:customStyle="1" w:styleId="11300">
    <w:name w:val="Сетка таблицы1130"/>
    <w:basedOn w:val="a4"/>
    <w:next w:val="afb"/>
    <w:uiPriority w:val="39"/>
    <w:rsid w:val="004D3E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80">
    <w:name w:val="Нет списка238"/>
    <w:next w:val="a5"/>
    <w:uiPriority w:val="99"/>
    <w:semiHidden/>
    <w:unhideWhenUsed/>
    <w:rsid w:val="004D3EBE"/>
  </w:style>
  <w:style w:type="table" w:customStyle="1" w:styleId="11311">
    <w:name w:val="Сетка таблицы1131"/>
    <w:basedOn w:val="a4"/>
    <w:next w:val="afb"/>
    <w:uiPriority w:val="59"/>
    <w:rsid w:val="004D3E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4">
    <w:name w:val="Сетка таблицы284"/>
    <w:basedOn w:val="a4"/>
    <w:next w:val="afb"/>
    <w:rsid w:val="004D3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90">
    <w:name w:val="Нет списка199"/>
    <w:next w:val="a5"/>
    <w:semiHidden/>
    <w:rsid w:val="00E7487A"/>
  </w:style>
  <w:style w:type="table" w:customStyle="1" w:styleId="285">
    <w:name w:val="Сетка таблицы285"/>
    <w:basedOn w:val="a4"/>
    <w:next w:val="afb"/>
    <w:rsid w:val="00E748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6">
    <w:name w:val="Сетка таблицы286"/>
    <w:basedOn w:val="a4"/>
    <w:next w:val="afb"/>
    <w:rsid w:val="00E748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7">
    <w:name w:val="Сетка таблицы287"/>
    <w:basedOn w:val="a4"/>
    <w:next w:val="afb"/>
    <w:rsid w:val="00C454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c">
    <w:name w:val="Знак Знак Знак Знак Знак Знак Знак Знак Знак Знак Знак Знак10"/>
    <w:basedOn w:val="a2"/>
    <w:rsid w:val="00302298"/>
    <w:pPr>
      <w:tabs>
        <w:tab w:val="num" w:pos="360"/>
      </w:tabs>
      <w:spacing w:after="160" w:line="240" w:lineRule="exact"/>
    </w:pPr>
    <w:rPr>
      <w:rFonts w:ascii="Verdana" w:hAnsi="Verdana" w:cs="Verdana"/>
      <w:sz w:val="20"/>
      <w:szCs w:val="20"/>
      <w:lang w:val="en-US" w:eastAsia="en-US"/>
    </w:rPr>
  </w:style>
  <w:style w:type="numbering" w:customStyle="1" w:styleId="2001">
    <w:name w:val="Нет списка200"/>
    <w:next w:val="a5"/>
    <w:uiPriority w:val="99"/>
    <w:semiHidden/>
    <w:rsid w:val="00C603BF"/>
  </w:style>
  <w:style w:type="paragraph" w:customStyle="1" w:styleId="21b">
    <w:name w:val="Абзац списка21"/>
    <w:basedOn w:val="a2"/>
    <w:autoRedefine/>
    <w:rsid w:val="00C603BF"/>
    <w:pPr>
      <w:jc w:val="center"/>
    </w:pPr>
    <w:rPr>
      <w:snapToGrid w:val="0"/>
      <w:sz w:val="28"/>
      <w:szCs w:val="28"/>
    </w:rPr>
  </w:style>
  <w:style w:type="table" w:customStyle="1" w:styleId="288">
    <w:name w:val="Сетка таблицы288"/>
    <w:basedOn w:val="a4"/>
    <w:next w:val="afb"/>
    <w:uiPriority w:val="39"/>
    <w:rsid w:val="00C603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
    <w:name w:val="11"/>
    <w:basedOn w:val="a2"/>
    <w:next w:val="aff5"/>
    <w:rsid w:val="00746D22"/>
    <w:pPr>
      <w:spacing w:before="100" w:beforeAutospacing="1" w:after="100" w:afterAutospacing="1"/>
    </w:pPr>
  </w:style>
  <w:style w:type="paragraph" w:customStyle="1" w:styleId="5f0">
    <w:name w:val="Знак5"/>
    <w:basedOn w:val="a2"/>
    <w:rsid w:val="00C603BF"/>
    <w:pPr>
      <w:spacing w:after="160" w:line="240" w:lineRule="exact"/>
    </w:pPr>
    <w:rPr>
      <w:rFonts w:ascii="Verdana" w:hAnsi="Verdana" w:cs="Verdana"/>
      <w:sz w:val="20"/>
      <w:szCs w:val="20"/>
      <w:lang w:val="en-US" w:eastAsia="en-US"/>
    </w:rPr>
  </w:style>
  <w:style w:type="numbering" w:customStyle="1" w:styleId="11001">
    <w:name w:val="Нет списка1100"/>
    <w:next w:val="a5"/>
    <w:uiPriority w:val="99"/>
    <w:semiHidden/>
    <w:unhideWhenUsed/>
    <w:rsid w:val="00C603BF"/>
  </w:style>
  <w:style w:type="table" w:customStyle="1" w:styleId="11320">
    <w:name w:val="Сетка таблицы1132"/>
    <w:basedOn w:val="a4"/>
    <w:next w:val="afb"/>
    <w:uiPriority w:val="39"/>
    <w:rsid w:val="00C603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90">
    <w:name w:val="Нет списка239"/>
    <w:next w:val="a5"/>
    <w:uiPriority w:val="99"/>
    <w:semiHidden/>
    <w:unhideWhenUsed/>
    <w:rsid w:val="00C603BF"/>
  </w:style>
  <w:style w:type="table" w:customStyle="1" w:styleId="289">
    <w:name w:val="Сетка таблицы289"/>
    <w:basedOn w:val="a4"/>
    <w:next w:val="afb"/>
    <w:uiPriority w:val="39"/>
    <w:rsid w:val="00C603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
    <w:name w:val="Нет списка201"/>
    <w:next w:val="a5"/>
    <w:uiPriority w:val="99"/>
    <w:semiHidden/>
    <w:rsid w:val="00C603BF"/>
  </w:style>
  <w:style w:type="table" w:customStyle="1" w:styleId="2900">
    <w:name w:val="Сетка таблицы290"/>
    <w:basedOn w:val="a4"/>
    <w:next w:val="afb"/>
    <w:uiPriority w:val="39"/>
    <w:rsid w:val="00C603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5"/>
    <w:uiPriority w:val="99"/>
    <w:semiHidden/>
    <w:unhideWhenUsed/>
    <w:rsid w:val="00C603BF"/>
  </w:style>
  <w:style w:type="table" w:customStyle="1" w:styleId="1133">
    <w:name w:val="Сетка таблицы1133"/>
    <w:basedOn w:val="a4"/>
    <w:next w:val="afb"/>
    <w:uiPriority w:val="39"/>
    <w:rsid w:val="00C603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1">
    <w:name w:val="Нет списка240"/>
    <w:next w:val="a5"/>
    <w:uiPriority w:val="99"/>
    <w:semiHidden/>
    <w:unhideWhenUsed/>
    <w:rsid w:val="00C603BF"/>
  </w:style>
  <w:style w:type="table" w:customStyle="1" w:styleId="2910">
    <w:name w:val="Сетка таблицы291"/>
    <w:basedOn w:val="a4"/>
    <w:next w:val="afb"/>
    <w:uiPriority w:val="39"/>
    <w:rsid w:val="00C603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1">
    <w:name w:val="Нет списка202"/>
    <w:next w:val="a5"/>
    <w:uiPriority w:val="99"/>
    <w:semiHidden/>
    <w:rsid w:val="00746D22"/>
  </w:style>
  <w:style w:type="table" w:customStyle="1" w:styleId="2920">
    <w:name w:val="Сетка таблицы292"/>
    <w:basedOn w:val="a4"/>
    <w:next w:val="afb"/>
    <w:uiPriority w:val="39"/>
    <w:rsid w:val="00746D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1">
    <w:name w:val="Нет списка1102"/>
    <w:next w:val="a5"/>
    <w:uiPriority w:val="99"/>
    <w:semiHidden/>
    <w:unhideWhenUsed/>
    <w:rsid w:val="00746D22"/>
  </w:style>
  <w:style w:type="table" w:customStyle="1" w:styleId="1134">
    <w:name w:val="Сетка таблицы1134"/>
    <w:basedOn w:val="a4"/>
    <w:next w:val="afb"/>
    <w:uiPriority w:val="39"/>
    <w:rsid w:val="00746D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
    <w:name w:val="Нет списка241"/>
    <w:next w:val="a5"/>
    <w:uiPriority w:val="99"/>
    <w:semiHidden/>
    <w:unhideWhenUsed/>
    <w:rsid w:val="00746D22"/>
  </w:style>
  <w:style w:type="table" w:customStyle="1" w:styleId="293">
    <w:name w:val="Сетка таблицы293"/>
    <w:basedOn w:val="a4"/>
    <w:next w:val="afb"/>
    <w:uiPriority w:val="39"/>
    <w:rsid w:val="00746D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1">
    <w:name w:val="Нет списка203"/>
    <w:next w:val="a5"/>
    <w:uiPriority w:val="99"/>
    <w:semiHidden/>
    <w:rsid w:val="00B97546"/>
  </w:style>
  <w:style w:type="paragraph" w:customStyle="1" w:styleId="22b">
    <w:name w:val="Абзац списка22"/>
    <w:basedOn w:val="a2"/>
    <w:autoRedefine/>
    <w:rsid w:val="00B97546"/>
    <w:pPr>
      <w:jc w:val="center"/>
    </w:pPr>
    <w:rPr>
      <w:snapToGrid w:val="0"/>
      <w:sz w:val="28"/>
      <w:szCs w:val="28"/>
    </w:rPr>
  </w:style>
  <w:style w:type="table" w:customStyle="1" w:styleId="294">
    <w:name w:val="Сетка таблицы294"/>
    <w:basedOn w:val="a4"/>
    <w:next w:val="afb"/>
    <w:uiPriority w:val="39"/>
    <w:rsid w:val="00B975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d">
    <w:name w:val="10"/>
    <w:basedOn w:val="a2"/>
    <w:next w:val="aff5"/>
    <w:rsid w:val="00B97546"/>
    <w:pPr>
      <w:spacing w:before="100" w:beforeAutospacing="1" w:after="100" w:afterAutospacing="1"/>
    </w:pPr>
  </w:style>
  <w:style w:type="paragraph" w:customStyle="1" w:styleId="4f0">
    <w:name w:val="Знак4"/>
    <w:basedOn w:val="a2"/>
    <w:rsid w:val="00B97546"/>
    <w:pPr>
      <w:spacing w:after="160" w:line="240" w:lineRule="exact"/>
    </w:pPr>
    <w:rPr>
      <w:rFonts w:ascii="Verdana" w:hAnsi="Verdana" w:cs="Verdana"/>
      <w:sz w:val="20"/>
      <w:szCs w:val="20"/>
      <w:lang w:val="en-US" w:eastAsia="en-US"/>
    </w:rPr>
  </w:style>
  <w:style w:type="numbering" w:customStyle="1" w:styleId="11031">
    <w:name w:val="Нет списка1103"/>
    <w:next w:val="a5"/>
    <w:uiPriority w:val="99"/>
    <w:semiHidden/>
    <w:unhideWhenUsed/>
    <w:rsid w:val="00B97546"/>
  </w:style>
  <w:style w:type="table" w:customStyle="1" w:styleId="1135">
    <w:name w:val="Сетка таблицы1135"/>
    <w:basedOn w:val="a4"/>
    <w:next w:val="afb"/>
    <w:uiPriority w:val="39"/>
    <w:rsid w:val="00B975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
    <w:name w:val="Нет списка242"/>
    <w:next w:val="a5"/>
    <w:uiPriority w:val="99"/>
    <w:semiHidden/>
    <w:unhideWhenUsed/>
    <w:rsid w:val="00B97546"/>
  </w:style>
  <w:style w:type="table" w:customStyle="1" w:styleId="295">
    <w:name w:val="Сетка таблицы295"/>
    <w:basedOn w:val="a4"/>
    <w:next w:val="afb"/>
    <w:uiPriority w:val="39"/>
    <w:rsid w:val="00B975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6">
    <w:name w:val="font16"/>
    <w:basedOn w:val="a2"/>
    <w:rsid w:val="00B97546"/>
    <w:pPr>
      <w:spacing w:before="100" w:beforeAutospacing="1" w:after="100" w:afterAutospacing="1"/>
    </w:pPr>
    <w:rPr>
      <w:rFonts w:ascii="Tahoma" w:hAnsi="Tahoma" w:cs="Tahoma"/>
      <w:b/>
      <w:bCs/>
      <w:color w:val="000000"/>
      <w:sz w:val="22"/>
      <w:szCs w:val="22"/>
    </w:rPr>
  </w:style>
  <w:style w:type="paragraph" w:customStyle="1" w:styleId="font17">
    <w:name w:val="font17"/>
    <w:basedOn w:val="a2"/>
    <w:rsid w:val="00B97546"/>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2"/>
    <w:rsid w:val="00B97546"/>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2"/>
    <w:rsid w:val="00B97546"/>
    <w:pPr>
      <w:spacing w:before="100" w:beforeAutospacing="1" w:after="100" w:afterAutospacing="1"/>
    </w:pPr>
    <w:rPr>
      <w:rFonts w:ascii="Tahoma" w:hAnsi="Tahoma" w:cs="Tahoma"/>
      <w:i/>
      <w:iCs/>
      <w:color w:val="000000"/>
      <w:sz w:val="22"/>
      <w:szCs w:val="22"/>
    </w:rPr>
  </w:style>
  <w:style w:type="paragraph" w:customStyle="1" w:styleId="font20">
    <w:name w:val="font20"/>
    <w:basedOn w:val="a2"/>
    <w:rsid w:val="00B97546"/>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2"/>
    <w:rsid w:val="00B97546"/>
    <w:pPr>
      <w:spacing w:before="100" w:beforeAutospacing="1" w:after="100" w:afterAutospacing="1"/>
    </w:pPr>
    <w:rPr>
      <w:rFonts w:ascii="Tahoma" w:hAnsi="Tahoma" w:cs="Tahoma"/>
      <w:b/>
      <w:bCs/>
      <w:color w:val="000000"/>
      <w:sz w:val="22"/>
      <w:szCs w:val="22"/>
    </w:rPr>
  </w:style>
  <w:style w:type="paragraph" w:customStyle="1" w:styleId="font22">
    <w:name w:val="font22"/>
    <w:basedOn w:val="a2"/>
    <w:rsid w:val="00B97546"/>
    <w:pPr>
      <w:spacing w:before="100" w:beforeAutospacing="1" w:after="100" w:afterAutospacing="1"/>
    </w:pPr>
    <w:rPr>
      <w:rFonts w:ascii="Tahoma" w:hAnsi="Tahoma" w:cs="Tahoma"/>
      <w:b/>
      <w:bCs/>
      <w:i/>
      <w:iCs/>
      <w:sz w:val="22"/>
      <w:szCs w:val="22"/>
    </w:rPr>
  </w:style>
  <w:style w:type="paragraph" w:customStyle="1" w:styleId="font23">
    <w:name w:val="font23"/>
    <w:basedOn w:val="a2"/>
    <w:rsid w:val="00B97546"/>
    <w:pPr>
      <w:spacing w:before="100" w:beforeAutospacing="1" w:after="100" w:afterAutospacing="1"/>
    </w:pPr>
    <w:rPr>
      <w:rFonts w:ascii="Tahoma" w:hAnsi="Tahoma" w:cs="Tahoma"/>
      <w:b/>
      <w:bCs/>
      <w:sz w:val="22"/>
      <w:szCs w:val="22"/>
    </w:rPr>
  </w:style>
  <w:style w:type="paragraph" w:customStyle="1" w:styleId="font24">
    <w:name w:val="font24"/>
    <w:basedOn w:val="a2"/>
    <w:rsid w:val="00B97546"/>
    <w:pPr>
      <w:spacing w:before="100" w:beforeAutospacing="1" w:after="100" w:afterAutospacing="1"/>
    </w:pPr>
    <w:rPr>
      <w:rFonts w:ascii="Tahoma" w:hAnsi="Tahoma" w:cs="Tahoma"/>
      <w:b/>
      <w:bCs/>
      <w:sz w:val="22"/>
      <w:szCs w:val="22"/>
    </w:rPr>
  </w:style>
  <w:style w:type="paragraph" w:customStyle="1" w:styleId="font25">
    <w:name w:val="font25"/>
    <w:basedOn w:val="a2"/>
    <w:rsid w:val="00B97546"/>
    <w:pPr>
      <w:spacing w:before="100" w:beforeAutospacing="1" w:after="100" w:afterAutospacing="1"/>
    </w:pPr>
    <w:rPr>
      <w:rFonts w:ascii="Tahoma" w:hAnsi="Tahoma" w:cs="Tahoma"/>
      <w:b/>
      <w:bCs/>
      <w:color w:val="000000"/>
      <w:sz w:val="22"/>
      <w:szCs w:val="22"/>
    </w:rPr>
  </w:style>
  <w:style w:type="paragraph" w:customStyle="1" w:styleId="xl48092">
    <w:name w:val="xl48092"/>
    <w:basedOn w:val="a2"/>
    <w:rsid w:val="00B97546"/>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2"/>
    <w:rsid w:val="00B97546"/>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2"/>
    <w:rsid w:val="00B97546"/>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2"/>
    <w:rsid w:val="00B97546"/>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2"/>
    <w:rsid w:val="00B97546"/>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2"/>
    <w:rsid w:val="00B97546"/>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2"/>
    <w:rsid w:val="00B97546"/>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2"/>
    <w:rsid w:val="00B97546"/>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2"/>
    <w:rsid w:val="00B97546"/>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2"/>
    <w:rsid w:val="00B97546"/>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2"/>
    <w:rsid w:val="00B9754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2"/>
    <w:rsid w:val="00B97546"/>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2"/>
    <w:rsid w:val="00B9754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2"/>
    <w:rsid w:val="00B975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2"/>
    <w:rsid w:val="00B9754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2"/>
    <w:rsid w:val="00B9754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2"/>
    <w:rsid w:val="00B9754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2"/>
    <w:rsid w:val="00B97546"/>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2"/>
    <w:rsid w:val="00B97546"/>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2"/>
    <w:rsid w:val="00B97546"/>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2"/>
    <w:rsid w:val="00B97546"/>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2"/>
    <w:rsid w:val="00B9754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2"/>
    <w:rsid w:val="00B9754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2"/>
    <w:rsid w:val="00B97546"/>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2"/>
    <w:rsid w:val="00B9754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2"/>
    <w:rsid w:val="00B97546"/>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2"/>
    <w:rsid w:val="00B97546"/>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2"/>
    <w:rsid w:val="00B9754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2"/>
    <w:rsid w:val="00B9754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2"/>
    <w:rsid w:val="00B9754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2"/>
    <w:rsid w:val="00B9754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2"/>
    <w:rsid w:val="00B97546"/>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2"/>
    <w:rsid w:val="00B9754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2"/>
    <w:rsid w:val="00B97546"/>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2"/>
    <w:rsid w:val="00B97546"/>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2"/>
    <w:rsid w:val="00B97546"/>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2"/>
    <w:rsid w:val="00B9754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2"/>
    <w:rsid w:val="00B97546"/>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2"/>
    <w:rsid w:val="00B9754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2"/>
    <w:rsid w:val="00B9754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2"/>
    <w:rsid w:val="00B9754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2"/>
    <w:rsid w:val="00B9754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2"/>
    <w:rsid w:val="00B9754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2"/>
    <w:rsid w:val="00B9754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2"/>
    <w:rsid w:val="00B9754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2"/>
    <w:rsid w:val="00B97546"/>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2"/>
    <w:rsid w:val="00B9754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2"/>
    <w:rsid w:val="00B97546"/>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2"/>
    <w:rsid w:val="00B97546"/>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2"/>
    <w:rsid w:val="00B97546"/>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2"/>
    <w:rsid w:val="00B9754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2"/>
    <w:rsid w:val="00B9754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2"/>
    <w:rsid w:val="00B9754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2"/>
    <w:rsid w:val="00B9754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2"/>
    <w:rsid w:val="00B97546"/>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2"/>
    <w:rsid w:val="00B97546"/>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2"/>
    <w:rsid w:val="00B97546"/>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2"/>
    <w:rsid w:val="00B9754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2"/>
    <w:rsid w:val="00B97546"/>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2"/>
    <w:rsid w:val="00B9754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2"/>
    <w:rsid w:val="00B97546"/>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2"/>
    <w:rsid w:val="00B97546"/>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2"/>
    <w:rsid w:val="00B97546"/>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2"/>
    <w:rsid w:val="00B97546"/>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2"/>
    <w:rsid w:val="00B97546"/>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2"/>
    <w:rsid w:val="00B97546"/>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2"/>
    <w:rsid w:val="00B97546"/>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2"/>
    <w:rsid w:val="00B9754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2"/>
    <w:rsid w:val="00B97546"/>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2"/>
    <w:rsid w:val="00B97546"/>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2"/>
    <w:rsid w:val="00B97546"/>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2"/>
    <w:rsid w:val="00B97546"/>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2"/>
    <w:rsid w:val="00B97546"/>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2"/>
    <w:rsid w:val="00B97546"/>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2"/>
    <w:rsid w:val="00B97546"/>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2"/>
    <w:rsid w:val="00B97546"/>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2"/>
    <w:rsid w:val="00B97546"/>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2"/>
    <w:rsid w:val="00B97546"/>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2"/>
    <w:rsid w:val="00B97546"/>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2"/>
    <w:rsid w:val="00B9754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2"/>
    <w:rsid w:val="00B9754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9c">
    <w:name w:val="Знак Знак Знак Знак Знак Знак Знак Знак Знак Знак Знак Знак9"/>
    <w:basedOn w:val="a2"/>
    <w:rsid w:val="0052710B"/>
    <w:pPr>
      <w:tabs>
        <w:tab w:val="num" w:pos="360"/>
      </w:tabs>
      <w:spacing w:after="160" w:line="240" w:lineRule="exact"/>
    </w:pPr>
    <w:rPr>
      <w:rFonts w:ascii="Verdana" w:hAnsi="Verdana" w:cs="Verdana"/>
      <w:sz w:val="20"/>
      <w:szCs w:val="20"/>
      <w:lang w:val="en-US" w:eastAsia="en-US"/>
    </w:rPr>
  </w:style>
  <w:style w:type="numbering" w:customStyle="1" w:styleId="2040">
    <w:name w:val="Нет списка204"/>
    <w:next w:val="a5"/>
    <w:semiHidden/>
    <w:rsid w:val="004F0328"/>
  </w:style>
  <w:style w:type="table" w:customStyle="1" w:styleId="296">
    <w:name w:val="Сетка таблицы296"/>
    <w:basedOn w:val="a4"/>
    <w:next w:val="afb"/>
    <w:rsid w:val="004F03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
    <w:name w:val="Сетка таблицы1136"/>
    <w:basedOn w:val="a4"/>
    <w:next w:val="afb"/>
    <w:rsid w:val="004F03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7">
    <w:name w:val="Сетка таблицы297"/>
    <w:basedOn w:val="a4"/>
    <w:next w:val="afb"/>
    <w:rsid w:val="004F03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0">
    <w:name w:val="Сетка таблицы330"/>
    <w:basedOn w:val="a4"/>
    <w:next w:val="afb"/>
    <w:rsid w:val="004F03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Сетка таблицы427"/>
    <w:basedOn w:val="a4"/>
    <w:next w:val="afb"/>
    <w:rsid w:val="004F03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6">
    <w:name w:val="Сетка таблицы526"/>
    <w:basedOn w:val="a4"/>
    <w:next w:val="afb"/>
    <w:rsid w:val="004F03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pt0pt">
    <w:name w:val="Основной текст + 8 pt;Полужирный;Интервал 0 pt"/>
    <w:rsid w:val="004F0328"/>
    <w:rPr>
      <w:rFonts w:ascii="Times New Roman" w:eastAsia="Times New Roman" w:hAnsi="Times New Roman" w:cs="Times New Roman"/>
      <w:b/>
      <w:bCs/>
      <w:i w:val="0"/>
      <w:iCs w:val="0"/>
      <w:smallCaps w:val="0"/>
      <w:strike w:val="0"/>
      <w:color w:val="000000"/>
      <w:spacing w:val="4"/>
      <w:w w:val="100"/>
      <w:position w:val="0"/>
      <w:sz w:val="16"/>
      <w:szCs w:val="16"/>
      <w:u w:val="none"/>
      <w:lang w:val="ru-RU"/>
    </w:rPr>
  </w:style>
  <w:style w:type="character" w:customStyle="1" w:styleId="8pt0pt0">
    <w:name w:val="Основной текст + 8 pt;Интервал 0 pt"/>
    <w:rsid w:val="004F0328"/>
    <w:rPr>
      <w:rFonts w:ascii="Times New Roman" w:eastAsia="Times New Roman" w:hAnsi="Times New Roman" w:cs="Times New Roman"/>
      <w:b w:val="0"/>
      <w:bCs w:val="0"/>
      <w:i w:val="0"/>
      <w:iCs w:val="0"/>
      <w:smallCaps w:val="0"/>
      <w:strike w:val="0"/>
      <w:color w:val="000000"/>
      <w:spacing w:val="5"/>
      <w:w w:val="100"/>
      <w:position w:val="0"/>
      <w:sz w:val="16"/>
      <w:szCs w:val="16"/>
      <w:u w:val="none"/>
      <w:lang w:val="ru-RU"/>
    </w:rPr>
  </w:style>
  <w:style w:type="character" w:customStyle="1" w:styleId="6pt0pt">
    <w:name w:val="Основной текст + 6 pt;Интервал 0 pt"/>
    <w:rsid w:val="004F0328"/>
    <w:rPr>
      <w:rFonts w:ascii="Times New Roman" w:eastAsia="Times New Roman" w:hAnsi="Times New Roman" w:cs="Times New Roman"/>
      <w:b w:val="0"/>
      <w:bCs w:val="0"/>
      <w:i w:val="0"/>
      <w:iCs w:val="0"/>
      <w:smallCaps w:val="0"/>
      <w:strike w:val="0"/>
      <w:color w:val="000000"/>
      <w:spacing w:val="1"/>
      <w:w w:val="100"/>
      <w:position w:val="0"/>
      <w:sz w:val="12"/>
      <w:szCs w:val="12"/>
      <w:u w:val="none"/>
      <w:lang w:val="ru-RU"/>
    </w:rPr>
  </w:style>
  <w:style w:type="character" w:customStyle="1" w:styleId="14pt0pt">
    <w:name w:val="Основной текст + 14 pt;Полужирный;Интервал 0 pt"/>
    <w:rsid w:val="004F0328"/>
    <w:rPr>
      <w:rFonts w:ascii="Times New Roman" w:eastAsia="Times New Roman" w:hAnsi="Times New Roman" w:cs="Times New Roman"/>
      <w:b/>
      <w:bCs/>
      <w:i w:val="0"/>
      <w:iCs w:val="0"/>
      <w:smallCaps w:val="0"/>
      <w:strike w:val="0"/>
      <w:color w:val="000000"/>
      <w:spacing w:val="1"/>
      <w:w w:val="100"/>
      <w:position w:val="0"/>
      <w:sz w:val="28"/>
      <w:szCs w:val="28"/>
      <w:u w:val="none"/>
      <w:shd w:val="clear" w:color="auto" w:fill="FFFFFF"/>
      <w:lang w:val="ru-RU"/>
    </w:rPr>
  </w:style>
  <w:style w:type="character" w:customStyle="1" w:styleId="14pt0pt0">
    <w:name w:val="Основной текст + 14 pt;Интервал 0 pt"/>
    <w:rsid w:val="004F0328"/>
    <w:rPr>
      <w:rFonts w:ascii="Times New Roman" w:eastAsia="Times New Roman" w:hAnsi="Times New Roman" w:cs="Times New Roman"/>
      <w:b w:val="0"/>
      <w:bCs w:val="0"/>
      <w:i w:val="0"/>
      <w:iCs w:val="0"/>
      <w:smallCaps w:val="0"/>
      <w:strike w:val="0"/>
      <w:color w:val="000000"/>
      <w:spacing w:val="2"/>
      <w:w w:val="100"/>
      <w:position w:val="0"/>
      <w:sz w:val="28"/>
      <w:szCs w:val="28"/>
      <w:u w:val="none"/>
      <w:shd w:val="clear" w:color="auto" w:fill="FFFFFF"/>
      <w:lang w:val="ru-RU"/>
    </w:rPr>
  </w:style>
  <w:style w:type="table" w:customStyle="1" w:styleId="1137">
    <w:name w:val="Сетка таблицы1137"/>
    <w:basedOn w:val="a4"/>
    <w:next w:val="afb"/>
    <w:uiPriority w:val="59"/>
    <w:rsid w:val="00E30B4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8">
    <w:name w:val="Сетка таблицы298"/>
    <w:basedOn w:val="a4"/>
    <w:next w:val="afb"/>
    <w:rsid w:val="00E30B4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9">
    <w:name w:val="Сетка таблицы299"/>
    <w:basedOn w:val="a4"/>
    <w:next w:val="afb"/>
    <w:rsid w:val="00E30B4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50">
    <w:name w:val="Нет списка205"/>
    <w:next w:val="a5"/>
    <w:semiHidden/>
    <w:rsid w:val="00B86200"/>
  </w:style>
  <w:style w:type="table" w:customStyle="1" w:styleId="3000">
    <w:name w:val="Сетка таблицы300"/>
    <w:basedOn w:val="a4"/>
    <w:next w:val="afb"/>
    <w:rsid w:val="00B862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8">
    <w:name w:val="Сетка таблицы1138"/>
    <w:basedOn w:val="a4"/>
    <w:next w:val="afb"/>
    <w:rsid w:val="00B862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0">
    <w:name w:val="Сетка таблицы2100"/>
    <w:basedOn w:val="a4"/>
    <w:next w:val="afb"/>
    <w:rsid w:val="00B862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4"/>
    <w:next w:val="afb"/>
    <w:rsid w:val="00B862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Сетка таблицы428"/>
    <w:basedOn w:val="a4"/>
    <w:next w:val="afb"/>
    <w:rsid w:val="00B862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7">
    <w:name w:val="Сетка таблицы527"/>
    <w:basedOn w:val="a4"/>
    <w:next w:val="afb"/>
    <w:rsid w:val="00B862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9">
    <w:name w:val="Сетка таблицы1139"/>
    <w:basedOn w:val="a4"/>
    <w:next w:val="afb"/>
    <w:uiPriority w:val="59"/>
    <w:rsid w:val="002762F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0">
    <w:name w:val="Сетка таблицы301"/>
    <w:basedOn w:val="a4"/>
    <w:next w:val="afb"/>
    <w:rsid w:val="002762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Сетка таблицы2101"/>
    <w:basedOn w:val="a4"/>
    <w:next w:val="afb"/>
    <w:rsid w:val="002762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60">
    <w:name w:val="Нет списка206"/>
    <w:next w:val="a5"/>
    <w:uiPriority w:val="99"/>
    <w:semiHidden/>
    <w:rsid w:val="00274F0D"/>
  </w:style>
  <w:style w:type="table" w:customStyle="1" w:styleId="3020">
    <w:name w:val="Сетка таблицы302"/>
    <w:basedOn w:val="a4"/>
    <w:next w:val="afb"/>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0">
    <w:name w:val="Сетка таблицы1140"/>
    <w:basedOn w:val="a4"/>
    <w:next w:val="afb"/>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4"/>
    <w:next w:val="afb"/>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4"/>
    <w:next w:val="afb"/>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Сетка таблицы429"/>
    <w:basedOn w:val="a4"/>
    <w:next w:val="afb"/>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8">
    <w:name w:val="Сетка таблицы528"/>
    <w:basedOn w:val="a4"/>
    <w:next w:val="afb"/>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b">
    <w:name w:val="Абзац списка23"/>
    <w:basedOn w:val="a2"/>
    <w:rsid w:val="00274F0D"/>
    <w:pPr>
      <w:suppressAutoHyphens/>
      <w:spacing w:after="200" w:line="276" w:lineRule="auto"/>
      <w:ind w:left="720"/>
      <w:contextualSpacing/>
    </w:pPr>
    <w:rPr>
      <w:rFonts w:ascii="Calibri" w:hAnsi="Calibri"/>
      <w:sz w:val="22"/>
      <w:szCs w:val="22"/>
      <w:lang w:eastAsia="zh-CN"/>
    </w:rPr>
  </w:style>
  <w:style w:type="table" w:customStyle="1" w:styleId="623">
    <w:name w:val="Сетка таблицы623"/>
    <w:basedOn w:val="a4"/>
    <w:next w:val="afb"/>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0">
    <w:name w:val="Сетка таблицы713"/>
    <w:basedOn w:val="a4"/>
    <w:next w:val="afb"/>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4"/>
    <w:next w:val="afb"/>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0">
    <w:name w:val="Сетка таблицы910"/>
    <w:basedOn w:val="a4"/>
    <w:next w:val="afb"/>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basedOn w:val="a4"/>
    <w:next w:val="afb"/>
    <w:uiPriority w:val="59"/>
    <w:rsid w:val="00617F5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3">
    <w:name w:val="Сетка таблицы303"/>
    <w:basedOn w:val="a4"/>
    <w:next w:val="afb"/>
    <w:rsid w:val="00617F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d">
    <w:name w:val="Знак Знак Знак Знак Знак Знак Знак Знак Знак Знак Знак Знак8"/>
    <w:basedOn w:val="a2"/>
    <w:rsid w:val="009A2F5A"/>
    <w:pPr>
      <w:tabs>
        <w:tab w:val="num" w:pos="360"/>
      </w:tabs>
      <w:spacing w:after="160" w:line="240" w:lineRule="exact"/>
    </w:pPr>
    <w:rPr>
      <w:rFonts w:ascii="Verdana" w:hAnsi="Verdana" w:cs="Verdana"/>
      <w:sz w:val="20"/>
      <w:szCs w:val="20"/>
      <w:lang w:val="en-US" w:eastAsia="en-US"/>
    </w:rPr>
  </w:style>
  <w:style w:type="numbering" w:customStyle="1" w:styleId="2070">
    <w:name w:val="Нет списка207"/>
    <w:next w:val="a5"/>
    <w:uiPriority w:val="99"/>
    <w:semiHidden/>
    <w:rsid w:val="0069503E"/>
  </w:style>
  <w:style w:type="paragraph" w:customStyle="1" w:styleId="11f0">
    <w:name w:val="Знак Знак Знак Знак11"/>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3"/>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 Знак Знак Знак Знак1"/>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1"/>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 Знак Знак Знак Знак Знак Знак1"/>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111a">
    <w:name w:val="Знак Знак1 Знак Знак11"/>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 Знак Знак Знак Знак Знак Знак Знак Знак Знак Знак1"/>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 Знак Знак1 Знак Знак Знак Знак Знак Знак Знак Знак Знак Знак Знак Знак Знак Знак Знак Знак Знак Знак Знак Знак Знак Знак Знак Знак1"/>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1 Знак Знак Знак Знак Знак Знак Знак Знак Знак Знак Знак Знак Знак Знак Знак Знак1"/>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1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 Знак Знак Знак Знак Знак Знак Знак Знак Знак Знак Знак Знак1"/>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31a">
    <w:name w:val="Знак Знак31"/>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11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69503E"/>
    <w:pPr>
      <w:tabs>
        <w:tab w:val="num" w:pos="360"/>
      </w:tabs>
      <w:spacing w:after="160" w:line="240" w:lineRule="exact"/>
    </w:pPr>
    <w:rPr>
      <w:rFonts w:ascii="Verdana" w:hAnsi="Verdana" w:cs="Verdana"/>
      <w:sz w:val="20"/>
      <w:szCs w:val="20"/>
      <w:lang w:val="en-US" w:eastAsia="en-US"/>
    </w:rPr>
  </w:style>
  <w:style w:type="numbering" w:customStyle="1" w:styleId="2080">
    <w:name w:val="Нет списка208"/>
    <w:next w:val="a5"/>
    <w:uiPriority w:val="99"/>
    <w:semiHidden/>
    <w:rsid w:val="00782DC6"/>
  </w:style>
  <w:style w:type="numbering" w:customStyle="1" w:styleId="2090">
    <w:name w:val="Нет списка209"/>
    <w:next w:val="a5"/>
    <w:uiPriority w:val="99"/>
    <w:semiHidden/>
    <w:rsid w:val="00782DC6"/>
  </w:style>
  <w:style w:type="numbering" w:customStyle="1" w:styleId="2430">
    <w:name w:val="Нет списка243"/>
    <w:next w:val="a5"/>
    <w:semiHidden/>
    <w:rsid w:val="00363242"/>
  </w:style>
  <w:style w:type="numbering" w:customStyle="1" w:styleId="2440">
    <w:name w:val="Нет списка244"/>
    <w:next w:val="a5"/>
    <w:semiHidden/>
    <w:rsid w:val="00363242"/>
  </w:style>
  <w:style w:type="numbering" w:customStyle="1" w:styleId="2450">
    <w:name w:val="Нет списка245"/>
    <w:next w:val="a5"/>
    <w:semiHidden/>
    <w:rsid w:val="00A30ADD"/>
  </w:style>
  <w:style w:type="numbering" w:customStyle="1" w:styleId="11040">
    <w:name w:val="Нет списка1104"/>
    <w:next w:val="a5"/>
    <w:semiHidden/>
    <w:rsid w:val="00A30ADD"/>
  </w:style>
  <w:style w:type="paragraph" w:customStyle="1" w:styleId="11f7">
    <w:name w:val="Знак Знак Знак Знак1 Знак Знак Знак Знак Знак Знак1"/>
    <w:basedOn w:val="a2"/>
    <w:rsid w:val="00A30ADD"/>
    <w:pPr>
      <w:tabs>
        <w:tab w:val="num" w:pos="360"/>
      </w:tabs>
      <w:spacing w:after="160" w:line="240" w:lineRule="exact"/>
    </w:pPr>
    <w:rPr>
      <w:rFonts w:ascii="Verdana" w:hAnsi="Verdana" w:cs="Verdana"/>
      <w:sz w:val="20"/>
      <w:szCs w:val="20"/>
      <w:lang w:val="en-US" w:eastAsia="en-US"/>
    </w:rPr>
  </w:style>
  <w:style w:type="paragraph" w:customStyle="1" w:styleId="11f8">
    <w:name w:val="Знак Знак Знак Знак1 Знак Знак Знак Знак Знак Знак Знак Знак Знак Знак Знак Знак Знак Знак Знак Знак Знак Знак Знак Знак Знак Знак1"/>
    <w:basedOn w:val="a2"/>
    <w:rsid w:val="00A30ADD"/>
    <w:pPr>
      <w:tabs>
        <w:tab w:val="num" w:pos="360"/>
      </w:tabs>
      <w:spacing w:after="160" w:line="240" w:lineRule="exact"/>
    </w:pPr>
    <w:rPr>
      <w:rFonts w:ascii="Verdana" w:hAnsi="Verdana" w:cs="Verdana"/>
      <w:sz w:val="20"/>
      <w:szCs w:val="20"/>
      <w:lang w:val="en-US" w:eastAsia="en-US"/>
    </w:rPr>
  </w:style>
  <w:style w:type="paragraph" w:customStyle="1" w:styleId="11f9">
    <w:name w:val="Знак Знак1 Знак Знак Знак Знак Знак Знак Знак Знак Знак Знак Знак Знак1"/>
    <w:basedOn w:val="a2"/>
    <w:rsid w:val="00A30ADD"/>
    <w:pPr>
      <w:tabs>
        <w:tab w:val="num" w:pos="360"/>
      </w:tabs>
      <w:spacing w:after="160" w:line="240" w:lineRule="exact"/>
    </w:pPr>
    <w:rPr>
      <w:rFonts w:ascii="Verdana" w:hAnsi="Verdana" w:cs="Verdana"/>
      <w:sz w:val="20"/>
      <w:szCs w:val="20"/>
      <w:lang w:val="en-US" w:eastAsia="en-US"/>
    </w:rPr>
  </w:style>
  <w:style w:type="paragraph" w:customStyle="1" w:styleId="1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A30ADD"/>
    <w:pPr>
      <w:tabs>
        <w:tab w:val="num" w:pos="360"/>
      </w:tabs>
      <w:spacing w:after="160" w:line="240" w:lineRule="exact"/>
    </w:pPr>
    <w:rPr>
      <w:rFonts w:ascii="Verdana" w:hAnsi="Verdana" w:cs="Verdana"/>
      <w:sz w:val="20"/>
      <w:szCs w:val="20"/>
      <w:lang w:val="en-US" w:eastAsia="en-US"/>
    </w:rPr>
  </w:style>
  <w:style w:type="numbering" w:customStyle="1" w:styleId="2460">
    <w:name w:val="Нет списка246"/>
    <w:next w:val="a5"/>
    <w:uiPriority w:val="99"/>
    <w:semiHidden/>
    <w:rsid w:val="00A30ADD"/>
  </w:style>
  <w:style w:type="numbering" w:customStyle="1" w:styleId="2470">
    <w:name w:val="Нет списка247"/>
    <w:next w:val="a5"/>
    <w:uiPriority w:val="99"/>
    <w:semiHidden/>
    <w:rsid w:val="00A30ADD"/>
  </w:style>
  <w:style w:type="numbering" w:customStyle="1" w:styleId="2480">
    <w:name w:val="Нет списка248"/>
    <w:next w:val="a5"/>
    <w:uiPriority w:val="99"/>
    <w:semiHidden/>
    <w:rsid w:val="00786201"/>
  </w:style>
  <w:style w:type="numbering" w:customStyle="1" w:styleId="11050">
    <w:name w:val="Нет списка1105"/>
    <w:next w:val="a5"/>
    <w:uiPriority w:val="99"/>
    <w:semiHidden/>
    <w:rsid w:val="00786201"/>
  </w:style>
  <w:style w:type="numbering" w:customStyle="1" w:styleId="2490">
    <w:name w:val="Нет списка249"/>
    <w:next w:val="a5"/>
    <w:uiPriority w:val="99"/>
    <w:semiHidden/>
    <w:rsid w:val="00786201"/>
  </w:style>
  <w:style w:type="numbering" w:customStyle="1" w:styleId="2501">
    <w:name w:val="Нет списка250"/>
    <w:next w:val="a5"/>
    <w:uiPriority w:val="99"/>
    <w:semiHidden/>
    <w:rsid w:val="00786201"/>
  </w:style>
  <w:style w:type="numbering" w:customStyle="1" w:styleId="2511">
    <w:name w:val="Нет списка251"/>
    <w:next w:val="a5"/>
    <w:semiHidden/>
    <w:rsid w:val="00F41544"/>
  </w:style>
  <w:style w:type="numbering" w:customStyle="1" w:styleId="2521">
    <w:name w:val="Нет списка252"/>
    <w:next w:val="a5"/>
    <w:uiPriority w:val="99"/>
    <w:semiHidden/>
    <w:unhideWhenUsed/>
    <w:rsid w:val="00155C26"/>
  </w:style>
  <w:style w:type="numbering" w:customStyle="1" w:styleId="11060">
    <w:name w:val="Нет списка1106"/>
    <w:next w:val="a5"/>
    <w:uiPriority w:val="99"/>
    <w:semiHidden/>
    <w:rsid w:val="00155C26"/>
  </w:style>
  <w:style w:type="table" w:customStyle="1" w:styleId="304">
    <w:name w:val="Сетка таблицы304"/>
    <w:basedOn w:val="a4"/>
    <w:next w:val="afb"/>
    <w:rsid w:val="00155C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30">
    <w:name w:val="Нет списка253"/>
    <w:next w:val="a5"/>
    <w:uiPriority w:val="99"/>
    <w:semiHidden/>
    <w:rsid w:val="00780C2E"/>
  </w:style>
  <w:style w:type="table" w:customStyle="1" w:styleId="305">
    <w:name w:val="Сетка таблицы305"/>
    <w:basedOn w:val="a4"/>
    <w:next w:val="afb"/>
    <w:rsid w:val="00780C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40">
    <w:name w:val="Нет списка254"/>
    <w:next w:val="a5"/>
    <w:uiPriority w:val="99"/>
    <w:semiHidden/>
    <w:rsid w:val="007B63A3"/>
  </w:style>
  <w:style w:type="numbering" w:customStyle="1" w:styleId="2550">
    <w:name w:val="Нет списка255"/>
    <w:next w:val="a5"/>
    <w:uiPriority w:val="99"/>
    <w:semiHidden/>
    <w:rsid w:val="007B63A3"/>
  </w:style>
  <w:style w:type="numbering" w:customStyle="1" w:styleId="2560">
    <w:name w:val="Нет списка256"/>
    <w:next w:val="a5"/>
    <w:uiPriority w:val="99"/>
    <w:semiHidden/>
    <w:unhideWhenUsed/>
    <w:rsid w:val="00C32B30"/>
  </w:style>
  <w:style w:type="table" w:customStyle="1" w:styleId="11420">
    <w:name w:val="Сетка таблицы1142"/>
    <w:basedOn w:val="a4"/>
    <w:next w:val="afb"/>
    <w:uiPriority w:val="59"/>
    <w:rsid w:val="0079129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6">
    <w:name w:val="Сетка таблицы306"/>
    <w:basedOn w:val="a4"/>
    <w:next w:val="afb"/>
    <w:rsid w:val="0079129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70">
    <w:name w:val="Нет списка257"/>
    <w:next w:val="a5"/>
    <w:semiHidden/>
    <w:rsid w:val="00E122AA"/>
  </w:style>
  <w:style w:type="table" w:customStyle="1" w:styleId="307">
    <w:name w:val="Сетка таблицы307"/>
    <w:basedOn w:val="a4"/>
    <w:next w:val="afb"/>
    <w:rsid w:val="00E122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d">
    <w:name w:val="9"/>
    <w:basedOn w:val="a2"/>
    <w:next w:val="aff5"/>
    <w:uiPriority w:val="99"/>
    <w:unhideWhenUsed/>
    <w:rsid w:val="00E40AA3"/>
    <w:pPr>
      <w:spacing w:before="100" w:beforeAutospacing="1" w:after="100" w:afterAutospacing="1"/>
    </w:pPr>
  </w:style>
  <w:style w:type="table" w:customStyle="1" w:styleId="1143">
    <w:name w:val="Сетка таблицы1143"/>
    <w:basedOn w:val="a4"/>
    <w:next w:val="afb"/>
    <w:rsid w:val="00E122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Сетка таблицы1144"/>
    <w:basedOn w:val="a4"/>
    <w:next w:val="afb"/>
    <w:uiPriority w:val="59"/>
    <w:rsid w:val="00D33A9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8">
    <w:name w:val="Сетка таблицы308"/>
    <w:basedOn w:val="a4"/>
    <w:next w:val="afb"/>
    <w:rsid w:val="00D33A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80">
    <w:name w:val="Нет списка258"/>
    <w:next w:val="a5"/>
    <w:semiHidden/>
    <w:rsid w:val="00E40AA3"/>
  </w:style>
  <w:style w:type="table" w:customStyle="1" w:styleId="309">
    <w:name w:val="Сетка таблицы309"/>
    <w:basedOn w:val="a4"/>
    <w:next w:val="afb"/>
    <w:rsid w:val="00E40A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5">
    <w:name w:val="Сетка таблицы1145"/>
    <w:basedOn w:val="a4"/>
    <w:next w:val="afb"/>
    <w:rsid w:val="00E40A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4"/>
    <w:next w:val="afb"/>
    <w:rsid w:val="0004323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6">
    <w:name w:val="Сетка таблицы1146"/>
    <w:basedOn w:val="a4"/>
    <w:next w:val="afb"/>
    <w:uiPriority w:val="59"/>
    <w:rsid w:val="00DF11E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4">
    <w:name w:val="Сетка таблицы334"/>
    <w:basedOn w:val="a4"/>
    <w:next w:val="afb"/>
    <w:rsid w:val="00DF11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
    <w:name w:val="Сетка таблицы2103"/>
    <w:basedOn w:val="a4"/>
    <w:next w:val="afb"/>
    <w:rsid w:val="00DF11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90">
    <w:name w:val="Нет списка259"/>
    <w:next w:val="a5"/>
    <w:semiHidden/>
    <w:rsid w:val="00D06EBE"/>
  </w:style>
  <w:style w:type="table" w:customStyle="1" w:styleId="335">
    <w:name w:val="Сетка таблицы335"/>
    <w:basedOn w:val="a4"/>
    <w:next w:val="afb"/>
    <w:rsid w:val="00D06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7">
    <w:name w:val="Сетка таблицы1147"/>
    <w:basedOn w:val="a4"/>
    <w:next w:val="afb"/>
    <w:rsid w:val="00D06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4">
    <w:name w:val="Сетка таблицы2104"/>
    <w:basedOn w:val="a4"/>
    <w:next w:val="afb"/>
    <w:rsid w:val="00D06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Сетка таблицы336"/>
    <w:basedOn w:val="a4"/>
    <w:next w:val="afb"/>
    <w:rsid w:val="00D06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0">
    <w:name w:val="Сетка таблицы430"/>
    <w:basedOn w:val="a4"/>
    <w:next w:val="afb"/>
    <w:rsid w:val="00D06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9">
    <w:name w:val="Сетка таблицы529"/>
    <w:basedOn w:val="a4"/>
    <w:next w:val="afb"/>
    <w:rsid w:val="00D06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4"/>
    <w:next w:val="afb"/>
    <w:rsid w:val="00D06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Сетка таблицы337"/>
    <w:basedOn w:val="a4"/>
    <w:next w:val="afb"/>
    <w:rsid w:val="00D06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e">
    <w:name w:val="Знак Знак Знак Знак Знак Знак Знак Знак Знак Знак Знак Знак7"/>
    <w:basedOn w:val="a2"/>
    <w:rsid w:val="005B77D2"/>
    <w:pPr>
      <w:tabs>
        <w:tab w:val="num" w:pos="360"/>
      </w:tabs>
      <w:spacing w:after="160" w:line="240" w:lineRule="exact"/>
    </w:pPr>
    <w:rPr>
      <w:rFonts w:ascii="Verdana" w:hAnsi="Verdana" w:cs="Verdana"/>
      <w:sz w:val="20"/>
      <w:szCs w:val="20"/>
      <w:lang w:val="en-US" w:eastAsia="en-US"/>
    </w:rPr>
  </w:style>
  <w:style w:type="numbering" w:customStyle="1" w:styleId="2601">
    <w:name w:val="Нет списка260"/>
    <w:next w:val="a5"/>
    <w:uiPriority w:val="99"/>
    <w:semiHidden/>
    <w:unhideWhenUsed/>
    <w:rsid w:val="001D347A"/>
  </w:style>
  <w:style w:type="paragraph" w:customStyle="1" w:styleId="14f2">
    <w:name w:val="Знак Знак1 Знак Знак4"/>
    <w:basedOn w:val="a2"/>
    <w:rsid w:val="001D347A"/>
    <w:pPr>
      <w:tabs>
        <w:tab w:val="left" w:pos="360"/>
      </w:tabs>
      <w:spacing w:after="160" w:line="240" w:lineRule="exact"/>
    </w:pPr>
    <w:rPr>
      <w:rFonts w:ascii="Verdana" w:hAnsi="Verdana" w:cs="Verdana"/>
      <w:sz w:val="20"/>
      <w:szCs w:val="20"/>
      <w:lang w:val="en-US" w:eastAsia="en-US"/>
    </w:rPr>
  </w:style>
  <w:style w:type="table" w:customStyle="1" w:styleId="338">
    <w:name w:val="Сетка таблицы338"/>
    <w:basedOn w:val="a4"/>
    <w:next w:val="afb"/>
    <w:uiPriority w:val="39"/>
    <w:rsid w:val="001D347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e">
    <w:name w:val="8"/>
    <w:basedOn w:val="a2"/>
    <w:next w:val="aff5"/>
    <w:rsid w:val="004D5785"/>
    <w:pPr>
      <w:spacing w:before="100" w:beforeAutospacing="1" w:after="100" w:afterAutospacing="1"/>
    </w:pPr>
  </w:style>
  <w:style w:type="numbering" w:customStyle="1" w:styleId="2611">
    <w:name w:val="Нет списка261"/>
    <w:next w:val="a5"/>
    <w:uiPriority w:val="99"/>
    <w:semiHidden/>
    <w:unhideWhenUsed/>
    <w:rsid w:val="000C47AB"/>
  </w:style>
  <w:style w:type="character" w:customStyle="1" w:styleId="copytarget">
    <w:name w:val="copy_target"/>
    <w:basedOn w:val="a3"/>
    <w:rsid w:val="000C47AB"/>
  </w:style>
  <w:style w:type="numbering" w:customStyle="1" w:styleId="2621">
    <w:name w:val="Нет списка262"/>
    <w:next w:val="a5"/>
    <w:uiPriority w:val="99"/>
    <w:semiHidden/>
    <w:rsid w:val="00E23477"/>
  </w:style>
  <w:style w:type="paragraph" w:customStyle="1" w:styleId="24a">
    <w:name w:val="Абзац списка24"/>
    <w:basedOn w:val="a2"/>
    <w:autoRedefine/>
    <w:rsid w:val="00E23477"/>
    <w:pPr>
      <w:jc w:val="center"/>
    </w:pPr>
    <w:rPr>
      <w:snapToGrid w:val="0"/>
      <w:sz w:val="28"/>
      <w:szCs w:val="28"/>
    </w:rPr>
  </w:style>
  <w:style w:type="table" w:customStyle="1" w:styleId="339">
    <w:name w:val="Сетка таблицы339"/>
    <w:basedOn w:val="a4"/>
    <w:next w:val="afb"/>
    <w:uiPriority w:val="39"/>
    <w:rsid w:val="00E234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4">
    <w:name w:val="Знак3"/>
    <w:basedOn w:val="a2"/>
    <w:rsid w:val="00E23477"/>
    <w:pPr>
      <w:spacing w:after="160" w:line="240" w:lineRule="exact"/>
    </w:pPr>
    <w:rPr>
      <w:rFonts w:ascii="Verdana" w:hAnsi="Verdana" w:cs="Verdana"/>
      <w:sz w:val="20"/>
      <w:szCs w:val="20"/>
      <w:lang w:val="en-US" w:eastAsia="en-US"/>
    </w:rPr>
  </w:style>
  <w:style w:type="numbering" w:customStyle="1" w:styleId="11070">
    <w:name w:val="Нет списка1107"/>
    <w:next w:val="a5"/>
    <w:uiPriority w:val="99"/>
    <w:semiHidden/>
    <w:unhideWhenUsed/>
    <w:rsid w:val="00E23477"/>
  </w:style>
  <w:style w:type="numbering" w:customStyle="1" w:styleId="11290">
    <w:name w:val="Нет списка1129"/>
    <w:next w:val="a5"/>
    <w:uiPriority w:val="99"/>
    <w:semiHidden/>
    <w:unhideWhenUsed/>
    <w:rsid w:val="00E23477"/>
  </w:style>
  <w:style w:type="numbering" w:customStyle="1" w:styleId="11116">
    <w:name w:val="Нет списка11116"/>
    <w:next w:val="a5"/>
    <w:uiPriority w:val="99"/>
    <w:semiHidden/>
    <w:unhideWhenUsed/>
    <w:rsid w:val="00E23477"/>
  </w:style>
  <w:style w:type="table" w:customStyle="1" w:styleId="1148">
    <w:name w:val="Сетка таблицы1148"/>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30">
    <w:name w:val="Нет списка263"/>
    <w:next w:val="a5"/>
    <w:uiPriority w:val="99"/>
    <w:semiHidden/>
    <w:unhideWhenUsed/>
    <w:rsid w:val="00E23477"/>
  </w:style>
  <w:style w:type="table" w:customStyle="1" w:styleId="2105">
    <w:name w:val="Сетка таблицы2105"/>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1">
    <w:name w:val="Нет списка320"/>
    <w:next w:val="a5"/>
    <w:uiPriority w:val="99"/>
    <w:semiHidden/>
    <w:unhideWhenUsed/>
    <w:rsid w:val="00E23477"/>
  </w:style>
  <w:style w:type="table" w:customStyle="1" w:styleId="3400">
    <w:name w:val="Сетка таблицы340"/>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5"/>
    <w:uiPriority w:val="99"/>
    <w:semiHidden/>
    <w:unhideWhenUsed/>
    <w:rsid w:val="00E23477"/>
  </w:style>
  <w:style w:type="table" w:customStyle="1" w:styleId="4310">
    <w:name w:val="Сетка таблицы431"/>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Нет списка517"/>
    <w:next w:val="a5"/>
    <w:uiPriority w:val="99"/>
    <w:semiHidden/>
    <w:unhideWhenUsed/>
    <w:rsid w:val="00E23477"/>
  </w:style>
  <w:style w:type="table" w:customStyle="1" w:styleId="5300">
    <w:name w:val="Сетка таблицы530"/>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60">
    <w:name w:val="Нет списка616"/>
    <w:next w:val="a5"/>
    <w:uiPriority w:val="99"/>
    <w:semiHidden/>
    <w:unhideWhenUsed/>
    <w:rsid w:val="00E23477"/>
  </w:style>
  <w:style w:type="table" w:customStyle="1" w:styleId="625">
    <w:name w:val="Сетка таблицы625"/>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5"/>
    <w:uiPriority w:val="99"/>
    <w:semiHidden/>
    <w:unhideWhenUsed/>
    <w:rsid w:val="00E23477"/>
  </w:style>
  <w:style w:type="numbering" w:customStyle="1" w:styleId="1223">
    <w:name w:val="Нет списка1223"/>
    <w:next w:val="a5"/>
    <w:uiPriority w:val="99"/>
    <w:semiHidden/>
    <w:unhideWhenUsed/>
    <w:rsid w:val="00E23477"/>
  </w:style>
  <w:style w:type="table" w:customStyle="1" w:styleId="7140">
    <w:name w:val="Сетка таблицы714"/>
    <w:basedOn w:val="a4"/>
    <w:next w:val="afb"/>
    <w:uiPriority w:val="39"/>
    <w:rsid w:val="00E234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7">
    <w:name w:val="Нет списка11117"/>
    <w:next w:val="a5"/>
    <w:uiPriority w:val="99"/>
    <w:semiHidden/>
    <w:unhideWhenUsed/>
    <w:rsid w:val="00E23477"/>
  </w:style>
  <w:style w:type="table" w:customStyle="1" w:styleId="1149">
    <w:name w:val="Сетка таблицы1149"/>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
    <w:name w:val="Нет списка2119"/>
    <w:next w:val="a5"/>
    <w:uiPriority w:val="99"/>
    <w:semiHidden/>
    <w:unhideWhenUsed/>
    <w:rsid w:val="00E23477"/>
  </w:style>
  <w:style w:type="table" w:customStyle="1" w:styleId="21140">
    <w:name w:val="Сетка таблицы2114"/>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1">
    <w:name w:val="Нет списка3110"/>
    <w:next w:val="a5"/>
    <w:uiPriority w:val="99"/>
    <w:semiHidden/>
    <w:unhideWhenUsed/>
    <w:rsid w:val="00E23477"/>
  </w:style>
  <w:style w:type="table" w:customStyle="1" w:styleId="31130">
    <w:name w:val="Сетка таблицы3113"/>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80">
    <w:name w:val="Нет списка418"/>
    <w:next w:val="a5"/>
    <w:uiPriority w:val="99"/>
    <w:semiHidden/>
    <w:unhideWhenUsed/>
    <w:rsid w:val="00E23477"/>
  </w:style>
  <w:style w:type="table" w:customStyle="1" w:styleId="4114">
    <w:name w:val="Сетка таблицы4114"/>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0">
    <w:name w:val="Нет списка518"/>
    <w:next w:val="a5"/>
    <w:uiPriority w:val="99"/>
    <w:semiHidden/>
    <w:unhideWhenUsed/>
    <w:rsid w:val="00E23477"/>
  </w:style>
  <w:style w:type="table" w:customStyle="1" w:styleId="5114">
    <w:name w:val="Сетка таблицы5114"/>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70">
    <w:name w:val="Нет списка617"/>
    <w:next w:val="a5"/>
    <w:uiPriority w:val="99"/>
    <w:semiHidden/>
    <w:unhideWhenUsed/>
    <w:rsid w:val="00E23477"/>
  </w:style>
  <w:style w:type="table" w:customStyle="1" w:styleId="61100">
    <w:name w:val="Сетка таблицы6110"/>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6">
    <w:name w:val="Нет списка716"/>
    <w:next w:val="a5"/>
    <w:uiPriority w:val="99"/>
    <w:semiHidden/>
    <w:unhideWhenUsed/>
    <w:rsid w:val="00E23477"/>
  </w:style>
  <w:style w:type="numbering" w:customStyle="1" w:styleId="121100">
    <w:name w:val="Нет списка12110"/>
    <w:next w:val="a5"/>
    <w:uiPriority w:val="99"/>
    <w:semiHidden/>
    <w:unhideWhenUsed/>
    <w:rsid w:val="00E23477"/>
  </w:style>
  <w:style w:type="numbering" w:customStyle="1" w:styleId="112100">
    <w:name w:val="Нет списка11210"/>
    <w:next w:val="a5"/>
    <w:uiPriority w:val="99"/>
    <w:semiHidden/>
    <w:unhideWhenUsed/>
    <w:rsid w:val="00E23477"/>
  </w:style>
  <w:style w:type="numbering" w:customStyle="1" w:styleId="211100">
    <w:name w:val="Нет списка21110"/>
    <w:next w:val="a5"/>
    <w:uiPriority w:val="99"/>
    <w:semiHidden/>
    <w:unhideWhenUsed/>
    <w:rsid w:val="00E23477"/>
  </w:style>
  <w:style w:type="numbering" w:customStyle="1" w:styleId="3114">
    <w:name w:val="Нет списка3114"/>
    <w:next w:val="a5"/>
    <w:uiPriority w:val="99"/>
    <w:semiHidden/>
    <w:unhideWhenUsed/>
    <w:rsid w:val="00E23477"/>
  </w:style>
  <w:style w:type="numbering" w:customStyle="1" w:styleId="41140">
    <w:name w:val="Нет списка4114"/>
    <w:next w:val="a5"/>
    <w:uiPriority w:val="99"/>
    <w:semiHidden/>
    <w:unhideWhenUsed/>
    <w:rsid w:val="00E23477"/>
  </w:style>
  <w:style w:type="numbering" w:customStyle="1" w:styleId="51140">
    <w:name w:val="Нет списка5114"/>
    <w:next w:val="a5"/>
    <w:uiPriority w:val="99"/>
    <w:semiHidden/>
    <w:unhideWhenUsed/>
    <w:rsid w:val="00E23477"/>
  </w:style>
  <w:style w:type="numbering" w:customStyle="1" w:styleId="6114">
    <w:name w:val="Нет списка6114"/>
    <w:next w:val="a5"/>
    <w:uiPriority w:val="99"/>
    <w:semiHidden/>
    <w:unhideWhenUsed/>
    <w:rsid w:val="00E23477"/>
  </w:style>
  <w:style w:type="numbering" w:customStyle="1" w:styleId="8111">
    <w:name w:val="Нет списка811"/>
    <w:next w:val="a5"/>
    <w:uiPriority w:val="99"/>
    <w:semiHidden/>
    <w:unhideWhenUsed/>
    <w:rsid w:val="00E23477"/>
  </w:style>
  <w:style w:type="numbering" w:customStyle="1" w:styleId="13110">
    <w:name w:val="Нет списка1311"/>
    <w:next w:val="a5"/>
    <w:uiPriority w:val="99"/>
    <w:semiHidden/>
    <w:unhideWhenUsed/>
    <w:rsid w:val="00E23477"/>
  </w:style>
  <w:style w:type="table" w:customStyle="1" w:styleId="813">
    <w:name w:val="Сетка таблицы813"/>
    <w:basedOn w:val="a4"/>
    <w:next w:val="afb"/>
    <w:uiPriority w:val="39"/>
    <w:rsid w:val="00E234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1">
    <w:name w:val="Нет списка1132"/>
    <w:next w:val="a5"/>
    <w:uiPriority w:val="99"/>
    <w:semiHidden/>
    <w:unhideWhenUsed/>
    <w:rsid w:val="00E23477"/>
  </w:style>
  <w:style w:type="numbering" w:customStyle="1" w:styleId="11122">
    <w:name w:val="Нет списка11122"/>
    <w:next w:val="a5"/>
    <w:uiPriority w:val="99"/>
    <w:semiHidden/>
    <w:unhideWhenUsed/>
    <w:rsid w:val="00E23477"/>
  </w:style>
  <w:style w:type="table" w:customStyle="1" w:styleId="12121">
    <w:name w:val="Сетка таблицы1212"/>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
    <w:name w:val="Нет списка2210"/>
    <w:next w:val="a5"/>
    <w:uiPriority w:val="99"/>
    <w:semiHidden/>
    <w:unhideWhenUsed/>
    <w:rsid w:val="00E23477"/>
  </w:style>
  <w:style w:type="table" w:customStyle="1" w:styleId="22110">
    <w:name w:val="Сетка таблицы2211"/>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
    <w:name w:val="Нет списка322"/>
    <w:next w:val="a5"/>
    <w:uiPriority w:val="99"/>
    <w:semiHidden/>
    <w:unhideWhenUsed/>
    <w:rsid w:val="00E23477"/>
  </w:style>
  <w:style w:type="table" w:customStyle="1" w:styleId="32100">
    <w:name w:val="Сетка таблицы3210"/>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1">
    <w:name w:val="Нет списка422"/>
    <w:next w:val="a5"/>
    <w:uiPriority w:val="99"/>
    <w:semiHidden/>
    <w:unhideWhenUsed/>
    <w:rsid w:val="00E23477"/>
  </w:style>
  <w:style w:type="table" w:customStyle="1" w:styleId="42100">
    <w:name w:val="Сетка таблицы4210"/>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1">
    <w:name w:val="Нет списка522"/>
    <w:next w:val="a5"/>
    <w:uiPriority w:val="99"/>
    <w:semiHidden/>
    <w:unhideWhenUsed/>
    <w:rsid w:val="00E23477"/>
  </w:style>
  <w:style w:type="table" w:customStyle="1" w:styleId="52100">
    <w:name w:val="Сетка таблицы5210"/>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1">
    <w:name w:val="Нет списка622"/>
    <w:next w:val="a5"/>
    <w:uiPriority w:val="99"/>
    <w:semiHidden/>
    <w:unhideWhenUsed/>
    <w:rsid w:val="00E23477"/>
  </w:style>
  <w:style w:type="table" w:customStyle="1" w:styleId="626">
    <w:name w:val="Сетка таблицы626"/>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
    <w:name w:val="Нет списка722"/>
    <w:next w:val="a5"/>
    <w:uiPriority w:val="99"/>
    <w:semiHidden/>
    <w:unhideWhenUsed/>
    <w:rsid w:val="00E23477"/>
  </w:style>
  <w:style w:type="numbering" w:customStyle="1" w:styleId="1224">
    <w:name w:val="Нет списка1224"/>
    <w:next w:val="a5"/>
    <w:uiPriority w:val="99"/>
    <w:semiHidden/>
    <w:unhideWhenUsed/>
    <w:rsid w:val="00E23477"/>
  </w:style>
  <w:style w:type="table" w:customStyle="1" w:styleId="7150">
    <w:name w:val="Сетка таблицы715"/>
    <w:basedOn w:val="a4"/>
    <w:next w:val="afb"/>
    <w:uiPriority w:val="39"/>
    <w:rsid w:val="00E234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
    <w:name w:val="Нет списка111114"/>
    <w:next w:val="a5"/>
    <w:uiPriority w:val="99"/>
    <w:semiHidden/>
    <w:unhideWhenUsed/>
    <w:rsid w:val="00E23477"/>
  </w:style>
  <w:style w:type="table" w:customStyle="1" w:styleId="111101">
    <w:name w:val="Сетка таблицы11110"/>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
    <w:name w:val="Нет списка2122"/>
    <w:next w:val="a5"/>
    <w:uiPriority w:val="99"/>
    <w:semiHidden/>
    <w:unhideWhenUsed/>
    <w:rsid w:val="00E23477"/>
  </w:style>
  <w:style w:type="table" w:customStyle="1" w:styleId="21150">
    <w:name w:val="Сетка таблицы2115"/>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2"/>
    <w:next w:val="a5"/>
    <w:uiPriority w:val="99"/>
    <w:semiHidden/>
    <w:unhideWhenUsed/>
    <w:rsid w:val="00E23477"/>
  </w:style>
  <w:style w:type="table" w:customStyle="1" w:styleId="31140">
    <w:name w:val="Сетка таблицы3114"/>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2">
    <w:name w:val="Нет списка4122"/>
    <w:next w:val="a5"/>
    <w:uiPriority w:val="99"/>
    <w:semiHidden/>
    <w:unhideWhenUsed/>
    <w:rsid w:val="00E23477"/>
  </w:style>
  <w:style w:type="table" w:customStyle="1" w:styleId="4115">
    <w:name w:val="Сетка таблицы4115"/>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
    <w:name w:val="Нет списка5122"/>
    <w:next w:val="a5"/>
    <w:uiPriority w:val="99"/>
    <w:semiHidden/>
    <w:unhideWhenUsed/>
    <w:rsid w:val="00E23477"/>
  </w:style>
  <w:style w:type="table" w:customStyle="1" w:styleId="5115">
    <w:name w:val="Сетка таблицы5115"/>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2">
    <w:name w:val="Нет списка6122"/>
    <w:next w:val="a5"/>
    <w:uiPriority w:val="99"/>
    <w:semiHidden/>
    <w:unhideWhenUsed/>
    <w:rsid w:val="00E23477"/>
  </w:style>
  <w:style w:type="table" w:customStyle="1" w:styleId="61130">
    <w:name w:val="Сетка таблицы6113"/>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2"/>
    <w:next w:val="a5"/>
    <w:uiPriority w:val="99"/>
    <w:semiHidden/>
    <w:unhideWhenUsed/>
    <w:rsid w:val="00E23477"/>
  </w:style>
  <w:style w:type="numbering" w:customStyle="1" w:styleId="12112">
    <w:name w:val="Нет списка12112"/>
    <w:next w:val="a5"/>
    <w:uiPriority w:val="99"/>
    <w:semiHidden/>
    <w:unhideWhenUsed/>
    <w:rsid w:val="00E23477"/>
  </w:style>
  <w:style w:type="numbering" w:customStyle="1" w:styleId="112120">
    <w:name w:val="Нет списка11212"/>
    <w:next w:val="a5"/>
    <w:uiPriority w:val="99"/>
    <w:semiHidden/>
    <w:unhideWhenUsed/>
    <w:rsid w:val="00E23477"/>
  </w:style>
  <w:style w:type="numbering" w:customStyle="1" w:styleId="21112">
    <w:name w:val="Нет списка21112"/>
    <w:next w:val="a5"/>
    <w:uiPriority w:val="99"/>
    <w:semiHidden/>
    <w:unhideWhenUsed/>
    <w:rsid w:val="00E23477"/>
  </w:style>
  <w:style w:type="numbering" w:customStyle="1" w:styleId="31112">
    <w:name w:val="Нет списка31112"/>
    <w:next w:val="a5"/>
    <w:uiPriority w:val="99"/>
    <w:semiHidden/>
    <w:unhideWhenUsed/>
    <w:rsid w:val="00E23477"/>
  </w:style>
  <w:style w:type="numbering" w:customStyle="1" w:styleId="41112">
    <w:name w:val="Нет списка41112"/>
    <w:next w:val="a5"/>
    <w:uiPriority w:val="99"/>
    <w:semiHidden/>
    <w:unhideWhenUsed/>
    <w:rsid w:val="00E23477"/>
  </w:style>
  <w:style w:type="numbering" w:customStyle="1" w:styleId="51112">
    <w:name w:val="Нет списка51112"/>
    <w:next w:val="a5"/>
    <w:uiPriority w:val="99"/>
    <w:semiHidden/>
    <w:unhideWhenUsed/>
    <w:rsid w:val="00E23477"/>
  </w:style>
  <w:style w:type="numbering" w:customStyle="1" w:styleId="61112">
    <w:name w:val="Нет списка61112"/>
    <w:next w:val="a5"/>
    <w:uiPriority w:val="99"/>
    <w:semiHidden/>
    <w:unhideWhenUsed/>
    <w:rsid w:val="00E23477"/>
  </w:style>
  <w:style w:type="table" w:customStyle="1" w:styleId="11500">
    <w:name w:val="Сетка таблицы1150"/>
    <w:basedOn w:val="a4"/>
    <w:next w:val="afb"/>
    <w:uiPriority w:val="59"/>
    <w:rsid w:val="0031610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0">
    <w:name w:val="Сетка таблицы341"/>
    <w:basedOn w:val="a4"/>
    <w:next w:val="afb"/>
    <w:rsid w:val="003161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d">
    <w:name w:val="Знак Знак Знак Знак Знак Знак Знак Знак1 Знак Знак"/>
    <w:basedOn w:val="a2"/>
    <w:rsid w:val="0031610D"/>
    <w:pPr>
      <w:tabs>
        <w:tab w:val="num" w:pos="360"/>
      </w:tabs>
      <w:spacing w:after="160" w:line="240" w:lineRule="exact"/>
    </w:pPr>
    <w:rPr>
      <w:rFonts w:ascii="Verdana" w:hAnsi="Verdana" w:cs="Verdana"/>
      <w:sz w:val="20"/>
      <w:szCs w:val="20"/>
      <w:lang w:val="en-US" w:eastAsia="en-US"/>
    </w:rPr>
  </w:style>
  <w:style w:type="numbering" w:customStyle="1" w:styleId="2640">
    <w:name w:val="Нет списка264"/>
    <w:next w:val="a5"/>
    <w:uiPriority w:val="99"/>
    <w:semiHidden/>
    <w:rsid w:val="004D5785"/>
  </w:style>
  <w:style w:type="table" w:customStyle="1" w:styleId="3420">
    <w:name w:val="Сетка таблицы342"/>
    <w:basedOn w:val="a4"/>
    <w:next w:val="afb"/>
    <w:uiPriority w:val="39"/>
    <w:rsid w:val="004D57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80">
    <w:name w:val="Нет списка1108"/>
    <w:next w:val="a5"/>
    <w:uiPriority w:val="99"/>
    <w:semiHidden/>
    <w:unhideWhenUsed/>
    <w:rsid w:val="004D5785"/>
  </w:style>
  <w:style w:type="table" w:customStyle="1" w:styleId="11510">
    <w:name w:val="Сетка таблицы1151"/>
    <w:basedOn w:val="a4"/>
    <w:next w:val="afb"/>
    <w:uiPriority w:val="39"/>
    <w:rsid w:val="004D57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50">
    <w:name w:val="Нет списка265"/>
    <w:next w:val="a5"/>
    <w:uiPriority w:val="99"/>
    <w:semiHidden/>
    <w:unhideWhenUsed/>
    <w:rsid w:val="004D5785"/>
  </w:style>
  <w:style w:type="table" w:customStyle="1" w:styleId="2106">
    <w:name w:val="Сетка таблицы2106"/>
    <w:basedOn w:val="a4"/>
    <w:next w:val="afb"/>
    <w:uiPriority w:val="39"/>
    <w:rsid w:val="004D57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60">
    <w:name w:val="Нет списка266"/>
    <w:next w:val="a5"/>
    <w:uiPriority w:val="99"/>
    <w:semiHidden/>
    <w:unhideWhenUsed/>
    <w:rsid w:val="001B564F"/>
  </w:style>
  <w:style w:type="table" w:customStyle="1" w:styleId="3430">
    <w:name w:val="Сетка таблицы343"/>
    <w:basedOn w:val="a4"/>
    <w:next w:val="afb"/>
    <w:uiPriority w:val="39"/>
    <w:rsid w:val="001B56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90">
    <w:name w:val="Нет списка1109"/>
    <w:next w:val="a5"/>
    <w:uiPriority w:val="99"/>
    <w:semiHidden/>
    <w:rsid w:val="001B564F"/>
  </w:style>
  <w:style w:type="numbering" w:customStyle="1" w:styleId="11301">
    <w:name w:val="Нет списка1130"/>
    <w:next w:val="a5"/>
    <w:uiPriority w:val="99"/>
    <w:semiHidden/>
    <w:unhideWhenUsed/>
    <w:rsid w:val="001B564F"/>
  </w:style>
  <w:style w:type="numbering" w:customStyle="1" w:styleId="2670">
    <w:name w:val="Нет списка267"/>
    <w:next w:val="a5"/>
    <w:uiPriority w:val="99"/>
    <w:semiHidden/>
    <w:unhideWhenUsed/>
    <w:rsid w:val="001B564F"/>
  </w:style>
  <w:style w:type="numbering" w:customStyle="1" w:styleId="2680">
    <w:name w:val="Нет списка268"/>
    <w:next w:val="a5"/>
    <w:uiPriority w:val="99"/>
    <w:semiHidden/>
    <w:unhideWhenUsed/>
    <w:rsid w:val="00C111B5"/>
  </w:style>
  <w:style w:type="numbering" w:customStyle="1" w:styleId="2690">
    <w:name w:val="Нет списка269"/>
    <w:next w:val="a5"/>
    <w:uiPriority w:val="99"/>
    <w:semiHidden/>
    <w:unhideWhenUsed/>
    <w:rsid w:val="00585993"/>
  </w:style>
  <w:style w:type="table" w:customStyle="1" w:styleId="344">
    <w:name w:val="Сетка таблицы344"/>
    <w:basedOn w:val="a4"/>
    <w:next w:val="afb"/>
    <w:uiPriority w:val="39"/>
    <w:rsid w:val="005859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0">
    <w:name w:val="Нет списка1133"/>
    <w:next w:val="a5"/>
    <w:uiPriority w:val="99"/>
    <w:semiHidden/>
    <w:rsid w:val="00585993"/>
  </w:style>
  <w:style w:type="paragraph" w:customStyle="1" w:styleId="7f">
    <w:name w:val="7"/>
    <w:basedOn w:val="a2"/>
    <w:next w:val="aff5"/>
    <w:uiPriority w:val="99"/>
    <w:rsid w:val="00585993"/>
    <w:pPr>
      <w:spacing w:before="100" w:beforeAutospacing="1" w:after="100" w:afterAutospacing="1"/>
    </w:pPr>
  </w:style>
  <w:style w:type="numbering" w:customStyle="1" w:styleId="11340">
    <w:name w:val="Нет списка1134"/>
    <w:next w:val="a5"/>
    <w:uiPriority w:val="99"/>
    <w:semiHidden/>
    <w:unhideWhenUsed/>
    <w:rsid w:val="00585993"/>
  </w:style>
  <w:style w:type="table" w:customStyle="1" w:styleId="11520">
    <w:name w:val="Сетка таблицы1152"/>
    <w:basedOn w:val="a4"/>
    <w:next w:val="afb"/>
    <w:uiPriority w:val="39"/>
    <w:rsid w:val="005859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1">
    <w:name w:val="Нет списка270"/>
    <w:next w:val="a5"/>
    <w:uiPriority w:val="99"/>
    <w:semiHidden/>
    <w:unhideWhenUsed/>
    <w:rsid w:val="00585993"/>
  </w:style>
  <w:style w:type="table" w:customStyle="1" w:styleId="2107">
    <w:name w:val="Сетка таблицы2107"/>
    <w:basedOn w:val="a4"/>
    <w:next w:val="afb"/>
    <w:uiPriority w:val="39"/>
    <w:rsid w:val="005859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
    <w:name w:val="Нет списка323"/>
    <w:next w:val="a5"/>
    <w:uiPriority w:val="99"/>
    <w:semiHidden/>
    <w:rsid w:val="00585993"/>
  </w:style>
  <w:style w:type="numbering" w:customStyle="1" w:styleId="1225">
    <w:name w:val="Нет списка1225"/>
    <w:next w:val="a5"/>
    <w:uiPriority w:val="99"/>
    <w:semiHidden/>
    <w:unhideWhenUsed/>
    <w:rsid w:val="00585993"/>
  </w:style>
  <w:style w:type="numbering" w:customStyle="1" w:styleId="21200">
    <w:name w:val="Нет списка2120"/>
    <w:next w:val="a5"/>
    <w:uiPriority w:val="99"/>
    <w:semiHidden/>
    <w:unhideWhenUsed/>
    <w:rsid w:val="00585993"/>
  </w:style>
  <w:style w:type="paragraph" w:customStyle="1" w:styleId="814">
    <w:name w:val="Знак Знак81"/>
    <w:basedOn w:val="a2"/>
    <w:rsid w:val="00585993"/>
    <w:pPr>
      <w:tabs>
        <w:tab w:val="num" w:pos="360"/>
      </w:tabs>
      <w:spacing w:after="160" w:line="240" w:lineRule="exact"/>
    </w:pPr>
    <w:rPr>
      <w:rFonts w:ascii="Verdana" w:hAnsi="Verdana" w:cs="Verdana"/>
      <w:sz w:val="20"/>
      <w:szCs w:val="20"/>
      <w:lang w:val="en-US" w:eastAsia="en-US"/>
    </w:rPr>
  </w:style>
  <w:style w:type="numbering" w:customStyle="1" w:styleId="4190">
    <w:name w:val="Нет списка419"/>
    <w:next w:val="a5"/>
    <w:uiPriority w:val="99"/>
    <w:semiHidden/>
    <w:unhideWhenUsed/>
    <w:rsid w:val="00585993"/>
  </w:style>
  <w:style w:type="numbering" w:customStyle="1" w:styleId="5190">
    <w:name w:val="Нет списка519"/>
    <w:next w:val="a5"/>
    <w:uiPriority w:val="99"/>
    <w:semiHidden/>
    <w:unhideWhenUsed/>
    <w:rsid w:val="00585993"/>
  </w:style>
  <w:style w:type="numbering" w:customStyle="1" w:styleId="2711">
    <w:name w:val="Нет списка271"/>
    <w:next w:val="a5"/>
    <w:uiPriority w:val="99"/>
    <w:semiHidden/>
    <w:unhideWhenUsed/>
    <w:rsid w:val="000926B0"/>
  </w:style>
  <w:style w:type="table" w:customStyle="1" w:styleId="345">
    <w:name w:val="Сетка таблицы345"/>
    <w:basedOn w:val="a4"/>
    <w:next w:val="afb"/>
    <w:rsid w:val="00092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
    <w:name w:val="Нет списка272"/>
    <w:next w:val="a5"/>
    <w:uiPriority w:val="99"/>
    <w:semiHidden/>
    <w:unhideWhenUsed/>
    <w:rsid w:val="00A244DD"/>
  </w:style>
  <w:style w:type="table" w:customStyle="1" w:styleId="1153">
    <w:name w:val="Сетка таблицы1153"/>
    <w:basedOn w:val="a4"/>
    <w:next w:val="afb"/>
    <w:uiPriority w:val="59"/>
    <w:rsid w:val="00A244D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6">
    <w:name w:val="Сетка таблицы346"/>
    <w:basedOn w:val="a4"/>
    <w:next w:val="afb"/>
    <w:rsid w:val="00A244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Сетка таблицы347"/>
    <w:basedOn w:val="a4"/>
    <w:next w:val="afb"/>
    <w:rsid w:val="00F61A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0">
    <w:name w:val="Нет списка273"/>
    <w:next w:val="a5"/>
    <w:semiHidden/>
    <w:rsid w:val="00801F63"/>
  </w:style>
  <w:style w:type="table" w:customStyle="1" w:styleId="348">
    <w:name w:val="Сетка таблицы348"/>
    <w:basedOn w:val="a4"/>
    <w:next w:val="afb"/>
    <w:rsid w:val="00801F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9">
    <w:name w:val="Сетка таблицы349"/>
    <w:basedOn w:val="a4"/>
    <w:next w:val="afb"/>
    <w:rsid w:val="004D352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40">
    <w:name w:val="Нет списка274"/>
    <w:next w:val="a5"/>
    <w:semiHidden/>
    <w:rsid w:val="00F231DB"/>
  </w:style>
  <w:style w:type="table" w:customStyle="1" w:styleId="3500">
    <w:name w:val="Сетка таблицы350"/>
    <w:basedOn w:val="a4"/>
    <w:next w:val="afb"/>
    <w:rsid w:val="00F231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8">
    <w:name w:val="Сетка таблицы2108"/>
    <w:basedOn w:val="a4"/>
    <w:next w:val="afb"/>
    <w:rsid w:val="00F231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4"/>
    <w:next w:val="afb"/>
    <w:rsid w:val="00F231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50">
    <w:name w:val="Нет списка275"/>
    <w:next w:val="a5"/>
    <w:semiHidden/>
    <w:rsid w:val="00D03FB3"/>
  </w:style>
  <w:style w:type="table" w:customStyle="1" w:styleId="3520">
    <w:name w:val="Сетка таблицы352"/>
    <w:basedOn w:val="a4"/>
    <w:next w:val="afb"/>
    <w:rsid w:val="00D03F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9">
    <w:name w:val="Сетка таблицы2109"/>
    <w:basedOn w:val="a4"/>
    <w:next w:val="afb"/>
    <w:rsid w:val="00D03F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0">
    <w:name w:val="Сетка таблицы353"/>
    <w:basedOn w:val="a4"/>
    <w:next w:val="afb"/>
    <w:rsid w:val="003522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60">
    <w:name w:val="Нет списка276"/>
    <w:next w:val="a5"/>
    <w:semiHidden/>
    <w:rsid w:val="00D95615"/>
  </w:style>
  <w:style w:type="table" w:customStyle="1" w:styleId="354">
    <w:name w:val="Сетка таблицы354"/>
    <w:basedOn w:val="a4"/>
    <w:next w:val="afb"/>
    <w:rsid w:val="00D956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
    <w:name w:val="Сетка таблицы1154"/>
    <w:basedOn w:val="a4"/>
    <w:next w:val="afb"/>
    <w:rsid w:val="00D956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0">
    <w:name w:val="Сетка таблицы2116"/>
    <w:basedOn w:val="a4"/>
    <w:next w:val="afb"/>
    <w:rsid w:val="00D956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Сетка таблицы355"/>
    <w:basedOn w:val="a4"/>
    <w:next w:val="afb"/>
    <w:rsid w:val="00D956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Сетка таблицы432"/>
    <w:basedOn w:val="a4"/>
    <w:next w:val="afb"/>
    <w:rsid w:val="00D956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531"/>
    <w:basedOn w:val="a4"/>
    <w:next w:val="afb"/>
    <w:rsid w:val="00D956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5">
    <w:name w:val="Сетка таблицы1155"/>
    <w:basedOn w:val="a4"/>
    <w:next w:val="afb"/>
    <w:uiPriority w:val="59"/>
    <w:rsid w:val="00F27EE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6">
    <w:name w:val="Сетка таблицы356"/>
    <w:basedOn w:val="a4"/>
    <w:next w:val="afb"/>
    <w:rsid w:val="00F27E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70">
    <w:name w:val="Нет списка277"/>
    <w:next w:val="a5"/>
    <w:semiHidden/>
    <w:rsid w:val="004470CB"/>
  </w:style>
  <w:style w:type="table" w:customStyle="1" w:styleId="357">
    <w:name w:val="Сетка таблицы357"/>
    <w:basedOn w:val="a4"/>
    <w:next w:val="afb"/>
    <w:rsid w:val="004470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6">
    <w:name w:val="Сетка таблицы1156"/>
    <w:basedOn w:val="a4"/>
    <w:next w:val="afb"/>
    <w:rsid w:val="004470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0">
    <w:name w:val="Сетка таблицы2117"/>
    <w:basedOn w:val="a4"/>
    <w:next w:val="afb"/>
    <w:rsid w:val="004470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8">
    <w:name w:val="Сетка таблицы358"/>
    <w:basedOn w:val="a4"/>
    <w:next w:val="afb"/>
    <w:rsid w:val="004470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4"/>
    <w:next w:val="afb"/>
    <w:rsid w:val="004470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0">
    <w:name w:val="Сетка таблицы532"/>
    <w:basedOn w:val="a4"/>
    <w:next w:val="afb"/>
    <w:rsid w:val="004470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f2">
    <w:name w:val="Знак Знак Знак Знак Знак Знак Знак Знак Знак Знак Знак Знак6"/>
    <w:basedOn w:val="a2"/>
    <w:rsid w:val="006022DF"/>
    <w:pPr>
      <w:tabs>
        <w:tab w:val="num" w:pos="360"/>
      </w:tabs>
      <w:spacing w:after="160" w:line="240" w:lineRule="exact"/>
    </w:pPr>
    <w:rPr>
      <w:rFonts w:ascii="Verdana" w:hAnsi="Verdana" w:cs="Verdana"/>
      <w:sz w:val="20"/>
      <w:szCs w:val="20"/>
      <w:lang w:val="en-US" w:eastAsia="en-US"/>
    </w:rPr>
  </w:style>
  <w:style w:type="numbering" w:customStyle="1" w:styleId="2780">
    <w:name w:val="Нет списка278"/>
    <w:next w:val="a5"/>
    <w:uiPriority w:val="99"/>
    <w:semiHidden/>
    <w:unhideWhenUsed/>
    <w:rsid w:val="00C646D5"/>
  </w:style>
  <w:style w:type="paragraph" w:customStyle="1" w:styleId="13f3">
    <w:name w:val="Знак Знак1 Знак Знак3"/>
    <w:basedOn w:val="a2"/>
    <w:rsid w:val="00C646D5"/>
    <w:pPr>
      <w:tabs>
        <w:tab w:val="left" w:pos="360"/>
      </w:tabs>
      <w:spacing w:after="160" w:line="240" w:lineRule="exact"/>
    </w:pPr>
    <w:rPr>
      <w:rFonts w:ascii="Verdana" w:hAnsi="Verdana" w:cs="Verdana"/>
      <w:sz w:val="20"/>
      <w:szCs w:val="20"/>
      <w:lang w:val="en-US" w:eastAsia="en-US"/>
    </w:rPr>
  </w:style>
  <w:style w:type="table" w:customStyle="1" w:styleId="359">
    <w:name w:val="Сетка таблицы359"/>
    <w:basedOn w:val="a4"/>
    <w:next w:val="afb"/>
    <w:uiPriority w:val="39"/>
    <w:rsid w:val="00C646D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f3">
    <w:name w:val="6"/>
    <w:basedOn w:val="a2"/>
    <w:next w:val="aff5"/>
    <w:uiPriority w:val="99"/>
    <w:rsid w:val="00C646D5"/>
    <w:pPr>
      <w:textAlignment w:val="top"/>
    </w:pPr>
    <w:rPr>
      <w:rFonts w:eastAsia="Calibri"/>
    </w:rPr>
  </w:style>
  <w:style w:type="numbering" w:customStyle="1" w:styleId="2790">
    <w:name w:val="Нет списка279"/>
    <w:next w:val="a5"/>
    <w:uiPriority w:val="99"/>
    <w:semiHidden/>
    <w:unhideWhenUsed/>
    <w:rsid w:val="00911763"/>
  </w:style>
  <w:style w:type="table" w:customStyle="1" w:styleId="3600">
    <w:name w:val="Сетка таблицы360"/>
    <w:basedOn w:val="a4"/>
    <w:next w:val="afb"/>
    <w:uiPriority w:val="39"/>
    <w:rsid w:val="00FE1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01">
    <w:name w:val="Нет списка280"/>
    <w:next w:val="a5"/>
    <w:uiPriority w:val="99"/>
    <w:semiHidden/>
    <w:rsid w:val="00774A10"/>
  </w:style>
  <w:style w:type="paragraph" w:customStyle="1" w:styleId="25a">
    <w:name w:val="Абзац списка25"/>
    <w:basedOn w:val="a2"/>
    <w:autoRedefine/>
    <w:rsid w:val="00774A10"/>
    <w:pPr>
      <w:jc w:val="center"/>
    </w:pPr>
    <w:rPr>
      <w:snapToGrid w:val="0"/>
      <w:sz w:val="28"/>
      <w:szCs w:val="28"/>
    </w:rPr>
  </w:style>
  <w:style w:type="table" w:customStyle="1" w:styleId="3610">
    <w:name w:val="Сетка таблицы361"/>
    <w:basedOn w:val="a4"/>
    <w:next w:val="afb"/>
    <w:uiPriority w:val="39"/>
    <w:rsid w:val="00774A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f1">
    <w:name w:val="5"/>
    <w:basedOn w:val="a2"/>
    <w:next w:val="aff5"/>
    <w:rsid w:val="00774A10"/>
    <w:pPr>
      <w:spacing w:before="100" w:beforeAutospacing="1" w:after="100" w:afterAutospacing="1"/>
    </w:pPr>
  </w:style>
  <w:style w:type="paragraph" w:customStyle="1" w:styleId="2f8">
    <w:name w:val="Знак2"/>
    <w:basedOn w:val="a2"/>
    <w:rsid w:val="00774A10"/>
    <w:pPr>
      <w:spacing w:after="160" w:line="240" w:lineRule="exact"/>
    </w:pPr>
    <w:rPr>
      <w:rFonts w:ascii="Verdana" w:hAnsi="Verdana" w:cs="Verdana"/>
      <w:sz w:val="20"/>
      <w:szCs w:val="20"/>
      <w:lang w:val="en-US" w:eastAsia="en-US"/>
    </w:rPr>
  </w:style>
  <w:style w:type="numbering" w:customStyle="1" w:styleId="11350">
    <w:name w:val="Нет списка1135"/>
    <w:next w:val="a5"/>
    <w:uiPriority w:val="99"/>
    <w:semiHidden/>
    <w:unhideWhenUsed/>
    <w:rsid w:val="00774A10"/>
  </w:style>
  <w:style w:type="table" w:customStyle="1" w:styleId="1157">
    <w:name w:val="Сетка таблицы1157"/>
    <w:basedOn w:val="a4"/>
    <w:next w:val="afb"/>
    <w:uiPriority w:val="39"/>
    <w:rsid w:val="00774A1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1">
    <w:name w:val="Нет списка281"/>
    <w:next w:val="a5"/>
    <w:uiPriority w:val="99"/>
    <w:semiHidden/>
    <w:unhideWhenUsed/>
    <w:rsid w:val="00774A10"/>
  </w:style>
  <w:style w:type="paragraph" w:customStyle="1" w:styleId="5f2">
    <w:name w:val="Знак Знак Знак Знак Знак Знак Знак Знак Знак Знак Знак Знак5"/>
    <w:basedOn w:val="a2"/>
    <w:rsid w:val="00405689"/>
    <w:pPr>
      <w:tabs>
        <w:tab w:val="num" w:pos="360"/>
      </w:tabs>
      <w:spacing w:after="160" w:line="240" w:lineRule="exact"/>
    </w:pPr>
    <w:rPr>
      <w:rFonts w:ascii="Verdana" w:hAnsi="Verdana" w:cs="Verdana"/>
      <w:sz w:val="20"/>
      <w:szCs w:val="20"/>
      <w:lang w:val="en-US" w:eastAsia="en-US"/>
    </w:rPr>
  </w:style>
  <w:style w:type="numbering" w:customStyle="1" w:styleId="2821">
    <w:name w:val="Нет списка282"/>
    <w:next w:val="a5"/>
    <w:uiPriority w:val="99"/>
    <w:semiHidden/>
    <w:unhideWhenUsed/>
    <w:rsid w:val="00EC09A7"/>
  </w:style>
  <w:style w:type="numbering" w:customStyle="1" w:styleId="2830">
    <w:name w:val="Нет списка283"/>
    <w:next w:val="a5"/>
    <w:uiPriority w:val="99"/>
    <w:semiHidden/>
    <w:unhideWhenUsed/>
    <w:rsid w:val="00E47850"/>
  </w:style>
  <w:style w:type="numbering" w:customStyle="1" w:styleId="2840">
    <w:name w:val="Нет списка284"/>
    <w:next w:val="a5"/>
    <w:semiHidden/>
    <w:rsid w:val="002B1D54"/>
  </w:style>
  <w:style w:type="table" w:customStyle="1" w:styleId="3620">
    <w:name w:val="Сетка таблицы362"/>
    <w:basedOn w:val="a4"/>
    <w:next w:val="afb"/>
    <w:rsid w:val="002B1D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1">
    <w:name w:val="4"/>
    <w:basedOn w:val="a2"/>
    <w:next w:val="aff5"/>
    <w:uiPriority w:val="99"/>
    <w:unhideWhenUsed/>
    <w:rsid w:val="002B1D54"/>
    <w:pPr>
      <w:spacing w:before="100" w:beforeAutospacing="1" w:after="100" w:afterAutospacing="1"/>
    </w:pPr>
  </w:style>
  <w:style w:type="table" w:customStyle="1" w:styleId="1158">
    <w:name w:val="Сетка таблицы1158"/>
    <w:basedOn w:val="a4"/>
    <w:next w:val="afb"/>
    <w:rsid w:val="002B1D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9">
    <w:name w:val="Сетка таблицы1159"/>
    <w:basedOn w:val="a4"/>
    <w:next w:val="afb"/>
    <w:uiPriority w:val="59"/>
    <w:rsid w:val="00363A6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30">
    <w:name w:val="Сетка таблицы363"/>
    <w:basedOn w:val="a4"/>
    <w:next w:val="afb"/>
    <w:rsid w:val="00363A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50">
    <w:name w:val="Нет списка285"/>
    <w:next w:val="a5"/>
    <w:uiPriority w:val="99"/>
    <w:semiHidden/>
    <w:unhideWhenUsed/>
    <w:rsid w:val="001D2370"/>
  </w:style>
  <w:style w:type="table" w:customStyle="1" w:styleId="364">
    <w:name w:val="Сетка таблицы364"/>
    <w:basedOn w:val="a4"/>
    <w:next w:val="afb"/>
    <w:rsid w:val="001D23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60">
    <w:name w:val="Нет списка286"/>
    <w:next w:val="a5"/>
    <w:uiPriority w:val="99"/>
    <w:semiHidden/>
    <w:unhideWhenUsed/>
    <w:rsid w:val="00B41A15"/>
  </w:style>
  <w:style w:type="table" w:customStyle="1" w:styleId="11600">
    <w:name w:val="Сетка таблицы1160"/>
    <w:basedOn w:val="a4"/>
    <w:next w:val="afb"/>
    <w:uiPriority w:val="59"/>
    <w:rsid w:val="00B41A1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5">
    <w:name w:val="Сетка таблицы365"/>
    <w:basedOn w:val="a4"/>
    <w:next w:val="afb"/>
    <w:rsid w:val="00B41A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70">
    <w:name w:val="Нет списка287"/>
    <w:next w:val="a5"/>
    <w:semiHidden/>
    <w:rsid w:val="008B2B9E"/>
  </w:style>
  <w:style w:type="table" w:customStyle="1" w:styleId="366">
    <w:name w:val="Сетка таблицы366"/>
    <w:basedOn w:val="a4"/>
    <w:next w:val="afb"/>
    <w:rsid w:val="008B2B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5">
    <w:name w:val="3"/>
    <w:basedOn w:val="a2"/>
    <w:next w:val="aff5"/>
    <w:uiPriority w:val="99"/>
    <w:unhideWhenUsed/>
    <w:rsid w:val="008B2B9E"/>
    <w:pPr>
      <w:spacing w:before="100" w:beforeAutospacing="1" w:after="100" w:afterAutospacing="1"/>
    </w:pPr>
  </w:style>
  <w:style w:type="table" w:customStyle="1" w:styleId="21180">
    <w:name w:val="Сетка таблицы2118"/>
    <w:basedOn w:val="a4"/>
    <w:next w:val="afb"/>
    <w:rsid w:val="008B2B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7">
    <w:name w:val="Сетка таблицы367"/>
    <w:basedOn w:val="a4"/>
    <w:next w:val="afb"/>
    <w:rsid w:val="008B2B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8">
    <w:name w:val="Сетка таблицы368"/>
    <w:basedOn w:val="a4"/>
    <w:next w:val="afb"/>
    <w:rsid w:val="00C0583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нак Знак Знак Знак Знак Знак Знак Знак Знак Знак Знак Знак4"/>
    <w:basedOn w:val="a2"/>
    <w:rsid w:val="00006697"/>
    <w:pPr>
      <w:tabs>
        <w:tab w:val="num" w:pos="360"/>
      </w:tabs>
      <w:spacing w:after="160" w:line="240" w:lineRule="exact"/>
    </w:pPr>
    <w:rPr>
      <w:rFonts w:ascii="Verdana" w:hAnsi="Verdana" w:cs="Verdana"/>
      <w:sz w:val="20"/>
      <w:szCs w:val="20"/>
      <w:lang w:val="en-US" w:eastAsia="en-US"/>
    </w:rPr>
  </w:style>
  <w:style w:type="numbering" w:customStyle="1" w:styleId="2880">
    <w:name w:val="Нет списка288"/>
    <w:next w:val="a5"/>
    <w:uiPriority w:val="99"/>
    <w:semiHidden/>
    <w:unhideWhenUsed/>
    <w:rsid w:val="009B49A5"/>
  </w:style>
  <w:style w:type="paragraph" w:customStyle="1" w:styleId="12f9">
    <w:name w:val="Знак Знак1 Знак Знак2"/>
    <w:basedOn w:val="a2"/>
    <w:rsid w:val="009B49A5"/>
    <w:pPr>
      <w:tabs>
        <w:tab w:val="left" w:pos="360"/>
      </w:tabs>
      <w:spacing w:after="160" w:line="240" w:lineRule="exact"/>
    </w:pPr>
    <w:rPr>
      <w:rFonts w:ascii="Verdana" w:hAnsi="Verdana" w:cs="Verdana"/>
      <w:sz w:val="20"/>
      <w:szCs w:val="20"/>
      <w:lang w:val="en-US" w:eastAsia="en-US"/>
    </w:rPr>
  </w:style>
  <w:style w:type="table" w:customStyle="1" w:styleId="369">
    <w:name w:val="Сетка таблицы369"/>
    <w:basedOn w:val="a4"/>
    <w:next w:val="afb"/>
    <w:uiPriority w:val="39"/>
    <w:rsid w:val="009B49A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9">
    <w:name w:val="2"/>
    <w:basedOn w:val="a2"/>
    <w:next w:val="aff5"/>
    <w:rsid w:val="00D13066"/>
    <w:pPr>
      <w:spacing w:before="100" w:beforeAutospacing="1" w:after="100" w:afterAutospacing="1"/>
    </w:pPr>
  </w:style>
  <w:style w:type="table" w:customStyle="1" w:styleId="11610">
    <w:name w:val="Сетка таблицы1161"/>
    <w:basedOn w:val="a4"/>
    <w:next w:val="afb"/>
    <w:uiPriority w:val="39"/>
    <w:rsid w:val="009B49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90">
    <w:name w:val="Нет списка289"/>
    <w:next w:val="a5"/>
    <w:uiPriority w:val="99"/>
    <w:semiHidden/>
    <w:rsid w:val="00D13066"/>
  </w:style>
  <w:style w:type="paragraph" w:customStyle="1" w:styleId="26a">
    <w:name w:val="Абзац списка26"/>
    <w:basedOn w:val="a2"/>
    <w:autoRedefine/>
    <w:rsid w:val="00D13066"/>
    <w:pPr>
      <w:jc w:val="center"/>
    </w:pPr>
    <w:rPr>
      <w:snapToGrid w:val="0"/>
      <w:sz w:val="28"/>
      <w:szCs w:val="28"/>
    </w:rPr>
  </w:style>
  <w:style w:type="table" w:customStyle="1" w:styleId="3700">
    <w:name w:val="Сетка таблицы370"/>
    <w:basedOn w:val="a4"/>
    <w:next w:val="afb"/>
    <w:uiPriority w:val="39"/>
    <w:rsid w:val="00D130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Знак1"/>
    <w:basedOn w:val="a2"/>
    <w:rsid w:val="00D13066"/>
    <w:pPr>
      <w:spacing w:after="160" w:line="240" w:lineRule="exact"/>
    </w:pPr>
    <w:rPr>
      <w:rFonts w:ascii="Verdana" w:hAnsi="Verdana" w:cs="Verdana"/>
      <w:sz w:val="20"/>
      <w:szCs w:val="20"/>
      <w:lang w:val="en-US" w:eastAsia="en-US"/>
    </w:rPr>
  </w:style>
  <w:style w:type="numbering" w:customStyle="1" w:styleId="11360">
    <w:name w:val="Нет списка1136"/>
    <w:next w:val="a5"/>
    <w:uiPriority w:val="99"/>
    <w:semiHidden/>
    <w:unhideWhenUsed/>
    <w:rsid w:val="00D13066"/>
  </w:style>
  <w:style w:type="table" w:customStyle="1" w:styleId="11620">
    <w:name w:val="Сетка таблицы1162"/>
    <w:basedOn w:val="a4"/>
    <w:next w:val="afb"/>
    <w:uiPriority w:val="39"/>
    <w:rsid w:val="00D130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1">
    <w:name w:val="Нет списка290"/>
    <w:next w:val="a5"/>
    <w:uiPriority w:val="99"/>
    <w:semiHidden/>
    <w:unhideWhenUsed/>
    <w:rsid w:val="00D13066"/>
  </w:style>
  <w:style w:type="table" w:customStyle="1" w:styleId="21190">
    <w:name w:val="Сетка таблицы2119"/>
    <w:basedOn w:val="a4"/>
    <w:next w:val="afb"/>
    <w:uiPriority w:val="39"/>
    <w:rsid w:val="00D130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4"/>
    <w:next w:val="afb"/>
    <w:rsid w:val="00D769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0">
    <w:name w:val="Сетка таблицы372"/>
    <w:basedOn w:val="a4"/>
    <w:next w:val="afb"/>
    <w:rsid w:val="00D76927"/>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
    <w:name w:val="Нет списка291"/>
    <w:next w:val="a5"/>
    <w:semiHidden/>
    <w:rsid w:val="003E2040"/>
  </w:style>
  <w:style w:type="table" w:customStyle="1" w:styleId="3730">
    <w:name w:val="Сетка таблицы373"/>
    <w:basedOn w:val="a4"/>
    <w:next w:val="afb"/>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1">
    <w:name w:val="Сетка таблицы2120"/>
    <w:basedOn w:val="a4"/>
    <w:next w:val="afb"/>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814"/>
    <w:basedOn w:val="a4"/>
    <w:next w:val="afb"/>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4"/>
    <w:next w:val="afb"/>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Сетка таблицы1163"/>
    <w:basedOn w:val="a4"/>
    <w:next w:val="afb"/>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0">
    <w:name w:val="Сетка таблицы1213"/>
    <w:basedOn w:val="a4"/>
    <w:next w:val="afb"/>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1">
    <w:name w:val="Сетка таблицы1310"/>
    <w:basedOn w:val="a4"/>
    <w:next w:val="afb"/>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0">
    <w:name w:val="Сетка таблицы1410"/>
    <w:basedOn w:val="a4"/>
    <w:next w:val="afb"/>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1">
    <w:name w:val="Нет списка292"/>
    <w:next w:val="a5"/>
    <w:uiPriority w:val="99"/>
    <w:semiHidden/>
    <w:unhideWhenUsed/>
    <w:rsid w:val="003E2040"/>
  </w:style>
  <w:style w:type="table" w:customStyle="1" w:styleId="1164">
    <w:name w:val="Сетка таблицы1164"/>
    <w:basedOn w:val="a4"/>
    <w:next w:val="afb"/>
    <w:uiPriority w:val="59"/>
    <w:rsid w:val="003E204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4">
    <w:name w:val="Сетка таблицы374"/>
    <w:basedOn w:val="a4"/>
    <w:next w:val="afb"/>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0">
    <w:name w:val="Нет списка293"/>
    <w:next w:val="a5"/>
    <w:uiPriority w:val="99"/>
    <w:semiHidden/>
    <w:unhideWhenUsed/>
    <w:rsid w:val="007618DD"/>
  </w:style>
  <w:style w:type="table" w:customStyle="1" w:styleId="375">
    <w:name w:val="Сетка таблицы375"/>
    <w:basedOn w:val="a4"/>
    <w:next w:val="afb"/>
    <w:rsid w:val="007618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40">
    <w:name w:val="Нет списка294"/>
    <w:next w:val="a5"/>
    <w:uiPriority w:val="99"/>
    <w:semiHidden/>
    <w:unhideWhenUsed/>
    <w:rsid w:val="007618DD"/>
  </w:style>
  <w:style w:type="table" w:customStyle="1" w:styleId="1165">
    <w:name w:val="Сетка таблицы1165"/>
    <w:basedOn w:val="a4"/>
    <w:next w:val="afb"/>
    <w:uiPriority w:val="59"/>
    <w:rsid w:val="007618D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6">
    <w:name w:val="Сетка таблицы376"/>
    <w:basedOn w:val="a4"/>
    <w:next w:val="afb"/>
    <w:rsid w:val="007618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7">
    <w:name w:val="Сетка таблицы377"/>
    <w:basedOn w:val="a4"/>
    <w:next w:val="afb"/>
    <w:rsid w:val="004B11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50">
    <w:name w:val="Нет списка295"/>
    <w:next w:val="a5"/>
    <w:uiPriority w:val="99"/>
    <w:semiHidden/>
    <w:unhideWhenUsed/>
    <w:rsid w:val="00AD3124"/>
  </w:style>
  <w:style w:type="table" w:customStyle="1" w:styleId="378">
    <w:name w:val="Сетка таблицы378"/>
    <w:basedOn w:val="a4"/>
    <w:next w:val="afb"/>
    <w:rsid w:val="00AD31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60">
    <w:name w:val="Нет списка296"/>
    <w:next w:val="a5"/>
    <w:uiPriority w:val="99"/>
    <w:semiHidden/>
    <w:unhideWhenUsed/>
    <w:rsid w:val="003A537B"/>
  </w:style>
  <w:style w:type="table" w:customStyle="1" w:styleId="1166">
    <w:name w:val="Сетка таблицы1166"/>
    <w:basedOn w:val="a4"/>
    <w:next w:val="afb"/>
    <w:uiPriority w:val="59"/>
    <w:rsid w:val="003A537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9">
    <w:name w:val="Сетка таблицы379"/>
    <w:basedOn w:val="a4"/>
    <w:next w:val="afb"/>
    <w:rsid w:val="003A53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6">
    <w:name w:val="Знак Знак Знак Знак Знак Знак Знак Знак Знак Знак Знак Знак3"/>
    <w:basedOn w:val="a2"/>
    <w:rsid w:val="001A405D"/>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 Знак Знак2"/>
    <w:basedOn w:val="a2"/>
    <w:rsid w:val="00156338"/>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 Знак Знак Знак Знак Знак Знак Знак Знак1"/>
    <w:basedOn w:val="a2"/>
    <w:rsid w:val="0024103D"/>
    <w:pPr>
      <w:tabs>
        <w:tab w:val="num" w:pos="360"/>
      </w:tabs>
      <w:spacing w:after="160" w:line="240" w:lineRule="exact"/>
    </w:pPr>
    <w:rPr>
      <w:rFonts w:ascii="Verdana" w:hAnsi="Verdana" w:cs="Verdana"/>
      <w:sz w:val="20"/>
      <w:szCs w:val="20"/>
      <w:lang w:val="en-US" w:eastAsia="en-US"/>
    </w:rPr>
  </w:style>
  <w:style w:type="paragraph" w:customStyle="1" w:styleId="742">
    <w:name w:val="Знак Знак Знак Знак Знак Знак Знак Знак Знак Знак Знак Знак74"/>
    <w:basedOn w:val="a2"/>
    <w:rsid w:val="008A1A0B"/>
    <w:pPr>
      <w:tabs>
        <w:tab w:val="num" w:pos="360"/>
      </w:tabs>
      <w:spacing w:after="160" w:line="240" w:lineRule="exact"/>
    </w:pPr>
    <w:rPr>
      <w:rFonts w:ascii="Verdana" w:hAnsi="Verdana" w:cs="Verdana"/>
      <w:sz w:val="20"/>
      <w:szCs w:val="20"/>
      <w:lang w:val="en-US" w:eastAsia="en-US"/>
    </w:rPr>
  </w:style>
  <w:style w:type="numbering" w:customStyle="1" w:styleId="2970">
    <w:name w:val="Нет списка297"/>
    <w:next w:val="a5"/>
    <w:semiHidden/>
    <w:rsid w:val="0099088D"/>
  </w:style>
  <w:style w:type="numbering" w:customStyle="1" w:styleId="2980">
    <w:name w:val="Нет списка298"/>
    <w:next w:val="a5"/>
    <w:uiPriority w:val="99"/>
    <w:semiHidden/>
    <w:rsid w:val="001C56BD"/>
  </w:style>
  <w:style w:type="numbering" w:customStyle="1" w:styleId="2990">
    <w:name w:val="Нет списка299"/>
    <w:next w:val="a5"/>
    <w:uiPriority w:val="99"/>
    <w:semiHidden/>
    <w:rsid w:val="001C56BD"/>
  </w:style>
  <w:style w:type="character" w:customStyle="1" w:styleId="144TimesNewRoman1">
    <w:name w:val="Основной текст (144) + Times New Roman1"/>
    <w:aliases w:val="101,5 pt1,Интервал 0 pt1"/>
    <w:rsid w:val="002F590A"/>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character" w:customStyle="1" w:styleId="Arial">
    <w:name w:val="Основной текст + Arial"/>
    <w:aliases w:val="9 pt"/>
    <w:rsid w:val="002F590A"/>
    <w:rPr>
      <w:rFonts w:ascii="Arial" w:eastAsia="Arial" w:hAnsi="Arial" w:cs="Arial" w:hint="default"/>
      <w:b/>
      <w:bCs/>
      <w:i w:val="0"/>
      <w:iCs w:val="0"/>
      <w:smallCaps w:val="0"/>
      <w:strike w:val="0"/>
      <w:dstrike w:val="0"/>
      <w:color w:val="000000"/>
      <w:spacing w:val="0"/>
      <w:w w:val="100"/>
      <w:position w:val="0"/>
      <w:sz w:val="18"/>
      <w:szCs w:val="18"/>
      <w:u w:val="none"/>
      <w:effect w:val="none"/>
      <w:lang w:val="ru-RU"/>
    </w:rPr>
  </w:style>
  <w:style w:type="character" w:customStyle="1" w:styleId="4pt0">
    <w:name w:val="Основной текст + 4 pt"/>
    <w:aliases w:val="Не полужирный"/>
    <w:rsid w:val="002F590A"/>
    <w:rPr>
      <w:rFonts w:ascii="Times New Roman" w:eastAsia="Times New Roman" w:hAnsi="Times New Roman" w:cs="Times New Roman" w:hint="default"/>
      <w:b/>
      <w:bCs/>
      <w:i w:val="0"/>
      <w:iCs w:val="0"/>
      <w:smallCaps w:val="0"/>
      <w:strike w:val="0"/>
      <w:dstrike w:val="0"/>
      <w:color w:val="000000"/>
      <w:spacing w:val="0"/>
      <w:w w:val="100"/>
      <w:position w:val="0"/>
      <w:sz w:val="8"/>
      <w:szCs w:val="8"/>
      <w:u w:val="none"/>
      <w:effect w:val="none"/>
    </w:rPr>
  </w:style>
  <w:style w:type="character" w:customStyle="1" w:styleId="affffb">
    <w:name w:val="Основной текст + Полужирный"/>
    <w:aliases w:val="Интервал 0 pt"/>
    <w:rsid w:val="002F590A"/>
    <w:rPr>
      <w:rFonts w:ascii="Times New Roman" w:eastAsia="Times New Roman" w:hAnsi="Times New Roman" w:cs="Times New Roman" w:hint="default"/>
      <w:b w:val="0"/>
      <w:bCs w:val="0"/>
      <w:i w:val="0"/>
      <w:iCs w:val="0"/>
      <w:smallCaps w:val="0"/>
      <w:strike w:val="0"/>
      <w:dstrike w:val="0"/>
      <w:color w:val="000000"/>
      <w:spacing w:val="2"/>
      <w:w w:val="100"/>
      <w:position w:val="0"/>
      <w:sz w:val="28"/>
      <w:szCs w:val="28"/>
      <w:u w:val="none"/>
      <w:effect w:val="none"/>
      <w:shd w:val="clear" w:color="auto" w:fill="FFFFFF"/>
      <w:lang w:val="ru-RU"/>
    </w:rPr>
  </w:style>
  <w:style w:type="character" w:customStyle="1" w:styleId="js-phone-number">
    <w:name w:val="js-phone-number"/>
    <w:rsid w:val="002F590A"/>
  </w:style>
  <w:style w:type="numbering" w:customStyle="1" w:styleId="3001">
    <w:name w:val="Нет списка300"/>
    <w:next w:val="a5"/>
    <w:semiHidden/>
    <w:rsid w:val="004A0123"/>
  </w:style>
  <w:style w:type="numbering" w:customStyle="1" w:styleId="3011">
    <w:name w:val="Нет списка301"/>
    <w:next w:val="a5"/>
    <w:uiPriority w:val="99"/>
    <w:semiHidden/>
    <w:rsid w:val="004A01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1845">
      <w:bodyDiv w:val="1"/>
      <w:marLeft w:val="0"/>
      <w:marRight w:val="0"/>
      <w:marTop w:val="0"/>
      <w:marBottom w:val="0"/>
      <w:divBdr>
        <w:top w:val="none" w:sz="0" w:space="0" w:color="auto"/>
        <w:left w:val="none" w:sz="0" w:space="0" w:color="auto"/>
        <w:bottom w:val="none" w:sz="0" w:space="0" w:color="auto"/>
        <w:right w:val="none" w:sz="0" w:space="0" w:color="auto"/>
      </w:divBdr>
    </w:div>
    <w:div w:id="16660967">
      <w:bodyDiv w:val="1"/>
      <w:marLeft w:val="0"/>
      <w:marRight w:val="0"/>
      <w:marTop w:val="0"/>
      <w:marBottom w:val="0"/>
      <w:divBdr>
        <w:top w:val="none" w:sz="0" w:space="0" w:color="auto"/>
        <w:left w:val="none" w:sz="0" w:space="0" w:color="auto"/>
        <w:bottom w:val="none" w:sz="0" w:space="0" w:color="auto"/>
        <w:right w:val="none" w:sz="0" w:space="0" w:color="auto"/>
      </w:divBdr>
    </w:div>
    <w:div w:id="22099080">
      <w:bodyDiv w:val="1"/>
      <w:marLeft w:val="0"/>
      <w:marRight w:val="0"/>
      <w:marTop w:val="0"/>
      <w:marBottom w:val="0"/>
      <w:divBdr>
        <w:top w:val="none" w:sz="0" w:space="0" w:color="auto"/>
        <w:left w:val="none" w:sz="0" w:space="0" w:color="auto"/>
        <w:bottom w:val="none" w:sz="0" w:space="0" w:color="auto"/>
        <w:right w:val="none" w:sz="0" w:space="0" w:color="auto"/>
      </w:divBdr>
    </w:div>
    <w:div w:id="25834863">
      <w:bodyDiv w:val="1"/>
      <w:marLeft w:val="0"/>
      <w:marRight w:val="0"/>
      <w:marTop w:val="0"/>
      <w:marBottom w:val="0"/>
      <w:divBdr>
        <w:top w:val="none" w:sz="0" w:space="0" w:color="auto"/>
        <w:left w:val="none" w:sz="0" w:space="0" w:color="auto"/>
        <w:bottom w:val="none" w:sz="0" w:space="0" w:color="auto"/>
        <w:right w:val="none" w:sz="0" w:space="0" w:color="auto"/>
      </w:divBdr>
    </w:div>
    <w:div w:id="39207416">
      <w:bodyDiv w:val="1"/>
      <w:marLeft w:val="0"/>
      <w:marRight w:val="0"/>
      <w:marTop w:val="0"/>
      <w:marBottom w:val="0"/>
      <w:divBdr>
        <w:top w:val="none" w:sz="0" w:space="0" w:color="auto"/>
        <w:left w:val="none" w:sz="0" w:space="0" w:color="auto"/>
        <w:bottom w:val="none" w:sz="0" w:space="0" w:color="auto"/>
        <w:right w:val="none" w:sz="0" w:space="0" w:color="auto"/>
      </w:divBdr>
    </w:div>
    <w:div w:id="41370317">
      <w:bodyDiv w:val="1"/>
      <w:marLeft w:val="0"/>
      <w:marRight w:val="0"/>
      <w:marTop w:val="0"/>
      <w:marBottom w:val="0"/>
      <w:divBdr>
        <w:top w:val="none" w:sz="0" w:space="0" w:color="auto"/>
        <w:left w:val="none" w:sz="0" w:space="0" w:color="auto"/>
        <w:bottom w:val="none" w:sz="0" w:space="0" w:color="auto"/>
        <w:right w:val="none" w:sz="0" w:space="0" w:color="auto"/>
      </w:divBdr>
    </w:div>
    <w:div w:id="45106850">
      <w:bodyDiv w:val="1"/>
      <w:marLeft w:val="0"/>
      <w:marRight w:val="0"/>
      <w:marTop w:val="0"/>
      <w:marBottom w:val="0"/>
      <w:divBdr>
        <w:top w:val="none" w:sz="0" w:space="0" w:color="auto"/>
        <w:left w:val="none" w:sz="0" w:space="0" w:color="auto"/>
        <w:bottom w:val="none" w:sz="0" w:space="0" w:color="auto"/>
        <w:right w:val="none" w:sz="0" w:space="0" w:color="auto"/>
      </w:divBdr>
    </w:div>
    <w:div w:id="45568136">
      <w:bodyDiv w:val="1"/>
      <w:marLeft w:val="0"/>
      <w:marRight w:val="0"/>
      <w:marTop w:val="0"/>
      <w:marBottom w:val="0"/>
      <w:divBdr>
        <w:top w:val="none" w:sz="0" w:space="0" w:color="auto"/>
        <w:left w:val="none" w:sz="0" w:space="0" w:color="auto"/>
        <w:bottom w:val="none" w:sz="0" w:space="0" w:color="auto"/>
        <w:right w:val="none" w:sz="0" w:space="0" w:color="auto"/>
      </w:divBdr>
    </w:div>
    <w:div w:id="55327409">
      <w:bodyDiv w:val="1"/>
      <w:marLeft w:val="0"/>
      <w:marRight w:val="0"/>
      <w:marTop w:val="0"/>
      <w:marBottom w:val="0"/>
      <w:divBdr>
        <w:top w:val="none" w:sz="0" w:space="0" w:color="auto"/>
        <w:left w:val="none" w:sz="0" w:space="0" w:color="auto"/>
        <w:bottom w:val="none" w:sz="0" w:space="0" w:color="auto"/>
        <w:right w:val="none" w:sz="0" w:space="0" w:color="auto"/>
      </w:divBdr>
    </w:div>
    <w:div w:id="56364521">
      <w:bodyDiv w:val="1"/>
      <w:marLeft w:val="0"/>
      <w:marRight w:val="0"/>
      <w:marTop w:val="0"/>
      <w:marBottom w:val="0"/>
      <w:divBdr>
        <w:top w:val="none" w:sz="0" w:space="0" w:color="auto"/>
        <w:left w:val="none" w:sz="0" w:space="0" w:color="auto"/>
        <w:bottom w:val="none" w:sz="0" w:space="0" w:color="auto"/>
        <w:right w:val="none" w:sz="0" w:space="0" w:color="auto"/>
      </w:divBdr>
    </w:div>
    <w:div w:id="57094559">
      <w:bodyDiv w:val="1"/>
      <w:marLeft w:val="0"/>
      <w:marRight w:val="0"/>
      <w:marTop w:val="0"/>
      <w:marBottom w:val="0"/>
      <w:divBdr>
        <w:top w:val="none" w:sz="0" w:space="0" w:color="auto"/>
        <w:left w:val="none" w:sz="0" w:space="0" w:color="auto"/>
        <w:bottom w:val="none" w:sz="0" w:space="0" w:color="auto"/>
        <w:right w:val="none" w:sz="0" w:space="0" w:color="auto"/>
      </w:divBdr>
    </w:div>
    <w:div w:id="69431709">
      <w:bodyDiv w:val="1"/>
      <w:marLeft w:val="0"/>
      <w:marRight w:val="0"/>
      <w:marTop w:val="0"/>
      <w:marBottom w:val="0"/>
      <w:divBdr>
        <w:top w:val="none" w:sz="0" w:space="0" w:color="auto"/>
        <w:left w:val="none" w:sz="0" w:space="0" w:color="auto"/>
        <w:bottom w:val="none" w:sz="0" w:space="0" w:color="auto"/>
        <w:right w:val="none" w:sz="0" w:space="0" w:color="auto"/>
      </w:divBdr>
    </w:div>
    <w:div w:id="74405088">
      <w:bodyDiv w:val="1"/>
      <w:marLeft w:val="0"/>
      <w:marRight w:val="0"/>
      <w:marTop w:val="0"/>
      <w:marBottom w:val="0"/>
      <w:divBdr>
        <w:top w:val="none" w:sz="0" w:space="0" w:color="auto"/>
        <w:left w:val="none" w:sz="0" w:space="0" w:color="auto"/>
        <w:bottom w:val="none" w:sz="0" w:space="0" w:color="auto"/>
        <w:right w:val="none" w:sz="0" w:space="0" w:color="auto"/>
      </w:divBdr>
    </w:div>
    <w:div w:id="78405053">
      <w:bodyDiv w:val="1"/>
      <w:marLeft w:val="0"/>
      <w:marRight w:val="0"/>
      <w:marTop w:val="0"/>
      <w:marBottom w:val="0"/>
      <w:divBdr>
        <w:top w:val="none" w:sz="0" w:space="0" w:color="auto"/>
        <w:left w:val="none" w:sz="0" w:space="0" w:color="auto"/>
        <w:bottom w:val="none" w:sz="0" w:space="0" w:color="auto"/>
        <w:right w:val="none" w:sz="0" w:space="0" w:color="auto"/>
      </w:divBdr>
    </w:div>
    <w:div w:id="89552664">
      <w:bodyDiv w:val="1"/>
      <w:marLeft w:val="0"/>
      <w:marRight w:val="0"/>
      <w:marTop w:val="0"/>
      <w:marBottom w:val="0"/>
      <w:divBdr>
        <w:top w:val="none" w:sz="0" w:space="0" w:color="auto"/>
        <w:left w:val="none" w:sz="0" w:space="0" w:color="auto"/>
        <w:bottom w:val="none" w:sz="0" w:space="0" w:color="auto"/>
        <w:right w:val="none" w:sz="0" w:space="0" w:color="auto"/>
      </w:divBdr>
    </w:div>
    <w:div w:id="97526849">
      <w:bodyDiv w:val="1"/>
      <w:marLeft w:val="0"/>
      <w:marRight w:val="0"/>
      <w:marTop w:val="0"/>
      <w:marBottom w:val="0"/>
      <w:divBdr>
        <w:top w:val="none" w:sz="0" w:space="0" w:color="auto"/>
        <w:left w:val="none" w:sz="0" w:space="0" w:color="auto"/>
        <w:bottom w:val="none" w:sz="0" w:space="0" w:color="auto"/>
        <w:right w:val="none" w:sz="0" w:space="0" w:color="auto"/>
      </w:divBdr>
    </w:div>
    <w:div w:id="103426222">
      <w:bodyDiv w:val="1"/>
      <w:marLeft w:val="0"/>
      <w:marRight w:val="0"/>
      <w:marTop w:val="0"/>
      <w:marBottom w:val="0"/>
      <w:divBdr>
        <w:top w:val="none" w:sz="0" w:space="0" w:color="auto"/>
        <w:left w:val="none" w:sz="0" w:space="0" w:color="auto"/>
        <w:bottom w:val="none" w:sz="0" w:space="0" w:color="auto"/>
        <w:right w:val="none" w:sz="0" w:space="0" w:color="auto"/>
      </w:divBdr>
    </w:div>
    <w:div w:id="110325123">
      <w:bodyDiv w:val="1"/>
      <w:marLeft w:val="0"/>
      <w:marRight w:val="0"/>
      <w:marTop w:val="0"/>
      <w:marBottom w:val="0"/>
      <w:divBdr>
        <w:top w:val="none" w:sz="0" w:space="0" w:color="auto"/>
        <w:left w:val="none" w:sz="0" w:space="0" w:color="auto"/>
        <w:bottom w:val="none" w:sz="0" w:space="0" w:color="auto"/>
        <w:right w:val="none" w:sz="0" w:space="0" w:color="auto"/>
      </w:divBdr>
    </w:div>
    <w:div w:id="112209215">
      <w:bodyDiv w:val="1"/>
      <w:marLeft w:val="0"/>
      <w:marRight w:val="0"/>
      <w:marTop w:val="0"/>
      <w:marBottom w:val="0"/>
      <w:divBdr>
        <w:top w:val="none" w:sz="0" w:space="0" w:color="auto"/>
        <w:left w:val="none" w:sz="0" w:space="0" w:color="auto"/>
        <w:bottom w:val="none" w:sz="0" w:space="0" w:color="auto"/>
        <w:right w:val="none" w:sz="0" w:space="0" w:color="auto"/>
      </w:divBdr>
    </w:div>
    <w:div w:id="123279643">
      <w:bodyDiv w:val="1"/>
      <w:marLeft w:val="0"/>
      <w:marRight w:val="0"/>
      <w:marTop w:val="0"/>
      <w:marBottom w:val="0"/>
      <w:divBdr>
        <w:top w:val="none" w:sz="0" w:space="0" w:color="auto"/>
        <w:left w:val="none" w:sz="0" w:space="0" w:color="auto"/>
        <w:bottom w:val="none" w:sz="0" w:space="0" w:color="auto"/>
        <w:right w:val="none" w:sz="0" w:space="0" w:color="auto"/>
      </w:divBdr>
    </w:div>
    <w:div w:id="127170435">
      <w:bodyDiv w:val="1"/>
      <w:marLeft w:val="0"/>
      <w:marRight w:val="0"/>
      <w:marTop w:val="0"/>
      <w:marBottom w:val="0"/>
      <w:divBdr>
        <w:top w:val="none" w:sz="0" w:space="0" w:color="auto"/>
        <w:left w:val="none" w:sz="0" w:space="0" w:color="auto"/>
        <w:bottom w:val="none" w:sz="0" w:space="0" w:color="auto"/>
        <w:right w:val="none" w:sz="0" w:space="0" w:color="auto"/>
      </w:divBdr>
    </w:div>
    <w:div w:id="128979778">
      <w:bodyDiv w:val="1"/>
      <w:marLeft w:val="0"/>
      <w:marRight w:val="0"/>
      <w:marTop w:val="0"/>
      <w:marBottom w:val="0"/>
      <w:divBdr>
        <w:top w:val="none" w:sz="0" w:space="0" w:color="auto"/>
        <w:left w:val="none" w:sz="0" w:space="0" w:color="auto"/>
        <w:bottom w:val="none" w:sz="0" w:space="0" w:color="auto"/>
        <w:right w:val="none" w:sz="0" w:space="0" w:color="auto"/>
      </w:divBdr>
    </w:div>
    <w:div w:id="140386078">
      <w:bodyDiv w:val="1"/>
      <w:marLeft w:val="0"/>
      <w:marRight w:val="0"/>
      <w:marTop w:val="0"/>
      <w:marBottom w:val="0"/>
      <w:divBdr>
        <w:top w:val="none" w:sz="0" w:space="0" w:color="auto"/>
        <w:left w:val="none" w:sz="0" w:space="0" w:color="auto"/>
        <w:bottom w:val="none" w:sz="0" w:space="0" w:color="auto"/>
        <w:right w:val="none" w:sz="0" w:space="0" w:color="auto"/>
      </w:divBdr>
    </w:div>
    <w:div w:id="149836048">
      <w:bodyDiv w:val="1"/>
      <w:marLeft w:val="0"/>
      <w:marRight w:val="0"/>
      <w:marTop w:val="0"/>
      <w:marBottom w:val="0"/>
      <w:divBdr>
        <w:top w:val="none" w:sz="0" w:space="0" w:color="auto"/>
        <w:left w:val="none" w:sz="0" w:space="0" w:color="auto"/>
        <w:bottom w:val="none" w:sz="0" w:space="0" w:color="auto"/>
        <w:right w:val="none" w:sz="0" w:space="0" w:color="auto"/>
      </w:divBdr>
    </w:div>
    <w:div w:id="154296999">
      <w:bodyDiv w:val="1"/>
      <w:marLeft w:val="0"/>
      <w:marRight w:val="0"/>
      <w:marTop w:val="0"/>
      <w:marBottom w:val="0"/>
      <w:divBdr>
        <w:top w:val="none" w:sz="0" w:space="0" w:color="auto"/>
        <w:left w:val="none" w:sz="0" w:space="0" w:color="auto"/>
        <w:bottom w:val="none" w:sz="0" w:space="0" w:color="auto"/>
        <w:right w:val="none" w:sz="0" w:space="0" w:color="auto"/>
      </w:divBdr>
    </w:div>
    <w:div w:id="155151288">
      <w:bodyDiv w:val="1"/>
      <w:marLeft w:val="0"/>
      <w:marRight w:val="0"/>
      <w:marTop w:val="0"/>
      <w:marBottom w:val="0"/>
      <w:divBdr>
        <w:top w:val="none" w:sz="0" w:space="0" w:color="auto"/>
        <w:left w:val="none" w:sz="0" w:space="0" w:color="auto"/>
        <w:bottom w:val="none" w:sz="0" w:space="0" w:color="auto"/>
        <w:right w:val="none" w:sz="0" w:space="0" w:color="auto"/>
      </w:divBdr>
    </w:div>
    <w:div w:id="174074829">
      <w:bodyDiv w:val="1"/>
      <w:marLeft w:val="0"/>
      <w:marRight w:val="0"/>
      <w:marTop w:val="0"/>
      <w:marBottom w:val="0"/>
      <w:divBdr>
        <w:top w:val="none" w:sz="0" w:space="0" w:color="auto"/>
        <w:left w:val="none" w:sz="0" w:space="0" w:color="auto"/>
        <w:bottom w:val="none" w:sz="0" w:space="0" w:color="auto"/>
        <w:right w:val="none" w:sz="0" w:space="0" w:color="auto"/>
      </w:divBdr>
    </w:div>
    <w:div w:id="191496318">
      <w:bodyDiv w:val="1"/>
      <w:marLeft w:val="0"/>
      <w:marRight w:val="0"/>
      <w:marTop w:val="0"/>
      <w:marBottom w:val="0"/>
      <w:divBdr>
        <w:top w:val="none" w:sz="0" w:space="0" w:color="auto"/>
        <w:left w:val="none" w:sz="0" w:space="0" w:color="auto"/>
        <w:bottom w:val="none" w:sz="0" w:space="0" w:color="auto"/>
        <w:right w:val="none" w:sz="0" w:space="0" w:color="auto"/>
      </w:divBdr>
    </w:div>
    <w:div w:id="201216539">
      <w:bodyDiv w:val="1"/>
      <w:marLeft w:val="0"/>
      <w:marRight w:val="0"/>
      <w:marTop w:val="0"/>
      <w:marBottom w:val="0"/>
      <w:divBdr>
        <w:top w:val="none" w:sz="0" w:space="0" w:color="auto"/>
        <w:left w:val="none" w:sz="0" w:space="0" w:color="auto"/>
        <w:bottom w:val="none" w:sz="0" w:space="0" w:color="auto"/>
        <w:right w:val="none" w:sz="0" w:space="0" w:color="auto"/>
      </w:divBdr>
    </w:div>
    <w:div w:id="218328602">
      <w:bodyDiv w:val="1"/>
      <w:marLeft w:val="0"/>
      <w:marRight w:val="0"/>
      <w:marTop w:val="0"/>
      <w:marBottom w:val="0"/>
      <w:divBdr>
        <w:top w:val="none" w:sz="0" w:space="0" w:color="auto"/>
        <w:left w:val="none" w:sz="0" w:space="0" w:color="auto"/>
        <w:bottom w:val="none" w:sz="0" w:space="0" w:color="auto"/>
        <w:right w:val="none" w:sz="0" w:space="0" w:color="auto"/>
      </w:divBdr>
    </w:div>
    <w:div w:id="220021071">
      <w:bodyDiv w:val="1"/>
      <w:marLeft w:val="0"/>
      <w:marRight w:val="0"/>
      <w:marTop w:val="0"/>
      <w:marBottom w:val="0"/>
      <w:divBdr>
        <w:top w:val="none" w:sz="0" w:space="0" w:color="auto"/>
        <w:left w:val="none" w:sz="0" w:space="0" w:color="auto"/>
        <w:bottom w:val="none" w:sz="0" w:space="0" w:color="auto"/>
        <w:right w:val="none" w:sz="0" w:space="0" w:color="auto"/>
      </w:divBdr>
    </w:div>
    <w:div w:id="224799963">
      <w:bodyDiv w:val="1"/>
      <w:marLeft w:val="0"/>
      <w:marRight w:val="0"/>
      <w:marTop w:val="0"/>
      <w:marBottom w:val="0"/>
      <w:divBdr>
        <w:top w:val="none" w:sz="0" w:space="0" w:color="auto"/>
        <w:left w:val="none" w:sz="0" w:space="0" w:color="auto"/>
        <w:bottom w:val="none" w:sz="0" w:space="0" w:color="auto"/>
        <w:right w:val="none" w:sz="0" w:space="0" w:color="auto"/>
      </w:divBdr>
    </w:div>
    <w:div w:id="225773240">
      <w:bodyDiv w:val="1"/>
      <w:marLeft w:val="0"/>
      <w:marRight w:val="0"/>
      <w:marTop w:val="0"/>
      <w:marBottom w:val="0"/>
      <w:divBdr>
        <w:top w:val="none" w:sz="0" w:space="0" w:color="auto"/>
        <w:left w:val="none" w:sz="0" w:space="0" w:color="auto"/>
        <w:bottom w:val="none" w:sz="0" w:space="0" w:color="auto"/>
        <w:right w:val="none" w:sz="0" w:space="0" w:color="auto"/>
      </w:divBdr>
    </w:div>
    <w:div w:id="235554556">
      <w:bodyDiv w:val="1"/>
      <w:marLeft w:val="0"/>
      <w:marRight w:val="0"/>
      <w:marTop w:val="0"/>
      <w:marBottom w:val="0"/>
      <w:divBdr>
        <w:top w:val="none" w:sz="0" w:space="0" w:color="auto"/>
        <w:left w:val="none" w:sz="0" w:space="0" w:color="auto"/>
        <w:bottom w:val="none" w:sz="0" w:space="0" w:color="auto"/>
        <w:right w:val="none" w:sz="0" w:space="0" w:color="auto"/>
      </w:divBdr>
    </w:div>
    <w:div w:id="235556681">
      <w:bodyDiv w:val="1"/>
      <w:marLeft w:val="0"/>
      <w:marRight w:val="0"/>
      <w:marTop w:val="0"/>
      <w:marBottom w:val="0"/>
      <w:divBdr>
        <w:top w:val="none" w:sz="0" w:space="0" w:color="auto"/>
        <w:left w:val="none" w:sz="0" w:space="0" w:color="auto"/>
        <w:bottom w:val="none" w:sz="0" w:space="0" w:color="auto"/>
        <w:right w:val="none" w:sz="0" w:space="0" w:color="auto"/>
      </w:divBdr>
    </w:div>
    <w:div w:id="254945493">
      <w:bodyDiv w:val="1"/>
      <w:marLeft w:val="0"/>
      <w:marRight w:val="0"/>
      <w:marTop w:val="0"/>
      <w:marBottom w:val="0"/>
      <w:divBdr>
        <w:top w:val="none" w:sz="0" w:space="0" w:color="auto"/>
        <w:left w:val="none" w:sz="0" w:space="0" w:color="auto"/>
        <w:bottom w:val="none" w:sz="0" w:space="0" w:color="auto"/>
        <w:right w:val="none" w:sz="0" w:space="0" w:color="auto"/>
      </w:divBdr>
    </w:div>
    <w:div w:id="273679228">
      <w:bodyDiv w:val="1"/>
      <w:marLeft w:val="0"/>
      <w:marRight w:val="0"/>
      <w:marTop w:val="0"/>
      <w:marBottom w:val="0"/>
      <w:divBdr>
        <w:top w:val="none" w:sz="0" w:space="0" w:color="auto"/>
        <w:left w:val="none" w:sz="0" w:space="0" w:color="auto"/>
        <w:bottom w:val="none" w:sz="0" w:space="0" w:color="auto"/>
        <w:right w:val="none" w:sz="0" w:space="0" w:color="auto"/>
      </w:divBdr>
    </w:div>
    <w:div w:id="284820759">
      <w:bodyDiv w:val="1"/>
      <w:marLeft w:val="0"/>
      <w:marRight w:val="0"/>
      <w:marTop w:val="0"/>
      <w:marBottom w:val="0"/>
      <w:divBdr>
        <w:top w:val="none" w:sz="0" w:space="0" w:color="auto"/>
        <w:left w:val="none" w:sz="0" w:space="0" w:color="auto"/>
        <w:bottom w:val="none" w:sz="0" w:space="0" w:color="auto"/>
        <w:right w:val="none" w:sz="0" w:space="0" w:color="auto"/>
      </w:divBdr>
    </w:div>
    <w:div w:id="291643574">
      <w:bodyDiv w:val="1"/>
      <w:marLeft w:val="0"/>
      <w:marRight w:val="0"/>
      <w:marTop w:val="0"/>
      <w:marBottom w:val="0"/>
      <w:divBdr>
        <w:top w:val="none" w:sz="0" w:space="0" w:color="auto"/>
        <w:left w:val="none" w:sz="0" w:space="0" w:color="auto"/>
        <w:bottom w:val="none" w:sz="0" w:space="0" w:color="auto"/>
        <w:right w:val="none" w:sz="0" w:space="0" w:color="auto"/>
      </w:divBdr>
    </w:div>
    <w:div w:id="298150854">
      <w:bodyDiv w:val="1"/>
      <w:marLeft w:val="0"/>
      <w:marRight w:val="0"/>
      <w:marTop w:val="0"/>
      <w:marBottom w:val="0"/>
      <w:divBdr>
        <w:top w:val="none" w:sz="0" w:space="0" w:color="auto"/>
        <w:left w:val="none" w:sz="0" w:space="0" w:color="auto"/>
        <w:bottom w:val="none" w:sz="0" w:space="0" w:color="auto"/>
        <w:right w:val="none" w:sz="0" w:space="0" w:color="auto"/>
      </w:divBdr>
    </w:div>
    <w:div w:id="306858119">
      <w:bodyDiv w:val="1"/>
      <w:marLeft w:val="0"/>
      <w:marRight w:val="0"/>
      <w:marTop w:val="0"/>
      <w:marBottom w:val="0"/>
      <w:divBdr>
        <w:top w:val="none" w:sz="0" w:space="0" w:color="auto"/>
        <w:left w:val="none" w:sz="0" w:space="0" w:color="auto"/>
        <w:bottom w:val="none" w:sz="0" w:space="0" w:color="auto"/>
        <w:right w:val="none" w:sz="0" w:space="0" w:color="auto"/>
      </w:divBdr>
    </w:div>
    <w:div w:id="311645045">
      <w:bodyDiv w:val="1"/>
      <w:marLeft w:val="0"/>
      <w:marRight w:val="0"/>
      <w:marTop w:val="0"/>
      <w:marBottom w:val="0"/>
      <w:divBdr>
        <w:top w:val="none" w:sz="0" w:space="0" w:color="auto"/>
        <w:left w:val="none" w:sz="0" w:space="0" w:color="auto"/>
        <w:bottom w:val="none" w:sz="0" w:space="0" w:color="auto"/>
        <w:right w:val="none" w:sz="0" w:space="0" w:color="auto"/>
      </w:divBdr>
    </w:div>
    <w:div w:id="315300822">
      <w:bodyDiv w:val="1"/>
      <w:marLeft w:val="0"/>
      <w:marRight w:val="0"/>
      <w:marTop w:val="0"/>
      <w:marBottom w:val="0"/>
      <w:divBdr>
        <w:top w:val="none" w:sz="0" w:space="0" w:color="auto"/>
        <w:left w:val="none" w:sz="0" w:space="0" w:color="auto"/>
        <w:bottom w:val="none" w:sz="0" w:space="0" w:color="auto"/>
        <w:right w:val="none" w:sz="0" w:space="0" w:color="auto"/>
      </w:divBdr>
    </w:div>
    <w:div w:id="325018036">
      <w:bodyDiv w:val="1"/>
      <w:marLeft w:val="0"/>
      <w:marRight w:val="0"/>
      <w:marTop w:val="0"/>
      <w:marBottom w:val="0"/>
      <w:divBdr>
        <w:top w:val="none" w:sz="0" w:space="0" w:color="auto"/>
        <w:left w:val="none" w:sz="0" w:space="0" w:color="auto"/>
        <w:bottom w:val="none" w:sz="0" w:space="0" w:color="auto"/>
        <w:right w:val="none" w:sz="0" w:space="0" w:color="auto"/>
      </w:divBdr>
    </w:div>
    <w:div w:id="339280546">
      <w:bodyDiv w:val="1"/>
      <w:marLeft w:val="0"/>
      <w:marRight w:val="0"/>
      <w:marTop w:val="0"/>
      <w:marBottom w:val="0"/>
      <w:divBdr>
        <w:top w:val="none" w:sz="0" w:space="0" w:color="auto"/>
        <w:left w:val="none" w:sz="0" w:space="0" w:color="auto"/>
        <w:bottom w:val="none" w:sz="0" w:space="0" w:color="auto"/>
        <w:right w:val="none" w:sz="0" w:space="0" w:color="auto"/>
      </w:divBdr>
    </w:div>
    <w:div w:id="342785793">
      <w:bodyDiv w:val="1"/>
      <w:marLeft w:val="0"/>
      <w:marRight w:val="0"/>
      <w:marTop w:val="0"/>
      <w:marBottom w:val="0"/>
      <w:divBdr>
        <w:top w:val="none" w:sz="0" w:space="0" w:color="auto"/>
        <w:left w:val="none" w:sz="0" w:space="0" w:color="auto"/>
        <w:bottom w:val="none" w:sz="0" w:space="0" w:color="auto"/>
        <w:right w:val="none" w:sz="0" w:space="0" w:color="auto"/>
      </w:divBdr>
    </w:div>
    <w:div w:id="359816331">
      <w:bodyDiv w:val="1"/>
      <w:marLeft w:val="0"/>
      <w:marRight w:val="0"/>
      <w:marTop w:val="0"/>
      <w:marBottom w:val="0"/>
      <w:divBdr>
        <w:top w:val="none" w:sz="0" w:space="0" w:color="auto"/>
        <w:left w:val="none" w:sz="0" w:space="0" w:color="auto"/>
        <w:bottom w:val="none" w:sz="0" w:space="0" w:color="auto"/>
        <w:right w:val="none" w:sz="0" w:space="0" w:color="auto"/>
      </w:divBdr>
    </w:div>
    <w:div w:id="376860276">
      <w:bodyDiv w:val="1"/>
      <w:marLeft w:val="0"/>
      <w:marRight w:val="0"/>
      <w:marTop w:val="0"/>
      <w:marBottom w:val="0"/>
      <w:divBdr>
        <w:top w:val="none" w:sz="0" w:space="0" w:color="auto"/>
        <w:left w:val="none" w:sz="0" w:space="0" w:color="auto"/>
        <w:bottom w:val="none" w:sz="0" w:space="0" w:color="auto"/>
        <w:right w:val="none" w:sz="0" w:space="0" w:color="auto"/>
      </w:divBdr>
    </w:div>
    <w:div w:id="401373020">
      <w:bodyDiv w:val="1"/>
      <w:marLeft w:val="0"/>
      <w:marRight w:val="0"/>
      <w:marTop w:val="0"/>
      <w:marBottom w:val="0"/>
      <w:divBdr>
        <w:top w:val="none" w:sz="0" w:space="0" w:color="auto"/>
        <w:left w:val="none" w:sz="0" w:space="0" w:color="auto"/>
        <w:bottom w:val="none" w:sz="0" w:space="0" w:color="auto"/>
        <w:right w:val="none" w:sz="0" w:space="0" w:color="auto"/>
      </w:divBdr>
    </w:div>
    <w:div w:id="425617393">
      <w:bodyDiv w:val="1"/>
      <w:marLeft w:val="0"/>
      <w:marRight w:val="0"/>
      <w:marTop w:val="0"/>
      <w:marBottom w:val="0"/>
      <w:divBdr>
        <w:top w:val="none" w:sz="0" w:space="0" w:color="auto"/>
        <w:left w:val="none" w:sz="0" w:space="0" w:color="auto"/>
        <w:bottom w:val="none" w:sz="0" w:space="0" w:color="auto"/>
        <w:right w:val="none" w:sz="0" w:space="0" w:color="auto"/>
      </w:divBdr>
    </w:div>
    <w:div w:id="425927326">
      <w:bodyDiv w:val="1"/>
      <w:marLeft w:val="0"/>
      <w:marRight w:val="0"/>
      <w:marTop w:val="0"/>
      <w:marBottom w:val="0"/>
      <w:divBdr>
        <w:top w:val="none" w:sz="0" w:space="0" w:color="auto"/>
        <w:left w:val="none" w:sz="0" w:space="0" w:color="auto"/>
        <w:bottom w:val="none" w:sz="0" w:space="0" w:color="auto"/>
        <w:right w:val="none" w:sz="0" w:space="0" w:color="auto"/>
      </w:divBdr>
    </w:div>
    <w:div w:id="439031593">
      <w:bodyDiv w:val="1"/>
      <w:marLeft w:val="0"/>
      <w:marRight w:val="0"/>
      <w:marTop w:val="0"/>
      <w:marBottom w:val="0"/>
      <w:divBdr>
        <w:top w:val="none" w:sz="0" w:space="0" w:color="auto"/>
        <w:left w:val="none" w:sz="0" w:space="0" w:color="auto"/>
        <w:bottom w:val="none" w:sz="0" w:space="0" w:color="auto"/>
        <w:right w:val="none" w:sz="0" w:space="0" w:color="auto"/>
      </w:divBdr>
    </w:div>
    <w:div w:id="439689854">
      <w:bodyDiv w:val="1"/>
      <w:marLeft w:val="0"/>
      <w:marRight w:val="0"/>
      <w:marTop w:val="0"/>
      <w:marBottom w:val="0"/>
      <w:divBdr>
        <w:top w:val="none" w:sz="0" w:space="0" w:color="auto"/>
        <w:left w:val="none" w:sz="0" w:space="0" w:color="auto"/>
        <w:bottom w:val="none" w:sz="0" w:space="0" w:color="auto"/>
        <w:right w:val="none" w:sz="0" w:space="0" w:color="auto"/>
      </w:divBdr>
    </w:div>
    <w:div w:id="460224731">
      <w:bodyDiv w:val="1"/>
      <w:marLeft w:val="0"/>
      <w:marRight w:val="0"/>
      <w:marTop w:val="0"/>
      <w:marBottom w:val="0"/>
      <w:divBdr>
        <w:top w:val="none" w:sz="0" w:space="0" w:color="auto"/>
        <w:left w:val="none" w:sz="0" w:space="0" w:color="auto"/>
        <w:bottom w:val="none" w:sz="0" w:space="0" w:color="auto"/>
        <w:right w:val="none" w:sz="0" w:space="0" w:color="auto"/>
      </w:divBdr>
    </w:div>
    <w:div w:id="471097834">
      <w:bodyDiv w:val="1"/>
      <w:marLeft w:val="0"/>
      <w:marRight w:val="0"/>
      <w:marTop w:val="0"/>
      <w:marBottom w:val="0"/>
      <w:divBdr>
        <w:top w:val="none" w:sz="0" w:space="0" w:color="auto"/>
        <w:left w:val="none" w:sz="0" w:space="0" w:color="auto"/>
        <w:bottom w:val="none" w:sz="0" w:space="0" w:color="auto"/>
        <w:right w:val="none" w:sz="0" w:space="0" w:color="auto"/>
      </w:divBdr>
    </w:div>
    <w:div w:id="474301733">
      <w:bodyDiv w:val="1"/>
      <w:marLeft w:val="0"/>
      <w:marRight w:val="0"/>
      <w:marTop w:val="0"/>
      <w:marBottom w:val="0"/>
      <w:divBdr>
        <w:top w:val="none" w:sz="0" w:space="0" w:color="auto"/>
        <w:left w:val="none" w:sz="0" w:space="0" w:color="auto"/>
        <w:bottom w:val="none" w:sz="0" w:space="0" w:color="auto"/>
        <w:right w:val="none" w:sz="0" w:space="0" w:color="auto"/>
      </w:divBdr>
    </w:div>
    <w:div w:id="484781013">
      <w:bodyDiv w:val="1"/>
      <w:marLeft w:val="0"/>
      <w:marRight w:val="0"/>
      <w:marTop w:val="0"/>
      <w:marBottom w:val="0"/>
      <w:divBdr>
        <w:top w:val="none" w:sz="0" w:space="0" w:color="auto"/>
        <w:left w:val="none" w:sz="0" w:space="0" w:color="auto"/>
        <w:bottom w:val="none" w:sz="0" w:space="0" w:color="auto"/>
        <w:right w:val="none" w:sz="0" w:space="0" w:color="auto"/>
      </w:divBdr>
    </w:div>
    <w:div w:id="505244156">
      <w:bodyDiv w:val="1"/>
      <w:marLeft w:val="0"/>
      <w:marRight w:val="0"/>
      <w:marTop w:val="0"/>
      <w:marBottom w:val="0"/>
      <w:divBdr>
        <w:top w:val="none" w:sz="0" w:space="0" w:color="auto"/>
        <w:left w:val="none" w:sz="0" w:space="0" w:color="auto"/>
        <w:bottom w:val="none" w:sz="0" w:space="0" w:color="auto"/>
        <w:right w:val="none" w:sz="0" w:space="0" w:color="auto"/>
      </w:divBdr>
    </w:div>
    <w:div w:id="505289606">
      <w:bodyDiv w:val="1"/>
      <w:marLeft w:val="0"/>
      <w:marRight w:val="0"/>
      <w:marTop w:val="0"/>
      <w:marBottom w:val="0"/>
      <w:divBdr>
        <w:top w:val="none" w:sz="0" w:space="0" w:color="auto"/>
        <w:left w:val="none" w:sz="0" w:space="0" w:color="auto"/>
        <w:bottom w:val="none" w:sz="0" w:space="0" w:color="auto"/>
        <w:right w:val="none" w:sz="0" w:space="0" w:color="auto"/>
      </w:divBdr>
    </w:div>
    <w:div w:id="552888660">
      <w:bodyDiv w:val="1"/>
      <w:marLeft w:val="0"/>
      <w:marRight w:val="0"/>
      <w:marTop w:val="0"/>
      <w:marBottom w:val="0"/>
      <w:divBdr>
        <w:top w:val="none" w:sz="0" w:space="0" w:color="auto"/>
        <w:left w:val="none" w:sz="0" w:space="0" w:color="auto"/>
        <w:bottom w:val="none" w:sz="0" w:space="0" w:color="auto"/>
        <w:right w:val="none" w:sz="0" w:space="0" w:color="auto"/>
      </w:divBdr>
    </w:div>
    <w:div w:id="567303668">
      <w:bodyDiv w:val="1"/>
      <w:marLeft w:val="0"/>
      <w:marRight w:val="0"/>
      <w:marTop w:val="0"/>
      <w:marBottom w:val="0"/>
      <w:divBdr>
        <w:top w:val="none" w:sz="0" w:space="0" w:color="auto"/>
        <w:left w:val="none" w:sz="0" w:space="0" w:color="auto"/>
        <w:bottom w:val="none" w:sz="0" w:space="0" w:color="auto"/>
        <w:right w:val="none" w:sz="0" w:space="0" w:color="auto"/>
      </w:divBdr>
    </w:div>
    <w:div w:id="568884209">
      <w:bodyDiv w:val="1"/>
      <w:marLeft w:val="0"/>
      <w:marRight w:val="0"/>
      <w:marTop w:val="0"/>
      <w:marBottom w:val="0"/>
      <w:divBdr>
        <w:top w:val="none" w:sz="0" w:space="0" w:color="auto"/>
        <w:left w:val="none" w:sz="0" w:space="0" w:color="auto"/>
        <w:bottom w:val="none" w:sz="0" w:space="0" w:color="auto"/>
        <w:right w:val="none" w:sz="0" w:space="0" w:color="auto"/>
      </w:divBdr>
    </w:div>
    <w:div w:id="595864717">
      <w:bodyDiv w:val="1"/>
      <w:marLeft w:val="0"/>
      <w:marRight w:val="0"/>
      <w:marTop w:val="0"/>
      <w:marBottom w:val="0"/>
      <w:divBdr>
        <w:top w:val="none" w:sz="0" w:space="0" w:color="auto"/>
        <w:left w:val="none" w:sz="0" w:space="0" w:color="auto"/>
        <w:bottom w:val="none" w:sz="0" w:space="0" w:color="auto"/>
        <w:right w:val="none" w:sz="0" w:space="0" w:color="auto"/>
      </w:divBdr>
    </w:div>
    <w:div w:id="657923218">
      <w:bodyDiv w:val="1"/>
      <w:marLeft w:val="0"/>
      <w:marRight w:val="0"/>
      <w:marTop w:val="0"/>
      <w:marBottom w:val="0"/>
      <w:divBdr>
        <w:top w:val="none" w:sz="0" w:space="0" w:color="auto"/>
        <w:left w:val="none" w:sz="0" w:space="0" w:color="auto"/>
        <w:bottom w:val="none" w:sz="0" w:space="0" w:color="auto"/>
        <w:right w:val="none" w:sz="0" w:space="0" w:color="auto"/>
      </w:divBdr>
    </w:div>
    <w:div w:id="659886446">
      <w:bodyDiv w:val="1"/>
      <w:marLeft w:val="0"/>
      <w:marRight w:val="0"/>
      <w:marTop w:val="0"/>
      <w:marBottom w:val="0"/>
      <w:divBdr>
        <w:top w:val="none" w:sz="0" w:space="0" w:color="auto"/>
        <w:left w:val="none" w:sz="0" w:space="0" w:color="auto"/>
        <w:bottom w:val="none" w:sz="0" w:space="0" w:color="auto"/>
        <w:right w:val="none" w:sz="0" w:space="0" w:color="auto"/>
      </w:divBdr>
    </w:div>
    <w:div w:id="664940297">
      <w:bodyDiv w:val="1"/>
      <w:marLeft w:val="0"/>
      <w:marRight w:val="0"/>
      <w:marTop w:val="0"/>
      <w:marBottom w:val="0"/>
      <w:divBdr>
        <w:top w:val="none" w:sz="0" w:space="0" w:color="auto"/>
        <w:left w:val="none" w:sz="0" w:space="0" w:color="auto"/>
        <w:bottom w:val="none" w:sz="0" w:space="0" w:color="auto"/>
        <w:right w:val="none" w:sz="0" w:space="0" w:color="auto"/>
      </w:divBdr>
    </w:div>
    <w:div w:id="685400485">
      <w:bodyDiv w:val="1"/>
      <w:marLeft w:val="0"/>
      <w:marRight w:val="0"/>
      <w:marTop w:val="0"/>
      <w:marBottom w:val="0"/>
      <w:divBdr>
        <w:top w:val="none" w:sz="0" w:space="0" w:color="auto"/>
        <w:left w:val="none" w:sz="0" w:space="0" w:color="auto"/>
        <w:bottom w:val="none" w:sz="0" w:space="0" w:color="auto"/>
        <w:right w:val="none" w:sz="0" w:space="0" w:color="auto"/>
      </w:divBdr>
    </w:div>
    <w:div w:id="688290323">
      <w:bodyDiv w:val="1"/>
      <w:marLeft w:val="0"/>
      <w:marRight w:val="0"/>
      <w:marTop w:val="0"/>
      <w:marBottom w:val="0"/>
      <w:divBdr>
        <w:top w:val="none" w:sz="0" w:space="0" w:color="auto"/>
        <w:left w:val="none" w:sz="0" w:space="0" w:color="auto"/>
        <w:bottom w:val="none" w:sz="0" w:space="0" w:color="auto"/>
        <w:right w:val="none" w:sz="0" w:space="0" w:color="auto"/>
      </w:divBdr>
    </w:div>
    <w:div w:id="699553328">
      <w:bodyDiv w:val="1"/>
      <w:marLeft w:val="0"/>
      <w:marRight w:val="0"/>
      <w:marTop w:val="0"/>
      <w:marBottom w:val="0"/>
      <w:divBdr>
        <w:top w:val="none" w:sz="0" w:space="0" w:color="auto"/>
        <w:left w:val="none" w:sz="0" w:space="0" w:color="auto"/>
        <w:bottom w:val="none" w:sz="0" w:space="0" w:color="auto"/>
        <w:right w:val="none" w:sz="0" w:space="0" w:color="auto"/>
      </w:divBdr>
    </w:div>
    <w:div w:id="700663430">
      <w:bodyDiv w:val="1"/>
      <w:marLeft w:val="0"/>
      <w:marRight w:val="0"/>
      <w:marTop w:val="0"/>
      <w:marBottom w:val="0"/>
      <w:divBdr>
        <w:top w:val="none" w:sz="0" w:space="0" w:color="auto"/>
        <w:left w:val="none" w:sz="0" w:space="0" w:color="auto"/>
        <w:bottom w:val="none" w:sz="0" w:space="0" w:color="auto"/>
        <w:right w:val="none" w:sz="0" w:space="0" w:color="auto"/>
      </w:divBdr>
    </w:div>
    <w:div w:id="714815940">
      <w:bodyDiv w:val="1"/>
      <w:marLeft w:val="0"/>
      <w:marRight w:val="0"/>
      <w:marTop w:val="0"/>
      <w:marBottom w:val="0"/>
      <w:divBdr>
        <w:top w:val="none" w:sz="0" w:space="0" w:color="auto"/>
        <w:left w:val="none" w:sz="0" w:space="0" w:color="auto"/>
        <w:bottom w:val="none" w:sz="0" w:space="0" w:color="auto"/>
        <w:right w:val="none" w:sz="0" w:space="0" w:color="auto"/>
      </w:divBdr>
    </w:div>
    <w:div w:id="735854468">
      <w:bodyDiv w:val="1"/>
      <w:marLeft w:val="0"/>
      <w:marRight w:val="0"/>
      <w:marTop w:val="0"/>
      <w:marBottom w:val="0"/>
      <w:divBdr>
        <w:top w:val="none" w:sz="0" w:space="0" w:color="auto"/>
        <w:left w:val="none" w:sz="0" w:space="0" w:color="auto"/>
        <w:bottom w:val="none" w:sz="0" w:space="0" w:color="auto"/>
        <w:right w:val="none" w:sz="0" w:space="0" w:color="auto"/>
      </w:divBdr>
    </w:div>
    <w:div w:id="746877079">
      <w:bodyDiv w:val="1"/>
      <w:marLeft w:val="0"/>
      <w:marRight w:val="0"/>
      <w:marTop w:val="0"/>
      <w:marBottom w:val="0"/>
      <w:divBdr>
        <w:top w:val="none" w:sz="0" w:space="0" w:color="auto"/>
        <w:left w:val="none" w:sz="0" w:space="0" w:color="auto"/>
        <w:bottom w:val="none" w:sz="0" w:space="0" w:color="auto"/>
        <w:right w:val="none" w:sz="0" w:space="0" w:color="auto"/>
      </w:divBdr>
    </w:div>
    <w:div w:id="748308588">
      <w:bodyDiv w:val="1"/>
      <w:marLeft w:val="0"/>
      <w:marRight w:val="0"/>
      <w:marTop w:val="0"/>
      <w:marBottom w:val="0"/>
      <w:divBdr>
        <w:top w:val="none" w:sz="0" w:space="0" w:color="auto"/>
        <w:left w:val="none" w:sz="0" w:space="0" w:color="auto"/>
        <w:bottom w:val="none" w:sz="0" w:space="0" w:color="auto"/>
        <w:right w:val="none" w:sz="0" w:space="0" w:color="auto"/>
      </w:divBdr>
    </w:div>
    <w:div w:id="749733399">
      <w:bodyDiv w:val="1"/>
      <w:marLeft w:val="0"/>
      <w:marRight w:val="0"/>
      <w:marTop w:val="0"/>
      <w:marBottom w:val="0"/>
      <w:divBdr>
        <w:top w:val="none" w:sz="0" w:space="0" w:color="auto"/>
        <w:left w:val="none" w:sz="0" w:space="0" w:color="auto"/>
        <w:bottom w:val="none" w:sz="0" w:space="0" w:color="auto"/>
        <w:right w:val="none" w:sz="0" w:space="0" w:color="auto"/>
      </w:divBdr>
    </w:div>
    <w:div w:id="750659118">
      <w:bodyDiv w:val="1"/>
      <w:marLeft w:val="0"/>
      <w:marRight w:val="0"/>
      <w:marTop w:val="0"/>
      <w:marBottom w:val="0"/>
      <w:divBdr>
        <w:top w:val="none" w:sz="0" w:space="0" w:color="auto"/>
        <w:left w:val="none" w:sz="0" w:space="0" w:color="auto"/>
        <w:bottom w:val="none" w:sz="0" w:space="0" w:color="auto"/>
        <w:right w:val="none" w:sz="0" w:space="0" w:color="auto"/>
      </w:divBdr>
    </w:div>
    <w:div w:id="750741344">
      <w:bodyDiv w:val="1"/>
      <w:marLeft w:val="0"/>
      <w:marRight w:val="0"/>
      <w:marTop w:val="0"/>
      <w:marBottom w:val="0"/>
      <w:divBdr>
        <w:top w:val="none" w:sz="0" w:space="0" w:color="auto"/>
        <w:left w:val="none" w:sz="0" w:space="0" w:color="auto"/>
        <w:bottom w:val="none" w:sz="0" w:space="0" w:color="auto"/>
        <w:right w:val="none" w:sz="0" w:space="0" w:color="auto"/>
      </w:divBdr>
    </w:div>
    <w:div w:id="762608246">
      <w:bodyDiv w:val="1"/>
      <w:marLeft w:val="0"/>
      <w:marRight w:val="0"/>
      <w:marTop w:val="0"/>
      <w:marBottom w:val="0"/>
      <w:divBdr>
        <w:top w:val="none" w:sz="0" w:space="0" w:color="auto"/>
        <w:left w:val="none" w:sz="0" w:space="0" w:color="auto"/>
        <w:bottom w:val="none" w:sz="0" w:space="0" w:color="auto"/>
        <w:right w:val="none" w:sz="0" w:space="0" w:color="auto"/>
      </w:divBdr>
    </w:div>
    <w:div w:id="780418438">
      <w:bodyDiv w:val="1"/>
      <w:marLeft w:val="0"/>
      <w:marRight w:val="0"/>
      <w:marTop w:val="0"/>
      <w:marBottom w:val="0"/>
      <w:divBdr>
        <w:top w:val="none" w:sz="0" w:space="0" w:color="auto"/>
        <w:left w:val="none" w:sz="0" w:space="0" w:color="auto"/>
        <w:bottom w:val="none" w:sz="0" w:space="0" w:color="auto"/>
        <w:right w:val="none" w:sz="0" w:space="0" w:color="auto"/>
      </w:divBdr>
    </w:div>
    <w:div w:id="783115803">
      <w:bodyDiv w:val="1"/>
      <w:marLeft w:val="0"/>
      <w:marRight w:val="0"/>
      <w:marTop w:val="0"/>
      <w:marBottom w:val="0"/>
      <w:divBdr>
        <w:top w:val="none" w:sz="0" w:space="0" w:color="auto"/>
        <w:left w:val="none" w:sz="0" w:space="0" w:color="auto"/>
        <w:bottom w:val="none" w:sz="0" w:space="0" w:color="auto"/>
        <w:right w:val="none" w:sz="0" w:space="0" w:color="auto"/>
      </w:divBdr>
    </w:div>
    <w:div w:id="788624196">
      <w:bodyDiv w:val="1"/>
      <w:marLeft w:val="0"/>
      <w:marRight w:val="0"/>
      <w:marTop w:val="0"/>
      <w:marBottom w:val="0"/>
      <w:divBdr>
        <w:top w:val="none" w:sz="0" w:space="0" w:color="auto"/>
        <w:left w:val="none" w:sz="0" w:space="0" w:color="auto"/>
        <w:bottom w:val="none" w:sz="0" w:space="0" w:color="auto"/>
        <w:right w:val="none" w:sz="0" w:space="0" w:color="auto"/>
      </w:divBdr>
    </w:div>
    <w:div w:id="810636347">
      <w:bodyDiv w:val="1"/>
      <w:marLeft w:val="0"/>
      <w:marRight w:val="0"/>
      <w:marTop w:val="0"/>
      <w:marBottom w:val="0"/>
      <w:divBdr>
        <w:top w:val="none" w:sz="0" w:space="0" w:color="auto"/>
        <w:left w:val="none" w:sz="0" w:space="0" w:color="auto"/>
        <w:bottom w:val="none" w:sz="0" w:space="0" w:color="auto"/>
        <w:right w:val="none" w:sz="0" w:space="0" w:color="auto"/>
      </w:divBdr>
    </w:div>
    <w:div w:id="817528339">
      <w:bodyDiv w:val="1"/>
      <w:marLeft w:val="0"/>
      <w:marRight w:val="0"/>
      <w:marTop w:val="0"/>
      <w:marBottom w:val="0"/>
      <w:divBdr>
        <w:top w:val="none" w:sz="0" w:space="0" w:color="auto"/>
        <w:left w:val="none" w:sz="0" w:space="0" w:color="auto"/>
        <w:bottom w:val="none" w:sz="0" w:space="0" w:color="auto"/>
        <w:right w:val="none" w:sz="0" w:space="0" w:color="auto"/>
      </w:divBdr>
    </w:div>
    <w:div w:id="819351206">
      <w:bodyDiv w:val="1"/>
      <w:marLeft w:val="0"/>
      <w:marRight w:val="0"/>
      <w:marTop w:val="0"/>
      <w:marBottom w:val="0"/>
      <w:divBdr>
        <w:top w:val="none" w:sz="0" w:space="0" w:color="auto"/>
        <w:left w:val="none" w:sz="0" w:space="0" w:color="auto"/>
        <w:bottom w:val="none" w:sz="0" w:space="0" w:color="auto"/>
        <w:right w:val="none" w:sz="0" w:space="0" w:color="auto"/>
      </w:divBdr>
    </w:div>
    <w:div w:id="852183378">
      <w:bodyDiv w:val="1"/>
      <w:marLeft w:val="0"/>
      <w:marRight w:val="0"/>
      <w:marTop w:val="0"/>
      <w:marBottom w:val="0"/>
      <w:divBdr>
        <w:top w:val="none" w:sz="0" w:space="0" w:color="auto"/>
        <w:left w:val="none" w:sz="0" w:space="0" w:color="auto"/>
        <w:bottom w:val="none" w:sz="0" w:space="0" w:color="auto"/>
        <w:right w:val="none" w:sz="0" w:space="0" w:color="auto"/>
      </w:divBdr>
    </w:div>
    <w:div w:id="860826760">
      <w:bodyDiv w:val="1"/>
      <w:marLeft w:val="0"/>
      <w:marRight w:val="0"/>
      <w:marTop w:val="0"/>
      <w:marBottom w:val="0"/>
      <w:divBdr>
        <w:top w:val="none" w:sz="0" w:space="0" w:color="auto"/>
        <w:left w:val="none" w:sz="0" w:space="0" w:color="auto"/>
        <w:bottom w:val="none" w:sz="0" w:space="0" w:color="auto"/>
        <w:right w:val="none" w:sz="0" w:space="0" w:color="auto"/>
      </w:divBdr>
    </w:div>
    <w:div w:id="864710429">
      <w:bodyDiv w:val="1"/>
      <w:marLeft w:val="0"/>
      <w:marRight w:val="0"/>
      <w:marTop w:val="0"/>
      <w:marBottom w:val="0"/>
      <w:divBdr>
        <w:top w:val="none" w:sz="0" w:space="0" w:color="auto"/>
        <w:left w:val="none" w:sz="0" w:space="0" w:color="auto"/>
        <w:bottom w:val="none" w:sz="0" w:space="0" w:color="auto"/>
        <w:right w:val="none" w:sz="0" w:space="0" w:color="auto"/>
      </w:divBdr>
    </w:div>
    <w:div w:id="865485693">
      <w:bodyDiv w:val="1"/>
      <w:marLeft w:val="0"/>
      <w:marRight w:val="0"/>
      <w:marTop w:val="0"/>
      <w:marBottom w:val="0"/>
      <w:divBdr>
        <w:top w:val="none" w:sz="0" w:space="0" w:color="auto"/>
        <w:left w:val="none" w:sz="0" w:space="0" w:color="auto"/>
        <w:bottom w:val="none" w:sz="0" w:space="0" w:color="auto"/>
        <w:right w:val="none" w:sz="0" w:space="0" w:color="auto"/>
      </w:divBdr>
    </w:div>
    <w:div w:id="870729178">
      <w:bodyDiv w:val="1"/>
      <w:marLeft w:val="0"/>
      <w:marRight w:val="0"/>
      <w:marTop w:val="0"/>
      <w:marBottom w:val="0"/>
      <w:divBdr>
        <w:top w:val="none" w:sz="0" w:space="0" w:color="auto"/>
        <w:left w:val="none" w:sz="0" w:space="0" w:color="auto"/>
        <w:bottom w:val="none" w:sz="0" w:space="0" w:color="auto"/>
        <w:right w:val="none" w:sz="0" w:space="0" w:color="auto"/>
      </w:divBdr>
    </w:div>
    <w:div w:id="881096917">
      <w:bodyDiv w:val="1"/>
      <w:marLeft w:val="0"/>
      <w:marRight w:val="0"/>
      <w:marTop w:val="0"/>
      <w:marBottom w:val="0"/>
      <w:divBdr>
        <w:top w:val="none" w:sz="0" w:space="0" w:color="auto"/>
        <w:left w:val="none" w:sz="0" w:space="0" w:color="auto"/>
        <w:bottom w:val="none" w:sz="0" w:space="0" w:color="auto"/>
        <w:right w:val="none" w:sz="0" w:space="0" w:color="auto"/>
      </w:divBdr>
    </w:div>
    <w:div w:id="889420053">
      <w:bodyDiv w:val="1"/>
      <w:marLeft w:val="0"/>
      <w:marRight w:val="0"/>
      <w:marTop w:val="0"/>
      <w:marBottom w:val="0"/>
      <w:divBdr>
        <w:top w:val="none" w:sz="0" w:space="0" w:color="auto"/>
        <w:left w:val="none" w:sz="0" w:space="0" w:color="auto"/>
        <w:bottom w:val="none" w:sz="0" w:space="0" w:color="auto"/>
        <w:right w:val="none" w:sz="0" w:space="0" w:color="auto"/>
      </w:divBdr>
    </w:div>
    <w:div w:id="892811203">
      <w:bodyDiv w:val="1"/>
      <w:marLeft w:val="0"/>
      <w:marRight w:val="0"/>
      <w:marTop w:val="0"/>
      <w:marBottom w:val="0"/>
      <w:divBdr>
        <w:top w:val="none" w:sz="0" w:space="0" w:color="auto"/>
        <w:left w:val="none" w:sz="0" w:space="0" w:color="auto"/>
        <w:bottom w:val="none" w:sz="0" w:space="0" w:color="auto"/>
        <w:right w:val="none" w:sz="0" w:space="0" w:color="auto"/>
      </w:divBdr>
    </w:div>
    <w:div w:id="896361908">
      <w:bodyDiv w:val="1"/>
      <w:marLeft w:val="0"/>
      <w:marRight w:val="0"/>
      <w:marTop w:val="0"/>
      <w:marBottom w:val="0"/>
      <w:divBdr>
        <w:top w:val="none" w:sz="0" w:space="0" w:color="auto"/>
        <w:left w:val="none" w:sz="0" w:space="0" w:color="auto"/>
        <w:bottom w:val="none" w:sz="0" w:space="0" w:color="auto"/>
        <w:right w:val="none" w:sz="0" w:space="0" w:color="auto"/>
      </w:divBdr>
    </w:div>
    <w:div w:id="900405828">
      <w:bodyDiv w:val="1"/>
      <w:marLeft w:val="0"/>
      <w:marRight w:val="0"/>
      <w:marTop w:val="0"/>
      <w:marBottom w:val="0"/>
      <w:divBdr>
        <w:top w:val="none" w:sz="0" w:space="0" w:color="auto"/>
        <w:left w:val="none" w:sz="0" w:space="0" w:color="auto"/>
        <w:bottom w:val="none" w:sz="0" w:space="0" w:color="auto"/>
        <w:right w:val="none" w:sz="0" w:space="0" w:color="auto"/>
      </w:divBdr>
    </w:div>
    <w:div w:id="906309459">
      <w:bodyDiv w:val="1"/>
      <w:marLeft w:val="0"/>
      <w:marRight w:val="0"/>
      <w:marTop w:val="0"/>
      <w:marBottom w:val="0"/>
      <w:divBdr>
        <w:top w:val="none" w:sz="0" w:space="0" w:color="auto"/>
        <w:left w:val="none" w:sz="0" w:space="0" w:color="auto"/>
        <w:bottom w:val="none" w:sz="0" w:space="0" w:color="auto"/>
        <w:right w:val="none" w:sz="0" w:space="0" w:color="auto"/>
      </w:divBdr>
    </w:div>
    <w:div w:id="914363724">
      <w:bodyDiv w:val="1"/>
      <w:marLeft w:val="0"/>
      <w:marRight w:val="0"/>
      <w:marTop w:val="0"/>
      <w:marBottom w:val="0"/>
      <w:divBdr>
        <w:top w:val="none" w:sz="0" w:space="0" w:color="auto"/>
        <w:left w:val="none" w:sz="0" w:space="0" w:color="auto"/>
        <w:bottom w:val="none" w:sz="0" w:space="0" w:color="auto"/>
        <w:right w:val="none" w:sz="0" w:space="0" w:color="auto"/>
      </w:divBdr>
    </w:div>
    <w:div w:id="959266690">
      <w:bodyDiv w:val="1"/>
      <w:marLeft w:val="0"/>
      <w:marRight w:val="0"/>
      <w:marTop w:val="0"/>
      <w:marBottom w:val="0"/>
      <w:divBdr>
        <w:top w:val="none" w:sz="0" w:space="0" w:color="auto"/>
        <w:left w:val="none" w:sz="0" w:space="0" w:color="auto"/>
        <w:bottom w:val="none" w:sz="0" w:space="0" w:color="auto"/>
        <w:right w:val="none" w:sz="0" w:space="0" w:color="auto"/>
      </w:divBdr>
    </w:div>
    <w:div w:id="965937397">
      <w:bodyDiv w:val="1"/>
      <w:marLeft w:val="0"/>
      <w:marRight w:val="0"/>
      <w:marTop w:val="0"/>
      <w:marBottom w:val="0"/>
      <w:divBdr>
        <w:top w:val="none" w:sz="0" w:space="0" w:color="auto"/>
        <w:left w:val="none" w:sz="0" w:space="0" w:color="auto"/>
        <w:bottom w:val="none" w:sz="0" w:space="0" w:color="auto"/>
        <w:right w:val="none" w:sz="0" w:space="0" w:color="auto"/>
      </w:divBdr>
    </w:div>
    <w:div w:id="978607054">
      <w:bodyDiv w:val="1"/>
      <w:marLeft w:val="0"/>
      <w:marRight w:val="0"/>
      <w:marTop w:val="0"/>
      <w:marBottom w:val="0"/>
      <w:divBdr>
        <w:top w:val="none" w:sz="0" w:space="0" w:color="auto"/>
        <w:left w:val="none" w:sz="0" w:space="0" w:color="auto"/>
        <w:bottom w:val="none" w:sz="0" w:space="0" w:color="auto"/>
        <w:right w:val="none" w:sz="0" w:space="0" w:color="auto"/>
      </w:divBdr>
    </w:div>
    <w:div w:id="982925849">
      <w:bodyDiv w:val="1"/>
      <w:marLeft w:val="0"/>
      <w:marRight w:val="0"/>
      <w:marTop w:val="0"/>
      <w:marBottom w:val="0"/>
      <w:divBdr>
        <w:top w:val="none" w:sz="0" w:space="0" w:color="auto"/>
        <w:left w:val="none" w:sz="0" w:space="0" w:color="auto"/>
        <w:bottom w:val="none" w:sz="0" w:space="0" w:color="auto"/>
        <w:right w:val="none" w:sz="0" w:space="0" w:color="auto"/>
      </w:divBdr>
    </w:div>
    <w:div w:id="986326690">
      <w:bodyDiv w:val="1"/>
      <w:marLeft w:val="0"/>
      <w:marRight w:val="0"/>
      <w:marTop w:val="0"/>
      <w:marBottom w:val="0"/>
      <w:divBdr>
        <w:top w:val="none" w:sz="0" w:space="0" w:color="auto"/>
        <w:left w:val="none" w:sz="0" w:space="0" w:color="auto"/>
        <w:bottom w:val="none" w:sz="0" w:space="0" w:color="auto"/>
        <w:right w:val="none" w:sz="0" w:space="0" w:color="auto"/>
      </w:divBdr>
    </w:div>
    <w:div w:id="987518723">
      <w:bodyDiv w:val="1"/>
      <w:marLeft w:val="0"/>
      <w:marRight w:val="0"/>
      <w:marTop w:val="0"/>
      <w:marBottom w:val="0"/>
      <w:divBdr>
        <w:top w:val="none" w:sz="0" w:space="0" w:color="auto"/>
        <w:left w:val="none" w:sz="0" w:space="0" w:color="auto"/>
        <w:bottom w:val="none" w:sz="0" w:space="0" w:color="auto"/>
        <w:right w:val="none" w:sz="0" w:space="0" w:color="auto"/>
      </w:divBdr>
    </w:div>
    <w:div w:id="988901086">
      <w:bodyDiv w:val="1"/>
      <w:marLeft w:val="0"/>
      <w:marRight w:val="0"/>
      <w:marTop w:val="0"/>
      <w:marBottom w:val="0"/>
      <w:divBdr>
        <w:top w:val="none" w:sz="0" w:space="0" w:color="auto"/>
        <w:left w:val="none" w:sz="0" w:space="0" w:color="auto"/>
        <w:bottom w:val="none" w:sz="0" w:space="0" w:color="auto"/>
        <w:right w:val="none" w:sz="0" w:space="0" w:color="auto"/>
      </w:divBdr>
    </w:div>
    <w:div w:id="990864472">
      <w:bodyDiv w:val="1"/>
      <w:marLeft w:val="0"/>
      <w:marRight w:val="0"/>
      <w:marTop w:val="0"/>
      <w:marBottom w:val="0"/>
      <w:divBdr>
        <w:top w:val="none" w:sz="0" w:space="0" w:color="auto"/>
        <w:left w:val="none" w:sz="0" w:space="0" w:color="auto"/>
        <w:bottom w:val="none" w:sz="0" w:space="0" w:color="auto"/>
        <w:right w:val="none" w:sz="0" w:space="0" w:color="auto"/>
      </w:divBdr>
    </w:div>
    <w:div w:id="1001810790">
      <w:bodyDiv w:val="1"/>
      <w:marLeft w:val="0"/>
      <w:marRight w:val="0"/>
      <w:marTop w:val="0"/>
      <w:marBottom w:val="0"/>
      <w:divBdr>
        <w:top w:val="none" w:sz="0" w:space="0" w:color="auto"/>
        <w:left w:val="none" w:sz="0" w:space="0" w:color="auto"/>
        <w:bottom w:val="none" w:sz="0" w:space="0" w:color="auto"/>
        <w:right w:val="none" w:sz="0" w:space="0" w:color="auto"/>
      </w:divBdr>
    </w:div>
    <w:div w:id="1002009675">
      <w:bodyDiv w:val="1"/>
      <w:marLeft w:val="0"/>
      <w:marRight w:val="0"/>
      <w:marTop w:val="0"/>
      <w:marBottom w:val="0"/>
      <w:divBdr>
        <w:top w:val="none" w:sz="0" w:space="0" w:color="auto"/>
        <w:left w:val="none" w:sz="0" w:space="0" w:color="auto"/>
        <w:bottom w:val="none" w:sz="0" w:space="0" w:color="auto"/>
        <w:right w:val="none" w:sz="0" w:space="0" w:color="auto"/>
      </w:divBdr>
    </w:div>
    <w:div w:id="1017998498">
      <w:bodyDiv w:val="1"/>
      <w:marLeft w:val="0"/>
      <w:marRight w:val="0"/>
      <w:marTop w:val="0"/>
      <w:marBottom w:val="0"/>
      <w:divBdr>
        <w:top w:val="none" w:sz="0" w:space="0" w:color="auto"/>
        <w:left w:val="none" w:sz="0" w:space="0" w:color="auto"/>
        <w:bottom w:val="none" w:sz="0" w:space="0" w:color="auto"/>
        <w:right w:val="none" w:sz="0" w:space="0" w:color="auto"/>
      </w:divBdr>
    </w:div>
    <w:div w:id="1025443221">
      <w:bodyDiv w:val="1"/>
      <w:marLeft w:val="0"/>
      <w:marRight w:val="0"/>
      <w:marTop w:val="0"/>
      <w:marBottom w:val="0"/>
      <w:divBdr>
        <w:top w:val="none" w:sz="0" w:space="0" w:color="auto"/>
        <w:left w:val="none" w:sz="0" w:space="0" w:color="auto"/>
        <w:bottom w:val="none" w:sz="0" w:space="0" w:color="auto"/>
        <w:right w:val="none" w:sz="0" w:space="0" w:color="auto"/>
      </w:divBdr>
    </w:div>
    <w:div w:id="1029725344">
      <w:bodyDiv w:val="1"/>
      <w:marLeft w:val="0"/>
      <w:marRight w:val="0"/>
      <w:marTop w:val="0"/>
      <w:marBottom w:val="0"/>
      <w:divBdr>
        <w:top w:val="none" w:sz="0" w:space="0" w:color="auto"/>
        <w:left w:val="none" w:sz="0" w:space="0" w:color="auto"/>
        <w:bottom w:val="none" w:sz="0" w:space="0" w:color="auto"/>
        <w:right w:val="none" w:sz="0" w:space="0" w:color="auto"/>
      </w:divBdr>
    </w:div>
    <w:div w:id="1038314236">
      <w:bodyDiv w:val="1"/>
      <w:marLeft w:val="0"/>
      <w:marRight w:val="0"/>
      <w:marTop w:val="0"/>
      <w:marBottom w:val="0"/>
      <w:divBdr>
        <w:top w:val="none" w:sz="0" w:space="0" w:color="auto"/>
        <w:left w:val="none" w:sz="0" w:space="0" w:color="auto"/>
        <w:bottom w:val="none" w:sz="0" w:space="0" w:color="auto"/>
        <w:right w:val="none" w:sz="0" w:space="0" w:color="auto"/>
      </w:divBdr>
    </w:div>
    <w:div w:id="1051922529">
      <w:bodyDiv w:val="1"/>
      <w:marLeft w:val="0"/>
      <w:marRight w:val="0"/>
      <w:marTop w:val="0"/>
      <w:marBottom w:val="0"/>
      <w:divBdr>
        <w:top w:val="none" w:sz="0" w:space="0" w:color="auto"/>
        <w:left w:val="none" w:sz="0" w:space="0" w:color="auto"/>
        <w:bottom w:val="none" w:sz="0" w:space="0" w:color="auto"/>
        <w:right w:val="none" w:sz="0" w:space="0" w:color="auto"/>
      </w:divBdr>
    </w:div>
    <w:div w:id="1056127504">
      <w:bodyDiv w:val="1"/>
      <w:marLeft w:val="0"/>
      <w:marRight w:val="0"/>
      <w:marTop w:val="0"/>
      <w:marBottom w:val="0"/>
      <w:divBdr>
        <w:top w:val="none" w:sz="0" w:space="0" w:color="auto"/>
        <w:left w:val="none" w:sz="0" w:space="0" w:color="auto"/>
        <w:bottom w:val="none" w:sz="0" w:space="0" w:color="auto"/>
        <w:right w:val="none" w:sz="0" w:space="0" w:color="auto"/>
      </w:divBdr>
    </w:div>
    <w:div w:id="1057123706">
      <w:bodyDiv w:val="1"/>
      <w:marLeft w:val="0"/>
      <w:marRight w:val="0"/>
      <w:marTop w:val="0"/>
      <w:marBottom w:val="0"/>
      <w:divBdr>
        <w:top w:val="none" w:sz="0" w:space="0" w:color="auto"/>
        <w:left w:val="none" w:sz="0" w:space="0" w:color="auto"/>
        <w:bottom w:val="none" w:sz="0" w:space="0" w:color="auto"/>
        <w:right w:val="none" w:sz="0" w:space="0" w:color="auto"/>
      </w:divBdr>
    </w:div>
    <w:div w:id="1060641103">
      <w:bodyDiv w:val="1"/>
      <w:marLeft w:val="0"/>
      <w:marRight w:val="0"/>
      <w:marTop w:val="0"/>
      <w:marBottom w:val="0"/>
      <w:divBdr>
        <w:top w:val="none" w:sz="0" w:space="0" w:color="auto"/>
        <w:left w:val="none" w:sz="0" w:space="0" w:color="auto"/>
        <w:bottom w:val="none" w:sz="0" w:space="0" w:color="auto"/>
        <w:right w:val="none" w:sz="0" w:space="0" w:color="auto"/>
      </w:divBdr>
      <w:divsChild>
        <w:div w:id="43022013">
          <w:marLeft w:val="0"/>
          <w:marRight w:val="0"/>
          <w:marTop w:val="0"/>
          <w:marBottom w:val="225"/>
          <w:divBdr>
            <w:top w:val="none" w:sz="0" w:space="0" w:color="auto"/>
            <w:left w:val="none" w:sz="0" w:space="0" w:color="auto"/>
            <w:bottom w:val="none" w:sz="0" w:space="0" w:color="auto"/>
            <w:right w:val="none" w:sz="0" w:space="0" w:color="auto"/>
          </w:divBdr>
        </w:div>
        <w:div w:id="1179346529">
          <w:marLeft w:val="0"/>
          <w:marRight w:val="0"/>
          <w:marTop w:val="0"/>
          <w:marBottom w:val="0"/>
          <w:divBdr>
            <w:top w:val="none" w:sz="0" w:space="0" w:color="auto"/>
            <w:left w:val="none" w:sz="0" w:space="0" w:color="auto"/>
            <w:bottom w:val="none" w:sz="0" w:space="0" w:color="auto"/>
            <w:right w:val="none" w:sz="0" w:space="0" w:color="auto"/>
          </w:divBdr>
          <w:divsChild>
            <w:div w:id="1607810714">
              <w:marLeft w:val="0"/>
              <w:marRight w:val="0"/>
              <w:marTop w:val="0"/>
              <w:marBottom w:val="0"/>
              <w:divBdr>
                <w:top w:val="none" w:sz="0" w:space="0" w:color="auto"/>
                <w:left w:val="none" w:sz="0" w:space="0" w:color="auto"/>
                <w:bottom w:val="none" w:sz="0" w:space="0" w:color="auto"/>
                <w:right w:val="none" w:sz="0" w:space="0" w:color="auto"/>
              </w:divBdr>
              <w:divsChild>
                <w:div w:id="390275193">
                  <w:marLeft w:val="0"/>
                  <w:marRight w:val="0"/>
                  <w:marTop w:val="0"/>
                  <w:marBottom w:val="0"/>
                  <w:divBdr>
                    <w:top w:val="none" w:sz="0" w:space="0" w:color="auto"/>
                    <w:left w:val="none" w:sz="0" w:space="0" w:color="auto"/>
                    <w:bottom w:val="none" w:sz="0" w:space="0" w:color="auto"/>
                    <w:right w:val="none" w:sz="0" w:space="0" w:color="auto"/>
                  </w:divBdr>
                  <w:divsChild>
                    <w:div w:id="144765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710320">
      <w:bodyDiv w:val="1"/>
      <w:marLeft w:val="0"/>
      <w:marRight w:val="0"/>
      <w:marTop w:val="0"/>
      <w:marBottom w:val="0"/>
      <w:divBdr>
        <w:top w:val="none" w:sz="0" w:space="0" w:color="auto"/>
        <w:left w:val="none" w:sz="0" w:space="0" w:color="auto"/>
        <w:bottom w:val="none" w:sz="0" w:space="0" w:color="auto"/>
        <w:right w:val="none" w:sz="0" w:space="0" w:color="auto"/>
      </w:divBdr>
    </w:div>
    <w:div w:id="1082945585">
      <w:bodyDiv w:val="1"/>
      <w:marLeft w:val="0"/>
      <w:marRight w:val="0"/>
      <w:marTop w:val="0"/>
      <w:marBottom w:val="0"/>
      <w:divBdr>
        <w:top w:val="none" w:sz="0" w:space="0" w:color="auto"/>
        <w:left w:val="none" w:sz="0" w:space="0" w:color="auto"/>
        <w:bottom w:val="none" w:sz="0" w:space="0" w:color="auto"/>
        <w:right w:val="none" w:sz="0" w:space="0" w:color="auto"/>
      </w:divBdr>
    </w:div>
    <w:div w:id="1083456843">
      <w:bodyDiv w:val="1"/>
      <w:marLeft w:val="0"/>
      <w:marRight w:val="0"/>
      <w:marTop w:val="0"/>
      <w:marBottom w:val="0"/>
      <w:divBdr>
        <w:top w:val="none" w:sz="0" w:space="0" w:color="auto"/>
        <w:left w:val="none" w:sz="0" w:space="0" w:color="auto"/>
        <w:bottom w:val="none" w:sz="0" w:space="0" w:color="auto"/>
        <w:right w:val="none" w:sz="0" w:space="0" w:color="auto"/>
      </w:divBdr>
    </w:div>
    <w:div w:id="1085154147">
      <w:bodyDiv w:val="1"/>
      <w:marLeft w:val="0"/>
      <w:marRight w:val="0"/>
      <w:marTop w:val="0"/>
      <w:marBottom w:val="0"/>
      <w:divBdr>
        <w:top w:val="none" w:sz="0" w:space="0" w:color="auto"/>
        <w:left w:val="none" w:sz="0" w:space="0" w:color="auto"/>
        <w:bottom w:val="none" w:sz="0" w:space="0" w:color="auto"/>
        <w:right w:val="none" w:sz="0" w:space="0" w:color="auto"/>
      </w:divBdr>
    </w:div>
    <w:div w:id="1089158390">
      <w:bodyDiv w:val="1"/>
      <w:marLeft w:val="0"/>
      <w:marRight w:val="0"/>
      <w:marTop w:val="0"/>
      <w:marBottom w:val="0"/>
      <w:divBdr>
        <w:top w:val="none" w:sz="0" w:space="0" w:color="auto"/>
        <w:left w:val="none" w:sz="0" w:space="0" w:color="auto"/>
        <w:bottom w:val="none" w:sz="0" w:space="0" w:color="auto"/>
        <w:right w:val="none" w:sz="0" w:space="0" w:color="auto"/>
      </w:divBdr>
    </w:div>
    <w:div w:id="1090156834">
      <w:bodyDiv w:val="1"/>
      <w:marLeft w:val="0"/>
      <w:marRight w:val="0"/>
      <w:marTop w:val="0"/>
      <w:marBottom w:val="0"/>
      <w:divBdr>
        <w:top w:val="none" w:sz="0" w:space="0" w:color="auto"/>
        <w:left w:val="none" w:sz="0" w:space="0" w:color="auto"/>
        <w:bottom w:val="none" w:sz="0" w:space="0" w:color="auto"/>
        <w:right w:val="none" w:sz="0" w:space="0" w:color="auto"/>
      </w:divBdr>
    </w:div>
    <w:div w:id="1094977304">
      <w:bodyDiv w:val="1"/>
      <w:marLeft w:val="0"/>
      <w:marRight w:val="0"/>
      <w:marTop w:val="0"/>
      <w:marBottom w:val="0"/>
      <w:divBdr>
        <w:top w:val="none" w:sz="0" w:space="0" w:color="auto"/>
        <w:left w:val="none" w:sz="0" w:space="0" w:color="auto"/>
        <w:bottom w:val="none" w:sz="0" w:space="0" w:color="auto"/>
        <w:right w:val="none" w:sz="0" w:space="0" w:color="auto"/>
      </w:divBdr>
    </w:div>
    <w:div w:id="1116287614">
      <w:bodyDiv w:val="1"/>
      <w:marLeft w:val="0"/>
      <w:marRight w:val="0"/>
      <w:marTop w:val="0"/>
      <w:marBottom w:val="0"/>
      <w:divBdr>
        <w:top w:val="none" w:sz="0" w:space="0" w:color="auto"/>
        <w:left w:val="none" w:sz="0" w:space="0" w:color="auto"/>
        <w:bottom w:val="none" w:sz="0" w:space="0" w:color="auto"/>
        <w:right w:val="none" w:sz="0" w:space="0" w:color="auto"/>
      </w:divBdr>
    </w:div>
    <w:div w:id="1127166090">
      <w:bodyDiv w:val="1"/>
      <w:marLeft w:val="0"/>
      <w:marRight w:val="0"/>
      <w:marTop w:val="0"/>
      <w:marBottom w:val="0"/>
      <w:divBdr>
        <w:top w:val="none" w:sz="0" w:space="0" w:color="auto"/>
        <w:left w:val="none" w:sz="0" w:space="0" w:color="auto"/>
        <w:bottom w:val="none" w:sz="0" w:space="0" w:color="auto"/>
        <w:right w:val="none" w:sz="0" w:space="0" w:color="auto"/>
      </w:divBdr>
    </w:div>
    <w:div w:id="1147748274">
      <w:bodyDiv w:val="1"/>
      <w:marLeft w:val="0"/>
      <w:marRight w:val="0"/>
      <w:marTop w:val="0"/>
      <w:marBottom w:val="0"/>
      <w:divBdr>
        <w:top w:val="none" w:sz="0" w:space="0" w:color="auto"/>
        <w:left w:val="none" w:sz="0" w:space="0" w:color="auto"/>
        <w:bottom w:val="none" w:sz="0" w:space="0" w:color="auto"/>
        <w:right w:val="none" w:sz="0" w:space="0" w:color="auto"/>
      </w:divBdr>
    </w:div>
    <w:div w:id="1168057723">
      <w:bodyDiv w:val="1"/>
      <w:marLeft w:val="0"/>
      <w:marRight w:val="0"/>
      <w:marTop w:val="0"/>
      <w:marBottom w:val="0"/>
      <w:divBdr>
        <w:top w:val="none" w:sz="0" w:space="0" w:color="auto"/>
        <w:left w:val="none" w:sz="0" w:space="0" w:color="auto"/>
        <w:bottom w:val="none" w:sz="0" w:space="0" w:color="auto"/>
        <w:right w:val="none" w:sz="0" w:space="0" w:color="auto"/>
      </w:divBdr>
    </w:div>
    <w:div w:id="1213464805">
      <w:bodyDiv w:val="1"/>
      <w:marLeft w:val="0"/>
      <w:marRight w:val="0"/>
      <w:marTop w:val="0"/>
      <w:marBottom w:val="0"/>
      <w:divBdr>
        <w:top w:val="none" w:sz="0" w:space="0" w:color="auto"/>
        <w:left w:val="none" w:sz="0" w:space="0" w:color="auto"/>
        <w:bottom w:val="none" w:sz="0" w:space="0" w:color="auto"/>
        <w:right w:val="none" w:sz="0" w:space="0" w:color="auto"/>
      </w:divBdr>
    </w:div>
    <w:div w:id="1222013207">
      <w:bodyDiv w:val="1"/>
      <w:marLeft w:val="0"/>
      <w:marRight w:val="0"/>
      <w:marTop w:val="0"/>
      <w:marBottom w:val="0"/>
      <w:divBdr>
        <w:top w:val="none" w:sz="0" w:space="0" w:color="auto"/>
        <w:left w:val="none" w:sz="0" w:space="0" w:color="auto"/>
        <w:bottom w:val="none" w:sz="0" w:space="0" w:color="auto"/>
        <w:right w:val="none" w:sz="0" w:space="0" w:color="auto"/>
      </w:divBdr>
    </w:div>
    <w:div w:id="1227448387">
      <w:bodyDiv w:val="1"/>
      <w:marLeft w:val="0"/>
      <w:marRight w:val="0"/>
      <w:marTop w:val="0"/>
      <w:marBottom w:val="0"/>
      <w:divBdr>
        <w:top w:val="none" w:sz="0" w:space="0" w:color="auto"/>
        <w:left w:val="none" w:sz="0" w:space="0" w:color="auto"/>
        <w:bottom w:val="none" w:sz="0" w:space="0" w:color="auto"/>
        <w:right w:val="none" w:sz="0" w:space="0" w:color="auto"/>
      </w:divBdr>
    </w:div>
    <w:div w:id="1244297433">
      <w:bodyDiv w:val="1"/>
      <w:marLeft w:val="0"/>
      <w:marRight w:val="0"/>
      <w:marTop w:val="0"/>
      <w:marBottom w:val="0"/>
      <w:divBdr>
        <w:top w:val="none" w:sz="0" w:space="0" w:color="auto"/>
        <w:left w:val="none" w:sz="0" w:space="0" w:color="auto"/>
        <w:bottom w:val="none" w:sz="0" w:space="0" w:color="auto"/>
        <w:right w:val="none" w:sz="0" w:space="0" w:color="auto"/>
      </w:divBdr>
    </w:div>
    <w:div w:id="1247298590">
      <w:bodyDiv w:val="1"/>
      <w:marLeft w:val="0"/>
      <w:marRight w:val="0"/>
      <w:marTop w:val="0"/>
      <w:marBottom w:val="0"/>
      <w:divBdr>
        <w:top w:val="none" w:sz="0" w:space="0" w:color="auto"/>
        <w:left w:val="none" w:sz="0" w:space="0" w:color="auto"/>
        <w:bottom w:val="none" w:sz="0" w:space="0" w:color="auto"/>
        <w:right w:val="none" w:sz="0" w:space="0" w:color="auto"/>
      </w:divBdr>
    </w:div>
    <w:div w:id="1256133797">
      <w:bodyDiv w:val="1"/>
      <w:marLeft w:val="0"/>
      <w:marRight w:val="0"/>
      <w:marTop w:val="0"/>
      <w:marBottom w:val="0"/>
      <w:divBdr>
        <w:top w:val="none" w:sz="0" w:space="0" w:color="auto"/>
        <w:left w:val="none" w:sz="0" w:space="0" w:color="auto"/>
        <w:bottom w:val="none" w:sz="0" w:space="0" w:color="auto"/>
        <w:right w:val="none" w:sz="0" w:space="0" w:color="auto"/>
      </w:divBdr>
    </w:div>
    <w:div w:id="1273248868">
      <w:bodyDiv w:val="1"/>
      <w:marLeft w:val="0"/>
      <w:marRight w:val="0"/>
      <w:marTop w:val="0"/>
      <w:marBottom w:val="0"/>
      <w:divBdr>
        <w:top w:val="none" w:sz="0" w:space="0" w:color="auto"/>
        <w:left w:val="none" w:sz="0" w:space="0" w:color="auto"/>
        <w:bottom w:val="none" w:sz="0" w:space="0" w:color="auto"/>
        <w:right w:val="none" w:sz="0" w:space="0" w:color="auto"/>
      </w:divBdr>
    </w:div>
    <w:div w:id="1273315964">
      <w:bodyDiv w:val="1"/>
      <w:marLeft w:val="0"/>
      <w:marRight w:val="0"/>
      <w:marTop w:val="0"/>
      <w:marBottom w:val="0"/>
      <w:divBdr>
        <w:top w:val="none" w:sz="0" w:space="0" w:color="auto"/>
        <w:left w:val="none" w:sz="0" w:space="0" w:color="auto"/>
        <w:bottom w:val="none" w:sz="0" w:space="0" w:color="auto"/>
        <w:right w:val="none" w:sz="0" w:space="0" w:color="auto"/>
      </w:divBdr>
    </w:div>
    <w:div w:id="1276139948">
      <w:bodyDiv w:val="1"/>
      <w:marLeft w:val="0"/>
      <w:marRight w:val="0"/>
      <w:marTop w:val="0"/>
      <w:marBottom w:val="0"/>
      <w:divBdr>
        <w:top w:val="none" w:sz="0" w:space="0" w:color="auto"/>
        <w:left w:val="none" w:sz="0" w:space="0" w:color="auto"/>
        <w:bottom w:val="none" w:sz="0" w:space="0" w:color="auto"/>
        <w:right w:val="none" w:sz="0" w:space="0" w:color="auto"/>
      </w:divBdr>
    </w:div>
    <w:div w:id="1277370754">
      <w:bodyDiv w:val="1"/>
      <w:marLeft w:val="0"/>
      <w:marRight w:val="0"/>
      <w:marTop w:val="0"/>
      <w:marBottom w:val="0"/>
      <w:divBdr>
        <w:top w:val="none" w:sz="0" w:space="0" w:color="auto"/>
        <w:left w:val="none" w:sz="0" w:space="0" w:color="auto"/>
        <w:bottom w:val="none" w:sz="0" w:space="0" w:color="auto"/>
        <w:right w:val="none" w:sz="0" w:space="0" w:color="auto"/>
      </w:divBdr>
    </w:div>
    <w:div w:id="1293708695">
      <w:bodyDiv w:val="1"/>
      <w:marLeft w:val="0"/>
      <w:marRight w:val="0"/>
      <w:marTop w:val="0"/>
      <w:marBottom w:val="0"/>
      <w:divBdr>
        <w:top w:val="none" w:sz="0" w:space="0" w:color="auto"/>
        <w:left w:val="none" w:sz="0" w:space="0" w:color="auto"/>
        <w:bottom w:val="none" w:sz="0" w:space="0" w:color="auto"/>
        <w:right w:val="none" w:sz="0" w:space="0" w:color="auto"/>
      </w:divBdr>
    </w:div>
    <w:div w:id="1306818388">
      <w:bodyDiv w:val="1"/>
      <w:marLeft w:val="0"/>
      <w:marRight w:val="0"/>
      <w:marTop w:val="0"/>
      <w:marBottom w:val="0"/>
      <w:divBdr>
        <w:top w:val="none" w:sz="0" w:space="0" w:color="auto"/>
        <w:left w:val="none" w:sz="0" w:space="0" w:color="auto"/>
        <w:bottom w:val="none" w:sz="0" w:space="0" w:color="auto"/>
        <w:right w:val="none" w:sz="0" w:space="0" w:color="auto"/>
      </w:divBdr>
    </w:div>
    <w:div w:id="1310476763">
      <w:bodyDiv w:val="1"/>
      <w:marLeft w:val="0"/>
      <w:marRight w:val="0"/>
      <w:marTop w:val="0"/>
      <w:marBottom w:val="0"/>
      <w:divBdr>
        <w:top w:val="none" w:sz="0" w:space="0" w:color="auto"/>
        <w:left w:val="none" w:sz="0" w:space="0" w:color="auto"/>
        <w:bottom w:val="none" w:sz="0" w:space="0" w:color="auto"/>
        <w:right w:val="none" w:sz="0" w:space="0" w:color="auto"/>
      </w:divBdr>
    </w:div>
    <w:div w:id="1313407574">
      <w:bodyDiv w:val="1"/>
      <w:marLeft w:val="0"/>
      <w:marRight w:val="0"/>
      <w:marTop w:val="0"/>
      <w:marBottom w:val="0"/>
      <w:divBdr>
        <w:top w:val="none" w:sz="0" w:space="0" w:color="auto"/>
        <w:left w:val="none" w:sz="0" w:space="0" w:color="auto"/>
        <w:bottom w:val="none" w:sz="0" w:space="0" w:color="auto"/>
        <w:right w:val="none" w:sz="0" w:space="0" w:color="auto"/>
      </w:divBdr>
    </w:div>
    <w:div w:id="1325087106">
      <w:bodyDiv w:val="1"/>
      <w:marLeft w:val="0"/>
      <w:marRight w:val="0"/>
      <w:marTop w:val="0"/>
      <w:marBottom w:val="0"/>
      <w:divBdr>
        <w:top w:val="none" w:sz="0" w:space="0" w:color="auto"/>
        <w:left w:val="none" w:sz="0" w:space="0" w:color="auto"/>
        <w:bottom w:val="none" w:sz="0" w:space="0" w:color="auto"/>
        <w:right w:val="none" w:sz="0" w:space="0" w:color="auto"/>
      </w:divBdr>
    </w:div>
    <w:div w:id="1337346816">
      <w:bodyDiv w:val="1"/>
      <w:marLeft w:val="0"/>
      <w:marRight w:val="0"/>
      <w:marTop w:val="0"/>
      <w:marBottom w:val="0"/>
      <w:divBdr>
        <w:top w:val="none" w:sz="0" w:space="0" w:color="auto"/>
        <w:left w:val="none" w:sz="0" w:space="0" w:color="auto"/>
        <w:bottom w:val="none" w:sz="0" w:space="0" w:color="auto"/>
        <w:right w:val="none" w:sz="0" w:space="0" w:color="auto"/>
      </w:divBdr>
    </w:div>
    <w:div w:id="1343777213">
      <w:bodyDiv w:val="1"/>
      <w:marLeft w:val="0"/>
      <w:marRight w:val="0"/>
      <w:marTop w:val="0"/>
      <w:marBottom w:val="0"/>
      <w:divBdr>
        <w:top w:val="none" w:sz="0" w:space="0" w:color="auto"/>
        <w:left w:val="none" w:sz="0" w:space="0" w:color="auto"/>
        <w:bottom w:val="none" w:sz="0" w:space="0" w:color="auto"/>
        <w:right w:val="none" w:sz="0" w:space="0" w:color="auto"/>
      </w:divBdr>
    </w:div>
    <w:div w:id="1360736087">
      <w:bodyDiv w:val="1"/>
      <w:marLeft w:val="0"/>
      <w:marRight w:val="0"/>
      <w:marTop w:val="0"/>
      <w:marBottom w:val="0"/>
      <w:divBdr>
        <w:top w:val="none" w:sz="0" w:space="0" w:color="auto"/>
        <w:left w:val="none" w:sz="0" w:space="0" w:color="auto"/>
        <w:bottom w:val="none" w:sz="0" w:space="0" w:color="auto"/>
        <w:right w:val="none" w:sz="0" w:space="0" w:color="auto"/>
      </w:divBdr>
    </w:div>
    <w:div w:id="1363675260">
      <w:bodyDiv w:val="1"/>
      <w:marLeft w:val="0"/>
      <w:marRight w:val="0"/>
      <w:marTop w:val="0"/>
      <w:marBottom w:val="0"/>
      <w:divBdr>
        <w:top w:val="none" w:sz="0" w:space="0" w:color="auto"/>
        <w:left w:val="none" w:sz="0" w:space="0" w:color="auto"/>
        <w:bottom w:val="none" w:sz="0" w:space="0" w:color="auto"/>
        <w:right w:val="none" w:sz="0" w:space="0" w:color="auto"/>
      </w:divBdr>
    </w:div>
    <w:div w:id="1364478981">
      <w:bodyDiv w:val="1"/>
      <w:marLeft w:val="0"/>
      <w:marRight w:val="0"/>
      <w:marTop w:val="0"/>
      <w:marBottom w:val="0"/>
      <w:divBdr>
        <w:top w:val="none" w:sz="0" w:space="0" w:color="auto"/>
        <w:left w:val="none" w:sz="0" w:space="0" w:color="auto"/>
        <w:bottom w:val="none" w:sz="0" w:space="0" w:color="auto"/>
        <w:right w:val="none" w:sz="0" w:space="0" w:color="auto"/>
      </w:divBdr>
    </w:div>
    <w:div w:id="1364556206">
      <w:bodyDiv w:val="1"/>
      <w:marLeft w:val="0"/>
      <w:marRight w:val="0"/>
      <w:marTop w:val="0"/>
      <w:marBottom w:val="0"/>
      <w:divBdr>
        <w:top w:val="none" w:sz="0" w:space="0" w:color="auto"/>
        <w:left w:val="none" w:sz="0" w:space="0" w:color="auto"/>
        <w:bottom w:val="none" w:sz="0" w:space="0" w:color="auto"/>
        <w:right w:val="none" w:sz="0" w:space="0" w:color="auto"/>
      </w:divBdr>
    </w:div>
    <w:div w:id="1375276588">
      <w:bodyDiv w:val="1"/>
      <w:marLeft w:val="0"/>
      <w:marRight w:val="0"/>
      <w:marTop w:val="0"/>
      <w:marBottom w:val="0"/>
      <w:divBdr>
        <w:top w:val="none" w:sz="0" w:space="0" w:color="auto"/>
        <w:left w:val="none" w:sz="0" w:space="0" w:color="auto"/>
        <w:bottom w:val="none" w:sz="0" w:space="0" w:color="auto"/>
        <w:right w:val="none" w:sz="0" w:space="0" w:color="auto"/>
      </w:divBdr>
    </w:div>
    <w:div w:id="1375278783">
      <w:bodyDiv w:val="1"/>
      <w:marLeft w:val="0"/>
      <w:marRight w:val="0"/>
      <w:marTop w:val="0"/>
      <w:marBottom w:val="0"/>
      <w:divBdr>
        <w:top w:val="none" w:sz="0" w:space="0" w:color="auto"/>
        <w:left w:val="none" w:sz="0" w:space="0" w:color="auto"/>
        <w:bottom w:val="none" w:sz="0" w:space="0" w:color="auto"/>
        <w:right w:val="none" w:sz="0" w:space="0" w:color="auto"/>
      </w:divBdr>
    </w:div>
    <w:div w:id="1377506929">
      <w:bodyDiv w:val="1"/>
      <w:marLeft w:val="0"/>
      <w:marRight w:val="0"/>
      <w:marTop w:val="0"/>
      <w:marBottom w:val="0"/>
      <w:divBdr>
        <w:top w:val="none" w:sz="0" w:space="0" w:color="auto"/>
        <w:left w:val="none" w:sz="0" w:space="0" w:color="auto"/>
        <w:bottom w:val="none" w:sz="0" w:space="0" w:color="auto"/>
        <w:right w:val="none" w:sz="0" w:space="0" w:color="auto"/>
      </w:divBdr>
    </w:div>
    <w:div w:id="1388072436">
      <w:bodyDiv w:val="1"/>
      <w:marLeft w:val="0"/>
      <w:marRight w:val="0"/>
      <w:marTop w:val="0"/>
      <w:marBottom w:val="0"/>
      <w:divBdr>
        <w:top w:val="none" w:sz="0" w:space="0" w:color="auto"/>
        <w:left w:val="none" w:sz="0" w:space="0" w:color="auto"/>
        <w:bottom w:val="none" w:sz="0" w:space="0" w:color="auto"/>
        <w:right w:val="none" w:sz="0" w:space="0" w:color="auto"/>
      </w:divBdr>
    </w:div>
    <w:div w:id="1410300209">
      <w:bodyDiv w:val="1"/>
      <w:marLeft w:val="0"/>
      <w:marRight w:val="0"/>
      <w:marTop w:val="0"/>
      <w:marBottom w:val="0"/>
      <w:divBdr>
        <w:top w:val="none" w:sz="0" w:space="0" w:color="auto"/>
        <w:left w:val="none" w:sz="0" w:space="0" w:color="auto"/>
        <w:bottom w:val="none" w:sz="0" w:space="0" w:color="auto"/>
        <w:right w:val="none" w:sz="0" w:space="0" w:color="auto"/>
      </w:divBdr>
    </w:div>
    <w:div w:id="1423531034">
      <w:bodyDiv w:val="1"/>
      <w:marLeft w:val="0"/>
      <w:marRight w:val="0"/>
      <w:marTop w:val="0"/>
      <w:marBottom w:val="0"/>
      <w:divBdr>
        <w:top w:val="none" w:sz="0" w:space="0" w:color="auto"/>
        <w:left w:val="none" w:sz="0" w:space="0" w:color="auto"/>
        <w:bottom w:val="none" w:sz="0" w:space="0" w:color="auto"/>
        <w:right w:val="none" w:sz="0" w:space="0" w:color="auto"/>
      </w:divBdr>
    </w:div>
    <w:div w:id="1438911306">
      <w:bodyDiv w:val="1"/>
      <w:marLeft w:val="0"/>
      <w:marRight w:val="0"/>
      <w:marTop w:val="0"/>
      <w:marBottom w:val="0"/>
      <w:divBdr>
        <w:top w:val="none" w:sz="0" w:space="0" w:color="auto"/>
        <w:left w:val="none" w:sz="0" w:space="0" w:color="auto"/>
        <w:bottom w:val="none" w:sz="0" w:space="0" w:color="auto"/>
        <w:right w:val="none" w:sz="0" w:space="0" w:color="auto"/>
      </w:divBdr>
    </w:div>
    <w:div w:id="1466850000">
      <w:bodyDiv w:val="1"/>
      <w:marLeft w:val="0"/>
      <w:marRight w:val="0"/>
      <w:marTop w:val="0"/>
      <w:marBottom w:val="0"/>
      <w:divBdr>
        <w:top w:val="none" w:sz="0" w:space="0" w:color="auto"/>
        <w:left w:val="none" w:sz="0" w:space="0" w:color="auto"/>
        <w:bottom w:val="none" w:sz="0" w:space="0" w:color="auto"/>
        <w:right w:val="none" w:sz="0" w:space="0" w:color="auto"/>
      </w:divBdr>
    </w:div>
    <w:div w:id="1505586466">
      <w:bodyDiv w:val="1"/>
      <w:marLeft w:val="0"/>
      <w:marRight w:val="0"/>
      <w:marTop w:val="0"/>
      <w:marBottom w:val="0"/>
      <w:divBdr>
        <w:top w:val="none" w:sz="0" w:space="0" w:color="auto"/>
        <w:left w:val="none" w:sz="0" w:space="0" w:color="auto"/>
        <w:bottom w:val="none" w:sz="0" w:space="0" w:color="auto"/>
        <w:right w:val="none" w:sz="0" w:space="0" w:color="auto"/>
      </w:divBdr>
    </w:div>
    <w:div w:id="1518614190">
      <w:bodyDiv w:val="1"/>
      <w:marLeft w:val="0"/>
      <w:marRight w:val="0"/>
      <w:marTop w:val="0"/>
      <w:marBottom w:val="0"/>
      <w:divBdr>
        <w:top w:val="none" w:sz="0" w:space="0" w:color="auto"/>
        <w:left w:val="none" w:sz="0" w:space="0" w:color="auto"/>
        <w:bottom w:val="none" w:sz="0" w:space="0" w:color="auto"/>
        <w:right w:val="none" w:sz="0" w:space="0" w:color="auto"/>
      </w:divBdr>
    </w:div>
    <w:div w:id="1543470813">
      <w:bodyDiv w:val="1"/>
      <w:marLeft w:val="0"/>
      <w:marRight w:val="0"/>
      <w:marTop w:val="0"/>
      <w:marBottom w:val="0"/>
      <w:divBdr>
        <w:top w:val="none" w:sz="0" w:space="0" w:color="auto"/>
        <w:left w:val="none" w:sz="0" w:space="0" w:color="auto"/>
        <w:bottom w:val="none" w:sz="0" w:space="0" w:color="auto"/>
        <w:right w:val="none" w:sz="0" w:space="0" w:color="auto"/>
      </w:divBdr>
    </w:div>
    <w:div w:id="1558006197">
      <w:bodyDiv w:val="1"/>
      <w:marLeft w:val="0"/>
      <w:marRight w:val="0"/>
      <w:marTop w:val="0"/>
      <w:marBottom w:val="0"/>
      <w:divBdr>
        <w:top w:val="none" w:sz="0" w:space="0" w:color="auto"/>
        <w:left w:val="none" w:sz="0" w:space="0" w:color="auto"/>
        <w:bottom w:val="none" w:sz="0" w:space="0" w:color="auto"/>
        <w:right w:val="none" w:sz="0" w:space="0" w:color="auto"/>
      </w:divBdr>
    </w:div>
    <w:div w:id="1591502994">
      <w:bodyDiv w:val="1"/>
      <w:marLeft w:val="0"/>
      <w:marRight w:val="0"/>
      <w:marTop w:val="0"/>
      <w:marBottom w:val="0"/>
      <w:divBdr>
        <w:top w:val="none" w:sz="0" w:space="0" w:color="auto"/>
        <w:left w:val="none" w:sz="0" w:space="0" w:color="auto"/>
        <w:bottom w:val="none" w:sz="0" w:space="0" w:color="auto"/>
        <w:right w:val="none" w:sz="0" w:space="0" w:color="auto"/>
      </w:divBdr>
    </w:div>
    <w:div w:id="1591814268">
      <w:bodyDiv w:val="1"/>
      <w:marLeft w:val="0"/>
      <w:marRight w:val="0"/>
      <w:marTop w:val="0"/>
      <w:marBottom w:val="0"/>
      <w:divBdr>
        <w:top w:val="none" w:sz="0" w:space="0" w:color="auto"/>
        <w:left w:val="none" w:sz="0" w:space="0" w:color="auto"/>
        <w:bottom w:val="none" w:sz="0" w:space="0" w:color="auto"/>
        <w:right w:val="none" w:sz="0" w:space="0" w:color="auto"/>
      </w:divBdr>
    </w:div>
    <w:div w:id="1603493017">
      <w:bodyDiv w:val="1"/>
      <w:marLeft w:val="0"/>
      <w:marRight w:val="0"/>
      <w:marTop w:val="0"/>
      <w:marBottom w:val="0"/>
      <w:divBdr>
        <w:top w:val="none" w:sz="0" w:space="0" w:color="auto"/>
        <w:left w:val="none" w:sz="0" w:space="0" w:color="auto"/>
        <w:bottom w:val="none" w:sz="0" w:space="0" w:color="auto"/>
        <w:right w:val="none" w:sz="0" w:space="0" w:color="auto"/>
      </w:divBdr>
    </w:div>
    <w:div w:id="1608847832">
      <w:bodyDiv w:val="1"/>
      <w:marLeft w:val="0"/>
      <w:marRight w:val="0"/>
      <w:marTop w:val="0"/>
      <w:marBottom w:val="0"/>
      <w:divBdr>
        <w:top w:val="none" w:sz="0" w:space="0" w:color="auto"/>
        <w:left w:val="none" w:sz="0" w:space="0" w:color="auto"/>
        <w:bottom w:val="none" w:sz="0" w:space="0" w:color="auto"/>
        <w:right w:val="none" w:sz="0" w:space="0" w:color="auto"/>
      </w:divBdr>
    </w:div>
    <w:div w:id="1609309773">
      <w:bodyDiv w:val="1"/>
      <w:marLeft w:val="0"/>
      <w:marRight w:val="0"/>
      <w:marTop w:val="0"/>
      <w:marBottom w:val="0"/>
      <w:divBdr>
        <w:top w:val="none" w:sz="0" w:space="0" w:color="auto"/>
        <w:left w:val="none" w:sz="0" w:space="0" w:color="auto"/>
        <w:bottom w:val="none" w:sz="0" w:space="0" w:color="auto"/>
        <w:right w:val="none" w:sz="0" w:space="0" w:color="auto"/>
      </w:divBdr>
    </w:div>
    <w:div w:id="1623606799">
      <w:bodyDiv w:val="1"/>
      <w:marLeft w:val="0"/>
      <w:marRight w:val="0"/>
      <w:marTop w:val="0"/>
      <w:marBottom w:val="0"/>
      <w:divBdr>
        <w:top w:val="none" w:sz="0" w:space="0" w:color="auto"/>
        <w:left w:val="none" w:sz="0" w:space="0" w:color="auto"/>
        <w:bottom w:val="none" w:sz="0" w:space="0" w:color="auto"/>
        <w:right w:val="none" w:sz="0" w:space="0" w:color="auto"/>
      </w:divBdr>
    </w:div>
    <w:div w:id="1627272780">
      <w:bodyDiv w:val="1"/>
      <w:marLeft w:val="0"/>
      <w:marRight w:val="0"/>
      <w:marTop w:val="0"/>
      <w:marBottom w:val="0"/>
      <w:divBdr>
        <w:top w:val="none" w:sz="0" w:space="0" w:color="auto"/>
        <w:left w:val="none" w:sz="0" w:space="0" w:color="auto"/>
        <w:bottom w:val="none" w:sz="0" w:space="0" w:color="auto"/>
        <w:right w:val="none" w:sz="0" w:space="0" w:color="auto"/>
      </w:divBdr>
    </w:div>
    <w:div w:id="1631982181">
      <w:bodyDiv w:val="1"/>
      <w:marLeft w:val="0"/>
      <w:marRight w:val="0"/>
      <w:marTop w:val="0"/>
      <w:marBottom w:val="0"/>
      <w:divBdr>
        <w:top w:val="none" w:sz="0" w:space="0" w:color="auto"/>
        <w:left w:val="none" w:sz="0" w:space="0" w:color="auto"/>
        <w:bottom w:val="none" w:sz="0" w:space="0" w:color="auto"/>
        <w:right w:val="none" w:sz="0" w:space="0" w:color="auto"/>
      </w:divBdr>
    </w:div>
    <w:div w:id="1639453831">
      <w:bodyDiv w:val="1"/>
      <w:marLeft w:val="0"/>
      <w:marRight w:val="0"/>
      <w:marTop w:val="0"/>
      <w:marBottom w:val="0"/>
      <w:divBdr>
        <w:top w:val="none" w:sz="0" w:space="0" w:color="auto"/>
        <w:left w:val="none" w:sz="0" w:space="0" w:color="auto"/>
        <w:bottom w:val="none" w:sz="0" w:space="0" w:color="auto"/>
        <w:right w:val="none" w:sz="0" w:space="0" w:color="auto"/>
      </w:divBdr>
    </w:div>
    <w:div w:id="1643926251">
      <w:bodyDiv w:val="1"/>
      <w:marLeft w:val="0"/>
      <w:marRight w:val="0"/>
      <w:marTop w:val="0"/>
      <w:marBottom w:val="0"/>
      <w:divBdr>
        <w:top w:val="none" w:sz="0" w:space="0" w:color="auto"/>
        <w:left w:val="none" w:sz="0" w:space="0" w:color="auto"/>
        <w:bottom w:val="none" w:sz="0" w:space="0" w:color="auto"/>
        <w:right w:val="none" w:sz="0" w:space="0" w:color="auto"/>
      </w:divBdr>
    </w:div>
    <w:div w:id="1655255834">
      <w:bodyDiv w:val="1"/>
      <w:marLeft w:val="0"/>
      <w:marRight w:val="0"/>
      <w:marTop w:val="0"/>
      <w:marBottom w:val="0"/>
      <w:divBdr>
        <w:top w:val="none" w:sz="0" w:space="0" w:color="auto"/>
        <w:left w:val="none" w:sz="0" w:space="0" w:color="auto"/>
        <w:bottom w:val="none" w:sz="0" w:space="0" w:color="auto"/>
        <w:right w:val="none" w:sz="0" w:space="0" w:color="auto"/>
      </w:divBdr>
    </w:div>
    <w:div w:id="1661541623">
      <w:bodyDiv w:val="1"/>
      <w:marLeft w:val="0"/>
      <w:marRight w:val="0"/>
      <w:marTop w:val="0"/>
      <w:marBottom w:val="0"/>
      <w:divBdr>
        <w:top w:val="none" w:sz="0" w:space="0" w:color="auto"/>
        <w:left w:val="none" w:sz="0" w:space="0" w:color="auto"/>
        <w:bottom w:val="none" w:sz="0" w:space="0" w:color="auto"/>
        <w:right w:val="none" w:sz="0" w:space="0" w:color="auto"/>
      </w:divBdr>
    </w:div>
    <w:div w:id="1672827549">
      <w:bodyDiv w:val="1"/>
      <w:marLeft w:val="0"/>
      <w:marRight w:val="0"/>
      <w:marTop w:val="0"/>
      <w:marBottom w:val="0"/>
      <w:divBdr>
        <w:top w:val="none" w:sz="0" w:space="0" w:color="auto"/>
        <w:left w:val="none" w:sz="0" w:space="0" w:color="auto"/>
        <w:bottom w:val="none" w:sz="0" w:space="0" w:color="auto"/>
        <w:right w:val="none" w:sz="0" w:space="0" w:color="auto"/>
      </w:divBdr>
    </w:div>
    <w:div w:id="1690642468">
      <w:bodyDiv w:val="1"/>
      <w:marLeft w:val="0"/>
      <w:marRight w:val="0"/>
      <w:marTop w:val="0"/>
      <w:marBottom w:val="0"/>
      <w:divBdr>
        <w:top w:val="none" w:sz="0" w:space="0" w:color="auto"/>
        <w:left w:val="none" w:sz="0" w:space="0" w:color="auto"/>
        <w:bottom w:val="none" w:sz="0" w:space="0" w:color="auto"/>
        <w:right w:val="none" w:sz="0" w:space="0" w:color="auto"/>
      </w:divBdr>
    </w:div>
    <w:div w:id="1691759661">
      <w:bodyDiv w:val="1"/>
      <w:marLeft w:val="0"/>
      <w:marRight w:val="0"/>
      <w:marTop w:val="0"/>
      <w:marBottom w:val="0"/>
      <w:divBdr>
        <w:top w:val="none" w:sz="0" w:space="0" w:color="auto"/>
        <w:left w:val="none" w:sz="0" w:space="0" w:color="auto"/>
        <w:bottom w:val="none" w:sz="0" w:space="0" w:color="auto"/>
        <w:right w:val="none" w:sz="0" w:space="0" w:color="auto"/>
      </w:divBdr>
    </w:div>
    <w:div w:id="1694574967">
      <w:bodyDiv w:val="1"/>
      <w:marLeft w:val="0"/>
      <w:marRight w:val="0"/>
      <w:marTop w:val="0"/>
      <w:marBottom w:val="0"/>
      <w:divBdr>
        <w:top w:val="none" w:sz="0" w:space="0" w:color="auto"/>
        <w:left w:val="none" w:sz="0" w:space="0" w:color="auto"/>
        <w:bottom w:val="none" w:sz="0" w:space="0" w:color="auto"/>
        <w:right w:val="none" w:sz="0" w:space="0" w:color="auto"/>
      </w:divBdr>
    </w:div>
    <w:div w:id="1705406541">
      <w:bodyDiv w:val="1"/>
      <w:marLeft w:val="0"/>
      <w:marRight w:val="0"/>
      <w:marTop w:val="0"/>
      <w:marBottom w:val="0"/>
      <w:divBdr>
        <w:top w:val="none" w:sz="0" w:space="0" w:color="auto"/>
        <w:left w:val="none" w:sz="0" w:space="0" w:color="auto"/>
        <w:bottom w:val="none" w:sz="0" w:space="0" w:color="auto"/>
        <w:right w:val="none" w:sz="0" w:space="0" w:color="auto"/>
      </w:divBdr>
    </w:div>
    <w:div w:id="1730373533">
      <w:bodyDiv w:val="1"/>
      <w:marLeft w:val="0"/>
      <w:marRight w:val="0"/>
      <w:marTop w:val="0"/>
      <w:marBottom w:val="0"/>
      <w:divBdr>
        <w:top w:val="none" w:sz="0" w:space="0" w:color="auto"/>
        <w:left w:val="none" w:sz="0" w:space="0" w:color="auto"/>
        <w:bottom w:val="none" w:sz="0" w:space="0" w:color="auto"/>
        <w:right w:val="none" w:sz="0" w:space="0" w:color="auto"/>
      </w:divBdr>
    </w:div>
    <w:div w:id="1731998753">
      <w:bodyDiv w:val="1"/>
      <w:marLeft w:val="0"/>
      <w:marRight w:val="0"/>
      <w:marTop w:val="0"/>
      <w:marBottom w:val="0"/>
      <w:divBdr>
        <w:top w:val="none" w:sz="0" w:space="0" w:color="auto"/>
        <w:left w:val="none" w:sz="0" w:space="0" w:color="auto"/>
        <w:bottom w:val="none" w:sz="0" w:space="0" w:color="auto"/>
        <w:right w:val="none" w:sz="0" w:space="0" w:color="auto"/>
      </w:divBdr>
    </w:div>
    <w:div w:id="1742560135">
      <w:bodyDiv w:val="1"/>
      <w:marLeft w:val="0"/>
      <w:marRight w:val="0"/>
      <w:marTop w:val="0"/>
      <w:marBottom w:val="0"/>
      <w:divBdr>
        <w:top w:val="none" w:sz="0" w:space="0" w:color="auto"/>
        <w:left w:val="none" w:sz="0" w:space="0" w:color="auto"/>
        <w:bottom w:val="none" w:sz="0" w:space="0" w:color="auto"/>
        <w:right w:val="none" w:sz="0" w:space="0" w:color="auto"/>
      </w:divBdr>
    </w:div>
    <w:div w:id="1754932379">
      <w:bodyDiv w:val="1"/>
      <w:marLeft w:val="0"/>
      <w:marRight w:val="0"/>
      <w:marTop w:val="0"/>
      <w:marBottom w:val="0"/>
      <w:divBdr>
        <w:top w:val="none" w:sz="0" w:space="0" w:color="auto"/>
        <w:left w:val="none" w:sz="0" w:space="0" w:color="auto"/>
        <w:bottom w:val="none" w:sz="0" w:space="0" w:color="auto"/>
        <w:right w:val="none" w:sz="0" w:space="0" w:color="auto"/>
      </w:divBdr>
    </w:div>
    <w:div w:id="1770078833">
      <w:bodyDiv w:val="1"/>
      <w:marLeft w:val="0"/>
      <w:marRight w:val="0"/>
      <w:marTop w:val="0"/>
      <w:marBottom w:val="0"/>
      <w:divBdr>
        <w:top w:val="none" w:sz="0" w:space="0" w:color="auto"/>
        <w:left w:val="none" w:sz="0" w:space="0" w:color="auto"/>
        <w:bottom w:val="none" w:sz="0" w:space="0" w:color="auto"/>
        <w:right w:val="none" w:sz="0" w:space="0" w:color="auto"/>
      </w:divBdr>
    </w:div>
    <w:div w:id="1779373616">
      <w:bodyDiv w:val="1"/>
      <w:marLeft w:val="0"/>
      <w:marRight w:val="0"/>
      <w:marTop w:val="0"/>
      <w:marBottom w:val="0"/>
      <w:divBdr>
        <w:top w:val="none" w:sz="0" w:space="0" w:color="auto"/>
        <w:left w:val="none" w:sz="0" w:space="0" w:color="auto"/>
        <w:bottom w:val="none" w:sz="0" w:space="0" w:color="auto"/>
        <w:right w:val="none" w:sz="0" w:space="0" w:color="auto"/>
      </w:divBdr>
    </w:div>
    <w:div w:id="1781412759">
      <w:bodyDiv w:val="1"/>
      <w:marLeft w:val="0"/>
      <w:marRight w:val="0"/>
      <w:marTop w:val="0"/>
      <w:marBottom w:val="0"/>
      <w:divBdr>
        <w:top w:val="none" w:sz="0" w:space="0" w:color="auto"/>
        <w:left w:val="none" w:sz="0" w:space="0" w:color="auto"/>
        <w:bottom w:val="none" w:sz="0" w:space="0" w:color="auto"/>
        <w:right w:val="none" w:sz="0" w:space="0" w:color="auto"/>
      </w:divBdr>
    </w:div>
    <w:div w:id="1794902380">
      <w:bodyDiv w:val="1"/>
      <w:marLeft w:val="0"/>
      <w:marRight w:val="0"/>
      <w:marTop w:val="0"/>
      <w:marBottom w:val="0"/>
      <w:divBdr>
        <w:top w:val="none" w:sz="0" w:space="0" w:color="auto"/>
        <w:left w:val="none" w:sz="0" w:space="0" w:color="auto"/>
        <w:bottom w:val="none" w:sz="0" w:space="0" w:color="auto"/>
        <w:right w:val="none" w:sz="0" w:space="0" w:color="auto"/>
      </w:divBdr>
    </w:div>
    <w:div w:id="1826698312">
      <w:bodyDiv w:val="1"/>
      <w:marLeft w:val="0"/>
      <w:marRight w:val="0"/>
      <w:marTop w:val="0"/>
      <w:marBottom w:val="0"/>
      <w:divBdr>
        <w:top w:val="none" w:sz="0" w:space="0" w:color="auto"/>
        <w:left w:val="none" w:sz="0" w:space="0" w:color="auto"/>
        <w:bottom w:val="none" w:sz="0" w:space="0" w:color="auto"/>
        <w:right w:val="none" w:sz="0" w:space="0" w:color="auto"/>
      </w:divBdr>
    </w:div>
    <w:div w:id="1831482853">
      <w:bodyDiv w:val="1"/>
      <w:marLeft w:val="0"/>
      <w:marRight w:val="0"/>
      <w:marTop w:val="0"/>
      <w:marBottom w:val="0"/>
      <w:divBdr>
        <w:top w:val="none" w:sz="0" w:space="0" w:color="auto"/>
        <w:left w:val="none" w:sz="0" w:space="0" w:color="auto"/>
        <w:bottom w:val="none" w:sz="0" w:space="0" w:color="auto"/>
        <w:right w:val="none" w:sz="0" w:space="0" w:color="auto"/>
      </w:divBdr>
    </w:div>
    <w:div w:id="1833180435">
      <w:bodyDiv w:val="1"/>
      <w:marLeft w:val="0"/>
      <w:marRight w:val="0"/>
      <w:marTop w:val="0"/>
      <w:marBottom w:val="0"/>
      <w:divBdr>
        <w:top w:val="none" w:sz="0" w:space="0" w:color="auto"/>
        <w:left w:val="none" w:sz="0" w:space="0" w:color="auto"/>
        <w:bottom w:val="none" w:sz="0" w:space="0" w:color="auto"/>
        <w:right w:val="none" w:sz="0" w:space="0" w:color="auto"/>
      </w:divBdr>
    </w:div>
    <w:div w:id="1839226959">
      <w:bodyDiv w:val="1"/>
      <w:marLeft w:val="0"/>
      <w:marRight w:val="0"/>
      <w:marTop w:val="0"/>
      <w:marBottom w:val="0"/>
      <w:divBdr>
        <w:top w:val="none" w:sz="0" w:space="0" w:color="auto"/>
        <w:left w:val="none" w:sz="0" w:space="0" w:color="auto"/>
        <w:bottom w:val="none" w:sz="0" w:space="0" w:color="auto"/>
        <w:right w:val="none" w:sz="0" w:space="0" w:color="auto"/>
      </w:divBdr>
    </w:div>
    <w:div w:id="1839617500">
      <w:bodyDiv w:val="1"/>
      <w:marLeft w:val="0"/>
      <w:marRight w:val="0"/>
      <w:marTop w:val="0"/>
      <w:marBottom w:val="0"/>
      <w:divBdr>
        <w:top w:val="none" w:sz="0" w:space="0" w:color="auto"/>
        <w:left w:val="none" w:sz="0" w:space="0" w:color="auto"/>
        <w:bottom w:val="none" w:sz="0" w:space="0" w:color="auto"/>
        <w:right w:val="none" w:sz="0" w:space="0" w:color="auto"/>
      </w:divBdr>
    </w:div>
    <w:div w:id="1864977155">
      <w:bodyDiv w:val="1"/>
      <w:marLeft w:val="0"/>
      <w:marRight w:val="0"/>
      <w:marTop w:val="0"/>
      <w:marBottom w:val="0"/>
      <w:divBdr>
        <w:top w:val="none" w:sz="0" w:space="0" w:color="auto"/>
        <w:left w:val="none" w:sz="0" w:space="0" w:color="auto"/>
        <w:bottom w:val="none" w:sz="0" w:space="0" w:color="auto"/>
        <w:right w:val="none" w:sz="0" w:space="0" w:color="auto"/>
      </w:divBdr>
    </w:div>
    <w:div w:id="1866602108">
      <w:bodyDiv w:val="1"/>
      <w:marLeft w:val="0"/>
      <w:marRight w:val="0"/>
      <w:marTop w:val="0"/>
      <w:marBottom w:val="0"/>
      <w:divBdr>
        <w:top w:val="none" w:sz="0" w:space="0" w:color="auto"/>
        <w:left w:val="none" w:sz="0" w:space="0" w:color="auto"/>
        <w:bottom w:val="none" w:sz="0" w:space="0" w:color="auto"/>
        <w:right w:val="none" w:sz="0" w:space="0" w:color="auto"/>
      </w:divBdr>
    </w:div>
    <w:div w:id="1877350480">
      <w:bodyDiv w:val="1"/>
      <w:marLeft w:val="0"/>
      <w:marRight w:val="0"/>
      <w:marTop w:val="0"/>
      <w:marBottom w:val="0"/>
      <w:divBdr>
        <w:top w:val="none" w:sz="0" w:space="0" w:color="auto"/>
        <w:left w:val="none" w:sz="0" w:space="0" w:color="auto"/>
        <w:bottom w:val="none" w:sz="0" w:space="0" w:color="auto"/>
        <w:right w:val="none" w:sz="0" w:space="0" w:color="auto"/>
      </w:divBdr>
    </w:div>
    <w:div w:id="1891452735">
      <w:bodyDiv w:val="1"/>
      <w:marLeft w:val="0"/>
      <w:marRight w:val="0"/>
      <w:marTop w:val="0"/>
      <w:marBottom w:val="0"/>
      <w:divBdr>
        <w:top w:val="none" w:sz="0" w:space="0" w:color="auto"/>
        <w:left w:val="none" w:sz="0" w:space="0" w:color="auto"/>
        <w:bottom w:val="none" w:sz="0" w:space="0" w:color="auto"/>
        <w:right w:val="none" w:sz="0" w:space="0" w:color="auto"/>
      </w:divBdr>
    </w:div>
    <w:div w:id="1894537148">
      <w:bodyDiv w:val="1"/>
      <w:marLeft w:val="0"/>
      <w:marRight w:val="0"/>
      <w:marTop w:val="0"/>
      <w:marBottom w:val="0"/>
      <w:divBdr>
        <w:top w:val="none" w:sz="0" w:space="0" w:color="auto"/>
        <w:left w:val="none" w:sz="0" w:space="0" w:color="auto"/>
        <w:bottom w:val="none" w:sz="0" w:space="0" w:color="auto"/>
        <w:right w:val="none" w:sz="0" w:space="0" w:color="auto"/>
      </w:divBdr>
    </w:div>
    <w:div w:id="1894997391">
      <w:bodyDiv w:val="1"/>
      <w:marLeft w:val="0"/>
      <w:marRight w:val="0"/>
      <w:marTop w:val="0"/>
      <w:marBottom w:val="0"/>
      <w:divBdr>
        <w:top w:val="none" w:sz="0" w:space="0" w:color="auto"/>
        <w:left w:val="none" w:sz="0" w:space="0" w:color="auto"/>
        <w:bottom w:val="none" w:sz="0" w:space="0" w:color="auto"/>
        <w:right w:val="none" w:sz="0" w:space="0" w:color="auto"/>
      </w:divBdr>
    </w:div>
    <w:div w:id="1912233205">
      <w:bodyDiv w:val="1"/>
      <w:marLeft w:val="0"/>
      <w:marRight w:val="0"/>
      <w:marTop w:val="0"/>
      <w:marBottom w:val="0"/>
      <w:divBdr>
        <w:top w:val="none" w:sz="0" w:space="0" w:color="auto"/>
        <w:left w:val="none" w:sz="0" w:space="0" w:color="auto"/>
        <w:bottom w:val="none" w:sz="0" w:space="0" w:color="auto"/>
        <w:right w:val="none" w:sz="0" w:space="0" w:color="auto"/>
      </w:divBdr>
    </w:div>
    <w:div w:id="1923952899">
      <w:bodyDiv w:val="1"/>
      <w:marLeft w:val="0"/>
      <w:marRight w:val="0"/>
      <w:marTop w:val="0"/>
      <w:marBottom w:val="0"/>
      <w:divBdr>
        <w:top w:val="none" w:sz="0" w:space="0" w:color="auto"/>
        <w:left w:val="none" w:sz="0" w:space="0" w:color="auto"/>
        <w:bottom w:val="none" w:sz="0" w:space="0" w:color="auto"/>
        <w:right w:val="none" w:sz="0" w:space="0" w:color="auto"/>
      </w:divBdr>
    </w:div>
    <w:div w:id="1929538799">
      <w:bodyDiv w:val="1"/>
      <w:marLeft w:val="0"/>
      <w:marRight w:val="0"/>
      <w:marTop w:val="0"/>
      <w:marBottom w:val="0"/>
      <w:divBdr>
        <w:top w:val="none" w:sz="0" w:space="0" w:color="auto"/>
        <w:left w:val="none" w:sz="0" w:space="0" w:color="auto"/>
        <w:bottom w:val="none" w:sz="0" w:space="0" w:color="auto"/>
        <w:right w:val="none" w:sz="0" w:space="0" w:color="auto"/>
      </w:divBdr>
    </w:div>
    <w:div w:id="1937521811">
      <w:bodyDiv w:val="1"/>
      <w:marLeft w:val="0"/>
      <w:marRight w:val="0"/>
      <w:marTop w:val="0"/>
      <w:marBottom w:val="0"/>
      <w:divBdr>
        <w:top w:val="none" w:sz="0" w:space="0" w:color="auto"/>
        <w:left w:val="none" w:sz="0" w:space="0" w:color="auto"/>
        <w:bottom w:val="none" w:sz="0" w:space="0" w:color="auto"/>
        <w:right w:val="none" w:sz="0" w:space="0" w:color="auto"/>
      </w:divBdr>
    </w:div>
    <w:div w:id="1940597171">
      <w:bodyDiv w:val="1"/>
      <w:marLeft w:val="0"/>
      <w:marRight w:val="0"/>
      <w:marTop w:val="0"/>
      <w:marBottom w:val="0"/>
      <w:divBdr>
        <w:top w:val="none" w:sz="0" w:space="0" w:color="auto"/>
        <w:left w:val="none" w:sz="0" w:space="0" w:color="auto"/>
        <w:bottom w:val="none" w:sz="0" w:space="0" w:color="auto"/>
        <w:right w:val="none" w:sz="0" w:space="0" w:color="auto"/>
      </w:divBdr>
    </w:div>
    <w:div w:id="1946885553">
      <w:bodyDiv w:val="1"/>
      <w:marLeft w:val="0"/>
      <w:marRight w:val="0"/>
      <w:marTop w:val="0"/>
      <w:marBottom w:val="0"/>
      <w:divBdr>
        <w:top w:val="none" w:sz="0" w:space="0" w:color="auto"/>
        <w:left w:val="none" w:sz="0" w:space="0" w:color="auto"/>
        <w:bottom w:val="none" w:sz="0" w:space="0" w:color="auto"/>
        <w:right w:val="none" w:sz="0" w:space="0" w:color="auto"/>
      </w:divBdr>
    </w:div>
    <w:div w:id="1949893473">
      <w:bodyDiv w:val="1"/>
      <w:marLeft w:val="0"/>
      <w:marRight w:val="0"/>
      <w:marTop w:val="0"/>
      <w:marBottom w:val="0"/>
      <w:divBdr>
        <w:top w:val="none" w:sz="0" w:space="0" w:color="auto"/>
        <w:left w:val="none" w:sz="0" w:space="0" w:color="auto"/>
        <w:bottom w:val="none" w:sz="0" w:space="0" w:color="auto"/>
        <w:right w:val="none" w:sz="0" w:space="0" w:color="auto"/>
      </w:divBdr>
    </w:div>
    <w:div w:id="1956668878">
      <w:bodyDiv w:val="1"/>
      <w:marLeft w:val="0"/>
      <w:marRight w:val="0"/>
      <w:marTop w:val="0"/>
      <w:marBottom w:val="0"/>
      <w:divBdr>
        <w:top w:val="none" w:sz="0" w:space="0" w:color="auto"/>
        <w:left w:val="none" w:sz="0" w:space="0" w:color="auto"/>
        <w:bottom w:val="none" w:sz="0" w:space="0" w:color="auto"/>
        <w:right w:val="none" w:sz="0" w:space="0" w:color="auto"/>
      </w:divBdr>
    </w:div>
    <w:div w:id="1960599368">
      <w:bodyDiv w:val="1"/>
      <w:marLeft w:val="0"/>
      <w:marRight w:val="0"/>
      <w:marTop w:val="0"/>
      <w:marBottom w:val="0"/>
      <w:divBdr>
        <w:top w:val="none" w:sz="0" w:space="0" w:color="auto"/>
        <w:left w:val="none" w:sz="0" w:space="0" w:color="auto"/>
        <w:bottom w:val="none" w:sz="0" w:space="0" w:color="auto"/>
        <w:right w:val="none" w:sz="0" w:space="0" w:color="auto"/>
      </w:divBdr>
    </w:div>
    <w:div w:id="1961951500">
      <w:bodyDiv w:val="1"/>
      <w:marLeft w:val="0"/>
      <w:marRight w:val="0"/>
      <w:marTop w:val="0"/>
      <w:marBottom w:val="0"/>
      <w:divBdr>
        <w:top w:val="none" w:sz="0" w:space="0" w:color="auto"/>
        <w:left w:val="none" w:sz="0" w:space="0" w:color="auto"/>
        <w:bottom w:val="none" w:sz="0" w:space="0" w:color="auto"/>
        <w:right w:val="none" w:sz="0" w:space="0" w:color="auto"/>
      </w:divBdr>
    </w:div>
    <w:div w:id="1976593582">
      <w:bodyDiv w:val="1"/>
      <w:marLeft w:val="0"/>
      <w:marRight w:val="0"/>
      <w:marTop w:val="0"/>
      <w:marBottom w:val="0"/>
      <w:divBdr>
        <w:top w:val="none" w:sz="0" w:space="0" w:color="auto"/>
        <w:left w:val="none" w:sz="0" w:space="0" w:color="auto"/>
        <w:bottom w:val="none" w:sz="0" w:space="0" w:color="auto"/>
        <w:right w:val="none" w:sz="0" w:space="0" w:color="auto"/>
      </w:divBdr>
    </w:div>
    <w:div w:id="1981307743">
      <w:bodyDiv w:val="1"/>
      <w:marLeft w:val="0"/>
      <w:marRight w:val="0"/>
      <w:marTop w:val="0"/>
      <w:marBottom w:val="0"/>
      <w:divBdr>
        <w:top w:val="none" w:sz="0" w:space="0" w:color="auto"/>
        <w:left w:val="none" w:sz="0" w:space="0" w:color="auto"/>
        <w:bottom w:val="none" w:sz="0" w:space="0" w:color="auto"/>
        <w:right w:val="none" w:sz="0" w:space="0" w:color="auto"/>
      </w:divBdr>
    </w:div>
    <w:div w:id="1998411422">
      <w:bodyDiv w:val="1"/>
      <w:marLeft w:val="0"/>
      <w:marRight w:val="0"/>
      <w:marTop w:val="0"/>
      <w:marBottom w:val="0"/>
      <w:divBdr>
        <w:top w:val="none" w:sz="0" w:space="0" w:color="auto"/>
        <w:left w:val="none" w:sz="0" w:space="0" w:color="auto"/>
        <w:bottom w:val="none" w:sz="0" w:space="0" w:color="auto"/>
        <w:right w:val="none" w:sz="0" w:space="0" w:color="auto"/>
      </w:divBdr>
    </w:div>
    <w:div w:id="2004162352">
      <w:bodyDiv w:val="1"/>
      <w:marLeft w:val="0"/>
      <w:marRight w:val="0"/>
      <w:marTop w:val="0"/>
      <w:marBottom w:val="0"/>
      <w:divBdr>
        <w:top w:val="none" w:sz="0" w:space="0" w:color="auto"/>
        <w:left w:val="none" w:sz="0" w:space="0" w:color="auto"/>
        <w:bottom w:val="none" w:sz="0" w:space="0" w:color="auto"/>
        <w:right w:val="none" w:sz="0" w:space="0" w:color="auto"/>
      </w:divBdr>
    </w:div>
    <w:div w:id="2012292675">
      <w:bodyDiv w:val="1"/>
      <w:marLeft w:val="0"/>
      <w:marRight w:val="0"/>
      <w:marTop w:val="0"/>
      <w:marBottom w:val="0"/>
      <w:divBdr>
        <w:top w:val="none" w:sz="0" w:space="0" w:color="auto"/>
        <w:left w:val="none" w:sz="0" w:space="0" w:color="auto"/>
        <w:bottom w:val="none" w:sz="0" w:space="0" w:color="auto"/>
        <w:right w:val="none" w:sz="0" w:space="0" w:color="auto"/>
      </w:divBdr>
    </w:div>
    <w:div w:id="2025861277">
      <w:bodyDiv w:val="1"/>
      <w:marLeft w:val="0"/>
      <w:marRight w:val="0"/>
      <w:marTop w:val="0"/>
      <w:marBottom w:val="0"/>
      <w:divBdr>
        <w:top w:val="none" w:sz="0" w:space="0" w:color="auto"/>
        <w:left w:val="none" w:sz="0" w:space="0" w:color="auto"/>
        <w:bottom w:val="none" w:sz="0" w:space="0" w:color="auto"/>
        <w:right w:val="none" w:sz="0" w:space="0" w:color="auto"/>
      </w:divBdr>
    </w:div>
    <w:div w:id="2026007393">
      <w:bodyDiv w:val="1"/>
      <w:marLeft w:val="0"/>
      <w:marRight w:val="0"/>
      <w:marTop w:val="0"/>
      <w:marBottom w:val="0"/>
      <w:divBdr>
        <w:top w:val="none" w:sz="0" w:space="0" w:color="auto"/>
        <w:left w:val="none" w:sz="0" w:space="0" w:color="auto"/>
        <w:bottom w:val="none" w:sz="0" w:space="0" w:color="auto"/>
        <w:right w:val="none" w:sz="0" w:space="0" w:color="auto"/>
      </w:divBdr>
    </w:div>
    <w:div w:id="2031292351">
      <w:bodyDiv w:val="1"/>
      <w:marLeft w:val="0"/>
      <w:marRight w:val="0"/>
      <w:marTop w:val="0"/>
      <w:marBottom w:val="0"/>
      <w:divBdr>
        <w:top w:val="none" w:sz="0" w:space="0" w:color="auto"/>
        <w:left w:val="none" w:sz="0" w:space="0" w:color="auto"/>
        <w:bottom w:val="none" w:sz="0" w:space="0" w:color="auto"/>
        <w:right w:val="none" w:sz="0" w:space="0" w:color="auto"/>
      </w:divBdr>
    </w:div>
    <w:div w:id="2031880690">
      <w:bodyDiv w:val="1"/>
      <w:marLeft w:val="0"/>
      <w:marRight w:val="0"/>
      <w:marTop w:val="0"/>
      <w:marBottom w:val="0"/>
      <w:divBdr>
        <w:top w:val="none" w:sz="0" w:space="0" w:color="auto"/>
        <w:left w:val="none" w:sz="0" w:space="0" w:color="auto"/>
        <w:bottom w:val="none" w:sz="0" w:space="0" w:color="auto"/>
        <w:right w:val="none" w:sz="0" w:space="0" w:color="auto"/>
      </w:divBdr>
    </w:div>
    <w:div w:id="2044017571">
      <w:bodyDiv w:val="1"/>
      <w:marLeft w:val="0"/>
      <w:marRight w:val="0"/>
      <w:marTop w:val="0"/>
      <w:marBottom w:val="0"/>
      <w:divBdr>
        <w:top w:val="none" w:sz="0" w:space="0" w:color="auto"/>
        <w:left w:val="none" w:sz="0" w:space="0" w:color="auto"/>
        <w:bottom w:val="none" w:sz="0" w:space="0" w:color="auto"/>
        <w:right w:val="none" w:sz="0" w:space="0" w:color="auto"/>
      </w:divBdr>
    </w:div>
    <w:div w:id="2079471665">
      <w:bodyDiv w:val="1"/>
      <w:marLeft w:val="0"/>
      <w:marRight w:val="0"/>
      <w:marTop w:val="0"/>
      <w:marBottom w:val="0"/>
      <w:divBdr>
        <w:top w:val="none" w:sz="0" w:space="0" w:color="auto"/>
        <w:left w:val="none" w:sz="0" w:space="0" w:color="auto"/>
        <w:bottom w:val="none" w:sz="0" w:space="0" w:color="auto"/>
        <w:right w:val="none" w:sz="0" w:space="0" w:color="auto"/>
      </w:divBdr>
    </w:div>
    <w:div w:id="2088304824">
      <w:bodyDiv w:val="1"/>
      <w:marLeft w:val="0"/>
      <w:marRight w:val="0"/>
      <w:marTop w:val="0"/>
      <w:marBottom w:val="0"/>
      <w:divBdr>
        <w:top w:val="none" w:sz="0" w:space="0" w:color="auto"/>
        <w:left w:val="none" w:sz="0" w:space="0" w:color="auto"/>
        <w:bottom w:val="none" w:sz="0" w:space="0" w:color="auto"/>
        <w:right w:val="none" w:sz="0" w:space="0" w:color="auto"/>
      </w:divBdr>
    </w:div>
    <w:div w:id="2112773454">
      <w:bodyDiv w:val="1"/>
      <w:marLeft w:val="0"/>
      <w:marRight w:val="0"/>
      <w:marTop w:val="0"/>
      <w:marBottom w:val="0"/>
      <w:divBdr>
        <w:top w:val="none" w:sz="0" w:space="0" w:color="auto"/>
        <w:left w:val="none" w:sz="0" w:space="0" w:color="auto"/>
        <w:bottom w:val="none" w:sz="0" w:space="0" w:color="auto"/>
        <w:right w:val="none" w:sz="0" w:space="0" w:color="auto"/>
      </w:divBdr>
    </w:div>
    <w:div w:id="2112967757">
      <w:bodyDiv w:val="1"/>
      <w:marLeft w:val="0"/>
      <w:marRight w:val="0"/>
      <w:marTop w:val="0"/>
      <w:marBottom w:val="0"/>
      <w:divBdr>
        <w:top w:val="none" w:sz="0" w:space="0" w:color="auto"/>
        <w:left w:val="none" w:sz="0" w:space="0" w:color="auto"/>
        <w:bottom w:val="none" w:sz="0" w:space="0" w:color="auto"/>
        <w:right w:val="none" w:sz="0" w:space="0" w:color="auto"/>
      </w:divBdr>
    </w:div>
    <w:div w:id="2116053001">
      <w:bodyDiv w:val="1"/>
      <w:marLeft w:val="0"/>
      <w:marRight w:val="0"/>
      <w:marTop w:val="0"/>
      <w:marBottom w:val="0"/>
      <w:divBdr>
        <w:top w:val="none" w:sz="0" w:space="0" w:color="auto"/>
        <w:left w:val="none" w:sz="0" w:space="0" w:color="auto"/>
        <w:bottom w:val="none" w:sz="0" w:space="0" w:color="auto"/>
        <w:right w:val="none" w:sz="0" w:space="0" w:color="auto"/>
      </w:divBdr>
    </w:div>
    <w:div w:id="2127192959">
      <w:bodyDiv w:val="1"/>
      <w:marLeft w:val="0"/>
      <w:marRight w:val="0"/>
      <w:marTop w:val="0"/>
      <w:marBottom w:val="0"/>
      <w:divBdr>
        <w:top w:val="none" w:sz="0" w:space="0" w:color="auto"/>
        <w:left w:val="none" w:sz="0" w:space="0" w:color="auto"/>
        <w:bottom w:val="none" w:sz="0" w:space="0" w:color="auto"/>
        <w:right w:val="none" w:sz="0" w:space="0" w:color="auto"/>
      </w:divBdr>
    </w:div>
    <w:div w:id="2127194167">
      <w:bodyDiv w:val="1"/>
      <w:marLeft w:val="0"/>
      <w:marRight w:val="0"/>
      <w:marTop w:val="0"/>
      <w:marBottom w:val="0"/>
      <w:divBdr>
        <w:top w:val="none" w:sz="0" w:space="0" w:color="auto"/>
        <w:left w:val="none" w:sz="0" w:space="0" w:color="auto"/>
        <w:bottom w:val="none" w:sz="0" w:space="0" w:color="auto"/>
        <w:right w:val="none" w:sz="0" w:space="0" w:color="auto"/>
      </w:divBdr>
    </w:div>
    <w:div w:id="2130510835">
      <w:bodyDiv w:val="1"/>
      <w:marLeft w:val="0"/>
      <w:marRight w:val="0"/>
      <w:marTop w:val="0"/>
      <w:marBottom w:val="0"/>
      <w:divBdr>
        <w:top w:val="none" w:sz="0" w:space="0" w:color="auto"/>
        <w:left w:val="none" w:sz="0" w:space="0" w:color="auto"/>
        <w:bottom w:val="none" w:sz="0" w:space="0" w:color="auto"/>
        <w:right w:val="none" w:sz="0" w:space="0" w:color="auto"/>
      </w:divBdr>
    </w:div>
    <w:div w:id="2136365038">
      <w:bodyDiv w:val="1"/>
      <w:marLeft w:val="0"/>
      <w:marRight w:val="0"/>
      <w:marTop w:val="0"/>
      <w:marBottom w:val="0"/>
      <w:divBdr>
        <w:top w:val="none" w:sz="0" w:space="0" w:color="auto"/>
        <w:left w:val="none" w:sz="0" w:space="0" w:color="auto"/>
        <w:bottom w:val="none" w:sz="0" w:space="0" w:color="auto"/>
        <w:right w:val="none" w:sz="0" w:space="0" w:color="auto"/>
      </w:divBdr>
    </w:div>
    <w:div w:id="2144688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15F7B716875E133DF2A3A708495D772398D615DBF513640D7D608C45C4F5CCC7ECD685EE733C7FC8B6C4CB46823012BA7EDF828AE79511BDLDK8D" TargetMode="External"/><Relationship Id="rId21" Type="http://schemas.openxmlformats.org/officeDocument/2006/relationships/image" Target="media/image3.wmf"/><Relationship Id="rId42" Type="http://schemas.openxmlformats.org/officeDocument/2006/relationships/hyperlink" Target="consultantplus://offline/ref=3092A615462806782CFCCE2636B27357A1C9169162275773C8517837B21FCBD943E31F2F1BB6E373D04A475E6BB41FB21072E1F3006998F2x6PED" TargetMode="External"/><Relationship Id="rId47" Type="http://schemas.openxmlformats.org/officeDocument/2006/relationships/hyperlink" Target="consultantplus://offline/ref=F333493433EE5DE7BCDE865AC0ED7AD67886855D29416741AF7AC2CA170237D76EFC687B80493B61G755B" TargetMode="External"/><Relationship Id="rId63" Type="http://schemas.openxmlformats.org/officeDocument/2006/relationships/hyperlink" Target="consultantplus://offline/ref=F333493433EE5DE7BCDE865AC0ED7AD67886855D29416741AF7AC2CA170237D76EFC687B80493B68G75DB" TargetMode="External"/><Relationship Id="rId68"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image" Target="media/image2.wmf"/><Relationship Id="rId29" Type="http://schemas.openxmlformats.org/officeDocument/2006/relationships/hyperlink" Target="consultantplus://offline/ref=15F7B716875E133DF2A3A708495D772398D615DBF513640D7D608C45C4F5CCC7ECD685EE733C7FC8B1C4CB46823012BA7EDF828AE79511BDLDK8D" TargetMode="External"/><Relationship Id="rId11" Type="http://schemas.openxmlformats.org/officeDocument/2006/relationships/image" Target="media/image1.wmf"/><Relationship Id="rId24" Type="http://schemas.openxmlformats.org/officeDocument/2006/relationships/hyperlink" Target="consultantplus://offline/ref=0BFA933EA36D3EB52FDDFC4208990B8DC3E703D27C14DB817D1FAF97F67F0EE37F60A4815E4AF73FC74BBC14E39EFDB91CBC1812C4236315L101I" TargetMode="External"/><Relationship Id="rId32" Type="http://schemas.openxmlformats.org/officeDocument/2006/relationships/hyperlink" Target="consultantplus://offline/ref=0BA193AFF2F80B4100A2E529DA9D152A379FF5628DAE7D5E8F790B93EAAE60CC1CB6648B93293BB1E8F1A35227736146CC4080D36F714813s4p0E" TargetMode="External"/><Relationship Id="rId37" Type="http://schemas.openxmlformats.org/officeDocument/2006/relationships/image" Target="media/image7.wmf"/><Relationship Id="rId40" Type="http://schemas.openxmlformats.org/officeDocument/2006/relationships/hyperlink" Target="consultantplus://offline/ref=3092A615462806782CFCCE2636B27357A1C9169162275773C8517837B21FCBD943E31F2F1BB6E373D44A475E6BB41FB21072E1F3006998F2x6PED" TargetMode="External"/><Relationship Id="rId45" Type="http://schemas.openxmlformats.org/officeDocument/2006/relationships/image" Target="media/image10.wmf"/><Relationship Id="rId53" Type="http://schemas.openxmlformats.org/officeDocument/2006/relationships/hyperlink" Target="consultantplus://offline/ref=F333493433EE5DE7BCDE865AC0ED7AD67886855D29416741AF7AC2CA170237D76EFC687B80493B61G755B" TargetMode="External"/><Relationship Id="rId58" Type="http://schemas.openxmlformats.org/officeDocument/2006/relationships/header" Target="header6.xml"/><Relationship Id="rId66" Type="http://schemas.openxmlformats.org/officeDocument/2006/relationships/header" Target="header10.xm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eader" Target="header8.xml"/><Relationship Id="rId19" Type="http://schemas.openxmlformats.org/officeDocument/2006/relationships/hyperlink" Target="consultantplus://offline/ref=7E1A8C5883CE946E601A407E1744A9B0EC6CBE24B072B77D1E76F2823DBBFB2221C96E41618B6DB0A3D3BD5209AE6AED7ECD796B8BE730FC51g7I" TargetMode="External"/><Relationship Id="rId14" Type="http://schemas.openxmlformats.org/officeDocument/2006/relationships/hyperlink" Target="consultantplus://offline/ref=7E1A8C5883CE946E601A407E1744A9B0EC6CBE24B072B77D1E76F2823DBBFB2221C96E41618B6DB9A9D3BD5209AE6AED7ECD796B8BE730FC51g7I" TargetMode="External"/><Relationship Id="rId22" Type="http://schemas.openxmlformats.org/officeDocument/2006/relationships/image" Target="media/image4.wmf"/><Relationship Id="rId27" Type="http://schemas.openxmlformats.org/officeDocument/2006/relationships/hyperlink" Target="consultantplus://offline/ref=15F7B716875E133DF2A3A708495D772398D615DBF513640D7D608C45C4F5CCC7ECD685EE733C7FC8B5C4CB46823012BA7EDF828AE79511BDLDK8D" TargetMode="External"/><Relationship Id="rId30" Type="http://schemas.openxmlformats.org/officeDocument/2006/relationships/hyperlink" Target="consultantplus://offline/ref=15F7B716875E133DF2A3A708495D772398D615DBF513640D7D608C45C4F5CCC7ECD685EE733C7FCFB0C4CB46823012BA7EDF828AE79511BDLDK8D" TargetMode="External"/><Relationship Id="rId35" Type="http://schemas.openxmlformats.org/officeDocument/2006/relationships/hyperlink" Target="consultantplus://offline/ref=0BA193AFF2F80B4100A2E529DA9D152A379FF5628DAE7D5E8F790B93EAAE60CC1CB6648B93293BB1EFF1A35227736146CC4080D36F714813s4p0E" TargetMode="External"/><Relationship Id="rId43" Type="http://schemas.openxmlformats.org/officeDocument/2006/relationships/hyperlink" Target="consultantplus://offline/ref=3092A615462806782CFCCE2636B27357A1C9169162275773C8517837B21FCBD943E31F2F1BB6E373D34A475E6BB41FB21072E1F3006998F2x6PED" TargetMode="External"/><Relationship Id="rId48" Type="http://schemas.openxmlformats.org/officeDocument/2006/relationships/hyperlink" Target="consultantplus://offline/ref=F333493433EE5DE7BCDE865AC0ED7AD67886855D29416741AF7AC2CA170237D76EFC687B80493B68G75DB" TargetMode="External"/><Relationship Id="rId56" Type="http://schemas.openxmlformats.org/officeDocument/2006/relationships/footer" Target="footer2.xml"/><Relationship Id="rId64" Type="http://schemas.openxmlformats.org/officeDocument/2006/relationships/header" Target="header9.xml"/><Relationship Id="rId69" Type="http://schemas.openxmlformats.org/officeDocument/2006/relationships/hyperlink" Target="consultantplus://offline/ref=F333493433EE5DE7BCDE865AC0ED7AD67886855D29416741AF7AC2CA170237D76EFC687B80493B61G755B" TargetMode="External"/><Relationship Id="rId8" Type="http://schemas.openxmlformats.org/officeDocument/2006/relationships/footer" Target="footer1.xml"/><Relationship Id="rId51" Type="http://schemas.openxmlformats.org/officeDocument/2006/relationships/hyperlink" Target="consultantplus://offline/ref=F333493433EE5DE7BCDE865AC0ED7AD67886855D29416741AF7AC2CA170237D76EFC687B80493B61G755B" TargetMode="External"/><Relationship Id="rId72" Type="http://schemas.openxmlformats.org/officeDocument/2006/relationships/header" Target="header14.xml"/><Relationship Id="rId3" Type="http://schemas.openxmlformats.org/officeDocument/2006/relationships/styles" Target="styles.xml"/><Relationship Id="rId12" Type="http://schemas.openxmlformats.org/officeDocument/2006/relationships/hyperlink" Target="consultantplus://offline/ref=7E1A8C5883CE946E601A407E1744A9B0EC6CBE24B072B77D1E76F2823DBBFB2221C96E41618B6DBAA9D3BD5209AE6AED7ECD796B8BE730FC51g7I" TargetMode="External"/><Relationship Id="rId17" Type="http://schemas.openxmlformats.org/officeDocument/2006/relationships/hyperlink" Target="consultantplus://offline/ref=7E1A8C5883CE946E601A407E1744A9B0EC6CBE24B072B77D1E76F2823DBBFB2221C96E41618B6DB9A6D3BD5209AE6AED7ECD796B8BE730FC51g7I" TargetMode="External"/><Relationship Id="rId25" Type="http://schemas.openxmlformats.org/officeDocument/2006/relationships/image" Target="media/image5.wmf"/><Relationship Id="rId33" Type="http://schemas.openxmlformats.org/officeDocument/2006/relationships/hyperlink" Target="consultantplus://offline/ref=0BA193AFF2F80B4100A2E529DA9D152A379FF5628DAE7D5E8F790B93EAAE60CC1CB6648B93293BB1EBF1A35227736146CC4080D36F714813s4p0E" TargetMode="External"/><Relationship Id="rId38" Type="http://schemas.openxmlformats.org/officeDocument/2006/relationships/image" Target="media/image8.wmf"/><Relationship Id="rId46" Type="http://schemas.openxmlformats.org/officeDocument/2006/relationships/image" Target="media/image11.wmf"/><Relationship Id="rId59" Type="http://schemas.openxmlformats.org/officeDocument/2006/relationships/header" Target="header7.xml"/><Relationship Id="rId67" Type="http://schemas.openxmlformats.org/officeDocument/2006/relationships/header" Target="header11.xml"/><Relationship Id="rId20" Type="http://schemas.openxmlformats.org/officeDocument/2006/relationships/hyperlink" Target="consultantplus://offline/ref=7E1A8C5883CE946E601A407E1744A9B0EC6CBE24B072B77D1E76F2823DBBFB2221C96E41618B6FBCA3D3BD5209AE6AED7ECD796B8BE730FC51g7I" TargetMode="External"/><Relationship Id="rId41" Type="http://schemas.openxmlformats.org/officeDocument/2006/relationships/hyperlink" Target="consultantplus://offline/ref=3092A615462806782CFCCE2636B27357A1C9169162275773C8517837B21FCBD943E31F2F1BB6E373D74A475E6BB41FB21072E1F3006998F2x6PED" TargetMode="External"/><Relationship Id="rId54" Type="http://schemas.openxmlformats.org/officeDocument/2006/relationships/hyperlink" Target="consultantplus://offline/ref=F333493433EE5DE7BCDE865AC0ED7AD67886855D29416741AF7AC2CA170237D76EFC687B80493B68G75DB" TargetMode="External"/><Relationship Id="rId62" Type="http://schemas.openxmlformats.org/officeDocument/2006/relationships/hyperlink" Target="consultantplus://offline/ref=F333493433EE5DE7BCDE865AC0ED7AD67886855D29416741AF7AC2CA170237D76EFC687B80493B61G755B" TargetMode="External"/><Relationship Id="rId70" Type="http://schemas.openxmlformats.org/officeDocument/2006/relationships/hyperlink" Target="consultantplus://offline/ref=F333493433EE5DE7BCDE865AC0ED7AD67886855D29416741AF7AC2CA170237D76EFC687B80493B68G75DB"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7E1A8C5883CE946E601A407E1744A9B0EC6CBE24B072B77D1E76F2823DBBFB2221C96E41618B6DB0A3D3BD5209AE6AED7ECD796B8BE730FC51g7I" TargetMode="External"/><Relationship Id="rId23" Type="http://schemas.openxmlformats.org/officeDocument/2006/relationships/hyperlink" Target="consultantplus://offline/ref=0BFA933EA36D3EB52FDDFC4208990B8DC3E703D27C14DB817D1FAF97F67F0EE37F60A4815E4AF73FC84BBC14E39EFDB91CBC1812C4236315L101I" TargetMode="External"/><Relationship Id="rId28" Type="http://schemas.openxmlformats.org/officeDocument/2006/relationships/hyperlink" Target="consultantplus://offline/ref=15F7B716875E133DF2A3A708495D772398D615DBF513640D7D608C45C4F5CCC7ECD685EE733C7FC8B2C4CB46823012BA7EDF828AE79511BDLDK8D" TargetMode="External"/><Relationship Id="rId36" Type="http://schemas.openxmlformats.org/officeDocument/2006/relationships/hyperlink" Target="consultantplus://offline/ref=0BA193AFF2F80B4100A2E529DA9D152A379FF5628DAE7D5E8F790B93EAAE60CC1CB6648B93293BB6EEF1A35227736146CC4080D36F714813s4p0E" TargetMode="External"/><Relationship Id="rId49" Type="http://schemas.openxmlformats.org/officeDocument/2006/relationships/header" Target="header3.xml"/><Relationship Id="rId57" Type="http://schemas.openxmlformats.org/officeDocument/2006/relationships/hyperlink" Target="mailto:uktsgur@rambler.ru" TargetMode="External"/><Relationship Id="rId10" Type="http://schemas.openxmlformats.org/officeDocument/2006/relationships/header" Target="header2.xml"/><Relationship Id="rId31" Type="http://schemas.openxmlformats.org/officeDocument/2006/relationships/image" Target="media/image6.wmf"/><Relationship Id="rId44" Type="http://schemas.openxmlformats.org/officeDocument/2006/relationships/hyperlink" Target="consultantplus://offline/ref=3092A615462806782CFCCE2636B27357A1C9169162275773C8517837B21FCBD943E31F2F1BB6E374D24A475E6BB41FB21072E1F3006998F2x6PED" TargetMode="External"/><Relationship Id="rId52" Type="http://schemas.openxmlformats.org/officeDocument/2006/relationships/hyperlink" Target="consultantplus://offline/ref=F333493433EE5DE7BCDE865AC0ED7AD67886855D29416741AF7AC2CA170237D76EFC687B80493B68G75DB" TargetMode="External"/><Relationship Id="rId60" Type="http://schemas.openxmlformats.org/officeDocument/2006/relationships/footer" Target="footer3.xml"/><Relationship Id="rId65" Type="http://schemas.openxmlformats.org/officeDocument/2006/relationships/footer" Target="footer4.xml"/><Relationship Id="rId73"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consultantplus://offline/ref=7E1A8C5883CE946E601A407E1744A9B0EC6CBE24B072B77D1E76F2823DBBFB2221C96E41618B6DB9A6D3BD5209AE6AED7ECD796B8BE730FC51g7I" TargetMode="External"/><Relationship Id="rId18" Type="http://schemas.openxmlformats.org/officeDocument/2006/relationships/hyperlink" Target="consultantplus://offline/ref=7E1A8C5883CE946E601A407E1744A9B0EC6CBE24B072B77D1E76F2823DBBFB2221C96E41618B6DB9A9D3BD5209AE6AED7ECD796B8BE730FC51g7I" TargetMode="External"/><Relationship Id="rId39" Type="http://schemas.openxmlformats.org/officeDocument/2006/relationships/image" Target="media/image9.wmf"/><Relationship Id="rId34" Type="http://schemas.openxmlformats.org/officeDocument/2006/relationships/hyperlink" Target="consultantplus://offline/ref=0BA193AFF2F80B4100A2E529DA9D152A379FF5628DAE7D5E8F790B93EAAE60CC1CB6648B93293BB1ECF1A35227736146CC4080D36F714813s4p0E" TargetMode="External"/><Relationship Id="rId50" Type="http://schemas.openxmlformats.org/officeDocument/2006/relationships/header" Target="header4.xml"/><Relationship Id="rId55" Type="http://schemas.openxmlformats.org/officeDocument/2006/relationships/header" Target="header5.xml"/><Relationship Id="rId7" Type="http://schemas.openxmlformats.org/officeDocument/2006/relationships/endnotes" Target="endnotes.xml"/><Relationship Id="rId71" Type="http://schemas.openxmlformats.org/officeDocument/2006/relationships/header" Target="header1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22312-E3EE-43C2-B8F7-D3EA8439F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43336</TotalTime>
  <Pages>221</Pages>
  <Words>71634</Words>
  <Characters>408314</Characters>
  <Application>Microsoft Office Word</Application>
  <DocSecurity>0</DocSecurity>
  <Lines>3402</Lines>
  <Paragraphs>957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Татьяна Иванова</cp:lastModifiedBy>
  <cp:revision>26</cp:revision>
  <cp:lastPrinted>2021-12-13T09:18:00Z</cp:lastPrinted>
  <dcterms:created xsi:type="dcterms:W3CDTF">2020-12-26T16:42:00Z</dcterms:created>
  <dcterms:modified xsi:type="dcterms:W3CDTF">2022-01-26T06:25:00Z</dcterms:modified>
</cp:coreProperties>
</file>